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644D7" w14:textId="77777777" w:rsidR="00F8631B" w:rsidRPr="00712F3C" w:rsidRDefault="00F8631B" w:rsidP="00F8631B">
      <w:pPr>
        <w:autoSpaceDE w:val="0"/>
        <w:autoSpaceDN w:val="0"/>
        <w:adjustRightInd w:val="0"/>
        <w:spacing w:after="0" w:line="240" w:lineRule="auto"/>
        <w:jc w:val="center"/>
        <w:rPr>
          <w:rFonts w:ascii="Times New Roman" w:hAnsi="Times New Roman"/>
          <w:b/>
          <w:iCs/>
          <w:sz w:val="20"/>
          <w:szCs w:val="20"/>
          <w:u w:val="single"/>
        </w:rPr>
      </w:pPr>
      <w:r w:rsidRPr="00712F3C">
        <w:rPr>
          <w:rFonts w:ascii="Times New Roman" w:hAnsi="Times New Roman"/>
          <w:b/>
          <w:iCs/>
          <w:sz w:val="20"/>
          <w:szCs w:val="20"/>
          <w:u w:val="single"/>
        </w:rPr>
        <w:t>SECTION I – GENERAL</w:t>
      </w:r>
    </w:p>
    <w:p w14:paraId="1E6BE45E" w14:textId="77777777" w:rsidR="00F8631B" w:rsidRPr="00712F3C" w:rsidRDefault="00F8631B" w:rsidP="00F8631B">
      <w:pPr>
        <w:autoSpaceDE w:val="0"/>
        <w:autoSpaceDN w:val="0"/>
        <w:adjustRightInd w:val="0"/>
        <w:spacing w:after="0" w:line="240" w:lineRule="auto"/>
        <w:jc w:val="center"/>
        <w:rPr>
          <w:rFonts w:ascii="Times New Roman" w:hAnsi="Times New Roman"/>
          <w:b/>
          <w:iCs/>
          <w:sz w:val="20"/>
          <w:szCs w:val="20"/>
          <w:u w:val="single"/>
        </w:rPr>
      </w:pPr>
    </w:p>
    <w:p w14:paraId="2C24B228" w14:textId="77777777" w:rsidR="00F8631B" w:rsidRPr="00712F3C" w:rsidRDefault="00F8631B" w:rsidP="00F8631B">
      <w:pPr>
        <w:autoSpaceDE w:val="0"/>
        <w:autoSpaceDN w:val="0"/>
        <w:adjustRightInd w:val="0"/>
        <w:spacing w:after="0" w:line="240" w:lineRule="auto"/>
        <w:jc w:val="center"/>
        <w:rPr>
          <w:rFonts w:ascii="Times New Roman" w:hAnsi="Times New Roman"/>
          <w:b/>
          <w:iCs/>
          <w:sz w:val="20"/>
          <w:szCs w:val="20"/>
          <w:u w:val="single"/>
        </w:rPr>
      </w:pPr>
      <w:r w:rsidRPr="00712F3C">
        <w:rPr>
          <w:rFonts w:ascii="Times New Roman" w:hAnsi="Times New Roman"/>
          <w:b/>
          <w:iCs/>
          <w:sz w:val="20"/>
          <w:szCs w:val="20"/>
          <w:u w:val="single"/>
        </w:rPr>
        <w:t xml:space="preserve">DEFINITIONS AND ABBREVIATIONS </w:t>
      </w:r>
    </w:p>
    <w:p w14:paraId="16D3715D" w14:textId="77777777" w:rsidR="00F8631B" w:rsidRPr="00712F3C" w:rsidRDefault="00F8631B" w:rsidP="00F8631B">
      <w:pPr>
        <w:pStyle w:val="NormalWeb"/>
        <w:rPr>
          <w:rFonts w:cs="Times New Roman"/>
          <w:sz w:val="20"/>
          <w:szCs w:val="20"/>
        </w:rPr>
      </w:pPr>
    </w:p>
    <w:p w14:paraId="48B0C58A" w14:textId="77777777" w:rsidR="00F8631B" w:rsidRPr="00712F3C" w:rsidRDefault="00F8631B" w:rsidP="00223E07">
      <w:pPr>
        <w:autoSpaceDE w:val="0"/>
        <w:autoSpaceDN w:val="0"/>
        <w:adjustRightInd w:val="0"/>
        <w:spacing w:after="0" w:line="240" w:lineRule="auto"/>
        <w:ind w:right="-90"/>
        <w:jc w:val="both"/>
        <w:rPr>
          <w:rFonts w:ascii="Times New Roman" w:eastAsia="Calibri" w:hAnsi="Times New Roman"/>
          <w:i/>
          <w:iCs/>
          <w:color w:val="252525"/>
          <w:sz w:val="20"/>
          <w:szCs w:val="20"/>
        </w:rPr>
      </w:pPr>
      <w:r w:rsidRPr="00712F3C">
        <w:rPr>
          <w:rFonts w:ascii="Times New Roman" w:hAnsi="Times New Roman"/>
          <w:i/>
          <w:iCs/>
          <w:sz w:val="20"/>
          <w:szCs w:val="20"/>
        </w:rPr>
        <w:t>This Draft Red Herring Prospectus uses certain definitions and abbreviations which, unless the context otherwise indicates or implies, shall have the meaning as provided below. References to any legislation, act, regulation, rule, guideline or policy shall be to such legislation, act, regulation, rule, guideline or policy, as amended, supplemented or re-enacted from time to time, and any reference to a statutory provision shall include any subordinate legislation made from time to time under that provision.</w:t>
      </w:r>
    </w:p>
    <w:p w14:paraId="40972749" w14:textId="77777777" w:rsidR="00F8631B" w:rsidRPr="00712F3C" w:rsidRDefault="00F8631B" w:rsidP="00223E07">
      <w:pPr>
        <w:autoSpaceDE w:val="0"/>
        <w:autoSpaceDN w:val="0"/>
        <w:adjustRightInd w:val="0"/>
        <w:spacing w:after="0" w:line="240" w:lineRule="auto"/>
        <w:ind w:right="-90"/>
        <w:jc w:val="both"/>
        <w:rPr>
          <w:rFonts w:ascii="Times New Roman" w:eastAsia="Calibri" w:hAnsi="Times New Roman"/>
          <w:i/>
          <w:iCs/>
          <w:color w:val="252525"/>
          <w:sz w:val="20"/>
          <w:szCs w:val="20"/>
        </w:rPr>
      </w:pPr>
    </w:p>
    <w:p w14:paraId="01CAE16F" w14:textId="77777777" w:rsidR="00F8631B" w:rsidRPr="00712F3C" w:rsidRDefault="00F8631B" w:rsidP="00223E07">
      <w:pPr>
        <w:autoSpaceDE w:val="0"/>
        <w:autoSpaceDN w:val="0"/>
        <w:adjustRightInd w:val="0"/>
        <w:spacing w:after="0" w:line="240" w:lineRule="auto"/>
        <w:ind w:right="-90"/>
        <w:jc w:val="both"/>
        <w:rPr>
          <w:rFonts w:ascii="Times New Roman" w:hAnsi="Times New Roman"/>
          <w:i/>
          <w:iCs/>
          <w:sz w:val="20"/>
          <w:szCs w:val="20"/>
        </w:rPr>
      </w:pPr>
      <w:r w:rsidRPr="00712F3C">
        <w:rPr>
          <w:rFonts w:ascii="Times New Roman" w:hAnsi="Times New Roman"/>
          <w:i/>
          <w:iCs/>
          <w:sz w:val="20"/>
          <w:szCs w:val="20"/>
        </w:rPr>
        <w:t>The words and expressions used in this Draft Red Herring Prospectus but not defined herein, shall have, to the extent applicable, the meaning ascribed to such terms under the Companies Act, 2013, the SEBI (ICDR) Regulations, 2018, the Securities Contracts Regulation Act, 1956 (“SCRA”), the Depositories Act or the rules and regulations made there under.</w:t>
      </w:r>
    </w:p>
    <w:p w14:paraId="5F36FE7E" w14:textId="77777777" w:rsidR="00F8631B" w:rsidRPr="00712F3C" w:rsidRDefault="00F8631B" w:rsidP="00223E07">
      <w:pPr>
        <w:autoSpaceDE w:val="0"/>
        <w:autoSpaceDN w:val="0"/>
        <w:adjustRightInd w:val="0"/>
        <w:spacing w:after="0" w:line="240" w:lineRule="auto"/>
        <w:ind w:right="-90"/>
        <w:jc w:val="both"/>
        <w:rPr>
          <w:rFonts w:ascii="Times New Roman" w:eastAsia="Calibri" w:hAnsi="Times New Roman"/>
          <w:i/>
          <w:iCs/>
          <w:color w:val="252525"/>
          <w:sz w:val="20"/>
          <w:szCs w:val="20"/>
        </w:rPr>
      </w:pPr>
    </w:p>
    <w:p w14:paraId="5BCE1731" w14:textId="77777777" w:rsidR="00F8631B" w:rsidRPr="00712F3C" w:rsidRDefault="00F8631B" w:rsidP="00223E07">
      <w:pPr>
        <w:autoSpaceDE w:val="0"/>
        <w:autoSpaceDN w:val="0"/>
        <w:adjustRightInd w:val="0"/>
        <w:spacing w:after="0" w:line="240" w:lineRule="auto"/>
        <w:ind w:right="-90"/>
        <w:jc w:val="both"/>
        <w:rPr>
          <w:rFonts w:ascii="Times New Roman" w:hAnsi="Times New Roman"/>
          <w:i/>
          <w:iCs/>
          <w:sz w:val="20"/>
          <w:szCs w:val="20"/>
        </w:rPr>
      </w:pPr>
      <w:r w:rsidRPr="00712F3C">
        <w:rPr>
          <w:rFonts w:ascii="Times New Roman" w:hAnsi="Times New Roman"/>
          <w:i/>
          <w:iCs/>
          <w:sz w:val="20"/>
          <w:szCs w:val="20"/>
        </w:rPr>
        <w:t xml:space="preserve">Notwithstanding the foregoing, terms used in of the sections </w:t>
      </w:r>
      <w:r w:rsidRPr="00712F3C">
        <w:rPr>
          <w:rFonts w:ascii="Times New Roman" w:hAnsi="Times New Roman"/>
          <w:b/>
          <w:i/>
          <w:iCs/>
          <w:sz w:val="20"/>
          <w:szCs w:val="20"/>
        </w:rPr>
        <w:t xml:space="preserve">“Statement of Special Tax Benefits”, “Financial Information of the Company” </w:t>
      </w:r>
      <w:r w:rsidRPr="00712F3C">
        <w:rPr>
          <w:rFonts w:ascii="Times New Roman" w:hAnsi="Times New Roman"/>
          <w:i/>
          <w:iCs/>
          <w:sz w:val="20"/>
          <w:szCs w:val="20"/>
        </w:rPr>
        <w:t>and</w:t>
      </w:r>
      <w:r w:rsidRPr="00712F3C">
        <w:rPr>
          <w:rFonts w:ascii="Times New Roman" w:hAnsi="Times New Roman"/>
          <w:b/>
          <w:i/>
          <w:iCs/>
          <w:sz w:val="20"/>
          <w:szCs w:val="20"/>
        </w:rPr>
        <w:t xml:space="preserve"> “Main Provisions of the Articles of Association” </w:t>
      </w:r>
      <w:r w:rsidRPr="00712F3C">
        <w:rPr>
          <w:rFonts w:ascii="Times New Roman" w:hAnsi="Times New Roman"/>
          <w:i/>
          <w:iCs/>
          <w:sz w:val="20"/>
          <w:szCs w:val="20"/>
        </w:rPr>
        <w:t xml:space="preserve">on page </w:t>
      </w:r>
      <w:r>
        <w:rPr>
          <w:rFonts w:ascii="Times New Roman" w:hAnsi="Times New Roman"/>
          <w:i/>
          <w:iCs/>
          <w:sz w:val="20"/>
          <w:szCs w:val="20"/>
        </w:rPr>
        <w:t>80</w:t>
      </w:r>
      <w:r w:rsidRPr="00712F3C">
        <w:rPr>
          <w:rFonts w:ascii="Times New Roman" w:hAnsi="Times New Roman"/>
          <w:i/>
          <w:iCs/>
          <w:sz w:val="20"/>
          <w:szCs w:val="20"/>
        </w:rPr>
        <w:t xml:space="preserve">, </w:t>
      </w:r>
      <w:r>
        <w:rPr>
          <w:rFonts w:ascii="Times New Roman" w:hAnsi="Times New Roman"/>
          <w:i/>
          <w:iCs/>
          <w:sz w:val="20"/>
          <w:szCs w:val="20"/>
        </w:rPr>
        <w:t>130</w:t>
      </w:r>
      <w:r w:rsidRPr="00712F3C">
        <w:rPr>
          <w:rFonts w:ascii="Times New Roman" w:hAnsi="Times New Roman"/>
          <w:i/>
          <w:iCs/>
          <w:sz w:val="20"/>
          <w:szCs w:val="20"/>
        </w:rPr>
        <w:t xml:space="preserve"> and </w:t>
      </w:r>
      <w:r>
        <w:rPr>
          <w:rFonts w:ascii="Times New Roman" w:hAnsi="Times New Roman"/>
          <w:i/>
          <w:iCs/>
          <w:sz w:val="20"/>
          <w:szCs w:val="20"/>
        </w:rPr>
        <w:t>243</w:t>
      </w:r>
      <w:r w:rsidRPr="00712F3C">
        <w:rPr>
          <w:rFonts w:ascii="Times New Roman" w:hAnsi="Times New Roman"/>
          <w:i/>
          <w:iCs/>
          <w:sz w:val="20"/>
          <w:szCs w:val="20"/>
        </w:rPr>
        <w:t xml:space="preserve"> respectively, shall have the meaning ascribed to such terms in such sections.</w:t>
      </w:r>
    </w:p>
    <w:p w14:paraId="0C5CA778" w14:textId="77777777" w:rsidR="00F8631B" w:rsidRPr="00712F3C" w:rsidRDefault="00F8631B" w:rsidP="00223E07">
      <w:pPr>
        <w:autoSpaceDE w:val="0"/>
        <w:autoSpaceDN w:val="0"/>
        <w:adjustRightInd w:val="0"/>
        <w:spacing w:after="0" w:line="240" w:lineRule="auto"/>
        <w:ind w:right="-90"/>
        <w:jc w:val="both"/>
        <w:rPr>
          <w:rFonts w:ascii="Times New Roman" w:hAnsi="Times New Roman"/>
          <w:i/>
          <w:iCs/>
          <w:sz w:val="20"/>
          <w:szCs w:val="20"/>
        </w:rPr>
      </w:pPr>
    </w:p>
    <w:p w14:paraId="599152F3" w14:textId="77777777" w:rsidR="00F8631B" w:rsidRPr="00712F3C" w:rsidRDefault="00F8631B" w:rsidP="00223E07">
      <w:pPr>
        <w:autoSpaceDE w:val="0"/>
        <w:autoSpaceDN w:val="0"/>
        <w:adjustRightInd w:val="0"/>
        <w:spacing w:after="0" w:line="240" w:lineRule="auto"/>
        <w:ind w:right="-90"/>
        <w:jc w:val="both"/>
        <w:rPr>
          <w:rFonts w:ascii="Times New Roman" w:hAnsi="Times New Roman"/>
          <w:b/>
          <w:iCs/>
          <w:sz w:val="20"/>
          <w:szCs w:val="20"/>
          <w:u w:val="single"/>
        </w:rPr>
      </w:pPr>
      <w:r w:rsidRPr="00712F3C">
        <w:rPr>
          <w:rFonts w:ascii="Times New Roman" w:hAnsi="Times New Roman"/>
          <w:b/>
          <w:iCs/>
          <w:sz w:val="20"/>
          <w:szCs w:val="20"/>
          <w:u w:val="single"/>
        </w:rPr>
        <w:t>General Terms</w:t>
      </w:r>
    </w:p>
    <w:p w14:paraId="3728227F" w14:textId="77777777" w:rsidR="00F8631B" w:rsidRPr="00223E07" w:rsidRDefault="00F8631B" w:rsidP="00F8631B">
      <w:pPr>
        <w:autoSpaceDE w:val="0"/>
        <w:autoSpaceDN w:val="0"/>
        <w:adjustRightInd w:val="0"/>
        <w:spacing w:after="0" w:line="240" w:lineRule="auto"/>
        <w:jc w:val="both"/>
        <w:rPr>
          <w:rFonts w:ascii="Times New Roman" w:hAnsi="Times New Roman"/>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6"/>
        <w:gridCol w:w="7621"/>
      </w:tblGrid>
      <w:tr w:rsidR="00F8631B" w:rsidRPr="00712F3C" w14:paraId="40CC2957" w14:textId="77777777" w:rsidTr="0049413B">
        <w:trPr>
          <w:trHeight w:val="20"/>
        </w:trPr>
        <w:tc>
          <w:tcPr>
            <w:tcW w:w="1356"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9C04365" w14:textId="77777777" w:rsidR="00F8631B" w:rsidRPr="00712F3C" w:rsidRDefault="00F8631B" w:rsidP="00250DAC">
            <w:pPr>
              <w:autoSpaceDE w:val="0"/>
              <w:autoSpaceDN w:val="0"/>
              <w:adjustRightInd w:val="0"/>
              <w:spacing w:after="0" w:line="240" w:lineRule="auto"/>
              <w:jc w:val="both"/>
              <w:rPr>
                <w:rFonts w:ascii="Times New Roman" w:eastAsia="Calibri" w:hAnsi="Times New Roman"/>
                <w:b/>
                <w:iCs/>
                <w:sz w:val="20"/>
                <w:szCs w:val="20"/>
              </w:rPr>
            </w:pPr>
            <w:r w:rsidRPr="00712F3C">
              <w:rPr>
                <w:rFonts w:ascii="Times New Roman" w:eastAsia="Calibri" w:hAnsi="Times New Roman"/>
                <w:b/>
                <w:iCs/>
                <w:sz w:val="20"/>
                <w:szCs w:val="20"/>
              </w:rPr>
              <w:t>Terms</w:t>
            </w:r>
          </w:p>
        </w:tc>
        <w:tc>
          <w:tcPr>
            <w:tcW w:w="3644" w:type="pct"/>
            <w:tcBorders>
              <w:left w:val="single" w:sz="4" w:space="0" w:color="auto"/>
            </w:tcBorders>
            <w:shd w:val="clear" w:color="auto" w:fill="D0CECE" w:themeFill="background2" w:themeFillShade="E6"/>
          </w:tcPr>
          <w:p w14:paraId="7FE64AAF" w14:textId="77777777" w:rsidR="00F8631B" w:rsidRPr="00712F3C" w:rsidRDefault="00F8631B" w:rsidP="00250DAC">
            <w:pPr>
              <w:autoSpaceDE w:val="0"/>
              <w:autoSpaceDN w:val="0"/>
              <w:adjustRightInd w:val="0"/>
              <w:spacing w:after="0" w:line="240" w:lineRule="auto"/>
              <w:jc w:val="both"/>
              <w:rPr>
                <w:rFonts w:ascii="Times New Roman" w:eastAsia="Calibri" w:hAnsi="Times New Roman"/>
                <w:b/>
                <w:iCs/>
                <w:sz w:val="20"/>
                <w:szCs w:val="20"/>
              </w:rPr>
            </w:pPr>
            <w:r w:rsidRPr="00712F3C">
              <w:rPr>
                <w:rFonts w:ascii="Times New Roman" w:eastAsia="Calibri" w:hAnsi="Times New Roman"/>
                <w:b/>
                <w:iCs/>
                <w:sz w:val="20"/>
                <w:szCs w:val="20"/>
              </w:rPr>
              <w:t>Description</w:t>
            </w:r>
          </w:p>
        </w:tc>
      </w:tr>
      <w:tr w:rsidR="00F8631B" w:rsidRPr="00712F3C" w14:paraId="1DD6F357" w14:textId="77777777" w:rsidTr="0049413B">
        <w:trPr>
          <w:trHeight w:val="20"/>
        </w:trPr>
        <w:tc>
          <w:tcPr>
            <w:tcW w:w="1356" w:type="pct"/>
            <w:tcBorders>
              <w:top w:val="single" w:sz="4" w:space="0" w:color="auto"/>
            </w:tcBorders>
            <w:shd w:val="clear" w:color="auto" w:fill="auto"/>
          </w:tcPr>
          <w:p w14:paraId="735ABB8E" w14:textId="41CC61C6" w:rsidR="00F8631B" w:rsidRPr="00712F3C" w:rsidRDefault="00F8631B" w:rsidP="00250DAC">
            <w:pPr>
              <w:autoSpaceDE w:val="0"/>
              <w:autoSpaceDN w:val="0"/>
              <w:adjustRightInd w:val="0"/>
              <w:spacing w:after="0" w:line="240" w:lineRule="auto"/>
              <w:jc w:val="both"/>
              <w:rPr>
                <w:rFonts w:ascii="Times New Roman" w:eastAsia="Calibri" w:hAnsi="Times New Roman"/>
                <w:iCs/>
                <w:sz w:val="20"/>
                <w:szCs w:val="20"/>
              </w:rPr>
            </w:pPr>
            <w:r w:rsidRPr="00712F3C">
              <w:rPr>
                <w:rFonts w:ascii="Times New Roman" w:hAnsi="Times New Roman"/>
                <w:iCs/>
                <w:sz w:val="20"/>
                <w:szCs w:val="20"/>
              </w:rPr>
              <w:t>“</w:t>
            </w:r>
            <w:r w:rsidR="007B4A09">
              <w:rPr>
                <w:rFonts w:ascii="Times New Roman" w:hAnsi="Times New Roman"/>
                <w:iCs/>
                <w:sz w:val="20"/>
                <w:szCs w:val="20"/>
              </w:rPr>
              <w:t>SRIL</w:t>
            </w:r>
            <w:r w:rsidRPr="00712F3C">
              <w:rPr>
                <w:rFonts w:ascii="Times New Roman" w:hAnsi="Times New Roman"/>
                <w:iCs/>
                <w:sz w:val="20"/>
                <w:szCs w:val="20"/>
              </w:rPr>
              <w:t>”, “the Company”, “our Company”, “Issuer” and “</w:t>
            </w:r>
            <w:r w:rsidR="007B4A09">
              <w:rPr>
                <w:rFonts w:ascii="Times New Roman" w:hAnsi="Times New Roman"/>
                <w:sz w:val="20"/>
                <w:szCs w:val="20"/>
                <w:lang w:val="en-IN"/>
              </w:rPr>
              <w:t xml:space="preserve">Siyaram Recycling Industries </w:t>
            </w:r>
            <w:r w:rsidRPr="00712F3C">
              <w:rPr>
                <w:rFonts w:ascii="Times New Roman" w:hAnsi="Times New Roman"/>
                <w:sz w:val="20"/>
                <w:szCs w:val="20"/>
                <w:lang w:val="en-IN"/>
              </w:rPr>
              <w:t>Limited”</w:t>
            </w:r>
          </w:p>
        </w:tc>
        <w:tc>
          <w:tcPr>
            <w:tcW w:w="3644" w:type="pct"/>
            <w:shd w:val="clear" w:color="auto" w:fill="auto"/>
          </w:tcPr>
          <w:p w14:paraId="7ADA2554" w14:textId="0A847532" w:rsidR="00F8631B" w:rsidRPr="00712F3C" w:rsidRDefault="007B4A09" w:rsidP="00250DAC">
            <w:pPr>
              <w:spacing w:after="0" w:line="240" w:lineRule="auto"/>
              <w:jc w:val="both"/>
              <w:rPr>
                <w:rFonts w:ascii="Times New Roman" w:eastAsia="Calibri" w:hAnsi="Times New Roman"/>
                <w:sz w:val="20"/>
                <w:szCs w:val="20"/>
                <w:lang w:val="en-IN"/>
              </w:rPr>
            </w:pPr>
            <w:r>
              <w:rPr>
                <w:rFonts w:ascii="Times New Roman" w:hAnsi="Times New Roman"/>
                <w:sz w:val="20"/>
                <w:szCs w:val="20"/>
                <w:lang w:val="en-IN"/>
              </w:rPr>
              <w:t xml:space="preserve">Siyaram Recycling Industries </w:t>
            </w:r>
            <w:r w:rsidRPr="00712F3C">
              <w:rPr>
                <w:rFonts w:ascii="Times New Roman" w:hAnsi="Times New Roman"/>
                <w:sz w:val="20"/>
                <w:szCs w:val="20"/>
                <w:lang w:val="en-IN"/>
              </w:rPr>
              <w:t>Limited</w:t>
            </w:r>
            <w:r>
              <w:rPr>
                <w:rFonts w:ascii="Times New Roman" w:hAnsi="Times New Roman"/>
                <w:sz w:val="20"/>
                <w:szCs w:val="20"/>
                <w:lang w:val="en-IN"/>
              </w:rPr>
              <w:t xml:space="preserve"> </w:t>
            </w:r>
            <w:r w:rsidRPr="002D256D">
              <w:rPr>
                <w:rFonts w:ascii="Times New Roman" w:hAnsi="Times New Roman"/>
                <w:i/>
                <w:iCs/>
                <w:sz w:val="20"/>
                <w:szCs w:val="20"/>
                <w:lang w:val="en-IN"/>
              </w:rPr>
              <w:t xml:space="preserve">(formerly known as Siyaram Impex </w:t>
            </w:r>
            <w:r w:rsidR="002D256D" w:rsidRPr="002D256D">
              <w:rPr>
                <w:rFonts w:ascii="Times New Roman" w:hAnsi="Times New Roman"/>
                <w:i/>
                <w:iCs/>
                <w:sz w:val="20"/>
                <w:szCs w:val="20"/>
                <w:lang w:val="en-IN"/>
              </w:rPr>
              <w:t>Private Limited)</w:t>
            </w:r>
            <w:r w:rsidR="00F8631B" w:rsidRPr="00712F3C">
              <w:rPr>
                <w:rFonts w:ascii="Times New Roman" w:hAnsi="Times New Roman"/>
                <w:iCs/>
                <w:sz w:val="20"/>
                <w:szCs w:val="20"/>
              </w:rPr>
              <w:t xml:space="preserve">, a Company incorporated in India under the Companies Act, </w:t>
            </w:r>
            <w:r w:rsidR="002D256D">
              <w:rPr>
                <w:rFonts w:ascii="Times New Roman" w:hAnsi="Times New Roman"/>
                <w:iCs/>
                <w:sz w:val="20"/>
                <w:szCs w:val="20"/>
              </w:rPr>
              <w:t>1956</w:t>
            </w:r>
            <w:r w:rsidR="00F8631B" w:rsidRPr="00712F3C">
              <w:rPr>
                <w:rFonts w:ascii="Times New Roman" w:hAnsi="Times New Roman"/>
                <w:iCs/>
                <w:sz w:val="20"/>
                <w:szCs w:val="20"/>
              </w:rPr>
              <w:t xml:space="preserve">, having its Registered office at </w:t>
            </w:r>
            <w:r w:rsidR="002D256D" w:rsidRPr="002D256D">
              <w:rPr>
                <w:rFonts w:ascii="Times New Roman" w:eastAsia="MS Mincho" w:hAnsi="Times New Roman"/>
                <w:sz w:val="20"/>
                <w:szCs w:val="20"/>
              </w:rPr>
              <w:t>Plot No. 6 &amp; 7, Village: Lakhabaval Post: Khodiyar Colony, Jamnagar-361006 Gujarat</w:t>
            </w:r>
            <w:r w:rsidR="00F8631B" w:rsidRPr="00712F3C">
              <w:rPr>
                <w:rFonts w:ascii="Times New Roman" w:eastAsia="MS Mincho" w:hAnsi="Times New Roman"/>
                <w:sz w:val="20"/>
                <w:szCs w:val="20"/>
              </w:rPr>
              <w:t xml:space="preserve">. </w:t>
            </w:r>
          </w:p>
        </w:tc>
      </w:tr>
      <w:tr w:rsidR="00F8631B" w:rsidRPr="00712F3C" w14:paraId="534154EE" w14:textId="77777777" w:rsidTr="0049413B">
        <w:trPr>
          <w:trHeight w:val="20"/>
        </w:trPr>
        <w:tc>
          <w:tcPr>
            <w:tcW w:w="1356" w:type="pct"/>
            <w:shd w:val="clear" w:color="auto" w:fill="auto"/>
          </w:tcPr>
          <w:p w14:paraId="5A4212C4" w14:textId="77777777" w:rsidR="00F8631B" w:rsidRPr="00712F3C" w:rsidRDefault="00F8631B" w:rsidP="00250DAC">
            <w:pPr>
              <w:autoSpaceDE w:val="0"/>
              <w:autoSpaceDN w:val="0"/>
              <w:adjustRightInd w:val="0"/>
              <w:spacing w:after="0" w:line="240" w:lineRule="auto"/>
              <w:jc w:val="both"/>
              <w:rPr>
                <w:rFonts w:ascii="Times New Roman" w:eastAsia="Calibri" w:hAnsi="Times New Roman"/>
                <w:iCs/>
                <w:sz w:val="20"/>
                <w:szCs w:val="20"/>
              </w:rPr>
            </w:pPr>
            <w:r w:rsidRPr="00712F3C">
              <w:rPr>
                <w:rFonts w:ascii="Times New Roman" w:eastAsia="Calibri" w:hAnsi="Times New Roman"/>
                <w:iCs/>
                <w:sz w:val="20"/>
                <w:szCs w:val="20"/>
              </w:rPr>
              <w:t xml:space="preserve">“we”, “us” and “our” </w:t>
            </w:r>
          </w:p>
        </w:tc>
        <w:tc>
          <w:tcPr>
            <w:tcW w:w="3644" w:type="pct"/>
            <w:shd w:val="clear" w:color="auto" w:fill="auto"/>
          </w:tcPr>
          <w:p w14:paraId="33D6D1F4" w14:textId="77777777" w:rsidR="00F8631B" w:rsidRPr="00712F3C" w:rsidRDefault="00F8631B" w:rsidP="00250DAC">
            <w:pPr>
              <w:autoSpaceDE w:val="0"/>
              <w:autoSpaceDN w:val="0"/>
              <w:adjustRightInd w:val="0"/>
              <w:spacing w:after="0" w:line="240" w:lineRule="auto"/>
              <w:jc w:val="both"/>
              <w:rPr>
                <w:rFonts w:ascii="Times New Roman" w:eastAsia="Calibri" w:hAnsi="Times New Roman"/>
                <w:iCs/>
                <w:sz w:val="20"/>
                <w:szCs w:val="20"/>
              </w:rPr>
            </w:pPr>
            <w:r w:rsidRPr="00712F3C">
              <w:rPr>
                <w:rFonts w:ascii="Times New Roman" w:eastAsia="Calibri" w:hAnsi="Times New Roman"/>
                <w:iCs/>
                <w:sz w:val="20"/>
                <w:szCs w:val="20"/>
              </w:rPr>
              <w:t>Unless the context otherwise indicates or implies refers to our Company.</w:t>
            </w:r>
          </w:p>
        </w:tc>
      </w:tr>
      <w:tr w:rsidR="00F8631B" w:rsidRPr="00712F3C" w14:paraId="710A621B" w14:textId="77777777" w:rsidTr="0049413B">
        <w:trPr>
          <w:trHeight w:val="20"/>
        </w:trPr>
        <w:tc>
          <w:tcPr>
            <w:tcW w:w="1356" w:type="pct"/>
            <w:shd w:val="clear" w:color="auto" w:fill="auto"/>
          </w:tcPr>
          <w:p w14:paraId="0C641FC2" w14:textId="77777777" w:rsidR="00F8631B" w:rsidRPr="00712F3C" w:rsidRDefault="00F8631B" w:rsidP="00250DAC">
            <w:pPr>
              <w:autoSpaceDE w:val="0"/>
              <w:autoSpaceDN w:val="0"/>
              <w:adjustRightInd w:val="0"/>
              <w:spacing w:after="0" w:line="240" w:lineRule="auto"/>
              <w:jc w:val="both"/>
              <w:rPr>
                <w:rFonts w:ascii="Times New Roman" w:eastAsia="Calibri" w:hAnsi="Times New Roman"/>
                <w:iCs/>
                <w:sz w:val="20"/>
                <w:szCs w:val="20"/>
              </w:rPr>
            </w:pPr>
            <w:r w:rsidRPr="00712F3C">
              <w:rPr>
                <w:rFonts w:ascii="Times New Roman" w:eastAsia="Calibri" w:hAnsi="Times New Roman"/>
                <w:sz w:val="20"/>
                <w:szCs w:val="20"/>
              </w:rPr>
              <w:t xml:space="preserve">“you”, “your” or “yours” </w:t>
            </w:r>
          </w:p>
        </w:tc>
        <w:tc>
          <w:tcPr>
            <w:tcW w:w="3644" w:type="pct"/>
            <w:shd w:val="clear" w:color="auto" w:fill="auto"/>
          </w:tcPr>
          <w:p w14:paraId="7822FB2A" w14:textId="77777777" w:rsidR="00F8631B" w:rsidRPr="00712F3C" w:rsidRDefault="00F8631B" w:rsidP="00250DAC">
            <w:pPr>
              <w:autoSpaceDE w:val="0"/>
              <w:autoSpaceDN w:val="0"/>
              <w:adjustRightInd w:val="0"/>
              <w:spacing w:after="0" w:line="240" w:lineRule="auto"/>
              <w:jc w:val="both"/>
              <w:rPr>
                <w:rFonts w:ascii="Times New Roman" w:eastAsia="Calibri" w:hAnsi="Times New Roman"/>
                <w:iCs/>
                <w:sz w:val="20"/>
                <w:szCs w:val="20"/>
              </w:rPr>
            </w:pPr>
            <w:r w:rsidRPr="00712F3C">
              <w:rPr>
                <w:rFonts w:ascii="Times New Roman" w:eastAsia="Calibri" w:hAnsi="Times New Roman"/>
                <w:iCs/>
                <w:sz w:val="20"/>
                <w:szCs w:val="20"/>
              </w:rPr>
              <w:t>Prospective investors in this Issue</w:t>
            </w:r>
          </w:p>
        </w:tc>
      </w:tr>
    </w:tbl>
    <w:p w14:paraId="36629CB9" w14:textId="77777777" w:rsidR="00F8631B" w:rsidRPr="00712F3C" w:rsidRDefault="00F8631B" w:rsidP="00F8631B">
      <w:pPr>
        <w:spacing w:after="0" w:line="240" w:lineRule="auto"/>
        <w:ind w:right="18"/>
        <w:jc w:val="both"/>
        <w:rPr>
          <w:rFonts w:ascii="Times New Roman" w:hAnsi="Times New Roman"/>
          <w:i/>
          <w:iCs/>
          <w:sz w:val="20"/>
          <w:szCs w:val="20"/>
        </w:rPr>
      </w:pPr>
    </w:p>
    <w:p w14:paraId="002322E1" w14:textId="77777777" w:rsidR="00F8631B" w:rsidRPr="00712F3C" w:rsidRDefault="00F8631B" w:rsidP="00F8631B">
      <w:pPr>
        <w:autoSpaceDE w:val="0"/>
        <w:autoSpaceDN w:val="0"/>
        <w:adjustRightInd w:val="0"/>
        <w:spacing w:after="0" w:line="240" w:lineRule="auto"/>
        <w:jc w:val="both"/>
        <w:rPr>
          <w:rFonts w:ascii="Times New Roman" w:hAnsi="Times New Roman"/>
          <w:b/>
          <w:iCs/>
          <w:sz w:val="20"/>
          <w:szCs w:val="20"/>
          <w:u w:val="single"/>
        </w:rPr>
      </w:pPr>
      <w:r w:rsidRPr="00712F3C">
        <w:rPr>
          <w:rFonts w:ascii="Times New Roman" w:hAnsi="Times New Roman"/>
          <w:b/>
          <w:iCs/>
          <w:sz w:val="20"/>
          <w:szCs w:val="20"/>
          <w:u w:val="single"/>
        </w:rPr>
        <w:t>Company related and Conventional terms</w:t>
      </w:r>
    </w:p>
    <w:p w14:paraId="5EFDB1A8" w14:textId="77777777" w:rsidR="00F8631B" w:rsidRPr="00712F3C" w:rsidRDefault="00F8631B" w:rsidP="00F8631B">
      <w:pPr>
        <w:pStyle w:val="NormalWeb"/>
        <w:rPr>
          <w:rFonts w:cs="Times New Roman"/>
          <w:sz w:val="20"/>
          <w:szCs w:val="20"/>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857"/>
        <w:gridCol w:w="7594"/>
      </w:tblGrid>
      <w:tr w:rsidR="00F8631B" w:rsidRPr="00712F3C" w14:paraId="38E42FEC" w14:textId="77777777" w:rsidTr="0049413B">
        <w:trPr>
          <w:trHeight w:val="20"/>
          <w:tblHeader/>
        </w:trPr>
        <w:tc>
          <w:tcPr>
            <w:tcW w:w="1367" w:type="pct"/>
            <w:shd w:val="clear" w:color="auto" w:fill="D0CECE" w:themeFill="background2" w:themeFillShade="E6"/>
            <w:hideMark/>
          </w:tcPr>
          <w:p w14:paraId="45956268" w14:textId="77777777" w:rsidR="00F8631B" w:rsidRPr="00712F3C" w:rsidRDefault="00F8631B" w:rsidP="00250DAC">
            <w:pPr>
              <w:autoSpaceDE w:val="0"/>
              <w:autoSpaceDN w:val="0"/>
              <w:adjustRightInd w:val="0"/>
              <w:spacing w:after="0" w:line="240" w:lineRule="auto"/>
              <w:jc w:val="both"/>
              <w:rPr>
                <w:rFonts w:ascii="Times New Roman" w:eastAsia="MS Mincho" w:hAnsi="Times New Roman"/>
                <w:b/>
                <w:iCs/>
                <w:sz w:val="20"/>
                <w:szCs w:val="20"/>
              </w:rPr>
            </w:pPr>
            <w:r w:rsidRPr="00712F3C">
              <w:rPr>
                <w:rFonts w:ascii="Times New Roman" w:eastAsia="MS Mincho" w:hAnsi="Times New Roman"/>
                <w:b/>
                <w:iCs/>
                <w:sz w:val="20"/>
                <w:szCs w:val="20"/>
              </w:rPr>
              <w:t>Term</w:t>
            </w:r>
          </w:p>
        </w:tc>
        <w:tc>
          <w:tcPr>
            <w:tcW w:w="3633" w:type="pct"/>
            <w:shd w:val="clear" w:color="auto" w:fill="D0CECE" w:themeFill="background2" w:themeFillShade="E6"/>
            <w:hideMark/>
          </w:tcPr>
          <w:p w14:paraId="0EED18FC" w14:textId="77777777" w:rsidR="00F8631B" w:rsidRPr="00712F3C" w:rsidRDefault="00F8631B" w:rsidP="00250DAC">
            <w:pPr>
              <w:autoSpaceDE w:val="0"/>
              <w:autoSpaceDN w:val="0"/>
              <w:adjustRightInd w:val="0"/>
              <w:spacing w:after="0" w:line="240" w:lineRule="auto"/>
              <w:jc w:val="both"/>
              <w:rPr>
                <w:rFonts w:ascii="Times New Roman" w:eastAsia="MS Mincho" w:hAnsi="Times New Roman"/>
                <w:b/>
                <w:iCs/>
                <w:sz w:val="20"/>
                <w:szCs w:val="20"/>
              </w:rPr>
            </w:pPr>
            <w:r w:rsidRPr="00712F3C">
              <w:rPr>
                <w:rFonts w:ascii="Times New Roman" w:eastAsia="MS Mincho" w:hAnsi="Times New Roman"/>
                <w:b/>
                <w:iCs/>
                <w:sz w:val="20"/>
                <w:szCs w:val="20"/>
              </w:rPr>
              <w:t>Description</w:t>
            </w:r>
          </w:p>
        </w:tc>
      </w:tr>
      <w:tr w:rsidR="00F8631B" w:rsidRPr="00712F3C" w14:paraId="68E49926" w14:textId="77777777" w:rsidTr="0049413B">
        <w:trPr>
          <w:trHeight w:val="20"/>
        </w:trPr>
        <w:tc>
          <w:tcPr>
            <w:tcW w:w="1367" w:type="pct"/>
            <w:shd w:val="clear" w:color="auto" w:fill="auto"/>
            <w:hideMark/>
          </w:tcPr>
          <w:p w14:paraId="250F494D"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AOA/ Articles/ Articles of Association</w:t>
            </w:r>
          </w:p>
        </w:tc>
        <w:tc>
          <w:tcPr>
            <w:tcW w:w="3633" w:type="pct"/>
            <w:shd w:val="clear" w:color="auto" w:fill="auto"/>
            <w:hideMark/>
          </w:tcPr>
          <w:p w14:paraId="567BDD46"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 xml:space="preserve">Articles of Association of </w:t>
            </w:r>
            <w:r w:rsidRPr="00712F3C">
              <w:rPr>
                <w:rFonts w:ascii="Times New Roman" w:eastAsia="MS Mincho" w:hAnsi="Times New Roman"/>
                <w:sz w:val="20"/>
                <w:szCs w:val="20"/>
                <w:lang w:val="en-IN"/>
              </w:rPr>
              <w:t xml:space="preserve">our Company, </w:t>
            </w:r>
            <w:r w:rsidRPr="00712F3C">
              <w:rPr>
                <w:rFonts w:ascii="Times New Roman" w:eastAsia="MS Mincho" w:hAnsi="Times New Roman"/>
                <w:color w:val="000000"/>
                <w:sz w:val="20"/>
                <w:szCs w:val="20"/>
              </w:rPr>
              <w:t>as amended, from time to time</w:t>
            </w:r>
          </w:p>
        </w:tc>
      </w:tr>
      <w:tr w:rsidR="00F8631B" w:rsidRPr="00712F3C" w14:paraId="1B6781B0" w14:textId="77777777" w:rsidTr="0049413B">
        <w:trPr>
          <w:trHeight w:val="20"/>
        </w:trPr>
        <w:tc>
          <w:tcPr>
            <w:tcW w:w="1367" w:type="pct"/>
            <w:shd w:val="clear" w:color="auto" w:fill="auto"/>
            <w:hideMark/>
          </w:tcPr>
          <w:p w14:paraId="24D43507"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Audit Committee</w:t>
            </w:r>
          </w:p>
        </w:tc>
        <w:tc>
          <w:tcPr>
            <w:tcW w:w="3633" w:type="pct"/>
            <w:shd w:val="clear" w:color="auto" w:fill="auto"/>
            <w:hideMark/>
          </w:tcPr>
          <w:p w14:paraId="7C03086F"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 xml:space="preserve">The Committee of the Board of Directors constituted as the Company’s Audit Committee in accordance with Section 177 of the Companies Act, 2013 </w:t>
            </w:r>
            <w:r w:rsidRPr="00712F3C">
              <w:rPr>
                <w:rFonts w:ascii="Times New Roman" w:eastAsia="MS Mincho" w:hAnsi="Times New Roman"/>
                <w:sz w:val="20"/>
                <w:szCs w:val="20"/>
              </w:rPr>
              <w:t xml:space="preserve">as described in the chapter titled </w:t>
            </w:r>
            <w:r w:rsidRPr="00712F3C">
              <w:rPr>
                <w:rFonts w:ascii="Times New Roman" w:eastAsia="MS Mincho" w:hAnsi="Times New Roman"/>
                <w:b/>
                <w:i/>
                <w:sz w:val="20"/>
                <w:szCs w:val="20"/>
              </w:rPr>
              <w:t>“Our Management”</w:t>
            </w:r>
            <w:r w:rsidRPr="00712F3C">
              <w:rPr>
                <w:rFonts w:ascii="Times New Roman" w:eastAsia="MS Mincho" w:hAnsi="Times New Roman"/>
                <w:sz w:val="20"/>
                <w:szCs w:val="20"/>
              </w:rPr>
              <w:t xml:space="preserve"> beginning on page </w:t>
            </w:r>
            <w:r>
              <w:rPr>
                <w:rFonts w:ascii="Times New Roman" w:eastAsia="MS Mincho" w:hAnsi="Times New Roman"/>
                <w:sz w:val="20"/>
                <w:szCs w:val="20"/>
              </w:rPr>
              <w:t>111</w:t>
            </w:r>
            <w:r w:rsidRPr="00712F3C">
              <w:rPr>
                <w:rFonts w:ascii="Times New Roman" w:eastAsia="MS Mincho" w:hAnsi="Times New Roman"/>
                <w:sz w:val="20"/>
                <w:szCs w:val="20"/>
              </w:rPr>
              <w:t xml:space="preserve"> of this Draft </w:t>
            </w:r>
            <w:r w:rsidRPr="00712F3C">
              <w:rPr>
                <w:rFonts w:ascii="Times New Roman" w:hAnsi="Times New Roman"/>
                <w:iCs/>
                <w:sz w:val="20"/>
                <w:szCs w:val="20"/>
              </w:rPr>
              <w:t>Red Herring</w:t>
            </w:r>
            <w:r w:rsidRPr="00712F3C">
              <w:rPr>
                <w:rFonts w:ascii="Times New Roman" w:hAnsi="Times New Roman"/>
                <w:i/>
                <w:iCs/>
                <w:sz w:val="20"/>
                <w:szCs w:val="20"/>
              </w:rPr>
              <w:t xml:space="preserve"> </w:t>
            </w:r>
            <w:r w:rsidRPr="00712F3C">
              <w:rPr>
                <w:rFonts w:ascii="Times New Roman" w:eastAsia="MS Mincho" w:hAnsi="Times New Roman"/>
                <w:sz w:val="20"/>
                <w:szCs w:val="20"/>
              </w:rPr>
              <w:t xml:space="preserve">Prospectus. </w:t>
            </w:r>
          </w:p>
        </w:tc>
      </w:tr>
      <w:tr w:rsidR="00F8631B" w:rsidRPr="00712F3C" w14:paraId="2DCADA34" w14:textId="77777777" w:rsidTr="0049413B">
        <w:trPr>
          <w:trHeight w:val="20"/>
        </w:trPr>
        <w:tc>
          <w:tcPr>
            <w:tcW w:w="1367" w:type="pct"/>
            <w:shd w:val="clear" w:color="auto" w:fill="auto"/>
            <w:hideMark/>
          </w:tcPr>
          <w:p w14:paraId="6CE6FE0C"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 xml:space="preserve">Auditors/ Statutory Auditors </w:t>
            </w:r>
          </w:p>
        </w:tc>
        <w:tc>
          <w:tcPr>
            <w:tcW w:w="3633" w:type="pct"/>
            <w:shd w:val="clear" w:color="auto" w:fill="auto"/>
            <w:hideMark/>
          </w:tcPr>
          <w:p w14:paraId="74AD0CA4" w14:textId="620A63B1" w:rsidR="00F8631B" w:rsidRPr="00712F3C" w:rsidRDefault="00F8631B" w:rsidP="00250DAC">
            <w:pPr>
              <w:spacing w:after="0" w:line="240" w:lineRule="auto"/>
              <w:jc w:val="both"/>
              <w:rPr>
                <w:rFonts w:ascii="Times New Roman" w:eastAsia="MS Mincho" w:hAnsi="Times New Roman"/>
                <w:bCs/>
                <w:color w:val="000000"/>
                <w:sz w:val="20"/>
                <w:szCs w:val="20"/>
              </w:rPr>
            </w:pPr>
            <w:r w:rsidRPr="00712F3C">
              <w:rPr>
                <w:rFonts w:ascii="Times New Roman" w:eastAsia="MS Mincho" w:hAnsi="Times New Roman"/>
                <w:color w:val="000000"/>
                <w:sz w:val="20"/>
                <w:szCs w:val="20"/>
              </w:rPr>
              <w:t xml:space="preserve">The Statutory Auditors of our Company being </w:t>
            </w:r>
            <w:r w:rsidRPr="00712F3C">
              <w:rPr>
                <w:rFonts w:ascii="Times New Roman" w:eastAsia="MS Mincho" w:hAnsi="Times New Roman"/>
                <w:bCs/>
                <w:color w:val="000000"/>
                <w:sz w:val="20"/>
                <w:szCs w:val="20"/>
              </w:rPr>
              <w:t>M/s.</w:t>
            </w:r>
            <w:r w:rsidRPr="00712F3C">
              <w:rPr>
                <w:rFonts w:ascii="Times New Roman" w:hAnsi="Times New Roman"/>
                <w:sz w:val="20"/>
                <w:szCs w:val="20"/>
              </w:rPr>
              <w:t xml:space="preserve"> </w:t>
            </w:r>
            <w:r w:rsidR="0043750B" w:rsidRPr="0043750B">
              <w:rPr>
                <w:rFonts w:ascii="Times New Roman" w:eastAsia="MS Mincho" w:hAnsi="Times New Roman"/>
                <w:bCs/>
                <w:color w:val="000000"/>
                <w:sz w:val="20"/>
                <w:szCs w:val="20"/>
              </w:rPr>
              <w:t>Kamlesh Rathod &amp; Associate</w:t>
            </w:r>
            <w:r w:rsidR="0043750B">
              <w:rPr>
                <w:rFonts w:ascii="Times New Roman" w:eastAsia="MS Mincho" w:hAnsi="Times New Roman"/>
                <w:bCs/>
                <w:color w:val="000000"/>
                <w:sz w:val="20"/>
                <w:szCs w:val="20"/>
              </w:rPr>
              <w:t>s</w:t>
            </w:r>
            <w:r w:rsidRPr="00712F3C">
              <w:rPr>
                <w:rFonts w:ascii="Times New Roman" w:eastAsia="MS Mincho" w:hAnsi="Times New Roman"/>
                <w:bCs/>
                <w:color w:val="000000"/>
                <w:sz w:val="20"/>
                <w:szCs w:val="20"/>
              </w:rPr>
              <w:t xml:space="preserve">, (Firm Registration No. as </w:t>
            </w:r>
            <w:r w:rsidR="0043750B" w:rsidRPr="0043750B">
              <w:rPr>
                <w:rFonts w:ascii="Times New Roman" w:eastAsia="MS Mincho" w:hAnsi="Times New Roman"/>
                <w:bCs/>
                <w:color w:val="000000"/>
                <w:sz w:val="20"/>
                <w:szCs w:val="20"/>
              </w:rPr>
              <w:t>117930W</w:t>
            </w:r>
            <w:r w:rsidRPr="00712F3C">
              <w:rPr>
                <w:rFonts w:ascii="Times New Roman" w:eastAsia="MS Mincho" w:hAnsi="Times New Roman"/>
                <w:bCs/>
                <w:color w:val="000000"/>
                <w:sz w:val="20"/>
                <w:szCs w:val="20"/>
              </w:rPr>
              <w:t>).</w:t>
            </w:r>
          </w:p>
        </w:tc>
      </w:tr>
      <w:tr w:rsidR="00F8631B" w:rsidRPr="00712F3C" w14:paraId="00BC5A01" w14:textId="77777777" w:rsidTr="0049413B">
        <w:trPr>
          <w:trHeight w:val="20"/>
        </w:trPr>
        <w:tc>
          <w:tcPr>
            <w:tcW w:w="1367" w:type="pct"/>
            <w:shd w:val="clear" w:color="auto" w:fill="auto"/>
            <w:hideMark/>
          </w:tcPr>
          <w:p w14:paraId="5A21C2A6"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Bankers to our Company</w:t>
            </w:r>
          </w:p>
        </w:tc>
        <w:tc>
          <w:tcPr>
            <w:tcW w:w="3633" w:type="pct"/>
            <w:shd w:val="clear" w:color="auto" w:fill="auto"/>
            <w:hideMark/>
          </w:tcPr>
          <w:p w14:paraId="5C353843"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 xml:space="preserve">State Bank of India </w:t>
            </w:r>
          </w:p>
        </w:tc>
      </w:tr>
      <w:tr w:rsidR="00F8631B" w:rsidRPr="00712F3C" w14:paraId="4B6D14AA" w14:textId="77777777" w:rsidTr="0049413B">
        <w:trPr>
          <w:trHeight w:val="20"/>
        </w:trPr>
        <w:tc>
          <w:tcPr>
            <w:tcW w:w="1367" w:type="pct"/>
            <w:shd w:val="clear" w:color="auto" w:fill="auto"/>
            <w:hideMark/>
          </w:tcPr>
          <w:p w14:paraId="54D58EE9"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Board of Directors/ the Board/ our Board</w:t>
            </w:r>
          </w:p>
        </w:tc>
        <w:tc>
          <w:tcPr>
            <w:tcW w:w="3633" w:type="pct"/>
            <w:shd w:val="clear" w:color="auto" w:fill="auto"/>
            <w:hideMark/>
          </w:tcPr>
          <w:p w14:paraId="1FD8637A"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 xml:space="preserve">The Board of Directors of our Company, including all duly constituted Committees thereof. For further details of our Directors, please refer to section titled </w:t>
            </w:r>
            <w:r w:rsidRPr="00712F3C">
              <w:rPr>
                <w:rFonts w:ascii="Times New Roman" w:eastAsia="MS Mincho" w:hAnsi="Times New Roman"/>
                <w:b/>
                <w:bCs/>
                <w:i/>
                <w:iCs/>
                <w:color w:val="000000"/>
                <w:sz w:val="20"/>
                <w:szCs w:val="20"/>
              </w:rPr>
              <w:t>“Our Management”</w:t>
            </w:r>
            <w:r w:rsidRPr="00712F3C">
              <w:rPr>
                <w:rFonts w:ascii="Times New Roman" w:eastAsia="MS Mincho" w:hAnsi="Times New Roman"/>
                <w:color w:val="000000"/>
                <w:sz w:val="20"/>
                <w:szCs w:val="20"/>
              </w:rPr>
              <w:t xml:space="preserve"> beginning on page </w:t>
            </w:r>
            <w:r>
              <w:rPr>
                <w:rFonts w:ascii="Times New Roman" w:eastAsia="MS Mincho" w:hAnsi="Times New Roman"/>
                <w:color w:val="000000"/>
                <w:sz w:val="20"/>
                <w:szCs w:val="20"/>
              </w:rPr>
              <w:t>111</w:t>
            </w:r>
            <w:r w:rsidRPr="00712F3C">
              <w:rPr>
                <w:rFonts w:ascii="Times New Roman" w:eastAsia="MS Mincho" w:hAnsi="Times New Roman"/>
                <w:color w:val="000000"/>
                <w:sz w:val="20"/>
                <w:szCs w:val="20"/>
              </w:rPr>
              <w:t xml:space="preserve"> of this Draft </w:t>
            </w:r>
            <w:r w:rsidRPr="00712F3C">
              <w:rPr>
                <w:rFonts w:ascii="Times New Roman" w:hAnsi="Times New Roman"/>
                <w:iCs/>
                <w:sz w:val="20"/>
                <w:szCs w:val="20"/>
              </w:rPr>
              <w:t>Red Herring</w:t>
            </w:r>
            <w:r w:rsidRPr="00712F3C">
              <w:rPr>
                <w:rFonts w:ascii="Times New Roman" w:eastAsia="MS Mincho" w:hAnsi="Times New Roman"/>
                <w:color w:val="000000"/>
                <w:sz w:val="20"/>
                <w:szCs w:val="20"/>
              </w:rPr>
              <w:t xml:space="preserve"> Prospectus. </w:t>
            </w:r>
          </w:p>
        </w:tc>
      </w:tr>
      <w:tr w:rsidR="00F8631B" w:rsidRPr="00712F3C" w14:paraId="6DDEF53C" w14:textId="77777777" w:rsidTr="0049413B">
        <w:trPr>
          <w:trHeight w:val="20"/>
        </w:trPr>
        <w:tc>
          <w:tcPr>
            <w:tcW w:w="1367" w:type="pct"/>
            <w:shd w:val="clear" w:color="auto" w:fill="auto"/>
            <w:hideMark/>
          </w:tcPr>
          <w:p w14:paraId="32BE9354"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 xml:space="preserve">Chief Financial Officer/ CFO </w:t>
            </w:r>
          </w:p>
        </w:tc>
        <w:tc>
          <w:tcPr>
            <w:tcW w:w="3633" w:type="pct"/>
            <w:shd w:val="clear" w:color="auto" w:fill="auto"/>
            <w:hideMark/>
          </w:tcPr>
          <w:p w14:paraId="5426C1A0" w14:textId="2AFD3DA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 xml:space="preserve">The Chief Financial Officer of our Company being </w:t>
            </w:r>
            <w:r w:rsidR="0043750B" w:rsidRPr="0043750B">
              <w:rPr>
                <w:rFonts w:ascii="Times New Roman" w:eastAsia="MS Mincho" w:hAnsi="Times New Roman"/>
                <w:color w:val="000000"/>
                <w:sz w:val="20"/>
                <w:szCs w:val="20"/>
              </w:rPr>
              <w:t>Megha Bhavesh Maheshwari</w:t>
            </w:r>
          </w:p>
        </w:tc>
      </w:tr>
      <w:tr w:rsidR="00F8631B" w:rsidRPr="00712F3C" w14:paraId="135EA3DB" w14:textId="77777777" w:rsidTr="0049413B">
        <w:trPr>
          <w:trHeight w:val="20"/>
        </w:trPr>
        <w:tc>
          <w:tcPr>
            <w:tcW w:w="1367" w:type="pct"/>
            <w:shd w:val="clear" w:color="auto" w:fill="auto"/>
            <w:hideMark/>
          </w:tcPr>
          <w:p w14:paraId="1D72DE08"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Companies Act/ Act</w:t>
            </w:r>
          </w:p>
        </w:tc>
        <w:tc>
          <w:tcPr>
            <w:tcW w:w="3633" w:type="pct"/>
            <w:shd w:val="clear" w:color="auto" w:fill="auto"/>
            <w:hideMark/>
          </w:tcPr>
          <w:p w14:paraId="5ABCADA6"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The Companies Act, 2013 and amendments thereto and erstwhile Companies Act 1956 as applicable</w:t>
            </w:r>
          </w:p>
        </w:tc>
      </w:tr>
      <w:tr w:rsidR="00F8631B" w:rsidRPr="00712F3C" w14:paraId="7CF3E089" w14:textId="77777777" w:rsidTr="0049413B">
        <w:trPr>
          <w:trHeight w:val="20"/>
        </w:trPr>
        <w:tc>
          <w:tcPr>
            <w:tcW w:w="1367" w:type="pct"/>
            <w:shd w:val="clear" w:color="auto" w:fill="auto"/>
            <w:hideMark/>
          </w:tcPr>
          <w:p w14:paraId="30C0C746"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Company Secretary and Compliance Officer</w:t>
            </w:r>
          </w:p>
        </w:tc>
        <w:tc>
          <w:tcPr>
            <w:tcW w:w="3633" w:type="pct"/>
            <w:shd w:val="clear" w:color="auto" w:fill="auto"/>
            <w:hideMark/>
          </w:tcPr>
          <w:p w14:paraId="6EA9A38A" w14:textId="6DB807C2"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 xml:space="preserve">The Company Secretary &amp; Compliance Officer of our Company being </w:t>
            </w:r>
            <w:r w:rsidR="0043750B" w:rsidRPr="0043750B">
              <w:rPr>
                <w:rFonts w:ascii="Times New Roman" w:eastAsia="MS Mincho" w:hAnsi="Times New Roman"/>
                <w:color w:val="000000"/>
                <w:sz w:val="20"/>
                <w:szCs w:val="20"/>
              </w:rPr>
              <w:t xml:space="preserve">Kiran Parmanand Goklani </w:t>
            </w:r>
            <w:r w:rsidRPr="00712F3C">
              <w:rPr>
                <w:rFonts w:ascii="Times New Roman" w:eastAsia="MS Mincho" w:hAnsi="Times New Roman"/>
                <w:color w:val="000000"/>
                <w:sz w:val="20"/>
                <w:szCs w:val="20"/>
              </w:rPr>
              <w:t xml:space="preserve">(M. No.: </w:t>
            </w:r>
            <w:r w:rsidR="0043750B" w:rsidRPr="0043750B">
              <w:rPr>
                <w:rFonts w:ascii="Times New Roman" w:eastAsia="MS Mincho" w:hAnsi="Times New Roman"/>
                <w:color w:val="000000"/>
                <w:sz w:val="20"/>
                <w:szCs w:val="20"/>
              </w:rPr>
              <w:t>A48453</w:t>
            </w:r>
            <w:r w:rsidRPr="00712F3C">
              <w:rPr>
                <w:rFonts w:ascii="Times New Roman" w:eastAsia="MS Mincho" w:hAnsi="Times New Roman"/>
                <w:color w:val="000000"/>
                <w:sz w:val="20"/>
                <w:szCs w:val="20"/>
              </w:rPr>
              <w:t xml:space="preserve">) </w:t>
            </w:r>
          </w:p>
        </w:tc>
      </w:tr>
      <w:tr w:rsidR="00F8631B" w:rsidRPr="00712F3C" w14:paraId="7B332310" w14:textId="77777777" w:rsidTr="0049413B">
        <w:trPr>
          <w:trHeight w:val="20"/>
        </w:trPr>
        <w:tc>
          <w:tcPr>
            <w:tcW w:w="1367" w:type="pct"/>
            <w:shd w:val="clear" w:color="auto" w:fill="auto"/>
            <w:hideMark/>
          </w:tcPr>
          <w:p w14:paraId="32F9EE44"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Depositories</w:t>
            </w:r>
          </w:p>
        </w:tc>
        <w:tc>
          <w:tcPr>
            <w:tcW w:w="3633" w:type="pct"/>
            <w:shd w:val="clear" w:color="auto" w:fill="auto"/>
            <w:hideMark/>
          </w:tcPr>
          <w:p w14:paraId="39368257"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National Securities Depository Limited (NSDL) and Central Depository Services (India) Limited (CDSL).</w:t>
            </w:r>
          </w:p>
        </w:tc>
      </w:tr>
      <w:tr w:rsidR="00F8631B" w:rsidRPr="00712F3C" w14:paraId="41823DFB" w14:textId="77777777" w:rsidTr="0049413B">
        <w:trPr>
          <w:trHeight w:val="20"/>
        </w:trPr>
        <w:tc>
          <w:tcPr>
            <w:tcW w:w="1367" w:type="pct"/>
            <w:shd w:val="clear" w:color="auto" w:fill="auto"/>
            <w:hideMark/>
          </w:tcPr>
          <w:p w14:paraId="73D50662"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Depositories Act</w:t>
            </w:r>
          </w:p>
        </w:tc>
        <w:tc>
          <w:tcPr>
            <w:tcW w:w="3633" w:type="pct"/>
            <w:shd w:val="clear" w:color="auto" w:fill="auto"/>
            <w:hideMark/>
          </w:tcPr>
          <w:p w14:paraId="4E62DB41"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The Depositories Act, 1996, as amended from time to time.</w:t>
            </w:r>
          </w:p>
        </w:tc>
      </w:tr>
      <w:tr w:rsidR="00F8631B" w:rsidRPr="00712F3C" w14:paraId="78F8FB88" w14:textId="77777777" w:rsidTr="0049413B">
        <w:trPr>
          <w:trHeight w:val="20"/>
        </w:trPr>
        <w:tc>
          <w:tcPr>
            <w:tcW w:w="1367" w:type="pct"/>
            <w:shd w:val="clear" w:color="auto" w:fill="auto"/>
            <w:hideMark/>
          </w:tcPr>
          <w:p w14:paraId="3C909934"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Director(s) / our Directors</w:t>
            </w:r>
          </w:p>
        </w:tc>
        <w:tc>
          <w:tcPr>
            <w:tcW w:w="3633" w:type="pct"/>
            <w:shd w:val="clear" w:color="auto" w:fill="auto"/>
            <w:hideMark/>
          </w:tcPr>
          <w:p w14:paraId="125243A0"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The Director(s) of our Company, unless otherwise specified</w:t>
            </w:r>
          </w:p>
        </w:tc>
      </w:tr>
      <w:tr w:rsidR="00F8631B" w:rsidRPr="00712F3C" w14:paraId="328199F3" w14:textId="77777777" w:rsidTr="0049413B">
        <w:trPr>
          <w:trHeight w:val="20"/>
        </w:trPr>
        <w:tc>
          <w:tcPr>
            <w:tcW w:w="1367" w:type="pct"/>
            <w:shd w:val="clear" w:color="auto" w:fill="auto"/>
            <w:hideMark/>
          </w:tcPr>
          <w:p w14:paraId="02D68945"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DP/ Depository Participant</w:t>
            </w:r>
          </w:p>
        </w:tc>
        <w:tc>
          <w:tcPr>
            <w:tcW w:w="3633" w:type="pct"/>
            <w:shd w:val="clear" w:color="auto" w:fill="auto"/>
            <w:hideMark/>
          </w:tcPr>
          <w:p w14:paraId="7B5CCF17"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A depository participant as defined under the Depositories Act</w:t>
            </w:r>
          </w:p>
        </w:tc>
      </w:tr>
      <w:tr w:rsidR="00F8631B" w:rsidRPr="00712F3C" w14:paraId="726D0649" w14:textId="77777777" w:rsidTr="0049413B">
        <w:trPr>
          <w:trHeight w:val="20"/>
        </w:trPr>
        <w:tc>
          <w:tcPr>
            <w:tcW w:w="1367" w:type="pct"/>
            <w:shd w:val="clear" w:color="auto" w:fill="auto"/>
            <w:hideMark/>
          </w:tcPr>
          <w:p w14:paraId="30FBBBBF"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DP ID</w:t>
            </w:r>
          </w:p>
        </w:tc>
        <w:tc>
          <w:tcPr>
            <w:tcW w:w="3633" w:type="pct"/>
            <w:shd w:val="clear" w:color="auto" w:fill="auto"/>
            <w:hideMark/>
          </w:tcPr>
          <w:p w14:paraId="445E5844"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Depository’s Participant’s Identity Number</w:t>
            </w:r>
          </w:p>
        </w:tc>
      </w:tr>
      <w:tr w:rsidR="00F8631B" w:rsidRPr="00712F3C" w14:paraId="7DC38A73" w14:textId="77777777" w:rsidTr="0049413B">
        <w:trPr>
          <w:trHeight w:val="20"/>
        </w:trPr>
        <w:tc>
          <w:tcPr>
            <w:tcW w:w="1367" w:type="pct"/>
            <w:shd w:val="clear" w:color="auto" w:fill="auto"/>
          </w:tcPr>
          <w:p w14:paraId="5B9719B3"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Equity Shareholders/ Shareholders</w:t>
            </w:r>
          </w:p>
        </w:tc>
        <w:tc>
          <w:tcPr>
            <w:tcW w:w="3633" w:type="pct"/>
            <w:shd w:val="clear" w:color="auto" w:fill="auto"/>
          </w:tcPr>
          <w:p w14:paraId="4EC1D98B"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Persons/ Entities holding Equity Shares of our Company</w:t>
            </w:r>
          </w:p>
        </w:tc>
      </w:tr>
      <w:tr w:rsidR="00F8631B" w:rsidRPr="00712F3C" w14:paraId="0AD09F6B" w14:textId="77777777" w:rsidTr="0049413B">
        <w:trPr>
          <w:trHeight w:val="20"/>
        </w:trPr>
        <w:tc>
          <w:tcPr>
            <w:tcW w:w="1367" w:type="pct"/>
            <w:shd w:val="clear" w:color="auto" w:fill="auto"/>
            <w:hideMark/>
          </w:tcPr>
          <w:p w14:paraId="51A35FA1"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Equity Shares</w:t>
            </w:r>
          </w:p>
        </w:tc>
        <w:tc>
          <w:tcPr>
            <w:tcW w:w="3633" w:type="pct"/>
            <w:shd w:val="clear" w:color="auto" w:fill="auto"/>
            <w:hideMark/>
          </w:tcPr>
          <w:p w14:paraId="03987517"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Equity Shares of the Company of Face Value of ₹ 10/- each unless otherwise specified in the context thereof.</w:t>
            </w:r>
          </w:p>
        </w:tc>
      </w:tr>
      <w:tr w:rsidR="00F8631B" w:rsidRPr="00712F3C" w14:paraId="45A2E1B0" w14:textId="77777777" w:rsidTr="0049413B">
        <w:trPr>
          <w:trHeight w:val="20"/>
        </w:trPr>
        <w:tc>
          <w:tcPr>
            <w:tcW w:w="1367" w:type="pct"/>
            <w:shd w:val="clear" w:color="auto" w:fill="auto"/>
            <w:hideMark/>
          </w:tcPr>
          <w:p w14:paraId="008077DC"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 xml:space="preserve">Executive Directors </w:t>
            </w:r>
          </w:p>
        </w:tc>
        <w:tc>
          <w:tcPr>
            <w:tcW w:w="3633" w:type="pct"/>
            <w:shd w:val="clear" w:color="auto" w:fill="auto"/>
            <w:hideMark/>
          </w:tcPr>
          <w:p w14:paraId="5B82D7EF"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Executive Directors are the Managing Director &amp; Whole-time Directors of our Company.</w:t>
            </w:r>
          </w:p>
        </w:tc>
      </w:tr>
      <w:tr w:rsidR="00F8631B" w:rsidRPr="00712F3C" w14:paraId="79785D06" w14:textId="77777777" w:rsidTr="0049413B">
        <w:trPr>
          <w:trHeight w:val="20"/>
        </w:trPr>
        <w:tc>
          <w:tcPr>
            <w:tcW w:w="1367" w:type="pct"/>
            <w:shd w:val="clear" w:color="auto" w:fill="auto"/>
            <w:hideMark/>
          </w:tcPr>
          <w:p w14:paraId="14B8F787"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sz w:val="20"/>
                <w:szCs w:val="20"/>
              </w:rPr>
              <w:t xml:space="preserve">Fugitive economic offender </w:t>
            </w:r>
          </w:p>
        </w:tc>
        <w:tc>
          <w:tcPr>
            <w:tcW w:w="3633" w:type="pct"/>
            <w:shd w:val="clear" w:color="auto" w:fill="auto"/>
            <w:hideMark/>
          </w:tcPr>
          <w:p w14:paraId="16FCC0AD"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sz w:val="20"/>
                <w:szCs w:val="20"/>
              </w:rPr>
              <w:t>Shall mean an individual who is declared a fugitive economic offender under section 12 of the Fugitive Economic Offenders Act, 2018 (17 of 2018)</w:t>
            </w:r>
          </w:p>
        </w:tc>
      </w:tr>
      <w:tr w:rsidR="00F8631B" w:rsidRPr="00712F3C" w14:paraId="7818EC0A" w14:textId="77777777" w:rsidTr="0049413B">
        <w:trPr>
          <w:trHeight w:val="20"/>
        </w:trPr>
        <w:tc>
          <w:tcPr>
            <w:tcW w:w="1367" w:type="pct"/>
            <w:shd w:val="clear" w:color="auto" w:fill="auto"/>
            <w:hideMark/>
          </w:tcPr>
          <w:p w14:paraId="1995A784"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lastRenderedPageBreak/>
              <w:t>Independent Director</w:t>
            </w:r>
          </w:p>
        </w:tc>
        <w:tc>
          <w:tcPr>
            <w:tcW w:w="3633" w:type="pct"/>
            <w:shd w:val="clear" w:color="auto" w:fill="auto"/>
            <w:hideMark/>
          </w:tcPr>
          <w:p w14:paraId="1D484201"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 xml:space="preserve">An Independent Director as defined under Section 2(47) of the Companies Act, 2013 and as defined under the Listing Regulations. </w:t>
            </w:r>
            <w:r w:rsidRPr="00712F3C">
              <w:rPr>
                <w:rFonts w:ascii="Times New Roman" w:eastAsia="MS Mincho" w:hAnsi="Times New Roman"/>
                <w:sz w:val="20"/>
                <w:szCs w:val="20"/>
              </w:rPr>
              <w:t xml:space="preserve">For details of our Independent Directors, see </w:t>
            </w:r>
            <w:r w:rsidRPr="00712F3C">
              <w:rPr>
                <w:rFonts w:ascii="Times New Roman" w:eastAsia="MS Mincho" w:hAnsi="Times New Roman"/>
                <w:b/>
                <w:i/>
                <w:sz w:val="20"/>
                <w:szCs w:val="20"/>
              </w:rPr>
              <w:t>“Our Management”</w:t>
            </w:r>
            <w:r w:rsidRPr="00712F3C">
              <w:rPr>
                <w:rFonts w:ascii="Times New Roman" w:eastAsia="MS Mincho" w:hAnsi="Times New Roman"/>
                <w:sz w:val="20"/>
                <w:szCs w:val="20"/>
              </w:rPr>
              <w:t xml:space="preserve"> on page </w:t>
            </w:r>
            <w:r>
              <w:rPr>
                <w:rFonts w:ascii="Times New Roman" w:eastAsia="MS Mincho" w:hAnsi="Times New Roman"/>
                <w:sz w:val="20"/>
                <w:szCs w:val="20"/>
              </w:rPr>
              <w:t>111</w:t>
            </w:r>
            <w:r w:rsidRPr="00712F3C">
              <w:rPr>
                <w:rFonts w:ascii="Times New Roman" w:eastAsia="MS Mincho" w:hAnsi="Times New Roman"/>
                <w:color w:val="000000"/>
                <w:sz w:val="20"/>
                <w:szCs w:val="20"/>
              </w:rPr>
              <w:t xml:space="preserve"> </w:t>
            </w:r>
            <w:r w:rsidRPr="00712F3C">
              <w:rPr>
                <w:rFonts w:ascii="Times New Roman" w:eastAsia="MS Mincho" w:hAnsi="Times New Roman"/>
                <w:sz w:val="20"/>
                <w:szCs w:val="20"/>
              </w:rPr>
              <w:t xml:space="preserve">of this Draft </w:t>
            </w:r>
            <w:r w:rsidRPr="00712F3C">
              <w:rPr>
                <w:rFonts w:ascii="Times New Roman" w:hAnsi="Times New Roman"/>
                <w:iCs/>
                <w:sz w:val="20"/>
                <w:szCs w:val="20"/>
              </w:rPr>
              <w:t>Red Herring</w:t>
            </w:r>
            <w:r w:rsidRPr="00712F3C">
              <w:rPr>
                <w:rFonts w:ascii="Times New Roman" w:eastAsia="MS Mincho" w:hAnsi="Times New Roman"/>
                <w:sz w:val="20"/>
                <w:szCs w:val="20"/>
              </w:rPr>
              <w:t xml:space="preserve"> Prospectus. </w:t>
            </w:r>
          </w:p>
        </w:tc>
      </w:tr>
      <w:tr w:rsidR="00F8631B" w:rsidRPr="00712F3C" w14:paraId="6BAA683C" w14:textId="77777777" w:rsidTr="0049413B">
        <w:trPr>
          <w:trHeight w:val="20"/>
        </w:trPr>
        <w:tc>
          <w:tcPr>
            <w:tcW w:w="1367" w:type="pct"/>
            <w:shd w:val="clear" w:color="auto" w:fill="auto"/>
            <w:hideMark/>
          </w:tcPr>
          <w:p w14:paraId="6F242701"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ISIN</w:t>
            </w:r>
          </w:p>
        </w:tc>
        <w:tc>
          <w:tcPr>
            <w:tcW w:w="3633" w:type="pct"/>
            <w:shd w:val="clear" w:color="auto" w:fill="auto"/>
            <w:hideMark/>
          </w:tcPr>
          <w:p w14:paraId="58F93671" w14:textId="5BF5D15F"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 xml:space="preserve">International Securities Identification Number. In this case being </w:t>
            </w:r>
            <w:r w:rsidR="0043750B" w:rsidRPr="0043750B">
              <w:rPr>
                <w:rFonts w:ascii="Times New Roman" w:eastAsia="MS Mincho" w:hAnsi="Times New Roman"/>
                <w:color w:val="000000"/>
                <w:sz w:val="20"/>
                <w:szCs w:val="20"/>
              </w:rPr>
              <w:t>INE0QSK01017</w:t>
            </w:r>
          </w:p>
        </w:tc>
      </w:tr>
      <w:tr w:rsidR="00F8631B" w:rsidRPr="00712F3C" w14:paraId="4A2D01B4" w14:textId="77777777" w:rsidTr="0049413B">
        <w:trPr>
          <w:trHeight w:val="20"/>
        </w:trPr>
        <w:tc>
          <w:tcPr>
            <w:tcW w:w="1367" w:type="pct"/>
            <w:shd w:val="clear" w:color="auto" w:fill="auto"/>
            <w:hideMark/>
          </w:tcPr>
          <w:p w14:paraId="036DC82D"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Key Management Personnel/ KMP</w:t>
            </w:r>
          </w:p>
        </w:tc>
        <w:tc>
          <w:tcPr>
            <w:tcW w:w="3633" w:type="pct"/>
            <w:shd w:val="clear" w:color="auto" w:fill="auto"/>
            <w:hideMark/>
          </w:tcPr>
          <w:p w14:paraId="25A51BEC"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 xml:space="preserve">Key Management Personnel of our Company in terms of </w:t>
            </w:r>
            <w:r w:rsidRPr="00712F3C">
              <w:rPr>
                <w:rFonts w:ascii="Times New Roman" w:eastAsia="MS Mincho" w:hAnsi="Times New Roman"/>
                <w:sz w:val="20"/>
                <w:szCs w:val="20"/>
              </w:rPr>
              <w:t xml:space="preserve">Regulation 2(1)(bb) of </w:t>
            </w:r>
            <w:r w:rsidRPr="00712F3C">
              <w:rPr>
                <w:rFonts w:ascii="Times New Roman" w:eastAsia="MS Mincho" w:hAnsi="Times New Roman"/>
                <w:color w:val="000000"/>
                <w:sz w:val="20"/>
                <w:szCs w:val="20"/>
              </w:rPr>
              <w:t xml:space="preserve">the SEBI Regulations and the Companies Act, 2013. For details, see section titled </w:t>
            </w:r>
            <w:r w:rsidRPr="00712F3C">
              <w:rPr>
                <w:rFonts w:ascii="Times New Roman" w:eastAsia="MS Mincho" w:hAnsi="Times New Roman"/>
                <w:b/>
                <w:bCs/>
                <w:i/>
                <w:iCs/>
                <w:color w:val="000000"/>
                <w:sz w:val="20"/>
                <w:szCs w:val="20"/>
              </w:rPr>
              <w:t>“Our Management”</w:t>
            </w:r>
            <w:r w:rsidRPr="00712F3C">
              <w:rPr>
                <w:rFonts w:ascii="Times New Roman" w:eastAsia="MS Mincho" w:hAnsi="Times New Roman"/>
                <w:color w:val="000000"/>
                <w:sz w:val="20"/>
                <w:szCs w:val="20"/>
              </w:rPr>
              <w:t xml:space="preserve"> on page </w:t>
            </w:r>
            <w:r>
              <w:rPr>
                <w:rFonts w:ascii="Times New Roman" w:eastAsia="MS Mincho" w:hAnsi="Times New Roman"/>
                <w:color w:val="000000"/>
                <w:sz w:val="20"/>
                <w:szCs w:val="20"/>
              </w:rPr>
              <w:t>111</w:t>
            </w:r>
            <w:r w:rsidRPr="00712F3C">
              <w:rPr>
                <w:rFonts w:ascii="Times New Roman" w:eastAsia="MS Mincho" w:hAnsi="Times New Roman"/>
                <w:color w:val="000000"/>
                <w:sz w:val="20"/>
                <w:szCs w:val="20"/>
              </w:rPr>
              <w:t xml:space="preserve"> of this Draft </w:t>
            </w:r>
            <w:r w:rsidRPr="00712F3C">
              <w:rPr>
                <w:rFonts w:ascii="Times New Roman" w:hAnsi="Times New Roman"/>
                <w:iCs/>
                <w:sz w:val="20"/>
                <w:szCs w:val="20"/>
              </w:rPr>
              <w:t>Red Herring</w:t>
            </w:r>
            <w:r w:rsidRPr="00712F3C">
              <w:rPr>
                <w:rFonts w:ascii="Times New Roman" w:eastAsia="MS Mincho" w:hAnsi="Times New Roman"/>
                <w:color w:val="000000"/>
                <w:sz w:val="20"/>
                <w:szCs w:val="20"/>
              </w:rPr>
              <w:t xml:space="preserve"> Prospectus.</w:t>
            </w:r>
          </w:p>
        </w:tc>
      </w:tr>
      <w:tr w:rsidR="00F8631B" w:rsidRPr="00712F3C" w14:paraId="6EF9D74A" w14:textId="77777777" w:rsidTr="0049413B">
        <w:trPr>
          <w:trHeight w:val="20"/>
        </w:trPr>
        <w:tc>
          <w:tcPr>
            <w:tcW w:w="1367" w:type="pct"/>
            <w:shd w:val="clear" w:color="auto" w:fill="auto"/>
            <w:hideMark/>
          </w:tcPr>
          <w:p w14:paraId="3BA72F7B"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LLP</w:t>
            </w:r>
          </w:p>
        </w:tc>
        <w:tc>
          <w:tcPr>
            <w:tcW w:w="3633" w:type="pct"/>
            <w:shd w:val="clear" w:color="auto" w:fill="auto"/>
            <w:hideMark/>
          </w:tcPr>
          <w:p w14:paraId="17D55A67"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Limited Liability Partnership</w:t>
            </w:r>
          </w:p>
        </w:tc>
      </w:tr>
      <w:tr w:rsidR="00F8631B" w:rsidRPr="00712F3C" w14:paraId="4DB0124E" w14:textId="77777777" w:rsidTr="0049413B">
        <w:trPr>
          <w:trHeight w:val="20"/>
        </w:trPr>
        <w:tc>
          <w:tcPr>
            <w:tcW w:w="1367" w:type="pct"/>
            <w:shd w:val="clear" w:color="auto" w:fill="auto"/>
            <w:hideMark/>
          </w:tcPr>
          <w:p w14:paraId="01C522BB"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MOA/ Memorandum/ Memorandum of Association</w:t>
            </w:r>
          </w:p>
        </w:tc>
        <w:tc>
          <w:tcPr>
            <w:tcW w:w="3633" w:type="pct"/>
            <w:shd w:val="clear" w:color="auto" w:fill="auto"/>
            <w:hideMark/>
          </w:tcPr>
          <w:p w14:paraId="02D20254" w14:textId="2A0F759A"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 xml:space="preserve">Memorandum of Association of </w:t>
            </w:r>
            <w:r w:rsidR="0043750B">
              <w:rPr>
                <w:rFonts w:ascii="Times New Roman" w:hAnsi="Times New Roman"/>
                <w:sz w:val="20"/>
                <w:szCs w:val="20"/>
                <w:lang w:val="en-IN"/>
              </w:rPr>
              <w:t xml:space="preserve">Siyaram Recycling Industries </w:t>
            </w:r>
            <w:r w:rsidR="0043750B" w:rsidRPr="00712F3C">
              <w:rPr>
                <w:rFonts w:ascii="Times New Roman" w:hAnsi="Times New Roman"/>
                <w:sz w:val="20"/>
                <w:szCs w:val="20"/>
                <w:lang w:val="en-IN"/>
              </w:rPr>
              <w:t>Limited</w:t>
            </w:r>
            <w:r w:rsidR="0043750B">
              <w:rPr>
                <w:rFonts w:ascii="Times New Roman" w:hAnsi="Times New Roman"/>
                <w:sz w:val="20"/>
                <w:szCs w:val="20"/>
                <w:lang w:val="en-IN"/>
              </w:rPr>
              <w:t xml:space="preserve"> </w:t>
            </w:r>
            <w:r w:rsidR="0043750B" w:rsidRPr="002D256D">
              <w:rPr>
                <w:rFonts w:ascii="Times New Roman" w:hAnsi="Times New Roman"/>
                <w:i/>
                <w:iCs/>
                <w:sz w:val="20"/>
                <w:szCs w:val="20"/>
                <w:lang w:val="en-IN"/>
              </w:rPr>
              <w:t>(formerly known as Siyaram Impex Private Limited)</w:t>
            </w:r>
            <w:r w:rsidR="00223E07">
              <w:rPr>
                <w:rFonts w:ascii="Times New Roman" w:hAnsi="Times New Roman"/>
                <w:i/>
                <w:iCs/>
                <w:sz w:val="20"/>
                <w:szCs w:val="20"/>
                <w:lang w:val="en-IN"/>
              </w:rPr>
              <w:t xml:space="preserve"> </w:t>
            </w:r>
            <w:r w:rsidRPr="00712F3C">
              <w:rPr>
                <w:rFonts w:ascii="Times New Roman" w:eastAsia="MS Mincho" w:hAnsi="Times New Roman"/>
                <w:color w:val="000000"/>
                <w:sz w:val="20"/>
                <w:szCs w:val="20"/>
              </w:rPr>
              <w:t>as amended from time to time.</w:t>
            </w:r>
          </w:p>
        </w:tc>
      </w:tr>
      <w:tr w:rsidR="00F8631B" w:rsidRPr="00712F3C" w14:paraId="3D91A234" w14:textId="77777777" w:rsidTr="0049413B">
        <w:trPr>
          <w:trHeight w:val="20"/>
        </w:trPr>
        <w:tc>
          <w:tcPr>
            <w:tcW w:w="1367" w:type="pct"/>
            <w:shd w:val="clear" w:color="auto" w:fill="auto"/>
          </w:tcPr>
          <w:p w14:paraId="76BB173D" w14:textId="77777777" w:rsidR="00F8631B" w:rsidRPr="00712F3C" w:rsidRDefault="00F8631B" w:rsidP="00250DAC">
            <w:pPr>
              <w:pStyle w:val="Default"/>
              <w:jc w:val="both"/>
              <w:rPr>
                <w:sz w:val="20"/>
                <w:szCs w:val="20"/>
              </w:rPr>
            </w:pPr>
            <w:r w:rsidRPr="00712F3C">
              <w:rPr>
                <w:sz w:val="20"/>
                <w:szCs w:val="20"/>
              </w:rPr>
              <w:t>MD or Managing Director</w:t>
            </w:r>
          </w:p>
        </w:tc>
        <w:tc>
          <w:tcPr>
            <w:tcW w:w="3633" w:type="pct"/>
            <w:shd w:val="clear" w:color="auto" w:fill="auto"/>
          </w:tcPr>
          <w:p w14:paraId="027780B7" w14:textId="1B7A2BD9" w:rsidR="00F8631B" w:rsidRPr="00712F3C" w:rsidRDefault="00F8631B" w:rsidP="00250DAC">
            <w:pPr>
              <w:pStyle w:val="Default"/>
              <w:jc w:val="both"/>
              <w:rPr>
                <w:sz w:val="20"/>
                <w:szCs w:val="20"/>
              </w:rPr>
            </w:pPr>
            <w:r w:rsidRPr="00712F3C">
              <w:rPr>
                <w:sz w:val="20"/>
                <w:szCs w:val="20"/>
              </w:rPr>
              <w:t xml:space="preserve">The Managing Director of our Company, </w:t>
            </w:r>
            <w:r w:rsidR="0043750B" w:rsidRPr="0043750B">
              <w:rPr>
                <w:sz w:val="20"/>
                <w:szCs w:val="20"/>
                <w:lang w:val="en-GB"/>
              </w:rPr>
              <w:t>Bhavesh Ramgopal Maheshwari</w:t>
            </w:r>
            <w:r w:rsidR="0043750B" w:rsidRPr="00712F3C">
              <w:rPr>
                <w:sz w:val="20"/>
                <w:szCs w:val="20"/>
                <w:lang w:val="en-GB"/>
              </w:rPr>
              <w:t xml:space="preserve"> </w:t>
            </w:r>
            <w:r w:rsidRPr="00712F3C">
              <w:rPr>
                <w:sz w:val="20"/>
                <w:szCs w:val="20"/>
                <w:lang w:val="en-GB"/>
              </w:rPr>
              <w:tab/>
              <w:t xml:space="preserve"> </w:t>
            </w:r>
          </w:p>
        </w:tc>
      </w:tr>
      <w:tr w:rsidR="00F8631B" w:rsidRPr="00712F3C" w14:paraId="084FA1C5" w14:textId="77777777" w:rsidTr="0049413B">
        <w:trPr>
          <w:trHeight w:val="20"/>
        </w:trPr>
        <w:tc>
          <w:tcPr>
            <w:tcW w:w="1367" w:type="pct"/>
            <w:shd w:val="clear" w:color="auto" w:fill="auto"/>
          </w:tcPr>
          <w:p w14:paraId="170887CD" w14:textId="77777777" w:rsidR="00F8631B" w:rsidRPr="00712F3C" w:rsidRDefault="00F8631B" w:rsidP="00250DAC">
            <w:pPr>
              <w:pStyle w:val="Default"/>
              <w:jc w:val="both"/>
              <w:rPr>
                <w:sz w:val="20"/>
                <w:szCs w:val="20"/>
              </w:rPr>
            </w:pPr>
            <w:r w:rsidRPr="00712F3C">
              <w:rPr>
                <w:sz w:val="20"/>
                <w:szCs w:val="20"/>
              </w:rPr>
              <w:t>Materiality Policy</w:t>
            </w:r>
          </w:p>
        </w:tc>
        <w:tc>
          <w:tcPr>
            <w:tcW w:w="3633" w:type="pct"/>
            <w:shd w:val="clear" w:color="auto" w:fill="auto"/>
          </w:tcPr>
          <w:p w14:paraId="3D4E84F6" w14:textId="3A25E021" w:rsidR="00F8631B" w:rsidRPr="00712F3C" w:rsidRDefault="00F8631B" w:rsidP="00250DAC">
            <w:pPr>
              <w:pStyle w:val="Default"/>
              <w:jc w:val="both"/>
              <w:rPr>
                <w:sz w:val="20"/>
                <w:szCs w:val="20"/>
              </w:rPr>
            </w:pPr>
            <w:r w:rsidRPr="00712F3C">
              <w:rPr>
                <w:sz w:val="20"/>
                <w:szCs w:val="20"/>
              </w:rPr>
              <w:t xml:space="preserve">The policy adopted by our Board on </w:t>
            </w:r>
            <w:r w:rsidR="007073AD">
              <w:rPr>
                <w:sz w:val="20"/>
                <w:szCs w:val="20"/>
              </w:rPr>
              <w:t>August 23, 2023</w:t>
            </w:r>
            <w:r w:rsidRPr="00712F3C">
              <w:rPr>
                <w:sz w:val="20"/>
                <w:szCs w:val="20"/>
              </w:rPr>
              <w:t xml:space="preserve"> for identification of Group Companies, material outstanding litigation and material outstanding dues to creditors, pursuant to the disclosure requirements under the SEBI (ICDR) Regulations,</w:t>
            </w:r>
            <w:r w:rsidRPr="00712F3C">
              <w:rPr>
                <w:rFonts w:eastAsia="MS Mincho"/>
                <w:sz w:val="20"/>
                <w:szCs w:val="20"/>
              </w:rPr>
              <w:t xml:space="preserve"> 2018 as amended from time to time. </w:t>
            </w:r>
          </w:p>
        </w:tc>
      </w:tr>
      <w:tr w:rsidR="00F8631B" w:rsidRPr="00712F3C" w14:paraId="369C822A" w14:textId="77777777" w:rsidTr="0049413B">
        <w:trPr>
          <w:trHeight w:val="20"/>
        </w:trPr>
        <w:tc>
          <w:tcPr>
            <w:tcW w:w="1367" w:type="pct"/>
            <w:shd w:val="clear" w:color="auto" w:fill="auto"/>
            <w:hideMark/>
          </w:tcPr>
          <w:p w14:paraId="71FDB238"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Nomination and Remuneration Committee</w:t>
            </w:r>
          </w:p>
        </w:tc>
        <w:tc>
          <w:tcPr>
            <w:tcW w:w="3633" w:type="pct"/>
            <w:shd w:val="clear" w:color="auto" w:fill="auto"/>
            <w:hideMark/>
          </w:tcPr>
          <w:p w14:paraId="2CAAFC44"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 xml:space="preserve">The nomination and remuneration committee of our Board constituted in accordance with Section 178 of the Companies Act, 2013 </w:t>
            </w:r>
            <w:r w:rsidRPr="00712F3C">
              <w:rPr>
                <w:rFonts w:ascii="Times New Roman" w:eastAsia="MS Mincho" w:hAnsi="Times New Roman"/>
                <w:sz w:val="20"/>
                <w:szCs w:val="20"/>
              </w:rPr>
              <w:t xml:space="preserve">as described in the chapter titled </w:t>
            </w:r>
            <w:r w:rsidRPr="00712F3C">
              <w:rPr>
                <w:rFonts w:ascii="Times New Roman" w:eastAsia="MS Mincho" w:hAnsi="Times New Roman"/>
                <w:b/>
                <w:i/>
                <w:sz w:val="20"/>
                <w:szCs w:val="20"/>
              </w:rPr>
              <w:t>“Our Management”</w:t>
            </w:r>
            <w:r w:rsidRPr="00712F3C">
              <w:rPr>
                <w:rFonts w:ascii="Times New Roman" w:eastAsia="MS Mincho" w:hAnsi="Times New Roman"/>
                <w:sz w:val="20"/>
                <w:szCs w:val="20"/>
              </w:rPr>
              <w:t xml:space="preserve"> beginning on page </w:t>
            </w:r>
            <w:r>
              <w:rPr>
                <w:rFonts w:ascii="Times New Roman" w:eastAsia="MS Mincho" w:hAnsi="Times New Roman"/>
                <w:sz w:val="20"/>
                <w:szCs w:val="20"/>
              </w:rPr>
              <w:t>111</w:t>
            </w:r>
            <w:r w:rsidRPr="00712F3C">
              <w:rPr>
                <w:rFonts w:ascii="Times New Roman" w:eastAsia="MS Mincho" w:hAnsi="Times New Roman"/>
                <w:sz w:val="20"/>
                <w:szCs w:val="20"/>
              </w:rPr>
              <w:t xml:space="preserve"> of this Draft </w:t>
            </w:r>
            <w:r w:rsidRPr="00712F3C">
              <w:rPr>
                <w:rFonts w:ascii="Times New Roman" w:hAnsi="Times New Roman"/>
                <w:iCs/>
                <w:sz w:val="20"/>
                <w:szCs w:val="20"/>
              </w:rPr>
              <w:t>Red Herring</w:t>
            </w:r>
            <w:r w:rsidRPr="00712F3C">
              <w:rPr>
                <w:rFonts w:ascii="Times New Roman" w:eastAsia="MS Mincho" w:hAnsi="Times New Roman"/>
                <w:sz w:val="20"/>
                <w:szCs w:val="20"/>
              </w:rPr>
              <w:t xml:space="preserve"> Prospectus</w:t>
            </w:r>
          </w:p>
        </w:tc>
      </w:tr>
      <w:tr w:rsidR="00F8631B" w:rsidRPr="00712F3C" w14:paraId="54548D29" w14:textId="77777777" w:rsidTr="0049413B">
        <w:trPr>
          <w:trHeight w:val="20"/>
        </w:trPr>
        <w:tc>
          <w:tcPr>
            <w:tcW w:w="1367" w:type="pct"/>
            <w:shd w:val="clear" w:color="auto" w:fill="auto"/>
            <w:hideMark/>
          </w:tcPr>
          <w:p w14:paraId="2D3A4759"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Non-Executive Director</w:t>
            </w:r>
          </w:p>
        </w:tc>
        <w:tc>
          <w:tcPr>
            <w:tcW w:w="3633" w:type="pct"/>
            <w:shd w:val="clear" w:color="auto" w:fill="auto"/>
            <w:hideMark/>
          </w:tcPr>
          <w:p w14:paraId="2FCFDCC0" w14:textId="28ED5EE3"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 xml:space="preserve">A Director not being an Executive Director, in our case, </w:t>
            </w:r>
            <w:r w:rsidR="007073AD" w:rsidRPr="007073AD">
              <w:rPr>
                <w:rFonts w:ascii="Times New Roman" w:eastAsia="MS Mincho" w:hAnsi="Times New Roman"/>
                <w:sz w:val="20"/>
                <w:szCs w:val="20"/>
                <w:lang w:val="en-GB"/>
              </w:rPr>
              <w:t>Madhu Ramgopal Maheshwari</w:t>
            </w:r>
          </w:p>
        </w:tc>
      </w:tr>
      <w:tr w:rsidR="00F8631B" w:rsidRPr="00712F3C" w14:paraId="6F9981CE" w14:textId="77777777" w:rsidTr="0049413B">
        <w:trPr>
          <w:trHeight w:val="20"/>
        </w:trPr>
        <w:tc>
          <w:tcPr>
            <w:tcW w:w="1367" w:type="pct"/>
            <w:shd w:val="clear" w:color="auto" w:fill="auto"/>
            <w:hideMark/>
          </w:tcPr>
          <w:p w14:paraId="4AB84ED0"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NRIs / Non-Resident Indians</w:t>
            </w:r>
          </w:p>
        </w:tc>
        <w:tc>
          <w:tcPr>
            <w:tcW w:w="3633" w:type="pct"/>
            <w:shd w:val="clear" w:color="auto" w:fill="auto"/>
            <w:hideMark/>
          </w:tcPr>
          <w:p w14:paraId="1BB45124" w14:textId="355DF309"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A person resident outside India, as defined under Foreign Exchange Management Act, 1999 and who is a citizen of India or a Person of Indian Origin under Foreign Exchange Management (Transfer or Issue of Security by a Person Resident Outside India) Regulations, 2000.</w:t>
            </w:r>
          </w:p>
        </w:tc>
      </w:tr>
      <w:tr w:rsidR="00F8631B" w:rsidRPr="00712F3C" w14:paraId="0BA61D50" w14:textId="77777777" w:rsidTr="0049413B">
        <w:trPr>
          <w:trHeight w:val="20"/>
        </w:trPr>
        <w:tc>
          <w:tcPr>
            <w:tcW w:w="1367" w:type="pct"/>
            <w:shd w:val="clear" w:color="auto" w:fill="auto"/>
            <w:hideMark/>
          </w:tcPr>
          <w:p w14:paraId="6F15B0B9"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Promoter(s)</w:t>
            </w:r>
          </w:p>
        </w:tc>
        <w:tc>
          <w:tcPr>
            <w:tcW w:w="3633" w:type="pct"/>
            <w:shd w:val="clear" w:color="auto" w:fill="auto"/>
            <w:hideMark/>
          </w:tcPr>
          <w:p w14:paraId="2E2990D6" w14:textId="7CFD45F2"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Shall mean promoters of our Company i.e.</w:t>
            </w:r>
            <w:r w:rsidR="00B8458C">
              <w:rPr>
                <w:rFonts w:ascii="Times New Roman" w:eastAsia="MS Mincho" w:hAnsi="Times New Roman"/>
                <w:color w:val="000000"/>
                <w:sz w:val="20"/>
                <w:szCs w:val="20"/>
              </w:rPr>
              <w:t>,</w:t>
            </w:r>
            <w:r w:rsidR="00B8458C">
              <w:rPr>
                <w:rFonts w:ascii="Times New Roman" w:hAnsi="Times New Roman"/>
                <w:color w:val="000000"/>
                <w:sz w:val="20"/>
                <w:szCs w:val="20"/>
              </w:rPr>
              <w:t xml:space="preserve"> Dwarkadhish Venture Private Limited </w:t>
            </w:r>
            <w:r w:rsidR="00B8458C" w:rsidRPr="00792E9D">
              <w:rPr>
                <w:rFonts w:ascii="Times New Roman" w:hAnsi="Times New Roman"/>
                <w:i/>
                <w:iCs/>
                <w:color w:val="000000"/>
                <w:sz w:val="20"/>
                <w:szCs w:val="20"/>
              </w:rPr>
              <w:t>(formerly known as Siyaram Metals Private Limited)</w:t>
            </w:r>
            <w:r w:rsidR="00B8458C" w:rsidRPr="00712F3C">
              <w:rPr>
                <w:rFonts w:ascii="Times New Roman" w:hAnsi="Times New Roman"/>
                <w:color w:val="000000"/>
                <w:sz w:val="20"/>
                <w:szCs w:val="20"/>
              </w:rPr>
              <w:t xml:space="preserve">, </w:t>
            </w:r>
            <w:r w:rsidR="00B8458C" w:rsidRPr="00792E9D">
              <w:rPr>
                <w:rFonts w:ascii="Times New Roman" w:hAnsi="Times New Roman"/>
                <w:color w:val="000000"/>
                <w:sz w:val="20"/>
                <w:szCs w:val="20"/>
              </w:rPr>
              <w:t xml:space="preserve">Ramgopal Ochhavlal Maheshwari </w:t>
            </w:r>
            <w:r w:rsidR="00B8458C" w:rsidRPr="00712F3C">
              <w:rPr>
                <w:rFonts w:ascii="Times New Roman" w:hAnsi="Times New Roman"/>
                <w:color w:val="000000"/>
                <w:sz w:val="20"/>
                <w:szCs w:val="20"/>
              </w:rPr>
              <w:t>and</w:t>
            </w:r>
            <w:r w:rsidR="00B8458C">
              <w:rPr>
                <w:rFonts w:ascii="Times New Roman" w:hAnsi="Times New Roman"/>
                <w:color w:val="000000"/>
                <w:sz w:val="20"/>
                <w:szCs w:val="20"/>
              </w:rPr>
              <w:t xml:space="preserve"> </w:t>
            </w:r>
            <w:r w:rsidR="00B8458C" w:rsidRPr="00792E9D">
              <w:rPr>
                <w:rFonts w:ascii="Times New Roman" w:hAnsi="Times New Roman"/>
                <w:color w:val="000000"/>
                <w:sz w:val="20"/>
                <w:szCs w:val="20"/>
              </w:rPr>
              <w:t>Bhavesh Ramgopal Maheshwari</w:t>
            </w:r>
            <w:r w:rsidRPr="00712F3C">
              <w:rPr>
                <w:rFonts w:ascii="Times New Roman" w:eastAsia="MS Mincho" w:hAnsi="Times New Roman"/>
                <w:sz w:val="20"/>
                <w:szCs w:val="20"/>
                <w:lang w:val="en-GB"/>
              </w:rPr>
              <w:t>.</w:t>
            </w:r>
            <w:r w:rsidRPr="00712F3C">
              <w:rPr>
                <w:rFonts w:ascii="Times New Roman" w:eastAsia="MS Mincho" w:hAnsi="Times New Roman"/>
                <w:color w:val="000000"/>
                <w:sz w:val="20"/>
                <w:szCs w:val="20"/>
              </w:rPr>
              <w:t xml:space="preserve"> For further details, please refer to section titled </w:t>
            </w:r>
            <w:r w:rsidRPr="00712F3C">
              <w:rPr>
                <w:rFonts w:ascii="Times New Roman" w:eastAsia="MS Mincho" w:hAnsi="Times New Roman"/>
                <w:b/>
                <w:bCs/>
                <w:i/>
                <w:iCs/>
                <w:color w:val="000000"/>
                <w:sz w:val="20"/>
                <w:szCs w:val="20"/>
              </w:rPr>
              <w:t xml:space="preserve">“Our Promoter &amp; Promoter Group” </w:t>
            </w:r>
            <w:r w:rsidRPr="00712F3C">
              <w:rPr>
                <w:rFonts w:ascii="Times New Roman" w:eastAsia="MS Mincho" w:hAnsi="Times New Roman"/>
                <w:color w:val="000000"/>
                <w:sz w:val="20"/>
                <w:szCs w:val="20"/>
              </w:rPr>
              <w:t xml:space="preserve">beginning on page </w:t>
            </w:r>
            <w:r>
              <w:rPr>
                <w:rFonts w:ascii="Times New Roman" w:eastAsia="MS Mincho" w:hAnsi="Times New Roman"/>
                <w:color w:val="000000"/>
                <w:sz w:val="20"/>
                <w:szCs w:val="20"/>
              </w:rPr>
              <w:t>124</w:t>
            </w:r>
            <w:r w:rsidRPr="00712F3C">
              <w:rPr>
                <w:rFonts w:ascii="Times New Roman" w:eastAsia="MS Mincho" w:hAnsi="Times New Roman"/>
                <w:color w:val="000000"/>
                <w:sz w:val="20"/>
                <w:szCs w:val="20"/>
              </w:rPr>
              <w:t xml:space="preserve"> of this Draft </w:t>
            </w:r>
            <w:r w:rsidRPr="00712F3C">
              <w:rPr>
                <w:rFonts w:ascii="Times New Roman" w:hAnsi="Times New Roman"/>
                <w:iCs/>
                <w:sz w:val="20"/>
                <w:szCs w:val="20"/>
              </w:rPr>
              <w:t>Red Herring</w:t>
            </w:r>
            <w:r w:rsidRPr="00712F3C">
              <w:rPr>
                <w:rFonts w:ascii="Times New Roman" w:eastAsia="MS Mincho" w:hAnsi="Times New Roman"/>
                <w:color w:val="000000"/>
                <w:sz w:val="20"/>
                <w:szCs w:val="20"/>
              </w:rPr>
              <w:t xml:space="preserve"> Prospectus. </w:t>
            </w:r>
          </w:p>
        </w:tc>
      </w:tr>
      <w:tr w:rsidR="00F8631B" w:rsidRPr="00712F3C" w14:paraId="52593BAB" w14:textId="77777777" w:rsidTr="0049413B">
        <w:trPr>
          <w:trHeight w:val="20"/>
        </w:trPr>
        <w:tc>
          <w:tcPr>
            <w:tcW w:w="1367" w:type="pct"/>
            <w:shd w:val="clear" w:color="auto" w:fill="auto"/>
            <w:hideMark/>
          </w:tcPr>
          <w:p w14:paraId="7EBF490B"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 xml:space="preserve">Promoter Group </w:t>
            </w:r>
          </w:p>
        </w:tc>
        <w:tc>
          <w:tcPr>
            <w:tcW w:w="3633" w:type="pct"/>
            <w:shd w:val="clear" w:color="auto" w:fill="auto"/>
            <w:hideMark/>
          </w:tcPr>
          <w:p w14:paraId="0B623A0A"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 xml:space="preserve">Includes such Persons and companies constituting our Promoter Group covered under Regulation 2(1) (pp) of the SEBI (ICDR) Regulations, 2018 as enlisted in the section </w:t>
            </w:r>
            <w:r w:rsidRPr="00712F3C">
              <w:rPr>
                <w:rFonts w:ascii="Times New Roman" w:eastAsia="MS Mincho" w:hAnsi="Times New Roman"/>
                <w:b/>
                <w:bCs/>
                <w:i/>
                <w:iCs/>
                <w:color w:val="000000"/>
                <w:sz w:val="20"/>
                <w:szCs w:val="20"/>
              </w:rPr>
              <w:t>“Our Promoter and Promoter Group”</w:t>
            </w:r>
            <w:r w:rsidRPr="00712F3C">
              <w:rPr>
                <w:rFonts w:ascii="Times New Roman" w:eastAsia="MS Mincho" w:hAnsi="Times New Roman"/>
                <w:color w:val="000000"/>
                <w:sz w:val="20"/>
                <w:szCs w:val="20"/>
              </w:rPr>
              <w:t xml:space="preserve"> beginning on page </w:t>
            </w:r>
            <w:r>
              <w:rPr>
                <w:rFonts w:ascii="Times New Roman" w:eastAsia="MS Mincho" w:hAnsi="Times New Roman"/>
                <w:color w:val="000000"/>
                <w:sz w:val="20"/>
                <w:szCs w:val="20"/>
              </w:rPr>
              <w:t>124</w:t>
            </w:r>
            <w:r w:rsidRPr="00712F3C">
              <w:rPr>
                <w:rFonts w:ascii="Times New Roman" w:eastAsia="MS Mincho" w:hAnsi="Times New Roman"/>
                <w:color w:val="000000"/>
                <w:sz w:val="20"/>
                <w:szCs w:val="20"/>
              </w:rPr>
              <w:t xml:space="preserve"> of this Draft </w:t>
            </w:r>
            <w:r w:rsidRPr="00712F3C">
              <w:rPr>
                <w:rFonts w:ascii="Times New Roman" w:hAnsi="Times New Roman"/>
                <w:iCs/>
                <w:sz w:val="20"/>
                <w:szCs w:val="20"/>
              </w:rPr>
              <w:t>Red Herring</w:t>
            </w:r>
            <w:r w:rsidRPr="00712F3C">
              <w:rPr>
                <w:rFonts w:ascii="Times New Roman" w:eastAsia="MS Mincho" w:hAnsi="Times New Roman"/>
                <w:color w:val="000000"/>
                <w:sz w:val="20"/>
                <w:szCs w:val="20"/>
              </w:rPr>
              <w:t xml:space="preserve"> Prospectus. </w:t>
            </w:r>
          </w:p>
        </w:tc>
      </w:tr>
      <w:tr w:rsidR="00F8631B" w:rsidRPr="00712F3C" w14:paraId="566DFB99" w14:textId="77777777" w:rsidTr="0049413B">
        <w:trPr>
          <w:trHeight w:val="20"/>
        </w:trPr>
        <w:tc>
          <w:tcPr>
            <w:tcW w:w="1367" w:type="pct"/>
            <w:shd w:val="clear" w:color="auto" w:fill="auto"/>
          </w:tcPr>
          <w:p w14:paraId="4452E524" w14:textId="77777777" w:rsidR="00F8631B" w:rsidRPr="00712F3C" w:rsidRDefault="00F8631B" w:rsidP="00250DAC">
            <w:pPr>
              <w:pStyle w:val="Default"/>
              <w:jc w:val="both"/>
              <w:rPr>
                <w:sz w:val="20"/>
                <w:szCs w:val="20"/>
              </w:rPr>
            </w:pPr>
            <w:r w:rsidRPr="00712F3C">
              <w:rPr>
                <w:sz w:val="20"/>
                <w:szCs w:val="20"/>
              </w:rPr>
              <w:t>Person or Persons</w:t>
            </w:r>
          </w:p>
        </w:tc>
        <w:tc>
          <w:tcPr>
            <w:tcW w:w="3633" w:type="pct"/>
            <w:shd w:val="clear" w:color="auto" w:fill="auto"/>
          </w:tcPr>
          <w:p w14:paraId="3B2D5DA3" w14:textId="77777777" w:rsidR="00F8631B" w:rsidRPr="00712F3C" w:rsidRDefault="00F8631B" w:rsidP="00250DAC">
            <w:pPr>
              <w:pStyle w:val="Default"/>
              <w:jc w:val="both"/>
              <w:rPr>
                <w:sz w:val="20"/>
                <w:szCs w:val="20"/>
              </w:rPr>
            </w:pPr>
            <w:r w:rsidRPr="00712F3C">
              <w:rPr>
                <w:sz w:val="20"/>
                <w:szCs w:val="20"/>
              </w:rPr>
              <w:t>Any individual, sole proprietorship, unincorporated association, unincorporated organization, body corporate, corporation, company, partnership, limited liability company, joint venture, or trust or any other entity or organization validly constituted and/or incorporated in the jurisdiction in which it exists and operates, as the context requires.</w:t>
            </w:r>
          </w:p>
        </w:tc>
      </w:tr>
      <w:tr w:rsidR="00F8631B" w:rsidRPr="00712F3C" w14:paraId="6206F484" w14:textId="77777777" w:rsidTr="0049413B">
        <w:trPr>
          <w:trHeight w:val="20"/>
        </w:trPr>
        <w:tc>
          <w:tcPr>
            <w:tcW w:w="1367" w:type="pct"/>
            <w:shd w:val="clear" w:color="auto" w:fill="auto"/>
            <w:hideMark/>
          </w:tcPr>
          <w:p w14:paraId="5459FE10"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RBI Act</w:t>
            </w:r>
          </w:p>
        </w:tc>
        <w:tc>
          <w:tcPr>
            <w:tcW w:w="3633" w:type="pct"/>
            <w:shd w:val="clear" w:color="auto" w:fill="auto"/>
            <w:hideMark/>
          </w:tcPr>
          <w:p w14:paraId="1B7491B8"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The Reserve Bank of India Act, 1934 as amended from time to time.</w:t>
            </w:r>
          </w:p>
        </w:tc>
      </w:tr>
      <w:tr w:rsidR="00F8631B" w:rsidRPr="00712F3C" w14:paraId="47C30F72" w14:textId="77777777" w:rsidTr="0049413B">
        <w:trPr>
          <w:trHeight w:val="20"/>
        </w:trPr>
        <w:tc>
          <w:tcPr>
            <w:tcW w:w="1367" w:type="pct"/>
            <w:shd w:val="clear" w:color="auto" w:fill="auto"/>
            <w:hideMark/>
          </w:tcPr>
          <w:p w14:paraId="3FDF6064"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Registered Office of our Company</w:t>
            </w:r>
          </w:p>
        </w:tc>
        <w:tc>
          <w:tcPr>
            <w:tcW w:w="3633" w:type="pct"/>
            <w:shd w:val="clear" w:color="auto" w:fill="auto"/>
            <w:hideMark/>
          </w:tcPr>
          <w:p w14:paraId="7781C081" w14:textId="0D342902" w:rsidR="00F8631B" w:rsidRPr="00712F3C" w:rsidRDefault="00F8631B" w:rsidP="00250DAC">
            <w:pPr>
              <w:autoSpaceDE w:val="0"/>
              <w:autoSpaceDN w:val="0"/>
              <w:adjustRightInd w:val="0"/>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 xml:space="preserve">The Registered Office of our Company situated at </w:t>
            </w:r>
            <w:r w:rsidR="00B8458C" w:rsidRPr="00B8458C">
              <w:rPr>
                <w:rFonts w:ascii="Times New Roman" w:eastAsia="MS Mincho" w:hAnsi="Times New Roman"/>
                <w:sz w:val="20"/>
                <w:szCs w:val="20"/>
              </w:rPr>
              <w:t>Plot No. 6 &amp; 7, Village: Lakhabaval Post: Khodiyar Colony, Jamnagar-361006 Gujarat</w:t>
            </w:r>
            <w:r w:rsidRPr="00712F3C">
              <w:rPr>
                <w:rFonts w:ascii="Times New Roman" w:eastAsia="MS Mincho" w:hAnsi="Times New Roman"/>
                <w:sz w:val="20"/>
                <w:szCs w:val="20"/>
              </w:rPr>
              <w:t>.</w:t>
            </w:r>
          </w:p>
        </w:tc>
      </w:tr>
      <w:tr w:rsidR="00F8631B" w:rsidRPr="00712F3C" w14:paraId="57196DB9" w14:textId="77777777" w:rsidTr="0049413B">
        <w:trPr>
          <w:trHeight w:val="20"/>
        </w:trPr>
        <w:tc>
          <w:tcPr>
            <w:tcW w:w="1367" w:type="pct"/>
            <w:shd w:val="clear" w:color="auto" w:fill="auto"/>
            <w:hideMark/>
          </w:tcPr>
          <w:p w14:paraId="2134688D"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Calibri" w:hAnsi="Times New Roman"/>
                <w:color w:val="000000"/>
                <w:sz w:val="20"/>
                <w:szCs w:val="20"/>
              </w:rPr>
              <w:t xml:space="preserve">Reserve Bank of India/ RBI </w:t>
            </w:r>
          </w:p>
        </w:tc>
        <w:tc>
          <w:tcPr>
            <w:tcW w:w="3633" w:type="pct"/>
            <w:shd w:val="clear" w:color="auto" w:fill="auto"/>
            <w:hideMark/>
          </w:tcPr>
          <w:p w14:paraId="729B9E6B"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Calibri" w:hAnsi="Times New Roman"/>
                <w:color w:val="000000"/>
                <w:sz w:val="20"/>
                <w:szCs w:val="20"/>
              </w:rPr>
              <w:t>Reserve Bank of India constituted under the RBI Act.</w:t>
            </w:r>
          </w:p>
        </w:tc>
      </w:tr>
      <w:tr w:rsidR="00F8631B" w:rsidRPr="00712F3C" w14:paraId="0C050537" w14:textId="77777777" w:rsidTr="0049413B">
        <w:trPr>
          <w:trHeight w:val="20"/>
        </w:trPr>
        <w:tc>
          <w:tcPr>
            <w:tcW w:w="1367" w:type="pct"/>
            <w:shd w:val="clear" w:color="auto" w:fill="auto"/>
            <w:hideMark/>
          </w:tcPr>
          <w:p w14:paraId="05933FFB"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Restated Financial Information/ Statements</w:t>
            </w:r>
          </w:p>
        </w:tc>
        <w:tc>
          <w:tcPr>
            <w:tcW w:w="3633" w:type="pct"/>
            <w:shd w:val="clear" w:color="auto" w:fill="auto"/>
            <w:hideMark/>
          </w:tcPr>
          <w:p w14:paraId="7D0A37A1" w14:textId="07814AE5"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The Restated Financial statements of our Company comprising of the Restated Statement of Assets and Liabilities as at March 31 20</w:t>
            </w:r>
            <w:r w:rsidR="00B8458C">
              <w:rPr>
                <w:rFonts w:ascii="Times New Roman" w:eastAsia="MS Mincho" w:hAnsi="Times New Roman"/>
                <w:color w:val="000000"/>
                <w:sz w:val="20"/>
                <w:szCs w:val="20"/>
              </w:rPr>
              <w:t>23</w:t>
            </w:r>
            <w:r w:rsidRPr="00712F3C">
              <w:rPr>
                <w:rFonts w:ascii="Times New Roman" w:eastAsia="MS Mincho" w:hAnsi="Times New Roman"/>
                <w:color w:val="000000"/>
                <w:sz w:val="20"/>
                <w:szCs w:val="20"/>
              </w:rPr>
              <w:t>, March 31 202</w:t>
            </w:r>
            <w:r w:rsidR="00B8458C">
              <w:rPr>
                <w:rFonts w:ascii="Times New Roman" w:eastAsia="MS Mincho" w:hAnsi="Times New Roman"/>
                <w:color w:val="000000"/>
                <w:sz w:val="20"/>
                <w:szCs w:val="20"/>
              </w:rPr>
              <w:t>2</w:t>
            </w:r>
            <w:r w:rsidRPr="00712F3C">
              <w:rPr>
                <w:rFonts w:ascii="Times New Roman" w:eastAsia="MS Mincho" w:hAnsi="Times New Roman"/>
                <w:color w:val="000000"/>
                <w:sz w:val="20"/>
                <w:szCs w:val="20"/>
              </w:rPr>
              <w:t xml:space="preserve"> and March 31 202</w:t>
            </w:r>
            <w:r w:rsidR="00B8458C">
              <w:rPr>
                <w:rFonts w:ascii="Times New Roman" w:eastAsia="MS Mincho" w:hAnsi="Times New Roman"/>
                <w:color w:val="000000"/>
                <w:sz w:val="20"/>
                <w:szCs w:val="20"/>
              </w:rPr>
              <w:t>1</w:t>
            </w:r>
            <w:r w:rsidRPr="00712F3C">
              <w:rPr>
                <w:rFonts w:ascii="Times New Roman" w:eastAsia="MS Mincho" w:hAnsi="Times New Roman"/>
                <w:color w:val="000000"/>
                <w:sz w:val="20"/>
                <w:szCs w:val="20"/>
              </w:rPr>
              <w:t>,  the Restated Statement of Profit &amp; Loss for the year ended on March 31 202</w:t>
            </w:r>
            <w:r w:rsidR="00B8458C">
              <w:rPr>
                <w:rFonts w:ascii="Times New Roman" w:eastAsia="MS Mincho" w:hAnsi="Times New Roman"/>
                <w:color w:val="000000"/>
                <w:sz w:val="20"/>
                <w:szCs w:val="20"/>
              </w:rPr>
              <w:t>3</w:t>
            </w:r>
            <w:r w:rsidRPr="00712F3C">
              <w:rPr>
                <w:rFonts w:ascii="Times New Roman" w:eastAsia="MS Mincho" w:hAnsi="Times New Roman"/>
                <w:color w:val="000000"/>
                <w:sz w:val="20"/>
                <w:szCs w:val="20"/>
              </w:rPr>
              <w:t>, March 31 202</w:t>
            </w:r>
            <w:r w:rsidR="00B8458C">
              <w:rPr>
                <w:rFonts w:ascii="Times New Roman" w:eastAsia="MS Mincho" w:hAnsi="Times New Roman"/>
                <w:color w:val="000000"/>
                <w:sz w:val="20"/>
                <w:szCs w:val="20"/>
              </w:rPr>
              <w:t xml:space="preserve">2 </w:t>
            </w:r>
            <w:r w:rsidRPr="00712F3C">
              <w:rPr>
                <w:rFonts w:ascii="Times New Roman" w:eastAsia="MS Mincho" w:hAnsi="Times New Roman"/>
                <w:color w:val="000000"/>
                <w:sz w:val="20"/>
                <w:szCs w:val="20"/>
              </w:rPr>
              <w:t>and March 31 202</w:t>
            </w:r>
            <w:r w:rsidR="00B8458C">
              <w:rPr>
                <w:rFonts w:ascii="Times New Roman" w:eastAsia="MS Mincho" w:hAnsi="Times New Roman"/>
                <w:color w:val="000000"/>
                <w:sz w:val="20"/>
                <w:szCs w:val="20"/>
              </w:rPr>
              <w:t>1</w:t>
            </w:r>
            <w:r w:rsidRPr="00712F3C">
              <w:rPr>
                <w:rFonts w:ascii="Times New Roman" w:eastAsia="MS Mincho" w:hAnsi="Times New Roman"/>
                <w:color w:val="000000"/>
                <w:sz w:val="20"/>
                <w:szCs w:val="20"/>
              </w:rPr>
              <w:t xml:space="preserve"> and the Restated Cash Flows Statements for the year ended March 31 202</w:t>
            </w:r>
            <w:r w:rsidR="00B8458C">
              <w:rPr>
                <w:rFonts w:ascii="Times New Roman" w:eastAsia="MS Mincho" w:hAnsi="Times New Roman"/>
                <w:color w:val="000000"/>
                <w:sz w:val="20"/>
                <w:szCs w:val="20"/>
              </w:rPr>
              <w:t>3</w:t>
            </w:r>
            <w:r w:rsidRPr="00712F3C">
              <w:rPr>
                <w:rFonts w:ascii="Times New Roman" w:eastAsia="MS Mincho" w:hAnsi="Times New Roman"/>
                <w:color w:val="000000"/>
                <w:sz w:val="20"/>
                <w:szCs w:val="20"/>
              </w:rPr>
              <w:t>, March 31 202</w:t>
            </w:r>
            <w:r w:rsidR="00B8458C">
              <w:rPr>
                <w:rFonts w:ascii="Times New Roman" w:eastAsia="MS Mincho" w:hAnsi="Times New Roman"/>
                <w:color w:val="000000"/>
                <w:sz w:val="20"/>
                <w:szCs w:val="20"/>
              </w:rPr>
              <w:t xml:space="preserve">2 </w:t>
            </w:r>
            <w:r w:rsidRPr="00712F3C">
              <w:rPr>
                <w:rFonts w:ascii="Times New Roman" w:eastAsia="MS Mincho" w:hAnsi="Times New Roman"/>
                <w:color w:val="000000"/>
                <w:sz w:val="20"/>
                <w:szCs w:val="20"/>
              </w:rPr>
              <w:t>and March 31 202</w:t>
            </w:r>
            <w:r w:rsidR="00B8458C">
              <w:rPr>
                <w:rFonts w:ascii="Times New Roman" w:eastAsia="MS Mincho" w:hAnsi="Times New Roman"/>
                <w:color w:val="000000"/>
                <w:sz w:val="20"/>
                <w:szCs w:val="20"/>
              </w:rPr>
              <w:t>1</w:t>
            </w:r>
            <w:r w:rsidRPr="00712F3C">
              <w:rPr>
                <w:rFonts w:ascii="Times New Roman" w:eastAsia="MS Mincho" w:hAnsi="Times New Roman"/>
                <w:color w:val="000000"/>
                <w:sz w:val="20"/>
                <w:szCs w:val="20"/>
              </w:rPr>
              <w:t xml:space="preserve"> of our Company prepared in accordance with Indian GAAP and the Companies Act and restated in accordance with the SEBI (ICDR) Regulations, 2018 and the Revised Guidance Note on Reports in Company Prospectus (Revised 2019) issued by the ICAI, together with the schedules, notes and annexure thereto.</w:t>
            </w:r>
          </w:p>
        </w:tc>
      </w:tr>
      <w:tr w:rsidR="00F8631B" w:rsidRPr="00712F3C" w14:paraId="3FA47B1E" w14:textId="77777777" w:rsidTr="0049413B">
        <w:trPr>
          <w:trHeight w:val="20"/>
        </w:trPr>
        <w:tc>
          <w:tcPr>
            <w:tcW w:w="1367" w:type="pct"/>
            <w:shd w:val="clear" w:color="auto" w:fill="auto"/>
            <w:hideMark/>
          </w:tcPr>
          <w:p w14:paraId="37A5CDD9"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Calibri" w:hAnsi="Times New Roman"/>
                <w:color w:val="000000"/>
                <w:sz w:val="20"/>
                <w:szCs w:val="20"/>
              </w:rPr>
              <w:t>RoC/ Registrar of Companies</w:t>
            </w:r>
          </w:p>
        </w:tc>
        <w:tc>
          <w:tcPr>
            <w:tcW w:w="3633" w:type="pct"/>
            <w:shd w:val="clear" w:color="auto" w:fill="auto"/>
            <w:hideMark/>
          </w:tcPr>
          <w:p w14:paraId="6ED6C084" w14:textId="77777777" w:rsidR="00F8631B" w:rsidRPr="00712F3C" w:rsidRDefault="00F8631B" w:rsidP="00250DAC">
            <w:pPr>
              <w:suppressAutoHyphens/>
              <w:autoSpaceDE w:val="0"/>
              <w:autoSpaceDN w:val="0"/>
              <w:adjustRightInd w:val="0"/>
              <w:spacing w:after="0" w:line="240" w:lineRule="auto"/>
              <w:jc w:val="both"/>
              <w:textAlignment w:val="center"/>
              <w:rPr>
                <w:rFonts w:ascii="Times New Roman" w:eastAsia="MS Mincho" w:hAnsi="Times New Roman"/>
                <w:color w:val="000000"/>
                <w:sz w:val="20"/>
                <w:szCs w:val="20"/>
                <w:lang w:val="en-GB"/>
              </w:rPr>
            </w:pPr>
            <w:r w:rsidRPr="00712F3C">
              <w:rPr>
                <w:rFonts w:ascii="Times New Roman" w:eastAsia="MS Mincho" w:hAnsi="Times New Roman"/>
                <w:color w:val="000000"/>
                <w:sz w:val="20"/>
                <w:szCs w:val="20"/>
                <w:lang w:val="en-GB"/>
              </w:rPr>
              <w:t>Unless specified otherwise refers to ROC Ahmedabad situated at ROC Bhavan, Opp. Rupal Park Society, Behind Ankur Bus Stop, Naranpura, Ahmedabad - 380013, Gujarat.</w:t>
            </w:r>
          </w:p>
        </w:tc>
      </w:tr>
      <w:tr w:rsidR="00F8631B" w:rsidRPr="00712F3C" w14:paraId="68230AFD" w14:textId="77777777" w:rsidTr="0049413B">
        <w:trPr>
          <w:trHeight w:val="20"/>
        </w:trPr>
        <w:tc>
          <w:tcPr>
            <w:tcW w:w="1367" w:type="pct"/>
            <w:shd w:val="clear" w:color="auto" w:fill="auto"/>
            <w:hideMark/>
          </w:tcPr>
          <w:p w14:paraId="24140EC8"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Calibri" w:hAnsi="Times New Roman"/>
                <w:color w:val="000000"/>
                <w:sz w:val="20"/>
                <w:szCs w:val="20"/>
              </w:rPr>
              <w:t>SEBI</w:t>
            </w:r>
          </w:p>
        </w:tc>
        <w:tc>
          <w:tcPr>
            <w:tcW w:w="3633" w:type="pct"/>
            <w:shd w:val="clear" w:color="auto" w:fill="auto"/>
            <w:hideMark/>
          </w:tcPr>
          <w:p w14:paraId="3087E32D"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Calibri" w:hAnsi="Times New Roman"/>
                <w:color w:val="000000"/>
                <w:sz w:val="20"/>
                <w:szCs w:val="20"/>
              </w:rPr>
              <w:t>Securities and Exchange Board of India constituted under the SEBI Act, 1992.</w:t>
            </w:r>
          </w:p>
        </w:tc>
      </w:tr>
      <w:tr w:rsidR="00F8631B" w:rsidRPr="00712F3C" w14:paraId="4E987C2F" w14:textId="77777777" w:rsidTr="0049413B">
        <w:trPr>
          <w:trHeight w:val="20"/>
        </w:trPr>
        <w:tc>
          <w:tcPr>
            <w:tcW w:w="1367" w:type="pct"/>
            <w:shd w:val="clear" w:color="auto" w:fill="auto"/>
          </w:tcPr>
          <w:p w14:paraId="23697D5B"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MS Mincho" w:hAnsi="Times New Roman"/>
                <w:sz w:val="20"/>
                <w:szCs w:val="20"/>
              </w:rPr>
              <w:t>SEBI Act</w:t>
            </w:r>
          </w:p>
        </w:tc>
        <w:tc>
          <w:tcPr>
            <w:tcW w:w="3633" w:type="pct"/>
            <w:shd w:val="clear" w:color="auto" w:fill="auto"/>
          </w:tcPr>
          <w:p w14:paraId="20FABFB0"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MS Mincho" w:hAnsi="Times New Roman"/>
                <w:sz w:val="20"/>
                <w:szCs w:val="20"/>
              </w:rPr>
              <w:t>Securities and Exchange Board of India Act, 1992, as amended</w:t>
            </w:r>
          </w:p>
        </w:tc>
      </w:tr>
      <w:tr w:rsidR="00F8631B" w:rsidRPr="00712F3C" w14:paraId="0AFC7B49" w14:textId="77777777" w:rsidTr="0049413B">
        <w:trPr>
          <w:trHeight w:val="20"/>
        </w:trPr>
        <w:tc>
          <w:tcPr>
            <w:tcW w:w="1367" w:type="pct"/>
            <w:shd w:val="clear" w:color="auto" w:fill="auto"/>
          </w:tcPr>
          <w:p w14:paraId="4AE0E839"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MS Mincho" w:hAnsi="Times New Roman"/>
                <w:sz w:val="20"/>
                <w:szCs w:val="20"/>
              </w:rPr>
              <w:t>SEBI AIF Regulations</w:t>
            </w:r>
          </w:p>
        </w:tc>
        <w:tc>
          <w:tcPr>
            <w:tcW w:w="3633" w:type="pct"/>
            <w:shd w:val="clear" w:color="auto" w:fill="auto"/>
          </w:tcPr>
          <w:p w14:paraId="3139A1AF" w14:textId="77777777" w:rsidR="00F8631B" w:rsidRPr="00712F3C" w:rsidRDefault="00F8631B" w:rsidP="00250DAC">
            <w:pPr>
              <w:autoSpaceDE w:val="0"/>
              <w:autoSpaceDN w:val="0"/>
              <w:adjustRightInd w:val="0"/>
              <w:spacing w:after="0" w:line="240" w:lineRule="auto"/>
              <w:jc w:val="both"/>
              <w:rPr>
                <w:rFonts w:ascii="Times New Roman" w:eastAsia="MS Mincho" w:hAnsi="Times New Roman"/>
                <w:sz w:val="20"/>
                <w:szCs w:val="20"/>
              </w:rPr>
            </w:pPr>
            <w:r w:rsidRPr="00712F3C">
              <w:rPr>
                <w:rFonts w:ascii="Times New Roman" w:eastAsia="MS Mincho" w:hAnsi="Times New Roman"/>
                <w:sz w:val="20"/>
                <w:szCs w:val="20"/>
              </w:rPr>
              <w:t>Securities and Exchange Board of India (Alternate Investments Funds) Regulations, 2012, as amended.</w:t>
            </w:r>
          </w:p>
        </w:tc>
      </w:tr>
      <w:tr w:rsidR="00F8631B" w:rsidRPr="00712F3C" w14:paraId="3B3C847E" w14:textId="77777777" w:rsidTr="0049413B">
        <w:trPr>
          <w:trHeight w:val="20"/>
        </w:trPr>
        <w:tc>
          <w:tcPr>
            <w:tcW w:w="1367" w:type="pct"/>
            <w:shd w:val="clear" w:color="auto" w:fill="auto"/>
            <w:hideMark/>
          </w:tcPr>
          <w:p w14:paraId="131268A7"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MS Mincho" w:hAnsi="Times New Roman"/>
                <w:sz w:val="20"/>
                <w:szCs w:val="20"/>
              </w:rPr>
              <w:t>SEBI FII Regulations</w:t>
            </w:r>
          </w:p>
        </w:tc>
        <w:tc>
          <w:tcPr>
            <w:tcW w:w="3633" w:type="pct"/>
            <w:shd w:val="clear" w:color="auto" w:fill="auto"/>
            <w:hideMark/>
          </w:tcPr>
          <w:p w14:paraId="44458CEF" w14:textId="77777777" w:rsidR="00F8631B" w:rsidRPr="00712F3C" w:rsidRDefault="00F8631B" w:rsidP="00250DAC">
            <w:pPr>
              <w:autoSpaceDE w:val="0"/>
              <w:autoSpaceDN w:val="0"/>
              <w:adjustRightInd w:val="0"/>
              <w:spacing w:after="0" w:line="240" w:lineRule="auto"/>
              <w:jc w:val="both"/>
              <w:rPr>
                <w:rFonts w:ascii="Times New Roman" w:eastAsia="MS Mincho" w:hAnsi="Times New Roman"/>
                <w:sz w:val="20"/>
                <w:szCs w:val="20"/>
              </w:rPr>
            </w:pPr>
            <w:r w:rsidRPr="00712F3C">
              <w:rPr>
                <w:rFonts w:ascii="Times New Roman" w:eastAsia="MS Mincho" w:hAnsi="Times New Roman"/>
                <w:sz w:val="20"/>
                <w:szCs w:val="20"/>
              </w:rPr>
              <w:t>Securities and Exchange Board of India (Foreign Institutional Investors) Regulations, 1995, as amended from time to time.</w:t>
            </w:r>
          </w:p>
        </w:tc>
      </w:tr>
      <w:tr w:rsidR="00F8631B" w:rsidRPr="00712F3C" w14:paraId="5E09970A" w14:textId="77777777" w:rsidTr="0049413B">
        <w:trPr>
          <w:trHeight w:val="20"/>
        </w:trPr>
        <w:tc>
          <w:tcPr>
            <w:tcW w:w="1367" w:type="pct"/>
            <w:shd w:val="clear" w:color="auto" w:fill="auto"/>
            <w:hideMark/>
          </w:tcPr>
          <w:p w14:paraId="1BB39D2F"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MS Mincho" w:hAnsi="Times New Roman"/>
                <w:sz w:val="20"/>
                <w:szCs w:val="20"/>
              </w:rPr>
              <w:t>SEBI FPI Regulations</w:t>
            </w:r>
          </w:p>
        </w:tc>
        <w:tc>
          <w:tcPr>
            <w:tcW w:w="3633" w:type="pct"/>
            <w:shd w:val="clear" w:color="auto" w:fill="auto"/>
            <w:hideMark/>
          </w:tcPr>
          <w:p w14:paraId="54A1CB85" w14:textId="77777777" w:rsidR="00F8631B" w:rsidRPr="00712F3C" w:rsidRDefault="00F8631B" w:rsidP="00250DAC">
            <w:pPr>
              <w:autoSpaceDE w:val="0"/>
              <w:autoSpaceDN w:val="0"/>
              <w:adjustRightInd w:val="0"/>
              <w:spacing w:after="0" w:line="240" w:lineRule="auto"/>
              <w:jc w:val="both"/>
              <w:rPr>
                <w:rFonts w:ascii="Times New Roman" w:eastAsia="MS Mincho" w:hAnsi="Times New Roman"/>
                <w:sz w:val="20"/>
                <w:szCs w:val="20"/>
              </w:rPr>
            </w:pPr>
            <w:r w:rsidRPr="00712F3C">
              <w:rPr>
                <w:rFonts w:ascii="Times New Roman" w:eastAsia="MS Mincho" w:hAnsi="Times New Roman"/>
                <w:sz w:val="20"/>
                <w:szCs w:val="20"/>
              </w:rPr>
              <w:t>Securities and Exchange Board of India (Foreign Portfolio Investors) Regulations, 2014, as amended from time to time.</w:t>
            </w:r>
          </w:p>
        </w:tc>
      </w:tr>
      <w:tr w:rsidR="00F8631B" w:rsidRPr="00712F3C" w14:paraId="1F1E8A5F" w14:textId="77777777" w:rsidTr="0049413B">
        <w:trPr>
          <w:trHeight w:val="20"/>
        </w:trPr>
        <w:tc>
          <w:tcPr>
            <w:tcW w:w="1367" w:type="pct"/>
            <w:shd w:val="clear" w:color="auto" w:fill="auto"/>
            <w:hideMark/>
          </w:tcPr>
          <w:p w14:paraId="30F43FCA"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MS Mincho" w:hAnsi="Times New Roman"/>
                <w:sz w:val="20"/>
                <w:szCs w:val="20"/>
              </w:rPr>
              <w:t>SEBI FVCI Regulations</w:t>
            </w:r>
          </w:p>
        </w:tc>
        <w:tc>
          <w:tcPr>
            <w:tcW w:w="3633" w:type="pct"/>
            <w:shd w:val="clear" w:color="auto" w:fill="auto"/>
            <w:hideMark/>
          </w:tcPr>
          <w:p w14:paraId="253FE41A" w14:textId="77777777" w:rsidR="00F8631B" w:rsidRPr="00712F3C" w:rsidRDefault="00F8631B" w:rsidP="00250DAC">
            <w:pPr>
              <w:autoSpaceDE w:val="0"/>
              <w:autoSpaceDN w:val="0"/>
              <w:adjustRightInd w:val="0"/>
              <w:spacing w:after="0" w:line="240" w:lineRule="auto"/>
              <w:jc w:val="both"/>
              <w:rPr>
                <w:rFonts w:ascii="Times New Roman" w:eastAsia="MS Mincho" w:hAnsi="Times New Roman"/>
                <w:sz w:val="20"/>
                <w:szCs w:val="20"/>
              </w:rPr>
            </w:pPr>
            <w:r w:rsidRPr="00712F3C">
              <w:rPr>
                <w:rFonts w:ascii="Times New Roman" w:eastAsia="MS Mincho" w:hAnsi="Times New Roman"/>
                <w:sz w:val="20"/>
                <w:szCs w:val="20"/>
              </w:rPr>
              <w:t>Securities and Exchange Board of India (Foreign Venture Capital Investor) Regulations, 2000, as amended from time to time.</w:t>
            </w:r>
          </w:p>
        </w:tc>
      </w:tr>
      <w:tr w:rsidR="00F8631B" w:rsidRPr="00712F3C" w14:paraId="1D88DC0D" w14:textId="77777777" w:rsidTr="0049413B">
        <w:trPr>
          <w:trHeight w:val="20"/>
        </w:trPr>
        <w:tc>
          <w:tcPr>
            <w:tcW w:w="1367" w:type="pct"/>
            <w:shd w:val="clear" w:color="auto" w:fill="auto"/>
            <w:hideMark/>
          </w:tcPr>
          <w:p w14:paraId="71AF1894"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Calibri" w:hAnsi="Times New Roman"/>
                <w:color w:val="000000"/>
                <w:sz w:val="20"/>
                <w:szCs w:val="20"/>
              </w:rPr>
              <w:lastRenderedPageBreak/>
              <w:t>SEBI Insider Trading Regulations</w:t>
            </w:r>
          </w:p>
        </w:tc>
        <w:tc>
          <w:tcPr>
            <w:tcW w:w="3633" w:type="pct"/>
            <w:shd w:val="clear" w:color="auto" w:fill="auto"/>
            <w:hideMark/>
          </w:tcPr>
          <w:p w14:paraId="654EDD33"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Calibri" w:hAnsi="Times New Roman"/>
                <w:color w:val="000000"/>
                <w:sz w:val="20"/>
                <w:szCs w:val="20"/>
              </w:rPr>
              <w:t>The Securities and Exchange Board of India (Prohibition of Insider Trading) Regulations, 2015 as amended, including instructions, notifications and clarifications issued by SEBI from time to time.</w:t>
            </w:r>
          </w:p>
        </w:tc>
      </w:tr>
      <w:tr w:rsidR="00F8631B" w:rsidRPr="00712F3C" w14:paraId="0E5B0867" w14:textId="77777777" w:rsidTr="0049413B">
        <w:trPr>
          <w:trHeight w:val="20"/>
        </w:trPr>
        <w:tc>
          <w:tcPr>
            <w:tcW w:w="1367" w:type="pct"/>
            <w:shd w:val="clear" w:color="auto" w:fill="auto"/>
          </w:tcPr>
          <w:p w14:paraId="266E8F21"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MS Mincho" w:hAnsi="Times New Roman"/>
                <w:sz w:val="20"/>
                <w:szCs w:val="20"/>
              </w:rPr>
              <w:t>SEBI SBEB Regulations</w:t>
            </w:r>
          </w:p>
        </w:tc>
        <w:tc>
          <w:tcPr>
            <w:tcW w:w="3633" w:type="pct"/>
            <w:shd w:val="clear" w:color="auto" w:fill="auto"/>
          </w:tcPr>
          <w:p w14:paraId="7A75A580" w14:textId="77777777" w:rsidR="00F8631B" w:rsidRPr="00712F3C" w:rsidRDefault="00F8631B" w:rsidP="00250DAC">
            <w:pPr>
              <w:autoSpaceDE w:val="0"/>
              <w:autoSpaceDN w:val="0"/>
              <w:adjustRightInd w:val="0"/>
              <w:spacing w:after="0" w:line="240" w:lineRule="auto"/>
              <w:jc w:val="both"/>
              <w:rPr>
                <w:rFonts w:ascii="Times New Roman" w:hAnsi="Times New Roman"/>
                <w:sz w:val="20"/>
                <w:szCs w:val="20"/>
              </w:rPr>
            </w:pPr>
            <w:r w:rsidRPr="00712F3C">
              <w:rPr>
                <w:rFonts w:ascii="Times New Roman" w:eastAsia="MS Mincho" w:hAnsi="Times New Roman"/>
                <w:sz w:val="20"/>
                <w:szCs w:val="20"/>
              </w:rPr>
              <w:t>Securities and Exchange Board of India (Share Based Employee Benefits) Regulations, 2014.</w:t>
            </w:r>
          </w:p>
        </w:tc>
      </w:tr>
      <w:tr w:rsidR="00F8631B" w:rsidRPr="00712F3C" w14:paraId="5E600B0E" w14:textId="77777777" w:rsidTr="0049413B">
        <w:trPr>
          <w:trHeight w:val="20"/>
        </w:trPr>
        <w:tc>
          <w:tcPr>
            <w:tcW w:w="1367" w:type="pct"/>
            <w:shd w:val="clear" w:color="auto" w:fill="auto"/>
            <w:hideMark/>
          </w:tcPr>
          <w:p w14:paraId="555E1648"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Calibri" w:hAnsi="Times New Roman"/>
                <w:color w:val="000000"/>
                <w:sz w:val="20"/>
                <w:szCs w:val="20"/>
              </w:rPr>
              <w:t>SEBI Listing Regulations, 2015/ SEBI Listing Regulations/ Listing Regulations/ SEBI (LODR)</w:t>
            </w:r>
          </w:p>
        </w:tc>
        <w:tc>
          <w:tcPr>
            <w:tcW w:w="3633" w:type="pct"/>
            <w:shd w:val="clear" w:color="auto" w:fill="auto"/>
            <w:hideMark/>
          </w:tcPr>
          <w:p w14:paraId="1589B135"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Calibri" w:hAnsi="Times New Roman"/>
                <w:color w:val="000000"/>
                <w:sz w:val="20"/>
                <w:szCs w:val="20"/>
              </w:rPr>
              <w:t>The Securities and Exchange Board of India (Listing Obligation and Disclosure Requirements) Regulations, 2015 as amended, including instructions and clarifications issued by SEBI from time to time.</w:t>
            </w:r>
          </w:p>
        </w:tc>
      </w:tr>
      <w:tr w:rsidR="00F8631B" w:rsidRPr="00712F3C" w14:paraId="7EC9F0C9" w14:textId="77777777" w:rsidTr="0049413B">
        <w:trPr>
          <w:trHeight w:val="20"/>
        </w:trPr>
        <w:tc>
          <w:tcPr>
            <w:tcW w:w="1367" w:type="pct"/>
            <w:shd w:val="clear" w:color="auto" w:fill="auto"/>
            <w:hideMark/>
          </w:tcPr>
          <w:p w14:paraId="2594F8E5"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Calibri" w:hAnsi="Times New Roman"/>
                <w:color w:val="000000"/>
                <w:sz w:val="20"/>
                <w:szCs w:val="20"/>
              </w:rPr>
              <w:t xml:space="preserve">SEBI Takeover Regulations or SEBI (SAST) Regulations/ </w:t>
            </w:r>
            <w:r w:rsidRPr="00712F3C">
              <w:rPr>
                <w:rFonts w:ascii="Times New Roman" w:eastAsia="MS Mincho" w:hAnsi="Times New Roman"/>
                <w:sz w:val="20"/>
                <w:szCs w:val="20"/>
              </w:rPr>
              <w:t>SEBI Takeover Regulations/ Takeover Regulations/ Takeover Code</w:t>
            </w:r>
          </w:p>
        </w:tc>
        <w:tc>
          <w:tcPr>
            <w:tcW w:w="3633" w:type="pct"/>
            <w:shd w:val="clear" w:color="auto" w:fill="auto"/>
            <w:hideMark/>
          </w:tcPr>
          <w:p w14:paraId="5F1D36BE"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Calibri" w:hAnsi="Times New Roman"/>
                <w:color w:val="000000"/>
                <w:sz w:val="20"/>
                <w:szCs w:val="20"/>
              </w:rPr>
              <w:t>Securities and Exchange Board of India (Substantial Acquisition of Shares and Takeover) Regulations, 2011, as amended from time to time.</w:t>
            </w:r>
          </w:p>
        </w:tc>
      </w:tr>
      <w:tr w:rsidR="00F8631B" w:rsidRPr="00712F3C" w14:paraId="73292795" w14:textId="77777777" w:rsidTr="0049413B">
        <w:trPr>
          <w:trHeight w:val="20"/>
        </w:trPr>
        <w:tc>
          <w:tcPr>
            <w:tcW w:w="1367" w:type="pct"/>
            <w:shd w:val="clear" w:color="auto" w:fill="auto"/>
          </w:tcPr>
          <w:p w14:paraId="24274017" w14:textId="77777777" w:rsidR="00F8631B" w:rsidRPr="00712F3C" w:rsidRDefault="00F8631B" w:rsidP="00250DAC">
            <w:pPr>
              <w:autoSpaceDE w:val="0"/>
              <w:autoSpaceDN w:val="0"/>
              <w:adjustRightInd w:val="0"/>
              <w:spacing w:after="0" w:line="240" w:lineRule="auto"/>
              <w:rPr>
                <w:rFonts w:ascii="Times New Roman" w:eastAsia="MS Mincho" w:hAnsi="Times New Roman"/>
                <w:sz w:val="20"/>
                <w:szCs w:val="20"/>
              </w:rPr>
            </w:pPr>
            <w:r w:rsidRPr="00712F3C">
              <w:rPr>
                <w:rFonts w:ascii="Times New Roman" w:eastAsia="MS Mincho" w:hAnsi="Times New Roman"/>
                <w:sz w:val="20"/>
                <w:szCs w:val="20"/>
              </w:rPr>
              <w:t xml:space="preserve">SEBI (PFUTP) Regulations/ PFUTP Regulations </w:t>
            </w:r>
          </w:p>
        </w:tc>
        <w:tc>
          <w:tcPr>
            <w:tcW w:w="3633" w:type="pct"/>
            <w:shd w:val="clear" w:color="auto" w:fill="auto"/>
          </w:tcPr>
          <w:p w14:paraId="10D26995" w14:textId="77777777" w:rsidR="00F8631B" w:rsidRPr="00712F3C" w:rsidRDefault="00F8631B" w:rsidP="00250DAC">
            <w:pPr>
              <w:autoSpaceDE w:val="0"/>
              <w:autoSpaceDN w:val="0"/>
              <w:adjustRightInd w:val="0"/>
              <w:spacing w:after="0" w:line="240" w:lineRule="auto"/>
              <w:jc w:val="both"/>
              <w:rPr>
                <w:rFonts w:ascii="Times New Roman" w:eastAsia="MS Mincho" w:hAnsi="Times New Roman"/>
                <w:sz w:val="20"/>
                <w:szCs w:val="20"/>
              </w:rPr>
            </w:pPr>
            <w:r w:rsidRPr="00712F3C">
              <w:rPr>
                <w:rFonts w:ascii="Times New Roman" w:eastAsia="MS Mincho" w:hAnsi="Times New Roman"/>
                <w:sz w:val="20"/>
                <w:szCs w:val="20"/>
              </w:rPr>
              <w:t>Securities and Exchange Board of India (Prohibition of Fraudulent and Unfair Trade Practices relating to Securities Markets) Regulations, 2003</w:t>
            </w:r>
          </w:p>
        </w:tc>
      </w:tr>
      <w:tr w:rsidR="00F8631B" w:rsidRPr="00712F3C" w14:paraId="6B9F14E9" w14:textId="77777777" w:rsidTr="0049413B">
        <w:trPr>
          <w:trHeight w:val="20"/>
        </w:trPr>
        <w:tc>
          <w:tcPr>
            <w:tcW w:w="1367" w:type="pct"/>
            <w:shd w:val="clear" w:color="auto" w:fill="auto"/>
            <w:hideMark/>
          </w:tcPr>
          <w:p w14:paraId="0CE070A6"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Calibri" w:hAnsi="Times New Roman"/>
                <w:color w:val="000000"/>
                <w:sz w:val="20"/>
                <w:szCs w:val="20"/>
              </w:rPr>
              <w:t>Stakeholders’ Relationship Committee</w:t>
            </w:r>
          </w:p>
        </w:tc>
        <w:tc>
          <w:tcPr>
            <w:tcW w:w="3633" w:type="pct"/>
            <w:shd w:val="clear" w:color="auto" w:fill="auto"/>
            <w:hideMark/>
          </w:tcPr>
          <w:p w14:paraId="194E4AFA"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Calibri" w:hAnsi="Times New Roman"/>
                <w:color w:val="000000"/>
                <w:sz w:val="20"/>
                <w:szCs w:val="20"/>
              </w:rPr>
              <w:t xml:space="preserve">Stakeholders’ relationship committee of our Company constituted </w:t>
            </w:r>
            <w:r w:rsidRPr="00712F3C">
              <w:rPr>
                <w:rFonts w:ascii="Times New Roman" w:eastAsia="MS Mincho" w:hAnsi="Times New Roman"/>
                <w:color w:val="000000"/>
                <w:sz w:val="20"/>
                <w:szCs w:val="20"/>
              </w:rPr>
              <w:t xml:space="preserve">in accordance with Section 178 of the Companies Act, 2013 </w:t>
            </w:r>
            <w:r w:rsidRPr="00712F3C">
              <w:rPr>
                <w:rFonts w:ascii="Times New Roman" w:eastAsia="MS Mincho" w:hAnsi="Times New Roman"/>
                <w:sz w:val="20"/>
                <w:szCs w:val="20"/>
              </w:rPr>
              <w:t xml:space="preserve">and as described in the chapter titled </w:t>
            </w:r>
            <w:r w:rsidRPr="00712F3C">
              <w:rPr>
                <w:rFonts w:ascii="Times New Roman" w:eastAsia="MS Mincho" w:hAnsi="Times New Roman"/>
                <w:b/>
                <w:i/>
                <w:sz w:val="20"/>
                <w:szCs w:val="20"/>
              </w:rPr>
              <w:t>“Our Management”</w:t>
            </w:r>
            <w:r w:rsidRPr="00712F3C">
              <w:rPr>
                <w:rFonts w:ascii="Times New Roman" w:eastAsia="MS Mincho" w:hAnsi="Times New Roman"/>
                <w:sz w:val="20"/>
                <w:szCs w:val="20"/>
              </w:rPr>
              <w:t xml:space="preserve"> beginning on page </w:t>
            </w:r>
            <w:r>
              <w:rPr>
                <w:rFonts w:ascii="Times New Roman" w:eastAsia="MS Mincho" w:hAnsi="Times New Roman"/>
                <w:sz w:val="20"/>
                <w:szCs w:val="20"/>
              </w:rPr>
              <w:t>111</w:t>
            </w:r>
            <w:r w:rsidRPr="00712F3C">
              <w:rPr>
                <w:rFonts w:ascii="Times New Roman" w:eastAsia="MS Mincho" w:hAnsi="Times New Roman"/>
                <w:sz w:val="20"/>
                <w:szCs w:val="20"/>
              </w:rPr>
              <w:t xml:space="preserve"> of this Draft </w:t>
            </w:r>
            <w:r w:rsidRPr="00712F3C">
              <w:rPr>
                <w:rFonts w:ascii="Times New Roman" w:hAnsi="Times New Roman"/>
                <w:iCs/>
                <w:sz w:val="20"/>
                <w:szCs w:val="20"/>
              </w:rPr>
              <w:t>Red Herring</w:t>
            </w:r>
            <w:r w:rsidRPr="00712F3C">
              <w:rPr>
                <w:rFonts w:ascii="Times New Roman" w:eastAsia="MS Mincho" w:hAnsi="Times New Roman"/>
                <w:sz w:val="20"/>
                <w:szCs w:val="20"/>
              </w:rPr>
              <w:t xml:space="preserve"> Prospectus </w:t>
            </w:r>
          </w:p>
        </w:tc>
      </w:tr>
      <w:tr w:rsidR="00F8631B" w:rsidRPr="00712F3C" w14:paraId="5FD2C046" w14:textId="77777777" w:rsidTr="0049413B">
        <w:trPr>
          <w:trHeight w:val="20"/>
        </w:trPr>
        <w:tc>
          <w:tcPr>
            <w:tcW w:w="1367" w:type="pct"/>
            <w:shd w:val="clear" w:color="auto" w:fill="auto"/>
            <w:hideMark/>
          </w:tcPr>
          <w:p w14:paraId="50F22268"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Calibri" w:hAnsi="Times New Roman"/>
                <w:color w:val="000000"/>
                <w:sz w:val="20"/>
                <w:szCs w:val="20"/>
              </w:rPr>
              <w:t>Stock Exchange</w:t>
            </w:r>
          </w:p>
        </w:tc>
        <w:tc>
          <w:tcPr>
            <w:tcW w:w="3633" w:type="pct"/>
            <w:shd w:val="clear" w:color="auto" w:fill="auto"/>
            <w:hideMark/>
          </w:tcPr>
          <w:p w14:paraId="741EE20B"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Calibri" w:hAnsi="Times New Roman"/>
                <w:color w:val="000000"/>
                <w:sz w:val="20"/>
                <w:szCs w:val="20"/>
              </w:rPr>
              <w:t xml:space="preserve">Unless the context requires otherwise, refers to, BSE Limited </w:t>
            </w:r>
          </w:p>
        </w:tc>
      </w:tr>
      <w:tr w:rsidR="00F8631B" w:rsidRPr="00712F3C" w14:paraId="2CC824CD" w14:textId="77777777" w:rsidTr="0049413B">
        <w:trPr>
          <w:trHeight w:val="20"/>
        </w:trPr>
        <w:tc>
          <w:tcPr>
            <w:tcW w:w="1367" w:type="pct"/>
            <w:shd w:val="clear" w:color="auto" w:fill="auto"/>
          </w:tcPr>
          <w:p w14:paraId="33271612" w14:textId="77777777" w:rsidR="00F8631B" w:rsidRPr="00712F3C" w:rsidRDefault="00F8631B" w:rsidP="00250DAC">
            <w:pPr>
              <w:spacing w:after="0" w:line="240" w:lineRule="auto"/>
              <w:jc w:val="both"/>
              <w:rPr>
                <w:rFonts w:ascii="Times New Roman" w:eastAsia="Calibri" w:hAnsi="Times New Roman"/>
                <w:color w:val="000000"/>
                <w:sz w:val="20"/>
                <w:szCs w:val="20"/>
              </w:rPr>
            </w:pPr>
            <w:r w:rsidRPr="00712F3C">
              <w:rPr>
                <w:rFonts w:ascii="Times New Roman" w:eastAsia="Calibri" w:hAnsi="Times New Roman"/>
                <w:color w:val="000000"/>
                <w:sz w:val="20"/>
                <w:szCs w:val="20"/>
              </w:rPr>
              <w:t xml:space="preserve">Shareholders </w:t>
            </w:r>
          </w:p>
        </w:tc>
        <w:tc>
          <w:tcPr>
            <w:tcW w:w="3633" w:type="pct"/>
            <w:shd w:val="clear" w:color="auto" w:fill="auto"/>
          </w:tcPr>
          <w:p w14:paraId="7D8685CE" w14:textId="77777777" w:rsidR="00F8631B" w:rsidRPr="00712F3C" w:rsidRDefault="00F8631B" w:rsidP="00250DAC">
            <w:pPr>
              <w:spacing w:after="0" w:line="240" w:lineRule="auto"/>
              <w:jc w:val="both"/>
              <w:rPr>
                <w:rFonts w:ascii="Times New Roman" w:eastAsia="Calibri" w:hAnsi="Times New Roman"/>
                <w:color w:val="000000"/>
                <w:sz w:val="20"/>
                <w:szCs w:val="20"/>
              </w:rPr>
            </w:pPr>
            <w:r w:rsidRPr="00712F3C">
              <w:rPr>
                <w:rFonts w:ascii="Times New Roman" w:eastAsia="Calibri" w:hAnsi="Times New Roman"/>
                <w:color w:val="000000"/>
                <w:sz w:val="20"/>
                <w:szCs w:val="20"/>
              </w:rPr>
              <w:t xml:space="preserve">Shareholders of our Company from time to time. </w:t>
            </w:r>
          </w:p>
        </w:tc>
      </w:tr>
      <w:tr w:rsidR="00F8631B" w:rsidRPr="00712F3C" w14:paraId="2B6B6746" w14:textId="77777777" w:rsidTr="0049413B">
        <w:trPr>
          <w:trHeight w:val="20"/>
        </w:trPr>
        <w:tc>
          <w:tcPr>
            <w:tcW w:w="1367" w:type="pct"/>
            <w:shd w:val="clear" w:color="auto" w:fill="auto"/>
            <w:hideMark/>
          </w:tcPr>
          <w:p w14:paraId="153894C8"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Calibri" w:hAnsi="Times New Roman"/>
                <w:color w:val="000000"/>
                <w:sz w:val="20"/>
                <w:szCs w:val="20"/>
              </w:rPr>
              <w:t>Sub- Account</w:t>
            </w:r>
          </w:p>
        </w:tc>
        <w:tc>
          <w:tcPr>
            <w:tcW w:w="3633" w:type="pct"/>
            <w:shd w:val="clear" w:color="auto" w:fill="auto"/>
            <w:hideMark/>
          </w:tcPr>
          <w:p w14:paraId="36B07AFF"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Calibri" w:hAnsi="Times New Roman"/>
                <w:color w:val="000000"/>
                <w:sz w:val="20"/>
                <w:szCs w:val="20"/>
              </w:rPr>
              <w:t xml:space="preserve">Sub- accounts registered with SEBI under the Securities and Exchange Board of India (Foreign Institutional Investor) Regulations, 1995, other than sub-accounts which are foreign corporate or foreign individuals. </w:t>
            </w:r>
          </w:p>
        </w:tc>
      </w:tr>
      <w:tr w:rsidR="00F8631B" w:rsidRPr="00712F3C" w14:paraId="49D784F6" w14:textId="77777777" w:rsidTr="0049413B">
        <w:trPr>
          <w:trHeight w:val="20"/>
        </w:trPr>
        <w:tc>
          <w:tcPr>
            <w:tcW w:w="1367" w:type="pct"/>
            <w:shd w:val="clear" w:color="auto" w:fill="auto"/>
            <w:hideMark/>
          </w:tcPr>
          <w:p w14:paraId="5265ABB7"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Calibri" w:hAnsi="Times New Roman"/>
                <w:color w:val="000000"/>
                <w:sz w:val="20"/>
                <w:szCs w:val="20"/>
              </w:rPr>
              <w:t>Subscriber to MOA</w:t>
            </w:r>
          </w:p>
        </w:tc>
        <w:tc>
          <w:tcPr>
            <w:tcW w:w="3633" w:type="pct"/>
            <w:shd w:val="clear" w:color="auto" w:fill="auto"/>
            <w:hideMark/>
          </w:tcPr>
          <w:p w14:paraId="217969AB" w14:textId="69B945E2" w:rsidR="00F8631B" w:rsidRPr="00712F3C" w:rsidRDefault="00F8631B" w:rsidP="00250DAC">
            <w:pPr>
              <w:spacing w:after="0" w:line="240" w:lineRule="auto"/>
              <w:jc w:val="both"/>
              <w:rPr>
                <w:rFonts w:ascii="Times New Roman" w:eastAsia="Calibri" w:hAnsi="Times New Roman"/>
                <w:color w:val="000000"/>
                <w:sz w:val="20"/>
                <w:szCs w:val="20"/>
              </w:rPr>
            </w:pPr>
            <w:r w:rsidRPr="00712F3C">
              <w:rPr>
                <w:rFonts w:ascii="Times New Roman" w:eastAsia="Calibri" w:hAnsi="Times New Roman"/>
                <w:color w:val="000000"/>
                <w:sz w:val="20"/>
                <w:szCs w:val="20"/>
              </w:rPr>
              <w:t xml:space="preserve">Initial Subscribers to MOA &amp; AOA being </w:t>
            </w:r>
            <w:r w:rsidR="00B8458C" w:rsidRPr="00B8458C">
              <w:rPr>
                <w:rFonts w:ascii="Times New Roman" w:eastAsia="Calibri" w:hAnsi="Times New Roman"/>
                <w:color w:val="000000"/>
                <w:sz w:val="20"/>
                <w:szCs w:val="20"/>
              </w:rPr>
              <w:t>Ramgopal Ochhavlal Maheshwari</w:t>
            </w:r>
            <w:r w:rsidR="00B8458C">
              <w:rPr>
                <w:rFonts w:ascii="Times New Roman" w:eastAsia="Calibri" w:hAnsi="Times New Roman"/>
                <w:color w:val="000000"/>
                <w:sz w:val="20"/>
                <w:szCs w:val="20"/>
              </w:rPr>
              <w:t xml:space="preserve"> and </w:t>
            </w:r>
            <w:r w:rsidR="00B8458C" w:rsidRPr="00B8458C">
              <w:rPr>
                <w:rFonts w:ascii="Times New Roman" w:eastAsia="Calibri" w:hAnsi="Times New Roman"/>
                <w:color w:val="000000"/>
                <w:sz w:val="20"/>
                <w:szCs w:val="20"/>
              </w:rPr>
              <w:t>Dhaval Jinesh Shah</w:t>
            </w:r>
            <w:r w:rsidRPr="00712F3C">
              <w:rPr>
                <w:rFonts w:ascii="Times New Roman" w:eastAsia="Calibri" w:hAnsi="Times New Roman"/>
                <w:color w:val="000000"/>
                <w:sz w:val="20"/>
                <w:szCs w:val="20"/>
              </w:rPr>
              <w:t xml:space="preserve">. </w:t>
            </w:r>
          </w:p>
        </w:tc>
      </w:tr>
    </w:tbl>
    <w:p w14:paraId="6C14A1EA" w14:textId="77777777" w:rsidR="00F8631B" w:rsidRPr="00712F3C" w:rsidRDefault="00F8631B" w:rsidP="00F8631B">
      <w:pPr>
        <w:pStyle w:val="NormalWeb"/>
        <w:rPr>
          <w:rFonts w:cs="Times New Roman"/>
          <w:sz w:val="20"/>
          <w:szCs w:val="20"/>
        </w:rPr>
      </w:pPr>
    </w:p>
    <w:p w14:paraId="6E9471F6" w14:textId="77777777" w:rsidR="00F8631B" w:rsidRPr="00712F3C" w:rsidRDefault="00F8631B" w:rsidP="00F8631B">
      <w:pPr>
        <w:pStyle w:val="NoSpacing"/>
        <w:spacing w:line="240" w:lineRule="auto"/>
        <w:jc w:val="both"/>
        <w:rPr>
          <w:rFonts w:eastAsia="Calibri"/>
          <w:b/>
          <w:u w:val="single"/>
        </w:rPr>
      </w:pPr>
      <w:r w:rsidRPr="00712F3C">
        <w:rPr>
          <w:rFonts w:eastAsia="Calibri"/>
          <w:b/>
          <w:u w:val="single"/>
        </w:rPr>
        <w:t>Issue Related Terms</w:t>
      </w:r>
    </w:p>
    <w:p w14:paraId="4FE4D032" w14:textId="77777777" w:rsidR="00F8631B" w:rsidRPr="00712F3C" w:rsidRDefault="00F8631B" w:rsidP="00F8631B">
      <w:pPr>
        <w:pStyle w:val="NormalWeb"/>
        <w:rPr>
          <w:rFonts w:cs="Times New Roman"/>
          <w:sz w:val="20"/>
          <w:szCs w:val="20"/>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006"/>
        <w:gridCol w:w="7445"/>
      </w:tblGrid>
      <w:tr w:rsidR="00F8631B" w:rsidRPr="00712F3C" w14:paraId="509602F8" w14:textId="77777777" w:rsidTr="00250DAC">
        <w:trPr>
          <w:trHeight w:val="20"/>
          <w:tblHeader/>
        </w:trPr>
        <w:tc>
          <w:tcPr>
            <w:tcW w:w="1438" w:type="pct"/>
            <w:shd w:val="clear" w:color="auto" w:fill="D0CECE" w:themeFill="background2" w:themeFillShade="E6"/>
            <w:hideMark/>
          </w:tcPr>
          <w:p w14:paraId="1813E250" w14:textId="77777777" w:rsidR="00F8631B" w:rsidRPr="00712F3C" w:rsidRDefault="00F8631B" w:rsidP="00250DAC">
            <w:pPr>
              <w:pStyle w:val="Default"/>
              <w:contextualSpacing/>
              <w:jc w:val="both"/>
              <w:rPr>
                <w:b/>
                <w:sz w:val="20"/>
                <w:szCs w:val="20"/>
              </w:rPr>
            </w:pPr>
            <w:r w:rsidRPr="00712F3C">
              <w:rPr>
                <w:b/>
                <w:sz w:val="20"/>
                <w:szCs w:val="20"/>
              </w:rPr>
              <w:t>Terms</w:t>
            </w:r>
          </w:p>
        </w:tc>
        <w:tc>
          <w:tcPr>
            <w:tcW w:w="3562" w:type="pct"/>
            <w:shd w:val="clear" w:color="auto" w:fill="D0CECE" w:themeFill="background2" w:themeFillShade="E6"/>
            <w:hideMark/>
          </w:tcPr>
          <w:p w14:paraId="4DDDC9DD" w14:textId="77777777" w:rsidR="00F8631B" w:rsidRPr="00712F3C" w:rsidRDefault="00F8631B" w:rsidP="00250DAC">
            <w:pPr>
              <w:pStyle w:val="Default"/>
              <w:contextualSpacing/>
              <w:jc w:val="both"/>
              <w:rPr>
                <w:b/>
                <w:sz w:val="20"/>
                <w:szCs w:val="20"/>
              </w:rPr>
            </w:pPr>
            <w:r w:rsidRPr="00712F3C">
              <w:rPr>
                <w:b/>
                <w:sz w:val="20"/>
                <w:szCs w:val="20"/>
              </w:rPr>
              <w:t>Description</w:t>
            </w:r>
          </w:p>
        </w:tc>
      </w:tr>
      <w:tr w:rsidR="00F8631B" w:rsidRPr="00712F3C" w14:paraId="397C9D0B" w14:textId="77777777" w:rsidTr="00250DAC">
        <w:trPr>
          <w:trHeight w:val="20"/>
        </w:trPr>
        <w:tc>
          <w:tcPr>
            <w:tcW w:w="1438" w:type="pct"/>
            <w:shd w:val="clear" w:color="auto" w:fill="auto"/>
          </w:tcPr>
          <w:p w14:paraId="25FCBC36" w14:textId="77777777" w:rsidR="00F8631B" w:rsidRPr="00712F3C" w:rsidRDefault="00F8631B" w:rsidP="00250DAC">
            <w:pPr>
              <w:pStyle w:val="Default"/>
              <w:ind w:right="259"/>
              <w:contextualSpacing/>
              <w:jc w:val="both"/>
              <w:rPr>
                <w:sz w:val="20"/>
                <w:szCs w:val="20"/>
              </w:rPr>
            </w:pPr>
            <w:r w:rsidRPr="00712F3C">
              <w:rPr>
                <w:sz w:val="20"/>
                <w:szCs w:val="20"/>
              </w:rPr>
              <w:t>Abridged Prospectus</w:t>
            </w:r>
          </w:p>
        </w:tc>
        <w:tc>
          <w:tcPr>
            <w:tcW w:w="3562" w:type="pct"/>
            <w:shd w:val="clear" w:color="auto" w:fill="auto"/>
          </w:tcPr>
          <w:p w14:paraId="6BCD2E78" w14:textId="77777777" w:rsidR="00F8631B" w:rsidRPr="00712F3C" w:rsidRDefault="00F8631B" w:rsidP="00250DAC">
            <w:pPr>
              <w:pStyle w:val="Default"/>
              <w:contextualSpacing/>
              <w:jc w:val="both"/>
              <w:rPr>
                <w:sz w:val="20"/>
                <w:szCs w:val="20"/>
              </w:rPr>
            </w:pPr>
            <w:r w:rsidRPr="00712F3C">
              <w:rPr>
                <w:sz w:val="20"/>
                <w:szCs w:val="20"/>
              </w:rPr>
              <w:t>Abridged prospectus means a memorandum containing such salient features of a prospectus as may be specified by SEBI in this behalf.</w:t>
            </w:r>
          </w:p>
        </w:tc>
      </w:tr>
      <w:tr w:rsidR="00F8631B" w:rsidRPr="00712F3C" w14:paraId="46A22059" w14:textId="77777777" w:rsidTr="00250DAC">
        <w:trPr>
          <w:trHeight w:val="20"/>
        </w:trPr>
        <w:tc>
          <w:tcPr>
            <w:tcW w:w="1438" w:type="pct"/>
            <w:shd w:val="clear" w:color="auto" w:fill="auto"/>
          </w:tcPr>
          <w:p w14:paraId="7CA174C0" w14:textId="77777777" w:rsidR="00F8631B" w:rsidRPr="00712F3C" w:rsidRDefault="00F8631B" w:rsidP="00250DAC">
            <w:pPr>
              <w:pStyle w:val="Default"/>
              <w:ind w:right="259"/>
              <w:contextualSpacing/>
              <w:jc w:val="both"/>
              <w:rPr>
                <w:sz w:val="20"/>
                <w:szCs w:val="20"/>
              </w:rPr>
            </w:pPr>
            <w:r w:rsidRPr="00712F3C">
              <w:rPr>
                <w:sz w:val="20"/>
                <w:szCs w:val="20"/>
              </w:rPr>
              <w:t>Acknowledgement Slip</w:t>
            </w:r>
          </w:p>
        </w:tc>
        <w:tc>
          <w:tcPr>
            <w:tcW w:w="3562" w:type="pct"/>
            <w:shd w:val="clear" w:color="auto" w:fill="auto"/>
          </w:tcPr>
          <w:p w14:paraId="5908EE12" w14:textId="02C5FDCF" w:rsidR="00F8631B" w:rsidRPr="00712F3C" w:rsidRDefault="00F8631B" w:rsidP="00250DAC">
            <w:pPr>
              <w:pStyle w:val="Default"/>
              <w:contextualSpacing/>
              <w:jc w:val="both"/>
              <w:rPr>
                <w:sz w:val="20"/>
                <w:szCs w:val="20"/>
              </w:rPr>
            </w:pPr>
            <w:r w:rsidRPr="00712F3C">
              <w:rPr>
                <w:sz w:val="20"/>
                <w:szCs w:val="20"/>
              </w:rPr>
              <w:t>The slip or document issued by the Designated Intermediary to a bidder as proof of registration of the Application.</w:t>
            </w:r>
          </w:p>
        </w:tc>
      </w:tr>
      <w:tr w:rsidR="00F8631B" w:rsidRPr="00712F3C" w14:paraId="72636099" w14:textId="77777777" w:rsidTr="00250DAC">
        <w:trPr>
          <w:trHeight w:val="20"/>
        </w:trPr>
        <w:tc>
          <w:tcPr>
            <w:tcW w:w="1438" w:type="pct"/>
            <w:shd w:val="clear" w:color="auto" w:fill="auto"/>
            <w:hideMark/>
          </w:tcPr>
          <w:p w14:paraId="54BFE12E" w14:textId="77777777" w:rsidR="00F8631B" w:rsidRPr="00712F3C" w:rsidRDefault="00F8631B" w:rsidP="00250DAC">
            <w:pPr>
              <w:pStyle w:val="Default"/>
              <w:contextualSpacing/>
              <w:jc w:val="both"/>
              <w:rPr>
                <w:sz w:val="20"/>
                <w:szCs w:val="20"/>
              </w:rPr>
            </w:pPr>
            <w:r w:rsidRPr="00712F3C">
              <w:rPr>
                <w:sz w:val="20"/>
                <w:szCs w:val="20"/>
              </w:rPr>
              <w:t>Allotment/ Allot/ Allotted</w:t>
            </w:r>
          </w:p>
        </w:tc>
        <w:tc>
          <w:tcPr>
            <w:tcW w:w="3562" w:type="pct"/>
            <w:shd w:val="clear" w:color="auto" w:fill="auto"/>
            <w:hideMark/>
          </w:tcPr>
          <w:p w14:paraId="602E7C4C" w14:textId="77777777" w:rsidR="00F8631B" w:rsidRPr="00712F3C" w:rsidRDefault="00F8631B" w:rsidP="00250DAC">
            <w:pPr>
              <w:pStyle w:val="Default"/>
              <w:contextualSpacing/>
              <w:jc w:val="both"/>
              <w:rPr>
                <w:sz w:val="20"/>
                <w:szCs w:val="20"/>
              </w:rPr>
            </w:pPr>
            <w:r w:rsidRPr="00712F3C">
              <w:rPr>
                <w:sz w:val="20"/>
                <w:szCs w:val="20"/>
              </w:rPr>
              <w:t>Unless the context otherwise requires, means the allotment of Equity Shares, pursuant to the Issue to the successful bidders.</w:t>
            </w:r>
          </w:p>
        </w:tc>
      </w:tr>
      <w:tr w:rsidR="00F8631B" w:rsidRPr="00712F3C" w14:paraId="0C683160" w14:textId="77777777" w:rsidTr="00250DAC">
        <w:trPr>
          <w:trHeight w:val="20"/>
        </w:trPr>
        <w:tc>
          <w:tcPr>
            <w:tcW w:w="1438" w:type="pct"/>
            <w:shd w:val="clear" w:color="auto" w:fill="auto"/>
            <w:hideMark/>
          </w:tcPr>
          <w:p w14:paraId="697DCA7C" w14:textId="77777777" w:rsidR="00F8631B" w:rsidRPr="00712F3C" w:rsidRDefault="00F8631B" w:rsidP="00250DAC">
            <w:pPr>
              <w:pStyle w:val="Default"/>
              <w:contextualSpacing/>
              <w:jc w:val="both"/>
              <w:rPr>
                <w:sz w:val="20"/>
                <w:szCs w:val="20"/>
              </w:rPr>
            </w:pPr>
            <w:r w:rsidRPr="00712F3C">
              <w:rPr>
                <w:sz w:val="20"/>
                <w:szCs w:val="20"/>
              </w:rPr>
              <w:t>Allotment Advice</w:t>
            </w:r>
          </w:p>
        </w:tc>
        <w:tc>
          <w:tcPr>
            <w:tcW w:w="3562" w:type="pct"/>
            <w:shd w:val="clear" w:color="auto" w:fill="auto"/>
            <w:hideMark/>
          </w:tcPr>
          <w:p w14:paraId="19CDEF76" w14:textId="77777777" w:rsidR="00F8631B" w:rsidRPr="00712F3C" w:rsidRDefault="00F8631B" w:rsidP="00250DAC">
            <w:pPr>
              <w:pStyle w:val="Default"/>
              <w:contextualSpacing/>
              <w:jc w:val="both"/>
              <w:rPr>
                <w:sz w:val="20"/>
                <w:szCs w:val="20"/>
              </w:rPr>
            </w:pPr>
            <w:r w:rsidRPr="00712F3C">
              <w:rPr>
                <w:sz w:val="20"/>
                <w:szCs w:val="20"/>
              </w:rPr>
              <w:t>A note or advice or intimation of Allotment sent to the successful Bidders who have been or are to be Allotted the Equity Shares after the Basis of Allotment has been approved by the Designated Stock Exchange.</w:t>
            </w:r>
          </w:p>
        </w:tc>
      </w:tr>
      <w:tr w:rsidR="00F8631B" w:rsidRPr="00712F3C" w14:paraId="669E6B92" w14:textId="77777777" w:rsidTr="00250DAC">
        <w:trPr>
          <w:trHeight w:val="20"/>
        </w:trPr>
        <w:tc>
          <w:tcPr>
            <w:tcW w:w="1438" w:type="pct"/>
            <w:shd w:val="clear" w:color="auto" w:fill="auto"/>
            <w:hideMark/>
          </w:tcPr>
          <w:p w14:paraId="143AE97F" w14:textId="77777777" w:rsidR="00F8631B" w:rsidRPr="00712F3C" w:rsidRDefault="00F8631B" w:rsidP="00250DAC">
            <w:pPr>
              <w:pStyle w:val="Default"/>
              <w:contextualSpacing/>
              <w:jc w:val="both"/>
              <w:rPr>
                <w:sz w:val="20"/>
                <w:szCs w:val="20"/>
              </w:rPr>
            </w:pPr>
            <w:r w:rsidRPr="00712F3C">
              <w:rPr>
                <w:sz w:val="20"/>
                <w:szCs w:val="20"/>
              </w:rPr>
              <w:t>Allottee (s)</w:t>
            </w:r>
          </w:p>
        </w:tc>
        <w:tc>
          <w:tcPr>
            <w:tcW w:w="3562" w:type="pct"/>
            <w:shd w:val="clear" w:color="auto" w:fill="auto"/>
            <w:hideMark/>
          </w:tcPr>
          <w:p w14:paraId="331C7AC3" w14:textId="359DD375" w:rsidR="00F8631B" w:rsidRPr="00712F3C" w:rsidRDefault="00F8631B" w:rsidP="00250DAC">
            <w:pPr>
              <w:pStyle w:val="Default"/>
              <w:contextualSpacing/>
              <w:jc w:val="both"/>
              <w:rPr>
                <w:sz w:val="20"/>
                <w:szCs w:val="20"/>
              </w:rPr>
            </w:pPr>
            <w:r w:rsidRPr="00712F3C">
              <w:rPr>
                <w:sz w:val="20"/>
                <w:szCs w:val="20"/>
              </w:rPr>
              <w:t xml:space="preserve">A </w:t>
            </w:r>
            <w:r w:rsidR="00B8458C" w:rsidRPr="00712F3C">
              <w:rPr>
                <w:sz w:val="20"/>
                <w:szCs w:val="20"/>
              </w:rPr>
              <w:t>successful bidder</w:t>
            </w:r>
            <w:r w:rsidRPr="00712F3C">
              <w:rPr>
                <w:sz w:val="20"/>
                <w:szCs w:val="20"/>
              </w:rPr>
              <w:t xml:space="preserve"> to whom the Equity Shares are allotted.</w:t>
            </w:r>
          </w:p>
        </w:tc>
      </w:tr>
      <w:tr w:rsidR="00F8631B" w:rsidRPr="00712F3C" w14:paraId="68C3F5A7"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6691ACFC" w14:textId="77777777" w:rsidR="00F8631B" w:rsidRPr="00712F3C" w:rsidRDefault="00F8631B" w:rsidP="00250DAC">
            <w:pPr>
              <w:pStyle w:val="Default"/>
              <w:contextualSpacing/>
              <w:jc w:val="both"/>
              <w:rPr>
                <w:sz w:val="20"/>
                <w:szCs w:val="20"/>
              </w:rPr>
            </w:pPr>
            <w:r w:rsidRPr="00712F3C">
              <w:rPr>
                <w:sz w:val="20"/>
                <w:szCs w:val="20"/>
              </w:rPr>
              <w:t>Anchor Investor(s)</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7DA61D6E" w14:textId="77777777" w:rsidR="00F8631B" w:rsidRPr="00712F3C" w:rsidRDefault="00F8631B" w:rsidP="00250DAC">
            <w:pPr>
              <w:pStyle w:val="Default"/>
              <w:contextualSpacing/>
              <w:jc w:val="both"/>
              <w:rPr>
                <w:sz w:val="20"/>
                <w:szCs w:val="20"/>
              </w:rPr>
            </w:pPr>
            <w:r w:rsidRPr="00712F3C">
              <w:rPr>
                <w:sz w:val="20"/>
                <w:szCs w:val="20"/>
              </w:rPr>
              <w:t>A Qualified Institutional Buyer, applying under the Anchor Investor Portion in accordance with the requirements specified in the SEBI ICDR Regulations and the Red Herring Prospectus and who has Bid for an amount of at least ₹ 200 lakhs.</w:t>
            </w:r>
          </w:p>
        </w:tc>
      </w:tr>
      <w:tr w:rsidR="00F8631B" w:rsidRPr="00712F3C" w14:paraId="14F34B73"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40B3E8B3" w14:textId="77777777" w:rsidR="00F8631B" w:rsidRPr="00712F3C" w:rsidRDefault="00F8631B" w:rsidP="00250DAC">
            <w:pPr>
              <w:pStyle w:val="Default"/>
              <w:contextualSpacing/>
              <w:jc w:val="both"/>
              <w:rPr>
                <w:sz w:val="20"/>
                <w:szCs w:val="20"/>
              </w:rPr>
            </w:pPr>
            <w:r w:rsidRPr="00712F3C">
              <w:rPr>
                <w:sz w:val="20"/>
                <w:szCs w:val="20"/>
              </w:rPr>
              <w:t>Anchor Investor Allocation Price</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50F2FD7B" w14:textId="77777777" w:rsidR="00F8631B" w:rsidRPr="00712F3C" w:rsidRDefault="00F8631B" w:rsidP="00250DAC">
            <w:pPr>
              <w:pStyle w:val="Default"/>
              <w:contextualSpacing/>
              <w:jc w:val="both"/>
              <w:rPr>
                <w:sz w:val="20"/>
                <w:szCs w:val="20"/>
              </w:rPr>
            </w:pPr>
            <w:r w:rsidRPr="00712F3C">
              <w:rPr>
                <w:sz w:val="20"/>
                <w:szCs w:val="20"/>
              </w:rPr>
              <w:t>The price at which Equity Shares will be allocated to the Anchor Investors in terms of the Red Herring Prospectus and the Prospectus, which will be decided by our Company in consultation with the Book Running Lead Managers during the Anchor Investor Bid/ Issue Period.</w:t>
            </w:r>
          </w:p>
        </w:tc>
      </w:tr>
      <w:tr w:rsidR="00F8631B" w:rsidRPr="00712F3C" w14:paraId="4C344960"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54A2469B" w14:textId="77777777" w:rsidR="00F8631B" w:rsidRPr="00712F3C" w:rsidRDefault="00F8631B" w:rsidP="00250DAC">
            <w:pPr>
              <w:pStyle w:val="Default"/>
              <w:contextualSpacing/>
              <w:jc w:val="both"/>
              <w:rPr>
                <w:sz w:val="20"/>
                <w:szCs w:val="20"/>
              </w:rPr>
            </w:pPr>
            <w:r w:rsidRPr="00712F3C">
              <w:rPr>
                <w:sz w:val="20"/>
                <w:szCs w:val="20"/>
              </w:rPr>
              <w:t>Anchor Investor Application Form</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707B7B40" w14:textId="77777777" w:rsidR="00F8631B" w:rsidRPr="00712F3C" w:rsidRDefault="00F8631B" w:rsidP="00250DAC">
            <w:pPr>
              <w:pStyle w:val="Default"/>
              <w:contextualSpacing/>
              <w:jc w:val="both"/>
              <w:rPr>
                <w:sz w:val="20"/>
                <w:szCs w:val="20"/>
              </w:rPr>
            </w:pPr>
            <w:r w:rsidRPr="00712F3C">
              <w:rPr>
                <w:sz w:val="20"/>
                <w:szCs w:val="20"/>
              </w:rPr>
              <w:t>The application form used by an Anchor Investor to make a Bid in the Anchor Investor Portion and which will be considered as an application for Allotment in terms of the Red Herring Prospectus and Prospectus</w:t>
            </w:r>
          </w:p>
        </w:tc>
      </w:tr>
      <w:tr w:rsidR="00F8631B" w:rsidRPr="00712F3C" w14:paraId="0906478F"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0CEFBCEC" w14:textId="77777777" w:rsidR="00F8631B" w:rsidRPr="00712F3C" w:rsidRDefault="00F8631B" w:rsidP="00250DAC">
            <w:pPr>
              <w:pStyle w:val="Default"/>
              <w:contextualSpacing/>
              <w:jc w:val="both"/>
              <w:rPr>
                <w:sz w:val="20"/>
                <w:szCs w:val="20"/>
              </w:rPr>
            </w:pPr>
            <w:r w:rsidRPr="00712F3C">
              <w:rPr>
                <w:sz w:val="20"/>
                <w:szCs w:val="20"/>
              </w:rPr>
              <w:t>Anchor Investor Bid/ Issue Period</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642F636D" w14:textId="77777777" w:rsidR="00F8631B" w:rsidRPr="00712F3C" w:rsidRDefault="00F8631B" w:rsidP="00250DAC">
            <w:pPr>
              <w:pStyle w:val="Default"/>
              <w:contextualSpacing/>
              <w:jc w:val="both"/>
              <w:rPr>
                <w:sz w:val="20"/>
                <w:szCs w:val="20"/>
              </w:rPr>
            </w:pPr>
            <w:r w:rsidRPr="00712F3C">
              <w:rPr>
                <w:sz w:val="20"/>
                <w:szCs w:val="20"/>
              </w:rPr>
              <w:t>One Working Day prior to the Bid/ Issue Opening Date, on which Bids by Anchor Investors shall be submitted and allocation to the Anchor Investors shall be completed.</w:t>
            </w:r>
          </w:p>
        </w:tc>
      </w:tr>
      <w:tr w:rsidR="00F8631B" w:rsidRPr="00712F3C" w14:paraId="6F84993B"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50F3EF32" w14:textId="77777777" w:rsidR="00F8631B" w:rsidRPr="00712F3C" w:rsidRDefault="00F8631B" w:rsidP="00250DAC">
            <w:pPr>
              <w:pStyle w:val="Default"/>
              <w:contextualSpacing/>
              <w:jc w:val="both"/>
              <w:rPr>
                <w:sz w:val="20"/>
                <w:szCs w:val="20"/>
              </w:rPr>
            </w:pPr>
            <w:r w:rsidRPr="00712F3C">
              <w:rPr>
                <w:sz w:val="20"/>
                <w:szCs w:val="20"/>
              </w:rPr>
              <w:t>Anchor Investor Issue Price</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392C3E7C" w14:textId="77777777" w:rsidR="00F8631B" w:rsidRPr="00712F3C" w:rsidRDefault="00F8631B" w:rsidP="00250DAC">
            <w:pPr>
              <w:pStyle w:val="Default"/>
              <w:contextualSpacing/>
              <w:jc w:val="both"/>
              <w:rPr>
                <w:sz w:val="20"/>
                <w:szCs w:val="20"/>
              </w:rPr>
            </w:pPr>
            <w:r w:rsidRPr="00712F3C">
              <w:rPr>
                <w:sz w:val="20"/>
                <w:szCs w:val="20"/>
              </w:rPr>
              <w:t>The final price at which the Equity Shares will be Allotted to the Anchor Investors in terms of the Red Herring Prospectus and the Prospectus, which price will be equal to or higher than the Issue Price but not higher than the Cap Price.</w:t>
            </w:r>
          </w:p>
          <w:p w14:paraId="7165F568" w14:textId="77777777" w:rsidR="00F8631B" w:rsidRPr="00712F3C" w:rsidRDefault="00F8631B" w:rsidP="00250DAC">
            <w:pPr>
              <w:pStyle w:val="Default"/>
              <w:contextualSpacing/>
              <w:jc w:val="both"/>
              <w:rPr>
                <w:sz w:val="20"/>
                <w:szCs w:val="20"/>
              </w:rPr>
            </w:pPr>
            <w:r w:rsidRPr="00712F3C">
              <w:rPr>
                <w:sz w:val="20"/>
                <w:szCs w:val="20"/>
              </w:rPr>
              <w:t>The Anchor Investor Issue Price will be decided by our Company, in consultation with the Book Running Lead Managers</w:t>
            </w:r>
          </w:p>
        </w:tc>
      </w:tr>
      <w:tr w:rsidR="00F8631B" w:rsidRPr="00712F3C" w14:paraId="3A3EED99"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4CF74F6A" w14:textId="77777777" w:rsidR="00F8631B" w:rsidRPr="00712F3C" w:rsidRDefault="00F8631B" w:rsidP="00250DAC">
            <w:pPr>
              <w:pStyle w:val="Default"/>
              <w:contextualSpacing/>
              <w:jc w:val="both"/>
              <w:rPr>
                <w:sz w:val="20"/>
                <w:szCs w:val="20"/>
              </w:rPr>
            </w:pPr>
            <w:r w:rsidRPr="00712F3C">
              <w:rPr>
                <w:sz w:val="20"/>
                <w:szCs w:val="20"/>
              </w:rPr>
              <w:t>Anchor Investor Portion</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46AE6D66" w14:textId="77777777" w:rsidR="00F8631B" w:rsidRPr="00712F3C" w:rsidRDefault="00F8631B" w:rsidP="00250DAC">
            <w:pPr>
              <w:pStyle w:val="Default"/>
              <w:contextualSpacing/>
              <w:jc w:val="both"/>
              <w:rPr>
                <w:sz w:val="20"/>
                <w:szCs w:val="20"/>
              </w:rPr>
            </w:pPr>
            <w:r w:rsidRPr="00712F3C">
              <w:rPr>
                <w:sz w:val="20"/>
                <w:szCs w:val="20"/>
              </w:rPr>
              <w:t>Up to 60% of the QIB Portion which may be allocated by our Company, in consultation with the Book Running Lead Managers, to the Anchor Investors on a discretionary basis in accordance with the SEBI ICDR Regulations.</w:t>
            </w:r>
          </w:p>
          <w:p w14:paraId="2CA7BE5E" w14:textId="77777777" w:rsidR="00F8631B" w:rsidRPr="00712F3C" w:rsidRDefault="00F8631B" w:rsidP="00250DAC">
            <w:pPr>
              <w:pStyle w:val="Default"/>
              <w:contextualSpacing/>
              <w:jc w:val="both"/>
              <w:rPr>
                <w:sz w:val="20"/>
                <w:szCs w:val="20"/>
              </w:rPr>
            </w:pPr>
            <w:r w:rsidRPr="00712F3C">
              <w:rPr>
                <w:sz w:val="20"/>
                <w:szCs w:val="20"/>
              </w:rPr>
              <w:lastRenderedPageBreak/>
              <w:t>One-third of the Anchor Investor Portion shall be reserved for domestic Mutual Funds, subject to valid Bids being received from domestic Mutual Funds at or above the Anchor Investor Allocation Price, in accordance with the SEBI ICDR Regulations.</w:t>
            </w:r>
          </w:p>
        </w:tc>
      </w:tr>
      <w:tr w:rsidR="00F8631B" w:rsidRPr="00712F3C" w14:paraId="53B99AD5"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1B2DCB12" w14:textId="77777777" w:rsidR="00F8631B" w:rsidRPr="00712F3C" w:rsidRDefault="00F8631B" w:rsidP="00250DAC">
            <w:pPr>
              <w:pStyle w:val="Default"/>
              <w:contextualSpacing/>
              <w:jc w:val="both"/>
              <w:rPr>
                <w:sz w:val="20"/>
                <w:szCs w:val="20"/>
              </w:rPr>
            </w:pPr>
            <w:r w:rsidRPr="00712F3C">
              <w:rPr>
                <w:sz w:val="20"/>
                <w:szCs w:val="20"/>
              </w:rPr>
              <w:lastRenderedPageBreak/>
              <w:t>Application Supported by Block Amount (ASBA)</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46D425C4" w14:textId="00A69A90" w:rsidR="00F8631B" w:rsidRPr="00712F3C" w:rsidRDefault="00F8631B" w:rsidP="00250DAC">
            <w:pPr>
              <w:pStyle w:val="Default"/>
              <w:contextualSpacing/>
              <w:jc w:val="both"/>
              <w:rPr>
                <w:sz w:val="20"/>
                <w:szCs w:val="20"/>
              </w:rPr>
            </w:pPr>
            <w:r w:rsidRPr="00712F3C">
              <w:rPr>
                <w:sz w:val="20"/>
                <w:szCs w:val="20"/>
              </w:rPr>
              <w:t>An application, whether physical or electronic, used by ASBA Bidders,</w:t>
            </w:r>
            <w:r>
              <w:rPr>
                <w:sz w:val="20"/>
                <w:szCs w:val="20"/>
              </w:rPr>
              <w:t xml:space="preserve"> to make a Bid and authorising </w:t>
            </w:r>
            <w:r w:rsidRPr="00712F3C">
              <w:rPr>
                <w:sz w:val="20"/>
                <w:szCs w:val="20"/>
              </w:rPr>
              <w:t>an SC</w:t>
            </w:r>
            <w:r>
              <w:rPr>
                <w:sz w:val="20"/>
                <w:szCs w:val="20"/>
              </w:rPr>
              <w:t>SB to</w:t>
            </w:r>
            <w:r w:rsidRPr="00712F3C">
              <w:rPr>
                <w:sz w:val="20"/>
                <w:szCs w:val="20"/>
              </w:rPr>
              <w:t xml:space="preserve"> block </w:t>
            </w:r>
            <w:r>
              <w:rPr>
                <w:sz w:val="20"/>
                <w:szCs w:val="20"/>
              </w:rPr>
              <w:t xml:space="preserve">the Bid Amount in the ASBA Account and will </w:t>
            </w:r>
            <w:r w:rsidRPr="00712F3C">
              <w:rPr>
                <w:sz w:val="20"/>
                <w:szCs w:val="20"/>
              </w:rPr>
              <w:t>include</w:t>
            </w:r>
            <w:r>
              <w:rPr>
                <w:sz w:val="20"/>
                <w:szCs w:val="20"/>
              </w:rPr>
              <w:t xml:space="preserve"> </w:t>
            </w:r>
            <w:r w:rsidRPr="00712F3C">
              <w:rPr>
                <w:sz w:val="20"/>
                <w:szCs w:val="20"/>
              </w:rPr>
              <w:t>amounts blocked by the SCSB upon acceptance of UPI Mandate Request by the UPI Bidders using the UPI Mechanism.</w:t>
            </w:r>
          </w:p>
        </w:tc>
      </w:tr>
      <w:tr w:rsidR="00F8631B" w:rsidRPr="00712F3C" w14:paraId="13338CA8"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1275B3ED" w14:textId="77777777" w:rsidR="00F8631B" w:rsidRPr="00712F3C" w:rsidRDefault="00F8631B" w:rsidP="00250DAC">
            <w:pPr>
              <w:pStyle w:val="Default"/>
              <w:contextualSpacing/>
              <w:jc w:val="both"/>
              <w:rPr>
                <w:sz w:val="20"/>
                <w:szCs w:val="20"/>
              </w:rPr>
            </w:pPr>
            <w:r w:rsidRPr="00712F3C">
              <w:rPr>
                <w:sz w:val="20"/>
                <w:szCs w:val="20"/>
              </w:rPr>
              <w:t>ASBA Account</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488436B5" w14:textId="77777777" w:rsidR="00F8631B" w:rsidRPr="00712F3C" w:rsidRDefault="00F8631B" w:rsidP="00250DAC">
            <w:pPr>
              <w:pStyle w:val="Default"/>
              <w:contextualSpacing/>
              <w:jc w:val="both"/>
              <w:rPr>
                <w:sz w:val="20"/>
                <w:szCs w:val="20"/>
              </w:rPr>
            </w:pPr>
            <w:r w:rsidRPr="00712F3C">
              <w:rPr>
                <w:sz w:val="20"/>
                <w:szCs w:val="20"/>
              </w:rPr>
              <w:t>A bank account maintained by ASBA Bidders with an SCSB and specified in the ASBA Form submitted by such ASBA Bidder in which funds will be blocked by such SCSB to the extent of the specified in the ASBA Form submitted by such ASBA Bidder and includes a bank account maintained by a Retail Individual Investor linked to a UPI ID, which will be blocked in relation to a Bid by a Retail Individual Investor Bidding through the UPI Mechanism.</w:t>
            </w:r>
          </w:p>
        </w:tc>
      </w:tr>
      <w:tr w:rsidR="00F8631B" w:rsidRPr="00712F3C" w14:paraId="356033F7"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3BA7C6C6" w14:textId="77777777" w:rsidR="00F8631B" w:rsidRPr="00712F3C" w:rsidRDefault="00F8631B" w:rsidP="00250DAC">
            <w:pPr>
              <w:pStyle w:val="Default"/>
              <w:contextualSpacing/>
              <w:jc w:val="both"/>
              <w:rPr>
                <w:sz w:val="20"/>
                <w:szCs w:val="20"/>
              </w:rPr>
            </w:pPr>
            <w:r w:rsidRPr="00712F3C">
              <w:rPr>
                <w:sz w:val="20"/>
                <w:szCs w:val="20"/>
              </w:rPr>
              <w:t>ASBA Application Location(s)/ Specified Cities</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2E81672F" w14:textId="77777777" w:rsidR="00F8631B" w:rsidRPr="00712F3C" w:rsidRDefault="00F8631B" w:rsidP="00250DAC">
            <w:pPr>
              <w:pStyle w:val="Default"/>
              <w:contextualSpacing/>
              <w:jc w:val="both"/>
              <w:rPr>
                <w:sz w:val="20"/>
                <w:szCs w:val="20"/>
              </w:rPr>
            </w:pPr>
            <w:r w:rsidRPr="00712F3C">
              <w:rPr>
                <w:sz w:val="20"/>
                <w:szCs w:val="20"/>
              </w:rPr>
              <w:t>Locations at which ASBA Applications can be uploaded by the SCSBs, namely Mumbai, New Delhi, Chennai, Kolkata and Ahmedabad.</w:t>
            </w:r>
          </w:p>
        </w:tc>
      </w:tr>
      <w:tr w:rsidR="00F8631B" w:rsidRPr="00712F3C" w14:paraId="272ABF8A"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46B665EB" w14:textId="77777777" w:rsidR="00F8631B" w:rsidRPr="00712F3C" w:rsidRDefault="00F8631B" w:rsidP="00250DAC">
            <w:pPr>
              <w:pStyle w:val="Default"/>
              <w:contextualSpacing/>
              <w:jc w:val="both"/>
              <w:rPr>
                <w:sz w:val="20"/>
                <w:szCs w:val="20"/>
              </w:rPr>
            </w:pPr>
            <w:r w:rsidRPr="00712F3C">
              <w:rPr>
                <w:sz w:val="20"/>
                <w:szCs w:val="20"/>
              </w:rPr>
              <w:t>ASBA Bidder</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5E70C462" w14:textId="77777777" w:rsidR="00F8631B" w:rsidRPr="00712F3C" w:rsidRDefault="00F8631B" w:rsidP="00250DAC">
            <w:pPr>
              <w:pStyle w:val="Default"/>
              <w:contextualSpacing/>
              <w:jc w:val="both"/>
              <w:rPr>
                <w:sz w:val="20"/>
                <w:szCs w:val="20"/>
              </w:rPr>
            </w:pPr>
            <w:r w:rsidRPr="00712F3C">
              <w:rPr>
                <w:sz w:val="20"/>
                <w:szCs w:val="20"/>
              </w:rPr>
              <w:t>Any prospective investor(s) / Bidder (s) in this Issue who apply(ies) through the ASBA process except Anchor Investor.</w:t>
            </w:r>
          </w:p>
        </w:tc>
      </w:tr>
      <w:tr w:rsidR="00F8631B" w:rsidRPr="00712F3C" w14:paraId="4A7EFC7C"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2E02E61A" w14:textId="77777777" w:rsidR="00F8631B" w:rsidRPr="00712F3C" w:rsidRDefault="00F8631B" w:rsidP="00250DAC">
            <w:pPr>
              <w:pStyle w:val="Default"/>
              <w:contextualSpacing/>
              <w:jc w:val="both"/>
              <w:rPr>
                <w:sz w:val="20"/>
                <w:szCs w:val="20"/>
              </w:rPr>
            </w:pPr>
            <w:r w:rsidRPr="00712F3C">
              <w:rPr>
                <w:sz w:val="20"/>
                <w:szCs w:val="20"/>
              </w:rPr>
              <w:t>ASBA Form/ Bid cum Application</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40424C89" w14:textId="37AE838F" w:rsidR="00F8631B" w:rsidRPr="00712F3C" w:rsidRDefault="00F8631B" w:rsidP="00250DAC">
            <w:pPr>
              <w:pStyle w:val="Default"/>
              <w:contextualSpacing/>
              <w:jc w:val="both"/>
              <w:rPr>
                <w:sz w:val="20"/>
                <w:szCs w:val="20"/>
              </w:rPr>
            </w:pPr>
            <w:r w:rsidRPr="00712F3C">
              <w:rPr>
                <w:sz w:val="20"/>
                <w:szCs w:val="20"/>
              </w:rPr>
              <w:t xml:space="preserve">An </w:t>
            </w:r>
            <w:r w:rsidR="00B8458C">
              <w:rPr>
                <w:sz w:val="20"/>
                <w:szCs w:val="20"/>
              </w:rPr>
              <w:t>a</w:t>
            </w:r>
            <w:r w:rsidRPr="00712F3C">
              <w:rPr>
                <w:sz w:val="20"/>
                <w:szCs w:val="20"/>
              </w:rPr>
              <w:t>pplication form (with or without UPI ID, as applicable), whether physical or electronic, used by Bidders which will be considered as the application for Allotment in terms of the Red Herring Prospectus or the Prospectus.</w:t>
            </w:r>
          </w:p>
        </w:tc>
      </w:tr>
      <w:tr w:rsidR="00F8631B" w:rsidRPr="00712F3C" w14:paraId="26E55C9B"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04A8FD4A" w14:textId="77777777" w:rsidR="00F8631B" w:rsidRPr="00712F3C" w:rsidRDefault="00F8631B" w:rsidP="00250DAC">
            <w:pPr>
              <w:pStyle w:val="Default"/>
              <w:contextualSpacing/>
              <w:jc w:val="both"/>
              <w:rPr>
                <w:sz w:val="20"/>
                <w:szCs w:val="20"/>
              </w:rPr>
            </w:pPr>
            <w:r w:rsidRPr="00712F3C">
              <w:rPr>
                <w:sz w:val="20"/>
                <w:szCs w:val="20"/>
              </w:rPr>
              <w:t>Banker to the Issue Agreement</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6209A3FF" w14:textId="77777777" w:rsidR="00F8631B" w:rsidRPr="00712F3C" w:rsidRDefault="00F8631B" w:rsidP="00250DAC">
            <w:pPr>
              <w:pStyle w:val="Default"/>
              <w:contextualSpacing/>
              <w:jc w:val="both"/>
              <w:rPr>
                <w:sz w:val="20"/>
                <w:szCs w:val="20"/>
              </w:rPr>
            </w:pPr>
            <w:r w:rsidRPr="00712F3C">
              <w:rPr>
                <w:sz w:val="20"/>
                <w:szCs w:val="20"/>
              </w:rPr>
              <w:t>Agreement dated [●] entered into amongst the Company, Book Running Lead Manager, the Registrar, Sponsor Bank and the Banker to the Issue.</w:t>
            </w:r>
          </w:p>
        </w:tc>
      </w:tr>
      <w:tr w:rsidR="00F8631B" w:rsidRPr="00712F3C" w14:paraId="7C1D4A29"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481E8086" w14:textId="77777777" w:rsidR="00F8631B" w:rsidRPr="00712F3C" w:rsidRDefault="00F8631B" w:rsidP="00250DAC">
            <w:pPr>
              <w:pStyle w:val="Default"/>
              <w:contextualSpacing/>
              <w:jc w:val="both"/>
              <w:rPr>
                <w:sz w:val="20"/>
                <w:szCs w:val="20"/>
              </w:rPr>
            </w:pPr>
            <w:r w:rsidRPr="00712F3C">
              <w:rPr>
                <w:sz w:val="20"/>
                <w:szCs w:val="20"/>
              </w:rPr>
              <w:t>Bankers to the Issue/ Public Issue Bank/ Sponsor Bank</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553562D4" w14:textId="77777777" w:rsidR="00F8631B" w:rsidRPr="00712F3C" w:rsidRDefault="00F8631B" w:rsidP="00250DAC">
            <w:pPr>
              <w:pStyle w:val="Default"/>
              <w:contextualSpacing/>
              <w:jc w:val="both"/>
              <w:rPr>
                <w:sz w:val="20"/>
                <w:szCs w:val="20"/>
              </w:rPr>
            </w:pPr>
            <w:r w:rsidRPr="00712F3C">
              <w:rPr>
                <w:sz w:val="20"/>
                <w:szCs w:val="20"/>
              </w:rPr>
              <w:t>Banks which are clearing members and registered with SEBI as Bankers to an Issue and with whom the Public Issue Account will be opened, in this case being [●]</w:t>
            </w:r>
          </w:p>
        </w:tc>
      </w:tr>
      <w:tr w:rsidR="00F8631B" w:rsidRPr="00712F3C" w14:paraId="318AAE97"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0AB2FD5C" w14:textId="77777777" w:rsidR="00F8631B" w:rsidRPr="00712F3C" w:rsidRDefault="00F8631B" w:rsidP="00250DAC">
            <w:pPr>
              <w:pStyle w:val="Default"/>
              <w:contextualSpacing/>
              <w:jc w:val="both"/>
              <w:rPr>
                <w:sz w:val="20"/>
                <w:szCs w:val="20"/>
              </w:rPr>
            </w:pPr>
            <w:r w:rsidRPr="00712F3C">
              <w:rPr>
                <w:sz w:val="20"/>
                <w:szCs w:val="20"/>
              </w:rPr>
              <w:t>Basis of Allotment</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0FAE6CA5" w14:textId="77777777" w:rsidR="00F8631B" w:rsidRPr="00712F3C" w:rsidRDefault="00F8631B" w:rsidP="00250DAC">
            <w:pPr>
              <w:pStyle w:val="Default"/>
              <w:contextualSpacing/>
              <w:jc w:val="both"/>
              <w:rPr>
                <w:sz w:val="20"/>
                <w:szCs w:val="20"/>
              </w:rPr>
            </w:pPr>
            <w:r w:rsidRPr="00712F3C">
              <w:rPr>
                <w:sz w:val="20"/>
                <w:szCs w:val="20"/>
              </w:rPr>
              <w:t xml:space="preserve">The basis on which the Equity Shares will be Allotted to successful bidders under the issue and which is described in the chapter titled </w:t>
            </w:r>
            <w:r w:rsidRPr="00712F3C">
              <w:rPr>
                <w:b/>
                <w:i/>
                <w:sz w:val="20"/>
                <w:szCs w:val="20"/>
              </w:rPr>
              <w:t>“Issue Procedure”</w:t>
            </w:r>
            <w:r w:rsidRPr="00712F3C">
              <w:rPr>
                <w:sz w:val="20"/>
                <w:szCs w:val="20"/>
              </w:rPr>
              <w:t xml:space="preserve"> beginning on page </w:t>
            </w:r>
            <w:r>
              <w:rPr>
                <w:iCs/>
                <w:sz w:val="20"/>
                <w:szCs w:val="20"/>
              </w:rPr>
              <w:t>216</w:t>
            </w:r>
            <w:r w:rsidRPr="00712F3C">
              <w:rPr>
                <w:i/>
                <w:iCs/>
                <w:sz w:val="20"/>
                <w:szCs w:val="20"/>
              </w:rPr>
              <w:t xml:space="preserve"> </w:t>
            </w:r>
            <w:r w:rsidRPr="00712F3C">
              <w:rPr>
                <w:sz w:val="20"/>
                <w:szCs w:val="20"/>
              </w:rPr>
              <w:t>of this Draft Red Herring Prospectus.</w:t>
            </w:r>
          </w:p>
        </w:tc>
      </w:tr>
      <w:tr w:rsidR="00F8631B" w:rsidRPr="00712F3C" w14:paraId="2D00C0AF"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3058969F" w14:textId="77777777" w:rsidR="00F8631B" w:rsidRPr="00712F3C" w:rsidRDefault="00F8631B" w:rsidP="00250DAC">
            <w:pPr>
              <w:pStyle w:val="Default"/>
              <w:contextualSpacing/>
              <w:jc w:val="both"/>
              <w:rPr>
                <w:sz w:val="20"/>
                <w:szCs w:val="20"/>
              </w:rPr>
            </w:pPr>
            <w:r w:rsidRPr="00712F3C">
              <w:rPr>
                <w:sz w:val="20"/>
                <w:szCs w:val="20"/>
              </w:rPr>
              <w:t>Bid</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51971B57" w14:textId="77777777" w:rsidR="00F8631B" w:rsidRPr="00712F3C" w:rsidRDefault="00F8631B" w:rsidP="00250DAC">
            <w:pPr>
              <w:pStyle w:val="Default"/>
              <w:contextualSpacing/>
              <w:jc w:val="both"/>
              <w:rPr>
                <w:sz w:val="20"/>
                <w:szCs w:val="20"/>
              </w:rPr>
            </w:pPr>
            <w:r w:rsidRPr="00712F3C">
              <w:rPr>
                <w:sz w:val="20"/>
                <w:szCs w:val="20"/>
              </w:rPr>
              <w:t>An indication to make an offer during the Bid/ Issue Period by a Bidder (other than an Anchor Investor) pursuant to submission of the ASBA Form, or during the Anchor Investor Bid/ Issue Period by an Anchor Investor, pursuant to submission of the Anchor Investor Application Form, to subscribe to or purchase the Equity Shares at a price within the Price Band, including all revisions and modifications thereto as permitted under the SEBI ICDR Regulations and in terms of the Red Herring Prospectus and the Bid cum Application Form. The term “Bidding” shall be construed accordingly.</w:t>
            </w:r>
          </w:p>
        </w:tc>
      </w:tr>
      <w:tr w:rsidR="00F8631B" w:rsidRPr="00712F3C" w14:paraId="21334E5B"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10ECB884" w14:textId="77777777" w:rsidR="00F8631B" w:rsidRPr="00712F3C" w:rsidRDefault="00F8631B" w:rsidP="00250DAC">
            <w:pPr>
              <w:pStyle w:val="Default"/>
              <w:contextualSpacing/>
              <w:jc w:val="both"/>
              <w:rPr>
                <w:sz w:val="20"/>
                <w:szCs w:val="20"/>
              </w:rPr>
            </w:pPr>
            <w:r w:rsidRPr="00712F3C">
              <w:rPr>
                <w:sz w:val="20"/>
                <w:szCs w:val="20"/>
              </w:rPr>
              <w:t>Bid Amount</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646F699B" w14:textId="77777777" w:rsidR="00F8631B" w:rsidRPr="00712F3C" w:rsidRDefault="00F8631B" w:rsidP="00250DAC">
            <w:pPr>
              <w:pStyle w:val="Default"/>
              <w:contextualSpacing/>
              <w:jc w:val="both"/>
              <w:rPr>
                <w:sz w:val="20"/>
                <w:szCs w:val="20"/>
              </w:rPr>
            </w:pPr>
            <w:r w:rsidRPr="00712F3C">
              <w:rPr>
                <w:sz w:val="20"/>
                <w:szCs w:val="20"/>
              </w:rPr>
              <w:t>The highest value of optional Bids indicated in the Bid cum Application Form and in the case of Retail Individual Bidders Bidding at Cut Off Price, the Cap Price multiplied by the number of Equity Shares Bid for by such Retail Individual Bidder and mentioned in the Bid cum Application Form and payable by the Retail Individual Bidder or blocked in the ASBA Account upon submission of the Bid in the Issue.</w:t>
            </w:r>
          </w:p>
        </w:tc>
      </w:tr>
      <w:tr w:rsidR="00F8631B" w:rsidRPr="00712F3C" w14:paraId="0881B2BB"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4851B3E1" w14:textId="77777777" w:rsidR="00F8631B" w:rsidRPr="00712F3C" w:rsidRDefault="00F8631B" w:rsidP="00250DAC">
            <w:pPr>
              <w:pStyle w:val="Default"/>
              <w:contextualSpacing/>
              <w:jc w:val="both"/>
              <w:rPr>
                <w:sz w:val="20"/>
                <w:szCs w:val="20"/>
              </w:rPr>
            </w:pPr>
            <w:r w:rsidRPr="00712F3C">
              <w:rPr>
                <w:sz w:val="20"/>
                <w:szCs w:val="20"/>
              </w:rPr>
              <w:t>Bid Lot</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016E88C6" w14:textId="77777777" w:rsidR="00F8631B" w:rsidRPr="00712F3C" w:rsidRDefault="00F8631B" w:rsidP="00250DAC">
            <w:pPr>
              <w:pStyle w:val="Default"/>
              <w:contextualSpacing/>
              <w:jc w:val="both"/>
              <w:rPr>
                <w:sz w:val="20"/>
                <w:szCs w:val="20"/>
              </w:rPr>
            </w:pPr>
            <w:r w:rsidRPr="00712F3C">
              <w:rPr>
                <w:sz w:val="20"/>
                <w:szCs w:val="20"/>
              </w:rPr>
              <w:t>[●] equity shares and in multiples of [●] equity shares thereafter.</w:t>
            </w:r>
          </w:p>
        </w:tc>
      </w:tr>
      <w:tr w:rsidR="00F8631B" w:rsidRPr="00712F3C" w14:paraId="12AA24EF"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72B25625" w14:textId="77777777" w:rsidR="00F8631B" w:rsidRPr="00712F3C" w:rsidRDefault="00F8631B" w:rsidP="00250DAC">
            <w:pPr>
              <w:pStyle w:val="Default"/>
              <w:contextualSpacing/>
              <w:jc w:val="both"/>
              <w:rPr>
                <w:sz w:val="20"/>
                <w:szCs w:val="20"/>
              </w:rPr>
            </w:pPr>
            <w:r w:rsidRPr="00712F3C">
              <w:rPr>
                <w:sz w:val="20"/>
                <w:szCs w:val="20"/>
              </w:rPr>
              <w:t>Bid/ Issue Closing Date</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3E9FC735" w14:textId="08029FE9" w:rsidR="00F8631B" w:rsidRPr="00712F3C" w:rsidRDefault="00F8631B" w:rsidP="00250DAC">
            <w:pPr>
              <w:pStyle w:val="Default"/>
              <w:contextualSpacing/>
              <w:jc w:val="both"/>
              <w:rPr>
                <w:sz w:val="20"/>
                <w:szCs w:val="20"/>
              </w:rPr>
            </w:pPr>
            <w:r w:rsidRPr="00712F3C">
              <w:rPr>
                <w:sz w:val="20"/>
                <w:szCs w:val="20"/>
              </w:rPr>
              <w:t xml:space="preserve">Except in relation to any Bids received from the Anchor Investors, the date after which the Syndicate, the Designated Branches and the Registered Brokers shall not accept the Bids, which shall be notified in in all editions of the </w:t>
            </w:r>
            <w:r w:rsidR="00D83D95" w:rsidRPr="00D83D95">
              <w:rPr>
                <w:bCs/>
                <w:sz w:val="20"/>
                <w:szCs w:val="20"/>
                <w:lang w:bidi="en-US"/>
              </w:rPr>
              <w:t>English national daily newspaper and all editions of [●], a Hindi national daily newspaper and Jamnagar edition of [●], a regional newspaper each with wide circulation</w:t>
            </w:r>
            <w:r w:rsidRPr="00712F3C">
              <w:rPr>
                <w:sz w:val="20"/>
                <w:szCs w:val="20"/>
              </w:rPr>
              <w:t>, and in case of any revision, the extended Bid/ Issue closing Date also to be notified on the website and terminals of the Syndicate, SCSB’s and Sponsor Bank, as required under the SEBI ICDR Regulations.</w:t>
            </w:r>
          </w:p>
        </w:tc>
      </w:tr>
      <w:tr w:rsidR="00F8631B" w:rsidRPr="00712F3C" w14:paraId="77907237"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24578EC9" w14:textId="77777777" w:rsidR="00F8631B" w:rsidRPr="00712F3C" w:rsidRDefault="00F8631B" w:rsidP="00250DAC">
            <w:pPr>
              <w:pStyle w:val="Default"/>
              <w:contextualSpacing/>
              <w:jc w:val="both"/>
              <w:rPr>
                <w:sz w:val="20"/>
                <w:szCs w:val="20"/>
              </w:rPr>
            </w:pPr>
            <w:r w:rsidRPr="00712F3C">
              <w:rPr>
                <w:sz w:val="20"/>
                <w:szCs w:val="20"/>
              </w:rPr>
              <w:t>Bid/ Issue Opening Date</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4E0D8411" w14:textId="46A0F5CB" w:rsidR="00F8631B" w:rsidRPr="00712F3C" w:rsidRDefault="00F8631B" w:rsidP="00250DAC">
            <w:pPr>
              <w:pStyle w:val="Default"/>
              <w:contextualSpacing/>
              <w:jc w:val="both"/>
              <w:rPr>
                <w:sz w:val="20"/>
                <w:szCs w:val="20"/>
              </w:rPr>
            </w:pPr>
            <w:r w:rsidRPr="00712F3C">
              <w:rPr>
                <w:sz w:val="20"/>
                <w:szCs w:val="20"/>
              </w:rPr>
              <w:t xml:space="preserve">Except in relation to any Bids received from the Anchor Investors, the date on which the Syndicate, the Designated Branches and the Registered Brokers shall start accepting Bids, which shall be notified in in all editions of the </w:t>
            </w:r>
            <w:r w:rsidR="00D83D95" w:rsidRPr="00D83D95">
              <w:rPr>
                <w:bCs/>
                <w:sz w:val="20"/>
                <w:szCs w:val="20"/>
                <w:lang w:bidi="en-US"/>
              </w:rPr>
              <w:t>English national daily newspaper and all editions of [●], a Hindi national daily newspaper and Jamnagar edition of [●], a regional newspaper each with wide circulation</w:t>
            </w:r>
            <w:r w:rsidRPr="00712F3C">
              <w:rPr>
                <w:sz w:val="20"/>
                <w:szCs w:val="20"/>
              </w:rPr>
              <w:t>, and in case of any revision, the extended Bid/ Issue Opening Date also to be notified on the website and terminals of the Syndicate and SCSBs, as required under the SEBI ICDR Regulations.</w:t>
            </w:r>
          </w:p>
        </w:tc>
      </w:tr>
      <w:tr w:rsidR="00F8631B" w:rsidRPr="00712F3C" w14:paraId="7CEA2F1D"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7B7A9359" w14:textId="77777777" w:rsidR="00F8631B" w:rsidRPr="00712F3C" w:rsidRDefault="00F8631B" w:rsidP="00250DAC">
            <w:pPr>
              <w:pStyle w:val="Default"/>
              <w:contextualSpacing/>
              <w:jc w:val="both"/>
              <w:rPr>
                <w:sz w:val="20"/>
                <w:szCs w:val="20"/>
              </w:rPr>
            </w:pPr>
            <w:r w:rsidRPr="00712F3C">
              <w:rPr>
                <w:sz w:val="20"/>
                <w:szCs w:val="20"/>
              </w:rPr>
              <w:t>Bid/ Issue Period</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2873C8C6" w14:textId="77777777" w:rsidR="00F8631B" w:rsidRPr="00712F3C" w:rsidRDefault="00F8631B" w:rsidP="00250DAC">
            <w:pPr>
              <w:pStyle w:val="Default"/>
              <w:contextualSpacing/>
              <w:jc w:val="both"/>
              <w:rPr>
                <w:sz w:val="20"/>
                <w:szCs w:val="20"/>
              </w:rPr>
            </w:pPr>
            <w:r w:rsidRPr="00712F3C">
              <w:rPr>
                <w:sz w:val="20"/>
                <w:szCs w:val="20"/>
              </w:rPr>
              <w:t>Except in relation to any Bids received from the Anchor Investors, the period between the Bid/ Issue Opening Date and the Bid/ Issue Closing Date or the QIB Bid/ Issue Closing Date, as the case may be, inclusive of both days, during which Bidders can submit their Bids, including any revisions thereof. Provided however that the Bidding/ Issue Period shall be kept open for a minimum of three Working Days for all categories of Bidders.</w:t>
            </w:r>
          </w:p>
        </w:tc>
      </w:tr>
      <w:tr w:rsidR="00F8631B" w:rsidRPr="00712F3C" w14:paraId="6B3EAC18"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3F1E6DE9" w14:textId="77777777" w:rsidR="00F8631B" w:rsidRPr="00712F3C" w:rsidRDefault="00F8631B" w:rsidP="00250DAC">
            <w:pPr>
              <w:pStyle w:val="Default"/>
              <w:contextualSpacing/>
              <w:jc w:val="both"/>
              <w:rPr>
                <w:sz w:val="20"/>
                <w:szCs w:val="20"/>
              </w:rPr>
            </w:pPr>
            <w:r w:rsidRPr="00712F3C">
              <w:rPr>
                <w:sz w:val="20"/>
                <w:szCs w:val="20"/>
              </w:rPr>
              <w:lastRenderedPageBreak/>
              <w:t>Bidder/ Applicant</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0D6B5F96" w14:textId="77777777" w:rsidR="00F8631B" w:rsidRPr="00712F3C" w:rsidRDefault="00F8631B" w:rsidP="00250DAC">
            <w:pPr>
              <w:pStyle w:val="Default"/>
              <w:contextualSpacing/>
              <w:jc w:val="both"/>
              <w:rPr>
                <w:sz w:val="20"/>
                <w:szCs w:val="20"/>
              </w:rPr>
            </w:pPr>
            <w:r w:rsidRPr="00712F3C">
              <w:rPr>
                <w:sz w:val="20"/>
                <w:szCs w:val="20"/>
              </w:rPr>
              <w:t>Any prospective investor who makes a bid pursuant to the terms of the Draft Red Herring Prospectus and the Bid-Cum-Application Form and unless otherwise stated or implied, which includes an ASBA Bidder and an Anchor Investor</w:t>
            </w:r>
          </w:p>
        </w:tc>
      </w:tr>
      <w:tr w:rsidR="00F8631B" w:rsidRPr="00712F3C" w14:paraId="0EB2F323"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5E5D142C" w14:textId="77777777" w:rsidR="00F8631B" w:rsidRPr="00712F3C" w:rsidRDefault="00F8631B" w:rsidP="00250DAC">
            <w:pPr>
              <w:pStyle w:val="Default"/>
              <w:contextualSpacing/>
              <w:jc w:val="both"/>
              <w:rPr>
                <w:sz w:val="20"/>
                <w:szCs w:val="20"/>
              </w:rPr>
            </w:pPr>
            <w:r w:rsidRPr="00712F3C">
              <w:rPr>
                <w:sz w:val="20"/>
                <w:szCs w:val="20"/>
              </w:rPr>
              <w:t>Bidding</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33DBB4C7" w14:textId="77777777" w:rsidR="00F8631B" w:rsidRPr="00712F3C" w:rsidRDefault="00F8631B" w:rsidP="00250DAC">
            <w:pPr>
              <w:pStyle w:val="Default"/>
              <w:contextualSpacing/>
              <w:jc w:val="both"/>
              <w:rPr>
                <w:sz w:val="20"/>
                <w:szCs w:val="20"/>
              </w:rPr>
            </w:pPr>
            <w:r w:rsidRPr="00712F3C">
              <w:rPr>
                <w:sz w:val="20"/>
                <w:szCs w:val="20"/>
              </w:rPr>
              <w:t>The process of making a Bid.</w:t>
            </w:r>
          </w:p>
        </w:tc>
      </w:tr>
      <w:tr w:rsidR="00F8631B" w:rsidRPr="00712F3C" w14:paraId="6BEFDDCB"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02264C14" w14:textId="77777777" w:rsidR="00F8631B" w:rsidRPr="00712F3C" w:rsidRDefault="00F8631B" w:rsidP="00250DAC">
            <w:pPr>
              <w:pStyle w:val="Default"/>
              <w:contextualSpacing/>
              <w:jc w:val="both"/>
              <w:rPr>
                <w:sz w:val="20"/>
                <w:szCs w:val="20"/>
              </w:rPr>
            </w:pPr>
            <w:r w:rsidRPr="00712F3C">
              <w:rPr>
                <w:sz w:val="20"/>
                <w:szCs w:val="20"/>
              </w:rPr>
              <w:t>Bidding/ Collection Centers</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12413DE3" w14:textId="2B301FB9" w:rsidR="00F8631B" w:rsidRPr="00712F3C" w:rsidRDefault="00F8631B" w:rsidP="00250DAC">
            <w:pPr>
              <w:pStyle w:val="Default"/>
              <w:contextualSpacing/>
              <w:jc w:val="both"/>
              <w:rPr>
                <w:sz w:val="20"/>
                <w:szCs w:val="20"/>
              </w:rPr>
            </w:pPr>
            <w:r w:rsidRPr="00712F3C">
              <w:rPr>
                <w:sz w:val="20"/>
                <w:szCs w:val="20"/>
              </w:rPr>
              <w:t>Centers at which the Designated intermediaries shall accept the ASBA Forms, i.e.</w:t>
            </w:r>
            <w:r w:rsidR="00B8458C">
              <w:rPr>
                <w:sz w:val="20"/>
                <w:szCs w:val="20"/>
              </w:rPr>
              <w:t>,</w:t>
            </w:r>
            <w:r w:rsidRPr="00712F3C">
              <w:rPr>
                <w:sz w:val="20"/>
                <w:szCs w:val="20"/>
              </w:rPr>
              <w:t xml:space="preserve"> Designated SCSB Branches for SCSBs, specified locations for syndicates, broker centers for registered brokers, designated RTA Locations for RTAs and designated CDP locations for CDPs.</w:t>
            </w:r>
          </w:p>
        </w:tc>
      </w:tr>
      <w:tr w:rsidR="00F8631B" w:rsidRPr="00712F3C" w14:paraId="402A9C2C"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6C1CABA8" w14:textId="77777777" w:rsidR="00F8631B" w:rsidRPr="00712F3C" w:rsidRDefault="00F8631B" w:rsidP="00250DAC">
            <w:pPr>
              <w:pStyle w:val="Default"/>
              <w:contextualSpacing/>
              <w:jc w:val="both"/>
              <w:rPr>
                <w:sz w:val="20"/>
                <w:szCs w:val="20"/>
              </w:rPr>
            </w:pPr>
            <w:r w:rsidRPr="00712F3C">
              <w:rPr>
                <w:sz w:val="20"/>
                <w:szCs w:val="20"/>
              </w:rPr>
              <w:t>Book Building Process/ Book Building Method</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22F23010" w14:textId="77777777" w:rsidR="00F8631B" w:rsidRPr="00712F3C" w:rsidRDefault="00F8631B" w:rsidP="00250DAC">
            <w:pPr>
              <w:pStyle w:val="Default"/>
              <w:contextualSpacing/>
              <w:jc w:val="both"/>
              <w:rPr>
                <w:sz w:val="20"/>
                <w:szCs w:val="20"/>
              </w:rPr>
            </w:pPr>
            <w:r>
              <w:rPr>
                <w:sz w:val="20"/>
                <w:szCs w:val="20"/>
              </w:rPr>
              <w:t xml:space="preserve">Book building </w:t>
            </w:r>
            <w:r w:rsidRPr="00712F3C">
              <w:rPr>
                <w:sz w:val="20"/>
                <w:szCs w:val="20"/>
              </w:rPr>
              <w:t>process</w:t>
            </w:r>
            <w:r>
              <w:rPr>
                <w:sz w:val="20"/>
                <w:szCs w:val="20"/>
              </w:rPr>
              <w:t xml:space="preserve">, as provided in Part A of Schedule XIII </w:t>
            </w:r>
            <w:r w:rsidRPr="00712F3C">
              <w:rPr>
                <w:sz w:val="20"/>
                <w:szCs w:val="20"/>
              </w:rPr>
              <w:t xml:space="preserve">of </w:t>
            </w:r>
            <w:r>
              <w:rPr>
                <w:sz w:val="20"/>
                <w:szCs w:val="20"/>
              </w:rPr>
              <w:t xml:space="preserve">the SEBI ICDR </w:t>
            </w:r>
            <w:r w:rsidRPr="00712F3C">
              <w:rPr>
                <w:sz w:val="20"/>
                <w:szCs w:val="20"/>
              </w:rPr>
              <w:t>Regulations, in terms of which the Issue is being made</w:t>
            </w:r>
          </w:p>
        </w:tc>
      </w:tr>
      <w:tr w:rsidR="00F8631B" w:rsidRPr="00712F3C" w14:paraId="3160AD25"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3DB60CF7" w14:textId="703DCE67" w:rsidR="00F8631B" w:rsidRPr="00712F3C" w:rsidRDefault="00F8631B" w:rsidP="00250DAC">
            <w:pPr>
              <w:pStyle w:val="Default"/>
              <w:contextualSpacing/>
              <w:jc w:val="both"/>
              <w:rPr>
                <w:sz w:val="20"/>
                <w:szCs w:val="20"/>
              </w:rPr>
            </w:pPr>
            <w:r w:rsidRPr="00712F3C">
              <w:rPr>
                <w:sz w:val="20"/>
                <w:szCs w:val="20"/>
              </w:rPr>
              <w:t>BRLM/ Book Running Lead Manager</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0C1C366D" w14:textId="77777777" w:rsidR="00F8631B" w:rsidRPr="00712F3C" w:rsidRDefault="00F8631B" w:rsidP="00250DAC">
            <w:pPr>
              <w:pStyle w:val="Default"/>
              <w:contextualSpacing/>
              <w:jc w:val="both"/>
              <w:rPr>
                <w:sz w:val="20"/>
                <w:szCs w:val="20"/>
              </w:rPr>
            </w:pPr>
            <w:r w:rsidRPr="00712F3C">
              <w:rPr>
                <w:sz w:val="20"/>
                <w:szCs w:val="20"/>
              </w:rPr>
              <w:t>Book Running Lead Manager to the Issue in this case being Hem Securities Limited, SEBI Registered Category I Merchant Banker.</w:t>
            </w:r>
          </w:p>
        </w:tc>
      </w:tr>
      <w:tr w:rsidR="00F8631B" w:rsidRPr="00712F3C" w14:paraId="7365B764"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64DF2B19" w14:textId="77777777" w:rsidR="00F8631B" w:rsidRPr="00712F3C" w:rsidRDefault="00F8631B" w:rsidP="00250DAC">
            <w:pPr>
              <w:pStyle w:val="Default"/>
              <w:contextualSpacing/>
              <w:jc w:val="both"/>
              <w:rPr>
                <w:sz w:val="20"/>
                <w:szCs w:val="20"/>
              </w:rPr>
            </w:pPr>
            <w:r w:rsidRPr="00712F3C">
              <w:rPr>
                <w:sz w:val="20"/>
                <w:szCs w:val="20"/>
              </w:rPr>
              <w:t>Broker Centres</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608542EF" w14:textId="77777777" w:rsidR="00F8631B" w:rsidRPr="00712F3C" w:rsidRDefault="00F8631B" w:rsidP="00250DAC">
            <w:pPr>
              <w:pStyle w:val="Default"/>
              <w:contextualSpacing/>
              <w:jc w:val="both"/>
              <w:rPr>
                <w:sz w:val="20"/>
                <w:szCs w:val="20"/>
              </w:rPr>
            </w:pPr>
            <w:r w:rsidRPr="00712F3C">
              <w:rPr>
                <w:sz w:val="20"/>
                <w:szCs w:val="20"/>
              </w:rPr>
              <w:t>Broker Centres notified by the Stock Exchanges, where the investors can submit the Bid-cum Application Forms to a Registered Broker. The details of such Broker Centers, along with the names and contact details of the Registered Brokers are available on the websites of the Stock Exchange.</w:t>
            </w:r>
          </w:p>
        </w:tc>
      </w:tr>
      <w:tr w:rsidR="00F8631B" w:rsidRPr="00712F3C" w14:paraId="6872959C"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20397F1A" w14:textId="77777777" w:rsidR="00F8631B" w:rsidRPr="00712F3C" w:rsidRDefault="00F8631B" w:rsidP="00250DAC">
            <w:pPr>
              <w:pStyle w:val="Default"/>
              <w:contextualSpacing/>
              <w:jc w:val="both"/>
              <w:rPr>
                <w:sz w:val="20"/>
                <w:szCs w:val="20"/>
              </w:rPr>
            </w:pPr>
            <w:r w:rsidRPr="00712F3C">
              <w:rPr>
                <w:sz w:val="20"/>
                <w:szCs w:val="20"/>
              </w:rPr>
              <w:t>Business Day</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58CDC104" w14:textId="77777777" w:rsidR="00F8631B" w:rsidRPr="00712F3C" w:rsidRDefault="00F8631B" w:rsidP="00250DAC">
            <w:pPr>
              <w:pStyle w:val="Default"/>
              <w:contextualSpacing/>
              <w:jc w:val="both"/>
              <w:rPr>
                <w:sz w:val="20"/>
                <w:szCs w:val="20"/>
              </w:rPr>
            </w:pPr>
            <w:r w:rsidRPr="00712F3C">
              <w:rPr>
                <w:sz w:val="20"/>
                <w:szCs w:val="20"/>
              </w:rPr>
              <w:t>Monday to Friday (except public holidays).</w:t>
            </w:r>
          </w:p>
        </w:tc>
      </w:tr>
      <w:tr w:rsidR="00F8631B" w:rsidRPr="00712F3C" w14:paraId="3D1FE376"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0EE275BD" w14:textId="77777777" w:rsidR="00F8631B" w:rsidRPr="00712F3C" w:rsidRDefault="00F8631B" w:rsidP="00250DAC">
            <w:pPr>
              <w:pStyle w:val="Default"/>
              <w:contextualSpacing/>
              <w:jc w:val="both"/>
              <w:rPr>
                <w:sz w:val="20"/>
                <w:szCs w:val="20"/>
              </w:rPr>
            </w:pPr>
            <w:r w:rsidRPr="00712F3C">
              <w:rPr>
                <w:sz w:val="20"/>
                <w:szCs w:val="20"/>
              </w:rPr>
              <w:t xml:space="preserve">CAN or Confirmation of Allocation Note </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20CB9500" w14:textId="77777777" w:rsidR="00F8631B" w:rsidRPr="00712F3C" w:rsidRDefault="00F8631B" w:rsidP="00250DAC">
            <w:pPr>
              <w:pStyle w:val="Default"/>
              <w:contextualSpacing/>
              <w:jc w:val="both"/>
              <w:rPr>
                <w:sz w:val="20"/>
                <w:szCs w:val="20"/>
              </w:rPr>
            </w:pPr>
            <w:r w:rsidRPr="00712F3C">
              <w:rPr>
                <w:sz w:val="20"/>
                <w:szCs w:val="20"/>
              </w:rPr>
              <w:t xml:space="preserve">The Note or advice or intimation sent to each successful Applicant indicating the Equity which will be allotted, after approval of Basis of Allotment by the designated Stock Exchange. </w:t>
            </w:r>
          </w:p>
        </w:tc>
      </w:tr>
      <w:tr w:rsidR="00F8631B" w:rsidRPr="00712F3C" w14:paraId="51F85A89"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0B660421" w14:textId="77777777" w:rsidR="00F8631B" w:rsidRPr="00712F3C" w:rsidRDefault="00F8631B" w:rsidP="00250DAC">
            <w:pPr>
              <w:pStyle w:val="Default"/>
              <w:contextualSpacing/>
              <w:jc w:val="both"/>
              <w:rPr>
                <w:sz w:val="20"/>
                <w:szCs w:val="20"/>
              </w:rPr>
            </w:pPr>
            <w:r w:rsidRPr="00712F3C">
              <w:rPr>
                <w:sz w:val="20"/>
                <w:szCs w:val="20"/>
              </w:rPr>
              <w:t>Cap Price</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63B92CCB" w14:textId="77777777" w:rsidR="00F8631B" w:rsidRPr="00712F3C" w:rsidRDefault="00F8631B" w:rsidP="00250DAC">
            <w:pPr>
              <w:pStyle w:val="Default"/>
              <w:contextualSpacing/>
              <w:jc w:val="both"/>
              <w:rPr>
                <w:sz w:val="20"/>
                <w:szCs w:val="20"/>
              </w:rPr>
            </w:pPr>
            <w:r w:rsidRPr="00712F3C">
              <w:rPr>
                <w:sz w:val="20"/>
                <w:szCs w:val="20"/>
              </w:rPr>
              <w:t>The higher end of the price band above which the Issue Price will not be finalized and above which no Bids (or a revision thereof) will be accepted.</w:t>
            </w:r>
          </w:p>
        </w:tc>
      </w:tr>
      <w:tr w:rsidR="00F8631B" w:rsidRPr="00712F3C" w14:paraId="442A070D"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3FB61E19" w14:textId="77777777" w:rsidR="00F8631B" w:rsidRPr="00712F3C" w:rsidRDefault="00F8631B" w:rsidP="00250DAC">
            <w:pPr>
              <w:pStyle w:val="Default"/>
              <w:contextualSpacing/>
              <w:jc w:val="both"/>
              <w:rPr>
                <w:sz w:val="20"/>
                <w:szCs w:val="20"/>
              </w:rPr>
            </w:pPr>
            <w:r w:rsidRPr="00712F3C">
              <w:rPr>
                <w:sz w:val="20"/>
                <w:szCs w:val="20"/>
              </w:rPr>
              <w:t>Client Id</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48AD873D" w14:textId="77777777" w:rsidR="00F8631B" w:rsidRPr="00712F3C" w:rsidRDefault="00F8631B" w:rsidP="00250DAC">
            <w:pPr>
              <w:pStyle w:val="Default"/>
              <w:contextualSpacing/>
              <w:jc w:val="both"/>
              <w:rPr>
                <w:sz w:val="20"/>
                <w:szCs w:val="20"/>
              </w:rPr>
            </w:pPr>
            <w:r w:rsidRPr="00712F3C">
              <w:rPr>
                <w:sz w:val="20"/>
                <w:szCs w:val="20"/>
              </w:rPr>
              <w:t>Client Identification Number maintained with one of the Depositories in relation to Demat account</w:t>
            </w:r>
          </w:p>
        </w:tc>
      </w:tr>
      <w:tr w:rsidR="00F8631B" w:rsidRPr="00712F3C" w14:paraId="17474355"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1B5D5A09" w14:textId="77777777" w:rsidR="00F8631B" w:rsidRPr="00712F3C" w:rsidRDefault="00F8631B" w:rsidP="00250DAC">
            <w:pPr>
              <w:pStyle w:val="Default"/>
              <w:contextualSpacing/>
              <w:jc w:val="both"/>
              <w:rPr>
                <w:sz w:val="20"/>
                <w:szCs w:val="20"/>
              </w:rPr>
            </w:pPr>
            <w:r w:rsidRPr="00712F3C">
              <w:rPr>
                <w:sz w:val="20"/>
                <w:szCs w:val="20"/>
              </w:rPr>
              <w:t>Collecting Depository Participants or CDPs</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6753DCB7" w14:textId="77777777" w:rsidR="00F8631B" w:rsidRPr="00712F3C" w:rsidRDefault="00F8631B" w:rsidP="00250DAC">
            <w:pPr>
              <w:pStyle w:val="Default"/>
              <w:contextualSpacing/>
              <w:jc w:val="both"/>
              <w:rPr>
                <w:sz w:val="20"/>
                <w:szCs w:val="20"/>
              </w:rPr>
            </w:pPr>
            <w:r w:rsidRPr="00712F3C">
              <w:rPr>
                <w:sz w:val="20"/>
                <w:szCs w:val="20"/>
              </w:rPr>
              <w:t>A depository participant as defined under the Depositories Act, 1996, registered with SEBI and who is eligible to procure Applications at the Designated CDP Locations in terms of circular no. CIR/CFD/POLICYCELL/11/2015 dated November 10, 2015 issued by SEBI</w:t>
            </w:r>
          </w:p>
        </w:tc>
      </w:tr>
      <w:tr w:rsidR="00F8631B" w:rsidRPr="00712F3C" w14:paraId="2822653B"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23EEC81B" w14:textId="77777777" w:rsidR="00F8631B" w:rsidRPr="00712F3C" w:rsidRDefault="00F8631B" w:rsidP="00250DAC">
            <w:pPr>
              <w:pStyle w:val="Default"/>
              <w:contextualSpacing/>
              <w:jc w:val="both"/>
              <w:rPr>
                <w:sz w:val="20"/>
                <w:szCs w:val="20"/>
              </w:rPr>
            </w:pPr>
            <w:r w:rsidRPr="00712F3C">
              <w:rPr>
                <w:sz w:val="20"/>
                <w:szCs w:val="20"/>
              </w:rPr>
              <w:t>Collecting Registrar and Share Transfer Agent</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1A7F7E71" w14:textId="77777777" w:rsidR="00F8631B" w:rsidRPr="00712F3C" w:rsidRDefault="00F8631B" w:rsidP="00250DAC">
            <w:pPr>
              <w:pStyle w:val="Default"/>
              <w:contextualSpacing/>
              <w:jc w:val="both"/>
              <w:rPr>
                <w:sz w:val="20"/>
                <w:szCs w:val="20"/>
              </w:rPr>
            </w:pPr>
            <w:r w:rsidRPr="00712F3C">
              <w:rPr>
                <w:sz w:val="20"/>
                <w:szCs w:val="20"/>
              </w:rPr>
              <w:t>Registrar to an Issue and share transfer agents registered with SEBI and eligible to procure Bids at the Designated RTA Locations in terms of circular no. CIR/CFD/POLICYCELL/11/2015 dated November 10, 2015 issued by SEBI.</w:t>
            </w:r>
          </w:p>
        </w:tc>
      </w:tr>
      <w:tr w:rsidR="00F8631B" w:rsidRPr="00712F3C" w14:paraId="6AA9F550"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4A925A68" w14:textId="77777777" w:rsidR="00F8631B" w:rsidRPr="00712F3C" w:rsidRDefault="00F8631B" w:rsidP="00250DAC">
            <w:pPr>
              <w:pStyle w:val="Default"/>
              <w:contextualSpacing/>
              <w:jc w:val="both"/>
              <w:rPr>
                <w:sz w:val="20"/>
                <w:szCs w:val="20"/>
              </w:rPr>
            </w:pPr>
            <w:r w:rsidRPr="00712F3C">
              <w:rPr>
                <w:sz w:val="20"/>
                <w:szCs w:val="20"/>
              </w:rPr>
              <w:t>Controlling Branches of the SCSBs</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6BA316AE" w14:textId="77777777" w:rsidR="00F8631B" w:rsidRPr="00712F3C" w:rsidRDefault="00F8631B" w:rsidP="00250DAC">
            <w:pPr>
              <w:pStyle w:val="Default"/>
              <w:contextualSpacing/>
              <w:jc w:val="both"/>
              <w:rPr>
                <w:sz w:val="20"/>
                <w:szCs w:val="20"/>
              </w:rPr>
            </w:pPr>
            <w:r w:rsidRPr="00712F3C">
              <w:rPr>
                <w:sz w:val="20"/>
                <w:szCs w:val="20"/>
              </w:rPr>
              <w:t>Such branches of the SCSBs which coordinate with the BRLM, the Registrar to the Issue and the Stock Exchange.</w:t>
            </w:r>
          </w:p>
        </w:tc>
      </w:tr>
      <w:tr w:rsidR="00F8631B" w:rsidRPr="00712F3C" w14:paraId="46AEE6A2"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1534F1AE" w14:textId="77777777" w:rsidR="00F8631B" w:rsidRPr="00712F3C" w:rsidRDefault="00F8631B" w:rsidP="00250DAC">
            <w:pPr>
              <w:pStyle w:val="Default"/>
              <w:contextualSpacing/>
              <w:jc w:val="both"/>
              <w:rPr>
                <w:sz w:val="20"/>
                <w:szCs w:val="20"/>
              </w:rPr>
            </w:pPr>
            <w:r w:rsidRPr="00712F3C">
              <w:rPr>
                <w:sz w:val="20"/>
                <w:szCs w:val="20"/>
              </w:rPr>
              <w:t>Cut Off Price</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2B285E1A" w14:textId="77777777" w:rsidR="00F8631B" w:rsidRPr="00712F3C" w:rsidRDefault="00F8631B" w:rsidP="00250DAC">
            <w:pPr>
              <w:pStyle w:val="Default"/>
              <w:contextualSpacing/>
              <w:jc w:val="both"/>
              <w:rPr>
                <w:sz w:val="20"/>
                <w:szCs w:val="20"/>
              </w:rPr>
            </w:pPr>
            <w:r w:rsidRPr="00712F3C">
              <w:rPr>
                <w:sz w:val="20"/>
                <w:szCs w:val="20"/>
              </w:rPr>
              <w:t>The Issue Price, which shall be any price within the Price band as finalized by our Company in consultation with the BRLM. Only Retail Individual Investors are entitled to Bid at the Cut-off Price. QIBs (including Anchor Investor) and Non-Institutional Investors are not entitled to Bid at the Cut-off Price.</w:t>
            </w:r>
          </w:p>
        </w:tc>
      </w:tr>
      <w:tr w:rsidR="00F8631B" w:rsidRPr="00712F3C" w14:paraId="7D4161AC"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3ED2B0DD" w14:textId="77777777" w:rsidR="00F8631B" w:rsidRPr="00712F3C" w:rsidRDefault="00F8631B" w:rsidP="00250DAC">
            <w:pPr>
              <w:pStyle w:val="Default"/>
              <w:contextualSpacing/>
              <w:jc w:val="both"/>
              <w:rPr>
                <w:sz w:val="20"/>
                <w:szCs w:val="20"/>
              </w:rPr>
            </w:pPr>
            <w:r w:rsidRPr="00712F3C">
              <w:rPr>
                <w:sz w:val="20"/>
                <w:szCs w:val="20"/>
              </w:rPr>
              <w:t>Demographic Details</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33D7EA39" w14:textId="0217D528" w:rsidR="00F8631B" w:rsidRPr="00712F3C" w:rsidRDefault="00F8631B" w:rsidP="00250DAC">
            <w:pPr>
              <w:pStyle w:val="Default"/>
              <w:contextualSpacing/>
              <w:jc w:val="both"/>
              <w:rPr>
                <w:sz w:val="20"/>
                <w:szCs w:val="20"/>
              </w:rPr>
            </w:pPr>
            <w:r w:rsidRPr="00712F3C">
              <w:rPr>
                <w:sz w:val="20"/>
                <w:szCs w:val="20"/>
              </w:rPr>
              <w:t xml:space="preserve">The demographic details of the applicants such as their Address, PAN, name of the </w:t>
            </w:r>
            <w:r w:rsidR="00B8458C" w:rsidRPr="00712F3C">
              <w:rPr>
                <w:sz w:val="20"/>
                <w:szCs w:val="20"/>
              </w:rPr>
              <w:t>applicant’s</w:t>
            </w:r>
            <w:r w:rsidRPr="00712F3C">
              <w:rPr>
                <w:sz w:val="20"/>
                <w:szCs w:val="20"/>
              </w:rPr>
              <w:t xml:space="preserve"> father/husband, investor status, Occupation and Bank Account details.</w:t>
            </w:r>
          </w:p>
        </w:tc>
      </w:tr>
      <w:tr w:rsidR="00F8631B" w:rsidRPr="00712F3C" w14:paraId="1F981F07"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504D02F0" w14:textId="77777777" w:rsidR="00F8631B" w:rsidRPr="00712F3C" w:rsidRDefault="00F8631B" w:rsidP="00250DAC">
            <w:pPr>
              <w:pStyle w:val="Default"/>
              <w:contextualSpacing/>
              <w:jc w:val="both"/>
              <w:rPr>
                <w:sz w:val="20"/>
                <w:szCs w:val="20"/>
              </w:rPr>
            </w:pPr>
            <w:r w:rsidRPr="00712F3C">
              <w:rPr>
                <w:sz w:val="20"/>
                <w:szCs w:val="20"/>
              </w:rPr>
              <w:t>Depositor/ Depositories</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357689FA" w14:textId="77777777" w:rsidR="00F8631B" w:rsidRPr="00712F3C" w:rsidRDefault="00F8631B" w:rsidP="00250DAC">
            <w:pPr>
              <w:pStyle w:val="Default"/>
              <w:contextualSpacing/>
              <w:jc w:val="both"/>
              <w:rPr>
                <w:sz w:val="20"/>
                <w:szCs w:val="20"/>
              </w:rPr>
            </w:pPr>
            <w:r w:rsidRPr="00712F3C">
              <w:rPr>
                <w:sz w:val="20"/>
                <w:szCs w:val="20"/>
              </w:rPr>
              <w:t>A depository registered with SEBI under the Securities and Exchange Board of India (Depositories and Participants) Regulations, 1996 as amended from time to time i.e. National Securities Depository Limited (NSDL) and Central Depository Services (India) Limited (CDSL).</w:t>
            </w:r>
          </w:p>
        </w:tc>
      </w:tr>
      <w:tr w:rsidR="00F8631B" w:rsidRPr="00712F3C" w14:paraId="279FD940"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29EB15E7" w14:textId="77777777" w:rsidR="00F8631B" w:rsidRPr="00712F3C" w:rsidRDefault="00F8631B" w:rsidP="00250DAC">
            <w:pPr>
              <w:pStyle w:val="Default"/>
              <w:contextualSpacing/>
              <w:jc w:val="both"/>
              <w:rPr>
                <w:sz w:val="20"/>
                <w:szCs w:val="20"/>
              </w:rPr>
            </w:pPr>
            <w:r w:rsidRPr="00712F3C">
              <w:rPr>
                <w:sz w:val="20"/>
                <w:szCs w:val="20"/>
              </w:rPr>
              <w:t>Depositories Act</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3AB407E6" w14:textId="77777777" w:rsidR="00F8631B" w:rsidRPr="00712F3C" w:rsidRDefault="00F8631B" w:rsidP="00250DAC">
            <w:pPr>
              <w:pStyle w:val="Default"/>
              <w:contextualSpacing/>
              <w:jc w:val="both"/>
              <w:rPr>
                <w:sz w:val="20"/>
                <w:szCs w:val="20"/>
              </w:rPr>
            </w:pPr>
            <w:r w:rsidRPr="00712F3C">
              <w:rPr>
                <w:sz w:val="20"/>
                <w:szCs w:val="20"/>
              </w:rPr>
              <w:t>The Depositories Act, 1996, as amended from time to time.</w:t>
            </w:r>
          </w:p>
        </w:tc>
      </w:tr>
      <w:tr w:rsidR="00F8631B" w:rsidRPr="00712F3C" w14:paraId="6C408AA8"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3A5E25CC" w14:textId="77777777" w:rsidR="00F8631B" w:rsidRPr="00712F3C" w:rsidRDefault="00F8631B" w:rsidP="00250DAC">
            <w:pPr>
              <w:pStyle w:val="Default"/>
              <w:contextualSpacing/>
              <w:jc w:val="both"/>
              <w:rPr>
                <w:sz w:val="20"/>
                <w:szCs w:val="20"/>
              </w:rPr>
            </w:pPr>
            <w:r w:rsidRPr="00712F3C">
              <w:rPr>
                <w:sz w:val="20"/>
                <w:szCs w:val="20"/>
              </w:rPr>
              <w:t>Designated CDP Locations</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48DCC9C4" w14:textId="77777777" w:rsidR="00F8631B" w:rsidRPr="00712F3C" w:rsidRDefault="00F8631B" w:rsidP="00250DAC">
            <w:pPr>
              <w:pStyle w:val="Default"/>
              <w:contextualSpacing/>
              <w:jc w:val="both"/>
              <w:rPr>
                <w:sz w:val="20"/>
                <w:szCs w:val="20"/>
              </w:rPr>
            </w:pPr>
            <w:r w:rsidRPr="00712F3C">
              <w:rPr>
                <w:sz w:val="20"/>
                <w:szCs w:val="20"/>
              </w:rPr>
              <w:t>Such locations of the CDPs where Applicant can submit the Bid-cum-Application Forms to Collecting Depository Participants.</w:t>
            </w:r>
          </w:p>
          <w:p w14:paraId="5935490E" w14:textId="675912DB" w:rsidR="00F8631B" w:rsidRPr="00712F3C" w:rsidRDefault="00F8631B" w:rsidP="00250DAC">
            <w:pPr>
              <w:pStyle w:val="Default"/>
              <w:contextualSpacing/>
              <w:jc w:val="both"/>
              <w:rPr>
                <w:sz w:val="20"/>
                <w:szCs w:val="20"/>
              </w:rPr>
            </w:pPr>
            <w:r w:rsidRPr="00712F3C">
              <w:rPr>
                <w:sz w:val="20"/>
                <w:szCs w:val="20"/>
              </w:rPr>
              <w:t>The details of such Designated CDP Locations, along with names and contact details of the Collecting Depository Participants eligible to accept Bid-Cum-Application Forms are available on the website of the Stock Exchange i.e.</w:t>
            </w:r>
            <w:r w:rsidR="00B8458C">
              <w:rPr>
                <w:sz w:val="20"/>
                <w:szCs w:val="20"/>
              </w:rPr>
              <w:t>,</w:t>
            </w:r>
            <w:r w:rsidRPr="00712F3C">
              <w:rPr>
                <w:sz w:val="20"/>
                <w:szCs w:val="20"/>
              </w:rPr>
              <w:t xml:space="preserve"> </w:t>
            </w:r>
            <w:hyperlink r:id="rId8" w:history="1">
              <w:r w:rsidRPr="00712F3C">
                <w:rPr>
                  <w:rStyle w:val="Hyperlink"/>
                  <w:sz w:val="20"/>
                  <w:szCs w:val="20"/>
                </w:rPr>
                <w:t>www.bseindia.com</w:t>
              </w:r>
            </w:hyperlink>
            <w:r w:rsidRPr="00712F3C">
              <w:rPr>
                <w:sz w:val="20"/>
                <w:szCs w:val="20"/>
              </w:rPr>
              <w:t xml:space="preserve"> </w:t>
            </w:r>
          </w:p>
        </w:tc>
      </w:tr>
      <w:tr w:rsidR="00F8631B" w:rsidRPr="00712F3C" w14:paraId="7DFE0DEB"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03143071" w14:textId="77777777" w:rsidR="00F8631B" w:rsidRPr="00712F3C" w:rsidRDefault="00F8631B" w:rsidP="00250DAC">
            <w:pPr>
              <w:pStyle w:val="Default"/>
              <w:contextualSpacing/>
              <w:jc w:val="both"/>
              <w:rPr>
                <w:sz w:val="20"/>
                <w:szCs w:val="20"/>
              </w:rPr>
            </w:pPr>
            <w:r w:rsidRPr="00712F3C">
              <w:rPr>
                <w:sz w:val="20"/>
                <w:szCs w:val="20"/>
              </w:rPr>
              <w:t>Designated Date</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3893179F" w14:textId="77777777" w:rsidR="00F8631B" w:rsidRPr="00712F3C" w:rsidRDefault="00F8631B" w:rsidP="00250DAC">
            <w:pPr>
              <w:pStyle w:val="Default"/>
              <w:contextualSpacing/>
              <w:jc w:val="both"/>
              <w:rPr>
                <w:sz w:val="20"/>
                <w:szCs w:val="20"/>
              </w:rPr>
            </w:pPr>
            <w:r w:rsidRPr="00712F3C">
              <w:rPr>
                <w:sz w:val="20"/>
                <w:szCs w:val="20"/>
              </w:rPr>
              <w:t>The date on which funds are transferred from the Escrow Account(s) and the amounts blocked are transferred from the ASBA Accounts, as the case may be, to the Public Offer Account(s) or the Refund Account(s), as applicable, in terms of the Red Herring Prospectus and the Prospectus, after the finalisation of the Basis of Allotment in consultation with the Designated Stock Exchange, following which Equity Shares may be Allotted to successful Bidders in the Offer.</w:t>
            </w:r>
          </w:p>
        </w:tc>
      </w:tr>
      <w:tr w:rsidR="00F8631B" w:rsidRPr="00712F3C" w14:paraId="3A64F170"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1668FB71" w14:textId="77777777" w:rsidR="00F8631B" w:rsidRPr="00712F3C" w:rsidRDefault="00F8631B" w:rsidP="00250DAC">
            <w:pPr>
              <w:pStyle w:val="Default"/>
              <w:contextualSpacing/>
              <w:jc w:val="both"/>
              <w:rPr>
                <w:sz w:val="20"/>
                <w:szCs w:val="20"/>
              </w:rPr>
            </w:pPr>
            <w:r w:rsidRPr="00712F3C">
              <w:rPr>
                <w:sz w:val="20"/>
                <w:szCs w:val="20"/>
              </w:rPr>
              <w:t>Designated Intermediaries/ Collecting Agent</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5482D652" w14:textId="77777777" w:rsidR="00F8631B" w:rsidRPr="00712F3C" w:rsidRDefault="00F8631B" w:rsidP="00250DAC">
            <w:pPr>
              <w:pStyle w:val="Default"/>
              <w:contextualSpacing/>
              <w:jc w:val="both"/>
              <w:rPr>
                <w:sz w:val="20"/>
                <w:szCs w:val="20"/>
              </w:rPr>
            </w:pPr>
            <w:r w:rsidRPr="00712F3C">
              <w:rPr>
                <w:sz w:val="20"/>
                <w:szCs w:val="20"/>
              </w:rPr>
              <w:t>An SCSB’s with whom the bank account to be blocked, is maintained, a syndicate member (or sub-syndicate member), a Stock Broker registered with recognized Stock Exchange, a Depositary Participant, a registrar to an issue and share transfer agent (RTA) (whose names is mentioned on website of the stock exchange as eligible for this activity).</w:t>
            </w:r>
          </w:p>
        </w:tc>
      </w:tr>
      <w:tr w:rsidR="00F8631B" w:rsidRPr="00712F3C" w14:paraId="06048688"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4D8F33DF" w14:textId="77777777" w:rsidR="00F8631B" w:rsidRPr="00712F3C" w:rsidRDefault="00F8631B" w:rsidP="00250DAC">
            <w:pPr>
              <w:pStyle w:val="Default"/>
              <w:contextualSpacing/>
              <w:jc w:val="both"/>
              <w:rPr>
                <w:sz w:val="20"/>
                <w:szCs w:val="20"/>
              </w:rPr>
            </w:pPr>
            <w:r w:rsidRPr="00712F3C">
              <w:rPr>
                <w:sz w:val="20"/>
                <w:szCs w:val="20"/>
              </w:rPr>
              <w:t>Designated Market Maker</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09C5D838" w14:textId="77777777" w:rsidR="00F8631B" w:rsidRPr="00712F3C" w:rsidRDefault="00F8631B" w:rsidP="00250DAC">
            <w:pPr>
              <w:pStyle w:val="Default"/>
              <w:contextualSpacing/>
              <w:jc w:val="both"/>
              <w:rPr>
                <w:sz w:val="20"/>
                <w:szCs w:val="20"/>
              </w:rPr>
            </w:pPr>
            <w:r w:rsidRPr="00712F3C">
              <w:rPr>
                <w:rFonts w:eastAsiaTheme="minorHAnsi"/>
                <w:sz w:val="20"/>
                <w:szCs w:val="20"/>
              </w:rPr>
              <w:t>[●]</w:t>
            </w:r>
          </w:p>
        </w:tc>
      </w:tr>
      <w:tr w:rsidR="00F8631B" w:rsidRPr="00712F3C" w14:paraId="4DBF41A2"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76A9CCFF" w14:textId="77777777" w:rsidR="00F8631B" w:rsidRPr="00712F3C" w:rsidRDefault="00F8631B" w:rsidP="00250DAC">
            <w:pPr>
              <w:pStyle w:val="Default"/>
              <w:contextualSpacing/>
              <w:jc w:val="both"/>
              <w:rPr>
                <w:sz w:val="20"/>
                <w:szCs w:val="20"/>
              </w:rPr>
            </w:pPr>
            <w:r w:rsidRPr="00712F3C">
              <w:rPr>
                <w:sz w:val="20"/>
                <w:szCs w:val="20"/>
              </w:rPr>
              <w:lastRenderedPageBreak/>
              <w:t>Designated RTA Locations</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6B2A3850" w14:textId="31440288" w:rsidR="00F8631B" w:rsidRPr="00712F3C" w:rsidRDefault="00F8631B" w:rsidP="00250DAC">
            <w:pPr>
              <w:pStyle w:val="Default"/>
              <w:contextualSpacing/>
              <w:jc w:val="both"/>
              <w:rPr>
                <w:sz w:val="20"/>
                <w:szCs w:val="20"/>
              </w:rPr>
            </w:pPr>
            <w:r w:rsidRPr="00712F3C">
              <w:rPr>
                <w:sz w:val="20"/>
                <w:szCs w:val="20"/>
              </w:rPr>
              <w:t>Such locations of the RTAs where Bidder can submit the Bid-Cum-Application Forms to RTAs. The details of such Designated RTA Locations, along with names and contact details of the RTAs eligible to accept Bid-Cum-Application Forms are available on the websites of the Stock Exchange i.e.</w:t>
            </w:r>
            <w:r w:rsidR="00B8458C">
              <w:rPr>
                <w:sz w:val="20"/>
                <w:szCs w:val="20"/>
              </w:rPr>
              <w:t xml:space="preserve">, </w:t>
            </w:r>
            <w:r w:rsidRPr="00712F3C">
              <w:rPr>
                <w:sz w:val="20"/>
                <w:szCs w:val="20"/>
              </w:rPr>
              <w:t xml:space="preserve">www. bseindia.com. </w:t>
            </w:r>
          </w:p>
        </w:tc>
      </w:tr>
      <w:tr w:rsidR="00F8631B" w:rsidRPr="00712F3C" w14:paraId="5ABF5AB1"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3D45C555" w14:textId="77777777" w:rsidR="00F8631B" w:rsidRPr="00712F3C" w:rsidRDefault="00F8631B" w:rsidP="00250DAC">
            <w:pPr>
              <w:pStyle w:val="Default"/>
              <w:contextualSpacing/>
              <w:jc w:val="both"/>
              <w:rPr>
                <w:sz w:val="20"/>
                <w:szCs w:val="20"/>
              </w:rPr>
            </w:pPr>
            <w:r w:rsidRPr="00712F3C">
              <w:rPr>
                <w:sz w:val="20"/>
                <w:szCs w:val="20"/>
              </w:rPr>
              <w:t>Designated SCSB Branches</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38B033C8" w14:textId="77777777" w:rsidR="00F8631B" w:rsidRPr="00712F3C" w:rsidRDefault="00F8631B" w:rsidP="00250DAC">
            <w:pPr>
              <w:pStyle w:val="Default"/>
              <w:contextualSpacing/>
              <w:jc w:val="both"/>
              <w:rPr>
                <w:sz w:val="20"/>
                <w:szCs w:val="20"/>
              </w:rPr>
            </w:pPr>
            <w:r w:rsidRPr="00712F3C">
              <w:rPr>
                <w:sz w:val="20"/>
                <w:szCs w:val="20"/>
              </w:rPr>
              <w:t>Such branches of the SCSBs which shall collect the ASBA Application Form from the Applicant and a list of which is available on the website of SEBI at https://www.sebi.gov.in/sebiweb/other/OtherAction.do?doRecognised=yes. Recognized-Intermediaries or at such other website as may be prescribed by SEBI from time to time.</w:t>
            </w:r>
          </w:p>
        </w:tc>
      </w:tr>
      <w:tr w:rsidR="00F8631B" w:rsidRPr="00712F3C" w14:paraId="06473667"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7A072CBC" w14:textId="77777777" w:rsidR="00F8631B" w:rsidRPr="00712F3C" w:rsidRDefault="00F8631B" w:rsidP="00250DAC">
            <w:pPr>
              <w:pStyle w:val="Default"/>
              <w:contextualSpacing/>
              <w:jc w:val="both"/>
              <w:rPr>
                <w:sz w:val="20"/>
                <w:szCs w:val="20"/>
              </w:rPr>
            </w:pPr>
            <w:r w:rsidRPr="00712F3C">
              <w:rPr>
                <w:sz w:val="20"/>
                <w:szCs w:val="20"/>
              </w:rPr>
              <w:t>Designated Stock Exchange</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004C32D8" w14:textId="77777777" w:rsidR="00F8631B" w:rsidRPr="00712F3C" w:rsidRDefault="00F8631B" w:rsidP="00250DAC">
            <w:pPr>
              <w:pStyle w:val="Default"/>
              <w:contextualSpacing/>
              <w:jc w:val="both"/>
              <w:rPr>
                <w:sz w:val="20"/>
                <w:szCs w:val="20"/>
              </w:rPr>
            </w:pPr>
            <w:r w:rsidRPr="00712F3C">
              <w:rPr>
                <w:sz w:val="20"/>
                <w:szCs w:val="20"/>
              </w:rPr>
              <w:t>BSE Ltd.</w:t>
            </w:r>
            <w:r w:rsidRPr="00712F3C">
              <w:rPr>
                <w:rFonts w:eastAsia="MS Mincho"/>
                <w:sz w:val="20"/>
                <w:szCs w:val="20"/>
              </w:rPr>
              <w:t xml:space="preserve"> </w:t>
            </w:r>
            <w:r w:rsidRPr="00712F3C">
              <w:rPr>
                <w:sz w:val="20"/>
                <w:szCs w:val="20"/>
              </w:rPr>
              <w:t>(“SME Exchange”) (“BSE SME”)</w:t>
            </w:r>
          </w:p>
        </w:tc>
      </w:tr>
      <w:tr w:rsidR="00F8631B" w:rsidRPr="00712F3C" w14:paraId="6AF4A58C"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74FECE28" w14:textId="77777777" w:rsidR="00F8631B" w:rsidRPr="00712F3C" w:rsidRDefault="00F8631B" w:rsidP="00250DAC">
            <w:pPr>
              <w:pStyle w:val="Default"/>
              <w:contextualSpacing/>
              <w:jc w:val="both"/>
              <w:rPr>
                <w:sz w:val="20"/>
                <w:szCs w:val="20"/>
              </w:rPr>
            </w:pPr>
            <w:r w:rsidRPr="00712F3C">
              <w:rPr>
                <w:sz w:val="20"/>
                <w:szCs w:val="20"/>
              </w:rPr>
              <w:t>DP ID</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6E37BA58" w14:textId="77777777" w:rsidR="00F8631B" w:rsidRPr="00712F3C" w:rsidRDefault="00F8631B" w:rsidP="00250DAC">
            <w:pPr>
              <w:pStyle w:val="Default"/>
              <w:contextualSpacing/>
              <w:jc w:val="both"/>
              <w:rPr>
                <w:sz w:val="20"/>
                <w:szCs w:val="20"/>
              </w:rPr>
            </w:pPr>
            <w:r w:rsidRPr="00712F3C">
              <w:rPr>
                <w:sz w:val="20"/>
                <w:szCs w:val="20"/>
              </w:rPr>
              <w:t>Depository’s Participant’s Identity Number</w:t>
            </w:r>
          </w:p>
        </w:tc>
      </w:tr>
      <w:tr w:rsidR="00F8631B" w:rsidRPr="00712F3C" w14:paraId="415502C4"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467FD522" w14:textId="77777777" w:rsidR="00F8631B" w:rsidRPr="00712F3C" w:rsidRDefault="00F8631B" w:rsidP="00250DAC">
            <w:pPr>
              <w:pStyle w:val="Default"/>
              <w:contextualSpacing/>
              <w:jc w:val="both"/>
              <w:rPr>
                <w:sz w:val="20"/>
                <w:szCs w:val="20"/>
              </w:rPr>
            </w:pPr>
            <w:r w:rsidRPr="00712F3C">
              <w:rPr>
                <w:sz w:val="20"/>
                <w:szCs w:val="20"/>
              </w:rPr>
              <w:t>DP/ Depository Participant</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31205B22" w14:textId="77777777" w:rsidR="00F8631B" w:rsidRPr="00712F3C" w:rsidRDefault="00F8631B" w:rsidP="00250DAC">
            <w:pPr>
              <w:pStyle w:val="Default"/>
              <w:contextualSpacing/>
              <w:jc w:val="both"/>
              <w:rPr>
                <w:sz w:val="20"/>
                <w:szCs w:val="20"/>
              </w:rPr>
            </w:pPr>
            <w:r w:rsidRPr="00712F3C">
              <w:rPr>
                <w:sz w:val="20"/>
                <w:szCs w:val="20"/>
              </w:rPr>
              <w:t>A depository participant as defined under the Depositories Act, 1996</w:t>
            </w:r>
          </w:p>
        </w:tc>
      </w:tr>
      <w:tr w:rsidR="00F8631B" w:rsidRPr="00712F3C" w14:paraId="126A1DF8"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7557E3C1" w14:textId="77777777" w:rsidR="00F8631B" w:rsidRPr="00712F3C" w:rsidRDefault="00F8631B" w:rsidP="00250DAC">
            <w:pPr>
              <w:pStyle w:val="Default"/>
              <w:contextualSpacing/>
              <w:jc w:val="both"/>
              <w:rPr>
                <w:sz w:val="20"/>
                <w:szCs w:val="20"/>
              </w:rPr>
            </w:pPr>
            <w:r w:rsidRPr="00712F3C">
              <w:rPr>
                <w:sz w:val="20"/>
                <w:szCs w:val="20"/>
              </w:rPr>
              <w:t xml:space="preserve">Draft Red Herring Prospectus </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47C9590D" w14:textId="03A8BC5C" w:rsidR="00F8631B" w:rsidRPr="00712F3C" w:rsidRDefault="00F8631B" w:rsidP="00250DAC">
            <w:pPr>
              <w:pStyle w:val="Default"/>
              <w:contextualSpacing/>
              <w:jc w:val="both"/>
              <w:rPr>
                <w:sz w:val="20"/>
                <w:szCs w:val="20"/>
              </w:rPr>
            </w:pPr>
            <w:r w:rsidRPr="00712F3C">
              <w:rPr>
                <w:sz w:val="20"/>
                <w:szCs w:val="20"/>
              </w:rPr>
              <w:t xml:space="preserve">Draft Red Herring Prospectus dated </w:t>
            </w:r>
            <w:r w:rsidR="000B2756">
              <w:rPr>
                <w:sz w:val="20"/>
                <w:szCs w:val="20"/>
                <w:highlight w:val="yellow"/>
              </w:rPr>
              <w:t>September 23</w:t>
            </w:r>
            <w:r w:rsidRPr="00B8458C">
              <w:rPr>
                <w:sz w:val="20"/>
                <w:szCs w:val="20"/>
                <w:highlight w:val="yellow"/>
              </w:rPr>
              <w:t>, 2023</w:t>
            </w:r>
            <w:r w:rsidRPr="00712F3C">
              <w:rPr>
                <w:sz w:val="20"/>
                <w:szCs w:val="20"/>
              </w:rPr>
              <w:t xml:space="preserve"> as being filed with BSE SME</w:t>
            </w:r>
          </w:p>
        </w:tc>
      </w:tr>
      <w:tr w:rsidR="00F8631B" w:rsidRPr="00712F3C" w14:paraId="67D959AE"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0C0C6932" w14:textId="77777777" w:rsidR="00F8631B" w:rsidRPr="00712F3C" w:rsidRDefault="00F8631B" w:rsidP="00250DAC">
            <w:pPr>
              <w:pStyle w:val="Default"/>
              <w:contextualSpacing/>
              <w:jc w:val="both"/>
              <w:rPr>
                <w:sz w:val="20"/>
                <w:szCs w:val="20"/>
              </w:rPr>
            </w:pPr>
            <w:r w:rsidRPr="00712F3C">
              <w:rPr>
                <w:sz w:val="20"/>
                <w:szCs w:val="20"/>
              </w:rPr>
              <w:t>Electronic Transfer of Funds</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532C5C2F" w14:textId="77777777" w:rsidR="00F8631B" w:rsidRPr="00712F3C" w:rsidRDefault="00F8631B" w:rsidP="00250DAC">
            <w:pPr>
              <w:pStyle w:val="Default"/>
              <w:contextualSpacing/>
              <w:jc w:val="both"/>
              <w:rPr>
                <w:sz w:val="20"/>
                <w:szCs w:val="20"/>
              </w:rPr>
            </w:pPr>
            <w:r w:rsidRPr="00712F3C">
              <w:rPr>
                <w:sz w:val="20"/>
                <w:szCs w:val="20"/>
              </w:rPr>
              <w:t>Refunds through NACH, NEFT, Direct Credit or RTGS as applicable.</w:t>
            </w:r>
          </w:p>
        </w:tc>
      </w:tr>
      <w:tr w:rsidR="00F8631B" w:rsidRPr="00712F3C" w14:paraId="4F6147E5"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1852438D" w14:textId="77777777" w:rsidR="00F8631B" w:rsidRPr="00712F3C" w:rsidRDefault="00F8631B" w:rsidP="00250DAC">
            <w:pPr>
              <w:pStyle w:val="Default"/>
              <w:contextualSpacing/>
              <w:jc w:val="both"/>
              <w:rPr>
                <w:sz w:val="20"/>
                <w:szCs w:val="20"/>
              </w:rPr>
            </w:pPr>
            <w:r w:rsidRPr="00712F3C">
              <w:rPr>
                <w:sz w:val="20"/>
                <w:szCs w:val="20"/>
              </w:rPr>
              <w:t>Eligible NRI</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26F63BCF" w14:textId="45DBAE4B" w:rsidR="00F8631B" w:rsidRPr="00712F3C" w:rsidRDefault="00F8631B" w:rsidP="00250DAC">
            <w:pPr>
              <w:pStyle w:val="Default"/>
              <w:contextualSpacing/>
              <w:jc w:val="both"/>
              <w:rPr>
                <w:sz w:val="20"/>
                <w:szCs w:val="20"/>
              </w:rPr>
            </w:pPr>
            <w:r w:rsidRPr="00712F3C">
              <w:rPr>
                <w:sz w:val="20"/>
                <w:szCs w:val="20"/>
              </w:rPr>
              <w:t>A Non</w:t>
            </w:r>
            <w:r w:rsidR="00B8458C">
              <w:rPr>
                <w:sz w:val="20"/>
                <w:szCs w:val="20"/>
              </w:rPr>
              <w:t>-</w:t>
            </w:r>
            <w:r w:rsidRPr="00712F3C">
              <w:rPr>
                <w:sz w:val="20"/>
                <w:szCs w:val="20"/>
              </w:rPr>
              <w:t>Resident Indian in a jurisdiction outside India where it is not unlawful to make an offer or invitation under the Issue and in relation to whom this Draft Red Herring Prospectus will constitute an invitation to subscribe for the Equity Shares.</w:t>
            </w:r>
          </w:p>
        </w:tc>
      </w:tr>
      <w:tr w:rsidR="00F8631B" w:rsidRPr="00712F3C" w14:paraId="23D7E12C"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620FF1E8" w14:textId="77777777" w:rsidR="00F8631B" w:rsidRPr="00712F3C" w:rsidRDefault="00F8631B" w:rsidP="00250DAC">
            <w:pPr>
              <w:pStyle w:val="Default"/>
              <w:contextualSpacing/>
              <w:jc w:val="both"/>
              <w:rPr>
                <w:sz w:val="20"/>
                <w:szCs w:val="20"/>
              </w:rPr>
            </w:pPr>
            <w:r w:rsidRPr="00712F3C">
              <w:rPr>
                <w:sz w:val="20"/>
                <w:szCs w:val="20"/>
              </w:rPr>
              <w:t>Eligible QFIs</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18C049B2" w14:textId="77777777" w:rsidR="00F8631B" w:rsidRPr="00712F3C" w:rsidRDefault="00F8631B" w:rsidP="00250DAC">
            <w:pPr>
              <w:pStyle w:val="Default"/>
              <w:contextualSpacing/>
              <w:jc w:val="both"/>
              <w:rPr>
                <w:sz w:val="20"/>
                <w:szCs w:val="20"/>
              </w:rPr>
            </w:pPr>
            <w:r w:rsidRPr="00712F3C">
              <w:rPr>
                <w:sz w:val="20"/>
                <w:szCs w:val="20"/>
              </w:rPr>
              <w:t>QFIs from such jurisdictions outside India where it is not unlawful to make an issue or invitation under the Issue and in relation to whom the Prospectus constitutes an invitation to purchase the Equity shares issued thereby and who have opened Demat accounts with SEBI registered qualified depositary participants.</w:t>
            </w:r>
          </w:p>
        </w:tc>
      </w:tr>
      <w:tr w:rsidR="00F8631B" w:rsidRPr="00712F3C" w14:paraId="12483A8F"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2BE60E9B" w14:textId="77777777" w:rsidR="00F8631B" w:rsidRPr="00712F3C" w:rsidRDefault="00F8631B" w:rsidP="00250DAC">
            <w:pPr>
              <w:pStyle w:val="Default"/>
              <w:contextualSpacing/>
              <w:jc w:val="both"/>
              <w:rPr>
                <w:sz w:val="20"/>
                <w:szCs w:val="20"/>
              </w:rPr>
            </w:pPr>
            <w:r w:rsidRPr="00712F3C">
              <w:rPr>
                <w:sz w:val="20"/>
                <w:szCs w:val="20"/>
              </w:rPr>
              <w:t>Escrow Account(s)</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33CB1DEF" w14:textId="77777777" w:rsidR="00F8631B" w:rsidRPr="00712F3C" w:rsidRDefault="00F8631B" w:rsidP="00250DAC">
            <w:pPr>
              <w:pStyle w:val="Default"/>
              <w:contextualSpacing/>
              <w:jc w:val="both"/>
              <w:rPr>
                <w:sz w:val="20"/>
                <w:szCs w:val="20"/>
              </w:rPr>
            </w:pPr>
            <w:r w:rsidRPr="00712F3C">
              <w:rPr>
                <w:sz w:val="20"/>
                <w:szCs w:val="20"/>
              </w:rPr>
              <w:t>The account(s) to be opened with the Escrow Collection Bank and in whose favour the Anchor Investors will transfer money through NACH/direct credit/ NEFT/ RTGS in respect of the Bid Amount when submitting a Bid.</w:t>
            </w:r>
          </w:p>
        </w:tc>
      </w:tr>
      <w:tr w:rsidR="00F8631B" w:rsidRPr="00712F3C" w14:paraId="567DE0A6"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77FB4687" w14:textId="77777777" w:rsidR="00F8631B" w:rsidRPr="00712F3C" w:rsidRDefault="00F8631B" w:rsidP="00250DAC">
            <w:pPr>
              <w:pStyle w:val="Default"/>
              <w:contextualSpacing/>
              <w:jc w:val="both"/>
              <w:rPr>
                <w:sz w:val="20"/>
                <w:szCs w:val="20"/>
              </w:rPr>
            </w:pPr>
            <w:r w:rsidRPr="00712F3C">
              <w:rPr>
                <w:sz w:val="20"/>
                <w:szCs w:val="20"/>
              </w:rPr>
              <w:t>FII/ Foreign Institutional Investors</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7DCDAD4A" w14:textId="77777777" w:rsidR="00F8631B" w:rsidRPr="00712F3C" w:rsidRDefault="00F8631B" w:rsidP="00250DAC">
            <w:pPr>
              <w:pStyle w:val="Default"/>
              <w:contextualSpacing/>
              <w:jc w:val="both"/>
              <w:rPr>
                <w:sz w:val="20"/>
                <w:szCs w:val="20"/>
              </w:rPr>
            </w:pPr>
            <w:r w:rsidRPr="00712F3C">
              <w:rPr>
                <w:sz w:val="20"/>
                <w:szCs w:val="20"/>
              </w:rPr>
              <w:t>Foreign Institutional Investor as defined under SEBI (Foreign Institutional Investors) Regulations, 1995, as amended) registered with SEBI under applicable laws in India.</w:t>
            </w:r>
          </w:p>
        </w:tc>
      </w:tr>
      <w:tr w:rsidR="00F8631B" w:rsidRPr="00712F3C" w14:paraId="1B33FC27"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36202862" w14:textId="77777777" w:rsidR="00F8631B" w:rsidRPr="00712F3C" w:rsidRDefault="00F8631B" w:rsidP="00250DAC">
            <w:pPr>
              <w:pStyle w:val="Default"/>
              <w:contextualSpacing/>
              <w:jc w:val="both"/>
              <w:rPr>
                <w:sz w:val="20"/>
                <w:szCs w:val="20"/>
              </w:rPr>
            </w:pPr>
            <w:r w:rsidRPr="00712F3C">
              <w:rPr>
                <w:sz w:val="20"/>
                <w:szCs w:val="20"/>
              </w:rPr>
              <w:t>First Bidder/ Applicant/ Bidders</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0AB9F68B" w14:textId="77777777" w:rsidR="00F8631B" w:rsidRPr="00712F3C" w:rsidRDefault="00F8631B" w:rsidP="00250DAC">
            <w:pPr>
              <w:pStyle w:val="Default"/>
              <w:contextualSpacing/>
              <w:jc w:val="both"/>
              <w:rPr>
                <w:sz w:val="20"/>
                <w:szCs w:val="20"/>
              </w:rPr>
            </w:pPr>
            <w:r w:rsidRPr="00712F3C">
              <w:rPr>
                <w:sz w:val="20"/>
                <w:szCs w:val="20"/>
              </w:rPr>
              <w:t>Bidder(s) whose name shall be mentioned in the Bid cum Application Form or the Revision Form and in case of joint bids, whose name shall also appear as the first holder of the beneficiary account held in joint names.</w:t>
            </w:r>
          </w:p>
        </w:tc>
      </w:tr>
      <w:tr w:rsidR="00F8631B" w:rsidRPr="00712F3C" w14:paraId="7252FD7B"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345D2CD9" w14:textId="77777777" w:rsidR="00F8631B" w:rsidRPr="00712F3C" w:rsidRDefault="00F8631B" w:rsidP="00250DAC">
            <w:pPr>
              <w:pStyle w:val="Default"/>
              <w:contextualSpacing/>
              <w:jc w:val="both"/>
              <w:rPr>
                <w:sz w:val="20"/>
                <w:szCs w:val="20"/>
              </w:rPr>
            </w:pPr>
            <w:r w:rsidRPr="00712F3C">
              <w:rPr>
                <w:sz w:val="20"/>
                <w:szCs w:val="20"/>
              </w:rPr>
              <w:t>Floor Price</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758E6203" w14:textId="77777777" w:rsidR="00F8631B" w:rsidRPr="00712F3C" w:rsidRDefault="00F8631B" w:rsidP="00250DAC">
            <w:pPr>
              <w:pStyle w:val="Default"/>
              <w:contextualSpacing/>
              <w:jc w:val="both"/>
              <w:rPr>
                <w:sz w:val="20"/>
                <w:szCs w:val="20"/>
              </w:rPr>
            </w:pPr>
            <w:r w:rsidRPr="00712F3C">
              <w:rPr>
                <w:sz w:val="20"/>
                <w:szCs w:val="20"/>
              </w:rPr>
              <w:t>The lower end of the Price Band, subject to any revision(s) thereto, at or above which the Issue Price and the Anchor Investor Issue Price will be finalised and below which no Bids will be accepted</w:t>
            </w:r>
          </w:p>
        </w:tc>
      </w:tr>
      <w:tr w:rsidR="00F8631B" w:rsidRPr="00712F3C" w14:paraId="351CDB3A"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74D34334" w14:textId="77777777" w:rsidR="00F8631B" w:rsidRPr="00712F3C" w:rsidRDefault="00F8631B" w:rsidP="00250DAC">
            <w:pPr>
              <w:pStyle w:val="Default"/>
              <w:contextualSpacing/>
              <w:jc w:val="both"/>
              <w:rPr>
                <w:sz w:val="20"/>
                <w:szCs w:val="20"/>
              </w:rPr>
            </w:pPr>
            <w:r w:rsidRPr="00712F3C">
              <w:rPr>
                <w:sz w:val="20"/>
                <w:szCs w:val="20"/>
              </w:rPr>
              <w:t>Foreign Venture Capital Investors</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67C614E7" w14:textId="77777777" w:rsidR="00F8631B" w:rsidRPr="00712F3C" w:rsidRDefault="00F8631B" w:rsidP="00250DAC">
            <w:pPr>
              <w:pStyle w:val="Default"/>
              <w:contextualSpacing/>
              <w:jc w:val="both"/>
              <w:rPr>
                <w:sz w:val="20"/>
                <w:szCs w:val="20"/>
              </w:rPr>
            </w:pPr>
            <w:r w:rsidRPr="00712F3C">
              <w:rPr>
                <w:sz w:val="20"/>
                <w:szCs w:val="20"/>
              </w:rPr>
              <w:t>Foreign Venture Capital Investors registered with SEBI under the SEBI (Foreign Venture Capital Investor) Regulations, 2000.</w:t>
            </w:r>
          </w:p>
        </w:tc>
      </w:tr>
      <w:tr w:rsidR="00F8631B" w:rsidRPr="00712F3C" w14:paraId="14860B8E"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2F131CD5" w14:textId="77777777" w:rsidR="00F8631B" w:rsidRPr="00712F3C" w:rsidRDefault="00F8631B" w:rsidP="00250DAC">
            <w:pPr>
              <w:pStyle w:val="Default"/>
              <w:contextualSpacing/>
              <w:jc w:val="both"/>
              <w:rPr>
                <w:sz w:val="20"/>
                <w:szCs w:val="20"/>
              </w:rPr>
            </w:pPr>
            <w:r w:rsidRPr="00712F3C">
              <w:rPr>
                <w:sz w:val="20"/>
                <w:szCs w:val="20"/>
              </w:rPr>
              <w:t>FPI/ Foreign Portfolio Investor</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0B45EC47" w14:textId="77777777" w:rsidR="00F8631B" w:rsidRPr="00712F3C" w:rsidRDefault="00F8631B" w:rsidP="00250DAC">
            <w:pPr>
              <w:pStyle w:val="Default"/>
              <w:contextualSpacing/>
              <w:jc w:val="both"/>
              <w:rPr>
                <w:sz w:val="20"/>
                <w:szCs w:val="20"/>
              </w:rPr>
            </w:pPr>
            <w:r w:rsidRPr="00712F3C">
              <w:rPr>
                <w:sz w:val="20"/>
                <w:szCs w:val="20"/>
              </w:rPr>
              <w:t>A Foreign Portfolio Investor who has been registered pursuant to the of Securities and Exchange Board of India (Foreign Portfolio Investors) Regulations, 2014, provided that any FII or QFI who holds a valid certificate of registration shall be deemed to be a foreign portfolio investor till the expiry of the block of three years for which fees have been paid as per the SEBI (Foreign Institutional Investors) Regulations, 1995, as amended</w:t>
            </w:r>
          </w:p>
        </w:tc>
      </w:tr>
      <w:tr w:rsidR="00F8631B" w:rsidRPr="00712F3C" w14:paraId="46043F36"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7575FD0E" w14:textId="77777777" w:rsidR="00F8631B" w:rsidRPr="00712F3C" w:rsidRDefault="00F8631B" w:rsidP="00250DAC">
            <w:pPr>
              <w:pStyle w:val="Default"/>
              <w:contextualSpacing/>
              <w:jc w:val="both"/>
              <w:rPr>
                <w:sz w:val="20"/>
                <w:szCs w:val="20"/>
              </w:rPr>
            </w:pPr>
            <w:r w:rsidRPr="00712F3C">
              <w:rPr>
                <w:sz w:val="20"/>
                <w:szCs w:val="20"/>
              </w:rPr>
              <w:t>Fugitive Economic Offender</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4A7A0450" w14:textId="77777777" w:rsidR="00F8631B" w:rsidRPr="00712F3C" w:rsidRDefault="00F8631B" w:rsidP="00250DAC">
            <w:pPr>
              <w:pStyle w:val="Default"/>
              <w:contextualSpacing/>
              <w:jc w:val="both"/>
              <w:rPr>
                <w:sz w:val="20"/>
                <w:szCs w:val="20"/>
              </w:rPr>
            </w:pPr>
            <w:r w:rsidRPr="00712F3C">
              <w:rPr>
                <w:sz w:val="20"/>
                <w:szCs w:val="20"/>
              </w:rPr>
              <w:t>An individual who is declared a fugitive economic offender under Section 12 of the Fugitive Economic Offenders Act, 2018.</w:t>
            </w:r>
          </w:p>
        </w:tc>
      </w:tr>
      <w:tr w:rsidR="00F8631B" w:rsidRPr="00712F3C" w14:paraId="1CAB4A7C"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2BF9E5C4" w14:textId="77777777" w:rsidR="00F8631B" w:rsidRPr="00712F3C" w:rsidRDefault="00F8631B" w:rsidP="00250DAC">
            <w:pPr>
              <w:pStyle w:val="Default"/>
              <w:contextualSpacing/>
              <w:jc w:val="both"/>
              <w:rPr>
                <w:sz w:val="20"/>
                <w:szCs w:val="20"/>
              </w:rPr>
            </w:pPr>
            <w:r w:rsidRPr="00712F3C">
              <w:rPr>
                <w:sz w:val="20"/>
                <w:szCs w:val="20"/>
              </w:rPr>
              <w:t>General Corporate Purposes</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2CF0604E" w14:textId="77777777" w:rsidR="00F8631B" w:rsidRPr="00712F3C" w:rsidRDefault="00F8631B" w:rsidP="00250DAC">
            <w:pPr>
              <w:pStyle w:val="Default"/>
              <w:contextualSpacing/>
              <w:jc w:val="both"/>
              <w:rPr>
                <w:sz w:val="20"/>
                <w:szCs w:val="20"/>
              </w:rPr>
            </w:pPr>
            <w:r w:rsidRPr="00712F3C">
              <w:rPr>
                <w:sz w:val="20"/>
                <w:szCs w:val="20"/>
              </w:rPr>
              <w:t>Include such identified purposes for which no specific amount is allocated or any amount so specified towards general corporate purpose or any such purpose by whatever name called, in the offer document. Provided that any issue related expenses shall not be considered as a part of general corporate purpose merely because no specific amount has been allocated for such expenses in the offer document.</w:t>
            </w:r>
          </w:p>
        </w:tc>
      </w:tr>
      <w:tr w:rsidR="00F8631B" w:rsidRPr="00712F3C" w14:paraId="7C77F0DB"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725528B9" w14:textId="77777777" w:rsidR="00F8631B" w:rsidRPr="00712F3C" w:rsidRDefault="00F8631B" w:rsidP="00250DAC">
            <w:pPr>
              <w:pStyle w:val="Default"/>
              <w:contextualSpacing/>
              <w:jc w:val="both"/>
              <w:rPr>
                <w:sz w:val="20"/>
                <w:szCs w:val="20"/>
              </w:rPr>
            </w:pPr>
            <w:r w:rsidRPr="00712F3C">
              <w:rPr>
                <w:sz w:val="20"/>
                <w:szCs w:val="20"/>
              </w:rPr>
              <w:t>General Information Document (GID)</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48082B75" w14:textId="77777777" w:rsidR="00F8631B" w:rsidRPr="00712F3C" w:rsidRDefault="00F8631B" w:rsidP="00250DAC">
            <w:pPr>
              <w:pStyle w:val="Default"/>
              <w:contextualSpacing/>
              <w:jc w:val="both"/>
              <w:rPr>
                <w:sz w:val="20"/>
                <w:szCs w:val="20"/>
              </w:rPr>
            </w:pPr>
            <w:r w:rsidRPr="00712F3C">
              <w:rPr>
                <w:sz w:val="20"/>
                <w:szCs w:val="20"/>
              </w:rPr>
              <w:t>The General Information Document for investing in public issues, prepared and issued in accordance with the SEBI circular (SEBI/HO/CFD/DIL1/CIR/P/2020/37) dated March 17, 2020 and the UPI Circulars. The General Information Document shall be available on the websites of the Stock Exchanges, and the Book Running Lead Managers.</w:t>
            </w:r>
          </w:p>
        </w:tc>
      </w:tr>
      <w:tr w:rsidR="00F8631B" w:rsidRPr="00712F3C" w14:paraId="6B8AD573"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205FFB18" w14:textId="77777777" w:rsidR="00F8631B" w:rsidRPr="00712F3C" w:rsidRDefault="00F8631B" w:rsidP="00250DAC">
            <w:pPr>
              <w:pStyle w:val="Default"/>
              <w:contextualSpacing/>
              <w:jc w:val="both"/>
              <w:rPr>
                <w:sz w:val="20"/>
                <w:szCs w:val="20"/>
              </w:rPr>
            </w:pPr>
            <w:r w:rsidRPr="00712F3C">
              <w:rPr>
                <w:sz w:val="20"/>
                <w:szCs w:val="20"/>
              </w:rPr>
              <w:t>Issue Agreement</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1D30932D" w14:textId="0F5578BB" w:rsidR="00F8631B" w:rsidRPr="00712F3C" w:rsidRDefault="00F8631B" w:rsidP="00250DAC">
            <w:pPr>
              <w:pStyle w:val="Default"/>
              <w:contextualSpacing/>
              <w:jc w:val="both"/>
              <w:rPr>
                <w:sz w:val="20"/>
                <w:szCs w:val="20"/>
              </w:rPr>
            </w:pPr>
            <w:r w:rsidRPr="00712F3C">
              <w:rPr>
                <w:sz w:val="20"/>
                <w:szCs w:val="20"/>
              </w:rPr>
              <w:t xml:space="preserve">The Issue Agreement </w:t>
            </w:r>
            <w:r w:rsidRPr="00CB2D76">
              <w:rPr>
                <w:sz w:val="20"/>
                <w:szCs w:val="20"/>
              </w:rPr>
              <w:t xml:space="preserve">dated </w:t>
            </w:r>
            <w:r w:rsidR="00CB2D76" w:rsidRPr="00CB2D76">
              <w:rPr>
                <w:sz w:val="20"/>
                <w:szCs w:val="20"/>
              </w:rPr>
              <w:t>September 18</w:t>
            </w:r>
            <w:r w:rsidRPr="00CB2D76">
              <w:rPr>
                <w:sz w:val="20"/>
                <w:szCs w:val="20"/>
              </w:rPr>
              <w:t>, 2023 between</w:t>
            </w:r>
            <w:r w:rsidRPr="00712F3C">
              <w:rPr>
                <w:sz w:val="20"/>
                <w:szCs w:val="20"/>
              </w:rPr>
              <w:t xml:space="preserve"> our Company and Book Running Lead Manager, Hem Securities Limited.</w:t>
            </w:r>
          </w:p>
        </w:tc>
      </w:tr>
      <w:tr w:rsidR="00F8631B" w:rsidRPr="00712F3C" w14:paraId="6ECA1677"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482B8E25" w14:textId="77777777" w:rsidR="00F8631B" w:rsidRPr="00712F3C" w:rsidRDefault="00F8631B" w:rsidP="00250DAC">
            <w:pPr>
              <w:pStyle w:val="Default"/>
              <w:contextualSpacing/>
              <w:jc w:val="both"/>
              <w:rPr>
                <w:sz w:val="20"/>
                <w:szCs w:val="20"/>
              </w:rPr>
            </w:pPr>
            <w:r w:rsidRPr="00712F3C">
              <w:rPr>
                <w:sz w:val="20"/>
                <w:szCs w:val="20"/>
              </w:rPr>
              <w:t xml:space="preserve">Issue Price </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49F8F489" w14:textId="77777777" w:rsidR="00F8631B" w:rsidRPr="00712F3C" w:rsidRDefault="00F8631B" w:rsidP="00250DAC">
            <w:pPr>
              <w:pStyle w:val="Default"/>
              <w:contextualSpacing/>
              <w:jc w:val="both"/>
              <w:rPr>
                <w:sz w:val="20"/>
                <w:szCs w:val="20"/>
              </w:rPr>
            </w:pPr>
            <w:r w:rsidRPr="00712F3C">
              <w:rPr>
                <w:sz w:val="20"/>
                <w:szCs w:val="20"/>
              </w:rPr>
              <w:t>The Price at which the Equity Shares are being issued by our Company under this Draft Red Herring Prospectus being ₹ [●] per Equity share.</w:t>
            </w:r>
          </w:p>
        </w:tc>
      </w:tr>
      <w:tr w:rsidR="00F8631B" w:rsidRPr="00712F3C" w14:paraId="2A2A9524"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59CCC63F" w14:textId="77777777" w:rsidR="00F8631B" w:rsidRPr="00712F3C" w:rsidRDefault="00F8631B" w:rsidP="00250DAC">
            <w:pPr>
              <w:pStyle w:val="Default"/>
              <w:contextualSpacing/>
              <w:jc w:val="both"/>
              <w:rPr>
                <w:sz w:val="20"/>
                <w:szCs w:val="20"/>
              </w:rPr>
            </w:pPr>
            <w:r w:rsidRPr="00712F3C">
              <w:rPr>
                <w:sz w:val="20"/>
                <w:szCs w:val="20"/>
              </w:rPr>
              <w:t xml:space="preserve">Issue Proceeds </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1FDE31D6" w14:textId="77777777" w:rsidR="00F8631B" w:rsidRPr="00712F3C" w:rsidRDefault="00F8631B" w:rsidP="00250DAC">
            <w:pPr>
              <w:pStyle w:val="Default"/>
              <w:contextualSpacing/>
              <w:jc w:val="both"/>
              <w:rPr>
                <w:sz w:val="20"/>
                <w:szCs w:val="20"/>
              </w:rPr>
            </w:pPr>
            <w:r w:rsidRPr="00712F3C">
              <w:rPr>
                <w:sz w:val="20"/>
                <w:szCs w:val="20"/>
              </w:rPr>
              <w:t xml:space="preserve">Proceeds to be raised by our Company through this Issue, for further details please refer chapter titled </w:t>
            </w:r>
            <w:r w:rsidRPr="00712F3C">
              <w:rPr>
                <w:b/>
                <w:i/>
                <w:sz w:val="20"/>
                <w:szCs w:val="20"/>
              </w:rPr>
              <w:t>“Objects of the Issue”</w:t>
            </w:r>
            <w:r w:rsidRPr="00712F3C">
              <w:rPr>
                <w:sz w:val="20"/>
                <w:szCs w:val="20"/>
              </w:rPr>
              <w:t xml:space="preserve"> beginning on page </w:t>
            </w:r>
            <w:r>
              <w:rPr>
                <w:iCs/>
                <w:sz w:val="20"/>
                <w:szCs w:val="20"/>
              </w:rPr>
              <w:t>68</w:t>
            </w:r>
            <w:r w:rsidRPr="00712F3C">
              <w:rPr>
                <w:i/>
                <w:iCs/>
                <w:sz w:val="20"/>
                <w:szCs w:val="20"/>
              </w:rPr>
              <w:t xml:space="preserve"> </w:t>
            </w:r>
            <w:r w:rsidRPr="00712F3C">
              <w:rPr>
                <w:sz w:val="20"/>
                <w:szCs w:val="20"/>
              </w:rPr>
              <w:t>of this Draft Red Herring Prospectus</w:t>
            </w:r>
          </w:p>
        </w:tc>
      </w:tr>
      <w:tr w:rsidR="00F8631B" w:rsidRPr="00712F3C" w14:paraId="10060E9B"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3EA85AF9" w14:textId="77777777" w:rsidR="00F8631B" w:rsidRPr="00712F3C" w:rsidRDefault="00F8631B" w:rsidP="00250DAC">
            <w:pPr>
              <w:pStyle w:val="Default"/>
              <w:contextualSpacing/>
              <w:jc w:val="both"/>
              <w:rPr>
                <w:sz w:val="20"/>
                <w:szCs w:val="20"/>
              </w:rPr>
            </w:pPr>
            <w:r w:rsidRPr="00712F3C">
              <w:rPr>
                <w:sz w:val="20"/>
                <w:szCs w:val="20"/>
              </w:rPr>
              <w:t>Issue/ Public Issue/ Issue size/ Initial Public Issue/ Initial Public Offering/ IPO</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5BB6D494" w14:textId="2FE9D19F" w:rsidR="00F8631B" w:rsidRPr="00712F3C" w:rsidRDefault="00F8631B" w:rsidP="00250DAC">
            <w:pPr>
              <w:pStyle w:val="Default"/>
              <w:contextualSpacing/>
              <w:jc w:val="both"/>
              <w:rPr>
                <w:sz w:val="20"/>
                <w:szCs w:val="20"/>
              </w:rPr>
            </w:pPr>
            <w:r w:rsidRPr="00712F3C">
              <w:rPr>
                <w:sz w:val="20"/>
                <w:szCs w:val="20"/>
              </w:rPr>
              <w:t xml:space="preserve">The Initial Public Issue of upto </w:t>
            </w:r>
            <w:r w:rsidR="00B8458C">
              <w:rPr>
                <w:sz w:val="20"/>
                <w:szCs w:val="20"/>
              </w:rPr>
              <w:t>49,92</w:t>
            </w:r>
            <w:r w:rsidRPr="00712F3C">
              <w:rPr>
                <w:sz w:val="20"/>
                <w:szCs w:val="20"/>
              </w:rPr>
              <w:t>,000 Equity shares of ₹ 10/- each at issue price of ₹ [●]/- per Equity share, including a premium of ₹ [●]/- per equity share aggregating to ₹ [●] lakhs</w:t>
            </w:r>
          </w:p>
        </w:tc>
      </w:tr>
      <w:tr w:rsidR="00F8631B" w:rsidRPr="00712F3C" w14:paraId="380A15BD"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536B05CE" w14:textId="77777777" w:rsidR="00F8631B" w:rsidRPr="00712F3C" w:rsidRDefault="00F8631B" w:rsidP="00250DAC">
            <w:pPr>
              <w:pStyle w:val="Default"/>
              <w:contextualSpacing/>
              <w:jc w:val="both"/>
              <w:rPr>
                <w:sz w:val="20"/>
                <w:szCs w:val="20"/>
              </w:rPr>
            </w:pPr>
            <w:r w:rsidRPr="00712F3C">
              <w:rPr>
                <w:sz w:val="20"/>
                <w:szCs w:val="20"/>
              </w:rPr>
              <w:t>Listing Agreement</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4BCAA433" w14:textId="77777777" w:rsidR="00F8631B" w:rsidRPr="00712F3C" w:rsidRDefault="00F8631B" w:rsidP="00250DAC">
            <w:pPr>
              <w:pStyle w:val="Default"/>
              <w:contextualSpacing/>
              <w:jc w:val="both"/>
              <w:rPr>
                <w:sz w:val="20"/>
                <w:szCs w:val="20"/>
              </w:rPr>
            </w:pPr>
            <w:r w:rsidRPr="00712F3C">
              <w:rPr>
                <w:sz w:val="20"/>
                <w:szCs w:val="20"/>
              </w:rPr>
              <w:t>The Equity Listing Agreement to be signed between our Company and the Stock Exchange.</w:t>
            </w:r>
          </w:p>
        </w:tc>
      </w:tr>
      <w:tr w:rsidR="00F8631B" w:rsidRPr="00712F3C" w14:paraId="6C9D20B5"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75F0CBFF" w14:textId="77777777" w:rsidR="00F8631B" w:rsidRPr="00712F3C" w:rsidRDefault="00F8631B" w:rsidP="00250DAC">
            <w:pPr>
              <w:pStyle w:val="Default"/>
              <w:contextualSpacing/>
              <w:jc w:val="both"/>
              <w:rPr>
                <w:sz w:val="20"/>
                <w:szCs w:val="20"/>
              </w:rPr>
            </w:pPr>
            <w:r w:rsidRPr="00712F3C">
              <w:rPr>
                <w:sz w:val="20"/>
                <w:szCs w:val="20"/>
              </w:rPr>
              <w:lastRenderedPageBreak/>
              <w:t>Lot Size</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31CEFBC2" w14:textId="77777777" w:rsidR="00F8631B" w:rsidRPr="00712F3C" w:rsidRDefault="00F8631B" w:rsidP="00250DAC">
            <w:pPr>
              <w:pStyle w:val="Default"/>
              <w:contextualSpacing/>
              <w:jc w:val="both"/>
              <w:rPr>
                <w:sz w:val="20"/>
                <w:szCs w:val="20"/>
              </w:rPr>
            </w:pPr>
            <w:r w:rsidRPr="00712F3C">
              <w:rPr>
                <w:sz w:val="20"/>
                <w:szCs w:val="20"/>
              </w:rPr>
              <w:t>[●]</w:t>
            </w:r>
          </w:p>
        </w:tc>
      </w:tr>
      <w:tr w:rsidR="00F8631B" w:rsidRPr="00712F3C" w14:paraId="6FD55A85"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62FCBAC9" w14:textId="77777777" w:rsidR="00F8631B" w:rsidRPr="00712F3C" w:rsidRDefault="00F8631B" w:rsidP="00250DAC">
            <w:pPr>
              <w:pStyle w:val="Default"/>
              <w:contextualSpacing/>
              <w:jc w:val="both"/>
              <w:rPr>
                <w:sz w:val="20"/>
                <w:szCs w:val="20"/>
              </w:rPr>
            </w:pPr>
            <w:r w:rsidRPr="00712F3C">
              <w:rPr>
                <w:sz w:val="20"/>
                <w:szCs w:val="20"/>
              </w:rPr>
              <w:t>Mandate Request</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149694C1" w14:textId="77777777" w:rsidR="00F8631B" w:rsidRPr="00712F3C" w:rsidRDefault="00F8631B" w:rsidP="00250DAC">
            <w:pPr>
              <w:pStyle w:val="Default"/>
              <w:contextualSpacing/>
              <w:jc w:val="both"/>
              <w:rPr>
                <w:sz w:val="20"/>
                <w:szCs w:val="20"/>
              </w:rPr>
            </w:pPr>
            <w:r w:rsidRPr="00712F3C">
              <w:rPr>
                <w:sz w:val="20"/>
                <w:szCs w:val="20"/>
              </w:rPr>
              <w:t>Mandate Request means a request initiated on the RII by sponsor bank to authorize blocking of funds equivalent to the application amount and subsequent debit to funds in case of allotment.</w:t>
            </w:r>
          </w:p>
        </w:tc>
      </w:tr>
      <w:tr w:rsidR="00F8631B" w:rsidRPr="00712F3C" w14:paraId="558C1CE2"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66FE992C" w14:textId="77777777" w:rsidR="00F8631B" w:rsidRPr="00712F3C" w:rsidRDefault="00F8631B" w:rsidP="00250DAC">
            <w:pPr>
              <w:pStyle w:val="Default"/>
              <w:contextualSpacing/>
              <w:jc w:val="both"/>
              <w:rPr>
                <w:sz w:val="20"/>
                <w:szCs w:val="20"/>
              </w:rPr>
            </w:pPr>
            <w:r w:rsidRPr="00712F3C">
              <w:rPr>
                <w:sz w:val="20"/>
                <w:szCs w:val="20"/>
              </w:rPr>
              <w:t>Market Maker Reservation Portion</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50472CBD" w14:textId="77777777" w:rsidR="00F8631B" w:rsidRPr="00712F3C" w:rsidRDefault="00F8631B" w:rsidP="00250DAC">
            <w:pPr>
              <w:pStyle w:val="Default"/>
              <w:contextualSpacing/>
              <w:jc w:val="both"/>
              <w:rPr>
                <w:sz w:val="20"/>
                <w:szCs w:val="20"/>
              </w:rPr>
            </w:pPr>
            <w:r w:rsidRPr="00712F3C">
              <w:rPr>
                <w:sz w:val="20"/>
                <w:szCs w:val="20"/>
              </w:rPr>
              <w:t>The reserved portion of [●] Equity Shares of ₹10 each at an Issue price of ₹ [●] each is aggregating to ₹ [●] Lakhs to be subscribed by Market Maker in this issue.</w:t>
            </w:r>
          </w:p>
        </w:tc>
      </w:tr>
      <w:tr w:rsidR="00F8631B" w:rsidRPr="00712F3C" w14:paraId="63D976D2"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7B3CFC37" w14:textId="77777777" w:rsidR="00F8631B" w:rsidRPr="00712F3C" w:rsidRDefault="00F8631B" w:rsidP="00250DAC">
            <w:pPr>
              <w:pStyle w:val="Default"/>
              <w:contextualSpacing/>
              <w:jc w:val="both"/>
              <w:rPr>
                <w:sz w:val="20"/>
                <w:szCs w:val="20"/>
              </w:rPr>
            </w:pPr>
            <w:r w:rsidRPr="00712F3C">
              <w:rPr>
                <w:sz w:val="20"/>
                <w:szCs w:val="20"/>
              </w:rPr>
              <w:t>Market Making Agreement</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6DA4BC52" w14:textId="77777777" w:rsidR="00F8631B" w:rsidRPr="00712F3C" w:rsidRDefault="00F8631B" w:rsidP="00250DAC">
            <w:pPr>
              <w:pStyle w:val="Default"/>
              <w:contextualSpacing/>
              <w:jc w:val="both"/>
              <w:rPr>
                <w:sz w:val="20"/>
                <w:szCs w:val="20"/>
              </w:rPr>
            </w:pPr>
            <w:r w:rsidRPr="00712F3C">
              <w:rPr>
                <w:sz w:val="20"/>
                <w:szCs w:val="20"/>
              </w:rPr>
              <w:t>The Market Making Agreement dated [●] between our Company, Book Running Lead Manager and Market Maker, [●].</w:t>
            </w:r>
          </w:p>
        </w:tc>
      </w:tr>
      <w:tr w:rsidR="00F8631B" w:rsidRPr="00712F3C" w14:paraId="6139AF19"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28B038D2" w14:textId="77777777" w:rsidR="00F8631B" w:rsidRPr="00712F3C" w:rsidRDefault="00F8631B" w:rsidP="00250DAC">
            <w:pPr>
              <w:pStyle w:val="Default"/>
              <w:contextualSpacing/>
              <w:jc w:val="both"/>
              <w:rPr>
                <w:sz w:val="20"/>
                <w:szCs w:val="20"/>
              </w:rPr>
            </w:pPr>
            <w:r w:rsidRPr="00712F3C">
              <w:rPr>
                <w:sz w:val="20"/>
                <w:szCs w:val="20"/>
              </w:rPr>
              <w:t>Mutual Fund Portion</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0B80A4A9" w14:textId="77777777" w:rsidR="00F8631B" w:rsidRPr="00712F3C" w:rsidRDefault="00F8631B" w:rsidP="00250DAC">
            <w:pPr>
              <w:pStyle w:val="Default"/>
              <w:contextualSpacing/>
              <w:jc w:val="both"/>
              <w:rPr>
                <w:sz w:val="20"/>
                <w:szCs w:val="20"/>
              </w:rPr>
            </w:pPr>
            <w:r w:rsidRPr="00712F3C">
              <w:rPr>
                <w:sz w:val="20"/>
                <w:szCs w:val="20"/>
              </w:rPr>
              <w:t>5% of the Net QIB Portion, or [●] Equity Shares, which shall be available for allocation to Mutual Funds only on a proportionate basis, subject to valid Bids being received at or above the Issue Price.</w:t>
            </w:r>
          </w:p>
        </w:tc>
      </w:tr>
      <w:tr w:rsidR="00F8631B" w:rsidRPr="00712F3C" w14:paraId="519510C7"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7CFF4BC3" w14:textId="77777777" w:rsidR="00F8631B" w:rsidRPr="00712F3C" w:rsidRDefault="00F8631B" w:rsidP="00250DAC">
            <w:pPr>
              <w:pStyle w:val="Default"/>
              <w:contextualSpacing/>
              <w:jc w:val="both"/>
              <w:rPr>
                <w:sz w:val="20"/>
                <w:szCs w:val="20"/>
              </w:rPr>
            </w:pPr>
            <w:r w:rsidRPr="00712F3C">
              <w:rPr>
                <w:sz w:val="20"/>
                <w:szCs w:val="20"/>
              </w:rPr>
              <w:t>Mutual Funds</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690A7771" w14:textId="77777777" w:rsidR="00F8631B" w:rsidRPr="00712F3C" w:rsidRDefault="00F8631B" w:rsidP="00250DAC">
            <w:pPr>
              <w:pStyle w:val="Default"/>
              <w:contextualSpacing/>
              <w:jc w:val="both"/>
              <w:rPr>
                <w:sz w:val="20"/>
                <w:szCs w:val="20"/>
              </w:rPr>
            </w:pPr>
            <w:r w:rsidRPr="00712F3C">
              <w:rPr>
                <w:sz w:val="20"/>
                <w:szCs w:val="20"/>
              </w:rPr>
              <w:t>A mutual fund registered with SEBI under the SEBI (Mutual Funds) Regulations, 1996, as amended from time to time.</w:t>
            </w:r>
          </w:p>
        </w:tc>
      </w:tr>
      <w:tr w:rsidR="00F8631B" w:rsidRPr="00712F3C" w14:paraId="755251ED"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5EB17D41" w14:textId="77777777" w:rsidR="00F8631B" w:rsidRPr="00712F3C" w:rsidRDefault="00F8631B" w:rsidP="00250DAC">
            <w:pPr>
              <w:pStyle w:val="Default"/>
              <w:contextualSpacing/>
              <w:jc w:val="both"/>
              <w:rPr>
                <w:sz w:val="20"/>
                <w:szCs w:val="20"/>
              </w:rPr>
            </w:pPr>
            <w:r w:rsidRPr="00712F3C">
              <w:rPr>
                <w:sz w:val="20"/>
                <w:szCs w:val="20"/>
              </w:rPr>
              <w:t>Net Issue</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5A1F1415" w14:textId="77777777" w:rsidR="00F8631B" w:rsidRPr="00712F3C" w:rsidRDefault="00F8631B" w:rsidP="00250DAC">
            <w:pPr>
              <w:pStyle w:val="Default"/>
              <w:contextualSpacing/>
              <w:jc w:val="both"/>
              <w:rPr>
                <w:sz w:val="20"/>
                <w:szCs w:val="20"/>
              </w:rPr>
            </w:pPr>
            <w:r w:rsidRPr="00712F3C">
              <w:rPr>
                <w:sz w:val="20"/>
                <w:szCs w:val="20"/>
              </w:rPr>
              <w:t>The Issue (excluding the Market Maker Reservation Portion) of [●] equity Shares of ₹10/- each at a price of ₹ [●] per Equity Share (the “Issue Price”), including a share premium of ₹ [●] per equity share aggregating to ₹ [●] Lakhs.</w:t>
            </w:r>
          </w:p>
        </w:tc>
      </w:tr>
      <w:tr w:rsidR="00F8631B" w:rsidRPr="00712F3C" w14:paraId="1DF1A407"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721DEB4E" w14:textId="77777777" w:rsidR="00F8631B" w:rsidRPr="00712F3C" w:rsidRDefault="00F8631B" w:rsidP="00250DAC">
            <w:pPr>
              <w:pStyle w:val="Default"/>
              <w:contextualSpacing/>
              <w:jc w:val="both"/>
              <w:rPr>
                <w:sz w:val="20"/>
                <w:szCs w:val="20"/>
              </w:rPr>
            </w:pPr>
            <w:r w:rsidRPr="00712F3C">
              <w:rPr>
                <w:sz w:val="20"/>
                <w:szCs w:val="20"/>
              </w:rPr>
              <w:t>Net Proceeds</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00D8F312" w14:textId="77777777" w:rsidR="00F8631B" w:rsidRPr="00712F3C" w:rsidRDefault="00F8631B" w:rsidP="00250DAC">
            <w:pPr>
              <w:pStyle w:val="Default"/>
              <w:contextualSpacing/>
              <w:jc w:val="both"/>
              <w:rPr>
                <w:sz w:val="20"/>
                <w:szCs w:val="20"/>
              </w:rPr>
            </w:pPr>
            <w:r w:rsidRPr="00712F3C">
              <w:rPr>
                <w:sz w:val="20"/>
                <w:szCs w:val="20"/>
              </w:rPr>
              <w:t xml:space="preserve">The Issue Proceeds received from the fresh Issue excluding Issue related expenses. For further information on the use of Issue Proceeds and Issue expenses, please refer to the section titled </w:t>
            </w:r>
            <w:r w:rsidRPr="00712F3C">
              <w:rPr>
                <w:b/>
                <w:i/>
                <w:sz w:val="20"/>
                <w:szCs w:val="20"/>
              </w:rPr>
              <w:t>“Objects of the Issue”</w:t>
            </w:r>
            <w:r w:rsidRPr="00712F3C">
              <w:rPr>
                <w:sz w:val="20"/>
                <w:szCs w:val="20"/>
              </w:rPr>
              <w:t xml:space="preserve"> beginning on page </w:t>
            </w:r>
            <w:r>
              <w:rPr>
                <w:iCs/>
                <w:sz w:val="20"/>
                <w:szCs w:val="20"/>
              </w:rPr>
              <w:t>68</w:t>
            </w:r>
            <w:r w:rsidRPr="00712F3C">
              <w:rPr>
                <w:i/>
                <w:iCs/>
                <w:sz w:val="20"/>
                <w:szCs w:val="20"/>
              </w:rPr>
              <w:t xml:space="preserve"> </w:t>
            </w:r>
            <w:r w:rsidRPr="00712F3C">
              <w:rPr>
                <w:sz w:val="20"/>
                <w:szCs w:val="20"/>
              </w:rPr>
              <w:t>of this Draft Red Herring Prospectus.</w:t>
            </w:r>
          </w:p>
        </w:tc>
      </w:tr>
      <w:tr w:rsidR="00F8631B" w:rsidRPr="00712F3C" w14:paraId="7B506087"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5A2E53A5" w14:textId="77777777" w:rsidR="00F8631B" w:rsidRPr="00712F3C" w:rsidRDefault="00F8631B" w:rsidP="00250DAC">
            <w:pPr>
              <w:pStyle w:val="Default"/>
              <w:contextualSpacing/>
              <w:jc w:val="both"/>
              <w:rPr>
                <w:sz w:val="20"/>
                <w:szCs w:val="20"/>
              </w:rPr>
            </w:pPr>
            <w:r w:rsidRPr="00712F3C">
              <w:rPr>
                <w:sz w:val="20"/>
                <w:szCs w:val="20"/>
              </w:rPr>
              <w:t>Net QIB Portion</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3E4BC1A3" w14:textId="77777777" w:rsidR="00F8631B" w:rsidRPr="00712F3C" w:rsidRDefault="00F8631B" w:rsidP="00250DAC">
            <w:pPr>
              <w:pStyle w:val="Default"/>
              <w:contextualSpacing/>
              <w:jc w:val="both"/>
              <w:rPr>
                <w:sz w:val="20"/>
                <w:szCs w:val="20"/>
              </w:rPr>
            </w:pPr>
            <w:r w:rsidRPr="00712F3C">
              <w:rPr>
                <w:sz w:val="20"/>
                <w:szCs w:val="20"/>
              </w:rPr>
              <w:t>The portion of the QIB Portion less the number of Equity Shares Allocated to the Anchor Investors</w:t>
            </w:r>
          </w:p>
        </w:tc>
      </w:tr>
      <w:tr w:rsidR="00F8631B" w:rsidRPr="00712F3C" w14:paraId="11744638"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559424D6" w14:textId="77777777" w:rsidR="00F8631B" w:rsidRPr="00712F3C" w:rsidRDefault="00F8631B" w:rsidP="00250DAC">
            <w:pPr>
              <w:pStyle w:val="Default"/>
              <w:contextualSpacing/>
              <w:jc w:val="both"/>
              <w:rPr>
                <w:sz w:val="20"/>
                <w:szCs w:val="20"/>
              </w:rPr>
            </w:pPr>
            <w:r w:rsidRPr="00712F3C">
              <w:rPr>
                <w:sz w:val="20"/>
                <w:szCs w:val="20"/>
              </w:rPr>
              <w:t>Non- Resident</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2F560115" w14:textId="77777777" w:rsidR="00F8631B" w:rsidRPr="00712F3C" w:rsidRDefault="00F8631B" w:rsidP="00250DAC">
            <w:pPr>
              <w:pStyle w:val="Default"/>
              <w:contextualSpacing/>
              <w:jc w:val="both"/>
              <w:rPr>
                <w:sz w:val="20"/>
                <w:szCs w:val="20"/>
              </w:rPr>
            </w:pPr>
            <w:r w:rsidRPr="00712F3C">
              <w:rPr>
                <w:sz w:val="20"/>
                <w:szCs w:val="20"/>
              </w:rPr>
              <w:t>A person resident outside India, as defined under FEMA and includes NRIs, FPIs and FVCIs</w:t>
            </w:r>
          </w:p>
        </w:tc>
      </w:tr>
      <w:tr w:rsidR="00F8631B" w:rsidRPr="00712F3C" w14:paraId="190FBDBA"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34B67FAD" w14:textId="77777777" w:rsidR="00F8631B" w:rsidRPr="00712F3C" w:rsidRDefault="00F8631B" w:rsidP="00250DAC">
            <w:pPr>
              <w:pStyle w:val="Default"/>
              <w:contextualSpacing/>
              <w:jc w:val="both"/>
              <w:rPr>
                <w:sz w:val="20"/>
                <w:szCs w:val="20"/>
              </w:rPr>
            </w:pPr>
            <w:r w:rsidRPr="00712F3C">
              <w:rPr>
                <w:sz w:val="20"/>
                <w:szCs w:val="20"/>
              </w:rPr>
              <w:t>Non-Institutional Bidders</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584CE591" w14:textId="77777777" w:rsidR="00F8631B" w:rsidRPr="00712F3C" w:rsidRDefault="00F8631B" w:rsidP="00250DAC">
            <w:pPr>
              <w:pStyle w:val="Default"/>
              <w:contextualSpacing/>
              <w:jc w:val="both"/>
              <w:rPr>
                <w:sz w:val="20"/>
                <w:szCs w:val="20"/>
              </w:rPr>
            </w:pPr>
            <w:r>
              <w:rPr>
                <w:sz w:val="20"/>
                <w:szCs w:val="20"/>
              </w:rPr>
              <w:t xml:space="preserve">All Bidders that are not QIBs, RIBs or Eligible Employees Bidding in the Employee Reservation </w:t>
            </w:r>
            <w:r w:rsidRPr="00712F3C">
              <w:rPr>
                <w:sz w:val="20"/>
                <w:szCs w:val="20"/>
              </w:rPr>
              <w:t>Portion and who have Bid for Equity Shares, for an amount of more than ₹ 200,000 (but not including NRIs other than Eligible NRIs)</w:t>
            </w:r>
          </w:p>
        </w:tc>
      </w:tr>
      <w:tr w:rsidR="00F8631B" w:rsidRPr="00712F3C" w14:paraId="4A96A217"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0BEE3814" w14:textId="77777777" w:rsidR="00F8631B" w:rsidRPr="00712F3C" w:rsidRDefault="00F8631B" w:rsidP="00250DAC">
            <w:pPr>
              <w:pStyle w:val="Default"/>
              <w:contextualSpacing/>
              <w:jc w:val="both"/>
              <w:rPr>
                <w:sz w:val="20"/>
                <w:szCs w:val="20"/>
              </w:rPr>
            </w:pPr>
            <w:r w:rsidRPr="00712F3C">
              <w:rPr>
                <w:sz w:val="20"/>
                <w:szCs w:val="20"/>
              </w:rPr>
              <w:t>Non-Institutional Portion</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4CEA10E3" w14:textId="1612571A" w:rsidR="00F8631B" w:rsidRPr="00712F3C" w:rsidRDefault="00F8631B" w:rsidP="00250DAC">
            <w:pPr>
              <w:pStyle w:val="Default"/>
              <w:contextualSpacing/>
              <w:jc w:val="both"/>
              <w:rPr>
                <w:sz w:val="20"/>
                <w:szCs w:val="20"/>
              </w:rPr>
            </w:pPr>
            <w:r w:rsidRPr="00712F3C">
              <w:rPr>
                <w:sz w:val="20"/>
                <w:szCs w:val="20"/>
              </w:rPr>
              <w:t>The portion of the Issue being not less than 15% of the Issue, consisting of [●] Equity Shares, which shall be available for allocation on a proportionate basis to Non</w:t>
            </w:r>
            <w:r w:rsidR="00B8458C">
              <w:rPr>
                <w:sz w:val="20"/>
                <w:szCs w:val="20"/>
              </w:rPr>
              <w:t>-</w:t>
            </w:r>
            <w:r w:rsidRPr="00712F3C">
              <w:rPr>
                <w:sz w:val="20"/>
                <w:szCs w:val="20"/>
              </w:rPr>
              <w:t>Institutional Investors, subject to valid Bids being received at or above the Issue Price.</w:t>
            </w:r>
          </w:p>
        </w:tc>
      </w:tr>
      <w:tr w:rsidR="00F8631B" w:rsidRPr="00712F3C" w14:paraId="3BFE8213"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0FD52D17" w14:textId="77777777" w:rsidR="00F8631B" w:rsidRPr="00712F3C" w:rsidRDefault="00F8631B" w:rsidP="00250DAC">
            <w:pPr>
              <w:pStyle w:val="Default"/>
              <w:contextualSpacing/>
              <w:jc w:val="both"/>
              <w:rPr>
                <w:sz w:val="20"/>
                <w:szCs w:val="20"/>
              </w:rPr>
            </w:pPr>
            <w:r w:rsidRPr="00712F3C">
              <w:rPr>
                <w:sz w:val="20"/>
                <w:szCs w:val="20"/>
              </w:rPr>
              <w:t>Other Investor</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002F91F1" w14:textId="77777777" w:rsidR="00F8631B" w:rsidRPr="00712F3C" w:rsidRDefault="00F8631B" w:rsidP="00250DAC">
            <w:pPr>
              <w:pStyle w:val="Default"/>
              <w:contextualSpacing/>
              <w:jc w:val="both"/>
              <w:rPr>
                <w:sz w:val="20"/>
                <w:szCs w:val="20"/>
              </w:rPr>
            </w:pPr>
            <w:r w:rsidRPr="00712F3C">
              <w:rPr>
                <w:sz w:val="20"/>
                <w:szCs w:val="20"/>
              </w:rPr>
              <w:t>Investors other than Retail Individual Investors. These include individual applicants other than retail individual investors and other investors including corporate bodies or institutions irrespective of the number of specified securities applied for.</w:t>
            </w:r>
          </w:p>
        </w:tc>
      </w:tr>
      <w:tr w:rsidR="00F8631B" w:rsidRPr="00712F3C" w14:paraId="3CA0FBDB"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2DD0DD3C" w14:textId="77777777" w:rsidR="00F8631B" w:rsidRPr="00712F3C" w:rsidRDefault="00F8631B" w:rsidP="00250DAC">
            <w:pPr>
              <w:pStyle w:val="Default"/>
              <w:contextualSpacing/>
              <w:jc w:val="both"/>
              <w:rPr>
                <w:sz w:val="20"/>
                <w:szCs w:val="20"/>
              </w:rPr>
            </w:pPr>
            <w:r w:rsidRPr="00712F3C">
              <w:rPr>
                <w:sz w:val="20"/>
                <w:szCs w:val="20"/>
              </w:rPr>
              <w:t xml:space="preserve">Overseas Corporate Body/ OCB </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40C40FDA" w14:textId="77777777" w:rsidR="00F8631B" w:rsidRPr="00712F3C" w:rsidRDefault="00F8631B" w:rsidP="00250DAC">
            <w:pPr>
              <w:pStyle w:val="Default"/>
              <w:contextualSpacing/>
              <w:jc w:val="both"/>
              <w:rPr>
                <w:sz w:val="20"/>
                <w:szCs w:val="20"/>
              </w:rPr>
            </w:pPr>
            <w:r w:rsidRPr="00712F3C">
              <w:rPr>
                <w:sz w:val="20"/>
                <w:szCs w:val="20"/>
              </w:rPr>
              <w:t>Overseas Corporate Body means and includes an entity defined in clause (xi) of Regulation 2 of the Foreign Exchange Management (Withdrawal of General Permission to Overseas Corporate Bodies (OCB’s) Regulations 2003 and which was in existence on the date of the commencement of these Regulations and immediately prior to such commencement was eligible to undertake transactions pursuant to the general permission granted under the Regulations. OCBs are not allowed to invest in this Issue.</w:t>
            </w:r>
          </w:p>
        </w:tc>
      </w:tr>
      <w:tr w:rsidR="00F8631B" w:rsidRPr="00712F3C" w14:paraId="4AB8161E"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06EADC59" w14:textId="77777777" w:rsidR="00F8631B" w:rsidRPr="00712F3C" w:rsidRDefault="00F8631B" w:rsidP="00250DAC">
            <w:pPr>
              <w:pStyle w:val="Default"/>
              <w:contextualSpacing/>
              <w:jc w:val="both"/>
              <w:rPr>
                <w:sz w:val="20"/>
                <w:szCs w:val="20"/>
              </w:rPr>
            </w:pPr>
            <w:r w:rsidRPr="00712F3C">
              <w:rPr>
                <w:sz w:val="20"/>
                <w:szCs w:val="20"/>
              </w:rPr>
              <w:t>Pay-in-Period</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7B14095C" w14:textId="77777777" w:rsidR="00F8631B" w:rsidRPr="00712F3C" w:rsidRDefault="00F8631B" w:rsidP="00250DAC">
            <w:pPr>
              <w:pStyle w:val="Default"/>
              <w:contextualSpacing/>
              <w:jc w:val="both"/>
              <w:rPr>
                <w:sz w:val="20"/>
                <w:szCs w:val="20"/>
              </w:rPr>
            </w:pPr>
            <w:r w:rsidRPr="00712F3C">
              <w:rPr>
                <w:sz w:val="20"/>
                <w:szCs w:val="20"/>
              </w:rPr>
              <w:t>The period commencing on the Bid/Issue Opening date and extended till the closure of the Anchor Investor Pay-in-Date.</w:t>
            </w:r>
          </w:p>
        </w:tc>
      </w:tr>
      <w:tr w:rsidR="00F8631B" w:rsidRPr="00712F3C" w14:paraId="5D2842E4"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133554F1" w14:textId="77777777" w:rsidR="00F8631B" w:rsidRPr="00712F3C" w:rsidRDefault="00F8631B" w:rsidP="00250DAC">
            <w:pPr>
              <w:pStyle w:val="Default"/>
              <w:contextualSpacing/>
              <w:jc w:val="both"/>
              <w:rPr>
                <w:sz w:val="20"/>
                <w:szCs w:val="20"/>
              </w:rPr>
            </w:pPr>
            <w:r w:rsidRPr="00712F3C">
              <w:rPr>
                <w:sz w:val="20"/>
                <w:szCs w:val="20"/>
              </w:rPr>
              <w:t>Payment through electronic transfer of funds</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00086571" w14:textId="77777777" w:rsidR="00F8631B" w:rsidRPr="00712F3C" w:rsidRDefault="00F8631B" w:rsidP="00250DAC">
            <w:pPr>
              <w:pStyle w:val="Default"/>
              <w:contextualSpacing/>
              <w:jc w:val="both"/>
              <w:rPr>
                <w:sz w:val="20"/>
                <w:szCs w:val="20"/>
              </w:rPr>
            </w:pPr>
            <w:r w:rsidRPr="00712F3C">
              <w:rPr>
                <w:sz w:val="20"/>
                <w:szCs w:val="20"/>
              </w:rPr>
              <w:t>Payment through NECS, NEFT or Direct Credit, as applicable.</w:t>
            </w:r>
          </w:p>
        </w:tc>
      </w:tr>
      <w:tr w:rsidR="00F8631B" w:rsidRPr="00712F3C" w14:paraId="7B5AF0C2"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6C9B106D" w14:textId="77777777" w:rsidR="00F8631B" w:rsidRPr="00712F3C" w:rsidRDefault="00F8631B" w:rsidP="00250DAC">
            <w:pPr>
              <w:pStyle w:val="Default"/>
              <w:contextualSpacing/>
              <w:jc w:val="both"/>
              <w:rPr>
                <w:sz w:val="20"/>
                <w:szCs w:val="20"/>
              </w:rPr>
            </w:pPr>
            <w:r w:rsidRPr="00712F3C">
              <w:rPr>
                <w:sz w:val="20"/>
                <w:szCs w:val="20"/>
              </w:rPr>
              <w:t>Person/ Persons</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13D206C8" w14:textId="77777777" w:rsidR="00F8631B" w:rsidRPr="00712F3C" w:rsidRDefault="00F8631B" w:rsidP="00250DAC">
            <w:pPr>
              <w:pStyle w:val="Default"/>
              <w:contextualSpacing/>
              <w:jc w:val="both"/>
              <w:rPr>
                <w:sz w:val="20"/>
                <w:szCs w:val="20"/>
              </w:rPr>
            </w:pPr>
            <w:r w:rsidRPr="00712F3C">
              <w:rPr>
                <w:sz w:val="20"/>
                <w:szCs w:val="20"/>
              </w:rPr>
              <w:t>Any individual, sole proprietorship, unincorporated association, unincorporated organization, body corporate, corporation, company, partnership, limited liability company, joint venture, or trust or any other entity or organization validly constituted and/ or incorporated in the jurisdiction in which it exists and operates, as the context requires.</w:t>
            </w:r>
          </w:p>
        </w:tc>
      </w:tr>
      <w:tr w:rsidR="00F8631B" w:rsidRPr="00712F3C" w14:paraId="7F6AAB92"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6AD334F7" w14:textId="77777777" w:rsidR="00F8631B" w:rsidRPr="00712F3C" w:rsidRDefault="00F8631B" w:rsidP="00250DAC">
            <w:pPr>
              <w:pStyle w:val="Default"/>
              <w:contextualSpacing/>
              <w:jc w:val="both"/>
              <w:rPr>
                <w:sz w:val="20"/>
                <w:szCs w:val="20"/>
              </w:rPr>
            </w:pPr>
            <w:r w:rsidRPr="00712F3C">
              <w:rPr>
                <w:sz w:val="20"/>
                <w:szCs w:val="20"/>
              </w:rPr>
              <w:t>Price Band</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43A3D68D" w14:textId="77777777" w:rsidR="00F8631B" w:rsidRPr="00712F3C" w:rsidRDefault="00F8631B" w:rsidP="00250DAC">
            <w:pPr>
              <w:pStyle w:val="Default"/>
              <w:contextualSpacing/>
              <w:jc w:val="both"/>
              <w:rPr>
                <w:sz w:val="20"/>
                <w:szCs w:val="20"/>
              </w:rPr>
            </w:pPr>
            <w:r w:rsidRPr="00712F3C">
              <w:rPr>
                <w:sz w:val="20"/>
                <w:szCs w:val="20"/>
              </w:rPr>
              <w:t>Price Band of a minimum price (Floor Price) of ₹ [●] and the maximum price (Cap Price) of ₹ [●] and includes revisions thereof. The Price Band will be decided by our Company in consultation with the BRLM and advertised in two national daily newspapers (one each in English and in Hindi) with wide circulation and one daily regional newspaper with wide circulation at least two working days prior to the Bid/ Issue Opening Date.</w:t>
            </w:r>
          </w:p>
        </w:tc>
      </w:tr>
      <w:tr w:rsidR="00F8631B" w:rsidRPr="00712F3C" w14:paraId="2A64B428"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3A4503C4" w14:textId="77777777" w:rsidR="00F8631B" w:rsidRPr="00712F3C" w:rsidRDefault="00F8631B" w:rsidP="00250DAC">
            <w:pPr>
              <w:pStyle w:val="Default"/>
              <w:contextualSpacing/>
              <w:jc w:val="both"/>
              <w:rPr>
                <w:sz w:val="20"/>
                <w:szCs w:val="20"/>
              </w:rPr>
            </w:pPr>
            <w:r w:rsidRPr="00712F3C">
              <w:rPr>
                <w:sz w:val="20"/>
                <w:szCs w:val="20"/>
              </w:rPr>
              <w:t>Pricing Date</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04AE3645" w14:textId="77777777" w:rsidR="00F8631B" w:rsidRPr="00712F3C" w:rsidRDefault="00F8631B" w:rsidP="00250DAC">
            <w:pPr>
              <w:pStyle w:val="Default"/>
              <w:contextualSpacing/>
              <w:jc w:val="both"/>
              <w:rPr>
                <w:sz w:val="20"/>
                <w:szCs w:val="20"/>
              </w:rPr>
            </w:pPr>
            <w:r w:rsidRPr="00712F3C">
              <w:rPr>
                <w:sz w:val="20"/>
                <w:szCs w:val="20"/>
              </w:rPr>
              <w:t>The date on which our Company in consultation with the BRLM, will finalize the Issue Price.</w:t>
            </w:r>
          </w:p>
        </w:tc>
      </w:tr>
      <w:tr w:rsidR="00F8631B" w:rsidRPr="00712F3C" w14:paraId="3B96ADBF"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74603A1F" w14:textId="77777777" w:rsidR="00F8631B" w:rsidRPr="00712F3C" w:rsidRDefault="00F8631B" w:rsidP="00250DAC">
            <w:pPr>
              <w:pStyle w:val="Default"/>
              <w:contextualSpacing/>
              <w:jc w:val="both"/>
              <w:rPr>
                <w:sz w:val="20"/>
                <w:szCs w:val="20"/>
              </w:rPr>
            </w:pPr>
            <w:r w:rsidRPr="00712F3C">
              <w:rPr>
                <w:sz w:val="20"/>
                <w:szCs w:val="20"/>
              </w:rPr>
              <w:t>Prospectus</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2AA29E11" w14:textId="77777777" w:rsidR="00F8631B" w:rsidRPr="00712F3C" w:rsidRDefault="00F8631B" w:rsidP="00250DAC">
            <w:pPr>
              <w:pStyle w:val="Default"/>
              <w:contextualSpacing/>
              <w:jc w:val="both"/>
              <w:rPr>
                <w:sz w:val="20"/>
                <w:szCs w:val="20"/>
              </w:rPr>
            </w:pPr>
            <w:r w:rsidRPr="00712F3C">
              <w:rPr>
                <w:sz w:val="20"/>
                <w:szCs w:val="20"/>
              </w:rPr>
              <w:t>The Prospectus, to be filed with the Registrar of Companies in accordance with the provisions of Section 26 &amp; 32 of the Companies Act, 2013, containing, inter alia, the Issue Price, size of the Issue and certain other information.</w:t>
            </w:r>
          </w:p>
        </w:tc>
      </w:tr>
      <w:tr w:rsidR="00F8631B" w:rsidRPr="00712F3C" w14:paraId="725FC5C2"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1E943B60" w14:textId="77777777" w:rsidR="00F8631B" w:rsidRPr="00712F3C" w:rsidRDefault="00F8631B" w:rsidP="00250DAC">
            <w:pPr>
              <w:pStyle w:val="Default"/>
              <w:contextualSpacing/>
              <w:jc w:val="both"/>
              <w:rPr>
                <w:sz w:val="20"/>
                <w:szCs w:val="20"/>
              </w:rPr>
            </w:pPr>
            <w:r w:rsidRPr="00712F3C">
              <w:rPr>
                <w:sz w:val="20"/>
                <w:szCs w:val="20"/>
              </w:rPr>
              <w:t>Public Issue Account</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37B69430" w14:textId="77777777" w:rsidR="00F8631B" w:rsidRPr="00712F3C" w:rsidRDefault="00F8631B" w:rsidP="00250DAC">
            <w:pPr>
              <w:pStyle w:val="Default"/>
              <w:contextualSpacing/>
              <w:jc w:val="both"/>
              <w:rPr>
                <w:sz w:val="20"/>
                <w:szCs w:val="20"/>
              </w:rPr>
            </w:pPr>
            <w:r w:rsidRPr="00712F3C">
              <w:rPr>
                <w:sz w:val="20"/>
                <w:szCs w:val="20"/>
              </w:rPr>
              <w:t>Account to be opened with the Bankers to the Issue to receive monies from the SCSBs from the bank account of the Applicant, on the Designated Date.</w:t>
            </w:r>
          </w:p>
        </w:tc>
      </w:tr>
      <w:tr w:rsidR="00F8631B" w:rsidRPr="00712F3C" w14:paraId="74A7D61A"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5F3298E3" w14:textId="77777777" w:rsidR="00F8631B" w:rsidRPr="00712F3C" w:rsidRDefault="00F8631B" w:rsidP="00250DAC">
            <w:pPr>
              <w:pStyle w:val="Default"/>
              <w:contextualSpacing/>
              <w:jc w:val="both"/>
              <w:rPr>
                <w:sz w:val="20"/>
                <w:szCs w:val="20"/>
              </w:rPr>
            </w:pPr>
            <w:r w:rsidRPr="00712F3C">
              <w:rPr>
                <w:sz w:val="20"/>
                <w:szCs w:val="20"/>
              </w:rPr>
              <w:lastRenderedPageBreak/>
              <w:t>QIB Category/ QIB Portion</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33202E95" w14:textId="77777777" w:rsidR="00F8631B" w:rsidRPr="00712F3C" w:rsidRDefault="00F8631B" w:rsidP="00250DAC">
            <w:pPr>
              <w:pStyle w:val="Default"/>
              <w:contextualSpacing/>
              <w:jc w:val="both"/>
              <w:rPr>
                <w:sz w:val="20"/>
                <w:szCs w:val="20"/>
              </w:rPr>
            </w:pPr>
            <w:r w:rsidRPr="00712F3C">
              <w:rPr>
                <w:sz w:val="20"/>
                <w:szCs w:val="20"/>
              </w:rPr>
              <w:t>The portion of the Net Issue (including the Anchor Investor Portion) being not more than 50% of the Net Issue, consisting of [●] Equity Shares aggregating to ₹[●] lakhs which shall be Allotted to QIBs (including Anchor Investors) on a proportionate basis, including the Anchor Investor Portion (in which allocation shall be on a discretionary basis, as determined by our Company in consultation with the BRLMs), subject to valid Bids being received at or above the Issue Price or Anchor Investor Offer Price (for Anchor Investors).</w:t>
            </w:r>
          </w:p>
        </w:tc>
      </w:tr>
      <w:tr w:rsidR="00F8631B" w:rsidRPr="00712F3C" w14:paraId="6AD359CD"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65CDAAB0" w14:textId="77777777" w:rsidR="00F8631B" w:rsidRPr="00712F3C" w:rsidRDefault="00F8631B" w:rsidP="00250DAC">
            <w:pPr>
              <w:pStyle w:val="Default"/>
              <w:contextualSpacing/>
              <w:jc w:val="both"/>
              <w:rPr>
                <w:sz w:val="20"/>
                <w:szCs w:val="20"/>
              </w:rPr>
            </w:pPr>
            <w:r w:rsidRPr="00712F3C">
              <w:rPr>
                <w:sz w:val="20"/>
                <w:szCs w:val="20"/>
              </w:rPr>
              <w:t>Qualified Institutional Buyers/ QIBs/ QIB Bidders</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1E1A1CE6" w14:textId="77777777" w:rsidR="00F8631B" w:rsidRPr="00712F3C" w:rsidRDefault="00F8631B" w:rsidP="00250DAC">
            <w:pPr>
              <w:pStyle w:val="Default"/>
              <w:contextualSpacing/>
              <w:jc w:val="both"/>
              <w:rPr>
                <w:sz w:val="20"/>
                <w:szCs w:val="20"/>
              </w:rPr>
            </w:pPr>
            <w:r w:rsidRPr="00712F3C">
              <w:rPr>
                <w:sz w:val="20"/>
                <w:szCs w:val="20"/>
              </w:rPr>
              <w:t>Qualified institutional buyers as defined under Regulation 2(1)(ss) of the SEBI ICDR Regulations.</w:t>
            </w:r>
          </w:p>
        </w:tc>
      </w:tr>
      <w:tr w:rsidR="00F8631B" w:rsidRPr="00712F3C" w14:paraId="67681EC5"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4928FACB" w14:textId="77777777" w:rsidR="00F8631B" w:rsidRPr="00712F3C" w:rsidRDefault="00F8631B" w:rsidP="00250DAC">
            <w:pPr>
              <w:pStyle w:val="Default"/>
              <w:contextualSpacing/>
              <w:jc w:val="both"/>
              <w:rPr>
                <w:sz w:val="20"/>
                <w:szCs w:val="20"/>
              </w:rPr>
            </w:pPr>
            <w:r w:rsidRPr="00712F3C">
              <w:rPr>
                <w:sz w:val="20"/>
                <w:szCs w:val="20"/>
              </w:rPr>
              <w:t>Red Herring Prospectus / RHP</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442A182F" w14:textId="77777777" w:rsidR="00F8631B" w:rsidRPr="00712F3C" w:rsidRDefault="00F8631B" w:rsidP="00250DAC">
            <w:pPr>
              <w:widowControl w:val="0"/>
              <w:spacing w:after="0" w:line="240" w:lineRule="auto"/>
              <w:contextualSpacing/>
              <w:jc w:val="both"/>
              <w:rPr>
                <w:rFonts w:ascii="Times New Roman" w:hAnsi="Times New Roman"/>
                <w:sz w:val="20"/>
                <w:szCs w:val="20"/>
              </w:rPr>
            </w:pPr>
            <w:r w:rsidRPr="00712F3C">
              <w:rPr>
                <w:rFonts w:ascii="Times New Roman" w:hAnsi="Times New Roman"/>
                <w:sz w:val="20"/>
                <w:szCs w:val="20"/>
              </w:rPr>
              <w:t>The red herring prospectus to be issued in accordance with Section 32 of the Companies Act, 2013 and the provisions of the SEBI ICDR Regulations, which will not have complete particulars of the price at which the Equity Shares will be offered and the size of the Issue including any addenda or corrigenda thereto.</w:t>
            </w:r>
          </w:p>
          <w:p w14:paraId="1DEEA622" w14:textId="77777777" w:rsidR="00F8631B" w:rsidRPr="00712F3C" w:rsidRDefault="00F8631B" w:rsidP="00250DAC">
            <w:pPr>
              <w:pStyle w:val="Default"/>
              <w:contextualSpacing/>
              <w:jc w:val="both"/>
              <w:rPr>
                <w:sz w:val="20"/>
                <w:szCs w:val="20"/>
              </w:rPr>
            </w:pPr>
            <w:r w:rsidRPr="00712F3C">
              <w:rPr>
                <w:sz w:val="20"/>
                <w:szCs w:val="20"/>
              </w:rPr>
              <w:t>The Red Herring Prospectus will be filed with the RoC at least three Working Days before the Bid/Issue Opening Date and will become the Prospectus upon filing with the RoC after the Pricing Date</w:t>
            </w:r>
          </w:p>
        </w:tc>
      </w:tr>
      <w:tr w:rsidR="00F8631B" w:rsidRPr="00712F3C" w14:paraId="42CC0A20"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20716327" w14:textId="77777777" w:rsidR="00F8631B" w:rsidRPr="00712F3C" w:rsidRDefault="00F8631B" w:rsidP="00250DAC">
            <w:pPr>
              <w:pStyle w:val="Default"/>
              <w:contextualSpacing/>
              <w:jc w:val="both"/>
              <w:rPr>
                <w:sz w:val="20"/>
                <w:szCs w:val="20"/>
              </w:rPr>
            </w:pPr>
            <w:r w:rsidRPr="00712F3C">
              <w:rPr>
                <w:sz w:val="20"/>
                <w:szCs w:val="20"/>
              </w:rPr>
              <w:t>Refund Account</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38F5A51D" w14:textId="77777777" w:rsidR="00F8631B" w:rsidRPr="00712F3C" w:rsidRDefault="00F8631B" w:rsidP="00250DAC">
            <w:pPr>
              <w:pStyle w:val="Default"/>
              <w:contextualSpacing/>
              <w:jc w:val="both"/>
              <w:rPr>
                <w:sz w:val="20"/>
                <w:szCs w:val="20"/>
              </w:rPr>
            </w:pPr>
            <w:r w:rsidRPr="00712F3C">
              <w:rPr>
                <w:sz w:val="20"/>
                <w:szCs w:val="20"/>
              </w:rPr>
              <w:t>The ‘no-lien’ and ‘non-interest bearing’ account opened with the Refund Bank, from which refun</w:t>
            </w:r>
            <w:r>
              <w:rPr>
                <w:sz w:val="20"/>
                <w:szCs w:val="20"/>
              </w:rPr>
              <w:t xml:space="preserve">ds, if any, of the whole </w:t>
            </w:r>
            <w:r w:rsidRPr="00712F3C">
              <w:rPr>
                <w:sz w:val="20"/>
                <w:szCs w:val="20"/>
              </w:rPr>
              <w:t>or part</w:t>
            </w:r>
            <w:r>
              <w:rPr>
                <w:sz w:val="20"/>
                <w:szCs w:val="20"/>
              </w:rPr>
              <w:t xml:space="preserve">, of the Bid Amount to the Anchor Investors shall be </w:t>
            </w:r>
            <w:r w:rsidRPr="00712F3C">
              <w:rPr>
                <w:sz w:val="20"/>
                <w:szCs w:val="20"/>
              </w:rPr>
              <w:t>made.</w:t>
            </w:r>
          </w:p>
        </w:tc>
      </w:tr>
      <w:tr w:rsidR="00F8631B" w:rsidRPr="00712F3C" w14:paraId="70775824"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28AD3722" w14:textId="77777777" w:rsidR="00F8631B" w:rsidRPr="00712F3C" w:rsidRDefault="00F8631B" w:rsidP="00250DAC">
            <w:pPr>
              <w:pStyle w:val="Default"/>
              <w:contextualSpacing/>
              <w:jc w:val="both"/>
              <w:rPr>
                <w:sz w:val="20"/>
                <w:szCs w:val="20"/>
              </w:rPr>
            </w:pPr>
            <w:r w:rsidRPr="00712F3C">
              <w:rPr>
                <w:sz w:val="20"/>
                <w:szCs w:val="20"/>
              </w:rPr>
              <w:t>Refund Bank/ Refund Banker</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1828CE19" w14:textId="77777777" w:rsidR="00F8631B" w:rsidRPr="00712F3C" w:rsidRDefault="00F8631B" w:rsidP="00250DAC">
            <w:pPr>
              <w:pStyle w:val="Default"/>
              <w:contextualSpacing/>
              <w:jc w:val="both"/>
              <w:rPr>
                <w:sz w:val="20"/>
                <w:szCs w:val="20"/>
              </w:rPr>
            </w:pPr>
            <w:r w:rsidRPr="00712F3C">
              <w:rPr>
                <w:sz w:val="20"/>
                <w:szCs w:val="20"/>
              </w:rPr>
              <w:t>Bank which is / are clearing member(s) and registered with the SEBI as Bankers to the Issue at which the Refund Account will be opened, in this case being [●].</w:t>
            </w:r>
          </w:p>
        </w:tc>
      </w:tr>
      <w:tr w:rsidR="00F8631B" w:rsidRPr="00712F3C" w14:paraId="6915484F"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2D7D4CB9" w14:textId="77777777" w:rsidR="00F8631B" w:rsidRPr="00712F3C" w:rsidRDefault="00F8631B" w:rsidP="00250DAC">
            <w:pPr>
              <w:pStyle w:val="Default"/>
              <w:contextualSpacing/>
              <w:jc w:val="both"/>
              <w:rPr>
                <w:sz w:val="20"/>
                <w:szCs w:val="20"/>
              </w:rPr>
            </w:pPr>
            <w:r w:rsidRPr="00712F3C">
              <w:rPr>
                <w:sz w:val="20"/>
                <w:szCs w:val="20"/>
              </w:rPr>
              <w:t>Refund through electronic transfer of funds</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3AF5218F" w14:textId="77777777" w:rsidR="00F8631B" w:rsidRPr="00712F3C" w:rsidRDefault="00F8631B" w:rsidP="00250DAC">
            <w:pPr>
              <w:pStyle w:val="Default"/>
              <w:contextualSpacing/>
              <w:jc w:val="both"/>
              <w:rPr>
                <w:sz w:val="20"/>
                <w:szCs w:val="20"/>
              </w:rPr>
            </w:pPr>
            <w:r w:rsidRPr="00712F3C">
              <w:rPr>
                <w:sz w:val="20"/>
                <w:szCs w:val="20"/>
              </w:rPr>
              <w:t>Refunds through NECS, direct credit, RTGS or NEFT, as applicable.</w:t>
            </w:r>
          </w:p>
        </w:tc>
      </w:tr>
      <w:tr w:rsidR="00F8631B" w:rsidRPr="00712F3C" w14:paraId="46D61D13"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7083E4F9" w14:textId="77777777" w:rsidR="00F8631B" w:rsidRPr="00712F3C" w:rsidRDefault="00F8631B" w:rsidP="00250DAC">
            <w:pPr>
              <w:pStyle w:val="Default"/>
              <w:contextualSpacing/>
              <w:jc w:val="both"/>
              <w:rPr>
                <w:sz w:val="20"/>
                <w:szCs w:val="20"/>
              </w:rPr>
            </w:pPr>
            <w:r w:rsidRPr="00712F3C">
              <w:rPr>
                <w:sz w:val="20"/>
                <w:szCs w:val="20"/>
              </w:rPr>
              <w:t>Registered Broker</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0EF42257" w14:textId="77777777" w:rsidR="00F8631B" w:rsidRPr="00712F3C" w:rsidRDefault="00F8631B" w:rsidP="00250DAC">
            <w:pPr>
              <w:pStyle w:val="Default"/>
              <w:contextualSpacing/>
              <w:jc w:val="both"/>
              <w:rPr>
                <w:sz w:val="20"/>
                <w:szCs w:val="20"/>
              </w:rPr>
            </w:pPr>
            <w:r>
              <w:rPr>
                <w:sz w:val="20"/>
                <w:szCs w:val="20"/>
              </w:rPr>
              <w:t xml:space="preserve">The stockbrokers registered with the stock exchanges having nationwide </w:t>
            </w:r>
            <w:r w:rsidRPr="00712F3C">
              <w:rPr>
                <w:sz w:val="20"/>
                <w:szCs w:val="20"/>
              </w:rPr>
              <w:t>terminals,</w:t>
            </w:r>
            <w:r>
              <w:rPr>
                <w:sz w:val="20"/>
                <w:szCs w:val="20"/>
              </w:rPr>
              <w:t xml:space="preserve"> other </w:t>
            </w:r>
            <w:r w:rsidRPr="00712F3C">
              <w:rPr>
                <w:sz w:val="20"/>
                <w:szCs w:val="20"/>
              </w:rPr>
              <w:t>than the members of the Syndicate and eligible to procure Bids</w:t>
            </w:r>
          </w:p>
        </w:tc>
      </w:tr>
      <w:tr w:rsidR="00F8631B" w:rsidRPr="00712F3C" w14:paraId="048C273C"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1F2647F5" w14:textId="77777777" w:rsidR="00F8631B" w:rsidRPr="00712F3C" w:rsidRDefault="00F8631B" w:rsidP="00250DAC">
            <w:pPr>
              <w:pStyle w:val="Default"/>
              <w:contextualSpacing/>
              <w:jc w:val="both"/>
              <w:rPr>
                <w:sz w:val="20"/>
                <w:szCs w:val="20"/>
              </w:rPr>
            </w:pPr>
            <w:r w:rsidRPr="00712F3C">
              <w:rPr>
                <w:sz w:val="20"/>
                <w:szCs w:val="20"/>
              </w:rPr>
              <w:t>Registrar Agreement</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1AA3449E" w14:textId="542078C7" w:rsidR="00F8631B" w:rsidRPr="00712F3C" w:rsidRDefault="00F8631B" w:rsidP="00250DAC">
            <w:pPr>
              <w:pStyle w:val="Default"/>
              <w:contextualSpacing/>
              <w:jc w:val="both"/>
              <w:rPr>
                <w:sz w:val="20"/>
                <w:szCs w:val="20"/>
              </w:rPr>
            </w:pPr>
            <w:r w:rsidRPr="00712F3C">
              <w:rPr>
                <w:sz w:val="20"/>
                <w:szCs w:val="20"/>
              </w:rPr>
              <w:t xml:space="preserve">The agreement </w:t>
            </w:r>
            <w:r w:rsidRPr="00CB2D76">
              <w:rPr>
                <w:sz w:val="20"/>
                <w:szCs w:val="20"/>
              </w:rPr>
              <w:t xml:space="preserve">dated </w:t>
            </w:r>
            <w:r w:rsidR="00CB2D76" w:rsidRPr="00CB2D76">
              <w:rPr>
                <w:sz w:val="20"/>
                <w:szCs w:val="20"/>
              </w:rPr>
              <w:t>September 18</w:t>
            </w:r>
            <w:r w:rsidRPr="00CB2D76">
              <w:rPr>
                <w:sz w:val="20"/>
                <w:szCs w:val="20"/>
              </w:rPr>
              <w:t>, 2023 entered into between our Company and the Registrar to the Issue in relation to</w:t>
            </w:r>
            <w:r w:rsidRPr="00712F3C">
              <w:rPr>
                <w:sz w:val="20"/>
                <w:szCs w:val="20"/>
              </w:rPr>
              <w:t xml:space="preserve"> the responsibilities and obligations of the Registrar to the Issue pertaining to the Issue.</w:t>
            </w:r>
          </w:p>
        </w:tc>
      </w:tr>
      <w:tr w:rsidR="00F8631B" w:rsidRPr="00712F3C" w14:paraId="39E165A7"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0FC9E75E" w14:textId="77777777" w:rsidR="00F8631B" w:rsidRPr="00712F3C" w:rsidRDefault="00F8631B" w:rsidP="00250DAC">
            <w:pPr>
              <w:pStyle w:val="Default"/>
              <w:contextualSpacing/>
              <w:jc w:val="both"/>
              <w:rPr>
                <w:sz w:val="20"/>
                <w:szCs w:val="20"/>
              </w:rPr>
            </w:pPr>
            <w:r w:rsidRPr="00712F3C">
              <w:rPr>
                <w:sz w:val="20"/>
                <w:szCs w:val="20"/>
              </w:rPr>
              <w:t>Registrar and Share Transfer Agents or RTAs</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4FBDA7F6" w14:textId="77777777" w:rsidR="00F8631B" w:rsidRPr="00712F3C" w:rsidRDefault="00F8631B" w:rsidP="00250DAC">
            <w:pPr>
              <w:pStyle w:val="Default"/>
              <w:contextualSpacing/>
              <w:jc w:val="both"/>
              <w:rPr>
                <w:sz w:val="20"/>
                <w:szCs w:val="20"/>
              </w:rPr>
            </w:pPr>
            <w:r w:rsidRPr="00712F3C">
              <w:rPr>
                <w:sz w:val="20"/>
                <w:szCs w:val="20"/>
              </w:rPr>
              <w:t>Registrar and share transfer agents registered with SEBI and eligible to procure Applications at the Designated RTA Locations in terms of circular no. CIR/CFD/POLICYCELL/11/2015 dated November 10, 2015 issued by SEBI.</w:t>
            </w:r>
          </w:p>
        </w:tc>
      </w:tr>
      <w:tr w:rsidR="00F8631B" w:rsidRPr="00712F3C" w14:paraId="11B2F7F7"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170596FB" w14:textId="77777777" w:rsidR="00F8631B" w:rsidRPr="00712F3C" w:rsidRDefault="00F8631B" w:rsidP="00250DAC">
            <w:pPr>
              <w:pStyle w:val="Default"/>
              <w:contextualSpacing/>
              <w:jc w:val="both"/>
              <w:rPr>
                <w:sz w:val="20"/>
                <w:szCs w:val="20"/>
              </w:rPr>
            </w:pPr>
            <w:r w:rsidRPr="00712F3C">
              <w:rPr>
                <w:sz w:val="20"/>
                <w:szCs w:val="20"/>
              </w:rPr>
              <w:t>Registrar/ Registrar to the Issue/ RTA/ RTI</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4C7DD075" w14:textId="4A0FD24F" w:rsidR="00F8631B" w:rsidRPr="00712F3C" w:rsidRDefault="00F8631B" w:rsidP="00250DAC">
            <w:pPr>
              <w:pStyle w:val="Default"/>
              <w:contextualSpacing/>
              <w:jc w:val="both"/>
              <w:rPr>
                <w:sz w:val="20"/>
                <w:szCs w:val="20"/>
              </w:rPr>
            </w:pPr>
            <w:r w:rsidRPr="00712F3C">
              <w:rPr>
                <w:sz w:val="20"/>
                <w:szCs w:val="20"/>
              </w:rPr>
              <w:t xml:space="preserve">Registrar to the Issue, in this case being </w:t>
            </w:r>
            <w:r w:rsidR="00771C27" w:rsidRPr="00771C27">
              <w:rPr>
                <w:sz w:val="20"/>
                <w:szCs w:val="20"/>
              </w:rPr>
              <w:t>Cameo Corporate Services Limited</w:t>
            </w:r>
            <w:r w:rsidRPr="00712F3C">
              <w:rPr>
                <w:sz w:val="20"/>
                <w:szCs w:val="20"/>
              </w:rPr>
              <w:t xml:space="preserve">. </w:t>
            </w:r>
          </w:p>
        </w:tc>
      </w:tr>
      <w:tr w:rsidR="00F8631B" w:rsidRPr="00712F3C" w14:paraId="51E43687"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19DF81F2" w14:textId="77777777" w:rsidR="00F8631B" w:rsidRPr="00712F3C" w:rsidRDefault="00F8631B" w:rsidP="00250DAC">
            <w:pPr>
              <w:pStyle w:val="Default"/>
              <w:contextualSpacing/>
              <w:jc w:val="both"/>
              <w:rPr>
                <w:sz w:val="20"/>
                <w:szCs w:val="20"/>
              </w:rPr>
            </w:pPr>
            <w:r w:rsidRPr="00712F3C">
              <w:rPr>
                <w:sz w:val="20"/>
                <w:szCs w:val="20"/>
              </w:rPr>
              <w:t>Regulation S</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2E88D1C5" w14:textId="77777777" w:rsidR="00F8631B" w:rsidRPr="00712F3C" w:rsidRDefault="00F8631B" w:rsidP="00250DAC">
            <w:pPr>
              <w:pStyle w:val="Default"/>
              <w:contextualSpacing/>
              <w:jc w:val="both"/>
              <w:rPr>
                <w:sz w:val="20"/>
                <w:szCs w:val="20"/>
              </w:rPr>
            </w:pPr>
            <w:r w:rsidRPr="00712F3C">
              <w:rPr>
                <w:sz w:val="20"/>
                <w:szCs w:val="20"/>
              </w:rPr>
              <w:t>Regulation S under the U.S. Securities Act of 1933, as amended from time to time.</w:t>
            </w:r>
          </w:p>
        </w:tc>
      </w:tr>
      <w:tr w:rsidR="00F8631B" w:rsidRPr="00712F3C" w14:paraId="62007E6C"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3B0CA938" w14:textId="77777777" w:rsidR="00F8631B" w:rsidRPr="00712F3C" w:rsidRDefault="00F8631B" w:rsidP="00250DAC">
            <w:pPr>
              <w:pStyle w:val="Default"/>
              <w:contextualSpacing/>
              <w:jc w:val="both"/>
              <w:rPr>
                <w:sz w:val="20"/>
                <w:szCs w:val="20"/>
              </w:rPr>
            </w:pPr>
            <w:r w:rsidRPr="00712F3C">
              <w:rPr>
                <w:sz w:val="20"/>
                <w:szCs w:val="20"/>
              </w:rPr>
              <w:t>Reservation Portion</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6FC48A74" w14:textId="77777777" w:rsidR="00F8631B" w:rsidRPr="00712F3C" w:rsidRDefault="00F8631B" w:rsidP="00250DAC">
            <w:pPr>
              <w:pStyle w:val="Default"/>
              <w:contextualSpacing/>
              <w:jc w:val="both"/>
              <w:rPr>
                <w:sz w:val="20"/>
                <w:szCs w:val="20"/>
              </w:rPr>
            </w:pPr>
            <w:r w:rsidRPr="00712F3C">
              <w:rPr>
                <w:sz w:val="20"/>
                <w:szCs w:val="20"/>
              </w:rPr>
              <w:t>The portion of the Issue reserved for category of eligible Applicants as provided under the SEBI (ICDR) Regulations, 2018.</w:t>
            </w:r>
          </w:p>
        </w:tc>
      </w:tr>
      <w:tr w:rsidR="00F8631B" w:rsidRPr="00712F3C" w14:paraId="578FD14D"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47FEDFDB" w14:textId="77777777" w:rsidR="00F8631B" w:rsidRPr="00712F3C" w:rsidRDefault="00F8631B" w:rsidP="00250DAC">
            <w:pPr>
              <w:pStyle w:val="Default"/>
              <w:contextualSpacing/>
              <w:jc w:val="both"/>
              <w:rPr>
                <w:sz w:val="20"/>
                <w:szCs w:val="20"/>
              </w:rPr>
            </w:pPr>
            <w:r w:rsidRPr="00712F3C">
              <w:rPr>
                <w:sz w:val="20"/>
                <w:szCs w:val="20"/>
              </w:rPr>
              <w:t>Reserved Category/ Categories</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17DEC09C" w14:textId="77777777" w:rsidR="00F8631B" w:rsidRPr="00712F3C" w:rsidRDefault="00F8631B" w:rsidP="00250DAC">
            <w:pPr>
              <w:pStyle w:val="Default"/>
              <w:contextualSpacing/>
              <w:jc w:val="both"/>
              <w:rPr>
                <w:sz w:val="20"/>
                <w:szCs w:val="20"/>
              </w:rPr>
            </w:pPr>
            <w:r w:rsidRPr="00712F3C">
              <w:rPr>
                <w:sz w:val="20"/>
                <w:szCs w:val="20"/>
              </w:rPr>
              <w:t>Categories of persons eligible for making application under reservation portion.</w:t>
            </w:r>
          </w:p>
        </w:tc>
      </w:tr>
      <w:tr w:rsidR="00F8631B" w:rsidRPr="00712F3C" w14:paraId="0FB828A4"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435D4C64" w14:textId="77777777" w:rsidR="00F8631B" w:rsidRPr="00712F3C" w:rsidRDefault="00F8631B" w:rsidP="00250DAC">
            <w:pPr>
              <w:pStyle w:val="Default"/>
              <w:contextualSpacing/>
              <w:jc w:val="both"/>
              <w:rPr>
                <w:sz w:val="20"/>
                <w:szCs w:val="20"/>
              </w:rPr>
            </w:pPr>
            <w:r w:rsidRPr="00712F3C">
              <w:rPr>
                <w:sz w:val="20"/>
                <w:szCs w:val="20"/>
              </w:rPr>
              <w:t>Retail Individual Bidders/ RIBs/ Retail Individual Investors/ RIIs</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6D4874DD" w14:textId="77777777" w:rsidR="00F8631B" w:rsidRPr="00712F3C" w:rsidRDefault="00F8631B" w:rsidP="00250DAC">
            <w:pPr>
              <w:pStyle w:val="Default"/>
              <w:contextualSpacing/>
              <w:jc w:val="both"/>
              <w:rPr>
                <w:sz w:val="20"/>
                <w:szCs w:val="20"/>
              </w:rPr>
            </w:pPr>
            <w:r w:rsidRPr="00712F3C">
              <w:rPr>
                <w:sz w:val="20"/>
                <w:szCs w:val="20"/>
              </w:rPr>
              <w:t>Individual Bidders, submitting Bids, who have Bid for Equity Shares for an amount not more than ₹ 2,00,000/- in any of the bidding options in the Net Issue (including HUFs applying through their Karta and Eligible NRIs and does not include NRIs other than Eligible NRIs).</w:t>
            </w:r>
          </w:p>
        </w:tc>
      </w:tr>
      <w:tr w:rsidR="00F8631B" w:rsidRPr="00712F3C" w14:paraId="2C73EDDF"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26FBD3DA" w14:textId="77777777" w:rsidR="00F8631B" w:rsidRPr="00712F3C" w:rsidRDefault="00F8631B" w:rsidP="00250DAC">
            <w:pPr>
              <w:pStyle w:val="Default"/>
              <w:contextualSpacing/>
              <w:jc w:val="both"/>
              <w:rPr>
                <w:sz w:val="20"/>
                <w:szCs w:val="20"/>
              </w:rPr>
            </w:pPr>
            <w:r w:rsidRPr="00712F3C">
              <w:rPr>
                <w:sz w:val="20"/>
                <w:szCs w:val="20"/>
              </w:rPr>
              <w:t>Retail Portion</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25FB157C" w14:textId="77777777" w:rsidR="00F8631B" w:rsidRPr="00712F3C" w:rsidRDefault="00F8631B" w:rsidP="00250DAC">
            <w:pPr>
              <w:pStyle w:val="Default"/>
              <w:contextualSpacing/>
              <w:jc w:val="both"/>
              <w:rPr>
                <w:sz w:val="20"/>
                <w:szCs w:val="20"/>
              </w:rPr>
            </w:pPr>
            <w:r w:rsidRPr="00712F3C">
              <w:rPr>
                <w:sz w:val="20"/>
                <w:szCs w:val="20"/>
              </w:rPr>
              <w:t>The portion of the Issue being not less than 35% of the Net Issue, consisting of [●] Equity Shares, available for allocation to Retail Individual Bidders.</w:t>
            </w:r>
          </w:p>
        </w:tc>
      </w:tr>
      <w:tr w:rsidR="00F8631B" w:rsidRPr="00712F3C" w14:paraId="439DA70E"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767943D9" w14:textId="77777777" w:rsidR="00F8631B" w:rsidRPr="00712F3C" w:rsidRDefault="00F8631B" w:rsidP="00250DAC">
            <w:pPr>
              <w:pStyle w:val="Default"/>
              <w:contextualSpacing/>
              <w:jc w:val="both"/>
              <w:rPr>
                <w:sz w:val="20"/>
                <w:szCs w:val="20"/>
              </w:rPr>
            </w:pPr>
            <w:r w:rsidRPr="00712F3C">
              <w:rPr>
                <w:sz w:val="20"/>
                <w:szCs w:val="20"/>
              </w:rPr>
              <w:t>Revision Form</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252CD2BF" w14:textId="77777777" w:rsidR="00F8631B" w:rsidRPr="00712F3C" w:rsidRDefault="00F8631B" w:rsidP="00250DAC">
            <w:pPr>
              <w:pStyle w:val="Default"/>
              <w:contextualSpacing/>
              <w:jc w:val="both"/>
              <w:rPr>
                <w:sz w:val="20"/>
                <w:szCs w:val="20"/>
              </w:rPr>
            </w:pPr>
            <w:r w:rsidRPr="00712F3C">
              <w:rPr>
                <w:sz w:val="20"/>
                <w:szCs w:val="20"/>
              </w:rPr>
              <w:t>The form used by the Bidders to modify the quantity of Equity Shares or the Bid Amount in any of their Bid-cum-Application Forms or any previous Revision Form(s), as applicable. QIBs and Non-Institutional Investors are not allowed to withdraw or lower their Bids (in terms of quantity of Equity Shares or the Bid Amount) at any stage.</w:t>
            </w:r>
          </w:p>
        </w:tc>
      </w:tr>
      <w:tr w:rsidR="00F8631B" w:rsidRPr="00712F3C" w14:paraId="317F8F7E"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121E8A5F" w14:textId="77777777" w:rsidR="00F8631B" w:rsidRPr="00712F3C" w:rsidRDefault="00F8631B" w:rsidP="00250DAC">
            <w:pPr>
              <w:pStyle w:val="Default"/>
              <w:contextualSpacing/>
              <w:jc w:val="both"/>
              <w:rPr>
                <w:sz w:val="20"/>
                <w:szCs w:val="20"/>
              </w:rPr>
            </w:pPr>
            <w:r w:rsidRPr="00712F3C">
              <w:rPr>
                <w:sz w:val="20"/>
                <w:szCs w:val="20"/>
              </w:rPr>
              <w:t>Securities laws</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38AF2086" w14:textId="77777777" w:rsidR="00F8631B" w:rsidRPr="00712F3C" w:rsidRDefault="00F8631B" w:rsidP="00250DAC">
            <w:pPr>
              <w:pStyle w:val="Default"/>
              <w:contextualSpacing/>
              <w:jc w:val="both"/>
              <w:rPr>
                <w:sz w:val="20"/>
                <w:szCs w:val="20"/>
              </w:rPr>
            </w:pPr>
            <w:r w:rsidRPr="00712F3C">
              <w:rPr>
                <w:sz w:val="20"/>
                <w:szCs w:val="20"/>
              </w:rPr>
              <w:t xml:space="preserve">Means the Act, the Securities Contracts (Regulation) Act, 1956, the Depositories Act, 1996 and the rules and regulations made thereunder and the general or special orders, guidelines or circulars made or issued by the Board thereunder and the provisions of the Companies Act, 2013 or any previous company law and any subordinate legislation framed thereunder, which are administered by the Board. </w:t>
            </w:r>
          </w:p>
        </w:tc>
      </w:tr>
      <w:tr w:rsidR="00F8631B" w:rsidRPr="00712F3C" w14:paraId="5381FED5"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tcPr>
          <w:p w14:paraId="05B0B450" w14:textId="77777777" w:rsidR="00F8631B" w:rsidRPr="00712F3C" w:rsidRDefault="00F8631B" w:rsidP="00250DAC">
            <w:pPr>
              <w:pStyle w:val="Default"/>
              <w:contextualSpacing/>
              <w:jc w:val="both"/>
              <w:rPr>
                <w:sz w:val="20"/>
                <w:szCs w:val="20"/>
              </w:rPr>
            </w:pPr>
            <w:r w:rsidRPr="00712F3C">
              <w:rPr>
                <w:sz w:val="20"/>
                <w:szCs w:val="20"/>
              </w:rPr>
              <w:t>SEBI (ICDR) Regulations/ ICDR Regulation/ Regulation</w:t>
            </w:r>
          </w:p>
        </w:tc>
        <w:tc>
          <w:tcPr>
            <w:tcW w:w="3562" w:type="pct"/>
            <w:tcBorders>
              <w:top w:val="single" w:sz="6" w:space="0" w:color="000000"/>
              <w:left w:val="single" w:sz="6" w:space="0" w:color="000000"/>
              <w:bottom w:val="single" w:sz="6" w:space="0" w:color="000000"/>
              <w:right w:val="single" w:sz="6" w:space="0" w:color="000000"/>
            </w:tcBorders>
            <w:shd w:val="clear" w:color="auto" w:fill="auto"/>
          </w:tcPr>
          <w:p w14:paraId="670204E0" w14:textId="77777777" w:rsidR="00F8631B" w:rsidRPr="00712F3C" w:rsidRDefault="00F8631B" w:rsidP="00250DAC">
            <w:pPr>
              <w:pStyle w:val="Default"/>
              <w:contextualSpacing/>
              <w:jc w:val="both"/>
              <w:rPr>
                <w:sz w:val="20"/>
                <w:szCs w:val="20"/>
              </w:rPr>
            </w:pPr>
            <w:r w:rsidRPr="00712F3C">
              <w:rPr>
                <w:sz w:val="20"/>
                <w:szCs w:val="20"/>
              </w:rPr>
              <w:t>SEBI (Issue of Capital and Disclosure Requirements) Regulations, 2018 issued by SEBI on September 11, 2018, as amended, including instructions and clarifications issued by SEBI from time to time.</w:t>
            </w:r>
          </w:p>
        </w:tc>
      </w:tr>
      <w:tr w:rsidR="00F8631B" w:rsidRPr="00712F3C" w14:paraId="6C3AC53D"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tcPr>
          <w:p w14:paraId="3D1A1C14" w14:textId="77777777" w:rsidR="00F8631B" w:rsidRPr="00712F3C" w:rsidRDefault="00F8631B" w:rsidP="00250DAC">
            <w:pPr>
              <w:pStyle w:val="Default"/>
              <w:contextualSpacing/>
              <w:jc w:val="both"/>
              <w:rPr>
                <w:sz w:val="20"/>
                <w:szCs w:val="20"/>
              </w:rPr>
            </w:pPr>
            <w:r w:rsidRPr="00712F3C">
              <w:rPr>
                <w:sz w:val="20"/>
                <w:szCs w:val="20"/>
              </w:rPr>
              <w:t xml:space="preserve">SEBI (Venture Capital) Regulations </w:t>
            </w:r>
          </w:p>
        </w:tc>
        <w:tc>
          <w:tcPr>
            <w:tcW w:w="3562" w:type="pct"/>
            <w:tcBorders>
              <w:top w:val="single" w:sz="6" w:space="0" w:color="000000"/>
              <w:left w:val="single" w:sz="6" w:space="0" w:color="000000"/>
              <w:bottom w:val="single" w:sz="6" w:space="0" w:color="000000"/>
              <w:right w:val="single" w:sz="6" w:space="0" w:color="000000"/>
            </w:tcBorders>
            <w:shd w:val="clear" w:color="auto" w:fill="auto"/>
          </w:tcPr>
          <w:p w14:paraId="2DB3F7EB" w14:textId="77777777" w:rsidR="00F8631B" w:rsidRPr="00712F3C" w:rsidRDefault="00F8631B" w:rsidP="00250DAC">
            <w:pPr>
              <w:pStyle w:val="Default"/>
              <w:contextualSpacing/>
              <w:jc w:val="both"/>
              <w:rPr>
                <w:sz w:val="20"/>
                <w:szCs w:val="20"/>
              </w:rPr>
            </w:pPr>
            <w:r w:rsidRPr="00712F3C">
              <w:rPr>
                <w:sz w:val="20"/>
                <w:szCs w:val="20"/>
              </w:rPr>
              <w:t>Securities Exchange Board of India (Venture Capital) Regulations, 1996 as amended from time to time.</w:t>
            </w:r>
          </w:p>
        </w:tc>
      </w:tr>
      <w:tr w:rsidR="00F8631B" w:rsidRPr="00712F3C" w14:paraId="08A925AC"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tcPr>
          <w:p w14:paraId="25ADB151" w14:textId="77777777" w:rsidR="00F8631B" w:rsidRPr="00712F3C" w:rsidRDefault="00F8631B" w:rsidP="00250DAC">
            <w:pPr>
              <w:pStyle w:val="Default"/>
              <w:contextualSpacing/>
              <w:jc w:val="both"/>
              <w:rPr>
                <w:sz w:val="20"/>
                <w:szCs w:val="20"/>
              </w:rPr>
            </w:pPr>
            <w:r w:rsidRPr="00712F3C">
              <w:rPr>
                <w:sz w:val="20"/>
                <w:szCs w:val="20"/>
              </w:rPr>
              <w:t>SEBI Act/ SEBI</w:t>
            </w:r>
          </w:p>
        </w:tc>
        <w:tc>
          <w:tcPr>
            <w:tcW w:w="3562" w:type="pct"/>
            <w:tcBorders>
              <w:top w:val="single" w:sz="6" w:space="0" w:color="000000"/>
              <w:left w:val="single" w:sz="6" w:space="0" w:color="000000"/>
              <w:bottom w:val="single" w:sz="6" w:space="0" w:color="000000"/>
              <w:right w:val="single" w:sz="6" w:space="0" w:color="000000"/>
            </w:tcBorders>
            <w:shd w:val="clear" w:color="auto" w:fill="auto"/>
          </w:tcPr>
          <w:p w14:paraId="13784985" w14:textId="77777777" w:rsidR="00F8631B" w:rsidRPr="00712F3C" w:rsidRDefault="00F8631B" w:rsidP="00250DAC">
            <w:pPr>
              <w:pStyle w:val="Default"/>
              <w:contextualSpacing/>
              <w:jc w:val="both"/>
              <w:rPr>
                <w:sz w:val="20"/>
                <w:szCs w:val="20"/>
              </w:rPr>
            </w:pPr>
            <w:r w:rsidRPr="00712F3C">
              <w:rPr>
                <w:sz w:val="20"/>
                <w:szCs w:val="20"/>
              </w:rPr>
              <w:t>Securities and Exchange Board of India Act, 1992, as amended from time to time.</w:t>
            </w:r>
          </w:p>
        </w:tc>
      </w:tr>
      <w:tr w:rsidR="00F8631B" w:rsidRPr="00712F3C" w14:paraId="73A1E285"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tcPr>
          <w:p w14:paraId="5C16ED5B" w14:textId="77777777" w:rsidR="00F8631B" w:rsidRPr="00712F3C" w:rsidRDefault="00F8631B" w:rsidP="00250DAC">
            <w:pPr>
              <w:pStyle w:val="Default"/>
              <w:contextualSpacing/>
              <w:jc w:val="both"/>
              <w:rPr>
                <w:sz w:val="20"/>
                <w:szCs w:val="20"/>
              </w:rPr>
            </w:pPr>
            <w:r w:rsidRPr="00712F3C">
              <w:rPr>
                <w:sz w:val="20"/>
                <w:szCs w:val="20"/>
              </w:rPr>
              <w:t>SEBI Insider Trading Regulations</w:t>
            </w:r>
          </w:p>
        </w:tc>
        <w:tc>
          <w:tcPr>
            <w:tcW w:w="3562" w:type="pct"/>
            <w:tcBorders>
              <w:top w:val="single" w:sz="6" w:space="0" w:color="000000"/>
              <w:left w:val="single" w:sz="6" w:space="0" w:color="000000"/>
              <w:bottom w:val="single" w:sz="6" w:space="0" w:color="000000"/>
              <w:right w:val="single" w:sz="6" w:space="0" w:color="000000"/>
            </w:tcBorders>
            <w:shd w:val="clear" w:color="auto" w:fill="auto"/>
          </w:tcPr>
          <w:p w14:paraId="769CACE6" w14:textId="77777777" w:rsidR="00F8631B" w:rsidRPr="00712F3C" w:rsidRDefault="00F8631B" w:rsidP="00250DAC">
            <w:pPr>
              <w:pStyle w:val="Default"/>
              <w:contextualSpacing/>
              <w:jc w:val="both"/>
              <w:rPr>
                <w:sz w:val="20"/>
                <w:szCs w:val="20"/>
              </w:rPr>
            </w:pPr>
            <w:r w:rsidRPr="00712F3C">
              <w:rPr>
                <w:sz w:val="20"/>
                <w:szCs w:val="20"/>
              </w:rPr>
              <w:t>The Securities and Exchange Board of India (Prohibition of Insider Trading) Regulations, 2015 as amended, including instructions and clarifications issued by SEBI from time to time.</w:t>
            </w:r>
          </w:p>
        </w:tc>
      </w:tr>
      <w:tr w:rsidR="00F8631B" w:rsidRPr="00712F3C" w14:paraId="1765C984"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tcPr>
          <w:p w14:paraId="247C08F8" w14:textId="77777777" w:rsidR="00F8631B" w:rsidRPr="00712F3C" w:rsidRDefault="00F8631B" w:rsidP="00250DAC">
            <w:pPr>
              <w:pStyle w:val="Default"/>
              <w:contextualSpacing/>
              <w:jc w:val="both"/>
              <w:rPr>
                <w:sz w:val="20"/>
                <w:szCs w:val="20"/>
              </w:rPr>
            </w:pPr>
            <w:r w:rsidRPr="00712F3C">
              <w:rPr>
                <w:sz w:val="20"/>
                <w:szCs w:val="20"/>
              </w:rPr>
              <w:lastRenderedPageBreak/>
              <w:t>SEBI Listing Regulations, 2015/ SEBI Listing Regulations/ Listing Regulations/ SEBI (LODR)</w:t>
            </w:r>
          </w:p>
        </w:tc>
        <w:tc>
          <w:tcPr>
            <w:tcW w:w="3562" w:type="pct"/>
            <w:tcBorders>
              <w:top w:val="single" w:sz="6" w:space="0" w:color="000000"/>
              <w:left w:val="single" w:sz="6" w:space="0" w:color="000000"/>
              <w:bottom w:val="single" w:sz="6" w:space="0" w:color="000000"/>
              <w:right w:val="single" w:sz="6" w:space="0" w:color="000000"/>
            </w:tcBorders>
            <w:shd w:val="clear" w:color="auto" w:fill="auto"/>
          </w:tcPr>
          <w:p w14:paraId="4570E74A" w14:textId="77777777" w:rsidR="00F8631B" w:rsidRPr="00712F3C" w:rsidRDefault="00F8631B" w:rsidP="00250DAC">
            <w:pPr>
              <w:pStyle w:val="Default"/>
              <w:contextualSpacing/>
              <w:jc w:val="both"/>
              <w:rPr>
                <w:sz w:val="20"/>
                <w:szCs w:val="20"/>
              </w:rPr>
            </w:pPr>
            <w:r w:rsidRPr="00712F3C">
              <w:rPr>
                <w:sz w:val="20"/>
                <w:szCs w:val="20"/>
              </w:rPr>
              <w:t>The Securities and Exchange Board of India (Listing Obligation and Disclosure Requirements) Regulations, 2015 as amended, including instructions and clarifications issued by SEBI from time to time.</w:t>
            </w:r>
          </w:p>
        </w:tc>
      </w:tr>
      <w:tr w:rsidR="00F8631B" w:rsidRPr="00712F3C" w14:paraId="02DDECF2"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tcPr>
          <w:p w14:paraId="36F0994E" w14:textId="77777777" w:rsidR="00F8631B" w:rsidRPr="00712F3C" w:rsidRDefault="00F8631B" w:rsidP="00250DAC">
            <w:pPr>
              <w:pStyle w:val="Default"/>
              <w:contextualSpacing/>
              <w:jc w:val="both"/>
              <w:rPr>
                <w:sz w:val="20"/>
                <w:szCs w:val="20"/>
              </w:rPr>
            </w:pPr>
            <w:r w:rsidRPr="00712F3C">
              <w:rPr>
                <w:sz w:val="20"/>
                <w:szCs w:val="20"/>
              </w:rPr>
              <w:t>SEBI Takeover Regulations or SEBI (SAST) Regulations</w:t>
            </w:r>
          </w:p>
        </w:tc>
        <w:tc>
          <w:tcPr>
            <w:tcW w:w="3562" w:type="pct"/>
            <w:tcBorders>
              <w:top w:val="single" w:sz="6" w:space="0" w:color="000000"/>
              <w:left w:val="single" w:sz="6" w:space="0" w:color="000000"/>
              <w:bottom w:val="single" w:sz="6" w:space="0" w:color="000000"/>
              <w:right w:val="single" w:sz="6" w:space="0" w:color="000000"/>
            </w:tcBorders>
            <w:shd w:val="clear" w:color="auto" w:fill="auto"/>
          </w:tcPr>
          <w:p w14:paraId="473622B2" w14:textId="77777777" w:rsidR="00F8631B" w:rsidRPr="00712F3C" w:rsidRDefault="00F8631B" w:rsidP="00250DAC">
            <w:pPr>
              <w:pStyle w:val="Default"/>
              <w:contextualSpacing/>
              <w:jc w:val="both"/>
              <w:rPr>
                <w:sz w:val="20"/>
                <w:szCs w:val="20"/>
              </w:rPr>
            </w:pPr>
            <w:r w:rsidRPr="00712F3C">
              <w:rPr>
                <w:sz w:val="20"/>
                <w:szCs w:val="20"/>
              </w:rPr>
              <w:t>Securities and Exchange Board of India (Substantial Acquisition of Shares and Takeover) Regulations, 2011, as amended from time to time.</w:t>
            </w:r>
          </w:p>
        </w:tc>
      </w:tr>
      <w:tr w:rsidR="00F8631B" w:rsidRPr="00712F3C" w14:paraId="75B67EC7"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16D7B112" w14:textId="77777777" w:rsidR="00F8631B" w:rsidRPr="00712F3C" w:rsidRDefault="00F8631B" w:rsidP="00250DAC">
            <w:pPr>
              <w:pStyle w:val="Default"/>
              <w:contextualSpacing/>
              <w:jc w:val="both"/>
              <w:rPr>
                <w:sz w:val="20"/>
                <w:szCs w:val="20"/>
              </w:rPr>
            </w:pPr>
            <w:r w:rsidRPr="00712F3C">
              <w:rPr>
                <w:sz w:val="20"/>
                <w:szCs w:val="20"/>
              </w:rPr>
              <w:t>Self-Certified Syndicate Bank(s) / SCSB(s)</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6BB0B902" w14:textId="77777777" w:rsidR="00F8631B" w:rsidRPr="00712F3C" w:rsidRDefault="00F8631B" w:rsidP="00250DAC">
            <w:pPr>
              <w:pStyle w:val="Default"/>
              <w:contextualSpacing/>
              <w:jc w:val="both"/>
              <w:rPr>
                <w:sz w:val="20"/>
                <w:szCs w:val="20"/>
              </w:rPr>
            </w:pPr>
            <w:r w:rsidRPr="00712F3C">
              <w:rPr>
                <w:sz w:val="20"/>
                <w:szCs w:val="20"/>
              </w:rPr>
              <w:t>Shall mean a Banker to an Issue registered under Securities and Exchange Board of India (Bankers to an Issue) Regulations, 1994, as amended from time to time, and which offer the service of making Application/s Supported by Blocked Amount including blocking of bank account and a list of which is available on https://www.sebi.gov.in/sebiweb/other/OtherAction.do?doRecognised=yes or at such other website as may be prescribed by SEBI from time to time.</w:t>
            </w:r>
          </w:p>
        </w:tc>
      </w:tr>
      <w:tr w:rsidR="00F8631B" w:rsidRPr="00712F3C" w14:paraId="5B2DD691"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752A9EA3" w14:textId="77777777" w:rsidR="00F8631B" w:rsidRPr="00712F3C" w:rsidRDefault="00F8631B" w:rsidP="00250DAC">
            <w:pPr>
              <w:pStyle w:val="Default"/>
              <w:contextualSpacing/>
              <w:jc w:val="both"/>
              <w:rPr>
                <w:sz w:val="20"/>
                <w:szCs w:val="20"/>
              </w:rPr>
            </w:pPr>
            <w:r w:rsidRPr="00712F3C">
              <w:rPr>
                <w:sz w:val="20"/>
                <w:szCs w:val="20"/>
              </w:rPr>
              <w:t>SME Exchange</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7F14C746" w14:textId="5C040D7E" w:rsidR="00F8631B" w:rsidRPr="00712F3C" w:rsidRDefault="00F8631B" w:rsidP="00250DAC">
            <w:pPr>
              <w:pStyle w:val="Default"/>
              <w:contextualSpacing/>
              <w:jc w:val="both"/>
              <w:rPr>
                <w:sz w:val="20"/>
                <w:szCs w:val="20"/>
              </w:rPr>
            </w:pPr>
            <w:r w:rsidRPr="00712F3C">
              <w:rPr>
                <w:sz w:val="20"/>
                <w:szCs w:val="20"/>
              </w:rPr>
              <w:t>SME Platform of the BSE i.e.</w:t>
            </w:r>
            <w:r w:rsidR="00771C27">
              <w:rPr>
                <w:sz w:val="20"/>
                <w:szCs w:val="20"/>
              </w:rPr>
              <w:t>,</w:t>
            </w:r>
            <w:r w:rsidRPr="00712F3C">
              <w:rPr>
                <w:sz w:val="20"/>
                <w:szCs w:val="20"/>
              </w:rPr>
              <w:t xml:space="preserve"> BSE SME.</w:t>
            </w:r>
          </w:p>
        </w:tc>
      </w:tr>
      <w:tr w:rsidR="00F8631B" w:rsidRPr="00712F3C" w14:paraId="2C0F665F"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088D688C" w14:textId="77777777" w:rsidR="00F8631B" w:rsidRPr="00712F3C" w:rsidRDefault="00F8631B" w:rsidP="00250DAC">
            <w:pPr>
              <w:pStyle w:val="Default"/>
              <w:contextualSpacing/>
              <w:jc w:val="both"/>
              <w:rPr>
                <w:sz w:val="20"/>
                <w:szCs w:val="20"/>
              </w:rPr>
            </w:pPr>
            <w:r w:rsidRPr="00712F3C">
              <w:rPr>
                <w:sz w:val="20"/>
                <w:szCs w:val="20"/>
              </w:rPr>
              <w:t>Specified Locations</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33F07D9B" w14:textId="77777777" w:rsidR="00F8631B" w:rsidRPr="00712F3C" w:rsidRDefault="00F8631B" w:rsidP="00250DAC">
            <w:pPr>
              <w:pStyle w:val="Default"/>
              <w:contextualSpacing/>
              <w:jc w:val="both"/>
              <w:rPr>
                <w:sz w:val="20"/>
                <w:szCs w:val="20"/>
              </w:rPr>
            </w:pPr>
            <w:r w:rsidRPr="00712F3C">
              <w:rPr>
                <w:sz w:val="20"/>
                <w:szCs w:val="20"/>
              </w:rPr>
              <w:t>Collection centres where the SCSBs shall accept application form, a list of which is available on the website of SEBI (https://www.sebi.gov.in/) and updated from time to time.</w:t>
            </w:r>
          </w:p>
        </w:tc>
      </w:tr>
      <w:tr w:rsidR="00F8631B" w:rsidRPr="00712F3C" w14:paraId="4FF31FB3"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65D713CA" w14:textId="77777777" w:rsidR="00F8631B" w:rsidRPr="00712F3C" w:rsidRDefault="00F8631B" w:rsidP="00250DAC">
            <w:pPr>
              <w:pStyle w:val="Default"/>
              <w:contextualSpacing/>
              <w:jc w:val="both"/>
              <w:rPr>
                <w:sz w:val="20"/>
                <w:szCs w:val="20"/>
              </w:rPr>
            </w:pPr>
            <w:r w:rsidRPr="00712F3C">
              <w:rPr>
                <w:sz w:val="20"/>
                <w:szCs w:val="20"/>
              </w:rPr>
              <w:t>Specified Securities</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071F1EF4" w14:textId="77777777" w:rsidR="00F8631B" w:rsidRPr="00712F3C" w:rsidRDefault="00F8631B" w:rsidP="00250DAC">
            <w:pPr>
              <w:pStyle w:val="Default"/>
              <w:contextualSpacing/>
              <w:jc w:val="both"/>
              <w:rPr>
                <w:sz w:val="20"/>
                <w:szCs w:val="20"/>
              </w:rPr>
            </w:pPr>
            <w:r w:rsidRPr="00712F3C">
              <w:rPr>
                <w:sz w:val="20"/>
                <w:szCs w:val="20"/>
              </w:rPr>
              <w:t>Equity shares offered through this Draft Red Herring Prospectus.</w:t>
            </w:r>
          </w:p>
        </w:tc>
      </w:tr>
      <w:tr w:rsidR="00F8631B" w:rsidRPr="00712F3C" w14:paraId="331EF201"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3D14048C" w14:textId="77777777" w:rsidR="00F8631B" w:rsidRPr="00712F3C" w:rsidRDefault="00F8631B" w:rsidP="00250DAC">
            <w:pPr>
              <w:pStyle w:val="Default"/>
              <w:contextualSpacing/>
              <w:jc w:val="both"/>
              <w:rPr>
                <w:sz w:val="20"/>
                <w:szCs w:val="20"/>
              </w:rPr>
            </w:pPr>
            <w:r w:rsidRPr="00712F3C">
              <w:rPr>
                <w:sz w:val="20"/>
                <w:szCs w:val="20"/>
              </w:rPr>
              <w:t>Sponsor Bank</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43FF45A0" w14:textId="77777777" w:rsidR="00F8631B" w:rsidRPr="00712F3C" w:rsidRDefault="00F8631B" w:rsidP="00250DAC">
            <w:pPr>
              <w:pStyle w:val="Default"/>
              <w:contextualSpacing/>
              <w:jc w:val="both"/>
              <w:rPr>
                <w:sz w:val="20"/>
                <w:szCs w:val="20"/>
              </w:rPr>
            </w:pPr>
            <w:r w:rsidRPr="00712F3C">
              <w:rPr>
                <w:sz w:val="20"/>
                <w:szCs w:val="20"/>
              </w:rPr>
              <w:t>Sponsor Bank means a Banker to the Issue registered with SEBI, which is appointed by the Issuer to act as a conduit between the Stock Exchanges and NPCI (National Payments Corporation of India) in order to push the mandate, collect requests and / or payment instructions of the Retail Investors into the UPI.</w:t>
            </w:r>
          </w:p>
        </w:tc>
      </w:tr>
      <w:tr w:rsidR="00F8631B" w:rsidRPr="00712F3C" w14:paraId="021C2FB6"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4536D2E6" w14:textId="77777777" w:rsidR="00F8631B" w:rsidRPr="00712F3C" w:rsidRDefault="00F8631B" w:rsidP="00250DAC">
            <w:pPr>
              <w:pStyle w:val="Default"/>
              <w:contextualSpacing/>
              <w:jc w:val="both"/>
              <w:rPr>
                <w:sz w:val="20"/>
                <w:szCs w:val="20"/>
              </w:rPr>
            </w:pPr>
            <w:r w:rsidRPr="00712F3C">
              <w:rPr>
                <w:sz w:val="20"/>
                <w:szCs w:val="20"/>
              </w:rPr>
              <w:t>Sub Syndicate Member</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6345A6C8" w14:textId="77777777" w:rsidR="00F8631B" w:rsidRPr="00712F3C" w:rsidRDefault="00F8631B" w:rsidP="00250DAC">
            <w:pPr>
              <w:pStyle w:val="Default"/>
              <w:contextualSpacing/>
              <w:jc w:val="both"/>
              <w:rPr>
                <w:sz w:val="20"/>
                <w:szCs w:val="20"/>
              </w:rPr>
            </w:pPr>
            <w:r w:rsidRPr="00712F3C">
              <w:rPr>
                <w:sz w:val="20"/>
                <w:szCs w:val="20"/>
              </w:rPr>
              <w:t>A SEBI Registered member of BSE appointed by the BRLM and/ or syndicate member to act as a Sub Syndicate Member in the Issue.</w:t>
            </w:r>
          </w:p>
        </w:tc>
      </w:tr>
      <w:tr w:rsidR="00F8631B" w:rsidRPr="00712F3C" w14:paraId="344DC63F"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0E5EFF8F" w14:textId="77777777" w:rsidR="00F8631B" w:rsidRPr="00712F3C" w:rsidRDefault="00F8631B" w:rsidP="00250DAC">
            <w:pPr>
              <w:pStyle w:val="Default"/>
              <w:contextualSpacing/>
              <w:jc w:val="both"/>
              <w:rPr>
                <w:sz w:val="20"/>
                <w:szCs w:val="20"/>
              </w:rPr>
            </w:pPr>
            <w:r w:rsidRPr="00712F3C">
              <w:rPr>
                <w:sz w:val="20"/>
                <w:szCs w:val="20"/>
              </w:rPr>
              <w:t>Syndicate</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6D7ECB65" w14:textId="77777777" w:rsidR="00F8631B" w:rsidRPr="00712F3C" w:rsidRDefault="00F8631B" w:rsidP="00250DAC">
            <w:pPr>
              <w:pStyle w:val="Default"/>
              <w:contextualSpacing/>
              <w:jc w:val="both"/>
              <w:rPr>
                <w:sz w:val="20"/>
                <w:szCs w:val="20"/>
              </w:rPr>
            </w:pPr>
            <w:r w:rsidRPr="00712F3C">
              <w:rPr>
                <w:sz w:val="20"/>
                <w:szCs w:val="20"/>
              </w:rPr>
              <w:t>Includes the BRLM, Syndicate Members and Sub Syndicate Members.</w:t>
            </w:r>
          </w:p>
        </w:tc>
      </w:tr>
      <w:tr w:rsidR="00F8631B" w:rsidRPr="00712F3C" w14:paraId="3B79C609"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26BB2FBC" w14:textId="77777777" w:rsidR="00F8631B" w:rsidRPr="00712F3C" w:rsidRDefault="00F8631B" w:rsidP="00250DAC">
            <w:pPr>
              <w:pStyle w:val="Default"/>
              <w:contextualSpacing/>
              <w:jc w:val="both"/>
              <w:rPr>
                <w:sz w:val="20"/>
                <w:szCs w:val="20"/>
              </w:rPr>
            </w:pPr>
            <w:r w:rsidRPr="00712F3C">
              <w:rPr>
                <w:sz w:val="20"/>
                <w:szCs w:val="20"/>
              </w:rPr>
              <w:t>Syndicate Agreement</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762318C2" w14:textId="77777777" w:rsidR="00F8631B" w:rsidRPr="00712F3C" w:rsidRDefault="00F8631B" w:rsidP="00250DAC">
            <w:pPr>
              <w:pStyle w:val="Default"/>
              <w:contextualSpacing/>
              <w:jc w:val="both"/>
              <w:rPr>
                <w:sz w:val="20"/>
                <w:szCs w:val="20"/>
              </w:rPr>
            </w:pPr>
            <w:r w:rsidRPr="00712F3C">
              <w:rPr>
                <w:sz w:val="20"/>
                <w:szCs w:val="20"/>
              </w:rPr>
              <w:t>The agreement dated [●] entered into amongst our Company, the BRLM and the Syndicate Members, in relation to the collection of Bids in this Issue.</w:t>
            </w:r>
          </w:p>
        </w:tc>
      </w:tr>
      <w:tr w:rsidR="00F8631B" w:rsidRPr="00712F3C" w14:paraId="7D1B1E50"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49AF0EFA" w14:textId="77777777" w:rsidR="00F8631B" w:rsidRPr="00712F3C" w:rsidRDefault="00F8631B" w:rsidP="00250DAC">
            <w:pPr>
              <w:pStyle w:val="Default"/>
              <w:contextualSpacing/>
              <w:jc w:val="both"/>
              <w:rPr>
                <w:sz w:val="20"/>
                <w:szCs w:val="20"/>
              </w:rPr>
            </w:pPr>
            <w:r w:rsidRPr="00712F3C">
              <w:rPr>
                <w:sz w:val="20"/>
                <w:szCs w:val="20"/>
              </w:rPr>
              <w:t>Syndicate ASBA Bidding Locations</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5BDE6024" w14:textId="77777777" w:rsidR="00F8631B" w:rsidRPr="00712F3C" w:rsidRDefault="00F8631B" w:rsidP="00250DAC">
            <w:pPr>
              <w:pStyle w:val="Default"/>
              <w:contextualSpacing/>
              <w:jc w:val="both"/>
              <w:rPr>
                <w:sz w:val="20"/>
                <w:szCs w:val="20"/>
              </w:rPr>
            </w:pPr>
            <w:r w:rsidRPr="00712F3C">
              <w:rPr>
                <w:sz w:val="20"/>
                <w:szCs w:val="20"/>
              </w:rPr>
              <w:t>Bidding Centers where an ASBA Bidder can submit their Bid in terms of SEBI Circular no. CIR/CFD/DIL/1/2011 dated April 29, 2011, namely Mumbai, Chennai, Kolkata, Delhi</w:t>
            </w:r>
          </w:p>
        </w:tc>
      </w:tr>
      <w:tr w:rsidR="00F8631B" w:rsidRPr="00712F3C" w14:paraId="5D30AC4F"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1466F015" w14:textId="77777777" w:rsidR="00F8631B" w:rsidRPr="00712F3C" w:rsidRDefault="00F8631B" w:rsidP="00250DAC">
            <w:pPr>
              <w:pStyle w:val="Default"/>
              <w:contextualSpacing/>
              <w:jc w:val="both"/>
              <w:rPr>
                <w:sz w:val="20"/>
                <w:szCs w:val="20"/>
              </w:rPr>
            </w:pPr>
            <w:r w:rsidRPr="00712F3C">
              <w:rPr>
                <w:sz w:val="20"/>
                <w:szCs w:val="20"/>
              </w:rPr>
              <w:t>Syndicate Members/ Members of the Syndicate</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4C150369" w14:textId="77777777" w:rsidR="00F8631B" w:rsidRPr="00712F3C" w:rsidRDefault="00F8631B" w:rsidP="00250DAC">
            <w:pPr>
              <w:pStyle w:val="Default"/>
              <w:contextualSpacing/>
              <w:jc w:val="both"/>
              <w:rPr>
                <w:sz w:val="20"/>
                <w:szCs w:val="20"/>
              </w:rPr>
            </w:pPr>
            <w:r w:rsidRPr="00712F3C">
              <w:rPr>
                <w:sz w:val="20"/>
                <w:szCs w:val="20"/>
              </w:rPr>
              <w:t>Intermediaries registered with SEBI eligible to act as a syndicate member and who is permitted to carry on the activity as an underwriter, in this case being [●].</w:t>
            </w:r>
          </w:p>
        </w:tc>
      </w:tr>
      <w:tr w:rsidR="00F8631B" w:rsidRPr="00712F3C" w14:paraId="754AAAB2"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2F4F3262" w14:textId="77777777" w:rsidR="00F8631B" w:rsidRPr="00712F3C" w:rsidRDefault="00F8631B" w:rsidP="00250DAC">
            <w:pPr>
              <w:pStyle w:val="Default"/>
              <w:contextualSpacing/>
              <w:jc w:val="both"/>
              <w:rPr>
                <w:sz w:val="20"/>
                <w:szCs w:val="20"/>
              </w:rPr>
            </w:pPr>
            <w:r w:rsidRPr="00712F3C">
              <w:rPr>
                <w:sz w:val="20"/>
                <w:szCs w:val="20"/>
              </w:rPr>
              <w:t>Systemically Important Non- Banking Financial Company</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0C4CB1B9" w14:textId="77777777" w:rsidR="00F8631B" w:rsidRPr="00712F3C" w:rsidRDefault="00F8631B" w:rsidP="00250DAC">
            <w:pPr>
              <w:pStyle w:val="Default"/>
              <w:contextualSpacing/>
              <w:jc w:val="both"/>
              <w:rPr>
                <w:sz w:val="20"/>
                <w:szCs w:val="20"/>
              </w:rPr>
            </w:pPr>
            <w:r w:rsidRPr="00712F3C">
              <w:rPr>
                <w:sz w:val="20"/>
                <w:szCs w:val="20"/>
              </w:rPr>
              <w:t>Systemically important non-banking financial company as defined under Regulation 2(1)(iii) of the SEBI ICDR Regulations.</w:t>
            </w:r>
          </w:p>
        </w:tc>
      </w:tr>
      <w:tr w:rsidR="00F8631B" w:rsidRPr="00712F3C" w14:paraId="2D57AB35"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4C835A1C" w14:textId="77777777" w:rsidR="00F8631B" w:rsidRPr="00712F3C" w:rsidRDefault="00F8631B" w:rsidP="00250DAC">
            <w:pPr>
              <w:pStyle w:val="Default"/>
              <w:contextualSpacing/>
              <w:jc w:val="both"/>
              <w:rPr>
                <w:sz w:val="20"/>
                <w:szCs w:val="20"/>
              </w:rPr>
            </w:pPr>
            <w:r w:rsidRPr="00712F3C">
              <w:rPr>
                <w:sz w:val="20"/>
                <w:szCs w:val="20"/>
              </w:rPr>
              <w:t>Transaction Registration Slip/ TRS</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6624D04B" w14:textId="77777777" w:rsidR="00F8631B" w:rsidRPr="00712F3C" w:rsidRDefault="00F8631B" w:rsidP="00250DAC">
            <w:pPr>
              <w:pStyle w:val="Default"/>
              <w:contextualSpacing/>
              <w:jc w:val="both"/>
              <w:rPr>
                <w:sz w:val="20"/>
                <w:szCs w:val="20"/>
              </w:rPr>
            </w:pPr>
            <w:r w:rsidRPr="00712F3C">
              <w:rPr>
                <w:sz w:val="20"/>
                <w:szCs w:val="20"/>
              </w:rPr>
              <w:t>The slip or document issued by the member of the Syndicate or SCSB (only on demand) as the case may be, to the Applicant as proof of registration of the Application.</w:t>
            </w:r>
          </w:p>
        </w:tc>
      </w:tr>
      <w:tr w:rsidR="00F8631B" w:rsidRPr="00712F3C" w14:paraId="27F3EA2F"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174FE18E" w14:textId="77777777" w:rsidR="00F8631B" w:rsidRPr="00712F3C" w:rsidRDefault="00F8631B" w:rsidP="00250DAC">
            <w:pPr>
              <w:pStyle w:val="Default"/>
              <w:contextualSpacing/>
              <w:jc w:val="both"/>
              <w:rPr>
                <w:sz w:val="20"/>
                <w:szCs w:val="20"/>
              </w:rPr>
            </w:pPr>
            <w:r w:rsidRPr="00712F3C">
              <w:rPr>
                <w:sz w:val="20"/>
                <w:szCs w:val="20"/>
              </w:rPr>
              <w:t>U.S. Securities Act</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6E8CBB22" w14:textId="77777777" w:rsidR="00F8631B" w:rsidRPr="00712F3C" w:rsidRDefault="00F8631B" w:rsidP="00250DAC">
            <w:pPr>
              <w:pStyle w:val="Default"/>
              <w:contextualSpacing/>
              <w:jc w:val="both"/>
              <w:rPr>
                <w:sz w:val="20"/>
                <w:szCs w:val="20"/>
              </w:rPr>
            </w:pPr>
            <w:r w:rsidRPr="00712F3C">
              <w:rPr>
                <w:sz w:val="20"/>
                <w:szCs w:val="20"/>
              </w:rPr>
              <w:t>U.S. Securities Act of 1933, as amended</w:t>
            </w:r>
          </w:p>
        </w:tc>
      </w:tr>
      <w:tr w:rsidR="00F8631B" w:rsidRPr="00712F3C" w14:paraId="074DEBC9"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536BD707" w14:textId="77777777" w:rsidR="00F8631B" w:rsidRPr="00712F3C" w:rsidRDefault="00F8631B" w:rsidP="00250DAC">
            <w:pPr>
              <w:pStyle w:val="Default"/>
              <w:contextualSpacing/>
              <w:jc w:val="both"/>
              <w:rPr>
                <w:sz w:val="20"/>
                <w:szCs w:val="20"/>
              </w:rPr>
            </w:pPr>
            <w:r w:rsidRPr="00712F3C">
              <w:rPr>
                <w:sz w:val="20"/>
                <w:szCs w:val="20"/>
              </w:rPr>
              <w:t>Underwriter</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6B250C18" w14:textId="77777777" w:rsidR="00F8631B" w:rsidRPr="00712F3C" w:rsidRDefault="00F8631B" w:rsidP="00250DAC">
            <w:pPr>
              <w:pStyle w:val="Default"/>
              <w:contextualSpacing/>
              <w:jc w:val="both"/>
              <w:rPr>
                <w:sz w:val="20"/>
                <w:szCs w:val="20"/>
              </w:rPr>
            </w:pPr>
            <w:r w:rsidRPr="00712F3C">
              <w:rPr>
                <w:sz w:val="20"/>
                <w:szCs w:val="20"/>
              </w:rPr>
              <w:t>The BRLM who has underwritten this Issue pursuant to the provisions of the SEBI (ICDR) Regulations, 2018 and the Securities and Exchange Board of India (Underwriters) Regulations, 1993, as amended from time to time.</w:t>
            </w:r>
          </w:p>
        </w:tc>
      </w:tr>
      <w:tr w:rsidR="00F8631B" w:rsidRPr="00712F3C" w14:paraId="2C77955D"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535B2342" w14:textId="77777777" w:rsidR="00F8631B" w:rsidRPr="00712F3C" w:rsidRDefault="00F8631B" w:rsidP="00250DAC">
            <w:pPr>
              <w:pStyle w:val="Default"/>
              <w:contextualSpacing/>
              <w:jc w:val="both"/>
              <w:rPr>
                <w:sz w:val="20"/>
                <w:szCs w:val="20"/>
              </w:rPr>
            </w:pPr>
            <w:r w:rsidRPr="00712F3C">
              <w:rPr>
                <w:sz w:val="20"/>
                <w:szCs w:val="20"/>
              </w:rPr>
              <w:t>Underwriting Agreement</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6A647F61" w14:textId="77777777" w:rsidR="00F8631B" w:rsidRPr="00712F3C" w:rsidRDefault="00F8631B" w:rsidP="00250DAC">
            <w:pPr>
              <w:pStyle w:val="Default"/>
              <w:contextualSpacing/>
              <w:jc w:val="both"/>
              <w:rPr>
                <w:sz w:val="20"/>
                <w:szCs w:val="20"/>
              </w:rPr>
            </w:pPr>
            <w:r w:rsidRPr="00712F3C">
              <w:rPr>
                <w:sz w:val="20"/>
                <w:szCs w:val="20"/>
              </w:rPr>
              <w:t>The Agreement [●] entered between the Underwriter, BRLM and our Company.</w:t>
            </w:r>
          </w:p>
        </w:tc>
      </w:tr>
      <w:tr w:rsidR="00F8631B" w:rsidRPr="00712F3C" w14:paraId="288E635C"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02A9E48F" w14:textId="77777777" w:rsidR="00F8631B" w:rsidRPr="00712F3C" w:rsidRDefault="00F8631B" w:rsidP="00250DAC">
            <w:pPr>
              <w:pStyle w:val="Default"/>
              <w:contextualSpacing/>
              <w:jc w:val="both"/>
              <w:rPr>
                <w:sz w:val="20"/>
                <w:szCs w:val="20"/>
              </w:rPr>
            </w:pPr>
            <w:r w:rsidRPr="00712F3C">
              <w:rPr>
                <w:sz w:val="20"/>
                <w:szCs w:val="20"/>
              </w:rPr>
              <w:t>UPI</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4AB1F846" w14:textId="77777777" w:rsidR="00F8631B" w:rsidRPr="00712F3C" w:rsidRDefault="00F8631B" w:rsidP="00250DAC">
            <w:pPr>
              <w:pStyle w:val="Default"/>
              <w:contextualSpacing/>
              <w:jc w:val="both"/>
              <w:rPr>
                <w:sz w:val="20"/>
                <w:szCs w:val="20"/>
              </w:rPr>
            </w:pPr>
            <w:r w:rsidRPr="00712F3C">
              <w:rPr>
                <w:sz w:val="20"/>
                <w:szCs w:val="20"/>
              </w:rPr>
              <w:t>UPI is an instant payment system developed by the NCPI, it enables merging several banking features, seamless fund routing &amp; merchant payment into one hood. UPI allow instant transfer of money between any two bank accounts using a payment address which uniquely identifies a person’s bank account</w:t>
            </w:r>
          </w:p>
        </w:tc>
      </w:tr>
      <w:tr w:rsidR="00F8631B" w:rsidRPr="00712F3C" w14:paraId="0BCD7C38"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7986874D" w14:textId="77777777" w:rsidR="00F8631B" w:rsidRPr="00712F3C" w:rsidRDefault="00F8631B" w:rsidP="00250DAC">
            <w:pPr>
              <w:pStyle w:val="Default"/>
              <w:contextualSpacing/>
              <w:jc w:val="both"/>
              <w:rPr>
                <w:sz w:val="20"/>
                <w:szCs w:val="20"/>
              </w:rPr>
            </w:pPr>
            <w:r w:rsidRPr="00712F3C">
              <w:rPr>
                <w:sz w:val="20"/>
                <w:szCs w:val="20"/>
              </w:rPr>
              <w:t>UPI Circulars</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39018EBB" w14:textId="77777777" w:rsidR="00F8631B" w:rsidRPr="00712F3C" w:rsidRDefault="00F8631B" w:rsidP="00250DAC">
            <w:pPr>
              <w:pStyle w:val="Default"/>
              <w:contextualSpacing/>
              <w:jc w:val="both"/>
              <w:rPr>
                <w:sz w:val="20"/>
                <w:szCs w:val="20"/>
              </w:rPr>
            </w:pPr>
            <w:r w:rsidRPr="00F8631B">
              <w:rPr>
                <w:sz w:val="20"/>
                <w:szCs w:val="20"/>
                <w:lang w:val="pt-BR"/>
              </w:rPr>
              <w:t xml:space="preserve">SEBI circular no. CFD/DIL2/CIR/P/2018/22 dated February 15, 2018, SEBI circular no. SEBI/HO/CFD/DIL2/CIR/P/2018/138 dated November 1, 2018, SEBI circular no. SEBI/HO/CFD/DIL2/CIR/P/2019/50 dated April 3, 2019, SEBI circular no. SEBI/HO/CFD/DIL2/CIR/P/2019/76 dated June 28, 2019, SEBI circular no. SEBI/HO/CFD/DIL2/CIR/P/2019/85 dated July 26, 2019 SEBI circular no. SEBI/HO/CFD/DCR2/CIR/P/2019/133 dated November 8, 2019, SEBI Circular no SEBI/HO/CFD/DIL2/CIR/P/2020/50 dated March 30, 2020, SEBI Circular no. SEBI/HO/CFD/DIL2/CIR/P/2021/2480/1/M dated March 16, 2021, SEBI circular no. SEBI/HO/CFD/DIL1/CIR/P/2021/47 dated March 31, 2021, SEBI circular no. SEBI/HO/CFD/DIL2/P/CIR/2021/570 dated June 2, 2021, SEBI circular no. </w:t>
            </w:r>
            <w:r w:rsidRPr="00712F3C">
              <w:rPr>
                <w:sz w:val="20"/>
                <w:szCs w:val="20"/>
              </w:rPr>
              <w:t>SEBI/HO/CFD/DIL2/CIR/P/2022/45 dated April 5, 2022, SEBI circular no. SEBI/HO/CFD/DIL2/CIR/P/2022/51 dated April 20, 2022 SEBI Circular No: SEBI/HO/MIRSD/MIRSD_RTAMB/P/CIR/2022/76 dated May 30, 2022 and any subsequent circulars or notifications issued by SEBI in this regard.</w:t>
            </w:r>
          </w:p>
        </w:tc>
      </w:tr>
      <w:tr w:rsidR="00F8631B" w:rsidRPr="00712F3C" w14:paraId="0B0829E9"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6523337A" w14:textId="77777777" w:rsidR="00F8631B" w:rsidRPr="00712F3C" w:rsidRDefault="00F8631B" w:rsidP="00250DAC">
            <w:pPr>
              <w:pStyle w:val="Default"/>
              <w:contextualSpacing/>
              <w:jc w:val="both"/>
              <w:rPr>
                <w:sz w:val="20"/>
                <w:szCs w:val="20"/>
              </w:rPr>
            </w:pPr>
            <w:r w:rsidRPr="00712F3C">
              <w:rPr>
                <w:sz w:val="20"/>
                <w:szCs w:val="20"/>
              </w:rPr>
              <w:t>UPI ID</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127AC5EF" w14:textId="77777777" w:rsidR="00F8631B" w:rsidRPr="00712F3C" w:rsidRDefault="00F8631B" w:rsidP="00250DAC">
            <w:pPr>
              <w:pStyle w:val="Default"/>
              <w:contextualSpacing/>
              <w:jc w:val="both"/>
              <w:rPr>
                <w:sz w:val="20"/>
                <w:szCs w:val="20"/>
              </w:rPr>
            </w:pPr>
            <w:r w:rsidRPr="00712F3C">
              <w:rPr>
                <w:sz w:val="20"/>
                <w:szCs w:val="20"/>
              </w:rPr>
              <w:t>ID created on the UPI for single-window mobile payment system developed by the NPCI</w:t>
            </w:r>
          </w:p>
        </w:tc>
      </w:tr>
      <w:tr w:rsidR="00F8631B" w:rsidRPr="00712F3C" w14:paraId="136AF5DE"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533C7914" w14:textId="77777777" w:rsidR="00F8631B" w:rsidRPr="00712F3C" w:rsidRDefault="00F8631B" w:rsidP="00250DAC">
            <w:pPr>
              <w:pStyle w:val="Default"/>
              <w:contextualSpacing/>
              <w:jc w:val="both"/>
              <w:rPr>
                <w:sz w:val="20"/>
                <w:szCs w:val="20"/>
              </w:rPr>
            </w:pPr>
            <w:r w:rsidRPr="00712F3C">
              <w:rPr>
                <w:sz w:val="20"/>
                <w:szCs w:val="20"/>
              </w:rPr>
              <w:t>UPI Mandate Request/ Mandate Request</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51FDDF43" w14:textId="77777777" w:rsidR="00F8631B" w:rsidRPr="00712F3C" w:rsidRDefault="00F8631B" w:rsidP="00250DAC">
            <w:pPr>
              <w:pStyle w:val="Default"/>
              <w:contextualSpacing/>
              <w:jc w:val="both"/>
              <w:rPr>
                <w:sz w:val="20"/>
                <w:szCs w:val="20"/>
              </w:rPr>
            </w:pPr>
            <w:r w:rsidRPr="00712F3C">
              <w:rPr>
                <w:sz w:val="20"/>
                <w:szCs w:val="20"/>
              </w:rPr>
              <w:t>A request (intimating the RII by way of notification on the UPI application and by way of a SMS directing the RII to such UPI application) to the RII by sponsor bank to authorize blocking of funds equivalent to the application amount and subsequent debit to funds in case of allotment.</w:t>
            </w:r>
          </w:p>
        </w:tc>
      </w:tr>
      <w:tr w:rsidR="00F8631B" w:rsidRPr="00712F3C" w14:paraId="7537173D"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0967080A" w14:textId="77777777" w:rsidR="00F8631B" w:rsidRPr="00712F3C" w:rsidRDefault="00F8631B" w:rsidP="00250DAC">
            <w:pPr>
              <w:pStyle w:val="Default"/>
              <w:contextualSpacing/>
              <w:jc w:val="both"/>
              <w:rPr>
                <w:sz w:val="20"/>
                <w:szCs w:val="20"/>
              </w:rPr>
            </w:pPr>
            <w:r w:rsidRPr="00712F3C">
              <w:rPr>
                <w:sz w:val="20"/>
                <w:szCs w:val="20"/>
              </w:rPr>
              <w:lastRenderedPageBreak/>
              <w:t>UPI Mechanism</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50AC188F" w14:textId="77777777" w:rsidR="00F8631B" w:rsidRPr="00712F3C" w:rsidRDefault="00F8631B" w:rsidP="00250DAC">
            <w:pPr>
              <w:pStyle w:val="Default"/>
              <w:contextualSpacing/>
              <w:jc w:val="both"/>
              <w:rPr>
                <w:sz w:val="20"/>
                <w:szCs w:val="20"/>
              </w:rPr>
            </w:pPr>
            <w:r w:rsidRPr="00712F3C">
              <w:rPr>
                <w:sz w:val="20"/>
                <w:szCs w:val="20"/>
              </w:rPr>
              <w:t>The mechanism that was used by an RIB to make a Bid in the Offer in accordance with the UPI Circulars on Streamlining of Public Issues</w:t>
            </w:r>
          </w:p>
        </w:tc>
      </w:tr>
      <w:tr w:rsidR="00F8631B" w:rsidRPr="00712F3C" w14:paraId="6BE4F9E1"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5D837193" w14:textId="77777777" w:rsidR="00F8631B" w:rsidRPr="00712F3C" w:rsidRDefault="00F8631B" w:rsidP="00250DAC">
            <w:pPr>
              <w:pStyle w:val="Default"/>
              <w:contextualSpacing/>
              <w:jc w:val="both"/>
              <w:rPr>
                <w:sz w:val="20"/>
                <w:szCs w:val="20"/>
              </w:rPr>
            </w:pPr>
            <w:r w:rsidRPr="00712F3C">
              <w:rPr>
                <w:sz w:val="20"/>
                <w:szCs w:val="20"/>
              </w:rPr>
              <w:t>UPI PIN</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16A8FC55" w14:textId="77777777" w:rsidR="00F8631B" w:rsidRPr="00712F3C" w:rsidRDefault="00F8631B" w:rsidP="00250DAC">
            <w:pPr>
              <w:pStyle w:val="Default"/>
              <w:contextualSpacing/>
              <w:jc w:val="both"/>
              <w:rPr>
                <w:sz w:val="20"/>
                <w:szCs w:val="20"/>
              </w:rPr>
            </w:pPr>
            <w:r w:rsidRPr="00712F3C">
              <w:rPr>
                <w:sz w:val="20"/>
                <w:szCs w:val="20"/>
              </w:rPr>
              <w:t>Password to authenticate UPI transaction</w:t>
            </w:r>
          </w:p>
        </w:tc>
      </w:tr>
      <w:tr w:rsidR="00F8631B" w:rsidRPr="00712F3C" w14:paraId="2CFACA8F"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4A5324FF" w14:textId="77777777" w:rsidR="00F8631B" w:rsidRPr="00712F3C" w:rsidRDefault="00F8631B" w:rsidP="00250DAC">
            <w:pPr>
              <w:pStyle w:val="Default"/>
              <w:contextualSpacing/>
              <w:jc w:val="both"/>
              <w:rPr>
                <w:sz w:val="20"/>
                <w:szCs w:val="20"/>
              </w:rPr>
            </w:pPr>
            <w:r w:rsidRPr="00712F3C">
              <w:rPr>
                <w:sz w:val="20"/>
                <w:szCs w:val="20"/>
              </w:rPr>
              <w:t>Venture Capital Fund/ VCF</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72BF3901" w14:textId="77777777" w:rsidR="00F8631B" w:rsidRPr="00712F3C" w:rsidRDefault="00F8631B" w:rsidP="00250DAC">
            <w:pPr>
              <w:pStyle w:val="Default"/>
              <w:contextualSpacing/>
              <w:jc w:val="both"/>
              <w:rPr>
                <w:sz w:val="20"/>
                <w:szCs w:val="20"/>
              </w:rPr>
            </w:pPr>
            <w:r w:rsidRPr="00712F3C">
              <w:rPr>
                <w:sz w:val="20"/>
                <w:szCs w:val="20"/>
              </w:rPr>
              <w:t>Foreign Venture Capital Funds (as defined under the Securities and Exchange Board of India (Venture Capital Funds) Regulations, 1996) registered with SEBI under applicable laws in India.</w:t>
            </w:r>
          </w:p>
        </w:tc>
      </w:tr>
      <w:tr w:rsidR="00F8631B" w:rsidRPr="00712F3C" w14:paraId="0A74AF68"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2C3998B5" w14:textId="77777777" w:rsidR="00F8631B" w:rsidRPr="00712F3C" w:rsidRDefault="00F8631B" w:rsidP="00250DAC">
            <w:pPr>
              <w:pStyle w:val="Default"/>
              <w:contextualSpacing/>
              <w:jc w:val="both"/>
              <w:rPr>
                <w:sz w:val="20"/>
                <w:szCs w:val="20"/>
              </w:rPr>
            </w:pPr>
            <w:r w:rsidRPr="00712F3C">
              <w:rPr>
                <w:sz w:val="20"/>
                <w:szCs w:val="20"/>
              </w:rPr>
              <w:t>Wilful Defaulter(s)</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38A4198B" w14:textId="77777777" w:rsidR="00F8631B" w:rsidRPr="00712F3C" w:rsidRDefault="00F8631B" w:rsidP="00250DAC">
            <w:pPr>
              <w:pStyle w:val="Default"/>
              <w:contextualSpacing/>
              <w:jc w:val="both"/>
              <w:rPr>
                <w:sz w:val="20"/>
                <w:szCs w:val="20"/>
              </w:rPr>
            </w:pPr>
            <w:r w:rsidRPr="00712F3C">
              <w:rPr>
                <w:sz w:val="20"/>
                <w:szCs w:val="20"/>
              </w:rPr>
              <w:t>Wilful defaulter as defined under Regulation 2(1)(lll) of the SEBI (ICDR) Regulations, 2018.</w:t>
            </w:r>
          </w:p>
        </w:tc>
      </w:tr>
      <w:tr w:rsidR="00F8631B" w:rsidRPr="00712F3C" w14:paraId="30820FEB" w14:textId="77777777" w:rsidTr="00250D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438" w:type="pct"/>
            <w:tcBorders>
              <w:top w:val="single" w:sz="6" w:space="0" w:color="000000"/>
              <w:left w:val="single" w:sz="6" w:space="0" w:color="000000"/>
              <w:bottom w:val="single" w:sz="6" w:space="0" w:color="000000"/>
              <w:right w:val="single" w:sz="6" w:space="0" w:color="000000"/>
            </w:tcBorders>
            <w:shd w:val="clear" w:color="auto" w:fill="auto"/>
            <w:hideMark/>
          </w:tcPr>
          <w:p w14:paraId="3979EE51" w14:textId="77777777" w:rsidR="00F8631B" w:rsidRPr="00712F3C" w:rsidRDefault="00F8631B" w:rsidP="00250DAC">
            <w:pPr>
              <w:pStyle w:val="Default"/>
              <w:contextualSpacing/>
              <w:jc w:val="both"/>
              <w:rPr>
                <w:sz w:val="20"/>
                <w:szCs w:val="20"/>
              </w:rPr>
            </w:pPr>
            <w:r w:rsidRPr="00712F3C">
              <w:rPr>
                <w:sz w:val="20"/>
                <w:szCs w:val="20"/>
              </w:rPr>
              <w:t>Working Day</w:t>
            </w:r>
          </w:p>
        </w:tc>
        <w:tc>
          <w:tcPr>
            <w:tcW w:w="3562" w:type="pct"/>
            <w:tcBorders>
              <w:top w:val="single" w:sz="6" w:space="0" w:color="000000"/>
              <w:left w:val="single" w:sz="6" w:space="0" w:color="000000"/>
              <w:bottom w:val="single" w:sz="6" w:space="0" w:color="000000"/>
              <w:right w:val="single" w:sz="6" w:space="0" w:color="000000"/>
            </w:tcBorders>
            <w:shd w:val="clear" w:color="auto" w:fill="auto"/>
            <w:hideMark/>
          </w:tcPr>
          <w:p w14:paraId="15B8627C" w14:textId="77777777" w:rsidR="00F8631B" w:rsidRPr="00712F3C" w:rsidRDefault="00F8631B" w:rsidP="00250DAC">
            <w:pPr>
              <w:pStyle w:val="Default"/>
              <w:contextualSpacing/>
              <w:jc w:val="both"/>
              <w:rPr>
                <w:sz w:val="20"/>
                <w:szCs w:val="20"/>
              </w:rPr>
            </w:pPr>
            <w:r w:rsidRPr="00712F3C">
              <w:rPr>
                <w:sz w:val="20"/>
                <w:szCs w:val="20"/>
              </w:rPr>
              <w:t xml:space="preserve">In accordance with Regulation 2(1) (mmm) of SEBI (ICDR) Regulations, 2018, working days means, all days on which commercial banks in Mumbai are open for business. </w:t>
            </w:r>
          </w:p>
          <w:p w14:paraId="5DA6E658" w14:textId="77777777" w:rsidR="00F8631B" w:rsidRPr="00712F3C" w:rsidRDefault="00F8631B" w:rsidP="00250DAC">
            <w:pPr>
              <w:pStyle w:val="Default"/>
              <w:contextualSpacing/>
              <w:jc w:val="both"/>
              <w:rPr>
                <w:sz w:val="20"/>
                <w:szCs w:val="20"/>
              </w:rPr>
            </w:pPr>
            <w:r w:rsidRPr="00712F3C">
              <w:rPr>
                <w:sz w:val="20"/>
                <w:szCs w:val="20"/>
              </w:rPr>
              <w:t>However, in respect of–</w:t>
            </w:r>
          </w:p>
          <w:p w14:paraId="66DF99C1" w14:textId="77777777" w:rsidR="00F8631B" w:rsidRPr="00712F3C" w:rsidRDefault="00F8631B" w:rsidP="00250DAC">
            <w:pPr>
              <w:pStyle w:val="Default"/>
              <w:contextualSpacing/>
              <w:jc w:val="both"/>
              <w:rPr>
                <w:sz w:val="20"/>
                <w:szCs w:val="20"/>
              </w:rPr>
            </w:pPr>
            <w:r w:rsidRPr="00712F3C">
              <w:rPr>
                <w:sz w:val="20"/>
                <w:szCs w:val="20"/>
              </w:rPr>
              <w:t>(a) announcement of Price Band; and</w:t>
            </w:r>
          </w:p>
          <w:p w14:paraId="2B1A6E83" w14:textId="77777777" w:rsidR="00F8631B" w:rsidRPr="00712F3C" w:rsidRDefault="00F8631B" w:rsidP="00250DAC">
            <w:pPr>
              <w:pStyle w:val="Default"/>
              <w:contextualSpacing/>
              <w:jc w:val="both"/>
              <w:rPr>
                <w:sz w:val="20"/>
                <w:szCs w:val="20"/>
              </w:rPr>
            </w:pPr>
            <w:r w:rsidRPr="00712F3C">
              <w:rPr>
                <w:sz w:val="20"/>
                <w:szCs w:val="20"/>
              </w:rPr>
              <w:t>(b) Issue period, working days shall mean all days, excluding Saturdays, Sundays and public holidays, on which commercial banks in Mumbai are open for business;</w:t>
            </w:r>
          </w:p>
          <w:p w14:paraId="300E528F" w14:textId="77777777" w:rsidR="00F8631B" w:rsidRPr="00712F3C" w:rsidRDefault="00F8631B" w:rsidP="00250DAC">
            <w:pPr>
              <w:pStyle w:val="Default"/>
              <w:contextualSpacing/>
              <w:jc w:val="both"/>
              <w:rPr>
                <w:sz w:val="20"/>
                <w:szCs w:val="20"/>
              </w:rPr>
            </w:pPr>
            <w:r w:rsidRPr="00712F3C">
              <w:rPr>
                <w:sz w:val="20"/>
                <w:szCs w:val="20"/>
              </w:rPr>
              <w:t>(c) the time period between the Bid/ Issue Closing Date and the listing of the Equity Shares on the Stock Exchange, working day shall mean all trading days of the Stock Exchange, excluding Sundays and bank holidays, as per circulars issued by SEBI.</w:t>
            </w:r>
          </w:p>
        </w:tc>
      </w:tr>
    </w:tbl>
    <w:p w14:paraId="08A9674B" w14:textId="77777777" w:rsidR="00F8631B" w:rsidRDefault="00F8631B" w:rsidP="00F8631B">
      <w:pPr>
        <w:spacing w:after="0" w:line="240" w:lineRule="auto"/>
        <w:jc w:val="both"/>
        <w:rPr>
          <w:rFonts w:ascii="Times New Roman" w:eastAsia="Calibri" w:hAnsi="Times New Roman"/>
          <w:b/>
          <w:bCs/>
          <w:sz w:val="20"/>
          <w:szCs w:val="20"/>
          <w:u w:val="single"/>
          <w:lang w:val="en-IN" w:bidi="en-US"/>
        </w:rPr>
      </w:pPr>
    </w:p>
    <w:p w14:paraId="65EC4F35" w14:textId="77777777" w:rsidR="00F8631B" w:rsidRPr="00712F3C" w:rsidRDefault="00F8631B" w:rsidP="00F8631B">
      <w:pPr>
        <w:spacing w:after="0" w:line="240" w:lineRule="auto"/>
        <w:jc w:val="both"/>
        <w:rPr>
          <w:rFonts w:ascii="Times New Roman" w:eastAsia="Calibri" w:hAnsi="Times New Roman"/>
          <w:b/>
          <w:bCs/>
          <w:sz w:val="20"/>
          <w:szCs w:val="20"/>
          <w:u w:val="single"/>
          <w:lang w:val="en-IN" w:bidi="en-US"/>
        </w:rPr>
      </w:pPr>
    </w:p>
    <w:p w14:paraId="35A78F7A" w14:textId="77777777" w:rsidR="00F8631B" w:rsidRPr="00712F3C" w:rsidRDefault="00F8631B" w:rsidP="00F8631B">
      <w:pPr>
        <w:spacing w:after="0" w:line="240" w:lineRule="auto"/>
        <w:jc w:val="both"/>
        <w:rPr>
          <w:rFonts w:ascii="Times New Roman" w:eastAsia="Calibri" w:hAnsi="Times New Roman"/>
          <w:b/>
          <w:bCs/>
          <w:sz w:val="20"/>
          <w:szCs w:val="20"/>
          <w:u w:val="single"/>
          <w:lang w:val="en-IN" w:bidi="en-US"/>
        </w:rPr>
      </w:pPr>
      <w:r w:rsidRPr="00712F3C">
        <w:rPr>
          <w:rFonts w:ascii="Times New Roman" w:eastAsia="Calibri" w:hAnsi="Times New Roman"/>
          <w:b/>
          <w:bCs/>
          <w:sz w:val="20"/>
          <w:szCs w:val="20"/>
          <w:u w:val="single"/>
          <w:lang w:val="en-IN" w:bidi="en-US"/>
        </w:rPr>
        <w:t>Technical and Industry Related Terms</w:t>
      </w:r>
    </w:p>
    <w:p w14:paraId="78381262" w14:textId="77777777" w:rsidR="00F8631B" w:rsidRPr="00712F3C" w:rsidRDefault="00F8631B" w:rsidP="00F8631B">
      <w:pPr>
        <w:spacing w:after="0" w:line="240" w:lineRule="auto"/>
        <w:jc w:val="both"/>
        <w:rPr>
          <w:rFonts w:ascii="Times New Roman" w:eastAsia="Calibri" w:hAnsi="Times New Roman"/>
          <w:b/>
          <w:bCs/>
          <w:sz w:val="20"/>
          <w:szCs w:val="20"/>
          <w:u w:val="single"/>
          <w:lang w:val="en-IN" w:bidi="en-US"/>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703"/>
        <w:gridCol w:w="7748"/>
      </w:tblGrid>
      <w:tr w:rsidR="00F8631B" w:rsidRPr="00712F3C" w14:paraId="6293F5C4" w14:textId="77777777" w:rsidTr="00250DAC">
        <w:trPr>
          <w:trHeight w:val="20"/>
          <w:tblHeader/>
        </w:trPr>
        <w:tc>
          <w:tcPr>
            <w:tcW w:w="1293" w:type="pct"/>
            <w:shd w:val="clear" w:color="auto" w:fill="D0CECE" w:themeFill="background2" w:themeFillShade="E6"/>
          </w:tcPr>
          <w:p w14:paraId="1A263C5B" w14:textId="77777777" w:rsidR="00F8631B" w:rsidRPr="00712F3C" w:rsidRDefault="00F8631B" w:rsidP="00250DAC">
            <w:pPr>
              <w:spacing w:after="0" w:line="240" w:lineRule="auto"/>
              <w:jc w:val="both"/>
              <w:rPr>
                <w:rFonts w:ascii="Times New Roman" w:eastAsia="MS Mincho" w:hAnsi="Times New Roman"/>
                <w:b/>
                <w:sz w:val="20"/>
                <w:szCs w:val="20"/>
              </w:rPr>
            </w:pPr>
            <w:r w:rsidRPr="00712F3C">
              <w:rPr>
                <w:rFonts w:ascii="Times New Roman" w:eastAsia="MS Mincho" w:hAnsi="Times New Roman"/>
                <w:b/>
                <w:sz w:val="20"/>
                <w:szCs w:val="20"/>
              </w:rPr>
              <w:t>Term</w:t>
            </w:r>
          </w:p>
        </w:tc>
        <w:tc>
          <w:tcPr>
            <w:tcW w:w="3707" w:type="pct"/>
            <w:shd w:val="clear" w:color="auto" w:fill="D0CECE" w:themeFill="background2" w:themeFillShade="E6"/>
          </w:tcPr>
          <w:p w14:paraId="47E6212F" w14:textId="77777777" w:rsidR="00F8631B" w:rsidRPr="00712F3C" w:rsidRDefault="00F8631B" w:rsidP="00250DAC">
            <w:pPr>
              <w:spacing w:after="0" w:line="240" w:lineRule="auto"/>
              <w:jc w:val="both"/>
              <w:rPr>
                <w:rFonts w:ascii="Times New Roman" w:eastAsia="MS Mincho" w:hAnsi="Times New Roman"/>
                <w:b/>
                <w:sz w:val="20"/>
                <w:szCs w:val="20"/>
              </w:rPr>
            </w:pPr>
            <w:r w:rsidRPr="00712F3C">
              <w:rPr>
                <w:rFonts w:ascii="Times New Roman" w:eastAsia="MS Mincho" w:hAnsi="Times New Roman"/>
                <w:b/>
                <w:sz w:val="20"/>
                <w:szCs w:val="20"/>
              </w:rPr>
              <w:t>Description</w:t>
            </w:r>
          </w:p>
        </w:tc>
      </w:tr>
      <w:tr w:rsidR="00F8631B" w:rsidRPr="00712F3C" w14:paraId="616C7AE7" w14:textId="77777777" w:rsidTr="00250DAC">
        <w:trPr>
          <w:trHeight w:val="20"/>
        </w:trPr>
        <w:tc>
          <w:tcPr>
            <w:tcW w:w="1293" w:type="pct"/>
            <w:shd w:val="clear" w:color="auto" w:fill="auto"/>
            <w:vAlign w:val="center"/>
          </w:tcPr>
          <w:p w14:paraId="61485D68" w14:textId="77777777" w:rsidR="00F8631B" w:rsidRPr="00712F3C" w:rsidRDefault="00F8631B" w:rsidP="00250DAC">
            <w:pPr>
              <w:spacing w:after="0" w:line="240" w:lineRule="auto"/>
              <w:jc w:val="both"/>
              <w:rPr>
                <w:rFonts w:ascii="Times New Roman" w:hAnsi="Times New Roman"/>
                <w:color w:val="000000"/>
                <w:sz w:val="20"/>
                <w:szCs w:val="20"/>
                <w:lang w:val="en-IN"/>
              </w:rPr>
            </w:pPr>
            <w:r w:rsidRPr="00712F3C">
              <w:rPr>
                <w:rFonts w:ascii="Times New Roman" w:hAnsi="Times New Roman"/>
                <w:color w:val="000000"/>
                <w:sz w:val="20"/>
                <w:szCs w:val="20"/>
              </w:rPr>
              <w:t>B2B</w:t>
            </w:r>
          </w:p>
        </w:tc>
        <w:tc>
          <w:tcPr>
            <w:tcW w:w="3707" w:type="pct"/>
            <w:shd w:val="clear" w:color="auto" w:fill="auto"/>
            <w:vAlign w:val="center"/>
          </w:tcPr>
          <w:p w14:paraId="30344CA1"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Business to Business</w:t>
            </w:r>
          </w:p>
        </w:tc>
      </w:tr>
      <w:tr w:rsidR="00F8631B" w:rsidRPr="00712F3C" w14:paraId="32DF2108" w14:textId="77777777" w:rsidTr="00250DAC">
        <w:trPr>
          <w:trHeight w:val="20"/>
        </w:trPr>
        <w:tc>
          <w:tcPr>
            <w:tcW w:w="1293" w:type="pct"/>
            <w:shd w:val="clear" w:color="auto" w:fill="auto"/>
            <w:vAlign w:val="center"/>
          </w:tcPr>
          <w:p w14:paraId="19B3D586"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B2C</w:t>
            </w:r>
          </w:p>
        </w:tc>
        <w:tc>
          <w:tcPr>
            <w:tcW w:w="3707" w:type="pct"/>
            <w:shd w:val="clear" w:color="auto" w:fill="auto"/>
            <w:vAlign w:val="center"/>
          </w:tcPr>
          <w:p w14:paraId="231334D9"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Business to Customer</w:t>
            </w:r>
          </w:p>
        </w:tc>
      </w:tr>
      <w:tr w:rsidR="00F8631B" w:rsidRPr="00712F3C" w14:paraId="7B8B3DEA" w14:textId="77777777" w:rsidTr="00250DAC">
        <w:trPr>
          <w:trHeight w:val="20"/>
        </w:trPr>
        <w:tc>
          <w:tcPr>
            <w:tcW w:w="1293" w:type="pct"/>
            <w:shd w:val="clear" w:color="auto" w:fill="auto"/>
            <w:vAlign w:val="center"/>
          </w:tcPr>
          <w:p w14:paraId="3502EC39"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BRIC</w:t>
            </w:r>
          </w:p>
        </w:tc>
        <w:tc>
          <w:tcPr>
            <w:tcW w:w="3707" w:type="pct"/>
            <w:shd w:val="clear" w:color="auto" w:fill="auto"/>
            <w:vAlign w:val="center"/>
          </w:tcPr>
          <w:p w14:paraId="4C2D2903"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Brazil, Russia, India, China, and South Africa</w:t>
            </w:r>
          </w:p>
        </w:tc>
      </w:tr>
      <w:tr w:rsidR="00952AF2" w:rsidRPr="00712F3C" w14:paraId="0AD7E000" w14:textId="77777777" w:rsidTr="00250DAC">
        <w:trPr>
          <w:trHeight w:val="20"/>
        </w:trPr>
        <w:tc>
          <w:tcPr>
            <w:tcW w:w="1293" w:type="pct"/>
            <w:shd w:val="clear" w:color="auto" w:fill="auto"/>
            <w:vAlign w:val="center"/>
          </w:tcPr>
          <w:p w14:paraId="7BE5D8B5" w14:textId="77777777" w:rsidR="00952AF2" w:rsidRDefault="00952AF2" w:rsidP="00250DAC">
            <w:pPr>
              <w:spacing w:after="0" w:line="240" w:lineRule="auto"/>
              <w:jc w:val="both"/>
              <w:rPr>
                <w:rFonts w:ascii="Times New Roman" w:eastAsia="Calibri" w:hAnsi="Times New Roman"/>
                <w:sz w:val="20"/>
                <w:szCs w:val="20"/>
              </w:rPr>
            </w:pPr>
            <w:r>
              <w:rPr>
                <w:rFonts w:ascii="Times New Roman" w:eastAsia="Calibri" w:hAnsi="Times New Roman"/>
                <w:sz w:val="20"/>
                <w:szCs w:val="20"/>
              </w:rPr>
              <w:t>CPVC</w:t>
            </w:r>
          </w:p>
        </w:tc>
        <w:tc>
          <w:tcPr>
            <w:tcW w:w="3707" w:type="pct"/>
            <w:shd w:val="clear" w:color="auto" w:fill="auto"/>
            <w:vAlign w:val="center"/>
          </w:tcPr>
          <w:p w14:paraId="3BB7878C" w14:textId="77777777" w:rsidR="00952AF2" w:rsidRPr="00712F3C" w:rsidRDefault="00952AF2" w:rsidP="00250DAC">
            <w:pPr>
              <w:spacing w:after="0" w:line="240" w:lineRule="auto"/>
              <w:jc w:val="both"/>
              <w:rPr>
                <w:rFonts w:ascii="Times New Roman" w:hAnsi="Times New Roman"/>
                <w:color w:val="000000"/>
                <w:sz w:val="20"/>
                <w:szCs w:val="20"/>
              </w:rPr>
            </w:pPr>
            <w:r w:rsidRPr="00771C27">
              <w:rPr>
                <w:rFonts w:ascii="Times New Roman" w:hAnsi="Times New Roman"/>
                <w:color w:val="000000"/>
                <w:sz w:val="20"/>
                <w:szCs w:val="20"/>
              </w:rPr>
              <w:t>Chlorinated Polyvinyl Chloride</w:t>
            </w:r>
          </w:p>
        </w:tc>
      </w:tr>
      <w:tr w:rsidR="00F8631B" w:rsidRPr="00712F3C" w14:paraId="4468E3B8" w14:textId="77777777" w:rsidTr="00250DAC">
        <w:trPr>
          <w:trHeight w:val="20"/>
        </w:trPr>
        <w:tc>
          <w:tcPr>
            <w:tcW w:w="1293" w:type="pct"/>
            <w:shd w:val="clear" w:color="auto" w:fill="auto"/>
            <w:vAlign w:val="center"/>
          </w:tcPr>
          <w:p w14:paraId="03E242FA"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EAP</w:t>
            </w:r>
          </w:p>
        </w:tc>
        <w:tc>
          <w:tcPr>
            <w:tcW w:w="3707" w:type="pct"/>
            <w:shd w:val="clear" w:color="auto" w:fill="auto"/>
            <w:vAlign w:val="center"/>
          </w:tcPr>
          <w:p w14:paraId="1A302785"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East Asia and Pacific</w:t>
            </w:r>
          </w:p>
        </w:tc>
      </w:tr>
      <w:tr w:rsidR="00F8631B" w:rsidRPr="00712F3C" w14:paraId="4CC0B19C" w14:textId="77777777" w:rsidTr="00250DAC">
        <w:trPr>
          <w:trHeight w:val="20"/>
        </w:trPr>
        <w:tc>
          <w:tcPr>
            <w:tcW w:w="1293" w:type="pct"/>
            <w:shd w:val="clear" w:color="auto" w:fill="auto"/>
          </w:tcPr>
          <w:p w14:paraId="06F4F1D9"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eastAsia="Calibri" w:hAnsi="Times New Roman"/>
                <w:bCs/>
                <w:sz w:val="20"/>
                <w:szCs w:val="20"/>
                <w:lang w:bidi="en-US"/>
              </w:rPr>
              <w:t>EBITDA</w:t>
            </w:r>
          </w:p>
        </w:tc>
        <w:tc>
          <w:tcPr>
            <w:tcW w:w="3707" w:type="pct"/>
            <w:shd w:val="clear" w:color="auto" w:fill="auto"/>
          </w:tcPr>
          <w:p w14:paraId="7DEEC9CD"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eastAsia="Calibri" w:hAnsi="Times New Roman"/>
                <w:bCs/>
                <w:sz w:val="20"/>
                <w:szCs w:val="20"/>
                <w:lang w:bidi="en-US"/>
              </w:rPr>
              <w:t xml:space="preserve">EBITDA is calculated as Profit before tax + Depreciation + Interest Expenses - Other Income </w:t>
            </w:r>
          </w:p>
        </w:tc>
      </w:tr>
      <w:tr w:rsidR="00F8631B" w:rsidRPr="00712F3C" w14:paraId="25457B1E" w14:textId="77777777" w:rsidTr="00250DAC">
        <w:trPr>
          <w:trHeight w:val="20"/>
        </w:trPr>
        <w:tc>
          <w:tcPr>
            <w:tcW w:w="1293" w:type="pct"/>
            <w:shd w:val="clear" w:color="auto" w:fill="auto"/>
          </w:tcPr>
          <w:p w14:paraId="176A9C7E"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eastAsia="Calibri" w:hAnsi="Times New Roman"/>
                <w:bCs/>
                <w:sz w:val="20"/>
                <w:szCs w:val="20"/>
                <w:lang w:bidi="en-US"/>
              </w:rPr>
              <w:t>EBITDA Margin</w:t>
            </w:r>
          </w:p>
        </w:tc>
        <w:tc>
          <w:tcPr>
            <w:tcW w:w="3707" w:type="pct"/>
            <w:shd w:val="clear" w:color="auto" w:fill="auto"/>
          </w:tcPr>
          <w:p w14:paraId="70025A0C"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eastAsia="Calibri" w:hAnsi="Times New Roman"/>
                <w:bCs/>
                <w:sz w:val="20"/>
                <w:szCs w:val="20"/>
                <w:lang w:bidi="en-US"/>
              </w:rPr>
              <w:t>EBITDA Margin’ is calculated as EBITDA divided by Revenue from Operations</w:t>
            </w:r>
          </w:p>
        </w:tc>
      </w:tr>
      <w:tr w:rsidR="00F8631B" w:rsidRPr="00712F3C" w14:paraId="42A934FA" w14:textId="77777777" w:rsidTr="00250DAC">
        <w:trPr>
          <w:trHeight w:val="20"/>
        </w:trPr>
        <w:tc>
          <w:tcPr>
            <w:tcW w:w="1293" w:type="pct"/>
            <w:shd w:val="clear" w:color="auto" w:fill="auto"/>
            <w:vAlign w:val="center"/>
          </w:tcPr>
          <w:p w14:paraId="7590F201"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ECA</w:t>
            </w:r>
          </w:p>
        </w:tc>
        <w:tc>
          <w:tcPr>
            <w:tcW w:w="3707" w:type="pct"/>
            <w:shd w:val="clear" w:color="auto" w:fill="auto"/>
            <w:vAlign w:val="center"/>
          </w:tcPr>
          <w:p w14:paraId="54A114D6"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Europe and Central Asia</w:t>
            </w:r>
          </w:p>
        </w:tc>
      </w:tr>
      <w:tr w:rsidR="00F8631B" w:rsidRPr="00712F3C" w14:paraId="71ED202F" w14:textId="77777777" w:rsidTr="00250DAC">
        <w:trPr>
          <w:trHeight w:val="20"/>
        </w:trPr>
        <w:tc>
          <w:tcPr>
            <w:tcW w:w="1293" w:type="pct"/>
            <w:shd w:val="clear" w:color="auto" w:fill="auto"/>
            <w:vAlign w:val="center"/>
          </w:tcPr>
          <w:p w14:paraId="70622F7D"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EMDE</w:t>
            </w:r>
          </w:p>
        </w:tc>
        <w:tc>
          <w:tcPr>
            <w:tcW w:w="3707" w:type="pct"/>
            <w:shd w:val="clear" w:color="auto" w:fill="auto"/>
            <w:vAlign w:val="center"/>
          </w:tcPr>
          <w:p w14:paraId="01C4B1FE"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Emerging Market and Developing Economies</w:t>
            </w:r>
          </w:p>
        </w:tc>
      </w:tr>
      <w:tr w:rsidR="00F8631B" w:rsidRPr="00712F3C" w14:paraId="3E02714A" w14:textId="77777777" w:rsidTr="00250DAC">
        <w:trPr>
          <w:trHeight w:val="20"/>
        </w:trPr>
        <w:tc>
          <w:tcPr>
            <w:tcW w:w="1293" w:type="pct"/>
            <w:shd w:val="clear" w:color="auto" w:fill="auto"/>
            <w:vAlign w:val="center"/>
          </w:tcPr>
          <w:p w14:paraId="30F88CC9"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FIDE</w:t>
            </w:r>
          </w:p>
        </w:tc>
        <w:tc>
          <w:tcPr>
            <w:tcW w:w="3707" w:type="pct"/>
            <w:shd w:val="clear" w:color="auto" w:fill="auto"/>
            <w:vAlign w:val="center"/>
          </w:tcPr>
          <w:p w14:paraId="4A3DC02E"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International Chess Federation</w:t>
            </w:r>
          </w:p>
        </w:tc>
      </w:tr>
      <w:tr w:rsidR="00F8631B" w:rsidRPr="00712F3C" w14:paraId="218B6877" w14:textId="77777777" w:rsidTr="00250DAC">
        <w:trPr>
          <w:trHeight w:val="20"/>
        </w:trPr>
        <w:tc>
          <w:tcPr>
            <w:tcW w:w="1293" w:type="pct"/>
            <w:shd w:val="clear" w:color="auto" w:fill="auto"/>
            <w:vAlign w:val="center"/>
          </w:tcPr>
          <w:p w14:paraId="7EC0EFC8"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FPI</w:t>
            </w:r>
          </w:p>
        </w:tc>
        <w:tc>
          <w:tcPr>
            <w:tcW w:w="3707" w:type="pct"/>
            <w:shd w:val="clear" w:color="auto" w:fill="auto"/>
            <w:vAlign w:val="center"/>
          </w:tcPr>
          <w:p w14:paraId="4ABBCBEF"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Foreign Portfolio Investment</w:t>
            </w:r>
          </w:p>
        </w:tc>
      </w:tr>
      <w:tr w:rsidR="00F8631B" w:rsidRPr="00712F3C" w14:paraId="42CC18C0" w14:textId="77777777" w:rsidTr="00250DAC">
        <w:trPr>
          <w:trHeight w:val="20"/>
        </w:trPr>
        <w:tc>
          <w:tcPr>
            <w:tcW w:w="1293" w:type="pct"/>
            <w:shd w:val="clear" w:color="auto" w:fill="auto"/>
            <w:vAlign w:val="center"/>
          </w:tcPr>
          <w:p w14:paraId="7C33727F"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ICAR</w:t>
            </w:r>
          </w:p>
        </w:tc>
        <w:tc>
          <w:tcPr>
            <w:tcW w:w="3707" w:type="pct"/>
            <w:shd w:val="clear" w:color="auto" w:fill="auto"/>
            <w:vAlign w:val="center"/>
          </w:tcPr>
          <w:p w14:paraId="5CBC6719"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Indian Council of Agricultural Research</w:t>
            </w:r>
          </w:p>
        </w:tc>
      </w:tr>
      <w:tr w:rsidR="00F8631B" w:rsidRPr="00712F3C" w14:paraId="3713D53B" w14:textId="77777777" w:rsidTr="00250DAC">
        <w:trPr>
          <w:trHeight w:val="20"/>
        </w:trPr>
        <w:tc>
          <w:tcPr>
            <w:tcW w:w="1293" w:type="pct"/>
            <w:shd w:val="clear" w:color="auto" w:fill="auto"/>
            <w:vAlign w:val="center"/>
          </w:tcPr>
          <w:p w14:paraId="04A156F4"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IISF</w:t>
            </w:r>
          </w:p>
        </w:tc>
        <w:tc>
          <w:tcPr>
            <w:tcW w:w="3707" w:type="pct"/>
            <w:shd w:val="clear" w:color="auto" w:fill="auto"/>
            <w:vAlign w:val="center"/>
          </w:tcPr>
          <w:p w14:paraId="3C918E7B"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India International Science Festival</w:t>
            </w:r>
          </w:p>
        </w:tc>
      </w:tr>
      <w:tr w:rsidR="00F8631B" w:rsidRPr="00712F3C" w14:paraId="06E46B14" w14:textId="77777777" w:rsidTr="00250DAC">
        <w:trPr>
          <w:trHeight w:val="20"/>
        </w:trPr>
        <w:tc>
          <w:tcPr>
            <w:tcW w:w="1293" w:type="pct"/>
            <w:shd w:val="clear" w:color="auto" w:fill="auto"/>
            <w:vAlign w:val="center"/>
          </w:tcPr>
          <w:p w14:paraId="0EE81C64"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IPQC</w:t>
            </w:r>
          </w:p>
        </w:tc>
        <w:tc>
          <w:tcPr>
            <w:tcW w:w="3707" w:type="pct"/>
            <w:shd w:val="clear" w:color="auto" w:fill="auto"/>
            <w:vAlign w:val="center"/>
          </w:tcPr>
          <w:p w14:paraId="7995E7A4"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In Process Quality Control</w:t>
            </w:r>
          </w:p>
        </w:tc>
      </w:tr>
      <w:tr w:rsidR="00F8631B" w:rsidRPr="00712F3C" w14:paraId="7721902D" w14:textId="77777777" w:rsidTr="00250DAC">
        <w:trPr>
          <w:trHeight w:val="20"/>
        </w:trPr>
        <w:tc>
          <w:tcPr>
            <w:tcW w:w="1293" w:type="pct"/>
            <w:shd w:val="clear" w:color="auto" w:fill="auto"/>
            <w:vAlign w:val="center"/>
          </w:tcPr>
          <w:p w14:paraId="03EC9258"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IPR</w:t>
            </w:r>
          </w:p>
        </w:tc>
        <w:tc>
          <w:tcPr>
            <w:tcW w:w="3707" w:type="pct"/>
            <w:shd w:val="clear" w:color="auto" w:fill="auto"/>
            <w:vAlign w:val="center"/>
          </w:tcPr>
          <w:p w14:paraId="25B6F6AA"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Intellectual Property Rights</w:t>
            </w:r>
          </w:p>
        </w:tc>
      </w:tr>
      <w:tr w:rsidR="00F8631B" w:rsidRPr="00712F3C" w14:paraId="4ABC8127" w14:textId="77777777" w:rsidTr="00250DAC">
        <w:trPr>
          <w:trHeight w:val="20"/>
        </w:trPr>
        <w:tc>
          <w:tcPr>
            <w:tcW w:w="1293" w:type="pct"/>
            <w:shd w:val="clear" w:color="auto" w:fill="auto"/>
            <w:vAlign w:val="center"/>
          </w:tcPr>
          <w:p w14:paraId="5DA505EF"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IT</w:t>
            </w:r>
          </w:p>
        </w:tc>
        <w:tc>
          <w:tcPr>
            <w:tcW w:w="3707" w:type="pct"/>
            <w:shd w:val="clear" w:color="auto" w:fill="auto"/>
            <w:vAlign w:val="center"/>
          </w:tcPr>
          <w:p w14:paraId="1EE177C5"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Information Technology</w:t>
            </w:r>
          </w:p>
        </w:tc>
      </w:tr>
      <w:tr w:rsidR="00F8631B" w:rsidRPr="00712F3C" w14:paraId="70BFEB4C" w14:textId="77777777" w:rsidTr="00250DAC">
        <w:trPr>
          <w:trHeight w:val="20"/>
        </w:trPr>
        <w:tc>
          <w:tcPr>
            <w:tcW w:w="1293" w:type="pct"/>
            <w:shd w:val="clear" w:color="auto" w:fill="auto"/>
            <w:vAlign w:val="center"/>
          </w:tcPr>
          <w:p w14:paraId="3CB3A509"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KVA</w:t>
            </w:r>
          </w:p>
        </w:tc>
        <w:tc>
          <w:tcPr>
            <w:tcW w:w="3707" w:type="pct"/>
            <w:shd w:val="clear" w:color="auto" w:fill="auto"/>
            <w:vAlign w:val="center"/>
          </w:tcPr>
          <w:p w14:paraId="52CF2B60"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Kilo voltage</w:t>
            </w:r>
          </w:p>
        </w:tc>
      </w:tr>
      <w:tr w:rsidR="00F8631B" w:rsidRPr="00712F3C" w14:paraId="476F6817" w14:textId="77777777" w:rsidTr="00250DAC">
        <w:trPr>
          <w:trHeight w:val="20"/>
        </w:trPr>
        <w:tc>
          <w:tcPr>
            <w:tcW w:w="1293" w:type="pct"/>
            <w:shd w:val="clear" w:color="auto" w:fill="auto"/>
            <w:vAlign w:val="center"/>
          </w:tcPr>
          <w:p w14:paraId="0DB2B242"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KWH</w:t>
            </w:r>
          </w:p>
        </w:tc>
        <w:tc>
          <w:tcPr>
            <w:tcW w:w="3707" w:type="pct"/>
            <w:shd w:val="clear" w:color="auto" w:fill="auto"/>
            <w:vAlign w:val="center"/>
          </w:tcPr>
          <w:p w14:paraId="1B6D33F8"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Kilowatt-hour</w:t>
            </w:r>
          </w:p>
        </w:tc>
      </w:tr>
      <w:tr w:rsidR="00F8631B" w:rsidRPr="00712F3C" w14:paraId="1944FBFC" w14:textId="77777777" w:rsidTr="00250DAC">
        <w:trPr>
          <w:trHeight w:val="20"/>
        </w:trPr>
        <w:tc>
          <w:tcPr>
            <w:tcW w:w="1293" w:type="pct"/>
            <w:shd w:val="clear" w:color="auto" w:fill="auto"/>
            <w:vAlign w:val="center"/>
          </w:tcPr>
          <w:p w14:paraId="17F920A3"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LAC</w:t>
            </w:r>
          </w:p>
        </w:tc>
        <w:tc>
          <w:tcPr>
            <w:tcW w:w="3707" w:type="pct"/>
            <w:shd w:val="clear" w:color="auto" w:fill="auto"/>
            <w:vAlign w:val="center"/>
          </w:tcPr>
          <w:p w14:paraId="4B65BE5E"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Latin America and the Caribbean</w:t>
            </w:r>
          </w:p>
        </w:tc>
      </w:tr>
      <w:tr w:rsidR="00F8631B" w:rsidRPr="00712F3C" w14:paraId="5813C1C3" w14:textId="77777777" w:rsidTr="00250DAC">
        <w:trPr>
          <w:trHeight w:val="20"/>
        </w:trPr>
        <w:tc>
          <w:tcPr>
            <w:tcW w:w="1293" w:type="pct"/>
            <w:shd w:val="clear" w:color="auto" w:fill="auto"/>
            <w:vAlign w:val="center"/>
          </w:tcPr>
          <w:p w14:paraId="0683B23D"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LIC</w:t>
            </w:r>
          </w:p>
        </w:tc>
        <w:tc>
          <w:tcPr>
            <w:tcW w:w="3707" w:type="pct"/>
            <w:shd w:val="clear" w:color="auto" w:fill="auto"/>
            <w:vAlign w:val="center"/>
          </w:tcPr>
          <w:p w14:paraId="055990C6"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Low-income countries</w:t>
            </w:r>
          </w:p>
        </w:tc>
      </w:tr>
      <w:tr w:rsidR="00F8631B" w:rsidRPr="00712F3C" w14:paraId="0A59AA50" w14:textId="77777777" w:rsidTr="00250DAC">
        <w:trPr>
          <w:trHeight w:val="20"/>
        </w:trPr>
        <w:tc>
          <w:tcPr>
            <w:tcW w:w="1293" w:type="pct"/>
            <w:shd w:val="clear" w:color="auto" w:fill="auto"/>
            <w:vAlign w:val="center"/>
          </w:tcPr>
          <w:p w14:paraId="08FD3AC6"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LMT</w:t>
            </w:r>
          </w:p>
        </w:tc>
        <w:tc>
          <w:tcPr>
            <w:tcW w:w="3707" w:type="pct"/>
            <w:shd w:val="clear" w:color="auto" w:fill="auto"/>
            <w:vAlign w:val="center"/>
          </w:tcPr>
          <w:p w14:paraId="75C464BD"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Lakh Metric Tonnes</w:t>
            </w:r>
          </w:p>
        </w:tc>
      </w:tr>
      <w:tr w:rsidR="00F8631B" w:rsidRPr="00712F3C" w14:paraId="7E6DF922" w14:textId="77777777" w:rsidTr="00250DAC">
        <w:trPr>
          <w:trHeight w:val="20"/>
        </w:trPr>
        <w:tc>
          <w:tcPr>
            <w:tcW w:w="1293" w:type="pct"/>
            <w:shd w:val="clear" w:color="auto" w:fill="auto"/>
            <w:vAlign w:val="center"/>
          </w:tcPr>
          <w:p w14:paraId="2CE77816"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MN</w:t>
            </w:r>
          </w:p>
        </w:tc>
        <w:tc>
          <w:tcPr>
            <w:tcW w:w="3707" w:type="pct"/>
            <w:shd w:val="clear" w:color="auto" w:fill="auto"/>
            <w:vAlign w:val="center"/>
          </w:tcPr>
          <w:p w14:paraId="46F6A03C"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Million</w:t>
            </w:r>
          </w:p>
        </w:tc>
      </w:tr>
      <w:tr w:rsidR="00F8631B" w:rsidRPr="00712F3C" w14:paraId="391F6D95" w14:textId="77777777" w:rsidTr="00250DAC">
        <w:trPr>
          <w:trHeight w:val="20"/>
        </w:trPr>
        <w:tc>
          <w:tcPr>
            <w:tcW w:w="1293" w:type="pct"/>
            <w:shd w:val="clear" w:color="auto" w:fill="auto"/>
            <w:vAlign w:val="center"/>
          </w:tcPr>
          <w:p w14:paraId="5BFB774C"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MNA/MENA</w:t>
            </w:r>
          </w:p>
        </w:tc>
        <w:tc>
          <w:tcPr>
            <w:tcW w:w="3707" w:type="pct"/>
            <w:shd w:val="clear" w:color="auto" w:fill="auto"/>
            <w:vAlign w:val="center"/>
          </w:tcPr>
          <w:p w14:paraId="591C98D1"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Middle East and North Africa</w:t>
            </w:r>
          </w:p>
        </w:tc>
      </w:tr>
      <w:tr w:rsidR="00F8631B" w:rsidRPr="00712F3C" w14:paraId="145458FE" w14:textId="77777777" w:rsidTr="00250DAC">
        <w:trPr>
          <w:trHeight w:val="20"/>
        </w:trPr>
        <w:tc>
          <w:tcPr>
            <w:tcW w:w="1293" w:type="pct"/>
            <w:shd w:val="clear" w:color="auto" w:fill="auto"/>
            <w:vAlign w:val="center"/>
          </w:tcPr>
          <w:p w14:paraId="05BBB6F0"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MoSPI</w:t>
            </w:r>
          </w:p>
        </w:tc>
        <w:tc>
          <w:tcPr>
            <w:tcW w:w="3707" w:type="pct"/>
            <w:shd w:val="clear" w:color="auto" w:fill="auto"/>
            <w:vAlign w:val="center"/>
          </w:tcPr>
          <w:p w14:paraId="0D65C572"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Ministry of Statistics &amp; Programme Implementation</w:t>
            </w:r>
          </w:p>
        </w:tc>
      </w:tr>
      <w:tr w:rsidR="00F8631B" w:rsidRPr="00712F3C" w14:paraId="41655A9F" w14:textId="77777777" w:rsidTr="00250DAC">
        <w:trPr>
          <w:trHeight w:val="20"/>
        </w:trPr>
        <w:tc>
          <w:tcPr>
            <w:tcW w:w="1293" w:type="pct"/>
            <w:shd w:val="clear" w:color="auto" w:fill="auto"/>
            <w:vAlign w:val="center"/>
          </w:tcPr>
          <w:p w14:paraId="02E6D30E"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MT</w:t>
            </w:r>
          </w:p>
        </w:tc>
        <w:tc>
          <w:tcPr>
            <w:tcW w:w="3707" w:type="pct"/>
            <w:shd w:val="clear" w:color="auto" w:fill="auto"/>
            <w:vAlign w:val="center"/>
          </w:tcPr>
          <w:p w14:paraId="6C3B7E33"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Metric Ton</w:t>
            </w:r>
          </w:p>
        </w:tc>
      </w:tr>
      <w:tr w:rsidR="00F8631B" w:rsidRPr="00712F3C" w14:paraId="7C4B73FB" w14:textId="77777777" w:rsidTr="00250DAC">
        <w:trPr>
          <w:trHeight w:val="20"/>
        </w:trPr>
        <w:tc>
          <w:tcPr>
            <w:tcW w:w="1293" w:type="pct"/>
            <w:shd w:val="clear" w:color="auto" w:fill="auto"/>
            <w:vAlign w:val="center"/>
          </w:tcPr>
          <w:p w14:paraId="68526C7C"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OTDC</w:t>
            </w:r>
          </w:p>
        </w:tc>
        <w:tc>
          <w:tcPr>
            <w:tcW w:w="3707" w:type="pct"/>
            <w:shd w:val="clear" w:color="auto" w:fill="auto"/>
            <w:vAlign w:val="center"/>
          </w:tcPr>
          <w:p w14:paraId="3D18D260"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Odisha Tourism Development Corporation</w:t>
            </w:r>
          </w:p>
        </w:tc>
      </w:tr>
      <w:tr w:rsidR="00F8631B" w:rsidRPr="00712F3C" w14:paraId="2934828F" w14:textId="77777777" w:rsidTr="00250DAC">
        <w:trPr>
          <w:trHeight w:val="20"/>
        </w:trPr>
        <w:tc>
          <w:tcPr>
            <w:tcW w:w="1293" w:type="pct"/>
            <w:shd w:val="clear" w:color="auto" w:fill="auto"/>
          </w:tcPr>
          <w:p w14:paraId="75AD4C7B"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sz w:val="20"/>
                <w:szCs w:val="20"/>
              </w:rPr>
              <w:t>PAT</w:t>
            </w:r>
          </w:p>
        </w:tc>
        <w:tc>
          <w:tcPr>
            <w:tcW w:w="3707" w:type="pct"/>
            <w:shd w:val="clear" w:color="auto" w:fill="auto"/>
          </w:tcPr>
          <w:p w14:paraId="145C04E5"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noProof/>
                <w:sz w:val="20"/>
                <w:szCs w:val="20"/>
              </w:rPr>
              <w:t>PAT is calculated as Profit before tax – Tax Expenses</w:t>
            </w:r>
          </w:p>
        </w:tc>
      </w:tr>
      <w:tr w:rsidR="00F8631B" w:rsidRPr="00712F3C" w14:paraId="4EC389B4" w14:textId="77777777" w:rsidTr="00250DAC">
        <w:trPr>
          <w:trHeight w:val="20"/>
        </w:trPr>
        <w:tc>
          <w:tcPr>
            <w:tcW w:w="1293" w:type="pct"/>
            <w:shd w:val="clear" w:color="auto" w:fill="auto"/>
          </w:tcPr>
          <w:p w14:paraId="5E8178B8"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noProof/>
                <w:sz w:val="20"/>
                <w:szCs w:val="20"/>
              </w:rPr>
              <w:t>PAT Margin</w:t>
            </w:r>
          </w:p>
        </w:tc>
        <w:tc>
          <w:tcPr>
            <w:tcW w:w="3707" w:type="pct"/>
            <w:shd w:val="clear" w:color="auto" w:fill="auto"/>
          </w:tcPr>
          <w:p w14:paraId="280123B4"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noProof/>
                <w:sz w:val="20"/>
                <w:szCs w:val="20"/>
              </w:rPr>
              <w:t>PAT Margin is calculated as PAT for the period/year divided by Revenue from Operations</w:t>
            </w:r>
          </w:p>
        </w:tc>
      </w:tr>
      <w:tr w:rsidR="00F8631B" w:rsidRPr="00712F3C" w14:paraId="3F87D555" w14:textId="77777777" w:rsidTr="00250DAC">
        <w:trPr>
          <w:trHeight w:val="20"/>
        </w:trPr>
        <w:tc>
          <w:tcPr>
            <w:tcW w:w="1293" w:type="pct"/>
            <w:shd w:val="clear" w:color="auto" w:fill="auto"/>
            <w:vAlign w:val="center"/>
          </w:tcPr>
          <w:p w14:paraId="3E86AC03"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P &amp; M</w:t>
            </w:r>
          </w:p>
        </w:tc>
        <w:tc>
          <w:tcPr>
            <w:tcW w:w="3707" w:type="pct"/>
            <w:shd w:val="clear" w:color="auto" w:fill="auto"/>
            <w:vAlign w:val="center"/>
          </w:tcPr>
          <w:p w14:paraId="4F81BEF6"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Plant and Machinery</w:t>
            </w:r>
          </w:p>
        </w:tc>
      </w:tr>
      <w:tr w:rsidR="00952AF2" w:rsidRPr="00712F3C" w14:paraId="58047469" w14:textId="77777777" w:rsidTr="00250DAC">
        <w:trPr>
          <w:trHeight w:val="20"/>
        </w:trPr>
        <w:tc>
          <w:tcPr>
            <w:tcW w:w="1293" w:type="pct"/>
            <w:shd w:val="clear" w:color="auto" w:fill="auto"/>
            <w:vAlign w:val="center"/>
          </w:tcPr>
          <w:p w14:paraId="5DFF1378" w14:textId="77777777" w:rsidR="00952AF2" w:rsidRPr="00712F3C" w:rsidRDefault="00952AF2" w:rsidP="00250DAC">
            <w:pPr>
              <w:spacing w:after="0" w:line="240" w:lineRule="auto"/>
              <w:jc w:val="both"/>
              <w:rPr>
                <w:rFonts w:ascii="Times New Roman" w:hAnsi="Times New Roman"/>
                <w:color w:val="000000"/>
                <w:sz w:val="20"/>
                <w:szCs w:val="20"/>
              </w:rPr>
            </w:pPr>
            <w:r>
              <w:rPr>
                <w:rFonts w:ascii="Times New Roman" w:eastAsia="Calibri" w:hAnsi="Times New Roman"/>
                <w:sz w:val="20"/>
                <w:szCs w:val="20"/>
              </w:rPr>
              <w:t>PPR</w:t>
            </w:r>
          </w:p>
        </w:tc>
        <w:tc>
          <w:tcPr>
            <w:tcW w:w="3707" w:type="pct"/>
            <w:shd w:val="clear" w:color="auto" w:fill="auto"/>
            <w:vAlign w:val="center"/>
          </w:tcPr>
          <w:p w14:paraId="1D9AD5B0" w14:textId="77777777" w:rsidR="00952AF2" w:rsidRPr="00712F3C" w:rsidRDefault="00952AF2" w:rsidP="00250DAC">
            <w:pPr>
              <w:spacing w:after="0" w:line="240" w:lineRule="auto"/>
              <w:jc w:val="both"/>
              <w:rPr>
                <w:rFonts w:ascii="Times New Roman" w:hAnsi="Times New Roman"/>
                <w:color w:val="000000"/>
                <w:sz w:val="20"/>
                <w:szCs w:val="20"/>
              </w:rPr>
            </w:pPr>
            <w:r w:rsidRPr="00771C27">
              <w:rPr>
                <w:rFonts w:ascii="Times New Roman" w:hAnsi="Times New Roman"/>
                <w:color w:val="000000"/>
                <w:sz w:val="20"/>
                <w:szCs w:val="20"/>
              </w:rPr>
              <w:t>Polypropylene Random</w:t>
            </w:r>
          </w:p>
        </w:tc>
      </w:tr>
      <w:tr w:rsidR="00F8631B" w:rsidRPr="00712F3C" w14:paraId="02724429" w14:textId="77777777" w:rsidTr="00250DAC">
        <w:trPr>
          <w:trHeight w:val="20"/>
        </w:trPr>
        <w:tc>
          <w:tcPr>
            <w:tcW w:w="1293" w:type="pct"/>
            <w:shd w:val="clear" w:color="auto" w:fill="auto"/>
            <w:vAlign w:val="center"/>
          </w:tcPr>
          <w:p w14:paraId="2AB4FEC9"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QA</w:t>
            </w:r>
          </w:p>
        </w:tc>
        <w:tc>
          <w:tcPr>
            <w:tcW w:w="3707" w:type="pct"/>
            <w:shd w:val="clear" w:color="auto" w:fill="auto"/>
            <w:vAlign w:val="center"/>
          </w:tcPr>
          <w:p w14:paraId="7C9F32F1"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Quality Assurance</w:t>
            </w:r>
          </w:p>
        </w:tc>
      </w:tr>
      <w:tr w:rsidR="00F8631B" w:rsidRPr="00712F3C" w14:paraId="2A81E19B" w14:textId="77777777" w:rsidTr="00250DAC">
        <w:trPr>
          <w:trHeight w:val="20"/>
        </w:trPr>
        <w:tc>
          <w:tcPr>
            <w:tcW w:w="1293" w:type="pct"/>
            <w:shd w:val="clear" w:color="auto" w:fill="auto"/>
            <w:vAlign w:val="center"/>
          </w:tcPr>
          <w:p w14:paraId="74AD8F11"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QC</w:t>
            </w:r>
          </w:p>
        </w:tc>
        <w:tc>
          <w:tcPr>
            <w:tcW w:w="3707" w:type="pct"/>
            <w:shd w:val="clear" w:color="auto" w:fill="auto"/>
            <w:vAlign w:val="center"/>
          </w:tcPr>
          <w:p w14:paraId="41566588"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Quality Control</w:t>
            </w:r>
          </w:p>
        </w:tc>
      </w:tr>
      <w:tr w:rsidR="00F8631B" w:rsidRPr="00712F3C" w14:paraId="02E0940B" w14:textId="77777777" w:rsidTr="00250DAC">
        <w:trPr>
          <w:trHeight w:val="20"/>
        </w:trPr>
        <w:tc>
          <w:tcPr>
            <w:tcW w:w="1293" w:type="pct"/>
            <w:shd w:val="clear" w:color="auto" w:fill="auto"/>
            <w:vAlign w:val="center"/>
          </w:tcPr>
          <w:p w14:paraId="53B8D0EC"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R&amp;D</w:t>
            </w:r>
          </w:p>
        </w:tc>
        <w:tc>
          <w:tcPr>
            <w:tcW w:w="3707" w:type="pct"/>
            <w:shd w:val="clear" w:color="auto" w:fill="auto"/>
            <w:vAlign w:val="center"/>
          </w:tcPr>
          <w:p w14:paraId="7433D0DD"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Research and development</w:t>
            </w:r>
          </w:p>
        </w:tc>
      </w:tr>
      <w:tr w:rsidR="00F8631B" w:rsidRPr="00712F3C" w14:paraId="6A3B9F52" w14:textId="77777777" w:rsidTr="00250DAC">
        <w:trPr>
          <w:trHeight w:val="20"/>
        </w:trPr>
        <w:tc>
          <w:tcPr>
            <w:tcW w:w="1293" w:type="pct"/>
            <w:shd w:val="clear" w:color="auto" w:fill="auto"/>
          </w:tcPr>
          <w:p w14:paraId="7C9C10E1"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eastAsia="MS Mincho" w:hAnsi="Times New Roman"/>
                <w:color w:val="000000"/>
                <w:sz w:val="20"/>
                <w:szCs w:val="20"/>
              </w:rPr>
              <w:t>Revenue from operations</w:t>
            </w:r>
          </w:p>
        </w:tc>
        <w:tc>
          <w:tcPr>
            <w:tcW w:w="3707" w:type="pct"/>
            <w:shd w:val="clear" w:color="auto" w:fill="auto"/>
          </w:tcPr>
          <w:p w14:paraId="0A40925D"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eastAsia="MS Mincho" w:hAnsi="Times New Roman"/>
                <w:color w:val="000000"/>
                <w:sz w:val="20"/>
                <w:szCs w:val="20"/>
              </w:rPr>
              <w:t>Revenue from operations is the total revenue generated by our Company from the sale of products</w:t>
            </w:r>
          </w:p>
        </w:tc>
      </w:tr>
      <w:tr w:rsidR="00F8631B" w:rsidRPr="00712F3C" w14:paraId="157AB032" w14:textId="77777777" w:rsidTr="00250DAC">
        <w:trPr>
          <w:trHeight w:val="20"/>
        </w:trPr>
        <w:tc>
          <w:tcPr>
            <w:tcW w:w="1293" w:type="pct"/>
            <w:shd w:val="clear" w:color="auto" w:fill="auto"/>
          </w:tcPr>
          <w:p w14:paraId="0C5C0D12"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sz w:val="20"/>
                <w:szCs w:val="20"/>
              </w:rPr>
              <w:t>Return on Capital Employed</w:t>
            </w:r>
          </w:p>
        </w:tc>
        <w:tc>
          <w:tcPr>
            <w:tcW w:w="3707" w:type="pct"/>
            <w:shd w:val="clear" w:color="auto" w:fill="auto"/>
          </w:tcPr>
          <w:p w14:paraId="426E1DD1"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sz w:val="20"/>
                <w:szCs w:val="20"/>
              </w:rPr>
              <w:t>Return on Capital Employed is calculated as EBIT divided by capital employed, which is defined as shareholders’ equity plus total borrowings {current &amp; non-current}</w:t>
            </w:r>
          </w:p>
        </w:tc>
      </w:tr>
      <w:tr w:rsidR="00F8631B" w:rsidRPr="00712F3C" w14:paraId="0328C710" w14:textId="77777777" w:rsidTr="00250DAC">
        <w:trPr>
          <w:trHeight w:val="20"/>
        </w:trPr>
        <w:tc>
          <w:tcPr>
            <w:tcW w:w="1293" w:type="pct"/>
            <w:shd w:val="clear" w:color="auto" w:fill="auto"/>
          </w:tcPr>
          <w:p w14:paraId="1EC63CC4"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sz w:val="20"/>
                <w:szCs w:val="20"/>
              </w:rPr>
              <w:lastRenderedPageBreak/>
              <w:t>Return on Equity</w:t>
            </w:r>
          </w:p>
        </w:tc>
        <w:tc>
          <w:tcPr>
            <w:tcW w:w="3707" w:type="pct"/>
            <w:shd w:val="clear" w:color="auto" w:fill="auto"/>
          </w:tcPr>
          <w:p w14:paraId="3615F36F"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sz w:val="20"/>
                <w:szCs w:val="20"/>
              </w:rPr>
              <w:t>Return on Equity is ratio of Profit after Tax and Average Shareholder Equity</w:t>
            </w:r>
          </w:p>
        </w:tc>
      </w:tr>
      <w:tr w:rsidR="00F8631B" w:rsidRPr="00712F3C" w14:paraId="3D903CF8" w14:textId="77777777" w:rsidTr="00250DAC">
        <w:trPr>
          <w:trHeight w:val="20"/>
        </w:trPr>
        <w:tc>
          <w:tcPr>
            <w:tcW w:w="1293" w:type="pct"/>
            <w:shd w:val="clear" w:color="auto" w:fill="auto"/>
            <w:vAlign w:val="center"/>
          </w:tcPr>
          <w:p w14:paraId="4E696D34"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RM</w:t>
            </w:r>
          </w:p>
        </w:tc>
        <w:tc>
          <w:tcPr>
            <w:tcW w:w="3707" w:type="pct"/>
            <w:shd w:val="clear" w:color="auto" w:fill="auto"/>
            <w:vAlign w:val="center"/>
          </w:tcPr>
          <w:p w14:paraId="3D8F4D2B"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Raw Material</w:t>
            </w:r>
          </w:p>
        </w:tc>
      </w:tr>
      <w:tr w:rsidR="00F8631B" w:rsidRPr="00712F3C" w14:paraId="6AED6DA0" w14:textId="77777777" w:rsidTr="00250DAC">
        <w:trPr>
          <w:trHeight w:val="20"/>
        </w:trPr>
        <w:tc>
          <w:tcPr>
            <w:tcW w:w="1293" w:type="pct"/>
            <w:shd w:val="clear" w:color="auto" w:fill="auto"/>
            <w:vAlign w:val="center"/>
          </w:tcPr>
          <w:p w14:paraId="617FC178"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SAR</w:t>
            </w:r>
          </w:p>
        </w:tc>
        <w:tc>
          <w:tcPr>
            <w:tcW w:w="3707" w:type="pct"/>
            <w:shd w:val="clear" w:color="auto" w:fill="auto"/>
            <w:vAlign w:val="center"/>
          </w:tcPr>
          <w:p w14:paraId="7D2E0E74"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South Asia</w:t>
            </w:r>
          </w:p>
        </w:tc>
      </w:tr>
      <w:tr w:rsidR="00F8631B" w:rsidRPr="00712F3C" w14:paraId="6BBF6831" w14:textId="77777777" w:rsidTr="00250DAC">
        <w:trPr>
          <w:trHeight w:val="20"/>
        </w:trPr>
        <w:tc>
          <w:tcPr>
            <w:tcW w:w="1293" w:type="pct"/>
            <w:shd w:val="clear" w:color="auto" w:fill="auto"/>
            <w:vAlign w:val="center"/>
          </w:tcPr>
          <w:p w14:paraId="31938C23"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SKU’s</w:t>
            </w:r>
          </w:p>
        </w:tc>
        <w:tc>
          <w:tcPr>
            <w:tcW w:w="3707" w:type="pct"/>
            <w:shd w:val="clear" w:color="auto" w:fill="auto"/>
            <w:vAlign w:val="center"/>
          </w:tcPr>
          <w:p w14:paraId="0473DBAE"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Stock keeping unit</w:t>
            </w:r>
          </w:p>
        </w:tc>
      </w:tr>
      <w:tr w:rsidR="00F8631B" w:rsidRPr="00712F3C" w14:paraId="7A8FA9FD" w14:textId="77777777" w:rsidTr="00250DAC">
        <w:trPr>
          <w:trHeight w:val="20"/>
        </w:trPr>
        <w:tc>
          <w:tcPr>
            <w:tcW w:w="1293" w:type="pct"/>
            <w:shd w:val="clear" w:color="auto" w:fill="auto"/>
            <w:vAlign w:val="center"/>
          </w:tcPr>
          <w:p w14:paraId="290D12AB"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SSA</w:t>
            </w:r>
          </w:p>
        </w:tc>
        <w:tc>
          <w:tcPr>
            <w:tcW w:w="3707" w:type="pct"/>
            <w:shd w:val="clear" w:color="auto" w:fill="auto"/>
            <w:vAlign w:val="center"/>
          </w:tcPr>
          <w:p w14:paraId="7591EF21"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Sub-Saharan Africa</w:t>
            </w:r>
          </w:p>
        </w:tc>
      </w:tr>
      <w:tr w:rsidR="00F8631B" w:rsidRPr="00712F3C" w14:paraId="333A83E6" w14:textId="77777777" w:rsidTr="00250DAC">
        <w:trPr>
          <w:trHeight w:val="20"/>
        </w:trPr>
        <w:tc>
          <w:tcPr>
            <w:tcW w:w="1293" w:type="pct"/>
            <w:shd w:val="clear" w:color="auto" w:fill="auto"/>
            <w:vAlign w:val="center"/>
          </w:tcPr>
          <w:p w14:paraId="7479496A"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TAT</w:t>
            </w:r>
          </w:p>
        </w:tc>
        <w:tc>
          <w:tcPr>
            <w:tcW w:w="3707" w:type="pct"/>
            <w:shd w:val="clear" w:color="auto" w:fill="auto"/>
            <w:vAlign w:val="center"/>
          </w:tcPr>
          <w:p w14:paraId="6C02671C"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Turnaround Time</w:t>
            </w:r>
          </w:p>
        </w:tc>
      </w:tr>
      <w:tr w:rsidR="00F8631B" w:rsidRPr="00712F3C" w14:paraId="6451336C" w14:textId="77777777" w:rsidTr="00250DAC">
        <w:trPr>
          <w:trHeight w:val="20"/>
        </w:trPr>
        <w:tc>
          <w:tcPr>
            <w:tcW w:w="1293" w:type="pct"/>
            <w:shd w:val="clear" w:color="auto" w:fill="auto"/>
            <w:vAlign w:val="center"/>
          </w:tcPr>
          <w:p w14:paraId="66E2E997"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U.K.</w:t>
            </w:r>
          </w:p>
        </w:tc>
        <w:tc>
          <w:tcPr>
            <w:tcW w:w="3707" w:type="pct"/>
            <w:shd w:val="clear" w:color="auto" w:fill="auto"/>
            <w:vAlign w:val="center"/>
          </w:tcPr>
          <w:p w14:paraId="2A283A4C"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United Kingdom</w:t>
            </w:r>
          </w:p>
        </w:tc>
      </w:tr>
      <w:tr w:rsidR="00F8631B" w:rsidRPr="00712F3C" w14:paraId="60217503" w14:textId="77777777" w:rsidTr="00250DAC">
        <w:trPr>
          <w:trHeight w:val="20"/>
        </w:trPr>
        <w:tc>
          <w:tcPr>
            <w:tcW w:w="1293" w:type="pct"/>
            <w:shd w:val="clear" w:color="auto" w:fill="auto"/>
            <w:vAlign w:val="center"/>
          </w:tcPr>
          <w:p w14:paraId="1A2EB0D2"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U.S./U.S.A.</w:t>
            </w:r>
          </w:p>
        </w:tc>
        <w:tc>
          <w:tcPr>
            <w:tcW w:w="3707" w:type="pct"/>
            <w:shd w:val="clear" w:color="auto" w:fill="auto"/>
            <w:vAlign w:val="center"/>
          </w:tcPr>
          <w:p w14:paraId="0C422210"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Unites States of America</w:t>
            </w:r>
          </w:p>
        </w:tc>
      </w:tr>
      <w:tr w:rsidR="00F8631B" w:rsidRPr="00712F3C" w14:paraId="22BF80B6" w14:textId="77777777" w:rsidTr="00250DAC">
        <w:trPr>
          <w:trHeight w:val="20"/>
        </w:trPr>
        <w:tc>
          <w:tcPr>
            <w:tcW w:w="1293" w:type="pct"/>
            <w:shd w:val="clear" w:color="auto" w:fill="auto"/>
            <w:vAlign w:val="center"/>
          </w:tcPr>
          <w:p w14:paraId="7E92CC94"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UNEA</w:t>
            </w:r>
          </w:p>
        </w:tc>
        <w:tc>
          <w:tcPr>
            <w:tcW w:w="3707" w:type="pct"/>
            <w:shd w:val="clear" w:color="auto" w:fill="auto"/>
            <w:vAlign w:val="center"/>
          </w:tcPr>
          <w:p w14:paraId="60BF3775"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United Nations Environment Programme</w:t>
            </w:r>
          </w:p>
        </w:tc>
      </w:tr>
      <w:tr w:rsidR="00952AF2" w:rsidRPr="00712F3C" w14:paraId="61B3242C" w14:textId="77777777" w:rsidTr="00250DAC">
        <w:trPr>
          <w:trHeight w:val="20"/>
        </w:trPr>
        <w:tc>
          <w:tcPr>
            <w:tcW w:w="1293" w:type="pct"/>
            <w:shd w:val="clear" w:color="auto" w:fill="auto"/>
            <w:vAlign w:val="center"/>
          </w:tcPr>
          <w:p w14:paraId="123742BC" w14:textId="77777777" w:rsidR="00952AF2" w:rsidRDefault="00952AF2" w:rsidP="00250DAC">
            <w:pPr>
              <w:spacing w:after="0" w:line="240" w:lineRule="auto"/>
              <w:jc w:val="both"/>
              <w:rPr>
                <w:rFonts w:ascii="Times New Roman" w:eastAsia="Calibri" w:hAnsi="Times New Roman"/>
                <w:sz w:val="20"/>
                <w:szCs w:val="20"/>
              </w:rPr>
            </w:pPr>
            <w:r>
              <w:rPr>
                <w:rFonts w:ascii="Times New Roman" w:eastAsia="Calibri" w:hAnsi="Times New Roman"/>
                <w:sz w:val="20"/>
                <w:szCs w:val="20"/>
              </w:rPr>
              <w:t>UPVC</w:t>
            </w:r>
          </w:p>
        </w:tc>
        <w:tc>
          <w:tcPr>
            <w:tcW w:w="3707" w:type="pct"/>
            <w:shd w:val="clear" w:color="auto" w:fill="auto"/>
            <w:vAlign w:val="center"/>
          </w:tcPr>
          <w:p w14:paraId="6D07DCEB" w14:textId="77777777" w:rsidR="00952AF2" w:rsidRPr="00712F3C" w:rsidRDefault="00952AF2" w:rsidP="00250DAC">
            <w:pPr>
              <w:spacing w:after="0" w:line="240" w:lineRule="auto"/>
              <w:jc w:val="both"/>
              <w:rPr>
                <w:rFonts w:ascii="Times New Roman" w:hAnsi="Times New Roman"/>
                <w:color w:val="000000"/>
                <w:sz w:val="20"/>
                <w:szCs w:val="20"/>
              </w:rPr>
            </w:pPr>
            <w:r w:rsidRPr="00771C27">
              <w:rPr>
                <w:rFonts w:ascii="Times New Roman" w:hAnsi="Times New Roman"/>
                <w:color w:val="000000"/>
                <w:sz w:val="20"/>
                <w:szCs w:val="20"/>
              </w:rPr>
              <w:t>Unplasticized Polyvinyl Chloride</w:t>
            </w:r>
          </w:p>
        </w:tc>
      </w:tr>
      <w:tr w:rsidR="00F8631B" w:rsidRPr="00712F3C" w14:paraId="1954EEBF" w14:textId="77777777" w:rsidTr="00250DAC">
        <w:trPr>
          <w:trHeight w:val="20"/>
        </w:trPr>
        <w:tc>
          <w:tcPr>
            <w:tcW w:w="1293" w:type="pct"/>
            <w:shd w:val="clear" w:color="auto" w:fill="auto"/>
            <w:vAlign w:val="center"/>
          </w:tcPr>
          <w:p w14:paraId="4CAB01B5"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WHO</w:t>
            </w:r>
          </w:p>
        </w:tc>
        <w:tc>
          <w:tcPr>
            <w:tcW w:w="3707" w:type="pct"/>
            <w:shd w:val="clear" w:color="auto" w:fill="auto"/>
            <w:vAlign w:val="center"/>
          </w:tcPr>
          <w:p w14:paraId="576D5B50"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World Health Organization</w:t>
            </w:r>
          </w:p>
        </w:tc>
      </w:tr>
      <w:tr w:rsidR="00F8631B" w:rsidRPr="00712F3C" w14:paraId="7F042909" w14:textId="77777777" w:rsidTr="00250DAC">
        <w:trPr>
          <w:trHeight w:val="20"/>
        </w:trPr>
        <w:tc>
          <w:tcPr>
            <w:tcW w:w="1293" w:type="pct"/>
            <w:shd w:val="clear" w:color="auto" w:fill="auto"/>
            <w:vAlign w:val="center"/>
          </w:tcPr>
          <w:p w14:paraId="6A57D154"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WPC</w:t>
            </w:r>
          </w:p>
        </w:tc>
        <w:tc>
          <w:tcPr>
            <w:tcW w:w="3707" w:type="pct"/>
            <w:shd w:val="clear" w:color="auto" w:fill="auto"/>
            <w:vAlign w:val="center"/>
          </w:tcPr>
          <w:p w14:paraId="46066958"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Wood Plastic Composite</w:t>
            </w:r>
          </w:p>
        </w:tc>
      </w:tr>
    </w:tbl>
    <w:p w14:paraId="72EF46E4" w14:textId="77777777" w:rsidR="00F8631B" w:rsidRPr="00712F3C" w:rsidRDefault="00F8631B" w:rsidP="00F8631B">
      <w:pPr>
        <w:spacing w:after="0" w:line="240" w:lineRule="auto"/>
        <w:jc w:val="both"/>
        <w:rPr>
          <w:rFonts w:ascii="Times New Roman" w:eastAsia="Calibri" w:hAnsi="Times New Roman"/>
          <w:b/>
          <w:bCs/>
          <w:sz w:val="20"/>
          <w:szCs w:val="20"/>
          <w:u w:val="single"/>
          <w:lang w:val="en-IN" w:bidi="en-US"/>
        </w:rPr>
      </w:pPr>
      <w:r w:rsidRPr="00712F3C">
        <w:rPr>
          <w:rFonts w:ascii="Times New Roman" w:eastAsia="Calibri" w:hAnsi="Times New Roman"/>
          <w:b/>
          <w:bCs/>
          <w:sz w:val="20"/>
          <w:szCs w:val="20"/>
          <w:u w:val="single"/>
          <w:lang w:val="en-IN" w:bidi="en-US"/>
        </w:rPr>
        <w:t>Conventional terms and Abbreviations</w:t>
      </w:r>
    </w:p>
    <w:p w14:paraId="607F9DE6" w14:textId="77777777" w:rsidR="00F8631B" w:rsidRPr="00712F3C" w:rsidRDefault="00F8631B" w:rsidP="00F8631B">
      <w:pPr>
        <w:pStyle w:val="NormalWeb"/>
        <w:rPr>
          <w:rFonts w:cs="Times New Roman"/>
          <w:sz w:val="20"/>
          <w:szCs w:val="20"/>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882"/>
        <w:gridCol w:w="7569"/>
      </w:tblGrid>
      <w:tr w:rsidR="00F8631B" w:rsidRPr="00712F3C" w14:paraId="4031D5F0" w14:textId="77777777" w:rsidTr="00250DAC">
        <w:trPr>
          <w:trHeight w:val="20"/>
          <w:tblHeader/>
        </w:trPr>
        <w:tc>
          <w:tcPr>
            <w:tcW w:w="1379" w:type="pct"/>
            <w:shd w:val="clear" w:color="auto" w:fill="D0CECE" w:themeFill="background2" w:themeFillShade="E6"/>
            <w:hideMark/>
          </w:tcPr>
          <w:p w14:paraId="1AD9712D" w14:textId="77777777" w:rsidR="00F8631B" w:rsidRPr="00712F3C" w:rsidRDefault="00F8631B" w:rsidP="00250DAC">
            <w:pPr>
              <w:spacing w:after="0" w:line="240" w:lineRule="auto"/>
              <w:jc w:val="both"/>
              <w:rPr>
                <w:rFonts w:ascii="Times New Roman" w:eastAsia="Calibri" w:hAnsi="Times New Roman"/>
                <w:sz w:val="20"/>
                <w:szCs w:val="20"/>
              </w:rPr>
            </w:pPr>
            <w:r w:rsidRPr="00712F3C">
              <w:rPr>
                <w:rFonts w:ascii="Times New Roman" w:eastAsia="MS Mincho" w:hAnsi="Times New Roman"/>
                <w:b/>
                <w:sz w:val="20"/>
                <w:szCs w:val="20"/>
              </w:rPr>
              <w:t>Abbreviation</w:t>
            </w:r>
          </w:p>
        </w:tc>
        <w:tc>
          <w:tcPr>
            <w:tcW w:w="3621" w:type="pct"/>
            <w:shd w:val="clear" w:color="auto" w:fill="D0CECE" w:themeFill="background2" w:themeFillShade="E6"/>
            <w:hideMark/>
          </w:tcPr>
          <w:p w14:paraId="22D77F0D"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MS Mincho" w:hAnsi="Times New Roman"/>
                <w:b/>
                <w:sz w:val="20"/>
                <w:szCs w:val="20"/>
              </w:rPr>
              <w:t>Full Form</w:t>
            </w:r>
          </w:p>
        </w:tc>
      </w:tr>
      <w:tr w:rsidR="00F8631B" w:rsidRPr="00712F3C" w14:paraId="660C4411" w14:textId="77777777" w:rsidTr="00250DAC">
        <w:trPr>
          <w:trHeight w:val="20"/>
        </w:trPr>
        <w:tc>
          <w:tcPr>
            <w:tcW w:w="1379" w:type="pct"/>
            <w:shd w:val="clear" w:color="auto" w:fill="auto"/>
            <w:hideMark/>
          </w:tcPr>
          <w:p w14:paraId="52E92537"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sz w:val="20"/>
                <w:szCs w:val="20"/>
              </w:rPr>
              <w:t>Rs.</w:t>
            </w:r>
            <w:r w:rsidRPr="00712F3C">
              <w:rPr>
                <w:rFonts w:ascii="Times New Roman" w:eastAsia="Calibri" w:hAnsi="Times New Roman"/>
                <w:bCs/>
                <w:sz w:val="20"/>
                <w:szCs w:val="20"/>
                <w:lang w:val="en-IN" w:bidi="en-US"/>
              </w:rPr>
              <w:t xml:space="preserve">/ Rupees/ INR/ </w:t>
            </w:r>
            <w:bookmarkStart w:id="0" w:name="_Hlk146195522"/>
            <w:r w:rsidRPr="00712F3C">
              <w:rPr>
                <w:rFonts w:ascii="Times New Roman" w:eastAsia="MS Mincho" w:hAnsi="Times New Roman"/>
                <w:sz w:val="20"/>
                <w:szCs w:val="20"/>
              </w:rPr>
              <w:t>₹</w:t>
            </w:r>
            <w:bookmarkEnd w:id="0"/>
          </w:p>
        </w:tc>
        <w:tc>
          <w:tcPr>
            <w:tcW w:w="3621" w:type="pct"/>
            <w:shd w:val="clear" w:color="auto" w:fill="auto"/>
            <w:hideMark/>
          </w:tcPr>
          <w:p w14:paraId="55457E54"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 xml:space="preserve">Indian Rupees </w:t>
            </w:r>
          </w:p>
        </w:tc>
      </w:tr>
      <w:tr w:rsidR="00F8631B" w:rsidRPr="00712F3C" w14:paraId="4B6FB87C" w14:textId="77777777" w:rsidTr="00250DAC">
        <w:trPr>
          <w:trHeight w:val="20"/>
        </w:trPr>
        <w:tc>
          <w:tcPr>
            <w:tcW w:w="1379" w:type="pct"/>
            <w:shd w:val="clear" w:color="auto" w:fill="auto"/>
            <w:hideMark/>
          </w:tcPr>
          <w:p w14:paraId="7F9C1B0F"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AS / Accounting Standard</w:t>
            </w:r>
          </w:p>
        </w:tc>
        <w:tc>
          <w:tcPr>
            <w:tcW w:w="3621" w:type="pct"/>
            <w:shd w:val="clear" w:color="auto" w:fill="auto"/>
            <w:hideMark/>
          </w:tcPr>
          <w:p w14:paraId="22C71B51"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Accounting Standards as issued by the Institute of Chartered Accountants of India</w:t>
            </w:r>
          </w:p>
        </w:tc>
      </w:tr>
      <w:tr w:rsidR="00F8631B" w:rsidRPr="00712F3C" w14:paraId="4C4AA366" w14:textId="77777777" w:rsidTr="00250DAC">
        <w:trPr>
          <w:trHeight w:val="20"/>
        </w:trPr>
        <w:tc>
          <w:tcPr>
            <w:tcW w:w="1379" w:type="pct"/>
            <w:shd w:val="clear" w:color="auto" w:fill="auto"/>
            <w:hideMark/>
          </w:tcPr>
          <w:p w14:paraId="18054085"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A/c</w:t>
            </w:r>
          </w:p>
        </w:tc>
        <w:tc>
          <w:tcPr>
            <w:tcW w:w="3621" w:type="pct"/>
            <w:shd w:val="clear" w:color="auto" w:fill="auto"/>
            <w:hideMark/>
          </w:tcPr>
          <w:p w14:paraId="1C88EF22"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Account</w:t>
            </w:r>
          </w:p>
        </w:tc>
      </w:tr>
      <w:tr w:rsidR="00F8631B" w:rsidRPr="00712F3C" w14:paraId="41A3121C" w14:textId="77777777" w:rsidTr="00250DAC">
        <w:trPr>
          <w:trHeight w:val="20"/>
        </w:trPr>
        <w:tc>
          <w:tcPr>
            <w:tcW w:w="1379" w:type="pct"/>
            <w:shd w:val="clear" w:color="auto" w:fill="auto"/>
            <w:hideMark/>
          </w:tcPr>
          <w:p w14:paraId="666B54CC"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ACS</w:t>
            </w:r>
          </w:p>
        </w:tc>
        <w:tc>
          <w:tcPr>
            <w:tcW w:w="3621" w:type="pct"/>
            <w:shd w:val="clear" w:color="auto" w:fill="auto"/>
            <w:hideMark/>
          </w:tcPr>
          <w:p w14:paraId="3EA100A8"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Associate Company Secretary</w:t>
            </w:r>
          </w:p>
        </w:tc>
      </w:tr>
      <w:tr w:rsidR="00F8631B" w:rsidRPr="00712F3C" w14:paraId="083E9460" w14:textId="77777777" w:rsidTr="00250DAC">
        <w:trPr>
          <w:trHeight w:val="20"/>
        </w:trPr>
        <w:tc>
          <w:tcPr>
            <w:tcW w:w="1379" w:type="pct"/>
            <w:shd w:val="clear" w:color="auto" w:fill="auto"/>
            <w:hideMark/>
          </w:tcPr>
          <w:p w14:paraId="27FA9749"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AGM</w:t>
            </w:r>
          </w:p>
        </w:tc>
        <w:tc>
          <w:tcPr>
            <w:tcW w:w="3621" w:type="pct"/>
            <w:shd w:val="clear" w:color="auto" w:fill="auto"/>
            <w:hideMark/>
          </w:tcPr>
          <w:p w14:paraId="538AA090"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Annual General Meeting</w:t>
            </w:r>
          </w:p>
        </w:tc>
      </w:tr>
      <w:tr w:rsidR="00F8631B" w:rsidRPr="00712F3C" w14:paraId="6E577B30" w14:textId="77777777" w:rsidTr="00250DAC">
        <w:trPr>
          <w:trHeight w:val="20"/>
        </w:trPr>
        <w:tc>
          <w:tcPr>
            <w:tcW w:w="1379" w:type="pct"/>
            <w:shd w:val="clear" w:color="auto" w:fill="auto"/>
            <w:hideMark/>
          </w:tcPr>
          <w:p w14:paraId="63CED51B"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 xml:space="preserve">ASBA </w:t>
            </w:r>
          </w:p>
        </w:tc>
        <w:tc>
          <w:tcPr>
            <w:tcW w:w="3621" w:type="pct"/>
            <w:shd w:val="clear" w:color="auto" w:fill="auto"/>
            <w:hideMark/>
          </w:tcPr>
          <w:p w14:paraId="10D2496C"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Applications Supported by Blocked Amount</w:t>
            </w:r>
          </w:p>
        </w:tc>
      </w:tr>
      <w:tr w:rsidR="00F8631B" w:rsidRPr="00712F3C" w14:paraId="2371A69E" w14:textId="77777777" w:rsidTr="00250DAC">
        <w:trPr>
          <w:trHeight w:val="20"/>
        </w:trPr>
        <w:tc>
          <w:tcPr>
            <w:tcW w:w="1379" w:type="pct"/>
            <w:shd w:val="clear" w:color="auto" w:fill="auto"/>
            <w:hideMark/>
          </w:tcPr>
          <w:p w14:paraId="2D1DE12A"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Amt.</w:t>
            </w:r>
          </w:p>
        </w:tc>
        <w:tc>
          <w:tcPr>
            <w:tcW w:w="3621" w:type="pct"/>
            <w:shd w:val="clear" w:color="auto" w:fill="auto"/>
            <w:hideMark/>
          </w:tcPr>
          <w:p w14:paraId="6E53E47E"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Amount</w:t>
            </w:r>
          </w:p>
        </w:tc>
      </w:tr>
      <w:tr w:rsidR="00F8631B" w:rsidRPr="00712F3C" w14:paraId="4B0FB3B2" w14:textId="77777777" w:rsidTr="00250DAC">
        <w:trPr>
          <w:trHeight w:val="20"/>
        </w:trPr>
        <w:tc>
          <w:tcPr>
            <w:tcW w:w="1379" w:type="pct"/>
            <w:shd w:val="clear" w:color="auto" w:fill="auto"/>
            <w:hideMark/>
          </w:tcPr>
          <w:p w14:paraId="5A11C427"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AIF</w:t>
            </w:r>
          </w:p>
        </w:tc>
        <w:tc>
          <w:tcPr>
            <w:tcW w:w="3621" w:type="pct"/>
            <w:shd w:val="clear" w:color="auto" w:fill="auto"/>
            <w:hideMark/>
          </w:tcPr>
          <w:p w14:paraId="769EF451"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 xml:space="preserve">Alternative Investment Funds registered under the Securities and Exchange Board of India (Alternative Investment Funds) Regulations, 2012, as amended. </w:t>
            </w:r>
          </w:p>
        </w:tc>
      </w:tr>
      <w:tr w:rsidR="00F8631B" w:rsidRPr="00712F3C" w14:paraId="381FFDB3" w14:textId="77777777" w:rsidTr="00250DAC">
        <w:trPr>
          <w:trHeight w:val="20"/>
        </w:trPr>
        <w:tc>
          <w:tcPr>
            <w:tcW w:w="1379" w:type="pct"/>
            <w:shd w:val="clear" w:color="auto" w:fill="auto"/>
            <w:hideMark/>
          </w:tcPr>
          <w:p w14:paraId="346D9FA3"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AY</w:t>
            </w:r>
          </w:p>
        </w:tc>
        <w:tc>
          <w:tcPr>
            <w:tcW w:w="3621" w:type="pct"/>
            <w:shd w:val="clear" w:color="auto" w:fill="auto"/>
            <w:hideMark/>
          </w:tcPr>
          <w:p w14:paraId="6C92003C"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Assessment Year</w:t>
            </w:r>
          </w:p>
        </w:tc>
      </w:tr>
      <w:tr w:rsidR="00F8631B" w:rsidRPr="00712F3C" w14:paraId="28525AAE" w14:textId="77777777" w:rsidTr="00250DAC">
        <w:trPr>
          <w:trHeight w:val="20"/>
        </w:trPr>
        <w:tc>
          <w:tcPr>
            <w:tcW w:w="1379" w:type="pct"/>
            <w:shd w:val="clear" w:color="auto" w:fill="auto"/>
            <w:hideMark/>
          </w:tcPr>
          <w:p w14:paraId="3E549844"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AOA</w:t>
            </w:r>
          </w:p>
        </w:tc>
        <w:tc>
          <w:tcPr>
            <w:tcW w:w="3621" w:type="pct"/>
            <w:shd w:val="clear" w:color="auto" w:fill="auto"/>
            <w:hideMark/>
          </w:tcPr>
          <w:p w14:paraId="4E62332E"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Articles of Association</w:t>
            </w:r>
          </w:p>
        </w:tc>
      </w:tr>
      <w:tr w:rsidR="00F8631B" w:rsidRPr="00712F3C" w14:paraId="7766189B" w14:textId="77777777" w:rsidTr="00250DAC">
        <w:trPr>
          <w:trHeight w:val="20"/>
        </w:trPr>
        <w:tc>
          <w:tcPr>
            <w:tcW w:w="1379" w:type="pct"/>
            <w:shd w:val="clear" w:color="auto" w:fill="auto"/>
            <w:hideMark/>
          </w:tcPr>
          <w:p w14:paraId="7A6D9F6C"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Approx</w:t>
            </w:r>
          </w:p>
        </w:tc>
        <w:tc>
          <w:tcPr>
            <w:tcW w:w="3621" w:type="pct"/>
            <w:shd w:val="clear" w:color="auto" w:fill="auto"/>
            <w:hideMark/>
          </w:tcPr>
          <w:p w14:paraId="5A89E6BF"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Approximately</w:t>
            </w:r>
          </w:p>
        </w:tc>
      </w:tr>
      <w:tr w:rsidR="00F8631B" w:rsidRPr="00712F3C" w14:paraId="0ACD1E85" w14:textId="77777777" w:rsidTr="00250DAC">
        <w:trPr>
          <w:trHeight w:val="20"/>
        </w:trPr>
        <w:tc>
          <w:tcPr>
            <w:tcW w:w="1379" w:type="pct"/>
            <w:shd w:val="clear" w:color="auto" w:fill="auto"/>
            <w:hideMark/>
          </w:tcPr>
          <w:p w14:paraId="22CAEFBE"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B. A</w:t>
            </w:r>
          </w:p>
        </w:tc>
        <w:tc>
          <w:tcPr>
            <w:tcW w:w="3621" w:type="pct"/>
            <w:shd w:val="clear" w:color="auto" w:fill="auto"/>
            <w:hideMark/>
          </w:tcPr>
          <w:p w14:paraId="5E5C0232"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Bachelor of Arts</w:t>
            </w:r>
          </w:p>
        </w:tc>
      </w:tr>
      <w:tr w:rsidR="00F8631B" w:rsidRPr="00712F3C" w14:paraId="4BDAAF7B" w14:textId="77777777" w:rsidTr="00250DAC">
        <w:trPr>
          <w:trHeight w:val="20"/>
        </w:trPr>
        <w:tc>
          <w:tcPr>
            <w:tcW w:w="1379" w:type="pct"/>
            <w:shd w:val="clear" w:color="auto" w:fill="auto"/>
            <w:hideMark/>
          </w:tcPr>
          <w:p w14:paraId="7A188C6F"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B. Com</w:t>
            </w:r>
          </w:p>
        </w:tc>
        <w:tc>
          <w:tcPr>
            <w:tcW w:w="3621" w:type="pct"/>
            <w:shd w:val="clear" w:color="auto" w:fill="auto"/>
            <w:hideMark/>
          </w:tcPr>
          <w:p w14:paraId="1AD08067"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Bachelor of Commerce</w:t>
            </w:r>
          </w:p>
        </w:tc>
      </w:tr>
      <w:tr w:rsidR="00F8631B" w:rsidRPr="00712F3C" w14:paraId="4988F423" w14:textId="77777777" w:rsidTr="00250DAC">
        <w:trPr>
          <w:trHeight w:val="20"/>
        </w:trPr>
        <w:tc>
          <w:tcPr>
            <w:tcW w:w="1379" w:type="pct"/>
            <w:shd w:val="clear" w:color="auto" w:fill="auto"/>
            <w:hideMark/>
          </w:tcPr>
          <w:p w14:paraId="1F8AE724"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B. E</w:t>
            </w:r>
          </w:p>
        </w:tc>
        <w:tc>
          <w:tcPr>
            <w:tcW w:w="3621" w:type="pct"/>
            <w:shd w:val="clear" w:color="auto" w:fill="auto"/>
            <w:hideMark/>
          </w:tcPr>
          <w:p w14:paraId="2ED2014F"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Bachelor of Engineering</w:t>
            </w:r>
          </w:p>
        </w:tc>
      </w:tr>
      <w:tr w:rsidR="00F8631B" w:rsidRPr="00712F3C" w14:paraId="1B1E1A8F" w14:textId="77777777" w:rsidTr="00250DAC">
        <w:trPr>
          <w:trHeight w:val="20"/>
        </w:trPr>
        <w:tc>
          <w:tcPr>
            <w:tcW w:w="1379" w:type="pct"/>
            <w:shd w:val="clear" w:color="auto" w:fill="auto"/>
            <w:hideMark/>
          </w:tcPr>
          <w:p w14:paraId="260AC4A6"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B. Sc</w:t>
            </w:r>
          </w:p>
        </w:tc>
        <w:tc>
          <w:tcPr>
            <w:tcW w:w="3621" w:type="pct"/>
            <w:shd w:val="clear" w:color="auto" w:fill="auto"/>
            <w:hideMark/>
          </w:tcPr>
          <w:p w14:paraId="0626D74B"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Bachelor of Science</w:t>
            </w:r>
          </w:p>
        </w:tc>
      </w:tr>
      <w:tr w:rsidR="00F8631B" w:rsidRPr="00712F3C" w14:paraId="396D0670" w14:textId="77777777" w:rsidTr="00250DAC">
        <w:trPr>
          <w:trHeight w:val="20"/>
        </w:trPr>
        <w:tc>
          <w:tcPr>
            <w:tcW w:w="1379" w:type="pct"/>
            <w:shd w:val="clear" w:color="auto" w:fill="auto"/>
            <w:hideMark/>
          </w:tcPr>
          <w:p w14:paraId="6CEDB045"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B. Tech</w:t>
            </w:r>
          </w:p>
        </w:tc>
        <w:tc>
          <w:tcPr>
            <w:tcW w:w="3621" w:type="pct"/>
            <w:shd w:val="clear" w:color="auto" w:fill="auto"/>
            <w:hideMark/>
          </w:tcPr>
          <w:p w14:paraId="75903C7A"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Bachelor of Technology</w:t>
            </w:r>
          </w:p>
        </w:tc>
      </w:tr>
      <w:tr w:rsidR="00F8631B" w:rsidRPr="00712F3C" w14:paraId="6204D5FC" w14:textId="77777777" w:rsidTr="00250DAC">
        <w:trPr>
          <w:trHeight w:val="20"/>
        </w:trPr>
        <w:tc>
          <w:tcPr>
            <w:tcW w:w="1379" w:type="pct"/>
            <w:shd w:val="clear" w:color="auto" w:fill="auto"/>
            <w:hideMark/>
          </w:tcPr>
          <w:p w14:paraId="269CC2BE"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Bn</w:t>
            </w:r>
          </w:p>
        </w:tc>
        <w:tc>
          <w:tcPr>
            <w:tcW w:w="3621" w:type="pct"/>
            <w:shd w:val="clear" w:color="auto" w:fill="auto"/>
            <w:hideMark/>
          </w:tcPr>
          <w:p w14:paraId="66E7B482"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Billion</w:t>
            </w:r>
          </w:p>
        </w:tc>
      </w:tr>
      <w:tr w:rsidR="00F8631B" w:rsidRPr="00712F3C" w14:paraId="3EEE0F46" w14:textId="77777777" w:rsidTr="00250DAC">
        <w:trPr>
          <w:trHeight w:val="20"/>
        </w:trPr>
        <w:tc>
          <w:tcPr>
            <w:tcW w:w="1379" w:type="pct"/>
            <w:shd w:val="clear" w:color="auto" w:fill="auto"/>
            <w:hideMark/>
          </w:tcPr>
          <w:p w14:paraId="6E9220ED"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BG/LC</w:t>
            </w:r>
          </w:p>
        </w:tc>
        <w:tc>
          <w:tcPr>
            <w:tcW w:w="3621" w:type="pct"/>
            <w:shd w:val="clear" w:color="auto" w:fill="auto"/>
            <w:hideMark/>
          </w:tcPr>
          <w:p w14:paraId="77061204"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Bank Guarantee / Letter of Credit</w:t>
            </w:r>
          </w:p>
        </w:tc>
      </w:tr>
      <w:tr w:rsidR="00F8631B" w:rsidRPr="00712F3C" w14:paraId="4D58609E" w14:textId="77777777" w:rsidTr="00250DAC">
        <w:trPr>
          <w:trHeight w:val="20"/>
        </w:trPr>
        <w:tc>
          <w:tcPr>
            <w:tcW w:w="1379" w:type="pct"/>
            <w:shd w:val="clear" w:color="auto" w:fill="auto"/>
            <w:hideMark/>
          </w:tcPr>
          <w:p w14:paraId="4DCCD8F4"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BIFR</w:t>
            </w:r>
          </w:p>
        </w:tc>
        <w:tc>
          <w:tcPr>
            <w:tcW w:w="3621" w:type="pct"/>
            <w:shd w:val="clear" w:color="auto" w:fill="auto"/>
            <w:hideMark/>
          </w:tcPr>
          <w:p w14:paraId="46ABF164"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Board for Industrial and Financial Reconstruction</w:t>
            </w:r>
          </w:p>
        </w:tc>
      </w:tr>
      <w:tr w:rsidR="00F8631B" w:rsidRPr="00712F3C" w14:paraId="36AF1C8C" w14:textId="77777777" w:rsidTr="00250DAC">
        <w:trPr>
          <w:trHeight w:val="20"/>
        </w:trPr>
        <w:tc>
          <w:tcPr>
            <w:tcW w:w="1379" w:type="pct"/>
            <w:shd w:val="clear" w:color="auto" w:fill="auto"/>
          </w:tcPr>
          <w:p w14:paraId="527F7EB0"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BRLM</w:t>
            </w:r>
          </w:p>
        </w:tc>
        <w:tc>
          <w:tcPr>
            <w:tcW w:w="3621" w:type="pct"/>
            <w:shd w:val="clear" w:color="auto" w:fill="auto"/>
          </w:tcPr>
          <w:p w14:paraId="002C185B"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Book Running Lead Manager</w:t>
            </w:r>
          </w:p>
        </w:tc>
      </w:tr>
      <w:tr w:rsidR="00F8631B" w:rsidRPr="00712F3C" w14:paraId="7CC5095C" w14:textId="77777777" w:rsidTr="00250DAC">
        <w:trPr>
          <w:trHeight w:val="20"/>
        </w:trPr>
        <w:tc>
          <w:tcPr>
            <w:tcW w:w="1379" w:type="pct"/>
            <w:shd w:val="clear" w:color="auto" w:fill="auto"/>
            <w:vAlign w:val="center"/>
            <w:hideMark/>
          </w:tcPr>
          <w:p w14:paraId="76E6F742"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 xml:space="preserve">BSE </w:t>
            </w:r>
          </w:p>
        </w:tc>
        <w:tc>
          <w:tcPr>
            <w:tcW w:w="3621" w:type="pct"/>
            <w:shd w:val="clear" w:color="auto" w:fill="auto"/>
            <w:vAlign w:val="center"/>
            <w:hideMark/>
          </w:tcPr>
          <w:p w14:paraId="15A88362" w14:textId="77777777" w:rsidR="00F8631B" w:rsidRPr="00712F3C" w:rsidRDefault="00F8631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BSE Limited</w:t>
            </w:r>
          </w:p>
        </w:tc>
      </w:tr>
      <w:tr w:rsidR="00F8631B" w:rsidRPr="00712F3C" w14:paraId="58B76718" w14:textId="77777777" w:rsidTr="00250DAC">
        <w:trPr>
          <w:trHeight w:val="20"/>
        </w:trPr>
        <w:tc>
          <w:tcPr>
            <w:tcW w:w="1379" w:type="pct"/>
            <w:shd w:val="clear" w:color="auto" w:fill="auto"/>
            <w:hideMark/>
          </w:tcPr>
          <w:p w14:paraId="2E05088E"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CDSL</w:t>
            </w:r>
          </w:p>
        </w:tc>
        <w:tc>
          <w:tcPr>
            <w:tcW w:w="3621" w:type="pct"/>
            <w:shd w:val="clear" w:color="auto" w:fill="auto"/>
            <w:hideMark/>
          </w:tcPr>
          <w:p w14:paraId="12260C6D"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Central Depository Services (India) Limited</w:t>
            </w:r>
          </w:p>
        </w:tc>
      </w:tr>
      <w:tr w:rsidR="00F8631B" w:rsidRPr="00712F3C" w14:paraId="646E8272" w14:textId="77777777" w:rsidTr="00250DAC">
        <w:trPr>
          <w:trHeight w:val="20"/>
        </w:trPr>
        <w:tc>
          <w:tcPr>
            <w:tcW w:w="1379" w:type="pct"/>
            <w:shd w:val="clear" w:color="auto" w:fill="auto"/>
            <w:hideMark/>
          </w:tcPr>
          <w:p w14:paraId="0EFAF816"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CAGR</w:t>
            </w:r>
          </w:p>
        </w:tc>
        <w:tc>
          <w:tcPr>
            <w:tcW w:w="3621" w:type="pct"/>
            <w:shd w:val="clear" w:color="auto" w:fill="auto"/>
            <w:hideMark/>
          </w:tcPr>
          <w:p w14:paraId="4D0C1AD7"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Compounded Annual Growth Rate</w:t>
            </w:r>
          </w:p>
        </w:tc>
      </w:tr>
      <w:tr w:rsidR="00F8631B" w:rsidRPr="00712F3C" w14:paraId="79EA9B58" w14:textId="77777777" w:rsidTr="00250DAC">
        <w:trPr>
          <w:trHeight w:val="20"/>
        </w:trPr>
        <w:tc>
          <w:tcPr>
            <w:tcW w:w="1379" w:type="pct"/>
            <w:shd w:val="clear" w:color="auto" w:fill="auto"/>
            <w:hideMark/>
          </w:tcPr>
          <w:p w14:paraId="7E8F2F2B"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CAN</w:t>
            </w:r>
          </w:p>
        </w:tc>
        <w:tc>
          <w:tcPr>
            <w:tcW w:w="3621" w:type="pct"/>
            <w:shd w:val="clear" w:color="auto" w:fill="auto"/>
            <w:hideMark/>
          </w:tcPr>
          <w:p w14:paraId="56118A11"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Confirmation of Allocation Note</w:t>
            </w:r>
          </w:p>
        </w:tc>
      </w:tr>
      <w:tr w:rsidR="00F8631B" w:rsidRPr="00712F3C" w14:paraId="1039D7FF" w14:textId="77777777" w:rsidTr="00250DAC">
        <w:trPr>
          <w:trHeight w:val="20"/>
        </w:trPr>
        <w:tc>
          <w:tcPr>
            <w:tcW w:w="1379" w:type="pct"/>
            <w:shd w:val="clear" w:color="auto" w:fill="auto"/>
          </w:tcPr>
          <w:p w14:paraId="385671C2" w14:textId="77777777" w:rsidR="00F8631B" w:rsidRPr="00712F3C" w:rsidRDefault="00F8631B" w:rsidP="00250DAC">
            <w:pPr>
              <w:pStyle w:val="Default"/>
              <w:jc w:val="both"/>
              <w:rPr>
                <w:sz w:val="20"/>
                <w:szCs w:val="20"/>
              </w:rPr>
            </w:pPr>
            <w:r w:rsidRPr="00712F3C">
              <w:rPr>
                <w:sz w:val="20"/>
                <w:szCs w:val="20"/>
              </w:rPr>
              <w:t>Companies Act, 2013</w:t>
            </w:r>
          </w:p>
        </w:tc>
        <w:tc>
          <w:tcPr>
            <w:tcW w:w="3621" w:type="pct"/>
            <w:shd w:val="clear" w:color="auto" w:fill="auto"/>
          </w:tcPr>
          <w:p w14:paraId="675703CE" w14:textId="77777777" w:rsidR="00F8631B" w:rsidRPr="00712F3C" w:rsidRDefault="00F8631B" w:rsidP="00250DAC">
            <w:pPr>
              <w:pStyle w:val="Default"/>
              <w:jc w:val="both"/>
              <w:rPr>
                <w:sz w:val="20"/>
                <w:szCs w:val="20"/>
              </w:rPr>
            </w:pPr>
            <w:r w:rsidRPr="00712F3C">
              <w:rPr>
                <w:sz w:val="20"/>
                <w:szCs w:val="20"/>
              </w:rPr>
              <w:t>Companies Act, 2013 to the extent in force pursuant to the notification of sections of the Companies Act, 2013 along with the relevant rules made thereunder as amended.</w:t>
            </w:r>
          </w:p>
        </w:tc>
      </w:tr>
      <w:tr w:rsidR="00F8631B" w:rsidRPr="00712F3C" w14:paraId="073B387D" w14:textId="77777777" w:rsidTr="00250DAC">
        <w:trPr>
          <w:trHeight w:val="20"/>
        </w:trPr>
        <w:tc>
          <w:tcPr>
            <w:tcW w:w="1379" w:type="pct"/>
            <w:shd w:val="clear" w:color="auto" w:fill="auto"/>
          </w:tcPr>
          <w:p w14:paraId="1620032B" w14:textId="77777777" w:rsidR="00F8631B" w:rsidRPr="00712F3C" w:rsidRDefault="00F8631B" w:rsidP="00250DAC">
            <w:pPr>
              <w:pStyle w:val="Default"/>
              <w:jc w:val="both"/>
              <w:rPr>
                <w:sz w:val="20"/>
                <w:szCs w:val="20"/>
              </w:rPr>
            </w:pPr>
            <w:r w:rsidRPr="00712F3C">
              <w:rPr>
                <w:sz w:val="20"/>
                <w:szCs w:val="20"/>
              </w:rPr>
              <w:t>Companies Act, 1956</w:t>
            </w:r>
          </w:p>
        </w:tc>
        <w:tc>
          <w:tcPr>
            <w:tcW w:w="3621" w:type="pct"/>
            <w:shd w:val="clear" w:color="auto" w:fill="auto"/>
          </w:tcPr>
          <w:p w14:paraId="65263E91" w14:textId="77777777" w:rsidR="00F8631B" w:rsidRPr="00712F3C" w:rsidRDefault="00F8631B" w:rsidP="00250DAC">
            <w:pPr>
              <w:pStyle w:val="Default"/>
              <w:jc w:val="both"/>
              <w:rPr>
                <w:sz w:val="20"/>
                <w:szCs w:val="20"/>
              </w:rPr>
            </w:pPr>
            <w:r w:rsidRPr="00712F3C">
              <w:rPr>
                <w:sz w:val="20"/>
                <w:szCs w:val="20"/>
              </w:rPr>
              <w:t>Companies Act, 1956 (without reference to the provisions that have ceased upon notification of the Companies Act, 2013) along with the relevant rules made thereunder.</w:t>
            </w:r>
          </w:p>
        </w:tc>
      </w:tr>
      <w:tr w:rsidR="00F8631B" w:rsidRPr="00712F3C" w14:paraId="59153149" w14:textId="77777777" w:rsidTr="00250DAC">
        <w:trPr>
          <w:trHeight w:val="20"/>
        </w:trPr>
        <w:tc>
          <w:tcPr>
            <w:tcW w:w="1379" w:type="pct"/>
            <w:shd w:val="clear" w:color="auto" w:fill="auto"/>
            <w:hideMark/>
          </w:tcPr>
          <w:p w14:paraId="05F2D7E6"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CA</w:t>
            </w:r>
          </w:p>
        </w:tc>
        <w:tc>
          <w:tcPr>
            <w:tcW w:w="3621" w:type="pct"/>
            <w:shd w:val="clear" w:color="auto" w:fill="auto"/>
            <w:hideMark/>
          </w:tcPr>
          <w:p w14:paraId="505146C7"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Chartered Accountant</w:t>
            </w:r>
          </w:p>
        </w:tc>
      </w:tr>
      <w:tr w:rsidR="00F8631B" w:rsidRPr="00712F3C" w14:paraId="2D241CEC" w14:textId="77777777" w:rsidTr="00250DAC">
        <w:trPr>
          <w:trHeight w:val="20"/>
        </w:trPr>
        <w:tc>
          <w:tcPr>
            <w:tcW w:w="1379" w:type="pct"/>
            <w:shd w:val="clear" w:color="auto" w:fill="auto"/>
          </w:tcPr>
          <w:p w14:paraId="1D109410" w14:textId="77777777" w:rsidR="00F8631B" w:rsidRPr="00712F3C" w:rsidRDefault="00F8631B" w:rsidP="00250DAC">
            <w:pPr>
              <w:tabs>
                <w:tab w:val="left" w:pos="3060"/>
              </w:tabs>
              <w:spacing w:after="0" w:line="240" w:lineRule="auto"/>
              <w:jc w:val="both"/>
              <w:rPr>
                <w:rFonts w:ascii="Times New Roman" w:eastAsia="Calibri" w:hAnsi="Times New Roman"/>
                <w:bCs/>
                <w:sz w:val="20"/>
                <w:szCs w:val="20"/>
                <w:lang w:bidi="en-US"/>
              </w:rPr>
            </w:pPr>
            <w:r w:rsidRPr="00712F3C">
              <w:rPr>
                <w:rFonts w:ascii="Times New Roman" w:eastAsia="Calibri" w:hAnsi="Times New Roman"/>
                <w:bCs/>
                <w:sz w:val="20"/>
                <w:szCs w:val="20"/>
                <w:lang w:bidi="en-US"/>
              </w:rPr>
              <w:t>CAIIB</w:t>
            </w:r>
          </w:p>
        </w:tc>
        <w:tc>
          <w:tcPr>
            <w:tcW w:w="3621" w:type="pct"/>
            <w:shd w:val="clear" w:color="auto" w:fill="auto"/>
          </w:tcPr>
          <w:p w14:paraId="200CFBC9" w14:textId="77777777" w:rsidR="00F8631B" w:rsidRPr="00712F3C" w:rsidRDefault="00F8631B" w:rsidP="00250DAC">
            <w:pPr>
              <w:tabs>
                <w:tab w:val="left" w:pos="3060"/>
              </w:tabs>
              <w:spacing w:after="0" w:line="240" w:lineRule="auto"/>
              <w:jc w:val="both"/>
              <w:rPr>
                <w:rFonts w:ascii="Times New Roman" w:eastAsia="Calibri" w:hAnsi="Times New Roman"/>
                <w:bCs/>
                <w:sz w:val="20"/>
                <w:szCs w:val="20"/>
                <w:lang w:bidi="en-US"/>
              </w:rPr>
            </w:pPr>
            <w:r w:rsidRPr="00712F3C">
              <w:rPr>
                <w:rFonts w:ascii="Times New Roman" w:eastAsia="Calibri" w:hAnsi="Times New Roman"/>
                <w:bCs/>
                <w:sz w:val="20"/>
                <w:szCs w:val="20"/>
                <w:lang w:bidi="en-US"/>
              </w:rPr>
              <w:t>Certified Associate of Indian Institute of Bankers</w:t>
            </w:r>
          </w:p>
        </w:tc>
      </w:tr>
      <w:tr w:rsidR="00F8631B" w:rsidRPr="00712F3C" w14:paraId="3FD4254B" w14:textId="77777777" w:rsidTr="00250DAC">
        <w:trPr>
          <w:trHeight w:val="20"/>
        </w:trPr>
        <w:tc>
          <w:tcPr>
            <w:tcW w:w="1379" w:type="pct"/>
            <w:shd w:val="clear" w:color="auto" w:fill="auto"/>
            <w:hideMark/>
          </w:tcPr>
          <w:p w14:paraId="5D764779"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CB</w:t>
            </w:r>
          </w:p>
        </w:tc>
        <w:tc>
          <w:tcPr>
            <w:tcW w:w="3621" w:type="pct"/>
            <w:shd w:val="clear" w:color="auto" w:fill="auto"/>
            <w:hideMark/>
          </w:tcPr>
          <w:p w14:paraId="1DA0E093"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Controlling Branch</w:t>
            </w:r>
          </w:p>
        </w:tc>
      </w:tr>
      <w:tr w:rsidR="00F8631B" w:rsidRPr="00712F3C" w14:paraId="4834162E" w14:textId="77777777" w:rsidTr="00250DAC">
        <w:trPr>
          <w:trHeight w:val="20"/>
        </w:trPr>
        <w:tc>
          <w:tcPr>
            <w:tcW w:w="1379" w:type="pct"/>
            <w:shd w:val="clear" w:color="auto" w:fill="auto"/>
            <w:hideMark/>
          </w:tcPr>
          <w:p w14:paraId="48A7896F"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CC</w:t>
            </w:r>
          </w:p>
        </w:tc>
        <w:tc>
          <w:tcPr>
            <w:tcW w:w="3621" w:type="pct"/>
            <w:shd w:val="clear" w:color="auto" w:fill="auto"/>
            <w:hideMark/>
          </w:tcPr>
          <w:p w14:paraId="5E504356"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Cash Credit</w:t>
            </w:r>
          </w:p>
        </w:tc>
      </w:tr>
      <w:tr w:rsidR="00F8631B" w:rsidRPr="00712F3C" w14:paraId="5489CDB0" w14:textId="77777777" w:rsidTr="00250DAC">
        <w:trPr>
          <w:trHeight w:val="20"/>
        </w:trPr>
        <w:tc>
          <w:tcPr>
            <w:tcW w:w="1379" w:type="pct"/>
            <w:shd w:val="clear" w:color="auto" w:fill="auto"/>
            <w:hideMark/>
          </w:tcPr>
          <w:p w14:paraId="1143B7AF"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CIN</w:t>
            </w:r>
          </w:p>
        </w:tc>
        <w:tc>
          <w:tcPr>
            <w:tcW w:w="3621" w:type="pct"/>
            <w:shd w:val="clear" w:color="auto" w:fill="auto"/>
            <w:hideMark/>
          </w:tcPr>
          <w:p w14:paraId="6DEA674C"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Corporate Identification Number</w:t>
            </w:r>
          </w:p>
        </w:tc>
      </w:tr>
      <w:tr w:rsidR="00F8631B" w:rsidRPr="00712F3C" w14:paraId="2A68129F" w14:textId="77777777" w:rsidTr="00250DAC">
        <w:trPr>
          <w:trHeight w:val="20"/>
        </w:trPr>
        <w:tc>
          <w:tcPr>
            <w:tcW w:w="1379" w:type="pct"/>
            <w:shd w:val="clear" w:color="auto" w:fill="auto"/>
            <w:hideMark/>
          </w:tcPr>
          <w:p w14:paraId="45A4B52D"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CIT</w:t>
            </w:r>
          </w:p>
        </w:tc>
        <w:tc>
          <w:tcPr>
            <w:tcW w:w="3621" w:type="pct"/>
            <w:shd w:val="clear" w:color="auto" w:fill="auto"/>
            <w:hideMark/>
          </w:tcPr>
          <w:p w14:paraId="5AC749D3"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Commissioner of Income Tax</w:t>
            </w:r>
          </w:p>
        </w:tc>
      </w:tr>
      <w:tr w:rsidR="00F8631B" w:rsidRPr="00712F3C" w14:paraId="6129F850" w14:textId="77777777" w:rsidTr="00250DAC">
        <w:trPr>
          <w:trHeight w:val="20"/>
        </w:trPr>
        <w:tc>
          <w:tcPr>
            <w:tcW w:w="1379" w:type="pct"/>
            <w:shd w:val="clear" w:color="auto" w:fill="auto"/>
            <w:hideMark/>
          </w:tcPr>
          <w:p w14:paraId="759F37F9"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CS</w:t>
            </w:r>
          </w:p>
        </w:tc>
        <w:tc>
          <w:tcPr>
            <w:tcW w:w="3621" w:type="pct"/>
            <w:shd w:val="clear" w:color="auto" w:fill="auto"/>
            <w:hideMark/>
          </w:tcPr>
          <w:p w14:paraId="78333FF8"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Company Secretary</w:t>
            </w:r>
          </w:p>
        </w:tc>
      </w:tr>
      <w:tr w:rsidR="00F8631B" w:rsidRPr="00712F3C" w14:paraId="6ED58F33" w14:textId="77777777" w:rsidTr="00250DAC">
        <w:trPr>
          <w:trHeight w:val="20"/>
        </w:trPr>
        <w:tc>
          <w:tcPr>
            <w:tcW w:w="1379" w:type="pct"/>
            <w:shd w:val="clear" w:color="auto" w:fill="auto"/>
            <w:hideMark/>
          </w:tcPr>
          <w:p w14:paraId="22281292"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CS &amp; CO</w:t>
            </w:r>
          </w:p>
        </w:tc>
        <w:tc>
          <w:tcPr>
            <w:tcW w:w="3621" w:type="pct"/>
            <w:shd w:val="clear" w:color="auto" w:fill="auto"/>
            <w:hideMark/>
          </w:tcPr>
          <w:p w14:paraId="765D2807"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Company Secretary &amp; Compliance Officer</w:t>
            </w:r>
          </w:p>
        </w:tc>
      </w:tr>
      <w:tr w:rsidR="00F8631B" w:rsidRPr="00712F3C" w14:paraId="64357616" w14:textId="77777777" w:rsidTr="00250DAC">
        <w:trPr>
          <w:trHeight w:val="20"/>
        </w:trPr>
        <w:tc>
          <w:tcPr>
            <w:tcW w:w="1379" w:type="pct"/>
            <w:shd w:val="clear" w:color="auto" w:fill="auto"/>
            <w:hideMark/>
          </w:tcPr>
          <w:p w14:paraId="11E37EB5"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CFO</w:t>
            </w:r>
          </w:p>
        </w:tc>
        <w:tc>
          <w:tcPr>
            <w:tcW w:w="3621" w:type="pct"/>
            <w:shd w:val="clear" w:color="auto" w:fill="auto"/>
            <w:hideMark/>
          </w:tcPr>
          <w:p w14:paraId="5F809DE0"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Chief Financial Officer</w:t>
            </w:r>
          </w:p>
        </w:tc>
      </w:tr>
      <w:tr w:rsidR="00F8631B" w:rsidRPr="00712F3C" w14:paraId="3DCC4DE5" w14:textId="77777777" w:rsidTr="00250DAC">
        <w:trPr>
          <w:trHeight w:val="20"/>
        </w:trPr>
        <w:tc>
          <w:tcPr>
            <w:tcW w:w="1379" w:type="pct"/>
            <w:shd w:val="clear" w:color="auto" w:fill="auto"/>
            <w:hideMark/>
          </w:tcPr>
          <w:p w14:paraId="7200106B"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CSR</w:t>
            </w:r>
          </w:p>
        </w:tc>
        <w:tc>
          <w:tcPr>
            <w:tcW w:w="3621" w:type="pct"/>
            <w:shd w:val="clear" w:color="auto" w:fill="auto"/>
            <w:hideMark/>
          </w:tcPr>
          <w:p w14:paraId="0782BE54"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Corporate Social Responsibility</w:t>
            </w:r>
          </w:p>
        </w:tc>
      </w:tr>
      <w:tr w:rsidR="00F8631B" w:rsidRPr="00712F3C" w14:paraId="23AA75E3" w14:textId="77777777" w:rsidTr="00250DAC">
        <w:trPr>
          <w:trHeight w:val="20"/>
        </w:trPr>
        <w:tc>
          <w:tcPr>
            <w:tcW w:w="1379" w:type="pct"/>
            <w:shd w:val="clear" w:color="auto" w:fill="auto"/>
          </w:tcPr>
          <w:p w14:paraId="61D51891" w14:textId="77777777" w:rsidR="00F8631B" w:rsidRPr="00712F3C" w:rsidRDefault="00F8631B" w:rsidP="00250DAC">
            <w:pPr>
              <w:pStyle w:val="Default"/>
              <w:jc w:val="both"/>
              <w:rPr>
                <w:sz w:val="20"/>
                <w:szCs w:val="20"/>
              </w:rPr>
            </w:pPr>
            <w:r w:rsidRPr="00712F3C">
              <w:rPr>
                <w:sz w:val="20"/>
                <w:szCs w:val="20"/>
              </w:rPr>
              <w:t xml:space="preserve">C.P.C. </w:t>
            </w:r>
          </w:p>
        </w:tc>
        <w:tc>
          <w:tcPr>
            <w:tcW w:w="3621" w:type="pct"/>
            <w:shd w:val="clear" w:color="auto" w:fill="auto"/>
          </w:tcPr>
          <w:p w14:paraId="471C4C5D" w14:textId="77777777" w:rsidR="00F8631B" w:rsidRPr="00712F3C" w:rsidRDefault="00F8631B" w:rsidP="00250DAC">
            <w:pPr>
              <w:pStyle w:val="Default"/>
              <w:jc w:val="both"/>
              <w:rPr>
                <w:sz w:val="20"/>
                <w:szCs w:val="20"/>
              </w:rPr>
            </w:pPr>
            <w:r w:rsidRPr="00712F3C">
              <w:rPr>
                <w:sz w:val="20"/>
                <w:szCs w:val="20"/>
              </w:rPr>
              <w:t xml:space="preserve">Code of Civil Procedure, 1908 </w:t>
            </w:r>
          </w:p>
        </w:tc>
      </w:tr>
      <w:tr w:rsidR="00F8631B" w:rsidRPr="00712F3C" w14:paraId="367633BA" w14:textId="77777777" w:rsidTr="00250DAC">
        <w:trPr>
          <w:trHeight w:val="20"/>
        </w:trPr>
        <w:tc>
          <w:tcPr>
            <w:tcW w:w="1379" w:type="pct"/>
            <w:shd w:val="clear" w:color="auto" w:fill="auto"/>
          </w:tcPr>
          <w:p w14:paraId="5D7940BB" w14:textId="77777777" w:rsidR="00F8631B" w:rsidRPr="00712F3C" w:rsidRDefault="00F8631B" w:rsidP="00250DAC">
            <w:pPr>
              <w:pStyle w:val="Default"/>
              <w:jc w:val="both"/>
              <w:rPr>
                <w:sz w:val="20"/>
                <w:szCs w:val="20"/>
              </w:rPr>
            </w:pPr>
            <w:r w:rsidRPr="00712F3C">
              <w:rPr>
                <w:sz w:val="20"/>
                <w:szCs w:val="20"/>
              </w:rPr>
              <w:t>CrPC</w:t>
            </w:r>
          </w:p>
        </w:tc>
        <w:tc>
          <w:tcPr>
            <w:tcW w:w="3621" w:type="pct"/>
            <w:shd w:val="clear" w:color="auto" w:fill="auto"/>
          </w:tcPr>
          <w:p w14:paraId="0FB539C7" w14:textId="77777777" w:rsidR="00F8631B" w:rsidRPr="00712F3C" w:rsidRDefault="00F8631B" w:rsidP="00250DAC">
            <w:pPr>
              <w:pStyle w:val="Default"/>
              <w:jc w:val="both"/>
              <w:rPr>
                <w:sz w:val="20"/>
                <w:szCs w:val="20"/>
              </w:rPr>
            </w:pPr>
            <w:r w:rsidRPr="00712F3C">
              <w:rPr>
                <w:sz w:val="20"/>
                <w:szCs w:val="20"/>
              </w:rPr>
              <w:t>Code of Criminal Procedure, 1973</w:t>
            </w:r>
          </w:p>
        </w:tc>
      </w:tr>
      <w:tr w:rsidR="00F8631B" w:rsidRPr="00712F3C" w14:paraId="3ABFD677" w14:textId="77777777" w:rsidTr="00250DAC">
        <w:trPr>
          <w:trHeight w:val="20"/>
        </w:trPr>
        <w:tc>
          <w:tcPr>
            <w:tcW w:w="1379" w:type="pct"/>
            <w:shd w:val="clear" w:color="auto" w:fill="auto"/>
            <w:hideMark/>
          </w:tcPr>
          <w:p w14:paraId="6FAB3564"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CENVAT</w:t>
            </w:r>
          </w:p>
        </w:tc>
        <w:tc>
          <w:tcPr>
            <w:tcW w:w="3621" w:type="pct"/>
            <w:shd w:val="clear" w:color="auto" w:fill="auto"/>
            <w:hideMark/>
          </w:tcPr>
          <w:p w14:paraId="162C40D5"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 xml:space="preserve">Central Value Added Tax </w:t>
            </w:r>
          </w:p>
        </w:tc>
      </w:tr>
      <w:tr w:rsidR="00F8631B" w:rsidRPr="00712F3C" w14:paraId="6325973E" w14:textId="77777777" w:rsidTr="00250DAC">
        <w:trPr>
          <w:trHeight w:val="20"/>
        </w:trPr>
        <w:tc>
          <w:tcPr>
            <w:tcW w:w="1379" w:type="pct"/>
            <w:shd w:val="clear" w:color="auto" w:fill="auto"/>
            <w:hideMark/>
          </w:tcPr>
          <w:p w14:paraId="6C9357B6"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CST</w:t>
            </w:r>
          </w:p>
        </w:tc>
        <w:tc>
          <w:tcPr>
            <w:tcW w:w="3621" w:type="pct"/>
            <w:shd w:val="clear" w:color="auto" w:fill="auto"/>
            <w:hideMark/>
          </w:tcPr>
          <w:p w14:paraId="6B98E211"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Central Sales Tax</w:t>
            </w:r>
          </w:p>
        </w:tc>
      </w:tr>
      <w:tr w:rsidR="00F8631B" w:rsidRPr="00712F3C" w14:paraId="31E7646D" w14:textId="77777777" w:rsidTr="00250DAC">
        <w:trPr>
          <w:trHeight w:val="20"/>
        </w:trPr>
        <w:tc>
          <w:tcPr>
            <w:tcW w:w="1379" w:type="pct"/>
            <w:shd w:val="clear" w:color="auto" w:fill="auto"/>
            <w:hideMark/>
          </w:tcPr>
          <w:p w14:paraId="3428031C"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lastRenderedPageBreak/>
              <w:t>CWA/ICWA</w:t>
            </w:r>
          </w:p>
        </w:tc>
        <w:tc>
          <w:tcPr>
            <w:tcW w:w="3621" w:type="pct"/>
            <w:shd w:val="clear" w:color="auto" w:fill="auto"/>
            <w:hideMark/>
          </w:tcPr>
          <w:p w14:paraId="7E0C1DFD"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Cost and Works Accountant</w:t>
            </w:r>
          </w:p>
        </w:tc>
      </w:tr>
      <w:tr w:rsidR="00F8631B" w:rsidRPr="00712F3C" w14:paraId="46612551" w14:textId="77777777" w:rsidTr="00250DAC">
        <w:trPr>
          <w:trHeight w:val="20"/>
        </w:trPr>
        <w:tc>
          <w:tcPr>
            <w:tcW w:w="1379" w:type="pct"/>
            <w:shd w:val="clear" w:color="auto" w:fill="auto"/>
            <w:hideMark/>
          </w:tcPr>
          <w:p w14:paraId="15048AA2"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CMD</w:t>
            </w:r>
          </w:p>
        </w:tc>
        <w:tc>
          <w:tcPr>
            <w:tcW w:w="3621" w:type="pct"/>
            <w:shd w:val="clear" w:color="auto" w:fill="auto"/>
            <w:hideMark/>
          </w:tcPr>
          <w:p w14:paraId="6A4724F1"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Chairman and Managing Director</w:t>
            </w:r>
          </w:p>
        </w:tc>
      </w:tr>
      <w:tr w:rsidR="00F8631B" w:rsidRPr="00712F3C" w14:paraId="0F88FAB7" w14:textId="77777777" w:rsidTr="00250DAC">
        <w:trPr>
          <w:trHeight w:val="20"/>
        </w:trPr>
        <w:tc>
          <w:tcPr>
            <w:tcW w:w="1379" w:type="pct"/>
            <w:shd w:val="clear" w:color="auto" w:fill="auto"/>
            <w:hideMark/>
          </w:tcPr>
          <w:p w14:paraId="17E16042"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DIN</w:t>
            </w:r>
          </w:p>
        </w:tc>
        <w:tc>
          <w:tcPr>
            <w:tcW w:w="3621" w:type="pct"/>
            <w:shd w:val="clear" w:color="auto" w:fill="auto"/>
            <w:hideMark/>
          </w:tcPr>
          <w:p w14:paraId="3C36708F"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Director Identification Number</w:t>
            </w:r>
          </w:p>
        </w:tc>
      </w:tr>
      <w:tr w:rsidR="00F8631B" w:rsidRPr="00712F3C" w14:paraId="598E1A74" w14:textId="77777777" w:rsidTr="00250DAC">
        <w:trPr>
          <w:trHeight w:val="20"/>
        </w:trPr>
        <w:tc>
          <w:tcPr>
            <w:tcW w:w="1379" w:type="pct"/>
            <w:shd w:val="clear" w:color="auto" w:fill="auto"/>
            <w:hideMark/>
          </w:tcPr>
          <w:p w14:paraId="1506ED04"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DIPP</w:t>
            </w:r>
          </w:p>
        </w:tc>
        <w:tc>
          <w:tcPr>
            <w:tcW w:w="3621" w:type="pct"/>
            <w:shd w:val="clear" w:color="auto" w:fill="auto"/>
            <w:hideMark/>
          </w:tcPr>
          <w:p w14:paraId="45BF5E36"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Department of Industrial Policy and Promotion, Ministry of Commerce, Government of India</w:t>
            </w:r>
          </w:p>
        </w:tc>
      </w:tr>
      <w:tr w:rsidR="00F8631B" w:rsidRPr="00712F3C" w14:paraId="6DA2A0FE" w14:textId="77777777" w:rsidTr="00250DAC">
        <w:trPr>
          <w:trHeight w:val="20"/>
        </w:trPr>
        <w:tc>
          <w:tcPr>
            <w:tcW w:w="1379" w:type="pct"/>
            <w:shd w:val="clear" w:color="auto" w:fill="auto"/>
            <w:hideMark/>
          </w:tcPr>
          <w:p w14:paraId="3B99B001"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DP</w:t>
            </w:r>
          </w:p>
        </w:tc>
        <w:tc>
          <w:tcPr>
            <w:tcW w:w="3621" w:type="pct"/>
            <w:shd w:val="clear" w:color="auto" w:fill="auto"/>
            <w:hideMark/>
          </w:tcPr>
          <w:p w14:paraId="1201E45E"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Depository Participant</w:t>
            </w:r>
          </w:p>
        </w:tc>
      </w:tr>
      <w:tr w:rsidR="00F8631B" w:rsidRPr="00712F3C" w14:paraId="04CC48B9" w14:textId="77777777" w:rsidTr="00250DAC">
        <w:trPr>
          <w:trHeight w:val="20"/>
        </w:trPr>
        <w:tc>
          <w:tcPr>
            <w:tcW w:w="1379" w:type="pct"/>
            <w:shd w:val="clear" w:color="auto" w:fill="auto"/>
            <w:hideMark/>
          </w:tcPr>
          <w:p w14:paraId="13072EFB"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 xml:space="preserve">DP ID </w:t>
            </w:r>
          </w:p>
        </w:tc>
        <w:tc>
          <w:tcPr>
            <w:tcW w:w="3621" w:type="pct"/>
            <w:shd w:val="clear" w:color="auto" w:fill="auto"/>
            <w:hideMark/>
          </w:tcPr>
          <w:p w14:paraId="15A20CA8"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Depository Participant’s Identification Number</w:t>
            </w:r>
          </w:p>
        </w:tc>
      </w:tr>
      <w:tr w:rsidR="00F8631B" w:rsidRPr="00712F3C" w14:paraId="0E2D0B32" w14:textId="77777777" w:rsidTr="00250DAC">
        <w:trPr>
          <w:trHeight w:val="20"/>
        </w:trPr>
        <w:tc>
          <w:tcPr>
            <w:tcW w:w="1379" w:type="pct"/>
            <w:shd w:val="clear" w:color="auto" w:fill="auto"/>
            <w:hideMark/>
          </w:tcPr>
          <w:p w14:paraId="2C0EA3D2"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EBITDA</w:t>
            </w:r>
          </w:p>
        </w:tc>
        <w:tc>
          <w:tcPr>
            <w:tcW w:w="3621" w:type="pct"/>
            <w:shd w:val="clear" w:color="auto" w:fill="auto"/>
            <w:hideMark/>
          </w:tcPr>
          <w:p w14:paraId="48AF751F"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Earn</w:t>
            </w:r>
            <w:r>
              <w:rPr>
                <w:rFonts w:ascii="Times New Roman" w:eastAsia="Calibri" w:hAnsi="Times New Roman"/>
                <w:bCs/>
                <w:sz w:val="20"/>
                <w:szCs w:val="20"/>
                <w:lang w:val="en-IN" w:bidi="en-US"/>
              </w:rPr>
              <w:t xml:space="preserve">ings Before Interest, Taxes, </w:t>
            </w:r>
            <w:r w:rsidRPr="00712F3C">
              <w:rPr>
                <w:rFonts w:ascii="Times New Roman" w:eastAsia="Calibri" w:hAnsi="Times New Roman"/>
                <w:bCs/>
                <w:sz w:val="20"/>
                <w:szCs w:val="20"/>
                <w:lang w:val="en-IN" w:bidi="en-US"/>
              </w:rPr>
              <w:t>Depreciation &amp; Amortization</w:t>
            </w:r>
          </w:p>
        </w:tc>
      </w:tr>
      <w:tr w:rsidR="00F8631B" w:rsidRPr="00712F3C" w14:paraId="7AAEEA30" w14:textId="77777777" w:rsidTr="00250DAC">
        <w:trPr>
          <w:trHeight w:val="20"/>
        </w:trPr>
        <w:tc>
          <w:tcPr>
            <w:tcW w:w="1379" w:type="pct"/>
            <w:shd w:val="clear" w:color="auto" w:fill="auto"/>
            <w:hideMark/>
          </w:tcPr>
          <w:p w14:paraId="711323F9"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ECS</w:t>
            </w:r>
          </w:p>
        </w:tc>
        <w:tc>
          <w:tcPr>
            <w:tcW w:w="3621" w:type="pct"/>
            <w:shd w:val="clear" w:color="auto" w:fill="auto"/>
            <w:hideMark/>
          </w:tcPr>
          <w:p w14:paraId="06580B1C"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Electronic Clearing System</w:t>
            </w:r>
          </w:p>
        </w:tc>
      </w:tr>
      <w:tr w:rsidR="00F8631B" w:rsidRPr="00712F3C" w14:paraId="0F1A91DA" w14:textId="77777777" w:rsidTr="00250DAC">
        <w:trPr>
          <w:trHeight w:val="20"/>
        </w:trPr>
        <w:tc>
          <w:tcPr>
            <w:tcW w:w="1379" w:type="pct"/>
            <w:shd w:val="clear" w:color="auto" w:fill="auto"/>
            <w:hideMark/>
          </w:tcPr>
          <w:p w14:paraId="235B3C69"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ESIC</w:t>
            </w:r>
          </w:p>
        </w:tc>
        <w:tc>
          <w:tcPr>
            <w:tcW w:w="3621" w:type="pct"/>
            <w:shd w:val="clear" w:color="auto" w:fill="auto"/>
            <w:hideMark/>
          </w:tcPr>
          <w:p w14:paraId="7E293D1E"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Employee’s State Insurance Corporation</w:t>
            </w:r>
          </w:p>
        </w:tc>
      </w:tr>
      <w:tr w:rsidR="00F8631B" w:rsidRPr="00712F3C" w14:paraId="43789BAB" w14:textId="77777777" w:rsidTr="00250DAC">
        <w:trPr>
          <w:trHeight w:val="20"/>
        </w:trPr>
        <w:tc>
          <w:tcPr>
            <w:tcW w:w="1379" w:type="pct"/>
            <w:shd w:val="clear" w:color="auto" w:fill="auto"/>
            <w:hideMark/>
          </w:tcPr>
          <w:p w14:paraId="095A05AE"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EPFA</w:t>
            </w:r>
          </w:p>
        </w:tc>
        <w:tc>
          <w:tcPr>
            <w:tcW w:w="3621" w:type="pct"/>
            <w:shd w:val="clear" w:color="auto" w:fill="auto"/>
            <w:hideMark/>
          </w:tcPr>
          <w:p w14:paraId="5D98A180"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Employee’s Provident Funds and Miscellaneous Provisions Act,1952</w:t>
            </w:r>
          </w:p>
        </w:tc>
      </w:tr>
      <w:tr w:rsidR="00F8631B" w:rsidRPr="00712F3C" w14:paraId="213E2ABA" w14:textId="77777777" w:rsidTr="00250DAC">
        <w:trPr>
          <w:trHeight w:val="20"/>
        </w:trPr>
        <w:tc>
          <w:tcPr>
            <w:tcW w:w="1379" w:type="pct"/>
            <w:shd w:val="clear" w:color="auto" w:fill="auto"/>
          </w:tcPr>
          <w:p w14:paraId="04F8C5BE" w14:textId="77777777" w:rsidR="00F8631B" w:rsidRPr="00712F3C" w:rsidRDefault="00F8631B" w:rsidP="00250DAC">
            <w:pPr>
              <w:tabs>
                <w:tab w:val="left" w:pos="3060"/>
              </w:tabs>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bidi="en-US"/>
              </w:rPr>
              <w:t>EMI</w:t>
            </w:r>
          </w:p>
        </w:tc>
        <w:tc>
          <w:tcPr>
            <w:tcW w:w="3621" w:type="pct"/>
            <w:shd w:val="clear" w:color="auto" w:fill="auto"/>
          </w:tcPr>
          <w:p w14:paraId="56C6BC99" w14:textId="77777777" w:rsidR="00F8631B" w:rsidRPr="00712F3C" w:rsidRDefault="00F8631B" w:rsidP="00250DAC">
            <w:pPr>
              <w:tabs>
                <w:tab w:val="left" w:pos="3060"/>
              </w:tabs>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bidi="en-US"/>
              </w:rPr>
              <w:t>Equated Monthly Installment</w:t>
            </w:r>
          </w:p>
        </w:tc>
      </w:tr>
      <w:tr w:rsidR="00F8631B" w:rsidRPr="00712F3C" w14:paraId="0F496BC6" w14:textId="77777777" w:rsidTr="00250DAC">
        <w:trPr>
          <w:trHeight w:val="20"/>
        </w:trPr>
        <w:tc>
          <w:tcPr>
            <w:tcW w:w="1379" w:type="pct"/>
            <w:shd w:val="clear" w:color="auto" w:fill="auto"/>
            <w:hideMark/>
          </w:tcPr>
          <w:p w14:paraId="68F9DFAF"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EPS</w:t>
            </w:r>
          </w:p>
        </w:tc>
        <w:tc>
          <w:tcPr>
            <w:tcW w:w="3621" w:type="pct"/>
            <w:shd w:val="clear" w:color="auto" w:fill="auto"/>
            <w:hideMark/>
          </w:tcPr>
          <w:p w14:paraId="55072CAA"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Earnings Per Share</w:t>
            </w:r>
          </w:p>
        </w:tc>
      </w:tr>
      <w:tr w:rsidR="00F8631B" w:rsidRPr="00712F3C" w14:paraId="07FC1DD5" w14:textId="77777777" w:rsidTr="00250DAC">
        <w:trPr>
          <w:trHeight w:val="20"/>
        </w:trPr>
        <w:tc>
          <w:tcPr>
            <w:tcW w:w="1379" w:type="pct"/>
            <w:shd w:val="clear" w:color="auto" w:fill="auto"/>
            <w:hideMark/>
          </w:tcPr>
          <w:p w14:paraId="0EB841A1"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EGM /EOGM</w:t>
            </w:r>
          </w:p>
        </w:tc>
        <w:tc>
          <w:tcPr>
            <w:tcW w:w="3621" w:type="pct"/>
            <w:shd w:val="clear" w:color="auto" w:fill="auto"/>
            <w:hideMark/>
          </w:tcPr>
          <w:p w14:paraId="4DBA87E4"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Extraordinary General Meeting</w:t>
            </w:r>
          </w:p>
        </w:tc>
      </w:tr>
      <w:tr w:rsidR="00F8631B" w:rsidRPr="00712F3C" w14:paraId="479F586A" w14:textId="77777777" w:rsidTr="00250DAC">
        <w:trPr>
          <w:trHeight w:val="20"/>
        </w:trPr>
        <w:tc>
          <w:tcPr>
            <w:tcW w:w="1379" w:type="pct"/>
            <w:shd w:val="clear" w:color="auto" w:fill="auto"/>
            <w:hideMark/>
          </w:tcPr>
          <w:p w14:paraId="6E112C59"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ESOP</w:t>
            </w:r>
          </w:p>
        </w:tc>
        <w:tc>
          <w:tcPr>
            <w:tcW w:w="3621" w:type="pct"/>
            <w:shd w:val="clear" w:color="auto" w:fill="auto"/>
            <w:hideMark/>
          </w:tcPr>
          <w:p w14:paraId="23DF4679"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Employee Stock Option Plan</w:t>
            </w:r>
          </w:p>
        </w:tc>
      </w:tr>
      <w:tr w:rsidR="00F8631B" w:rsidRPr="00712F3C" w14:paraId="0CECFD8C" w14:textId="77777777" w:rsidTr="00250DAC">
        <w:trPr>
          <w:trHeight w:val="20"/>
        </w:trPr>
        <w:tc>
          <w:tcPr>
            <w:tcW w:w="1379" w:type="pct"/>
            <w:shd w:val="clear" w:color="auto" w:fill="auto"/>
            <w:hideMark/>
          </w:tcPr>
          <w:p w14:paraId="470FA6C9"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EXIM/ EXIM Policy</w:t>
            </w:r>
          </w:p>
        </w:tc>
        <w:tc>
          <w:tcPr>
            <w:tcW w:w="3621" w:type="pct"/>
            <w:shd w:val="clear" w:color="auto" w:fill="auto"/>
            <w:hideMark/>
          </w:tcPr>
          <w:p w14:paraId="3E7E436A"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Export – Import Policy</w:t>
            </w:r>
          </w:p>
        </w:tc>
      </w:tr>
      <w:tr w:rsidR="00F8631B" w:rsidRPr="00712F3C" w14:paraId="2C87F97C" w14:textId="77777777" w:rsidTr="00250DAC">
        <w:trPr>
          <w:trHeight w:val="20"/>
        </w:trPr>
        <w:tc>
          <w:tcPr>
            <w:tcW w:w="1379" w:type="pct"/>
            <w:shd w:val="clear" w:color="auto" w:fill="auto"/>
            <w:hideMark/>
          </w:tcPr>
          <w:p w14:paraId="7AC794A2"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FCNR Account</w:t>
            </w:r>
          </w:p>
        </w:tc>
        <w:tc>
          <w:tcPr>
            <w:tcW w:w="3621" w:type="pct"/>
            <w:shd w:val="clear" w:color="auto" w:fill="auto"/>
            <w:hideMark/>
          </w:tcPr>
          <w:p w14:paraId="559E1492" w14:textId="331789DE"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Foreign Currency Non</w:t>
            </w:r>
            <w:r w:rsidR="00952AF2">
              <w:rPr>
                <w:rFonts w:ascii="Times New Roman" w:eastAsia="Calibri" w:hAnsi="Times New Roman"/>
                <w:bCs/>
                <w:sz w:val="20"/>
                <w:szCs w:val="20"/>
                <w:lang w:val="en-IN" w:bidi="en-US"/>
              </w:rPr>
              <w:t>-</w:t>
            </w:r>
            <w:r w:rsidRPr="00712F3C">
              <w:rPr>
                <w:rFonts w:ascii="Times New Roman" w:eastAsia="Calibri" w:hAnsi="Times New Roman"/>
                <w:bCs/>
                <w:sz w:val="20"/>
                <w:szCs w:val="20"/>
                <w:lang w:val="en-IN" w:bidi="en-US"/>
              </w:rPr>
              <w:t>Resident Account</w:t>
            </w:r>
          </w:p>
        </w:tc>
      </w:tr>
      <w:tr w:rsidR="00F8631B" w:rsidRPr="00712F3C" w14:paraId="25F16F79" w14:textId="77777777" w:rsidTr="00250DAC">
        <w:trPr>
          <w:trHeight w:val="20"/>
        </w:trPr>
        <w:tc>
          <w:tcPr>
            <w:tcW w:w="1379" w:type="pct"/>
            <w:shd w:val="clear" w:color="auto" w:fill="auto"/>
            <w:hideMark/>
          </w:tcPr>
          <w:p w14:paraId="777AD8B8"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FIPB</w:t>
            </w:r>
          </w:p>
        </w:tc>
        <w:tc>
          <w:tcPr>
            <w:tcW w:w="3621" w:type="pct"/>
            <w:shd w:val="clear" w:color="auto" w:fill="auto"/>
            <w:hideMark/>
          </w:tcPr>
          <w:p w14:paraId="3ED90068"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Foreign Investment Promotion Board</w:t>
            </w:r>
          </w:p>
        </w:tc>
      </w:tr>
      <w:tr w:rsidR="00F8631B" w:rsidRPr="00712F3C" w14:paraId="208D014D" w14:textId="77777777" w:rsidTr="00250DAC">
        <w:trPr>
          <w:trHeight w:val="20"/>
        </w:trPr>
        <w:tc>
          <w:tcPr>
            <w:tcW w:w="1379" w:type="pct"/>
            <w:shd w:val="clear" w:color="auto" w:fill="auto"/>
            <w:hideMark/>
          </w:tcPr>
          <w:p w14:paraId="3A4E38B1"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FY / Fiscal/Financial Year</w:t>
            </w:r>
          </w:p>
        </w:tc>
        <w:tc>
          <w:tcPr>
            <w:tcW w:w="3621" w:type="pct"/>
            <w:shd w:val="clear" w:color="auto" w:fill="auto"/>
            <w:hideMark/>
          </w:tcPr>
          <w:p w14:paraId="65E1BFEE"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Period of twelve months ended March 31 of that particular year, unless otherwise stated</w:t>
            </w:r>
          </w:p>
        </w:tc>
      </w:tr>
      <w:tr w:rsidR="00F8631B" w:rsidRPr="00712F3C" w14:paraId="46899E77" w14:textId="77777777" w:rsidTr="00250DAC">
        <w:trPr>
          <w:trHeight w:val="20"/>
        </w:trPr>
        <w:tc>
          <w:tcPr>
            <w:tcW w:w="1379" w:type="pct"/>
            <w:shd w:val="clear" w:color="auto" w:fill="auto"/>
            <w:hideMark/>
          </w:tcPr>
          <w:p w14:paraId="5C77B9C4"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FEMA</w:t>
            </w:r>
          </w:p>
        </w:tc>
        <w:tc>
          <w:tcPr>
            <w:tcW w:w="3621" w:type="pct"/>
            <w:shd w:val="clear" w:color="auto" w:fill="auto"/>
            <w:hideMark/>
          </w:tcPr>
          <w:p w14:paraId="781E8963"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Foreign Exchange Management Act, 1999 as amended from time to time, and the regulations framed there under.</w:t>
            </w:r>
          </w:p>
        </w:tc>
      </w:tr>
      <w:tr w:rsidR="00F8631B" w:rsidRPr="00712F3C" w14:paraId="1FEC0E41" w14:textId="77777777" w:rsidTr="00250DAC">
        <w:trPr>
          <w:trHeight w:val="20"/>
        </w:trPr>
        <w:tc>
          <w:tcPr>
            <w:tcW w:w="1379" w:type="pct"/>
            <w:shd w:val="clear" w:color="auto" w:fill="auto"/>
            <w:hideMark/>
          </w:tcPr>
          <w:p w14:paraId="28910CAE"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FCNR Account</w:t>
            </w:r>
          </w:p>
        </w:tc>
        <w:tc>
          <w:tcPr>
            <w:tcW w:w="3621" w:type="pct"/>
            <w:shd w:val="clear" w:color="auto" w:fill="auto"/>
            <w:hideMark/>
          </w:tcPr>
          <w:p w14:paraId="5FA033B2" w14:textId="28A2314A"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 xml:space="preserve">Foreign Currency </w:t>
            </w:r>
            <w:r w:rsidR="00952AF2" w:rsidRPr="00712F3C">
              <w:rPr>
                <w:rFonts w:ascii="Times New Roman" w:eastAsia="Calibri" w:hAnsi="Times New Roman"/>
                <w:bCs/>
                <w:sz w:val="20"/>
                <w:szCs w:val="20"/>
                <w:lang w:val="en-IN" w:bidi="en-US"/>
              </w:rPr>
              <w:t>Non-Resident</w:t>
            </w:r>
            <w:r w:rsidRPr="00712F3C">
              <w:rPr>
                <w:rFonts w:ascii="Times New Roman" w:eastAsia="Calibri" w:hAnsi="Times New Roman"/>
                <w:bCs/>
                <w:sz w:val="20"/>
                <w:szCs w:val="20"/>
                <w:lang w:val="en-IN" w:bidi="en-US"/>
              </w:rPr>
              <w:t xml:space="preserve"> Account</w:t>
            </w:r>
          </w:p>
        </w:tc>
      </w:tr>
      <w:tr w:rsidR="00F8631B" w:rsidRPr="00712F3C" w14:paraId="2EA46926" w14:textId="77777777" w:rsidTr="00250DAC">
        <w:trPr>
          <w:trHeight w:val="20"/>
        </w:trPr>
        <w:tc>
          <w:tcPr>
            <w:tcW w:w="1379" w:type="pct"/>
            <w:shd w:val="clear" w:color="auto" w:fill="auto"/>
            <w:hideMark/>
          </w:tcPr>
          <w:p w14:paraId="3DEB9E3E"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 xml:space="preserve">FBT </w:t>
            </w:r>
          </w:p>
        </w:tc>
        <w:tc>
          <w:tcPr>
            <w:tcW w:w="3621" w:type="pct"/>
            <w:shd w:val="clear" w:color="auto" w:fill="auto"/>
            <w:hideMark/>
          </w:tcPr>
          <w:p w14:paraId="13228712"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Fringe Benefit Tax</w:t>
            </w:r>
          </w:p>
        </w:tc>
      </w:tr>
      <w:tr w:rsidR="00F8631B" w:rsidRPr="00712F3C" w14:paraId="33ADAB64" w14:textId="77777777" w:rsidTr="00250DAC">
        <w:trPr>
          <w:trHeight w:val="20"/>
        </w:trPr>
        <w:tc>
          <w:tcPr>
            <w:tcW w:w="1379" w:type="pct"/>
            <w:shd w:val="clear" w:color="auto" w:fill="auto"/>
            <w:hideMark/>
          </w:tcPr>
          <w:p w14:paraId="7462A5B4"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FDI</w:t>
            </w:r>
          </w:p>
        </w:tc>
        <w:tc>
          <w:tcPr>
            <w:tcW w:w="3621" w:type="pct"/>
            <w:shd w:val="clear" w:color="auto" w:fill="auto"/>
            <w:hideMark/>
          </w:tcPr>
          <w:p w14:paraId="077BCE80"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Foreign Direct Investment</w:t>
            </w:r>
          </w:p>
        </w:tc>
      </w:tr>
      <w:tr w:rsidR="00F8631B" w:rsidRPr="00712F3C" w14:paraId="4146816B" w14:textId="77777777" w:rsidTr="00250DAC">
        <w:trPr>
          <w:trHeight w:val="20"/>
        </w:trPr>
        <w:tc>
          <w:tcPr>
            <w:tcW w:w="1379" w:type="pct"/>
            <w:shd w:val="clear" w:color="auto" w:fill="auto"/>
            <w:hideMark/>
          </w:tcPr>
          <w:p w14:paraId="2894D938"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FIs</w:t>
            </w:r>
          </w:p>
        </w:tc>
        <w:tc>
          <w:tcPr>
            <w:tcW w:w="3621" w:type="pct"/>
            <w:shd w:val="clear" w:color="auto" w:fill="auto"/>
            <w:hideMark/>
          </w:tcPr>
          <w:p w14:paraId="715E1487"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Financial Institutions</w:t>
            </w:r>
          </w:p>
        </w:tc>
      </w:tr>
      <w:tr w:rsidR="00F8631B" w:rsidRPr="00712F3C" w14:paraId="648905B5" w14:textId="77777777" w:rsidTr="00250DAC">
        <w:trPr>
          <w:trHeight w:val="20"/>
        </w:trPr>
        <w:tc>
          <w:tcPr>
            <w:tcW w:w="1379" w:type="pct"/>
            <w:shd w:val="clear" w:color="auto" w:fill="auto"/>
            <w:hideMark/>
          </w:tcPr>
          <w:p w14:paraId="48DFC1CF"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FIIs</w:t>
            </w:r>
          </w:p>
        </w:tc>
        <w:tc>
          <w:tcPr>
            <w:tcW w:w="3621" w:type="pct"/>
            <w:shd w:val="clear" w:color="auto" w:fill="auto"/>
            <w:hideMark/>
          </w:tcPr>
          <w:p w14:paraId="4B1AF72B"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Foreign Institutional Investors (as defined under Foreign Exchange Management (Transfer or Issue of Security by a Person Resident outside India) Regulations, 2000) registered with SEBI under applicable laws in India</w:t>
            </w:r>
          </w:p>
        </w:tc>
      </w:tr>
      <w:tr w:rsidR="00F8631B" w:rsidRPr="00712F3C" w14:paraId="142D69F5" w14:textId="77777777" w:rsidTr="00250DAC">
        <w:trPr>
          <w:trHeight w:val="20"/>
        </w:trPr>
        <w:tc>
          <w:tcPr>
            <w:tcW w:w="1379" w:type="pct"/>
            <w:shd w:val="clear" w:color="auto" w:fill="auto"/>
          </w:tcPr>
          <w:p w14:paraId="77ACEFD4"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FPIs</w:t>
            </w:r>
          </w:p>
        </w:tc>
        <w:tc>
          <w:tcPr>
            <w:tcW w:w="3621" w:type="pct"/>
            <w:shd w:val="clear" w:color="auto" w:fill="auto"/>
            <w:hideMark/>
          </w:tcPr>
          <w:p w14:paraId="40799A9E" w14:textId="03A435BF"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 xml:space="preserve">“Foreign Portfolio Investor” means a person who satisfies the eligibility criteria prescribed under regulation 4 and has been registered under Chapter II of Securities </w:t>
            </w:r>
            <w:r w:rsidR="00952AF2">
              <w:rPr>
                <w:rFonts w:ascii="Times New Roman" w:eastAsia="Calibri" w:hAnsi="Times New Roman"/>
                <w:bCs/>
                <w:sz w:val="20"/>
                <w:szCs w:val="20"/>
                <w:lang w:val="en-IN" w:bidi="en-US"/>
              </w:rPr>
              <w:t>a</w:t>
            </w:r>
            <w:r w:rsidRPr="00712F3C">
              <w:rPr>
                <w:rFonts w:ascii="Times New Roman" w:eastAsia="Calibri" w:hAnsi="Times New Roman"/>
                <w:bCs/>
                <w:sz w:val="20"/>
                <w:szCs w:val="20"/>
                <w:lang w:val="en-IN" w:bidi="en-US"/>
              </w:rPr>
              <w:t>nd Exchange Board of India (Foreign Portfolio Investors) Regulations, 2014, which shall be deemed to be an intermediary in terms of the provisions of the SEBI Act, 1992</w:t>
            </w:r>
          </w:p>
        </w:tc>
      </w:tr>
      <w:tr w:rsidR="00F8631B" w:rsidRPr="00712F3C" w14:paraId="6A3F586D" w14:textId="77777777" w:rsidTr="00250DAC">
        <w:trPr>
          <w:trHeight w:val="20"/>
        </w:trPr>
        <w:tc>
          <w:tcPr>
            <w:tcW w:w="1379" w:type="pct"/>
            <w:shd w:val="clear" w:color="auto" w:fill="auto"/>
            <w:hideMark/>
          </w:tcPr>
          <w:p w14:paraId="2D468537"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FTA</w:t>
            </w:r>
          </w:p>
        </w:tc>
        <w:tc>
          <w:tcPr>
            <w:tcW w:w="3621" w:type="pct"/>
            <w:shd w:val="clear" w:color="auto" w:fill="auto"/>
            <w:hideMark/>
          </w:tcPr>
          <w:p w14:paraId="05716514"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Foreign Trade Agreement</w:t>
            </w:r>
          </w:p>
        </w:tc>
      </w:tr>
      <w:tr w:rsidR="00F8631B" w:rsidRPr="00712F3C" w14:paraId="1AED4FB2" w14:textId="77777777" w:rsidTr="00250DAC">
        <w:trPr>
          <w:trHeight w:val="20"/>
        </w:trPr>
        <w:tc>
          <w:tcPr>
            <w:tcW w:w="1379" w:type="pct"/>
            <w:shd w:val="clear" w:color="auto" w:fill="auto"/>
            <w:hideMark/>
          </w:tcPr>
          <w:p w14:paraId="1B30353A"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FVCI</w:t>
            </w:r>
          </w:p>
        </w:tc>
        <w:tc>
          <w:tcPr>
            <w:tcW w:w="3621" w:type="pct"/>
            <w:shd w:val="clear" w:color="auto" w:fill="auto"/>
            <w:hideMark/>
          </w:tcPr>
          <w:p w14:paraId="2376AD91"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Foreign Venture Capital Investors registered with SEBI under the Securities and Exchange Board of India (Foreign Venture Capital Investors) Regulations, 2000.</w:t>
            </w:r>
          </w:p>
        </w:tc>
      </w:tr>
      <w:tr w:rsidR="00F8631B" w:rsidRPr="00712F3C" w14:paraId="2D86CE7B" w14:textId="77777777" w:rsidTr="00250DAC">
        <w:trPr>
          <w:trHeight w:val="20"/>
        </w:trPr>
        <w:tc>
          <w:tcPr>
            <w:tcW w:w="1379" w:type="pct"/>
            <w:shd w:val="clear" w:color="auto" w:fill="auto"/>
          </w:tcPr>
          <w:p w14:paraId="1D172619"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FEMA</w:t>
            </w:r>
          </w:p>
        </w:tc>
        <w:tc>
          <w:tcPr>
            <w:tcW w:w="3621" w:type="pct"/>
            <w:shd w:val="clear" w:color="auto" w:fill="auto"/>
          </w:tcPr>
          <w:p w14:paraId="1C1D5D08"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Foreign Exchange Management Act, 1999, including the rules and regulations thereunder</w:t>
            </w:r>
          </w:p>
        </w:tc>
      </w:tr>
      <w:tr w:rsidR="00F8631B" w:rsidRPr="00712F3C" w14:paraId="714F3CA9" w14:textId="77777777" w:rsidTr="00250DAC">
        <w:trPr>
          <w:trHeight w:val="20"/>
        </w:trPr>
        <w:tc>
          <w:tcPr>
            <w:tcW w:w="1379" w:type="pct"/>
            <w:shd w:val="clear" w:color="auto" w:fill="auto"/>
          </w:tcPr>
          <w:p w14:paraId="27ABFE9B"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FEMA Rules</w:t>
            </w:r>
          </w:p>
        </w:tc>
        <w:tc>
          <w:tcPr>
            <w:tcW w:w="3621" w:type="pct"/>
            <w:shd w:val="clear" w:color="auto" w:fill="auto"/>
          </w:tcPr>
          <w:p w14:paraId="0C534373"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Foreign Exchange Management (Non-debt Instruments) Rules, 2019</w:t>
            </w:r>
          </w:p>
        </w:tc>
      </w:tr>
      <w:tr w:rsidR="00F8631B" w:rsidRPr="00712F3C" w14:paraId="490D08A8" w14:textId="77777777" w:rsidTr="00250DAC">
        <w:trPr>
          <w:trHeight w:val="20"/>
        </w:trPr>
        <w:tc>
          <w:tcPr>
            <w:tcW w:w="1379" w:type="pct"/>
            <w:shd w:val="clear" w:color="auto" w:fill="auto"/>
          </w:tcPr>
          <w:p w14:paraId="07D70DD8"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Finance Act</w:t>
            </w:r>
          </w:p>
        </w:tc>
        <w:tc>
          <w:tcPr>
            <w:tcW w:w="3621" w:type="pct"/>
            <w:shd w:val="clear" w:color="auto" w:fill="auto"/>
          </w:tcPr>
          <w:p w14:paraId="603AC10D"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Finance Act, 1994</w:t>
            </w:r>
          </w:p>
        </w:tc>
      </w:tr>
      <w:tr w:rsidR="00F8631B" w:rsidRPr="00712F3C" w14:paraId="744C4F8F" w14:textId="77777777" w:rsidTr="00250DAC">
        <w:trPr>
          <w:trHeight w:val="20"/>
        </w:trPr>
        <w:tc>
          <w:tcPr>
            <w:tcW w:w="1379" w:type="pct"/>
            <w:shd w:val="clear" w:color="auto" w:fill="auto"/>
          </w:tcPr>
          <w:p w14:paraId="1411F551" w14:textId="77777777" w:rsidR="00F8631B" w:rsidRPr="00712F3C" w:rsidRDefault="00F8631B" w:rsidP="00250DAC">
            <w:pPr>
              <w:autoSpaceDE w:val="0"/>
              <w:autoSpaceDN w:val="0"/>
              <w:adjustRightInd w:val="0"/>
              <w:spacing w:after="0" w:line="240" w:lineRule="auto"/>
              <w:rPr>
                <w:rFonts w:ascii="Times New Roman" w:hAnsi="Times New Roman"/>
                <w:sz w:val="20"/>
                <w:szCs w:val="20"/>
              </w:rPr>
            </w:pPr>
            <w:r w:rsidRPr="00712F3C">
              <w:rPr>
                <w:rFonts w:ascii="Times New Roman" w:hAnsi="Times New Roman"/>
                <w:sz w:val="20"/>
                <w:szCs w:val="20"/>
              </w:rPr>
              <w:t>Fraudulent Borrower</w:t>
            </w:r>
          </w:p>
        </w:tc>
        <w:tc>
          <w:tcPr>
            <w:tcW w:w="3621" w:type="pct"/>
            <w:shd w:val="clear" w:color="auto" w:fill="auto"/>
          </w:tcPr>
          <w:p w14:paraId="0FFCE791" w14:textId="3ECA072E"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A fraudulent borrower as defined in Regulation 2(1)(lll) of the SEBI ICDR Regulations.</w:t>
            </w:r>
          </w:p>
        </w:tc>
      </w:tr>
      <w:tr w:rsidR="00F8631B" w:rsidRPr="00712F3C" w14:paraId="6A541726" w14:textId="77777777" w:rsidTr="00250DAC">
        <w:trPr>
          <w:trHeight w:val="20"/>
        </w:trPr>
        <w:tc>
          <w:tcPr>
            <w:tcW w:w="1379" w:type="pct"/>
            <w:shd w:val="clear" w:color="auto" w:fill="auto"/>
            <w:hideMark/>
          </w:tcPr>
          <w:p w14:paraId="2E950F65"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FV</w:t>
            </w:r>
          </w:p>
        </w:tc>
        <w:tc>
          <w:tcPr>
            <w:tcW w:w="3621" w:type="pct"/>
            <w:shd w:val="clear" w:color="auto" w:fill="auto"/>
            <w:hideMark/>
          </w:tcPr>
          <w:p w14:paraId="277C65A4"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Face Value</w:t>
            </w:r>
          </w:p>
        </w:tc>
      </w:tr>
      <w:tr w:rsidR="00F8631B" w:rsidRPr="00712F3C" w14:paraId="77DC0805" w14:textId="77777777" w:rsidTr="00250DAC">
        <w:trPr>
          <w:trHeight w:val="20"/>
        </w:trPr>
        <w:tc>
          <w:tcPr>
            <w:tcW w:w="1379" w:type="pct"/>
            <w:shd w:val="clear" w:color="auto" w:fill="auto"/>
          </w:tcPr>
          <w:p w14:paraId="3708ED17" w14:textId="77777777" w:rsidR="00F8631B" w:rsidRPr="00712F3C" w:rsidRDefault="00F8631B" w:rsidP="00250DAC">
            <w:pPr>
              <w:pStyle w:val="TableParagraph"/>
              <w:tabs>
                <w:tab w:val="left" w:pos="1331"/>
              </w:tabs>
              <w:spacing w:line="240" w:lineRule="auto"/>
              <w:jc w:val="both"/>
              <w:rPr>
                <w:sz w:val="20"/>
                <w:szCs w:val="20"/>
              </w:rPr>
            </w:pPr>
            <w:r w:rsidRPr="00712F3C">
              <w:rPr>
                <w:sz w:val="20"/>
                <w:szCs w:val="20"/>
              </w:rPr>
              <w:t>Fugitive Economic Offender</w:t>
            </w:r>
          </w:p>
        </w:tc>
        <w:tc>
          <w:tcPr>
            <w:tcW w:w="3621" w:type="pct"/>
            <w:shd w:val="clear" w:color="auto" w:fill="auto"/>
          </w:tcPr>
          <w:p w14:paraId="6C7C4E7D" w14:textId="77777777" w:rsidR="00F8631B" w:rsidRPr="00712F3C" w:rsidRDefault="00F8631B" w:rsidP="00250DAC">
            <w:pPr>
              <w:pStyle w:val="TableParagraph"/>
              <w:spacing w:line="240" w:lineRule="auto"/>
              <w:jc w:val="both"/>
              <w:rPr>
                <w:sz w:val="20"/>
                <w:szCs w:val="20"/>
              </w:rPr>
            </w:pPr>
            <w:r w:rsidRPr="00712F3C">
              <w:rPr>
                <w:sz w:val="20"/>
                <w:szCs w:val="20"/>
              </w:rPr>
              <w:t>An individual who is declared a fugitive economic offender under Section 12 of the Fugitive Economic Offenders Act, 2018</w:t>
            </w:r>
          </w:p>
        </w:tc>
      </w:tr>
      <w:tr w:rsidR="00F8631B" w:rsidRPr="00712F3C" w14:paraId="43C46B79" w14:textId="77777777" w:rsidTr="00250DAC">
        <w:trPr>
          <w:trHeight w:val="20"/>
        </w:trPr>
        <w:tc>
          <w:tcPr>
            <w:tcW w:w="1379" w:type="pct"/>
            <w:shd w:val="clear" w:color="auto" w:fill="auto"/>
            <w:hideMark/>
          </w:tcPr>
          <w:p w14:paraId="4F2C9656"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GoI/Government</w:t>
            </w:r>
          </w:p>
        </w:tc>
        <w:tc>
          <w:tcPr>
            <w:tcW w:w="3621" w:type="pct"/>
            <w:shd w:val="clear" w:color="auto" w:fill="auto"/>
            <w:hideMark/>
          </w:tcPr>
          <w:p w14:paraId="7C903815"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Government of India</w:t>
            </w:r>
          </w:p>
        </w:tc>
      </w:tr>
      <w:tr w:rsidR="00F8631B" w:rsidRPr="00712F3C" w14:paraId="12652ADE" w14:textId="77777777" w:rsidTr="00250DAC">
        <w:trPr>
          <w:trHeight w:val="20"/>
        </w:trPr>
        <w:tc>
          <w:tcPr>
            <w:tcW w:w="1379" w:type="pct"/>
            <w:shd w:val="clear" w:color="auto" w:fill="auto"/>
            <w:hideMark/>
          </w:tcPr>
          <w:p w14:paraId="615BE5E2"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GDP</w:t>
            </w:r>
          </w:p>
        </w:tc>
        <w:tc>
          <w:tcPr>
            <w:tcW w:w="3621" w:type="pct"/>
            <w:shd w:val="clear" w:color="auto" w:fill="auto"/>
            <w:hideMark/>
          </w:tcPr>
          <w:p w14:paraId="1D8F02A5"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Gross Domestic Product</w:t>
            </w:r>
          </w:p>
        </w:tc>
      </w:tr>
      <w:tr w:rsidR="00F8631B" w:rsidRPr="00712F3C" w14:paraId="51DA0204" w14:textId="77777777" w:rsidTr="00250DAC">
        <w:trPr>
          <w:trHeight w:val="20"/>
        </w:trPr>
        <w:tc>
          <w:tcPr>
            <w:tcW w:w="1379" w:type="pct"/>
            <w:shd w:val="clear" w:color="auto" w:fill="auto"/>
            <w:hideMark/>
          </w:tcPr>
          <w:p w14:paraId="4E2A3F98"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GIR Number</w:t>
            </w:r>
          </w:p>
        </w:tc>
        <w:tc>
          <w:tcPr>
            <w:tcW w:w="3621" w:type="pct"/>
            <w:shd w:val="clear" w:color="auto" w:fill="auto"/>
            <w:hideMark/>
          </w:tcPr>
          <w:p w14:paraId="45D685DB" w14:textId="77777777" w:rsidR="00F8631B" w:rsidRPr="00712F3C" w:rsidRDefault="00F8631B" w:rsidP="00250DAC">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rPr>
              <w:t>General Index Registry Number</w:t>
            </w:r>
          </w:p>
        </w:tc>
      </w:tr>
      <w:tr w:rsidR="00F8631B" w:rsidRPr="00712F3C" w14:paraId="040C58CE" w14:textId="77777777" w:rsidTr="00250DAC">
        <w:trPr>
          <w:trHeight w:val="20"/>
        </w:trPr>
        <w:tc>
          <w:tcPr>
            <w:tcW w:w="1379" w:type="pct"/>
            <w:shd w:val="clear" w:color="auto" w:fill="auto"/>
            <w:hideMark/>
          </w:tcPr>
          <w:p w14:paraId="338C3D07"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GST</w:t>
            </w:r>
          </w:p>
        </w:tc>
        <w:tc>
          <w:tcPr>
            <w:tcW w:w="3621" w:type="pct"/>
            <w:shd w:val="clear" w:color="auto" w:fill="auto"/>
            <w:hideMark/>
          </w:tcPr>
          <w:p w14:paraId="260E0CC3"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Goods and Services Tax</w:t>
            </w:r>
          </w:p>
        </w:tc>
      </w:tr>
      <w:tr w:rsidR="00F8631B" w:rsidRPr="00712F3C" w14:paraId="3F41D9CB" w14:textId="77777777" w:rsidTr="00250DAC">
        <w:trPr>
          <w:trHeight w:val="20"/>
        </w:trPr>
        <w:tc>
          <w:tcPr>
            <w:tcW w:w="1379" w:type="pct"/>
            <w:shd w:val="clear" w:color="auto" w:fill="auto"/>
            <w:hideMark/>
          </w:tcPr>
          <w:p w14:paraId="68B780A5"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GVA</w:t>
            </w:r>
          </w:p>
        </w:tc>
        <w:tc>
          <w:tcPr>
            <w:tcW w:w="3621" w:type="pct"/>
            <w:shd w:val="clear" w:color="auto" w:fill="auto"/>
            <w:hideMark/>
          </w:tcPr>
          <w:p w14:paraId="62CF216A"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Gross Value Added</w:t>
            </w:r>
          </w:p>
        </w:tc>
      </w:tr>
      <w:tr w:rsidR="00F8631B" w:rsidRPr="00712F3C" w14:paraId="6FB20A22" w14:textId="77777777" w:rsidTr="00250DAC">
        <w:trPr>
          <w:trHeight w:val="20"/>
        </w:trPr>
        <w:tc>
          <w:tcPr>
            <w:tcW w:w="1379" w:type="pct"/>
            <w:shd w:val="clear" w:color="auto" w:fill="auto"/>
            <w:hideMark/>
          </w:tcPr>
          <w:p w14:paraId="5C4D0501"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HUF</w:t>
            </w:r>
          </w:p>
        </w:tc>
        <w:tc>
          <w:tcPr>
            <w:tcW w:w="3621" w:type="pct"/>
            <w:shd w:val="clear" w:color="auto" w:fill="auto"/>
            <w:hideMark/>
          </w:tcPr>
          <w:p w14:paraId="11C5E36A"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Hindu Undivided Family</w:t>
            </w:r>
          </w:p>
        </w:tc>
      </w:tr>
      <w:tr w:rsidR="00F8631B" w:rsidRPr="00712F3C" w14:paraId="252C74D2" w14:textId="77777777" w:rsidTr="00250DAC">
        <w:trPr>
          <w:trHeight w:val="20"/>
        </w:trPr>
        <w:tc>
          <w:tcPr>
            <w:tcW w:w="1379" w:type="pct"/>
            <w:shd w:val="clear" w:color="auto" w:fill="auto"/>
            <w:hideMark/>
          </w:tcPr>
          <w:p w14:paraId="1C3BB623"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 xml:space="preserve">HNI </w:t>
            </w:r>
          </w:p>
        </w:tc>
        <w:tc>
          <w:tcPr>
            <w:tcW w:w="3621" w:type="pct"/>
            <w:shd w:val="clear" w:color="auto" w:fill="auto"/>
            <w:hideMark/>
          </w:tcPr>
          <w:p w14:paraId="39C712E4"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High Net Worth Individual</w:t>
            </w:r>
          </w:p>
        </w:tc>
      </w:tr>
      <w:tr w:rsidR="00F8631B" w:rsidRPr="00712F3C" w14:paraId="089A86FD" w14:textId="77777777" w:rsidTr="00250DAC">
        <w:trPr>
          <w:trHeight w:val="20"/>
        </w:trPr>
        <w:tc>
          <w:tcPr>
            <w:tcW w:w="1379" w:type="pct"/>
            <w:shd w:val="clear" w:color="auto" w:fill="auto"/>
          </w:tcPr>
          <w:p w14:paraId="358A5469" w14:textId="77777777" w:rsidR="00F8631B" w:rsidRPr="00712F3C" w:rsidRDefault="00F8631B" w:rsidP="00250DAC">
            <w:pPr>
              <w:pStyle w:val="Default"/>
              <w:jc w:val="both"/>
              <w:rPr>
                <w:sz w:val="20"/>
                <w:szCs w:val="20"/>
              </w:rPr>
            </w:pPr>
            <w:r w:rsidRPr="00712F3C">
              <w:rPr>
                <w:sz w:val="20"/>
                <w:szCs w:val="20"/>
              </w:rPr>
              <w:t>HSL</w:t>
            </w:r>
          </w:p>
        </w:tc>
        <w:tc>
          <w:tcPr>
            <w:tcW w:w="3621" w:type="pct"/>
            <w:shd w:val="clear" w:color="auto" w:fill="auto"/>
          </w:tcPr>
          <w:p w14:paraId="16D51BDC" w14:textId="77777777" w:rsidR="00F8631B" w:rsidRPr="00712F3C" w:rsidRDefault="00F8631B" w:rsidP="00250DAC">
            <w:pPr>
              <w:pStyle w:val="Default"/>
              <w:jc w:val="both"/>
              <w:rPr>
                <w:sz w:val="20"/>
                <w:szCs w:val="20"/>
              </w:rPr>
            </w:pPr>
            <w:r w:rsidRPr="00712F3C">
              <w:rPr>
                <w:sz w:val="20"/>
                <w:szCs w:val="20"/>
              </w:rPr>
              <w:t>Hem Securities Limited</w:t>
            </w:r>
          </w:p>
        </w:tc>
      </w:tr>
      <w:tr w:rsidR="00F8631B" w:rsidRPr="00712F3C" w14:paraId="04F7F1A9" w14:textId="77777777" w:rsidTr="00250DAC">
        <w:trPr>
          <w:trHeight w:val="20"/>
        </w:trPr>
        <w:tc>
          <w:tcPr>
            <w:tcW w:w="1379" w:type="pct"/>
            <w:shd w:val="clear" w:color="auto" w:fill="auto"/>
          </w:tcPr>
          <w:p w14:paraId="2B395700" w14:textId="77777777" w:rsidR="00F8631B" w:rsidRPr="00712F3C" w:rsidRDefault="00F8631B" w:rsidP="00250DAC">
            <w:pPr>
              <w:tabs>
                <w:tab w:val="left" w:pos="3060"/>
              </w:tabs>
              <w:spacing w:after="0" w:line="240" w:lineRule="auto"/>
              <w:jc w:val="both"/>
              <w:rPr>
                <w:rFonts w:ascii="Times New Roman" w:eastAsia="Calibri" w:hAnsi="Times New Roman"/>
                <w:bCs/>
                <w:sz w:val="20"/>
                <w:szCs w:val="20"/>
                <w:lang w:val="en-IN" w:bidi="en-US"/>
              </w:rPr>
            </w:pPr>
            <w:r w:rsidRPr="00712F3C">
              <w:rPr>
                <w:rFonts w:ascii="Times New Roman" w:eastAsia="MS Mincho" w:hAnsi="Times New Roman"/>
                <w:sz w:val="20"/>
                <w:szCs w:val="20"/>
              </w:rPr>
              <w:t>IBC</w:t>
            </w:r>
          </w:p>
        </w:tc>
        <w:tc>
          <w:tcPr>
            <w:tcW w:w="3621" w:type="pct"/>
            <w:shd w:val="clear" w:color="auto" w:fill="auto"/>
          </w:tcPr>
          <w:p w14:paraId="51CB7297" w14:textId="77777777" w:rsidR="00F8631B" w:rsidRPr="00712F3C" w:rsidRDefault="00F8631B" w:rsidP="00250DAC">
            <w:pPr>
              <w:tabs>
                <w:tab w:val="left" w:pos="3060"/>
              </w:tabs>
              <w:spacing w:after="0" w:line="240" w:lineRule="auto"/>
              <w:jc w:val="both"/>
              <w:rPr>
                <w:rFonts w:ascii="Times New Roman" w:eastAsia="Calibri" w:hAnsi="Times New Roman"/>
                <w:bCs/>
                <w:sz w:val="20"/>
                <w:szCs w:val="20"/>
                <w:lang w:val="en-IN" w:bidi="en-US"/>
              </w:rPr>
            </w:pPr>
            <w:r w:rsidRPr="00712F3C">
              <w:rPr>
                <w:rFonts w:ascii="Times New Roman" w:eastAsia="MS Mincho" w:hAnsi="Times New Roman"/>
                <w:sz w:val="20"/>
                <w:szCs w:val="20"/>
              </w:rPr>
              <w:t>The Insolvency and Bankruptcy Code, 2016</w:t>
            </w:r>
          </w:p>
        </w:tc>
      </w:tr>
      <w:tr w:rsidR="00F8631B" w:rsidRPr="00712F3C" w14:paraId="2AF7F628" w14:textId="77777777" w:rsidTr="00250DAC">
        <w:trPr>
          <w:trHeight w:val="20"/>
        </w:trPr>
        <w:tc>
          <w:tcPr>
            <w:tcW w:w="1379" w:type="pct"/>
            <w:shd w:val="clear" w:color="auto" w:fill="auto"/>
            <w:hideMark/>
          </w:tcPr>
          <w:p w14:paraId="36FE9BF7"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 xml:space="preserve">ICAI </w:t>
            </w:r>
          </w:p>
        </w:tc>
        <w:tc>
          <w:tcPr>
            <w:tcW w:w="3621" w:type="pct"/>
            <w:shd w:val="clear" w:color="auto" w:fill="auto"/>
            <w:hideMark/>
          </w:tcPr>
          <w:p w14:paraId="60B215B7"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The Institute of Chartered Accountants of India</w:t>
            </w:r>
          </w:p>
        </w:tc>
      </w:tr>
      <w:tr w:rsidR="00F8631B" w:rsidRPr="00712F3C" w14:paraId="6758D859" w14:textId="77777777" w:rsidTr="00250DAC">
        <w:trPr>
          <w:trHeight w:val="20"/>
        </w:trPr>
        <w:tc>
          <w:tcPr>
            <w:tcW w:w="1379" w:type="pct"/>
            <w:shd w:val="clear" w:color="auto" w:fill="auto"/>
          </w:tcPr>
          <w:p w14:paraId="05AB2CDC" w14:textId="77777777" w:rsidR="00F8631B" w:rsidRPr="00712F3C" w:rsidRDefault="00F8631B" w:rsidP="00250DAC">
            <w:pPr>
              <w:pStyle w:val="Default"/>
              <w:jc w:val="both"/>
              <w:rPr>
                <w:sz w:val="20"/>
                <w:szCs w:val="20"/>
              </w:rPr>
            </w:pPr>
            <w:r w:rsidRPr="00712F3C">
              <w:rPr>
                <w:sz w:val="20"/>
                <w:szCs w:val="20"/>
              </w:rPr>
              <w:t xml:space="preserve">ISIN </w:t>
            </w:r>
          </w:p>
        </w:tc>
        <w:tc>
          <w:tcPr>
            <w:tcW w:w="3621" w:type="pct"/>
            <w:shd w:val="clear" w:color="auto" w:fill="auto"/>
          </w:tcPr>
          <w:p w14:paraId="12E49C9C" w14:textId="77777777" w:rsidR="00F8631B" w:rsidRPr="00712F3C" w:rsidRDefault="00F8631B" w:rsidP="00250DAC">
            <w:pPr>
              <w:pStyle w:val="Default"/>
              <w:jc w:val="both"/>
              <w:rPr>
                <w:sz w:val="20"/>
                <w:szCs w:val="20"/>
              </w:rPr>
            </w:pPr>
            <w:r w:rsidRPr="00712F3C">
              <w:rPr>
                <w:sz w:val="20"/>
                <w:szCs w:val="20"/>
              </w:rPr>
              <w:t xml:space="preserve">International Securities Identification Number </w:t>
            </w:r>
          </w:p>
        </w:tc>
      </w:tr>
      <w:tr w:rsidR="00F8631B" w:rsidRPr="00712F3C" w14:paraId="01A1DDD7" w14:textId="77777777" w:rsidTr="00250DAC">
        <w:trPr>
          <w:trHeight w:val="20"/>
        </w:trPr>
        <w:tc>
          <w:tcPr>
            <w:tcW w:w="1379" w:type="pct"/>
            <w:shd w:val="clear" w:color="auto" w:fill="auto"/>
          </w:tcPr>
          <w:p w14:paraId="5670B9B4" w14:textId="77777777" w:rsidR="00F8631B" w:rsidRPr="00712F3C" w:rsidRDefault="00F8631B" w:rsidP="00250DAC">
            <w:pPr>
              <w:pStyle w:val="Default"/>
              <w:jc w:val="both"/>
              <w:rPr>
                <w:sz w:val="20"/>
                <w:szCs w:val="20"/>
              </w:rPr>
            </w:pPr>
            <w:r w:rsidRPr="00712F3C">
              <w:rPr>
                <w:sz w:val="20"/>
                <w:szCs w:val="20"/>
              </w:rPr>
              <w:t>IST</w:t>
            </w:r>
          </w:p>
        </w:tc>
        <w:tc>
          <w:tcPr>
            <w:tcW w:w="3621" w:type="pct"/>
            <w:shd w:val="clear" w:color="auto" w:fill="auto"/>
          </w:tcPr>
          <w:p w14:paraId="3D911365" w14:textId="77777777" w:rsidR="00F8631B" w:rsidRPr="00712F3C" w:rsidRDefault="00F8631B" w:rsidP="00250DAC">
            <w:pPr>
              <w:pStyle w:val="Default"/>
              <w:jc w:val="both"/>
              <w:rPr>
                <w:sz w:val="20"/>
                <w:szCs w:val="20"/>
              </w:rPr>
            </w:pPr>
            <w:r w:rsidRPr="00712F3C">
              <w:rPr>
                <w:sz w:val="20"/>
                <w:szCs w:val="20"/>
              </w:rPr>
              <w:t>Indian Standard Time</w:t>
            </w:r>
          </w:p>
        </w:tc>
      </w:tr>
      <w:tr w:rsidR="00F8631B" w:rsidRPr="00712F3C" w14:paraId="4689294F" w14:textId="77777777" w:rsidTr="00250DAC">
        <w:trPr>
          <w:trHeight w:val="20"/>
        </w:trPr>
        <w:tc>
          <w:tcPr>
            <w:tcW w:w="1379" w:type="pct"/>
            <w:shd w:val="clear" w:color="auto" w:fill="auto"/>
            <w:hideMark/>
          </w:tcPr>
          <w:p w14:paraId="39C833E8"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ICWAI</w:t>
            </w:r>
          </w:p>
        </w:tc>
        <w:tc>
          <w:tcPr>
            <w:tcW w:w="3621" w:type="pct"/>
            <w:shd w:val="clear" w:color="auto" w:fill="auto"/>
            <w:hideMark/>
          </w:tcPr>
          <w:p w14:paraId="507C2AF7"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The Institute of Cost Accountants of India</w:t>
            </w:r>
          </w:p>
        </w:tc>
      </w:tr>
      <w:tr w:rsidR="00F8631B" w:rsidRPr="00712F3C" w14:paraId="619BA3CF" w14:textId="77777777" w:rsidTr="00250DAC">
        <w:trPr>
          <w:trHeight w:val="20"/>
        </w:trPr>
        <w:tc>
          <w:tcPr>
            <w:tcW w:w="1379" w:type="pct"/>
            <w:shd w:val="clear" w:color="auto" w:fill="auto"/>
            <w:hideMark/>
          </w:tcPr>
          <w:p w14:paraId="1702A4E7"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IMF</w:t>
            </w:r>
          </w:p>
        </w:tc>
        <w:tc>
          <w:tcPr>
            <w:tcW w:w="3621" w:type="pct"/>
            <w:shd w:val="clear" w:color="auto" w:fill="auto"/>
            <w:hideMark/>
          </w:tcPr>
          <w:p w14:paraId="5B7CE64B"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International Monetary Fund</w:t>
            </w:r>
          </w:p>
        </w:tc>
      </w:tr>
      <w:tr w:rsidR="00F8631B" w:rsidRPr="00712F3C" w14:paraId="38415195" w14:textId="77777777" w:rsidTr="00250DAC">
        <w:trPr>
          <w:trHeight w:val="20"/>
        </w:trPr>
        <w:tc>
          <w:tcPr>
            <w:tcW w:w="1379" w:type="pct"/>
            <w:shd w:val="clear" w:color="auto" w:fill="auto"/>
            <w:hideMark/>
          </w:tcPr>
          <w:p w14:paraId="2AE830DD"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IIP</w:t>
            </w:r>
          </w:p>
        </w:tc>
        <w:tc>
          <w:tcPr>
            <w:tcW w:w="3621" w:type="pct"/>
            <w:shd w:val="clear" w:color="auto" w:fill="auto"/>
            <w:hideMark/>
          </w:tcPr>
          <w:p w14:paraId="28A76102"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Index of Industrial Production</w:t>
            </w:r>
          </w:p>
        </w:tc>
      </w:tr>
      <w:tr w:rsidR="00F8631B" w:rsidRPr="00712F3C" w14:paraId="4A3544C5" w14:textId="77777777" w:rsidTr="00250DAC">
        <w:trPr>
          <w:trHeight w:val="20"/>
        </w:trPr>
        <w:tc>
          <w:tcPr>
            <w:tcW w:w="1379" w:type="pct"/>
            <w:shd w:val="clear" w:color="auto" w:fill="auto"/>
            <w:hideMark/>
          </w:tcPr>
          <w:p w14:paraId="3CE3A263"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 xml:space="preserve">IPO </w:t>
            </w:r>
          </w:p>
        </w:tc>
        <w:tc>
          <w:tcPr>
            <w:tcW w:w="3621" w:type="pct"/>
            <w:shd w:val="clear" w:color="auto" w:fill="auto"/>
            <w:hideMark/>
          </w:tcPr>
          <w:p w14:paraId="03D980F7"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Initial Public Offer</w:t>
            </w:r>
          </w:p>
        </w:tc>
      </w:tr>
      <w:tr w:rsidR="00F8631B" w:rsidRPr="00712F3C" w14:paraId="2DFC6C7D" w14:textId="77777777" w:rsidTr="00250DAC">
        <w:trPr>
          <w:trHeight w:val="20"/>
        </w:trPr>
        <w:tc>
          <w:tcPr>
            <w:tcW w:w="1379" w:type="pct"/>
            <w:shd w:val="clear" w:color="auto" w:fill="auto"/>
            <w:hideMark/>
          </w:tcPr>
          <w:p w14:paraId="789C0684"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ICSI</w:t>
            </w:r>
          </w:p>
        </w:tc>
        <w:tc>
          <w:tcPr>
            <w:tcW w:w="3621" w:type="pct"/>
            <w:shd w:val="clear" w:color="auto" w:fill="auto"/>
            <w:hideMark/>
          </w:tcPr>
          <w:p w14:paraId="14B2E4B3"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The Institute of Company Secretaries of India</w:t>
            </w:r>
          </w:p>
        </w:tc>
      </w:tr>
      <w:tr w:rsidR="00F8631B" w:rsidRPr="00712F3C" w14:paraId="1EADF8C9" w14:textId="77777777" w:rsidTr="00250DAC">
        <w:trPr>
          <w:trHeight w:val="20"/>
        </w:trPr>
        <w:tc>
          <w:tcPr>
            <w:tcW w:w="1379" w:type="pct"/>
            <w:shd w:val="clear" w:color="auto" w:fill="auto"/>
          </w:tcPr>
          <w:p w14:paraId="47DAB97F" w14:textId="77777777" w:rsidR="00F8631B" w:rsidRPr="00712F3C" w:rsidRDefault="00F8631B" w:rsidP="00250DAC">
            <w:pPr>
              <w:pStyle w:val="TableParagraph"/>
              <w:spacing w:line="240" w:lineRule="auto"/>
              <w:rPr>
                <w:sz w:val="20"/>
                <w:szCs w:val="20"/>
              </w:rPr>
            </w:pPr>
            <w:r w:rsidRPr="00712F3C">
              <w:rPr>
                <w:sz w:val="20"/>
                <w:szCs w:val="20"/>
              </w:rPr>
              <w:lastRenderedPageBreak/>
              <w:t>IT</w:t>
            </w:r>
          </w:p>
        </w:tc>
        <w:tc>
          <w:tcPr>
            <w:tcW w:w="3621" w:type="pct"/>
            <w:shd w:val="clear" w:color="auto" w:fill="auto"/>
          </w:tcPr>
          <w:p w14:paraId="2D0B1EEB" w14:textId="77777777" w:rsidR="00F8631B" w:rsidRPr="00712F3C" w:rsidRDefault="00F8631B" w:rsidP="00250DAC">
            <w:pPr>
              <w:pStyle w:val="TableParagraph"/>
              <w:spacing w:line="240" w:lineRule="auto"/>
              <w:rPr>
                <w:sz w:val="20"/>
                <w:szCs w:val="20"/>
              </w:rPr>
            </w:pPr>
            <w:r w:rsidRPr="00712F3C">
              <w:rPr>
                <w:sz w:val="20"/>
                <w:szCs w:val="20"/>
              </w:rPr>
              <w:t>Information Technology</w:t>
            </w:r>
          </w:p>
        </w:tc>
      </w:tr>
      <w:tr w:rsidR="00F8631B" w:rsidRPr="00712F3C" w14:paraId="6779D3E9" w14:textId="77777777" w:rsidTr="00250DAC">
        <w:trPr>
          <w:trHeight w:val="20"/>
        </w:trPr>
        <w:tc>
          <w:tcPr>
            <w:tcW w:w="1379" w:type="pct"/>
            <w:shd w:val="clear" w:color="auto" w:fill="auto"/>
            <w:hideMark/>
          </w:tcPr>
          <w:p w14:paraId="132E0194"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IFRS</w:t>
            </w:r>
          </w:p>
        </w:tc>
        <w:tc>
          <w:tcPr>
            <w:tcW w:w="3621" w:type="pct"/>
            <w:shd w:val="clear" w:color="auto" w:fill="auto"/>
            <w:hideMark/>
          </w:tcPr>
          <w:p w14:paraId="66FF33F9"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International Financial Reporting Standards</w:t>
            </w:r>
          </w:p>
        </w:tc>
      </w:tr>
      <w:tr w:rsidR="00F8631B" w:rsidRPr="00712F3C" w14:paraId="136DCFC4" w14:textId="77777777" w:rsidTr="00250DAC">
        <w:trPr>
          <w:trHeight w:val="20"/>
        </w:trPr>
        <w:tc>
          <w:tcPr>
            <w:tcW w:w="1379" w:type="pct"/>
            <w:shd w:val="clear" w:color="auto" w:fill="auto"/>
            <w:hideMark/>
          </w:tcPr>
          <w:p w14:paraId="47C38688"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MS Mincho" w:hAnsi="Times New Roman"/>
                <w:sz w:val="20"/>
                <w:szCs w:val="20"/>
              </w:rPr>
              <w:t>INR / ₹/ Rupees</w:t>
            </w:r>
          </w:p>
        </w:tc>
        <w:tc>
          <w:tcPr>
            <w:tcW w:w="3621" w:type="pct"/>
            <w:shd w:val="clear" w:color="auto" w:fill="auto"/>
            <w:hideMark/>
          </w:tcPr>
          <w:p w14:paraId="330CF708"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MS Mincho" w:hAnsi="Times New Roman"/>
                <w:sz w:val="20"/>
                <w:szCs w:val="20"/>
              </w:rPr>
              <w:t>Indian Rupees, the legal currency of the Republic of India</w:t>
            </w:r>
          </w:p>
        </w:tc>
      </w:tr>
      <w:tr w:rsidR="00F8631B" w:rsidRPr="00712F3C" w14:paraId="72B1E006" w14:textId="77777777" w:rsidTr="00250DAC">
        <w:trPr>
          <w:trHeight w:val="20"/>
        </w:trPr>
        <w:tc>
          <w:tcPr>
            <w:tcW w:w="1379" w:type="pct"/>
            <w:shd w:val="clear" w:color="auto" w:fill="auto"/>
            <w:hideMark/>
          </w:tcPr>
          <w:p w14:paraId="76C84E38"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I.T. Act</w:t>
            </w:r>
          </w:p>
        </w:tc>
        <w:tc>
          <w:tcPr>
            <w:tcW w:w="3621" w:type="pct"/>
            <w:shd w:val="clear" w:color="auto" w:fill="auto"/>
            <w:hideMark/>
          </w:tcPr>
          <w:p w14:paraId="7D6DA723"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Income Tax Act, 1961, as amended from time to time</w:t>
            </w:r>
          </w:p>
        </w:tc>
      </w:tr>
      <w:tr w:rsidR="00F8631B" w:rsidRPr="00712F3C" w14:paraId="1E075430" w14:textId="77777777" w:rsidTr="00250DAC">
        <w:trPr>
          <w:trHeight w:val="20"/>
        </w:trPr>
        <w:tc>
          <w:tcPr>
            <w:tcW w:w="1379" w:type="pct"/>
            <w:shd w:val="clear" w:color="auto" w:fill="auto"/>
            <w:hideMark/>
          </w:tcPr>
          <w:p w14:paraId="2CEC3F31"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IT Authorities</w:t>
            </w:r>
          </w:p>
        </w:tc>
        <w:tc>
          <w:tcPr>
            <w:tcW w:w="3621" w:type="pct"/>
            <w:shd w:val="clear" w:color="auto" w:fill="auto"/>
            <w:hideMark/>
          </w:tcPr>
          <w:p w14:paraId="7E40FBC3"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Income Tax Authorities</w:t>
            </w:r>
          </w:p>
        </w:tc>
      </w:tr>
      <w:tr w:rsidR="00F8631B" w:rsidRPr="00712F3C" w14:paraId="6D39A9DC" w14:textId="77777777" w:rsidTr="00250DAC">
        <w:trPr>
          <w:trHeight w:val="20"/>
        </w:trPr>
        <w:tc>
          <w:tcPr>
            <w:tcW w:w="1379" w:type="pct"/>
            <w:shd w:val="clear" w:color="auto" w:fill="auto"/>
            <w:hideMark/>
          </w:tcPr>
          <w:p w14:paraId="1A358217"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IT Rules</w:t>
            </w:r>
          </w:p>
        </w:tc>
        <w:tc>
          <w:tcPr>
            <w:tcW w:w="3621" w:type="pct"/>
            <w:shd w:val="clear" w:color="auto" w:fill="auto"/>
            <w:hideMark/>
          </w:tcPr>
          <w:p w14:paraId="11CC7F3B"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Income Tax Rules, 1962, as amended, except as stated otherwise</w:t>
            </w:r>
          </w:p>
        </w:tc>
      </w:tr>
      <w:tr w:rsidR="00F8631B" w:rsidRPr="00712F3C" w14:paraId="191DBE34" w14:textId="77777777" w:rsidTr="00250DAC">
        <w:trPr>
          <w:trHeight w:val="20"/>
        </w:trPr>
        <w:tc>
          <w:tcPr>
            <w:tcW w:w="1379" w:type="pct"/>
            <w:shd w:val="clear" w:color="auto" w:fill="auto"/>
            <w:hideMark/>
          </w:tcPr>
          <w:p w14:paraId="58365C4C"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Indian GAAP</w:t>
            </w:r>
          </w:p>
        </w:tc>
        <w:tc>
          <w:tcPr>
            <w:tcW w:w="3621" w:type="pct"/>
            <w:shd w:val="clear" w:color="auto" w:fill="auto"/>
            <w:hideMark/>
          </w:tcPr>
          <w:p w14:paraId="387FC7B8"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Generally Accepted Accounting Principles in India</w:t>
            </w:r>
          </w:p>
        </w:tc>
      </w:tr>
      <w:tr w:rsidR="00F8631B" w:rsidRPr="00712F3C" w14:paraId="436ECBA9" w14:textId="77777777" w:rsidTr="00250DAC">
        <w:trPr>
          <w:trHeight w:val="20"/>
        </w:trPr>
        <w:tc>
          <w:tcPr>
            <w:tcW w:w="1379" w:type="pct"/>
            <w:shd w:val="clear" w:color="auto" w:fill="auto"/>
          </w:tcPr>
          <w:p w14:paraId="25169AFF" w14:textId="77777777" w:rsidR="00F8631B" w:rsidRPr="00712F3C" w:rsidRDefault="00F8631B" w:rsidP="00250DAC">
            <w:pPr>
              <w:tabs>
                <w:tab w:val="left" w:pos="3060"/>
              </w:tabs>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bidi="en-US"/>
              </w:rPr>
              <w:t>Ind AS</w:t>
            </w:r>
          </w:p>
        </w:tc>
        <w:tc>
          <w:tcPr>
            <w:tcW w:w="3621" w:type="pct"/>
            <w:shd w:val="clear" w:color="auto" w:fill="auto"/>
          </w:tcPr>
          <w:p w14:paraId="6F44F4C3" w14:textId="77777777" w:rsidR="00F8631B" w:rsidRPr="00712F3C" w:rsidRDefault="00F8631B" w:rsidP="00250DAC">
            <w:pPr>
              <w:tabs>
                <w:tab w:val="left" w:pos="3060"/>
              </w:tabs>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bidi="en-US"/>
              </w:rPr>
              <w:t>Indian Accounting Standards as referred to in and notified by the Ind AS Rules</w:t>
            </w:r>
          </w:p>
        </w:tc>
      </w:tr>
      <w:tr w:rsidR="00F8631B" w:rsidRPr="00712F3C" w14:paraId="6936DFA9" w14:textId="77777777" w:rsidTr="00250DAC">
        <w:trPr>
          <w:trHeight w:val="20"/>
        </w:trPr>
        <w:tc>
          <w:tcPr>
            <w:tcW w:w="1379" w:type="pct"/>
            <w:shd w:val="clear" w:color="auto" w:fill="auto"/>
          </w:tcPr>
          <w:p w14:paraId="0C87DEC0" w14:textId="77777777" w:rsidR="00F8631B" w:rsidRPr="00712F3C" w:rsidRDefault="00F8631B" w:rsidP="00250DAC">
            <w:pPr>
              <w:tabs>
                <w:tab w:val="left" w:pos="3060"/>
              </w:tabs>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bidi="en-US"/>
              </w:rPr>
              <w:t>Ind AS Rules</w:t>
            </w:r>
          </w:p>
        </w:tc>
        <w:tc>
          <w:tcPr>
            <w:tcW w:w="3621" w:type="pct"/>
            <w:shd w:val="clear" w:color="auto" w:fill="auto"/>
          </w:tcPr>
          <w:p w14:paraId="537922BF" w14:textId="77777777" w:rsidR="00F8631B" w:rsidRPr="00712F3C" w:rsidRDefault="00F8631B" w:rsidP="00250DAC">
            <w:pPr>
              <w:tabs>
                <w:tab w:val="left" w:pos="3060"/>
              </w:tabs>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bidi="en-US"/>
              </w:rPr>
              <w:t>The Companies (Indian Accounting Standard) Rules, 2015</w:t>
            </w:r>
          </w:p>
        </w:tc>
      </w:tr>
      <w:tr w:rsidR="00F8631B" w:rsidRPr="00712F3C" w14:paraId="2D8EAD78" w14:textId="77777777" w:rsidTr="00250DAC">
        <w:trPr>
          <w:trHeight w:val="20"/>
        </w:trPr>
        <w:tc>
          <w:tcPr>
            <w:tcW w:w="1379" w:type="pct"/>
            <w:shd w:val="clear" w:color="auto" w:fill="auto"/>
            <w:hideMark/>
          </w:tcPr>
          <w:p w14:paraId="792F5445"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IRDA</w:t>
            </w:r>
          </w:p>
        </w:tc>
        <w:tc>
          <w:tcPr>
            <w:tcW w:w="3621" w:type="pct"/>
            <w:shd w:val="clear" w:color="auto" w:fill="auto"/>
            <w:hideMark/>
          </w:tcPr>
          <w:p w14:paraId="27C0E144"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Insurance Regulatory and Development Authority</w:t>
            </w:r>
          </w:p>
        </w:tc>
      </w:tr>
      <w:tr w:rsidR="00F8631B" w:rsidRPr="00712F3C" w14:paraId="45AFB2C1" w14:textId="77777777" w:rsidTr="00250DAC">
        <w:trPr>
          <w:trHeight w:val="20"/>
        </w:trPr>
        <w:tc>
          <w:tcPr>
            <w:tcW w:w="1379" w:type="pct"/>
            <w:shd w:val="clear" w:color="auto" w:fill="auto"/>
            <w:hideMark/>
          </w:tcPr>
          <w:p w14:paraId="55A19E2C" w14:textId="77777777" w:rsidR="00F8631B" w:rsidRPr="00712F3C" w:rsidRDefault="00F8631B" w:rsidP="00250DAC">
            <w:pPr>
              <w:spacing w:after="0" w:line="240" w:lineRule="auto"/>
              <w:rPr>
                <w:rFonts w:ascii="Times New Roman" w:eastAsia="MS Mincho" w:hAnsi="Times New Roman"/>
                <w:color w:val="000000"/>
                <w:sz w:val="20"/>
                <w:szCs w:val="20"/>
              </w:rPr>
            </w:pPr>
            <w:r w:rsidRPr="00712F3C">
              <w:rPr>
                <w:rFonts w:ascii="Times New Roman" w:eastAsia="MS Mincho" w:hAnsi="Times New Roman"/>
                <w:color w:val="000000"/>
                <w:sz w:val="20"/>
                <w:szCs w:val="20"/>
              </w:rPr>
              <w:t xml:space="preserve">JV/ Joint Venture </w:t>
            </w:r>
          </w:p>
        </w:tc>
        <w:tc>
          <w:tcPr>
            <w:tcW w:w="3621" w:type="pct"/>
            <w:shd w:val="clear" w:color="auto" w:fill="auto"/>
            <w:hideMark/>
          </w:tcPr>
          <w:p w14:paraId="343DE610" w14:textId="77777777" w:rsidR="00F8631B" w:rsidRPr="00712F3C" w:rsidRDefault="00F8631B" w:rsidP="00250DAC">
            <w:pPr>
              <w:spacing w:after="0" w:line="240" w:lineRule="auto"/>
              <w:rPr>
                <w:rFonts w:ascii="Times New Roman" w:eastAsia="MS Mincho" w:hAnsi="Times New Roman"/>
                <w:color w:val="000000"/>
                <w:sz w:val="20"/>
                <w:szCs w:val="20"/>
              </w:rPr>
            </w:pPr>
            <w:r w:rsidRPr="00712F3C">
              <w:rPr>
                <w:rFonts w:ascii="Times New Roman" w:eastAsia="MS Mincho" w:hAnsi="Times New Roman"/>
                <w:color w:val="000000"/>
                <w:sz w:val="20"/>
                <w:szCs w:val="20"/>
              </w:rPr>
              <w:t>A commercial enterprise undertaken jointly by two or more parties which otherwise retain their distinct identities.</w:t>
            </w:r>
          </w:p>
        </w:tc>
      </w:tr>
      <w:tr w:rsidR="00F8631B" w:rsidRPr="00712F3C" w14:paraId="3FE73F12" w14:textId="77777777" w:rsidTr="00250DAC">
        <w:trPr>
          <w:trHeight w:val="20"/>
        </w:trPr>
        <w:tc>
          <w:tcPr>
            <w:tcW w:w="1379" w:type="pct"/>
            <w:shd w:val="clear" w:color="auto" w:fill="auto"/>
            <w:hideMark/>
          </w:tcPr>
          <w:p w14:paraId="00695FC6"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KMP</w:t>
            </w:r>
          </w:p>
        </w:tc>
        <w:tc>
          <w:tcPr>
            <w:tcW w:w="3621" w:type="pct"/>
            <w:shd w:val="clear" w:color="auto" w:fill="auto"/>
            <w:hideMark/>
          </w:tcPr>
          <w:p w14:paraId="658BD13F"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Key Managerial Personnel</w:t>
            </w:r>
          </w:p>
        </w:tc>
      </w:tr>
      <w:tr w:rsidR="00F8631B" w:rsidRPr="00712F3C" w14:paraId="578EC11C" w14:textId="77777777" w:rsidTr="00250DAC">
        <w:trPr>
          <w:trHeight w:val="20"/>
        </w:trPr>
        <w:tc>
          <w:tcPr>
            <w:tcW w:w="1379" w:type="pct"/>
            <w:shd w:val="clear" w:color="auto" w:fill="auto"/>
          </w:tcPr>
          <w:p w14:paraId="256B6DF5" w14:textId="77777777" w:rsidR="00F8631B" w:rsidRPr="00712F3C" w:rsidRDefault="00F8631B" w:rsidP="00250DAC">
            <w:pPr>
              <w:tabs>
                <w:tab w:val="left" w:pos="3060"/>
              </w:tabs>
              <w:spacing w:after="0" w:line="240" w:lineRule="auto"/>
              <w:jc w:val="both"/>
              <w:rPr>
                <w:rFonts w:ascii="Times New Roman" w:eastAsia="Calibri" w:hAnsi="Times New Roman"/>
                <w:bCs/>
                <w:sz w:val="20"/>
                <w:szCs w:val="20"/>
                <w:lang w:bidi="en-US"/>
              </w:rPr>
            </w:pPr>
            <w:r w:rsidRPr="00712F3C">
              <w:rPr>
                <w:rFonts w:ascii="Times New Roman" w:eastAsia="Calibri" w:hAnsi="Times New Roman"/>
                <w:bCs/>
                <w:sz w:val="20"/>
                <w:szCs w:val="20"/>
                <w:lang w:bidi="en-US"/>
              </w:rPr>
              <w:t>LLB</w:t>
            </w:r>
          </w:p>
        </w:tc>
        <w:tc>
          <w:tcPr>
            <w:tcW w:w="3621" w:type="pct"/>
            <w:shd w:val="clear" w:color="auto" w:fill="auto"/>
          </w:tcPr>
          <w:p w14:paraId="2566105F" w14:textId="77777777" w:rsidR="00F8631B" w:rsidRPr="00712F3C" w:rsidRDefault="00F8631B" w:rsidP="00250DAC">
            <w:pPr>
              <w:tabs>
                <w:tab w:val="left" w:pos="3060"/>
              </w:tabs>
              <w:spacing w:after="0" w:line="240" w:lineRule="auto"/>
              <w:jc w:val="both"/>
              <w:rPr>
                <w:rFonts w:ascii="Times New Roman" w:eastAsia="Calibri" w:hAnsi="Times New Roman"/>
                <w:bCs/>
                <w:sz w:val="20"/>
                <w:szCs w:val="20"/>
                <w:lang w:bidi="en-US"/>
              </w:rPr>
            </w:pPr>
            <w:r w:rsidRPr="00712F3C">
              <w:rPr>
                <w:rFonts w:ascii="Times New Roman" w:eastAsia="Calibri" w:hAnsi="Times New Roman"/>
                <w:bCs/>
                <w:sz w:val="20"/>
                <w:szCs w:val="20"/>
                <w:lang w:bidi="en-US"/>
              </w:rPr>
              <w:t>Bachelor of Law</w:t>
            </w:r>
          </w:p>
        </w:tc>
      </w:tr>
      <w:tr w:rsidR="00F8631B" w:rsidRPr="00712F3C" w14:paraId="5CF45695" w14:textId="77777777" w:rsidTr="00250DAC">
        <w:trPr>
          <w:trHeight w:val="20"/>
        </w:trPr>
        <w:tc>
          <w:tcPr>
            <w:tcW w:w="1379" w:type="pct"/>
            <w:shd w:val="clear" w:color="auto" w:fill="auto"/>
            <w:hideMark/>
          </w:tcPr>
          <w:p w14:paraId="1A933CA5"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Ltd.</w:t>
            </w:r>
          </w:p>
        </w:tc>
        <w:tc>
          <w:tcPr>
            <w:tcW w:w="3621" w:type="pct"/>
            <w:shd w:val="clear" w:color="auto" w:fill="auto"/>
            <w:hideMark/>
          </w:tcPr>
          <w:p w14:paraId="1D8A47E1"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Limited</w:t>
            </w:r>
          </w:p>
        </w:tc>
      </w:tr>
      <w:tr w:rsidR="00F8631B" w:rsidRPr="00712F3C" w14:paraId="45699A45" w14:textId="77777777" w:rsidTr="00250DAC">
        <w:trPr>
          <w:trHeight w:val="20"/>
        </w:trPr>
        <w:tc>
          <w:tcPr>
            <w:tcW w:w="1379" w:type="pct"/>
            <w:shd w:val="clear" w:color="auto" w:fill="auto"/>
          </w:tcPr>
          <w:p w14:paraId="24AA75C9" w14:textId="77777777" w:rsidR="00F8631B" w:rsidRPr="00712F3C" w:rsidRDefault="00F8631B" w:rsidP="00250DAC">
            <w:pPr>
              <w:tabs>
                <w:tab w:val="left" w:pos="3060"/>
              </w:tabs>
              <w:spacing w:after="0" w:line="240" w:lineRule="auto"/>
              <w:jc w:val="both"/>
              <w:rPr>
                <w:rFonts w:ascii="Times New Roman" w:eastAsia="Calibri" w:hAnsi="Times New Roman"/>
                <w:bCs/>
                <w:sz w:val="20"/>
                <w:szCs w:val="20"/>
                <w:lang w:val="en-IN" w:bidi="en-US"/>
              </w:rPr>
            </w:pPr>
            <w:r w:rsidRPr="00712F3C">
              <w:rPr>
                <w:rFonts w:ascii="Times New Roman" w:eastAsia="MS Mincho" w:hAnsi="Times New Roman"/>
                <w:sz w:val="20"/>
                <w:szCs w:val="20"/>
              </w:rPr>
              <w:t>LLP</w:t>
            </w:r>
          </w:p>
        </w:tc>
        <w:tc>
          <w:tcPr>
            <w:tcW w:w="3621" w:type="pct"/>
            <w:shd w:val="clear" w:color="auto" w:fill="auto"/>
          </w:tcPr>
          <w:p w14:paraId="3A7569D3" w14:textId="77777777" w:rsidR="00F8631B" w:rsidRPr="00712F3C" w:rsidRDefault="00F8631B" w:rsidP="00250DAC">
            <w:pPr>
              <w:tabs>
                <w:tab w:val="left" w:pos="3060"/>
              </w:tabs>
              <w:spacing w:after="0" w:line="240" w:lineRule="auto"/>
              <w:jc w:val="both"/>
              <w:rPr>
                <w:rFonts w:ascii="Times New Roman" w:eastAsia="Calibri" w:hAnsi="Times New Roman"/>
                <w:bCs/>
                <w:sz w:val="20"/>
                <w:szCs w:val="20"/>
                <w:lang w:val="en-IN" w:bidi="en-US"/>
              </w:rPr>
            </w:pPr>
            <w:r w:rsidRPr="00712F3C">
              <w:rPr>
                <w:rFonts w:ascii="Times New Roman" w:eastAsia="MS Mincho" w:hAnsi="Times New Roman"/>
                <w:sz w:val="20"/>
                <w:szCs w:val="20"/>
              </w:rPr>
              <w:t>Limited Liability Partnership</w:t>
            </w:r>
          </w:p>
        </w:tc>
      </w:tr>
      <w:tr w:rsidR="00F8631B" w:rsidRPr="00712F3C" w14:paraId="5D50467E" w14:textId="77777777" w:rsidTr="00250DAC">
        <w:trPr>
          <w:trHeight w:val="20"/>
        </w:trPr>
        <w:tc>
          <w:tcPr>
            <w:tcW w:w="1379" w:type="pct"/>
            <w:shd w:val="clear" w:color="auto" w:fill="auto"/>
            <w:hideMark/>
          </w:tcPr>
          <w:p w14:paraId="7F502201"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MAT</w:t>
            </w:r>
          </w:p>
        </w:tc>
        <w:tc>
          <w:tcPr>
            <w:tcW w:w="3621" w:type="pct"/>
            <w:shd w:val="clear" w:color="auto" w:fill="auto"/>
            <w:hideMark/>
          </w:tcPr>
          <w:p w14:paraId="40357181"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Minimum Alternate Tax</w:t>
            </w:r>
          </w:p>
        </w:tc>
      </w:tr>
      <w:tr w:rsidR="00F8631B" w:rsidRPr="00712F3C" w14:paraId="57AC2363" w14:textId="77777777" w:rsidTr="00250DAC">
        <w:trPr>
          <w:trHeight w:val="20"/>
        </w:trPr>
        <w:tc>
          <w:tcPr>
            <w:tcW w:w="1379" w:type="pct"/>
            <w:shd w:val="clear" w:color="auto" w:fill="auto"/>
            <w:hideMark/>
          </w:tcPr>
          <w:p w14:paraId="6BAD2770"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MoF</w:t>
            </w:r>
          </w:p>
        </w:tc>
        <w:tc>
          <w:tcPr>
            <w:tcW w:w="3621" w:type="pct"/>
            <w:shd w:val="clear" w:color="auto" w:fill="auto"/>
            <w:hideMark/>
          </w:tcPr>
          <w:p w14:paraId="6CCEE174"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Ministry of Finance, Government of India</w:t>
            </w:r>
          </w:p>
        </w:tc>
      </w:tr>
      <w:tr w:rsidR="00F8631B" w:rsidRPr="00712F3C" w14:paraId="1AEDED2A" w14:textId="77777777" w:rsidTr="00250DAC">
        <w:trPr>
          <w:trHeight w:val="20"/>
        </w:trPr>
        <w:tc>
          <w:tcPr>
            <w:tcW w:w="1379" w:type="pct"/>
            <w:shd w:val="clear" w:color="auto" w:fill="auto"/>
            <w:hideMark/>
          </w:tcPr>
          <w:p w14:paraId="01D67DBC"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MoU</w:t>
            </w:r>
          </w:p>
        </w:tc>
        <w:tc>
          <w:tcPr>
            <w:tcW w:w="3621" w:type="pct"/>
            <w:shd w:val="clear" w:color="auto" w:fill="auto"/>
            <w:hideMark/>
          </w:tcPr>
          <w:p w14:paraId="1CA256F0"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 xml:space="preserve">Memorandum of Understanding </w:t>
            </w:r>
          </w:p>
        </w:tc>
      </w:tr>
      <w:tr w:rsidR="00F8631B" w:rsidRPr="00712F3C" w14:paraId="7B095F84" w14:textId="77777777" w:rsidTr="00250DAC">
        <w:trPr>
          <w:trHeight w:val="20"/>
        </w:trPr>
        <w:tc>
          <w:tcPr>
            <w:tcW w:w="1379" w:type="pct"/>
            <w:shd w:val="clear" w:color="auto" w:fill="auto"/>
            <w:hideMark/>
          </w:tcPr>
          <w:p w14:paraId="34B022AD"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M. A</w:t>
            </w:r>
          </w:p>
        </w:tc>
        <w:tc>
          <w:tcPr>
            <w:tcW w:w="3621" w:type="pct"/>
            <w:shd w:val="clear" w:color="auto" w:fill="auto"/>
            <w:hideMark/>
          </w:tcPr>
          <w:p w14:paraId="642F0616"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Master of Arts</w:t>
            </w:r>
          </w:p>
        </w:tc>
      </w:tr>
      <w:tr w:rsidR="00F8631B" w:rsidRPr="00712F3C" w14:paraId="1DEFE623" w14:textId="77777777" w:rsidTr="00250DAC">
        <w:trPr>
          <w:trHeight w:val="20"/>
        </w:trPr>
        <w:tc>
          <w:tcPr>
            <w:tcW w:w="1379" w:type="pct"/>
            <w:shd w:val="clear" w:color="auto" w:fill="auto"/>
          </w:tcPr>
          <w:p w14:paraId="31A24FE1" w14:textId="77777777" w:rsidR="00F8631B" w:rsidRPr="00712F3C" w:rsidRDefault="00F8631B" w:rsidP="00250DAC">
            <w:pPr>
              <w:tabs>
                <w:tab w:val="left" w:pos="3060"/>
              </w:tabs>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bidi="en-US"/>
              </w:rPr>
              <w:t>MCA</w:t>
            </w:r>
          </w:p>
        </w:tc>
        <w:tc>
          <w:tcPr>
            <w:tcW w:w="3621" w:type="pct"/>
            <w:shd w:val="clear" w:color="auto" w:fill="auto"/>
          </w:tcPr>
          <w:p w14:paraId="3ADF2735" w14:textId="77777777" w:rsidR="00F8631B" w:rsidRPr="00712F3C" w:rsidRDefault="00F8631B" w:rsidP="00250DAC">
            <w:pPr>
              <w:tabs>
                <w:tab w:val="left" w:pos="3060"/>
              </w:tabs>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bidi="en-US"/>
              </w:rPr>
              <w:t>Ministry of Corporate Affairs, Government of India</w:t>
            </w:r>
          </w:p>
        </w:tc>
      </w:tr>
      <w:tr w:rsidR="00F8631B" w:rsidRPr="00712F3C" w14:paraId="1B690EE2" w14:textId="77777777" w:rsidTr="00250DAC">
        <w:trPr>
          <w:trHeight w:val="20"/>
        </w:trPr>
        <w:tc>
          <w:tcPr>
            <w:tcW w:w="1379" w:type="pct"/>
            <w:shd w:val="clear" w:color="auto" w:fill="auto"/>
            <w:hideMark/>
          </w:tcPr>
          <w:p w14:paraId="175C83F1"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M. B. A</w:t>
            </w:r>
          </w:p>
        </w:tc>
        <w:tc>
          <w:tcPr>
            <w:tcW w:w="3621" w:type="pct"/>
            <w:shd w:val="clear" w:color="auto" w:fill="auto"/>
            <w:hideMark/>
          </w:tcPr>
          <w:p w14:paraId="533E6301"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Master of Business Administration</w:t>
            </w:r>
          </w:p>
        </w:tc>
      </w:tr>
      <w:tr w:rsidR="00F8631B" w:rsidRPr="00712F3C" w14:paraId="2269AFB1" w14:textId="77777777" w:rsidTr="00250DAC">
        <w:trPr>
          <w:trHeight w:val="20"/>
        </w:trPr>
        <w:tc>
          <w:tcPr>
            <w:tcW w:w="1379" w:type="pct"/>
            <w:shd w:val="clear" w:color="auto" w:fill="auto"/>
          </w:tcPr>
          <w:p w14:paraId="286CAEB2" w14:textId="77777777" w:rsidR="00F8631B" w:rsidRPr="00712F3C" w:rsidRDefault="00F8631B" w:rsidP="00250DAC">
            <w:pPr>
              <w:tabs>
                <w:tab w:val="left" w:pos="3060"/>
              </w:tabs>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bidi="en-US"/>
              </w:rPr>
              <w:t>MAT</w:t>
            </w:r>
          </w:p>
        </w:tc>
        <w:tc>
          <w:tcPr>
            <w:tcW w:w="3621" w:type="pct"/>
            <w:shd w:val="clear" w:color="auto" w:fill="auto"/>
          </w:tcPr>
          <w:p w14:paraId="6C76BE26" w14:textId="77777777" w:rsidR="00F8631B" w:rsidRPr="00712F3C" w:rsidRDefault="00F8631B" w:rsidP="00250DAC">
            <w:pPr>
              <w:tabs>
                <w:tab w:val="left" w:pos="3060"/>
              </w:tabs>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bidi="en-US"/>
              </w:rPr>
              <w:t>Minimum Alternate Tax</w:t>
            </w:r>
          </w:p>
        </w:tc>
      </w:tr>
      <w:tr w:rsidR="00F8631B" w:rsidRPr="00712F3C" w14:paraId="6D8E9D21" w14:textId="77777777" w:rsidTr="00250DAC">
        <w:trPr>
          <w:trHeight w:val="20"/>
        </w:trPr>
        <w:tc>
          <w:tcPr>
            <w:tcW w:w="1379" w:type="pct"/>
            <w:shd w:val="clear" w:color="auto" w:fill="auto"/>
            <w:hideMark/>
          </w:tcPr>
          <w:p w14:paraId="4B85E4C1"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M. Com</w:t>
            </w:r>
          </w:p>
        </w:tc>
        <w:tc>
          <w:tcPr>
            <w:tcW w:w="3621" w:type="pct"/>
            <w:shd w:val="clear" w:color="auto" w:fill="auto"/>
            <w:hideMark/>
          </w:tcPr>
          <w:p w14:paraId="6AA59694"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Master of Commerce</w:t>
            </w:r>
          </w:p>
        </w:tc>
      </w:tr>
      <w:tr w:rsidR="00F8631B" w:rsidRPr="00712F3C" w14:paraId="40B24F4C" w14:textId="77777777" w:rsidTr="00250DAC">
        <w:trPr>
          <w:trHeight w:val="20"/>
        </w:trPr>
        <w:tc>
          <w:tcPr>
            <w:tcW w:w="1379" w:type="pct"/>
            <w:shd w:val="clear" w:color="auto" w:fill="auto"/>
            <w:hideMark/>
          </w:tcPr>
          <w:p w14:paraId="132EF460"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Mn</w:t>
            </w:r>
          </w:p>
        </w:tc>
        <w:tc>
          <w:tcPr>
            <w:tcW w:w="3621" w:type="pct"/>
            <w:shd w:val="clear" w:color="auto" w:fill="auto"/>
            <w:hideMark/>
          </w:tcPr>
          <w:p w14:paraId="0B61C43F"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Million</w:t>
            </w:r>
          </w:p>
        </w:tc>
      </w:tr>
      <w:tr w:rsidR="00F8631B" w:rsidRPr="00712F3C" w14:paraId="1046B4E3" w14:textId="77777777" w:rsidTr="00250DAC">
        <w:trPr>
          <w:trHeight w:val="20"/>
        </w:trPr>
        <w:tc>
          <w:tcPr>
            <w:tcW w:w="1379" w:type="pct"/>
            <w:shd w:val="clear" w:color="auto" w:fill="auto"/>
            <w:hideMark/>
          </w:tcPr>
          <w:p w14:paraId="1398E91C"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M. E</w:t>
            </w:r>
          </w:p>
        </w:tc>
        <w:tc>
          <w:tcPr>
            <w:tcW w:w="3621" w:type="pct"/>
            <w:shd w:val="clear" w:color="auto" w:fill="auto"/>
            <w:hideMark/>
          </w:tcPr>
          <w:p w14:paraId="6C338A1F"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Master of Engineering</w:t>
            </w:r>
          </w:p>
        </w:tc>
      </w:tr>
      <w:tr w:rsidR="00F8631B" w:rsidRPr="00712F3C" w14:paraId="2AD1D088" w14:textId="77777777" w:rsidTr="00250DAC">
        <w:trPr>
          <w:trHeight w:val="20"/>
        </w:trPr>
        <w:tc>
          <w:tcPr>
            <w:tcW w:w="1379" w:type="pct"/>
            <w:shd w:val="clear" w:color="auto" w:fill="auto"/>
            <w:hideMark/>
          </w:tcPr>
          <w:p w14:paraId="0396120E"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M. Tech</w:t>
            </w:r>
          </w:p>
        </w:tc>
        <w:tc>
          <w:tcPr>
            <w:tcW w:w="3621" w:type="pct"/>
            <w:shd w:val="clear" w:color="auto" w:fill="auto"/>
            <w:hideMark/>
          </w:tcPr>
          <w:p w14:paraId="2F3F4F4C"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Masters of Technology</w:t>
            </w:r>
          </w:p>
        </w:tc>
      </w:tr>
      <w:tr w:rsidR="00F8631B" w:rsidRPr="00712F3C" w14:paraId="45EC4F78" w14:textId="77777777" w:rsidTr="00250DAC">
        <w:trPr>
          <w:trHeight w:val="20"/>
        </w:trPr>
        <w:tc>
          <w:tcPr>
            <w:tcW w:w="1379" w:type="pct"/>
            <w:shd w:val="clear" w:color="auto" w:fill="auto"/>
            <w:hideMark/>
          </w:tcPr>
          <w:p w14:paraId="4E39B48B"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Merchant Banker</w:t>
            </w:r>
          </w:p>
        </w:tc>
        <w:tc>
          <w:tcPr>
            <w:tcW w:w="3621" w:type="pct"/>
            <w:shd w:val="clear" w:color="auto" w:fill="auto"/>
            <w:hideMark/>
          </w:tcPr>
          <w:p w14:paraId="16D008BF"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Merchant Banker as defined under the Securities and Exchange Board of India (Merchant Bankers) Regulations, 1992</w:t>
            </w:r>
          </w:p>
        </w:tc>
      </w:tr>
      <w:tr w:rsidR="00F8631B" w:rsidRPr="00712F3C" w14:paraId="2CE831AE" w14:textId="77777777" w:rsidTr="00250DAC">
        <w:trPr>
          <w:trHeight w:val="20"/>
        </w:trPr>
        <w:tc>
          <w:tcPr>
            <w:tcW w:w="1379" w:type="pct"/>
            <w:shd w:val="clear" w:color="auto" w:fill="auto"/>
            <w:hideMark/>
          </w:tcPr>
          <w:p w14:paraId="15B17E65"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MSME</w:t>
            </w:r>
          </w:p>
        </w:tc>
        <w:tc>
          <w:tcPr>
            <w:tcW w:w="3621" w:type="pct"/>
            <w:shd w:val="clear" w:color="auto" w:fill="auto"/>
            <w:hideMark/>
          </w:tcPr>
          <w:p w14:paraId="554AAD53"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Micro, Small and Medium Enterprises</w:t>
            </w:r>
          </w:p>
        </w:tc>
      </w:tr>
      <w:tr w:rsidR="00F8631B" w:rsidRPr="00712F3C" w14:paraId="57D3C24D" w14:textId="77777777" w:rsidTr="00250DAC">
        <w:trPr>
          <w:trHeight w:val="20"/>
        </w:trPr>
        <w:tc>
          <w:tcPr>
            <w:tcW w:w="1379" w:type="pct"/>
            <w:shd w:val="clear" w:color="auto" w:fill="auto"/>
            <w:hideMark/>
          </w:tcPr>
          <w:p w14:paraId="62C6A298"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 xml:space="preserve">MAPIN </w:t>
            </w:r>
          </w:p>
        </w:tc>
        <w:tc>
          <w:tcPr>
            <w:tcW w:w="3621" w:type="pct"/>
            <w:shd w:val="clear" w:color="auto" w:fill="auto"/>
            <w:hideMark/>
          </w:tcPr>
          <w:p w14:paraId="79589EDF"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Market Participants and Investors Database</w:t>
            </w:r>
          </w:p>
        </w:tc>
      </w:tr>
      <w:tr w:rsidR="00F8631B" w:rsidRPr="00712F3C" w14:paraId="7CC5F178" w14:textId="77777777" w:rsidTr="00250DAC">
        <w:trPr>
          <w:trHeight w:val="20"/>
        </w:trPr>
        <w:tc>
          <w:tcPr>
            <w:tcW w:w="1379" w:type="pct"/>
            <w:shd w:val="clear" w:color="auto" w:fill="auto"/>
            <w:hideMark/>
          </w:tcPr>
          <w:p w14:paraId="71D1F663"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NA</w:t>
            </w:r>
          </w:p>
        </w:tc>
        <w:tc>
          <w:tcPr>
            <w:tcW w:w="3621" w:type="pct"/>
            <w:shd w:val="clear" w:color="auto" w:fill="auto"/>
            <w:hideMark/>
          </w:tcPr>
          <w:p w14:paraId="1EE61BD1"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Not Applicable</w:t>
            </w:r>
          </w:p>
        </w:tc>
      </w:tr>
      <w:tr w:rsidR="00F8631B" w:rsidRPr="00712F3C" w14:paraId="388F2807" w14:textId="77777777" w:rsidTr="00250DAC">
        <w:trPr>
          <w:trHeight w:val="20"/>
        </w:trPr>
        <w:tc>
          <w:tcPr>
            <w:tcW w:w="1379" w:type="pct"/>
            <w:shd w:val="clear" w:color="auto" w:fill="auto"/>
            <w:hideMark/>
          </w:tcPr>
          <w:p w14:paraId="50CD92E9"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NCLT</w:t>
            </w:r>
          </w:p>
        </w:tc>
        <w:tc>
          <w:tcPr>
            <w:tcW w:w="3621" w:type="pct"/>
            <w:shd w:val="clear" w:color="auto" w:fill="auto"/>
            <w:hideMark/>
          </w:tcPr>
          <w:p w14:paraId="7989DA78"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National Company Law Tribunal </w:t>
            </w:r>
          </w:p>
        </w:tc>
      </w:tr>
      <w:tr w:rsidR="00F8631B" w:rsidRPr="00712F3C" w14:paraId="7A7D34C0" w14:textId="77777777" w:rsidTr="00250DAC">
        <w:trPr>
          <w:trHeight w:val="20"/>
        </w:trPr>
        <w:tc>
          <w:tcPr>
            <w:tcW w:w="1379" w:type="pct"/>
            <w:shd w:val="clear" w:color="auto" w:fill="auto"/>
            <w:hideMark/>
          </w:tcPr>
          <w:p w14:paraId="66FF66E3"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Networth</w:t>
            </w:r>
          </w:p>
        </w:tc>
        <w:tc>
          <w:tcPr>
            <w:tcW w:w="3621" w:type="pct"/>
            <w:shd w:val="clear" w:color="auto" w:fill="auto"/>
            <w:hideMark/>
          </w:tcPr>
          <w:p w14:paraId="6F1B0434" w14:textId="2D33DD56"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The aggregate of paid</w:t>
            </w:r>
            <w:r w:rsidR="00952AF2">
              <w:rPr>
                <w:rFonts w:ascii="Times New Roman" w:eastAsia="Calibri" w:hAnsi="Times New Roman"/>
                <w:bCs/>
                <w:sz w:val="20"/>
                <w:szCs w:val="20"/>
                <w:lang w:val="en-IN" w:bidi="en-US"/>
              </w:rPr>
              <w:t>-</w:t>
            </w:r>
            <w:r w:rsidRPr="00712F3C">
              <w:rPr>
                <w:rFonts w:ascii="Times New Roman" w:eastAsia="Calibri" w:hAnsi="Times New Roman"/>
                <w:bCs/>
                <w:sz w:val="20"/>
                <w:szCs w:val="20"/>
                <w:lang w:val="en-IN" w:bidi="en-US"/>
              </w:rPr>
              <w:t>up Share Capital and Share Premium account and Reserves and Surplus</w:t>
            </w:r>
            <w:r w:rsidR="00952AF2">
              <w:rPr>
                <w:rFonts w:ascii="Times New Roman" w:eastAsia="Calibri" w:hAnsi="Times New Roman"/>
                <w:bCs/>
                <w:sz w:val="20"/>
                <w:szCs w:val="20"/>
                <w:lang w:val="en-IN" w:bidi="en-US"/>
              </w:rPr>
              <w:t xml:space="preserve"> </w:t>
            </w:r>
            <w:r w:rsidRPr="00712F3C">
              <w:rPr>
                <w:rFonts w:ascii="Times New Roman" w:eastAsia="Calibri" w:hAnsi="Times New Roman"/>
                <w:bCs/>
                <w:sz w:val="20"/>
                <w:szCs w:val="20"/>
                <w:lang w:val="en-IN" w:bidi="en-US"/>
              </w:rPr>
              <w:t>(Excluding revaluation reserves) as reduced by aggregate of Miscellaneous Expenditur</w:t>
            </w:r>
            <w:r w:rsidR="00952AF2">
              <w:rPr>
                <w:rFonts w:ascii="Times New Roman" w:eastAsia="Calibri" w:hAnsi="Times New Roman"/>
                <w:bCs/>
                <w:sz w:val="20"/>
                <w:szCs w:val="20"/>
                <w:lang w:val="en-IN" w:bidi="en-US"/>
              </w:rPr>
              <w:t xml:space="preserve">e </w:t>
            </w:r>
            <w:r w:rsidRPr="00712F3C">
              <w:rPr>
                <w:rFonts w:ascii="Times New Roman" w:eastAsia="Calibri" w:hAnsi="Times New Roman"/>
                <w:bCs/>
                <w:sz w:val="20"/>
                <w:szCs w:val="20"/>
                <w:lang w:val="en-IN" w:bidi="en-US"/>
              </w:rPr>
              <w:t>(</w:t>
            </w:r>
            <w:r w:rsidR="00952AF2">
              <w:rPr>
                <w:rFonts w:ascii="Times New Roman" w:eastAsia="Calibri" w:hAnsi="Times New Roman"/>
                <w:bCs/>
                <w:sz w:val="20"/>
                <w:szCs w:val="20"/>
                <w:lang w:val="en-IN" w:bidi="en-US"/>
              </w:rPr>
              <w:t>t</w:t>
            </w:r>
            <w:r w:rsidRPr="00712F3C">
              <w:rPr>
                <w:rFonts w:ascii="Times New Roman" w:eastAsia="Calibri" w:hAnsi="Times New Roman"/>
                <w:bCs/>
                <w:sz w:val="20"/>
                <w:szCs w:val="20"/>
                <w:lang w:val="en-IN" w:bidi="en-US"/>
              </w:rPr>
              <w:t>o the extent not written off) and debit balance of Profit &amp; Loss Account</w:t>
            </w:r>
          </w:p>
        </w:tc>
      </w:tr>
      <w:tr w:rsidR="00F8631B" w:rsidRPr="00712F3C" w14:paraId="5BD844D9" w14:textId="77777777" w:rsidTr="00250DAC">
        <w:trPr>
          <w:trHeight w:val="20"/>
        </w:trPr>
        <w:tc>
          <w:tcPr>
            <w:tcW w:w="1379" w:type="pct"/>
            <w:shd w:val="clear" w:color="auto" w:fill="auto"/>
          </w:tcPr>
          <w:p w14:paraId="305D9F50"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NACH</w:t>
            </w:r>
          </w:p>
        </w:tc>
        <w:tc>
          <w:tcPr>
            <w:tcW w:w="3621" w:type="pct"/>
            <w:shd w:val="clear" w:color="auto" w:fill="auto"/>
          </w:tcPr>
          <w:p w14:paraId="12B599C1"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National Automated Clearing House</w:t>
            </w:r>
          </w:p>
        </w:tc>
      </w:tr>
      <w:tr w:rsidR="00F8631B" w:rsidRPr="00712F3C" w14:paraId="42A1368D" w14:textId="77777777" w:rsidTr="00250DAC">
        <w:trPr>
          <w:trHeight w:val="20"/>
        </w:trPr>
        <w:tc>
          <w:tcPr>
            <w:tcW w:w="1379" w:type="pct"/>
            <w:shd w:val="clear" w:color="auto" w:fill="auto"/>
            <w:hideMark/>
          </w:tcPr>
          <w:p w14:paraId="12D61A77"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 xml:space="preserve">NEFT </w:t>
            </w:r>
          </w:p>
        </w:tc>
        <w:tc>
          <w:tcPr>
            <w:tcW w:w="3621" w:type="pct"/>
            <w:shd w:val="clear" w:color="auto" w:fill="auto"/>
            <w:hideMark/>
          </w:tcPr>
          <w:p w14:paraId="3AC214B5"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National Electronic Funds Transfer</w:t>
            </w:r>
          </w:p>
        </w:tc>
      </w:tr>
      <w:tr w:rsidR="00F8631B" w:rsidRPr="00712F3C" w14:paraId="49B4BC82" w14:textId="77777777" w:rsidTr="00250DAC">
        <w:trPr>
          <w:trHeight w:val="20"/>
        </w:trPr>
        <w:tc>
          <w:tcPr>
            <w:tcW w:w="1379" w:type="pct"/>
            <w:shd w:val="clear" w:color="auto" w:fill="auto"/>
            <w:hideMark/>
          </w:tcPr>
          <w:p w14:paraId="3DB68E0C"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NECS</w:t>
            </w:r>
          </w:p>
        </w:tc>
        <w:tc>
          <w:tcPr>
            <w:tcW w:w="3621" w:type="pct"/>
            <w:shd w:val="clear" w:color="auto" w:fill="auto"/>
            <w:hideMark/>
          </w:tcPr>
          <w:p w14:paraId="1F743F7F"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National Electronic Clearing System</w:t>
            </w:r>
          </w:p>
        </w:tc>
      </w:tr>
      <w:tr w:rsidR="00F8631B" w:rsidRPr="00712F3C" w14:paraId="1DF6FD93" w14:textId="77777777" w:rsidTr="00250DAC">
        <w:trPr>
          <w:trHeight w:val="20"/>
        </w:trPr>
        <w:tc>
          <w:tcPr>
            <w:tcW w:w="1379" w:type="pct"/>
            <w:shd w:val="clear" w:color="auto" w:fill="auto"/>
            <w:hideMark/>
          </w:tcPr>
          <w:p w14:paraId="35B0AB1B"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NAV</w:t>
            </w:r>
          </w:p>
        </w:tc>
        <w:tc>
          <w:tcPr>
            <w:tcW w:w="3621" w:type="pct"/>
            <w:shd w:val="clear" w:color="auto" w:fill="auto"/>
            <w:hideMark/>
          </w:tcPr>
          <w:p w14:paraId="55A10984"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 xml:space="preserve">Net Asset Value </w:t>
            </w:r>
          </w:p>
        </w:tc>
      </w:tr>
      <w:tr w:rsidR="00F8631B" w:rsidRPr="00712F3C" w14:paraId="783E9334" w14:textId="77777777" w:rsidTr="00250DAC">
        <w:trPr>
          <w:trHeight w:val="20"/>
        </w:trPr>
        <w:tc>
          <w:tcPr>
            <w:tcW w:w="1379" w:type="pct"/>
            <w:shd w:val="clear" w:color="auto" w:fill="auto"/>
            <w:hideMark/>
          </w:tcPr>
          <w:p w14:paraId="276AA41B"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NCT</w:t>
            </w:r>
          </w:p>
        </w:tc>
        <w:tc>
          <w:tcPr>
            <w:tcW w:w="3621" w:type="pct"/>
            <w:shd w:val="clear" w:color="auto" w:fill="auto"/>
            <w:hideMark/>
          </w:tcPr>
          <w:p w14:paraId="41266006"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National Capital Territory</w:t>
            </w:r>
          </w:p>
        </w:tc>
      </w:tr>
      <w:tr w:rsidR="00F8631B" w:rsidRPr="00712F3C" w14:paraId="089290E6" w14:textId="77777777" w:rsidTr="00250DAC">
        <w:trPr>
          <w:trHeight w:val="20"/>
        </w:trPr>
        <w:tc>
          <w:tcPr>
            <w:tcW w:w="1379" w:type="pct"/>
            <w:shd w:val="clear" w:color="auto" w:fill="auto"/>
            <w:hideMark/>
          </w:tcPr>
          <w:p w14:paraId="13A2279B"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NPV</w:t>
            </w:r>
          </w:p>
        </w:tc>
        <w:tc>
          <w:tcPr>
            <w:tcW w:w="3621" w:type="pct"/>
            <w:shd w:val="clear" w:color="auto" w:fill="auto"/>
            <w:hideMark/>
          </w:tcPr>
          <w:p w14:paraId="4ED62692"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Net Present Value</w:t>
            </w:r>
          </w:p>
        </w:tc>
      </w:tr>
      <w:tr w:rsidR="00F8631B" w:rsidRPr="00712F3C" w14:paraId="3A5235B1" w14:textId="77777777" w:rsidTr="00250DAC">
        <w:trPr>
          <w:trHeight w:val="20"/>
        </w:trPr>
        <w:tc>
          <w:tcPr>
            <w:tcW w:w="1379" w:type="pct"/>
            <w:shd w:val="clear" w:color="auto" w:fill="auto"/>
            <w:hideMark/>
          </w:tcPr>
          <w:p w14:paraId="79CD8392"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NRIs</w:t>
            </w:r>
          </w:p>
        </w:tc>
        <w:tc>
          <w:tcPr>
            <w:tcW w:w="3621" w:type="pct"/>
            <w:shd w:val="clear" w:color="auto" w:fill="auto"/>
            <w:hideMark/>
          </w:tcPr>
          <w:p w14:paraId="5C3D64D5"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Non-Resident Indians</w:t>
            </w:r>
          </w:p>
        </w:tc>
      </w:tr>
      <w:tr w:rsidR="00F8631B" w:rsidRPr="00712F3C" w14:paraId="6BEA86D1" w14:textId="77777777" w:rsidTr="00250DAC">
        <w:trPr>
          <w:trHeight w:val="20"/>
        </w:trPr>
        <w:tc>
          <w:tcPr>
            <w:tcW w:w="1379" w:type="pct"/>
            <w:shd w:val="clear" w:color="auto" w:fill="auto"/>
            <w:hideMark/>
          </w:tcPr>
          <w:p w14:paraId="7EE299DE"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NRE Account</w:t>
            </w:r>
          </w:p>
        </w:tc>
        <w:tc>
          <w:tcPr>
            <w:tcW w:w="3621" w:type="pct"/>
            <w:shd w:val="clear" w:color="auto" w:fill="auto"/>
            <w:hideMark/>
          </w:tcPr>
          <w:p w14:paraId="5635E04B" w14:textId="342E5B6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Non</w:t>
            </w:r>
            <w:r w:rsidR="00952AF2">
              <w:rPr>
                <w:rFonts w:ascii="Times New Roman" w:eastAsia="Calibri" w:hAnsi="Times New Roman"/>
                <w:bCs/>
                <w:sz w:val="20"/>
                <w:szCs w:val="20"/>
                <w:lang w:val="en-IN" w:bidi="en-US"/>
              </w:rPr>
              <w:t>-</w:t>
            </w:r>
            <w:r w:rsidRPr="00712F3C">
              <w:rPr>
                <w:rFonts w:ascii="Times New Roman" w:eastAsia="Calibri" w:hAnsi="Times New Roman"/>
                <w:bCs/>
                <w:sz w:val="20"/>
                <w:szCs w:val="20"/>
                <w:lang w:val="en-IN" w:bidi="en-US"/>
              </w:rPr>
              <w:t xml:space="preserve">Resident External Account </w:t>
            </w:r>
          </w:p>
        </w:tc>
      </w:tr>
      <w:tr w:rsidR="00F8631B" w:rsidRPr="00712F3C" w14:paraId="0286899D" w14:textId="77777777" w:rsidTr="00250DAC">
        <w:trPr>
          <w:trHeight w:val="20"/>
        </w:trPr>
        <w:tc>
          <w:tcPr>
            <w:tcW w:w="1379" w:type="pct"/>
            <w:shd w:val="clear" w:color="auto" w:fill="auto"/>
            <w:hideMark/>
          </w:tcPr>
          <w:p w14:paraId="1F42FD82"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NRO Account</w:t>
            </w:r>
          </w:p>
        </w:tc>
        <w:tc>
          <w:tcPr>
            <w:tcW w:w="3621" w:type="pct"/>
            <w:shd w:val="clear" w:color="auto" w:fill="auto"/>
            <w:hideMark/>
          </w:tcPr>
          <w:p w14:paraId="6804282F" w14:textId="3A103875"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Non</w:t>
            </w:r>
            <w:r w:rsidR="00952AF2">
              <w:rPr>
                <w:rFonts w:ascii="Times New Roman" w:eastAsia="Calibri" w:hAnsi="Times New Roman"/>
                <w:bCs/>
                <w:sz w:val="20"/>
                <w:szCs w:val="20"/>
                <w:lang w:val="en-IN" w:bidi="en-US"/>
              </w:rPr>
              <w:t>-</w:t>
            </w:r>
            <w:r w:rsidRPr="00712F3C">
              <w:rPr>
                <w:rFonts w:ascii="Times New Roman" w:eastAsia="Calibri" w:hAnsi="Times New Roman"/>
                <w:bCs/>
                <w:sz w:val="20"/>
                <w:szCs w:val="20"/>
                <w:lang w:val="en-IN" w:bidi="en-US"/>
              </w:rPr>
              <w:t>Resident Ordinary Account</w:t>
            </w:r>
          </w:p>
        </w:tc>
      </w:tr>
      <w:tr w:rsidR="00F8631B" w:rsidRPr="00712F3C" w14:paraId="13EE40E9" w14:textId="77777777" w:rsidTr="00250DAC">
        <w:trPr>
          <w:trHeight w:val="20"/>
        </w:trPr>
        <w:tc>
          <w:tcPr>
            <w:tcW w:w="1379" w:type="pct"/>
            <w:shd w:val="clear" w:color="auto" w:fill="auto"/>
            <w:hideMark/>
          </w:tcPr>
          <w:p w14:paraId="7E5A0D25"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NSE</w:t>
            </w:r>
          </w:p>
        </w:tc>
        <w:tc>
          <w:tcPr>
            <w:tcW w:w="3621" w:type="pct"/>
            <w:shd w:val="clear" w:color="auto" w:fill="auto"/>
            <w:hideMark/>
          </w:tcPr>
          <w:p w14:paraId="5FB73EBA"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National Stock Exchange of India Limited</w:t>
            </w:r>
          </w:p>
        </w:tc>
      </w:tr>
      <w:tr w:rsidR="00F8631B" w:rsidRPr="00712F3C" w14:paraId="4CDFC4B5" w14:textId="77777777" w:rsidTr="00250DAC">
        <w:trPr>
          <w:trHeight w:val="20"/>
        </w:trPr>
        <w:tc>
          <w:tcPr>
            <w:tcW w:w="1379" w:type="pct"/>
            <w:shd w:val="clear" w:color="auto" w:fill="auto"/>
            <w:hideMark/>
          </w:tcPr>
          <w:p w14:paraId="363CEE3B"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NOC</w:t>
            </w:r>
          </w:p>
        </w:tc>
        <w:tc>
          <w:tcPr>
            <w:tcW w:w="3621" w:type="pct"/>
            <w:shd w:val="clear" w:color="auto" w:fill="auto"/>
            <w:hideMark/>
          </w:tcPr>
          <w:p w14:paraId="5A8C2121"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No Objection Certificate</w:t>
            </w:r>
          </w:p>
        </w:tc>
      </w:tr>
      <w:tr w:rsidR="00F8631B" w:rsidRPr="00712F3C" w14:paraId="6CC88C96" w14:textId="77777777" w:rsidTr="00250DAC">
        <w:trPr>
          <w:trHeight w:val="20"/>
        </w:trPr>
        <w:tc>
          <w:tcPr>
            <w:tcW w:w="1379" w:type="pct"/>
            <w:shd w:val="clear" w:color="auto" w:fill="auto"/>
            <w:hideMark/>
          </w:tcPr>
          <w:p w14:paraId="3F8A25CD"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NSDL</w:t>
            </w:r>
          </w:p>
        </w:tc>
        <w:tc>
          <w:tcPr>
            <w:tcW w:w="3621" w:type="pct"/>
            <w:shd w:val="clear" w:color="auto" w:fill="auto"/>
            <w:hideMark/>
          </w:tcPr>
          <w:p w14:paraId="31D8FF57"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National Securities Depository Limited</w:t>
            </w:r>
          </w:p>
        </w:tc>
      </w:tr>
      <w:tr w:rsidR="00F8631B" w:rsidRPr="00712F3C" w14:paraId="55889C74" w14:textId="77777777" w:rsidTr="00250DAC">
        <w:trPr>
          <w:trHeight w:val="20"/>
        </w:trPr>
        <w:tc>
          <w:tcPr>
            <w:tcW w:w="1379" w:type="pct"/>
            <w:shd w:val="clear" w:color="auto" w:fill="auto"/>
            <w:hideMark/>
          </w:tcPr>
          <w:p w14:paraId="64C64A7B"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OCB or Overseas Corporate Body</w:t>
            </w:r>
          </w:p>
        </w:tc>
        <w:tc>
          <w:tcPr>
            <w:tcW w:w="3621" w:type="pct"/>
            <w:shd w:val="clear" w:color="auto" w:fill="auto"/>
            <w:hideMark/>
          </w:tcPr>
          <w:p w14:paraId="2624316B"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A company, partnership, society or other corporate body owned directly or indirectly to the extent of at least 60% by NRIs including overseas trusts in which not less than 60% of the beneficial interest is irrevocably held by NRIs directly or indirectly and which was in existence on October 3, 2003 and immediately before such date was eligible to undertake transactions pursuant to the general permission granted to OCBs under the FEMA. OCBs are not allowed to invest in the Issue.</w:t>
            </w:r>
          </w:p>
        </w:tc>
      </w:tr>
      <w:tr w:rsidR="00F8631B" w:rsidRPr="00712F3C" w14:paraId="5684560B" w14:textId="77777777" w:rsidTr="00250DAC">
        <w:trPr>
          <w:trHeight w:val="20"/>
        </w:trPr>
        <w:tc>
          <w:tcPr>
            <w:tcW w:w="1379" w:type="pct"/>
            <w:shd w:val="clear" w:color="auto" w:fill="auto"/>
            <w:hideMark/>
          </w:tcPr>
          <w:p w14:paraId="74E6EC06"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P.A.</w:t>
            </w:r>
          </w:p>
        </w:tc>
        <w:tc>
          <w:tcPr>
            <w:tcW w:w="3621" w:type="pct"/>
            <w:shd w:val="clear" w:color="auto" w:fill="auto"/>
            <w:hideMark/>
          </w:tcPr>
          <w:p w14:paraId="59F992DF"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Per Annum</w:t>
            </w:r>
          </w:p>
        </w:tc>
      </w:tr>
      <w:tr w:rsidR="00F8631B" w:rsidRPr="00712F3C" w14:paraId="56A92953" w14:textId="77777777" w:rsidTr="00250DAC">
        <w:trPr>
          <w:trHeight w:val="20"/>
        </w:trPr>
        <w:tc>
          <w:tcPr>
            <w:tcW w:w="1379" w:type="pct"/>
            <w:shd w:val="clear" w:color="auto" w:fill="auto"/>
            <w:hideMark/>
          </w:tcPr>
          <w:p w14:paraId="2DE5C674"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PF</w:t>
            </w:r>
          </w:p>
        </w:tc>
        <w:tc>
          <w:tcPr>
            <w:tcW w:w="3621" w:type="pct"/>
            <w:shd w:val="clear" w:color="auto" w:fill="auto"/>
            <w:hideMark/>
          </w:tcPr>
          <w:p w14:paraId="62FB1D8A"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Provident Fund</w:t>
            </w:r>
          </w:p>
        </w:tc>
      </w:tr>
      <w:tr w:rsidR="00F8631B" w:rsidRPr="00712F3C" w14:paraId="75D9EA5C" w14:textId="77777777" w:rsidTr="00250DAC">
        <w:trPr>
          <w:trHeight w:val="20"/>
        </w:trPr>
        <w:tc>
          <w:tcPr>
            <w:tcW w:w="1379" w:type="pct"/>
            <w:shd w:val="clear" w:color="auto" w:fill="auto"/>
            <w:hideMark/>
          </w:tcPr>
          <w:p w14:paraId="32A32819"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PG</w:t>
            </w:r>
          </w:p>
        </w:tc>
        <w:tc>
          <w:tcPr>
            <w:tcW w:w="3621" w:type="pct"/>
            <w:shd w:val="clear" w:color="auto" w:fill="auto"/>
            <w:hideMark/>
          </w:tcPr>
          <w:p w14:paraId="384623D8"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Post Graduate</w:t>
            </w:r>
          </w:p>
        </w:tc>
      </w:tr>
      <w:tr w:rsidR="00F8631B" w:rsidRPr="00712F3C" w14:paraId="7ED4F2C2" w14:textId="77777777" w:rsidTr="00250DAC">
        <w:trPr>
          <w:trHeight w:val="20"/>
        </w:trPr>
        <w:tc>
          <w:tcPr>
            <w:tcW w:w="1379" w:type="pct"/>
            <w:shd w:val="clear" w:color="auto" w:fill="auto"/>
          </w:tcPr>
          <w:p w14:paraId="4400C3E8" w14:textId="77777777" w:rsidR="00F8631B" w:rsidRPr="00712F3C" w:rsidRDefault="00F8631B" w:rsidP="00250DAC">
            <w:pPr>
              <w:tabs>
                <w:tab w:val="left" w:pos="3060"/>
              </w:tabs>
              <w:spacing w:after="0" w:line="240" w:lineRule="auto"/>
              <w:jc w:val="both"/>
              <w:rPr>
                <w:rFonts w:ascii="Times New Roman" w:eastAsia="Calibri" w:hAnsi="Times New Roman"/>
                <w:bCs/>
                <w:sz w:val="20"/>
                <w:szCs w:val="20"/>
                <w:lang w:bidi="en-US"/>
              </w:rPr>
            </w:pPr>
            <w:r w:rsidRPr="00712F3C">
              <w:rPr>
                <w:rFonts w:ascii="Times New Roman" w:eastAsia="Calibri" w:hAnsi="Times New Roman"/>
                <w:bCs/>
                <w:sz w:val="20"/>
                <w:szCs w:val="20"/>
                <w:lang w:bidi="en-US"/>
              </w:rPr>
              <w:t>PGDBA</w:t>
            </w:r>
          </w:p>
        </w:tc>
        <w:tc>
          <w:tcPr>
            <w:tcW w:w="3621" w:type="pct"/>
            <w:shd w:val="clear" w:color="auto" w:fill="auto"/>
          </w:tcPr>
          <w:p w14:paraId="6C68781D" w14:textId="77777777" w:rsidR="00F8631B" w:rsidRPr="00712F3C" w:rsidRDefault="00F8631B" w:rsidP="00250DAC">
            <w:pPr>
              <w:tabs>
                <w:tab w:val="left" w:pos="3060"/>
              </w:tabs>
              <w:spacing w:after="0" w:line="240" w:lineRule="auto"/>
              <w:jc w:val="both"/>
              <w:rPr>
                <w:rFonts w:ascii="Times New Roman" w:eastAsia="Calibri" w:hAnsi="Times New Roman"/>
                <w:bCs/>
                <w:sz w:val="20"/>
                <w:szCs w:val="20"/>
                <w:lang w:bidi="en-US"/>
              </w:rPr>
            </w:pPr>
            <w:r w:rsidRPr="00712F3C">
              <w:rPr>
                <w:rFonts w:ascii="Times New Roman" w:eastAsia="Calibri" w:hAnsi="Times New Roman"/>
                <w:bCs/>
                <w:sz w:val="20"/>
                <w:szCs w:val="20"/>
                <w:lang w:bidi="en-US"/>
              </w:rPr>
              <w:t>Post Graduate Diploma in Business Administration</w:t>
            </w:r>
          </w:p>
        </w:tc>
      </w:tr>
      <w:tr w:rsidR="00F8631B" w:rsidRPr="00712F3C" w14:paraId="29CCC06B" w14:textId="77777777" w:rsidTr="00250DAC">
        <w:trPr>
          <w:trHeight w:val="20"/>
        </w:trPr>
        <w:tc>
          <w:tcPr>
            <w:tcW w:w="1379" w:type="pct"/>
            <w:shd w:val="clear" w:color="auto" w:fill="auto"/>
          </w:tcPr>
          <w:p w14:paraId="4A71F0FD" w14:textId="77777777" w:rsidR="00F8631B" w:rsidRPr="00712F3C" w:rsidRDefault="00F8631B" w:rsidP="00250DAC">
            <w:pPr>
              <w:pStyle w:val="Default"/>
              <w:jc w:val="both"/>
              <w:rPr>
                <w:sz w:val="20"/>
                <w:szCs w:val="20"/>
              </w:rPr>
            </w:pPr>
            <w:r w:rsidRPr="00712F3C">
              <w:rPr>
                <w:sz w:val="20"/>
                <w:szCs w:val="20"/>
              </w:rPr>
              <w:lastRenderedPageBreak/>
              <w:t xml:space="preserve">PLR </w:t>
            </w:r>
          </w:p>
        </w:tc>
        <w:tc>
          <w:tcPr>
            <w:tcW w:w="3621" w:type="pct"/>
            <w:shd w:val="clear" w:color="auto" w:fill="auto"/>
          </w:tcPr>
          <w:p w14:paraId="10370523" w14:textId="77777777" w:rsidR="00F8631B" w:rsidRPr="00712F3C" w:rsidRDefault="00F8631B" w:rsidP="00250DAC">
            <w:pPr>
              <w:pStyle w:val="Default"/>
              <w:jc w:val="both"/>
              <w:rPr>
                <w:sz w:val="20"/>
                <w:szCs w:val="20"/>
              </w:rPr>
            </w:pPr>
            <w:r w:rsidRPr="00712F3C">
              <w:rPr>
                <w:sz w:val="20"/>
                <w:szCs w:val="20"/>
              </w:rPr>
              <w:t xml:space="preserve">Prime Lending Rate </w:t>
            </w:r>
          </w:p>
        </w:tc>
      </w:tr>
      <w:tr w:rsidR="00F8631B" w:rsidRPr="00712F3C" w14:paraId="5306BC0E" w14:textId="77777777" w:rsidTr="00250DAC">
        <w:trPr>
          <w:trHeight w:val="20"/>
        </w:trPr>
        <w:tc>
          <w:tcPr>
            <w:tcW w:w="1379" w:type="pct"/>
            <w:shd w:val="clear" w:color="auto" w:fill="auto"/>
            <w:hideMark/>
          </w:tcPr>
          <w:p w14:paraId="2EFEA542"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PAC</w:t>
            </w:r>
          </w:p>
        </w:tc>
        <w:tc>
          <w:tcPr>
            <w:tcW w:w="3621" w:type="pct"/>
            <w:shd w:val="clear" w:color="auto" w:fill="auto"/>
            <w:hideMark/>
          </w:tcPr>
          <w:p w14:paraId="7A16AD64"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Persons Acting in Concert</w:t>
            </w:r>
          </w:p>
        </w:tc>
      </w:tr>
      <w:tr w:rsidR="00F8631B" w:rsidRPr="00712F3C" w14:paraId="38258C35" w14:textId="77777777" w:rsidTr="00250DAC">
        <w:trPr>
          <w:trHeight w:val="20"/>
        </w:trPr>
        <w:tc>
          <w:tcPr>
            <w:tcW w:w="1379" w:type="pct"/>
            <w:shd w:val="clear" w:color="auto" w:fill="auto"/>
            <w:hideMark/>
          </w:tcPr>
          <w:p w14:paraId="44694020"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P/E Ratio</w:t>
            </w:r>
          </w:p>
        </w:tc>
        <w:tc>
          <w:tcPr>
            <w:tcW w:w="3621" w:type="pct"/>
            <w:shd w:val="clear" w:color="auto" w:fill="auto"/>
            <w:hideMark/>
          </w:tcPr>
          <w:p w14:paraId="14CDD9B4"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Price/Earnings Ratio</w:t>
            </w:r>
          </w:p>
        </w:tc>
      </w:tr>
      <w:tr w:rsidR="00F8631B" w:rsidRPr="00712F3C" w14:paraId="757B70EA" w14:textId="77777777" w:rsidTr="00250DAC">
        <w:trPr>
          <w:trHeight w:val="20"/>
        </w:trPr>
        <w:tc>
          <w:tcPr>
            <w:tcW w:w="1379" w:type="pct"/>
            <w:shd w:val="clear" w:color="auto" w:fill="auto"/>
            <w:hideMark/>
          </w:tcPr>
          <w:p w14:paraId="1380A17A"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PAN</w:t>
            </w:r>
          </w:p>
        </w:tc>
        <w:tc>
          <w:tcPr>
            <w:tcW w:w="3621" w:type="pct"/>
            <w:shd w:val="clear" w:color="auto" w:fill="auto"/>
            <w:hideMark/>
          </w:tcPr>
          <w:p w14:paraId="48BF7F17"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Permanent Account Number</w:t>
            </w:r>
          </w:p>
        </w:tc>
      </w:tr>
      <w:tr w:rsidR="00F8631B" w:rsidRPr="00712F3C" w14:paraId="5A898C1C" w14:textId="77777777" w:rsidTr="00250DAC">
        <w:trPr>
          <w:trHeight w:val="20"/>
        </w:trPr>
        <w:tc>
          <w:tcPr>
            <w:tcW w:w="1379" w:type="pct"/>
            <w:shd w:val="clear" w:color="auto" w:fill="auto"/>
            <w:hideMark/>
          </w:tcPr>
          <w:p w14:paraId="1BA7BFDD"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PAT</w:t>
            </w:r>
          </w:p>
        </w:tc>
        <w:tc>
          <w:tcPr>
            <w:tcW w:w="3621" w:type="pct"/>
            <w:shd w:val="clear" w:color="auto" w:fill="auto"/>
            <w:hideMark/>
          </w:tcPr>
          <w:p w14:paraId="0D7848B2"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Profit After Tax</w:t>
            </w:r>
          </w:p>
        </w:tc>
      </w:tr>
      <w:tr w:rsidR="00F8631B" w:rsidRPr="00712F3C" w14:paraId="21B19F0D" w14:textId="77777777" w:rsidTr="00250DAC">
        <w:trPr>
          <w:trHeight w:val="20"/>
        </w:trPr>
        <w:tc>
          <w:tcPr>
            <w:tcW w:w="1379" w:type="pct"/>
            <w:shd w:val="clear" w:color="auto" w:fill="auto"/>
          </w:tcPr>
          <w:p w14:paraId="69D0F7E5" w14:textId="77777777" w:rsidR="00F8631B" w:rsidRPr="00712F3C" w:rsidRDefault="00F8631B" w:rsidP="00250DAC">
            <w:pPr>
              <w:tabs>
                <w:tab w:val="left" w:pos="3060"/>
              </w:tabs>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bidi="en-US"/>
              </w:rPr>
              <w:t>P.O.</w:t>
            </w:r>
          </w:p>
        </w:tc>
        <w:tc>
          <w:tcPr>
            <w:tcW w:w="3621" w:type="pct"/>
            <w:shd w:val="clear" w:color="auto" w:fill="auto"/>
          </w:tcPr>
          <w:p w14:paraId="10C2F159" w14:textId="77777777" w:rsidR="00F8631B" w:rsidRPr="00712F3C" w:rsidRDefault="00F8631B" w:rsidP="00250DAC">
            <w:pPr>
              <w:tabs>
                <w:tab w:val="left" w:pos="3060"/>
              </w:tabs>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bidi="en-US"/>
              </w:rPr>
              <w:t>Purchase Order</w:t>
            </w:r>
          </w:p>
        </w:tc>
      </w:tr>
      <w:tr w:rsidR="00F8631B" w:rsidRPr="00712F3C" w14:paraId="27DE5BF3" w14:textId="77777777" w:rsidTr="00250DAC">
        <w:trPr>
          <w:trHeight w:val="20"/>
        </w:trPr>
        <w:tc>
          <w:tcPr>
            <w:tcW w:w="1379" w:type="pct"/>
            <w:shd w:val="clear" w:color="auto" w:fill="auto"/>
            <w:hideMark/>
          </w:tcPr>
          <w:p w14:paraId="362F86A5"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PBT</w:t>
            </w:r>
          </w:p>
        </w:tc>
        <w:tc>
          <w:tcPr>
            <w:tcW w:w="3621" w:type="pct"/>
            <w:shd w:val="clear" w:color="auto" w:fill="auto"/>
            <w:hideMark/>
          </w:tcPr>
          <w:p w14:paraId="584D485F"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Profit Before Tax</w:t>
            </w:r>
          </w:p>
        </w:tc>
      </w:tr>
      <w:tr w:rsidR="00F8631B" w:rsidRPr="00712F3C" w14:paraId="71288373" w14:textId="77777777" w:rsidTr="00250DAC">
        <w:trPr>
          <w:trHeight w:val="20"/>
        </w:trPr>
        <w:tc>
          <w:tcPr>
            <w:tcW w:w="1379" w:type="pct"/>
            <w:shd w:val="clear" w:color="auto" w:fill="auto"/>
            <w:hideMark/>
          </w:tcPr>
          <w:p w14:paraId="187A4149"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PLI</w:t>
            </w:r>
          </w:p>
        </w:tc>
        <w:tc>
          <w:tcPr>
            <w:tcW w:w="3621" w:type="pct"/>
            <w:shd w:val="clear" w:color="auto" w:fill="auto"/>
            <w:hideMark/>
          </w:tcPr>
          <w:p w14:paraId="2527565A"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Postal Life Insurance</w:t>
            </w:r>
          </w:p>
        </w:tc>
      </w:tr>
      <w:tr w:rsidR="00F8631B" w:rsidRPr="00712F3C" w14:paraId="28FC7BCA" w14:textId="77777777" w:rsidTr="00250DAC">
        <w:trPr>
          <w:trHeight w:val="20"/>
        </w:trPr>
        <w:tc>
          <w:tcPr>
            <w:tcW w:w="1379" w:type="pct"/>
            <w:shd w:val="clear" w:color="auto" w:fill="auto"/>
            <w:hideMark/>
          </w:tcPr>
          <w:p w14:paraId="3A47BAEE"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POA</w:t>
            </w:r>
          </w:p>
        </w:tc>
        <w:tc>
          <w:tcPr>
            <w:tcW w:w="3621" w:type="pct"/>
            <w:shd w:val="clear" w:color="auto" w:fill="auto"/>
            <w:hideMark/>
          </w:tcPr>
          <w:p w14:paraId="6CDB0284"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Power of Attorney</w:t>
            </w:r>
          </w:p>
        </w:tc>
      </w:tr>
      <w:tr w:rsidR="00F8631B" w:rsidRPr="00712F3C" w14:paraId="53F93914" w14:textId="77777777" w:rsidTr="00250DAC">
        <w:trPr>
          <w:trHeight w:val="20"/>
        </w:trPr>
        <w:tc>
          <w:tcPr>
            <w:tcW w:w="1379" w:type="pct"/>
            <w:shd w:val="clear" w:color="auto" w:fill="auto"/>
            <w:hideMark/>
          </w:tcPr>
          <w:p w14:paraId="7925B558"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PSU</w:t>
            </w:r>
          </w:p>
        </w:tc>
        <w:tc>
          <w:tcPr>
            <w:tcW w:w="3621" w:type="pct"/>
            <w:shd w:val="clear" w:color="auto" w:fill="auto"/>
            <w:hideMark/>
          </w:tcPr>
          <w:p w14:paraId="36AADD51"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Public Sector Undertaking(s)</w:t>
            </w:r>
          </w:p>
        </w:tc>
      </w:tr>
      <w:tr w:rsidR="00F8631B" w:rsidRPr="00712F3C" w14:paraId="0E85973F" w14:textId="77777777" w:rsidTr="00250DAC">
        <w:trPr>
          <w:trHeight w:val="20"/>
        </w:trPr>
        <w:tc>
          <w:tcPr>
            <w:tcW w:w="1379" w:type="pct"/>
            <w:shd w:val="clear" w:color="auto" w:fill="auto"/>
            <w:hideMark/>
          </w:tcPr>
          <w:p w14:paraId="1B0F8724"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Pvt.</w:t>
            </w:r>
          </w:p>
        </w:tc>
        <w:tc>
          <w:tcPr>
            <w:tcW w:w="3621" w:type="pct"/>
            <w:shd w:val="clear" w:color="auto" w:fill="auto"/>
            <w:hideMark/>
          </w:tcPr>
          <w:p w14:paraId="3DC01F82"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Private</w:t>
            </w:r>
          </w:p>
        </w:tc>
      </w:tr>
      <w:tr w:rsidR="00F8631B" w:rsidRPr="00712F3C" w14:paraId="7B5209B3" w14:textId="77777777" w:rsidTr="00250DAC">
        <w:trPr>
          <w:trHeight w:val="20"/>
        </w:trPr>
        <w:tc>
          <w:tcPr>
            <w:tcW w:w="1379" w:type="pct"/>
            <w:shd w:val="clear" w:color="auto" w:fill="auto"/>
          </w:tcPr>
          <w:p w14:paraId="3607F745" w14:textId="77777777" w:rsidR="00F8631B" w:rsidRPr="00712F3C" w:rsidRDefault="00F8631B" w:rsidP="00250DAC">
            <w:pPr>
              <w:tabs>
                <w:tab w:val="left" w:pos="3060"/>
              </w:tabs>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bidi="en-US"/>
              </w:rPr>
              <w:t>Q.C.</w:t>
            </w:r>
          </w:p>
        </w:tc>
        <w:tc>
          <w:tcPr>
            <w:tcW w:w="3621" w:type="pct"/>
            <w:shd w:val="clear" w:color="auto" w:fill="auto"/>
          </w:tcPr>
          <w:p w14:paraId="6AA5F26C" w14:textId="77777777" w:rsidR="00F8631B" w:rsidRPr="00712F3C" w:rsidRDefault="00F8631B" w:rsidP="00250DAC">
            <w:pPr>
              <w:tabs>
                <w:tab w:val="left" w:pos="3060"/>
              </w:tabs>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bidi="en-US"/>
              </w:rPr>
              <w:t>Quality Control</w:t>
            </w:r>
          </w:p>
        </w:tc>
      </w:tr>
      <w:tr w:rsidR="00F8631B" w:rsidRPr="00712F3C" w14:paraId="655D7034" w14:textId="77777777" w:rsidTr="00250DAC">
        <w:trPr>
          <w:trHeight w:val="20"/>
        </w:trPr>
        <w:tc>
          <w:tcPr>
            <w:tcW w:w="1379" w:type="pct"/>
            <w:shd w:val="clear" w:color="auto" w:fill="auto"/>
            <w:hideMark/>
          </w:tcPr>
          <w:p w14:paraId="154B0A85"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MS Mincho" w:hAnsi="Times New Roman"/>
                <w:sz w:val="20"/>
                <w:szCs w:val="20"/>
              </w:rPr>
              <w:t>RoC</w:t>
            </w:r>
          </w:p>
        </w:tc>
        <w:tc>
          <w:tcPr>
            <w:tcW w:w="3621" w:type="pct"/>
            <w:shd w:val="clear" w:color="auto" w:fill="auto"/>
            <w:hideMark/>
          </w:tcPr>
          <w:p w14:paraId="7ADF58C5"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MS Mincho" w:hAnsi="Times New Roman"/>
                <w:sz w:val="20"/>
                <w:szCs w:val="20"/>
              </w:rPr>
              <w:t>Registrar of Companies</w:t>
            </w:r>
          </w:p>
        </w:tc>
      </w:tr>
      <w:tr w:rsidR="00F8631B" w:rsidRPr="00712F3C" w14:paraId="4839B787" w14:textId="77777777" w:rsidTr="00250DAC">
        <w:trPr>
          <w:trHeight w:val="20"/>
        </w:trPr>
        <w:tc>
          <w:tcPr>
            <w:tcW w:w="1379" w:type="pct"/>
            <w:shd w:val="clear" w:color="auto" w:fill="auto"/>
            <w:hideMark/>
          </w:tcPr>
          <w:p w14:paraId="4CA677CC"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RBI</w:t>
            </w:r>
          </w:p>
        </w:tc>
        <w:tc>
          <w:tcPr>
            <w:tcW w:w="3621" w:type="pct"/>
            <w:shd w:val="clear" w:color="auto" w:fill="auto"/>
            <w:hideMark/>
          </w:tcPr>
          <w:p w14:paraId="294E9F15"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The Reserve Bank of India</w:t>
            </w:r>
          </w:p>
        </w:tc>
      </w:tr>
      <w:tr w:rsidR="00F8631B" w:rsidRPr="00712F3C" w14:paraId="669E0A57" w14:textId="77777777" w:rsidTr="00250DAC">
        <w:trPr>
          <w:trHeight w:val="20"/>
        </w:trPr>
        <w:tc>
          <w:tcPr>
            <w:tcW w:w="1379" w:type="pct"/>
            <w:shd w:val="clear" w:color="auto" w:fill="auto"/>
            <w:hideMark/>
          </w:tcPr>
          <w:p w14:paraId="69429A25"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Registration Act</w:t>
            </w:r>
          </w:p>
        </w:tc>
        <w:tc>
          <w:tcPr>
            <w:tcW w:w="3621" w:type="pct"/>
            <w:shd w:val="clear" w:color="auto" w:fill="auto"/>
            <w:hideMark/>
          </w:tcPr>
          <w:p w14:paraId="3B20710E"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Registration Act, 1908</w:t>
            </w:r>
          </w:p>
        </w:tc>
      </w:tr>
      <w:tr w:rsidR="00F8631B" w:rsidRPr="00712F3C" w14:paraId="1DFAEF6A" w14:textId="77777777" w:rsidTr="00250DAC">
        <w:trPr>
          <w:trHeight w:val="20"/>
        </w:trPr>
        <w:tc>
          <w:tcPr>
            <w:tcW w:w="1379" w:type="pct"/>
            <w:shd w:val="clear" w:color="auto" w:fill="auto"/>
            <w:hideMark/>
          </w:tcPr>
          <w:p w14:paraId="57FF86CB"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ROE</w:t>
            </w:r>
          </w:p>
        </w:tc>
        <w:tc>
          <w:tcPr>
            <w:tcW w:w="3621" w:type="pct"/>
            <w:shd w:val="clear" w:color="auto" w:fill="auto"/>
            <w:hideMark/>
          </w:tcPr>
          <w:p w14:paraId="00E2F5C3"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Return on Equity</w:t>
            </w:r>
          </w:p>
        </w:tc>
      </w:tr>
      <w:tr w:rsidR="00F8631B" w:rsidRPr="00712F3C" w14:paraId="3950280C" w14:textId="77777777" w:rsidTr="00250DAC">
        <w:trPr>
          <w:trHeight w:val="20"/>
        </w:trPr>
        <w:tc>
          <w:tcPr>
            <w:tcW w:w="1379" w:type="pct"/>
            <w:shd w:val="clear" w:color="auto" w:fill="auto"/>
            <w:hideMark/>
          </w:tcPr>
          <w:p w14:paraId="3EBF8A7A"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 xml:space="preserve">R&amp;D </w:t>
            </w:r>
          </w:p>
        </w:tc>
        <w:tc>
          <w:tcPr>
            <w:tcW w:w="3621" w:type="pct"/>
            <w:shd w:val="clear" w:color="auto" w:fill="auto"/>
            <w:hideMark/>
          </w:tcPr>
          <w:p w14:paraId="55304EE9"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Research &amp; Development</w:t>
            </w:r>
          </w:p>
        </w:tc>
      </w:tr>
      <w:tr w:rsidR="00F8631B" w:rsidRPr="00712F3C" w14:paraId="029754BA" w14:textId="77777777" w:rsidTr="00250DAC">
        <w:trPr>
          <w:trHeight w:val="20"/>
        </w:trPr>
        <w:tc>
          <w:tcPr>
            <w:tcW w:w="1379" w:type="pct"/>
            <w:shd w:val="clear" w:color="auto" w:fill="auto"/>
            <w:hideMark/>
          </w:tcPr>
          <w:p w14:paraId="531D214F"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RONW</w:t>
            </w:r>
          </w:p>
        </w:tc>
        <w:tc>
          <w:tcPr>
            <w:tcW w:w="3621" w:type="pct"/>
            <w:shd w:val="clear" w:color="auto" w:fill="auto"/>
            <w:hideMark/>
          </w:tcPr>
          <w:p w14:paraId="1F93C272"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Return on Net Worth</w:t>
            </w:r>
          </w:p>
        </w:tc>
      </w:tr>
      <w:tr w:rsidR="00F8631B" w:rsidRPr="00712F3C" w14:paraId="7242514F" w14:textId="77777777" w:rsidTr="00250DAC">
        <w:trPr>
          <w:trHeight w:val="20"/>
        </w:trPr>
        <w:tc>
          <w:tcPr>
            <w:tcW w:w="1379" w:type="pct"/>
            <w:shd w:val="clear" w:color="auto" w:fill="auto"/>
            <w:hideMark/>
          </w:tcPr>
          <w:p w14:paraId="029A17B9"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RTGS</w:t>
            </w:r>
          </w:p>
        </w:tc>
        <w:tc>
          <w:tcPr>
            <w:tcW w:w="3621" w:type="pct"/>
            <w:shd w:val="clear" w:color="auto" w:fill="auto"/>
            <w:hideMark/>
          </w:tcPr>
          <w:p w14:paraId="6C8CD7DE"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Real Time Gross Settlement</w:t>
            </w:r>
          </w:p>
        </w:tc>
      </w:tr>
      <w:tr w:rsidR="00F8631B" w:rsidRPr="00712F3C" w14:paraId="169BF47E" w14:textId="77777777" w:rsidTr="00250DAC">
        <w:trPr>
          <w:trHeight w:val="20"/>
        </w:trPr>
        <w:tc>
          <w:tcPr>
            <w:tcW w:w="1379" w:type="pct"/>
            <w:shd w:val="clear" w:color="auto" w:fill="auto"/>
            <w:hideMark/>
          </w:tcPr>
          <w:p w14:paraId="75362B06"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SCRA</w:t>
            </w:r>
          </w:p>
        </w:tc>
        <w:tc>
          <w:tcPr>
            <w:tcW w:w="3621" w:type="pct"/>
            <w:shd w:val="clear" w:color="auto" w:fill="auto"/>
            <w:hideMark/>
          </w:tcPr>
          <w:p w14:paraId="3A1D719A"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Securities Contracts (Regulation) Act, 1956, as amended from time to time</w:t>
            </w:r>
          </w:p>
        </w:tc>
      </w:tr>
      <w:tr w:rsidR="00F8631B" w:rsidRPr="00712F3C" w14:paraId="2DC6D892" w14:textId="77777777" w:rsidTr="00250DAC">
        <w:trPr>
          <w:trHeight w:val="20"/>
        </w:trPr>
        <w:tc>
          <w:tcPr>
            <w:tcW w:w="1379" w:type="pct"/>
            <w:shd w:val="clear" w:color="auto" w:fill="auto"/>
            <w:hideMark/>
          </w:tcPr>
          <w:p w14:paraId="77FF4D8D"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SCRR</w:t>
            </w:r>
          </w:p>
        </w:tc>
        <w:tc>
          <w:tcPr>
            <w:tcW w:w="3621" w:type="pct"/>
            <w:shd w:val="clear" w:color="auto" w:fill="auto"/>
            <w:hideMark/>
          </w:tcPr>
          <w:p w14:paraId="184F1AE1"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Securities Contracts (Regulation) Rules, 1957, as amended from time to time</w:t>
            </w:r>
          </w:p>
        </w:tc>
      </w:tr>
      <w:tr w:rsidR="00F8631B" w:rsidRPr="00712F3C" w14:paraId="33BC191B" w14:textId="77777777" w:rsidTr="00250DAC">
        <w:trPr>
          <w:trHeight w:val="20"/>
        </w:trPr>
        <w:tc>
          <w:tcPr>
            <w:tcW w:w="1379" w:type="pct"/>
            <w:shd w:val="clear" w:color="auto" w:fill="auto"/>
            <w:hideMark/>
          </w:tcPr>
          <w:p w14:paraId="406F20AC"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SME</w:t>
            </w:r>
          </w:p>
        </w:tc>
        <w:tc>
          <w:tcPr>
            <w:tcW w:w="3621" w:type="pct"/>
            <w:shd w:val="clear" w:color="auto" w:fill="auto"/>
            <w:hideMark/>
          </w:tcPr>
          <w:p w14:paraId="024532D7"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Small and Medium Enterprises</w:t>
            </w:r>
          </w:p>
        </w:tc>
      </w:tr>
      <w:tr w:rsidR="00F8631B" w:rsidRPr="00712F3C" w14:paraId="2DFA4157" w14:textId="77777777" w:rsidTr="00250DAC">
        <w:trPr>
          <w:trHeight w:val="20"/>
        </w:trPr>
        <w:tc>
          <w:tcPr>
            <w:tcW w:w="1379" w:type="pct"/>
            <w:shd w:val="clear" w:color="auto" w:fill="auto"/>
            <w:hideMark/>
          </w:tcPr>
          <w:p w14:paraId="521BE0B9"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SCSB</w:t>
            </w:r>
          </w:p>
        </w:tc>
        <w:tc>
          <w:tcPr>
            <w:tcW w:w="3621" w:type="pct"/>
            <w:shd w:val="clear" w:color="auto" w:fill="auto"/>
            <w:hideMark/>
          </w:tcPr>
          <w:p w14:paraId="128907BB"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Self-Certified syndicate Banks</w:t>
            </w:r>
          </w:p>
        </w:tc>
      </w:tr>
      <w:tr w:rsidR="00F8631B" w:rsidRPr="00712F3C" w14:paraId="08D4C157" w14:textId="77777777" w:rsidTr="00250DAC">
        <w:trPr>
          <w:trHeight w:val="20"/>
        </w:trPr>
        <w:tc>
          <w:tcPr>
            <w:tcW w:w="1379" w:type="pct"/>
            <w:shd w:val="clear" w:color="auto" w:fill="auto"/>
            <w:hideMark/>
          </w:tcPr>
          <w:p w14:paraId="74A9671E"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STT</w:t>
            </w:r>
          </w:p>
        </w:tc>
        <w:tc>
          <w:tcPr>
            <w:tcW w:w="3621" w:type="pct"/>
            <w:shd w:val="clear" w:color="auto" w:fill="auto"/>
            <w:hideMark/>
          </w:tcPr>
          <w:p w14:paraId="21E5D2CD"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Securities Transaction Tax</w:t>
            </w:r>
          </w:p>
        </w:tc>
      </w:tr>
      <w:tr w:rsidR="00F8631B" w:rsidRPr="00712F3C" w14:paraId="0113402C" w14:textId="77777777" w:rsidTr="00250DAC">
        <w:trPr>
          <w:trHeight w:val="20"/>
        </w:trPr>
        <w:tc>
          <w:tcPr>
            <w:tcW w:w="1379" w:type="pct"/>
            <w:shd w:val="clear" w:color="auto" w:fill="auto"/>
          </w:tcPr>
          <w:p w14:paraId="6509E94A"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MS Mincho" w:hAnsi="Times New Roman"/>
                <w:sz w:val="20"/>
                <w:szCs w:val="20"/>
              </w:rPr>
              <w:t>Sub-Account</w:t>
            </w:r>
          </w:p>
        </w:tc>
        <w:tc>
          <w:tcPr>
            <w:tcW w:w="3621" w:type="pct"/>
            <w:shd w:val="clear" w:color="auto" w:fill="auto"/>
          </w:tcPr>
          <w:p w14:paraId="4847AF0C"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Sub-accounts registered with SEBI under the SEBI (Foreign Institutional Investor) Regulations, 1995, other than sub-accounts which are foreign corporate or foreign individuals.</w:t>
            </w:r>
          </w:p>
        </w:tc>
      </w:tr>
      <w:tr w:rsidR="00F8631B" w:rsidRPr="00712F3C" w14:paraId="1BFF5FEC" w14:textId="77777777" w:rsidTr="00250DAC">
        <w:trPr>
          <w:trHeight w:val="20"/>
        </w:trPr>
        <w:tc>
          <w:tcPr>
            <w:tcW w:w="1379" w:type="pct"/>
            <w:shd w:val="clear" w:color="auto" w:fill="auto"/>
            <w:hideMark/>
          </w:tcPr>
          <w:p w14:paraId="5A917F2C"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Sec.</w:t>
            </w:r>
          </w:p>
        </w:tc>
        <w:tc>
          <w:tcPr>
            <w:tcW w:w="3621" w:type="pct"/>
            <w:shd w:val="clear" w:color="auto" w:fill="auto"/>
            <w:hideMark/>
          </w:tcPr>
          <w:p w14:paraId="1AC894C1"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Section</w:t>
            </w:r>
          </w:p>
        </w:tc>
      </w:tr>
      <w:tr w:rsidR="00F8631B" w:rsidRPr="00712F3C" w14:paraId="6FD1CB9C" w14:textId="77777777" w:rsidTr="00250DAC">
        <w:trPr>
          <w:trHeight w:val="20"/>
        </w:trPr>
        <w:tc>
          <w:tcPr>
            <w:tcW w:w="1379" w:type="pct"/>
            <w:shd w:val="clear" w:color="auto" w:fill="auto"/>
            <w:hideMark/>
          </w:tcPr>
          <w:p w14:paraId="2F0F8FDE"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 xml:space="preserve">SPV </w:t>
            </w:r>
          </w:p>
        </w:tc>
        <w:tc>
          <w:tcPr>
            <w:tcW w:w="3621" w:type="pct"/>
            <w:shd w:val="clear" w:color="auto" w:fill="auto"/>
            <w:hideMark/>
          </w:tcPr>
          <w:p w14:paraId="030EF4CB"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Special Purpose Vehicle</w:t>
            </w:r>
          </w:p>
        </w:tc>
      </w:tr>
      <w:tr w:rsidR="00F8631B" w:rsidRPr="00712F3C" w14:paraId="6E9E0297" w14:textId="77777777" w:rsidTr="00250DAC">
        <w:trPr>
          <w:trHeight w:val="20"/>
        </w:trPr>
        <w:tc>
          <w:tcPr>
            <w:tcW w:w="1379" w:type="pct"/>
            <w:shd w:val="clear" w:color="auto" w:fill="auto"/>
            <w:hideMark/>
          </w:tcPr>
          <w:p w14:paraId="5E7D24E5"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 xml:space="preserve">TAN </w:t>
            </w:r>
          </w:p>
        </w:tc>
        <w:tc>
          <w:tcPr>
            <w:tcW w:w="3621" w:type="pct"/>
            <w:shd w:val="clear" w:color="auto" w:fill="auto"/>
            <w:hideMark/>
          </w:tcPr>
          <w:p w14:paraId="01FD5477"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Tax Deduction Account Number</w:t>
            </w:r>
          </w:p>
        </w:tc>
      </w:tr>
      <w:tr w:rsidR="00F8631B" w:rsidRPr="00712F3C" w14:paraId="3494100F" w14:textId="77777777" w:rsidTr="00250DAC">
        <w:trPr>
          <w:trHeight w:val="20"/>
        </w:trPr>
        <w:tc>
          <w:tcPr>
            <w:tcW w:w="1379" w:type="pct"/>
            <w:shd w:val="clear" w:color="auto" w:fill="auto"/>
            <w:hideMark/>
          </w:tcPr>
          <w:p w14:paraId="3ED63EE3"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TRS</w:t>
            </w:r>
          </w:p>
        </w:tc>
        <w:tc>
          <w:tcPr>
            <w:tcW w:w="3621" w:type="pct"/>
            <w:shd w:val="clear" w:color="auto" w:fill="auto"/>
            <w:hideMark/>
          </w:tcPr>
          <w:p w14:paraId="3C3767C0"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Transaction Registration Slip</w:t>
            </w:r>
          </w:p>
        </w:tc>
      </w:tr>
      <w:tr w:rsidR="00F8631B" w:rsidRPr="00712F3C" w14:paraId="448F475A" w14:textId="77777777" w:rsidTr="00250DAC">
        <w:trPr>
          <w:trHeight w:val="20"/>
        </w:trPr>
        <w:tc>
          <w:tcPr>
            <w:tcW w:w="1379" w:type="pct"/>
            <w:shd w:val="clear" w:color="auto" w:fill="auto"/>
          </w:tcPr>
          <w:p w14:paraId="2F38EB16"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Trade Marks Act</w:t>
            </w:r>
          </w:p>
        </w:tc>
        <w:tc>
          <w:tcPr>
            <w:tcW w:w="3621" w:type="pct"/>
            <w:shd w:val="clear" w:color="auto" w:fill="auto"/>
          </w:tcPr>
          <w:p w14:paraId="359F8A74"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Trade Marks Act, 1999</w:t>
            </w:r>
          </w:p>
        </w:tc>
      </w:tr>
      <w:tr w:rsidR="00F8631B" w:rsidRPr="00712F3C" w14:paraId="04408C45" w14:textId="77777777" w:rsidTr="00250DAC">
        <w:trPr>
          <w:trHeight w:val="20"/>
        </w:trPr>
        <w:tc>
          <w:tcPr>
            <w:tcW w:w="1379" w:type="pct"/>
            <w:shd w:val="clear" w:color="auto" w:fill="auto"/>
            <w:hideMark/>
          </w:tcPr>
          <w:p w14:paraId="47B11EE9"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TIN</w:t>
            </w:r>
          </w:p>
        </w:tc>
        <w:tc>
          <w:tcPr>
            <w:tcW w:w="3621" w:type="pct"/>
            <w:shd w:val="clear" w:color="auto" w:fill="auto"/>
            <w:hideMark/>
          </w:tcPr>
          <w:p w14:paraId="70FBBAF7"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Taxpayers Identification Number</w:t>
            </w:r>
          </w:p>
        </w:tc>
      </w:tr>
      <w:tr w:rsidR="00F8631B" w:rsidRPr="00712F3C" w14:paraId="5BA84AE4" w14:textId="77777777" w:rsidTr="00250DAC">
        <w:trPr>
          <w:trHeight w:val="20"/>
        </w:trPr>
        <w:tc>
          <w:tcPr>
            <w:tcW w:w="1379" w:type="pct"/>
            <w:shd w:val="clear" w:color="auto" w:fill="auto"/>
            <w:hideMark/>
          </w:tcPr>
          <w:p w14:paraId="3B51F454" w14:textId="77777777" w:rsidR="00F8631B" w:rsidRPr="00712F3C" w:rsidRDefault="00F8631B" w:rsidP="00250DAC">
            <w:pPr>
              <w:spacing w:after="0" w:line="240" w:lineRule="auto"/>
              <w:jc w:val="both"/>
              <w:rPr>
                <w:rFonts w:ascii="Times New Roman" w:eastAsia="Calibri" w:hAnsi="Times New Roman"/>
                <w:bCs/>
                <w:color w:val="000000"/>
                <w:sz w:val="20"/>
                <w:szCs w:val="20"/>
                <w:lang w:val="en-IN" w:bidi="en-US"/>
              </w:rPr>
            </w:pPr>
            <w:r w:rsidRPr="00712F3C">
              <w:rPr>
                <w:rFonts w:ascii="Times New Roman" w:eastAsia="MS Mincho" w:hAnsi="Times New Roman"/>
                <w:sz w:val="20"/>
                <w:szCs w:val="20"/>
              </w:rPr>
              <w:t xml:space="preserve">UIN </w:t>
            </w:r>
          </w:p>
        </w:tc>
        <w:tc>
          <w:tcPr>
            <w:tcW w:w="3621" w:type="pct"/>
            <w:shd w:val="clear" w:color="auto" w:fill="auto"/>
            <w:hideMark/>
          </w:tcPr>
          <w:p w14:paraId="52171C5F"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MS Mincho" w:hAnsi="Times New Roman"/>
                <w:sz w:val="20"/>
                <w:szCs w:val="20"/>
              </w:rPr>
              <w:t>Unique identification number</w:t>
            </w:r>
          </w:p>
        </w:tc>
      </w:tr>
      <w:tr w:rsidR="00F8631B" w:rsidRPr="00712F3C" w14:paraId="74768E78" w14:textId="77777777" w:rsidTr="00250DAC">
        <w:trPr>
          <w:trHeight w:val="20"/>
        </w:trPr>
        <w:tc>
          <w:tcPr>
            <w:tcW w:w="1379" w:type="pct"/>
            <w:shd w:val="clear" w:color="auto" w:fill="auto"/>
            <w:hideMark/>
          </w:tcPr>
          <w:p w14:paraId="624DF99F" w14:textId="77777777" w:rsidR="00F8631B" w:rsidRPr="00712F3C" w:rsidRDefault="00F8631B" w:rsidP="00250DAC">
            <w:pPr>
              <w:spacing w:after="0" w:line="240" w:lineRule="auto"/>
              <w:jc w:val="both"/>
              <w:rPr>
                <w:rFonts w:ascii="Times New Roman" w:eastAsia="MS Mincho" w:hAnsi="Times New Roman"/>
                <w:sz w:val="20"/>
                <w:szCs w:val="20"/>
              </w:rPr>
            </w:pPr>
            <w:r w:rsidRPr="00712F3C">
              <w:rPr>
                <w:rFonts w:ascii="Times New Roman" w:eastAsia="MS Mincho" w:hAnsi="Times New Roman"/>
                <w:sz w:val="20"/>
                <w:szCs w:val="20"/>
              </w:rPr>
              <w:t>U.N.</w:t>
            </w:r>
          </w:p>
        </w:tc>
        <w:tc>
          <w:tcPr>
            <w:tcW w:w="3621" w:type="pct"/>
            <w:shd w:val="clear" w:color="auto" w:fill="auto"/>
            <w:hideMark/>
          </w:tcPr>
          <w:p w14:paraId="646E3F12" w14:textId="77777777" w:rsidR="00F8631B" w:rsidRPr="00712F3C" w:rsidRDefault="00F8631B" w:rsidP="00250DAC">
            <w:pPr>
              <w:spacing w:after="0" w:line="240" w:lineRule="auto"/>
              <w:jc w:val="both"/>
              <w:rPr>
                <w:rFonts w:ascii="Times New Roman" w:eastAsia="MS Mincho" w:hAnsi="Times New Roman"/>
                <w:sz w:val="20"/>
                <w:szCs w:val="20"/>
              </w:rPr>
            </w:pPr>
            <w:r w:rsidRPr="00712F3C">
              <w:rPr>
                <w:rFonts w:ascii="Times New Roman" w:eastAsia="MS Mincho" w:hAnsi="Times New Roman"/>
                <w:sz w:val="20"/>
                <w:szCs w:val="20"/>
              </w:rPr>
              <w:t>United Nations</w:t>
            </w:r>
          </w:p>
        </w:tc>
      </w:tr>
      <w:tr w:rsidR="00F8631B" w:rsidRPr="00712F3C" w14:paraId="552D1484" w14:textId="77777777" w:rsidTr="00250DAC">
        <w:trPr>
          <w:trHeight w:val="20"/>
        </w:trPr>
        <w:tc>
          <w:tcPr>
            <w:tcW w:w="1379" w:type="pct"/>
            <w:shd w:val="clear" w:color="auto" w:fill="auto"/>
            <w:hideMark/>
          </w:tcPr>
          <w:p w14:paraId="0344983E"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US/United States</w:t>
            </w:r>
          </w:p>
        </w:tc>
        <w:tc>
          <w:tcPr>
            <w:tcW w:w="3621" w:type="pct"/>
            <w:shd w:val="clear" w:color="auto" w:fill="auto"/>
            <w:hideMark/>
          </w:tcPr>
          <w:p w14:paraId="799145BB"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United States of America</w:t>
            </w:r>
          </w:p>
        </w:tc>
      </w:tr>
      <w:tr w:rsidR="00F8631B" w:rsidRPr="00712F3C" w14:paraId="29437683" w14:textId="77777777" w:rsidTr="00250DAC">
        <w:trPr>
          <w:trHeight w:val="20"/>
        </w:trPr>
        <w:tc>
          <w:tcPr>
            <w:tcW w:w="1379" w:type="pct"/>
            <w:shd w:val="clear" w:color="auto" w:fill="auto"/>
            <w:hideMark/>
          </w:tcPr>
          <w:p w14:paraId="3D78E6FE"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USD/ US$/ $</w:t>
            </w:r>
          </w:p>
        </w:tc>
        <w:tc>
          <w:tcPr>
            <w:tcW w:w="3621" w:type="pct"/>
            <w:shd w:val="clear" w:color="auto" w:fill="auto"/>
            <w:hideMark/>
          </w:tcPr>
          <w:p w14:paraId="62426C59"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United States Dollar, the official currency of the Unites States of America</w:t>
            </w:r>
          </w:p>
        </w:tc>
      </w:tr>
      <w:tr w:rsidR="00F8631B" w:rsidRPr="00712F3C" w14:paraId="5067F471" w14:textId="77777777" w:rsidTr="00250DAC">
        <w:trPr>
          <w:trHeight w:val="20"/>
        </w:trPr>
        <w:tc>
          <w:tcPr>
            <w:tcW w:w="1379" w:type="pct"/>
            <w:shd w:val="clear" w:color="auto" w:fill="auto"/>
            <w:hideMark/>
          </w:tcPr>
          <w:p w14:paraId="1C2653D0"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MS Mincho" w:hAnsi="Times New Roman"/>
                <w:sz w:val="20"/>
                <w:szCs w:val="20"/>
              </w:rPr>
              <w:t>U.S. GAAP</w:t>
            </w:r>
          </w:p>
        </w:tc>
        <w:tc>
          <w:tcPr>
            <w:tcW w:w="3621" w:type="pct"/>
            <w:shd w:val="clear" w:color="auto" w:fill="auto"/>
            <w:hideMark/>
          </w:tcPr>
          <w:p w14:paraId="056A0C56"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MS Mincho" w:hAnsi="Times New Roman"/>
                <w:sz w:val="20"/>
                <w:szCs w:val="20"/>
              </w:rPr>
              <w:t>Generally Accepted Accounting Principles in the United States of America</w:t>
            </w:r>
          </w:p>
        </w:tc>
      </w:tr>
      <w:tr w:rsidR="00F8631B" w:rsidRPr="00712F3C" w14:paraId="1757EDDC" w14:textId="77777777" w:rsidTr="00250DAC">
        <w:trPr>
          <w:trHeight w:val="20"/>
        </w:trPr>
        <w:tc>
          <w:tcPr>
            <w:tcW w:w="1379" w:type="pct"/>
            <w:shd w:val="clear" w:color="auto" w:fill="auto"/>
            <w:hideMark/>
          </w:tcPr>
          <w:p w14:paraId="3F196B8B"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VAT</w:t>
            </w:r>
          </w:p>
        </w:tc>
        <w:tc>
          <w:tcPr>
            <w:tcW w:w="3621" w:type="pct"/>
            <w:shd w:val="clear" w:color="auto" w:fill="auto"/>
            <w:hideMark/>
          </w:tcPr>
          <w:p w14:paraId="4D3F7AD4"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Value Added Tax</w:t>
            </w:r>
          </w:p>
        </w:tc>
      </w:tr>
      <w:tr w:rsidR="00F8631B" w:rsidRPr="00712F3C" w14:paraId="43A47FC4" w14:textId="77777777" w:rsidTr="00250DAC">
        <w:trPr>
          <w:trHeight w:val="20"/>
        </w:trPr>
        <w:tc>
          <w:tcPr>
            <w:tcW w:w="1379" w:type="pct"/>
            <w:shd w:val="clear" w:color="auto" w:fill="auto"/>
            <w:hideMark/>
          </w:tcPr>
          <w:p w14:paraId="234CD868"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VCF/ Venture Capital Fund</w:t>
            </w:r>
          </w:p>
        </w:tc>
        <w:tc>
          <w:tcPr>
            <w:tcW w:w="3621" w:type="pct"/>
            <w:shd w:val="clear" w:color="auto" w:fill="auto"/>
            <w:hideMark/>
          </w:tcPr>
          <w:p w14:paraId="5616CC32"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Venture Capital Funds (as defined under the Securities and Exchange Board of India (Venture Capital Funds) Regulations, 1996) registered with SEBI under applicable laws in India.</w:t>
            </w:r>
          </w:p>
        </w:tc>
      </w:tr>
      <w:tr w:rsidR="00F8631B" w:rsidRPr="00712F3C" w14:paraId="51A47774" w14:textId="77777777" w:rsidTr="00250DAC">
        <w:trPr>
          <w:trHeight w:val="20"/>
        </w:trPr>
        <w:tc>
          <w:tcPr>
            <w:tcW w:w="1379" w:type="pct"/>
            <w:shd w:val="clear" w:color="auto" w:fill="auto"/>
          </w:tcPr>
          <w:p w14:paraId="18C667BC" w14:textId="77777777" w:rsidR="00F8631B" w:rsidRPr="00712F3C" w:rsidRDefault="00F8631B" w:rsidP="00250DAC">
            <w:pPr>
              <w:pStyle w:val="Default"/>
              <w:jc w:val="both"/>
              <w:rPr>
                <w:sz w:val="20"/>
                <w:szCs w:val="20"/>
              </w:rPr>
            </w:pPr>
            <w:r w:rsidRPr="00712F3C">
              <w:rPr>
                <w:sz w:val="20"/>
                <w:szCs w:val="20"/>
              </w:rPr>
              <w:t>Wilful Defaulter(s)</w:t>
            </w:r>
          </w:p>
        </w:tc>
        <w:tc>
          <w:tcPr>
            <w:tcW w:w="3621" w:type="pct"/>
            <w:shd w:val="clear" w:color="auto" w:fill="auto"/>
          </w:tcPr>
          <w:p w14:paraId="0E864F7F" w14:textId="77777777" w:rsidR="00F8631B" w:rsidRPr="00712F3C" w:rsidRDefault="00F8631B" w:rsidP="00250DAC">
            <w:pPr>
              <w:autoSpaceDE w:val="0"/>
              <w:autoSpaceDN w:val="0"/>
              <w:adjustRightInd w:val="0"/>
              <w:spacing w:after="0" w:line="240" w:lineRule="auto"/>
              <w:jc w:val="both"/>
              <w:rPr>
                <w:rFonts w:ascii="Times New Roman" w:hAnsi="Times New Roman"/>
                <w:sz w:val="20"/>
                <w:szCs w:val="20"/>
              </w:rPr>
            </w:pPr>
            <w:r w:rsidRPr="00712F3C">
              <w:rPr>
                <w:rFonts w:ascii="Times New Roman" w:eastAsia="MS Mincho" w:hAnsi="Times New Roman"/>
                <w:sz w:val="20"/>
                <w:szCs w:val="20"/>
              </w:rPr>
              <w:t>Company or person categorised as a wilful defaulter by any bank or financial institution (as defined under the Companies Act, 2013) or consortium thereof, in accordance with the guidelines on wilful defaulters issued by the Reserve Bank of India and includes any company whose director or promoter is categorised as such and as defined under Regulation 2(1)(lll) of the SEBI (ICDR) Regulations, 2018.</w:t>
            </w:r>
          </w:p>
        </w:tc>
      </w:tr>
      <w:tr w:rsidR="00F8631B" w:rsidRPr="00712F3C" w14:paraId="71620497" w14:textId="77777777" w:rsidTr="00250DAC">
        <w:trPr>
          <w:trHeight w:val="20"/>
        </w:trPr>
        <w:tc>
          <w:tcPr>
            <w:tcW w:w="1379" w:type="pct"/>
            <w:shd w:val="clear" w:color="auto" w:fill="auto"/>
            <w:hideMark/>
          </w:tcPr>
          <w:p w14:paraId="2D877F73"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WDV</w:t>
            </w:r>
          </w:p>
        </w:tc>
        <w:tc>
          <w:tcPr>
            <w:tcW w:w="3621" w:type="pct"/>
            <w:shd w:val="clear" w:color="auto" w:fill="auto"/>
            <w:hideMark/>
          </w:tcPr>
          <w:p w14:paraId="42311E3E"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Written Down Value</w:t>
            </w:r>
          </w:p>
        </w:tc>
      </w:tr>
      <w:tr w:rsidR="00F8631B" w:rsidRPr="00712F3C" w14:paraId="0DE5D7AD" w14:textId="77777777" w:rsidTr="00250DAC">
        <w:trPr>
          <w:trHeight w:val="20"/>
        </w:trPr>
        <w:tc>
          <w:tcPr>
            <w:tcW w:w="1379" w:type="pct"/>
            <w:shd w:val="clear" w:color="auto" w:fill="auto"/>
            <w:hideMark/>
          </w:tcPr>
          <w:p w14:paraId="58570D6A"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WTD</w:t>
            </w:r>
          </w:p>
        </w:tc>
        <w:tc>
          <w:tcPr>
            <w:tcW w:w="3621" w:type="pct"/>
            <w:shd w:val="clear" w:color="auto" w:fill="auto"/>
            <w:hideMark/>
          </w:tcPr>
          <w:p w14:paraId="1EAA7F64"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Whole Time Director</w:t>
            </w:r>
          </w:p>
        </w:tc>
      </w:tr>
      <w:tr w:rsidR="00F8631B" w:rsidRPr="00712F3C" w14:paraId="6685A6CD" w14:textId="77777777" w:rsidTr="00250DAC">
        <w:trPr>
          <w:trHeight w:val="20"/>
        </w:trPr>
        <w:tc>
          <w:tcPr>
            <w:tcW w:w="1379" w:type="pct"/>
            <w:shd w:val="clear" w:color="auto" w:fill="auto"/>
            <w:hideMark/>
          </w:tcPr>
          <w:p w14:paraId="458FD21A"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w.e.f.</w:t>
            </w:r>
          </w:p>
        </w:tc>
        <w:tc>
          <w:tcPr>
            <w:tcW w:w="3621" w:type="pct"/>
            <w:shd w:val="clear" w:color="auto" w:fill="auto"/>
            <w:hideMark/>
          </w:tcPr>
          <w:p w14:paraId="397C0983"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With effect from</w:t>
            </w:r>
          </w:p>
        </w:tc>
      </w:tr>
      <w:tr w:rsidR="00F8631B" w:rsidRPr="00712F3C" w14:paraId="2FD6C867" w14:textId="77777777" w:rsidTr="00250DAC">
        <w:trPr>
          <w:trHeight w:val="20"/>
        </w:trPr>
        <w:tc>
          <w:tcPr>
            <w:tcW w:w="1379" w:type="pct"/>
            <w:shd w:val="clear" w:color="auto" w:fill="auto"/>
            <w:hideMark/>
          </w:tcPr>
          <w:p w14:paraId="305CF9DD"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MS Mincho" w:hAnsi="Times New Roman"/>
                <w:sz w:val="20"/>
                <w:szCs w:val="20"/>
              </w:rPr>
              <w:t>-, (₹)</w:t>
            </w:r>
          </w:p>
        </w:tc>
        <w:tc>
          <w:tcPr>
            <w:tcW w:w="3621" w:type="pct"/>
            <w:shd w:val="clear" w:color="auto" w:fill="auto"/>
            <w:hideMark/>
          </w:tcPr>
          <w:p w14:paraId="79EA62A2" w14:textId="77777777" w:rsidR="00F8631B" w:rsidRPr="00712F3C" w:rsidRDefault="00F8631B" w:rsidP="00250DAC">
            <w:pPr>
              <w:spacing w:after="0" w:line="240" w:lineRule="auto"/>
              <w:jc w:val="both"/>
              <w:rPr>
                <w:rFonts w:ascii="Times New Roman" w:eastAsia="Calibri" w:hAnsi="Times New Roman"/>
                <w:bCs/>
                <w:sz w:val="20"/>
                <w:szCs w:val="20"/>
                <w:lang w:val="en-IN" w:bidi="en-US"/>
              </w:rPr>
            </w:pPr>
            <w:r w:rsidRPr="00712F3C">
              <w:rPr>
                <w:rFonts w:ascii="Times New Roman" w:eastAsia="MS Mincho" w:hAnsi="Times New Roman"/>
                <w:sz w:val="20"/>
                <w:szCs w:val="20"/>
              </w:rPr>
              <w:t>Represent Outflow</w:t>
            </w:r>
          </w:p>
        </w:tc>
      </w:tr>
    </w:tbl>
    <w:p w14:paraId="00AC4095" w14:textId="77777777" w:rsidR="00F8631B" w:rsidRPr="00712F3C" w:rsidRDefault="00F8631B" w:rsidP="00F8631B">
      <w:pPr>
        <w:spacing w:after="0" w:line="240" w:lineRule="auto"/>
        <w:jc w:val="both"/>
        <w:rPr>
          <w:rFonts w:ascii="Times New Roman" w:eastAsia="Calibri" w:hAnsi="Times New Roman"/>
          <w:sz w:val="20"/>
          <w:szCs w:val="20"/>
        </w:rPr>
      </w:pPr>
      <w:r w:rsidRPr="00712F3C">
        <w:rPr>
          <w:rFonts w:ascii="Times New Roman" w:eastAsia="Calibri" w:hAnsi="Times New Roman"/>
          <w:sz w:val="20"/>
          <w:szCs w:val="20"/>
        </w:rPr>
        <w:t xml:space="preserve">The words and expressions used but not defined in this Draft </w:t>
      </w:r>
      <w:r w:rsidRPr="00712F3C">
        <w:rPr>
          <w:rFonts w:ascii="Times New Roman" w:hAnsi="Times New Roman"/>
          <w:iCs/>
          <w:sz w:val="20"/>
          <w:szCs w:val="20"/>
        </w:rPr>
        <w:t>Red Herring</w:t>
      </w:r>
      <w:r w:rsidRPr="00712F3C">
        <w:rPr>
          <w:rFonts w:ascii="Times New Roman" w:eastAsia="Calibri" w:hAnsi="Times New Roman"/>
          <w:sz w:val="20"/>
          <w:szCs w:val="20"/>
        </w:rPr>
        <w:t xml:space="preserve"> Prospectus will have the same meaning as assigned to such terms under the Companies Act, 2013, the Securities and Exchange Board of India Act, 1992 (the “SEBI Act”), the SCRA, SEBI (Issue of Capital and Disclosure Requirements) Regulations, 2018 the Depositories Act and the rules and regulations made thereunder.</w:t>
      </w:r>
    </w:p>
    <w:p w14:paraId="5EEE29FA" w14:textId="77777777" w:rsidR="00CB2D76" w:rsidRDefault="00CB2D76" w:rsidP="00F8631B">
      <w:pPr>
        <w:autoSpaceDE w:val="0"/>
        <w:autoSpaceDN w:val="0"/>
        <w:adjustRightInd w:val="0"/>
        <w:spacing w:after="0" w:line="240" w:lineRule="auto"/>
        <w:jc w:val="both"/>
        <w:rPr>
          <w:rFonts w:ascii="Times New Roman" w:hAnsi="Times New Roman"/>
          <w:sz w:val="20"/>
          <w:szCs w:val="20"/>
        </w:rPr>
      </w:pPr>
    </w:p>
    <w:p w14:paraId="7BEA5505" w14:textId="71CD42B2" w:rsidR="00F8631B" w:rsidRPr="00712F3C" w:rsidRDefault="00F8631B" w:rsidP="00CB2D76">
      <w:pPr>
        <w:autoSpaceDE w:val="0"/>
        <w:autoSpaceDN w:val="0"/>
        <w:adjustRightInd w:val="0"/>
        <w:spacing w:after="0" w:line="240" w:lineRule="auto"/>
        <w:jc w:val="both"/>
        <w:rPr>
          <w:rFonts w:ascii="Times New Roman" w:hAnsi="Times New Roman"/>
          <w:sz w:val="20"/>
          <w:szCs w:val="20"/>
        </w:rPr>
      </w:pPr>
      <w:r w:rsidRPr="00712F3C">
        <w:rPr>
          <w:rFonts w:ascii="Times New Roman" w:hAnsi="Times New Roman"/>
          <w:sz w:val="20"/>
          <w:szCs w:val="20"/>
        </w:rPr>
        <w:t xml:space="preserve">Notwithstanding the foregoing, terms in </w:t>
      </w:r>
      <w:r w:rsidRPr="00712F3C">
        <w:rPr>
          <w:rFonts w:ascii="Times New Roman" w:hAnsi="Times New Roman"/>
          <w:b/>
          <w:i/>
          <w:sz w:val="20"/>
          <w:szCs w:val="20"/>
        </w:rPr>
        <w:t>“</w:t>
      </w:r>
      <w:r w:rsidRPr="00712F3C">
        <w:rPr>
          <w:rFonts w:ascii="Times New Roman" w:hAnsi="Times New Roman"/>
          <w:b/>
          <w:bCs/>
          <w:i/>
          <w:iCs/>
          <w:sz w:val="20"/>
          <w:szCs w:val="20"/>
        </w:rPr>
        <w:t>Main Provisions of the Articles of Association</w:t>
      </w:r>
      <w:r w:rsidRPr="00712F3C">
        <w:rPr>
          <w:rFonts w:ascii="Times New Roman" w:hAnsi="Times New Roman"/>
          <w:b/>
          <w:i/>
          <w:sz w:val="20"/>
          <w:szCs w:val="20"/>
        </w:rPr>
        <w:t>”</w:t>
      </w:r>
      <w:r w:rsidRPr="00712F3C">
        <w:rPr>
          <w:rFonts w:ascii="Times New Roman" w:hAnsi="Times New Roman"/>
          <w:i/>
          <w:sz w:val="20"/>
          <w:szCs w:val="20"/>
        </w:rPr>
        <w:t>,</w:t>
      </w:r>
      <w:r w:rsidRPr="00712F3C">
        <w:rPr>
          <w:rFonts w:ascii="Times New Roman" w:hAnsi="Times New Roman"/>
          <w:b/>
          <w:i/>
          <w:sz w:val="20"/>
          <w:szCs w:val="20"/>
        </w:rPr>
        <w:t xml:space="preserve"> “</w:t>
      </w:r>
      <w:r w:rsidRPr="00712F3C">
        <w:rPr>
          <w:rFonts w:ascii="Times New Roman" w:hAnsi="Times New Roman"/>
          <w:b/>
          <w:bCs/>
          <w:i/>
          <w:iCs/>
          <w:sz w:val="20"/>
          <w:szCs w:val="20"/>
        </w:rPr>
        <w:t>Statement of Special Tax Benefits</w:t>
      </w:r>
      <w:r w:rsidRPr="00712F3C">
        <w:rPr>
          <w:rFonts w:ascii="Times New Roman" w:hAnsi="Times New Roman"/>
          <w:b/>
          <w:i/>
          <w:sz w:val="20"/>
          <w:szCs w:val="20"/>
        </w:rPr>
        <w:t>”</w:t>
      </w:r>
      <w:r w:rsidRPr="00712F3C">
        <w:rPr>
          <w:rFonts w:ascii="Times New Roman" w:hAnsi="Times New Roman"/>
          <w:i/>
          <w:sz w:val="20"/>
          <w:szCs w:val="20"/>
        </w:rPr>
        <w:t>,</w:t>
      </w:r>
      <w:r w:rsidRPr="00712F3C">
        <w:rPr>
          <w:rFonts w:ascii="Times New Roman" w:hAnsi="Times New Roman"/>
          <w:b/>
          <w:i/>
          <w:sz w:val="20"/>
          <w:szCs w:val="20"/>
        </w:rPr>
        <w:t xml:space="preserve"> “</w:t>
      </w:r>
      <w:r w:rsidRPr="00712F3C">
        <w:rPr>
          <w:rFonts w:ascii="Times New Roman" w:hAnsi="Times New Roman"/>
          <w:b/>
          <w:bCs/>
          <w:i/>
          <w:iCs/>
          <w:sz w:val="20"/>
          <w:szCs w:val="20"/>
        </w:rPr>
        <w:t>Industry Overview</w:t>
      </w:r>
      <w:r w:rsidRPr="00712F3C">
        <w:rPr>
          <w:rFonts w:ascii="Times New Roman" w:hAnsi="Times New Roman"/>
          <w:b/>
          <w:i/>
          <w:sz w:val="20"/>
          <w:szCs w:val="20"/>
        </w:rPr>
        <w:t>”</w:t>
      </w:r>
      <w:r w:rsidRPr="00712F3C">
        <w:rPr>
          <w:rFonts w:ascii="Times New Roman" w:hAnsi="Times New Roman"/>
          <w:i/>
          <w:sz w:val="20"/>
          <w:szCs w:val="20"/>
        </w:rPr>
        <w:t xml:space="preserve">, </w:t>
      </w:r>
      <w:r w:rsidRPr="00712F3C">
        <w:rPr>
          <w:rFonts w:ascii="Times New Roman" w:hAnsi="Times New Roman"/>
          <w:b/>
          <w:i/>
          <w:sz w:val="20"/>
          <w:szCs w:val="20"/>
        </w:rPr>
        <w:t>“</w:t>
      </w:r>
      <w:r w:rsidRPr="00712F3C">
        <w:rPr>
          <w:rFonts w:ascii="Times New Roman" w:hAnsi="Times New Roman"/>
          <w:b/>
          <w:bCs/>
          <w:i/>
          <w:iCs/>
          <w:sz w:val="20"/>
          <w:szCs w:val="20"/>
        </w:rPr>
        <w:t>Regulations and Policies in India</w:t>
      </w:r>
      <w:r w:rsidRPr="00712F3C">
        <w:rPr>
          <w:rFonts w:ascii="Times New Roman" w:hAnsi="Times New Roman"/>
          <w:b/>
          <w:i/>
          <w:sz w:val="20"/>
          <w:szCs w:val="20"/>
        </w:rPr>
        <w:t>”</w:t>
      </w:r>
      <w:r w:rsidRPr="00712F3C">
        <w:rPr>
          <w:rFonts w:ascii="Times New Roman" w:hAnsi="Times New Roman"/>
          <w:i/>
          <w:sz w:val="20"/>
          <w:szCs w:val="20"/>
        </w:rPr>
        <w:t xml:space="preserve">, </w:t>
      </w:r>
      <w:r w:rsidRPr="00712F3C">
        <w:rPr>
          <w:rFonts w:ascii="Times New Roman" w:hAnsi="Times New Roman"/>
          <w:b/>
          <w:i/>
          <w:sz w:val="20"/>
          <w:szCs w:val="20"/>
        </w:rPr>
        <w:t>“</w:t>
      </w:r>
      <w:r w:rsidRPr="00712F3C">
        <w:rPr>
          <w:rFonts w:ascii="Times New Roman" w:hAnsi="Times New Roman"/>
          <w:b/>
          <w:bCs/>
          <w:i/>
          <w:iCs/>
          <w:sz w:val="20"/>
          <w:szCs w:val="20"/>
        </w:rPr>
        <w:t>Financial Information of the Company</w:t>
      </w:r>
      <w:r w:rsidRPr="00712F3C">
        <w:rPr>
          <w:rFonts w:ascii="Times New Roman" w:hAnsi="Times New Roman"/>
          <w:b/>
          <w:i/>
          <w:sz w:val="20"/>
          <w:szCs w:val="20"/>
        </w:rPr>
        <w:t>”</w:t>
      </w:r>
      <w:r w:rsidRPr="00712F3C">
        <w:rPr>
          <w:rFonts w:ascii="Times New Roman" w:hAnsi="Times New Roman"/>
          <w:i/>
          <w:sz w:val="20"/>
          <w:szCs w:val="20"/>
        </w:rPr>
        <w:t xml:space="preserve">, </w:t>
      </w:r>
      <w:r w:rsidRPr="00712F3C">
        <w:rPr>
          <w:rFonts w:ascii="Times New Roman" w:hAnsi="Times New Roman"/>
          <w:b/>
          <w:i/>
          <w:sz w:val="20"/>
          <w:szCs w:val="20"/>
        </w:rPr>
        <w:t>“</w:t>
      </w:r>
      <w:r w:rsidRPr="00712F3C">
        <w:rPr>
          <w:rFonts w:ascii="Times New Roman" w:hAnsi="Times New Roman"/>
          <w:b/>
          <w:bCs/>
          <w:i/>
          <w:iCs/>
          <w:sz w:val="20"/>
          <w:szCs w:val="20"/>
        </w:rPr>
        <w:t xml:space="preserve">Outstanding Litigations </w:t>
      </w:r>
      <w:r w:rsidRPr="00712F3C">
        <w:rPr>
          <w:rFonts w:ascii="Times New Roman" w:hAnsi="Times New Roman"/>
          <w:bCs/>
          <w:i/>
          <w:iCs/>
          <w:sz w:val="20"/>
          <w:szCs w:val="20"/>
        </w:rPr>
        <w:t>and</w:t>
      </w:r>
      <w:r w:rsidRPr="00712F3C">
        <w:rPr>
          <w:rFonts w:ascii="Times New Roman" w:hAnsi="Times New Roman"/>
          <w:b/>
          <w:bCs/>
          <w:i/>
          <w:iCs/>
          <w:sz w:val="20"/>
          <w:szCs w:val="20"/>
        </w:rPr>
        <w:t xml:space="preserve"> Material Developments</w:t>
      </w:r>
      <w:r w:rsidRPr="00712F3C">
        <w:rPr>
          <w:rFonts w:ascii="Times New Roman" w:hAnsi="Times New Roman"/>
          <w:b/>
          <w:i/>
          <w:sz w:val="20"/>
          <w:szCs w:val="20"/>
        </w:rPr>
        <w:t xml:space="preserve">” </w:t>
      </w:r>
      <w:r w:rsidRPr="00712F3C">
        <w:rPr>
          <w:rFonts w:ascii="Times New Roman" w:hAnsi="Times New Roman"/>
          <w:i/>
          <w:sz w:val="20"/>
          <w:szCs w:val="20"/>
        </w:rPr>
        <w:t xml:space="preserve">and </w:t>
      </w:r>
      <w:r w:rsidRPr="00712F3C">
        <w:rPr>
          <w:rFonts w:ascii="Times New Roman" w:hAnsi="Times New Roman"/>
          <w:b/>
          <w:i/>
          <w:sz w:val="20"/>
          <w:szCs w:val="20"/>
        </w:rPr>
        <w:t>“</w:t>
      </w:r>
      <w:r w:rsidRPr="00712F3C">
        <w:rPr>
          <w:rFonts w:ascii="Times New Roman" w:hAnsi="Times New Roman"/>
          <w:b/>
          <w:bCs/>
          <w:i/>
          <w:iCs/>
          <w:sz w:val="20"/>
          <w:szCs w:val="20"/>
        </w:rPr>
        <w:t>Issue Procedure</w:t>
      </w:r>
      <w:r w:rsidRPr="00712F3C">
        <w:rPr>
          <w:rFonts w:ascii="Times New Roman" w:hAnsi="Times New Roman"/>
          <w:b/>
          <w:i/>
          <w:sz w:val="20"/>
          <w:szCs w:val="20"/>
        </w:rPr>
        <w:t>”</w:t>
      </w:r>
      <w:r w:rsidRPr="00712F3C">
        <w:rPr>
          <w:rFonts w:ascii="Times New Roman" w:hAnsi="Times New Roman"/>
          <w:i/>
          <w:sz w:val="20"/>
          <w:szCs w:val="20"/>
        </w:rPr>
        <w:t>,</w:t>
      </w:r>
      <w:r w:rsidRPr="00712F3C">
        <w:rPr>
          <w:rFonts w:ascii="Times New Roman" w:hAnsi="Times New Roman"/>
          <w:sz w:val="20"/>
          <w:szCs w:val="20"/>
        </w:rPr>
        <w:t xml:space="preserve"> will have the meaning ascribed to such terms in these respective sections.</w:t>
      </w:r>
      <w:r w:rsidRPr="00712F3C">
        <w:rPr>
          <w:rFonts w:ascii="Times New Roman" w:hAnsi="Times New Roman"/>
          <w:sz w:val="20"/>
          <w:szCs w:val="20"/>
        </w:rPr>
        <w:br w:type="page"/>
      </w:r>
    </w:p>
    <w:p w14:paraId="67CCA1B1" w14:textId="77777777" w:rsidR="00F8631B" w:rsidRPr="00712F3C" w:rsidRDefault="00F8631B" w:rsidP="00F8631B">
      <w:pPr>
        <w:spacing w:after="0" w:line="240" w:lineRule="auto"/>
        <w:jc w:val="center"/>
        <w:rPr>
          <w:rFonts w:ascii="Times New Roman" w:hAnsi="Times New Roman"/>
          <w:b/>
          <w:iCs/>
          <w:sz w:val="20"/>
          <w:szCs w:val="20"/>
          <w:u w:val="single"/>
        </w:rPr>
      </w:pPr>
      <w:r w:rsidRPr="00712F3C">
        <w:rPr>
          <w:rFonts w:ascii="Times New Roman" w:hAnsi="Times New Roman"/>
          <w:b/>
          <w:iCs/>
          <w:sz w:val="20"/>
          <w:szCs w:val="20"/>
          <w:u w:val="single"/>
        </w:rPr>
        <w:lastRenderedPageBreak/>
        <w:t>CERTAIN CONVENTIONS, USE OF FINANCIAL INFORMATION AND MARKET DATA AND CURRENCY OF FINANCIAL PRESENTATION</w:t>
      </w:r>
    </w:p>
    <w:p w14:paraId="3063ED53" w14:textId="77777777" w:rsidR="00F8631B" w:rsidRPr="00712F3C" w:rsidRDefault="00F8631B" w:rsidP="00F8631B">
      <w:pPr>
        <w:autoSpaceDE w:val="0"/>
        <w:autoSpaceDN w:val="0"/>
        <w:adjustRightInd w:val="0"/>
        <w:spacing w:after="0" w:line="240" w:lineRule="auto"/>
        <w:jc w:val="both"/>
        <w:rPr>
          <w:rFonts w:ascii="Times New Roman" w:hAnsi="Times New Roman"/>
          <w:b/>
          <w:sz w:val="20"/>
          <w:szCs w:val="20"/>
        </w:rPr>
      </w:pPr>
    </w:p>
    <w:p w14:paraId="049463D2" w14:textId="77777777" w:rsidR="00F8631B" w:rsidRPr="00712F3C" w:rsidRDefault="00F8631B" w:rsidP="00F8631B">
      <w:pPr>
        <w:autoSpaceDE w:val="0"/>
        <w:autoSpaceDN w:val="0"/>
        <w:adjustRightInd w:val="0"/>
        <w:spacing w:after="0" w:line="240" w:lineRule="auto"/>
        <w:jc w:val="both"/>
        <w:rPr>
          <w:rFonts w:ascii="Times New Roman" w:hAnsi="Times New Roman"/>
          <w:b/>
          <w:sz w:val="20"/>
          <w:szCs w:val="20"/>
        </w:rPr>
      </w:pPr>
      <w:r w:rsidRPr="00712F3C">
        <w:rPr>
          <w:rFonts w:ascii="Times New Roman" w:hAnsi="Times New Roman"/>
          <w:b/>
          <w:sz w:val="20"/>
          <w:szCs w:val="20"/>
        </w:rPr>
        <w:t>Certain Conventions</w:t>
      </w:r>
    </w:p>
    <w:p w14:paraId="4BC61A86" w14:textId="77777777" w:rsidR="00F8631B" w:rsidRPr="00712F3C" w:rsidRDefault="00F8631B" w:rsidP="00F8631B">
      <w:pPr>
        <w:autoSpaceDE w:val="0"/>
        <w:autoSpaceDN w:val="0"/>
        <w:adjustRightInd w:val="0"/>
        <w:spacing w:after="0" w:line="240" w:lineRule="auto"/>
        <w:jc w:val="both"/>
        <w:rPr>
          <w:rFonts w:ascii="Times New Roman" w:hAnsi="Times New Roman"/>
          <w:sz w:val="20"/>
          <w:szCs w:val="20"/>
        </w:rPr>
      </w:pPr>
    </w:p>
    <w:p w14:paraId="09F4591B" w14:textId="77777777" w:rsidR="00F8631B" w:rsidRPr="00712F3C" w:rsidRDefault="00F8631B" w:rsidP="00F8631B">
      <w:pPr>
        <w:autoSpaceDE w:val="0"/>
        <w:autoSpaceDN w:val="0"/>
        <w:adjustRightInd w:val="0"/>
        <w:spacing w:after="0" w:line="240" w:lineRule="auto"/>
        <w:jc w:val="both"/>
        <w:rPr>
          <w:rFonts w:ascii="Times New Roman" w:hAnsi="Times New Roman"/>
          <w:sz w:val="20"/>
          <w:szCs w:val="20"/>
        </w:rPr>
      </w:pPr>
      <w:r w:rsidRPr="00712F3C">
        <w:rPr>
          <w:rFonts w:ascii="Times New Roman" w:hAnsi="Times New Roman"/>
          <w:sz w:val="20"/>
          <w:szCs w:val="20"/>
        </w:rPr>
        <w:t xml:space="preserve">All references in the Draft </w:t>
      </w:r>
      <w:r w:rsidRPr="00712F3C">
        <w:rPr>
          <w:rFonts w:ascii="Times New Roman" w:hAnsi="Times New Roman"/>
          <w:iCs/>
          <w:sz w:val="20"/>
          <w:szCs w:val="20"/>
        </w:rPr>
        <w:t>Red Herring</w:t>
      </w:r>
      <w:r w:rsidRPr="00712F3C">
        <w:rPr>
          <w:rFonts w:ascii="Times New Roman" w:hAnsi="Times New Roman"/>
          <w:sz w:val="20"/>
          <w:szCs w:val="20"/>
        </w:rPr>
        <w:t xml:space="preserve"> Prospectus to “India” are to the Republic of India. All references in the Draft </w:t>
      </w:r>
      <w:r w:rsidRPr="00712F3C">
        <w:rPr>
          <w:rFonts w:ascii="Times New Roman" w:hAnsi="Times New Roman"/>
          <w:iCs/>
          <w:sz w:val="20"/>
          <w:szCs w:val="20"/>
        </w:rPr>
        <w:t>Red Herring</w:t>
      </w:r>
      <w:r w:rsidRPr="00712F3C">
        <w:rPr>
          <w:rFonts w:ascii="Times New Roman" w:hAnsi="Times New Roman"/>
          <w:sz w:val="20"/>
          <w:szCs w:val="20"/>
        </w:rPr>
        <w:t xml:space="preserve"> Prospectus to the “U.S.”, “USA” or “United States” are to the United States of America.</w:t>
      </w:r>
    </w:p>
    <w:p w14:paraId="7E0B0CCA" w14:textId="77777777" w:rsidR="00F8631B" w:rsidRPr="00712F3C" w:rsidRDefault="00F8631B" w:rsidP="00F8631B">
      <w:pPr>
        <w:autoSpaceDE w:val="0"/>
        <w:autoSpaceDN w:val="0"/>
        <w:adjustRightInd w:val="0"/>
        <w:spacing w:after="0" w:line="240" w:lineRule="auto"/>
        <w:jc w:val="both"/>
        <w:rPr>
          <w:rFonts w:ascii="Times New Roman" w:hAnsi="Times New Roman"/>
          <w:sz w:val="20"/>
          <w:szCs w:val="20"/>
        </w:rPr>
      </w:pPr>
    </w:p>
    <w:p w14:paraId="08F69321" w14:textId="77777777" w:rsidR="00F8631B" w:rsidRPr="00712F3C" w:rsidRDefault="00F8631B" w:rsidP="00F8631B">
      <w:pPr>
        <w:autoSpaceDE w:val="0"/>
        <w:autoSpaceDN w:val="0"/>
        <w:adjustRightInd w:val="0"/>
        <w:spacing w:after="0" w:line="240" w:lineRule="auto"/>
        <w:jc w:val="both"/>
        <w:rPr>
          <w:rFonts w:ascii="Times New Roman" w:hAnsi="Times New Roman"/>
          <w:sz w:val="20"/>
          <w:szCs w:val="20"/>
        </w:rPr>
      </w:pPr>
      <w:r w:rsidRPr="00712F3C">
        <w:rPr>
          <w:rFonts w:ascii="Times New Roman" w:hAnsi="Times New Roman"/>
          <w:sz w:val="20"/>
          <w:szCs w:val="20"/>
        </w:rPr>
        <w:t xml:space="preserve">In this Draft </w:t>
      </w:r>
      <w:r w:rsidRPr="00712F3C">
        <w:rPr>
          <w:rFonts w:ascii="Times New Roman" w:hAnsi="Times New Roman"/>
          <w:iCs/>
          <w:sz w:val="20"/>
          <w:szCs w:val="20"/>
        </w:rPr>
        <w:t>Red Herring</w:t>
      </w:r>
      <w:r w:rsidRPr="00712F3C">
        <w:rPr>
          <w:rFonts w:ascii="Times New Roman" w:hAnsi="Times New Roman"/>
          <w:sz w:val="20"/>
          <w:szCs w:val="20"/>
        </w:rPr>
        <w:t xml:space="preserve"> Prospectus, unless the context otherwise requires, all references to one gender also refers to another gender and the word “Lac / Lakh” means “one hundred thousand”, the word “million (mn)” means “Ten Lac / Lakh”, the word “Crore” means “ten million” and the word “billion (bn)” means “one hundred crore”. In this Draft </w:t>
      </w:r>
      <w:r w:rsidRPr="00712F3C">
        <w:rPr>
          <w:rFonts w:ascii="Times New Roman" w:hAnsi="Times New Roman"/>
          <w:iCs/>
          <w:sz w:val="20"/>
          <w:szCs w:val="20"/>
        </w:rPr>
        <w:t>Red Herring</w:t>
      </w:r>
      <w:r w:rsidRPr="00712F3C">
        <w:rPr>
          <w:rFonts w:ascii="Times New Roman" w:hAnsi="Times New Roman"/>
          <w:sz w:val="20"/>
          <w:szCs w:val="20"/>
        </w:rPr>
        <w:t xml:space="preserve"> Prospectus, any discrepancies in any table between total and the sum of the amounts listed are due to rounding-off. </w:t>
      </w:r>
      <w:r w:rsidRPr="00712F3C">
        <w:rPr>
          <w:rFonts w:ascii="Times New Roman" w:hAnsi="Times New Roman"/>
          <w:sz w:val="20"/>
          <w:szCs w:val="20"/>
          <w:lang w:val="en-GB"/>
        </w:rPr>
        <w:t>All figures in decimals have been rounded off to the second decimal and all percentage figures have been rounded off to two decimal places.</w:t>
      </w:r>
      <w:r w:rsidRPr="00712F3C">
        <w:rPr>
          <w:rFonts w:ascii="Times New Roman" w:hAnsi="Times New Roman"/>
          <w:sz w:val="20"/>
          <w:szCs w:val="20"/>
          <w:lang w:val="en-IN"/>
        </w:rPr>
        <w:t xml:space="preserve"> In certain instances, (i) the sum or percentage change of such numbers may not conform exactly to the total figure given; and (ii) the sum of the numbers in a column or row in certain tables may not conform exactly to the total figure given for that column or row.</w:t>
      </w:r>
    </w:p>
    <w:p w14:paraId="76770245" w14:textId="77777777" w:rsidR="00F8631B" w:rsidRPr="00712F3C" w:rsidRDefault="00F8631B" w:rsidP="00F8631B">
      <w:pPr>
        <w:autoSpaceDE w:val="0"/>
        <w:autoSpaceDN w:val="0"/>
        <w:adjustRightInd w:val="0"/>
        <w:spacing w:after="0" w:line="240" w:lineRule="auto"/>
        <w:jc w:val="both"/>
        <w:rPr>
          <w:rFonts w:ascii="Times New Roman" w:hAnsi="Times New Roman"/>
          <w:sz w:val="20"/>
          <w:szCs w:val="20"/>
        </w:rPr>
      </w:pPr>
    </w:p>
    <w:p w14:paraId="4E9F147D" w14:textId="77777777" w:rsidR="00F8631B" w:rsidRPr="00712F3C" w:rsidRDefault="00F8631B" w:rsidP="00F8631B">
      <w:pPr>
        <w:autoSpaceDE w:val="0"/>
        <w:autoSpaceDN w:val="0"/>
        <w:adjustRightInd w:val="0"/>
        <w:spacing w:after="0" w:line="240" w:lineRule="auto"/>
        <w:jc w:val="both"/>
        <w:rPr>
          <w:rFonts w:ascii="Times New Roman" w:hAnsi="Times New Roman"/>
          <w:b/>
          <w:sz w:val="20"/>
          <w:szCs w:val="20"/>
        </w:rPr>
      </w:pPr>
      <w:r w:rsidRPr="00712F3C">
        <w:rPr>
          <w:rFonts w:ascii="Times New Roman" w:hAnsi="Times New Roman"/>
          <w:b/>
          <w:sz w:val="20"/>
          <w:szCs w:val="20"/>
        </w:rPr>
        <w:t>Use of Financial Data</w:t>
      </w:r>
    </w:p>
    <w:p w14:paraId="47E1F054" w14:textId="77777777" w:rsidR="00F8631B" w:rsidRPr="00712F3C" w:rsidRDefault="00F8631B" w:rsidP="00F8631B">
      <w:pPr>
        <w:autoSpaceDE w:val="0"/>
        <w:autoSpaceDN w:val="0"/>
        <w:adjustRightInd w:val="0"/>
        <w:spacing w:after="0" w:line="240" w:lineRule="auto"/>
        <w:jc w:val="both"/>
        <w:rPr>
          <w:rFonts w:ascii="Times New Roman" w:hAnsi="Times New Roman"/>
          <w:sz w:val="20"/>
          <w:szCs w:val="20"/>
        </w:rPr>
      </w:pPr>
    </w:p>
    <w:p w14:paraId="41CD9617" w14:textId="15C86B66" w:rsidR="00F8631B" w:rsidRPr="00712F3C" w:rsidRDefault="00F8631B" w:rsidP="00F8631B">
      <w:pPr>
        <w:autoSpaceDE w:val="0"/>
        <w:autoSpaceDN w:val="0"/>
        <w:adjustRightInd w:val="0"/>
        <w:spacing w:after="0" w:line="240" w:lineRule="auto"/>
        <w:jc w:val="both"/>
        <w:rPr>
          <w:rFonts w:ascii="Times New Roman" w:hAnsi="Times New Roman"/>
          <w:sz w:val="20"/>
          <w:szCs w:val="20"/>
        </w:rPr>
      </w:pPr>
      <w:r w:rsidRPr="00712F3C">
        <w:rPr>
          <w:rFonts w:ascii="Times New Roman" w:hAnsi="Times New Roman"/>
          <w:sz w:val="20"/>
          <w:szCs w:val="20"/>
        </w:rPr>
        <w:t xml:space="preserve">Unless stated otherwise, throughout this Draft </w:t>
      </w:r>
      <w:r w:rsidRPr="00712F3C">
        <w:rPr>
          <w:rFonts w:ascii="Times New Roman" w:hAnsi="Times New Roman"/>
          <w:iCs/>
          <w:sz w:val="20"/>
          <w:szCs w:val="20"/>
        </w:rPr>
        <w:t>Red Herring</w:t>
      </w:r>
      <w:r w:rsidRPr="00712F3C">
        <w:rPr>
          <w:rFonts w:ascii="Times New Roman" w:hAnsi="Times New Roman"/>
          <w:sz w:val="20"/>
          <w:szCs w:val="20"/>
        </w:rPr>
        <w:t xml:space="preserve"> Prospectus, all figures have been expressed in Rupees and Lakh. Unless stated otherwise, the financial data in the Draft </w:t>
      </w:r>
      <w:r w:rsidRPr="00712F3C">
        <w:rPr>
          <w:rFonts w:ascii="Times New Roman" w:hAnsi="Times New Roman"/>
          <w:iCs/>
          <w:sz w:val="20"/>
          <w:szCs w:val="20"/>
        </w:rPr>
        <w:t>Red Herring</w:t>
      </w:r>
      <w:r w:rsidRPr="00712F3C">
        <w:rPr>
          <w:rFonts w:ascii="Times New Roman" w:hAnsi="Times New Roman"/>
          <w:sz w:val="20"/>
          <w:szCs w:val="20"/>
        </w:rPr>
        <w:t xml:space="preserve"> Prospectus is derived from our restated financial information prepared for the financial year ended March 31, 202</w:t>
      </w:r>
      <w:r w:rsidR="00952AF2">
        <w:rPr>
          <w:rFonts w:ascii="Times New Roman" w:hAnsi="Times New Roman"/>
          <w:sz w:val="20"/>
          <w:szCs w:val="20"/>
        </w:rPr>
        <w:t>3</w:t>
      </w:r>
      <w:r w:rsidRPr="00712F3C">
        <w:rPr>
          <w:rFonts w:ascii="Times New Roman" w:hAnsi="Times New Roman"/>
          <w:sz w:val="20"/>
          <w:szCs w:val="20"/>
        </w:rPr>
        <w:t>, March 31, 202</w:t>
      </w:r>
      <w:r w:rsidR="00952AF2">
        <w:rPr>
          <w:rFonts w:ascii="Times New Roman" w:hAnsi="Times New Roman"/>
          <w:sz w:val="20"/>
          <w:szCs w:val="20"/>
        </w:rPr>
        <w:t xml:space="preserve">2 </w:t>
      </w:r>
      <w:r w:rsidRPr="00712F3C">
        <w:rPr>
          <w:rFonts w:ascii="Times New Roman" w:hAnsi="Times New Roman"/>
          <w:sz w:val="20"/>
          <w:szCs w:val="20"/>
        </w:rPr>
        <w:t>and March 31, 202</w:t>
      </w:r>
      <w:r w:rsidR="00952AF2">
        <w:rPr>
          <w:rFonts w:ascii="Times New Roman" w:hAnsi="Times New Roman"/>
          <w:sz w:val="20"/>
          <w:szCs w:val="20"/>
        </w:rPr>
        <w:t xml:space="preserve">1 </w:t>
      </w:r>
      <w:r w:rsidRPr="00712F3C">
        <w:rPr>
          <w:rFonts w:ascii="Times New Roman" w:hAnsi="Times New Roman"/>
          <w:sz w:val="20"/>
          <w:szCs w:val="20"/>
        </w:rPr>
        <w:t xml:space="preserve">in accordance with Indian GAAP, the Companies Act and SEBI (ICDR) Regulations, 2018 included under Section titled </w:t>
      </w:r>
      <w:r w:rsidRPr="00712F3C">
        <w:rPr>
          <w:rFonts w:ascii="Times New Roman" w:hAnsi="Times New Roman"/>
          <w:b/>
          <w:i/>
          <w:sz w:val="20"/>
          <w:szCs w:val="20"/>
        </w:rPr>
        <w:t>“Financial Information of the Company”</w:t>
      </w:r>
      <w:r w:rsidRPr="00712F3C">
        <w:rPr>
          <w:rFonts w:ascii="Times New Roman" w:hAnsi="Times New Roman"/>
          <w:sz w:val="20"/>
          <w:szCs w:val="20"/>
        </w:rPr>
        <w:t xml:space="preserve"> beginning on page </w:t>
      </w:r>
      <w:r>
        <w:rPr>
          <w:rFonts w:ascii="Times New Roman" w:hAnsi="Times New Roman"/>
          <w:sz w:val="20"/>
          <w:szCs w:val="20"/>
        </w:rPr>
        <w:t>130</w:t>
      </w:r>
      <w:r w:rsidRPr="00712F3C">
        <w:rPr>
          <w:rFonts w:ascii="Times New Roman" w:hAnsi="Times New Roman"/>
          <w:sz w:val="20"/>
          <w:szCs w:val="20"/>
        </w:rPr>
        <w:t xml:space="preserve"> of this Draft </w:t>
      </w:r>
      <w:r w:rsidRPr="00712F3C">
        <w:rPr>
          <w:rFonts w:ascii="Times New Roman" w:hAnsi="Times New Roman"/>
          <w:iCs/>
          <w:sz w:val="20"/>
          <w:szCs w:val="20"/>
        </w:rPr>
        <w:t>Red Herring</w:t>
      </w:r>
      <w:r w:rsidRPr="00712F3C">
        <w:rPr>
          <w:rFonts w:ascii="Times New Roman" w:hAnsi="Times New Roman"/>
          <w:sz w:val="20"/>
          <w:szCs w:val="20"/>
        </w:rPr>
        <w:t xml:space="preserve"> Prospectus. </w:t>
      </w:r>
    </w:p>
    <w:p w14:paraId="0703C674" w14:textId="77777777" w:rsidR="00F8631B" w:rsidRPr="00712F3C" w:rsidRDefault="00F8631B" w:rsidP="00F8631B">
      <w:pPr>
        <w:autoSpaceDE w:val="0"/>
        <w:autoSpaceDN w:val="0"/>
        <w:adjustRightInd w:val="0"/>
        <w:spacing w:after="0" w:line="240" w:lineRule="auto"/>
        <w:jc w:val="both"/>
        <w:rPr>
          <w:rFonts w:ascii="Times New Roman" w:hAnsi="Times New Roman"/>
          <w:sz w:val="20"/>
          <w:szCs w:val="20"/>
        </w:rPr>
      </w:pPr>
    </w:p>
    <w:p w14:paraId="36E0F84E" w14:textId="77777777" w:rsidR="00F8631B" w:rsidRPr="00712F3C" w:rsidRDefault="00F8631B" w:rsidP="00F8631B">
      <w:pPr>
        <w:autoSpaceDE w:val="0"/>
        <w:autoSpaceDN w:val="0"/>
        <w:adjustRightInd w:val="0"/>
        <w:spacing w:after="0" w:line="240" w:lineRule="auto"/>
        <w:jc w:val="both"/>
        <w:rPr>
          <w:rFonts w:ascii="Times New Roman" w:hAnsi="Times New Roman"/>
          <w:sz w:val="20"/>
          <w:szCs w:val="20"/>
        </w:rPr>
      </w:pPr>
      <w:r w:rsidRPr="00712F3C">
        <w:rPr>
          <w:rFonts w:ascii="Times New Roman" w:hAnsi="Times New Roman"/>
          <w:sz w:val="20"/>
          <w:szCs w:val="20"/>
        </w:rPr>
        <w:t xml:space="preserve">There are significant differences between Indian GAAP, the International Financial Reporting Standards (“IFRS”) and the Generally Accepted Accounting Principles in the United States of America (“U.S. GAAP”). Accordingly, the degree to which the Indian GAAP financial statements included in this Draft </w:t>
      </w:r>
      <w:r w:rsidRPr="00712F3C">
        <w:rPr>
          <w:rFonts w:ascii="Times New Roman" w:hAnsi="Times New Roman"/>
          <w:iCs/>
          <w:sz w:val="20"/>
          <w:szCs w:val="20"/>
        </w:rPr>
        <w:t>Red Herring</w:t>
      </w:r>
      <w:r w:rsidRPr="00712F3C">
        <w:rPr>
          <w:rFonts w:ascii="Times New Roman" w:hAnsi="Times New Roman"/>
          <w:sz w:val="20"/>
          <w:szCs w:val="20"/>
        </w:rPr>
        <w:t xml:space="preserve"> Prospectus will provide meaningful information is entirely dependent on the reader’s level of familiarity with Indian accounting practice and Indian GAAP. Any reliance by persons not familiar with Indian accounting practices on the financial disclosures presented in this Draft </w:t>
      </w:r>
      <w:r w:rsidRPr="00712F3C">
        <w:rPr>
          <w:rFonts w:ascii="Times New Roman" w:hAnsi="Times New Roman"/>
          <w:iCs/>
          <w:sz w:val="20"/>
          <w:szCs w:val="20"/>
        </w:rPr>
        <w:t>Red Herring</w:t>
      </w:r>
      <w:r w:rsidRPr="00712F3C">
        <w:rPr>
          <w:rFonts w:ascii="Times New Roman" w:hAnsi="Times New Roman"/>
          <w:sz w:val="20"/>
          <w:szCs w:val="20"/>
        </w:rPr>
        <w:t xml:space="preserve"> Prospectus should accordingly be limited. We have not attempted to explain those differences or quantify their impact on the financial data included herein, and we urge you to consult your own advisors regarding such differences and their impact on our financial data.</w:t>
      </w:r>
    </w:p>
    <w:p w14:paraId="6FA28999" w14:textId="77777777" w:rsidR="00F8631B" w:rsidRPr="00712F3C" w:rsidRDefault="00F8631B" w:rsidP="00F8631B">
      <w:pPr>
        <w:autoSpaceDE w:val="0"/>
        <w:autoSpaceDN w:val="0"/>
        <w:adjustRightInd w:val="0"/>
        <w:spacing w:after="0" w:line="240" w:lineRule="auto"/>
        <w:jc w:val="both"/>
        <w:rPr>
          <w:rFonts w:ascii="Times New Roman" w:hAnsi="Times New Roman"/>
          <w:sz w:val="20"/>
          <w:szCs w:val="20"/>
        </w:rPr>
      </w:pPr>
    </w:p>
    <w:p w14:paraId="49859470" w14:textId="0519BF09" w:rsidR="00F8631B" w:rsidRPr="00712F3C" w:rsidRDefault="00F8631B" w:rsidP="00F8631B">
      <w:pPr>
        <w:autoSpaceDE w:val="0"/>
        <w:autoSpaceDN w:val="0"/>
        <w:adjustRightInd w:val="0"/>
        <w:spacing w:after="0" w:line="240" w:lineRule="auto"/>
        <w:jc w:val="both"/>
        <w:rPr>
          <w:rFonts w:ascii="Times New Roman" w:hAnsi="Times New Roman"/>
          <w:sz w:val="20"/>
          <w:szCs w:val="20"/>
        </w:rPr>
      </w:pPr>
      <w:r w:rsidRPr="00712F3C">
        <w:rPr>
          <w:rFonts w:ascii="Times New Roman" w:hAnsi="Times New Roman"/>
          <w:sz w:val="20"/>
          <w:szCs w:val="20"/>
        </w:rPr>
        <w:t>Any percentage amounts, as set forth in</w:t>
      </w:r>
      <w:r w:rsidRPr="00712F3C">
        <w:rPr>
          <w:rFonts w:ascii="Times New Roman" w:hAnsi="Times New Roman"/>
          <w:b/>
          <w:i/>
          <w:sz w:val="20"/>
          <w:szCs w:val="20"/>
        </w:rPr>
        <w:t xml:space="preserve"> “Risk Factors”, “Our Business”, “Management’s Discussion and Analysis of Financial Condition and Results of Operations”</w:t>
      </w:r>
      <w:r w:rsidRPr="00712F3C">
        <w:rPr>
          <w:rFonts w:ascii="Times New Roman" w:hAnsi="Times New Roman"/>
          <w:sz w:val="20"/>
          <w:szCs w:val="20"/>
        </w:rPr>
        <w:t xml:space="preserve"> and elsewhere in the Draft </w:t>
      </w:r>
      <w:r w:rsidRPr="00712F3C">
        <w:rPr>
          <w:rFonts w:ascii="Times New Roman" w:hAnsi="Times New Roman"/>
          <w:iCs/>
          <w:sz w:val="20"/>
          <w:szCs w:val="20"/>
        </w:rPr>
        <w:t>Red Herring</w:t>
      </w:r>
      <w:r w:rsidRPr="00712F3C">
        <w:rPr>
          <w:rFonts w:ascii="Times New Roman" w:hAnsi="Times New Roman"/>
          <w:sz w:val="20"/>
          <w:szCs w:val="20"/>
        </w:rPr>
        <w:t xml:space="preserve"> Prospectus unless otherwise indicated, have been calculated on the basis of the Company‘s restated financial statements prepared in accordance with the applicable provisions of the Companies Act, Indian GAAP and restated in accordance with SEBI (ICDR) Regulations, 2018, as stated in the report of our Peer Review Auditor, set out in section titled </w:t>
      </w:r>
      <w:r w:rsidRPr="00712F3C">
        <w:rPr>
          <w:rFonts w:ascii="Times New Roman" w:hAnsi="Times New Roman"/>
          <w:b/>
          <w:i/>
          <w:sz w:val="20"/>
          <w:szCs w:val="20"/>
        </w:rPr>
        <w:t>“Financial Information of the Company”</w:t>
      </w:r>
      <w:r w:rsidRPr="00712F3C">
        <w:rPr>
          <w:rFonts w:ascii="Times New Roman" w:hAnsi="Times New Roman"/>
          <w:sz w:val="20"/>
          <w:szCs w:val="20"/>
        </w:rPr>
        <w:t xml:space="preserve"> beginning on page </w:t>
      </w:r>
      <w:r>
        <w:rPr>
          <w:rFonts w:ascii="Times New Roman" w:hAnsi="Times New Roman"/>
          <w:sz w:val="20"/>
          <w:szCs w:val="20"/>
        </w:rPr>
        <w:t>130</w:t>
      </w:r>
      <w:r w:rsidRPr="00712F3C">
        <w:rPr>
          <w:rFonts w:ascii="Times New Roman" w:hAnsi="Times New Roman"/>
          <w:sz w:val="20"/>
          <w:szCs w:val="20"/>
        </w:rPr>
        <w:t xml:space="preserve"> of this Draft </w:t>
      </w:r>
      <w:r w:rsidRPr="00712F3C">
        <w:rPr>
          <w:rFonts w:ascii="Times New Roman" w:hAnsi="Times New Roman"/>
          <w:iCs/>
          <w:sz w:val="20"/>
          <w:szCs w:val="20"/>
        </w:rPr>
        <w:t>Red Herring</w:t>
      </w:r>
      <w:r w:rsidRPr="00712F3C">
        <w:rPr>
          <w:rFonts w:ascii="Times New Roman" w:hAnsi="Times New Roman"/>
          <w:sz w:val="20"/>
          <w:szCs w:val="20"/>
        </w:rPr>
        <w:t xml:space="preserve"> Prospectus. Our fiscal year commences on April 1 of every year and ends on March 31</w:t>
      </w:r>
      <w:r w:rsidRPr="00712F3C">
        <w:rPr>
          <w:rFonts w:ascii="Times New Roman" w:hAnsi="Times New Roman"/>
          <w:sz w:val="20"/>
          <w:szCs w:val="20"/>
          <w:vertAlign w:val="superscript"/>
        </w:rPr>
        <w:t>st</w:t>
      </w:r>
      <w:r w:rsidRPr="00712F3C">
        <w:rPr>
          <w:rFonts w:ascii="Times New Roman" w:hAnsi="Times New Roman"/>
          <w:sz w:val="20"/>
          <w:szCs w:val="20"/>
        </w:rPr>
        <w:t xml:space="preserve"> of every next year.  </w:t>
      </w:r>
    </w:p>
    <w:p w14:paraId="249C6F38" w14:textId="77777777" w:rsidR="00F8631B" w:rsidRPr="00712F3C" w:rsidRDefault="00F8631B" w:rsidP="00F8631B">
      <w:pPr>
        <w:autoSpaceDE w:val="0"/>
        <w:autoSpaceDN w:val="0"/>
        <w:adjustRightInd w:val="0"/>
        <w:spacing w:after="0" w:line="240" w:lineRule="auto"/>
        <w:jc w:val="both"/>
        <w:rPr>
          <w:rFonts w:ascii="Times New Roman" w:hAnsi="Times New Roman"/>
          <w:sz w:val="20"/>
          <w:szCs w:val="20"/>
        </w:rPr>
      </w:pPr>
    </w:p>
    <w:p w14:paraId="20638BB7" w14:textId="77777777" w:rsidR="00F8631B" w:rsidRPr="00712F3C" w:rsidRDefault="00F8631B" w:rsidP="00F8631B">
      <w:pPr>
        <w:autoSpaceDE w:val="0"/>
        <w:autoSpaceDN w:val="0"/>
        <w:adjustRightInd w:val="0"/>
        <w:spacing w:after="0" w:line="240" w:lineRule="auto"/>
        <w:jc w:val="both"/>
        <w:rPr>
          <w:rFonts w:ascii="Times New Roman" w:hAnsi="Times New Roman"/>
          <w:sz w:val="20"/>
          <w:szCs w:val="20"/>
        </w:rPr>
      </w:pPr>
      <w:r w:rsidRPr="00712F3C">
        <w:rPr>
          <w:rFonts w:ascii="Times New Roman" w:hAnsi="Times New Roman"/>
          <w:sz w:val="20"/>
          <w:szCs w:val="20"/>
        </w:rPr>
        <w:t xml:space="preserve">For additional definitions used in this Draft </w:t>
      </w:r>
      <w:r w:rsidRPr="00712F3C">
        <w:rPr>
          <w:rFonts w:ascii="Times New Roman" w:hAnsi="Times New Roman"/>
          <w:iCs/>
          <w:sz w:val="20"/>
          <w:szCs w:val="20"/>
        </w:rPr>
        <w:t>Red Herring</w:t>
      </w:r>
      <w:r w:rsidRPr="00712F3C">
        <w:rPr>
          <w:rFonts w:ascii="Times New Roman" w:hAnsi="Times New Roman"/>
          <w:sz w:val="20"/>
          <w:szCs w:val="20"/>
        </w:rPr>
        <w:t xml:space="preserve"> Prospectus, see the section </w:t>
      </w:r>
      <w:r w:rsidRPr="00712F3C">
        <w:rPr>
          <w:rFonts w:ascii="Times New Roman" w:hAnsi="Times New Roman"/>
          <w:b/>
          <w:i/>
          <w:sz w:val="20"/>
          <w:szCs w:val="20"/>
        </w:rPr>
        <w:t>“Definitions and Abbreviations”</w:t>
      </w:r>
      <w:r w:rsidRPr="00712F3C">
        <w:rPr>
          <w:rFonts w:ascii="Times New Roman" w:hAnsi="Times New Roman"/>
          <w:sz w:val="20"/>
          <w:szCs w:val="20"/>
        </w:rPr>
        <w:t xml:space="preserve"> on page 1 of this Draft </w:t>
      </w:r>
      <w:r w:rsidRPr="00712F3C">
        <w:rPr>
          <w:rFonts w:ascii="Times New Roman" w:hAnsi="Times New Roman"/>
          <w:iCs/>
          <w:sz w:val="20"/>
          <w:szCs w:val="20"/>
        </w:rPr>
        <w:t>Red Herring</w:t>
      </w:r>
      <w:r w:rsidRPr="00712F3C">
        <w:rPr>
          <w:rFonts w:ascii="Times New Roman" w:hAnsi="Times New Roman"/>
          <w:sz w:val="20"/>
          <w:szCs w:val="20"/>
        </w:rPr>
        <w:t xml:space="preserve"> Prospectus. In the section titled </w:t>
      </w:r>
      <w:r w:rsidRPr="00712F3C">
        <w:rPr>
          <w:rFonts w:ascii="Times New Roman" w:hAnsi="Times New Roman"/>
          <w:b/>
          <w:sz w:val="20"/>
          <w:szCs w:val="20"/>
        </w:rPr>
        <w:t>“</w:t>
      </w:r>
      <w:r w:rsidRPr="00712F3C">
        <w:rPr>
          <w:rFonts w:ascii="Times New Roman" w:hAnsi="Times New Roman"/>
          <w:b/>
          <w:i/>
          <w:sz w:val="20"/>
          <w:szCs w:val="20"/>
        </w:rPr>
        <w:t>Main Provisions of the Articles of Association”</w:t>
      </w:r>
      <w:r w:rsidRPr="00712F3C">
        <w:rPr>
          <w:rFonts w:ascii="Times New Roman" w:hAnsi="Times New Roman"/>
          <w:sz w:val="20"/>
          <w:szCs w:val="20"/>
        </w:rPr>
        <w:t xml:space="preserve">, on page </w:t>
      </w:r>
      <w:r>
        <w:rPr>
          <w:rFonts w:ascii="Times New Roman" w:hAnsi="Times New Roman"/>
          <w:sz w:val="20"/>
          <w:szCs w:val="20"/>
        </w:rPr>
        <w:t>243</w:t>
      </w:r>
      <w:r w:rsidRPr="00712F3C">
        <w:rPr>
          <w:rFonts w:ascii="Times New Roman" w:hAnsi="Times New Roman"/>
          <w:sz w:val="20"/>
          <w:szCs w:val="20"/>
        </w:rPr>
        <w:t xml:space="preserve"> of the Draft </w:t>
      </w:r>
      <w:r w:rsidRPr="00712F3C">
        <w:rPr>
          <w:rFonts w:ascii="Times New Roman" w:hAnsi="Times New Roman"/>
          <w:iCs/>
          <w:sz w:val="20"/>
          <w:szCs w:val="20"/>
        </w:rPr>
        <w:t>Red Herring</w:t>
      </w:r>
      <w:r w:rsidRPr="00712F3C">
        <w:rPr>
          <w:rFonts w:ascii="Times New Roman" w:hAnsi="Times New Roman"/>
          <w:sz w:val="20"/>
          <w:szCs w:val="20"/>
        </w:rPr>
        <w:t xml:space="preserve"> Prospectus defined terms have the meaning given to such terms in the Articles of Association of our Company. </w:t>
      </w:r>
    </w:p>
    <w:p w14:paraId="25F3B330" w14:textId="77777777" w:rsidR="00F8631B" w:rsidRPr="00712F3C" w:rsidRDefault="00F8631B" w:rsidP="00F8631B">
      <w:pPr>
        <w:autoSpaceDE w:val="0"/>
        <w:autoSpaceDN w:val="0"/>
        <w:adjustRightInd w:val="0"/>
        <w:spacing w:after="0" w:line="240" w:lineRule="auto"/>
        <w:jc w:val="both"/>
        <w:rPr>
          <w:rFonts w:ascii="Times New Roman" w:hAnsi="Times New Roman"/>
          <w:sz w:val="20"/>
          <w:szCs w:val="20"/>
        </w:rPr>
      </w:pPr>
    </w:p>
    <w:p w14:paraId="112E0BC3" w14:textId="77777777" w:rsidR="00F8631B" w:rsidRPr="00712F3C" w:rsidRDefault="00F8631B" w:rsidP="00F8631B">
      <w:pPr>
        <w:autoSpaceDE w:val="0"/>
        <w:autoSpaceDN w:val="0"/>
        <w:adjustRightInd w:val="0"/>
        <w:spacing w:after="0" w:line="240" w:lineRule="auto"/>
        <w:jc w:val="both"/>
        <w:rPr>
          <w:rFonts w:ascii="Times New Roman" w:hAnsi="Times New Roman"/>
          <w:b/>
          <w:sz w:val="20"/>
          <w:szCs w:val="20"/>
        </w:rPr>
      </w:pPr>
      <w:r w:rsidRPr="00712F3C">
        <w:rPr>
          <w:rFonts w:ascii="Times New Roman" w:hAnsi="Times New Roman"/>
          <w:b/>
          <w:sz w:val="20"/>
          <w:szCs w:val="20"/>
        </w:rPr>
        <w:t>Use of Industry &amp; Market Data</w:t>
      </w:r>
    </w:p>
    <w:p w14:paraId="2E85EAB8" w14:textId="77777777" w:rsidR="00F8631B" w:rsidRPr="00712F3C" w:rsidRDefault="00F8631B" w:rsidP="00F8631B">
      <w:pPr>
        <w:autoSpaceDE w:val="0"/>
        <w:autoSpaceDN w:val="0"/>
        <w:adjustRightInd w:val="0"/>
        <w:spacing w:after="0" w:line="240" w:lineRule="auto"/>
        <w:jc w:val="both"/>
        <w:rPr>
          <w:rFonts w:ascii="Times New Roman" w:hAnsi="Times New Roman"/>
          <w:sz w:val="20"/>
          <w:szCs w:val="20"/>
        </w:rPr>
      </w:pPr>
    </w:p>
    <w:p w14:paraId="628A5521" w14:textId="77777777" w:rsidR="00F8631B" w:rsidRPr="00712F3C" w:rsidRDefault="00F8631B" w:rsidP="00F8631B">
      <w:pPr>
        <w:autoSpaceDE w:val="0"/>
        <w:autoSpaceDN w:val="0"/>
        <w:adjustRightInd w:val="0"/>
        <w:spacing w:after="0" w:line="240" w:lineRule="auto"/>
        <w:jc w:val="both"/>
        <w:rPr>
          <w:rFonts w:ascii="Times New Roman" w:hAnsi="Times New Roman"/>
          <w:sz w:val="20"/>
          <w:szCs w:val="20"/>
        </w:rPr>
      </w:pPr>
      <w:r w:rsidRPr="00712F3C">
        <w:rPr>
          <w:rFonts w:ascii="Times New Roman" w:hAnsi="Times New Roman"/>
          <w:sz w:val="20"/>
          <w:szCs w:val="20"/>
        </w:rPr>
        <w:t>Unless stated otherwise, industry and market data and forecast used throughout the Prospectus was obtained from internal Company reports, data, websites, Industry publications report as well as Government Publications. Industry publication data and website data generally state that the information contained therein has been obtained from sources believed to be reliable, but that their accuracy and completeness and underlying assumptions are not guaranteed and their reliability cannot be assured.</w:t>
      </w:r>
    </w:p>
    <w:p w14:paraId="6FF0CD58" w14:textId="77777777" w:rsidR="00F8631B" w:rsidRPr="00712F3C" w:rsidRDefault="00F8631B" w:rsidP="00F8631B">
      <w:pPr>
        <w:autoSpaceDE w:val="0"/>
        <w:autoSpaceDN w:val="0"/>
        <w:adjustRightInd w:val="0"/>
        <w:spacing w:after="0" w:line="240" w:lineRule="auto"/>
        <w:jc w:val="both"/>
        <w:rPr>
          <w:rFonts w:ascii="Times New Roman" w:hAnsi="Times New Roman"/>
          <w:sz w:val="20"/>
          <w:szCs w:val="20"/>
        </w:rPr>
      </w:pPr>
    </w:p>
    <w:p w14:paraId="04029A90" w14:textId="77777777" w:rsidR="00F8631B" w:rsidRPr="00712F3C" w:rsidRDefault="00F8631B" w:rsidP="00F8631B">
      <w:pPr>
        <w:autoSpaceDE w:val="0"/>
        <w:autoSpaceDN w:val="0"/>
        <w:adjustRightInd w:val="0"/>
        <w:spacing w:after="0" w:line="240" w:lineRule="auto"/>
        <w:jc w:val="both"/>
        <w:rPr>
          <w:rFonts w:ascii="Times New Roman" w:hAnsi="Times New Roman"/>
          <w:sz w:val="20"/>
          <w:szCs w:val="20"/>
        </w:rPr>
      </w:pPr>
      <w:r w:rsidRPr="00712F3C">
        <w:rPr>
          <w:rFonts w:ascii="Times New Roman" w:hAnsi="Times New Roman"/>
          <w:sz w:val="20"/>
          <w:szCs w:val="20"/>
        </w:rPr>
        <w:t xml:space="preserve">Although, we believe industry and market data used in the Draft </w:t>
      </w:r>
      <w:r w:rsidRPr="00712F3C">
        <w:rPr>
          <w:rFonts w:ascii="Times New Roman" w:hAnsi="Times New Roman"/>
          <w:iCs/>
          <w:sz w:val="20"/>
          <w:szCs w:val="20"/>
        </w:rPr>
        <w:t>Red Herring</w:t>
      </w:r>
      <w:r w:rsidRPr="00712F3C">
        <w:rPr>
          <w:rFonts w:ascii="Times New Roman" w:hAnsi="Times New Roman"/>
          <w:sz w:val="20"/>
          <w:szCs w:val="20"/>
        </w:rPr>
        <w:t xml:space="preserve"> Prospectus is reliable, it has not been independently verified by us or the BRLM or any of their affiliates or advisors. Similarly, internal Company reports and data, while believed by us to be reliable, have not been verified by any independent source. There are no standard data gathering methodologies in the industry in which we conduct our business and methodologies and assumptions may vary widely among different market and industry sources.</w:t>
      </w:r>
    </w:p>
    <w:p w14:paraId="72F047DF" w14:textId="77777777" w:rsidR="00F8631B" w:rsidRPr="00712F3C" w:rsidRDefault="00F8631B" w:rsidP="00F8631B">
      <w:pPr>
        <w:autoSpaceDE w:val="0"/>
        <w:autoSpaceDN w:val="0"/>
        <w:adjustRightInd w:val="0"/>
        <w:spacing w:after="0" w:line="240" w:lineRule="auto"/>
        <w:jc w:val="both"/>
        <w:rPr>
          <w:rFonts w:ascii="Times New Roman" w:hAnsi="Times New Roman"/>
          <w:sz w:val="20"/>
          <w:szCs w:val="20"/>
        </w:rPr>
      </w:pPr>
    </w:p>
    <w:p w14:paraId="070233BF" w14:textId="77777777" w:rsidR="00F8631B" w:rsidRPr="00712F3C" w:rsidRDefault="00F8631B" w:rsidP="00F8631B">
      <w:pPr>
        <w:autoSpaceDE w:val="0"/>
        <w:autoSpaceDN w:val="0"/>
        <w:adjustRightInd w:val="0"/>
        <w:spacing w:after="0" w:line="240" w:lineRule="auto"/>
        <w:jc w:val="both"/>
        <w:rPr>
          <w:rFonts w:ascii="Times New Roman" w:hAnsi="Times New Roman"/>
          <w:sz w:val="20"/>
          <w:szCs w:val="20"/>
        </w:rPr>
      </w:pPr>
      <w:r w:rsidRPr="00712F3C">
        <w:rPr>
          <w:rFonts w:ascii="Times New Roman" w:hAnsi="Times New Roman"/>
          <w:sz w:val="20"/>
          <w:szCs w:val="20"/>
        </w:rPr>
        <w:t xml:space="preserve">In accordance with the SEBI (ICDR) Regulations, 2018 the section titled </w:t>
      </w:r>
      <w:r w:rsidRPr="00712F3C">
        <w:rPr>
          <w:rFonts w:ascii="Times New Roman" w:hAnsi="Times New Roman"/>
          <w:b/>
          <w:i/>
          <w:sz w:val="20"/>
          <w:szCs w:val="20"/>
        </w:rPr>
        <w:t>“Basis for Issue Price”</w:t>
      </w:r>
      <w:r w:rsidRPr="00712F3C">
        <w:rPr>
          <w:rFonts w:ascii="Times New Roman" w:hAnsi="Times New Roman"/>
          <w:sz w:val="20"/>
          <w:szCs w:val="20"/>
        </w:rPr>
        <w:t xml:space="preserve"> on page </w:t>
      </w:r>
      <w:r>
        <w:rPr>
          <w:rFonts w:ascii="Times New Roman" w:hAnsi="Times New Roman"/>
          <w:sz w:val="20"/>
          <w:szCs w:val="20"/>
        </w:rPr>
        <w:t>74</w:t>
      </w:r>
      <w:r w:rsidRPr="00712F3C">
        <w:rPr>
          <w:rFonts w:ascii="Times New Roman" w:hAnsi="Times New Roman"/>
          <w:sz w:val="20"/>
          <w:szCs w:val="20"/>
        </w:rPr>
        <w:t xml:space="preserve"> of the Draft </w:t>
      </w:r>
      <w:r w:rsidRPr="00712F3C">
        <w:rPr>
          <w:rFonts w:ascii="Times New Roman" w:hAnsi="Times New Roman"/>
          <w:iCs/>
          <w:sz w:val="20"/>
          <w:szCs w:val="20"/>
        </w:rPr>
        <w:t>Red Herring</w:t>
      </w:r>
      <w:r w:rsidRPr="00712F3C">
        <w:rPr>
          <w:rFonts w:ascii="Times New Roman" w:hAnsi="Times New Roman"/>
          <w:sz w:val="20"/>
          <w:szCs w:val="20"/>
        </w:rPr>
        <w:t xml:space="preserve"> Prospectus includes information relating to our peer group companies. Such information has been derived from publicly available sources, and neither we, nor the BRLM, have independently verified such information.</w:t>
      </w:r>
    </w:p>
    <w:p w14:paraId="7A87D211" w14:textId="77777777" w:rsidR="00F8631B" w:rsidRDefault="00F8631B" w:rsidP="00F8631B">
      <w:pPr>
        <w:autoSpaceDE w:val="0"/>
        <w:autoSpaceDN w:val="0"/>
        <w:adjustRightInd w:val="0"/>
        <w:spacing w:after="0" w:line="240" w:lineRule="auto"/>
        <w:jc w:val="both"/>
        <w:rPr>
          <w:rFonts w:ascii="Times New Roman" w:hAnsi="Times New Roman"/>
          <w:b/>
          <w:sz w:val="20"/>
          <w:szCs w:val="20"/>
        </w:rPr>
      </w:pPr>
    </w:p>
    <w:p w14:paraId="0890AC36" w14:textId="77777777" w:rsidR="00952AF2" w:rsidRDefault="00952AF2" w:rsidP="00F8631B">
      <w:pPr>
        <w:autoSpaceDE w:val="0"/>
        <w:autoSpaceDN w:val="0"/>
        <w:adjustRightInd w:val="0"/>
        <w:spacing w:after="0" w:line="240" w:lineRule="auto"/>
        <w:jc w:val="both"/>
        <w:rPr>
          <w:rFonts w:ascii="Times New Roman" w:hAnsi="Times New Roman"/>
          <w:b/>
          <w:sz w:val="20"/>
          <w:szCs w:val="20"/>
        </w:rPr>
      </w:pPr>
    </w:p>
    <w:p w14:paraId="62EBE58E" w14:textId="77777777" w:rsidR="00952AF2" w:rsidRDefault="00952AF2" w:rsidP="00F8631B">
      <w:pPr>
        <w:autoSpaceDE w:val="0"/>
        <w:autoSpaceDN w:val="0"/>
        <w:adjustRightInd w:val="0"/>
        <w:spacing w:after="0" w:line="240" w:lineRule="auto"/>
        <w:jc w:val="both"/>
        <w:rPr>
          <w:rFonts w:ascii="Times New Roman" w:hAnsi="Times New Roman"/>
          <w:b/>
          <w:sz w:val="20"/>
          <w:szCs w:val="20"/>
        </w:rPr>
      </w:pPr>
    </w:p>
    <w:p w14:paraId="381535B9" w14:textId="77777777" w:rsidR="00952AF2" w:rsidRDefault="00952AF2" w:rsidP="00F8631B">
      <w:pPr>
        <w:autoSpaceDE w:val="0"/>
        <w:autoSpaceDN w:val="0"/>
        <w:adjustRightInd w:val="0"/>
        <w:spacing w:after="0" w:line="240" w:lineRule="auto"/>
        <w:jc w:val="both"/>
        <w:rPr>
          <w:rFonts w:ascii="Times New Roman" w:hAnsi="Times New Roman"/>
          <w:b/>
          <w:sz w:val="20"/>
          <w:szCs w:val="20"/>
        </w:rPr>
      </w:pPr>
    </w:p>
    <w:p w14:paraId="4792D268" w14:textId="77777777" w:rsidR="00F8631B" w:rsidRPr="00712F3C" w:rsidRDefault="00F8631B" w:rsidP="00F8631B">
      <w:pPr>
        <w:autoSpaceDE w:val="0"/>
        <w:autoSpaceDN w:val="0"/>
        <w:adjustRightInd w:val="0"/>
        <w:spacing w:after="0" w:line="240" w:lineRule="auto"/>
        <w:jc w:val="both"/>
        <w:rPr>
          <w:rFonts w:ascii="Times New Roman" w:hAnsi="Times New Roman"/>
          <w:b/>
          <w:sz w:val="20"/>
          <w:szCs w:val="20"/>
        </w:rPr>
      </w:pPr>
      <w:r w:rsidRPr="00712F3C">
        <w:rPr>
          <w:rFonts w:ascii="Times New Roman" w:hAnsi="Times New Roman"/>
          <w:b/>
          <w:sz w:val="20"/>
          <w:szCs w:val="20"/>
        </w:rPr>
        <w:lastRenderedPageBreak/>
        <w:t xml:space="preserve">Currency of Financial Presentation </w:t>
      </w:r>
    </w:p>
    <w:p w14:paraId="669EBFEA" w14:textId="77777777" w:rsidR="00F8631B" w:rsidRPr="00712F3C" w:rsidRDefault="00F8631B" w:rsidP="00F8631B">
      <w:pPr>
        <w:autoSpaceDE w:val="0"/>
        <w:autoSpaceDN w:val="0"/>
        <w:adjustRightInd w:val="0"/>
        <w:spacing w:after="0" w:line="240" w:lineRule="auto"/>
        <w:jc w:val="center"/>
        <w:rPr>
          <w:rFonts w:ascii="Times New Roman" w:hAnsi="Times New Roman"/>
          <w:sz w:val="20"/>
          <w:szCs w:val="20"/>
        </w:rPr>
      </w:pPr>
    </w:p>
    <w:p w14:paraId="73354F91" w14:textId="77777777" w:rsidR="00F8631B" w:rsidRDefault="00F8631B" w:rsidP="00F8631B">
      <w:pPr>
        <w:autoSpaceDE w:val="0"/>
        <w:autoSpaceDN w:val="0"/>
        <w:adjustRightInd w:val="0"/>
        <w:spacing w:after="0" w:line="240" w:lineRule="auto"/>
        <w:jc w:val="both"/>
        <w:rPr>
          <w:rFonts w:ascii="Times New Roman" w:hAnsi="Times New Roman"/>
          <w:sz w:val="20"/>
          <w:szCs w:val="20"/>
        </w:rPr>
      </w:pPr>
      <w:r w:rsidRPr="00712F3C">
        <w:rPr>
          <w:rFonts w:ascii="Times New Roman" w:hAnsi="Times New Roman"/>
          <w:sz w:val="20"/>
          <w:szCs w:val="20"/>
        </w:rPr>
        <w:t xml:space="preserve">All references to “Rupees” or “INR” or “₹” or “₹” are to Indian Rupees, the official currency of the Republic of India. Except where specified, including in the section titled </w:t>
      </w:r>
      <w:r w:rsidRPr="00712F3C">
        <w:rPr>
          <w:rFonts w:ascii="Times New Roman" w:hAnsi="Times New Roman"/>
          <w:b/>
          <w:i/>
          <w:sz w:val="20"/>
          <w:szCs w:val="20"/>
        </w:rPr>
        <w:t>“Industry Overview”</w:t>
      </w:r>
      <w:r w:rsidRPr="00712F3C">
        <w:rPr>
          <w:rFonts w:ascii="Times New Roman" w:hAnsi="Times New Roman"/>
          <w:sz w:val="20"/>
          <w:szCs w:val="20"/>
        </w:rPr>
        <w:t xml:space="preserve"> throughout the Draft </w:t>
      </w:r>
      <w:r w:rsidRPr="00712F3C">
        <w:rPr>
          <w:rFonts w:ascii="Times New Roman" w:hAnsi="Times New Roman"/>
          <w:iCs/>
          <w:sz w:val="20"/>
          <w:szCs w:val="20"/>
        </w:rPr>
        <w:t>Red Herring</w:t>
      </w:r>
      <w:r w:rsidRPr="00712F3C">
        <w:rPr>
          <w:rFonts w:ascii="Times New Roman" w:hAnsi="Times New Roman"/>
          <w:sz w:val="20"/>
          <w:szCs w:val="20"/>
        </w:rPr>
        <w:t xml:space="preserve"> Prospectus all figures have been expressed in Lakhs.</w:t>
      </w:r>
    </w:p>
    <w:p w14:paraId="7AC5FAFC" w14:textId="77777777" w:rsidR="00952AF2" w:rsidRPr="00712F3C" w:rsidRDefault="00952AF2" w:rsidP="00F8631B">
      <w:pPr>
        <w:autoSpaceDE w:val="0"/>
        <w:autoSpaceDN w:val="0"/>
        <w:adjustRightInd w:val="0"/>
        <w:spacing w:after="0" w:line="240" w:lineRule="auto"/>
        <w:jc w:val="both"/>
        <w:rPr>
          <w:rFonts w:ascii="Times New Roman" w:hAnsi="Times New Roman"/>
          <w:sz w:val="20"/>
          <w:szCs w:val="20"/>
        </w:rPr>
      </w:pPr>
    </w:p>
    <w:p w14:paraId="5F3A6C87" w14:textId="77777777" w:rsidR="00F8631B" w:rsidRPr="00712F3C" w:rsidRDefault="00F8631B" w:rsidP="00F8631B">
      <w:pPr>
        <w:autoSpaceDE w:val="0"/>
        <w:autoSpaceDN w:val="0"/>
        <w:adjustRightInd w:val="0"/>
        <w:spacing w:after="0" w:line="240" w:lineRule="auto"/>
        <w:jc w:val="both"/>
        <w:rPr>
          <w:rFonts w:ascii="Times New Roman" w:hAnsi="Times New Roman"/>
          <w:sz w:val="20"/>
          <w:szCs w:val="20"/>
        </w:rPr>
      </w:pPr>
      <w:r w:rsidRPr="00712F3C">
        <w:rPr>
          <w:rFonts w:ascii="Times New Roman" w:hAnsi="Times New Roman"/>
          <w:sz w:val="20"/>
          <w:szCs w:val="20"/>
        </w:rPr>
        <w:t xml:space="preserve">Any percentage amounts, as set forth in </w:t>
      </w:r>
      <w:r w:rsidRPr="00712F3C">
        <w:rPr>
          <w:rFonts w:ascii="Times New Roman" w:hAnsi="Times New Roman"/>
          <w:b/>
          <w:i/>
          <w:sz w:val="20"/>
          <w:szCs w:val="20"/>
        </w:rPr>
        <w:t>“Risk Factors”</w:t>
      </w:r>
      <w:r w:rsidRPr="00712F3C">
        <w:rPr>
          <w:rFonts w:ascii="Times New Roman" w:hAnsi="Times New Roman"/>
          <w:sz w:val="20"/>
          <w:szCs w:val="20"/>
        </w:rPr>
        <w:t xml:space="preserve">, </w:t>
      </w:r>
      <w:r w:rsidRPr="00712F3C">
        <w:rPr>
          <w:rFonts w:ascii="Times New Roman" w:hAnsi="Times New Roman"/>
          <w:b/>
          <w:i/>
          <w:sz w:val="20"/>
          <w:szCs w:val="20"/>
        </w:rPr>
        <w:t>“Our Business”, “Management's Discussion and Analysis of Financial Conditions and Results of Operations”</w:t>
      </w:r>
      <w:r w:rsidRPr="00712F3C">
        <w:rPr>
          <w:rFonts w:ascii="Times New Roman" w:hAnsi="Times New Roman"/>
          <w:sz w:val="20"/>
          <w:szCs w:val="20"/>
        </w:rPr>
        <w:t xml:space="preserve"> on page </w:t>
      </w:r>
      <w:r>
        <w:rPr>
          <w:rFonts w:ascii="Times New Roman" w:hAnsi="Times New Roman"/>
          <w:sz w:val="20"/>
          <w:szCs w:val="20"/>
        </w:rPr>
        <w:t>25</w:t>
      </w:r>
      <w:r w:rsidRPr="00712F3C">
        <w:rPr>
          <w:rFonts w:ascii="Times New Roman" w:hAnsi="Times New Roman"/>
          <w:sz w:val="20"/>
          <w:szCs w:val="20"/>
        </w:rPr>
        <w:t xml:space="preserve">, </w:t>
      </w:r>
      <w:r>
        <w:rPr>
          <w:rFonts w:ascii="Times New Roman" w:hAnsi="Times New Roman"/>
          <w:sz w:val="20"/>
          <w:szCs w:val="20"/>
        </w:rPr>
        <w:t>91</w:t>
      </w:r>
      <w:r w:rsidRPr="00712F3C">
        <w:rPr>
          <w:rFonts w:ascii="Times New Roman" w:hAnsi="Times New Roman"/>
          <w:sz w:val="20"/>
          <w:szCs w:val="20"/>
        </w:rPr>
        <w:t xml:space="preserve"> and </w:t>
      </w:r>
      <w:r>
        <w:rPr>
          <w:rFonts w:ascii="Times New Roman" w:hAnsi="Times New Roman"/>
          <w:sz w:val="20"/>
          <w:szCs w:val="20"/>
        </w:rPr>
        <w:t>177</w:t>
      </w:r>
      <w:r w:rsidRPr="00712F3C">
        <w:rPr>
          <w:rFonts w:ascii="Times New Roman" w:hAnsi="Times New Roman"/>
          <w:sz w:val="20"/>
          <w:szCs w:val="20"/>
        </w:rPr>
        <w:t xml:space="preserve"> respectively of this Draft </w:t>
      </w:r>
      <w:r w:rsidRPr="00712F3C">
        <w:rPr>
          <w:rFonts w:ascii="Times New Roman" w:hAnsi="Times New Roman"/>
          <w:iCs/>
          <w:sz w:val="20"/>
          <w:szCs w:val="20"/>
        </w:rPr>
        <w:t>Red Herring</w:t>
      </w:r>
      <w:r w:rsidRPr="00712F3C">
        <w:rPr>
          <w:rFonts w:ascii="Times New Roman" w:hAnsi="Times New Roman"/>
          <w:sz w:val="20"/>
          <w:szCs w:val="20"/>
        </w:rPr>
        <w:t xml:space="preserve"> Prospectus, unless otherwise indicated, have been calculated based on our restated financial statements prepared in accordance with Indian GAAP.</w:t>
      </w:r>
    </w:p>
    <w:p w14:paraId="5F6264D0" w14:textId="77777777" w:rsidR="00F8631B" w:rsidRPr="00712F3C" w:rsidRDefault="00F8631B" w:rsidP="00F8631B">
      <w:pPr>
        <w:autoSpaceDE w:val="0"/>
        <w:autoSpaceDN w:val="0"/>
        <w:adjustRightInd w:val="0"/>
        <w:spacing w:after="0" w:line="240" w:lineRule="auto"/>
        <w:jc w:val="both"/>
        <w:rPr>
          <w:rFonts w:ascii="Times New Roman" w:hAnsi="Times New Roman"/>
          <w:sz w:val="20"/>
          <w:szCs w:val="20"/>
        </w:rPr>
      </w:pPr>
    </w:p>
    <w:p w14:paraId="5CC25D5F" w14:textId="77777777" w:rsidR="00F8631B" w:rsidRPr="00712F3C" w:rsidRDefault="00F8631B" w:rsidP="00F8631B">
      <w:pPr>
        <w:autoSpaceDE w:val="0"/>
        <w:autoSpaceDN w:val="0"/>
        <w:adjustRightInd w:val="0"/>
        <w:spacing w:after="0" w:line="240" w:lineRule="auto"/>
        <w:jc w:val="both"/>
        <w:rPr>
          <w:rFonts w:ascii="Times New Roman" w:hAnsi="Times New Roman"/>
          <w:b/>
          <w:bCs/>
          <w:color w:val="000000"/>
          <w:sz w:val="20"/>
          <w:szCs w:val="20"/>
          <w:u w:val="single"/>
        </w:rPr>
      </w:pPr>
      <w:r w:rsidRPr="00712F3C">
        <w:rPr>
          <w:rFonts w:ascii="Times New Roman" w:hAnsi="Times New Roman"/>
          <w:sz w:val="20"/>
          <w:szCs w:val="20"/>
        </w:rPr>
        <w:t xml:space="preserve">The Draft </w:t>
      </w:r>
      <w:r w:rsidRPr="00712F3C">
        <w:rPr>
          <w:rFonts w:ascii="Times New Roman" w:hAnsi="Times New Roman"/>
          <w:iCs/>
          <w:sz w:val="20"/>
          <w:szCs w:val="20"/>
        </w:rPr>
        <w:t>Red Herring</w:t>
      </w:r>
      <w:r w:rsidRPr="00712F3C">
        <w:rPr>
          <w:rFonts w:ascii="Times New Roman" w:hAnsi="Times New Roman"/>
          <w:sz w:val="20"/>
          <w:szCs w:val="20"/>
        </w:rPr>
        <w:t xml:space="preserve"> Prospectus contains conversion of certain US Dollar and other currency amounts into Indian Rupees that have been presented solely to comply with the requirements of the SEBI (ICDR) Regulations, 2018. These conversions should not be construed as a representation that those US Dollar or other currency amounts could have been, or can be converted into Indian Rupees, at any particular rate. </w:t>
      </w:r>
    </w:p>
    <w:p w14:paraId="2784EF3D" w14:textId="77777777" w:rsidR="00F8631B" w:rsidRPr="00712F3C" w:rsidRDefault="00F8631B" w:rsidP="00F8631B">
      <w:pPr>
        <w:spacing w:after="0" w:line="240" w:lineRule="auto"/>
        <w:rPr>
          <w:rFonts w:ascii="Times New Roman" w:hAnsi="Times New Roman"/>
          <w:b/>
          <w:bCs/>
          <w:color w:val="000000"/>
          <w:sz w:val="20"/>
          <w:szCs w:val="20"/>
          <w:u w:val="single"/>
        </w:rPr>
      </w:pPr>
      <w:r w:rsidRPr="00712F3C">
        <w:rPr>
          <w:rFonts w:ascii="Times New Roman" w:hAnsi="Times New Roman"/>
          <w:b/>
          <w:bCs/>
          <w:color w:val="000000"/>
          <w:sz w:val="20"/>
          <w:szCs w:val="20"/>
          <w:u w:val="single"/>
        </w:rPr>
        <w:br w:type="page"/>
      </w:r>
    </w:p>
    <w:p w14:paraId="31DAB5F4" w14:textId="77777777" w:rsidR="00F8631B" w:rsidRPr="00712F3C" w:rsidRDefault="00F8631B" w:rsidP="00F8631B">
      <w:pPr>
        <w:spacing w:after="0" w:line="240" w:lineRule="auto"/>
        <w:jc w:val="center"/>
        <w:rPr>
          <w:rFonts w:ascii="Times New Roman" w:hAnsi="Times New Roman"/>
          <w:b/>
          <w:bCs/>
          <w:sz w:val="20"/>
          <w:szCs w:val="20"/>
          <w:u w:val="single"/>
        </w:rPr>
      </w:pPr>
      <w:r w:rsidRPr="00712F3C">
        <w:rPr>
          <w:rFonts w:ascii="Times New Roman" w:hAnsi="Times New Roman"/>
          <w:b/>
          <w:bCs/>
          <w:sz w:val="20"/>
          <w:szCs w:val="20"/>
          <w:u w:val="single"/>
        </w:rPr>
        <w:lastRenderedPageBreak/>
        <w:t>FORWARD LOOKING STATEMENTS</w:t>
      </w:r>
    </w:p>
    <w:p w14:paraId="2E830D5C" w14:textId="77777777" w:rsidR="00F8631B" w:rsidRPr="00712F3C" w:rsidRDefault="00F8631B" w:rsidP="00F8631B">
      <w:pPr>
        <w:spacing w:after="0" w:line="240" w:lineRule="auto"/>
        <w:jc w:val="center"/>
        <w:rPr>
          <w:rFonts w:ascii="Times New Roman" w:hAnsi="Times New Roman"/>
          <w:b/>
          <w:bCs/>
          <w:sz w:val="20"/>
          <w:szCs w:val="20"/>
          <w:u w:val="single"/>
        </w:rPr>
      </w:pPr>
    </w:p>
    <w:p w14:paraId="74A45357" w14:textId="77777777" w:rsidR="00F8631B" w:rsidRPr="00712F3C" w:rsidRDefault="00F8631B" w:rsidP="00F8631B">
      <w:pPr>
        <w:pStyle w:val="NoSpacing"/>
        <w:spacing w:line="240" w:lineRule="auto"/>
        <w:jc w:val="both"/>
        <w:rPr>
          <w:bCs/>
        </w:rPr>
      </w:pPr>
      <w:r w:rsidRPr="00712F3C">
        <w:rPr>
          <w:bCs/>
        </w:rPr>
        <w:t xml:space="preserve">This Draft </w:t>
      </w:r>
      <w:r w:rsidRPr="00712F3C">
        <w:rPr>
          <w:iCs/>
        </w:rPr>
        <w:t>Red Herring</w:t>
      </w:r>
      <w:r w:rsidRPr="00712F3C">
        <w:rPr>
          <w:bCs/>
        </w:rPr>
        <w:t xml:space="preserve"> Prospectus includes certain “forward-looking statements”. We have included statements in the Draft </w:t>
      </w:r>
      <w:r w:rsidRPr="00712F3C">
        <w:rPr>
          <w:rFonts w:eastAsia="Calibri"/>
          <w:bCs/>
          <w:lang w:bidi="en-US"/>
        </w:rPr>
        <w:t>Red Herring</w:t>
      </w:r>
      <w:r w:rsidRPr="00712F3C">
        <w:rPr>
          <w:bCs/>
        </w:rPr>
        <w:t xml:space="preserve"> Prospectus which contain words or phrases such as “will”, “aim”, “is likely to result”, “believe”, “expect”, “will continue”, “anticipate”, “estimate”, “intend”, “plan”, “contemplate”, “seek to”, “future”, “objective”, “goal”, “project”, “should”, “will pursue” and similar expressions or variations of such expressions, that are “forward-looking statements”. Also, statements which describe our strategies, objectives, plans or goals are also forward looking statements.</w:t>
      </w:r>
    </w:p>
    <w:p w14:paraId="5F1E3766" w14:textId="77777777" w:rsidR="00F8631B" w:rsidRPr="00712F3C" w:rsidRDefault="00F8631B" w:rsidP="00F8631B">
      <w:pPr>
        <w:pStyle w:val="NoSpacing"/>
        <w:spacing w:line="240" w:lineRule="auto"/>
        <w:jc w:val="both"/>
        <w:rPr>
          <w:bCs/>
        </w:rPr>
      </w:pPr>
    </w:p>
    <w:p w14:paraId="25403B91" w14:textId="77777777" w:rsidR="00F8631B" w:rsidRPr="00712F3C" w:rsidRDefault="00F8631B" w:rsidP="00F8631B">
      <w:pPr>
        <w:pStyle w:val="NoSpacing"/>
        <w:spacing w:line="240" w:lineRule="auto"/>
        <w:jc w:val="both"/>
        <w:rPr>
          <w:bCs/>
        </w:rPr>
      </w:pPr>
      <w:r w:rsidRPr="00712F3C">
        <w:rPr>
          <w:bCs/>
        </w:rPr>
        <w:t xml:space="preserve">All forward looking statements are subject to risks, uncertainties and assumptions about us that could cause actual results to differ materially from those contemplated by the relevant forward-looking statement. </w:t>
      </w:r>
      <w:r w:rsidRPr="00712F3C">
        <w:rPr>
          <w:rFonts w:eastAsia="MS Mincho"/>
          <w:lang w:val="en-GB"/>
        </w:rPr>
        <w:t>Forward-looking statements reflect our current views with respect to future events and are not a guarantee of future performance. These statements are based on our management’s beliefs and assumptions, which in turn are based on currently available information. Although we believe the assumptions upon which these forward-looking statements are based are reasonable, any of these assumptions could prove to be inaccurate, and the forward-looking statements based on these assumptions could be incorrect.</w:t>
      </w:r>
      <w:r w:rsidRPr="00712F3C">
        <w:rPr>
          <w:bCs/>
        </w:rPr>
        <w:t xml:space="preserve"> Important factors that could cause actual results to differ materially from our expectations include but are not limited to:</w:t>
      </w:r>
    </w:p>
    <w:p w14:paraId="2C39F8A7" w14:textId="77777777" w:rsidR="00F8631B" w:rsidRPr="00712F3C" w:rsidRDefault="00F8631B" w:rsidP="00F8631B">
      <w:pPr>
        <w:pStyle w:val="Default"/>
        <w:rPr>
          <w:sz w:val="20"/>
          <w:szCs w:val="20"/>
        </w:rPr>
      </w:pPr>
    </w:p>
    <w:p w14:paraId="4704E361" w14:textId="77777777" w:rsidR="00F8631B" w:rsidRPr="00712F3C" w:rsidRDefault="00F8631B" w:rsidP="00F8631B">
      <w:pPr>
        <w:pStyle w:val="Default"/>
        <w:numPr>
          <w:ilvl w:val="0"/>
          <w:numId w:val="99"/>
        </w:numPr>
        <w:tabs>
          <w:tab w:val="left" w:pos="360"/>
        </w:tabs>
        <w:ind w:left="360"/>
        <w:jc w:val="both"/>
        <w:rPr>
          <w:bCs/>
          <w:sz w:val="20"/>
          <w:szCs w:val="20"/>
          <w:lang w:bidi="en-US"/>
        </w:rPr>
      </w:pPr>
      <w:r w:rsidRPr="00712F3C">
        <w:rPr>
          <w:bCs/>
          <w:sz w:val="20"/>
          <w:szCs w:val="20"/>
          <w:lang w:bidi="en-US"/>
        </w:rPr>
        <w:t>General economic and business conditions in the markets in which we operate and in the local, regional, national and international economies;</w:t>
      </w:r>
    </w:p>
    <w:p w14:paraId="2193C95F" w14:textId="77777777" w:rsidR="00F8631B" w:rsidRPr="00712F3C" w:rsidRDefault="00F8631B" w:rsidP="00F8631B">
      <w:pPr>
        <w:pStyle w:val="Default"/>
        <w:numPr>
          <w:ilvl w:val="0"/>
          <w:numId w:val="99"/>
        </w:numPr>
        <w:tabs>
          <w:tab w:val="left" w:pos="360"/>
        </w:tabs>
        <w:ind w:left="0" w:firstLine="0"/>
        <w:jc w:val="both"/>
        <w:rPr>
          <w:bCs/>
          <w:sz w:val="20"/>
          <w:szCs w:val="20"/>
          <w:lang w:bidi="en-US"/>
        </w:rPr>
      </w:pPr>
      <w:r w:rsidRPr="00712F3C">
        <w:rPr>
          <w:sz w:val="20"/>
          <w:szCs w:val="20"/>
        </w:rPr>
        <w:t xml:space="preserve">Changes in consumer demand; </w:t>
      </w:r>
    </w:p>
    <w:p w14:paraId="3DA0FFC7" w14:textId="77777777" w:rsidR="00F8631B" w:rsidRPr="00712F3C" w:rsidRDefault="00F8631B" w:rsidP="00F8631B">
      <w:pPr>
        <w:pStyle w:val="Default"/>
        <w:numPr>
          <w:ilvl w:val="0"/>
          <w:numId w:val="99"/>
        </w:numPr>
        <w:tabs>
          <w:tab w:val="left" w:pos="360"/>
        </w:tabs>
        <w:ind w:left="0" w:firstLine="0"/>
        <w:jc w:val="both"/>
        <w:rPr>
          <w:bCs/>
          <w:sz w:val="20"/>
          <w:szCs w:val="20"/>
          <w:lang w:bidi="en-US"/>
        </w:rPr>
      </w:pPr>
      <w:r w:rsidRPr="00712F3C">
        <w:rPr>
          <w:sz w:val="20"/>
          <w:szCs w:val="20"/>
        </w:rPr>
        <w:t xml:space="preserve">Failure to successfully upgrade our product portfolio, from time to time; </w:t>
      </w:r>
    </w:p>
    <w:p w14:paraId="64814CF5" w14:textId="77777777" w:rsidR="00F8631B" w:rsidRPr="00712F3C" w:rsidRDefault="00F8631B" w:rsidP="00F8631B">
      <w:pPr>
        <w:pStyle w:val="Default"/>
        <w:numPr>
          <w:ilvl w:val="0"/>
          <w:numId w:val="99"/>
        </w:numPr>
        <w:tabs>
          <w:tab w:val="left" w:pos="360"/>
        </w:tabs>
        <w:ind w:left="0" w:firstLine="0"/>
        <w:jc w:val="both"/>
        <w:rPr>
          <w:bCs/>
          <w:sz w:val="20"/>
          <w:szCs w:val="20"/>
          <w:lang w:bidi="en-US"/>
        </w:rPr>
      </w:pPr>
      <w:r w:rsidRPr="00712F3C">
        <w:rPr>
          <w:bCs/>
          <w:sz w:val="20"/>
          <w:szCs w:val="20"/>
          <w:lang w:bidi="en-US"/>
        </w:rPr>
        <w:t>Any change in government policies resulting in increases in taxes payable by us;</w:t>
      </w:r>
    </w:p>
    <w:p w14:paraId="4F7240C6" w14:textId="77777777" w:rsidR="00F8631B" w:rsidRPr="00712F3C" w:rsidRDefault="00F8631B" w:rsidP="00F8631B">
      <w:pPr>
        <w:pStyle w:val="Default"/>
        <w:numPr>
          <w:ilvl w:val="0"/>
          <w:numId w:val="99"/>
        </w:numPr>
        <w:tabs>
          <w:tab w:val="left" w:pos="360"/>
        </w:tabs>
        <w:ind w:left="0" w:firstLine="0"/>
        <w:jc w:val="both"/>
        <w:rPr>
          <w:bCs/>
          <w:sz w:val="20"/>
          <w:szCs w:val="20"/>
          <w:lang w:bidi="en-US"/>
        </w:rPr>
      </w:pPr>
      <w:r w:rsidRPr="00712F3C">
        <w:rPr>
          <w:bCs/>
          <w:sz w:val="20"/>
          <w:szCs w:val="20"/>
          <w:lang w:bidi="en-US"/>
        </w:rPr>
        <w:t>Our ability to retain our key managements persons and other employees;</w:t>
      </w:r>
    </w:p>
    <w:p w14:paraId="6D2BC9BD" w14:textId="77777777" w:rsidR="00F8631B" w:rsidRPr="00712F3C" w:rsidRDefault="00F8631B" w:rsidP="00F8631B">
      <w:pPr>
        <w:pStyle w:val="Default"/>
        <w:numPr>
          <w:ilvl w:val="0"/>
          <w:numId w:val="99"/>
        </w:numPr>
        <w:tabs>
          <w:tab w:val="left" w:pos="360"/>
        </w:tabs>
        <w:ind w:left="0" w:firstLine="0"/>
        <w:jc w:val="both"/>
        <w:rPr>
          <w:bCs/>
          <w:sz w:val="20"/>
          <w:szCs w:val="20"/>
          <w:lang w:bidi="en-US"/>
        </w:rPr>
      </w:pPr>
      <w:r w:rsidRPr="00712F3C">
        <w:rPr>
          <w:bCs/>
          <w:sz w:val="20"/>
          <w:szCs w:val="20"/>
          <w:lang w:bidi="en-US"/>
        </w:rPr>
        <w:t>Changes in laws and regulations that apply to the industries in which we operate.</w:t>
      </w:r>
    </w:p>
    <w:p w14:paraId="43E74162" w14:textId="77777777" w:rsidR="00F8631B" w:rsidRPr="00712F3C" w:rsidRDefault="00F8631B" w:rsidP="00F8631B">
      <w:pPr>
        <w:pStyle w:val="Default"/>
        <w:numPr>
          <w:ilvl w:val="0"/>
          <w:numId w:val="99"/>
        </w:numPr>
        <w:tabs>
          <w:tab w:val="left" w:pos="360"/>
        </w:tabs>
        <w:ind w:left="0" w:firstLine="0"/>
        <w:jc w:val="both"/>
        <w:rPr>
          <w:bCs/>
          <w:sz w:val="20"/>
          <w:szCs w:val="20"/>
          <w:lang w:bidi="en-US"/>
        </w:rPr>
      </w:pPr>
      <w:r w:rsidRPr="00712F3C">
        <w:rPr>
          <w:sz w:val="20"/>
          <w:szCs w:val="20"/>
        </w:rPr>
        <w:t xml:space="preserve">Our failure to keep pace with rapid changes in technology; </w:t>
      </w:r>
    </w:p>
    <w:p w14:paraId="19C431D5" w14:textId="77777777" w:rsidR="00F8631B" w:rsidRPr="00712F3C" w:rsidRDefault="00F8631B" w:rsidP="00F8631B">
      <w:pPr>
        <w:pStyle w:val="Default"/>
        <w:numPr>
          <w:ilvl w:val="0"/>
          <w:numId w:val="99"/>
        </w:numPr>
        <w:tabs>
          <w:tab w:val="left" w:pos="360"/>
        </w:tabs>
        <w:ind w:left="0" w:firstLine="0"/>
        <w:jc w:val="both"/>
        <w:rPr>
          <w:bCs/>
          <w:sz w:val="20"/>
          <w:szCs w:val="20"/>
          <w:lang w:bidi="en-US"/>
        </w:rPr>
      </w:pPr>
      <w:r w:rsidRPr="00712F3C">
        <w:rPr>
          <w:bCs/>
          <w:sz w:val="20"/>
          <w:szCs w:val="20"/>
          <w:lang w:bidi="en-US"/>
        </w:rPr>
        <w:t>Our ability to grow our business;</w:t>
      </w:r>
    </w:p>
    <w:p w14:paraId="16B87B11" w14:textId="77777777" w:rsidR="00F8631B" w:rsidRPr="00712F3C" w:rsidRDefault="00F8631B" w:rsidP="00F8631B">
      <w:pPr>
        <w:pStyle w:val="Default"/>
        <w:numPr>
          <w:ilvl w:val="0"/>
          <w:numId w:val="99"/>
        </w:numPr>
        <w:tabs>
          <w:tab w:val="left" w:pos="360"/>
        </w:tabs>
        <w:ind w:left="360"/>
        <w:jc w:val="both"/>
        <w:rPr>
          <w:bCs/>
          <w:sz w:val="20"/>
          <w:szCs w:val="20"/>
          <w:lang w:bidi="en-US"/>
        </w:rPr>
      </w:pPr>
      <w:r w:rsidRPr="00712F3C">
        <w:rPr>
          <w:bCs/>
          <w:sz w:val="20"/>
          <w:szCs w:val="20"/>
          <w:lang w:bidi="en-US"/>
        </w:rPr>
        <w:t>Our ability to make interest and principal payments on our existing debt obligations and satisfy the other covenants contained in our existing debt agreements;</w:t>
      </w:r>
    </w:p>
    <w:p w14:paraId="3E5607FA" w14:textId="77777777" w:rsidR="00F8631B" w:rsidRPr="00712F3C" w:rsidRDefault="00F8631B" w:rsidP="00F8631B">
      <w:pPr>
        <w:pStyle w:val="Default"/>
        <w:numPr>
          <w:ilvl w:val="0"/>
          <w:numId w:val="99"/>
        </w:numPr>
        <w:tabs>
          <w:tab w:val="left" w:pos="360"/>
        </w:tabs>
        <w:ind w:left="0" w:firstLine="0"/>
        <w:jc w:val="both"/>
        <w:rPr>
          <w:bCs/>
          <w:sz w:val="20"/>
          <w:szCs w:val="20"/>
          <w:lang w:bidi="en-US"/>
        </w:rPr>
      </w:pPr>
      <w:r w:rsidRPr="00712F3C">
        <w:rPr>
          <w:bCs/>
          <w:sz w:val="20"/>
          <w:szCs w:val="20"/>
          <w:lang w:bidi="en-US"/>
        </w:rPr>
        <w:t>general economic, political and other risks that are out of our control;</w:t>
      </w:r>
    </w:p>
    <w:p w14:paraId="057CE2A2" w14:textId="77777777" w:rsidR="00F8631B" w:rsidRPr="00712F3C" w:rsidRDefault="00F8631B" w:rsidP="00F8631B">
      <w:pPr>
        <w:pStyle w:val="Default"/>
        <w:numPr>
          <w:ilvl w:val="0"/>
          <w:numId w:val="99"/>
        </w:numPr>
        <w:tabs>
          <w:tab w:val="left" w:pos="360"/>
        </w:tabs>
        <w:ind w:left="0" w:firstLine="0"/>
        <w:jc w:val="both"/>
        <w:rPr>
          <w:bCs/>
          <w:sz w:val="20"/>
          <w:szCs w:val="20"/>
          <w:lang w:bidi="en-US"/>
        </w:rPr>
      </w:pPr>
      <w:r w:rsidRPr="00712F3C">
        <w:rPr>
          <w:bCs/>
          <w:sz w:val="20"/>
          <w:szCs w:val="20"/>
          <w:lang w:bidi="en-US"/>
        </w:rPr>
        <w:t>Inflation, deflation, unanticipated turbulence in interest rates, equity prices or other rates or prices;</w:t>
      </w:r>
    </w:p>
    <w:p w14:paraId="230F080B" w14:textId="1F5CD1FC" w:rsidR="00F8631B" w:rsidRPr="00712F3C" w:rsidRDefault="00F8631B" w:rsidP="00F8631B">
      <w:pPr>
        <w:pStyle w:val="Default"/>
        <w:numPr>
          <w:ilvl w:val="0"/>
          <w:numId w:val="99"/>
        </w:numPr>
        <w:tabs>
          <w:tab w:val="left" w:pos="360"/>
        </w:tabs>
        <w:ind w:left="0" w:firstLine="0"/>
        <w:jc w:val="both"/>
        <w:rPr>
          <w:bCs/>
          <w:color w:val="auto"/>
          <w:sz w:val="20"/>
          <w:szCs w:val="20"/>
          <w:lang w:bidi="en-US"/>
        </w:rPr>
      </w:pPr>
      <w:r w:rsidRPr="00712F3C">
        <w:rPr>
          <w:bCs/>
          <w:color w:val="auto"/>
          <w:sz w:val="20"/>
          <w:szCs w:val="20"/>
          <w:lang w:bidi="en-US"/>
        </w:rPr>
        <w:t>Company’s ability to successfully implement its growth strategy and expansion plans;</w:t>
      </w:r>
    </w:p>
    <w:p w14:paraId="12B44166" w14:textId="77777777" w:rsidR="00F8631B" w:rsidRPr="00712F3C" w:rsidRDefault="00F8631B" w:rsidP="00F8631B">
      <w:pPr>
        <w:pStyle w:val="Default"/>
        <w:numPr>
          <w:ilvl w:val="0"/>
          <w:numId w:val="99"/>
        </w:numPr>
        <w:tabs>
          <w:tab w:val="left" w:pos="360"/>
        </w:tabs>
        <w:ind w:left="0" w:firstLine="0"/>
        <w:jc w:val="both"/>
        <w:rPr>
          <w:color w:val="auto"/>
          <w:sz w:val="20"/>
          <w:szCs w:val="20"/>
        </w:rPr>
      </w:pPr>
      <w:r w:rsidRPr="00712F3C">
        <w:rPr>
          <w:bCs/>
          <w:color w:val="auto"/>
          <w:sz w:val="20"/>
          <w:szCs w:val="20"/>
          <w:lang w:bidi="en-US"/>
        </w:rPr>
        <w:t xml:space="preserve">failure to comply with regulations prescribed by authorities of the jurisdictions in which we operate; </w:t>
      </w:r>
    </w:p>
    <w:p w14:paraId="283DB0C3" w14:textId="77777777" w:rsidR="00F8631B" w:rsidRPr="00712F3C" w:rsidRDefault="00F8631B" w:rsidP="00F8631B">
      <w:pPr>
        <w:pStyle w:val="Default"/>
        <w:numPr>
          <w:ilvl w:val="0"/>
          <w:numId w:val="99"/>
        </w:numPr>
        <w:tabs>
          <w:tab w:val="left" w:pos="360"/>
        </w:tabs>
        <w:ind w:left="0" w:firstLine="0"/>
        <w:jc w:val="both"/>
        <w:rPr>
          <w:bCs/>
          <w:color w:val="auto"/>
          <w:sz w:val="20"/>
          <w:szCs w:val="20"/>
          <w:lang w:bidi="en-US"/>
        </w:rPr>
      </w:pPr>
      <w:r w:rsidRPr="00712F3C">
        <w:rPr>
          <w:bCs/>
          <w:color w:val="auto"/>
          <w:sz w:val="20"/>
          <w:szCs w:val="20"/>
          <w:lang w:bidi="en-US"/>
        </w:rPr>
        <w:t>inability to successfully obtain registrations in a timely manner or at all;</w:t>
      </w:r>
    </w:p>
    <w:p w14:paraId="61B2DFFC" w14:textId="77777777" w:rsidR="00F8631B" w:rsidRPr="00712F3C" w:rsidRDefault="00F8631B" w:rsidP="00F8631B">
      <w:pPr>
        <w:pStyle w:val="Default"/>
        <w:numPr>
          <w:ilvl w:val="0"/>
          <w:numId w:val="99"/>
        </w:numPr>
        <w:tabs>
          <w:tab w:val="left" w:pos="360"/>
        </w:tabs>
        <w:ind w:left="0" w:firstLine="0"/>
        <w:jc w:val="both"/>
        <w:rPr>
          <w:bCs/>
          <w:color w:val="auto"/>
          <w:sz w:val="20"/>
          <w:szCs w:val="20"/>
          <w:lang w:bidi="en-US"/>
        </w:rPr>
      </w:pPr>
      <w:r w:rsidRPr="00712F3C">
        <w:rPr>
          <w:bCs/>
          <w:color w:val="auto"/>
          <w:sz w:val="20"/>
          <w:szCs w:val="20"/>
          <w:lang w:bidi="en-US"/>
        </w:rPr>
        <w:t>occurrence of Environmental Problems &amp; Uninsured Losses;</w:t>
      </w:r>
    </w:p>
    <w:p w14:paraId="2647BAC3" w14:textId="77777777" w:rsidR="00F8631B" w:rsidRPr="00712F3C" w:rsidRDefault="00F8631B" w:rsidP="00F8631B">
      <w:pPr>
        <w:pStyle w:val="Default"/>
        <w:numPr>
          <w:ilvl w:val="0"/>
          <w:numId w:val="99"/>
        </w:numPr>
        <w:tabs>
          <w:tab w:val="left" w:pos="360"/>
        </w:tabs>
        <w:ind w:left="0" w:firstLine="0"/>
        <w:jc w:val="both"/>
        <w:rPr>
          <w:bCs/>
          <w:color w:val="auto"/>
          <w:sz w:val="20"/>
          <w:szCs w:val="20"/>
          <w:lang w:bidi="en-US"/>
        </w:rPr>
      </w:pPr>
      <w:r w:rsidRPr="00712F3C">
        <w:rPr>
          <w:bCs/>
          <w:color w:val="auto"/>
          <w:sz w:val="20"/>
          <w:szCs w:val="20"/>
          <w:lang w:bidi="en-US"/>
        </w:rPr>
        <w:t xml:space="preserve">conflicts of interest with affiliated companies, the promoter group and other related parties; </w:t>
      </w:r>
    </w:p>
    <w:p w14:paraId="28D49A1E" w14:textId="77777777" w:rsidR="00F8631B" w:rsidRPr="00712F3C" w:rsidRDefault="00F8631B" w:rsidP="00F8631B">
      <w:pPr>
        <w:pStyle w:val="Default"/>
        <w:numPr>
          <w:ilvl w:val="0"/>
          <w:numId w:val="99"/>
        </w:numPr>
        <w:tabs>
          <w:tab w:val="left" w:pos="360"/>
        </w:tabs>
        <w:ind w:left="0" w:firstLine="0"/>
        <w:jc w:val="both"/>
        <w:rPr>
          <w:bCs/>
          <w:color w:val="auto"/>
          <w:sz w:val="20"/>
          <w:szCs w:val="20"/>
          <w:lang w:bidi="en-US"/>
        </w:rPr>
      </w:pPr>
      <w:r w:rsidRPr="00712F3C">
        <w:rPr>
          <w:bCs/>
          <w:color w:val="auto"/>
          <w:sz w:val="20"/>
          <w:szCs w:val="20"/>
          <w:lang w:bidi="en-US"/>
        </w:rPr>
        <w:t>any adverse outcome in the legal proceedings in which we are involved;</w:t>
      </w:r>
    </w:p>
    <w:p w14:paraId="7F292B1D" w14:textId="77777777" w:rsidR="00F8631B" w:rsidRPr="00712F3C" w:rsidRDefault="00F8631B" w:rsidP="00F8631B">
      <w:pPr>
        <w:pStyle w:val="Default"/>
        <w:numPr>
          <w:ilvl w:val="0"/>
          <w:numId w:val="99"/>
        </w:numPr>
        <w:tabs>
          <w:tab w:val="left" w:pos="360"/>
        </w:tabs>
        <w:ind w:left="0" w:firstLine="0"/>
        <w:jc w:val="both"/>
        <w:rPr>
          <w:bCs/>
          <w:color w:val="auto"/>
          <w:sz w:val="20"/>
          <w:szCs w:val="20"/>
          <w:lang w:bidi="en-US"/>
        </w:rPr>
      </w:pPr>
      <w:r w:rsidRPr="00712F3C">
        <w:rPr>
          <w:bCs/>
          <w:color w:val="auto"/>
          <w:sz w:val="20"/>
          <w:szCs w:val="20"/>
          <w:lang w:bidi="en-US"/>
        </w:rPr>
        <w:t>Concentration of ownership among our Promoter;</w:t>
      </w:r>
    </w:p>
    <w:p w14:paraId="6967FCE8" w14:textId="77777777" w:rsidR="00F8631B" w:rsidRPr="00712F3C" w:rsidRDefault="00F8631B" w:rsidP="00F8631B">
      <w:pPr>
        <w:pStyle w:val="ListParagraph"/>
        <w:numPr>
          <w:ilvl w:val="0"/>
          <w:numId w:val="99"/>
        </w:numPr>
        <w:spacing w:line="240" w:lineRule="auto"/>
        <w:ind w:left="360"/>
        <w:rPr>
          <w:rFonts w:eastAsia="Calibri"/>
          <w:bCs/>
          <w:color w:val="auto"/>
          <w:sz w:val="20"/>
          <w:szCs w:val="20"/>
          <w:lang w:bidi="en-US"/>
        </w:rPr>
      </w:pPr>
      <w:r w:rsidRPr="00712F3C">
        <w:rPr>
          <w:rFonts w:eastAsia="Calibri"/>
          <w:bCs/>
          <w:color w:val="auto"/>
          <w:sz w:val="20"/>
          <w:szCs w:val="20"/>
          <w:lang w:bidi="en-US"/>
        </w:rPr>
        <w:t>The performance of the financial markets in India and globally</w:t>
      </w:r>
      <w:r w:rsidRPr="00712F3C">
        <w:rPr>
          <w:rFonts w:eastAsia="Calibri"/>
          <w:bCs/>
          <w:color w:val="auto"/>
          <w:sz w:val="20"/>
          <w:szCs w:val="20"/>
          <w:lang w:val="en-US" w:bidi="en-US"/>
        </w:rPr>
        <w:t>;</w:t>
      </w:r>
    </w:p>
    <w:p w14:paraId="555E3668" w14:textId="77777777" w:rsidR="00F8631B" w:rsidRPr="00712F3C" w:rsidRDefault="00F8631B" w:rsidP="00F8631B">
      <w:pPr>
        <w:pStyle w:val="ListParagraph"/>
        <w:numPr>
          <w:ilvl w:val="0"/>
          <w:numId w:val="99"/>
        </w:numPr>
        <w:spacing w:line="240" w:lineRule="auto"/>
        <w:ind w:left="360"/>
        <w:rPr>
          <w:rFonts w:eastAsia="Calibri"/>
          <w:bCs/>
          <w:color w:val="auto"/>
          <w:sz w:val="20"/>
          <w:szCs w:val="20"/>
          <w:lang w:bidi="en-US"/>
        </w:rPr>
      </w:pPr>
      <w:r w:rsidRPr="00712F3C">
        <w:rPr>
          <w:rFonts w:eastAsia="Calibri"/>
          <w:bCs/>
          <w:color w:val="auto"/>
          <w:sz w:val="20"/>
          <w:szCs w:val="20"/>
          <w:lang w:val="en-GB" w:bidi="en-US"/>
        </w:rPr>
        <w:t>Global distress due to pandemic, war or by any other reason.</w:t>
      </w:r>
      <w:r w:rsidRPr="00712F3C">
        <w:rPr>
          <w:rFonts w:eastAsia="Calibri"/>
          <w:bCs/>
          <w:color w:val="auto"/>
          <w:sz w:val="20"/>
          <w:szCs w:val="20"/>
          <w:lang w:bidi="en-US"/>
        </w:rPr>
        <w:cr/>
      </w:r>
    </w:p>
    <w:p w14:paraId="1A5A23BA" w14:textId="77777777" w:rsidR="00F8631B" w:rsidRPr="00712F3C" w:rsidRDefault="00F8631B" w:rsidP="00F8631B">
      <w:pPr>
        <w:pStyle w:val="Default"/>
        <w:tabs>
          <w:tab w:val="left" w:pos="360"/>
        </w:tabs>
        <w:jc w:val="both"/>
        <w:rPr>
          <w:color w:val="auto"/>
          <w:sz w:val="20"/>
          <w:szCs w:val="20"/>
        </w:rPr>
      </w:pPr>
      <w:r w:rsidRPr="00712F3C">
        <w:rPr>
          <w:bCs/>
          <w:color w:val="221F1F"/>
          <w:sz w:val="20"/>
          <w:szCs w:val="20"/>
        </w:rPr>
        <w:t>F</w:t>
      </w:r>
      <w:r w:rsidRPr="00712F3C">
        <w:rPr>
          <w:bCs/>
          <w:color w:val="221F1F"/>
          <w:spacing w:val="-1"/>
          <w:sz w:val="20"/>
          <w:szCs w:val="20"/>
        </w:rPr>
        <w:t>o</w:t>
      </w:r>
      <w:r w:rsidRPr="00712F3C">
        <w:rPr>
          <w:bCs/>
          <w:color w:val="221F1F"/>
          <w:sz w:val="20"/>
          <w:szCs w:val="20"/>
        </w:rPr>
        <w:t xml:space="preserve">r </w:t>
      </w:r>
      <w:r w:rsidRPr="00712F3C">
        <w:rPr>
          <w:bCs/>
          <w:color w:val="221F1F"/>
          <w:spacing w:val="1"/>
          <w:sz w:val="20"/>
          <w:szCs w:val="20"/>
        </w:rPr>
        <w:t>f</w:t>
      </w:r>
      <w:r w:rsidRPr="00712F3C">
        <w:rPr>
          <w:bCs/>
          <w:color w:val="221F1F"/>
          <w:sz w:val="20"/>
          <w:szCs w:val="20"/>
        </w:rPr>
        <w:t>u</w:t>
      </w:r>
      <w:r w:rsidRPr="00712F3C">
        <w:rPr>
          <w:bCs/>
          <w:color w:val="221F1F"/>
          <w:spacing w:val="-1"/>
          <w:sz w:val="20"/>
          <w:szCs w:val="20"/>
        </w:rPr>
        <w:t>r</w:t>
      </w:r>
      <w:r w:rsidRPr="00712F3C">
        <w:rPr>
          <w:bCs/>
          <w:color w:val="221F1F"/>
          <w:sz w:val="20"/>
          <w:szCs w:val="20"/>
        </w:rPr>
        <w:t>the</w:t>
      </w:r>
      <w:r w:rsidRPr="00712F3C">
        <w:rPr>
          <w:bCs/>
          <w:color w:val="221F1F"/>
          <w:spacing w:val="1"/>
          <w:sz w:val="20"/>
          <w:szCs w:val="20"/>
        </w:rPr>
        <w:t>r</w:t>
      </w:r>
      <w:r w:rsidRPr="00712F3C">
        <w:rPr>
          <w:bCs/>
          <w:color w:val="221F1F"/>
          <w:sz w:val="20"/>
          <w:szCs w:val="20"/>
        </w:rPr>
        <w:t xml:space="preserve"> dis</w:t>
      </w:r>
      <w:r w:rsidRPr="00712F3C">
        <w:rPr>
          <w:bCs/>
          <w:color w:val="221F1F"/>
          <w:spacing w:val="1"/>
          <w:sz w:val="20"/>
          <w:szCs w:val="20"/>
        </w:rPr>
        <w:t>c</w:t>
      </w:r>
      <w:r w:rsidRPr="00712F3C">
        <w:rPr>
          <w:bCs/>
          <w:color w:val="221F1F"/>
          <w:sz w:val="20"/>
          <w:szCs w:val="20"/>
        </w:rPr>
        <w:t>us</w:t>
      </w:r>
      <w:r w:rsidRPr="00712F3C">
        <w:rPr>
          <w:bCs/>
          <w:color w:val="221F1F"/>
          <w:spacing w:val="1"/>
          <w:sz w:val="20"/>
          <w:szCs w:val="20"/>
        </w:rPr>
        <w:t>s</w:t>
      </w:r>
      <w:r w:rsidRPr="00712F3C">
        <w:rPr>
          <w:bCs/>
          <w:color w:val="221F1F"/>
          <w:sz w:val="20"/>
          <w:szCs w:val="20"/>
        </w:rPr>
        <w:t>i</w:t>
      </w:r>
      <w:r w:rsidRPr="00712F3C">
        <w:rPr>
          <w:bCs/>
          <w:color w:val="221F1F"/>
          <w:spacing w:val="1"/>
          <w:sz w:val="20"/>
          <w:szCs w:val="20"/>
        </w:rPr>
        <w:t>o</w:t>
      </w:r>
      <w:r w:rsidRPr="00712F3C">
        <w:rPr>
          <w:bCs/>
          <w:color w:val="221F1F"/>
          <w:sz w:val="20"/>
          <w:szCs w:val="20"/>
        </w:rPr>
        <w:t>n o</w:t>
      </w:r>
      <w:r w:rsidRPr="00712F3C">
        <w:rPr>
          <w:bCs/>
          <w:color w:val="221F1F"/>
          <w:spacing w:val="-1"/>
          <w:sz w:val="20"/>
          <w:szCs w:val="20"/>
        </w:rPr>
        <w:t>f</w:t>
      </w:r>
      <w:r w:rsidRPr="00712F3C">
        <w:rPr>
          <w:bCs/>
          <w:color w:val="221F1F"/>
          <w:sz w:val="20"/>
          <w:szCs w:val="20"/>
        </w:rPr>
        <w:t xml:space="preserve"> factors that could cause our actual results to differ, see the Sectio</w:t>
      </w:r>
      <w:r w:rsidRPr="00712F3C">
        <w:rPr>
          <w:color w:val="221F1F"/>
          <w:sz w:val="20"/>
          <w:szCs w:val="20"/>
        </w:rPr>
        <w:t xml:space="preserve">n titled </w:t>
      </w:r>
      <w:r w:rsidRPr="00712F3C">
        <w:rPr>
          <w:b/>
          <w:i/>
          <w:color w:val="221F1F"/>
          <w:sz w:val="20"/>
          <w:szCs w:val="20"/>
        </w:rPr>
        <w:t>“Risk Factors”</w:t>
      </w:r>
      <w:r w:rsidRPr="00712F3C">
        <w:rPr>
          <w:b/>
          <w:i/>
          <w:sz w:val="20"/>
          <w:szCs w:val="20"/>
        </w:rPr>
        <w:t>, “Our Business” a</w:t>
      </w:r>
      <w:r w:rsidRPr="00712F3C">
        <w:rPr>
          <w:b/>
          <w:i/>
          <w:spacing w:val="-1"/>
          <w:sz w:val="20"/>
          <w:szCs w:val="20"/>
        </w:rPr>
        <w:t>n</w:t>
      </w:r>
      <w:r w:rsidRPr="00712F3C">
        <w:rPr>
          <w:b/>
          <w:i/>
          <w:sz w:val="20"/>
          <w:szCs w:val="20"/>
        </w:rPr>
        <w:t xml:space="preserve">d </w:t>
      </w:r>
      <w:r w:rsidRPr="00712F3C">
        <w:rPr>
          <w:b/>
          <w:bCs/>
          <w:i/>
          <w:iCs/>
          <w:sz w:val="20"/>
          <w:szCs w:val="20"/>
        </w:rPr>
        <w:t>“Management’s Di</w:t>
      </w:r>
      <w:r w:rsidRPr="00712F3C">
        <w:rPr>
          <w:b/>
          <w:bCs/>
          <w:i/>
          <w:iCs/>
          <w:spacing w:val="-1"/>
          <w:sz w:val="20"/>
          <w:szCs w:val="20"/>
        </w:rPr>
        <w:t>s</w:t>
      </w:r>
      <w:r w:rsidRPr="00712F3C">
        <w:rPr>
          <w:b/>
          <w:bCs/>
          <w:i/>
          <w:iCs/>
          <w:sz w:val="20"/>
          <w:szCs w:val="20"/>
        </w:rPr>
        <w:t>c</w:t>
      </w:r>
      <w:r w:rsidRPr="00712F3C">
        <w:rPr>
          <w:b/>
          <w:bCs/>
          <w:i/>
          <w:iCs/>
          <w:spacing w:val="2"/>
          <w:sz w:val="20"/>
          <w:szCs w:val="20"/>
        </w:rPr>
        <w:t>u</w:t>
      </w:r>
      <w:r w:rsidRPr="00712F3C">
        <w:rPr>
          <w:b/>
          <w:bCs/>
          <w:i/>
          <w:iCs/>
          <w:spacing w:val="-1"/>
          <w:sz w:val="20"/>
          <w:szCs w:val="20"/>
        </w:rPr>
        <w:t>ss</w:t>
      </w:r>
      <w:r w:rsidRPr="00712F3C">
        <w:rPr>
          <w:b/>
          <w:bCs/>
          <w:i/>
          <w:iCs/>
          <w:sz w:val="20"/>
          <w:szCs w:val="20"/>
        </w:rPr>
        <w:t>i</w:t>
      </w:r>
      <w:r w:rsidRPr="00712F3C">
        <w:rPr>
          <w:b/>
          <w:bCs/>
          <w:i/>
          <w:iCs/>
          <w:spacing w:val="1"/>
          <w:sz w:val="20"/>
          <w:szCs w:val="20"/>
        </w:rPr>
        <w:t>o</w:t>
      </w:r>
      <w:r w:rsidRPr="00712F3C">
        <w:rPr>
          <w:b/>
          <w:bCs/>
          <w:i/>
          <w:iCs/>
          <w:sz w:val="20"/>
          <w:szCs w:val="20"/>
        </w:rPr>
        <w:t xml:space="preserve">n </w:t>
      </w:r>
      <w:r w:rsidRPr="00712F3C">
        <w:rPr>
          <w:b/>
          <w:bCs/>
          <w:i/>
          <w:iCs/>
          <w:spacing w:val="1"/>
          <w:sz w:val="20"/>
          <w:szCs w:val="20"/>
        </w:rPr>
        <w:t>a</w:t>
      </w:r>
      <w:r w:rsidRPr="00712F3C">
        <w:rPr>
          <w:b/>
          <w:bCs/>
          <w:i/>
          <w:iCs/>
          <w:sz w:val="20"/>
          <w:szCs w:val="20"/>
        </w:rPr>
        <w:t xml:space="preserve">nd </w:t>
      </w:r>
      <w:r w:rsidRPr="00712F3C">
        <w:rPr>
          <w:b/>
          <w:bCs/>
          <w:i/>
          <w:iCs/>
          <w:spacing w:val="-1"/>
          <w:sz w:val="20"/>
          <w:szCs w:val="20"/>
        </w:rPr>
        <w:t>A</w:t>
      </w:r>
      <w:r w:rsidRPr="00712F3C">
        <w:rPr>
          <w:b/>
          <w:bCs/>
          <w:i/>
          <w:iCs/>
          <w:sz w:val="20"/>
          <w:szCs w:val="20"/>
        </w:rPr>
        <w:t>n</w:t>
      </w:r>
      <w:r w:rsidRPr="00712F3C">
        <w:rPr>
          <w:b/>
          <w:bCs/>
          <w:i/>
          <w:iCs/>
          <w:spacing w:val="1"/>
          <w:sz w:val="20"/>
          <w:szCs w:val="20"/>
        </w:rPr>
        <w:t>a</w:t>
      </w:r>
      <w:r w:rsidRPr="00712F3C">
        <w:rPr>
          <w:b/>
          <w:bCs/>
          <w:i/>
          <w:iCs/>
          <w:sz w:val="20"/>
          <w:szCs w:val="20"/>
        </w:rPr>
        <w:t>lys</w:t>
      </w:r>
      <w:r w:rsidRPr="00712F3C">
        <w:rPr>
          <w:b/>
          <w:bCs/>
          <w:i/>
          <w:iCs/>
          <w:spacing w:val="2"/>
          <w:sz w:val="20"/>
          <w:szCs w:val="20"/>
        </w:rPr>
        <w:t>i</w:t>
      </w:r>
      <w:r w:rsidRPr="00712F3C">
        <w:rPr>
          <w:b/>
          <w:bCs/>
          <w:i/>
          <w:iCs/>
          <w:sz w:val="20"/>
          <w:szCs w:val="20"/>
        </w:rPr>
        <w:t xml:space="preserve">s </w:t>
      </w:r>
      <w:r w:rsidRPr="00712F3C">
        <w:rPr>
          <w:b/>
          <w:bCs/>
          <w:i/>
          <w:iCs/>
          <w:spacing w:val="1"/>
          <w:sz w:val="20"/>
          <w:szCs w:val="20"/>
        </w:rPr>
        <w:t>o</w:t>
      </w:r>
      <w:r w:rsidRPr="00712F3C">
        <w:rPr>
          <w:b/>
          <w:bCs/>
          <w:i/>
          <w:iCs/>
          <w:sz w:val="20"/>
          <w:szCs w:val="20"/>
        </w:rPr>
        <w:t xml:space="preserve">f </w:t>
      </w:r>
      <w:r w:rsidRPr="00712F3C">
        <w:rPr>
          <w:b/>
          <w:bCs/>
          <w:i/>
          <w:iCs/>
          <w:spacing w:val="-1"/>
          <w:sz w:val="20"/>
          <w:szCs w:val="20"/>
        </w:rPr>
        <w:t>F</w:t>
      </w:r>
      <w:r w:rsidRPr="00712F3C">
        <w:rPr>
          <w:b/>
          <w:bCs/>
          <w:i/>
          <w:iCs/>
          <w:sz w:val="20"/>
          <w:szCs w:val="20"/>
        </w:rPr>
        <w:t>inanci</w:t>
      </w:r>
      <w:r w:rsidRPr="00712F3C">
        <w:rPr>
          <w:b/>
          <w:bCs/>
          <w:i/>
          <w:iCs/>
          <w:spacing w:val="1"/>
          <w:sz w:val="20"/>
          <w:szCs w:val="20"/>
        </w:rPr>
        <w:t>a</w:t>
      </w:r>
      <w:r w:rsidRPr="00712F3C">
        <w:rPr>
          <w:b/>
          <w:bCs/>
          <w:i/>
          <w:iCs/>
          <w:sz w:val="20"/>
          <w:szCs w:val="20"/>
        </w:rPr>
        <w:t xml:space="preserve">l </w:t>
      </w:r>
      <w:r w:rsidRPr="00712F3C">
        <w:rPr>
          <w:b/>
          <w:bCs/>
          <w:i/>
          <w:iCs/>
          <w:spacing w:val="-1"/>
          <w:sz w:val="20"/>
          <w:szCs w:val="20"/>
        </w:rPr>
        <w:t>C</w:t>
      </w:r>
      <w:r w:rsidRPr="00712F3C">
        <w:rPr>
          <w:b/>
          <w:bCs/>
          <w:i/>
          <w:iCs/>
          <w:spacing w:val="1"/>
          <w:sz w:val="20"/>
          <w:szCs w:val="20"/>
        </w:rPr>
        <w:t>o</w:t>
      </w:r>
      <w:r w:rsidRPr="00712F3C">
        <w:rPr>
          <w:b/>
          <w:bCs/>
          <w:i/>
          <w:iCs/>
          <w:sz w:val="20"/>
          <w:szCs w:val="20"/>
        </w:rPr>
        <w:t>n</w:t>
      </w:r>
      <w:r w:rsidRPr="00712F3C">
        <w:rPr>
          <w:b/>
          <w:bCs/>
          <w:i/>
          <w:iCs/>
          <w:spacing w:val="1"/>
          <w:sz w:val="20"/>
          <w:szCs w:val="20"/>
        </w:rPr>
        <w:t>d</w:t>
      </w:r>
      <w:r w:rsidRPr="00712F3C">
        <w:rPr>
          <w:b/>
          <w:bCs/>
          <w:i/>
          <w:iCs/>
          <w:sz w:val="20"/>
          <w:szCs w:val="20"/>
        </w:rPr>
        <w:t>i</w:t>
      </w:r>
      <w:r w:rsidRPr="00712F3C">
        <w:rPr>
          <w:b/>
          <w:bCs/>
          <w:i/>
          <w:iCs/>
          <w:spacing w:val="2"/>
          <w:sz w:val="20"/>
          <w:szCs w:val="20"/>
        </w:rPr>
        <w:t>t</w:t>
      </w:r>
      <w:r w:rsidRPr="00712F3C">
        <w:rPr>
          <w:b/>
          <w:bCs/>
          <w:i/>
          <w:iCs/>
          <w:sz w:val="20"/>
          <w:szCs w:val="20"/>
        </w:rPr>
        <w:t>i</w:t>
      </w:r>
      <w:r w:rsidRPr="00712F3C">
        <w:rPr>
          <w:b/>
          <w:bCs/>
          <w:i/>
          <w:iCs/>
          <w:spacing w:val="1"/>
          <w:sz w:val="20"/>
          <w:szCs w:val="20"/>
        </w:rPr>
        <w:t>o</w:t>
      </w:r>
      <w:r w:rsidRPr="00712F3C">
        <w:rPr>
          <w:b/>
          <w:bCs/>
          <w:i/>
          <w:iCs/>
          <w:sz w:val="20"/>
          <w:szCs w:val="20"/>
        </w:rPr>
        <w:t xml:space="preserve">n </w:t>
      </w:r>
      <w:r w:rsidRPr="00712F3C">
        <w:rPr>
          <w:b/>
          <w:bCs/>
          <w:i/>
          <w:iCs/>
          <w:spacing w:val="1"/>
          <w:sz w:val="20"/>
          <w:szCs w:val="20"/>
        </w:rPr>
        <w:t>a</w:t>
      </w:r>
      <w:r w:rsidRPr="00712F3C">
        <w:rPr>
          <w:b/>
          <w:bCs/>
          <w:i/>
          <w:iCs/>
          <w:sz w:val="20"/>
          <w:szCs w:val="20"/>
        </w:rPr>
        <w:t xml:space="preserve">nd </w:t>
      </w:r>
      <w:r w:rsidRPr="00712F3C">
        <w:rPr>
          <w:b/>
          <w:bCs/>
          <w:i/>
          <w:iCs/>
          <w:spacing w:val="-1"/>
          <w:sz w:val="20"/>
          <w:szCs w:val="20"/>
        </w:rPr>
        <w:t>R</w:t>
      </w:r>
      <w:r w:rsidRPr="00712F3C">
        <w:rPr>
          <w:b/>
          <w:bCs/>
          <w:i/>
          <w:iCs/>
          <w:sz w:val="20"/>
          <w:szCs w:val="20"/>
        </w:rPr>
        <w:t>es</w:t>
      </w:r>
      <w:r w:rsidRPr="00712F3C">
        <w:rPr>
          <w:b/>
          <w:bCs/>
          <w:i/>
          <w:iCs/>
          <w:spacing w:val="-1"/>
          <w:sz w:val="20"/>
          <w:szCs w:val="20"/>
        </w:rPr>
        <w:t>u</w:t>
      </w:r>
      <w:r w:rsidRPr="00712F3C">
        <w:rPr>
          <w:b/>
          <w:bCs/>
          <w:i/>
          <w:iCs/>
          <w:sz w:val="20"/>
          <w:szCs w:val="20"/>
        </w:rPr>
        <w:t>l</w:t>
      </w:r>
      <w:r w:rsidRPr="00712F3C">
        <w:rPr>
          <w:b/>
          <w:bCs/>
          <w:i/>
          <w:iCs/>
          <w:spacing w:val="2"/>
          <w:sz w:val="20"/>
          <w:szCs w:val="20"/>
        </w:rPr>
        <w:t>t</w:t>
      </w:r>
      <w:r w:rsidRPr="00712F3C">
        <w:rPr>
          <w:b/>
          <w:bCs/>
          <w:i/>
          <w:iCs/>
          <w:sz w:val="20"/>
          <w:szCs w:val="20"/>
        </w:rPr>
        <w:t xml:space="preserve">s </w:t>
      </w:r>
      <w:r w:rsidRPr="00712F3C">
        <w:rPr>
          <w:b/>
          <w:bCs/>
          <w:i/>
          <w:iCs/>
          <w:spacing w:val="2"/>
          <w:sz w:val="20"/>
          <w:szCs w:val="20"/>
        </w:rPr>
        <w:t>o</w:t>
      </w:r>
      <w:r w:rsidRPr="00712F3C">
        <w:rPr>
          <w:b/>
          <w:bCs/>
          <w:i/>
          <w:iCs/>
          <w:sz w:val="20"/>
          <w:szCs w:val="20"/>
        </w:rPr>
        <w:t>f O</w:t>
      </w:r>
      <w:r w:rsidRPr="00712F3C">
        <w:rPr>
          <w:b/>
          <w:bCs/>
          <w:i/>
          <w:iCs/>
          <w:spacing w:val="1"/>
          <w:sz w:val="20"/>
          <w:szCs w:val="20"/>
        </w:rPr>
        <w:t>p</w:t>
      </w:r>
      <w:r w:rsidRPr="00712F3C">
        <w:rPr>
          <w:b/>
          <w:bCs/>
          <w:i/>
          <w:iCs/>
          <w:sz w:val="20"/>
          <w:szCs w:val="20"/>
        </w:rPr>
        <w:t>er</w:t>
      </w:r>
      <w:r w:rsidRPr="00712F3C">
        <w:rPr>
          <w:b/>
          <w:bCs/>
          <w:i/>
          <w:iCs/>
          <w:spacing w:val="1"/>
          <w:sz w:val="20"/>
          <w:szCs w:val="20"/>
        </w:rPr>
        <w:t>a</w:t>
      </w:r>
      <w:r w:rsidRPr="00712F3C">
        <w:rPr>
          <w:b/>
          <w:bCs/>
          <w:i/>
          <w:iCs/>
          <w:sz w:val="20"/>
          <w:szCs w:val="20"/>
        </w:rPr>
        <w:t>ti</w:t>
      </w:r>
      <w:r w:rsidRPr="00712F3C">
        <w:rPr>
          <w:b/>
          <w:bCs/>
          <w:i/>
          <w:iCs/>
          <w:spacing w:val="1"/>
          <w:sz w:val="20"/>
          <w:szCs w:val="20"/>
        </w:rPr>
        <w:t>o</w:t>
      </w:r>
      <w:r w:rsidRPr="00712F3C">
        <w:rPr>
          <w:b/>
          <w:bCs/>
          <w:i/>
          <w:iCs/>
          <w:sz w:val="20"/>
          <w:szCs w:val="20"/>
        </w:rPr>
        <w:t>n</w:t>
      </w:r>
      <w:r w:rsidRPr="00712F3C">
        <w:rPr>
          <w:b/>
          <w:bCs/>
          <w:i/>
          <w:iCs/>
          <w:spacing w:val="-1"/>
          <w:sz w:val="20"/>
          <w:szCs w:val="20"/>
        </w:rPr>
        <w:t>s</w:t>
      </w:r>
      <w:r w:rsidRPr="00712F3C">
        <w:rPr>
          <w:b/>
          <w:bCs/>
          <w:i/>
          <w:iCs/>
          <w:sz w:val="20"/>
          <w:szCs w:val="20"/>
        </w:rPr>
        <w:t xml:space="preserve">” </w:t>
      </w:r>
      <w:r w:rsidRPr="00712F3C">
        <w:rPr>
          <w:bCs/>
          <w:iCs/>
          <w:sz w:val="20"/>
          <w:szCs w:val="20"/>
        </w:rPr>
        <w:t>beginning</w:t>
      </w:r>
      <w:r w:rsidRPr="00712F3C">
        <w:rPr>
          <w:color w:val="221F1F"/>
          <w:sz w:val="20"/>
          <w:szCs w:val="20"/>
        </w:rPr>
        <w:t xml:space="preserve"> on page </w:t>
      </w:r>
      <w:r>
        <w:rPr>
          <w:color w:val="221F1F"/>
          <w:sz w:val="20"/>
          <w:szCs w:val="20"/>
        </w:rPr>
        <w:t>25</w:t>
      </w:r>
      <w:r w:rsidRPr="00712F3C">
        <w:rPr>
          <w:color w:val="221F1F"/>
          <w:sz w:val="20"/>
          <w:szCs w:val="20"/>
        </w:rPr>
        <w:t xml:space="preserve">, </w:t>
      </w:r>
      <w:r>
        <w:rPr>
          <w:color w:val="221F1F"/>
          <w:sz w:val="20"/>
          <w:szCs w:val="20"/>
        </w:rPr>
        <w:t>91</w:t>
      </w:r>
      <w:r w:rsidRPr="00712F3C">
        <w:rPr>
          <w:color w:val="221F1F"/>
          <w:sz w:val="20"/>
          <w:szCs w:val="20"/>
        </w:rPr>
        <w:t xml:space="preserve"> and </w:t>
      </w:r>
      <w:r>
        <w:rPr>
          <w:color w:val="221F1F"/>
          <w:sz w:val="20"/>
          <w:szCs w:val="20"/>
        </w:rPr>
        <w:t>177</w:t>
      </w:r>
      <w:r w:rsidRPr="00712F3C">
        <w:rPr>
          <w:color w:val="221F1F"/>
          <w:sz w:val="20"/>
          <w:szCs w:val="20"/>
        </w:rPr>
        <w:t xml:space="preserve"> </w:t>
      </w:r>
      <w:r w:rsidRPr="00712F3C">
        <w:rPr>
          <w:color w:val="auto"/>
          <w:sz w:val="20"/>
          <w:szCs w:val="20"/>
        </w:rPr>
        <w:t xml:space="preserve">respectively of the Draft </w:t>
      </w:r>
      <w:r w:rsidRPr="00712F3C">
        <w:rPr>
          <w:iCs/>
          <w:sz w:val="20"/>
          <w:szCs w:val="20"/>
        </w:rPr>
        <w:t>Red Herring</w:t>
      </w:r>
      <w:r w:rsidRPr="00712F3C">
        <w:rPr>
          <w:color w:val="auto"/>
          <w:sz w:val="20"/>
          <w:szCs w:val="20"/>
        </w:rPr>
        <w:t xml:space="preserve"> Prospectus. By their nature, certain market risk disclosures are only estimates and could be materially different from what actually occurs in the future. As a result, actual future gains or losses could materially differ from those that have been estimated. </w:t>
      </w:r>
    </w:p>
    <w:p w14:paraId="0F195849" w14:textId="77777777" w:rsidR="00F8631B" w:rsidRPr="00712F3C" w:rsidRDefault="00F8631B" w:rsidP="00F8631B">
      <w:pPr>
        <w:pStyle w:val="NoSpacing"/>
        <w:spacing w:line="240" w:lineRule="auto"/>
        <w:jc w:val="both"/>
        <w:rPr>
          <w:color w:val="221F1F"/>
        </w:rPr>
      </w:pPr>
    </w:p>
    <w:p w14:paraId="5A5CA775" w14:textId="77777777" w:rsidR="00F8631B" w:rsidRPr="00712F3C" w:rsidRDefault="00F8631B" w:rsidP="00F8631B">
      <w:pPr>
        <w:autoSpaceDE w:val="0"/>
        <w:autoSpaceDN w:val="0"/>
        <w:adjustRightInd w:val="0"/>
        <w:spacing w:after="0" w:line="240" w:lineRule="auto"/>
        <w:jc w:val="both"/>
        <w:rPr>
          <w:rFonts w:ascii="Times New Roman" w:hAnsi="Times New Roman"/>
          <w:sz w:val="20"/>
          <w:szCs w:val="20"/>
        </w:rPr>
      </w:pPr>
      <w:r w:rsidRPr="00712F3C">
        <w:rPr>
          <w:rFonts w:ascii="Times New Roman" w:hAnsi="Times New Roman"/>
          <w:sz w:val="20"/>
          <w:szCs w:val="20"/>
        </w:rPr>
        <w:t>There can be no assurance to investors that the expectations reflected in these forward-looking statements will prove to be correct. Given these uncertainties, investors are cautioned not to place undue reliance on such forward-looking statements and not to regard such statements to be a guarantee of our future performance.</w:t>
      </w:r>
    </w:p>
    <w:p w14:paraId="2F912386" w14:textId="77777777" w:rsidR="00F8631B" w:rsidRPr="00712F3C" w:rsidRDefault="00F8631B" w:rsidP="00F8631B">
      <w:pPr>
        <w:pStyle w:val="NoSpacing"/>
        <w:spacing w:line="240" w:lineRule="auto"/>
        <w:jc w:val="both"/>
        <w:rPr>
          <w:color w:val="221F1F"/>
        </w:rPr>
      </w:pPr>
    </w:p>
    <w:p w14:paraId="6E0C945C" w14:textId="77777777" w:rsidR="00F8631B" w:rsidRPr="00712F3C" w:rsidRDefault="00F8631B" w:rsidP="00F8631B">
      <w:pPr>
        <w:autoSpaceDE w:val="0"/>
        <w:autoSpaceDN w:val="0"/>
        <w:adjustRightInd w:val="0"/>
        <w:spacing w:after="0" w:line="240" w:lineRule="auto"/>
        <w:jc w:val="both"/>
        <w:rPr>
          <w:rFonts w:ascii="Times New Roman" w:hAnsi="Times New Roman"/>
          <w:sz w:val="20"/>
          <w:szCs w:val="20"/>
        </w:rPr>
      </w:pPr>
      <w:r w:rsidRPr="00712F3C">
        <w:rPr>
          <w:rFonts w:ascii="Times New Roman" w:hAnsi="Times New Roman"/>
          <w:sz w:val="20"/>
          <w:szCs w:val="20"/>
        </w:rPr>
        <w:t>Neither our Company or our Directors or our Officers or Book Running Lead Manager or Underwriter nor any of their respective affiliates have any obligation to update or otherwise revise any statements reflecting circumstances arising after the date hereof or to reflect the occurrence of underlying events, even if the underlying assumptions do not come to fruition. In accordance with SEBI requirements, our Company and the BRLM will ensure that investors in India are informed of material developments until such time as the grant of listing and trading permission by the Stock Exchange for the Equity Shares allotted pursuant to this Issue.</w:t>
      </w:r>
    </w:p>
    <w:p w14:paraId="73A46E9A" w14:textId="77777777" w:rsidR="00F8631B" w:rsidRPr="00712F3C" w:rsidRDefault="00F8631B" w:rsidP="00F8631B">
      <w:pPr>
        <w:spacing w:after="0" w:line="240" w:lineRule="auto"/>
        <w:rPr>
          <w:rFonts w:ascii="Times New Roman" w:hAnsi="Times New Roman"/>
          <w:sz w:val="20"/>
          <w:szCs w:val="20"/>
        </w:rPr>
      </w:pPr>
      <w:r w:rsidRPr="00712F3C">
        <w:rPr>
          <w:rFonts w:ascii="Times New Roman" w:hAnsi="Times New Roman"/>
          <w:sz w:val="20"/>
          <w:szCs w:val="20"/>
        </w:rPr>
        <w:br w:type="page"/>
      </w:r>
    </w:p>
    <w:p w14:paraId="0633FA6B" w14:textId="77777777" w:rsidR="00F8631B" w:rsidRPr="00712F3C" w:rsidRDefault="00F8631B" w:rsidP="00F8631B">
      <w:pPr>
        <w:autoSpaceDE w:val="0"/>
        <w:autoSpaceDN w:val="0"/>
        <w:adjustRightInd w:val="0"/>
        <w:spacing w:after="0" w:line="240" w:lineRule="auto"/>
        <w:jc w:val="center"/>
        <w:rPr>
          <w:rFonts w:ascii="Times New Roman" w:hAnsi="Times New Roman"/>
          <w:b/>
          <w:sz w:val="20"/>
          <w:szCs w:val="20"/>
          <w:u w:val="single"/>
        </w:rPr>
      </w:pPr>
      <w:r w:rsidRPr="00712F3C">
        <w:rPr>
          <w:rFonts w:ascii="Times New Roman" w:hAnsi="Times New Roman"/>
          <w:b/>
          <w:sz w:val="20"/>
          <w:szCs w:val="20"/>
          <w:u w:val="single"/>
        </w:rPr>
        <w:lastRenderedPageBreak/>
        <w:t xml:space="preserve">SECTION II – SUMMARY OF DRAFT </w:t>
      </w:r>
      <w:r w:rsidRPr="00712F3C">
        <w:rPr>
          <w:rFonts w:ascii="Times New Roman" w:hAnsi="Times New Roman"/>
          <w:b/>
          <w:iCs/>
          <w:sz w:val="20"/>
          <w:szCs w:val="20"/>
          <w:u w:val="single"/>
        </w:rPr>
        <w:t>RED HERRING</w:t>
      </w:r>
      <w:r w:rsidRPr="00712F3C">
        <w:rPr>
          <w:rFonts w:ascii="Times New Roman" w:hAnsi="Times New Roman"/>
          <w:b/>
          <w:sz w:val="20"/>
          <w:szCs w:val="20"/>
          <w:u w:val="single"/>
        </w:rPr>
        <w:t xml:space="preserve"> PROSPECTUS</w:t>
      </w:r>
    </w:p>
    <w:p w14:paraId="131A80B7" w14:textId="77777777" w:rsidR="00F8631B" w:rsidRPr="00712F3C" w:rsidRDefault="00F8631B" w:rsidP="00F8631B">
      <w:pPr>
        <w:spacing w:after="0" w:line="240" w:lineRule="auto"/>
        <w:rPr>
          <w:rFonts w:ascii="Times New Roman" w:hAnsi="Times New Roman"/>
          <w:b/>
          <w:sz w:val="20"/>
          <w:szCs w:val="20"/>
          <w:u w:val="single"/>
        </w:rPr>
      </w:pPr>
    </w:p>
    <w:p w14:paraId="7AC8958A" w14:textId="77777777" w:rsidR="00F8631B" w:rsidRPr="00712F3C" w:rsidRDefault="00F8631B">
      <w:pPr>
        <w:numPr>
          <w:ilvl w:val="0"/>
          <w:numId w:val="163"/>
        </w:numPr>
        <w:spacing w:after="0" w:line="240" w:lineRule="auto"/>
        <w:rPr>
          <w:rFonts w:ascii="Times New Roman" w:hAnsi="Times New Roman"/>
          <w:b/>
          <w:bCs/>
          <w:sz w:val="20"/>
          <w:szCs w:val="20"/>
          <w:u w:val="single"/>
        </w:rPr>
      </w:pPr>
      <w:r w:rsidRPr="00712F3C">
        <w:rPr>
          <w:rFonts w:ascii="Times New Roman" w:hAnsi="Times New Roman"/>
          <w:b/>
          <w:bCs/>
          <w:sz w:val="20"/>
          <w:szCs w:val="20"/>
          <w:u w:val="single"/>
        </w:rPr>
        <w:t>OVERVIEW OF BUSINESS</w:t>
      </w:r>
    </w:p>
    <w:p w14:paraId="7C1DBDA6" w14:textId="77777777" w:rsidR="00F8631B" w:rsidRPr="00712F3C" w:rsidRDefault="00F8631B" w:rsidP="00F8631B">
      <w:pPr>
        <w:spacing w:after="0" w:line="240" w:lineRule="auto"/>
        <w:rPr>
          <w:rFonts w:ascii="Times New Roman" w:hAnsi="Times New Roman"/>
          <w:b/>
          <w:bCs/>
          <w:sz w:val="20"/>
          <w:szCs w:val="20"/>
          <w:u w:val="single"/>
        </w:rPr>
      </w:pPr>
    </w:p>
    <w:p w14:paraId="1C018683" w14:textId="3450835B" w:rsidR="00F8631B" w:rsidRPr="00CB3000" w:rsidRDefault="00CB3000">
      <w:pPr>
        <w:pStyle w:val="ListParagraph"/>
        <w:numPr>
          <w:ilvl w:val="0"/>
          <w:numId w:val="314"/>
        </w:numPr>
        <w:spacing w:line="240" w:lineRule="auto"/>
        <w:ind w:left="360"/>
        <w:jc w:val="both"/>
        <w:rPr>
          <w:sz w:val="20"/>
          <w:szCs w:val="20"/>
        </w:rPr>
      </w:pPr>
      <w:r w:rsidRPr="00CB3000">
        <w:rPr>
          <w:sz w:val="20"/>
          <w:szCs w:val="20"/>
        </w:rPr>
        <w:t>We manufacture various brass components (plumbing and sanitary parts) such as brass inserts, brass ceramic cartridges (brass spindles), brass valves, extension nipples etc. as per the customer’s requirements</w:t>
      </w:r>
      <w:r w:rsidR="00F8631B" w:rsidRPr="00CB3000">
        <w:rPr>
          <w:sz w:val="20"/>
          <w:szCs w:val="20"/>
        </w:rPr>
        <w:t>.</w:t>
      </w:r>
    </w:p>
    <w:p w14:paraId="30B878AD" w14:textId="38E60BA6" w:rsidR="00CB3000" w:rsidRPr="00CB3000" w:rsidRDefault="00CB3000">
      <w:pPr>
        <w:pStyle w:val="ListParagraph"/>
        <w:numPr>
          <w:ilvl w:val="0"/>
          <w:numId w:val="314"/>
        </w:numPr>
        <w:spacing w:line="240" w:lineRule="auto"/>
        <w:ind w:left="360"/>
        <w:jc w:val="both"/>
        <w:rPr>
          <w:sz w:val="20"/>
          <w:szCs w:val="20"/>
        </w:rPr>
      </w:pPr>
      <w:r w:rsidRPr="00CB3000">
        <w:rPr>
          <w:sz w:val="20"/>
          <w:szCs w:val="20"/>
        </w:rPr>
        <w:t>We manufacture brass ingots, billets and rods through brass scrap from our manufacturing unit-II located at Village Lakhabaval, District Jamnagar. We mainly export these products to China.</w:t>
      </w:r>
    </w:p>
    <w:p w14:paraId="471B2964" w14:textId="0596EDBD" w:rsidR="00CB3000" w:rsidRPr="00CB3000" w:rsidRDefault="00CB3000">
      <w:pPr>
        <w:pStyle w:val="ListParagraph"/>
        <w:numPr>
          <w:ilvl w:val="0"/>
          <w:numId w:val="314"/>
        </w:numPr>
        <w:spacing w:line="240" w:lineRule="auto"/>
        <w:ind w:left="360"/>
        <w:jc w:val="both"/>
        <w:rPr>
          <w:sz w:val="20"/>
          <w:szCs w:val="20"/>
        </w:rPr>
      </w:pPr>
      <w:r w:rsidRPr="00CB3000">
        <w:rPr>
          <w:sz w:val="20"/>
          <w:szCs w:val="20"/>
        </w:rPr>
        <w:t>We procure brass scrap mainly from international market such as USA, UK, Europe and Middle East. Post procurement, segregation of brass is done at our unit-III located at Village Lakhabaval, District Jamnagar. Post segregation, the segregated brass is termed as Brass scrap honey.</w:t>
      </w:r>
    </w:p>
    <w:p w14:paraId="01921727" w14:textId="77777777" w:rsidR="00F8631B" w:rsidRPr="00712F3C" w:rsidRDefault="00F8631B" w:rsidP="00F8631B">
      <w:pPr>
        <w:spacing w:after="0" w:line="240" w:lineRule="auto"/>
        <w:jc w:val="both"/>
        <w:rPr>
          <w:rFonts w:ascii="Times New Roman" w:hAnsi="Times New Roman"/>
          <w:sz w:val="20"/>
          <w:szCs w:val="20"/>
        </w:rPr>
      </w:pPr>
    </w:p>
    <w:p w14:paraId="5C8ED230" w14:textId="77777777" w:rsidR="00F8631B" w:rsidRPr="00712F3C" w:rsidRDefault="00F8631B">
      <w:pPr>
        <w:numPr>
          <w:ilvl w:val="0"/>
          <w:numId w:val="163"/>
        </w:numPr>
        <w:spacing w:after="0" w:line="240" w:lineRule="auto"/>
        <w:rPr>
          <w:rFonts w:ascii="Times New Roman" w:hAnsi="Times New Roman"/>
          <w:b/>
          <w:bCs/>
          <w:sz w:val="20"/>
          <w:szCs w:val="20"/>
          <w:u w:val="single"/>
        </w:rPr>
      </w:pPr>
      <w:r w:rsidRPr="00712F3C">
        <w:rPr>
          <w:rFonts w:ascii="Times New Roman" w:hAnsi="Times New Roman"/>
          <w:b/>
          <w:bCs/>
          <w:sz w:val="20"/>
          <w:szCs w:val="20"/>
          <w:u w:val="single"/>
        </w:rPr>
        <w:t xml:space="preserve">OVERVIEW OF THE INDUSTRY </w:t>
      </w:r>
    </w:p>
    <w:p w14:paraId="6E225CEB" w14:textId="77777777" w:rsidR="00F8631B" w:rsidRPr="00712F3C" w:rsidRDefault="00F8631B" w:rsidP="00F8631B">
      <w:pPr>
        <w:spacing w:after="0" w:line="240" w:lineRule="auto"/>
        <w:ind w:left="360"/>
        <w:rPr>
          <w:rFonts w:ascii="Times New Roman" w:hAnsi="Times New Roman"/>
          <w:b/>
          <w:bCs/>
          <w:sz w:val="20"/>
          <w:szCs w:val="20"/>
          <w:u w:val="single"/>
        </w:rPr>
      </w:pPr>
    </w:p>
    <w:p w14:paraId="336524F3" w14:textId="1F25C66E" w:rsidR="00D60649" w:rsidRDefault="00D60649" w:rsidP="00D60649">
      <w:pPr>
        <w:spacing w:after="0" w:line="240" w:lineRule="auto"/>
        <w:ind w:right="-283"/>
        <w:jc w:val="both"/>
        <w:rPr>
          <w:rFonts w:ascii="Times New Roman" w:hAnsi="Times New Roman"/>
          <w:sz w:val="20"/>
          <w:szCs w:val="20"/>
        </w:rPr>
      </w:pPr>
      <w:bookmarkStart w:id="1" w:name="_Hlk132131834"/>
      <w:r w:rsidRPr="0014720C">
        <w:rPr>
          <w:rFonts w:ascii="Times New Roman" w:hAnsi="Times New Roman"/>
          <w:sz w:val="20"/>
          <w:szCs w:val="20"/>
        </w:rPr>
        <w:t>As nonferrous metals find widespread applications across the economy, the current</w:t>
      </w:r>
      <w:r>
        <w:rPr>
          <w:rFonts w:ascii="Times New Roman" w:hAnsi="Times New Roman"/>
          <w:sz w:val="20"/>
          <w:szCs w:val="20"/>
        </w:rPr>
        <w:t xml:space="preserve"> </w:t>
      </w:r>
      <w:r w:rsidRPr="0014720C">
        <w:rPr>
          <w:rFonts w:ascii="Times New Roman" w:hAnsi="Times New Roman"/>
          <w:sz w:val="20"/>
          <w:szCs w:val="20"/>
        </w:rPr>
        <w:t>policy measures provide a tremendous opportunity for the development of the</w:t>
      </w:r>
      <w:r>
        <w:rPr>
          <w:rFonts w:ascii="Times New Roman" w:hAnsi="Times New Roman"/>
          <w:sz w:val="20"/>
          <w:szCs w:val="20"/>
        </w:rPr>
        <w:t xml:space="preserve"> </w:t>
      </w:r>
      <w:r w:rsidRPr="0014720C">
        <w:rPr>
          <w:rFonts w:ascii="Times New Roman" w:hAnsi="Times New Roman"/>
          <w:sz w:val="20"/>
          <w:szCs w:val="20"/>
        </w:rPr>
        <w:t>Indian non-ferrous metals industry in the future. A major push is expected to</w:t>
      </w:r>
      <w:r>
        <w:rPr>
          <w:rFonts w:ascii="Times New Roman" w:hAnsi="Times New Roman"/>
          <w:sz w:val="20"/>
          <w:szCs w:val="20"/>
        </w:rPr>
        <w:t xml:space="preserve"> </w:t>
      </w:r>
      <w:r w:rsidRPr="0014720C">
        <w:rPr>
          <w:rFonts w:ascii="Times New Roman" w:hAnsi="Times New Roman"/>
          <w:sz w:val="20"/>
          <w:szCs w:val="20"/>
        </w:rPr>
        <w:t>emerge from the g</w:t>
      </w:r>
      <w:r>
        <w:rPr>
          <w:rFonts w:ascii="Times New Roman" w:hAnsi="Times New Roman"/>
          <w:sz w:val="20"/>
          <w:szCs w:val="20"/>
        </w:rPr>
        <w:t>overnments ‘Make in India’</w:t>
      </w:r>
      <w:r w:rsidRPr="0014720C">
        <w:rPr>
          <w:rFonts w:ascii="Times New Roman" w:hAnsi="Times New Roman"/>
          <w:sz w:val="20"/>
          <w:szCs w:val="20"/>
        </w:rPr>
        <w:t xml:space="preserve"> initiative, which aims to increase</w:t>
      </w:r>
      <w:r>
        <w:rPr>
          <w:rFonts w:ascii="Times New Roman" w:hAnsi="Times New Roman"/>
          <w:sz w:val="20"/>
          <w:szCs w:val="20"/>
        </w:rPr>
        <w:t xml:space="preserve"> </w:t>
      </w:r>
      <w:r w:rsidRPr="0014720C">
        <w:rPr>
          <w:rFonts w:ascii="Times New Roman" w:hAnsi="Times New Roman"/>
          <w:sz w:val="20"/>
          <w:szCs w:val="20"/>
        </w:rPr>
        <w:t>the manufacturing share of GDP from the present 17 per cent to 25 per cent by</w:t>
      </w:r>
      <w:r>
        <w:rPr>
          <w:rFonts w:ascii="Times New Roman" w:hAnsi="Times New Roman"/>
          <w:sz w:val="20"/>
          <w:szCs w:val="20"/>
        </w:rPr>
        <w:t xml:space="preserve"> </w:t>
      </w:r>
      <w:r w:rsidRPr="0014720C">
        <w:rPr>
          <w:rFonts w:ascii="Times New Roman" w:hAnsi="Times New Roman"/>
          <w:sz w:val="20"/>
          <w:szCs w:val="20"/>
        </w:rPr>
        <w:t>the end of 2025. Under this initiative, the government has identified 25</w:t>
      </w:r>
      <w:r>
        <w:rPr>
          <w:rFonts w:ascii="Times New Roman" w:hAnsi="Times New Roman"/>
          <w:sz w:val="20"/>
          <w:szCs w:val="20"/>
        </w:rPr>
        <w:t xml:space="preserve"> </w:t>
      </w:r>
      <w:r w:rsidRPr="0014720C">
        <w:rPr>
          <w:rFonts w:ascii="Times New Roman" w:hAnsi="Times New Roman"/>
          <w:sz w:val="20"/>
          <w:szCs w:val="20"/>
        </w:rPr>
        <w:t>sectors such as Automotive, Power, Defence manufacturing, etc. which have</w:t>
      </w:r>
      <w:r>
        <w:rPr>
          <w:rFonts w:ascii="Times New Roman" w:hAnsi="Times New Roman"/>
          <w:sz w:val="20"/>
          <w:szCs w:val="20"/>
        </w:rPr>
        <w:t xml:space="preserve"> </w:t>
      </w:r>
      <w:r w:rsidRPr="0014720C">
        <w:rPr>
          <w:rFonts w:ascii="Times New Roman" w:hAnsi="Times New Roman"/>
          <w:sz w:val="20"/>
          <w:szCs w:val="20"/>
        </w:rPr>
        <w:t>extensive applications of various non-ferrous metals, and therefore, can provide</w:t>
      </w:r>
      <w:r>
        <w:rPr>
          <w:rFonts w:ascii="Times New Roman" w:hAnsi="Times New Roman"/>
          <w:sz w:val="20"/>
          <w:szCs w:val="20"/>
        </w:rPr>
        <w:t xml:space="preserve"> </w:t>
      </w:r>
      <w:r w:rsidRPr="0014720C">
        <w:rPr>
          <w:rFonts w:ascii="Times New Roman" w:hAnsi="Times New Roman"/>
          <w:sz w:val="20"/>
          <w:szCs w:val="20"/>
        </w:rPr>
        <w:t>a boost to the industry. Furthermore, these metals are witnessing increasing</w:t>
      </w:r>
      <w:r>
        <w:rPr>
          <w:rFonts w:ascii="Times New Roman" w:hAnsi="Times New Roman"/>
          <w:sz w:val="20"/>
          <w:szCs w:val="20"/>
        </w:rPr>
        <w:t xml:space="preserve"> </w:t>
      </w:r>
      <w:r w:rsidRPr="0014720C">
        <w:rPr>
          <w:rFonts w:ascii="Times New Roman" w:hAnsi="Times New Roman"/>
          <w:sz w:val="20"/>
          <w:szCs w:val="20"/>
        </w:rPr>
        <w:t>applications in the existing sectors as well as exploring many newer</w:t>
      </w:r>
      <w:r>
        <w:rPr>
          <w:rFonts w:ascii="Times New Roman" w:hAnsi="Times New Roman"/>
          <w:sz w:val="20"/>
          <w:szCs w:val="20"/>
        </w:rPr>
        <w:t xml:space="preserve"> </w:t>
      </w:r>
      <w:r w:rsidRPr="0014720C">
        <w:rPr>
          <w:rFonts w:ascii="Times New Roman" w:hAnsi="Times New Roman"/>
          <w:sz w:val="20"/>
          <w:szCs w:val="20"/>
        </w:rPr>
        <w:t>applications.</w:t>
      </w:r>
    </w:p>
    <w:p w14:paraId="4A47563E" w14:textId="77777777" w:rsidR="00D60649" w:rsidRDefault="00D60649" w:rsidP="00D60649">
      <w:pPr>
        <w:spacing w:after="0" w:line="240" w:lineRule="auto"/>
        <w:ind w:left="-284" w:right="-283"/>
        <w:jc w:val="both"/>
        <w:rPr>
          <w:rFonts w:ascii="Times New Roman" w:hAnsi="Times New Roman"/>
          <w:sz w:val="20"/>
          <w:szCs w:val="20"/>
        </w:rPr>
      </w:pPr>
    </w:p>
    <w:p w14:paraId="2DC46BCE" w14:textId="663A92FD" w:rsidR="00D60649" w:rsidRPr="00370473" w:rsidRDefault="00D60649" w:rsidP="00D60649">
      <w:pPr>
        <w:spacing w:after="0" w:line="240" w:lineRule="auto"/>
        <w:ind w:left="-284" w:right="-283" w:firstLine="284"/>
        <w:jc w:val="both"/>
        <w:rPr>
          <w:rFonts w:ascii="Times New Roman" w:hAnsi="Times New Roman"/>
          <w:i/>
          <w:sz w:val="20"/>
          <w:szCs w:val="20"/>
        </w:rPr>
      </w:pPr>
      <w:r w:rsidRPr="00370473">
        <w:rPr>
          <w:rFonts w:ascii="Times New Roman" w:hAnsi="Times New Roman"/>
          <w:i/>
          <w:sz w:val="20"/>
          <w:szCs w:val="20"/>
        </w:rPr>
        <w:t xml:space="preserve">(Source: </w:t>
      </w:r>
      <w:hyperlink r:id="rId9" w:history="1">
        <w:r w:rsidR="00D55EC1" w:rsidRPr="00241637">
          <w:rPr>
            <w:rStyle w:val="Hyperlink"/>
            <w:rFonts w:ascii="Times New Roman" w:hAnsi="Times New Roman"/>
            <w:i/>
            <w:sz w:val="20"/>
            <w:szCs w:val="20"/>
          </w:rPr>
          <w:t>https://mines.gov.in/writereaddata/UploadFile/NFMScrapRecyclingFramework3.pdf</w:t>
        </w:r>
      </w:hyperlink>
      <w:r w:rsidRPr="00370473">
        <w:rPr>
          <w:rFonts w:ascii="Times New Roman" w:hAnsi="Times New Roman"/>
          <w:i/>
          <w:sz w:val="20"/>
          <w:szCs w:val="20"/>
        </w:rPr>
        <w:t>)</w:t>
      </w:r>
    </w:p>
    <w:p w14:paraId="375394BD" w14:textId="2E6621A7" w:rsidR="00F8631B" w:rsidRPr="00712F3C" w:rsidRDefault="00F8631B" w:rsidP="00F8631B">
      <w:pPr>
        <w:autoSpaceDE w:val="0"/>
        <w:autoSpaceDN w:val="0"/>
        <w:adjustRightInd w:val="0"/>
        <w:spacing w:after="0" w:line="240" w:lineRule="auto"/>
        <w:jc w:val="both"/>
        <w:rPr>
          <w:rFonts w:ascii="Times New Roman" w:hAnsi="Times New Roman"/>
          <w:sz w:val="20"/>
          <w:szCs w:val="20"/>
        </w:rPr>
      </w:pPr>
    </w:p>
    <w:bookmarkEnd w:id="1"/>
    <w:p w14:paraId="257D7BD0" w14:textId="77777777" w:rsidR="00F8631B" w:rsidRPr="00712F3C" w:rsidRDefault="00F8631B">
      <w:pPr>
        <w:numPr>
          <w:ilvl w:val="0"/>
          <w:numId w:val="163"/>
        </w:numPr>
        <w:spacing w:after="0" w:line="240" w:lineRule="auto"/>
        <w:rPr>
          <w:rFonts w:ascii="Times New Roman" w:hAnsi="Times New Roman"/>
          <w:b/>
          <w:bCs/>
          <w:sz w:val="20"/>
          <w:szCs w:val="20"/>
          <w:u w:val="single"/>
        </w:rPr>
      </w:pPr>
      <w:r w:rsidRPr="00712F3C">
        <w:rPr>
          <w:rFonts w:ascii="Times New Roman" w:hAnsi="Times New Roman"/>
          <w:b/>
          <w:bCs/>
          <w:sz w:val="20"/>
          <w:szCs w:val="20"/>
          <w:u w:val="single"/>
        </w:rPr>
        <w:t>PROMOTERS</w:t>
      </w:r>
    </w:p>
    <w:p w14:paraId="5A03A736" w14:textId="77777777" w:rsidR="00F8631B" w:rsidRPr="00712F3C" w:rsidRDefault="00F8631B" w:rsidP="00F8631B">
      <w:pPr>
        <w:spacing w:after="0" w:line="240" w:lineRule="auto"/>
        <w:rPr>
          <w:rFonts w:ascii="Times New Roman" w:hAnsi="Times New Roman"/>
          <w:b/>
          <w:iCs/>
          <w:sz w:val="20"/>
          <w:szCs w:val="20"/>
        </w:rPr>
      </w:pPr>
    </w:p>
    <w:p w14:paraId="5932BBDA" w14:textId="47A3B506" w:rsidR="00F8631B" w:rsidRPr="00712F3C" w:rsidRDefault="00681211" w:rsidP="00F8631B">
      <w:pPr>
        <w:spacing w:after="0" w:line="240" w:lineRule="auto"/>
        <w:rPr>
          <w:rFonts w:ascii="Times New Roman" w:hAnsi="Times New Roman"/>
          <w:bCs/>
          <w:sz w:val="20"/>
          <w:szCs w:val="20"/>
        </w:rPr>
      </w:pPr>
      <w:r>
        <w:rPr>
          <w:rFonts w:ascii="Times New Roman" w:hAnsi="Times New Roman"/>
          <w:color w:val="000000"/>
          <w:sz w:val="20"/>
          <w:szCs w:val="20"/>
        </w:rPr>
        <w:t xml:space="preserve">Dwarkadhish Venture Private Limited </w:t>
      </w:r>
      <w:r w:rsidRPr="00792E9D">
        <w:rPr>
          <w:rFonts w:ascii="Times New Roman" w:hAnsi="Times New Roman"/>
          <w:i/>
          <w:iCs/>
          <w:color w:val="000000"/>
          <w:sz w:val="20"/>
          <w:szCs w:val="20"/>
        </w:rPr>
        <w:t>(formerly known as Siyaram Metals Private Limited)</w:t>
      </w:r>
      <w:r w:rsidRPr="00712F3C">
        <w:rPr>
          <w:rFonts w:ascii="Times New Roman" w:hAnsi="Times New Roman"/>
          <w:color w:val="000000"/>
          <w:sz w:val="20"/>
          <w:szCs w:val="20"/>
        </w:rPr>
        <w:t xml:space="preserve">, </w:t>
      </w:r>
      <w:r w:rsidRPr="00792E9D">
        <w:rPr>
          <w:rFonts w:ascii="Times New Roman" w:hAnsi="Times New Roman"/>
          <w:color w:val="000000"/>
          <w:sz w:val="20"/>
          <w:szCs w:val="20"/>
        </w:rPr>
        <w:t xml:space="preserve">Ramgopal Ochhavlal Maheshwari </w:t>
      </w:r>
      <w:r w:rsidRPr="00712F3C">
        <w:rPr>
          <w:rFonts w:ascii="Times New Roman" w:hAnsi="Times New Roman"/>
          <w:color w:val="000000"/>
          <w:sz w:val="20"/>
          <w:szCs w:val="20"/>
        </w:rPr>
        <w:t>and</w:t>
      </w:r>
      <w:r>
        <w:rPr>
          <w:rFonts w:ascii="Times New Roman" w:hAnsi="Times New Roman"/>
          <w:color w:val="000000"/>
          <w:sz w:val="20"/>
          <w:szCs w:val="20"/>
        </w:rPr>
        <w:t xml:space="preserve"> </w:t>
      </w:r>
      <w:r w:rsidRPr="00792E9D">
        <w:rPr>
          <w:rFonts w:ascii="Times New Roman" w:hAnsi="Times New Roman"/>
          <w:color w:val="000000"/>
          <w:sz w:val="20"/>
          <w:szCs w:val="20"/>
        </w:rPr>
        <w:t>Bhavesh Ramgopal Maheshwari</w:t>
      </w:r>
      <w:r w:rsidR="00F8631B" w:rsidRPr="00712F3C">
        <w:rPr>
          <w:rFonts w:ascii="Times New Roman" w:eastAsia="MS Mincho" w:hAnsi="Times New Roman"/>
          <w:sz w:val="20"/>
          <w:szCs w:val="20"/>
          <w:lang w:val="en-GB"/>
        </w:rPr>
        <w:t xml:space="preserve"> are </w:t>
      </w:r>
      <w:r w:rsidR="00F8631B" w:rsidRPr="00712F3C">
        <w:rPr>
          <w:rFonts w:ascii="Times New Roman" w:hAnsi="Times New Roman"/>
          <w:bCs/>
          <w:sz w:val="20"/>
          <w:szCs w:val="20"/>
        </w:rPr>
        <w:t>the Promoters of our Company.</w:t>
      </w:r>
    </w:p>
    <w:p w14:paraId="0A5D6FFE" w14:textId="77777777" w:rsidR="00F8631B" w:rsidRPr="00712F3C" w:rsidRDefault="00F8631B" w:rsidP="00F8631B">
      <w:pPr>
        <w:spacing w:after="0" w:line="240" w:lineRule="auto"/>
        <w:rPr>
          <w:rFonts w:ascii="Times New Roman" w:hAnsi="Times New Roman"/>
          <w:bCs/>
          <w:sz w:val="20"/>
          <w:szCs w:val="20"/>
        </w:rPr>
      </w:pPr>
    </w:p>
    <w:p w14:paraId="3D9E15ED" w14:textId="77777777" w:rsidR="00F8631B" w:rsidRPr="00712F3C" w:rsidRDefault="00F8631B">
      <w:pPr>
        <w:numPr>
          <w:ilvl w:val="0"/>
          <w:numId w:val="163"/>
        </w:numPr>
        <w:spacing w:after="0" w:line="240" w:lineRule="auto"/>
        <w:rPr>
          <w:rFonts w:ascii="Times New Roman" w:hAnsi="Times New Roman"/>
          <w:b/>
          <w:bCs/>
          <w:sz w:val="20"/>
          <w:szCs w:val="20"/>
          <w:u w:val="single"/>
        </w:rPr>
      </w:pPr>
      <w:r w:rsidRPr="00712F3C">
        <w:rPr>
          <w:rFonts w:ascii="Times New Roman" w:hAnsi="Times New Roman"/>
          <w:b/>
          <w:bCs/>
          <w:sz w:val="20"/>
          <w:szCs w:val="20"/>
          <w:u w:val="single"/>
        </w:rPr>
        <w:t>DETAILS OF THE ISSUE</w:t>
      </w:r>
    </w:p>
    <w:p w14:paraId="74BBF6D7" w14:textId="77777777" w:rsidR="00F8631B" w:rsidRPr="00712F3C" w:rsidRDefault="00F8631B" w:rsidP="00F8631B">
      <w:pPr>
        <w:spacing w:after="0" w:line="240" w:lineRule="auto"/>
        <w:rPr>
          <w:rFonts w:ascii="Times New Roman" w:hAnsi="Times New Roman"/>
          <w:b/>
          <w:iCs/>
          <w:sz w:val="20"/>
          <w:szCs w:val="20"/>
          <w:u w:val="single"/>
        </w:rPr>
      </w:pPr>
    </w:p>
    <w:p w14:paraId="69F99CD3" w14:textId="3348A208" w:rsidR="00F8631B" w:rsidRPr="00712F3C" w:rsidRDefault="00F8631B" w:rsidP="00F8631B">
      <w:pPr>
        <w:spacing w:after="0" w:line="240" w:lineRule="auto"/>
        <w:jc w:val="both"/>
        <w:rPr>
          <w:rFonts w:ascii="Times New Roman" w:eastAsia="MS Mincho" w:hAnsi="Times New Roman"/>
          <w:bCs/>
          <w:color w:val="000000"/>
          <w:sz w:val="20"/>
          <w:szCs w:val="20"/>
        </w:rPr>
      </w:pPr>
      <w:r w:rsidRPr="00712F3C">
        <w:rPr>
          <w:rFonts w:ascii="Times New Roman" w:hAnsi="Times New Roman"/>
          <w:iCs/>
          <w:sz w:val="20"/>
          <w:szCs w:val="20"/>
        </w:rPr>
        <w:t xml:space="preserve">This is an Initial Public Issue of upto </w:t>
      </w:r>
      <w:r w:rsidR="00681211">
        <w:rPr>
          <w:rFonts w:ascii="Times New Roman" w:hAnsi="Times New Roman"/>
          <w:iCs/>
          <w:sz w:val="20"/>
          <w:szCs w:val="20"/>
        </w:rPr>
        <w:t>49,92</w:t>
      </w:r>
      <w:r w:rsidRPr="00712F3C">
        <w:rPr>
          <w:rFonts w:ascii="Times New Roman" w:hAnsi="Times New Roman"/>
          <w:iCs/>
          <w:sz w:val="20"/>
          <w:szCs w:val="20"/>
        </w:rPr>
        <w:t xml:space="preserve">,000 Equity Shares of face value of ₹ 10 each of our Company for cash at a price of ₹ </w:t>
      </w:r>
      <w:r w:rsidRPr="00712F3C">
        <w:rPr>
          <w:rFonts w:ascii="Times New Roman" w:eastAsia="MS Mincho" w:hAnsi="Times New Roman"/>
          <w:color w:val="000000"/>
          <w:sz w:val="20"/>
          <w:szCs w:val="20"/>
          <w:lang w:val="en-GB"/>
        </w:rPr>
        <w:t>[●] per Equity Share (including a share premium of ₹ [●] per Equity Share) aggregating to ₹ [●] lakhs (</w:t>
      </w:r>
      <w:r w:rsidRPr="00712F3C">
        <w:rPr>
          <w:rFonts w:ascii="Times New Roman" w:eastAsia="MS Mincho" w:hAnsi="Times New Roman"/>
          <w:b/>
          <w:color w:val="000000"/>
          <w:sz w:val="20"/>
          <w:szCs w:val="20"/>
          <w:lang w:val="en-GB"/>
        </w:rPr>
        <w:t>“The Issue”</w:t>
      </w:r>
      <w:r w:rsidRPr="00712F3C">
        <w:rPr>
          <w:rFonts w:ascii="Times New Roman" w:eastAsia="MS Mincho" w:hAnsi="Times New Roman"/>
          <w:color w:val="000000"/>
          <w:sz w:val="20"/>
          <w:szCs w:val="20"/>
          <w:lang w:val="en-GB"/>
        </w:rPr>
        <w:t xml:space="preserve">), out of which [●] Equity Shares of face value of ₹ 10 each for cash at a price of ₹ [●] per Equity Share aggregating up to ₹ [●] lakhs will be reserved for subscription by the market maker to the issue (the </w:t>
      </w:r>
      <w:r w:rsidRPr="00712F3C">
        <w:rPr>
          <w:rFonts w:ascii="Times New Roman" w:eastAsia="MS Mincho" w:hAnsi="Times New Roman"/>
          <w:b/>
          <w:color w:val="000000"/>
          <w:sz w:val="20"/>
          <w:szCs w:val="20"/>
          <w:lang w:val="en-GB"/>
        </w:rPr>
        <w:t>“Market Maker Reservation Portion”</w:t>
      </w:r>
      <w:r w:rsidRPr="00712F3C">
        <w:rPr>
          <w:rFonts w:ascii="Times New Roman" w:eastAsia="MS Mincho" w:hAnsi="Times New Roman"/>
          <w:color w:val="000000"/>
          <w:sz w:val="20"/>
          <w:szCs w:val="20"/>
          <w:lang w:val="en-GB"/>
        </w:rPr>
        <w:t xml:space="preserve">). </w:t>
      </w:r>
      <w:r w:rsidRPr="00712F3C">
        <w:rPr>
          <w:rFonts w:ascii="Times New Roman" w:eastAsia="MS Mincho" w:hAnsi="Times New Roman"/>
          <w:bCs/>
          <w:color w:val="000000"/>
          <w:sz w:val="20"/>
          <w:szCs w:val="20"/>
        </w:rPr>
        <w:t>The Issue less Market Maker Reservation Portion i.e.</w:t>
      </w:r>
      <w:r w:rsidR="00681211">
        <w:rPr>
          <w:rFonts w:ascii="Times New Roman" w:eastAsia="MS Mincho" w:hAnsi="Times New Roman"/>
          <w:bCs/>
          <w:color w:val="000000"/>
          <w:sz w:val="20"/>
          <w:szCs w:val="20"/>
        </w:rPr>
        <w:t>,</w:t>
      </w:r>
      <w:r w:rsidRPr="00712F3C">
        <w:rPr>
          <w:rFonts w:ascii="Times New Roman" w:eastAsia="MS Mincho" w:hAnsi="Times New Roman"/>
          <w:bCs/>
          <w:color w:val="000000"/>
          <w:sz w:val="20"/>
          <w:szCs w:val="20"/>
        </w:rPr>
        <w:t xml:space="preserve"> Issue of </w:t>
      </w:r>
      <w:r w:rsidRPr="00712F3C">
        <w:rPr>
          <w:rFonts w:ascii="Times New Roman" w:eastAsia="MS Mincho" w:hAnsi="Times New Roman"/>
          <w:color w:val="000000"/>
          <w:sz w:val="20"/>
          <w:szCs w:val="20"/>
          <w:lang w:val="en-GB"/>
        </w:rPr>
        <w:t xml:space="preserve">[●] </w:t>
      </w:r>
      <w:r w:rsidRPr="00712F3C">
        <w:rPr>
          <w:rFonts w:ascii="Times New Roman" w:eastAsia="MS Mincho" w:hAnsi="Times New Roman"/>
          <w:bCs/>
          <w:color w:val="000000"/>
          <w:sz w:val="20"/>
          <w:szCs w:val="20"/>
        </w:rPr>
        <w:t xml:space="preserve">Equity Shares of face value of ₹ 10 each, at an issue price of ₹ </w:t>
      </w:r>
      <w:r w:rsidRPr="00712F3C">
        <w:rPr>
          <w:rFonts w:ascii="Times New Roman" w:eastAsia="MS Mincho" w:hAnsi="Times New Roman"/>
          <w:color w:val="000000"/>
          <w:sz w:val="20"/>
          <w:szCs w:val="20"/>
          <w:lang w:val="en-GB"/>
        </w:rPr>
        <w:t>[●]</w:t>
      </w:r>
      <w:r w:rsidRPr="00712F3C">
        <w:rPr>
          <w:rFonts w:ascii="Times New Roman" w:eastAsia="MS Mincho" w:hAnsi="Times New Roman"/>
          <w:bCs/>
          <w:color w:val="000000"/>
          <w:sz w:val="20"/>
          <w:szCs w:val="20"/>
        </w:rPr>
        <w:t xml:space="preserve"> per Equity Share for cash, aggregating to ₹ </w:t>
      </w:r>
      <w:r w:rsidRPr="00712F3C">
        <w:rPr>
          <w:rFonts w:ascii="Times New Roman" w:eastAsia="MS Mincho" w:hAnsi="Times New Roman"/>
          <w:color w:val="000000"/>
          <w:sz w:val="20"/>
          <w:szCs w:val="20"/>
          <w:lang w:val="en-GB"/>
        </w:rPr>
        <w:t>[●]</w:t>
      </w:r>
      <w:r w:rsidRPr="00712F3C">
        <w:rPr>
          <w:rFonts w:ascii="Times New Roman" w:eastAsia="MS Mincho" w:hAnsi="Times New Roman"/>
          <w:bCs/>
          <w:color w:val="000000"/>
          <w:sz w:val="20"/>
          <w:szCs w:val="20"/>
        </w:rPr>
        <w:t xml:space="preserve"> lakhs is hereinafter referred to as the </w:t>
      </w:r>
      <w:r w:rsidRPr="00712F3C">
        <w:rPr>
          <w:rFonts w:ascii="Times New Roman" w:eastAsia="MS Mincho" w:hAnsi="Times New Roman"/>
          <w:b/>
          <w:bCs/>
          <w:color w:val="000000"/>
          <w:sz w:val="20"/>
          <w:szCs w:val="20"/>
        </w:rPr>
        <w:t>“Net Issue”</w:t>
      </w:r>
      <w:r w:rsidRPr="00712F3C">
        <w:rPr>
          <w:rFonts w:ascii="Times New Roman" w:eastAsia="MS Mincho" w:hAnsi="Times New Roman"/>
          <w:bCs/>
          <w:color w:val="000000"/>
          <w:sz w:val="20"/>
          <w:szCs w:val="20"/>
        </w:rPr>
        <w:t xml:space="preserve">. The Public Issue and Net Issue will constitute </w:t>
      </w:r>
      <w:r w:rsidRPr="00712F3C">
        <w:rPr>
          <w:rFonts w:ascii="Times New Roman" w:eastAsia="MS Mincho" w:hAnsi="Times New Roman"/>
          <w:color w:val="000000"/>
          <w:sz w:val="20"/>
          <w:szCs w:val="20"/>
          <w:lang w:val="en-GB"/>
        </w:rPr>
        <w:t>26.79</w:t>
      </w:r>
      <w:r w:rsidRPr="00712F3C">
        <w:rPr>
          <w:rFonts w:ascii="Times New Roman" w:eastAsia="MS Mincho" w:hAnsi="Times New Roman"/>
          <w:bCs/>
          <w:color w:val="000000"/>
          <w:sz w:val="20"/>
          <w:szCs w:val="20"/>
        </w:rPr>
        <w:t xml:space="preserve">% and </w:t>
      </w:r>
      <w:r w:rsidRPr="00712F3C">
        <w:rPr>
          <w:rFonts w:ascii="Times New Roman" w:eastAsia="MS Mincho" w:hAnsi="Times New Roman"/>
          <w:color w:val="000000"/>
          <w:sz w:val="20"/>
          <w:szCs w:val="20"/>
          <w:lang w:val="en-GB"/>
        </w:rPr>
        <w:t xml:space="preserve">[●] </w:t>
      </w:r>
      <w:r w:rsidRPr="00712F3C">
        <w:rPr>
          <w:rFonts w:ascii="Times New Roman" w:eastAsia="MS Mincho" w:hAnsi="Times New Roman"/>
          <w:bCs/>
          <w:color w:val="000000"/>
          <w:sz w:val="20"/>
          <w:szCs w:val="20"/>
        </w:rPr>
        <w:t>% respectively of the post- issue paid-up Equity Share capital of our Company.</w:t>
      </w:r>
    </w:p>
    <w:p w14:paraId="28023B45" w14:textId="77777777" w:rsidR="00F8631B" w:rsidRPr="00712F3C" w:rsidRDefault="00F8631B" w:rsidP="00F8631B">
      <w:pPr>
        <w:spacing w:after="0" w:line="240" w:lineRule="auto"/>
        <w:jc w:val="both"/>
        <w:rPr>
          <w:rFonts w:ascii="Times New Roman" w:eastAsia="MS Mincho" w:hAnsi="Times New Roman"/>
          <w:bCs/>
          <w:color w:val="000000"/>
          <w:sz w:val="20"/>
          <w:szCs w:val="20"/>
        </w:rPr>
      </w:pPr>
    </w:p>
    <w:p w14:paraId="78A8A021" w14:textId="77777777" w:rsidR="00F8631B" w:rsidRPr="00712F3C" w:rsidRDefault="00F8631B">
      <w:pPr>
        <w:numPr>
          <w:ilvl w:val="0"/>
          <w:numId w:val="163"/>
        </w:numPr>
        <w:spacing w:after="0" w:line="240" w:lineRule="auto"/>
        <w:rPr>
          <w:rFonts w:ascii="Times New Roman" w:hAnsi="Times New Roman"/>
          <w:b/>
          <w:bCs/>
          <w:sz w:val="20"/>
          <w:szCs w:val="20"/>
          <w:u w:val="single"/>
        </w:rPr>
      </w:pPr>
      <w:r w:rsidRPr="00712F3C">
        <w:rPr>
          <w:rFonts w:ascii="Times New Roman" w:hAnsi="Times New Roman"/>
          <w:b/>
          <w:bCs/>
          <w:sz w:val="20"/>
          <w:szCs w:val="20"/>
          <w:u w:val="single"/>
        </w:rPr>
        <w:t>OBJECTS OF THE ISSUE</w:t>
      </w:r>
    </w:p>
    <w:p w14:paraId="7813F890" w14:textId="77777777" w:rsidR="00F8631B" w:rsidRPr="00712F3C" w:rsidRDefault="00F8631B" w:rsidP="00F8631B">
      <w:pPr>
        <w:spacing w:after="0" w:line="240" w:lineRule="auto"/>
        <w:jc w:val="both"/>
        <w:rPr>
          <w:rFonts w:ascii="Times New Roman" w:eastAsia="MS Mincho" w:hAnsi="Times New Roman"/>
          <w:b/>
          <w:bCs/>
          <w:color w:val="000000"/>
          <w:sz w:val="20"/>
          <w:szCs w:val="20"/>
          <w:u w:val="single"/>
        </w:rPr>
      </w:pPr>
    </w:p>
    <w:p w14:paraId="31339FC7" w14:textId="4334C705" w:rsidR="00F8631B" w:rsidRPr="00712F3C" w:rsidRDefault="00F8631B" w:rsidP="00F8631B">
      <w:pPr>
        <w:spacing w:after="0" w:line="240" w:lineRule="auto"/>
        <w:jc w:val="both"/>
        <w:rPr>
          <w:rFonts w:ascii="Times New Roman" w:hAnsi="Times New Roman"/>
          <w:sz w:val="20"/>
          <w:szCs w:val="20"/>
        </w:rPr>
      </w:pPr>
      <w:r w:rsidRPr="00712F3C">
        <w:rPr>
          <w:rFonts w:ascii="Times New Roman" w:eastAsia="MS Mincho" w:hAnsi="Times New Roman"/>
          <w:color w:val="000000"/>
          <w:sz w:val="20"/>
          <w:szCs w:val="20"/>
          <w:lang w:val="en-GB"/>
        </w:rPr>
        <w:t xml:space="preserve">Our Company </w:t>
      </w:r>
      <w:r w:rsidRPr="00712F3C">
        <w:rPr>
          <w:rFonts w:ascii="Times New Roman" w:hAnsi="Times New Roman"/>
          <w:sz w:val="20"/>
          <w:szCs w:val="20"/>
        </w:rPr>
        <w:t>intends to utilize the Proceeds of the Issue to meet the following objects:</w:t>
      </w:r>
    </w:p>
    <w:p w14:paraId="24856BB0" w14:textId="77777777" w:rsidR="00F8631B" w:rsidRPr="00712F3C" w:rsidRDefault="00F8631B" w:rsidP="00F8631B">
      <w:pPr>
        <w:spacing w:after="0" w:line="240" w:lineRule="auto"/>
        <w:jc w:val="both"/>
        <w:rPr>
          <w:rFonts w:ascii="Times New Roman" w:hAnsi="Times New Roman"/>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9"/>
        <w:gridCol w:w="7408"/>
        <w:gridCol w:w="2240"/>
      </w:tblGrid>
      <w:tr w:rsidR="00F8631B" w:rsidRPr="00712F3C" w14:paraId="1554047C" w14:textId="77777777" w:rsidTr="00250DAC">
        <w:trPr>
          <w:trHeight w:val="20"/>
        </w:trPr>
        <w:tc>
          <w:tcPr>
            <w:tcW w:w="387" w:type="pct"/>
            <w:shd w:val="clear" w:color="auto" w:fill="D0CECE" w:themeFill="background2" w:themeFillShade="E6"/>
            <w:noWrap/>
            <w:hideMark/>
          </w:tcPr>
          <w:p w14:paraId="2D8102F9" w14:textId="77777777" w:rsidR="00F8631B" w:rsidRPr="00712F3C" w:rsidRDefault="00F8631B" w:rsidP="00250DAC">
            <w:pPr>
              <w:spacing w:after="0" w:line="240" w:lineRule="auto"/>
              <w:jc w:val="both"/>
              <w:rPr>
                <w:rFonts w:ascii="Times New Roman" w:hAnsi="Times New Roman"/>
                <w:b/>
                <w:bCs/>
                <w:iCs/>
                <w:sz w:val="20"/>
                <w:szCs w:val="20"/>
                <w:lang w:val="en-GB"/>
              </w:rPr>
            </w:pPr>
            <w:r w:rsidRPr="00712F3C">
              <w:rPr>
                <w:rFonts w:ascii="Times New Roman" w:hAnsi="Times New Roman"/>
                <w:b/>
                <w:bCs/>
                <w:iCs/>
                <w:sz w:val="20"/>
                <w:szCs w:val="20"/>
                <w:lang w:val="en-GB"/>
              </w:rPr>
              <w:t>Sr. No.</w:t>
            </w:r>
          </w:p>
        </w:tc>
        <w:tc>
          <w:tcPr>
            <w:tcW w:w="3542" w:type="pct"/>
            <w:shd w:val="clear" w:color="auto" w:fill="D0CECE" w:themeFill="background2" w:themeFillShade="E6"/>
            <w:noWrap/>
            <w:hideMark/>
          </w:tcPr>
          <w:p w14:paraId="495BE199" w14:textId="77777777" w:rsidR="00F8631B" w:rsidRPr="00712F3C" w:rsidRDefault="00F8631B" w:rsidP="00250DAC">
            <w:pPr>
              <w:spacing w:after="0" w:line="240" w:lineRule="auto"/>
              <w:jc w:val="both"/>
              <w:rPr>
                <w:rFonts w:ascii="Times New Roman" w:hAnsi="Times New Roman"/>
                <w:b/>
                <w:bCs/>
                <w:iCs/>
                <w:sz w:val="20"/>
                <w:szCs w:val="20"/>
                <w:lang w:val="en-GB"/>
              </w:rPr>
            </w:pPr>
            <w:r w:rsidRPr="00712F3C">
              <w:rPr>
                <w:rFonts w:ascii="Times New Roman" w:hAnsi="Times New Roman"/>
                <w:b/>
                <w:bCs/>
                <w:iCs/>
                <w:sz w:val="20"/>
                <w:szCs w:val="20"/>
                <w:lang w:val="en-GB"/>
              </w:rPr>
              <w:t>Particulars</w:t>
            </w:r>
          </w:p>
        </w:tc>
        <w:tc>
          <w:tcPr>
            <w:tcW w:w="1071" w:type="pct"/>
            <w:shd w:val="clear" w:color="auto" w:fill="D0CECE" w:themeFill="background2" w:themeFillShade="E6"/>
            <w:noWrap/>
            <w:hideMark/>
          </w:tcPr>
          <w:p w14:paraId="64EA8DEF" w14:textId="77777777" w:rsidR="00F8631B" w:rsidRPr="00712F3C" w:rsidRDefault="00F8631B" w:rsidP="00250DAC">
            <w:pPr>
              <w:spacing w:after="0" w:line="240" w:lineRule="auto"/>
              <w:jc w:val="center"/>
              <w:rPr>
                <w:rFonts w:ascii="Times New Roman" w:hAnsi="Times New Roman"/>
                <w:b/>
                <w:bCs/>
                <w:iCs/>
                <w:sz w:val="20"/>
                <w:szCs w:val="20"/>
                <w:lang w:val="en-GB"/>
              </w:rPr>
            </w:pPr>
            <w:r w:rsidRPr="00712F3C">
              <w:rPr>
                <w:rFonts w:ascii="Times New Roman" w:hAnsi="Times New Roman"/>
                <w:b/>
                <w:bCs/>
                <w:iCs/>
                <w:sz w:val="20"/>
                <w:szCs w:val="20"/>
                <w:lang w:val="en-GB"/>
              </w:rPr>
              <w:t>Amount (₹ in lakhs)</w:t>
            </w:r>
          </w:p>
        </w:tc>
      </w:tr>
      <w:tr w:rsidR="00F8631B" w:rsidRPr="00712F3C" w14:paraId="0AF26DA9" w14:textId="77777777" w:rsidTr="00250DAC">
        <w:trPr>
          <w:trHeight w:val="20"/>
        </w:trPr>
        <w:tc>
          <w:tcPr>
            <w:tcW w:w="387" w:type="pct"/>
            <w:shd w:val="clear" w:color="auto" w:fill="auto"/>
            <w:noWrap/>
          </w:tcPr>
          <w:p w14:paraId="7DB90A68" w14:textId="7A846C8A" w:rsidR="00F8631B" w:rsidRPr="00712F3C" w:rsidRDefault="00CB2D76" w:rsidP="00250DAC">
            <w:pPr>
              <w:spacing w:after="0" w:line="240" w:lineRule="auto"/>
              <w:jc w:val="both"/>
              <w:rPr>
                <w:rFonts w:ascii="Times New Roman" w:eastAsia="MS Mincho" w:hAnsi="Times New Roman"/>
                <w:color w:val="000000"/>
                <w:sz w:val="20"/>
                <w:szCs w:val="20"/>
                <w:lang w:val="en-GB"/>
              </w:rPr>
            </w:pPr>
            <w:r>
              <w:rPr>
                <w:rFonts w:ascii="Times New Roman" w:eastAsia="MS Mincho" w:hAnsi="Times New Roman"/>
                <w:color w:val="000000"/>
                <w:sz w:val="20"/>
                <w:szCs w:val="20"/>
                <w:lang w:val="en-GB"/>
              </w:rPr>
              <w:t>1</w:t>
            </w:r>
            <w:r w:rsidR="00F8631B" w:rsidRPr="00712F3C">
              <w:rPr>
                <w:rFonts w:ascii="Times New Roman" w:eastAsia="MS Mincho" w:hAnsi="Times New Roman"/>
                <w:color w:val="000000"/>
                <w:sz w:val="20"/>
                <w:szCs w:val="20"/>
                <w:lang w:val="en-GB"/>
              </w:rPr>
              <w:t>.</w:t>
            </w:r>
          </w:p>
        </w:tc>
        <w:tc>
          <w:tcPr>
            <w:tcW w:w="3542" w:type="pct"/>
            <w:shd w:val="clear" w:color="auto" w:fill="auto"/>
            <w:noWrap/>
          </w:tcPr>
          <w:p w14:paraId="3ED12780" w14:textId="4355F8EB" w:rsidR="00F8631B" w:rsidRPr="00681211" w:rsidRDefault="00CB2D76" w:rsidP="00250DAC">
            <w:pPr>
              <w:spacing w:after="0" w:line="240" w:lineRule="auto"/>
              <w:jc w:val="both"/>
              <w:rPr>
                <w:rFonts w:ascii="Times New Roman" w:eastAsia="MS Mincho" w:hAnsi="Times New Roman"/>
                <w:color w:val="000000"/>
                <w:sz w:val="20"/>
                <w:szCs w:val="20"/>
                <w:highlight w:val="yellow"/>
              </w:rPr>
            </w:pPr>
            <w:r w:rsidRPr="001A423D">
              <w:rPr>
                <w:rFonts w:ascii="Times New Roman" w:eastAsia="Calibri" w:hAnsi="Times New Roman"/>
                <w:sz w:val="20"/>
                <w:szCs w:val="20"/>
                <w:lang w:val="en-IN" w:eastAsia="en-IN"/>
              </w:rPr>
              <w:t xml:space="preserve">Repayment of </w:t>
            </w:r>
            <w:r>
              <w:rPr>
                <w:rFonts w:ascii="Times New Roman" w:eastAsia="Calibri" w:hAnsi="Times New Roman"/>
                <w:sz w:val="20"/>
                <w:szCs w:val="20"/>
                <w:lang w:val="en-IN" w:eastAsia="en-IN"/>
              </w:rPr>
              <w:t xml:space="preserve">a portion of </w:t>
            </w:r>
            <w:r w:rsidRPr="001A423D">
              <w:rPr>
                <w:rFonts w:ascii="Times New Roman" w:eastAsia="Calibri" w:hAnsi="Times New Roman"/>
                <w:sz w:val="20"/>
                <w:szCs w:val="20"/>
                <w:lang w:val="en-IN" w:eastAsia="en-IN"/>
              </w:rPr>
              <w:t>certain borrowing availed by our Company</w:t>
            </w:r>
          </w:p>
        </w:tc>
        <w:tc>
          <w:tcPr>
            <w:tcW w:w="1071" w:type="pct"/>
            <w:shd w:val="clear" w:color="auto" w:fill="auto"/>
            <w:noWrap/>
          </w:tcPr>
          <w:p w14:paraId="78E52CBE" w14:textId="64D301D5" w:rsidR="00F8631B" w:rsidRPr="00712F3C" w:rsidRDefault="00CB2D76" w:rsidP="00250DAC">
            <w:pPr>
              <w:spacing w:after="0" w:line="240" w:lineRule="auto"/>
              <w:jc w:val="center"/>
              <w:rPr>
                <w:rFonts w:ascii="Times New Roman" w:eastAsia="MS Mincho" w:hAnsi="Times New Roman"/>
                <w:color w:val="000000"/>
                <w:sz w:val="20"/>
                <w:szCs w:val="20"/>
                <w:lang w:val="en-GB"/>
              </w:rPr>
            </w:pPr>
            <w:r>
              <w:rPr>
                <w:rFonts w:ascii="Times New Roman" w:eastAsia="MS Mincho" w:hAnsi="Times New Roman"/>
                <w:color w:val="000000"/>
                <w:sz w:val="20"/>
                <w:szCs w:val="20"/>
                <w:lang w:val="en-GB"/>
              </w:rPr>
              <w:t>1800.00</w:t>
            </w:r>
          </w:p>
        </w:tc>
      </w:tr>
      <w:tr w:rsidR="00F8631B" w:rsidRPr="00712F3C" w14:paraId="3AD40130" w14:textId="77777777" w:rsidTr="00250DAC">
        <w:trPr>
          <w:trHeight w:val="20"/>
        </w:trPr>
        <w:tc>
          <w:tcPr>
            <w:tcW w:w="387" w:type="pct"/>
            <w:shd w:val="clear" w:color="auto" w:fill="auto"/>
            <w:noWrap/>
            <w:hideMark/>
          </w:tcPr>
          <w:p w14:paraId="1165B0F5" w14:textId="7C667F06" w:rsidR="00F8631B" w:rsidRPr="00712F3C" w:rsidRDefault="00CB2D76" w:rsidP="00250DAC">
            <w:pPr>
              <w:spacing w:after="0" w:line="240" w:lineRule="auto"/>
              <w:jc w:val="both"/>
              <w:rPr>
                <w:rFonts w:ascii="Times New Roman" w:eastAsia="MS Mincho" w:hAnsi="Times New Roman"/>
                <w:color w:val="000000"/>
                <w:sz w:val="20"/>
                <w:szCs w:val="20"/>
                <w:lang w:val="en-GB"/>
              </w:rPr>
            </w:pPr>
            <w:r>
              <w:rPr>
                <w:rFonts w:ascii="Times New Roman" w:eastAsia="MS Mincho" w:hAnsi="Times New Roman"/>
                <w:color w:val="000000"/>
                <w:sz w:val="20"/>
                <w:szCs w:val="20"/>
                <w:lang w:val="en-GB"/>
              </w:rPr>
              <w:t>2</w:t>
            </w:r>
            <w:r w:rsidR="00F8631B" w:rsidRPr="00712F3C">
              <w:rPr>
                <w:rFonts w:ascii="Times New Roman" w:eastAsia="MS Mincho" w:hAnsi="Times New Roman"/>
                <w:color w:val="000000"/>
                <w:sz w:val="20"/>
                <w:szCs w:val="20"/>
                <w:lang w:val="en-GB"/>
              </w:rPr>
              <w:t>.</w:t>
            </w:r>
          </w:p>
        </w:tc>
        <w:tc>
          <w:tcPr>
            <w:tcW w:w="3542" w:type="pct"/>
            <w:shd w:val="clear" w:color="auto" w:fill="auto"/>
            <w:noWrap/>
            <w:hideMark/>
          </w:tcPr>
          <w:p w14:paraId="05426233" w14:textId="77777777" w:rsidR="00F8631B" w:rsidRPr="00712F3C" w:rsidRDefault="00F8631B" w:rsidP="00250DAC">
            <w:pPr>
              <w:spacing w:after="0" w:line="240" w:lineRule="auto"/>
              <w:jc w:val="both"/>
              <w:rPr>
                <w:rFonts w:ascii="Times New Roman" w:eastAsia="MS Mincho" w:hAnsi="Times New Roman"/>
                <w:color w:val="000000"/>
                <w:sz w:val="20"/>
                <w:szCs w:val="20"/>
                <w:lang w:val="en-GB"/>
              </w:rPr>
            </w:pPr>
            <w:r w:rsidRPr="00712F3C">
              <w:rPr>
                <w:rFonts w:ascii="Times New Roman" w:eastAsia="MS Mincho" w:hAnsi="Times New Roman"/>
                <w:color w:val="000000"/>
                <w:sz w:val="20"/>
                <w:szCs w:val="20"/>
                <w:lang w:val="en-GB"/>
              </w:rPr>
              <w:t>General Corporate Purpose</w:t>
            </w:r>
          </w:p>
        </w:tc>
        <w:tc>
          <w:tcPr>
            <w:tcW w:w="1071" w:type="pct"/>
            <w:shd w:val="clear" w:color="auto" w:fill="auto"/>
            <w:noWrap/>
            <w:vAlign w:val="center"/>
            <w:hideMark/>
          </w:tcPr>
          <w:p w14:paraId="5EBE0509" w14:textId="77777777" w:rsidR="00F8631B" w:rsidRPr="00712F3C" w:rsidRDefault="00F8631B" w:rsidP="00250DAC">
            <w:pPr>
              <w:spacing w:after="0" w:line="240" w:lineRule="auto"/>
              <w:jc w:val="center"/>
              <w:rPr>
                <w:rFonts w:ascii="Times New Roman" w:eastAsia="MS Mincho" w:hAnsi="Times New Roman"/>
                <w:color w:val="000000"/>
                <w:sz w:val="20"/>
                <w:szCs w:val="20"/>
                <w:lang w:val="en-GB"/>
              </w:rPr>
            </w:pPr>
            <w:r w:rsidRPr="00712F3C">
              <w:rPr>
                <w:rFonts w:ascii="Times New Roman" w:eastAsia="MS Mincho" w:hAnsi="Times New Roman"/>
                <w:color w:val="000000"/>
                <w:sz w:val="20"/>
                <w:szCs w:val="20"/>
                <w:lang w:val="en-GB"/>
              </w:rPr>
              <w:t>[●]</w:t>
            </w:r>
          </w:p>
        </w:tc>
      </w:tr>
      <w:tr w:rsidR="00F8631B" w:rsidRPr="00712F3C" w14:paraId="2417DDE9" w14:textId="77777777" w:rsidTr="00250DAC">
        <w:trPr>
          <w:trHeight w:val="20"/>
        </w:trPr>
        <w:tc>
          <w:tcPr>
            <w:tcW w:w="387" w:type="pct"/>
            <w:shd w:val="clear" w:color="auto" w:fill="auto"/>
            <w:noWrap/>
            <w:hideMark/>
          </w:tcPr>
          <w:p w14:paraId="723E5CE2" w14:textId="77777777" w:rsidR="00F8631B" w:rsidRPr="00712F3C" w:rsidRDefault="00F8631B" w:rsidP="00250DAC">
            <w:pPr>
              <w:spacing w:after="0" w:line="240" w:lineRule="auto"/>
              <w:jc w:val="both"/>
              <w:rPr>
                <w:rFonts w:ascii="Times New Roman" w:eastAsia="Calibri" w:hAnsi="Times New Roman"/>
                <w:b/>
                <w:sz w:val="20"/>
                <w:szCs w:val="20"/>
                <w:u w:val="single"/>
              </w:rPr>
            </w:pPr>
          </w:p>
        </w:tc>
        <w:tc>
          <w:tcPr>
            <w:tcW w:w="3542" w:type="pct"/>
            <w:shd w:val="clear" w:color="auto" w:fill="auto"/>
            <w:hideMark/>
          </w:tcPr>
          <w:p w14:paraId="5D7E511F" w14:textId="77777777" w:rsidR="00F8631B" w:rsidRPr="00712F3C" w:rsidRDefault="00F8631B" w:rsidP="00250DAC">
            <w:pPr>
              <w:spacing w:after="0" w:line="240" w:lineRule="auto"/>
              <w:jc w:val="both"/>
              <w:rPr>
                <w:rFonts w:ascii="Times New Roman" w:eastAsia="Calibri" w:hAnsi="Times New Roman"/>
                <w:b/>
                <w:sz w:val="20"/>
                <w:szCs w:val="20"/>
              </w:rPr>
            </w:pPr>
            <w:r w:rsidRPr="00712F3C">
              <w:rPr>
                <w:rFonts w:ascii="Times New Roman" w:eastAsia="Calibri" w:hAnsi="Times New Roman"/>
                <w:b/>
                <w:sz w:val="20"/>
                <w:szCs w:val="20"/>
              </w:rPr>
              <w:t>Total</w:t>
            </w:r>
          </w:p>
        </w:tc>
        <w:tc>
          <w:tcPr>
            <w:tcW w:w="1071" w:type="pct"/>
            <w:shd w:val="clear" w:color="auto" w:fill="auto"/>
            <w:noWrap/>
            <w:vAlign w:val="center"/>
            <w:hideMark/>
          </w:tcPr>
          <w:p w14:paraId="51FAF863" w14:textId="77777777" w:rsidR="00F8631B" w:rsidRPr="00712F3C" w:rsidRDefault="00F8631B" w:rsidP="00250DAC">
            <w:pPr>
              <w:spacing w:after="0" w:line="240" w:lineRule="auto"/>
              <w:jc w:val="center"/>
              <w:rPr>
                <w:rFonts w:ascii="Times New Roman" w:eastAsia="Calibri" w:hAnsi="Times New Roman"/>
                <w:b/>
                <w:sz w:val="20"/>
                <w:szCs w:val="20"/>
              </w:rPr>
            </w:pPr>
            <w:r w:rsidRPr="00712F3C">
              <w:rPr>
                <w:rFonts w:ascii="Times New Roman" w:eastAsia="MS Mincho" w:hAnsi="Times New Roman"/>
                <w:color w:val="000000"/>
                <w:sz w:val="20"/>
                <w:szCs w:val="20"/>
                <w:lang w:val="en-GB"/>
              </w:rPr>
              <w:t>[●]</w:t>
            </w:r>
          </w:p>
        </w:tc>
      </w:tr>
    </w:tbl>
    <w:p w14:paraId="42A8F55B" w14:textId="77777777" w:rsidR="00F8631B" w:rsidRPr="00712F3C" w:rsidRDefault="00F8631B" w:rsidP="00F8631B">
      <w:pPr>
        <w:spacing w:after="0" w:line="240" w:lineRule="auto"/>
        <w:jc w:val="both"/>
        <w:rPr>
          <w:rFonts w:ascii="Times New Roman" w:eastAsia="MS Mincho" w:hAnsi="Times New Roman"/>
          <w:color w:val="000000"/>
          <w:sz w:val="16"/>
          <w:szCs w:val="20"/>
          <w:lang w:val="en-GB"/>
        </w:rPr>
      </w:pPr>
    </w:p>
    <w:p w14:paraId="66D9895C" w14:textId="77777777" w:rsidR="00F8631B" w:rsidRPr="00712F3C" w:rsidRDefault="00F8631B">
      <w:pPr>
        <w:numPr>
          <w:ilvl w:val="0"/>
          <w:numId w:val="163"/>
        </w:numPr>
        <w:spacing w:after="0" w:line="240" w:lineRule="auto"/>
        <w:rPr>
          <w:rFonts w:ascii="Times New Roman" w:hAnsi="Times New Roman"/>
          <w:b/>
          <w:bCs/>
          <w:sz w:val="20"/>
          <w:szCs w:val="20"/>
          <w:u w:val="single"/>
        </w:rPr>
      </w:pPr>
      <w:r w:rsidRPr="00712F3C">
        <w:rPr>
          <w:rFonts w:ascii="Times New Roman" w:hAnsi="Times New Roman"/>
          <w:b/>
          <w:bCs/>
          <w:sz w:val="20"/>
          <w:szCs w:val="20"/>
          <w:u w:val="single"/>
        </w:rPr>
        <w:t>PRE-ISSUE SHAREHOLDING OF PROMOTERS AND PROMOTER GROUP</w:t>
      </w:r>
    </w:p>
    <w:p w14:paraId="42777E71" w14:textId="77777777" w:rsidR="00F8631B" w:rsidRPr="00712F3C" w:rsidRDefault="00F8631B" w:rsidP="00F8631B">
      <w:pPr>
        <w:spacing w:after="0" w:line="240" w:lineRule="auto"/>
        <w:rPr>
          <w:rFonts w:ascii="Times New Roman" w:hAnsi="Times New Roman"/>
          <w:b/>
          <w:bCs/>
          <w:sz w:val="10"/>
          <w:szCs w:val="20"/>
          <w:u w:val="single"/>
        </w:rPr>
      </w:pPr>
    </w:p>
    <w:p w14:paraId="7D3A7DBA" w14:textId="5AC3EB9F" w:rsidR="00F8631B" w:rsidRPr="00681211" w:rsidRDefault="00F8631B" w:rsidP="00F8631B">
      <w:pPr>
        <w:spacing w:after="0" w:line="240" w:lineRule="auto"/>
        <w:jc w:val="both"/>
        <w:rPr>
          <w:rFonts w:ascii="Times New Roman" w:eastAsia="MS Mincho" w:hAnsi="Times New Roman"/>
          <w:color w:val="000000"/>
          <w:sz w:val="20"/>
          <w:szCs w:val="20"/>
        </w:rPr>
      </w:pPr>
      <w:r w:rsidRPr="00712F3C">
        <w:rPr>
          <w:rFonts w:ascii="Times New Roman" w:eastAsia="MS Mincho" w:hAnsi="Times New Roman"/>
          <w:color w:val="000000"/>
          <w:sz w:val="20"/>
          <w:szCs w:val="20"/>
          <w:lang w:val="en-GB"/>
        </w:rPr>
        <w:t xml:space="preserve">Our Promoters and Promoter Group collectively holds 95,32,000 Equity shares of our Company aggregating to 95.32% of the pre-issue paid-up Share Capital of our Company. Following are the details of the shareholding of the Promoters and Promoter Group, as on date of this Draft </w:t>
      </w:r>
      <w:r w:rsidRPr="00712F3C">
        <w:rPr>
          <w:rFonts w:ascii="Times New Roman" w:hAnsi="Times New Roman"/>
          <w:iCs/>
          <w:sz w:val="20"/>
          <w:szCs w:val="20"/>
        </w:rPr>
        <w:t>Red Herring</w:t>
      </w:r>
      <w:r w:rsidRPr="00712F3C">
        <w:rPr>
          <w:rFonts w:ascii="Times New Roman" w:eastAsia="MS Mincho" w:hAnsi="Times New Roman"/>
          <w:color w:val="000000"/>
          <w:sz w:val="20"/>
          <w:szCs w:val="20"/>
          <w:lang w:val="en-GB"/>
        </w:rPr>
        <w:t xml:space="preserve"> Prospectus:</w:t>
      </w:r>
    </w:p>
    <w:p w14:paraId="47F6501E" w14:textId="77777777" w:rsidR="00F8631B" w:rsidRPr="00712F3C" w:rsidRDefault="00F8631B" w:rsidP="00F8631B">
      <w:pPr>
        <w:spacing w:after="0" w:line="240" w:lineRule="auto"/>
        <w:jc w:val="both"/>
        <w:rPr>
          <w:rFonts w:ascii="Times New Roman" w:eastAsia="MS Mincho" w:hAnsi="Times New Roman"/>
          <w:color w:val="000000"/>
          <w:sz w:val="20"/>
          <w:szCs w:val="20"/>
          <w:lang w:val="en-G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3618"/>
        <w:gridCol w:w="1592"/>
        <w:gridCol w:w="1512"/>
        <w:gridCol w:w="1621"/>
        <w:gridCol w:w="1512"/>
      </w:tblGrid>
      <w:tr w:rsidR="00681211" w:rsidRPr="000860EB" w14:paraId="3B56B515" w14:textId="77777777" w:rsidTr="00250DAC">
        <w:trPr>
          <w:trHeight w:val="20"/>
          <w:tblHeader/>
          <w:jc w:val="center"/>
        </w:trPr>
        <w:tc>
          <w:tcPr>
            <w:tcW w:w="288" w:type="pct"/>
            <w:vMerge w:val="restart"/>
            <w:shd w:val="clear" w:color="auto" w:fill="D0CECE" w:themeFill="background2" w:themeFillShade="E6"/>
            <w:noWrap/>
            <w:hideMark/>
          </w:tcPr>
          <w:p w14:paraId="5F251F06" w14:textId="77777777" w:rsidR="00681211" w:rsidRPr="000860EB" w:rsidRDefault="00681211" w:rsidP="00250DAC">
            <w:pPr>
              <w:spacing w:after="0" w:line="240" w:lineRule="auto"/>
              <w:jc w:val="center"/>
              <w:rPr>
                <w:rFonts w:ascii="Times New Roman" w:hAnsi="Times New Roman"/>
                <w:b/>
                <w:sz w:val="20"/>
                <w:szCs w:val="20"/>
              </w:rPr>
            </w:pPr>
            <w:r w:rsidRPr="000860EB">
              <w:rPr>
                <w:rFonts w:ascii="Times New Roman" w:hAnsi="Times New Roman"/>
                <w:b/>
                <w:sz w:val="20"/>
                <w:szCs w:val="20"/>
              </w:rPr>
              <w:t xml:space="preserve">Sr. </w:t>
            </w:r>
          </w:p>
          <w:p w14:paraId="2E240EDC" w14:textId="77777777" w:rsidR="00681211" w:rsidRPr="000860EB" w:rsidRDefault="00681211" w:rsidP="00250DAC">
            <w:pPr>
              <w:spacing w:after="0" w:line="240" w:lineRule="auto"/>
              <w:jc w:val="center"/>
              <w:rPr>
                <w:rFonts w:ascii="Times New Roman" w:hAnsi="Times New Roman"/>
                <w:b/>
                <w:sz w:val="20"/>
                <w:szCs w:val="20"/>
              </w:rPr>
            </w:pPr>
            <w:r w:rsidRPr="000860EB">
              <w:rPr>
                <w:rFonts w:ascii="Times New Roman" w:hAnsi="Times New Roman"/>
                <w:b/>
                <w:sz w:val="20"/>
                <w:szCs w:val="20"/>
              </w:rPr>
              <w:t>No</w:t>
            </w:r>
          </w:p>
        </w:tc>
        <w:tc>
          <w:tcPr>
            <w:tcW w:w="1730" w:type="pct"/>
            <w:vMerge w:val="restart"/>
            <w:shd w:val="clear" w:color="auto" w:fill="D0CECE" w:themeFill="background2" w:themeFillShade="E6"/>
            <w:noWrap/>
            <w:vAlign w:val="center"/>
            <w:hideMark/>
          </w:tcPr>
          <w:p w14:paraId="385AD40E" w14:textId="77777777" w:rsidR="00681211" w:rsidRPr="000860EB" w:rsidRDefault="00681211" w:rsidP="00250DAC">
            <w:pPr>
              <w:spacing w:after="0" w:line="240" w:lineRule="auto"/>
              <w:jc w:val="center"/>
              <w:rPr>
                <w:rFonts w:ascii="Times New Roman" w:hAnsi="Times New Roman"/>
                <w:b/>
                <w:sz w:val="20"/>
                <w:szCs w:val="20"/>
              </w:rPr>
            </w:pPr>
            <w:r w:rsidRPr="000860EB">
              <w:rPr>
                <w:rFonts w:ascii="Times New Roman" w:hAnsi="Times New Roman"/>
                <w:b/>
                <w:sz w:val="20"/>
                <w:szCs w:val="20"/>
              </w:rPr>
              <w:t>Names</w:t>
            </w:r>
          </w:p>
        </w:tc>
        <w:tc>
          <w:tcPr>
            <w:tcW w:w="1484" w:type="pct"/>
            <w:gridSpan w:val="2"/>
            <w:shd w:val="clear" w:color="auto" w:fill="D0CECE" w:themeFill="background2" w:themeFillShade="E6"/>
            <w:noWrap/>
            <w:vAlign w:val="center"/>
            <w:hideMark/>
          </w:tcPr>
          <w:p w14:paraId="0F85F787" w14:textId="77777777" w:rsidR="00681211" w:rsidRPr="000860EB" w:rsidRDefault="00681211" w:rsidP="00250DAC">
            <w:pPr>
              <w:spacing w:after="0" w:line="240" w:lineRule="auto"/>
              <w:jc w:val="center"/>
              <w:rPr>
                <w:rFonts w:ascii="Times New Roman" w:hAnsi="Times New Roman"/>
                <w:b/>
                <w:sz w:val="20"/>
                <w:szCs w:val="20"/>
              </w:rPr>
            </w:pPr>
            <w:r w:rsidRPr="000860EB">
              <w:rPr>
                <w:rFonts w:ascii="Times New Roman" w:hAnsi="Times New Roman"/>
                <w:b/>
                <w:sz w:val="20"/>
                <w:szCs w:val="20"/>
              </w:rPr>
              <w:t>Pre IPO</w:t>
            </w:r>
          </w:p>
        </w:tc>
        <w:tc>
          <w:tcPr>
            <w:tcW w:w="1498" w:type="pct"/>
            <w:gridSpan w:val="2"/>
            <w:shd w:val="clear" w:color="auto" w:fill="D0CECE" w:themeFill="background2" w:themeFillShade="E6"/>
            <w:noWrap/>
            <w:vAlign w:val="center"/>
            <w:hideMark/>
          </w:tcPr>
          <w:p w14:paraId="2175B2BD" w14:textId="77777777" w:rsidR="00681211" w:rsidRPr="000860EB" w:rsidRDefault="00681211" w:rsidP="00250DAC">
            <w:pPr>
              <w:spacing w:after="0" w:line="240" w:lineRule="auto"/>
              <w:jc w:val="center"/>
              <w:rPr>
                <w:rFonts w:ascii="Times New Roman" w:hAnsi="Times New Roman"/>
                <w:b/>
                <w:sz w:val="20"/>
                <w:szCs w:val="20"/>
              </w:rPr>
            </w:pPr>
            <w:r w:rsidRPr="000860EB">
              <w:rPr>
                <w:rFonts w:ascii="Times New Roman" w:hAnsi="Times New Roman"/>
                <w:b/>
                <w:sz w:val="20"/>
                <w:szCs w:val="20"/>
              </w:rPr>
              <w:t>Post IPO</w:t>
            </w:r>
          </w:p>
        </w:tc>
      </w:tr>
      <w:tr w:rsidR="00681211" w:rsidRPr="000860EB" w14:paraId="058AA29C" w14:textId="77777777" w:rsidTr="00250DAC">
        <w:trPr>
          <w:trHeight w:val="20"/>
          <w:tblHeader/>
          <w:jc w:val="center"/>
        </w:trPr>
        <w:tc>
          <w:tcPr>
            <w:tcW w:w="288" w:type="pct"/>
            <w:vMerge/>
            <w:shd w:val="clear" w:color="auto" w:fill="D0CECE" w:themeFill="background2" w:themeFillShade="E6"/>
            <w:noWrap/>
            <w:vAlign w:val="center"/>
            <w:hideMark/>
          </w:tcPr>
          <w:p w14:paraId="086DB7DB" w14:textId="77777777" w:rsidR="00681211" w:rsidRPr="000860EB" w:rsidRDefault="00681211" w:rsidP="00250DAC">
            <w:pPr>
              <w:spacing w:after="0" w:line="240" w:lineRule="auto"/>
              <w:jc w:val="center"/>
              <w:rPr>
                <w:rFonts w:ascii="Times New Roman" w:hAnsi="Times New Roman"/>
                <w:b/>
                <w:sz w:val="20"/>
                <w:szCs w:val="20"/>
              </w:rPr>
            </w:pPr>
          </w:p>
        </w:tc>
        <w:tc>
          <w:tcPr>
            <w:tcW w:w="1730" w:type="pct"/>
            <w:vMerge/>
            <w:shd w:val="clear" w:color="auto" w:fill="D0CECE" w:themeFill="background2" w:themeFillShade="E6"/>
            <w:noWrap/>
            <w:vAlign w:val="center"/>
            <w:hideMark/>
          </w:tcPr>
          <w:p w14:paraId="7432FC23" w14:textId="77777777" w:rsidR="00681211" w:rsidRPr="000860EB" w:rsidRDefault="00681211" w:rsidP="00250DAC">
            <w:pPr>
              <w:spacing w:after="0" w:line="240" w:lineRule="auto"/>
              <w:jc w:val="center"/>
              <w:rPr>
                <w:rFonts w:ascii="Times New Roman" w:hAnsi="Times New Roman"/>
                <w:b/>
                <w:sz w:val="20"/>
                <w:szCs w:val="20"/>
              </w:rPr>
            </w:pPr>
          </w:p>
        </w:tc>
        <w:tc>
          <w:tcPr>
            <w:tcW w:w="761" w:type="pct"/>
            <w:shd w:val="clear" w:color="auto" w:fill="D0CECE" w:themeFill="background2" w:themeFillShade="E6"/>
            <w:noWrap/>
            <w:vAlign w:val="center"/>
            <w:hideMark/>
          </w:tcPr>
          <w:p w14:paraId="62FFB1AA" w14:textId="77777777" w:rsidR="00681211" w:rsidRPr="000860EB" w:rsidRDefault="00681211" w:rsidP="00250DAC">
            <w:pPr>
              <w:spacing w:after="0" w:line="240" w:lineRule="auto"/>
              <w:jc w:val="center"/>
              <w:rPr>
                <w:rFonts w:ascii="Times New Roman" w:hAnsi="Times New Roman"/>
                <w:b/>
                <w:sz w:val="20"/>
                <w:szCs w:val="20"/>
              </w:rPr>
            </w:pPr>
            <w:r w:rsidRPr="000860EB">
              <w:rPr>
                <w:rFonts w:ascii="Times New Roman" w:hAnsi="Times New Roman"/>
                <w:b/>
                <w:sz w:val="20"/>
                <w:szCs w:val="20"/>
              </w:rPr>
              <w:t>Shares Held</w:t>
            </w:r>
          </w:p>
        </w:tc>
        <w:tc>
          <w:tcPr>
            <w:tcW w:w="723" w:type="pct"/>
            <w:shd w:val="clear" w:color="auto" w:fill="D0CECE" w:themeFill="background2" w:themeFillShade="E6"/>
            <w:noWrap/>
            <w:vAlign w:val="center"/>
            <w:hideMark/>
          </w:tcPr>
          <w:p w14:paraId="064FB6C8" w14:textId="77777777" w:rsidR="00681211" w:rsidRPr="000860EB" w:rsidRDefault="00681211" w:rsidP="00250DAC">
            <w:pPr>
              <w:spacing w:after="0" w:line="240" w:lineRule="auto"/>
              <w:jc w:val="center"/>
              <w:rPr>
                <w:rFonts w:ascii="Times New Roman" w:hAnsi="Times New Roman"/>
                <w:b/>
                <w:sz w:val="20"/>
                <w:szCs w:val="20"/>
              </w:rPr>
            </w:pPr>
            <w:r w:rsidRPr="000860EB">
              <w:rPr>
                <w:rFonts w:ascii="Times New Roman" w:hAnsi="Times New Roman"/>
                <w:b/>
                <w:sz w:val="20"/>
                <w:szCs w:val="20"/>
              </w:rPr>
              <w:t>% Shares Held</w:t>
            </w:r>
          </w:p>
        </w:tc>
        <w:tc>
          <w:tcPr>
            <w:tcW w:w="775" w:type="pct"/>
            <w:shd w:val="clear" w:color="auto" w:fill="D0CECE" w:themeFill="background2" w:themeFillShade="E6"/>
            <w:noWrap/>
            <w:vAlign w:val="center"/>
            <w:hideMark/>
          </w:tcPr>
          <w:p w14:paraId="3B23B8F9" w14:textId="77777777" w:rsidR="00681211" w:rsidRPr="000860EB" w:rsidRDefault="00681211" w:rsidP="00250DAC">
            <w:pPr>
              <w:spacing w:after="0" w:line="240" w:lineRule="auto"/>
              <w:jc w:val="center"/>
              <w:rPr>
                <w:rFonts w:ascii="Times New Roman" w:hAnsi="Times New Roman"/>
                <w:b/>
                <w:sz w:val="20"/>
                <w:szCs w:val="20"/>
              </w:rPr>
            </w:pPr>
            <w:r w:rsidRPr="000860EB">
              <w:rPr>
                <w:rFonts w:ascii="Times New Roman" w:hAnsi="Times New Roman"/>
                <w:b/>
                <w:sz w:val="20"/>
                <w:szCs w:val="20"/>
              </w:rPr>
              <w:t>Shares Held</w:t>
            </w:r>
          </w:p>
        </w:tc>
        <w:tc>
          <w:tcPr>
            <w:tcW w:w="723" w:type="pct"/>
            <w:shd w:val="clear" w:color="auto" w:fill="D0CECE" w:themeFill="background2" w:themeFillShade="E6"/>
            <w:noWrap/>
            <w:vAlign w:val="center"/>
            <w:hideMark/>
          </w:tcPr>
          <w:p w14:paraId="647C09A3" w14:textId="77777777" w:rsidR="00681211" w:rsidRPr="000860EB" w:rsidRDefault="00681211" w:rsidP="00250DAC">
            <w:pPr>
              <w:spacing w:after="0" w:line="240" w:lineRule="auto"/>
              <w:jc w:val="center"/>
              <w:rPr>
                <w:rFonts w:ascii="Times New Roman" w:hAnsi="Times New Roman"/>
                <w:b/>
                <w:sz w:val="20"/>
                <w:szCs w:val="20"/>
              </w:rPr>
            </w:pPr>
            <w:r w:rsidRPr="000860EB">
              <w:rPr>
                <w:rFonts w:ascii="Times New Roman" w:hAnsi="Times New Roman"/>
                <w:b/>
                <w:sz w:val="20"/>
                <w:szCs w:val="20"/>
              </w:rPr>
              <w:t>% Shares Held</w:t>
            </w:r>
          </w:p>
        </w:tc>
      </w:tr>
      <w:tr w:rsidR="00681211" w:rsidRPr="000860EB" w14:paraId="15F44E69" w14:textId="77777777" w:rsidTr="00250DAC">
        <w:trPr>
          <w:trHeight w:val="20"/>
          <w:jc w:val="center"/>
        </w:trPr>
        <w:tc>
          <w:tcPr>
            <w:tcW w:w="288" w:type="pct"/>
            <w:shd w:val="clear" w:color="auto" w:fill="D0CECE" w:themeFill="background2" w:themeFillShade="E6"/>
            <w:noWrap/>
            <w:vAlign w:val="center"/>
            <w:hideMark/>
          </w:tcPr>
          <w:p w14:paraId="328CFFD5" w14:textId="77777777" w:rsidR="00681211" w:rsidRPr="000860EB" w:rsidRDefault="00681211" w:rsidP="00250DAC">
            <w:pPr>
              <w:spacing w:after="0" w:line="240" w:lineRule="auto"/>
              <w:jc w:val="center"/>
              <w:rPr>
                <w:rFonts w:ascii="Times New Roman" w:eastAsia="Calibri" w:hAnsi="Times New Roman"/>
                <w:sz w:val="20"/>
                <w:szCs w:val="20"/>
              </w:rPr>
            </w:pPr>
          </w:p>
        </w:tc>
        <w:tc>
          <w:tcPr>
            <w:tcW w:w="1730" w:type="pct"/>
            <w:shd w:val="clear" w:color="auto" w:fill="D0CECE" w:themeFill="background2" w:themeFillShade="E6"/>
            <w:noWrap/>
            <w:vAlign w:val="center"/>
            <w:hideMark/>
          </w:tcPr>
          <w:p w14:paraId="663F5AF4" w14:textId="77777777" w:rsidR="00681211" w:rsidRPr="000860EB" w:rsidRDefault="00681211" w:rsidP="00250DAC">
            <w:pPr>
              <w:spacing w:after="0" w:line="240" w:lineRule="auto"/>
              <w:rPr>
                <w:rFonts w:ascii="Times New Roman" w:eastAsia="Calibri" w:hAnsi="Times New Roman"/>
                <w:b/>
                <w:sz w:val="20"/>
                <w:szCs w:val="20"/>
              </w:rPr>
            </w:pPr>
            <w:r w:rsidRPr="000860EB">
              <w:rPr>
                <w:rFonts w:ascii="Times New Roman" w:eastAsia="Calibri" w:hAnsi="Times New Roman"/>
                <w:b/>
                <w:sz w:val="20"/>
                <w:szCs w:val="20"/>
              </w:rPr>
              <w:t>Promoters (A)</w:t>
            </w:r>
          </w:p>
        </w:tc>
        <w:tc>
          <w:tcPr>
            <w:tcW w:w="761" w:type="pct"/>
            <w:shd w:val="clear" w:color="auto" w:fill="D0CECE" w:themeFill="background2" w:themeFillShade="E6"/>
            <w:noWrap/>
            <w:hideMark/>
          </w:tcPr>
          <w:p w14:paraId="279134E8" w14:textId="77777777" w:rsidR="00681211" w:rsidRPr="000860EB" w:rsidRDefault="00681211" w:rsidP="00250DAC">
            <w:pPr>
              <w:spacing w:after="0" w:line="240" w:lineRule="auto"/>
              <w:jc w:val="center"/>
              <w:rPr>
                <w:rFonts w:ascii="Times New Roman" w:eastAsia="Calibri" w:hAnsi="Times New Roman"/>
                <w:sz w:val="20"/>
                <w:szCs w:val="20"/>
              </w:rPr>
            </w:pPr>
          </w:p>
        </w:tc>
        <w:tc>
          <w:tcPr>
            <w:tcW w:w="723" w:type="pct"/>
            <w:shd w:val="clear" w:color="auto" w:fill="D0CECE" w:themeFill="background2" w:themeFillShade="E6"/>
            <w:noWrap/>
            <w:vAlign w:val="bottom"/>
            <w:hideMark/>
          </w:tcPr>
          <w:p w14:paraId="08A78233" w14:textId="77777777" w:rsidR="00681211" w:rsidRPr="000860EB" w:rsidRDefault="00681211" w:rsidP="00250DAC">
            <w:pPr>
              <w:spacing w:after="0" w:line="240" w:lineRule="auto"/>
              <w:rPr>
                <w:rFonts w:ascii="Times New Roman" w:eastAsia="Calibri" w:hAnsi="Times New Roman"/>
                <w:sz w:val="20"/>
                <w:szCs w:val="20"/>
              </w:rPr>
            </w:pPr>
          </w:p>
        </w:tc>
        <w:tc>
          <w:tcPr>
            <w:tcW w:w="775" w:type="pct"/>
            <w:shd w:val="clear" w:color="auto" w:fill="D0CECE" w:themeFill="background2" w:themeFillShade="E6"/>
            <w:noWrap/>
            <w:vAlign w:val="bottom"/>
            <w:hideMark/>
          </w:tcPr>
          <w:p w14:paraId="1D3A90CF" w14:textId="77777777" w:rsidR="00681211" w:rsidRPr="000860EB" w:rsidRDefault="00681211" w:rsidP="00250DAC">
            <w:pPr>
              <w:spacing w:after="0" w:line="240" w:lineRule="auto"/>
              <w:rPr>
                <w:rFonts w:ascii="Times New Roman" w:eastAsia="Calibri" w:hAnsi="Times New Roman"/>
                <w:sz w:val="20"/>
                <w:szCs w:val="20"/>
              </w:rPr>
            </w:pPr>
          </w:p>
        </w:tc>
        <w:tc>
          <w:tcPr>
            <w:tcW w:w="723" w:type="pct"/>
            <w:shd w:val="clear" w:color="auto" w:fill="D0CECE" w:themeFill="background2" w:themeFillShade="E6"/>
            <w:noWrap/>
            <w:vAlign w:val="bottom"/>
            <w:hideMark/>
          </w:tcPr>
          <w:p w14:paraId="6AD2041A" w14:textId="77777777" w:rsidR="00681211" w:rsidRPr="000860EB" w:rsidRDefault="00681211" w:rsidP="00250DAC">
            <w:pPr>
              <w:spacing w:after="0" w:line="240" w:lineRule="auto"/>
              <w:rPr>
                <w:rFonts w:ascii="Times New Roman" w:eastAsia="Calibri" w:hAnsi="Times New Roman"/>
                <w:sz w:val="20"/>
                <w:szCs w:val="20"/>
              </w:rPr>
            </w:pPr>
          </w:p>
        </w:tc>
      </w:tr>
      <w:tr w:rsidR="00681211" w:rsidRPr="000860EB" w14:paraId="7AD77FE9" w14:textId="77777777" w:rsidTr="00250DAC">
        <w:trPr>
          <w:trHeight w:val="20"/>
          <w:jc w:val="center"/>
        </w:trPr>
        <w:tc>
          <w:tcPr>
            <w:tcW w:w="288" w:type="pct"/>
            <w:noWrap/>
            <w:vAlign w:val="center"/>
          </w:tcPr>
          <w:p w14:paraId="5870DA73" w14:textId="77777777" w:rsidR="00681211" w:rsidRPr="000860EB" w:rsidRDefault="00681211"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1.</w:t>
            </w:r>
          </w:p>
        </w:tc>
        <w:tc>
          <w:tcPr>
            <w:tcW w:w="1730" w:type="pct"/>
            <w:noWrap/>
          </w:tcPr>
          <w:p w14:paraId="7C79527A" w14:textId="77777777" w:rsidR="00681211" w:rsidRPr="000860EB" w:rsidRDefault="00681211" w:rsidP="00250DAC">
            <w:pPr>
              <w:pStyle w:val="ListParagraph"/>
              <w:suppressAutoHyphens w:val="0"/>
              <w:autoSpaceDE/>
              <w:autoSpaceDN/>
              <w:adjustRightInd/>
              <w:spacing w:line="240" w:lineRule="auto"/>
              <w:ind w:left="0"/>
              <w:contextualSpacing/>
              <w:jc w:val="both"/>
              <w:textAlignment w:val="auto"/>
              <w:rPr>
                <w:sz w:val="20"/>
                <w:szCs w:val="20"/>
                <w:lang w:val="en-GB"/>
              </w:rPr>
            </w:pPr>
            <w:r w:rsidRPr="0094678C">
              <w:rPr>
                <w:sz w:val="20"/>
                <w:szCs w:val="20"/>
              </w:rPr>
              <w:t xml:space="preserve">Dwarkadhish Venture Private Limited </w:t>
            </w:r>
            <w:r w:rsidRPr="0094678C">
              <w:rPr>
                <w:i/>
                <w:iCs/>
                <w:sz w:val="20"/>
                <w:szCs w:val="20"/>
              </w:rPr>
              <w:t>(formerly known as Siyaram Metals Private Limited)</w:t>
            </w:r>
          </w:p>
        </w:tc>
        <w:tc>
          <w:tcPr>
            <w:tcW w:w="761" w:type="pct"/>
            <w:noWrap/>
            <w:vAlign w:val="center"/>
          </w:tcPr>
          <w:p w14:paraId="555E1751" w14:textId="77777777" w:rsidR="00681211" w:rsidRPr="000860EB" w:rsidRDefault="00681211" w:rsidP="00250DAC">
            <w:pPr>
              <w:spacing w:after="0" w:line="240" w:lineRule="auto"/>
              <w:jc w:val="center"/>
              <w:rPr>
                <w:rFonts w:ascii="Times New Roman" w:eastAsia="Calibri" w:hAnsi="Times New Roman"/>
                <w:color w:val="000000"/>
                <w:sz w:val="20"/>
                <w:szCs w:val="20"/>
              </w:rPr>
            </w:pPr>
            <w:r w:rsidRPr="000860EB">
              <w:rPr>
                <w:rFonts w:ascii="Times New Roman" w:eastAsia="Calibri" w:hAnsi="Times New Roman"/>
                <w:sz w:val="20"/>
                <w:szCs w:val="20"/>
              </w:rPr>
              <w:t>1,30,45,500</w:t>
            </w:r>
          </w:p>
        </w:tc>
        <w:tc>
          <w:tcPr>
            <w:tcW w:w="723" w:type="pct"/>
            <w:noWrap/>
            <w:vAlign w:val="center"/>
          </w:tcPr>
          <w:p w14:paraId="15B16827" w14:textId="77777777" w:rsidR="00681211" w:rsidRPr="000860EB" w:rsidRDefault="00681211" w:rsidP="00250DAC">
            <w:pPr>
              <w:spacing w:after="0" w:line="240" w:lineRule="auto"/>
              <w:jc w:val="center"/>
              <w:rPr>
                <w:rFonts w:ascii="Times New Roman" w:hAnsi="Times New Roman"/>
                <w:color w:val="000000"/>
                <w:sz w:val="20"/>
                <w:szCs w:val="20"/>
              </w:rPr>
            </w:pPr>
            <w:r w:rsidRPr="000860EB">
              <w:rPr>
                <w:rFonts w:ascii="Times New Roman" w:hAnsi="Times New Roman"/>
                <w:color w:val="000000"/>
                <w:sz w:val="20"/>
                <w:szCs w:val="20"/>
              </w:rPr>
              <w:t>94.49</w:t>
            </w:r>
          </w:p>
        </w:tc>
        <w:tc>
          <w:tcPr>
            <w:tcW w:w="775" w:type="pct"/>
            <w:noWrap/>
            <w:vAlign w:val="center"/>
          </w:tcPr>
          <w:p w14:paraId="51F55EF5" w14:textId="77777777" w:rsidR="00681211" w:rsidRPr="000860EB" w:rsidRDefault="00681211" w:rsidP="00250DAC">
            <w:pPr>
              <w:spacing w:after="0" w:line="240" w:lineRule="auto"/>
              <w:jc w:val="center"/>
              <w:rPr>
                <w:rFonts w:ascii="Times New Roman" w:eastAsia="Calibri" w:hAnsi="Times New Roman"/>
                <w:color w:val="000000"/>
                <w:sz w:val="20"/>
                <w:szCs w:val="20"/>
              </w:rPr>
            </w:pPr>
            <w:r w:rsidRPr="000860EB">
              <w:rPr>
                <w:rFonts w:ascii="Times New Roman" w:eastAsia="Calibri" w:hAnsi="Times New Roman"/>
                <w:sz w:val="20"/>
                <w:szCs w:val="20"/>
              </w:rPr>
              <w:t>1,30,45,500</w:t>
            </w:r>
          </w:p>
        </w:tc>
        <w:tc>
          <w:tcPr>
            <w:tcW w:w="723" w:type="pct"/>
            <w:noWrap/>
            <w:vAlign w:val="center"/>
          </w:tcPr>
          <w:p w14:paraId="4D48BF16" w14:textId="77777777" w:rsidR="00681211" w:rsidRPr="000860EB" w:rsidRDefault="00681211" w:rsidP="00250DAC">
            <w:pPr>
              <w:spacing w:after="0" w:line="240" w:lineRule="auto"/>
              <w:jc w:val="center"/>
              <w:rPr>
                <w:rFonts w:ascii="Times New Roman" w:hAnsi="Times New Roman"/>
                <w:color w:val="000000"/>
                <w:sz w:val="20"/>
                <w:szCs w:val="20"/>
              </w:rPr>
            </w:pPr>
            <w:r w:rsidRPr="000860EB">
              <w:rPr>
                <w:rFonts w:ascii="Times New Roman" w:eastAsia="Calibri" w:hAnsi="Times New Roman"/>
                <w:sz w:val="20"/>
                <w:szCs w:val="20"/>
              </w:rPr>
              <w:t>[●]</w:t>
            </w:r>
          </w:p>
        </w:tc>
      </w:tr>
      <w:tr w:rsidR="00681211" w:rsidRPr="000860EB" w14:paraId="5C7502EF" w14:textId="77777777" w:rsidTr="00250DAC">
        <w:trPr>
          <w:trHeight w:val="20"/>
          <w:jc w:val="center"/>
        </w:trPr>
        <w:tc>
          <w:tcPr>
            <w:tcW w:w="288" w:type="pct"/>
            <w:noWrap/>
            <w:vAlign w:val="center"/>
          </w:tcPr>
          <w:p w14:paraId="38531471" w14:textId="77777777" w:rsidR="00681211" w:rsidRPr="000860EB" w:rsidRDefault="00681211"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2.</w:t>
            </w:r>
          </w:p>
        </w:tc>
        <w:tc>
          <w:tcPr>
            <w:tcW w:w="1730" w:type="pct"/>
            <w:noWrap/>
          </w:tcPr>
          <w:p w14:paraId="66440432" w14:textId="77777777" w:rsidR="00681211" w:rsidRPr="000860EB" w:rsidRDefault="00681211" w:rsidP="00250DAC">
            <w:pPr>
              <w:pStyle w:val="ListParagraph"/>
              <w:suppressAutoHyphens w:val="0"/>
              <w:autoSpaceDE/>
              <w:autoSpaceDN/>
              <w:adjustRightInd/>
              <w:spacing w:line="240" w:lineRule="auto"/>
              <w:ind w:left="0"/>
              <w:contextualSpacing/>
              <w:jc w:val="both"/>
              <w:textAlignment w:val="auto"/>
              <w:rPr>
                <w:sz w:val="20"/>
                <w:szCs w:val="20"/>
              </w:rPr>
            </w:pPr>
            <w:r w:rsidRPr="000860EB">
              <w:rPr>
                <w:sz w:val="20"/>
                <w:szCs w:val="20"/>
              </w:rPr>
              <w:t>Ramgopal Ochhavlal Maheswari</w:t>
            </w:r>
          </w:p>
        </w:tc>
        <w:tc>
          <w:tcPr>
            <w:tcW w:w="761" w:type="pct"/>
            <w:noWrap/>
            <w:vAlign w:val="center"/>
          </w:tcPr>
          <w:p w14:paraId="5A61E780" w14:textId="77777777" w:rsidR="00681211" w:rsidRPr="000860EB" w:rsidRDefault="00681211" w:rsidP="00250DAC">
            <w:pPr>
              <w:spacing w:after="0" w:line="240" w:lineRule="auto"/>
              <w:jc w:val="center"/>
              <w:rPr>
                <w:rFonts w:ascii="Times New Roman" w:eastAsia="Calibri" w:hAnsi="Times New Roman"/>
                <w:color w:val="000000"/>
                <w:sz w:val="20"/>
                <w:szCs w:val="20"/>
              </w:rPr>
            </w:pPr>
            <w:r w:rsidRPr="000860EB">
              <w:rPr>
                <w:rFonts w:ascii="Times New Roman" w:eastAsia="Calibri" w:hAnsi="Times New Roman"/>
                <w:sz w:val="20"/>
                <w:szCs w:val="20"/>
              </w:rPr>
              <w:t>4,50,000</w:t>
            </w:r>
          </w:p>
        </w:tc>
        <w:tc>
          <w:tcPr>
            <w:tcW w:w="723" w:type="pct"/>
            <w:noWrap/>
            <w:vAlign w:val="center"/>
          </w:tcPr>
          <w:p w14:paraId="78FB0492" w14:textId="77777777" w:rsidR="00681211" w:rsidRPr="000860EB" w:rsidRDefault="00681211" w:rsidP="00250DAC">
            <w:pPr>
              <w:spacing w:after="0" w:line="240" w:lineRule="auto"/>
              <w:jc w:val="center"/>
              <w:rPr>
                <w:rFonts w:ascii="Times New Roman" w:hAnsi="Times New Roman"/>
                <w:color w:val="000000"/>
                <w:sz w:val="20"/>
                <w:szCs w:val="20"/>
              </w:rPr>
            </w:pPr>
            <w:r w:rsidRPr="000860EB">
              <w:rPr>
                <w:rFonts w:ascii="Times New Roman" w:hAnsi="Times New Roman"/>
                <w:color w:val="000000"/>
                <w:sz w:val="20"/>
                <w:szCs w:val="20"/>
              </w:rPr>
              <w:t>3.26</w:t>
            </w:r>
          </w:p>
        </w:tc>
        <w:tc>
          <w:tcPr>
            <w:tcW w:w="775" w:type="pct"/>
            <w:noWrap/>
            <w:vAlign w:val="center"/>
          </w:tcPr>
          <w:p w14:paraId="50EB4488" w14:textId="77777777" w:rsidR="00681211" w:rsidRPr="000860EB" w:rsidRDefault="00681211" w:rsidP="00250DAC">
            <w:pPr>
              <w:spacing w:after="0" w:line="240" w:lineRule="auto"/>
              <w:jc w:val="center"/>
              <w:rPr>
                <w:rFonts w:ascii="Times New Roman" w:eastAsia="Calibri" w:hAnsi="Times New Roman"/>
                <w:color w:val="000000"/>
                <w:sz w:val="20"/>
                <w:szCs w:val="20"/>
              </w:rPr>
            </w:pPr>
            <w:r w:rsidRPr="000860EB">
              <w:rPr>
                <w:rFonts w:ascii="Times New Roman" w:eastAsia="Calibri" w:hAnsi="Times New Roman"/>
                <w:sz w:val="20"/>
                <w:szCs w:val="20"/>
              </w:rPr>
              <w:t>4,50,000</w:t>
            </w:r>
          </w:p>
        </w:tc>
        <w:tc>
          <w:tcPr>
            <w:tcW w:w="723" w:type="pct"/>
            <w:noWrap/>
            <w:vAlign w:val="center"/>
          </w:tcPr>
          <w:p w14:paraId="6CB0FA08" w14:textId="77777777" w:rsidR="00681211" w:rsidRPr="000860EB" w:rsidRDefault="00681211" w:rsidP="00250DAC">
            <w:pPr>
              <w:spacing w:after="0" w:line="240" w:lineRule="auto"/>
              <w:jc w:val="center"/>
              <w:rPr>
                <w:rFonts w:ascii="Times New Roman" w:hAnsi="Times New Roman"/>
                <w:color w:val="000000"/>
                <w:sz w:val="20"/>
                <w:szCs w:val="20"/>
              </w:rPr>
            </w:pPr>
            <w:r w:rsidRPr="000860EB">
              <w:rPr>
                <w:rFonts w:ascii="Times New Roman" w:eastAsia="Calibri" w:hAnsi="Times New Roman"/>
                <w:sz w:val="20"/>
                <w:szCs w:val="20"/>
              </w:rPr>
              <w:t>[●]</w:t>
            </w:r>
          </w:p>
        </w:tc>
      </w:tr>
      <w:tr w:rsidR="00681211" w:rsidRPr="000860EB" w14:paraId="0B80263F" w14:textId="77777777" w:rsidTr="00250DAC">
        <w:trPr>
          <w:trHeight w:val="20"/>
          <w:jc w:val="center"/>
        </w:trPr>
        <w:tc>
          <w:tcPr>
            <w:tcW w:w="288" w:type="pct"/>
            <w:noWrap/>
            <w:vAlign w:val="center"/>
          </w:tcPr>
          <w:p w14:paraId="0FFE78BF" w14:textId="77777777" w:rsidR="00681211" w:rsidRPr="000860EB" w:rsidRDefault="00681211"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3.</w:t>
            </w:r>
          </w:p>
        </w:tc>
        <w:tc>
          <w:tcPr>
            <w:tcW w:w="1730" w:type="pct"/>
            <w:noWrap/>
          </w:tcPr>
          <w:p w14:paraId="306AFCC6" w14:textId="77777777" w:rsidR="00681211" w:rsidRPr="000860EB" w:rsidRDefault="00681211" w:rsidP="00250DAC">
            <w:pPr>
              <w:pStyle w:val="ListParagraph"/>
              <w:suppressAutoHyphens w:val="0"/>
              <w:autoSpaceDE/>
              <w:autoSpaceDN/>
              <w:adjustRightInd/>
              <w:spacing w:line="240" w:lineRule="auto"/>
              <w:ind w:left="0"/>
              <w:contextualSpacing/>
              <w:jc w:val="both"/>
              <w:textAlignment w:val="auto"/>
              <w:rPr>
                <w:sz w:val="20"/>
                <w:szCs w:val="20"/>
              </w:rPr>
            </w:pPr>
            <w:r w:rsidRPr="000860EB">
              <w:rPr>
                <w:sz w:val="20"/>
                <w:szCs w:val="20"/>
              </w:rPr>
              <w:t>Bhavesh Ramgopal Maheshwari</w:t>
            </w:r>
          </w:p>
        </w:tc>
        <w:tc>
          <w:tcPr>
            <w:tcW w:w="761" w:type="pct"/>
            <w:noWrap/>
            <w:vAlign w:val="center"/>
          </w:tcPr>
          <w:p w14:paraId="136FF30D" w14:textId="77777777" w:rsidR="00681211" w:rsidRPr="000860EB" w:rsidRDefault="00681211" w:rsidP="00250DAC">
            <w:pPr>
              <w:spacing w:after="0" w:line="240" w:lineRule="auto"/>
              <w:jc w:val="center"/>
              <w:rPr>
                <w:rFonts w:ascii="Times New Roman" w:eastAsia="Calibri" w:hAnsi="Times New Roman"/>
                <w:color w:val="000000"/>
                <w:sz w:val="20"/>
                <w:szCs w:val="20"/>
              </w:rPr>
            </w:pPr>
            <w:r>
              <w:rPr>
                <w:rFonts w:ascii="Times New Roman" w:eastAsia="Calibri" w:hAnsi="Times New Roman"/>
                <w:sz w:val="20"/>
                <w:szCs w:val="20"/>
              </w:rPr>
              <w:t>2,10,000</w:t>
            </w:r>
          </w:p>
        </w:tc>
        <w:tc>
          <w:tcPr>
            <w:tcW w:w="723" w:type="pct"/>
            <w:noWrap/>
            <w:vAlign w:val="center"/>
          </w:tcPr>
          <w:p w14:paraId="48CBF943" w14:textId="77777777" w:rsidR="00681211" w:rsidRPr="000860EB" w:rsidRDefault="00681211" w:rsidP="00250DA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1.52</w:t>
            </w:r>
          </w:p>
        </w:tc>
        <w:tc>
          <w:tcPr>
            <w:tcW w:w="775" w:type="pct"/>
            <w:noWrap/>
            <w:vAlign w:val="center"/>
          </w:tcPr>
          <w:p w14:paraId="54265A60" w14:textId="77777777" w:rsidR="00681211" w:rsidRPr="000860EB" w:rsidRDefault="00681211" w:rsidP="00250DAC">
            <w:pPr>
              <w:spacing w:after="0" w:line="240" w:lineRule="auto"/>
              <w:jc w:val="center"/>
              <w:rPr>
                <w:rFonts w:ascii="Times New Roman" w:eastAsia="Calibri" w:hAnsi="Times New Roman"/>
                <w:color w:val="000000"/>
                <w:sz w:val="20"/>
                <w:szCs w:val="20"/>
              </w:rPr>
            </w:pPr>
            <w:r>
              <w:rPr>
                <w:rFonts w:ascii="Times New Roman" w:eastAsia="Calibri" w:hAnsi="Times New Roman"/>
                <w:sz w:val="20"/>
                <w:szCs w:val="20"/>
              </w:rPr>
              <w:t>2,10,000</w:t>
            </w:r>
          </w:p>
        </w:tc>
        <w:tc>
          <w:tcPr>
            <w:tcW w:w="723" w:type="pct"/>
            <w:noWrap/>
            <w:vAlign w:val="center"/>
          </w:tcPr>
          <w:p w14:paraId="5E660950" w14:textId="77777777" w:rsidR="00681211" w:rsidRPr="000860EB" w:rsidRDefault="00681211"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w:t>
            </w:r>
          </w:p>
        </w:tc>
      </w:tr>
      <w:tr w:rsidR="00681211" w:rsidRPr="000860EB" w14:paraId="3D01F7BE" w14:textId="77777777" w:rsidTr="00250DAC">
        <w:trPr>
          <w:trHeight w:val="20"/>
          <w:jc w:val="center"/>
        </w:trPr>
        <w:tc>
          <w:tcPr>
            <w:tcW w:w="288" w:type="pct"/>
            <w:noWrap/>
            <w:vAlign w:val="center"/>
          </w:tcPr>
          <w:p w14:paraId="4E47ECBE" w14:textId="77777777" w:rsidR="00681211" w:rsidRPr="000860EB" w:rsidRDefault="00681211" w:rsidP="00250DAC">
            <w:pPr>
              <w:spacing w:after="0" w:line="240" w:lineRule="auto"/>
              <w:jc w:val="center"/>
              <w:rPr>
                <w:rFonts w:ascii="Times New Roman" w:eastAsia="Calibri" w:hAnsi="Times New Roman"/>
                <w:sz w:val="20"/>
                <w:szCs w:val="20"/>
              </w:rPr>
            </w:pPr>
          </w:p>
        </w:tc>
        <w:tc>
          <w:tcPr>
            <w:tcW w:w="1730" w:type="pct"/>
            <w:noWrap/>
          </w:tcPr>
          <w:p w14:paraId="38521528" w14:textId="77777777" w:rsidR="00681211" w:rsidRPr="000860EB" w:rsidRDefault="00681211" w:rsidP="00250DAC">
            <w:pPr>
              <w:spacing w:after="0" w:line="240" w:lineRule="auto"/>
              <w:jc w:val="both"/>
              <w:rPr>
                <w:rFonts w:ascii="Times New Roman" w:hAnsi="Times New Roman"/>
                <w:b/>
                <w:color w:val="000000"/>
                <w:sz w:val="20"/>
                <w:szCs w:val="20"/>
              </w:rPr>
            </w:pPr>
            <w:r w:rsidRPr="000860EB">
              <w:rPr>
                <w:rFonts w:ascii="Times New Roman" w:hAnsi="Times New Roman"/>
                <w:b/>
                <w:color w:val="000000"/>
                <w:sz w:val="20"/>
                <w:szCs w:val="20"/>
              </w:rPr>
              <w:t xml:space="preserve">Sub Total (A) </w:t>
            </w:r>
          </w:p>
        </w:tc>
        <w:tc>
          <w:tcPr>
            <w:tcW w:w="761" w:type="pct"/>
            <w:noWrap/>
            <w:vAlign w:val="center"/>
          </w:tcPr>
          <w:p w14:paraId="40027B18" w14:textId="77777777" w:rsidR="00681211" w:rsidRPr="000860EB" w:rsidRDefault="00681211" w:rsidP="00250DAC">
            <w:pPr>
              <w:spacing w:after="0" w:line="240" w:lineRule="auto"/>
              <w:jc w:val="center"/>
              <w:rPr>
                <w:rFonts w:ascii="Times New Roman" w:eastAsia="Calibri" w:hAnsi="Times New Roman"/>
                <w:b/>
                <w:color w:val="000000"/>
                <w:sz w:val="20"/>
                <w:szCs w:val="20"/>
              </w:rPr>
            </w:pPr>
            <w:r>
              <w:rPr>
                <w:rFonts w:ascii="Times New Roman" w:eastAsia="Calibri" w:hAnsi="Times New Roman"/>
                <w:b/>
                <w:color w:val="000000"/>
                <w:sz w:val="20"/>
                <w:szCs w:val="20"/>
              </w:rPr>
              <w:t>1,37,05,500</w:t>
            </w:r>
          </w:p>
        </w:tc>
        <w:tc>
          <w:tcPr>
            <w:tcW w:w="723" w:type="pct"/>
            <w:noWrap/>
            <w:vAlign w:val="center"/>
          </w:tcPr>
          <w:p w14:paraId="3A392036" w14:textId="77777777" w:rsidR="00681211" w:rsidRPr="000860EB" w:rsidRDefault="00681211" w:rsidP="00250DA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99.28</w:t>
            </w:r>
          </w:p>
        </w:tc>
        <w:tc>
          <w:tcPr>
            <w:tcW w:w="775" w:type="pct"/>
            <w:noWrap/>
            <w:vAlign w:val="center"/>
          </w:tcPr>
          <w:p w14:paraId="3C957EF3" w14:textId="77777777" w:rsidR="00681211" w:rsidRPr="000860EB" w:rsidRDefault="00681211" w:rsidP="00250DAC">
            <w:pPr>
              <w:spacing w:after="0" w:line="240" w:lineRule="auto"/>
              <w:jc w:val="center"/>
              <w:rPr>
                <w:rFonts w:ascii="Times New Roman" w:eastAsia="Calibri" w:hAnsi="Times New Roman"/>
                <w:b/>
                <w:color w:val="000000"/>
                <w:sz w:val="20"/>
                <w:szCs w:val="20"/>
              </w:rPr>
            </w:pPr>
            <w:r>
              <w:rPr>
                <w:rFonts w:ascii="Times New Roman" w:eastAsia="Calibri" w:hAnsi="Times New Roman"/>
                <w:b/>
                <w:color w:val="000000"/>
                <w:sz w:val="20"/>
                <w:szCs w:val="20"/>
              </w:rPr>
              <w:t>1,37,05,500</w:t>
            </w:r>
          </w:p>
        </w:tc>
        <w:tc>
          <w:tcPr>
            <w:tcW w:w="723" w:type="pct"/>
            <w:noWrap/>
            <w:vAlign w:val="center"/>
          </w:tcPr>
          <w:p w14:paraId="4E34071E" w14:textId="77777777" w:rsidR="00681211" w:rsidRPr="000860EB" w:rsidRDefault="00681211" w:rsidP="00250DAC">
            <w:pPr>
              <w:spacing w:after="0" w:line="240" w:lineRule="auto"/>
              <w:jc w:val="center"/>
              <w:rPr>
                <w:rFonts w:ascii="Times New Roman" w:hAnsi="Times New Roman"/>
                <w:b/>
                <w:color w:val="000000"/>
                <w:sz w:val="20"/>
                <w:szCs w:val="20"/>
              </w:rPr>
            </w:pPr>
            <w:r w:rsidRPr="000860EB">
              <w:rPr>
                <w:rFonts w:ascii="Times New Roman" w:eastAsia="Calibri" w:hAnsi="Times New Roman"/>
                <w:sz w:val="20"/>
                <w:szCs w:val="20"/>
              </w:rPr>
              <w:t>[●]</w:t>
            </w:r>
          </w:p>
        </w:tc>
      </w:tr>
      <w:tr w:rsidR="00681211" w:rsidRPr="000860EB" w14:paraId="3BA17A8C" w14:textId="77777777" w:rsidTr="00250DAC">
        <w:trPr>
          <w:trHeight w:val="20"/>
          <w:jc w:val="center"/>
        </w:trPr>
        <w:tc>
          <w:tcPr>
            <w:tcW w:w="288" w:type="pct"/>
            <w:shd w:val="clear" w:color="auto" w:fill="D0CECE" w:themeFill="background2" w:themeFillShade="E6"/>
            <w:noWrap/>
            <w:vAlign w:val="center"/>
          </w:tcPr>
          <w:p w14:paraId="1B6C1EE5" w14:textId="77777777" w:rsidR="00681211" w:rsidRPr="000860EB" w:rsidRDefault="00681211" w:rsidP="00250DAC">
            <w:pPr>
              <w:spacing w:after="0" w:line="240" w:lineRule="auto"/>
              <w:jc w:val="center"/>
              <w:rPr>
                <w:rFonts w:ascii="Times New Roman" w:eastAsia="Calibri" w:hAnsi="Times New Roman"/>
                <w:sz w:val="20"/>
                <w:szCs w:val="20"/>
              </w:rPr>
            </w:pPr>
          </w:p>
        </w:tc>
        <w:tc>
          <w:tcPr>
            <w:tcW w:w="1730" w:type="pct"/>
            <w:shd w:val="clear" w:color="auto" w:fill="D0CECE" w:themeFill="background2" w:themeFillShade="E6"/>
            <w:noWrap/>
          </w:tcPr>
          <w:p w14:paraId="1DE9F0E3" w14:textId="77777777" w:rsidR="00681211" w:rsidRPr="000860EB" w:rsidRDefault="00681211" w:rsidP="00250DAC">
            <w:pPr>
              <w:spacing w:after="0" w:line="240" w:lineRule="auto"/>
              <w:jc w:val="both"/>
              <w:rPr>
                <w:rFonts w:ascii="Times New Roman" w:hAnsi="Times New Roman"/>
                <w:color w:val="000000"/>
                <w:sz w:val="20"/>
                <w:szCs w:val="20"/>
              </w:rPr>
            </w:pPr>
            <w:r w:rsidRPr="000860EB">
              <w:rPr>
                <w:rFonts w:ascii="Times New Roman" w:hAnsi="Times New Roman"/>
                <w:b/>
                <w:bCs/>
                <w:sz w:val="20"/>
                <w:szCs w:val="20"/>
              </w:rPr>
              <w:t>Promoter Group (B)</w:t>
            </w:r>
          </w:p>
        </w:tc>
        <w:tc>
          <w:tcPr>
            <w:tcW w:w="761" w:type="pct"/>
            <w:shd w:val="clear" w:color="auto" w:fill="D0CECE" w:themeFill="background2" w:themeFillShade="E6"/>
            <w:noWrap/>
            <w:vAlign w:val="center"/>
          </w:tcPr>
          <w:p w14:paraId="32CB090F" w14:textId="77777777" w:rsidR="00681211" w:rsidRPr="000860EB" w:rsidRDefault="00681211" w:rsidP="00250DAC">
            <w:pPr>
              <w:spacing w:after="0" w:line="240" w:lineRule="auto"/>
              <w:jc w:val="center"/>
              <w:rPr>
                <w:rFonts w:ascii="Times New Roman" w:eastAsia="Calibri" w:hAnsi="Times New Roman"/>
                <w:color w:val="000000"/>
                <w:sz w:val="20"/>
                <w:szCs w:val="20"/>
              </w:rPr>
            </w:pPr>
          </w:p>
        </w:tc>
        <w:tc>
          <w:tcPr>
            <w:tcW w:w="723" w:type="pct"/>
            <w:shd w:val="clear" w:color="auto" w:fill="D0CECE" w:themeFill="background2" w:themeFillShade="E6"/>
            <w:noWrap/>
            <w:vAlign w:val="center"/>
          </w:tcPr>
          <w:p w14:paraId="32276110" w14:textId="77777777" w:rsidR="00681211" w:rsidRPr="000860EB" w:rsidRDefault="00681211" w:rsidP="00250DAC">
            <w:pPr>
              <w:spacing w:after="0" w:line="240" w:lineRule="auto"/>
              <w:jc w:val="center"/>
              <w:rPr>
                <w:rFonts w:ascii="Times New Roman" w:hAnsi="Times New Roman"/>
                <w:color w:val="000000"/>
                <w:sz w:val="20"/>
                <w:szCs w:val="20"/>
              </w:rPr>
            </w:pPr>
          </w:p>
        </w:tc>
        <w:tc>
          <w:tcPr>
            <w:tcW w:w="775" w:type="pct"/>
            <w:shd w:val="clear" w:color="auto" w:fill="D0CECE" w:themeFill="background2" w:themeFillShade="E6"/>
            <w:noWrap/>
            <w:vAlign w:val="center"/>
          </w:tcPr>
          <w:p w14:paraId="2BC369C5" w14:textId="77777777" w:rsidR="00681211" w:rsidRPr="000860EB" w:rsidRDefault="00681211" w:rsidP="00250DAC">
            <w:pPr>
              <w:spacing w:after="0" w:line="240" w:lineRule="auto"/>
              <w:jc w:val="center"/>
              <w:rPr>
                <w:rFonts w:ascii="Times New Roman" w:eastAsia="Calibri" w:hAnsi="Times New Roman"/>
                <w:color w:val="000000"/>
                <w:sz w:val="20"/>
                <w:szCs w:val="20"/>
              </w:rPr>
            </w:pPr>
          </w:p>
        </w:tc>
        <w:tc>
          <w:tcPr>
            <w:tcW w:w="723" w:type="pct"/>
            <w:shd w:val="clear" w:color="auto" w:fill="D0CECE" w:themeFill="background2" w:themeFillShade="E6"/>
            <w:noWrap/>
            <w:vAlign w:val="center"/>
          </w:tcPr>
          <w:p w14:paraId="02BD84EF" w14:textId="77777777" w:rsidR="00681211" w:rsidRPr="000860EB" w:rsidRDefault="00681211" w:rsidP="00250DAC">
            <w:pPr>
              <w:spacing w:after="0" w:line="240" w:lineRule="auto"/>
              <w:jc w:val="center"/>
              <w:rPr>
                <w:rFonts w:ascii="Times New Roman" w:hAnsi="Times New Roman"/>
                <w:color w:val="000000"/>
                <w:sz w:val="20"/>
                <w:szCs w:val="20"/>
              </w:rPr>
            </w:pPr>
          </w:p>
        </w:tc>
      </w:tr>
      <w:tr w:rsidR="00681211" w:rsidRPr="000860EB" w14:paraId="2C474EB2" w14:textId="77777777" w:rsidTr="00250DAC">
        <w:trPr>
          <w:trHeight w:val="20"/>
          <w:jc w:val="center"/>
        </w:trPr>
        <w:tc>
          <w:tcPr>
            <w:tcW w:w="288" w:type="pct"/>
            <w:noWrap/>
            <w:vAlign w:val="center"/>
          </w:tcPr>
          <w:p w14:paraId="3CE72FC4" w14:textId="77777777" w:rsidR="00681211" w:rsidRPr="000860EB" w:rsidRDefault="00681211"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lastRenderedPageBreak/>
              <w:t>4.</w:t>
            </w:r>
          </w:p>
        </w:tc>
        <w:tc>
          <w:tcPr>
            <w:tcW w:w="1730" w:type="pct"/>
            <w:noWrap/>
          </w:tcPr>
          <w:p w14:paraId="0C205A0F" w14:textId="77777777" w:rsidR="00681211" w:rsidRPr="000860EB" w:rsidRDefault="00681211" w:rsidP="00250DAC">
            <w:pPr>
              <w:spacing w:after="0" w:line="240" w:lineRule="auto"/>
              <w:jc w:val="both"/>
              <w:rPr>
                <w:rFonts w:ascii="Times New Roman" w:hAnsi="Times New Roman"/>
                <w:color w:val="000000"/>
                <w:sz w:val="20"/>
                <w:szCs w:val="20"/>
              </w:rPr>
            </w:pPr>
            <w:r w:rsidRPr="000860EB">
              <w:rPr>
                <w:rFonts w:ascii="Times New Roman" w:hAnsi="Times New Roman"/>
                <w:color w:val="000000"/>
                <w:sz w:val="20"/>
                <w:szCs w:val="20"/>
              </w:rPr>
              <w:t>Madhu Ramgopal Maheshwari</w:t>
            </w:r>
          </w:p>
        </w:tc>
        <w:tc>
          <w:tcPr>
            <w:tcW w:w="761" w:type="pct"/>
            <w:noWrap/>
            <w:vAlign w:val="center"/>
          </w:tcPr>
          <w:p w14:paraId="502B9B7C" w14:textId="77777777" w:rsidR="00681211" w:rsidRPr="000860EB" w:rsidRDefault="00681211" w:rsidP="00250DAC">
            <w:pPr>
              <w:spacing w:after="0" w:line="240" w:lineRule="auto"/>
              <w:jc w:val="center"/>
              <w:rPr>
                <w:rFonts w:ascii="Times New Roman" w:eastAsia="Calibri" w:hAnsi="Times New Roman"/>
                <w:color w:val="000000"/>
                <w:sz w:val="20"/>
                <w:szCs w:val="20"/>
              </w:rPr>
            </w:pPr>
            <w:r w:rsidRPr="000860EB">
              <w:rPr>
                <w:rFonts w:ascii="Times New Roman" w:eastAsia="Calibri" w:hAnsi="Times New Roman"/>
                <w:color w:val="000000"/>
                <w:sz w:val="20"/>
                <w:szCs w:val="20"/>
              </w:rPr>
              <w:t>40,000</w:t>
            </w:r>
          </w:p>
        </w:tc>
        <w:tc>
          <w:tcPr>
            <w:tcW w:w="723" w:type="pct"/>
            <w:noWrap/>
            <w:vAlign w:val="center"/>
          </w:tcPr>
          <w:p w14:paraId="33F8BA11" w14:textId="77777777" w:rsidR="00681211" w:rsidRPr="000860EB" w:rsidRDefault="00681211" w:rsidP="00250DAC">
            <w:pPr>
              <w:spacing w:after="0" w:line="240" w:lineRule="auto"/>
              <w:jc w:val="center"/>
              <w:rPr>
                <w:rFonts w:ascii="Times New Roman" w:hAnsi="Times New Roman"/>
                <w:color w:val="000000"/>
                <w:sz w:val="20"/>
                <w:szCs w:val="20"/>
              </w:rPr>
            </w:pPr>
            <w:r w:rsidRPr="000860EB">
              <w:rPr>
                <w:rFonts w:ascii="Times New Roman" w:hAnsi="Times New Roman"/>
                <w:color w:val="000000"/>
                <w:sz w:val="20"/>
                <w:szCs w:val="20"/>
              </w:rPr>
              <w:t>0.29</w:t>
            </w:r>
          </w:p>
        </w:tc>
        <w:tc>
          <w:tcPr>
            <w:tcW w:w="775" w:type="pct"/>
            <w:noWrap/>
            <w:vAlign w:val="center"/>
          </w:tcPr>
          <w:p w14:paraId="6806E5BB" w14:textId="77777777" w:rsidR="00681211" w:rsidRPr="000860EB" w:rsidRDefault="00681211" w:rsidP="00250DAC">
            <w:pPr>
              <w:spacing w:after="0" w:line="240" w:lineRule="auto"/>
              <w:jc w:val="center"/>
              <w:rPr>
                <w:rFonts w:ascii="Times New Roman" w:eastAsia="Calibri" w:hAnsi="Times New Roman"/>
                <w:color w:val="000000"/>
                <w:sz w:val="20"/>
                <w:szCs w:val="20"/>
              </w:rPr>
            </w:pPr>
            <w:r w:rsidRPr="000860EB">
              <w:rPr>
                <w:rFonts w:ascii="Times New Roman" w:eastAsia="Calibri" w:hAnsi="Times New Roman"/>
                <w:color w:val="000000"/>
                <w:sz w:val="20"/>
                <w:szCs w:val="20"/>
              </w:rPr>
              <w:t>40,000</w:t>
            </w:r>
          </w:p>
        </w:tc>
        <w:tc>
          <w:tcPr>
            <w:tcW w:w="723" w:type="pct"/>
            <w:noWrap/>
            <w:vAlign w:val="center"/>
          </w:tcPr>
          <w:p w14:paraId="6BA822AE" w14:textId="77777777" w:rsidR="00681211" w:rsidRPr="000860EB" w:rsidRDefault="00681211" w:rsidP="00250DAC">
            <w:pPr>
              <w:spacing w:after="0" w:line="240" w:lineRule="auto"/>
              <w:jc w:val="center"/>
              <w:rPr>
                <w:rFonts w:ascii="Times New Roman" w:hAnsi="Times New Roman"/>
                <w:color w:val="000000"/>
                <w:sz w:val="20"/>
                <w:szCs w:val="20"/>
              </w:rPr>
            </w:pPr>
            <w:r w:rsidRPr="000860EB">
              <w:rPr>
                <w:rFonts w:ascii="Times New Roman" w:eastAsia="Calibri" w:hAnsi="Times New Roman"/>
                <w:sz w:val="20"/>
                <w:szCs w:val="20"/>
              </w:rPr>
              <w:t>[●]</w:t>
            </w:r>
          </w:p>
        </w:tc>
      </w:tr>
      <w:tr w:rsidR="00681211" w:rsidRPr="000860EB" w14:paraId="7CD5FAFC" w14:textId="77777777" w:rsidTr="00250DAC">
        <w:trPr>
          <w:trHeight w:val="20"/>
          <w:jc w:val="center"/>
        </w:trPr>
        <w:tc>
          <w:tcPr>
            <w:tcW w:w="288" w:type="pct"/>
            <w:noWrap/>
            <w:vAlign w:val="center"/>
          </w:tcPr>
          <w:p w14:paraId="46A2C247" w14:textId="77777777" w:rsidR="00681211" w:rsidRPr="000860EB" w:rsidRDefault="00681211"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5.</w:t>
            </w:r>
          </w:p>
        </w:tc>
        <w:tc>
          <w:tcPr>
            <w:tcW w:w="1730" w:type="pct"/>
            <w:noWrap/>
          </w:tcPr>
          <w:p w14:paraId="6D03FFCC" w14:textId="77777777" w:rsidR="00681211" w:rsidRPr="000860EB" w:rsidRDefault="00681211" w:rsidP="00250DAC">
            <w:pPr>
              <w:spacing w:after="0" w:line="240" w:lineRule="auto"/>
              <w:jc w:val="both"/>
              <w:rPr>
                <w:rFonts w:ascii="Times New Roman" w:hAnsi="Times New Roman"/>
                <w:color w:val="000000"/>
                <w:sz w:val="20"/>
                <w:szCs w:val="20"/>
              </w:rPr>
            </w:pPr>
            <w:r w:rsidRPr="000860EB">
              <w:rPr>
                <w:rFonts w:ascii="Times New Roman" w:hAnsi="Times New Roman"/>
                <w:color w:val="000000"/>
                <w:sz w:val="20"/>
                <w:szCs w:val="20"/>
              </w:rPr>
              <w:t xml:space="preserve">Megha </w:t>
            </w:r>
            <w:r w:rsidRPr="000860EB">
              <w:rPr>
                <w:rFonts w:ascii="Times New Roman" w:hAnsi="Times New Roman"/>
                <w:sz w:val="20"/>
                <w:szCs w:val="20"/>
              </w:rPr>
              <w:t xml:space="preserve">Bhavesh </w:t>
            </w:r>
            <w:r w:rsidRPr="000860EB">
              <w:rPr>
                <w:rFonts w:ascii="Times New Roman" w:hAnsi="Times New Roman"/>
                <w:color w:val="000000"/>
                <w:sz w:val="20"/>
                <w:szCs w:val="20"/>
              </w:rPr>
              <w:t>Maheshwari</w:t>
            </w:r>
          </w:p>
        </w:tc>
        <w:tc>
          <w:tcPr>
            <w:tcW w:w="761" w:type="pct"/>
            <w:noWrap/>
            <w:vAlign w:val="center"/>
          </w:tcPr>
          <w:p w14:paraId="4D79256D" w14:textId="77777777" w:rsidR="00681211" w:rsidRPr="000860EB" w:rsidRDefault="00681211" w:rsidP="00250DAC">
            <w:pPr>
              <w:spacing w:after="0" w:line="240" w:lineRule="auto"/>
              <w:jc w:val="center"/>
              <w:rPr>
                <w:rFonts w:ascii="Times New Roman" w:eastAsia="Calibri" w:hAnsi="Times New Roman"/>
                <w:color w:val="000000"/>
                <w:sz w:val="20"/>
                <w:szCs w:val="20"/>
              </w:rPr>
            </w:pPr>
            <w:r w:rsidRPr="000860EB">
              <w:rPr>
                <w:rFonts w:ascii="Times New Roman" w:eastAsia="Calibri" w:hAnsi="Times New Roman"/>
                <w:color w:val="000000"/>
                <w:sz w:val="20"/>
                <w:szCs w:val="20"/>
              </w:rPr>
              <w:t>40,000</w:t>
            </w:r>
          </w:p>
        </w:tc>
        <w:tc>
          <w:tcPr>
            <w:tcW w:w="723" w:type="pct"/>
            <w:noWrap/>
            <w:vAlign w:val="center"/>
          </w:tcPr>
          <w:p w14:paraId="3B9DAB3A" w14:textId="77777777" w:rsidR="00681211" w:rsidRPr="000860EB" w:rsidRDefault="00681211" w:rsidP="00250DAC">
            <w:pPr>
              <w:spacing w:after="0" w:line="240" w:lineRule="auto"/>
              <w:jc w:val="center"/>
              <w:rPr>
                <w:rFonts w:ascii="Times New Roman" w:hAnsi="Times New Roman"/>
                <w:color w:val="000000"/>
                <w:sz w:val="20"/>
                <w:szCs w:val="20"/>
              </w:rPr>
            </w:pPr>
            <w:r w:rsidRPr="000860EB">
              <w:rPr>
                <w:rFonts w:ascii="Times New Roman" w:hAnsi="Times New Roman"/>
                <w:color w:val="000000"/>
                <w:sz w:val="20"/>
                <w:szCs w:val="20"/>
              </w:rPr>
              <w:t>0.29</w:t>
            </w:r>
          </w:p>
        </w:tc>
        <w:tc>
          <w:tcPr>
            <w:tcW w:w="775" w:type="pct"/>
            <w:noWrap/>
            <w:vAlign w:val="center"/>
          </w:tcPr>
          <w:p w14:paraId="2ABEA7BD" w14:textId="77777777" w:rsidR="00681211" w:rsidRPr="000860EB" w:rsidRDefault="00681211" w:rsidP="00250DAC">
            <w:pPr>
              <w:spacing w:after="0" w:line="240" w:lineRule="auto"/>
              <w:jc w:val="center"/>
              <w:rPr>
                <w:rFonts w:ascii="Times New Roman" w:eastAsia="Calibri" w:hAnsi="Times New Roman"/>
                <w:color w:val="000000"/>
                <w:sz w:val="20"/>
                <w:szCs w:val="20"/>
              </w:rPr>
            </w:pPr>
            <w:r w:rsidRPr="000860EB">
              <w:rPr>
                <w:rFonts w:ascii="Times New Roman" w:eastAsia="Calibri" w:hAnsi="Times New Roman"/>
                <w:color w:val="000000"/>
                <w:sz w:val="20"/>
                <w:szCs w:val="20"/>
              </w:rPr>
              <w:t>40,000</w:t>
            </w:r>
          </w:p>
        </w:tc>
        <w:tc>
          <w:tcPr>
            <w:tcW w:w="723" w:type="pct"/>
            <w:noWrap/>
            <w:vAlign w:val="center"/>
          </w:tcPr>
          <w:p w14:paraId="6F35C510" w14:textId="77777777" w:rsidR="00681211" w:rsidRPr="000860EB" w:rsidRDefault="00681211" w:rsidP="00250DAC">
            <w:pPr>
              <w:spacing w:after="0" w:line="240" w:lineRule="auto"/>
              <w:jc w:val="center"/>
              <w:rPr>
                <w:rFonts w:ascii="Times New Roman" w:hAnsi="Times New Roman"/>
                <w:color w:val="000000"/>
                <w:sz w:val="20"/>
                <w:szCs w:val="20"/>
              </w:rPr>
            </w:pPr>
            <w:r w:rsidRPr="000860EB">
              <w:rPr>
                <w:rFonts w:ascii="Times New Roman" w:eastAsia="Calibri" w:hAnsi="Times New Roman"/>
                <w:sz w:val="20"/>
                <w:szCs w:val="20"/>
              </w:rPr>
              <w:t>[●]</w:t>
            </w:r>
          </w:p>
        </w:tc>
      </w:tr>
      <w:tr w:rsidR="00681211" w:rsidRPr="000860EB" w14:paraId="175CBCA5" w14:textId="77777777" w:rsidTr="00250DAC">
        <w:trPr>
          <w:trHeight w:val="20"/>
          <w:jc w:val="center"/>
        </w:trPr>
        <w:tc>
          <w:tcPr>
            <w:tcW w:w="288" w:type="pct"/>
            <w:noWrap/>
            <w:vAlign w:val="center"/>
          </w:tcPr>
          <w:p w14:paraId="380A7F46" w14:textId="77777777" w:rsidR="00681211" w:rsidRPr="000860EB" w:rsidRDefault="00681211"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6.</w:t>
            </w:r>
          </w:p>
        </w:tc>
        <w:tc>
          <w:tcPr>
            <w:tcW w:w="1730" w:type="pct"/>
            <w:noWrap/>
          </w:tcPr>
          <w:p w14:paraId="05C15F4C" w14:textId="77777777" w:rsidR="00681211" w:rsidRPr="000860EB" w:rsidRDefault="00681211" w:rsidP="00250DAC">
            <w:pPr>
              <w:spacing w:after="0" w:line="240" w:lineRule="auto"/>
              <w:jc w:val="both"/>
              <w:rPr>
                <w:rFonts w:ascii="Times New Roman" w:hAnsi="Times New Roman"/>
                <w:color w:val="000000"/>
                <w:sz w:val="20"/>
                <w:szCs w:val="20"/>
              </w:rPr>
            </w:pPr>
            <w:r>
              <w:rPr>
                <w:rFonts w:ascii="Times New Roman" w:hAnsi="Times New Roman"/>
                <w:sz w:val="20"/>
                <w:szCs w:val="20"/>
              </w:rPr>
              <w:t>M</w:t>
            </w:r>
            <w:r w:rsidRPr="00126C33">
              <w:rPr>
                <w:rFonts w:ascii="Times New Roman" w:hAnsi="Times New Roman"/>
                <w:sz w:val="20"/>
                <w:szCs w:val="20"/>
              </w:rPr>
              <w:t>aheshwari Ramgopal Ochha</w:t>
            </w:r>
            <w:r>
              <w:rPr>
                <w:rFonts w:ascii="Times New Roman" w:hAnsi="Times New Roman"/>
                <w:sz w:val="20"/>
                <w:szCs w:val="20"/>
              </w:rPr>
              <w:t>v</w:t>
            </w:r>
            <w:r w:rsidRPr="00126C33">
              <w:rPr>
                <w:rFonts w:ascii="Times New Roman" w:hAnsi="Times New Roman"/>
                <w:sz w:val="20"/>
                <w:szCs w:val="20"/>
              </w:rPr>
              <w:t xml:space="preserve">lal </w:t>
            </w:r>
            <w:r w:rsidRPr="000860EB">
              <w:rPr>
                <w:rFonts w:ascii="Times New Roman" w:hAnsi="Times New Roman"/>
                <w:color w:val="000000"/>
                <w:sz w:val="20"/>
                <w:szCs w:val="20"/>
              </w:rPr>
              <w:t>HUF</w:t>
            </w:r>
          </w:p>
        </w:tc>
        <w:tc>
          <w:tcPr>
            <w:tcW w:w="761" w:type="pct"/>
            <w:noWrap/>
            <w:vAlign w:val="center"/>
          </w:tcPr>
          <w:p w14:paraId="6671A94B" w14:textId="77777777" w:rsidR="00681211" w:rsidRPr="000860EB" w:rsidRDefault="00681211" w:rsidP="00250DAC">
            <w:pPr>
              <w:spacing w:after="0" w:line="240" w:lineRule="auto"/>
              <w:jc w:val="center"/>
              <w:rPr>
                <w:rFonts w:ascii="Times New Roman" w:eastAsia="Calibri" w:hAnsi="Times New Roman"/>
                <w:color w:val="000000"/>
                <w:sz w:val="20"/>
                <w:szCs w:val="20"/>
              </w:rPr>
            </w:pPr>
            <w:r w:rsidRPr="000860EB">
              <w:rPr>
                <w:rFonts w:ascii="Times New Roman" w:eastAsia="Calibri" w:hAnsi="Times New Roman"/>
                <w:color w:val="000000"/>
                <w:sz w:val="20"/>
                <w:szCs w:val="20"/>
              </w:rPr>
              <w:t>10,000</w:t>
            </w:r>
          </w:p>
        </w:tc>
        <w:tc>
          <w:tcPr>
            <w:tcW w:w="723" w:type="pct"/>
            <w:noWrap/>
            <w:vAlign w:val="center"/>
          </w:tcPr>
          <w:p w14:paraId="31789569" w14:textId="77777777" w:rsidR="00681211" w:rsidRPr="000860EB" w:rsidRDefault="00681211" w:rsidP="00250DAC">
            <w:pPr>
              <w:spacing w:after="0" w:line="240" w:lineRule="auto"/>
              <w:jc w:val="center"/>
              <w:rPr>
                <w:rFonts w:ascii="Times New Roman" w:hAnsi="Times New Roman"/>
                <w:color w:val="000000"/>
                <w:sz w:val="20"/>
                <w:szCs w:val="20"/>
              </w:rPr>
            </w:pPr>
            <w:r w:rsidRPr="000860EB">
              <w:rPr>
                <w:rFonts w:ascii="Times New Roman" w:hAnsi="Times New Roman"/>
                <w:color w:val="000000"/>
                <w:sz w:val="20"/>
                <w:szCs w:val="20"/>
              </w:rPr>
              <w:t>0.07</w:t>
            </w:r>
          </w:p>
        </w:tc>
        <w:tc>
          <w:tcPr>
            <w:tcW w:w="775" w:type="pct"/>
            <w:noWrap/>
            <w:vAlign w:val="center"/>
          </w:tcPr>
          <w:p w14:paraId="7A08BDF3" w14:textId="77777777" w:rsidR="00681211" w:rsidRPr="000860EB" w:rsidRDefault="00681211" w:rsidP="00250DAC">
            <w:pPr>
              <w:spacing w:after="0" w:line="240" w:lineRule="auto"/>
              <w:jc w:val="center"/>
              <w:rPr>
                <w:rFonts w:ascii="Times New Roman" w:eastAsia="Calibri" w:hAnsi="Times New Roman"/>
                <w:color w:val="000000"/>
                <w:sz w:val="20"/>
                <w:szCs w:val="20"/>
              </w:rPr>
            </w:pPr>
            <w:r w:rsidRPr="000860EB">
              <w:rPr>
                <w:rFonts w:ascii="Times New Roman" w:eastAsia="Calibri" w:hAnsi="Times New Roman"/>
                <w:color w:val="000000"/>
                <w:sz w:val="20"/>
                <w:szCs w:val="20"/>
              </w:rPr>
              <w:t>10,000</w:t>
            </w:r>
          </w:p>
        </w:tc>
        <w:tc>
          <w:tcPr>
            <w:tcW w:w="723" w:type="pct"/>
            <w:noWrap/>
            <w:vAlign w:val="center"/>
          </w:tcPr>
          <w:p w14:paraId="3C6C0731" w14:textId="77777777" w:rsidR="00681211" w:rsidRPr="000860EB" w:rsidRDefault="00681211"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w:t>
            </w:r>
          </w:p>
        </w:tc>
      </w:tr>
      <w:tr w:rsidR="00681211" w:rsidRPr="000860EB" w14:paraId="78C242EE" w14:textId="77777777" w:rsidTr="00250DAC">
        <w:trPr>
          <w:trHeight w:val="20"/>
          <w:jc w:val="center"/>
        </w:trPr>
        <w:tc>
          <w:tcPr>
            <w:tcW w:w="288" w:type="pct"/>
            <w:noWrap/>
            <w:vAlign w:val="center"/>
          </w:tcPr>
          <w:p w14:paraId="5BBDB140" w14:textId="77777777" w:rsidR="00681211" w:rsidRPr="000860EB" w:rsidRDefault="00681211" w:rsidP="00250DAC">
            <w:pPr>
              <w:spacing w:after="0" w:line="240" w:lineRule="auto"/>
              <w:jc w:val="center"/>
              <w:rPr>
                <w:rFonts w:ascii="Times New Roman" w:eastAsia="Calibri" w:hAnsi="Times New Roman"/>
                <w:sz w:val="20"/>
                <w:szCs w:val="20"/>
              </w:rPr>
            </w:pPr>
            <w:r>
              <w:rPr>
                <w:rFonts w:ascii="Times New Roman" w:eastAsia="Calibri" w:hAnsi="Times New Roman"/>
                <w:sz w:val="20"/>
                <w:szCs w:val="20"/>
              </w:rPr>
              <w:t>7.</w:t>
            </w:r>
          </w:p>
        </w:tc>
        <w:tc>
          <w:tcPr>
            <w:tcW w:w="1730" w:type="pct"/>
            <w:noWrap/>
          </w:tcPr>
          <w:p w14:paraId="1745BDA4" w14:textId="77777777" w:rsidR="00681211" w:rsidRPr="000860EB" w:rsidRDefault="00681211" w:rsidP="00250DAC">
            <w:pPr>
              <w:spacing w:after="0" w:line="240" w:lineRule="auto"/>
              <w:jc w:val="both"/>
              <w:rPr>
                <w:rFonts w:ascii="Times New Roman" w:hAnsi="Times New Roman"/>
                <w:color w:val="000000"/>
                <w:sz w:val="20"/>
                <w:szCs w:val="20"/>
              </w:rPr>
            </w:pPr>
            <w:r w:rsidRPr="00910C32">
              <w:rPr>
                <w:rFonts w:ascii="Times New Roman" w:hAnsi="Times New Roman"/>
                <w:color w:val="000000"/>
                <w:sz w:val="20"/>
                <w:szCs w:val="20"/>
              </w:rPr>
              <w:t>Bhavesh Ramgopal Maheshwari</w:t>
            </w:r>
            <w:r>
              <w:rPr>
                <w:rFonts w:ascii="Times New Roman" w:hAnsi="Times New Roman"/>
                <w:color w:val="000000"/>
                <w:sz w:val="20"/>
                <w:szCs w:val="20"/>
              </w:rPr>
              <w:t xml:space="preserve"> HUF</w:t>
            </w:r>
          </w:p>
        </w:tc>
        <w:tc>
          <w:tcPr>
            <w:tcW w:w="761" w:type="pct"/>
            <w:noWrap/>
            <w:vAlign w:val="center"/>
          </w:tcPr>
          <w:p w14:paraId="69890ACD" w14:textId="77777777" w:rsidR="00681211" w:rsidRPr="000860EB" w:rsidRDefault="00681211" w:rsidP="00250DAC">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10,000</w:t>
            </w:r>
          </w:p>
        </w:tc>
        <w:tc>
          <w:tcPr>
            <w:tcW w:w="723" w:type="pct"/>
            <w:noWrap/>
            <w:vAlign w:val="center"/>
          </w:tcPr>
          <w:p w14:paraId="49704C97" w14:textId="77777777" w:rsidR="00681211" w:rsidRPr="000860EB" w:rsidRDefault="00681211" w:rsidP="00250DA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0.07</w:t>
            </w:r>
          </w:p>
        </w:tc>
        <w:tc>
          <w:tcPr>
            <w:tcW w:w="775" w:type="pct"/>
            <w:noWrap/>
            <w:vAlign w:val="center"/>
          </w:tcPr>
          <w:p w14:paraId="743708D4" w14:textId="77777777" w:rsidR="00681211" w:rsidRPr="000860EB" w:rsidRDefault="00681211" w:rsidP="00250DAC">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10,000</w:t>
            </w:r>
          </w:p>
        </w:tc>
        <w:tc>
          <w:tcPr>
            <w:tcW w:w="723" w:type="pct"/>
            <w:noWrap/>
            <w:vAlign w:val="center"/>
          </w:tcPr>
          <w:p w14:paraId="7E5AB442" w14:textId="77777777" w:rsidR="00681211" w:rsidRPr="000860EB" w:rsidRDefault="00681211"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w:t>
            </w:r>
          </w:p>
        </w:tc>
      </w:tr>
      <w:tr w:rsidR="00681211" w:rsidRPr="000860EB" w14:paraId="685DC55D" w14:textId="77777777" w:rsidTr="00250DAC">
        <w:trPr>
          <w:trHeight w:val="20"/>
          <w:jc w:val="center"/>
        </w:trPr>
        <w:tc>
          <w:tcPr>
            <w:tcW w:w="288" w:type="pct"/>
            <w:noWrap/>
            <w:vAlign w:val="center"/>
          </w:tcPr>
          <w:p w14:paraId="4F8EA783" w14:textId="77777777" w:rsidR="00681211" w:rsidRPr="000860EB" w:rsidRDefault="00681211" w:rsidP="00250DAC">
            <w:pPr>
              <w:spacing w:after="0" w:line="240" w:lineRule="auto"/>
              <w:jc w:val="center"/>
              <w:rPr>
                <w:rFonts w:ascii="Times New Roman" w:eastAsia="Calibri" w:hAnsi="Times New Roman"/>
                <w:sz w:val="20"/>
                <w:szCs w:val="20"/>
              </w:rPr>
            </w:pPr>
          </w:p>
        </w:tc>
        <w:tc>
          <w:tcPr>
            <w:tcW w:w="1730" w:type="pct"/>
            <w:noWrap/>
          </w:tcPr>
          <w:p w14:paraId="2EBD1A97" w14:textId="77777777" w:rsidR="00681211" w:rsidRPr="000860EB" w:rsidRDefault="00681211" w:rsidP="00250DAC">
            <w:pPr>
              <w:spacing w:after="0" w:line="240" w:lineRule="auto"/>
              <w:rPr>
                <w:rFonts w:ascii="Times New Roman" w:hAnsi="Times New Roman"/>
                <w:color w:val="000000"/>
                <w:sz w:val="20"/>
                <w:szCs w:val="20"/>
              </w:rPr>
            </w:pPr>
            <w:r w:rsidRPr="000860EB">
              <w:rPr>
                <w:rFonts w:ascii="Times New Roman" w:hAnsi="Times New Roman"/>
                <w:b/>
                <w:color w:val="000000"/>
                <w:sz w:val="20"/>
                <w:szCs w:val="20"/>
              </w:rPr>
              <w:t>Sub Total (B)</w:t>
            </w:r>
          </w:p>
        </w:tc>
        <w:tc>
          <w:tcPr>
            <w:tcW w:w="761" w:type="pct"/>
            <w:noWrap/>
            <w:vAlign w:val="center"/>
          </w:tcPr>
          <w:p w14:paraId="27B1F011" w14:textId="77777777" w:rsidR="00681211" w:rsidRPr="000860EB" w:rsidRDefault="00681211" w:rsidP="00250DAC">
            <w:pPr>
              <w:spacing w:after="0" w:line="240" w:lineRule="auto"/>
              <w:jc w:val="center"/>
              <w:rPr>
                <w:rFonts w:ascii="Times New Roman" w:eastAsia="Calibri" w:hAnsi="Times New Roman"/>
                <w:b/>
                <w:color w:val="000000"/>
                <w:sz w:val="20"/>
                <w:szCs w:val="20"/>
              </w:rPr>
            </w:pPr>
            <w:r>
              <w:rPr>
                <w:rFonts w:ascii="Times New Roman" w:eastAsia="Calibri" w:hAnsi="Times New Roman"/>
                <w:b/>
                <w:color w:val="000000"/>
                <w:sz w:val="20"/>
                <w:szCs w:val="20"/>
              </w:rPr>
              <w:t>1,00</w:t>
            </w:r>
            <w:r w:rsidRPr="000860EB">
              <w:rPr>
                <w:rFonts w:ascii="Times New Roman" w:eastAsia="Calibri" w:hAnsi="Times New Roman"/>
                <w:b/>
                <w:color w:val="000000"/>
                <w:sz w:val="20"/>
                <w:szCs w:val="20"/>
              </w:rPr>
              <w:t>,000</w:t>
            </w:r>
          </w:p>
        </w:tc>
        <w:tc>
          <w:tcPr>
            <w:tcW w:w="723" w:type="pct"/>
            <w:noWrap/>
            <w:vAlign w:val="center"/>
          </w:tcPr>
          <w:p w14:paraId="70539483" w14:textId="77777777" w:rsidR="00681211" w:rsidRPr="000860EB" w:rsidRDefault="00681211" w:rsidP="00250DA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0.72</w:t>
            </w:r>
          </w:p>
        </w:tc>
        <w:tc>
          <w:tcPr>
            <w:tcW w:w="775" w:type="pct"/>
            <w:noWrap/>
            <w:vAlign w:val="center"/>
          </w:tcPr>
          <w:p w14:paraId="51756BB6" w14:textId="77777777" w:rsidR="00681211" w:rsidRPr="000860EB" w:rsidRDefault="00681211" w:rsidP="00250DAC">
            <w:pPr>
              <w:spacing w:after="0" w:line="240" w:lineRule="auto"/>
              <w:jc w:val="center"/>
              <w:rPr>
                <w:rFonts w:ascii="Times New Roman" w:eastAsia="Calibri" w:hAnsi="Times New Roman"/>
                <w:b/>
                <w:color w:val="000000"/>
                <w:sz w:val="20"/>
                <w:szCs w:val="20"/>
              </w:rPr>
            </w:pPr>
            <w:r>
              <w:rPr>
                <w:rFonts w:ascii="Times New Roman" w:eastAsia="Calibri" w:hAnsi="Times New Roman"/>
                <w:b/>
                <w:color w:val="000000"/>
                <w:sz w:val="20"/>
                <w:szCs w:val="20"/>
              </w:rPr>
              <w:t>1,00,000</w:t>
            </w:r>
          </w:p>
        </w:tc>
        <w:tc>
          <w:tcPr>
            <w:tcW w:w="723" w:type="pct"/>
            <w:noWrap/>
            <w:vAlign w:val="center"/>
          </w:tcPr>
          <w:p w14:paraId="20B2045A" w14:textId="77777777" w:rsidR="00681211" w:rsidRPr="000860EB" w:rsidRDefault="00681211" w:rsidP="00250DAC">
            <w:pPr>
              <w:spacing w:after="0" w:line="240" w:lineRule="auto"/>
              <w:jc w:val="center"/>
              <w:rPr>
                <w:rFonts w:ascii="Times New Roman" w:hAnsi="Times New Roman"/>
                <w:b/>
                <w:color w:val="000000"/>
                <w:sz w:val="20"/>
                <w:szCs w:val="20"/>
              </w:rPr>
            </w:pPr>
            <w:r w:rsidRPr="000860EB">
              <w:rPr>
                <w:rFonts w:ascii="Times New Roman" w:eastAsia="Calibri" w:hAnsi="Times New Roman"/>
                <w:sz w:val="20"/>
                <w:szCs w:val="20"/>
              </w:rPr>
              <w:t>[●]</w:t>
            </w:r>
          </w:p>
        </w:tc>
      </w:tr>
      <w:tr w:rsidR="00681211" w:rsidRPr="000860EB" w14:paraId="556875F3" w14:textId="77777777" w:rsidTr="00250DAC">
        <w:trPr>
          <w:trHeight w:val="64"/>
          <w:jc w:val="center"/>
        </w:trPr>
        <w:tc>
          <w:tcPr>
            <w:tcW w:w="288" w:type="pct"/>
            <w:shd w:val="clear" w:color="auto" w:fill="auto"/>
            <w:noWrap/>
            <w:vAlign w:val="center"/>
          </w:tcPr>
          <w:p w14:paraId="7069645D" w14:textId="77777777" w:rsidR="00681211" w:rsidRPr="000860EB" w:rsidRDefault="00681211" w:rsidP="00250DAC">
            <w:pPr>
              <w:spacing w:after="0" w:line="240" w:lineRule="auto"/>
              <w:jc w:val="center"/>
              <w:rPr>
                <w:rFonts w:ascii="Times New Roman" w:eastAsia="Calibri" w:hAnsi="Times New Roman"/>
                <w:sz w:val="20"/>
                <w:szCs w:val="20"/>
              </w:rPr>
            </w:pPr>
          </w:p>
        </w:tc>
        <w:tc>
          <w:tcPr>
            <w:tcW w:w="1730" w:type="pct"/>
            <w:shd w:val="clear" w:color="auto" w:fill="auto"/>
            <w:noWrap/>
            <w:vAlign w:val="bottom"/>
            <w:hideMark/>
          </w:tcPr>
          <w:p w14:paraId="163C2CFD" w14:textId="77777777" w:rsidR="00681211" w:rsidRPr="000860EB" w:rsidRDefault="00681211" w:rsidP="00250DAC">
            <w:pPr>
              <w:spacing w:after="0" w:line="240" w:lineRule="auto"/>
              <w:rPr>
                <w:rFonts w:ascii="Times New Roman" w:eastAsia="Calibri" w:hAnsi="Times New Roman"/>
                <w:b/>
                <w:sz w:val="20"/>
                <w:szCs w:val="20"/>
              </w:rPr>
            </w:pPr>
            <w:r w:rsidRPr="000860EB">
              <w:rPr>
                <w:rFonts w:ascii="Times New Roman" w:eastAsia="Calibri" w:hAnsi="Times New Roman"/>
                <w:b/>
                <w:sz w:val="20"/>
                <w:szCs w:val="20"/>
              </w:rPr>
              <w:t>Total (A) + (B)</w:t>
            </w:r>
          </w:p>
        </w:tc>
        <w:tc>
          <w:tcPr>
            <w:tcW w:w="761" w:type="pct"/>
            <w:shd w:val="clear" w:color="auto" w:fill="auto"/>
            <w:noWrap/>
            <w:vAlign w:val="center"/>
          </w:tcPr>
          <w:p w14:paraId="1D969A4A" w14:textId="77777777" w:rsidR="00681211" w:rsidRPr="000860EB" w:rsidRDefault="00681211" w:rsidP="00250DAC">
            <w:pPr>
              <w:spacing w:after="0" w:line="240" w:lineRule="auto"/>
              <w:jc w:val="center"/>
              <w:rPr>
                <w:rFonts w:ascii="Times New Roman" w:eastAsia="Calibri" w:hAnsi="Times New Roman"/>
                <w:b/>
                <w:sz w:val="20"/>
                <w:szCs w:val="20"/>
              </w:rPr>
            </w:pPr>
            <w:r>
              <w:rPr>
                <w:rFonts w:ascii="Times New Roman" w:eastAsia="Calibri" w:hAnsi="Times New Roman"/>
                <w:b/>
                <w:sz w:val="20"/>
                <w:szCs w:val="20"/>
              </w:rPr>
              <w:t>1,38,05,500</w:t>
            </w:r>
          </w:p>
        </w:tc>
        <w:tc>
          <w:tcPr>
            <w:tcW w:w="723" w:type="pct"/>
            <w:shd w:val="clear" w:color="auto" w:fill="auto"/>
            <w:noWrap/>
            <w:vAlign w:val="center"/>
          </w:tcPr>
          <w:p w14:paraId="35A9BB16" w14:textId="77777777" w:rsidR="00681211" w:rsidRPr="000860EB" w:rsidRDefault="00681211" w:rsidP="00250DA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100.00</w:t>
            </w:r>
          </w:p>
        </w:tc>
        <w:tc>
          <w:tcPr>
            <w:tcW w:w="775" w:type="pct"/>
            <w:shd w:val="clear" w:color="auto" w:fill="auto"/>
            <w:noWrap/>
            <w:vAlign w:val="center"/>
          </w:tcPr>
          <w:p w14:paraId="4B7B094B" w14:textId="77777777" w:rsidR="00681211" w:rsidRPr="000860EB" w:rsidRDefault="00681211" w:rsidP="00250DAC">
            <w:pPr>
              <w:spacing w:after="0" w:line="240" w:lineRule="auto"/>
              <w:jc w:val="center"/>
              <w:rPr>
                <w:rFonts w:ascii="Times New Roman" w:eastAsia="Calibri" w:hAnsi="Times New Roman"/>
                <w:b/>
                <w:sz w:val="20"/>
                <w:szCs w:val="20"/>
              </w:rPr>
            </w:pPr>
            <w:r>
              <w:rPr>
                <w:rFonts w:ascii="Times New Roman" w:eastAsia="Calibri" w:hAnsi="Times New Roman"/>
                <w:b/>
                <w:sz w:val="20"/>
                <w:szCs w:val="20"/>
              </w:rPr>
              <w:t>1,38,05,500</w:t>
            </w:r>
          </w:p>
        </w:tc>
        <w:tc>
          <w:tcPr>
            <w:tcW w:w="723" w:type="pct"/>
            <w:shd w:val="clear" w:color="auto" w:fill="auto"/>
            <w:noWrap/>
            <w:vAlign w:val="center"/>
          </w:tcPr>
          <w:p w14:paraId="4A2054F7" w14:textId="77777777" w:rsidR="00681211" w:rsidRPr="000860EB" w:rsidRDefault="00681211" w:rsidP="00250DAC">
            <w:pPr>
              <w:spacing w:after="0" w:line="240" w:lineRule="auto"/>
              <w:jc w:val="center"/>
              <w:rPr>
                <w:rFonts w:ascii="Times New Roman" w:hAnsi="Times New Roman"/>
                <w:b/>
                <w:color w:val="000000"/>
                <w:sz w:val="20"/>
                <w:szCs w:val="20"/>
              </w:rPr>
            </w:pPr>
            <w:r w:rsidRPr="000860EB">
              <w:rPr>
                <w:rFonts w:ascii="Times New Roman" w:eastAsia="Calibri" w:hAnsi="Times New Roman"/>
                <w:sz w:val="20"/>
                <w:szCs w:val="20"/>
              </w:rPr>
              <w:t>[●]</w:t>
            </w:r>
          </w:p>
        </w:tc>
      </w:tr>
    </w:tbl>
    <w:p w14:paraId="52890A98" w14:textId="77777777" w:rsidR="00F8631B" w:rsidRDefault="00F8631B" w:rsidP="00F8631B">
      <w:pPr>
        <w:spacing w:after="0" w:line="240" w:lineRule="auto"/>
        <w:ind w:left="360"/>
        <w:rPr>
          <w:rFonts w:ascii="Times New Roman" w:hAnsi="Times New Roman"/>
          <w:b/>
          <w:bCs/>
          <w:sz w:val="20"/>
          <w:szCs w:val="20"/>
          <w:u w:val="single"/>
        </w:rPr>
      </w:pPr>
    </w:p>
    <w:p w14:paraId="6E683CB0" w14:textId="77777777" w:rsidR="00F8631B" w:rsidRPr="00712F3C" w:rsidRDefault="00F8631B">
      <w:pPr>
        <w:numPr>
          <w:ilvl w:val="0"/>
          <w:numId w:val="163"/>
        </w:numPr>
        <w:spacing w:after="0" w:line="240" w:lineRule="auto"/>
        <w:rPr>
          <w:rFonts w:ascii="Times New Roman" w:hAnsi="Times New Roman"/>
          <w:b/>
          <w:bCs/>
          <w:sz w:val="20"/>
          <w:szCs w:val="20"/>
          <w:u w:val="single"/>
        </w:rPr>
      </w:pPr>
      <w:r w:rsidRPr="00712F3C">
        <w:rPr>
          <w:rFonts w:ascii="Times New Roman" w:hAnsi="Times New Roman"/>
          <w:b/>
          <w:bCs/>
          <w:sz w:val="20"/>
          <w:szCs w:val="20"/>
          <w:u w:val="single"/>
        </w:rPr>
        <w:t>SUMMARY OF FINANCIAL INFORMATION</w:t>
      </w:r>
    </w:p>
    <w:p w14:paraId="2FED131D" w14:textId="77777777" w:rsidR="00F8631B" w:rsidRPr="00712F3C" w:rsidRDefault="00F8631B" w:rsidP="00F8631B">
      <w:pPr>
        <w:spacing w:after="0" w:line="240" w:lineRule="auto"/>
        <w:jc w:val="both"/>
        <w:rPr>
          <w:rFonts w:ascii="Times New Roman" w:eastAsia="MS Mincho" w:hAnsi="Times New Roman"/>
          <w:b/>
          <w:color w:val="000000"/>
          <w:sz w:val="20"/>
          <w:szCs w:val="20"/>
          <w:lang w:val="en-GB"/>
        </w:rPr>
      </w:pPr>
    </w:p>
    <w:p w14:paraId="35031E05" w14:textId="3975A890" w:rsidR="00F8631B" w:rsidRPr="00712F3C" w:rsidRDefault="00F8631B" w:rsidP="00F8631B">
      <w:pPr>
        <w:spacing w:after="0" w:line="240" w:lineRule="auto"/>
        <w:jc w:val="both"/>
        <w:rPr>
          <w:rFonts w:ascii="Times New Roman" w:eastAsia="MS Mincho" w:hAnsi="Times New Roman"/>
          <w:color w:val="000000"/>
          <w:sz w:val="20"/>
          <w:szCs w:val="20"/>
          <w:lang w:val="en-GB"/>
        </w:rPr>
      </w:pPr>
      <w:r w:rsidRPr="00712F3C">
        <w:rPr>
          <w:rFonts w:ascii="Times New Roman" w:eastAsia="MS Mincho" w:hAnsi="Times New Roman"/>
          <w:color w:val="000000"/>
          <w:sz w:val="20"/>
          <w:szCs w:val="20"/>
          <w:lang w:val="en-GB"/>
        </w:rPr>
        <w:t>Following are the details as per the restated financial statements for the period ended December 31, 2022 and for the financial years ended on March 31, 202</w:t>
      </w:r>
      <w:r w:rsidR="00681211">
        <w:rPr>
          <w:rFonts w:ascii="Times New Roman" w:eastAsia="MS Mincho" w:hAnsi="Times New Roman"/>
          <w:color w:val="000000"/>
          <w:sz w:val="20"/>
          <w:szCs w:val="20"/>
          <w:lang w:val="en-GB"/>
        </w:rPr>
        <w:t>3</w:t>
      </w:r>
      <w:r w:rsidRPr="00712F3C">
        <w:rPr>
          <w:rFonts w:ascii="Times New Roman" w:eastAsia="MS Mincho" w:hAnsi="Times New Roman"/>
          <w:color w:val="000000"/>
          <w:sz w:val="20"/>
          <w:szCs w:val="20"/>
          <w:lang w:val="en-GB"/>
        </w:rPr>
        <w:t>, March 31, 202</w:t>
      </w:r>
      <w:r w:rsidR="00681211">
        <w:rPr>
          <w:rFonts w:ascii="Times New Roman" w:eastAsia="MS Mincho" w:hAnsi="Times New Roman"/>
          <w:color w:val="000000"/>
          <w:sz w:val="20"/>
          <w:szCs w:val="20"/>
          <w:lang w:val="en-GB"/>
        </w:rPr>
        <w:t xml:space="preserve">2 </w:t>
      </w:r>
      <w:r w:rsidRPr="00712F3C">
        <w:rPr>
          <w:rFonts w:ascii="Times New Roman" w:eastAsia="MS Mincho" w:hAnsi="Times New Roman"/>
          <w:color w:val="000000"/>
          <w:sz w:val="20"/>
          <w:szCs w:val="20"/>
          <w:lang w:val="en-GB"/>
        </w:rPr>
        <w:t>and March 31, 202</w:t>
      </w:r>
      <w:r w:rsidR="00681211">
        <w:rPr>
          <w:rFonts w:ascii="Times New Roman" w:eastAsia="MS Mincho" w:hAnsi="Times New Roman"/>
          <w:color w:val="000000"/>
          <w:sz w:val="20"/>
          <w:szCs w:val="20"/>
          <w:lang w:val="en-GB"/>
        </w:rPr>
        <w:t>1</w:t>
      </w:r>
      <w:r w:rsidRPr="00712F3C">
        <w:rPr>
          <w:rFonts w:ascii="Times New Roman" w:eastAsia="MS Mincho" w:hAnsi="Times New Roman"/>
          <w:color w:val="000000"/>
          <w:sz w:val="20"/>
          <w:szCs w:val="20"/>
          <w:lang w:val="en-GB"/>
        </w:rPr>
        <w:t>:</w:t>
      </w:r>
    </w:p>
    <w:p w14:paraId="53A38187" w14:textId="77777777" w:rsidR="00F8631B" w:rsidRPr="00712F3C" w:rsidRDefault="00F8631B" w:rsidP="00F8631B">
      <w:pPr>
        <w:spacing w:after="0" w:line="240" w:lineRule="auto"/>
        <w:jc w:val="both"/>
        <w:rPr>
          <w:rFonts w:ascii="Times New Roman" w:eastAsia="MS Mincho" w:hAnsi="Times New Roman"/>
          <w:color w:val="000000"/>
          <w:sz w:val="20"/>
          <w:szCs w:val="20"/>
          <w:lang w:val="en-GB"/>
        </w:rPr>
      </w:pPr>
    </w:p>
    <w:p w14:paraId="42ACFE78" w14:textId="77777777" w:rsidR="00F8631B" w:rsidRPr="00712F3C" w:rsidRDefault="00F8631B" w:rsidP="00F8631B">
      <w:pPr>
        <w:spacing w:after="0" w:line="240" w:lineRule="auto"/>
        <w:jc w:val="right"/>
        <w:rPr>
          <w:rFonts w:ascii="Times New Roman" w:eastAsia="MS Mincho" w:hAnsi="Times New Roman"/>
          <w:color w:val="000000"/>
          <w:sz w:val="20"/>
          <w:szCs w:val="20"/>
          <w:lang w:val="en-GB"/>
        </w:rPr>
      </w:pPr>
      <w:r w:rsidRPr="00712F3C">
        <w:rPr>
          <w:rFonts w:ascii="Times New Roman" w:hAnsi="Times New Roman"/>
          <w:b/>
          <w:bCs/>
          <w:iCs/>
          <w:sz w:val="20"/>
          <w:szCs w:val="20"/>
          <w:lang w:val="en-GB"/>
        </w:rPr>
        <w:t>(₹ in lakhs)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85"/>
        <w:gridCol w:w="1916"/>
        <w:gridCol w:w="2079"/>
        <w:gridCol w:w="2077"/>
      </w:tblGrid>
      <w:tr w:rsidR="00681211" w:rsidRPr="00712F3C" w14:paraId="79B75DB2" w14:textId="77777777" w:rsidTr="00681211">
        <w:tc>
          <w:tcPr>
            <w:tcW w:w="2096" w:type="pct"/>
            <w:shd w:val="clear" w:color="auto" w:fill="D0CECE" w:themeFill="background2" w:themeFillShade="E6"/>
          </w:tcPr>
          <w:p w14:paraId="01AB270D" w14:textId="77777777" w:rsidR="00681211" w:rsidRPr="00712F3C" w:rsidRDefault="00681211" w:rsidP="00250DAC">
            <w:pPr>
              <w:spacing w:after="0" w:line="240" w:lineRule="auto"/>
              <w:jc w:val="center"/>
              <w:rPr>
                <w:rFonts w:ascii="Times New Roman" w:eastAsia="MS Mincho" w:hAnsi="Times New Roman"/>
                <w:b/>
                <w:color w:val="000000"/>
                <w:sz w:val="20"/>
                <w:szCs w:val="20"/>
                <w:lang w:val="en-GB"/>
              </w:rPr>
            </w:pPr>
            <w:r w:rsidRPr="00712F3C">
              <w:rPr>
                <w:rFonts w:ascii="Times New Roman" w:eastAsia="MS Mincho" w:hAnsi="Times New Roman"/>
                <w:b/>
                <w:color w:val="000000"/>
                <w:sz w:val="20"/>
                <w:szCs w:val="20"/>
                <w:lang w:val="en-GB"/>
              </w:rPr>
              <w:t>Particulars</w:t>
            </w:r>
          </w:p>
        </w:tc>
        <w:tc>
          <w:tcPr>
            <w:tcW w:w="916" w:type="pct"/>
            <w:shd w:val="clear" w:color="auto" w:fill="D0CECE" w:themeFill="background2" w:themeFillShade="E6"/>
          </w:tcPr>
          <w:p w14:paraId="5FE12714" w14:textId="5BCC6F70" w:rsidR="00681211" w:rsidRPr="00712F3C" w:rsidRDefault="00681211" w:rsidP="00250DAC">
            <w:pPr>
              <w:spacing w:after="0" w:line="240" w:lineRule="auto"/>
              <w:jc w:val="center"/>
              <w:rPr>
                <w:rFonts w:ascii="Times New Roman" w:eastAsia="MS Mincho" w:hAnsi="Times New Roman"/>
                <w:b/>
                <w:color w:val="000000"/>
                <w:sz w:val="20"/>
                <w:szCs w:val="20"/>
                <w:lang w:val="en-GB"/>
              </w:rPr>
            </w:pPr>
            <w:r w:rsidRPr="00712F3C">
              <w:rPr>
                <w:rFonts w:ascii="Times New Roman" w:eastAsia="MS Mincho" w:hAnsi="Times New Roman"/>
                <w:b/>
                <w:color w:val="000000"/>
                <w:sz w:val="20"/>
                <w:szCs w:val="20"/>
                <w:lang w:val="en-GB"/>
              </w:rPr>
              <w:t>March 31, 202</w:t>
            </w:r>
            <w:r>
              <w:rPr>
                <w:rFonts w:ascii="Times New Roman" w:eastAsia="MS Mincho" w:hAnsi="Times New Roman"/>
                <w:b/>
                <w:color w:val="000000"/>
                <w:sz w:val="20"/>
                <w:szCs w:val="20"/>
                <w:lang w:val="en-GB"/>
              </w:rPr>
              <w:t>3</w:t>
            </w:r>
          </w:p>
        </w:tc>
        <w:tc>
          <w:tcPr>
            <w:tcW w:w="994" w:type="pct"/>
            <w:shd w:val="clear" w:color="auto" w:fill="D0CECE" w:themeFill="background2" w:themeFillShade="E6"/>
          </w:tcPr>
          <w:p w14:paraId="5BA52333" w14:textId="2EE27CA5" w:rsidR="00681211" w:rsidRPr="00712F3C" w:rsidRDefault="00681211" w:rsidP="00250DAC">
            <w:pPr>
              <w:spacing w:after="0" w:line="240" w:lineRule="auto"/>
              <w:jc w:val="center"/>
              <w:rPr>
                <w:rFonts w:ascii="Times New Roman" w:eastAsia="MS Mincho" w:hAnsi="Times New Roman"/>
                <w:b/>
                <w:color w:val="000000"/>
                <w:sz w:val="20"/>
                <w:szCs w:val="20"/>
                <w:lang w:val="en-GB"/>
              </w:rPr>
            </w:pPr>
            <w:r w:rsidRPr="00712F3C">
              <w:rPr>
                <w:rFonts w:ascii="Times New Roman" w:eastAsia="MS Mincho" w:hAnsi="Times New Roman"/>
                <w:b/>
                <w:color w:val="000000"/>
                <w:sz w:val="20"/>
                <w:szCs w:val="20"/>
                <w:lang w:val="en-GB"/>
              </w:rPr>
              <w:t>March 31, 202</w:t>
            </w:r>
            <w:r>
              <w:rPr>
                <w:rFonts w:ascii="Times New Roman" w:eastAsia="MS Mincho" w:hAnsi="Times New Roman"/>
                <w:b/>
                <w:color w:val="000000"/>
                <w:sz w:val="20"/>
                <w:szCs w:val="20"/>
                <w:lang w:val="en-GB"/>
              </w:rPr>
              <w:t>2</w:t>
            </w:r>
          </w:p>
        </w:tc>
        <w:tc>
          <w:tcPr>
            <w:tcW w:w="993" w:type="pct"/>
            <w:shd w:val="clear" w:color="auto" w:fill="D0CECE" w:themeFill="background2" w:themeFillShade="E6"/>
          </w:tcPr>
          <w:p w14:paraId="69443BCF" w14:textId="0AC9E6A4" w:rsidR="00681211" w:rsidRPr="00712F3C" w:rsidRDefault="00681211" w:rsidP="00250DAC">
            <w:pPr>
              <w:spacing w:after="0" w:line="240" w:lineRule="auto"/>
              <w:jc w:val="center"/>
              <w:rPr>
                <w:rFonts w:ascii="Times New Roman" w:eastAsia="MS Mincho" w:hAnsi="Times New Roman"/>
                <w:b/>
                <w:color w:val="000000"/>
                <w:sz w:val="20"/>
                <w:szCs w:val="20"/>
                <w:lang w:val="en-GB"/>
              </w:rPr>
            </w:pPr>
            <w:r w:rsidRPr="00712F3C">
              <w:rPr>
                <w:rFonts w:ascii="Times New Roman" w:eastAsia="MS Mincho" w:hAnsi="Times New Roman"/>
                <w:b/>
                <w:color w:val="000000"/>
                <w:sz w:val="20"/>
                <w:szCs w:val="20"/>
                <w:lang w:val="en-GB"/>
              </w:rPr>
              <w:t>March 31, 202</w:t>
            </w:r>
            <w:r>
              <w:rPr>
                <w:rFonts w:ascii="Times New Roman" w:eastAsia="MS Mincho" w:hAnsi="Times New Roman"/>
                <w:b/>
                <w:color w:val="000000"/>
                <w:sz w:val="20"/>
                <w:szCs w:val="20"/>
                <w:lang w:val="en-GB"/>
              </w:rPr>
              <w:t>1</w:t>
            </w:r>
          </w:p>
        </w:tc>
      </w:tr>
      <w:tr w:rsidR="00681211" w:rsidRPr="00712F3C" w14:paraId="03E57EE0" w14:textId="77777777" w:rsidTr="00681211">
        <w:tc>
          <w:tcPr>
            <w:tcW w:w="2096" w:type="pct"/>
            <w:shd w:val="clear" w:color="auto" w:fill="auto"/>
          </w:tcPr>
          <w:p w14:paraId="0A926C47" w14:textId="77777777" w:rsidR="00681211" w:rsidRPr="00712F3C" w:rsidRDefault="00681211" w:rsidP="00250DAC">
            <w:pPr>
              <w:spacing w:after="0" w:line="240" w:lineRule="auto"/>
              <w:jc w:val="both"/>
              <w:rPr>
                <w:rFonts w:ascii="Times New Roman" w:eastAsia="MS Mincho" w:hAnsi="Times New Roman"/>
                <w:color w:val="000000"/>
                <w:sz w:val="20"/>
                <w:szCs w:val="20"/>
                <w:lang w:val="en-GB"/>
              </w:rPr>
            </w:pPr>
            <w:r w:rsidRPr="00712F3C">
              <w:rPr>
                <w:rFonts w:ascii="Times New Roman" w:eastAsia="MS Mincho" w:hAnsi="Times New Roman"/>
                <w:color w:val="000000"/>
                <w:sz w:val="20"/>
                <w:szCs w:val="20"/>
                <w:lang w:val="en-GB"/>
              </w:rPr>
              <w:t>Equity Share Capital</w:t>
            </w:r>
          </w:p>
        </w:tc>
        <w:tc>
          <w:tcPr>
            <w:tcW w:w="916" w:type="pct"/>
            <w:shd w:val="clear" w:color="auto" w:fill="auto"/>
          </w:tcPr>
          <w:p w14:paraId="6747EC0B" w14:textId="27400877" w:rsidR="00681211" w:rsidRPr="00681211" w:rsidRDefault="00681211" w:rsidP="00681211">
            <w:pPr>
              <w:spacing w:after="0" w:line="240" w:lineRule="auto"/>
              <w:jc w:val="center"/>
              <w:rPr>
                <w:rFonts w:ascii="Times New Roman" w:hAnsi="Times New Roman"/>
                <w:sz w:val="20"/>
                <w:szCs w:val="20"/>
              </w:rPr>
            </w:pPr>
            <w:r w:rsidRPr="00681211">
              <w:rPr>
                <w:rFonts w:ascii="Times New Roman" w:hAnsi="Times New Roman"/>
                <w:sz w:val="20"/>
                <w:szCs w:val="20"/>
              </w:rPr>
              <w:t>1,380.55</w:t>
            </w:r>
          </w:p>
        </w:tc>
        <w:tc>
          <w:tcPr>
            <w:tcW w:w="994" w:type="pct"/>
            <w:shd w:val="clear" w:color="auto" w:fill="auto"/>
          </w:tcPr>
          <w:p w14:paraId="4D3748DF" w14:textId="3E283A29" w:rsidR="00681211" w:rsidRPr="00681211" w:rsidRDefault="00681211" w:rsidP="00681211">
            <w:pPr>
              <w:spacing w:after="0" w:line="240" w:lineRule="auto"/>
              <w:jc w:val="center"/>
              <w:rPr>
                <w:rFonts w:ascii="Times New Roman" w:hAnsi="Times New Roman"/>
                <w:sz w:val="20"/>
                <w:szCs w:val="20"/>
              </w:rPr>
            </w:pPr>
            <w:r w:rsidRPr="00681211">
              <w:rPr>
                <w:rFonts w:ascii="Times New Roman" w:hAnsi="Times New Roman"/>
                <w:sz w:val="20"/>
                <w:szCs w:val="20"/>
              </w:rPr>
              <w:t>1,380.55</w:t>
            </w:r>
          </w:p>
        </w:tc>
        <w:tc>
          <w:tcPr>
            <w:tcW w:w="993" w:type="pct"/>
            <w:shd w:val="clear" w:color="auto" w:fill="auto"/>
          </w:tcPr>
          <w:p w14:paraId="5CF37BE9" w14:textId="40A65F83" w:rsidR="00681211" w:rsidRPr="00681211" w:rsidRDefault="00681211" w:rsidP="00681211">
            <w:pPr>
              <w:spacing w:after="0" w:line="240" w:lineRule="auto"/>
              <w:jc w:val="center"/>
              <w:rPr>
                <w:rFonts w:ascii="Times New Roman" w:hAnsi="Times New Roman"/>
                <w:sz w:val="20"/>
                <w:szCs w:val="20"/>
              </w:rPr>
            </w:pPr>
            <w:r w:rsidRPr="00681211">
              <w:rPr>
                <w:rFonts w:ascii="Times New Roman" w:hAnsi="Times New Roman"/>
                <w:sz w:val="20"/>
                <w:szCs w:val="20"/>
              </w:rPr>
              <w:t>1,380.55</w:t>
            </w:r>
          </w:p>
        </w:tc>
      </w:tr>
      <w:tr w:rsidR="00681211" w:rsidRPr="00712F3C" w14:paraId="5ECE26D5" w14:textId="77777777" w:rsidTr="00681211">
        <w:tc>
          <w:tcPr>
            <w:tcW w:w="2096" w:type="pct"/>
            <w:shd w:val="clear" w:color="auto" w:fill="auto"/>
          </w:tcPr>
          <w:p w14:paraId="16411A10" w14:textId="77777777" w:rsidR="00681211" w:rsidRPr="00712F3C" w:rsidRDefault="00681211" w:rsidP="00681211">
            <w:pPr>
              <w:spacing w:after="0" w:line="240" w:lineRule="auto"/>
              <w:jc w:val="both"/>
              <w:rPr>
                <w:rFonts w:ascii="Times New Roman" w:eastAsia="MS Mincho" w:hAnsi="Times New Roman"/>
                <w:color w:val="000000"/>
                <w:sz w:val="20"/>
                <w:szCs w:val="20"/>
                <w:lang w:val="en-GB"/>
              </w:rPr>
            </w:pPr>
            <w:r w:rsidRPr="00712F3C">
              <w:rPr>
                <w:rFonts w:ascii="Times New Roman" w:eastAsia="MS Mincho" w:hAnsi="Times New Roman"/>
                <w:color w:val="000000"/>
                <w:sz w:val="20"/>
                <w:szCs w:val="20"/>
                <w:lang w:val="en-GB"/>
              </w:rPr>
              <w:t>Total Equity</w:t>
            </w:r>
          </w:p>
        </w:tc>
        <w:tc>
          <w:tcPr>
            <w:tcW w:w="916" w:type="pct"/>
            <w:shd w:val="clear" w:color="auto" w:fill="auto"/>
          </w:tcPr>
          <w:p w14:paraId="2064FBD8" w14:textId="6D9E837C" w:rsidR="00681211" w:rsidRPr="00681211" w:rsidRDefault="00681211" w:rsidP="00681211">
            <w:pPr>
              <w:spacing w:after="0" w:line="240" w:lineRule="auto"/>
              <w:jc w:val="center"/>
              <w:rPr>
                <w:rFonts w:ascii="Times New Roman" w:hAnsi="Times New Roman"/>
                <w:bCs/>
                <w:sz w:val="20"/>
                <w:szCs w:val="20"/>
              </w:rPr>
            </w:pPr>
            <w:r w:rsidRPr="00681211">
              <w:rPr>
                <w:rFonts w:ascii="Times New Roman" w:hAnsi="Times New Roman"/>
                <w:sz w:val="20"/>
                <w:szCs w:val="20"/>
              </w:rPr>
              <w:t>4,642.12</w:t>
            </w:r>
          </w:p>
        </w:tc>
        <w:tc>
          <w:tcPr>
            <w:tcW w:w="994" w:type="pct"/>
            <w:shd w:val="clear" w:color="auto" w:fill="auto"/>
          </w:tcPr>
          <w:p w14:paraId="5D1E5B05" w14:textId="7783AB7A" w:rsidR="00681211" w:rsidRPr="00681211" w:rsidRDefault="00681211" w:rsidP="00681211">
            <w:pPr>
              <w:spacing w:after="0" w:line="240" w:lineRule="auto"/>
              <w:jc w:val="center"/>
              <w:rPr>
                <w:rFonts w:ascii="Times New Roman" w:hAnsi="Times New Roman"/>
                <w:bCs/>
                <w:sz w:val="20"/>
                <w:szCs w:val="20"/>
              </w:rPr>
            </w:pPr>
            <w:r w:rsidRPr="00681211">
              <w:rPr>
                <w:rFonts w:ascii="Times New Roman" w:hAnsi="Times New Roman"/>
                <w:sz w:val="20"/>
                <w:szCs w:val="20"/>
              </w:rPr>
              <w:t>3,876.71</w:t>
            </w:r>
          </w:p>
        </w:tc>
        <w:tc>
          <w:tcPr>
            <w:tcW w:w="993" w:type="pct"/>
            <w:shd w:val="clear" w:color="auto" w:fill="auto"/>
          </w:tcPr>
          <w:p w14:paraId="7096A894" w14:textId="3C49C05B" w:rsidR="00681211" w:rsidRPr="00681211" w:rsidRDefault="00681211" w:rsidP="00681211">
            <w:pPr>
              <w:spacing w:after="0" w:line="240" w:lineRule="auto"/>
              <w:jc w:val="center"/>
              <w:rPr>
                <w:rFonts w:ascii="Times New Roman" w:hAnsi="Times New Roman"/>
                <w:bCs/>
                <w:sz w:val="20"/>
                <w:szCs w:val="20"/>
              </w:rPr>
            </w:pPr>
            <w:r w:rsidRPr="00681211">
              <w:rPr>
                <w:rFonts w:ascii="Times New Roman" w:hAnsi="Times New Roman"/>
                <w:sz w:val="20"/>
                <w:szCs w:val="20"/>
              </w:rPr>
              <w:t>3,554.23</w:t>
            </w:r>
          </w:p>
        </w:tc>
      </w:tr>
      <w:tr w:rsidR="00681211" w:rsidRPr="00712F3C" w14:paraId="4DAE712B" w14:textId="77777777" w:rsidTr="00681211">
        <w:tc>
          <w:tcPr>
            <w:tcW w:w="2096" w:type="pct"/>
            <w:shd w:val="clear" w:color="auto" w:fill="auto"/>
          </w:tcPr>
          <w:p w14:paraId="25B496F7" w14:textId="77777777" w:rsidR="00681211" w:rsidRPr="00712F3C" w:rsidRDefault="00681211" w:rsidP="00681211">
            <w:pPr>
              <w:spacing w:after="0" w:line="240" w:lineRule="auto"/>
              <w:jc w:val="both"/>
              <w:rPr>
                <w:rFonts w:ascii="Times New Roman" w:eastAsia="MS Mincho" w:hAnsi="Times New Roman"/>
                <w:color w:val="000000"/>
                <w:sz w:val="20"/>
                <w:szCs w:val="20"/>
                <w:lang w:val="en-GB"/>
              </w:rPr>
            </w:pPr>
            <w:r w:rsidRPr="00712F3C">
              <w:rPr>
                <w:rFonts w:ascii="Times New Roman" w:eastAsia="MS Mincho" w:hAnsi="Times New Roman"/>
                <w:color w:val="000000"/>
                <w:sz w:val="20"/>
                <w:szCs w:val="20"/>
                <w:lang w:val="en-GB"/>
              </w:rPr>
              <w:t>Total Income</w:t>
            </w:r>
          </w:p>
        </w:tc>
        <w:tc>
          <w:tcPr>
            <w:tcW w:w="916" w:type="pct"/>
            <w:shd w:val="clear" w:color="auto" w:fill="auto"/>
          </w:tcPr>
          <w:p w14:paraId="39D52A60" w14:textId="6ACFB5DF" w:rsidR="00681211" w:rsidRPr="00681211" w:rsidRDefault="00681211" w:rsidP="00681211">
            <w:pPr>
              <w:spacing w:after="0" w:line="240" w:lineRule="auto"/>
              <w:jc w:val="center"/>
              <w:rPr>
                <w:rFonts w:ascii="Times New Roman" w:hAnsi="Times New Roman"/>
                <w:bCs/>
                <w:sz w:val="20"/>
                <w:szCs w:val="20"/>
              </w:rPr>
            </w:pPr>
            <w:r w:rsidRPr="00681211">
              <w:rPr>
                <w:rFonts w:ascii="Times New Roman" w:hAnsi="Times New Roman"/>
                <w:sz w:val="20"/>
                <w:szCs w:val="20"/>
              </w:rPr>
              <w:t>49,786.27</w:t>
            </w:r>
          </w:p>
        </w:tc>
        <w:tc>
          <w:tcPr>
            <w:tcW w:w="994" w:type="pct"/>
            <w:shd w:val="clear" w:color="auto" w:fill="auto"/>
          </w:tcPr>
          <w:p w14:paraId="41C785D5" w14:textId="1CD26B07" w:rsidR="00681211" w:rsidRPr="00681211" w:rsidRDefault="00681211" w:rsidP="00681211">
            <w:pPr>
              <w:spacing w:after="0" w:line="240" w:lineRule="auto"/>
              <w:jc w:val="center"/>
              <w:rPr>
                <w:rFonts w:ascii="Times New Roman" w:hAnsi="Times New Roman"/>
                <w:bCs/>
                <w:sz w:val="20"/>
                <w:szCs w:val="20"/>
              </w:rPr>
            </w:pPr>
            <w:r w:rsidRPr="00681211">
              <w:rPr>
                <w:rFonts w:ascii="Times New Roman" w:hAnsi="Times New Roman"/>
                <w:sz w:val="20"/>
                <w:szCs w:val="20"/>
              </w:rPr>
              <w:t>42,644.34</w:t>
            </w:r>
          </w:p>
        </w:tc>
        <w:tc>
          <w:tcPr>
            <w:tcW w:w="993" w:type="pct"/>
            <w:shd w:val="clear" w:color="auto" w:fill="auto"/>
          </w:tcPr>
          <w:p w14:paraId="1E6617DE" w14:textId="49B5A97F" w:rsidR="00681211" w:rsidRPr="00681211" w:rsidRDefault="00681211" w:rsidP="00681211">
            <w:pPr>
              <w:spacing w:after="0" w:line="240" w:lineRule="auto"/>
              <w:jc w:val="center"/>
              <w:rPr>
                <w:rFonts w:ascii="Times New Roman" w:hAnsi="Times New Roman"/>
                <w:bCs/>
                <w:sz w:val="20"/>
                <w:szCs w:val="20"/>
              </w:rPr>
            </w:pPr>
            <w:r w:rsidRPr="00681211">
              <w:rPr>
                <w:rFonts w:ascii="Times New Roman" w:hAnsi="Times New Roman"/>
                <w:sz w:val="20"/>
                <w:szCs w:val="20"/>
              </w:rPr>
              <w:t>13,972.93</w:t>
            </w:r>
          </w:p>
        </w:tc>
      </w:tr>
      <w:tr w:rsidR="00681211" w:rsidRPr="00712F3C" w14:paraId="6084244E" w14:textId="77777777" w:rsidTr="00681211">
        <w:tc>
          <w:tcPr>
            <w:tcW w:w="2096" w:type="pct"/>
            <w:shd w:val="clear" w:color="auto" w:fill="auto"/>
          </w:tcPr>
          <w:p w14:paraId="38387070" w14:textId="77777777" w:rsidR="00681211" w:rsidRPr="00712F3C" w:rsidRDefault="00681211" w:rsidP="00681211">
            <w:pPr>
              <w:spacing w:after="0" w:line="240" w:lineRule="auto"/>
              <w:jc w:val="both"/>
              <w:rPr>
                <w:rFonts w:ascii="Times New Roman" w:eastAsia="MS Mincho" w:hAnsi="Times New Roman"/>
                <w:color w:val="000000"/>
                <w:sz w:val="20"/>
                <w:szCs w:val="20"/>
                <w:lang w:val="en-GB"/>
              </w:rPr>
            </w:pPr>
            <w:r w:rsidRPr="00712F3C">
              <w:rPr>
                <w:rFonts w:ascii="Times New Roman" w:eastAsia="MS Mincho" w:hAnsi="Times New Roman"/>
                <w:color w:val="000000"/>
                <w:sz w:val="20"/>
                <w:szCs w:val="20"/>
                <w:lang w:val="en-GB"/>
              </w:rPr>
              <w:t>Profit after tax</w:t>
            </w:r>
          </w:p>
        </w:tc>
        <w:tc>
          <w:tcPr>
            <w:tcW w:w="916" w:type="pct"/>
            <w:shd w:val="clear" w:color="auto" w:fill="auto"/>
          </w:tcPr>
          <w:p w14:paraId="396F7C89" w14:textId="44C1DFEF" w:rsidR="00681211" w:rsidRPr="00681211" w:rsidRDefault="00681211" w:rsidP="00681211">
            <w:pPr>
              <w:spacing w:after="0" w:line="240" w:lineRule="auto"/>
              <w:jc w:val="center"/>
              <w:rPr>
                <w:rFonts w:ascii="Times New Roman" w:hAnsi="Times New Roman"/>
                <w:bCs/>
                <w:sz w:val="20"/>
                <w:szCs w:val="20"/>
              </w:rPr>
            </w:pPr>
            <w:r w:rsidRPr="00681211">
              <w:rPr>
                <w:rFonts w:ascii="Times New Roman" w:hAnsi="Times New Roman"/>
                <w:sz w:val="20"/>
                <w:szCs w:val="20"/>
              </w:rPr>
              <w:t>765.42</w:t>
            </w:r>
          </w:p>
        </w:tc>
        <w:tc>
          <w:tcPr>
            <w:tcW w:w="994" w:type="pct"/>
            <w:shd w:val="clear" w:color="auto" w:fill="auto"/>
          </w:tcPr>
          <w:p w14:paraId="050966CB" w14:textId="32F10FAF" w:rsidR="00681211" w:rsidRPr="00681211" w:rsidRDefault="00681211" w:rsidP="00681211">
            <w:pPr>
              <w:spacing w:after="0" w:line="240" w:lineRule="auto"/>
              <w:jc w:val="center"/>
              <w:rPr>
                <w:rFonts w:ascii="Times New Roman" w:hAnsi="Times New Roman"/>
                <w:bCs/>
                <w:sz w:val="20"/>
                <w:szCs w:val="20"/>
              </w:rPr>
            </w:pPr>
            <w:r w:rsidRPr="00681211">
              <w:rPr>
                <w:rFonts w:ascii="Times New Roman" w:hAnsi="Times New Roman"/>
                <w:sz w:val="20"/>
                <w:szCs w:val="20"/>
              </w:rPr>
              <w:t>322.47</w:t>
            </w:r>
          </w:p>
        </w:tc>
        <w:tc>
          <w:tcPr>
            <w:tcW w:w="993" w:type="pct"/>
            <w:shd w:val="clear" w:color="auto" w:fill="auto"/>
          </w:tcPr>
          <w:p w14:paraId="54B9371D" w14:textId="69A42E47" w:rsidR="00681211" w:rsidRPr="00681211" w:rsidRDefault="00681211" w:rsidP="00681211">
            <w:pPr>
              <w:spacing w:after="0" w:line="240" w:lineRule="auto"/>
              <w:jc w:val="center"/>
              <w:rPr>
                <w:rFonts w:ascii="Times New Roman" w:hAnsi="Times New Roman"/>
                <w:bCs/>
                <w:sz w:val="20"/>
                <w:szCs w:val="20"/>
              </w:rPr>
            </w:pPr>
            <w:r w:rsidRPr="00681211">
              <w:rPr>
                <w:rFonts w:ascii="Times New Roman" w:hAnsi="Times New Roman"/>
                <w:sz w:val="20"/>
                <w:szCs w:val="20"/>
              </w:rPr>
              <w:t>142.28</w:t>
            </w:r>
          </w:p>
        </w:tc>
      </w:tr>
      <w:tr w:rsidR="00681211" w:rsidRPr="00712F3C" w14:paraId="63AAA3EE" w14:textId="77777777" w:rsidTr="005704C8">
        <w:tc>
          <w:tcPr>
            <w:tcW w:w="2096" w:type="pct"/>
            <w:shd w:val="clear" w:color="auto" w:fill="auto"/>
          </w:tcPr>
          <w:p w14:paraId="4871BD32" w14:textId="77777777" w:rsidR="00681211" w:rsidRPr="00712F3C" w:rsidRDefault="00681211" w:rsidP="00681211">
            <w:pPr>
              <w:spacing w:after="0" w:line="240" w:lineRule="auto"/>
              <w:jc w:val="both"/>
              <w:rPr>
                <w:rFonts w:ascii="Times New Roman" w:eastAsia="MS Mincho" w:hAnsi="Times New Roman"/>
                <w:color w:val="000000"/>
                <w:sz w:val="20"/>
                <w:szCs w:val="20"/>
                <w:lang w:val="en-GB"/>
              </w:rPr>
            </w:pPr>
            <w:r w:rsidRPr="00712F3C">
              <w:rPr>
                <w:rFonts w:ascii="Times New Roman" w:eastAsia="MS Mincho" w:hAnsi="Times New Roman"/>
                <w:color w:val="000000"/>
                <w:sz w:val="20"/>
                <w:szCs w:val="20"/>
                <w:lang w:val="en-GB"/>
              </w:rPr>
              <w:t xml:space="preserve">Earnings per Share </w:t>
            </w:r>
            <w:r w:rsidRPr="00712F3C">
              <w:rPr>
                <w:rFonts w:ascii="Times New Roman" w:eastAsia="MS Mincho" w:hAnsi="Times New Roman"/>
                <w:i/>
                <w:color w:val="000000"/>
                <w:sz w:val="20"/>
                <w:szCs w:val="20"/>
                <w:lang w:val="en-GB"/>
              </w:rPr>
              <w:t>(based on weighted average number of shares)</w:t>
            </w:r>
          </w:p>
        </w:tc>
        <w:tc>
          <w:tcPr>
            <w:tcW w:w="916" w:type="pct"/>
            <w:shd w:val="clear" w:color="auto" w:fill="auto"/>
          </w:tcPr>
          <w:p w14:paraId="534335F1" w14:textId="6CA8D686" w:rsidR="00681211" w:rsidRPr="00681211" w:rsidRDefault="00681211" w:rsidP="00681211">
            <w:pPr>
              <w:spacing w:after="0" w:line="240" w:lineRule="auto"/>
              <w:jc w:val="center"/>
              <w:rPr>
                <w:rFonts w:ascii="Times New Roman" w:hAnsi="Times New Roman"/>
                <w:sz w:val="20"/>
                <w:szCs w:val="20"/>
              </w:rPr>
            </w:pPr>
            <w:r w:rsidRPr="00681211">
              <w:rPr>
                <w:rFonts w:ascii="Times New Roman" w:hAnsi="Times New Roman"/>
                <w:sz w:val="20"/>
                <w:szCs w:val="20"/>
              </w:rPr>
              <w:t>5.54</w:t>
            </w:r>
          </w:p>
        </w:tc>
        <w:tc>
          <w:tcPr>
            <w:tcW w:w="994" w:type="pct"/>
            <w:shd w:val="clear" w:color="auto" w:fill="auto"/>
          </w:tcPr>
          <w:p w14:paraId="54792E6C" w14:textId="7F5A1E30" w:rsidR="00681211" w:rsidRPr="00681211" w:rsidRDefault="00681211" w:rsidP="00681211">
            <w:pPr>
              <w:spacing w:after="0" w:line="240" w:lineRule="auto"/>
              <w:jc w:val="center"/>
              <w:rPr>
                <w:rFonts w:ascii="Times New Roman" w:hAnsi="Times New Roman"/>
                <w:sz w:val="20"/>
                <w:szCs w:val="20"/>
              </w:rPr>
            </w:pPr>
            <w:r w:rsidRPr="00681211">
              <w:rPr>
                <w:rFonts w:ascii="Times New Roman" w:hAnsi="Times New Roman"/>
                <w:sz w:val="20"/>
                <w:szCs w:val="20"/>
              </w:rPr>
              <w:t>2.34</w:t>
            </w:r>
          </w:p>
        </w:tc>
        <w:tc>
          <w:tcPr>
            <w:tcW w:w="993" w:type="pct"/>
            <w:shd w:val="clear" w:color="auto" w:fill="auto"/>
          </w:tcPr>
          <w:p w14:paraId="47F6D733" w14:textId="58106741" w:rsidR="00681211" w:rsidRPr="00681211" w:rsidRDefault="00681211" w:rsidP="00681211">
            <w:pPr>
              <w:spacing w:after="0" w:line="240" w:lineRule="auto"/>
              <w:jc w:val="center"/>
              <w:rPr>
                <w:rFonts w:ascii="Times New Roman" w:hAnsi="Times New Roman"/>
                <w:sz w:val="20"/>
                <w:szCs w:val="20"/>
              </w:rPr>
            </w:pPr>
            <w:r w:rsidRPr="00681211">
              <w:rPr>
                <w:rFonts w:ascii="Times New Roman" w:hAnsi="Times New Roman"/>
                <w:sz w:val="20"/>
                <w:szCs w:val="20"/>
              </w:rPr>
              <w:t>1.03</w:t>
            </w:r>
          </w:p>
        </w:tc>
      </w:tr>
      <w:tr w:rsidR="00681211" w:rsidRPr="00712F3C" w14:paraId="645C3847" w14:textId="77777777" w:rsidTr="0027173F">
        <w:tc>
          <w:tcPr>
            <w:tcW w:w="2096" w:type="pct"/>
            <w:shd w:val="clear" w:color="auto" w:fill="auto"/>
          </w:tcPr>
          <w:p w14:paraId="245FCA96" w14:textId="77777777" w:rsidR="00681211" w:rsidRPr="00712F3C" w:rsidRDefault="00681211" w:rsidP="00681211">
            <w:pPr>
              <w:spacing w:after="0" w:line="240" w:lineRule="auto"/>
              <w:jc w:val="both"/>
              <w:rPr>
                <w:rFonts w:ascii="Times New Roman" w:eastAsia="MS Mincho" w:hAnsi="Times New Roman"/>
                <w:color w:val="000000"/>
                <w:sz w:val="20"/>
                <w:szCs w:val="20"/>
                <w:lang w:val="en-GB"/>
              </w:rPr>
            </w:pPr>
            <w:r w:rsidRPr="00712F3C">
              <w:rPr>
                <w:rFonts w:ascii="Times New Roman" w:eastAsia="MS Mincho" w:hAnsi="Times New Roman"/>
                <w:color w:val="000000"/>
                <w:sz w:val="20"/>
                <w:szCs w:val="20"/>
                <w:lang w:val="en-GB"/>
              </w:rPr>
              <w:t xml:space="preserve">Net Asset Value per Share </w:t>
            </w:r>
            <w:r w:rsidRPr="00712F3C">
              <w:rPr>
                <w:rFonts w:ascii="Times New Roman" w:eastAsia="MS Mincho" w:hAnsi="Times New Roman"/>
                <w:i/>
                <w:color w:val="000000"/>
                <w:sz w:val="20"/>
                <w:szCs w:val="20"/>
                <w:lang w:val="en-GB"/>
              </w:rPr>
              <w:t>(based on weighted average number of shares)</w:t>
            </w:r>
          </w:p>
        </w:tc>
        <w:tc>
          <w:tcPr>
            <w:tcW w:w="916" w:type="pct"/>
            <w:shd w:val="clear" w:color="auto" w:fill="auto"/>
          </w:tcPr>
          <w:p w14:paraId="31D5D707" w14:textId="66EB0AD6" w:rsidR="00681211" w:rsidRPr="00681211" w:rsidRDefault="00681211" w:rsidP="00681211">
            <w:pPr>
              <w:spacing w:after="0" w:line="240" w:lineRule="auto"/>
              <w:jc w:val="center"/>
              <w:rPr>
                <w:rFonts w:ascii="Times New Roman" w:hAnsi="Times New Roman"/>
                <w:sz w:val="20"/>
                <w:szCs w:val="20"/>
              </w:rPr>
            </w:pPr>
            <w:r w:rsidRPr="00681211">
              <w:rPr>
                <w:rFonts w:ascii="Times New Roman" w:hAnsi="Times New Roman"/>
                <w:sz w:val="20"/>
                <w:szCs w:val="20"/>
              </w:rPr>
              <w:t>33.63</w:t>
            </w:r>
          </w:p>
        </w:tc>
        <w:tc>
          <w:tcPr>
            <w:tcW w:w="994" w:type="pct"/>
            <w:shd w:val="clear" w:color="auto" w:fill="auto"/>
          </w:tcPr>
          <w:p w14:paraId="73A6F577" w14:textId="733D1C87" w:rsidR="00681211" w:rsidRPr="00681211" w:rsidRDefault="00681211" w:rsidP="00681211">
            <w:pPr>
              <w:spacing w:after="0" w:line="240" w:lineRule="auto"/>
              <w:jc w:val="center"/>
              <w:rPr>
                <w:rFonts w:ascii="Times New Roman" w:hAnsi="Times New Roman"/>
                <w:sz w:val="20"/>
                <w:szCs w:val="20"/>
              </w:rPr>
            </w:pPr>
            <w:r w:rsidRPr="00681211">
              <w:rPr>
                <w:rFonts w:ascii="Times New Roman" w:hAnsi="Times New Roman"/>
                <w:sz w:val="20"/>
                <w:szCs w:val="20"/>
              </w:rPr>
              <w:t>28.08</w:t>
            </w:r>
          </w:p>
        </w:tc>
        <w:tc>
          <w:tcPr>
            <w:tcW w:w="993" w:type="pct"/>
            <w:shd w:val="clear" w:color="auto" w:fill="auto"/>
          </w:tcPr>
          <w:p w14:paraId="6723D2D6" w14:textId="5ED16D64" w:rsidR="00681211" w:rsidRPr="00681211" w:rsidRDefault="00681211" w:rsidP="00681211">
            <w:pPr>
              <w:spacing w:after="0" w:line="240" w:lineRule="auto"/>
              <w:jc w:val="center"/>
              <w:rPr>
                <w:rFonts w:ascii="Times New Roman" w:hAnsi="Times New Roman"/>
                <w:sz w:val="20"/>
                <w:szCs w:val="20"/>
              </w:rPr>
            </w:pPr>
            <w:r w:rsidRPr="00681211">
              <w:rPr>
                <w:rFonts w:ascii="Times New Roman" w:hAnsi="Times New Roman"/>
                <w:sz w:val="20"/>
                <w:szCs w:val="20"/>
              </w:rPr>
              <w:t>25.75</w:t>
            </w:r>
          </w:p>
        </w:tc>
      </w:tr>
      <w:tr w:rsidR="00681211" w:rsidRPr="00712F3C" w14:paraId="45B4393A" w14:textId="77777777" w:rsidTr="00681211">
        <w:tc>
          <w:tcPr>
            <w:tcW w:w="2096" w:type="pct"/>
            <w:shd w:val="clear" w:color="auto" w:fill="auto"/>
          </w:tcPr>
          <w:p w14:paraId="40E7E225" w14:textId="77777777" w:rsidR="00681211" w:rsidRPr="00712F3C" w:rsidRDefault="00681211" w:rsidP="00250DAC">
            <w:pPr>
              <w:spacing w:after="0" w:line="240" w:lineRule="auto"/>
              <w:jc w:val="both"/>
              <w:rPr>
                <w:rFonts w:ascii="Times New Roman" w:eastAsia="MS Mincho" w:hAnsi="Times New Roman"/>
                <w:color w:val="000000"/>
                <w:sz w:val="20"/>
                <w:szCs w:val="20"/>
                <w:lang w:val="en-GB"/>
              </w:rPr>
            </w:pPr>
            <w:r w:rsidRPr="00712F3C">
              <w:rPr>
                <w:rFonts w:ascii="Times New Roman" w:eastAsia="MS Mincho" w:hAnsi="Times New Roman"/>
                <w:color w:val="000000"/>
                <w:sz w:val="20"/>
                <w:szCs w:val="20"/>
                <w:lang w:val="en-GB"/>
              </w:rPr>
              <w:t>Total Borrowings</w:t>
            </w:r>
          </w:p>
        </w:tc>
        <w:tc>
          <w:tcPr>
            <w:tcW w:w="916" w:type="pct"/>
            <w:shd w:val="clear" w:color="auto" w:fill="auto"/>
            <w:vAlign w:val="center"/>
          </w:tcPr>
          <w:p w14:paraId="7260F6CF" w14:textId="328E7D2E" w:rsidR="00681211" w:rsidRPr="00681211" w:rsidRDefault="00681211" w:rsidP="00681211">
            <w:pPr>
              <w:spacing w:after="0" w:line="240" w:lineRule="auto"/>
              <w:jc w:val="center"/>
              <w:rPr>
                <w:rFonts w:ascii="Times New Roman" w:hAnsi="Times New Roman"/>
                <w:sz w:val="20"/>
                <w:szCs w:val="20"/>
                <w:highlight w:val="yellow"/>
              </w:rPr>
            </w:pPr>
            <w:r w:rsidRPr="00681211">
              <w:rPr>
                <w:rFonts w:ascii="Times New Roman" w:hAnsi="Times New Roman"/>
                <w:sz w:val="20"/>
                <w:szCs w:val="20"/>
              </w:rPr>
              <w:t>6,706.95</w:t>
            </w:r>
          </w:p>
        </w:tc>
        <w:tc>
          <w:tcPr>
            <w:tcW w:w="994" w:type="pct"/>
            <w:shd w:val="clear" w:color="auto" w:fill="auto"/>
            <w:vAlign w:val="center"/>
          </w:tcPr>
          <w:p w14:paraId="0CE949A1" w14:textId="1CEEBC91" w:rsidR="00681211" w:rsidRPr="00681211" w:rsidRDefault="00681211" w:rsidP="00681211">
            <w:pPr>
              <w:spacing w:after="0" w:line="240" w:lineRule="auto"/>
              <w:jc w:val="center"/>
              <w:rPr>
                <w:rFonts w:ascii="Times New Roman" w:hAnsi="Times New Roman"/>
                <w:sz w:val="20"/>
                <w:szCs w:val="20"/>
                <w:highlight w:val="yellow"/>
              </w:rPr>
            </w:pPr>
            <w:r w:rsidRPr="00681211">
              <w:rPr>
                <w:rFonts w:ascii="Times New Roman" w:hAnsi="Times New Roman"/>
                <w:sz w:val="20"/>
                <w:szCs w:val="20"/>
              </w:rPr>
              <w:t>2,821.02</w:t>
            </w:r>
          </w:p>
        </w:tc>
        <w:tc>
          <w:tcPr>
            <w:tcW w:w="993" w:type="pct"/>
            <w:shd w:val="clear" w:color="auto" w:fill="auto"/>
            <w:vAlign w:val="center"/>
          </w:tcPr>
          <w:p w14:paraId="6CBA64A7" w14:textId="78760D49" w:rsidR="00681211" w:rsidRPr="00681211" w:rsidRDefault="00681211" w:rsidP="00681211">
            <w:pPr>
              <w:spacing w:after="0" w:line="240" w:lineRule="auto"/>
              <w:jc w:val="center"/>
              <w:rPr>
                <w:rFonts w:ascii="Times New Roman" w:hAnsi="Times New Roman"/>
                <w:sz w:val="20"/>
                <w:szCs w:val="20"/>
                <w:highlight w:val="yellow"/>
              </w:rPr>
            </w:pPr>
            <w:r w:rsidRPr="00681211">
              <w:rPr>
                <w:rFonts w:ascii="Times New Roman" w:hAnsi="Times New Roman"/>
                <w:sz w:val="20"/>
                <w:szCs w:val="20"/>
              </w:rPr>
              <w:t>2,931.72</w:t>
            </w:r>
          </w:p>
        </w:tc>
      </w:tr>
    </w:tbl>
    <w:p w14:paraId="2E0448E7" w14:textId="77777777" w:rsidR="00F8631B" w:rsidRPr="00712F3C" w:rsidRDefault="00F8631B" w:rsidP="00F8631B">
      <w:pPr>
        <w:spacing w:after="0" w:line="240" w:lineRule="auto"/>
        <w:jc w:val="both"/>
        <w:rPr>
          <w:rFonts w:ascii="Times New Roman" w:eastAsia="MS Mincho" w:hAnsi="Times New Roman"/>
          <w:color w:val="000000"/>
          <w:sz w:val="20"/>
          <w:szCs w:val="20"/>
          <w:lang w:val="en-GB"/>
        </w:rPr>
      </w:pPr>
    </w:p>
    <w:p w14:paraId="756D8FCB" w14:textId="00F5A50A" w:rsidR="00F8631B" w:rsidRPr="00712F3C" w:rsidRDefault="00F8631B">
      <w:pPr>
        <w:numPr>
          <w:ilvl w:val="0"/>
          <w:numId w:val="163"/>
        </w:numPr>
        <w:spacing w:after="0" w:line="240" w:lineRule="auto"/>
        <w:rPr>
          <w:rFonts w:ascii="Times New Roman" w:hAnsi="Times New Roman"/>
          <w:b/>
          <w:bCs/>
          <w:sz w:val="20"/>
          <w:szCs w:val="20"/>
          <w:u w:val="single"/>
        </w:rPr>
      </w:pPr>
      <w:r w:rsidRPr="00712F3C">
        <w:rPr>
          <w:rFonts w:ascii="Times New Roman" w:hAnsi="Times New Roman"/>
          <w:b/>
          <w:bCs/>
          <w:sz w:val="20"/>
          <w:szCs w:val="20"/>
          <w:u w:val="single"/>
        </w:rPr>
        <w:t>AUDITOR QUALIFICATIONS</w:t>
      </w:r>
      <w:r w:rsidR="00855894">
        <w:rPr>
          <w:rFonts w:ascii="Times New Roman" w:hAnsi="Times New Roman"/>
          <w:b/>
          <w:bCs/>
          <w:sz w:val="20"/>
          <w:szCs w:val="20"/>
          <w:u w:val="single"/>
        </w:rPr>
        <w:t xml:space="preserve"> NOT GIVEN EFFECT IN THE RESTATED FINANCIAL STATEMENTS</w:t>
      </w:r>
    </w:p>
    <w:p w14:paraId="073262B3" w14:textId="77777777" w:rsidR="00F8631B" w:rsidRPr="00712F3C" w:rsidRDefault="00F8631B" w:rsidP="00F8631B">
      <w:pPr>
        <w:spacing w:after="0" w:line="240" w:lineRule="auto"/>
        <w:jc w:val="both"/>
        <w:rPr>
          <w:rFonts w:ascii="Times New Roman" w:eastAsia="MS Mincho" w:hAnsi="Times New Roman"/>
          <w:b/>
          <w:color w:val="000000"/>
          <w:sz w:val="20"/>
          <w:szCs w:val="20"/>
          <w:lang w:val="en-GB"/>
        </w:rPr>
      </w:pPr>
    </w:p>
    <w:p w14:paraId="33011B8F" w14:textId="77777777" w:rsidR="00F8631B" w:rsidRPr="00712F3C" w:rsidRDefault="00F8631B" w:rsidP="00F8631B">
      <w:pPr>
        <w:autoSpaceDE w:val="0"/>
        <w:autoSpaceDN w:val="0"/>
        <w:adjustRightInd w:val="0"/>
        <w:spacing w:after="0" w:line="240" w:lineRule="auto"/>
        <w:jc w:val="both"/>
        <w:rPr>
          <w:rFonts w:ascii="Times New Roman" w:hAnsi="Times New Roman"/>
          <w:bCs/>
          <w:iCs/>
          <w:sz w:val="20"/>
          <w:szCs w:val="20"/>
        </w:rPr>
      </w:pPr>
      <w:r w:rsidRPr="00855894">
        <w:rPr>
          <w:rFonts w:ascii="Times New Roman" w:hAnsi="Times New Roman"/>
          <w:bCs/>
          <w:iCs/>
          <w:sz w:val="20"/>
          <w:szCs w:val="20"/>
        </w:rPr>
        <w:t>There are no audit qualifications which have not been given effect in the restated financial information.</w:t>
      </w:r>
    </w:p>
    <w:p w14:paraId="4C8B0F12" w14:textId="77777777" w:rsidR="00F8631B" w:rsidRPr="00712F3C" w:rsidRDefault="00F8631B" w:rsidP="00F8631B">
      <w:pPr>
        <w:autoSpaceDE w:val="0"/>
        <w:autoSpaceDN w:val="0"/>
        <w:adjustRightInd w:val="0"/>
        <w:spacing w:after="0" w:line="240" w:lineRule="auto"/>
        <w:jc w:val="both"/>
        <w:rPr>
          <w:rFonts w:ascii="Times New Roman" w:hAnsi="Times New Roman"/>
          <w:bCs/>
          <w:iCs/>
          <w:sz w:val="20"/>
          <w:szCs w:val="20"/>
        </w:rPr>
      </w:pPr>
    </w:p>
    <w:p w14:paraId="0DCE0261" w14:textId="77777777" w:rsidR="00F8631B" w:rsidRPr="00712F3C" w:rsidRDefault="00F8631B">
      <w:pPr>
        <w:numPr>
          <w:ilvl w:val="0"/>
          <w:numId w:val="163"/>
        </w:numPr>
        <w:spacing w:after="0" w:line="240" w:lineRule="auto"/>
        <w:rPr>
          <w:rFonts w:ascii="Times New Roman" w:hAnsi="Times New Roman"/>
          <w:b/>
          <w:bCs/>
          <w:sz w:val="20"/>
          <w:szCs w:val="20"/>
          <w:u w:val="single"/>
        </w:rPr>
      </w:pPr>
      <w:r w:rsidRPr="00712F3C">
        <w:rPr>
          <w:rFonts w:ascii="Times New Roman" w:hAnsi="Times New Roman"/>
          <w:b/>
          <w:bCs/>
          <w:sz w:val="20"/>
          <w:szCs w:val="20"/>
          <w:u w:val="single"/>
        </w:rPr>
        <w:t>SUMMARY OF OUTSTANDING LITIGATIONS</w:t>
      </w:r>
    </w:p>
    <w:p w14:paraId="333DF8BD" w14:textId="77777777" w:rsidR="00F8631B" w:rsidRPr="00712F3C" w:rsidRDefault="00F8631B" w:rsidP="00F8631B">
      <w:pPr>
        <w:spacing w:after="0" w:line="240" w:lineRule="auto"/>
        <w:jc w:val="both"/>
        <w:rPr>
          <w:rFonts w:ascii="Times New Roman" w:eastAsia="MS Mincho" w:hAnsi="Times New Roman"/>
          <w:b/>
          <w:color w:val="000000"/>
          <w:sz w:val="20"/>
          <w:szCs w:val="20"/>
          <w:lang w:val="en-GB"/>
        </w:rPr>
      </w:pPr>
    </w:p>
    <w:p w14:paraId="6B7C38A8" w14:textId="77777777" w:rsidR="00F8631B" w:rsidRPr="00712F3C" w:rsidRDefault="00F8631B" w:rsidP="00F8631B">
      <w:pPr>
        <w:widowControl w:val="0"/>
        <w:tabs>
          <w:tab w:val="left" w:pos="-90"/>
          <w:tab w:val="left" w:pos="0"/>
          <w:tab w:val="left" w:pos="9300"/>
        </w:tabs>
        <w:adjustRightInd w:val="0"/>
        <w:spacing w:after="0" w:line="240" w:lineRule="auto"/>
        <w:contextualSpacing/>
        <w:jc w:val="both"/>
        <w:textAlignment w:val="baseline"/>
        <w:outlineLvl w:val="0"/>
        <w:rPr>
          <w:rFonts w:ascii="Times New Roman" w:hAnsi="Times New Roman"/>
          <w:sz w:val="20"/>
          <w:szCs w:val="20"/>
        </w:rPr>
      </w:pPr>
      <w:r w:rsidRPr="00712F3C">
        <w:rPr>
          <w:rFonts w:ascii="Times New Roman" w:hAnsi="Times New Roman"/>
          <w:sz w:val="20"/>
          <w:szCs w:val="20"/>
        </w:rPr>
        <w:t xml:space="preserve">Our Company, Promoters and Directors are involved in certain legal proceedings. </w:t>
      </w:r>
      <w:r w:rsidRPr="00712F3C">
        <w:rPr>
          <w:rFonts w:ascii="Times New Roman" w:eastAsia="MS Mincho" w:hAnsi="Times New Roman"/>
          <w:sz w:val="20"/>
          <w:szCs w:val="20"/>
          <w:lang w:val="en-GB"/>
        </w:rPr>
        <w:t xml:space="preserve">A brief detail of such outstanding litigations as on the date of this Draft </w:t>
      </w:r>
      <w:r w:rsidRPr="00712F3C">
        <w:rPr>
          <w:rFonts w:ascii="Times New Roman" w:hAnsi="Times New Roman"/>
          <w:iCs/>
          <w:sz w:val="20"/>
          <w:szCs w:val="20"/>
        </w:rPr>
        <w:t>Red Herring</w:t>
      </w:r>
      <w:r w:rsidRPr="00712F3C">
        <w:rPr>
          <w:rFonts w:ascii="Times New Roman" w:eastAsia="MS Mincho" w:hAnsi="Times New Roman"/>
          <w:sz w:val="20"/>
          <w:szCs w:val="20"/>
          <w:lang w:val="en-GB"/>
        </w:rPr>
        <w:t xml:space="preserve"> Prospectus are as follows:</w:t>
      </w:r>
    </w:p>
    <w:p w14:paraId="1796889C" w14:textId="77777777" w:rsidR="00F8631B" w:rsidRPr="00712F3C" w:rsidRDefault="00F8631B" w:rsidP="00F8631B">
      <w:pPr>
        <w:spacing w:after="0" w:line="240" w:lineRule="auto"/>
        <w:jc w:val="both"/>
        <w:rPr>
          <w:rFonts w:ascii="Times New Roman" w:eastAsia="MS Mincho" w:hAnsi="Times New Roman"/>
          <w:color w:val="000000"/>
          <w:sz w:val="20"/>
          <w:szCs w:val="20"/>
          <w:lang w:val="en-GB"/>
        </w:rPr>
      </w:pPr>
    </w:p>
    <w:p w14:paraId="05037AA7" w14:textId="095F54D1" w:rsidR="00F8631B" w:rsidRPr="00712F3C" w:rsidRDefault="00F8631B" w:rsidP="00F8631B">
      <w:pPr>
        <w:widowControl w:val="0"/>
        <w:autoSpaceDE w:val="0"/>
        <w:autoSpaceDN w:val="0"/>
        <w:adjustRightInd w:val="0"/>
        <w:spacing w:after="0" w:line="240" w:lineRule="auto"/>
        <w:jc w:val="both"/>
        <w:textAlignment w:val="baseline"/>
        <w:rPr>
          <w:rFonts w:ascii="Times New Roman" w:hAnsi="Times New Roman"/>
          <w:b/>
          <w:sz w:val="20"/>
          <w:szCs w:val="20"/>
        </w:rPr>
      </w:pPr>
      <w:r w:rsidRPr="00712F3C">
        <w:rPr>
          <w:rFonts w:ascii="Times New Roman" w:hAnsi="Times New Roman"/>
          <w:b/>
          <w:sz w:val="20"/>
          <w:szCs w:val="20"/>
        </w:rPr>
        <w:t xml:space="preserve">Litigations </w:t>
      </w:r>
      <w:r w:rsidR="00855894">
        <w:rPr>
          <w:rFonts w:ascii="Times New Roman" w:hAnsi="Times New Roman"/>
          <w:b/>
          <w:sz w:val="20"/>
          <w:szCs w:val="20"/>
        </w:rPr>
        <w:t>involving the</w:t>
      </w:r>
      <w:r w:rsidRPr="00712F3C">
        <w:rPr>
          <w:rFonts w:ascii="Times New Roman" w:hAnsi="Times New Roman"/>
          <w:b/>
          <w:sz w:val="20"/>
          <w:szCs w:val="20"/>
        </w:rPr>
        <w:t xml:space="preserve"> Company:- </w:t>
      </w:r>
    </w:p>
    <w:p w14:paraId="7185120F" w14:textId="77777777" w:rsidR="00F8631B" w:rsidRPr="00712F3C" w:rsidRDefault="00F8631B" w:rsidP="00F8631B">
      <w:pPr>
        <w:spacing w:after="0" w:line="240" w:lineRule="auto"/>
        <w:jc w:val="right"/>
        <w:rPr>
          <w:rFonts w:ascii="Times New Roman" w:eastAsia="MS Mincho" w:hAnsi="Times New Roman"/>
          <w:color w:val="000000"/>
          <w:sz w:val="20"/>
          <w:szCs w:val="20"/>
          <w:lang w:val="en-GB"/>
        </w:rPr>
      </w:pPr>
      <w:r w:rsidRPr="00712F3C">
        <w:rPr>
          <w:rFonts w:ascii="Times New Roman" w:hAnsi="Times New Roman"/>
          <w:b/>
          <w:bCs/>
          <w:iCs/>
          <w:sz w:val="20"/>
          <w:szCs w:val="20"/>
          <w:lang w:val="en-GB"/>
        </w:rPr>
        <w:t>(₹ in lakhs)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3"/>
        <w:gridCol w:w="2344"/>
        <w:gridCol w:w="2970"/>
      </w:tblGrid>
      <w:tr w:rsidR="00F8631B" w:rsidRPr="00712F3C" w14:paraId="5EDEFBF2" w14:textId="77777777" w:rsidTr="00250DAC">
        <w:tc>
          <w:tcPr>
            <w:tcW w:w="2459" w:type="pct"/>
            <w:shd w:val="clear" w:color="auto" w:fill="D0CECE" w:themeFill="background2" w:themeFillShade="E6"/>
          </w:tcPr>
          <w:p w14:paraId="1912CEE6" w14:textId="77777777" w:rsidR="00F8631B" w:rsidRPr="00712F3C" w:rsidRDefault="00F8631B" w:rsidP="00250DAC">
            <w:pPr>
              <w:widowControl w:val="0"/>
              <w:tabs>
                <w:tab w:val="center" w:pos="1647"/>
                <w:tab w:val="right" w:pos="3294"/>
              </w:tabs>
              <w:adjustRightInd w:val="0"/>
              <w:spacing w:after="0" w:line="240" w:lineRule="auto"/>
              <w:textAlignment w:val="baseline"/>
              <w:rPr>
                <w:rFonts w:ascii="Times New Roman" w:hAnsi="Times New Roman"/>
                <w:b/>
                <w:sz w:val="20"/>
                <w:szCs w:val="20"/>
              </w:rPr>
            </w:pPr>
            <w:r w:rsidRPr="00712F3C">
              <w:rPr>
                <w:rFonts w:ascii="Times New Roman" w:hAnsi="Times New Roman"/>
                <w:b/>
                <w:sz w:val="20"/>
                <w:szCs w:val="20"/>
              </w:rPr>
              <w:tab/>
              <w:t>Nature of Cases</w:t>
            </w:r>
            <w:r w:rsidRPr="00712F3C">
              <w:rPr>
                <w:rFonts w:ascii="Times New Roman" w:hAnsi="Times New Roman"/>
                <w:b/>
                <w:sz w:val="20"/>
                <w:szCs w:val="20"/>
              </w:rPr>
              <w:tab/>
            </w:r>
          </w:p>
        </w:tc>
        <w:tc>
          <w:tcPr>
            <w:tcW w:w="1121" w:type="pct"/>
            <w:shd w:val="clear" w:color="auto" w:fill="D0CECE" w:themeFill="background2" w:themeFillShade="E6"/>
          </w:tcPr>
          <w:p w14:paraId="0198145E" w14:textId="77777777" w:rsidR="00F8631B" w:rsidRPr="00712F3C" w:rsidRDefault="00F8631B" w:rsidP="00250DAC">
            <w:pPr>
              <w:widowControl w:val="0"/>
              <w:adjustRightInd w:val="0"/>
              <w:spacing w:after="0" w:line="240" w:lineRule="auto"/>
              <w:jc w:val="center"/>
              <w:textAlignment w:val="baseline"/>
              <w:rPr>
                <w:rFonts w:ascii="Times New Roman" w:hAnsi="Times New Roman"/>
                <w:b/>
                <w:sz w:val="20"/>
                <w:szCs w:val="20"/>
              </w:rPr>
            </w:pPr>
            <w:r w:rsidRPr="00712F3C">
              <w:rPr>
                <w:rFonts w:ascii="Times New Roman" w:hAnsi="Times New Roman"/>
                <w:b/>
                <w:sz w:val="20"/>
                <w:szCs w:val="20"/>
              </w:rPr>
              <w:t>No. of Outstanding Cases</w:t>
            </w:r>
          </w:p>
        </w:tc>
        <w:tc>
          <w:tcPr>
            <w:tcW w:w="1420" w:type="pct"/>
            <w:shd w:val="clear" w:color="auto" w:fill="D0CECE" w:themeFill="background2" w:themeFillShade="E6"/>
          </w:tcPr>
          <w:p w14:paraId="42520036" w14:textId="77777777" w:rsidR="00F8631B" w:rsidRPr="00712F3C" w:rsidRDefault="00F8631B" w:rsidP="00250DAC">
            <w:pPr>
              <w:widowControl w:val="0"/>
              <w:adjustRightInd w:val="0"/>
              <w:spacing w:after="0" w:line="240" w:lineRule="auto"/>
              <w:jc w:val="center"/>
              <w:textAlignment w:val="baseline"/>
              <w:rPr>
                <w:rFonts w:ascii="Times New Roman" w:hAnsi="Times New Roman"/>
                <w:b/>
                <w:iCs/>
                <w:sz w:val="20"/>
                <w:szCs w:val="20"/>
              </w:rPr>
            </w:pPr>
            <w:r w:rsidRPr="00712F3C">
              <w:rPr>
                <w:rFonts w:ascii="Times New Roman" w:hAnsi="Times New Roman"/>
                <w:b/>
                <w:iCs/>
                <w:sz w:val="20"/>
                <w:szCs w:val="20"/>
              </w:rPr>
              <w:t xml:space="preserve">Amount in dispute/demanded to the extent ascertainable </w:t>
            </w:r>
          </w:p>
        </w:tc>
      </w:tr>
      <w:tr w:rsidR="00F8631B" w:rsidRPr="00CB2D76" w14:paraId="4BA6B8AE" w14:textId="77777777" w:rsidTr="00250DAC">
        <w:tc>
          <w:tcPr>
            <w:tcW w:w="2459" w:type="pct"/>
          </w:tcPr>
          <w:p w14:paraId="2AA837A5" w14:textId="716CF252" w:rsidR="00F8631B" w:rsidRPr="00855894" w:rsidRDefault="00855894" w:rsidP="00855894">
            <w:pPr>
              <w:widowControl w:val="0"/>
              <w:overflowPunct w:val="0"/>
              <w:autoSpaceDE w:val="0"/>
              <w:autoSpaceDN w:val="0"/>
              <w:adjustRightInd w:val="0"/>
              <w:spacing w:after="0" w:line="240" w:lineRule="auto"/>
              <w:jc w:val="both"/>
              <w:rPr>
                <w:rFonts w:ascii="Times New Roman" w:hAnsi="Times New Roman"/>
                <w:iCs/>
                <w:sz w:val="20"/>
                <w:szCs w:val="20"/>
                <w:lang w:val="x-none"/>
              </w:rPr>
            </w:pPr>
            <w:r w:rsidRPr="00855894">
              <w:rPr>
                <w:rFonts w:ascii="Times New Roman" w:hAnsi="Times New Roman"/>
                <w:iCs/>
                <w:sz w:val="20"/>
                <w:szCs w:val="20"/>
                <w:lang w:val="x-none"/>
              </w:rPr>
              <w:t>Actions by statutory and regulatory authorities against the Company</w:t>
            </w:r>
          </w:p>
        </w:tc>
        <w:tc>
          <w:tcPr>
            <w:tcW w:w="1121" w:type="pct"/>
            <w:shd w:val="clear" w:color="auto" w:fill="auto"/>
            <w:vAlign w:val="center"/>
          </w:tcPr>
          <w:p w14:paraId="126B808C" w14:textId="7B991977" w:rsidR="00F8631B" w:rsidRPr="00CB2D76" w:rsidRDefault="00855894" w:rsidP="00250DAC">
            <w:pPr>
              <w:widowControl w:val="0"/>
              <w:adjustRightInd w:val="0"/>
              <w:spacing w:after="0" w:line="240" w:lineRule="auto"/>
              <w:jc w:val="center"/>
              <w:textAlignment w:val="baseline"/>
              <w:rPr>
                <w:rFonts w:ascii="Times New Roman" w:hAnsi="Times New Roman"/>
                <w:sz w:val="20"/>
                <w:szCs w:val="20"/>
                <w:highlight w:val="yellow"/>
              </w:rPr>
            </w:pPr>
            <w:r w:rsidRPr="00855894">
              <w:rPr>
                <w:rFonts w:ascii="Times New Roman" w:hAnsi="Times New Roman"/>
                <w:sz w:val="20"/>
                <w:szCs w:val="20"/>
              </w:rPr>
              <w:t>1</w:t>
            </w:r>
          </w:p>
        </w:tc>
        <w:tc>
          <w:tcPr>
            <w:tcW w:w="1420" w:type="pct"/>
            <w:shd w:val="clear" w:color="auto" w:fill="auto"/>
            <w:vAlign w:val="center"/>
          </w:tcPr>
          <w:p w14:paraId="412F38E6" w14:textId="0D8841D9" w:rsidR="00F8631B" w:rsidRPr="00CB2D76" w:rsidRDefault="00855894" w:rsidP="00250DAC">
            <w:pPr>
              <w:widowControl w:val="0"/>
              <w:adjustRightInd w:val="0"/>
              <w:spacing w:after="0" w:line="240" w:lineRule="auto"/>
              <w:jc w:val="center"/>
              <w:textAlignment w:val="baseline"/>
              <w:rPr>
                <w:rFonts w:ascii="Times New Roman" w:hAnsi="Times New Roman"/>
                <w:sz w:val="20"/>
                <w:szCs w:val="20"/>
                <w:highlight w:val="yellow"/>
              </w:rPr>
            </w:pPr>
            <w:r w:rsidRPr="00855894">
              <w:rPr>
                <w:rFonts w:ascii="Times New Roman" w:hAnsi="Times New Roman"/>
                <w:sz w:val="20"/>
                <w:szCs w:val="20"/>
              </w:rPr>
              <w:t>30.00</w:t>
            </w:r>
          </w:p>
        </w:tc>
      </w:tr>
      <w:tr w:rsidR="00855894" w:rsidRPr="00CB2D76" w14:paraId="4774A246" w14:textId="77777777" w:rsidTr="00250DAC">
        <w:tc>
          <w:tcPr>
            <w:tcW w:w="2459" w:type="pct"/>
          </w:tcPr>
          <w:p w14:paraId="14B15A21" w14:textId="5348B729" w:rsidR="00855894" w:rsidRPr="00855894" w:rsidRDefault="00855894" w:rsidP="00855894">
            <w:pPr>
              <w:widowControl w:val="0"/>
              <w:overflowPunct w:val="0"/>
              <w:autoSpaceDE w:val="0"/>
              <w:autoSpaceDN w:val="0"/>
              <w:adjustRightInd w:val="0"/>
              <w:spacing w:after="0" w:line="240" w:lineRule="auto"/>
              <w:jc w:val="both"/>
              <w:rPr>
                <w:rFonts w:ascii="Times New Roman" w:hAnsi="Times New Roman"/>
                <w:iCs/>
                <w:sz w:val="20"/>
                <w:szCs w:val="20"/>
              </w:rPr>
            </w:pPr>
            <w:r>
              <w:rPr>
                <w:rFonts w:ascii="Times New Roman" w:hAnsi="Times New Roman"/>
                <w:iCs/>
                <w:sz w:val="20"/>
                <w:szCs w:val="20"/>
              </w:rPr>
              <w:t>Tax proceedings:</w:t>
            </w:r>
          </w:p>
        </w:tc>
        <w:tc>
          <w:tcPr>
            <w:tcW w:w="1121" w:type="pct"/>
            <w:shd w:val="clear" w:color="auto" w:fill="auto"/>
            <w:vAlign w:val="center"/>
          </w:tcPr>
          <w:p w14:paraId="72DB561D" w14:textId="77777777" w:rsidR="00855894" w:rsidRPr="00855894" w:rsidRDefault="00855894" w:rsidP="00250DAC">
            <w:pPr>
              <w:widowControl w:val="0"/>
              <w:adjustRightInd w:val="0"/>
              <w:spacing w:after="0" w:line="240" w:lineRule="auto"/>
              <w:jc w:val="center"/>
              <w:textAlignment w:val="baseline"/>
              <w:rPr>
                <w:rFonts w:ascii="Times New Roman" w:hAnsi="Times New Roman"/>
                <w:sz w:val="20"/>
                <w:szCs w:val="20"/>
              </w:rPr>
            </w:pPr>
          </w:p>
        </w:tc>
        <w:tc>
          <w:tcPr>
            <w:tcW w:w="1420" w:type="pct"/>
            <w:shd w:val="clear" w:color="auto" w:fill="auto"/>
            <w:vAlign w:val="center"/>
          </w:tcPr>
          <w:p w14:paraId="6383843A" w14:textId="77777777" w:rsidR="00855894" w:rsidRPr="00855894" w:rsidRDefault="00855894" w:rsidP="00250DAC">
            <w:pPr>
              <w:widowControl w:val="0"/>
              <w:adjustRightInd w:val="0"/>
              <w:spacing w:after="0" w:line="240" w:lineRule="auto"/>
              <w:jc w:val="center"/>
              <w:textAlignment w:val="baseline"/>
              <w:rPr>
                <w:rFonts w:ascii="Times New Roman" w:hAnsi="Times New Roman"/>
                <w:sz w:val="20"/>
                <w:szCs w:val="20"/>
              </w:rPr>
            </w:pPr>
          </w:p>
        </w:tc>
      </w:tr>
      <w:tr w:rsidR="00855894" w:rsidRPr="00CB2D76" w14:paraId="6800B1C8" w14:textId="77777777" w:rsidTr="00243311">
        <w:tc>
          <w:tcPr>
            <w:tcW w:w="2459" w:type="pct"/>
          </w:tcPr>
          <w:p w14:paraId="1D6E0463" w14:textId="4ECF998B" w:rsidR="00855894" w:rsidRPr="00855894" w:rsidRDefault="00855894" w:rsidP="00855894">
            <w:pPr>
              <w:widowControl w:val="0"/>
              <w:overflowPunct w:val="0"/>
              <w:autoSpaceDE w:val="0"/>
              <w:autoSpaceDN w:val="0"/>
              <w:adjustRightInd w:val="0"/>
              <w:spacing w:after="0" w:line="240" w:lineRule="auto"/>
              <w:jc w:val="both"/>
              <w:rPr>
                <w:rFonts w:ascii="Times New Roman" w:hAnsi="Times New Roman"/>
                <w:iCs/>
                <w:sz w:val="20"/>
                <w:szCs w:val="20"/>
              </w:rPr>
            </w:pPr>
            <w:r w:rsidRPr="001C0516">
              <w:rPr>
                <w:rFonts w:ascii="Times New Roman" w:eastAsia="Calibri" w:hAnsi="Times New Roman"/>
                <w:b/>
                <w:sz w:val="20"/>
                <w:szCs w:val="20"/>
                <w:lang w:val="en-IN" w:bidi="hi-IN"/>
              </w:rPr>
              <w:t>Direct Tax</w:t>
            </w:r>
          </w:p>
        </w:tc>
        <w:tc>
          <w:tcPr>
            <w:tcW w:w="1121" w:type="pct"/>
            <w:shd w:val="clear" w:color="auto" w:fill="auto"/>
          </w:tcPr>
          <w:p w14:paraId="20AAFBF2" w14:textId="77777777" w:rsidR="00855894" w:rsidRPr="00855894" w:rsidRDefault="00855894" w:rsidP="00855894">
            <w:pPr>
              <w:widowControl w:val="0"/>
              <w:adjustRightInd w:val="0"/>
              <w:spacing w:after="0" w:line="240" w:lineRule="auto"/>
              <w:jc w:val="center"/>
              <w:textAlignment w:val="baseline"/>
              <w:rPr>
                <w:rFonts w:ascii="Times New Roman" w:hAnsi="Times New Roman"/>
                <w:sz w:val="20"/>
                <w:szCs w:val="20"/>
              </w:rPr>
            </w:pPr>
          </w:p>
        </w:tc>
        <w:tc>
          <w:tcPr>
            <w:tcW w:w="1420" w:type="pct"/>
            <w:shd w:val="clear" w:color="auto" w:fill="auto"/>
          </w:tcPr>
          <w:p w14:paraId="5A902C4F" w14:textId="77777777" w:rsidR="00855894" w:rsidRPr="00855894" w:rsidRDefault="00855894" w:rsidP="00855894">
            <w:pPr>
              <w:widowControl w:val="0"/>
              <w:adjustRightInd w:val="0"/>
              <w:spacing w:after="0" w:line="240" w:lineRule="auto"/>
              <w:jc w:val="center"/>
              <w:textAlignment w:val="baseline"/>
              <w:rPr>
                <w:rFonts w:ascii="Times New Roman" w:hAnsi="Times New Roman"/>
                <w:sz w:val="20"/>
                <w:szCs w:val="20"/>
              </w:rPr>
            </w:pPr>
          </w:p>
        </w:tc>
      </w:tr>
      <w:tr w:rsidR="00855894" w:rsidRPr="00CB2D76" w14:paraId="5FB3DE7E" w14:textId="77777777" w:rsidTr="00243311">
        <w:tc>
          <w:tcPr>
            <w:tcW w:w="2459" w:type="pct"/>
          </w:tcPr>
          <w:p w14:paraId="648A750F" w14:textId="0D424D01" w:rsidR="00855894" w:rsidRPr="00855894" w:rsidRDefault="00855894" w:rsidP="00855894">
            <w:pPr>
              <w:widowControl w:val="0"/>
              <w:overflowPunct w:val="0"/>
              <w:autoSpaceDE w:val="0"/>
              <w:autoSpaceDN w:val="0"/>
              <w:adjustRightInd w:val="0"/>
              <w:spacing w:after="0" w:line="240" w:lineRule="auto"/>
              <w:jc w:val="both"/>
              <w:rPr>
                <w:rFonts w:ascii="Times New Roman" w:hAnsi="Times New Roman"/>
                <w:iCs/>
                <w:sz w:val="20"/>
                <w:szCs w:val="20"/>
              </w:rPr>
            </w:pPr>
            <w:r w:rsidRPr="001C0516">
              <w:rPr>
                <w:rFonts w:ascii="Times New Roman" w:eastAsia="Calibri" w:hAnsi="Times New Roman"/>
                <w:bCs/>
                <w:sz w:val="20"/>
                <w:szCs w:val="20"/>
                <w:lang w:val="en-IN" w:bidi="hi-IN"/>
              </w:rPr>
              <w:t>Income Tax</w:t>
            </w:r>
          </w:p>
        </w:tc>
        <w:tc>
          <w:tcPr>
            <w:tcW w:w="1121" w:type="pct"/>
            <w:shd w:val="clear" w:color="auto" w:fill="auto"/>
          </w:tcPr>
          <w:p w14:paraId="2EB9BE41" w14:textId="4390DB3B" w:rsidR="00855894" w:rsidRPr="00855894" w:rsidRDefault="00855894" w:rsidP="00855894">
            <w:pPr>
              <w:widowControl w:val="0"/>
              <w:adjustRightInd w:val="0"/>
              <w:spacing w:after="0" w:line="240" w:lineRule="auto"/>
              <w:jc w:val="center"/>
              <w:textAlignment w:val="baseline"/>
              <w:rPr>
                <w:rFonts w:ascii="Times New Roman" w:hAnsi="Times New Roman"/>
                <w:sz w:val="20"/>
                <w:szCs w:val="20"/>
              </w:rPr>
            </w:pPr>
            <w:r w:rsidRPr="001C0516">
              <w:rPr>
                <w:rFonts w:ascii="Times New Roman" w:eastAsia="Calibri" w:hAnsi="Times New Roman"/>
                <w:bCs/>
                <w:sz w:val="20"/>
                <w:szCs w:val="20"/>
                <w:lang w:val="en-IN" w:bidi="hi-IN"/>
              </w:rPr>
              <w:t>1</w:t>
            </w:r>
          </w:p>
        </w:tc>
        <w:tc>
          <w:tcPr>
            <w:tcW w:w="1420" w:type="pct"/>
            <w:shd w:val="clear" w:color="auto" w:fill="auto"/>
          </w:tcPr>
          <w:p w14:paraId="26C49C7B" w14:textId="2737454B" w:rsidR="00855894" w:rsidRPr="00855894" w:rsidRDefault="00855894" w:rsidP="00855894">
            <w:pPr>
              <w:widowControl w:val="0"/>
              <w:adjustRightInd w:val="0"/>
              <w:spacing w:after="0" w:line="240" w:lineRule="auto"/>
              <w:jc w:val="center"/>
              <w:textAlignment w:val="baseline"/>
              <w:rPr>
                <w:rFonts w:ascii="Times New Roman" w:hAnsi="Times New Roman"/>
                <w:sz w:val="20"/>
                <w:szCs w:val="20"/>
              </w:rPr>
            </w:pPr>
            <w:r w:rsidRPr="001C0516">
              <w:rPr>
                <w:rFonts w:ascii="Times New Roman" w:eastAsia="Calibri" w:hAnsi="Times New Roman"/>
                <w:bCs/>
                <w:sz w:val="20"/>
                <w:szCs w:val="20"/>
                <w:lang w:val="en-IN" w:bidi="hi-IN"/>
              </w:rPr>
              <w:t xml:space="preserve">Unascertainable </w:t>
            </w:r>
          </w:p>
        </w:tc>
      </w:tr>
      <w:tr w:rsidR="00855894" w:rsidRPr="00CB2D76" w14:paraId="4127FF02" w14:textId="77777777" w:rsidTr="00243311">
        <w:tc>
          <w:tcPr>
            <w:tcW w:w="2459" w:type="pct"/>
          </w:tcPr>
          <w:p w14:paraId="70A9839C" w14:textId="0E6A2671" w:rsidR="00855894" w:rsidRPr="00855894" w:rsidRDefault="00855894" w:rsidP="00855894">
            <w:pPr>
              <w:widowControl w:val="0"/>
              <w:overflowPunct w:val="0"/>
              <w:autoSpaceDE w:val="0"/>
              <w:autoSpaceDN w:val="0"/>
              <w:adjustRightInd w:val="0"/>
              <w:spacing w:after="0" w:line="240" w:lineRule="auto"/>
              <w:jc w:val="both"/>
              <w:rPr>
                <w:rFonts w:ascii="Times New Roman" w:hAnsi="Times New Roman"/>
                <w:iCs/>
                <w:sz w:val="20"/>
                <w:szCs w:val="20"/>
              </w:rPr>
            </w:pPr>
            <w:r w:rsidRPr="001C0516">
              <w:rPr>
                <w:rFonts w:ascii="Times New Roman" w:eastAsia="Calibri" w:hAnsi="Times New Roman"/>
                <w:bCs/>
                <w:sz w:val="20"/>
                <w:szCs w:val="20"/>
                <w:lang w:val="en-IN" w:bidi="hi-IN"/>
              </w:rPr>
              <w:t>TDS defaults</w:t>
            </w:r>
          </w:p>
        </w:tc>
        <w:tc>
          <w:tcPr>
            <w:tcW w:w="1121" w:type="pct"/>
            <w:shd w:val="clear" w:color="auto" w:fill="auto"/>
          </w:tcPr>
          <w:p w14:paraId="322AE691" w14:textId="19516883" w:rsidR="00855894" w:rsidRPr="00855894" w:rsidRDefault="00855894" w:rsidP="00855894">
            <w:pPr>
              <w:widowControl w:val="0"/>
              <w:adjustRightInd w:val="0"/>
              <w:spacing w:after="0" w:line="240" w:lineRule="auto"/>
              <w:jc w:val="center"/>
              <w:textAlignment w:val="baseline"/>
              <w:rPr>
                <w:rFonts w:ascii="Times New Roman" w:hAnsi="Times New Roman"/>
                <w:sz w:val="20"/>
                <w:szCs w:val="20"/>
              </w:rPr>
            </w:pPr>
            <w:r w:rsidRPr="001C0516">
              <w:rPr>
                <w:rFonts w:ascii="Times New Roman" w:eastAsia="Calibri" w:hAnsi="Times New Roman"/>
                <w:bCs/>
                <w:sz w:val="20"/>
                <w:szCs w:val="20"/>
                <w:lang w:val="en-IN" w:bidi="hi-IN"/>
              </w:rPr>
              <w:t>2</w:t>
            </w:r>
          </w:p>
        </w:tc>
        <w:tc>
          <w:tcPr>
            <w:tcW w:w="1420" w:type="pct"/>
            <w:shd w:val="clear" w:color="auto" w:fill="auto"/>
          </w:tcPr>
          <w:p w14:paraId="32DC1BEC" w14:textId="63232A8D" w:rsidR="00855894" w:rsidRPr="00855894" w:rsidRDefault="00855894" w:rsidP="00855894">
            <w:pPr>
              <w:widowControl w:val="0"/>
              <w:adjustRightInd w:val="0"/>
              <w:spacing w:after="0" w:line="240" w:lineRule="auto"/>
              <w:jc w:val="center"/>
              <w:textAlignment w:val="baseline"/>
              <w:rPr>
                <w:rFonts w:ascii="Times New Roman" w:hAnsi="Times New Roman"/>
                <w:sz w:val="20"/>
                <w:szCs w:val="20"/>
              </w:rPr>
            </w:pPr>
            <w:r w:rsidRPr="001C0516">
              <w:rPr>
                <w:rFonts w:ascii="Times New Roman" w:eastAsia="Calibri" w:hAnsi="Times New Roman"/>
                <w:bCs/>
                <w:sz w:val="20"/>
                <w:szCs w:val="20"/>
                <w:lang w:val="en-IN" w:bidi="hi-IN"/>
              </w:rPr>
              <w:t>0.29</w:t>
            </w:r>
          </w:p>
        </w:tc>
      </w:tr>
      <w:tr w:rsidR="00855894" w:rsidRPr="00CB2D76" w14:paraId="5A4F64F5" w14:textId="77777777" w:rsidTr="00243311">
        <w:tc>
          <w:tcPr>
            <w:tcW w:w="2459" w:type="pct"/>
          </w:tcPr>
          <w:p w14:paraId="1C684F00" w14:textId="1B5496BE" w:rsidR="00855894" w:rsidRPr="00855894" w:rsidRDefault="00855894" w:rsidP="00855894">
            <w:pPr>
              <w:widowControl w:val="0"/>
              <w:overflowPunct w:val="0"/>
              <w:autoSpaceDE w:val="0"/>
              <w:autoSpaceDN w:val="0"/>
              <w:adjustRightInd w:val="0"/>
              <w:spacing w:after="0" w:line="240" w:lineRule="auto"/>
              <w:jc w:val="both"/>
              <w:rPr>
                <w:rFonts w:ascii="Times New Roman" w:eastAsia="Calibri" w:hAnsi="Times New Roman"/>
                <w:bCs/>
                <w:sz w:val="20"/>
                <w:szCs w:val="20"/>
                <w:lang w:val="en-IN" w:bidi="hi-IN"/>
              </w:rPr>
            </w:pPr>
            <w:r w:rsidRPr="001C0516">
              <w:rPr>
                <w:rFonts w:ascii="Times New Roman" w:eastAsia="Calibri" w:hAnsi="Times New Roman"/>
                <w:b/>
                <w:sz w:val="20"/>
                <w:szCs w:val="20"/>
                <w:lang w:val="en-IN" w:bidi="hi-IN"/>
              </w:rPr>
              <w:t>Indirect Tax</w:t>
            </w:r>
          </w:p>
        </w:tc>
        <w:tc>
          <w:tcPr>
            <w:tcW w:w="1121" w:type="pct"/>
            <w:shd w:val="clear" w:color="auto" w:fill="auto"/>
          </w:tcPr>
          <w:p w14:paraId="68AB64E6" w14:textId="77777777" w:rsidR="00855894" w:rsidRPr="00855894" w:rsidRDefault="00855894" w:rsidP="00855894">
            <w:pPr>
              <w:widowControl w:val="0"/>
              <w:adjustRightInd w:val="0"/>
              <w:spacing w:after="0" w:line="240" w:lineRule="auto"/>
              <w:jc w:val="center"/>
              <w:textAlignment w:val="baseline"/>
              <w:rPr>
                <w:rFonts w:ascii="Times New Roman" w:eastAsia="Calibri" w:hAnsi="Times New Roman"/>
                <w:bCs/>
                <w:sz w:val="20"/>
                <w:szCs w:val="20"/>
                <w:lang w:val="en-IN" w:bidi="hi-IN"/>
              </w:rPr>
            </w:pPr>
          </w:p>
        </w:tc>
        <w:tc>
          <w:tcPr>
            <w:tcW w:w="1420" w:type="pct"/>
            <w:shd w:val="clear" w:color="auto" w:fill="auto"/>
          </w:tcPr>
          <w:p w14:paraId="124ACAB6" w14:textId="77777777" w:rsidR="00855894" w:rsidRPr="00855894" w:rsidRDefault="00855894" w:rsidP="00855894">
            <w:pPr>
              <w:widowControl w:val="0"/>
              <w:adjustRightInd w:val="0"/>
              <w:spacing w:after="0" w:line="240" w:lineRule="auto"/>
              <w:jc w:val="center"/>
              <w:textAlignment w:val="baseline"/>
              <w:rPr>
                <w:rFonts w:ascii="Times New Roman" w:eastAsia="Calibri" w:hAnsi="Times New Roman"/>
                <w:bCs/>
                <w:sz w:val="20"/>
                <w:szCs w:val="20"/>
                <w:lang w:val="en-IN" w:bidi="hi-IN"/>
              </w:rPr>
            </w:pPr>
          </w:p>
        </w:tc>
      </w:tr>
      <w:tr w:rsidR="00855894" w:rsidRPr="00CB2D76" w14:paraId="0DAA588B" w14:textId="77777777" w:rsidTr="00243311">
        <w:tc>
          <w:tcPr>
            <w:tcW w:w="2459" w:type="pct"/>
          </w:tcPr>
          <w:p w14:paraId="048166FF" w14:textId="1727C94C" w:rsidR="00855894" w:rsidRPr="00855894" w:rsidRDefault="00855894" w:rsidP="00855894">
            <w:pPr>
              <w:widowControl w:val="0"/>
              <w:overflowPunct w:val="0"/>
              <w:autoSpaceDE w:val="0"/>
              <w:autoSpaceDN w:val="0"/>
              <w:adjustRightInd w:val="0"/>
              <w:spacing w:after="0" w:line="240" w:lineRule="auto"/>
              <w:jc w:val="both"/>
              <w:rPr>
                <w:rFonts w:ascii="Times New Roman" w:eastAsia="Calibri" w:hAnsi="Times New Roman"/>
                <w:bCs/>
                <w:sz w:val="20"/>
                <w:szCs w:val="20"/>
                <w:lang w:val="en-IN" w:bidi="hi-IN"/>
              </w:rPr>
            </w:pPr>
            <w:r w:rsidRPr="001C0516">
              <w:rPr>
                <w:rFonts w:ascii="Times New Roman" w:eastAsia="Calibri" w:hAnsi="Times New Roman"/>
                <w:bCs/>
                <w:sz w:val="20"/>
                <w:szCs w:val="20"/>
                <w:lang w:val="en-IN" w:bidi="hi-IN"/>
              </w:rPr>
              <w:t>VAT</w:t>
            </w:r>
          </w:p>
        </w:tc>
        <w:tc>
          <w:tcPr>
            <w:tcW w:w="1121" w:type="pct"/>
            <w:shd w:val="clear" w:color="auto" w:fill="auto"/>
          </w:tcPr>
          <w:p w14:paraId="7358EBE5" w14:textId="6C622D04" w:rsidR="00855894" w:rsidRPr="00855894" w:rsidRDefault="00855894" w:rsidP="00855894">
            <w:pPr>
              <w:widowControl w:val="0"/>
              <w:adjustRightInd w:val="0"/>
              <w:spacing w:after="0" w:line="240" w:lineRule="auto"/>
              <w:jc w:val="center"/>
              <w:textAlignment w:val="baseline"/>
              <w:rPr>
                <w:rFonts w:ascii="Times New Roman" w:eastAsia="Calibri" w:hAnsi="Times New Roman"/>
                <w:bCs/>
                <w:sz w:val="20"/>
                <w:szCs w:val="20"/>
                <w:lang w:val="en-IN" w:bidi="hi-IN"/>
              </w:rPr>
            </w:pPr>
            <w:r w:rsidRPr="001C0516">
              <w:rPr>
                <w:rFonts w:ascii="Times New Roman" w:eastAsia="Calibri" w:hAnsi="Times New Roman"/>
                <w:bCs/>
                <w:sz w:val="20"/>
                <w:szCs w:val="20"/>
                <w:lang w:val="en-IN" w:bidi="hi-IN"/>
              </w:rPr>
              <w:t>1</w:t>
            </w:r>
          </w:p>
        </w:tc>
        <w:tc>
          <w:tcPr>
            <w:tcW w:w="1420" w:type="pct"/>
            <w:shd w:val="clear" w:color="auto" w:fill="auto"/>
          </w:tcPr>
          <w:p w14:paraId="355EB74A" w14:textId="0D65EC71" w:rsidR="00855894" w:rsidRPr="00855894" w:rsidRDefault="00855894" w:rsidP="00855894">
            <w:pPr>
              <w:widowControl w:val="0"/>
              <w:adjustRightInd w:val="0"/>
              <w:spacing w:after="0" w:line="240" w:lineRule="auto"/>
              <w:jc w:val="center"/>
              <w:textAlignment w:val="baseline"/>
              <w:rPr>
                <w:rFonts w:ascii="Times New Roman" w:eastAsia="Calibri" w:hAnsi="Times New Roman"/>
                <w:bCs/>
                <w:sz w:val="20"/>
                <w:szCs w:val="20"/>
                <w:lang w:val="en-IN" w:bidi="hi-IN"/>
              </w:rPr>
            </w:pPr>
            <w:r w:rsidRPr="001C0516">
              <w:rPr>
                <w:rFonts w:ascii="Times New Roman" w:eastAsia="Calibri" w:hAnsi="Times New Roman"/>
                <w:bCs/>
                <w:sz w:val="20"/>
                <w:szCs w:val="20"/>
                <w:lang w:val="en-IN" w:bidi="hi-IN"/>
              </w:rPr>
              <w:t>26.54</w:t>
            </w:r>
          </w:p>
        </w:tc>
      </w:tr>
      <w:tr w:rsidR="00855894" w:rsidRPr="00CB2D76" w14:paraId="7DFC2E57" w14:textId="77777777" w:rsidTr="00243311">
        <w:tc>
          <w:tcPr>
            <w:tcW w:w="2459" w:type="pct"/>
          </w:tcPr>
          <w:p w14:paraId="64965145" w14:textId="7AA12886" w:rsidR="00855894" w:rsidRPr="00855894" w:rsidRDefault="00855894" w:rsidP="00855894">
            <w:pPr>
              <w:widowControl w:val="0"/>
              <w:tabs>
                <w:tab w:val="center" w:pos="2463"/>
              </w:tabs>
              <w:overflowPunct w:val="0"/>
              <w:autoSpaceDE w:val="0"/>
              <w:autoSpaceDN w:val="0"/>
              <w:adjustRightInd w:val="0"/>
              <w:spacing w:after="0" w:line="240" w:lineRule="auto"/>
              <w:jc w:val="both"/>
              <w:rPr>
                <w:rFonts w:ascii="Times New Roman" w:eastAsia="Calibri" w:hAnsi="Times New Roman"/>
                <w:bCs/>
                <w:sz w:val="20"/>
                <w:szCs w:val="20"/>
                <w:lang w:val="en-IN" w:bidi="hi-IN"/>
              </w:rPr>
            </w:pPr>
            <w:r w:rsidRPr="001C0516">
              <w:rPr>
                <w:rFonts w:ascii="Times New Roman" w:eastAsia="Calibri" w:hAnsi="Times New Roman"/>
                <w:b/>
                <w:bCs/>
                <w:sz w:val="20"/>
                <w:szCs w:val="20"/>
                <w:lang w:val="en-IN" w:bidi="hi-IN"/>
              </w:rPr>
              <w:t>Total</w:t>
            </w:r>
            <w:r>
              <w:rPr>
                <w:rFonts w:ascii="Times New Roman" w:eastAsia="Calibri" w:hAnsi="Times New Roman"/>
                <w:b/>
                <w:bCs/>
                <w:sz w:val="20"/>
                <w:szCs w:val="20"/>
                <w:lang w:val="en-IN" w:bidi="hi-IN"/>
              </w:rPr>
              <w:tab/>
            </w:r>
          </w:p>
        </w:tc>
        <w:tc>
          <w:tcPr>
            <w:tcW w:w="1121" w:type="pct"/>
            <w:shd w:val="clear" w:color="auto" w:fill="auto"/>
          </w:tcPr>
          <w:p w14:paraId="75B8A339" w14:textId="54020973" w:rsidR="00855894" w:rsidRPr="00855894" w:rsidRDefault="00855894" w:rsidP="00855894">
            <w:pPr>
              <w:widowControl w:val="0"/>
              <w:adjustRightInd w:val="0"/>
              <w:spacing w:after="0" w:line="240" w:lineRule="auto"/>
              <w:jc w:val="center"/>
              <w:textAlignment w:val="baseline"/>
              <w:rPr>
                <w:rFonts w:ascii="Times New Roman" w:eastAsia="Calibri" w:hAnsi="Times New Roman"/>
                <w:bCs/>
                <w:sz w:val="20"/>
                <w:szCs w:val="20"/>
                <w:lang w:val="en-IN" w:bidi="hi-IN"/>
              </w:rPr>
            </w:pPr>
            <w:r>
              <w:rPr>
                <w:rFonts w:ascii="Times New Roman" w:eastAsia="Calibri" w:hAnsi="Times New Roman"/>
                <w:b/>
                <w:bCs/>
                <w:sz w:val="20"/>
                <w:szCs w:val="20"/>
                <w:lang w:val="en-IN" w:bidi="hi-IN"/>
              </w:rPr>
              <w:t>5</w:t>
            </w:r>
          </w:p>
        </w:tc>
        <w:tc>
          <w:tcPr>
            <w:tcW w:w="1420" w:type="pct"/>
            <w:shd w:val="clear" w:color="auto" w:fill="auto"/>
          </w:tcPr>
          <w:p w14:paraId="475AB5C5" w14:textId="1820C013" w:rsidR="00855894" w:rsidRPr="00855894" w:rsidRDefault="00855894" w:rsidP="00855894">
            <w:pPr>
              <w:widowControl w:val="0"/>
              <w:adjustRightInd w:val="0"/>
              <w:spacing w:after="0" w:line="240" w:lineRule="auto"/>
              <w:jc w:val="center"/>
              <w:textAlignment w:val="baseline"/>
              <w:rPr>
                <w:rFonts w:ascii="Times New Roman" w:eastAsia="Calibri" w:hAnsi="Times New Roman"/>
                <w:bCs/>
                <w:sz w:val="20"/>
                <w:szCs w:val="20"/>
                <w:lang w:val="en-IN" w:bidi="hi-IN"/>
              </w:rPr>
            </w:pPr>
            <w:r>
              <w:rPr>
                <w:rFonts w:ascii="Times New Roman" w:eastAsia="Calibri" w:hAnsi="Times New Roman"/>
                <w:b/>
                <w:bCs/>
                <w:sz w:val="20"/>
                <w:szCs w:val="20"/>
                <w:lang w:val="en-IN" w:bidi="hi-IN"/>
              </w:rPr>
              <w:t>5</w:t>
            </w:r>
            <w:r w:rsidRPr="001C0516">
              <w:rPr>
                <w:rFonts w:ascii="Times New Roman" w:eastAsia="Calibri" w:hAnsi="Times New Roman"/>
                <w:b/>
                <w:bCs/>
                <w:sz w:val="20"/>
                <w:szCs w:val="20"/>
                <w:lang w:val="en-IN" w:bidi="hi-IN"/>
              </w:rPr>
              <w:t>6.83</w:t>
            </w:r>
          </w:p>
        </w:tc>
      </w:tr>
    </w:tbl>
    <w:p w14:paraId="1F0BD6FA" w14:textId="77777777" w:rsidR="00855894" w:rsidRPr="00855894" w:rsidRDefault="00855894" w:rsidP="00855894">
      <w:pPr>
        <w:widowControl w:val="0"/>
        <w:adjustRightInd w:val="0"/>
        <w:spacing w:after="0" w:line="240" w:lineRule="auto"/>
        <w:contextualSpacing/>
        <w:jc w:val="both"/>
        <w:textAlignment w:val="baseline"/>
        <w:rPr>
          <w:rFonts w:ascii="Times New Roman" w:hAnsi="Times New Roman"/>
          <w:bCs/>
          <w:i/>
          <w:iCs/>
          <w:sz w:val="20"/>
          <w:szCs w:val="20"/>
          <w:lang w:val="x-none"/>
        </w:rPr>
      </w:pPr>
      <w:r w:rsidRPr="00855894">
        <w:rPr>
          <w:rFonts w:ascii="Times New Roman" w:hAnsi="Times New Roman"/>
          <w:bCs/>
          <w:i/>
          <w:iCs/>
          <w:sz w:val="20"/>
          <w:szCs w:val="20"/>
          <w:lang w:val="en-IN"/>
        </w:rPr>
        <w:t>*</w:t>
      </w:r>
      <w:r w:rsidRPr="00855894">
        <w:rPr>
          <w:rFonts w:ascii="Times New Roman" w:hAnsi="Times New Roman"/>
          <w:bCs/>
          <w:i/>
          <w:iCs/>
          <w:sz w:val="20"/>
          <w:szCs w:val="20"/>
          <w:lang w:val="x-none"/>
        </w:rPr>
        <w:t>To the extent quantifiable</w:t>
      </w:r>
    </w:p>
    <w:p w14:paraId="203F308A" w14:textId="77777777" w:rsidR="00855894" w:rsidRPr="00855894" w:rsidRDefault="00855894" w:rsidP="00F8631B">
      <w:pPr>
        <w:widowControl w:val="0"/>
        <w:adjustRightInd w:val="0"/>
        <w:spacing w:after="0" w:line="240" w:lineRule="auto"/>
        <w:contextualSpacing/>
        <w:jc w:val="both"/>
        <w:textAlignment w:val="baseline"/>
        <w:rPr>
          <w:rFonts w:ascii="Times New Roman" w:hAnsi="Times New Roman"/>
          <w:b/>
          <w:sz w:val="20"/>
          <w:szCs w:val="20"/>
        </w:rPr>
      </w:pPr>
    </w:p>
    <w:p w14:paraId="02367FE0" w14:textId="77777777" w:rsidR="00F8631B" w:rsidRPr="00855894" w:rsidRDefault="00F8631B" w:rsidP="00F8631B">
      <w:pPr>
        <w:widowControl w:val="0"/>
        <w:adjustRightInd w:val="0"/>
        <w:spacing w:after="0" w:line="240" w:lineRule="auto"/>
        <w:contextualSpacing/>
        <w:jc w:val="both"/>
        <w:textAlignment w:val="baseline"/>
        <w:rPr>
          <w:rFonts w:ascii="Times New Roman" w:hAnsi="Times New Roman"/>
          <w:b/>
          <w:sz w:val="20"/>
          <w:szCs w:val="20"/>
        </w:rPr>
      </w:pPr>
      <w:r w:rsidRPr="00855894">
        <w:rPr>
          <w:rFonts w:ascii="Times New Roman" w:hAnsi="Times New Roman"/>
          <w:b/>
          <w:sz w:val="20"/>
          <w:szCs w:val="20"/>
        </w:rPr>
        <w:t>Litigations involving our Promoter &amp; Directors:-</w:t>
      </w:r>
    </w:p>
    <w:p w14:paraId="7FD45BEF" w14:textId="77777777" w:rsidR="00F8631B" w:rsidRPr="00855894" w:rsidRDefault="00F8631B" w:rsidP="00F8631B">
      <w:pPr>
        <w:spacing w:after="0" w:line="240" w:lineRule="auto"/>
        <w:jc w:val="right"/>
        <w:rPr>
          <w:rFonts w:ascii="Times New Roman" w:eastAsia="MS Mincho" w:hAnsi="Times New Roman"/>
          <w:color w:val="000000"/>
          <w:sz w:val="20"/>
          <w:szCs w:val="20"/>
          <w:lang w:val="en-GB"/>
        </w:rPr>
      </w:pPr>
      <w:r w:rsidRPr="00855894">
        <w:rPr>
          <w:rFonts w:ascii="Times New Roman" w:hAnsi="Times New Roman"/>
          <w:b/>
          <w:bCs/>
          <w:iCs/>
          <w:sz w:val="20"/>
          <w:szCs w:val="20"/>
          <w:lang w:val="en-GB"/>
        </w:rPr>
        <w:t>(₹ in lakhs)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2"/>
        <w:gridCol w:w="2347"/>
        <w:gridCol w:w="2968"/>
      </w:tblGrid>
      <w:tr w:rsidR="00F8631B" w:rsidRPr="00855894" w14:paraId="6B51066F" w14:textId="77777777" w:rsidTr="00250DAC">
        <w:tc>
          <w:tcPr>
            <w:tcW w:w="2458" w:type="pct"/>
            <w:shd w:val="clear" w:color="auto" w:fill="D0CECE" w:themeFill="background2" w:themeFillShade="E6"/>
          </w:tcPr>
          <w:p w14:paraId="10D7DC6F" w14:textId="77777777" w:rsidR="00F8631B" w:rsidRPr="00855894" w:rsidRDefault="00F8631B" w:rsidP="00250DAC">
            <w:pPr>
              <w:widowControl w:val="0"/>
              <w:tabs>
                <w:tab w:val="center" w:pos="1647"/>
                <w:tab w:val="right" w:pos="3294"/>
              </w:tabs>
              <w:adjustRightInd w:val="0"/>
              <w:spacing w:after="0" w:line="240" w:lineRule="auto"/>
              <w:textAlignment w:val="baseline"/>
              <w:rPr>
                <w:rFonts w:ascii="Times New Roman" w:hAnsi="Times New Roman"/>
                <w:b/>
                <w:sz w:val="20"/>
                <w:szCs w:val="20"/>
              </w:rPr>
            </w:pPr>
            <w:r w:rsidRPr="00855894">
              <w:rPr>
                <w:rFonts w:ascii="Times New Roman" w:hAnsi="Times New Roman"/>
                <w:b/>
                <w:sz w:val="20"/>
                <w:szCs w:val="20"/>
              </w:rPr>
              <w:tab/>
              <w:t>Nature of Cases</w:t>
            </w:r>
            <w:r w:rsidRPr="00855894">
              <w:rPr>
                <w:rFonts w:ascii="Times New Roman" w:hAnsi="Times New Roman"/>
                <w:b/>
                <w:sz w:val="20"/>
                <w:szCs w:val="20"/>
              </w:rPr>
              <w:tab/>
            </w:r>
          </w:p>
        </w:tc>
        <w:tc>
          <w:tcPr>
            <w:tcW w:w="1122" w:type="pct"/>
            <w:shd w:val="clear" w:color="auto" w:fill="D0CECE" w:themeFill="background2" w:themeFillShade="E6"/>
          </w:tcPr>
          <w:p w14:paraId="44305B6D" w14:textId="77777777" w:rsidR="00F8631B" w:rsidRPr="00855894" w:rsidRDefault="00F8631B" w:rsidP="00250DAC">
            <w:pPr>
              <w:widowControl w:val="0"/>
              <w:adjustRightInd w:val="0"/>
              <w:spacing w:after="0" w:line="240" w:lineRule="auto"/>
              <w:jc w:val="center"/>
              <w:textAlignment w:val="baseline"/>
              <w:rPr>
                <w:rFonts w:ascii="Times New Roman" w:hAnsi="Times New Roman"/>
                <w:b/>
                <w:sz w:val="20"/>
                <w:szCs w:val="20"/>
              </w:rPr>
            </w:pPr>
            <w:r w:rsidRPr="00855894">
              <w:rPr>
                <w:rFonts w:ascii="Times New Roman" w:hAnsi="Times New Roman"/>
                <w:b/>
                <w:sz w:val="20"/>
                <w:szCs w:val="20"/>
              </w:rPr>
              <w:t>No. of Outstanding Cases</w:t>
            </w:r>
          </w:p>
        </w:tc>
        <w:tc>
          <w:tcPr>
            <w:tcW w:w="1420" w:type="pct"/>
            <w:shd w:val="clear" w:color="auto" w:fill="D0CECE" w:themeFill="background2" w:themeFillShade="E6"/>
          </w:tcPr>
          <w:p w14:paraId="0E303AEB" w14:textId="77777777" w:rsidR="00F8631B" w:rsidRPr="00855894" w:rsidRDefault="00F8631B" w:rsidP="00250DAC">
            <w:pPr>
              <w:widowControl w:val="0"/>
              <w:adjustRightInd w:val="0"/>
              <w:spacing w:after="0" w:line="240" w:lineRule="auto"/>
              <w:jc w:val="center"/>
              <w:textAlignment w:val="baseline"/>
              <w:rPr>
                <w:rFonts w:ascii="Times New Roman" w:hAnsi="Times New Roman"/>
                <w:b/>
                <w:sz w:val="20"/>
                <w:szCs w:val="20"/>
              </w:rPr>
            </w:pPr>
            <w:r w:rsidRPr="00855894">
              <w:rPr>
                <w:rFonts w:ascii="Times New Roman" w:hAnsi="Times New Roman"/>
                <w:b/>
                <w:iCs/>
                <w:sz w:val="20"/>
                <w:szCs w:val="20"/>
              </w:rPr>
              <w:t>Amount in dispute/demanded to the extent ascertainable</w:t>
            </w:r>
          </w:p>
        </w:tc>
      </w:tr>
      <w:tr w:rsidR="00F8631B" w:rsidRPr="00855894" w14:paraId="5FC68DDE" w14:textId="77777777" w:rsidTr="00250DAC">
        <w:tc>
          <w:tcPr>
            <w:tcW w:w="2458" w:type="pct"/>
            <w:shd w:val="clear" w:color="auto" w:fill="auto"/>
          </w:tcPr>
          <w:p w14:paraId="1E70D1F4" w14:textId="51183651" w:rsidR="00F8631B" w:rsidRPr="00855894" w:rsidRDefault="00855894" w:rsidP="00250DAC">
            <w:pPr>
              <w:widowControl w:val="0"/>
              <w:overflowPunct w:val="0"/>
              <w:autoSpaceDE w:val="0"/>
              <w:autoSpaceDN w:val="0"/>
              <w:adjustRightInd w:val="0"/>
              <w:spacing w:after="0" w:line="240" w:lineRule="auto"/>
              <w:ind w:left="120"/>
              <w:jc w:val="both"/>
              <w:rPr>
                <w:rFonts w:ascii="Times New Roman" w:hAnsi="Times New Roman"/>
                <w:bCs/>
                <w:sz w:val="20"/>
                <w:szCs w:val="20"/>
              </w:rPr>
            </w:pPr>
            <w:r>
              <w:rPr>
                <w:rFonts w:ascii="Times New Roman" w:hAnsi="Times New Roman"/>
                <w:bCs/>
                <w:sz w:val="20"/>
                <w:szCs w:val="20"/>
              </w:rPr>
              <w:t>Criminal Proceedings against the Promoter &amp; Director</w:t>
            </w:r>
          </w:p>
        </w:tc>
        <w:tc>
          <w:tcPr>
            <w:tcW w:w="1122" w:type="pct"/>
            <w:shd w:val="clear" w:color="auto" w:fill="auto"/>
            <w:vAlign w:val="center"/>
          </w:tcPr>
          <w:p w14:paraId="69333A68" w14:textId="7B5AD636" w:rsidR="00F8631B" w:rsidRPr="00855894" w:rsidRDefault="00855894" w:rsidP="00855894">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1</w:t>
            </w:r>
          </w:p>
        </w:tc>
        <w:tc>
          <w:tcPr>
            <w:tcW w:w="1420" w:type="pct"/>
            <w:shd w:val="clear" w:color="auto" w:fill="auto"/>
            <w:vAlign w:val="center"/>
          </w:tcPr>
          <w:p w14:paraId="6D548D88" w14:textId="53A60005" w:rsidR="00F8631B" w:rsidRPr="00855894" w:rsidRDefault="00855894" w:rsidP="00855894">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Not determinable</w:t>
            </w:r>
          </w:p>
        </w:tc>
      </w:tr>
      <w:tr w:rsidR="00855894" w:rsidRPr="00855894" w14:paraId="03318EB6" w14:textId="77777777" w:rsidTr="00716083">
        <w:tc>
          <w:tcPr>
            <w:tcW w:w="2459" w:type="pct"/>
          </w:tcPr>
          <w:p w14:paraId="6CF5B6CA" w14:textId="77777777" w:rsidR="00855894" w:rsidRPr="00855894" w:rsidRDefault="00855894" w:rsidP="00855894">
            <w:pPr>
              <w:widowControl w:val="0"/>
              <w:overflowPunct w:val="0"/>
              <w:autoSpaceDE w:val="0"/>
              <w:autoSpaceDN w:val="0"/>
              <w:adjustRightInd w:val="0"/>
              <w:spacing w:after="0" w:line="240" w:lineRule="auto"/>
              <w:ind w:left="120"/>
              <w:jc w:val="both"/>
              <w:rPr>
                <w:rFonts w:ascii="Times New Roman" w:hAnsi="Times New Roman"/>
                <w:bCs/>
                <w:iCs/>
                <w:sz w:val="20"/>
                <w:szCs w:val="20"/>
              </w:rPr>
            </w:pPr>
            <w:r w:rsidRPr="00855894">
              <w:rPr>
                <w:rFonts w:ascii="Times New Roman" w:hAnsi="Times New Roman"/>
                <w:bCs/>
                <w:iCs/>
                <w:sz w:val="20"/>
                <w:szCs w:val="20"/>
              </w:rPr>
              <w:t>Tax proceedings:</w:t>
            </w:r>
          </w:p>
        </w:tc>
        <w:tc>
          <w:tcPr>
            <w:tcW w:w="1121" w:type="pct"/>
            <w:shd w:val="clear" w:color="auto" w:fill="auto"/>
            <w:vAlign w:val="center"/>
          </w:tcPr>
          <w:p w14:paraId="297266E2" w14:textId="77777777" w:rsidR="00855894" w:rsidRPr="00855894" w:rsidRDefault="00855894" w:rsidP="00855894">
            <w:pPr>
              <w:widowControl w:val="0"/>
              <w:overflowPunct w:val="0"/>
              <w:autoSpaceDE w:val="0"/>
              <w:autoSpaceDN w:val="0"/>
              <w:adjustRightInd w:val="0"/>
              <w:spacing w:after="0" w:line="240" w:lineRule="auto"/>
              <w:ind w:left="120"/>
              <w:jc w:val="center"/>
              <w:rPr>
                <w:rFonts w:ascii="Times New Roman" w:hAnsi="Times New Roman"/>
                <w:bCs/>
                <w:sz w:val="20"/>
                <w:szCs w:val="20"/>
              </w:rPr>
            </w:pPr>
          </w:p>
        </w:tc>
        <w:tc>
          <w:tcPr>
            <w:tcW w:w="1420" w:type="pct"/>
            <w:shd w:val="clear" w:color="auto" w:fill="auto"/>
            <w:vAlign w:val="center"/>
          </w:tcPr>
          <w:p w14:paraId="24E1BD8D" w14:textId="77777777" w:rsidR="00855894" w:rsidRPr="00855894" w:rsidRDefault="00855894" w:rsidP="00855894">
            <w:pPr>
              <w:widowControl w:val="0"/>
              <w:overflowPunct w:val="0"/>
              <w:autoSpaceDE w:val="0"/>
              <w:autoSpaceDN w:val="0"/>
              <w:adjustRightInd w:val="0"/>
              <w:spacing w:after="0" w:line="240" w:lineRule="auto"/>
              <w:ind w:left="120"/>
              <w:jc w:val="center"/>
              <w:rPr>
                <w:rFonts w:ascii="Times New Roman" w:hAnsi="Times New Roman"/>
                <w:bCs/>
                <w:sz w:val="20"/>
                <w:szCs w:val="20"/>
              </w:rPr>
            </w:pPr>
          </w:p>
        </w:tc>
      </w:tr>
      <w:tr w:rsidR="00855894" w:rsidRPr="00855894" w14:paraId="6140640B" w14:textId="77777777" w:rsidTr="00716083">
        <w:tc>
          <w:tcPr>
            <w:tcW w:w="2459" w:type="pct"/>
          </w:tcPr>
          <w:p w14:paraId="1F3C9058" w14:textId="77777777" w:rsidR="00855894" w:rsidRPr="00855894" w:rsidRDefault="00855894" w:rsidP="00855894">
            <w:pPr>
              <w:widowControl w:val="0"/>
              <w:overflowPunct w:val="0"/>
              <w:autoSpaceDE w:val="0"/>
              <w:autoSpaceDN w:val="0"/>
              <w:adjustRightInd w:val="0"/>
              <w:spacing w:after="0" w:line="240" w:lineRule="auto"/>
              <w:ind w:left="120"/>
              <w:jc w:val="both"/>
              <w:rPr>
                <w:rFonts w:ascii="Times New Roman" w:hAnsi="Times New Roman"/>
                <w:bCs/>
                <w:iCs/>
                <w:sz w:val="20"/>
                <w:szCs w:val="20"/>
              </w:rPr>
            </w:pPr>
            <w:r w:rsidRPr="00855894">
              <w:rPr>
                <w:rFonts w:ascii="Times New Roman" w:hAnsi="Times New Roman"/>
                <w:b/>
                <w:bCs/>
                <w:sz w:val="20"/>
                <w:szCs w:val="20"/>
                <w:lang w:val="en-IN"/>
              </w:rPr>
              <w:t>Direct Tax</w:t>
            </w:r>
          </w:p>
        </w:tc>
        <w:tc>
          <w:tcPr>
            <w:tcW w:w="1121" w:type="pct"/>
            <w:shd w:val="clear" w:color="auto" w:fill="auto"/>
          </w:tcPr>
          <w:p w14:paraId="717A4A99" w14:textId="77777777" w:rsidR="00855894" w:rsidRPr="00855894" w:rsidRDefault="00855894" w:rsidP="00855894">
            <w:pPr>
              <w:widowControl w:val="0"/>
              <w:overflowPunct w:val="0"/>
              <w:autoSpaceDE w:val="0"/>
              <w:autoSpaceDN w:val="0"/>
              <w:adjustRightInd w:val="0"/>
              <w:spacing w:after="0" w:line="240" w:lineRule="auto"/>
              <w:ind w:left="120"/>
              <w:jc w:val="center"/>
              <w:rPr>
                <w:rFonts w:ascii="Times New Roman" w:hAnsi="Times New Roman"/>
                <w:bCs/>
                <w:sz w:val="20"/>
                <w:szCs w:val="20"/>
              </w:rPr>
            </w:pPr>
          </w:p>
        </w:tc>
        <w:tc>
          <w:tcPr>
            <w:tcW w:w="1420" w:type="pct"/>
            <w:shd w:val="clear" w:color="auto" w:fill="auto"/>
          </w:tcPr>
          <w:p w14:paraId="7B8CBD20" w14:textId="77777777" w:rsidR="00855894" w:rsidRPr="00855894" w:rsidRDefault="00855894" w:rsidP="00855894">
            <w:pPr>
              <w:widowControl w:val="0"/>
              <w:overflowPunct w:val="0"/>
              <w:autoSpaceDE w:val="0"/>
              <w:autoSpaceDN w:val="0"/>
              <w:adjustRightInd w:val="0"/>
              <w:spacing w:after="0" w:line="240" w:lineRule="auto"/>
              <w:ind w:left="120"/>
              <w:jc w:val="center"/>
              <w:rPr>
                <w:rFonts w:ascii="Times New Roman" w:hAnsi="Times New Roman"/>
                <w:bCs/>
                <w:sz w:val="20"/>
                <w:szCs w:val="20"/>
              </w:rPr>
            </w:pPr>
          </w:p>
        </w:tc>
      </w:tr>
      <w:tr w:rsidR="00855894" w:rsidRPr="00855894" w14:paraId="100A9911" w14:textId="77777777" w:rsidTr="00716083">
        <w:tc>
          <w:tcPr>
            <w:tcW w:w="2459" w:type="pct"/>
          </w:tcPr>
          <w:p w14:paraId="7E4AD7BA" w14:textId="77777777" w:rsidR="00855894" w:rsidRPr="00855894" w:rsidRDefault="00855894" w:rsidP="00855894">
            <w:pPr>
              <w:widowControl w:val="0"/>
              <w:overflowPunct w:val="0"/>
              <w:autoSpaceDE w:val="0"/>
              <w:autoSpaceDN w:val="0"/>
              <w:adjustRightInd w:val="0"/>
              <w:spacing w:after="0" w:line="240" w:lineRule="auto"/>
              <w:ind w:left="120"/>
              <w:jc w:val="both"/>
              <w:rPr>
                <w:rFonts w:ascii="Times New Roman" w:hAnsi="Times New Roman"/>
                <w:bCs/>
                <w:iCs/>
                <w:sz w:val="20"/>
                <w:szCs w:val="20"/>
              </w:rPr>
            </w:pPr>
            <w:r w:rsidRPr="00855894">
              <w:rPr>
                <w:rFonts w:ascii="Times New Roman" w:hAnsi="Times New Roman"/>
                <w:bCs/>
                <w:sz w:val="20"/>
                <w:szCs w:val="20"/>
                <w:lang w:val="en-IN"/>
              </w:rPr>
              <w:t>Income Tax</w:t>
            </w:r>
          </w:p>
        </w:tc>
        <w:tc>
          <w:tcPr>
            <w:tcW w:w="1121" w:type="pct"/>
            <w:shd w:val="clear" w:color="auto" w:fill="auto"/>
          </w:tcPr>
          <w:p w14:paraId="184303B1" w14:textId="5A773BE8" w:rsidR="00855894" w:rsidRPr="00855894" w:rsidRDefault="00855894" w:rsidP="00014554">
            <w:pPr>
              <w:widowControl w:val="0"/>
              <w:overflowPunct w:val="0"/>
              <w:autoSpaceDE w:val="0"/>
              <w:autoSpaceDN w:val="0"/>
              <w:adjustRightInd w:val="0"/>
              <w:spacing w:after="0" w:line="240" w:lineRule="auto"/>
              <w:ind w:left="120"/>
              <w:jc w:val="center"/>
              <w:rPr>
                <w:rFonts w:ascii="Times New Roman" w:hAnsi="Times New Roman"/>
                <w:bCs/>
                <w:sz w:val="20"/>
                <w:szCs w:val="20"/>
              </w:rPr>
            </w:pPr>
            <w:r>
              <w:rPr>
                <w:rFonts w:ascii="Times New Roman" w:hAnsi="Times New Roman"/>
                <w:bCs/>
                <w:sz w:val="20"/>
                <w:szCs w:val="20"/>
                <w:lang w:val="en-IN"/>
              </w:rPr>
              <w:t>10</w:t>
            </w:r>
          </w:p>
        </w:tc>
        <w:tc>
          <w:tcPr>
            <w:tcW w:w="1420" w:type="pct"/>
            <w:shd w:val="clear" w:color="auto" w:fill="auto"/>
          </w:tcPr>
          <w:p w14:paraId="5DF1605C" w14:textId="3340ABE2" w:rsidR="00855894" w:rsidRPr="00855894" w:rsidRDefault="00855894" w:rsidP="00855894">
            <w:pPr>
              <w:widowControl w:val="0"/>
              <w:overflowPunct w:val="0"/>
              <w:autoSpaceDE w:val="0"/>
              <w:autoSpaceDN w:val="0"/>
              <w:adjustRightInd w:val="0"/>
              <w:spacing w:after="0" w:line="240" w:lineRule="auto"/>
              <w:ind w:left="120"/>
              <w:jc w:val="center"/>
              <w:rPr>
                <w:rFonts w:ascii="Times New Roman" w:hAnsi="Times New Roman"/>
                <w:bCs/>
                <w:sz w:val="20"/>
                <w:szCs w:val="20"/>
              </w:rPr>
            </w:pPr>
            <w:r w:rsidRPr="001C0516">
              <w:rPr>
                <w:rFonts w:ascii="Times New Roman" w:hAnsi="Times New Roman"/>
                <w:bCs/>
                <w:iCs/>
                <w:sz w:val="20"/>
                <w:szCs w:val="20"/>
                <w:lang w:bidi="en-US"/>
              </w:rPr>
              <w:t>714.98</w:t>
            </w:r>
          </w:p>
        </w:tc>
      </w:tr>
      <w:tr w:rsidR="00855894" w:rsidRPr="00855894" w14:paraId="4E6E493D" w14:textId="77777777" w:rsidTr="00716083">
        <w:tc>
          <w:tcPr>
            <w:tcW w:w="2459" w:type="pct"/>
          </w:tcPr>
          <w:p w14:paraId="019EED62" w14:textId="77777777" w:rsidR="00855894" w:rsidRPr="00855894" w:rsidRDefault="00855894" w:rsidP="00855894">
            <w:pPr>
              <w:widowControl w:val="0"/>
              <w:overflowPunct w:val="0"/>
              <w:autoSpaceDE w:val="0"/>
              <w:autoSpaceDN w:val="0"/>
              <w:adjustRightInd w:val="0"/>
              <w:spacing w:after="0" w:line="240" w:lineRule="auto"/>
              <w:ind w:left="120"/>
              <w:jc w:val="both"/>
              <w:rPr>
                <w:rFonts w:ascii="Times New Roman" w:hAnsi="Times New Roman"/>
                <w:bCs/>
                <w:iCs/>
                <w:sz w:val="20"/>
                <w:szCs w:val="20"/>
              </w:rPr>
            </w:pPr>
            <w:r w:rsidRPr="00855894">
              <w:rPr>
                <w:rFonts w:ascii="Times New Roman" w:hAnsi="Times New Roman"/>
                <w:bCs/>
                <w:sz w:val="20"/>
                <w:szCs w:val="20"/>
                <w:lang w:val="en-IN"/>
              </w:rPr>
              <w:t>TDS defaults</w:t>
            </w:r>
          </w:p>
        </w:tc>
        <w:tc>
          <w:tcPr>
            <w:tcW w:w="1121" w:type="pct"/>
            <w:shd w:val="clear" w:color="auto" w:fill="auto"/>
          </w:tcPr>
          <w:p w14:paraId="490571A9" w14:textId="2356C966" w:rsidR="00855894" w:rsidRPr="00855894" w:rsidRDefault="00855894" w:rsidP="00014554">
            <w:pPr>
              <w:widowControl w:val="0"/>
              <w:overflowPunct w:val="0"/>
              <w:autoSpaceDE w:val="0"/>
              <w:autoSpaceDN w:val="0"/>
              <w:adjustRightInd w:val="0"/>
              <w:spacing w:after="0" w:line="240" w:lineRule="auto"/>
              <w:ind w:left="120"/>
              <w:jc w:val="center"/>
              <w:rPr>
                <w:rFonts w:ascii="Times New Roman" w:hAnsi="Times New Roman"/>
                <w:bCs/>
                <w:sz w:val="20"/>
                <w:szCs w:val="20"/>
              </w:rPr>
            </w:pPr>
            <w:r>
              <w:rPr>
                <w:rFonts w:ascii="Times New Roman" w:hAnsi="Times New Roman"/>
                <w:bCs/>
                <w:sz w:val="20"/>
                <w:szCs w:val="20"/>
              </w:rPr>
              <w:t>1</w:t>
            </w:r>
          </w:p>
        </w:tc>
        <w:tc>
          <w:tcPr>
            <w:tcW w:w="1420" w:type="pct"/>
            <w:shd w:val="clear" w:color="auto" w:fill="auto"/>
          </w:tcPr>
          <w:p w14:paraId="70E64EEA" w14:textId="10E5E906" w:rsidR="00855894" w:rsidRPr="00855894" w:rsidRDefault="00855894" w:rsidP="00855894">
            <w:pPr>
              <w:widowControl w:val="0"/>
              <w:overflowPunct w:val="0"/>
              <w:autoSpaceDE w:val="0"/>
              <w:autoSpaceDN w:val="0"/>
              <w:adjustRightInd w:val="0"/>
              <w:spacing w:after="0" w:line="240" w:lineRule="auto"/>
              <w:ind w:left="120"/>
              <w:jc w:val="center"/>
              <w:rPr>
                <w:rFonts w:ascii="Times New Roman" w:hAnsi="Times New Roman"/>
                <w:bCs/>
                <w:sz w:val="20"/>
                <w:szCs w:val="20"/>
              </w:rPr>
            </w:pPr>
            <w:r w:rsidRPr="001C0516">
              <w:rPr>
                <w:rFonts w:ascii="Times New Roman" w:hAnsi="Times New Roman"/>
                <w:bCs/>
                <w:iCs/>
                <w:sz w:val="20"/>
                <w:szCs w:val="20"/>
                <w:lang w:bidi="en-US"/>
              </w:rPr>
              <w:t>0.34</w:t>
            </w:r>
          </w:p>
        </w:tc>
      </w:tr>
      <w:tr w:rsidR="00855894" w:rsidRPr="00855894" w14:paraId="4DBED821" w14:textId="77777777" w:rsidTr="00716083">
        <w:tc>
          <w:tcPr>
            <w:tcW w:w="2459" w:type="pct"/>
          </w:tcPr>
          <w:p w14:paraId="77FC8817" w14:textId="77777777" w:rsidR="00855894" w:rsidRPr="00855894" w:rsidRDefault="00855894" w:rsidP="00855894">
            <w:pPr>
              <w:widowControl w:val="0"/>
              <w:overflowPunct w:val="0"/>
              <w:autoSpaceDE w:val="0"/>
              <w:autoSpaceDN w:val="0"/>
              <w:adjustRightInd w:val="0"/>
              <w:spacing w:after="0" w:line="240" w:lineRule="auto"/>
              <w:ind w:left="120"/>
              <w:jc w:val="both"/>
              <w:rPr>
                <w:rFonts w:ascii="Times New Roman" w:hAnsi="Times New Roman"/>
                <w:bCs/>
                <w:sz w:val="20"/>
                <w:szCs w:val="20"/>
                <w:lang w:val="en-IN"/>
              </w:rPr>
            </w:pPr>
            <w:r w:rsidRPr="00855894">
              <w:rPr>
                <w:rFonts w:ascii="Times New Roman" w:hAnsi="Times New Roman"/>
                <w:b/>
                <w:bCs/>
                <w:sz w:val="20"/>
                <w:szCs w:val="20"/>
                <w:lang w:val="en-IN"/>
              </w:rPr>
              <w:t>Indirect Tax</w:t>
            </w:r>
          </w:p>
        </w:tc>
        <w:tc>
          <w:tcPr>
            <w:tcW w:w="1121" w:type="pct"/>
            <w:shd w:val="clear" w:color="auto" w:fill="auto"/>
          </w:tcPr>
          <w:p w14:paraId="2DFDDFE1" w14:textId="77777777" w:rsidR="00855894" w:rsidRPr="00855894" w:rsidRDefault="00855894" w:rsidP="00014554">
            <w:pPr>
              <w:widowControl w:val="0"/>
              <w:overflowPunct w:val="0"/>
              <w:autoSpaceDE w:val="0"/>
              <w:autoSpaceDN w:val="0"/>
              <w:adjustRightInd w:val="0"/>
              <w:spacing w:after="0" w:line="240" w:lineRule="auto"/>
              <w:ind w:left="120"/>
              <w:jc w:val="center"/>
              <w:rPr>
                <w:rFonts w:ascii="Times New Roman" w:hAnsi="Times New Roman"/>
                <w:bCs/>
                <w:sz w:val="20"/>
                <w:szCs w:val="20"/>
                <w:lang w:val="en-IN"/>
              </w:rPr>
            </w:pPr>
          </w:p>
        </w:tc>
        <w:tc>
          <w:tcPr>
            <w:tcW w:w="1420" w:type="pct"/>
            <w:shd w:val="clear" w:color="auto" w:fill="auto"/>
          </w:tcPr>
          <w:p w14:paraId="7F828896" w14:textId="77777777" w:rsidR="00855894" w:rsidRPr="00855894" w:rsidRDefault="00855894" w:rsidP="00855894">
            <w:pPr>
              <w:widowControl w:val="0"/>
              <w:overflowPunct w:val="0"/>
              <w:autoSpaceDE w:val="0"/>
              <w:autoSpaceDN w:val="0"/>
              <w:adjustRightInd w:val="0"/>
              <w:spacing w:after="0" w:line="240" w:lineRule="auto"/>
              <w:ind w:left="120"/>
              <w:jc w:val="center"/>
              <w:rPr>
                <w:rFonts w:ascii="Times New Roman" w:hAnsi="Times New Roman"/>
                <w:bCs/>
                <w:sz w:val="20"/>
                <w:szCs w:val="20"/>
                <w:lang w:val="en-IN"/>
              </w:rPr>
            </w:pPr>
          </w:p>
        </w:tc>
      </w:tr>
      <w:tr w:rsidR="00855894" w:rsidRPr="00855894" w14:paraId="25A30166" w14:textId="77777777" w:rsidTr="00716083">
        <w:tc>
          <w:tcPr>
            <w:tcW w:w="2459" w:type="pct"/>
          </w:tcPr>
          <w:p w14:paraId="2D764AB9" w14:textId="3435ADAD" w:rsidR="00855894" w:rsidRPr="00855894" w:rsidRDefault="00855894" w:rsidP="00855894">
            <w:pPr>
              <w:widowControl w:val="0"/>
              <w:overflowPunct w:val="0"/>
              <w:autoSpaceDE w:val="0"/>
              <w:autoSpaceDN w:val="0"/>
              <w:adjustRightInd w:val="0"/>
              <w:spacing w:after="0" w:line="240" w:lineRule="auto"/>
              <w:ind w:left="120"/>
              <w:jc w:val="both"/>
              <w:rPr>
                <w:rFonts w:ascii="Times New Roman" w:hAnsi="Times New Roman"/>
                <w:bCs/>
                <w:sz w:val="20"/>
                <w:szCs w:val="20"/>
                <w:lang w:val="en-IN"/>
              </w:rPr>
            </w:pPr>
            <w:r w:rsidRPr="001C0516">
              <w:rPr>
                <w:rFonts w:ascii="Times New Roman" w:hAnsi="Times New Roman"/>
                <w:bCs/>
                <w:iCs/>
                <w:sz w:val="20"/>
                <w:szCs w:val="20"/>
                <w:lang w:val="en-IN" w:bidi="en-US"/>
              </w:rPr>
              <w:t>Customs Duty</w:t>
            </w:r>
          </w:p>
        </w:tc>
        <w:tc>
          <w:tcPr>
            <w:tcW w:w="1121" w:type="pct"/>
            <w:shd w:val="clear" w:color="auto" w:fill="auto"/>
          </w:tcPr>
          <w:p w14:paraId="2E1D61CA" w14:textId="5B78FEFA" w:rsidR="00855894" w:rsidRPr="00855894" w:rsidRDefault="00014554" w:rsidP="00014554">
            <w:pPr>
              <w:widowControl w:val="0"/>
              <w:overflowPunct w:val="0"/>
              <w:autoSpaceDE w:val="0"/>
              <w:autoSpaceDN w:val="0"/>
              <w:adjustRightInd w:val="0"/>
              <w:spacing w:after="0" w:line="240" w:lineRule="auto"/>
              <w:ind w:left="120"/>
              <w:jc w:val="center"/>
              <w:rPr>
                <w:rFonts w:ascii="Times New Roman" w:hAnsi="Times New Roman"/>
                <w:bCs/>
                <w:sz w:val="20"/>
                <w:szCs w:val="20"/>
                <w:lang w:val="en-IN"/>
              </w:rPr>
            </w:pPr>
            <w:r>
              <w:rPr>
                <w:rFonts w:ascii="Times New Roman" w:hAnsi="Times New Roman"/>
                <w:bCs/>
                <w:sz w:val="20"/>
                <w:szCs w:val="20"/>
                <w:lang w:val="en-IN"/>
              </w:rPr>
              <w:t>3</w:t>
            </w:r>
          </w:p>
        </w:tc>
        <w:tc>
          <w:tcPr>
            <w:tcW w:w="1420" w:type="pct"/>
            <w:shd w:val="clear" w:color="auto" w:fill="auto"/>
          </w:tcPr>
          <w:p w14:paraId="383D6045" w14:textId="202D968C" w:rsidR="00855894" w:rsidRPr="00855894" w:rsidRDefault="00014554" w:rsidP="00855894">
            <w:pPr>
              <w:widowControl w:val="0"/>
              <w:overflowPunct w:val="0"/>
              <w:autoSpaceDE w:val="0"/>
              <w:autoSpaceDN w:val="0"/>
              <w:adjustRightInd w:val="0"/>
              <w:spacing w:after="0" w:line="240" w:lineRule="auto"/>
              <w:ind w:left="120"/>
              <w:jc w:val="center"/>
              <w:rPr>
                <w:rFonts w:ascii="Times New Roman" w:hAnsi="Times New Roman"/>
                <w:bCs/>
                <w:sz w:val="20"/>
                <w:szCs w:val="20"/>
                <w:lang w:val="en-IN"/>
              </w:rPr>
            </w:pPr>
            <w:r>
              <w:rPr>
                <w:rFonts w:ascii="Times New Roman" w:hAnsi="Times New Roman"/>
                <w:bCs/>
                <w:iCs/>
                <w:sz w:val="20"/>
                <w:szCs w:val="20"/>
              </w:rPr>
              <w:t>12207.19</w:t>
            </w:r>
          </w:p>
        </w:tc>
      </w:tr>
      <w:tr w:rsidR="00855894" w:rsidRPr="00855894" w14:paraId="6B3A0E76" w14:textId="77777777" w:rsidTr="00716083">
        <w:tc>
          <w:tcPr>
            <w:tcW w:w="2459" w:type="pct"/>
          </w:tcPr>
          <w:p w14:paraId="797960B8" w14:textId="77777777" w:rsidR="00855894" w:rsidRPr="00855894" w:rsidRDefault="00855894" w:rsidP="00855894">
            <w:pPr>
              <w:widowControl w:val="0"/>
              <w:overflowPunct w:val="0"/>
              <w:autoSpaceDE w:val="0"/>
              <w:autoSpaceDN w:val="0"/>
              <w:adjustRightInd w:val="0"/>
              <w:spacing w:after="0" w:line="240" w:lineRule="auto"/>
              <w:ind w:left="120"/>
              <w:jc w:val="both"/>
              <w:rPr>
                <w:rFonts w:ascii="Times New Roman" w:hAnsi="Times New Roman"/>
                <w:bCs/>
                <w:sz w:val="20"/>
                <w:szCs w:val="20"/>
                <w:lang w:val="en-IN"/>
              </w:rPr>
            </w:pPr>
            <w:r w:rsidRPr="00855894">
              <w:rPr>
                <w:rFonts w:ascii="Times New Roman" w:hAnsi="Times New Roman"/>
                <w:b/>
                <w:bCs/>
                <w:sz w:val="20"/>
                <w:szCs w:val="20"/>
                <w:lang w:val="en-IN"/>
              </w:rPr>
              <w:lastRenderedPageBreak/>
              <w:t>Total</w:t>
            </w:r>
            <w:r w:rsidRPr="00855894">
              <w:rPr>
                <w:rFonts w:ascii="Times New Roman" w:hAnsi="Times New Roman"/>
                <w:b/>
                <w:bCs/>
                <w:sz w:val="20"/>
                <w:szCs w:val="20"/>
                <w:lang w:val="en-IN"/>
              </w:rPr>
              <w:tab/>
            </w:r>
          </w:p>
        </w:tc>
        <w:tc>
          <w:tcPr>
            <w:tcW w:w="1121" w:type="pct"/>
            <w:shd w:val="clear" w:color="auto" w:fill="auto"/>
          </w:tcPr>
          <w:p w14:paraId="40807BAA" w14:textId="001EE486" w:rsidR="00855894" w:rsidRPr="00855894" w:rsidRDefault="00014554" w:rsidP="00014554">
            <w:pPr>
              <w:widowControl w:val="0"/>
              <w:overflowPunct w:val="0"/>
              <w:autoSpaceDE w:val="0"/>
              <w:autoSpaceDN w:val="0"/>
              <w:adjustRightInd w:val="0"/>
              <w:spacing w:after="0" w:line="240" w:lineRule="auto"/>
              <w:ind w:left="120"/>
              <w:jc w:val="center"/>
              <w:rPr>
                <w:rFonts w:ascii="Times New Roman" w:hAnsi="Times New Roman"/>
                <w:bCs/>
                <w:sz w:val="20"/>
                <w:szCs w:val="20"/>
                <w:lang w:val="en-IN"/>
              </w:rPr>
            </w:pPr>
            <w:r>
              <w:rPr>
                <w:rFonts w:ascii="Times New Roman" w:hAnsi="Times New Roman"/>
                <w:b/>
                <w:bCs/>
                <w:sz w:val="20"/>
                <w:szCs w:val="20"/>
                <w:lang w:val="en-IN"/>
              </w:rPr>
              <w:t>1</w:t>
            </w:r>
            <w:r w:rsidR="00855894" w:rsidRPr="00855894">
              <w:rPr>
                <w:rFonts w:ascii="Times New Roman" w:hAnsi="Times New Roman"/>
                <w:b/>
                <w:bCs/>
                <w:sz w:val="20"/>
                <w:szCs w:val="20"/>
                <w:lang w:val="en-IN"/>
              </w:rPr>
              <w:t>5</w:t>
            </w:r>
          </w:p>
        </w:tc>
        <w:tc>
          <w:tcPr>
            <w:tcW w:w="1420" w:type="pct"/>
            <w:shd w:val="clear" w:color="auto" w:fill="auto"/>
          </w:tcPr>
          <w:p w14:paraId="1C14F650" w14:textId="5DAAE4F8" w:rsidR="00855894" w:rsidRPr="00855894" w:rsidRDefault="00014554" w:rsidP="00014554">
            <w:pPr>
              <w:widowControl w:val="0"/>
              <w:overflowPunct w:val="0"/>
              <w:autoSpaceDE w:val="0"/>
              <w:autoSpaceDN w:val="0"/>
              <w:adjustRightInd w:val="0"/>
              <w:spacing w:after="0" w:line="240" w:lineRule="auto"/>
              <w:ind w:left="120"/>
              <w:jc w:val="center"/>
              <w:rPr>
                <w:rFonts w:ascii="Times New Roman" w:hAnsi="Times New Roman"/>
                <w:bCs/>
                <w:sz w:val="20"/>
                <w:szCs w:val="20"/>
                <w:lang w:val="en-IN"/>
              </w:rPr>
            </w:pPr>
            <w:r>
              <w:rPr>
                <w:rFonts w:ascii="Times New Roman" w:hAnsi="Times New Roman"/>
                <w:b/>
                <w:bCs/>
                <w:sz w:val="20"/>
                <w:szCs w:val="20"/>
                <w:lang w:val="en-IN"/>
              </w:rPr>
              <w:t>12922.51</w:t>
            </w:r>
          </w:p>
        </w:tc>
      </w:tr>
      <w:tr w:rsidR="00F8631B" w:rsidRPr="00712F3C" w14:paraId="068410B4" w14:textId="77777777" w:rsidTr="00250DAC">
        <w:tc>
          <w:tcPr>
            <w:tcW w:w="2458" w:type="pct"/>
            <w:shd w:val="clear" w:color="auto" w:fill="auto"/>
          </w:tcPr>
          <w:p w14:paraId="548DABD1" w14:textId="225BACC4" w:rsidR="00F8631B" w:rsidRPr="00712F3C" w:rsidRDefault="00F8631B" w:rsidP="00250DAC">
            <w:pPr>
              <w:widowControl w:val="0"/>
              <w:overflowPunct w:val="0"/>
              <w:autoSpaceDE w:val="0"/>
              <w:autoSpaceDN w:val="0"/>
              <w:adjustRightInd w:val="0"/>
              <w:spacing w:after="0" w:line="240" w:lineRule="auto"/>
              <w:ind w:left="120"/>
              <w:jc w:val="both"/>
              <w:rPr>
                <w:rFonts w:ascii="Times New Roman" w:hAnsi="Times New Roman"/>
                <w:bCs/>
                <w:sz w:val="20"/>
                <w:szCs w:val="20"/>
              </w:rPr>
            </w:pPr>
          </w:p>
        </w:tc>
        <w:tc>
          <w:tcPr>
            <w:tcW w:w="1122" w:type="pct"/>
            <w:shd w:val="clear" w:color="auto" w:fill="auto"/>
            <w:vAlign w:val="center"/>
          </w:tcPr>
          <w:p w14:paraId="5A054811" w14:textId="70AA18B8" w:rsidR="00F8631B" w:rsidRPr="00712F3C" w:rsidRDefault="00F8631B" w:rsidP="00250DAC">
            <w:pPr>
              <w:widowControl w:val="0"/>
              <w:adjustRightInd w:val="0"/>
              <w:spacing w:after="0" w:line="240" w:lineRule="auto"/>
              <w:jc w:val="center"/>
              <w:textAlignment w:val="baseline"/>
              <w:rPr>
                <w:rFonts w:ascii="Times New Roman" w:hAnsi="Times New Roman"/>
                <w:sz w:val="20"/>
                <w:szCs w:val="20"/>
              </w:rPr>
            </w:pPr>
          </w:p>
        </w:tc>
        <w:tc>
          <w:tcPr>
            <w:tcW w:w="1420" w:type="pct"/>
            <w:shd w:val="clear" w:color="auto" w:fill="auto"/>
            <w:vAlign w:val="center"/>
          </w:tcPr>
          <w:p w14:paraId="17AA9789" w14:textId="6387ED5E" w:rsidR="00F8631B" w:rsidRPr="00712F3C" w:rsidRDefault="00F8631B" w:rsidP="00855894">
            <w:pPr>
              <w:widowControl w:val="0"/>
              <w:adjustRightInd w:val="0"/>
              <w:spacing w:after="0" w:line="240" w:lineRule="auto"/>
              <w:textAlignment w:val="baseline"/>
              <w:rPr>
                <w:rFonts w:ascii="Times New Roman" w:hAnsi="Times New Roman"/>
                <w:sz w:val="20"/>
                <w:szCs w:val="20"/>
              </w:rPr>
            </w:pPr>
          </w:p>
        </w:tc>
      </w:tr>
    </w:tbl>
    <w:p w14:paraId="13818A22" w14:textId="77777777" w:rsidR="00F8631B" w:rsidRPr="00712F3C" w:rsidRDefault="00F8631B" w:rsidP="00F8631B">
      <w:pPr>
        <w:widowControl w:val="0"/>
        <w:adjustRightInd w:val="0"/>
        <w:spacing w:after="0" w:line="240" w:lineRule="auto"/>
        <w:contextualSpacing/>
        <w:jc w:val="both"/>
        <w:textAlignment w:val="baseline"/>
        <w:rPr>
          <w:rFonts w:ascii="Times New Roman" w:hAnsi="Times New Roman"/>
          <w:bCs/>
          <w:sz w:val="20"/>
          <w:szCs w:val="20"/>
        </w:rPr>
      </w:pPr>
    </w:p>
    <w:p w14:paraId="7BFF8FF9" w14:textId="77777777" w:rsidR="00F8631B" w:rsidRPr="00712F3C" w:rsidRDefault="00F8631B" w:rsidP="00F8631B">
      <w:pPr>
        <w:spacing w:after="0" w:line="240" w:lineRule="auto"/>
        <w:jc w:val="both"/>
        <w:rPr>
          <w:rFonts w:ascii="Times New Roman" w:hAnsi="Times New Roman"/>
          <w:i/>
          <w:sz w:val="20"/>
          <w:szCs w:val="20"/>
        </w:rPr>
      </w:pPr>
      <w:r w:rsidRPr="00712F3C">
        <w:rPr>
          <w:rFonts w:ascii="Times New Roman" w:hAnsi="Times New Roman"/>
          <w:i/>
          <w:sz w:val="20"/>
          <w:szCs w:val="20"/>
        </w:rPr>
        <w:t xml:space="preserve">Amount mentioned to the extent quantifiable. The amount may be subject to additional interest/other charges being levied by the concerned authorities which are unascertainable as on date of this Draft </w:t>
      </w:r>
      <w:r w:rsidRPr="00712F3C">
        <w:rPr>
          <w:rFonts w:ascii="Times New Roman" w:hAnsi="Times New Roman"/>
          <w:i/>
          <w:iCs/>
          <w:sz w:val="20"/>
          <w:szCs w:val="20"/>
        </w:rPr>
        <w:t>Red Herring</w:t>
      </w:r>
      <w:r w:rsidRPr="00712F3C">
        <w:rPr>
          <w:rFonts w:ascii="Times New Roman" w:hAnsi="Times New Roman"/>
          <w:i/>
          <w:sz w:val="20"/>
          <w:szCs w:val="20"/>
        </w:rPr>
        <w:t xml:space="preserve"> Prospectus. For further details, please refer to the chapter titled </w:t>
      </w:r>
      <w:r w:rsidRPr="00712F3C">
        <w:rPr>
          <w:rFonts w:ascii="Times New Roman" w:hAnsi="Times New Roman"/>
          <w:b/>
          <w:i/>
          <w:sz w:val="20"/>
          <w:szCs w:val="20"/>
        </w:rPr>
        <w:t xml:space="preserve">“Outstanding Litigations and Material Developments” </w:t>
      </w:r>
      <w:r w:rsidRPr="00712F3C">
        <w:rPr>
          <w:rFonts w:ascii="Times New Roman" w:hAnsi="Times New Roman"/>
          <w:i/>
          <w:sz w:val="20"/>
          <w:szCs w:val="20"/>
        </w:rPr>
        <w:t xml:space="preserve">on page </w:t>
      </w:r>
      <w:r>
        <w:rPr>
          <w:rFonts w:ascii="Times New Roman" w:hAnsi="Times New Roman"/>
          <w:i/>
          <w:sz w:val="20"/>
          <w:szCs w:val="20"/>
        </w:rPr>
        <w:t>185</w:t>
      </w:r>
      <w:r w:rsidRPr="00712F3C">
        <w:rPr>
          <w:rFonts w:ascii="Times New Roman" w:hAnsi="Times New Roman"/>
          <w:i/>
          <w:sz w:val="20"/>
          <w:szCs w:val="20"/>
        </w:rPr>
        <w:t xml:space="preserve"> of this Draft </w:t>
      </w:r>
      <w:r w:rsidRPr="00712F3C">
        <w:rPr>
          <w:rFonts w:ascii="Times New Roman" w:hAnsi="Times New Roman"/>
          <w:i/>
          <w:iCs/>
          <w:sz w:val="20"/>
          <w:szCs w:val="20"/>
        </w:rPr>
        <w:t>Red Herring</w:t>
      </w:r>
      <w:r w:rsidRPr="00712F3C">
        <w:rPr>
          <w:rFonts w:ascii="Times New Roman" w:hAnsi="Times New Roman"/>
          <w:i/>
          <w:sz w:val="20"/>
          <w:szCs w:val="20"/>
        </w:rPr>
        <w:t xml:space="preserve"> Prospectus.</w:t>
      </w:r>
    </w:p>
    <w:p w14:paraId="16433A12" w14:textId="77777777" w:rsidR="00F8631B" w:rsidRPr="00712F3C" w:rsidRDefault="00F8631B" w:rsidP="00F8631B">
      <w:pPr>
        <w:spacing w:after="0" w:line="240" w:lineRule="auto"/>
        <w:jc w:val="both"/>
        <w:rPr>
          <w:rFonts w:ascii="Times New Roman" w:hAnsi="Times New Roman"/>
          <w:sz w:val="20"/>
          <w:szCs w:val="20"/>
        </w:rPr>
      </w:pPr>
    </w:p>
    <w:p w14:paraId="2C178CB2" w14:textId="77777777" w:rsidR="00F8631B" w:rsidRPr="00712F3C" w:rsidRDefault="00F8631B">
      <w:pPr>
        <w:numPr>
          <w:ilvl w:val="0"/>
          <w:numId w:val="163"/>
        </w:numPr>
        <w:spacing w:after="0" w:line="240" w:lineRule="auto"/>
        <w:rPr>
          <w:rFonts w:ascii="Times New Roman" w:hAnsi="Times New Roman"/>
          <w:b/>
          <w:bCs/>
          <w:sz w:val="20"/>
          <w:szCs w:val="20"/>
          <w:u w:val="single"/>
        </w:rPr>
      </w:pPr>
      <w:r w:rsidRPr="00712F3C">
        <w:rPr>
          <w:rFonts w:ascii="Times New Roman" w:hAnsi="Times New Roman"/>
          <w:b/>
          <w:bCs/>
          <w:sz w:val="20"/>
          <w:szCs w:val="20"/>
          <w:u w:val="single"/>
        </w:rPr>
        <w:t>RISK FACTORS</w:t>
      </w:r>
    </w:p>
    <w:p w14:paraId="1E7D5F6F" w14:textId="77777777" w:rsidR="00F8631B" w:rsidRPr="00712F3C" w:rsidRDefault="00F8631B" w:rsidP="00F8631B">
      <w:pPr>
        <w:spacing w:after="0" w:line="240" w:lineRule="auto"/>
        <w:jc w:val="both"/>
        <w:rPr>
          <w:rFonts w:ascii="Times New Roman" w:eastAsia="MS Mincho" w:hAnsi="Times New Roman"/>
          <w:b/>
          <w:color w:val="000000"/>
          <w:sz w:val="20"/>
          <w:szCs w:val="20"/>
          <w:lang w:val="en-GB"/>
        </w:rPr>
      </w:pPr>
    </w:p>
    <w:p w14:paraId="4AC2E5D6" w14:textId="77777777" w:rsidR="00F8631B" w:rsidRPr="00712F3C" w:rsidRDefault="00F8631B" w:rsidP="00F8631B">
      <w:pPr>
        <w:spacing w:after="0" w:line="240" w:lineRule="auto"/>
        <w:jc w:val="both"/>
        <w:rPr>
          <w:rFonts w:ascii="Times New Roman" w:hAnsi="Times New Roman"/>
          <w:bCs/>
          <w:sz w:val="20"/>
          <w:szCs w:val="20"/>
          <w:lang w:val="en-GB"/>
        </w:rPr>
      </w:pPr>
      <w:r w:rsidRPr="00712F3C">
        <w:rPr>
          <w:rFonts w:ascii="Times New Roman" w:hAnsi="Times New Roman"/>
          <w:bCs/>
          <w:sz w:val="20"/>
          <w:szCs w:val="20"/>
          <w:lang w:val="en-GB"/>
        </w:rPr>
        <w:t xml:space="preserve">For details on the risks involved in our business, please see the Chapter titled </w:t>
      </w:r>
      <w:r w:rsidRPr="00712F3C">
        <w:rPr>
          <w:rFonts w:ascii="Times New Roman" w:hAnsi="Times New Roman"/>
          <w:b/>
          <w:bCs/>
          <w:i/>
          <w:sz w:val="20"/>
          <w:szCs w:val="20"/>
          <w:lang w:val="en-GB"/>
        </w:rPr>
        <w:t>“</w:t>
      </w:r>
      <w:r w:rsidRPr="00712F3C">
        <w:rPr>
          <w:rFonts w:ascii="Times New Roman" w:hAnsi="Times New Roman"/>
          <w:b/>
          <w:bCs/>
          <w:i/>
          <w:iCs/>
          <w:sz w:val="20"/>
          <w:szCs w:val="20"/>
          <w:lang w:val="en-GB"/>
        </w:rPr>
        <w:t>Risk Factors</w:t>
      </w:r>
      <w:r w:rsidRPr="00712F3C">
        <w:rPr>
          <w:rFonts w:ascii="Times New Roman" w:hAnsi="Times New Roman"/>
          <w:b/>
          <w:bCs/>
          <w:i/>
          <w:sz w:val="20"/>
          <w:szCs w:val="20"/>
          <w:lang w:val="en-GB"/>
        </w:rPr>
        <w:t>”</w:t>
      </w:r>
      <w:r w:rsidRPr="00712F3C">
        <w:rPr>
          <w:rFonts w:ascii="Times New Roman" w:hAnsi="Times New Roman"/>
          <w:bCs/>
          <w:sz w:val="20"/>
          <w:szCs w:val="20"/>
          <w:lang w:val="en-GB"/>
        </w:rPr>
        <w:t xml:space="preserve"> beginning on page </w:t>
      </w:r>
      <w:r>
        <w:rPr>
          <w:rFonts w:ascii="Times New Roman" w:hAnsi="Times New Roman"/>
          <w:bCs/>
          <w:sz w:val="20"/>
          <w:szCs w:val="20"/>
          <w:lang w:val="en-GB"/>
        </w:rPr>
        <w:t>25</w:t>
      </w:r>
      <w:r w:rsidRPr="00712F3C">
        <w:rPr>
          <w:rFonts w:ascii="Times New Roman" w:hAnsi="Times New Roman"/>
          <w:bCs/>
          <w:sz w:val="20"/>
          <w:szCs w:val="20"/>
          <w:lang w:val="en-GB"/>
        </w:rPr>
        <w:t xml:space="preserve"> of this Draft </w:t>
      </w:r>
      <w:r w:rsidRPr="00712F3C">
        <w:rPr>
          <w:rFonts w:ascii="Times New Roman" w:hAnsi="Times New Roman"/>
          <w:iCs/>
          <w:sz w:val="20"/>
          <w:szCs w:val="20"/>
        </w:rPr>
        <w:t>Red Herring</w:t>
      </w:r>
      <w:r w:rsidRPr="00712F3C">
        <w:rPr>
          <w:rFonts w:ascii="Times New Roman" w:hAnsi="Times New Roman"/>
          <w:bCs/>
          <w:sz w:val="20"/>
          <w:szCs w:val="20"/>
          <w:lang w:val="en-GB"/>
        </w:rPr>
        <w:t xml:space="preserve"> Prospectus.</w:t>
      </w:r>
    </w:p>
    <w:p w14:paraId="18AF17CF" w14:textId="77777777" w:rsidR="00F8631B" w:rsidRPr="00712F3C" w:rsidRDefault="00F8631B" w:rsidP="00F8631B">
      <w:pPr>
        <w:spacing w:after="0" w:line="240" w:lineRule="auto"/>
        <w:jc w:val="both"/>
        <w:rPr>
          <w:rFonts w:ascii="Times New Roman" w:hAnsi="Times New Roman"/>
          <w:bCs/>
          <w:sz w:val="20"/>
          <w:szCs w:val="20"/>
          <w:lang w:val="en-GB"/>
        </w:rPr>
      </w:pPr>
    </w:p>
    <w:p w14:paraId="103122E3" w14:textId="77777777" w:rsidR="00F8631B" w:rsidRPr="00712F3C" w:rsidRDefault="00F8631B">
      <w:pPr>
        <w:numPr>
          <w:ilvl w:val="0"/>
          <w:numId w:val="163"/>
        </w:numPr>
        <w:spacing w:after="0" w:line="240" w:lineRule="auto"/>
        <w:rPr>
          <w:rFonts w:ascii="Times New Roman" w:hAnsi="Times New Roman"/>
          <w:b/>
          <w:bCs/>
          <w:sz w:val="20"/>
          <w:szCs w:val="20"/>
          <w:u w:val="single"/>
        </w:rPr>
      </w:pPr>
      <w:r w:rsidRPr="00712F3C">
        <w:rPr>
          <w:rFonts w:ascii="Times New Roman" w:hAnsi="Times New Roman"/>
          <w:b/>
          <w:bCs/>
          <w:sz w:val="20"/>
          <w:szCs w:val="20"/>
          <w:u w:val="single"/>
        </w:rPr>
        <w:t>SUMMARY OF CONTINGENT LIABILITIES</w:t>
      </w:r>
    </w:p>
    <w:p w14:paraId="48142B44" w14:textId="77777777" w:rsidR="00F8631B" w:rsidRPr="00712F3C" w:rsidRDefault="00F8631B" w:rsidP="00F8631B">
      <w:pPr>
        <w:spacing w:after="0" w:line="240" w:lineRule="auto"/>
        <w:jc w:val="both"/>
        <w:rPr>
          <w:rFonts w:ascii="Times New Roman" w:hAnsi="Times New Roman"/>
          <w:b/>
          <w:bCs/>
          <w:sz w:val="20"/>
          <w:szCs w:val="20"/>
          <w:lang w:val="en-GB"/>
        </w:rPr>
      </w:pPr>
    </w:p>
    <w:p w14:paraId="48CCB083" w14:textId="622F3CEF" w:rsidR="00F8631B" w:rsidRDefault="00681211" w:rsidP="00F8631B">
      <w:pPr>
        <w:spacing w:after="0" w:line="240" w:lineRule="auto"/>
        <w:jc w:val="both"/>
        <w:rPr>
          <w:rFonts w:ascii="Times New Roman" w:hAnsi="Times New Roman"/>
          <w:sz w:val="20"/>
          <w:szCs w:val="20"/>
        </w:rPr>
      </w:pPr>
      <w:r w:rsidRPr="00681211">
        <w:rPr>
          <w:rFonts w:ascii="Times New Roman" w:hAnsi="Times New Roman"/>
          <w:sz w:val="20"/>
          <w:szCs w:val="20"/>
          <w:lang w:val="en-GB"/>
        </w:rPr>
        <w:t>Following is the summary of the Contingent Liabilities And Commitments of the Company</w:t>
      </w:r>
      <w:r w:rsidR="00377CEB">
        <w:rPr>
          <w:rFonts w:ascii="Times New Roman" w:hAnsi="Times New Roman"/>
          <w:sz w:val="20"/>
          <w:szCs w:val="20"/>
          <w:lang w:val="en-GB"/>
        </w:rPr>
        <w:t>:</w:t>
      </w:r>
      <w:r w:rsidR="00F8631B" w:rsidRPr="00712F3C">
        <w:rPr>
          <w:rFonts w:ascii="Times New Roman" w:hAnsi="Times New Roman"/>
          <w:sz w:val="20"/>
          <w:szCs w:val="20"/>
          <w:lang w:val="en-GB"/>
        </w:rPr>
        <w:t xml:space="preserve"> </w:t>
      </w:r>
    </w:p>
    <w:p w14:paraId="56A188B1" w14:textId="77777777" w:rsidR="00377CEB" w:rsidRPr="00712F3C" w:rsidRDefault="00377CEB" w:rsidP="00377CEB">
      <w:pPr>
        <w:spacing w:after="0" w:line="240" w:lineRule="auto"/>
        <w:jc w:val="right"/>
        <w:rPr>
          <w:rFonts w:ascii="Times New Roman" w:eastAsia="MS Mincho" w:hAnsi="Times New Roman"/>
          <w:color w:val="000000"/>
          <w:sz w:val="20"/>
          <w:szCs w:val="20"/>
          <w:lang w:val="en-GB"/>
        </w:rPr>
      </w:pPr>
      <w:r w:rsidRPr="00712F3C">
        <w:rPr>
          <w:rFonts w:ascii="Times New Roman" w:hAnsi="Times New Roman"/>
          <w:b/>
          <w:bCs/>
          <w:iCs/>
          <w:sz w:val="20"/>
          <w:szCs w:val="20"/>
          <w:lang w:val="en-GB"/>
        </w:rPr>
        <w:t>(₹ in lakhs)</w:t>
      </w:r>
    </w:p>
    <w:tbl>
      <w:tblPr>
        <w:tblW w:w="5000" w:type="pct"/>
        <w:tblLayout w:type="fixed"/>
        <w:tblLook w:val="04A0" w:firstRow="1" w:lastRow="0" w:firstColumn="1" w:lastColumn="0" w:noHBand="0" w:noVBand="1"/>
      </w:tblPr>
      <w:tblGrid>
        <w:gridCol w:w="6835"/>
        <w:gridCol w:w="1169"/>
        <w:gridCol w:w="1169"/>
        <w:gridCol w:w="1284"/>
      </w:tblGrid>
      <w:tr w:rsidR="00377CEB" w:rsidRPr="00681211" w14:paraId="4434C08C" w14:textId="77777777" w:rsidTr="00377CEB">
        <w:trPr>
          <w:trHeight w:val="20"/>
        </w:trPr>
        <w:tc>
          <w:tcPr>
            <w:tcW w:w="3268"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7D4B9B9F" w14:textId="77777777" w:rsidR="00681211" w:rsidRPr="00681211" w:rsidRDefault="00681211" w:rsidP="00681211">
            <w:pPr>
              <w:spacing w:after="0" w:line="240" w:lineRule="auto"/>
              <w:rPr>
                <w:rFonts w:ascii="Times New Roman" w:hAnsi="Times New Roman"/>
                <w:b/>
                <w:bCs/>
                <w:sz w:val="20"/>
                <w:szCs w:val="20"/>
              </w:rPr>
            </w:pPr>
            <w:r w:rsidRPr="00681211">
              <w:rPr>
                <w:rFonts w:ascii="Times New Roman" w:hAnsi="Times New Roman"/>
                <w:b/>
                <w:bCs/>
                <w:sz w:val="20"/>
                <w:szCs w:val="20"/>
              </w:rPr>
              <w:t>Particulars</w:t>
            </w:r>
          </w:p>
        </w:tc>
        <w:tc>
          <w:tcPr>
            <w:tcW w:w="1732" w:type="pct"/>
            <w:gridSpan w:val="3"/>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589E1913" w14:textId="7BD80017" w:rsidR="00681211" w:rsidRPr="00681211" w:rsidRDefault="00681211" w:rsidP="00377CEB">
            <w:pPr>
              <w:spacing w:after="0" w:line="240" w:lineRule="auto"/>
              <w:jc w:val="center"/>
              <w:rPr>
                <w:rFonts w:ascii="Times New Roman" w:hAnsi="Times New Roman"/>
                <w:b/>
                <w:bCs/>
                <w:sz w:val="20"/>
                <w:szCs w:val="20"/>
              </w:rPr>
            </w:pPr>
            <w:r w:rsidRPr="00681211">
              <w:rPr>
                <w:rFonts w:ascii="Times New Roman" w:hAnsi="Times New Roman"/>
                <w:b/>
                <w:bCs/>
                <w:sz w:val="20"/>
                <w:szCs w:val="20"/>
              </w:rPr>
              <w:t>As at</w:t>
            </w:r>
          </w:p>
        </w:tc>
      </w:tr>
      <w:tr w:rsidR="00377CEB" w:rsidRPr="00681211" w14:paraId="1FB350E3" w14:textId="77777777" w:rsidTr="00377CEB">
        <w:trPr>
          <w:trHeight w:val="20"/>
        </w:trPr>
        <w:tc>
          <w:tcPr>
            <w:tcW w:w="3268" w:type="pct"/>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6CBA21D" w14:textId="77777777" w:rsidR="00681211" w:rsidRPr="00681211" w:rsidRDefault="00681211" w:rsidP="00681211">
            <w:pPr>
              <w:spacing w:after="0" w:line="240" w:lineRule="auto"/>
              <w:rPr>
                <w:rFonts w:ascii="Times New Roman" w:hAnsi="Times New Roman"/>
                <w:b/>
                <w:bCs/>
                <w:sz w:val="20"/>
                <w:szCs w:val="20"/>
              </w:rPr>
            </w:pPr>
          </w:p>
        </w:tc>
        <w:tc>
          <w:tcPr>
            <w:tcW w:w="559" w:type="pct"/>
            <w:tcBorders>
              <w:top w:val="nil"/>
              <w:left w:val="nil"/>
              <w:bottom w:val="single" w:sz="4" w:space="0" w:color="auto"/>
              <w:right w:val="single" w:sz="4" w:space="0" w:color="auto"/>
            </w:tcBorders>
            <w:shd w:val="clear" w:color="auto" w:fill="D0CECE" w:themeFill="background2" w:themeFillShade="E6"/>
            <w:noWrap/>
            <w:vAlign w:val="bottom"/>
            <w:hideMark/>
          </w:tcPr>
          <w:p w14:paraId="3D16F18D" w14:textId="2E347868" w:rsidR="00681211" w:rsidRPr="00681211" w:rsidRDefault="00377CEB" w:rsidP="00377CEB">
            <w:pPr>
              <w:spacing w:after="0" w:line="240" w:lineRule="auto"/>
              <w:jc w:val="center"/>
              <w:rPr>
                <w:rFonts w:ascii="Times New Roman" w:hAnsi="Times New Roman"/>
                <w:b/>
                <w:bCs/>
                <w:sz w:val="20"/>
                <w:szCs w:val="20"/>
              </w:rPr>
            </w:pPr>
            <w:r>
              <w:rPr>
                <w:rFonts w:ascii="Times New Roman" w:hAnsi="Times New Roman"/>
                <w:b/>
                <w:bCs/>
                <w:sz w:val="20"/>
                <w:szCs w:val="20"/>
              </w:rPr>
              <w:t>31/03/2023</w:t>
            </w:r>
          </w:p>
        </w:tc>
        <w:tc>
          <w:tcPr>
            <w:tcW w:w="559" w:type="pct"/>
            <w:tcBorders>
              <w:top w:val="nil"/>
              <w:left w:val="nil"/>
              <w:bottom w:val="single" w:sz="4" w:space="0" w:color="auto"/>
              <w:right w:val="single" w:sz="4" w:space="0" w:color="auto"/>
            </w:tcBorders>
            <w:shd w:val="clear" w:color="auto" w:fill="D0CECE" w:themeFill="background2" w:themeFillShade="E6"/>
            <w:noWrap/>
            <w:vAlign w:val="bottom"/>
            <w:hideMark/>
          </w:tcPr>
          <w:p w14:paraId="343D7ED9" w14:textId="1224BDB4" w:rsidR="00681211" w:rsidRPr="00681211" w:rsidRDefault="00377CEB" w:rsidP="00377CEB">
            <w:pPr>
              <w:spacing w:after="0" w:line="240" w:lineRule="auto"/>
              <w:jc w:val="center"/>
              <w:rPr>
                <w:rFonts w:ascii="Times New Roman" w:hAnsi="Times New Roman"/>
                <w:b/>
                <w:bCs/>
                <w:sz w:val="20"/>
                <w:szCs w:val="20"/>
              </w:rPr>
            </w:pPr>
            <w:r>
              <w:rPr>
                <w:rFonts w:ascii="Times New Roman" w:hAnsi="Times New Roman"/>
                <w:b/>
                <w:bCs/>
                <w:sz w:val="20"/>
                <w:szCs w:val="20"/>
              </w:rPr>
              <w:t>31/03/2022</w:t>
            </w:r>
          </w:p>
        </w:tc>
        <w:tc>
          <w:tcPr>
            <w:tcW w:w="614" w:type="pct"/>
            <w:tcBorders>
              <w:top w:val="nil"/>
              <w:left w:val="nil"/>
              <w:bottom w:val="single" w:sz="4" w:space="0" w:color="auto"/>
              <w:right w:val="single" w:sz="4" w:space="0" w:color="auto"/>
            </w:tcBorders>
            <w:shd w:val="clear" w:color="auto" w:fill="D0CECE" w:themeFill="background2" w:themeFillShade="E6"/>
            <w:noWrap/>
            <w:vAlign w:val="bottom"/>
            <w:hideMark/>
          </w:tcPr>
          <w:p w14:paraId="36380F64" w14:textId="308989B7" w:rsidR="00681211" w:rsidRPr="00681211" w:rsidRDefault="00377CEB" w:rsidP="00377CEB">
            <w:pPr>
              <w:spacing w:after="0" w:line="240" w:lineRule="auto"/>
              <w:jc w:val="center"/>
              <w:rPr>
                <w:rFonts w:ascii="Times New Roman" w:hAnsi="Times New Roman"/>
                <w:b/>
                <w:bCs/>
                <w:sz w:val="20"/>
                <w:szCs w:val="20"/>
              </w:rPr>
            </w:pPr>
            <w:r>
              <w:rPr>
                <w:rFonts w:ascii="Times New Roman" w:hAnsi="Times New Roman"/>
                <w:b/>
                <w:bCs/>
                <w:sz w:val="20"/>
                <w:szCs w:val="20"/>
              </w:rPr>
              <w:t>31/03/20212</w:t>
            </w:r>
          </w:p>
        </w:tc>
      </w:tr>
      <w:tr w:rsidR="00377CEB" w:rsidRPr="00681211" w14:paraId="7FD6ADD8" w14:textId="77777777" w:rsidTr="00377CEB">
        <w:trPr>
          <w:trHeight w:val="20"/>
        </w:trPr>
        <w:tc>
          <w:tcPr>
            <w:tcW w:w="3268" w:type="pct"/>
            <w:tcBorders>
              <w:top w:val="nil"/>
              <w:left w:val="single" w:sz="4" w:space="0" w:color="auto"/>
              <w:bottom w:val="single" w:sz="4" w:space="0" w:color="auto"/>
              <w:right w:val="single" w:sz="4" w:space="0" w:color="auto"/>
            </w:tcBorders>
            <w:shd w:val="clear" w:color="auto" w:fill="auto"/>
            <w:noWrap/>
            <w:vAlign w:val="bottom"/>
            <w:hideMark/>
          </w:tcPr>
          <w:p w14:paraId="3C786D5B" w14:textId="77777777" w:rsidR="00681211" w:rsidRPr="00681211" w:rsidRDefault="00681211" w:rsidP="00377CEB">
            <w:pPr>
              <w:spacing w:after="0" w:line="240" w:lineRule="auto"/>
              <w:jc w:val="both"/>
              <w:rPr>
                <w:rFonts w:ascii="Times New Roman" w:hAnsi="Times New Roman"/>
                <w:sz w:val="20"/>
                <w:szCs w:val="20"/>
              </w:rPr>
            </w:pPr>
            <w:r w:rsidRPr="00681211">
              <w:rPr>
                <w:rFonts w:ascii="Times New Roman" w:hAnsi="Times New Roman"/>
                <w:sz w:val="20"/>
                <w:szCs w:val="20"/>
              </w:rPr>
              <w:t>Contingent liabilities in respect of:</w:t>
            </w:r>
          </w:p>
        </w:tc>
        <w:tc>
          <w:tcPr>
            <w:tcW w:w="559" w:type="pct"/>
            <w:tcBorders>
              <w:top w:val="nil"/>
              <w:left w:val="nil"/>
              <w:bottom w:val="single" w:sz="4" w:space="0" w:color="auto"/>
              <w:right w:val="single" w:sz="4" w:space="0" w:color="auto"/>
            </w:tcBorders>
            <w:shd w:val="clear" w:color="auto" w:fill="auto"/>
            <w:noWrap/>
            <w:vAlign w:val="bottom"/>
            <w:hideMark/>
          </w:tcPr>
          <w:p w14:paraId="73080603" w14:textId="51C3BDB4" w:rsidR="00681211" w:rsidRPr="00681211" w:rsidRDefault="00681211" w:rsidP="00377CEB">
            <w:pPr>
              <w:spacing w:after="0" w:line="240" w:lineRule="auto"/>
              <w:jc w:val="center"/>
              <w:rPr>
                <w:rFonts w:ascii="Times New Roman" w:hAnsi="Times New Roman"/>
                <w:sz w:val="20"/>
                <w:szCs w:val="20"/>
              </w:rPr>
            </w:pPr>
          </w:p>
        </w:tc>
        <w:tc>
          <w:tcPr>
            <w:tcW w:w="559" w:type="pct"/>
            <w:tcBorders>
              <w:top w:val="nil"/>
              <w:left w:val="nil"/>
              <w:bottom w:val="single" w:sz="4" w:space="0" w:color="auto"/>
              <w:right w:val="single" w:sz="4" w:space="0" w:color="auto"/>
            </w:tcBorders>
            <w:shd w:val="clear" w:color="auto" w:fill="auto"/>
            <w:noWrap/>
            <w:vAlign w:val="bottom"/>
            <w:hideMark/>
          </w:tcPr>
          <w:p w14:paraId="15DB85A6" w14:textId="5D518931" w:rsidR="00681211" w:rsidRPr="00681211" w:rsidRDefault="00681211" w:rsidP="00377CEB">
            <w:pPr>
              <w:spacing w:after="0" w:line="240" w:lineRule="auto"/>
              <w:jc w:val="center"/>
              <w:rPr>
                <w:rFonts w:ascii="Times New Roman" w:hAnsi="Times New Roman"/>
                <w:sz w:val="20"/>
                <w:szCs w:val="20"/>
              </w:rPr>
            </w:pPr>
          </w:p>
        </w:tc>
        <w:tc>
          <w:tcPr>
            <w:tcW w:w="614" w:type="pct"/>
            <w:tcBorders>
              <w:top w:val="nil"/>
              <w:left w:val="nil"/>
              <w:bottom w:val="single" w:sz="4" w:space="0" w:color="auto"/>
              <w:right w:val="single" w:sz="4" w:space="0" w:color="auto"/>
            </w:tcBorders>
            <w:shd w:val="clear" w:color="auto" w:fill="auto"/>
            <w:noWrap/>
            <w:vAlign w:val="bottom"/>
            <w:hideMark/>
          </w:tcPr>
          <w:p w14:paraId="21A2DBCB" w14:textId="1C08FEBC" w:rsidR="00681211" w:rsidRPr="00681211" w:rsidRDefault="00681211" w:rsidP="00377CEB">
            <w:pPr>
              <w:spacing w:after="0" w:line="240" w:lineRule="auto"/>
              <w:jc w:val="center"/>
              <w:rPr>
                <w:rFonts w:ascii="Times New Roman" w:hAnsi="Times New Roman"/>
                <w:sz w:val="20"/>
                <w:szCs w:val="20"/>
              </w:rPr>
            </w:pPr>
          </w:p>
        </w:tc>
      </w:tr>
      <w:tr w:rsidR="00377CEB" w:rsidRPr="00681211" w14:paraId="5C181D71" w14:textId="77777777" w:rsidTr="00377CEB">
        <w:trPr>
          <w:trHeight w:val="20"/>
        </w:trPr>
        <w:tc>
          <w:tcPr>
            <w:tcW w:w="3268" w:type="pct"/>
            <w:tcBorders>
              <w:top w:val="nil"/>
              <w:left w:val="single" w:sz="4" w:space="0" w:color="auto"/>
              <w:bottom w:val="single" w:sz="4" w:space="0" w:color="auto"/>
              <w:right w:val="single" w:sz="4" w:space="0" w:color="auto"/>
            </w:tcBorders>
            <w:shd w:val="clear" w:color="auto" w:fill="auto"/>
            <w:vAlign w:val="bottom"/>
            <w:hideMark/>
          </w:tcPr>
          <w:p w14:paraId="69D83306" w14:textId="77777777" w:rsidR="00681211" w:rsidRPr="00681211" w:rsidRDefault="00681211" w:rsidP="00377CEB">
            <w:pPr>
              <w:spacing w:after="0" w:line="240" w:lineRule="auto"/>
              <w:jc w:val="both"/>
              <w:rPr>
                <w:rFonts w:ascii="Times New Roman" w:hAnsi="Times New Roman"/>
                <w:sz w:val="20"/>
                <w:szCs w:val="20"/>
              </w:rPr>
            </w:pPr>
            <w:r w:rsidRPr="00681211">
              <w:rPr>
                <w:rFonts w:ascii="Times New Roman" w:hAnsi="Times New Roman"/>
                <w:sz w:val="20"/>
                <w:szCs w:val="20"/>
              </w:rPr>
              <w:t>Claims against the company not acknowledged as debts (Income tax Appeal (disputed demand) for and TDS Defaults)</w:t>
            </w:r>
          </w:p>
        </w:tc>
        <w:tc>
          <w:tcPr>
            <w:tcW w:w="559" w:type="pct"/>
            <w:tcBorders>
              <w:top w:val="nil"/>
              <w:left w:val="nil"/>
              <w:bottom w:val="single" w:sz="4" w:space="0" w:color="auto"/>
              <w:right w:val="single" w:sz="4" w:space="0" w:color="auto"/>
            </w:tcBorders>
            <w:shd w:val="clear" w:color="auto" w:fill="auto"/>
            <w:noWrap/>
            <w:vAlign w:val="bottom"/>
            <w:hideMark/>
          </w:tcPr>
          <w:p w14:paraId="262A5B40" w14:textId="3505F3D5" w:rsidR="00681211" w:rsidRPr="00681211" w:rsidRDefault="00681211" w:rsidP="00377CEB">
            <w:pPr>
              <w:spacing w:after="0" w:line="240" w:lineRule="auto"/>
              <w:jc w:val="center"/>
              <w:rPr>
                <w:rFonts w:ascii="Times New Roman" w:hAnsi="Times New Roman"/>
                <w:sz w:val="20"/>
                <w:szCs w:val="20"/>
              </w:rPr>
            </w:pPr>
            <w:r w:rsidRPr="00681211">
              <w:rPr>
                <w:rFonts w:ascii="Times New Roman" w:hAnsi="Times New Roman"/>
                <w:sz w:val="20"/>
                <w:szCs w:val="20"/>
              </w:rPr>
              <w:t>-</w:t>
            </w:r>
          </w:p>
        </w:tc>
        <w:tc>
          <w:tcPr>
            <w:tcW w:w="559" w:type="pct"/>
            <w:tcBorders>
              <w:top w:val="nil"/>
              <w:left w:val="nil"/>
              <w:bottom w:val="single" w:sz="4" w:space="0" w:color="auto"/>
              <w:right w:val="single" w:sz="4" w:space="0" w:color="auto"/>
            </w:tcBorders>
            <w:shd w:val="clear" w:color="auto" w:fill="auto"/>
            <w:noWrap/>
            <w:vAlign w:val="bottom"/>
            <w:hideMark/>
          </w:tcPr>
          <w:p w14:paraId="41FB7992" w14:textId="713C8270" w:rsidR="00681211" w:rsidRPr="00681211" w:rsidRDefault="00681211" w:rsidP="00377CEB">
            <w:pPr>
              <w:spacing w:after="0" w:line="240" w:lineRule="auto"/>
              <w:jc w:val="center"/>
              <w:rPr>
                <w:rFonts w:ascii="Times New Roman" w:hAnsi="Times New Roman"/>
                <w:sz w:val="20"/>
                <w:szCs w:val="20"/>
              </w:rPr>
            </w:pPr>
            <w:r w:rsidRPr="00681211">
              <w:rPr>
                <w:rFonts w:ascii="Times New Roman" w:hAnsi="Times New Roman"/>
                <w:sz w:val="20"/>
                <w:szCs w:val="20"/>
              </w:rPr>
              <w:t>-</w:t>
            </w:r>
          </w:p>
        </w:tc>
        <w:tc>
          <w:tcPr>
            <w:tcW w:w="614" w:type="pct"/>
            <w:tcBorders>
              <w:top w:val="nil"/>
              <w:left w:val="nil"/>
              <w:bottom w:val="single" w:sz="4" w:space="0" w:color="auto"/>
              <w:right w:val="single" w:sz="4" w:space="0" w:color="auto"/>
            </w:tcBorders>
            <w:shd w:val="clear" w:color="auto" w:fill="auto"/>
            <w:noWrap/>
            <w:vAlign w:val="bottom"/>
            <w:hideMark/>
          </w:tcPr>
          <w:p w14:paraId="6773AF47" w14:textId="710D6F17" w:rsidR="00681211" w:rsidRPr="00681211" w:rsidRDefault="00681211" w:rsidP="00377CEB">
            <w:pPr>
              <w:spacing w:after="0" w:line="240" w:lineRule="auto"/>
              <w:jc w:val="center"/>
              <w:rPr>
                <w:rFonts w:ascii="Times New Roman" w:hAnsi="Times New Roman"/>
                <w:sz w:val="20"/>
                <w:szCs w:val="20"/>
              </w:rPr>
            </w:pPr>
            <w:r w:rsidRPr="00681211">
              <w:rPr>
                <w:rFonts w:ascii="Times New Roman" w:hAnsi="Times New Roman"/>
                <w:sz w:val="20"/>
                <w:szCs w:val="20"/>
              </w:rPr>
              <w:t>-</w:t>
            </w:r>
          </w:p>
        </w:tc>
      </w:tr>
      <w:tr w:rsidR="00377CEB" w:rsidRPr="00681211" w14:paraId="18450423" w14:textId="77777777" w:rsidTr="00377CEB">
        <w:trPr>
          <w:trHeight w:val="20"/>
        </w:trPr>
        <w:tc>
          <w:tcPr>
            <w:tcW w:w="3268" w:type="pct"/>
            <w:tcBorders>
              <w:top w:val="nil"/>
              <w:left w:val="single" w:sz="4" w:space="0" w:color="auto"/>
              <w:bottom w:val="single" w:sz="4" w:space="0" w:color="auto"/>
              <w:right w:val="single" w:sz="4" w:space="0" w:color="auto"/>
            </w:tcBorders>
            <w:shd w:val="clear" w:color="auto" w:fill="auto"/>
            <w:noWrap/>
            <w:vAlign w:val="bottom"/>
            <w:hideMark/>
          </w:tcPr>
          <w:p w14:paraId="242E7269" w14:textId="77777777" w:rsidR="00681211" w:rsidRPr="00681211" w:rsidRDefault="00681211" w:rsidP="00377CEB">
            <w:pPr>
              <w:spacing w:after="0" w:line="240" w:lineRule="auto"/>
              <w:jc w:val="both"/>
              <w:rPr>
                <w:rFonts w:ascii="Times New Roman" w:hAnsi="Times New Roman"/>
                <w:sz w:val="20"/>
                <w:szCs w:val="20"/>
              </w:rPr>
            </w:pPr>
            <w:r w:rsidRPr="00681211">
              <w:rPr>
                <w:rFonts w:ascii="Times New Roman" w:hAnsi="Times New Roman"/>
                <w:sz w:val="20"/>
                <w:szCs w:val="20"/>
              </w:rPr>
              <w:t>Guarantees given on Behalf of the Company</w:t>
            </w:r>
          </w:p>
        </w:tc>
        <w:tc>
          <w:tcPr>
            <w:tcW w:w="559" w:type="pct"/>
            <w:tcBorders>
              <w:top w:val="nil"/>
              <w:left w:val="nil"/>
              <w:bottom w:val="single" w:sz="4" w:space="0" w:color="auto"/>
              <w:right w:val="single" w:sz="4" w:space="0" w:color="auto"/>
            </w:tcBorders>
            <w:shd w:val="clear" w:color="auto" w:fill="auto"/>
            <w:noWrap/>
            <w:vAlign w:val="bottom"/>
            <w:hideMark/>
          </w:tcPr>
          <w:p w14:paraId="24E7F160" w14:textId="2B6BB84C" w:rsidR="00681211" w:rsidRPr="00681211" w:rsidRDefault="00681211" w:rsidP="00377CEB">
            <w:pPr>
              <w:spacing w:after="0" w:line="240" w:lineRule="auto"/>
              <w:jc w:val="center"/>
              <w:rPr>
                <w:rFonts w:ascii="Times New Roman" w:hAnsi="Times New Roman"/>
                <w:sz w:val="20"/>
                <w:szCs w:val="20"/>
              </w:rPr>
            </w:pPr>
          </w:p>
        </w:tc>
        <w:tc>
          <w:tcPr>
            <w:tcW w:w="559" w:type="pct"/>
            <w:tcBorders>
              <w:top w:val="nil"/>
              <w:left w:val="nil"/>
              <w:bottom w:val="single" w:sz="4" w:space="0" w:color="auto"/>
              <w:right w:val="single" w:sz="4" w:space="0" w:color="auto"/>
            </w:tcBorders>
            <w:shd w:val="clear" w:color="auto" w:fill="auto"/>
            <w:noWrap/>
            <w:vAlign w:val="bottom"/>
            <w:hideMark/>
          </w:tcPr>
          <w:p w14:paraId="7123B16F" w14:textId="5E8A07A9" w:rsidR="00681211" w:rsidRPr="00681211" w:rsidRDefault="00681211" w:rsidP="00377CEB">
            <w:pPr>
              <w:spacing w:after="0" w:line="240" w:lineRule="auto"/>
              <w:jc w:val="center"/>
              <w:rPr>
                <w:rFonts w:ascii="Times New Roman" w:hAnsi="Times New Roman"/>
                <w:sz w:val="20"/>
                <w:szCs w:val="20"/>
              </w:rPr>
            </w:pPr>
          </w:p>
        </w:tc>
        <w:tc>
          <w:tcPr>
            <w:tcW w:w="614" w:type="pct"/>
            <w:tcBorders>
              <w:top w:val="nil"/>
              <w:left w:val="nil"/>
              <w:bottom w:val="single" w:sz="4" w:space="0" w:color="auto"/>
              <w:right w:val="single" w:sz="4" w:space="0" w:color="auto"/>
            </w:tcBorders>
            <w:shd w:val="clear" w:color="auto" w:fill="auto"/>
            <w:noWrap/>
            <w:vAlign w:val="bottom"/>
            <w:hideMark/>
          </w:tcPr>
          <w:p w14:paraId="015AED0F" w14:textId="7054C63E" w:rsidR="00681211" w:rsidRPr="00681211" w:rsidRDefault="00681211" w:rsidP="00377CEB">
            <w:pPr>
              <w:spacing w:after="0" w:line="240" w:lineRule="auto"/>
              <w:jc w:val="center"/>
              <w:rPr>
                <w:rFonts w:ascii="Times New Roman" w:hAnsi="Times New Roman"/>
                <w:sz w:val="20"/>
                <w:szCs w:val="20"/>
              </w:rPr>
            </w:pPr>
          </w:p>
        </w:tc>
      </w:tr>
      <w:tr w:rsidR="00377CEB" w:rsidRPr="00681211" w14:paraId="22D6F44F" w14:textId="77777777" w:rsidTr="00377CEB">
        <w:trPr>
          <w:trHeight w:val="20"/>
        </w:trPr>
        <w:tc>
          <w:tcPr>
            <w:tcW w:w="3268" w:type="pct"/>
            <w:tcBorders>
              <w:top w:val="nil"/>
              <w:left w:val="single" w:sz="4" w:space="0" w:color="auto"/>
              <w:bottom w:val="single" w:sz="4" w:space="0" w:color="auto"/>
              <w:right w:val="single" w:sz="4" w:space="0" w:color="auto"/>
            </w:tcBorders>
            <w:shd w:val="clear" w:color="auto" w:fill="auto"/>
            <w:noWrap/>
            <w:vAlign w:val="bottom"/>
            <w:hideMark/>
          </w:tcPr>
          <w:p w14:paraId="2ABC6239" w14:textId="77777777" w:rsidR="00681211" w:rsidRPr="00681211" w:rsidRDefault="00681211" w:rsidP="00377CEB">
            <w:pPr>
              <w:spacing w:after="0" w:line="240" w:lineRule="auto"/>
              <w:jc w:val="both"/>
              <w:rPr>
                <w:rFonts w:ascii="Times New Roman" w:hAnsi="Times New Roman"/>
                <w:sz w:val="20"/>
                <w:szCs w:val="20"/>
              </w:rPr>
            </w:pPr>
            <w:r w:rsidRPr="00681211">
              <w:rPr>
                <w:rFonts w:ascii="Times New Roman" w:hAnsi="Times New Roman"/>
                <w:sz w:val="20"/>
                <w:szCs w:val="20"/>
              </w:rPr>
              <w:t>Guarantees given on Behalf of the Subsidiary Company</w:t>
            </w:r>
          </w:p>
        </w:tc>
        <w:tc>
          <w:tcPr>
            <w:tcW w:w="559" w:type="pct"/>
            <w:tcBorders>
              <w:top w:val="nil"/>
              <w:left w:val="nil"/>
              <w:bottom w:val="single" w:sz="4" w:space="0" w:color="auto"/>
              <w:right w:val="single" w:sz="4" w:space="0" w:color="auto"/>
            </w:tcBorders>
            <w:shd w:val="clear" w:color="auto" w:fill="auto"/>
            <w:noWrap/>
            <w:vAlign w:val="bottom"/>
            <w:hideMark/>
          </w:tcPr>
          <w:p w14:paraId="1810E9D5" w14:textId="4290D99D" w:rsidR="00681211" w:rsidRPr="00681211" w:rsidRDefault="00681211" w:rsidP="00377CEB">
            <w:pPr>
              <w:spacing w:after="0" w:line="240" w:lineRule="auto"/>
              <w:jc w:val="center"/>
              <w:rPr>
                <w:rFonts w:ascii="Times New Roman" w:hAnsi="Times New Roman"/>
                <w:sz w:val="20"/>
                <w:szCs w:val="20"/>
              </w:rPr>
            </w:pPr>
            <w:r w:rsidRPr="00681211">
              <w:rPr>
                <w:rFonts w:ascii="Times New Roman" w:hAnsi="Times New Roman"/>
                <w:sz w:val="20"/>
                <w:szCs w:val="20"/>
              </w:rPr>
              <w:t>-</w:t>
            </w:r>
          </w:p>
        </w:tc>
        <w:tc>
          <w:tcPr>
            <w:tcW w:w="559" w:type="pct"/>
            <w:tcBorders>
              <w:top w:val="nil"/>
              <w:left w:val="nil"/>
              <w:bottom w:val="single" w:sz="4" w:space="0" w:color="auto"/>
              <w:right w:val="single" w:sz="4" w:space="0" w:color="auto"/>
            </w:tcBorders>
            <w:shd w:val="clear" w:color="auto" w:fill="auto"/>
            <w:noWrap/>
            <w:vAlign w:val="bottom"/>
            <w:hideMark/>
          </w:tcPr>
          <w:p w14:paraId="5BE7464A" w14:textId="76E57771" w:rsidR="00681211" w:rsidRPr="00681211" w:rsidRDefault="00681211" w:rsidP="00377CEB">
            <w:pPr>
              <w:spacing w:after="0" w:line="240" w:lineRule="auto"/>
              <w:jc w:val="center"/>
              <w:rPr>
                <w:rFonts w:ascii="Times New Roman" w:hAnsi="Times New Roman"/>
                <w:sz w:val="20"/>
                <w:szCs w:val="20"/>
              </w:rPr>
            </w:pPr>
            <w:r w:rsidRPr="00681211">
              <w:rPr>
                <w:rFonts w:ascii="Times New Roman" w:hAnsi="Times New Roman"/>
                <w:sz w:val="20"/>
                <w:szCs w:val="20"/>
              </w:rPr>
              <w:t>-</w:t>
            </w:r>
          </w:p>
        </w:tc>
        <w:tc>
          <w:tcPr>
            <w:tcW w:w="614" w:type="pct"/>
            <w:tcBorders>
              <w:top w:val="nil"/>
              <w:left w:val="nil"/>
              <w:bottom w:val="single" w:sz="4" w:space="0" w:color="auto"/>
              <w:right w:val="single" w:sz="4" w:space="0" w:color="auto"/>
            </w:tcBorders>
            <w:shd w:val="clear" w:color="auto" w:fill="auto"/>
            <w:noWrap/>
            <w:vAlign w:val="bottom"/>
            <w:hideMark/>
          </w:tcPr>
          <w:p w14:paraId="52806607" w14:textId="730B4AA2" w:rsidR="00681211" w:rsidRPr="00681211" w:rsidRDefault="00681211" w:rsidP="00377CEB">
            <w:pPr>
              <w:spacing w:after="0" w:line="240" w:lineRule="auto"/>
              <w:jc w:val="center"/>
              <w:rPr>
                <w:rFonts w:ascii="Times New Roman" w:hAnsi="Times New Roman"/>
                <w:sz w:val="20"/>
                <w:szCs w:val="20"/>
              </w:rPr>
            </w:pPr>
            <w:r w:rsidRPr="00681211">
              <w:rPr>
                <w:rFonts w:ascii="Times New Roman" w:hAnsi="Times New Roman"/>
                <w:sz w:val="20"/>
                <w:szCs w:val="20"/>
              </w:rPr>
              <w:t>-</w:t>
            </w:r>
          </w:p>
        </w:tc>
      </w:tr>
      <w:tr w:rsidR="00377CEB" w:rsidRPr="00681211" w14:paraId="2E09E8FA" w14:textId="77777777" w:rsidTr="00377CEB">
        <w:trPr>
          <w:trHeight w:val="20"/>
        </w:trPr>
        <w:tc>
          <w:tcPr>
            <w:tcW w:w="3268" w:type="pct"/>
            <w:tcBorders>
              <w:top w:val="nil"/>
              <w:left w:val="single" w:sz="4" w:space="0" w:color="auto"/>
              <w:bottom w:val="single" w:sz="4" w:space="0" w:color="auto"/>
              <w:right w:val="single" w:sz="4" w:space="0" w:color="auto"/>
            </w:tcBorders>
            <w:shd w:val="clear" w:color="auto" w:fill="auto"/>
            <w:noWrap/>
            <w:vAlign w:val="bottom"/>
            <w:hideMark/>
          </w:tcPr>
          <w:p w14:paraId="2B674568" w14:textId="647D7972" w:rsidR="00681211" w:rsidRPr="00681211" w:rsidRDefault="00681211" w:rsidP="00377CEB">
            <w:pPr>
              <w:spacing w:after="0" w:line="240" w:lineRule="auto"/>
              <w:jc w:val="both"/>
              <w:rPr>
                <w:rFonts w:ascii="Times New Roman" w:hAnsi="Times New Roman"/>
                <w:sz w:val="20"/>
                <w:szCs w:val="20"/>
              </w:rPr>
            </w:pPr>
            <w:r w:rsidRPr="00681211">
              <w:rPr>
                <w:rFonts w:ascii="Times New Roman" w:hAnsi="Times New Roman"/>
                <w:sz w:val="20"/>
                <w:szCs w:val="20"/>
              </w:rPr>
              <w:t>Other moneys for which the company is contingently liable</w:t>
            </w:r>
          </w:p>
        </w:tc>
        <w:tc>
          <w:tcPr>
            <w:tcW w:w="559" w:type="pct"/>
            <w:tcBorders>
              <w:top w:val="nil"/>
              <w:left w:val="nil"/>
              <w:bottom w:val="single" w:sz="4" w:space="0" w:color="auto"/>
              <w:right w:val="single" w:sz="4" w:space="0" w:color="auto"/>
            </w:tcBorders>
            <w:shd w:val="clear" w:color="auto" w:fill="auto"/>
            <w:noWrap/>
            <w:vAlign w:val="bottom"/>
            <w:hideMark/>
          </w:tcPr>
          <w:p w14:paraId="33DE5DEE" w14:textId="5D3E8B74" w:rsidR="00681211" w:rsidRPr="00681211" w:rsidRDefault="00681211" w:rsidP="00377CEB">
            <w:pPr>
              <w:spacing w:after="0" w:line="240" w:lineRule="auto"/>
              <w:jc w:val="center"/>
              <w:rPr>
                <w:rFonts w:ascii="Times New Roman" w:hAnsi="Times New Roman"/>
                <w:sz w:val="20"/>
                <w:szCs w:val="20"/>
              </w:rPr>
            </w:pPr>
            <w:r w:rsidRPr="00681211">
              <w:rPr>
                <w:rFonts w:ascii="Times New Roman" w:hAnsi="Times New Roman"/>
                <w:sz w:val="20"/>
                <w:szCs w:val="20"/>
              </w:rPr>
              <w:t>-</w:t>
            </w:r>
          </w:p>
        </w:tc>
        <w:tc>
          <w:tcPr>
            <w:tcW w:w="559" w:type="pct"/>
            <w:tcBorders>
              <w:top w:val="nil"/>
              <w:left w:val="nil"/>
              <w:bottom w:val="single" w:sz="4" w:space="0" w:color="auto"/>
              <w:right w:val="single" w:sz="4" w:space="0" w:color="auto"/>
            </w:tcBorders>
            <w:shd w:val="clear" w:color="auto" w:fill="auto"/>
            <w:noWrap/>
            <w:vAlign w:val="bottom"/>
            <w:hideMark/>
          </w:tcPr>
          <w:p w14:paraId="74C6414F" w14:textId="0B001178" w:rsidR="00681211" w:rsidRPr="00681211" w:rsidRDefault="00681211" w:rsidP="00377CEB">
            <w:pPr>
              <w:spacing w:after="0" w:line="240" w:lineRule="auto"/>
              <w:jc w:val="center"/>
              <w:rPr>
                <w:rFonts w:ascii="Times New Roman" w:hAnsi="Times New Roman"/>
                <w:sz w:val="20"/>
                <w:szCs w:val="20"/>
              </w:rPr>
            </w:pPr>
            <w:r w:rsidRPr="00681211">
              <w:rPr>
                <w:rFonts w:ascii="Times New Roman" w:hAnsi="Times New Roman"/>
                <w:sz w:val="20"/>
                <w:szCs w:val="20"/>
              </w:rPr>
              <w:t>-</w:t>
            </w:r>
          </w:p>
        </w:tc>
        <w:tc>
          <w:tcPr>
            <w:tcW w:w="614" w:type="pct"/>
            <w:tcBorders>
              <w:top w:val="nil"/>
              <w:left w:val="nil"/>
              <w:bottom w:val="single" w:sz="4" w:space="0" w:color="auto"/>
              <w:right w:val="single" w:sz="4" w:space="0" w:color="auto"/>
            </w:tcBorders>
            <w:shd w:val="clear" w:color="auto" w:fill="auto"/>
            <w:noWrap/>
            <w:vAlign w:val="bottom"/>
            <w:hideMark/>
          </w:tcPr>
          <w:p w14:paraId="74C46955" w14:textId="62F742A1" w:rsidR="00681211" w:rsidRPr="00681211" w:rsidRDefault="00681211" w:rsidP="00377CEB">
            <w:pPr>
              <w:spacing w:after="0" w:line="240" w:lineRule="auto"/>
              <w:jc w:val="center"/>
              <w:rPr>
                <w:rFonts w:ascii="Times New Roman" w:hAnsi="Times New Roman"/>
                <w:sz w:val="20"/>
                <w:szCs w:val="20"/>
              </w:rPr>
            </w:pPr>
            <w:r w:rsidRPr="00681211">
              <w:rPr>
                <w:rFonts w:ascii="Times New Roman" w:hAnsi="Times New Roman"/>
                <w:sz w:val="20"/>
                <w:szCs w:val="20"/>
              </w:rPr>
              <w:t>-</w:t>
            </w:r>
          </w:p>
        </w:tc>
      </w:tr>
      <w:tr w:rsidR="00377CEB" w:rsidRPr="00681211" w14:paraId="49337114" w14:textId="77777777" w:rsidTr="00377CEB">
        <w:trPr>
          <w:trHeight w:val="20"/>
        </w:trPr>
        <w:tc>
          <w:tcPr>
            <w:tcW w:w="3268" w:type="pct"/>
            <w:tcBorders>
              <w:top w:val="nil"/>
              <w:left w:val="single" w:sz="4" w:space="0" w:color="auto"/>
              <w:bottom w:val="single" w:sz="4" w:space="0" w:color="auto"/>
              <w:right w:val="single" w:sz="4" w:space="0" w:color="auto"/>
            </w:tcBorders>
            <w:shd w:val="clear" w:color="auto" w:fill="auto"/>
            <w:noWrap/>
            <w:vAlign w:val="bottom"/>
            <w:hideMark/>
          </w:tcPr>
          <w:p w14:paraId="4D3B857A" w14:textId="77777777" w:rsidR="00681211" w:rsidRPr="00681211" w:rsidRDefault="00681211" w:rsidP="00377CEB">
            <w:pPr>
              <w:spacing w:after="0" w:line="240" w:lineRule="auto"/>
              <w:jc w:val="both"/>
              <w:rPr>
                <w:rFonts w:ascii="Times New Roman" w:hAnsi="Times New Roman"/>
                <w:sz w:val="20"/>
                <w:szCs w:val="20"/>
              </w:rPr>
            </w:pPr>
            <w:r w:rsidRPr="00681211">
              <w:rPr>
                <w:rFonts w:ascii="Times New Roman" w:hAnsi="Times New Roman"/>
                <w:sz w:val="20"/>
                <w:szCs w:val="20"/>
              </w:rPr>
              <w:t>Commitments (to the extent not provided for)</w:t>
            </w:r>
          </w:p>
        </w:tc>
        <w:tc>
          <w:tcPr>
            <w:tcW w:w="559" w:type="pct"/>
            <w:tcBorders>
              <w:top w:val="nil"/>
              <w:left w:val="nil"/>
              <w:bottom w:val="single" w:sz="4" w:space="0" w:color="auto"/>
              <w:right w:val="single" w:sz="4" w:space="0" w:color="auto"/>
            </w:tcBorders>
            <w:shd w:val="clear" w:color="auto" w:fill="auto"/>
            <w:noWrap/>
            <w:vAlign w:val="bottom"/>
            <w:hideMark/>
          </w:tcPr>
          <w:p w14:paraId="7F7C7E2C" w14:textId="76947D3D" w:rsidR="00681211" w:rsidRPr="00681211" w:rsidRDefault="00681211" w:rsidP="00377CEB">
            <w:pPr>
              <w:spacing w:after="0" w:line="240" w:lineRule="auto"/>
              <w:jc w:val="center"/>
              <w:rPr>
                <w:rFonts w:ascii="Times New Roman" w:hAnsi="Times New Roman"/>
                <w:sz w:val="20"/>
                <w:szCs w:val="20"/>
              </w:rPr>
            </w:pPr>
            <w:r w:rsidRPr="00681211">
              <w:rPr>
                <w:rFonts w:ascii="Times New Roman" w:hAnsi="Times New Roman"/>
                <w:sz w:val="20"/>
                <w:szCs w:val="20"/>
              </w:rPr>
              <w:t>-</w:t>
            </w:r>
          </w:p>
        </w:tc>
        <w:tc>
          <w:tcPr>
            <w:tcW w:w="559" w:type="pct"/>
            <w:tcBorders>
              <w:top w:val="nil"/>
              <w:left w:val="nil"/>
              <w:bottom w:val="single" w:sz="4" w:space="0" w:color="auto"/>
              <w:right w:val="single" w:sz="4" w:space="0" w:color="auto"/>
            </w:tcBorders>
            <w:shd w:val="clear" w:color="auto" w:fill="auto"/>
            <w:noWrap/>
            <w:vAlign w:val="bottom"/>
            <w:hideMark/>
          </w:tcPr>
          <w:p w14:paraId="66014A8E" w14:textId="39545AD9" w:rsidR="00681211" w:rsidRPr="00681211" w:rsidRDefault="00681211" w:rsidP="00377CEB">
            <w:pPr>
              <w:spacing w:after="0" w:line="240" w:lineRule="auto"/>
              <w:jc w:val="center"/>
              <w:rPr>
                <w:rFonts w:ascii="Times New Roman" w:hAnsi="Times New Roman"/>
                <w:sz w:val="20"/>
                <w:szCs w:val="20"/>
              </w:rPr>
            </w:pPr>
            <w:r w:rsidRPr="00681211">
              <w:rPr>
                <w:rFonts w:ascii="Times New Roman" w:hAnsi="Times New Roman"/>
                <w:sz w:val="20"/>
                <w:szCs w:val="20"/>
              </w:rPr>
              <w:t>-</w:t>
            </w:r>
          </w:p>
        </w:tc>
        <w:tc>
          <w:tcPr>
            <w:tcW w:w="614" w:type="pct"/>
            <w:tcBorders>
              <w:top w:val="nil"/>
              <w:left w:val="nil"/>
              <w:bottom w:val="single" w:sz="4" w:space="0" w:color="auto"/>
              <w:right w:val="single" w:sz="4" w:space="0" w:color="auto"/>
            </w:tcBorders>
            <w:shd w:val="clear" w:color="auto" w:fill="auto"/>
            <w:noWrap/>
            <w:vAlign w:val="bottom"/>
            <w:hideMark/>
          </w:tcPr>
          <w:p w14:paraId="5A960B11" w14:textId="224BB5CF" w:rsidR="00681211" w:rsidRPr="00681211" w:rsidRDefault="00681211" w:rsidP="00377CEB">
            <w:pPr>
              <w:spacing w:after="0" w:line="240" w:lineRule="auto"/>
              <w:jc w:val="center"/>
              <w:rPr>
                <w:rFonts w:ascii="Times New Roman" w:hAnsi="Times New Roman"/>
                <w:sz w:val="20"/>
                <w:szCs w:val="20"/>
              </w:rPr>
            </w:pPr>
            <w:r w:rsidRPr="00681211">
              <w:rPr>
                <w:rFonts w:ascii="Times New Roman" w:hAnsi="Times New Roman"/>
                <w:sz w:val="20"/>
                <w:szCs w:val="20"/>
              </w:rPr>
              <w:t>-</w:t>
            </w:r>
          </w:p>
        </w:tc>
      </w:tr>
      <w:tr w:rsidR="00377CEB" w:rsidRPr="00681211" w14:paraId="15277DA6" w14:textId="77777777" w:rsidTr="00377CEB">
        <w:trPr>
          <w:trHeight w:val="20"/>
        </w:trPr>
        <w:tc>
          <w:tcPr>
            <w:tcW w:w="3268" w:type="pct"/>
            <w:tcBorders>
              <w:top w:val="nil"/>
              <w:left w:val="single" w:sz="4" w:space="0" w:color="auto"/>
              <w:bottom w:val="single" w:sz="4" w:space="0" w:color="auto"/>
              <w:right w:val="single" w:sz="4" w:space="0" w:color="auto"/>
            </w:tcBorders>
            <w:shd w:val="clear" w:color="auto" w:fill="auto"/>
            <w:noWrap/>
            <w:vAlign w:val="bottom"/>
            <w:hideMark/>
          </w:tcPr>
          <w:p w14:paraId="5585E74D" w14:textId="6B3CC80B" w:rsidR="00681211" w:rsidRPr="00681211" w:rsidRDefault="00681211" w:rsidP="00377CEB">
            <w:pPr>
              <w:spacing w:after="0" w:line="240" w:lineRule="auto"/>
              <w:jc w:val="both"/>
              <w:rPr>
                <w:rFonts w:ascii="Times New Roman" w:hAnsi="Times New Roman"/>
                <w:sz w:val="20"/>
                <w:szCs w:val="20"/>
              </w:rPr>
            </w:pPr>
            <w:r w:rsidRPr="00681211">
              <w:rPr>
                <w:rFonts w:ascii="Times New Roman" w:hAnsi="Times New Roman"/>
                <w:sz w:val="20"/>
                <w:szCs w:val="20"/>
              </w:rPr>
              <w:t>Estimated amount of contracts remaining to be executed on capital account and not provided for</w:t>
            </w:r>
          </w:p>
        </w:tc>
        <w:tc>
          <w:tcPr>
            <w:tcW w:w="559" w:type="pct"/>
            <w:tcBorders>
              <w:top w:val="nil"/>
              <w:left w:val="nil"/>
              <w:bottom w:val="single" w:sz="4" w:space="0" w:color="auto"/>
              <w:right w:val="single" w:sz="4" w:space="0" w:color="auto"/>
            </w:tcBorders>
            <w:shd w:val="clear" w:color="auto" w:fill="auto"/>
            <w:noWrap/>
            <w:vAlign w:val="bottom"/>
            <w:hideMark/>
          </w:tcPr>
          <w:p w14:paraId="0D07696A" w14:textId="59A63741" w:rsidR="00681211" w:rsidRPr="00681211" w:rsidRDefault="00681211" w:rsidP="00377CEB">
            <w:pPr>
              <w:spacing w:after="0" w:line="240" w:lineRule="auto"/>
              <w:jc w:val="center"/>
              <w:rPr>
                <w:rFonts w:ascii="Times New Roman" w:hAnsi="Times New Roman"/>
                <w:sz w:val="20"/>
                <w:szCs w:val="20"/>
              </w:rPr>
            </w:pPr>
            <w:r w:rsidRPr="00681211">
              <w:rPr>
                <w:rFonts w:ascii="Times New Roman" w:hAnsi="Times New Roman"/>
                <w:sz w:val="20"/>
                <w:szCs w:val="20"/>
              </w:rPr>
              <w:t>-</w:t>
            </w:r>
          </w:p>
        </w:tc>
        <w:tc>
          <w:tcPr>
            <w:tcW w:w="559" w:type="pct"/>
            <w:tcBorders>
              <w:top w:val="nil"/>
              <w:left w:val="nil"/>
              <w:bottom w:val="single" w:sz="4" w:space="0" w:color="auto"/>
              <w:right w:val="single" w:sz="4" w:space="0" w:color="auto"/>
            </w:tcBorders>
            <w:shd w:val="clear" w:color="auto" w:fill="auto"/>
            <w:noWrap/>
            <w:vAlign w:val="bottom"/>
            <w:hideMark/>
          </w:tcPr>
          <w:p w14:paraId="7063C552" w14:textId="6F71C277" w:rsidR="00681211" w:rsidRPr="00681211" w:rsidRDefault="00681211" w:rsidP="00377CEB">
            <w:pPr>
              <w:spacing w:after="0" w:line="240" w:lineRule="auto"/>
              <w:jc w:val="center"/>
              <w:rPr>
                <w:rFonts w:ascii="Times New Roman" w:hAnsi="Times New Roman"/>
                <w:sz w:val="20"/>
                <w:szCs w:val="20"/>
              </w:rPr>
            </w:pPr>
            <w:r w:rsidRPr="00681211">
              <w:rPr>
                <w:rFonts w:ascii="Times New Roman" w:hAnsi="Times New Roman"/>
                <w:sz w:val="20"/>
                <w:szCs w:val="20"/>
              </w:rPr>
              <w:t>-</w:t>
            </w:r>
          </w:p>
        </w:tc>
        <w:tc>
          <w:tcPr>
            <w:tcW w:w="614" w:type="pct"/>
            <w:tcBorders>
              <w:top w:val="nil"/>
              <w:left w:val="nil"/>
              <w:bottom w:val="single" w:sz="4" w:space="0" w:color="auto"/>
              <w:right w:val="single" w:sz="4" w:space="0" w:color="auto"/>
            </w:tcBorders>
            <w:shd w:val="clear" w:color="auto" w:fill="auto"/>
            <w:noWrap/>
            <w:vAlign w:val="bottom"/>
            <w:hideMark/>
          </w:tcPr>
          <w:p w14:paraId="3E95D55F" w14:textId="42A570A4" w:rsidR="00681211" w:rsidRPr="00681211" w:rsidRDefault="00681211" w:rsidP="00377CEB">
            <w:pPr>
              <w:spacing w:after="0" w:line="240" w:lineRule="auto"/>
              <w:jc w:val="center"/>
              <w:rPr>
                <w:rFonts w:ascii="Times New Roman" w:hAnsi="Times New Roman"/>
                <w:sz w:val="20"/>
                <w:szCs w:val="20"/>
              </w:rPr>
            </w:pPr>
            <w:r w:rsidRPr="00681211">
              <w:rPr>
                <w:rFonts w:ascii="Times New Roman" w:hAnsi="Times New Roman"/>
                <w:sz w:val="20"/>
                <w:szCs w:val="20"/>
              </w:rPr>
              <w:t>-</w:t>
            </w:r>
          </w:p>
        </w:tc>
      </w:tr>
      <w:tr w:rsidR="00377CEB" w:rsidRPr="00681211" w14:paraId="29457F78" w14:textId="77777777" w:rsidTr="00377CEB">
        <w:trPr>
          <w:trHeight w:val="20"/>
        </w:trPr>
        <w:tc>
          <w:tcPr>
            <w:tcW w:w="3268" w:type="pct"/>
            <w:tcBorders>
              <w:top w:val="nil"/>
              <w:left w:val="single" w:sz="4" w:space="0" w:color="auto"/>
              <w:bottom w:val="single" w:sz="4" w:space="0" w:color="auto"/>
              <w:right w:val="single" w:sz="4" w:space="0" w:color="auto"/>
            </w:tcBorders>
            <w:shd w:val="clear" w:color="auto" w:fill="auto"/>
            <w:noWrap/>
            <w:vAlign w:val="bottom"/>
            <w:hideMark/>
          </w:tcPr>
          <w:p w14:paraId="270BFE81" w14:textId="15D34151" w:rsidR="00681211" w:rsidRPr="00681211" w:rsidRDefault="00681211" w:rsidP="00377CEB">
            <w:pPr>
              <w:spacing w:after="0" w:line="240" w:lineRule="auto"/>
              <w:jc w:val="both"/>
              <w:rPr>
                <w:rFonts w:ascii="Times New Roman" w:hAnsi="Times New Roman"/>
                <w:sz w:val="20"/>
                <w:szCs w:val="20"/>
              </w:rPr>
            </w:pPr>
            <w:r w:rsidRPr="00681211">
              <w:rPr>
                <w:rFonts w:ascii="Times New Roman" w:hAnsi="Times New Roman"/>
                <w:sz w:val="20"/>
                <w:szCs w:val="20"/>
              </w:rPr>
              <w:t>Uncalled liability on shares and other investments partly paid</w:t>
            </w:r>
          </w:p>
        </w:tc>
        <w:tc>
          <w:tcPr>
            <w:tcW w:w="559" w:type="pct"/>
            <w:tcBorders>
              <w:top w:val="nil"/>
              <w:left w:val="nil"/>
              <w:bottom w:val="single" w:sz="4" w:space="0" w:color="auto"/>
              <w:right w:val="single" w:sz="4" w:space="0" w:color="auto"/>
            </w:tcBorders>
            <w:shd w:val="clear" w:color="auto" w:fill="auto"/>
            <w:noWrap/>
            <w:vAlign w:val="bottom"/>
            <w:hideMark/>
          </w:tcPr>
          <w:p w14:paraId="122F735B" w14:textId="0E2A9B87" w:rsidR="00681211" w:rsidRPr="00681211" w:rsidRDefault="00681211" w:rsidP="00377CEB">
            <w:pPr>
              <w:spacing w:after="0" w:line="240" w:lineRule="auto"/>
              <w:jc w:val="center"/>
              <w:rPr>
                <w:rFonts w:ascii="Times New Roman" w:hAnsi="Times New Roman"/>
                <w:sz w:val="20"/>
                <w:szCs w:val="20"/>
              </w:rPr>
            </w:pPr>
            <w:r w:rsidRPr="00681211">
              <w:rPr>
                <w:rFonts w:ascii="Times New Roman" w:hAnsi="Times New Roman"/>
                <w:sz w:val="20"/>
                <w:szCs w:val="20"/>
              </w:rPr>
              <w:t>-</w:t>
            </w:r>
          </w:p>
        </w:tc>
        <w:tc>
          <w:tcPr>
            <w:tcW w:w="559" w:type="pct"/>
            <w:tcBorders>
              <w:top w:val="nil"/>
              <w:left w:val="nil"/>
              <w:bottom w:val="single" w:sz="4" w:space="0" w:color="auto"/>
              <w:right w:val="single" w:sz="4" w:space="0" w:color="auto"/>
            </w:tcBorders>
            <w:shd w:val="clear" w:color="auto" w:fill="auto"/>
            <w:noWrap/>
            <w:vAlign w:val="bottom"/>
            <w:hideMark/>
          </w:tcPr>
          <w:p w14:paraId="41693164" w14:textId="1430D344" w:rsidR="00681211" w:rsidRPr="00681211" w:rsidRDefault="00681211" w:rsidP="00377CEB">
            <w:pPr>
              <w:spacing w:after="0" w:line="240" w:lineRule="auto"/>
              <w:jc w:val="center"/>
              <w:rPr>
                <w:rFonts w:ascii="Times New Roman" w:hAnsi="Times New Roman"/>
                <w:sz w:val="20"/>
                <w:szCs w:val="20"/>
              </w:rPr>
            </w:pPr>
            <w:r w:rsidRPr="00681211">
              <w:rPr>
                <w:rFonts w:ascii="Times New Roman" w:hAnsi="Times New Roman"/>
                <w:sz w:val="20"/>
                <w:szCs w:val="20"/>
              </w:rPr>
              <w:t>-</w:t>
            </w:r>
          </w:p>
        </w:tc>
        <w:tc>
          <w:tcPr>
            <w:tcW w:w="614" w:type="pct"/>
            <w:tcBorders>
              <w:top w:val="nil"/>
              <w:left w:val="nil"/>
              <w:bottom w:val="single" w:sz="4" w:space="0" w:color="auto"/>
              <w:right w:val="single" w:sz="4" w:space="0" w:color="auto"/>
            </w:tcBorders>
            <w:shd w:val="clear" w:color="auto" w:fill="auto"/>
            <w:noWrap/>
            <w:vAlign w:val="bottom"/>
            <w:hideMark/>
          </w:tcPr>
          <w:p w14:paraId="7B98A02B" w14:textId="2B02F944" w:rsidR="00681211" w:rsidRPr="00681211" w:rsidRDefault="00681211" w:rsidP="00377CEB">
            <w:pPr>
              <w:spacing w:after="0" w:line="240" w:lineRule="auto"/>
              <w:jc w:val="center"/>
              <w:rPr>
                <w:rFonts w:ascii="Times New Roman" w:hAnsi="Times New Roman"/>
                <w:sz w:val="20"/>
                <w:szCs w:val="20"/>
              </w:rPr>
            </w:pPr>
            <w:r w:rsidRPr="00681211">
              <w:rPr>
                <w:rFonts w:ascii="Times New Roman" w:hAnsi="Times New Roman"/>
                <w:sz w:val="20"/>
                <w:szCs w:val="20"/>
              </w:rPr>
              <w:t>-</w:t>
            </w:r>
          </w:p>
        </w:tc>
      </w:tr>
      <w:tr w:rsidR="00377CEB" w:rsidRPr="00681211" w14:paraId="1DAB6FE1" w14:textId="77777777" w:rsidTr="00377CEB">
        <w:trPr>
          <w:trHeight w:val="20"/>
        </w:trPr>
        <w:tc>
          <w:tcPr>
            <w:tcW w:w="3268" w:type="pct"/>
            <w:tcBorders>
              <w:top w:val="nil"/>
              <w:left w:val="single" w:sz="4" w:space="0" w:color="auto"/>
              <w:bottom w:val="single" w:sz="4" w:space="0" w:color="auto"/>
              <w:right w:val="single" w:sz="4" w:space="0" w:color="auto"/>
            </w:tcBorders>
            <w:shd w:val="clear" w:color="auto" w:fill="auto"/>
            <w:vAlign w:val="bottom"/>
            <w:hideMark/>
          </w:tcPr>
          <w:p w14:paraId="6A37DD28" w14:textId="61FA55EA" w:rsidR="00681211" w:rsidRPr="00681211" w:rsidRDefault="00681211" w:rsidP="00377CEB">
            <w:pPr>
              <w:spacing w:after="0" w:line="240" w:lineRule="auto"/>
              <w:jc w:val="both"/>
              <w:rPr>
                <w:rFonts w:ascii="Times New Roman" w:hAnsi="Times New Roman"/>
                <w:sz w:val="20"/>
                <w:szCs w:val="20"/>
              </w:rPr>
            </w:pPr>
            <w:r w:rsidRPr="00681211">
              <w:rPr>
                <w:rFonts w:ascii="Times New Roman" w:hAnsi="Times New Roman"/>
                <w:sz w:val="20"/>
                <w:szCs w:val="20"/>
              </w:rPr>
              <w:t xml:space="preserve">Other commitments - The company has filed VAT Appeal before Deputy Commissioner State Tax (Appeals), State Tax. For the matter under consideration total demand of </w:t>
            </w:r>
            <w:r w:rsidR="001706A2" w:rsidRPr="00712F3C">
              <w:rPr>
                <w:rFonts w:ascii="Times New Roman" w:eastAsia="MS Mincho" w:hAnsi="Times New Roman"/>
                <w:sz w:val="20"/>
                <w:szCs w:val="20"/>
              </w:rPr>
              <w:t>₹</w:t>
            </w:r>
            <w:r w:rsidR="001706A2">
              <w:rPr>
                <w:rFonts w:ascii="Times New Roman" w:eastAsia="MS Mincho" w:hAnsi="Times New Roman"/>
                <w:sz w:val="20"/>
                <w:szCs w:val="20"/>
              </w:rPr>
              <w:t xml:space="preserve"> </w:t>
            </w:r>
            <w:r w:rsidRPr="00681211">
              <w:rPr>
                <w:rFonts w:ascii="Times New Roman" w:hAnsi="Times New Roman"/>
                <w:sz w:val="20"/>
                <w:szCs w:val="20"/>
              </w:rPr>
              <w:t xml:space="preserve">5,98,684/- was raised and company has paid the Demand of </w:t>
            </w:r>
            <w:r w:rsidR="001706A2" w:rsidRPr="00712F3C">
              <w:rPr>
                <w:rFonts w:ascii="Times New Roman" w:eastAsia="MS Mincho" w:hAnsi="Times New Roman"/>
                <w:sz w:val="20"/>
                <w:szCs w:val="20"/>
              </w:rPr>
              <w:t>₹</w:t>
            </w:r>
            <w:r w:rsidRPr="00681211">
              <w:rPr>
                <w:rFonts w:ascii="Times New Roman" w:hAnsi="Times New Roman"/>
                <w:sz w:val="20"/>
                <w:szCs w:val="20"/>
              </w:rPr>
              <w:t xml:space="preserve"> 1,20,000 and for balance amount stay has been granted.</w:t>
            </w:r>
          </w:p>
        </w:tc>
        <w:tc>
          <w:tcPr>
            <w:tcW w:w="559" w:type="pct"/>
            <w:tcBorders>
              <w:top w:val="nil"/>
              <w:left w:val="nil"/>
              <w:bottom w:val="single" w:sz="4" w:space="0" w:color="auto"/>
              <w:right w:val="single" w:sz="4" w:space="0" w:color="auto"/>
            </w:tcBorders>
            <w:shd w:val="clear" w:color="auto" w:fill="auto"/>
            <w:noWrap/>
            <w:vAlign w:val="bottom"/>
            <w:hideMark/>
          </w:tcPr>
          <w:p w14:paraId="7C2C3B11" w14:textId="179D7D6B" w:rsidR="00681211" w:rsidRPr="00681211" w:rsidRDefault="00681211" w:rsidP="00377CEB">
            <w:pPr>
              <w:spacing w:after="0" w:line="240" w:lineRule="auto"/>
              <w:jc w:val="center"/>
              <w:rPr>
                <w:rFonts w:ascii="Times New Roman" w:hAnsi="Times New Roman"/>
                <w:sz w:val="20"/>
                <w:szCs w:val="20"/>
              </w:rPr>
            </w:pPr>
            <w:r w:rsidRPr="00681211">
              <w:rPr>
                <w:rFonts w:ascii="Times New Roman" w:hAnsi="Times New Roman"/>
                <w:sz w:val="20"/>
                <w:szCs w:val="20"/>
              </w:rPr>
              <w:t>5.98</w:t>
            </w:r>
          </w:p>
        </w:tc>
        <w:tc>
          <w:tcPr>
            <w:tcW w:w="559" w:type="pct"/>
            <w:tcBorders>
              <w:top w:val="nil"/>
              <w:left w:val="nil"/>
              <w:bottom w:val="single" w:sz="4" w:space="0" w:color="auto"/>
              <w:right w:val="single" w:sz="4" w:space="0" w:color="auto"/>
            </w:tcBorders>
            <w:shd w:val="clear" w:color="auto" w:fill="auto"/>
            <w:noWrap/>
            <w:vAlign w:val="bottom"/>
            <w:hideMark/>
          </w:tcPr>
          <w:p w14:paraId="47E2FED3" w14:textId="4D9BBF66" w:rsidR="00681211" w:rsidRPr="00681211" w:rsidRDefault="00681211" w:rsidP="00377CEB">
            <w:pPr>
              <w:spacing w:after="0" w:line="240" w:lineRule="auto"/>
              <w:jc w:val="center"/>
              <w:rPr>
                <w:rFonts w:ascii="Times New Roman" w:hAnsi="Times New Roman"/>
                <w:sz w:val="20"/>
                <w:szCs w:val="20"/>
              </w:rPr>
            </w:pPr>
            <w:r w:rsidRPr="00681211">
              <w:rPr>
                <w:rFonts w:ascii="Times New Roman" w:hAnsi="Times New Roman"/>
                <w:sz w:val="20"/>
                <w:szCs w:val="20"/>
              </w:rPr>
              <w:t>5.98</w:t>
            </w:r>
          </w:p>
        </w:tc>
        <w:tc>
          <w:tcPr>
            <w:tcW w:w="614" w:type="pct"/>
            <w:tcBorders>
              <w:top w:val="nil"/>
              <w:left w:val="nil"/>
              <w:bottom w:val="single" w:sz="4" w:space="0" w:color="auto"/>
              <w:right w:val="single" w:sz="4" w:space="0" w:color="auto"/>
            </w:tcBorders>
            <w:shd w:val="clear" w:color="auto" w:fill="auto"/>
            <w:noWrap/>
            <w:vAlign w:val="bottom"/>
            <w:hideMark/>
          </w:tcPr>
          <w:p w14:paraId="6A56C409" w14:textId="0C21867D" w:rsidR="00681211" w:rsidRPr="00681211" w:rsidRDefault="00681211" w:rsidP="00377CEB">
            <w:pPr>
              <w:spacing w:after="0" w:line="240" w:lineRule="auto"/>
              <w:jc w:val="center"/>
              <w:rPr>
                <w:rFonts w:ascii="Times New Roman" w:hAnsi="Times New Roman"/>
                <w:sz w:val="20"/>
                <w:szCs w:val="20"/>
              </w:rPr>
            </w:pPr>
            <w:r w:rsidRPr="00681211">
              <w:rPr>
                <w:rFonts w:ascii="Times New Roman" w:hAnsi="Times New Roman"/>
                <w:sz w:val="20"/>
                <w:szCs w:val="20"/>
              </w:rPr>
              <w:t>5.98</w:t>
            </w:r>
          </w:p>
        </w:tc>
      </w:tr>
      <w:tr w:rsidR="00377CEB" w:rsidRPr="00681211" w14:paraId="7C878DFA" w14:textId="77777777" w:rsidTr="00377CEB">
        <w:trPr>
          <w:trHeight w:val="20"/>
        </w:trPr>
        <w:tc>
          <w:tcPr>
            <w:tcW w:w="3268" w:type="pct"/>
            <w:tcBorders>
              <w:top w:val="nil"/>
              <w:left w:val="single" w:sz="4" w:space="0" w:color="auto"/>
              <w:bottom w:val="single" w:sz="4" w:space="0" w:color="auto"/>
              <w:right w:val="single" w:sz="4" w:space="0" w:color="auto"/>
            </w:tcBorders>
            <w:shd w:val="clear" w:color="auto" w:fill="auto"/>
            <w:noWrap/>
            <w:vAlign w:val="bottom"/>
            <w:hideMark/>
          </w:tcPr>
          <w:p w14:paraId="54EFBFB6" w14:textId="77777777" w:rsidR="00681211" w:rsidRPr="00681211" w:rsidRDefault="00681211" w:rsidP="00681211">
            <w:pPr>
              <w:spacing w:after="0" w:line="240" w:lineRule="auto"/>
              <w:rPr>
                <w:rFonts w:ascii="Times New Roman" w:hAnsi="Times New Roman"/>
                <w:b/>
                <w:bCs/>
                <w:sz w:val="20"/>
                <w:szCs w:val="20"/>
              </w:rPr>
            </w:pPr>
            <w:r w:rsidRPr="00681211">
              <w:rPr>
                <w:rFonts w:ascii="Times New Roman" w:hAnsi="Times New Roman"/>
                <w:b/>
                <w:bCs/>
                <w:sz w:val="20"/>
                <w:szCs w:val="20"/>
              </w:rPr>
              <w:t>Total</w:t>
            </w:r>
          </w:p>
        </w:tc>
        <w:tc>
          <w:tcPr>
            <w:tcW w:w="559" w:type="pct"/>
            <w:tcBorders>
              <w:top w:val="nil"/>
              <w:left w:val="nil"/>
              <w:bottom w:val="single" w:sz="4" w:space="0" w:color="auto"/>
              <w:right w:val="single" w:sz="4" w:space="0" w:color="auto"/>
            </w:tcBorders>
            <w:shd w:val="clear" w:color="auto" w:fill="auto"/>
            <w:noWrap/>
            <w:vAlign w:val="bottom"/>
            <w:hideMark/>
          </w:tcPr>
          <w:p w14:paraId="0C9A9312" w14:textId="62D4639D" w:rsidR="00681211" w:rsidRPr="00681211" w:rsidRDefault="00681211" w:rsidP="00377CEB">
            <w:pPr>
              <w:spacing w:after="0" w:line="240" w:lineRule="auto"/>
              <w:jc w:val="center"/>
              <w:rPr>
                <w:rFonts w:ascii="Times New Roman" w:hAnsi="Times New Roman"/>
                <w:b/>
                <w:bCs/>
                <w:sz w:val="20"/>
                <w:szCs w:val="20"/>
              </w:rPr>
            </w:pPr>
            <w:r w:rsidRPr="00681211">
              <w:rPr>
                <w:rFonts w:ascii="Times New Roman" w:hAnsi="Times New Roman"/>
                <w:b/>
                <w:bCs/>
                <w:sz w:val="20"/>
                <w:szCs w:val="20"/>
              </w:rPr>
              <w:t>5.98</w:t>
            </w:r>
          </w:p>
        </w:tc>
        <w:tc>
          <w:tcPr>
            <w:tcW w:w="559" w:type="pct"/>
            <w:tcBorders>
              <w:top w:val="nil"/>
              <w:left w:val="nil"/>
              <w:bottom w:val="single" w:sz="4" w:space="0" w:color="auto"/>
              <w:right w:val="single" w:sz="4" w:space="0" w:color="auto"/>
            </w:tcBorders>
            <w:shd w:val="clear" w:color="auto" w:fill="auto"/>
            <w:noWrap/>
            <w:vAlign w:val="bottom"/>
            <w:hideMark/>
          </w:tcPr>
          <w:p w14:paraId="2108C6DF" w14:textId="242CD3A1" w:rsidR="00681211" w:rsidRPr="00681211" w:rsidRDefault="00681211" w:rsidP="00377CEB">
            <w:pPr>
              <w:spacing w:after="0" w:line="240" w:lineRule="auto"/>
              <w:jc w:val="center"/>
              <w:rPr>
                <w:rFonts w:ascii="Times New Roman" w:hAnsi="Times New Roman"/>
                <w:b/>
                <w:bCs/>
                <w:sz w:val="20"/>
                <w:szCs w:val="20"/>
              </w:rPr>
            </w:pPr>
            <w:r w:rsidRPr="00681211">
              <w:rPr>
                <w:rFonts w:ascii="Times New Roman" w:hAnsi="Times New Roman"/>
                <w:b/>
                <w:bCs/>
                <w:sz w:val="20"/>
                <w:szCs w:val="20"/>
              </w:rPr>
              <w:t>5.98</w:t>
            </w:r>
          </w:p>
        </w:tc>
        <w:tc>
          <w:tcPr>
            <w:tcW w:w="614" w:type="pct"/>
            <w:tcBorders>
              <w:top w:val="nil"/>
              <w:left w:val="nil"/>
              <w:bottom w:val="single" w:sz="4" w:space="0" w:color="auto"/>
              <w:right w:val="single" w:sz="4" w:space="0" w:color="auto"/>
            </w:tcBorders>
            <w:shd w:val="clear" w:color="auto" w:fill="auto"/>
            <w:noWrap/>
            <w:vAlign w:val="bottom"/>
            <w:hideMark/>
          </w:tcPr>
          <w:p w14:paraId="68C22EBA" w14:textId="5F32B57B" w:rsidR="00681211" w:rsidRPr="00681211" w:rsidRDefault="00681211" w:rsidP="00377CEB">
            <w:pPr>
              <w:spacing w:after="0" w:line="240" w:lineRule="auto"/>
              <w:jc w:val="center"/>
              <w:rPr>
                <w:rFonts w:ascii="Times New Roman" w:hAnsi="Times New Roman"/>
                <w:b/>
                <w:bCs/>
                <w:sz w:val="20"/>
                <w:szCs w:val="20"/>
              </w:rPr>
            </w:pPr>
            <w:r w:rsidRPr="00681211">
              <w:rPr>
                <w:rFonts w:ascii="Times New Roman" w:hAnsi="Times New Roman"/>
                <w:b/>
                <w:bCs/>
                <w:sz w:val="20"/>
                <w:szCs w:val="20"/>
              </w:rPr>
              <w:t>5.98</w:t>
            </w:r>
          </w:p>
        </w:tc>
      </w:tr>
    </w:tbl>
    <w:p w14:paraId="1A110103" w14:textId="7406F4A9" w:rsidR="00681211" w:rsidRPr="00712F3C" w:rsidRDefault="00377CEB" w:rsidP="00F8631B">
      <w:pPr>
        <w:spacing w:after="0" w:line="240" w:lineRule="auto"/>
        <w:jc w:val="both"/>
        <w:rPr>
          <w:rFonts w:ascii="Times New Roman" w:hAnsi="Times New Roman"/>
          <w:sz w:val="20"/>
          <w:szCs w:val="20"/>
        </w:rPr>
      </w:pPr>
      <w:r w:rsidRPr="00712F3C">
        <w:rPr>
          <w:rFonts w:ascii="Times New Roman" w:hAnsi="Times New Roman"/>
          <w:sz w:val="20"/>
          <w:szCs w:val="20"/>
        </w:rPr>
        <w:t>For further details, please refer to Note-</w:t>
      </w:r>
      <w:r>
        <w:rPr>
          <w:rFonts w:ascii="Times New Roman" w:hAnsi="Times New Roman"/>
          <w:sz w:val="20"/>
          <w:szCs w:val="20"/>
        </w:rPr>
        <w:t>V</w:t>
      </w:r>
      <w:r w:rsidRPr="00712F3C">
        <w:rPr>
          <w:rFonts w:ascii="Times New Roman" w:hAnsi="Times New Roman"/>
          <w:sz w:val="20"/>
          <w:szCs w:val="20"/>
        </w:rPr>
        <w:t xml:space="preserve"> Contingent Liabilities of the chapter titled </w:t>
      </w:r>
      <w:r w:rsidRPr="00712F3C">
        <w:rPr>
          <w:rFonts w:ascii="Times New Roman" w:hAnsi="Times New Roman"/>
          <w:b/>
          <w:i/>
          <w:sz w:val="20"/>
          <w:szCs w:val="20"/>
        </w:rPr>
        <w:t xml:space="preserve">“Financial Information of the Company” </w:t>
      </w:r>
      <w:r w:rsidRPr="00712F3C">
        <w:rPr>
          <w:rFonts w:ascii="Times New Roman" w:hAnsi="Times New Roman"/>
          <w:sz w:val="20"/>
          <w:szCs w:val="20"/>
        </w:rPr>
        <w:t xml:space="preserve">on page </w:t>
      </w:r>
      <w:r>
        <w:rPr>
          <w:rFonts w:ascii="Times New Roman" w:hAnsi="Times New Roman"/>
          <w:sz w:val="20"/>
          <w:szCs w:val="20"/>
        </w:rPr>
        <w:t>130</w:t>
      </w:r>
      <w:r w:rsidRPr="00712F3C">
        <w:rPr>
          <w:rFonts w:ascii="Times New Roman" w:hAnsi="Times New Roman"/>
          <w:sz w:val="20"/>
          <w:szCs w:val="20"/>
        </w:rPr>
        <w:t xml:space="preserve"> of this Draft </w:t>
      </w:r>
      <w:r w:rsidRPr="00712F3C">
        <w:rPr>
          <w:rFonts w:ascii="Times New Roman" w:hAnsi="Times New Roman"/>
          <w:iCs/>
          <w:sz w:val="20"/>
          <w:szCs w:val="20"/>
        </w:rPr>
        <w:t>Red Herring</w:t>
      </w:r>
      <w:r w:rsidRPr="00712F3C">
        <w:rPr>
          <w:rFonts w:ascii="Times New Roman" w:hAnsi="Times New Roman"/>
          <w:sz w:val="20"/>
          <w:szCs w:val="20"/>
        </w:rPr>
        <w:t xml:space="preserve"> Prospectus.</w:t>
      </w:r>
    </w:p>
    <w:p w14:paraId="5CFAC1D7" w14:textId="77777777" w:rsidR="00F8631B" w:rsidRPr="00712F3C" w:rsidRDefault="00F8631B" w:rsidP="00F8631B">
      <w:pPr>
        <w:spacing w:after="0" w:line="240" w:lineRule="auto"/>
        <w:jc w:val="both"/>
        <w:rPr>
          <w:rFonts w:ascii="Times New Roman" w:eastAsia="MS Mincho" w:hAnsi="Times New Roman"/>
          <w:b/>
          <w:color w:val="000000"/>
          <w:sz w:val="20"/>
          <w:szCs w:val="20"/>
          <w:lang w:val="en-GB"/>
        </w:rPr>
      </w:pPr>
    </w:p>
    <w:p w14:paraId="1AEB4653" w14:textId="77777777" w:rsidR="00F8631B" w:rsidRPr="00712F3C" w:rsidRDefault="00F8631B">
      <w:pPr>
        <w:numPr>
          <w:ilvl w:val="0"/>
          <w:numId w:val="163"/>
        </w:numPr>
        <w:spacing w:after="0" w:line="240" w:lineRule="auto"/>
        <w:rPr>
          <w:rFonts w:ascii="Times New Roman" w:hAnsi="Times New Roman"/>
          <w:b/>
          <w:bCs/>
          <w:sz w:val="20"/>
          <w:szCs w:val="20"/>
          <w:u w:val="single"/>
        </w:rPr>
      </w:pPr>
      <w:r w:rsidRPr="00712F3C">
        <w:rPr>
          <w:rFonts w:ascii="Times New Roman" w:hAnsi="Times New Roman"/>
          <w:b/>
          <w:bCs/>
          <w:sz w:val="20"/>
          <w:szCs w:val="20"/>
          <w:u w:val="single"/>
        </w:rPr>
        <w:t>SUMMARY OF RELATED PARTY TRANSACTIONS</w:t>
      </w:r>
    </w:p>
    <w:p w14:paraId="4EF5A33C" w14:textId="77777777" w:rsidR="00F8631B" w:rsidRPr="00712F3C" w:rsidRDefault="00F8631B" w:rsidP="00F8631B">
      <w:pPr>
        <w:spacing w:after="0" w:line="240" w:lineRule="auto"/>
        <w:jc w:val="both"/>
        <w:rPr>
          <w:rFonts w:ascii="Times New Roman" w:eastAsia="MS Mincho" w:hAnsi="Times New Roman"/>
          <w:b/>
          <w:color w:val="000000"/>
          <w:sz w:val="20"/>
          <w:szCs w:val="20"/>
          <w:lang w:val="en-GB"/>
        </w:rPr>
      </w:pPr>
    </w:p>
    <w:p w14:paraId="408420C5" w14:textId="0F1FB89F" w:rsidR="00F8631B" w:rsidRPr="00712F3C" w:rsidRDefault="00F8631B" w:rsidP="00F8631B">
      <w:pPr>
        <w:spacing w:after="0" w:line="240" w:lineRule="auto"/>
        <w:jc w:val="both"/>
        <w:rPr>
          <w:rFonts w:ascii="Times New Roman" w:eastAsia="MS Mincho" w:hAnsi="Times New Roman"/>
          <w:color w:val="000000"/>
          <w:sz w:val="20"/>
          <w:szCs w:val="20"/>
          <w:lang w:val="en-GB"/>
        </w:rPr>
      </w:pPr>
      <w:r w:rsidRPr="00712F3C">
        <w:rPr>
          <w:rFonts w:ascii="Times New Roman" w:eastAsia="MS Mincho" w:hAnsi="Times New Roman"/>
          <w:color w:val="000000"/>
          <w:sz w:val="20"/>
          <w:szCs w:val="20"/>
          <w:lang w:val="en-GB"/>
        </w:rPr>
        <w:t>Following is the summary of the related party transactions entered by the Company (based on Restated Financial Statements) for the financial year ended on March 31, 202</w:t>
      </w:r>
      <w:r w:rsidR="00377CEB">
        <w:rPr>
          <w:rFonts w:ascii="Times New Roman" w:eastAsia="MS Mincho" w:hAnsi="Times New Roman"/>
          <w:color w:val="000000"/>
          <w:sz w:val="20"/>
          <w:szCs w:val="20"/>
          <w:lang w:val="en-GB"/>
        </w:rPr>
        <w:t>3</w:t>
      </w:r>
      <w:r w:rsidRPr="00712F3C">
        <w:rPr>
          <w:rFonts w:ascii="Times New Roman" w:eastAsia="MS Mincho" w:hAnsi="Times New Roman"/>
          <w:color w:val="000000"/>
          <w:sz w:val="20"/>
          <w:szCs w:val="20"/>
          <w:lang w:val="en-GB"/>
        </w:rPr>
        <w:t>, March 31, 202</w:t>
      </w:r>
      <w:r w:rsidR="00377CEB">
        <w:rPr>
          <w:rFonts w:ascii="Times New Roman" w:eastAsia="MS Mincho" w:hAnsi="Times New Roman"/>
          <w:color w:val="000000"/>
          <w:sz w:val="20"/>
          <w:szCs w:val="20"/>
          <w:lang w:val="en-GB"/>
        </w:rPr>
        <w:t xml:space="preserve">2 </w:t>
      </w:r>
      <w:r w:rsidRPr="00712F3C">
        <w:rPr>
          <w:rFonts w:ascii="Times New Roman" w:eastAsia="MS Mincho" w:hAnsi="Times New Roman"/>
          <w:color w:val="000000"/>
          <w:sz w:val="20"/>
          <w:szCs w:val="20"/>
          <w:lang w:val="en-GB"/>
        </w:rPr>
        <w:t>and March 31, 202</w:t>
      </w:r>
      <w:r w:rsidR="00377CEB">
        <w:rPr>
          <w:rFonts w:ascii="Times New Roman" w:eastAsia="MS Mincho" w:hAnsi="Times New Roman"/>
          <w:color w:val="000000"/>
          <w:sz w:val="20"/>
          <w:szCs w:val="20"/>
          <w:lang w:val="en-GB"/>
        </w:rPr>
        <w:t>1</w:t>
      </w:r>
      <w:r w:rsidRPr="00712F3C">
        <w:rPr>
          <w:rFonts w:ascii="Times New Roman" w:eastAsia="MS Mincho" w:hAnsi="Times New Roman"/>
          <w:color w:val="000000"/>
          <w:sz w:val="20"/>
          <w:szCs w:val="20"/>
          <w:lang w:val="en-GB"/>
        </w:rPr>
        <w:t>:</w:t>
      </w:r>
    </w:p>
    <w:p w14:paraId="27E9F597" w14:textId="77777777" w:rsidR="00F8631B" w:rsidRDefault="00F8631B" w:rsidP="00F8631B">
      <w:pPr>
        <w:spacing w:after="0" w:line="240" w:lineRule="auto"/>
        <w:jc w:val="both"/>
        <w:rPr>
          <w:rFonts w:ascii="Times New Roman" w:eastAsia="MS Mincho" w:hAnsi="Times New Roman"/>
          <w:color w:val="000000"/>
          <w:sz w:val="20"/>
          <w:szCs w:val="20"/>
          <w:lang w:val="en-GB"/>
        </w:rPr>
      </w:pPr>
    </w:p>
    <w:p w14:paraId="49DA3169" w14:textId="77777777" w:rsidR="00377CEB" w:rsidRPr="005B12AE" w:rsidRDefault="00377CEB" w:rsidP="00377CEB">
      <w:pPr>
        <w:spacing w:after="0"/>
        <w:rPr>
          <w:rFonts w:ascii="Times New Roman" w:hAnsi="Times New Roman"/>
          <w:b/>
          <w:bCs/>
          <w:color w:val="000000"/>
          <w:sz w:val="20"/>
          <w:szCs w:val="20"/>
        </w:rPr>
      </w:pPr>
      <w:r w:rsidRPr="005B12AE">
        <w:rPr>
          <w:rFonts w:ascii="Times New Roman" w:hAnsi="Times New Roman"/>
          <w:b/>
          <w:bCs/>
          <w:color w:val="000000"/>
          <w:sz w:val="20"/>
          <w:szCs w:val="20"/>
        </w:rPr>
        <w:t>A. RELATED PARTY DISCLOSURE</w:t>
      </w:r>
    </w:p>
    <w:p w14:paraId="52A66E12" w14:textId="77777777" w:rsidR="00377CEB" w:rsidRPr="005B12AE" w:rsidRDefault="00377CEB" w:rsidP="00377CEB">
      <w:pPr>
        <w:spacing w:after="0"/>
        <w:rPr>
          <w:rFonts w:ascii="Times New Roman" w:hAnsi="Times New Roman"/>
          <w:b/>
          <w:bCs/>
          <w:color w:val="000000"/>
          <w:sz w:val="20"/>
          <w:szCs w:val="20"/>
        </w:rPr>
      </w:pPr>
      <w:r w:rsidRPr="005B12AE">
        <w:rPr>
          <w:rFonts w:ascii="Times New Roman" w:hAnsi="Times New Roman"/>
          <w:b/>
          <w:bCs/>
          <w:color w:val="000000"/>
          <w:sz w:val="20"/>
          <w:szCs w:val="20"/>
        </w:rPr>
        <w:t>(a) List of Related parties</w:t>
      </w:r>
    </w:p>
    <w:p w14:paraId="55D99C14" w14:textId="77777777" w:rsidR="00377CEB" w:rsidRPr="005B12AE" w:rsidRDefault="00377CEB" w:rsidP="00377CEB">
      <w:pPr>
        <w:spacing w:after="0"/>
        <w:rPr>
          <w:rFonts w:ascii="Times New Roman" w:hAnsi="Times New Roman"/>
          <w:b/>
          <w:bCs/>
          <w:color w:val="000000"/>
          <w:sz w:val="20"/>
          <w:szCs w:val="20"/>
        </w:rPr>
      </w:pPr>
    </w:p>
    <w:p w14:paraId="1845888E" w14:textId="77777777" w:rsidR="00377CEB" w:rsidRPr="005B12AE" w:rsidRDefault="00377CEB" w:rsidP="00377CEB">
      <w:pPr>
        <w:spacing w:after="0"/>
        <w:rPr>
          <w:rFonts w:ascii="Times New Roman" w:hAnsi="Times New Roman"/>
          <w:sz w:val="20"/>
          <w:szCs w:val="20"/>
        </w:rPr>
      </w:pPr>
      <w:r w:rsidRPr="005B12AE">
        <w:rPr>
          <w:rFonts w:ascii="Times New Roman" w:hAnsi="Times New Roman"/>
          <w:color w:val="000000"/>
          <w:sz w:val="20"/>
          <w:szCs w:val="20"/>
        </w:rPr>
        <w:t>Names of the related parties with whom transactions were carried out during the years and description of relationship: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4038"/>
        <w:gridCol w:w="5492"/>
      </w:tblGrid>
      <w:tr w:rsidR="00377CEB" w:rsidRPr="005B12AE" w14:paraId="536A89B7" w14:textId="77777777" w:rsidTr="00250DAC">
        <w:trPr>
          <w:trHeight w:val="20"/>
        </w:trPr>
        <w:tc>
          <w:tcPr>
            <w:tcW w:w="443" w:type="pct"/>
            <w:shd w:val="clear" w:color="auto" w:fill="D0CECE" w:themeFill="background2" w:themeFillShade="E6"/>
            <w:vAlign w:val="center"/>
            <w:hideMark/>
          </w:tcPr>
          <w:p w14:paraId="3E946888" w14:textId="77777777" w:rsidR="00377CEB" w:rsidRPr="005B12AE" w:rsidRDefault="00377CEB" w:rsidP="00250DAC">
            <w:pPr>
              <w:spacing w:after="0" w:line="240" w:lineRule="auto"/>
              <w:jc w:val="center"/>
              <w:rPr>
                <w:rFonts w:ascii="Times New Roman" w:hAnsi="Times New Roman"/>
                <w:b/>
                <w:bCs/>
                <w:color w:val="222222"/>
                <w:sz w:val="20"/>
                <w:szCs w:val="20"/>
              </w:rPr>
            </w:pPr>
            <w:r w:rsidRPr="005B12AE">
              <w:rPr>
                <w:rFonts w:ascii="Times New Roman" w:hAnsi="Times New Roman"/>
                <w:b/>
                <w:bCs/>
                <w:color w:val="222222"/>
                <w:sz w:val="20"/>
                <w:szCs w:val="20"/>
              </w:rPr>
              <w:t>Sr. No.</w:t>
            </w:r>
          </w:p>
        </w:tc>
        <w:tc>
          <w:tcPr>
            <w:tcW w:w="1931" w:type="pct"/>
            <w:shd w:val="clear" w:color="auto" w:fill="D0CECE" w:themeFill="background2" w:themeFillShade="E6"/>
            <w:vAlign w:val="center"/>
            <w:hideMark/>
          </w:tcPr>
          <w:p w14:paraId="5E7B050B" w14:textId="77777777" w:rsidR="00377CEB" w:rsidRPr="005B12AE" w:rsidRDefault="00377CEB" w:rsidP="00250DAC">
            <w:pPr>
              <w:spacing w:after="0" w:line="240" w:lineRule="auto"/>
              <w:jc w:val="center"/>
              <w:rPr>
                <w:rFonts w:ascii="Times New Roman" w:hAnsi="Times New Roman"/>
                <w:b/>
                <w:bCs/>
                <w:color w:val="222222"/>
                <w:sz w:val="20"/>
                <w:szCs w:val="20"/>
              </w:rPr>
            </w:pPr>
            <w:r w:rsidRPr="005B12AE">
              <w:rPr>
                <w:rFonts w:ascii="Times New Roman" w:hAnsi="Times New Roman"/>
                <w:b/>
                <w:bCs/>
                <w:color w:val="222222"/>
                <w:sz w:val="20"/>
                <w:szCs w:val="20"/>
              </w:rPr>
              <w:t>Name of the Person/ Entity</w:t>
            </w:r>
          </w:p>
        </w:tc>
        <w:tc>
          <w:tcPr>
            <w:tcW w:w="2626" w:type="pct"/>
            <w:shd w:val="clear" w:color="auto" w:fill="D0CECE" w:themeFill="background2" w:themeFillShade="E6"/>
            <w:noWrap/>
            <w:vAlign w:val="center"/>
            <w:hideMark/>
          </w:tcPr>
          <w:p w14:paraId="307D5675" w14:textId="77777777" w:rsidR="00377CEB" w:rsidRPr="005B12AE" w:rsidRDefault="00377CEB" w:rsidP="00250DAC">
            <w:pPr>
              <w:spacing w:after="0" w:line="240" w:lineRule="auto"/>
              <w:jc w:val="center"/>
              <w:rPr>
                <w:rFonts w:ascii="Times New Roman" w:hAnsi="Times New Roman"/>
                <w:b/>
                <w:bCs/>
                <w:color w:val="222222"/>
                <w:sz w:val="20"/>
                <w:szCs w:val="20"/>
              </w:rPr>
            </w:pPr>
            <w:r w:rsidRPr="005B12AE">
              <w:rPr>
                <w:rFonts w:ascii="Times New Roman" w:hAnsi="Times New Roman"/>
                <w:b/>
                <w:bCs/>
                <w:color w:val="222222"/>
                <w:sz w:val="20"/>
                <w:szCs w:val="20"/>
              </w:rPr>
              <w:t>Relation</w:t>
            </w:r>
          </w:p>
        </w:tc>
      </w:tr>
      <w:tr w:rsidR="00377CEB" w:rsidRPr="005B12AE" w14:paraId="46268D1B" w14:textId="77777777" w:rsidTr="00250DAC">
        <w:trPr>
          <w:trHeight w:val="20"/>
        </w:trPr>
        <w:tc>
          <w:tcPr>
            <w:tcW w:w="443" w:type="pct"/>
            <w:shd w:val="clear" w:color="auto" w:fill="auto"/>
            <w:vAlign w:val="center"/>
            <w:hideMark/>
          </w:tcPr>
          <w:p w14:paraId="393208B3" w14:textId="77777777" w:rsidR="00377CEB" w:rsidRPr="005B12AE" w:rsidRDefault="00377CEB" w:rsidP="00250DAC">
            <w:pPr>
              <w:spacing w:after="0" w:line="240" w:lineRule="auto"/>
              <w:jc w:val="center"/>
              <w:rPr>
                <w:rFonts w:ascii="Times New Roman" w:hAnsi="Times New Roman"/>
                <w:color w:val="222222"/>
                <w:sz w:val="20"/>
                <w:szCs w:val="20"/>
              </w:rPr>
            </w:pPr>
            <w:r w:rsidRPr="005B12AE">
              <w:rPr>
                <w:rFonts w:ascii="Times New Roman" w:hAnsi="Times New Roman"/>
                <w:color w:val="222222"/>
                <w:sz w:val="20"/>
                <w:szCs w:val="20"/>
              </w:rPr>
              <w:t>1</w:t>
            </w:r>
          </w:p>
        </w:tc>
        <w:tc>
          <w:tcPr>
            <w:tcW w:w="1931" w:type="pct"/>
            <w:shd w:val="clear" w:color="auto" w:fill="auto"/>
            <w:hideMark/>
          </w:tcPr>
          <w:p w14:paraId="4F847EFD" w14:textId="77777777" w:rsidR="00377CEB" w:rsidRPr="005B12AE" w:rsidRDefault="00377CEB" w:rsidP="00250DAC">
            <w:pPr>
              <w:spacing w:after="0" w:line="240" w:lineRule="auto"/>
              <w:jc w:val="both"/>
              <w:rPr>
                <w:rFonts w:ascii="Times New Roman" w:hAnsi="Times New Roman"/>
                <w:sz w:val="20"/>
                <w:szCs w:val="20"/>
              </w:rPr>
            </w:pPr>
            <w:r w:rsidRPr="005B12AE">
              <w:rPr>
                <w:rFonts w:ascii="Times New Roman" w:hAnsi="Times New Roman"/>
                <w:sz w:val="20"/>
                <w:szCs w:val="20"/>
              </w:rPr>
              <w:t>Ramgopal Maheshwari</w:t>
            </w:r>
          </w:p>
        </w:tc>
        <w:tc>
          <w:tcPr>
            <w:tcW w:w="2626" w:type="pct"/>
            <w:shd w:val="clear" w:color="auto" w:fill="auto"/>
            <w:vAlign w:val="center"/>
            <w:hideMark/>
          </w:tcPr>
          <w:p w14:paraId="29088016" w14:textId="77777777" w:rsidR="00377CEB" w:rsidRPr="005B12AE" w:rsidRDefault="00377CEB" w:rsidP="00250DAC">
            <w:pPr>
              <w:spacing w:after="0" w:line="240" w:lineRule="auto"/>
              <w:jc w:val="both"/>
              <w:rPr>
                <w:rFonts w:ascii="Times New Roman" w:hAnsi="Times New Roman"/>
                <w:color w:val="222222"/>
                <w:sz w:val="20"/>
                <w:szCs w:val="20"/>
              </w:rPr>
            </w:pPr>
            <w:r w:rsidRPr="005B12AE">
              <w:rPr>
                <w:rFonts w:ascii="Times New Roman" w:hAnsi="Times New Roman"/>
                <w:color w:val="222222"/>
                <w:sz w:val="20"/>
                <w:szCs w:val="20"/>
              </w:rPr>
              <w:t>Director &amp; Key Managerial Personnel</w:t>
            </w:r>
          </w:p>
        </w:tc>
      </w:tr>
      <w:tr w:rsidR="00377CEB" w:rsidRPr="005B12AE" w14:paraId="0464C4D4" w14:textId="77777777" w:rsidTr="00250DAC">
        <w:trPr>
          <w:trHeight w:val="20"/>
        </w:trPr>
        <w:tc>
          <w:tcPr>
            <w:tcW w:w="443" w:type="pct"/>
            <w:shd w:val="clear" w:color="auto" w:fill="auto"/>
            <w:vAlign w:val="center"/>
            <w:hideMark/>
          </w:tcPr>
          <w:p w14:paraId="500018BA" w14:textId="77777777" w:rsidR="00377CEB" w:rsidRPr="005B12AE" w:rsidRDefault="00377CEB" w:rsidP="00250DAC">
            <w:pPr>
              <w:spacing w:after="0" w:line="240" w:lineRule="auto"/>
              <w:jc w:val="center"/>
              <w:rPr>
                <w:rFonts w:ascii="Times New Roman" w:hAnsi="Times New Roman"/>
                <w:color w:val="222222"/>
                <w:sz w:val="20"/>
                <w:szCs w:val="20"/>
              </w:rPr>
            </w:pPr>
            <w:r w:rsidRPr="005B12AE">
              <w:rPr>
                <w:rFonts w:ascii="Times New Roman" w:hAnsi="Times New Roman"/>
                <w:color w:val="222222"/>
                <w:sz w:val="20"/>
                <w:szCs w:val="20"/>
              </w:rPr>
              <w:t>2</w:t>
            </w:r>
          </w:p>
        </w:tc>
        <w:tc>
          <w:tcPr>
            <w:tcW w:w="1931" w:type="pct"/>
            <w:shd w:val="clear" w:color="auto" w:fill="auto"/>
            <w:hideMark/>
          </w:tcPr>
          <w:p w14:paraId="2EC18232" w14:textId="77777777" w:rsidR="00377CEB" w:rsidRPr="005B12AE" w:rsidRDefault="00377CEB" w:rsidP="00250DAC">
            <w:pPr>
              <w:spacing w:after="0" w:line="240" w:lineRule="auto"/>
              <w:jc w:val="both"/>
              <w:rPr>
                <w:rFonts w:ascii="Times New Roman" w:hAnsi="Times New Roman"/>
                <w:sz w:val="20"/>
                <w:szCs w:val="20"/>
              </w:rPr>
            </w:pPr>
            <w:r w:rsidRPr="005B12AE">
              <w:rPr>
                <w:rFonts w:ascii="Times New Roman" w:hAnsi="Times New Roman"/>
                <w:sz w:val="20"/>
                <w:szCs w:val="20"/>
              </w:rPr>
              <w:t>Bhavesh Ramgopal Maheshwari</w:t>
            </w:r>
          </w:p>
        </w:tc>
        <w:tc>
          <w:tcPr>
            <w:tcW w:w="2626" w:type="pct"/>
            <w:shd w:val="clear" w:color="auto" w:fill="auto"/>
            <w:vAlign w:val="center"/>
            <w:hideMark/>
          </w:tcPr>
          <w:p w14:paraId="50AC7DD9" w14:textId="77777777" w:rsidR="00377CEB" w:rsidRPr="005B12AE" w:rsidRDefault="00377CEB" w:rsidP="00250DAC">
            <w:pPr>
              <w:spacing w:after="0" w:line="240" w:lineRule="auto"/>
              <w:jc w:val="both"/>
              <w:rPr>
                <w:rFonts w:ascii="Times New Roman" w:hAnsi="Times New Roman"/>
                <w:color w:val="222222"/>
                <w:sz w:val="20"/>
                <w:szCs w:val="20"/>
              </w:rPr>
            </w:pPr>
            <w:r w:rsidRPr="005B12AE">
              <w:rPr>
                <w:rFonts w:ascii="Times New Roman" w:hAnsi="Times New Roman"/>
                <w:color w:val="222222"/>
                <w:sz w:val="20"/>
                <w:szCs w:val="20"/>
              </w:rPr>
              <w:t>Director &amp; Key Managerial Personnel</w:t>
            </w:r>
          </w:p>
        </w:tc>
      </w:tr>
      <w:tr w:rsidR="00377CEB" w:rsidRPr="005B12AE" w14:paraId="32918E19" w14:textId="77777777" w:rsidTr="00250DAC">
        <w:trPr>
          <w:trHeight w:val="20"/>
        </w:trPr>
        <w:tc>
          <w:tcPr>
            <w:tcW w:w="443" w:type="pct"/>
            <w:shd w:val="clear" w:color="auto" w:fill="auto"/>
            <w:vAlign w:val="center"/>
            <w:hideMark/>
          </w:tcPr>
          <w:p w14:paraId="28DFA813" w14:textId="77777777" w:rsidR="00377CEB" w:rsidRPr="005B12AE" w:rsidRDefault="00377CEB" w:rsidP="00250DAC">
            <w:pPr>
              <w:spacing w:after="0" w:line="240" w:lineRule="auto"/>
              <w:jc w:val="center"/>
              <w:rPr>
                <w:rFonts w:ascii="Times New Roman" w:hAnsi="Times New Roman"/>
                <w:color w:val="222222"/>
                <w:sz w:val="20"/>
                <w:szCs w:val="20"/>
              </w:rPr>
            </w:pPr>
            <w:r w:rsidRPr="005B12AE">
              <w:rPr>
                <w:rFonts w:ascii="Times New Roman" w:hAnsi="Times New Roman"/>
                <w:color w:val="222222"/>
                <w:sz w:val="20"/>
                <w:szCs w:val="20"/>
              </w:rPr>
              <w:t>3</w:t>
            </w:r>
          </w:p>
        </w:tc>
        <w:tc>
          <w:tcPr>
            <w:tcW w:w="1931" w:type="pct"/>
            <w:shd w:val="clear" w:color="auto" w:fill="auto"/>
            <w:hideMark/>
          </w:tcPr>
          <w:p w14:paraId="273F9714" w14:textId="77777777" w:rsidR="00377CEB" w:rsidRPr="005B12AE" w:rsidRDefault="00377CEB" w:rsidP="00250DAC">
            <w:pPr>
              <w:spacing w:after="0" w:line="240" w:lineRule="auto"/>
              <w:jc w:val="both"/>
              <w:rPr>
                <w:rFonts w:ascii="Times New Roman" w:hAnsi="Times New Roman"/>
                <w:sz w:val="20"/>
                <w:szCs w:val="20"/>
              </w:rPr>
            </w:pPr>
            <w:r w:rsidRPr="005B12AE">
              <w:rPr>
                <w:rFonts w:ascii="Times New Roman" w:hAnsi="Times New Roman"/>
                <w:sz w:val="20"/>
                <w:szCs w:val="20"/>
              </w:rPr>
              <w:t>Madhu Ramgopal Maheshwari</w:t>
            </w:r>
          </w:p>
        </w:tc>
        <w:tc>
          <w:tcPr>
            <w:tcW w:w="2626" w:type="pct"/>
            <w:shd w:val="clear" w:color="auto" w:fill="auto"/>
            <w:vAlign w:val="center"/>
            <w:hideMark/>
          </w:tcPr>
          <w:p w14:paraId="4D939A41" w14:textId="77777777" w:rsidR="00377CEB" w:rsidRPr="005B12AE" w:rsidRDefault="00377CEB" w:rsidP="00250DAC">
            <w:pPr>
              <w:spacing w:after="0" w:line="240" w:lineRule="auto"/>
              <w:jc w:val="both"/>
              <w:rPr>
                <w:rFonts w:ascii="Times New Roman" w:hAnsi="Times New Roman"/>
                <w:color w:val="222222"/>
                <w:sz w:val="20"/>
                <w:szCs w:val="20"/>
              </w:rPr>
            </w:pPr>
            <w:r w:rsidRPr="005B12AE">
              <w:rPr>
                <w:rFonts w:ascii="Times New Roman" w:hAnsi="Times New Roman"/>
                <w:color w:val="222222"/>
                <w:sz w:val="20"/>
                <w:szCs w:val="20"/>
              </w:rPr>
              <w:t>Director &amp; Key Managerial Personnel</w:t>
            </w:r>
          </w:p>
        </w:tc>
      </w:tr>
      <w:tr w:rsidR="00377CEB" w:rsidRPr="005B12AE" w14:paraId="5AE75B48" w14:textId="77777777" w:rsidTr="00250DAC">
        <w:trPr>
          <w:trHeight w:val="20"/>
        </w:trPr>
        <w:tc>
          <w:tcPr>
            <w:tcW w:w="443" w:type="pct"/>
            <w:shd w:val="clear" w:color="auto" w:fill="auto"/>
            <w:vAlign w:val="center"/>
            <w:hideMark/>
          </w:tcPr>
          <w:p w14:paraId="150530CC" w14:textId="77777777" w:rsidR="00377CEB" w:rsidRPr="005B12AE" w:rsidRDefault="00377CEB" w:rsidP="00250DAC">
            <w:pPr>
              <w:spacing w:after="0" w:line="240" w:lineRule="auto"/>
              <w:jc w:val="center"/>
              <w:rPr>
                <w:rFonts w:ascii="Times New Roman" w:hAnsi="Times New Roman"/>
                <w:color w:val="222222"/>
                <w:sz w:val="20"/>
                <w:szCs w:val="20"/>
              </w:rPr>
            </w:pPr>
            <w:r w:rsidRPr="005B12AE">
              <w:rPr>
                <w:rFonts w:ascii="Times New Roman" w:hAnsi="Times New Roman"/>
                <w:color w:val="222222"/>
                <w:sz w:val="20"/>
                <w:szCs w:val="20"/>
              </w:rPr>
              <w:t>4</w:t>
            </w:r>
          </w:p>
        </w:tc>
        <w:tc>
          <w:tcPr>
            <w:tcW w:w="1931" w:type="pct"/>
            <w:shd w:val="clear" w:color="auto" w:fill="auto"/>
            <w:hideMark/>
          </w:tcPr>
          <w:p w14:paraId="032DC22D" w14:textId="77777777" w:rsidR="00377CEB" w:rsidRPr="005B12AE" w:rsidRDefault="00377CEB" w:rsidP="00250DAC">
            <w:pPr>
              <w:spacing w:after="0" w:line="240" w:lineRule="auto"/>
              <w:jc w:val="both"/>
              <w:rPr>
                <w:rFonts w:ascii="Times New Roman" w:hAnsi="Times New Roman"/>
                <w:sz w:val="20"/>
                <w:szCs w:val="20"/>
              </w:rPr>
            </w:pPr>
            <w:r w:rsidRPr="005B12AE">
              <w:rPr>
                <w:rFonts w:ascii="Times New Roman" w:hAnsi="Times New Roman"/>
                <w:sz w:val="20"/>
                <w:szCs w:val="20"/>
              </w:rPr>
              <w:t>Nikunj Inani</w:t>
            </w:r>
          </w:p>
        </w:tc>
        <w:tc>
          <w:tcPr>
            <w:tcW w:w="2626" w:type="pct"/>
            <w:shd w:val="clear" w:color="auto" w:fill="auto"/>
            <w:vAlign w:val="center"/>
            <w:hideMark/>
          </w:tcPr>
          <w:p w14:paraId="0D7EF771" w14:textId="77777777" w:rsidR="00377CEB" w:rsidRPr="005B12AE" w:rsidRDefault="00377CEB" w:rsidP="00250DAC">
            <w:pPr>
              <w:spacing w:after="0" w:line="240" w:lineRule="auto"/>
              <w:jc w:val="both"/>
              <w:rPr>
                <w:rFonts w:ascii="Times New Roman" w:hAnsi="Times New Roman"/>
                <w:color w:val="222222"/>
                <w:sz w:val="20"/>
                <w:szCs w:val="20"/>
              </w:rPr>
            </w:pPr>
            <w:r w:rsidRPr="005B12AE">
              <w:rPr>
                <w:rFonts w:ascii="Times New Roman" w:hAnsi="Times New Roman"/>
                <w:color w:val="222222"/>
                <w:sz w:val="20"/>
                <w:szCs w:val="20"/>
              </w:rPr>
              <w:t>Director &amp; Key Managerial Personnel (ceased to be director w.e.f. 17-06-2021)</w:t>
            </w:r>
          </w:p>
        </w:tc>
      </w:tr>
      <w:tr w:rsidR="00377CEB" w:rsidRPr="005B12AE" w14:paraId="37E9ABD6" w14:textId="77777777" w:rsidTr="00250DAC">
        <w:trPr>
          <w:trHeight w:val="20"/>
        </w:trPr>
        <w:tc>
          <w:tcPr>
            <w:tcW w:w="443" w:type="pct"/>
            <w:shd w:val="clear" w:color="auto" w:fill="auto"/>
            <w:vAlign w:val="center"/>
            <w:hideMark/>
          </w:tcPr>
          <w:p w14:paraId="78A5B098" w14:textId="77777777" w:rsidR="00377CEB" w:rsidRPr="005B12AE" w:rsidRDefault="00377CEB" w:rsidP="00250DAC">
            <w:pPr>
              <w:spacing w:after="0" w:line="240" w:lineRule="auto"/>
              <w:jc w:val="center"/>
              <w:rPr>
                <w:rFonts w:ascii="Times New Roman" w:hAnsi="Times New Roman"/>
                <w:color w:val="222222"/>
                <w:sz w:val="20"/>
                <w:szCs w:val="20"/>
              </w:rPr>
            </w:pPr>
            <w:r w:rsidRPr="005B12AE">
              <w:rPr>
                <w:rFonts w:ascii="Times New Roman" w:hAnsi="Times New Roman"/>
                <w:color w:val="222222"/>
                <w:sz w:val="20"/>
                <w:szCs w:val="20"/>
              </w:rPr>
              <w:t>5</w:t>
            </w:r>
          </w:p>
        </w:tc>
        <w:tc>
          <w:tcPr>
            <w:tcW w:w="1931" w:type="pct"/>
            <w:shd w:val="clear" w:color="auto" w:fill="auto"/>
            <w:hideMark/>
          </w:tcPr>
          <w:p w14:paraId="0774B673" w14:textId="77777777" w:rsidR="00377CEB" w:rsidRPr="005B12AE" w:rsidRDefault="00377CEB" w:rsidP="00250DAC">
            <w:pPr>
              <w:spacing w:after="0" w:line="240" w:lineRule="auto"/>
              <w:jc w:val="both"/>
              <w:rPr>
                <w:rFonts w:ascii="Times New Roman" w:hAnsi="Times New Roman"/>
                <w:sz w:val="20"/>
                <w:szCs w:val="20"/>
              </w:rPr>
            </w:pPr>
            <w:r w:rsidRPr="005B12AE">
              <w:rPr>
                <w:rFonts w:ascii="Times New Roman" w:hAnsi="Times New Roman"/>
                <w:sz w:val="20"/>
                <w:szCs w:val="20"/>
              </w:rPr>
              <w:t>Megha Bhavesh Maheshwari</w:t>
            </w:r>
          </w:p>
        </w:tc>
        <w:tc>
          <w:tcPr>
            <w:tcW w:w="2626" w:type="pct"/>
            <w:shd w:val="clear" w:color="auto" w:fill="auto"/>
            <w:hideMark/>
          </w:tcPr>
          <w:p w14:paraId="23881DBD" w14:textId="77777777" w:rsidR="00377CEB" w:rsidRPr="005B12AE" w:rsidRDefault="00377CEB" w:rsidP="00250DAC">
            <w:pPr>
              <w:spacing w:after="0" w:line="240" w:lineRule="auto"/>
              <w:jc w:val="both"/>
              <w:rPr>
                <w:rFonts w:ascii="Times New Roman" w:hAnsi="Times New Roman"/>
                <w:sz w:val="20"/>
                <w:szCs w:val="20"/>
              </w:rPr>
            </w:pPr>
            <w:r w:rsidRPr="005B12AE">
              <w:rPr>
                <w:rFonts w:ascii="Times New Roman" w:hAnsi="Times New Roman"/>
                <w:sz w:val="20"/>
                <w:szCs w:val="20"/>
              </w:rPr>
              <w:t>Wife of Director</w:t>
            </w:r>
          </w:p>
        </w:tc>
      </w:tr>
      <w:tr w:rsidR="00377CEB" w:rsidRPr="005B12AE" w14:paraId="671B7598" w14:textId="77777777" w:rsidTr="00250DAC">
        <w:trPr>
          <w:trHeight w:val="20"/>
        </w:trPr>
        <w:tc>
          <w:tcPr>
            <w:tcW w:w="443" w:type="pct"/>
            <w:shd w:val="clear" w:color="auto" w:fill="auto"/>
            <w:vAlign w:val="center"/>
            <w:hideMark/>
          </w:tcPr>
          <w:p w14:paraId="1A71F1DC" w14:textId="77777777" w:rsidR="00377CEB" w:rsidRPr="005B12AE" w:rsidRDefault="00377CEB" w:rsidP="00250DAC">
            <w:pPr>
              <w:spacing w:after="0" w:line="240" w:lineRule="auto"/>
              <w:jc w:val="center"/>
              <w:rPr>
                <w:rFonts w:ascii="Times New Roman" w:hAnsi="Times New Roman"/>
                <w:color w:val="222222"/>
                <w:sz w:val="20"/>
                <w:szCs w:val="20"/>
              </w:rPr>
            </w:pPr>
            <w:r w:rsidRPr="005B12AE">
              <w:rPr>
                <w:rFonts w:ascii="Times New Roman" w:hAnsi="Times New Roman"/>
                <w:color w:val="222222"/>
                <w:sz w:val="20"/>
                <w:szCs w:val="20"/>
              </w:rPr>
              <w:t>6</w:t>
            </w:r>
          </w:p>
        </w:tc>
        <w:tc>
          <w:tcPr>
            <w:tcW w:w="1931" w:type="pct"/>
            <w:shd w:val="clear" w:color="auto" w:fill="auto"/>
            <w:hideMark/>
          </w:tcPr>
          <w:p w14:paraId="2058327B" w14:textId="77777777" w:rsidR="00377CEB" w:rsidRPr="005B12AE" w:rsidRDefault="00377CEB" w:rsidP="00250DAC">
            <w:pPr>
              <w:spacing w:after="0" w:line="240" w:lineRule="auto"/>
              <w:jc w:val="both"/>
              <w:rPr>
                <w:rFonts w:ascii="Times New Roman" w:hAnsi="Times New Roman"/>
                <w:sz w:val="20"/>
                <w:szCs w:val="20"/>
              </w:rPr>
            </w:pPr>
            <w:r w:rsidRPr="005B12AE">
              <w:rPr>
                <w:rFonts w:ascii="Times New Roman" w:hAnsi="Times New Roman"/>
                <w:sz w:val="20"/>
                <w:szCs w:val="20"/>
              </w:rPr>
              <w:t>Dwarkadhish Venture Private Limited (formerly known as Siyaram Metals Private Limited)</w:t>
            </w:r>
          </w:p>
        </w:tc>
        <w:tc>
          <w:tcPr>
            <w:tcW w:w="2626" w:type="pct"/>
            <w:shd w:val="clear" w:color="auto" w:fill="auto"/>
            <w:hideMark/>
          </w:tcPr>
          <w:p w14:paraId="72955CF1" w14:textId="77777777" w:rsidR="00377CEB" w:rsidRPr="005B12AE" w:rsidRDefault="00377CEB" w:rsidP="00250DAC">
            <w:pPr>
              <w:spacing w:after="0" w:line="240" w:lineRule="auto"/>
              <w:jc w:val="both"/>
              <w:rPr>
                <w:rFonts w:ascii="Times New Roman" w:hAnsi="Times New Roman"/>
                <w:sz w:val="20"/>
                <w:szCs w:val="20"/>
              </w:rPr>
            </w:pPr>
            <w:r w:rsidRPr="005B12AE">
              <w:rPr>
                <w:rFonts w:ascii="Times New Roman" w:hAnsi="Times New Roman"/>
                <w:sz w:val="20"/>
                <w:szCs w:val="20"/>
              </w:rPr>
              <w:t>Holding company</w:t>
            </w:r>
          </w:p>
        </w:tc>
      </w:tr>
      <w:tr w:rsidR="00377CEB" w:rsidRPr="005B12AE" w14:paraId="2272BE69" w14:textId="77777777" w:rsidTr="00250DAC">
        <w:trPr>
          <w:trHeight w:val="20"/>
        </w:trPr>
        <w:tc>
          <w:tcPr>
            <w:tcW w:w="443" w:type="pct"/>
            <w:shd w:val="clear" w:color="auto" w:fill="auto"/>
            <w:vAlign w:val="center"/>
            <w:hideMark/>
          </w:tcPr>
          <w:p w14:paraId="237B45BA" w14:textId="77777777" w:rsidR="00377CEB" w:rsidRPr="005B12AE" w:rsidRDefault="00377CEB" w:rsidP="00250DAC">
            <w:pPr>
              <w:spacing w:after="0" w:line="240" w:lineRule="auto"/>
              <w:jc w:val="center"/>
              <w:rPr>
                <w:rFonts w:ascii="Times New Roman" w:hAnsi="Times New Roman"/>
                <w:color w:val="222222"/>
                <w:sz w:val="20"/>
                <w:szCs w:val="20"/>
              </w:rPr>
            </w:pPr>
            <w:r w:rsidRPr="005B12AE">
              <w:rPr>
                <w:rFonts w:ascii="Times New Roman" w:hAnsi="Times New Roman"/>
                <w:color w:val="222222"/>
                <w:sz w:val="20"/>
                <w:szCs w:val="20"/>
              </w:rPr>
              <w:t>7</w:t>
            </w:r>
          </w:p>
        </w:tc>
        <w:tc>
          <w:tcPr>
            <w:tcW w:w="1931" w:type="pct"/>
            <w:shd w:val="clear" w:color="auto" w:fill="auto"/>
            <w:noWrap/>
            <w:vAlign w:val="bottom"/>
            <w:hideMark/>
          </w:tcPr>
          <w:p w14:paraId="4B2EAD90" w14:textId="77777777" w:rsidR="00377CEB" w:rsidRPr="005B12AE" w:rsidRDefault="00377CEB" w:rsidP="00250DAC">
            <w:pPr>
              <w:spacing w:after="0" w:line="240" w:lineRule="auto"/>
              <w:jc w:val="both"/>
              <w:rPr>
                <w:rFonts w:ascii="Times New Roman" w:hAnsi="Times New Roman"/>
                <w:sz w:val="20"/>
                <w:szCs w:val="20"/>
              </w:rPr>
            </w:pPr>
            <w:r w:rsidRPr="005B12AE">
              <w:rPr>
                <w:rFonts w:ascii="Times New Roman" w:hAnsi="Times New Roman"/>
                <w:sz w:val="20"/>
                <w:szCs w:val="20"/>
              </w:rPr>
              <w:t>Gurukrupa Metals</w:t>
            </w:r>
          </w:p>
        </w:tc>
        <w:tc>
          <w:tcPr>
            <w:tcW w:w="2626" w:type="pct"/>
            <w:shd w:val="clear" w:color="auto" w:fill="auto"/>
            <w:vAlign w:val="center"/>
            <w:hideMark/>
          </w:tcPr>
          <w:p w14:paraId="58C5419B" w14:textId="77777777" w:rsidR="00377CEB" w:rsidRPr="005B12AE" w:rsidRDefault="00377CEB" w:rsidP="00250DAC">
            <w:pPr>
              <w:spacing w:after="0" w:line="240" w:lineRule="auto"/>
              <w:jc w:val="both"/>
              <w:rPr>
                <w:rFonts w:ascii="Times New Roman" w:hAnsi="Times New Roman"/>
                <w:color w:val="222222"/>
                <w:sz w:val="20"/>
                <w:szCs w:val="20"/>
              </w:rPr>
            </w:pPr>
            <w:r w:rsidRPr="005B12AE">
              <w:rPr>
                <w:rFonts w:ascii="Times New Roman" w:hAnsi="Times New Roman"/>
                <w:color w:val="222222"/>
                <w:sz w:val="20"/>
                <w:szCs w:val="20"/>
              </w:rPr>
              <w:t>Enterprise under Influence of Key Managerial Personnel</w:t>
            </w:r>
          </w:p>
        </w:tc>
      </w:tr>
      <w:tr w:rsidR="00377CEB" w:rsidRPr="005B12AE" w14:paraId="42322109" w14:textId="77777777" w:rsidTr="00250DAC">
        <w:trPr>
          <w:trHeight w:val="20"/>
        </w:trPr>
        <w:tc>
          <w:tcPr>
            <w:tcW w:w="443" w:type="pct"/>
            <w:shd w:val="clear" w:color="auto" w:fill="auto"/>
            <w:vAlign w:val="center"/>
            <w:hideMark/>
          </w:tcPr>
          <w:p w14:paraId="26FF9996" w14:textId="77777777" w:rsidR="00377CEB" w:rsidRPr="005B12AE" w:rsidRDefault="00377CEB" w:rsidP="00250DAC">
            <w:pPr>
              <w:spacing w:after="0" w:line="240" w:lineRule="auto"/>
              <w:jc w:val="center"/>
              <w:rPr>
                <w:rFonts w:ascii="Times New Roman" w:hAnsi="Times New Roman"/>
                <w:color w:val="222222"/>
                <w:sz w:val="20"/>
                <w:szCs w:val="20"/>
              </w:rPr>
            </w:pPr>
            <w:r w:rsidRPr="005B12AE">
              <w:rPr>
                <w:rFonts w:ascii="Times New Roman" w:hAnsi="Times New Roman"/>
                <w:color w:val="222222"/>
                <w:sz w:val="20"/>
                <w:szCs w:val="20"/>
              </w:rPr>
              <w:t>8</w:t>
            </w:r>
          </w:p>
        </w:tc>
        <w:tc>
          <w:tcPr>
            <w:tcW w:w="1931" w:type="pct"/>
            <w:shd w:val="clear" w:color="auto" w:fill="auto"/>
            <w:noWrap/>
            <w:vAlign w:val="bottom"/>
            <w:hideMark/>
          </w:tcPr>
          <w:p w14:paraId="36B3E85C" w14:textId="77777777" w:rsidR="00377CEB" w:rsidRPr="005B12AE" w:rsidRDefault="00377CEB" w:rsidP="00250DAC">
            <w:pPr>
              <w:spacing w:after="0" w:line="240" w:lineRule="auto"/>
              <w:jc w:val="both"/>
              <w:rPr>
                <w:rFonts w:ascii="Times New Roman" w:hAnsi="Times New Roman"/>
                <w:sz w:val="20"/>
                <w:szCs w:val="20"/>
              </w:rPr>
            </w:pPr>
            <w:r w:rsidRPr="005B12AE">
              <w:rPr>
                <w:rFonts w:ascii="Times New Roman" w:hAnsi="Times New Roman"/>
                <w:sz w:val="20"/>
                <w:szCs w:val="20"/>
              </w:rPr>
              <w:t>Dwarkesh Alloys Pvt Ltd</w:t>
            </w:r>
          </w:p>
        </w:tc>
        <w:tc>
          <w:tcPr>
            <w:tcW w:w="2626" w:type="pct"/>
            <w:shd w:val="clear" w:color="auto" w:fill="auto"/>
            <w:vAlign w:val="center"/>
            <w:hideMark/>
          </w:tcPr>
          <w:p w14:paraId="2EE5D53C" w14:textId="77777777" w:rsidR="00377CEB" w:rsidRPr="005B12AE" w:rsidRDefault="00377CEB" w:rsidP="00250DAC">
            <w:pPr>
              <w:spacing w:after="0" w:line="240" w:lineRule="auto"/>
              <w:jc w:val="both"/>
              <w:rPr>
                <w:rFonts w:ascii="Times New Roman" w:hAnsi="Times New Roman"/>
                <w:color w:val="222222"/>
                <w:sz w:val="20"/>
                <w:szCs w:val="20"/>
              </w:rPr>
            </w:pPr>
            <w:r w:rsidRPr="005B12AE">
              <w:rPr>
                <w:rFonts w:ascii="Times New Roman" w:hAnsi="Times New Roman"/>
                <w:color w:val="222222"/>
                <w:sz w:val="20"/>
                <w:szCs w:val="20"/>
              </w:rPr>
              <w:t>Enterprise under Influence of Key Managerial Personnel</w:t>
            </w:r>
          </w:p>
        </w:tc>
      </w:tr>
      <w:tr w:rsidR="00377CEB" w:rsidRPr="005B12AE" w14:paraId="66151F89" w14:textId="77777777" w:rsidTr="00250DAC">
        <w:trPr>
          <w:trHeight w:val="20"/>
        </w:trPr>
        <w:tc>
          <w:tcPr>
            <w:tcW w:w="443" w:type="pct"/>
            <w:shd w:val="clear" w:color="auto" w:fill="auto"/>
            <w:vAlign w:val="center"/>
            <w:hideMark/>
          </w:tcPr>
          <w:p w14:paraId="182A1FA1" w14:textId="77777777" w:rsidR="00377CEB" w:rsidRPr="005B12AE" w:rsidRDefault="00377CEB" w:rsidP="00250DAC">
            <w:pPr>
              <w:spacing w:after="0" w:line="240" w:lineRule="auto"/>
              <w:jc w:val="center"/>
              <w:rPr>
                <w:rFonts w:ascii="Times New Roman" w:hAnsi="Times New Roman"/>
                <w:color w:val="222222"/>
                <w:sz w:val="20"/>
                <w:szCs w:val="20"/>
              </w:rPr>
            </w:pPr>
            <w:r w:rsidRPr="005B12AE">
              <w:rPr>
                <w:rFonts w:ascii="Times New Roman" w:hAnsi="Times New Roman"/>
                <w:color w:val="222222"/>
                <w:sz w:val="20"/>
                <w:szCs w:val="20"/>
              </w:rPr>
              <w:t>9</w:t>
            </w:r>
          </w:p>
        </w:tc>
        <w:tc>
          <w:tcPr>
            <w:tcW w:w="1931" w:type="pct"/>
            <w:shd w:val="clear" w:color="auto" w:fill="auto"/>
            <w:noWrap/>
            <w:vAlign w:val="bottom"/>
            <w:hideMark/>
          </w:tcPr>
          <w:p w14:paraId="230C104C" w14:textId="77777777" w:rsidR="00377CEB" w:rsidRPr="005B12AE" w:rsidRDefault="00377CEB" w:rsidP="00250DAC">
            <w:pPr>
              <w:spacing w:after="0" w:line="240" w:lineRule="auto"/>
              <w:jc w:val="both"/>
              <w:rPr>
                <w:rFonts w:ascii="Times New Roman" w:hAnsi="Times New Roman"/>
                <w:sz w:val="20"/>
                <w:szCs w:val="20"/>
              </w:rPr>
            </w:pPr>
            <w:r w:rsidRPr="005B12AE">
              <w:rPr>
                <w:rFonts w:ascii="Times New Roman" w:hAnsi="Times New Roman"/>
                <w:sz w:val="20"/>
                <w:szCs w:val="20"/>
              </w:rPr>
              <w:t>Simpex Overseas Pvt Ltd</w:t>
            </w:r>
          </w:p>
        </w:tc>
        <w:tc>
          <w:tcPr>
            <w:tcW w:w="2626" w:type="pct"/>
            <w:shd w:val="clear" w:color="auto" w:fill="auto"/>
            <w:vAlign w:val="center"/>
            <w:hideMark/>
          </w:tcPr>
          <w:p w14:paraId="20D9FEEA" w14:textId="77777777" w:rsidR="00377CEB" w:rsidRPr="005B12AE" w:rsidRDefault="00377CEB" w:rsidP="00250DAC">
            <w:pPr>
              <w:spacing w:after="0" w:line="240" w:lineRule="auto"/>
              <w:jc w:val="both"/>
              <w:rPr>
                <w:rFonts w:ascii="Times New Roman" w:hAnsi="Times New Roman"/>
                <w:color w:val="222222"/>
                <w:sz w:val="20"/>
                <w:szCs w:val="20"/>
              </w:rPr>
            </w:pPr>
            <w:r w:rsidRPr="005B12AE">
              <w:rPr>
                <w:rFonts w:ascii="Times New Roman" w:hAnsi="Times New Roman"/>
                <w:color w:val="222222"/>
                <w:sz w:val="20"/>
                <w:szCs w:val="20"/>
              </w:rPr>
              <w:t>Enterprise under Influence of Key Managerial Personnel</w:t>
            </w:r>
          </w:p>
        </w:tc>
      </w:tr>
      <w:tr w:rsidR="00377CEB" w:rsidRPr="005B12AE" w14:paraId="62C6289E" w14:textId="77777777" w:rsidTr="00250DAC">
        <w:trPr>
          <w:trHeight w:val="20"/>
        </w:trPr>
        <w:tc>
          <w:tcPr>
            <w:tcW w:w="443" w:type="pct"/>
            <w:shd w:val="clear" w:color="auto" w:fill="auto"/>
            <w:vAlign w:val="center"/>
            <w:hideMark/>
          </w:tcPr>
          <w:p w14:paraId="5367C461" w14:textId="77777777" w:rsidR="00377CEB" w:rsidRPr="005B12AE" w:rsidRDefault="00377CEB" w:rsidP="00250DAC">
            <w:pPr>
              <w:spacing w:after="0" w:line="240" w:lineRule="auto"/>
              <w:jc w:val="center"/>
              <w:rPr>
                <w:rFonts w:ascii="Times New Roman" w:hAnsi="Times New Roman"/>
                <w:color w:val="222222"/>
                <w:sz w:val="20"/>
                <w:szCs w:val="20"/>
              </w:rPr>
            </w:pPr>
            <w:r w:rsidRPr="005B12AE">
              <w:rPr>
                <w:rFonts w:ascii="Times New Roman" w:hAnsi="Times New Roman"/>
                <w:color w:val="222222"/>
                <w:sz w:val="20"/>
                <w:szCs w:val="20"/>
              </w:rPr>
              <w:t>10</w:t>
            </w:r>
          </w:p>
        </w:tc>
        <w:tc>
          <w:tcPr>
            <w:tcW w:w="1931" w:type="pct"/>
            <w:shd w:val="clear" w:color="auto" w:fill="auto"/>
            <w:noWrap/>
            <w:vAlign w:val="bottom"/>
            <w:hideMark/>
          </w:tcPr>
          <w:p w14:paraId="4EE58F82" w14:textId="77777777" w:rsidR="00377CEB" w:rsidRPr="005B12AE" w:rsidRDefault="00377CEB" w:rsidP="00250DAC">
            <w:pPr>
              <w:spacing w:after="0" w:line="240" w:lineRule="auto"/>
              <w:jc w:val="both"/>
              <w:rPr>
                <w:rFonts w:ascii="Times New Roman" w:hAnsi="Times New Roman"/>
                <w:sz w:val="20"/>
                <w:szCs w:val="20"/>
              </w:rPr>
            </w:pPr>
            <w:r w:rsidRPr="005B12AE">
              <w:rPr>
                <w:rFonts w:ascii="Times New Roman" w:hAnsi="Times New Roman"/>
                <w:sz w:val="20"/>
                <w:szCs w:val="20"/>
              </w:rPr>
              <w:t>Apex Devcon Pvt Ltd</w:t>
            </w:r>
          </w:p>
        </w:tc>
        <w:tc>
          <w:tcPr>
            <w:tcW w:w="2626" w:type="pct"/>
            <w:shd w:val="clear" w:color="auto" w:fill="auto"/>
            <w:vAlign w:val="center"/>
            <w:hideMark/>
          </w:tcPr>
          <w:p w14:paraId="57BF5900" w14:textId="77777777" w:rsidR="00377CEB" w:rsidRPr="005B12AE" w:rsidRDefault="00377CEB" w:rsidP="00250DAC">
            <w:pPr>
              <w:spacing w:after="0" w:line="240" w:lineRule="auto"/>
              <w:jc w:val="both"/>
              <w:rPr>
                <w:rFonts w:ascii="Times New Roman" w:hAnsi="Times New Roman"/>
                <w:color w:val="222222"/>
                <w:sz w:val="20"/>
                <w:szCs w:val="20"/>
              </w:rPr>
            </w:pPr>
            <w:r w:rsidRPr="005B12AE">
              <w:rPr>
                <w:rFonts w:ascii="Times New Roman" w:hAnsi="Times New Roman"/>
                <w:color w:val="222222"/>
                <w:sz w:val="20"/>
                <w:szCs w:val="20"/>
              </w:rPr>
              <w:t>Enterprise under Influence of Key Managerial Personnel</w:t>
            </w:r>
          </w:p>
        </w:tc>
      </w:tr>
    </w:tbl>
    <w:p w14:paraId="67112A82" w14:textId="77777777" w:rsidR="00377CEB" w:rsidRPr="005B12AE" w:rsidRDefault="00377CEB" w:rsidP="00377CEB">
      <w:pPr>
        <w:spacing w:after="0"/>
        <w:ind w:left="270" w:hanging="270"/>
        <w:jc w:val="both"/>
        <w:rPr>
          <w:rFonts w:ascii="Times New Roman" w:hAnsi="Times New Roman"/>
          <w:b/>
          <w:bCs/>
          <w:sz w:val="20"/>
          <w:szCs w:val="20"/>
        </w:rPr>
      </w:pPr>
    </w:p>
    <w:p w14:paraId="1898B9C3" w14:textId="77777777" w:rsidR="00377CEB" w:rsidRPr="005B12AE" w:rsidRDefault="00377CEB" w:rsidP="00377CEB">
      <w:pPr>
        <w:spacing w:after="0"/>
        <w:rPr>
          <w:rFonts w:ascii="Times New Roman" w:hAnsi="Times New Roman"/>
          <w:b/>
          <w:bCs/>
          <w:color w:val="000000"/>
          <w:sz w:val="20"/>
          <w:szCs w:val="20"/>
        </w:rPr>
      </w:pPr>
      <w:r w:rsidRPr="005B12AE">
        <w:rPr>
          <w:rFonts w:ascii="Times New Roman" w:hAnsi="Times New Roman"/>
          <w:b/>
          <w:bCs/>
          <w:color w:val="000000"/>
          <w:sz w:val="20"/>
          <w:szCs w:val="20"/>
        </w:rPr>
        <w:t>B. RELATED PARTY TRANSACTIONS</w:t>
      </w:r>
    </w:p>
    <w:p w14:paraId="361B1CF8" w14:textId="77777777" w:rsidR="00377CEB" w:rsidRPr="005B12AE" w:rsidRDefault="00377CEB" w:rsidP="00377CEB">
      <w:pPr>
        <w:spacing w:after="0"/>
        <w:jc w:val="right"/>
        <w:rPr>
          <w:rFonts w:ascii="Times New Roman" w:hAnsi="Times New Roman"/>
          <w:b/>
          <w:bCs/>
          <w:sz w:val="20"/>
          <w:szCs w:val="20"/>
        </w:rPr>
      </w:pPr>
      <w:r w:rsidRPr="005B12AE">
        <w:rPr>
          <w:rFonts w:ascii="Times New Roman" w:hAnsi="Times New Roman"/>
          <w:b/>
          <w:bCs/>
          <w:sz w:val="20"/>
          <w:szCs w:val="20"/>
        </w:rPr>
        <w:lastRenderedPageBreak/>
        <w:t>(₹ in Lakhs)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2499"/>
        <w:gridCol w:w="2796"/>
        <w:gridCol w:w="1399"/>
        <w:gridCol w:w="1677"/>
        <w:gridCol w:w="1606"/>
      </w:tblGrid>
      <w:tr w:rsidR="00377CEB" w:rsidRPr="005B12AE" w14:paraId="4964BA83" w14:textId="77777777" w:rsidTr="00250DAC">
        <w:trPr>
          <w:trHeight w:val="20"/>
          <w:tblHeader/>
        </w:trPr>
        <w:tc>
          <w:tcPr>
            <w:tcW w:w="229" w:type="pct"/>
            <w:shd w:val="clear" w:color="auto" w:fill="D0CECE" w:themeFill="background2" w:themeFillShade="E6"/>
            <w:vAlign w:val="center"/>
            <w:hideMark/>
          </w:tcPr>
          <w:p w14:paraId="49333999" w14:textId="77777777" w:rsidR="00377CEB" w:rsidRPr="005B12AE" w:rsidRDefault="00377CEB"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Sr No</w:t>
            </w:r>
          </w:p>
        </w:tc>
        <w:tc>
          <w:tcPr>
            <w:tcW w:w="1195" w:type="pct"/>
            <w:shd w:val="clear" w:color="auto" w:fill="D0CECE" w:themeFill="background2" w:themeFillShade="E6"/>
            <w:vAlign w:val="center"/>
            <w:hideMark/>
          </w:tcPr>
          <w:p w14:paraId="4D3584D0" w14:textId="77777777" w:rsidR="00377CEB" w:rsidRPr="005B12AE" w:rsidRDefault="00377CEB" w:rsidP="00250DAC">
            <w:pPr>
              <w:spacing w:after="0" w:line="240" w:lineRule="auto"/>
              <w:rPr>
                <w:rFonts w:ascii="Times New Roman" w:hAnsi="Times New Roman"/>
                <w:b/>
                <w:bCs/>
                <w:color w:val="000000"/>
                <w:sz w:val="20"/>
                <w:szCs w:val="20"/>
              </w:rPr>
            </w:pPr>
            <w:r w:rsidRPr="005B12AE">
              <w:rPr>
                <w:rFonts w:ascii="Times New Roman" w:hAnsi="Times New Roman"/>
                <w:b/>
                <w:bCs/>
                <w:color w:val="000000"/>
                <w:sz w:val="20"/>
                <w:szCs w:val="20"/>
              </w:rPr>
              <w:t>Name of Party</w:t>
            </w:r>
          </w:p>
        </w:tc>
        <w:tc>
          <w:tcPr>
            <w:tcW w:w="1337" w:type="pct"/>
            <w:shd w:val="clear" w:color="auto" w:fill="D0CECE" w:themeFill="background2" w:themeFillShade="E6"/>
            <w:vAlign w:val="center"/>
            <w:hideMark/>
          </w:tcPr>
          <w:p w14:paraId="1934FE6D" w14:textId="77777777" w:rsidR="00377CEB" w:rsidRPr="005B12AE" w:rsidRDefault="00377CEB"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Nature of Transaction</w:t>
            </w:r>
          </w:p>
        </w:tc>
        <w:tc>
          <w:tcPr>
            <w:tcW w:w="669" w:type="pct"/>
            <w:shd w:val="clear" w:color="auto" w:fill="D0CECE" w:themeFill="background2" w:themeFillShade="E6"/>
            <w:hideMark/>
          </w:tcPr>
          <w:p w14:paraId="21114D6D" w14:textId="77777777" w:rsidR="00377CEB" w:rsidRPr="005B12AE" w:rsidRDefault="00377CEB"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As on 31</w:t>
            </w:r>
            <w:r w:rsidRPr="005B12AE">
              <w:rPr>
                <w:rFonts w:ascii="Times New Roman" w:hAnsi="Times New Roman"/>
                <w:b/>
                <w:bCs/>
                <w:color w:val="000000"/>
                <w:sz w:val="20"/>
                <w:szCs w:val="20"/>
                <w:vertAlign w:val="superscript"/>
              </w:rPr>
              <w:t>st</w:t>
            </w:r>
            <w:r w:rsidRPr="005B12AE">
              <w:rPr>
                <w:rFonts w:ascii="Times New Roman" w:hAnsi="Times New Roman"/>
                <w:b/>
                <w:bCs/>
                <w:color w:val="000000"/>
                <w:sz w:val="20"/>
                <w:szCs w:val="20"/>
              </w:rPr>
              <w:t xml:space="preserve"> March, 2023</w:t>
            </w:r>
          </w:p>
        </w:tc>
        <w:tc>
          <w:tcPr>
            <w:tcW w:w="802" w:type="pct"/>
            <w:shd w:val="clear" w:color="auto" w:fill="D0CECE" w:themeFill="background2" w:themeFillShade="E6"/>
            <w:hideMark/>
          </w:tcPr>
          <w:p w14:paraId="2FD4206C" w14:textId="77777777" w:rsidR="00377CEB" w:rsidRPr="005B12AE" w:rsidRDefault="00377CEB"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As on 31</w:t>
            </w:r>
            <w:r w:rsidRPr="005B12AE">
              <w:rPr>
                <w:rFonts w:ascii="Times New Roman" w:hAnsi="Times New Roman"/>
                <w:b/>
                <w:bCs/>
                <w:color w:val="000000"/>
                <w:sz w:val="20"/>
                <w:szCs w:val="20"/>
                <w:vertAlign w:val="superscript"/>
              </w:rPr>
              <w:t>st</w:t>
            </w:r>
            <w:r w:rsidRPr="005B12AE">
              <w:rPr>
                <w:rFonts w:ascii="Times New Roman" w:hAnsi="Times New Roman"/>
                <w:b/>
                <w:bCs/>
                <w:color w:val="000000"/>
                <w:sz w:val="20"/>
                <w:szCs w:val="20"/>
              </w:rPr>
              <w:t xml:space="preserve"> March, 2022</w:t>
            </w:r>
          </w:p>
        </w:tc>
        <w:tc>
          <w:tcPr>
            <w:tcW w:w="768" w:type="pct"/>
            <w:shd w:val="clear" w:color="auto" w:fill="D0CECE" w:themeFill="background2" w:themeFillShade="E6"/>
            <w:hideMark/>
          </w:tcPr>
          <w:p w14:paraId="77EC9032" w14:textId="77777777" w:rsidR="00377CEB" w:rsidRPr="005B12AE" w:rsidRDefault="00377CEB"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As on 31</w:t>
            </w:r>
            <w:r w:rsidRPr="005B12AE">
              <w:rPr>
                <w:rFonts w:ascii="Times New Roman" w:hAnsi="Times New Roman"/>
                <w:b/>
                <w:bCs/>
                <w:color w:val="000000"/>
                <w:sz w:val="20"/>
                <w:szCs w:val="20"/>
                <w:vertAlign w:val="superscript"/>
              </w:rPr>
              <w:t>st</w:t>
            </w:r>
            <w:r w:rsidRPr="005B12AE">
              <w:rPr>
                <w:rFonts w:ascii="Times New Roman" w:hAnsi="Times New Roman"/>
                <w:b/>
                <w:bCs/>
                <w:color w:val="000000"/>
                <w:sz w:val="20"/>
                <w:szCs w:val="20"/>
              </w:rPr>
              <w:t xml:space="preserve"> March, 2021</w:t>
            </w:r>
          </w:p>
        </w:tc>
      </w:tr>
      <w:tr w:rsidR="00377CEB" w:rsidRPr="005B12AE" w14:paraId="71F12668" w14:textId="77777777" w:rsidTr="00250DAC">
        <w:trPr>
          <w:trHeight w:val="20"/>
        </w:trPr>
        <w:tc>
          <w:tcPr>
            <w:tcW w:w="229" w:type="pct"/>
            <w:vMerge w:val="restart"/>
            <w:shd w:val="clear" w:color="auto" w:fill="auto"/>
            <w:vAlign w:val="center"/>
            <w:hideMark/>
          </w:tcPr>
          <w:p w14:paraId="3854003E"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1</w:t>
            </w:r>
          </w:p>
          <w:p w14:paraId="099A1D66"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p w14:paraId="7866817B"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p w14:paraId="0F824B11"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p w14:paraId="14867690"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p w14:paraId="057F2C50"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tc>
        <w:tc>
          <w:tcPr>
            <w:tcW w:w="1195" w:type="pct"/>
            <w:vMerge w:val="restart"/>
            <w:shd w:val="clear" w:color="auto" w:fill="auto"/>
            <w:hideMark/>
          </w:tcPr>
          <w:p w14:paraId="7AD39CCD"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Ramgopal Maheshwari</w:t>
            </w:r>
          </w:p>
        </w:tc>
        <w:tc>
          <w:tcPr>
            <w:tcW w:w="1337" w:type="pct"/>
            <w:shd w:val="clear" w:color="auto" w:fill="auto"/>
            <w:vAlign w:val="center"/>
            <w:hideMark/>
          </w:tcPr>
          <w:p w14:paraId="233356F7" w14:textId="77777777" w:rsidR="00377CEB" w:rsidRPr="005B12AE" w:rsidRDefault="00377CEB"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t>Opening Balance</w:t>
            </w:r>
          </w:p>
        </w:tc>
        <w:tc>
          <w:tcPr>
            <w:tcW w:w="669" w:type="pct"/>
            <w:shd w:val="clear" w:color="auto" w:fill="auto"/>
            <w:noWrap/>
            <w:vAlign w:val="bottom"/>
            <w:hideMark/>
          </w:tcPr>
          <w:p w14:paraId="039C0A31"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167.14</w:t>
            </w:r>
          </w:p>
        </w:tc>
        <w:tc>
          <w:tcPr>
            <w:tcW w:w="802" w:type="pct"/>
            <w:shd w:val="clear" w:color="auto" w:fill="auto"/>
            <w:noWrap/>
            <w:vAlign w:val="bottom"/>
            <w:hideMark/>
          </w:tcPr>
          <w:p w14:paraId="143F9FB8"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181.02</w:t>
            </w:r>
          </w:p>
        </w:tc>
        <w:tc>
          <w:tcPr>
            <w:tcW w:w="768" w:type="pct"/>
            <w:shd w:val="clear" w:color="auto" w:fill="auto"/>
            <w:noWrap/>
            <w:vAlign w:val="bottom"/>
            <w:hideMark/>
          </w:tcPr>
          <w:p w14:paraId="67DF05DF"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633.90</w:t>
            </w:r>
          </w:p>
        </w:tc>
      </w:tr>
      <w:tr w:rsidR="00377CEB" w:rsidRPr="005B12AE" w14:paraId="72AA3317" w14:textId="77777777" w:rsidTr="00250DAC">
        <w:trPr>
          <w:trHeight w:val="20"/>
        </w:trPr>
        <w:tc>
          <w:tcPr>
            <w:tcW w:w="229" w:type="pct"/>
            <w:vMerge/>
            <w:shd w:val="clear" w:color="auto" w:fill="auto"/>
            <w:noWrap/>
            <w:vAlign w:val="bottom"/>
            <w:hideMark/>
          </w:tcPr>
          <w:p w14:paraId="4B5B6149" w14:textId="77777777" w:rsidR="00377CEB" w:rsidRPr="005B12AE" w:rsidRDefault="00377CEB" w:rsidP="00250DAC">
            <w:pPr>
              <w:spacing w:after="0" w:line="240" w:lineRule="auto"/>
              <w:jc w:val="center"/>
              <w:rPr>
                <w:rFonts w:ascii="Times New Roman" w:hAnsi="Times New Roman"/>
                <w:sz w:val="20"/>
                <w:szCs w:val="20"/>
              </w:rPr>
            </w:pPr>
          </w:p>
        </w:tc>
        <w:tc>
          <w:tcPr>
            <w:tcW w:w="1195" w:type="pct"/>
            <w:vMerge/>
            <w:shd w:val="clear" w:color="auto" w:fill="auto"/>
            <w:noWrap/>
            <w:vAlign w:val="bottom"/>
            <w:hideMark/>
          </w:tcPr>
          <w:p w14:paraId="0BB010F4" w14:textId="77777777" w:rsidR="00377CEB" w:rsidRPr="005B12AE" w:rsidRDefault="00377CEB" w:rsidP="00250DAC">
            <w:pPr>
              <w:spacing w:after="0" w:line="240" w:lineRule="auto"/>
              <w:rPr>
                <w:rFonts w:ascii="Times New Roman" w:hAnsi="Times New Roman"/>
                <w:sz w:val="20"/>
                <w:szCs w:val="20"/>
              </w:rPr>
            </w:pPr>
          </w:p>
        </w:tc>
        <w:tc>
          <w:tcPr>
            <w:tcW w:w="1337" w:type="pct"/>
            <w:shd w:val="clear" w:color="auto" w:fill="auto"/>
            <w:vAlign w:val="center"/>
            <w:hideMark/>
          </w:tcPr>
          <w:p w14:paraId="7C871589" w14:textId="77777777" w:rsidR="00377CEB" w:rsidRPr="005B12AE" w:rsidRDefault="00377CEB"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t xml:space="preserve">Director Remuneration </w:t>
            </w:r>
          </w:p>
        </w:tc>
        <w:tc>
          <w:tcPr>
            <w:tcW w:w="669" w:type="pct"/>
            <w:shd w:val="clear" w:color="auto" w:fill="auto"/>
            <w:noWrap/>
            <w:vAlign w:val="bottom"/>
            <w:hideMark/>
          </w:tcPr>
          <w:p w14:paraId="6552321C"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42.00</w:t>
            </w:r>
          </w:p>
        </w:tc>
        <w:tc>
          <w:tcPr>
            <w:tcW w:w="802" w:type="pct"/>
            <w:shd w:val="clear" w:color="auto" w:fill="auto"/>
            <w:noWrap/>
            <w:vAlign w:val="bottom"/>
            <w:hideMark/>
          </w:tcPr>
          <w:p w14:paraId="1D595A6E"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40.00</w:t>
            </w:r>
          </w:p>
        </w:tc>
        <w:tc>
          <w:tcPr>
            <w:tcW w:w="768" w:type="pct"/>
            <w:shd w:val="clear" w:color="auto" w:fill="auto"/>
            <w:noWrap/>
            <w:vAlign w:val="bottom"/>
            <w:hideMark/>
          </w:tcPr>
          <w:p w14:paraId="07EEE3EA"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36.00</w:t>
            </w:r>
          </w:p>
        </w:tc>
      </w:tr>
      <w:tr w:rsidR="00377CEB" w:rsidRPr="005B12AE" w14:paraId="0C7C7AC5" w14:textId="77777777" w:rsidTr="00250DAC">
        <w:trPr>
          <w:trHeight w:val="20"/>
        </w:trPr>
        <w:tc>
          <w:tcPr>
            <w:tcW w:w="229" w:type="pct"/>
            <w:vMerge/>
            <w:shd w:val="clear" w:color="auto" w:fill="auto"/>
            <w:noWrap/>
            <w:vAlign w:val="bottom"/>
            <w:hideMark/>
          </w:tcPr>
          <w:p w14:paraId="0676E435" w14:textId="77777777" w:rsidR="00377CEB" w:rsidRPr="005B12AE" w:rsidRDefault="00377CEB" w:rsidP="00250DAC">
            <w:pPr>
              <w:spacing w:after="0" w:line="240" w:lineRule="auto"/>
              <w:jc w:val="center"/>
              <w:rPr>
                <w:rFonts w:ascii="Times New Roman" w:hAnsi="Times New Roman"/>
                <w:sz w:val="20"/>
                <w:szCs w:val="20"/>
              </w:rPr>
            </w:pPr>
          </w:p>
        </w:tc>
        <w:tc>
          <w:tcPr>
            <w:tcW w:w="1195" w:type="pct"/>
            <w:vMerge/>
            <w:shd w:val="clear" w:color="auto" w:fill="auto"/>
            <w:noWrap/>
            <w:vAlign w:val="bottom"/>
            <w:hideMark/>
          </w:tcPr>
          <w:p w14:paraId="1A1D79A2" w14:textId="77777777" w:rsidR="00377CEB" w:rsidRPr="005B12AE" w:rsidRDefault="00377CEB" w:rsidP="00250DAC">
            <w:pPr>
              <w:spacing w:after="0" w:line="240" w:lineRule="auto"/>
              <w:rPr>
                <w:rFonts w:ascii="Times New Roman" w:hAnsi="Times New Roman"/>
                <w:sz w:val="20"/>
                <w:szCs w:val="20"/>
              </w:rPr>
            </w:pPr>
          </w:p>
        </w:tc>
        <w:tc>
          <w:tcPr>
            <w:tcW w:w="1337" w:type="pct"/>
            <w:shd w:val="clear" w:color="auto" w:fill="auto"/>
            <w:vAlign w:val="center"/>
            <w:hideMark/>
          </w:tcPr>
          <w:p w14:paraId="77CFEE0D" w14:textId="77777777" w:rsidR="00377CEB" w:rsidRPr="005B12AE" w:rsidRDefault="00377CEB"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t>Rent Expense</w:t>
            </w:r>
          </w:p>
        </w:tc>
        <w:tc>
          <w:tcPr>
            <w:tcW w:w="669" w:type="pct"/>
            <w:shd w:val="clear" w:color="auto" w:fill="auto"/>
            <w:noWrap/>
            <w:vAlign w:val="bottom"/>
            <w:hideMark/>
          </w:tcPr>
          <w:p w14:paraId="7EEC5D62"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2.40</w:t>
            </w:r>
          </w:p>
        </w:tc>
        <w:tc>
          <w:tcPr>
            <w:tcW w:w="802" w:type="pct"/>
            <w:shd w:val="clear" w:color="auto" w:fill="auto"/>
            <w:noWrap/>
            <w:vAlign w:val="bottom"/>
            <w:hideMark/>
          </w:tcPr>
          <w:p w14:paraId="4CC771C3"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2.40</w:t>
            </w:r>
          </w:p>
        </w:tc>
        <w:tc>
          <w:tcPr>
            <w:tcW w:w="768" w:type="pct"/>
            <w:shd w:val="clear" w:color="auto" w:fill="auto"/>
            <w:noWrap/>
            <w:vAlign w:val="bottom"/>
            <w:hideMark/>
          </w:tcPr>
          <w:p w14:paraId="1A6414BE"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2.40</w:t>
            </w:r>
          </w:p>
        </w:tc>
      </w:tr>
      <w:tr w:rsidR="00377CEB" w:rsidRPr="005B12AE" w14:paraId="358CC293" w14:textId="77777777" w:rsidTr="00250DAC">
        <w:trPr>
          <w:trHeight w:val="20"/>
        </w:trPr>
        <w:tc>
          <w:tcPr>
            <w:tcW w:w="229" w:type="pct"/>
            <w:vMerge/>
            <w:shd w:val="clear" w:color="auto" w:fill="auto"/>
            <w:vAlign w:val="center"/>
            <w:hideMark/>
          </w:tcPr>
          <w:p w14:paraId="1E7E7E75" w14:textId="77777777" w:rsidR="00377CEB" w:rsidRPr="005B12AE" w:rsidRDefault="00377CEB" w:rsidP="00250DAC">
            <w:pPr>
              <w:spacing w:after="0" w:line="240" w:lineRule="auto"/>
              <w:jc w:val="center"/>
              <w:rPr>
                <w:rFonts w:ascii="Times New Roman" w:hAnsi="Times New Roman"/>
                <w:color w:val="000000"/>
                <w:sz w:val="20"/>
                <w:szCs w:val="20"/>
              </w:rPr>
            </w:pPr>
          </w:p>
        </w:tc>
        <w:tc>
          <w:tcPr>
            <w:tcW w:w="1195" w:type="pct"/>
            <w:vMerge/>
            <w:shd w:val="clear" w:color="auto" w:fill="auto"/>
            <w:hideMark/>
          </w:tcPr>
          <w:p w14:paraId="75C60C64" w14:textId="77777777" w:rsidR="00377CEB" w:rsidRPr="005B12AE" w:rsidRDefault="00377CEB" w:rsidP="00250DAC">
            <w:pPr>
              <w:spacing w:after="0" w:line="240" w:lineRule="auto"/>
              <w:rPr>
                <w:rFonts w:ascii="Times New Roman" w:hAnsi="Times New Roman"/>
                <w:sz w:val="20"/>
                <w:szCs w:val="20"/>
              </w:rPr>
            </w:pPr>
          </w:p>
        </w:tc>
        <w:tc>
          <w:tcPr>
            <w:tcW w:w="1337" w:type="pct"/>
            <w:shd w:val="clear" w:color="auto" w:fill="auto"/>
            <w:hideMark/>
          </w:tcPr>
          <w:p w14:paraId="49D659E1"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loan accepted</w:t>
            </w:r>
          </w:p>
        </w:tc>
        <w:tc>
          <w:tcPr>
            <w:tcW w:w="669" w:type="pct"/>
            <w:shd w:val="clear" w:color="auto" w:fill="auto"/>
            <w:noWrap/>
            <w:vAlign w:val="bottom"/>
            <w:hideMark/>
          </w:tcPr>
          <w:p w14:paraId="3F42E8D3"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165.66</w:t>
            </w:r>
          </w:p>
        </w:tc>
        <w:tc>
          <w:tcPr>
            <w:tcW w:w="802" w:type="pct"/>
            <w:shd w:val="clear" w:color="auto" w:fill="auto"/>
            <w:noWrap/>
            <w:vAlign w:val="bottom"/>
            <w:hideMark/>
          </w:tcPr>
          <w:p w14:paraId="04EAC990"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1,020.42</w:t>
            </w:r>
          </w:p>
        </w:tc>
        <w:tc>
          <w:tcPr>
            <w:tcW w:w="768" w:type="pct"/>
            <w:shd w:val="clear" w:color="auto" w:fill="auto"/>
            <w:noWrap/>
            <w:vAlign w:val="bottom"/>
            <w:hideMark/>
          </w:tcPr>
          <w:p w14:paraId="3E4343CC"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43.33</w:t>
            </w:r>
          </w:p>
        </w:tc>
      </w:tr>
      <w:tr w:rsidR="00377CEB" w:rsidRPr="005B12AE" w14:paraId="1BD9A799" w14:textId="77777777" w:rsidTr="00250DAC">
        <w:trPr>
          <w:trHeight w:val="20"/>
        </w:trPr>
        <w:tc>
          <w:tcPr>
            <w:tcW w:w="229" w:type="pct"/>
            <w:vMerge/>
            <w:shd w:val="clear" w:color="auto" w:fill="auto"/>
            <w:vAlign w:val="center"/>
            <w:hideMark/>
          </w:tcPr>
          <w:p w14:paraId="74115698" w14:textId="77777777" w:rsidR="00377CEB" w:rsidRPr="005B12AE" w:rsidRDefault="00377CEB" w:rsidP="00250DAC">
            <w:pPr>
              <w:spacing w:after="0" w:line="240" w:lineRule="auto"/>
              <w:jc w:val="center"/>
              <w:rPr>
                <w:rFonts w:ascii="Times New Roman" w:hAnsi="Times New Roman"/>
                <w:color w:val="000000"/>
                <w:sz w:val="20"/>
                <w:szCs w:val="20"/>
              </w:rPr>
            </w:pPr>
          </w:p>
        </w:tc>
        <w:tc>
          <w:tcPr>
            <w:tcW w:w="1195" w:type="pct"/>
            <w:vMerge/>
            <w:shd w:val="clear" w:color="auto" w:fill="auto"/>
            <w:hideMark/>
          </w:tcPr>
          <w:p w14:paraId="5833F336" w14:textId="77777777" w:rsidR="00377CEB" w:rsidRPr="005B12AE" w:rsidRDefault="00377CEB" w:rsidP="00250DAC">
            <w:pPr>
              <w:spacing w:after="0" w:line="240" w:lineRule="auto"/>
              <w:rPr>
                <w:rFonts w:ascii="Times New Roman" w:hAnsi="Times New Roman"/>
                <w:sz w:val="20"/>
                <w:szCs w:val="20"/>
              </w:rPr>
            </w:pPr>
          </w:p>
        </w:tc>
        <w:tc>
          <w:tcPr>
            <w:tcW w:w="1337" w:type="pct"/>
            <w:shd w:val="clear" w:color="auto" w:fill="auto"/>
            <w:hideMark/>
          </w:tcPr>
          <w:p w14:paraId="5C065155"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loan repaid/given</w:t>
            </w:r>
          </w:p>
        </w:tc>
        <w:tc>
          <w:tcPr>
            <w:tcW w:w="669" w:type="pct"/>
            <w:shd w:val="clear" w:color="auto" w:fill="auto"/>
            <w:noWrap/>
            <w:vAlign w:val="bottom"/>
            <w:hideMark/>
          </w:tcPr>
          <w:p w14:paraId="796B073D"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168.92</w:t>
            </w:r>
          </w:p>
        </w:tc>
        <w:tc>
          <w:tcPr>
            <w:tcW w:w="802" w:type="pct"/>
            <w:shd w:val="clear" w:color="auto" w:fill="auto"/>
            <w:noWrap/>
            <w:vAlign w:val="bottom"/>
            <w:hideMark/>
          </w:tcPr>
          <w:p w14:paraId="1A019571"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1,027.18</w:t>
            </w:r>
          </w:p>
        </w:tc>
        <w:tc>
          <w:tcPr>
            <w:tcW w:w="768" w:type="pct"/>
            <w:shd w:val="clear" w:color="auto" w:fill="auto"/>
            <w:noWrap/>
            <w:vAlign w:val="bottom"/>
            <w:hideMark/>
          </w:tcPr>
          <w:p w14:paraId="49CEC147"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496.21</w:t>
            </w:r>
          </w:p>
        </w:tc>
      </w:tr>
      <w:tr w:rsidR="00377CEB" w:rsidRPr="005B12AE" w14:paraId="4619B664" w14:textId="77777777" w:rsidTr="00250DAC">
        <w:trPr>
          <w:trHeight w:val="20"/>
        </w:trPr>
        <w:tc>
          <w:tcPr>
            <w:tcW w:w="229" w:type="pct"/>
            <w:vMerge/>
            <w:shd w:val="clear" w:color="auto" w:fill="auto"/>
            <w:vAlign w:val="center"/>
            <w:hideMark/>
          </w:tcPr>
          <w:p w14:paraId="07FF5427" w14:textId="77777777" w:rsidR="00377CEB" w:rsidRPr="005B12AE" w:rsidRDefault="00377CEB" w:rsidP="00250DAC">
            <w:pPr>
              <w:spacing w:after="0" w:line="240" w:lineRule="auto"/>
              <w:jc w:val="center"/>
              <w:rPr>
                <w:rFonts w:ascii="Times New Roman" w:hAnsi="Times New Roman"/>
                <w:color w:val="000000"/>
                <w:sz w:val="20"/>
                <w:szCs w:val="20"/>
              </w:rPr>
            </w:pPr>
          </w:p>
        </w:tc>
        <w:tc>
          <w:tcPr>
            <w:tcW w:w="1195" w:type="pct"/>
            <w:vMerge/>
            <w:shd w:val="clear" w:color="auto" w:fill="auto"/>
            <w:hideMark/>
          </w:tcPr>
          <w:p w14:paraId="694C1F27" w14:textId="77777777" w:rsidR="00377CEB" w:rsidRPr="005B12AE" w:rsidRDefault="00377CEB" w:rsidP="00250DAC">
            <w:pPr>
              <w:spacing w:after="0" w:line="240" w:lineRule="auto"/>
              <w:rPr>
                <w:rFonts w:ascii="Times New Roman" w:hAnsi="Times New Roman"/>
                <w:sz w:val="20"/>
                <w:szCs w:val="20"/>
              </w:rPr>
            </w:pPr>
          </w:p>
        </w:tc>
        <w:tc>
          <w:tcPr>
            <w:tcW w:w="1337" w:type="pct"/>
            <w:shd w:val="clear" w:color="auto" w:fill="auto"/>
            <w:hideMark/>
          </w:tcPr>
          <w:p w14:paraId="285403D8"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Rent &amp; Remuneration paid</w:t>
            </w:r>
          </w:p>
        </w:tc>
        <w:tc>
          <w:tcPr>
            <w:tcW w:w="669" w:type="pct"/>
            <w:shd w:val="clear" w:color="auto" w:fill="auto"/>
            <w:noWrap/>
            <w:vAlign w:val="bottom"/>
            <w:hideMark/>
          </w:tcPr>
          <w:p w14:paraId="3A2445CB"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37.27</w:t>
            </w:r>
          </w:p>
        </w:tc>
        <w:tc>
          <w:tcPr>
            <w:tcW w:w="802" w:type="pct"/>
            <w:shd w:val="clear" w:color="auto" w:fill="auto"/>
            <w:noWrap/>
            <w:vAlign w:val="bottom"/>
            <w:hideMark/>
          </w:tcPr>
          <w:p w14:paraId="1C964BCC"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49.52</w:t>
            </w:r>
          </w:p>
        </w:tc>
        <w:tc>
          <w:tcPr>
            <w:tcW w:w="768" w:type="pct"/>
            <w:shd w:val="clear" w:color="auto" w:fill="auto"/>
            <w:noWrap/>
            <w:vAlign w:val="bottom"/>
            <w:hideMark/>
          </w:tcPr>
          <w:p w14:paraId="4CE69CC9"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38.40</w:t>
            </w:r>
          </w:p>
        </w:tc>
      </w:tr>
      <w:tr w:rsidR="00377CEB" w:rsidRPr="005B12AE" w14:paraId="3885115A" w14:textId="77777777" w:rsidTr="00250DAC">
        <w:trPr>
          <w:trHeight w:val="20"/>
        </w:trPr>
        <w:tc>
          <w:tcPr>
            <w:tcW w:w="229" w:type="pct"/>
            <w:vMerge/>
            <w:shd w:val="clear" w:color="auto" w:fill="auto"/>
            <w:vAlign w:val="center"/>
            <w:hideMark/>
          </w:tcPr>
          <w:p w14:paraId="6376FF54" w14:textId="77777777" w:rsidR="00377CEB" w:rsidRPr="005B12AE" w:rsidRDefault="00377CEB" w:rsidP="00250DAC">
            <w:pPr>
              <w:spacing w:after="0" w:line="240" w:lineRule="auto"/>
              <w:jc w:val="center"/>
              <w:rPr>
                <w:rFonts w:ascii="Times New Roman" w:hAnsi="Times New Roman"/>
                <w:color w:val="000000"/>
                <w:sz w:val="20"/>
                <w:szCs w:val="20"/>
              </w:rPr>
            </w:pPr>
          </w:p>
        </w:tc>
        <w:tc>
          <w:tcPr>
            <w:tcW w:w="1195" w:type="pct"/>
            <w:vMerge/>
            <w:shd w:val="clear" w:color="auto" w:fill="auto"/>
            <w:hideMark/>
          </w:tcPr>
          <w:p w14:paraId="672E3405" w14:textId="77777777" w:rsidR="00377CEB" w:rsidRPr="005B12AE" w:rsidRDefault="00377CEB" w:rsidP="00250DAC">
            <w:pPr>
              <w:spacing w:after="0" w:line="240" w:lineRule="auto"/>
              <w:rPr>
                <w:rFonts w:ascii="Times New Roman" w:hAnsi="Times New Roman"/>
                <w:sz w:val="20"/>
                <w:szCs w:val="20"/>
              </w:rPr>
            </w:pPr>
          </w:p>
        </w:tc>
        <w:tc>
          <w:tcPr>
            <w:tcW w:w="1337" w:type="pct"/>
            <w:shd w:val="clear" w:color="auto" w:fill="auto"/>
            <w:hideMark/>
          </w:tcPr>
          <w:p w14:paraId="728EA357"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Closing Balance</w:t>
            </w:r>
          </w:p>
        </w:tc>
        <w:tc>
          <w:tcPr>
            <w:tcW w:w="669" w:type="pct"/>
            <w:shd w:val="clear" w:color="auto" w:fill="auto"/>
            <w:noWrap/>
            <w:vAlign w:val="bottom"/>
            <w:hideMark/>
          </w:tcPr>
          <w:p w14:paraId="651D46A6"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171.01</w:t>
            </w:r>
          </w:p>
        </w:tc>
        <w:tc>
          <w:tcPr>
            <w:tcW w:w="802" w:type="pct"/>
            <w:shd w:val="clear" w:color="auto" w:fill="auto"/>
            <w:noWrap/>
            <w:vAlign w:val="bottom"/>
            <w:hideMark/>
          </w:tcPr>
          <w:p w14:paraId="2F2C4CDC"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167.14</w:t>
            </w:r>
          </w:p>
        </w:tc>
        <w:tc>
          <w:tcPr>
            <w:tcW w:w="768" w:type="pct"/>
            <w:shd w:val="clear" w:color="auto" w:fill="auto"/>
            <w:noWrap/>
            <w:vAlign w:val="bottom"/>
            <w:hideMark/>
          </w:tcPr>
          <w:p w14:paraId="518D65BE"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181.02</w:t>
            </w:r>
          </w:p>
        </w:tc>
      </w:tr>
      <w:tr w:rsidR="00377CEB" w:rsidRPr="005B12AE" w14:paraId="242F3CBD" w14:textId="77777777" w:rsidTr="00250DAC">
        <w:trPr>
          <w:trHeight w:val="20"/>
        </w:trPr>
        <w:tc>
          <w:tcPr>
            <w:tcW w:w="229" w:type="pct"/>
            <w:vMerge w:val="restart"/>
            <w:shd w:val="clear" w:color="auto" w:fill="auto"/>
            <w:vAlign w:val="center"/>
            <w:hideMark/>
          </w:tcPr>
          <w:p w14:paraId="63F76FAD"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2</w:t>
            </w:r>
          </w:p>
          <w:p w14:paraId="268432B7"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p w14:paraId="389A5B6A"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p w14:paraId="14B1CF8C"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tc>
        <w:tc>
          <w:tcPr>
            <w:tcW w:w="1195" w:type="pct"/>
            <w:vMerge w:val="restart"/>
            <w:shd w:val="clear" w:color="auto" w:fill="auto"/>
            <w:hideMark/>
          </w:tcPr>
          <w:p w14:paraId="0473DFC4"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Bhavesh Ramgopal Maheshwari</w:t>
            </w:r>
          </w:p>
        </w:tc>
        <w:tc>
          <w:tcPr>
            <w:tcW w:w="1337" w:type="pct"/>
            <w:shd w:val="clear" w:color="auto" w:fill="auto"/>
            <w:vAlign w:val="center"/>
            <w:hideMark/>
          </w:tcPr>
          <w:p w14:paraId="6C5C14A1" w14:textId="77777777" w:rsidR="00377CEB" w:rsidRPr="005B12AE" w:rsidRDefault="00377CEB"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t>Opening Balance</w:t>
            </w:r>
          </w:p>
        </w:tc>
        <w:tc>
          <w:tcPr>
            <w:tcW w:w="669" w:type="pct"/>
            <w:shd w:val="clear" w:color="auto" w:fill="auto"/>
            <w:noWrap/>
            <w:vAlign w:val="bottom"/>
            <w:hideMark/>
          </w:tcPr>
          <w:p w14:paraId="239047B2"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6.37</w:t>
            </w:r>
          </w:p>
        </w:tc>
        <w:tc>
          <w:tcPr>
            <w:tcW w:w="802" w:type="pct"/>
            <w:shd w:val="clear" w:color="auto" w:fill="auto"/>
            <w:noWrap/>
            <w:vAlign w:val="bottom"/>
            <w:hideMark/>
          </w:tcPr>
          <w:p w14:paraId="711B3E05"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9.38</w:t>
            </w:r>
          </w:p>
        </w:tc>
        <w:tc>
          <w:tcPr>
            <w:tcW w:w="768" w:type="pct"/>
            <w:shd w:val="clear" w:color="auto" w:fill="auto"/>
            <w:noWrap/>
            <w:vAlign w:val="bottom"/>
            <w:hideMark/>
          </w:tcPr>
          <w:p w14:paraId="3D273529"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10.83</w:t>
            </w:r>
          </w:p>
        </w:tc>
      </w:tr>
      <w:tr w:rsidR="00377CEB" w:rsidRPr="005B12AE" w14:paraId="260866E8" w14:textId="77777777" w:rsidTr="00250DAC">
        <w:trPr>
          <w:trHeight w:val="20"/>
        </w:trPr>
        <w:tc>
          <w:tcPr>
            <w:tcW w:w="229" w:type="pct"/>
            <w:vMerge/>
            <w:shd w:val="clear" w:color="auto" w:fill="auto"/>
            <w:noWrap/>
            <w:vAlign w:val="bottom"/>
            <w:hideMark/>
          </w:tcPr>
          <w:p w14:paraId="4339E624" w14:textId="77777777" w:rsidR="00377CEB" w:rsidRPr="005B12AE" w:rsidRDefault="00377CEB" w:rsidP="00250DAC">
            <w:pPr>
              <w:spacing w:after="0" w:line="240" w:lineRule="auto"/>
              <w:jc w:val="center"/>
              <w:rPr>
                <w:rFonts w:ascii="Times New Roman" w:hAnsi="Times New Roman"/>
                <w:sz w:val="20"/>
                <w:szCs w:val="20"/>
              </w:rPr>
            </w:pPr>
          </w:p>
        </w:tc>
        <w:tc>
          <w:tcPr>
            <w:tcW w:w="1195" w:type="pct"/>
            <w:vMerge/>
            <w:shd w:val="clear" w:color="auto" w:fill="auto"/>
            <w:noWrap/>
            <w:vAlign w:val="bottom"/>
            <w:hideMark/>
          </w:tcPr>
          <w:p w14:paraId="1F3ED7DC" w14:textId="77777777" w:rsidR="00377CEB" w:rsidRPr="005B12AE" w:rsidRDefault="00377CEB" w:rsidP="00250DAC">
            <w:pPr>
              <w:spacing w:after="0" w:line="240" w:lineRule="auto"/>
              <w:rPr>
                <w:rFonts w:ascii="Times New Roman" w:hAnsi="Times New Roman"/>
                <w:sz w:val="20"/>
                <w:szCs w:val="20"/>
              </w:rPr>
            </w:pPr>
          </w:p>
        </w:tc>
        <w:tc>
          <w:tcPr>
            <w:tcW w:w="1337" w:type="pct"/>
            <w:shd w:val="clear" w:color="auto" w:fill="auto"/>
            <w:hideMark/>
          </w:tcPr>
          <w:p w14:paraId="48EBD229"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Remuneration to Directors:</w:t>
            </w:r>
          </w:p>
        </w:tc>
        <w:tc>
          <w:tcPr>
            <w:tcW w:w="669" w:type="pct"/>
            <w:shd w:val="clear" w:color="auto" w:fill="auto"/>
            <w:noWrap/>
            <w:vAlign w:val="bottom"/>
            <w:hideMark/>
          </w:tcPr>
          <w:p w14:paraId="19EA546D"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42.00</w:t>
            </w:r>
          </w:p>
        </w:tc>
        <w:tc>
          <w:tcPr>
            <w:tcW w:w="802" w:type="pct"/>
            <w:shd w:val="clear" w:color="auto" w:fill="auto"/>
            <w:noWrap/>
            <w:vAlign w:val="bottom"/>
            <w:hideMark/>
          </w:tcPr>
          <w:p w14:paraId="4DB591CB"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40.00</w:t>
            </w:r>
          </w:p>
        </w:tc>
        <w:tc>
          <w:tcPr>
            <w:tcW w:w="768" w:type="pct"/>
            <w:shd w:val="clear" w:color="auto" w:fill="auto"/>
            <w:noWrap/>
            <w:vAlign w:val="bottom"/>
            <w:hideMark/>
          </w:tcPr>
          <w:p w14:paraId="49A6FB6D"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36.00</w:t>
            </w:r>
          </w:p>
        </w:tc>
      </w:tr>
      <w:tr w:rsidR="00377CEB" w:rsidRPr="005B12AE" w14:paraId="57B2B0C6" w14:textId="77777777" w:rsidTr="00250DAC">
        <w:trPr>
          <w:trHeight w:val="20"/>
        </w:trPr>
        <w:tc>
          <w:tcPr>
            <w:tcW w:w="229" w:type="pct"/>
            <w:vMerge/>
            <w:shd w:val="clear" w:color="auto" w:fill="auto"/>
            <w:vAlign w:val="center"/>
            <w:hideMark/>
          </w:tcPr>
          <w:p w14:paraId="2B6091BF" w14:textId="77777777" w:rsidR="00377CEB" w:rsidRPr="005B12AE" w:rsidRDefault="00377CEB" w:rsidP="00250DAC">
            <w:pPr>
              <w:spacing w:after="0" w:line="240" w:lineRule="auto"/>
              <w:jc w:val="center"/>
              <w:rPr>
                <w:rFonts w:ascii="Times New Roman" w:hAnsi="Times New Roman"/>
                <w:color w:val="000000"/>
                <w:sz w:val="20"/>
                <w:szCs w:val="20"/>
              </w:rPr>
            </w:pPr>
          </w:p>
        </w:tc>
        <w:tc>
          <w:tcPr>
            <w:tcW w:w="1195" w:type="pct"/>
            <w:vMerge/>
            <w:shd w:val="clear" w:color="auto" w:fill="auto"/>
            <w:hideMark/>
          </w:tcPr>
          <w:p w14:paraId="32C42075" w14:textId="77777777" w:rsidR="00377CEB" w:rsidRPr="005B12AE" w:rsidRDefault="00377CEB" w:rsidP="00250DAC">
            <w:pPr>
              <w:spacing w:after="0" w:line="240" w:lineRule="auto"/>
              <w:rPr>
                <w:rFonts w:ascii="Times New Roman" w:hAnsi="Times New Roman"/>
                <w:sz w:val="20"/>
                <w:szCs w:val="20"/>
              </w:rPr>
            </w:pPr>
          </w:p>
        </w:tc>
        <w:tc>
          <w:tcPr>
            <w:tcW w:w="1337" w:type="pct"/>
            <w:shd w:val="clear" w:color="auto" w:fill="auto"/>
            <w:hideMark/>
          </w:tcPr>
          <w:p w14:paraId="291DFAB4"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loan accepted</w:t>
            </w:r>
          </w:p>
        </w:tc>
        <w:tc>
          <w:tcPr>
            <w:tcW w:w="669" w:type="pct"/>
            <w:shd w:val="clear" w:color="auto" w:fill="auto"/>
            <w:noWrap/>
            <w:vAlign w:val="bottom"/>
            <w:hideMark/>
          </w:tcPr>
          <w:p w14:paraId="7E2788D4"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177.62</w:t>
            </w:r>
          </w:p>
        </w:tc>
        <w:tc>
          <w:tcPr>
            <w:tcW w:w="802" w:type="pct"/>
            <w:shd w:val="clear" w:color="auto" w:fill="auto"/>
            <w:noWrap/>
            <w:vAlign w:val="bottom"/>
            <w:hideMark/>
          </w:tcPr>
          <w:p w14:paraId="4DB92B1F"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87.82</w:t>
            </w:r>
          </w:p>
        </w:tc>
        <w:tc>
          <w:tcPr>
            <w:tcW w:w="768" w:type="pct"/>
            <w:shd w:val="clear" w:color="auto" w:fill="auto"/>
            <w:noWrap/>
            <w:vAlign w:val="bottom"/>
            <w:hideMark/>
          </w:tcPr>
          <w:p w14:paraId="53B812B6"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9.45</w:t>
            </w:r>
          </w:p>
        </w:tc>
      </w:tr>
      <w:tr w:rsidR="00377CEB" w:rsidRPr="005B12AE" w14:paraId="141D3182" w14:textId="77777777" w:rsidTr="00250DAC">
        <w:trPr>
          <w:trHeight w:val="20"/>
        </w:trPr>
        <w:tc>
          <w:tcPr>
            <w:tcW w:w="229" w:type="pct"/>
            <w:vMerge/>
            <w:shd w:val="clear" w:color="auto" w:fill="auto"/>
            <w:vAlign w:val="center"/>
            <w:hideMark/>
          </w:tcPr>
          <w:p w14:paraId="7D3481E7" w14:textId="77777777" w:rsidR="00377CEB" w:rsidRPr="005B12AE" w:rsidRDefault="00377CEB" w:rsidP="00250DAC">
            <w:pPr>
              <w:spacing w:after="0" w:line="240" w:lineRule="auto"/>
              <w:jc w:val="center"/>
              <w:rPr>
                <w:rFonts w:ascii="Times New Roman" w:hAnsi="Times New Roman"/>
                <w:color w:val="000000"/>
                <w:sz w:val="20"/>
                <w:szCs w:val="20"/>
              </w:rPr>
            </w:pPr>
          </w:p>
        </w:tc>
        <w:tc>
          <w:tcPr>
            <w:tcW w:w="1195" w:type="pct"/>
            <w:vMerge/>
            <w:shd w:val="clear" w:color="auto" w:fill="auto"/>
            <w:hideMark/>
          </w:tcPr>
          <w:p w14:paraId="62688349" w14:textId="77777777" w:rsidR="00377CEB" w:rsidRPr="005B12AE" w:rsidRDefault="00377CEB" w:rsidP="00250DAC">
            <w:pPr>
              <w:spacing w:after="0" w:line="240" w:lineRule="auto"/>
              <w:rPr>
                <w:rFonts w:ascii="Times New Roman" w:hAnsi="Times New Roman"/>
                <w:sz w:val="20"/>
                <w:szCs w:val="20"/>
              </w:rPr>
            </w:pPr>
          </w:p>
        </w:tc>
        <w:tc>
          <w:tcPr>
            <w:tcW w:w="1337" w:type="pct"/>
            <w:shd w:val="clear" w:color="auto" w:fill="auto"/>
            <w:hideMark/>
          </w:tcPr>
          <w:p w14:paraId="5E8177D6"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loan repaid/given</w:t>
            </w:r>
          </w:p>
        </w:tc>
        <w:tc>
          <w:tcPr>
            <w:tcW w:w="669" w:type="pct"/>
            <w:shd w:val="clear" w:color="auto" w:fill="auto"/>
            <w:noWrap/>
            <w:vAlign w:val="bottom"/>
            <w:hideMark/>
          </w:tcPr>
          <w:p w14:paraId="27DF314C"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194.90</w:t>
            </w:r>
          </w:p>
        </w:tc>
        <w:tc>
          <w:tcPr>
            <w:tcW w:w="802" w:type="pct"/>
            <w:shd w:val="clear" w:color="auto" w:fill="auto"/>
            <w:noWrap/>
            <w:vAlign w:val="bottom"/>
            <w:hideMark/>
          </w:tcPr>
          <w:p w14:paraId="3873014F"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130.83</w:t>
            </w:r>
          </w:p>
        </w:tc>
        <w:tc>
          <w:tcPr>
            <w:tcW w:w="768" w:type="pct"/>
            <w:shd w:val="clear" w:color="auto" w:fill="auto"/>
            <w:noWrap/>
            <w:vAlign w:val="bottom"/>
            <w:hideMark/>
          </w:tcPr>
          <w:p w14:paraId="2F05FF3A"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46.90</w:t>
            </w:r>
          </w:p>
        </w:tc>
      </w:tr>
      <w:tr w:rsidR="00377CEB" w:rsidRPr="005B12AE" w14:paraId="59F044D4" w14:textId="77777777" w:rsidTr="00250DAC">
        <w:trPr>
          <w:trHeight w:val="20"/>
        </w:trPr>
        <w:tc>
          <w:tcPr>
            <w:tcW w:w="229" w:type="pct"/>
            <w:vMerge/>
            <w:shd w:val="clear" w:color="auto" w:fill="auto"/>
            <w:vAlign w:val="center"/>
            <w:hideMark/>
          </w:tcPr>
          <w:p w14:paraId="3F010F1C" w14:textId="77777777" w:rsidR="00377CEB" w:rsidRPr="005B12AE" w:rsidRDefault="00377CEB" w:rsidP="00250DAC">
            <w:pPr>
              <w:spacing w:after="0" w:line="240" w:lineRule="auto"/>
              <w:jc w:val="center"/>
              <w:rPr>
                <w:rFonts w:ascii="Times New Roman" w:hAnsi="Times New Roman"/>
                <w:color w:val="000000"/>
                <w:sz w:val="20"/>
                <w:szCs w:val="20"/>
              </w:rPr>
            </w:pPr>
          </w:p>
        </w:tc>
        <w:tc>
          <w:tcPr>
            <w:tcW w:w="1195" w:type="pct"/>
            <w:vMerge/>
            <w:shd w:val="clear" w:color="auto" w:fill="auto"/>
            <w:hideMark/>
          </w:tcPr>
          <w:p w14:paraId="26AD7892" w14:textId="77777777" w:rsidR="00377CEB" w:rsidRPr="005B12AE" w:rsidRDefault="00377CEB" w:rsidP="00250DAC">
            <w:pPr>
              <w:spacing w:after="0" w:line="240" w:lineRule="auto"/>
              <w:rPr>
                <w:rFonts w:ascii="Times New Roman" w:hAnsi="Times New Roman"/>
                <w:sz w:val="20"/>
                <w:szCs w:val="20"/>
              </w:rPr>
            </w:pPr>
          </w:p>
        </w:tc>
        <w:tc>
          <w:tcPr>
            <w:tcW w:w="1337" w:type="pct"/>
            <w:shd w:val="clear" w:color="auto" w:fill="auto"/>
            <w:hideMark/>
          </w:tcPr>
          <w:p w14:paraId="67F732E2"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Closing Balance</w:t>
            </w:r>
          </w:p>
        </w:tc>
        <w:tc>
          <w:tcPr>
            <w:tcW w:w="669" w:type="pct"/>
            <w:shd w:val="clear" w:color="auto" w:fill="auto"/>
            <w:noWrap/>
            <w:vAlign w:val="bottom"/>
            <w:hideMark/>
          </w:tcPr>
          <w:p w14:paraId="1167EAA3" w14:textId="77777777" w:rsidR="00377CEB" w:rsidRPr="005B12AE" w:rsidRDefault="00377CEB"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31.09</w:t>
            </w:r>
          </w:p>
        </w:tc>
        <w:tc>
          <w:tcPr>
            <w:tcW w:w="802" w:type="pct"/>
            <w:shd w:val="clear" w:color="auto" w:fill="auto"/>
            <w:noWrap/>
            <w:vAlign w:val="bottom"/>
            <w:hideMark/>
          </w:tcPr>
          <w:p w14:paraId="5AA11D38"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6.37</w:t>
            </w:r>
          </w:p>
        </w:tc>
        <w:tc>
          <w:tcPr>
            <w:tcW w:w="768" w:type="pct"/>
            <w:shd w:val="clear" w:color="auto" w:fill="auto"/>
            <w:noWrap/>
            <w:vAlign w:val="bottom"/>
            <w:hideMark/>
          </w:tcPr>
          <w:p w14:paraId="71EADB69"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9.38</w:t>
            </w:r>
          </w:p>
        </w:tc>
      </w:tr>
      <w:tr w:rsidR="00377CEB" w:rsidRPr="005B12AE" w14:paraId="0F0D66DD" w14:textId="77777777" w:rsidTr="00250DAC">
        <w:trPr>
          <w:trHeight w:val="20"/>
        </w:trPr>
        <w:tc>
          <w:tcPr>
            <w:tcW w:w="229" w:type="pct"/>
            <w:vMerge w:val="restart"/>
            <w:shd w:val="clear" w:color="auto" w:fill="auto"/>
            <w:vAlign w:val="center"/>
            <w:hideMark/>
          </w:tcPr>
          <w:p w14:paraId="718D5241"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3</w:t>
            </w:r>
          </w:p>
          <w:p w14:paraId="55996E44"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p w14:paraId="7A27FAD8"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p w14:paraId="6ACF2FFF"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p w14:paraId="29712979"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p w14:paraId="7550C6B8"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p w14:paraId="36E470CA"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tc>
        <w:tc>
          <w:tcPr>
            <w:tcW w:w="1195" w:type="pct"/>
            <w:vMerge w:val="restart"/>
            <w:shd w:val="clear" w:color="auto" w:fill="auto"/>
            <w:hideMark/>
          </w:tcPr>
          <w:p w14:paraId="74C7B73E"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Madhu Ramgopal Maheshwari </w:t>
            </w:r>
          </w:p>
        </w:tc>
        <w:tc>
          <w:tcPr>
            <w:tcW w:w="1337" w:type="pct"/>
            <w:shd w:val="clear" w:color="auto" w:fill="auto"/>
            <w:vAlign w:val="center"/>
            <w:hideMark/>
          </w:tcPr>
          <w:p w14:paraId="2CCDB8C4" w14:textId="77777777" w:rsidR="00377CEB" w:rsidRPr="005B12AE" w:rsidRDefault="00377CEB"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t>Opening Balance</w:t>
            </w:r>
          </w:p>
        </w:tc>
        <w:tc>
          <w:tcPr>
            <w:tcW w:w="669" w:type="pct"/>
            <w:shd w:val="clear" w:color="auto" w:fill="auto"/>
            <w:noWrap/>
            <w:vAlign w:val="bottom"/>
            <w:hideMark/>
          </w:tcPr>
          <w:p w14:paraId="6B35F8C3"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8.90</w:t>
            </w:r>
          </w:p>
        </w:tc>
        <w:tc>
          <w:tcPr>
            <w:tcW w:w="802" w:type="pct"/>
            <w:shd w:val="clear" w:color="auto" w:fill="auto"/>
            <w:noWrap/>
            <w:vAlign w:val="bottom"/>
            <w:hideMark/>
          </w:tcPr>
          <w:p w14:paraId="10954E93"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12.05</w:t>
            </w:r>
          </w:p>
        </w:tc>
        <w:tc>
          <w:tcPr>
            <w:tcW w:w="768" w:type="pct"/>
            <w:shd w:val="clear" w:color="auto" w:fill="auto"/>
            <w:noWrap/>
            <w:vAlign w:val="bottom"/>
            <w:hideMark/>
          </w:tcPr>
          <w:p w14:paraId="4AF40916"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215.70</w:t>
            </w:r>
          </w:p>
        </w:tc>
      </w:tr>
      <w:tr w:rsidR="00377CEB" w:rsidRPr="005B12AE" w14:paraId="13CFB2BD" w14:textId="77777777" w:rsidTr="00250DAC">
        <w:trPr>
          <w:trHeight w:val="20"/>
        </w:trPr>
        <w:tc>
          <w:tcPr>
            <w:tcW w:w="229" w:type="pct"/>
            <w:vMerge/>
            <w:shd w:val="clear" w:color="auto" w:fill="auto"/>
            <w:vAlign w:val="center"/>
            <w:hideMark/>
          </w:tcPr>
          <w:p w14:paraId="102FE5E9" w14:textId="77777777" w:rsidR="00377CEB" w:rsidRPr="005B12AE" w:rsidRDefault="00377CEB" w:rsidP="00250DAC">
            <w:pPr>
              <w:spacing w:after="0" w:line="240" w:lineRule="auto"/>
              <w:jc w:val="center"/>
              <w:rPr>
                <w:rFonts w:ascii="Times New Roman" w:hAnsi="Times New Roman"/>
                <w:color w:val="000000"/>
                <w:sz w:val="20"/>
                <w:szCs w:val="20"/>
              </w:rPr>
            </w:pPr>
          </w:p>
        </w:tc>
        <w:tc>
          <w:tcPr>
            <w:tcW w:w="1195" w:type="pct"/>
            <w:vMerge/>
            <w:shd w:val="clear" w:color="auto" w:fill="auto"/>
            <w:noWrap/>
            <w:vAlign w:val="bottom"/>
            <w:hideMark/>
          </w:tcPr>
          <w:p w14:paraId="1893C2E9" w14:textId="77777777" w:rsidR="00377CEB" w:rsidRPr="005B12AE" w:rsidRDefault="00377CEB" w:rsidP="00250DAC">
            <w:pPr>
              <w:spacing w:after="0" w:line="240" w:lineRule="auto"/>
              <w:rPr>
                <w:rFonts w:ascii="Times New Roman" w:hAnsi="Times New Roman"/>
                <w:color w:val="000000"/>
                <w:sz w:val="20"/>
                <w:szCs w:val="20"/>
              </w:rPr>
            </w:pPr>
          </w:p>
        </w:tc>
        <w:tc>
          <w:tcPr>
            <w:tcW w:w="1337" w:type="pct"/>
            <w:shd w:val="clear" w:color="auto" w:fill="auto"/>
            <w:vAlign w:val="center"/>
            <w:hideMark/>
          </w:tcPr>
          <w:p w14:paraId="77A91F03" w14:textId="77777777" w:rsidR="00377CEB" w:rsidRPr="005B12AE" w:rsidRDefault="00377CEB"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t xml:space="preserve">Director Remuneration </w:t>
            </w:r>
          </w:p>
        </w:tc>
        <w:tc>
          <w:tcPr>
            <w:tcW w:w="669" w:type="pct"/>
            <w:shd w:val="clear" w:color="auto" w:fill="auto"/>
            <w:noWrap/>
            <w:vAlign w:val="bottom"/>
            <w:hideMark/>
          </w:tcPr>
          <w:p w14:paraId="2E17A309"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25.20</w:t>
            </w:r>
          </w:p>
        </w:tc>
        <w:tc>
          <w:tcPr>
            <w:tcW w:w="802" w:type="pct"/>
            <w:shd w:val="clear" w:color="auto" w:fill="auto"/>
            <w:noWrap/>
            <w:vAlign w:val="bottom"/>
            <w:hideMark/>
          </w:tcPr>
          <w:p w14:paraId="5BD66E4E"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25.00</w:t>
            </w:r>
          </w:p>
        </w:tc>
        <w:tc>
          <w:tcPr>
            <w:tcW w:w="768" w:type="pct"/>
            <w:shd w:val="clear" w:color="auto" w:fill="auto"/>
            <w:noWrap/>
            <w:vAlign w:val="bottom"/>
            <w:hideMark/>
          </w:tcPr>
          <w:p w14:paraId="4C527E9A"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12.00</w:t>
            </w:r>
          </w:p>
        </w:tc>
      </w:tr>
      <w:tr w:rsidR="00377CEB" w:rsidRPr="005B12AE" w14:paraId="0D197EFA" w14:textId="77777777" w:rsidTr="00250DAC">
        <w:trPr>
          <w:trHeight w:val="20"/>
        </w:trPr>
        <w:tc>
          <w:tcPr>
            <w:tcW w:w="229" w:type="pct"/>
            <w:vMerge/>
            <w:shd w:val="clear" w:color="auto" w:fill="auto"/>
            <w:vAlign w:val="center"/>
            <w:hideMark/>
          </w:tcPr>
          <w:p w14:paraId="2208B981" w14:textId="77777777" w:rsidR="00377CEB" w:rsidRPr="005B12AE" w:rsidRDefault="00377CEB" w:rsidP="00250DAC">
            <w:pPr>
              <w:spacing w:after="0" w:line="240" w:lineRule="auto"/>
              <w:jc w:val="center"/>
              <w:rPr>
                <w:rFonts w:ascii="Times New Roman" w:hAnsi="Times New Roman"/>
                <w:color w:val="000000"/>
                <w:sz w:val="20"/>
                <w:szCs w:val="20"/>
              </w:rPr>
            </w:pPr>
          </w:p>
        </w:tc>
        <w:tc>
          <w:tcPr>
            <w:tcW w:w="1195" w:type="pct"/>
            <w:vMerge/>
            <w:shd w:val="clear" w:color="auto" w:fill="auto"/>
            <w:noWrap/>
            <w:vAlign w:val="bottom"/>
            <w:hideMark/>
          </w:tcPr>
          <w:p w14:paraId="43C15039" w14:textId="77777777" w:rsidR="00377CEB" w:rsidRPr="005B12AE" w:rsidRDefault="00377CEB" w:rsidP="00250DAC">
            <w:pPr>
              <w:spacing w:after="0" w:line="240" w:lineRule="auto"/>
              <w:rPr>
                <w:rFonts w:ascii="Times New Roman" w:hAnsi="Times New Roman"/>
                <w:color w:val="000000"/>
                <w:sz w:val="20"/>
                <w:szCs w:val="20"/>
              </w:rPr>
            </w:pPr>
          </w:p>
        </w:tc>
        <w:tc>
          <w:tcPr>
            <w:tcW w:w="1337" w:type="pct"/>
            <w:shd w:val="clear" w:color="auto" w:fill="auto"/>
            <w:vAlign w:val="center"/>
            <w:hideMark/>
          </w:tcPr>
          <w:p w14:paraId="6A2F63AF" w14:textId="77777777" w:rsidR="00377CEB" w:rsidRPr="005B12AE" w:rsidRDefault="00377CEB"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t>Rent Expense</w:t>
            </w:r>
          </w:p>
        </w:tc>
        <w:tc>
          <w:tcPr>
            <w:tcW w:w="669" w:type="pct"/>
            <w:shd w:val="clear" w:color="auto" w:fill="auto"/>
            <w:noWrap/>
            <w:vAlign w:val="bottom"/>
            <w:hideMark/>
          </w:tcPr>
          <w:p w14:paraId="37102DA1"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2.40</w:t>
            </w:r>
          </w:p>
        </w:tc>
        <w:tc>
          <w:tcPr>
            <w:tcW w:w="802" w:type="pct"/>
            <w:shd w:val="clear" w:color="auto" w:fill="auto"/>
            <w:noWrap/>
            <w:vAlign w:val="bottom"/>
            <w:hideMark/>
          </w:tcPr>
          <w:p w14:paraId="02B35967"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2.40</w:t>
            </w:r>
          </w:p>
        </w:tc>
        <w:tc>
          <w:tcPr>
            <w:tcW w:w="768" w:type="pct"/>
            <w:shd w:val="clear" w:color="auto" w:fill="auto"/>
            <w:noWrap/>
            <w:vAlign w:val="bottom"/>
            <w:hideMark/>
          </w:tcPr>
          <w:p w14:paraId="357964B7"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2.40</w:t>
            </w:r>
          </w:p>
        </w:tc>
      </w:tr>
      <w:tr w:rsidR="00377CEB" w:rsidRPr="005B12AE" w14:paraId="3332069E" w14:textId="77777777" w:rsidTr="00250DAC">
        <w:trPr>
          <w:trHeight w:val="20"/>
        </w:trPr>
        <w:tc>
          <w:tcPr>
            <w:tcW w:w="229" w:type="pct"/>
            <w:vMerge/>
            <w:shd w:val="clear" w:color="auto" w:fill="auto"/>
            <w:vAlign w:val="center"/>
            <w:hideMark/>
          </w:tcPr>
          <w:p w14:paraId="2628F3AB" w14:textId="77777777" w:rsidR="00377CEB" w:rsidRPr="005B12AE" w:rsidRDefault="00377CEB" w:rsidP="00250DAC">
            <w:pPr>
              <w:spacing w:after="0" w:line="240" w:lineRule="auto"/>
              <w:jc w:val="center"/>
              <w:rPr>
                <w:rFonts w:ascii="Times New Roman" w:hAnsi="Times New Roman"/>
                <w:color w:val="000000"/>
                <w:sz w:val="20"/>
                <w:szCs w:val="20"/>
              </w:rPr>
            </w:pPr>
          </w:p>
        </w:tc>
        <w:tc>
          <w:tcPr>
            <w:tcW w:w="1195" w:type="pct"/>
            <w:vMerge/>
            <w:shd w:val="clear" w:color="auto" w:fill="auto"/>
            <w:hideMark/>
          </w:tcPr>
          <w:p w14:paraId="0C18BF77" w14:textId="77777777" w:rsidR="00377CEB" w:rsidRPr="005B12AE" w:rsidRDefault="00377CEB" w:rsidP="00250DAC">
            <w:pPr>
              <w:spacing w:after="0" w:line="240" w:lineRule="auto"/>
              <w:rPr>
                <w:rFonts w:ascii="Times New Roman" w:hAnsi="Times New Roman"/>
                <w:sz w:val="20"/>
                <w:szCs w:val="20"/>
              </w:rPr>
            </w:pPr>
          </w:p>
        </w:tc>
        <w:tc>
          <w:tcPr>
            <w:tcW w:w="1337" w:type="pct"/>
            <w:shd w:val="clear" w:color="auto" w:fill="auto"/>
            <w:hideMark/>
          </w:tcPr>
          <w:p w14:paraId="2C75F1A1"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loan accepted</w:t>
            </w:r>
          </w:p>
        </w:tc>
        <w:tc>
          <w:tcPr>
            <w:tcW w:w="669" w:type="pct"/>
            <w:shd w:val="clear" w:color="auto" w:fill="auto"/>
            <w:noWrap/>
            <w:vAlign w:val="bottom"/>
            <w:hideMark/>
          </w:tcPr>
          <w:p w14:paraId="43C36636"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27.38</w:t>
            </w:r>
          </w:p>
        </w:tc>
        <w:tc>
          <w:tcPr>
            <w:tcW w:w="802" w:type="pct"/>
            <w:shd w:val="clear" w:color="auto" w:fill="auto"/>
            <w:noWrap/>
            <w:vAlign w:val="bottom"/>
            <w:hideMark/>
          </w:tcPr>
          <w:p w14:paraId="3A34EC5A"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32.40</w:t>
            </w:r>
          </w:p>
        </w:tc>
        <w:tc>
          <w:tcPr>
            <w:tcW w:w="768" w:type="pct"/>
            <w:shd w:val="clear" w:color="auto" w:fill="auto"/>
            <w:noWrap/>
            <w:vAlign w:val="bottom"/>
            <w:hideMark/>
          </w:tcPr>
          <w:p w14:paraId="1B5BFE28"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38.40</w:t>
            </w:r>
          </w:p>
        </w:tc>
      </w:tr>
      <w:tr w:rsidR="00377CEB" w:rsidRPr="005B12AE" w14:paraId="7BCF2BC6" w14:textId="77777777" w:rsidTr="00250DAC">
        <w:trPr>
          <w:trHeight w:val="20"/>
        </w:trPr>
        <w:tc>
          <w:tcPr>
            <w:tcW w:w="229" w:type="pct"/>
            <w:vMerge/>
            <w:shd w:val="clear" w:color="auto" w:fill="auto"/>
            <w:vAlign w:val="center"/>
            <w:hideMark/>
          </w:tcPr>
          <w:p w14:paraId="2134BD2F" w14:textId="77777777" w:rsidR="00377CEB" w:rsidRPr="005B12AE" w:rsidRDefault="00377CEB" w:rsidP="00250DAC">
            <w:pPr>
              <w:spacing w:after="0" w:line="240" w:lineRule="auto"/>
              <w:jc w:val="center"/>
              <w:rPr>
                <w:rFonts w:ascii="Times New Roman" w:hAnsi="Times New Roman"/>
                <w:color w:val="000000"/>
                <w:sz w:val="20"/>
                <w:szCs w:val="20"/>
              </w:rPr>
            </w:pPr>
          </w:p>
        </w:tc>
        <w:tc>
          <w:tcPr>
            <w:tcW w:w="1195" w:type="pct"/>
            <w:vMerge/>
            <w:shd w:val="clear" w:color="auto" w:fill="auto"/>
            <w:hideMark/>
          </w:tcPr>
          <w:p w14:paraId="7F4A691F" w14:textId="77777777" w:rsidR="00377CEB" w:rsidRPr="005B12AE" w:rsidRDefault="00377CEB" w:rsidP="00250DAC">
            <w:pPr>
              <w:spacing w:after="0" w:line="240" w:lineRule="auto"/>
              <w:rPr>
                <w:rFonts w:ascii="Times New Roman" w:hAnsi="Times New Roman"/>
                <w:sz w:val="20"/>
                <w:szCs w:val="20"/>
              </w:rPr>
            </w:pPr>
          </w:p>
        </w:tc>
        <w:tc>
          <w:tcPr>
            <w:tcW w:w="1337" w:type="pct"/>
            <w:shd w:val="clear" w:color="auto" w:fill="auto"/>
            <w:hideMark/>
          </w:tcPr>
          <w:p w14:paraId="64AFBB2D"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loan repaid/given</w:t>
            </w:r>
          </w:p>
        </w:tc>
        <w:tc>
          <w:tcPr>
            <w:tcW w:w="669" w:type="pct"/>
            <w:shd w:val="clear" w:color="auto" w:fill="auto"/>
            <w:noWrap/>
            <w:vAlign w:val="bottom"/>
            <w:hideMark/>
          </w:tcPr>
          <w:p w14:paraId="44ACA35C"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34.54</w:t>
            </w:r>
          </w:p>
        </w:tc>
        <w:tc>
          <w:tcPr>
            <w:tcW w:w="802" w:type="pct"/>
            <w:shd w:val="clear" w:color="auto" w:fill="auto"/>
            <w:noWrap/>
            <w:vAlign w:val="bottom"/>
            <w:hideMark/>
          </w:tcPr>
          <w:p w14:paraId="2E03DD7C"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30.52</w:t>
            </w:r>
          </w:p>
        </w:tc>
        <w:tc>
          <w:tcPr>
            <w:tcW w:w="768" w:type="pct"/>
            <w:shd w:val="clear" w:color="auto" w:fill="auto"/>
            <w:noWrap/>
            <w:vAlign w:val="bottom"/>
            <w:hideMark/>
          </w:tcPr>
          <w:p w14:paraId="6554A873"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235.65</w:t>
            </w:r>
          </w:p>
        </w:tc>
      </w:tr>
      <w:tr w:rsidR="00377CEB" w:rsidRPr="005B12AE" w14:paraId="3C0A4ABE" w14:textId="77777777" w:rsidTr="00250DAC">
        <w:trPr>
          <w:trHeight w:val="20"/>
        </w:trPr>
        <w:tc>
          <w:tcPr>
            <w:tcW w:w="229" w:type="pct"/>
            <w:vMerge/>
            <w:shd w:val="clear" w:color="auto" w:fill="auto"/>
            <w:vAlign w:val="center"/>
            <w:hideMark/>
          </w:tcPr>
          <w:p w14:paraId="55CF4FA0" w14:textId="77777777" w:rsidR="00377CEB" w:rsidRPr="005B12AE" w:rsidRDefault="00377CEB" w:rsidP="00250DAC">
            <w:pPr>
              <w:spacing w:after="0" w:line="240" w:lineRule="auto"/>
              <w:jc w:val="center"/>
              <w:rPr>
                <w:rFonts w:ascii="Times New Roman" w:hAnsi="Times New Roman"/>
                <w:color w:val="000000"/>
                <w:sz w:val="20"/>
                <w:szCs w:val="20"/>
              </w:rPr>
            </w:pPr>
          </w:p>
        </w:tc>
        <w:tc>
          <w:tcPr>
            <w:tcW w:w="1195" w:type="pct"/>
            <w:vMerge/>
            <w:shd w:val="clear" w:color="auto" w:fill="auto"/>
            <w:hideMark/>
          </w:tcPr>
          <w:p w14:paraId="0D2EA158" w14:textId="77777777" w:rsidR="00377CEB" w:rsidRPr="005B12AE" w:rsidRDefault="00377CEB" w:rsidP="00250DAC">
            <w:pPr>
              <w:spacing w:after="0" w:line="240" w:lineRule="auto"/>
              <w:rPr>
                <w:rFonts w:ascii="Times New Roman" w:hAnsi="Times New Roman"/>
                <w:sz w:val="20"/>
                <w:szCs w:val="20"/>
              </w:rPr>
            </w:pPr>
          </w:p>
        </w:tc>
        <w:tc>
          <w:tcPr>
            <w:tcW w:w="1337" w:type="pct"/>
            <w:shd w:val="clear" w:color="auto" w:fill="auto"/>
            <w:hideMark/>
          </w:tcPr>
          <w:p w14:paraId="50F055E1"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Rent &amp; Remuneration paid</w:t>
            </w:r>
          </w:p>
        </w:tc>
        <w:tc>
          <w:tcPr>
            <w:tcW w:w="669" w:type="pct"/>
            <w:shd w:val="clear" w:color="auto" w:fill="auto"/>
            <w:noWrap/>
            <w:vAlign w:val="bottom"/>
            <w:hideMark/>
          </w:tcPr>
          <w:p w14:paraId="2F1B7952"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2.40</w:t>
            </w:r>
          </w:p>
        </w:tc>
        <w:tc>
          <w:tcPr>
            <w:tcW w:w="802" w:type="pct"/>
            <w:shd w:val="clear" w:color="auto" w:fill="auto"/>
            <w:noWrap/>
            <w:vAlign w:val="bottom"/>
            <w:hideMark/>
          </w:tcPr>
          <w:p w14:paraId="4C0A1DCC"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32.43</w:t>
            </w:r>
          </w:p>
        </w:tc>
        <w:tc>
          <w:tcPr>
            <w:tcW w:w="768" w:type="pct"/>
            <w:shd w:val="clear" w:color="auto" w:fill="auto"/>
            <w:noWrap/>
            <w:vAlign w:val="bottom"/>
            <w:hideMark/>
          </w:tcPr>
          <w:p w14:paraId="3B26013D"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20.80</w:t>
            </w:r>
          </w:p>
        </w:tc>
      </w:tr>
      <w:tr w:rsidR="00377CEB" w:rsidRPr="005B12AE" w14:paraId="58951017" w14:textId="77777777" w:rsidTr="00250DAC">
        <w:trPr>
          <w:trHeight w:val="20"/>
        </w:trPr>
        <w:tc>
          <w:tcPr>
            <w:tcW w:w="229" w:type="pct"/>
            <w:vMerge/>
            <w:shd w:val="clear" w:color="auto" w:fill="auto"/>
            <w:vAlign w:val="center"/>
            <w:hideMark/>
          </w:tcPr>
          <w:p w14:paraId="71E21CBC" w14:textId="77777777" w:rsidR="00377CEB" w:rsidRPr="005B12AE" w:rsidRDefault="00377CEB" w:rsidP="00250DAC">
            <w:pPr>
              <w:spacing w:after="0" w:line="240" w:lineRule="auto"/>
              <w:jc w:val="center"/>
              <w:rPr>
                <w:rFonts w:ascii="Times New Roman" w:hAnsi="Times New Roman"/>
                <w:color w:val="000000"/>
                <w:sz w:val="20"/>
                <w:szCs w:val="20"/>
              </w:rPr>
            </w:pPr>
          </w:p>
        </w:tc>
        <w:tc>
          <w:tcPr>
            <w:tcW w:w="1195" w:type="pct"/>
            <w:vMerge/>
            <w:shd w:val="clear" w:color="auto" w:fill="auto"/>
            <w:hideMark/>
          </w:tcPr>
          <w:p w14:paraId="0A753D9B" w14:textId="77777777" w:rsidR="00377CEB" w:rsidRPr="005B12AE" w:rsidRDefault="00377CEB" w:rsidP="00250DAC">
            <w:pPr>
              <w:spacing w:after="0" w:line="240" w:lineRule="auto"/>
              <w:rPr>
                <w:rFonts w:ascii="Times New Roman" w:hAnsi="Times New Roman"/>
                <w:sz w:val="20"/>
                <w:szCs w:val="20"/>
              </w:rPr>
            </w:pPr>
          </w:p>
        </w:tc>
        <w:tc>
          <w:tcPr>
            <w:tcW w:w="1337" w:type="pct"/>
            <w:shd w:val="clear" w:color="auto" w:fill="auto"/>
            <w:hideMark/>
          </w:tcPr>
          <w:p w14:paraId="4EC90699"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Closing Balance</w:t>
            </w:r>
          </w:p>
        </w:tc>
        <w:tc>
          <w:tcPr>
            <w:tcW w:w="669" w:type="pct"/>
            <w:shd w:val="clear" w:color="auto" w:fill="auto"/>
            <w:noWrap/>
            <w:vAlign w:val="bottom"/>
            <w:hideMark/>
          </w:tcPr>
          <w:p w14:paraId="110F0AA1"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26.94</w:t>
            </w:r>
          </w:p>
        </w:tc>
        <w:tc>
          <w:tcPr>
            <w:tcW w:w="802" w:type="pct"/>
            <w:shd w:val="clear" w:color="auto" w:fill="auto"/>
            <w:noWrap/>
            <w:vAlign w:val="bottom"/>
            <w:hideMark/>
          </w:tcPr>
          <w:p w14:paraId="09177D50"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8.90</w:t>
            </w:r>
          </w:p>
        </w:tc>
        <w:tc>
          <w:tcPr>
            <w:tcW w:w="768" w:type="pct"/>
            <w:shd w:val="clear" w:color="auto" w:fill="auto"/>
            <w:noWrap/>
            <w:vAlign w:val="bottom"/>
            <w:hideMark/>
          </w:tcPr>
          <w:p w14:paraId="652F09BA"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12.05</w:t>
            </w:r>
          </w:p>
        </w:tc>
      </w:tr>
      <w:tr w:rsidR="00377CEB" w:rsidRPr="005B12AE" w14:paraId="5FEB5C80" w14:textId="77777777" w:rsidTr="00250DAC">
        <w:trPr>
          <w:trHeight w:val="20"/>
        </w:trPr>
        <w:tc>
          <w:tcPr>
            <w:tcW w:w="229" w:type="pct"/>
            <w:vMerge w:val="restart"/>
            <w:shd w:val="clear" w:color="auto" w:fill="auto"/>
            <w:vAlign w:val="center"/>
            <w:hideMark/>
          </w:tcPr>
          <w:p w14:paraId="6997354B"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4</w:t>
            </w:r>
          </w:p>
          <w:p w14:paraId="68E47082"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p w14:paraId="1EBD2B82"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p w14:paraId="5A3ACC81"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tc>
        <w:tc>
          <w:tcPr>
            <w:tcW w:w="1195" w:type="pct"/>
            <w:vMerge w:val="restart"/>
            <w:shd w:val="clear" w:color="auto" w:fill="auto"/>
            <w:hideMark/>
          </w:tcPr>
          <w:p w14:paraId="1CC44622"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Nikunj Inani</w:t>
            </w:r>
          </w:p>
        </w:tc>
        <w:tc>
          <w:tcPr>
            <w:tcW w:w="1337" w:type="pct"/>
            <w:shd w:val="clear" w:color="auto" w:fill="auto"/>
            <w:vAlign w:val="center"/>
            <w:hideMark/>
          </w:tcPr>
          <w:p w14:paraId="30C354F4" w14:textId="77777777" w:rsidR="00377CEB" w:rsidRPr="005B12AE" w:rsidRDefault="00377CEB"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t>Opening Balance</w:t>
            </w:r>
          </w:p>
        </w:tc>
        <w:tc>
          <w:tcPr>
            <w:tcW w:w="669" w:type="pct"/>
            <w:shd w:val="clear" w:color="auto" w:fill="auto"/>
            <w:noWrap/>
            <w:vAlign w:val="bottom"/>
            <w:hideMark/>
          </w:tcPr>
          <w:p w14:paraId="509EDCDF"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8.50</w:t>
            </w:r>
          </w:p>
        </w:tc>
        <w:tc>
          <w:tcPr>
            <w:tcW w:w="802" w:type="pct"/>
            <w:shd w:val="clear" w:color="auto" w:fill="auto"/>
            <w:noWrap/>
            <w:vAlign w:val="bottom"/>
            <w:hideMark/>
          </w:tcPr>
          <w:p w14:paraId="798C34BE"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10.25</w:t>
            </w:r>
          </w:p>
        </w:tc>
        <w:tc>
          <w:tcPr>
            <w:tcW w:w="768" w:type="pct"/>
            <w:shd w:val="clear" w:color="auto" w:fill="auto"/>
            <w:noWrap/>
            <w:vAlign w:val="bottom"/>
            <w:hideMark/>
          </w:tcPr>
          <w:p w14:paraId="12D06625"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3.49</w:t>
            </w:r>
          </w:p>
        </w:tc>
      </w:tr>
      <w:tr w:rsidR="00377CEB" w:rsidRPr="005B12AE" w14:paraId="6A3681B0" w14:textId="77777777" w:rsidTr="00250DAC">
        <w:trPr>
          <w:trHeight w:val="20"/>
        </w:trPr>
        <w:tc>
          <w:tcPr>
            <w:tcW w:w="229" w:type="pct"/>
            <w:vMerge/>
            <w:shd w:val="clear" w:color="auto" w:fill="auto"/>
            <w:vAlign w:val="center"/>
            <w:hideMark/>
          </w:tcPr>
          <w:p w14:paraId="63488A24" w14:textId="77777777" w:rsidR="00377CEB" w:rsidRPr="005B12AE" w:rsidRDefault="00377CEB" w:rsidP="00250DAC">
            <w:pPr>
              <w:spacing w:after="0" w:line="240" w:lineRule="auto"/>
              <w:jc w:val="center"/>
              <w:rPr>
                <w:rFonts w:ascii="Times New Roman" w:hAnsi="Times New Roman"/>
                <w:color w:val="000000"/>
                <w:sz w:val="20"/>
                <w:szCs w:val="20"/>
              </w:rPr>
            </w:pPr>
          </w:p>
        </w:tc>
        <w:tc>
          <w:tcPr>
            <w:tcW w:w="1195" w:type="pct"/>
            <w:vMerge/>
            <w:shd w:val="clear" w:color="auto" w:fill="auto"/>
            <w:noWrap/>
            <w:vAlign w:val="bottom"/>
            <w:hideMark/>
          </w:tcPr>
          <w:p w14:paraId="70E879A4" w14:textId="77777777" w:rsidR="00377CEB" w:rsidRPr="005B12AE" w:rsidRDefault="00377CEB" w:rsidP="00250DAC">
            <w:pPr>
              <w:spacing w:after="0" w:line="240" w:lineRule="auto"/>
              <w:rPr>
                <w:rFonts w:ascii="Times New Roman" w:hAnsi="Times New Roman"/>
                <w:color w:val="000000"/>
                <w:sz w:val="20"/>
                <w:szCs w:val="20"/>
              </w:rPr>
            </w:pPr>
          </w:p>
        </w:tc>
        <w:tc>
          <w:tcPr>
            <w:tcW w:w="1337" w:type="pct"/>
            <w:shd w:val="clear" w:color="auto" w:fill="auto"/>
            <w:hideMark/>
          </w:tcPr>
          <w:p w14:paraId="218F7E5E"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Remuneration to Directors:</w:t>
            </w:r>
          </w:p>
        </w:tc>
        <w:tc>
          <w:tcPr>
            <w:tcW w:w="669" w:type="pct"/>
            <w:shd w:val="clear" w:color="auto" w:fill="auto"/>
            <w:noWrap/>
            <w:vAlign w:val="bottom"/>
            <w:hideMark/>
          </w:tcPr>
          <w:p w14:paraId="18EFA44F"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02" w:type="pct"/>
            <w:shd w:val="clear" w:color="auto" w:fill="auto"/>
            <w:noWrap/>
            <w:vAlign w:val="bottom"/>
            <w:hideMark/>
          </w:tcPr>
          <w:p w14:paraId="3C7F1B1A"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68" w:type="pct"/>
            <w:shd w:val="clear" w:color="auto" w:fill="auto"/>
            <w:noWrap/>
            <w:vAlign w:val="bottom"/>
            <w:hideMark/>
          </w:tcPr>
          <w:p w14:paraId="733F9B52"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12.00</w:t>
            </w:r>
          </w:p>
        </w:tc>
      </w:tr>
      <w:tr w:rsidR="00377CEB" w:rsidRPr="005B12AE" w14:paraId="66960928" w14:textId="77777777" w:rsidTr="00250DAC">
        <w:trPr>
          <w:trHeight w:val="20"/>
        </w:trPr>
        <w:tc>
          <w:tcPr>
            <w:tcW w:w="229" w:type="pct"/>
            <w:vMerge/>
            <w:shd w:val="clear" w:color="auto" w:fill="auto"/>
            <w:vAlign w:val="center"/>
            <w:hideMark/>
          </w:tcPr>
          <w:p w14:paraId="481A222A" w14:textId="77777777" w:rsidR="00377CEB" w:rsidRPr="005B12AE" w:rsidRDefault="00377CEB" w:rsidP="00250DAC">
            <w:pPr>
              <w:spacing w:after="0" w:line="240" w:lineRule="auto"/>
              <w:jc w:val="center"/>
              <w:rPr>
                <w:rFonts w:ascii="Times New Roman" w:hAnsi="Times New Roman"/>
                <w:color w:val="000000"/>
                <w:sz w:val="20"/>
                <w:szCs w:val="20"/>
              </w:rPr>
            </w:pPr>
          </w:p>
        </w:tc>
        <w:tc>
          <w:tcPr>
            <w:tcW w:w="1195" w:type="pct"/>
            <w:vMerge/>
            <w:shd w:val="clear" w:color="auto" w:fill="auto"/>
            <w:hideMark/>
          </w:tcPr>
          <w:p w14:paraId="2D9D8E4F" w14:textId="77777777" w:rsidR="00377CEB" w:rsidRPr="005B12AE" w:rsidRDefault="00377CEB" w:rsidP="00250DAC">
            <w:pPr>
              <w:spacing w:after="0" w:line="240" w:lineRule="auto"/>
              <w:rPr>
                <w:rFonts w:ascii="Times New Roman" w:hAnsi="Times New Roman"/>
                <w:sz w:val="20"/>
                <w:szCs w:val="20"/>
              </w:rPr>
            </w:pPr>
          </w:p>
        </w:tc>
        <w:tc>
          <w:tcPr>
            <w:tcW w:w="1337" w:type="pct"/>
            <w:shd w:val="clear" w:color="auto" w:fill="auto"/>
            <w:hideMark/>
          </w:tcPr>
          <w:p w14:paraId="10693981"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Loan repaid</w:t>
            </w:r>
          </w:p>
        </w:tc>
        <w:tc>
          <w:tcPr>
            <w:tcW w:w="669" w:type="pct"/>
            <w:shd w:val="clear" w:color="auto" w:fill="auto"/>
            <w:noWrap/>
            <w:vAlign w:val="bottom"/>
            <w:hideMark/>
          </w:tcPr>
          <w:p w14:paraId="2FCFC44F"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02" w:type="pct"/>
            <w:shd w:val="clear" w:color="auto" w:fill="auto"/>
            <w:noWrap/>
            <w:vAlign w:val="bottom"/>
            <w:hideMark/>
          </w:tcPr>
          <w:p w14:paraId="50AAD840"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1.75</w:t>
            </w:r>
          </w:p>
        </w:tc>
        <w:tc>
          <w:tcPr>
            <w:tcW w:w="768" w:type="pct"/>
            <w:shd w:val="clear" w:color="auto" w:fill="auto"/>
            <w:noWrap/>
            <w:vAlign w:val="bottom"/>
            <w:hideMark/>
          </w:tcPr>
          <w:p w14:paraId="4536E904"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5.24</w:t>
            </w:r>
          </w:p>
        </w:tc>
      </w:tr>
      <w:tr w:rsidR="00377CEB" w:rsidRPr="005B12AE" w14:paraId="03E0DE2C" w14:textId="77777777" w:rsidTr="00250DAC">
        <w:trPr>
          <w:trHeight w:val="20"/>
        </w:trPr>
        <w:tc>
          <w:tcPr>
            <w:tcW w:w="229" w:type="pct"/>
            <w:vMerge/>
            <w:shd w:val="clear" w:color="auto" w:fill="auto"/>
            <w:vAlign w:val="center"/>
            <w:hideMark/>
          </w:tcPr>
          <w:p w14:paraId="24EA210B" w14:textId="77777777" w:rsidR="00377CEB" w:rsidRPr="005B12AE" w:rsidRDefault="00377CEB" w:rsidP="00250DAC">
            <w:pPr>
              <w:spacing w:after="0" w:line="240" w:lineRule="auto"/>
              <w:jc w:val="center"/>
              <w:rPr>
                <w:rFonts w:ascii="Times New Roman" w:hAnsi="Times New Roman"/>
                <w:color w:val="000000"/>
                <w:sz w:val="20"/>
                <w:szCs w:val="20"/>
              </w:rPr>
            </w:pPr>
          </w:p>
        </w:tc>
        <w:tc>
          <w:tcPr>
            <w:tcW w:w="1195" w:type="pct"/>
            <w:vMerge/>
            <w:shd w:val="clear" w:color="auto" w:fill="auto"/>
            <w:hideMark/>
          </w:tcPr>
          <w:p w14:paraId="450270D9" w14:textId="77777777" w:rsidR="00377CEB" w:rsidRPr="005B12AE" w:rsidRDefault="00377CEB" w:rsidP="00250DAC">
            <w:pPr>
              <w:spacing w:after="0" w:line="240" w:lineRule="auto"/>
              <w:rPr>
                <w:rFonts w:ascii="Times New Roman" w:hAnsi="Times New Roman"/>
                <w:sz w:val="20"/>
                <w:szCs w:val="20"/>
              </w:rPr>
            </w:pPr>
          </w:p>
        </w:tc>
        <w:tc>
          <w:tcPr>
            <w:tcW w:w="1337" w:type="pct"/>
            <w:shd w:val="clear" w:color="auto" w:fill="auto"/>
            <w:hideMark/>
          </w:tcPr>
          <w:p w14:paraId="09B0041C"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Closing Balance</w:t>
            </w:r>
          </w:p>
        </w:tc>
        <w:tc>
          <w:tcPr>
            <w:tcW w:w="669" w:type="pct"/>
            <w:shd w:val="clear" w:color="auto" w:fill="auto"/>
            <w:noWrap/>
            <w:vAlign w:val="bottom"/>
            <w:hideMark/>
          </w:tcPr>
          <w:p w14:paraId="409A6064"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8.50</w:t>
            </w:r>
          </w:p>
        </w:tc>
        <w:tc>
          <w:tcPr>
            <w:tcW w:w="802" w:type="pct"/>
            <w:shd w:val="clear" w:color="auto" w:fill="auto"/>
            <w:noWrap/>
            <w:vAlign w:val="bottom"/>
            <w:hideMark/>
          </w:tcPr>
          <w:p w14:paraId="7D70BB55"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8.50</w:t>
            </w:r>
          </w:p>
        </w:tc>
        <w:tc>
          <w:tcPr>
            <w:tcW w:w="768" w:type="pct"/>
            <w:shd w:val="clear" w:color="auto" w:fill="auto"/>
            <w:noWrap/>
            <w:vAlign w:val="bottom"/>
            <w:hideMark/>
          </w:tcPr>
          <w:p w14:paraId="68CFB85E"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10.25</w:t>
            </w:r>
          </w:p>
        </w:tc>
      </w:tr>
      <w:tr w:rsidR="00377CEB" w:rsidRPr="005B12AE" w14:paraId="00424C01" w14:textId="77777777" w:rsidTr="00250DAC">
        <w:trPr>
          <w:trHeight w:val="20"/>
        </w:trPr>
        <w:tc>
          <w:tcPr>
            <w:tcW w:w="229" w:type="pct"/>
            <w:vMerge w:val="restart"/>
            <w:shd w:val="clear" w:color="auto" w:fill="auto"/>
            <w:vAlign w:val="center"/>
            <w:hideMark/>
          </w:tcPr>
          <w:p w14:paraId="64B7E04D"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5</w:t>
            </w:r>
          </w:p>
          <w:p w14:paraId="7D24CB27"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p w14:paraId="07928790"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p w14:paraId="1B676479"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p w14:paraId="68864288"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tc>
        <w:tc>
          <w:tcPr>
            <w:tcW w:w="1195" w:type="pct"/>
            <w:vMerge w:val="restart"/>
            <w:shd w:val="clear" w:color="auto" w:fill="auto"/>
            <w:hideMark/>
          </w:tcPr>
          <w:p w14:paraId="01B34DAD"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Megha Bhavesh Maheshwari</w:t>
            </w:r>
          </w:p>
          <w:p w14:paraId="56B79966"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1337" w:type="pct"/>
            <w:shd w:val="clear" w:color="auto" w:fill="auto"/>
            <w:vAlign w:val="center"/>
            <w:hideMark/>
          </w:tcPr>
          <w:p w14:paraId="5C84B6B2" w14:textId="77777777" w:rsidR="00377CEB" w:rsidRPr="005B12AE" w:rsidRDefault="00377CEB"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t>Opening Balance</w:t>
            </w:r>
          </w:p>
        </w:tc>
        <w:tc>
          <w:tcPr>
            <w:tcW w:w="669" w:type="pct"/>
            <w:shd w:val="clear" w:color="auto" w:fill="auto"/>
            <w:noWrap/>
            <w:vAlign w:val="bottom"/>
            <w:hideMark/>
          </w:tcPr>
          <w:p w14:paraId="6A61B6EF"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(11.22)</w:t>
            </w:r>
          </w:p>
        </w:tc>
        <w:tc>
          <w:tcPr>
            <w:tcW w:w="802" w:type="pct"/>
            <w:shd w:val="clear" w:color="auto" w:fill="auto"/>
            <w:noWrap/>
            <w:vAlign w:val="bottom"/>
            <w:hideMark/>
          </w:tcPr>
          <w:p w14:paraId="41B3DAB9"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68" w:type="pct"/>
            <w:shd w:val="clear" w:color="auto" w:fill="auto"/>
            <w:noWrap/>
            <w:vAlign w:val="bottom"/>
            <w:hideMark/>
          </w:tcPr>
          <w:p w14:paraId="2BDAB444"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377CEB" w:rsidRPr="005B12AE" w14:paraId="4A66530B" w14:textId="77777777" w:rsidTr="00250DAC">
        <w:trPr>
          <w:trHeight w:val="20"/>
        </w:trPr>
        <w:tc>
          <w:tcPr>
            <w:tcW w:w="229" w:type="pct"/>
            <w:vMerge/>
            <w:shd w:val="clear" w:color="auto" w:fill="auto"/>
            <w:vAlign w:val="center"/>
            <w:hideMark/>
          </w:tcPr>
          <w:p w14:paraId="0A6A77CA" w14:textId="77777777" w:rsidR="00377CEB" w:rsidRPr="005B12AE" w:rsidRDefault="00377CEB" w:rsidP="00250DAC">
            <w:pPr>
              <w:spacing w:after="0" w:line="240" w:lineRule="auto"/>
              <w:jc w:val="center"/>
              <w:rPr>
                <w:rFonts w:ascii="Times New Roman" w:hAnsi="Times New Roman"/>
                <w:color w:val="000000"/>
                <w:sz w:val="20"/>
                <w:szCs w:val="20"/>
              </w:rPr>
            </w:pPr>
          </w:p>
        </w:tc>
        <w:tc>
          <w:tcPr>
            <w:tcW w:w="1195" w:type="pct"/>
            <w:vMerge/>
            <w:shd w:val="clear" w:color="auto" w:fill="auto"/>
            <w:noWrap/>
            <w:vAlign w:val="bottom"/>
            <w:hideMark/>
          </w:tcPr>
          <w:p w14:paraId="3182476B" w14:textId="77777777" w:rsidR="00377CEB" w:rsidRPr="005B12AE" w:rsidRDefault="00377CEB" w:rsidP="00250DAC">
            <w:pPr>
              <w:spacing w:after="0" w:line="240" w:lineRule="auto"/>
              <w:rPr>
                <w:rFonts w:ascii="Times New Roman" w:hAnsi="Times New Roman"/>
                <w:color w:val="000000"/>
                <w:sz w:val="20"/>
                <w:szCs w:val="20"/>
              </w:rPr>
            </w:pPr>
          </w:p>
        </w:tc>
        <w:tc>
          <w:tcPr>
            <w:tcW w:w="1337" w:type="pct"/>
            <w:shd w:val="clear" w:color="auto" w:fill="auto"/>
            <w:hideMark/>
          </w:tcPr>
          <w:p w14:paraId="6DFA9D37"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Salary to Related Parties</w:t>
            </w:r>
          </w:p>
        </w:tc>
        <w:tc>
          <w:tcPr>
            <w:tcW w:w="669" w:type="pct"/>
            <w:shd w:val="clear" w:color="auto" w:fill="auto"/>
            <w:noWrap/>
            <w:vAlign w:val="bottom"/>
            <w:hideMark/>
          </w:tcPr>
          <w:p w14:paraId="426E3144"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25.20</w:t>
            </w:r>
          </w:p>
        </w:tc>
        <w:tc>
          <w:tcPr>
            <w:tcW w:w="802" w:type="pct"/>
            <w:shd w:val="clear" w:color="auto" w:fill="auto"/>
            <w:noWrap/>
            <w:vAlign w:val="bottom"/>
            <w:hideMark/>
          </w:tcPr>
          <w:p w14:paraId="1864DDB0"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15.00</w:t>
            </w:r>
          </w:p>
        </w:tc>
        <w:tc>
          <w:tcPr>
            <w:tcW w:w="768" w:type="pct"/>
            <w:shd w:val="clear" w:color="auto" w:fill="auto"/>
            <w:noWrap/>
            <w:vAlign w:val="bottom"/>
            <w:hideMark/>
          </w:tcPr>
          <w:p w14:paraId="70997690"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377CEB" w:rsidRPr="005B12AE" w14:paraId="3E9E14C7" w14:textId="77777777" w:rsidTr="00250DAC">
        <w:trPr>
          <w:trHeight w:val="20"/>
        </w:trPr>
        <w:tc>
          <w:tcPr>
            <w:tcW w:w="229" w:type="pct"/>
            <w:vMerge/>
            <w:shd w:val="clear" w:color="auto" w:fill="auto"/>
            <w:vAlign w:val="center"/>
            <w:hideMark/>
          </w:tcPr>
          <w:p w14:paraId="528CBA04" w14:textId="77777777" w:rsidR="00377CEB" w:rsidRPr="005B12AE" w:rsidRDefault="00377CEB" w:rsidP="00250DAC">
            <w:pPr>
              <w:spacing w:after="0" w:line="240" w:lineRule="auto"/>
              <w:jc w:val="center"/>
              <w:rPr>
                <w:rFonts w:ascii="Times New Roman" w:hAnsi="Times New Roman"/>
                <w:color w:val="000000"/>
                <w:sz w:val="20"/>
                <w:szCs w:val="20"/>
              </w:rPr>
            </w:pPr>
          </w:p>
        </w:tc>
        <w:tc>
          <w:tcPr>
            <w:tcW w:w="1195" w:type="pct"/>
            <w:vMerge/>
            <w:shd w:val="clear" w:color="auto" w:fill="auto"/>
            <w:hideMark/>
          </w:tcPr>
          <w:p w14:paraId="7BC9104E" w14:textId="77777777" w:rsidR="00377CEB" w:rsidRPr="005B12AE" w:rsidRDefault="00377CEB" w:rsidP="00250DAC">
            <w:pPr>
              <w:spacing w:after="0" w:line="240" w:lineRule="auto"/>
              <w:rPr>
                <w:rFonts w:ascii="Times New Roman" w:hAnsi="Times New Roman"/>
                <w:sz w:val="20"/>
                <w:szCs w:val="20"/>
              </w:rPr>
            </w:pPr>
          </w:p>
        </w:tc>
        <w:tc>
          <w:tcPr>
            <w:tcW w:w="1337" w:type="pct"/>
            <w:shd w:val="clear" w:color="auto" w:fill="auto"/>
            <w:hideMark/>
          </w:tcPr>
          <w:p w14:paraId="6B836CE8"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loan accepted</w:t>
            </w:r>
          </w:p>
        </w:tc>
        <w:tc>
          <w:tcPr>
            <w:tcW w:w="669" w:type="pct"/>
            <w:shd w:val="clear" w:color="auto" w:fill="auto"/>
            <w:noWrap/>
            <w:vAlign w:val="bottom"/>
            <w:hideMark/>
          </w:tcPr>
          <w:p w14:paraId="2BF5E1C4"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444.60</w:t>
            </w:r>
          </w:p>
        </w:tc>
        <w:tc>
          <w:tcPr>
            <w:tcW w:w="802" w:type="pct"/>
            <w:shd w:val="clear" w:color="auto" w:fill="auto"/>
            <w:noWrap/>
            <w:vAlign w:val="bottom"/>
            <w:hideMark/>
          </w:tcPr>
          <w:p w14:paraId="12E2DBD2"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68" w:type="pct"/>
            <w:shd w:val="clear" w:color="auto" w:fill="auto"/>
            <w:noWrap/>
            <w:vAlign w:val="bottom"/>
            <w:hideMark/>
          </w:tcPr>
          <w:p w14:paraId="2417C2EF"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377CEB" w:rsidRPr="005B12AE" w14:paraId="303E71A8" w14:textId="77777777" w:rsidTr="00250DAC">
        <w:trPr>
          <w:trHeight w:val="20"/>
        </w:trPr>
        <w:tc>
          <w:tcPr>
            <w:tcW w:w="229" w:type="pct"/>
            <w:vMerge/>
            <w:shd w:val="clear" w:color="auto" w:fill="auto"/>
            <w:vAlign w:val="center"/>
            <w:hideMark/>
          </w:tcPr>
          <w:p w14:paraId="518FFAD9" w14:textId="77777777" w:rsidR="00377CEB" w:rsidRPr="005B12AE" w:rsidRDefault="00377CEB" w:rsidP="00250DAC">
            <w:pPr>
              <w:spacing w:after="0" w:line="240" w:lineRule="auto"/>
              <w:jc w:val="center"/>
              <w:rPr>
                <w:rFonts w:ascii="Times New Roman" w:hAnsi="Times New Roman"/>
                <w:color w:val="000000"/>
                <w:sz w:val="20"/>
                <w:szCs w:val="20"/>
              </w:rPr>
            </w:pPr>
          </w:p>
        </w:tc>
        <w:tc>
          <w:tcPr>
            <w:tcW w:w="1195" w:type="pct"/>
            <w:vMerge/>
            <w:shd w:val="clear" w:color="auto" w:fill="auto"/>
            <w:hideMark/>
          </w:tcPr>
          <w:p w14:paraId="1B972788" w14:textId="77777777" w:rsidR="00377CEB" w:rsidRPr="005B12AE" w:rsidRDefault="00377CEB" w:rsidP="00250DAC">
            <w:pPr>
              <w:spacing w:after="0" w:line="240" w:lineRule="auto"/>
              <w:rPr>
                <w:rFonts w:ascii="Times New Roman" w:hAnsi="Times New Roman"/>
                <w:sz w:val="20"/>
                <w:szCs w:val="20"/>
              </w:rPr>
            </w:pPr>
          </w:p>
        </w:tc>
        <w:tc>
          <w:tcPr>
            <w:tcW w:w="1337" w:type="pct"/>
            <w:shd w:val="clear" w:color="auto" w:fill="auto"/>
            <w:hideMark/>
          </w:tcPr>
          <w:p w14:paraId="10D457F0"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loan repaid</w:t>
            </w:r>
          </w:p>
        </w:tc>
        <w:tc>
          <w:tcPr>
            <w:tcW w:w="669" w:type="pct"/>
            <w:shd w:val="clear" w:color="auto" w:fill="auto"/>
            <w:noWrap/>
            <w:vAlign w:val="bottom"/>
            <w:hideMark/>
          </w:tcPr>
          <w:p w14:paraId="3D3E4943"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456.94</w:t>
            </w:r>
          </w:p>
        </w:tc>
        <w:tc>
          <w:tcPr>
            <w:tcW w:w="802" w:type="pct"/>
            <w:shd w:val="clear" w:color="auto" w:fill="auto"/>
            <w:noWrap/>
            <w:vAlign w:val="bottom"/>
            <w:hideMark/>
          </w:tcPr>
          <w:p w14:paraId="198D563A"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26.22</w:t>
            </w:r>
          </w:p>
        </w:tc>
        <w:tc>
          <w:tcPr>
            <w:tcW w:w="768" w:type="pct"/>
            <w:shd w:val="clear" w:color="auto" w:fill="auto"/>
            <w:noWrap/>
            <w:vAlign w:val="bottom"/>
            <w:hideMark/>
          </w:tcPr>
          <w:p w14:paraId="5E319C1A"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377CEB" w:rsidRPr="005B12AE" w14:paraId="53DEEBDB" w14:textId="77777777" w:rsidTr="00250DAC">
        <w:trPr>
          <w:trHeight w:val="20"/>
        </w:trPr>
        <w:tc>
          <w:tcPr>
            <w:tcW w:w="229" w:type="pct"/>
            <w:vMerge/>
            <w:shd w:val="clear" w:color="auto" w:fill="auto"/>
            <w:vAlign w:val="center"/>
            <w:hideMark/>
          </w:tcPr>
          <w:p w14:paraId="669AF632" w14:textId="77777777" w:rsidR="00377CEB" w:rsidRPr="005B12AE" w:rsidRDefault="00377CEB" w:rsidP="00250DAC">
            <w:pPr>
              <w:spacing w:after="0" w:line="240" w:lineRule="auto"/>
              <w:jc w:val="center"/>
              <w:rPr>
                <w:rFonts w:ascii="Times New Roman" w:hAnsi="Times New Roman"/>
                <w:color w:val="000000"/>
                <w:sz w:val="20"/>
                <w:szCs w:val="20"/>
              </w:rPr>
            </w:pPr>
          </w:p>
        </w:tc>
        <w:tc>
          <w:tcPr>
            <w:tcW w:w="1195" w:type="pct"/>
            <w:vMerge/>
            <w:shd w:val="clear" w:color="auto" w:fill="auto"/>
            <w:hideMark/>
          </w:tcPr>
          <w:p w14:paraId="61E3D6E5" w14:textId="77777777" w:rsidR="00377CEB" w:rsidRPr="005B12AE" w:rsidRDefault="00377CEB" w:rsidP="00250DAC">
            <w:pPr>
              <w:spacing w:after="0" w:line="240" w:lineRule="auto"/>
              <w:rPr>
                <w:rFonts w:ascii="Times New Roman" w:hAnsi="Times New Roman"/>
                <w:sz w:val="20"/>
                <w:szCs w:val="20"/>
              </w:rPr>
            </w:pPr>
          </w:p>
        </w:tc>
        <w:tc>
          <w:tcPr>
            <w:tcW w:w="1337" w:type="pct"/>
            <w:shd w:val="clear" w:color="auto" w:fill="auto"/>
            <w:hideMark/>
          </w:tcPr>
          <w:p w14:paraId="7CB7FD42"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Closing Balance</w:t>
            </w:r>
          </w:p>
        </w:tc>
        <w:tc>
          <w:tcPr>
            <w:tcW w:w="669" w:type="pct"/>
            <w:shd w:val="clear" w:color="auto" w:fill="auto"/>
            <w:noWrap/>
            <w:vAlign w:val="bottom"/>
            <w:hideMark/>
          </w:tcPr>
          <w:p w14:paraId="397BC6A9"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1.64</w:t>
            </w:r>
          </w:p>
        </w:tc>
        <w:tc>
          <w:tcPr>
            <w:tcW w:w="802" w:type="pct"/>
            <w:shd w:val="clear" w:color="auto" w:fill="auto"/>
            <w:noWrap/>
            <w:vAlign w:val="bottom"/>
            <w:hideMark/>
          </w:tcPr>
          <w:p w14:paraId="5C811AA2"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(11.22)</w:t>
            </w:r>
          </w:p>
        </w:tc>
        <w:tc>
          <w:tcPr>
            <w:tcW w:w="768" w:type="pct"/>
            <w:shd w:val="clear" w:color="auto" w:fill="auto"/>
            <w:noWrap/>
            <w:vAlign w:val="bottom"/>
            <w:hideMark/>
          </w:tcPr>
          <w:p w14:paraId="5FE79F80"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377CEB" w:rsidRPr="005B12AE" w14:paraId="5241037D" w14:textId="77777777" w:rsidTr="00250DAC">
        <w:trPr>
          <w:trHeight w:val="20"/>
        </w:trPr>
        <w:tc>
          <w:tcPr>
            <w:tcW w:w="229" w:type="pct"/>
            <w:vMerge w:val="restart"/>
            <w:shd w:val="clear" w:color="auto" w:fill="auto"/>
            <w:vAlign w:val="center"/>
            <w:hideMark/>
          </w:tcPr>
          <w:p w14:paraId="2A0B2227"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6</w:t>
            </w:r>
          </w:p>
          <w:p w14:paraId="0829F3BC"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p w14:paraId="4C78244D"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tc>
        <w:tc>
          <w:tcPr>
            <w:tcW w:w="1195" w:type="pct"/>
            <w:vMerge w:val="restart"/>
            <w:shd w:val="clear" w:color="auto" w:fill="auto"/>
            <w:hideMark/>
          </w:tcPr>
          <w:p w14:paraId="38156FDF" w14:textId="77777777" w:rsidR="00377CEB" w:rsidRPr="005B12AE" w:rsidRDefault="00377CEB" w:rsidP="00250DAC">
            <w:pPr>
              <w:spacing w:after="0" w:line="240" w:lineRule="auto"/>
              <w:jc w:val="both"/>
              <w:rPr>
                <w:rFonts w:ascii="Times New Roman" w:hAnsi="Times New Roman"/>
                <w:sz w:val="20"/>
                <w:szCs w:val="20"/>
              </w:rPr>
            </w:pPr>
            <w:r w:rsidRPr="005B12AE">
              <w:rPr>
                <w:rFonts w:ascii="Times New Roman" w:hAnsi="Times New Roman"/>
                <w:sz w:val="20"/>
                <w:szCs w:val="20"/>
              </w:rPr>
              <w:t>Dwarkadhish Venture Private Limited (formerly known as Siyaram Metals Private Limited)</w:t>
            </w:r>
          </w:p>
        </w:tc>
        <w:tc>
          <w:tcPr>
            <w:tcW w:w="1337" w:type="pct"/>
            <w:shd w:val="clear" w:color="auto" w:fill="auto"/>
            <w:vAlign w:val="center"/>
            <w:hideMark/>
          </w:tcPr>
          <w:p w14:paraId="297185F2" w14:textId="77777777" w:rsidR="00377CEB" w:rsidRPr="005B12AE" w:rsidRDefault="00377CEB"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t>Opening Balance</w:t>
            </w:r>
          </w:p>
        </w:tc>
        <w:tc>
          <w:tcPr>
            <w:tcW w:w="669" w:type="pct"/>
            <w:shd w:val="clear" w:color="auto" w:fill="auto"/>
            <w:noWrap/>
            <w:vAlign w:val="bottom"/>
            <w:hideMark/>
          </w:tcPr>
          <w:p w14:paraId="032C56C8"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02" w:type="pct"/>
            <w:shd w:val="clear" w:color="auto" w:fill="auto"/>
            <w:noWrap/>
            <w:vAlign w:val="bottom"/>
            <w:hideMark/>
          </w:tcPr>
          <w:p w14:paraId="5709DD2B"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1,271.30</w:t>
            </w:r>
          </w:p>
        </w:tc>
        <w:tc>
          <w:tcPr>
            <w:tcW w:w="768" w:type="pct"/>
            <w:shd w:val="clear" w:color="auto" w:fill="auto"/>
            <w:noWrap/>
            <w:vAlign w:val="bottom"/>
            <w:hideMark/>
          </w:tcPr>
          <w:p w14:paraId="3076A267"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1,270.55</w:t>
            </w:r>
          </w:p>
        </w:tc>
      </w:tr>
      <w:tr w:rsidR="00377CEB" w:rsidRPr="005B12AE" w14:paraId="1433086D" w14:textId="77777777" w:rsidTr="00250DAC">
        <w:trPr>
          <w:trHeight w:val="20"/>
        </w:trPr>
        <w:tc>
          <w:tcPr>
            <w:tcW w:w="229" w:type="pct"/>
            <w:vMerge/>
            <w:shd w:val="clear" w:color="auto" w:fill="auto"/>
            <w:noWrap/>
            <w:vAlign w:val="bottom"/>
            <w:hideMark/>
          </w:tcPr>
          <w:p w14:paraId="232FA37C" w14:textId="77777777" w:rsidR="00377CEB" w:rsidRPr="005B12AE" w:rsidRDefault="00377CEB" w:rsidP="00250DAC">
            <w:pPr>
              <w:spacing w:after="0" w:line="240" w:lineRule="auto"/>
              <w:jc w:val="center"/>
              <w:rPr>
                <w:rFonts w:ascii="Times New Roman" w:hAnsi="Times New Roman"/>
                <w:sz w:val="20"/>
                <w:szCs w:val="20"/>
              </w:rPr>
            </w:pPr>
          </w:p>
        </w:tc>
        <w:tc>
          <w:tcPr>
            <w:tcW w:w="1195" w:type="pct"/>
            <w:vMerge/>
            <w:shd w:val="clear" w:color="auto" w:fill="auto"/>
            <w:noWrap/>
            <w:vAlign w:val="bottom"/>
            <w:hideMark/>
          </w:tcPr>
          <w:p w14:paraId="759F940D" w14:textId="77777777" w:rsidR="00377CEB" w:rsidRPr="005B12AE" w:rsidRDefault="00377CEB" w:rsidP="00250DAC">
            <w:pPr>
              <w:spacing w:after="0" w:line="240" w:lineRule="auto"/>
              <w:rPr>
                <w:rFonts w:ascii="Times New Roman" w:hAnsi="Times New Roman"/>
                <w:sz w:val="20"/>
                <w:szCs w:val="20"/>
              </w:rPr>
            </w:pPr>
          </w:p>
        </w:tc>
        <w:tc>
          <w:tcPr>
            <w:tcW w:w="1337" w:type="pct"/>
            <w:shd w:val="clear" w:color="auto" w:fill="auto"/>
            <w:hideMark/>
          </w:tcPr>
          <w:p w14:paraId="05FFA5EC"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loan accepted</w:t>
            </w:r>
          </w:p>
        </w:tc>
        <w:tc>
          <w:tcPr>
            <w:tcW w:w="669" w:type="pct"/>
            <w:shd w:val="clear" w:color="auto" w:fill="auto"/>
            <w:noWrap/>
            <w:vAlign w:val="bottom"/>
            <w:hideMark/>
          </w:tcPr>
          <w:p w14:paraId="3B8CF121"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4,470.93</w:t>
            </w:r>
          </w:p>
        </w:tc>
        <w:tc>
          <w:tcPr>
            <w:tcW w:w="802" w:type="pct"/>
            <w:shd w:val="clear" w:color="auto" w:fill="auto"/>
            <w:noWrap/>
            <w:vAlign w:val="bottom"/>
            <w:hideMark/>
          </w:tcPr>
          <w:p w14:paraId="290B40C7"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3,875.47</w:t>
            </w:r>
          </w:p>
        </w:tc>
        <w:tc>
          <w:tcPr>
            <w:tcW w:w="768" w:type="pct"/>
            <w:shd w:val="clear" w:color="auto" w:fill="auto"/>
            <w:noWrap/>
            <w:vAlign w:val="bottom"/>
            <w:hideMark/>
          </w:tcPr>
          <w:p w14:paraId="2FC0D834"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524.29</w:t>
            </w:r>
          </w:p>
        </w:tc>
      </w:tr>
      <w:tr w:rsidR="00377CEB" w:rsidRPr="005B12AE" w14:paraId="22E72FBD" w14:textId="77777777" w:rsidTr="00250DAC">
        <w:trPr>
          <w:trHeight w:val="20"/>
        </w:trPr>
        <w:tc>
          <w:tcPr>
            <w:tcW w:w="229" w:type="pct"/>
            <w:vMerge/>
            <w:shd w:val="clear" w:color="auto" w:fill="auto"/>
            <w:vAlign w:val="center"/>
            <w:hideMark/>
          </w:tcPr>
          <w:p w14:paraId="04D706A8" w14:textId="77777777" w:rsidR="00377CEB" w:rsidRPr="005B12AE" w:rsidRDefault="00377CEB" w:rsidP="00250DAC">
            <w:pPr>
              <w:spacing w:after="0" w:line="240" w:lineRule="auto"/>
              <w:jc w:val="center"/>
              <w:rPr>
                <w:rFonts w:ascii="Times New Roman" w:hAnsi="Times New Roman"/>
                <w:color w:val="000000"/>
                <w:sz w:val="20"/>
                <w:szCs w:val="20"/>
              </w:rPr>
            </w:pPr>
          </w:p>
        </w:tc>
        <w:tc>
          <w:tcPr>
            <w:tcW w:w="1195" w:type="pct"/>
            <w:vMerge/>
            <w:shd w:val="clear" w:color="auto" w:fill="auto"/>
            <w:hideMark/>
          </w:tcPr>
          <w:p w14:paraId="48271254" w14:textId="77777777" w:rsidR="00377CEB" w:rsidRPr="005B12AE" w:rsidRDefault="00377CEB" w:rsidP="00250DAC">
            <w:pPr>
              <w:spacing w:after="0" w:line="240" w:lineRule="auto"/>
              <w:rPr>
                <w:rFonts w:ascii="Times New Roman" w:hAnsi="Times New Roman"/>
                <w:sz w:val="20"/>
                <w:szCs w:val="20"/>
              </w:rPr>
            </w:pPr>
          </w:p>
        </w:tc>
        <w:tc>
          <w:tcPr>
            <w:tcW w:w="1337" w:type="pct"/>
            <w:shd w:val="clear" w:color="auto" w:fill="auto"/>
            <w:hideMark/>
          </w:tcPr>
          <w:p w14:paraId="1DF6FC4E"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loan repaid/given</w:t>
            </w:r>
          </w:p>
        </w:tc>
        <w:tc>
          <w:tcPr>
            <w:tcW w:w="669" w:type="pct"/>
            <w:shd w:val="clear" w:color="auto" w:fill="auto"/>
            <w:noWrap/>
            <w:vAlign w:val="bottom"/>
            <w:hideMark/>
          </w:tcPr>
          <w:p w14:paraId="273A035F"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3,261.90</w:t>
            </w:r>
          </w:p>
        </w:tc>
        <w:tc>
          <w:tcPr>
            <w:tcW w:w="802" w:type="pct"/>
            <w:shd w:val="clear" w:color="auto" w:fill="auto"/>
            <w:noWrap/>
            <w:vAlign w:val="bottom"/>
            <w:hideMark/>
          </w:tcPr>
          <w:p w14:paraId="77A00E7A"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5,146.77</w:t>
            </w:r>
          </w:p>
        </w:tc>
        <w:tc>
          <w:tcPr>
            <w:tcW w:w="768" w:type="pct"/>
            <w:shd w:val="clear" w:color="auto" w:fill="auto"/>
            <w:noWrap/>
            <w:vAlign w:val="bottom"/>
            <w:hideMark/>
          </w:tcPr>
          <w:p w14:paraId="52585CA6"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523.54</w:t>
            </w:r>
          </w:p>
        </w:tc>
      </w:tr>
      <w:tr w:rsidR="00377CEB" w:rsidRPr="005B12AE" w14:paraId="014899A5" w14:textId="77777777" w:rsidTr="00250DAC">
        <w:trPr>
          <w:trHeight w:val="20"/>
        </w:trPr>
        <w:tc>
          <w:tcPr>
            <w:tcW w:w="229" w:type="pct"/>
            <w:vMerge/>
            <w:shd w:val="clear" w:color="auto" w:fill="auto"/>
            <w:vAlign w:val="center"/>
            <w:hideMark/>
          </w:tcPr>
          <w:p w14:paraId="1A1F1A90" w14:textId="77777777" w:rsidR="00377CEB" w:rsidRPr="005B12AE" w:rsidRDefault="00377CEB" w:rsidP="00250DAC">
            <w:pPr>
              <w:spacing w:after="0" w:line="240" w:lineRule="auto"/>
              <w:jc w:val="center"/>
              <w:rPr>
                <w:rFonts w:ascii="Times New Roman" w:hAnsi="Times New Roman"/>
                <w:color w:val="000000"/>
                <w:sz w:val="20"/>
                <w:szCs w:val="20"/>
              </w:rPr>
            </w:pPr>
          </w:p>
        </w:tc>
        <w:tc>
          <w:tcPr>
            <w:tcW w:w="1195" w:type="pct"/>
            <w:vMerge/>
            <w:shd w:val="clear" w:color="auto" w:fill="auto"/>
            <w:hideMark/>
          </w:tcPr>
          <w:p w14:paraId="364AC2EE" w14:textId="77777777" w:rsidR="00377CEB" w:rsidRPr="005B12AE" w:rsidRDefault="00377CEB" w:rsidP="00250DAC">
            <w:pPr>
              <w:spacing w:after="0" w:line="240" w:lineRule="auto"/>
              <w:rPr>
                <w:rFonts w:ascii="Times New Roman" w:hAnsi="Times New Roman"/>
                <w:sz w:val="20"/>
                <w:szCs w:val="20"/>
              </w:rPr>
            </w:pPr>
          </w:p>
        </w:tc>
        <w:tc>
          <w:tcPr>
            <w:tcW w:w="1337" w:type="pct"/>
            <w:shd w:val="clear" w:color="auto" w:fill="auto"/>
            <w:hideMark/>
          </w:tcPr>
          <w:p w14:paraId="6D24FC46"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Closing Balance</w:t>
            </w:r>
          </w:p>
        </w:tc>
        <w:tc>
          <w:tcPr>
            <w:tcW w:w="669" w:type="pct"/>
            <w:shd w:val="clear" w:color="auto" w:fill="auto"/>
            <w:noWrap/>
            <w:vAlign w:val="bottom"/>
            <w:hideMark/>
          </w:tcPr>
          <w:p w14:paraId="3EEF0523"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1,209.03</w:t>
            </w:r>
          </w:p>
        </w:tc>
        <w:tc>
          <w:tcPr>
            <w:tcW w:w="802" w:type="pct"/>
            <w:shd w:val="clear" w:color="auto" w:fill="auto"/>
            <w:noWrap/>
            <w:vAlign w:val="bottom"/>
            <w:hideMark/>
          </w:tcPr>
          <w:p w14:paraId="72A4E55B"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68" w:type="pct"/>
            <w:shd w:val="clear" w:color="auto" w:fill="auto"/>
            <w:noWrap/>
            <w:vAlign w:val="bottom"/>
            <w:hideMark/>
          </w:tcPr>
          <w:p w14:paraId="3AFFC580"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1,271.30</w:t>
            </w:r>
          </w:p>
        </w:tc>
      </w:tr>
      <w:tr w:rsidR="00377CEB" w:rsidRPr="005B12AE" w14:paraId="02BC35E6" w14:textId="77777777" w:rsidTr="00250DAC">
        <w:trPr>
          <w:trHeight w:val="20"/>
        </w:trPr>
        <w:tc>
          <w:tcPr>
            <w:tcW w:w="229" w:type="pct"/>
            <w:vMerge w:val="restart"/>
            <w:shd w:val="clear" w:color="auto" w:fill="auto"/>
            <w:vAlign w:val="center"/>
            <w:hideMark/>
          </w:tcPr>
          <w:p w14:paraId="593AEFC2"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7</w:t>
            </w:r>
          </w:p>
          <w:p w14:paraId="450CD4BF"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p w14:paraId="184A7E94"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tc>
        <w:tc>
          <w:tcPr>
            <w:tcW w:w="1195" w:type="pct"/>
            <w:vMerge w:val="restart"/>
            <w:shd w:val="clear" w:color="auto" w:fill="auto"/>
            <w:hideMark/>
          </w:tcPr>
          <w:p w14:paraId="7CE6A969"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Gurukrupa Metals</w:t>
            </w:r>
          </w:p>
        </w:tc>
        <w:tc>
          <w:tcPr>
            <w:tcW w:w="1337" w:type="pct"/>
            <w:shd w:val="clear" w:color="auto" w:fill="auto"/>
            <w:vAlign w:val="center"/>
            <w:hideMark/>
          </w:tcPr>
          <w:p w14:paraId="37FE2372" w14:textId="77777777" w:rsidR="00377CEB" w:rsidRPr="005B12AE" w:rsidRDefault="00377CEB"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t>Opening Balance</w:t>
            </w:r>
          </w:p>
        </w:tc>
        <w:tc>
          <w:tcPr>
            <w:tcW w:w="669" w:type="pct"/>
            <w:shd w:val="clear" w:color="auto" w:fill="auto"/>
            <w:noWrap/>
            <w:vAlign w:val="bottom"/>
            <w:hideMark/>
          </w:tcPr>
          <w:p w14:paraId="2BA2A176"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02" w:type="pct"/>
            <w:shd w:val="clear" w:color="auto" w:fill="auto"/>
            <w:noWrap/>
            <w:vAlign w:val="bottom"/>
            <w:hideMark/>
          </w:tcPr>
          <w:p w14:paraId="1918E591"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34.00</w:t>
            </w:r>
          </w:p>
        </w:tc>
        <w:tc>
          <w:tcPr>
            <w:tcW w:w="768" w:type="pct"/>
            <w:shd w:val="clear" w:color="auto" w:fill="auto"/>
            <w:noWrap/>
            <w:vAlign w:val="bottom"/>
            <w:hideMark/>
          </w:tcPr>
          <w:p w14:paraId="6B2B99E7"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377CEB" w:rsidRPr="005B12AE" w14:paraId="2085D870" w14:textId="77777777" w:rsidTr="00250DAC">
        <w:trPr>
          <w:trHeight w:val="20"/>
        </w:trPr>
        <w:tc>
          <w:tcPr>
            <w:tcW w:w="229" w:type="pct"/>
            <w:vMerge/>
            <w:shd w:val="clear" w:color="auto" w:fill="auto"/>
            <w:noWrap/>
            <w:vAlign w:val="bottom"/>
            <w:hideMark/>
          </w:tcPr>
          <w:p w14:paraId="096C5927" w14:textId="77777777" w:rsidR="00377CEB" w:rsidRPr="005B12AE" w:rsidRDefault="00377CEB" w:rsidP="00250DAC">
            <w:pPr>
              <w:spacing w:after="0" w:line="240" w:lineRule="auto"/>
              <w:jc w:val="center"/>
              <w:rPr>
                <w:rFonts w:ascii="Times New Roman" w:hAnsi="Times New Roman"/>
                <w:sz w:val="20"/>
                <w:szCs w:val="20"/>
              </w:rPr>
            </w:pPr>
          </w:p>
        </w:tc>
        <w:tc>
          <w:tcPr>
            <w:tcW w:w="1195" w:type="pct"/>
            <w:vMerge/>
            <w:shd w:val="clear" w:color="auto" w:fill="auto"/>
            <w:noWrap/>
            <w:vAlign w:val="bottom"/>
            <w:hideMark/>
          </w:tcPr>
          <w:p w14:paraId="1CA4E12C" w14:textId="77777777" w:rsidR="00377CEB" w:rsidRPr="005B12AE" w:rsidRDefault="00377CEB" w:rsidP="00250DAC">
            <w:pPr>
              <w:spacing w:after="0" w:line="240" w:lineRule="auto"/>
              <w:rPr>
                <w:rFonts w:ascii="Times New Roman" w:hAnsi="Times New Roman"/>
                <w:sz w:val="20"/>
                <w:szCs w:val="20"/>
              </w:rPr>
            </w:pPr>
          </w:p>
        </w:tc>
        <w:tc>
          <w:tcPr>
            <w:tcW w:w="1337" w:type="pct"/>
            <w:shd w:val="clear" w:color="auto" w:fill="auto"/>
            <w:hideMark/>
          </w:tcPr>
          <w:p w14:paraId="7C5F21B3"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loan accepted</w:t>
            </w:r>
          </w:p>
        </w:tc>
        <w:tc>
          <w:tcPr>
            <w:tcW w:w="669" w:type="pct"/>
            <w:shd w:val="clear" w:color="auto" w:fill="auto"/>
            <w:noWrap/>
            <w:vAlign w:val="bottom"/>
            <w:hideMark/>
          </w:tcPr>
          <w:p w14:paraId="689CC0FB"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824.76</w:t>
            </w:r>
          </w:p>
        </w:tc>
        <w:tc>
          <w:tcPr>
            <w:tcW w:w="802" w:type="pct"/>
            <w:shd w:val="clear" w:color="auto" w:fill="auto"/>
            <w:noWrap/>
            <w:vAlign w:val="bottom"/>
            <w:hideMark/>
          </w:tcPr>
          <w:p w14:paraId="60A44376"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785.81</w:t>
            </w:r>
          </w:p>
        </w:tc>
        <w:tc>
          <w:tcPr>
            <w:tcW w:w="768" w:type="pct"/>
            <w:shd w:val="clear" w:color="auto" w:fill="auto"/>
            <w:noWrap/>
            <w:vAlign w:val="bottom"/>
            <w:hideMark/>
          </w:tcPr>
          <w:p w14:paraId="18BCDD63"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297.43</w:t>
            </w:r>
          </w:p>
        </w:tc>
      </w:tr>
      <w:tr w:rsidR="00377CEB" w:rsidRPr="005B12AE" w14:paraId="17415987" w14:textId="77777777" w:rsidTr="00250DAC">
        <w:trPr>
          <w:trHeight w:val="20"/>
        </w:trPr>
        <w:tc>
          <w:tcPr>
            <w:tcW w:w="229" w:type="pct"/>
            <w:vMerge/>
            <w:shd w:val="clear" w:color="auto" w:fill="auto"/>
            <w:vAlign w:val="center"/>
            <w:hideMark/>
          </w:tcPr>
          <w:p w14:paraId="49CD0060" w14:textId="77777777" w:rsidR="00377CEB" w:rsidRPr="005B12AE" w:rsidRDefault="00377CEB" w:rsidP="00250DAC">
            <w:pPr>
              <w:spacing w:after="0" w:line="240" w:lineRule="auto"/>
              <w:jc w:val="center"/>
              <w:rPr>
                <w:rFonts w:ascii="Times New Roman" w:hAnsi="Times New Roman"/>
                <w:color w:val="000000"/>
                <w:sz w:val="20"/>
                <w:szCs w:val="20"/>
              </w:rPr>
            </w:pPr>
          </w:p>
        </w:tc>
        <w:tc>
          <w:tcPr>
            <w:tcW w:w="1195" w:type="pct"/>
            <w:vMerge/>
            <w:shd w:val="clear" w:color="auto" w:fill="auto"/>
            <w:hideMark/>
          </w:tcPr>
          <w:p w14:paraId="58944BD9" w14:textId="77777777" w:rsidR="00377CEB" w:rsidRPr="005B12AE" w:rsidRDefault="00377CEB" w:rsidP="00250DAC">
            <w:pPr>
              <w:spacing w:after="0" w:line="240" w:lineRule="auto"/>
              <w:rPr>
                <w:rFonts w:ascii="Times New Roman" w:hAnsi="Times New Roman"/>
                <w:sz w:val="20"/>
                <w:szCs w:val="20"/>
              </w:rPr>
            </w:pPr>
          </w:p>
        </w:tc>
        <w:tc>
          <w:tcPr>
            <w:tcW w:w="1337" w:type="pct"/>
            <w:shd w:val="clear" w:color="auto" w:fill="auto"/>
            <w:hideMark/>
          </w:tcPr>
          <w:p w14:paraId="4C2EB007"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loan repaid/given</w:t>
            </w:r>
          </w:p>
        </w:tc>
        <w:tc>
          <w:tcPr>
            <w:tcW w:w="669" w:type="pct"/>
            <w:shd w:val="clear" w:color="auto" w:fill="auto"/>
            <w:noWrap/>
            <w:vAlign w:val="bottom"/>
            <w:hideMark/>
          </w:tcPr>
          <w:p w14:paraId="3623E179"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824.76</w:t>
            </w:r>
          </w:p>
        </w:tc>
        <w:tc>
          <w:tcPr>
            <w:tcW w:w="802" w:type="pct"/>
            <w:shd w:val="clear" w:color="auto" w:fill="auto"/>
            <w:noWrap/>
            <w:vAlign w:val="bottom"/>
            <w:hideMark/>
          </w:tcPr>
          <w:p w14:paraId="198DAC23"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819.81</w:t>
            </w:r>
          </w:p>
        </w:tc>
        <w:tc>
          <w:tcPr>
            <w:tcW w:w="768" w:type="pct"/>
            <w:shd w:val="clear" w:color="auto" w:fill="auto"/>
            <w:noWrap/>
            <w:vAlign w:val="bottom"/>
            <w:hideMark/>
          </w:tcPr>
          <w:p w14:paraId="6B1171A3"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263.43</w:t>
            </w:r>
          </w:p>
        </w:tc>
      </w:tr>
      <w:tr w:rsidR="00377CEB" w:rsidRPr="005B12AE" w14:paraId="17B4B3F2" w14:textId="77777777" w:rsidTr="00250DAC">
        <w:trPr>
          <w:trHeight w:val="20"/>
        </w:trPr>
        <w:tc>
          <w:tcPr>
            <w:tcW w:w="229" w:type="pct"/>
            <w:vMerge/>
            <w:shd w:val="clear" w:color="auto" w:fill="auto"/>
            <w:vAlign w:val="center"/>
            <w:hideMark/>
          </w:tcPr>
          <w:p w14:paraId="41144551" w14:textId="77777777" w:rsidR="00377CEB" w:rsidRPr="005B12AE" w:rsidRDefault="00377CEB" w:rsidP="00250DAC">
            <w:pPr>
              <w:spacing w:after="0" w:line="240" w:lineRule="auto"/>
              <w:jc w:val="center"/>
              <w:rPr>
                <w:rFonts w:ascii="Times New Roman" w:hAnsi="Times New Roman"/>
                <w:color w:val="000000"/>
                <w:sz w:val="20"/>
                <w:szCs w:val="20"/>
              </w:rPr>
            </w:pPr>
          </w:p>
        </w:tc>
        <w:tc>
          <w:tcPr>
            <w:tcW w:w="1195" w:type="pct"/>
            <w:vMerge/>
            <w:shd w:val="clear" w:color="auto" w:fill="auto"/>
            <w:hideMark/>
          </w:tcPr>
          <w:p w14:paraId="41B413E2" w14:textId="77777777" w:rsidR="00377CEB" w:rsidRPr="005B12AE" w:rsidRDefault="00377CEB" w:rsidP="00250DAC">
            <w:pPr>
              <w:spacing w:after="0" w:line="240" w:lineRule="auto"/>
              <w:rPr>
                <w:rFonts w:ascii="Times New Roman" w:hAnsi="Times New Roman"/>
                <w:sz w:val="20"/>
                <w:szCs w:val="20"/>
              </w:rPr>
            </w:pPr>
          </w:p>
        </w:tc>
        <w:tc>
          <w:tcPr>
            <w:tcW w:w="1337" w:type="pct"/>
            <w:shd w:val="clear" w:color="auto" w:fill="auto"/>
            <w:hideMark/>
          </w:tcPr>
          <w:p w14:paraId="346BAEAD"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Closing Balance</w:t>
            </w:r>
          </w:p>
        </w:tc>
        <w:tc>
          <w:tcPr>
            <w:tcW w:w="669" w:type="pct"/>
            <w:shd w:val="clear" w:color="auto" w:fill="auto"/>
            <w:noWrap/>
            <w:vAlign w:val="bottom"/>
            <w:hideMark/>
          </w:tcPr>
          <w:p w14:paraId="2218FA11"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02" w:type="pct"/>
            <w:shd w:val="clear" w:color="auto" w:fill="auto"/>
            <w:noWrap/>
            <w:vAlign w:val="bottom"/>
            <w:hideMark/>
          </w:tcPr>
          <w:p w14:paraId="333E2223"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68" w:type="pct"/>
            <w:shd w:val="clear" w:color="auto" w:fill="auto"/>
            <w:noWrap/>
            <w:vAlign w:val="bottom"/>
            <w:hideMark/>
          </w:tcPr>
          <w:p w14:paraId="71B068E3"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34.00</w:t>
            </w:r>
          </w:p>
        </w:tc>
      </w:tr>
      <w:tr w:rsidR="00377CEB" w:rsidRPr="005B12AE" w14:paraId="3CA2D6E7" w14:textId="77777777" w:rsidTr="00250DAC">
        <w:trPr>
          <w:trHeight w:val="20"/>
        </w:trPr>
        <w:tc>
          <w:tcPr>
            <w:tcW w:w="229" w:type="pct"/>
            <w:vMerge w:val="restart"/>
            <w:shd w:val="clear" w:color="auto" w:fill="auto"/>
            <w:vAlign w:val="center"/>
            <w:hideMark/>
          </w:tcPr>
          <w:p w14:paraId="0A67F88D"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8</w:t>
            </w:r>
          </w:p>
          <w:p w14:paraId="51B6DE16"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 </w:t>
            </w:r>
          </w:p>
          <w:p w14:paraId="6F72D9EA"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p w14:paraId="241EE3BD"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p w14:paraId="50139BB5"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p w14:paraId="1B4944A0"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tc>
        <w:tc>
          <w:tcPr>
            <w:tcW w:w="1195" w:type="pct"/>
            <w:vMerge w:val="restart"/>
            <w:shd w:val="clear" w:color="auto" w:fill="auto"/>
            <w:hideMark/>
          </w:tcPr>
          <w:p w14:paraId="64DA67BE"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Dwarkesh Alloys Pvt Ltd</w:t>
            </w:r>
          </w:p>
        </w:tc>
        <w:tc>
          <w:tcPr>
            <w:tcW w:w="1337" w:type="pct"/>
            <w:shd w:val="clear" w:color="auto" w:fill="auto"/>
            <w:vAlign w:val="center"/>
            <w:hideMark/>
          </w:tcPr>
          <w:p w14:paraId="29CAD804" w14:textId="77777777" w:rsidR="00377CEB" w:rsidRPr="005B12AE" w:rsidRDefault="00377CEB"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t>Opening Balance</w:t>
            </w:r>
          </w:p>
        </w:tc>
        <w:tc>
          <w:tcPr>
            <w:tcW w:w="669" w:type="pct"/>
            <w:shd w:val="clear" w:color="auto" w:fill="auto"/>
            <w:noWrap/>
            <w:vAlign w:val="bottom"/>
            <w:hideMark/>
          </w:tcPr>
          <w:p w14:paraId="65CDCBD2"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37.40</w:t>
            </w:r>
          </w:p>
        </w:tc>
        <w:tc>
          <w:tcPr>
            <w:tcW w:w="802" w:type="pct"/>
            <w:shd w:val="clear" w:color="auto" w:fill="auto"/>
            <w:noWrap/>
            <w:vAlign w:val="bottom"/>
            <w:hideMark/>
          </w:tcPr>
          <w:p w14:paraId="2311243D"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89.41</w:t>
            </w:r>
          </w:p>
        </w:tc>
        <w:tc>
          <w:tcPr>
            <w:tcW w:w="768" w:type="pct"/>
            <w:shd w:val="clear" w:color="auto" w:fill="auto"/>
            <w:noWrap/>
            <w:vAlign w:val="bottom"/>
            <w:hideMark/>
          </w:tcPr>
          <w:p w14:paraId="63A7EFAE" w14:textId="77777777" w:rsidR="00377CEB" w:rsidRPr="005B12AE" w:rsidRDefault="00377CEB"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w:t>
            </w:r>
          </w:p>
        </w:tc>
      </w:tr>
      <w:tr w:rsidR="00377CEB" w:rsidRPr="005B12AE" w14:paraId="17C61F7C" w14:textId="77777777" w:rsidTr="00250DAC">
        <w:trPr>
          <w:trHeight w:val="20"/>
        </w:trPr>
        <w:tc>
          <w:tcPr>
            <w:tcW w:w="229" w:type="pct"/>
            <w:vMerge/>
            <w:shd w:val="clear" w:color="auto" w:fill="auto"/>
            <w:noWrap/>
            <w:vAlign w:val="bottom"/>
            <w:hideMark/>
          </w:tcPr>
          <w:p w14:paraId="4E1B3CF3" w14:textId="77777777" w:rsidR="00377CEB" w:rsidRPr="005B12AE" w:rsidRDefault="00377CEB" w:rsidP="00250DAC">
            <w:pPr>
              <w:spacing w:after="0" w:line="240" w:lineRule="auto"/>
              <w:jc w:val="center"/>
              <w:rPr>
                <w:rFonts w:ascii="Times New Roman" w:hAnsi="Times New Roman"/>
                <w:sz w:val="20"/>
                <w:szCs w:val="20"/>
              </w:rPr>
            </w:pPr>
          </w:p>
        </w:tc>
        <w:tc>
          <w:tcPr>
            <w:tcW w:w="1195" w:type="pct"/>
            <w:vMerge/>
            <w:shd w:val="clear" w:color="auto" w:fill="auto"/>
            <w:noWrap/>
            <w:vAlign w:val="bottom"/>
            <w:hideMark/>
          </w:tcPr>
          <w:p w14:paraId="05FE18BD" w14:textId="77777777" w:rsidR="00377CEB" w:rsidRPr="005B12AE" w:rsidRDefault="00377CEB" w:rsidP="00250DAC">
            <w:pPr>
              <w:spacing w:after="0" w:line="240" w:lineRule="auto"/>
              <w:rPr>
                <w:rFonts w:ascii="Times New Roman" w:hAnsi="Times New Roman"/>
                <w:sz w:val="20"/>
                <w:szCs w:val="20"/>
              </w:rPr>
            </w:pPr>
          </w:p>
        </w:tc>
        <w:tc>
          <w:tcPr>
            <w:tcW w:w="1337" w:type="pct"/>
            <w:shd w:val="clear" w:color="auto" w:fill="auto"/>
            <w:hideMark/>
          </w:tcPr>
          <w:p w14:paraId="0007B1B4"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loan accepted</w:t>
            </w:r>
          </w:p>
        </w:tc>
        <w:tc>
          <w:tcPr>
            <w:tcW w:w="669" w:type="pct"/>
            <w:shd w:val="clear" w:color="auto" w:fill="auto"/>
            <w:noWrap/>
            <w:vAlign w:val="bottom"/>
            <w:hideMark/>
          </w:tcPr>
          <w:p w14:paraId="4238EBDB"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02" w:type="pct"/>
            <w:shd w:val="clear" w:color="auto" w:fill="auto"/>
            <w:noWrap/>
            <w:vAlign w:val="bottom"/>
            <w:hideMark/>
          </w:tcPr>
          <w:p w14:paraId="1CBD0382"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40.00</w:t>
            </w:r>
          </w:p>
        </w:tc>
        <w:tc>
          <w:tcPr>
            <w:tcW w:w="768" w:type="pct"/>
            <w:shd w:val="clear" w:color="auto" w:fill="auto"/>
            <w:noWrap/>
            <w:vAlign w:val="bottom"/>
            <w:hideMark/>
          </w:tcPr>
          <w:p w14:paraId="1A3C5644" w14:textId="77777777" w:rsidR="00377CEB" w:rsidRPr="005B12AE" w:rsidRDefault="00377CEB" w:rsidP="00250DAC">
            <w:pPr>
              <w:spacing w:after="0" w:line="240" w:lineRule="auto"/>
              <w:jc w:val="center"/>
              <w:rPr>
                <w:rFonts w:ascii="Times New Roman" w:hAnsi="Times New Roman"/>
                <w:sz w:val="20"/>
                <w:szCs w:val="20"/>
              </w:rPr>
            </w:pPr>
          </w:p>
        </w:tc>
      </w:tr>
      <w:tr w:rsidR="00377CEB" w:rsidRPr="005B12AE" w14:paraId="46D225B5" w14:textId="77777777" w:rsidTr="00250DAC">
        <w:trPr>
          <w:trHeight w:val="20"/>
        </w:trPr>
        <w:tc>
          <w:tcPr>
            <w:tcW w:w="229" w:type="pct"/>
            <w:vMerge/>
            <w:shd w:val="clear" w:color="auto" w:fill="auto"/>
            <w:vAlign w:val="center"/>
            <w:hideMark/>
          </w:tcPr>
          <w:p w14:paraId="26B2950A" w14:textId="77777777" w:rsidR="00377CEB" w:rsidRPr="005B12AE" w:rsidRDefault="00377CEB" w:rsidP="00250DAC">
            <w:pPr>
              <w:spacing w:after="0" w:line="240" w:lineRule="auto"/>
              <w:jc w:val="center"/>
              <w:rPr>
                <w:rFonts w:ascii="Times New Roman" w:hAnsi="Times New Roman"/>
                <w:color w:val="000000"/>
                <w:sz w:val="20"/>
                <w:szCs w:val="20"/>
              </w:rPr>
            </w:pPr>
          </w:p>
        </w:tc>
        <w:tc>
          <w:tcPr>
            <w:tcW w:w="1195" w:type="pct"/>
            <w:vMerge/>
            <w:shd w:val="clear" w:color="auto" w:fill="auto"/>
            <w:hideMark/>
          </w:tcPr>
          <w:p w14:paraId="2C0C74EE" w14:textId="77777777" w:rsidR="00377CEB" w:rsidRPr="005B12AE" w:rsidRDefault="00377CEB" w:rsidP="00250DAC">
            <w:pPr>
              <w:spacing w:after="0" w:line="240" w:lineRule="auto"/>
              <w:rPr>
                <w:rFonts w:ascii="Times New Roman" w:hAnsi="Times New Roman"/>
                <w:sz w:val="20"/>
                <w:szCs w:val="20"/>
              </w:rPr>
            </w:pPr>
          </w:p>
        </w:tc>
        <w:tc>
          <w:tcPr>
            <w:tcW w:w="1337" w:type="pct"/>
            <w:shd w:val="clear" w:color="auto" w:fill="auto"/>
            <w:hideMark/>
          </w:tcPr>
          <w:p w14:paraId="74EE8F32"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loan repaid/given</w:t>
            </w:r>
          </w:p>
        </w:tc>
        <w:tc>
          <w:tcPr>
            <w:tcW w:w="669" w:type="pct"/>
            <w:shd w:val="clear" w:color="auto" w:fill="auto"/>
            <w:noWrap/>
            <w:vAlign w:val="bottom"/>
            <w:hideMark/>
          </w:tcPr>
          <w:p w14:paraId="7EF86EF7"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10.00</w:t>
            </w:r>
          </w:p>
        </w:tc>
        <w:tc>
          <w:tcPr>
            <w:tcW w:w="802" w:type="pct"/>
            <w:shd w:val="clear" w:color="auto" w:fill="auto"/>
            <w:noWrap/>
            <w:vAlign w:val="bottom"/>
            <w:hideMark/>
          </w:tcPr>
          <w:p w14:paraId="1BC5F909"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632.89</w:t>
            </w:r>
          </w:p>
        </w:tc>
        <w:tc>
          <w:tcPr>
            <w:tcW w:w="768" w:type="pct"/>
            <w:shd w:val="clear" w:color="auto" w:fill="auto"/>
            <w:noWrap/>
            <w:vAlign w:val="bottom"/>
            <w:hideMark/>
          </w:tcPr>
          <w:p w14:paraId="14EF9920"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621.10</w:t>
            </w:r>
          </w:p>
        </w:tc>
      </w:tr>
      <w:tr w:rsidR="00377CEB" w:rsidRPr="005B12AE" w14:paraId="1BC39678" w14:textId="77777777" w:rsidTr="00250DAC">
        <w:trPr>
          <w:trHeight w:val="20"/>
        </w:trPr>
        <w:tc>
          <w:tcPr>
            <w:tcW w:w="229" w:type="pct"/>
            <w:vMerge/>
            <w:shd w:val="clear" w:color="auto" w:fill="auto"/>
            <w:vAlign w:val="center"/>
            <w:hideMark/>
          </w:tcPr>
          <w:p w14:paraId="06FD7CBB" w14:textId="77777777" w:rsidR="00377CEB" w:rsidRPr="005B12AE" w:rsidRDefault="00377CEB" w:rsidP="00250DAC">
            <w:pPr>
              <w:spacing w:after="0" w:line="240" w:lineRule="auto"/>
              <w:jc w:val="center"/>
              <w:rPr>
                <w:rFonts w:ascii="Times New Roman" w:hAnsi="Times New Roman"/>
                <w:color w:val="000000"/>
                <w:sz w:val="20"/>
                <w:szCs w:val="20"/>
              </w:rPr>
            </w:pPr>
          </w:p>
        </w:tc>
        <w:tc>
          <w:tcPr>
            <w:tcW w:w="1195" w:type="pct"/>
            <w:vMerge/>
            <w:shd w:val="clear" w:color="auto" w:fill="auto"/>
            <w:vAlign w:val="center"/>
            <w:hideMark/>
          </w:tcPr>
          <w:p w14:paraId="45A6BB98" w14:textId="77777777" w:rsidR="00377CEB" w:rsidRPr="005B12AE" w:rsidRDefault="00377CEB" w:rsidP="00250DAC">
            <w:pPr>
              <w:spacing w:after="0" w:line="240" w:lineRule="auto"/>
              <w:rPr>
                <w:rFonts w:ascii="Times New Roman" w:hAnsi="Times New Roman"/>
                <w:b/>
                <w:bCs/>
                <w:color w:val="000000"/>
                <w:sz w:val="20"/>
                <w:szCs w:val="20"/>
              </w:rPr>
            </w:pPr>
          </w:p>
        </w:tc>
        <w:tc>
          <w:tcPr>
            <w:tcW w:w="1337" w:type="pct"/>
            <w:shd w:val="clear" w:color="auto" w:fill="auto"/>
            <w:vAlign w:val="center"/>
            <w:hideMark/>
          </w:tcPr>
          <w:p w14:paraId="28778FC3" w14:textId="77777777" w:rsidR="00377CEB" w:rsidRPr="005B12AE" w:rsidRDefault="00377CEB"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t>Purchases</w:t>
            </w:r>
          </w:p>
        </w:tc>
        <w:tc>
          <w:tcPr>
            <w:tcW w:w="669" w:type="pct"/>
            <w:shd w:val="clear" w:color="auto" w:fill="auto"/>
            <w:noWrap/>
            <w:vAlign w:val="bottom"/>
            <w:hideMark/>
          </w:tcPr>
          <w:p w14:paraId="0DD2E1A4"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02" w:type="pct"/>
            <w:shd w:val="clear" w:color="auto" w:fill="auto"/>
            <w:noWrap/>
            <w:vAlign w:val="bottom"/>
            <w:hideMark/>
          </w:tcPr>
          <w:p w14:paraId="6E271416"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640.55</w:t>
            </w:r>
          </w:p>
        </w:tc>
        <w:tc>
          <w:tcPr>
            <w:tcW w:w="768" w:type="pct"/>
            <w:shd w:val="clear" w:color="auto" w:fill="auto"/>
            <w:noWrap/>
            <w:vAlign w:val="bottom"/>
            <w:hideMark/>
          </w:tcPr>
          <w:p w14:paraId="6C3A8314"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710.51</w:t>
            </w:r>
          </w:p>
        </w:tc>
      </w:tr>
      <w:tr w:rsidR="00377CEB" w:rsidRPr="005B12AE" w14:paraId="6B7F4D8D" w14:textId="77777777" w:rsidTr="00250DAC">
        <w:trPr>
          <w:trHeight w:val="20"/>
        </w:trPr>
        <w:tc>
          <w:tcPr>
            <w:tcW w:w="229" w:type="pct"/>
            <w:vMerge/>
            <w:shd w:val="clear" w:color="auto" w:fill="auto"/>
            <w:vAlign w:val="center"/>
            <w:hideMark/>
          </w:tcPr>
          <w:p w14:paraId="39704B57" w14:textId="77777777" w:rsidR="00377CEB" w:rsidRPr="005B12AE" w:rsidRDefault="00377CEB" w:rsidP="00250DAC">
            <w:pPr>
              <w:spacing w:after="0" w:line="240" w:lineRule="auto"/>
              <w:jc w:val="center"/>
              <w:rPr>
                <w:rFonts w:ascii="Times New Roman" w:hAnsi="Times New Roman"/>
                <w:color w:val="000000"/>
                <w:sz w:val="20"/>
                <w:szCs w:val="20"/>
              </w:rPr>
            </w:pPr>
          </w:p>
        </w:tc>
        <w:tc>
          <w:tcPr>
            <w:tcW w:w="1195" w:type="pct"/>
            <w:vMerge/>
            <w:shd w:val="clear" w:color="auto" w:fill="auto"/>
            <w:vAlign w:val="center"/>
            <w:hideMark/>
          </w:tcPr>
          <w:p w14:paraId="240728F7" w14:textId="77777777" w:rsidR="00377CEB" w:rsidRPr="005B12AE" w:rsidRDefault="00377CEB" w:rsidP="00250DAC">
            <w:pPr>
              <w:spacing w:after="0" w:line="240" w:lineRule="auto"/>
              <w:rPr>
                <w:rFonts w:ascii="Times New Roman" w:hAnsi="Times New Roman"/>
                <w:b/>
                <w:bCs/>
                <w:color w:val="000000"/>
                <w:sz w:val="20"/>
                <w:szCs w:val="20"/>
              </w:rPr>
            </w:pPr>
          </w:p>
        </w:tc>
        <w:tc>
          <w:tcPr>
            <w:tcW w:w="1337" w:type="pct"/>
            <w:shd w:val="clear" w:color="auto" w:fill="auto"/>
            <w:vAlign w:val="center"/>
            <w:hideMark/>
          </w:tcPr>
          <w:p w14:paraId="41BB55D6" w14:textId="77777777" w:rsidR="00377CEB" w:rsidRPr="005B12AE" w:rsidRDefault="00377CEB"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t>Sales</w:t>
            </w:r>
          </w:p>
        </w:tc>
        <w:tc>
          <w:tcPr>
            <w:tcW w:w="669" w:type="pct"/>
            <w:shd w:val="clear" w:color="auto" w:fill="auto"/>
            <w:noWrap/>
            <w:vAlign w:val="bottom"/>
            <w:hideMark/>
          </w:tcPr>
          <w:p w14:paraId="4AD8BEDE"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02" w:type="pct"/>
            <w:shd w:val="clear" w:color="auto" w:fill="auto"/>
            <w:noWrap/>
            <w:vAlign w:val="bottom"/>
            <w:hideMark/>
          </w:tcPr>
          <w:p w14:paraId="781F3977"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99.66</w:t>
            </w:r>
          </w:p>
        </w:tc>
        <w:tc>
          <w:tcPr>
            <w:tcW w:w="768" w:type="pct"/>
            <w:shd w:val="clear" w:color="auto" w:fill="auto"/>
            <w:noWrap/>
            <w:vAlign w:val="bottom"/>
            <w:hideMark/>
          </w:tcPr>
          <w:p w14:paraId="60EC7CDE"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377CEB" w:rsidRPr="005B12AE" w14:paraId="766FE27B" w14:textId="77777777" w:rsidTr="00250DAC">
        <w:trPr>
          <w:trHeight w:val="20"/>
        </w:trPr>
        <w:tc>
          <w:tcPr>
            <w:tcW w:w="229" w:type="pct"/>
            <w:vMerge/>
            <w:shd w:val="clear" w:color="auto" w:fill="auto"/>
            <w:vAlign w:val="center"/>
            <w:hideMark/>
          </w:tcPr>
          <w:p w14:paraId="0DCF1290" w14:textId="77777777" w:rsidR="00377CEB" w:rsidRPr="005B12AE" w:rsidRDefault="00377CEB" w:rsidP="00250DAC">
            <w:pPr>
              <w:spacing w:after="0" w:line="240" w:lineRule="auto"/>
              <w:jc w:val="center"/>
              <w:rPr>
                <w:rFonts w:ascii="Times New Roman" w:hAnsi="Times New Roman"/>
                <w:color w:val="000000"/>
                <w:sz w:val="20"/>
                <w:szCs w:val="20"/>
              </w:rPr>
            </w:pPr>
          </w:p>
        </w:tc>
        <w:tc>
          <w:tcPr>
            <w:tcW w:w="1195" w:type="pct"/>
            <w:vMerge/>
            <w:shd w:val="clear" w:color="auto" w:fill="auto"/>
            <w:vAlign w:val="center"/>
            <w:hideMark/>
          </w:tcPr>
          <w:p w14:paraId="5C07C6FF" w14:textId="77777777" w:rsidR="00377CEB" w:rsidRPr="005B12AE" w:rsidRDefault="00377CEB" w:rsidP="00250DAC">
            <w:pPr>
              <w:spacing w:after="0" w:line="240" w:lineRule="auto"/>
              <w:rPr>
                <w:rFonts w:ascii="Times New Roman" w:hAnsi="Times New Roman"/>
                <w:b/>
                <w:bCs/>
                <w:color w:val="000000"/>
                <w:sz w:val="20"/>
                <w:szCs w:val="20"/>
              </w:rPr>
            </w:pPr>
          </w:p>
        </w:tc>
        <w:tc>
          <w:tcPr>
            <w:tcW w:w="1337" w:type="pct"/>
            <w:shd w:val="clear" w:color="auto" w:fill="auto"/>
            <w:vAlign w:val="center"/>
            <w:hideMark/>
          </w:tcPr>
          <w:p w14:paraId="316A16AE" w14:textId="77777777" w:rsidR="00377CEB" w:rsidRPr="005B12AE" w:rsidRDefault="00377CEB"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t>Closing Balance</w:t>
            </w:r>
          </w:p>
        </w:tc>
        <w:tc>
          <w:tcPr>
            <w:tcW w:w="669" w:type="pct"/>
            <w:shd w:val="clear" w:color="auto" w:fill="auto"/>
            <w:noWrap/>
            <w:vAlign w:val="bottom"/>
            <w:hideMark/>
          </w:tcPr>
          <w:p w14:paraId="4DF4D638"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27.40</w:t>
            </w:r>
          </w:p>
        </w:tc>
        <w:tc>
          <w:tcPr>
            <w:tcW w:w="802" w:type="pct"/>
            <w:shd w:val="clear" w:color="auto" w:fill="auto"/>
            <w:noWrap/>
            <w:vAlign w:val="bottom"/>
            <w:hideMark/>
          </w:tcPr>
          <w:p w14:paraId="44CB0759"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37.40</w:t>
            </w:r>
          </w:p>
        </w:tc>
        <w:tc>
          <w:tcPr>
            <w:tcW w:w="768" w:type="pct"/>
            <w:shd w:val="clear" w:color="auto" w:fill="auto"/>
            <w:noWrap/>
            <w:vAlign w:val="bottom"/>
            <w:hideMark/>
          </w:tcPr>
          <w:p w14:paraId="3BE5B57A"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89.41</w:t>
            </w:r>
          </w:p>
        </w:tc>
      </w:tr>
      <w:tr w:rsidR="00377CEB" w:rsidRPr="005B12AE" w14:paraId="28AB27D2" w14:textId="77777777" w:rsidTr="00250DAC">
        <w:trPr>
          <w:trHeight w:val="20"/>
        </w:trPr>
        <w:tc>
          <w:tcPr>
            <w:tcW w:w="229" w:type="pct"/>
            <w:vMerge w:val="restart"/>
            <w:shd w:val="clear" w:color="auto" w:fill="auto"/>
            <w:vAlign w:val="center"/>
            <w:hideMark/>
          </w:tcPr>
          <w:p w14:paraId="3D508EBB"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9</w:t>
            </w:r>
          </w:p>
          <w:p w14:paraId="56807420"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 </w:t>
            </w:r>
          </w:p>
          <w:p w14:paraId="18F3C173"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p w14:paraId="5A5119BD"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p w14:paraId="74555401"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p w14:paraId="08849D3B"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tc>
        <w:tc>
          <w:tcPr>
            <w:tcW w:w="1195" w:type="pct"/>
            <w:vMerge w:val="restart"/>
            <w:shd w:val="clear" w:color="auto" w:fill="auto"/>
            <w:hideMark/>
          </w:tcPr>
          <w:p w14:paraId="6290A571"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Simpex Overseas Pvt Ltd</w:t>
            </w:r>
          </w:p>
        </w:tc>
        <w:tc>
          <w:tcPr>
            <w:tcW w:w="1337" w:type="pct"/>
            <w:shd w:val="clear" w:color="auto" w:fill="auto"/>
            <w:vAlign w:val="center"/>
            <w:hideMark/>
          </w:tcPr>
          <w:p w14:paraId="6227C50D" w14:textId="77777777" w:rsidR="00377CEB" w:rsidRPr="005B12AE" w:rsidRDefault="00377CEB"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t>Opening Balance</w:t>
            </w:r>
          </w:p>
        </w:tc>
        <w:tc>
          <w:tcPr>
            <w:tcW w:w="669" w:type="pct"/>
            <w:shd w:val="clear" w:color="auto" w:fill="auto"/>
            <w:noWrap/>
            <w:vAlign w:val="bottom"/>
            <w:hideMark/>
          </w:tcPr>
          <w:p w14:paraId="2ABF7E3B"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0.09</w:t>
            </w:r>
          </w:p>
        </w:tc>
        <w:tc>
          <w:tcPr>
            <w:tcW w:w="802" w:type="pct"/>
            <w:shd w:val="clear" w:color="auto" w:fill="auto"/>
            <w:noWrap/>
            <w:vAlign w:val="bottom"/>
            <w:hideMark/>
          </w:tcPr>
          <w:p w14:paraId="0F5A769A"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282.74</w:t>
            </w:r>
          </w:p>
        </w:tc>
        <w:tc>
          <w:tcPr>
            <w:tcW w:w="768" w:type="pct"/>
            <w:shd w:val="clear" w:color="auto" w:fill="auto"/>
            <w:noWrap/>
            <w:vAlign w:val="bottom"/>
            <w:hideMark/>
          </w:tcPr>
          <w:p w14:paraId="1C84AB45"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54.27</w:t>
            </w:r>
          </w:p>
        </w:tc>
      </w:tr>
      <w:tr w:rsidR="00377CEB" w:rsidRPr="005B12AE" w14:paraId="4F3041C7" w14:textId="77777777" w:rsidTr="00250DAC">
        <w:trPr>
          <w:trHeight w:val="20"/>
        </w:trPr>
        <w:tc>
          <w:tcPr>
            <w:tcW w:w="229" w:type="pct"/>
            <w:vMerge/>
            <w:shd w:val="clear" w:color="auto" w:fill="auto"/>
            <w:noWrap/>
            <w:vAlign w:val="bottom"/>
            <w:hideMark/>
          </w:tcPr>
          <w:p w14:paraId="49236E24" w14:textId="77777777" w:rsidR="00377CEB" w:rsidRPr="005B12AE" w:rsidRDefault="00377CEB" w:rsidP="00250DAC">
            <w:pPr>
              <w:spacing w:after="0" w:line="240" w:lineRule="auto"/>
              <w:jc w:val="center"/>
              <w:rPr>
                <w:rFonts w:ascii="Times New Roman" w:hAnsi="Times New Roman"/>
                <w:sz w:val="20"/>
                <w:szCs w:val="20"/>
              </w:rPr>
            </w:pPr>
          </w:p>
        </w:tc>
        <w:tc>
          <w:tcPr>
            <w:tcW w:w="1195" w:type="pct"/>
            <w:vMerge/>
            <w:shd w:val="clear" w:color="auto" w:fill="auto"/>
            <w:noWrap/>
            <w:vAlign w:val="bottom"/>
            <w:hideMark/>
          </w:tcPr>
          <w:p w14:paraId="6F454686" w14:textId="77777777" w:rsidR="00377CEB" w:rsidRPr="005B12AE" w:rsidRDefault="00377CEB" w:rsidP="00250DAC">
            <w:pPr>
              <w:spacing w:after="0" w:line="240" w:lineRule="auto"/>
              <w:rPr>
                <w:rFonts w:ascii="Times New Roman" w:hAnsi="Times New Roman"/>
                <w:sz w:val="20"/>
                <w:szCs w:val="20"/>
              </w:rPr>
            </w:pPr>
          </w:p>
        </w:tc>
        <w:tc>
          <w:tcPr>
            <w:tcW w:w="1337" w:type="pct"/>
            <w:shd w:val="clear" w:color="auto" w:fill="auto"/>
            <w:hideMark/>
          </w:tcPr>
          <w:p w14:paraId="4FAF6EA7"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loan accepted</w:t>
            </w:r>
          </w:p>
        </w:tc>
        <w:tc>
          <w:tcPr>
            <w:tcW w:w="669" w:type="pct"/>
            <w:shd w:val="clear" w:color="auto" w:fill="auto"/>
            <w:noWrap/>
            <w:vAlign w:val="bottom"/>
            <w:hideMark/>
          </w:tcPr>
          <w:p w14:paraId="1834CCC5"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1,099.25</w:t>
            </w:r>
          </w:p>
        </w:tc>
        <w:tc>
          <w:tcPr>
            <w:tcW w:w="802" w:type="pct"/>
            <w:shd w:val="clear" w:color="auto" w:fill="auto"/>
            <w:noWrap/>
            <w:vAlign w:val="bottom"/>
            <w:hideMark/>
          </w:tcPr>
          <w:p w14:paraId="3CA05BB6"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535.00</w:t>
            </w:r>
          </w:p>
        </w:tc>
        <w:tc>
          <w:tcPr>
            <w:tcW w:w="768" w:type="pct"/>
            <w:shd w:val="clear" w:color="auto" w:fill="auto"/>
            <w:noWrap/>
            <w:vAlign w:val="bottom"/>
            <w:hideMark/>
          </w:tcPr>
          <w:p w14:paraId="6EEB2D28"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282.00</w:t>
            </w:r>
          </w:p>
        </w:tc>
      </w:tr>
      <w:tr w:rsidR="00377CEB" w:rsidRPr="005B12AE" w14:paraId="4B32F9AB" w14:textId="77777777" w:rsidTr="00250DAC">
        <w:trPr>
          <w:trHeight w:val="20"/>
        </w:trPr>
        <w:tc>
          <w:tcPr>
            <w:tcW w:w="229" w:type="pct"/>
            <w:vMerge/>
            <w:shd w:val="clear" w:color="auto" w:fill="auto"/>
            <w:vAlign w:val="center"/>
            <w:hideMark/>
          </w:tcPr>
          <w:p w14:paraId="09585F04" w14:textId="77777777" w:rsidR="00377CEB" w:rsidRPr="005B12AE" w:rsidRDefault="00377CEB" w:rsidP="00250DAC">
            <w:pPr>
              <w:spacing w:after="0" w:line="240" w:lineRule="auto"/>
              <w:jc w:val="center"/>
              <w:rPr>
                <w:rFonts w:ascii="Times New Roman" w:hAnsi="Times New Roman"/>
                <w:color w:val="000000"/>
                <w:sz w:val="20"/>
                <w:szCs w:val="20"/>
              </w:rPr>
            </w:pPr>
          </w:p>
        </w:tc>
        <w:tc>
          <w:tcPr>
            <w:tcW w:w="1195" w:type="pct"/>
            <w:vMerge/>
            <w:shd w:val="clear" w:color="auto" w:fill="auto"/>
            <w:hideMark/>
          </w:tcPr>
          <w:p w14:paraId="1E41C943" w14:textId="77777777" w:rsidR="00377CEB" w:rsidRPr="005B12AE" w:rsidRDefault="00377CEB" w:rsidP="00250DAC">
            <w:pPr>
              <w:spacing w:after="0" w:line="240" w:lineRule="auto"/>
              <w:rPr>
                <w:rFonts w:ascii="Times New Roman" w:hAnsi="Times New Roman"/>
                <w:sz w:val="20"/>
                <w:szCs w:val="20"/>
              </w:rPr>
            </w:pPr>
          </w:p>
        </w:tc>
        <w:tc>
          <w:tcPr>
            <w:tcW w:w="1337" w:type="pct"/>
            <w:shd w:val="clear" w:color="auto" w:fill="auto"/>
            <w:hideMark/>
          </w:tcPr>
          <w:p w14:paraId="5CD2DAA4"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loan repaid/given</w:t>
            </w:r>
          </w:p>
        </w:tc>
        <w:tc>
          <w:tcPr>
            <w:tcW w:w="669" w:type="pct"/>
            <w:shd w:val="clear" w:color="auto" w:fill="auto"/>
            <w:noWrap/>
            <w:vAlign w:val="bottom"/>
            <w:hideMark/>
          </w:tcPr>
          <w:p w14:paraId="201AB479"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3,433.85</w:t>
            </w:r>
          </w:p>
        </w:tc>
        <w:tc>
          <w:tcPr>
            <w:tcW w:w="802" w:type="pct"/>
            <w:shd w:val="clear" w:color="auto" w:fill="auto"/>
            <w:noWrap/>
            <w:vAlign w:val="bottom"/>
            <w:hideMark/>
          </w:tcPr>
          <w:p w14:paraId="3B8A5934"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2,903.86</w:t>
            </w:r>
          </w:p>
        </w:tc>
        <w:tc>
          <w:tcPr>
            <w:tcW w:w="768" w:type="pct"/>
            <w:shd w:val="clear" w:color="auto" w:fill="auto"/>
            <w:noWrap/>
            <w:vAlign w:val="bottom"/>
            <w:hideMark/>
          </w:tcPr>
          <w:p w14:paraId="458CF229"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1,407.23</w:t>
            </w:r>
          </w:p>
        </w:tc>
      </w:tr>
      <w:tr w:rsidR="00377CEB" w:rsidRPr="005B12AE" w14:paraId="7F69A8AF" w14:textId="77777777" w:rsidTr="00250DAC">
        <w:trPr>
          <w:trHeight w:val="20"/>
        </w:trPr>
        <w:tc>
          <w:tcPr>
            <w:tcW w:w="229" w:type="pct"/>
            <w:vMerge/>
            <w:shd w:val="clear" w:color="auto" w:fill="auto"/>
            <w:vAlign w:val="center"/>
            <w:hideMark/>
          </w:tcPr>
          <w:p w14:paraId="7DA0E8BD" w14:textId="77777777" w:rsidR="00377CEB" w:rsidRPr="005B12AE" w:rsidRDefault="00377CEB" w:rsidP="00250DAC">
            <w:pPr>
              <w:spacing w:after="0" w:line="240" w:lineRule="auto"/>
              <w:jc w:val="center"/>
              <w:rPr>
                <w:rFonts w:ascii="Times New Roman" w:hAnsi="Times New Roman"/>
                <w:color w:val="000000"/>
                <w:sz w:val="20"/>
                <w:szCs w:val="20"/>
              </w:rPr>
            </w:pPr>
          </w:p>
        </w:tc>
        <w:tc>
          <w:tcPr>
            <w:tcW w:w="1195" w:type="pct"/>
            <w:vMerge/>
            <w:shd w:val="clear" w:color="auto" w:fill="auto"/>
            <w:hideMark/>
          </w:tcPr>
          <w:p w14:paraId="210D8FC6" w14:textId="77777777" w:rsidR="00377CEB" w:rsidRPr="005B12AE" w:rsidRDefault="00377CEB" w:rsidP="00250DAC">
            <w:pPr>
              <w:spacing w:after="0" w:line="240" w:lineRule="auto"/>
              <w:rPr>
                <w:rFonts w:ascii="Times New Roman" w:hAnsi="Times New Roman"/>
                <w:sz w:val="20"/>
                <w:szCs w:val="20"/>
              </w:rPr>
            </w:pPr>
          </w:p>
        </w:tc>
        <w:tc>
          <w:tcPr>
            <w:tcW w:w="1337" w:type="pct"/>
            <w:shd w:val="clear" w:color="auto" w:fill="auto"/>
            <w:hideMark/>
          </w:tcPr>
          <w:p w14:paraId="2051752D"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Purchases</w:t>
            </w:r>
          </w:p>
        </w:tc>
        <w:tc>
          <w:tcPr>
            <w:tcW w:w="669" w:type="pct"/>
            <w:shd w:val="clear" w:color="auto" w:fill="auto"/>
            <w:noWrap/>
            <w:vAlign w:val="bottom"/>
            <w:hideMark/>
          </w:tcPr>
          <w:p w14:paraId="7008F571"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2,347.53</w:t>
            </w:r>
          </w:p>
        </w:tc>
        <w:tc>
          <w:tcPr>
            <w:tcW w:w="802" w:type="pct"/>
            <w:shd w:val="clear" w:color="auto" w:fill="auto"/>
            <w:noWrap/>
            <w:vAlign w:val="bottom"/>
            <w:hideMark/>
          </w:tcPr>
          <w:p w14:paraId="22BCF5CD"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2,086.20</w:t>
            </w:r>
          </w:p>
        </w:tc>
        <w:tc>
          <w:tcPr>
            <w:tcW w:w="768" w:type="pct"/>
            <w:shd w:val="clear" w:color="auto" w:fill="auto"/>
            <w:noWrap/>
            <w:vAlign w:val="bottom"/>
            <w:hideMark/>
          </w:tcPr>
          <w:p w14:paraId="462E75CA"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1,353.70</w:t>
            </w:r>
          </w:p>
        </w:tc>
      </w:tr>
      <w:tr w:rsidR="00377CEB" w:rsidRPr="005B12AE" w14:paraId="0DDD804D" w14:textId="77777777" w:rsidTr="00250DAC">
        <w:trPr>
          <w:trHeight w:val="20"/>
        </w:trPr>
        <w:tc>
          <w:tcPr>
            <w:tcW w:w="229" w:type="pct"/>
            <w:vMerge/>
            <w:shd w:val="clear" w:color="auto" w:fill="auto"/>
            <w:vAlign w:val="center"/>
            <w:hideMark/>
          </w:tcPr>
          <w:p w14:paraId="13794DC5" w14:textId="77777777" w:rsidR="00377CEB" w:rsidRPr="005B12AE" w:rsidRDefault="00377CEB" w:rsidP="00250DAC">
            <w:pPr>
              <w:spacing w:after="0" w:line="240" w:lineRule="auto"/>
              <w:jc w:val="center"/>
              <w:rPr>
                <w:rFonts w:ascii="Times New Roman" w:hAnsi="Times New Roman"/>
                <w:color w:val="000000"/>
                <w:sz w:val="20"/>
                <w:szCs w:val="20"/>
              </w:rPr>
            </w:pPr>
          </w:p>
        </w:tc>
        <w:tc>
          <w:tcPr>
            <w:tcW w:w="1195" w:type="pct"/>
            <w:vMerge/>
            <w:shd w:val="clear" w:color="auto" w:fill="auto"/>
            <w:hideMark/>
          </w:tcPr>
          <w:p w14:paraId="2FA92C59" w14:textId="77777777" w:rsidR="00377CEB" w:rsidRPr="005B12AE" w:rsidRDefault="00377CEB" w:rsidP="00250DAC">
            <w:pPr>
              <w:spacing w:after="0" w:line="240" w:lineRule="auto"/>
              <w:rPr>
                <w:rFonts w:ascii="Times New Roman" w:hAnsi="Times New Roman"/>
                <w:sz w:val="20"/>
                <w:szCs w:val="20"/>
              </w:rPr>
            </w:pPr>
          </w:p>
        </w:tc>
        <w:tc>
          <w:tcPr>
            <w:tcW w:w="1337" w:type="pct"/>
            <w:shd w:val="clear" w:color="auto" w:fill="auto"/>
            <w:hideMark/>
          </w:tcPr>
          <w:p w14:paraId="08172B80"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Sales</w:t>
            </w:r>
          </w:p>
        </w:tc>
        <w:tc>
          <w:tcPr>
            <w:tcW w:w="669" w:type="pct"/>
            <w:shd w:val="clear" w:color="auto" w:fill="auto"/>
            <w:noWrap/>
            <w:vAlign w:val="bottom"/>
            <w:hideMark/>
          </w:tcPr>
          <w:p w14:paraId="7BEC86D1"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69.25</w:t>
            </w:r>
          </w:p>
        </w:tc>
        <w:tc>
          <w:tcPr>
            <w:tcW w:w="802" w:type="pct"/>
            <w:shd w:val="clear" w:color="auto" w:fill="auto"/>
            <w:noWrap/>
            <w:vAlign w:val="bottom"/>
            <w:hideMark/>
          </w:tcPr>
          <w:p w14:paraId="3BFCFE68"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68" w:type="pct"/>
            <w:shd w:val="clear" w:color="auto" w:fill="auto"/>
            <w:noWrap/>
            <w:vAlign w:val="bottom"/>
            <w:hideMark/>
          </w:tcPr>
          <w:p w14:paraId="73B8A6A2"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377CEB" w:rsidRPr="005B12AE" w14:paraId="649C6E5E" w14:textId="77777777" w:rsidTr="00250DAC">
        <w:trPr>
          <w:trHeight w:val="20"/>
        </w:trPr>
        <w:tc>
          <w:tcPr>
            <w:tcW w:w="229" w:type="pct"/>
            <w:vMerge/>
            <w:shd w:val="clear" w:color="auto" w:fill="auto"/>
            <w:vAlign w:val="center"/>
            <w:hideMark/>
          </w:tcPr>
          <w:p w14:paraId="058FCFBC" w14:textId="77777777" w:rsidR="00377CEB" w:rsidRPr="005B12AE" w:rsidRDefault="00377CEB" w:rsidP="00250DAC">
            <w:pPr>
              <w:spacing w:after="0" w:line="240" w:lineRule="auto"/>
              <w:jc w:val="center"/>
              <w:rPr>
                <w:rFonts w:ascii="Times New Roman" w:hAnsi="Times New Roman"/>
                <w:color w:val="000000"/>
                <w:sz w:val="20"/>
                <w:szCs w:val="20"/>
              </w:rPr>
            </w:pPr>
          </w:p>
        </w:tc>
        <w:tc>
          <w:tcPr>
            <w:tcW w:w="1195" w:type="pct"/>
            <w:vMerge/>
            <w:shd w:val="clear" w:color="auto" w:fill="auto"/>
            <w:hideMark/>
          </w:tcPr>
          <w:p w14:paraId="792116E4" w14:textId="77777777" w:rsidR="00377CEB" w:rsidRPr="005B12AE" w:rsidRDefault="00377CEB" w:rsidP="00250DAC">
            <w:pPr>
              <w:spacing w:after="0" w:line="240" w:lineRule="auto"/>
              <w:rPr>
                <w:rFonts w:ascii="Times New Roman" w:hAnsi="Times New Roman"/>
                <w:sz w:val="20"/>
                <w:szCs w:val="20"/>
              </w:rPr>
            </w:pPr>
          </w:p>
        </w:tc>
        <w:tc>
          <w:tcPr>
            <w:tcW w:w="1337" w:type="pct"/>
            <w:shd w:val="clear" w:color="auto" w:fill="auto"/>
            <w:vAlign w:val="center"/>
            <w:hideMark/>
          </w:tcPr>
          <w:p w14:paraId="0578207E" w14:textId="77777777" w:rsidR="00377CEB" w:rsidRPr="005B12AE" w:rsidRDefault="00377CEB"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t>Closing Balance</w:t>
            </w:r>
          </w:p>
        </w:tc>
        <w:tc>
          <w:tcPr>
            <w:tcW w:w="669" w:type="pct"/>
            <w:shd w:val="clear" w:color="auto" w:fill="auto"/>
            <w:noWrap/>
            <w:vAlign w:val="bottom"/>
            <w:hideMark/>
          </w:tcPr>
          <w:p w14:paraId="6C833865"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(56.23)</w:t>
            </w:r>
          </w:p>
        </w:tc>
        <w:tc>
          <w:tcPr>
            <w:tcW w:w="802" w:type="pct"/>
            <w:shd w:val="clear" w:color="auto" w:fill="auto"/>
            <w:noWrap/>
            <w:vAlign w:val="bottom"/>
            <w:hideMark/>
          </w:tcPr>
          <w:p w14:paraId="0117647F"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0.09</w:t>
            </w:r>
          </w:p>
        </w:tc>
        <w:tc>
          <w:tcPr>
            <w:tcW w:w="768" w:type="pct"/>
            <w:shd w:val="clear" w:color="auto" w:fill="auto"/>
            <w:noWrap/>
            <w:vAlign w:val="bottom"/>
            <w:hideMark/>
          </w:tcPr>
          <w:p w14:paraId="7976FB87"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282.74</w:t>
            </w:r>
          </w:p>
        </w:tc>
      </w:tr>
      <w:tr w:rsidR="00377CEB" w:rsidRPr="005B12AE" w14:paraId="43860ECF" w14:textId="77777777" w:rsidTr="00250DAC">
        <w:trPr>
          <w:trHeight w:val="20"/>
        </w:trPr>
        <w:tc>
          <w:tcPr>
            <w:tcW w:w="229" w:type="pct"/>
            <w:vMerge w:val="restart"/>
            <w:shd w:val="clear" w:color="auto" w:fill="auto"/>
            <w:vAlign w:val="center"/>
            <w:hideMark/>
          </w:tcPr>
          <w:p w14:paraId="6042E8FC"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10</w:t>
            </w:r>
          </w:p>
          <w:p w14:paraId="01F0E76A"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 </w:t>
            </w:r>
          </w:p>
          <w:p w14:paraId="11EA7526"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tc>
        <w:tc>
          <w:tcPr>
            <w:tcW w:w="1195" w:type="pct"/>
            <w:vMerge w:val="restart"/>
            <w:shd w:val="clear" w:color="auto" w:fill="auto"/>
            <w:hideMark/>
          </w:tcPr>
          <w:p w14:paraId="6A9CE9A7"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Apex Devcon Pvt Ltd</w:t>
            </w:r>
          </w:p>
        </w:tc>
        <w:tc>
          <w:tcPr>
            <w:tcW w:w="1337" w:type="pct"/>
            <w:shd w:val="clear" w:color="auto" w:fill="auto"/>
            <w:vAlign w:val="center"/>
            <w:hideMark/>
          </w:tcPr>
          <w:p w14:paraId="20BC9B03" w14:textId="77777777" w:rsidR="00377CEB" w:rsidRPr="005B12AE" w:rsidRDefault="00377CEB"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t>Opening Balance</w:t>
            </w:r>
          </w:p>
        </w:tc>
        <w:tc>
          <w:tcPr>
            <w:tcW w:w="669" w:type="pct"/>
            <w:shd w:val="clear" w:color="auto" w:fill="auto"/>
            <w:noWrap/>
            <w:vAlign w:val="bottom"/>
            <w:hideMark/>
          </w:tcPr>
          <w:p w14:paraId="7E9398C7"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w:t>
            </w:r>
          </w:p>
        </w:tc>
        <w:tc>
          <w:tcPr>
            <w:tcW w:w="802" w:type="pct"/>
            <w:shd w:val="clear" w:color="auto" w:fill="auto"/>
            <w:noWrap/>
            <w:vAlign w:val="bottom"/>
            <w:hideMark/>
          </w:tcPr>
          <w:p w14:paraId="7F591090"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30</w:t>
            </w:r>
          </w:p>
        </w:tc>
        <w:tc>
          <w:tcPr>
            <w:tcW w:w="768" w:type="pct"/>
            <w:shd w:val="clear" w:color="auto" w:fill="auto"/>
            <w:noWrap/>
            <w:vAlign w:val="bottom"/>
            <w:hideMark/>
          </w:tcPr>
          <w:p w14:paraId="16DD5156"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30</w:t>
            </w:r>
          </w:p>
        </w:tc>
      </w:tr>
      <w:tr w:rsidR="00377CEB" w:rsidRPr="005B12AE" w14:paraId="666AA602" w14:textId="77777777" w:rsidTr="00250DAC">
        <w:trPr>
          <w:trHeight w:val="20"/>
        </w:trPr>
        <w:tc>
          <w:tcPr>
            <w:tcW w:w="229" w:type="pct"/>
            <w:vMerge/>
            <w:shd w:val="clear" w:color="auto" w:fill="auto"/>
            <w:noWrap/>
            <w:vAlign w:val="bottom"/>
            <w:hideMark/>
          </w:tcPr>
          <w:p w14:paraId="08F2E861" w14:textId="77777777" w:rsidR="00377CEB" w:rsidRPr="005B12AE" w:rsidRDefault="00377CEB" w:rsidP="00250DAC">
            <w:pPr>
              <w:spacing w:after="0" w:line="240" w:lineRule="auto"/>
              <w:jc w:val="center"/>
              <w:rPr>
                <w:rFonts w:ascii="Times New Roman" w:hAnsi="Times New Roman"/>
                <w:sz w:val="20"/>
                <w:szCs w:val="20"/>
              </w:rPr>
            </w:pPr>
          </w:p>
        </w:tc>
        <w:tc>
          <w:tcPr>
            <w:tcW w:w="1195" w:type="pct"/>
            <w:vMerge/>
            <w:shd w:val="clear" w:color="auto" w:fill="auto"/>
            <w:noWrap/>
            <w:vAlign w:val="bottom"/>
            <w:hideMark/>
          </w:tcPr>
          <w:p w14:paraId="69C98829" w14:textId="77777777" w:rsidR="00377CEB" w:rsidRPr="005B12AE" w:rsidRDefault="00377CEB" w:rsidP="00250DAC">
            <w:pPr>
              <w:spacing w:after="0" w:line="240" w:lineRule="auto"/>
              <w:rPr>
                <w:rFonts w:ascii="Times New Roman" w:hAnsi="Times New Roman"/>
                <w:sz w:val="20"/>
                <w:szCs w:val="20"/>
              </w:rPr>
            </w:pPr>
          </w:p>
        </w:tc>
        <w:tc>
          <w:tcPr>
            <w:tcW w:w="1337" w:type="pct"/>
            <w:shd w:val="clear" w:color="auto" w:fill="auto"/>
            <w:hideMark/>
          </w:tcPr>
          <w:p w14:paraId="73796C33"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Repayment of loan received</w:t>
            </w:r>
          </w:p>
        </w:tc>
        <w:tc>
          <w:tcPr>
            <w:tcW w:w="669" w:type="pct"/>
            <w:shd w:val="clear" w:color="auto" w:fill="auto"/>
            <w:noWrap/>
            <w:vAlign w:val="bottom"/>
            <w:hideMark/>
          </w:tcPr>
          <w:p w14:paraId="1438E288"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02" w:type="pct"/>
            <w:shd w:val="clear" w:color="auto" w:fill="auto"/>
            <w:noWrap/>
            <w:vAlign w:val="bottom"/>
            <w:hideMark/>
          </w:tcPr>
          <w:p w14:paraId="65573493"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30</w:t>
            </w:r>
          </w:p>
        </w:tc>
        <w:tc>
          <w:tcPr>
            <w:tcW w:w="768" w:type="pct"/>
            <w:shd w:val="clear" w:color="auto" w:fill="auto"/>
            <w:noWrap/>
            <w:vAlign w:val="bottom"/>
            <w:hideMark/>
          </w:tcPr>
          <w:p w14:paraId="5D88DBF1"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377CEB" w:rsidRPr="005B12AE" w14:paraId="0043870E" w14:textId="77777777" w:rsidTr="00250DAC">
        <w:trPr>
          <w:trHeight w:val="20"/>
        </w:trPr>
        <w:tc>
          <w:tcPr>
            <w:tcW w:w="229" w:type="pct"/>
            <w:vMerge/>
            <w:shd w:val="clear" w:color="auto" w:fill="auto"/>
            <w:vAlign w:val="center"/>
            <w:hideMark/>
          </w:tcPr>
          <w:p w14:paraId="246F856D" w14:textId="77777777" w:rsidR="00377CEB" w:rsidRPr="005B12AE" w:rsidRDefault="00377CEB" w:rsidP="00250DAC">
            <w:pPr>
              <w:spacing w:after="0" w:line="240" w:lineRule="auto"/>
              <w:jc w:val="center"/>
              <w:rPr>
                <w:rFonts w:ascii="Times New Roman" w:hAnsi="Times New Roman"/>
                <w:color w:val="000000"/>
                <w:sz w:val="20"/>
                <w:szCs w:val="20"/>
              </w:rPr>
            </w:pPr>
          </w:p>
        </w:tc>
        <w:tc>
          <w:tcPr>
            <w:tcW w:w="1195" w:type="pct"/>
            <w:vMerge/>
            <w:shd w:val="clear" w:color="auto" w:fill="auto"/>
            <w:hideMark/>
          </w:tcPr>
          <w:p w14:paraId="655E733F" w14:textId="77777777" w:rsidR="00377CEB" w:rsidRPr="005B12AE" w:rsidRDefault="00377CEB" w:rsidP="00250DAC">
            <w:pPr>
              <w:spacing w:after="0" w:line="240" w:lineRule="auto"/>
              <w:rPr>
                <w:rFonts w:ascii="Times New Roman" w:hAnsi="Times New Roman"/>
                <w:sz w:val="20"/>
                <w:szCs w:val="20"/>
              </w:rPr>
            </w:pPr>
          </w:p>
        </w:tc>
        <w:tc>
          <w:tcPr>
            <w:tcW w:w="1337" w:type="pct"/>
            <w:shd w:val="clear" w:color="auto" w:fill="auto"/>
            <w:hideMark/>
          </w:tcPr>
          <w:p w14:paraId="7378311E"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Closing Balance</w:t>
            </w:r>
          </w:p>
        </w:tc>
        <w:tc>
          <w:tcPr>
            <w:tcW w:w="669" w:type="pct"/>
            <w:shd w:val="clear" w:color="auto" w:fill="auto"/>
            <w:noWrap/>
            <w:vAlign w:val="bottom"/>
            <w:hideMark/>
          </w:tcPr>
          <w:p w14:paraId="6501480D"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02" w:type="pct"/>
            <w:shd w:val="clear" w:color="auto" w:fill="auto"/>
            <w:noWrap/>
            <w:vAlign w:val="bottom"/>
            <w:hideMark/>
          </w:tcPr>
          <w:p w14:paraId="7D361A2C"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68" w:type="pct"/>
            <w:shd w:val="clear" w:color="auto" w:fill="auto"/>
            <w:noWrap/>
            <w:vAlign w:val="bottom"/>
            <w:hideMark/>
          </w:tcPr>
          <w:p w14:paraId="1F970911"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30</w:t>
            </w:r>
          </w:p>
        </w:tc>
      </w:tr>
    </w:tbl>
    <w:p w14:paraId="39A0C834" w14:textId="77777777" w:rsidR="00377CEB" w:rsidRPr="005B12AE" w:rsidRDefault="00377CEB" w:rsidP="00377CEB">
      <w:pPr>
        <w:spacing w:after="0"/>
        <w:rPr>
          <w:rFonts w:ascii="Times New Roman" w:hAnsi="Times New Roman"/>
          <w:b/>
          <w:bCs/>
          <w:color w:val="000000"/>
          <w:sz w:val="20"/>
          <w:szCs w:val="20"/>
        </w:rPr>
      </w:pPr>
    </w:p>
    <w:p w14:paraId="682D3B7F" w14:textId="77777777" w:rsidR="00377CEB" w:rsidRPr="005B12AE" w:rsidRDefault="00377CEB" w:rsidP="00377CEB">
      <w:pPr>
        <w:spacing w:after="0"/>
        <w:rPr>
          <w:rFonts w:ascii="Times New Roman" w:hAnsi="Times New Roman"/>
          <w:b/>
          <w:bCs/>
          <w:color w:val="000000"/>
          <w:sz w:val="20"/>
          <w:szCs w:val="20"/>
        </w:rPr>
      </w:pPr>
      <w:r w:rsidRPr="005B12AE">
        <w:rPr>
          <w:rFonts w:ascii="Times New Roman" w:hAnsi="Times New Roman"/>
          <w:b/>
          <w:bCs/>
          <w:color w:val="000000"/>
          <w:sz w:val="20"/>
          <w:szCs w:val="20"/>
        </w:rPr>
        <w:t>C. BALANCE OF RELATED PARTIES</w:t>
      </w:r>
    </w:p>
    <w:p w14:paraId="2A505FBD" w14:textId="77777777" w:rsidR="00377CEB" w:rsidRPr="005B12AE" w:rsidRDefault="00377CEB" w:rsidP="00377CEB">
      <w:pPr>
        <w:spacing w:after="0"/>
        <w:jc w:val="right"/>
        <w:rPr>
          <w:rFonts w:ascii="Times New Roman" w:hAnsi="Times New Roman"/>
          <w:b/>
          <w:bCs/>
          <w:sz w:val="20"/>
          <w:szCs w:val="20"/>
        </w:rPr>
      </w:pPr>
      <w:r w:rsidRPr="005B12AE">
        <w:rPr>
          <w:rFonts w:ascii="Times New Roman" w:hAnsi="Times New Roman"/>
          <w:b/>
          <w:bCs/>
          <w:sz w:val="20"/>
          <w:szCs w:val="20"/>
        </w:rPr>
        <w:t>(₹ in Lakhs)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4664"/>
        <w:gridCol w:w="1771"/>
        <w:gridCol w:w="1677"/>
        <w:gridCol w:w="1604"/>
      </w:tblGrid>
      <w:tr w:rsidR="00377CEB" w:rsidRPr="005B12AE" w14:paraId="104FEF17" w14:textId="77777777" w:rsidTr="00250DAC">
        <w:trPr>
          <w:trHeight w:val="20"/>
          <w:tblHeader/>
        </w:trPr>
        <w:tc>
          <w:tcPr>
            <w:tcW w:w="354" w:type="pct"/>
            <w:shd w:val="clear" w:color="auto" w:fill="D0CECE" w:themeFill="background2" w:themeFillShade="E6"/>
            <w:vAlign w:val="center"/>
            <w:hideMark/>
          </w:tcPr>
          <w:p w14:paraId="68759F03" w14:textId="77777777" w:rsidR="00377CEB" w:rsidRPr="005B12AE" w:rsidRDefault="00377CEB"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Sr No</w:t>
            </w:r>
          </w:p>
        </w:tc>
        <w:tc>
          <w:tcPr>
            <w:tcW w:w="2230" w:type="pct"/>
            <w:shd w:val="clear" w:color="auto" w:fill="D0CECE" w:themeFill="background2" w:themeFillShade="E6"/>
            <w:vAlign w:val="center"/>
            <w:hideMark/>
          </w:tcPr>
          <w:p w14:paraId="03622FA1" w14:textId="77777777" w:rsidR="00377CEB" w:rsidRPr="005B12AE" w:rsidRDefault="00377CEB" w:rsidP="00250DAC">
            <w:pPr>
              <w:spacing w:after="0" w:line="240" w:lineRule="auto"/>
              <w:rPr>
                <w:rFonts w:ascii="Times New Roman" w:hAnsi="Times New Roman"/>
                <w:b/>
                <w:bCs/>
                <w:color w:val="000000"/>
                <w:sz w:val="20"/>
                <w:szCs w:val="20"/>
              </w:rPr>
            </w:pPr>
            <w:r w:rsidRPr="005B12AE">
              <w:rPr>
                <w:rFonts w:ascii="Times New Roman" w:hAnsi="Times New Roman"/>
                <w:b/>
                <w:bCs/>
                <w:color w:val="000000"/>
                <w:sz w:val="20"/>
                <w:szCs w:val="20"/>
              </w:rPr>
              <w:t>Name of Party</w:t>
            </w:r>
          </w:p>
        </w:tc>
        <w:tc>
          <w:tcPr>
            <w:tcW w:w="847" w:type="pct"/>
            <w:shd w:val="clear" w:color="auto" w:fill="D0CECE" w:themeFill="background2" w:themeFillShade="E6"/>
            <w:hideMark/>
          </w:tcPr>
          <w:p w14:paraId="68C9D86D" w14:textId="77777777" w:rsidR="00377CEB" w:rsidRPr="005B12AE" w:rsidRDefault="00377CEB"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As on 31</w:t>
            </w:r>
            <w:r w:rsidRPr="005B12AE">
              <w:rPr>
                <w:rFonts w:ascii="Times New Roman" w:hAnsi="Times New Roman"/>
                <w:b/>
                <w:bCs/>
                <w:color w:val="000000"/>
                <w:sz w:val="20"/>
                <w:szCs w:val="20"/>
                <w:vertAlign w:val="superscript"/>
              </w:rPr>
              <w:t>st</w:t>
            </w:r>
            <w:r w:rsidRPr="005B12AE">
              <w:rPr>
                <w:rFonts w:ascii="Times New Roman" w:hAnsi="Times New Roman"/>
                <w:b/>
                <w:bCs/>
                <w:color w:val="000000"/>
                <w:sz w:val="20"/>
                <w:szCs w:val="20"/>
              </w:rPr>
              <w:t xml:space="preserve"> March, 2023</w:t>
            </w:r>
          </w:p>
        </w:tc>
        <w:tc>
          <w:tcPr>
            <w:tcW w:w="802" w:type="pct"/>
            <w:shd w:val="clear" w:color="auto" w:fill="D0CECE" w:themeFill="background2" w:themeFillShade="E6"/>
            <w:hideMark/>
          </w:tcPr>
          <w:p w14:paraId="2280BC7E" w14:textId="77777777" w:rsidR="00377CEB" w:rsidRPr="005B12AE" w:rsidRDefault="00377CEB"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As on 31</w:t>
            </w:r>
            <w:r w:rsidRPr="005B12AE">
              <w:rPr>
                <w:rFonts w:ascii="Times New Roman" w:hAnsi="Times New Roman"/>
                <w:b/>
                <w:bCs/>
                <w:color w:val="000000"/>
                <w:sz w:val="20"/>
                <w:szCs w:val="20"/>
                <w:vertAlign w:val="superscript"/>
              </w:rPr>
              <w:t xml:space="preserve">st </w:t>
            </w:r>
            <w:r w:rsidRPr="005B12AE">
              <w:rPr>
                <w:rFonts w:ascii="Times New Roman" w:hAnsi="Times New Roman"/>
                <w:b/>
                <w:bCs/>
                <w:color w:val="000000"/>
                <w:sz w:val="20"/>
                <w:szCs w:val="20"/>
              </w:rPr>
              <w:t>March, 2022</w:t>
            </w:r>
          </w:p>
        </w:tc>
        <w:tc>
          <w:tcPr>
            <w:tcW w:w="767" w:type="pct"/>
            <w:shd w:val="clear" w:color="auto" w:fill="D0CECE" w:themeFill="background2" w:themeFillShade="E6"/>
            <w:hideMark/>
          </w:tcPr>
          <w:p w14:paraId="3FCC0105" w14:textId="77777777" w:rsidR="00377CEB" w:rsidRPr="005B12AE" w:rsidRDefault="00377CEB"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As on 31</w:t>
            </w:r>
            <w:r w:rsidRPr="005B12AE">
              <w:rPr>
                <w:rFonts w:ascii="Times New Roman" w:hAnsi="Times New Roman"/>
                <w:b/>
                <w:bCs/>
                <w:color w:val="000000"/>
                <w:sz w:val="20"/>
                <w:szCs w:val="20"/>
                <w:vertAlign w:val="superscript"/>
              </w:rPr>
              <w:t xml:space="preserve">st </w:t>
            </w:r>
            <w:r w:rsidRPr="005B12AE">
              <w:rPr>
                <w:rFonts w:ascii="Times New Roman" w:hAnsi="Times New Roman"/>
                <w:b/>
                <w:bCs/>
                <w:color w:val="000000"/>
                <w:sz w:val="20"/>
                <w:szCs w:val="20"/>
              </w:rPr>
              <w:t>March, 2021</w:t>
            </w:r>
          </w:p>
        </w:tc>
      </w:tr>
      <w:tr w:rsidR="00377CEB" w:rsidRPr="005B12AE" w14:paraId="206C18D1" w14:textId="77777777" w:rsidTr="00250DAC">
        <w:trPr>
          <w:trHeight w:val="20"/>
        </w:trPr>
        <w:tc>
          <w:tcPr>
            <w:tcW w:w="354" w:type="pct"/>
            <w:shd w:val="clear" w:color="auto" w:fill="auto"/>
            <w:vAlign w:val="center"/>
            <w:hideMark/>
          </w:tcPr>
          <w:p w14:paraId="659409C3"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1</w:t>
            </w:r>
          </w:p>
        </w:tc>
        <w:tc>
          <w:tcPr>
            <w:tcW w:w="2230" w:type="pct"/>
            <w:shd w:val="clear" w:color="auto" w:fill="auto"/>
            <w:hideMark/>
          </w:tcPr>
          <w:p w14:paraId="7B4777D2"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Ramgopal Maheshwari</w:t>
            </w:r>
          </w:p>
        </w:tc>
        <w:tc>
          <w:tcPr>
            <w:tcW w:w="847" w:type="pct"/>
            <w:shd w:val="clear" w:color="auto" w:fill="auto"/>
            <w:noWrap/>
            <w:vAlign w:val="bottom"/>
            <w:hideMark/>
          </w:tcPr>
          <w:p w14:paraId="7FCCA866"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171.01</w:t>
            </w:r>
          </w:p>
        </w:tc>
        <w:tc>
          <w:tcPr>
            <w:tcW w:w="802" w:type="pct"/>
            <w:shd w:val="clear" w:color="auto" w:fill="auto"/>
            <w:noWrap/>
            <w:vAlign w:val="bottom"/>
            <w:hideMark/>
          </w:tcPr>
          <w:p w14:paraId="69654DA9"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167.14</w:t>
            </w:r>
          </w:p>
        </w:tc>
        <w:tc>
          <w:tcPr>
            <w:tcW w:w="767" w:type="pct"/>
            <w:shd w:val="clear" w:color="auto" w:fill="auto"/>
            <w:noWrap/>
            <w:vAlign w:val="bottom"/>
            <w:hideMark/>
          </w:tcPr>
          <w:p w14:paraId="6E6128EE"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181.02</w:t>
            </w:r>
          </w:p>
        </w:tc>
      </w:tr>
      <w:tr w:rsidR="00377CEB" w:rsidRPr="005B12AE" w14:paraId="424E4BC7" w14:textId="77777777" w:rsidTr="00250DAC">
        <w:trPr>
          <w:trHeight w:val="20"/>
        </w:trPr>
        <w:tc>
          <w:tcPr>
            <w:tcW w:w="354" w:type="pct"/>
            <w:shd w:val="clear" w:color="auto" w:fill="auto"/>
            <w:vAlign w:val="center"/>
            <w:hideMark/>
          </w:tcPr>
          <w:p w14:paraId="6E00C232"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lastRenderedPageBreak/>
              <w:t> </w:t>
            </w:r>
          </w:p>
        </w:tc>
        <w:tc>
          <w:tcPr>
            <w:tcW w:w="2230" w:type="pct"/>
            <w:shd w:val="clear" w:color="auto" w:fill="auto"/>
            <w:hideMark/>
          </w:tcPr>
          <w:p w14:paraId="2E26E1D0"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847" w:type="pct"/>
            <w:shd w:val="clear" w:color="auto" w:fill="auto"/>
            <w:hideMark/>
          </w:tcPr>
          <w:p w14:paraId="24B1C6E6"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Cr. Bal</w:t>
            </w:r>
          </w:p>
        </w:tc>
        <w:tc>
          <w:tcPr>
            <w:tcW w:w="802" w:type="pct"/>
            <w:shd w:val="clear" w:color="auto" w:fill="auto"/>
            <w:hideMark/>
          </w:tcPr>
          <w:p w14:paraId="53283354"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Cr. Bal</w:t>
            </w:r>
          </w:p>
        </w:tc>
        <w:tc>
          <w:tcPr>
            <w:tcW w:w="767" w:type="pct"/>
            <w:shd w:val="clear" w:color="auto" w:fill="auto"/>
            <w:hideMark/>
          </w:tcPr>
          <w:p w14:paraId="48460C2F"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Cr. Bal</w:t>
            </w:r>
          </w:p>
        </w:tc>
      </w:tr>
      <w:tr w:rsidR="00377CEB" w:rsidRPr="005B12AE" w14:paraId="2288557F" w14:textId="77777777" w:rsidTr="00250DAC">
        <w:trPr>
          <w:trHeight w:val="20"/>
        </w:trPr>
        <w:tc>
          <w:tcPr>
            <w:tcW w:w="354" w:type="pct"/>
            <w:shd w:val="clear" w:color="auto" w:fill="auto"/>
            <w:vAlign w:val="center"/>
            <w:hideMark/>
          </w:tcPr>
          <w:p w14:paraId="50BDEFED"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2</w:t>
            </w:r>
          </w:p>
        </w:tc>
        <w:tc>
          <w:tcPr>
            <w:tcW w:w="2230" w:type="pct"/>
            <w:shd w:val="clear" w:color="auto" w:fill="auto"/>
            <w:hideMark/>
          </w:tcPr>
          <w:p w14:paraId="21AA40C0"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Bhavesh Ramgopal Maheshwari</w:t>
            </w:r>
          </w:p>
        </w:tc>
        <w:tc>
          <w:tcPr>
            <w:tcW w:w="847" w:type="pct"/>
            <w:shd w:val="clear" w:color="auto" w:fill="auto"/>
            <w:noWrap/>
            <w:vAlign w:val="bottom"/>
            <w:hideMark/>
          </w:tcPr>
          <w:p w14:paraId="1B82BD93"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31.09</w:t>
            </w:r>
          </w:p>
        </w:tc>
        <w:tc>
          <w:tcPr>
            <w:tcW w:w="802" w:type="pct"/>
            <w:shd w:val="clear" w:color="auto" w:fill="auto"/>
            <w:noWrap/>
            <w:vAlign w:val="bottom"/>
            <w:hideMark/>
          </w:tcPr>
          <w:p w14:paraId="01AF703F"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6.37</w:t>
            </w:r>
          </w:p>
        </w:tc>
        <w:tc>
          <w:tcPr>
            <w:tcW w:w="767" w:type="pct"/>
            <w:shd w:val="clear" w:color="auto" w:fill="auto"/>
            <w:noWrap/>
            <w:vAlign w:val="bottom"/>
            <w:hideMark/>
          </w:tcPr>
          <w:p w14:paraId="4271CB12"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9.38</w:t>
            </w:r>
          </w:p>
        </w:tc>
      </w:tr>
      <w:tr w:rsidR="00377CEB" w:rsidRPr="005B12AE" w14:paraId="7859C5D8" w14:textId="77777777" w:rsidTr="00250DAC">
        <w:trPr>
          <w:trHeight w:val="20"/>
        </w:trPr>
        <w:tc>
          <w:tcPr>
            <w:tcW w:w="354" w:type="pct"/>
            <w:shd w:val="clear" w:color="auto" w:fill="auto"/>
            <w:vAlign w:val="center"/>
            <w:hideMark/>
          </w:tcPr>
          <w:p w14:paraId="6344BF74"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tc>
        <w:tc>
          <w:tcPr>
            <w:tcW w:w="2230" w:type="pct"/>
            <w:shd w:val="clear" w:color="auto" w:fill="auto"/>
            <w:hideMark/>
          </w:tcPr>
          <w:p w14:paraId="5F71A892"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847" w:type="pct"/>
            <w:shd w:val="clear" w:color="auto" w:fill="auto"/>
            <w:hideMark/>
          </w:tcPr>
          <w:p w14:paraId="265CC44E"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Cr. Bal</w:t>
            </w:r>
          </w:p>
        </w:tc>
        <w:tc>
          <w:tcPr>
            <w:tcW w:w="802" w:type="pct"/>
            <w:shd w:val="clear" w:color="auto" w:fill="auto"/>
            <w:hideMark/>
          </w:tcPr>
          <w:p w14:paraId="4FE3A0F4"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Cr. Bal</w:t>
            </w:r>
          </w:p>
        </w:tc>
        <w:tc>
          <w:tcPr>
            <w:tcW w:w="767" w:type="pct"/>
            <w:shd w:val="clear" w:color="auto" w:fill="auto"/>
            <w:hideMark/>
          </w:tcPr>
          <w:p w14:paraId="6AA28874"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Cr. Bal</w:t>
            </w:r>
          </w:p>
        </w:tc>
      </w:tr>
      <w:tr w:rsidR="00377CEB" w:rsidRPr="005B12AE" w14:paraId="31ABA3F7" w14:textId="77777777" w:rsidTr="00250DAC">
        <w:trPr>
          <w:trHeight w:val="20"/>
        </w:trPr>
        <w:tc>
          <w:tcPr>
            <w:tcW w:w="354" w:type="pct"/>
            <w:shd w:val="clear" w:color="auto" w:fill="auto"/>
            <w:vAlign w:val="center"/>
            <w:hideMark/>
          </w:tcPr>
          <w:p w14:paraId="2707EB67"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3</w:t>
            </w:r>
          </w:p>
        </w:tc>
        <w:tc>
          <w:tcPr>
            <w:tcW w:w="2230" w:type="pct"/>
            <w:shd w:val="clear" w:color="auto" w:fill="auto"/>
            <w:hideMark/>
          </w:tcPr>
          <w:p w14:paraId="75DE92AD"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Madhu Ramgopal Maheshwari</w:t>
            </w:r>
          </w:p>
        </w:tc>
        <w:tc>
          <w:tcPr>
            <w:tcW w:w="847" w:type="pct"/>
            <w:shd w:val="clear" w:color="auto" w:fill="auto"/>
            <w:noWrap/>
            <w:vAlign w:val="bottom"/>
            <w:hideMark/>
          </w:tcPr>
          <w:p w14:paraId="76ADE2E4"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26.94</w:t>
            </w:r>
          </w:p>
        </w:tc>
        <w:tc>
          <w:tcPr>
            <w:tcW w:w="802" w:type="pct"/>
            <w:shd w:val="clear" w:color="auto" w:fill="auto"/>
            <w:noWrap/>
            <w:vAlign w:val="bottom"/>
            <w:hideMark/>
          </w:tcPr>
          <w:p w14:paraId="07E64256"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8.90</w:t>
            </w:r>
          </w:p>
        </w:tc>
        <w:tc>
          <w:tcPr>
            <w:tcW w:w="767" w:type="pct"/>
            <w:shd w:val="clear" w:color="auto" w:fill="auto"/>
            <w:noWrap/>
            <w:vAlign w:val="bottom"/>
            <w:hideMark/>
          </w:tcPr>
          <w:p w14:paraId="278B9A50"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12.05</w:t>
            </w:r>
          </w:p>
        </w:tc>
      </w:tr>
      <w:tr w:rsidR="00377CEB" w:rsidRPr="005B12AE" w14:paraId="05E24AA9" w14:textId="77777777" w:rsidTr="00250DAC">
        <w:trPr>
          <w:trHeight w:val="20"/>
        </w:trPr>
        <w:tc>
          <w:tcPr>
            <w:tcW w:w="354" w:type="pct"/>
            <w:shd w:val="clear" w:color="auto" w:fill="auto"/>
            <w:vAlign w:val="center"/>
            <w:hideMark/>
          </w:tcPr>
          <w:p w14:paraId="20BDF75A"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tc>
        <w:tc>
          <w:tcPr>
            <w:tcW w:w="2230" w:type="pct"/>
            <w:shd w:val="clear" w:color="auto" w:fill="auto"/>
            <w:hideMark/>
          </w:tcPr>
          <w:p w14:paraId="32C6E926"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847" w:type="pct"/>
            <w:shd w:val="clear" w:color="auto" w:fill="auto"/>
            <w:hideMark/>
          </w:tcPr>
          <w:p w14:paraId="13EB2C27"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Cr. Bal</w:t>
            </w:r>
          </w:p>
        </w:tc>
        <w:tc>
          <w:tcPr>
            <w:tcW w:w="802" w:type="pct"/>
            <w:shd w:val="clear" w:color="auto" w:fill="auto"/>
            <w:hideMark/>
          </w:tcPr>
          <w:p w14:paraId="40098360"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Cr. Bal</w:t>
            </w:r>
          </w:p>
        </w:tc>
        <w:tc>
          <w:tcPr>
            <w:tcW w:w="767" w:type="pct"/>
            <w:shd w:val="clear" w:color="auto" w:fill="auto"/>
            <w:hideMark/>
          </w:tcPr>
          <w:p w14:paraId="4801BDFC"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Cr. Bal</w:t>
            </w:r>
          </w:p>
        </w:tc>
      </w:tr>
      <w:tr w:rsidR="00377CEB" w:rsidRPr="005B12AE" w14:paraId="789C9903" w14:textId="77777777" w:rsidTr="00250DAC">
        <w:trPr>
          <w:trHeight w:val="20"/>
        </w:trPr>
        <w:tc>
          <w:tcPr>
            <w:tcW w:w="354" w:type="pct"/>
            <w:shd w:val="clear" w:color="auto" w:fill="auto"/>
            <w:vAlign w:val="center"/>
            <w:hideMark/>
          </w:tcPr>
          <w:p w14:paraId="5556EE44"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4</w:t>
            </w:r>
          </w:p>
        </w:tc>
        <w:tc>
          <w:tcPr>
            <w:tcW w:w="2230" w:type="pct"/>
            <w:shd w:val="clear" w:color="auto" w:fill="auto"/>
            <w:hideMark/>
          </w:tcPr>
          <w:p w14:paraId="02FF7B60"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Nikunj Inani</w:t>
            </w:r>
          </w:p>
        </w:tc>
        <w:tc>
          <w:tcPr>
            <w:tcW w:w="847" w:type="pct"/>
            <w:shd w:val="clear" w:color="auto" w:fill="auto"/>
            <w:noWrap/>
            <w:vAlign w:val="bottom"/>
            <w:hideMark/>
          </w:tcPr>
          <w:p w14:paraId="1E2CCF18"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8.50</w:t>
            </w:r>
          </w:p>
        </w:tc>
        <w:tc>
          <w:tcPr>
            <w:tcW w:w="802" w:type="pct"/>
            <w:shd w:val="clear" w:color="auto" w:fill="auto"/>
            <w:noWrap/>
            <w:vAlign w:val="bottom"/>
            <w:hideMark/>
          </w:tcPr>
          <w:p w14:paraId="38118E8F"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8.50</w:t>
            </w:r>
          </w:p>
        </w:tc>
        <w:tc>
          <w:tcPr>
            <w:tcW w:w="767" w:type="pct"/>
            <w:shd w:val="clear" w:color="auto" w:fill="auto"/>
            <w:noWrap/>
            <w:vAlign w:val="bottom"/>
            <w:hideMark/>
          </w:tcPr>
          <w:p w14:paraId="1496CF54"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10.25</w:t>
            </w:r>
          </w:p>
        </w:tc>
      </w:tr>
      <w:tr w:rsidR="00377CEB" w:rsidRPr="005B12AE" w14:paraId="40F056D1" w14:textId="77777777" w:rsidTr="00250DAC">
        <w:trPr>
          <w:trHeight w:val="20"/>
        </w:trPr>
        <w:tc>
          <w:tcPr>
            <w:tcW w:w="354" w:type="pct"/>
            <w:shd w:val="clear" w:color="auto" w:fill="auto"/>
            <w:vAlign w:val="center"/>
            <w:hideMark/>
          </w:tcPr>
          <w:p w14:paraId="2AA6FD94"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tc>
        <w:tc>
          <w:tcPr>
            <w:tcW w:w="2230" w:type="pct"/>
            <w:shd w:val="clear" w:color="auto" w:fill="auto"/>
            <w:hideMark/>
          </w:tcPr>
          <w:p w14:paraId="635AE969"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847" w:type="pct"/>
            <w:shd w:val="clear" w:color="auto" w:fill="auto"/>
            <w:hideMark/>
          </w:tcPr>
          <w:p w14:paraId="31B94866"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Cr. Bal</w:t>
            </w:r>
          </w:p>
        </w:tc>
        <w:tc>
          <w:tcPr>
            <w:tcW w:w="802" w:type="pct"/>
            <w:shd w:val="clear" w:color="auto" w:fill="auto"/>
            <w:hideMark/>
          </w:tcPr>
          <w:p w14:paraId="2C1B3012"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Cr. Bal</w:t>
            </w:r>
          </w:p>
        </w:tc>
        <w:tc>
          <w:tcPr>
            <w:tcW w:w="767" w:type="pct"/>
            <w:shd w:val="clear" w:color="auto" w:fill="auto"/>
            <w:hideMark/>
          </w:tcPr>
          <w:p w14:paraId="2A0FF32A"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Cr. Bal</w:t>
            </w:r>
          </w:p>
        </w:tc>
      </w:tr>
      <w:tr w:rsidR="00377CEB" w:rsidRPr="005B12AE" w14:paraId="6519BAF8" w14:textId="77777777" w:rsidTr="00250DAC">
        <w:trPr>
          <w:trHeight w:val="20"/>
        </w:trPr>
        <w:tc>
          <w:tcPr>
            <w:tcW w:w="354" w:type="pct"/>
            <w:shd w:val="clear" w:color="auto" w:fill="auto"/>
            <w:vAlign w:val="center"/>
            <w:hideMark/>
          </w:tcPr>
          <w:p w14:paraId="5F3F717B"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5</w:t>
            </w:r>
          </w:p>
        </w:tc>
        <w:tc>
          <w:tcPr>
            <w:tcW w:w="2230" w:type="pct"/>
            <w:shd w:val="clear" w:color="auto" w:fill="auto"/>
            <w:hideMark/>
          </w:tcPr>
          <w:p w14:paraId="1FF1688F"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Megha Bhavesh Maheshwari</w:t>
            </w:r>
          </w:p>
        </w:tc>
        <w:tc>
          <w:tcPr>
            <w:tcW w:w="847" w:type="pct"/>
            <w:shd w:val="clear" w:color="auto" w:fill="auto"/>
            <w:noWrap/>
            <w:vAlign w:val="bottom"/>
            <w:hideMark/>
          </w:tcPr>
          <w:p w14:paraId="0B44E682"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1.64</w:t>
            </w:r>
          </w:p>
        </w:tc>
        <w:tc>
          <w:tcPr>
            <w:tcW w:w="802" w:type="pct"/>
            <w:shd w:val="clear" w:color="auto" w:fill="auto"/>
            <w:noWrap/>
            <w:vAlign w:val="bottom"/>
            <w:hideMark/>
          </w:tcPr>
          <w:p w14:paraId="6D4BB150"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(11.22)</w:t>
            </w:r>
          </w:p>
        </w:tc>
        <w:tc>
          <w:tcPr>
            <w:tcW w:w="767" w:type="pct"/>
            <w:shd w:val="clear" w:color="auto" w:fill="auto"/>
            <w:noWrap/>
            <w:vAlign w:val="bottom"/>
            <w:hideMark/>
          </w:tcPr>
          <w:p w14:paraId="0BDE2AB9"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377CEB" w:rsidRPr="005B12AE" w14:paraId="777960AA" w14:textId="77777777" w:rsidTr="00250DAC">
        <w:trPr>
          <w:trHeight w:val="20"/>
        </w:trPr>
        <w:tc>
          <w:tcPr>
            <w:tcW w:w="354" w:type="pct"/>
            <w:shd w:val="clear" w:color="auto" w:fill="auto"/>
            <w:vAlign w:val="center"/>
            <w:hideMark/>
          </w:tcPr>
          <w:p w14:paraId="2726AC0A"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tc>
        <w:tc>
          <w:tcPr>
            <w:tcW w:w="2230" w:type="pct"/>
            <w:shd w:val="clear" w:color="auto" w:fill="auto"/>
            <w:hideMark/>
          </w:tcPr>
          <w:p w14:paraId="11A2BD59"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847" w:type="pct"/>
            <w:shd w:val="clear" w:color="auto" w:fill="auto"/>
            <w:hideMark/>
          </w:tcPr>
          <w:p w14:paraId="2B46BE46"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Cr. Bal</w:t>
            </w:r>
          </w:p>
        </w:tc>
        <w:tc>
          <w:tcPr>
            <w:tcW w:w="802" w:type="pct"/>
            <w:shd w:val="clear" w:color="auto" w:fill="auto"/>
            <w:hideMark/>
          </w:tcPr>
          <w:p w14:paraId="53FE4D15"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Dr. Bal</w:t>
            </w:r>
          </w:p>
        </w:tc>
        <w:tc>
          <w:tcPr>
            <w:tcW w:w="767" w:type="pct"/>
            <w:shd w:val="clear" w:color="auto" w:fill="auto"/>
            <w:hideMark/>
          </w:tcPr>
          <w:p w14:paraId="5DE00DAC" w14:textId="77777777" w:rsidR="00377CEB" w:rsidRPr="005B12AE" w:rsidRDefault="00377CEB" w:rsidP="00250DAC">
            <w:pPr>
              <w:spacing w:after="0" w:line="240" w:lineRule="auto"/>
              <w:jc w:val="center"/>
              <w:rPr>
                <w:rFonts w:ascii="Times New Roman" w:hAnsi="Times New Roman"/>
                <w:color w:val="000000"/>
                <w:sz w:val="20"/>
                <w:szCs w:val="20"/>
              </w:rPr>
            </w:pPr>
          </w:p>
        </w:tc>
      </w:tr>
      <w:tr w:rsidR="00377CEB" w:rsidRPr="005B12AE" w14:paraId="1950C07E" w14:textId="77777777" w:rsidTr="00250DAC">
        <w:trPr>
          <w:trHeight w:val="20"/>
        </w:trPr>
        <w:tc>
          <w:tcPr>
            <w:tcW w:w="354" w:type="pct"/>
            <w:shd w:val="clear" w:color="auto" w:fill="auto"/>
            <w:vAlign w:val="center"/>
            <w:hideMark/>
          </w:tcPr>
          <w:p w14:paraId="067E4A27"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6</w:t>
            </w:r>
          </w:p>
        </w:tc>
        <w:tc>
          <w:tcPr>
            <w:tcW w:w="2230" w:type="pct"/>
            <w:shd w:val="clear" w:color="auto" w:fill="auto"/>
            <w:hideMark/>
          </w:tcPr>
          <w:p w14:paraId="35EF7F54"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Dwarkadhish Venture Private Limited (formerly known as Siyaram Metals Private Limited)</w:t>
            </w:r>
          </w:p>
        </w:tc>
        <w:tc>
          <w:tcPr>
            <w:tcW w:w="847" w:type="pct"/>
            <w:shd w:val="clear" w:color="auto" w:fill="auto"/>
            <w:noWrap/>
            <w:vAlign w:val="bottom"/>
            <w:hideMark/>
          </w:tcPr>
          <w:p w14:paraId="3FF48618"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1,209.03</w:t>
            </w:r>
          </w:p>
        </w:tc>
        <w:tc>
          <w:tcPr>
            <w:tcW w:w="802" w:type="pct"/>
            <w:shd w:val="clear" w:color="auto" w:fill="auto"/>
            <w:noWrap/>
            <w:vAlign w:val="bottom"/>
            <w:hideMark/>
          </w:tcPr>
          <w:p w14:paraId="22C912A0"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67" w:type="pct"/>
            <w:shd w:val="clear" w:color="auto" w:fill="auto"/>
            <w:noWrap/>
            <w:vAlign w:val="bottom"/>
            <w:hideMark/>
          </w:tcPr>
          <w:p w14:paraId="16DC37AE"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1,271.30</w:t>
            </w:r>
          </w:p>
        </w:tc>
      </w:tr>
      <w:tr w:rsidR="00377CEB" w:rsidRPr="005B12AE" w14:paraId="7138F01C" w14:textId="77777777" w:rsidTr="00250DAC">
        <w:trPr>
          <w:trHeight w:val="20"/>
        </w:trPr>
        <w:tc>
          <w:tcPr>
            <w:tcW w:w="354" w:type="pct"/>
            <w:shd w:val="clear" w:color="auto" w:fill="auto"/>
            <w:vAlign w:val="center"/>
            <w:hideMark/>
          </w:tcPr>
          <w:p w14:paraId="49F550AE"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tc>
        <w:tc>
          <w:tcPr>
            <w:tcW w:w="2230" w:type="pct"/>
            <w:shd w:val="clear" w:color="auto" w:fill="auto"/>
            <w:hideMark/>
          </w:tcPr>
          <w:p w14:paraId="6324F1CF"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847" w:type="pct"/>
            <w:shd w:val="clear" w:color="auto" w:fill="auto"/>
            <w:hideMark/>
          </w:tcPr>
          <w:p w14:paraId="1B5D80CC"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Cr. Bal</w:t>
            </w:r>
          </w:p>
        </w:tc>
        <w:tc>
          <w:tcPr>
            <w:tcW w:w="802" w:type="pct"/>
            <w:shd w:val="clear" w:color="auto" w:fill="auto"/>
            <w:hideMark/>
          </w:tcPr>
          <w:p w14:paraId="6D22C97B" w14:textId="77777777" w:rsidR="00377CEB" w:rsidRPr="005B12AE" w:rsidRDefault="00377CEB" w:rsidP="00250DAC">
            <w:pPr>
              <w:spacing w:after="0" w:line="240" w:lineRule="auto"/>
              <w:jc w:val="center"/>
              <w:rPr>
                <w:rFonts w:ascii="Times New Roman" w:hAnsi="Times New Roman"/>
                <w:color w:val="000000"/>
                <w:sz w:val="20"/>
                <w:szCs w:val="20"/>
              </w:rPr>
            </w:pPr>
          </w:p>
        </w:tc>
        <w:tc>
          <w:tcPr>
            <w:tcW w:w="767" w:type="pct"/>
            <w:shd w:val="clear" w:color="auto" w:fill="auto"/>
            <w:hideMark/>
          </w:tcPr>
          <w:p w14:paraId="6A985670"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Cr. Bal</w:t>
            </w:r>
          </w:p>
        </w:tc>
      </w:tr>
      <w:tr w:rsidR="00377CEB" w:rsidRPr="005B12AE" w14:paraId="159C4814" w14:textId="77777777" w:rsidTr="00250DAC">
        <w:trPr>
          <w:trHeight w:val="20"/>
        </w:trPr>
        <w:tc>
          <w:tcPr>
            <w:tcW w:w="354" w:type="pct"/>
            <w:shd w:val="clear" w:color="auto" w:fill="auto"/>
            <w:vAlign w:val="center"/>
            <w:hideMark/>
          </w:tcPr>
          <w:p w14:paraId="306051D1"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7</w:t>
            </w:r>
          </w:p>
        </w:tc>
        <w:tc>
          <w:tcPr>
            <w:tcW w:w="2230" w:type="pct"/>
            <w:shd w:val="clear" w:color="auto" w:fill="auto"/>
            <w:hideMark/>
          </w:tcPr>
          <w:p w14:paraId="7A2F8B46"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Gurukrupa Metals</w:t>
            </w:r>
          </w:p>
        </w:tc>
        <w:tc>
          <w:tcPr>
            <w:tcW w:w="847" w:type="pct"/>
            <w:shd w:val="clear" w:color="auto" w:fill="auto"/>
            <w:noWrap/>
            <w:vAlign w:val="bottom"/>
            <w:hideMark/>
          </w:tcPr>
          <w:p w14:paraId="0CFF0028"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02" w:type="pct"/>
            <w:shd w:val="clear" w:color="auto" w:fill="auto"/>
            <w:noWrap/>
            <w:vAlign w:val="bottom"/>
            <w:hideMark/>
          </w:tcPr>
          <w:p w14:paraId="2DB5BE99"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67" w:type="pct"/>
            <w:shd w:val="clear" w:color="auto" w:fill="auto"/>
            <w:noWrap/>
            <w:vAlign w:val="bottom"/>
            <w:hideMark/>
          </w:tcPr>
          <w:p w14:paraId="305DB2AC"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34.00</w:t>
            </w:r>
          </w:p>
        </w:tc>
      </w:tr>
      <w:tr w:rsidR="00377CEB" w:rsidRPr="005B12AE" w14:paraId="192A35B8" w14:textId="77777777" w:rsidTr="00250DAC">
        <w:trPr>
          <w:trHeight w:val="20"/>
        </w:trPr>
        <w:tc>
          <w:tcPr>
            <w:tcW w:w="354" w:type="pct"/>
            <w:shd w:val="clear" w:color="auto" w:fill="auto"/>
            <w:vAlign w:val="center"/>
            <w:hideMark/>
          </w:tcPr>
          <w:p w14:paraId="2785E7B5"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tc>
        <w:tc>
          <w:tcPr>
            <w:tcW w:w="2230" w:type="pct"/>
            <w:shd w:val="clear" w:color="auto" w:fill="auto"/>
            <w:hideMark/>
          </w:tcPr>
          <w:p w14:paraId="5716C652"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847" w:type="pct"/>
            <w:shd w:val="clear" w:color="auto" w:fill="auto"/>
            <w:noWrap/>
            <w:vAlign w:val="bottom"/>
            <w:hideMark/>
          </w:tcPr>
          <w:p w14:paraId="1FC32124" w14:textId="77777777" w:rsidR="00377CEB" w:rsidRPr="005B12AE" w:rsidRDefault="00377CEB" w:rsidP="00250DAC">
            <w:pPr>
              <w:spacing w:after="0" w:line="240" w:lineRule="auto"/>
              <w:jc w:val="center"/>
              <w:rPr>
                <w:rFonts w:ascii="Times New Roman" w:hAnsi="Times New Roman"/>
                <w:sz w:val="20"/>
                <w:szCs w:val="20"/>
              </w:rPr>
            </w:pPr>
          </w:p>
        </w:tc>
        <w:tc>
          <w:tcPr>
            <w:tcW w:w="802" w:type="pct"/>
            <w:shd w:val="clear" w:color="auto" w:fill="auto"/>
            <w:noWrap/>
            <w:vAlign w:val="bottom"/>
            <w:hideMark/>
          </w:tcPr>
          <w:p w14:paraId="1BDB2464" w14:textId="77777777" w:rsidR="00377CEB" w:rsidRPr="005B12AE" w:rsidRDefault="00377CEB" w:rsidP="00250DAC">
            <w:pPr>
              <w:spacing w:after="0" w:line="240" w:lineRule="auto"/>
              <w:jc w:val="center"/>
              <w:rPr>
                <w:rFonts w:ascii="Times New Roman" w:hAnsi="Times New Roman"/>
                <w:sz w:val="20"/>
                <w:szCs w:val="20"/>
              </w:rPr>
            </w:pPr>
          </w:p>
        </w:tc>
        <w:tc>
          <w:tcPr>
            <w:tcW w:w="767" w:type="pct"/>
            <w:shd w:val="clear" w:color="auto" w:fill="auto"/>
            <w:hideMark/>
          </w:tcPr>
          <w:p w14:paraId="410FE0A7"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Cr. Bal</w:t>
            </w:r>
          </w:p>
        </w:tc>
      </w:tr>
      <w:tr w:rsidR="00377CEB" w:rsidRPr="005B12AE" w14:paraId="553ADED9" w14:textId="77777777" w:rsidTr="00250DAC">
        <w:trPr>
          <w:trHeight w:val="20"/>
        </w:trPr>
        <w:tc>
          <w:tcPr>
            <w:tcW w:w="354" w:type="pct"/>
            <w:shd w:val="clear" w:color="auto" w:fill="auto"/>
            <w:vAlign w:val="center"/>
            <w:hideMark/>
          </w:tcPr>
          <w:p w14:paraId="035B9F86"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8</w:t>
            </w:r>
          </w:p>
        </w:tc>
        <w:tc>
          <w:tcPr>
            <w:tcW w:w="2230" w:type="pct"/>
            <w:shd w:val="clear" w:color="auto" w:fill="auto"/>
            <w:hideMark/>
          </w:tcPr>
          <w:p w14:paraId="6D039CB0"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Dwarkesh Alloys Pvt Ltd</w:t>
            </w:r>
          </w:p>
        </w:tc>
        <w:tc>
          <w:tcPr>
            <w:tcW w:w="847" w:type="pct"/>
            <w:shd w:val="clear" w:color="auto" w:fill="auto"/>
            <w:noWrap/>
            <w:vAlign w:val="bottom"/>
            <w:hideMark/>
          </w:tcPr>
          <w:p w14:paraId="3E9EF0F1"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27.40</w:t>
            </w:r>
          </w:p>
        </w:tc>
        <w:tc>
          <w:tcPr>
            <w:tcW w:w="802" w:type="pct"/>
            <w:shd w:val="clear" w:color="auto" w:fill="auto"/>
            <w:noWrap/>
            <w:vAlign w:val="bottom"/>
            <w:hideMark/>
          </w:tcPr>
          <w:p w14:paraId="728E21B1"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37.40</w:t>
            </w:r>
          </w:p>
        </w:tc>
        <w:tc>
          <w:tcPr>
            <w:tcW w:w="767" w:type="pct"/>
            <w:shd w:val="clear" w:color="auto" w:fill="auto"/>
            <w:noWrap/>
            <w:vAlign w:val="bottom"/>
            <w:hideMark/>
          </w:tcPr>
          <w:p w14:paraId="51AF82D4"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89.41</w:t>
            </w:r>
          </w:p>
        </w:tc>
      </w:tr>
      <w:tr w:rsidR="00377CEB" w:rsidRPr="005B12AE" w14:paraId="730748FB" w14:textId="77777777" w:rsidTr="00250DAC">
        <w:trPr>
          <w:trHeight w:val="20"/>
        </w:trPr>
        <w:tc>
          <w:tcPr>
            <w:tcW w:w="354" w:type="pct"/>
            <w:shd w:val="clear" w:color="auto" w:fill="auto"/>
            <w:vAlign w:val="center"/>
            <w:hideMark/>
          </w:tcPr>
          <w:p w14:paraId="4E8410E2"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tc>
        <w:tc>
          <w:tcPr>
            <w:tcW w:w="2230" w:type="pct"/>
            <w:shd w:val="clear" w:color="auto" w:fill="auto"/>
            <w:hideMark/>
          </w:tcPr>
          <w:p w14:paraId="3B889714"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847" w:type="pct"/>
            <w:shd w:val="clear" w:color="auto" w:fill="auto"/>
            <w:hideMark/>
          </w:tcPr>
          <w:p w14:paraId="0218A01A"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Cr. Bal</w:t>
            </w:r>
          </w:p>
        </w:tc>
        <w:tc>
          <w:tcPr>
            <w:tcW w:w="802" w:type="pct"/>
            <w:shd w:val="clear" w:color="auto" w:fill="auto"/>
            <w:hideMark/>
          </w:tcPr>
          <w:p w14:paraId="05C2C404"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Cr. Bal</w:t>
            </w:r>
          </w:p>
        </w:tc>
        <w:tc>
          <w:tcPr>
            <w:tcW w:w="767" w:type="pct"/>
            <w:shd w:val="clear" w:color="auto" w:fill="auto"/>
            <w:hideMark/>
          </w:tcPr>
          <w:p w14:paraId="1BE67445"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Cr. Bal</w:t>
            </w:r>
          </w:p>
        </w:tc>
      </w:tr>
      <w:tr w:rsidR="00377CEB" w:rsidRPr="005B12AE" w14:paraId="47726693" w14:textId="77777777" w:rsidTr="00250DAC">
        <w:trPr>
          <w:trHeight w:val="20"/>
        </w:trPr>
        <w:tc>
          <w:tcPr>
            <w:tcW w:w="354" w:type="pct"/>
            <w:shd w:val="clear" w:color="auto" w:fill="auto"/>
            <w:vAlign w:val="center"/>
            <w:hideMark/>
          </w:tcPr>
          <w:p w14:paraId="7987B28A"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9</w:t>
            </w:r>
          </w:p>
        </w:tc>
        <w:tc>
          <w:tcPr>
            <w:tcW w:w="2230" w:type="pct"/>
            <w:shd w:val="clear" w:color="auto" w:fill="auto"/>
            <w:hideMark/>
          </w:tcPr>
          <w:p w14:paraId="65D94933"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Simpex Overseas Pvt Ltd</w:t>
            </w:r>
          </w:p>
        </w:tc>
        <w:tc>
          <w:tcPr>
            <w:tcW w:w="847" w:type="pct"/>
            <w:shd w:val="clear" w:color="auto" w:fill="auto"/>
            <w:noWrap/>
            <w:vAlign w:val="bottom"/>
            <w:hideMark/>
          </w:tcPr>
          <w:p w14:paraId="5BDA071D"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(56.23)</w:t>
            </w:r>
          </w:p>
        </w:tc>
        <w:tc>
          <w:tcPr>
            <w:tcW w:w="802" w:type="pct"/>
            <w:shd w:val="clear" w:color="auto" w:fill="auto"/>
            <w:noWrap/>
            <w:vAlign w:val="bottom"/>
            <w:hideMark/>
          </w:tcPr>
          <w:p w14:paraId="564FB85A"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0.09</w:t>
            </w:r>
          </w:p>
        </w:tc>
        <w:tc>
          <w:tcPr>
            <w:tcW w:w="767" w:type="pct"/>
            <w:shd w:val="clear" w:color="auto" w:fill="auto"/>
            <w:noWrap/>
            <w:vAlign w:val="bottom"/>
            <w:hideMark/>
          </w:tcPr>
          <w:p w14:paraId="4B604636"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282.74</w:t>
            </w:r>
          </w:p>
        </w:tc>
      </w:tr>
      <w:tr w:rsidR="00377CEB" w:rsidRPr="005B12AE" w14:paraId="140F7917" w14:textId="77777777" w:rsidTr="00250DAC">
        <w:trPr>
          <w:trHeight w:val="20"/>
        </w:trPr>
        <w:tc>
          <w:tcPr>
            <w:tcW w:w="354" w:type="pct"/>
            <w:shd w:val="clear" w:color="auto" w:fill="auto"/>
            <w:vAlign w:val="center"/>
            <w:hideMark/>
          </w:tcPr>
          <w:p w14:paraId="0AD5F0E5"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tc>
        <w:tc>
          <w:tcPr>
            <w:tcW w:w="2230" w:type="pct"/>
            <w:shd w:val="clear" w:color="auto" w:fill="auto"/>
            <w:hideMark/>
          </w:tcPr>
          <w:p w14:paraId="4C872C5A"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847" w:type="pct"/>
            <w:shd w:val="clear" w:color="auto" w:fill="auto"/>
            <w:hideMark/>
          </w:tcPr>
          <w:p w14:paraId="78BD4425"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Dr. Bal</w:t>
            </w:r>
          </w:p>
        </w:tc>
        <w:tc>
          <w:tcPr>
            <w:tcW w:w="802" w:type="pct"/>
            <w:shd w:val="clear" w:color="auto" w:fill="auto"/>
            <w:hideMark/>
          </w:tcPr>
          <w:p w14:paraId="0FEC3C46"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Cr. Bal</w:t>
            </w:r>
          </w:p>
        </w:tc>
        <w:tc>
          <w:tcPr>
            <w:tcW w:w="767" w:type="pct"/>
            <w:shd w:val="clear" w:color="auto" w:fill="auto"/>
            <w:hideMark/>
          </w:tcPr>
          <w:p w14:paraId="74D11494"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Cr. Bal</w:t>
            </w:r>
          </w:p>
        </w:tc>
      </w:tr>
      <w:tr w:rsidR="00377CEB" w:rsidRPr="005B12AE" w14:paraId="41467DF3" w14:textId="77777777" w:rsidTr="00250DAC">
        <w:trPr>
          <w:trHeight w:val="20"/>
        </w:trPr>
        <w:tc>
          <w:tcPr>
            <w:tcW w:w="354" w:type="pct"/>
            <w:shd w:val="clear" w:color="auto" w:fill="auto"/>
            <w:vAlign w:val="center"/>
            <w:hideMark/>
          </w:tcPr>
          <w:p w14:paraId="30A51CA1"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10</w:t>
            </w:r>
          </w:p>
        </w:tc>
        <w:tc>
          <w:tcPr>
            <w:tcW w:w="2230" w:type="pct"/>
            <w:shd w:val="clear" w:color="auto" w:fill="auto"/>
            <w:hideMark/>
          </w:tcPr>
          <w:p w14:paraId="49482BF2"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Apex Devcon Pvt Ltd</w:t>
            </w:r>
          </w:p>
        </w:tc>
        <w:tc>
          <w:tcPr>
            <w:tcW w:w="847" w:type="pct"/>
            <w:shd w:val="clear" w:color="auto" w:fill="auto"/>
            <w:noWrap/>
            <w:vAlign w:val="bottom"/>
            <w:hideMark/>
          </w:tcPr>
          <w:p w14:paraId="70CACC7C"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02" w:type="pct"/>
            <w:shd w:val="clear" w:color="auto" w:fill="auto"/>
            <w:noWrap/>
            <w:vAlign w:val="bottom"/>
            <w:hideMark/>
          </w:tcPr>
          <w:p w14:paraId="2F13AEA1"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67" w:type="pct"/>
            <w:shd w:val="clear" w:color="auto" w:fill="auto"/>
            <w:noWrap/>
            <w:vAlign w:val="bottom"/>
            <w:hideMark/>
          </w:tcPr>
          <w:p w14:paraId="211F1A73" w14:textId="77777777" w:rsidR="00377CEB" w:rsidRPr="005B12AE" w:rsidRDefault="00377CEB" w:rsidP="00250DAC">
            <w:pPr>
              <w:spacing w:after="0" w:line="240" w:lineRule="auto"/>
              <w:jc w:val="center"/>
              <w:rPr>
                <w:rFonts w:ascii="Times New Roman" w:hAnsi="Times New Roman"/>
                <w:sz w:val="20"/>
                <w:szCs w:val="20"/>
              </w:rPr>
            </w:pPr>
            <w:r w:rsidRPr="005B12AE">
              <w:rPr>
                <w:rFonts w:ascii="Times New Roman" w:hAnsi="Times New Roman"/>
                <w:sz w:val="20"/>
                <w:szCs w:val="20"/>
              </w:rPr>
              <w:t>30.00</w:t>
            </w:r>
          </w:p>
        </w:tc>
      </w:tr>
      <w:tr w:rsidR="00377CEB" w:rsidRPr="005B12AE" w14:paraId="3187D2C0" w14:textId="77777777" w:rsidTr="00250DAC">
        <w:trPr>
          <w:trHeight w:val="20"/>
        </w:trPr>
        <w:tc>
          <w:tcPr>
            <w:tcW w:w="354" w:type="pct"/>
            <w:shd w:val="clear" w:color="auto" w:fill="auto"/>
            <w:vAlign w:val="center"/>
            <w:hideMark/>
          </w:tcPr>
          <w:p w14:paraId="485ABAC1"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tc>
        <w:tc>
          <w:tcPr>
            <w:tcW w:w="2230" w:type="pct"/>
            <w:shd w:val="clear" w:color="auto" w:fill="auto"/>
            <w:hideMark/>
          </w:tcPr>
          <w:p w14:paraId="5BBB5208" w14:textId="77777777" w:rsidR="00377CEB" w:rsidRPr="005B12AE" w:rsidRDefault="00377CEB"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847" w:type="pct"/>
            <w:shd w:val="clear" w:color="auto" w:fill="auto"/>
            <w:hideMark/>
          </w:tcPr>
          <w:p w14:paraId="3C46E788" w14:textId="77777777" w:rsidR="00377CEB" w:rsidRPr="005B12AE" w:rsidRDefault="00377CEB" w:rsidP="00250DAC">
            <w:pPr>
              <w:spacing w:after="0" w:line="240" w:lineRule="auto"/>
              <w:jc w:val="center"/>
              <w:rPr>
                <w:rFonts w:ascii="Times New Roman" w:hAnsi="Times New Roman"/>
                <w:sz w:val="20"/>
                <w:szCs w:val="20"/>
              </w:rPr>
            </w:pPr>
          </w:p>
        </w:tc>
        <w:tc>
          <w:tcPr>
            <w:tcW w:w="802" w:type="pct"/>
            <w:shd w:val="clear" w:color="auto" w:fill="auto"/>
            <w:hideMark/>
          </w:tcPr>
          <w:p w14:paraId="072D1218" w14:textId="77777777" w:rsidR="00377CEB" w:rsidRPr="005B12AE" w:rsidRDefault="00377CEB" w:rsidP="00250DAC">
            <w:pPr>
              <w:spacing w:after="0" w:line="240" w:lineRule="auto"/>
              <w:jc w:val="center"/>
              <w:rPr>
                <w:rFonts w:ascii="Times New Roman" w:hAnsi="Times New Roman"/>
                <w:color w:val="000000"/>
                <w:sz w:val="20"/>
                <w:szCs w:val="20"/>
              </w:rPr>
            </w:pPr>
          </w:p>
        </w:tc>
        <w:tc>
          <w:tcPr>
            <w:tcW w:w="767" w:type="pct"/>
            <w:shd w:val="clear" w:color="auto" w:fill="auto"/>
            <w:hideMark/>
          </w:tcPr>
          <w:p w14:paraId="671BD358" w14:textId="77777777" w:rsidR="00377CEB" w:rsidRPr="005B12AE" w:rsidRDefault="00377CEB"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Dr. Bal</w:t>
            </w:r>
          </w:p>
        </w:tc>
      </w:tr>
    </w:tbl>
    <w:p w14:paraId="19BA7EA2" w14:textId="77777777" w:rsidR="00F8631B" w:rsidRPr="00712F3C" w:rsidRDefault="00F8631B" w:rsidP="00F8631B">
      <w:pPr>
        <w:spacing w:after="0" w:line="240" w:lineRule="auto"/>
        <w:jc w:val="both"/>
        <w:rPr>
          <w:rFonts w:ascii="Times New Roman" w:hAnsi="Times New Roman"/>
          <w:bCs/>
          <w:sz w:val="20"/>
          <w:szCs w:val="20"/>
        </w:rPr>
      </w:pPr>
      <w:r w:rsidRPr="00712F3C">
        <w:rPr>
          <w:rFonts w:ascii="Times New Roman" w:hAnsi="Times New Roman"/>
          <w:b/>
          <w:bCs/>
          <w:sz w:val="20"/>
          <w:szCs w:val="20"/>
        </w:rPr>
        <w:t>Note</w:t>
      </w:r>
      <w:r w:rsidRPr="00712F3C">
        <w:rPr>
          <w:rFonts w:ascii="Times New Roman" w:hAnsi="Times New Roman"/>
          <w:bCs/>
          <w:sz w:val="20"/>
          <w:szCs w:val="20"/>
        </w:rPr>
        <w:t>: The figures disclosed above are based on the restated summary statement of assets and liabilities of the Company.</w:t>
      </w:r>
    </w:p>
    <w:p w14:paraId="2298DBC1" w14:textId="77777777" w:rsidR="00F8631B" w:rsidRPr="00712F3C" w:rsidRDefault="00F8631B" w:rsidP="00F8631B">
      <w:pPr>
        <w:spacing w:after="0" w:line="240" w:lineRule="auto"/>
        <w:jc w:val="both"/>
        <w:rPr>
          <w:rFonts w:ascii="Times New Roman" w:hAnsi="Times New Roman"/>
          <w:bCs/>
          <w:sz w:val="20"/>
          <w:szCs w:val="20"/>
        </w:rPr>
      </w:pPr>
    </w:p>
    <w:p w14:paraId="5D3338DA" w14:textId="4D75A67F" w:rsidR="00F8631B" w:rsidRPr="00712F3C" w:rsidRDefault="00F8631B" w:rsidP="00F8631B">
      <w:pPr>
        <w:spacing w:after="0" w:line="240" w:lineRule="auto"/>
        <w:jc w:val="both"/>
        <w:rPr>
          <w:rFonts w:ascii="Times New Roman" w:hAnsi="Times New Roman"/>
          <w:sz w:val="20"/>
          <w:szCs w:val="20"/>
        </w:rPr>
      </w:pPr>
      <w:r w:rsidRPr="00712F3C">
        <w:rPr>
          <w:rFonts w:ascii="Times New Roman" w:hAnsi="Times New Roman"/>
          <w:sz w:val="20"/>
          <w:szCs w:val="20"/>
        </w:rPr>
        <w:t xml:space="preserve">For further details, please refer to the Note </w:t>
      </w:r>
      <w:r w:rsidR="00377CEB">
        <w:rPr>
          <w:rFonts w:ascii="Times New Roman" w:hAnsi="Times New Roman"/>
          <w:sz w:val="20"/>
          <w:szCs w:val="20"/>
        </w:rPr>
        <w:t>W</w:t>
      </w:r>
      <w:r w:rsidRPr="00712F3C">
        <w:rPr>
          <w:rFonts w:ascii="Times New Roman" w:hAnsi="Times New Roman"/>
          <w:sz w:val="20"/>
          <w:szCs w:val="20"/>
        </w:rPr>
        <w:t xml:space="preserve"> – Related Party Disclosures of chapter titled </w:t>
      </w:r>
      <w:r w:rsidRPr="00712F3C">
        <w:rPr>
          <w:rFonts w:ascii="Times New Roman" w:hAnsi="Times New Roman"/>
          <w:b/>
          <w:i/>
          <w:sz w:val="20"/>
          <w:szCs w:val="20"/>
        </w:rPr>
        <w:t xml:space="preserve">“Financial Information of the Company” </w:t>
      </w:r>
      <w:r w:rsidRPr="00712F3C">
        <w:rPr>
          <w:rFonts w:ascii="Times New Roman" w:hAnsi="Times New Roman"/>
          <w:sz w:val="20"/>
          <w:szCs w:val="20"/>
        </w:rPr>
        <w:t xml:space="preserve">on page </w:t>
      </w:r>
      <w:r>
        <w:rPr>
          <w:rFonts w:ascii="Times New Roman" w:hAnsi="Times New Roman"/>
          <w:sz w:val="20"/>
          <w:szCs w:val="20"/>
        </w:rPr>
        <w:t>161</w:t>
      </w:r>
      <w:r w:rsidRPr="00712F3C">
        <w:rPr>
          <w:rFonts w:ascii="Times New Roman" w:hAnsi="Times New Roman"/>
          <w:sz w:val="20"/>
          <w:szCs w:val="20"/>
        </w:rPr>
        <w:t xml:space="preserve"> of this Draft </w:t>
      </w:r>
      <w:r w:rsidRPr="00712F3C">
        <w:rPr>
          <w:rFonts w:ascii="Times New Roman" w:hAnsi="Times New Roman"/>
          <w:iCs/>
          <w:sz w:val="20"/>
          <w:szCs w:val="20"/>
        </w:rPr>
        <w:t>Red Herring</w:t>
      </w:r>
      <w:r w:rsidRPr="00712F3C">
        <w:rPr>
          <w:rFonts w:ascii="Times New Roman" w:hAnsi="Times New Roman"/>
          <w:sz w:val="20"/>
          <w:szCs w:val="20"/>
        </w:rPr>
        <w:t xml:space="preserve"> Prospectus.</w:t>
      </w:r>
    </w:p>
    <w:p w14:paraId="1118F6D0" w14:textId="77777777" w:rsidR="00F8631B" w:rsidRPr="00712F3C" w:rsidRDefault="00F8631B" w:rsidP="00F8631B">
      <w:pPr>
        <w:spacing w:after="0" w:line="240" w:lineRule="auto"/>
        <w:jc w:val="both"/>
        <w:rPr>
          <w:rFonts w:ascii="Times New Roman" w:eastAsia="MS Mincho" w:hAnsi="Times New Roman"/>
          <w:b/>
          <w:color w:val="000000"/>
          <w:sz w:val="20"/>
          <w:szCs w:val="20"/>
          <w:lang w:val="en-GB"/>
        </w:rPr>
      </w:pPr>
    </w:p>
    <w:p w14:paraId="05C14775" w14:textId="77777777" w:rsidR="00F8631B" w:rsidRPr="00712F3C" w:rsidRDefault="00F8631B">
      <w:pPr>
        <w:numPr>
          <w:ilvl w:val="0"/>
          <w:numId w:val="163"/>
        </w:numPr>
        <w:spacing w:after="0" w:line="240" w:lineRule="auto"/>
        <w:rPr>
          <w:rFonts w:ascii="Times New Roman" w:hAnsi="Times New Roman"/>
          <w:b/>
          <w:bCs/>
          <w:sz w:val="20"/>
          <w:szCs w:val="20"/>
          <w:u w:val="single"/>
        </w:rPr>
      </w:pPr>
      <w:r w:rsidRPr="00712F3C">
        <w:rPr>
          <w:rFonts w:ascii="Times New Roman" w:hAnsi="Times New Roman"/>
          <w:b/>
          <w:bCs/>
          <w:sz w:val="20"/>
          <w:szCs w:val="20"/>
          <w:u w:val="single"/>
        </w:rPr>
        <w:t>DETAILS OF FINANCING ARRANGEMENTS</w:t>
      </w:r>
    </w:p>
    <w:p w14:paraId="62DF0854" w14:textId="77777777" w:rsidR="00F8631B" w:rsidRPr="00712F3C" w:rsidRDefault="00F8631B" w:rsidP="00F8631B">
      <w:pPr>
        <w:spacing w:after="0" w:line="240" w:lineRule="auto"/>
        <w:ind w:left="360"/>
        <w:rPr>
          <w:rFonts w:ascii="Times New Roman" w:hAnsi="Times New Roman"/>
          <w:b/>
          <w:bCs/>
          <w:sz w:val="20"/>
          <w:szCs w:val="20"/>
          <w:u w:val="single"/>
        </w:rPr>
      </w:pPr>
    </w:p>
    <w:p w14:paraId="214F5A88" w14:textId="77777777" w:rsidR="00F8631B" w:rsidRPr="00712F3C" w:rsidRDefault="00F8631B" w:rsidP="00F8631B">
      <w:pPr>
        <w:spacing w:after="0" w:line="240" w:lineRule="auto"/>
        <w:jc w:val="both"/>
        <w:rPr>
          <w:rFonts w:ascii="Times New Roman" w:eastAsia="MS Mincho" w:hAnsi="Times New Roman"/>
          <w:color w:val="000000"/>
          <w:sz w:val="20"/>
          <w:szCs w:val="20"/>
          <w:lang w:val="en-GB"/>
        </w:rPr>
      </w:pPr>
      <w:r w:rsidRPr="00712F3C">
        <w:rPr>
          <w:rFonts w:ascii="Times New Roman" w:eastAsia="MS Mincho" w:hAnsi="Times New Roman"/>
          <w:color w:val="000000"/>
          <w:sz w:val="20"/>
          <w:szCs w:val="20"/>
          <w:lang w:val="en-GB"/>
        </w:rPr>
        <w:t xml:space="preserve">There are no financing arrangements whereby the promoters, members of the Promoter Group, the directors of the issuer and their relatives have financed the purchase by any other person of securities of the issuer other than in the normal course of the business of the financing entity during the period of six months immediately preceding the date of this Draft </w:t>
      </w:r>
      <w:r w:rsidRPr="00712F3C">
        <w:rPr>
          <w:rFonts w:ascii="Times New Roman" w:hAnsi="Times New Roman"/>
          <w:iCs/>
          <w:sz w:val="20"/>
          <w:szCs w:val="20"/>
        </w:rPr>
        <w:t>Red Herring</w:t>
      </w:r>
      <w:r w:rsidRPr="00712F3C">
        <w:rPr>
          <w:rFonts w:ascii="Times New Roman" w:eastAsia="MS Mincho" w:hAnsi="Times New Roman"/>
          <w:color w:val="000000"/>
          <w:sz w:val="20"/>
          <w:szCs w:val="20"/>
          <w:lang w:val="en-GB"/>
        </w:rPr>
        <w:t xml:space="preserve"> Prospectus.</w:t>
      </w:r>
    </w:p>
    <w:p w14:paraId="7C50C8FA" w14:textId="77777777" w:rsidR="00F8631B" w:rsidRPr="00712F3C" w:rsidRDefault="00F8631B" w:rsidP="00F8631B">
      <w:pPr>
        <w:spacing w:after="0" w:line="240" w:lineRule="auto"/>
        <w:jc w:val="both"/>
        <w:rPr>
          <w:rFonts w:ascii="Times New Roman" w:eastAsia="MS Mincho" w:hAnsi="Times New Roman"/>
          <w:color w:val="000000"/>
          <w:sz w:val="20"/>
          <w:szCs w:val="20"/>
          <w:lang w:val="en-GB"/>
        </w:rPr>
      </w:pPr>
    </w:p>
    <w:p w14:paraId="423B1A27" w14:textId="77777777" w:rsidR="00F8631B" w:rsidRPr="00712F3C" w:rsidRDefault="00F8631B">
      <w:pPr>
        <w:numPr>
          <w:ilvl w:val="0"/>
          <w:numId w:val="163"/>
        </w:numPr>
        <w:spacing w:after="0" w:line="240" w:lineRule="auto"/>
        <w:rPr>
          <w:rFonts w:ascii="Times New Roman" w:hAnsi="Times New Roman"/>
          <w:b/>
          <w:bCs/>
          <w:sz w:val="20"/>
          <w:szCs w:val="20"/>
          <w:u w:val="single"/>
        </w:rPr>
      </w:pPr>
      <w:r w:rsidRPr="00712F3C">
        <w:rPr>
          <w:rFonts w:ascii="Times New Roman" w:hAnsi="Times New Roman"/>
          <w:b/>
          <w:bCs/>
          <w:sz w:val="20"/>
          <w:szCs w:val="20"/>
          <w:u w:val="single"/>
        </w:rPr>
        <w:t>WEIGHTED AVERAGE PRICE OF THE SHARES ACQUIRED BY PROMOTERS IN LAST ONE YEAR</w:t>
      </w:r>
    </w:p>
    <w:p w14:paraId="70672368" w14:textId="77777777" w:rsidR="00F8631B" w:rsidRPr="00712F3C" w:rsidRDefault="00F8631B" w:rsidP="00F8631B">
      <w:pPr>
        <w:spacing w:after="0" w:line="240" w:lineRule="auto"/>
        <w:jc w:val="both"/>
        <w:rPr>
          <w:rFonts w:ascii="Times New Roman" w:eastAsia="MS Mincho" w:hAnsi="Times New Roman"/>
          <w:b/>
          <w:color w:val="000000"/>
          <w:sz w:val="20"/>
          <w:szCs w:val="20"/>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7"/>
        <w:gridCol w:w="4279"/>
        <w:gridCol w:w="2382"/>
        <w:gridCol w:w="2949"/>
      </w:tblGrid>
      <w:tr w:rsidR="00F8631B" w:rsidRPr="00712F3C" w14:paraId="6A0C4C02" w14:textId="77777777" w:rsidTr="00377CEB">
        <w:trPr>
          <w:trHeight w:val="20"/>
        </w:trPr>
        <w:tc>
          <w:tcPr>
            <w:tcW w:w="405" w:type="pct"/>
            <w:shd w:val="clear" w:color="auto" w:fill="D0CECE" w:themeFill="background2" w:themeFillShade="E6"/>
            <w:vAlign w:val="center"/>
          </w:tcPr>
          <w:p w14:paraId="3FC6336F" w14:textId="77777777" w:rsidR="00F8631B" w:rsidRPr="00712F3C" w:rsidRDefault="00F8631B" w:rsidP="00250DAC">
            <w:pPr>
              <w:spacing w:after="0" w:line="240" w:lineRule="auto"/>
              <w:jc w:val="center"/>
              <w:rPr>
                <w:rFonts w:ascii="Times New Roman" w:eastAsia="Calibri" w:hAnsi="Times New Roman"/>
                <w:b/>
                <w:sz w:val="20"/>
                <w:szCs w:val="20"/>
              </w:rPr>
            </w:pPr>
            <w:r w:rsidRPr="00712F3C">
              <w:rPr>
                <w:rFonts w:ascii="Times New Roman" w:eastAsia="Calibri" w:hAnsi="Times New Roman"/>
                <w:b/>
                <w:sz w:val="20"/>
                <w:szCs w:val="20"/>
              </w:rPr>
              <w:t>Sr. No.</w:t>
            </w:r>
          </w:p>
        </w:tc>
        <w:tc>
          <w:tcPr>
            <w:tcW w:w="2046" w:type="pct"/>
            <w:shd w:val="clear" w:color="auto" w:fill="D0CECE" w:themeFill="background2" w:themeFillShade="E6"/>
            <w:vAlign w:val="center"/>
          </w:tcPr>
          <w:p w14:paraId="31AFFD78" w14:textId="77777777" w:rsidR="00F8631B" w:rsidRPr="00712F3C" w:rsidRDefault="00F8631B" w:rsidP="00250DAC">
            <w:pPr>
              <w:spacing w:after="0" w:line="240" w:lineRule="auto"/>
              <w:rPr>
                <w:rFonts w:ascii="Times New Roman" w:eastAsia="Calibri" w:hAnsi="Times New Roman"/>
                <w:b/>
                <w:sz w:val="20"/>
                <w:szCs w:val="20"/>
              </w:rPr>
            </w:pPr>
            <w:r w:rsidRPr="00712F3C">
              <w:rPr>
                <w:rFonts w:ascii="Times New Roman" w:eastAsia="Calibri" w:hAnsi="Times New Roman"/>
                <w:b/>
                <w:sz w:val="20"/>
                <w:szCs w:val="20"/>
              </w:rPr>
              <w:t>Name of the Promoter</w:t>
            </w:r>
          </w:p>
        </w:tc>
        <w:tc>
          <w:tcPr>
            <w:tcW w:w="1139" w:type="pct"/>
            <w:shd w:val="clear" w:color="auto" w:fill="D0CECE" w:themeFill="background2" w:themeFillShade="E6"/>
            <w:vAlign w:val="center"/>
          </w:tcPr>
          <w:p w14:paraId="479BBDC2" w14:textId="77777777" w:rsidR="00F8631B" w:rsidRPr="00712F3C" w:rsidRDefault="00F8631B" w:rsidP="00250DAC">
            <w:pPr>
              <w:spacing w:after="0" w:line="240" w:lineRule="auto"/>
              <w:jc w:val="center"/>
              <w:rPr>
                <w:rFonts w:ascii="Times New Roman" w:eastAsia="Calibri" w:hAnsi="Times New Roman"/>
                <w:b/>
                <w:sz w:val="20"/>
                <w:szCs w:val="20"/>
              </w:rPr>
            </w:pPr>
            <w:r w:rsidRPr="00712F3C">
              <w:rPr>
                <w:rFonts w:ascii="Times New Roman" w:eastAsia="Calibri" w:hAnsi="Times New Roman"/>
                <w:b/>
                <w:sz w:val="20"/>
                <w:szCs w:val="20"/>
              </w:rPr>
              <w:t>No. of Shares acquired in last one year</w:t>
            </w:r>
          </w:p>
        </w:tc>
        <w:tc>
          <w:tcPr>
            <w:tcW w:w="1410" w:type="pct"/>
            <w:shd w:val="clear" w:color="auto" w:fill="D0CECE" w:themeFill="background2" w:themeFillShade="E6"/>
            <w:vAlign w:val="center"/>
          </w:tcPr>
          <w:p w14:paraId="3CCB9B29" w14:textId="77777777" w:rsidR="00F8631B" w:rsidRPr="00712F3C" w:rsidRDefault="00F8631B" w:rsidP="00250DAC">
            <w:pPr>
              <w:spacing w:after="0" w:line="240" w:lineRule="auto"/>
              <w:jc w:val="center"/>
              <w:rPr>
                <w:rFonts w:ascii="Times New Roman" w:eastAsia="Calibri" w:hAnsi="Times New Roman"/>
                <w:b/>
                <w:sz w:val="20"/>
                <w:szCs w:val="20"/>
              </w:rPr>
            </w:pPr>
            <w:r w:rsidRPr="00712F3C">
              <w:rPr>
                <w:rFonts w:ascii="Times New Roman" w:eastAsia="Calibri" w:hAnsi="Times New Roman"/>
                <w:b/>
                <w:sz w:val="20"/>
                <w:szCs w:val="20"/>
              </w:rPr>
              <w:t>Weighted Average Price (in ₹)</w:t>
            </w:r>
          </w:p>
        </w:tc>
      </w:tr>
      <w:tr w:rsidR="00377CEB" w:rsidRPr="00712F3C" w14:paraId="00FDACDC" w14:textId="77777777" w:rsidTr="00377CEB">
        <w:trPr>
          <w:trHeight w:val="20"/>
        </w:trPr>
        <w:tc>
          <w:tcPr>
            <w:tcW w:w="405" w:type="pct"/>
            <w:shd w:val="clear" w:color="auto" w:fill="auto"/>
            <w:vAlign w:val="center"/>
          </w:tcPr>
          <w:p w14:paraId="74CCD9F1" w14:textId="77777777" w:rsidR="00377CEB" w:rsidRPr="00712F3C" w:rsidRDefault="00377CEB" w:rsidP="00377CEB">
            <w:pPr>
              <w:spacing w:after="0" w:line="240" w:lineRule="auto"/>
              <w:jc w:val="center"/>
              <w:rPr>
                <w:rFonts w:ascii="Times New Roman" w:eastAsia="Calibri" w:hAnsi="Times New Roman"/>
                <w:sz w:val="20"/>
                <w:szCs w:val="20"/>
              </w:rPr>
            </w:pPr>
            <w:r w:rsidRPr="00712F3C">
              <w:rPr>
                <w:rFonts w:ascii="Times New Roman" w:eastAsia="Calibri" w:hAnsi="Times New Roman"/>
                <w:sz w:val="20"/>
                <w:szCs w:val="20"/>
              </w:rPr>
              <w:t>1.</w:t>
            </w:r>
          </w:p>
        </w:tc>
        <w:tc>
          <w:tcPr>
            <w:tcW w:w="2046" w:type="pct"/>
            <w:shd w:val="clear" w:color="auto" w:fill="auto"/>
          </w:tcPr>
          <w:p w14:paraId="71D1DDFF" w14:textId="3A47CB92" w:rsidR="00377CEB" w:rsidRPr="00712F3C" w:rsidRDefault="00377CEB" w:rsidP="00377CEB">
            <w:pPr>
              <w:pStyle w:val="ListParagraph"/>
              <w:suppressAutoHyphens w:val="0"/>
              <w:autoSpaceDE/>
              <w:autoSpaceDN/>
              <w:adjustRightInd/>
              <w:spacing w:line="240" w:lineRule="auto"/>
              <w:ind w:left="0"/>
              <w:contextualSpacing/>
              <w:jc w:val="both"/>
              <w:textAlignment w:val="auto"/>
              <w:rPr>
                <w:sz w:val="20"/>
                <w:szCs w:val="20"/>
                <w:lang w:val="en-GB"/>
              </w:rPr>
            </w:pPr>
            <w:r w:rsidRPr="0094678C">
              <w:rPr>
                <w:sz w:val="20"/>
                <w:szCs w:val="20"/>
              </w:rPr>
              <w:t xml:space="preserve">Dwarkadhish Venture Private Limited </w:t>
            </w:r>
            <w:r w:rsidRPr="0094678C">
              <w:rPr>
                <w:i/>
                <w:iCs/>
                <w:sz w:val="20"/>
                <w:szCs w:val="20"/>
              </w:rPr>
              <w:t>(formerly known as Siyaram Metals Private Limited)</w:t>
            </w:r>
          </w:p>
        </w:tc>
        <w:tc>
          <w:tcPr>
            <w:tcW w:w="1139" w:type="pct"/>
            <w:shd w:val="clear" w:color="auto" w:fill="auto"/>
            <w:vAlign w:val="center"/>
          </w:tcPr>
          <w:p w14:paraId="1B3E6BC3" w14:textId="3F54DF1F" w:rsidR="00377CEB" w:rsidRPr="00712F3C" w:rsidRDefault="00377CEB" w:rsidP="00377CE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Nil</w:t>
            </w:r>
          </w:p>
        </w:tc>
        <w:tc>
          <w:tcPr>
            <w:tcW w:w="1410" w:type="pct"/>
            <w:shd w:val="clear" w:color="auto" w:fill="auto"/>
            <w:vAlign w:val="center"/>
          </w:tcPr>
          <w:p w14:paraId="44B8CF83" w14:textId="3F54E17F" w:rsidR="00377CEB" w:rsidRPr="00712F3C" w:rsidRDefault="00377CEB" w:rsidP="00377CEB">
            <w:pPr>
              <w:spacing w:after="0" w:line="240" w:lineRule="auto"/>
              <w:jc w:val="center"/>
              <w:rPr>
                <w:rFonts w:ascii="Times New Roman" w:eastAsia="Calibri" w:hAnsi="Times New Roman"/>
                <w:color w:val="000000"/>
                <w:sz w:val="20"/>
                <w:szCs w:val="20"/>
              </w:rPr>
            </w:pPr>
            <w:r>
              <w:rPr>
                <w:rFonts w:ascii="Times New Roman" w:eastAsia="Calibri" w:hAnsi="Times New Roman"/>
                <w:sz w:val="20"/>
                <w:szCs w:val="20"/>
              </w:rPr>
              <w:t>Nil</w:t>
            </w:r>
          </w:p>
        </w:tc>
      </w:tr>
      <w:tr w:rsidR="00377CEB" w:rsidRPr="00712F3C" w14:paraId="3FE83A06" w14:textId="77777777" w:rsidTr="00377CEB">
        <w:trPr>
          <w:trHeight w:val="20"/>
        </w:trPr>
        <w:tc>
          <w:tcPr>
            <w:tcW w:w="405" w:type="pct"/>
            <w:shd w:val="clear" w:color="auto" w:fill="auto"/>
            <w:vAlign w:val="center"/>
          </w:tcPr>
          <w:p w14:paraId="1EDD265A" w14:textId="77777777" w:rsidR="00377CEB" w:rsidRPr="00712F3C" w:rsidRDefault="00377CEB" w:rsidP="00377CEB">
            <w:pPr>
              <w:spacing w:after="0" w:line="240" w:lineRule="auto"/>
              <w:jc w:val="center"/>
              <w:rPr>
                <w:rFonts w:ascii="Times New Roman" w:eastAsia="Calibri" w:hAnsi="Times New Roman"/>
                <w:sz w:val="20"/>
                <w:szCs w:val="20"/>
              </w:rPr>
            </w:pPr>
            <w:r w:rsidRPr="00712F3C">
              <w:rPr>
                <w:rFonts w:ascii="Times New Roman" w:eastAsia="Calibri" w:hAnsi="Times New Roman"/>
                <w:sz w:val="20"/>
                <w:szCs w:val="20"/>
              </w:rPr>
              <w:t>2.</w:t>
            </w:r>
          </w:p>
        </w:tc>
        <w:tc>
          <w:tcPr>
            <w:tcW w:w="2046" w:type="pct"/>
            <w:shd w:val="clear" w:color="auto" w:fill="auto"/>
          </w:tcPr>
          <w:p w14:paraId="2515078A" w14:textId="561B849E" w:rsidR="00377CEB" w:rsidRPr="00712F3C" w:rsidRDefault="00377CEB" w:rsidP="00377CEB">
            <w:pPr>
              <w:pStyle w:val="ListParagraph"/>
              <w:suppressAutoHyphens w:val="0"/>
              <w:autoSpaceDE/>
              <w:autoSpaceDN/>
              <w:adjustRightInd/>
              <w:spacing w:line="240" w:lineRule="auto"/>
              <w:ind w:left="0"/>
              <w:contextualSpacing/>
              <w:jc w:val="both"/>
              <w:textAlignment w:val="auto"/>
              <w:rPr>
                <w:sz w:val="20"/>
                <w:szCs w:val="20"/>
              </w:rPr>
            </w:pPr>
            <w:r w:rsidRPr="000860EB">
              <w:rPr>
                <w:sz w:val="20"/>
                <w:szCs w:val="20"/>
              </w:rPr>
              <w:t>Ramgopal Ochhavlal Maheswari</w:t>
            </w:r>
          </w:p>
        </w:tc>
        <w:tc>
          <w:tcPr>
            <w:tcW w:w="1139" w:type="pct"/>
            <w:shd w:val="clear" w:color="auto" w:fill="auto"/>
            <w:vAlign w:val="center"/>
          </w:tcPr>
          <w:p w14:paraId="32CF0AFE" w14:textId="32E82642" w:rsidR="00377CEB" w:rsidRPr="00712F3C" w:rsidRDefault="00377CEB" w:rsidP="00377CEB">
            <w:pPr>
              <w:spacing w:after="0" w:line="240" w:lineRule="auto"/>
              <w:jc w:val="center"/>
              <w:rPr>
                <w:rFonts w:ascii="Times New Roman" w:eastAsia="Calibri" w:hAnsi="Times New Roman"/>
                <w:color w:val="000000"/>
                <w:sz w:val="20"/>
                <w:szCs w:val="20"/>
              </w:rPr>
            </w:pPr>
            <w:r>
              <w:rPr>
                <w:rFonts w:ascii="Times New Roman" w:eastAsia="Calibri" w:hAnsi="Times New Roman"/>
                <w:sz w:val="20"/>
                <w:szCs w:val="20"/>
              </w:rPr>
              <w:t>Nil</w:t>
            </w:r>
          </w:p>
        </w:tc>
        <w:tc>
          <w:tcPr>
            <w:tcW w:w="1410" w:type="pct"/>
            <w:shd w:val="clear" w:color="auto" w:fill="auto"/>
            <w:vAlign w:val="center"/>
          </w:tcPr>
          <w:p w14:paraId="4BE589E7" w14:textId="732297AC" w:rsidR="00377CEB" w:rsidRPr="00712F3C" w:rsidRDefault="00377CEB" w:rsidP="00377CEB">
            <w:pPr>
              <w:spacing w:after="0" w:line="240" w:lineRule="auto"/>
              <w:jc w:val="center"/>
              <w:rPr>
                <w:rFonts w:ascii="Times New Roman" w:eastAsia="Calibri" w:hAnsi="Times New Roman"/>
                <w:color w:val="000000"/>
                <w:sz w:val="20"/>
                <w:szCs w:val="20"/>
              </w:rPr>
            </w:pPr>
            <w:r>
              <w:rPr>
                <w:rFonts w:ascii="Times New Roman" w:eastAsia="Calibri" w:hAnsi="Times New Roman"/>
                <w:sz w:val="20"/>
                <w:szCs w:val="20"/>
              </w:rPr>
              <w:t>Nil</w:t>
            </w:r>
          </w:p>
        </w:tc>
      </w:tr>
      <w:tr w:rsidR="00377CEB" w:rsidRPr="00712F3C" w14:paraId="52928E34" w14:textId="77777777" w:rsidTr="00377CEB">
        <w:trPr>
          <w:trHeight w:val="20"/>
        </w:trPr>
        <w:tc>
          <w:tcPr>
            <w:tcW w:w="405" w:type="pct"/>
            <w:shd w:val="clear" w:color="auto" w:fill="auto"/>
            <w:vAlign w:val="center"/>
          </w:tcPr>
          <w:p w14:paraId="4B06C4E8" w14:textId="77777777" w:rsidR="00377CEB" w:rsidRPr="00712F3C" w:rsidRDefault="00377CEB" w:rsidP="00377CEB">
            <w:pPr>
              <w:spacing w:after="0" w:line="240" w:lineRule="auto"/>
              <w:jc w:val="center"/>
              <w:rPr>
                <w:rFonts w:ascii="Times New Roman" w:eastAsia="Calibri" w:hAnsi="Times New Roman"/>
                <w:sz w:val="20"/>
                <w:szCs w:val="20"/>
              </w:rPr>
            </w:pPr>
            <w:r w:rsidRPr="00712F3C">
              <w:rPr>
                <w:rFonts w:ascii="Times New Roman" w:eastAsia="Calibri" w:hAnsi="Times New Roman"/>
                <w:sz w:val="20"/>
                <w:szCs w:val="20"/>
              </w:rPr>
              <w:t>3.</w:t>
            </w:r>
          </w:p>
        </w:tc>
        <w:tc>
          <w:tcPr>
            <w:tcW w:w="2046" w:type="pct"/>
            <w:shd w:val="clear" w:color="auto" w:fill="auto"/>
          </w:tcPr>
          <w:p w14:paraId="5DBCD21E" w14:textId="4C4E1B01" w:rsidR="00377CEB" w:rsidRPr="00712F3C" w:rsidRDefault="00377CEB" w:rsidP="00377CEB">
            <w:pPr>
              <w:pStyle w:val="ListParagraph"/>
              <w:suppressAutoHyphens w:val="0"/>
              <w:autoSpaceDE/>
              <w:autoSpaceDN/>
              <w:adjustRightInd/>
              <w:spacing w:line="240" w:lineRule="auto"/>
              <w:ind w:left="0"/>
              <w:contextualSpacing/>
              <w:jc w:val="both"/>
              <w:textAlignment w:val="auto"/>
              <w:rPr>
                <w:sz w:val="20"/>
                <w:szCs w:val="20"/>
              </w:rPr>
            </w:pPr>
            <w:r w:rsidRPr="000860EB">
              <w:rPr>
                <w:sz w:val="20"/>
                <w:szCs w:val="20"/>
              </w:rPr>
              <w:t>Bhavesh Ramgopal Maheshwari</w:t>
            </w:r>
          </w:p>
        </w:tc>
        <w:tc>
          <w:tcPr>
            <w:tcW w:w="1139" w:type="pct"/>
            <w:shd w:val="clear" w:color="auto" w:fill="auto"/>
            <w:vAlign w:val="center"/>
          </w:tcPr>
          <w:p w14:paraId="2FD5C0EF" w14:textId="08BD33DB" w:rsidR="00377CEB" w:rsidRPr="00712F3C" w:rsidRDefault="00377CEB" w:rsidP="00377CEB">
            <w:pPr>
              <w:spacing w:after="0" w:line="240" w:lineRule="auto"/>
              <w:jc w:val="center"/>
              <w:rPr>
                <w:rFonts w:ascii="Times New Roman" w:eastAsia="Calibri" w:hAnsi="Times New Roman"/>
                <w:color w:val="000000"/>
                <w:sz w:val="20"/>
                <w:szCs w:val="20"/>
              </w:rPr>
            </w:pPr>
            <w:r>
              <w:rPr>
                <w:rFonts w:ascii="Times New Roman" w:eastAsia="Calibri" w:hAnsi="Times New Roman"/>
                <w:sz w:val="20"/>
                <w:szCs w:val="20"/>
              </w:rPr>
              <w:t>2,20,000</w:t>
            </w:r>
          </w:p>
        </w:tc>
        <w:tc>
          <w:tcPr>
            <w:tcW w:w="1410" w:type="pct"/>
            <w:shd w:val="clear" w:color="auto" w:fill="auto"/>
            <w:vAlign w:val="center"/>
          </w:tcPr>
          <w:p w14:paraId="36576A37" w14:textId="586C171C" w:rsidR="00377CEB" w:rsidRPr="00712F3C" w:rsidRDefault="00377CEB" w:rsidP="00377CE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7.36</w:t>
            </w:r>
          </w:p>
        </w:tc>
      </w:tr>
    </w:tbl>
    <w:p w14:paraId="5B665301" w14:textId="77777777" w:rsidR="00F8631B" w:rsidRPr="00712F3C" w:rsidRDefault="00F8631B" w:rsidP="00F8631B">
      <w:pPr>
        <w:spacing w:after="0" w:line="240" w:lineRule="auto"/>
        <w:jc w:val="both"/>
        <w:rPr>
          <w:rFonts w:ascii="Times New Roman" w:eastAsia="MS Mincho" w:hAnsi="Times New Roman"/>
          <w:b/>
          <w:color w:val="000000"/>
          <w:sz w:val="20"/>
          <w:szCs w:val="20"/>
          <w:lang w:val="en-GB"/>
        </w:rPr>
      </w:pPr>
    </w:p>
    <w:p w14:paraId="7F8B3FB3" w14:textId="77777777" w:rsidR="00F8631B" w:rsidRPr="00712F3C" w:rsidRDefault="00F8631B">
      <w:pPr>
        <w:numPr>
          <w:ilvl w:val="0"/>
          <w:numId w:val="163"/>
        </w:numPr>
        <w:spacing w:after="0" w:line="240" w:lineRule="auto"/>
        <w:rPr>
          <w:rFonts w:ascii="Times New Roman" w:hAnsi="Times New Roman"/>
          <w:b/>
          <w:bCs/>
          <w:sz w:val="20"/>
          <w:szCs w:val="20"/>
          <w:u w:val="single"/>
        </w:rPr>
      </w:pPr>
      <w:r w:rsidRPr="00712F3C">
        <w:rPr>
          <w:rFonts w:ascii="Times New Roman" w:hAnsi="Times New Roman"/>
          <w:b/>
          <w:bCs/>
          <w:sz w:val="20"/>
          <w:szCs w:val="20"/>
          <w:u w:val="single"/>
        </w:rPr>
        <w:t>AVERAGE COST OF ACQUISITION OF SHARES</w:t>
      </w:r>
    </w:p>
    <w:p w14:paraId="1C17BD47" w14:textId="77777777" w:rsidR="00F8631B" w:rsidRPr="00712F3C" w:rsidRDefault="00F8631B" w:rsidP="00F8631B">
      <w:pPr>
        <w:spacing w:after="0" w:line="240" w:lineRule="auto"/>
        <w:jc w:val="both"/>
        <w:rPr>
          <w:rFonts w:ascii="Times New Roman" w:eastAsia="MS Mincho" w:hAnsi="Times New Roman"/>
          <w:b/>
          <w:color w:val="000000"/>
          <w:sz w:val="20"/>
          <w:szCs w:val="20"/>
          <w:lang w:val="en-GB"/>
        </w:rPr>
      </w:pPr>
    </w:p>
    <w:p w14:paraId="55C4FB06" w14:textId="77777777" w:rsidR="00F8631B" w:rsidRPr="00712F3C" w:rsidRDefault="00F8631B" w:rsidP="00F8631B">
      <w:pPr>
        <w:spacing w:after="0" w:line="240" w:lineRule="auto"/>
        <w:jc w:val="both"/>
        <w:rPr>
          <w:rFonts w:ascii="Times New Roman" w:eastAsia="MS Mincho" w:hAnsi="Times New Roman"/>
          <w:color w:val="000000"/>
          <w:sz w:val="20"/>
          <w:szCs w:val="20"/>
          <w:lang w:val="en-GB"/>
        </w:rPr>
      </w:pPr>
      <w:r w:rsidRPr="00712F3C">
        <w:rPr>
          <w:rFonts w:ascii="Times New Roman" w:eastAsia="MS Mincho" w:hAnsi="Times New Roman"/>
          <w:color w:val="000000"/>
          <w:sz w:val="20"/>
          <w:szCs w:val="20"/>
          <w:lang w:val="en-GB"/>
        </w:rPr>
        <w:t>The average cost of acquisition of Equity Shares by our Promoter is set forth in the table below:</w:t>
      </w:r>
    </w:p>
    <w:p w14:paraId="00DEF1CC" w14:textId="77777777" w:rsidR="00F8631B" w:rsidRPr="00712F3C" w:rsidRDefault="00F8631B" w:rsidP="00F8631B">
      <w:pPr>
        <w:spacing w:after="0" w:line="240" w:lineRule="auto"/>
        <w:jc w:val="both"/>
        <w:rPr>
          <w:rFonts w:ascii="Times New Roman" w:eastAsia="MS Mincho" w:hAnsi="Times New Roman"/>
          <w:color w:val="000000"/>
          <w:sz w:val="20"/>
          <w:szCs w:val="20"/>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0"/>
        <w:gridCol w:w="4366"/>
        <w:gridCol w:w="1870"/>
        <w:gridCol w:w="3371"/>
      </w:tblGrid>
      <w:tr w:rsidR="00F8631B" w:rsidRPr="00712F3C" w14:paraId="2CCC719A" w14:textId="77777777" w:rsidTr="00377CEB">
        <w:trPr>
          <w:trHeight w:val="144"/>
        </w:trPr>
        <w:tc>
          <w:tcPr>
            <w:tcW w:w="406" w:type="pct"/>
            <w:shd w:val="clear" w:color="auto" w:fill="D0CECE" w:themeFill="background2" w:themeFillShade="E6"/>
            <w:vAlign w:val="center"/>
          </w:tcPr>
          <w:p w14:paraId="03EEBFB5" w14:textId="77777777" w:rsidR="00F8631B" w:rsidRPr="00712F3C" w:rsidRDefault="00F8631B" w:rsidP="00250DAC">
            <w:pPr>
              <w:spacing w:after="0" w:line="240" w:lineRule="auto"/>
              <w:jc w:val="center"/>
              <w:rPr>
                <w:rFonts w:ascii="Times New Roman" w:eastAsia="Calibri" w:hAnsi="Times New Roman"/>
                <w:b/>
                <w:sz w:val="20"/>
                <w:szCs w:val="20"/>
              </w:rPr>
            </w:pPr>
            <w:r w:rsidRPr="00712F3C">
              <w:rPr>
                <w:rFonts w:ascii="Times New Roman" w:eastAsia="Calibri" w:hAnsi="Times New Roman"/>
                <w:b/>
                <w:sz w:val="20"/>
                <w:szCs w:val="20"/>
              </w:rPr>
              <w:t>Sr. No.</w:t>
            </w:r>
          </w:p>
        </w:tc>
        <w:tc>
          <w:tcPr>
            <w:tcW w:w="2087" w:type="pct"/>
            <w:shd w:val="clear" w:color="auto" w:fill="D0CECE" w:themeFill="background2" w:themeFillShade="E6"/>
            <w:vAlign w:val="center"/>
          </w:tcPr>
          <w:p w14:paraId="793D36C1" w14:textId="77777777" w:rsidR="00F8631B" w:rsidRPr="00712F3C" w:rsidRDefault="00F8631B" w:rsidP="00250DAC">
            <w:pPr>
              <w:spacing w:after="0" w:line="240" w:lineRule="auto"/>
              <w:rPr>
                <w:rFonts w:ascii="Times New Roman" w:eastAsia="Calibri" w:hAnsi="Times New Roman"/>
                <w:b/>
                <w:sz w:val="20"/>
                <w:szCs w:val="20"/>
              </w:rPr>
            </w:pPr>
            <w:r w:rsidRPr="00712F3C">
              <w:rPr>
                <w:rFonts w:ascii="Times New Roman" w:eastAsia="Calibri" w:hAnsi="Times New Roman"/>
                <w:b/>
                <w:sz w:val="20"/>
                <w:szCs w:val="20"/>
              </w:rPr>
              <w:t>Name of the Promoter</w:t>
            </w:r>
          </w:p>
        </w:tc>
        <w:tc>
          <w:tcPr>
            <w:tcW w:w="894" w:type="pct"/>
            <w:shd w:val="clear" w:color="auto" w:fill="D0CECE" w:themeFill="background2" w:themeFillShade="E6"/>
            <w:vAlign w:val="center"/>
          </w:tcPr>
          <w:p w14:paraId="3C6A71B3" w14:textId="77777777" w:rsidR="00F8631B" w:rsidRPr="00712F3C" w:rsidRDefault="00F8631B" w:rsidP="00250DAC">
            <w:pPr>
              <w:spacing w:after="0" w:line="240" w:lineRule="auto"/>
              <w:jc w:val="center"/>
              <w:rPr>
                <w:rFonts w:ascii="Times New Roman" w:eastAsia="Calibri" w:hAnsi="Times New Roman"/>
                <w:b/>
                <w:sz w:val="20"/>
                <w:szCs w:val="20"/>
              </w:rPr>
            </w:pPr>
            <w:r w:rsidRPr="00712F3C">
              <w:rPr>
                <w:rFonts w:ascii="Times New Roman" w:eastAsia="Calibri" w:hAnsi="Times New Roman"/>
                <w:b/>
                <w:sz w:val="20"/>
                <w:szCs w:val="20"/>
              </w:rPr>
              <w:t>No. of Shares held</w:t>
            </w:r>
          </w:p>
        </w:tc>
        <w:tc>
          <w:tcPr>
            <w:tcW w:w="1612" w:type="pct"/>
            <w:shd w:val="clear" w:color="auto" w:fill="D0CECE" w:themeFill="background2" w:themeFillShade="E6"/>
            <w:vAlign w:val="center"/>
          </w:tcPr>
          <w:p w14:paraId="5A98A3B0" w14:textId="77777777" w:rsidR="00F8631B" w:rsidRPr="00712F3C" w:rsidRDefault="00F8631B" w:rsidP="00250DAC">
            <w:pPr>
              <w:spacing w:after="0" w:line="240" w:lineRule="auto"/>
              <w:jc w:val="center"/>
              <w:rPr>
                <w:rFonts w:ascii="Times New Roman" w:eastAsia="Calibri" w:hAnsi="Times New Roman"/>
                <w:b/>
                <w:sz w:val="20"/>
                <w:szCs w:val="20"/>
              </w:rPr>
            </w:pPr>
            <w:r w:rsidRPr="00712F3C">
              <w:rPr>
                <w:rFonts w:ascii="Times New Roman" w:eastAsia="Calibri" w:hAnsi="Times New Roman"/>
                <w:b/>
                <w:sz w:val="20"/>
                <w:szCs w:val="20"/>
              </w:rPr>
              <w:t>Average cost of Acquisition (in ₹)</w:t>
            </w:r>
          </w:p>
        </w:tc>
      </w:tr>
      <w:tr w:rsidR="00377CEB" w:rsidRPr="00712F3C" w14:paraId="44196135" w14:textId="77777777" w:rsidTr="00377CEB">
        <w:trPr>
          <w:trHeight w:val="144"/>
        </w:trPr>
        <w:tc>
          <w:tcPr>
            <w:tcW w:w="406" w:type="pct"/>
            <w:shd w:val="clear" w:color="auto" w:fill="auto"/>
            <w:vAlign w:val="center"/>
          </w:tcPr>
          <w:p w14:paraId="3A2EF28B" w14:textId="77777777" w:rsidR="00377CEB" w:rsidRPr="00712F3C" w:rsidRDefault="00377CEB" w:rsidP="00377CEB">
            <w:pPr>
              <w:spacing w:after="0" w:line="240" w:lineRule="auto"/>
              <w:jc w:val="center"/>
              <w:rPr>
                <w:rFonts w:ascii="Times New Roman" w:eastAsia="Calibri" w:hAnsi="Times New Roman"/>
                <w:sz w:val="20"/>
                <w:szCs w:val="20"/>
              </w:rPr>
            </w:pPr>
            <w:r w:rsidRPr="00712F3C">
              <w:rPr>
                <w:rFonts w:ascii="Times New Roman" w:eastAsia="Calibri" w:hAnsi="Times New Roman"/>
                <w:sz w:val="20"/>
                <w:szCs w:val="20"/>
              </w:rPr>
              <w:t>1.</w:t>
            </w:r>
          </w:p>
        </w:tc>
        <w:tc>
          <w:tcPr>
            <w:tcW w:w="2087" w:type="pct"/>
            <w:shd w:val="clear" w:color="auto" w:fill="auto"/>
          </w:tcPr>
          <w:p w14:paraId="361B90EB" w14:textId="641EF3DA" w:rsidR="00377CEB" w:rsidRPr="00712F3C" w:rsidRDefault="00377CEB" w:rsidP="00377CEB">
            <w:pPr>
              <w:pStyle w:val="ListParagraph"/>
              <w:suppressAutoHyphens w:val="0"/>
              <w:autoSpaceDE/>
              <w:autoSpaceDN/>
              <w:adjustRightInd/>
              <w:spacing w:line="240" w:lineRule="auto"/>
              <w:ind w:left="0"/>
              <w:contextualSpacing/>
              <w:jc w:val="both"/>
              <w:textAlignment w:val="auto"/>
              <w:rPr>
                <w:sz w:val="20"/>
                <w:szCs w:val="20"/>
                <w:lang w:val="en-GB"/>
              </w:rPr>
            </w:pPr>
            <w:r w:rsidRPr="0094678C">
              <w:rPr>
                <w:sz w:val="20"/>
                <w:szCs w:val="20"/>
              </w:rPr>
              <w:t xml:space="preserve">Dwarkadhish Venture Private Limited </w:t>
            </w:r>
            <w:r w:rsidRPr="0094678C">
              <w:rPr>
                <w:i/>
                <w:iCs/>
                <w:sz w:val="20"/>
                <w:szCs w:val="20"/>
              </w:rPr>
              <w:t>(formerly known as Siyaram Metals Private Limited)</w:t>
            </w:r>
          </w:p>
        </w:tc>
        <w:tc>
          <w:tcPr>
            <w:tcW w:w="894" w:type="pct"/>
            <w:shd w:val="clear" w:color="auto" w:fill="auto"/>
            <w:vAlign w:val="center"/>
          </w:tcPr>
          <w:p w14:paraId="5A9359B7" w14:textId="039E122E" w:rsidR="00377CEB" w:rsidRPr="00712F3C" w:rsidRDefault="00377CEB" w:rsidP="00377CEB">
            <w:pPr>
              <w:spacing w:after="0" w:line="240" w:lineRule="auto"/>
              <w:jc w:val="center"/>
              <w:rPr>
                <w:rFonts w:ascii="Times New Roman" w:eastAsia="Calibri" w:hAnsi="Times New Roman"/>
                <w:color w:val="000000"/>
                <w:sz w:val="20"/>
                <w:szCs w:val="20"/>
              </w:rPr>
            </w:pPr>
            <w:r w:rsidRPr="000860EB">
              <w:rPr>
                <w:rFonts w:ascii="Times New Roman" w:eastAsia="Calibri" w:hAnsi="Times New Roman"/>
                <w:sz w:val="20"/>
                <w:szCs w:val="20"/>
              </w:rPr>
              <w:t>1,30,45,500</w:t>
            </w:r>
          </w:p>
        </w:tc>
        <w:tc>
          <w:tcPr>
            <w:tcW w:w="1612" w:type="pct"/>
            <w:shd w:val="clear" w:color="auto" w:fill="auto"/>
            <w:vAlign w:val="center"/>
          </w:tcPr>
          <w:p w14:paraId="61E5B338" w14:textId="6F3E30D1" w:rsidR="00377CEB" w:rsidRPr="00712F3C" w:rsidRDefault="00377CEB" w:rsidP="00377CE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22.27</w:t>
            </w:r>
          </w:p>
        </w:tc>
      </w:tr>
      <w:tr w:rsidR="00377CEB" w:rsidRPr="00712F3C" w14:paraId="31E7449A" w14:textId="77777777" w:rsidTr="00377CEB">
        <w:trPr>
          <w:trHeight w:val="144"/>
        </w:trPr>
        <w:tc>
          <w:tcPr>
            <w:tcW w:w="406" w:type="pct"/>
            <w:shd w:val="clear" w:color="auto" w:fill="auto"/>
            <w:vAlign w:val="center"/>
          </w:tcPr>
          <w:p w14:paraId="1CB2FD61" w14:textId="77777777" w:rsidR="00377CEB" w:rsidRPr="00712F3C" w:rsidRDefault="00377CEB" w:rsidP="00377CEB">
            <w:pPr>
              <w:spacing w:after="0" w:line="240" w:lineRule="auto"/>
              <w:jc w:val="center"/>
              <w:rPr>
                <w:rFonts w:ascii="Times New Roman" w:eastAsia="Calibri" w:hAnsi="Times New Roman"/>
                <w:sz w:val="20"/>
                <w:szCs w:val="20"/>
              </w:rPr>
            </w:pPr>
            <w:r w:rsidRPr="00712F3C">
              <w:rPr>
                <w:rFonts w:ascii="Times New Roman" w:eastAsia="Calibri" w:hAnsi="Times New Roman"/>
                <w:sz w:val="20"/>
                <w:szCs w:val="20"/>
              </w:rPr>
              <w:t>2.</w:t>
            </w:r>
          </w:p>
        </w:tc>
        <w:tc>
          <w:tcPr>
            <w:tcW w:w="2087" w:type="pct"/>
            <w:shd w:val="clear" w:color="auto" w:fill="auto"/>
          </w:tcPr>
          <w:p w14:paraId="19AF44E3" w14:textId="53141281" w:rsidR="00377CEB" w:rsidRPr="00712F3C" w:rsidRDefault="00377CEB" w:rsidP="00377CEB">
            <w:pPr>
              <w:pStyle w:val="ListParagraph"/>
              <w:suppressAutoHyphens w:val="0"/>
              <w:autoSpaceDE/>
              <w:autoSpaceDN/>
              <w:adjustRightInd/>
              <w:spacing w:line="240" w:lineRule="auto"/>
              <w:ind w:left="0"/>
              <w:contextualSpacing/>
              <w:jc w:val="both"/>
              <w:textAlignment w:val="auto"/>
              <w:rPr>
                <w:sz w:val="20"/>
                <w:szCs w:val="20"/>
              </w:rPr>
            </w:pPr>
            <w:r w:rsidRPr="000860EB">
              <w:rPr>
                <w:sz w:val="20"/>
                <w:szCs w:val="20"/>
              </w:rPr>
              <w:t>Ramgopal Ochhavlal Maheswari</w:t>
            </w:r>
          </w:p>
        </w:tc>
        <w:tc>
          <w:tcPr>
            <w:tcW w:w="894" w:type="pct"/>
            <w:shd w:val="clear" w:color="auto" w:fill="auto"/>
            <w:vAlign w:val="center"/>
          </w:tcPr>
          <w:p w14:paraId="73F2795A" w14:textId="37C1172A" w:rsidR="00377CEB" w:rsidRPr="00712F3C" w:rsidRDefault="00377CEB" w:rsidP="00377CEB">
            <w:pPr>
              <w:spacing w:after="0" w:line="240" w:lineRule="auto"/>
              <w:jc w:val="center"/>
              <w:rPr>
                <w:rFonts w:ascii="Times New Roman" w:eastAsia="Calibri" w:hAnsi="Times New Roman"/>
                <w:color w:val="000000"/>
                <w:sz w:val="20"/>
                <w:szCs w:val="20"/>
              </w:rPr>
            </w:pPr>
            <w:r w:rsidRPr="000860EB">
              <w:rPr>
                <w:rFonts w:ascii="Times New Roman" w:eastAsia="Calibri" w:hAnsi="Times New Roman"/>
                <w:sz w:val="20"/>
                <w:szCs w:val="20"/>
              </w:rPr>
              <w:t>4,50,000</w:t>
            </w:r>
          </w:p>
        </w:tc>
        <w:tc>
          <w:tcPr>
            <w:tcW w:w="1612" w:type="pct"/>
            <w:shd w:val="clear" w:color="auto" w:fill="auto"/>
            <w:vAlign w:val="center"/>
          </w:tcPr>
          <w:p w14:paraId="38265713" w14:textId="183144A6" w:rsidR="00377CEB" w:rsidRPr="00712F3C" w:rsidRDefault="00377CEB" w:rsidP="00377CE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37.22</w:t>
            </w:r>
          </w:p>
        </w:tc>
      </w:tr>
      <w:tr w:rsidR="00377CEB" w:rsidRPr="00712F3C" w14:paraId="02045323" w14:textId="77777777" w:rsidTr="00377CEB">
        <w:trPr>
          <w:trHeight w:val="144"/>
        </w:trPr>
        <w:tc>
          <w:tcPr>
            <w:tcW w:w="406" w:type="pct"/>
            <w:shd w:val="clear" w:color="auto" w:fill="auto"/>
            <w:vAlign w:val="center"/>
          </w:tcPr>
          <w:p w14:paraId="103F937A" w14:textId="77777777" w:rsidR="00377CEB" w:rsidRPr="00712F3C" w:rsidRDefault="00377CEB" w:rsidP="00377CEB">
            <w:pPr>
              <w:spacing w:after="0" w:line="240" w:lineRule="auto"/>
              <w:jc w:val="center"/>
              <w:rPr>
                <w:rFonts w:ascii="Times New Roman" w:eastAsia="Calibri" w:hAnsi="Times New Roman"/>
                <w:sz w:val="20"/>
                <w:szCs w:val="20"/>
              </w:rPr>
            </w:pPr>
            <w:r w:rsidRPr="00712F3C">
              <w:rPr>
                <w:rFonts w:ascii="Times New Roman" w:eastAsia="Calibri" w:hAnsi="Times New Roman"/>
                <w:sz w:val="20"/>
                <w:szCs w:val="20"/>
              </w:rPr>
              <w:t>3.</w:t>
            </w:r>
          </w:p>
        </w:tc>
        <w:tc>
          <w:tcPr>
            <w:tcW w:w="2087" w:type="pct"/>
            <w:shd w:val="clear" w:color="auto" w:fill="auto"/>
          </w:tcPr>
          <w:p w14:paraId="72096664" w14:textId="46B449C5" w:rsidR="00377CEB" w:rsidRPr="00712F3C" w:rsidRDefault="00377CEB" w:rsidP="00377CEB">
            <w:pPr>
              <w:pStyle w:val="ListParagraph"/>
              <w:suppressAutoHyphens w:val="0"/>
              <w:autoSpaceDE/>
              <w:autoSpaceDN/>
              <w:adjustRightInd/>
              <w:spacing w:line="240" w:lineRule="auto"/>
              <w:ind w:left="0"/>
              <w:contextualSpacing/>
              <w:jc w:val="both"/>
              <w:textAlignment w:val="auto"/>
              <w:rPr>
                <w:sz w:val="20"/>
                <w:szCs w:val="20"/>
              </w:rPr>
            </w:pPr>
            <w:r w:rsidRPr="000860EB">
              <w:rPr>
                <w:sz w:val="20"/>
                <w:szCs w:val="20"/>
              </w:rPr>
              <w:t>Bhavesh Ramgopal Maheshwari</w:t>
            </w:r>
          </w:p>
        </w:tc>
        <w:tc>
          <w:tcPr>
            <w:tcW w:w="894" w:type="pct"/>
            <w:shd w:val="clear" w:color="auto" w:fill="auto"/>
            <w:vAlign w:val="center"/>
          </w:tcPr>
          <w:p w14:paraId="6DA9F792" w14:textId="59212F09" w:rsidR="00377CEB" w:rsidRPr="00712F3C" w:rsidRDefault="00377CEB" w:rsidP="00377CEB">
            <w:pPr>
              <w:spacing w:after="0" w:line="240" w:lineRule="auto"/>
              <w:jc w:val="center"/>
              <w:rPr>
                <w:rFonts w:ascii="Times New Roman" w:eastAsia="Calibri" w:hAnsi="Times New Roman"/>
                <w:color w:val="000000"/>
                <w:sz w:val="20"/>
                <w:szCs w:val="20"/>
              </w:rPr>
            </w:pPr>
            <w:r>
              <w:rPr>
                <w:rFonts w:ascii="Times New Roman" w:eastAsia="Calibri" w:hAnsi="Times New Roman"/>
                <w:sz w:val="20"/>
                <w:szCs w:val="20"/>
              </w:rPr>
              <w:t>2,10,000</w:t>
            </w:r>
          </w:p>
        </w:tc>
        <w:tc>
          <w:tcPr>
            <w:tcW w:w="1612" w:type="pct"/>
            <w:shd w:val="clear" w:color="auto" w:fill="auto"/>
            <w:vAlign w:val="center"/>
          </w:tcPr>
          <w:p w14:paraId="2C8B95F3" w14:textId="1DBFD3A3" w:rsidR="00377CEB" w:rsidRPr="00712F3C" w:rsidRDefault="00377CEB" w:rsidP="00377CEB">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7.71</w:t>
            </w:r>
          </w:p>
        </w:tc>
      </w:tr>
    </w:tbl>
    <w:p w14:paraId="7AF6209B" w14:textId="77777777" w:rsidR="00F8631B" w:rsidRPr="00712F3C" w:rsidRDefault="00F8631B" w:rsidP="00F8631B">
      <w:pPr>
        <w:spacing w:after="0" w:line="240" w:lineRule="auto"/>
        <w:jc w:val="both"/>
        <w:rPr>
          <w:rFonts w:ascii="Times New Roman" w:eastAsia="MS Mincho" w:hAnsi="Times New Roman"/>
          <w:b/>
          <w:color w:val="000000"/>
          <w:sz w:val="20"/>
          <w:szCs w:val="20"/>
          <w:lang w:val="en-GB"/>
        </w:rPr>
      </w:pPr>
    </w:p>
    <w:p w14:paraId="4F4DD1AC" w14:textId="77777777" w:rsidR="00F8631B" w:rsidRPr="00712F3C" w:rsidRDefault="00F8631B">
      <w:pPr>
        <w:numPr>
          <w:ilvl w:val="0"/>
          <w:numId w:val="163"/>
        </w:numPr>
        <w:spacing w:after="0" w:line="240" w:lineRule="auto"/>
        <w:rPr>
          <w:rFonts w:ascii="Times New Roman" w:hAnsi="Times New Roman"/>
          <w:b/>
          <w:bCs/>
          <w:sz w:val="20"/>
          <w:szCs w:val="20"/>
          <w:u w:val="single"/>
        </w:rPr>
      </w:pPr>
      <w:r w:rsidRPr="00712F3C">
        <w:rPr>
          <w:rFonts w:ascii="Times New Roman" w:hAnsi="Times New Roman"/>
          <w:b/>
          <w:bCs/>
          <w:sz w:val="20"/>
          <w:szCs w:val="20"/>
          <w:u w:val="single"/>
        </w:rPr>
        <w:t>PRE-IPO PLACEMENT</w:t>
      </w:r>
    </w:p>
    <w:p w14:paraId="77718B86" w14:textId="77777777" w:rsidR="00F8631B" w:rsidRPr="00712F3C" w:rsidRDefault="00F8631B" w:rsidP="00F8631B">
      <w:pPr>
        <w:spacing w:after="0" w:line="240" w:lineRule="auto"/>
        <w:jc w:val="both"/>
        <w:rPr>
          <w:rFonts w:ascii="Times New Roman" w:eastAsia="MS Mincho" w:hAnsi="Times New Roman"/>
          <w:color w:val="000000"/>
          <w:sz w:val="20"/>
          <w:szCs w:val="20"/>
          <w:lang w:val="en-GB"/>
        </w:rPr>
      </w:pPr>
    </w:p>
    <w:p w14:paraId="5A027DED" w14:textId="77777777" w:rsidR="00F8631B" w:rsidRPr="00712F3C" w:rsidRDefault="00F8631B" w:rsidP="00F8631B">
      <w:pPr>
        <w:spacing w:after="0" w:line="240" w:lineRule="auto"/>
        <w:jc w:val="both"/>
        <w:rPr>
          <w:rFonts w:ascii="Times New Roman" w:eastAsia="MS Mincho" w:hAnsi="Times New Roman"/>
          <w:color w:val="000000"/>
          <w:sz w:val="20"/>
          <w:szCs w:val="20"/>
          <w:lang w:val="en-GB"/>
        </w:rPr>
      </w:pPr>
      <w:r w:rsidRPr="00712F3C">
        <w:rPr>
          <w:rFonts w:ascii="Times New Roman" w:eastAsia="MS Mincho" w:hAnsi="Times New Roman"/>
          <w:color w:val="000000"/>
          <w:sz w:val="20"/>
          <w:szCs w:val="20"/>
          <w:lang w:val="en-GB"/>
        </w:rPr>
        <w:t>Our Company is not considering any Pre-IPO placement of equity shares of the Company.</w:t>
      </w:r>
    </w:p>
    <w:p w14:paraId="2CA5DCD1" w14:textId="77777777" w:rsidR="00F8631B" w:rsidRPr="00712F3C" w:rsidRDefault="00F8631B" w:rsidP="00F8631B">
      <w:pPr>
        <w:spacing w:after="0" w:line="240" w:lineRule="auto"/>
        <w:jc w:val="both"/>
        <w:rPr>
          <w:rFonts w:ascii="Times New Roman" w:eastAsia="MS Mincho" w:hAnsi="Times New Roman"/>
          <w:color w:val="000000"/>
          <w:sz w:val="20"/>
          <w:szCs w:val="20"/>
          <w:lang w:val="en-GB"/>
        </w:rPr>
      </w:pPr>
    </w:p>
    <w:p w14:paraId="72151118" w14:textId="77777777" w:rsidR="00F8631B" w:rsidRPr="00712F3C" w:rsidRDefault="00F8631B">
      <w:pPr>
        <w:numPr>
          <w:ilvl w:val="0"/>
          <w:numId w:val="163"/>
        </w:numPr>
        <w:spacing w:after="0" w:line="240" w:lineRule="auto"/>
        <w:rPr>
          <w:rFonts w:ascii="Times New Roman" w:hAnsi="Times New Roman"/>
          <w:b/>
          <w:bCs/>
          <w:sz w:val="20"/>
          <w:szCs w:val="20"/>
          <w:u w:val="single"/>
        </w:rPr>
      </w:pPr>
      <w:r w:rsidRPr="00712F3C">
        <w:rPr>
          <w:rFonts w:ascii="Times New Roman" w:hAnsi="Times New Roman"/>
          <w:b/>
          <w:bCs/>
          <w:sz w:val="20"/>
          <w:szCs w:val="20"/>
          <w:u w:val="single"/>
        </w:rPr>
        <w:t>EQUITY SHARES ISSUED FOR CONSIDERATION OTHER THAN CASH</w:t>
      </w:r>
    </w:p>
    <w:p w14:paraId="2D3DB763" w14:textId="77777777" w:rsidR="00F8631B" w:rsidRPr="00712F3C" w:rsidRDefault="00F8631B" w:rsidP="00F8631B">
      <w:pPr>
        <w:spacing w:after="0" w:line="240" w:lineRule="auto"/>
        <w:jc w:val="both"/>
        <w:rPr>
          <w:rFonts w:ascii="Times New Roman" w:eastAsia="MS Mincho" w:hAnsi="Times New Roman"/>
          <w:b/>
          <w:color w:val="000000"/>
          <w:sz w:val="20"/>
          <w:szCs w:val="20"/>
          <w:lang w:val="en-GB"/>
        </w:rPr>
      </w:pPr>
    </w:p>
    <w:p w14:paraId="33B11992" w14:textId="55039567" w:rsidR="00F8631B" w:rsidRPr="00712F3C" w:rsidRDefault="00F944A7" w:rsidP="00F8631B">
      <w:pPr>
        <w:suppressAutoHyphens/>
        <w:autoSpaceDE w:val="0"/>
        <w:autoSpaceDN w:val="0"/>
        <w:adjustRightInd w:val="0"/>
        <w:spacing w:after="0" w:line="240" w:lineRule="auto"/>
        <w:jc w:val="both"/>
        <w:textAlignment w:val="center"/>
        <w:rPr>
          <w:rFonts w:ascii="Times New Roman" w:hAnsi="Times New Roman"/>
          <w:color w:val="000000"/>
          <w:sz w:val="20"/>
          <w:szCs w:val="20"/>
        </w:rPr>
      </w:pPr>
      <w:r>
        <w:rPr>
          <w:rFonts w:ascii="Times New Roman" w:hAnsi="Times New Roman"/>
          <w:color w:val="000000"/>
          <w:sz w:val="20"/>
          <w:szCs w:val="20"/>
          <w:lang w:val="en-GB"/>
        </w:rPr>
        <w:t>Our Company has</w:t>
      </w:r>
      <w:r w:rsidR="00F8631B" w:rsidRPr="00712F3C">
        <w:rPr>
          <w:rFonts w:ascii="Times New Roman" w:hAnsi="Times New Roman"/>
          <w:color w:val="000000"/>
          <w:sz w:val="20"/>
          <w:szCs w:val="20"/>
        </w:rPr>
        <w:t xml:space="preserve"> not issued Equity Shares for consideration other than cash in the last one year. </w:t>
      </w:r>
    </w:p>
    <w:p w14:paraId="2C2ED041" w14:textId="77777777" w:rsidR="00F8631B" w:rsidRPr="00712F3C" w:rsidRDefault="00F8631B" w:rsidP="00F8631B">
      <w:pPr>
        <w:suppressAutoHyphens/>
        <w:autoSpaceDE w:val="0"/>
        <w:autoSpaceDN w:val="0"/>
        <w:adjustRightInd w:val="0"/>
        <w:spacing w:after="0" w:line="240" w:lineRule="auto"/>
        <w:jc w:val="both"/>
        <w:textAlignment w:val="center"/>
        <w:rPr>
          <w:rFonts w:ascii="Times New Roman" w:hAnsi="Times New Roman"/>
          <w:color w:val="000000"/>
          <w:sz w:val="20"/>
          <w:szCs w:val="20"/>
        </w:rPr>
      </w:pPr>
    </w:p>
    <w:p w14:paraId="7E0F9B9B" w14:textId="77777777" w:rsidR="00F8631B" w:rsidRPr="00712F3C" w:rsidRDefault="00F8631B">
      <w:pPr>
        <w:numPr>
          <w:ilvl w:val="0"/>
          <w:numId w:val="163"/>
        </w:numPr>
        <w:spacing w:after="0" w:line="240" w:lineRule="auto"/>
        <w:jc w:val="both"/>
        <w:rPr>
          <w:rFonts w:ascii="Times New Roman" w:hAnsi="Times New Roman"/>
          <w:b/>
          <w:bCs/>
          <w:sz w:val="20"/>
          <w:szCs w:val="20"/>
          <w:u w:val="single"/>
        </w:rPr>
      </w:pPr>
      <w:r w:rsidRPr="00712F3C">
        <w:rPr>
          <w:rFonts w:ascii="Times New Roman" w:hAnsi="Times New Roman"/>
          <w:b/>
          <w:bCs/>
          <w:sz w:val="20"/>
          <w:szCs w:val="20"/>
          <w:u w:val="single"/>
        </w:rPr>
        <w:t>SPLIT/ CONSOLIDATION OF EQUITY SHARES</w:t>
      </w:r>
    </w:p>
    <w:p w14:paraId="37D18AB6" w14:textId="77777777" w:rsidR="00F8631B" w:rsidRPr="00712F3C" w:rsidRDefault="00F8631B" w:rsidP="00F8631B">
      <w:pPr>
        <w:spacing w:after="0" w:line="240" w:lineRule="auto"/>
        <w:jc w:val="both"/>
        <w:rPr>
          <w:rFonts w:ascii="Times New Roman" w:eastAsia="MS Mincho" w:hAnsi="Times New Roman"/>
          <w:b/>
          <w:color w:val="000000"/>
          <w:sz w:val="20"/>
          <w:szCs w:val="20"/>
          <w:lang w:val="en-GB"/>
        </w:rPr>
      </w:pPr>
    </w:p>
    <w:p w14:paraId="7CC33644" w14:textId="77777777" w:rsidR="00F8631B" w:rsidRPr="00712F3C" w:rsidRDefault="00F8631B" w:rsidP="00F8631B">
      <w:pPr>
        <w:spacing w:after="0" w:line="240" w:lineRule="auto"/>
        <w:jc w:val="both"/>
        <w:rPr>
          <w:rFonts w:ascii="Times New Roman" w:hAnsi="Times New Roman"/>
          <w:color w:val="000000"/>
          <w:sz w:val="20"/>
          <w:szCs w:val="20"/>
        </w:rPr>
      </w:pPr>
      <w:r w:rsidRPr="00712F3C">
        <w:rPr>
          <w:rFonts w:ascii="Times New Roman" w:eastAsia="MS Mincho" w:hAnsi="Times New Roman"/>
          <w:color w:val="000000"/>
          <w:sz w:val="20"/>
          <w:szCs w:val="20"/>
          <w:lang w:val="en-GB"/>
        </w:rPr>
        <w:lastRenderedPageBreak/>
        <w:t>Our company has not done any split/consolidation/ subdivision of equity shares of the Company since incorporation.</w:t>
      </w:r>
    </w:p>
    <w:p w14:paraId="6805B9D9" w14:textId="77777777" w:rsidR="00F8631B" w:rsidRPr="00712F3C" w:rsidRDefault="00F8631B" w:rsidP="00F8631B">
      <w:pPr>
        <w:spacing w:after="0" w:line="240" w:lineRule="auto"/>
        <w:jc w:val="both"/>
        <w:rPr>
          <w:rFonts w:ascii="Times New Roman" w:eastAsia="MS Mincho" w:hAnsi="Times New Roman"/>
          <w:b/>
          <w:color w:val="000000"/>
          <w:sz w:val="20"/>
          <w:szCs w:val="20"/>
          <w:lang w:val="en-GB"/>
        </w:rPr>
      </w:pPr>
    </w:p>
    <w:p w14:paraId="3EB7B072" w14:textId="77777777" w:rsidR="00F8631B" w:rsidRPr="00712F3C" w:rsidRDefault="00F8631B">
      <w:pPr>
        <w:numPr>
          <w:ilvl w:val="0"/>
          <w:numId w:val="163"/>
        </w:numPr>
        <w:spacing w:after="0" w:line="240" w:lineRule="auto"/>
        <w:jc w:val="both"/>
        <w:rPr>
          <w:rFonts w:ascii="Times New Roman" w:eastAsia="MS Mincho" w:hAnsi="Times New Roman"/>
          <w:b/>
          <w:color w:val="000000"/>
          <w:sz w:val="20"/>
          <w:szCs w:val="20"/>
          <w:lang w:val="en-GB"/>
        </w:rPr>
      </w:pPr>
      <w:r w:rsidRPr="00712F3C">
        <w:rPr>
          <w:rFonts w:ascii="Times New Roman" w:hAnsi="Times New Roman"/>
          <w:b/>
          <w:bCs/>
          <w:sz w:val="20"/>
          <w:szCs w:val="20"/>
          <w:u w:val="single"/>
        </w:rPr>
        <w:t>EXEMPTION FROM COMPLYING WITH ANY PROVISIONS OF SECURITIES LAWS, IF ANY, GRANTED BY</w:t>
      </w:r>
      <w:r w:rsidRPr="00712F3C">
        <w:rPr>
          <w:rFonts w:ascii="Times New Roman" w:eastAsia="MS Mincho" w:hAnsi="Times New Roman"/>
          <w:b/>
          <w:color w:val="000000"/>
          <w:sz w:val="20"/>
          <w:szCs w:val="20"/>
          <w:lang w:val="en-GB"/>
        </w:rPr>
        <w:t xml:space="preserve"> SEBI</w:t>
      </w:r>
    </w:p>
    <w:p w14:paraId="27F8CD7F" w14:textId="77777777" w:rsidR="00F8631B" w:rsidRPr="00712F3C" w:rsidRDefault="00F8631B" w:rsidP="00F8631B">
      <w:pPr>
        <w:spacing w:after="0" w:line="240" w:lineRule="auto"/>
        <w:jc w:val="both"/>
        <w:rPr>
          <w:rFonts w:ascii="Times New Roman" w:eastAsia="MS Mincho" w:hAnsi="Times New Roman"/>
          <w:b/>
          <w:color w:val="000000"/>
          <w:sz w:val="20"/>
          <w:szCs w:val="20"/>
          <w:lang w:val="en-GB"/>
        </w:rPr>
      </w:pPr>
    </w:p>
    <w:p w14:paraId="2AAB36FA" w14:textId="12887F37" w:rsidR="00940A99" w:rsidRDefault="00F8631B" w:rsidP="00F8631B">
      <w:pPr>
        <w:rPr>
          <w:rFonts w:ascii="Times New Roman" w:hAnsi="Times New Roman"/>
          <w:sz w:val="20"/>
          <w:szCs w:val="20"/>
        </w:rPr>
      </w:pPr>
      <w:r w:rsidRPr="00712F3C">
        <w:rPr>
          <w:rFonts w:ascii="Times New Roman" w:hAnsi="Times New Roman"/>
          <w:sz w:val="20"/>
          <w:szCs w:val="20"/>
        </w:rPr>
        <w:t xml:space="preserve">As on date of the Draft </w:t>
      </w:r>
      <w:r w:rsidRPr="00712F3C">
        <w:rPr>
          <w:rFonts w:ascii="Times New Roman" w:hAnsi="Times New Roman"/>
          <w:iCs/>
          <w:sz w:val="20"/>
          <w:szCs w:val="20"/>
        </w:rPr>
        <w:t>Red Herring</w:t>
      </w:r>
      <w:r w:rsidRPr="00712F3C">
        <w:rPr>
          <w:rFonts w:ascii="Times New Roman" w:hAnsi="Times New Roman"/>
          <w:sz w:val="20"/>
          <w:szCs w:val="20"/>
        </w:rPr>
        <w:t xml:space="preserve"> Prospectus, our Company has not availed any exemption from complying with any provisions of securities laws granted by</w:t>
      </w:r>
      <w:r w:rsidR="00940A99">
        <w:rPr>
          <w:rFonts w:ascii="Times New Roman" w:hAnsi="Times New Roman"/>
          <w:sz w:val="20"/>
          <w:szCs w:val="20"/>
        </w:rPr>
        <w:t xml:space="preserve"> SEBI.</w:t>
      </w:r>
    </w:p>
    <w:p w14:paraId="198515E2" w14:textId="77777777" w:rsidR="00940A99" w:rsidRPr="00940A99" w:rsidRDefault="00940A99">
      <w:pPr>
        <w:spacing w:after="160" w:line="259" w:lineRule="auto"/>
        <w:rPr>
          <w:rFonts w:ascii="Times New Roman" w:hAnsi="Times New Roman"/>
          <w:sz w:val="20"/>
          <w:szCs w:val="20"/>
          <w:u w:val="single"/>
        </w:rPr>
      </w:pPr>
      <w:r>
        <w:rPr>
          <w:rFonts w:ascii="Times New Roman" w:hAnsi="Times New Roman"/>
          <w:sz w:val="20"/>
          <w:szCs w:val="20"/>
        </w:rPr>
        <w:br w:type="page"/>
      </w:r>
    </w:p>
    <w:p w14:paraId="518FBE68" w14:textId="02277F14" w:rsidR="00526512" w:rsidRPr="00940A99" w:rsidRDefault="00940A99" w:rsidP="00940A99">
      <w:pPr>
        <w:spacing w:after="0" w:line="240" w:lineRule="auto"/>
        <w:jc w:val="center"/>
        <w:rPr>
          <w:rFonts w:ascii="Times New Roman" w:hAnsi="Times New Roman"/>
          <w:b/>
          <w:bCs/>
          <w:sz w:val="20"/>
          <w:szCs w:val="20"/>
          <w:u w:val="single"/>
        </w:rPr>
      </w:pPr>
      <w:r w:rsidRPr="00940A99">
        <w:rPr>
          <w:rFonts w:ascii="Times New Roman" w:hAnsi="Times New Roman"/>
          <w:b/>
          <w:bCs/>
          <w:sz w:val="20"/>
          <w:szCs w:val="20"/>
          <w:u w:val="single"/>
        </w:rPr>
        <w:lastRenderedPageBreak/>
        <w:t>SECTION III: RISK FACTORS</w:t>
      </w:r>
    </w:p>
    <w:p w14:paraId="2B987FBF" w14:textId="77777777" w:rsidR="00940A99" w:rsidRDefault="00940A99" w:rsidP="00940A99">
      <w:pPr>
        <w:spacing w:after="0" w:line="240" w:lineRule="auto"/>
        <w:jc w:val="center"/>
        <w:rPr>
          <w:rFonts w:ascii="Times New Roman" w:hAnsi="Times New Roman"/>
          <w:b/>
          <w:bCs/>
          <w:sz w:val="20"/>
          <w:szCs w:val="20"/>
        </w:rPr>
      </w:pPr>
    </w:p>
    <w:p w14:paraId="7025D085" w14:textId="77777777" w:rsidR="00D55EC1" w:rsidRPr="00641801" w:rsidRDefault="00D55EC1" w:rsidP="00D55EC1">
      <w:pPr>
        <w:widowControl w:val="0"/>
        <w:tabs>
          <w:tab w:val="left" w:pos="0"/>
        </w:tabs>
        <w:autoSpaceDE w:val="0"/>
        <w:autoSpaceDN w:val="0"/>
        <w:adjustRightInd w:val="0"/>
        <w:spacing w:after="0" w:line="240" w:lineRule="auto"/>
        <w:jc w:val="both"/>
        <w:textAlignment w:val="baseline"/>
        <w:rPr>
          <w:rFonts w:ascii="Times New Roman" w:hAnsi="Times New Roman"/>
          <w:i/>
          <w:iCs/>
          <w:color w:val="000000"/>
          <w:sz w:val="20"/>
          <w:szCs w:val="20"/>
        </w:rPr>
      </w:pPr>
      <w:r w:rsidRPr="00641801">
        <w:rPr>
          <w:rFonts w:ascii="Times New Roman" w:hAnsi="Times New Roman"/>
          <w:i/>
          <w:iCs/>
          <w:color w:val="000000"/>
          <w:sz w:val="20"/>
          <w:szCs w:val="20"/>
        </w:rPr>
        <w:t xml:space="preserve">An investment in our Equity Shares involves a high degree of financial risk. Prospective investors should carefully consider all the information in the Draft Prospectus, particularly the </w:t>
      </w:r>
      <w:r w:rsidRPr="00641801">
        <w:rPr>
          <w:rFonts w:ascii="Times New Roman" w:hAnsi="Times New Roman"/>
          <w:b/>
          <w:i/>
          <w:iCs/>
          <w:color w:val="000000"/>
          <w:sz w:val="20"/>
          <w:szCs w:val="20"/>
        </w:rPr>
        <w:t>“Financial Information of the Company”</w:t>
      </w:r>
      <w:r w:rsidRPr="00641801">
        <w:rPr>
          <w:rFonts w:ascii="Times New Roman" w:hAnsi="Times New Roman"/>
          <w:i/>
          <w:iCs/>
          <w:color w:val="000000"/>
          <w:sz w:val="20"/>
          <w:szCs w:val="20"/>
        </w:rPr>
        <w:t xml:space="preserve"> and the related notes, </w:t>
      </w:r>
      <w:r w:rsidRPr="00641801">
        <w:rPr>
          <w:rFonts w:ascii="Times New Roman" w:hAnsi="Times New Roman"/>
          <w:b/>
          <w:i/>
          <w:iCs/>
          <w:color w:val="000000"/>
          <w:sz w:val="20"/>
          <w:szCs w:val="20"/>
        </w:rPr>
        <w:t>“Our Business”</w:t>
      </w:r>
      <w:r w:rsidRPr="00641801">
        <w:rPr>
          <w:rFonts w:ascii="Times New Roman" w:hAnsi="Times New Roman"/>
          <w:i/>
          <w:iCs/>
          <w:color w:val="000000"/>
          <w:sz w:val="20"/>
          <w:szCs w:val="20"/>
        </w:rPr>
        <w:t xml:space="preserve"> and </w:t>
      </w:r>
      <w:r w:rsidRPr="00641801">
        <w:rPr>
          <w:rFonts w:ascii="Times New Roman" w:hAnsi="Times New Roman"/>
          <w:b/>
          <w:i/>
          <w:iCs/>
          <w:color w:val="000000"/>
          <w:sz w:val="20"/>
          <w:szCs w:val="20"/>
        </w:rPr>
        <w:t>“Management’s Discussion and Analysis of Financial Condition</w:t>
      </w:r>
      <w:r w:rsidRPr="00641801">
        <w:rPr>
          <w:rFonts w:ascii="Times New Roman" w:hAnsi="Times New Roman"/>
          <w:b/>
          <w:bCs/>
          <w:i/>
          <w:iCs/>
          <w:color w:val="000000"/>
          <w:sz w:val="20"/>
          <w:szCs w:val="20"/>
        </w:rPr>
        <w:t xml:space="preserve"> and Results of Operations</w:t>
      </w:r>
      <w:r w:rsidRPr="00641801">
        <w:rPr>
          <w:rFonts w:ascii="Times New Roman" w:hAnsi="Times New Roman"/>
          <w:b/>
          <w:i/>
          <w:iCs/>
          <w:color w:val="000000"/>
          <w:sz w:val="20"/>
          <w:szCs w:val="20"/>
        </w:rPr>
        <w:t xml:space="preserve">” </w:t>
      </w:r>
      <w:r w:rsidRPr="00641801">
        <w:rPr>
          <w:rFonts w:ascii="Times New Roman" w:hAnsi="Times New Roman"/>
          <w:i/>
          <w:iCs/>
          <w:color w:val="000000"/>
          <w:sz w:val="20"/>
          <w:szCs w:val="20"/>
        </w:rPr>
        <w:t>on page 156,106 and 208 respectively of this Draft Prospectus and the risks and uncertainties described below, before making a decision to invest in our Equity Shares.</w:t>
      </w:r>
    </w:p>
    <w:p w14:paraId="75BD6BA2" w14:textId="77777777" w:rsidR="00D55EC1" w:rsidRPr="00641801" w:rsidRDefault="00D55EC1" w:rsidP="00D55EC1">
      <w:pPr>
        <w:widowControl w:val="0"/>
        <w:tabs>
          <w:tab w:val="left" w:pos="0"/>
        </w:tabs>
        <w:autoSpaceDE w:val="0"/>
        <w:autoSpaceDN w:val="0"/>
        <w:adjustRightInd w:val="0"/>
        <w:spacing w:after="0" w:line="240" w:lineRule="auto"/>
        <w:jc w:val="both"/>
        <w:textAlignment w:val="baseline"/>
        <w:rPr>
          <w:rFonts w:ascii="Times New Roman" w:hAnsi="Times New Roman"/>
          <w:i/>
          <w:iCs/>
          <w:color w:val="000000"/>
          <w:sz w:val="20"/>
          <w:szCs w:val="20"/>
        </w:rPr>
      </w:pPr>
    </w:p>
    <w:p w14:paraId="7ED726A6" w14:textId="77777777" w:rsidR="00D55EC1" w:rsidRPr="00641801" w:rsidRDefault="00D55EC1" w:rsidP="00D55EC1">
      <w:pPr>
        <w:widowControl w:val="0"/>
        <w:tabs>
          <w:tab w:val="left" w:pos="0"/>
        </w:tabs>
        <w:autoSpaceDE w:val="0"/>
        <w:autoSpaceDN w:val="0"/>
        <w:adjustRightInd w:val="0"/>
        <w:spacing w:after="0" w:line="240" w:lineRule="auto"/>
        <w:jc w:val="both"/>
        <w:textAlignment w:val="baseline"/>
        <w:rPr>
          <w:rFonts w:ascii="Times New Roman" w:hAnsi="Times New Roman"/>
          <w:i/>
          <w:iCs/>
          <w:color w:val="000000"/>
          <w:sz w:val="20"/>
          <w:szCs w:val="20"/>
        </w:rPr>
      </w:pPr>
      <w:r w:rsidRPr="00641801">
        <w:rPr>
          <w:rFonts w:ascii="Times New Roman" w:hAnsi="Times New Roman"/>
          <w:i/>
          <w:iCs/>
          <w:color w:val="000000"/>
          <w:sz w:val="20"/>
          <w:szCs w:val="20"/>
        </w:rPr>
        <w:t>The risk factors set forth below are not exhaustive and do not purport to be complete or comprehensive in terms of all the risk factors that may arise in connection with our business or any decision to purchase, own or dispose of the Equity Shares. This section addresses general risks associated with the industry in which we operate and specific risks associated with our Company. Any of the following risks, individually or together, could adversely affect our business, financial condition, results of operations or prospects, which could result in a decline in the value of our Equity Shares and the loss of all or part of your investment in our Equity Shares. While we have described the risks and uncertainties that our management believes are material, these risks and uncertainties may not be the only risks and uncertainties we face. Additional risks and uncertainties, including those we currently are not aware of or deem immaterial, may also have an adverse effect on our business, results of operations, financial condition and prospects.</w:t>
      </w:r>
    </w:p>
    <w:p w14:paraId="1EF2B7CD" w14:textId="77777777" w:rsidR="00D55EC1" w:rsidRPr="00641801" w:rsidRDefault="00D55EC1" w:rsidP="00D55EC1">
      <w:pPr>
        <w:widowControl w:val="0"/>
        <w:tabs>
          <w:tab w:val="left" w:pos="0"/>
        </w:tabs>
        <w:autoSpaceDE w:val="0"/>
        <w:autoSpaceDN w:val="0"/>
        <w:adjustRightInd w:val="0"/>
        <w:spacing w:after="0" w:line="240" w:lineRule="auto"/>
        <w:jc w:val="both"/>
        <w:textAlignment w:val="baseline"/>
        <w:rPr>
          <w:rFonts w:ascii="Times New Roman" w:hAnsi="Times New Roman"/>
          <w:i/>
          <w:iCs/>
          <w:color w:val="000000"/>
          <w:sz w:val="20"/>
          <w:szCs w:val="20"/>
        </w:rPr>
      </w:pPr>
    </w:p>
    <w:p w14:paraId="6081F2EF" w14:textId="77777777" w:rsidR="00D55EC1" w:rsidRPr="00641801" w:rsidRDefault="00D55EC1" w:rsidP="00D55EC1">
      <w:pPr>
        <w:widowControl w:val="0"/>
        <w:tabs>
          <w:tab w:val="left" w:pos="0"/>
        </w:tabs>
        <w:autoSpaceDE w:val="0"/>
        <w:autoSpaceDN w:val="0"/>
        <w:adjustRightInd w:val="0"/>
        <w:spacing w:after="0" w:line="240" w:lineRule="auto"/>
        <w:jc w:val="both"/>
        <w:textAlignment w:val="baseline"/>
        <w:rPr>
          <w:rFonts w:ascii="Times New Roman" w:hAnsi="Times New Roman"/>
          <w:i/>
          <w:iCs/>
          <w:color w:val="000000"/>
          <w:sz w:val="20"/>
          <w:szCs w:val="20"/>
        </w:rPr>
      </w:pPr>
      <w:r w:rsidRPr="00641801">
        <w:rPr>
          <w:rFonts w:ascii="Times New Roman" w:hAnsi="Times New Roman"/>
          <w:i/>
          <w:iCs/>
          <w:color w:val="000000"/>
          <w:sz w:val="20"/>
          <w:szCs w:val="20"/>
        </w:rPr>
        <w:t>This Draft Prospectus contains forward-looking statements that involve risks and uncertainties. Our actual results could differ materially from those anticipated in these forward-looking statements as a result of certain factors, including the considerations described below and elsewhere in this Draft Prospectus. The financial and other related implications of risks concerned, wherever quantifiable, have been disclosed in the risk factors below. However, there are risk factors the potential effects of which are not quantifiable and therefore no quantification has been provided with respect to such risk factors. In making an investment decision, prospective investors must rely on their own examination of our Company and the terms of the Issue, including the merits and the risks involved. You should not invest in this Issue unless you are prepared to accept the risk of losing all or part of your investment, and you should consult your tax, financial and legal advisors about the particular consequences to you of an investment in our Equity Shares.</w:t>
      </w:r>
    </w:p>
    <w:p w14:paraId="7451B541" w14:textId="77777777" w:rsidR="00D55EC1" w:rsidRPr="00641801" w:rsidRDefault="00D55EC1" w:rsidP="00D55EC1">
      <w:pPr>
        <w:widowControl w:val="0"/>
        <w:tabs>
          <w:tab w:val="left" w:pos="0"/>
        </w:tabs>
        <w:autoSpaceDE w:val="0"/>
        <w:autoSpaceDN w:val="0"/>
        <w:adjustRightInd w:val="0"/>
        <w:spacing w:after="0" w:line="240" w:lineRule="auto"/>
        <w:jc w:val="both"/>
        <w:textAlignment w:val="baseline"/>
        <w:rPr>
          <w:rFonts w:ascii="Times New Roman" w:hAnsi="Times New Roman"/>
          <w:i/>
          <w:iCs/>
          <w:color w:val="000000"/>
          <w:sz w:val="20"/>
          <w:szCs w:val="20"/>
        </w:rPr>
      </w:pPr>
    </w:p>
    <w:p w14:paraId="7DA3772B" w14:textId="77777777" w:rsidR="00D55EC1" w:rsidRPr="00641801" w:rsidRDefault="00D55EC1" w:rsidP="00D55EC1">
      <w:pPr>
        <w:widowControl w:val="0"/>
        <w:tabs>
          <w:tab w:val="left" w:pos="0"/>
        </w:tabs>
        <w:autoSpaceDE w:val="0"/>
        <w:autoSpaceDN w:val="0"/>
        <w:adjustRightInd w:val="0"/>
        <w:spacing w:after="0" w:line="240" w:lineRule="auto"/>
        <w:jc w:val="both"/>
        <w:textAlignment w:val="baseline"/>
        <w:rPr>
          <w:rFonts w:ascii="Times New Roman" w:hAnsi="Times New Roman"/>
          <w:b/>
          <w:bCs/>
          <w:i/>
          <w:color w:val="000000"/>
          <w:sz w:val="20"/>
          <w:szCs w:val="20"/>
          <w:u w:val="single"/>
        </w:rPr>
      </w:pPr>
      <w:r w:rsidRPr="00641801">
        <w:rPr>
          <w:rFonts w:ascii="Times New Roman" w:hAnsi="Times New Roman"/>
          <w:b/>
          <w:bCs/>
          <w:i/>
          <w:color w:val="000000"/>
          <w:sz w:val="20"/>
          <w:szCs w:val="20"/>
          <w:u w:val="single"/>
        </w:rPr>
        <w:t>Materiality</w:t>
      </w:r>
    </w:p>
    <w:p w14:paraId="031FB6DE" w14:textId="77777777" w:rsidR="00D55EC1" w:rsidRPr="00641801" w:rsidRDefault="00D55EC1" w:rsidP="00D55EC1">
      <w:pPr>
        <w:widowControl w:val="0"/>
        <w:tabs>
          <w:tab w:val="left" w:pos="0"/>
        </w:tabs>
        <w:autoSpaceDE w:val="0"/>
        <w:autoSpaceDN w:val="0"/>
        <w:adjustRightInd w:val="0"/>
        <w:spacing w:after="0" w:line="240" w:lineRule="auto"/>
        <w:jc w:val="both"/>
        <w:textAlignment w:val="baseline"/>
        <w:rPr>
          <w:rFonts w:ascii="Times New Roman" w:hAnsi="Times New Roman"/>
          <w:b/>
          <w:bCs/>
          <w:i/>
          <w:color w:val="000000"/>
          <w:sz w:val="20"/>
          <w:szCs w:val="20"/>
        </w:rPr>
      </w:pPr>
    </w:p>
    <w:p w14:paraId="72B71B11" w14:textId="77777777" w:rsidR="00D55EC1" w:rsidRPr="00641801" w:rsidRDefault="00D55EC1" w:rsidP="00D55EC1">
      <w:pPr>
        <w:widowControl w:val="0"/>
        <w:tabs>
          <w:tab w:val="left" w:pos="0"/>
        </w:tabs>
        <w:autoSpaceDE w:val="0"/>
        <w:autoSpaceDN w:val="0"/>
        <w:adjustRightInd w:val="0"/>
        <w:spacing w:after="0" w:line="240" w:lineRule="auto"/>
        <w:jc w:val="both"/>
        <w:textAlignment w:val="baseline"/>
        <w:rPr>
          <w:rFonts w:ascii="Times New Roman" w:hAnsi="Times New Roman"/>
          <w:i/>
          <w:color w:val="000000"/>
          <w:sz w:val="20"/>
          <w:szCs w:val="20"/>
        </w:rPr>
      </w:pPr>
      <w:r w:rsidRPr="00641801">
        <w:rPr>
          <w:rFonts w:ascii="Times New Roman" w:hAnsi="Times New Roman"/>
          <w:i/>
          <w:color w:val="000000"/>
          <w:sz w:val="20"/>
          <w:szCs w:val="20"/>
        </w:rPr>
        <w:t>The Risk factors have been determined on the basis of their materiality. The following factors have been considered for determining the materiality.</w:t>
      </w:r>
    </w:p>
    <w:p w14:paraId="759652C3" w14:textId="77777777" w:rsidR="00D55EC1" w:rsidRPr="00641801" w:rsidRDefault="00D55EC1" w:rsidP="00D55EC1">
      <w:pPr>
        <w:widowControl w:val="0"/>
        <w:tabs>
          <w:tab w:val="left" w:pos="0"/>
        </w:tabs>
        <w:autoSpaceDE w:val="0"/>
        <w:autoSpaceDN w:val="0"/>
        <w:adjustRightInd w:val="0"/>
        <w:spacing w:after="0" w:line="240" w:lineRule="auto"/>
        <w:jc w:val="both"/>
        <w:textAlignment w:val="baseline"/>
        <w:rPr>
          <w:rFonts w:ascii="Times New Roman" w:hAnsi="Times New Roman"/>
          <w:i/>
          <w:color w:val="000000"/>
          <w:sz w:val="20"/>
          <w:szCs w:val="20"/>
        </w:rPr>
      </w:pPr>
    </w:p>
    <w:p w14:paraId="22F1EFDD" w14:textId="77777777" w:rsidR="00D55EC1" w:rsidRPr="00641801" w:rsidRDefault="00D55EC1" w:rsidP="00D55EC1">
      <w:pPr>
        <w:widowControl w:val="0"/>
        <w:tabs>
          <w:tab w:val="left" w:pos="0"/>
        </w:tabs>
        <w:autoSpaceDE w:val="0"/>
        <w:autoSpaceDN w:val="0"/>
        <w:adjustRightInd w:val="0"/>
        <w:spacing w:after="0" w:line="240" w:lineRule="auto"/>
        <w:jc w:val="both"/>
        <w:textAlignment w:val="baseline"/>
        <w:rPr>
          <w:rFonts w:ascii="Times New Roman" w:hAnsi="Times New Roman"/>
          <w:i/>
          <w:color w:val="000000"/>
          <w:sz w:val="20"/>
          <w:szCs w:val="20"/>
        </w:rPr>
      </w:pPr>
      <w:r w:rsidRPr="00641801">
        <w:rPr>
          <w:rFonts w:ascii="Times New Roman" w:hAnsi="Times New Roman"/>
          <w:i/>
          <w:color w:val="000000"/>
          <w:sz w:val="20"/>
          <w:szCs w:val="20"/>
        </w:rPr>
        <w:t>1. Some events may not be material individually but may be found material collectively.</w:t>
      </w:r>
    </w:p>
    <w:p w14:paraId="368BAFDA" w14:textId="77777777" w:rsidR="00D55EC1" w:rsidRPr="00641801" w:rsidRDefault="00D55EC1" w:rsidP="00D55EC1">
      <w:pPr>
        <w:widowControl w:val="0"/>
        <w:tabs>
          <w:tab w:val="left" w:pos="0"/>
        </w:tabs>
        <w:autoSpaceDE w:val="0"/>
        <w:autoSpaceDN w:val="0"/>
        <w:adjustRightInd w:val="0"/>
        <w:spacing w:after="0" w:line="240" w:lineRule="auto"/>
        <w:jc w:val="both"/>
        <w:textAlignment w:val="baseline"/>
        <w:rPr>
          <w:rFonts w:ascii="Times New Roman" w:hAnsi="Times New Roman"/>
          <w:i/>
          <w:color w:val="000000"/>
          <w:sz w:val="20"/>
          <w:szCs w:val="20"/>
        </w:rPr>
      </w:pPr>
      <w:r w:rsidRPr="00641801">
        <w:rPr>
          <w:rFonts w:ascii="Times New Roman" w:hAnsi="Times New Roman"/>
          <w:i/>
          <w:color w:val="000000"/>
          <w:sz w:val="20"/>
          <w:szCs w:val="20"/>
        </w:rPr>
        <w:t>2. Some events may have material impact qualitatively instead of quantitatively.</w:t>
      </w:r>
    </w:p>
    <w:p w14:paraId="27E60B60" w14:textId="77777777" w:rsidR="00D55EC1" w:rsidRPr="00641801" w:rsidRDefault="00D55EC1" w:rsidP="00D55EC1">
      <w:pPr>
        <w:widowControl w:val="0"/>
        <w:tabs>
          <w:tab w:val="left" w:pos="0"/>
        </w:tabs>
        <w:autoSpaceDE w:val="0"/>
        <w:autoSpaceDN w:val="0"/>
        <w:adjustRightInd w:val="0"/>
        <w:spacing w:after="0" w:line="240" w:lineRule="auto"/>
        <w:jc w:val="both"/>
        <w:textAlignment w:val="baseline"/>
        <w:rPr>
          <w:rFonts w:ascii="Times New Roman" w:hAnsi="Times New Roman"/>
          <w:i/>
          <w:iCs/>
          <w:color w:val="000000"/>
          <w:sz w:val="20"/>
          <w:szCs w:val="20"/>
        </w:rPr>
      </w:pPr>
      <w:r w:rsidRPr="00641801">
        <w:rPr>
          <w:rFonts w:ascii="Times New Roman" w:hAnsi="Times New Roman"/>
          <w:i/>
          <w:color w:val="000000"/>
          <w:sz w:val="20"/>
          <w:szCs w:val="20"/>
        </w:rPr>
        <w:t>3. Some events may not be material at present but may be having material impact in future.</w:t>
      </w:r>
    </w:p>
    <w:p w14:paraId="3F4F18CC" w14:textId="77777777" w:rsidR="00D55EC1" w:rsidRPr="00641801" w:rsidRDefault="00D55EC1" w:rsidP="00D55EC1">
      <w:pPr>
        <w:widowControl w:val="0"/>
        <w:tabs>
          <w:tab w:val="left" w:pos="0"/>
        </w:tabs>
        <w:autoSpaceDE w:val="0"/>
        <w:autoSpaceDN w:val="0"/>
        <w:adjustRightInd w:val="0"/>
        <w:spacing w:after="0" w:line="240" w:lineRule="auto"/>
        <w:jc w:val="both"/>
        <w:textAlignment w:val="baseline"/>
        <w:rPr>
          <w:rFonts w:ascii="Times New Roman" w:hAnsi="Times New Roman"/>
          <w:i/>
          <w:iCs/>
          <w:color w:val="000000"/>
          <w:sz w:val="20"/>
          <w:szCs w:val="20"/>
        </w:rPr>
      </w:pPr>
    </w:p>
    <w:p w14:paraId="5877296B" w14:textId="77777777" w:rsidR="00D55EC1" w:rsidRPr="00641801" w:rsidRDefault="00D55EC1" w:rsidP="00D55EC1">
      <w:pPr>
        <w:widowControl w:val="0"/>
        <w:tabs>
          <w:tab w:val="left" w:pos="0"/>
        </w:tabs>
        <w:autoSpaceDE w:val="0"/>
        <w:autoSpaceDN w:val="0"/>
        <w:adjustRightInd w:val="0"/>
        <w:spacing w:after="0" w:line="240" w:lineRule="auto"/>
        <w:jc w:val="both"/>
        <w:textAlignment w:val="baseline"/>
        <w:rPr>
          <w:rFonts w:ascii="Times New Roman" w:hAnsi="Times New Roman"/>
          <w:i/>
          <w:color w:val="000000"/>
          <w:sz w:val="20"/>
          <w:szCs w:val="20"/>
        </w:rPr>
      </w:pPr>
      <w:r w:rsidRPr="00641801">
        <w:rPr>
          <w:rFonts w:ascii="Times New Roman" w:hAnsi="Times New Roman"/>
          <w:b/>
          <w:bCs/>
          <w:i/>
          <w:color w:val="000000"/>
          <w:sz w:val="20"/>
          <w:szCs w:val="20"/>
        </w:rPr>
        <w:t xml:space="preserve">Note: </w:t>
      </w:r>
    </w:p>
    <w:p w14:paraId="6E7CC982" w14:textId="77777777" w:rsidR="00D55EC1" w:rsidRPr="00641801" w:rsidRDefault="00D55EC1" w:rsidP="00D55EC1">
      <w:pPr>
        <w:widowControl w:val="0"/>
        <w:tabs>
          <w:tab w:val="left" w:pos="0"/>
        </w:tabs>
        <w:autoSpaceDE w:val="0"/>
        <w:autoSpaceDN w:val="0"/>
        <w:adjustRightInd w:val="0"/>
        <w:spacing w:after="0" w:line="240" w:lineRule="auto"/>
        <w:jc w:val="both"/>
        <w:textAlignment w:val="baseline"/>
        <w:rPr>
          <w:rFonts w:ascii="Times New Roman" w:hAnsi="Times New Roman"/>
          <w:i/>
          <w:color w:val="000000"/>
          <w:sz w:val="20"/>
          <w:szCs w:val="20"/>
        </w:rPr>
      </w:pPr>
    </w:p>
    <w:p w14:paraId="444B5FAF" w14:textId="77777777" w:rsidR="00D55EC1" w:rsidRPr="00641801" w:rsidRDefault="00D55EC1" w:rsidP="00D55EC1">
      <w:pPr>
        <w:widowControl w:val="0"/>
        <w:tabs>
          <w:tab w:val="left" w:pos="0"/>
        </w:tabs>
        <w:autoSpaceDE w:val="0"/>
        <w:autoSpaceDN w:val="0"/>
        <w:adjustRightInd w:val="0"/>
        <w:spacing w:after="0" w:line="240" w:lineRule="auto"/>
        <w:jc w:val="both"/>
        <w:textAlignment w:val="baseline"/>
        <w:rPr>
          <w:rFonts w:ascii="Times New Roman" w:hAnsi="Times New Roman"/>
          <w:i/>
          <w:color w:val="000000"/>
          <w:sz w:val="20"/>
          <w:szCs w:val="20"/>
        </w:rPr>
      </w:pPr>
      <w:r w:rsidRPr="00641801">
        <w:rPr>
          <w:rFonts w:ascii="Times New Roman" w:hAnsi="Times New Roman"/>
          <w:i/>
          <w:color w:val="000000"/>
          <w:sz w:val="20"/>
          <w:szCs w:val="20"/>
        </w:rPr>
        <w:t xml:space="preserve">The risk factors as envisaged by the management along with the proposals to address the risk if any. Unless specified or quantified in the relevant risk factors below, we are not in a position to quantify the financial implication of any of the risks described in this section. </w:t>
      </w:r>
    </w:p>
    <w:p w14:paraId="1AA2A64D" w14:textId="77777777" w:rsidR="00D55EC1" w:rsidRPr="00641801" w:rsidRDefault="00D55EC1" w:rsidP="00D55EC1">
      <w:pPr>
        <w:widowControl w:val="0"/>
        <w:tabs>
          <w:tab w:val="left" w:pos="0"/>
        </w:tabs>
        <w:autoSpaceDE w:val="0"/>
        <w:autoSpaceDN w:val="0"/>
        <w:adjustRightInd w:val="0"/>
        <w:spacing w:after="0" w:line="240" w:lineRule="auto"/>
        <w:jc w:val="both"/>
        <w:textAlignment w:val="baseline"/>
        <w:rPr>
          <w:rFonts w:ascii="Times New Roman" w:hAnsi="Times New Roman"/>
          <w:color w:val="000000"/>
          <w:sz w:val="20"/>
          <w:szCs w:val="20"/>
        </w:rPr>
      </w:pPr>
    </w:p>
    <w:p w14:paraId="6CD296C3" w14:textId="77777777" w:rsidR="00D55EC1" w:rsidRPr="00641801" w:rsidRDefault="00D55EC1" w:rsidP="00D55EC1">
      <w:pPr>
        <w:widowControl w:val="0"/>
        <w:tabs>
          <w:tab w:val="left" w:pos="0"/>
        </w:tabs>
        <w:autoSpaceDE w:val="0"/>
        <w:autoSpaceDN w:val="0"/>
        <w:adjustRightInd w:val="0"/>
        <w:spacing w:after="0" w:line="240" w:lineRule="auto"/>
        <w:jc w:val="both"/>
        <w:textAlignment w:val="baseline"/>
        <w:rPr>
          <w:rFonts w:ascii="Times New Roman" w:hAnsi="Times New Roman"/>
          <w:b/>
          <w:bCs/>
          <w:i/>
          <w:iCs/>
          <w:color w:val="000000"/>
          <w:sz w:val="20"/>
          <w:szCs w:val="20"/>
        </w:rPr>
      </w:pPr>
      <w:r w:rsidRPr="00641801">
        <w:rPr>
          <w:rFonts w:ascii="Times New Roman" w:hAnsi="Times New Roman"/>
          <w:i/>
          <w:color w:val="000000"/>
          <w:sz w:val="20"/>
          <w:szCs w:val="20"/>
        </w:rPr>
        <w:t xml:space="preserve">In this Draft Prospectus, any discrepancies in any table between total and the sums of the amount listed are due to rounding off. Any percentage amounts, as set forth in </w:t>
      </w:r>
      <w:r w:rsidRPr="00641801">
        <w:rPr>
          <w:rFonts w:ascii="Times New Roman" w:hAnsi="Times New Roman"/>
          <w:b/>
          <w:i/>
          <w:color w:val="000000"/>
          <w:sz w:val="20"/>
          <w:szCs w:val="20"/>
        </w:rPr>
        <w:t>“</w:t>
      </w:r>
      <w:r w:rsidRPr="00641801">
        <w:rPr>
          <w:rFonts w:ascii="Times New Roman" w:hAnsi="Times New Roman"/>
          <w:b/>
          <w:bCs/>
          <w:i/>
          <w:iCs/>
          <w:color w:val="000000"/>
          <w:sz w:val="20"/>
          <w:szCs w:val="20"/>
        </w:rPr>
        <w:t>Risk Factors”</w:t>
      </w:r>
      <w:r w:rsidRPr="00641801">
        <w:rPr>
          <w:rFonts w:ascii="Times New Roman" w:hAnsi="Times New Roman"/>
          <w:i/>
          <w:color w:val="000000"/>
          <w:sz w:val="20"/>
          <w:szCs w:val="20"/>
        </w:rPr>
        <w:t xml:space="preserve"> on page 27 and </w:t>
      </w:r>
      <w:r w:rsidRPr="00641801">
        <w:rPr>
          <w:rFonts w:ascii="Times New Roman" w:hAnsi="Times New Roman"/>
          <w:b/>
          <w:i/>
          <w:color w:val="000000"/>
          <w:sz w:val="20"/>
          <w:szCs w:val="20"/>
        </w:rPr>
        <w:t>“</w:t>
      </w:r>
      <w:r w:rsidRPr="00641801">
        <w:rPr>
          <w:rFonts w:ascii="Times New Roman" w:hAnsi="Times New Roman"/>
          <w:b/>
          <w:bCs/>
          <w:i/>
          <w:iCs/>
          <w:color w:val="000000"/>
          <w:sz w:val="20"/>
          <w:szCs w:val="20"/>
        </w:rPr>
        <w:t>Management Discussion and Analysis of Financial Condition and Results of Operations</w:t>
      </w:r>
      <w:r w:rsidRPr="00641801">
        <w:rPr>
          <w:rFonts w:ascii="Times New Roman" w:hAnsi="Times New Roman"/>
          <w:b/>
          <w:i/>
          <w:color w:val="000000"/>
          <w:sz w:val="20"/>
          <w:szCs w:val="20"/>
        </w:rPr>
        <w:t>”</w:t>
      </w:r>
      <w:r w:rsidRPr="00641801">
        <w:rPr>
          <w:rFonts w:ascii="Times New Roman" w:hAnsi="Times New Roman"/>
          <w:i/>
          <w:color w:val="000000"/>
          <w:sz w:val="20"/>
          <w:szCs w:val="20"/>
        </w:rPr>
        <w:t xml:space="preserve"> on page 208 of this Draft Prospectus unless otherwise indicated, has been calculated on the basis of the amount disclosed in the </w:t>
      </w:r>
      <w:r w:rsidRPr="00641801">
        <w:rPr>
          <w:rFonts w:ascii="Times New Roman" w:hAnsi="Times New Roman"/>
          <w:b/>
          <w:i/>
          <w:color w:val="000000"/>
          <w:sz w:val="20"/>
          <w:szCs w:val="20"/>
        </w:rPr>
        <w:t>"Restated Financial Statements”</w:t>
      </w:r>
      <w:r w:rsidRPr="00641801">
        <w:rPr>
          <w:rFonts w:ascii="Times New Roman" w:hAnsi="Times New Roman"/>
          <w:i/>
          <w:color w:val="000000"/>
          <w:sz w:val="20"/>
          <w:szCs w:val="20"/>
        </w:rPr>
        <w:t>.</w:t>
      </w:r>
    </w:p>
    <w:p w14:paraId="65EE98EB" w14:textId="77777777" w:rsidR="00D55EC1" w:rsidRPr="00641801" w:rsidRDefault="00D55EC1" w:rsidP="00D55EC1">
      <w:pPr>
        <w:spacing w:after="0" w:line="240" w:lineRule="auto"/>
        <w:jc w:val="both"/>
        <w:rPr>
          <w:rFonts w:ascii="Times New Roman" w:hAnsi="Times New Roman"/>
          <w:b/>
          <w:color w:val="221F1F"/>
          <w:sz w:val="20"/>
          <w:szCs w:val="20"/>
        </w:rPr>
      </w:pPr>
    </w:p>
    <w:p w14:paraId="0D6D66BC" w14:textId="77777777" w:rsidR="00D55EC1" w:rsidRDefault="00D55EC1" w:rsidP="00D55EC1">
      <w:pPr>
        <w:spacing w:after="0" w:line="240" w:lineRule="auto"/>
        <w:jc w:val="both"/>
        <w:rPr>
          <w:rFonts w:ascii="Times New Roman" w:hAnsi="Times New Roman"/>
          <w:b/>
          <w:color w:val="221F1F"/>
          <w:sz w:val="20"/>
          <w:szCs w:val="20"/>
          <w:u w:val="single"/>
        </w:rPr>
      </w:pPr>
      <w:r w:rsidRPr="00641801">
        <w:rPr>
          <w:rFonts w:ascii="Times New Roman" w:hAnsi="Times New Roman"/>
          <w:b/>
          <w:color w:val="221F1F"/>
          <w:sz w:val="20"/>
          <w:szCs w:val="20"/>
          <w:u w:val="single"/>
        </w:rPr>
        <w:t>INTERNAL RISK FACTORS</w:t>
      </w:r>
    </w:p>
    <w:p w14:paraId="390AFB56" w14:textId="77777777" w:rsidR="00D55EC1" w:rsidRDefault="00D55EC1" w:rsidP="00D55EC1">
      <w:pPr>
        <w:spacing w:after="0" w:line="240" w:lineRule="auto"/>
        <w:jc w:val="both"/>
        <w:rPr>
          <w:rFonts w:ascii="Times New Roman" w:hAnsi="Times New Roman"/>
          <w:b/>
          <w:color w:val="221F1F"/>
          <w:sz w:val="20"/>
          <w:szCs w:val="20"/>
          <w:u w:val="single"/>
        </w:rPr>
      </w:pPr>
    </w:p>
    <w:p w14:paraId="7558DF31" w14:textId="77777777" w:rsidR="00D55EC1" w:rsidRPr="00A647CE" w:rsidRDefault="00D55EC1" w:rsidP="00F038BD">
      <w:pPr>
        <w:pStyle w:val="ListParagraph"/>
        <w:numPr>
          <w:ilvl w:val="0"/>
          <w:numId w:val="150"/>
        </w:numPr>
        <w:spacing w:line="240" w:lineRule="auto"/>
        <w:contextualSpacing/>
        <w:jc w:val="both"/>
        <w:rPr>
          <w:b/>
          <w:bCs/>
          <w:i/>
          <w:iCs/>
          <w:sz w:val="20"/>
          <w:szCs w:val="20"/>
          <w:lang w:val="en-US"/>
        </w:rPr>
      </w:pPr>
      <w:r w:rsidRPr="00A647CE">
        <w:rPr>
          <w:b/>
          <w:bCs/>
          <w:i/>
          <w:iCs/>
          <w:sz w:val="20"/>
          <w:szCs w:val="20"/>
          <w:lang w:val="en-US"/>
        </w:rPr>
        <w:t xml:space="preserve">There are outstanding legal proceedings involving our Company, our Directors and our Promoters. </w:t>
      </w:r>
      <w:r w:rsidRPr="00A647CE">
        <w:rPr>
          <w:b/>
          <w:bCs/>
          <w:i/>
          <w:iCs/>
          <w:sz w:val="20"/>
          <w:szCs w:val="20"/>
        </w:rPr>
        <w:t>Any adverse decisions could</w:t>
      </w:r>
      <w:r w:rsidRPr="00A647CE">
        <w:rPr>
          <w:b/>
          <w:bCs/>
          <w:i/>
          <w:iCs/>
          <w:sz w:val="20"/>
          <w:szCs w:val="20"/>
          <w:lang w:val="en-US"/>
        </w:rPr>
        <w:t xml:space="preserve"> </w:t>
      </w:r>
      <w:r w:rsidRPr="00A647CE">
        <w:rPr>
          <w:b/>
          <w:bCs/>
          <w:i/>
          <w:iCs/>
          <w:sz w:val="20"/>
          <w:szCs w:val="20"/>
        </w:rPr>
        <w:t>impact our cashflows and profit or loss to the extent of demand amount, interest and</w:t>
      </w:r>
      <w:r w:rsidRPr="00A647CE">
        <w:rPr>
          <w:b/>
          <w:bCs/>
          <w:i/>
          <w:iCs/>
          <w:sz w:val="20"/>
          <w:szCs w:val="20"/>
          <w:lang w:val="en-US"/>
        </w:rPr>
        <w:t xml:space="preserve"> </w:t>
      </w:r>
      <w:r w:rsidRPr="00A647CE">
        <w:rPr>
          <w:b/>
          <w:bCs/>
          <w:i/>
          <w:iCs/>
          <w:sz w:val="20"/>
          <w:szCs w:val="20"/>
        </w:rPr>
        <w:t>penalty, divert management time and attention, consume financial resources in their defence or prosecution, affect</w:t>
      </w:r>
      <w:r w:rsidRPr="00A647CE">
        <w:rPr>
          <w:b/>
          <w:bCs/>
          <w:i/>
          <w:iCs/>
          <w:sz w:val="20"/>
          <w:szCs w:val="20"/>
          <w:lang w:val="en-US"/>
        </w:rPr>
        <w:t xml:space="preserve"> </w:t>
      </w:r>
      <w:r w:rsidRPr="00A647CE">
        <w:rPr>
          <w:b/>
          <w:bCs/>
          <w:i/>
          <w:iCs/>
          <w:sz w:val="20"/>
          <w:szCs w:val="20"/>
        </w:rPr>
        <w:t>our reputation, standing and future business and have an adverse effect on our business, prospects, results of</w:t>
      </w:r>
      <w:r w:rsidRPr="00A647CE">
        <w:rPr>
          <w:b/>
          <w:bCs/>
          <w:i/>
          <w:iCs/>
          <w:sz w:val="20"/>
          <w:szCs w:val="20"/>
          <w:lang w:val="en-US"/>
        </w:rPr>
        <w:t xml:space="preserve"> operations and financial condition.</w:t>
      </w:r>
    </w:p>
    <w:p w14:paraId="6D77498B" w14:textId="77777777" w:rsidR="00D55EC1" w:rsidRPr="00A647CE" w:rsidRDefault="00D55EC1" w:rsidP="00D55EC1">
      <w:pPr>
        <w:autoSpaceDE w:val="0"/>
        <w:autoSpaceDN w:val="0"/>
        <w:adjustRightInd w:val="0"/>
        <w:spacing w:after="0" w:line="240" w:lineRule="auto"/>
        <w:jc w:val="both"/>
        <w:rPr>
          <w:rFonts w:ascii="Times New Roman" w:hAnsi="Times New Roman"/>
          <w:sz w:val="20"/>
          <w:szCs w:val="20"/>
        </w:rPr>
      </w:pPr>
    </w:p>
    <w:p w14:paraId="144D4552" w14:textId="77777777" w:rsidR="00D55EC1" w:rsidRPr="00A647CE" w:rsidRDefault="00D55EC1" w:rsidP="00D55EC1">
      <w:pPr>
        <w:autoSpaceDE w:val="0"/>
        <w:autoSpaceDN w:val="0"/>
        <w:adjustRightInd w:val="0"/>
        <w:spacing w:after="0" w:line="240" w:lineRule="auto"/>
        <w:jc w:val="both"/>
        <w:rPr>
          <w:rFonts w:ascii="Times New Roman" w:hAnsi="Times New Roman"/>
          <w:sz w:val="20"/>
          <w:szCs w:val="20"/>
        </w:rPr>
      </w:pPr>
      <w:r w:rsidRPr="00A647CE">
        <w:rPr>
          <w:rFonts w:ascii="Times New Roman" w:hAnsi="Times New Roman"/>
          <w:sz w:val="20"/>
          <w:szCs w:val="20"/>
        </w:rPr>
        <w:t xml:space="preserve">There are outstanding legal proceedings involving our Company, our Directors and our Promoters. These proceedings are pending at different levels of adjudication before various courts (including Supreme Court and High Court), tribunals, enquiry officers and appellate tribunals. For details, see </w:t>
      </w:r>
      <w:r w:rsidRPr="00A647CE">
        <w:rPr>
          <w:rFonts w:ascii="Times New Roman" w:hAnsi="Times New Roman" w:hint="eastAsia"/>
          <w:sz w:val="20"/>
          <w:szCs w:val="20"/>
        </w:rPr>
        <w:t>“</w:t>
      </w:r>
      <w:r w:rsidRPr="00A647CE">
        <w:rPr>
          <w:rFonts w:ascii="Times New Roman" w:hAnsi="Times New Roman"/>
          <w:i/>
          <w:iCs/>
          <w:sz w:val="20"/>
          <w:szCs w:val="20"/>
        </w:rPr>
        <w:t>Outstanding Litigation and Material Developments</w:t>
      </w:r>
      <w:r w:rsidRPr="00A647CE">
        <w:rPr>
          <w:rFonts w:ascii="Times New Roman" w:hAnsi="Times New Roman" w:hint="eastAsia"/>
          <w:sz w:val="20"/>
          <w:szCs w:val="20"/>
        </w:rPr>
        <w:t>”</w:t>
      </w:r>
      <w:r w:rsidRPr="00A647CE">
        <w:rPr>
          <w:rFonts w:ascii="Times New Roman" w:hAnsi="Times New Roman"/>
          <w:sz w:val="20"/>
          <w:szCs w:val="20"/>
        </w:rPr>
        <w:t xml:space="preserve"> beginning on page 403.</w:t>
      </w:r>
    </w:p>
    <w:p w14:paraId="358034CE" w14:textId="77777777" w:rsidR="00815F75" w:rsidRPr="00A647CE" w:rsidRDefault="00815F75" w:rsidP="00D55EC1">
      <w:pPr>
        <w:autoSpaceDE w:val="0"/>
        <w:autoSpaceDN w:val="0"/>
        <w:adjustRightInd w:val="0"/>
        <w:spacing w:after="0" w:line="240" w:lineRule="auto"/>
        <w:jc w:val="both"/>
        <w:rPr>
          <w:rFonts w:ascii="Times New Roman" w:hAnsi="Times New Roman"/>
          <w:sz w:val="20"/>
          <w:szCs w:val="20"/>
        </w:rPr>
      </w:pPr>
    </w:p>
    <w:p w14:paraId="70D17BB4" w14:textId="77777777" w:rsidR="00B6449D" w:rsidRPr="00712F3C" w:rsidRDefault="00B6449D" w:rsidP="00B6449D">
      <w:pPr>
        <w:widowControl w:val="0"/>
        <w:autoSpaceDE w:val="0"/>
        <w:autoSpaceDN w:val="0"/>
        <w:adjustRightInd w:val="0"/>
        <w:spacing w:after="0" w:line="240" w:lineRule="auto"/>
        <w:jc w:val="both"/>
        <w:textAlignment w:val="baseline"/>
        <w:rPr>
          <w:rFonts w:ascii="Times New Roman" w:hAnsi="Times New Roman"/>
          <w:b/>
          <w:sz w:val="20"/>
          <w:szCs w:val="20"/>
        </w:rPr>
      </w:pPr>
      <w:r w:rsidRPr="00712F3C">
        <w:rPr>
          <w:rFonts w:ascii="Times New Roman" w:hAnsi="Times New Roman"/>
          <w:b/>
          <w:sz w:val="20"/>
          <w:szCs w:val="20"/>
        </w:rPr>
        <w:t xml:space="preserve">Litigations </w:t>
      </w:r>
      <w:r>
        <w:rPr>
          <w:rFonts w:ascii="Times New Roman" w:hAnsi="Times New Roman"/>
          <w:b/>
          <w:sz w:val="20"/>
          <w:szCs w:val="20"/>
        </w:rPr>
        <w:t>involving the</w:t>
      </w:r>
      <w:r w:rsidRPr="00712F3C">
        <w:rPr>
          <w:rFonts w:ascii="Times New Roman" w:hAnsi="Times New Roman"/>
          <w:b/>
          <w:sz w:val="20"/>
          <w:szCs w:val="20"/>
        </w:rPr>
        <w:t xml:space="preserve"> Company:- </w:t>
      </w:r>
    </w:p>
    <w:p w14:paraId="2F83A380" w14:textId="77777777" w:rsidR="00B6449D" w:rsidRPr="00712F3C" w:rsidRDefault="00B6449D" w:rsidP="00B6449D">
      <w:pPr>
        <w:spacing w:after="0" w:line="240" w:lineRule="auto"/>
        <w:jc w:val="right"/>
        <w:rPr>
          <w:rFonts w:ascii="Times New Roman" w:eastAsia="MS Mincho" w:hAnsi="Times New Roman"/>
          <w:color w:val="000000"/>
          <w:sz w:val="20"/>
          <w:szCs w:val="20"/>
          <w:lang w:val="en-GB"/>
        </w:rPr>
      </w:pPr>
      <w:r w:rsidRPr="00712F3C">
        <w:rPr>
          <w:rFonts w:ascii="Times New Roman" w:hAnsi="Times New Roman"/>
          <w:b/>
          <w:bCs/>
          <w:iCs/>
          <w:sz w:val="20"/>
          <w:szCs w:val="20"/>
          <w:lang w:val="en-GB"/>
        </w:rPr>
        <w:t>(₹ in lakhs)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3"/>
        <w:gridCol w:w="2344"/>
        <w:gridCol w:w="2970"/>
      </w:tblGrid>
      <w:tr w:rsidR="00B6449D" w:rsidRPr="00712F3C" w14:paraId="433935E7" w14:textId="77777777" w:rsidTr="00716083">
        <w:tc>
          <w:tcPr>
            <w:tcW w:w="2459" w:type="pct"/>
            <w:shd w:val="clear" w:color="auto" w:fill="D0CECE" w:themeFill="background2" w:themeFillShade="E6"/>
          </w:tcPr>
          <w:p w14:paraId="682429C2" w14:textId="77777777" w:rsidR="00B6449D" w:rsidRPr="00712F3C" w:rsidRDefault="00B6449D" w:rsidP="00716083">
            <w:pPr>
              <w:widowControl w:val="0"/>
              <w:tabs>
                <w:tab w:val="center" w:pos="1647"/>
                <w:tab w:val="right" w:pos="3294"/>
              </w:tabs>
              <w:adjustRightInd w:val="0"/>
              <w:spacing w:after="0" w:line="240" w:lineRule="auto"/>
              <w:textAlignment w:val="baseline"/>
              <w:rPr>
                <w:rFonts w:ascii="Times New Roman" w:hAnsi="Times New Roman"/>
                <w:b/>
                <w:sz w:val="20"/>
                <w:szCs w:val="20"/>
              </w:rPr>
            </w:pPr>
            <w:r w:rsidRPr="00712F3C">
              <w:rPr>
                <w:rFonts w:ascii="Times New Roman" w:hAnsi="Times New Roman"/>
                <w:b/>
                <w:sz w:val="20"/>
                <w:szCs w:val="20"/>
              </w:rPr>
              <w:tab/>
              <w:t>Nature of Cases</w:t>
            </w:r>
            <w:r w:rsidRPr="00712F3C">
              <w:rPr>
                <w:rFonts w:ascii="Times New Roman" w:hAnsi="Times New Roman"/>
                <w:b/>
                <w:sz w:val="20"/>
                <w:szCs w:val="20"/>
              </w:rPr>
              <w:tab/>
            </w:r>
          </w:p>
        </w:tc>
        <w:tc>
          <w:tcPr>
            <w:tcW w:w="1121" w:type="pct"/>
            <w:shd w:val="clear" w:color="auto" w:fill="D0CECE" w:themeFill="background2" w:themeFillShade="E6"/>
          </w:tcPr>
          <w:p w14:paraId="4E62E386" w14:textId="77777777" w:rsidR="00B6449D" w:rsidRPr="00712F3C" w:rsidRDefault="00B6449D" w:rsidP="00716083">
            <w:pPr>
              <w:widowControl w:val="0"/>
              <w:adjustRightInd w:val="0"/>
              <w:spacing w:after="0" w:line="240" w:lineRule="auto"/>
              <w:jc w:val="center"/>
              <w:textAlignment w:val="baseline"/>
              <w:rPr>
                <w:rFonts w:ascii="Times New Roman" w:hAnsi="Times New Roman"/>
                <w:b/>
                <w:sz w:val="20"/>
                <w:szCs w:val="20"/>
              </w:rPr>
            </w:pPr>
            <w:r w:rsidRPr="00712F3C">
              <w:rPr>
                <w:rFonts w:ascii="Times New Roman" w:hAnsi="Times New Roman"/>
                <w:b/>
                <w:sz w:val="20"/>
                <w:szCs w:val="20"/>
              </w:rPr>
              <w:t>No. of Outstanding Cases</w:t>
            </w:r>
          </w:p>
        </w:tc>
        <w:tc>
          <w:tcPr>
            <w:tcW w:w="1420" w:type="pct"/>
            <w:shd w:val="clear" w:color="auto" w:fill="D0CECE" w:themeFill="background2" w:themeFillShade="E6"/>
          </w:tcPr>
          <w:p w14:paraId="42BF62AC" w14:textId="77777777" w:rsidR="00B6449D" w:rsidRPr="00712F3C" w:rsidRDefault="00B6449D" w:rsidP="00716083">
            <w:pPr>
              <w:widowControl w:val="0"/>
              <w:adjustRightInd w:val="0"/>
              <w:spacing w:after="0" w:line="240" w:lineRule="auto"/>
              <w:jc w:val="center"/>
              <w:textAlignment w:val="baseline"/>
              <w:rPr>
                <w:rFonts w:ascii="Times New Roman" w:hAnsi="Times New Roman"/>
                <w:b/>
                <w:iCs/>
                <w:sz w:val="20"/>
                <w:szCs w:val="20"/>
              </w:rPr>
            </w:pPr>
            <w:r w:rsidRPr="00712F3C">
              <w:rPr>
                <w:rFonts w:ascii="Times New Roman" w:hAnsi="Times New Roman"/>
                <w:b/>
                <w:iCs/>
                <w:sz w:val="20"/>
                <w:szCs w:val="20"/>
              </w:rPr>
              <w:t xml:space="preserve">Amount in dispute/demanded to the extent ascertainable </w:t>
            </w:r>
          </w:p>
        </w:tc>
      </w:tr>
      <w:tr w:rsidR="00B6449D" w:rsidRPr="00CB2D76" w14:paraId="3D52AEB0" w14:textId="77777777" w:rsidTr="00716083">
        <w:tc>
          <w:tcPr>
            <w:tcW w:w="2459" w:type="pct"/>
          </w:tcPr>
          <w:p w14:paraId="04D5BB75" w14:textId="77777777" w:rsidR="00B6449D" w:rsidRPr="00855894" w:rsidRDefault="00B6449D" w:rsidP="00716083">
            <w:pPr>
              <w:widowControl w:val="0"/>
              <w:overflowPunct w:val="0"/>
              <w:autoSpaceDE w:val="0"/>
              <w:autoSpaceDN w:val="0"/>
              <w:adjustRightInd w:val="0"/>
              <w:spacing w:after="0" w:line="240" w:lineRule="auto"/>
              <w:jc w:val="both"/>
              <w:rPr>
                <w:rFonts w:ascii="Times New Roman" w:hAnsi="Times New Roman"/>
                <w:iCs/>
                <w:sz w:val="20"/>
                <w:szCs w:val="20"/>
                <w:lang w:val="x-none"/>
              </w:rPr>
            </w:pPr>
            <w:r w:rsidRPr="00855894">
              <w:rPr>
                <w:rFonts w:ascii="Times New Roman" w:hAnsi="Times New Roman"/>
                <w:iCs/>
                <w:sz w:val="20"/>
                <w:szCs w:val="20"/>
                <w:lang w:val="x-none"/>
              </w:rPr>
              <w:lastRenderedPageBreak/>
              <w:t>Actions by statutory and regulatory authorities against the Company</w:t>
            </w:r>
          </w:p>
        </w:tc>
        <w:tc>
          <w:tcPr>
            <w:tcW w:w="1121" w:type="pct"/>
            <w:shd w:val="clear" w:color="auto" w:fill="auto"/>
            <w:vAlign w:val="center"/>
          </w:tcPr>
          <w:p w14:paraId="1685377F" w14:textId="77777777" w:rsidR="00B6449D" w:rsidRPr="00CB2D76" w:rsidRDefault="00B6449D" w:rsidP="00716083">
            <w:pPr>
              <w:widowControl w:val="0"/>
              <w:adjustRightInd w:val="0"/>
              <w:spacing w:after="0" w:line="240" w:lineRule="auto"/>
              <w:jc w:val="center"/>
              <w:textAlignment w:val="baseline"/>
              <w:rPr>
                <w:rFonts w:ascii="Times New Roman" w:hAnsi="Times New Roman"/>
                <w:sz w:val="20"/>
                <w:szCs w:val="20"/>
                <w:highlight w:val="yellow"/>
              </w:rPr>
            </w:pPr>
            <w:r w:rsidRPr="00855894">
              <w:rPr>
                <w:rFonts w:ascii="Times New Roman" w:hAnsi="Times New Roman"/>
                <w:sz w:val="20"/>
                <w:szCs w:val="20"/>
              </w:rPr>
              <w:t>1</w:t>
            </w:r>
          </w:p>
        </w:tc>
        <w:tc>
          <w:tcPr>
            <w:tcW w:w="1420" w:type="pct"/>
            <w:shd w:val="clear" w:color="auto" w:fill="auto"/>
            <w:vAlign w:val="center"/>
          </w:tcPr>
          <w:p w14:paraId="0FAEBB43" w14:textId="77777777" w:rsidR="00B6449D" w:rsidRPr="00CB2D76" w:rsidRDefault="00B6449D" w:rsidP="00716083">
            <w:pPr>
              <w:widowControl w:val="0"/>
              <w:adjustRightInd w:val="0"/>
              <w:spacing w:after="0" w:line="240" w:lineRule="auto"/>
              <w:jc w:val="center"/>
              <w:textAlignment w:val="baseline"/>
              <w:rPr>
                <w:rFonts w:ascii="Times New Roman" w:hAnsi="Times New Roman"/>
                <w:sz w:val="20"/>
                <w:szCs w:val="20"/>
                <w:highlight w:val="yellow"/>
              </w:rPr>
            </w:pPr>
            <w:r w:rsidRPr="00855894">
              <w:rPr>
                <w:rFonts w:ascii="Times New Roman" w:hAnsi="Times New Roman"/>
                <w:sz w:val="20"/>
                <w:szCs w:val="20"/>
              </w:rPr>
              <w:t>30.00</w:t>
            </w:r>
          </w:p>
        </w:tc>
      </w:tr>
      <w:tr w:rsidR="00B6449D" w:rsidRPr="00CB2D76" w14:paraId="34B0848D" w14:textId="77777777" w:rsidTr="00716083">
        <w:tc>
          <w:tcPr>
            <w:tcW w:w="2459" w:type="pct"/>
          </w:tcPr>
          <w:p w14:paraId="28047C5E" w14:textId="77777777" w:rsidR="00B6449D" w:rsidRPr="00855894" w:rsidRDefault="00B6449D" w:rsidP="00716083">
            <w:pPr>
              <w:widowControl w:val="0"/>
              <w:overflowPunct w:val="0"/>
              <w:autoSpaceDE w:val="0"/>
              <w:autoSpaceDN w:val="0"/>
              <w:adjustRightInd w:val="0"/>
              <w:spacing w:after="0" w:line="240" w:lineRule="auto"/>
              <w:jc w:val="both"/>
              <w:rPr>
                <w:rFonts w:ascii="Times New Roman" w:hAnsi="Times New Roman"/>
                <w:iCs/>
                <w:sz w:val="20"/>
                <w:szCs w:val="20"/>
              </w:rPr>
            </w:pPr>
            <w:r>
              <w:rPr>
                <w:rFonts w:ascii="Times New Roman" w:hAnsi="Times New Roman"/>
                <w:iCs/>
                <w:sz w:val="20"/>
                <w:szCs w:val="20"/>
              </w:rPr>
              <w:t>Tax proceedings:</w:t>
            </w:r>
          </w:p>
        </w:tc>
        <w:tc>
          <w:tcPr>
            <w:tcW w:w="1121" w:type="pct"/>
            <w:shd w:val="clear" w:color="auto" w:fill="auto"/>
            <w:vAlign w:val="center"/>
          </w:tcPr>
          <w:p w14:paraId="4F23E13D" w14:textId="77777777" w:rsidR="00B6449D" w:rsidRPr="00855894" w:rsidRDefault="00B6449D" w:rsidP="00716083">
            <w:pPr>
              <w:widowControl w:val="0"/>
              <w:adjustRightInd w:val="0"/>
              <w:spacing w:after="0" w:line="240" w:lineRule="auto"/>
              <w:jc w:val="center"/>
              <w:textAlignment w:val="baseline"/>
              <w:rPr>
                <w:rFonts w:ascii="Times New Roman" w:hAnsi="Times New Roman"/>
                <w:sz w:val="20"/>
                <w:szCs w:val="20"/>
              </w:rPr>
            </w:pPr>
          </w:p>
        </w:tc>
        <w:tc>
          <w:tcPr>
            <w:tcW w:w="1420" w:type="pct"/>
            <w:shd w:val="clear" w:color="auto" w:fill="auto"/>
            <w:vAlign w:val="center"/>
          </w:tcPr>
          <w:p w14:paraId="2E84B8C1" w14:textId="77777777" w:rsidR="00B6449D" w:rsidRPr="00855894" w:rsidRDefault="00B6449D" w:rsidP="00716083">
            <w:pPr>
              <w:widowControl w:val="0"/>
              <w:adjustRightInd w:val="0"/>
              <w:spacing w:after="0" w:line="240" w:lineRule="auto"/>
              <w:jc w:val="center"/>
              <w:textAlignment w:val="baseline"/>
              <w:rPr>
                <w:rFonts w:ascii="Times New Roman" w:hAnsi="Times New Roman"/>
                <w:sz w:val="20"/>
                <w:szCs w:val="20"/>
              </w:rPr>
            </w:pPr>
          </w:p>
        </w:tc>
      </w:tr>
      <w:tr w:rsidR="00B6449D" w:rsidRPr="00CB2D76" w14:paraId="059AFC8F" w14:textId="77777777" w:rsidTr="00716083">
        <w:tc>
          <w:tcPr>
            <w:tcW w:w="2459" w:type="pct"/>
          </w:tcPr>
          <w:p w14:paraId="72D9F727" w14:textId="77777777" w:rsidR="00B6449D" w:rsidRPr="00855894" w:rsidRDefault="00B6449D" w:rsidP="00716083">
            <w:pPr>
              <w:widowControl w:val="0"/>
              <w:overflowPunct w:val="0"/>
              <w:autoSpaceDE w:val="0"/>
              <w:autoSpaceDN w:val="0"/>
              <w:adjustRightInd w:val="0"/>
              <w:spacing w:after="0" w:line="240" w:lineRule="auto"/>
              <w:jc w:val="both"/>
              <w:rPr>
                <w:rFonts w:ascii="Times New Roman" w:hAnsi="Times New Roman"/>
                <w:iCs/>
                <w:sz w:val="20"/>
                <w:szCs w:val="20"/>
              </w:rPr>
            </w:pPr>
            <w:r w:rsidRPr="001C0516">
              <w:rPr>
                <w:rFonts w:ascii="Times New Roman" w:eastAsia="Calibri" w:hAnsi="Times New Roman"/>
                <w:b/>
                <w:sz w:val="20"/>
                <w:szCs w:val="20"/>
                <w:lang w:val="en-IN" w:bidi="hi-IN"/>
              </w:rPr>
              <w:t>Direct Tax</w:t>
            </w:r>
          </w:p>
        </w:tc>
        <w:tc>
          <w:tcPr>
            <w:tcW w:w="1121" w:type="pct"/>
            <w:shd w:val="clear" w:color="auto" w:fill="auto"/>
          </w:tcPr>
          <w:p w14:paraId="2EEB7C85" w14:textId="77777777" w:rsidR="00B6449D" w:rsidRPr="00855894" w:rsidRDefault="00B6449D" w:rsidP="00716083">
            <w:pPr>
              <w:widowControl w:val="0"/>
              <w:adjustRightInd w:val="0"/>
              <w:spacing w:after="0" w:line="240" w:lineRule="auto"/>
              <w:jc w:val="center"/>
              <w:textAlignment w:val="baseline"/>
              <w:rPr>
                <w:rFonts w:ascii="Times New Roman" w:hAnsi="Times New Roman"/>
                <w:sz w:val="20"/>
                <w:szCs w:val="20"/>
              </w:rPr>
            </w:pPr>
          </w:p>
        </w:tc>
        <w:tc>
          <w:tcPr>
            <w:tcW w:w="1420" w:type="pct"/>
            <w:shd w:val="clear" w:color="auto" w:fill="auto"/>
          </w:tcPr>
          <w:p w14:paraId="1B14BCC8" w14:textId="77777777" w:rsidR="00B6449D" w:rsidRPr="00855894" w:rsidRDefault="00B6449D" w:rsidP="00716083">
            <w:pPr>
              <w:widowControl w:val="0"/>
              <w:adjustRightInd w:val="0"/>
              <w:spacing w:after="0" w:line="240" w:lineRule="auto"/>
              <w:jc w:val="center"/>
              <w:textAlignment w:val="baseline"/>
              <w:rPr>
                <w:rFonts w:ascii="Times New Roman" w:hAnsi="Times New Roman"/>
                <w:sz w:val="20"/>
                <w:szCs w:val="20"/>
              </w:rPr>
            </w:pPr>
          </w:p>
        </w:tc>
      </w:tr>
      <w:tr w:rsidR="00B6449D" w:rsidRPr="00CB2D76" w14:paraId="5A00333A" w14:textId="77777777" w:rsidTr="00716083">
        <w:tc>
          <w:tcPr>
            <w:tcW w:w="2459" w:type="pct"/>
          </w:tcPr>
          <w:p w14:paraId="25D79A65" w14:textId="77777777" w:rsidR="00B6449D" w:rsidRPr="00855894" w:rsidRDefault="00B6449D" w:rsidP="00716083">
            <w:pPr>
              <w:widowControl w:val="0"/>
              <w:overflowPunct w:val="0"/>
              <w:autoSpaceDE w:val="0"/>
              <w:autoSpaceDN w:val="0"/>
              <w:adjustRightInd w:val="0"/>
              <w:spacing w:after="0" w:line="240" w:lineRule="auto"/>
              <w:jc w:val="both"/>
              <w:rPr>
                <w:rFonts w:ascii="Times New Roman" w:hAnsi="Times New Roman"/>
                <w:iCs/>
                <w:sz w:val="20"/>
                <w:szCs w:val="20"/>
              </w:rPr>
            </w:pPr>
            <w:r w:rsidRPr="001C0516">
              <w:rPr>
                <w:rFonts w:ascii="Times New Roman" w:eastAsia="Calibri" w:hAnsi="Times New Roman"/>
                <w:bCs/>
                <w:sz w:val="20"/>
                <w:szCs w:val="20"/>
                <w:lang w:val="en-IN" w:bidi="hi-IN"/>
              </w:rPr>
              <w:t>Income Tax</w:t>
            </w:r>
          </w:p>
        </w:tc>
        <w:tc>
          <w:tcPr>
            <w:tcW w:w="1121" w:type="pct"/>
            <w:shd w:val="clear" w:color="auto" w:fill="auto"/>
          </w:tcPr>
          <w:p w14:paraId="5B4AE11E" w14:textId="77777777" w:rsidR="00B6449D" w:rsidRPr="00855894" w:rsidRDefault="00B6449D" w:rsidP="00716083">
            <w:pPr>
              <w:widowControl w:val="0"/>
              <w:adjustRightInd w:val="0"/>
              <w:spacing w:after="0" w:line="240" w:lineRule="auto"/>
              <w:jc w:val="center"/>
              <w:textAlignment w:val="baseline"/>
              <w:rPr>
                <w:rFonts w:ascii="Times New Roman" w:hAnsi="Times New Roman"/>
                <w:sz w:val="20"/>
                <w:szCs w:val="20"/>
              </w:rPr>
            </w:pPr>
            <w:r w:rsidRPr="001C0516">
              <w:rPr>
                <w:rFonts w:ascii="Times New Roman" w:eastAsia="Calibri" w:hAnsi="Times New Roman"/>
                <w:bCs/>
                <w:sz w:val="20"/>
                <w:szCs w:val="20"/>
                <w:lang w:val="en-IN" w:bidi="hi-IN"/>
              </w:rPr>
              <w:t>1</w:t>
            </w:r>
          </w:p>
        </w:tc>
        <w:tc>
          <w:tcPr>
            <w:tcW w:w="1420" w:type="pct"/>
            <w:shd w:val="clear" w:color="auto" w:fill="auto"/>
          </w:tcPr>
          <w:p w14:paraId="62AB203A" w14:textId="77777777" w:rsidR="00B6449D" w:rsidRPr="00855894" w:rsidRDefault="00B6449D" w:rsidP="00716083">
            <w:pPr>
              <w:widowControl w:val="0"/>
              <w:adjustRightInd w:val="0"/>
              <w:spacing w:after="0" w:line="240" w:lineRule="auto"/>
              <w:jc w:val="center"/>
              <w:textAlignment w:val="baseline"/>
              <w:rPr>
                <w:rFonts w:ascii="Times New Roman" w:hAnsi="Times New Roman"/>
                <w:sz w:val="20"/>
                <w:szCs w:val="20"/>
              </w:rPr>
            </w:pPr>
            <w:r w:rsidRPr="001C0516">
              <w:rPr>
                <w:rFonts w:ascii="Times New Roman" w:eastAsia="Calibri" w:hAnsi="Times New Roman"/>
                <w:bCs/>
                <w:sz w:val="20"/>
                <w:szCs w:val="20"/>
                <w:lang w:val="en-IN" w:bidi="hi-IN"/>
              </w:rPr>
              <w:t xml:space="preserve">Unascertainable </w:t>
            </w:r>
          </w:p>
        </w:tc>
      </w:tr>
      <w:tr w:rsidR="00B6449D" w:rsidRPr="00CB2D76" w14:paraId="351877E2" w14:textId="77777777" w:rsidTr="00716083">
        <w:tc>
          <w:tcPr>
            <w:tcW w:w="2459" w:type="pct"/>
          </w:tcPr>
          <w:p w14:paraId="54BA0FF6" w14:textId="77777777" w:rsidR="00B6449D" w:rsidRPr="00855894" w:rsidRDefault="00B6449D" w:rsidP="00716083">
            <w:pPr>
              <w:widowControl w:val="0"/>
              <w:overflowPunct w:val="0"/>
              <w:autoSpaceDE w:val="0"/>
              <w:autoSpaceDN w:val="0"/>
              <w:adjustRightInd w:val="0"/>
              <w:spacing w:after="0" w:line="240" w:lineRule="auto"/>
              <w:jc w:val="both"/>
              <w:rPr>
                <w:rFonts w:ascii="Times New Roman" w:hAnsi="Times New Roman"/>
                <w:iCs/>
                <w:sz w:val="20"/>
                <w:szCs w:val="20"/>
              </w:rPr>
            </w:pPr>
            <w:r w:rsidRPr="001C0516">
              <w:rPr>
                <w:rFonts w:ascii="Times New Roman" w:eastAsia="Calibri" w:hAnsi="Times New Roman"/>
                <w:bCs/>
                <w:sz w:val="20"/>
                <w:szCs w:val="20"/>
                <w:lang w:val="en-IN" w:bidi="hi-IN"/>
              </w:rPr>
              <w:t>TDS defaults</w:t>
            </w:r>
          </w:p>
        </w:tc>
        <w:tc>
          <w:tcPr>
            <w:tcW w:w="1121" w:type="pct"/>
            <w:shd w:val="clear" w:color="auto" w:fill="auto"/>
          </w:tcPr>
          <w:p w14:paraId="01032CAF" w14:textId="77777777" w:rsidR="00B6449D" w:rsidRPr="00855894" w:rsidRDefault="00B6449D" w:rsidP="00716083">
            <w:pPr>
              <w:widowControl w:val="0"/>
              <w:adjustRightInd w:val="0"/>
              <w:spacing w:after="0" w:line="240" w:lineRule="auto"/>
              <w:jc w:val="center"/>
              <w:textAlignment w:val="baseline"/>
              <w:rPr>
                <w:rFonts w:ascii="Times New Roman" w:hAnsi="Times New Roman"/>
                <w:sz w:val="20"/>
                <w:szCs w:val="20"/>
              </w:rPr>
            </w:pPr>
            <w:r w:rsidRPr="001C0516">
              <w:rPr>
                <w:rFonts w:ascii="Times New Roman" w:eastAsia="Calibri" w:hAnsi="Times New Roman"/>
                <w:bCs/>
                <w:sz w:val="20"/>
                <w:szCs w:val="20"/>
                <w:lang w:val="en-IN" w:bidi="hi-IN"/>
              </w:rPr>
              <w:t>2</w:t>
            </w:r>
          </w:p>
        </w:tc>
        <w:tc>
          <w:tcPr>
            <w:tcW w:w="1420" w:type="pct"/>
            <w:shd w:val="clear" w:color="auto" w:fill="auto"/>
          </w:tcPr>
          <w:p w14:paraId="71D5E0A8" w14:textId="77777777" w:rsidR="00B6449D" w:rsidRPr="00855894" w:rsidRDefault="00B6449D" w:rsidP="00716083">
            <w:pPr>
              <w:widowControl w:val="0"/>
              <w:adjustRightInd w:val="0"/>
              <w:spacing w:after="0" w:line="240" w:lineRule="auto"/>
              <w:jc w:val="center"/>
              <w:textAlignment w:val="baseline"/>
              <w:rPr>
                <w:rFonts w:ascii="Times New Roman" w:hAnsi="Times New Roman"/>
                <w:sz w:val="20"/>
                <w:szCs w:val="20"/>
              </w:rPr>
            </w:pPr>
            <w:r w:rsidRPr="001C0516">
              <w:rPr>
                <w:rFonts w:ascii="Times New Roman" w:eastAsia="Calibri" w:hAnsi="Times New Roman"/>
                <w:bCs/>
                <w:sz w:val="20"/>
                <w:szCs w:val="20"/>
                <w:lang w:val="en-IN" w:bidi="hi-IN"/>
              </w:rPr>
              <w:t>0.29</w:t>
            </w:r>
          </w:p>
        </w:tc>
      </w:tr>
      <w:tr w:rsidR="00B6449D" w:rsidRPr="00CB2D76" w14:paraId="5A8B3BD1" w14:textId="77777777" w:rsidTr="00716083">
        <w:tc>
          <w:tcPr>
            <w:tcW w:w="2459" w:type="pct"/>
          </w:tcPr>
          <w:p w14:paraId="06BBD8DF" w14:textId="77777777" w:rsidR="00B6449D" w:rsidRPr="00855894" w:rsidRDefault="00B6449D" w:rsidP="00716083">
            <w:pPr>
              <w:widowControl w:val="0"/>
              <w:overflowPunct w:val="0"/>
              <w:autoSpaceDE w:val="0"/>
              <w:autoSpaceDN w:val="0"/>
              <w:adjustRightInd w:val="0"/>
              <w:spacing w:after="0" w:line="240" w:lineRule="auto"/>
              <w:jc w:val="both"/>
              <w:rPr>
                <w:rFonts w:ascii="Times New Roman" w:eastAsia="Calibri" w:hAnsi="Times New Roman"/>
                <w:bCs/>
                <w:sz w:val="20"/>
                <w:szCs w:val="20"/>
                <w:lang w:val="en-IN" w:bidi="hi-IN"/>
              </w:rPr>
            </w:pPr>
            <w:r w:rsidRPr="001C0516">
              <w:rPr>
                <w:rFonts w:ascii="Times New Roman" w:eastAsia="Calibri" w:hAnsi="Times New Roman"/>
                <w:b/>
                <w:sz w:val="20"/>
                <w:szCs w:val="20"/>
                <w:lang w:val="en-IN" w:bidi="hi-IN"/>
              </w:rPr>
              <w:t>Indirect Tax</w:t>
            </w:r>
          </w:p>
        </w:tc>
        <w:tc>
          <w:tcPr>
            <w:tcW w:w="1121" w:type="pct"/>
            <w:shd w:val="clear" w:color="auto" w:fill="auto"/>
          </w:tcPr>
          <w:p w14:paraId="6F7B863A" w14:textId="77777777" w:rsidR="00B6449D" w:rsidRPr="00855894" w:rsidRDefault="00B6449D" w:rsidP="00716083">
            <w:pPr>
              <w:widowControl w:val="0"/>
              <w:adjustRightInd w:val="0"/>
              <w:spacing w:after="0" w:line="240" w:lineRule="auto"/>
              <w:jc w:val="center"/>
              <w:textAlignment w:val="baseline"/>
              <w:rPr>
                <w:rFonts w:ascii="Times New Roman" w:eastAsia="Calibri" w:hAnsi="Times New Roman"/>
                <w:bCs/>
                <w:sz w:val="20"/>
                <w:szCs w:val="20"/>
                <w:lang w:val="en-IN" w:bidi="hi-IN"/>
              </w:rPr>
            </w:pPr>
          </w:p>
        </w:tc>
        <w:tc>
          <w:tcPr>
            <w:tcW w:w="1420" w:type="pct"/>
            <w:shd w:val="clear" w:color="auto" w:fill="auto"/>
          </w:tcPr>
          <w:p w14:paraId="70D94725" w14:textId="77777777" w:rsidR="00B6449D" w:rsidRPr="00855894" w:rsidRDefault="00B6449D" w:rsidP="00716083">
            <w:pPr>
              <w:widowControl w:val="0"/>
              <w:adjustRightInd w:val="0"/>
              <w:spacing w:after="0" w:line="240" w:lineRule="auto"/>
              <w:jc w:val="center"/>
              <w:textAlignment w:val="baseline"/>
              <w:rPr>
                <w:rFonts w:ascii="Times New Roman" w:eastAsia="Calibri" w:hAnsi="Times New Roman"/>
                <w:bCs/>
                <w:sz w:val="20"/>
                <w:szCs w:val="20"/>
                <w:lang w:val="en-IN" w:bidi="hi-IN"/>
              </w:rPr>
            </w:pPr>
          </w:p>
        </w:tc>
      </w:tr>
      <w:tr w:rsidR="00B6449D" w:rsidRPr="00CB2D76" w14:paraId="79719094" w14:textId="77777777" w:rsidTr="00716083">
        <w:tc>
          <w:tcPr>
            <w:tcW w:w="2459" w:type="pct"/>
          </w:tcPr>
          <w:p w14:paraId="2A82B7FD" w14:textId="77777777" w:rsidR="00B6449D" w:rsidRPr="00855894" w:rsidRDefault="00B6449D" w:rsidP="00716083">
            <w:pPr>
              <w:widowControl w:val="0"/>
              <w:overflowPunct w:val="0"/>
              <w:autoSpaceDE w:val="0"/>
              <w:autoSpaceDN w:val="0"/>
              <w:adjustRightInd w:val="0"/>
              <w:spacing w:after="0" w:line="240" w:lineRule="auto"/>
              <w:jc w:val="both"/>
              <w:rPr>
                <w:rFonts w:ascii="Times New Roman" w:eastAsia="Calibri" w:hAnsi="Times New Roman"/>
                <w:bCs/>
                <w:sz w:val="20"/>
                <w:szCs w:val="20"/>
                <w:lang w:val="en-IN" w:bidi="hi-IN"/>
              </w:rPr>
            </w:pPr>
            <w:r w:rsidRPr="001C0516">
              <w:rPr>
                <w:rFonts w:ascii="Times New Roman" w:eastAsia="Calibri" w:hAnsi="Times New Roman"/>
                <w:bCs/>
                <w:sz w:val="20"/>
                <w:szCs w:val="20"/>
                <w:lang w:val="en-IN" w:bidi="hi-IN"/>
              </w:rPr>
              <w:t>VAT</w:t>
            </w:r>
          </w:p>
        </w:tc>
        <w:tc>
          <w:tcPr>
            <w:tcW w:w="1121" w:type="pct"/>
            <w:shd w:val="clear" w:color="auto" w:fill="auto"/>
          </w:tcPr>
          <w:p w14:paraId="73D9306F" w14:textId="77777777" w:rsidR="00B6449D" w:rsidRPr="00855894" w:rsidRDefault="00B6449D" w:rsidP="00716083">
            <w:pPr>
              <w:widowControl w:val="0"/>
              <w:adjustRightInd w:val="0"/>
              <w:spacing w:after="0" w:line="240" w:lineRule="auto"/>
              <w:jc w:val="center"/>
              <w:textAlignment w:val="baseline"/>
              <w:rPr>
                <w:rFonts w:ascii="Times New Roman" w:eastAsia="Calibri" w:hAnsi="Times New Roman"/>
                <w:bCs/>
                <w:sz w:val="20"/>
                <w:szCs w:val="20"/>
                <w:lang w:val="en-IN" w:bidi="hi-IN"/>
              </w:rPr>
            </w:pPr>
            <w:r w:rsidRPr="001C0516">
              <w:rPr>
                <w:rFonts w:ascii="Times New Roman" w:eastAsia="Calibri" w:hAnsi="Times New Roman"/>
                <w:bCs/>
                <w:sz w:val="20"/>
                <w:szCs w:val="20"/>
                <w:lang w:val="en-IN" w:bidi="hi-IN"/>
              </w:rPr>
              <w:t>1</w:t>
            </w:r>
          </w:p>
        </w:tc>
        <w:tc>
          <w:tcPr>
            <w:tcW w:w="1420" w:type="pct"/>
            <w:shd w:val="clear" w:color="auto" w:fill="auto"/>
          </w:tcPr>
          <w:p w14:paraId="6E24161F" w14:textId="77777777" w:rsidR="00B6449D" w:rsidRPr="00855894" w:rsidRDefault="00B6449D" w:rsidP="00716083">
            <w:pPr>
              <w:widowControl w:val="0"/>
              <w:adjustRightInd w:val="0"/>
              <w:spacing w:after="0" w:line="240" w:lineRule="auto"/>
              <w:jc w:val="center"/>
              <w:textAlignment w:val="baseline"/>
              <w:rPr>
                <w:rFonts w:ascii="Times New Roman" w:eastAsia="Calibri" w:hAnsi="Times New Roman"/>
                <w:bCs/>
                <w:sz w:val="20"/>
                <w:szCs w:val="20"/>
                <w:lang w:val="en-IN" w:bidi="hi-IN"/>
              </w:rPr>
            </w:pPr>
            <w:r w:rsidRPr="001C0516">
              <w:rPr>
                <w:rFonts w:ascii="Times New Roman" w:eastAsia="Calibri" w:hAnsi="Times New Roman"/>
                <w:bCs/>
                <w:sz w:val="20"/>
                <w:szCs w:val="20"/>
                <w:lang w:val="en-IN" w:bidi="hi-IN"/>
              </w:rPr>
              <w:t>26.54</w:t>
            </w:r>
          </w:p>
        </w:tc>
      </w:tr>
      <w:tr w:rsidR="00B6449D" w:rsidRPr="00CB2D76" w14:paraId="3C7E5CF5" w14:textId="77777777" w:rsidTr="00716083">
        <w:tc>
          <w:tcPr>
            <w:tcW w:w="2459" w:type="pct"/>
          </w:tcPr>
          <w:p w14:paraId="14C47E92" w14:textId="77777777" w:rsidR="00B6449D" w:rsidRPr="00855894" w:rsidRDefault="00B6449D" w:rsidP="00716083">
            <w:pPr>
              <w:widowControl w:val="0"/>
              <w:tabs>
                <w:tab w:val="center" w:pos="2463"/>
              </w:tabs>
              <w:overflowPunct w:val="0"/>
              <w:autoSpaceDE w:val="0"/>
              <w:autoSpaceDN w:val="0"/>
              <w:adjustRightInd w:val="0"/>
              <w:spacing w:after="0" w:line="240" w:lineRule="auto"/>
              <w:jc w:val="both"/>
              <w:rPr>
                <w:rFonts w:ascii="Times New Roman" w:eastAsia="Calibri" w:hAnsi="Times New Roman"/>
                <w:bCs/>
                <w:sz w:val="20"/>
                <w:szCs w:val="20"/>
                <w:lang w:val="en-IN" w:bidi="hi-IN"/>
              </w:rPr>
            </w:pPr>
            <w:r w:rsidRPr="001C0516">
              <w:rPr>
                <w:rFonts w:ascii="Times New Roman" w:eastAsia="Calibri" w:hAnsi="Times New Roman"/>
                <w:b/>
                <w:bCs/>
                <w:sz w:val="20"/>
                <w:szCs w:val="20"/>
                <w:lang w:val="en-IN" w:bidi="hi-IN"/>
              </w:rPr>
              <w:t>Total</w:t>
            </w:r>
            <w:r>
              <w:rPr>
                <w:rFonts w:ascii="Times New Roman" w:eastAsia="Calibri" w:hAnsi="Times New Roman"/>
                <w:b/>
                <w:bCs/>
                <w:sz w:val="20"/>
                <w:szCs w:val="20"/>
                <w:lang w:val="en-IN" w:bidi="hi-IN"/>
              </w:rPr>
              <w:tab/>
            </w:r>
          </w:p>
        </w:tc>
        <w:tc>
          <w:tcPr>
            <w:tcW w:w="1121" w:type="pct"/>
            <w:shd w:val="clear" w:color="auto" w:fill="auto"/>
          </w:tcPr>
          <w:p w14:paraId="513863CE" w14:textId="77777777" w:rsidR="00B6449D" w:rsidRPr="00855894" w:rsidRDefault="00B6449D" w:rsidP="00716083">
            <w:pPr>
              <w:widowControl w:val="0"/>
              <w:adjustRightInd w:val="0"/>
              <w:spacing w:after="0" w:line="240" w:lineRule="auto"/>
              <w:jc w:val="center"/>
              <w:textAlignment w:val="baseline"/>
              <w:rPr>
                <w:rFonts w:ascii="Times New Roman" w:eastAsia="Calibri" w:hAnsi="Times New Roman"/>
                <w:bCs/>
                <w:sz w:val="20"/>
                <w:szCs w:val="20"/>
                <w:lang w:val="en-IN" w:bidi="hi-IN"/>
              </w:rPr>
            </w:pPr>
            <w:r>
              <w:rPr>
                <w:rFonts w:ascii="Times New Roman" w:eastAsia="Calibri" w:hAnsi="Times New Roman"/>
                <w:b/>
                <w:bCs/>
                <w:sz w:val="20"/>
                <w:szCs w:val="20"/>
                <w:lang w:val="en-IN" w:bidi="hi-IN"/>
              </w:rPr>
              <w:t>5</w:t>
            </w:r>
          </w:p>
        </w:tc>
        <w:tc>
          <w:tcPr>
            <w:tcW w:w="1420" w:type="pct"/>
            <w:shd w:val="clear" w:color="auto" w:fill="auto"/>
          </w:tcPr>
          <w:p w14:paraId="7B59BB96" w14:textId="77777777" w:rsidR="00B6449D" w:rsidRPr="00855894" w:rsidRDefault="00B6449D" w:rsidP="00716083">
            <w:pPr>
              <w:widowControl w:val="0"/>
              <w:adjustRightInd w:val="0"/>
              <w:spacing w:after="0" w:line="240" w:lineRule="auto"/>
              <w:jc w:val="center"/>
              <w:textAlignment w:val="baseline"/>
              <w:rPr>
                <w:rFonts w:ascii="Times New Roman" w:eastAsia="Calibri" w:hAnsi="Times New Roman"/>
                <w:bCs/>
                <w:sz w:val="20"/>
                <w:szCs w:val="20"/>
                <w:lang w:val="en-IN" w:bidi="hi-IN"/>
              </w:rPr>
            </w:pPr>
            <w:r>
              <w:rPr>
                <w:rFonts w:ascii="Times New Roman" w:eastAsia="Calibri" w:hAnsi="Times New Roman"/>
                <w:b/>
                <w:bCs/>
                <w:sz w:val="20"/>
                <w:szCs w:val="20"/>
                <w:lang w:val="en-IN" w:bidi="hi-IN"/>
              </w:rPr>
              <w:t>5</w:t>
            </w:r>
            <w:r w:rsidRPr="001C0516">
              <w:rPr>
                <w:rFonts w:ascii="Times New Roman" w:eastAsia="Calibri" w:hAnsi="Times New Roman"/>
                <w:b/>
                <w:bCs/>
                <w:sz w:val="20"/>
                <w:szCs w:val="20"/>
                <w:lang w:val="en-IN" w:bidi="hi-IN"/>
              </w:rPr>
              <w:t>6.83</w:t>
            </w:r>
          </w:p>
        </w:tc>
      </w:tr>
    </w:tbl>
    <w:p w14:paraId="56C0F965" w14:textId="77777777" w:rsidR="00B6449D" w:rsidRPr="00855894" w:rsidRDefault="00B6449D" w:rsidP="00B6449D">
      <w:pPr>
        <w:widowControl w:val="0"/>
        <w:adjustRightInd w:val="0"/>
        <w:spacing w:after="0" w:line="240" w:lineRule="auto"/>
        <w:contextualSpacing/>
        <w:jc w:val="both"/>
        <w:textAlignment w:val="baseline"/>
        <w:rPr>
          <w:rFonts w:ascii="Times New Roman" w:hAnsi="Times New Roman"/>
          <w:bCs/>
          <w:i/>
          <w:iCs/>
          <w:sz w:val="20"/>
          <w:szCs w:val="20"/>
          <w:lang w:val="x-none"/>
        </w:rPr>
      </w:pPr>
      <w:r w:rsidRPr="00855894">
        <w:rPr>
          <w:rFonts w:ascii="Times New Roman" w:hAnsi="Times New Roman"/>
          <w:bCs/>
          <w:i/>
          <w:iCs/>
          <w:sz w:val="20"/>
          <w:szCs w:val="20"/>
          <w:lang w:val="en-IN"/>
        </w:rPr>
        <w:t>*</w:t>
      </w:r>
      <w:r w:rsidRPr="00855894">
        <w:rPr>
          <w:rFonts w:ascii="Times New Roman" w:hAnsi="Times New Roman"/>
          <w:bCs/>
          <w:i/>
          <w:iCs/>
          <w:sz w:val="20"/>
          <w:szCs w:val="20"/>
          <w:lang w:val="x-none"/>
        </w:rPr>
        <w:t>To the extent quantifiable</w:t>
      </w:r>
    </w:p>
    <w:p w14:paraId="442C8217" w14:textId="77777777" w:rsidR="00B6449D" w:rsidRPr="00855894" w:rsidRDefault="00B6449D" w:rsidP="00B6449D">
      <w:pPr>
        <w:widowControl w:val="0"/>
        <w:adjustRightInd w:val="0"/>
        <w:spacing w:after="0" w:line="240" w:lineRule="auto"/>
        <w:contextualSpacing/>
        <w:jc w:val="both"/>
        <w:textAlignment w:val="baseline"/>
        <w:rPr>
          <w:rFonts w:ascii="Times New Roman" w:hAnsi="Times New Roman"/>
          <w:b/>
          <w:sz w:val="20"/>
          <w:szCs w:val="20"/>
        </w:rPr>
      </w:pPr>
    </w:p>
    <w:p w14:paraId="7A87837E" w14:textId="77777777" w:rsidR="00B6449D" w:rsidRPr="00855894" w:rsidRDefault="00B6449D" w:rsidP="00B6449D">
      <w:pPr>
        <w:widowControl w:val="0"/>
        <w:adjustRightInd w:val="0"/>
        <w:spacing w:after="0" w:line="240" w:lineRule="auto"/>
        <w:contextualSpacing/>
        <w:jc w:val="both"/>
        <w:textAlignment w:val="baseline"/>
        <w:rPr>
          <w:rFonts w:ascii="Times New Roman" w:hAnsi="Times New Roman"/>
          <w:b/>
          <w:sz w:val="20"/>
          <w:szCs w:val="20"/>
        </w:rPr>
      </w:pPr>
      <w:r w:rsidRPr="00855894">
        <w:rPr>
          <w:rFonts w:ascii="Times New Roman" w:hAnsi="Times New Roman"/>
          <w:b/>
          <w:sz w:val="20"/>
          <w:szCs w:val="20"/>
        </w:rPr>
        <w:t>Litigations involving our Promoter &amp; Directors:-</w:t>
      </w:r>
    </w:p>
    <w:p w14:paraId="3BCC827E" w14:textId="77777777" w:rsidR="00B6449D" w:rsidRPr="00855894" w:rsidRDefault="00B6449D" w:rsidP="00B6449D">
      <w:pPr>
        <w:spacing w:after="0" w:line="240" w:lineRule="auto"/>
        <w:jc w:val="right"/>
        <w:rPr>
          <w:rFonts w:ascii="Times New Roman" w:eastAsia="MS Mincho" w:hAnsi="Times New Roman"/>
          <w:color w:val="000000"/>
          <w:sz w:val="20"/>
          <w:szCs w:val="20"/>
          <w:lang w:val="en-GB"/>
        </w:rPr>
      </w:pPr>
      <w:r w:rsidRPr="00855894">
        <w:rPr>
          <w:rFonts w:ascii="Times New Roman" w:hAnsi="Times New Roman"/>
          <w:b/>
          <w:bCs/>
          <w:iCs/>
          <w:sz w:val="20"/>
          <w:szCs w:val="20"/>
          <w:lang w:val="en-GB"/>
        </w:rPr>
        <w:t>(₹ in lakhs)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2"/>
        <w:gridCol w:w="2347"/>
        <w:gridCol w:w="2968"/>
      </w:tblGrid>
      <w:tr w:rsidR="00B6449D" w:rsidRPr="00855894" w14:paraId="13932112" w14:textId="77777777" w:rsidTr="00B6449D">
        <w:tc>
          <w:tcPr>
            <w:tcW w:w="2459" w:type="pct"/>
            <w:shd w:val="clear" w:color="auto" w:fill="D0CECE" w:themeFill="background2" w:themeFillShade="E6"/>
          </w:tcPr>
          <w:p w14:paraId="2FB6F038" w14:textId="77777777" w:rsidR="00B6449D" w:rsidRPr="00855894" w:rsidRDefault="00B6449D" w:rsidP="00716083">
            <w:pPr>
              <w:widowControl w:val="0"/>
              <w:tabs>
                <w:tab w:val="center" w:pos="1647"/>
                <w:tab w:val="right" w:pos="3294"/>
              </w:tabs>
              <w:adjustRightInd w:val="0"/>
              <w:spacing w:after="0" w:line="240" w:lineRule="auto"/>
              <w:textAlignment w:val="baseline"/>
              <w:rPr>
                <w:rFonts w:ascii="Times New Roman" w:hAnsi="Times New Roman"/>
                <w:b/>
                <w:sz w:val="20"/>
                <w:szCs w:val="20"/>
              </w:rPr>
            </w:pPr>
            <w:r w:rsidRPr="00855894">
              <w:rPr>
                <w:rFonts w:ascii="Times New Roman" w:hAnsi="Times New Roman"/>
                <w:b/>
                <w:sz w:val="20"/>
                <w:szCs w:val="20"/>
              </w:rPr>
              <w:tab/>
              <w:t>Nature of Cases</w:t>
            </w:r>
            <w:r w:rsidRPr="00855894">
              <w:rPr>
                <w:rFonts w:ascii="Times New Roman" w:hAnsi="Times New Roman"/>
                <w:b/>
                <w:sz w:val="20"/>
                <w:szCs w:val="20"/>
              </w:rPr>
              <w:tab/>
            </w:r>
          </w:p>
        </w:tc>
        <w:tc>
          <w:tcPr>
            <w:tcW w:w="1122" w:type="pct"/>
            <w:shd w:val="clear" w:color="auto" w:fill="D0CECE" w:themeFill="background2" w:themeFillShade="E6"/>
          </w:tcPr>
          <w:p w14:paraId="182A6305" w14:textId="77777777" w:rsidR="00B6449D" w:rsidRPr="00855894" w:rsidRDefault="00B6449D" w:rsidP="00716083">
            <w:pPr>
              <w:widowControl w:val="0"/>
              <w:adjustRightInd w:val="0"/>
              <w:spacing w:after="0" w:line="240" w:lineRule="auto"/>
              <w:jc w:val="center"/>
              <w:textAlignment w:val="baseline"/>
              <w:rPr>
                <w:rFonts w:ascii="Times New Roman" w:hAnsi="Times New Roman"/>
                <w:b/>
                <w:sz w:val="20"/>
                <w:szCs w:val="20"/>
              </w:rPr>
            </w:pPr>
            <w:r w:rsidRPr="00855894">
              <w:rPr>
                <w:rFonts w:ascii="Times New Roman" w:hAnsi="Times New Roman"/>
                <w:b/>
                <w:sz w:val="20"/>
                <w:szCs w:val="20"/>
              </w:rPr>
              <w:t>No. of Outstanding Cases</w:t>
            </w:r>
          </w:p>
        </w:tc>
        <w:tc>
          <w:tcPr>
            <w:tcW w:w="1419" w:type="pct"/>
            <w:shd w:val="clear" w:color="auto" w:fill="D0CECE" w:themeFill="background2" w:themeFillShade="E6"/>
          </w:tcPr>
          <w:p w14:paraId="2D258604" w14:textId="77777777" w:rsidR="00B6449D" w:rsidRPr="00855894" w:rsidRDefault="00B6449D" w:rsidP="00716083">
            <w:pPr>
              <w:widowControl w:val="0"/>
              <w:adjustRightInd w:val="0"/>
              <w:spacing w:after="0" w:line="240" w:lineRule="auto"/>
              <w:jc w:val="center"/>
              <w:textAlignment w:val="baseline"/>
              <w:rPr>
                <w:rFonts w:ascii="Times New Roman" w:hAnsi="Times New Roman"/>
                <w:b/>
                <w:sz w:val="20"/>
                <w:szCs w:val="20"/>
              </w:rPr>
            </w:pPr>
            <w:r w:rsidRPr="00855894">
              <w:rPr>
                <w:rFonts w:ascii="Times New Roman" w:hAnsi="Times New Roman"/>
                <w:b/>
                <w:iCs/>
                <w:sz w:val="20"/>
                <w:szCs w:val="20"/>
              </w:rPr>
              <w:t>Amount in dispute/demanded to the extent ascertainable</w:t>
            </w:r>
          </w:p>
        </w:tc>
      </w:tr>
      <w:tr w:rsidR="00B6449D" w:rsidRPr="00855894" w14:paraId="10D523D3" w14:textId="77777777" w:rsidTr="00B6449D">
        <w:tc>
          <w:tcPr>
            <w:tcW w:w="2459" w:type="pct"/>
            <w:shd w:val="clear" w:color="auto" w:fill="auto"/>
          </w:tcPr>
          <w:p w14:paraId="0E686C4F" w14:textId="77777777" w:rsidR="00B6449D" w:rsidRPr="00855894" w:rsidRDefault="00B6449D" w:rsidP="00716083">
            <w:pPr>
              <w:widowControl w:val="0"/>
              <w:overflowPunct w:val="0"/>
              <w:autoSpaceDE w:val="0"/>
              <w:autoSpaceDN w:val="0"/>
              <w:adjustRightInd w:val="0"/>
              <w:spacing w:after="0" w:line="240" w:lineRule="auto"/>
              <w:ind w:left="120"/>
              <w:jc w:val="both"/>
              <w:rPr>
                <w:rFonts w:ascii="Times New Roman" w:hAnsi="Times New Roman"/>
                <w:bCs/>
                <w:sz w:val="20"/>
                <w:szCs w:val="20"/>
              </w:rPr>
            </w:pPr>
            <w:r>
              <w:rPr>
                <w:rFonts w:ascii="Times New Roman" w:hAnsi="Times New Roman"/>
                <w:bCs/>
                <w:sz w:val="20"/>
                <w:szCs w:val="20"/>
              </w:rPr>
              <w:t>Criminal Proceedings against the Promoter &amp; Director</w:t>
            </w:r>
          </w:p>
        </w:tc>
        <w:tc>
          <w:tcPr>
            <w:tcW w:w="1122" w:type="pct"/>
            <w:shd w:val="clear" w:color="auto" w:fill="auto"/>
            <w:vAlign w:val="center"/>
          </w:tcPr>
          <w:p w14:paraId="570FD216" w14:textId="77777777" w:rsidR="00B6449D" w:rsidRPr="00855894" w:rsidRDefault="00B6449D" w:rsidP="00716083">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1</w:t>
            </w:r>
          </w:p>
        </w:tc>
        <w:tc>
          <w:tcPr>
            <w:tcW w:w="1419" w:type="pct"/>
            <w:shd w:val="clear" w:color="auto" w:fill="auto"/>
            <w:vAlign w:val="center"/>
          </w:tcPr>
          <w:p w14:paraId="14FB8976" w14:textId="77777777" w:rsidR="00B6449D" w:rsidRPr="00855894" w:rsidRDefault="00B6449D" w:rsidP="00716083">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Not determinable</w:t>
            </w:r>
          </w:p>
        </w:tc>
      </w:tr>
      <w:tr w:rsidR="00B6449D" w:rsidRPr="00855894" w14:paraId="40A64B33" w14:textId="77777777" w:rsidTr="00B6449D">
        <w:tc>
          <w:tcPr>
            <w:tcW w:w="2459" w:type="pct"/>
          </w:tcPr>
          <w:p w14:paraId="5BCC12B8" w14:textId="77777777" w:rsidR="00B6449D" w:rsidRPr="00855894" w:rsidRDefault="00B6449D" w:rsidP="00716083">
            <w:pPr>
              <w:widowControl w:val="0"/>
              <w:overflowPunct w:val="0"/>
              <w:autoSpaceDE w:val="0"/>
              <w:autoSpaceDN w:val="0"/>
              <w:adjustRightInd w:val="0"/>
              <w:spacing w:after="0" w:line="240" w:lineRule="auto"/>
              <w:ind w:left="120"/>
              <w:jc w:val="both"/>
              <w:rPr>
                <w:rFonts w:ascii="Times New Roman" w:hAnsi="Times New Roman"/>
                <w:bCs/>
                <w:iCs/>
                <w:sz w:val="20"/>
                <w:szCs w:val="20"/>
              </w:rPr>
            </w:pPr>
            <w:r w:rsidRPr="00855894">
              <w:rPr>
                <w:rFonts w:ascii="Times New Roman" w:hAnsi="Times New Roman"/>
                <w:bCs/>
                <w:iCs/>
                <w:sz w:val="20"/>
                <w:szCs w:val="20"/>
              </w:rPr>
              <w:t>Tax proceedings:</w:t>
            </w:r>
          </w:p>
        </w:tc>
        <w:tc>
          <w:tcPr>
            <w:tcW w:w="1122" w:type="pct"/>
            <w:shd w:val="clear" w:color="auto" w:fill="auto"/>
            <w:vAlign w:val="center"/>
          </w:tcPr>
          <w:p w14:paraId="3EF6F81B" w14:textId="77777777" w:rsidR="00B6449D" w:rsidRPr="00855894" w:rsidRDefault="00B6449D" w:rsidP="00716083">
            <w:pPr>
              <w:widowControl w:val="0"/>
              <w:overflowPunct w:val="0"/>
              <w:autoSpaceDE w:val="0"/>
              <w:autoSpaceDN w:val="0"/>
              <w:adjustRightInd w:val="0"/>
              <w:spacing w:after="0" w:line="240" w:lineRule="auto"/>
              <w:ind w:left="120"/>
              <w:jc w:val="center"/>
              <w:rPr>
                <w:rFonts w:ascii="Times New Roman" w:hAnsi="Times New Roman"/>
                <w:bCs/>
                <w:sz w:val="20"/>
                <w:szCs w:val="20"/>
              </w:rPr>
            </w:pPr>
          </w:p>
        </w:tc>
        <w:tc>
          <w:tcPr>
            <w:tcW w:w="1419" w:type="pct"/>
            <w:shd w:val="clear" w:color="auto" w:fill="auto"/>
            <w:vAlign w:val="center"/>
          </w:tcPr>
          <w:p w14:paraId="239906CA" w14:textId="77777777" w:rsidR="00B6449D" w:rsidRPr="00855894" w:rsidRDefault="00B6449D" w:rsidP="00716083">
            <w:pPr>
              <w:widowControl w:val="0"/>
              <w:overflowPunct w:val="0"/>
              <w:autoSpaceDE w:val="0"/>
              <w:autoSpaceDN w:val="0"/>
              <w:adjustRightInd w:val="0"/>
              <w:spacing w:after="0" w:line="240" w:lineRule="auto"/>
              <w:ind w:left="120"/>
              <w:jc w:val="center"/>
              <w:rPr>
                <w:rFonts w:ascii="Times New Roman" w:hAnsi="Times New Roman"/>
                <w:bCs/>
                <w:sz w:val="20"/>
                <w:szCs w:val="20"/>
              </w:rPr>
            </w:pPr>
          </w:p>
        </w:tc>
      </w:tr>
      <w:tr w:rsidR="00B6449D" w:rsidRPr="00855894" w14:paraId="39D49259" w14:textId="77777777" w:rsidTr="00B6449D">
        <w:tc>
          <w:tcPr>
            <w:tcW w:w="2459" w:type="pct"/>
          </w:tcPr>
          <w:p w14:paraId="469FB8DF" w14:textId="77777777" w:rsidR="00B6449D" w:rsidRPr="00855894" w:rsidRDefault="00B6449D" w:rsidP="00716083">
            <w:pPr>
              <w:widowControl w:val="0"/>
              <w:overflowPunct w:val="0"/>
              <w:autoSpaceDE w:val="0"/>
              <w:autoSpaceDN w:val="0"/>
              <w:adjustRightInd w:val="0"/>
              <w:spacing w:after="0" w:line="240" w:lineRule="auto"/>
              <w:ind w:left="120"/>
              <w:jc w:val="both"/>
              <w:rPr>
                <w:rFonts w:ascii="Times New Roman" w:hAnsi="Times New Roman"/>
                <w:bCs/>
                <w:iCs/>
                <w:sz w:val="20"/>
                <w:szCs w:val="20"/>
              </w:rPr>
            </w:pPr>
            <w:r w:rsidRPr="00855894">
              <w:rPr>
                <w:rFonts w:ascii="Times New Roman" w:hAnsi="Times New Roman"/>
                <w:b/>
                <w:bCs/>
                <w:sz w:val="20"/>
                <w:szCs w:val="20"/>
                <w:lang w:val="en-IN"/>
              </w:rPr>
              <w:t>Direct Tax</w:t>
            </w:r>
          </w:p>
        </w:tc>
        <w:tc>
          <w:tcPr>
            <w:tcW w:w="1122" w:type="pct"/>
            <w:shd w:val="clear" w:color="auto" w:fill="auto"/>
          </w:tcPr>
          <w:p w14:paraId="78841894" w14:textId="77777777" w:rsidR="00B6449D" w:rsidRPr="00855894" w:rsidRDefault="00B6449D" w:rsidP="00716083">
            <w:pPr>
              <w:widowControl w:val="0"/>
              <w:overflowPunct w:val="0"/>
              <w:autoSpaceDE w:val="0"/>
              <w:autoSpaceDN w:val="0"/>
              <w:adjustRightInd w:val="0"/>
              <w:spacing w:after="0" w:line="240" w:lineRule="auto"/>
              <w:ind w:left="120"/>
              <w:jc w:val="center"/>
              <w:rPr>
                <w:rFonts w:ascii="Times New Roman" w:hAnsi="Times New Roman"/>
                <w:bCs/>
                <w:sz w:val="20"/>
                <w:szCs w:val="20"/>
              </w:rPr>
            </w:pPr>
          </w:p>
        </w:tc>
        <w:tc>
          <w:tcPr>
            <w:tcW w:w="1419" w:type="pct"/>
            <w:shd w:val="clear" w:color="auto" w:fill="auto"/>
          </w:tcPr>
          <w:p w14:paraId="7EAFD03C" w14:textId="77777777" w:rsidR="00B6449D" w:rsidRPr="00855894" w:rsidRDefault="00B6449D" w:rsidP="00716083">
            <w:pPr>
              <w:widowControl w:val="0"/>
              <w:overflowPunct w:val="0"/>
              <w:autoSpaceDE w:val="0"/>
              <w:autoSpaceDN w:val="0"/>
              <w:adjustRightInd w:val="0"/>
              <w:spacing w:after="0" w:line="240" w:lineRule="auto"/>
              <w:ind w:left="120"/>
              <w:jc w:val="center"/>
              <w:rPr>
                <w:rFonts w:ascii="Times New Roman" w:hAnsi="Times New Roman"/>
                <w:bCs/>
                <w:sz w:val="20"/>
                <w:szCs w:val="20"/>
              </w:rPr>
            </w:pPr>
          </w:p>
        </w:tc>
      </w:tr>
      <w:tr w:rsidR="00B6449D" w:rsidRPr="00855894" w14:paraId="1FBB584E" w14:textId="77777777" w:rsidTr="00B6449D">
        <w:tc>
          <w:tcPr>
            <w:tcW w:w="2459" w:type="pct"/>
          </w:tcPr>
          <w:p w14:paraId="2AFF203F" w14:textId="77777777" w:rsidR="00B6449D" w:rsidRPr="00855894" w:rsidRDefault="00B6449D" w:rsidP="00716083">
            <w:pPr>
              <w:widowControl w:val="0"/>
              <w:overflowPunct w:val="0"/>
              <w:autoSpaceDE w:val="0"/>
              <w:autoSpaceDN w:val="0"/>
              <w:adjustRightInd w:val="0"/>
              <w:spacing w:after="0" w:line="240" w:lineRule="auto"/>
              <w:ind w:left="120"/>
              <w:jc w:val="both"/>
              <w:rPr>
                <w:rFonts w:ascii="Times New Roman" w:hAnsi="Times New Roman"/>
                <w:bCs/>
                <w:iCs/>
                <w:sz w:val="20"/>
                <w:szCs w:val="20"/>
              </w:rPr>
            </w:pPr>
            <w:r w:rsidRPr="00855894">
              <w:rPr>
                <w:rFonts w:ascii="Times New Roman" w:hAnsi="Times New Roman"/>
                <w:bCs/>
                <w:sz w:val="20"/>
                <w:szCs w:val="20"/>
                <w:lang w:val="en-IN"/>
              </w:rPr>
              <w:t>Income Tax</w:t>
            </w:r>
          </w:p>
        </w:tc>
        <w:tc>
          <w:tcPr>
            <w:tcW w:w="1122" w:type="pct"/>
            <w:shd w:val="clear" w:color="auto" w:fill="auto"/>
          </w:tcPr>
          <w:p w14:paraId="1884E868" w14:textId="77777777" w:rsidR="00B6449D" w:rsidRPr="00855894" w:rsidRDefault="00B6449D" w:rsidP="00716083">
            <w:pPr>
              <w:widowControl w:val="0"/>
              <w:overflowPunct w:val="0"/>
              <w:autoSpaceDE w:val="0"/>
              <w:autoSpaceDN w:val="0"/>
              <w:adjustRightInd w:val="0"/>
              <w:spacing w:after="0" w:line="240" w:lineRule="auto"/>
              <w:ind w:left="120"/>
              <w:jc w:val="center"/>
              <w:rPr>
                <w:rFonts w:ascii="Times New Roman" w:hAnsi="Times New Roman"/>
                <w:bCs/>
                <w:sz w:val="20"/>
                <w:szCs w:val="20"/>
              </w:rPr>
            </w:pPr>
            <w:r>
              <w:rPr>
                <w:rFonts w:ascii="Times New Roman" w:hAnsi="Times New Roman"/>
                <w:bCs/>
                <w:sz w:val="20"/>
                <w:szCs w:val="20"/>
                <w:lang w:val="en-IN"/>
              </w:rPr>
              <w:t>10</w:t>
            </w:r>
          </w:p>
        </w:tc>
        <w:tc>
          <w:tcPr>
            <w:tcW w:w="1419" w:type="pct"/>
            <w:shd w:val="clear" w:color="auto" w:fill="auto"/>
          </w:tcPr>
          <w:p w14:paraId="3DD49740" w14:textId="77777777" w:rsidR="00B6449D" w:rsidRPr="00855894" w:rsidRDefault="00B6449D" w:rsidP="00716083">
            <w:pPr>
              <w:widowControl w:val="0"/>
              <w:overflowPunct w:val="0"/>
              <w:autoSpaceDE w:val="0"/>
              <w:autoSpaceDN w:val="0"/>
              <w:adjustRightInd w:val="0"/>
              <w:spacing w:after="0" w:line="240" w:lineRule="auto"/>
              <w:ind w:left="120"/>
              <w:jc w:val="center"/>
              <w:rPr>
                <w:rFonts w:ascii="Times New Roman" w:hAnsi="Times New Roman"/>
                <w:bCs/>
                <w:sz w:val="20"/>
                <w:szCs w:val="20"/>
              </w:rPr>
            </w:pPr>
            <w:r w:rsidRPr="001C0516">
              <w:rPr>
                <w:rFonts w:ascii="Times New Roman" w:hAnsi="Times New Roman"/>
                <w:bCs/>
                <w:iCs/>
                <w:sz w:val="20"/>
                <w:szCs w:val="20"/>
                <w:lang w:bidi="en-US"/>
              </w:rPr>
              <w:t>714.98</w:t>
            </w:r>
          </w:p>
        </w:tc>
      </w:tr>
      <w:tr w:rsidR="00B6449D" w:rsidRPr="00855894" w14:paraId="52A3CFB2" w14:textId="77777777" w:rsidTr="00B6449D">
        <w:tc>
          <w:tcPr>
            <w:tcW w:w="2459" w:type="pct"/>
          </w:tcPr>
          <w:p w14:paraId="71376AF2" w14:textId="77777777" w:rsidR="00B6449D" w:rsidRPr="00855894" w:rsidRDefault="00B6449D" w:rsidP="00716083">
            <w:pPr>
              <w:widowControl w:val="0"/>
              <w:overflowPunct w:val="0"/>
              <w:autoSpaceDE w:val="0"/>
              <w:autoSpaceDN w:val="0"/>
              <w:adjustRightInd w:val="0"/>
              <w:spacing w:after="0" w:line="240" w:lineRule="auto"/>
              <w:ind w:left="120"/>
              <w:jc w:val="both"/>
              <w:rPr>
                <w:rFonts w:ascii="Times New Roman" w:hAnsi="Times New Roman"/>
                <w:bCs/>
                <w:iCs/>
                <w:sz w:val="20"/>
                <w:szCs w:val="20"/>
              </w:rPr>
            </w:pPr>
            <w:r w:rsidRPr="00855894">
              <w:rPr>
                <w:rFonts w:ascii="Times New Roman" w:hAnsi="Times New Roman"/>
                <w:bCs/>
                <w:sz w:val="20"/>
                <w:szCs w:val="20"/>
                <w:lang w:val="en-IN"/>
              </w:rPr>
              <w:t>TDS defaults</w:t>
            </w:r>
          </w:p>
        </w:tc>
        <w:tc>
          <w:tcPr>
            <w:tcW w:w="1122" w:type="pct"/>
            <w:shd w:val="clear" w:color="auto" w:fill="auto"/>
          </w:tcPr>
          <w:p w14:paraId="760EB21C" w14:textId="77777777" w:rsidR="00B6449D" w:rsidRPr="00855894" w:rsidRDefault="00B6449D" w:rsidP="00716083">
            <w:pPr>
              <w:widowControl w:val="0"/>
              <w:overflowPunct w:val="0"/>
              <w:autoSpaceDE w:val="0"/>
              <w:autoSpaceDN w:val="0"/>
              <w:adjustRightInd w:val="0"/>
              <w:spacing w:after="0" w:line="240" w:lineRule="auto"/>
              <w:ind w:left="120"/>
              <w:jc w:val="center"/>
              <w:rPr>
                <w:rFonts w:ascii="Times New Roman" w:hAnsi="Times New Roman"/>
                <w:bCs/>
                <w:sz w:val="20"/>
                <w:szCs w:val="20"/>
              </w:rPr>
            </w:pPr>
            <w:r>
              <w:rPr>
                <w:rFonts w:ascii="Times New Roman" w:hAnsi="Times New Roman"/>
                <w:bCs/>
                <w:sz w:val="20"/>
                <w:szCs w:val="20"/>
              </w:rPr>
              <w:t>1</w:t>
            </w:r>
          </w:p>
        </w:tc>
        <w:tc>
          <w:tcPr>
            <w:tcW w:w="1419" w:type="pct"/>
            <w:shd w:val="clear" w:color="auto" w:fill="auto"/>
          </w:tcPr>
          <w:p w14:paraId="2CD3C11A" w14:textId="77777777" w:rsidR="00B6449D" w:rsidRPr="00855894" w:rsidRDefault="00B6449D" w:rsidP="00716083">
            <w:pPr>
              <w:widowControl w:val="0"/>
              <w:overflowPunct w:val="0"/>
              <w:autoSpaceDE w:val="0"/>
              <w:autoSpaceDN w:val="0"/>
              <w:adjustRightInd w:val="0"/>
              <w:spacing w:after="0" w:line="240" w:lineRule="auto"/>
              <w:ind w:left="120"/>
              <w:jc w:val="center"/>
              <w:rPr>
                <w:rFonts w:ascii="Times New Roman" w:hAnsi="Times New Roman"/>
                <w:bCs/>
                <w:sz w:val="20"/>
                <w:szCs w:val="20"/>
              </w:rPr>
            </w:pPr>
            <w:r w:rsidRPr="001C0516">
              <w:rPr>
                <w:rFonts w:ascii="Times New Roman" w:hAnsi="Times New Roman"/>
                <w:bCs/>
                <w:iCs/>
                <w:sz w:val="20"/>
                <w:szCs w:val="20"/>
                <w:lang w:bidi="en-US"/>
              </w:rPr>
              <w:t>0.34</w:t>
            </w:r>
          </w:p>
        </w:tc>
      </w:tr>
      <w:tr w:rsidR="00B6449D" w:rsidRPr="00855894" w14:paraId="31D20F2D" w14:textId="77777777" w:rsidTr="00B6449D">
        <w:tc>
          <w:tcPr>
            <w:tcW w:w="2459" w:type="pct"/>
          </w:tcPr>
          <w:p w14:paraId="7163C3EA" w14:textId="77777777" w:rsidR="00B6449D" w:rsidRPr="00855894" w:rsidRDefault="00B6449D" w:rsidP="00716083">
            <w:pPr>
              <w:widowControl w:val="0"/>
              <w:overflowPunct w:val="0"/>
              <w:autoSpaceDE w:val="0"/>
              <w:autoSpaceDN w:val="0"/>
              <w:adjustRightInd w:val="0"/>
              <w:spacing w:after="0" w:line="240" w:lineRule="auto"/>
              <w:ind w:left="120"/>
              <w:jc w:val="both"/>
              <w:rPr>
                <w:rFonts w:ascii="Times New Roman" w:hAnsi="Times New Roman"/>
                <w:bCs/>
                <w:sz w:val="20"/>
                <w:szCs w:val="20"/>
                <w:lang w:val="en-IN"/>
              </w:rPr>
            </w:pPr>
            <w:r w:rsidRPr="00855894">
              <w:rPr>
                <w:rFonts w:ascii="Times New Roman" w:hAnsi="Times New Roman"/>
                <w:b/>
                <w:bCs/>
                <w:sz w:val="20"/>
                <w:szCs w:val="20"/>
                <w:lang w:val="en-IN"/>
              </w:rPr>
              <w:t>Indirect Tax</w:t>
            </w:r>
          </w:p>
        </w:tc>
        <w:tc>
          <w:tcPr>
            <w:tcW w:w="1122" w:type="pct"/>
            <w:shd w:val="clear" w:color="auto" w:fill="auto"/>
          </w:tcPr>
          <w:p w14:paraId="1B5FE990" w14:textId="77777777" w:rsidR="00B6449D" w:rsidRPr="00855894" w:rsidRDefault="00B6449D" w:rsidP="00716083">
            <w:pPr>
              <w:widowControl w:val="0"/>
              <w:overflowPunct w:val="0"/>
              <w:autoSpaceDE w:val="0"/>
              <w:autoSpaceDN w:val="0"/>
              <w:adjustRightInd w:val="0"/>
              <w:spacing w:after="0" w:line="240" w:lineRule="auto"/>
              <w:ind w:left="120"/>
              <w:jc w:val="center"/>
              <w:rPr>
                <w:rFonts w:ascii="Times New Roman" w:hAnsi="Times New Roman"/>
                <w:bCs/>
                <w:sz w:val="20"/>
                <w:szCs w:val="20"/>
                <w:lang w:val="en-IN"/>
              </w:rPr>
            </w:pPr>
          </w:p>
        </w:tc>
        <w:tc>
          <w:tcPr>
            <w:tcW w:w="1419" w:type="pct"/>
            <w:shd w:val="clear" w:color="auto" w:fill="auto"/>
          </w:tcPr>
          <w:p w14:paraId="498FEF09" w14:textId="77777777" w:rsidR="00B6449D" w:rsidRPr="00855894" w:rsidRDefault="00B6449D" w:rsidP="00716083">
            <w:pPr>
              <w:widowControl w:val="0"/>
              <w:overflowPunct w:val="0"/>
              <w:autoSpaceDE w:val="0"/>
              <w:autoSpaceDN w:val="0"/>
              <w:adjustRightInd w:val="0"/>
              <w:spacing w:after="0" w:line="240" w:lineRule="auto"/>
              <w:ind w:left="120"/>
              <w:jc w:val="center"/>
              <w:rPr>
                <w:rFonts w:ascii="Times New Roman" w:hAnsi="Times New Roman"/>
                <w:bCs/>
                <w:sz w:val="20"/>
                <w:szCs w:val="20"/>
                <w:lang w:val="en-IN"/>
              </w:rPr>
            </w:pPr>
          </w:p>
        </w:tc>
      </w:tr>
      <w:tr w:rsidR="00B6449D" w:rsidRPr="00855894" w14:paraId="60C65B34" w14:textId="77777777" w:rsidTr="00B6449D">
        <w:tc>
          <w:tcPr>
            <w:tcW w:w="2459" w:type="pct"/>
          </w:tcPr>
          <w:p w14:paraId="629D0232" w14:textId="77777777" w:rsidR="00B6449D" w:rsidRPr="00855894" w:rsidRDefault="00B6449D" w:rsidP="00716083">
            <w:pPr>
              <w:widowControl w:val="0"/>
              <w:overflowPunct w:val="0"/>
              <w:autoSpaceDE w:val="0"/>
              <w:autoSpaceDN w:val="0"/>
              <w:adjustRightInd w:val="0"/>
              <w:spacing w:after="0" w:line="240" w:lineRule="auto"/>
              <w:ind w:left="120"/>
              <w:jc w:val="both"/>
              <w:rPr>
                <w:rFonts w:ascii="Times New Roman" w:hAnsi="Times New Roman"/>
                <w:bCs/>
                <w:sz w:val="20"/>
                <w:szCs w:val="20"/>
                <w:lang w:val="en-IN"/>
              </w:rPr>
            </w:pPr>
            <w:r w:rsidRPr="001C0516">
              <w:rPr>
                <w:rFonts w:ascii="Times New Roman" w:hAnsi="Times New Roman"/>
                <w:bCs/>
                <w:iCs/>
                <w:sz w:val="20"/>
                <w:szCs w:val="20"/>
                <w:lang w:val="en-IN" w:bidi="en-US"/>
              </w:rPr>
              <w:t>Customs Duty</w:t>
            </w:r>
          </w:p>
        </w:tc>
        <w:tc>
          <w:tcPr>
            <w:tcW w:w="1122" w:type="pct"/>
            <w:shd w:val="clear" w:color="auto" w:fill="auto"/>
          </w:tcPr>
          <w:p w14:paraId="3C6A11A1" w14:textId="77777777" w:rsidR="00B6449D" w:rsidRPr="00855894" w:rsidRDefault="00B6449D" w:rsidP="00716083">
            <w:pPr>
              <w:widowControl w:val="0"/>
              <w:overflowPunct w:val="0"/>
              <w:autoSpaceDE w:val="0"/>
              <w:autoSpaceDN w:val="0"/>
              <w:adjustRightInd w:val="0"/>
              <w:spacing w:after="0" w:line="240" w:lineRule="auto"/>
              <w:ind w:left="120"/>
              <w:jc w:val="center"/>
              <w:rPr>
                <w:rFonts w:ascii="Times New Roman" w:hAnsi="Times New Roman"/>
                <w:bCs/>
                <w:sz w:val="20"/>
                <w:szCs w:val="20"/>
                <w:lang w:val="en-IN"/>
              </w:rPr>
            </w:pPr>
            <w:r>
              <w:rPr>
                <w:rFonts w:ascii="Times New Roman" w:hAnsi="Times New Roman"/>
                <w:bCs/>
                <w:sz w:val="20"/>
                <w:szCs w:val="20"/>
                <w:lang w:val="en-IN"/>
              </w:rPr>
              <w:t>3</w:t>
            </w:r>
          </w:p>
        </w:tc>
        <w:tc>
          <w:tcPr>
            <w:tcW w:w="1419" w:type="pct"/>
            <w:shd w:val="clear" w:color="auto" w:fill="auto"/>
          </w:tcPr>
          <w:p w14:paraId="4C3322AE" w14:textId="75E36991" w:rsidR="00B6449D" w:rsidRPr="00855894" w:rsidRDefault="00B6449D" w:rsidP="00716083">
            <w:pPr>
              <w:widowControl w:val="0"/>
              <w:overflowPunct w:val="0"/>
              <w:autoSpaceDE w:val="0"/>
              <w:autoSpaceDN w:val="0"/>
              <w:adjustRightInd w:val="0"/>
              <w:spacing w:after="0" w:line="240" w:lineRule="auto"/>
              <w:ind w:left="120"/>
              <w:jc w:val="center"/>
              <w:rPr>
                <w:rFonts w:ascii="Times New Roman" w:hAnsi="Times New Roman"/>
                <w:bCs/>
                <w:sz w:val="20"/>
                <w:szCs w:val="20"/>
                <w:lang w:val="en-IN"/>
              </w:rPr>
            </w:pPr>
            <w:r>
              <w:rPr>
                <w:rFonts w:ascii="Times New Roman" w:hAnsi="Times New Roman"/>
                <w:bCs/>
                <w:iCs/>
                <w:sz w:val="20"/>
                <w:szCs w:val="20"/>
              </w:rPr>
              <w:t>12207.19</w:t>
            </w:r>
            <w:r>
              <w:rPr>
                <w:rFonts w:ascii="Times New Roman" w:hAnsi="Times New Roman"/>
                <w:bCs/>
                <w:iCs/>
                <w:sz w:val="20"/>
                <w:szCs w:val="20"/>
              </w:rPr>
              <w:t>*</w:t>
            </w:r>
          </w:p>
        </w:tc>
      </w:tr>
      <w:tr w:rsidR="00B6449D" w:rsidRPr="00855894" w14:paraId="7FECD991" w14:textId="77777777" w:rsidTr="00B6449D">
        <w:tc>
          <w:tcPr>
            <w:tcW w:w="2459" w:type="pct"/>
          </w:tcPr>
          <w:p w14:paraId="34A5CC9B" w14:textId="77777777" w:rsidR="00B6449D" w:rsidRPr="00855894" w:rsidRDefault="00B6449D" w:rsidP="00716083">
            <w:pPr>
              <w:widowControl w:val="0"/>
              <w:overflowPunct w:val="0"/>
              <w:autoSpaceDE w:val="0"/>
              <w:autoSpaceDN w:val="0"/>
              <w:adjustRightInd w:val="0"/>
              <w:spacing w:after="0" w:line="240" w:lineRule="auto"/>
              <w:ind w:left="120"/>
              <w:jc w:val="both"/>
              <w:rPr>
                <w:rFonts w:ascii="Times New Roman" w:hAnsi="Times New Roman"/>
                <w:bCs/>
                <w:sz w:val="20"/>
                <w:szCs w:val="20"/>
                <w:lang w:val="en-IN"/>
              </w:rPr>
            </w:pPr>
            <w:r w:rsidRPr="00855894">
              <w:rPr>
                <w:rFonts w:ascii="Times New Roman" w:hAnsi="Times New Roman"/>
                <w:b/>
                <w:bCs/>
                <w:sz w:val="20"/>
                <w:szCs w:val="20"/>
                <w:lang w:val="en-IN"/>
              </w:rPr>
              <w:t>Total</w:t>
            </w:r>
            <w:r w:rsidRPr="00855894">
              <w:rPr>
                <w:rFonts w:ascii="Times New Roman" w:hAnsi="Times New Roman"/>
                <w:b/>
                <w:bCs/>
                <w:sz w:val="20"/>
                <w:szCs w:val="20"/>
                <w:lang w:val="en-IN"/>
              </w:rPr>
              <w:tab/>
            </w:r>
          </w:p>
        </w:tc>
        <w:tc>
          <w:tcPr>
            <w:tcW w:w="1122" w:type="pct"/>
            <w:shd w:val="clear" w:color="auto" w:fill="auto"/>
          </w:tcPr>
          <w:p w14:paraId="57A733AB" w14:textId="77777777" w:rsidR="00B6449D" w:rsidRPr="00855894" w:rsidRDefault="00B6449D" w:rsidP="00716083">
            <w:pPr>
              <w:widowControl w:val="0"/>
              <w:overflowPunct w:val="0"/>
              <w:autoSpaceDE w:val="0"/>
              <w:autoSpaceDN w:val="0"/>
              <w:adjustRightInd w:val="0"/>
              <w:spacing w:after="0" w:line="240" w:lineRule="auto"/>
              <w:ind w:left="120"/>
              <w:jc w:val="center"/>
              <w:rPr>
                <w:rFonts w:ascii="Times New Roman" w:hAnsi="Times New Roman"/>
                <w:bCs/>
                <w:sz w:val="20"/>
                <w:szCs w:val="20"/>
                <w:lang w:val="en-IN"/>
              </w:rPr>
            </w:pPr>
            <w:r>
              <w:rPr>
                <w:rFonts w:ascii="Times New Roman" w:hAnsi="Times New Roman"/>
                <w:b/>
                <w:bCs/>
                <w:sz w:val="20"/>
                <w:szCs w:val="20"/>
                <w:lang w:val="en-IN"/>
              </w:rPr>
              <w:t>1</w:t>
            </w:r>
            <w:r w:rsidRPr="00855894">
              <w:rPr>
                <w:rFonts w:ascii="Times New Roman" w:hAnsi="Times New Roman"/>
                <w:b/>
                <w:bCs/>
                <w:sz w:val="20"/>
                <w:szCs w:val="20"/>
                <w:lang w:val="en-IN"/>
              </w:rPr>
              <w:t>5</w:t>
            </w:r>
          </w:p>
        </w:tc>
        <w:tc>
          <w:tcPr>
            <w:tcW w:w="1419" w:type="pct"/>
            <w:shd w:val="clear" w:color="auto" w:fill="auto"/>
          </w:tcPr>
          <w:p w14:paraId="44760D66" w14:textId="77777777" w:rsidR="00B6449D" w:rsidRPr="00855894" w:rsidRDefault="00B6449D" w:rsidP="00716083">
            <w:pPr>
              <w:widowControl w:val="0"/>
              <w:overflowPunct w:val="0"/>
              <w:autoSpaceDE w:val="0"/>
              <w:autoSpaceDN w:val="0"/>
              <w:adjustRightInd w:val="0"/>
              <w:spacing w:after="0" w:line="240" w:lineRule="auto"/>
              <w:ind w:left="120"/>
              <w:jc w:val="center"/>
              <w:rPr>
                <w:rFonts w:ascii="Times New Roman" w:hAnsi="Times New Roman"/>
                <w:bCs/>
                <w:sz w:val="20"/>
                <w:szCs w:val="20"/>
                <w:lang w:val="en-IN"/>
              </w:rPr>
            </w:pPr>
            <w:r>
              <w:rPr>
                <w:rFonts w:ascii="Times New Roman" w:hAnsi="Times New Roman"/>
                <w:b/>
                <w:bCs/>
                <w:sz w:val="20"/>
                <w:szCs w:val="20"/>
                <w:lang w:val="en-IN"/>
              </w:rPr>
              <w:t>12922.51</w:t>
            </w:r>
          </w:p>
        </w:tc>
      </w:tr>
    </w:tbl>
    <w:p w14:paraId="3B6476E3" w14:textId="77777777" w:rsidR="00A647CE" w:rsidRPr="00A647CE" w:rsidRDefault="00A647CE" w:rsidP="00A647CE">
      <w:pPr>
        <w:widowControl w:val="0"/>
        <w:adjustRightInd w:val="0"/>
        <w:spacing w:after="0" w:line="240" w:lineRule="auto"/>
        <w:contextualSpacing/>
        <w:jc w:val="both"/>
        <w:textAlignment w:val="baseline"/>
        <w:rPr>
          <w:rFonts w:ascii="Times New Roman" w:hAnsi="Times New Roman"/>
          <w:bCs/>
          <w:i/>
          <w:sz w:val="20"/>
          <w:szCs w:val="20"/>
        </w:rPr>
      </w:pPr>
      <w:r w:rsidRPr="00A647CE">
        <w:rPr>
          <w:rFonts w:ascii="Times New Roman" w:hAnsi="Times New Roman"/>
          <w:bCs/>
          <w:i/>
          <w:sz w:val="20"/>
          <w:szCs w:val="20"/>
        </w:rPr>
        <w:t xml:space="preserve">Amount mentioned to the extent quantifiable. The amount may be subject to additional interest/other charges being levied by the concerned authorities which are unascertainable as on date of this Draft </w:t>
      </w:r>
      <w:r w:rsidRPr="00A647CE">
        <w:rPr>
          <w:rFonts w:ascii="Times New Roman" w:hAnsi="Times New Roman"/>
          <w:bCs/>
          <w:i/>
          <w:iCs/>
          <w:sz w:val="20"/>
          <w:szCs w:val="20"/>
        </w:rPr>
        <w:t>Red Herring</w:t>
      </w:r>
      <w:r w:rsidRPr="00A647CE">
        <w:rPr>
          <w:rFonts w:ascii="Times New Roman" w:hAnsi="Times New Roman"/>
          <w:bCs/>
          <w:i/>
          <w:sz w:val="20"/>
          <w:szCs w:val="20"/>
        </w:rPr>
        <w:t xml:space="preserve"> Prospectus. For further details, please refer to the chapter titled </w:t>
      </w:r>
      <w:r w:rsidRPr="00A647CE">
        <w:rPr>
          <w:rFonts w:ascii="Times New Roman" w:hAnsi="Times New Roman"/>
          <w:b/>
          <w:bCs/>
          <w:i/>
          <w:sz w:val="20"/>
          <w:szCs w:val="20"/>
        </w:rPr>
        <w:t xml:space="preserve">“Outstanding Litigations and Material Developments” </w:t>
      </w:r>
      <w:r w:rsidRPr="00A647CE">
        <w:rPr>
          <w:rFonts w:ascii="Times New Roman" w:hAnsi="Times New Roman"/>
          <w:bCs/>
          <w:i/>
          <w:sz w:val="20"/>
          <w:szCs w:val="20"/>
        </w:rPr>
        <w:t xml:space="preserve">on page 185 of this Draft </w:t>
      </w:r>
      <w:r w:rsidRPr="00A647CE">
        <w:rPr>
          <w:rFonts w:ascii="Times New Roman" w:hAnsi="Times New Roman"/>
          <w:bCs/>
          <w:i/>
          <w:iCs/>
          <w:sz w:val="20"/>
          <w:szCs w:val="20"/>
        </w:rPr>
        <w:t>Red Herring</w:t>
      </w:r>
      <w:r w:rsidRPr="00A647CE">
        <w:rPr>
          <w:rFonts w:ascii="Times New Roman" w:hAnsi="Times New Roman"/>
          <w:bCs/>
          <w:i/>
          <w:sz w:val="20"/>
          <w:szCs w:val="20"/>
        </w:rPr>
        <w:t xml:space="preserve"> Prospectus.</w:t>
      </w:r>
    </w:p>
    <w:p w14:paraId="16AFEA30" w14:textId="77777777" w:rsidR="00B6449D" w:rsidRDefault="00B6449D" w:rsidP="00B6449D">
      <w:pPr>
        <w:widowControl w:val="0"/>
        <w:adjustRightInd w:val="0"/>
        <w:spacing w:after="0" w:line="240" w:lineRule="auto"/>
        <w:contextualSpacing/>
        <w:jc w:val="both"/>
        <w:textAlignment w:val="baseline"/>
        <w:rPr>
          <w:rFonts w:ascii="Times New Roman" w:hAnsi="Times New Roman"/>
          <w:bCs/>
          <w:sz w:val="20"/>
          <w:szCs w:val="20"/>
        </w:rPr>
      </w:pPr>
    </w:p>
    <w:p w14:paraId="3975BCBC" w14:textId="77777777" w:rsidR="00B6449D" w:rsidRPr="00B6449D" w:rsidRDefault="00B6449D" w:rsidP="00B6449D">
      <w:pPr>
        <w:widowControl w:val="0"/>
        <w:adjustRightInd w:val="0"/>
        <w:spacing w:after="0" w:line="240" w:lineRule="auto"/>
        <w:contextualSpacing/>
        <w:jc w:val="both"/>
        <w:textAlignment w:val="baseline"/>
        <w:rPr>
          <w:rFonts w:ascii="Times New Roman" w:hAnsi="Times New Roman"/>
          <w:bCs/>
          <w:iCs/>
          <w:sz w:val="20"/>
          <w:szCs w:val="20"/>
        </w:rPr>
      </w:pPr>
      <w:r>
        <w:rPr>
          <w:rFonts w:ascii="Times New Roman" w:hAnsi="Times New Roman"/>
          <w:bCs/>
          <w:sz w:val="20"/>
          <w:szCs w:val="20"/>
        </w:rPr>
        <w:t>*</w:t>
      </w:r>
      <w:r w:rsidRPr="001C0516">
        <w:rPr>
          <w:rFonts w:ascii="Times New Roman" w:hAnsi="Times New Roman"/>
          <w:bCs/>
          <w:iCs/>
          <w:sz w:val="20"/>
          <w:szCs w:val="20"/>
        </w:rPr>
        <w:t xml:space="preserve"> Show Cause Notice </w:t>
      </w:r>
      <w:r w:rsidRPr="001C0516">
        <w:rPr>
          <w:rFonts w:ascii="Times New Roman" w:hAnsi="Times New Roman"/>
          <w:b/>
          <w:bCs/>
          <w:iCs/>
          <w:sz w:val="20"/>
          <w:szCs w:val="20"/>
        </w:rPr>
        <w:t>(“SCN”)</w:t>
      </w:r>
      <w:r w:rsidRPr="001C0516">
        <w:rPr>
          <w:rFonts w:ascii="Times New Roman" w:hAnsi="Times New Roman"/>
          <w:bCs/>
          <w:iCs/>
          <w:sz w:val="20"/>
          <w:szCs w:val="20"/>
        </w:rPr>
        <w:t xml:space="preserve"> dated 29.09.2006 was issued by Directorate of Revenue Intelligence </w:t>
      </w:r>
      <w:r w:rsidRPr="001C0516">
        <w:rPr>
          <w:rFonts w:ascii="Times New Roman" w:hAnsi="Times New Roman"/>
          <w:b/>
          <w:bCs/>
          <w:iCs/>
          <w:sz w:val="20"/>
          <w:szCs w:val="20"/>
        </w:rPr>
        <w:t>(“DRI”)</w:t>
      </w:r>
      <w:r w:rsidRPr="001C0516">
        <w:rPr>
          <w:rFonts w:ascii="Times New Roman" w:hAnsi="Times New Roman"/>
          <w:bCs/>
          <w:iCs/>
          <w:sz w:val="20"/>
          <w:szCs w:val="20"/>
        </w:rPr>
        <w:t xml:space="preserve"> pursuant to the search conducted by official of DRI from 29.09.2004 to 30.09.2004 at the premises of Dwarkadhish Venture Private Limited (formerly known as Siyaram Metals Private Limited) </w:t>
      </w:r>
      <w:r w:rsidRPr="001C0516">
        <w:rPr>
          <w:rFonts w:ascii="Times New Roman" w:hAnsi="Times New Roman"/>
          <w:b/>
          <w:bCs/>
          <w:iCs/>
          <w:sz w:val="20"/>
          <w:szCs w:val="20"/>
        </w:rPr>
        <w:t>(“Company”)</w:t>
      </w:r>
      <w:r w:rsidRPr="001C0516">
        <w:rPr>
          <w:rFonts w:ascii="Times New Roman" w:hAnsi="Times New Roman"/>
          <w:bCs/>
          <w:i/>
          <w:iCs/>
          <w:sz w:val="20"/>
          <w:szCs w:val="20"/>
        </w:rPr>
        <w:t xml:space="preserve">. </w:t>
      </w:r>
      <w:r w:rsidRPr="001C0516">
        <w:rPr>
          <w:rFonts w:ascii="Times New Roman" w:hAnsi="Times New Roman"/>
          <w:bCs/>
          <w:iCs/>
          <w:sz w:val="20"/>
          <w:szCs w:val="20"/>
        </w:rPr>
        <w:t xml:space="preserve">The said SCN contained several charges on the Company as well our Promoter, Mr. Ramgopal Maheshwari, which inter-alia included undervaluation &amp; misdeclaration of imports, evasion of duty, fictitious CT-3 &amp; EEFC clearances, fake clearances to advance licence holders etc., pursuant to which it was sought from the Company that why custom duty amounting to Rs. 4221.97 lakhs along with various penalty and interest should not be recovered and confiscation of goods of value of Rs. 11617.96 lakhs should not be done, under the provisions of Customs Act, 1962 and Central Excise Act, 1944. </w:t>
      </w:r>
    </w:p>
    <w:p w14:paraId="74D6537B" w14:textId="77777777" w:rsidR="00B6449D" w:rsidRPr="00B6449D" w:rsidRDefault="00B6449D" w:rsidP="00B6449D">
      <w:pPr>
        <w:widowControl w:val="0"/>
        <w:adjustRightInd w:val="0"/>
        <w:spacing w:after="0" w:line="240" w:lineRule="auto"/>
        <w:contextualSpacing/>
        <w:jc w:val="both"/>
        <w:textAlignment w:val="baseline"/>
        <w:rPr>
          <w:rFonts w:ascii="Times New Roman" w:hAnsi="Times New Roman"/>
          <w:bCs/>
          <w:iCs/>
          <w:sz w:val="20"/>
          <w:szCs w:val="20"/>
        </w:rPr>
      </w:pPr>
    </w:p>
    <w:p w14:paraId="5D4D980F" w14:textId="77777777" w:rsidR="00B6449D" w:rsidRPr="00B6449D" w:rsidRDefault="00B6449D" w:rsidP="00B6449D">
      <w:pPr>
        <w:widowControl w:val="0"/>
        <w:adjustRightInd w:val="0"/>
        <w:spacing w:after="0" w:line="240" w:lineRule="auto"/>
        <w:contextualSpacing/>
        <w:jc w:val="both"/>
        <w:textAlignment w:val="baseline"/>
        <w:rPr>
          <w:rFonts w:ascii="Times New Roman" w:hAnsi="Times New Roman"/>
          <w:bCs/>
          <w:iCs/>
          <w:sz w:val="20"/>
          <w:szCs w:val="20"/>
        </w:rPr>
      </w:pPr>
      <w:r w:rsidRPr="00B6449D">
        <w:rPr>
          <w:rFonts w:ascii="Times New Roman" w:hAnsi="Times New Roman"/>
          <w:bCs/>
          <w:iCs/>
          <w:sz w:val="20"/>
          <w:szCs w:val="20"/>
        </w:rPr>
        <w:t xml:space="preserve">Though the aforesaid SCN was adjudicated vide order dated 31.03.2009 by Commissioner of Central Excise and Customs, Rajkot </w:t>
      </w:r>
      <w:r w:rsidRPr="00B6449D">
        <w:rPr>
          <w:rFonts w:ascii="Times New Roman" w:hAnsi="Times New Roman"/>
          <w:b/>
          <w:bCs/>
          <w:iCs/>
          <w:sz w:val="20"/>
          <w:szCs w:val="20"/>
        </w:rPr>
        <w:t xml:space="preserve">(“Department”) </w:t>
      </w:r>
      <w:r w:rsidRPr="00B6449D">
        <w:rPr>
          <w:rFonts w:ascii="Times New Roman" w:hAnsi="Times New Roman"/>
          <w:bCs/>
          <w:iCs/>
          <w:sz w:val="20"/>
          <w:szCs w:val="20"/>
        </w:rPr>
        <w:t xml:space="preserve">confirming the demand against the Company, however, the same was challenged by the Company before the Custom Excise &amp; Service Tax Appellate Tribunal, Ahmedabad </w:t>
      </w:r>
      <w:r w:rsidRPr="00B6449D">
        <w:rPr>
          <w:rFonts w:ascii="Times New Roman" w:hAnsi="Times New Roman"/>
          <w:b/>
          <w:bCs/>
          <w:iCs/>
          <w:sz w:val="20"/>
          <w:szCs w:val="20"/>
        </w:rPr>
        <w:t>(“CESTAT”)</w:t>
      </w:r>
      <w:r w:rsidRPr="00B6449D">
        <w:rPr>
          <w:rFonts w:ascii="Times New Roman" w:hAnsi="Times New Roman"/>
          <w:bCs/>
          <w:iCs/>
          <w:sz w:val="20"/>
          <w:szCs w:val="20"/>
        </w:rPr>
        <w:t xml:space="preserve">, which had set-aside the said order dated 31.03.2009 and remanded the matter for </w:t>
      </w:r>
      <w:r w:rsidRPr="00B6449D">
        <w:rPr>
          <w:rFonts w:ascii="Times New Roman" w:hAnsi="Times New Roman"/>
          <w:bCs/>
          <w:i/>
          <w:iCs/>
          <w:sz w:val="20"/>
          <w:szCs w:val="20"/>
        </w:rPr>
        <w:t>de-novo</w:t>
      </w:r>
      <w:r w:rsidRPr="00B6449D">
        <w:rPr>
          <w:rFonts w:ascii="Times New Roman" w:hAnsi="Times New Roman"/>
          <w:bCs/>
          <w:iCs/>
          <w:sz w:val="20"/>
          <w:szCs w:val="20"/>
        </w:rPr>
        <w:t xml:space="preserve"> adjudication on the ground of violation of principle of natural justice, vide order dated 12.08.2009.</w:t>
      </w:r>
    </w:p>
    <w:p w14:paraId="04CF5364" w14:textId="77777777" w:rsidR="00B6449D" w:rsidRPr="00B6449D" w:rsidRDefault="00B6449D" w:rsidP="00B6449D">
      <w:pPr>
        <w:widowControl w:val="0"/>
        <w:adjustRightInd w:val="0"/>
        <w:spacing w:after="0" w:line="240" w:lineRule="auto"/>
        <w:contextualSpacing/>
        <w:jc w:val="both"/>
        <w:textAlignment w:val="baseline"/>
        <w:rPr>
          <w:rFonts w:ascii="Times New Roman" w:hAnsi="Times New Roman"/>
          <w:bCs/>
          <w:iCs/>
          <w:sz w:val="20"/>
          <w:szCs w:val="20"/>
        </w:rPr>
      </w:pPr>
    </w:p>
    <w:p w14:paraId="20BED1F0" w14:textId="6C91847C" w:rsidR="00B6449D" w:rsidRPr="00B6449D" w:rsidRDefault="00B6449D" w:rsidP="00B6449D">
      <w:pPr>
        <w:widowControl w:val="0"/>
        <w:adjustRightInd w:val="0"/>
        <w:spacing w:after="0" w:line="240" w:lineRule="auto"/>
        <w:contextualSpacing/>
        <w:jc w:val="both"/>
        <w:textAlignment w:val="baseline"/>
        <w:rPr>
          <w:rFonts w:ascii="Times New Roman" w:hAnsi="Times New Roman"/>
          <w:bCs/>
          <w:i/>
          <w:iCs/>
          <w:sz w:val="20"/>
          <w:szCs w:val="20"/>
        </w:rPr>
      </w:pPr>
      <w:r w:rsidRPr="00B6449D">
        <w:rPr>
          <w:rFonts w:ascii="Times New Roman" w:hAnsi="Times New Roman"/>
          <w:bCs/>
          <w:iCs/>
          <w:sz w:val="20"/>
          <w:szCs w:val="20"/>
        </w:rPr>
        <w:t xml:space="preserve"> The proceedings in the SCN were thereafter adjudicated by Commissioner, Central GST and Central Excise vide its order dated 25.02.2020(issue date 28.02.2020) confirming the charges made in SCN and imposing total demand of Rs. 11357.19 lakhs (i.e. Rupees one hundred thirteen crores fifty seven lakhs and nineteen thousand) along with interest at appropriate rates and personal penalty of Rs. 850.00 lakhs on our Promoter, Mr. Ramgopal Maheshwari. The Company </w:t>
      </w:r>
      <w:r w:rsidR="00A647CE">
        <w:rPr>
          <w:rFonts w:ascii="Times New Roman" w:hAnsi="Times New Roman"/>
          <w:bCs/>
          <w:iCs/>
          <w:sz w:val="20"/>
          <w:szCs w:val="20"/>
        </w:rPr>
        <w:t xml:space="preserve">and Mr. Ramgopal Maheshwari </w:t>
      </w:r>
      <w:r w:rsidRPr="00B6449D">
        <w:rPr>
          <w:rFonts w:ascii="Times New Roman" w:hAnsi="Times New Roman"/>
          <w:bCs/>
          <w:iCs/>
          <w:sz w:val="20"/>
          <w:szCs w:val="20"/>
        </w:rPr>
        <w:t xml:space="preserve">challenged the aforesaid order by filing an appeal before CESTAT, Ahmedabad, however, the Company did not comply with the mandatory condition of pre-deposit. The Company also made civil application no. 6599/2021 with Gujarat High Court. The Gujarat High Court allowed the petition filed by the Company vide its order dated April 01, 2022 and stated in its order that </w:t>
      </w:r>
      <w:r w:rsidRPr="00B6449D">
        <w:rPr>
          <w:rFonts w:ascii="Times New Roman" w:hAnsi="Times New Roman"/>
          <w:bCs/>
          <w:i/>
          <w:iCs/>
          <w:sz w:val="20"/>
          <w:szCs w:val="20"/>
        </w:rPr>
        <w:t>“Show cause notice issued in each case by the DRI is quashed on the basis of the ratio laid down in M/s. Canon India (Supra) without entering into the merits of individual case. This would be subject to the outcome of review pending before the Apex Court in Commissioner of Customs Vs. M/s. Canon India Pvt. Ltd. [Review Petition (Civil) No. 400/2021 (Diary No. 9580/2021) filed on 07.04.2021]. Furthermore, this quashment shall not in any manner preclude the Revenue to initiate action on merit, if permissible under the law, by proper authority.”</w:t>
      </w:r>
    </w:p>
    <w:p w14:paraId="538896EA" w14:textId="77777777" w:rsidR="00B6449D" w:rsidRPr="00B6449D" w:rsidRDefault="00B6449D" w:rsidP="00B6449D">
      <w:pPr>
        <w:widowControl w:val="0"/>
        <w:adjustRightInd w:val="0"/>
        <w:spacing w:after="0" w:line="240" w:lineRule="auto"/>
        <w:contextualSpacing/>
        <w:jc w:val="both"/>
        <w:textAlignment w:val="baseline"/>
        <w:rPr>
          <w:rFonts w:ascii="Times New Roman" w:hAnsi="Times New Roman"/>
          <w:bCs/>
          <w:iCs/>
          <w:sz w:val="20"/>
          <w:szCs w:val="20"/>
        </w:rPr>
      </w:pPr>
    </w:p>
    <w:p w14:paraId="3A1267B9" w14:textId="77777777" w:rsidR="00B6449D" w:rsidRPr="00B6449D" w:rsidRDefault="00B6449D" w:rsidP="00B6449D">
      <w:pPr>
        <w:widowControl w:val="0"/>
        <w:adjustRightInd w:val="0"/>
        <w:spacing w:after="0" w:line="240" w:lineRule="auto"/>
        <w:contextualSpacing/>
        <w:jc w:val="both"/>
        <w:textAlignment w:val="baseline"/>
        <w:rPr>
          <w:rFonts w:ascii="Times New Roman" w:hAnsi="Times New Roman"/>
          <w:bCs/>
          <w:i/>
          <w:iCs/>
          <w:sz w:val="20"/>
          <w:szCs w:val="20"/>
        </w:rPr>
      </w:pPr>
      <w:r w:rsidRPr="00B6449D">
        <w:rPr>
          <w:rFonts w:ascii="Times New Roman" w:hAnsi="Times New Roman"/>
          <w:bCs/>
          <w:iCs/>
          <w:sz w:val="20"/>
          <w:szCs w:val="20"/>
        </w:rPr>
        <w:t xml:space="preserve">Further, the CESTAT vide its order dated September 22, 2022 delivered that “ </w:t>
      </w:r>
      <w:r w:rsidRPr="00B6449D">
        <w:rPr>
          <w:rFonts w:ascii="Times New Roman" w:hAnsi="Times New Roman"/>
          <w:bCs/>
          <w:i/>
          <w:iCs/>
          <w:sz w:val="20"/>
          <w:szCs w:val="20"/>
        </w:rPr>
        <w:t>the matter regarding pre-deposit is adjourned sine die. Both sides have liberty to mention as and when the Canon India judgement is delivered by the Hon’ble Supreme Court in the Review Petition.”</w:t>
      </w:r>
    </w:p>
    <w:p w14:paraId="6F220071" w14:textId="77777777" w:rsidR="00B6449D" w:rsidRPr="00B6449D" w:rsidRDefault="00B6449D" w:rsidP="00B6449D">
      <w:pPr>
        <w:widowControl w:val="0"/>
        <w:adjustRightInd w:val="0"/>
        <w:spacing w:after="0" w:line="240" w:lineRule="auto"/>
        <w:contextualSpacing/>
        <w:jc w:val="both"/>
        <w:textAlignment w:val="baseline"/>
        <w:rPr>
          <w:rFonts w:ascii="Times New Roman" w:hAnsi="Times New Roman"/>
          <w:bCs/>
          <w:iCs/>
          <w:sz w:val="20"/>
          <w:szCs w:val="20"/>
        </w:rPr>
      </w:pPr>
    </w:p>
    <w:p w14:paraId="0677DFE6" w14:textId="77777777" w:rsidR="00B6449D" w:rsidRPr="00B6449D" w:rsidRDefault="00B6449D" w:rsidP="00B6449D">
      <w:pPr>
        <w:widowControl w:val="0"/>
        <w:adjustRightInd w:val="0"/>
        <w:spacing w:after="0" w:line="240" w:lineRule="auto"/>
        <w:contextualSpacing/>
        <w:jc w:val="both"/>
        <w:textAlignment w:val="baseline"/>
        <w:rPr>
          <w:rFonts w:ascii="Times New Roman" w:hAnsi="Times New Roman"/>
          <w:bCs/>
          <w:iCs/>
          <w:sz w:val="20"/>
          <w:szCs w:val="20"/>
        </w:rPr>
      </w:pPr>
      <w:r w:rsidRPr="00B6449D">
        <w:rPr>
          <w:rFonts w:ascii="Times New Roman" w:hAnsi="Times New Roman"/>
          <w:bCs/>
          <w:iCs/>
          <w:sz w:val="20"/>
          <w:szCs w:val="20"/>
        </w:rPr>
        <w:t xml:space="preserve">The Union of India, Additional Director General Directorate of Revenue Intelligence, the Commissioner of CGST and Central Excise </w:t>
      </w:r>
      <w:r w:rsidRPr="00B6449D">
        <w:rPr>
          <w:rFonts w:ascii="Times New Roman" w:hAnsi="Times New Roman"/>
          <w:b/>
          <w:bCs/>
          <w:iCs/>
          <w:sz w:val="20"/>
          <w:szCs w:val="20"/>
        </w:rPr>
        <w:t>(“Petitioners”)</w:t>
      </w:r>
      <w:r w:rsidRPr="00B6449D">
        <w:rPr>
          <w:rFonts w:ascii="Times New Roman" w:hAnsi="Times New Roman"/>
          <w:bCs/>
          <w:iCs/>
          <w:sz w:val="20"/>
          <w:szCs w:val="20"/>
        </w:rPr>
        <w:t xml:space="preserve"> has filed special leave petition with Supreme Court of India against Dwarkadhish Venture Private Limited (formerly known as Siyaram Metals Private Limited) and our Promoter, Ramgopal Maheshwari </w:t>
      </w:r>
      <w:r w:rsidRPr="00B6449D">
        <w:rPr>
          <w:rFonts w:ascii="Times New Roman" w:hAnsi="Times New Roman"/>
          <w:b/>
          <w:bCs/>
          <w:iCs/>
          <w:sz w:val="20"/>
          <w:szCs w:val="20"/>
        </w:rPr>
        <w:t>(“Respondents”)</w:t>
      </w:r>
      <w:r w:rsidRPr="00B6449D">
        <w:rPr>
          <w:rFonts w:ascii="Times New Roman" w:hAnsi="Times New Roman"/>
          <w:bCs/>
          <w:iCs/>
          <w:sz w:val="20"/>
          <w:szCs w:val="20"/>
        </w:rPr>
        <w:t xml:space="preserve"> against the </w:t>
      </w:r>
      <w:r w:rsidRPr="00B6449D">
        <w:rPr>
          <w:rFonts w:ascii="Times New Roman" w:hAnsi="Times New Roman"/>
          <w:bCs/>
          <w:iCs/>
          <w:sz w:val="20"/>
          <w:szCs w:val="20"/>
        </w:rPr>
        <w:lastRenderedPageBreak/>
        <w:t xml:space="preserve">aforesaid order of Gujarat High Court along with an application for condonation of delay. The matter is yet to be heard by the SC on condonation of delay. </w:t>
      </w:r>
    </w:p>
    <w:p w14:paraId="3BA95DE2" w14:textId="77777777" w:rsidR="00B6449D" w:rsidRPr="005702DF" w:rsidRDefault="00B6449D" w:rsidP="00D55EC1">
      <w:pPr>
        <w:autoSpaceDE w:val="0"/>
        <w:autoSpaceDN w:val="0"/>
        <w:adjustRightInd w:val="0"/>
        <w:spacing w:after="0" w:line="240" w:lineRule="auto"/>
        <w:jc w:val="both"/>
        <w:rPr>
          <w:rFonts w:ascii="Times New Roman" w:hAnsi="Times New Roman"/>
          <w:sz w:val="20"/>
          <w:szCs w:val="20"/>
          <w:highlight w:val="yellow"/>
        </w:rPr>
      </w:pPr>
    </w:p>
    <w:p w14:paraId="03F71467" w14:textId="77777777" w:rsidR="00D55EC1" w:rsidRDefault="00D55EC1" w:rsidP="00D55EC1">
      <w:pPr>
        <w:widowControl w:val="0"/>
        <w:autoSpaceDE w:val="0"/>
        <w:autoSpaceDN w:val="0"/>
        <w:adjustRightInd w:val="0"/>
        <w:spacing w:after="0" w:line="240" w:lineRule="auto"/>
        <w:jc w:val="both"/>
        <w:textAlignment w:val="baseline"/>
        <w:rPr>
          <w:rFonts w:ascii="Times New Roman" w:hAnsi="Times New Roman"/>
          <w:sz w:val="20"/>
          <w:szCs w:val="20"/>
        </w:rPr>
      </w:pPr>
      <w:r w:rsidRPr="00B6449D">
        <w:rPr>
          <w:rFonts w:ascii="Times New Roman" w:hAnsi="Times New Roman"/>
          <w:sz w:val="20"/>
          <w:szCs w:val="20"/>
        </w:rPr>
        <w:t xml:space="preserve">We cannot assure you that any of these proceedings will be decided in favour of our Company, Directors or Promoters, or that no further liability will arise out of these proceedings. Any adverse decisions could impact our cashflows and profit or loss to the extent of demand amount, interest and penalty. Further, such proceedings could divert management time and attention, and consume financial resources in their defence or prosecution. An adverse outcome in any of these proceedings may also affect our reputation, standing and future business, and could have an adverse effect on our business, prospects, results of operations and financial condition, which could also adversely affect the trading price of our Equity Shares. For the details of the cases please refer the chapter titled </w:t>
      </w:r>
      <w:r w:rsidRPr="00B6449D">
        <w:rPr>
          <w:rFonts w:ascii="Times New Roman" w:hAnsi="Times New Roman"/>
          <w:b/>
          <w:i/>
          <w:sz w:val="20"/>
          <w:szCs w:val="20"/>
        </w:rPr>
        <w:t>“Outstanding Litigations and Material Developments”</w:t>
      </w:r>
      <w:r w:rsidRPr="00B6449D">
        <w:rPr>
          <w:rFonts w:ascii="Times New Roman" w:hAnsi="Times New Roman"/>
          <w:sz w:val="20"/>
          <w:szCs w:val="20"/>
        </w:rPr>
        <w:t xml:space="preserve"> on page 218 of this Draft Prospectus.</w:t>
      </w:r>
    </w:p>
    <w:p w14:paraId="38D65F54" w14:textId="77777777" w:rsidR="00D55EC1" w:rsidRDefault="00D55EC1" w:rsidP="00D55EC1">
      <w:pPr>
        <w:widowControl w:val="0"/>
        <w:autoSpaceDE w:val="0"/>
        <w:autoSpaceDN w:val="0"/>
        <w:adjustRightInd w:val="0"/>
        <w:spacing w:after="0" w:line="240" w:lineRule="auto"/>
        <w:jc w:val="both"/>
        <w:textAlignment w:val="baseline"/>
        <w:rPr>
          <w:rFonts w:ascii="Times New Roman" w:hAnsi="Times New Roman"/>
          <w:sz w:val="20"/>
          <w:szCs w:val="20"/>
        </w:rPr>
      </w:pPr>
    </w:p>
    <w:p w14:paraId="1313DDEE" w14:textId="2798BC6A" w:rsidR="00D55EC1" w:rsidRPr="00641801" w:rsidRDefault="00D55EC1" w:rsidP="00F038BD">
      <w:pPr>
        <w:pStyle w:val="ListParagraph"/>
        <w:numPr>
          <w:ilvl w:val="0"/>
          <w:numId w:val="150"/>
        </w:numPr>
        <w:spacing w:line="240" w:lineRule="auto"/>
        <w:contextualSpacing/>
        <w:jc w:val="both"/>
        <w:rPr>
          <w:b/>
          <w:bCs/>
          <w:i/>
          <w:iCs/>
          <w:sz w:val="20"/>
          <w:szCs w:val="20"/>
        </w:rPr>
      </w:pPr>
      <w:r>
        <w:rPr>
          <w:b/>
          <w:bCs/>
          <w:i/>
          <w:iCs/>
          <w:sz w:val="20"/>
          <w:szCs w:val="20"/>
          <w:lang w:val="en-US"/>
        </w:rPr>
        <w:t>Our cost of production is exposed to fluctuations in the prices of our raw material and thus a</w:t>
      </w:r>
      <w:r w:rsidRPr="000866CA">
        <w:rPr>
          <w:b/>
          <w:bCs/>
          <w:i/>
          <w:iCs/>
          <w:sz w:val="20"/>
          <w:szCs w:val="20"/>
          <w:lang w:val="en-US"/>
        </w:rPr>
        <w:t xml:space="preserve">ny disruption in the supply of the raw material or </w:t>
      </w:r>
      <w:r>
        <w:rPr>
          <w:b/>
          <w:bCs/>
          <w:i/>
          <w:iCs/>
          <w:sz w:val="20"/>
          <w:szCs w:val="20"/>
          <w:lang w:val="en-US"/>
        </w:rPr>
        <w:t>v</w:t>
      </w:r>
      <w:r w:rsidRPr="00641801">
        <w:rPr>
          <w:b/>
          <w:bCs/>
          <w:i/>
          <w:iCs/>
          <w:sz w:val="20"/>
          <w:szCs w:val="20"/>
        </w:rPr>
        <w:t>olatility in the supply and pricing of our raw material</w:t>
      </w:r>
      <w:r>
        <w:rPr>
          <w:b/>
          <w:bCs/>
          <w:i/>
          <w:iCs/>
          <w:sz w:val="20"/>
          <w:szCs w:val="20"/>
          <w:lang w:val="en-US"/>
        </w:rPr>
        <w:t xml:space="preserve"> could</w:t>
      </w:r>
      <w:r w:rsidRPr="00641801">
        <w:rPr>
          <w:b/>
          <w:bCs/>
          <w:i/>
          <w:iCs/>
          <w:sz w:val="20"/>
          <w:szCs w:val="20"/>
        </w:rPr>
        <w:t xml:space="preserve"> have an adverse effect on our business, cash flows, financial condition and results of operations. </w:t>
      </w:r>
    </w:p>
    <w:p w14:paraId="7C35A0B7" w14:textId="77777777" w:rsidR="00D55EC1" w:rsidRPr="00641801" w:rsidRDefault="00D55EC1" w:rsidP="00D55EC1">
      <w:pPr>
        <w:autoSpaceDE w:val="0"/>
        <w:autoSpaceDN w:val="0"/>
        <w:adjustRightInd w:val="0"/>
        <w:spacing w:after="0" w:line="240" w:lineRule="auto"/>
        <w:jc w:val="both"/>
        <w:rPr>
          <w:rFonts w:ascii="Times New Roman" w:hAnsi="Times New Roman"/>
          <w:b/>
          <w:bCs/>
          <w:i/>
          <w:iCs/>
          <w:sz w:val="20"/>
          <w:szCs w:val="20"/>
        </w:rPr>
      </w:pPr>
    </w:p>
    <w:p w14:paraId="30638198" w14:textId="3EF537D2" w:rsidR="00D55EC1" w:rsidRDefault="00D55EC1" w:rsidP="00D55EC1">
      <w:pPr>
        <w:autoSpaceDE w:val="0"/>
        <w:autoSpaceDN w:val="0"/>
        <w:adjustRightInd w:val="0"/>
        <w:spacing w:after="0" w:line="240" w:lineRule="auto"/>
        <w:jc w:val="both"/>
        <w:rPr>
          <w:rFonts w:ascii="Times New Roman" w:hAnsi="Times New Roman"/>
          <w:sz w:val="20"/>
          <w:szCs w:val="20"/>
        </w:rPr>
      </w:pPr>
      <w:r w:rsidRPr="00A40A5E">
        <w:rPr>
          <w:rFonts w:ascii="Times New Roman" w:hAnsi="Times New Roman"/>
          <w:sz w:val="20"/>
          <w:szCs w:val="20"/>
        </w:rPr>
        <w:t xml:space="preserve">The principal raw material used in our manufacturing process is brass scrap, which is mainly imported by us from USA, UK, Europe and Middle East. </w:t>
      </w:r>
      <w:r w:rsidRPr="00391DEF">
        <w:rPr>
          <w:rFonts w:ascii="Times New Roman" w:hAnsi="Times New Roman"/>
          <w:sz w:val="20"/>
          <w:szCs w:val="20"/>
        </w:rPr>
        <w:t>Our cost of raw materials consumed for Fiscal 2023 was ₹ 45,130.06 lakhs, which represented 91.57% of our revenue from operations.</w:t>
      </w:r>
      <w:r>
        <w:rPr>
          <w:rFonts w:ascii="Times New Roman" w:hAnsi="Times New Roman"/>
          <w:sz w:val="20"/>
          <w:szCs w:val="20"/>
        </w:rPr>
        <w:t xml:space="preserve"> The</w:t>
      </w:r>
      <w:r w:rsidRPr="00A40A5E">
        <w:rPr>
          <w:rFonts w:ascii="Times New Roman" w:hAnsi="Times New Roman"/>
          <w:sz w:val="20"/>
          <w:szCs w:val="20"/>
        </w:rPr>
        <w:t xml:space="preserve"> price of </w:t>
      </w:r>
      <w:r>
        <w:rPr>
          <w:rFonts w:ascii="Times New Roman" w:hAnsi="Times New Roman"/>
          <w:sz w:val="20"/>
          <w:szCs w:val="20"/>
        </w:rPr>
        <w:t>b</w:t>
      </w:r>
      <w:r w:rsidRPr="00A40A5E">
        <w:rPr>
          <w:rFonts w:ascii="Times New Roman" w:hAnsi="Times New Roman"/>
          <w:sz w:val="20"/>
          <w:szCs w:val="20"/>
        </w:rPr>
        <w:t xml:space="preserve">rass </w:t>
      </w:r>
      <w:r>
        <w:rPr>
          <w:rFonts w:ascii="Times New Roman" w:hAnsi="Times New Roman"/>
          <w:sz w:val="20"/>
          <w:szCs w:val="20"/>
        </w:rPr>
        <w:t xml:space="preserve">and brass scrap primarily depends </w:t>
      </w:r>
      <w:r w:rsidRPr="00A40A5E">
        <w:rPr>
          <w:rFonts w:ascii="Times New Roman" w:hAnsi="Times New Roman"/>
          <w:sz w:val="20"/>
          <w:szCs w:val="20"/>
        </w:rPr>
        <w:t>on the Copper price on London Metal Exchange</w:t>
      </w:r>
      <w:r>
        <w:rPr>
          <w:rFonts w:ascii="Times New Roman" w:hAnsi="Times New Roman"/>
          <w:sz w:val="20"/>
          <w:szCs w:val="20"/>
        </w:rPr>
        <w:t xml:space="preserve"> (LME)</w:t>
      </w:r>
      <w:r w:rsidRPr="00A40A5E">
        <w:rPr>
          <w:rFonts w:ascii="Times New Roman" w:hAnsi="Times New Roman"/>
          <w:sz w:val="20"/>
          <w:szCs w:val="20"/>
        </w:rPr>
        <w:t>.</w:t>
      </w:r>
      <w:r>
        <w:rPr>
          <w:rFonts w:ascii="Times New Roman" w:hAnsi="Times New Roman"/>
          <w:sz w:val="20"/>
          <w:szCs w:val="20"/>
        </w:rPr>
        <w:t xml:space="preserve"> </w:t>
      </w:r>
      <w:r w:rsidRPr="00FA6D7B">
        <w:rPr>
          <w:rFonts w:ascii="Times New Roman" w:hAnsi="Times New Roman"/>
          <w:sz w:val="20"/>
          <w:szCs w:val="20"/>
        </w:rPr>
        <w:t>Since we have long lead times in our supply chain due to high imports, the scrap markets and forex rate may fluctuate in the intervening time and we may not be able to adjust prices of our finished products against what we would have paid for our raw materials</w:t>
      </w:r>
      <w:r w:rsidRPr="00A40A5E">
        <w:rPr>
          <w:rFonts w:ascii="Times New Roman" w:hAnsi="Times New Roman"/>
          <w:sz w:val="20"/>
          <w:szCs w:val="20"/>
        </w:rPr>
        <w:t xml:space="preserve"> </w:t>
      </w:r>
      <w:r>
        <w:rPr>
          <w:rFonts w:ascii="Times New Roman" w:hAnsi="Times New Roman"/>
          <w:sz w:val="20"/>
          <w:szCs w:val="20"/>
        </w:rPr>
        <w:t xml:space="preserve">which </w:t>
      </w:r>
      <w:r w:rsidRPr="00FA6D7B">
        <w:rPr>
          <w:rFonts w:ascii="Times New Roman" w:hAnsi="Times New Roman"/>
          <w:sz w:val="20"/>
          <w:szCs w:val="20"/>
        </w:rPr>
        <w:t>exposes us to a significant risk of price and currency fluctuations.</w:t>
      </w:r>
      <w:r>
        <w:rPr>
          <w:rFonts w:ascii="Times New Roman" w:hAnsi="Times New Roman"/>
          <w:sz w:val="20"/>
          <w:szCs w:val="20"/>
        </w:rPr>
        <w:t xml:space="preserve"> </w:t>
      </w:r>
      <w:r w:rsidRPr="00832799">
        <w:rPr>
          <w:rFonts w:ascii="Times New Roman" w:hAnsi="Times New Roman"/>
          <w:sz w:val="20"/>
          <w:szCs w:val="20"/>
        </w:rPr>
        <w:t>The prices and supply of these raw materials are also affected by, among others, general economic conditions, competition, production costs and levels, the occurrence of pandemic (such as COVID-19), transportation costs, indirect taxes and import duties, tariffs and currency exchange rate.</w:t>
      </w:r>
    </w:p>
    <w:p w14:paraId="746F7A75" w14:textId="77777777" w:rsidR="00D55EC1" w:rsidRDefault="00D55EC1" w:rsidP="00D55EC1">
      <w:pPr>
        <w:autoSpaceDE w:val="0"/>
        <w:autoSpaceDN w:val="0"/>
        <w:adjustRightInd w:val="0"/>
        <w:spacing w:after="0" w:line="240" w:lineRule="auto"/>
        <w:jc w:val="both"/>
        <w:rPr>
          <w:rFonts w:ascii="Times New Roman" w:hAnsi="Times New Roman"/>
          <w:sz w:val="20"/>
          <w:szCs w:val="20"/>
        </w:rPr>
      </w:pPr>
    </w:p>
    <w:p w14:paraId="73B9DD53" w14:textId="77777777" w:rsidR="00D55EC1" w:rsidRDefault="00D55EC1" w:rsidP="00D55EC1">
      <w:pPr>
        <w:autoSpaceDE w:val="0"/>
        <w:autoSpaceDN w:val="0"/>
        <w:adjustRightInd w:val="0"/>
        <w:spacing w:after="0" w:line="240" w:lineRule="auto"/>
        <w:jc w:val="both"/>
        <w:rPr>
          <w:rFonts w:ascii="Times New Roman" w:hAnsi="Times New Roman"/>
          <w:sz w:val="20"/>
          <w:szCs w:val="20"/>
        </w:rPr>
      </w:pPr>
      <w:r w:rsidRPr="00832799">
        <w:rPr>
          <w:rFonts w:ascii="Times New Roman" w:hAnsi="Times New Roman"/>
          <w:sz w:val="20"/>
          <w:szCs w:val="20"/>
        </w:rPr>
        <w:t xml:space="preserve">We have in the past experienced cost fluctuations for </w:t>
      </w:r>
      <w:r>
        <w:rPr>
          <w:rFonts w:ascii="Times New Roman" w:hAnsi="Times New Roman"/>
          <w:sz w:val="20"/>
          <w:szCs w:val="20"/>
        </w:rPr>
        <w:t>brass scrap</w:t>
      </w:r>
      <w:r w:rsidRPr="00832799">
        <w:rPr>
          <w:rFonts w:ascii="Times New Roman" w:hAnsi="Times New Roman"/>
          <w:sz w:val="20"/>
          <w:szCs w:val="20"/>
        </w:rPr>
        <w:t xml:space="preserve"> due to volatility in the commodity markets. Increasing global demand for, and uncertain supply of, </w:t>
      </w:r>
      <w:r>
        <w:rPr>
          <w:rFonts w:ascii="Times New Roman" w:hAnsi="Times New Roman"/>
          <w:sz w:val="20"/>
          <w:szCs w:val="20"/>
        </w:rPr>
        <w:t>brass scrap</w:t>
      </w:r>
      <w:r w:rsidRPr="00832799">
        <w:rPr>
          <w:rFonts w:ascii="Times New Roman" w:hAnsi="Times New Roman"/>
          <w:sz w:val="20"/>
          <w:szCs w:val="20"/>
        </w:rPr>
        <w:t xml:space="preserve"> could disrupt our ability to obtain such materials in a timely manner and may lead to increased costs. In case of increase in raw material prices, there can be no assurance that we will be able to pass such cost increases to our customers. Any increase in the cost of inputs to our production could lead to higher costs for our products. If we increase the prices of our products to offset the impact of higher costs, this may cause certain of our customers to cancel orders or refrain from purchasing our products, which may materially and adversely reduce the demand for our products, and thus, negatively impact our operating results. If we are unable to pass on cost increases to our customers or are unsuccessful in managing the effects of raw material price fluctuations, our business, financial condition, results of operations and cash flows could be materially and adversely affected.</w:t>
      </w:r>
    </w:p>
    <w:p w14:paraId="32EA1FFA" w14:textId="77777777" w:rsidR="00D55EC1" w:rsidRPr="00832799" w:rsidRDefault="00D55EC1" w:rsidP="00D55EC1">
      <w:pPr>
        <w:autoSpaceDE w:val="0"/>
        <w:autoSpaceDN w:val="0"/>
        <w:adjustRightInd w:val="0"/>
        <w:spacing w:after="0" w:line="240" w:lineRule="auto"/>
        <w:jc w:val="both"/>
        <w:rPr>
          <w:rFonts w:ascii="Times New Roman" w:hAnsi="Times New Roman"/>
          <w:sz w:val="20"/>
          <w:szCs w:val="20"/>
        </w:rPr>
      </w:pPr>
      <w:r w:rsidRPr="00832799">
        <w:rPr>
          <w:rFonts w:ascii="Times New Roman" w:hAnsi="Times New Roman"/>
          <w:sz w:val="20"/>
          <w:szCs w:val="20"/>
        </w:rPr>
        <w:t>In addition, any restrictions, either from the Central or state governments of India, or from countries which we import from, on the import of our raw materials or any adverse change in policies by India or other countries, in terms of tariff and non-tariff barriers, may adversely affect our business, prospects, financial condition and results of operations. There can be no assurance that such restrictions/ regulations would not be made more stringent which would consequently restrict our ability to import raw materials from other jurisdictions. Further, there can be no assurance that, under these circumstances, we will be successful in identifying alternate suppliers for raw materials or we will be able to source the raw materials at favourable terms in a timely manner. Any restriction on import of raw materials could have an adverse effect on our ability to deliver products to our customers, business and results of operations.</w:t>
      </w:r>
    </w:p>
    <w:p w14:paraId="5AD993E2" w14:textId="77777777" w:rsidR="00D55EC1" w:rsidRDefault="00D55EC1" w:rsidP="00D55EC1">
      <w:pPr>
        <w:autoSpaceDE w:val="0"/>
        <w:autoSpaceDN w:val="0"/>
        <w:adjustRightInd w:val="0"/>
        <w:spacing w:after="0" w:line="240" w:lineRule="auto"/>
        <w:jc w:val="both"/>
        <w:rPr>
          <w:rFonts w:ascii="Times New Roman" w:hAnsi="Times New Roman"/>
          <w:sz w:val="20"/>
          <w:szCs w:val="20"/>
        </w:rPr>
      </w:pPr>
    </w:p>
    <w:p w14:paraId="680B2BAD" w14:textId="77777777" w:rsidR="00D55EC1" w:rsidRPr="009262DC" w:rsidRDefault="00D55EC1" w:rsidP="00F038BD">
      <w:pPr>
        <w:numPr>
          <w:ilvl w:val="0"/>
          <w:numId w:val="150"/>
        </w:numPr>
        <w:spacing w:after="0" w:line="240" w:lineRule="auto"/>
        <w:jc w:val="both"/>
        <w:rPr>
          <w:rFonts w:ascii="Times New Roman" w:eastAsia="MS Mincho" w:hAnsi="Times New Roman"/>
          <w:b/>
          <w:bCs/>
          <w:i/>
          <w:iCs/>
          <w:sz w:val="20"/>
          <w:szCs w:val="20"/>
        </w:rPr>
      </w:pPr>
      <w:r w:rsidRPr="009262DC">
        <w:rPr>
          <w:rFonts w:ascii="Times New Roman" w:eastAsia="MS Mincho" w:hAnsi="Times New Roman"/>
          <w:b/>
          <w:bCs/>
          <w:i/>
          <w:iCs/>
          <w:sz w:val="20"/>
          <w:szCs w:val="20"/>
        </w:rPr>
        <w:t>We are primarily dependent upon few key suppliers for procurement of raw materials. Any disruption in the supply of these raw materials or fluctuations in their prices could have a material adverse effect on our business operations and financial conditions.</w:t>
      </w:r>
    </w:p>
    <w:p w14:paraId="0F977F3E" w14:textId="77777777" w:rsidR="00D55EC1" w:rsidRDefault="00D55EC1" w:rsidP="00D55EC1">
      <w:pPr>
        <w:autoSpaceDE w:val="0"/>
        <w:autoSpaceDN w:val="0"/>
        <w:adjustRightInd w:val="0"/>
        <w:spacing w:after="0" w:line="240" w:lineRule="auto"/>
        <w:jc w:val="both"/>
        <w:rPr>
          <w:rFonts w:ascii="Times New Roman" w:hAnsi="Times New Roman"/>
          <w:sz w:val="20"/>
          <w:szCs w:val="20"/>
        </w:rPr>
      </w:pPr>
    </w:p>
    <w:p w14:paraId="41F91682" w14:textId="77777777" w:rsidR="00D55EC1" w:rsidRDefault="00D55EC1" w:rsidP="00D55EC1">
      <w:pPr>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W</w:t>
      </w:r>
      <w:r w:rsidRPr="009262DC">
        <w:rPr>
          <w:rFonts w:ascii="Times New Roman" w:hAnsi="Times New Roman"/>
          <w:sz w:val="20"/>
          <w:szCs w:val="20"/>
        </w:rPr>
        <w:t>e procure a large portion of brass scrap from a few key suppliers, with whom we do not have any long-term supply contracts and therefore, we cannot assure you that we shall always have a steady supply of raw material at prices favourable to us. For the Fiscals 2023 and 2022, purchases from our top ten suppliers amounted to ₹ 306.15 crores and ₹ 215.32 crores respectively, and represented 63.86% and 55.90% of our total raw material purchases. Inadequate supply of brass scrap caused either by a sudden change in the prices or imposition of any new taxes or loss of any of our existing major vendors for any reason could have a material adverse effect on our business operations and profitability. If we cannot fully offset increases in the cost of raw materials, through increases in the prices for our products, we would experience lower margins and profitability, which would have a material adverse effect on our financial condition and results of operations. Our ability to remain competitive, maintain costs and profitability depend, in part, on our ability to source and maintain a stable and sufficient supply of raw materials at acceptable prices.</w:t>
      </w:r>
    </w:p>
    <w:p w14:paraId="0BE160C8" w14:textId="77777777" w:rsidR="00D55EC1" w:rsidRDefault="00D55EC1" w:rsidP="00D55EC1">
      <w:pPr>
        <w:autoSpaceDE w:val="0"/>
        <w:autoSpaceDN w:val="0"/>
        <w:adjustRightInd w:val="0"/>
        <w:spacing w:after="0" w:line="240" w:lineRule="auto"/>
        <w:jc w:val="both"/>
        <w:rPr>
          <w:rFonts w:ascii="Times New Roman" w:hAnsi="Times New Roman"/>
          <w:sz w:val="20"/>
          <w:szCs w:val="20"/>
        </w:rPr>
      </w:pPr>
    </w:p>
    <w:p w14:paraId="604A8D2E" w14:textId="77777777" w:rsidR="00D55EC1" w:rsidRPr="00641801" w:rsidRDefault="00D55EC1" w:rsidP="00D55EC1">
      <w:pPr>
        <w:autoSpaceDE w:val="0"/>
        <w:autoSpaceDN w:val="0"/>
        <w:adjustRightInd w:val="0"/>
        <w:spacing w:after="0" w:line="240" w:lineRule="auto"/>
        <w:jc w:val="both"/>
        <w:rPr>
          <w:rFonts w:ascii="Times New Roman" w:hAnsi="Times New Roman"/>
          <w:sz w:val="20"/>
          <w:szCs w:val="20"/>
        </w:rPr>
      </w:pPr>
      <w:r w:rsidRPr="00641801">
        <w:rPr>
          <w:rFonts w:ascii="Times New Roman" w:hAnsi="Times New Roman"/>
          <w:sz w:val="20"/>
          <w:szCs w:val="20"/>
        </w:rPr>
        <w:t xml:space="preserve">Further, discontinuation of such supply or a failure of these suppliers to adhere to the delivery schedule or the required quality could hamper our production schedule and therefore affect our business and results of operations. There can be no assurance that demand, capacity limitations or other problems experienced by our suppliers will not result in occasional shortages or delays in their supply of raw materials. If we were to experience a significant or prolonged shortage of raw materials from any of our suppliers, and we cannot procure the raw materials from other sources, we would be unable to meet our production schedules for our key products and to deliver such products to our customers in a timely manner, which would adversely affect our sales, margins and customer relations. Any delay in the supply or delivery of raw materials to us by our suppliers in may in turn delay our process of manufacture </w:t>
      </w:r>
      <w:r w:rsidRPr="00641801">
        <w:rPr>
          <w:rFonts w:ascii="Times New Roman" w:hAnsi="Times New Roman"/>
          <w:sz w:val="20"/>
          <w:szCs w:val="20"/>
        </w:rPr>
        <w:lastRenderedPageBreak/>
        <w:t>and delivery of products to our customers and this may have an adverse effect on our business, cash flows and results of operations. Additionally, our inability to predict market conditions may result in us placing supply orders for inadequate quantities of such raw materials. Therefore, we cannot assure you that we will be able to procure adequate supplies of raw materials in the future, as and when we need them and on commercially acceptable terms.</w:t>
      </w:r>
    </w:p>
    <w:p w14:paraId="27170437" w14:textId="77777777" w:rsidR="00D55EC1" w:rsidRPr="00641801" w:rsidRDefault="00D55EC1" w:rsidP="00D55EC1">
      <w:pPr>
        <w:autoSpaceDE w:val="0"/>
        <w:autoSpaceDN w:val="0"/>
        <w:adjustRightInd w:val="0"/>
        <w:spacing w:after="0" w:line="240" w:lineRule="auto"/>
        <w:jc w:val="both"/>
        <w:rPr>
          <w:rFonts w:ascii="Times New Roman" w:hAnsi="Times New Roman"/>
          <w:sz w:val="20"/>
          <w:szCs w:val="20"/>
        </w:rPr>
      </w:pPr>
    </w:p>
    <w:p w14:paraId="3909780A" w14:textId="77777777" w:rsidR="00D55EC1" w:rsidRPr="00641801" w:rsidRDefault="00D55EC1" w:rsidP="00F038BD">
      <w:pPr>
        <w:pStyle w:val="ListParagraph"/>
        <w:numPr>
          <w:ilvl w:val="0"/>
          <w:numId w:val="150"/>
        </w:numPr>
        <w:spacing w:line="240" w:lineRule="auto"/>
        <w:contextualSpacing/>
        <w:jc w:val="both"/>
        <w:rPr>
          <w:b/>
          <w:bCs/>
          <w:i/>
          <w:iCs/>
          <w:sz w:val="20"/>
          <w:szCs w:val="20"/>
        </w:rPr>
      </w:pPr>
      <w:r w:rsidRPr="00641801">
        <w:rPr>
          <w:b/>
          <w:bCs/>
          <w:i/>
          <w:iCs/>
          <w:sz w:val="20"/>
          <w:szCs w:val="20"/>
        </w:rPr>
        <w:t xml:space="preserve">Substantial portion of our revenues has been dependent upon few customers, with which we do not have any firm commitments. The loss of any one or more of our major customer would have a material adverse effect on our business, cash flows, results of operations and financial condition. </w:t>
      </w:r>
    </w:p>
    <w:p w14:paraId="3B4EEB1B" w14:textId="77777777" w:rsidR="00D55EC1" w:rsidRPr="00641801" w:rsidRDefault="00D55EC1" w:rsidP="00D55EC1">
      <w:pPr>
        <w:tabs>
          <w:tab w:val="left" w:pos="0"/>
        </w:tabs>
        <w:spacing w:after="0" w:line="240" w:lineRule="auto"/>
        <w:jc w:val="both"/>
        <w:rPr>
          <w:rFonts w:ascii="Times New Roman" w:eastAsia="MS Mincho" w:hAnsi="Times New Roman"/>
          <w:sz w:val="20"/>
          <w:szCs w:val="20"/>
          <w:lang w:val="en-GB"/>
        </w:rPr>
      </w:pPr>
    </w:p>
    <w:p w14:paraId="5D9E2B9F" w14:textId="77777777" w:rsidR="00D55EC1" w:rsidRPr="00641801" w:rsidRDefault="00D55EC1" w:rsidP="00D55EC1">
      <w:pPr>
        <w:autoSpaceDE w:val="0"/>
        <w:autoSpaceDN w:val="0"/>
        <w:adjustRightInd w:val="0"/>
        <w:spacing w:after="0" w:line="240" w:lineRule="auto"/>
        <w:jc w:val="both"/>
        <w:rPr>
          <w:rFonts w:ascii="Times New Roman" w:hAnsi="Times New Roman"/>
          <w:sz w:val="20"/>
          <w:szCs w:val="20"/>
        </w:rPr>
      </w:pPr>
      <w:r w:rsidRPr="00641801">
        <w:rPr>
          <w:rFonts w:ascii="Times New Roman" w:hAnsi="Times New Roman"/>
          <w:sz w:val="20"/>
          <w:szCs w:val="20"/>
        </w:rPr>
        <w:t>The substantial portion of our revenues has been dependent upon few customers. For instance, o</w:t>
      </w:r>
      <w:r w:rsidRPr="00641801">
        <w:rPr>
          <w:rFonts w:ascii="Times New Roman" w:eastAsia="MS Mincho" w:hAnsi="Times New Roman"/>
          <w:sz w:val="20"/>
          <w:szCs w:val="20"/>
          <w:lang w:val="en-GB"/>
        </w:rPr>
        <w:t xml:space="preserve">ur top </w:t>
      </w:r>
      <w:r>
        <w:rPr>
          <w:rFonts w:ascii="Times New Roman" w:eastAsia="MS Mincho" w:hAnsi="Times New Roman"/>
          <w:sz w:val="20"/>
          <w:szCs w:val="20"/>
          <w:lang w:val="en-GB"/>
        </w:rPr>
        <w:t>ten</w:t>
      </w:r>
      <w:r w:rsidRPr="00641801">
        <w:rPr>
          <w:rFonts w:ascii="Times New Roman" w:eastAsia="MS Mincho" w:hAnsi="Times New Roman"/>
          <w:sz w:val="20"/>
          <w:szCs w:val="20"/>
          <w:lang w:val="en-GB"/>
        </w:rPr>
        <w:t xml:space="preserve"> customers for the F.Y. ended March 31, 202</w:t>
      </w:r>
      <w:r>
        <w:rPr>
          <w:rFonts w:ascii="Times New Roman" w:eastAsia="MS Mincho" w:hAnsi="Times New Roman"/>
          <w:sz w:val="20"/>
          <w:szCs w:val="20"/>
          <w:lang w:val="en-GB"/>
        </w:rPr>
        <w:t>3</w:t>
      </w:r>
      <w:r w:rsidRPr="00641801">
        <w:rPr>
          <w:rFonts w:ascii="Times New Roman" w:eastAsia="MS Mincho" w:hAnsi="Times New Roman"/>
          <w:sz w:val="20"/>
          <w:szCs w:val="20"/>
          <w:lang w:val="en-GB"/>
        </w:rPr>
        <w:t xml:space="preserve"> and March 31, 202</w:t>
      </w:r>
      <w:r>
        <w:rPr>
          <w:rFonts w:ascii="Times New Roman" w:eastAsia="MS Mincho" w:hAnsi="Times New Roman"/>
          <w:sz w:val="20"/>
          <w:szCs w:val="20"/>
          <w:lang w:val="en-GB"/>
        </w:rPr>
        <w:t>2</w:t>
      </w:r>
      <w:r w:rsidRPr="00641801">
        <w:rPr>
          <w:rFonts w:ascii="Times New Roman" w:eastAsia="MS Mincho" w:hAnsi="Times New Roman"/>
          <w:sz w:val="20"/>
          <w:szCs w:val="20"/>
          <w:lang w:val="en-GB"/>
        </w:rPr>
        <w:t xml:space="preserve"> accounted for </w:t>
      </w:r>
      <w:r>
        <w:rPr>
          <w:rFonts w:ascii="Times New Roman" w:eastAsia="MS Mincho" w:hAnsi="Times New Roman"/>
          <w:sz w:val="20"/>
          <w:szCs w:val="20"/>
          <w:lang w:val="en-GB"/>
        </w:rPr>
        <w:t>48.70</w:t>
      </w:r>
      <w:r w:rsidRPr="00641801">
        <w:rPr>
          <w:rFonts w:ascii="Times New Roman" w:eastAsia="MS Mincho" w:hAnsi="Times New Roman"/>
          <w:sz w:val="20"/>
          <w:szCs w:val="20"/>
          <w:lang w:val="en-GB"/>
        </w:rPr>
        <w:t xml:space="preserve">% and </w:t>
      </w:r>
      <w:r>
        <w:rPr>
          <w:rFonts w:ascii="Times New Roman" w:eastAsia="MS Mincho" w:hAnsi="Times New Roman"/>
          <w:sz w:val="20"/>
          <w:szCs w:val="20"/>
          <w:lang w:val="en-GB"/>
        </w:rPr>
        <w:t>42.01</w:t>
      </w:r>
      <w:r w:rsidRPr="00641801">
        <w:rPr>
          <w:rFonts w:ascii="Times New Roman" w:eastAsia="MS Mincho" w:hAnsi="Times New Roman"/>
          <w:sz w:val="20"/>
          <w:szCs w:val="20"/>
          <w:lang w:val="en-GB"/>
        </w:rPr>
        <w:t xml:space="preserve">% of our revenue from operations for the respective year. </w:t>
      </w:r>
      <w:r w:rsidRPr="00641801">
        <w:rPr>
          <w:rFonts w:ascii="Times New Roman" w:hAnsi="Times New Roman"/>
          <w:sz w:val="20"/>
          <w:szCs w:val="20"/>
        </w:rPr>
        <w:t xml:space="preserve">Our reliance on a limited number of customers for our business exposes us to risks, that may include, but are not limited to, reductions, delays or cancellation of orders from our significant customers, a failure to negotiate favourable terms with our key customers or the loss of these customers, all of which would have a material adverse effect on the business, financial condition, results of operations, cash flows and future prospects of our Company. </w:t>
      </w:r>
    </w:p>
    <w:p w14:paraId="17FC512D" w14:textId="77777777" w:rsidR="00D55EC1" w:rsidRPr="00641801" w:rsidRDefault="00D55EC1" w:rsidP="00D55EC1">
      <w:pPr>
        <w:autoSpaceDE w:val="0"/>
        <w:autoSpaceDN w:val="0"/>
        <w:adjustRightInd w:val="0"/>
        <w:spacing w:after="0" w:line="240" w:lineRule="auto"/>
        <w:jc w:val="both"/>
        <w:rPr>
          <w:rFonts w:ascii="Times New Roman" w:hAnsi="Times New Roman"/>
          <w:sz w:val="20"/>
          <w:szCs w:val="20"/>
        </w:rPr>
      </w:pPr>
    </w:p>
    <w:p w14:paraId="5F279F1E" w14:textId="573D790E" w:rsidR="00D55EC1" w:rsidRPr="00641801" w:rsidRDefault="00D55EC1" w:rsidP="00D55EC1">
      <w:pPr>
        <w:autoSpaceDE w:val="0"/>
        <w:autoSpaceDN w:val="0"/>
        <w:adjustRightInd w:val="0"/>
        <w:spacing w:after="0" w:line="240" w:lineRule="auto"/>
        <w:jc w:val="both"/>
        <w:rPr>
          <w:rFonts w:ascii="Times New Roman" w:hAnsi="Times New Roman"/>
          <w:sz w:val="20"/>
          <w:szCs w:val="20"/>
        </w:rPr>
      </w:pPr>
      <w:r w:rsidRPr="00641801">
        <w:rPr>
          <w:rFonts w:ascii="Times New Roman" w:hAnsi="Times New Roman"/>
          <w:sz w:val="20"/>
          <w:szCs w:val="20"/>
        </w:rPr>
        <w:t xml:space="preserve">The contribution of our top </w:t>
      </w:r>
      <w:r>
        <w:rPr>
          <w:rFonts w:ascii="Times New Roman" w:hAnsi="Times New Roman"/>
          <w:sz w:val="20"/>
          <w:szCs w:val="20"/>
        </w:rPr>
        <w:t>ten</w:t>
      </w:r>
      <w:r w:rsidRPr="00641801">
        <w:rPr>
          <w:rFonts w:ascii="Times New Roman" w:hAnsi="Times New Roman"/>
          <w:sz w:val="20"/>
          <w:szCs w:val="20"/>
        </w:rPr>
        <w:t xml:space="preserve"> customers in our sales as a percentage of the revenue from operations during Fiscal 202</w:t>
      </w:r>
      <w:r>
        <w:rPr>
          <w:rFonts w:ascii="Times New Roman" w:hAnsi="Times New Roman"/>
          <w:sz w:val="20"/>
          <w:szCs w:val="20"/>
        </w:rPr>
        <w:t>3</w:t>
      </w:r>
      <w:r w:rsidRPr="00641801">
        <w:rPr>
          <w:rFonts w:ascii="Times New Roman" w:hAnsi="Times New Roman"/>
          <w:sz w:val="20"/>
          <w:szCs w:val="20"/>
        </w:rPr>
        <w:t xml:space="preserve"> are disclosed hereunder: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
        <w:gridCol w:w="2592"/>
        <w:gridCol w:w="6136"/>
      </w:tblGrid>
      <w:tr w:rsidR="00D55EC1" w:rsidRPr="00641801" w14:paraId="59A76CB5" w14:textId="77777777" w:rsidTr="00D55EC1">
        <w:trPr>
          <w:jc w:val="center"/>
        </w:trPr>
        <w:tc>
          <w:tcPr>
            <w:tcW w:w="992" w:type="dxa"/>
            <w:shd w:val="clear" w:color="auto" w:fill="D0CECE" w:themeFill="background2" w:themeFillShade="E6"/>
          </w:tcPr>
          <w:p w14:paraId="0E1026FB" w14:textId="77777777" w:rsidR="00D55EC1" w:rsidRPr="00641801" w:rsidRDefault="00D55EC1" w:rsidP="00250DAC">
            <w:pPr>
              <w:autoSpaceDE w:val="0"/>
              <w:autoSpaceDN w:val="0"/>
              <w:adjustRightInd w:val="0"/>
              <w:spacing w:after="0"/>
              <w:jc w:val="both"/>
              <w:rPr>
                <w:rFonts w:ascii="Times New Roman" w:hAnsi="Times New Roman"/>
                <w:b/>
                <w:sz w:val="20"/>
                <w:szCs w:val="20"/>
              </w:rPr>
            </w:pPr>
            <w:r w:rsidRPr="00641801">
              <w:rPr>
                <w:rFonts w:ascii="Times New Roman" w:hAnsi="Times New Roman"/>
                <w:b/>
                <w:sz w:val="20"/>
                <w:szCs w:val="20"/>
              </w:rPr>
              <w:t>S. No.</w:t>
            </w:r>
          </w:p>
        </w:tc>
        <w:tc>
          <w:tcPr>
            <w:tcW w:w="2592" w:type="dxa"/>
            <w:shd w:val="clear" w:color="auto" w:fill="D0CECE" w:themeFill="background2" w:themeFillShade="E6"/>
          </w:tcPr>
          <w:p w14:paraId="1CB41FF0" w14:textId="77777777" w:rsidR="00D55EC1" w:rsidRPr="00641801" w:rsidRDefault="00D55EC1" w:rsidP="00250DAC">
            <w:pPr>
              <w:autoSpaceDE w:val="0"/>
              <w:autoSpaceDN w:val="0"/>
              <w:adjustRightInd w:val="0"/>
              <w:spacing w:after="0"/>
              <w:jc w:val="both"/>
              <w:rPr>
                <w:rFonts w:ascii="Times New Roman" w:hAnsi="Times New Roman"/>
                <w:b/>
                <w:sz w:val="20"/>
                <w:szCs w:val="20"/>
              </w:rPr>
            </w:pPr>
            <w:r w:rsidRPr="00641801">
              <w:rPr>
                <w:rFonts w:ascii="Times New Roman" w:hAnsi="Times New Roman"/>
                <w:b/>
                <w:sz w:val="20"/>
                <w:szCs w:val="20"/>
              </w:rPr>
              <w:t>Customer</w:t>
            </w:r>
          </w:p>
        </w:tc>
        <w:tc>
          <w:tcPr>
            <w:tcW w:w="6136" w:type="dxa"/>
            <w:shd w:val="clear" w:color="auto" w:fill="D0CECE" w:themeFill="background2" w:themeFillShade="E6"/>
          </w:tcPr>
          <w:p w14:paraId="4539E8DE" w14:textId="77777777" w:rsidR="00D55EC1" w:rsidRPr="00641801" w:rsidRDefault="00D55EC1" w:rsidP="00250DAC">
            <w:pPr>
              <w:autoSpaceDE w:val="0"/>
              <w:autoSpaceDN w:val="0"/>
              <w:adjustRightInd w:val="0"/>
              <w:spacing w:after="0"/>
              <w:jc w:val="both"/>
              <w:rPr>
                <w:rFonts w:ascii="Times New Roman" w:hAnsi="Times New Roman"/>
                <w:b/>
                <w:sz w:val="20"/>
                <w:szCs w:val="20"/>
              </w:rPr>
            </w:pPr>
            <w:r w:rsidRPr="00641801">
              <w:rPr>
                <w:rFonts w:ascii="Times New Roman" w:hAnsi="Times New Roman"/>
                <w:b/>
                <w:sz w:val="20"/>
                <w:szCs w:val="20"/>
              </w:rPr>
              <w:t>% contribution in the revenue from operations for Fiscal 202</w:t>
            </w:r>
            <w:r>
              <w:rPr>
                <w:rFonts w:ascii="Times New Roman" w:hAnsi="Times New Roman"/>
                <w:b/>
                <w:sz w:val="20"/>
                <w:szCs w:val="20"/>
              </w:rPr>
              <w:t>3</w:t>
            </w:r>
          </w:p>
        </w:tc>
      </w:tr>
      <w:tr w:rsidR="00D55EC1" w:rsidRPr="00641801" w14:paraId="18811974" w14:textId="77777777" w:rsidTr="00D55EC1">
        <w:trPr>
          <w:jc w:val="center"/>
        </w:trPr>
        <w:tc>
          <w:tcPr>
            <w:tcW w:w="992" w:type="dxa"/>
          </w:tcPr>
          <w:p w14:paraId="0702305A" w14:textId="77777777" w:rsidR="00D55EC1" w:rsidRPr="00641801" w:rsidRDefault="00D55EC1" w:rsidP="00250DAC">
            <w:pPr>
              <w:autoSpaceDE w:val="0"/>
              <w:autoSpaceDN w:val="0"/>
              <w:adjustRightInd w:val="0"/>
              <w:spacing w:after="0"/>
              <w:jc w:val="center"/>
              <w:rPr>
                <w:rFonts w:ascii="Times New Roman" w:hAnsi="Times New Roman"/>
                <w:sz w:val="20"/>
                <w:szCs w:val="20"/>
              </w:rPr>
            </w:pPr>
            <w:r w:rsidRPr="00641801">
              <w:rPr>
                <w:rFonts w:ascii="Times New Roman" w:hAnsi="Times New Roman"/>
                <w:sz w:val="20"/>
                <w:szCs w:val="20"/>
              </w:rPr>
              <w:t>1</w:t>
            </w:r>
          </w:p>
        </w:tc>
        <w:tc>
          <w:tcPr>
            <w:tcW w:w="2592" w:type="dxa"/>
          </w:tcPr>
          <w:p w14:paraId="7A05A2F1" w14:textId="77777777" w:rsidR="00D55EC1" w:rsidRPr="00641801" w:rsidRDefault="00D55EC1" w:rsidP="00250DAC">
            <w:pPr>
              <w:autoSpaceDE w:val="0"/>
              <w:autoSpaceDN w:val="0"/>
              <w:adjustRightInd w:val="0"/>
              <w:spacing w:after="0"/>
              <w:jc w:val="both"/>
              <w:rPr>
                <w:rFonts w:ascii="Times New Roman" w:hAnsi="Times New Roman"/>
                <w:sz w:val="20"/>
                <w:szCs w:val="20"/>
              </w:rPr>
            </w:pPr>
            <w:r w:rsidRPr="00641801">
              <w:rPr>
                <w:rFonts w:ascii="Times New Roman" w:hAnsi="Times New Roman"/>
                <w:sz w:val="20"/>
                <w:szCs w:val="20"/>
              </w:rPr>
              <w:t>Customer 1</w:t>
            </w:r>
          </w:p>
        </w:tc>
        <w:tc>
          <w:tcPr>
            <w:tcW w:w="6136" w:type="dxa"/>
            <w:vAlign w:val="bottom"/>
          </w:tcPr>
          <w:p w14:paraId="4548E4DF" w14:textId="77777777" w:rsidR="00D55EC1" w:rsidRPr="001B623C" w:rsidRDefault="00D55EC1" w:rsidP="00250DAC">
            <w:pPr>
              <w:autoSpaceDE w:val="0"/>
              <w:autoSpaceDN w:val="0"/>
              <w:adjustRightInd w:val="0"/>
              <w:spacing w:after="0"/>
              <w:jc w:val="center"/>
              <w:rPr>
                <w:rFonts w:ascii="Times New Roman" w:hAnsi="Times New Roman"/>
                <w:sz w:val="20"/>
                <w:szCs w:val="20"/>
              </w:rPr>
            </w:pPr>
            <w:r w:rsidRPr="001B623C">
              <w:rPr>
                <w:rFonts w:ascii="Times New Roman" w:hAnsi="Times New Roman"/>
                <w:color w:val="000000"/>
                <w:sz w:val="20"/>
                <w:szCs w:val="20"/>
              </w:rPr>
              <w:t>9.83%</w:t>
            </w:r>
          </w:p>
        </w:tc>
      </w:tr>
      <w:tr w:rsidR="00D55EC1" w:rsidRPr="00641801" w14:paraId="400009A0" w14:textId="77777777" w:rsidTr="00D55EC1">
        <w:trPr>
          <w:jc w:val="center"/>
        </w:trPr>
        <w:tc>
          <w:tcPr>
            <w:tcW w:w="992" w:type="dxa"/>
          </w:tcPr>
          <w:p w14:paraId="2BBA33D6" w14:textId="77777777" w:rsidR="00D55EC1" w:rsidRPr="00641801" w:rsidRDefault="00D55EC1" w:rsidP="00250DAC">
            <w:pPr>
              <w:autoSpaceDE w:val="0"/>
              <w:autoSpaceDN w:val="0"/>
              <w:adjustRightInd w:val="0"/>
              <w:spacing w:after="0"/>
              <w:jc w:val="center"/>
              <w:rPr>
                <w:rFonts w:ascii="Times New Roman" w:hAnsi="Times New Roman"/>
                <w:sz w:val="20"/>
                <w:szCs w:val="20"/>
              </w:rPr>
            </w:pPr>
            <w:r w:rsidRPr="00641801">
              <w:rPr>
                <w:rFonts w:ascii="Times New Roman" w:hAnsi="Times New Roman"/>
                <w:sz w:val="20"/>
                <w:szCs w:val="20"/>
              </w:rPr>
              <w:t>2</w:t>
            </w:r>
          </w:p>
        </w:tc>
        <w:tc>
          <w:tcPr>
            <w:tcW w:w="2592" w:type="dxa"/>
          </w:tcPr>
          <w:p w14:paraId="2163512A" w14:textId="77777777" w:rsidR="00D55EC1" w:rsidRPr="00641801" w:rsidRDefault="00D55EC1" w:rsidP="00250DAC">
            <w:pPr>
              <w:autoSpaceDE w:val="0"/>
              <w:autoSpaceDN w:val="0"/>
              <w:adjustRightInd w:val="0"/>
              <w:spacing w:after="0"/>
              <w:jc w:val="both"/>
              <w:rPr>
                <w:rFonts w:ascii="Times New Roman" w:hAnsi="Times New Roman"/>
                <w:sz w:val="20"/>
                <w:szCs w:val="20"/>
              </w:rPr>
            </w:pPr>
            <w:r w:rsidRPr="00641801">
              <w:rPr>
                <w:rFonts w:ascii="Times New Roman" w:hAnsi="Times New Roman"/>
                <w:sz w:val="20"/>
                <w:szCs w:val="20"/>
              </w:rPr>
              <w:t>Customer 2</w:t>
            </w:r>
          </w:p>
        </w:tc>
        <w:tc>
          <w:tcPr>
            <w:tcW w:w="6136" w:type="dxa"/>
            <w:vAlign w:val="bottom"/>
          </w:tcPr>
          <w:p w14:paraId="7A2D897A" w14:textId="77777777" w:rsidR="00D55EC1" w:rsidRPr="001B623C" w:rsidRDefault="00D55EC1" w:rsidP="00250DAC">
            <w:pPr>
              <w:autoSpaceDE w:val="0"/>
              <w:autoSpaceDN w:val="0"/>
              <w:adjustRightInd w:val="0"/>
              <w:spacing w:after="0"/>
              <w:jc w:val="center"/>
              <w:rPr>
                <w:rFonts w:ascii="Times New Roman" w:hAnsi="Times New Roman"/>
                <w:sz w:val="20"/>
                <w:szCs w:val="20"/>
              </w:rPr>
            </w:pPr>
            <w:r w:rsidRPr="001B623C">
              <w:rPr>
                <w:rFonts w:ascii="Times New Roman" w:hAnsi="Times New Roman"/>
                <w:color w:val="000000"/>
                <w:sz w:val="20"/>
                <w:szCs w:val="20"/>
              </w:rPr>
              <w:t>7.66%</w:t>
            </w:r>
          </w:p>
        </w:tc>
      </w:tr>
      <w:tr w:rsidR="00D55EC1" w:rsidRPr="00641801" w14:paraId="1430D430" w14:textId="77777777" w:rsidTr="00D55EC1">
        <w:trPr>
          <w:jc w:val="center"/>
        </w:trPr>
        <w:tc>
          <w:tcPr>
            <w:tcW w:w="992" w:type="dxa"/>
          </w:tcPr>
          <w:p w14:paraId="5C7E2626" w14:textId="77777777" w:rsidR="00D55EC1" w:rsidRPr="00641801" w:rsidRDefault="00D55EC1" w:rsidP="00250DAC">
            <w:pPr>
              <w:autoSpaceDE w:val="0"/>
              <w:autoSpaceDN w:val="0"/>
              <w:adjustRightInd w:val="0"/>
              <w:spacing w:after="0"/>
              <w:jc w:val="center"/>
              <w:rPr>
                <w:rFonts w:ascii="Times New Roman" w:hAnsi="Times New Roman"/>
                <w:sz w:val="20"/>
                <w:szCs w:val="20"/>
              </w:rPr>
            </w:pPr>
            <w:r w:rsidRPr="00641801">
              <w:rPr>
                <w:rFonts w:ascii="Times New Roman" w:hAnsi="Times New Roman"/>
                <w:sz w:val="20"/>
                <w:szCs w:val="20"/>
              </w:rPr>
              <w:t>3</w:t>
            </w:r>
          </w:p>
        </w:tc>
        <w:tc>
          <w:tcPr>
            <w:tcW w:w="2592" w:type="dxa"/>
          </w:tcPr>
          <w:p w14:paraId="6E8A76A3" w14:textId="77777777" w:rsidR="00D55EC1" w:rsidRPr="00641801" w:rsidRDefault="00D55EC1" w:rsidP="00250DAC">
            <w:pPr>
              <w:autoSpaceDE w:val="0"/>
              <w:autoSpaceDN w:val="0"/>
              <w:adjustRightInd w:val="0"/>
              <w:spacing w:after="0"/>
              <w:jc w:val="both"/>
              <w:rPr>
                <w:rFonts w:ascii="Times New Roman" w:hAnsi="Times New Roman"/>
                <w:sz w:val="20"/>
                <w:szCs w:val="20"/>
              </w:rPr>
            </w:pPr>
            <w:r w:rsidRPr="00641801">
              <w:rPr>
                <w:rFonts w:ascii="Times New Roman" w:hAnsi="Times New Roman"/>
                <w:sz w:val="20"/>
                <w:szCs w:val="20"/>
              </w:rPr>
              <w:t>Customer 3</w:t>
            </w:r>
          </w:p>
        </w:tc>
        <w:tc>
          <w:tcPr>
            <w:tcW w:w="6136" w:type="dxa"/>
            <w:vAlign w:val="bottom"/>
          </w:tcPr>
          <w:p w14:paraId="50F64E90" w14:textId="77777777" w:rsidR="00D55EC1" w:rsidRPr="001B623C" w:rsidRDefault="00D55EC1" w:rsidP="00250DAC">
            <w:pPr>
              <w:autoSpaceDE w:val="0"/>
              <w:autoSpaceDN w:val="0"/>
              <w:adjustRightInd w:val="0"/>
              <w:spacing w:after="0"/>
              <w:jc w:val="center"/>
              <w:rPr>
                <w:rFonts w:ascii="Times New Roman" w:hAnsi="Times New Roman"/>
                <w:sz w:val="20"/>
                <w:szCs w:val="20"/>
              </w:rPr>
            </w:pPr>
            <w:r w:rsidRPr="001B623C">
              <w:rPr>
                <w:rFonts w:ascii="Times New Roman" w:hAnsi="Times New Roman"/>
                <w:color w:val="000000"/>
                <w:sz w:val="20"/>
                <w:szCs w:val="20"/>
              </w:rPr>
              <w:t>6.49%</w:t>
            </w:r>
          </w:p>
        </w:tc>
      </w:tr>
      <w:tr w:rsidR="00D55EC1" w:rsidRPr="00641801" w14:paraId="05E42CA8" w14:textId="77777777" w:rsidTr="00D55EC1">
        <w:trPr>
          <w:jc w:val="center"/>
        </w:trPr>
        <w:tc>
          <w:tcPr>
            <w:tcW w:w="992" w:type="dxa"/>
          </w:tcPr>
          <w:p w14:paraId="3049022A" w14:textId="77777777" w:rsidR="00D55EC1" w:rsidRPr="00641801" w:rsidRDefault="00D55EC1" w:rsidP="00250DAC">
            <w:pPr>
              <w:autoSpaceDE w:val="0"/>
              <w:autoSpaceDN w:val="0"/>
              <w:adjustRightInd w:val="0"/>
              <w:spacing w:after="0"/>
              <w:jc w:val="center"/>
              <w:rPr>
                <w:rFonts w:ascii="Times New Roman" w:hAnsi="Times New Roman"/>
                <w:sz w:val="20"/>
                <w:szCs w:val="20"/>
              </w:rPr>
            </w:pPr>
            <w:r w:rsidRPr="00641801">
              <w:rPr>
                <w:rFonts w:ascii="Times New Roman" w:hAnsi="Times New Roman"/>
                <w:sz w:val="20"/>
                <w:szCs w:val="20"/>
              </w:rPr>
              <w:t>4</w:t>
            </w:r>
          </w:p>
        </w:tc>
        <w:tc>
          <w:tcPr>
            <w:tcW w:w="2592" w:type="dxa"/>
          </w:tcPr>
          <w:p w14:paraId="7BE4DF18" w14:textId="77777777" w:rsidR="00D55EC1" w:rsidRPr="00641801" w:rsidRDefault="00D55EC1" w:rsidP="00250DAC">
            <w:pPr>
              <w:autoSpaceDE w:val="0"/>
              <w:autoSpaceDN w:val="0"/>
              <w:adjustRightInd w:val="0"/>
              <w:spacing w:after="0"/>
              <w:jc w:val="both"/>
              <w:rPr>
                <w:rFonts w:ascii="Times New Roman" w:hAnsi="Times New Roman"/>
                <w:sz w:val="20"/>
                <w:szCs w:val="20"/>
              </w:rPr>
            </w:pPr>
            <w:r w:rsidRPr="00641801">
              <w:rPr>
                <w:rFonts w:ascii="Times New Roman" w:hAnsi="Times New Roman"/>
                <w:sz w:val="20"/>
                <w:szCs w:val="20"/>
              </w:rPr>
              <w:t>Customer 4</w:t>
            </w:r>
          </w:p>
        </w:tc>
        <w:tc>
          <w:tcPr>
            <w:tcW w:w="6136" w:type="dxa"/>
            <w:vAlign w:val="bottom"/>
          </w:tcPr>
          <w:p w14:paraId="164F93C2" w14:textId="77777777" w:rsidR="00D55EC1" w:rsidRPr="001B623C" w:rsidRDefault="00D55EC1" w:rsidP="00250DAC">
            <w:pPr>
              <w:autoSpaceDE w:val="0"/>
              <w:autoSpaceDN w:val="0"/>
              <w:adjustRightInd w:val="0"/>
              <w:spacing w:after="0"/>
              <w:jc w:val="center"/>
              <w:rPr>
                <w:rFonts w:ascii="Times New Roman" w:hAnsi="Times New Roman"/>
                <w:sz w:val="20"/>
                <w:szCs w:val="20"/>
              </w:rPr>
            </w:pPr>
            <w:r w:rsidRPr="001B623C">
              <w:rPr>
                <w:rFonts w:ascii="Times New Roman" w:hAnsi="Times New Roman"/>
                <w:color w:val="000000"/>
                <w:sz w:val="20"/>
                <w:szCs w:val="20"/>
              </w:rPr>
              <w:t>5.52%</w:t>
            </w:r>
          </w:p>
        </w:tc>
      </w:tr>
      <w:tr w:rsidR="00D55EC1" w:rsidRPr="00641801" w14:paraId="1BAFD06E" w14:textId="77777777" w:rsidTr="00D55EC1">
        <w:trPr>
          <w:jc w:val="center"/>
        </w:trPr>
        <w:tc>
          <w:tcPr>
            <w:tcW w:w="992" w:type="dxa"/>
          </w:tcPr>
          <w:p w14:paraId="1D91DED5" w14:textId="77777777" w:rsidR="00D55EC1" w:rsidRPr="00641801" w:rsidRDefault="00D55EC1" w:rsidP="00250DAC">
            <w:pPr>
              <w:autoSpaceDE w:val="0"/>
              <w:autoSpaceDN w:val="0"/>
              <w:adjustRightInd w:val="0"/>
              <w:spacing w:after="0"/>
              <w:jc w:val="center"/>
              <w:rPr>
                <w:rFonts w:ascii="Times New Roman" w:hAnsi="Times New Roman"/>
                <w:sz w:val="20"/>
                <w:szCs w:val="20"/>
              </w:rPr>
            </w:pPr>
            <w:r w:rsidRPr="00641801">
              <w:rPr>
                <w:rFonts w:ascii="Times New Roman" w:hAnsi="Times New Roman"/>
                <w:sz w:val="20"/>
                <w:szCs w:val="20"/>
              </w:rPr>
              <w:t>5</w:t>
            </w:r>
          </w:p>
        </w:tc>
        <w:tc>
          <w:tcPr>
            <w:tcW w:w="2592" w:type="dxa"/>
          </w:tcPr>
          <w:p w14:paraId="001E54E5" w14:textId="77777777" w:rsidR="00D55EC1" w:rsidRPr="00641801" w:rsidRDefault="00D55EC1" w:rsidP="00250DAC">
            <w:pPr>
              <w:autoSpaceDE w:val="0"/>
              <w:autoSpaceDN w:val="0"/>
              <w:adjustRightInd w:val="0"/>
              <w:spacing w:after="0"/>
              <w:jc w:val="both"/>
              <w:rPr>
                <w:rFonts w:ascii="Times New Roman" w:hAnsi="Times New Roman"/>
                <w:sz w:val="20"/>
                <w:szCs w:val="20"/>
              </w:rPr>
            </w:pPr>
            <w:r w:rsidRPr="00641801">
              <w:rPr>
                <w:rFonts w:ascii="Times New Roman" w:hAnsi="Times New Roman"/>
                <w:sz w:val="20"/>
                <w:szCs w:val="20"/>
              </w:rPr>
              <w:t>Customer 5</w:t>
            </w:r>
          </w:p>
        </w:tc>
        <w:tc>
          <w:tcPr>
            <w:tcW w:w="6136" w:type="dxa"/>
            <w:vAlign w:val="bottom"/>
          </w:tcPr>
          <w:p w14:paraId="26AB7B8E" w14:textId="77777777" w:rsidR="00D55EC1" w:rsidRPr="001B623C" w:rsidRDefault="00D55EC1" w:rsidP="00250DAC">
            <w:pPr>
              <w:autoSpaceDE w:val="0"/>
              <w:autoSpaceDN w:val="0"/>
              <w:adjustRightInd w:val="0"/>
              <w:spacing w:after="0"/>
              <w:jc w:val="center"/>
              <w:rPr>
                <w:rFonts w:ascii="Times New Roman" w:hAnsi="Times New Roman"/>
                <w:sz w:val="20"/>
                <w:szCs w:val="20"/>
              </w:rPr>
            </w:pPr>
            <w:r w:rsidRPr="001B623C">
              <w:rPr>
                <w:rFonts w:ascii="Times New Roman" w:hAnsi="Times New Roman"/>
                <w:color w:val="000000"/>
                <w:sz w:val="20"/>
                <w:szCs w:val="20"/>
              </w:rPr>
              <w:t>4.64%</w:t>
            </w:r>
          </w:p>
        </w:tc>
      </w:tr>
      <w:tr w:rsidR="00D55EC1" w:rsidRPr="00641801" w14:paraId="6D15799D" w14:textId="77777777" w:rsidTr="00D55EC1">
        <w:trPr>
          <w:jc w:val="center"/>
        </w:trPr>
        <w:tc>
          <w:tcPr>
            <w:tcW w:w="992" w:type="dxa"/>
          </w:tcPr>
          <w:p w14:paraId="42DBC5A8" w14:textId="77777777" w:rsidR="00D55EC1" w:rsidRPr="00641801" w:rsidRDefault="00D55EC1" w:rsidP="00250DAC">
            <w:pPr>
              <w:autoSpaceDE w:val="0"/>
              <w:autoSpaceDN w:val="0"/>
              <w:adjustRightInd w:val="0"/>
              <w:spacing w:after="0"/>
              <w:jc w:val="center"/>
              <w:rPr>
                <w:rFonts w:ascii="Times New Roman" w:hAnsi="Times New Roman"/>
                <w:sz w:val="20"/>
                <w:szCs w:val="20"/>
              </w:rPr>
            </w:pPr>
            <w:r>
              <w:rPr>
                <w:rFonts w:ascii="Times New Roman" w:hAnsi="Times New Roman"/>
                <w:sz w:val="20"/>
                <w:szCs w:val="20"/>
              </w:rPr>
              <w:t>6</w:t>
            </w:r>
          </w:p>
        </w:tc>
        <w:tc>
          <w:tcPr>
            <w:tcW w:w="2592" w:type="dxa"/>
          </w:tcPr>
          <w:p w14:paraId="043A92A1" w14:textId="77777777" w:rsidR="00D55EC1" w:rsidRPr="00641801" w:rsidRDefault="00D55EC1" w:rsidP="00250DAC">
            <w:pPr>
              <w:autoSpaceDE w:val="0"/>
              <w:autoSpaceDN w:val="0"/>
              <w:adjustRightInd w:val="0"/>
              <w:spacing w:after="0"/>
              <w:jc w:val="both"/>
              <w:rPr>
                <w:rFonts w:ascii="Times New Roman" w:hAnsi="Times New Roman"/>
                <w:sz w:val="20"/>
                <w:szCs w:val="20"/>
              </w:rPr>
            </w:pPr>
            <w:r w:rsidRPr="00C83644">
              <w:rPr>
                <w:rFonts w:ascii="Times New Roman" w:hAnsi="Times New Roman"/>
                <w:sz w:val="20"/>
                <w:szCs w:val="20"/>
              </w:rPr>
              <w:t xml:space="preserve">Customer </w:t>
            </w:r>
            <w:r>
              <w:rPr>
                <w:rFonts w:ascii="Times New Roman" w:hAnsi="Times New Roman"/>
                <w:sz w:val="20"/>
                <w:szCs w:val="20"/>
              </w:rPr>
              <w:t>6</w:t>
            </w:r>
          </w:p>
        </w:tc>
        <w:tc>
          <w:tcPr>
            <w:tcW w:w="6136" w:type="dxa"/>
            <w:vAlign w:val="bottom"/>
          </w:tcPr>
          <w:p w14:paraId="5617E0BC" w14:textId="77777777" w:rsidR="00D55EC1" w:rsidRPr="001B623C" w:rsidRDefault="00D55EC1" w:rsidP="00250DAC">
            <w:pPr>
              <w:autoSpaceDE w:val="0"/>
              <w:autoSpaceDN w:val="0"/>
              <w:adjustRightInd w:val="0"/>
              <w:spacing w:after="0"/>
              <w:jc w:val="center"/>
              <w:rPr>
                <w:rFonts w:ascii="Times New Roman" w:hAnsi="Times New Roman"/>
                <w:sz w:val="20"/>
                <w:szCs w:val="20"/>
              </w:rPr>
            </w:pPr>
            <w:r w:rsidRPr="001B623C">
              <w:rPr>
                <w:rFonts w:ascii="Times New Roman" w:hAnsi="Times New Roman"/>
                <w:color w:val="000000"/>
                <w:sz w:val="20"/>
                <w:szCs w:val="20"/>
              </w:rPr>
              <w:t>3.67%</w:t>
            </w:r>
          </w:p>
        </w:tc>
      </w:tr>
      <w:tr w:rsidR="00D55EC1" w:rsidRPr="00641801" w14:paraId="00AF35DE" w14:textId="77777777" w:rsidTr="00D55EC1">
        <w:trPr>
          <w:jc w:val="center"/>
        </w:trPr>
        <w:tc>
          <w:tcPr>
            <w:tcW w:w="992" w:type="dxa"/>
          </w:tcPr>
          <w:p w14:paraId="6BE77CC2" w14:textId="77777777" w:rsidR="00D55EC1" w:rsidRPr="00641801" w:rsidRDefault="00D55EC1" w:rsidP="00250DAC">
            <w:pPr>
              <w:autoSpaceDE w:val="0"/>
              <w:autoSpaceDN w:val="0"/>
              <w:adjustRightInd w:val="0"/>
              <w:spacing w:after="0"/>
              <w:jc w:val="center"/>
              <w:rPr>
                <w:rFonts w:ascii="Times New Roman" w:hAnsi="Times New Roman"/>
                <w:sz w:val="20"/>
                <w:szCs w:val="20"/>
              </w:rPr>
            </w:pPr>
            <w:r>
              <w:rPr>
                <w:rFonts w:ascii="Times New Roman" w:hAnsi="Times New Roman"/>
                <w:sz w:val="20"/>
                <w:szCs w:val="20"/>
              </w:rPr>
              <w:t>7</w:t>
            </w:r>
          </w:p>
        </w:tc>
        <w:tc>
          <w:tcPr>
            <w:tcW w:w="2592" w:type="dxa"/>
          </w:tcPr>
          <w:p w14:paraId="2AAA2114" w14:textId="77777777" w:rsidR="00D55EC1" w:rsidRPr="00641801" w:rsidRDefault="00D55EC1" w:rsidP="00250DAC">
            <w:pPr>
              <w:autoSpaceDE w:val="0"/>
              <w:autoSpaceDN w:val="0"/>
              <w:adjustRightInd w:val="0"/>
              <w:spacing w:after="0"/>
              <w:jc w:val="both"/>
              <w:rPr>
                <w:rFonts w:ascii="Times New Roman" w:hAnsi="Times New Roman"/>
                <w:sz w:val="20"/>
                <w:szCs w:val="20"/>
              </w:rPr>
            </w:pPr>
            <w:r w:rsidRPr="00C83644">
              <w:rPr>
                <w:rFonts w:ascii="Times New Roman" w:hAnsi="Times New Roman"/>
                <w:sz w:val="20"/>
                <w:szCs w:val="20"/>
              </w:rPr>
              <w:t xml:space="preserve">Customer </w:t>
            </w:r>
            <w:r>
              <w:rPr>
                <w:rFonts w:ascii="Times New Roman" w:hAnsi="Times New Roman"/>
                <w:sz w:val="20"/>
                <w:szCs w:val="20"/>
              </w:rPr>
              <w:t>7</w:t>
            </w:r>
          </w:p>
        </w:tc>
        <w:tc>
          <w:tcPr>
            <w:tcW w:w="6136" w:type="dxa"/>
            <w:vAlign w:val="bottom"/>
          </w:tcPr>
          <w:p w14:paraId="5BC3C6D1" w14:textId="77777777" w:rsidR="00D55EC1" w:rsidRPr="001B623C" w:rsidRDefault="00D55EC1" w:rsidP="00250DAC">
            <w:pPr>
              <w:autoSpaceDE w:val="0"/>
              <w:autoSpaceDN w:val="0"/>
              <w:adjustRightInd w:val="0"/>
              <w:spacing w:after="0"/>
              <w:jc w:val="center"/>
              <w:rPr>
                <w:rFonts w:ascii="Times New Roman" w:hAnsi="Times New Roman"/>
                <w:sz w:val="20"/>
                <w:szCs w:val="20"/>
              </w:rPr>
            </w:pPr>
            <w:r w:rsidRPr="001B623C">
              <w:rPr>
                <w:rFonts w:ascii="Times New Roman" w:hAnsi="Times New Roman"/>
                <w:color w:val="000000"/>
                <w:sz w:val="20"/>
                <w:szCs w:val="20"/>
              </w:rPr>
              <w:t>2.79%</w:t>
            </w:r>
          </w:p>
        </w:tc>
      </w:tr>
      <w:tr w:rsidR="00D55EC1" w:rsidRPr="00641801" w14:paraId="54797B4D" w14:textId="77777777" w:rsidTr="00D55EC1">
        <w:trPr>
          <w:jc w:val="center"/>
        </w:trPr>
        <w:tc>
          <w:tcPr>
            <w:tcW w:w="992" w:type="dxa"/>
          </w:tcPr>
          <w:p w14:paraId="5CB23560" w14:textId="77777777" w:rsidR="00D55EC1" w:rsidRPr="00641801" w:rsidRDefault="00D55EC1" w:rsidP="00250DAC">
            <w:pPr>
              <w:autoSpaceDE w:val="0"/>
              <w:autoSpaceDN w:val="0"/>
              <w:adjustRightInd w:val="0"/>
              <w:spacing w:after="0"/>
              <w:jc w:val="center"/>
              <w:rPr>
                <w:rFonts w:ascii="Times New Roman" w:hAnsi="Times New Roman"/>
                <w:sz w:val="20"/>
                <w:szCs w:val="20"/>
              </w:rPr>
            </w:pPr>
            <w:r>
              <w:rPr>
                <w:rFonts w:ascii="Times New Roman" w:hAnsi="Times New Roman"/>
                <w:sz w:val="20"/>
                <w:szCs w:val="20"/>
              </w:rPr>
              <w:t>8</w:t>
            </w:r>
          </w:p>
        </w:tc>
        <w:tc>
          <w:tcPr>
            <w:tcW w:w="2592" w:type="dxa"/>
          </w:tcPr>
          <w:p w14:paraId="3BB698C4" w14:textId="77777777" w:rsidR="00D55EC1" w:rsidRPr="00641801" w:rsidRDefault="00D55EC1" w:rsidP="00250DAC">
            <w:pPr>
              <w:autoSpaceDE w:val="0"/>
              <w:autoSpaceDN w:val="0"/>
              <w:adjustRightInd w:val="0"/>
              <w:spacing w:after="0"/>
              <w:jc w:val="both"/>
              <w:rPr>
                <w:rFonts w:ascii="Times New Roman" w:hAnsi="Times New Roman"/>
                <w:sz w:val="20"/>
                <w:szCs w:val="20"/>
              </w:rPr>
            </w:pPr>
            <w:r w:rsidRPr="00C83644">
              <w:rPr>
                <w:rFonts w:ascii="Times New Roman" w:hAnsi="Times New Roman"/>
                <w:sz w:val="20"/>
                <w:szCs w:val="20"/>
              </w:rPr>
              <w:t xml:space="preserve">Customer </w:t>
            </w:r>
            <w:r>
              <w:rPr>
                <w:rFonts w:ascii="Times New Roman" w:hAnsi="Times New Roman"/>
                <w:sz w:val="20"/>
                <w:szCs w:val="20"/>
              </w:rPr>
              <w:t>8</w:t>
            </w:r>
          </w:p>
        </w:tc>
        <w:tc>
          <w:tcPr>
            <w:tcW w:w="6136" w:type="dxa"/>
            <w:vAlign w:val="bottom"/>
          </w:tcPr>
          <w:p w14:paraId="670F63ED" w14:textId="77777777" w:rsidR="00D55EC1" w:rsidRPr="001B623C" w:rsidRDefault="00D55EC1" w:rsidP="00250DAC">
            <w:pPr>
              <w:autoSpaceDE w:val="0"/>
              <w:autoSpaceDN w:val="0"/>
              <w:adjustRightInd w:val="0"/>
              <w:spacing w:after="0"/>
              <w:jc w:val="center"/>
              <w:rPr>
                <w:rFonts w:ascii="Times New Roman" w:hAnsi="Times New Roman"/>
                <w:sz w:val="20"/>
                <w:szCs w:val="20"/>
              </w:rPr>
            </w:pPr>
            <w:r w:rsidRPr="001B623C">
              <w:rPr>
                <w:rFonts w:ascii="Times New Roman" w:hAnsi="Times New Roman"/>
                <w:color w:val="000000"/>
                <w:sz w:val="20"/>
                <w:szCs w:val="20"/>
              </w:rPr>
              <w:t>2.77%</w:t>
            </w:r>
          </w:p>
        </w:tc>
      </w:tr>
      <w:tr w:rsidR="00D55EC1" w:rsidRPr="00641801" w14:paraId="403DF390" w14:textId="77777777" w:rsidTr="00D55EC1">
        <w:trPr>
          <w:jc w:val="center"/>
        </w:trPr>
        <w:tc>
          <w:tcPr>
            <w:tcW w:w="992" w:type="dxa"/>
          </w:tcPr>
          <w:p w14:paraId="537C0AA5" w14:textId="77777777" w:rsidR="00D55EC1" w:rsidRPr="00641801" w:rsidRDefault="00D55EC1" w:rsidP="00250DAC">
            <w:pPr>
              <w:autoSpaceDE w:val="0"/>
              <w:autoSpaceDN w:val="0"/>
              <w:adjustRightInd w:val="0"/>
              <w:spacing w:after="0"/>
              <w:jc w:val="center"/>
              <w:rPr>
                <w:rFonts w:ascii="Times New Roman" w:hAnsi="Times New Roman"/>
                <w:sz w:val="20"/>
                <w:szCs w:val="20"/>
              </w:rPr>
            </w:pPr>
            <w:r>
              <w:rPr>
                <w:rFonts w:ascii="Times New Roman" w:hAnsi="Times New Roman"/>
                <w:sz w:val="20"/>
                <w:szCs w:val="20"/>
              </w:rPr>
              <w:t>9</w:t>
            </w:r>
          </w:p>
        </w:tc>
        <w:tc>
          <w:tcPr>
            <w:tcW w:w="2592" w:type="dxa"/>
          </w:tcPr>
          <w:p w14:paraId="58B13554" w14:textId="77777777" w:rsidR="00D55EC1" w:rsidRPr="00641801" w:rsidRDefault="00D55EC1" w:rsidP="00250DAC">
            <w:pPr>
              <w:autoSpaceDE w:val="0"/>
              <w:autoSpaceDN w:val="0"/>
              <w:adjustRightInd w:val="0"/>
              <w:spacing w:after="0"/>
              <w:jc w:val="both"/>
              <w:rPr>
                <w:rFonts w:ascii="Times New Roman" w:hAnsi="Times New Roman"/>
                <w:sz w:val="20"/>
                <w:szCs w:val="20"/>
              </w:rPr>
            </w:pPr>
            <w:r w:rsidRPr="00C83644">
              <w:rPr>
                <w:rFonts w:ascii="Times New Roman" w:hAnsi="Times New Roman"/>
                <w:sz w:val="20"/>
                <w:szCs w:val="20"/>
              </w:rPr>
              <w:t xml:space="preserve">Customer </w:t>
            </w:r>
            <w:r>
              <w:rPr>
                <w:rFonts w:ascii="Times New Roman" w:hAnsi="Times New Roman"/>
                <w:sz w:val="20"/>
                <w:szCs w:val="20"/>
              </w:rPr>
              <w:t>9</w:t>
            </w:r>
          </w:p>
        </w:tc>
        <w:tc>
          <w:tcPr>
            <w:tcW w:w="6136" w:type="dxa"/>
            <w:vAlign w:val="bottom"/>
          </w:tcPr>
          <w:p w14:paraId="2157CC1B" w14:textId="77777777" w:rsidR="00D55EC1" w:rsidRPr="001B623C" w:rsidRDefault="00D55EC1" w:rsidP="00250DAC">
            <w:pPr>
              <w:autoSpaceDE w:val="0"/>
              <w:autoSpaceDN w:val="0"/>
              <w:adjustRightInd w:val="0"/>
              <w:spacing w:after="0"/>
              <w:jc w:val="center"/>
              <w:rPr>
                <w:rFonts w:ascii="Times New Roman" w:hAnsi="Times New Roman"/>
                <w:sz w:val="20"/>
                <w:szCs w:val="20"/>
              </w:rPr>
            </w:pPr>
            <w:r w:rsidRPr="001B623C">
              <w:rPr>
                <w:rFonts w:ascii="Times New Roman" w:hAnsi="Times New Roman"/>
                <w:color w:val="000000"/>
                <w:sz w:val="20"/>
                <w:szCs w:val="20"/>
              </w:rPr>
              <w:t>2.76%</w:t>
            </w:r>
          </w:p>
        </w:tc>
      </w:tr>
      <w:tr w:rsidR="00D55EC1" w:rsidRPr="00641801" w14:paraId="3F3F47DA" w14:textId="77777777" w:rsidTr="00D55EC1">
        <w:trPr>
          <w:jc w:val="center"/>
        </w:trPr>
        <w:tc>
          <w:tcPr>
            <w:tcW w:w="992" w:type="dxa"/>
          </w:tcPr>
          <w:p w14:paraId="23B5A74B" w14:textId="77777777" w:rsidR="00D55EC1" w:rsidRPr="00641801" w:rsidRDefault="00D55EC1" w:rsidP="00250DAC">
            <w:pPr>
              <w:autoSpaceDE w:val="0"/>
              <w:autoSpaceDN w:val="0"/>
              <w:adjustRightInd w:val="0"/>
              <w:spacing w:after="0"/>
              <w:jc w:val="center"/>
              <w:rPr>
                <w:rFonts w:ascii="Times New Roman" w:hAnsi="Times New Roman"/>
                <w:sz w:val="20"/>
                <w:szCs w:val="20"/>
              </w:rPr>
            </w:pPr>
            <w:r>
              <w:rPr>
                <w:rFonts w:ascii="Times New Roman" w:hAnsi="Times New Roman"/>
                <w:sz w:val="20"/>
                <w:szCs w:val="20"/>
              </w:rPr>
              <w:t>10</w:t>
            </w:r>
          </w:p>
        </w:tc>
        <w:tc>
          <w:tcPr>
            <w:tcW w:w="2592" w:type="dxa"/>
          </w:tcPr>
          <w:p w14:paraId="0ADFA2C5" w14:textId="77777777" w:rsidR="00D55EC1" w:rsidRPr="00641801" w:rsidRDefault="00D55EC1" w:rsidP="00250DAC">
            <w:pPr>
              <w:autoSpaceDE w:val="0"/>
              <w:autoSpaceDN w:val="0"/>
              <w:adjustRightInd w:val="0"/>
              <w:spacing w:after="0"/>
              <w:jc w:val="both"/>
              <w:rPr>
                <w:rFonts w:ascii="Times New Roman" w:hAnsi="Times New Roman"/>
                <w:sz w:val="20"/>
                <w:szCs w:val="20"/>
              </w:rPr>
            </w:pPr>
            <w:r w:rsidRPr="00C83644">
              <w:rPr>
                <w:rFonts w:ascii="Times New Roman" w:hAnsi="Times New Roman"/>
                <w:sz w:val="20"/>
                <w:szCs w:val="20"/>
              </w:rPr>
              <w:t xml:space="preserve">Customer </w:t>
            </w:r>
            <w:r>
              <w:rPr>
                <w:rFonts w:ascii="Times New Roman" w:hAnsi="Times New Roman"/>
                <w:sz w:val="20"/>
                <w:szCs w:val="20"/>
              </w:rPr>
              <w:t>10</w:t>
            </w:r>
          </w:p>
        </w:tc>
        <w:tc>
          <w:tcPr>
            <w:tcW w:w="6136" w:type="dxa"/>
            <w:vAlign w:val="bottom"/>
          </w:tcPr>
          <w:p w14:paraId="40740DB9" w14:textId="77777777" w:rsidR="00D55EC1" w:rsidRPr="001B623C" w:rsidRDefault="00D55EC1" w:rsidP="00250DAC">
            <w:pPr>
              <w:autoSpaceDE w:val="0"/>
              <w:autoSpaceDN w:val="0"/>
              <w:adjustRightInd w:val="0"/>
              <w:spacing w:after="0"/>
              <w:jc w:val="center"/>
              <w:rPr>
                <w:rFonts w:ascii="Times New Roman" w:hAnsi="Times New Roman"/>
                <w:sz w:val="20"/>
                <w:szCs w:val="20"/>
              </w:rPr>
            </w:pPr>
            <w:r w:rsidRPr="001B623C">
              <w:rPr>
                <w:rFonts w:ascii="Times New Roman" w:hAnsi="Times New Roman"/>
                <w:color w:val="000000"/>
                <w:sz w:val="20"/>
                <w:szCs w:val="20"/>
              </w:rPr>
              <w:t>2.58%</w:t>
            </w:r>
          </w:p>
        </w:tc>
      </w:tr>
      <w:tr w:rsidR="00D55EC1" w:rsidRPr="00641801" w14:paraId="0B058C8F" w14:textId="77777777" w:rsidTr="00D55EC1">
        <w:trPr>
          <w:jc w:val="center"/>
        </w:trPr>
        <w:tc>
          <w:tcPr>
            <w:tcW w:w="3584" w:type="dxa"/>
            <w:gridSpan w:val="2"/>
          </w:tcPr>
          <w:p w14:paraId="79B44145" w14:textId="77777777" w:rsidR="00D55EC1" w:rsidRPr="00641801" w:rsidRDefault="00D55EC1" w:rsidP="00250DAC">
            <w:pPr>
              <w:autoSpaceDE w:val="0"/>
              <w:autoSpaceDN w:val="0"/>
              <w:adjustRightInd w:val="0"/>
              <w:spacing w:after="0"/>
              <w:jc w:val="both"/>
              <w:rPr>
                <w:rFonts w:ascii="Times New Roman" w:hAnsi="Times New Roman"/>
                <w:b/>
                <w:sz w:val="20"/>
                <w:szCs w:val="20"/>
              </w:rPr>
            </w:pPr>
            <w:r w:rsidRPr="00641801">
              <w:rPr>
                <w:rFonts w:ascii="Times New Roman" w:hAnsi="Times New Roman"/>
                <w:b/>
                <w:sz w:val="20"/>
                <w:szCs w:val="20"/>
              </w:rPr>
              <w:t>Total</w:t>
            </w:r>
          </w:p>
        </w:tc>
        <w:tc>
          <w:tcPr>
            <w:tcW w:w="6136" w:type="dxa"/>
            <w:vAlign w:val="bottom"/>
          </w:tcPr>
          <w:p w14:paraId="1338F46C" w14:textId="77777777" w:rsidR="00D55EC1" w:rsidRPr="001B623C" w:rsidRDefault="00D55EC1" w:rsidP="00250DAC">
            <w:pPr>
              <w:autoSpaceDE w:val="0"/>
              <w:autoSpaceDN w:val="0"/>
              <w:adjustRightInd w:val="0"/>
              <w:spacing w:after="0"/>
              <w:jc w:val="center"/>
              <w:rPr>
                <w:rFonts w:ascii="Times New Roman" w:hAnsi="Times New Roman"/>
                <w:b/>
                <w:sz w:val="20"/>
                <w:szCs w:val="20"/>
              </w:rPr>
            </w:pPr>
            <w:r w:rsidRPr="001B623C">
              <w:rPr>
                <w:rFonts w:ascii="Times New Roman" w:hAnsi="Times New Roman"/>
                <w:b/>
                <w:sz w:val="20"/>
                <w:szCs w:val="20"/>
              </w:rPr>
              <w:t>60.94%</w:t>
            </w:r>
          </w:p>
        </w:tc>
      </w:tr>
    </w:tbl>
    <w:p w14:paraId="3ADDF33F" w14:textId="77777777" w:rsidR="00D55EC1" w:rsidRPr="00641801" w:rsidRDefault="00D55EC1" w:rsidP="00D55EC1">
      <w:pPr>
        <w:autoSpaceDE w:val="0"/>
        <w:autoSpaceDN w:val="0"/>
        <w:adjustRightInd w:val="0"/>
        <w:spacing w:after="0" w:line="240" w:lineRule="auto"/>
        <w:jc w:val="both"/>
        <w:rPr>
          <w:rFonts w:ascii="Times New Roman" w:eastAsia="MS Mincho" w:hAnsi="Times New Roman"/>
          <w:sz w:val="20"/>
          <w:szCs w:val="20"/>
          <w:lang w:val="en-GB"/>
        </w:rPr>
      </w:pPr>
      <w:r w:rsidRPr="00641801">
        <w:rPr>
          <w:rFonts w:ascii="Times New Roman" w:eastAsia="MS Mincho" w:hAnsi="Times New Roman"/>
          <w:sz w:val="20"/>
          <w:szCs w:val="20"/>
          <w:lang w:val="en-GB"/>
        </w:rPr>
        <w:t>In addition, we have not entered into long term agreements with our customers and the success of our business is accordingly significantly dependent on maintaining good relationship with them. The loss of one or more of these significant customers or a reduction in the amount of business we obtain from them could have an adverse effect on our business, results of operations, financial condition and cash flows.</w:t>
      </w:r>
    </w:p>
    <w:p w14:paraId="6FC97D0B" w14:textId="77777777" w:rsidR="00D55EC1" w:rsidRPr="00641801" w:rsidRDefault="00D55EC1" w:rsidP="00D55EC1">
      <w:pPr>
        <w:autoSpaceDE w:val="0"/>
        <w:autoSpaceDN w:val="0"/>
        <w:adjustRightInd w:val="0"/>
        <w:spacing w:after="0" w:line="240" w:lineRule="auto"/>
        <w:jc w:val="both"/>
        <w:rPr>
          <w:rFonts w:ascii="Times New Roman" w:hAnsi="Times New Roman"/>
          <w:sz w:val="20"/>
          <w:szCs w:val="20"/>
        </w:rPr>
      </w:pPr>
    </w:p>
    <w:p w14:paraId="1FCF01F0" w14:textId="77777777" w:rsidR="00D55EC1" w:rsidRPr="00641801" w:rsidRDefault="00D55EC1" w:rsidP="00D55EC1">
      <w:pPr>
        <w:autoSpaceDE w:val="0"/>
        <w:autoSpaceDN w:val="0"/>
        <w:adjustRightInd w:val="0"/>
        <w:spacing w:after="0" w:line="240" w:lineRule="auto"/>
        <w:jc w:val="both"/>
        <w:rPr>
          <w:rFonts w:ascii="Times New Roman" w:hAnsi="Times New Roman"/>
          <w:sz w:val="20"/>
          <w:szCs w:val="20"/>
        </w:rPr>
      </w:pPr>
      <w:r w:rsidRPr="00641801">
        <w:rPr>
          <w:rFonts w:ascii="Times New Roman" w:hAnsi="Times New Roman"/>
          <w:sz w:val="20"/>
          <w:szCs w:val="20"/>
        </w:rPr>
        <w:t>Further, there is no guarantee that we will retain the business of our existing key customers or maintain the current level of business with each of these customers. In order to retain some of our existing customers, we may also be required to offer terms to such customers which may place restraints on our resources. Additionally, our revenues may be adversely affected if there is an adverse change in any of our customers’ supply chain strategies or a reduction in their outsourcing of products we offer, or if our customers decide to choose our competitors over us or if there is a significant reduction in the volume of our business with such customers.</w:t>
      </w:r>
    </w:p>
    <w:p w14:paraId="638A203D" w14:textId="77777777" w:rsidR="00D55EC1" w:rsidRPr="00641801" w:rsidRDefault="00D55EC1" w:rsidP="00D55EC1">
      <w:pPr>
        <w:autoSpaceDE w:val="0"/>
        <w:autoSpaceDN w:val="0"/>
        <w:adjustRightInd w:val="0"/>
        <w:spacing w:after="0" w:line="240" w:lineRule="auto"/>
        <w:jc w:val="both"/>
        <w:rPr>
          <w:rFonts w:ascii="Times New Roman" w:hAnsi="Times New Roman"/>
          <w:sz w:val="20"/>
          <w:szCs w:val="20"/>
        </w:rPr>
      </w:pPr>
    </w:p>
    <w:p w14:paraId="4503AC03" w14:textId="77777777" w:rsidR="00D55EC1" w:rsidRPr="00641801" w:rsidRDefault="00D55EC1" w:rsidP="00D55EC1">
      <w:pPr>
        <w:autoSpaceDE w:val="0"/>
        <w:autoSpaceDN w:val="0"/>
        <w:adjustRightInd w:val="0"/>
        <w:spacing w:after="0" w:line="240" w:lineRule="auto"/>
        <w:jc w:val="both"/>
        <w:rPr>
          <w:rFonts w:ascii="Times New Roman" w:hAnsi="Times New Roman"/>
          <w:sz w:val="20"/>
          <w:szCs w:val="20"/>
        </w:rPr>
      </w:pPr>
      <w:r w:rsidRPr="00641801">
        <w:rPr>
          <w:rFonts w:ascii="Times New Roman" w:eastAsia="MS Mincho" w:hAnsi="Times New Roman"/>
          <w:sz w:val="20"/>
          <w:szCs w:val="20"/>
          <w:lang w:val="en-GB"/>
        </w:rPr>
        <w:t>We cannot assure you that we will be able to maintain historic levels of business and/or negotiate and execute long term contracts on terms that are commercially viable with our significant customers or that we will be able to significantly reduce customer concentration in the future. Further, the sales volume may vary due to our customers’ attempts to manage their inventory, market demand, product and supply pricing trends, change in customer preferences etc., which may result in decrease in demand or lack of commercial success of our products, which could reduce our sales and adversely affect our business, cash flows, results of operations and financial condition.</w:t>
      </w:r>
    </w:p>
    <w:p w14:paraId="38EABF7D" w14:textId="77777777" w:rsidR="00D55EC1" w:rsidRPr="00641801" w:rsidRDefault="00D55EC1" w:rsidP="00D55EC1">
      <w:pPr>
        <w:tabs>
          <w:tab w:val="left" w:pos="0"/>
        </w:tabs>
        <w:spacing w:after="0" w:line="240" w:lineRule="auto"/>
        <w:jc w:val="both"/>
        <w:rPr>
          <w:rFonts w:ascii="Times New Roman" w:eastAsia="MS Mincho" w:hAnsi="Times New Roman"/>
          <w:sz w:val="20"/>
          <w:szCs w:val="20"/>
          <w:lang w:val="en-GB"/>
        </w:rPr>
      </w:pPr>
    </w:p>
    <w:p w14:paraId="20C0F46E" w14:textId="77777777" w:rsidR="00D55EC1" w:rsidRPr="00641801" w:rsidRDefault="00D55EC1" w:rsidP="00D55EC1">
      <w:pPr>
        <w:tabs>
          <w:tab w:val="left" w:pos="0"/>
        </w:tabs>
        <w:spacing w:after="0" w:line="240" w:lineRule="auto"/>
        <w:jc w:val="both"/>
        <w:rPr>
          <w:rFonts w:ascii="Times New Roman" w:eastAsia="Calibri" w:hAnsi="Times New Roman"/>
          <w:sz w:val="20"/>
          <w:szCs w:val="20"/>
        </w:rPr>
      </w:pPr>
      <w:r w:rsidRPr="00641801">
        <w:rPr>
          <w:rFonts w:ascii="Times New Roman" w:eastAsia="Calibri" w:hAnsi="Times New Roman"/>
          <w:sz w:val="20"/>
          <w:szCs w:val="20"/>
        </w:rPr>
        <w:t>In addition, we are exposed to payment delays and/or defaults by our major customers and our financial position and financial performance are dependent on the creditworthiness of our customers. There is no guarantee that all or any of our customers will honor their outstanding amounts in time and whether they will be able to fulfill their obligations, due to any financial difficulties, cash flow difficulties, deterioration in their business performance, or a downturn in the global economy. If such events or circumstances occur from all or any of our major customer, our financial performance and our operating cash flows may be adversely affected.</w:t>
      </w:r>
    </w:p>
    <w:p w14:paraId="256DE785" w14:textId="77777777" w:rsidR="00D55EC1" w:rsidRPr="00641801" w:rsidRDefault="00D55EC1" w:rsidP="00D55EC1">
      <w:pPr>
        <w:autoSpaceDE w:val="0"/>
        <w:autoSpaceDN w:val="0"/>
        <w:adjustRightInd w:val="0"/>
        <w:spacing w:after="0" w:line="240" w:lineRule="auto"/>
        <w:jc w:val="both"/>
        <w:rPr>
          <w:rFonts w:ascii="Times New Roman" w:hAnsi="Times New Roman"/>
          <w:sz w:val="20"/>
          <w:szCs w:val="20"/>
        </w:rPr>
      </w:pPr>
    </w:p>
    <w:p w14:paraId="04579EB4" w14:textId="77777777" w:rsidR="00D55EC1" w:rsidRPr="00186C9D" w:rsidRDefault="00D55EC1" w:rsidP="00F038BD">
      <w:pPr>
        <w:pStyle w:val="ListParagraph"/>
        <w:numPr>
          <w:ilvl w:val="0"/>
          <w:numId w:val="150"/>
        </w:numPr>
        <w:spacing w:line="240" w:lineRule="auto"/>
        <w:contextualSpacing/>
        <w:jc w:val="both"/>
        <w:rPr>
          <w:b/>
          <w:bCs/>
          <w:i/>
          <w:iCs/>
          <w:sz w:val="20"/>
          <w:szCs w:val="20"/>
        </w:rPr>
      </w:pPr>
      <w:r w:rsidRPr="00186C9D">
        <w:rPr>
          <w:b/>
          <w:bCs/>
          <w:i/>
          <w:iCs/>
          <w:sz w:val="20"/>
          <w:szCs w:val="20"/>
        </w:rPr>
        <w:t>We require certain approvals, licenses, registrations and permits to operate  our business, and failure to obtain or renew them in a timely manner or maintain the statutory and regulatory permits and approvals required to operate our business may adversely affect our operations and financial conditions.</w:t>
      </w:r>
    </w:p>
    <w:p w14:paraId="30701A83" w14:textId="77777777" w:rsidR="00D55EC1" w:rsidRPr="00186C9D" w:rsidRDefault="00D55EC1" w:rsidP="00D55EC1">
      <w:pPr>
        <w:tabs>
          <w:tab w:val="left" w:pos="0"/>
        </w:tabs>
        <w:spacing w:after="0" w:line="240" w:lineRule="auto"/>
        <w:ind w:left="360"/>
        <w:contextualSpacing/>
        <w:jc w:val="both"/>
        <w:rPr>
          <w:rFonts w:ascii="Times New Roman" w:eastAsia="MS Mincho" w:hAnsi="Times New Roman"/>
          <w:b/>
          <w:bCs/>
          <w:sz w:val="20"/>
          <w:szCs w:val="20"/>
        </w:rPr>
      </w:pPr>
    </w:p>
    <w:p w14:paraId="57B5D321" w14:textId="22F44E07" w:rsidR="00D55EC1" w:rsidRPr="00186C9D" w:rsidRDefault="00D55EC1" w:rsidP="00D55EC1">
      <w:pPr>
        <w:autoSpaceDE w:val="0"/>
        <w:autoSpaceDN w:val="0"/>
        <w:adjustRightInd w:val="0"/>
        <w:spacing w:after="0" w:line="240" w:lineRule="auto"/>
        <w:jc w:val="both"/>
        <w:rPr>
          <w:rFonts w:ascii="Times New Roman" w:eastAsia="MS Mincho" w:hAnsi="Times New Roman"/>
          <w:bCs/>
          <w:sz w:val="20"/>
          <w:szCs w:val="20"/>
        </w:rPr>
      </w:pPr>
      <w:r w:rsidRPr="00186C9D">
        <w:rPr>
          <w:rFonts w:ascii="Times New Roman" w:eastAsia="MS Mincho" w:hAnsi="Times New Roman"/>
          <w:bCs/>
          <w:sz w:val="20"/>
          <w:szCs w:val="20"/>
        </w:rPr>
        <w:lastRenderedPageBreak/>
        <w:t xml:space="preserve">We require certain statutory and regulatory permits, licenses and approvals to operate our business. </w:t>
      </w:r>
      <w:r w:rsidR="00186C9D">
        <w:rPr>
          <w:rFonts w:ascii="Times New Roman" w:eastAsia="MS Mincho" w:hAnsi="Times New Roman"/>
          <w:bCs/>
          <w:sz w:val="20"/>
          <w:szCs w:val="20"/>
        </w:rPr>
        <w:t xml:space="preserve">Except as described below and as mentioned in the </w:t>
      </w:r>
      <w:r w:rsidR="00186C9D">
        <w:rPr>
          <w:rFonts w:ascii="Times New Roman" w:eastAsia="MS Mincho" w:hAnsi="Times New Roman"/>
          <w:bCs/>
          <w:iCs/>
          <w:sz w:val="20"/>
          <w:szCs w:val="20"/>
        </w:rPr>
        <w:t>chapter</w:t>
      </w:r>
      <w:r w:rsidR="00186C9D" w:rsidRPr="00186C9D">
        <w:rPr>
          <w:rFonts w:ascii="Times New Roman" w:eastAsia="MS Mincho" w:hAnsi="Times New Roman"/>
          <w:bCs/>
          <w:iCs/>
          <w:sz w:val="20"/>
          <w:szCs w:val="20"/>
        </w:rPr>
        <w:t xml:space="preserve"> titled </w:t>
      </w:r>
      <w:r w:rsidR="00186C9D" w:rsidRPr="00186C9D">
        <w:rPr>
          <w:rFonts w:ascii="Times New Roman" w:eastAsia="MS Mincho" w:hAnsi="Times New Roman"/>
          <w:b/>
          <w:bCs/>
          <w:iCs/>
          <w:sz w:val="20"/>
          <w:szCs w:val="20"/>
        </w:rPr>
        <w:t>“</w:t>
      </w:r>
      <w:r w:rsidR="00186C9D" w:rsidRPr="00186C9D">
        <w:rPr>
          <w:rFonts w:ascii="Times New Roman" w:eastAsia="MS Mincho" w:hAnsi="Times New Roman"/>
          <w:b/>
          <w:bCs/>
          <w:i/>
          <w:iCs/>
          <w:sz w:val="20"/>
          <w:szCs w:val="20"/>
        </w:rPr>
        <w:t>Government and Other Approvals</w:t>
      </w:r>
      <w:r w:rsidR="00186C9D" w:rsidRPr="00186C9D">
        <w:rPr>
          <w:rFonts w:ascii="Times New Roman" w:eastAsia="MS Mincho" w:hAnsi="Times New Roman"/>
          <w:b/>
          <w:bCs/>
          <w:iCs/>
          <w:sz w:val="20"/>
          <w:szCs w:val="20"/>
        </w:rPr>
        <w:t>”</w:t>
      </w:r>
      <w:r w:rsidR="00186C9D">
        <w:rPr>
          <w:rFonts w:ascii="Times New Roman" w:eastAsia="MS Mincho" w:hAnsi="Times New Roman"/>
          <w:b/>
          <w:bCs/>
          <w:iCs/>
          <w:sz w:val="20"/>
          <w:szCs w:val="20"/>
        </w:rPr>
        <w:t xml:space="preserve">, </w:t>
      </w:r>
      <w:r w:rsidRPr="00186C9D">
        <w:rPr>
          <w:rFonts w:ascii="Times New Roman" w:eastAsia="MS Mincho" w:hAnsi="Times New Roman"/>
          <w:bCs/>
          <w:sz w:val="20"/>
          <w:szCs w:val="20"/>
        </w:rPr>
        <w:t xml:space="preserve">we believe that we have obtained </w:t>
      </w:r>
      <w:r w:rsidR="00186C9D">
        <w:rPr>
          <w:rFonts w:ascii="Times New Roman" w:eastAsia="MS Mincho" w:hAnsi="Times New Roman"/>
          <w:bCs/>
          <w:sz w:val="20"/>
          <w:szCs w:val="20"/>
        </w:rPr>
        <w:t xml:space="preserve">requisite </w:t>
      </w:r>
      <w:r w:rsidRPr="00186C9D">
        <w:rPr>
          <w:rFonts w:ascii="Times New Roman" w:eastAsia="MS Mincho" w:hAnsi="Times New Roman"/>
          <w:bCs/>
          <w:sz w:val="20"/>
          <w:szCs w:val="20"/>
        </w:rPr>
        <w:t xml:space="preserve">permits and licenses which are adequate to run our business, </w:t>
      </w:r>
      <w:r w:rsidR="00186C9D">
        <w:rPr>
          <w:rFonts w:ascii="Times New Roman" w:eastAsia="MS Mincho" w:hAnsi="Times New Roman"/>
          <w:bCs/>
          <w:sz w:val="20"/>
          <w:szCs w:val="20"/>
        </w:rPr>
        <w:t xml:space="preserve">however </w:t>
      </w:r>
      <w:r w:rsidRPr="00186C9D">
        <w:rPr>
          <w:rFonts w:ascii="Times New Roman" w:eastAsia="MS Mincho" w:hAnsi="Times New Roman"/>
          <w:bCs/>
          <w:sz w:val="20"/>
          <w:szCs w:val="20"/>
        </w:rPr>
        <w:t xml:space="preserve">we cannot assure that there is no other statutory/regulatory requirement which we are required to comply with. Further, some of these approvals are granted for fixed periods of time and need renewal from time to time. We are required to renew such permits, licenses and approvals. There can be no assurance that the relevant authorities will issue any of such permits or approvals in time or at all. Failure by us to renew, maintain or obtain the required permits or approvals in time may result in the interruption of our operations and may have a material adverse effect on our business, financial condition and results of operations. </w:t>
      </w:r>
    </w:p>
    <w:p w14:paraId="75717406" w14:textId="77777777" w:rsidR="00D55EC1" w:rsidRDefault="00D55EC1" w:rsidP="00D55EC1">
      <w:pPr>
        <w:autoSpaceDE w:val="0"/>
        <w:autoSpaceDN w:val="0"/>
        <w:adjustRightInd w:val="0"/>
        <w:spacing w:after="0" w:line="240" w:lineRule="auto"/>
        <w:jc w:val="both"/>
        <w:rPr>
          <w:rFonts w:ascii="Times New Roman" w:eastAsia="MS Mincho" w:hAnsi="Times New Roman"/>
          <w:bCs/>
          <w:sz w:val="20"/>
          <w:szCs w:val="20"/>
        </w:rPr>
      </w:pPr>
    </w:p>
    <w:p w14:paraId="1C7CFE9F" w14:textId="7D910D88" w:rsidR="00D55EC1" w:rsidRPr="009434DE" w:rsidRDefault="00186C9D" w:rsidP="009434DE">
      <w:pPr>
        <w:autoSpaceDE w:val="0"/>
        <w:autoSpaceDN w:val="0"/>
        <w:adjustRightInd w:val="0"/>
        <w:spacing w:after="0" w:line="240" w:lineRule="auto"/>
        <w:jc w:val="both"/>
        <w:rPr>
          <w:rFonts w:ascii="Times New Roman" w:eastAsia="MS Mincho" w:hAnsi="Times New Roman"/>
          <w:bCs/>
          <w:sz w:val="20"/>
          <w:szCs w:val="20"/>
          <w:lang w:val="x-none"/>
        </w:rPr>
      </w:pPr>
      <w:r w:rsidRPr="00186C9D">
        <w:rPr>
          <w:rFonts w:ascii="Times New Roman" w:eastAsia="MS Mincho" w:hAnsi="Times New Roman"/>
          <w:bCs/>
          <w:sz w:val="20"/>
          <w:szCs w:val="20"/>
          <w:lang w:val="x-none"/>
        </w:rPr>
        <w:t>We are yet to make an application for obtaining Factory licence with Director Industrial Safety and Health, Jamnagar for our manufacturing unit at Plot 12 and 14, Naghedi, Post-Khodiyar Colony, Lakhabavad – 361006 Dist. Jamnagar.</w:t>
      </w:r>
      <w:r>
        <w:rPr>
          <w:rFonts w:ascii="Times New Roman" w:eastAsia="MS Mincho" w:hAnsi="Times New Roman"/>
          <w:bCs/>
          <w:sz w:val="20"/>
          <w:szCs w:val="20"/>
        </w:rPr>
        <w:t xml:space="preserve"> We have </w:t>
      </w:r>
      <w:r w:rsidRPr="00186C9D">
        <w:rPr>
          <w:rFonts w:ascii="Times New Roman" w:eastAsia="MS Mincho" w:hAnsi="Times New Roman"/>
          <w:bCs/>
          <w:sz w:val="20"/>
          <w:szCs w:val="20"/>
          <w:lang w:val="x-none"/>
        </w:rPr>
        <w:t>applied for renewal of Consolidated Consent and Authorization from Gujarat Pollution Control Board under: - Water Act, 1974 - Air Act, 1981 - Environment Protection Act, 1986 for the factory situated Plot 6 and 7, Naghedi, Post-Khodiyar Colony, Lakhabavad – 361006 Dist. Jamnagar</w:t>
      </w:r>
      <w:r w:rsidRPr="00186C9D">
        <w:rPr>
          <w:rFonts w:ascii="Times New Roman" w:eastAsia="MS Mincho" w:hAnsi="Times New Roman"/>
          <w:bCs/>
          <w:sz w:val="20"/>
          <w:szCs w:val="20"/>
        </w:rPr>
        <w:t>, which is pending for approval.</w:t>
      </w:r>
      <w:r>
        <w:rPr>
          <w:rFonts w:ascii="Times New Roman" w:eastAsia="MS Mincho" w:hAnsi="Times New Roman"/>
          <w:bCs/>
          <w:sz w:val="20"/>
          <w:szCs w:val="20"/>
        </w:rPr>
        <w:t xml:space="preserve"> Further, our </w:t>
      </w:r>
      <w:r w:rsidRPr="00186C9D">
        <w:rPr>
          <w:rFonts w:ascii="Times New Roman" w:eastAsia="MS Mincho" w:hAnsi="Times New Roman"/>
          <w:bCs/>
          <w:sz w:val="20"/>
          <w:szCs w:val="20"/>
          <w:lang w:val="x-none"/>
        </w:rPr>
        <w:t xml:space="preserve">Company has </w:t>
      </w:r>
      <w:r>
        <w:rPr>
          <w:rFonts w:ascii="Times New Roman" w:eastAsia="MS Mincho" w:hAnsi="Times New Roman"/>
          <w:bCs/>
          <w:sz w:val="20"/>
          <w:szCs w:val="20"/>
        </w:rPr>
        <w:t xml:space="preserve">recently </w:t>
      </w:r>
      <w:r w:rsidRPr="00186C9D">
        <w:rPr>
          <w:rFonts w:ascii="Times New Roman" w:eastAsia="MS Mincho" w:hAnsi="Times New Roman"/>
          <w:bCs/>
          <w:sz w:val="20"/>
          <w:szCs w:val="20"/>
          <w:lang w:val="x-none"/>
        </w:rPr>
        <w:t xml:space="preserve">applied for factory licence </w:t>
      </w:r>
      <w:r w:rsidRPr="00186C9D">
        <w:rPr>
          <w:rFonts w:ascii="Times New Roman" w:eastAsia="MS Mincho" w:hAnsi="Times New Roman"/>
          <w:bCs/>
          <w:sz w:val="20"/>
          <w:szCs w:val="20"/>
        </w:rPr>
        <w:t xml:space="preserve">with Director Industrial Safety and Health, Jamnagar </w:t>
      </w:r>
      <w:r w:rsidRPr="00186C9D">
        <w:rPr>
          <w:rFonts w:ascii="Times New Roman" w:eastAsia="MS Mincho" w:hAnsi="Times New Roman"/>
          <w:bCs/>
          <w:sz w:val="20"/>
          <w:szCs w:val="20"/>
          <w:lang w:val="x-none"/>
        </w:rPr>
        <w:t xml:space="preserve">for </w:t>
      </w:r>
      <w:r w:rsidRPr="00186C9D">
        <w:rPr>
          <w:rFonts w:ascii="Times New Roman" w:eastAsia="MS Mincho" w:hAnsi="Times New Roman"/>
          <w:bCs/>
          <w:sz w:val="20"/>
          <w:szCs w:val="20"/>
        </w:rPr>
        <w:t xml:space="preserve">the premises situated at </w:t>
      </w:r>
      <w:r w:rsidRPr="00186C9D">
        <w:rPr>
          <w:rFonts w:ascii="Times New Roman" w:eastAsia="MS Mincho" w:hAnsi="Times New Roman"/>
          <w:bCs/>
          <w:sz w:val="20"/>
          <w:szCs w:val="20"/>
          <w:lang w:val="x-none"/>
        </w:rPr>
        <w:t>Plot 10, Naghedi, Post-Khodiyar Colony, Lakhabavad – 361006 Dist. Jamnagar</w:t>
      </w:r>
      <w:r w:rsidRPr="00186C9D">
        <w:rPr>
          <w:rFonts w:ascii="Times New Roman" w:eastAsia="MS Mincho" w:hAnsi="Times New Roman"/>
          <w:bCs/>
          <w:sz w:val="20"/>
          <w:szCs w:val="20"/>
        </w:rPr>
        <w:t xml:space="preserve">, which is pending for approval. </w:t>
      </w:r>
      <w:r w:rsidR="00D55EC1" w:rsidRPr="00186C9D">
        <w:rPr>
          <w:rFonts w:ascii="Times New Roman" w:hAnsi="Times New Roman"/>
          <w:bCs/>
          <w:iCs/>
          <w:sz w:val="20"/>
          <w:szCs w:val="20"/>
        </w:rPr>
        <w:t xml:space="preserve">Also, our Company is in the process of making application for change in name in all the permits, licenses and approvals, which are under Company’s former name. For details regarding pending approvals, please refer to section titled </w:t>
      </w:r>
      <w:r w:rsidR="00D55EC1" w:rsidRPr="00186C9D">
        <w:rPr>
          <w:rFonts w:ascii="Times New Roman" w:hAnsi="Times New Roman"/>
          <w:b/>
          <w:bCs/>
          <w:iCs/>
          <w:sz w:val="20"/>
          <w:szCs w:val="20"/>
        </w:rPr>
        <w:t>“</w:t>
      </w:r>
      <w:r w:rsidR="00D55EC1" w:rsidRPr="00186C9D">
        <w:rPr>
          <w:rFonts w:ascii="Times New Roman" w:hAnsi="Times New Roman"/>
          <w:b/>
          <w:bCs/>
          <w:i/>
          <w:iCs/>
          <w:sz w:val="20"/>
          <w:szCs w:val="20"/>
        </w:rPr>
        <w:t>Government and Other Approvals</w:t>
      </w:r>
      <w:r w:rsidR="00D55EC1" w:rsidRPr="00186C9D">
        <w:rPr>
          <w:rFonts w:ascii="Times New Roman" w:hAnsi="Times New Roman"/>
          <w:b/>
          <w:bCs/>
          <w:iCs/>
          <w:sz w:val="20"/>
          <w:szCs w:val="20"/>
        </w:rPr>
        <w:t>”</w:t>
      </w:r>
      <w:r w:rsidR="00D55EC1" w:rsidRPr="00186C9D">
        <w:rPr>
          <w:rFonts w:ascii="Times New Roman" w:hAnsi="Times New Roman"/>
          <w:bCs/>
          <w:iCs/>
          <w:sz w:val="20"/>
          <w:szCs w:val="20"/>
        </w:rPr>
        <w:t xml:space="preserve"> beginning on page 227 of the Draft Prospectus. </w:t>
      </w:r>
      <w:r w:rsidR="00D55EC1" w:rsidRPr="00186C9D">
        <w:rPr>
          <w:rFonts w:ascii="Times New Roman" w:eastAsia="MS Mincho" w:hAnsi="Times New Roman"/>
          <w:bCs/>
          <w:sz w:val="20"/>
          <w:szCs w:val="20"/>
        </w:rPr>
        <w:t xml:space="preserve">There can be no assurance that the relevant authorities will issue or renew these approvals or licenses in a timely manner, or at all. </w:t>
      </w:r>
      <w:r w:rsidR="00D55EC1" w:rsidRPr="00186C9D">
        <w:rPr>
          <w:rFonts w:ascii="Times New Roman" w:hAnsi="Times New Roman"/>
          <w:sz w:val="20"/>
          <w:szCs w:val="20"/>
        </w:rPr>
        <w:t>In the event of any unanticipated delay in receipt of such approvals, the proposed capacity expansion plan may extend and any such delay could have an adverse impact on our growth, prospects, cash flows and financial condition.</w:t>
      </w:r>
    </w:p>
    <w:p w14:paraId="0240D7BB" w14:textId="77777777" w:rsidR="00D55EC1" w:rsidRPr="00186C9D" w:rsidRDefault="00D55EC1" w:rsidP="00D55EC1">
      <w:pPr>
        <w:autoSpaceDE w:val="0"/>
        <w:autoSpaceDN w:val="0"/>
        <w:adjustRightInd w:val="0"/>
        <w:spacing w:after="0" w:line="240" w:lineRule="auto"/>
        <w:jc w:val="both"/>
        <w:rPr>
          <w:rFonts w:ascii="Times New Roman" w:eastAsia="MS Mincho" w:hAnsi="Times New Roman"/>
          <w:bCs/>
          <w:sz w:val="20"/>
          <w:szCs w:val="20"/>
        </w:rPr>
      </w:pPr>
    </w:p>
    <w:p w14:paraId="0CA0DCBB" w14:textId="77777777" w:rsidR="00D55EC1" w:rsidRPr="00641801" w:rsidRDefault="00D55EC1" w:rsidP="00D55EC1">
      <w:pPr>
        <w:autoSpaceDE w:val="0"/>
        <w:autoSpaceDN w:val="0"/>
        <w:adjustRightInd w:val="0"/>
        <w:spacing w:after="0" w:line="240" w:lineRule="auto"/>
        <w:jc w:val="both"/>
        <w:rPr>
          <w:rFonts w:ascii="Times New Roman" w:eastAsia="MS Mincho" w:hAnsi="Times New Roman"/>
          <w:bCs/>
          <w:sz w:val="20"/>
          <w:szCs w:val="20"/>
        </w:rPr>
      </w:pPr>
      <w:r w:rsidRPr="00186C9D">
        <w:rPr>
          <w:rFonts w:ascii="Times New Roman" w:eastAsia="MS Mincho" w:hAnsi="Times New Roman"/>
          <w:bCs/>
          <w:sz w:val="20"/>
          <w:szCs w:val="20"/>
        </w:rPr>
        <w:t>The approvals required by our Company are subject to numerous conditions and there can be no assurance that these would not be suspended or revoked in the event of non-compliance or alleged non-compliance with any terms or conditions thereof, or pursuant to any regulatory action. If there is any failure by us to comply with the applicable regulations or if the regulations governing our business are amended, we may incur increased costs, be subject to penalties, have our approvals and permits revoked or suffer a disruption in our operations, any of which could adversely affect our business.</w:t>
      </w:r>
    </w:p>
    <w:p w14:paraId="1240A377" w14:textId="77777777" w:rsidR="00D55EC1" w:rsidRDefault="00D55EC1" w:rsidP="00D55EC1">
      <w:pPr>
        <w:tabs>
          <w:tab w:val="left" w:pos="0"/>
        </w:tabs>
        <w:spacing w:after="0" w:line="240" w:lineRule="auto"/>
        <w:jc w:val="both"/>
        <w:rPr>
          <w:rFonts w:ascii="Times New Roman" w:hAnsi="Times New Roman"/>
          <w:bCs/>
          <w:iCs/>
          <w:sz w:val="20"/>
          <w:szCs w:val="20"/>
        </w:rPr>
      </w:pPr>
    </w:p>
    <w:p w14:paraId="54CBD92C" w14:textId="77777777" w:rsidR="00D55EC1" w:rsidRPr="00EB4390" w:rsidRDefault="00D55EC1" w:rsidP="00F038BD">
      <w:pPr>
        <w:pStyle w:val="ListParagraph"/>
        <w:numPr>
          <w:ilvl w:val="0"/>
          <w:numId w:val="150"/>
        </w:numPr>
        <w:spacing w:line="240" w:lineRule="auto"/>
        <w:contextualSpacing/>
        <w:jc w:val="both"/>
        <w:rPr>
          <w:b/>
          <w:bCs/>
          <w:i/>
          <w:iCs/>
          <w:sz w:val="20"/>
          <w:szCs w:val="20"/>
          <w:lang w:val="en-US"/>
        </w:rPr>
      </w:pPr>
      <w:r w:rsidRPr="00EB4390">
        <w:rPr>
          <w:b/>
          <w:bCs/>
          <w:i/>
          <w:iCs/>
          <w:sz w:val="20"/>
          <w:szCs w:val="20"/>
          <w:lang w:val="en-US"/>
        </w:rPr>
        <w:t>Ours is a high volume</w:t>
      </w:r>
      <w:r>
        <w:rPr>
          <w:b/>
          <w:bCs/>
          <w:i/>
          <w:iCs/>
          <w:sz w:val="20"/>
          <w:szCs w:val="20"/>
          <w:lang w:val="en-US"/>
        </w:rPr>
        <w:t>-</w:t>
      </w:r>
      <w:r w:rsidRPr="00EB4390">
        <w:rPr>
          <w:b/>
          <w:bCs/>
          <w:i/>
          <w:iCs/>
          <w:sz w:val="20"/>
          <w:szCs w:val="20"/>
          <w:lang w:val="en-US"/>
        </w:rPr>
        <w:t>low margin business.</w:t>
      </w:r>
    </w:p>
    <w:p w14:paraId="2B574C7B" w14:textId="77777777" w:rsidR="00D55EC1" w:rsidRDefault="00D55EC1" w:rsidP="00D55EC1">
      <w:pPr>
        <w:tabs>
          <w:tab w:val="left" w:pos="0"/>
        </w:tabs>
        <w:spacing w:after="0" w:line="240" w:lineRule="auto"/>
        <w:jc w:val="both"/>
        <w:rPr>
          <w:rFonts w:ascii="Times New Roman" w:hAnsi="Times New Roman"/>
          <w:bCs/>
          <w:iCs/>
          <w:sz w:val="20"/>
          <w:szCs w:val="20"/>
        </w:rPr>
      </w:pPr>
    </w:p>
    <w:p w14:paraId="4F1DE499" w14:textId="77777777" w:rsidR="00D55EC1" w:rsidRDefault="00D55EC1" w:rsidP="00D55EC1">
      <w:pPr>
        <w:tabs>
          <w:tab w:val="left" w:pos="0"/>
        </w:tabs>
        <w:spacing w:after="0" w:line="240" w:lineRule="auto"/>
        <w:jc w:val="both"/>
        <w:rPr>
          <w:rFonts w:ascii="Times New Roman" w:hAnsi="Times New Roman"/>
          <w:bCs/>
          <w:iCs/>
          <w:sz w:val="20"/>
          <w:szCs w:val="20"/>
        </w:rPr>
      </w:pPr>
      <w:r w:rsidRPr="00EB4390">
        <w:rPr>
          <w:rFonts w:ascii="Times New Roman" w:hAnsi="Times New Roman"/>
          <w:bCs/>
          <w:iCs/>
          <w:sz w:val="20"/>
          <w:szCs w:val="20"/>
        </w:rPr>
        <w:t>Ours is a high volume</w:t>
      </w:r>
      <w:r>
        <w:rPr>
          <w:rFonts w:ascii="Times New Roman" w:hAnsi="Times New Roman"/>
          <w:bCs/>
          <w:iCs/>
          <w:sz w:val="20"/>
          <w:szCs w:val="20"/>
        </w:rPr>
        <w:t>-</w:t>
      </w:r>
      <w:r w:rsidRPr="00EB4390">
        <w:rPr>
          <w:rFonts w:ascii="Times New Roman" w:hAnsi="Times New Roman"/>
          <w:bCs/>
          <w:iCs/>
          <w:sz w:val="20"/>
          <w:szCs w:val="20"/>
        </w:rPr>
        <w:t>low margin business. Our financial operations are largely dependent on the volume of the</w:t>
      </w:r>
      <w:r>
        <w:rPr>
          <w:rFonts w:ascii="Times New Roman" w:hAnsi="Times New Roman"/>
          <w:bCs/>
          <w:iCs/>
          <w:sz w:val="20"/>
          <w:szCs w:val="20"/>
        </w:rPr>
        <w:t xml:space="preserve"> </w:t>
      </w:r>
      <w:r w:rsidRPr="00EB4390">
        <w:rPr>
          <w:rFonts w:ascii="Times New Roman" w:hAnsi="Times New Roman"/>
          <w:bCs/>
          <w:iCs/>
          <w:sz w:val="20"/>
          <w:szCs w:val="20"/>
        </w:rPr>
        <w:t>business we</w:t>
      </w:r>
      <w:r>
        <w:rPr>
          <w:rFonts w:ascii="Times New Roman" w:hAnsi="Times New Roman"/>
          <w:bCs/>
          <w:iCs/>
          <w:sz w:val="20"/>
          <w:szCs w:val="20"/>
        </w:rPr>
        <w:t xml:space="preserve"> </w:t>
      </w:r>
      <w:r w:rsidRPr="00EB4390">
        <w:rPr>
          <w:rFonts w:ascii="Times New Roman" w:hAnsi="Times New Roman"/>
          <w:bCs/>
          <w:iCs/>
          <w:sz w:val="20"/>
          <w:szCs w:val="20"/>
        </w:rPr>
        <w:t>generate which</w:t>
      </w:r>
      <w:r>
        <w:rPr>
          <w:rFonts w:ascii="Times New Roman" w:hAnsi="Times New Roman"/>
          <w:bCs/>
          <w:iCs/>
          <w:sz w:val="20"/>
          <w:szCs w:val="20"/>
        </w:rPr>
        <w:t xml:space="preserve"> </w:t>
      </w:r>
      <w:r w:rsidRPr="00EB4390">
        <w:rPr>
          <w:rFonts w:ascii="Times New Roman" w:hAnsi="Times New Roman"/>
          <w:bCs/>
          <w:iCs/>
          <w:sz w:val="20"/>
          <w:szCs w:val="20"/>
        </w:rPr>
        <w:t>will add to profits</w:t>
      </w:r>
      <w:r>
        <w:rPr>
          <w:rFonts w:ascii="Times New Roman" w:hAnsi="Times New Roman"/>
          <w:bCs/>
          <w:iCs/>
          <w:sz w:val="20"/>
          <w:szCs w:val="20"/>
        </w:rPr>
        <w:t xml:space="preserve"> </w:t>
      </w:r>
      <w:r w:rsidRPr="00EB4390">
        <w:rPr>
          <w:rFonts w:ascii="Times New Roman" w:hAnsi="Times New Roman"/>
          <w:bCs/>
          <w:iCs/>
          <w:sz w:val="20"/>
          <w:szCs w:val="20"/>
        </w:rPr>
        <w:t>in absolute terms.</w:t>
      </w:r>
      <w:r>
        <w:rPr>
          <w:rFonts w:ascii="Times New Roman" w:hAnsi="Times New Roman"/>
          <w:bCs/>
          <w:iCs/>
          <w:sz w:val="20"/>
          <w:szCs w:val="20"/>
        </w:rPr>
        <w:t xml:space="preserve"> </w:t>
      </w:r>
      <w:r w:rsidRPr="00EB4390">
        <w:rPr>
          <w:rFonts w:ascii="Times New Roman" w:hAnsi="Times New Roman"/>
          <w:bCs/>
          <w:iCs/>
          <w:sz w:val="20"/>
          <w:szCs w:val="20"/>
        </w:rPr>
        <w:t>We need to generate higher volume</w:t>
      </w:r>
      <w:r>
        <w:rPr>
          <w:rFonts w:ascii="Times New Roman" w:hAnsi="Times New Roman"/>
          <w:bCs/>
          <w:iCs/>
          <w:sz w:val="20"/>
          <w:szCs w:val="20"/>
        </w:rPr>
        <w:t xml:space="preserve"> </w:t>
      </w:r>
      <w:r w:rsidRPr="00EB4390">
        <w:rPr>
          <w:rFonts w:ascii="Times New Roman" w:hAnsi="Times New Roman"/>
          <w:bCs/>
          <w:iCs/>
          <w:sz w:val="20"/>
          <w:szCs w:val="20"/>
        </w:rPr>
        <w:t>in terms</w:t>
      </w:r>
      <w:r>
        <w:rPr>
          <w:rFonts w:ascii="Times New Roman" w:hAnsi="Times New Roman"/>
          <w:bCs/>
          <w:iCs/>
          <w:sz w:val="20"/>
          <w:szCs w:val="20"/>
        </w:rPr>
        <w:t xml:space="preserve"> </w:t>
      </w:r>
      <w:r w:rsidRPr="00EB4390">
        <w:rPr>
          <w:rFonts w:ascii="Times New Roman" w:hAnsi="Times New Roman"/>
          <w:bCs/>
          <w:iCs/>
          <w:sz w:val="20"/>
          <w:szCs w:val="20"/>
        </w:rPr>
        <w:t>of</w:t>
      </w:r>
      <w:r>
        <w:rPr>
          <w:rFonts w:ascii="Times New Roman" w:hAnsi="Times New Roman"/>
          <w:bCs/>
          <w:iCs/>
          <w:sz w:val="20"/>
          <w:szCs w:val="20"/>
        </w:rPr>
        <w:t xml:space="preserve"> </w:t>
      </w:r>
      <w:r w:rsidRPr="00EB4390">
        <w:rPr>
          <w:rFonts w:ascii="Times New Roman" w:hAnsi="Times New Roman"/>
          <w:bCs/>
          <w:iCs/>
          <w:sz w:val="20"/>
          <w:szCs w:val="20"/>
        </w:rPr>
        <w:t>quantity</w:t>
      </w:r>
      <w:r>
        <w:rPr>
          <w:rFonts w:ascii="Times New Roman" w:hAnsi="Times New Roman"/>
          <w:bCs/>
          <w:iCs/>
          <w:sz w:val="20"/>
          <w:szCs w:val="20"/>
        </w:rPr>
        <w:t xml:space="preserve"> </w:t>
      </w:r>
      <w:r w:rsidRPr="00EB4390">
        <w:rPr>
          <w:rFonts w:ascii="Times New Roman" w:hAnsi="Times New Roman"/>
          <w:bCs/>
          <w:iCs/>
          <w:sz w:val="20"/>
          <w:szCs w:val="20"/>
        </w:rPr>
        <w:t>to</w:t>
      </w:r>
      <w:r>
        <w:rPr>
          <w:rFonts w:ascii="Times New Roman" w:hAnsi="Times New Roman"/>
          <w:bCs/>
          <w:iCs/>
          <w:sz w:val="20"/>
          <w:szCs w:val="20"/>
        </w:rPr>
        <w:t xml:space="preserve"> </w:t>
      </w:r>
      <w:r w:rsidRPr="00EB4390">
        <w:rPr>
          <w:rFonts w:ascii="Times New Roman" w:hAnsi="Times New Roman"/>
          <w:bCs/>
          <w:iCs/>
          <w:sz w:val="20"/>
          <w:szCs w:val="20"/>
        </w:rPr>
        <w:t>increase</w:t>
      </w:r>
      <w:r>
        <w:rPr>
          <w:rFonts w:ascii="Times New Roman" w:hAnsi="Times New Roman"/>
          <w:bCs/>
          <w:iCs/>
          <w:sz w:val="20"/>
          <w:szCs w:val="20"/>
        </w:rPr>
        <w:t xml:space="preserve"> </w:t>
      </w:r>
      <w:r w:rsidRPr="00EB4390">
        <w:rPr>
          <w:rFonts w:ascii="Times New Roman" w:hAnsi="Times New Roman"/>
          <w:bCs/>
          <w:iCs/>
          <w:sz w:val="20"/>
          <w:szCs w:val="20"/>
        </w:rPr>
        <w:t>our</w:t>
      </w:r>
      <w:r>
        <w:rPr>
          <w:rFonts w:ascii="Times New Roman" w:hAnsi="Times New Roman"/>
          <w:bCs/>
          <w:iCs/>
          <w:sz w:val="20"/>
          <w:szCs w:val="20"/>
        </w:rPr>
        <w:t xml:space="preserve"> </w:t>
      </w:r>
      <w:r w:rsidRPr="00EB4390">
        <w:rPr>
          <w:rFonts w:ascii="Times New Roman" w:hAnsi="Times New Roman"/>
          <w:bCs/>
          <w:iCs/>
          <w:sz w:val="20"/>
          <w:szCs w:val="20"/>
        </w:rPr>
        <w:t>profitability</w:t>
      </w:r>
      <w:r>
        <w:rPr>
          <w:rFonts w:ascii="Times New Roman" w:hAnsi="Times New Roman"/>
          <w:bCs/>
          <w:iCs/>
          <w:sz w:val="20"/>
          <w:szCs w:val="20"/>
        </w:rPr>
        <w:t xml:space="preserve"> </w:t>
      </w:r>
      <w:r w:rsidRPr="00EB4390">
        <w:rPr>
          <w:rFonts w:ascii="Times New Roman" w:hAnsi="Times New Roman"/>
          <w:bCs/>
          <w:iCs/>
          <w:sz w:val="20"/>
          <w:szCs w:val="20"/>
        </w:rPr>
        <w:t>to</w:t>
      </w:r>
      <w:r>
        <w:rPr>
          <w:rFonts w:ascii="Times New Roman" w:hAnsi="Times New Roman"/>
          <w:bCs/>
          <w:iCs/>
          <w:sz w:val="20"/>
          <w:szCs w:val="20"/>
        </w:rPr>
        <w:t xml:space="preserve"> </w:t>
      </w:r>
      <w:r w:rsidRPr="00EB4390">
        <w:rPr>
          <w:rFonts w:ascii="Times New Roman" w:hAnsi="Times New Roman"/>
          <w:bCs/>
          <w:iCs/>
          <w:sz w:val="20"/>
          <w:szCs w:val="20"/>
        </w:rPr>
        <w:t>make</w:t>
      </w:r>
      <w:r>
        <w:rPr>
          <w:rFonts w:ascii="Times New Roman" w:hAnsi="Times New Roman"/>
          <w:bCs/>
          <w:iCs/>
          <w:sz w:val="20"/>
          <w:szCs w:val="20"/>
        </w:rPr>
        <w:t xml:space="preserve"> </w:t>
      </w:r>
      <w:r w:rsidRPr="00EB4390">
        <w:rPr>
          <w:rFonts w:ascii="Times New Roman" w:hAnsi="Times New Roman"/>
          <w:bCs/>
          <w:iCs/>
          <w:sz w:val="20"/>
          <w:szCs w:val="20"/>
        </w:rPr>
        <w:t>our</w:t>
      </w:r>
      <w:r>
        <w:rPr>
          <w:rFonts w:ascii="Times New Roman" w:hAnsi="Times New Roman"/>
          <w:bCs/>
          <w:iCs/>
          <w:sz w:val="20"/>
          <w:szCs w:val="20"/>
        </w:rPr>
        <w:t xml:space="preserve"> </w:t>
      </w:r>
      <w:r w:rsidRPr="00EB4390">
        <w:rPr>
          <w:rFonts w:ascii="Times New Roman" w:hAnsi="Times New Roman"/>
          <w:bCs/>
          <w:iCs/>
          <w:sz w:val="20"/>
          <w:szCs w:val="20"/>
        </w:rPr>
        <w:t>products</w:t>
      </w:r>
      <w:r>
        <w:rPr>
          <w:rFonts w:ascii="Times New Roman" w:hAnsi="Times New Roman"/>
          <w:bCs/>
          <w:iCs/>
          <w:sz w:val="20"/>
          <w:szCs w:val="20"/>
        </w:rPr>
        <w:t xml:space="preserve"> </w:t>
      </w:r>
      <w:r w:rsidRPr="00EB4390">
        <w:rPr>
          <w:rFonts w:ascii="Times New Roman" w:hAnsi="Times New Roman"/>
          <w:bCs/>
          <w:iCs/>
          <w:sz w:val="20"/>
          <w:szCs w:val="20"/>
        </w:rPr>
        <w:t>commercially</w:t>
      </w:r>
      <w:r>
        <w:rPr>
          <w:rFonts w:ascii="Times New Roman" w:hAnsi="Times New Roman"/>
          <w:bCs/>
          <w:iCs/>
          <w:sz w:val="20"/>
          <w:szCs w:val="20"/>
        </w:rPr>
        <w:t xml:space="preserve"> </w:t>
      </w:r>
      <w:r w:rsidRPr="00EB4390">
        <w:rPr>
          <w:rFonts w:ascii="Times New Roman" w:hAnsi="Times New Roman"/>
          <w:bCs/>
          <w:iCs/>
          <w:sz w:val="20"/>
          <w:szCs w:val="20"/>
        </w:rPr>
        <w:t>feasible.</w:t>
      </w:r>
      <w:r>
        <w:rPr>
          <w:rFonts w:ascii="Times New Roman" w:hAnsi="Times New Roman"/>
          <w:bCs/>
          <w:iCs/>
          <w:sz w:val="20"/>
          <w:szCs w:val="20"/>
        </w:rPr>
        <w:t xml:space="preserve"> </w:t>
      </w:r>
      <w:r w:rsidRPr="00EB4390">
        <w:rPr>
          <w:rFonts w:ascii="Times New Roman" w:hAnsi="Times New Roman"/>
          <w:bCs/>
          <w:iCs/>
          <w:sz w:val="20"/>
          <w:szCs w:val="20"/>
        </w:rPr>
        <w:t>Our</w:t>
      </w:r>
      <w:r>
        <w:rPr>
          <w:rFonts w:ascii="Times New Roman" w:hAnsi="Times New Roman"/>
          <w:bCs/>
          <w:iCs/>
          <w:sz w:val="20"/>
          <w:szCs w:val="20"/>
        </w:rPr>
        <w:t xml:space="preserve"> </w:t>
      </w:r>
      <w:r w:rsidRPr="00EB4390">
        <w:rPr>
          <w:rFonts w:ascii="Times New Roman" w:hAnsi="Times New Roman"/>
          <w:bCs/>
          <w:iCs/>
          <w:sz w:val="20"/>
          <w:szCs w:val="20"/>
        </w:rPr>
        <w:t>inability</w:t>
      </w:r>
      <w:r>
        <w:rPr>
          <w:rFonts w:ascii="Times New Roman" w:hAnsi="Times New Roman"/>
          <w:bCs/>
          <w:iCs/>
          <w:sz w:val="20"/>
          <w:szCs w:val="20"/>
        </w:rPr>
        <w:t xml:space="preserve"> </w:t>
      </w:r>
      <w:r w:rsidRPr="00EB4390">
        <w:rPr>
          <w:rFonts w:ascii="Times New Roman" w:hAnsi="Times New Roman"/>
          <w:bCs/>
          <w:iCs/>
          <w:sz w:val="20"/>
          <w:szCs w:val="20"/>
        </w:rPr>
        <w:t>to regularly grow our turnover and effectively</w:t>
      </w:r>
      <w:r>
        <w:rPr>
          <w:rFonts w:ascii="Times New Roman" w:hAnsi="Times New Roman"/>
          <w:bCs/>
          <w:iCs/>
          <w:sz w:val="20"/>
          <w:szCs w:val="20"/>
        </w:rPr>
        <w:t xml:space="preserve"> </w:t>
      </w:r>
      <w:r w:rsidRPr="00EB4390">
        <w:rPr>
          <w:rFonts w:ascii="Times New Roman" w:hAnsi="Times New Roman"/>
          <w:bCs/>
          <w:iCs/>
          <w:sz w:val="20"/>
          <w:szCs w:val="20"/>
        </w:rPr>
        <w:t>execute our key business processes could lead to lower profitability and hence adversely affect our operating results, debt service capabilities and financial conditions. Due to the nature of the products we sell, we may not be able to charge higher margins on our products. Hence, our business model is heavily reliant on our ability to effectively grow our turnover and manage our key processes including but not limited to procurement of raw material</w:t>
      </w:r>
      <w:r>
        <w:rPr>
          <w:rFonts w:ascii="Times New Roman" w:hAnsi="Times New Roman"/>
          <w:bCs/>
          <w:iCs/>
          <w:sz w:val="20"/>
          <w:szCs w:val="20"/>
        </w:rPr>
        <w:t>,</w:t>
      </w:r>
      <w:r w:rsidRPr="00EB4390">
        <w:rPr>
          <w:rFonts w:ascii="Times New Roman" w:hAnsi="Times New Roman"/>
          <w:bCs/>
          <w:iCs/>
          <w:sz w:val="20"/>
          <w:szCs w:val="20"/>
        </w:rPr>
        <w:t xml:space="preserve"> timely sales execution and continuous cost control.</w:t>
      </w:r>
    </w:p>
    <w:p w14:paraId="48D79A39" w14:textId="77777777" w:rsidR="00D55EC1" w:rsidRDefault="00D55EC1" w:rsidP="00D55EC1">
      <w:pPr>
        <w:tabs>
          <w:tab w:val="left" w:pos="0"/>
        </w:tabs>
        <w:spacing w:after="0" w:line="240" w:lineRule="auto"/>
        <w:jc w:val="both"/>
        <w:rPr>
          <w:rFonts w:ascii="Times New Roman" w:hAnsi="Times New Roman"/>
          <w:bCs/>
          <w:iCs/>
          <w:sz w:val="20"/>
          <w:szCs w:val="20"/>
        </w:rPr>
      </w:pPr>
    </w:p>
    <w:p w14:paraId="124451FB" w14:textId="6C59E034" w:rsidR="00D55EC1" w:rsidRDefault="00D55EC1" w:rsidP="00D55EC1">
      <w:pPr>
        <w:tabs>
          <w:tab w:val="left" w:pos="0"/>
        </w:tabs>
        <w:spacing w:after="0" w:line="240" w:lineRule="auto"/>
        <w:jc w:val="both"/>
        <w:rPr>
          <w:rFonts w:ascii="Times New Roman" w:hAnsi="Times New Roman"/>
          <w:bCs/>
          <w:iCs/>
          <w:sz w:val="20"/>
          <w:szCs w:val="20"/>
        </w:rPr>
      </w:pPr>
      <w:r w:rsidRPr="00EB4390">
        <w:rPr>
          <w:rFonts w:ascii="Times New Roman" w:hAnsi="Times New Roman"/>
          <w:bCs/>
          <w:iCs/>
          <w:sz w:val="20"/>
          <w:szCs w:val="20"/>
        </w:rPr>
        <w:t xml:space="preserve">The table below gives details of our </w:t>
      </w:r>
      <w:r>
        <w:rPr>
          <w:rFonts w:ascii="Times New Roman" w:hAnsi="Times New Roman"/>
          <w:bCs/>
          <w:iCs/>
          <w:sz w:val="20"/>
          <w:szCs w:val="20"/>
        </w:rPr>
        <w:t xml:space="preserve">PBT and PAT </w:t>
      </w:r>
      <w:r w:rsidRPr="00EB4390">
        <w:rPr>
          <w:rFonts w:ascii="Times New Roman" w:hAnsi="Times New Roman"/>
          <w:bCs/>
          <w:iCs/>
          <w:sz w:val="20"/>
          <w:szCs w:val="20"/>
        </w:rPr>
        <w:t>based on restated financial</w:t>
      </w:r>
      <w:r>
        <w:rPr>
          <w:rFonts w:ascii="Times New Roman" w:hAnsi="Times New Roman"/>
          <w:bCs/>
          <w:iCs/>
          <w:sz w:val="20"/>
          <w:szCs w:val="20"/>
        </w:rPr>
        <w:t xml:space="preserve"> statements:</w:t>
      </w:r>
    </w:p>
    <w:p w14:paraId="6209B26B" w14:textId="009C2337" w:rsidR="00D55EC1" w:rsidRPr="00EB4390" w:rsidRDefault="00D55EC1" w:rsidP="00D55EC1">
      <w:pPr>
        <w:tabs>
          <w:tab w:val="left" w:pos="0"/>
        </w:tabs>
        <w:spacing w:after="0" w:line="240" w:lineRule="auto"/>
        <w:jc w:val="right"/>
        <w:rPr>
          <w:rFonts w:ascii="Times New Roman" w:hAnsi="Times New Roman"/>
          <w:b/>
          <w:iCs/>
          <w:sz w:val="20"/>
          <w:szCs w:val="20"/>
        </w:rPr>
      </w:pPr>
      <w:r w:rsidRPr="00D55EC1">
        <w:rPr>
          <w:rFonts w:ascii="Times New Roman" w:hAnsi="Times New Roman"/>
          <w:b/>
          <w:iCs/>
          <w:sz w:val="20"/>
          <w:szCs w:val="20"/>
        </w:rPr>
        <w:t>(₹ in lakhs)</w:t>
      </w:r>
    </w:p>
    <w:tbl>
      <w:tblPr>
        <w:tblStyle w:val="TableGrid"/>
        <w:tblW w:w="0" w:type="auto"/>
        <w:tblLook w:val="04A0" w:firstRow="1" w:lastRow="0" w:firstColumn="1" w:lastColumn="0" w:noHBand="0" w:noVBand="1"/>
      </w:tblPr>
      <w:tblGrid>
        <w:gridCol w:w="2619"/>
        <w:gridCol w:w="2612"/>
        <w:gridCol w:w="2613"/>
        <w:gridCol w:w="2613"/>
      </w:tblGrid>
      <w:tr w:rsidR="00D55EC1" w:rsidRPr="00EB4390" w14:paraId="2D9B727F" w14:textId="77777777" w:rsidTr="00250DAC">
        <w:tc>
          <w:tcPr>
            <w:tcW w:w="2697" w:type="dxa"/>
            <w:shd w:val="clear" w:color="auto" w:fill="D9D9D9" w:themeFill="background1" w:themeFillShade="D9"/>
          </w:tcPr>
          <w:p w14:paraId="290EA178" w14:textId="77777777" w:rsidR="00D55EC1" w:rsidRPr="00EB4390" w:rsidRDefault="00D55EC1" w:rsidP="00250DAC">
            <w:pPr>
              <w:tabs>
                <w:tab w:val="left" w:pos="0"/>
              </w:tabs>
              <w:spacing w:after="0" w:line="240" w:lineRule="auto"/>
              <w:jc w:val="both"/>
              <w:rPr>
                <w:rFonts w:ascii="Times New Roman" w:hAnsi="Times New Roman"/>
                <w:b/>
                <w:iCs/>
              </w:rPr>
            </w:pPr>
            <w:r w:rsidRPr="00EB4390">
              <w:rPr>
                <w:rFonts w:ascii="Times New Roman" w:hAnsi="Times New Roman"/>
                <w:b/>
                <w:iCs/>
              </w:rPr>
              <w:t>Particulars</w:t>
            </w:r>
          </w:p>
        </w:tc>
        <w:tc>
          <w:tcPr>
            <w:tcW w:w="2697" w:type="dxa"/>
            <w:shd w:val="clear" w:color="auto" w:fill="D9D9D9" w:themeFill="background1" w:themeFillShade="D9"/>
          </w:tcPr>
          <w:p w14:paraId="31552FF8" w14:textId="77777777" w:rsidR="00D55EC1" w:rsidRPr="00EB4390" w:rsidRDefault="00D55EC1" w:rsidP="00250DAC">
            <w:pPr>
              <w:tabs>
                <w:tab w:val="left" w:pos="0"/>
              </w:tabs>
              <w:spacing w:after="0" w:line="240" w:lineRule="auto"/>
              <w:jc w:val="center"/>
              <w:rPr>
                <w:rFonts w:ascii="Times New Roman" w:hAnsi="Times New Roman"/>
                <w:b/>
                <w:iCs/>
              </w:rPr>
            </w:pPr>
            <w:r w:rsidRPr="00EB4390">
              <w:rPr>
                <w:rFonts w:ascii="Times New Roman" w:hAnsi="Times New Roman"/>
                <w:b/>
                <w:iCs/>
              </w:rPr>
              <w:t>F.Y. 2022-23</w:t>
            </w:r>
          </w:p>
        </w:tc>
        <w:tc>
          <w:tcPr>
            <w:tcW w:w="2698" w:type="dxa"/>
            <w:shd w:val="clear" w:color="auto" w:fill="D9D9D9" w:themeFill="background1" w:themeFillShade="D9"/>
          </w:tcPr>
          <w:p w14:paraId="2C1DF97D" w14:textId="77777777" w:rsidR="00D55EC1" w:rsidRPr="00EB4390" w:rsidRDefault="00D55EC1" w:rsidP="00250DAC">
            <w:pPr>
              <w:tabs>
                <w:tab w:val="left" w:pos="0"/>
              </w:tabs>
              <w:spacing w:after="0" w:line="240" w:lineRule="auto"/>
              <w:jc w:val="center"/>
              <w:rPr>
                <w:rFonts w:ascii="Times New Roman" w:hAnsi="Times New Roman"/>
                <w:b/>
                <w:iCs/>
              </w:rPr>
            </w:pPr>
            <w:r w:rsidRPr="00EB4390">
              <w:rPr>
                <w:rFonts w:ascii="Times New Roman" w:hAnsi="Times New Roman"/>
                <w:b/>
                <w:iCs/>
              </w:rPr>
              <w:t>F.Y. 2021-22</w:t>
            </w:r>
          </w:p>
        </w:tc>
        <w:tc>
          <w:tcPr>
            <w:tcW w:w="2698" w:type="dxa"/>
            <w:shd w:val="clear" w:color="auto" w:fill="D9D9D9" w:themeFill="background1" w:themeFillShade="D9"/>
          </w:tcPr>
          <w:p w14:paraId="14F8F353" w14:textId="77777777" w:rsidR="00D55EC1" w:rsidRPr="00EB4390" w:rsidRDefault="00D55EC1" w:rsidP="00250DAC">
            <w:pPr>
              <w:tabs>
                <w:tab w:val="left" w:pos="0"/>
              </w:tabs>
              <w:spacing w:after="0" w:line="240" w:lineRule="auto"/>
              <w:jc w:val="center"/>
              <w:rPr>
                <w:rFonts w:ascii="Times New Roman" w:hAnsi="Times New Roman"/>
                <w:b/>
                <w:iCs/>
              </w:rPr>
            </w:pPr>
            <w:r w:rsidRPr="00EB4390">
              <w:rPr>
                <w:rFonts w:ascii="Times New Roman" w:hAnsi="Times New Roman"/>
                <w:b/>
                <w:iCs/>
              </w:rPr>
              <w:t>F.Y. 2020-21</w:t>
            </w:r>
          </w:p>
        </w:tc>
      </w:tr>
      <w:tr w:rsidR="00D55EC1" w14:paraId="44EB593B" w14:textId="77777777" w:rsidTr="00250DAC">
        <w:tc>
          <w:tcPr>
            <w:tcW w:w="2697" w:type="dxa"/>
          </w:tcPr>
          <w:p w14:paraId="3F844695" w14:textId="77777777" w:rsidR="00D55EC1" w:rsidRDefault="00D55EC1" w:rsidP="00250DAC">
            <w:pPr>
              <w:tabs>
                <w:tab w:val="left" w:pos="0"/>
              </w:tabs>
              <w:spacing w:after="0" w:line="240" w:lineRule="auto"/>
              <w:jc w:val="both"/>
              <w:rPr>
                <w:rFonts w:ascii="Times New Roman" w:hAnsi="Times New Roman"/>
                <w:bCs/>
                <w:iCs/>
              </w:rPr>
            </w:pPr>
            <w:r>
              <w:rPr>
                <w:rFonts w:ascii="Times New Roman" w:hAnsi="Times New Roman"/>
                <w:bCs/>
                <w:iCs/>
              </w:rPr>
              <w:t xml:space="preserve">Total Income </w:t>
            </w:r>
          </w:p>
        </w:tc>
        <w:tc>
          <w:tcPr>
            <w:tcW w:w="2697" w:type="dxa"/>
            <w:vAlign w:val="bottom"/>
          </w:tcPr>
          <w:p w14:paraId="509490CE" w14:textId="77777777" w:rsidR="00D55EC1" w:rsidRPr="00EB4390" w:rsidRDefault="00D55EC1" w:rsidP="00250DAC">
            <w:pPr>
              <w:tabs>
                <w:tab w:val="left" w:pos="0"/>
              </w:tabs>
              <w:spacing w:after="0" w:line="240" w:lineRule="auto"/>
              <w:jc w:val="center"/>
              <w:rPr>
                <w:rFonts w:ascii="Times New Roman" w:hAnsi="Times New Roman"/>
                <w:iCs/>
              </w:rPr>
            </w:pPr>
            <w:r w:rsidRPr="00EB4390">
              <w:rPr>
                <w:rFonts w:ascii="Times New Roman" w:hAnsi="Times New Roman"/>
              </w:rPr>
              <w:t>49,786.27</w:t>
            </w:r>
          </w:p>
        </w:tc>
        <w:tc>
          <w:tcPr>
            <w:tcW w:w="2698" w:type="dxa"/>
            <w:vAlign w:val="bottom"/>
          </w:tcPr>
          <w:p w14:paraId="6E83FE08" w14:textId="77777777" w:rsidR="00D55EC1" w:rsidRPr="00EB4390" w:rsidRDefault="00D55EC1" w:rsidP="00250DAC">
            <w:pPr>
              <w:tabs>
                <w:tab w:val="left" w:pos="0"/>
              </w:tabs>
              <w:spacing w:after="0" w:line="240" w:lineRule="auto"/>
              <w:jc w:val="center"/>
              <w:rPr>
                <w:rFonts w:ascii="Times New Roman" w:hAnsi="Times New Roman"/>
                <w:iCs/>
              </w:rPr>
            </w:pPr>
            <w:r w:rsidRPr="00EB4390">
              <w:rPr>
                <w:rFonts w:ascii="Times New Roman" w:hAnsi="Times New Roman"/>
              </w:rPr>
              <w:t>42,644.34</w:t>
            </w:r>
          </w:p>
        </w:tc>
        <w:tc>
          <w:tcPr>
            <w:tcW w:w="2698" w:type="dxa"/>
            <w:vAlign w:val="bottom"/>
          </w:tcPr>
          <w:p w14:paraId="58B578E2" w14:textId="77777777" w:rsidR="00D55EC1" w:rsidRPr="00EB4390" w:rsidRDefault="00D55EC1" w:rsidP="00250DAC">
            <w:pPr>
              <w:tabs>
                <w:tab w:val="left" w:pos="0"/>
              </w:tabs>
              <w:spacing w:after="0" w:line="240" w:lineRule="auto"/>
              <w:jc w:val="center"/>
              <w:rPr>
                <w:rFonts w:ascii="Times New Roman" w:hAnsi="Times New Roman"/>
                <w:iCs/>
              </w:rPr>
            </w:pPr>
            <w:r w:rsidRPr="00EB4390">
              <w:rPr>
                <w:rFonts w:ascii="Times New Roman" w:hAnsi="Times New Roman"/>
              </w:rPr>
              <w:t>13,972.93</w:t>
            </w:r>
          </w:p>
        </w:tc>
      </w:tr>
      <w:tr w:rsidR="00D55EC1" w14:paraId="12405B85" w14:textId="77777777" w:rsidTr="00250DAC">
        <w:tc>
          <w:tcPr>
            <w:tcW w:w="2697" w:type="dxa"/>
          </w:tcPr>
          <w:p w14:paraId="13CB1230" w14:textId="77777777" w:rsidR="00D55EC1" w:rsidRDefault="00D55EC1" w:rsidP="00250DAC">
            <w:pPr>
              <w:tabs>
                <w:tab w:val="left" w:pos="0"/>
              </w:tabs>
              <w:spacing w:after="0" w:line="240" w:lineRule="auto"/>
              <w:jc w:val="both"/>
              <w:rPr>
                <w:rFonts w:ascii="Times New Roman" w:hAnsi="Times New Roman"/>
                <w:bCs/>
                <w:iCs/>
              </w:rPr>
            </w:pPr>
            <w:r>
              <w:rPr>
                <w:rFonts w:ascii="Times New Roman" w:hAnsi="Times New Roman"/>
                <w:bCs/>
                <w:iCs/>
              </w:rPr>
              <w:t>PBT</w:t>
            </w:r>
          </w:p>
        </w:tc>
        <w:tc>
          <w:tcPr>
            <w:tcW w:w="2697" w:type="dxa"/>
            <w:vAlign w:val="bottom"/>
          </w:tcPr>
          <w:p w14:paraId="70858889" w14:textId="77777777" w:rsidR="00D55EC1" w:rsidRPr="00EB4390" w:rsidRDefault="00D55EC1" w:rsidP="00250DAC">
            <w:pPr>
              <w:tabs>
                <w:tab w:val="left" w:pos="0"/>
              </w:tabs>
              <w:spacing w:after="0" w:line="240" w:lineRule="auto"/>
              <w:jc w:val="center"/>
              <w:rPr>
                <w:rFonts w:ascii="Times New Roman" w:hAnsi="Times New Roman"/>
                <w:iCs/>
              </w:rPr>
            </w:pPr>
            <w:r w:rsidRPr="00EB4390">
              <w:rPr>
                <w:rFonts w:ascii="Times New Roman" w:hAnsi="Times New Roman"/>
              </w:rPr>
              <w:t>1,080.56</w:t>
            </w:r>
          </w:p>
        </w:tc>
        <w:tc>
          <w:tcPr>
            <w:tcW w:w="2698" w:type="dxa"/>
            <w:vAlign w:val="bottom"/>
          </w:tcPr>
          <w:p w14:paraId="4DD3EC73" w14:textId="77777777" w:rsidR="00D55EC1" w:rsidRPr="00EB4390" w:rsidRDefault="00D55EC1" w:rsidP="00250DAC">
            <w:pPr>
              <w:tabs>
                <w:tab w:val="left" w:pos="0"/>
              </w:tabs>
              <w:spacing w:after="0" w:line="240" w:lineRule="auto"/>
              <w:jc w:val="center"/>
              <w:rPr>
                <w:rFonts w:ascii="Times New Roman" w:hAnsi="Times New Roman"/>
                <w:iCs/>
              </w:rPr>
            </w:pPr>
            <w:r w:rsidRPr="00EB4390">
              <w:rPr>
                <w:rFonts w:ascii="Times New Roman" w:hAnsi="Times New Roman"/>
              </w:rPr>
              <w:t>449.75</w:t>
            </w:r>
          </w:p>
        </w:tc>
        <w:tc>
          <w:tcPr>
            <w:tcW w:w="2698" w:type="dxa"/>
            <w:vAlign w:val="bottom"/>
          </w:tcPr>
          <w:p w14:paraId="5622DB35" w14:textId="77777777" w:rsidR="00D55EC1" w:rsidRPr="00EB4390" w:rsidRDefault="00D55EC1" w:rsidP="00250DAC">
            <w:pPr>
              <w:tabs>
                <w:tab w:val="left" w:pos="0"/>
              </w:tabs>
              <w:spacing w:after="0" w:line="240" w:lineRule="auto"/>
              <w:jc w:val="center"/>
              <w:rPr>
                <w:rFonts w:ascii="Times New Roman" w:hAnsi="Times New Roman"/>
                <w:iCs/>
              </w:rPr>
            </w:pPr>
            <w:r w:rsidRPr="00EB4390">
              <w:rPr>
                <w:rFonts w:ascii="Times New Roman" w:hAnsi="Times New Roman"/>
              </w:rPr>
              <w:t>195.45</w:t>
            </w:r>
          </w:p>
        </w:tc>
      </w:tr>
      <w:tr w:rsidR="00D55EC1" w14:paraId="38FFF472" w14:textId="77777777" w:rsidTr="00250DAC">
        <w:tc>
          <w:tcPr>
            <w:tcW w:w="2697" w:type="dxa"/>
          </w:tcPr>
          <w:p w14:paraId="4A03B9EF" w14:textId="77777777" w:rsidR="00D55EC1" w:rsidRDefault="00D55EC1" w:rsidP="00250DAC">
            <w:pPr>
              <w:tabs>
                <w:tab w:val="left" w:pos="0"/>
              </w:tabs>
              <w:spacing w:after="0" w:line="240" w:lineRule="auto"/>
              <w:jc w:val="both"/>
              <w:rPr>
                <w:rFonts w:ascii="Times New Roman" w:hAnsi="Times New Roman"/>
                <w:bCs/>
                <w:iCs/>
              </w:rPr>
            </w:pPr>
            <w:r>
              <w:rPr>
                <w:rFonts w:ascii="Times New Roman" w:hAnsi="Times New Roman"/>
                <w:bCs/>
                <w:iCs/>
              </w:rPr>
              <w:t>PBT Margin(%)</w:t>
            </w:r>
          </w:p>
        </w:tc>
        <w:tc>
          <w:tcPr>
            <w:tcW w:w="2697" w:type="dxa"/>
            <w:vAlign w:val="bottom"/>
          </w:tcPr>
          <w:p w14:paraId="0C00DDA5" w14:textId="77777777" w:rsidR="00D55EC1" w:rsidRPr="00EB4390" w:rsidRDefault="00D55EC1" w:rsidP="00250DAC">
            <w:pPr>
              <w:tabs>
                <w:tab w:val="left" w:pos="0"/>
              </w:tabs>
              <w:spacing w:after="0" w:line="240" w:lineRule="auto"/>
              <w:jc w:val="center"/>
              <w:rPr>
                <w:rFonts w:ascii="Times New Roman" w:hAnsi="Times New Roman"/>
                <w:iCs/>
              </w:rPr>
            </w:pPr>
            <w:r w:rsidRPr="00EB4390">
              <w:rPr>
                <w:rFonts w:ascii="Times New Roman" w:hAnsi="Times New Roman"/>
              </w:rPr>
              <w:t>2.19%</w:t>
            </w:r>
          </w:p>
        </w:tc>
        <w:tc>
          <w:tcPr>
            <w:tcW w:w="2698" w:type="dxa"/>
            <w:vAlign w:val="bottom"/>
          </w:tcPr>
          <w:p w14:paraId="1843B1ED" w14:textId="77777777" w:rsidR="00D55EC1" w:rsidRPr="00EB4390" w:rsidRDefault="00D55EC1" w:rsidP="00250DAC">
            <w:pPr>
              <w:tabs>
                <w:tab w:val="left" w:pos="0"/>
              </w:tabs>
              <w:spacing w:after="0" w:line="240" w:lineRule="auto"/>
              <w:jc w:val="center"/>
              <w:rPr>
                <w:rFonts w:ascii="Times New Roman" w:hAnsi="Times New Roman"/>
                <w:iCs/>
              </w:rPr>
            </w:pPr>
            <w:r w:rsidRPr="00EB4390">
              <w:rPr>
                <w:rFonts w:ascii="Times New Roman" w:hAnsi="Times New Roman"/>
              </w:rPr>
              <w:t>1.06%</w:t>
            </w:r>
          </w:p>
        </w:tc>
        <w:tc>
          <w:tcPr>
            <w:tcW w:w="2698" w:type="dxa"/>
            <w:vAlign w:val="bottom"/>
          </w:tcPr>
          <w:p w14:paraId="780D804D" w14:textId="77777777" w:rsidR="00D55EC1" w:rsidRPr="00EB4390" w:rsidRDefault="00D55EC1" w:rsidP="00250DAC">
            <w:pPr>
              <w:tabs>
                <w:tab w:val="left" w:pos="0"/>
              </w:tabs>
              <w:spacing w:after="0" w:line="240" w:lineRule="auto"/>
              <w:jc w:val="center"/>
              <w:rPr>
                <w:rFonts w:ascii="Times New Roman" w:hAnsi="Times New Roman"/>
                <w:iCs/>
              </w:rPr>
            </w:pPr>
            <w:r w:rsidRPr="00EB4390">
              <w:rPr>
                <w:rFonts w:ascii="Times New Roman" w:hAnsi="Times New Roman"/>
              </w:rPr>
              <w:t>1.41%</w:t>
            </w:r>
          </w:p>
        </w:tc>
      </w:tr>
      <w:tr w:rsidR="00D55EC1" w14:paraId="043D792C" w14:textId="77777777" w:rsidTr="00250DAC">
        <w:tc>
          <w:tcPr>
            <w:tcW w:w="2697" w:type="dxa"/>
          </w:tcPr>
          <w:p w14:paraId="4E519799" w14:textId="77777777" w:rsidR="00D55EC1" w:rsidRDefault="00D55EC1" w:rsidP="00250DAC">
            <w:pPr>
              <w:tabs>
                <w:tab w:val="left" w:pos="0"/>
              </w:tabs>
              <w:spacing w:after="0" w:line="240" w:lineRule="auto"/>
              <w:jc w:val="both"/>
              <w:rPr>
                <w:rFonts w:ascii="Times New Roman" w:hAnsi="Times New Roman"/>
                <w:bCs/>
                <w:iCs/>
              </w:rPr>
            </w:pPr>
            <w:r>
              <w:rPr>
                <w:rFonts w:ascii="Times New Roman" w:hAnsi="Times New Roman"/>
                <w:bCs/>
                <w:iCs/>
              </w:rPr>
              <w:t>PAT</w:t>
            </w:r>
          </w:p>
        </w:tc>
        <w:tc>
          <w:tcPr>
            <w:tcW w:w="2697" w:type="dxa"/>
            <w:vAlign w:val="bottom"/>
          </w:tcPr>
          <w:p w14:paraId="2B31AEC9" w14:textId="77777777" w:rsidR="00D55EC1" w:rsidRPr="00EB4390" w:rsidRDefault="00D55EC1" w:rsidP="00250DAC">
            <w:pPr>
              <w:tabs>
                <w:tab w:val="left" w:pos="0"/>
              </w:tabs>
              <w:spacing w:after="0" w:line="240" w:lineRule="auto"/>
              <w:jc w:val="center"/>
              <w:rPr>
                <w:rFonts w:ascii="Times New Roman" w:hAnsi="Times New Roman"/>
                <w:iCs/>
              </w:rPr>
            </w:pPr>
            <w:r w:rsidRPr="00EB4390">
              <w:rPr>
                <w:rFonts w:ascii="Times New Roman" w:hAnsi="Times New Roman"/>
              </w:rPr>
              <w:t>765.42</w:t>
            </w:r>
          </w:p>
        </w:tc>
        <w:tc>
          <w:tcPr>
            <w:tcW w:w="2698" w:type="dxa"/>
            <w:vAlign w:val="bottom"/>
          </w:tcPr>
          <w:p w14:paraId="2C0B2592" w14:textId="77777777" w:rsidR="00D55EC1" w:rsidRPr="00EB4390" w:rsidRDefault="00D55EC1" w:rsidP="00250DAC">
            <w:pPr>
              <w:tabs>
                <w:tab w:val="left" w:pos="0"/>
              </w:tabs>
              <w:spacing w:after="0" w:line="240" w:lineRule="auto"/>
              <w:jc w:val="center"/>
              <w:rPr>
                <w:rFonts w:ascii="Times New Roman" w:hAnsi="Times New Roman"/>
                <w:iCs/>
              </w:rPr>
            </w:pPr>
            <w:r w:rsidRPr="00EB4390">
              <w:rPr>
                <w:rFonts w:ascii="Times New Roman" w:hAnsi="Times New Roman"/>
              </w:rPr>
              <w:t>322.47</w:t>
            </w:r>
          </w:p>
        </w:tc>
        <w:tc>
          <w:tcPr>
            <w:tcW w:w="2698" w:type="dxa"/>
            <w:vAlign w:val="bottom"/>
          </w:tcPr>
          <w:p w14:paraId="42AD0FA1" w14:textId="77777777" w:rsidR="00D55EC1" w:rsidRPr="00EB4390" w:rsidRDefault="00D55EC1" w:rsidP="00250DAC">
            <w:pPr>
              <w:tabs>
                <w:tab w:val="left" w:pos="0"/>
              </w:tabs>
              <w:spacing w:after="0" w:line="240" w:lineRule="auto"/>
              <w:jc w:val="center"/>
              <w:rPr>
                <w:rFonts w:ascii="Times New Roman" w:hAnsi="Times New Roman"/>
                <w:iCs/>
              </w:rPr>
            </w:pPr>
            <w:r w:rsidRPr="00EB4390">
              <w:rPr>
                <w:rFonts w:ascii="Times New Roman" w:hAnsi="Times New Roman"/>
              </w:rPr>
              <w:t>142.28</w:t>
            </w:r>
          </w:p>
        </w:tc>
      </w:tr>
      <w:tr w:rsidR="00D55EC1" w14:paraId="38B92710" w14:textId="77777777" w:rsidTr="00250DAC">
        <w:tc>
          <w:tcPr>
            <w:tcW w:w="2697" w:type="dxa"/>
          </w:tcPr>
          <w:p w14:paraId="455E2CC1" w14:textId="77777777" w:rsidR="00D55EC1" w:rsidRDefault="00D55EC1" w:rsidP="00250DAC">
            <w:pPr>
              <w:tabs>
                <w:tab w:val="left" w:pos="0"/>
              </w:tabs>
              <w:spacing w:after="0" w:line="240" w:lineRule="auto"/>
              <w:jc w:val="both"/>
              <w:rPr>
                <w:rFonts w:ascii="Times New Roman" w:hAnsi="Times New Roman"/>
                <w:bCs/>
                <w:iCs/>
              </w:rPr>
            </w:pPr>
            <w:r>
              <w:rPr>
                <w:rFonts w:ascii="Times New Roman" w:hAnsi="Times New Roman"/>
                <w:bCs/>
                <w:iCs/>
              </w:rPr>
              <w:t>PAT Margin (%)</w:t>
            </w:r>
          </w:p>
        </w:tc>
        <w:tc>
          <w:tcPr>
            <w:tcW w:w="2697" w:type="dxa"/>
            <w:vAlign w:val="bottom"/>
          </w:tcPr>
          <w:p w14:paraId="48E7C28D" w14:textId="77777777" w:rsidR="00D55EC1" w:rsidRPr="00EB4390" w:rsidRDefault="00D55EC1" w:rsidP="00250DAC">
            <w:pPr>
              <w:tabs>
                <w:tab w:val="left" w:pos="0"/>
              </w:tabs>
              <w:spacing w:after="0" w:line="240" w:lineRule="auto"/>
              <w:jc w:val="center"/>
              <w:rPr>
                <w:rFonts w:ascii="Times New Roman" w:hAnsi="Times New Roman"/>
                <w:iCs/>
              </w:rPr>
            </w:pPr>
            <w:r w:rsidRPr="00EB4390">
              <w:rPr>
                <w:rFonts w:ascii="Times New Roman" w:hAnsi="Times New Roman"/>
              </w:rPr>
              <w:t>1.55%</w:t>
            </w:r>
          </w:p>
        </w:tc>
        <w:tc>
          <w:tcPr>
            <w:tcW w:w="2698" w:type="dxa"/>
            <w:vAlign w:val="bottom"/>
          </w:tcPr>
          <w:p w14:paraId="7E1F7E46" w14:textId="77777777" w:rsidR="00D55EC1" w:rsidRPr="00EB4390" w:rsidRDefault="00D55EC1" w:rsidP="00250DAC">
            <w:pPr>
              <w:tabs>
                <w:tab w:val="left" w:pos="0"/>
              </w:tabs>
              <w:spacing w:after="0" w:line="240" w:lineRule="auto"/>
              <w:jc w:val="center"/>
              <w:rPr>
                <w:rFonts w:ascii="Times New Roman" w:hAnsi="Times New Roman"/>
                <w:iCs/>
              </w:rPr>
            </w:pPr>
            <w:r w:rsidRPr="00EB4390">
              <w:rPr>
                <w:rFonts w:ascii="Times New Roman" w:hAnsi="Times New Roman"/>
              </w:rPr>
              <w:t>0.76%</w:t>
            </w:r>
          </w:p>
        </w:tc>
        <w:tc>
          <w:tcPr>
            <w:tcW w:w="2698" w:type="dxa"/>
            <w:vAlign w:val="bottom"/>
          </w:tcPr>
          <w:p w14:paraId="193C4894" w14:textId="77777777" w:rsidR="00D55EC1" w:rsidRPr="00EB4390" w:rsidRDefault="00D55EC1" w:rsidP="00250DAC">
            <w:pPr>
              <w:tabs>
                <w:tab w:val="left" w:pos="0"/>
              </w:tabs>
              <w:spacing w:after="0" w:line="240" w:lineRule="auto"/>
              <w:jc w:val="center"/>
              <w:rPr>
                <w:rFonts w:ascii="Times New Roman" w:hAnsi="Times New Roman"/>
                <w:iCs/>
              </w:rPr>
            </w:pPr>
            <w:r w:rsidRPr="00EB4390">
              <w:rPr>
                <w:rFonts w:ascii="Times New Roman" w:hAnsi="Times New Roman"/>
              </w:rPr>
              <w:t>1.03%</w:t>
            </w:r>
          </w:p>
        </w:tc>
      </w:tr>
    </w:tbl>
    <w:p w14:paraId="321C6DBA" w14:textId="77777777" w:rsidR="00D55EC1" w:rsidRDefault="00D55EC1" w:rsidP="00D55EC1">
      <w:pPr>
        <w:tabs>
          <w:tab w:val="left" w:pos="0"/>
        </w:tabs>
        <w:spacing w:after="0" w:line="240" w:lineRule="auto"/>
        <w:jc w:val="both"/>
        <w:rPr>
          <w:rFonts w:ascii="Times New Roman" w:hAnsi="Times New Roman"/>
          <w:bCs/>
          <w:iCs/>
          <w:sz w:val="20"/>
          <w:szCs w:val="20"/>
        </w:rPr>
      </w:pPr>
    </w:p>
    <w:p w14:paraId="07AA350B" w14:textId="77777777" w:rsidR="00D55EC1" w:rsidRPr="008D792C" w:rsidRDefault="00D55EC1" w:rsidP="00F038BD">
      <w:pPr>
        <w:pStyle w:val="ListParagraph"/>
        <w:numPr>
          <w:ilvl w:val="0"/>
          <w:numId w:val="150"/>
        </w:numPr>
        <w:spacing w:line="240" w:lineRule="auto"/>
        <w:contextualSpacing/>
        <w:jc w:val="both"/>
        <w:rPr>
          <w:b/>
          <w:bCs/>
          <w:i/>
          <w:iCs/>
          <w:sz w:val="20"/>
          <w:szCs w:val="20"/>
        </w:rPr>
      </w:pPr>
      <w:r w:rsidRPr="008D792C">
        <w:rPr>
          <w:b/>
          <w:bCs/>
          <w:i/>
          <w:iCs/>
          <w:sz w:val="20"/>
          <w:szCs w:val="20"/>
          <w:lang w:val="en-US"/>
        </w:rPr>
        <w:t xml:space="preserve">We derive </w:t>
      </w:r>
      <w:r>
        <w:rPr>
          <w:b/>
          <w:bCs/>
          <w:i/>
          <w:iCs/>
          <w:sz w:val="20"/>
          <w:szCs w:val="20"/>
          <w:lang w:val="en-US"/>
        </w:rPr>
        <w:t xml:space="preserve">a </w:t>
      </w:r>
      <w:r w:rsidRPr="008D792C">
        <w:rPr>
          <w:b/>
          <w:bCs/>
          <w:i/>
          <w:iCs/>
          <w:sz w:val="20"/>
          <w:szCs w:val="20"/>
          <w:lang w:val="en-US"/>
        </w:rPr>
        <w:t xml:space="preserve">major portion of our revenue from sale of segregated scrap which is </w:t>
      </w:r>
      <w:r>
        <w:rPr>
          <w:b/>
          <w:bCs/>
          <w:i/>
          <w:iCs/>
          <w:sz w:val="20"/>
          <w:szCs w:val="20"/>
          <w:lang w:val="en-US"/>
        </w:rPr>
        <w:t xml:space="preserve">a </w:t>
      </w:r>
      <w:r w:rsidRPr="008D792C">
        <w:rPr>
          <w:b/>
          <w:bCs/>
          <w:i/>
          <w:iCs/>
          <w:sz w:val="20"/>
          <w:szCs w:val="20"/>
          <w:lang w:val="en-US"/>
        </w:rPr>
        <w:t xml:space="preserve">highly competitive and low-entry barrier business due to non-involvement of any manufacturing operations. </w:t>
      </w:r>
    </w:p>
    <w:p w14:paraId="27C18A84" w14:textId="77777777" w:rsidR="00D55EC1" w:rsidRDefault="00D55EC1" w:rsidP="00D55EC1">
      <w:pPr>
        <w:spacing w:line="240" w:lineRule="auto"/>
        <w:contextualSpacing/>
        <w:jc w:val="both"/>
        <w:rPr>
          <w:b/>
          <w:bCs/>
          <w:i/>
          <w:iCs/>
          <w:sz w:val="20"/>
          <w:szCs w:val="20"/>
        </w:rPr>
      </w:pPr>
    </w:p>
    <w:p w14:paraId="46EBA12D" w14:textId="3ABD5278" w:rsidR="00D55EC1" w:rsidRDefault="00D55EC1" w:rsidP="00D55EC1">
      <w:pPr>
        <w:spacing w:line="240" w:lineRule="auto"/>
        <w:contextualSpacing/>
        <w:jc w:val="both"/>
        <w:rPr>
          <w:rFonts w:ascii="Times New Roman" w:eastAsia="Calibri" w:hAnsi="Times New Roman"/>
          <w:sz w:val="20"/>
          <w:szCs w:val="20"/>
        </w:rPr>
      </w:pPr>
      <w:r w:rsidRPr="008D792C">
        <w:rPr>
          <w:rFonts w:ascii="Times New Roman" w:eastAsia="Calibri" w:hAnsi="Times New Roman"/>
          <w:sz w:val="20"/>
          <w:szCs w:val="20"/>
        </w:rPr>
        <w:t xml:space="preserve">We derive a significant portion of our revenue from </w:t>
      </w:r>
      <w:r>
        <w:rPr>
          <w:rFonts w:ascii="Times New Roman" w:eastAsia="Calibri" w:hAnsi="Times New Roman"/>
          <w:sz w:val="20"/>
          <w:szCs w:val="20"/>
        </w:rPr>
        <w:t>sale of segregated scrap</w:t>
      </w:r>
      <w:r w:rsidRPr="008D792C">
        <w:rPr>
          <w:rFonts w:ascii="Times New Roman" w:eastAsia="Calibri" w:hAnsi="Times New Roman"/>
          <w:sz w:val="20"/>
          <w:szCs w:val="20"/>
        </w:rPr>
        <w:t>, which primarily comprises the sale of brass scrap honey, copper scrap, red brass ebony and zinc scrap.</w:t>
      </w:r>
      <w:r>
        <w:rPr>
          <w:rFonts w:ascii="Times New Roman" w:eastAsia="Calibri" w:hAnsi="Times New Roman"/>
          <w:sz w:val="20"/>
          <w:szCs w:val="20"/>
        </w:rPr>
        <w:t xml:space="preserve"> </w:t>
      </w:r>
      <w:r w:rsidRPr="008D792C">
        <w:rPr>
          <w:rFonts w:ascii="Times New Roman" w:eastAsia="Calibri" w:hAnsi="Times New Roman"/>
          <w:sz w:val="20"/>
          <w:szCs w:val="20"/>
        </w:rPr>
        <w:t xml:space="preserve">For the </w:t>
      </w:r>
      <w:r>
        <w:rPr>
          <w:rFonts w:ascii="Times New Roman" w:eastAsia="Calibri" w:hAnsi="Times New Roman"/>
          <w:sz w:val="20"/>
          <w:szCs w:val="20"/>
        </w:rPr>
        <w:t xml:space="preserve">F.Y 2021-22 and 2022-23, </w:t>
      </w:r>
      <w:r w:rsidRPr="008D792C">
        <w:rPr>
          <w:rFonts w:ascii="Times New Roman" w:eastAsia="Calibri" w:hAnsi="Times New Roman"/>
          <w:sz w:val="20"/>
          <w:szCs w:val="20"/>
        </w:rPr>
        <w:t xml:space="preserve">our revenue from </w:t>
      </w:r>
      <w:r>
        <w:rPr>
          <w:rFonts w:ascii="Times New Roman" w:eastAsia="Calibri" w:hAnsi="Times New Roman"/>
          <w:sz w:val="20"/>
          <w:szCs w:val="20"/>
        </w:rPr>
        <w:t>sale of segregated scrap</w:t>
      </w:r>
      <w:r w:rsidRPr="008D792C">
        <w:rPr>
          <w:rFonts w:ascii="Times New Roman" w:eastAsia="Calibri" w:hAnsi="Times New Roman"/>
          <w:sz w:val="20"/>
          <w:szCs w:val="20"/>
        </w:rPr>
        <w:t xml:space="preserve"> was </w:t>
      </w:r>
      <w:r w:rsidR="000D712C" w:rsidRPr="000D712C">
        <w:rPr>
          <w:rFonts w:ascii="Times New Roman" w:eastAsia="Calibri" w:hAnsi="Times New Roman"/>
          <w:sz w:val="20"/>
          <w:szCs w:val="20"/>
        </w:rPr>
        <w:t>₹</w:t>
      </w:r>
      <w:r w:rsidRPr="008D792C">
        <w:rPr>
          <w:rFonts w:ascii="Times New Roman" w:eastAsia="Calibri" w:hAnsi="Times New Roman"/>
          <w:sz w:val="20"/>
          <w:szCs w:val="20"/>
        </w:rPr>
        <w:t xml:space="preserve"> </w:t>
      </w:r>
      <w:r>
        <w:rPr>
          <w:rFonts w:ascii="Times New Roman" w:eastAsia="Calibri" w:hAnsi="Times New Roman"/>
          <w:sz w:val="20"/>
          <w:szCs w:val="20"/>
        </w:rPr>
        <w:t xml:space="preserve">234.42 crores and </w:t>
      </w:r>
      <w:r w:rsidR="000D712C" w:rsidRPr="000D712C">
        <w:rPr>
          <w:rFonts w:ascii="Times New Roman" w:eastAsia="Calibri" w:hAnsi="Times New Roman"/>
          <w:sz w:val="20"/>
          <w:szCs w:val="20"/>
        </w:rPr>
        <w:t>₹</w:t>
      </w:r>
      <w:r>
        <w:rPr>
          <w:rFonts w:ascii="Times New Roman" w:eastAsia="Calibri" w:hAnsi="Times New Roman"/>
          <w:sz w:val="20"/>
          <w:szCs w:val="20"/>
        </w:rPr>
        <w:t xml:space="preserve"> 253.30 crores</w:t>
      </w:r>
      <w:r w:rsidRPr="008D792C">
        <w:rPr>
          <w:rFonts w:ascii="Times New Roman" w:eastAsia="Calibri" w:hAnsi="Times New Roman"/>
          <w:sz w:val="20"/>
          <w:szCs w:val="20"/>
        </w:rPr>
        <w:t xml:space="preserve"> </w:t>
      </w:r>
      <w:r>
        <w:rPr>
          <w:rFonts w:ascii="Times New Roman" w:eastAsia="Calibri" w:hAnsi="Times New Roman"/>
          <w:sz w:val="20"/>
          <w:szCs w:val="20"/>
        </w:rPr>
        <w:t>respectively which represented 55.39</w:t>
      </w:r>
      <w:r w:rsidRPr="008D792C">
        <w:rPr>
          <w:rFonts w:ascii="Times New Roman" w:eastAsia="Calibri" w:hAnsi="Times New Roman"/>
          <w:sz w:val="20"/>
          <w:szCs w:val="20"/>
        </w:rPr>
        <w:t>%</w:t>
      </w:r>
      <w:r>
        <w:rPr>
          <w:rFonts w:ascii="Times New Roman" w:eastAsia="Calibri" w:hAnsi="Times New Roman"/>
          <w:sz w:val="20"/>
          <w:szCs w:val="20"/>
        </w:rPr>
        <w:t xml:space="preserve"> and 51.39% </w:t>
      </w:r>
      <w:r w:rsidRPr="00C62FA3">
        <w:rPr>
          <w:rFonts w:ascii="Times New Roman" w:eastAsia="Calibri" w:hAnsi="Times New Roman"/>
          <w:sz w:val="20"/>
          <w:szCs w:val="20"/>
        </w:rPr>
        <w:t>of our revenue from operations</w:t>
      </w:r>
      <w:r>
        <w:rPr>
          <w:rFonts w:ascii="Times New Roman" w:eastAsia="Calibri" w:hAnsi="Times New Roman"/>
          <w:sz w:val="20"/>
          <w:szCs w:val="20"/>
        </w:rPr>
        <w:t xml:space="preserve"> for the respective year.</w:t>
      </w:r>
      <w:r w:rsidRPr="008D792C">
        <w:rPr>
          <w:rFonts w:ascii="Times New Roman" w:eastAsia="Calibri" w:hAnsi="Times New Roman"/>
          <w:sz w:val="20"/>
          <w:szCs w:val="20"/>
        </w:rPr>
        <w:t xml:space="preserve"> </w:t>
      </w:r>
      <w:r>
        <w:rPr>
          <w:rFonts w:ascii="Times New Roman" w:eastAsia="Calibri" w:hAnsi="Times New Roman"/>
          <w:sz w:val="20"/>
          <w:szCs w:val="20"/>
        </w:rPr>
        <w:t xml:space="preserve">The sale of segregated scrap business is a highly competitive and low-entry barrier business due to non-involvement of any manufacturing operations, which </w:t>
      </w:r>
      <w:r w:rsidRPr="00C62FA3">
        <w:rPr>
          <w:rFonts w:ascii="Times New Roman" w:eastAsia="Calibri" w:hAnsi="Times New Roman"/>
          <w:sz w:val="20"/>
          <w:szCs w:val="20"/>
        </w:rPr>
        <w:t>allow</w:t>
      </w:r>
      <w:r>
        <w:rPr>
          <w:rFonts w:ascii="Times New Roman" w:eastAsia="Calibri" w:hAnsi="Times New Roman"/>
          <w:sz w:val="20"/>
          <w:szCs w:val="20"/>
        </w:rPr>
        <w:t>s</w:t>
      </w:r>
      <w:r w:rsidRPr="00C62FA3">
        <w:rPr>
          <w:rFonts w:ascii="Times New Roman" w:eastAsia="Calibri" w:hAnsi="Times New Roman"/>
          <w:sz w:val="20"/>
          <w:szCs w:val="20"/>
        </w:rPr>
        <w:t xml:space="preserve"> new entrants to easily establish </w:t>
      </w:r>
      <w:r>
        <w:rPr>
          <w:rFonts w:ascii="Times New Roman" w:eastAsia="Calibri" w:hAnsi="Times New Roman"/>
          <w:sz w:val="20"/>
          <w:szCs w:val="20"/>
        </w:rPr>
        <w:t>same business with low capital and resources, which may lead</w:t>
      </w:r>
      <w:r w:rsidRPr="00C62FA3">
        <w:rPr>
          <w:rFonts w:ascii="Times New Roman" w:eastAsia="Calibri" w:hAnsi="Times New Roman"/>
          <w:sz w:val="20"/>
          <w:szCs w:val="20"/>
        </w:rPr>
        <w:t xml:space="preserve"> to intense competition within the market</w:t>
      </w:r>
      <w:r>
        <w:rPr>
          <w:rFonts w:ascii="Times New Roman" w:eastAsia="Calibri" w:hAnsi="Times New Roman"/>
          <w:sz w:val="20"/>
          <w:szCs w:val="20"/>
        </w:rPr>
        <w:t>. I</w:t>
      </w:r>
      <w:r w:rsidRPr="00AF61B9">
        <w:rPr>
          <w:rFonts w:ascii="Times New Roman" w:eastAsia="Calibri" w:hAnsi="Times New Roman"/>
          <w:sz w:val="20"/>
          <w:szCs w:val="20"/>
        </w:rPr>
        <w:t xml:space="preserve">f we fail to compete effectively, our business, prospects, financial condition and results of operations </w:t>
      </w:r>
      <w:r>
        <w:rPr>
          <w:rFonts w:ascii="Times New Roman" w:eastAsia="Calibri" w:hAnsi="Times New Roman"/>
          <w:sz w:val="20"/>
          <w:szCs w:val="20"/>
        </w:rPr>
        <w:t>could</w:t>
      </w:r>
      <w:r w:rsidRPr="00AF61B9">
        <w:rPr>
          <w:rFonts w:ascii="Times New Roman" w:eastAsia="Calibri" w:hAnsi="Times New Roman"/>
          <w:sz w:val="20"/>
          <w:szCs w:val="20"/>
        </w:rPr>
        <w:t xml:space="preserve"> be adversely affected.</w:t>
      </w:r>
    </w:p>
    <w:p w14:paraId="5893102A" w14:textId="77777777" w:rsidR="00D55EC1" w:rsidRDefault="00D55EC1" w:rsidP="00D55EC1">
      <w:pPr>
        <w:tabs>
          <w:tab w:val="left" w:pos="0"/>
        </w:tabs>
        <w:spacing w:after="0" w:line="240" w:lineRule="auto"/>
        <w:jc w:val="both"/>
        <w:rPr>
          <w:rFonts w:ascii="Times New Roman" w:hAnsi="Times New Roman"/>
          <w:bCs/>
          <w:iCs/>
          <w:sz w:val="20"/>
          <w:szCs w:val="20"/>
        </w:rPr>
      </w:pPr>
    </w:p>
    <w:p w14:paraId="273DFD48" w14:textId="30079007" w:rsidR="00944BDA" w:rsidRPr="00944BDA" w:rsidRDefault="00944BDA" w:rsidP="00944BDA">
      <w:pPr>
        <w:pStyle w:val="ListParagraph"/>
        <w:numPr>
          <w:ilvl w:val="0"/>
          <w:numId w:val="150"/>
        </w:numPr>
        <w:spacing w:line="240" w:lineRule="auto"/>
        <w:contextualSpacing/>
        <w:jc w:val="both"/>
        <w:rPr>
          <w:b/>
          <w:bCs/>
          <w:i/>
          <w:iCs/>
          <w:sz w:val="20"/>
          <w:szCs w:val="20"/>
        </w:rPr>
      </w:pPr>
      <w:r w:rsidRPr="00944BDA">
        <w:rPr>
          <w:b/>
          <w:bCs/>
          <w:i/>
          <w:iCs/>
          <w:sz w:val="20"/>
          <w:szCs w:val="20"/>
        </w:rPr>
        <w:t xml:space="preserve">Trade receivables form a major part of our current assets and net worth. Failure to manage our trade receivables could have an adverse effect on our net sales, profitability, cash flow and liquidity. </w:t>
      </w:r>
    </w:p>
    <w:p w14:paraId="46C13A3D" w14:textId="77777777" w:rsidR="00944BDA" w:rsidRDefault="00944BDA" w:rsidP="00D55EC1">
      <w:pPr>
        <w:tabs>
          <w:tab w:val="left" w:pos="0"/>
        </w:tabs>
        <w:spacing w:after="0" w:line="240" w:lineRule="auto"/>
        <w:jc w:val="both"/>
        <w:rPr>
          <w:rFonts w:ascii="Times New Roman" w:hAnsi="Times New Roman"/>
          <w:bCs/>
          <w:iCs/>
          <w:sz w:val="20"/>
          <w:szCs w:val="20"/>
        </w:rPr>
      </w:pPr>
    </w:p>
    <w:p w14:paraId="14101F21" w14:textId="4611E40A" w:rsidR="00944BDA" w:rsidRDefault="00944BDA" w:rsidP="00D55EC1">
      <w:pPr>
        <w:tabs>
          <w:tab w:val="left" w:pos="0"/>
        </w:tabs>
        <w:spacing w:after="0" w:line="240" w:lineRule="auto"/>
        <w:jc w:val="both"/>
        <w:rPr>
          <w:rFonts w:ascii="Times New Roman" w:hAnsi="Times New Roman"/>
          <w:bCs/>
          <w:iCs/>
          <w:sz w:val="20"/>
          <w:szCs w:val="20"/>
        </w:rPr>
      </w:pPr>
      <w:r w:rsidRPr="00944BDA">
        <w:rPr>
          <w:rFonts w:ascii="Times New Roman" w:hAnsi="Times New Roman"/>
          <w:bCs/>
          <w:iCs/>
          <w:sz w:val="20"/>
          <w:szCs w:val="20"/>
        </w:rPr>
        <w:lastRenderedPageBreak/>
        <w:t xml:space="preserve">Our Company’s business is working capital intensive and hence, trade receivables form a major part of our current assets. As on </w:t>
      </w:r>
      <w:r>
        <w:rPr>
          <w:rFonts w:ascii="Times New Roman" w:hAnsi="Times New Roman"/>
          <w:bCs/>
          <w:iCs/>
          <w:sz w:val="20"/>
          <w:szCs w:val="20"/>
        </w:rPr>
        <w:t>March 31, 2023</w:t>
      </w:r>
      <w:r w:rsidRPr="00944BDA">
        <w:rPr>
          <w:rFonts w:ascii="Times New Roman" w:hAnsi="Times New Roman"/>
          <w:bCs/>
          <w:iCs/>
          <w:sz w:val="20"/>
          <w:szCs w:val="20"/>
        </w:rPr>
        <w:t>, our trade receivables amount</w:t>
      </w:r>
      <w:r>
        <w:rPr>
          <w:rFonts w:ascii="Times New Roman" w:hAnsi="Times New Roman"/>
          <w:bCs/>
          <w:iCs/>
          <w:sz w:val="20"/>
          <w:szCs w:val="20"/>
        </w:rPr>
        <w:t>ed</w:t>
      </w:r>
      <w:r w:rsidRPr="00944BDA">
        <w:rPr>
          <w:rFonts w:ascii="Times New Roman" w:hAnsi="Times New Roman"/>
          <w:bCs/>
          <w:iCs/>
          <w:sz w:val="20"/>
          <w:szCs w:val="20"/>
        </w:rPr>
        <w:t xml:space="preserve"> to Rs. </w:t>
      </w:r>
      <w:r>
        <w:rPr>
          <w:rFonts w:ascii="Times New Roman" w:hAnsi="Times New Roman"/>
          <w:bCs/>
          <w:iCs/>
          <w:sz w:val="20"/>
          <w:szCs w:val="20"/>
        </w:rPr>
        <w:t>3461.45 lakhs. O</w:t>
      </w:r>
      <w:r w:rsidRPr="00944BDA">
        <w:rPr>
          <w:rFonts w:ascii="Times New Roman" w:hAnsi="Times New Roman"/>
          <w:bCs/>
          <w:iCs/>
          <w:sz w:val="20"/>
          <w:szCs w:val="20"/>
        </w:rPr>
        <w:t>ur Company has written off bad debts on account of non</w:t>
      </w:r>
      <w:r>
        <w:rPr>
          <w:rFonts w:ascii="Times New Roman" w:hAnsi="Times New Roman"/>
          <w:bCs/>
          <w:iCs/>
          <w:sz w:val="20"/>
          <w:szCs w:val="20"/>
        </w:rPr>
        <w:t>-</w:t>
      </w:r>
      <w:r w:rsidRPr="00944BDA">
        <w:rPr>
          <w:rFonts w:ascii="Times New Roman" w:hAnsi="Times New Roman"/>
          <w:bCs/>
          <w:iCs/>
          <w:sz w:val="20"/>
          <w:szCs w:val="20"/>
        </w:rPr>
        <w:t xml:space="preserve">recoverability of the dues from the Debtors which amounted to Rs. </w:t>
      </w:r>
      <w:r>
        <w:rPr>
          <w:rFonts w:ascii="Times New Roman" w:hAnsi="Times New Roman"/>
          <w:bCs/>
          <w:iCs/>
          <w:sz w:val="20"/>
          <w:szCs w:val="20"/>
        </w:rPr>
        <w:t xml:space="preserve">1774.89 lakhs in F.Y. 2021-22 and Rs. 45.55 lakhs in F.Y. 2022-23. </w:t>
      </w:r>
      <w:r w:rsidRPr="00944BDA">
        <w:rPr>
          <w:rFonts w:ascii="Times New Roman" w:hAnsi="Times New Roman"/>
          <w:bCs/>
          <w:iCs/>
          <w:sz w:val="20"/>
          <w:szCs w:val="20"/>
        </w:rPr>
        <w:t>We cannot assure that our Company will be able to effectively manage its trade receivables in future. Any such failure in management of trade receivables could result into bad debts, delays in recoveries and / or write-offs which could lead to a liquidity crunch, thereby adversely affecting our business and results of operations. A liquidity crunch may also result in case of increased working capital borrowings and, consequently, higher finance cost which will adversely impact our profitability.</w:t>
      </w:r>
      <w:r>
        <w:rPr>
          <w:rFonts w:ascii="Times New Roman" w:hAnsi="Times New Roman"/>
          <w:bCs/>
          <w:iCs/>
          <w:sz w:val="20"/>
          <w:szCs w:val="20"/>
        </w:rPr>
        <w:t xml:space="preserve"> </w:t>
      </w:r>
      <w:r w:rsidRPr="00944BDA">
        <w:rPr>
          <w:rFonts w:ascii="Times New Roman" w:hAnsi="Times New Roman"/>
          <w:bCs/>
          <w:iCs/>
          <w:sz w:val="20"/>
          <w:szCs w:val="20"/>
        </w:rPr>
        <w:t>We may be subject to working capital risks due to delays or defaults in payment by clients, which may restrict our ability to procure raw materials and make payments when due.</w:t>
      </w:r>
    </w:p>
    <w:p w14:paraId="5996A346" w14:textId="77777777" w:rsidR="00944BDA" w:rsidRDefault="00944BDA" w:rsidP="00D55EC1">
      <w:pPr>
        <w:tabs>
          <w:tab w:val="left" w:pos="0"/>
        </w:tabs>
        <w:spacing w:after="0" w:line="240" w:lineRule="auto"/>
        <w:jc w:val="both"/>
        <w:rPr>
          <w:rFonts w:ascii="Times New Roman" w:hAnsi="Times New Roman"/>
          <w:bCs/>
          <w:iCs/>
          <w:sz w:val="20"/>
          <w:szCs w:val="20"/>
        </w:rPr>
      </w:pPr>
    </w:p>
    <w:p w14:paraId="1CE00CC7" w14:textId="77777777" w:rsidR="00D55EC1" w:rsidRPr="00641801" w:rsidRDefault="00D55EC1" w:rsidP="00F038BD">
      <w:pPr>
        <w:pStyle w:val="ListParagraph"/>
        <w:numPr>
          <w:ilvl w:val="0"/>
          <w:numId w:val="150"/>
        </w:numPr>
        <w:spacing w:line="240" w:lineRule="auto"/>
        <w:contextualSpacing/>
        <w:jc w:val="both"/>
        <w:rPr>
          <w:b/>
          <w:bCs/>
          <w:i/>
          <w:iCs/>
          <w:sz w:val="20"/>
          <w:szCs w:val="20"/>
        </w:rPr>
      </w:pPr>
      <w:r w:rsidRPr="00641801">
        <w:rPr>
          <w:b/>
          <w:bCs/>
          <w:i/>
          <w:iCs/>
          <w:sz w:val="20"/>
          <w:szCs w:val="20"/>
        </w:rPr>
        <w:t>We are subject to strict quality requirements and are consequently required to incur significant expenses to maintain our product quality. Any failure to comply with such quality standards may lead to cancellation of existing and future orders which may adversely affect our reputation, financial conditions, cash flows and results of operations.</w:t>
      </w:r>
    </w:p>
    <w:p w14:paraId="5A56E8E3" w14:textId="77777777" w:rsidR="00D55EC1" w:rsidRPr="00641801" w:rsidRDefault="00D55EC1" w:rsidP="00D55EC1">
      <w:pPr>
        <w:autoSpaceDE w:val="0"/>
        <w:autoSpaceDN w:val="0"/>
        <w:adjustRightInd w:val="0"/>
        <w:spacing w:after="0" w:line="240" w:lineRule="auto"/>
        <w:jc w:val="both"/>
        <w:rPr>
          <w:rFonts w:ascii="Times New Roman" w:hAnsi="Times New Roman"/>
          <w:b/>
          <w:bCs/>
          <w:i/>
          <w:iCs/>
          <w:sz w:val="20"/>
          <w:szCs w:val="20"/>
        </w:rPr>
      </w:pPr>
    </w:p>
    <w:p w14:paraId="533127F4" w14:textId="684DD76F" w:rsidR="00D55EC1" w:rsidRPr="00641801" w:rsidRDefault="00D55EC1" w:rsidP="00D55EC1">
      <w:pPr>
        <w:autoSpaceDE w:val="0"/>
        <w:autoSpaceDN w:val="0"/>
        <w:adjustRightInd w:val="0"/>
        <w:spacing w:after="0" w:line="240" w:lineRule="auto"/>
        <w:jc w:val="both"/>
        <w:rPr>
          <w:rFonts w:ascii="Times New Roman" w:hAnsi="Times New Roman"/>
          <w:sz w:val="20"/>
          <w:szCs w:val="20"/>
        </w:rPr>
      </w:pPr>
      <w:r w:rsidRPr="00641801">
        <w:rPr>
          <w:rFonts w:ascii="Times New Roman" w:hAnsi="Times New Roman"/>
          <w:sz w:val="20"/>
          <w:szCs w:val="20"/>
        </w:rPr>
        <w:t xml:space="preserve">We specialize in the manufacture and supply of (i) </w:t>
      </w:r>
      <w:r w:rsidRPr="005962D5">
        <w:rPr>
          <w:rFonts w:ascii="Times New Roman" w:hAnsi="Times New Roman"/>
          <w:sz w:val="20"/>
          <w:szCs w:val="20"/>
        </w:rPr>
        <w:t>brass</w:t>
      </w:r>
      <w:r>
        <w:rPr>
          <w:rFonts w:ascii="Times New Roman" w:hAnsi="Times New Roman"/>
          <w:sz w:val="20"/>
          <w:szCs w:val="20"/>
        </w:rPr>
        <w:t>-</w:t>
      </w:r>
      <w:r w:rsidRPr="005962D5">
        <w:rPr>
          <w:rFonts w:ascii="Times New Roman" w:hAnsi="Times New Roman"/>
          <w:sz w:val="20"/>
          <w:szCs w:val="20"/>
        </w:rPr>
        <w:t>based components (plumbing and sanitary parts)</w:t>
      </w:r>
      <w:r>
        <w:rPr>
          <w:rFonts w:ascii="Times New Roman" w:hAnsi="Times New Roman"/>
          <w:sz w:val="20"/>
          <w:szCs w:val="20"/>
        </w:rPr>
        <w:t xml:space="preserve"> and (ii) </w:t>
      </w:r>
      <w:r w:rsidRPr="005962D5">
        <w:rPr>
          <w:rFonts w:ascii="Times New Roman" w:hAnsi="Times New Roman"/>
          <w:sz w:val="20"/>
          <w:szCs w:val="20"/>
        </w:rPr>
        <w:t>brass ingots, billets and brass rods</w:t>
      </w:r>
      <w:r w:rsidRPr="00641801">
        <w:rPr>
          <w:rFonts w:ascii="Times New Roman" w:hAnsi="Times New Roman"/>
          <w:sz w:val="20"/>
          <w:szCs w:val="20"/>
        </w:rPr>
        <w:t>. Given the nature of our products and the sector in which we operate, our customers have high and exacting standards for product quality as well as delivery schedules. Adherence to quality standards is a critical factor in our manufacturing process as any defects in the products manufactured by our Company or failure to comply with the technical specifications of our customers regarding the alloy composition may lead to cancellation of the orders placed by our customers. Further, any failure to make timely deliveries of products in the desired quantity as per our customers’ requirements could also result in the cancellation of orders placed by our customers and may adversely affect our reputation and goodwill. In addition, our customers may demand, among others, price reductions, set-off any payment obligations, require indemnification for themselves or their affiliates, change their outsourcing strategy by moving more work in-house, or replace their existing products with alternative products, any of which may have an adverse effect on our business, cash flows, results of operations and financial condition.</w:t>
      </w:r>
    </w:p>
    <w:p w14:paraId="1FD68D2A" w14:textId="77777777" w:rsidR="00D55EC1" w:rsidRPr="00641801" w:rsidRDefault="00D55EC1" w:rsidP="00D55EC1">
      <w:pPr>
        <w:autoSpaceDE w:val="0"/>
        <w:autoSpaceDN w:val="0"/>
        <w:adjustRightInd w:val="0"/>
        <w:spacing w:after="0" w:line="240" w:lineRule="auto"/>
        <w:jc w:val="both"/>
        <w:rPr>
          <w:rFonts w:ascii="Times New Roman" w:hAnsi="Times New Roman"/>
          <w:sz w:val="20"/>
          <w:szCs w:val="20"/>
        </w:rPr>
      </w:pPr>
    </w:p>
    <w:p w14:paraId="04F24FB7" w14:textId="77777777" w:rsidR="00D55EC1" w:rsidRPr="00641801" w:rsidRDefault="00D55EC1" w:rsidP="00F038BD">
      <w:pPr>
        <w:pStyle w:val="ListParagraph"/>
        <w:numPr>
          <w:ilvl w:val="0"/>
          <w:numId w:val="150"/>
        </w:numPr>
        <w:spacing w:line="240" w:lineRule="auto"/>
        <w:contextualSpacing/>
        <w:jc w:val="both"/>
        <w:rPr>
          <w:b/>
          <w:bCs/>
          <w:i/>
          <w:iCs/>
          <w:sz w:val="20"/>
          <w:szCs w:val="20"/>
        </w:rPr>
      </w:pPr>
      <w:r w:rsidRPr="00641801">
        <w:rPr>
          <w:b/>
          <w:bCs/>
          <w:i/>
          <w:iCs/>
          <w:sz w:val="20"/>
          <w:szCs w:val="20"/>
        </w:rPr>
        <w:t>Our inability to accurately forecast demand for our products, and accordingly manage our inventory, may have an adverse effect on our business, cash flows, financial condition and results of operations.</w:t>
      </w:r>
    </w:p>
    <w:p w14:paraId="5EE8CF95" w14:textId="77777777" w:rsidR="00D55EC1" w:rsidRPr="00641801" w:rsidRDefault="00D55EC1" w:rsidP="00D55EC1">
      <w:pPr>
        <w:autoSpaceDE w:val="0"/>
        <w:autoSpaceDN w:val="0"/>
        <w:adjustRightInd w:val="0"/>
        <w:spacing w:after="0" w:line="240" w:lineRule="auto"/>
        <w:jc w:val="both"/>
        <w:rPr>
          <w:rFonts w:ascii="Times New Roman" w:hAnsi="Times New Roman"/>
          <w:sz w:val="20"/>
          <w:szCs w:val="20"/>
        </w:rPr>
      </w:pPr>
    </w:p>
    <w:p w14:paraId="2470787F" w14:textId="77777777" w:rsidR="00D55EC1" w:rsidRPr="00641801" w:rsidRDefault="00D55EC1" w:rsidP="00D55EC1">
      <w:pPr>
        <w:autoSpaceDE w:val="0"/>
        <w:autoSpaceDN w:val="0"/>
        <w:adjustRightInd w:val="0"/>
        <w:spacing w:after="0" w:line="240" w:lineRule="auto"/>
        <w:jc w:val="both"/>
        <w:rPr>
          <w:rFonts w:ascii="Times New Roman" w:hAnsi="Times New Roman"/>
          <w:sz w:val="20"/>
          <w:szCs w:val="20"/>
        </w:rPr>
      </w:pPr>
      <w:r w:rsidRPr="00641801">
        <w:rPr>
          <w:rFonts w:ascii="Times New Roman" w:hAnsi="Times New Roman"/>
          <w:sz w:val="20"/>
          <w:szCs w:val="20"/>
        </w:rPr>
        <w:t>Our inability to accurately forecast demand for our products and manage our inventory may have an adverse effect on our business, cash flows, financial condition and results of operations. We do not have firm commitment long term supply agreements with our customers and instead rely on short term purchase orders to govern the volume and other terms of the sales of products. Accordingly, we plan our production volumes based on our forecast of the demand for our products. Any error in forecasting could result in surplus stock which would have an adverse effect on our profitability.</w:t>
      </w:r>
    </w:p>
    <w:p w14:paraId="09CB7329" w14:textId="77777777" w:rsidR="00D55EC1" w:rsidRPr="00641801" w:rsidRDefault="00D55EC1" w:rsidP="00D55EC1">
      <w:pPr>
        <w:autoSpaceDE w:val="0"/>
        <w:autoSpaceDN w:val="0"/>
        <w:adjustRightInd w:val="0"/>
        <w:spacing w:after="0" w:line="240" w:lineRule="auto"/>
        <w:jc w:val="both"/>
        <w:rPr>
          <w:rFonts w:ascii="Times New Roman" w:hAnsi="Times New Roman"/>
          <w:sz w:val="20"/>
          <w:szCs w:val="20"/>
        </w:rPr>
      </w:pPr>
    </w:p>
    <w:p w14:paraId="5D0DA942" w14:textId="524A8875" w:rsidR="00D55EC1" w:rsidRPr="00641801" w:rsidRDefault="00D55EC1" w:rsidP="00D55EC1">
      <w:pPr>
        <w:autoSpaceDE w:val="0"/>
        <w:autoSpaceDN w:val="0"/>
        <w:adjustRightInd w:val="0"/>
        <w:spacing w:after="0" w:line="240" w:lineRule="auto"/>
        <w:jc w:val="both"/>
        <w:rPr>
          <w:rFonts w:ascii="Times New Roman" w:hAnsi="Times New Roman"/>
          <w:sz w:val="20"/>
          <w:szCs w:val="20"/>
        </w:rPr>
      </w:pPr>
      <w:r w:rsidRPr="00641801">
        <w:rPr>
          <w:rFonts w:ascii="Times New Roman" w:hAnsi="Times New Roman"/>
          <w:sz w:val="20"/>
          <w:szCs w:val="20"/>
        </w:rPr>
        <w:t xml:space="preserve">We maintain a high level of inventory of raw materials, work in progress and </w:t>
      </w:r>
      <w:r w:rsidRPr="000508ED">
        <w:rPr>
          <w:rFonts w:ascii="Times New Roman" w:hAnsi="Times New Roman"/>
          <w:sz w:val="20"/>
          <w:szCs w:val="20"/>
        </w:rPr>
        <w:t>finished goods. As of Fiscal 202</w:t>
      </w:r>
      <w:r>
        <w:rPr>
          <w:rFonts w:ascii="Times New Roman" w:hAnsi="Times New Roman"/>
          <w:sz w:val="20"/>
          <w:szCs w:val="20"/>
        </w:rPr>
        <w:t>3</w:t>
      </w:r>
      <w:r w:rsidRPr="000508ED">
        <w:rPr>
          <w:rFonts w:ascii="Times New Roman" w:hAnsi="Times New Roman"/>
          <w:sz w:val="20"/>
          <w:szCs w:val="20"/>
        </w:rPr>
        <w:t xml:space="preserve">, our inventory of raw materials, stores &amp; spares, finished goods and other items amounted to </w:t>
      </w:r>
      <w:r w:rsidR="001706A2" w:rsidRPr="001706A2">
        <w:rPr>
          <w:rFonts w:ascii="Times New Roman" w:hAnsi="Times New Roman"/>
          <w:sz w:val="20"/>
          <w:szCs w:val="20"/>
        </w:rPr>
        <w:t>₹</w:t>
      </w:r>
      <w:r w:rsidRPr="000508ED">
        <w:rPr>
          <w:rFonts w:ascii="Times New Roman" w:hAnsi="Times New Roman"/>
          <w:sz w:val="20"/>
          <w:szCs w:val="20"/>
        </w:rPr>
        <w:t xml:space="preserve"> </w:t>
      </w:r>
      <w:r>
        <w:rPr>
          <w:rFonts w:ascii="Times New Roman" w:hAnsi="Times New Roman"/>
          <w:sz w:val="20"/>
          <w:szCs w:val="20"/>
        </w:rPr>
        <w:t>7755</w:t>
      </w:r>
      <w:r w:rsidRPr="000508ED">
        <w:rPr>
          <w:rFonts w:ascii="Times New Roman" w:hAnsi="Times New Roman"/>
          <w:sz w:val="20"/>
          <w:szCs w:val="20"/>
        </w:rPr>
        <w:t>.</w:t>
      </w:r>
      <w:r>
        <w:rPr>
          <w:rFonts w:ascii="Times New Roman" w:hAnsi="Times New Roman"/>
          <w:sz w:val="20"/>
          <w:szCs w:val="20"/>
        </w:rPr>
        <w:t>1</w:t>
      </w:r>
      <w:r w:rsidRPr="000508ED">
        <w:rPr>
          <w:rFonts w:ascii="Times New Roman" w:hAnsi="Times New Roman"/>
          <w:sz w:val="20"/>
          <w:szCs w:val="20"/>
        </w:rPr>
        <w:t>7 lakhs. Our high level of inventory increases the risk of loss and storage costs to us as well as increasing the need for working capital to operate</w:t>
      </w:r>
      <w:r w:rsidRPr="00641801">
        <w:rPr>
          <w:rFonts w:ascii="Times New Roman" w:hAnsi="Times New Roman"/>
          <w:sz w:val="20"/>
          <w:szCs w:val="20"/>
        </w:rPr>
        <w:t xml:space="preserve"> our business. Further, as our customers are not obliged to purchase our products or provide us with a binding long-term commitment, there can be no assurance that customer demand will match our production levels.</w:t>
      </w:r>
    </w:p>
    <w:p w14:paraId="7023401C" w14:textId="77777777" w:rsidR="00D55EC1" w:rsidRPr="00641801" w:rsidRDefault="00D55EC1" w:rsidP="00D55EC1">
      <w:pPr>
        <w:autoSpaceDE w:val="0"/>
        <w:autoSpaceDN w:val="0"/>
        <w:adjustRightInd w:val="0"/>
        <w:spacing w:after="0" w:line="240" w:lineRule="auto"/>
        <w:jc w:val="both"/>
        <w:rPr>
          <w:rFonts w:ascii="Times New Roman" w:hAnsi="Times New Roman"/>
          <w:sz w:val="20"/>
          <w:szCs w:val="20"/>
        </w:rPr>
      </w:pPr>
    </w:p>
    <w:p w14:paraId="135F6B09" w14:textId="77777777" w:rsidR="00D55EC1" w:rsidRPr="00641801" w:rsidRDefault="00D55EC1" w:rsidP="00D55EC1">
      <w:pPr>
        <w:autoSpaceDE w:val="0"/>
        <w:autoSpaceDN w:val="0"/>
        <w:adjustRightInd w:val="0"/>
        <w:spacing w:after="0" w:line="240" w:lineRule="auto"/>
        <w:jc w:val="both"/>
        <w:rPr>
          <w:rFonts w:ascii="Times New Roman" w:hAnsi="Times New Roman"/>
          <w:sz w:val="20"/>
          <w:szCs w:val="20"/>
        </w:rPr>
      </w:pPr>
      <w:r w:rsidRPr="00641801">
        <w:rPr>
          <w:rFonts w:ascii="Times New Roman" w:hAnsi="Times New Roman"/>
          <w:sz w:val="20"/>
          <w:szCs w:val="20"/>
        </w:rPr>
        <w:t>On the other hand, in the event that the demand we have forecasted is lower than the actual demand of our products, and we are unable to ramp up production to match such demand, we may be unable to supply the requisite quantity of products to our customers in a timely manner. Any increase in our turn-around time could affect our production schedules and disrupt our supply, which could have an adverse effect on our business, cash flows, financial condition and results of operations.</w:t>
      </w:r>
    </w:p>
    <w:p w14:paraId="4E99EB4C" w14:textId="77777777" w:rsidR="00D55EC1" w:rsidRDefault="00D55EC1" w:rsidP="00D55EC1">
      <w:pPr>
        <w:tabs>
          <w:tab w:val="left" w:pos="0"/>
        </w:tabs>
        <w:spacing w:after="0" w:line="240" w:lineRule="auto"/>
        <w:jc w:val="both"/>
        <w:rPr>
          <w:rFonts w:ascii="Times New Roman" w:hAnsi="Times New Roman"/>
          <w:bCs/>
          <w:iCs/>
          <w:sz w:val="20"/>
          <w:szCs w:val="20"/>
        </w:rPr>
      </w:pPr>
    </w:p>
    <w:p w14:paraId="01E490D7" w14:textId="77777777" w:rsidR="00D55EC1" w:rsidRPr="00DC367C" w:rsidRDefault="00D55EC1" w:rsidP="00F038BD">
      <w:pPr>
        <w:numPr>
          <w:ilvl w:val="0"/>
          <w:numId w:val="150"/>
        </w:numPr>
        <w:tabs>
          <w:tab w:val="left" w:pos="0"/>
        </w:tabs>
        <w:spacing w:after="0" w:line="240" w:lineRule="auto"/>
        <w:jc w:val="both"/>
        <w:rPr>
          <w:rFonts w:ascii="Times New Roman" w:hAnsi="Times New Roman"/>
          <w:b/>
          <w:bCs/>
          <w:i/>
          <w:iCs/>
          <w:sz w:val="20"/>
          <w:szCs w:val="20"/>
          <w:lang w:val="x-none"/>
        </w:rPr>
      </w:pPr>
      <w:r w:rsidRPr="00DC367C">
        <w:rPr>
          <w:rFonts w:ascii="Times New Roman" w:hAnsi="Times New Roman"/>
          <w:b/>
          <w:bCs/>
          <w:i/>
          <w:iCs/>
          <w:sz w:val="20"/>
          <w:szCs w:val="20"/>
          <w:lang w:val="x-none"/>
        </w:rPr>
        <w:t xml:space="preserve">Our operations involve melting of </w:t>
      </w:r>
      <w:r w:rsidRPr="00DC367C">
        <w:rPr>
          <w:rFonts w:ascii="Times New Roman" w:hAnsi="Times New Roman"/>
          <w:b/>
          <w:bCs/>
          <w:i/>
          <w:iCs/>
          <w:sz w:val="20"/>
          <w:szCs w:val="20"/>
        </w:rPr>
        <w:t>brass</w:t>
      </w:r>
      <w:r w:rsidRPr="00DC367C">
        <w:rPr>
          <w:rFonts w:ascii="Times New Roman" w:hAnsi="Times New Roman"/>
          <w:b/>
          <w:bCs/>
          <w:i/>
          <w:iCs/>
          <w:sz w:val="20"/>
          <w:szCs w:val="20"/>
          <w:lang w:val="x-none"/>
        </w:rPr>
        <w:t xml:space="preserve"> scrap in the furnaces which can be extremely dangerous and any accident, could cause serious injury to people or property which may adversely affect our production schedules, costs, sales and ability to meet customer demand.</w:t>
      </w:r>
    </w:p>
    <w:p w14:paraId="38952D7F" w14:textId="77777777" w:rsidR="00D55EC1" w:rsidRPr="00DC367C" w:rsidRDefault="00D55EC1" w:rsidP="00D55EC1">
      <w:pPr>
        <w:tabs>
          <w:tab w:val="left" w:pos="0"/>
        </w:tabs>
        <w:spacing w:after="0" w:line="240" w:lineRule="auto"/>
        <w:jc w:val="both"/>
        <w:rPr>
          <w:rFonts w:ascii="Times New Roman" w:hAnsi="Times New Roman"/>
          <w:b/>
          <w:bCs/>
          <w:i/>
          <w:iCs/>
          <w:sz w:val="20"/>
          <w:szCs w:val="20"/>
        </w:rPr>
      </w:pPr>
    </w:p>
    <w:p w14:paraId="4DFF2D1E" w14:textId="77777777" w:rsidR="00D55EC1" w:rsidRPr="00DC367C" w:rsidRDefault="00D55EC1" w:rsidP="00D55EC1">
      <w:pPr>
        <w:tabs>
          <w:tab w:val="left" w:pos="0"/>
        </w:tabs>
        <w:spacing w:after="0" w:line="240" w:lineRule="auto"/>
        <w:jc w:val="both"/>
        <w:rPr>
          <w:rFonts w:ascii="Times New Roman" w:hAnsi="Times New Roman"/>
          <w:bCs/>
          <w:iCs/>
          <w:sz w:val="20"/>
          <w:szCs w:val="20"/>
        </w:rPr>
      </w:pPr>
      <w:r w:rsidRPr="00DC367C">
        <w:rPr>
          <w:rFonts w:ascii="Times New Roman" w:hAnsi="Times New Roman"/>
          <w:bCs/>
          <w:iCs/>
          <w:sz w:val="20"/>
          <w:szCs w:val="20"/>
        </w:rPr>
        <w:t>Our operations require individuals to work under potentially dangerous circumstances, with flammable materials as a significant portion of our business involves melting of brass scrap in the hot refining section. Despite compliance with requisite safety requirements and standards, our operations are subject to significant hazards, including:</w:t>
      </w:r>
    </w:p>
    <w:p w14:paraId="5172A96B" w14:textId="77777777" w:rsidR="00D55EC1" w:rsidRPr="00DC367C" w:rsidRDefault="00D55EC1" w:rsidP="00D55EC1">
      <w:pPr>
        <w:tabs>
          <w:tab w:val="left" w:pos="0"/>
        </w:tabs>
        <w:spacing w:after="0" w:line="240" w:lineRule="auto"/>
        <w:jc w:val="both"/>
        <w:rPr>
          <w:rFonts w:ascii="Times New Roman" w:hAnsi="Times New Roman"/>
          <w:bCs/>
          <w:iCs/>
          <w:sz w:val="20"/>
          <w:szCs w:val="20"/>
        </w:rPr>
      </w:pPr>
    </w:p>
    <w:p w14:paraId="36DA5FB0" w14:textId="77777777" w:rsidR="00D55EC1" w:rsidRPr="00DC367C" w:rsidRDefault="00D55EC1">
      <w:pPr>
        <w:numPr>
          <w:ilvl w:val="0"/>
          <w:numId w:val="340"/>
        </w:numPr>
        <w:tabs>
          <w:tab w:val="left" w:pos="0"/>
        </w:tabs>
        <w:spacing w:after="0" w:line="240" w:lineRule="auto"/>
        <w:jc w:val="both"/>
        <w:rPr>
          <w:rFonts w:ascii="Times New Roman" w:hAnsi="Times New Roman"/>
          <w:bCs/>
          <w:iCs/>
          <w:sz w:val="20"/>
          <w:szCs w:val="20"/>
          <w:lang w:val="x-none"/>
        </w:rPr>
      </w:pPr>
      <w:r w:rsidRPr="00DC367C">
        <w:rPr>
          <w:rFonts w:ascii="Times New Roman" w:hAnsi="Times New Roman"/>
          <w:bCs/>
          <w:iCs/>
          <w:sz w:val="20"/>
          <w:szCs w:val="20"/>
          <w:lang w:val="x-none"/>
        </w:rPr>
        <w:t>explosions</w:t>
      </w:r>
    </w:p>
    <w:p w14:paraId="7295B967" w14:textId="77777777" w:rsidR="00D55EC1" w:rsidRPr="00DC367C" w:rsidRDefault="00D55EC1">
      <w:pPr>
        <w:numPr>
          <w:ilvl w:val="0"/>
          <w:numId w:val="340"/>
        </w:numPr>
        <w:tabs>
          <w:tab w:val="left" w:pos="0"/>
        </w:tabs>
        <w:spacing w:after="0" w:line="240" w:lineRule="auto"/>
        <w:jc w:val="both"/>
        <w:rPr>
          <w:rFonts w:ascii="Times New Roman" w:hAnsi="Times New Roman"/>
          <w:bCs/>
          <w:iCs/>
          <w:sz w:val="20"/>
          <w:szCs w:val="20"/>
          <w:lang w:val="x-none"/>
        </w:rPr>
      </w:pPr>
      <w:r w:rsidRPr="00DC367C">
        <w:rPr>
          <w:rFonts w:ascii="Times New Roman" w:hAnsi="Times New Roman"/>
          <w:bCs/>
          <w:iCs/>
          <w:sz w:val="20"/>
          <w:szCs w:val="20"/>
          <w:lang w:val="x-none"/>
        </w:rPr>
        <w:t>fires</w:t>
      </w:r>
    </w:p>
    <w:p w14:paraId="74F695C8" w14:textId="77777777" w:rsidR="00D55EC1" w:rsidRPr="00DC367C" w:rsidRDefault="00D55EC1">
      <w:pPr>
        <w:numPr>
          <w:ilvl w:val="0"/>
          <w:numId w:val="340"/>
        </w:numPr>
        <w:tabs>
          <w:tab w:val="left" w:pos="0"/>
        </w:tabs>
        <w:spacing w:after="0" w:line="240" w:lineRule="auto"/>
        <w:jc w:val="both"/>
        <w:rPr>
          <w:rFonts w:ascii="Times New Roman" w:hAnsi="Times New Roman"/>
          <w:bCs/>
          <w:iCs/>
          <w:sz w:val="20"/>
          <w:szCs w:val="20"/>
          <w:lang w:val="x-none"/>
        </w:rPr>
      </w:pPr>
      <w:r w:rsidRPr="00DC367C">
        <w:rPr>
          <w:rFonts w:ascii="Times New Roman" w:hAnsi="Times New Roman"/>
          <w:bCs/>
          <w:iCs/>
          <w:sz w:val="20"/>
          <w:szCs w:val="20"/>
          <w:lang w:val="x-none"/>
        </w:rPr>
        <w:t>mechanical failures and other operational problems</w:t>
      </w:r>
    </w:p>
    <w:p w14:paraId="32DD131E" w14:textId="77777777" w:rsidR="00D55EC1" w:rsidRPr="00DC367C" w:rsidRDefault="00D55EC1">
      <w:pPr>
        <w:numPr>
          <w:ilvl w:val="0"/>
          <w:numId w:val="340"/>
        </w:numPr>
        <w:tabs>
          <w:tab w:val="left" w:pos="0"/>
        </w:tabs>
        <w:spacing w:after="0" w:line="240" w:lineRule="auto"/>
        <w:jc w:val="both"/>
        <w:rPr>
          <w:rFonts w:ascii="Times New Roman" w:hAnsi="Times New Roman"/>
          <w:bCs/>
          <w:iCs/>
          <w:sz w:val="20"/>
          <w:szCs w:val="20"/>
          <w:lang w:val="x-none"/>
        </w:rPr>
      </w:pPr>
      <w:r w:rsidRPr="00DC367C">
        <w:rPr>
          <w:rFonts w:ascii="Times New Roman" w:hAnsi="Times New Roman"/>
          <w:bCs/>
          <w:iCs/>
          <w:sz w:val="20"/>
          <w:szCs w:val="20"/>
          <w:lang w:val="x-none"/>
        </w:rPr>
        <w:t>inclement weather and natural disasters</w:t>
      </w:r>
    </w:p>
    <w:p w14:paraId="66332A4E" w14:textId="77777777" w:rsidR="00D55EC1" w:rsidRPr="00DC367C" w:rsidRDefault="00D55EC1">
      <w:pPr>
        <w:numPr>
          <w:ilvl w:val="0"/>
          <w:numId w:val="340"/>
        </w:numPr>
        <w:tabs>
          <w:tab w:val="left" w:pos="0"/>
        </w:tabs>
        <w:spacing w:after="0" w:line="240" w:lineRule="auto"/>
        <w:jc w:val="both"/>
        <w:rPr>
          <w:rFonts w:ascii="Times New Roman" w:hAnsi="Times New Roman"/>
          <w:bCs/>
          <w:iCs/>
          <w:sz w:val="20"/>
          <w:szCs w:val="20"/>
          <w:lang w:val="x-none"/>
        </w:rPr>
      </w:pPr>
      <w:r w:rsidRPr="00DC367C">
        <w:rPr>
          <w:rFonts w:ascii="Times New Roman" w:hAnsi="Times New Roman"/>
          <w:bCs/>
          <w:iCs/>
          <w:sz w:val="20"/>
          <w:szCs w:val="20"/>
          <w:lang w:val="x-none"/>
        </w:rPr>
        <w:t>discharges or releases of hazardous substances, chemicals or gases; and</w:t>
      </w:r>
    </w:p>
    <w:p w14:paraId="53EAEC51" w14:textId="77777777" w:rsidR="00D55EC1" w:rsidRPr="00DC367C" w:rsidRDefault="00D55EC1">
      <w:pPr>
        <w:numPr>
          <w:ilvl w:val="0"/>
          <w:numId w:val="340"/>
        </w:numPr>
        <w:tabs>
          <w:tab w:val="left" w:pos="0"/>
        </w:tabs>
        <w:spacing w:after="0" w:line="240" w:lineRule="auto"/>
        <w:jc w:val="both"/>
        <w:rPr>
          <w:rFonts w:ascii="Times New Roman" w:hAnsi="Times New Roman"/>
          <w:bCs/>
          <w:iCs/>
          <w:sz w:val="20"/>
          <w:szCs w:val="20"/>
          <w:lang w:val="x-none"/>
        </w:rPr>
      </w:pPr>
      <w:r w:rsidRPr="00DC367C">
        <w:rPr>
          <w:rFonts w:ascii="Times New Roman" w:hAnsi="Times New Roman"/>
          <w:bCs/>
          <w:iCs/>
          <w:sz w:val="20"/>
          <w:szCs w:val="20"/>
          <w:lang w:val="x-none"/>
        </w:rPr>
        <w:t>other environmental risks.</w:t>
      </w:r>
    </w:p>
    <w:p w14:paraId="7678D489" w14:textId="77777777" w:rsidR="00D55EC1" w:rsidRPr="00DC367C" w:rsidRDefault="00D55EC1" w:rsidP="00D55EC1">
      <w:pPr>
        <w:tabs>
          <w:tab w:val="left" w:pos="0"/>
        </w:tabs>
        <w:spacing w:after="0" w:line="240" w:lineRule="auto"/>
        <w:jc w:val="both"/>
        <w:rPr>
          <w:rFonts w:ascii="Times New Roman" w:hAnsi="Times New Roman"/>
          <w:bCs/>
          <w:iCs/>
          <w:sz w:val="20"/>
          <w:szCs w:val="20"/>
        </w:rPr>
      </w:pPr>
    </w:p>
    <w:p w14:paraId="147E884E" w14:textId="77777777" w:rsidR="00D55EC1" w:rsidRPr="00DC367C" w:rsidRDefault="00D55EC1" w:rsidP="00D55EC1">
      <w:pPr>
        <w:tabs>
          <w:tab w:val="left" w:pos="0"/>
        </w:tabs>
        <w:spacing w:after="0" w:line="240" w:lineRule="auto"/>
        <w:jc w:val="both"/>
        <w:rPr>
          <w:rFonts w:ascii="Times New Roman" w:hAnsi="Times New Roman"/>
          <w:bCs/>
          <w:iCs/>
          <w:sz w:val="20"/>
          <w:szCs w:val="20"/>
        </w:rPr>
      </w:pPr>
      <w:r w:rsidRPr="00DC367C">
        <w:rPr>
          <w:rFonts w:ascii="Times New Roman" w:hAnsi="Times New Roman"/>
          <w:bCs/>
          <w:iCs/>
          <w:sz w:val="20"/>
          <w:szCs w:val="20"/>
        </w:rPr>
        <w:t xml:space="preserve">Although we employ safety procedures during the melting of brass in the furnaces and maintain what we believe to be adequate insurance, there is a risk that any hazard may result in personal injury to our employees or other persons, destruction of property or </w:t>
      </w:r>
      <w:r w:rsidRPr="00DC367C">
        <w:rPr>
          <w:rFonts w:ascii="Times New Roman" w:hAnsi="Times New Roman"/>
          <w:bCs/>
          <w:iCs/>
          <w:sz w:val="20"/>
          <w:szCs w:val="20"/>
        </w:rPr>
        <w:lastRenderedPageBreak/>
        <w:t>equipment, environmental damage, etc. may lead to suspension of our operations and/or imposition of civil or criminal liabilities. The loss or shutting down of our facilities could disrupt our business operations and adversely affect our results of operations, cash flows, financial condition and reputation. We could also face claims and litigation in India, filed on behalf of persons alleging injury predominantly as a result of occupational exposure to hazards at our facilities, the outcome of which is difficult to assess or quantify, and the cost to defend such litigation could be significant. These claims and lawsuits, individually or in the aggregate, may be resolved against us inflicting negative publicity and consequently, our business, cash flows, results of operations and financial condition could be adversely affected.</w:t>
      </w:r>
    </w:p>
    <w:p w14:paraId="553FC79D" w14:textId="77777777" w:rsidR="00D55EC1" w:rsidRPr="00DC367C" w:rsidRDefault="00D55EC1" w:rsidP="00D55EC1">
      <w:pPr>
        <w:tabs>
          <w:tab w:val="left" w:pos="0"/>
        </w:tabs>
        <w:spacing w:after="0" w:line="240" w:lineRule="auto"/>
        <w:jc w:val="both"/>
        <w:rPr>
          <w:rFonts w:ascii="Times New Roman" w:hAnsi="Times New Roman"/>
          <w:bCs/>
          <w:iCs/>
          <w:sz w:val="20"/>
          <w:szCs w:val="20"/>
        </w:rPr>
      </w:pPr>
    </w:p>
    <w:p w14:paraId="0AD9C37B" w14:textId="77777777" w:rsidR="00D55EC1" w:rsidRPr="00DC367C" w:rsidRDefault="00D55EC1" w:rsidP="00D55EC1">
      <w:pPr>
        <w:tabs>
          <w:tab w:val="left" w:pos="0"/>
        </w:tabs>
        <w:spacing w:after="0" w:line="240" w:lineRule="auto"/>
        <w:jc w:val="both"/>
        <w:rPr>
          <w:rFonts w:ascii="Times New Roman" w:hAnsi="Times New Roman"/>
          <w:bCs/>
          <w:iCs/>
          <w:sz w:val="20"/>
          <w:szCs w:val="20"/>
        </w:rPr>
      </w:pPr>
      <w:r w:rsidRPr="00DC367C">
        <w:rPr>
          <w:rFonts w:ascii="Times New Roman" w:hAnsi="Times New Roman"/>
          <w:bCs/>
          <w:iCs/>
          <w:sz w:val="20"/>
          <w:szCs w:val="20"/>
        </w:rPr>
        <w:t>In particular, if operations at our manufacturing facilities were to be disrupted as a result of any significant workplace accident, fire, explosion or other connected reasons, our financial performance may be adversely affected as a result of our inability to meet customer demand or committed delivery schedules for our products. Interruptions in production may also increase our costs and reduce our sales, and may require us to make substantial capital expenditures to remedy the situation or to defend litigation that we may become involved in as a result, which may negatively affect our profitability, business, reputation, financial condition, results of operations, cash flows and prospects.</w:t>
      </w:r>
    </w:p>
    <w:p w14:paraId="5F2CF94F" w14:textId="77777777" w:rsidR="00D55EC1" w:rsidRDefault="00D55EC1" w:rsidP="00D55EC1">
      <w:pPr>
        <w:tabs>
          <w:tab w:val="left" w:pos="0"/>
        </w:tabs>
        <w:spacing w:after="0" w:line="240" w:lineRule="auto"/>
        <w:jc w:val="both"/>
        <w:rPr>
          <w:rFonts w:ascii="Times New Roman" w:hAnsi="Times New Roman"/>
          <w:bCs/>
          <w:iCs/>
          <w:sz w:val="20"/>
          <w:szCs w:val="20"/>
        </w:rPr>
      </w:pPr>
    </w:p>
    <w:p w14:paraId="7E38A3B2" w14:textId="77777777" w:rsidR="002451E9" w:rsidRPr="002451E9" w:rsidRDefault="002451E9" w:rsidP="002451E9">
      <w:pPr>
        <w:numPr>
          <w:ilvl w:val="0"/>
          <w:numId w:val="150"/>
        </w:numPr>
        <w:suppressAutoHyphens/>
        <w:autoSpaceDE w:val="0"/>
        <w:autoSpaceDN w:val="0"/>
        <w:adjustRightInd w:val="0"/>
        <w:spacing w:after="0" w:line="240" w:lineRule="auto"/>
        <w:contextualSpacing/>
        <w:jc w:val="both"/>
        <w:textAlignment w:val="center"/>
        <w:rPr>
          <w:rFonts w:ascii="Times New Roman" w:eastAsia="MS Mincho" w:hAnsi="Times New Roman"/>
          <w:b/>
          <w:i/>
          <w:color w:val="000000"/>
          <w:sz w:val="20"/>
          <w:szCs w:val="20"/>
          <w:lang w:val="en-GB" w:eastAsia="x-none"/>
        </w:rPr>
      </w:pPr>
      <w:r w:rsidRPr="002451E9">
        <w:rPr>
          <w:rFonts w:ascii="Times New Roman" w:eastAsia="MS Mincho" w:hAnsi="Times New Roman"/>
          <w:b/>
          <w:i/>
          <w:color w:val="000000"/>
          <w:sz w:val="20"/>
          <w:szCs w:val="20"/>
          <w:lang w:val="en-GB" w:eastAsia="x-none"/>
        </w:rPr>
        <w:t>Under-utilization of our manufacturing capacities and an inability to effectively utilize our existing manufacturing capacities could have an adverse effect on our business, future prospects and future financial performance.</w:t>
      </w:r>
    </w:p>
    <w:p w14:paraId="5DECDD7F" w14:textId="77777777" w:rsidR="002451E9" w:rsidRPr="002451E9" w:rsidRDefault="002451E9" w:rsidP="002451E9">
      <w:pPr>
        <w:suppressAutoHyphens/>
        <w:autoSpaceDE w:val="0"/>
        <w:autoSpaceDN w:val="0"/>
        <w:adjustRightInd w:val="0"/>
        <w:spacing w:after="0" w:line="240" w:lineRule="auto"/>
        <w:ind w:left="360"/>
        <w:contextualSpacing/>
        <w:jc w:val="both"/>
        <w:textAlignment w:val="center"/>
        <w:rPr>
          <w:rFonts w:ascii="Times New Roman" w:eastAsia="MS Mincho" w:hAnsi="Times New Roman"/>
          <w:b/>
          <w:i/>
          <w:color w:val="000000"/>
          <w:sz w:val="20"/>
          <w:szCs w:val="20"/>
          <w:lang w:val="en-GB" w:eastAsia="x-none"/>
        </w:rPr>
      </w:pPr>
    </w:p>
    <w:p w14:paraId="62FA3876" w14:textId="51DD94AB" w:rsidR="002451E9" w:rsidRPr="002451E9" w:rsidRDefault="002451E9" w:rsidP="002451E9">
      <w:pPr>
        <w:autoSpaceDE w:val="0"/>
        <w:autoSpaceDN w:val="0"/>
        <w:adjustRightInd w:val="0"/>
        <w:spacing w:after="0" w:line="240" w:lineRule="auto"/>
        <w:jc w:val="both"/>
        <w:rPr>
          <w:rFonts w:ascii="Times New Roman" w:hAnsi="Times New Roman"/>
          <w:sz w:val="20"/>
          <w:szCs w:val="20"/>
        </w:rPr>
      </w:pPr>
      <w:r w:rsidRPr="002451E9">
        <w:rPr>
          <w:rFonts w:ascii="Times New Roman" w:hAnsi="Times New Roman"/>
          <w:sz w:val="20"/>
          <w:szCs w:val="20"/>
        </w:rPr>
        <w:t>Our capacity utilization levels are dependent on our ability to carry out uninterrupted operations at manufacturing facilit</w:t>
      </w:r>
      <w:r>
        <w:rPr>
          <w:rFonts w:ascii="Times New Roman" w:hAnsi="Times New Roman"/>
          <w:sz w:val="20"/>
          <w:szCs w:val="20"/>
        </w:rPr>
        <w:t>ies</w:t>
      </w:r>
      <w:r w:rsidRPr="002451E9">
        <w:rPr>
          <w:rFonts w:ascii="Times New Roman" w:hAnsi="Times New Roman"/>
          <w:sz w:val="20"/>
          <w:szCs w:val="20"/>
        </w:rPr>
        <w:t xml:space="preserve"> as well as on the market demand of the products sold by us. Among others, the capacity utilization also depends upon the availability of raw materials, labour, industry/ market conditions and procurement practice followed by our customers.</w:t>
      </w:r>
      <w:r>
        <w:rPr>
          <w:rFonts w:ascii="Times New Roman" w:hAnsi="Times New Roman"/>
          <w:sz w:val="20"/>
          <w:szCs w:val="20"/>
        </w:rPr>
        <w:t xml:space="preserve"> </w:t>
      </w:r>
      <w:r w:rsidRPr="002451E9">
        <w:rPr>
          <w:rFonts w:ascii="Times New Roman" w:hAnsi="Times New Roman"/>
          <w:sz w:val="20"/>
          <w:szCs w:val="20"/>
        </w:rPr>
        <w:t>In Fiscals 2023, 2022 and 2021, our overall capacity utilization is detailed below:</w:t>
      </w:r>
    </w:p>
    <w:p w14:paraId="3454F337" w14:textId="77777777" w:rsidR="002451E9" w:rsidRDefault="002451E9" w:rsidP="002451E9">
      <w:pPr>
        <w:autoSpaceDE w:val="0"/>
        <w:autoSpaceDN w:val="0"/>
        <w:adjustRightInd w:val="0"/>
        <w:spacing w:after="0" w:line="240" w:lineRule="auto"/>
        <w:jc w:val="both"/>
        <w:rPr>
          <w:rFonts w:ascii="Times New Roman" w:hAnsi="Times New Roman"/>
          <w:sz w:val="20"/>
          <w:szCs w:val="20"/>
        </w:rPr>
      </w:pPr>
    </w:p>
    <w:tbl>
      <w:tblPr>
        <w:tblW w:w="10022" w:type="dxa"/>
        <w:tblInd w:w="118" w:type="dxa"/>
        <w:tblLook w:val="04A0" w:firstRow="1" w:lastRow="0" w:firstColumn="1" w:lastColumn="0" w:noHBand="0" w:noVBand="1"/>
      </w:tblPr>
      <w:tblGrid>
        <w:gridCol w:w="4010"/>
        <w:gridCol w:w="1503"/>
        <w:gridCol w:w="1503"/>
        <w:gridCol w:w="1503"/>
        <w:gridCol w:w="1503"/>
      </w:tblGrid>
      <w:tr w:rsidR="002451E9" w:rsidRPr="002451E9" w14:paraId="6BE074DA" w14:textId="77777777" w:rsidTr="0038521C">
        <w:trPr>
          <w:trHeight w:val="20"/>
        </w:trPr>
        <w:tc>
          <w:tcPr>
            <w:tcW w:w="4010" w:type="dxa"/>
            <w:tcBorders>
              <w:top w:val="single" w:sz="8" w:space="0" w:color="auto"/>
              <w:left w:val="single" w:sz="8" w:space="0" w:color="auto"/>
              <w:bottom w:val="single" w:sz="8" w:space="0" w:color="auto"/>
              <w:right w:val="single" w:sz="8" w:space="0" w:color="auto"/>
            </w:tcBorders>
            <w:shd w:val="clear" w:color="auto" w:fill="BFBFBF" w:themeFill="background1" w:themeFillShade="BF"/>
            <w:hideMark/>
          </w:tcPr>
          <w:p w14:paraId="756EB8C2" w14:textId="4C1DBC14" w:rsidR="002451E9" w:rsidRPr="002451E9" w:rsidRDefault="002451E9" w:rsidP="002451E9">
            <w:pPr>
              <w:autoSpaceDE w:val="0"/>
              <w:autoSpaceDN w:val="0"/>
              <w:adjustRightInd w:val="0"/>
              <w:spacing w:after="0" w:line="240" w:lineRule="auto"/>
              <w:jc w:val="both"/>
              <w:rPr>
                <w:rFonts w:ascii="Times New Roman" w:hAnsi="Times New Roman"/>
                <w:b/>
                <w:bCs/>
                <w:sz w:val="20"/>
                <w:szCs w:val="20"/>
                <w:lang w:val="en-IN"/>
              </w:rPr>
            </w:pPr>
            <w:r w:rsidRPr="002451E9">
              <w:rPr>
                <w:rFonts w:ascii="Times New Roman" w:hAnsi="Times New Roman"/>
                <w:sz w:val="20"/>
                <w:szCs w:val="20"/>
                <w:lang w:val="en-IN"/>
              </w:rPr>
              <w:t> </w:t>
            </w:r>
            <w:r w:rsidRPr="0038521C">
              <w:rPr>
                <w:rFonts w:ascii="Times New Roman" w:hAnsi="Times New Roman"/>
                <w:b/>
                <w:bCs/>
                <w:sz w:val="20"/>
                <w:szCs w:val="20"/>
                <w:lang w:val="en-IN"/>
              </w:rPr>
              <w:t>Capacity details</w:t>
            </w:r>
          </w:p>
        </w:tc>
        <w:tc>
          <w:tcPr>
            <w:tcW w:w="1503" w:type="dxa"/>
            <w:tcBorders>
              <w:top w:val="single" w:sz="8" w:space="0" w:color="auto"/>
              <w:left w:val="nil"/>
              <w:bottom w:val="single" w:sz="8" w:space="0" w:color="auto"/>
              <w:right w:val="single" w:sz="8" w:space="0" w:color="auto"/>
            </w:tcBorders>
            <w:shd w:val="clear" w:color="auto" w:fill="BFBFBF" w:themeFill="background1" w:themeFillShade="BF"/>
            <w:hideMark/>
          </w:tcPr>
          <w:p w14:paraId="33B2DB05" w14:textId="77777777" w:rsidR="002451E9" w:rsidRPr="002451E9" w:rsidRDefault="002451E9" w:rsidP="002451E9">
            <w:pPr>
              <w:autoSpaceDE w:val="0"/>
              <w:autoSpaceDN w:val="0"/>
              <w:adjustRightInd w:val="0"/>
              <w:spacing w:after="0" w:line="240" w:lineRule="auto"/>
              <w:jc w:val="both"/>
              <w:rPr>
                <w:rFonts w:ascii="Times New Roman" w:hAnsi="Times New Roman"/>
                <w:b/>
                <w:bCs/>
                <w:sz w:val="20"/>
                <w:szCs w:val="20"/>
                <w:lang w:val="en-IN"/>
              </w:rPr>
            </w:pPr>
            <w:r w:rsidRPr="002451E9">
              <w:rPr>
                <w:rFonts w:ascii="Times New Roman" w:hAnsi="Times New Roman"/>
                <w:b/>
                <w:bCs/>
                <w:iCs/>
                <w:sz w:val="20"/>
                <w:szCs w:val="20"/>
              </w:rPr>
              <w:t>2020-21</w:t>
            </w:r>
          </w:p>
        </w:tc>
        <w:tc>
          <w:tcPr>
            <w:tcW w:w="1503" w:type="dxa"/>
            <w:tcBorders>
              <w:top w:val="single" w:sz="8" w:space="0" w:color="auto"/>
              <w:left w:val="nil"/>
              <w:bottom w:val="single" w:sz="8" w:space="0" w:color="auto"/>
              <w:right w:val="single" w:sz="8" w:space="0" w:color="auto"/>
            </w:tcBorders>
            <w:shd w:val="clear" w:color="auto" w:fill="BFBFBF" w:themeFill="background1" w:themeFillShade="BF"/>
            <w:hideMark/>
          </w:tcPr>
          <w:p w14:paraId="6F89220F" w14:textId="77777777" w:rsidR="002451E9" w:rsidRPr="002451E9" w:rsidRDefault="002451E9" w:rsidP="002451E9">
            <w:pPr>
              <w:autoSpaceDE w:val="0"/>
              <w:autoSpaceDN w:val="0"/>
              <w:adjustRightInd w:val="0"/>
              <w:spacing w:after="0" w:line="240" w:lineRule="auto"/>
              <w:jc w:val="both"/>
              <w:rPr>
                <w:rFonts w:ascii="Times New Roman" w:hAnsi="Times New Roman"/>
                <w:b/>
                <w:bCs/>
                <w:sz w:val="20"/>
                <w:szCs w:val="20"/>
                <w:lang w:val="en-IN"/>
              </w:rPr>
            </w:pPr>
            <w:r w:rsidRPr="002451E9">
              <w:rPr>
                <w:rFonts w:ascii="Times New Roman" w:hAnsi="Times New Roman"/>
                <w:b/>
                <w:bCs/>
                <w:iCs/>
                <w:sz w:val="20"/>
                <w:szCs w:val="20"/>
              </w:rPr>
              <w:t>2021-22</w:t>
            </w:r>
          </w:p>
        </w:tc>
        <w:tc>
          <w:tcPr>
            <w:tcW w:w="1503" w:type="dxa"/>
            <w:tcBorders>
              <w:top w:val="single" w:sz="8" w:space="0" w:color="auto"/>
              <w:left w:val="nil"/>
              <w:bottom w:val="single" w:sz="8" w:space="0" w:color="auto"/>
              <w:right w:val="single" w:sz="8" w:space="0" w:color="auto"/>
            </w:tcBorders>
            <w:shd w:val="clear" w:color="auto" w:fill="BFBFBF" w:themeFill="background1" w:themeFillShade="BF"/>
            <w:hideMark/>
          </w:tcPr>
          <w:p w14:paraId="7AEC9215" w14:textId="77777777" w:rsidR="002451E9" w:rsidRPr="002451E9" w:rsidRDefault="002451E9" w:rsidP="002451E9">
            <w:pPr>
              <w:autoSpaceDE w:val="0"/>
              <w:autoSpaceDN w:val="0"/>
              <w:adjustRightInd w:val="0"/>
              <w:spacing w:after="0" w:line="240" w:lineRule="auto"/>
              <w:jc w:val="both"/>
              <w:rPr>
                <w:rFonts w:ascii="Times New Roman" w:hAnsi="Times New Roman"/>
                <w:b/>
                <w:bCs/>
                <w:sz w:val="20"/>
                <w:szCs w:val="20"/>
                <w:lang w:val="en-IN"/>
              </w:rPr>
            </w:pPr>
            <w:r w:rsidRPr="002451E9">
              <w:rPr>
                <w:rFonts w:ascii="Times New Roman" w:hAnsi="Times New Roman"/>
                <w:b/>
                <w:bCs/>
                <w:iCs/>
                <w:sz w:val="20"/>
                <w:szCs w:val="20"/>
              </w:rPr>
              <w:t>2022-23</w:t>
            </w:r>
          </w:p>
        </w:tc>
        <w:tc>
          <w:tcPr>
            <w:tcW w:w="1503" w:type="dxa"/>
            <w:tcBorders>
              <w:top w:val="single" w:sz="8" w:space="0" w:color="auto"/>
              <w:left w:val="nil"/>
              <w:bottom w:val="single" w:sz="8" w:space="0" w:color="auto"/>
              <w:right w:val="single" w:sz="8" w:space="0" w:color="auto"/>
            </w:tcBorders>
            <w:shd w:val="clear" w:color="auto" w:fill="BFBFBF" w:themeFill="background1" w:themeFillShade="BF"/>
            <w:hideMark/>
          </w:tcPr>
          <w:p w14:paraId="60AD1A8D" w14:textId="77777777" w:rsidR="002451E9" w:rsidRPr="002451E9" w:rsidRDefault="002451E9" w:rsidP="002451E9">
            <w:pPr>
              <w:autoSpaceDE w:val="0"/>
              <w:autoSpaceDN w:val="0"/>
              <w:adjustRightInd w:val="0"/>
              <w:spacing w:after="0" w:line="240" w:lineRule="auto"/>
              <w:jc w:val="both"/>
              <w:rPr>
                <w:rFonts w:ascii="Times New Roman" w:hAnsi="Times New Roman"/>
                <w:b/>
                <w:bCs/>
                <w:sz w:val="20"/>
                <w:szCs w:val="20"/>
                <w:lang w:val="en-IN"/>
              </w:rPr>
            </w:pPr>
            <w:r w:rsidRPr="002451E9">
              <w:rPr>
                <w:rFonts w:ascii="Times New Roman" w:hAnsi="Times New Roman"/>
                <w:b/>
                <w:bCs/>
                <w:iCs/>
                <w:sz w:val="20"/>
                <w:szCs w:val="20"/>
              </w:rPr>
              <w:t>Existing Installed Capacity (p.a.)</w:t>
            </w:r>
          </w:p>
        </w:tc>
      </w:tr>
      <w:tr w:rsidR="002451E9" w:rsidRPr="002451E9" w14:paraId="045A6D9D" w14:textId="77777777" w:rsidTr="002451E9">
        <w:trPr>
          <w:trHeight w:val="20"/>
        </w:trPr>
        <w:tc>
          <w:tcPr>
            <w:tcW w:w="4010" w:type="dxa"/>
            <w:tcBorders>
              <w:top w:val="nil"/>
              <w:left w:val="single" w:sz="8" w:space="0" w:color="auto"/>
              <w:bottom w:val="single" w:sz="8" w:space="0" w:color="auto"/>
              <w:right w:val="single" w:sz="8" w:space="0" w:color="auto"/>
            </w:tcBorders>
            <w:shd w:val="clear" w:color="auto" w:fill="auto"/>
            <w:hideMark/>
          </w:tcPr>
          <w:p w14:paraId="1CEFC309" w14:textId="77777777" w:rsidR="002451E9" w:rsidRPr="002451E9" w:rsidRDefault="002451E9" w:rsidP="002451E9">
            <w:pPr>
              <w:autoSpaceDE w:val="0"/>
              <w:autoSpaceDN w:val="0"/>
              <w:adjustRightInd w:val="0"/>
              <w:spacing w:after="0" w:line="240" w:lineRule="auto"/>
              <w:jc w:val="both"/>
              <w:rPr>
                <w:rFonts w:ascii="Times New Roman" w:hAnsi="Times New Roman"/>
                <w:b/>
                <w:bCs/>
                <w:sz w:val="20"/>
                <w:szCs w:val="20"/>
                <w:lang w:val="en-IN"/>
              </w:rPr>
            </w:pPr>
            <w:r w:rsidRPr="002451E9">
              <w:rPr>
                <w:rFonts w:ascii="Times New Roman" w:hAnsi="Times New Roman"/>
                <w:b/>
                <w:bCs/>
                <w:iCs/>
                <w:sz w:val="20"/>
                <w:szCs w:val="20"/>
              </w:rPr>
              <w:t>Brass Billets and Ingots</w:t>
            </w:r>
          </w:p>
        </w:tc>
        <w:tc>
          <w:tcPr>
            <w:tcW w:w="1503" w:type="dxa"/>
            <w:tcBorders>
              <w:top w:val="nil"/>
              <w:left w:val="nil"/>
              <w:bottom w:val="single" w:sz="8" w:space="0" w:color="auto"/>
              <w:right w:val="single" w:sz="8" w:space="0" w:color="auto"/>
            </w:tcBorders>
            <w:shd w:val="clear" w:color="auto" w:fill="auto"/>
            <w:hideMark/>
          </w:tcPr>
          <w:p w14:paraId="351A0337" w14:textId="77777777" w:rsidR="002451E9" w:rsidRPr="002451E9" w:rsidRDefault="002451E9" w:rsidP="002451E9">
            <w:pPr>
              <w:autoSpaceDE w:val="0"/>
              <w:autoSpaceDN w:val="0"/>
              <w:adjustRightInd w:val="0"/>
              <w:spacing w:after="0" w:line="240" w:lineRule="auto"/>
              <w:jc w:val="both"/>
              <w:rPr>
                <w:rFonts w:ascii="Times New Roman" w:hAnsi="Times New Roman"/>
                <w:sz w:val="20"/>
                <w:szCs w:val="20"/>
                <w:lang w:val="en-IN"/>
              </w:rPr>
            </w:pPr>
            <w:r w:rsidRPr="002451E9">
              <w:rPr>
                <w:rFonts w:ascii="Times New Roman" w:hAnsi="Times New Roman"/>
                <w:sz w:val="20"/>
                <w:szCs w:val="20"/>
                <w:lang w:val="en-IN"/>
              </w:rPr>
              <w:t> </w:t>
            </w:r>
          </w:p>
        </w:tc>
        <w:tc>
          <w:tcPr>
            <w:tcW w:w="1503" w:type="dxa"/>
            <w:tcBorders>
              <w:top w:val="nil"/>
              <w:left w:val="nil"/>
              <w:bottom w:val="single" w:sz="8" w:space="0" w:color="auto"/>
              <w:right w:val="single" w:sz="8" w:space="0" w:color="auto"/>
            </w:tcBorders>
            <w:shd w:val="clear" w:color="auto" w:fill="auto"/>
            <w:hideMark/>
          </w:tcPr>
          <w:p w14:paraId="41FA31BE" w14:textId="77777777" w:rsidR="002451E9" w:rsidRPr="002451E9" w:rsidRDefault="002451E9" w:rsidP="002451E9">
            <w:pPr>
              <w:autoSpaceDE w:val="0"/>
              <w:autoSpaceDN w:val="0"/>
              <w:adjustRightInd w:val="0"/>
              <w:spacing w:after="0" w:line="240" w:lineRule="auto"/>
              <w:jc w:val="both"/>
              <w:rPr>
                <w:rFonts w:ascii="Times New Roman" w:hAnsi="Times New Roman"/>
                <w:sz w:val="20"/>
                <w:szCs w:val="20"/>
                <w:lang w:val="en-IN"/>
              </w:rPr>
            </w:pPr>
            <w:r w:rsidRPr="002451E9">
              <w:rPr>
                <w:rFonts w:ascii="Times New Roman" w:hAnsi="Times New Roman"/>
                <w:sz w:val="20"/>
                <w:szCs w:val="20"/>
                <w:lang w:val="en-IN"/>
              </w:rPr>
              <w:t> </w:t>
            </w:r>
          </w:p>
        </w:tc>
        <w:tc>
          <w:tcPr>
            <w:tcW w:w="1503" w:type="dxa"/>
            <w:tcBorders>
              <w:top w:val="nil"/>
              <w:left w:val="nil"/>
              <w:bottom w:val="single" w:sz="8" w:space="0" w:color="auto"/>
              <w:right w:val="single" w:sz="8" w:space="0" w:color="auto"/>
            </w:tcBorders>
            <w:shd w:val="clear" w:color="auto" w:fill="auto"/>
            <w:hideMark/>
          </w:tcPr>
          <w:p w14:paraId="36531AEB" w14:textId="77777777" w:rsidR="002451E9" w:rsidRPr="002451E9" w:rsidRDefault="002451E9" w:rsidP="002451E9">
            <w:pPr>
              <w:autoSpaceDE w:val="0"/>
              <w:autoSpaceDN w:val="0"/>
              <w:adjustRightInd w:val="0"/>
              <w:spacing w:after="0" w:line="240" w:lineRule="auto"/>
              <w:jc w:val="both"/>
              <w:rPr>
                <w:rFonts w:ascii="Times New Roman" w:hAnsi="Times New Roman"/>
                <w:sz w:val="20"/>
                <w:szCs w:val="20"/>
                <w:lang w:val="en-IN"/>
              </w:rPr>
            </w:pPr>
            <w:r w:rsidRPr="002451E9">
              <w:rPr>
                <w:rFonts w:ascii="Times New Roman" w:hAnsi="Times New Roman"/>
                <w:sz w:val="20"/>
                <w:szCs w:val="20"/>
                <w:lang w:val="en-IN"/>
              </w:rPr>
              <w:t> </w:t>
            </w:r>
          </w:p>
        </w:tc>
        <w:tc>
          <w:tcPr>
            <w:tcW w:w="1503" w:type="dxa"/>
            <w:tcBorders>
              <w:top w:val="nil"/>
              <w:left w:val="nil"/>
              <w:bottom w:val="single" w:sz="8" w:space="0" w:color="auto"/>
              <w:right w:val="single" w:sz="8" w:space="0" w:color="auto"/>
            </w:tcBorders>
            <w:shd w:val="clear" w:color="auto" w:fill="auto"/>
            <w:hideMark/>
          </w:tcPr>
          <w:p w14:paraId="2D3C7B7E" w14:textId="77777777" w:rsidR="002451E9" w:rsidRPr="002451E9" w:rsidRDefault="002451E9" w:rsidP="002451E9">
            <w:pPr>
              <w:autoSpaceDE w:val="0"/>
              <w:autoSpaceDN w:val="0"/>
              <w:adjustRightInd w:val="0"/>
              <w:spacing w:after="0" w:line="240" w:lineRule="auto"/>
              <w:jc w:val="both"/>
              <w:rPr>
                <w:rFonts w:ascii="Times New Roman" w:hAnsi="Times New Roman"/>
                <w:sz w:val="20"/>
                <w:szCs w:val="20"/>
                <w:lang w:val="en-IN"/>
              </w:rPr>
            </w:pPr>
            <w:r w:rsidRPr="002451E9">
              <w:rPr>
                <w:rFonts w:ascii="Times New Roman" w:hAnsi="Times New Roman"/>
                <w:sz w:val="20"/>
                <w:szCs w:val="20"/>
                <w:lang w:val="en-IN"/>
              </w:rPr>
              <w:t> </w:t>
            </w:r>
          </w:p>
        </w:tc>
      </w:tr>
      <w:tr w:rsidR="002451E9" w:rsidRPr="002451E9" w14:paraId="3384E4BB" w14:textId="77777777" w:rsidTr="0038521C">
        <w:trPr>
          <w:trHeight w:val="20"/>
        </w:trPr>
        <w:tc>
          <w:tcPr>
            <w:tcW w:w="4010" w:type="dxa"/>
            <w:tcBorders>
              <w:top w:val="nil"/>
              <w:left w:val="single" w:sz="8" w:space="0" w:color="auto"/>
              <w:bottom w:val="single" w:sz="8" w:space="0" w:color="auto"/>
              <w:right w:val="single" w:sz="8" w:space="0" w:color="auto"/>
            </w:tcBorders>
            <w:shd w:val="clear" w:color="auto" w:fill="auto"/>
            <w:hideMark/>
          </w:tcPr>
          <w:p w14:paraId="1C2BD589" w14:textId="77777777" w:rsidR="002451E9" w:rsidRPr="002451E9" w:rsidRDefault="002451E9" w:rsidP="002451E9">
            <w:pPr>
              <w:autoSpaceDE w:val="0"/>
              <w:autoSpaceDN w:val="0"/>
              <w:adjustRightInd w:val="0"/>
              <w:spacing w:after="0" w:line="240" w:lineRule="auto"/>
              <w:jc w:val="both"/>
              <w:rPr>
                <w:rFonts w:ascii="Times New Roman" w:hAnsi="Times New Roman"/>
                <w:sz w:val="20"/>
                <w:szCs w:val="20"/>
                <w:lang w:val="en-IN"/>
              </w:rPr>
            </w:pPr>
            <w:r w:rsidRPr="002451E9">
              <w:rPr>
                <w:rFonts w:ascii="Times New Roman" w:hAnsi="Times New Roman"/>
                <w:sz w:val="20"/>
                <w:szCs w:val="20"/>
              </w:rPr>
              <w:t>Installed Capacity (in Mt)</w:t>
            </w:r>
          </w:p>
        </w:tc>
        <w:tc>
          <w:tcPr>
            <w:tcW w:w="1503" w:type="dxa"/>
            <w:tcBorders>
              <w:top w:val="nil"/>
              <w:left w:val="nil"/>
              <w:bottom w:val="single" w:sz="8" w:space="0" w:color="auto"/>
              <w:right w:val="single" w:sz="8" w:space="0" w:color="auto"/>
            </w:tcBorders>
            <w:shd w:val="clear" w:color="auto" w:fill="auto"/>
            <w:vAlign w:val="center"/>
            <w:hideMark/>
          </w:tcPr>
          <w:p w14:paraId="58ABB6C5" w14:textId="77777777" w:rsidR="002451E9" w:rsidRPr="002451E9" w:rsidRDefault="002451E9" w:rsidP="0038521C">
            <w:pPr>
              <w:autoSpaceDE w:val="0"/>
              <w:autoSpaceDN w:val="0"/>
              <w:adjustRightInd w:val="0"/>
              <w:spacing w:after="0" w:line="240" w:lineRule="auto"/>
              <w:jc w:val="center"/>
              <w:rPr>
                <w:rFonts w:ascii="Times New Roman" w:hAnsi="Times New Roman"/>
                <w:sz w:val="20"/>
                <w:szCs w:val="20"/>
                <w:highlight w:val="yellow"/>
                <w:lang w:val="en-IN"/>
              </w:rPr>
            </w:pPr>
            <w:r w:rsidRPr="002451E9">
              <w:rPr>
                <w:rFonts w:ascii="Times New Roman" w:hAnsi="Times New Roman"/>
                <w:sz w:val="20"/>
                <w:szCs w:val="20"/>
                <w:highlight w:val="yellow"/>
              </w:rPr>
              <w:t>14,400</w:t>
            </w:r>
          </w:p>
        </w:tc>
        <w:tc>
          <w:tcPr>
            <w:tcW w:w="1503" w:type="dxa"/>
            <w:tcBorders>
              <w:top w:val="nil"/>
              <w:left w:val="nil"/>
              <w:bottom w:val="single" w:sz="8" w:space="0" w:color="auto"/>
              <w:right w:val="single" w:sz="8" w:space="0" w:color="auto"/>
            </w:tcBorders>
            <w:shd w:val="clear" w:color="auto" w:fill="auto"/>
            <w:vAlign w:val="center"/>
            <w:hideMark/>
          </w:tcPr>
          <w:p w14:paraId="4E8F80C7" w14:textId="77777777" w:rsidR="002451E9" w:rsidRPr="002451E9" w:rsidRDefault="002451E9" w:rsidP="0038521C">
            <w:pPr>
              <w:autoSpaceDE w:val="0"/>
              <w:autoSpaceDN w:val="0"/>
              <w:adjustRightInd w:val="0"/>
              <w:spacing w:after="0" w:line="240" w:lineRule="auto"/>
              <w:jc w:val="center"/>
              <w:rPr>
                <w:rFonts w:ascii="Times New Roman" w:hAnsi="Times New Roman"/>
                <w:sz w:val="20"/>
                <w:szCs w:val="20"/>
                <w:highlight w:val="yellow"/>
                <w:lang w:val="en-IN"/>
              </w:rPr>
            </w:pPr>
            <w:r w:rsidRPr="002451E9">
              <w:rPr>
                <w:rFonts w:ascii="Times New Roman" w:hAnsi="Times New Roman"/>
                <w:sz w:val="20"/>
                <w:szCs w:val="20"/>
                <w:highlight w:val="yellow"/>
              </w:rPr>
              <w:t>14,400</w:t>
            </w:r>
          </w:p>
        </w:tc>
        <w:tc>
          <w:tcPr>
            <w:tcW w:w="1503" w:type="dxa"/>
            <w:tcBorders>
              <w:top w:val="nil"/>
              <w:left w:val="nil"/>
              <w:bottom w:val="single" w:sz="8" w:space="0" w:color="auto"/>
              <w:right w:val="single" w:sz="8" w:space="0" w:color="auto"/>
            </w:tcBorders>
            <w:shd w:val="clear" w:color="auto" w:fill="auto"/>
            <w:vAlign w:val="center"/>
            <w:hideMark/>
          </w:tcPr>
          <w:p w14:paraId="724C2AA1" w14:textId="77777777" w:rsidR="002451E9" w:rsidRPr="002451E9" w:rsidRDefault="002451E9" w:rsidP="0038521C">
            <w:pPr>
              <w:autoSpaceDE w:val="0"/>
              <w:autoSpaceDN w:val="0"/>
              <w:adjustRightInd w:val="0"/>
              <w:spacing w:after="0" w:line="240" w:lineRule="auto"/>
              <w:jc w:val="center"/>
              <w:rPr>
                <w:rFonts w:ascii="Times New Roman" w:hAnsi="Times New Roman"/>
                <w:sz w:val="20"/>
                <w:szCs w:val="20"/>
                <w:highlight w:val="yellow"/>
                <w:lang w:val="en-IN"/>
              </w:rPr>
            </w:pPr>
            <w:r w:rsidRPr="002451E9">
              <w:rPr>
                <w:rFonts w:ascii="Times New Roman" w:hAnsi="Times New Roman"/>
                <w:sz w:val="20"/>
                <w:szCs w:val="20"/>
                <w:highlight w:val="yellow"/>
              </w:rPr>
              <w:t>14,400</w:t>
            </w:r>
          </w:p>
        </w:tc>
        <w:tc>
          <w:tcPr>
            <w:tcW w:w="1503" w:type="dxa"/>
            <w:vMerge w:val="restart"/>
            <w:tcBorders>
              <w:top w:val="nil"/>
              <w:left w:val="nil"/>
              <w:right w:val="single" w:sz="8" w:space="0" w:color="auto"/>
            </w:tcBorders>
            <w:shd w:val="clear" w:color="auto" w:fill="auto"/>
            <w:vAlign w:val="center"/>
            <w:hideMark/>
          </w:tcPr>
          <w:p w14:paraId="4A1607E8" w14:textId="4BA6E5D7" w:rsidR="002451E9" w:rsidRPr="002451E9" w:rsidRDefault="002451E9" w:rsidP="0038521C">
            <w:pPr>
              <w:autoSpaceDE w:val="0"/>
              <w:autoSpaceDN w:val="0"/>
              <w:adjustRightInd w:val="0"/>
              <w:spacing w:after="0" w:line="240" w:lineRule="auto"/>
              <w:jc w:val="center"/>
              <w:rPr>
                <w:rFonts w:ascii="Times New Roman" w:hAnsi="Times New Roman"/>
                <w:sz w:val="20"/>
                <w:szCs w:val="20"/>
                <w:highlight w:val="yellow"/>
                <w:lang w:val="en-IN"/>
              </w:rPr>
            </w:pPr>
            <w:r w:rsidRPr="002451E9">
              <w:rPr>
                <w:rFonts w:ascii="Times New Roman" w:hAnsi="Times New Roman"/>
                <w:sz w:val="20"/>
                <w:szCs w:val="20"/>
                <w:highlight w:val="yellow"/>
              </w:rPr>
              <w:t>14,400</w:t>
            </w:r>
          </w:p>
          <w:p w14:paraId="4A3A2406" w14:textId="204C29BF" w:rsidR="002451E9" w:rsidRPr="002451E9" w:rsidRDefault="002451E9" w:rsidP="0038521C">
            <w:pPr>
              <w:autoSpaceDE w:val="0"/>
              <w:autoSpaceDN w:val="0"/>
              <w:adjustRightInd w:val="0"/>
              <w:spacing w:after="0" w:line="240" w:lineRule="auto"/>
              <w:jc w:val="center"/>
              <w:rPr>
                <w:rFonts w:ascii="Times New Roman" w:hAnsi="Times New Roman"/>
                <w:sz w:val="20"/>
                <w:szCs w:val="20"/>
                <w:highlight w:val="yellow"/>
                <w:lang w:val="en-IN"/>
              </w:rPr>
            </w:pPr>
          </w:p>
        </w:tc>
      </w:tr>
      <w:tr w:rsidR="002451E9" w:rsidRPr="002451E9" w14:paraId="79C1EEEA" w14:textId="77777777" w:rsidTr="002451E9">
        <w:trPr>
          <w:trHeight w:val="20"/>
        </w:trPr>
        <w:tc>
          <w:tcPr>
            <w:tcW w:w="4010" w:type="dxa"/>
            <w:tcBorders>
              <w:top w:val="nil"/>
              <w:left w:val="single" w:sz="8" w:space="0" w:color="auto"/>
              <w:bottom w:val="single" w:sz="8" w:space="0" w:color="auto"/>
              <w:right w:val="single" w:sz="8" w:space="0" w:color="auto"/>
            </w:tcBorders>
            <w:shd w:val="clear" w:color="auto" w:fill="auto"/>
            <w:hideMark/>
          </w:tcPr>
          <w:p w14:paraId="0C4798A7" w14:textId="77777777" w:rsidR="002451E9" w:rsidRPr="002451E9" w:rsidRDefault="002451E9" w:rsidP="002451E9">
            <w:pPr>
              <w:autoSpaceDE w:val="0"/>
              <w:autoSpaceDN w:val="0"/>
              <w:adjustRightInd w:val="0"/>
              <w:spacing w:after="0" w:line="240" w:lineRule="auto"/>
              <w:jc w:val="both"/>
              <w:rPr>
                <w:rFonts w:ascii="Times New Roman" w:hAnsi="Times New Roman"/>
                <w:sz w:val="20"/>
                <w:szCs w:val="20"/>
                <w:lang w:val="en-IN"/>
              </w:rPr>
            </w:pPr>
            <w:r w:rsidRPr="002451E9">
              <w:rPr>
                <w:rFonts w:ascii="Times New Roman" w:hAnsi="Times New Roman"/>
                <w:sz w:val="20"/>
                <w:szCs w:val="20"/>
              </w:rPr>
              <w:t xml:space="preserve">Actual Utilization (in Mt) </w:t>
            </w:r>
          </w:p>
        </w:tc>
        <w:tc>
          <w:tcPr>
            <w:tcW w:w="1503" w:type="dxa"/>
            <w:tcBorders>
              <w:top w:val="nil"/>
              <w:left w:val="nil"/>
              <w:bottom w:val="single" w:sz="8" w:space="0" w:color="auto"/>
              <w:right w:val="single" w:sz="8" w:space="0" w:color="auto"/>
            </w:tcBorders>
            <w:shd w:val="clear" w:color="auto" w:fill="auto"/>
            <w:vAlign w:val="center"/>
            <w:hideMark/>
          </w:tcPr>
          <w:p w14:paraId="31B7F36B" w14:textId="77777777" w:rsidR="002451E9" w:rsidRPr="002451E9" w:rsidRDefault="002451E9" w:rsidP="0038521C">
            <w:pPr>
              <w:autoSpaceDE w:val="0"/>
              <w:autoSpaceDN w:val="0"/>
              <w:adjustRightInd w:val="0"/>
              <w:spacing w:after="0" w:line="240" w:lineRule="auto"/>
              <w:jc w:val="center"/>
              <w:rPr>
                <w:rFonts w:ascii="Times New Roman" w:hAnsi="Times New Roman"/>
                <w:sz w:val="20"/>
                <w:szCs w:val="20"/>
                <w:highlight w:val="yellow"/>
                <w:lang w:val="en-IN"/>
              </w:rPr>
            </w:pPr>
            <w:r w:rsidRPr="002451E9">
              <w:rPr>
                <w:rFonts w:ascii="Times New Roman" w:hAnsi="Times New Roman"/>
                <w:sz w:val="20"/>
                <w:szCs w:val="20"/>
                <w:highlight w:val="yellow"/>
              </w:rPr>
              <w:t>3,816.87</w:t>
            </w:r>
          </w:p>
        </w:tc>
        <w:tc>
          <w:tcPr>
            <w:tcW w:w="1503" w:type="dxa"/>
            <w:tcBorders>
              <w:top w:val="nil"/>
              <w:left w:val="nil"/>
              <w:bottom w:val="single" w:sz="8" w:space="0" w:color="auto"/>
              <w:right w:val="single" w:sz="8" w:space="0" w:color="auto"/>
            </w:tcBorders>
            <w:shd w:val="clear" w:color="auto" w:fill="auto"/>
            <w:vAlign w:val="center"/>
            <w:hideMark/>
          </w:tcPr>
          <w:p w14:paraId="790224E9" w14:textId="77777777" w:rsidR="002451E9" w:rsidRPr="002451E9" w:rsidRDefault="002451E9" w:rsidP="0038521C">
            <w:pPr>
              <w:autoSpaceDE w:val="0"/>
              <w:autoSpaceDN w:val="0"/>
              <w:adjustRightInd w:val="0"/>
              <w:spacing w:after="0" w:line="240" w:lineRule="auto"/>
              <w:jc w:val="center"/>
              <w:rPr>
                <w:rFonts w:ascii="Times New Roman" w:hAnsi="Times New Roman"/>
                <w:sz w:val="20"/>
                <w:szCs w:val="20"/>
                <w:highlight w:val="yellow"/>
                <w:lang w:val="en-IN"/>
              </w:rPr>
            </w:pPr>
            <w:r w:rsidRPr="002451E9">
              <w:rPr>
                <w:rFonts w:ascii="Times New Roman" w:hAnsi="Times New Roman"/>
                <w:sz w:val="20"/>
                <w:szCs w:val="20"/>
                <w:highlight w:val="yellow"/>
              </w:rPr>
              <w:t>3,357.03</w:t>
            </w:r>
          </w:p>
        </w:tc>
        <w:tc>
          <w:tcPr>
            <w:tcW w:w="1503" w:type="dxa"/>
            <w:tcBorders>
              <w:top w:val="nil"/>
              <w:left w:val="nil"/>
              <w:bottom w:val="single" w:sz="8" w:space="0" w:color="auto"/>
              <w:right w:val="single" w:sz="8" w:space="0" w:color="auto"/>
            </w:tcBorders>
            <w:shd w:val="clear" w:color="auto" w:fill="auto"/>
            <w:vAlign w:val="center"/>
            <w:hideMark/>
          </w:tcPr>
          <w:p w14:paraId="624F0510" w14:textId="77777777" w:rsidR="002451E9" w:rsidRPr="002451E9" w:rsidRDefault="002451E9" w:rsidP="0038521C">
            <w:pPr>
              <w:autoSpaceDE w:val="0"/>
              <w:autoSpaceDN w:val="0"/>
              <w:adjustRightInd w:val="0"/>
              <w:spacing w:after="0" w:line="240" w:lineRule="auto"/>
              <w:jc w:val="center"/>
              <w:rPr>
                <w:rFonts w:ascii="Times New Roman" w:hAnsi="Times New Roman"/>
                <w:sz w:val="20"/>
                <w:szCs w:val="20"/>
                <w:highlight w:val="yellow"/>
                <w:lang w:val="en-IN"/>
              </w:rPr>
            </w:pPr>
            <w:r w:rsidRPr="002451E9">
              <w:rPr>
                <w:rFonts w:ascii="Times New Roman" w:hAnsi="Times New Roman"/>
                <w:sz w:val="20"/>
                <w:szCs w:val="20"/>
                <w:highlight w:val="yellow"/>
              </w:rPr>
              <w:t>4,685.02</w:t>
            </w:r>
          </w:p>
        </w:tc>
        <w:tc>
          <w:tcPr>
            <w:tcW w:w="1503" w:type="dxa"/>
            <w:vMerge/>
            <w:tcBorders>
              <w:left w:val="nil"/>
              <w:right w:val="single" w:sz="8" w:space="0" w:color="auto"/>
            </w:tcBorders>
            <w:shd w:val="clear" w:color="auto" w:fill="auto"/>
            <w:hideMark/>
          </w:tcPr>
          <w:p w14:paraId="0C8231EC" w14:textId="77777777" w:rsidR="002451E9" w:rsidRPr="002451E9" w:rsidRDefault="002451E9" w:rsidP="002451E9">
            <w:pPr>
              <w:autoSpaceDE w:val="0"/>
              <w:autoSpaceDN w:val="0"/>
              <w:adjustRightInd w:val="0"/>
              <w:spacing w:after="0" w:line="240" w:lineRule="auto"/>
              <w:jc w:val="both"/>
              <w:rPr>
                <w:rFonts w:ascii="Times New Roman" w:hAnsi="Times New Roman"/>
                <w:sz w:val="20"/>
                <w:szCs w:val="20"/>
                <w:highlight w:val="yellow"/>
                <w:lang w:val="en-IN"/>
              </w:rPr>
            </w:pPr>
          </w:p>
        </w:tc>
      </w:tr>
      <w:tr w:rsidR="0038521C" w:rsidRPr="002451E9" w14:paraId="4C0FD555" w14:textId="77777777" w:rsidTr="004326E0">
        <w:trPr>
          <w:trHeight w:val="20"/>
        </w:trPr>
        <w:tc>
          <w:tcPr>
            <w:tcW w:w="4010" w:type="dxa"/>
            <w:tcBorders>
              <w:top w:val="nil"/>
              <w:left w:val="single" w:sz="8" w:space="0" w:color="auto"/>
              <w:bottom w:val="single" w:sz="8" w:space="0" w:color="auto"/>
              <w:right w:val="single" w:sz="8" w:space="0" w:color="auto"/>
            </w:tcBorders>
            <w:shd w:val="clear" w:color="auto" w:fill="auto"/>
            <w:hideMark/>
          </w:tcPr>
          <w:p w14:paraId="1FF79274" w14:textId="77777777" w:rsidR="0038521C" w:rsidRPr="002451E9" w:rsidRDefault="0038521C" w:rsidP="0038521C">
            <w:pPr>
              <w:autoSpaceDE w:val="0"/>
              <w:autoSpaceDN w:val="0"/>
              <w:adjustRightInd w:val="0"/>
              <w:spacing w:after="0" w:line="240" w:lineRule="auto"/>
              <w:jc w:val="both"/>
              <w:rPr>
                <w:rFonts w:ascii="Times New Roman" w:hAnsi="Times New Roman"/>
                <w:sz w:val="20"/>
                <w:szCs w:val="20"/>
                <w:lang w:val="en-IN"/>
              </w:rPr>
            </w:pPr>
            <w:r w:rsidRPr="002451E9">
              <w:rPr>
                <w:rFonts w:ascii="Times New Roman" w:hAnsi="Times New Roman"/>
                <w:sz w:val="20"/>
                <w:szCs w:val="20"/>
              </w:rPr>
              <w:t>Actual Capacity (%)</w:t>
            </w:r>
          </w:p>
        </w:tc>
        <w:tc>
          <w:tcPr>
            <w:tcW w:w="1503" w:type="dxa"/>
            <w:tcBorders>
              <w:top w:val="nil"/>
              <w:left w:val="nil"/>
              <w:bottom w:val="single" w:sz="8" w:space="0" w:color="auto"/>
              <w:right w:val="single" w:sz="8" w:space="0" w:color="auto"/>
            </w:tcBorders>
            <w:shd w:val="clear" w:color="auto" w:fill="auto"/>
            <w:vAlign w:val="bottom"/>
            <w:hideMark/>
          </w:tcPr>
          <w:p w14:paraId="77BA20F6" w14:textId="130CE1B1" w:rsidR="0038521C" w:rsidRPr="002451E9" w:rsidRDefault="0038521C" w:rsidP="0038521C">
            <w:pPr>
              <w:autoSpaceDE w:val="0"/>
              <w:autoSpaceDN w:val="0"/>
              <w:adjustRightInd w:val="0"/>
              <w:spacing w:after="0" w:line="240" w:lineRule="auto"/>
              <w:jc w:val="center"/>
              <w:rPr>
                <w:rFonts w:ascii="Times New Roman" w:hAnsi="Times New Roman"/>
                <w:sz w:val="20"/>
                <w:szCs w:val="20"/>
                <w:highlight w:val="yellow"/>
              </w:rPr>
            </w:pPr>
            <w:r w:rsidRPr="00417705">
              <w:rPr>
                <w:rFonts w:ascii="Times New Roman" w:hAnsi="Times New Roman"/>
                <w:sz w:val="20"/>
                <w:szCs w:val="20"/>
                <w:highlight w:val="yellow"/>
              </w:rPr>
              <w:t>26.51%</w:t>
            </w:r>
          </w:p>
        </w:tc>
        <w:tc>
          <w:tcPr>
            <w:tcW w:w="1503" w:type="dxa"/>
            <w:tcBorders>
              <w:top w:val="nil"/>
              <w:left w:val="nil"/>
              <w:bottom w:val="single" w:sz="8" w:space="0" w:color="auto"/>
              <w:right w:val="single" w:sz="8" w:space="0" w:color="auto"/>
            </w:tcBorders>
            <w:shd w:val="clear" w:color="auto" w:fill="auto"/>
            <w:vAlign w:val="bottom"/>
            <w:hideMark/>
          </w:tcPr>
          <w:p w14:paraId="3A8F7FBE" w14:textId="223F34C7" w:rsidR="0038521C" w:rsidRPr="002451E9" w:rsidRDefault="0038521C" w:rsidP="0038521C">
            <w:pPr>
              <w:autoSpaceDE w:val="0"/>
              <w:autoSpaceDN w:val="0"/>
              <w:adjustRightInd w:val="0"/>
              <w:spacing w:after="0" w:line="240" w:lineRule="auto"/>
              <w:jc w:val="center"/>
              <w:rPr>
                <w:rFonts w:ascii="Times New Roman" w:hAnsi="Times New Roman"/>
                <w:sz w:val="20"/>
                <w:szCs w:val="20"/>
                <w:highlight w:val="yellow"/>
              </w:rPr>
            </w:pPr>
            <w:r w:rsidRPr="00417705">
              <w:rPr>
                <w:rFonts w:ascii="Times New Roman" w:hAnsi="Times New Roman"/>
                <w:sz w:val="20"/>
                <w:szCs w:val="20"/>
                <w:highlight w:val="yellow"/>
              </w:rPr>
              <w:t>23.31%</w:t>
            </w:r>
          </w:p>
        </w:tc>
        <w:tc>
          <w:tcPr>
            <w:tcW w:w="1503" w:type="dxa"/>
            <w:tcBorders>
              <w:top w:val="nil"/>
              <w:left w:val="nil"/>
              <w:bottom w:val="single" w:sz="8" w:space="0" w:color="auto"/>
              <w:right w:val="single" w:sz="8" w:space="0" w:color="auto"/>
            </w:tcBorders>
            <w:shd w:val="clear" w:color="auto" w:fill="auto"/>
            <w:vAlign w:val="bottom"/>
            <w:hideMark/>
          </w:tcPr>
          <w:p w14:paraId="2E2477F6" w14:textId="228C7A2C" w:rsidR="0038521C" w:rsidRPr="002451E9" w:rsidRDefault="0038521C" w:rsidP="0038521C">
            <w:pPr>
              <w:autoSpaceDE w:val="0"/>
              <w:autoSpaceDN w:val="0"/>
              <w:adjustRightInd w:val="0"/>
              <w:spacing w:after="0" w:line="240" w:lineRule="auto"/>
              <w:jc w:val="center"/>
              <w:rPr>
                <w:rFonts w:ascii="Times New Roman" w:hAnsi="Times New Roman"/>
                <w:sz w:val="20"/>
                <w:szCs w:val="20"/>
                <w:highlight w:val="yellow"/>
              </w:rPr>
            </w:pPr>
            <w:r w:rsidRPr="00417705">
              <w:rPr>
                <w:rFonts w:ascii="Times New Roman" w:hAnsi="Times New Roman"/>
                <w:sz w:val="20"/>
                <w:szCs w:val="20"/>
                <w:highlight w:val="yellow"/>
              </w:rPr>
              <w:t>32.53%</w:t>
            </w:r>
          </w:p>
        </w:tc>
        <w:tc>
          <w:tcPr>
            <w:tcW w:w="1503" w:type="dxa"/>
            <w:vMerge/>
            <w:tcBorders>
              <w:left w:val="nil"/>
              <w:bottom w:val="single" w:sz="8" w:space="0" w:color="auto"/>
              <w:right w:val="single" w:sz="8" w:space="0" w:color="auto"/>
            </w:tcBorders>
            <w:shd w:val="clear" w:color="auto" w:fill="auto"/>
            <w:hideMark/>
          </w:tcPr>
          <w:p w14:paraId="481AED56" w14:textId="77777777" w:rsidR="0038521C" w:rsidRPr="002451E9" w:rsidRDefault="0038521C" w:rsidP="0038521C">
            <w:pPr>
              <w:autoSpaceDE w:val="0"/>
              <w:autoSpaceDN w:val="0"/>
              <w:adjustRightInd w:val="0"/>
              <w:spacing w:after="0" w:line="240" w:lineRule="auto"/>
              <w:jc w:val="both"/>
              <w:rPr>
                <w:rFonts w:ascii="Times New Roman" w:hAnsi="Times New Roman"/>
                <w:sz w:val="20"/>
                <w:szCs w:val="20"/>
                <w:highlight w:val="yellow"/>
                <w:lang w:val="en-IN"/>
              </w:rPr>
            </w:pPr>
          </w:p>
        </w:tc>
      </w:tr>
      <w:tr w:rsidR="002451E9" w:rsidRPr="002451E9" w14:paraId="1D698C64" w14:textId="77777777" w:rsidTr="002451E9">
        <w:trPr>
          <w:trHeight w:val="20"/>
        </w:trPr>
        <w:tc>
          <w:tcPr>
            <w:tcW w:w="4010" w:type="dxa"/>
            <w:tcBorders>
              <w:top w:val="nil"/>
              <w:left w:val="single" w:sz="8" w:space="0" w:color="auto"/>
              <w:bottom w:val="single" w:sz="8" w:space="0" w:color="auto"/>
              <w:right w:val="single" w:sz="8" w:space="0" w:color="auto"/>
            </w:tcBorders>
            <w:shd w:val="clear" w:color="auto" w:fill="auto"/>
            <w:hideMark/>
          </w:tcPr>
          <w:p w14:paraId="1677F699" w14:textId="77777777" w:rsidR="002451E9" w:rsidRPr="002451E9" w:rsidRDefault="002451E9" w:rsidP="002451E9">
            <w:pPr>
              <w:autoSpaceDE w:val="0"/>
              <w:autoSpaceDN w:val="0"/>
              <w:adjustRightInd w:val="0"/>
              <w:spacing w:after="0" w:line="240" w:lineRule="auto"/>
              <w:jc w:val="both"/>
              <w:rPr>
                <w:rFonts w:ascii="Times New Roman" w:hAnsi="Times New Roman"/>
                <w:b/>
                <w:bCs/>
                <w:sz w:val="20"/>
                <w:szCs w:val="20"/>
                <w:lang w:val="en-IN"/>
              </w:rPr>
            </w:pPr>
            <w:r w:rsidRPr="002451E9">
              <w:rPr>
                <w:rFonts w:ascii="Times New Roman" w:hAnsi="Times New Roman"/>
                <w:b/>
                <w:bCs/>
                <w:iCs/>
                <w:sz w:val="20"/>
                <w:szCs w:val="20"/>
              </w:rPr>
              <w:t>Brass Rods</w:t>
            </w:r>
          </w:p>
        </w:tc>
        <w:tc>
          <w:tcPr>
            <w:tcW w:w="1503" w:type="dxa"/>
            <w:tcBorders>
              <w:top w:val="nil"/>
              <w:left w:val="nil"/>
              <w:bottom w:val="single" w:sz="8" w:space="0" w:color="auto"/>
              <w:right w:val="single" w:sz="8" w:space="0" w:color="auto"/>
            </w:tcBorders>
            <w:shd w:val="clear" w:color="auto" w:fill="auto"/>
            <w:vAlign w:val="center"/>
            <w:hideMark/>
          </w:tcPr>
          <w:p w14:paraId="133C0175" w14:textId="12B6A9C8" w:rsidR="002451E9" w:rsidRPr="002451E9" w:rsidRDefault="002451E9" w:rsidP="0038521C">
            <w:pPr>
              <w:autoSpaceDE w:val="0"/>
              <w:autoSpaceDN w:val="0"/>
              <w:adjustRightInd w:val="0"/>
              <w:spacing w:after="0" w:line="240" w:lineRule="auto"/>
              <w:jc w:val="center"/>
              <w:rPr>
                <w:rFonts w:ascii="Times New Roman" w:hAnsi="Times New Roman"/>
                <w:sz w:val="20"/>
                <w:szCs w:val="20"/>
                <w:highlight w:val="yellow"/>
                <w:lang w:val="en-IN"/>
              </w:rPr>
            </w:pPr>
          </w:p>
        </w:tc>
        <w:tc>
          <w:tcPr>
            <w:tcW w:w="1503" w:type="dxa"/>
            <w:tcBorders>
              <w:top w:val="nil"/>
              <w:left w:val="nil"/>
              <w:bottom w:val="single" w:sz="8" w:space="0" w:color="auto"/>
              <w:right w:val="single" w:sz="8" w:space="0" w:color="auto"/>
            </w:tcBorders>
            <w:shd w:val="clear" w:color="auto" w:fill="auto"/>
            <w:vAlign w:val="center"/>
            <w:hideMark/>
          </w:tcPr>
          <w:p w14:paraId="0010AFFD" w14:textId="049C17BB" w:rsidR="002451E9" w:rsidRPr="002451E9" w:rsidRDefault="002451E9" w:rsidP="0038521C">
            <w:pPr>
              <w:autoSpaceDE w:val="0"/>
              <w:autoSpaceDN w:val="0"/>
              <w:adjustRightInd w:val="0"/>
              <w:spacing w:after="0" w:line="240" w:lineRule="auto"/>
              <w:jc w:val="center"/>
              <w:rPr>
                <w:rFonts w:ascii="Times New Roman" w:hAnsi="Times New Roman"/>
                <w:sz w:val="20"/>
                <w:szCs w:val="20"/>
                <w:highlight w:val="yellow"/>
                <w:lang w:val="en-IN"/>
              </w:rPr>
            </w:pPr>
          </w:p>
        </w:tc>
        <w:tc>
          <w:tcPr>
            <w:tcW w:w="1503" w:type="dxa"/>
            <w:tcBorders>
              <w:top w:val="nil"/>
              <w:left w:val="nil"/>
              <w:bottom w:val="single" w:sz="8" w:space="0" w:color="auto"/>
              <w:right w:val="single" w:sz="8" w:space="0" w:color="auto"/>
            </w:tcBorders>
            <w:shd w:val="clear" w:color="auto" w:fill="auto"/>
            <w:vAlign w:val="center"/>
            <w:hideMark/>
          </w:tcPr>
          <w:p w14:paraId="1B3C1F28" w14:textId="73470BA4" w:rsidR="002451E9" w:rsidRPr="002451E9" w:rsidRDefault="002451E9" w:rsidP="0038521C">
            <w:pPr>
              <w:autoSpaceDE w:val="0"/>
              <w:autoSpaceDN w:val="0"/>
              <w:adjustRightInd w:val="0"/>
              <w:spacing w:after="0" w:line="240" w:lineRule="auto"/>
              <w:jc w:val="center"/>
              <w:rPr>
                <w:rFonts w:ascii="Times New Roman" w:hAnsi="Times New Roman"/>
                <w:sz w:val="20"/>
                <w:szCs w:val="20"/>
                <w:highlight w:val="yellow"/>
                <w:lang w:val="en-IN"/>
              </w:rPr>
            </w:pPr>
          </w:p>
        </w:tc>
        <w:tc>
          <w:tcPr>
            <w:tcW w:w="1503" w:type="dxa"/>
            <w:tcBorders>
              <w:top w:val="nil"/>
              <w:left w:val="nil"/>
              <w:bottom w:val="single" w:sz="8" w:space="0" w:color="auto"/>
              <w:right w:val="single" w:sz="8" w:space="0" w:color="auto"/>
            </w:tcBorders>
            <w:shd w:val="clear" w:color="auto" w:fill="auto"/>
            <w:hideMark/>
          </w:tcPr>
          <w:p w14:paraId="6C83F561" w14:textId="77777777" w:rsidR="002451E9" w:rsidRPr="002451E9" w:rsidRDefault="002451E9" w:rsidP="002451E9">
            <w:pPr>
              <w:autoSpaceDE w:val="0"/>
              <w:autoSpaceDN w:val="0"/>
              <w:adjustRightInd w:val="0"/>
              <w:spacing w:after="0" w:line="240" w:lineRule="auto"/>
              <w:jc w:val="both"/>
              <w:rPr>
                <w:rFonts w:ascii="Times New Roman" w:hAnsi="Times New Roman"/>
                <w:sz w:val="20"/>
                <w:szCs w:val="20"/>
                <w:highlight w:val="yellow"/>
                <w:lang w:val="en-IN"/>
              </w:rPr>
            </w:pPr>
            <w:r w:rsidRPr="002451E9">
              <w:rPr>
                <w:rFonts w:ascii="Times New Roman" w:hAnsi="Times New Roman"/>
                <w:sz w:val="20"/>
                <w:szCs w:val="20"/>
                <w:highlight w:val="yellow"/>
                <w:lang w:val="en-IN"/>
              </w:rPr>
              <w:t> </w:t>
            </w:r>
          </w:p>
        </w:tc>
      </w:tr>
      <w:tr w:rsidR="002451E9" w:rsidRPr="002451E9" w14:paraId="0F023129" w14:textId="77777777" w:rsidTr="0038521C">
        <w:trPr>
          <w:trHeight w:val="20"/>
        </w:trPr>
        <w:tc>
          <w:tcPr>
            <w:tcW w:w="4010" w:type="dxa"/>
            <w:tcBorders>
              <w:top w:val="nil"/>
              <w:left w:val="single" w:sz="8" w:space="0" w:color="auto"/>
              <w:bottom w:val="single" w:sz="8" w:space="0" w:color="auto"/>
              <w:right w:val="single" w:sz="8" w:space="0" w:color="auto"/>
            </w:tcBorders>
            <w:shd w:val="clear" w:color="auto" w:fill="auto"/>
            <w:hideMark/>
          </w:tcPr>
          <w:p w14:paraId="753B9F6F" w14:textId="77777777" w:rsidR="002451E9" w:rsidRPr="002451E9" w:rsidRDefault="002451E9" w:rsidP="002451E9">
            <w:pPr>
              <w:autoSpaceDE w:val="0"/>
              <w:autoSpaceDN w:val="0"/>
              <w:adjustRightInd w:val="0"/>
              <w:spacing w:after="0" w:line="240" w:lineRule="auto"/>
              <w:jc w:val="both"/>
              <w:rPr>
                <w:rFonts w:ascii="Times New Roman" w:hAnsi="Times New Roman"/>
                <w:sz w:val="20"/>
                <w:szCs w:val="20"/>
                <w:lang w:val="en-IN"/>
              </w:rPr>
            </w:pPr>
            <w:r w:rsidRPr="002451E9">
              <w:rPr>
                <w:rFonts w:ascii="Times New Roman" w:hAnsi="Times New Roman"/>
                <w:sz w:val="20"/>
                <w:szCs w:val="20"/>
              </w:rPr>
              <w:t>Installed Capacity (in Mt)</w:t>
            </w:r>
          </w:p>
        </w:tc>
        <w:tc>
          <w:tcPr>
            <w:tcW w:w="1503" w:type="dxa"/>
            <w:tcBorders>
              <w:top w:val="nil"/>
              <w:left w:val="nil"/>
              <w:bottom w:val="single" w:sz="8" w:space="0" w:color="auto"/>
              <w:right w:val="single" w:sz="8" w:space="0" w:color="auto"/>
            </w:tcBorders>
            <w:shd w:val="clear" w:color="auto" w:fill="auto"/>
            <w:vAlign w:val="center"/>
            <w:hideMark/>
          </w:tcPr>
          <w:p w14:paraId="0B604DA1" w14:textId="77777777" w:rsidR="002451E9" w:rsidRPr="002451E9" w:rsidRDefault="002451E9" w:rsidP="0038521C">
            <w:pPr>
              <w:autoSpaceDE w:val="0"/>
              <w:autoSpaceDN w:val="0"/>
              <w:adjustRightInd w:val="0"/>
              <w:spacing w:after="0" w:line="240" w:lineRule="auto"/>
              <w:jc w:val="center"/>
              <w:rPr>
                <w:rFonts w:ascii="Times New Roman" w:hAnsi="Times New Roman"/>
                <w:sz w:val="20"/>
                <w:szCs w:val="20"/>
                <w:highlight w:val="yellow"/>
                <w:lang w:val="en-IN"/>
              </w:rPr>
            </w:pPr>
            <w:r w:rsidRPr="002451E9">
              <w:rPr>
                <w:rFonts w:ascii="Times New Roman" w:hAnsi="Times New Roman"/>
                <w:sz w:val="20"/>
                <w:szCs w:val="20"/>
                <w:highlight w:val="yellow"/>
              </w:rPr>
              <w:t>9,000</w:t>
            </w:r>
          </w:p>
        </w:tc>
        <w:tc>
          <w:tcPr>
            <w:tcW w:w="1503" w:type="dxa"/>
            <w:tcBorders>
              <w:top w:val="nil"/>
              <w:left w:val="nil"/>
              <w:bottom w:val="single" w:sz="8" w:space="0" w:color="auto"/>
              <w:right w:val="single" w:sz="8" w:space="0" w:color="auto"/>
            </w:tcBorders>
            <w:shd w:val="clear" w:color="auto" w:fill="auto"/>
            <w:vAlign w:val="center"/>
            <w:hideMark/>
          </w:tcPr>
          <w:p w14:paraId="088EC6F9" w14:textId="77777777" w:rsidR="002451E9" w:rsidRPr="002451E9" w:rsidRDefault="002451E9" w:rsidP="0038521C">
            <w:pPr>
              <w:autoSpaceDE w:val="0"/>
              <w:autoSpaceDN w:val="0"/>
              <w:adjustRightInd w:val="0"/>
              <w:spacing w:after="0" w:line="240" w:lineRule="auto"/>
              <w:jc w:val="center"/>
              <w:rPr>
                <w:rFonts w:ascii="Times New Roman" w:hAnsi="Times New Roman"/>
                <w:sz w:val="20"/>
                <w:szCs w:val="20"/>
                <w:highlight w:val="yellow"/>
                <w:lang w:val="en-IN"/>
              </w:rPr>
            </w:pPr>
            <w:r w:rsidRPr="002451E9">
              <w:rPr>
                <w:rFonts w:ascii="Times New Roman" w:hAnsi="Times New Roman"/>
                <w:sz w:val="20"/>
                <w:szCs w:val="20"/>
                <w:highlight w:val="yellow"/>
              </w:rPr>
              <w:t>9,000</w:t>
            </w:r>
          </w:p>
        </w:tc>
        <w:tc>
          <w:tcPr>
            <w:tcW w:w="1503" w:type="dxa"/>
            <w:tcBorders>
              <w:top w:val="nil"/>
              <w:left w:val="nil"/>
              <w:bottom w:val="single" w:sz="8" w:space="0" w:color="auto"/>
              <w:right w:val="single" w:sz="8" w:space="0" w:color="auto"/>
            </w:tcBorders>
            <w:shd w:val="clear" w:color="auto" w:fill="auto"/>
            <w:vAlign w:val="center"/>
            <w:hideMark/>
          </w:tcPr>
          <w:p w14:paraId="6873FBBF" w14:textId="77777777" w:rsidR="002451E9" w:rsidRPr="002451E9" w:rsidRDefault="002451E9" w:rsidP="0038521C">
            <w:pPr>
              <w:autoSpaceDE w:val="0"/>
              <w:autoSpaceDN w:val="0"/>
              <w:adjustRightInd w:val="0"/>
              <w:spacing w:after="0" w:line="240" w:lineRule="auto"/>
              <w:jc w:val="center"/>
              <w:rPr>
                <w:rFonts w:ascii="Times New Roman" w:hAnsi="Times New Roman"/>
                <w:sz w:val="20"/>
                <w:szCs w:val="20"/>
                <w:highlight w:val="yellow"/>
                <w:lang w:val="en-IN"/>
              </w:rPr>
            </w:pPr>
            <w:r w:rsidRPr="002451E9">
              <w:rPr>
                <w:rFonts w:ascii="Times New Roman" w:hAnsi="Times New Roman"/>
                <w:sz w:val="20"/>
                <w:szCs w:val="20"/>
                <w:highlight w:val="yellow"/>
              </w:rPr>
              <w:t>9,000</w:t>
            </w:r>
          </w:p>
        </w:tc>
        <w:tc>
          <w:tcPr>
            <w:tcW w:w="1503" w:type="dxa"/>
            <w:vMerge w:val="restart"/>
            <w:tcBorders>
              <w:top w:val="nil"/>
              <w:left w:val="nil"/>
              <w:right w:val="single" w:sz="8" w:space="0" w:color="auto"/>
            </w:tcBorders>
            <w:shd w:val="clear" w:color="auto" w:fill="auto"/>
            <w:vAlign w:val="center"/>
            <w:hideMark/>
          </w:tcPr>
          <w:p w14:paraId="0CD42435" w14:textId="24EA4D5E" w:rsidR="002451E9" w:rsidRPr="002451E9" w:rsidRDefault="002451E9" w:rsidP="0038521C">
            <w:pPr>
              <w:autoSpaceDE w:val="0"/>
              <w:autoSpaceDN w:val="0"/>
              <w:adjustRightInd w:val="0"/>
              <w:spacing w:after="0" w:line="240" w:lineRule="auto"/>
              <w:jc w:val="center"/>
              <w:rPr>
                <w:rFonts w:ascii="Times New Roman" w:hAnsi="Times New Roman"/>
                <w:sz w:val="20"/>
                <w:szCs w:val="20"/>
                <w:highlight w:val="yellow"/>
                <w:lang w:val="en-IN"/>
              </w:rPr>
            </w:pPr>
            <w:r w:rsidRPr="002451E9">
              <w:rPr>
                <w:rFonts w:ascii="Times New Roman" w:hAnsi="Times New Roman"/>
                <w:sz w:val="20"/>
                <w:szCs w:val="20"/>
                <w:highlight w:val="yellow"/>
              </w:rPr>
              <w:t>9,000</w:t>
            </w:r>
          </w:p>
          <w:p w14:paraId="417DB7D5" w14:textId="13940B13" w:rsidR="002451E9" w:rsidRPr="002451E9" w:rsidRDefault="002451E9" w:rsidP="0038521C">
            <w:pPr>
              <w:autoSpaceDE w:val="0"/>
              <w:autoSpaceDN w:val="0"/>
              <w:adjustRightInd w:val="0"/>
              <w:spacing w:after="0" w:line="240" w:lineRule="auto"/>
              <w:jc w:val="center"/>
              <w:rPr>
                <w:rFonts w:ascii="Times New Roman" w:hAnsi="Times New Roman"/>
                <w:sz w:val="20"/>
                <w:szCs w:val="20"/>
                <w:highlight w:val="yellow"/>
                <w:lang w:val="en-IN"/>
              </w:rPr>
            </w:pPr>
          </w:p>
        </w:tc>
      </w:tr>
      <w:tr w:rsidR="002451E9" w:rsidRPr="002451E9" w14:paraId="5105EEBE" w14:textId="77777777" w:rsidTr="002451E9">
        <w:trPr>
          <w:trHeight w:val="20"/>
        </w:trPr>
        <w:tc>
          <w:tcPr>
            <w:tcW w:w="4010" w:type="dxa"/>
            <w:tcBorders>
              <w:top w:val="nil"/>
              <w:left w:val="single" w:sz="8" w:space="0" w:color="auto"/>
              <w:bottom w:val="single" w:sz="8" w:space="0" w:color="auto"/>
              <w:right w:val="single" w:sz="8" w:space="0" w:color="auto"/>
            </w:tcBorders>
            <w:shd w:val="clear" w:color="auto" w:fill="auto"/>
            <w:hideMark/>
          </w:tcPr>
          <w:p w14:paraId="6224B002" w14:textId="77777777" w:rsidR="002451E9" w:rsidRPr="002451E9" w:rsidRDefault="002451E9" w:rsidP="002451E9">
            <w:pPr>
              <w:autoSpaceDE w:val="0"/>
              <w:autoSpaceDN w:val="0"/>
              <w:adjustRightInd w:val="0"/>
              <w:spacing w:after="0" w:line="240" w:lineRule="auto"/>
              <w:jc w:val="both"/>
              <w:rPr>
                <w:rFonts w:ascii="Times New Roman" w:hAnsi="Times New Roman"/>
                <w:sz w:val="20"/>
                <w:szCs w:val="20"/>
                <w:lang w:val="en-IN"/>
              </w:rPr>
            </w:pPr>
            <w:r w:rsidRPr="002451E9">
              <w:rPr>
                <w:rFonts w:ascii="Times New Roman" w:hAnsi="Times New Roman"/>
                <w:sz w:val="20"/>
                <w:szCs w:val="20"/>
              </w:rPr>
              <w:t>Actual Utilization (in Mt)</w:t>
            </w:r>
          </w:p>
        </w:tc>
        <w:tc>
          <w:tcPr>
            <w:tcW w:w="1503" w:type="dxa"/>
            <w:tcBorders>
              <w:top w:val="nil"/>
              <w:left w:val="nil"/>
              <w:bottom w:val="single" w:sz="8" w:space="0" w:color="auto"/>
              <w:right w:val="single" w:sz="8" w:space="0" w:color="auto"/>
            </w:tcBorders>
            <w:shd w:val="clear" w:color="auto" w:fill="auto"/>
            <w:vAlign w:val="center"/>
            <w:hideMark/>
          </w:tcPr>
          <w:p w14:paraId="34812CD2" w14:textId="77777777" w:rsidR="002451E9" w:rsidRPr="002451E9" w:rsidRDefault="002451E9" w:rsidP="0038521C">
            <w:pPr>
              <w:autoSpaceDE w:val="0"/>
              <w:autoSpaceDN w:val="0"/>
              <w:adjustRightInd w:val="0"/>
              <w:spacing w:after="0" w:line="240" w:lineRule="auto"/>
              <w:jc w:val="center"/>
              <w:rPr>
                <w:rFonts w:ascii="Times New Roman" w:hAnsi="Times New Roman"/>
                <w:sz w:val="20"/>
                <w:szCs w:val="20"/>
                <w:highlight w:val="yellow"/>
                <w:lang w:val="en-IN"/>
              </w:rPr>
            </w:pPr>
            <w:r w:rsidRPr="002451E9">
              <w:rPr>
                <w:rFonts w:ascii="Times New Roman" w:hAnsi="Times New Roman"/>
                <w:sz w:val="20"/>
                <w:szCs w:val="20"/>
                <w:highlight w:val="yellow"/>
              </w:rPr>
              <w:t>3,758.30</w:t>
            </w:r>
          </w:p>
        </w:tc>
        <w:tc>
          <w:tcPr>
            <w:tcW w:w="1503" w:type="dxa"/>
            <w:tcBorders>
              <w:top w:val="nil"/>
              <w:left w:val="nil"/>
              <w:bottom w:val="single" w:sz="8" w:space="0" w:color="auto"/>
              <w:right w:val="single" w:sz="8" w:space="0" w:color="auto"/>
            </w:tcBorders>
            <w:shd w:val="clear" w:color="auto" w:fill="auto"/>
            <w:vAlign w:val="center"/>
            <w:hideMark/>
          </w:tcPr>
          <w:p w14:paraId="5AA143F0" w14:textId="77777777" w:rsidR="002451E9" w:rsidRPr="002451E9" w:rsidRDefault="002451E9" w:rsidP="0038521C">
            <w:pPr>
              <w:autoSpaceDE w:val="0"/>
              <w:autoSpaceDN w:val="0"/>
              <w:adjustRightInd w:val="0"/>
              <w:spacing w:after="0" w:line="240" w:lineRule="auto"/>
              <w:jc w:val="center"/>
              <w:rPr>
                <w:rFonts w:ascii="Times New Roman" w:hAnsi="Times New Roman"/>
                <w:sz w:val="20"/>
                <w:szCs w:val="20"/>
                <w:highlight w:val="yellow"/>
                <w:lang w:val="en-IN"/>
              </w:rPr>
            </w:pPr>
            <w:r w:rsidRPr="002451E9">
              <w:rPr>
                <w:rFonts w:ascii="Times New Roman" w:hAnsi="Times New Roman"/>
                <w:sz w:val="20"/>
                <w:szCs w:val="20"/>
                <w:highlight w:val="yellow"/>
              </w:rPr>
              <w:t>3,260.32</w:t>
            </w:r>
          </w:p>
        </w:tc>
        <w:tc>
          <w:tcPr>
            <w:tcW w:w="1503" w:type="dxa"/>
            <w:tcBorders>
              <w:top w:val="nil"/>
              <w:left w:val="nil"/>
              <w:bottom w:val="single" w:sz="8" w:space="0" w:color="auto"/>
              <w:right w:val="single" w:sz="8" w:space="0" w:color="auto"/>
            </w:tcBorders>
            <w:shd w:val="clear" w:color="auto" w:fill="auto"/>
            <w:vAlign w:val="center"/>
            <w:hideMark/>
          </w:tcPr>
          <w:p w14:paraId="77B82B3F" w14:textId="77777777" w:rsidR="002451E9" w:rsidRPr="002451E9" w:rsidRDefault="002451E9" w:rsidP="0038521C">
            <w:pPr>
              <w:autoSpaceDE w:val="0"/>
              <w:autoSpaceDN w:val="0"/>
              <w:adjustRightInd w:val="0"/>
              <w:spacing w:after="0" w:line="240" w:lineRule="auto"/>
              <w:jc w:val="center"/>
              <w:rPr>
                <w:rFonts w:ascii="Times New Roman" w:hAnsi="Times New Roman"/>
                <w:sz w:val="20"/>
                <w:szCs w:val="20"/>
                <w:highlight w:val="yellow"/>
                <w:lang w:val="en-IN"/>
              </w:rPr>
            </w:pPr>
            <w:r w:rsidRPr="002451E9">
              <w:rPr>
                <w:rFonts w:ascii="Times New Roman" w:hAnsi="Times New Roman"/>
                <w:sz w:val="20"/>
                <w:szCs w:val="20"/>
                <w:highlight w:val="yellow"/>
              </w:rPr>
              <w:t>4,573.68</w:t>
            </w:r>
          </w:p>
        </w:tc>
        <w:tc>
          <w:tcPr>
            <w:tcW w:w="1503" w:type="dxa"/>
            <w:vMerge/>
            <w:tcBorders>
              <w:left w:val="nil"/>
              <w:right w:val="single" w:sz="8" w:space="0" w:color="auto"/>
            </w:tcBorders>
            <w:shd w:val="clear" w:color="auto" w:fill="auto"/>
            <w:hideMark/>
          </w:tcPr>
          <w:p w14:paraId="6F6000A7" w14:textId="77777777" w:rsidR="002451E9" w:rsidRPr="002451E9" w:rsidRDefault="002451E9" w:rsidP="002451E9">
            <w:pPr>
              <w:autoSpaceDE w:val="0"/>
              <w:autoSpaceDN w:val="0"/>
              <w:adjustRightInd w:val="0"/>
              <w:spacing w:after="0" w:line="240" w:lineRule="auto"/>
              <w:jc w:val="both"/>
              <w:rPr>
                <w:rFonts w:ascii="Times New Roman" w:hAnsi="Times New Roman"/>
                <w:sz w:val="20"/>
                <w:szCs w:val="20"/>
                <w:highlight w:val="yellow"/>
                <w:lang w:val="en-IN"/>
              </w:rPr>
            </w:pPr>
          </w:p>
        </w:tc>
      </w:tr>
      <w:tr w:rsidR="0038521C" w:rsidRPr="002451E9" w14:paraId="39267532" w14:textId="77777777" w:rsidTr="002A1BFF">
        <w:trPr>
          <w:trHeight w:val="20"/>
        </w:trPr>
        <w:tc>
          <w:tcPr>
            <w:tcW w:w="4010" w:type="dxa"/>
            <w:tcBorders>
              <w:top w:val="nil"/>
              <w:left w:val="single" w:sz="8" w:space="0" w:color="auto"/>
              <w:bottom w:val="nil"/>
              <w:right w:val="single" w:sz="8" w:space="0" w:color="auto"/>
            </w:tcBorders>
            <w:shd w:val="clear" w:color="auto" w:fill="auto"/>
            <w:hideMark/>
          </w:tcPr>
          <w:p w14:paraId="6BA4D466" w14:textId="77777777" w:rsidR="0038521C" w:rsidRPr="002451E9" w:rsidRDefault="0038521C" w:rsidP="0038521C">
            <w:pPr>
              <w:autoSpaceDE w:val="0"/>
              <w:autoSpaceDN w:val="0"/>
              <w:adjustRightInd w:val="0"/>
              <w:spacing w:after="0" w:line="240" w:lineRule="auto"/>
              <w:jc w:val="both"/>
              <w:rPr>
                <w:rFonts w:ascii="Times New Roman" w:hAnsi="Times New Roman"/>
                <w:sz w:val="20"/>
                <w:szCs w:val="20"/>
                <w:lang w:val="en-IN"/>
              </w:rPr>
            </w:pPr>
            <w:r w:rsidRPr="002451E9">
              <w:rPr>
                <w:rFonts w:ascii="Times New Roman" w:hAnsi="Times New Roman"/>
                <w:sz w:val="20"/>
                <w:szCs w:val="20"/>
              </w:rPr>
              <w:t>Actual Capacity (%)</w:t>
            </w:r>
          </w:p>
        </w:tc>
        <w:tc>
          <w:tcPr>
            <w:tcW w:w="1503" w:type="dxa"/>
            <w:vMerge w:val="restart"/>
            <w:tcBorders>
              <w:top w:val="nil"/>
              <w:left w:val="single" w:sz="8" w:space="0" w:color="auto"/>
              <w:bottom w:val="single" w:sz="8" w:space="0" w:color="000000"/>
              <w:right w:val="single" w:sz="8" w:space="0" w:color="auto"/>
            </w:tcBorders>
            <w:shd w:val="clear" w:color="auto" w:fill="auto"/>
            <w:vAlign w:val="bottom"/>
            <w:hideMark/>
          </w:tcPr>
          <w:p w14:paraId="2D75440B" w14:textId="76F5FF8A" w:rsidR="0038521C" w:rsidRPr="002451E9" w:rsidRDefault="0038521C" w:rsidP="0038521C">
            <w:pPr>
              <w:autoSpaceDE w:val="0"/>
              <w:autoSpaceDN w:val="0"/>
              <w:adjustRightInd w:val="0"/>
              <w:spacing w:after="0" w:line="240" w:lineRule="auto"/>
              <w:jc w:val="center"/>
              <w:rPr>
                <w:rFonts w:ascii="Times New Roman" w:hAnsi="Times New Roman"/>
                <w:sz w:val="20"/>
                <w:szCs w:val="20"/>
                <w:highlight w:val="yellow"/>
              </w:rPr>
            </w:pPr>
            <w:r w:rsidRPr="00417705">
              <w:rPr>
                <w:rFonts w:ascii="Times New Roman" w:hAnsi="Times New Roman"/>
                <w:sz w:val="20"/>
                <w:szCs w:val="20"/>
                <w:highlight w:val="yellow"/>
              </w:rPr>
              <w:t>41.76%</w:t>
            </w:r>
          </w:p>
        </w:tc>
        <w:tc>
          <w:tcPr>
            <w:tcW w:w="1503" w:type="dxa"/>
            <w:vMerge w:val="restart"/>
            <w:tcBorders>
              <w:top w:val="nil"/>
              <w:left w:val="single" w:sz="8" w:space="0" w:color="auto"/>
              <w:bottom w:val="single" w:sz="8" w:space="0" w:color="000000"/>
              <w:right w:val="single" w:sz="8" w:space="0" w:color="auto"/>
            </w:tcBorders>
            <w:shd w:val="clear" w:color="auto" w:fill="auto"/>
            <w:vAlign w:val="bottom"/>
            <w:hideMark/>
          </w:tcPr>
          <w:p w14:paraId="06C01E8F" w14:textId="384DA78C" w:rsidR="0038521C" w:rsidRPr="002451E9" w:rsidRDefault="0038521C" w:rsidP="0038521C">
            <w:pPr>
              <w:autoSpaceDE w:val="0"/>
              <w:autoSpaceDN w:val="0"/>
              <w:adjustRightInd w:val="0"/>
              <w:spacing w:after="0" w:line="240" w:lineRule="auto"/>
              <w:jc w:val="center"/>
              <w:rPr>
                <w:rFonts w:ascii="Times New Roman" w:hAnsi="Times New Roman"/>
                <w:sz w:val="20"/>
                <w:szCs w:val="20"/>
                <w:highlight w:val="yellow"/>
              </w:rPr>
            </w:pPr>
            <w:r w:rsidRPr="00417705">
              <w:rPr>
                <w:rFonts w:ascii="Times New Roman" w:hAnsi="Times New Roman"/>
                <w:sz w:val="20"/>
                <w:szCs w:val="20"/>
                <w:highlight w:val="yellow"/>
              </w:rPr>
              <w:t>36.23%</w:t>
            </w:r>
          </w:p>
        </w:tc>
        <w:tc>
          <w:tcPr>
            <w:tcW w:w="1503" w:type="dxa"/>
            <w:vMerge w:val="restart"/>
            <w:tcBorders>
              <w:top w:val="nil"/>
              <w:left w:val="single" w:sz="8" w:space="0" w:color="auto"/>
              <w:bottom w:val="single" w:sz="8" w:space="0" w:color="000000"/>
              <w:right w:val="single" w:sz="8" w:space="0" w:color="auto"/>
            </w:tcBorders>
            <w:shd w:val="clear" w:color="auto" w:fill="auto"/>
            <w:vAlign w:val="bottom"/>
            <w:hideMark/>
          </w:tcPr>
          <w:p w14:paraId="13610F25" w14:textId="1F99D747" w:rsidR="0038521C" w:rsidRPr="002451E9" w:rsidRDefault="0038521C" w:rsidP="0038521C">
            <w:pPr>
              <w:autoSpaceDE w:val="0"/>
              <w:autoSpaceDN w:val="0"/>
              <w:adjustRightInd w:val="0"/>
              <w:spacing w:after="0" w:line="240" w:lineRule="auto"/>
              <w:jc w:val="center"/>
              <w:rPr>
                <w:rFonts w:ascii="Times New Roman" w:hAnsi="Times New Roman"/>
                <w:sz w:val="20"/>
                <w:szCs w:val="20"/>
                <w:highlight w:val="yellow"/>
              </w:rPr>
            </w:pPr>
            <w:r w:rsidRPr="00417705">
              <w:rPr>
                <w:rFonts w:ascii="Times New Roman" w:hAnsi="Times New Roman"/>
                <w:sz w:val="20"/>
                <w:szCs w:val="20"/>
                <w:highlight w:val="yellow"/>
              </w:rPr>
              <w:t>50.82%</w:t>
            </w:r>
          </w:p>
        </w:tc>
        <w:tc>
          <w:tcPr>
            <w:tcW w:w="1503" w:type="dxa"/>
            <w:vMerge/>
            <w:tcBorders>
              <w:left w:val="single" w:sz="8" w:space="0" w:color="auto"/>
              <w:right w:val="single" w:sz="8" w:space="0" w:color="auto"/>
            </w:tcBorders>
            <w:shd w:val="clear" w:color="auto" w:fill="auto"/>
            <w:hideMark/>
          </w:tcPr>
          <w:p w14:paraId="0D8EC4F4" w14:textId="77777777" w:rsidR="0038521C" w:rsidRPr="002451E9" w:rsidRDefault="0038521C" w:rsidP="0038521C">
            <w:pPr>
              <w:autoSpaceDE w:val="0"/>
              <w:autoSpaceDN w:val="0"/>
              <w:adjustRightInd w:val="0"/>
              <w:spacing w:after="0" w:line="240" w:lineRule="auto"/>
              <w:jc w:val="both"/>
              <w:rPr>
                <w:rFonts w:ascii="Times New Roman" w:hAnsi="Times New Roman"/>
                <w:sz w:val="20"/>
                <w:szCs w:val="20"/>
                <w:highlight w:val="yellow"/>
                <w:lang w:val="en-IN"/>
              </w:rPr>
            </w:pPr>
          </w:p>
        </w:tc>
      </w:tr>
      <w:tr w:rsidR="002451E9" w:rsidRPr="002451E9" w14:paraId="1199DD28" w14:textId="77777777" w:rsidTr="002451E9">
        <w:trPr>
          <w:trHeight w:val="20"/>
        </w:trPr>
        <w:tc>
          <w:tcPr>
            <w:tcW w:w="4010" w:type="dxa"/>
            <w:tcBorders>
              <w:top w:val="nil"/>
              <w:left w:val="single" w:sz="8" w:space="0" w:color="auto"/>
              <w:bottom w:val="single" w:sz="8" w:space="0" w:color="auto"/>
              <w:right w:val="single" w:sz="8" w:space="0" w:color="auto"/>
            </w:tcBorders>
            <w:shd w:val="clear" w:color="auto" w:fill="auto"/>
            <w:hideMark/>
          </w:tcPr>
          <w:p w14:paraId="136ACD9E" w14:textId="77777777" w:rsidR="002451E9" w:rsidRPr="002451E9" w:rsidRDefault="002451E9" w:rsidP="002451E9">
            <w:pPr>
              <w:autoSpaceDE w:val="0"/>
              <w:autoSpaceDN w:val="0"/>
              <w:adjustRightInd w:val="0"/>
              <w:spacing w:after="0" w:line="240" w:lineRule="auto"/>
              <w:jc w:val="both"/>
              <w:rPr>
                <w:rFonts w:ascii="Times New Roman" w:hAnsi="Times New Roman"/>
                <w:sz w:val="20"/>
                <w:szCs w:val="20"/>
                <w:lang w:val="en-IN"/>
              </w:rPr>
            </w:pPr>
          </w:p>
        </w:tc>
        <w:tc>
          <w:tcPr>
            <w:tcW w:w="1503" w:type="dxa"/>
            <w:vMerge/>
            <w:tcBorders>
              <w:top w:val="nil"/>
              <w:left w:val="single" w:sz="8" w:space="0" w:color="auto"/>
              <w:bottom w:val="single" w:sz="8" w:space="0" w:color="000000"/>
              <w:right w:val="single" w:sz="8" w:space="0" w:color="auto"/>
            </w:tcBorders>
            <w:vAlign w:val="center"/>
            <w:hideMark/>
          </w:tcPr>
          <w:p w14:paraId="035EE0B2" w14:textId="77777777" w:rsidR="002451E9" w:rsidRPr="002451E9" w:rsidRDefault="002451E9" w:rsidP="0038521C">
            <w:pPr>
              <w:autoSpaceDE w:val="0"/>
              <w:autoSpaceDN w:val="0"/>
              <w:adjustRightInd w:val="0"/>
              <w:spacing w:after="0" w:line="240" w:lineRule="auto"/>
              <w:jc w:val="center"/>
              <w:rPr>
                <w:rFonts w:ascii="Times New Roman" w:hAnsi="Times New Roman"/>
                <w:sz w:val="20"/>
                <w:szCs w:val="20"/>
                <w:highlight w:val="yellow"/>
                <w:lang w:val="en-IN"/>
              </w:rPr>
            </w:pPr>
          </w:p>
        </w:tc>
        <w:tc>
          <w:tcPr>
            <w:tcW w:w="1503" w:type="dxa"/>
            <w:vMerge/>
            <w:tcBorders>
              <w:top w:val="nil"/>
              <w:left w:val="single" w:sz="8" w:space="0" w:color="auto"/>
              <w:bottom w:val="single" w:sz="8" w:space="0" w:color="000000"/>
              <w:right w:val="single" w:sz="8" w:space="0" w:color="auto"/>
            </w:tcBorders>
            <w:vAlign w:val="center"/>
            <w:hideMark/>
          </w:tcPr>
          <w:p w14:paraId="69DECC47" w14:textId="77777777" w:rsidR="002451E9" w:rsidRPr="002451E9" w:rsidRDefault="002451E9" w:rsidP="0038521C">
            <w:pPr>
              <w:autoSpaceDE w:val="0"/>
              <w:autoSpaceDN w:val="0"/>
              <w:adjustRightInd w:val="0"/>
              <w:spacing w:after="0" w:line="240" w:lineRule="auto"/>
              <w:jc w:val="center"/>
              <w:rPr>
                <w:rFonts w:ascii="Times New Roman" w:hAnsi="Times New Roman"/>
                <w:sz w:val="20"/>
                <w:szCs w:val="20"/>
                <w:highlight w:val="yellow"/>
                <w:lang w:val="en-IN"/>
              </w:rPr>
            </w:pPr>
          </w:p>
        </w:tc>
        <w:tc>
          <w:tcPr>
            <w:tcW w:w="1503" w:type="dxa"/>
            <w:vMerge/>
            <w:tcBorders>
              <w:top w:val="nil"/>
              <w:left w:val="single" w:sz="8" w:space="0" w:color="auto"/>
              <w:bottom w:val="single" w:sz="8" w:space="0" w:color="000000"/>
              <w:right w:val="single" w:sz="8" w:space="0" w:color="auto"/>
            </w:tcBorders>
            <w:vAlign w:val="center"/>
            <w:hideMark/>
          </w:tcPr>
          <w:p w14:paraId="234FA1CD" w14:textId="77777777" w:rsidR="002451E9" w:rsidRPr="002451E9" w:rsidRDefault="002451E9" w:rsidP="0038521C">
            <w:pPr>
              <w:autoSpaceDE w:val="0"/>
              <w:autoSpaceDN w:val="0"/>
              <w:adjustRightInd w:val="0"/>
              <w:spacing w:after="0" w:line="240" w:lineRule="auto"/>
              <w:jc w:val="center"/>
              <w:rPr>
                <w:rFonts w:ascii="Times New Roman" w:hAnsi="Times New Roman"/>
                <w:sz w:val="20"/>
                <w:szCs w:val="20"/>
                <w:highlight w:val="yellow"/>
                <w:lang w:val="en-IN"/>
              </w:rPr>
            </w:pPr>
          </w:p>
        </w:tc>
        <w:tc>
          <w:tcPr>
            <w:tcW w:w="1503" w:type="dxa"/>
            <w:vMerge/>
            <w:tcBorders>
              <w:left w:val="single" w:sz="8" w:space="0" w:color="auto"/>
              <w:bottom w:val="single" w:sz="8" w:space="0" w:color="000000"/>
              <w:right w:val="single" w:sz="8" w:space="0" w:color="auto"/>
            </w:tcBorders>
            <w:vAlign w:val="center"/>
            <w:hideMark/>
          </w:tcPr>
          <w:p w14:paraId="40FEFF6D" w14:textId="77777777" w:rsidR="002451E9" w:rsidRPr="002451E9" w:rsidRDefault="002451E9" w:rsidP="002451E9">
            <w:pPr>
              <w:autoSpaceDE w:val="0"/>
              <w:autoSpaceDN w:val="0"/>
              <w:adjustRightInd w:val="0"/>
              <w:spacing w:after="0" w:line="240" w:lineRule="auto"/>
              <w:jc w:val="both"/>
              <w:rPr>
                <w:rFonts w:ascii="Times New Roman" w:hAnsi="Times New Roman"/>
                <w:sz w:val="20"/>
                <w:szCs w:val="20"/>
                <w:highlight w:val="yellow"/>
                <w:lang w:val="en-IN"/>
              </w:rPr>
            </w:pPr>
          </w:p>
        </w:tc>
      </w:tr>
      <w:tr w:rsidR="002451E9" w:rsidRPr="002451E9" w14:paraId="370D6391" w14:textId="77777777" w:rsidTr="002451E9">
        <w:trPr>
          <w:trHeight w:val="20"/>
        </w:trPr>
        <w:tc>
          <w:tcPr>
            <w:tcW w:w="4010" w:type="dxa"/>
            <w:tcBorders>
              <w:top w:val="nil"/>
              <w:left w:val="single" w:sz="8" w:space="0" w:color="auto"/>
              <w:bottom w:val="single" w:sz="8" w:space="0" w:color="auto"/>
              <w:right w:val="single" w:sz="8" w:space="0" w:color="auto"/>
            </w:tcBorders>
            <w:shd w:val="clear" w:color="auto" w:fill="auto"/>
            <w:hideMark/>
          </w:tcPr>
          <w:p w14:paraId="56C5F1DD" w14:textId="77777777" w:rsidR="002451E9" w:rsidRPr="002451E9" w:rsidRDefault="002451E9" w:rsidP="002451E9">
            <w:pPr>
              <w:autoSpaceDE w:val="0"/>
              <w:autoSpaceDN w:val="0"/>
              <w:adjustRightInd w:val="0"/>
              <w:spacing w:after="0" w:line="240" w:lineRule="auto"/>
              <w:jc w:val="both"/>
              <w:rPr>
                <w:rFonts w:ascii="Times New Roman" w:hAnsi="Times New Roman"/>
                <w:b/>
                <w:bCs/>
                <w:sz w:val="20"/>
                <w:szCs w:val="20"/>
                <w:lang w:val="en-IN"/>
              </w:rPr>
            </w:pPr>
            <w:r w:rsidRPr="002451E9">
              <w:rPr>
                <w:rFonts w:ascii="Times New Roman" w:hAnsi="Times New Roman"/>
                <w:b/>
                <w:bCs/>
                <w:iCs/>
                <w:sz w:val="20"/>
                <w:szCs w:val="20"/>
              </w:rPr>
              <w:t>Brass Components (plumbing and sanitary parts)</w:t>
            </w:r>
          </w:p>
        </w:tc>
        <w:tc>
          <w:tcPr>
            <w:tcW w:w="1503" w:type="dxa"/>
            <w:tcBorders>
              <w:top w:val="nil"/>
              <w:left w:val="nil"/>
              <w:bottom w:val="single" w:sz="8" w:space="0" w:color="auto"/>
              <w:right w:val="single" w:sz="8" w:space="0" w:color="auto"/>
            </w:tcBorders>
            <w:shd w:val="clear" w:color="auto" w:fill="auto"/>
            <w:vAlign w:val="center"/>
            <w:hideMark/>
          </w:tcPr>
          <w:p w14:paraId="02DC9D2E" w14:textId="079680F4" w:rsidR="002451E9" w:rsidRPr="002451E9" w:rsidRDefault="002451E9" w:rsidP="0038521C">
            <w:pPr>
              <w:autoSpaceDE w:val="0"/>
              <w:autoSpaceDN w:val="0"/>
              <w:adjustRightInd w:val="0"/>
              <w:spacing w:after="0" w:line="240" w:lineRule="auto"/>
              <w:jc w:val="center"/>
              <w:rPr>
                <w:rFonts w:ascii="Times New Roman" w:hAnsi="Times New Roman"/>
                <w:sz w:val="20"/>
                <w:szCs w:val="20"/>
                <w:highlight w:val="yellow"/>
                <w:lang w:val="en-IN"/>
              </w:rPr>
            </w:pPr>
          </w:p>
        </w:tc>
        <w:tc>
          <w:tcPr>
            <w:tcW w:w="1503" w:type="dxa"/>
            <w:tcBorders>
              <w:top w:val="nil"/>
              <w:left w:val="nil"/>
              <w:bottom w:val="single" w:sz="8" w:space="0" w:color="auto"/>
              <w:right w:val="single" w:sz="8" w:space="0" w:color="auto"/>
            </w:tcBorders>
            <w:shd w:val="clear" w:color="auto" w:fill="auto"/>
            <w:vAlign w:val="center"/>
            <w:hideMark/>
          </w:tcPr>
          <w:p w14:paraId="6486A4C8" w14:textId="33DDB32F" w:rsidR="002451E9" w:rsidRPr="002451E9" w:rsidRDefault="002451E9" w:rsidP="0038521C">
            <w:pPr>
              <w:autoSpaceDE w:val="0"/>
              <w:autoSpaceDN w:val="0"/>
              <w:adjustRightInd w:val="0"/>
              <w:spacing w:after="0" w:line="240" w:lineRule="auto"/>
              <w:jc w:val="center"/>
              <w:rPr>
                <w:rFonts w:ascii="Times New Roman" w:hAnsi="Times New Roman"/>
                <w:sz w:val="20"/>
                <w:szCs w:val="20"/>
                <w:highlight w:val="yellow"/>
                <w:lang w:val="en-IN"/>
              </w:rPr>
            </w:pPr>
          </w:p>
        </w:tc>
        <w:tc>
          <w:tcPr>
            <w:tcW w:w="1503" w:type="dxa"/>
            <w:tcBorders>
              <w:top w:val="nil"/>
              <w:left w:val="nil"/>
              <w:bottom w:val="single" w:sz="8" w:space="0" w:color="auto"/>
              <w:right w:val="single" w:sz="8" w:space="0" w:color="auto"/>
            </w:tcBorders>
            <w:shd w:val="clear" w:color="auto" w:fill="auto"/>
            <w:vAlign w:val="center"/>
            <w:hideMark/>
          </w:tcPr>
          <w:p w14:paraId="1C6C79E8" w14:textId="5B2FE1CC" w:rsidR="002451E9" w:rsidRPr="002451E9" w:rsidRDefault="002451E9" w:rsidP="0038521C">
            <w:pPr>
              <w:autoSpaceDE w:val="0"/>
              <w:autoSpaceDN w:val="0"/>
              <w:adjustRightInd w:val="0"/>
              <w:spacing w:after="0" w:line="240" w:lineRule="auto"/>
              <w:jc w:val="center"/>
              <w:rPr>
                <w:rFonts w:ascii="Times New Roman" w:hAnsi="Times New Roman"/>
                <w:sz w:val="20"/>
                <w:szCs w:val="20"/>
                <w:highlight w:val="yellow"/>
                <w:lang w:val="en-IN"/>
              </w:rPr>
            </w:pPr>
          </w:p>
        </w:tc>
        <w:tc>
          <w:tcPr>
            <w:tcW w:w="1503" w:type="dxa"/>
            <w:tcBorders>
              <w:top w:val="nil"/>
              <w:left w:val="nil"/>
              <w:bottom w:val="single" w:sz="8" w:space="0" w:color="auto"/>
              <w:right w:val="single" w:sz="8" w:space="0" w:color="auto"/>
            </w:tcBorders>
            <w:shd w:val="clear" w:color="auto" w:fill="auto"/>
            <w:hideMark/>
          </w:tcPr>
          <w:p w14:paraId="088D7D52" w14:textId="77777777" w:rsidR="002451E9" w:rsidRPr="002451E9" w:rsidRDefault="002451E9" w:rsidP="002451E9">
            <w:pPr>
              <w:autoSpaceDE w:val="0"/>
              <w:autoSpaceDN w:val="0"/>
              <w:adjustRightInd w:val="0"/>
              <w:spacing w:after="0" w:line="240" w:lineRule="auto"/>
              <w:jc w:val="both"/>
              <w:rPr>
                <w:rFonts w:ascii="Times New Roman" w:hAnsi="Times New Roman"/>
                <w:sz w:val="20"/>
                <w:szCs w:val="20"/>
                <w:highlight w:val="yellow"/>
                <w:lang w:val="en-IN"/>
              </w:rPr>
            </w:pPr>
            <w:r w:rsidRPr="002451E9">
              <w:rPr>
                <w:rFonts w:ascii="Times New Roman" w:hAnsi="Times New Roman"/>
                <w:sz w:val="20"/>
                <w:szCs w:val="20"/>
                <w:highlight w:val="yellow"/>
                <w:lang w:val="en-IN"/>
              </w:rPr>
              <w:t> </w:t>
            </w:r>
          </w:p>
        </w:tc>
      </w:tr>
      <w:tr w:rsidR="002451E9" w:rsidRPr="002451E9" w14:paraId="38552478" w14:textId="77777777" w:rsidTr="0038521C">
        <w:trPr>
          <w:trHeight w:val="20"/>
        </w:trPr>
        <w:tc>
          <w:tcPr>
            <w:tcW w:w="4010" w:type="dxa"/>
            <w:tcBorders>
              <w:top w:val="nil"/>
              <w:left w:val="single" w:sz="8" w:space="0" w:color="auto"/>
              <w:bottom w:val="single" w:sz="8" w:space="0" w:color="auto"/>
              <w:right w:val="single" w:sz="8" w:space="0" w:color="auto"/>
            </w:tcBorders>
            <w:shd w:val="clear" w:color="auto" w:fill="auto"/>
            <w:hideMark/>
          </w:tcPr>
          <w:p w14:paraId="17B19509" w14:textId="77777777" w:rsidR="002451E9" w:rsidRPr="002451E9" w:rsidRDefault="002451E9" w:rsidP="002451E9">
            <w:pPr>
              <w:autoSpaceDE w:val="0"/>
              <w:autoSpaceDN w:val="0"/>
              <w:adjustRightInd w:val="0"/>
              <w:spacing w:after="0" w:line="240" w:lineRule="auto"/>
              <w:jc w:val="both"/>
              <w:rPr>
                <w:rFonts w:ascii="Times New Roman" w:hAnsi="Times New Roman"/>
                <w:sz w:val="20"/>
                <w:szCs w:val="20"/>
              </w:rPr>
            </w:pPr>
            <w:r w:rsidRPr="002451E9">
              <w:rPr>
                <w:rFonts w:ascii="Times New Roman" w:hAnsi="Times New Roman"/>
                <w:sz w:val="20"/>
                <w:szCs w:val="20"/>
              </w:rPr>
              <w:t>Installed Capacity (in Mt)</w:t>
            </w:r>
          </w:p>
        </w:tc>
        <w:tc>
          <w:tcPr>
            <w:tcW w:w="1503" w:type="dxa"/>
            <w:tcBorders>
              <w:top w:val="nil"/>
              <w:left w:val="nil"/>
              <w:bottom w:val="single" w:sz="8" w:space="0" w:color="auto"/>
              <w:right w:val="single" w:sz="8" w:space="0" w:color="auto"/>
            </w:tcBorders>
            <w:shd w:val="clear" w:color="auto" w:fill="auto"/>
            <w:vAlign w:val="center"/>
            <w:hideMark/>
          </w:tcPr>
          <w:p w14:paraId="12AF2834" w14:textId="77777777" w:rsidR="002451E9" w:rsidRPr="002451E9" w:rsidRDefault="002451E9" w:rsidP="0038521C">
            <w:pPr>
              <w:autoSpaceDE w:val="0"/>
              <w:autoSpaceDN w:val="0"/>
              <w:adjustRightInd w:val="0"/>
              <w:spacing w:after="0" w:line="240" w:lineRule="auto"/>
              <w:jc w:val="center"/>
              <w:rPr>
                <w:rFonts w:ascii="Times New Roman" w:hAnsi="Times New Roman"/>
                <w:sz w:val="20"/>
                <w:szCs w:val="20"/>
                <w:highlight w:val="yellow"/>
              </w:rPr>
            </w:pPr>
            <w:r w:rsidRPr="002451E9">
              <w:rPr>
                <w:rFonts w:ascii="Times New Roman" w:hAnsi="Times New Roman"/>
                <w:sz w:val="20"/>
                <w:szCs w:val="20"/>
                <w:highlight w:val="yellow"/>
              </w:rPr>
              <w:t>7,200</w:t>
            </w:r>
          </w:p>
        </w:tc>
        <w:tc>
          <w:tcPr>
            <w:tcW w:w="1503" w:type="dxa"/>
            <w:tcBorders>
              <w:top w:val="nil"/>
              <w:left w:val="nil"/>
              <w:bottom w:val="single" w:sz="8" w:space="0" w:color="auto"/>
              <w:right w:val="single" w:sz="8" w:space="0" w:color="auto"/>
            </w:tcBorders>
            <w:shd w:val="clear" w:color="auto" w:fill="auto"/>
            <w:vAlign w:val="center"/>
            <w:hideMark/>
          </w:tcPr>
          <w:p w14:paraId="64A613A0" w14:textId="77777777" w:rsidR="002451E9" w:rsidRPr="002451E9" w:rsidRDefault="002451E9" w:rsidP="0038521C">
            <w:pPr>
              <w:autoSpaceDE w:val="0"/>
              <w:autoSpaceDN w:val="0"/>
              <w:adjustRightInd w:val="0"/>
              <w:spacing w:after="0" w:line="240" w:lineRule="auto"/>
              <w:jc w:val="center"/>
              <w:rPr>
                <w:rFonts w:ascii="Times New Roman" w:hAnsi="Times New Roman"/>
                <w:sz w:val="20"/>
                <w:szCs w:val="20"/>
                <w:highlight w:val="yellow"/>
              </w:rPr>
            </w:pPr>
            <w:r w:rsidRPr="002451E9">
              <w:rPr>
                <w:rFonts w:ascii="Times New Roman" w:hAnsi="Times New Roman"/>
                <w:sz w:val="20"/>
                <w:szCs w:val="20"/>
                <w:highlight w:val="yellow"/>
              </w:rPr>
              <w:t>7,200</w:t>
            </w:r>
          </w:p>
        </w:tc>
        <w:tc>
          <w:tcPr>
            <w:tcW w:w="1503" w:type="dxa"/>
            <w:tcBorders>
              <w:top w:val="nil"/>
              <w:left w:val="nil"/>
              <w:bottom w:val="single" w:sz="8" w:space="0" w:color="auto"/>
              <w:right w:val="single" w:sz="8" w:space="0" w:color="auto"/>
            </w:tcBorders>
            <w:shd w:val="clear" w:color="auto" w:fill="auto"/>
            <w:vAlign w:val="center"/>
            <w:hideMark/>
          </w:tcPr>
          <w:p w14:paraId="524BDEEE" w14:textId="77777777" w:rsidR="002451E9" w:rsidRPr="002451E9" w:rsidRDefault="002451E9" w:rsidP="0038521C">
            <w:pPr>
              <w:autoSpaceDE w:val="0"/>
              <w:autoSpaceDN w:val="0"/>
              <w:adjustRightInd w:val="0"/>
              <w:spacing w:after="0" w:line="240" w:lineRule="auto"/>
              <w:jc w:val="center"/>
              <w:rPr>
                <w:rFonts w:ascii="Times New Roman" w:hAnsi="Times New Roman"/>
                <w:sz w:val="20"/>
                <w:szCs w:val="20"/>
                <w:highlight w:val="yellow"/>
              </w:rPr>
            </w:pPr>
            <w:r w:rsidRPr="002451E9">
              <w:rPr>
                <w:rFonts w:ascii="Times New Roman" w:hAnsi="Times New Roman"/>
                <w:sz w:val="20"/>
                <w:szCs w:val="20"/>
                <w:highlight w:val="yellow"/>
              </w:rPr>
              <w:t>7,200</w:t>
            </w:r>
          </w:p>
        </w:tc>
        <w:tc>
          <w:tcPr>
            <w:tcW w:w="1503" w:type="dxa"/>
            <w:vMerge w:val="restart"/>
            <w:tcBorders>
              <w:top w:val="nil"/>
              <w:left w:val="nil"/>
              <w:right w:val="single" w:sz="8" w:space="0" w:color="auto"/>
            </w:tcBorders>
            <w:shd w:val="clear" w:color="auto" w:fill="auto"/>
            <w:vAlign w:val="center"/>
            <w:hideMark/>
          </w:tcPr>
          <w:p w14:paraId="78643BC0" w14:textId="70A58604" w:rsidR="002451E9" w:rsidRPr="002451E9" w:rsidRDefault="002451E9" w:rsidP="0038521C">
            <w:pPr>
              <w:autoSpaceDE w:val="0"/>
              <w:autoSpaceDN w:val="0"/>
              <w:adjustRightInd w:val="0"/>
              <w:spacing w:after="0" w:line="240" w:lineRule="auto"/>
              <w:jc w:val="center"/>
              <w:rPr>
                <w:rFonts w:ascii="Times New Roman" w:hAnsi="Times New Roman"/>
                <w:sz w:val="20"/>
                <w:szCs w:val="20"/>
                <w:highlight w:val="yellow"/>
              </w:rPr>
            </w:pPr>
            <w:r w:rsidRPr="002451E9">
              <w:rPr>
                <w:rFonts w:ascii="Times New Roman" w:hAnsi="Times New Roman"/>
                <w:sz w:val="20"/>
                <w:szCs w:val="20"/>
                <w:highlight w:val="yellow"/>
              </w:rPr>
              <w:t>7,200</w:t>
            </w:r>
          </w:p>
        </w:tc>
      </w:tr>
      <w:tr w:rsidR="002451E9" w:rsidRPr="002451E9" w14:paraId="4AC6FEE4" w14:textId="77777777" w:rsidTr="0038521C">
        <w:trPr>
          <w:trHeight w:val="20"/>
        </w:trPr>
        <w:tc>
          <w:tcPr>
            <w:tcW w:w="4010" w:type="dxa"/>
            <w:tcBorders>
              <w:top w:val="nil"/>
              <w:left w:val="single" w:sz="8" w:space="0" w:color="auto"/>
              <w:bottom w:val="single" w:sz="8" w:space="0" w:color="auto"/>
              <w:right w:val="single" w:sz="8" w:space="0" w:color="auto"/>
            </w:tcBorders>
            <w:shd w:val="clear" w:color="auto" w:fill="auto"/>
            <w:hideMark/>
          </w:tcPr>
          <w:p w14:paraId="3564E2D7" w14:textId="77777777" w:rsidR="002451E9" w:rsidRPr="002451E9" w:rsidRDefault="002451E9" w:rsidP="002451E9">
            <w:pPr>
              <w:autoSpaceDE w:val="0"/>
              <w:autoSpaceDN w:val="0"/>
              <w:adjustRightInd w:val="0"/>
              <w:spacing w:after="0" w:line="240" w:lineRule="auto"/>
              <w:jc w:val="both"/>
              <w:rPr>
                <w:rFonts w:ascii="Times New Roman" w:hAnsi="Times New Roman"/>
                <w:sz w:val="20"/>
                <w:szCs w:val="20"/>
              </w:rPr>
            </w:pPr>
            <w:r w:rsidRPr="002451E9">
              <w:rPr>
                <w:rFonts w:ascii="Times New Roman" w:hAnsi="Times New Roman"/>
                <w:sz w:val="20"/>
                <w:szCs w:val="20"/>
              </w:rPr>
              <w:t>Actual Utilization (in Mt)</w:t>
            </w:r>
          </w:p>
        </w:tc>
        <w:tc>
          <w:tcPr>
            <w:tcW w:w="1503" w:type="dxa"/>
            <w:tcBorders>
              <w:top w:val="nil"/>
              <w:left w:val="nil"/>
              <w:bottom w:val="single" w:sz="8" w:space="0" w:color="auto"/>
              <w:right w:val="single" w:sz="8" w:space="0" w:color="auto"/>
            </w:tcBorders>
            <w:shd w:val="clear" w:color="auto" w:fill="auto"/>
            <w:vAlign w:val="center"/>
            <w:hideMark/>
          </w:tcPr>
          <w:p w14:paraId="7A5F2460" w14:textId="77777777" w:rsidR="002451E9" w:rsidRPr="002451E9" w:rsidRDefault="002451E9" w:rsidP="0038521C">
            <w:pPr>
              <w:autoSpaceDE w:val="0"/>
              <w:autoSpaceDN w:val="0"/>
              <w:adjustRightInd w:val="0"/>
              <w:spacing w:after="0" w:line="240" w:lineRule="auto"/>
              <w:jc w:val="center"/>
              <w:rPr>
                <w:rFonts w:ascii="Times New Roman" w:hAnsi="Times New Roman"/>
                <w:sz w:val="20"/>
                <w:szCs w:val="20"/>
                <w:highlight w:val="yellow"/>
              </w:rPr>
            </w:pPr>
            <w:r w:rsidRPr="002451E9">
              <w:rPr>
                <w:rFonts w:ascii="Times New Roman" w:hAnsi="Times New Roman"/>
                <w:sz w:val="20"/>
                <w:szCs w:val="20"/>
                <w:highlight w:val="yellow"/>
              </w:rPr>
              <w:t>2,272.06</w:t>
            </w:r>
          </w:p>
        </w:tc>
        <w:tc>
          <w:tcPr>
            <w:tcW w:w="1503" w:type="dxa"/>
            <w:tcBorders>
              <w:top w:val="nil"/>
              <w:left w:val="nil"/>
              <w:bottom w:val="single" w:sz="8" w:space="0" w:color="auto"/>
              <w:right w:val="single" w:sz="8" w:space="0" w:color="auto"/>
            </w:tcBorders>
            <w:shd w:val="clear" w:color="auto" w:fill="auto"/>
            <w:vAlign w:val="center"/>
            <w:hideMark/>
          </w:tcPr>
          <w:p w14:paraId="2F0361A6" w14:textId="77777777" w:rsidR="002451E9" w:rsidRPr="002451E9" w:rsidRDefault="002451E9" w:rsidP="0038521C">
            <w:pPr>
              <w:autoSpaceDE w:val="0"/>
              <w:autoSpaceDN w:val="0"/>
              <w:adjustRightInd w:val="0"/>
              <w:spacing w:after="0" w:line="240" w:lineRule="auto"/>
              <w:jc w:val="center"/>
              <w:rPr>
                <w:rFonts w:ascii="Times New Roman" w:hAnsi="Times New Roman"/>
                <w:sz w:val="20"/>
                <w:szCs w:val="20"/>
                <w:highlight w:val="yellow"/>
              </w:rPr>
            </w:pPr>
            <w:r w:rsidRPr="002451E9">
              <w:rPr>
                <w:rFonts w:ascii="Times New Roman" w:hAnsi="Times New Roman"/>
                <w:sz w:val="20"/>
                <w:szCs w:val="20"/>
                <w:highlight w:val="yellow"/>
              </w:rPr>
              <w:t>2,207.03</w:t>
            </w:r>
          </w:p>
        </w:tc>
        <w:tc>
          <w:tcPr>
            <w:tcW w:w="1503" w:type="dxa"/>
            <w:tcBorders>
              <w:top w:val="nil"/>
              <w:left w:val="nil"/>
              <w:bottom w:val="single" w:sz="8" w:space="0" w:color="auto"/>
              <w:right w:val="single" w:sz="8" w:space="0" w:color="auto"/>
            </w:tcBorders>
            <w:shd w:val="clear" w:color="auto" w:fill="auto"/>
            <w:vAlign w:val="center"/>
            <w:hideMark/>
          </w:tcPr>
          <w:p w14:paraId="2FC5F100" w14:textId="77777777" w:rsidR="002451E9" w:rsidRPr="002451E9" w:rsidRDefault="002451E9" w:rsidP="0038521C">
            <w:pPr>
              <w:autoSpaceDE w:val="0"/>
              <w:autoSpaceDN w:val="0"/>
              <w:adjustRightInd w:val="0"/>
              <w:spacing w:after="0" w:line="240" w:lineRule="auto"/>
              <w:jc w:val="center"/>
              <w:rPr>
                <w:rFonts w:ascii="Times New Roman" w:hAnsi="Times New Roman"/>
                <w:sz w:val="20"/>
                <w:szCs w:val="20"/>
                <w:highlight w:val="yellow"/>
              </w:rPr>
            </w:pPr>
            <w:r w:rsidRPr="002451E9">
              <w:rPr>
                <w:rFonts w:ascii="Times New Roman" w:hAnsi="Times New Roman"/>
                <w:sz w:val="20"/>
                <w:szCs w:val="20"/>
                <w:highlight w:val="yellow"/>
              </w:rPr>
              <w:t>4,925.09</w:t>
            </w:r>
          </w:p>
        </w:tc>
        <w:tc>
          <w:tcPr>
            <w:tcW w:w="1503" w:type="dxa"/>
            <w:vMerge/>
            <w:tcBorders>
              <w:left w:val="nil"/>
              <w:right w:val="single" w:sz="8" w:space="0" w:color="auto"/>
            </w:tcBorders>
            <w:shd w:val="clear" w:color="auto" w:fill="auto"/>
            <w:hideMark/>
          </w:tcPr>
          <w:p w14:paraId="57BB62B8" w14:textId="77777777" w:rsidR="002451E9" w:rsidRPr="002451E9" w:rsidRDefault="002451E9" w:rsidP="002451E9">
            <w:pPr>
              <w:autoSpaceDE w:val="0"/>
              <w:autoSpaceDN w:val="0"/>
              <w:adjustRightInd w:val="0"/>
              <w:spacing w:after="0" w:line="240" w:lineRule="auto"/>
              <w:jc w:val="both"/>
              <w:rPr>
                <w:rFonts w:ascii="Times New Roman" w:hAnsi="Times New Roman"/>
                <w:sz w:val="20"/>
                <w:szCs w:val="20"/>
              </w:rPr>
            </w:pPr>
          </w:p>
        </w:tc>
      </w:tr>
      <w:tr w:rsidR="0038521C" w:rsidRPr="002451E9" w14:paraId="1B2DCF46" w14:textId="77777777" w:rsidTr="0038521C">
        <w:trPr>
          <w:trHeight w:val="20"/>
        </w:trPr>
        <w:tc>
          <w:tcPr>
            <w:tcW w:w="4010" w:type="dxa"/>
            <w:tcBorders>
              <w:top w:val="nil"/>
              <w:left w:val="single" w:sz="8" w:space="0" w:color="auto"/>
              <w:bottom w:val="single" w:sz="8" w:space="0" w:color="auto"/>
              <w:right w:val="single" w:sz="8" w:space="0" w:color="auto"/>
            </w:tcBorders>
            <w:shd w:val="clear" w:color="auto" w:fill="auto"/>
            <w:hideMark/>
          </w:tcPr>
          <w:p w14:paraId="4F2D46B2" w14:textId="77777777" w:rsidR="0038521C" w:rsidRPr="002451E9" w:rsidRDefault="0038521C" w:rsidP="0038521C">
            <w:pPr>
              <w:autoSpaceDE w:val="0"/>
              <w:autoSpaceDN w:val="0"/>
              <w:adjustRightInd w:val="0"/>
              <w:spacing w:after="0" w:line="240" w:lineRule="auto"/>
              <w:jc w:val="both"/>
              <w:rPr>
                <w:rFonts w:ascii="Times New Roman" w:hAnsi="Times New Roman"/>
                <w:sz w:val="20"/>
                <w:szCs w:val="20"/>
              </w:rPr>
            </w:pPr>
            <w:r w:rsidRPr="002451E9">
              <w:rPr>
                <w:rFonts w:ascii="Times New Roman" w:hAnsi="Times New Roman"/>
                <w:sz w:val="20"/>
                <w:szCs w:val="20"/>
              </w:rPr>
              <w:t>Actual Capacity (%)</w:t>
            </w:r>
          </w:p>
        </w:tc>
        <w:tc>
          <w:tcPr>
            <w:tcW w:w="1503" w:type="dxa"/>
            <w:tcBorders>
              <w:top w:val="nil"/>
              <w:left w:val="nil"/>
              <w:bottom w:val="single" w:sz="8" w:space="0" w:color="auto"/>
              <w:right w:val="single" w:sz="8" w:space="0" w:color="auto"/>
            </w:tcBorders>
            <w:shd w:val="clear" w:color="auto" w:fill="auto"/>
            <w:vAlign w:val="center"/>
            <w:hideMark/>
          </w:tcPr>
          <w:p w14:paraId="16FDFAA6" w14:textId="6BC83C66" w:rsidR="0038521C" w:rsidRPr="002451E9" w:rsidRDefault="0038521C" w:rsidP="0038521C">
            <w:pPr>
              <w:autoSpaceDE w:val="0"/>
              <w:autoSpaceDN w:val="0"/>
              <w:adjustRightInd w:val="0"/>
              <w:spacing w:after="0" w:line="240" w:lineRule="auto"/>
              <w:jc w:val="center"/>
              <w:rPr>
                <w:rFonts w:ascii="Times New Roman" w:hAnsi="Times New Roman"/>
                <w:sz w:val="20"/>
                <w:szCs w:val="20"/>
                <w:highlight w:val="yellow"/>
              </w:rPr>
            </w:pPr>
            <w:r w:rsidRPr="00417705">
              <w:rPr>
                <w:rFonts w:ascii="Times New Roman" w:hAnsi="Times New Roman"/>
                <w:sz w:val="20"/>
                <w:szCs w:val="20"/>
                <w:highlight w:val="yellow"/>
              </w:rPr>
              <w:t>31.56%</w:t>
            </w:r>
          </w:p>
        </w:tc>
        <w:tc>
          <w:tcPr>
            <w:tcW w:w="1503" w:type="dxa"/>
            <w:tcBorders>
              <w:top w:val="nil"/>
              <w:left w:val="nil"/>
              <w:bottom w:val="single" w:sz="8" w:space="0" w:color="auto"/>
              <w:right w:val="single" w:sz="8" w:space="0" w:color="auto"/>
            </w:tcBorders>
            <w:shd w:val="clear" w:color="auto" w:fill="auto"/>
            <w:vAlign w:val="center"/>
            <w:hideMark/>
          </w:tcPr>
          <w:p w14:paraId="28857FEF" w14:textId="5B3B8153" w:rsidR="0038521C" w:rsidRPr="002451E9" w:rsidRDefault="0038521C" w:rsidP="0038521C">
            <w:pPr>
              <w:autoSpaceDE w:val="0"/>
              <w:autoSpaceDN w:val="0"/>
              <w:adjustRightInd w:val="0"/>
              <w:spacing w:after="0" w:line="240" w:lineRule="auto"/>
              <w:jc w:val="center"/>
              <w:rPr>
                <w:rFonts w:ascii="Times New Roman" w:hAnsi="Times New Roman"/>
                <w:sz w:val="20"/>
                <w:szCs w:val="20"/>
                <w:highlight w:val="yellow"/>
              </w:rPr>
            </w:pPr>
            <w:r w:rsidRPr="00417705">
              <w:rPr>
                <w:rFonts w:ascii="Times New Roman" w:hAnsi="Times New Roman"/>
                <w:sz w:val="20"/>
                <w:szCs w:val="20"/>
                <w:highlight w:val="yellow"/>
              </w:rPr>
              <w:t>30.65%</w:t>
            </w:r>
          </w:p>
        </w:tc>
        <w:tc>
          <w:tcPr>
            <w:tcW w:w="1503" w:type="dxa"/>
            <w:tcBorders>
              <w:top w:val="nil"/>
              <w:left w:val="nil"/>
              <w:bottom w:val="single" w:sz="8" w:space="0" w:color="auto"/>
              <w:right w:val="single" w:sz="8" w:space="0" w:color="auto"/>
            </w:tcBorders>
            <w:shd w:val="clear" w:color="auto" w:fill="auto"/>
            <w:vAlign w:val="center"/>
            <w:hideMark/>
          </w:tcPr>
          <w:p w14:paraId="2489AE32" w14:textId="07C27B2F" w:rsidR="0038521C" w:rsidRPr="002451E9" w:rsidRDefault="0038521C" w:rsidP="0038521C">
            <w:pPr>
              <w:autoSpaceDE w:val="0"/>
              <w:autoSpaceDN w:val="0"/>
              <w:adjustRightInd w:val="0"/>
              <w:spacing w:after="0" w:line="240" w:lineRule="auto"/>
              <w:jc w:val="center"/>
              <w:rPr>
                <w:rFonts w:ascii="Times New Roman" w:hAnsi="Times New Roman"/>
                <w:sz w:val="20"/>
                <w:szCs w:val="20"/>
                <w:highlight w:val="yellow"/>
              </w:rPr>
            </w:pPr>
            <w:r w:rsidRPr="00417705">
              <w:rPr>
                <w:rFonts w:ascii="Times New Roman" w:hAnsi="Times New Roman"/>
                <w:sz w:val="20"/>
                <w:szCs w:val="20"/>
                <w:highlight w:val="yellow"/>
              </w:rPr>
              <w:t>68.40%</w:t>
            </w:r>
          </w:p>
        </w:tc>
        <w:tc>
          <w:tcPr>
            <w:tcW w:w="1503" w:type="dxa"/>
            <w:vMerge/>
            <w:tcBorders>
              <w:left w:val="nil"/>
              <w:bottom w:val="single" w:sz="8" w:space="0" w:color="auto"/>
              <w:right w:val="single" w:sz="8" w:space="0" w:color="auto"/>
            </w:tcBorders>
            <w:shd w:val="clear" w:color="auto" w:fill="auto"/>
            <w:hideMark/>
          </w:tcPr>
          <w:p w14:paraId="50EC7ABF" w14:textId="77777777" w:rsidR="0038521C" w:rsidRPr="002451E9" w:rsidRDefault="0038521C" w:rsidP="0038521C">
            <w:pPr>
              <w:autoSpaceDE w:val="0"/>
              <w:autoSpaceDN w:val="0"/>
              <w:adjustRightInd w:val="0"/>
              <w:spacing w:after="0" w:line="240" w:lineRule="auto"/>
              <w:jc w:val="both"/>
              <w:rPr>
                <w:rFonts w:ascii="Times New Roman" w:hAnsi="Times New Roman"/>
                <w:sz w:val="20"/>
                <w:szCs w:val="20"/>
              </w:rPr>
            </w:pPr>
          </w:p>
        </w:tc>
      </w:tr>
    </w:tbl>
    <w:p w14:paraId="2F47507B" w14:textId="56D26AC1" w:rsidR="002451E9" w:rsidRPr="002451E9" w:rsidRDefault="002451E9" w:rsidP="002451E9">
      <w:pPr>
        <w:autoSpaceDE w:val="0"/>
        <w:autoSpaceDN w:val="0"/>
        <w:adjustRightInd w:val="0"/>
        <w:spacing w:after="0" w:line="240" w:lineRule="auto"/>
        <w:jc w:val="both"/>
        <w:rPr>
          <w:rFonts w:ascii="Times New Roman" w:hAnsi="Times New Roman"/>
          <w:bCs/>
          <w:i/>
          <w:iCs/>
          <w:sz w:val="20"/>
          <w:szCs w:val="20"/>
        </w:rPr>
      </w:pPr>
      <w:r w:rsidRPr="002451E9">
        <w:rPr>
          <w:rFonts w:ascii="Times New Roman" w:hAnsi="Times New Roman"/>
          <w:bCs/>
          <w:i/>
          <w:iCs/>
          <w:sz w:val="20"/>
          <w:szCs w:val="20"/>
        </w:rPr>
        <w:t xml:space="preserve">As certified by </w:t>
      </w:r>
      <w:r w:rsidR="00417705">
        <w:rPr>
          <w:rFonts w:ascii="Times New Roman" w:hAnsi="Times New Roman"/>
          <w:bCs/>
          <w:i/>
          <w:iCs/>
          <w:sz w:val="20"/>
          <w:szCs w:val="20"/>
        </w:rPr>
        <w:t>Vasant P. Bhadra</w:t>
      </w:r>
      <w:r w:rsidRPr="002451E9">
        <w:rPr>
          <w:rFonts w:ascii="Times New Roman" w:hAnsi="Times New Roman"/>
          <w:bCs/>
          <w:i/>
          <w:iCs/>
          <w:sz w:val="20"/>
          <w:szCs w:val="20"/>
        </w:rPr>
        <w:t xml:space="preserve">, Chartered Engineer, through certificate dated </w:t>
      </w:r>
      <w:r w:rsidR="00417705">
        <w:rPr>
          <w:rFonts w:ascii="Times New Roman" w:hAnsi="Times New Roman"/>
          <w:bCs/>
          <w:i/>
          <w:iCs/>
          <w:sz w:val="20"/>
          <w:szCs w:val="20"/>
        </w:rPr>
        <w:t>September 01</w:t>
      </w:r>
      <w:r w:rsidRPr="002451E9">
        <w:rPr>
          <w:rFonts w:ascii="Times New Roman" w:hAnsi="Times New Roman"/>
          <w:bCs/>
          <w:i/>
          <w:iCs/>
          <w:sz w:val="20"/>
          <w:szCs w:val="20"/>
        </w:rPr>
        <w:t>, 2023</w:t>
      </w:r>
    </w:p>
    <w:p w14:paraId="5DE73B4D" w14:textId="77777777" w:rsidR="002451E9" w:rsidRPr="002451E9" w:rsidRDefault="002451E9" w:rsidP="002451E9">
      <w:pPr>
        <w:autoSpaceDE w:val="0"/>
        <w:autoSpaceDN w:val="0"/>
        <w:adjustRightInd w:val="0"/>
        <w:spacing w:after="0" w:line="240" w:lineRule="auto"/>
        <w:jc w:val="both"/>
        <w:rPr>
          <w:rFonts w:ascii="Times New Roman" w:hAnsi="Times New Roman"/>
          <w:bCs/>
          <w:sz w:val="20"/>
          <w:szCs w:val="20"/>
        </w:rPr>
      </w:pPr>
    </w:p>
    <w:p w14:paraId="0ADAD0CB" w14:textId="7AF8CCE1" w:rsidR="002451E9" w:rsidRPr="002451E9" w:rsidRDefault="002451E9" w:rsidP="002451E9">
      <w:pPr>
        <w:autoSpaceDE w:val="0"/>
        <w:autoSpaceDN w:val="0"/>
        <w:adjustRightInd w:val="0"/>
        <w:spacing w:after="0" w:line="240" w:lineRule="auto"/>
        <w:jc w:val="both"/>
        <w:rPr>
          <w:rFonts w:ascii="Times New Roman" w:hAnsi="Times New Roman"/>
          <w:sz w:val="20"/>
          <w:szCs w:val="20"/>
        </w:rPr>
      </w:pPr>
      <w:r w:rsidRPr="002451E9">
        <w:rPr>
          <w:rFonts w:ascii="Times New Roman" w:hAnsi="Times New Roman"/>
          <w:sz w:val="20"/>
          <w:szCs w:val="20"/>
        </w:rPr>
        <w:t>In the event we are unable to achieve considerable capacity utilization of our current manufacturing facility, it would result in operational inefficiencies which could have a material adverse effect on our business, results, financial condition and future prospects. Under-utilization of our manufacturing capabilities over extended periods, or significant under-utilization in the short-term, could materially and adversely impact our business, growth prospects and future financial performance.</w:t>
      </w:r>
    </w:p>
    <w:p w14:paraId="2954250E" w14:textId="77777777" w:rsidR="002451E9" w:rsidRDefault="002451E9" w:rsidP="00D55EC1">
      <w:pPr>
        <w:tabs>
          <w:tab w:val="left" w:pos="0"/>
        </w:tabs>
        <w:spacing w:after="0" w:line="240" w:lineRule="auto"/>
        <w:jc w:val="both"/>
        <w:rPr>
          <w:rFonts w:ascii="Times New Roman" w:hAnsi="Times New Roman"/>
          <w:bCs/>
          <w:iCs/>
          <w:sz w:val="20"/>
          <w:szCs w:val="20"/>
        </w:rPr>
      </w:pPr>
    </w:p>
    <w:p w14:paraId="573EEEA5" w14:textId="77777777" w:rsidR="00D55EC1" w:rsidRPr="005339DC" w:rsidRDefault="00D55EC1" w:rsidP="00F038BD">
      <w:pPr>
        <w:pStyle w:val="ListParagraph"/>
        <w:numPr>
          <w:ilvl w:val="0"/>
          <w:numId w:val="150"/>
        </w:numPr>
        <w:spacing w:line="240" w:lineRule="auto"/>
        <w:contextualSpacing/>
        <w:jc w:val="both"/>
        <w:rPr>
          <w:b/>
          <w:bCs/>
          <w:i/>
          <w:iCs/>
          <w:sz w:val="20"/>
          <w:szCs w:val="20"/>
        </w:rPr>
      </w:pPr>
      <w:r w:rsidRPr="005339DC">
        <w:rPr>
          <w:b/>
          <w:bCs/>
          <w:i/>
          <w:iCs/>
          <w:sz w:val="20"/>
          <w:szCs w:val="20"/>
        </w:rPr>
        <w:t xml:space="preserve">Our inability to handle risks associated with our export sales could negatively affect our sales to customers in foreign countries, as well as our operations and assets in such countries, and our overall profitability. </w:t>
      </w:r>
    </w:p>
    <w:p w14:paraId="245619AB" w14:textId="77777777" w:rsidR="00D55EC1" w:rsidRDefault="00D55EC1" w:rsidP="00D55EC1">
      <w:pPr>
        <w:spacing w:line="240" w:lineRule="auto"/>
        <w:contextualSpacing/>
        <w:jc w:val="both"/>
        <w:rPr>
          <w:b/>
          <w:bCs/>
          <w:i/>
          <w:iCs/>
          <w:sz w:val="20"/>
          <w:szCs w:val="20"/>
        </w:rPr>
      </w:pPr>
    </w:p>
    <w:p w14:paraId="16238AEB" w14:textId="2D8BE9B5" w:rsidR="00D55EC1" w:rsidRDefault="00D55EC1" w:rsidP="00D55EC1">
      <w:pPr>
        <w:spacing w:line="240" w:lineRule="auto"/>
        <w:contextualSpacing/>
        <w:jc w:val="both"/>
        <w:rPr>
          <w:rFonts w:ascii="Times New Roman" w:hAnsi="Times New Roman"/>
          <w:sz w:val="20"/>
          <w:szCs w:val="20"/>
        </w:rPr>
      </w:pPr>
      <w:r w:rsidRPr="004A71DC">
        <w:rPr>
          <w:rFonts w:ascii="Times New Roman" w:hAnsi="Times New Roman"/>
          <w:sz w:val="20"/>
          <w:szCs w:val="20"/>
        </w:rPr>
        <w:t xml:space="preserve">Our revenue from exports for fiscal 2023 and 2022 was </w:t>
      </w:r>
      <w:r w:rsidR="001706A2" w:rsidRPr="00712F3C">
        <w:rPr>
          <w:rFonts w:ascii="Times New Roman" w:eastAsia="MS Mincho" w:hAnsi="Times New Roman"/>
          <w:sz w:val="20"/>
          <w:szCs w:val="20"/>
        </w:rPr>
        <w:t>₹</w:t>
      </w:r>
      <w:r w:rsidRPr="004A71DC">
        <w:rPr>
          <w:rFonts w:ascii="Times New Roman" w:hAnsi="Times New Roman"/>
          <w:sz w:val="20"/>
          <w:szCs w:val="20"/>
        </w:rPr>
        <w:t xml:space="preserve"> 16</w:t>
      </w:r>
      <w:r w:rsidR="001706A2">
        <w:rPr>
          <w:rFonts w:ascii="Times New Roman" w:hAnsi="Times New Roman"/>
          <w:sz w:val="20"/>
          <w:szCs w:val="20"/>
        </w:rPr>
        <w:t>,</w:t>
      </w:r>
      <w:r w:rsidRPr="004A71DC">
        <w:rPr>
          <w:rFonts w:ascii="Times New Roman" w:hAnsi="Times New Roman"/>
          <w:sz w:val="20"/>
          <w:szCs w:val="20"/>
        </w:rPr>
        <w:t xml:space="preserve">235.87 lakhs and </w:t>
      </w:r>
      <w:r w:rsidR="001706A2" w:rsidRPr="00712F3C">
        <w:rPr>
          <w:rFonts w:ascii="Times New Roman" w:eastAsia="MS Mincho" w:hAnsi="Times New Roman"/>
          <w:sz w:val="20"/>
          <w:szCs w:val="20"/>
        </w:rPr>
        <w:t>₹</w:t>
      </w:r>
      <w:r w:rsidRPr="004A71DC">
        <w:rPr>
          <w:rFonts w:ascii="Times New Roman" w:hAnsi="Times New Roman"/>
          <w:sz w:val="20"/>
          <w:szCs w:val="20"/>
        </w:rPr>
        <w:t xml:space="preserve"> 11</w:t>
      </w:r>
      <w:r w:rsidR="001706A2">
        <w:rPr>
          <w:rFonts w:ascii="Times New Roman" w:hAnsi="Times New Roman"/>
          <w:sz w:val="20"/>
          <w:szCs w:val="20"/>
        </w:rPr>
        <w:t>,</w:t>
      </w:r>
      <w:r w:rsidRPr="004A71DC">
        <w:rPr>
          <w:rFonts w:ascii="Times New Roman" w:hAnsi="Times New Roman"/>
          <w:sz w:val="20"/>
          <w:szCs w:val="20"/>
        </w:rPr>
        <w:t>335.13 lakhs respectively which constituted 32.94% and 26.78% of our revenue from operations for the respective fiscal. We export our products to countries such as China, Germany, Belgium and Oman</w:t>
      </w:r>
      <w:r>
        <w:rPr>
          <w:rFonts w:ascii="Times New Roman" w:hAnsi="Times New Roman"/>
          <w:sz w:val="20"/>
          <w:szCs w:val="20"/>
        </w:rPr>
        <w:t xml:space="preserve">, of which major revenue is derived from export to China. For instance, in fiscal 2023, our revenue from exports to China were </w:t>
      </w:r>
      <w:r w:rsidR="001706A2" w:rsidRPr="00712F3C">
        <w:rPr>
          <w:rFonts w:ascii="Times New Roman" w:eastAsia="MS Mincho" w:hAnsi="Times New Roman"/>
          <w:sz w:val="20"/>
          <w:szCs w:val="20"/>
        </w:rPr>
        <w:t>₹</w:t>
      </w:r>
      <w:r>
        <w:rPr>
          <w:rFonts w:ascii="Times New Roman" w:hAnsi="Times New Roman"/>
          <w:sz w:val="20"/>
          <w:szCs w:val="20"/>
        </w:rPr>
        <w:t xml:space="preserve"> 15</w:t>
      </w:r>
      <w:r w:rsidR="001706A2">
        <w:rPr>
          <w:rFonts w:ascii="Times New Roman" w:hAnsi="Times New Roman"/>
          <w:sz w:val="20"/>
          <w:szCs w:val="20"/>
        </w:rPr>
        <w:t>,</w:t>
      </w:r>
      <w:r>
        <w:rPr>
          <w:rFonts w:ascii="Times New Roman" w:hAnsi="Times New Roman"/>
          <w:sz w:val="20"/>
          <w:szCs w:val="20"/>
        </w:rPr>
        <w:t xml:space="preserve">315.00 lakhs, which contributed 94.34% of export revenue. </w:t>
      </w:r>
    </w:p>
    <w:p w14:paraId="45DC8FC5" w14:textId="77777777" w:rsidR="00417705" w:rsidRPr="005339DC" w:rsidRDefault="00417705" w:rsidP="00D55EC1">
      <w:pPr>
        <w:spacing w:line="240" w:lineRule="auto"/>
        <w:contextualSpacing/>
        <w:jc w:val="both"/>
        <w:rPr>
          <w:rFonts w:ascii="Times New Roman" w:hAnsi="Times New Roman"/>
          <w:sz w:val="20"/>
          <w:szCs w:val="20"/>
        </w:rPr>
      </w:pPr>
    </w:p>
    <w:p w14:paraId="2CFB13EE" w14:textId="77777777" w:rsidR="00D55EC1" w:rsidRDefault="00D55EC1" w:rsidP="00D55EC1">
      <w:pPr>
        <w:tabs>
          <w:tab w:val="left" w:pos="0"/>
        </w:tabs>
        <w:autoSpaceDE w:val="0"/>
        <w:autoSpaceDN w:val="0"/>
        <w:adjustRightInd w:val="0"/>
        <w:spacing w:after="0" w:line="240" w:lineRule="auto"/>
        <w:jc w:val="both"/>
        <w:rPr>
          <w:rFonts w:ascii="Times New Roman" w:hAnsi="Times New Roman"/>
          <w:sz w:val="20"/>
          <w:szCs w:val="20"/>
        </w:rPr>
      </w:pPr>
      <w:r w:rsidRPr="004A71DC">
        <w:rPr>
          <w:rFonts w:ascii="Times New Roman" w:hAnsi="Times New Roman"/>
          <w:sz w:val="20"/>
          <w:szCs w:val="20"/>
        </w:rPr>
        <w:t xml:space="preserve">Our international operations are subject to risks that are specific to each country and region </w:t>
      </w:r>
      <w:r>
        <w:rPr>
          <w:rFonts w:ascii="Times New Roman" w:hAnsi="Times New Roman"/>
          <w:sz w:val="20"/>
          <w:szCs w:val="20"/>
        </w:rPr>
        <w:t xml:space="preserve">(especially China) </w:t>
      </w:r>
      <w:r w:rsidRPr="004A71DC">
        <w:rPr>
          <w:rFonts w:ascii="Times New Roman" w:hAnsi="Times New Roman"/>
          <w:sz w:val="20"/>
          <w:szCs w:val="20"/>
        </w:rPr>
        <w:t>in which we operate, as well as risks associated with international operations in general. Our international operations are subject to, among other risks and uncertainties, the following:</w:t>
      </w:r>
    </w:p>
    <w:p w14:paraId="37384B88" w14:textId="77777777" w:rsidR="00D55EC1" w:rsidRDefault="00D55EC1" w:rsidP="00D55EC1">
      <w:pPr>
        <w:tabs>
          <w:tab w:val="left" w:pos="0"/>
        </w:tabs>
        <w:autoSpaceDE w:val="0"/>
        <w:autoSpaceDN w:val="0"/>
        <w:adjustRightInd w:val="0"/>
        <w:spacing w:after="0" w:line="240" w:lineRule="auto"/>
        <w:jc w:val="both"/>
        <w:rPr>
          <w:rFonts w:ascii="Times New Roman" w:hAnsi="Times New Roman"/>
          <w:sz w:val="20"/>
          <w:szCs w:val="20"/>
        </w:rPr>
      </w:pPr>
    </w:p>
    <w:p w14:paraId="05B6717C" w14:textId="77777777" w:rsidR="00D55EC1" w:rsidRDefault="00D55EC1" w:rsidP="00D55EC1">
      <w:pPr>
        <w:pStyle w:val="Default"/>
        <w:spacing w:after="218"/>
        <w:rPr>
          <w:sz w:val="20"/>
          <w:szCs w:val="20"/>
        </w:rPr>
      </w:pPr>
      <w:r>
        <w:rPr>
          <w:sz w:val="20"/>
          <w:szCs w:val="20"/>
        </w:rPr>
        <w:t xml:space="preserve">• demand for our products by our customers located outside India; </w:t>
      </w:r>
    </w:p>
    <w:p w14:paraId="432C43B1" w14:textId="77777777" w:rsidR="00D55EC1" w:rsidRDefault="00D55EC1" w:rsidP="00D55EC1">
      <w:pPr>
        <w:pStyle w:val="Default"/>
        <w:spacing w:after="218"/>
        <w:jc w:val="both"/>
        <w:rPr>
          <w:sz w:val="20"/>
          <w:szCs w:val="20"/>
        </w:rPr>
      </w:pPr>
      <w:r>
        <w:rPr>
          <w:sz w:val="20"/>
          <w:szCs w:val="20"/>
        </w:rPr>
        <w:lastRenderedPageBreak/>
        <w:t xml:space="preserve">• social, economic, political, geopolitical conditions and adverse weather conditions, such as natural disasters, civil disturbance, terrorist attacks, war or other military action would affect our business and operations and may also prevent us from production or delivery of our products to our customers; </w:t>
      </w:r>
    </w:p>
    <w:p w14:paraId="142DA622" w14:textId="77777777" w:rsidR="00D55EC1" w:rsidRDefault="00D55EC1" w:rsidP="00D55EC1">
      <w:pPr>
        <w:pStyle w:val="Default"/>
        <w:spacing w:after="218"/>
        <w:jc w:val="both"/>
        <w:rPr>
          <w:sz w:val="20"/>
          <w:szCs w:val="20"/>
        </w:rPr>
      </w:pPr>
      <w:r>
        <w:rPr>
          <w:sz w:val="20"/>
          <w:szCs w:val="20"/>
        </w:rPr>
        <w:t xml:space="preserve">• environmental, health, safety, labor and accounting laws; </w:t>
      </w:r>
    </w:p>
    <w:p w14:paraId="364B2F1C" w14:textId="77777777" w:rsidR="00D55EC1" w:rsidRDefault="00D55EC1" w:rsidP="00D55EC1">
      <w:pPr>
        <w:pStyle w:val="Default"/>
        <w:spacing w:after="218"/>
        <w:rPr>
          <w:sz w:val="20"/>
          <w:szCs w:val="20"/>
        </w:rPr>
      </w:pPr>
      <w:r>
        <w:rPr>
          <w:sz w:val="20"/>
          <w:szCs w:val="20"/>
        </w:rPr>
        <w:t xml:space="preserve">• changes in foreign laws, regulations and policies, including restrictions on trade, import and export license requirements, and tariffs and taxes, intellectual property enforcement issues and changes in foreign trade and investment policies, may affect our ability to both operate and the way in which we manage our business in the countries in which we operate; </w:t>
      </w:r>
    </w:p>
    <w:p w14:paraId="7D5B06F5" w14:textId="19E7CD85" w:rsidR="00D55EC1" w:rsidRDefault="00D55EC1">
      <w:pPr>
        <w:pStyle w:val="Default"/>
        <w:numPr>
          <w:ilvl w:val="0"/>
          <w:numId w:val="341"/>
        </w:numPr>
        <w:ind w:left="450"/>
        <w:jc w:val="both"/>
        <w:rPr>
          <w:sz w:val="20"/>
          <w:szCs w:val="20"/>
        </w:rPr>
      </w:pPr>
      <w:r>
        <w:rPr>
          <w:sz w:val="20"/>
          <w:szCs w:val="20"/>
        </w:rPr>
        <w:t xml:space="preserve">fluctuations in foreign currency exchange rates against the Indian Rupee, may affect our results of operations, the value of our foreign assets, such as export receivables, the relative prices at which we and our competitors sell products in the same markets and the cost of certain inventory and non-inventory items required for our operations. For instance, fluctuation of the Pound Sterling, Euro and U.S. Dollar would have an impact on the export revenues and profits of our operations; </w:t>
      </w:r>
    </w:p>
    <w:p w14:paraId="2826D147" w14:textId="432E75C9" w:rsidR="00D55EC1" w:rsidRDefault="00D55EC1">
      <w:pPr>
        <w:pStyle w:val="Default"/>
        <w:numPr>
          <w:ilvl w:val="0"/>
          <w:numId w:val="341"/>
        </w:numPr>
        <w:ind w:left="450"/>
        <w:jc w:val="both"/>
        <w:rPr>
          <w:sz w:val="20"/>
          <w:szCs w:val="20"/>
        </w:rPr>
      </w:pPr>
      <w:r>
        <w:rPr>
          <w:sz w:val="20"/>
          <w:szCs w:val="20"/>
        </w:rPr>
        <w:t xml:space="preserve">anti-competitive behavior, money laundering, bribery and corruption by third parties as well as crime and fraud; and </w:t>
      </w:r>
    </w:p>
    <w:p w14:paraId="74375666" w14:textId="68696BC5" w:rsidR="00D55EC1" w:rsidRDefault="00D55EC1">
      <w:pPr>
        <w:pStyle w:val="Default"/>
        <w:numPr>
          <w:ilvl w:val="0"/>
          <w:numId w:val="341"/>
        </w:numPr>
        <w:ind w:left="450"/>
        <w:jc w:val="both"/>
        <w:rPr>
          <w:sz w:val="20"/>
          <w:szCs w:val="20"/>
        </w:rPr>
      </w:pPr>
      <w:r>
        <w:rPr>
          <w:sz w:val="20"/>
          <w:szCs w:val="20"/>
        </w:rPr>
        <w:t xml:space="preserve">inability to effectively enforce contractual or legal rights and adverse tax consequences; differing accounting standards and interpretations. </w:t>
      </w:r>
    </w:p>
    <w:p w14:paraId="09FA7D72" w14:textId="77777777" w:rsidR="00D55EC1" w:rsidRDefault="00D55EC1" w:rsidP="00D55EC1">
      <w:pPr>
        <w:tabs>
          <w:tab w:val="left" w:pos="0"/>
        </w:tabs>
        <w:autoSpaceDE w:val="0"/>
        <w:autoSpaceDN w:val="0"/>
        <w:adjustRightInd w:val="0"/>
        <w:spacing w:after="0" w:line="240" w:lineRule="auto"/>
        <w:jc w:val="both"/>
        <w:rPr>
          <w:rFonts w:ascii="Times New Roman" w:hAnsi="Times New Roman"/>
          <w:sz w:val="20"/>
          <w:szCs w:val="20"/>
        </w:rPr>
      </w:pPr>
    </w:p>
    <w:p w14:paraId="69AB3196" w14:textId="77777777" w:rsidR="00D55EC1" w:rsidRDefault="00D55EC1" w:rsidP="00D55EC1">
      <w:pPr>
        <w:tabs>
          <w:tab w:val="left" w:pos="0"/>
        </w:tabs>
        <w:autoSpaceDE w:val="0"/>
        <w:autoSpaceDN w:val="0"/>
        <w:adjustRightInd w:val="0"/>
        <w:spacing w:after="0" w:line="240" w:lineRule="auto"/>
        <w:jc w:val="both"/>
        <w:rPr>
          <w:rFonts w:ascii="Times New Roman" w:hAnsi="Times New Roman"/>
          <w:sz w:val="20"/>
          <w:szCs w:val="20"/>
        </w:rPr>
      </w:pPr>
      <w:r w:rsidRPr="00027B5C">
        <w:rPr>
          <w:rFonts w:ascii="Times New Roman" w:hAnsi="Times New Roman"/>
          <w:sz w:val="20"/>
          <w:szCs w:val="20"/>
        </w:rPr>
        <w:t>In addition, we may not perform as expected in our international markets, because our competitors and the established players in these markets may have a more established presence and have more experience in operating in such market, which could allow them to have better relationships with distributors and consumers, gain early access to information regarding attractive sales opportunities and, in general, be better placed to launch products with other advantages of being a first mover.</w:t>
      </w:r>
    </w:p>
    <w:p w14:paraId="679A4A04" w14:textId="77777777" w:rsidR="00D55EC1" w:rsidRDefault="00D55EC1" w:rsidP="00D55EC1">
      <w:pPr>
        <w:tabs>
          <w:tab w:val="left" w:pos="0"/>
        </w:tabs>
        <w:autoSpaceDE w:val="0"/>
        <w:autoSpaceDN w:val="0"/>
        <w:adjustRightInd w:val="0"/>
        <w:spacing w:after="0" w:line="240" w:lineRule="auto"/>
        <w:jc w:val="both"/>
        <w:rPr>
          <w:rFonts w:ascii="Times New Roman" w:hAnsi="Times New Roman"/>
          <w:sz w:val="20"/>
          <w:szCs w:val="20"/>
        </w:rPr>
      </w:pPr>
    </w:p>
    <w:p w14:paraId="25166554" w14:textId="77777777" w:rsidR="00D55EC1" w:rsidRPr="00641801" w:rsidRDefault="00D55EC1" w:rsidP="00F038BD">
      <w:pPr>
        <w:pStyle w:val="ListParagraph"/>
        <w:numPr>
          <w:ilvl w:val="0"/>
          <w:numId w:val="150"/>
        </w:numPr>
        <w:spacing w:line="240" w:lineRule="auto"/>
        <w:contextualSpacing/>
        <w:jc w:val="both"/>
        <w:rPr>
          <w:b/>
          <w:bCs/>
          <w:i/>
          <w:iCs/>
          <w:sz w:val="20"/>
          <w:szCs w:val="20"/>
        </w:rPr>
      </w:pPr>
      <w:r w:rsidRPr="00641801">
        <w:rPr>
          <w:b/>
          <w:bCs/>
          <w:i/>
          <w:iCs/>
          <w:sz w:val="20"/>
          <w:szCs w:val="20"/>
        </w:rPr>
        <w:t xml:space="preserve">We do not own the </w:t>
      </w:r>
      <w:r>
        <w:rPr>
          <w:b/>
          <w:bCs/>
          <w:i/>
          <w:iCs/>
          <w:sz w:val="20"/>
          <w:szCs w:val="20"/>
          <w:lang w:val="en-US"/>
        </w:rPr>
        <w:t xml:space="preserve">manufacturing facilities, </w:t>
      </w:r>
      <w:r w:rsidRPr="00641801">
        <w:rPr>
          <w:b/>
          <w:bCs/>
          <w:i/>
          <w:iCs/>
          <w:sz w:val="20"/>
          <w:szCs w:val="20"/>
        </w:rPr>
        <w:t xml:space="preserve">registered </w:t>
      </w:r>
      <w:r>
        <w:rPr>
          <w:b/>
          <w:bCs/>
          <w:i/>
          <w:iCs/>
          <w:sz w:val="20"/>
          <w:szCs w:val="20"/>
          <w:lang w:val="en-US"/>
        </w:rPr>
        <w:t>o</w:t>
      </w:r>
      <w:r w:rsidRPr="00641801">
        <w:rPr>
          <w:b/>
          <w:bCs/>
          <w:i/>
          <w:iCs/>
          <w:sz w:val="20"/>
          <w:szCs w:val="20"/>
        </w:rPr>
        <w:t xml:space="preserve">ffice </w:t>
      </w:r>
      <w:r>
        <w:rPr>
          <w:b/>
          <w:bCs/>
          <w:i/>
          <w:iCs/>
          <w:sz w:val="20"/>
          <w:szCs w:val="20"/>
          <w:lang w:val="en-US"/>
        </w:rPr>
        <w:t xml:space="preserve">and other place of operations </w:t>
      </w:r>
      <w:r w:rsidRPr="00641801">
        <w:rPr>
          <w:b/>
          <w:bCs/>
          <w:i/>
          <w:iCs/>
          <w:sz w:val="20"/>
          <w:szCs w:val="20"/>
        </w:rPr>
        <w:t>from which we carry out our business activities. In case of non</w:t>
      </w:r>
      <w:r>
        <w:rPr>
          <w:b/>
          <w:bCs/>
          <w:i/>
          <w:iCs/>
          <w:sz w:val="20"/>
          <w:szCs w:val="20"/>
          <w:lang w:val="en-US"/>
        </w:rPr>
        <w:t>-</w:t>
      </w:r>
      <w:r w:rsidRPr="00641801">
        <w:rPr>
          <w:b/>
          <w:bCs/>
          <w:i/>
          <w:iCs/>
          <w:sz w:val="20"/>
          <w:szCs w:val="20"/>
        </w:rPr>
        <w:t xml:space="preserve">renewal of </w:t>
      </w:r>
      <w:r>
        <w:rPr>
          <w:b/>
          <w:bCs/>
          <w:i/>
          <w:iCs/>
          <w:sz w:val="20"/>
          <w:szCs w:val="20"/>
          <w:lang w:val="en-US"/>
        </w:rPr>
        <w:t>lease</w:t>
      </w:r>
      <w:r w:rsidRPr="00641801">
        <w:rPr>
          <w:b/>
          <w:bCs/>
          <w:i/>
          <w:iCs/>
          <w:sz w:val="20"/>
          <w:szCs w:val="20"/>
        </w:rPr>
        <w:t xml:space="preserve"> agreements or dispute in relation to use of the said premise, our business and results of operations can be adversely affected. </w:t>
      </w:r>
    </w:p>
    <w:p w14:paraId="673A143D" w14:textId="77777777" w:rsidR="00D55EC1" w:rsidRPr="00641801" w:rsidRDefault="00D55EC1" w:rsidP="00D55EC1">
      <w:pPr>
        <w:tabs>
          <w:tab w:val="left" w:pos="0"/>
        </w:tabs>
        <w:spacing w:after="0" w:line="240" w:lineRule="auto"/>
        <w:ind w:left="360"/>
        <w:contextualSpacing/>
        <w:jc w:val="both"/>
        <w:rPr>
          <w:rFonts w:ascii="Times New Roman" w:eastAsia="MS Mincho" w:hAnsi="Times New Roman"/>
          <w:b/>
          <w:i/>
          <w:sz w:val="20"/>
          <w:szCs w:val="20"/>
          <w:lang w:val="en-GB"/>
        </w:rPr>
      </w:pPr>
    </w:p>
    <w:p w14:paraId="3A27685D" w14:textId="77777777" w:rsidR="00D55EC1" w:rsidRDefault="00D55EC1" w:rsidP="00D55EC1">
      <w:pPr>
        <w:spacing w:after="0" w:line="240" w:lineRule="auto"/>
        <w:jc w:val="both"/>
        <w:rPr>
          <w:rFonts w:ascii="Times New Roman" w:hAnsi="Times New Roman"/>
          <w:bCs/>
          <w:iCs/>
          <w:sz w:val="20"/>
          <w:szCs w:val="20"/>
        </w:rPr>
      </w:pPr>
      <w:r>
        <w:rPr>
          <w:rFonts w:ascii="Times New Roman" w:hAnsi="Times New Roman"/>
          <w:bCs/>
          <w:iCs/>
          <w:sz w:val="20"/>
          <w:szCs w:val="20"/>
        </w:rPr>
        <w:t>As on date of this DRHP, we have two manufacturing facilities (including registered office) and a scrap segregation unit, all of which are obtained</w:t>
      </w:r>
      <w:r w:rsidRPr="00641801">
        <w:rPr>
          <w:rFonts w:ascii="Times New Roman" w:hAnsi="Times New Roman"/>
          <w:bCs/>
          <w:iCs/>
          <w:sz w:val="20"/>
          <w:szCs w:val="20"/>
        </w:rPr>
        <w:t xml:space="preserve"> by us on </w:t>
      </w:r>
      <w:r>
        <w:rPr>
          <w:rFonts w:ascii="Times New Roman" w:hAnsi="Times New Roman"/>
          <w:bCs/>
          <w:iCs/>
          <w:sz w:val="20"/>
          <w:szCs w:val="20"/>
        </w:rPr>
        <w:t xml:space="preserve">lease from our Directors, </w:t>
      </w:r>
      <w:r w:rsidRPr="003B4EDD">
        <w:rPr>
          <w:rFonts w:ascii="Times New Roman" w:hAnsi="Times New Roman"/>
          <w:bCs/>
          <w:iCs/>
          <w:sz w:val="20"/>
          <w:szCs w:val="20"/>
        </w:rPr>
        <w:t>Mr. Ramgopal O. Maheshwari</w:t>
      </w:r>
      <w:r>
        <w:rPr>
          <w:rFonts w:ascii="Times New Roman" w:hAnsi="Times New Roman"/>
          <w:bCs/>
          <w:iCs/>
          <w:sz w:val="20"/>
          <w:szCs w:val="20"/>
        </w:rPr>
        <w:t xml:space="preserve"> and </w:t>
      </w:r>
      <w:r w:rsidRPr="003B4EDD">
        <w:rPr>
          <w:rFonts w:ascii="Times New Roman" w:hAnsi="Times New Roman"/>
          <w:bCs/>
          <w:iCs/>
          <w:sz w:val="20"/>
          <w:szCs w:val="20"/>
        </w:rPr>
        <w:t>Mrs. Madhu Ramgopal Maheshwari</w:t>
      </w:r>
      <w:r>
        <w:rPr>
          <w:rFonts w:ascii="Times New Roman" w:hAnsi="Times New Roman"/>
          <w:bCs/>
          <w:iCs/>
          <w:sz w:val="20"/>
          <w:szCs w:val="20"/>
        </w:rPr>
        <w:t>.</w:t>
      </w:r>
      <w:r w:rsidRPr="00641801">
        <w:rPr>
          <w:rFonts w:ascii="Times New Roman" w:hAnsi="Times New Roman"/>
          <w:bCs/>
          <w:iCs/>
          <w:sz w:val="20"/>
          <w:szCs w:val="20"/>
        </w:rPr>
        <w:t xml:space="preserve"> </w:t>
      </w:r>
      <w:r w:rsidRPr="003B4EDD">
        <w:rPr>
          <w:rFonts w:ascii="Times New Roman" w:hAnsi="Times New Roman"/>
          <w:bCs/>
          <w:iCs/>
          <w:sz w:val="20"/>
          <w:szCs w:val="20"/>
        </w:rPr>
        <w:t xml:space="preserve">In the event of termination/non-renewal of said agreements, we may be required to vacate the said premises which may cause disruption in our inventory management, corporate affairs and business and impede our effective operations which could lead temporarily impact our business operations until we get suitable alternative premises. For details on the duration of existing rent/lease agreements for our premises, please refer to the section titled “Our Business-Properties” beginning on page 88 of this Draft Prospectus. </w:t>
      </w:r>
      <w:r>
        <w:rPr>
          <w:rFonts w:ascii="Times New Roman" w:hAnsi="Times New Roman"/>
          <w:bCs/>
          <w:iCs/>
          <w:sz w:val="20"/>
          <w:szCs w:val="20"/>
        </w:rPr>
        <w:t xml:space="preserve"> </w:t>
      </w:r>
    </w:p>
    <w:p w14:paraId="14DB8976" w14:textId="77777777" w:rsidR="00D55EC1" w:rsidRDefault="00D55EC1" w:rsidP="00D55EC1">
      <w:pPr>
        <w:spacing w:after="0" w:line="240" w:lineRule="auto"/>
        <w:jc w:val="both"/>
        <w:rPr>
          <w:rFonts w:ascii="Times New Roman" w:hAnsi="Times New Roman"/>
          <w:bCs/>
          <w:iCs/>
          <w:sz w:val="20"/>
          <w:szCs w:val="20"/>
        </w:rPr>
      </w:pPr>
    </w:p>
    <w:p w14:paraId="453526E5" w14:textId="77777777" w:rsidR="00D55EC1" w:rsidRPr="00641801" w:rsidRDefault="00D55EC1" w:rsidP="00D55EC1">
      <w:pPr>
        <w:spacing w:after="0" w:line="240" w:lineRule="auto"/>
        <w:jc w:val="both"/>
        <w:rPr>
          <w:rFonts w:ascii="Times New Roman" w:hAnsi="Times New Roman"/>
          <w:bCs/>
          <w:iCs/>
          <w:sz w:val="20"/>
          <w:szCs w:val="20"/>
        </w:rPr>
      </w:pPr>
      <w:r w:rsidRPr="003B4EDD">
        <w:rPr>
          <w:rFonts w:ascii="Times New Roman" w:hAnsi="Times New Roman"/>
          <w:bCs/>
          <w:iCs/>
          <w:sz w:val="20"/>
          <w:szCs w:val="20"/>
        </w:rPr>
        <w:t>In addition, the agreements pertaining to the lease has irregularities of enforceability, such as inadequate payment of stamp duty, which may affect the evidentiary value of the relevant agreements in specific performance or other injunctive procedures in a court of law, and could impair our operations. Further, it may result in levy of penal charges, in case cognizance being taken by concerned Authorities.</w:t>
      </w:r>
    </w:p>
    <w:p w14:paraId="2321ED6B" w14:textId="77777777" w:rsidR="00D55EC1" w:rsidRPr="00641801" w:rsidRDefault="00D55EC1" w:rsidP="00D55EC1">
      <w:pPr>
        <w:spacing w:after="0" w:line="240" w:lineRule="auto"/>
        <w:jc w:val="both"/>
        <w:rPr>
          <w:rFonts w:ascii="Times New Roman" w:hAnsi="Times New Roman"/>
          <w:bCs/>
          <w:iCs/>
          <w:sz w:val="20"/>
          <w:szCs w:val="20"/>
        </w:rPr>
      </w:pPr>
    </w:p>
    <w:p w14:paraId="679DED9F" w14:textId="77777777" w:rsidR="00D55EC1" w:rsidRPr="00641801" w:rsidRDefault="00D55EC1" w:rsidP="00D55EC1">
      <w:pPr>
        <w:widowControl w:val="0"/>
        <w:adjustRightInd w:val="0"/>
        <w:spacing w:after="0" w:line="240" w:lineRule="auto"/>
        <w:jc w:val="both"/>
        <w:textAlignment w:val="baseline"/>
        <w:rPr>
          <w:rFonts w:ascii="Times New Roman" w:hAnsi="Times New Roman"/>
          <w:bCs/>
          <w:iCs/>
          <w:sz w:val="20"/>
          <w:szCs w:val="20"/>
        </w:rPr>
      </w:pPr>
      <w:r w:rsidRPr="00641801">
        <w:rPr>
          <w:rFonts w:ascii="Times New Roman" w:hAnsi="Times New Roman"/>
          <w:bCs/>
          <w:iCs/>
          <w:sz w:val="20"/>
          <w:szCs w:val="20"/>
        </w:rPr>
        <w:t xml:space="preserve">There can be no assurance that we will, in the future, be able to retain or/and renew the agreements for the existing locations on same or similar terms, or will be able to find alternate locations for the registered office on similar terms favorable to us, or at all. We may also fail to negotiate the renewal of our rent agreements for our premises, either on commercially acceptable terms or at all, which could result in increased rental rates for subsequent renewals or searching of new premises, affecting our financial condition and operations. In the event that the rent agreement is terminated or they are not renewed on commercially acceptable terms, we may suffer a disruption in our operations which could materially and adversely affect our business, financial condition and results of operations. </w:t>
      </w:r>
    </w:p>
    <w:p w14:paraId="30B1DF1B" w14:textId="77777777" w:rsidR="00D55EC1" w:rsidRDefault="00D55EC1" w:rsidP="00D55EC1">
      <w:pPr>
        <w:tabs>
          <w:tab w:val="left" w:pos="0"/>
        </w:tabs>
        <w:autoSpaceDE w:val="0"/>
        <w:autoSpaceDN w:val="0"/>
        <w:adjustRightInd w:val="0"/>
        <w:spacing w:after="0" w:line="240" w:lineRule="auto"/>
        <w:jc w:val="both"/>
        <w:rPr>
          <w:rFonts w:ascii="Times New Roman" w:hAnsi="Times New Roman"/>
          <w:sz w:val="20"/>
          <w:szCs w:val="20"/>
        </w:rPr>
      </w:pPr>
    </w:p>
    <w:p w14:paraId="32C8C954" w14:textId="77777777" w:rsidR="00D55EC1" w:rsidRDefault="00D55EC1" w:rsidP="00D55EC1">
      <w:pPr>
        <w:tabs>
          <w:tab w:val="left" w:pos="0"/>
        </w:tabs>
        <w:autoSpaceDE w:val="0"/>
        <w:autoSpaceDN w:val="0"/>
        <w:adjustRightInd w:val="0"/>
        <w:spacing w:after="0" w:line="240" w:lineRule="auto"/>
        <w:jc w:val="both"/>
        <w:rPr>
          <w:rFonts w:ascii="Times New Roman" w:hAnsi="Times New Roman"/>
          <w:sz w:val="20"/>
          <w:szCs w:val="20"/>
        </w:rPr>
      </w:pPr>
      <w:r w:rsidRPr="003B4EDD">
        <w:rPr>
          <w:rFonts w:ascii="Times New Roman" w:hAnsi="Times New Roman"/>
          <w:sz w:val="20"/>
          <w:szCs w:val="20"/>
        </w:rPr>
        <w:t>Further, we have made investment in certain propert</w:t>
      </w:r>
      <w:r>
        <w:rPr>
          <w:rFonts w:ascii="Times New Roman" w:hAnsi="Times New Roman"/>
          <w:sz w:val="20"/>
          <w:szCs w:val="20"/>
        </w:rPr>
        <w:t>y</w:t>
      </w:r>
      <w:r w:rsidRPr="003B4EDD">
        <w:rPr>
          <w:rFonts w:ascii="Times New Roman" w:hAnsi="Times New Roman"/>
          <w:sz w:val="20"/>
          <w:szCs w:val="20"/>
        </w:rPr>
        <w:t>, which are not currently giving us any monthly rental income. In case, we are not able to generate any significant returns from such invested propert</w:t>
      </w:r>
      <w:r>
        <w:rPr>
          <w:rFonts w:ascii="Times New Roman" w:hAnsi="Times New Roman"/>
          <w:sz w:val="20"/>
          <w:szCs w:val="20"/>
        </w:rPr>
        <w:t>y</w:t>
      </w:r>
      <w:r w:rsidRPr="003B4EDD">
        <w:rPr>
          <w:rFonts w:ascii="Times New Roman" w:hAnsi="Times New Roman"/>
          <w:sz w:val="20"/>
          <w:szCs w:val="20"/>
        </w:rPr>
        <w:t>, our results of operations and financial condition can be adversely affected.</w:t>
      </w:r>
    </w:p>
    <w:p w14:paraId="3C85BD83" w14:textId="77777777" w:rsidR="00815F75" w:rsidRDefault="00815F75" w:rsidP="00D55EC1">
      <w:pPr>
        <w:tabs>
          <w:tab w:val="left" w:pos="0"/>
        </w:tabs>
        <w:autoSpaceDE w:val="0"/>
        <w:autoSpaceDN w:val="0"/>
        <w:adjustRightInd w:val="0"/>
        <w:spacing w:after="0" w:line="240" w:lineRule="auto"/>
        <w:jc w:val="both"/>
        <w:rPr>
          <w:rFonts w:ascii="Times New Roman" w:hAnsi="Times New Roman"/>
          <w:sz w:val="20"/>
          <w:szCs w:val="20"/>
        </w:rPr>
      </w:pPr>
    </w:p>
    <w:p w14:paraId="0AA5796F" w14:textId="5F2DA5ED" w:rsidR="00815F75" w:rsidRPr="00815F75" w:rsidRDefault="00815F75" w:rsidP="00815F75">
      <w:pPr>
        <w:numPr>
          <w:ilvl w:val="0"/>
          <w:numId w:val="150"/>
        </w:numPr>
        <w:suppressAutoHyphens/>
        <w:autoSpaceDE w:val="0"/>
        <w:autoSpaceDN w:val="0"/>
        <w:adjustRightInd w:val="0"/>
        <w:spacing w:after="0" w:line="240" w:lineRule="auto"/>
        <w:contextualSpacing/>
        <w:jc w:val="both"/>
        <w:textAlignment w:val="center"/>
        <w:rPr>
          <w:rFonts w:ascii="Times New Roman" w:eastAsia="MS Mincho" w:hAnsi="Times New Roman"/>
          <w:b/>
          <w:i/>
          <w:color w:val="000000"/>
          <w:sz w:val="20"/>
          <w:szCs w:val="20"/>
          <w:lang w:val="en-GB" w:eastAsia="x-none"/>
        </w:rPr>
      </w:pPr>
      <w:r w:rsidRPr="00815F75">
        <w:rPr>
          <w:rFonts w:ascii="Times New Roman" w:eastAsia="MS Mincho" w:hAnsi="Times New Roman"/>
          <w:b/>
          <w:i/>
          <w:color w:val="000000"/>
          <w:sz w:val="20"/>
          <w:szCs w:val="20"/>
          <w:lang w:val="en-GB" w:eastAsia="x-none"/>
        </w:rPr>
        <w:t xml:space="preserve">Our Statutory Auditor have included </w:t>
      </w:r>
      <w:r w:rsidR="00F13FCD">
        <w:rPr>
          <w:rFonts w:ascii="Times New Roman" w:eastAsia="MS Mincho" w:hAnsi="Times New Roman"/>
          <w:b/>
          <w:i/>
          <w:color w:val="000000"/>
          <w:sz w:val="20"/>
          <w:szCs w:val="20"/>
          <w:lang w:val="en-GB" w:eastAsia="x-none"/>
        </w:rPr>
        <w:t xml:space="preserve">emphasis of matters </w:t>
      </w:r>
      <w:r w:rsidRPr="00815F75">
        <w:rPr>
          <w:rFonts w:ascii="Times New Roman" w:eastAsia="MS Mincho" w:hAnsi="Times New Roman"/>
          <w:b/>
          <w:i/>
          <w:color w:val="000000"/>
          <w:sz w:val="20"/>
          <w:szCs w:val="20"/>
          <w:lang w:val="en-GB" w:eastAsia="x-none"/>
        </w:rPr>
        <w:t>in their Audit Report on financial statements</w:t>
      </w:r>
      <w:r w:rsidR="00F13FCD">
        <w:rPr>
          <w:rFonts w:ascii="Times New Roman" w:eastAsia="MS Mincho" w:hAnsi="Times New Roman"/>
          <w:b/>
          <w:i/>
          <w:color w:val="000000"/>
          <w:sz w:val="20"/>
          <w:szCs w:val="20"/>
          <w:lang w:val="en-GB" w:eastAsia="x-none"/>
        </w:rPr>
        <w:t xml:space="preserve"> for F.Y. 2020-21 and 2021-22.</w:t>
      </w:r>
    </w:p>
    <w:p w14:paraId="5BE07009" w14:textId="77777777" w:rsidR="00D55EC1" w:rsidRDefault="00D55EC1" w:rsidP="00D55EC1">
      <w:pPr>
        <w:tabs>
          <w:tab w:val="left" w:pos="0"/>
        </w:tabs>
        <w:autoSpaceDE w:val="0"/>
        <w:autoSpaceDN w:val="0"/>
        <w:adjustRightInd w:val="0"/>
        <w:spacing w:after="0" w:line="240" w:lineRule="auto"/>
        <w:jc w:val="both"/>
        <w:rPr>
          <w:rFonts w:ascii="Times New Roman" w:hAnsi="Times New Roman"/>
          <w:sz w:val="20"/>
          <w:szCs w:val="20"/>
        </w:rPr>
      </w:pPr>
    </w:p>
    <w:p w14:paraId="2EBAE141" w14:textId="43CAEEF1" w:rsidR="008C104F" w:rsidRPr="000572D0" w:rsidRDefault="000572D0" w:rsidP="00D55EC1">
      <w:pPr>
        <w:tabs>
          <w:tab w:val="left" w:pos="0"/>
        </w:tabs>
        <w:autoSpaceDE w:val="0"/>
        <w:autoSpaceDN w:val="0"/>
        <w:adjustRightInd w:val="0"/>
        <w:spacing w:after="0" w:line="240" w:lineRule="auto"/>
        <w:jc w:val="both"/>
        <w:rPr>
          <w:rFonts w:ascii="Times New Roman" w:hAnsi="Times New Roman"/>
          <w:bCs/>
          <w:iCs/>
          <w:sz w:val="20"/>
          <w:szCs w:val="20"/>
        </w:rPr>
      </w:pPr>
      <w:r w:rsidRPr="000572D0">
        <w:rPr>
          <w:rFonts w:ascii="Times New Roman" w:hAnsi="Times New Roman"/>
          <w:bCs/>
          <w:iCs/>
          <w:sz w:val="20"/>
          <w:szCs w:val="20"/>
          <w:lang w:val="en-GB"/>
        </w:rPr>
        <w:t>Our Statutory Auditor have included emphasis of matters in their Audit Report on financial statements for F.Y. 2020-21 and 2021-22</w:t>
      </w:r>
      <w:r>
        <w:rPr>
          <w:rFonts w:ascii="Times New Roman" w:hAnsi="Times New Roman"/>
          <w:bCs/>
          <w:iCs/>
          <w:sz w:val="20"/>
          <w:szCs w:val="20"/>
          <w:lang w:val="en-GB"/>
        </w:rPr>
        <w:t>. Below are the details of the same:</w:t>
      </w:r>
    </w:p>
    <w:p w14:paraId="32E9D28A" w14:textId="77777777" w:rsidR="00F13FCD" w:rsidRDefault="00F13FCD" w:rsidP="00D55EC1">
      <w:pPr>
        <w:tabs>
          <w:tab w:val="left" w:pos="0"/>
        </w:tabs>
        <w:autoSpaceDE w:val="0"/>
        <w:autoSpaceDN w:val="0"/>
        <w:adjustRightInd w:val="0"/>
        <w:spacing w:after="0" w:line="240" w:lineRule="auto"/>
        <w:jc w:val="both"/>
        <w:rPr>
          <w:rFonts w:ascii="Times New Roman" w:hAnsi="Times New Roman"/>
          <w:b/>
          <w:bCs/>
          <w:sz w:val="20"/>
          <w:szCs w:val="20"/>
          <w:u w:val="single"/>
        </w:rPr>
      </w:pPr>
    </w:p>
    <w:p w14:paraId="2E799614" w14:textId="4B05A723" w:rsidR="00F13FCD" w:rsidRDefault="00F13FCD" w:rsidP="00D55EC1">
      <w:pPr>
        <w:tabs>
          <w:tab w:val="left" w:pos="0"/>
        </w:tabs>
        <w:autoSpaceDE w:val="0"/>
        <w:autoSpaceDN w:val="0"/>
        <w:adjustRightInd w:val="0"/>
        <w:spacing w:after="0" w:line="240" w:lineRule="auto"/>
        <w:jc w:val="both"/>
        <w:rPr>
          <w:rFonts w:ascii="Times New Roman" w:hAnsi="Times New Roman"/>
          <w:b/>
          <w:bCs/>
          <w:sz w:val="20"/>
          <w:szCs w:val="20"/>
          <w:u w:val="single"/>
        </w:rPr>
      </w:pPr>
      <w:r w:rsidRPr="00F13FCD">
        <w:rPr>
          <w:rFonts w:ascii="Times New Roman" w:hAnsi="Times New Roman"/>
          <w:b/>
          <w:bCs/>
          <w:sz w:val="20"/>
          <w:szCs w:val="20"/>
          <w:u w:val="single"/>
        </w:rPr>
        <w:t>Emphasis of Matter</w:t>
      </w:r>
      <w:r>
        <w:rPr>
          <w:rFonts w:ascii="Times New Roman" w:hAnsi="Times New Roman"/>
          <w:b/>
          <w:bCs/>
          <w:sz w:val="20"/>
          <w:szCs w:val="20"/>
          <w:u w:val="single"/>
        </w:rPr>
        <w:t xml:space="preserve"> in F.Y. 2021-22 </w:t>
      </w:r>
    </w:p>
    <w:p w14:paraId="716F0452" w14:textId="77777777" w:rsidR="00F13FCD" w:rsidRDefault="00F13FCD" w:rsidP="00D55EC1">
      <w:pPr>
        <w:tabs>
          <w:tab w:val="left" w:pos="0"/>
        </w:tabs>
        <w:autoSpaceDE w:val="0"/>
        <w:autoSpaceDN w:val="0"/>
        <w:adjustRightInd w:val="0"/>
        <w:spacing w:after="0" w:line="240" w:lineRule="auto"/>
        <w:jc w:val="both"/>
        <w:rPr>
          <w:rFonts w:ascii="Times New Roman" w:hAnsi="Times New Roman"/>
          <w:b/>
          <w:bCs/>
          <w:sz w:val="20"/>
          <w:szCs w:val="20"/>
          <w:u w:val="single"/>
        </w:rPr>
      </w:pPr>
    </w:p>
    <w:p w14:paraId="32C89699" w14:textId="097F3DB5" w:rsidR="00815F75" w:rsidRPr="00F13FCD" w:rsidRDefault="00F13FCD" w:rsidP="00D55EC1">
      <w:pPr>
        <w:tabs>
          <w:tab w:val="left" w:pos="0"/>
        </w:tabs>
        <w:autoSpaceDE w:val="0"/>
        <w:autoSpaceDN w:val="0"/>
        <w:adjustRightInd w:val="0"/>
        <w:spacing w:after="0" w:line="240" w:lineRule="auto"/>
        <w:jc w:val="both"/>
        <w:rPr>
          <w:rFonts w:ascii="Times New Roman" w:hAnsi="Times New Roman"/>
          <w:i/>
          <w:iCs/>
          <w:sz w:val="20"/>
          <w:szCs w:val="20"/>
        </w:rPr>
      </w:pPr>
      <w:r w:rsidRPr="00F13FCD">
        <w:rPr>
          <w:rFonts w:ascii="Times New Roman" w:hAnsi="Times New Roman"/>
          <w:i/>
          <w:iCs/>
          <w:sz w:val="20"/>
          <w:szCs w:val="20"/>
        </w:rPr>
        <w:t xml:space="preserve">Company is 100% Export Oriented Unit, they have applied for debonding of the EOU the status is pending. It has debtors amounting to Rs. 4.86 crores and creditors of Rs. 19.69 crores payable in foreign currency out of balance so payable and receivable; management is of the view that there has been quality issues in respect of these parties, there is no certainty of realization of the same in full and negotiation is going on with debtors and creditors, even though amounts are considered as good and management </w:t>
      </w:r>
      <w:r w:rsidRPr="00F13FCD">
        <w:rPr>
          <w:rFonts w:ascii="Times New Roman" w:hAnsi="Times New Roman"/>
          <w:i/>
          <w:iCs/>
          <w:sz w:val="20"/>
          <w:szCs w:val="20"/>
        </w:rPr>
        <w:lastRenderedPageBreak/>
        <w:t xml:space="preserve">has not recognized gain/loss on debtors and creditors as on the balance sheet date for foreign exchange rate difference and considered the previous balance sheet value for debtors and creditors therefore, the gain or/and loss on account of restating the balance as on the balance sheet date is not ascertainable in view of uncertainty and thus this violates the AS-11 issued by ICAI.   </w:t>
      </w:r>
    </w:p>
    <w:p w14:paraId="72FE79C4" w14:textId="77777777" w:rsidR="00815F75" w:rsidRDefault="00815F75" w:rsidP="00D55EC1">
      <w:pPr>
        <w:tabs>
          <w:tab w:val="left" w:pos="0"/>
        </w:tabs>
        <w:autoSpaceDE w:val="0"/>
        <w:autoSpaceDN w:val="0"/>
        <w:adjustRightInd w:val="0"/>
        <w:spacing w:after="0" w:line="240" w:lineRule="auto"/>
        <w:jc w:val="both"/>
        <w:rPr>
          <w:rFonts w:ascii="Times New Roman" w:hAnsi="Times New Roman"/>
          <w:sz w:val="20"/>
          <w:szCs w:val="20"/>
        </w:rPr>
      </w:pPr>
    </w:p>
    <w:p w14:paraId="65BE0EEA" w14:textId="20B87574" w:rsidR="008C104F" w:rsidRPr="008C104F" w:rsidRDefault="008C104F" w:rsidP="008C104F">
      <w:pPr>
        <w:tabs>
          <w:tab w:val="left" w:pos="0"/>
        </w:tabs>
        <w:autoSpaceDE w:val="0"/>
        <w:autoSpaceDN w:val="0"/>
        <w:adjustRightInd w:val="0"/>
        <w:spacing w:after="0" w:line="240" w:lineRule="auto"/>
        <w:jc w:val="both"/>
        <w:rPr>
          <w:rFonts w:ascii="Times New Roman" w:hAnsi="Times New Roman"/>
          <w:b/>
          <w:bCs/>
          <w:sz w:val="20"/>
          <w:szCs w:val="20"/>
          <w:u w:val="single"/>
        </w:rPr>
      </w:pPr>
      <w:r w:rsidRPr="008C104F">
        <w:rPr>
          <w:rFonts w:ascii="Times New Roman" w:hAnsi="Times New Roman"/>
          <w:b/>
          <w:bCs/>
          <w:sz w:val="20"/>
          <w:szCs w:val="20"/>
          <w:u w:val="single"/>
        </w:rPr>
        <w:t>Emphasis of Matter in F.Y. 202</w:t>
      </w:r>
      <w:r>
        <w:rPr>
          <w:rFonts w:ascii="Times New Roman" w:hAnsi="Times New Roman"/>
          <w:b/>
          <w:bCs/>
          <w:sz w:val="20"/>
          <w:szCs w:val="20"/>
          <w:u w:val="single"/>
        </w:rPr>
        <w:t>0</w:t>
      </w:r>
      <w:r w:rsidRPr="008C104F">
        <w:rPr>
          <w:rFonts w:ascii="Times New Roman" w:hAnsi="Times New Roman"/>
          <w:b/>
          <w:bCs/>
          <w:sz w:val="20"/>
          <w:szCs w:val="20"/>
          <w:u w:val="single"/>
        </w:rPr>
        <w:t>-2</w:t>
      </w:r>
      <w:r>
        <w:rPr>
          <w:rFonts w:ascii="Times New Roman" w:hAnsi="Times New Roman"/>
          <w:b/>
          <w:bCs/>
          <w:sz w:val="20"/>
          <w:szCs w:val="20"/>
          <w:u w:val="single"/>
        </w:rPr>
        <w:t>1</w:t>
      </w:r>
    </w:p>
    <w:p w14:paraId="474F1BAC" w14:textId="77777777" w:rsidR="008C104F" w:rsidRPr="008C104F" w:rsidRDefault="008C104F" w:rsidP="008C104F">
      <w:pPr>
        <w:tabs>
          <w:tab w:val="left" w:pos="0"/>
        </w:tabs>
        <w:autoSpaceDE w:val="0"/>
        <w:autoSpaceDN w:val="0"/>
        <w:adjustRightInd w:val="0"/>
        <w:spacing w:after="0" w:line="240" w:lineRule="auto"/>
        <w:jc w:val="both"/>
        <w:rPr>
          <w:rFonts w:ascii="Times New Roman" w:hAnsi="Times New Roman"/>
          <w:b/>
          <w:bCs/>
          <w:sz w:val="20"/>
          <w:szCs w:val="20"/>
          <w:u w:val="single"/>
        </w:rPr>
      </w:pPr>
    </w:p>
    <w:p w14:paraId="63CEE3F3" w14:textId="77777777" w:rsidR="008C104F" w:rsidRDefault="008C104F" w:rsidP="008C104F">
      <w:pPr>
        <w:tabs>
          <w:tab w:val="left" w:pos="0"/>
        </w:tabs>
        <w:autoSpaceDE w:val="0"/>
        <w:autoSpaceDN w:val="0"/>
        <w:adjustRightInd w:val="0"/>
        <w:spacing w:after="0" w:line="240" w:lineRule="auto"/>
        <w:jc w:val="both"/>
        <w:rPr>
          <w:rFonts w:ascii="Times New Roman" w:hAnsi="Times New Roman"/>
          <w:i/>
          <w:iCs/>
          <w:sz w:val="20"/>
          <w:szCs w:val="20"/>
        </w:rPr>
      </w:pPr>
      <w:r>
        <w:rPr>
          <w:rFonts w:ascii="Times New Roman" w:hAnsi="Times New Roman"/>
          <w:i/>
          <w:iCs/>
          <w:sz w:val="20"/>
          <w:szCs w:val="20"/>
        </w:rPr>
        <w:t xml:space="preserve">We draw attention to Note 1.1(C) to the financial statements, which describe the possible effect of uncertainties relating to COVID-19 pandemic on the Company’s financial performance as assessed by the Management. </w:t>
      </w:r>
    </w:p>
    <w:p w14:paraId="462447E7" w14:textId="77777777" w:rsidR="008C104F" w:rsidRDefault="008C104F" w:rsidP="008C104F">
      <w:pPr>
        <w:tabs>
          <w:tab w:val="left" w:pos="0"/>
        </w:tabs>
        <w:autoSpaceDE w:val="0"/>
        <w:autoSpaceDN w:val="0"/>
        <w:adjustRightInd w:val="0"/>
        <w:spacing w:after="0" w:line="240" w:lineRule="auto"/>
        <w:jc w:val="both"/>
        <w:rPr>
          <w:rFonts w:ascii="Times New Roman" w:hAnsi="Times New Roman"/>
          <w:i/>
          <w:iCs/>
          <w:sz w:val="20"/>
          <w:szCs w:val="20"/>
        </w:rPr>
      </w:pPr>
    </w:p>
    <w:p w14:paraId="1845077A" w14:textId="698107CC" w:rsidR="008C104F" w:rsidRPr="008C104F" w:rsidRDefault="008C104F" w:rsidP="008C104F">
      <w:pPr>
        <w:tabs>
          <w:tab w:val="left" w:pos="0"/>
        </w:tabs>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 xml:space="preserve">Extract of </w:t>
      </w:r>
      <w:r w:rsidRPr="008C104F">
        <w:rPr>
          <w:rFonts w:ascii="Times New Roman" w:hAnsi="Times New Roman"/>
          <w:sz w:val="20"/>
          <w:szCs w:val="20"/>
        </w:rPr>
        <w:t xml:space="preserve">Note 1.1(C) -   </w:t>
      </w:r>
      <w:r>
        <w:rPr>
          <w:rFonts w:ascii="Times New Roman" w:hAnsi="Times New Roman"/>
          <w:sz w:val="20"/>
          <w:szCs w:val="20"/>
        </w:rPr>
        <w:t>COVID-19 disclosure – The extent to which Covid-19 pandemic will impact the Company’s operation and financial result is dependent on future developments which are still highly uncertain and thus for current year no effect is provided in the books of accounts.</w:t>
      </w:r>
    </w:p>
    <w:p w14:paraId="4C53EE8C" w14:textId="77777777" w:rsidR="008C104F" w:rsidRDefault="008C104F" w:rsidP="008C104F">
      <w:pPr>
        <w:tabs>
          <w:tab w:val="left" w:pos="0"/>
        </w:tabs>
        <w:autoSpaceDE w:val="0"/>
        <w:autoSpaceDN w:val="0"/>
        <w:adjustRightInd w:val="0"/>
        <w:spacing w:after="0" w:line="240" w:lineRule="auto"/>
        <w:jc w:val="both"/>
        <w:rPr>
          <w:rFonts w:ascii="Times New Roman" w:hAnsi="Times New Roman"/>
          <w:i/>
          <w:iCs/>
          <w:sz w:val="20"/>
          <w:szCs w:val="20"/>
        </w:rPr>
      </w:pPr>
    </w:p>
    <w:p w14:paraId="40E56835" w14:textId="45659414" w:rsidR="008C104F" w:rsidRPr="008C104F" w:rsidRDefault="008C104F" w:rsidP="008C104F">
      <w:pPr>
        <w:tabs>
          <w:tab w:val="left" w:pos="0"/>
        </w:tabs>
        <w:autoSpaceDE w:val="0"/>
        <w:autoSpaceDN w:val="0"/>
        <w:adjustRightInd w:val="0"/>
        <w:spacing w:after="0" w:line="240" w:lineRule="auto"/>
        <w:jc w:val="both"/>
        <w:rPr>
          <w:rFonts w:ascii="Times New Roman" w:hAnsi="Times New Roman"/>
          <w:i/>
          <w:iCs/>
          <w:sz w:val="20"/>
          <w:szCs w:val="20"/>
        </w:rPr>
      </w:pPr>
      <w:r w:rsidRPr="008C104F">
        <w:rPr>
          <w:rFonts w:ascii="Times New Roman" w:hAnsi="Times New Roman"/>
          <w:i/>
          <w:iCs/>
          <w:sz w:val="20"/>
          <w:szCs w:val="20"/>
        </w:rPr>
        <w:t xml:space="preserve">Company is 100% Export Oriented Unit, they have applied for debonding of the EOU the status is pending. It has debtors amounting to Rs. </w:t>
      </w:r>
      <w:r>
        <w:rPr>
          <w:rFonts w:ascii="Times New Roman" w:hAnsi="Times New Roman"/>
          <w:i/>
          <w:iCs/>
          <w:sz w:val="20"/>
          <w:szCs w:val="20"/>
        </w:rPr>
        <w:t>19.88</w:t>
      </w:r>
      <w:r w:rsidRPr="008C104F">
        <w:rPr>
          <w:rFonts w:ascii="Times New Roman" w:hAnsi="Times New Roman"/>
          <w:i/>
          <w:iCs/>
          <w:sz w:val="20"/>
          <w:szCs w:val="20"/>
        </w:rPr>
        <w:t xml:space="preserve"> crores and creditors of Rs. </w:t>
      </w:r>
      <w:r>
        <w:rPr>
          <w:rFonts w:ascii="Times New Roman" w:hAnsi="Times New Roman"/>
          <w:i/>
          <w:iCs/>
          <w:sz w:val="20"/>
          <w:szCs w:val="20"/>
        </w:rPr>
        <w:t>2</w:t>
      </w:r>
      <w:r w:rsidRPr="008C104F">
        <w:rPr>
          <w:rFonts w:ascii="Times New Roman" w:hAnsi="Times New Roman"/>
          <w:i/>
          <w:iCs/>
          <w:sz w:val="20"/>
          <w:szCs w:val="20"/>
        </w:rPr>
        <w:t>.</w:t>
      </w:r>
      <w:r>
        <w:rPr>
          <w:rFonts w:ascii="Times New Roman" w:hAnsi="Times New Roman"/>
          <w:i/>
          <w:iCs/>
          <w:sz w:val="20"/>
          <w:szCs w:val="20"/>
        </w:rPr>
        <w:t>2</w:t>
      </w:r>
      <w:r w:rsidRPr="008C104F">
        <w:rPr>
          <w:rFonts w:ascii="Times New Roman" w:hAnsi="Times New Roman"/>
          <w:i/>
          <w:iCs/>
          <w:sz w:val="20"/>
          <w:szCs w:val="20"/>
        </w:rPr>
        <w:t xml:space="preserve">9 crores payable in foreign currency out of balance so payable and receivable; management is of the view that there has been quality issues in respect of these parties, there is no certainty of realization of the same in full and negotiation is going on with debtors and creditors, even though amounts are considered as good and management has not recognized gain/loss on debtors and creditors as on the balance sheet date for foreign exchange rate difference and considered the previous balance sheet value for debtors and creditors therefore, the gain or/and loss on account of restating the balance as on the balance sheet date is not ascertainable in view of uncertainty and thus this violates the AS-11 issued by ICAI.   </w:t>
      </w:r>
    </w:p>
    <w:p w14:paraId="5EA47409" w14:textId="77777777" w:rsidR="008C104F" w:rsidRDefault="008C104F" w:rsidP="00D55EC1">
      <w:pPr>
        <w:tabs>
          <w:tab w:val="left" w:pos="0"/>
        </w:tabs>
        <w:autoSpaceDE w:val="0"/>
        <w:autoSpaceDN w:val="0"/>
        <w:adjustRightInd w:val="0"/>
        <w:spacing w:after="0" w:line="240" w:lineRule="auto"/>
        <w:jc w:val="both"/>
        <w:rPr>
          <w:rFonts w:ascii="Times New Roman" w:hAnsi="Times New Roman"/>
          <w:sz w:val="20"/>
          <w:szCs w:val="20"/>
        </w:rPr>
      </w:pPr>
    </w:p>
    <w:p w14:paraId="61CA4FFB" w14:textId="4A036979" w:rsidR="000572D0" w:rsidRDefault="000572D0" w:rsidP="00D55EC1">
      <w:pPr>
        <w:tabs>
          <w:tab w:val="left" w:pos="0"/>
        </w:tabs>
        <w:autoSpaceDE w:val="0"/>
        <w:autoSpaceDN w:val="0"/>
        <w:adjustRightInd w:val="0"/>
        <w:spacing w:after="0" w:line="240" w:lineRule="auto"/>
        <w:jc w:val="both"/>
        <w:rPr>
          <w:rFonts w:ascii="Times New Roman" w:hAnsi="Times New Roman"/>
          <w:sz w:val="20"/>
          <w:szCs w:val="20"/>
        </w:rPr>
      </w:pPr>
      <w:r w:rsidRPr="000572D0">
        <w:rPr>
          <w:rFonts w:ascii="Times New Roman" w:hAnsi="Times New Roman"/>
          <w:sz w:val="20"/>
          <w:szCs w:val="20"/>
        </w:rPr>
        <w:t>There is no assurance that our audit reports for any future fiscal periods will not contain qualifications, matters of emphasis or other observations which affect our results of operations in such future periods. For further details, see, “Financial Information of the Company” and “Management’s Discussion and Analysis of Financial Condition and Results of Operations” on pages 132 and 165, respectively</w:t>
      </w:r>
      <w:r>
        <w:rPr>
          <w:rFonts w:ascii="Times New Roman" w:hAnsi="Times New Roman"/>
          <w:sz w:val="20"/>
          <w:szCs w:val="20"/>
        </w:rPr>
        <w:t>.</w:t>
      </w:r>
    </w:p>
    <w:p w14:paraId="32D10FFA" w14:textId="77777777" w:rsidR="000572D0" w:rsidRDefault="000572D0" w:rsidP="00D55EC1">
      <w:pPr>
        <w:tabs>
          <w:tab w:val="left" w:pos="0"/>
        </w:tabs>
        <w:autoSpaceDE w:val="0"/>
        <w:autoSpaceDN w:val="0"/>
        <w:adjustRightInd w:val="0"/>
        <w:spacing w:after="0" w:line="240" w:lineRule="auto"/>
        <w:jc w:val="both"/>
        <w:rPr>
          <w:rFonts w:ascii="Times New Roman" w:hAnsi="Times New Roman"/>
          <w:sz w:val="20"/>
          <w:szCs w:val="20"/>
        </w:rPr>
      </w:pPr>
    </w:p>
    <w:p w14:paraId="4C36DEEA" w14:textId="77777777" w:rsidR="00D55EC1" w:rsidRPr="00B33CB7" w:rsidRDefault="00D55EC1" w:rsidP="00F038BD">
      <w:pPr>
        <w:numPr>
          <w:ilvl w:val="0"/>
          <w:numId w:val="150"/>
        </w:numPr>
        <w:suppressAutoHyphens/>
        <w:autoSpaceDE w:val="0"/>
        <w:autoSpaceDN w:val="0"/>
        <w:adjustRightInd w:val="0"/>
        <w:spacing w:after="0" w:line="240" w:lineRule="auto"/>
        <w:contextualSpacing/>
        <w:jc w:val="both"/>
        <w:textAlignment w:val="center"/>
        <w:rPr>
          <w:rFonts w:ascii="Times New Roman" w:eastAsia="MS Mincho" w:hAnsi="Times New Roman"/>
          <w:b/>
          <w:i/>
          <w:color w:val="000000"/>
          <w:sz w:val="20"/>
          <w:szCs w:val="20"/>
          <w:lang w:val="en-GB" w:eastAsia="x-none"/>
        </w:rPr>
      </w:pPr>
      <w:r w:rsidRPr="00B33CB7">
        <w:rPr>
          <w:rFonts w:ascii="Times New Roman" w:eastAsia="MS Mincho" w:hAnsi="Times New Roman"/>
          <w:b/>
          <w:i/>
          <w:color w:val="000000"/>
          <w:sz w:val="20"/>
          <w:szCs w:val="20"/>
          <w:lang w:val="en-GB" w:eastAsia="x-none"/>
        </w:rPr>
        <w:t>Our continued operations at our manufacturing facilit</w:t>
      </w:r>
      <w:r>
        <w:rPr>
          <w:rFonts w:ascii="Times New Roman" w:eastAsia="MS Mincho" w:hAnsi="Times New Roman"/>
          <w:b/>
          <w:i/>
          <w:color w:val="000000"/>
          <w:sz w:val="20"/>
          <w:szCs w:val="20"/>
          <w:lang w:val="en-GB" w:eastAsia="x-none"/>
        </w:rPr>
        <w:t>ies</w:t>
      </w:r>
      <w:r w:rsidRPr="00B33CB7">
        <w:rPr>
          <w:rFonts w:ascii="Times New Roman" w:eastAsia="MS Mincho" w:hAnsi="Times New Roman"/>
          <w:b/>
          <w:i/>
          <w:color w:val="000000"/>
          <w:sz w:val="20"/>
          <w:szCs w:val="20"/>
          <w:lang w:val="en-GB" w:eastAsia="x-none"/>
        </w:rPr>
        <w:t xml:space="preserve"> </w:t>
      </w:r>
      <w:r>
        <w:rPr>
          <w:rFonts w:ascii="Times New Roman" w:eastAsia="MS Mincho" w:hAnsi="Times New Roman"/>
          <w:b/>
          <w:i/>
          <w:color w:val="000000"/>
          <w:sz w:val="20"/>
          <w:szCs w:val="20"/>
          <w:lang w:val="en-GB" w:eastAsia="x-none"/>
        </w:rPr>
        <w:t>are</w:t>
      </w:r>
      <w:r w:rsidRPr="00B33CB7">
        <w:rPr>
          <w:rFonts w:ascii="Times New Roman" w:eastAsia="MS Mincho" w:hAnsi="Times New Roman"/>
          <w:b/>
          <w:i/>
          <w:color w:val="000000"/>
          <w:sz w:val="20"/>
          <w:szCs w:val="20"/>
          <w:lang w:val="en-GB" w:eastAsia="x-none"/>
        </w:rPr>
        <w:t xml:space="preserve"> critical to our business and any disruption, breakdown or failure of machinery, disruption to power sources or any temporary shutdown of our manufacturing facility, may have a material adverse effect on our business, results of operations, financial condition and cash flows.</w:t>
      </w:r>
    </w:p>
    <w:p w14:paraId="70128215" w14:textId="77777777" w:rsidR="00D55EC1" w:rsidRPr="00B33CB7" w:rsidRDefault="00D55EC1" w:rsidP="00D55EC1">
      <w:pPr>
        <w:autoSpaceDE w:val="0"/>
        <w:autoSpaceDN w:val="0"/>
        <w:adjustRightInd w:val="0"/>
        <w:spacing w:after="0" w:line="240" w:lineRule="auto"/>
        <w:ind w:left="360"/>
        <w:jc w:val="both"/>
        <w:rPr>
          <w:rFonts w:ascii="Times New Roman" w:eastAsia="Calibri" w:hAnsi="Times New Roman"/>
          <w:b/>
          <w:bCs/>
          <w:i/>
          <w:iCs/>
          <w:color w:val="000000"/>
          <w:sz w:val="20"/>
          <w:szCs w:val="20"/>
        </w:rPr>
      </w:pPr>
    </w:p>
    <w:p w14:paraId="11155FFC" w14:textId="77777777" w:rsidR="00D55EC1" w:rsidRDefault="00D55EC1" w:rsidP="00D55EC1">
      <w:pPr>
        <w:autoSpaceDE w:val="0"/>
        <w:autoSpaceDN w:val="0"/>
        <w:adjustRightInd w:val="0"/>
        <w:spacing w:after="0" w:line="240" w:lineRule="auto"/>
        <w:jc w:val="both"/>
        <w:rPr>
          <w:rFonts w:ascii="Times New Roman" w:hAnsi="Times New Roman"/>
          <w:sz w:val="20"/>
          <w:szCs w:val="20"/>
        </w:rPr>
      </w:pPr>
      <w:r w:rsidRPr="00B33CB7">
        <w:rPr>
          <w:rFonts w:ascii="Times New Roman" w:hAnsi="Times New Roman"/>
          <w:sz w:val="20"/>
          <w:szCs w:val="20"/>
        </w:rPr>
        <w:t xml:space="preserve">We currently operate through 3 facilities, all of which are located in the district of Jamnagar, which is considered as a hub of brass </w:t>
      </w:r>
      <w:r w:rsidRPr="00417705">
        <w:rPr>
          <w:rFonts w:ascii="Times New Roman" w:hAnsi="Times New Roman"/>
          <w:sz w:val="20"/>
          <w:szCs w:val="20"/>
          <w:highlight w:val="yellow"/>
        </w:rPr>
        <w:t>components. Our unit-I is situated at land of 4970 sq. mtrs. and has an installed capacity of ____ for ________________. Our unit-II, situated at land of 3629 sq. mtrs. has an installed capacity of _______ for ___________________________. And, our Unit-III, situated at land of 3346 sq. mtrs. has an installed capacity of _________ for _________________________________. Our</w:t>
      </w:r>
      <w:r w:rsidRPr="00B33CB7">
        <w:rPr>
          <w:rFonts w:ascii="Times New Roman" w:hAnsi="Times New Roman"/>
          <w:sz w:val="20"/>
          <w:szCs w:val="20"/>
        </w:rPr>
        <w:t xml:space="preserve"> manufacturing facilit</w:t>
      </w:r>
      <w:r>
        <w:rPr>
          <w:rFonts w:ascii="Times New Roman" w:hAnsi="Times New Roman"/>
          <w:sz w:val="20"/>
          <w:szCs w:val="20"/>
        </w:rPr>
        <w:t>ies</w:t>
      </w:r>
      <w:r w:rsidRPr="00B33CB7">
        <w:rPr>
          <w:rFonts w:ascii="Times New Roman" w:hAnsi="Times New Roman"/>
          <w:sz w:val="20"/>
          <w:szCs w:val="20"/>
        </w:rPr>
        <w:t xml:space="preserve"> </w:t>
      </w:r>
      <w:r>
        <w:rPr>
          <w:rFonts w:ascii="Times New Roman" w:hAnsi="Times New Roman"/>
          <w:sz w:val="20"/>
          <w:szCs w:val="20"/>
        </w:rPr>
        <w:t>are</w:t>
      </w:r>
      <w:r w:rsidRPr="00B33CB7">
        <w:rPr>
          <w:rFonts w:ascii="Times New Roman" w:hAnsi="Times New Roman"/>
          <w:sz w:val="20"/>
          <w:szCs w:val="20"/>
        </w:rPr>
        <w:t xml:space="preserve"> subject to operating risks, such as breakdown or failure of equipment, disruption in power supply or processes, severe weather conditions, performance below expected levels of efficiency, obsolescence, labor disputes, natural disasters, industrial accidents, infectious diseases (such as COVID-19 pandemic), political instability, the need to comply with the directives of relevant government authorities and the requirement to obtain certain material approvals to operate our manufacturing facilities</w:t>
      </w:r>
      <w:r>
        <w:rPr>
          <w:rFonts w:ascii="Times New Roman" w:hAnsi="Times New Roman"/>
          <w:sz w:val="20"/>
          <w:szCs w:val="20"/>
        </w:rPr>
        <w:t xml:space="preserve">. </w:t>
      </w:r>
      <w:r w:rsidRPr="00B33CB7">
        <w:rPr>
          <w:rFonts w:ascii="Times New Roman" w:hAnsi="Times New Roman"/>
          <w:sz w:val="20"/>
          <w:szCs w:val="20"/>
        </w:rPr>
        <w:t>We also require substantial electricity for our manufacturing facilities which is sourced from state electricity board. In case, the supply is not available for any reason, our production schedule may be hampered</w:t>
      </w:r>
      <w:r>
        <w:rPr>
          <w:rFonts w:ascii="Times New Roman" w:hAnsi="Times New Roman"/>
          <w:sz w:val="20"/>
          <w:szCs w:val="20"/>
        </w:rPr>
        <w:t xml:space="preserve"> or i</w:t>
      </w:r>
      <w:r w:rsidRPr="00602643">
        <w:rPr>
          <w:rFonts w:ascii="Times New Roman" w:hAnsi="Times New Roman"/>
          <w:sz w:val="20"/>
          <w:szCs w:val="20"/>
        </w:rPr>
        <w:t>f our electricity suppliers increase the price for electricity, our cost of production and profitability would be materially adversely affected. Further, natural disasters or adverse conditions may occur in the geographical areas in which we operate including severe weather, tropical storms, floods, excessive rainfalls as well as other events beyond our control. If for any reason electricity is not available, we may need to shut down our plants until an adequate supply of electricity is restored. Interruptions of electricity supply can also result in production shutdowns, increased costs associated with restarting production and the loss of production in progress.</w:t>
      </w:r>
    </w:p>
    <w:p w14:paraId="7C0FFFDD" w14:textId="77777777" w:rsidR="00D55EC1" w:rsidRDefault="00D55EC1" w:rsidP="00D55EC1">
      <w:pPr>
        <w:autoSpaceDE w:val="0"/>
        <w:autoSpaceDN w:val="0"/>
        <w:adjustRightInd w:val="0"/>
        <w:spacing w:after="0" w:line="240" w:lineRule="auto"/>
        <w:jc w:val="both"/>
        <w:rPr>
          <w:rFonts w:ascii="Times New Roman" w:hAnsi="Times New Roman"/>
          <w:sz w:val="20"/>
          <w:szCs w:val="20"/>
        </w:rPr>
      </w:pPr>
    </w:p>
    <w:p w14:paraId="0CD7BFC4" w14:textId="77777777" w:rsidR="00D55EC1" w:rsidRPr="00B33CB7" w:rsidRDefault="00D55EC1" w:rsidP="00D55EC1">
      <w:pPr>
        <w:autoSpaceDE w:val="0"/>
        <w:autoSpaceDN w:val="0"/>
        <w:adjustRightInd w:val="0"/>
        <w:spacing w:after="0" w:line="240" w:lineRule="auto"/>
        <w:jc w:val="both"/>
        <w:rPr>
          <w:rFonts w:ascii="Times New Roman" w:hAnsi="Times New Roman"/>
          <w:sz w:val="20"/>
          <w:szCs w:val="20"/>
        </w:rPr>
      </w:pPr>
      <w:r w:rsidRPr="00B33CB7">
        <w:rPr>
          <w:rFonts w:ascii="Times New Roman" w:hAnsi="Times New Roman"/>
          <w:sz w:val="20"/>
          <w:szCs w:val="20"/>
        </w:rPr>
        <w:t xml:space="preserve">Our customers rely significantly on the timely delivery of our products and our ability to provide an uninterrupted and timely supply of our products is critical to our business. While we seek to ensure a continuous supply of our products to our customers, our customer relationships, business and financial results may be adversely affected by any disruption of operations of our product lines due to any of the factors mentioned above. </w:t>
      </w:r>
    </w:p>
    <w:p w14:paraId="4BE48D0E" w14:textId="77777777" w:rsidR="00D55EC1" w:rsidRPr="00641801" w:rsidRDefault="00D55EC1" w:rsidP="00D55EC1">
      <w:pPr>
        <w:tabs>
          <w:tab w:val="left" w:pos="0"/>
        </w:tabs>
        <w:autoSpaceDE w:val="0"/>
        <w:autoSpaceDN w:val="0"/>
        <w:adjustRightInd w:val="0"/>
        <w:spacing w:after="0" w:line="240" w:lineRule="auto"/>
        <w:jc w:val="both"/>
        <w:rPr>
          <w:rFonts w:ascii="Times New Roman" w:hAnsi="Times New Roman"/>
          <w:sz w:val="20"/>
          <w:szCs w:val="20"/>
        </w:rPr>
      </w:pPr>
    </w:p>
    <w:p w14:paraId="1A043D89" w14:textId="77777777" w:rsidR="00D55EC1" w:rsidRPr="00641801" w:rsidRDefault="00D55EC1" w:rsidP="00F038BD">
      <w:pPr>
        <w:pStyle w:val="ListParagraph"/>
        <w:numPr>
          <w:ilvl w:val="0"/>
          <w:numId w:val="150"/>
        </w:numPr>
        <w:spacing w:line="240" w:lineRule="auto"/>
        <w:contextualSpacing/>
        <w:jc w:val="both"/>
        <w:rPr>
          <w:b/>
          <w:bCs/>
          <w:i/>
          <w:iCs/>
          <w:sz w:val="20"/>
          <w:szCs w:val="20"/>
        </w:rPr>
      </w:pPr>
      <w:r w:rsidRPr="00641801">
        <w:rPr>
          <w:b/>
          <w:bCs/>
          <w:i/>
          <w:iCs/>
          <w:sz w:val="20"/>
          <w:szCs w:val="20"/>
        </w:rPr>
        <w:t xml:space="preserve">Our business operations are majorly concentrated in certain geographical regions and any adverse developments affecting our operations in these regions could have a significant impact on our revenue and results of operations. </w:t>
      </w:r>
    </w:p>
    <w:p w14:paraId="2FB97661" w14:textId="77777777" w:rsidR="00D55EC1" w:rsidRPr="00641801" w:rsidRDefault="00D55EC1" w:rsidP="00D55EC1">
      <w:pPr>
        <w:tabs>
          <w:tab w:val="left" w:pos="0"/>
        </w:tabs>
        <w:spacing w:after="0" w:line="240" w:lineRule="auto"/>
        <w:ind w:left="360"/>
        <w:jc w:val="both"/>
        <w:rPr>
          <w:rFonts w:ascii="Times New Roman" w:eastAsia="MS Mincho" w:hAnsi="Times New Roman"/>
          <w:b/>
          <w:i/>
          <w:sz w:val="20"/>
          <w:szCs w:val="20"/>
          <w:lang w:val="en-GB"/>
        </w:rPr>
      </w:pPr>
    </w:p>
    <w:p w14:paraId="78FF3742" w14:textId="77777777" w:rsidR="00D55EC1" w:rsidRPr="00641801" w:rsidRDefault="00D55EC1" w:rsidP="00D55EC1">
      <w:pPr>
        <w:autoSpaceDE w:val="0"/>
        <w:autoSpaceDN w:val="0"/>
        <w:adjustRightInd w:val="0"/>
        <w:spacing w:after="0" w:line="240" w:lineRule="auto"/>
        <w:jc w:val="both"/>
        <w:rPr>
          <w:rFonts w:ascii="Times New Roman" w:hAnsi="Times New Roman"/>
          <w:color w:val="000000"/>
          <w:sz w:val="20"/>
          <w:szCs w:val="20"/>
        </w:rPr>
      </w:pPr>
      <w:r w:rsidRPr="00641801">
        <w:rPr>
          <w:rFonts w:ascii="Times New Roman" w:hAnsi="Times New Roman"/>
          <w:color w:val="000000"/>
          <w:sz w:val="20"/>
          <w:szCs w:val="20"/>
        </w:rPr>
        <w:t xml:space="preserve">The manufacturing operations of the Company are carried in the state of Gujarat in </w:t>
      </w:r>
      <w:r>
        <w:rPr>
          <w:rFonts w:ascii="Times New Roman" w:hAnsi="Times New Roman"/>
          <w:color w:val="000000"/>
          <w:sz w:val="20"/>
          <w:szCs w:val="20"/>
        </w:rPr>
        <w:t>the</w:t>
      </w:r>
      <w:r w:rsidRPr="00440029">
        <w:rPr>
          <w:rFonts w:ascii="Times New Roman" w:hAnsi="Times New Roman"/>
          <w:color w:val="000000"/>
          <w:sz w:val="20"/>
          <w:szCs w:val="20"/>
        </w:rPr>
        <w:t xml:space="preserve"> village Lakhabaval, district Jamnagar</w:t>
      </w:r>
      <w:r>
        <w:rPr>
          <w:rFonts w:ascii="Times New Roman" w:hAnsi="Times New Roman"/>
          <w:color w:val="000000"/>
          <w:sz w:val="20"/>
          <w:szCs w:val="20"/>
        </w:rPr>
        <w:t>.</w:t>
      </w:r>
      <w:r w:rsidRPr="00440029">
        <w:rPr>
          <w:rFonts w:ascii="Times New Roman" w:hAnsi="Times New Roman"/>
          <w:color w:val="000000"/>
          <w:sz w:val="20"/>
          <w:szCs w:val="20"/>
        </w:rPr>
        <w:t xml:space="preserve"> </w:t>
      </w:r>
      <w:r w:rsidRPr="00641801">
        <w:rPr>
          <w:rFonts w:ascii="Times New Roman" w:hAnsi="Times New Roman"/>
          <w:color w:val="000000"/>
          <w:sz w:val="20"/>
          <w:szCs w:val="20"/>
        </w:rPr>
        <w:t xml:space="preserve">Due to the geographical concentration of our manufacturing operations in Gujarat, our operations are susceptible to local, regional and environmental factors, such as social and civil unrest, regional conflicts, civil disturbances, economic and weather conditions, natural disasters, demographic and population changes, and other unforeseen events and circumstances. </w:t>
      </w:r>
      <w:r w:rsidRPr="00641801">
        <w:rPr>
          <w:rFonts w:ascii="Times New Roman" w:hAnsi="Times New Roman"/>
          <w:sz w:val="20"/>
          <w:szCs w:val="20"/>
        </w:rPr>
        <w:t>Such disruptions could result in the damage or destruction of a significant portion of our manufacturing abilities, significant delays in the transport of our products and raw materials, loss of key managerial personnel, and/or otherwise adversely affect our business, financial condition and results of operations.</w:t>
      </w:r>
    </w:p>
    <w:p w14:paraId="71F7DEE0" w14:textId="77777777" w:rsidR="00D55EC1" w:rsidRPr="00641801" w:rsidRDefault="00D55EC1" w:rsidP="00D55EC1">
      <w:pPr>
        <w:autoSpaceDE w:val="0"/>
        <w:autoSpaceDN w:val="0"/>
        <w:adjustRightInd w:val="0"/>
        <w:spacing w:after="0" w:line="240" w:lineRule="auto"/>
        <w:jc w:val="both"/>
        <w:rPr>
          <w:rFonts w:ascii="Times New Roman" w:hAnsi="Times New Roman"/>
          <w:color w:val="000000"/>
          <w:sz w:val="20"/>
          <w:szCs w:val="20"/>
        </w:rPr>
      </w:pPr>
    </w:p>
    <w:p w14:paraId="4D2E39F9" w14:textId="77777777" w:rsidR="00D55EC1" w:rsidRPr="00641801" w:rsidRDefault="00D55EC1" w:rsidP="00D55EC1">
      <w:pPr>
        <w:autoSpaceDE w:val="0"/>
        <w:autoSpaceDN w:val="0"/>
        <w:adjustRightInd w:val="0"/>
        <w:spacing w:after="0" w:line="240" w:lineRule="auto"/>
        <w:jc w:val="both"/>
        <w:rPr>
          <w:rFonts w:ascii="Times New Roman" w:hAnsi="Times New Roman"/>
          <w:sz w:val="20"/>
          <w:szCs w:val="20"/>
        </w:rPr>
      </w:pPr>
      <w:r w:rsidRPr="00641801">
        <w:rPr>
          <w:rFonts w:ascii="Times New Roman" w:hAnsi="Times New Roman"/>
          <w:color w:val="000000"/>
          <w:sz w:val="20"/>
          <w:szCs w:val="20"/>
        </w:rPr>
        <w:lastRenderedPageBreak/>
        <w:t xml:space="preserve">In addition, we generate major domestic sales through our customers situated in </w:t>
      </w:r>
      <w:r w:rsidRPr="00641801">
        <w:rPr>
          <w:rFonts w:ascii="Times New Roman" w:hAnsi="Times New Roman"/>
          <w:sz w:val="20"/>
          <w:szCs w:val="20"/>
        </w:rPr>
        <w:t>Gujarat</w:t>
      </w:r>
      <w:r>
        <w:rPr>
          <w:rFonts w:ascii="Times New Roman" w:hAnsi="Times New Roman"/>
          <w:sz w:val="20"/>
          <w:szCs w:val="20"/>
        </w:rPr>
        <w:t xml:space="preserve">. </w:t>
      </w:r>
      <w:r w:rsidRPr="006F4A64">
        <w:rPr>
          <w:rFonts w:ascii="Times New Roman" w:hAnsi="Times New Roman"/>
          <w:sz w:val="20"/>
          <w:szCs w:val="20"/>
        </w:rPr>
        <w:t>In Fiscal 2023, Gujarat contributed 56.40% of revenue from operations, Madhya Pradesh contributed 5.25%, Punjab contributed 2.03% and Rajasthan contributed 1.41% of our revenue from operations.</w:t>
      </w:r>
      <w:r w:rsidRPr="00641801">
        <w:rPr>
          <w:rFonts w:ascii="Times New Roman" w:hAnsi="Times New Roman"/>
          <w:sz w:val="20"/>
          <w:szCs w:val="20"/>
        </w:rPr>
        <w:t xml:space="preserve"> </w:t>
      </w:r>
      <w:r w:rsidRPr="00641801">
        <w:rPr>
          <w:rFonts w:ascii="Times New Roman" w:hAnsi="Times New Roman"/>
          <w:color w:val="000000"/>
          <w:sz w:val="20"/>
          <w:szCs w:val="20"/>
        </w:rPr>
        <w:t xml:space="preserve">Such geographical concentration of our business in </w:t>
      </w:r>
      <w:r>
        <w:rPr>
          <w:rFonts w:ascii="Times New Roman" w:hAnsi="Times New Roman"/>
          <w:color w:val="000000"/>
          <w:sz w:val="20"/>
          <w:szCs w:val="20"/>
        </w:rPr>
        <w:t>Gujarat</w:t>
      </w:r>
      <w:r w:rsidRPr="00641801">
        <w:rPr>
          <w:rFonts w:ascii="Times New Roman" w:hAnsi="Times New Roman"/>
          <w:color w:val="000000"/>
          <w:sz w:val="20"/>
          <w:szCs w:val="20"/>
        </w:rPr>
        <w:t xml:space="preserve"> region heightens our exposure to adverse developments related to competition, as well as economic and demographic changes in this region, which may adversely affect our business prospects, financial conditions and results of operations.</w:t>
      </w:r>
    </w:p>
    <w:p w14:paraId="0172F661" w14:textId="77777777" w:rsidR="00D55EC1" w:rsidRPr="00641801" w:rsidRDefault="00D55EC1" w:rsidP="00D55EC1">
      <w:pPr>
        <w:autoSpaceDE w:val="0"/>
        <w:autoSpaceDN w:val="0"/>
        <w:adjustRightInd w:val="0"/>
        <w:spacing w:after="0" w:line="240" w:lineRule="auto"/>
        <w:jc w:val="both"/>
        <w:rPr>
          <w:rFonts w:ascii="Times New Roman" w:hAnsi="Times New Roman"/>
          <w:color w:val="000000"/>
          <w:sz w:val="20"/>
          <w:szCs w:val="20"/>
        </w:rPr>
      </w:pPr>
    </w:p>
    <w:p w14:paraId="32629073" w14:textId="77777777" w:rsidR="00D55EC1" w:rsidRPr="00641801" w:rsidRDefault="00D55EC1" w:rsidP="00D55EC1">
      <w:pPr>
        <w:autoSpaceDE w:val="0"/>
        <w:autoSpaceDN w:val="0"/>
        <w:adjustRightInd w:val="0"/>
        <w:spacing w:after="0" w:line="240" w:lineRule="auto"/>
        <w:jc w:val="both"/>
        <w:rPr>
          <w:rFonts w:ascii="Times New Roman" w:hAnsi="Times New Roman"/>
          <w:color w:val="000000"/>
          <w:sz w:val="20"/>
          <w:szCs w:val="20"/>
        </w:rPr>
      </w:pPr>
      <w:r w:rsidRPr="00641801">
        <w:rPr>
          <w:rFonts w:ascii="Times New Roman" w:hAnsi="Times New Roman"/>
          <w:color w:val="000000"/>
          <w:sz w:val="20"/>
          <w:szCs w:val="20"/>
        </w:rPr>
        <w:t>Further, as we enter into new markets and geographical areas, we are likely to compete with not only national players, but also the local players, who might have an established local presence, and are more familiar with local business practices and have stronger relationships with local customers, relevant government authorities, suppliers or are in a stronger financial position than us, all of which may give them a competitive advantage over us. Our inability to expand into other areas may adversely affect our business prospects, financial conditions and results of operations. While our management believes that the Company has requisite expertise and vision to grow and mark its presence in other markets going forward, investors should consider our business and prospects in light of the risks, losses and challenges that we face and should not rely on our results of operations for any prior periods as an indication of our future performance.</w:t>
      </w:r>
    </w:p>
    <w:p w14:paraId="44DD3AA6" w14:textId="77777777" w:rsidR="00815F75" w:rsidRDefault="00815F75" w:rsidP="00D55EC1">
      <w:pPr>
        <w:tabs>
          <w:tab w:val="left" w:pos="0"/>
        </w:tabs>
        <w:spacing w:after="0" w:line="240" w:lineRule="auto"/>
        <w:jc w:val="both"/>
        <w:rPr>
          <w:rFonts w:ascii="Times New Roman" w:eastAsia="MS Mincho" w:hAnsi="Times New Roman"/>
          <w:sz w:val="20"/>
          <w:szCs w:val="20"/>
          <w:lang w:val="en-GB"/>
        </w:rPr>
      </w:pPr>
    </w:p>
    <w:p w14:paraId="2F53820A" w14:textId="77777777" w:rsidR="00D55EC1" w:rsidRDefault="00D55EC1" w:rsidP="00F038BD">
      <w:pPr>
        <w:pStyle w:val="ListParagraph"/>
        <w:numPr>
          <w:ilvl w:val="0"/>
          <w:numId w:val="150"/>
        </w:numPr>
        <w:spacing w:line="240" w:lineRule="auto"/>
        <w:contextualSpacing/>
        <w:jc w:val="both"/>
        <w:rPr>
          <w:b/>
          <w:bCs/>
          <w:i/>
          <w:iCs/>
          <w:sz w:val="20"/>
          <w:szCs w:val="20"/>
        </w:rPr>
      </w:pPr>
      <w:r w:rsidRPr="00FE23B9">
        <w:rPr>
          <w:b/>
          <w:bCs/>
          <w:i/>
          <w:iCs/>
          <w:sz w:val="20"/>
          <w:szCs w:val="20"/>
        </w:rPr>
        <w:t>Our growth is closely tied to the outlook of industries that utilize brass in the production of their end products</w:t>
      </w:r>
      <w:r>
        <w:rPr>
          <w:b/>
          <w:bCs/>
          <w:i/>
          <w:iCs/>
          <w:sz w:val="20"/>
          <w:szCs w:val="20"/>
          <w:lang w:val="en-US"/>
        </w:rPr>
        <w:t>.</w:t>
      </w:r>
    </w:p>
    <w:p w14:paraId="31B0898C" w14:textId="77777777" w:rsidR="00D55EC1" w:rsidRDefault="00D55EC1" w:rsidP="00D55EC1">
      <w:pPr>
        <w:widowControl w:val="0"/>
        <w:adjustRightInd w:val="0"/>
        <w:spacing w:after="0" w:line="240" w:lineRule="auto"/>
        <w:jc w:val="both"/>
        <w:textAlignment w:val="baseline"/>
        <w:rPr>
          <w:rFonts w:ascii="Times New Roman" w:hAnsi="Times New Roman"/>
          <w:sz w:val="20"/>
          <w:szCs w:val="20"/>
        </w:rPr>
      </w:pPr>
    </w:p>
    <w:p w14:paraId="5C997BC3" w14:textId="77777777" w:rsidR="00D55EC1" w:rsidRDefault="00D55EC1" w:rsidP="00D55EC1">
      <w:pPr>
        <w:widowControl w:val="0"/>
        <w:adjustRightInd w:val="0"/>
        <w:spacing w:after="0" w:line="240" w:lineRule="auto"/>
        <w:jc w:val="both"/>
        <w:textAlignment w:val="baseline"/>
        <w:rPr>
          <w:rFonts w:ascii="Times New Roman" w:hAnsi="Times New Roman"/>
          <w:sz w:val="20"/>
          <w:szCs w:val="20"/>
        </w:rPr>
      </w:pPr>
      <w:r w:rsidRPr="001676E4">
        <w:rPr>
          <w:rFonts w:ascii="Times New Roman" w:hAnsi="Times New Roman"/>
          <w:sz w:val="20"/>
          <w:szCs w:val="20"/>
        </w:rPr>
        <w:t xml:space="preserve">Our Company </w:t>
      </w:r>
      <w:bookmarkStart w:id="2" w:name="_Hlk145351125"/>
      <w:r>
        <w:rPr>
          <w:rFonts w:ascii="Times New Roman" w:hAnsi="Times New Roman"/>
          <w:sz w:val="20"/>
          <w:szCs w:val="20"/>
        </w:rPr>
        <w:t xml:space="preserve">is mainly engaged in </w:t>
      </w:r>
      <w:r w:rsidRPr="001676E4">
        <w:rPr>
          <w:rFonts w:ascii="Times New Roman" w:hAnsi="Times New Roman"/>
          <w:sz w:val="20"/>
          <w:szCs w:val="20"/>
        </w:rPr>
        <w:t xml:space="preserve">manufacturing of </w:t>
      </w:r>
      <w:bookmarkStart w:id="3" w:name="_Hlk145785036"/>
      <w:r w:rsidRPr="001676E4">
        <w:rPr>
          <w:rFonts w:ascii="Times New Roman" w:hAnsi="Times New Roman"/>
          <w:sz w:val="20"/>
          <w:szCs w:val="20"/>
        </w:rPr>
        <w:t>brass ingots, billets</w:t>
      </w:r>
      <w:r>
        <w:rPr>
          <w:rFonts w:ascii="Times New Roman" w:hAnsi="Times New Roman"/>
          <w:sz w:val="20"/>
          <w:szCs w:val="20"/>
        </w:rPr>
        <w:t xml:space="preserve">, </w:t>
      </w:r>
      <w:r w:rsidRPr="001676E4">
        <w:rPr>
          <w:rFonts w:ascii="Times New Roman" w:hAnsi="Times New Roman"/>
          <w:sz w:val="20"/>
          <w:szCs w:val="20"/>
        </w:rPr>
        <w:t>rods</w:t>
      </w:r>
      <w:bookmarkEnd w:id="3"/>
      <w:r w:rsidRPr="001676E4">
        <w:rPr>
          <w:rFonts w:ascii="Times New Roman" w:hAnsi="Times New Roman"/>
          <w:sz w:val="20"/>
          <w:szCs w:val="20"/>
        </w:rPr>
        <w:t xml:space="preserve"> and </w:t>
      </w:r>
      <w:bookmarkStart w:id="4" w:name="_Hlk145784994"/>
      <w:r w:rsidRPr="001676E4">
        <w:rPr>
          <w:rFonts w:ascii="Times New Roman" w:hAnsi="Times New Roman"/>
          <w:sz w:val="20"/>
          <w:szCs w:val="20"/>
        </w:rPr>
        <w:t>brass based components (plumbing and sanitary parts)</w:t>
      </w:r>
      <w:bookmarkEnd w:id="4"/>
      <w:r w:rsidRPr="001676E4">
        <w:rPr>
          <w:rFonts w:ascii="Times New Roman" w:hAnsi="Times New Roman"/>
          <w:sz w:val="20"/>
          <w:szCs w:val="20"/>
        </w:rPr>
        <w:t>.</w:t>
      </w:r>
      <w:bookmarkEnd w:id="2"/>
      <w:r>
        <w:rPr>
          <w:rFonts w:ascii="Times New Roman" w:hAnsi="Times New Roman"/>
          <w:sz w:val="20"/>
          <w:szCs w:val="20"/>
        </w:rPr>
        <w:t xml:space="preserve"> The brass products</w:t>
      </w:r>
      <w:r w:rsidRPr="001676E4">
        <w:rPr>
          <w:rFonts w:ascii="Times New Roman" w:hAnsi="Times New Roman"/>
          <w:sz w:val="20"/>
          <w:szCs w:val="20"/>
        </w:rPr>
        <w:t xml:space="preserve"> which we manufacture </w:t>
      </w:r>
      <w:r>
        <w:rPr>
          <w:rFonts w:ascii="Times New Roman" w:hAnsi="Times New Roman"/>
          <w:sz w:val="20"/>
          <w:szCs w:val="20"/>
        </w:rPr>
        <w:t xml:space="preserve">or deal in finds application mainly in </w:t>
      </w:r>
      <w:r w:rsidRPr="001676E4">
        <w:rPr>
          <w:rFonts w:ascii="Times New Roman" w:hAnsi="Times New Roman"/>
          <w:sz w:val="20"/>
          <w:szCs w:val="20"/>
        </w:rPr>
        <w:t>construction sector</w:t>
      </w:r>
      <w:r>
        <w:rPr>
          <w:rFonts w:ascii="Times New Roman" w:hAnsi="Times New Roman"/>
          <w:sz w:val="20"/>
          <w:szCs w:val="20"/>
        </w:rPr>
        <w:t xml:space="preserve"> such</w:t>
      </w:r>
      <w:r w:rsidRPr="001676E4">
        <w:rPr>
          <w:rFonts w:ascii="Times New Roman" w:hAnsi="Times New Roman"/>
          <w:sz w:val="20"/>
          <w:szCs w:val="20"/>
        </w:rPr>
        <w:t xml:space="preserve"> </w:t>
      </w:r>
      <w:r>
        <w:rPr>
          <w:rFonts w:ascii="Times New Roman" w:hAnsi="Times New Roman"/>
          <w:sz w:val="20"/>
          <w:szCs w:val="20"/>
        </w:rPr>
        <w:t xml:space="preserve">as </w:t>
      </w:r>
      <w:r w:rsidRPr="001676E4">
        <w:rPr>
          <w:rFonts w:ascii="Times New Roman" w:hAnsi="Times New Roman"/>
          <w:sz w:val="20"/>
          <w:szCs w:val="20"/>
        </w:rPr>
        <w:t>piping</w:t>
      </w:r>
      <w:r>
        <w:rPr>
          <w:rFonts w:ascii="Times New Roman" w:hAnsi="Times New Roman"/>
          <w:sz w:val="20"/>
          <w:szCs w:val="20"/>
        </w:rPr>
        <w:t xml:space="preserve"> </w:t>
      </w:r>
      <w:r w:rsidRPr="001676E4">
        <w:rPr>
          <w:rFonts w:ascii="Times New Roman" w:hAnsi="Times New Roman"/>
          <w:sz w:val="20"/>
          <w:szCs w:val="20"/>
        </w:rPr>
        <w:t>and plumbing</w:t>
      </w:r>
      <w:r>
        <w:rPr>
          <w:rFonts w:ascii="Times New Roman" w:hAnsi="Times New Roman"/>
          <w:sz w:val="20"/>
          <w:szCs w:val="20"/>
        </w:rPr>
        <w:t xml:space="preserve"> as well as certain electric components. Thus,</w:t>
      </w:r>
      <w:r w:rsidRPr="001676E4">
        <w:rPr>
          <w:rFonts w:ascii="Times New Roman" w:hAnsi="Times New Roman"/>
          <w:sz w:val="20"/>
          <w:szCs w:val="20"/>
        </w:rPr>
        <w:t xml:space="preserve"> </w:t>
      </w:r>
      <w:r>
        <w:rPr>
          <w:rFonts w:ascii="Times New Roman" w:hAnsi="Times New Roman"/>
          <w:sz w:val="20"/>
          <w:szCs w:val="20"/>
        </w:rPr>
        <w:t>o</w:t>
      </w:r>
      <w:r w:rsidRPr="001676E4">
        <w:rPr>
          <w:rFonts w:ascii="Times New Roman" w:hAnsi="Times New Roman"/>
          <w:sz w:val="20"/>
          <w:szCs w:val="20"/>
        </w:rPr>
        <w:t>ur business is dependent on the performance and market trends of the construction &amp; real estate sector (residential and non-residential) in India</w:t>
      </w:r>
      <w:r>
        <w:rPr>
          <w:rFonts w:ascii="Times New Roman" w:hAnsi="Times New Roman"/>
          <w:sz w:val="20"/>
          <w:szCs w:val="20"/>
        </w:rPr>
        <w:t xml:space="preserve"> as well as abroad where we export our products</w:t>
      </w:r>
      <w:r w:rsidRPr="001676E4">
        <w:rPr>
          <w:rFonts w:ascii="Times New Roman" w:hAnsi="Times New Roman"/>
          <w:sz w:val="20"/>
          <w:szCs w:val="20"/>
        </w:rPr>
        <w:t xml:space="preserve">. </w:t>
      </w:r>
      <w:r w:rsidRPr="00FE23B9">
        <w:rPr>
          <w:rFonts w:ascii="Times New Roman" w:hAnsi="Times New Roman"/>
          <w:sz w:val="20"/>
          <w:szCs w:val="20"/>
        </w:rPr>
        <w:t xml:space="preserve">The real estate and construction sector may be affected by various factors outside our control, including prevailing general economic and market conditions, changes in the applicable governmental regulations, demographic trends, employment and income levels and interest rates, among other factors. In the event of any downturn or cyclical fluctuation in the construction sector affecting the demand of </w:t>
      </w:r>
      <w:r>
        <w:rPr>
          <w:rFonts w:ascii="Times New Roman" w:hAnsi="Times New Roman"/>
          <w:sz w:val="20"/>
          <w:szCs w:val="20"/>
        </w:rPr>
        <w:t>brass products which we deal in</w:t>
      </w:r>
      <w:r w:rsidRPr="00FE23B9">
        <w:rPr>
          <w:rFonts w:ascii="Times New Roman" w:hAnsi="Times New Roman"/>
          <w:sz w:val="20"/>
          <w:szCs w:val="20"/>
        </w:rPr>
        <w:t xml:space="preserve"> or any developments that make our products less economically beneficial, could have an adverse impact on our business, financial condition and results of operations.</w:t>
      </w:r>
    </w:p>
    <w:p w14:paraId="072DDD5E" w14:textId="77777777" w:rsidR="00D55EC1" w:rsidRPr="00641801" w:rsidRDefault="00D55EC1" w:rsidP="00D55EC1">
      <w:pPr>
        <w:tabs>
          <w:tab w:val="left" w:pos="0"/>
        </w:tabs>
        <w:spacing w:after="0" w:line="240" w:lineRule="auto"/>
        <w:jc w:val="both"/>
        <w:rPr>
          <w:rFonts w:ascii="Times New Roman" w:eastAsia="MS Mincho" w:hAnsi="Times New Roman"/>
          <w:sz w:val="20"/>
          <w:szCs w:val="20"/>
          <w:lang w:val="en-GB"/>
        </w:rPr>
      </w:pPr>
    </w:p>
    <w:p w14:paraId="05922223" w14:textId="77777777" w:rsidR="00D55EC1" w:rsidRPr="00641801" w:rsidRDefault="00D55EC1" w:rsidP="00F038BD">
      <w:pPr>
        <w:pStyle w:val="ListParagraph"/>
        <w:numPr>
          <w:ilvl w:val="0"/>
          <w:numId w:val="150"/>
        </w:numPr>
        <w:spacing w:line="240" w:lineRule="auto"/>
        <w:contextualSpacing/>
        <w:jc w:val="both"/>
        <w:rPr>
          <w:b/>
          <w:bCs/>
          <w:i/>
          <w:iCs/>
          <w:sz w:val="20"/>
          <w:szCs w:val="20"/>
        </w:rPr>
      </w:pPr>
      <w:r w:rsidRPr="00641801">
        <w:rPr>
          <w:b/>
          <w:bCs/>
          <w:i/>
          <w:iCs/>
          <w:sz w:val="20"/>
          <w:szCs w:val="20"/>
        </w:rPr>
        <w:t xml:space="preserve">We are subject to competition from both organized and unorganized players in the market, which may significantly affect the fixation and realisation of the price for our product, which may adversely affect our business operation and financial condition. </w:t>
      </w:r>
    </w:p>
    <w:p w14:paraId="52345B07" w14:textId="77777777" w:rsidR="00D55EC1" w:rsidRPr="00641801" w:rsidRDefault="00D55EC1" w:rsidP="00D55EC1">
      <w:pPr>
        <w:tabs>
          <w:tab w:val="left" w:pos="0"/>
        </w:tabs>
        <w:autoSpaceDE w:val="0"/>
        <w:autoSpaceDN w:val="0"/>
        <w:adjustRightInd w:val="0"/>
        <w:spacing w:after="0" w:line="240" w:lineRule="auto"/>
        <w:jc w:val="both"/>
        <w:rPr>
          <w:rFonts w:ascii="Times New Roman" w:hAnsi="Times New Roman"/>
          <w:sz w:val="20"/>
          <w:szCs w:val="20"/>
        </w:rPr>
      </w:pPr>
    </w:p>
    <w:p w14:paraId="3D94EBDE" w14:textId="77777777" w:rsidR="00D55EC1" w:rsidRPr="00641801" w:rsidRDefault="00D55EC1" w:rsidP="00D55EC1">
      <w:pPr>
        <w:tabs>
          <w:tab w:val="left" w:pos="0"/>
        </w:tabs>
        <w:spacing w:after="0" w:line="240" w:lineRule="auto"/>
        <w:jc w:val="both"/>
        <w:rPr>
          <w:rFonts w:ascii="Times New Roman" w:hAnsi="Times New Roman"/>
          <w:sz w:val="20"/>
          <w:szCs w:val="20"/>
        </w:rPr>
      </w:pPr>
      <w:r w:rsidRPr="00641801">
        <w:rPr>
          <w:rFonts w:ascii="Times New Roman" w:hAnsi="Times New Roman"/>
          <w:sz w:val="20"/>
          <w:szCs w:val="20"/>
        </w:rPr>
        <w:t>The market for our products is competitive on account of existence of both the organized and unorganized players. Competition occurs generally on the key attributes such as quality of products, sales network, pricing and timely delivery. Some of our competitors have longer industry experience and greater financial, technical and other resources, which may enable them to adopt faster in changing market scenario and remain competitive. Moreover, the unorganized sector can offers their products at highly competitive prices which may not be matched by us and consequently affect our volume of sales and growth prospects. Growing competition may result in a decline in our market share and may affect our margins which may adversely affect our business operations and our financial condition.</w:t>
      </w:r>
      <w:r w:rsidRPr="00526BFB">
        <w:rPr>
          <w:rFonts w:ascii="Times New Roman" w:hAnsi="Times New Roman"/>
          <w:sz w:val="20"/>
          <w:szCs w:val="20"/>
        </w:rPr>
        <w:t xml:space="preserve"> Some of our significant competitors in the </w:t>
      </w:r>
      <w:r>
        <w:rPr>
          <w:rFonts w:ascii="Times New Roman" w:hAnsi="Times New Roman"/>
          <w:sz w:val="20"/>
          <w:szCs w:val="20"/>
        </w:rPr>
        <w:t>organized</w:t>
      </w:r>
      <w:r w:rsidRPr="00526BFB">
        <w:rPr>
          <w:rFonts w:ascii="Times New Roman" w:hAnsi="Times New Roman"/>
          <w:sz w:val="20"/>
          <w:szCs w:val="20"/>
        </w:rPr>
        <w:t xml:space="preserve"> segment includes Poojawestern Metaliks Limited</w:t>
      </w:r>
      <w:r>
        <w:rPr>
          <w:rFonts w:ascii="Times New Roman" w:hAnsi="Times New Roman"/>
          <w:sz w:val="20"/>
          <w:szCs w:val="20"/>
        </w:rPr>
        <w:t xml:space="preserve">, </w:t>
      </w:r>
      <w:r w:rsidRPr="00526BFB">
        <w:rPr>
          <w:rFonts w:ascii="Times New Roman" w:hAnsi="Times New Roman"/>
          <w:sz w:val="20"/>
          <w:szCs w:val="20"/>
        </w:rPr>
        <w:t>Sprayking Agro Equipment Limited</w:t>
      </w:r>
      <w:r>
        <w:rPr>
          <w:rFonts w:ascii="Times New Roman" w:hAnsi="Times New Roman"/>
          <w:sz w:val="20"/>
          <w:szCs w:val="20"/>
        </w:rPr>
        <w:t>, Axelon Metals, Madhav Extrusions and Shree Extrusions.</w:t>
      </w:r>
    </w:p>
    <w:p w14:paraId="152972B3" w14:textId="77777777" w:rsidR="00D55EC1" w:rsidRPr="00641801" w:rsidRDefault="00D55EC1" w:rsidP="00D55EC1">
      <w:pPr>
        <w:tabs>
          <w:tab w:val="left" w:pos="0"/>
        </w:tabs>
        <w:spacing w:after="0" w:line="240" w:lineRule="auto"/>
        <w:jc w:val="both"/>
        <w:rPr>
          <w:rFonts w:ascii="Times New Roman" w:hAnsi="Times New Roman"/>
          <w:sz w:val="20"/>
          <w:szCs w:val="20"/>
        </w:rPr>
      </w:pPr>
    </w:p>
    <w:p w14:paraId="722208B4" w14:textId="77777777" w:rsidR="00D55EC1" w:rsidRPr="00641801" w:rsidRDefault="00D55EC1" w:rsidP="00D55EC1">
      <w:pPr>
        <w:widowControl w:val="0"/>
        <w:autoSpaceDE w:val="0"/>
        <w:autoSpaceDN w:val="0"/>
        <w:adjustRightInd w:val="0"/>
        <w:spacing w:after="0" w:line="240" w:lineRule="auto"/>
        <w:jc w:val="both"/>
        <w:textAlignment w:val="baseline"/>
        <w:rPr>
          <w:rFonts w:ascii="Times New Roman" w:hAnsi="Times New Roman"/>
          <w:sz w:val="20"/>
          <w:szCs w:val="20"/>
        </w:rPr>
      </w:pPr>
      <w:r w:rsidRPr="00641801">
        <w:rPr>
          <w:rFonts w:ascii="Times New Roman" w:hAnsi="Times New Roman"/>
          <w:sz w:val="20"/>
          <w:szCs w:val="20"/>
        </w:rPr>
        <w:t>We operate in a rapidly consolidating industry. The strength of combined companies could affect our competitive position in all of our business areas. Furthermore, if one of our competitors or their customers acquires any of our customers or suppliers, we may lose business from the customer or lose a supplier, which may adversely affect our business, results of operations and financial condition.</w:t>
      </w:r>
    </w:p>
    <w:p w14:paraId="1EB4CCC4" w14:textId="77777777" w:rsidR="00D55EC1" w:rsidRPr="00641801" w:rsidRDefault="00D55EC1" w:rsidP="00D55EC1">
      <w:pPr>
        <w:widowControl w:val="0"/>
        <w:autoSpaceDE w:val="0"/>
        <w:autoSpaceDN w:val="0"/>
        <w:adjustRightInd w:val="0"/>
        <w:spacing w:after="0" w:line="240" w:lineRule="auto"/>
        <w:jc w:val="both"/>
        <w:textAlignment w:val="baseline"/>
        <w:rPr>
          <w:rFonts w:ascii="Times New Roman" w:hAnsi="Times New Roman"/>
          <w:sz w:val="20"/>
          <w:szCs w:val="20"/>
        </w:rPr>
      </w:pPr>
    </w:p>
    <w:p w14:paraId="192039EC" w14:textId="77777777" w:rsidR="00D55EC1" w:rsidRPr="00641801" w:rsidRDefault="00D55EC1" w:rsidP="00F038BD">
      <w:pPr>
        <w:pStyle w:val="ListParagraph"/>
        <w:numPr>
          <w:ilvl w:val="0"/>
          <w:numId w:val="150"/>
        </w:numPr>
        <w:spacing w:line="240" w:lineRule="auto"/>
        <w:contextualSpacing/>
        <w:jc w:val="both"/>
        <w:rPr>
          <w:rFonts w:eastAsia="Calibri"/>
          <w:b/>
          <w:bCs/>
          <w:i/>
          <w:iCs/>
          <w:sz w:val="20"/>
          <w:szCs w:val="20"/>
        </w:rPr>
      </w:pPr>
      <w:r w:rsidRPr="00641801">
        <w:rPr>
          <w:b/>
          <w:bCs/>
          <w:i/>
          <w:iCs/>
          <w:sz w:val="20"/>
          <w:szCs w:val="20"/>
        </w:rPr>
        <w:t>Our Company is in use of trademark, which is not registered under the Trademarks Act, 1999 as on date of Draft Prospectus. Thus, we may be subject to claims alleging breach of third party intellectual property rights.</w:t>
      </w:r>
      <w:r w:rsidRPr="00641801">
        <w:rPr>
          <w:b/>
          <w:bCs/>
          <w:i/>
          <w:iCs/>
          <w:sz w:val="20"/>
          <w:szCs w:val="20"/>
        </w:rPr>
        <w:cr/>
      </w:r>
    </w:p>
    <w:p w14:paraId="045AC77D" w14:textId="555CD599" w:rsidR="00D55EC1" w:rsidRPr="00641801" w:rsidRDefault="00D55EC1" w:rsidP="00D55EC1">
      <w:pPr>
        <w:widowControl w:val="0"/>
        <w:autoSpaceDE w:val="0"/>
        <w:autoSpaceDN w:val="0"/>
        <w:adjustRightInd w:val="0"/>
        <w:spacing w:after="0" w:line="240" w:lineRule="auto"/>
        <w:jc w:val="both"/>
        <w:textAlignment w:val="baseline"/>
        <w:rPr>
          <w:rFonts w:ascii="Times New Roman" w:hAnsi="Times New Roman"/>
          <w:sz w:val="20"/>
          <w:szCs w:val="20"/>
        </w:rPr>
      </w:pPr>
      <w:r w:rsidRPr="00641801">
        <w:rPr>
          <w:rFonts w:ascii="Times New Roman" w:hAnsi="Times New Roman"/>
          <w:sz w:val="20"/>
          <w:szCs w:val="20"/>
        </w:rPr>
        <w:t>The trademark &amp; logo</w:t>
      </w:r>
      <w:r>
        <w:rPr>
          <w:rFonts w:ascii="Times New Roman" w:hAnsi="Times New Roman"/>
          <w:noProof/>
          <w:sz w:val="20"/>
          <w:szCs w:val="20"/>
        </w:rPr>
        <w:t xml:space="preserve"> </w:t>
      </w:r>
      <w:r w:rsidR="008A0EC1">
        <w:rPr>
          <w:noProof/>
        </w:rPr>
        <w:drawing>
          <wp:inline distT="0" distB="0" distL="0" distR="0" wp14:anchorId="339ADE05" wp14:editId="0B3D3D7A">
            <wp:extent cx="570016" cy="457200"/>
            <wp:effectExtent l="0" t="0" r="1905" b="0"/>
            <wp:docPr id="1145671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476" cy="460778"/>
                    </a:xfrm>
                    <a:prstGeom prst="rect">
                      <a:avLst/>
                    </a:prstGeom>
                    <a:noFill/>
                    <a:ln>
                      <a:noFill/>
                    </a:ln>
                  </pic:spPr>
                </pic:pic>
              </a:graphicData>
            </a:graphic>
          </wp:inline>
        </w:drawing>
      </w:r>
      <w:r w:rsidRPr="00641801">
        <w:rPr>
          <w:rFonts w:ascii="Times New Roman" w:hAnsi="Times New Roman"/>
          <w:sz w:val="20"/>
          <w:szCs w:val="20"/>
        </w:rPr>
        <w:t>,</w:t>
      </w:r>
      <w:r w:rsidR="00417705">
        <w:rPr>
          <w:rFonts w:ascii="Times New Roman" w:hAnsi="Times New Roman"/>
          <w:sz w:val="20"/>
          <w:szCs w:val="20"/>
        </w:rPr>
        <w:t xml:space="preserve"> </w:t>
      </w:r>
      <w:r w:rsidRPr="00641801">
        <w:rPr>
          <w:rFonts w:ascii="Times New Roman" w:hAnsi="Times New Roman"/>
          <w:sz w:val="20"/>
          <w:szCs w:val="20"/>
        </w:rPr>
        <w:t xml:space="preserve">which we are using for our business, has </w:t>
      </w:r>
      <w:r w:rsidR="00417705">
        <w:rPr>
          <w:rFonts w:ascii="Times New Roman" w:hAnsi="Times New Roman"/>
          <w:sz w:val="20"/>
          <w:szCs w:val="20"/>
        </w:rPr>
        <w:t xml:space="preserve">not </w:t>
      </w:r>
      <w:r w:rsidRPr="00641801">
        <w:rPr>
          <w:rFonts w:ascii="Times New Roman" w:hAnsi="Times New Roman"/>
          <w:sz w:val="20"/>
          <w:szCs w:val="20"/>
        </w:rPr>
        <w:t xml:space="preserve">been </w:t>
      </w:r>
      <w:r w:rsidRPr="00641801">
        <w:rPr>
          <w:rFonts w:ascii="Times New Roman" w:hAnsi="Times New Roman"/>
          <w:sz w:val="20"/>
          <w:szCs w:val="20"/>
          <w:lang w:eastAsia="en-IN"/>
        </w:rPr>
        <w:t xml:space="preserve">applied for registration under class 6 </w:t>
      </w:r>
      <w:r w:rsidRPr="00641801">
        <w:rPr>
          <w:rFonts w:ascii="Times New Roman" w:eastAsia="Calibri" w:hAnsi="Times New Roman"/>
          <w:sz w:val="20"/>
          <w:szCs w:val="20"/>
        </w:rPr>
        <w:t>under the provisions of the Trademarks Act, 1999</w:t>
      </w:r>
      <w:r w:rsidR="00417705">
        <w:rPr>
          <w:rFonts w:ascii="Times New Roman" w:eastAsia="Calibri" w:hAnsi="Times New Roman"/>
          <w:sz w:val="20"/>
          <w:szCs w:val="20"/>
        </w:rPr>
        <w:t>.</w:t>
      </w:r>
      <w:r w:rsidRPr="00641801">
        <w:rPr>
          <w:rFonts w:ascii="Times New Roman" w:eastAsia="Calibri" w:hAnsi="Times New Roman"/>
          <w:sz w:val="20"/>
          <w:szCs w:val="20"/>
        </w:rPr>
        <w:t xml:space="preserve"> As such, we do not enjoy the statutory protections accorded to a registered trademark as on date. There can be no assurance that we will be able to register the said trademark and the logo in future or that, third parties who have filed objection will not infringe our intellectual property, causing damage to our business prospects, reputation and goodwill. Our efforts to protect our intellectual property may not be adequate and may lead to erosion of our business value and our operations could be adversely affected. We may need to litigate in order to determine the validity of such claims and the scope of the proprietary rights of others. Any such litigation could be time consuming and costly and the outcome cannot be guaranteed. We may not be able to detect any unauthorized use or take appropriate and timely steps to enforce or protect our intellectual property.</w:t>
      </w:r>
      <w:r>
        <w:rPr>
          <w:rFonts w:ascii="Times New Roman" w:hAnsi="Times New Roman"/>
          <w:sz w:val="20"/>
          <w:szCs w:val="20"/>
        </w:rPr>
        <w:t xml:space="preserve"> </w:t>
      </w:r>
      <w:r w:rsidRPr="00641801">
        <w:rPr>
          <w:rFonts w:ascii="Times New Roman" w:hAnsi="Times New Roman"/>
          <w:sz w:val="20"/>
          <w:szCs w:val="20"/>
        </w:rPr>
        <w:t xml:space="preserve">For further details on above and other trademarks, please refer to chapter titled </w:t>
      </w:r>
      <w:r w:rsidRPr="008A0EC1">
        <w:rPr>
          <w:rFonts w:ascii="Times New Roman" w:hAnsi="Times New Roman"/>
          <w:b/>
          <w:bCs/>
          <w:i/>
          <w:iCs/>
          <w:sz w:val="20"/>
          <w:szCs w:val="20"/>
        </w:rPr>
        <w:t>“Our Business”</w:t>
      </w:r>
      <w:r w:rsidRPr="00641801">
        <w:rPr>
          <w:rFonts w:ascii="Times New Roman" w:hAnsi="Times New Roman"/>
          <w:sz w:val="20"/>
          <w:szCs w:val="20"/>
        </w:rPr>
        <w:t xml:space="preserve"> beginning on page 106 of this Draft Prospectus.</w:t>
      </w:r>
    </w:p>
    <w:p w14:paraId="29A3B518" w14:textId="77777777" w:rsidR="00D55EC1" w:rsidRPr="00641801" w:rsidRDefault="00D55EC1" w:rsidP="00D55EC1">
      <w:pPr>
        <w:widowControl w:val="0"/>
        <w:autoSpaceDE w:val="0"/>
        <w:autoSpaceDN w:val="0"/>
        <w:adjustRightInd w:val="0"/>
        <w:spacing w:after="0" w:line="240" w:lineRule="auto"/>
        <w:jc w:val="both"/>
        <w:textAlignment w:val="baseline"/>
        <w:rPr>
          <w:rFonts w:ascii="Times New Roman" w:hAnsi="Times New Roman"/>
          <w:sz w:val="20"/>
          <w:szCs w:val="20"/>
        </w:rPr>
      </w:pPr>
    </w:p>
    <w:p w14:paraId="0867136B" w14:textId="77777777" w:rsidR="00D55EC1" w:rsidRPr="00027B5C" w:rsidRDefault="00D55EC1" w:rsidP="00F038BD">
      <w:pPr>
        <w:pStyle w:val="Default"/>
        <w:numPr>
          <w:ilvl w:val="0"/>
          <w:numId w:val="150"/>
        </w:numPr>
        <w:jc w:val="both"/>
      </w:pPr>
      <w:r w:rsidRPr="00027B5C">
        <w:rPr>
          <w:b/>
          <w:bCs/>
          <w:i/>
          <w:iCs/>
          <w:sz w:val="20"/>
          <w:szCs w:val="20"/>
        </w:rPr>
        <w:t>We are exposed to foreign currency fluctuation risks, particularly in relation to import of raw materials</w:t>
      </w:r>
      <w:r>
        <w:rPr>
          <w:b/>
          <w:bCs/>
          <w:i/>
          <w:iCs/>
          <w:sz w:val="20"/>
          <w:szCs w:val="20"/>
        </w:rPr>
        <w:t xml:space="preserve"> and</w:t>
      </w:r>
      <w:r w:rsidRPr="00027B5C">
        <w:rPr>
          <w:b/>
          <w:bCs/>
          <w:i/>
          <w:iCs/>
          <w:sz w:val="20"/>
          <w:szCs w:val="20"/>
        </w:rPr>
        <w:t xml:space="preserve"> export of products, which may adversely affect our results of operations, financial condition and cash flows. </w:t>
      </w:r>
    </w:p>
    <w:p w14:paraId="169E280F" w14:textId="1798164A" w:rsidR="00D55EC1" w:rsidRDefault="00D55EC1" w:rsidP="00D55EC1">
      <w:pPr>
        <w:widowControl w:val="0"/>
        <w:adjustRightInd w:val="0"/>
        <w:spacing w:after="0" w:line="240" w:lineRule="auto"/>
        <w:jc w:val="both"/>
        <w:textAlignment w:val="baseline"/>
        <w:rPr>
          <w:rFonts w:ascii="Times New Roman" w:hAnsi="Times New Roman"/>
          <w:color w:val="000000"/>
          <w:sz w:val="20"/>
          <w:szCs w:val="20"/>
        </w:rPr>
      </w:pPr>
      <w:r w:rsidRPr="00027B5C">
        <w:rPr>
          <w:rFonts w:ascii="Times New Roman" w:hAnsi="Times New Roman"/>
          <w:color w:val="000000"/>
          <w:sz w:val="20"/>
          <w:szCs w:val="20"/>
        </w:rPr>
        <w:lastRenderedPageBreak/>
        <w:t xml:space="preserve">We present our financial statements in Indian Rupees. However, given that </w:t>
      </w:r>
      <w:r>
        <w:rPr>
          <w:rFonts w:ascii="Times New Roman" w:hAnsi="Times New Roman"/>
          <w:color w:val="000000"/>
          <w:sz w:val="20"/>
          <w:szCs w:val="20"/>
        </w:rPr>
        <w:t xml:space="preserve">the revenue from </w:t>
      </w:r>
      <w:r w:rsidRPr="00027B5C">
        <w:rPr>
          <w:rFonts w:ascii="Times New Roman" w:hAnsi="Times New Roman"/>
          <w:color w:val="000000"/>
          <w:sz w:val="20"/>
          <w:szCs w:val="20"/>
        </w:rPr>
        <w:t xml:space="preserve">export </w:t>
      </w:r>
      <w:r>
        <w:rPr>
          <w:rFonts w:ascii="Times New Roman" w:hAnsi="Times New Roman"/>
          <w:color w:val="000000"/>
          <w:sz w:val="20"/>
          <w:szCs w:val="20"/>
        </w:rPr>
        <w:t>form significant portion of our total revenue, a large part</w:t>
      </w:r>
      <w:r w:rsidRPr="00027B5C">
        <w:rPr>
          <w:rFonts w:ascii="Times New Roman" w:hAnsi="Times New Roman"/>
          <w:color w:val="000000"/>
          <w:sz w:val="20"/>
          <w:szCs w:val="20"/>
        </w:rPr>
        <w:t xml:space="preserve"> of our business transactions is denominated in foreign currencies. Our revenue from exports for fiscal 2023 and 2022 was </w:t>
      </w:r>
      <w:r w:rsidR="001706A2" w:rsidRPr="00712F3C">
        <w:rPr>
          <w:rFonts w:ascii="Times New Roman" w:eastAsia="MS Mincho" w:hAnsi="Times New Roman"/>
          <w:sz w:val="20"/>
          <w:szCs w:val="20"/>
        </w:rPr>
        <w:t>₹</w:t>
      </w:r>
      <w:r w:rsidRPr="00027B5C">
        <w:rPr>
          <w:rFonts w:ascii="Times New Roman" w:hAnsi="Times New Roman"/>
          <w:color w:val="000000"/>
          <w:sz w:val="20"/>
          <w:szCs w:val="20"/>
        </w:rPr>
        <w:t xml:space="preserve"> 16</w:t>
      </w:r>
      <w:r w:rsidR="001706A2">
        <w:rPr>
          <w:rFonts w:ascii="Times New Roman" w:hAnsi="Times New Roman"/>
          <w:color w:val="000000"/>
          <w:sz w:val="20"/>
          <w:szCs w:val="20"/>
        </w:rPr>
        <w:t>,</w:t>
      </w:r>
      <w:r w:rsidRPr="00027B5C">
        <w:rPr>
          <w:rFonts w:ascii="Times New Roman" w:hAnsi="Times New Roman"/>
          <w:color w:val="000000"/>
          <w:sz w:val="20"/>
          <w:szCs w:val="20"/>
        </w:rPr>
        <w:t xml:space="preserve">235.87 lakhs and </w:t>
      </w:r>
      <w:r w:rsidR="001706A2" w:rsidRPr="00712F3C">
        <w:rPr>
          <w:rFonts w:ascii="Times New Roman" w:eastAsia="MS Mincho" w:hAnsi="Times New Roman"/>
          <w:sz w:val="20"/>
          <w:szCs w:val="20"/>
        </w:rPr>
        <w:t>₹</w:t>
      </w:r>
      <w:r w:rsidRPr="00027B5C">
        <w:rPr>
          <w:rFonts w:ascii="Times New Roman" w:hAnsi="Times New Roman"/>
          <w:color w:val="000000"/>
          <w:sz w:val="20"/>
          <w:szCs w:val="20"/>
        </w:rPr>
        <w:t xml:space="preserve"> 11</w:t>
      </w:r>
      <w:r w:rsidR="001706A2">
        <w:rPr>
          <w:rFonts w:ascii="Times New Roman" w:hAnsi="Times New Roman"/>
          <w:color w:val="000000"/>
          <w:sz w:val="20"/>
          <w:szCs w:val="20"/>
        </w:rPr>
        <w:t>,</w:t>
      </w:r>
      <w:r w:rsidRPr="00027B5C">
        <w:rPr>
          <w:rFonts w:ascii="Times New Roman" w:hAnsi="Times New Roman"/>
          <w:color w:val="000000"/>
          <w:sz w:val="20"/>
          <w:szCs w:val="20"/>
        </w:rPr>
        <w:t xml:space="preserve">335.13 lakhs respectively which constituted 32.94% and 26.78% of our revenue from operations for the respective fiscal. Further, our raw materials such as </w:t>
      </w:r>
      <w:r>
        <w:rPr>
          <w:rFonts w:ascii="Times New Roman" w:hAnsi="Times New Roman"/>
          <w:color w:val="000000"/>
          <w:sz w:val="20"/>
          <w:szCs w:val="20"/>
        </w:rPr>
        <w:t xml:space="preserve">brass scrap which is mainly imported by us is </w:t>
      </w:r>
      <w:r w:rsidRPr="00027B5C">
        <w:rPr>
          <w:rFonts w:ascii="Times New Roman" w:hAnsi="Times New Roman"/>
          <w:color w:val="000000"/>
          <w:sz w:val="20"/>
          <w:szCs w:val="20"/>
        </w:rPr>
        <w:t>priced by reference to benchmarks quoted in US dollars, and hence our expenditures are largely influenced by the value of the US dollar.</w:t>
      </w:r>
      <w:r>
        <w:rPr>
          <w:rFonts w:ascii="Times New Roman" w:hAnsi="Times New Roman"/>
          <w:color w:val="000000"/>
          <w:sz w:val="20"/>
          <w:szCs w:val="20"/>
        </w:rPr>
        <w:t xml:space="preserve">  </w:t>
      </w:r>
      <w:r w:rsidRPr="001E3638">
        <w:rPr>
          <w:rFonts w:ascii="Times New Roman" w:hAnsi="Times New Roman"/>
          <w:color w:val="000000"/>
          <w:sz w:val="20"/>
          <w:szCs w:val="20"/>
        </w:rPr>
        <w:t xml:space="preserve">Depreciation of the Indian Rupee against the USD may adversely affect our results of operations by increasing the cost of the raw materials we import or any proposed capital expenditure in foreign currencies. Although we generally seek to pass exchange rate fluctuations through to our customers through increases in our prices, there can be no assurance that we will be able to do so immediately or fully, which could adversely affect our business, financial condition, results of operations and cash flows.  </w:t>
      </w:r>
      <w:r>
        <w:rPr>
          <w:rFonts w:ascii="Times New Roman" w:hAnsi="Times New Roman"/>
          <w:color w:val="000000"/>
          <w:sz w:val="20"/>
          <w:szCs w:val="20"/>
        </w:rPr>
        <w:t>Thus, o</w:t>
      </w:r>
      <w:r w:rsidRPr="00641801">
        <w:rPr>
          <w:rFonts w:ascii="Times New Roman" w:hAnsi="Times New Roman"/>
          <w:color w:val="000000"/>
          <w:sz w:val="20"/>
          <w:szCs w:val="20"/>
        </w:rPr>
        <w:t>ur global operations exposes us to foreign exchange rate risks, arising primarily from our receivables, payables, export and import of goods. There can be no guarantee that such fluctuations will not affect our financial performance in the future as we continue to expand our operations globally.</w:t>
      </w:r>
    </w:p>
    <w:p w14:paraId="4C738E68" w14:textId="77777777" w:rsidR="00D55EC1" w:rsidRDefault="00D55EC1" w:rsidP="00D55EC1">
      <w:pPr>
        <w:widowControl w:val="0"/>
        <w:adjustRightInd w:val="0"/>
        <w:spacing w:after="0" w:line="240" w:lineRule="auto"/>
        <w:jc w:val="both"/>
        <w:textAlignment w:val="baseline"/>
        <w:rPr>
          <w:rFonts w:ascii="Times New Roman" w:hAnsi="Times New Roman"/>
          <w:color w:val="000000"/>
          <w:sz w:val="20"/>
          <w:szCs w:val="20"/>
        </w:rPr>
      </w:pPr>
    </w:p>
    <w:p w14:paraId="082B0626" w14:textId="77777777" w:rsidR="00D55EC1" w:rsidRPr="00641801" w:rsidRDefault="00D55EC1" w:rsidP="00F038BD">
      <w:pPr>
        <w:pStyle w:val="ListParagraph"/>
        <w:numPr>
          <w:ilvl w:val="0"/>
          <w:numId w:val="150"/>
        </w:numPr>
        <w:spacing w:line="240" w:lineRule="auto"/>
        <w:contextualSpacing/>
        <w:jc w:val="both"/>
        <w:rPr>
          <w:b/>
          <w:bCs/>
          <w:i/>
          <w:iCs/>
          <w:sz w:val="20"/>
          <w:szCs w:val="20"/>
        </w:rPr>
      </w:pPr>
      <w:r w:rsidRPr="00641801">
        <w:rPr>
          <w:b/>
          <w:bCs/>
          <w:i/>
          <w:iCs/>
          <w:sz w:val="20"/>
          <w:szCs w:val="20"/>
        </w:rPr>
        <w:t>We are heavily dependent on our Promoter and Key Managerial Personnel for the continued success of our business through their continuing services and strategic guidance and support.</w:t>
      </w:r>
    </w:p>
    <w:p w14:paraId="75979586" w14:textId="77777777" w:rsidR="00D55EC1" w:rsidRPr="00641801" w:rsidRDefault="00D55EC1" w:rsidP="00D55EC1">
      <w:pPr>
        <w:widowControl w:val="0"/>
        <w:autoSpaceDE w:val="0"/>
        <w:autoSpaceDN w:val="0"/>
        <w:adjustRightInd w:val="0"/>
        <w:spacing w:after="0" w:line="240" w:lineRule="auto"/>
        <w:jc w:val="both"/>
        <w:textAlignment w:val="baseline"/>
        <w:rPr>
          <w:rFonts w:ascii="Times New Roman" w:hAnsi="Times New Roman"/>
          <w:sz w:val="20"/>
          <w:szCs w:val="20"/>
        </w:rPr>
      </w:pPr>
    </w:p>
    <w:p w14:paraId="53503EF3" w14:textId="77777777" w:rsidR="00D55EC1" w:rsidRDefault="00D55EC1" w:rsidP="00D55EC1">
      <w:pPr>
        <w:spacing w:after="0" w:line="240" w:lineRule="auto"/>
        <w:jc w:val="both"/>
        <w:rPr>
          <w:rFonts w:ascii="Times New Roman" w:hAnsi="Times New Roman"/>
          <w:sz w:val="20"/>
          <w:szCs w:val="20"/>
        </w:rPr>
      </w:pPr>
      <w:r w:rsidRPr="00641801">
        <w:rPr>
          <w:rFonts w:ascii="Times New Roman" w:hAnsi="Times New Roman"/>
          <w:sz w:val="20"/>
          <w:szCs w:val="20"/>
        </w:rPr>
        <w:t xml:space="preserve">Our success heavily depends upon the continued services of our Promoter and Key managerial personnel, particularly </w:t>
      </w:r>
      <w:r w:rsidRPr="005702DF">
        <w:rPr>
          <w:rFonts w:ascii="Times New Roman" w:hAnsi="Times New Roman"/>
          <w:sz w:val="20"/>
          <w:szCs w:val="20"/>
        </w:rPr>
        <w:t xml:space="preserve">Mr. </w:t>
      </w:r>
      <w:r w:rsidRPr="005702DF">
        <w:rPr>
          <w:rFonts w:ascii="Times New Roman" w:hAnsi="Times New Roman"/>
          <w:bCs/>
          <w:sz w:val="20"/>
          <w:szCs w:val="20"/>
        </w:rPr>
        <w:t>Ramgopal Ochhavlal Maheshwari</w:t>
      </w:r>
      <w:r w:rsidRPr="00641801">
        <w:rPr>
          <w:rFonts w:ascii="Times New Roman" w:hAnsi="Times New Roman"/>
          <w:sz w:val="20"/>
          <w:szCs w:val="20"/>
        </w:rPr>
        <w:t xml:space="preserve"> and Mr. </w:t>
      </w:r>
      <w:r w:rsidRPr="005702DF">
        <w:rPr>
          <w:rFonts w:ascii="Times New Roman" w:hAnsi="Times New Roman"/>
          <w:sz w:val="20"/>
          <w:szCs w:val="20"/>
        </w:rPr>
        <w:t xml:space="preserve">Mr. </w:t>
      </w:r>
      <w:r w:rsidRPr="005702DF">
        <w:rPr>
          <w:rFonts w:ascii="Times New Roman" w:hAnsi="Times New Roman"/>
          <w:bCs/>
          <w:sz w:val="20"/>
          <w:szCs w:val="20"/>
        </w:rPr>
        <w:t>Bhavesh Ramgopal Maheshwari</w:t>
      </w:r>
      <w:r w:rsidRPr="00641801">
        <w:rPr>
          <w:rFonts w:ascii="Times New Roman" w:hAnsi="Times New Roman"/>
          <w:sz w:val="20"/>
          <w:szCs w:val="20"/>
        </w:rPr>
        <w:t>. We depend significantly on them for executing our day</w:t>
      </w:r>
      <w:r>
        <w:rPr>
          <w:rFonts w:ascii="Times New Roman" w:hAnsi="Times New Roman"/>
          <w:sz w:val="20"/>
          <w:szCs w:val="20"/>
        </w:rPr>
        <w:t>-</w:t>
      </w:r>
      <w:r w:rsidRPr="00641801">
        <w:rPr>
          <w:rFonts w:ascii="Times New Roman" w:hAnsi="Times New Roman"/>
          <w:sz w:val="20"/>
          <w:szCs w:val="20"/>
        </w:rPr>
        <w:t>to</w:t>
      </w:r>
      <w:r>
        <w:rPr>
          <w:rFonts w:ascii="Times New Roman" w:hAnsi="Times New Roman"/>
          <w:sz w:val="20"/>
          <w:szCs w:val="20"/>
        </w:rPr>
        <w:t>-</w:t>
      </w:r>
      <w:r w:rsidRPr="00641801">
        <w:rPr>
          <w:rFonts w:ascii="Times New Roman" w:hAnsi="Times New Roman"/>
          <w:sz w:val="20"/>
          <w:szCs w:val="20"/>
        </w:rPr>
        <w:t xml:space="preserve">day activities. The loss of any of our Promoter or Key Management Personnel, or failure to recruit suitable or comparable replacements, could have an adverse effect on us. The loss of service of the Promoters and other senior management could seriously impair the ability to continue to manage and expand the business efficiently. If we are unable to retain qualified employees at a reasonable cost, we may be unable to execute our growth strategy. For further details of our Directors and key managerial personnel, please refer to Section </w:t>
      </w:r>
      <w:r w:rsidRPr="00641801">
        <w:rPr>
          <w:rFonts w:ascii="Times New Roman" w:hAnsi="Times New Roman"/>
          <w:b/>
          <w:i/>
          <w:sz w:val="20"/>
          <w:szCs w:val="20"/>
        </w:rPr>
        <w:t>“Our Management”</w:t>
      </w:r>
      <w:r w:rsidRPr="00641801">
        <w:rPr>
          <w:rFonts w:ascii="Times New Roman" w:hAnsi="Times New Roman"/>
          <w:sz w:val="20"/>
          <w:szCs w:val="20"/>
        </w:rPr>
        <w:t xml:space="preserve"> on page 131 of this Draft Prospectus.</w:t>
      </w:r>
    </w:p>
    <w:p w14:paraId="3D542831" w14:textId="77777777" w:rsidR="00122F84" w:rsidRDefault="00122F84" w:rsidP="00D55EC1">
      <w:pPr>
        <w:spacing w:after="0" w:line="240" w:lineRule="auto"/>
        <w:jc w:val="both"/>
        <w:rPr>
          <w:rFonts w:ascii="Times New Roman" w:hAnsi="Times New Roman"/>
          <w:sz w:val="20"/>
          <w:szCs w:val="20"/>
        </w:rPr>
      </w:pPr>
    </w:p>
    <w:p w14:paraId="7C1AB893" w14:textId="77777777" w:rsidR="00122F84" w:rsidRPr="00D218F0" w:rsidRDefault="00122F84" w:rsidP="00122F84">
      <w:pPr>
        <w:pStyle w:val="ListParagraph"/>
        <w:numPr>
          <w:ilvl w:val="0"/>
          <w:numId w:val="150"/>
        </w:numPr>
        <w:spacing w:line="240" w:lineRule="auto"/>
        <w:contextualSpacing/>
        <w:jc w:val="both"/>
        <w:rPr>
          <w:b/>
          <w:bCs/>
          <w:i/>
          <w:iCs/>
          <w:sz w:val="20"/>
          <w:szCs w:val="20"/>
        </w:rPr>
      </w:pPr>
      <w:r w:rsidRPr="00D218F0">
        <w:rPr>
          <w:b/>
          <w:bCs/>
          <w:i/>
          <w:iCs/>
          <w:sz w:val="20"/>
          <w:szCs w:val="20"/>
        </w:rPr>
        <w:t>There are certain discrepancies/errors noticed in some of our corporate records relating to forms filed with the Registrar of Companies and certain non-compliances of provisions of Companies Act, 2013. Any penalty or action taken by any regulatory authorizes in future, for non-compliance with provisions of corporate or any other law could impact the financial position of the Company to that extent.</w:t>
      </w:r>
    </w:p>
    <w:p w14:paraId="2827D9D6" w14:textId="77777777" w:rsidR="00122F84" w:rsidRPr="00D218F0" w:rsidRDefault="00122F84" w:rsidP="00122F84">
      <w:pPr>
        <w:pStyle w:val="ListParagraph"/>
        <w:spacing w:line="240" w:lineRule="auto"/>
        <w:ind w:left="360"/>
        <w:contextualSpacing/>
        <w:jc w:val="both"/>
        <w:rPr>
          <w:b/>
          <w:bCs/>
          <w:i/>
          <w:iCs/>
          <w:sz w:val="20"/>
          <w:szCs w:val="20"/>
        </w:rPr>
      </w:pPr>
    </w:p>
    <w:p w14:paraId="1BDCB917" w14:textId="77777777" w:rsidR="00122F84" w:rsidRPr="00D218F0" w:rsidRDefault="00122F84" w:rsidP="00122F84">
      <w:pPr>
        <w:spacing w:after="0" w:line="240" w:lineRule="auto"/>
        <w:jc w:val="both"/>
        <w:rPr>
          <w:rFonts w:ascii="Times New Roman" w:hAnsi="Times New Roman"/>
          <w:sz w:val="20"/>
          <w:szCs w:val="20"/>
        </w:rPr>
      </w:pPr>
      <w:r w:rsidRPr="00D218F0">
        <w:rPr>
          <w:rFonts w:ascii="Times New Roman" w:hAnsi="Times New Roman"/>
          <w:sz w:val="20"/>
          <w:szCs w:val="20"/>
        </w:rPr>
        <w:t xml:space="preserve">There are few discrepancies noticed in some of our corporate records relating to e-forms filed with the Registrar of Companies, which inter-alia includes clerical errors in the Annual Returns filed by our Company with the ROC in past years, for instance, the company has not shown holding company in form filed with ROC. </w:t>
      </w:r>
    </w:p>
    <w:p w14:paraId="7DB572BB" w14:textId="77777777" w:rsidR="00122F84" w:rsidRPr="00D218F0" w:rsidRDefault="00122F84" w:rsidP="00122F84">
      <w:pPr>
        <w:spacing w:after="0" w:line="240" w:lineRule="auto"/>
        <w:jc w:val="both"/>
        <w:rPr>
          <w:rFonts w:ascii="Times New Roman" w:hAnsi="Times New Roman"/>
          <w:sz w:val="20"/>
          <w:szCs w:val="20"/>
        </w:rPr>
      </w:pPr>
    </w:p>
    <w:p w14:paraId="34FF65CC" w14:textId="77777777" w:rsidR="00122F84" w:rsidRDefault="00122F84" w:rsidP="00122F84">
      <w:pPr>
        <w:spacing w:after="0" w:line="240" w:lineRule="auto"/>
        <w:jc w:val="both"/>
        <w:rPr>
          <w:rFonts w:ascii="Times New Roman" w:hAnsi="Times New Roman"/>
          <w:sz w:val="20"/>
          <w:szCs w:val="20"/>
        </w:rPr>
      </w:pPr>
      <w:r w:rsidRPr="00D218F0">
        <w:rPr>
          <w:rFonts w:ascii="Times New Roman" w:hAnsi="Times New Roman"/>
          <w:sz w:val="20"/>
          <w:szCs w:val="20"/>
        </w:rPr>
        <w:t xml:space="preserve">In addition, our Company was required to appoint Company Secretary from the F.Y. 2017-18 as the paid-up share capital of the company exceeded the limits prescribed under the Companies Act, 2013, at that time, but such appointment was done by the company in F.Y. </w:t>
      </w:r>
      <w:r w:rsidRPr="00AF33A9">
        <w:rPr>
          <w:rFonts w:ascii="Times New Roman" w:hAnsi="Times New Roman"/>
          <w:sz w:val="20"/>
          <w:szCs w:val="20"/>
        </w:rPr>
        <w:t>2021-22. Further, the pursuant to meeting the threshold limit for Cost Audit our Company failed to appoint the cost auditor and comply with provision of section 148 of the Companies Act, 2013 from FY 2021-22 however the company has now appointed the Cost auditor for completing the audit of the company</w:t>
      </w:r>
      <w:r>
        <w:rPr>
          <w:rFonts w:ascii="Times New Roman" w:hAnsi="Times New Roman"/>
          <w:sz w:val="20"/>
          <w:szCs w:val="20"/>
        </w:rPr>
        <w:t xml:space="preserve"> which is in under process</w:t>
      </w:r>
      <w:r w:rsidRPr="00AF33A9">
        <w:rPr>
          <w:rFonts w:ascii="Times New Roman" w:hAnsi="Times New Roman"/>
          <w:sz w:val="20"/>
          <w:szCs w:val="20"/>
        </w:rPr>
        <w:t xml:space="preserve">. </w:t>
      </w:r>
    </w:p>
    <w:p w14:paraId="44F1124F" w14:textId="77777777" w:rsidR="00122F84" w:rsidRDefault="00122F84" w:rsidP="00122F84">
      <w:pPr>
        <w:spacing w:after="0" w:line="240" w:lineRule="auto"/>
        <w:jc w:val="both"/>
        <w:rPr>
          <w:rFonts w:ascii="Times New Roman" w:hAnsi="Times New Roman"/>
          <w:sz w:val="20"/>
          <w:szCs w:val="20"/>
        </w:rPr>
      </w:pPr>
    </w:p>
    <w:p w14:paraId="6F583A50" w14:textId="77777777" w:rsidR="00122F84" w:rsidRPr="00AF33A9" w:rsidRDefault="00122F84" w:rsidP="00122F84">
      <w:pPr>
        <w:spacing w:after="0" w:line="240" w:lineRule="auto"/>
        <w:jc w:val="both"/>
        <w:rPr>
          <w:rFonts w:ascii="Times New Roman" w:hAnsi="Times New Roman"/>
          <w:sz w:val="20"/>
          <w:szCs w:val="20"/>
        </w:rPr>
      </w:pPr>
      <w:r w:rsidRPr="00466EAD">
        <w:rPr>
          <w:rFonts w:ascii="Times New Roman" w:hAnsi="Times New Roman"/>
          <w:sz w:val="20"/>
          <w:szCs w:val="20"/>
        </w:rPr>
        <w:t>Further, our company has in the past made certain advances to relatives</w:t>
      </w:r>
      <w:r>
        <w:rPr>
          <w:rFonts w:ascii="Times New Roman" w:hAnsi="Times New Roman"/>
          <w:sz w:val="20"/>
          <w:szCs w:val="20"/>
        </w:rPr>
        <w:t xml:space="preserve"> </w:t>
      </w:r>
      <w:r w:rsidRPr="00466EAD">
        <w:rPr>
          <w:rFonts w:ascii="Times New Roman" w:hAnsi="Times New Roman"/>
          <w:sz w:val="20"/>
          <w:szCs w:val="20"/>
        </w:rPr>
        <w:t xml:space="preserve">of Director </w:t>
      </w:r>
      <w:r>
        <w:rPr>
          <w:rFonts w:ascii="Times New Roman" w:hAnsi="Times New Roman"/>
          <w:sz w:val="20"/>
          <w:szCs w:val="20"/>
        </w:rPr>
        <w:t xml:space="preserve">&amp; relatives of directors </w:t>
      </w:r>
      <w:r w:rsidRPr="00466EAD">
        <w:rPr>
          <w:rFonts w:ascii="Times New Roman" w:hAnsi="Times New Roman"/>
          <w:sz w:val="20"/>
          <w:szCs w:val="20"/>
        </w:rPr>
        <w:t>which is a non-compliance of Section 185 of the Companies Act, 2013,</w:t>
      </w:r>
      <w:r>
        <w:rPr>
          <w:rFonts w:ascii="Times New Roman" w:hAnsi="Times New Roman"/>
          <w:sz w:val="20"/>
          <w:szCs w:val="20"/>
        </w:rPr>
        <w:t xml:space="preserve"> h</w:t>
      </w:r>
      <w:r w:rsidRPr="00466EAD">
        <w:rPr>
          <w:rFonts w:ascii="Times New Roman" w:hAnsi="Times New Roman"/>
          <w:sz w:val="20"/>
          <w:szCs w:val="20"/>
        </w:rPr>
        <w:t>owever no such amount is outstanding as on March 31, 2023</w:t>
      </w:r>
      <w:r>
        <w:rPr>
          <w:rFonts w:ascii="Times New Roman" w:hAnsi="Times New Roman"/>
          <w:sz w:val="20"/>
          <w:szCs w:val="20"/>
        </w:rPr>
        <w:t xml:space="preserve">. </w:t>
      </w:r>
      <w:r w:rsidRPr="00466EAD">
        <w:rPr>
          <w:rFonts w:ascii="Times New Roman" w:hAnsi="Times New Roman"/>
          <w:sz w:val="20"/>
          <w:szCs w:val="20"/>
        </w:rPr>
        <w:t>Further our company had accepted loan in noncompliance of provisions of section 73 of Companies Act 2013 in the year 2019-20, however the same was repaid during</w:t>
      </w:r>
      <w:r>
        <w:rPr>
          <w:rFonts w:ascii="Times New Roman" w:hAnsi="Times New Roman"/>
          <w:sz w:val="20"/>
          <w:szCs w:val="20"/>
        </w:rPr>
        <w:t xml:space="preserve"> </w:t>
      </w:r>
      <w:r w:rsidRPr="00466EAD">
        <w:rPr>
          <w:rFonts w:ascii="Times New Roman" w:hAnsi="Times New Roman"/>
          <w:sz w:val="20"/>
          <w:szCs w:val="20"/>
        </w:rPr>
        <w:t>that year itself.</w:t>
      </w:r>
      <w:r>
        <w:rPr>
          <w:rFonts w:ascii="Times New Roman" w:hAnsi="Times New Roman"/>
          <w:sz w:val="20"/>
          <w:szCs w:val="20"/>
        </w:rPr>
        <w:t xml:space="preserve"> </w:t>
      </w:r>
      <w:r w:rsidRPr="00AF33A9">
        <w:rPr>
          <w:rFonts w:ascii="Times New Roman" w:hAnsi="Times New Roman"/>
          <w:sz w:val="20"/>
          <w:szCs w:val="20"/>
        </w:rPr>
        <w:t>In case of any action being taken by the regulatory authorities against the Company and/or its officers, the same may have an adverse effect on our business, financial conditions and result of operations.</w:t>
      </w:r>
    </w:p>
    <w:p w14:paraId="26C1F232" w14:textId="77777777" w:rsidR="00122F84" w:rsidRPr="00AF33A9" w:rsidRDefault="00122F84" w:rsidP="00122F84">
      <w:pPr>
        <w:spacing w:after="0" w:line="240" w:lineRule="auto"/>
        <w:jc w:val="both"/>
        <w:rPr>
          <w:rFonts w:ascii="Times New Roman" w:hAnsi="Times New Roman"/>
          <w:sz w:val="20"/>
          <w:szCs w:val="20"/>
        </w:rPr>
      </w:pPr>
    </w:p>
    <w:p w14:paraId="797527A0" w14:textId="77777777" w:rsidR="00122F84" w:rsidRPr="00AF33A9" w:rsidRDefault="00122F84" w:rsidP="00122F84">
      <w:pPr>
        <w:spacing w:after="0" w:line="240" w:lineRule="auto"/>
        <w:jc w:val="both"/>
        <w:rPr>
          <w:rFonts w:ascii="Times New Roman" w:hAnsi="Times New Roman"/>
          <w:sz w:val="20"/>
          <w:szCs w:val="20"/>
        </w:rPr>
      </w:pPr>
      <w:r w:rsidRPr="00AF33A9">
        <w:rPr>
          <w:rFonts w:ascii="Times New Roman" w:hAnsi="Times New Roman"/>
          <w:sz w:val="20"/>
          <w:szCs w:val="20"/>
        </w:rPr>
        <w:t xml:space="preserve">Further, our company has not complied with certain Accounting Standards in the past such as AS -15 (Accounting for Employee Benefits) in respect of actuarial valuation of gratuity and AS-11 (The Effects of Changes in Foreign Exchange Rates), however the same have been duly complied by us in the restated financial statements. </w:t>
      </w:r>
    </w:p>
    <w:p w14:paraId="7B60798C" w14:textId="6A5F9167" w:rsidR="00D55EC1" w:rsidRPr="005702DF" w:rsidRDefault="00D55EC1" w:rsidP="00D55EC1">
      <w:pPr>
        <w:spacing w:after="0" w:line="240" w:lineRule="auto"/>
        <w:jc w:val="both"/>
        <w:rPr>
          <w:rFonts w:ascii="Times New Roman" w:hAnsi="Times New Roman"/>
          <w:color w:val="222222"/>
          <w:sz w:val="20"/>
          <w:szCs w:val="20"/>
          <w:highlight w:val="yellow"/>
          <w:lang w:eastAsia="en-IN"/>
        </w:rPr>
      </w:pPr>
    </w:p>
    <w:p w14:paraId="6B437D4F" w14:textId="77777777" w:rsidR="00D55EC1" w:rsidRPr="00641801" w:rsidRDefault="00D55EC1" w:rsidP="00F038BD">
      <w:pPr>
        <w:pStyle w:val="ListParagraph"/>
        <w:numPr>
          <w:ilvl w:val="0"/>
          <w:numId w:val="150"/>
        </w:numPr>
        <w:spacing w:line="240" w:lineRule="auto"/>
        <w:contextualSpacing/>
        <w:jc w:val="both"/>
        <w:rPr>
          <w:b/>
          <w:bCs/>
          <w:i/>
          <w:iCs/>
          <w:sz w:val="20"/>
          <w:szCs w:val="20"/>
        </w:rPr>
      </w:pPr>
      <w:r w:rsidRPr="00641801">
        <w:rPr>
          <w:b/>
          <w:bCs/>
          <w:i/>
          <w:iCs/>
          <w:sz w:val="20"/>
          <w:szCs w:val="20"/>
        </w:rPr>
        <w:t xml:space="preserve">We have in the past entered into related party transactions and may continue to do so in the future. </w:t>
      </w:r>
    </w:p>
    <w:p w14:paraId="172B3C4F" w14:textId="77777777" w:rsidR="00D55EC1" w:rsidRPr="00641801" w:rsidRDefault="00D55EC1" w:rsidP="00D55EC1">
      <w:pPr>
        <w:widowControl w:val="0"/>
        <w:adjustRightInd w:val="0"/>
        <w:spacing w:after="0" w:line="240" w:lineRule="auto"/>
        <w:jc w:val="both"/>
        <w:textAlignment w:val="baseline"/>
        <w:rPr>
          <w:rFonts w:ascii="Times New Roman" w:hAnsi="Times New Roman"/>
          <w:sz w:val="20"/>
          <w:szCs w:val="20"/>
          <w:highlight w:val="yellow"/>
        </w:rPr>
      </w:pPr>
    </w:p>
    <w:p w14:paraId="70B558DF" w14:textId="77777777" w:rsidR="00D55EC1" w:rsidRPr="005702DF" w:rsidRDefault="00D55EC1" w:rsidP="00D55EC1">
      <w:pPr>
        <w:widowControl w:val="0"/>
        <w:adjustRightInd w:val="0"/>
        <w:spacing w:after="0" w:line="240" w:lineRule="auto"/>
        <w:jc w:val="both"/>
        <w:textAlignment w:val="baseline"/>
        <w:rPr>
          <w:rFonts w:ascii="Times New Roman" w:hAnsi="Times New Roman"/>
          <w:sz w:val="20"/>
          <w:szCs w:val="20"/>
        </w:rPr>
      </w:pPr>
      <w:r w:rsidRPr="00641801">
        <w:rPr>
          <w:rFonts w:ascii="Times New Roman" w:hAnsi="Times New Roman"/>
          <w:sz w:val="20"/>
          <w:szCs w:val="20"/>
        </w:rPr>
        <w:t xml:space="preserve">Our Company has entered into various transactions with our Directors, Promoters and Promoter Group members/entities. These transactions, inter-alia includes, issue of shares, rent, interest payments, remuneration, loans and advances, reimbursements etc.  For details, please refer to </w:t>
      </w:r>
      <w:r w:rsidRPr="00641801">
        <w:rPr>
          <w:rFonts w:ascii="Times New Roman" w:hAnsi="Times New Roman"/>
          <w:b/>
          <w:i/>
          <w:sz w:val="20"/>
          <w:szCs w:val="20"/>
        </w:rPr>
        <w:t xml:space="preserve">Note </w:t>
      </w:r>
      <w:r>
        <w:rPr>
          <w:rFonts w:ascii="Times New Roman" w:hAnsi="Times New Roman"/>
          <w:b/>
          <w:i/>
          <w:sz w:val="20"/>
          <w:szCs w:val="20"/>
        </w:rPr>
        <w:t>W</w:t>
      </w:r>
      <w:r w:rsidRPr="00641801">
        <w:rPr>
          <w:rFonts w:ascii="Times New Roman" w:hAnsi="Times New Roman"/>
          <w:b/>
          <w:i/>
          <w:sz w:val="20"/>
          <w:szCs w:val="20"/>
        </w:rPr>
        <w:t xml:space="preserve"> - Related Party Transactions”</w:t>
      </w:r>
      <w:r w:rsidRPr="00641801">
        <w:rPr>
          <w:rFonts w:ascii="Times New Roman" w:hAnsi="Times New Roman"/>
          <w:sz w:val="20"/>
          <w:szCs w:val="20"/>
        </w:rPr>
        <w:t xml:space="preserve"> under Section titled </w:t>
      </w:r>
      <w:r w:rsidRPr="00641801">
        <w:rPr>
          <w:rFonts w:ascii="Times New Roman" w:hAnsi="Times New Roman"/>
          <w:b/>
          <w:i/>
          <w:sz w:val="20"/>
          <w:szCs w:val="20"/>
        </w:rPr>
        <w:t>“Financial Information of the Company”</w:t>
      </w:r>
      <w:r w:rsidRPr="00641801">
        <w:rPr>
          <w:rFonts w:ascii="Times New Roman" w:hAnsi="Times New Roman"/>
          <w:sz w:val="20"/>
          <w:szCs w:val="20"/>
        </w:rPr>
        <w:t xml:space="preserve"> and </w:t>
      </w:r>
      <w:r w:rsidRPr="0058568E">
        <w:rPr>
          <w:rFonts w:ascii="Times New Roman" w:hAnsi="Times New Roman"/>
          <w:sz w:val="20"/>
          <w:szCs w:val="20"/>
        </w:rPr>
        <w:t xml:space="preserve">Chapter titled </w:t>
      </w:r>
      <w:r w:rsidRPr="0058568E">
        <w:rPr>
          <w:rFonts w:ascii="Times New Roman" w:hAnsi="Times New Roman"/>
          <w:b/>
          <w:i/>
          <w:sz w:val="20"/>
          <w:szCs w:val="20"/>
        </w:rPr>
        <w:t>“Capital Structure”</w:t>
      </w:r>
      <w:r w:rsidRPr="0058568E">
        <w:rPr>
          <w:rFonts w:ascii="Times New Roman" w:hAnsi="Times New Roman"/>
          <w:sz w:val="20"/>
          <w:szCs w:val="20"/>
        </w:rPr>
        <w:t xml:space="preserve"> beginning on page 191 and 59 respectively of this Draft Prospectus. </w:t>
      </w:r>
      <w:r w:rsidRPr="005702DF">
        <w:rPr>
          <w:rFonts w:ascii="Times New Roman" w:hAnsi="Times New Roman"/>
          <w:sz w:val="20"/>
          <w:szCs w:val="20"/>
        </w:rPr>
        <w:t>Our Company has entered into such transactions due to easy proximity and quick execution. While we believe that all such transactions have been conducted on an arm’s length basis and in the ordinary course of business, there can be no assurance that we could not have achieved more favorable terms had such transactions not been entered into with related parties. Furthermore, it is likely that we may enter into related party transactions in the future. Any future transactions with our related parties could potentially involve conflicts of interest. Accordingly, there can be no assurance that such transactions, individually or in the aggregate, will not have a material adverse effect on our business, financial condition, cash flows, results of operations and prospects.</w:t>
      </w:r>
    </w:p>
    <w:p w14:paraId="781F495C" w14:textId="77777777" w:rsidR="00D55EC1" w:rsidRPr="00641801" w:rsidRDefault="00D55EC1" w:rsidP="00D55EC1">
      <w:pPr>
        <w:widowControl w:val="0"/>
        <w:adjustRightInd w:val="0"/>
        <w:spacing w:after="0" w:line="240" w:lineRule="auto"/>
        <w:jc w:val="both"/>
        <w:textAlignment w:val="baseline"/>
        <w:rPr>
          <w:rFonts w:ascii="Times New Roman" w:hAnsi="Times New Roman"/>
          <w:sz w:val="20"/>
          <w:szCs w:val="20"/>
        </w:rPr>
      </w:pPr>
    </w:p>
    <w:p w14:paraId="634E536B" w14:textId="77777777" w:rsidR="00D55EC1" w:rsidRPr="00FD38E3" w:rsidRDefault="00D55EC1" w:rsidP="00F038BD">
      <w:pPr>
        <w:pStyle w:val="ListParagraph"/>
        <w:numPr>
          <w:ilvl w:val="0"/>
          <w:numId w:val="150"/>
        </w:numPr>
        <w:spacing w:line="240" w:lineRule="auto"/>
        <w:contextualSpacing/>
        <w:jc w:val="both"/>
        <w:rPr>
          <w:b/>
          <w:bCs/>
          <w:i/>
          <w:iCs/>
          <w:sz w:val="20"/>
          <w:szCs w:val="20"/>
        </w:rPr>
      </w:pPr>
      <w:r w:rsidRPr="00FD38E3">
        <w:rPr>
          <w:b/>
          <w:bCs/>
          <w:i/>
          <w:iCs/>
          <w:sz w:val="20"/>
          <w:szCs w:val="20"/>
        </w:rPr>
        <w:lastRenderedPageBreak/>
        <w:t xml:space="preserve"> Our Company had negative </w:t>
      </w:r>
      <w:r>
        <w:rPr>
          <w:b/>
          <w:bCs/>
          <w:i/>
          <w:iCs/>
          <w:sz w:val="20"/>
          <w:szCs w:val="20"/>
          <w:lang w:val="en-US"/>
        </w:rPr>
        <w:t xml:space="preserve">operating </w:t>
      </w:r>
      <w:r w:rsidRPr="00FD38E3">
        <w:rPr>
          <w:b/>
          <w:bCs/>
          <w:i/>
          <w:iCs/>
          <w:sz w:val="20"/>
          <w:szCs w:val="20"/>
        </w:rPr>
        <w:t xml:space="preserve">cash flow in recent fiscals, details of which are given below. Sustained negative cash flow could adversely impact our business, financial condition and results of operations. </w:t>
      </w:r>
    </w:p>
    <w:p w14:paraId="4EE31998" w14:textId="77777777" w:rsidR="00D55EC1" w:rsidRDefault="00D55EC1" w:rsidP="00D55EC1">
      <w:pPr>
        <w:widowControl w:val="0"/>
        <w:adjustRightInd w:val="0"/>
        <w:spacing w:after="0" w:line="240" w:lineRule="auto"/>
        <w:jc w:val="both"/>
        <w:textAlignment w:val="baseline"/>
        <w:rPr>
          <w:rFonts w:ascii="Times New Roman" w:hAnsi="Times New Roman"/>
          <w:sz w:val="20"/>
          <w:szCs w:val="20"/>
        </w:rPr>
      </w:pPr>
    </w:p>
    <w:p w14:paraId="7959C15E" w14:textId="77777777" w:rsidR="00D55EC1" w:rsidRDefault="00D55EC1" w:rsidP="00D55EC1">
      <w:pPr>
        <w:widowControl w:val="0"/>
        <w:adjustRightInd w:val="0"/>
        <w:spacing w:after="0" w:line="240" w:lineRule="auto"/>
        <w:jc w:val="both"/>
        <w:textAlignment w:val="baseline"/>
        <w:rPr>
          <w:rFonts w:ascii="Times New Roman" w:hAnsi="Times New Roman"/>
          <w:sz w:val="20"/>
          <w:szCs w:val="20"/>
        </w:rPr>
      </w:pPr>
      <w:r w:rsidRPr="00FD38E3">
        <w:rPr>
          <w:rFonts w:ascii="Times New Roman" w:hAnsi="Times New Roman"/>
          <w:sz w:val="20"/>
          <w:szCs w:val="20"/>
        </w:rPr>
        <w:t xml:space="preserve">The detailed break up of </w:t>
      </w:r>
      <w:r>
        <w:rPr>
          <w:rFonts w:ascii="Times New Roman" w:hAnsi="Times New Roman"/>
          <w:sz w:val="20"/>
          <w:szCs w:val="20"/>
        </w:rPr>
        <w:t xml:space="preserve">operating </w:t>
      </w:r>
      <w:r w:rsidRPr="00FD38E3">
        <w:rPr>
          <w:rFonts w:ascii="Times New Roman" w:hAnsi="Times New Roman"/>
          <w:sz w:val="20"/>
          <w:szCs w:val="20"/>
        </w:rPr>
        <w:t xml:space="preserve">cash flows is summarized in below mentioned table and our Company has reported negative </w:t>
      </w:r>
      <w:r>
        <w:rPr>
          <w:rFonts w:ascii="Times New Roman" w:hAnsi="Times New Roman"/>
          <w:sz w:val="20"/>
          <w:szCs w:val="20"/>
        </w:rPr>
        <w:t xml:space="preserve">operating </w:t>
      </w:r>
      <w:r w:rsidRPr="00FD38E3">
        <w:rPr>
          <w:rFonts w:ascii="Times New Roman" w:hAnsi="Times New Roman"/>
          <w:sz w:val="20"/>
          <w:szCs w:val="20"/>
        </w:rPr>
        <w:t>cash</w:t>
      </w:r>
      <w:r>
        <w:rPr>
          <w:rFonts w:ascii="Times New Roman" w:hAnsi="Times New Roman"/>
          <w:sz w:val="20"/>
          <w:szCs w:val="20"/>
        </w:rPr>
        <w:t xml:space="preserve"> flow in F.Y. 2022-23. </w:t>
      </w:r>
      <w:r w:rsidRPr="00887CEB">
        <w:rPr>
          <w:rFonts w:ascii="Times New Roman" w:hAnsi="Times New Roman"/>
          <w:sz w:val="20"/>
          <w:szCs w:val="20"/>
        </w:rPr>
        <w:t>Sustained negative cash flow could adversely impact our business, financial condition and results of operations.</w:t>
      </w:r>
    </w:p>
    <w:p w14:paraId="035C3B99" w14:textId="68A9F91E" w:rsidR="00D55EC1" w:rsidRPr="00D55EC1" w:rsidRDefault="00D55EC1" w:rsidP="00D55EC1">
      <w:pPr>
        <w:widowControl w:val="0"/>
        <w:adjustRightInd w:val="0"/>
        <w:spacing w:after="0" w:line="240" w:lineRule="auto"/>
        <w:jc w:val="right"/>
        <w:textAlignment w:val="baseline"/>
        <w:rPr>
          <w:rFonts w:ascii="Times New Roman" w:hAnsi="Times New Roman"/>
          <w:b/>
          <w:bCs/>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sidRPr="00D55EC1">
        <w:rPr>
          <w:rFonts w:ascii="Times New Roman" w:hAnsi="Times New Roman"/>
          <w:b/>
          <w:bCs/>
          <w:sz w:val="20"/>
          <w:szCs w:val="20"/>
        </w:rPr>
        <w:t>(₹ in lakhs)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35"/>
        <w:gridCol w:w="1800"/>
        <w:gridCol w:w="1800"/>
        <w:gridCol w:w="1822"/>
      </w:tblGrid>
      <w:tr w:rsidR="00D55EC1" w:rsidRPr="00366F5A" w14:paraId="132E0E47" w14:textId="77777777" w:rsidTr="0000511F">
        <w:tc>
          <w:tcPr>
            <w:tcW w:w="5035" w:type="dxa"/>
            <w:shd w:val="clear" w:color="auto" w:fill="D0CECE" w:themeFill="background2" w:themeFillShade="E6"/>
          </w:tcPr>
          <w:p w14:paraId="04670738" w14:textId="77777777" w:rsidR="00D55EC1" w:rsidRPr="00366F5A" w:rsidRDefault="00D55EC1" w:rsidP="00250DAC">
            <w:pPr>
              <w:widowControl w:val="0"/>
              <w:adjustRightInd w:val="0"/>
              <w:spacing w:after="0" w:line="240" w:lineRule="auto"/>
              <w:jc w:val="both"/>
              <w:textAlignment w:val="baseline"/>
              <w:rPr>
                <w:rFonts w:ascii="Times New Roman" w:eastAsia="Calibri" w:hAnsi="Times New Roman"/>
                <w:b/>
                <w:sz w:val="20"/>
                <w:szCs w:val="20"/>
              </w:rPr>
            </w:pPr>
            <w:r w:rsidRPr="00366F5A">
              <w:rPr>
                <w:rFonts w:ascii="Times New Roman" w:eastAsia="Calibri" w:hAnsi="Times New Roman"/>
                <w:b/>
                <w:sz w:val="20"/>
                <w:szCs w:val="20"/>
              </w:rPr>
              <w:t>Particulars</w:t>
            </w:r>
          </w:p>
        </w:tc>
        <w:tc>
          <w:tcPr>
            <w:tcW w:w="1800" w:type="dxa"/>
            <w:shd w:val="clear" w:color="auto" w:fill="D0CECE" w:themeFill="background2" w:themeFillShade="E6"/>
          </w:tcPr>
          <w:p w14:paraId="7F8CB061" w14:textId="77777777" w:rsidR="00D55EC1" w:rsidRPr="00366F5A" w:rsidRDefault="00D55EC1" w:rsidP="00250DAC">
            <w:pPr>
              <w:widowControl w:val="0"/>
              <w:adjustRightInd w:val="0"/>
              <w:spacing w:after="0" w:line="240" w:lineRule="auto"/>
              <w:jc w:val="center"/>
              <w:textAlignment w:val="baseline"/>
              <w:rPr>
                <w:rFonts w:ascii="Times New Roman" w:eastAsia="Calibri" w:hAnsi="Times New Roman"/>
                <w:b/>
                <w:sz w:val="20"/>
                <w:szCs w:val="20"/>
              </w:rPr>
            </w:pPr>
            <w:r w:rsidRPr="00366F5A">
              <w:rPr>
                <w:rFonts w:ascii="Times New Roman" w:eastAsia="Calibri" w:hAnsi="Times New Roman"/>
                <w:b/>
                <w:sz w:val="20"/>
                <w:szCs w:val="20"/>
              </w:rPr>
              <w:t>F.Y. 202</w:t>
            </w:r>
            <w:r>
              <w:rPr>
                <w:rFonts w:ascii="Times New Roman" w:eastAsia="Calibri" w:hAnsi="Times New Roman"/>
                <w:b/>
                <w:sz w:val="20"/>
                <w:szCs w:val="20"/>
              </w:rPr>
              <w:t>2</w:t>
            </w:r>
            <w:r w:rsidRPr="00366F5A">
              <w:rPr>
                <w:rFonts w:ascii="Times New Roman" w:eastAsia="Calibri" w:hAnsi="Times New Roman"/>
                <w:b/>
                <w:sz w:val="20"/>
                <w:szCs w:val="20"/>
              </w:rPr>
              <w:t>-2</w:t>
            </w:r>
            <w:r>
              <w:rPr>
                <w:rFonts w:ascii="Times New Roman" w:eastAsia="Calibri" w:hAnsi="Times New Roman"/>
                <w:b/>
                <w:sz w:val="20"/>
                <w:szCs w:val="20"/>
              </w:rPr>
              <w:t>3</w:t>
            </w:r>
          </w:p>
        </w:tc>
        <w:tc>
          <w:tcPr>
            <w:tcW w:w="1800" w:type="dxa"/>
            <w:shd w:val="clear" w:color="auto" w:fill="D0CECE" w:themeFill="background2" w:themeFillShade="E6"/>
          </w:tcPr>
          <w:p w14:paraId="53576C8D" w14:textId="77777777" w:rsidR="00D55EC1" w:rsidRPr="00366F5A" w:rsidRDefault="00D55EC1" w:rsidP="00250DAC">
            <w:pPr>
              <w:widowControl w:val="0"/>
              <w:adjustRightInd w:val="0"/>
              <w:spacing w:after="0" w:line="240" w:lineRule="auto"/>
              <w:jc w:val="center"/>
              <w:textAlignment w:val="baseline"/>
              <w:rPr>
                <w:rFonts w:ascii="Times New Roman" w:eastAsia="Calibri" w:hAnsi="Times New Roman"/>
                <w:b/>
                <w:sz w:val="20"/>
                <w:szCs w:val="20"/>
              </w:rPr>
            </w:pPr>
            <w:r w:rsidRPr="00366F5A">
              <w:rPr>
                <w:rFonts w:ascii="Times New Roman" w:eastAsia="Calibri" w:hAnsi="Times New Roman"/>
                <w:b/>
                <w:sz w:val="20"/>
                <w:szCs w:val="20"/>
              </w:rPr>
              <w:t>F.Y. 2021-22</w:t>
            </w:r>
          </w:p>
        </w:tc>
        <w:tc>
          <w:tcPr>
            <w:tcW w:w="1822" w:type="dxa"/>
            <w:shd w:val="clear" w:color="auto" w:fill="D0CECE" w:themeFill="background2" w:themeFillShade="E6"/>
          </w:tcPr>
          <w:p w14:paraId="5BEC4C0A" w14:textId="77777777" w:rsidR="00D55EC1" w:rsidRPr="00366F5A" w:rsidRDefault="00D55EC1" w:rsidP="00250DAC">
            <w:pPr>
              <w:widowControl w:val="0"/>
              <w:adjustRightInd w:val="0"/>
              <w:spacing w:after="0" w:line="240" w:lineRule="auto"/>
              <w:jc w:val="center"/>
              <w:textAlignment w:val="baseline"/>
              <w:rPr>
                <w:rFonts w:ascii="Times New Roman" w:eastAsia="Calibri" w:hAnsi="Times New Roman"/>
                <w:b/>
                <w:sz w:val="20"/>
                <w:szCs w:val="20"/>
              </w:rPr>
            </w:pPr>
            <w:r w:rsidRPr="00366F5A">
              <w:rPr>
                <w:rFonts w:ascii="Times New Roman" w:eastAsia="Calibri" w:hAnsi="Times New Roman"/>
                <w:b/>
                <w:sz w:val="20"/>
                <w:szCs w:val="20"/>
              </w:rPr>
              <w:t>F.Y. 2020-21</w:t>
            </w:r>
          </w:p>
        </w:tc>
      </w:tr>
      <w:tr w:rsidR="00D55EC1" w:rsidRPr="00366F5A" w14:paraId="0CA3940F" w14:textId="77777777" w:rsidTr="0000511F">
        <w:trPr>
          <w:trHeight w:val="20"/>
        </w:trPr>
        <w:tc>
          <w:tcPr>
            <w:tcW w:w="5035" w:type="dxa"/>
          </w:tcPr>
          <w:p w14:paraId="68E669D2" w14:textId="77777777" w:rsidR="00D55EC1" w:rsidRPr="00366F5A" w:rsidRDefault="00D55EC1" w:rsidP="0000511F">
            <w:pPr>
              <w:widowControl w:val="0"/>
              <w:adjustRightInd w:val="0"/>
              <w:spacing w:after="0" w:line="240" w:lineRule="auto"/>
              <w:jc w:val="both"/>
              <w:textAlignment w:val="baseline"/>
              <w:rPr>
                <w:rFonts w:ascii="Times New Roman" w:eastAsia="Calibri" w:hAnsi="Times New Roman"/>
                <w:sz w:val="20"/>
                <w:szCs w:val="20"/>
              </w:rPr>
            </w:pPr>
            <w:r w:rsidRPr="00366F5A">
              <w:rPr>
                <w:rFonts w:ascii="Times New Roman" w:eastAsia="Calibri" w:hAnsi="Times New Roman"/>
                <w:sz w:val="20"/>
                <w:szCs w:val="20"/>
              </w:rPr>
              <w:t>Net Cash flow from Operating Activities</w:t>
            </w:r>
          </w:p>
        </w:tc>
        <w:tc>
          <w:tcPr>
            <w:tcW w:w="1800" w:type="dxa"/>
            <w:vAlign w:val="center"/>
          </w:tcPr>
          <w:p w14:paraId="6A7687AF" w14:textId="77777777" w:rsidR="00D55EC1" w:rsidRPr="005702DF" w:rsidRDefault="00D55EC1" w:rsidP="0000511F">
            <w:pPr>
              <w:spacing w:after="0" w:line="240" w:lineRule="auto"/>
              <w:jc w:val="center"/>
              <w:rPr>
                <w:rFonts w:ascii="Times New Roman" w:eastAsia="Calibri" w:hAnsi="Times New Roman"/>
                <w:sz w:val="20"/>
                <w:szCs w:val="20"/>
              </w:rPr>
            </w:pPr>
            <w:r w:rsidRPr="005702DF">
              <w:rPr>
                <w:rFonts w:ascii="Times New Roman" w:hAnsi="Times New Roman"/>
                <w:sz w:val="20"/>
                <w:szCs w:val="20"/>
              </w:rPr>
              <w:t>(2,824.41)</w:t>
            </w:r>
          </w:p>
        </w:tc>
        <w:tc>
          <w:tcPr>
            <w:tcW w:w="1800" w:type="dxa"/>
            <w:vAlign w:val="center"/>
          </w:tcPr>
          <w:p w14:paraId="60404214" w14:textId="77777777" w:rsidR="00D55EC1" w:rsidRPr="005702DF" w:rsidRDefault="00D55EC1" w:rsidP="0000511F">
            <w:pPr>
              <w:spacing w:after="0" w:line="240" w:lineRule="auto"/>
              <w:jc w:val="center"/>
              <w:rPr>
                <w:rFonts w:ascii="Times New Roman" w:eastAsia="Calibri" w:hAnsi="Times New Roman"/>
                <w:sz w:val="20"/>
                <w:szCs w:val="20"/>
              </w:rPr>
            </w:pPr>
            <w:r w:rsidRPr="005702DF">
              <w:rPr>
                <w:rFonts w:ascii="Times New Roman" w:hAnsi="Times New Roman"/>
                <w:sz w:val="20"/>
                <w:szCs w:val="20"/>
              </w:rPr>
              <w:t>1,057.56</w:t>
            </w:r>
          </w:p>
        </w:tc>
        <w:tc>
          <w:tcPr>
            <w:tcW w:w="1822" w:type="dxa"/>
            <w:vAlign w:val="center"/>
          </w:tcPr>
          <w:p w14:paraId="1C33DCA0" w14:textId="77777777" w:rsidR="00D55EC1" w:rsidRPr="005702DF" w:rsidRDefault="00D55EC1" w:rsidP="0000511F">
            <w:pPr>
              <w:spacing w:after="0" w:line="240" w:lineRule="auto"/>
              <w:jc w:val="center"/>
              <w:rPr>
                <w:rFonts w:ascii="Times New Roman" w:eastAsia="Calibri" w:hAnsi="Times New Roman"/>
                <w:sz w:val="20"/>
                <w:szCs w:val="20"/>
              </w:rPr>
            </w:pPr>
            <w:r w:rsidRPr="005702DF">
              <w:rPr>
                <w:rFonts w:ascii="Times New Roman" w:hAnsi="Times New Roman"/>
                <w:sz w:val="20"/>
                <w:szCs w:val="20"/>
              </w:rPr>
              <w:t>648.72</w:t>
            </w:r>
          </w:p>
        </w:tc>
      </w:tr>
    </w:tbl>
    <w:p w14:paraId="7A73C42F" w14:textId="77777777" w:rsidR="00D55EC1" w:rsidRDefault="00D55EC1" w:rsidP="00D55EC1">
      <w:pPr>
        <w:widowControl w:val="0"/>
        <w:adjustRightInd w:val="0"/>
        <w:spacing w:after="0" w:line="240" w:lineRule="auto"/>
        <w:jc w:val="both"/>
        <w:textAlignment w:val="baseline"/>
        <w:rPr>
          <w:rFonts w:ascii="Times New Roman" w:hAnsi="Times New Roman"/>
          <w:sz w:val="20"/>
          <w:szCs w:val="20"/>
        </w:rPr>
      </w:pPr>
    </w:p>
    <w:p w14:paraId="463A3CE1" w14:textId="77777777" w:rsidR="00D55EC1" w:rsidRDefault="00D55EC1" w:rsidP="00D55EC1">
      <w:pPr>
        <w:widowControl w:val="0"/>
        <w:adjustRightInd w:val="0"/>
        <w:spacing w:after="0" w:line="240" w:lineRule="auto"/>
        <w:jc w:val="both"/>
        <w:textAlignment w:val="baseline"/>
        <w:rPr>
          <w:rFonts w:ascii="Times New Roman" w:hAnsi="Times New Roman"/>
          <w:sz w:val="20"/>
          <w:szCs w:val="20"/>
        </w:rPr>
      </w:pPr>
      <w:r w:rsidRPr="001676E4">
        <w:rPr>
          <w:rFonts w:ascii="Times New Roman" w:hAnsi="Times New Roman"/>
          <w:sz w:val="20"/>
          <w:szCs w:val="20"/>
        </w:rPr>
        <w:t>Cash flow of a company is a key indicator to show the extent of cash generated from</w:t>
      </w:r>
      <w:r>
        <w:rPr>
          <w:rFonts w:ascii="Times New Roman" w:hAnsi="Times New Roman"/>
          <w:sz w:val="20"/>
          <w:szCs w:val="20"/>
        </w:rPr>
        <w:t xml:space="preserve"> </w:t>
      </w:r>
      <w:r w:rsidRPr="001676E4">
        <w:rPr>
          <w:rFonts w:ascii="Times New Roman" w:hAnsi="Times New Roman"/>
          <w:sz w:val="20"/>
          <w:szCs w:val="20"/>
        </w:rPr>
        <w:t>operations to meet capital expenditure, pay dividends, repay loans and make new investments</w:t>
      </w:r>
      <w:r>
        <w:rPr>
          <w:rFonts w:ascii="Times New Roman" w:hAnsi="Times New Roman"/>
          <w:sz w:val="20"/>
          <w:szCs w:val="20"/>
        </w:rPr>
        <w:t xml:space="preserve"> </w:t>
      </w:r>
      <w:r w:rsidRPr="001676E4">
        <w:rPr>
          <w:rFonts w:ascii="Times New Roman" w:hAnsi="Times New Roman"/>
          <w:sz w:val="20"/>
          <w:szCs w:val="20"/>
        </w:rPr>
        <w:t>without raising finance from external resources. If we are not able to generate sufficient cash</w:t>
      </w:r>
      <w:r>
        <w:rPr>
          <w:rFonts w:ascii="Times New Roman" w:hAnsi="Times New Roman"/>
          <w:sz w:val="20"/>
          <w:szCs w:val="20"/>
        </w:rPr>
        <w:t xml:space="preserve"> </w:t>
      </w:r>
      <w:r w:rsidRPr="001676E4">
        <w:rPr>
          <w:rFonts w:ascii="Times New Roman" w:hAnsi="Times New Roman"/>
          <w:sz w:val="20"/>
          <w:szCs w:val="20"/>
        </w:rPr>
        <w:t>flows in future, it may adversely affect our business and financial operations.</w:t>
      </w:r>
    </w:p>
    <w:p w14:paraId="433E5CAE" w14:textId="77777777" w:rsidR="00D55EC1" w:rsidRDefault="00D55EC1" w:rsidP="00D55EC1">
      <w:pPr>
        <w:widowControl w:val="0"/>
        <w:adjustRightInd w:val="0"/>
        <w:spacing w:after="0" w:line="240" w:lineRule="auto"/>
        <w:jc w:val="both"/>
        <w:textAlignment w:val="baseline"/>
        <w:rPr>
          <w:rFonts w:ascii="Times New Roman" w:hAnsi="Times New Roman"/>
          <w:sz w:val="20"/>
          <w:szCs w:val="20"/>
        </w:rPr>
      </w:pPr>
    </w:p>
    <w:p w14:paraId="4A7649FD" w14:textId="77777777" w:rsidR="00D55EC1" w:rsidRPr="001B2C34" w:rsidRDefault="00D55EC1" w:rsidP="00F038BD">
      <w:pPr>
        <w:numPr>
          <w:ilvl w:val="0"/>
          <w:numId w:val="150"/>
        </w:numPr>
        <w:suppressAutoHyphens/>
        <w:autoSpaceDE w:val="0"/>
        <w:autoSpaceDN w:val="0"/>
        <w:adjustRightInd w:val="0"/>
        <w:spacing w:after="0" w:line="240" w:lineRule="auto"/>
        <w:contextualSpacing/>
        <w:jc w:val="both"/>
        <w:textAlignment w:val="center"/>
        <w:rPr>
          <w:rFonts w:ascii="Times New Roman" w:eastAsia="MS Mincho" w:hAnsi="Times New Roman"/>
          <w:sz w:val="20"/>
          <w:szCs w:val="20"/>
        </w:rPr>
      </w:pPr>
      <w:r w:rsidRPr="001B2C34">
        <w:rPr>
          <w:rFonts w:ascii="Times New Roman" w:eastAsia="MS Mincho" w:hAnsi="Times New Roman"/>
          <w:b/>
          <w:i/>
          <w:color w:val="000000"/>
          <w:sz w:val="20"/>
          <w:szCs w:val="20"/>
          <w:lang w:eastAsia="x-none"/>
        </w:rPr>
        <w:t xml:space="preserve">If we are not able to successfully manage our growth, our business and results of operations may be adversely affected. </w:t>
      </w:r>
    </w:p>
    <w:p w14:paraId="37015364" w14:textId="77777777" w:rsidR="00D55EC1" w:rsidRPr="001B2C34" w:rsidRDefault="00D55EC1" w:rsidP="00D55EC1">
      <w:pPr>
        <w:suppressAutoHyphens/>
        <w:autoSpaceDE w:val="0"/>
        <w:autoSpaceDN w:val="0"/>
        <w:adjustRightInd w:val="0"/>
        <w:spacing w:after="0" w:line="240" w:lineRule="auto"/>
        <w:ind w:left="360"/>
        <w:contextualSpacing/>
        <w:jc w:val="both"/>
        <w:textAlignment w:val="center"/>
        <w:rPr>
          <w:rFonts w:ascii="Times New Roman" w:eastAsia="MS Mincho" w:hAnsi="Times New Roman"/>
          <w:sz w:val="20"/>
          <w:szCs w:val="20"/>
        </w:rPr>
      </w:pPr>
    </w:p>
    <w:p w14:paraId="48E8ED0F" w14:textId="77777777" w:rsidR="00D55EC1" w:rsidRPr="001B2C34" w:rsidRDefault="00D55EC1" w:rsidP="00D55EC1">
      <w:pPr>
        <w:spacing w:after="0" w:line="240" w:lineRule="auto"/>
        <w:jc w:val="both"/>
        <w:rPr>
          <w:rFonts w:ascii="Times New Roman" w:eastAsia="MS Mincho" w:hAnsi="Times New Roman"/>
          <w:sz w:val="20"/>
          <w:szCs w:val="20"/>
        </w:rPr>
      </w:pPr>
      <w:r w:rsidRPr="001B2C34">
        <w:rPr>
          <w:rFonts w:ascii="Times New Roman" w:eastAsia="MS Mincho" w:hAnsi="Times New Roman"/>
          <w:sz w:val="20"/>
          <w:szCs w:val="20"/>
        </w:rPr>
        <w:t xml:space="preserve">Continued growth of our business and customer base requires us to expand our product portfolio, strengthen our product quality, expand and enhance our sales channels, better manage our supply chain, upgrade our information systems and technologies and devote other resources to our business expansions, among others. As we continue to grow, managing our business will become more complicated as we develop a wider product mix, some of which we may have less experience in. In addition, as we increase our product offerings, we will need to work with a larger number of business partners and maintain and expand mutually beneficial relationships with our existing and new business partners. Our inability to manage the expansion of our products range, customer base and manufacturing capacities, and execute our growth strategy in a timely manner or within budget estimates, or our inability to meet the expectations to track the changing preferences of our customers or other stakeholders could have an adverse effect on our business, results of operations and financial condition. </w:t>
      </w:r>
    </w:p>
    <w:p w14:paraId="2ADB281A" w14:textId="77777777" w:rsidR="00D55EC1" w:rsidRPr="001B2C34" w:rsidRDefault="00D55EC1" w:rsidP="00D55EC1">
      <w:pPr>
        <w:spacing w:after="0" w:line="240" w:lineRule="auto"/>
        <w:jc w:val="both"/>
        <w:rPr>
          <w:rFonts w:ascii="Times New Roman" w:eastAsia="MS Mincho" w:hAnsi="Times New Roman"/>
          <w:sz w:val="20"/>
          <w:szCs w:val="20"/>
        </w:rPr>
      </w:pPr>
    </w:p>
    <w:p w14:paraId="349E2425" w14:textId="77777777" w:rsidR="00D55EC1" w:rsidRPr="001B2C34" w:rsidRDefault="00D55EC1" w:rsidP="00D55EC1">
      <w:pPr>
        <w:spacing w:after="0" w:line="240" w:lineRule="auto"/>
        <w:jc w:val="both"/>
        <w:rPr>
          <w:rFonts w:ascii="Times New Roman" w:eastAsia="MS Mincho" w:hAnsi="Times New Roman"/>
          <w:sz w:val="20"/>
          <w:szCs w:val="20"/>
          <w:lang w:val="en-GB"/>
        </w:rPr>
      </w:pPr>
      <w:r w:rsidRPr="001B2C34">
        <w:rPr>
          <w:rFonts w:ascii="Times New Roman" w:eastAsia="MS Mincho" w:hAnsi="Times New Roman"/>
          <w:sz w:val="20"/>
          <w:szCs w:val="20"/>
        </w:rPr>
        <w:t>We cannot assure you that we will be able to effectively manage our growth, that our current personnel, infrastructure, systems, procedures and controls or any measures to enhance them will be adequate and successful to support our expanding operations or that our strategies and new business initiatives will be executed successfully. Our failure to manage our anticipated growth effectively could reduce our ability to execute our business strategies, recruit and retain personnel, innovate, and manage costs all of which could adversely affect our business, results of operations, cash flows and financial condition. In addition, the availability of funds plays a crucial role for growth and expansion of the business. Our ability to arrange financing and the costs of capital of such financing are dependent on numerous factors, including general economic and capital market conditions, credit availability from banks, investor confidence, the continued success of our operations and other laws that are conducive to our raising capital in this manner. Any downgrade in our credit ratings could increase our borrowing costs and adversely affect our access to capital. Further, in case we decide to raise additional funds through the issuance of equity or equity linked instruments, the interests of our shareholders may be diluted. Further, if we decide to meet our capital requirements through debt financing, our interest obligations shall increase and we may be subject to additional restrictive covenants under our respective financing arrangements. If we are unable to raise adequate capital in a timely manner and on acceptable terms, or at all, our business, results of operations and financial condition could be adversely affected.</w:t>
      </w:r>
    </w:p>
    <w:p w14:paraId="31DD69D9" w14:textId="77777777" w:rsidR="00D55EC1" w:rsidRDefault="00D55EC1" w:rsidP="00D55EC1">
      <w:pPr>
        <w:widowControl w:val="0"/>
        <w:adjustRightInd w:val="0"/>
        <w:spacing w:after="0" w:line="240" w:lineRule="auto"/>
        <w:jc w:val="both"/>
        <w:textAlignment w:val="baseline"/>
        <w:rPr>
          <w:rFonts w:ascii="Times New Roman" w:hAnsi="Times New Roman"/>
          <w:sz w:val="20"/>
          <w:szCs w:val="20"/>
        </w:rPr>
      </w:pPr>
    </w:p>
    <w:p w14:paraId="16326B79" w14:textId="77777777" w:rsidR="00D55EC1" w:rsidRPr="00641801" w:rsidRDefault="00D55EC1" w:rsidP="00F038BD">
      <w:pPr>
        <w:pStyle w:val="ListParagraph"/>
        <w:numPr>
          <w:ilvl w:val="0"/>
          <w:numId w:val="150"/>
        </w:numPr>
        <w:spacing w:line="240" w:lineRule="auto"/>
        <w:contextualSpacing/>
        <w:jc w:val="both"/>
        <w:rPr>
          <w:b/>
          <w:bCs/>
          <w:i/>
          <w:iCs/>
          <w:sz w:val="20"/>
          <w:szCs w:val="20"/>
        </w:rPr>
      </w:pPr>
      <w:r w:rsidRPr="00641801">
        <w:rPr>
          <w:b/>
          <w:bCs/>
          <w:i/>
          <w:iCs/>
          <w:sz w:val="20"/>
          <w:szCs w:val="20"/>
        </w:rPr>
        <w:t>Changes in technology may render our current technologies obsolete or require us to make substantial investments.</w:t>
      </w:r>
      <w:r w:rsidRPr="00641801">
        <w:rPr>
          <w:b/>
          <w:bCs/>
          <w:i/>
          <w:iCs/>
          <w:sz w:val="20"/>
          <w:szCs w:val="20"/>
        </w:rPr>
        <w:cr/>
      </w:r>
    </w:p>
    <w:p w14:paraId="2751B8EE" w14:textId="77777777" w:rsidR="00D55EC1" w:rsidRPr="00641801" w:rsidRDefault="00D55EC1" w:rsidP="00D55EC1">
      <w:pPr>
        <w:widowControl w:val="0"/>
        <w:adjustRightInd w:val="0"/>
        <w:spacing w:after="0" w:line="240" w:lineRule="auto"/>
        <w:jc w:val="both"/>
        <w:textAlignment w:val="baseline"/>
        <w:rPr>
          <w:rFonts w:ascii="Times New Roman" w:hAnsi="Times New Roman"/>
          <w:sz w:val="20"/>
          <w:szCs w:val="20"/>
        </w:rPr>
      </w:pPr>
      <w:r w:rsidRPr="00641801">
        <w:rPr>
          <w:rFonts w:ascii="Times New Roman" w:hAnsi="Times New Roman"/>
          <w:sz w:val="20"/>
          <w:szCs w:val="20"/>
        </w:rPr>
        <w:t xml:space="preserve">Modernization and technology up gradation is essential to reduce costs and increase the output. Our technology and machineries may become obsolete or may not be upgraded timely, hampering our operations and financial conditions and we may lose our competitive edge. Although we believe that we have installed updated technology, we shall continue to strive to keep our technology, plant and machinery in line with the latest technological standards. In case of a new found technology in the </w:t>
      </w:r>
      <w:r>
        <w:rPr>
          <w:rFonts w:ascii="Times New Roman" w:hAnsi="Times New Roman"/>
          <w:sz w:val="20"/>
          <w:szCs w:val="20"/>
        </w:rPr>
        <w:t>brass components or other products</w:t>
      </w:r>
      <w:r w:rsidRPr="00641801">
        <w:rPr>
          <w:rFonts w:ascii="Times New Roman" w:hAnsi="Times New Roman"/>
          <w:sz w:val="20"/>
          <w:szCs w:val="20"/>
        </w:rPr>
        <w:t>, we may be required to implement new technology or upgrade the machineries and other equipment‘s employed by us. Further, the costs in upgrading our technology and modernizing the plant and machineries are significant which could substantially affect our finances and operations.</w:t>
      </w:r>
    </w:p>
    <w:p w14:paraId="0530503E" w14:textId="77777777" w:rsidR="00D55EC1" w:rsidRPr="00641801" w:rsidRDefault="00D55EC1" w:rsidP="00D55EC1">
      <w:pPr>
        <w:widowControl w:val="0"/>
        <w:adjustRightInd w:val="0"/>
        <w:spacing w:after="0" w:line="240" w:lineRule="auto"/>
        <w:jc w:val="both"/>
        <w:textAlignment w:val="baseline"/>
        <w:rPr>
          <w:rFonts w:ascii="Times New Roman" w:hAnsi="Times New Roman"/>
          <w:sz w:val="20"/>
          <w:szCs w:val="20"/>
        </w:rPr>
      </w:pPr>
    </w:p>
    <w:p w14:paraId="2982FC78" w14:textId="77777777" w:rsidR="00D55EC1" w:rsidRPr="00641801" w:rsidRDefault="00D55EC1" w:rsidP="00F038BD">
      <w:pPr>
        <w:pStyle w:val="ListParagraph"/>
        <w:numPr>
          <w:ilvl w:val="0"/>
          <w:numId w:val="150"/>
        </w:numPr>
        <w:spacing w:line="240" w:lineRule="auto"/>
        <w:contextualSpacing/>
        <w:jc w:val="both"/>
        <w:rPr>
          <w:b/>
          <w:bCs/>
          <w:i/>
          <w:iCs/>
          <w:sz w:val="20"/>
          <w:szCs w:val="20"/>
        </w:rPr>
      </w:pPr>
      <w:r w:rsidRPr="00641801">
        <w:rPr>
          <w:b/>
          <w:bCs/>
          <w:i/>
          <w:iCs/>
          <w:sz w:val="20"/>
          <w:szCs w:val="20"/>
        </w:rPr>
        <w:t>Adverse publicity regarding our products could negatively impact us.</w:t>
      </w:r>
    </w:p>
    <w:p w14:paraId="211C45F0" w14:textId="77777777" w:rsidR="00D55EC1" w:rsidRPr="00641801" w:rsidRDefault="00D55EC1" w:rsidP="00D55EC1">
      <w:pPr>
        <w:tabs>
          <w:tab w:val="left" w:pos="0"/>
        </w:tabs>
        <w:spacing w:after="0" w:line="240" w:lineRule="auto"/>
        <w:jc w:val="both"/>
        <w:rPr>
          <w:rFonts w:ascii="Times New Roman" w:eastAsia="MS Mincho" w:hAnsi="Times New Roman"/>
          <w:sz w:val="20"/>
          <w:szCs w:val="20"/>
          <w:lang w:val="en-GB"/>
        </w:rPr>
      </w:pPr>
    </w:p>
    <w:p w14:paraId="54B3C075" w14:textId="77777777" w:rsidR="00D55EC1" w:rsidRPr="00641801" w:rsidRDefault="00D55EC1" w:rsidP="00D55EC1">
      <w:pPr>
        <w:tabs>
          <w:tab w:val="left" w:pos="0"/>
        </w:tabs>
        <w:spacing w:after="0" w:line="240" w:lineRule="auto"/>
        <w:jc w:val="both"/>
        <w:rPr>
          <w:rFonts w:ascii="Times New Roman" w:eastAsia="MS Mincho" w:hAnsi="Times New Roman"/>
          <w:sz w:val="20"/>
          <w:szCs w:val="20"/>
          <w:lang w:val="en-GB"/>
        </w:rPr>
      </w:pPr>
      <w:r w:rsidRPr="00641801">
        <w:rPr>
          <w:rFonts w:ascii="Times New Roman" w:eastAsia="MS Mincho" w:hAnsi="Times New Roman"/>
          <w:sz w:val="20"/>
          <w:szCs w:val="20"/>
          <w:lang w:val="en-GB"/>
        </w:rPr>
        <w:t>Adverse publicity regarding any of our products or similar products marketed or sold by others could negatively affect us. If any studies raise or substantiate concerns regarding the efficacy or safety of our products or other concerns, our reputation could be harmed and demand for our products could diminish, which could have a material adverse effect on growth in new customers and sales of our product, leading to a decline in revenues, cash collections, and ultimately our ability to meet operating cash flow requirements.</w:t>
      </w:r>
    </w:p>
    <w:p w14:paraId="0EEB3228" w14:textId="77777777" w:rsidR="00D55EC1" w:rsidRPr="00641801" w:rsidRDefault="00D55EC1" w:rsidP="00D55EC1">
      <w:pPr>
        <w:widowControl w:val="0"/>
        <w:adjustRightInd w:val="0"/>
        <w:spacing w:after="0" w:line="240" w:lineRule="auto"/>
        <w:jc w:val="both"/>
        <w:textAlignment w:val="baseline"/>
        <w:rPr>
          <w:rFonts w:ascii="Times New Roman" w:hAnsi="Times New Roman"/>
          <w:sz w:val="20"/>
          <w:szCs w:val="20"/>
        </w:rPr>
      </w:pPr>
    </w:p>
    <w:p w14:paraId="6FEFE05A" w14:textId="77777777" w:rsidR="00D55EC1" w:rsidRPr="00264FFA" w:rsidRDefault="00D55EC1" w:rsidP="00F038BD">
      <w:pPr>
        <w:numPr>
          <w:ilvl w:val="0"/>
          <w:numId w:val="150"/>
        </w:numPr>
        <w:suppressAutoHyphens/>
        <w:autoSpaceDE w:val="0"/>
        <w:autoSpaceDN w:val="0"/>
        <w:adjustRightInd w:val="0"/>
        <w:spacing w:after="0" w:line="240" w:lineRule="auto"/>
        <w:contextualSpacing/>
        <w:jc w:val="both"/>
        <w:textAlignment w:val="center"/>
        <w:rPr>
          <w:rFonts w:ascii="Times New Roman" w:eastAsia="MS Mincho" w:hAnsi="Times New Roman"/>
          <w:b/>
          <w:i/>
          <w:color w:val="000000"/>
          <w:sz w:val="20"/>
          <w:szCs w:val="20"/>
          <w:lang w:val="en-GB" w:eastAsia="x-none"/>
        </w:rPr>
      </w:pPr>
      <w:r w:rsidRPr="00264FFA">
        <w:rPr>
          <w:rFonts w:ascii="Times New Roman" w:eastAsia="MS Mincho" w:hAnsi="Times New Roman"/>
          <w:b/>
          <w:i/>
          <w:color w:val="000000"/>
          <w:sz w:val="20"/>
          <w:szCs w:val="20"/>
          <w:lang w:val="en-GB" w:eastAsia="x-none"/>
        </w:rPr>
        <w:t xml:space="preserve">The average cost of acquisition of Equity Shares by our Promoters could be lower than the Offer price. </w:t>
      </w:r>
    </w:p>
    <w:p w14:paraId="607EC2E5" w14:textId="77777777" w:rsidR="00D55EC1" w:rsidRPr="00264FFA" w:rsidRDefault="00D55EC1" w:rsidP="00D55EC1">
      <w:pPr>
        <w:widowControl w:val="0"/>
        <w:adjustRightInd w:val="0"/>
        <w:spacing w:after="0" w:line="240" w:lineRule="auto"/>
        <w:jc w:val="both"/>
        <w:textAlignment w:val="baseline"/>
        <w:rPr>
          <w:rFonts w:ascii="Times New Roman" w:hAnsi="Times New Roman"/>
          <w:sz w:val="20"/>
          <w:szCs w:val="20"/>
        </w:rPr>
      </w:pPr>
    </w:p>
    <w:p w14:paraId="7A07C219" w14:textId="77777777" w:rsidR="00D55EC1" w:rsidRPr="00264FFA" w:rsidRDefault="00D55EC1" w:rsidP="00D55EC1">
      <w:pPr>
        <w:widowControl w:val="0"/>
        <w:adjustRightInd w:val="0"/>
        <w:spacing w:after="0" w:line="240" w:lineRule="auto"/>
        <w:jc w:val="both"/>
        <w:textAlignment w:val="baseline"/>
        <w:rPr>
          <w:rFonts w:ascii="Times New Roman" w:hAnsi="Times New Roman"/>
          <w:color w:val="000000"/>
          <w:sz w:val="20"/>
          <w:szCs w:val="20"/>
        </w:rPr>
      </w:pPr>
      <w:r w:rsidRPr="00264FFA">
        <w:rPr>
          <w:rFonts w:ascii="Times New Roman" w:hAnsi="Times New Roman"/>
          <w:color w:val="000000"/>
          <w:sz w:val="20"/>
          <w:szCs w:val="20"/>
        </w:rPr>
        <w:t xml:space="preserve">Our Promoters average cost of acquisition of Equity Shares in our Company may be lower than the Offer Price as may be decided by the Company in consultation with the Book Running Lead Manager. For further details regarding average cost of acquisition of </w:t>
      </w:r>
      <w:r w:rsidRPr="00264FFA">
        <w:rPr>
          <w:rFonts w:ascii="Times New Roman" w:hAnsi="Times New Roman"/>
          <w:color w:val="000000"/>
          <w:sz w:val="20"/>
          <w:szCs w:val="20"/>
        </w:rPr>
        <w:lastRenderedPageBreak/>
        <w:t xml:space="preserve">Equity Shares by our Promoters in our Company and build-up of Equity Shares by our Promoters in our Company, please refer to the chapters </w:t>
      </w:r>
      <w:r w:rsidRPr="00264FFA">
        <w:rPr>
          <w:rFonts w:ascii="Times New Roman" w:hAnsi="Times New Roman"/>
          <w:b/>
          <w:bCs/>
          <w:i/>
          <w:iCs/>
          <w:color w:val="000000"/>
          <w:sz w:val="20"/>
          <w:szCs w:val="20"/>
        </w:rPr>
        <w:t>“Risk Factors - Prominent Notes”</w:t>
      </w:r>
      <w:r w:rsidRPr="00264FFA">
        <w:rPr>
          <w:rFonts w:ascii="Times New Roman" w:hAnsi="Times New Roman"/>
          <w:color w:val="000000"/>
          <w:sz w:val="20"/>
          <w:szCs w:val="20"/>
        </w:rPr>
        <w:t xml:space="preserve"> and </w:t>
      </w:r>
      <w:r w:rsidRPr="00264FFA">
        <w:rPr>
          <w:rFonts w:ascii="Times New Roman" w:hAnsi="Times New Roman"/>
          <w:b/>
          <w:bCs/>
          <w:i/>
          <w:iCs/>
          <w:color w:val="000000"/>
          <w:sz w:val="20"/>
          <w:szCs w:val="20"/>
        </w:rPr>
        <w:t>“Capital Structure”</w:t>
      </w:r>
      <w:r w:rsidRPr="00264FFA">
        <w:rPr>
          <w:rFonts w:ascii="Times New Roman" w:hAnsi="Times New Roman"/>
          <w:color w:val="000000"/>
          <w:sz w:val="20"/>
          <w:szCs w:val="20"/>
        </w:rPr>
        <w:t xml:space="preserve"> beginning on pages </w:t>
      </w:r>
      <w:r w:rsidRPr="00264FFA">
        <w:rPr>
          <w:rFonts w:ascii="Times New Roman" w:hAnsi="Times New Roman"/>
          <w:i/>
          <w:iCs/>
          <w:sz w:val="20"/>
          <w:szCs w:val="20"/>
        </w:rPr>
        <w:fldChar w:fldCharType="begin"/>
      </w:r>
      <w:r w:rsidRPr="00264FFA">
        <w:rPr>
          <w:rFonts w:ascii="Times New Roman" w:hAnsi="Times New Roman"/>
          <w:i/>
          <w:iCs/>
          <w:sz w:val="20"/>
          <w:szCs w:val="20"/>
        </w:rPr>
        <w:instrText xml:space="preserve"> PAGEREF  RISKFACTORS  \* MERGEFORMAT </w:instrText>
      </w:r>
      <w:r w:rsidRPr="00264FFA">
        <w:rPr>
          <w:rFonts w:ascii="Times New Roman" w:hAnsi="Times New Roman"/>
          <w:i/>
          <w:iCs/>
          <w:sz w:val="20"/>
          <w:szCs w:val="20"/>
        </w:rPr>
        <w:fldChar w:fldCharType="separate"/>
      </w:r>
      <w:r w:rsidRPr="00264FFA">
        <w:rPr>
          <w:rFonts w:ascii="Times New Roman" w:hAnsi="Times New Roman"/>
          <w:i/>
          <w:iCs/>
          <w:noProof/>
          <w:sz w:val="20"/>
          <w:szCs w:val="20"/>
        </w:rPr>
        <w:t>23</w:t>
      </w:r>
      <w:r w:rsidRPr="00264FFA">
        <w:rPr>
          <w:rFonts w:ascii="Times New Roman" w:hAnsi="Times New Roman"/>
          <w:i/>
          <w:iCs/>
          <w:sz w:val="20"/>
          <w:szCs w:val="20"/>
        </w:rPr>
        <w:fldChar w:fldCharType="end"/>
      </w:r>
      <w:r w:rsidRPr="00264FFA">
        <w:rPr>
          <w:rFonts w:ascii="Times New Roman" w:hAnsi="Times New Roman"/>
          <w:color w:val="000000"/>
          <w:sz w:val="20"/>
          <w:szCs w:val="20"/>
        </w:rPr>
        <w:t xml:space="preserve"> and </w:t>
      </w:r>
      <w:r w:rsidRPr="00264FFA">
        <w:rPr>
          <w:rFonts w:ascii="Times New Roman" w:hAnsi="Times New Roman"/>
          <w:i/>
          <w:iCs/>
          <w:sz w:val="20"/>
          <w:szCs w:val="20"/>
        </w:rPr>
        <w:fldChar w:fldCharType="begin"/>
      </w:r>
      <w:r w:rsidRPr="00264FFA">
        <w:rPr>
          <w:rFonts w:ascii="Times New Roman" w:hAnsi="Times New Roman"/>
          <w:i/>
          <w:iCs/>
          <w:sz w:val="20"/>
          <w:szCs w:val="20"/>
        </w:rPr>
        <w:instrText xml:space="preserve"> PAGEREF  CAPITALSTRUCTURE  \* MERGEFORMAT </w:instrText>
      </w:r>
      <w:r w:rsidRPr="00264FFA">
        <w:rPr>
          <w:rFonts w:ascii="Times New Roman" w:hAnsi="Times New Roman"/>
          <w:i/>
          <w:iCs/>
          <w:sz w:val="20"/>
          <w:szCs w:val="20"/>
        </w:rPr>
        <w:fldChar w:fldCharType="separate"/>
      </w:r>
      <w:r w:rsidRPr="00264FFA">
        <w:rPr>
          <w:rFonts w:ascii="Times New Roman" w:hAnsi="Times New Roman"/>
          <w:i/>
          <w:iCs/>
          <w:noProof/>
          <w:sz w:val="20"/>
          <w:szCs w:val="20"/>
        </w:rPr>
        <w:t>52</w:t>
      </w:r>
      <w:r w:rsidRPr="00264FFA">
        <w:rPr>
          <w:rFonts w:ascii="Times New Roman" w:hAnsi="Times New Roman"/>
          <w:i/>
          <w:iCs/>
          <w:sz w:val="20"/>
          <w:szCs w:val="20"/>
        </w:rPr>
        <w:fldChar w:fldCharType="end"/>
      </w:r>
      <w:r w:rsidRPr="00264FFA">
        <w:rPr>
          <w:rFonts w:ascii="Times New Roman" w:hAnsi="Times New Roman"/>
          <w:color w:val="000000"/>
          <w:sz w:val="20"/>
          <w:szCs w:val="20"/>
        </w:rPr>
        <w:t xml:space="preserve"> respectively of this </w:t>
      </w:r>
      <w:r>
        <w:rPr>
          <w:rFonts w:ascii="Times New Roman" w:hAnsi="Times New Roman"/>
          <w:color w:val="000000"/>
          <w:sz w:val="20"/>
          <w:szCs w:val="20"/>
        </w:rPr>
        <w:t>DRHP.</w:t>
      </w:r>
    </w:p>
    <w:p w14:paraId="16AE4367" w14:textId="77777777" w:rsidR="00D55EC1" w:rsidRDefault="00D55EC1" w:rsidP="00D55EC1">
      <w:pPr>
        <w:widowControl w:val="0"/>
        <w:adjustRightInd w:val="0"/>
        <w:spacing w:after="0" w:line="240" w:lineRule="auto"/>
        <w:jc w:val="both"/>
        <w:textAlignment w:val="baseline"/>
        <w:rPr>
          <w:rFonts w:ascii="Times New Roman" w:hAnsi="Times New Roman"/>
          <w:color w:val="000000"/>
          <w:sz w:val="20"/>
          <w:szCs w:val="20"/>
        </w:rPr>
      </w:pPr>
    </w:p>
    <w:p w14:paraId="365C85E2" w14:textId="77777777" w:rsidR="00D55EC1" w:rsidRPr="00264FFA" w:rsidRDefault="00D55EC1" w:rsidP="00F038BD">
      <w:pPr>
        <w:numPr>
          <w:ilvl w:val="0"/>
          <w:numId w:val="150"/>
        </w:numPr>
        <w:spacing w:after="0" w:line="240" w:lineRule="auto"/>
        <w:jc w:val="both"/>
        <w:rPr>
          <w:rFonts w:ascii="Times New Roman" w:eastAsia="MS Mincho" w:hAnsi="Times New Roman"/>
          <w:b/>
          <w:bCs/>
          <w:i/>
          <w:iCs/>
          <w:sz w:val="20"/>
          <w:szCs w:val="20"/>
        </w:rPr>
      </w:pPr>
      <w:r w:rsidRPr="00264FFA">
        <w:rPr>
          <w:rFonts w:ascii="Times New Roman" w:eastAsia="MS Mincho" w:hAnsi="Times New Roman"/>
          <w:b/>
          <w:bCs/>
          <w:i/>
          <w:iCs/>
          <w:sz w:val="20"/>
          <w:szCs w:val="20"/>
        </w:rPr>
        <w:t xml:space="preserve">We have not received NOC from one of our lender for undertaking the initial public offer of equity shares. </w:t>
      </w:r>
    </w:p>
    <w:p w14:paraId="1689032D" w14:textId="77777777" w:rsidR="00D55EC1" w:rsidRPr="00264FFA" w:rsidRDefault="00D55EC1" w:rsidP="00D55EC1">
      <w:pPr>
        <w:autoSpaceDE w:val="0"/>
        <w:autoSpaceDN w:val="0"/>
        <w:adjustRightInd w:val="0"/>
        <w:spacing w:after="0" w:line="240" w:lineRule="auto"/>
        <w:jc w:val="both"/>
        <w:rPr>
          <w:rFonts w:ascii="Times New Roman" w:hAnsi="Times New Roman"/>
          <w:sz w:val="20"/>
          <w:szCs w:val="20"/>
        </w:rPr>
      </w:pPr>
    </w:p>
    <w:p w14:paraId="214B812F" w14:textId="7204BC6E" w:rsidR="00D55EC1" w:rsidRPr="00264FFA" w:rsidRDefault="00D55EC1" w:rsidP="00D55EC1">
      <w:pPr>
        <w:autoSpaceDE w:val="0"/>
        <w:autoSpaceDN w:val="0"/>
        <w:adjustRightInd w:val="0"/>
        <w:spacing w:after="0" w:line="240" w:lineRule="auto"/>
        <w:jc w:val="both"/>
        <w:rPr>
          <w:rFonts w:ascii="Times New Roman" w:hAnsi="Times New Roman"/>
          <w:sz w:val="20"/>
          <w:szCs w:val="20"/>
        </w:rPr>
      </w:pPr>
      <w:r w:rsidRPr="00264FFA">
        <w:rPr>
          <w:rFonts w:ascii="Times New Roman" w:hAnsi="Times New Roman"/>
          <w:sz w:val="20"/>
          <w:szCs w:val="20"/>
        </w:rPr>
        <w:t xml:space="preserve">As on the date of this Draft Red Herring Prospectus, we have not received the NOC for the Proposed Offer from one of our lender, namely </w:t>
      </w:r>
      <w:r w:rsidR="001F2043">
        <w:rPr>
          <w:rFonts w:ascii="Times New Roman" w:hAnsi="Times New Roman"/>
          <w:sz w:val="20"/>
          <w:szCs w:val="20"/>
        </w:rPr>
        <w:t>Union Bank of India.</w:t>
      </w:r>
      <w:r w:rsidRPr="00264FFA">
        <w:rPr>
          <w:rFonts w:ascii="Times New Roman" w:hAnsi="Times New Roman"/>
          <w:sz w:val="20"/>
          <w:szCs w:val="20"/>
        </w:rPr>
        <w:t xml:space="preserve"> However, our Company intends to obtain the necessary NOC in relation to the proposed Offer from such lender prior to the filing of the Prospectus with the RoC, undertaking the proposed Offer without obtaining such lender NOC may constitute a default under such loan agreement, which could impact our loan facilities and may have an effect on our financial condition and results of operations.</w:t>
      </w:r>
    </w:p>
    <w:p w14:paraId="68A7A583" w14:textId="77777777" w:rsidR="00D55EC1" w:rsidRDefault="00D55EC1" w:rsidP="00D55EC1">
      <w:pPr>
        <w:widowControl w:val="0"/>
        <w:adjustRightInd w:val="0"/>
        <w:spacing w:after="0" w:line="240" w:lineRule="auto"/>
        <w:jc w:val="both"/>
        <w:textAlignment w:val="baseline"/>
        <w:rPr>
          <w:rFonts w:ascii="Times New Roman" w:hAnsi="Times New Roman"/>
          <w:color w:val="000000"/>
          <w:sz w:val="20"/>
          <w:szCs w:val="20"/>
        </w:rPr>
      </w:pPr>
    </w:p>
    <w:p w14:paraId="028590B3" w14:textId="77777777" w:rsidR="00D55EC1" w:rsidRDefault="00D55EC1" w:rsidP="00F038BD">
      <w:pPr>
        <w:pStyle w:val="ListParagraph"/>
        <w:numPr>
          <w:ilvl w:val="0"/>
          <w:numId w:val="150"/>
        </w:numPr>
        <w:spacing w:line="240" w:lineRule="auto"/>
        <w:contextualSpacing/>
        <w:jc w:val="both"/>
        <w:rPr>
          <w:b/>
          <w:bCs/>
          <w:i/>
          <w:iCs/>
          <w:sz w:val="20"/>
          <w:szCs w:val="20"/>
        </w:rPr>
      </w:pPr>
      <w:r w:rsidRPr="00FE23B9">
        <w:rPr>
          <w:b/>
          <w:bCs/>
          <w:i/>
          <w:iCs/>
          <w:sz w:val="20"/>
          <w:szCs w:val="20"/>
        </w:rPr>
        <w:t>Our industry is labour intensive and our business operations may be materially adversely</w:t>
      </w:r>
      <w:r>
        <w:rPr>
          <w:b/>
          <w:bCs/>
          <w:i/>
          <w:iCs/>
          <w:sz w:val="20"/>
          <w:szCs w:val="20"/>
        </w:rPr>
        <w:t xml:space="preserve"> </w:t>
      </w:r>
      <w:r w:rsidRPr="00FE23B9">
        <w:rPr>
          <w:b/>
          <w:bCs/>
          <w:i/>
          <w:iCs/>
          <w:sz w:val="20"/>
          <w:szCs w:val="20"/>
        </w:rPr>
        <w:t>affected by strikes, work stoppages or increased wage demands by our employees or those</w:t>
      </w:r>
      <w:r>
        <w:rPr>
          <w:b/>
          <w:bCs/>
          <w:i/>
          <w:iCs/>
          <w:sz w:val="20"/>
          <w:szCs w:val="20"/>
        </w:rPr>
        <w:t xml:space="preserve"> </w:t>
      </w:r>
      <w:r w:rsidRPr="00FE23B9">
        <w:rPr>
          <w:b/>
          <w:bCs/>
          <w:i/>
          <w:iCs/>
          <w:sz w:val="20"/>
          <w:szCs w:val="20"/>
        </w:rPr>
        <w:t>of our suppliers</w:t>
      </w:r>
      <w:r>
        <w:rPr>
          <w:b/>
          <w:bCs/>
          <w:i/>
          <w:iCs/>
          <w:sz w:val="20"/>
          <w:szCs w:val="20"/>
        </w:rPr>
        <w:t>.</w:t>
      </w:r>
    </w:p>
    <w:p w14:paraId="590CCB0A" w14:textId="77777777" w:rsidR="00D55EC1" w:rsidRDefault="00D55EC1" w:rsidP="00D55EC1">
      <w:pPr>
        <w:widowControl w:val="0"/>
        <w:adjustRightInd w:val="0"/>
        <w:spacing w:after="0" w:line="240" w:lineRule="auto"/>
        <w:jc w:val="both"/>
        <w:textAlignment w:val="baseline"/>
        <w:rPr>
          <w:rFonts w:ascii="Times New Roman" w:hAnsi="Times New Roman"/>
          <w:b/>
          <w:bCs/>
          <w:i/>
          <w:iCs/>
          <w:color w:val="000000"/>
          <w:sz w:val="20"/>
          <w:szCs w:val="20"/>
        </w:rPr>
      </w:pPr>
    </w:p>
    <w:p w14:paraId="5AD61853" w14:textId="77777777" w:rsidR="00D55EC1" w:rsidRPr="00FE23B9" w:rsidRDefault="00D55EC1" w:rsidP="00D55EC1">
      <w:pPr>
        <w:widowControl w:val="0"/>
        <w:adjustRightInd w:val="0"/>
        <w:spacing w:after="0" w:line="240" w:lineRule="auto"/>
        <w:jc w:val="both"/>
        <w:textAlignment w:val="baseline"/>
        <w:rPr>
          <w:rFonts w:ascii="Times New Roman" w:hAnsi="Times New Roman"/>
          <w:color w:val="000000"/>
          <w:sz w:val="20"/>
          <w:szCs w:val="20"/>
        </w:rPr>
      </w:pPr>
      <w:r w:rsidRPr="00FE23B9">
        <w:rPr>
          <w:rFonts w:ascii="Times New Roman" w:hAnsi="Times New Roman"/>
          <w:color w:val="000000"/>
          <w:sz w:val="20"/>
          <w:szCs w:val="20"/>
        </w:rPr>
        <w:t>We believe that the industry in which we operate faces competitive pressures in recruiting and retaining skilled and unskilled labour. Our industry being labour intensive is highly dependent on labour force for carrying out its manufacturing operations. Shortage of skilled / unskilled</w:t>
      </w:r>
      <w:r>
        <w:rPr>
          <w:rFonts w:ascii="Times New Roman" w:hAnsi="Times New Roman"/>
          <w:color w:val="000000"/>
          <w:sz w:val="20"/>
          <w:szCs w:val="20"/>
        </w:rPr>
        <w:t xml:space="preserve"> </w:t>
      </w:r>
      <w:r w:rsidRPr="00FE23B9">
        <w:rPr>
          <w:rFonts w:ascii="Times New Roman" w:hAnsi="Times New Roman"/>
          <w:color w:val="000000"/>
          <w:sz w:val="20"/>
          <w:szCs w:val="20"/>
        </w:rPr>
        <w:t>personnel or work stoppages caused by disagreements with employees could have an adverse</w:t>
      </w:r>
      <w:r>
        <w:rPr>
          <w:rFonts w:ascii="Times New Roman" w:hAnsi="Times New Roman"/>
          <w:color w:val="000000"/>
          <w:sz w:val="20"/>
          <w:szCs w:val="20"/>
        </w:rPr>
        <w:t xml:space="preserve"> </w:t>
      </w:r>
      <w:r w:rsidRPr="00FE23B9">
        <w:rPr>
          <w:rFonts w:ascii="Times New Roman" w:hAnsi="Times New Roman"/>
          <w:color w:val="000000"/>
          <w:sz w:val="20"/>
          <w:szCs w:val="20"/>
        </w:rPr>
        <w:t>effect on our business and results of operations. We have not experienced any major</w:t>
      </w:r>
      <w:r>
        <w:rPr>
          <w:rFonts w:ascii="Times New Roman" w:hAnsi="Times New Roman"/>
          <w:color w:val="000000"/>
          <w:sz w:val="20"/>
          <w:szCs w:val="20"/>
        </w:rPr>
        <w:t xml:space="preserve"> </w:t>
      </w:r>
      <w:r w:rsidRPr="00FE23B9">
        <w:rPr>
          <w:rFonts w:ascii="Times New Roman" w:hAnsi="Times New Roman"/>
          <w:color w:val="000000"/>
          <w:sz w:val="20"/>
          <w:szCs w:val="20"/>
        </w:rPr>
        <w:t>disruptions in our business operations due to disputes or other problems with our work force</w:t>
      </w:r>
      <w:r>
        <w:rPr>
          <w:rFonts w:ascii="Times New Roman" w:hAnsi="Times New Roman"/>
          <w:color w:val="000000"/>
          <w:sz w:val="20"/>
          <w:szCs w:val="20"/>
        </w:rPr>
        <w:t xml:space="preserve"> </w:t>
      </w:r>
      <w:r w:rsidRPr="00FE23B9">
        <w:rPr>
          <w:rFonts w:ascii="Times New Roman" w:hAnsi="Times New Roman"/>
          <w:color w:val="000000"/>
          <w:sz w:val="20"/>
          <w:szCs w:val="20"/>
        </w:rPr>
        <w:t>in the past, however there can be no assurance that we will not experience any such</w:t>
      </w:r>
      <w:r>
        <w:rPr>
          <w:rFonts w:ascii="Times New Roman" w:hAnsi="Times New Roman"/>
          <w:color w:val="000000"/>
          <w:sz w:val="20"/>
          <w:szCs w:val="20"/>
        </w:rPr>
        <w:t xml:space="preserve"> </w:t>
      </w:r>
      <w:r w:rsidRPr="00FE23B9">
        <w:rPr>
          <w:rFonts w:ascii="Times New Roman" w:hAnsi="Times New Roman"/>
          <w:color w:val="000000"/>
          <w:sz w:val="20"/>
          <w:szCs w:val="20"/>
        </w:rPr>
        <w:t>disruptions in the future. Such disruptions may adversely affect our business and results of</w:t>
      </w:r>
      <w:r>
        <w:rPr>
          <w:rFonts w:ascii="Times New Roman" w:hAnsi="Times New Roman"/>
          <w:color w:val="000000"/>
          <w:sz w:val="20"/>
          <w:szCs w:val="20"/>
        </w:rPr>
        <w:t xml:space="preserve"> </w:t>
      </w:r>
      <w:r w:rsidRPr="00FE23B9">
        <w:rPr>
          <w:rFonts w:ascii="Times New Roman" w:hAnsi="Times New Roman"/>
          <w:color w:val="000000"/>
          <w:sz w:val="20"/>
          <w:szCs w:val="20"/>
        </w:rPr>
        <w:t>operations and may also divert the management's attention and result in increased costs.</w:t>
      </w:r>
    </w:p>
    <w:p w14:paraId="627002E4" w14:textId="77777777" w:rsidR="00D55EC1" w:rsidRDefault="00D55EC1" w:rsidP="00D55EC1">
      <w:pPr>
        <w:widowControl w:val="0"/>
        <w:adjustRightInd w:val="0"/>
        <w:spacing w:after="0" w:line="240" w:lineRule="auto"/>
        <w:jc w:val="both"/>
        <w:textAlignment w:val="baseline"/>
        <w:rPr>
          <w:rFonts w:ascii="Times New Roman" w:hAnsi="Times New Roman"/>
          <w:color w:val="000000"/>
          <w:sz w:val="20"/>
          <w:szCs w:val="20"/>
        </w:rPr>
      </w:pPr>
    </w:p>
    <w:p w14:paraId="7E2BBD64" w14:textId="77777777" w:rsidR="00D55EC1" w:rsidRPr="00FE23B9" w:rsidRDefault="00D55EC1" w:rsidP="00D55EC1">
      <w:pPr>
        <w:widowControl w:val="0"/>
        <w:adjustRightInd w:val="0"/>
        <w:spacing w:after="0" w:line="240" w:lineRule="auto"/>
        <w:jc w:val="both"/>
        <w:textAlignment w:val="baseline"/>
        <w:rPr>
          <w:rFonts w:ascii="Times New Roman" w:hAnsi="Times New Roman"/>
          <w:color w:val="000000"/>
          <w:sz w:val="20"/>
          <w:szCs w:val="20"/>
        </w:rPr>
      </w:pPr>
      <w:r w:rsidRPr="00FE23B9">
        <w:rPr>
          <w:rFonts w:ascii="Times New Roman" w:hAnsi="Times New Roman"/>
          <w:color w:val="000000"/>
          <w:sz w:val="20"/>
          <w:szCs w:val="20"/>
        </w:rPr>
        <w:t>India has stringent labour legislation that protects the interests of workers, including</w:t>
      </w:r>
      <w:r>
        <w:rPr>
          <w:rFonts w:ascii="Times New Roman" w:hAnsi="Times New Roman"/>
          <w:color w:val="000000"/>
          <w:sz w:val="20"/>
          <w:szCs w:val="20"/>
        </w:rPr>
        <w:t xml:space="preserve"> </w:t>
      </w:r>
      <w:r w:rsidRPr="00FE23B9">
        <w:rPr>
          <w:rFonts w:ascii="Times New Roman" w:hAnsi="Times New Roman"/>
          <w:color w:val="000000"/>
          <w:sz w:val="20"/>
          <w:szCs w:val="20"/>
        </w:rPr>
        <w:t>legislation that sets forth detailed procedures for the establishment of unions, dispute</w:t>
      </w:r>
      <w:r>
        <w:rPr>
          <w:rFonts w:ascii="Times New Roman" w:hAnsi="Times New Roman"/>
          <w:color w:val="000000"/>
          <w:sz w:val="20"/>
          <w:szCs w:val="20"/>
        </w:rPr>
        <w:t xml:space="preserve"> </w:t>
      </w:r>
      <w:r w:rsidRPr="00FE23B9">
        <w:rPr>
          <w:rFonts w:ascii="Times New Roman" w:hAnsi="Times New Roman"/>
          <w:color w:val="000000"/>
          <w:sz w:val="20"/>
          <w:szCs w:val="20"/>
        </w:rPr>
        <w:t>resolution and employee removal and legislation that imposes certain financial obligations on</w:t>
      </w:r>
      <w:r>
        <w:rPr>
          <w:rFonts w:ascii="Times New Roman" w:hAnsi="Times New Roman"/>
          <w:color w:val="000000"/>
          <w:sz w:val="20"/>
          <w:szCs w:val="20"/>
        </w:rPr>
        <w:t xml:space="preserve"> </w:t>
      </w:r>
      <w:r w:rsidRPr="00FE23B9">
        <w:rPr>
          <w:rFonts w:ascii="Times New Roman" w:hAnsi="Times New Roman"/>
          <w:color w:val="000000"/>
          <w:sz w:val="20"/>
          <w:szCs w:val="20"/>
        </w:rPr>
        <w:t>employers upon retrenchment. We are also subject to laws and regulations governing</w:t>
      </w:r>
      <w:r>
        <w:rPr>
          <w:rFonts w:ascii="Times New Roman" w:hAnsi="Times New Roman"/>
          <w:color w:val="000000"/>
          <w:sz w:val="20"/>
          <w:szCs w:val="20"/>
        </w:rPr>
        <w:t xml:space="preserve"> </w:t>
      </w:r>
      <w:r w:rsidRPr="00FE23B9">
        <w:rPr>
          <w:rFonts w:ascii="Times New Roman" w:hAnsi="Times New Roman"/>
          <w:color w:val="000000"/>
          <w:sz w:val="20"/>
          <w:szCs w:val="20"/>
        </w:rPr>
        <w:t>relationships with employees, in such areas as minimum wage and maximum working hours,</w:t>
      </w:r>
      <w:r>
        <w:rPr>
          <w:rFonts w:ascii="Times New Roman" w:hAnsi="Times New Roman"/>
          <w:color w:val="000000"/>
          <w:sz w:val="20"/>
          <w:szCs w:val="20"/>
        </w:rPr>
        <w:t xml:space="preserve"> </w:t>
      </w:r>
      <w:r w:rsidRPr="00FE23B9">
        <w:rPr>
          <w:rFonts w:ascii="Times New Roman" w:hAnsi="Times New Roman"/>
          <w:color w:val="000000"/>
          <w:sz w:val="20"/>
          <w:szCs w:val="20"/>
        </w:rPr>
        <w:t>overtime, working conditions, hiring and terminating of employees and work permits.</w:t>
      </w:r>
      <w:r>
        <w:rPr>
          <w:rFonts w:ascii="Times New Roman" w:hAnsi="Times New Roman"/>
          <w:color w:val="000000"/>
          <w:sz w:val="20"/>
          <w:szCs w:val="20"/>
        </w:rPr>
        <w:t xml:space="preserve"> </w:t>
      </w:r>
      <w:r w:rsidRPr="00FE23B9">
        <w:rPr>
          <w:rFonts w:ascii="Times New Roman" w:hAnsi="Times New Roman"/>
          <w:color w:val="000000"/>
          <w:sz w:val="20"/>
          <w:szCs w:val="20"/>
        </w:rPr>
        <w:t>Although our employees are not currently unionized, there can be no assurance that they will</w:t>
      </w:r>
      <w:r>
        <w:rPr>
          <w:rFonts w:ascii="Times New Roman" w:hAnsi="Times New Roman"/>
          <w:color w:val="000000"/>
          <w:sz w:val="20"/>
          <w:szCs w:val="20"/>
        </w:rPr>
        <w:t xml:space="preserve"> </w:t>
      </w:r>
      <w:r w:rsidRPr="00FE23B9">
        <w:rPr>
          <w:rFonts w:ascii="Times New Roman" w:hAnsi="Times New Roman"/>
          <w:color w:val="000000"/>
          <w:sz w:val="20"/>
          <w:szCs w:val="20"/>
        </w:rPr>
        <w:t>not unionize in the future. If our employees unionize, it may become difficult for us to</w:t>
      </w:r>
      <w:r>
        <w:rPr>
          <w:rFonts w:ascii="Times New Roman" w:hAnsi="Times New Roman"/>
          <w:color w:val="000000"/>
          <w:sz w:val="20"/>
          <w:szCs w:val="20"/>
        </w:rPr>
        <w:t xml:space="preserve"> </w:t>
      </w:r>
      <w:r w:rsidRPr="00FE23B9">
        <w:rPr>
          <w:rFonts w:ascii="Times New Roman" w:hAnsi="Times New Roman"/>
          <w:color w:val="000000"/>
          <w:sz w:val="20"/>
          <w:szCs w:val="20"/>
        </w:rPr>
        <w:t>maintain flexible labour policies, and we may face the threat of labour unrest, work stoppages</w:t>
      </w:r>
      <w:r>
        <w:rPr>
          <w:rFonts w:ascii="Times New Roman" w:hAnsi="Times New Roman"/>
          <w:color w:val="000000"/>
          <w:sz w:val="20"/>
          <w:szCs w:val="20"/>
        </w:rPr>
        <w:t xml:space="preserve"> </w:t>
      </w:r>
      <w:r w:rsidRPr="00FE23B9">
        <w:rPr>
          <w:rFonts w:ascii="Times New Roman" w:hAnsi="Times New Roman"/>
          <w:color w:val="000000"/>
          <w:sz w:val="20"/>
          <w:szCs w:val="20"/>
        </w:rPr>
        <w:t>and diversion of our management's attention due to union intervention, which may have a</w:t>
      </w:r>
      <w:r>
        <w:rPr>
          <w:rFonts w:ascii="Times New Roman" w:hAnsi="Times New Roman"/>
          <w:color w:val="000000"/>
          <w:sz w:val="20"/>
          <w:szCs w:val="20"/>
        </w:rPr>
        <w:t xml:space="preserve"> </w:t>
      </w:r>
      <w:r w:rsidRPr="00FE23B9">
        <w:rPr>
          <w:rFonts w:ascii="Times New Roman" w:hAnsi="Times New Roman"/>
          <w:color w:val="000000"/>
          <w:sz w:val="20"/>
          <w:szCs w:val="20"/>
        </w:rPr>
        <w:t>material adverse impact on our business, results of operations and financial condition</w:t>
      </w:r>
      <w:r>
        <w:rPr>
          <w:rFonts w:ascii="Times New Roman" w:hAnsi="Times New Roman"/>
          <w:color w:val="000000"/>
          <w:sz w:val="20"/>
          <w:szCs w:val="20"/>
        </w:rPr>
        <w:t>.</w:t>
      </w:r>
    </w:p>
    <w:p w14:paraId="6F0D99FD" w14:textId="77777777" w:rsidR="00D55EC1" w:rsidRPr="00641801" w:rsidRDefault="00D55EC1" w:rsidP="00D55EC1">
      <w:pPr>
        <w:widowControl w:val="0"/>
        <w:adjustRightInd w:val="0"/>
        <w:spacing w:after="0" w:line="240" w:lineRule="auto"/>
        <w:jc w:val="both"/>
        <w:textAlignment w:val="baseline"/>
        <w:rPr>
          <w:rFonts w:ascii="Times New Roman" w:hAnsi="Times New Roman"/>
          <w:color w:val="000000"/>
          <w:sz w:val="20"/>
          <w:szCs w:val="20"/>
        </w:rPr>
      </w:pPr>
    </w:p>
    <w:p w14:paraId="77D97811" w14:textId="77777777" w:rsidR="00D55EC1" w:rsidRPr="00641801" w:rsidRDefault="00D55EC1" w:rsidP="00F038BD">
      <w:pPr>
        <w:pStyle w:val="ListParagraph"/>
        <w:numPr>
          <w:ilvl w:val="0"/>
          <w:numId w:val="150"/>
        </w:numPr>
        <w:spacing w:line="240" w:lineRule="auto"/>
        <w:contextualSpacing/>
        <w:jc w:val="both"/>
        <w:rPr>
          <w:b/>
          <w:bCs/>
          <w:i/>
          <w:iCs/>
          <w:sz w:val="20"/>
          <w:szCs w:val="20"/>
        </w:rPr>
      </w:pPr>
      <w:r w:rsidRPr="00641801">
        <w:rPr>
          <w:b/>
          <w:bCs/>
          <w:i/>
          <w:iCs/>
          <w:sz w:val="20"/>
          <w:szCs w:val="20"/>
        </w:rPr>
        <w:t>Dependence upon transportation services for supply and transportation of our products are subject to various uncertainties and risks, and delays in delivery may result in rejection of products by customer.</w:t>
      </w:r>
    </w:p>
    <w:p w14:paraId="6CE01970" w14:textId="77777777" w:rsidR="00D55EC1" w:rsidRPr="00641801" w:rsidRDefault="00D55EC1" w:rsidP="00D55EC1">
      <w:pPr>
        <w:widowControl w:val="0"/>
        <w:autoSpaceDE w:val="0"/>
        <w:autoSpaceDN w:val="0"/>
        <w:adjustRightInd w:val="0"/>
        <w:spacing w:after="0" w:line="240" w:lineRule="auto"/>
        <w:ind w:left="360"/>
        <w:contextualSpacing/>
        <w:jc w:val="both"/>
        <w:textAlignment w:val="baseline"/>
        <w:rPr>
          <w:rFonts w:ascii="Times New Roman" w:eastAsia="MS Mincho" w:hAnsi="Times New Roman"/>
          <w:b/>
          <w:bCs/>
          <w:i/>
          <w:iCs/>
          <w:sz w:val="20"/>
          <w:szCs w:val="20"/>
        </w:rPr>
      </w:pPr>
    </w:p>
    <w:p w14:paraId="6C3CC1DD" w14:textId="77777777" w:rsidR="00D55EC1" w:rsidRDefault="00D55EC1" w:rsidP="00D55EC1">
      <w:pPr>
        <w:widowControl w:val="0"/>
        <w:adjustRightInd w:val="0"/>
        <w:spacing w:after="0" w:line="240" w:lineRule="auto"/>
        <w:jc w:val="both"/>
        <w:textAlignment w:val="baseline"/>
        <w:rPr>
          <w:rFonts w:ascii="Times New Roman" w:hAnsi="Times New Roman"/>
          <w:color w:val="000000"/>
          <w:sz w:val="20"/>
          <w:szCs w:val="20"/>
        </w:rPr>
      </w:pPr>
      <w:r w:rsidRPr="00641801">
        <w:rPr>
          <w:rFonts w:ascii="Times New Roman" w:hAnsi="Times New Roman"/>
          <w:color w:val="000000"/>
          <w:sz w:val="20"/>
          <w:szCs w:val="20"/>
        </w:rPr>
        <w:t>We do not have an in-house transportation facility and we rely on third party transportation and other logistic facilities at every stage of our business activity including for procurement of products from our suppliers and for transportation of our finished products to our customers. For this purpose, we hire services of transportation companies. However, we have not entered into any definitive agreements with any third party transport service providers and engage them on a needs basis. Additionally, availability of transportation solutions in the markets we operate in is typically fragmented. The cost of our goods carried by such third party transporters is typically much higher than the consideration paid for transportation, due to which it may be difficult for us to recover compensation for damaged, delayed or lost goods.</w:t>
      </w:r>
    </w:p>
    <w:p w14:paraId="71E635F1" w14:textId="77777777" w:rsidR="00D55EC1" w:rsidRPr="00641801" w:rsidRDefault="00D55EC1" w:rsidP="00D55EC1">
      <w:pPr>
        <w:widowControl w:val="0"/>
        <w:adjustRightInd w:val="0"/>
        <w:spacing w:after="0" w:line="240" w:lineRule="auto"/>
        <w:jc w:val="both"/>
        <w:textAlignment w:val="baseline"/>
        <w:rPr>
          <w:rFonts w:ascii="Times New Roman" w:hAnsi="Times New Roman"/>
          <w:color w:val="000000"/>
          <w:sz w:val="20"/>
          <w:szCs w:val="20"/>
        </w:rPr>
      </w:pPr>
    </w:p>
    <w:p w14:paraId="2B84A439" w14:textId="77777777" w:rsidR="00D55EC1" w:rsidRPr="00726B2B" w:rsidRDefault="00D55EC1" w:rsidP="00F038BD">
      <w:pPr>
        <w:pStyle w:val="ListParagraph"/>
        <w:numPr>
          <w:ilvl w:val="0"/>
          <w:numId w:val="150"/>
        </w:numPr>
        <w:spacing w:line="240" w:lineRule="auto"/>
        <w:contextualSpacing/>
        <w:jc w:val="both"/>
        <w:rPr>
          <w:b/>
          <w:bCs/>
          <w:i/>
          <w:iCs/>
          <w:sz w:val="20"/>
          <w:szCs w:val="20"/>
        </w:rPr>
      </w:pPr>
      <w:r w:rsidRPr="00726B2B">
        <w:rPr>
          <w:b/>
          <w:bCs/>
          <w:i/>
          <w:iCs/>
          <w:sz w:val="20"/>
          <w:szCs w:val="20"/>
        </w:rPr>
        <w:t>Our insurance coverage may not be adequate to protect us against certain operating hazards and this may have a material adverse effect on our business.</w:t>
      </w:r>
    </w:p>
    <w:p w14:paraId="1A9CF64D" w14:textId="77777777" w:rsidR="00D55EC1" w:rsidRPr="00726B2B" w:rsidRDefault="00D55EC1" w:rsidP="00D55EC1">
      <w:pPr>
        <w:widowControl w:val="0"/>
        <w:suppressAutoHyphens/>
        <w:autoSpaceDE w:val="0"/>
        <w:autoSpaceDN w:val="0"/>
        <w:adjustRightInd w:val="0"/>
        <w:spacing w:after="0" w:line="240" w:lineRule="auto"/>
        <w:ind w:left="360"/>
        <w:jc w:val="both"/>
        <w:textAlignment w:val="center"/>
        <w:rPr>
          <w:rFonts w:ascii="Times New Roman" w:eastAsia="MS Mincho" w:hAnsi="Times New Roman"/>
          <w:b/>
          <w:bCs/>
          <w:i/>
          <w:iCs/>
          <w:sz w:val="20"/>
          <w:szCs w:val="20"/>
        </w:rPr>
      </w:pPr>
    </w:p>
    <w:p w14:paraId="2C14627C" w14:textId="0138DB6B" w:rsidR="008927E8" w:rsidRPr="008927E8" w:rsidRDefault="008927E8" w:rsidP="008927E8">
      <w:pPr>
        <w:widowControl w:val="0"/>
        <w:adjustRightInd w:val="0"/>
        <w:spacing w:after="0" w:line="240" w:lineRule="auto"/>
        <w:jc w:val="both"/>
        <w:textAlignment w:val="baseline"/>
        <w:rPr>
          <w:rFonts w:ascii="Times New Roman" w:hAnsi="Times New Roman"/>
          <w:sz w:val="20"/>
          <w:szCs w:val="20"/>
        </w:rPr>
      </w:pPr>
      <w:r w:rsidRPr="008927E8">
        <w:rPr>
          <w:rFonts w:ascii="Times New Roman" w:hAnsi="Times New Roman"/>
          <w:sz w:val="20"/>
          <w:szCs w:val="20"/>
        </w:rPr>
        <w:t xml:space="preserve">Our operations are subject to risks inherent in manufacturing facilities such as risk of equipment failure, work accidents, fire, earthquakes, flood and other force majeure events, acts of terrorism and explosions including hazards that may cause injury and loss of life, severe damage to and the destruction of property and equipment and environmental damage. Our significant insurance policies consist of, among others, </w:t>
      </w:r>
      <w:r w:rsidR="00726B2B" w:rsidRPr="002C0BC6">
        <w:rPr>
          <w:rFonts w:ascii="Times New Roman" w:hAnsi="Times New Roman"/>
          <w:sz w:val="20"/>
          <w:szCs w:val="20"/>
        </w:rPr>
        <w:t>business guard laghu package policy for factory building, plant &amp; machinery and stock in process</w:t>
      </w:r>
      <w:r w:rsidR="00726B2B" w:rsidRPr="00726B2B">
        <w:rPr>
          <w:rFonts w:ascii="Times New Roman" w:hAnsi="Times New Roman"/>
          <w:sz w:val="20"/>
          <w:szCs w:val="20"/>
        </w:rPr>
        <w:t xml:space="preserve"> and marine open policy</w:t>
      </w:r>
      <w:r w:rsidR="00726B2B" w:rsidRPr="002C0BC6">
        <w:rPr>
          <w:rFonts w:ascii="Times New Roman" w:hAnsi="Times New Roman"/>
          <w:sz w:val="20"/>
          <w:szCs w:val="20"/>
        </w:rPr>
        <w:t>.</w:t>
      </w:r>
      <w:r w:rsidR="00726B2B">
        <w:rPr>
          <w:rFonts w:ascii="Times New Roman" w:hAnsi="Times New Roman"/>
          <w:sz w:val="20"/>
          <w:szCs w:val="20"/>
        </w:rPr>
        <w:t xml:space="preserve"> </w:t>
      </w:r>
      <w:r w:rsidRPr="008927E8">
        <w:rPr>
          <w:rFonts w:ascii="Times New Roman" w:hAnsi="Times New Roman"/>
          <w:sz w:val="20"/>
          <w:szCs w:val="20"/>
        </w:rPr>
        <w:t xml:space="preserve">While we believe that we maintain insurance coverage in adequate amounts consistent with size of our business, our insurance policies do not cover all risks, specifically risks such as </w:t>
      </w:r>
      <w:r w:rsidR="00726B2B">
        <w:rPr>
          <w:rFonts w:ascii="Times New Roman" w:hAnsi="Times New Roman"/>
          <w:sz w:val="20"/>
          <w:szCs w:val="20"/>
        </w:rPr>
        <w:t xml:space="preserve">burglary insurance, </w:t>
      </w:r>
      <w:r w:rsidRPr="008927E8">
        <w:rPr>
          <w:rFonts w:ascii="Times New Roman" w:hAnsi="Times New Roman"/>
          <w:sz w:val="20"/>
          <w:szCs w:val="20"/>
        </w:rPr>
        <w:t>cash in transit, goods in transit, machinery breakdown, workmen compensation, group personal accident or mediclaim policy. Failure to effectively cover ourselves against the associated risks may potentially lead to material losses. There can be no assurance that our insurance policies will be adequate to cover the losses/ damages suffered or that such insurance coverage will continue to be available on reasonable terms or will be available in sufficient amounts to cover one or more large claims, or that the insurer will not disclaim coverage as to any future claim. If we suffer a significant uninsured loss or if insurance claim in respect of the subject matter of insurance is not accepted or any insured loss suffered by us significantly exceeds our insurance coverage, our business, financial condition and results of operations may be materially and adversely affected.</w:t>
      </w:r>
    </w:p>
    <w:p w14:paraId="5EC6A613" w14:textId="77777777" w:rsidR="00D55EC1" w:rsidRDefault="00D55EC1" w:rsidP="00D55EC1">
      <w:pPr>
        <w:widowControl w:val="0"/>
        <w:adjustRightInd w:val="0"/>
        <w:spacing w:after="0" w:line="240" w:lineRule="auto"/>
        <w:jc w:val="both"/>
        <w:textAlignment w:val="baseline"/>
        <w:rPr>
          <w:rFonts w:ascii="Times New Roman" w:eastAsia="Calibri" w:hAnsi="Times New Roman"/>
          <w:sz w:val="20"/>
          <w:szCs w:val="20"/>
        </w:rPr>
      </w:pPr>
    </w:p>
    <w:p w14:paraId="05DE1041" w14:textId="77777777" w:rsidR="00D55EC1" w:rsidRPr="004C2A8F" w:rsidRDefault="00D55EC1" w:rsidP="00F038BD">
      <w:pPr>
        <w:numPr>
          <w:ilvl w:val="0"/>
          <w:numId w:val="150"/>
        </w:numPr>
        <w:spacing w:after="0" w:line="240" w:lineRule="auto"/>
        <w:jc w:val="both"/>
        <w:rPr>
          <w:rFonts w:ascii="Times New Roman" w:hAnsi="Times New Roman"/>
          <w:b/>
          <w:bCs/>
          <w:i/>
          <w:iCs/>
          <w:sz w:val="20"/>
          <w:szCs w:val="20"/>
        </w:rPr>
      </w:pPr>
      <w:r w:rsidRPr="004C2A8F">
        <w:rPr>
          <w:rFonts w:ascii="Times New Roman" w:hAnsi="Times New Roman"/>
          <w:b/>
          <w:bCs/>
          <w:i/>
          <w:iCs/>
          <w:sz w:val="20"/>
          <w:szCs w:val="20"/>
        </w:rPr>
        <w:t>Our operations are subject to high working capital requirements. Our inability to maintain an optimal level of working capital required for our business may impact our operations adversely.</w:t>
      </w:r>
    </w:p>
    <w:p w14:paraId="33224FED" w14:textId="77777777" w:rsidR="00D55EC1" w:rsidRPr="004C2A8F" w:rsidRDefault="00D55EC1" w:rsidP="00D55EC1">
      <w:pPr>
        <w:widowControl w:val="0"/>
        <w:autoSpaceDE w:val="0"/>
        <w:autoSpaceDN w:val="0"/>
        <w:adjustRightInd w:val="0"/>
        <w:spacing w:after="0" w:line="240" w:lineRule="auto"/>
        <w:jc w:val="both"/>
        <w:textAlignment w:val="baseline"/>
        <w:rPr>
          <w:rFonts w:ascii="Times New Roman" w:hAnsi="Times New Roman"/>
          <w:sz w:val="20"/>
          <w:szCs w:val="20"/>
        </w:rPr>
      </w:pPr>
    </w:p>
    <w:p w14:paraId="4661076C" w14:textId="77777777" w:rsidR="00D55EC1" w:rsidRPr="00223E07" w:rsidRDefault="00D55EC1" w:rsidP="00D55EC1">
      <w:pPr>
        <w:widowControl w:val="0"/>
        <w:tabs>
          <w:tab w:val="left" w:pos="0"/>
        </w:tabs>
        <w:autoSpaceDE w:val="0"/>
        <w:autoSpaceDN w:val="0"/>
        <w:adjustRightInd w:val="0"/>
        <w:spacing w:after="0" w:line="240" w:lineRule="auto"/>
        <w:jc w:val="both"/>
        <w:textAlignment w:val="baseline"/>
        <w:rPr>
          <w:rFonts w:ascii="Times New Roman" w:hAnsi="Times New Roman"/>
          <w:sz w:val="20"/>
          <w:szCs w:val="20"/>
        </w:rPr>
      </w:pPr>
      <w:r w:rsidRPr="004C2A8F">
        <w:rPr>
          <w:rFonts w:ascii="Times New Roman" w:hAnsi="Times New Roman"/>
          <w:sz w:val="20"/>
          <w:szCs w:val="20"/>
        </w:rPr>
        <w:t xml:space="preserve">Our business requires significant amount of working capital and major portion of our working capital is utilized towards inventories </w:t>
      </w:r>
      <w:r w:rsidRPr="004C2A8F">
        <w:rPr>
          <w:rFonts w:ascii="Times New Roman" w:hAnsi="Times New Roman"/>
          <w:sz w:val="20"/>
          <w:szCs w:val="20"/>
        </w:rPr>
        <w:lastRenderedPageBreak/>
        <w:t xml:space="preserve">and trade receivables. Our growing scale and expansion, if any, may result in increase in the quantum of current assets. Our inability to </w:t>
      </w:r>
      <w:r w:rsidRPr="00223E07">
        <w:rPr>
          <w:rFonts w:ascii="Times New Roman" w:hAnsi="Times New Roman"/>
          <w:sz w:val="20"/>
          <w:szCs w:val="20"/>
        </w:rPr>
        <w:t xml:space="preserve">maintain sufficient cash flow, credit facility and other sources of funding, in a timely manner, or at all, to meet the requirement of working capital or pay out debts, could adversely affect our financial condition and result of our operations. Further, we have high outstanding amount due from our debtors which may result in a high risk in case of non-payment by these debtors. In case of any such defaults from our debtors, may affect our business operations and financials. For further details regarding working capital requirement, please refer to the section </w:t>
      </w:r>
      <w:r w:rsidRPr="00223E07">
        <w:rPr>
          <w:rFonts w:ascii="Times New Roman" w:hAnsi="Times New Roman"/>
          <w:b/>
          <w:i/>
          <w:sz w:val="20"/>
          <w:szCs w:val="20"/>
        </w:rPr>
        <w:t>“Objects of the offer”</w:t>
      </w:r>
      <w:r w:rsidRPr="00223E07">
        <w:rPr>
          <w:rFonts w:ascii="Times New Roman" w:hAnsi="Times New Roman"/>
          <w:sz w:val="20"/>
          <w:szCs w:val="20"/>
        </w:rPr>
        <w:t xml:space="preserve"> on page </w:t>
      </w:r>
      <w:r w:rsidRPr="00223E07">
        <w:rPr>
          <w:rFonts w:ascii="Times New Roman" w:hAnsi="Times New Roman"/>
          <w:i/>
          <w:iCs/>
          <w:sz w:val="20"/>
          <w:szCs w:val="20"/>
        </w:rPr>
        <w:fldChar w:fldCharType="begin"/>
      </w:r>
      <w:r w:rsidRPr="00223E07">
        <w:rPr>
          <w:rFonts w:ascii="Times New Roman" w:hAnsi="Times New Roman"/>
          <w:i/>
          <w:iCs/>
          <w:sz w:val="20"/>
          <w:szCs w:val="20"/>
        </w:rPr>
        <w:instrText xml:space="preserve"> PAGEREF  OBJECT  \* MERGEFORMAT </w:instrText>
      </w:r>
      <w:r w:rsidRPr="00223E07">
        <w:rPr>
          <w:rFonts w:ascii="Times New Roman" w:hAnsi="Times New Roman"/>
          <w:i/>
          <w:iCs/>
          <w:sz w:val="20"/>
          <w:szCs w:val="20"/>
        </w:rPr>
        <w:fldChar w:fldCharType="separate"/>
      </w:r>
      <w:r w:rsidRPr="00223E07">
        <w:rPr>
          <w:rFonts w:ascii="Times New Roman" w:hAnsi="Times New Roman"/>
          <w:i/>
          <w:iCs/>
          <w:noProof/>
          <w:sz w:val="20"/>
          <w:szCs w:val="20"/>
        </w:rPr>
        <w:t>63</w:t>
      </w:r>
      <w:r w:rsidRPr="00223E07">
        <w:rPr>
          <w:rFonts w:ascii="Times New Roman" w:hAnsi="Times New Roman"/>
          <w:i/>
          <w:iCs/>
          <w:sz w:val="20"/>
          <w:szCs w:val="20"/>
        </w:rPr>
        <w:fldChar w:fldCharType="end"/>
      </w:r>
      <w:r w:rsidRPr="00223E07">
        <w:rPr>
          <w:rFonts w:ascii="Times New Roman" w:hAnsi="Times New Roman"/>
          <w:i/>
          <w:iCs/>
          <w:sz w:val="20"/>
          <w:szCs w:val="20"/>
        </w:rPr>
        <w:t xml:space="preserve"> </w:t>
      </w:r>
      <w:r w:rsidRPr="00223E07">
        <w:rPr>
          <w:rFonts w:ascii="Times New Roman" w:hAnsi="Times New Roman"/>
          <w:sz w:val="20"/>
          <w:szCs w:val="20"/>
        </w:rPr>
        <w:t xml:space="preserve">of this Draft Red Herring Prospectus. </w:t>
      </w:r>
    </w:p>
    <w:p w14:paraId="13668949" w14:textId="77777777" w:rsidR="00D55EC1" w:rsidRPr="00223E07" w:rsidRDefault="00D55EC1" w:rsidP="00D55EC1">
      <w:pPr>
        <w:widowControl w:val="0"/>
        <w:adjustRightInd w:val="0"/>
        <w:spacing w:after="0" w:line="240" w:lineRule="auto"/>
        <w:jc w:val="both"/>
        <w:textAlignment w:val="baseline"/>
        <w:rPr>
          <w:rFonts w:ascii="Times New Roman" w:eastAsia="Calibri" w:hAnsi="Times New Roman"/>
          <w:sz w:val="20"/>
          <w:szCs w:val="20"/>
        </w:rPr>
      </w:pPr>
    </w:p>
    <w:p w14:paraId="5FAD8132" w14:textId="77777777" w:rsidR="00D55EC1" w:rsidRPr="00223E07" w:rsidRDefault="00D55EC1" w:rsidP="00F038BD">
      <w:pPr>
        <w:pStyle w:val="ListParagraph"/>
        <w:numPr>
          <w:ilvl w:val="0"/>
          <w:numId w:val="150"/>
        </w:numPr>
        <w:spacing w:line="240" w:lineRule="auto"/>
        <w:contextualSpacing/>
        <w:jc w:val="both"/>
        <w:rPr>
          <w:b/>
          <w:bCs/>
          <w:i/>
          <w:iCs/>
          <w:sz w:val="20"/>
          <w:szCs w:val="20"/>
        </w:rPr>
      </w:pPr>
      <w:r w:rsidRPr="00223E07">
        <w:rPr>
          <w:b/>
          <w:bCs/>
          <w:i/>
          <w:iCs/>
          <w:sz w:val="20"/>
          <w:szCs w:val="20"/>
        </w:rPr>
        <w:t xml:space="preserve">Our Contingent Liability and Commitments could affect our financial position. </w:t>
      </w:r>
    </w:p>
    <w:p w14:paraId="1E42468A" w14:textId="77777777" w:rsidR="00D55EC1" w:rsidRPr="00223E07" w:rsidRDefault="00D55EC1" w:rsidP="00D55EC1">
      <w:pPr>
        <w:spacing w:after="0" w:line="240" w:lineRule="auto"/>
        <w:jc w:val="both"/>
        <w:rPr>
          <w:rFonts w:ascii="Times New Roman" w:eastAsia="MS Mincho" w:hAnsi="Times New Roman"/>
          <w:sz w:val="20"/>
          <w:szCs w:val="20"/>
        </w:rPr>
      </w:pPr>
    </w:p>
    <w:p w14:paraId="6F98DAC5" w14:textId="5ECF20AB" w:rsidR="00D55EC1" w:rsidRDefault="00D55EC1" w:rsidP="00D55EC1">
      <w:pPr>
        <w:spacing w:after="0" w:line="240" w:lineRule="auto"/>
        <w:jc w:val="both"/>
        <w:rPr>
          <w:rFonts w:ascii="Times New Roman" w:hAnsi="Times New Roman"/>
          <w:sz w:val="20"/>
          <w:szCs w:val="20"/>
        </w:rPr>
      </w:pPr>
      <w:r w:rsidRPr="00223E07">
        <w:rPr>
          <w:rFonts w:ascii="Times New Roman" w:eastAsia="MS Mincho" w:hAnsi="Times New Roman"/>
          <w:sz w:val="20"/>
          <w:szCs w:val="20"/>
        </w:rPr>
        <w:t>As on 31</w:t>
      </w:r>
      <w:r w:rsidRPr="00223E07">
        <w:rPr>
          <w:rFonts w:ascii="Times New Roman" w:eastAsia="MS Mincho" w:hAnsi="Times New Roman"/>
          <w:sz w:val="20"/>
          <w:szCs w:val="20"/>
          <w:vertAlign w:val="superscript"/>
        </w:rPr>
        <w:t>st</w:t>
      </w:r>
      <w:r w:rsidRPr="00223E07">
        <w:rPr>
          <w:rFonts w:ascii="Times New Roman" w:eastAsia="MS Mincho" w:hAnsi="Times New Roman"/>
          <w:sz w:val="20"/>
          <w:szCs w:val="20"/>
        </w:rPr>
        <w:t xml:space="preserve"> March, 2023, we had Contingent Liability of </w:t>
      </w:r>
      <w:r w:rsidR="001706A2" w:rsidRPr="00712F3C">
        <w:rPr>
          <w:rFonts w:ascii="Times New Roman" w:eastAsia="MS Mincho" w:hAnsi="Times New Roman"/>
          <w:sz w:val="20"/>
          <w:szCs w:val="20"/>
        </w:rPr>
        <w:t>₹</w:t>
      </w:r>
      <w:r w:rsidR="001706A2">
        <w:rPr>
          <w:rFonts w:ascii="Times New Roman" w:eastAsia="MS Mincho" w:hAnsi="Times New Roman"/>
          <w:sz w:val="20"/>
          <w:szCs w:val="20"/>
        </w:rPr>
        <w:t xml:space="preserve"> </w:t>
      </w:r>
      <w:r w:rsidRPr="00223E07">
        <w:rPr>
          <w:rFonts w:ascii="Times New Roman" w:eastAsia="MS Mincho" w:hAnsi="Times New Roman"/>
          <w:sz w:val="20"/>
          <w:szCs w:val="20"/>
        </w:rPr>
        <w:t xml:space="preserve">5.98 lakhs against VAT demand matter, which have not been provided in our financial statements and which could affect our financial position. </w:t>
      </w:r>
      <w:r w:rsidRPr="00223E07">
        <w:rPr>
          <w:rFonts w:ascii="Times New Roman" w:hAnsi="Times New Roman"/>
          <w:sz w:val="20"/>
          <w:szCs w:val="20"/>
        </w:rPr>
        <w:t xml:space="preserve">For further details, please refer to Note V – Contingent Liabilities in the chapter titled </w:t>
      </w:r>
      <w:r w:rsidRPr="00223E07">
        <w:rPr>
          <w:rFonts w:ascii="Times New Roman" w:hAnsi="Times New Roman"/>
          <w:b/>
          <w:i/>
          <w:sz w:val="20"/>
          <w:szCs w:val="20"/>
        </w:rPr>
        <w:t xml:space="preserve">“Financial Information of the Company” </w:t>
      </w:r>
      <w:r w:rsidRPr="00223E07">
        <w:rPr>
          <w:rFonts w:ascii="Times New Roman" w:hAnsi="Times New Roman"/>
          <w:sz w:val="20"/>
          <w:szCs w:val="20"/>
        </w:rPr>
        <w:t>on page 196 of this Draft Prospectus.</w:t>
      </w:r>
    </w:p>
    <w:p w14:paraId="195F36ED" w14:textId="77777777" w:rsidR="001F2043" w:rsidRDefault="001F2043" w:rsidP="00D55EC1">
      <w:pPr>
        <w:spacing w:after="0" w:line="240" w:lineRule="auto"/>
        <w:jc w:val="both"/>
        <w:rPr>
          <w:rFonts w:ascii="Times New Roman" w:hAnsi="Times New Roman"/>
          <w:sz w:val="20"/>
          <w:szCs w:val="20"/>
        </w:rPr>
      </w:pPr>
    </w:p>
    <w:p w14:paraId="126BA59C" w14:textId="5197FB32" w:rsidR="001F2043" w:rsidRPr="00223E07" w:rsidRDefault="001F2043" w:rsidP="001F2043">
      <w:pPr>
        <w:pStyle w:val="ListParagraph"/>
        <w:numPr>
          <w:ilvl w:val="0"/>
          <w:numId w:val="150"/>
        </w:numPr>
        <w:spacing w:line="240" w:lineRule="auto"/>
        <w:contextualSpacing/>
        <w:jc w:val="both"/>
        <w:rPr>
          <w:b/>
          <w:bCs/>
          <w:i/>
          <w:iCs/>
          <w:sz w:val="20"/>
          <w:szCs w:val="20"/>
        </w:rPr>
      </w:pPr>
      <w:r>
        <w:rPr>
          <w:b/>
          <w:bCs/>
          <w:i/>
          <w:iCs/>
          <w:sz w:val="20"/>
          <w:szCs w:val="20"/>
          <w:lang w:val="en-US"/>
        </w:rPr>
        <w:t>Some of the documents pertaining to certain litigations are not traceable</w:t>
      </w:r>
      <w:r w:rsidRPr="00223E07">
        <w:rPr>
          <w:b/>
          <w:bCs/>
          <w:i/>
          <w:iCs/>
          <w:sz w:val="20"/>
          <w:szCs w:val="20"/>
        </w:rPr>
        <w:t xml:space="preserve">. </w:t>
      </w:r>
    </w:p>
    <w:p w14:paraId="5995806D" w14:textId="77777777" w:rsidR="001F2043" w:rsidRDefault="001F2043" w:rsidP="00D55EC1">
      <w:pPr>
        <w:spacing w:after="0" w:line="240" w:lineRule="auto"/>
        <w:jc w:val="both"/>
        <w:rPr>
          <w:rFonts w:ascii="Times New Roman" w:eastAsia="MS Mincho" w:hAnsi="Times New Roman"/>
          <w:sz w:val="20"/>
          <w:szCs w:val="20"/>
        </w:rPr>
      </w:pPr>
    </w:p>
    <w:p w14:paraId="2816700C" w14:textId="15C69D34" w:rsidR="001F2043" w:rsidRDefault="001F2043" w:rsidP="00D55EC1">
      <w:pPr>
        <w:spacing w:after="0" w:line="240" w:lineRule="auto"/>
        <w:jc w:val="both"/>
        <w:rPr>
          <w:rFonts w:ascii="Times New Roman" w:eastAsia="MS Mincho" w:hAnsi="Times New Roman"/>
          <w:sz w:val="20"/>
          <w:szCs w:val="20"/>
        </w:rPr>
      </w:pPr>
      <w:r w:rsidRPr="001F2043">
        <w:rPr>
          <w:rFonts w:ascii="Times New Roman" w:eastAsia="MS Mincho" w:hAnsi="Times New Roman"/>
          <w:sz w:val="20"/>
          <w:szCs w:val="20"/>
        </w:rPr>
        <w:t xml:space="preserve">Our Company is not in possession of </w:t>
      </w:r>
      <w:r>
        <w:rPr>
          <w:rFonts w:ascii="Times New Roman" w:eastAsia="MS Mincho" w:hAnsi="Times New Roman"/>
          <w:sz w:val="20"/>
          <w:szCs w:val="20"/>
        </w:rPr>
        <w:t xml:space="preserve">some of the </w:t>
      </w:r>
      <w:r w:rsidRPr="001F2043">
        <w:rPr>
          <w:rFonts w:ascii="Times New Roman" w:eastAsia="MS Mincho" w:hAnsi="Times New Roman"/>
          <w:sz w:val="20"/>
          <w:szCs w:val="20"/>
        </w:rPr>
        <w:t xml:space="preserve">documents pertaining to certain litigations described in the chapter titled </w:t>
      </w:r>
      <w:r w:rsidRPr="00A02EEE">
        <w:rPr>
          <w:rFonts w:ascii="Times New Roman" w:eastAsia="MS Mincho" w:hAnsi="Times New Roman"/>
          <w:b/>
          <w:bCs/>
          <w:i/>
          <w:iCs/>
          <w:sz w:val="20"/>
          <w:szCs w:val="20"/>
        </w:rPr>
        <w:t>“</w:t>
      </w:r>
      <w:r w:rsidRPr="00A02EEE">
        <w:rPr>
          <w:rFonts w:ascii="Times New Roman" w:eastAsia="MS Mincho" w:hAnsi="Times New Roman"/>
          <w:b/>
          <w:bCs/>
          <w:i/>
          <w:iCs/>
          <w:sz w:val="20"/>
          <w:szCs w:val="20"/>
        </w:rPr>
        <w:t>Outstanding Litigation and Material Developments</w:t>
      </w:r>
      <w:r w:rsidRPr="00A02EEE">
        <w:rPr>
          <w:rFonts w:ascii="Times New Roman" w:eastAsia="MS Mincho" w:hAnsi="Times New Roman"/>
          <w:b/>
          <w:bCs/>
          <w:i/>
          <w:iCs/>
          <w:sz w:val="20"/>
          <w:szCs w:val="20"/>
        </w:rPr>
        <w:t>”</w:t>
      </w:r>
      <w:r w:rsidRPr="001F2043">
        <w:rPr>
          <w:rFonts w:ascii="Times New Roman" w:eastAsia="MS Mincho" w:hAnsi="Times New Roman"/>
          <w:sz w:val="20"/>
          <w:szCs w:val="20"/>
        </w:rPr>
        <w:t xml:space="preserve"> beginning on page 197. Accordingly, reliance has been placed </w:t>
      </w:r>
      <w:r>
        <w:rPr>
          <w:rFonts w:ascii="Times New Roman" w:eastAsia="MS Mincho" w:hAnsi="Times New Roman"/>
          <w:sz w:val="20"/>
          <w:szCs w:val="20"/>
        </w:rPr>
        <w:t>up</w:t>
      </w:r>
      <w:r w:rsidRPr="001F2043">
        <w:rPr>
          <w:rFonts w:ascii="Times New Roman" w:eastAsia="MS Mincho" w:hAnsi="Times New Roman"/>
          <w:sz w:val="20"/>
          <w:szCs w:val="20"/>
        </w:rPr>
        <w:t xml:space="preserve">on </w:t>
      </w:r>
      <w:r>
        <w:rPr>
          <w:rFonts w:ascii="Times New Roman" w:eastAsia="MS Mincho" w:hAnsi="Times New Roman"/>
          <w:sz w:val="20"/>
          <w:szCs w:val="20"/>
        </w:rPr>
        <w:t xml:space="preserve">relevant connected documents </w:t>
      </w:r>
      <w:r w:rsidRPr="001F2043">
        <w:rPr>
          <w:rFonts w:ascii="Times New Roman" w:eastAsia="MS Mincho" w:hAnsi="Times New Roman"/>
          <w:sz w:val="20"/>
          <w:szCs w:val="20"/>
        </w:rPr>
        <w:t>to describe the facts of litigation in the aforesaid chapter. Therefore, we cannot assure you that all information pertaining to the said cases are accurate. In case, any documents pertaining to such litigations are traced by the Company, after the filing of Draft Prospectus, the same will be incorporated in the Prospectus to be filed with ROC</w:t>
      </w:r>
      <w:r>
        <w:rPr>
          <w:rFonts w:ascii="Times New Roman" w:eastAsia="MS Mincho" w:hAnsi="Times New Roman"/>
          <w:sz w:val="20"/>
          <w:szCs w:val="20"/>
        </w:rPr>
        <w:t xml:space="preserve">. We do not possess some of the documents </w:t>
      </w:r>
      <w:r w:rsidRPr="001F2043">
        <w:rPr>
          <w:rFonts w:ascii="Times New Roman" w:eastAsia="MS Mincho" w:hAnsi="Times New Roman"/>
          <w:sz w:val="20"/>
          <w:szCs w:val="20"/>
        </w:rPr>
        <w:t>reliance has been placed on the undertakings furnished by the Company to describe the facts of litigation in the aforesaid chapter. Therefore, we cannot assure you that all information pertaining to the said cases are accurate. In case, any documents pertaining to such litigations are traced by the Company, after the filing of Draft Prospectus, the same will be incorporated in the Prospectus to be filed with ROC.</w:t>
      </w:r>
    </w:p>
    <w:p w14:paraId="086D0C84" w14:textId="77777777" w:rsidR="001F2043" w:rsidRPr="00223E07" w:rsidRDefault="001F2043" w:rsidP="00D55EC1">
      <w:pPr>
        <w:spacing w:after="0" w:line="240" w:lineRule="auto"/>
        <w:jc w:val="both"/>
        <w:rPr>
          <w:rFonts w:ascii="Times New Roman" w:eastAsia="MS Mincho" w:hAnsi="Times New Roman"/>
          <w:sz w:val="20"/>
          <w:szCs w:val="20"/>
        </w:rPr>
      </w:pPr>
    </w:p>
    <w:p w14:paraId="66755C24" w14:textId="77777777" w:rsidR="00D55EC1" w:rsidRPr="00641801" w:rsidRDefault="00D55EC1" w:rsidP="00F038BD">
      <w:pPr>
        <w:pStyle w:val="ListParagraph"/>
        <w:numPr>
          <w:ilvl w:val="0"/>
          <w:numId w:val="150"/>
        </w:numPr>
        <w:spacing w:line="240" w:lineRule="auto"/>
        <w:contextualSpacing/>
        <w:jc w:val="both"/>
        <w:rPr>
          <w:b/>
          <w:bCs/>
          <w:i/>
          <w:iCs/>
          <w:sz w:val="20"/>
          <w:szCs w:val="20"/>
        </w:rPr>
      </w:pPr>
      <w:r w:rsidRPr="00726B2B">
        <w:rPr>
          <w:b/>
          <w:bCs/>
          <w:i/>
          <w:iCs/>
          <w:sz w:val="20"/>
          <w:szCs w:val="20"/>
        </w:rPr>
        <w:t>The Promoters (including Promoter Group) and Directors hold almost 100% of th</w:t>
      </w:r>
      <w:r w:rsidRPr="00641801">
        <w:rPr>
          <w:b/>
          <w:bCs/>
          <w:i/>
          <w:iCs/>
          <w:sz w:val="20"/>
          <w:szCs w:val="20"/>
        </w:rPr>
        <w:t xml:space="preserve">e Equity Shares of our Company and are therefore interested in the Company's performance in addition to their remuneration and reimbursement of expenses. </w:t>
      </w:r>
    </w:p>
    <w:p w14:paraId="3F5CB7BB" w14:textId="77777777" w:rsidR="00D55EC1" w:rsidRPr="00641801" w:rsidRDefault="00D55EC1" w:rsidP="00D55EC1">
      <w:pPr>
        <w:widowControl w:val="0"/>
        <w:autoSpaceDE w:val="0"/>
        <w:autoSpaceDN w:val="0"/>
        <w:adjustRightInd w:val="0"/>
        <w:spacing w:after="0" w:line="240" w:lineRule="auto"/>
        <w:jc w:val="both"/>
        <w:textAlignment w:val="baseline"/>
        <w:rPr>
          <w:rFonts w:ascii="Times New Roman" w:hAnsi="Times New Roman"/>
          <w:sz w:val="20"/>
          <w:szCs w:val="20"/>
        </w:rPr>
      </w:pPr>
    </w:p>
    <w:p w14:paraId="630154ED" w14:textId="77777777" w:rsidR="00D55EC1" w:rsidRPr="00641801" w:rsidRDefault="00D55EC1" w:rsidP="00D55EC1">
      <w:pPr>
        <w:widowControl w:val="0"/>
        <w:suppressAutoHyphens/>
        <w:autoSpaceDE w:val="0"/>
        <w:autoSpaceDN w:val="0"/>
        <w:adjustRightInd w:val="0"/>
        <w:spacing w:after="0" w:line="240" w:lineRule="auto"/>
        <w:contextualSpacing/>
        <w:jc w:val="both"/>
        <w:textAlignment w:val="center"/>
        <w:rPr>
          <w:rFonts w:ascii="Times New Roman" w:eastAsia="MS Mincho" w:hAnsi="Times New Roman"/>
          <w:bCs/>
          <w:iCs/>
          <w:color w:val="000000"/>
          <w:sz w:val="20"/>
          <w:szCs w:val="20"/>
        </w:rPr>
      </w:pPr>
      <w:r>
        <w:rPr>
          <w:rFonts w:ascii="Times New Roman" w:hAnsi="Times New Roman"/>
          <w:sz w:val="20"/>
          <w:szCs w:val="20"/>
        </w:rPr>
        <w:t>Our Promoter</w:t>
      </w:r>
      <w:r w:rsidRPr="00641801">
        <w:rPr>
          <w:rFonts w:ascii="Times New Roman" w:hAnsi="Times New Roman"/>
          <w:sz w:val="20"/>
          <w:szCs w:val="20"/>
        </w:rPr>
        <w:t xml:space="preserve"> and Directors are interested in our Company, in addition to regular remuneration or benefits and reimbursement of expenses, to the extent of their shareholding in our Company </w:t>
      </w:r>
      <w:r w:rsidRPr="00641801">
        <w:rPr>
          <w:rFonts w:ascii="Times New Roman" w:eastAsia="MS Mincho" w:hAnsi="Times New Roman"/>
          <w:bCs/>
          <w:iCs/>
          <w:color w:val="000000"/>
          <w:sz w:val="20"/>
          <w:szCs w:val="20"/>
        </w:rPr>
        <w:t>or their relatives, dividend entitlement, or loans advanced by them to the Company, and benefits deriving from the directorship in our Company.</w:t>
      </w:r>
      <w:r w:rsidRPr="00641801">
        <w:rPr>
          <w:rFonts w:ascii="Times New Roman" w:hAnsi="Times New Roman"/>
          <w:sz w:val="20"/>
          <w:szCs w:val="20"/>
        </w:rPr>
        <w:t xml:space="preserve"> There can be</w:t>
      </w:r>
      <w:r>
        <w:rPr>
          <w:rFonts w:ascii="Times New Roman" w:hAnsi="Times New Roman"/>
          <w:sz w:val="20"/>
          <w:szCs w:val="20"/>
        </w:rPr>
        <w:t xml:space="preserve"> no assurance that our Promoter</w:t>
      </w:r>
      <w:r w:rsidRPr="00641801">
        <w:rPr>
          <w:rFonts w:ascii="Times New Roman" w:hAnsi="Times New Roman"/>
          <w:sz w:val="20"/>
          <w:szCs w:val="20"/>
        </w:rPr>
        <w:t xml:space="preserve"> will exercise their rights as shareholders to the benefit and best intere</w:t>
      </w:r>
      <w:r>
        <w:rPr>
          <w:rFonts w:ascii="Times New Roman" w:hAnsi="Times New Roman"/>
          <w:sz w:val="20"/>
          <w:szCs w:val="20"/>
        </w:rPr>
        <w:t>st of our Company. Our Promoters</w:t>
      </w:r>
      <w:r w:rsidRPr="00641801">
        <w:rPr>
          <w:rFonts w:ascii="Times New Roman" w:hAnsi="Times New Roman"/>
          <w:sz w:val="20"/>
          <w:szCs w:val="20"/>
        </w:rPr>
        <w:t xml:space="preserve"> will continue to exercise significant control over us, including being able to control the composition of our Board of Directors and determine decisions requiring simple or special majority voting of shareholders, and our other shareholders may be unable to affect the outcome of such voting. </w:t>
      </w:r>
      <w:r w:rsidRPr="00641801">
        <w:rPr>
          <w:rFonts w:ascii="Times New Roman" w:eastAsia="MS Mincho" w:hAnsi="Times New Roman"/>
          <w:bCs/>
          <w:iCs/>
          <w:color w:val="000000"/>
          <w:sz w:val="20"/>
          <w:szCs w:val="20"/>
        </w:rPr>
        <w:t xml:space="preserve">For further information, please refer to the chapters/section titled </w:t>
      </w:r>
      <w:r w:rsidRPr="00641801">
        <w:rPr>
          <w:rFonts w:ascii="Times New Roman" w:eastAsia="MS Mincho" w:hAnsi="Times New Roman"/>
          <w:b/>
          <w:bCs/>
          <w:i/>
          <w:iCs/>
          <w:color w:val="000000"/>
          <w:sz w:val="20"/>
          <w:szCs w:val="20"/>
        </w:rPr>
        <w:t>“Our Business”</w:t>
      </w:r>
      <w:r w:rsidRPr="00641801">
        <w:rPr>
          <w:rFonts w:ascii="Times New Roman" w:eastAsia="MS Mincho" w:hAnsi="Times New Roman"/>
          <w:bCs/>
          <w:iCs/>
          <w:color w:val="000000"/>
          <w:sz w:val="20"/>
          <w:szCs w:val="20"/>
        </w:rPr>
        <w:t xml:space="preserve">, </w:t>
      </w:r>
      <w:r w:rsidRPr="00641801">
        <w:rPr>
          <w:rFonts w:ascii="Times New Roman" w:eastAsia="MS Mincho" w:hAnsi="Times New Roman"/>
          <w:b/>
          <w:bCs/>
          <w:i/>
          <w:iCs/>
          <w:color w:val="000000"/>
          <w:sz w:val="20"/>
          <w:szCs w:val="20"/>
        </w:rPr>
        <w:t>“Our Promoter and Promoter Group”</w:t>
      </w:r>
      <w:r w:rsidRPr="00641801">
        <w:rPr>
          <w:rFonts w:ascii="Times New Roman" w:eastAsia="MS Mincho" w:hAnsi="Times New Roman"/>
          <w:bCs/>
          <w:iCs/>
          <w:color w:val="000000"/>
          <w:sz w:val="20"/>
          <w:szCs w:val="20"/>
        </w:rPr>
        <w:t xml:space="preserve"> and </w:t>
      </w:r>
      <w:r w:rsidRPr="00641801">
        <w:rPr>
          <w:rFonts w:ascii="Times New Roman" w:eastAsia="MS Mincho" w:hAnsi="Times New Roman"/>
          <w:b/>
          <w:bCs/>
          <w:i/>
          <w:iCs/>
          <w:color w:val="000000"/>
          <w:sz w:val="20"/>
          <w:szCs w:val="20"/>
        </w:rPr>
        <w:t>“Note 47 - Related Party Transactions”</w:t>
      </w:r>
      <w:r w:rsidRPr="00641801">
        <w:rPr>
          <w:rFonts w:ascii="Times New Roman" w:eastAsia="MS Mincho" w:hAnsi="Times New Roman"/>
          <w:bCs/>
          <w:iCs/>
          <w:color w:val="000000"/>
          <w:sz w:val="20"/>
          <w:szCs w:val="20"/>
        </w:rPr>
        <w:t>, beginning on pages 106, 146 and 191 respectively of this Draft Prospectus.</w:t>
      </w:r>
    </w:p>
    <w:p w14:paraId="4523F9B0" w14:textId="77777777" w:rsidR="00D55EC1" w:rsidRPr="00641801" w:rsidRDefault="00D55EC1" w:rsidP="00D55EC1">
      <w:pPr>
        <w:widowControl w:val="0"/>
        <w:suppressAutoHyphens/>
        <w:autoSpaceDE w:val="0"/>
        <w:autoSpaceDN w:val="0"/>
        <w:adjustRightInd w:val="0"/>
        <w:spacing w:after="0" w:line="240" w:lineRule="auto"/>
        <w:contextualSpacing/>
        <w:jc w:val="both"/>
        <w:textAlignment w:val="center"/>
        <w:rPr>
          <w:rFonts w:ascii="Times New Roman" w:eastAsia="MS Mincho" w:hAnsi="Times New Roman"/>
          <w:bCs/>
          <w:iCs/>
          <w:color w:val="000000"/>
          <w:sz w:val="20"/>
          <w:szCs w:val="20"/>
        </w:rPr>
      </w:pPr>
    </w:p>
    <w:p w14:paraId="102EBCDE" w14:textId="02CABC0A" w:rsidR="00D55EC1" w:rsidRPr="00641801" w:rsidRDefault="00D55EC1" w:rsidP="00F038BD">
      <w:pPr>
        <w:pStyle w:val="ListParagraph"/>
        <w:numPr>
          <w:ilvl w:val="0"/>
          <w:numId w:val="150"/>
        </w:numPr>
        <w:spacing w:line="240" w:lineRule="auto"/>
        <w:contextualSpacing/>
        <w:jc w:val="both"/>
        <w:rPr>
          <w:b/>
          <w:bCs/>
          <w:i/>
          <w:iCs/>
          <w:sz w:val="20"/>
          <w:szCs w:val="20"/>
        </w:rPr>
      </w:pPr>
      <w:r w:rsidRPr="00641801">
        <w:rPr>
          <w:b/>
          <w:bCs/>
          <w:i/>
          <w:iCs/>
          <w:sz w:val="20"/>
          <w:szCs w:val="20"/>
        </w:rPr>
        <w:t xml:space="preserve">We have incurred </w:t>
      </w:r>
      <w:r>
        <w:rPr>
          <w:b/>
          <w:bCs/>
          <w:i/>
          <w:iCs/>
          <w:sz w:val="20"/>
          <w:szCs w:val="20"/>
          <w:lang w:val="en-US"/>
        </w:rPr>
        <w:t xml:space="preserve">significant </w:t>
      </w:r>
      <w:r w:rsidRPr="00641801">
        <w:rPr>
          <w:b/>
          <w:bCs/>
          <w:i/>
          <w:iCs/>
          <w:sz w:val="20"/>
          <w:szCs w:val="20"/>
        </w:rPr>
        <w:t>indebtedness which exposes us to various risks which may have an adverse</w:t>
      </w:r>
      <w:r w:rsidR="0000511F">
        <w:rPr>
          <w:b/>
          <w:bCs/>
          <w:i/>
          <w:iCs/>
          <w:sz w:val="20"/>
          <w:szCs w:val="20"/>
          <w:lang w:val="en-US"/>
        </w:rPr>
        <w:t>-</w:t>
      </w:r>
      <w:r w:rsidRPr="00641801">
        <w:rPr>
          <w:b/>
          <w:bCs/>
          <w:i/>
          <w:iCs/>
          <w:sz w:val="20"/>
          <w:szCs w:val="20"/>
        </w:rPr>
        <w:t>affect on our business and results of operations</w:t>
      </w:r>
    </w:p>
    <w:p w14:paraId="6C1041A6" w14:textId="77777777" w:rsidR="00D55EC1" w:rsidRPr="00641801" w:rsidRDefault="00D55EC1" w:rsidP="00D55EC1">
      <w:pPr>
        <w:widowControl w:val="0"/>
        <w:suppressAutoHyphens/>
        <w:autoSpaceDE w:val="0"/>
        <w:autoSpaceDN w:val="0"/>
        <w:adjustRightInd w:val="0"/>
        <w:spacing w:after="0" w:line="240" w:lineRule="auto"/>
        <w:contextualSpacing/>
        <w:jc w:val="both"/>
        <w:textAlignment w:val="center"/>
        <w:rPr>
          <w:rFonts w:ascii="Times New Roman" w:eastAsia="MS Mincho" w:hAnsi="Times New Roman"/>
          <w:bCs/>
          <w:iCs/>
          <w:color w:val="000000"/>
          <w:sz w:val="20"/>
          <w:szCs w:val="20"/>
        </w:rPr>
      </w:pPr>
    </w:p>
    <w:p w14:paraId="46B37591" w14:textId="77777777" w:rsidR="00D55EC1" w:rsidRPr="00641801" w:rsidRDefault="00D55EC1" w:rsidP="00D55EC1">
      <w:pPr>
        <w:widowControl w:val="0"/>
        <w:suppressAutoHyphens/>
        <w:autoSpaceDE w:val="0"/>
        <w:autoSpaceDN w:val="0"/>
        <w:adjustRightInd w:val="0"/>
        <w:spacing w:after="0" w:line="240" w:lineRule="auto"/>
        <w:contextualSpacing/>
        <w:jc w:val="both"/>
        <w:textAlignment w:val="center"/>
        <w:rPr>
          <w:rFonts w:ascii="Times New Roman" w:eastAsia="MS Mincho" w:hAnsi="Times New Roman"/>
          <w:bCs/>
          <w:iCs/>
          <w:color w:val="000000"/>
          <w:sz w:val="20"/>
          <w:szCs w:val="20"/>
        </w:rPr>
      </w:pPr>
      <w:r w:rsidRPr="00641801">
        <w:rPr>
          <w:rFonts w:ascii="Times New Roman" w:eastAsia="MS Mincho" w:hAnsi="Times New Roman"/>
          <w:bCs/>
          <w:iCs/>
          <w:color w:val="000000"/>
          <w:sz w:val="20"/>
          <w:szCs w:val="20"/>
        </w:rPr>
        <w:t xml:space="preserve">Our ability to borrow and the terms of our borrowings will depend on our financial condition, the stability of our cash flows, general market conditions, economic and political conditions in the markets where we operate and our capacity to service debt. As on </w:t>
      </w:r>
      <w:r>
        <w:rPr>
          <w:rFonts w:ascii="Times New Roman" w:eastAsia="MS Mincho" w:hAnsi="Times New Roman"/>
          <w:bCs/>
          <w:iCs/>
          <w:color w:val="000000"/>
          <w:sz w:val="20"/>
          <w:szCs w:val="20"/>
        </w:rPr>
        <w:t>March 31</w:t>
      </w:r>
      <w:r w:rsidRPr="00641801">
        <w:rPr>
          <w:rFonts w:ascii="Times New Roman" w:eastAsia="MS Mincho" w:hAnsi="Times New Roman"/>
          <w:bCs/>
          <w:iCs/>
          <w:color w:val="000000"/>
          <w:sz w:val="20"/>
          <w:szCs w:val="20"/>
        </w:rPr>
        <w:t>, 202</w:t>
      </w:r>
      <w:r>
        <w:rPr>
          <w:rFonts w:ascii="Times New Roman" w:eastAsia="MS Mincho" w:hAnsi="Times New Roman"/>
          <w:bCs/>
          <w:iCs/>
          <w:color w:val="000000"/>
          <w:sz w:val="20"/>
          <w:szCs w:val="20"/>
        </w:rPr>
        <w:t>3</w:t>
      </w:r>
      <w:r w:rsidRPr="00641801">
        <w:rPr>
          <w:rFonts w:ascii="Times New Roman" w:eastAsia="MS Mincho" w:hAnsi="Times New Roman"/>
          <w:bCs/>
          <w:iCs/>
          <w:color w:val="000000"/>
          <w:sz w:val="20"/>
          <w:szCs w:val="20"/>
        </w:rPr>
        <w:t>, our total outstanding indebtedness was ₹</w:t>
      </w:r>
      <w:r>
        <w:rPr>
          <w:rFonts w:ascii="Times New Roman" w:eastAsia="MS Mincho" w:hAnsi="Times New Roman"/>
          <w:bCs/>
          <w:iCs/>
          <w:color w:val="000000"/>
          <w:sz w:val="20"/>
          <w:szCs w:val="20"/>
        </w:rPr>
        <w:t xml:space="preserve"> 6706.95</w:t>
      </w:r>
      <w:r w:rsidRPr="00641801">
        <w:rPr>
          <w:rFonts w:ascii="Times New Roman" w:eastAsia="MS Mincho" w:hAnsi="Times New Roman"/>
          <w:bCs/>
          <w:iCs/>
          <w:color w:val="000000"/>
          <w:sz w:val="20"/>
          <w:szCs w:val="20"/>
        </w:rPr>
        <w:t xml:space="preserve"> lakhs.</w:t>
      </w:r>
    </w:p>
    <w:p w14:paraId="6DB203AE" w14:textId="77777777" w:rsidR="00D55EC1" w:rsidRPr="00641801" w:rsidRDefault="00D55EC1" w:rsidP="00D55EC1">
      <w:pPr>
        <w:widowControl w:val="0"/>
        <w:suppressAutoHyphens/>
        <w:autoSpaceDE w:val="0"/>
        <w:autoSpaceDN w:val="0"/>
        <w:adjustRightInd w:val="0"/>
        <w:spacing w:after="0" w:line="240" w:lineRule="auto"/>
        <w:contextualSpacing/>
        <w:jc w:val="both"/>
        <w:textAlignment w:val="center"/>
        <w:rPr>
          <w:rFonts w:ascii="Times New Roman" w:eastAsia="MS Mincho" w:hAnsi="Times New Roman"/>
          <w:bCs/>
          <w:iCs/>
          <w:color w:val="000000"/>
          <w:sz w:val="20"/>
          <w:szCs w:val="20"/>
        </w:rPr>
      </w:pPr>
    </w:p>
    <w:p w14:paraId="61441967" w14:textId="77777777" w:rsidR="00D55EC1" w:rsidRPr="00641801" w:rsidRDefault="00D55EC1" w:rsidP="00D55EC1">
      <w:pPr>
        <w:widowControl w:val="0"/>
        <w:suppressAutoHyphens/>
        <w:autoSpaceDE w:val="0"/>
        <w:autoSpaceDN w:val="0"/>
        <w:adjustRightInd w:val="0"/>
        <w:spacing w:after="0" w:line="240" w:lineRule="auto"/>
        <w:contextualSpacing/>
        <w:jc w:val="both"/>
        <w:textAlignment w:val="center"/>
        <w:rPr>
          <w:rFonts w:ascii="Times New Roman" w:eastAsia="MS Mincho" w:hAnsi="Times New Roman"/>
          <w:bCs/>
          <w:iCs/>
          <w:color w:val="000000"/>
          <w:sz w:val="20"/>
          <w:szCs w:val="20"/>
        </w:rPr>
      </w:pPr>
      <w:r w:rsidRPr="00641801">
        <w:rPr>
          <w:rFonts w:ascii="Times New Roman" w:eastAsia="MS Mincho" w:hAnsi="Times New Roman"/>
          <w:bCs/>
          <w:iCs/>
          <w:color w:val="000000"/>
          <w:sz w:val="20"/>
          <w:szCs w:val="20"/>
        </w:rPr>
        <w:t>Our significant indebtedness in future may result in substantial amount of debt service obligations which could lead to:</w:t>
      </w:r>
    </w:p>
    <w:p w14:paraId="0C8F738A" w14:textId="77777777" w:rsidR="00D55EC1" w:rsidRPr="00641801" w:rsidRDefault="00D55EC1" w:rsidP="00D55EC1">
      <w:pPr>
        <w:widowControl w:val="0"/>
        <w:suppressAutoHyphens/>
        <w:autoSpaceDE w:val="0"/>
        <w:autoSpaceDN w:val="0"/>
        <w:adjustRightInd w:val="0"/>
        <w:spacing w:after="0" w:line="240" w:lineRule="auto"/>
        <w:contextualSpacing/>
        <w:jc w:val="both"/>
        <w:textAlignment w:val="center"/>
        <w:rPr>
          <w:rFonts w:ascii="Times New Roman" w:eastAsia="MS Mincho" w:hAnsi="Times New Roman"/>
          <w:bCs/>
          <w:iCs/>
          <w:color w:val="000000"/>
          <w:sz w:val="20"/>
          <w:szCs w:val="20"/>
        </w:rPr>
      </w:pPr>
    </w:p>
    <w:p w14:paraId="765036EB" w14:textId="77777777" w:rsidR="00D55EC1" w:rsidRPr="00641801" w:rsidRDefault="00D55EC1" w:rsidP="00F038BD">
      <w:pPr>
        <w:pStyle w:val="ListParagraph"/>
        <w:widowControl w:val="0"/>
        <w:numPr>
          <w:ilvl w:val="0"/>
          <w:numId w:val="151"/>
        </w:numPr>
        <w:spacing w:line="240" w:lineRule="auto"/>
        <w:contextualSpacing/>
        <w:jc w:val="both"/>
        <w:rPr>
          <w:rFonts w:eastAsia="MS Mincho"/>
          <w:bCs/>
          <w:iCs/>
          <w:sz w:val="20"/>
          <w:szCs w:val="20"/>
        </w:rPr>
      </w:pPr>
      <w:r w:rsidRPr="00641801">
        <w:rPr>
          <w:rFonts w:eastAsia="MS Mincho"/>
          <w:bCs/>
          <w:iCs/>
          <w:sz w:val="20"/>
          <w:szCs w:val="20"/>
        </w:rPr>
        <w:t>increasing our vulnerability to general adverse economic, industry and competitive conditions;</w:t>
      </w:r>
    </w:p>
    <w:p w14:paraId="7E57C1A4" w14:textId="77777777" w:rsidR="00D55EC1" w:rsidRPr="00641801" w:rsidRDefault="00D55EC1" w:rsidP="00F038BD">
      <w:pPr>
        <w:pStyle w:val="ListParagraph"/>
        <w:widowControl w:val="0"/>
        <w:numPr>
          <w:ilvl w:val="0"/>
          <w:numId w:val="151"/>
        </w:numPr>
        <w:spacing w:line="240" w:lineRule="auto"/>
        <w:contextualSpacing/>
        <w:jc w:val="both"/>
        <w:rPr>
          <w:rFonts w:eastAsia="MS Mincho"/>
          <w:bCs/>
          <w:iCs/>
          <w:sz w:val="20"/>
          <w:szCs w:val="20"/>
        </w:rPr>
      </w:pPr>
      <w:r w:rsidRPr="00641801">
        <w:rPr>
          <w:rFonts w:eastAsia="MS Mincho"/>
          <w:bCs/>
          <w:iCs/>
          <w:sz w:val="20"/>
          <w:szCs w:val="20"/>
        </w:rPr>
        <w:t>limiting our flexibility in planning for, or reacting to, changes in our business and the industry;</w:t>
      </w:r>
    </w:p>
    <w:p w14:paraId="07AC9C8E" w14:textId="77777777" w:rsidR="00D55EC1" w:rsidRPr="00641801" w:rsidRDefault="00D55EC1" w:rsidP="00F038BD">
      <w:pPr>
        <w:pStyle w:val="ListParagraph"/>
        <w:widowControl w:val="0"/>
        <w:numPr>
          <w:ilvl w:val="0"/>
          <w:numId w:val="151"/>
        </w:numPr>
        <w:spacing w:line="240" w:lineRule="auto"/>
        <w:contextualSpacing/>
        <w:jc w:val="both"/>
        <w:rPr>
          <w:rFonts w:eastAsia="MS Mincho"/>
          <w:bCs/>
          <w:iCs/>
          <w:sz w:val="20"/>
          <w:szCs w:val="20"/>
        </w:rPr>
      </w:pPr>
      <w:r w:rsidRPr="00641801">
        <w:rPr>
          <w:rFonts w:eastAsia="MS Mincho"/>
          <w:bCs/>
          <w:iCs/>
          <w:sz w:val="20"/>
          <w:szCs w:val="20"/>
        </w:rPr>
        <w:t>affecting our credit rating;</w:t>
      </w:r>
    </w:p>
    <w:p w14:paraId="03FE9D53" w14:textId="77777777" w:rsidR="00D55EC1" w:rsidRPr="00641801" w:rsidRDefault="00D55EC1" w:rsidP="00F038BD">
      <w:pPr>
        <w:pStyle w:val="ListParagraph"/>
        <w:widowControl w:val="0"/>
        <w:numPr>
          <w:ilvl w:val="0"/>
          <w:numId w:val="151"/>
        </w:numPr>
        <w:spacing w:line="240" w:lineRule="auto"/>
        <w:contextualSpacing/>
        <w:jc w:val="both"/>
        <w:rPr>
          <w:rFonts w:eastAsia="MS Mincho"/>
          <w:bCs/>
          <w:iCs/>
          <w:sz w:val="20"/>
          <w:szCs w:val="20"/>
        </w:rPr>
      </w:pPr>
      <w:r w:rsidRPr="00641801">
        <w:rPr>
          <w:rFonts w:eastAsia="MS Mincho"/>
          <w:bCs/>
          <w:iCs/>
          <w:sz w:val="20"/>
          <w:szCs w:val="20"/>
        </w:rPr>
        <w:t>limiting our ability to borrow more money both now and in the future; and</w:t>
      </w:r>
    </w:p>
    <w:p w14:paraId="59E6334C" w14:textId="77777777" w:rsidR="00D55EC1" w:rsidRPr="00641801" w:rsidRDefault="00D55EC1" w:rsidP="00F038BD">
      <w:pPr>
        <w:pStyle w:val="ListParagraph"/>
        <w:widowControl w:val="0"/>
        <w:numPr>
          <w:ilvl w:val="0"/>
          <w:numId w:val="151"/>
        </w:numPr>
        <w:spacing w:line="240" w:lineRule="auto"/>
        <w:contextualSpacing/>
        <w:jc w:val="both"/>
        <w:rPr>
          <w:rFonts w:eastAsia="MS Mincho"/>
          <w:bCs/>
          <w:iCs/>
          <w:sz w:val="20"/>
          <w:szCs w:val="20"/>
        </w:rPr>
      </w:pPr>
      <w:r w:rsidRPr="00641801">
        <w:rPr>
          <w:rFonts w:eastAsia="MS Mincho"/>
          <w:bCs/>
          <w:iCs/>
          <w:sz w:val="20"/>
          <w:szCs w:val="20"/>
        </w:rPr>
        <w:t>increasing our interest expenditure and adversely affecting our profitability.</w:t>
      </w:r>
    </w:p>
    <w:p w14:paraId="6F4AC2A6" w14:textId="77777777" w:rsidR="00D55EC1" w:rsidRPr="00641801" w:rsidRDefault="00D55EC1" w:rsidP="00D55EC1">
      <w:pPr>
        <w:widowControl w:val="0"/>
        <w:suppressAutoHyphens/>
        <w:autoSpaceDE w:val="0"/>
        <w:autoSpaceDN w:val="0"/>
        <w:adjustRightInd w:val="0"/>
        <w:spacing w:after="0" w:line="240" w:lineRule="auto"/>
        <w:contextualSpacing/>
        <w:jc w:val="both"/>
        <w:textAlignment w:val="center"/>
        <w:rPr>
          <w:rFonts w:ascii="Times New Roman" w:eastAsia="MS Mincho" w:hAnsi="Times New Roman"/>
          <w:bCs/>
          <w:iCs/>
          <w:color w:val="000000"/>
          <w:sz w:val="20"/>
          <w:szCs w:val="20"/>
        </w:rPr>
      </w:pPr>
    </w:p>
    <w:p w14:paraId="221A448E" w14:textId="77777777" w:rsidR="00D55EC1" w:rsidRPr="00641801" w:rsidRDefault="00D55EC1" w:rsidP="00D55EC1">
      <w:pPr>
        <w:widowControl w:val="0"/>
        <w:suppressAutoHyphens/>
        <w:autoSpaceDE w:val="0"/>
        <w:autoSpaceDN w:val="0"/>
        <w:adjustRightInd w:val="0"/>
        <w:spacing w:after="0" w:line="240" w:lineRule="auto"/>
        <w:contextualSpacing/>
        <w:jc w:val="both"/>
        <w:textAlignment w:val="center"/>
        <w:rPr>
          <w:rFonts w:ascii="Times New Roman" w:eastAsia="MS Mincho" w:hAnsi="Times New Roman"/>
          <w:bCs/>
          <w:iCs/>
          <w:color w:val="000000"/>
          <w:sz w:val="20"/>
          <w:szCs w:val="20"/>
        </w:rPr>
      </w:pPr>
      <w:r w:rsidRPr="00641801">
        <w:rPr>
          <w:rFonts w:ascii="Times New Roman" w:eastAsia="MS Mincho" w:hAnsi="Times New Roman"/>
          <w:bCs/>
          <w:iCs/>
          <w:color w:val="000000"/>
          <w:sz w:val="20"/>
          <w:szCs w:val="20"/>
        </w:rPr>
        <w:t>If the loans are recalled on a short notice, we may be required to arrange for funds to fulfil the necessary requirements. The occurrence of these events may have an adverse affect on our cash flow and financial conditions of the company. For further details regarding our indebtedness, see “Statement of Financial Indebtedness” on page 200 of this Draft Prospectus.</w:t>
      </w:r>
    </w:p>
    <w:p w14:paraId="64C4C4F0" w14:textId="77777777" w:rsidR="00D55EC1" w:rsidRPr="00641801" w:rsidRDefault="00D55EC1" w:rsidP="00D55EC1">
      <w:pPr>
        <w:widowControl w:val="0"/>
        <w:suppressAutoHyphens/>
        <w:autoSpaceDE w:val="0"/>
        <w:autoSpaceDN w:val="0"/>
        <w:adjustRightInd w:val="0"/>
        <w:spacing w:after="0" w:line="240" w:lineRule="auto"/>
        <w:contextualSpacing/>
        <w:jc w:val="both"/>
        <w:textAlignment w:val="center"/>
        <w:rPr>
          <w:rFonts w:ascii="Times New Roman" w:eastAsia="MS Mincho" w:hAnsi="Times New Roman"/>
          <w:bCs/>
          <w:iCs/>
          <w:color w:val="000000"/>
          <w:sz w:val="20"/>
          <w:szCs w:val="20"/>
        </w:rPr>
      </w:pPr>
    </w:p>
    <w:p w14:paraId="6BC424B8" w14:textId="77777777" w:rsidR="00D55EC1" w:rsidRPr="00641801" w:rsidRDefault="00D55EC1" w:rsidP="00F038BD">
      <w:pPr>
        <w:pStyle w:val="ListParagraph"/>
        <w:numPr>
          <w:ilvl w:val="0"/>
          <w:numId w:val="150"/>
        </w:numPr>
        <w:spacing w:line="240" w:lineRule="auto"/>
        <w:contextualSpacing/>
        <w:jc w:val="both"/>
        <w:rPr>
          <w:b/>
          <w:bCs/>
          <w:i/>
          <w:iCs/>
          <w:sz w:val="20"/>
          <w:szCs w:val="20"/>
        </w:rPr>
      </w:pPr>
      <w:r w:rsidRPr="00641801">
        <w:rPr>
          <w:b/>
          <w:bCs/>
          <w:i/>
          <w:iCs/>
          <w:sz w:val="20"/>
          <w:szCs w:val="20"/>
        </w:rPr>
        <w:t>Loans availed by Our Company has been secured on personal guarantees of our Director. Our business, financial condition, results of operations, cash flows and prospects may be adversely affected in case of invocation of any personal guarantees provided by our Directors.</w:t>
      </w:r>
    </w:p>
    <w:p w14:paraId="5EC19882" w14:textId="77777777" w:rsidR="00D55EC1" w:rsidRPr="00641801" w:rsidRDefault="00D55EC1" w:rsidP="00D55EC1">
      <w:pPr>
        <w:widowControl w:val="0"/>
        <w:suppressAutoHyphens/>
        <w:autoSpaceDE w:val="0"/>
        <w:autoSpaceDN w:val="0"/>
        <w:adjustRightInd w:val="0"/>
        <w:spacing w:after="0" w:line="240" w:lineRule="auto"/>
        <w:contextualSpacing/>
        <w:jc w:val="both"/>
        <w:textAlignment w:val="center"/>
        <w:rPr>
          <w:rFonts w:ascii="Times New Roman" w:eastAsia="MS Mincho" w:hAnsi="Times New Roman"/>
          <w:bCs/>
          <w:iCs/>
          <w:color w:val="000000"/>
          <w:sz w:val="20"/>
          <w:szCs w:val="20"/>
        </w:rPr>
      </w:pPr>
    </w:p>
    <w:p w14:paraId="4404A232" w14:textId="77777777" w:rsidR="00D55EC1" w:rsidRPr="00641801" w:rsidRDefault="00D55EC1" w:rsidP="00D55EC1">
      <w:pPr>
        <w:widowControl w:val="0"/>
        <w:suppressAutoHyphens/>
        <w:autoSpaceDE w:val="0"/>
        <w:autoSpaceDN w:val="0"/>
        <w:adjustRightInd w:val="0"/>
        <w:spacing w:after="0" w:line="240" w:lineRule="auto"/>
        <w:contextualSpacing/>
        <w:jc w:val="both"/>
        <w:textAlignment w:val="center"/>
        <w:rPr>
          <w:rFonts w:ascii="Times New Roman" w:eastAsia="MS Mincho" w:hAnsi="Times New Roman"/>
          <w:bCs/>
          <w:iCs/>
          <w:color w:val="000000"/>
          <w:sz w:val="20"/>
          <w:szCs w:val="20"/>
        </w:rPr>
      </w:pPr>
      <w:r>
        <w:rPr>
          <w:rFonts w:ascii="Times New Roman" w:eastAsia="MS Mincho" w:hAnsi="Times New Roman"/>
          <w:bCs/>
          <w:iCs/>
          <w:color w:val="000000"/>
          <w:sz w:val="20"/>
          <w:szCs w:val="20"/>
        </w:rPr>
        <w:t>Our Promoter</w:t>
      </w:r>
      <w:r w:rsidRPr="00641801">
        <w:rPr>
          <w:rFonts w:ascii="Times New Roman" w:eastAsia="MS Mincho" w:hAnsi="Times New Roman"/>
          <w:bCs/>
          <w:iCs/>
          <w:color w:val="000000"/>
          <w:sz w:val="20"/>
          <w:szCs w:val="20"/>
        </w:rPr>
        <w:t xml:space="preserve"> &amp; Directors, </w:t>
      </w:r>
      <w:r w:rsidRPr="004C2A8F">
        <w:rPr>
          <w:rFonts w:ascii="Times New Roman" w:eastAsia="MS Mincho" w:hAnsi="Times New Roman"/>
          <w:bCs/>
          <w:iCs/>
          <w:color w:val="000000"/>
          <w:sz w:val="20"/>
          <w:szCs w:val="20"/>
        </w:rPr>
        <w:t>Dwarkadhish Venture Private Limited (formerly known as Siyaram Metals Private Limited)</w:t>
      </w:r>
      <w:r>
        <w:rPr>
          <w:rFonts w:ascii="Times New Roman" w:eastAsia="MS Mincho" w:hAnsi="Times New Roman"/>
          <w:bCs/>
          <w:iCs/>
          <w:color w:val="000000"/>
          <w:sz w:val="20"/>
          <w:szCs w:val="20"/>
        </w:rPr>
        <w:t xml:space="preserve">, </w:t>
      </w:r>
      <w:r w:rsidRPr="004C2A8F">
        <w:rPr>
          <w:rFonts w:ascii="Times New Roman" w:eastAsia="MS Mincho" w:hAnsi="Times New Roman"/>
          <w:bCs/>
          <w:iCs/>
          <w:color w:val="000000"/>
          <w:sz w:val="20"/>
          <w:szCs w:val="20"/>
        </w:rPr>
        <w:t>Ramgopal O. Maheshwari</w:t>
      </w:r>
      <w:r>
        <w:rPr>
          <w:rFonts w:ascii="Times New Roman" w:eastAsia="MS Mincho" w:hAnsi="Times New Roman"/>
          <w:bCs/>
          <w:iCs/>
          <w:color w:val="000000"/>
          <w:sz w:val="20"/>
          <w:szCs w:val="20"/>
        </w:rPr>
        <w:t xml:space="preserve">, </w:t>
      </w:r>
      <w:r w:rsidRPr="004C2A8F">
        <w:rPr>
          <w:rFonts w:ascii="Times New Roman" w:eastAsia="MS Mincho" w:hAnsi="Times New Roman"/>
          <w:bCs/>
          <w:iCs/>
          <w:color w:val="000000"/>
          <w:sz w:val="20"/>
          <w:szCs w:val="20"/>
        </w:rPr>
        <w:t>Madhuben R. Maheshwari</w:t>
      </w:r>
      <w:r>
        <w:rPr>
          <w:rFonts w:ascii="Times New Roman" w:eastAsia="MS Mincho" w:hAnsi="Times New Roman"/>
          <w:bCs/>
          <w:iCs/>
          <w:color w:val="000000"/>
          <w:sz w:val="20"/>
          <w:szCs w:val="20"/>
        </w:rPr>
        <w:t xml:space="preserve"> and </w:t>
      </w:r>
      <w:r w:rsidRPr="004C2A8F">
        <w:rPr>
          <w:rFonts w:ascii="Times New Roman" w:eastAsia="MS Mincho" w:hAnsi="Times New Roman"/>
          <w:bCs/>
          <w:iCs/>
          <w:color w:val="000000"/>
          <w:sz w:val="20"/>
          <w:szCs w:val="20"/>
        </w:rPr>
        <w:t>Bhavesh Ramgopal Maheshwari</w:t>
      </w:r>
      <w:r>
        <w:rPr>
          <w:rFonts w:ascii="Times New Roman" w:eastAsia="MS Mincho" w:hAnsi="Times New Roman"/>
          <w:bCs/>
          <w:iCs/>
          <w:color w:val="000000"/>
          <w:sz w:val="20"/>
          <w:szCs w:val="20"/>
        </w:rPr>
        <w:t xml:space="preserve"> </w:t>
      </w:r>
      <w:r w:rsidRPr="00641801">
        <w:rPr>
          <w:rFonts w:ascii="Times New Roman" w:eastAsia="MS Mincho" w:hAnsi="Times New Roman"/>
          <w:bCs/>
          <w:iCs/>
          <w:color w:val="000000"/>
          <w:sz w:val="20"/>
          <w:szCs w:val="20"/>
        </w:rPr>
        <w:t xml:space="preserve">has provided </w:t>
      </w:r>
      <w:r>
        <w:rPr>
          <w:rFonts w:ascii="Times New Roman" w:eastAsia="MS Mincho" w:hAnsi="Times New Roman"/>
          <w:bCs/>
          <w:iCs/>
          <w:color w:val="000000"/>
          <w:sz w:val="20"/>
          <w:szCs w:val="20"/>
        </w:rPr>
        <w:t>corporate/</w:t>
      </w:r>
      <w:r w:rsidRPr="00641801">
        <w:rPr>
          <w:rFonts w:ascii="Times New Roman" w:eastAsia="MS Mincho" w:hAnsi="Times New Roman"/>
          <w:bCs/>
          <w:iCs/>
          <w:color w:val="000000"/>
          <w:sz w:val="20"/>
          <w:szCs w:val="20"/>
        </w:rPr>
        <w:t xml:space="preserve">personal guarantee to secure a significant portion of our existing borrowings taken from the banks and may continue to provide such guarantees and other </w:t>
      </w:r>
      <w:r w:rsidRPr="00641801">
        <w:rPr>
          <w:rFonts w:ascii="Times New Roman" w:eastAsia="MS Mincho" w:hAnsi="Times New Roman"/>
          <w:bCs/>
          <w:iCs/>
          <w:color w:val="000000"/>
          <w:sz w:val="20"/>
          <w:szCs w:val="20"/>
        </w:rPr>
        <w:lastRenderedPageBreak/>
        <w:t>security post listing. In case of a default under our loan agreements, any of the personal/corporate guarantees provided by the aforesaid may be invoked which could negatively impact their reputation and net worth. Also, we may face certain impediments in taking decisions in relation to our Company, which in turn would result in a material adverse affect on our financial condition, business, results of operations and prospects and would negatively impact our reputation. We may also not be successful in procuring alternate guarantees/ alternate security satisfactory to the lenders, as a result may need to repay outstanding amounts under such facilities or seek additional sources of capital, which could affect our financial condition and cash flows. For further details regarding loans availed by our Company, please refer “Statement of Financial Indebtedness” on page 200 of this Draft Prospectus.</w:t>
      </w:r>
    </w:p>
    <w:p w14:paraId="00CF3262" w14:textId="77777777" w:rsidR="00D55EC1" w:rsidRPr="00641801" w:rsidRDefault="00D55EC1" w:rsidP="00D55EC1">
      <w:pPr>
        <w:widowControl w:val="0"/>
        <w:suppressAutoHyphens/>
        <w:autoSpaceDE w:val="0"/>
        <w:autoSpaceDN w:val="0"/>
        <w:adjustRightInd w:val="0"/>
        <w:spacing w:after="0" w:line="240" w:lineRule="auto"/>
        <w:contextualSpacing/>
        <w:jc w:val="both"/>
        <w:textAlignment w:val="center"/>
        <w:rPr>
          <w:rFonts w:ascii="Times New Roman" w:eastAsia="MS Mincho" w:hAnsi="Times New Roman"/>
          <w:bCs/>
          <w:iCs/>
          <w:color w:val="000000"/>
          <w:sz w:val="20"/>
          <w:szCs w:val="20"/>
        </w:rPr>
      </w:pPr>
    </w:p>
    <w:p w14:paraId="27CC8164" w14:textId="77777777" w:rsidR="00D55EC1" w:rsidRPr="00641801" w:rsidRDefault="00D55EC1" w:rsidP="00F038BD">
      <w:pPr>
        <w:pStyle w:val="ListParagraph"/>
        <w:numPr>
          <w:ilvl w:val="0"/>
          <w:numId w:val="150"/>
        </w:numPr>
        <w:spacing w:line="240" w:lineRule="auto"/>
        <w:contextualSpacing/>
        <w:jc w:val="both"/>
        <w:rPr>
          <w:b/>
          <w:bCs/>
          <w:i/>
          <w:iCs/>
          <w:sz w:val="20"/>
          <w:szCs w:val="20"/>
        </w:rPr>
      </w:pPr>
      <w:r w:rsidRPr="00641801">
        <w:rPr>
          <w:b/>
          <w:bCs/>
          <w:i/>
          <w:iCs/>
          <w:sz w:val="20"/>
          <w:szCs w:val="20"/>
        </w:rPr>
        <w:t xml:space="preserve"> Relevant copies of educational qualification of one of our Director is not traceable.</w:t>
      </w:r>
    </w:p>
    <w:p w14:paraId="6B8C9E1C" w14:textId="77777777" w:rsidR="00D55EC1" w:rsidRPr="00641801" w:rsidRDefault="00D55EC1" w:rsidP="00D55EC1">
      <w:pPr>
        <w:widowControl w:val="0"/>
        <w:suppressAutoHyphens/>
        <w:autoSpaceDE w:val="0"/>
        <w:autoSpaceDN w:val="0"/>
        <w:adjustRightInd w:val="0"/>
        <w:spacing w:after="0" w:line="240" w:lineRule="auto"/>
        <w:contextualSpacing/>
        <w:jc w:val="both"/>
        <w:textAlignment w:val="center"/>
        <w:rPr>
          <w:rFonts w:ascii="Times New Roman" w:eastAsia="MS Mincho" w:hAnsi="Times New Roman"/>
          <w:bCs/>
          <w:iCs/>
          <w:color w:val="000000"/>
          <w:sz w:val="20"/>
          <w:szCs w:val="20"/>
        </w:rPr>
      </w:pPr>
    </w:p>
    <w:p w14:paraId="0C9A9A23" w14:textId="77777777" w:rsidR="00D55EC1" w:rsidRPr="00641801" w:rsidRDefault="00D55EC1" w:rsidP="00D55EC1">
      <w:pPr>
        <w:widowControl w:val="0"/>
        <w:suppressAutoHyphens/>
        <w:autoSpaceDE w:val="0"/>
        <w:autoSpaceDN w:val="0"/>
        <w:adjustRightInd w:val="0"/>
        <w:spacing w:after="0" w:line="240" w:lineRule="auto"/>
        <w:contextualSpacing/>
        <w:jc w:val="both"/>
        <w:textAlignment w:val="center"/>
        <w:rPr>
          <w:rFonts w:ascii="Times New Roman" w:eastAsia="MS Mincho" w:hAnsi="Times New Roman"/>
          <w:bCs/>
          <w:iCs/>
          <w:color w:val="000000"/>
          <w:sz w:val="20"/>
          <w:szCs w:val="20"/>
        </w:rPr>
      </w:pPr>
      <w:r w:rsidRPr="00641801">
        <w:rPr>
          <w:rFonts w:ascii="Times New Roman" w:eastAsia="MS Mincho" w:hAnsi="Times New Roman"/>
          <w:bCs/>
          <w:iCs/>
          <w:color w:val="000000"/>
          <w:sz w:val="20"/>
          <w:szCs w:val="20"/>
        </w:rPr>
        <w:t xml:space="preserve">Relevant copies of the educational qualification of our Chairman &amp; </w:t>
      </w:r>
      <w:r>
        <w:rPr>
          <w:rFonts w:ascii="Times New Roman" w:eastAsia="MS Mincho" w:hAnsi="Times New Roman"/>
          <w:bCs/>
          <w:iCs/>
          <w:color w:val="000000"/>
          <w:sz w:val="20"/>
          <w:szCs w:val="20"/>
        </w:rPr>
        <w:t>Whole Time</w:t>
      </w:r>
      <w:r w:rsidRPr="00641801">
        <w:rPr>
          <w:rFonts w:ascii="Times New Roman" w:eastAsia="MS Mincho" w:hAnsi="Times New Roman"/>
          <w:bCs/>
          <w:iCs/>
          <w:color w:val="000000"/>
          <w:sz w:val="20"/>
          <w:szCs w:val="20"/>
        </w:rPr>
        <w:t xml:space="preserve"> Director, </w:t>
      </w:r>
      <w:r w:rsidRPr="004C2A8F">
        <w:rPr>
          <w:rFonts w:ascii="Times New Roman" w:hAnsi="Times New Roman"/>
          <w:bCs/>
          <w:iCs/>
          <w:sz w:val="20"/>
          <w:szCs w:val="20"/>
        </w:rPr>
        <w:t>Ramgopal O. Maheshwari</w:t>
      </w:r>
      <w:r w:rsidRPr="00641801">
        <w:rPr>
          <w:rFonts w:ascii="Times New Roman" w:eastAsia="MS Mincho" w:hAnsi="Times New Roman"/>
          <w:bCs/>
          <w:iCs/>
          <w:color w:val="000000"/>
          <w:sz w:val="20"/>
          <w:szCs w:val="20"/>
        </w:rPr>
        <w:t xml:space="preserve"> is not traceable. In accordance with the disclosure requirements in respect of brief biographies of the Directors, we have relied on affidavit provided by such Director for the purpose of disclosure in the section entitles “Our Management” on page 131 of this Draft Prospectus.</w:t>
      </w:r>
    </w:p>
    <w:p w14:paraId="2217F99F" w14:textId="77777777" w:rsidR="00D55EC1" w:rsidRDefault="00D55EC1" w:rsidP="00D55EC1">
      <w:pPr>
        <w:widowControl w:val="0"/>
        <w:autoSpaceDE w:val="0"/>
        <w:autoSpaceDN w:val="0"/>
        <w:adjustRightInd w:val="0"/>
        <w:spacing w:after="0" w:line="240" w:lineRule="auto"/>
        <w:jc w:val="both"/>
        <w:textAlignment w:val="baseline"/>
        <w:rPr>
          <w:rFonts w:ascii="Times New Roman" w:hAnsi="Times New Roman"/>
          <w:sz w:val="20"/>
          <w:szCs w:val="20"/>
        </w:rPr>
      </w:pPr>
    </w:p>
    <w:p w14:paraId="0CD0187D" w14:textId="77777777" w:rsidR="00D55EC1" w:rsidRPr="001B2C34" w:rsidRDefault="00D55EC1" w:rsidP="00F038BD">
      <w:pPr>
        <w:numPr>
          <w:ilvl w:val="0"/>
          <w:numId w:val="150"/>
        </w:numPr>
        <w:suppressAutoHyphens/>
        <w:autoSpaceDE w:val="0"/>
        <w:autoSpaceDN w:val="0"/>
        <w:adjustRightInd w:val="0"/>
        <w:spacing w:after="0" w:line="240" w:lineRule="auto"/>
        <w:contextualSpacing/>
        <w:jc w:val="both"/>
        <w:textAlignment w:val="center"/>
        <w:rPr>
          <w:rFonts w:ascii="Times New Roman" w:eastAsia="MS Mincho" w:hAnsi="Times New Roman"/>
          <w:b/>
          <w:i/>
          <w:color w:val="000000"/>
          <w:sz w:val="20"/>
          <w:szCs w:val="20"/>
          <w:lang w:val="en-GB" w:eastAsia="x-none"/>
        </w:rPr>
      </w:pPr>
      <w:r w:rsidRPr="001B2C34">
        <w:rPr>
          <w:rFonts w:ascii="Times New Roman" w:eastAsia="MS Mincho" w:hAnsi="Times New Roman"/>
          <w:b/>
          <w:i/>
          <w:color w:val="000000"/>
          <w:sz w:val="20"/>
          <w:szCs w:val="20"/>
          <w:lang w:val="en-GB" w:eastAsia="x-none"/>
        </w:rPr>
        <w:t>Our Company has unsecured loans which are repayable on demand. Any demand from lenders for repayment of such unsecured loans may adversely affect our cash flows.</w:t>
      </w:r>
    </w:p>
    <w:p w14:paraId="26483114" w14:textId="77777777" w:rsidR="00D55EC1" w:rsidRPr="001B2C34" w:rsidRDefault="00D55EC1" w:rsidP="00D55EC1">
      <w:pPr>
        <w:spacing w:after="0" w:line="240" w:lineRule="auto"/>
        <w:contextualSpacing/>
        <w:jc w:val="both"/>
        <w:rPr>
          <w:rFonts w:ascii="Times New Roman" w:eastAsia="MS Mincho" w:hAnsi="Times New Roman"/>
          <w:b/>
          <w:i/>
          <w:sz w:val="20"/>
          <w:szCs w:val="20"/>
          <w:lang w:val="en-GB"/>
        </w:rPr>
      </w:pPr>
    </w:p>
    <w:p w14:paraId="3A8F928D" w14:textId="77777777" w:rsidR="00D55EC1" w:rsidRPr="001B2C34" w:rsidRDefault="00D55EC1" w:rsidP="00D55EC1">
      <w:pPr>
        <w:spacing w:after="0" w:line="240" w:lineRule="auto"/>
        <w:contextualSpacing/>
        <w:jc w:val="both"/>
        <w:rPr>
          <w:rFonts w:ascii="Times New Roman" w:eastAsia="MS Mincho" w:hAnsi="Times New Roman"/>
          <w:sz w:val="20"/>
          <w:szCs w:val="20"/>
          <w:lang w:val="en-GB"/>
        </w:rPr>
      </w:pPr>
      <w:r w:rsidRPr="001B2C34">
        <w:rPr>
          <w:rFonts w:ascii="Times New Roman" w:eastAsia="MS Mincho" w:hAnsi="Times New Roman"/>
          <w:sz w:val="20"/>
          <w:szCs w:val="20"/>
          <w:lang w:val="en-GB"/>
        </w:rPr>
        <w:t xml:space="preserve">Our Company has availed unsecured loans which may be recalled by lenders at any time </w:t>
      </w:r>
      <w:r w:rsidRPr="001B2C34">
        <w:rPr>
          <w:rFonts w:ascii="Times New Roman" w:eastAsia="MS Mincho" w:hAnsi="Times New Roman"/>
          <w:sz w:val="20"/>
          <w:szCs w:val="20"/>
        </w:rPr>
        <w:t>with or without the existence of an event of default, on short or no notice</w:t>
      </w:r>
      <w:r w:rsidRPr="001B2C34">
        <w:rPr>
          <w:rFonts w:ascii="Times New Roman" w:eastAsia="MS Mincho" w:hAnsi="Times New Roman"/>
          <w:sz w:val="20"/>
          <w:szCs w:val="20"/>
          <w:lang w:val="en-GB"/>
        </w:rPr>
        <w:t xml:space="preserve">. As of March 31, 2023, such loans amounted to </w:t>
      </w:r>
      <w:r w:rsidRPr="001B2C34">
        <w:rPr>
          <w:rFonts w:ascii="Times New Roman" w:hAnsi="Times New Roman"/>
          <w:color w:val="000000"/>
          <w:sz w:val="20"/>
          <w:szCs w:val="20"/>
        </w:rPr>
        <w:t>₹</w:t>
      </w:r>
      <w:r w:rsidRPr="001B2C34">
        <w:rPr>
          <w:rFonts w:ascii="Times New Roman" w:eastAsia="MS Mincho" w:hAnsi="Times New Roman"/>
          <w:sz w:val="20"/>
          <w:szCs w:val="20"/>
          <w:lang w:val="en-GB"/>
        </w:rPr>
        <w:t xml:space="preserve"> </w:t>
      </w:r>
      <w:r>
        <w:rPr>
          <w:rFonts w:ascii="Times New Roman" w:eastAsia="MS Mincho" w:hAnsi="Times New Roman"/>
          <w:sz w:val="20"/>
          <w:szCs w:val="20"/>
          <w:lang w:val="en-GB"/>
        </w:rPr>
        <w:t>498.31</w:t>
      </w:r>
      <w:r w:rsidRPr="001B2C34">
        <w:rPr>
          <w:rFonts w:ascii="Times New Roman" w:eastAsia="MS Mincho" w:hAnsi="Times New Roman"/>
          <w:sz w:val="20"/>
          <w:szCs w:val="20"/>
          <w:lang w:val="en-GB"/>
        </w:rPr>
        <w:t xml:space="preserve"> lakhs. In the event that any lender seeks a repayment of any such loan, our Company would need to find alternative sources of financing, which may not be available on commercially reasonable terms, or at all. As a result, any such demand may materially affect our business, cash flows, financial condition and results of operations. For further details, please see the section entitled </w:t>
      </w:r>
      <w:r w:rsidRPr="001B2C34">
        <w:rPr>
          <w:rFonts w:ascii="Times New Roman" w:eastAsia="MS Mincho" w:hAnsi="Times New Roman"/>
          <w:b/>
          <w:i/>
          <w:sz w:val="20"/>
          <w:szCs w:val="20"/>
          <w:lang w:val="en-GB"/>
        </w:rPr>
        <w:t>“Statement of Financial Indebtedness”</w:t>
      </w:r>
      <w:r w:rsidRPr="001B2C34">
        <w:rPr>
          <w:rFonts w:ascii="Times New Roman" w:eastAsia="MS Mincho" w:hAnsi="Times New Roman"/>
          <w:sz w:val="20"/>
          <w:szCs w:val="20"/>
          <w:lang w:val="en-GB"/>
        </w:rPr>
        <w:t xml:space="preserve"> on page</w:t>
      </w:r>
      <w:r w:rsidRPr="001B2C34">
        <w:rPr>
          <w:rFonts w:ascii="Times New Roman" w:hAnsi="Times New Roman"/>
          <w:i/>
          <w:iCs/>
          <w:sz w:val="20"/>
          <w:szCs w:val="20"/>
        </w:rPr>
        <w:t xml:space="preserve"> </w:t>
      </w:r>
      <w:r w:rsidRPr="001B2C34">
        <w:rPr>
          <w:rFonts w:ascii="Times New Roman" w:hAnsi="Times New Roman"/>
          <w:i/>
          <w:iCs/>
          <w:sz w:val="20"/>
          <w:szCs w:val="20"/>
        </w:rPr>
        <w:fldChar w:fldCharType="begin"/>
      </w:r>
      <w:r w:rsidRPr="001B2C34">
        <w:rPr>
          <w:rFonts w:ascii="Times New Roman" w:hAnsi="Times New Roman"/>
          <w:i/>
          <w:iCs/>
          <w:sz w:val="20"/>
          <w:szCs w:val="20"/>
        </w:rPr>
        <w:instrText xml:space="preserve"> PAGEREF  STATEMENTOFFINANCIALINDEBTEDNESS  \* MERGEFORMAT </w:instrText>
      </w:r>
      <w:r w:rsidRPr="001B2C34">
        <w:rPr>
          <w:rFonts w:ascii="Times New Roman" w:hAnsi="Times New Roman"/>
          <w:i/>
          <w:iCs/>
          <w:sz w:val="20"/>
          <w:szCs w:val="20"/>
        </w:rPr>
        <w:fldChar w:fldCharType="separate"/>
      </w:r>
      <w:r w:rsidRPr="001B2C34">
        <w:rPr>
          <w:rFonts w:ascii="Times New Roman" w:hAnsi="Times New Roman"/>
          <w:i/>
          <w:iCs/>
          <w:noProof/>
          <w:sz w:val="20"/>
          <w:szCs w:val="20"/>
        </w:rPr>
        <w:t>163</w:t>
      </w:r>
      <w:r w:rsidRPr="001B2C34">
        <w:rPr>
          <w:rFonts w:ascii="Times New Roman" w:hAnsi="Times New Roman"/>
          <w:i/>
          <w:iCs/>
          <w:sz w:val="20"/>
          <w:szCs w:val="20"/>
        </w:rPr>
        <w:fldChar w:fldCharType="end"/>
      </w:r>
      <w:r w:rsidRPr="001B2C34">
        <w:rPr>
          <w:rFonts w:ascii="Times New Roman" w:hAnsi="Times New Roman"/>
          <w:i/>
          <w:iCs/>
          <w:sz w:val="20"/>
          <w:szCs w:val="20"/>
        </w:rPr>
        <w:t xml:space="preserve"> </w:t>
      </w:r>
      <w:r w:rsidRPr="001B2C34">
        <w:rPr>
          <w:rFonts w:ascii="Times New Roman" w:eastAsia="MS Mincho" w:hAnsi="Times New Roman"/>
          <w:sz w:val="20"/>
          <w:szCs w:val="20"/>
          <w:lang w:val="en-GB"/>
        </w:rPr>
        <w:t>of this Draft Red Herring Prospectus</w:t>
      </w:r>
      <w:r>
        <w:rPr>
          <w:rFonts w:ascii="Times New Roman" w:eastAsia="MS Mincho" w:hAnsi="Times New Roman"/>
          <w:sz w:val="20"/>
          <w:szCs w:val="20"/>
          <w:lang w:val="en-GB"/>
        </w:rPr>
        <w:t>.</w:t>
      </w:r>
    </w:p>
    <w:p w14:paraId="30F5ED3C" w14:textId="77777777" w:rsidR="00D55EC1" w:rsidRDefault="00D55EC1" w:rsidP="00D55EC1">
      <w:pPr>
        <w:widowControl w:val="0"/>
        <w:autoSpaceDE w:val="0"/>
        <w:autoSpaceDN w:val="0"/>
        <w:adjustRightInd w:val="0"/>
        <w:spacing w:after="0" w:line="240" w:lineRule="auto"/>
        <w:jc w:val="both"/>
        <w:textAlignment w:val="baseline"/>
        <w:rPr>
          <w:rFonts w:ascii="Times New Roman" w:hAnsi="Times New Roman"/>
          <w:sz w:val="20"/>
          <w:szCs w:val="20"/>
        </w:rPr>
      </w:pPr>
    </w:p>
    <w:p w14:paraId="659AF19C" w14:textId="77777777" w:rsidR="00D55EC1" w:rsidRPr="001B2C34" w:rsidRDefault="00D55EC1" w:rsidP="00F038BD">
      <w:pPr>
        <w:numPr>
          <w:ilvl w:val="0"/>
          <w:numId w:val="150"/>
        </w:numPr>
        <w:suppressAutoHyphens/>
        <w:autoSpaceDE w:val="0"/>
        <w:autoSpaceDN w:val="0"/>
        <w:adjustRightInd w:val="0"/>
        <w:spacing w:after="0" w:line="240" w:lineRule="auto"/>
        <w:contextualSpacing/>
        <w:jc w:val="both"/>
        <w:textAlignment w:val="center"/>
        <w:rPr>
          <w:rFonts w:ascii="Times New Roman" w:eastAsia="MS Mincho" w:hAnsi="Times New Roman"/>
          <w:b/>
          <w:i/>
          <w:color w:val="000000"/>
          <w:sz w:val="20"/>
          <w:szCs w:val="20"/>
          <w:lang w:val="en-GB" w:eastAsia="x-none"/>
        </w:rPr>
      </w:pPr>
      <w:r w:rsidRPr="001B2C34">
        <w:rPr>
          <w:rFonts w:ascii="Times New Roman" w:eastAsia="MS Mincho" w:hAnsi="Times New Roman"/>
          <w:b/>
          <w:i/>
          <w:color w:val="000000"/>
          <w:sz w:val="20"/>
          <w:szCs w:val="20"/>
          <w:lang w:val="en-GB" w:eastAsia="x-none"/>
        </w:rPr>
        <w:t>Fraud, theft, employee negligence or similar incidents may adversely affect our results of operations and financial condition.</w:t>
      </w:r>
    </w:p>
    <w:p w14:paraId="0433CD36" w14:textId="77777777" w:rsidR="00D55EC1" w:rsidRPr="001B2C34" w:rsidRDefault="00D55EC1" w:rsidP="00D55EC1">
      <w:pPr>
        <w:suppressAutoHyphens/>
        <w:autoSpaceDE w:val="0"/>
        <w:autoSpaceDN w:val="0"/>
        <w:adjustRightInd w:val="0"/>
        <w:spacing w:after="0" w:line="240" w:lineRule="auto"/>
        <w:ind w:left="360"/>
        <w:contextualSpacing/>
        <w:jc w:val="both"/>
        <w:textAlignment w:val="center"/>
        <w:rPr>
          <w:rFonts w:ascii="Times New Roman" w:eastAsia="MS Mincho" w:hAnsi="Times New Roman"/>
          <w:b/>
          <w:i/>
          <w:color w:val="000000"/>
          <w:sz w:val="20"/>
          <w:szCs w:val="20"/>
          <w:lang w:val="en-GB" w:eastAsia="x-none"/>
        </w:rPr>
      </w:pPr>
    </w:p>
    <w:p w14:paraId="5254346F" w14:textId="77777777" w:rsidR="00D55EC1" w:rsidRPr="001B2C34" w:rsidRDefault="00D55EC1" w:rsidP="00D55EC1">
      <w:pPr>
        <w:autoSpaceDE w:val="0"/>
        <w:autoSpaceDN w:val="0"/>
        <w:adjustRightInd w:val="0"/>
        <w:spacing w:after="0" w:line="240" w:lineRule="auto"/>
        <w:jc w:val="both"/>
        <w:rPr>
          <w:rFonts w:ascii="Times New Roman" w:hAnsi="Times New Roman"/>
          <w:bCs/>
          <w:sz w:val="20"/>
          <w:szCs w:val="20"/>
          <w:lang w:val="en-IN"/>
        </w:rPr>
      </w:pPr>
      <w:r w:rsidRPr="001B2C34">
        <w:rPr>
          <w:rFonts w:ascii="Times New Roman" w:hAnsi="Times New Roman"/>
          <w:bCs/>
          <w:sz w:val="20"/>
          <w:szCs w:val="20"/>
          <w:lang w:val="en-IN"/>
        </w:rPr>
        <w:t>Our operations may be subject to incidents of theft or damage to inventory. The business may also encounter some inventory loss on account of employee theft, vendor fraud and general administrative error. While we have not experienced any such instance in the past, there can be no assurance that we will not experience any fraud, theft, employee negligence, security lapse or similar incidents in the future, which could adversely affect our results of operations and financial condition. Though we have insurance losses due to theft, fire, breakage or damage caused by other casualties, could adversely affect our results of operations and financial condition.</w:t>
      </w:r>
    </w:p>
    <w:p w14:paraId="036C596C" w14:textId="77777777" w:rsidR="00D55EC1" w:rsidRPr="00641801" w:rsidRDefault="00D55EC1" w:rsidP="00D55EC1">
      <w:pPr>
        <w:widowControl w:val="0"/>
        <w:adjustRightInd w:val="0"/>
        <w:spacing w:after="0" w:line="240" w:lineRule="auto"/>
        <w:jc w:val="both"/>
        <w:textAlignment w:val="baseline"/>
        <w:rPr>
          <w:rFonts w:ascii="Times New Roman" w:hAnsi="Times New Roman"/>
          <w:sz w:val="20"/>
          <w:szCs w:val="20"/>
        </w:rPr>
      </w:pPr>
    </w:p>
    <w:p w14:paraId="6EAF4891" w14:textId="77777777" w:rsidR="00D55EC1" w:rsidRPr="00641801" w:rsidRDefault="00D55EC1" w:rsidP="00F038BD">
      <w:pPr>
        <w:pStyle w:val="ListParagraph"/>
        <w:numPr>
          <w:ilvl w:val="0"/>
          <w:numId w:val="150"/>
        </w:numPr>
        <w:spacing w:line="240" w:lineRule="auto"/>
        <w:contextualSpacing/>
        <w:jc w:val="both"/>
        <w:rPr>
          <w:b/>
          <w:bCs/>
          <w:i/>
          <w:iCs/>
          <w:sz w:val="20"/>
          <w:szCs w:val="20"/>
        </w:rPr>
      </w:pPr>
      <w:r w:rsidRPr="00641801">
        <w:rPr>
          <w:b/>
          <w:bCs/>
          <w:i/>
          <w:iCs/>
          <w:sz w:val="20"/>
          <w:szCs w:val="20"/>
        </w:rPr>
        <w:t>We could be harmed by employee misconduct or errors that are difficult to detect and any such incidences could adversely affect our financial condition, results of operations and reputation.</w:t>
      </w:r>
    </w:p>
    <w:p w14:paraId="557FD5B1" w14:textId="77777777" w:rsidR="00D55EC1" w:rsidRPr="00641801" w:rsidRDefault="00D55EC1" w:rsidP="00D55EC1">
      <w:pPr>
        <w:widowControl w:val="0"/>
        <w:adjustRightInd w:val="0"/>
        <w:spacing w:after="0" w:line="240" w:lineRule="auto"/>
        <w:jc w:val="both"/>
        <w:textAlignment w:val="baseline"/>
        <w:rPr>
          <w:rFonts w:ascii="Times New Roman" w:hAnsi="Times New Roman"/>
          <w:sz w:val="20"/>
          <w:szCs w:val="20"/>
        </w:rPr>
      </w:pPr>
    </w:p>
    <w:p w14:paraId="2435BA40" w14:textId="77777777" w:rsidR="00D55EC1" w:rsidRPr="00641801" w:rsidRDefault="00D55EC1" w:rsidP="00D55EC1">
      <w:pPr>
        <w:widowControl w:val="0"/>
        <w:adjustRightInd w:val="0"/>
        <w:spacing w:after="0" w:line="240" w:lineRule="auto"/>
        <w:jc w:val="both"/>
        <w:textAlignment w:val="baseline"/>
        <w:rPr>
          <w:rFonts w:ascii="Times New Roman" w:hAnsi="Times New Roman"/>
          <w:sz w:val="20"/>
          <w:szCs w:val="20"/>
        </w:rPr>
      </w:pPr>
      <w:r w:rsidRPr="00641801">
        <w:rPr>
          <w:rFonts w:ascii="Times New Roman" w:hAnsi="Times New Roman"/>
          <w:sz w:val="20"/>
          <w:szCs w:val="20"/>
        </w:rPr>
        <w:t>Employee misconduct or errors could expose us to business risks or losses, including regulatory sanctions and serious harm to our reputation. There can be no assurance that we will be able to detect or deter such misconduct. Moreover, the precautions we take to prevent and detect such activity may not be affective in all cases. Our employees may also commit errors that could subject us to claims and proceedings for alleged negligence, as well as regulatory actions on account of which our business, financial condition, results of operations and goodwill could be adversely affected.</w:t>
      </w:r>
    </w:p>
    <w:p w14:paraId="3C36DFA6" w14:textId="77777777" w:rsidR="00D55EC1" w:rsidRPr="00641801" w:rsidRDefault="00D55EC1" w:rsidP="00D55EC1">
      <w:pPr>
        <w:pStyle w:val="ListParagraph"/>
        <w:shd w:val="clear" w:color="auto" w:fill="FFFFFF"/>
        <w:spacing w:line="240" w:lineRule="auto"/>
        <w:ind w:left="0"/>
        <w:jc w:val="both"/>
        <w:rPr>
          <w:bCs/>
          <w:iCs/>
          <w:sz w:val="20"/>
          <w:szCs w:val="20"/>
        </w:rPr>
      </w:pPr>
    </w:p>
    <w:p w14:paraId="202EB833" w14:textId="77777777" w:rsidR="00D55EC1" w:rsidRPr="00726B2B" w:rsidRDefault="00D55EC1" w:rsidP="00F038BD">
      <w:pPr>
        <w:pStyle w:val="ListParagraph"/>
        <w:numPr>
          <w:ilvl w:val="0"/>
          <w:numId w:val="150"/>
        </w:numPr>
        <w:spacing w:line="240" w:lineRule="auto"/>
        <w:contextualSpacing/>
        <w:jc w:val="both"/>
        <w:rPr>
          <w:b/>
          <w:bCs/>
          <w:i/>
          <w:iCs/>
          <w:sz w:val="20"/>
          <w:szCs w:val="20"/>
        </w:rPr>
      </w:pPr>
      <w:r w:rsidRPr="00726B2B">
        <w:rPr>
          <w:b/>
          <w:bCs/>
          <w:i/>
          <w:iCs/>
          <w:sz w:val="20"/>
          <w:szCs w:val="20"/>
        </w:rPr>
        <w:t>We have not identified any alternate source of funding and hence any failure or delay on our part to mobilize the required resources or any shortfall in the Issue proceeds may delay the implementation schedule.</w:t>
      </w:r>
    </w:p>
    <w:p w14:paraId="3B5D4EA6" w14:textId="77777777" w:rsidR="00D55EC1" w:rsidRPr="00726B2B" w:rsidRDefault="00D55EC1" w:rsidP="00D55EC1">
      <w:pPr>
        <w:widowControl w:val="0"/>
        <w:adjustRightInd w:val="0"/>
        <w:spacing w:after="0" w:line="240" w:lineRule="auto"/>
        <w:contextualSpacing/>
        <w:jc w:val="both"/>
        <w:textAlignment w:val="baseline"/>
        <w:rPr>
          <w:rFonts w:ascii="Times New Roman" w:hAnsi="Times New Roman"/>
          <w:b/>
          <w:i/>
          <w:sz w:val="20"/>
          <w:szCs w:val="20"/>
        </w:rPr>
      </w:pPr>
    </w:p>
    <w:p w14:paraId="059F1325" w14:textId="11ADEC9C" w:rsidR="00D55EC1" w:rsidRPr="00641801" w:rsidRDefault="00D55EC1" w:rsidP="00D55EC1">
      <w:pPr>
        <w:widowControl w:val="0"/>
        <w:adjustRightInd w:val="0"/>
        <w:spacing w:after="0" w:line="240" w:lineRule="auto"/>
        <w:contextualSpacing/>
        <w:jc w:val="both"/>
        <w:textAlignment w:val="baseline"/>
        <w:rPr>
          <w:rFonts w:ascii="Times New Roman" w:hAnsi="Times New Roman"/>
          <w:sz w:val="20"/>
          <w:szCs w:val="20"/>
        </w:rPr>
      </w:pPr>
      <w:r w:rsidRPr="00726B2B">
        <w:rPr>
          <w:rFonts w:ascii="Times New Roman" w:hAnsi="Times New Roman"/>
          <w:sz w:val="20"/>
          <w:szCs w:val="20"/>
        </w:rPr>
        <w:t xml:space="preserve">The proposed fund requirement for </w:t>
      </w:r>
      <w:r w:rsidR="00726B2B">
        <w:rPr>
          <w:rFonts w:ascii="Times New Roman" w:hAnsi="Times New Roman"/>
          <w:sz w:val="20"/>
          <w:szCs w:val="20"/>
        </w:rPr>
        <w:t>repayment of cash credit facility</w:t>
      </w:r>
      <w:r w:rsidRPr="00726B2B">
        <w:rPr>
          <w:rFonts w:ascii="Times New Roman" w:hAnsi="Times New Roman"/>
          <w:sz w:val="20"/>
          <w:szCs w:val="20"/>
        </w:rPr>
        <w:t xml:space="preserve">, as detailed in the section titled </w:t>
      </w:r>
      <w:r w:rsidRPr="00726B2B">
        <w:rPr>
          <w:rFonts w:ascii="Times New Roman" w:hAnsi="Times New Roman"/>
          <w:b/>
          <w:i/>
          <w:sz w:val="20"/>
          <w:szCs w:val="20"/>
        </w:rPr>
        <w:t>"Objects of the Issue"</w:t>
      </w:r>
      <w:r w:rsidRPr="00726B2B">
        <w:rPr>
          <w:rFonts w:ascii="Times New Roman" w:hAnsi="Times New Roman"/>
          <w:sz w:val="20"/>
          <w:szCs w:val="20"/>
        </w:rPr>
        <w:t xml:space="preserve"> is to be funded from the proceeds of this Issue. We have not identified any alternate source of funding and hence any failure or delay on our part to mobilize the required resources or any shortfall in the Issue proceeds may delay the implementation schedule. We therefore, cannot assure that we would be able to execute our future plans/strategy within the given timeframe. For details, please refer to the Chapter titled </w:t>
      </w:r>
      <w:r w:rsidRPr="00726B2B">
        <w:rPr>
          <w:rFonts w:ascii="Times New Roman" w:hAnsi="Times New Roman"/>
          <w:b/>
          <w:i/>
          <w:sz w:val="20"/>
          <w:szCs w:val="20"/>
        </w:rPr>
        <w:t xml:space="preserve">“Objects of the Issue” </w:t>
      </w:r>
      <w:r w:rsidRPr="00726B2B">
        <w:rPr>
          <w:rFonts w:ascii="Times New Roman" w:hAnsi="Times New Roman"/>
          <w:sz w:val="20"/>
          <w:szCs w:val="20"/>
        </w:rPr>
        <w:t>beginning on page 82 of this Draft Prospectus.</w:t>
      </w:r>
    </w:p>
    <w:p w14:paraId="42AE27F1" w14:textId="77777777" w:rsidR="00D55EC1" w:rsidRPr="00641801" w:rsidRDefault="00D55EC1" w:rsidP="00D55EC1">
      <w:pPr>
        <w:widowControl w:val="0"/>
        <w:adjustRightInd w:val="0"/>
        <w:spacing w:after="0" w:line="240" w:lineRule="auto"/>
        <w:contextualSpacing/>
        <w:jc w:val="both"/>
        <w:textAlignment w:val="baseline"/>
        <w:rPr>
          <w:rFonts w:ascii="Times New Roman" w:hAnsi="Times New Roman"/>
          <w:sz w:val="20"/>
          <w:szCs w:val="20"/>
        </w:rPr>
      </w:pPr>
    </w:p>
    <w:p w14:paraId="2E3F168D" w14:textId="77777777" w:rsidR="00D55EC1" w:rsidRPr="00641801" w:rsidRDefault="00D55EC1" w:rsidP="00F038BD">
      <w:pPr>
        <w:pStyle w:val="ListParagraph"/>
        <w:numPr>
          <w:ilvl w:val="0"/>
          <w:numId w:val="150"/>
        </w:numPr>
        <w:spacing w:line="240" w:lineRule="auto"/>
        <w:contextualSpacing/>
        <w:jc w:val="both"/>
        <w:rPr>
          <w:b/>
          <w:bCs/>
          <w:i/>
          <w:iCs/>
          <w:sz w:val="20"/>
          <w:szCs w:val="20"/>
        </w:rPr>
      </w:pPr>
      <w:r w:rsidRPr="00641801">
        <w:rPr>
          <w:b/>
          <w:bCs/>
          <w:i/>
          <w:iCs/>
          <w:sz w:val="20"/>
          <w:szCs w:val="20"/>
        </w:rPr>
        <w:t xml:space="preserve">We may not be able to sustain effective implementation of our business and growth strategy. </w:t>
      </w:r>
    </w:p>
    <w:p w14:paraId="4550FC6F" w14:textId="77777777" w:rsidR="00D55EC1" w:rsidRPr="00641801" w:rsidRDefault="00D55EC1" w:rsidP="00D55EC1">
      <w:pPr>
        <w:widowControl w:val="0"/>
        <w:autoSpaceDE w:val="0"/>
        <w:autoSpaceDN w:val="0"/>
        <w:adjustRightInd w:val="0"/>
        <w:spacing w:after="0" w:line="240" w:lineRule="auto"/>
        <w:jc w:val="both"/>
        <w:textAlignment w:val="baseline"/>
        <w:rPr>
          <w:rFonts w:ascii="Times New Roman" w:hAnsi="Times New Roman"/>
          <w:sz w:val="20"/>
          <w:szCs w:val="20"/>
        </w:rPr>
      </w:pPr>
    </w:p>
    <w:p w14:paraId="4EF106AA" w14:textId="77777777" w:rsidR="00D55EC1" w:rsidRPr="00641801" w:rsidRDefault="00D55EC1" w:rsidP="00D55EC1">
      <w:pPr>
        <w:widowControl w:val="0"/>
        <w:autoSpaceDE w:val="0"/>
        <w:autoSpaceDN w:val="0"/>
        <w:adjustRightInd w:val="0"/>
        <w:spacing w:after="0" w:line="240" w:lineRule="auto"/>
        <w:jc w:val="both"/>
        <w:textAlignment w:val="baseline"/>
        <w:rPr>
          <w:rFonts w:ascii="Times New Roman" w:eastAsia="MS Mincho" w:hAnsi="Times New Roman"/>
          <w:sz w:val="20"/>
          <w:szCs w:val="20"/>
          <w:lang w:val="en-GB"/>
        </w:rPr>
      </w:pPr>
      <w:r w:rsidRPr="00641801">
        <w:rPr>
          <w:rFonts w:ascii="Times New Roman" w:eastAsia="MS Mincho" w:hAnsi="Times New Roman"/>
          <w:sz w:val="20"/>
          <w:szCs w:val="20"/>
          <w:lang w:val="en-GB"/>
        </w:rPr>
        <w:t>The success of our business will largely depend on our ability to effectively implement our business and growth strategy. In the past we have generally been successful in execution of our business but there can be no assurance that we will be able to execute our strategy on time and within the estimated budget in the future. If we are unable to implement our business and growth strategy, this may have an adverse affect on our business, financial condition and results of operations.</w:t>
      </w:r>
    </w:p>
    <w:p w14:paraId="0F998785" w14:textId="77777777" w:rsidR="00D55EC1" w:rsidRPr="00641801" w:rsidRDefault="00D55EC1" w:rsidP="00D55EC1">
      <w:pPr>
        <w:widowControl w:val="0"/>
        <w:autoSpaceDE w:val="0"/>
        <w:autoSpaceDN w:val="0"/>
        <w:adjustRightInd w:val="0"/>
        <w:spacing w:after="0" w:line="240" w:lineRule="auto"/>
        <w:jc w:val="both"/>
        <w:textAlignment w:val="baseline"/>
        <w:rPr>
          <w:rFonts w:ascii="Times New Roman" w:eastAsia="MS Mincho" w:hAnsi="Times New Roman"/>
          <w:sz w:val="20"/>
          <w:szCs w:val="20"/>
          <w:lang w:val="en-GB"/>
        </w:rPr>
      </w:pPr>
    </w:p>
    <w:p w14:paraId="0FF0B20A" w14:textId="77777777" w:rsidR="00D55EC1" w:rsidRPr="00641801" w:rsidRDefault="00D55EC1" w:rsidP="00F038BD">
      <w:pPr>
        <w:pStyle w:val="ListParagraph"/>
        <w:numPr>
          <w:ilvl w:val="0"/>
          <w:numId w:val="150"/>
        </w:numPr>
        <w:spacing w:line="240" w:lineRule="auto"/>
        <w:contextualSpacing/>
        <w:jc w:val="both"/>
        <w:rPr>
          <w:b/>
          <w:bCs/>
          <w:i/>
          <w:iCs/>
          <w:sz w:val="20"/>
          <w:szCs w:val="20"/>
        </w:rPr>
      </w:pPr>
      <w:r w:rsidRPr="00641801">
        <w:rPr>
          <w:b/>
          <w:bCs/>
          <w:i/>
          <w:iCs/>
          <w:sz w:val="20"/>
          <w:szCs w:val="20"/>
        </w:rPr>
        <w:t>We are subject to the restrictive covenants of banks in respect of the Loans/ Credit Limits and other banking facilities availed from them.</w:t>
      </w:r>
    </w:p>
    <w:p w14:paraId="1FEAF05E" w14:textId="77777777" w:rsidR="00D55EC1" w:rsidRPr="00641801" w:rsidRDefault="00D55EC1" w:rsidP="00D55EC1">
      <w:pPr>
        <w:widowControl w:val="0"/>
        <w:autoSpaceDE w:val="0"/>
        <w:autoSpaceDN w:val="0"/>
        <w:adjustRightInd w:val="0"/>
        <w:spacing w:after="0" w:line="240" w:lineRule="auto"/>
        <w:jc w:val="both"/>
        <w:textAlignment w:val="baseline"/>
        <w:rPr>
          <w:rFonts w:ascii="Times New Roman" w:eastAsia="MS Mincho" w:hAnsi="Times New Roman"/>
          <w:sz w:val="20"/>
          <w:szCs w:val="20"/>
          <w:lang w:val="en-GB"/>
        </w:rPr>
      </w:pPr>
    </w:p>
    <w:p w14:paraId="13140B9C" w14:textId="77777777" w:rsidR="00D55EC1" w:rsidRPr="00641801" w:rsidRDefault="00D55EC1" w:rsidP="00D55EC1">
      <w:pPr>
        <w:widowControl w:val="0"/>
        <w:autoSpaceDE w:val="0"/>
        <w:autoSpaceDN w:val="0"/>
        <w:adjustRightInd w:val="0"/>
        <w:spacing w:after="0" w:line="240" w:lineRule="auto"/>
        <w:jc w:val="both"/>
        <w:textAlignment w:val="baseline"/>
        <w:rPr>
          <w:rFonts w:ascii="Times New Roman" w:eastAsia="MS Mincho" w:hAnsi="Times New Roman"/>
          <w:sz w:val="20"/>
          <w:szCs w:val="20"/>
          <w:lang w:val="en-GB"/>
        </w:rPr>
      </w:pPr>
      <w:r w:rsidRPr="00641801">
        <w:rPr>
          <w:rFonts w:ascii="Times New Roman" w:eastAsia="MS Mincho" w:hAnsi="Times New Roman"/>
          <w:sz w:val="20"/>
          <w:szCs w:val="20"/>
          <w:lang w:val="en-GB"/>
        </w:rPr>
        <w:t xml:space="preserve">Our financing arrangements contain restrictive covenants whereby we are required to obtain approval from our lender, regarding, among other things such as major changes in share capital, management, changes in fixed assets, creation of any other charge, </w:t>
      </w:r>
      <w:r w:rsidRPr="00641801">
        <w:rPr>
          <w:rFonts w:ascii="Times New Roman" w:eastAsia="MS Mincho" w:hAnsi="Times New Roman"/>
          <w:sz w:val="20"/>
          <w:szCs w:val="20"/>
          <w:lang w:val="en-GB"/>
        </w:rPr>
        <w:lastRenderedPageBreak/>
        <w:t>undertake any guarantee obligation etc. There can be no assurance that such consents will be granted or that we will be able to comply with the financial covenants under our financing arrangements. In the event we breach any financial or other covenants contained in any of our financing arrangements, we may be required under the terms of such financing arrangements to immediately repay our borrowings either in whole or in part, together with any related costs. This may adversely impact our results of operations and cash flows. For further details on the Cash Credit Limits and other banking facilities, please see “Statement of Financial Indebtedness” on page 200 of the Draft Prospectus.</w:t>
      </w:r>
    </w:p>
    <w:p w14:paraId="030E21C3" w14:textId="77777777" w:rsidR="00D55EC1" w:rsidRPr="00641801" w:rsidRDefault="00D55EC1" w:rsidP="00D55EC1">
      <w:pPr>
        <w:widowControl w:val="0"/>
        <w:autoSpaceDE w:val="0"/>
        <w:autoSpaceDN w:val="0"/>
        <w:adjustRightInd w:val="0"/>
        <w:spacing w:after="0" w:line="240" w:lineRule="auto"/>
        <w:jc w:val="both"/>
        <w:textAlignment w:val="baseline"/>
        <w:rPr>
          <w:rFonts w:ascii="Times New Roman" w:eastAsia="MS Mincho" w:hAnsi="Times New Roman"/>
          <w:sz w:val="20"/>
          <w:szCs w:val="20"/>
          <w:lang w:val="en-GB"/>
        </w:rPr>
      </w:pPr>
    </w:p>
    <w:p w14:paraId="5031F142" w14:textId="77777777" w:rsidR="00D55EC1" w:rsidRPr="00641801" w:rsidRDefault="00D55EC1" w:rsidP="00F038BD">
      <w:pPr>
        <w:pStyle w:val="ListParagraph"/>
        <w:numPr>
          <w:ilvl w:val="0"/>
          <w:numId w:val="150"/>
        </w:numPr>
        <w:spacing w:line="240" w:lineRule="auto"/>
        <w:contextualSpacing/>
        <w:jc w:val="both"/>
        <w:rPr>
          <w:b/>
          <w:bCs/>
          <w:i/>
          <w:iCs/>
          <w:sz w:val="20"/>
          <w:szCs w:val="20"/>
        </w:rPr>
      </w:pPr>
      <w:r w:rsidRPr="00641801">
        <w:rPr>
          <w:b/>
          <w:bCs/>
          <w:i/>
          <w:iCs/>
          <w:sz w:val="20"/>
          <w:szCs w:val="20"/>
        </w:rPr>
        <w:t>Any Penalty or demand raised by statutory authorities in future will affect our financial position of the Company.</w:t>
      </w:r>
    </w:p>
    <w:p w14:paraId="27014C65" w14:textId="77777777" w:rsidR="00D55EC1" w:rsidRPr="00641801" w:rsidRDefault="00D55EC1" w:rsidP="00D55EC1">
      <w:pPr>
        <w:widowControl w:val="0"/>
        <w:autoSpaceDE w:val="0"/>
        <w:autoSpaceDN w:val="0"/>
        <w:adjustRightInd w:val="0"/>
        <w:spacing w:after="0" w:line="240" w:lineRule="auto"/>
        <w:jc w:val="both"/>
        <w:textAlignment w:val="baseline"/>
        <w:rPr>
          <w:rFonts w:ascii="Times New Roman" w:eastAsia="Calibri" w:hAnsi="Times New Roman"/>
          <w:sz w:val="20"/>
          <w:szCs w:val="20"/>
        </w:rPr>
      </w:pPr>
    </w:p>
    <w:p w14:paraId="77DC79E2" w14:textId="77777777" w:rsidR="00D55EC1" w:rsidRPr="00641801" w:rsidRDefault="00D55EC1" w:rsidP="00D55EC1">
      <w:pPr>
        <w:widowControl w:val="0"/>
        <w:autoSpaceDE w:val="0"/>
        <w:autoSpaceDN w:val="0"/>
        <w:adjustRightInd w:val="0"/>
        <w:spacing w:after="0" w:line="240" w:lineRule="auto"/>
        <w:jc w:val="both"/>
        <w:textAlignment w:val="baseline"/>
        <w:rPr>
          <w:rFonts w:ascii="Times New Roman" w:eastAsia="MS Mincho" w:hAnsi="Times New Roman"/>
          <w:sz w:val="20"/>
          <w:szCs w:val="20"/>
          <w:lang w:val="en-GB"/>
        </w:rPr>
      </w:pPr>
      <w:r w:rsidRPr="00641801">
        <w:rPr>
          <w:rFonts w:ascii="Times New Roman" w:hAnsi="Times New Roman"/>
          <w:sz w:val="20"/>
          <w:szCs w:val="20"/>
        </w:rPr>
        <w:t xml:space="preserve">We specialize in the manufacture and supply of </w:t>
      </w:r>
      <w:r>
        <w:rPr>
          <w:rFonts w:ascii="Times New Roman" w:hAnsi="Times New Roman"/>
          <w:sz w:val="20"/>
          <w:szCs w:val="20"/>
        </w:rPr>
        <w:t>brass items</w:t>
      </w:r>
      <w:r w:rsidRPr="00641801">
        <w:rPr>
          <w:rFonts w:ascii="Times New Roman" w:hAnsi="Times New Roman"/>
          <w:sz w:val="20"/>
          <w:szCs w:val="20"/>
        </w:rPr>
        <w:t xml:space="preserve"> </w:t>
      </w:r>
      <w:r w:rsidRPr="00641801">
        <w:rPr>
          <w:rFonts w:ascii="Times New Roman" w:eastAsia="MS Mincho" w:hAnsi="Times New Roman"/>
          <w:sz w:val="20"/>
          <w:szCs w:val="20"/>
          <w:lang w:val="en-GB"/>
        </w:rPr>
        <w:t xml:space="preserve">which attracts tax liability such as Goods and Service tax and Income tax as per the applicable provisions of Law. We are also subject to the labour laws like depositing of contributions with Provident Fund. Any demand or penalty raised by the concerned authority in future for any previous years or current year will affect the financial position of the Company. </w:t>
      </w:r>
    </w:p>
    <w:p w14:paraId="603CBFF9" w14:textId="77777777" w:rsidR="00D55EC1" w:rsidRPr="00641801" w:rsidRDefault="00D55EC1" w:rsidP="00D55EC1">
      <w:pPr>
        <w:widowControl w:val="0"/>
        <w:autoSpaceDE w:val="0"/>
        <w:autoSpaceDN w:val="0"/>
        <w:adjustRightInd w:val="0"/>
        <w:spacing w:after="0" w:line="240" w:lineRule="auto"/>
        <w:jc w:val="both"/>
        <w:textAlignment w:val="baseline"/>
        <w:rPr>
          <w:rFonts w:ascii="Times New Roman" w:eastAsia="MS Mincho" w:hAnsi="Times New Roman"/>
          <w:sz w:val="20"/>
          <w:szCs w:val="20"/>
        </w:rPr>
      </w:pPr>
    </w:p>
    <w:p w14:paraId="159D8A74" w14:textId="77777777" w:rsidR="00D55EC1" w:rsidRPr="00641801" w:rsidRDefault="00D55EC1" w:rsidP="00F038BD">
      <w:pPr>
        <w:pStyle w:val="ListParagraph"/>
        <w:numPr>
          <w:ilvl w:val="0"/>
          <w:numId w:val="150"/>
        </w:numPr>
        <w:spacing w:line="240" w:lineRule="auto"/>
        <w:contextualSpacing/>
        <w:jc w:val="both"/>
        <w:rPr>
          <w:b/>
          <w:bCs/>
          <w:i/>
          <w:iCs/>
          <w:sz w:val="20"/>
          <w:szCs w:val="20"/>
        </w:rPr>
      </w:pPr>
      <w:r w:rsidRPr="00641801">
        <w:rPr>
          <w:b/>
          <w:bCs/>
          <w:i/>
          <w:iCs/>
          <w:sz w:val="20"/>
          <w:szCs w:val="20"/>
        </w:rPr>
        <w:t xml:space="preserve">The Objects of the Issue for which funds are being raised, are based on our management estimates and have not been appraised by any bank or financial institution or any independent agency. </w:t>
      </w:r>
    </w:p>
    <w:p w14:paraId="57D53332" w14:textId="77777777" w:rsidR="00D55EC1" w:rsidRPr="00641801" w:rsidRDefault="00D55EC1" w:rsidP="00D55EC1">
      <w:pPr>
        <w:widowControl w:val="0"/>
        <w:autoSpaceDE w:val="0"/>
        <w:autoSpaceDN w:val="0"/>
        <w:adjustRightInd w:val="0"/>
        <w:spacing w:after="0" w:line="240" w:lineRule="auto"/>
        <w:jc w:val="both"/>
        <w:textAlignment w:val="baseline"/>
        <w:rPr>
          <w:rFonts w:ascii="Times New Roman" w:hAnsi="Times New Roman"/>
          <w:sz w:val="20"/>
          <w:szCs w:val="20"/>
        </w:rPr>
      </w:pPr>
    </w:p>
    <w:p w14:paraId="2919E1B4" w14:textId="77777777" w:rsidR="00D55EC1" w:rsidRPr="00641801" w:rsidRDefault="00D55EC1" w:rsidP="00D55EC1">
      <w:pPr>
        <w:widowControl w:val="0"/>
        <w:autoSpaceDE w:val="0"/>
        <w:autoSpaceDN w:val="0"/>
        <w:adjustRightInd w:val="0"/>
        <w:spacing w:after="0" w:line="240" w:lineRule="auto"/>
        <w:jc w:val="both"/>
        <w:textAlignment w:val="baseline"/>
        <w:rPr>
          <w:rFonts w:ascii="Times New Roman" w:hAnsi="Times New Roman"/>
          <w:sz w:val="20"/>
          <w:szCs w:val="20"/>
        </w:rPr>
      </w:pPr>
      <w:r w:rsidRPr="00641801">
        <w:rPr>
          <w:rFonts w:ascii="Times New Roman" w:hAnsi="Times New Roman"/>
          <w:sz w:val="20"/>
          <w:szCs w:val="20"/>
        </w:rPr>
        <w:t>The deployment of funds will be entirely at our discretion, based on the parameters as mentioned in the chapter titled “Objects of the Issue”. The fund requirement and deployment, as mentioned in the “Objects of the Issue” on page 82 of this Draft Prospectus is based on the estimates of our management and has not been appraised by any bank or financial institution or any other independent agency. These fund requirements are based on our current business plan. We cannot assure that the current business plan will be implemented in its entirety or at all. In view of the highly competitive and dynamic nature of our business, we may have to revise our business plan from time to time and consequently these fund requirements. The deployment of the funds as stated under chapter “Objects of the Issue” is at the discretion of our Board of Directors and is not subject to monitoring by any external independent agency. Further, we cannot assure that the actual costs or schedule of implementation as stated under chapter “Objects of the Issue” will not vary from the estimated costs or schedule of implementation. Any such variance may be on account of one or more factors, some of which may be beyond our control. Occurrence of any such event may delay our business plans and/or may have an adverse bearing on our expected revenues and earnings.</w:t>
      </w:r>
    </w:p>
    <w:p w14:paraId="1D6E45BA" w14:textId="77777777" w:rsidR="00D55EC1" w:rsidRPr="00641801" w:rsidRDefault="00D55EC1" w:rsidP="00F038BD">
      <w:pPr>
        <w:pStyle w:val="ListParagraph"/>
        <w:numPr>
          <w:ilvl w:val="0"/>
          <w:numId w:val="150"/>
        </w:numPr>
        <w:spacing w:line="240" w:lineRule="auto"/>
        <w:contextualSpacing/>
        <w:jc w:val="both"/>
        <w:rPr>
          <w:b/>
          <w:bCs/>
          <w:i/>
          <w:iCs/>
          <w:sz w:val="20"/>
          <w:szCs w:val="20"/>
        </w:rPr>
      </w:pPr>
      <w:r w:rsidRPr="00641801">
        <w:rPr>
          <w:b/>
          <w:bCs/>
          <w:i/>
          <w:iCs/>
          <w:sz w:val="20"/>
          <w:szCs w:val="20"/>
        </w:rPr>
        <w:t xml:space="preserve">Information relating to our production capacities and the historical capacity utilization of our production facilities included in this Draft Prospectus is based on certain assumptions and has been subjected to rounding off, and future production and capacity utilization may vary. </w:t>
      </w:r>
    </w:p>
    <w:p w14:paraId="2A75A5EC" w14:textId="77777777" w:rsidR="00D55EC1" w:rsidRPr="00641801" w:rsidRDefault="00D55EC1" w:rsidP="00D55EC1">
      <w:pPr>
        <w:widowControl w:val="0"/>
        <w:adjustRightInd w:val="0"/>
        <w:spacing w:after="0" w:line="240" w:lineRule="auto"/>
        <w:jc w:val="both"/>
        <w:textAlignment w:val="baseline"/>
        <w:rPr>
          <w:rFonts w:ascii="Times New Roman" w:hAnsi="Times New Roman"/>
          <w:sz w:val="20"/>
          <w:szCs w:val="20"/>
        </w:rPr>
      </w:pPr>
    </w:p>
    <w:p w14:paraId="7E6B0ECB" w14:textId="77777777" w:rsidR="00D55EC1" w:rsidRPr="00641801" w:rsidRDefault="00D55EC1" w:rsidP="00D55EC1">
      <w:pPr>
        <w:widowControl w:val="0"/>
        <w:adjustRightInd w:val="0"/>
        <w:spacing w:after="0" w:line="240" w:lineRule="auto"/>
        <w:jc w:val="both"/>
        <w:textAlignment w:val="baseline"/>
        <w:rPr>
          <w:rFonts w:ascii="Times New Roman" w:hAnsi="Times New Roman"/>
          <w:sz w:val="20"/>
          <w:szCs w:val="20"/>
        </w:rPr>
      </w:pPr>
      <w:r w:rsidRPr="00641801">
        <w:rPr>
          <w:rFonts w:ascii="Times New Roman" w:hAnsi="Times New Roman"/>
          <w:sz w:val="20"/>
          <w:szCs w:val="20"/>
        </w:rPr>
        <w:t xml:space="preserve">Information relating to our production capacities and the historical capacity utilization of our production facilities included in this Draft Prospectus is based on various assumptions and estimates of our management, including proposed operations, assumptions relating to availability and quality of raw materials and assumptions relating to operational efficiencies.  Actual production levels and utilization rates may differ significantly from the estimated production capacities or historical estimated capacity utilization information of our facilities. Undue reliance should therefore not be placed on our production capacity or historical estimated capacity utilization information for our existing facilities included in this Draft Prospectus. For further information, see the section titled </w:t>
      </w:r>
      <w:r w:rsidRPr="00641801">
        <w:rPr>
          <w:rFonts w:ascii="Times New Roman" w:hAnsi="Times New Roman"/>
          <w:b/>
          <w:i/>
          <w:sz w:val="20"/>
          <w:szCs w:val="20"/>
        </w:rPr>
        <w:t>“Our Business”</w:t>
      </w:r>
      <w:r w:rsidRPr="00641801">
        <w:rPr>
          <w:rFonts w:ascii="Times New Roman" w:hAnsi="Times New Roman"/>
          <w:sz w:val="20"/>
          <w:szCs w:val="20"/>
        </w:rPr>
        <w:t xml:space="preserve"> on page 106 of this Draft Prospectus.</w:t>
      </w:r>
    </w:p>
    <w:p w14:paraId="6C238D8F" w14:textId="77777777" w:rsidR="00D55EC1" w:rsidRPr="00641801" w:rsidRDefault="00D55EC1" w:rsidP="00D55EC1">
      <w:pPr>
        <w:widowControl w:val="0"/>
        <w:adjustRightInd w:val="0"/>
        <w:spacing w:after="0" w:line="240" w:lineRule="auto"/>
        <w:jc w:val="both"/>
        <w:textAlignment w:val="baseline"/>
        <w:rPr>
          <w:rFonts w:ascii="Times New Roman" w:hAnsi="Times New Roman"/>
          <w:sz w:val="20"/>
          <w:szCs w:val="20"/>
        </w:rPr>
      </w:pPr>
    </w:p>
    <w:p w14:paraId="2AFAA50E" w14:textId="77777777" w:rsidR="00D55EC1" w:rsidRPr="00641801" w:rsidRDefault="00D55EC1" w:rsidP="00F038BD">
      <w:pPr>
        <w:pStyle w:val="ListParagraph"/>
        <w:numPr>
          <w:ilvl w:val="0"/>
          <w:numId w:val="150"/>
        </w:numPr>
        <w:spacing w:line="240" w:lineRule="auto"/>
        <w:contextualSpacing/>
        <w:jc w:val="both"/>
        <w:rPr>
          <w:b/>
          <w:bCs/>
          <w:i/>
          <w:iCs/>
          <w:sz w:val="20"/>
          <w:szCs w:val="20"/>
        </w:rPr>
      </w:pPr>
      <w:r w:rsidRPr="00641801">
        <w:rPr>
          <w:b/>
          <w:bCs/>
          <w:i/>
          <w:iCs/>
          <w:sz w:val="20"/>
          <w:szCs w:val="20"/>
        </w:rPr>
        <w:t>Our ability to pay any dividends will depend upon future earnings, financial condition, cash flows, working capital requirements and capital expenditures.</w:t>
      </w:r>
    </w:p>
    <w:p w14:paraId="6C9AD889" w14:textId="77777777" w:rsidR="00D55EC1" w:rsidRPr="00641801" w:rsidRDefault="00D55EC1" w:rsidP="00D55EC1">
      <w:pPr>
        <w:pStyle w:val="ListParagraph"/>
        <w:spacing w:line="240" w:lineRule="auto"/>
        <w:ind w:left="360"/>
        <w:contextualSpacing/>
        <w:jc w:val="both"/>
        <w:rPr>
          <w:b/>
          <w:bCs/>
          <w:i/>
          <w:iCs/>
          <w:sz w:val="20"/>
          <w:szCs w:val="20"/>
        </w:rPr>
      </w:pPr>
    </w:p>
    <w:p w14:paraId="0B71E06E" w14:textId="77777777" w:rsidR="00D55EC1" w:rsidRPr="00641801" w:rsidRDefault="00D55EC1" w:rsidP="00D55EC1">
      <w:pPr>
        <w:widowControl w:val="0"/>
        <w:adjustRightInd w:val="0"/>
        <w:spacing w:after="0" w:line="240" w:lineRule="auto"/>
        <w:jc w:val="both"/>
        <w:textAlignment w:val="baseline"/>
        <w:rPr>
          <w:rFonts w:ascii="Times New Roman" w:hAnsi="Times New Roman"/>
          <w:sz w:val="20"/>
          <w:szCs w:val="20"/>
          <w:highlight w:val="yellow"/>
        </w:rPr>
      </w:pPr>
      <w:r w:rsidRPr="00641801">
        <w:rPr>
          <w:rFonts w:ascii="Times New Roman" w:hAnsi="Times New Roman"/>
          <w:sz w:val="20"/>
          <w:szCs w:val="20"/>
        </w:rPr>
        <w:t xml:space="preserve">We may retain all our future earnings, if any, for use in the operations and expansion of our business. As a result, we may not declare dividends in the foreseeable future. Any future determination as to the declaration and payment of dividends will be at the discretion of our Board of Directors and will depend on factors that our Board of Directors deem relevant, including among others, our results of operations, financial condition, cash requirements, business prospects and any other financing arrangements. Accordingly, realization of a gain on shareholders investments may largely depend upon the appreciation of the price of our Equity Shares. There can be no assurance that our Equity Shares will appreciate in value. For details of our Dividend history refer to the Section </w:t>
      </w:r>
      <w:r w:rsidRPr="00641801">
        <w:rPr>
          <w:rFonts w:ascii="Times New Roman" w:hAnsi="Times New Roman"/>
          <w:b/>
          <w:sz w:val="20"/>
          <w:szCs w:val="20"/>
        </w:rPr>
        <w:t>“</w:t>
      </w:r>
      <w:r w:rsidRPr="00641801">
        <w:rPr>
          <w:rFonts w:ascii="Times New Roman" w:hAnsi="Times New Roman"/>
          <w:b/>
          <w:i/>
          <w:sz w:val="20"/>
          <w:szCs w:val="20"/>
        </w:rPr>
        <w:t>Dividend Policy”</w:t>
      </w:r>
      <w:r w:rsidRPr="00641801">
        <w:rPr>
          <w:rFonts w:ascii="Times New Roman" w:hAnsi="Times New Roman"/>
          <w:sz w:val="20"/>
          <w:szCs w:val="20"/>
        </w:rPr>
        <w:t xml:space="preserve"> on page 155 of the Draft Prospectus.</w:t>
      </w:r>
    </w:p>
    <w:p w14:paraId="2ABB9BBA" w14:textId="77777777" w:rsidR="00D55EC1" w:rsidRDefault="00D55EC1" w:rsidP="00D55EC1">
      <w:pPr>
        <w:widowControl w:val="0"/>
        <w:adjustRightInd w:val="0"/>
        <w:spacing w:after="0" w:line="240" w:lineRule="auto"/>
        <w:jc w:val="both"/>
        <w:textAlignment w:val="baseline"/>
        <w:rPr>
          <w:rFonts w:ascii="Times New Roman" w:hAnsi="Times New Roman"/>
          <w:sz w:val="20"/>
          <w:szCs w:val="20"/>
        </w:rPr>
      </w:pPr>
    </w:p>
    <w:p w14:paraId="7A51F826" w14:textId="77777777" w:rsidR="00D55EC1" w:rsidRPr="001B2C34" w:rsidRDefault="00D55EC1" w:rsidP="00F038BD">
      <w:pPr>
        <w:numPr>
          <w:ilvl w:val="0"/>
          <w:numId w:val="150"/>
        </w:numPr>
        <w:spacing w:after="0" w:line="240" w:lineRule="auto"/>
        <w:jc w:val="both"/>
        <w:rPr>
          <w:rFonts w:ascii="Times New Roman" w:hAnsi="Times New Roman"/>
          <w:b/>
          <w:i/>
          <w:sz w:val="20"/>
          <w:szCs w:val="20"/>
        </w:rPr>
      </w:pPr>
      <w:r w:rsidRPr="001B2C34">
        <w:rPr>
          <w:rFonts w:ascii="Times New Roman" w:hAnsi="Times New Roman"/>
          <w:b/>
          <w:i/>
          <w:sz w:val="20"/>
          <w:szCs w:val="20"/>
        </w:rPr>
        <w:t xml:space="preserve">Certain key performance indicators for certain listed industry peers included in this Draft Red Herring Prospectus have been sourced from public sources and there is no assurance that such financial and other industry information is complete </w:t>
      </w:r>
    </w:p>
    <w:p w14:paraId="35A9B1E2" w14:textId="77777777" w:rsidR="00D55EC1" w:rsidRPr="001B2C34" w:rsidRDefault="00D55EC1" w:rsidP="00D55EC1">
      <w:pPr>
        <w:autoSpaceDE w:val="0"/>
        <w:autoSpaceDN w:val="0"/>
        <w:adjustRightInd w:val="0"/>
        <w:spacing w:after="0" w:line="240" w:lineRule="auto"/>
        <w:rPr>
          <w:rFonts w:ascii="Times New Roman" w:hAnsi="Times New Roman"/>
          <w:sz w:val="20"/>
          <w:szCs w:val="20"/>
        </w:rPr>
      </w:pPr>
    </w:p>
    <w:p w14:paraId="4A19EA1E" w14:textId="77777777" w:rsidR="00D55EC1" w:rsidRPr="001B2C34" w:rsidRDefault="00D55EC1" w:rsidP="00D55EC1">
      <w:pPr>
        <w:widowControl w:val="0"/>
        <w:autoSpaceDE w:val="0"/>
        <w:autoSpaceDN w:val="0"/>
        <w:adjustRightInd w:val="0"/>
        <w:spacing w:after="0" w:line="240" w:lineRule="auto"/>
        <w:contextualSpacing/>
        <w:jc w:val="both"/>
        <w:textAlignment w:val="baseline"/>
        <w:rPr>
          <w:rFonts w:ascii="Times New Roman" w:hAnsi="Times New Roman"/>
          <w:sz w:val="20"/>
          <w:szCs w:val="20"/>
        </w:rPr>
      </w:pPr>
      <w:r w:rsidRPr="001B2C34">
        <w:rPr>
          <w:rFonts w:ascii="Times New Roman" w:hAnsi="Times New Roman"/>
          <w:sz w:val="20"/>
          <w:szCs w:val="20"/>
        </w:rPr>
        <w:t xml:space="preserve">Pursuant to the requirements of the SEBI ICDR Regulations, we have included certain key performance indicators, comprising financial and operational information, for certain listed industry peers, in the </w:t>
      </w:r>
      <w:r w:rsidRPr="001B2C34">
        <w:rPr>
          <w:rFonts w:ascii="Times New Roman" w:hAnsi="Times New Roman"/>
          <w:b/>
          <w:i/>
          <w:sz w:val="20"/>
          <w:szCs w:val="20"/>
        </w:rPr>
        <w:t>“Basis for Offer Price”</w:t>
      </w:r>
      <w:r w:rsidRPr="001B2C34">
        <w:rPr>
          <w:rFonts w:ascii="Times New Roman" w:hAnsi="Times New Roman"/>
          <w:sz w:val="20"/>
          <w:szCs w:val="20"/>
        </w:rPr>
        <w:t xml:space="preserve"> beginning on page </w:t>
      </w:r>
      <w:r w:rsidRPr="001B2C34">
        <w:rPr>
          <w:rFonts w:ascii="Times New Roman" w:hAnsi="Times New Roman"/>
          <w:i/>
          <w:iCs/>
          <w:sz w:val="20"/>
          <w:szCs w:val="20"/>
        </w:rPr>
        <w:fldChar w:fldCharType="begin"/>
      </w:r>
      <w:r w:rsidRPr="001B2C34">
        <w:rPr>
          <w:rFonts w:ascii="Times New Roman" w:hAnsi="Times New Roman"/>
          <w:i/>
          <w:iCs/>
          <w:sz w:val="20"/>
          <w:szCs w:val="20"/>
        </w:rPr>
        <w:instrText xml:space="preserve"> PAGEREF  BASISFOR  \* MERGEFORMAT </w:instrText>
      </w:r>
      <w:r w:rsidRPr="001B2C34">
        <w:rPr>
          <w:rFonts w:ascii="Times New Roman" w:hAnsi="Times New Roman"/>
          <w:i/>
          <w:iCs/>
          <w:sz w:val="20"/>
          <w:szCs w:val="20"/>
        </w:rPr>
        <w:fldChar w:fldCharType="separate"/>
      </w:r>
      <w:r w:rsidRPr="001B2C34">
        <w:rPr>
          <w:rFonts w:ascii="Times New Roman" w:hAnsi="Times New Roman"/>
          <w:i/>
          <w:iCs/>
          <w:noProof/>
          <w:sz w:val="20"/>
          <w:szCs w:val="20"/>
        </w:rPr>
        <w:t>69</w:t>
      </w:r>
      <w:r w:rsidRPr="001B2C34">
        <w:rPr>
          <w:rFonts w:ascii="Times New Roman" w:hAnsi="Times New Roman"/>
          <w:i/>
          <w:iCs/>
          <w:sz w:val="20"/>
          <w:szCs w:val="20"/>
        </w:rPr>
        <w:fldChar w:fldCharType="end"/>
      </w:r>
      <w:r w:rsidRPr="001B2C34">
        <w:rPr>
          <w:rFonts w:ascii="Times New Roman" w:hAnsi="Times New Roman"/>
          <w:sz w:val="20"/>
          <w:szCs w:val="20"/>
        </w:rPr>
        <w:t xml:space="preserve"> of the Draft Red Herring Prospectus. Although this information is sourced from and relied upon on the consolidated audited financial statements of the relevant listed industry peers as available on the websites of the Stock Exchanges, including the annual reports of the respective companies submitted to Stock Exchanges, there is no assurance that this information with respect to industry peers is either complete. There maybe different methodologies and formulas used to compute the various ratios.</w:t>
      </w:r>
    </w:p>
    <w:p w14:paraId="5F375185" w14:textId="77777777" w:rsidR="00D55EC1" w:rsidRPr="00641801" w:rsidRDefault="00D55EC1" w:rsidP="00D55EC1">
      <w:pPr>
        <w:widowControl w:val="0"/>
        <w:adjustRightInd w:val="0"/>
        <w:spacing w:after="0" w:line="240" w:lineRule="auto"/>
        <w:jc w:val="both"/>
        <w:textAlignment w:val="baseline"/>
        <w:rPr>
          <w:rFonts w:ascii="Times New Roman" w:hAnsi="Times New Roman"/>
          <w:sz w:val="20"/>
          <w:szCs w:val="20"/>
        </w:rPr>
      </w:pPr>
    </w:p>
    <w:p w14:paraId="683F463D" w14:textId="77777777" w:rsidR="00D55EC1" w:rsidRPr="00641801" w:rsidRDefault="00D55EC1" w:rsidP="00F038BD">
      <w:pPr>
        <w:pStyle w:val="ListParagraph"/>
        <w:numPr>
          <w:ilvl w:val="0"/>
          <w:numId w:val="150"/>
        </w:numPr>
        <w:spacing w:line="240" w:lineRule="auto"/>
        <w:contextualSpacing/>
        <w:jc w:val="both"/>
        <w:rPr>
          <w:b/>
          <w:bCs/>
          <w:i/>
          <w:iCs/>
          <w:sz w:val="20"/>
          <w:szCs w:val="20"/>
        </w:rPr>
      </w:pPr>
      <w:r w:rsidRPr="00641801">
        <w:rPr>
          <w:b/>
          <w:bCs/>
          <w:i/>
          <w:iCs/>
          <w:sz w:val="20"/>
          <w:szCs w:val="20"/>
        </w:rPr>
        <w:t>There is no monitoring agency appointed by Our Company to monitor the utilization of the Issue proceeds.</w:t>
      </w:r>
    </w:p>
    <w:p w14:paraId="5E7673B7" w14:textId="77777777" w:rsidR="00D55EC1" w:rsidRPr="00641801" w:rsidRDefault="00D55EC1" w:rsidP="00D55EC1">
      <w:pPr>
        <w:widowControl w:val="0"/>
        <w:tabs>
          <w:tab w:val="left" w:pos="0"/>
        </w:tabs>
        <w:autoSpaceDE w:val="0"/>
        <w:autoSpaceDN w:val="0"/>
        <w:adjustRightInd w:val="0"/>
        <w:spacing w:after="0" w:line="240" w:lineRule="auto"/>
        <w:ind w:left="450"/>
        <w:jc w:val="both"/>
        <w:textAlignment w:val="baseline"/>
        <w:rPr>
          <w:rFonts w:ascii="Times New Roman" w:hAnsi="Times New Roman"/>
          <w:sz w:val="20"/>
          <w:szCs w:val="20"/>
        </w:rPr>
      </w:pPr>
    </w:p>
    <w:p w14:paraId="0142205B" w14:textId="67342221" w:rsidR="00D55EC1" w:rsidRPr="00641801" w:rsidRDefault="00D55EC1" w:rsidP="00D55EC1">
      <w:pPr>
        <w:widowControl w:val="0"/>
        <w:tabs>
          <w:tab w:val="left" w:pos="0"/>
        </w:tabs>
        <w:autoSpaceDE w:val="0"/>
        <w:autoSpaceDN w:val="0"/>
        <w:adjustRightInd w:val="0"/>
        <w:spacing w:after="0" w:line="240" w:lineRule="auto"/>
        <w:jc w:val="both"/>
        <w:textAlignment w:val="baseline"/>
        <w:rPr>
          <w:rFonts w:ascii="Times New Roman" w:hAnsi="Times New Roman"/>
          <w:sz w:val="20"/>
          <w:szCs w:val="20"/>
        </w:rPr>
      </w:pPr>
      <w:r w:rsidRPr="00641801">
        <w:rPr>
          <w:rFonts w:ascii="Times New Roman" w:hAnsi="Times New Roman"/>
          <w:sz w:val="20"/>
          <w:szCs w:val="20"/>
        </w:rPr>
        <w:lastRenderedPageBreak/>
        <w:t xml:space="preserve">As per SEBI (ICDR) Regulations, 2018, as amended, appointment of monitoring agency is required only for Issue size above </w:t>
      </w:r>
      <w:r w:rsidR="001706A2" w:rsidRPr="00712F3C">
        <w:rPr>
          <w:rFonts w:ascii="Times New Roman" w:eastAsia="MS Mincho" w:hAnsi="Times New Roman"/>
          <w:sz w:val="20"/>
          <w:szCs w:val="20"/>
        </w:rPr>
        <w:t>₹</w:t>
      </w:r>
      <w:r w:rsidRPr="00641801">
        <w:rPr>
          <w:rFonts w:ascii="Times New Roman" w:hAnsi="Times New Roman"/>
          <w:sz w:val="20"/>
          <w:szCs w:val="20"/>
        </w:rPr>
        <w:t xml:space="preserve"> 10,000.00 La</w:t>
      </w:r>
      <w:r w:rsidR="001706A2">
        <w:rPr>
          <w:rFonts w:ascii="Times New Roman" w:hAnsi="Times New Roman"/>
          <w:sz w:val="20"/>
          <w:szCs w:val="20"/>
        </w:rPr>
        <w:t>kh</w:t>
      </w:r>
      <w:r w:rsidRPr="00641801">
        <w:rPr>
          <w:rFonts w:ascii="Times New Roman" w:hAnsi="Times New Roman"/>
          <w:sz w:val="20"/>
          <w:szCs w:val="20"/>
        </w:rPr>
        <w:t>s. Hence, we have not appointed any monitoring agency to monitor the utilization of Issue proceeds. However, the audit committee of our Board will monitor the utilization of Issue proceeds in terms of SEBI (Listing Obligations and Disclosure Requirements) Regulations, 2015. Further, our Company shall inform about material deviations in the utilization of Issue proceeds to the stock exchange and shall also simultaneously make the material deviations / adverse comments of the audit committee public.</w:t>
      </w:r>
    </w:p>
    <w:p w14:paraId="60DFF39C" w14:textId="77777777" w:rsidR="00D55EC1" w:rsidRPr="00641801" w:rsidRDefault="00D55EC1" w:rsidP="00D55EC1">
      <w:pPr>
        <w:widowControl w:val="0"/>
        <w:tabs>
          <w:tab w:val="left" w:pos="0"/>
        </w:tabs>
        <w:autoSpaceDE w:val="0"/>
        <w:autoSpaceDN w:val="0"/>
        <w:adjustRightInd w:val="0"/>
        <w:spacing w:after="0" w:line="240" w:lineRule="auto"/>
        <w:jc w:val="both"/>
        <w:textAlignment w:val="baseline"/>
        <w:rPr>
          <w:rFonts w:ascii="Times New Roman" w:hAnsi="Times New Roman"/>
          <w:sz w:val="20"/>
          <w:szCs w:val="20"/>
        </w:rPr>
      </w:pPr>
    </w:p>
    <w:p w14:paraId="0A919C7D" w14:textId="77777777" w:rsidR="00D55EC1" w:rsidRPr="00641801" w:rsidRDefault="00D55EC1" w:rsidP="00F038BD">
      <w:pPr>
        <w:pStyle w:val="ListParagraph"/>
        <w:numPr>
          <w:ilvl w:val="0"/>
          <w:numId w:val="150"/>
        </w:numPr>
        <w:spacing w:line="240" w:lineRule="auto"/>
        <w:contextualSpacing/>
        <w:jc w:val="both"/>
        <w:rPr>
          <w:b/>
          <w:bCs/>
          <w:i/>
          <w:iCs/>
          <w:sz w:val="20"/>
          <w:szCs w:val="20"/>
        </w:rPr>
      </w:pPr>
      <w:r>
        <w:rPr>
          <w:b/>
          <w:bCs/>
          <w:i/>
          <w:iCs/>
          <w:sz w:val="20"/>
          <w:szCs w:val="20"/>
        </w:rPr>
        <w:t>Our Promoter</w:t>
      </w:r>
      <w:r w:rsidRPr="00641801">
        <w:rPr>
          <w:b/>
          <w:bCs/>
          <w:i/>
          <w:iCs/>
          <w:sz w:val="20"/>
          <w:szCs w:val="20"/>
        </w:rPr>
        <w:t xml:space="preserve"> and the Promoter Group will jointly continue to retain majority shareholding in our Company after the issue, which will allow them to determine the outcome of the matters requiring the approval of shareholders.  </w:t>
      </w:r>
    </w:p>
    <w:p w14:paraId="0F2D2D2C" w14:textId="77777777" w:rsidR="00D55EC1" w:rsidRPr="00641801" w:rsidRDefault="00D55EC1" w:rsidP="00D55EC1">
      <w:pPr>
        <w:widowControl w:val="0"/>
        <w:autoSpaceDE w:val="0"/>
        <w:autoSpaceDN w:val="0"/>
        <w:adjustRightInd w:val="0"/>
        <w:spacing w:after="0" w:line="240" w:lineRule="auto"/>
        <w:ind w:left="360"/>
        <w:jc w:val="both"/>
        <w:textAlignment w:val="baseline"/>
        <w:rPr>
          <w:rFonts w:ascii="Times New Roman" w:hAnsi="Times New Roman"/>
          <w:sz w:val="20"/>
          <w:szCs w:val="20"/>
        </w:rPr>
      </w:pPr>
    </w:p>
    <w:p w14:paraId="532AA895" w14:textId="77777777" w:rsidR="00D55EC1" w:rsidRPr="00641801" w:rsidRDefault="00D55EC1" w:rsidP="00D55EC1">
      <w:pPr>
        <w:widowControl w:val="0"/>
        <w:tabs>
          <w:tab w:val="left" w:pos="450"/>
        </w:tabs>
        <w:autoSpaceDE w:val="0"/>
        <w:autoSpaceDN w:val="0"/>
        <w:adjustRightInd w:val="0"/>
        <w:spacing w:after="0" w:line="240" w:lineRule="auto"/>
        <w:jc w:val="both"/>
        <w:textAlignment w:val="baseline"/>
        <w:rPr>
          <w:rFonts w:ascii="Times New Roman" w:hAnsi="Times New Roman"/>
          <w:sz w:val="20"/>
          <w:szCs w:val="20"/>
        </w:rPr>
      </w:pPr>
      <w:r>
        <w:rPr>
          <w:rFonts w:ascii="Times New Roman" w:hAnsi="Times New Roman"/>
          <w:sz w:val="20"/>
          <w:szCs w:val="20"/>
        </w:rPr>
        <w:t>Our promoter</w:t>
      </w:r>
      <w:r w:rsidRPr="00641801">
        <w:rPr>
          <w:rFonts w:ascii="Times New Roman" w:hAnsi="Times New Roman"/>
          <w:sz w:val="20"/>
          <w:szCs w:val="20"/>
        </w:rPr>
        <w:t xml:space="preserve"> along with the promoter group will continue to hold collectively</w:t>
      </w:r>
      <w:r>
        <w:rPr>
          <w:rFonts w:ascii="Times New Roman" w:hAnsi="Times New Roman"/>
          <w:sz w:val="20"/>
          <w:szCs w:val="20"/>
        </w:rPr>
        <w:t xml:space="preserve"> 73.38%</w:t>
      </w:r>
      <w:r w:rsidRPr="00641801">
        <w:rPr>
          <w:rFonts w:ascii="Times New Roman" w:hAnsi="Times New Roman"/>
          <w:sz w:val="20"/>
          <w:szCs w:val="20"/>
        </w:rPr>
        <w:t xml:space="preserve"> of the Equity share capital of the company. As a result of the same, they will be able to exercise significant influence over the control of the outcome of the matter that requires approval of the majority shareholders vote. Such a concentration of the ownership may also have the affect of delaying, preventing or deterring any change in the control of our company. In addition</w:t>
      </w:r>
      <w:r>
        <w:rPr>
          <w:rFonts w:ascii="Times New Roman" w:hAnsi="Times New Roman"/>
          <w:sz w:val="20"/>
          <w:szCs w:val="20"/>
        </w:rPr>
        <w:t xml:space="preserve"> to the above, our promoter</w:t>
      </w:r>
      <w:r w:rsidRPr="00641801">
        <w:rPr>
          <w:rFonts w:ascii="Times New Roman" w:hAnsi="Times New Roman"/>
          <w:sz w:val="20"/>
          <w:szCs w:val="20"/>
        </w:rPr>
        <w:t xml:space="preserve"> will continue to have the ability to take actions that are not in, or may conflict with our interest or the interest of some or all of our minority shareholders, and there is no assurance that such action will not have any adverse effect on our future financials or results of operations.</w:t>
      </w:r>
    </w:p>
    <w:p w14:paraId="26922D6E" w14:textId="77777777" w:rsidR="00D55EC1" w:rsidRPr="00641801" w:rsidRDefault="00D55EC1" w:rsidP="00D55EC1">
      <w:pPr>
        <w:widowControl w:val="0"/>
        <w:tabs>
          <w:tab w:val="left" w:pos="450"/>
        </w:tabs>
        <w:autoSpaceDE w:val="0"/>
        <w:autoSpaceDN w:val="0"/>
        <w:adjustRightInd w:val="0"/>
        <w:spacing w:after="0" w:line="240" w:lineRule="auto"/>
        <w:jc w:val="both"/>
        <w:textAlignment w:val="baseline"/>
        <w:rPr>
          <w:rFonts w:ascii="Times New Roman" w:hAnsi="Times New Roman"/>
          <w:sz w:val="20"/>
          <w:szCs w:val="20"/>
        </w:rPr>
      </w:pPr>
    </w:p>
    <w:p w14:paraId="50E58B82" w14:textId="77777777" w:rsidR="00D55EC1" w:rsidRPr="001B2C34" w:rsidRDefault="00D55EC1" w:rsidP="00F038BD">
      <w:pPr>
        <w:numPr>
          <w:ilvl w:val="0"/>
          <w:numId w:val="150"/>
        </w:numPr>
        <w:suppressAutoHyphens/>
        <w:autoSpaceDE w:val="0"/>
        <w:autoSpaceDN w:val="0"/>
        <w:adjustRightInd w:val="0"/>
        <w:spacing w:after="0" w:line="240" w:lineRule="auto"/>
        <w:contextualSpacing/>
        <w:jc w:val="both"/>
        <w:textAlignment w:val="center"/>
        <w:rPr>
          <w:rFonts w:ascii="Times New Roman" w:eastAsia="MS Mincho" w:hAnsi="Times New Roman"/>
          <w:b/>
          <w:i/>
          <w:color w:val="000000"/>
          <w:sz w:val="20"/>
          <w:szCs w:val="20"/>
          <w:lang w:val="en-GB" w:eastAsia="x-none"/>
        </w:rPr>
      </w:pPr>
      <w:r w:rsidRPr="001B2C34">
        <w:rPr>
          <w:rFonts w:ascii="Times New Roman" w:hAnsi="Times New Roman"/>
          <w:b/>
          <w:i/>
          <w:color w:val="000000"/>
          <w:sz w:val="20"/>
          <w:szCs w:val="20"/>
          <w:lang w:val="x-none" w:eastAsia="x-none"/>
        </w:rPr>
        <w:t xml:space="preserve">Any future issuance of Equity Shares may dilute your shareholdings, and sale of the Equity Shares by our major shareholders </w:t>
      </w:r>
      <w:r w:rsidRPr="001B2C34">
        <w:rPr>
          <w:rFonts w:ascii="Times New Roman" w:eastAsia="MS Mincho" w:hAnsi="Times New Roman"/>
          <w:b/>
          <w:i/>
          <w:color w:val="000000"/>
          <w:sz w:val="20"/>
          <w:szCs w:val="20"/>
          <w:lang w:val="en-GB" w:eastAsia="x-none"/>
        </w:rPr>
        <w:t>may adversely affect the trading price of our Equity Shares.</w:t>
      </w:r>
    </w:p>
    <w:p w14:paraId="1125DD0F" w14:textId="77777777" w:rsidR="00D55EC1" w:rsidRPr="001B2C34" w:rsidRDefault="00D55EC1" w:rsidP="00D55EC1">
      <w:pPr>
        <w:autoSpaceDE w:val="0"/>
        <w:autoSpaceDN w:val="0"/>
        <w:adjustRightInd w:val="0"/>
        <w:spacing w:after="0" w:line="240" w:lineRule="auto"/>
        <w:jc w:val="both"/>
        <w:rPr>
          <w:rFonts w:ascii="Times New Roman" w:hAnsi="Times New Roman"/>
          <w:sz w:val="20"/>
          <w:szCs w:val="20"/>
        </w:rPr>
      </w:pPr>
    </w:p>
    <w:p w14:paraId="749E5253" w14:textId="77777777" w:rsidR="00D55EC1" w:rsidRPr="001B2C34" w:rsidRDefault="00D55EC1" w:rsidP="00D55EC1">
      <w:pPr>
        <w:autoSpaceDE w:val="0"/>
        <w:autoSpaceDN w:val="0"/>
        <w:adjustRightInd w:val="0"/>
        <w:spacing w:after="0" w:line="240" w:lineRule="auto"/>
        <w:jc w:val="both"/>
        <w:rPr>
          <w:rFonts w:ascii="Times New Roman" w:hAnsi="Times New Roman"/>
          <w:sz w:val="20"/>
          <w:szCs w:val="20"/>
        </w:rPr>
      </w:pPr>
      <w:r w:rsidRPr="001B2C34">
        <w:rPr>
          <w:rFonts w:ascii="Times New Roman" w:hAnsi="Times New Roman"/>
          <w:sz w:val="20"/>
          <w:szCs w:val="20"/>
        </w:rPr>
        <w:t>Any future equity issuance by our Company may lead to the dilution of investors’ shareholdings in our Company. In addition, any sale of substantial Equity Shares in the public market after the completion of this Offer, including by our major shareholders, or the perception that such sales could occur, could adversely affect the market price of the Equity Shares and could significantly impair our future ability to raise capital through offerings of the Equity Shares. We cannot predict what effect, if any, market sales of the Equity Shares held by the major shareholders of our Company or the availability of these Equity Shares for future sale will have on the market price of our Equity Shares.</w:t>
      </w:r>
    </w:p>
    <w:p w14:paraId="78C93E19" w14:textId="77777777" w:rsidR="00D55EC1" w:rsidRDefault="00D55EC1" w:rsidP="00D55EC1">
      <w:pPr>
        <w:widowControl w:val="0"/>
        <w:tabs>
          <w:tab w:val="left" w:pos="0"/>
        </w:tabs>
        <w:autoSpaceDE w:val="0"/>
        <w:autoSpaceDN w:val="0"/>
        <w:adjustRightInd w:val="0"/>
        <w:spacing w:after="0" w:line="240" w:lineRule="auto"/>
        <w:jc w:val="both"/>
        <w:textAlignment w:val="baseline"/>
        <w:rPr>
          <w:rFonts w:ascii="Times New Roman" w:hAnsi="Times New Roman"/>
          <w:bCs/>
          <w:iCs/>
          <w:sz w:val="20"/>
          <w:szCs w:val="20"/>
        </w:rPr>
      </w:pPr>
    </w:p>
    <w:p w14:paraId="5B604056" w14:textId="77777777" w:rsidR="00D55EC1" w:rsidRPr="001B2C34" w:rsidRDefault="00D55EC1" w:rsidP="00F038BD">
      <w:pPr>
        <w:numPr>
          <w:ilvl w:val="0"/>
          <w:numId w:val="150"/>
        </w:numPr>
        <w:suppressAutoHyphens/>
        <w:autoSpaceDE w:val="0"/>
        <w:autoSpaceDN w:val="0"/>
        <w:adjustRightInd w:val="0"/>
        <w:spacing w:after="0" w:line="240" w:lineRule="auto"/>
        <w:contextualSpacing/>
        <w:jc w:val="both"/>
        <w:textAlignment w:val="center"/>
        <w:rPr>
          <w:rFonts w:ascii="Times New Roman" w:hAnsi="Times New Roman"/>
          <w:b/>
          <w:i/>
          <w:color w:val="000000"/>
          <w:sz w:val="20"/>
          <w:szCs w:val="20"/>
          <w:lang w:val="x-none" w:eastAsia="x-none"/>
        </w:rPr>
      </w:pPr>
      <w:r w:rsidRPr="001B2C34">
        <w:rPr>
          <w:rFonts w:ascii="Times New Roman" w:hAnsi="Times New Roman"/>
          <w:b/>
          <w:i/>
          <w:color w:val="000000"/>
          <w:sz w:val="20"/>
          <w:szCs w:val="20"/>
          <w:lang w:val="x-none" w:eastAsia="x-none"/>
        </w:rPr>
        <w:t>We cannot guarantee the accuracy or completeness of facts and other statistics with respect to India, the Indian economy</w:t>
      </w:r>
      <w:r w:rsidRPr="001B2C34">
        <w:rPr>
          <w:rFonts w:ascii="Times New Roman" w:hAnsi="Times New Roman"/>
          <w:b/>
          <w:i/>
          <w:color w:val="000000"/>
          <w:sz w:val="20"/>
          <w:szCs w:val="20"/>
          <w:lang w:val="en-IN" w:eastAsia="x-none"/>
        </w:rPr>
        <w:t xml:space="preserve"> </w:t>
      </w:r>
      <w:r w:rsidRPr="001B2C34">
        <w:rPr>
          <w:rFonts w:ascii="Times New Roman" w:hAnsi="Times New Roman"/>
          <w:b/>
          <w:i/>
          <w:color w:val="000000"/>
          <w:sz w:val="20"/>
          <w:szCs w:val="20"/>
          <w:lang w:val="x-none" w:eastAsia="x-none"/>
        </w:rPr>
        <w:t xml:space="preserve">and industry in which we operate contained in the </w:t>
      </w:r>
      <w:r w:rsidRPr="001B2C34">
        <w:rPr>
          <w:rFonts w:ascii="Times New Roman" w:hAnsi="Times New Roman"/>
          <w:b/>
          <w:i/>
          <w:color w:val="000000"/>
          <w:sz w:val="20"/>
          <w:szCs w:val="20"/>
          <w:lang w:eastAsia="x-none"/>
        </w:rPr>
        <w:t>Draft Red Herring Prospectus</w:t>
      </w:r>
      <w:r w:rsidRPr="001B2C34">
        <w:rPr>
          <w:rFonts w:ascii="Times New Roman" w:hAnsi="Times New Roman"/>
          <w:b/>
          <w:i/>
          <w:color w:val="000000"/>
          <w:sz w:val="20"/>
          <w:szCs w:val="20"/>
          <w:lang w:val="x-none" w:eastAsia="x-none"/>
        </w:rPr>
        <w:t>.</w:t>
      </w:r>
    </w:p>
    <w:p w14:paraId="16911BCE" w14:textId="77777777" w:rsidR="00D55EC1" w:rsidRPr="001B2C34" w:rsidRDefault="00D55EC1" w:rsidP="00D55EC1">
      <w:pPr>
        <w:spacing w:after="0" w:line="240" w:lineRule="auto"/>
        <w:contextualSpacing/>
        <w:jc w:val="both"/>
        <w:rPr>
          <w:rFonts w:ascii="Times New Roman" w:hAnsi="Times New Roman"/>
          <w:b/>
          <w:i/>
          <w:sz w:val="20"/>
          <w:szCs w:val="20"/>
        </w:rPr>
      </w:pPr>
    </w:p>
    <w:p w14:paraId="57E46B47" w14:textId="77777777" w:rsidR="00D55EC1" w:rsidRPr="001B2C34" w:rsidRDefault="00D55EC1" w:rsidP="00D55EC1">
      <w:pPr>
        <w:spacing w:after="0" w:line="240" w:lineRule="auto"/>
        <w:contextualSpacing/>
        <w:jc w:val="both"/>
        <w:rPr>
          <w:rFonts w:ascii="Times New Roman" w:hAnsi="Times New Roman"/>
          <w:sz w:val="20"/>
          <w:szCs w:val="20"/>
        </w:rPr>
      </w:pPr>
      <w:r w:rsidRPr="001B2C34">
        <w:rPr>
          <w:rFonts w:ascii="Times New Roman" w:hAnsi="Times New Roman"/>
          <w:sz w:val="20"/>
          <w:szCs w:val="20"/>
        </w:rPr>
        <w:t xml:space="preserve">While facts and other statistics in the Draft Red Herring Prospectus relating to India, the Indian economy and the industry in which we operate has been based on various governmental and organizational web site data that we believe are reliable, we cannot guarantee the quality or reliability of such materials. While we have taken reasonable care in the reproduction of such information, industry facts and other statistics have not been prepared or independently verified by us or any of our respective affiliates or advisors and, therefore we make no representation as to their accuracy or completeness. These facts and other statistics include the facts and statistics included in the chapter titled </w:t>
      </w:r>
      <w:r w:rsidRPr="001B2C34">
        <w:rPr>
          <w:rFonts w:ascii="Times New Roman" w:hAnsi="Times New Roman"/>
          <w:b/>
          <w:i/>
          <w:sz w:val="20"/>
          <w:szCs w:val="20"/>
        </w:rPr>
        <w:t>“Industry Overview”</w:t>
      </w:r>
      <w:r w:rsidRPr="001B2C34">
        <w:rPr>
          <w:rFonts w:ascii="Times New Roman" w:hAnsi="Times New Roman"/>
          <w:sz w:val="20"/>
          <w:szCs w:val="20"/>
        </w:rPr>
        <w:t xml:space="preserve"> beginning on page </w:t>
      </w:r>
      <w:r w:rsidRPr="001B2C34">
        <w:rPr>
          <w:rFonts w:ascii="Times New Roman" w:hAnsi="Times New Roman"/>
          <w:i/>
          <w:iCs/>
          <w:sz w:val="20"/>
          <w:szCs w:val="20"/>
        </w:rPr>
        <w:fldChar w:fldCharType="begin"/>
      </w:r>
      <w:r w:rsidRPr="001B2C34">
        <w:rPr>
          <w:rFonts w:ascii="Times New Roman" w:hAnsi="Times New Roman"/>
          <w:i/>
          <w:iCs/>
          <w:sz w:val="20"/>
          <w:szCs w:val="20"/>
        </w:rPr>
        <w:instrText xml:space="preserve"> PAGEREF  INDUSTRYOVERVIEW  \* MERGEFORMAT </w:instrText>
      </w:r>
      <w:r w:rsidRPr="001B2C34">
        <w:rPr>
          <w:rFonts w:ascii="Times New Roman" w:hAnsi="Times New Roman"/>
          <w:i/>
          <w:iCs/>
          <w:sz w:val="20"/>
          <w:szCs w:val="20"/>
        </w:rPr>
        <w:fldChar w:fldCharType="separate"/>
      </w:r>
      <w:r w:rsidRPr="001B2C34">
        <w:rPr>
          <w:rFonts w:ascii="Times New Roman" w:hAnsi="Times New Roman"/>
          <w:i/>
          <w:iCs/>
          <w:noProof/>
          <w:sz w:val="20"/>
          <w:szCs w:val="20"/>
        </w:rPr>
        <w:t>78</w:t>
      </w:r>
      <w:r w:rsidRPr="001B2C34">
        <w:rPr>
          <w:rFonts w:ascii="Times New Roman" w:hAnsi="Times New Roman"/>
          <w:i/>
          <w:iCs/>
          <w:sz w:val="20"/>
          <w:szCs w:val="20"/>
        </w:rPr>
        <w:fldChar w:fldCharType="end"/>
      </w:r>
      <w:r w:rsidRPr="001B2C34">
        <w:rPr>
          <w:rFonts w:ascii="Times New Roman" w:hAnsi="Times New Roman"/>
          <w:sz w:val="20"/>
          <w:szCs w:val="20"/>
        </w:rPr>
        <w:t xml:space="preserve"> of this Draft Red Herring Prospectus. Due to possibly flawed or ineffective data collection methods or discrepancies between published information and market practice and other problems, the statistics herein may be inaccurate or may not be comparable to statistics produced elsewhere and should not be unduly relied upon. Further, there is no assurance that they are stated or compiled on the same basis or with the same degree of accuracy, as the case may be, elsewhere.</w:t>
      </w:r>
    </w:p>
    <w:p w14:paraId="70F45A88" w14:textId="77777777" w:rsidR="00D55EC1" w:rsidRPr="001B2C34" w:rsidRDefault="00D55EC1" w:rsidP="00D55EC1">
      <w:pPr>
        <w:spacing w:after="0" w:line="240" w:lineRule="auto"/>
        <w:contextualSpacing/>
        <w:jc w:val="both"/>
        <w:rPr>
          <w:rFonts w:ascii="Times New Roman" w:hAnsi="Times New Roman"/>
          <w:sz w:val="20"/>
          <w:szCs w:val="20"/>
        </w:rPr>
      </w:pPr>
    </w:p>
    <w:p w14:paraId="69420824" w14:textId="77777777" w:rsidR="00D55EC1" w:rsidRPr="001B2C34" w:rsidRDefault="00D55EC1" w:rsidP="00F038BD">
      <w:pPr>
        <w:numPr>
          <w:ilvl w:val="0"/>
          <w:numId w:val="150"/>
        </w:numPr>
        <w:suppressAutoHyphens/>
        <w:autoSpaceDE w:val="0"/>
        <w:autoSpaceDN w:val="0"/>
        <w:adjustRightInd w:val="0"/>
        <w:spacing w:after="0" w:line="240" w:lineRule="auto"/>
        <w:contextualSpacing/>
        <w:jc w:val="both"/>
        <w:textAlignment w:val="center"/>
        <w:rPr>
          <w:rFonts w:ascii="Times New Roman" w:hAnsi="Times New Roman"/>
          <w:b/>
          <w:i/>
          <w:color w:val="000000"/>
          <w:sz w:val="20"/>
          <w:szCs w:val="20"/>
          <w:lang w:val="x-none" w:eastAsia="x-none"/>
        </w:rPr>
      </w:pPr>
      <w:r w:rsidRPr="001B2C34">
        <w:rPr>
          <w:rFonts w:ascii="Times New Roman" w:hAnsi="Times New Roman"/>
          <w:b/>
          <w:i/>
          <w:color w:val="000000"/>
          <w:sz w:val="20"/>
          <w:szCs w:val="20"/>
          <w:lang w:val="x-none" w:eastAsia="x-none"/>
        </w:rPr>
        <w:t xml:space="preserve">Certain data mentioned in this Draft Red Herring Prospectus has not been independently verified. </w:t>
      </w:r>
    </w:p>
    <w:p w14:paraId="253F4D48" w14:textId="77777777" w:rsidR="00D55EC1" w:rsidRPr="001B2C34" w:rsidRDefault="00D55EC1" w:rsidP="00D55EC1">
      <w:pPr>
        <w:spacing w:after="0" w:line="240" w:lineRule="auto"/>
        <w:contextualSpacing/>
        <w:jc w:val="both"/>
        <w:rPr>
          <w:rFonts w:ascii="Times New Roman" w:hAnsi="Times New Roman"/>
          <w:bCs/>
          <w:sz w:val="20"/>
          <w:szCs w:val="20"/>
          <w:lang w:val="en-IN"/>
        </w:rPr>
      </w:pPr>
    </w:p>
    <w:p w14:paraId="088494D5" w14:textId="77777777" w:rsidR="00D55EC1" w:rsidRPr="001B2C34" w:rsidRDefault="00D55EC1" w:rsidP="00D55EC1">
      <w:pPr>
        <w:spacing w:after="0" w:line="240" w:lineRule="auto"/>
        <w:contextualSpacing/>
        <w:jc w:val="both"/>
        <w:rPr>
          <w:rFonts w:ascii="Times New Roman" w:hAnsi="Times New Roman"/>
          <w:bCs/>
          <w:sz w:val="20"/>
          <w:szCs w:val="20"/>
          <w:lang w:val="en-IN"/>
        </w:rPr>
      </w:pPr>
      <w:r w:rsidRPr="001B2C34">
        <w:rPr>
          <w:rFonts w:ascii="Times New Roman" w:hAnsi="Times New Roman"/>
          <w:bCs/>
          <w:sz w:val="20"/>
          <w:szCs w:val="20"/>
          <w:lang w:val="en-IN"/>
        </w:rPr>
        <w:t>We have not independently verified data from industry publications contained herein and although we believe these sources to be reliable, we cannot assure that they are complete or reliable. Such data may also be produced on a different basis from comparable information compiled with regard to other countries. Therefore, discussions of matters relating to India and its economy are subject to the limitation that the statistical and other data upon which such discussions are based have not been verified by us and may be incomplete or unreliable.</w:t>
      </w:r>
    </w:p>
    <w:p w14:paraId="1721FE02" w14:textId="77777777" w:rsidR="00D55EC1" w:rsidRPr="00641801" w:rsidRDefault="00D55EC1" w:rsidP="00D55EC1">
      <w:pPr>
        <w:widowControl w:val="0"/>
        <w:tabs>
          <w:tab w:val="left" w:pos="0"/>
        </w:tabs>
        <w:autoSpaceDE w:val="0"/>
        <w:autoSpaceDN w:val="0"/>
        <w:adjustRightInd w:val="0"/>
        <w:spacing w:after="0" w:line="240" w:lineRule="auto"/>
        <w:jc w:val="both"/>
        <w:textAlignment w:val="baseline"/>
        <w:rPr>
          <w:rFonts w:ascii="Times New Roman" w:hAnsi="Times New Roman"/>
          <w:sz w:val="20"/>
          <w:szCs w:val="20"/>
        </w:rPr>
      </w:pPr>
    </w:p>
    <w:p w14:paraId="0E1A5E7C" w14:textId="77777777" w:rsidR="00D55EC1" w:rsidRPr="00264FFA" w:rsidRDefault="00D55EC1" w:rsidP="00D55EC1">
      <w:pPr>
        <w:widowControl w:val="0"/>
        <w:tabs>
          <w:tab w:val="left" w:pos="0"/>
        </w:tabs>
        <w:adjustRightInd w:val="0"/>
        <w:spacing w:after="0" w:line="240" w:lineRule="auto"/>
        <w:jc w:val="both"/>
        <w:textAlignment w:val="baseline"/>
        <w:rPr>
          <w:rFonts w:ascii="Times New Roman" w:hAnsi="Times New Roman"/>
          <w:b/>
          <w:i/>
          <w:sz w:val="20"/>
          <w:szCs w:val="20"/>
          <w:u w:val="single"/>
        </w:rPr>
      </w:pPr>
      <w:r w:rsidRPr="00264FFA">
        <w:rPr>
          <w:rFonts w:ascii="Times New Roman" w:hAnsi="Times New Roman"/>
          <w:b/>
          <w:i/>
          <w:sz w:val="20"/>
          <w:szCs w:val="20"/>
          <w:u w:val="single"/>
        </w:rPr>
        <w:t>EXTERNAL RISK FACTORS</w:t>
      </w:r>
    </w:p>
    <w:p w14:paraId="24A760AA" w14:textId="77777777" w:rsidR="00D55EC1" w:rsidRPr="00264FFA" w:rsidRDefault="00D55EC1" w:rsidP="00D55EC1">
      <w:pPr>
        <w:widowControl w:val="0"/>
        <w:tabs>
          <w:tab w:val="left" w:pos="0"/>
        </w:tabs>
        <w:adjustRightInd w:val="0"/>
        <w:spacing w:after="0" w:line="240" w:lineRule="auto"/>
        <w:jc w:val="both"/>
        <w:textAlignment w:val="baseline"/>
        <w:rPr>
          <w:rFonts w:ascii="Times New Roman" w:hAnsi="Times New Roman"/>
          <w:b/>
          <w:i/>
          <w:sz w:val="20"/>
          <w:szCs w:val="20"/>
          <w:u w:val="single"/>
        </w:rPr>
      </w:pPr>
    </w:p>
    <w:p w14:paraId="44341447" w14:textId="77777777" w:rsidR="00D55EC1" w:rsidRPr="00264FFA" w:rsidRDefault="00D55EC1" w:rsidP="00F038BD">
      <w:pPr>
        <w:numPr>
          <w:ilvl w:val="0"/>
          <w:numId w:val="150"/>
        </w:numPr>
        <w:suppressAutoHyphens/>
        <w:autoSpaceDE w:val="0"/>
        <w:autoSpaceDN w:val="0"/>
        <w:adjustRightInd w:val="0"/>
        <w:spacing w:after="0" w:line="240" w:lineRule="auto"/>
        <w:contextualSpacing/>
        <w:jc w:val="both"/>
        <w:textAlignment w:val="center"/>
        <w:rPr>
          <w:rFonts w:ascii="Times New Roman" w:hAnsi="Times New Roman"/>
          <w:b/>
          <w:bCs/>
          <w:i/>
          <w:iCs/>
          <w:color w:val="000000"/>
          <w:sz w:val="20"/>
          <w:szCs w:val="20"/>
          <w:lang w:val="x-none" w:eastAsia="x-none"/>
        </w:rPr>
      </w:pPr>
      <w:r w:rsidRPr="00264FFA">
        <w:rPr>
          <w:rFonts w:ascii="Times New Roman" w:hAnsi="Times New Roman"/>
          <w:b/>
          <w:bCs/>
          <w:i/>
          <w:iCs/>
          <w:color w:val="000000"/>
          <w:sz w:val="20"/>
          <w:szCs w:val="20"/>
          <w:lang w:val="x-none" w:eastAsia="x-none"/>
        </w:rPr>
        <w:t>A slowdown in economic growth in India may adversely affect our business, financial condition, cash flows, results of operations and prospects.</w:t>
      </w:r>
    </w:p>
    <w:p w14:paraId="1CFABC51" w14:textId="77777777" w:rsidR="00D55EC1" w:rsidRPr="00264FFA" w:rsidRDefault="00D55EC1" w:rsidP="00D55EC1">
      <w:pPr>
        <w:widowControl w:val="0"/>
        <w:suppressAutoHyphens/>
        <w:autoSpaceDE w:val="0"/>
        <w:autoSpaceDN w:val="0"/>
        <w:adjustRightInd w:val="0"/>
        <w:spacing w:after="0" w:line="240" w:lineRule="auto"/>
        <w:ind w:left="270"/>
        <w:jc w:val="both"/>
        <w:textAlignment w:val="center"/>
        <w:rPr>
          <w:rFonts w:ascii="Times New Roman" w:hAnsi="Times New Roman"/>
          <w:sz w:val="20"/>
          <w:szCs w:val="20"/>
        </w:rPr>
      </w:pPr>
    </w:p>
    <w:p w14:paraId="5A171EB4" w14:textId="77777777" w:rsidR="00D55EC1" w:rsidRPr="00264FFA" w:rsidRDefault="00D55EC1" w:rsidP="00D55EC1">
      <w:pPr>
        <w:widowControl w:val="0"/>
        <w:suppressAutoHyphens/>
        <w:autoSpaceDE w:val="0"/>
        <w:autoSpaceDN w:val="0"/>
        <w:adjustRightInd w:val="0"/>
        <w:spacing w:after="0" w:line="240" w:lineRule="auto"/>
        <w:jc w:val="both"/>
        <w:textAlignment w:val="center"/>
        <w:rPr>
          <w:rFonts w:ascii="Times New Roman" w:hAnsi="Times New Roman"/>
          <w:sz w:val="20"/>
          <w:szCs w:val="20"/>
        </w:rPr>
      </w:pPr>
      <w:r w:rsidRPr="00264FFA">
        <w:rPr>
          <w:rFonts w:ascii="Times New Roman" w:hAnsi="Times New Roman"/>
          <w:sz w:val="20"/>
          <w:szCs w:val="20"/>
        </w:rPr>
        <w:t xml:space="preserve">The performance and growth of our business are necessarily dependent on economic conditions prevalent in India, which may be materially and adversely affected by centre or state political instability or regional conflicts, a general rise in interest rates, inflation, and economic slowdown elsewhere in the world or otherwise. Further, there have been periods of slowdown in the economic growth of India. India’s economic growth is affected by various factors including domestic consumption and savings, balance of trade movements, namely export demand and movements in key imports (oil and oil products), global economic uncertainty and liquidity crisis, volatility in exchange currency rates and annual rainfall which affects agricultural production. Any continued or future slowdown in the Indian economy or a further increase in inflation could have a material adverse affect on the price of our raw materials and demand for our products and, as a result, on our business and financial results. The Indian financial market and the Indian economy are influenced by economic and market conditions in other countries, particularly in emerging market in Asian countries. Financial turmoil in Asia, Europe, the U.S. and elsewhere in the world in recent years has affected the Indian economy. </w:t>
      </w:r>
      <w:r w:rsidRPr="00264FFA">
        <w:rPr>
          <w:rFonts w:ascii="Times New Roman" w:hAnsi="Times New Roman"/>
          <w:sz w:val="20"/>
          <w:szCs w:val="20"/>
        </w:rPr>
        <w:lastRenderedPageBreak/>
        <w:t>Although economic conditions are different in each country, investors’ reactions to developments in one country can have adverse affects on the securities of companies in other countries, including India. A loss in investor confidence in the financial systems of other emerging markets may cause increased volatility in Indian financial markets and, indirectly, in the Indian economy in general. Any worldwide financial instability, including the financial crisis and fluctuations in the stock markets in China and further deterioration of credit conditions in the U.S. or European markets, could also have a negative impact on the Indian economy. Financial disruptions may occur again and could harm our business and financial results.</w:t>
      </w:r>
    </w:p>
    <w:p w14:paraId="4401D0D5" w14:textId="77777777" w:rsidR="00D55EC1" w:rsidRPr="00264FFA" w:rsidRDefault="00D55EC1" w:rsidP="00D55EC1">
      <w:pPr>
        <w:widowControl w:val="0"/>
        <w:autoSpaceDE w:val="0"/>
        <w:autoSpaceDN w:val="0"/>
        <w:adjustRightInd w:val="0"/>
        <w:spacing w:after="0" w:line="240" w:lineRule="auto"/>
        <w:contextualSpacing/>
        <w:jc w:val="both"/>
        <w:textAlignment w:val="baseline"/>
        <w:rPr>
          <w:rFonts w:ascii="Times New Roman" w:hAnsi="Times New Roman"/>
          <w:sz w:val="20"/>
          <w:szCs w:val="20"/>
        </w:rPr>
      </w:pPr>
    </w:p>
    <w:p w14:paraId="14B5555F" w14:textId="77777777" w:rsidR="00D55EC1" w:rsidRPr="00264FFA" w:rsidRDefault="00D55EC1" w:rsidP="00F038BD">
      <w:pPr>
        <w:numPr>
          <w:ilvl w:val="0"/>
          <w:numId w:val="150"/>
        </w:numPr>
        <w:suppressAutoHyphens/>
        <w:autoSpaceDE w:val="0"/>
        <w:autoSpaceDN w:val="0"/>
        <w:adjustRightInd w:val="0"/>
        <w:spacing w:after="0" w:line="240" w:lineRule="auto"/>
        <w:contextualSpacing/>
        <w:jc w:val="both"/>
        <w:textAlignment w:val="center"/>
        <w:rPr>
          <w:rFonts w:ascii="Times New Roman" w:hAnsi="Times New Roman"/>
          <w:b/>
          <w:bCs/>
          <w:i/>
          <w:iCs/>
          <w:color w:val="000000"/>
          <w:sz w:val="20"/>
          <w:szCs w:val="20"/>
          <w:lang w:val="x-none" w:eastAsia="x-none"/>
        </w:rPr>
      </w:pPr>
      <w:r w:rsidRPr="00264FFA">
        <w:rPr>
          <w:rFonts w:ascii="Times New Roman" w:hAnsi="Times New Roman"/>
          <w:b/>
          <w:bCs/>
          <w:i/>
          <w:iCs/>
          <w:color w:val="000000"/>
          <w:sz w:val="20"/>
          <w:szCs w:val="20"/>
          <w:lang w:val="x-none" w:eastAsia="x-none"/>
        </w:rPr>
        <w:t>Changing laws, rules and regulations and legal uncertainties in India, including adverse application of tax laws and regulations, may adversely affect our business and financial performance.</w:t>
      </w:r>
    </w:p>
    <w:p w14:paraId="0B98D6C3" w14:textId="77777777" w:rsidR="00D55EC1" w:rsidRPr="00264FFA" w:rsidRDefault="00D55EC1" w:rsidP="00D55EC1">
      <w:pPr>
        <w:suppressAutoHyphens/>
        <w:autoSpaceDE w:val="0"/>
        <w:autoSpaceDN w:val="0"/>
        <w:adjustRightInd w:val="0"/>
        <w:spacing w:after="0" w:line="240" w:lineRule="auto"/>
        <w:ind w:left="360"/>
        <w:contextualSpacing/>
        <w:jc w:val="both"/>
        <w:textAlignment w:val="center"/>
        <w:rPr>
          <w:rFonts w:ascii="Times New Roman" w:hAnsi="Times New Roman"/>
          <w:b/>
          <w:bCs/>
          <w:i/>
          <w:iCs/>
          <w:color w:val="000000"/>
          <w:sz w:val="20"/>
          <w:szCs w:val="20"/>
          <w:lang w:val="x-none" w:eastAsia="x-none"/>
        </w:rPr>
      </w:pPr>
    </w:p>
    <w:p w14:paraId="0173A1A1" w14:textId="77777777" w:rsidR="00D55EC1" w:rsidRPr="00264FFA" w:rsidRDefault="00D55EC1" w:rsidP="00D55EC1">
      <w:pPr>
        <w:widowControl w:val="0"/>
        <w:autoSpaceDE w:val="0"/>
        <w:autoSpaceDN w:val="0"/>
        <w:adjustRightInd w:val="0"/>
        <w:spacing w:after="0" w:line="240" w:lineRule="auto"/>
        <w:jc w:val="both"/>
        <w:textAlignment w:val="baseline"/>
        <w:rPr>
          <w:rFonts w:ascii="Times New Roman" w:hAnsi="Times New Roman"/>
          <w:sz w:val="20"/>
          <w:szCs w:val="20"/>
        </w:rPr>
      </w:pPr>
      <w:r w:rsidRPr="00264FFA">
        <w:rPr>
          <w:rFonts w:ascii="Times New Roman" w:hAnsi="Times New Roman"/>
          <w:sz w:val="20"/>
          <w:szCs w:val="20"/>
        </w:rPr>
        <w:t xml:space="preserve">Our business and financial performance could be adversely affected by changes in law or interpretations of existing, or the promulgation of new, laws, rules and regulations in India applicable to us and our business. For further details please refer to the chapter </w:t>
      </w:r>
      <w:r w:rsidRPr="00264FFA">
        <w:rPr>
          <w:rFonts w:ascii="Times New Roman" w:hAnsi="Times New Roman"/>
          <w:b/>
          <w:sz w:val="20"/>
          <w:szCs w:val="20"/>
        </w:rPr>
        <w:t>“</w:t>
      </w:r>
      <w:r w:rsidRPr="00264FFA">
        <w:rPr>
          <w:rFonts w:ascii="Times New Roman" w:hAnsi="Times New Roman"/>
          <w:b/>
          <w:i/>
          <w:iCs/>
          <w:sz w:val="20"/>
          <w:szCs w:val="20"/>
        </w:rPr>
        <w:t>Government and Other Approvals</w:t>
      </w:r>
      <w:r w:rsidRPr="00264FFA">
        <w:rPr>
          <w:rFonts w:ascii="Times New Roman" w:hAnsi="Times New Roman"/>
          <w:b/>
          <w:sz w:val="20"/>
          <w:szCs w:val="20"/>
        </w:rPr>
        <w:t>”</w:t>
      </w:r>
      <w:r w:rsidRPr="00264FFA">
        <w:rPr>
          <w:rFonts w:ascii="Times New Roman" w:hAnsi="Times New Roman"/>
          <w:sz w:val="20"/>
          <w:szCs w:val="20"/>
        </w:rPr>
        <w:t xml:space="preserve"> on page </w:t>
      </w:r>
      <w:r w:rsidRPr="00264FFA">
        <w:rPr>
          <w:rFonts w:ascii="Times New Roman" w:hAnsi="Times New Roman"/>
          <w:i/>
          <w:iCs/>
          <w:sz w:val="20"/>
          <w:szCs w:val="20"/>
        </w:rPr>
        <w:fldChar w:fldCharType="begin"/>
      </w:r>
      <w:r w:rsidRPr="00264FFA">
        <w:rPr>
          <w:rFonts w:ascii="Times New Roman" w:hAnsi="Times New Roman"/>
          <w:i/>
          <w:iCs/>
          <w:sz w:val="20"/>
          <w:szCs w:val="20"/>
        </w:rPr>
        <w:instrText xml:space="preserve"> PAGEREF  GOVERNMENTANDOTHER  \* MERGEFORMAT </w:instrText>
      </w:r>
      <w:r w:rsidRPr="00264FFA">
        <w:rPr>
          <w:rFonts w:ascii="Times New Roman" w:hAnsi="Times New Roman"/>
          <w:i/>
          <w:iCs/>
          <w:sz w:val="20"/>
          <w:szCs w:val="20"/>
        </w:rPr>
        <w:fldChar w:fldCharType="separate"/>
      </w:r>
      <w:r w:rsidRPr="00264FFA">
        <w:rPr>
          <w:rFonts w:ascii="Times New Roman" w:hAnsi="Times New Roman"/>
          <w:i/>
          <w:iCs/>
          <w:noProof/>
          <w:sz w:val="20"/>
          <w:szCs w:val="20"/>
        </w:rPr>
        <w:t>178</w:t>
      </w:r>
      <w:r w:rsidRPr="00264FFA">
        <w:rPr>
          <w:rFonts w:ascii="Times New Roman" w:hAnsi="Times New Roman"/>
          <w:i/>
          <w:iCs/>
          <w:sz w:val="20"/>
          <w:szCs w:val="20"/>
        </w:rPr>
        <w:fldChar w:fldCharType="end"/>
      </w:r>
      <w:r w:rsidRPr="00264FFA">
        <w:rPr>
          <w:rFonts w:ascii="Times New Roman" w:hAnsi="Times New Roman"/>
          <w:sz w:val="20"/>
          <w:szCs w:val="20"/>
        </w:rPr>
        <w:t xml:space="preserve"> for details of the laws currently applicable to us. There can be no assurance that the central or the state governments in India may not implement new regulations and policies which will require us to obtain approvals and licenses from the central or the state governments in India and other regulatory bodies or impose onerous requirements and conditions on our operations. Any such changes and the related uncertainties with respect to the implementation of the new regulations may have a material adverse affect on all our business, financial condition and results of operations. In addition, we may have to incur capital expenditures to comply with the requirements of any new regulations, which may also materially harm our results of operations. For instance, the Government has proposed a comprehensive national goods and services tax (“</w:t>
      </w:r>
      <w:r w:rsidRPr="00264FFA">
        <w:rPr>
          <w:rFonts w:ascii="Times New Roman" w:hAnsi="Times New Roman"/>
          <w:b/>
          <w:bCs/>
          <w:sz w:val="20"/>
          <w:szCs w:val="20"/>
        </w:rPr>
        <w:t>GST</w:t>
      </w:r>
      <w:r w:rsidRPr="00264FFA">
        <w:rPr>
          <w:rFonts w:ascii="Times New Roman" w:hAnsi="Times New Roman"/>
          <w:sz w:val="20"/>
          <w:szCs w:val="20"/>
        </w:rPr>
        <w:t>”) regime that will combine taxes and levies by the Central and state Governments into a unified rate structure. Given the limited availability of information in the public domain concerning the GST, we are unable to provide any assurance as to the tax regime following implementation of the GST. The implementation of this new structure may be affected by any disagreement between certain state Governments, which could create uncertainty. Any such future amendments may affect our overall tax efficiency, and may result in significant additional taxes becoming payable.</w:t>
      </w:r>
    </w:p>
    <w:p w14:paraId="4C0C4619" w14:textId="77777777" w:rsidR="00D55EC1" w:rsidRPr="00264FFA" w:rsidRDefault="00D55EC1" w:rsidP="00D55EC1">
      <w:pPr>
        <w:suppressAutoHyphens/>
        <w:autoSpaceDE w:val="0"/>
        <w:autoSpaceDN w:val="0"/>
        <w:adjustRightInd w:val="0"/>
        <w:spacing w:after="0" w:line="240" w:lineRule="auto"/>
        <w:ind w:left="360"/>
        <w:contextualSpacing/>
        <w:jc w:val="both"/>
        <w:textAlignment w:val="center"/>
        <w:rPr>
          <w:rFonts w:ascii="Times New Roman" w:hAnsi="Times New Roman"/>
          <w:b/>
          <w:bCs/>
          <w:i/>
          <w:iCs/>
          <w:color w:val="000000"/>
          <w:sz w:val="20"/>
          <w:szCs w:val="20"/>
          <w:lang w:val="x-none" w:eastAsia="x-none"/>
        </w:rPr>
      </w:pPr>
    </w:p>
    <w:p w14:paraId="0DEA1829" w14:textId="77777777" w:rsidR="00D55EC1" w:rsidRPr="00264FFA" w:rsidRDefault="00D55EC1" w:rsidP="00F038BD">
      <w:pPr>
        <w:numPr>
          <w:ilvl w:val="0"/>
          <w:numId w:val="150"/>
        </w:numPr>
        <w:suppressAutoHyphens/>
        <w:autoSpaceDE w:val="0"/>
        <w:autoSpaceDN w:val="0"/>
        <w:adjustRightInd w:val="0"/>
        <w:spacing w:after="0" w:line="240" w:lineRule="auto"/>
        <w:contextualSpacing/>
        <w:jc w:val="both"/>
        <w:textAlignment w:val="center"/>
        <w:rPr>
          <w:rFonts w:ascii="Times New Roman" w:hAnsi="Times New Roman"/>
          <w:b/>
          <w:bCs/>
          <w:i/>
          <w:iCs/>
          <w:color w:val="000000"/>
          <w:sz w:val="20"/>
          <w:szCs w:val="20"/>
          <w:lang w:val="x-none" w:eastAsia="x-none"/>
        </w:rPr>
      </w:pPr>
      <w:r w:rsidRPr="00264FFA">
        <w:rPr>
          <w:rFonts w:ascii="Times New Roman" w:hAnsi="Times New Roman"/>
          <w:b/>
          <w:bCs/>
          <w:i/>
          <w:iCs/>
          <w:color w:val="000000"/>
          <w:sz w:val="20"/>
          <w:szCs w:val="20"/>
          <w:lang w:val="x-none" w:eastAsia="x-none"/>
        </w:rPr>
        <w:t xml:space="preserve">Instability in financial markets could materially and adversely affect our results of operations and financial condition. </w:t>
      </w:r>
    </w:p>
    <w:p w14:paraId="68AD8B20" w14:textId="77777777" w:rsidR="00D55EC1" w:rsidRPr="00264FFA" w:rsidRDefault="00D55EC1" w:rsidP="00D55EC1">
      <w:pPr>
        <w:widowControl w:val="0"/>
        <w:autoSpaceDE w:val="0"/>
        <w:autoSpaceDN w:val="0"/>
        <w:adjustRightInd w:val="0"/>
        <w:spacing w:after="0" w:line="240" w:lineRule="auto"/>
        <w:contextualSpacing/>
        <w:jc w:val="both"/>
        <w:textAlignment w:val="baseline"/>
        <w:rPr>
          <w:rFonts w:ascii="Times New Roman" w:hAnsi="Times New Roman"/>
          <w:sz w:val="20"/>
          <w:szCs w:val="20"/>
        </w:rPr>
      </w:pPr>
    </w:p>
    <w:p w14:paraId="64BF273C" w14:textId="77777777" w:rsidR="00D55EC1" w:rsidRPr="00264FFA" w:rsidRDefault="00D55EC1" w:rsidP="00D55EC1">
      <w:pPr>
        <w:widowControl w:val="0"/>
        <w:autoSpaceDE w:val="0"/>
        <w:autoSpaceDN w:val="0"/>
        <w:adjustRightInd w:val="0"/>
        <w:spacing w:after="0" w:line="240" w:lineRule="auto"/>
        <w:contextualSpacing/>
        <w:jc w:val="both"/>
        <w:textAlignment w:val="baseline"/>
        <w:rPr>
          <w:rFonts w:ascii="Times New Roman" w:hAnsi="Times New Roman"/>
          <w:sz w:val="20"/>
          <w:szCs w:val="20"/>
        </w:rPr>
      </w:pPr>
      <w:r w:rsidRPr="00264FFA">
        <w:rPr>
          <w:rFonts w:ascii="Times New Roman" w:hAnsi="Times New Roman"/>
          <w:sz w:val="20"/>
          <w:szCs w:val="20"/>
        </w:rPr>
        <w:t>The Indian economy and financial markets are significantly influenced by worldwide economic, financial and market conditions. Any financial turmoil, especially in the United States of America or Europe, may have a negative impact on the Indian economy. Although economic conditions differ in each country, investors’ reactions to any significant developments in one country can have adverse affects on the financial and market conditions in other countries. A loss in investor confidence in the financial systems, particularly in other emerging markets, may cause increased volatility in Indian financial markets. The global financial turmoil, an outcome of the sub-prime mortgage crisis which originated in the United States of America, led to a loss of investor confidence in worldwide financial markets. Indian financial markets have also experienced the contagion affect of the global financial turmoil, evident from the sharp decline in SENSEX, BSE’s benchmark index. Any prolonged financial crisis may have an adverse impact on the Indian economy and us, thereby resulting in a material and adverse affect on our business, operations, financial condition, profitability and price of our Equity Shares.</w:t>
      </w:r>
    </w:p>
    <w:p w14:paraId="1451161F" w14:textId="77777777" w:rsidR="00D55EC1" w:rsidRPr="00264FFA" w:rsidRDefault="00D55EC1" w:rsidP="00D55EC1">
      <w:pPr>
        <w:widowControl w:val="0"/>
        <w:autoSpaceDE w:val="0"/>
        <w:autoSpaceDN w:val="0"/>
        <w:adjustRightInd w:val="0"/>
        <w:spacing w:after="0" w:line="240" w:lineRule="auto"/>
        <w:ind w:left="450"/>
        <w:jc w:val="both"/>
        <w:textAlignment w:val="baseline"/>
        <w:rPr>
          <w:rFonts w:ascii="Times New Roman" w:eastAsia="Calibri" w:hAnsi="Times New Roman"/>
          <w:b/>
          <w:sz w:val="20"/>
          <w:szCs w:val="20"/>
        </w:rPr>
      </w:pPr>
    </w:p>
    <w:p w14:paraId="05CA5744" w14:textId="77777777" w:rsidR="00D55EC1" w:rsidRPr="00264FFA" w:rsidRDefault="00D55EC1" w:rsidP="00F038BD">
      <w:pPr>
        <w:numPr>
          <w:ilvl w:val="0"/>
          <w:numId w:val="150"/>
        </w:numPr>
        <w:suppressAutoHyphens/>
        <w:autoSpaceDE w:val="0"/>
        <w:autoSpaceDN w:val="0"/>
        <w:adjustRightInd w:val="0"/>
        <w:spacing w:after="0" w:line="240" w:lineRule="auto"/>
        <w:contextualSpacing/>
        <w:jc w:val="both"/>
        <w:textAlignment w:val="center"/>
        <w:rPr>
          <w:rFonts w:ascii="Times New Roman" w:hAnsi="Times New Roman"/>
          <w:b/>
          <w:bCs/>
          <w:i/>
          <w:iCs/>
          <w:color w:val="000000"/>
          <w:sz w:val="20"/>
          <w:szCs w:val="20"/>
          <w:lang w:val="x-none" w:eastAsia="x-none"/>
        </w:rPr>
      </w:pPr>
      <w:r w:rsidRPr="00264FFA">
        <w:rPr>
          <w:rFonts w:ascii="Times New Roman" w:hAnsi="Times New Roman"/>
          <w:b/>
          <w:bCs/>
          <w:i/>
          <w:iCs/>
          <w:color w:val="000000"/>
          <w:sz w:val="20"/>
          <w:szCs w:val="20"/>
          <w:lang w:val="x-none" w:eastAsia="x-none"/>
        </w:rPr>
        <w:t>Natural disasters, fires, epidemics, pandemics, acts of war, terrorist attacks, civil unrest and other events could materially and adversely affect our business</w:t>
      </w:r>
    </w:p>
    <w:p w14:paraId="3E82816D" w14:textId="77777777" w:rsidR="00D55EC1" w:rsidRPr="00264FFA" w:rsidRDefault="00D55EC1" w:rsidP="00D55EC1">
      <w:pPr>
        <w:widowControl w:val="0"/>
        <w:tabs>
          <w:tab w:val="left" w:pos="0"/>
        </w:tabs>
        <w:suppressAutoHyphens/>
        <w:autoSpaceDE w:val="0"/>
        <w:autoSpaceDN w:val="0"/>
        <w:adjustRightInd w:val="0"/>
        <w:spacing w:after="0" w:line="240" w:lineRule="auto"/>
        <w:ind w:left="720"/>
        <w:jc w:val="both"/>
        <w:textAlignment w:val="center"/>
        <w:rPr>
          <w:rFonts w:ascii="Times New Roman" w:hAnsi="Times New Roman"/>
          <w:sz w:val="20"/>
          <w:szCs w:val="20"/>
        </w:rPr>
      </w:pPr>
    </w:p>
    <w:p w14:paraId="2FAC1581" w14:textId="77777777" w:rsidR="00D55EC1" w:rsidRPr="00264FFA" w:rsidRDefault="00D55EC1" w:rsidP="00D55EC1">
      <w:pPr>
        <w:widowControl w:val="0"/>
        <w:tabs>
          <w:tab w:val="left" w:pos="0"/>
        </w:tabs>
        <w:autoSpaceDE w:val="0"/>
        <w:autoSpaceDN w:val="0"/>
        <w:adjustRightInd w:val="0"/>
        <w:spacing w:after="0" w:line="240" w:lineRule="auto"/>
        <w:jc w:val="both"/>
        <w:textAlignment w:val="baseline"/>
        <w:rPr>
          <w:rFonts w:ascii="Times New Roman" w:hAnsi="Times New Roman"/>
          <w:sz w:val="20"/>
          <w:szCs w:val="20"/>
        </w:rPr>
      </w:pPr>
      <w:r w:rsidRPr="00264FFA">
        <w:rPr>
          <w:rFonts w:ascii="Times New Roman" w:hAnsi="Times New Roman"/>
          <w:sz w:val="20"/>
          <w:szCs w:val="20"/>
        </w:rPr>
        <w:t xml:space="preserve">Natural disasters (such as typhoons, flooding and earthquakes), epidemics, pandemics such as COVID-19, man-made disasters, including acts of war, terrorist attacks, environmental issues and other events, many of which are beyond our control, may lead to economic instability, including in India or globally, which may in turn materially and adversely affect our business, financial condition, cash flows and results of operations. </w:t>
      </w:r>
    </w:p>
    <w:p w14:paraId="77C1C6B5" w14:textId="77777777" w:rsidR="00D55EC1" w:rsidRPr="00264FFA" w:rsidRDefault="00D55EC1" w:rsidP="00D55EC1">
      <w:pPr>
        <w:widowControl w:val="0"/>
        <w:tabs>
          <w:tab w:val="left" w:pos="0"/>
        </w:tabs>
        <w:autoSpaceDE w:val="0"/>
        <w:autoSpaceDN w:val="0"/>
        <w:adjustRightInd w:val="0"/>
        <w:spacing w:after="0" w:line="240" w:lineRule="auto"/>
        <w:jc w:val="both"/>
        <w:textAlignment w:val="baseline"/>
        <w:rPr>
          <w:rFonts w:ascii="Times New Roman" w:hAnsi="Times New Roman"/>
          <w:sz w:val="20"/>
          <w:szCs w:val="20"/>
        </w:rPr>
      </w:pPr>
    </w:p>
    <w:p w14:paraId="5FF10D94" w14:textId="77777777" w:rsidR="00D55EC1" w:rsidRPr="00264FFA" w:rsidRDefault="00D55EC1" w:rsidP="00D55EC1">
      <w:pPr>
        <w:widowControl w:val="0"/>
        <w:tabs>
          <w:tab w:val="left" w:pos="0"/>
        </w:tabs>
        <w:autoSpaceDE w:val="0"/>
        <w:autoSpaceDN w:val="0"/>
        <w:adjustRightInd w:val="0"/>
        <w:spacing w:after="0" w:line="240" w:lineRule="auto"/>
        <w:jc w:val="both"/>
        <w:textAlignment w:val="baseline"/>
        <w:rPr>
          <w:rFonts w:ascii="Times New Roman" w:hAnsi="Times New Roman"/>
          <w:sz w:val="20"/>
          <w:szCs w:val="20"/>
        </w:rPr>
      </w:pPr>
      <w:r w:rsidRPr="00264FFA">
        <w:rPr>
          <w:rFonts w:ascii="Times New Roman" w:hAnsi="Times New Roman"/>
          <w:sz w:val="20"/>
          <w:szCs w:val="20"/>
        </w:rPr>
        <w:t>Our operations may be adversely affected by fires, natural disasters and/or severe weather, which can result in damage to our property or inventory and generally reduce our productivity and may require us to evacuate personnel and suspend operations. Any terrorist attacks or civil unrest as well as other adverse social, economic and political events in India could have a negative effect on us. Such incidents could also create a greater perception that investment in Indian companies involves a higher degree of risk and could have an adverse effect on our business and the price of the Equity Shares.</w:t>
      </w:r>
    </w:p>
    <w:p w14:paraId="3DA2E279" w14:textId="77777777" w:rsidR="00D55EC1" w:rsidRPr="00264FFA" w:rsidRDefault="00D55EC1" w:rsidP="00D55EC1">
      <w:pPr>
        <w:widowControl w:val="0"/>
        <w:tabs>
          <w:tab w:val="left" w:pos="0"/>
        </w:tabs>
        <w:autoSpaceDE w:val="0"/>
        <w:autoSpaceDN w:val="0"/>
        <w:adjustRightInd w:val="0"/>
        <w:spacing w:after="0" w:line="240" w:lineRule="auto"/>
        <w:jc w:val="both"/>
        <w:textAlignment w:val="baseline"/>
        <w:rPr>
          <w:rFonts w:ascii="Times New Roman" w:hAnsi="Times New Roman"/>
          <w:sz w:val="20"/>
          <w:szCs w:val="20"/>
        </w:rPr>
      </w:pPr>
    </w:p>
    <w:p w14:paraId="2CD71187" w14:textId="77777777" w:rsidR="00D55EC1" w:rsidRPr="00264FFA" w:rsidRDefault="00D55EC1" w:rsidP="00D55EC1">
      <w:pPr>
        <w:widowControl w:val="0"/>
        <w:tabs>
          <w:tab w:val="left" w:pos="0"/>
        </w:tabs>
        <w:autoSpaceDE w:val="0"/>
        <w:autoSpaceDN w:val="0"/>
        <w:adjustRightInd w:val="0"/>
        <w:spacing w:after="0" w:line="240" w:lineRule="auto"/>
        <w:jc w:val="both"/>
        <w:textAlignment w:val="baseline"/>
        <w:rPr>
          <w:rFonts w:ascii="Times New Roman" w:hAnsi="Times New Roman"/>
          <w:sz w:val="20"/>
          <w:szCs w:val="20"/>
        </w:rPr>
      </w:pPr>
      <w:r w:rsidRPr="00264FFA">
        <w:rPr>
          <w:rFonts w:ascii="Times New Roman" w:hAnsi="Times New Roman"/>
          <w:sz w:val="20"/>
          <w:szCs w:val="20"/>
        </w:rPr>
        <w:t>India has experienced natural calamities such as earthquakes, tsunami, floods etc. In recent years, the extent and severity of these natural disasters determine their impact on the Indian economy. Prolonged spells of abnormal rainfall or other natural calamities could have a negative impact on the Indian economy, which could adversely affect our business, prospects, financial condition and results of operations as well as the price of the Equity Shares.</w:t>
      </w:r>
    </w:p>
    <w:p w14:paraId="51C82C27" w14:textId="77777777" w:rsidR="00D55EC1" w:rsidRPr="00264FFA" w:rsidRDefault="00D55EC1" w:rsidP="00D55EC1">
      <w:pPr>
        <w:widowControl w:val="0"/>
        <w:tabs>
          <w:tab w:val="left" w:pos="0"/>
        </w:tabs>
        <w:autoSpaceDE w:val="0"/>
        <w:autoSpaceDN w:val="0"/>
        <w:adjustRightInd w:val="0"/>
        <w:spacing w:after="0" w:line="240" w:lineRule="auto"/>
        <w:jc w:val="both"/>
        <w:textAlignment w:val="baseline"/>
        <w:rPr>
          <w:rFonts w:ascii="Times New Roman" w:hAnsi="Times New Roman"/>
          <w:sz w:val="20"/>
          <w:szCs w:val="20"/>
        </w:rPr>
      </w:pPr>
    </w:p>
    <w:p w14:paraId="0752B248" w14:textId="77777777" w:rsidR="00D55EC1" w:rsidRPr="00264FFA" w:rsidRDefault="00D55EC1" w:rsidP="00F038BD">
      <w:pPr>
        <w:numPr>
          <w:ilvl w:val="0"/>
          <w:numId w:val="150"/>
        </w:numPr>
        <w:suppressAutoHyphens/>
        <w:autoSpaceDE w:val="0"/>
        <w:autoSpaceDN w:val="0"/>
        <w:adjustRightInd w:val="0"/>
        <w:spacing w:after="0" w:line="240" w:lineRule="auto"/>
        <w:contextualSpacing/>
        <w:jc w:val="both"/>
        <w:textAlignment w:val="center"/>
        <w:rPr>
          <w:rFonts w:ascii="Times New Roman" w:hAnsi="Times New Roman"/>
          <w:b/>
          <w:bCs/>
          <w:i/>
          <w:iCs/>
          <w:color w:val="000000"/>
          <w:sz w:val="20"/>
          <w:szCs w:val="20"/>
          <w:lang w:val="x-none" w:eastAsia="x-none"/>
        </w:rPr>
      </w:pPr>
      <w:r w:rsidRPr="00264FFA">
        <w:rPr>
          <w:rFonts w:ascii="Times New Roman" w:hAnsi="Times New Roman"/>
          <w:b/>
          <w:bCs/>
          <w:i/>
          <w:iCs/>
          <w:color w:val="000000"/>
          <w:sz w:val="20"/>
          <w:szCs w:val="20"/>
          <w:lang w:val="x-none" w:eastAsia="x-none"/>
        </w:rPr>
        <w:t>Government regulation of foreign ownership of Indian securities may have an adverse</w:t>
      </w:r>
      <w:r w:rsidRPr="00264FFA">
        <w:rPr>
          <w:rFonts w:ascii="Times New Roman" w:hAnsi="Times New Roman"/>
          <w:b/>
          <w:bCs/>
          <w:i/>
          <w:iCs/>
          <w:color w:val="000000"/>
          <w:sz w:val="20"/>
          <w:szCs w:val="20"/>
          <w:lang w:eastAsia="x-none"/>
        </w:rPr>
        <w:t xml:space="preserve"> </w:t>
      </w:r>
      <w:r w:rsidRPr="00264FFA">
        <w:rPr>
          <w:rFonts w:ascii="Times New Roman" w:hAnsi="Times New Roman"/>
          <w:b/>
          <w:bCs/>
          <w:i/>
          <w:iCs/>
          <w:color w:val="000000"/>
          <w:sz w:val="20"/>
          <w:szCs w:val="20"/>
          <w:lang w:val="x-none" w:eastAsia="x-none"/>
        </w:rPr>
        <w:t>affect on the price of the Equity Shares.</w:t>
      </w:r>
    </w:p>
    <w:p w14:paraId="0A8E2D08" w14:textId="77777777" w:rsidR="00D55EC1" w:rsidRPr="00264FFA" w:rsidRDefault="00D55EC1" w:rsidP="00D55EC1">
      <w:pPr>
        <w:widowControl w:val="0"/>
        <w:autoSpaceDE w:val="0"/>
        <w:autoSpaceDN w:val="0"/>
        <w:adjustRightInd w:val="0"/>
        <w:spacing w:after="0" w:line="240" w:lineRule="auto"/>
        <w:jc w:val="both"/>
        <w:textAlignment w:val="baseline"/>
        <w:rPr>
          <w:rFonts w:ascii="Times New Roman" w:eastAsia="Calibri" w:hAnsi="Times New Roman"/>
          <w:b/>
          <w:bCs/>
          <w:i/>
          <w:iCs/>
          <w:sz w:val="20"/>
          <w:szCs w:val="20"/>
        </w:rPr>
      </w:pPr>
    </w:p>
    <w:p w14:paraId="0B623A37" w14:textId="77777777" w:rsidR="00D55EC1" w:rsidRPr="00264FFA" w:rsidRDefault="00D55EC1" w:rsidP="00D55EC1">
      <w:pPr>
        <w:widowControl w:val="0"/>
        <w:autoSpaceDE w:val="0"/>
        <w:autoSpaceDN w:val="0"/>
        <w:adjustRightInd w:val="0"/>
        <w:spacing w:after="0" w:line="240" w:lineRule="auto"/>
        <w:jc w:val="both"/>
        <w:textAlignment w:val="baseline"/>
        <w:rPr>
          <w:rFonts w:ascii="Times New Roman" w:eastAsia="Calibri" w:hAnsi="Times New Roman"/>
          <w:sz w:val="20"/>
          <w:szCs w:val="20"/>
        </w:rPr>
      </w:pPr>
      <w:r w:rsidRPr="00264FFA">
        <w:rPr>
          <w:rFonts w:ascii="Times New Roman" w:eastAsia="Calibri" w:hAnsi="Times New Roman"/>
          <w:sz w:val="20"/>
          <w:szCs w:val="20"/>
        </w:rPr>
        <w:t xml:space="preserve">Foreign ownership of Indian securities is subject to government regulation. Under foreign exchange regulations currently in affect in India, transfer of shares between non-residents and residents are freely permitted (subject to certain exceptions) if they comply with the pricing guidelines and reporting requirements specified by the RBI. If the transfer of shares, which are sought to be </w:t>
      </w:r>
      <w:r w:rsidRPr="00264FFA">
        <w:rPr>
          <w:rFonts w:ascii="Times New Roman" w:eastAsia="Calibri" w:hAnsi="Times New Roman"/>
          <w:sz w:val="20"/>
          <w:szCs w:val="20"/>
        </w:rPr>
        <w:lastRenderedPageBreak/>
        <w:t>transferred, is not in compliance with such pricing guidelines or reporting requirements or fall under any of the exceptions referred to above, then the prior approval of the RBI will be required. Additionally, shareholders who seek to convert the rupees proceeds from the sale of shares in India into foreign currency and repatriate that foreign currency from India will require a no objection/ tax clearance certificate from the Income Tax authorities. There can be no assurance that any approval required from the RBI or any other government agency can be obtained.</w:t>
      </w:r>
    </w:p>
    <w:p w14:paraId="52600D32" w14:textId="77777777" w:rsidR="00D55EC1" w:rsidRPr="00264FFA" w:rsidRDefault="00D55EC1" w:rsidP="00D55EC1">
      <w:pPr>
        <w:widowControl w:val="0"/>
        <w:autoSpaceDE w:val="0"/>
        <w:autoSpaceDN w:val="0"/>
        <w:adjustRightInd w:val="0"/>
        <w:spacing w:after="0" w:line="240" w:lineRule="auto"/>
        <w:jc w:val="both"/>
        <w:textAlignment w:val="baseline"/>
        <w:rPr>
          <w:rFonts w:ascii="Times New Roman" w:eastAsia="Calibri" w:hAnsi="Times New Roman"/>
          <w:sz w:val="20"/>
          <w:szCs w:val="20"/>
        </w:rPr>
      </w:pPr>
    </w:p>
    <w:p w14:paraId="49E7205D" w14:textId="77777777" w:rsidR="00D55EC1" w:rsidRPr="00264FFA" w:rsidRDefault="00D55EC1" w:rsidP="00F038BD">
      <w:pPr>
        <w:numPr>
          <w:ilvl w:val="0"/>
          <w:numId w:val="150"/>
        </w:numPr>
        <w:suppressAutoHyphens/>
        <w:autoSpaceDE w:val="0"/>
        <w:autoSpaceDN w:val="0"/>
        <w:adjustRightInd w:val="0"/>
        <w:spacing w:after="0" w:line="240" w:lineRule="auto"/>
        <w:contextualSpacing/>
        <w:jc w:val="both"/>
        <w:textAlignment w:val="center"/>
        <w:rPr>
          <w:rFonts w:ascii="Times New Roman" w:hAnsi="Times New Roman"/>
          <w:b/>
          <w:bCs/>
          <w:i/>
          <w:iCs/>
          <w:color w:val="000000"/>
          <w:sz w:val="20"/>
          <w:szCs w:val="20"/>
          <w:lang w:val="x-none" w:eastAsia="x-none"/>
        </w:rPr>
      </w:pPr>
      <w:r w:rsidRPr="00264FFA">
        <w:rPr>
          <w:rFonts w:ascii="Times New Roman" w:hAnsi="Times New Roman"/>
          <w:b/>
          <w:bCs/>
          <w:i/>
          <w:iCs/>
          <w:color w:val="000000"/>
          <w:sz w:val="20"/>
          <w:szCs w:val="20"/>
          <w:lang w:val="x-none" w:eastAsia="x-none"/>
        </w:rPr>
        <w:t xml:space="preserve">If certain labour laws become applicable to us, our profitability may be adversely affected. </w:t>
      </w:r>
    </w:p>
    <w:p w14:paraId="42D16A86" w14:textId="77777777" w:rsidR="00D55EC1" w:rsidRPr="00264FFA" w:rsidRDefault="00D55EC1" w:rsidP="00D55EC1">
      <w:pPr>
        <w:widowControl w:val="0"/>
        <w:suppressAutoHyphens/>
        <w:autoSpaceDE w:val="0"/>
        <w:autoSpaceDN w:val="0"/>
        <w:adjustRightInd w:val="0"/>
        <w:spacing w:after="0" w:line="240" w:lineRule="auto"/>
        <w:ind w:left="720"/>
        <w:jc w:val="both"/>
        <w:textAlignment w:val="center"/>
        <w:rPr>
          <w:rFonts w:ascii="Times New Roman" w:eastAsia="Calibri" w:hAnsi="Times New Roman"/>
          <w:sz w:val="20"/>
          <w:szCs w:val="20"/>
        </w:rPr>
      </w:pPr>
    </w:p>
    <w:p w14:paraId="76F06F3E" w14:textId="77777777" w:rsidR="00D55EC1" w:rsidRPr="00264FFA" w:rsidRDefault="00D55EC1" w:rsidP="00D55EC1">
      <w:pPr>
        <w:widowControl w:val="0"/>
        <w:autoSpaceDE w:val="0"/>
        <w:autoSpaceDN w:val="0"/>
        <w:adjustRightInd w:val="0"/>
        <w:spacing w:after="0" w:line="240" w:lineRule="auto"/>
        <w:jc w:val="both"/>
        <w:textAlignment w:val="baseline"/>
        <w:rPr>
          <w:rFonts w:ascii="Times New Roman" w:hAnsi="Times New Roman"/>
          <w:sz w:val="20"/>
          <w:szCs w:val="20"/>
        </w:rPr>
      </w:pPr>
      <w:r w:rsidRPr="00264FFA">
        <w:rPr>
          <w:rFonts w:ascii="Times New Roman" w:hAnsi="Times New Roman"/>
          <w:sz w:val="20"/>
          <w:szCs w:val="20"/>
        </w:rPr>
        <w:t>India has stringent labour legislations that protect the interests of workers, including legislation that sets forth detailed procedures for dispute resolution and employee removal and legislation that imposes certain financial obligations on employers upon retrenchment. Any change or modification in the existing labour laws may affect our flexibility in formulating labour related policies.</w:t>
      </w:r>
    </w:p>
    <w:p w14:paraId="00E89231" w14:textId="77777777" w:rsidR="00D55EC1" w:rsidRPr="00264FFA" w:rsidRDefault="00D55EC1" w:rsidP="00D55EC1">
      <w:pPr>
        <w:widowControl w:val="0"/>
        <w:autoSpaceDE w:val="0"/>
        <w:autoSpaceDN w:val="0"/>
        <w:adjustRightInd w:val="0"/>
        <w:spacing w:after="0" w:line="240" w:lineRule="auto"/>
        <w:jc w:val="both"/>
        <w:textAlignment w:val="baseline"/>
        <w:rPr>
          <w:rFonts w:ascii="Times New Roman" w:hAnsi="Times New Roman"/>
          <w:sz w:val="20"/>
          <w:szCs w:val="20"/>
        </w:rPr>
      </w:pPr>
    </w:p>
    <w:p w14:paraId="753D0E3B" w14:textId="77777777" w:rsidR="00D55EC1" w:rsidRPr="00264FFA" w:rsidRDefault="00D55EC1" w:rsidP="00F038BD">
      <w:pPr>
        <w:numPr>
          <w:ilvl w:val="0"/>
          <w:numId w:val="150"/>
        </w:numPr>
        <w:suppressAutoHyphens/>
        <w:autoSpaceDE w:val="0"/>
        <w:autoSpaceDN w:val="0"/>
        <w:adjustRightInd w:val="0"/>
        <w:spacing w:after="0" w:line="240" w:lineRule="auto"/>
        <w:contextualSpacing/>
        <w:jc w:val="both"/>
        <w:textAlignment w:val="center"/>
        <w:rPr>
          <w:rFonts w:ascii="Times New Roman" w:hAnsi="Times New Roman"/>
          <w:b/>
          <w:bCs/>
          <w:i/>
          <w:iCs/>
          <w:color w:val="000000"/>
          <w:sz w:val="20"/>
          <w:szCs w:val="20"/>
          <w:lang w:val="x-none" w:eastAsia="x-none"/>
        </w:rPr>
      </w:pPr>
      <w:r w:rsidRPr="00264FFA">
        <w:rPr>
          <w:rFonts w:ascii="Times New Roman" w:hAnsi="Times New Roman"/>
          <w:b/>
          <w:bCs/>
          <w:i/>
          <w:iCs/>
          <w:color w:val="000000"/>
          <w:sz w:val="20"/>
          <w:szCs w:val="20"/>
          <w:lang w:val="x-none" w:eastAsia="x-none"/>
        </w:rPr>
        <w:t xml:space="preserve">Our performance is linked to the stability of policies and the political situation in India. </w:t>
      </w:r>
    </w:p>
    <w:p w14:paraId="4257E29F" w14:textId="77777777" w:rsidR="00D55EC1" w:rsidRPr="00264FFA" w:rsidRDefault="00D55EC1" w:rsidP="00D55EC1">
      <w:pPr>
        <w:widowControl w:val="0"/>
        <w:tabs>
          <w:tab w:val="left" w:pos="360"/>
        </w:tabs>
        <w:adjustRightInd w:val="0"/>
        <w:spacing w:after="0" w:line="240" w:lineRule="auto"/>
        <w:jc w:val="both"/>
        <w:textAlignment w:val="baseline"/>
        <w:rPr>
          <w:rFonts w:ascii="Times New Roman" w:hAnsi="Times New Roman"/>
          <w:sz w:val="20"/>
          <w:szCs w:val="20"/>
        </w:rPr>
      </w:pPr>
    </w:p>
    <w:p w14:paraId="409DD670" w14:textId="77777777" w:rsidR="00D55EC1" w:rsidRPr="00264FFA" w:rsidRDefault="00D55EC1" w:rsidP="00D55EC1">
      <w:pPr>
        <w:widowControl w:val="0"/>
        <w:autoSpaceDE w:val="0"/>
        <w:autoSpaceDN w:val="0"/>
        <w:adjustRightInd w:val="0"/>
        <w:spacing w:after="0" w:line="240" w:lineRule="auto"/>
        <w:jc w:val="both"/>
        <w:textAlignment w:val="baseline"/>
        <w:rPr>
          <w:rFonts w:ascii="Times New Roman" w:hAnsi="Times New Roman"/>
          <w:sz w:val="20"/>
          <w:szCs w:val="20"/>
        </w:rPr>
      </w:pPr>
      <w:r w:rsidRPr="00264FFA">
        <w:rPr>
          <w:rFonts w:ascii="Times New Roman" w:hAnsi="Times New Roman"/>
          <w:sz w:val="20"/>
          <w:szCs w:val="20"/>
        </w:rPr>
        <w:t>The Government of India has traditionally exercised, and continues to exercise, a significant influence over many aspects of the economy. Our business, and the market price and liquidity of our Equity Shares, may be affected by interest rates, changes in government policy, taxation, social and civil unrest and other political, economic or other developments in or affecting India. Any political instability in India may adversely affect the Indian securities markets in general, which could also adversely affect the trading price of our Equity Shares. Any political instability could delay the reform of the Indian economy and could have a material adverse affect on the market for our Equity Shares. There can be no assurance to the investors that these liberalization policies will continue under the newly elected government. Protests against privatization could slow down the pace of liberalization and deregulation. The rate of economic liberalization could change, and specific laws and policies affecting companies in the industrial equipment manufacturing sectors, foreign investment, currency exchange rates and other matters affecting investment in our securities could change as well. A significant change in India’s economic liberalization and deregulation policies could disrupt business and economic conditions in India and thereby affect our business.</w:t>
      </w:r>
    </w:p>
    <w:p w14:paraId="02385704" w14:textId="77777777" w:rsidR="00D55EC1" w:rsidRPr="00264FFA" w:rsidRDefault="00D55EC1" w:rsidP="00D55EC1">
      <w:pPr>
        <w:spacing w:after="0" w:line="240" w:lineRule="auto"/>
        <w:rPr>
          <w:rFonts w:ascii="Times New Roman" w:hAnsi="Times New Roman"/>
          <w:sz w:val="20"/>
          <w:szCs w:val="20"/>
        </w:rPr>
      </w:pPr>
    </w:p>
    <w:p w14:paraId="466EDD24" w14:textId="77777777" w:rsidR="00D55EC1" w:rsidRPr="00264FFA" w:rsidRDefault="00D55EC1" w:rsidP="00F038BD">
      <w:pPr>
        <w:numPr>
          <w:ilvl w:val="0"/>
          <w:numId w:val="150"/>
        </w:numPr>
        <w:suppressAutoHyphens/>
        <w:autoSpaceDE w:val="0"/>
        <w:autoSpaceDN w:val="0"/>
        <w:adjustRightInd w:val="0"/>
        <w:spacing w:after="0" w:line="240" w:lineRule="auto"/>
        <w:contextualSpacing/>
        <w:jc w:val="both"/>
        <w:textAlignment w:val="center"/>
        <w:rPr>
          <w:rFonts w:ascii="Times New Roman" w:hAnsi="Times New Roman"/>
          <w:b/>
          <w:bCs/>
          <w:i/>
          <w:iCs/>
          <w:color w:val="000000"/>
          <w:sz w:val="20"/>
          <w:szCs w:val="20"/>
          <w:lang w:val="x-none" w:eastAsia="x-none"/>
        </w:rPr>
      </w:pPr>
      <w:r w:rsidRPr="00264FFA">
        <w:rPr>
          <w:rFonts w:ascii="Times New Roman" w:hAnsi="Times New Roman"/>
          <w:b/>
          <w:bCs/>
          <w:i/>
          <w:iCs/>
          <w:color w:val="000000"/>
          <w:sz w:val="20"/>
          <w:szCs w:val="20"/>
          <w:lang w:val="x-none" w:eastAsia="x-none"/>
        </w:rPr>
        <w:t xml:space="preserve">We may require further equity issuance, which will lead to dilution of equity and may affect the market price of our Equity Shares or additional funds through incurring debt to satisfy our capital needs, which we may not be able to procure and any future equity offerings by us. </w:t>
      </w:r>
    </w:p>
    <w:p w14:paraId="262679C3" w14:textId="77777777" w:rsidR="00D55EC1" w:rsidRPr="00264FFA" w:rsidRDefault="00D55EC1" w:rsidP="00D55EC1">
      <w:pPr>
        <w:widowControl w:val="0"/>
        <w:tabs>
          <w:tab w:val="left" w:pos="0"/>
        </w:tabs>
        <w:autoSpaceDE w:val="0"/>
        <w:autoSpaceDN w:val="0"/>
        <w:adjustRightInd w:val="0"/>
        <w:spacing w:after="0" w:line="240" w:lineRule="auto"/>
        <w:jc w:val="both"/>
        <w:textAlignment w:val="baseline"/>
        <w:rPr>
          <w:rFonts w:ascii="Times New Roman" w:hAnsi="Times New Roman"/>
          <w:sz w:val="20"/>
          <w:szCs w:val="20"/>
        </w:rPr>
      </w:pPr>
    </w:p>
    <w:p w14:paraId="2D19E37D" w14:textId="77777777" w:rsidR="00D55EC1" w:rsidRPr="00264FFA" w:rsidRDefault="00D55EC1" w:rsidP="00D55EC1">
      <w:pPr>
        <w:widowControl w:val="0"/>
        <w:tabs>
          <w:tab w:val="left" w:pos="0"/>
        </w:tabs>
        <w:autoSpaceDE w:val="0"/>
        <w:autoSpaceDN w:val="0"/>
        <w:adjustRightInd w:val="0"/>
        <w:spacing w:after="0" w:line="240" w:lineRule="auto"/>
        <w:jc w:val="both"/>
        <w:textAlignment w:val="baseline"/>
        <w:rPr>
          <w:rFonts w:ascii="Times New Roman" w:hAnsi="Times New Roman"/>
          <w:bCs/>
          <w:iCs/>
          <w:sz w:val="20"/>
          <w:szCs w:val="20"/>
        </w:rPr>
      </w:pPr>
      <w:r w:rsidRPr="00264FFA">
        <w:rPr>
          <w:rFonts w:ascii="Times New Roman" w:hAnsi="Times New Roman"/>
          <w:bCs/>
          <w:iCs/>
          <w:sz w:val="20"/>
          <w:szCs w:val="20"/>
        </w:rPr>
        <w:t xml:space="preserve">Our growth is dependent on having a strong balance sheet to support our activities. In addition to the IPO Proceeds and our internally generated cash flow, we may need other sources of financing to meet our capital needs which may include entering into new debt facilities with lending institutions or raising additional equity in the capital markets. We may need to raise additional capital from time to time, dependent on business conditions. The factors that would require us to raise additional capital could be business growth beyond what the current balance sheet can sustain; additional capital requirements imposed due to changes in regulatory regime or significant depletion in our existing capital base due to unusual operating losses. Any fresh issue of shares or convertible securities would dilute existing holders, and such issuance may not be done at terms and conditions, which are favourable to the then existing shareholders of our Company. If our Company decides to raise additional funds through the incurrence of debt, our interest obligations will increase, and we may be subject to additional covenants, which could further limit our ability to access cash flows from our operations. Such financings could cause our debt to equity ratio to increase or require us to create charges or liens on our assets in favour of lenders. We cannot assure you that we will be able to secure adequate financing in the future on acceptable terms, in time, or at all. Our failure to obtain sufficient financing could result in the delay or abandonment of our expansion plans. Our business and future results of operations may be affected if we are unable to implement our expansion strategy. </w:t>
      </w:r>
    </w:p>
    <w:p w14:paraId="55390E59" w14:textId="77777777" w:rsidR="00D55EC1" w:rsidRPr="00264FFA" w:rsidRDefault="00D55EC1" w:rsidP="00D55EC1">
      <w:pPr>
        <w:widowControl w:val="0"/>
        <w:tabs>
          <w:tab w:val="left" w:pos="0"/>
        </w:tabs>
        <w:autoSpaceDE w:val="0"/>
        <w:autoSpaceDN w:val="0"/>
        <w:adjustRightInd w:val="0"/>
        <w:spacing w:after="0" w:line="240" w:lineRule="auto"/>
        <w:jc w:val="both"/>
        <w:textAlignment w:val="baseline"/>
        <w:rPr>
          <w:rFonts w:ascii="Times New Roman" w:hAnsi="Times New Roman"/>
          <w:bCs/>
          <w:iCs/>
          <w:sz w:val="20"/>
          <w:szCs w:val="20"/>
        </w:rPr>
      </w:pPr>
    </w:p>
    <w:p w14:paraId="08E8414E" w14:textId="77777777" w:rsidR="00D55EC1" w:rsidRPr="00264FFA" w:rsidRDefault="00D55EC1" w:rsidP="00D55EC1">
      <w:pPr>
        <w:widowControl w:val="0"/>
        <w:tabs>
          <w:tab w:val="left" w:pos="0"/>
        </w:tabs>
        <w:autoSpaceDE w:val="0"/>
        <w:autoSpaceDN w:val="0"/>
        <w:adjustRightInd w:val="0"/>
        <w:spacing w:after="0" w:line="240" w:lineRule="auto"/>
        <w:jc w:val="both"/>
        <w:textAlignment w:val="baseline"/>
        <w:rPr>
          <w:rFonts w:ascii="Times New Roman" w:hAnsi="Times New Roman"/>
          <w:bCs/>
          <w:iCs/>
          <w:sz w:val="20"/>
          <w:szCs w:val="20"/>
        </w:rPr>
      </w:pPr>
      <w:r w:rsidRPr="00264FFA">
        <w:rPr>
          <w:rFonts w:ascii="Times New Roman" w:hAnsi="Times New Roman"/>
          <w:bCs/>
          <w:iCs/>
          <w:sz w:val="20"/>
          <w:szCs w:val="20"/>
        </w:rPr>
        <w:t>Any future issuance of Equity Shares by our Company may dilute shareholding of investors in our Company; and hence affect the trading price of our Company‘s Equity Shares and its ability to raise capital through an Offer of its securities. In addition, any perception by investors that such issuances or sales might occur could also affect the trading price of our Company’s Equity Shares. Additionally the disposal, pledge or encumbrance of Equity Shares by any of our Company‘s major shareholders, or the perception that such transactions may occur may affect the trading price of the Equity Shares. No assurance may be given that our Company will not issue Equity Shares or that such shareholders will not dispose of, pledge or encumber their Equity Shares in the future.</w:t>
      </w:r>
    </w:p>
    <w:p w14:paraId="511E0010" w14:textId="77777777" w:rsidR="00D55EC1" w:rsidRPr="00264FFA" w:rsidRDefault="00D55EC1" w:rsidP="00D55EC1">
      <w:pPr>
        <w:widowControl w:val="0"/>
        <w:tabs>
          <w:tab w:val="left" w:pos="0"/>
        </w:tabs>
        <w:autoSpaceDE w:val="0"/>
        <w:autoSpaceDN w:val="0"/>
        <w:adjustRightInd w:val="0"/>
        <w:spacing w:after="0" w:line="240" w:lineRule="auto"/>
        <w:jc w:val="both"/>
        <w:textAlignment w:val="baseline"/>
        <w:rPr>
          <w:rFonts w:ascii="Times New Roman" w:hAnsi="Times New Roman"/>
          <w:bCs/>
          <w:iCs/>
          <w:sz w:val="20"/>
          <w:szCs w:val="20"/>
        </w:rPr>
      </w:pPr>
    </w:p>
    <w:p w14:paraId="06F53E88" w14:textId="77777777" w:rsidR="00D55EC1" w:rsidRPr="00264FFA" w:rsidRDefault="00D55EC1" w:rsidP="00F038BD">
      <w:pPr>
        <w:numPr>
          <w:ilvl w:val="0"/>
          <w:numId w:val="150"/>
        </w:numPr>
        <w:suppressAutoHyphens/>
        <w:autoSpaceDE w:val="0"/>
        <w:autoSpaceDN w:val="0"/>
        <w:adjustRightInd w:val="0"/>
        <w:spacing w:after="0" w:line="240" w:lineRule="auto"/>
        <w:contextualSpacing/>
        <w:jc w:val="both"/>
        <w:textAlignment w:val="center"/>
        <w:rPr>
          <w:rFonts w:ascii="Times New Roman" w:hAnsi="Times New Roman"/>
          <w:b/>
          <w:bCs/>
          <w:i/>
          <w:iCs/>
          <w:color w:val="000000"/>
          <w:sz w:val="20"/>
          <w:szCs w:val="20"/>
          <w:lang w:val="x-none" w:eastAsia="x-none"/>
        </w:rPr>
      </w:pPr>
      <w:r w:rsidRPr="00264FFA">
        <w:rPr>
          <w:rFonts w:ascii="Times New Roman" w:hAnsi="Times New Roman"/>
          <w:b/>
          <w:bCs/>
          <w:i/>
          <w:iCs/>
          <w:color w:val="000000"/>
          <w:sz w:val="20"/>
          <w:szCs w:val="20"/>
          <w:lang w:val="x-none" w:eastAsia="x-none"/>
        </w:rPr>
        <w:t>The Offer price of our Equity Shares may not be indicative of the market price of our Equity Shares after the Offer and the market price of our Equity Shares may decline below the Offer price and you may not be able to sell your Equity Shares at or above the Offer Price.</w:t>
      </w:r>
    </w:p>
    <w:p w14:paraId="096C9D49" w14:textId="77777777" w:rsidR="00D55EC1" w:rsidRPr="00264FFA" w:rsidRDefault="00D55EC1" w:rsidP="00D55EC1">
      <w:pPr>
        <w:widowControl w:val="0"/>
        <w:adjustRightInd w:val="0"/>
        <w:spacing w:after="0" w:line="240" w:lineRule="auto"/>
        <w:ind w:left="360"/>
        <w:contextualSpacing/>
        <w:jc w:val="both"/>
        <w:textAlignment w:val="baseline"/>
        <w:rPr>
          <w:rFonts w:ascii="Times New Roman" w:hAnsi="Times New Roman"/>
          <w:b/>
          <w:bCs/>
          <w:i/>
          <w:iCs/>
          <w:sz w:val="20"/>
          <w:szCs w:val="20"/>
        </w:rPr>
      </w:pPr>
    </w:p>
    <w:p w14:paraId="26DA9DA3" w14:textId="77777777" w:rsidR="00D55EC1" w:rsidRPr="00264FFA" w:rsidRDefault="00D55EC1" w:rsidP="00D55EC1">
      <w:pPr>
        <w:widowControl w:val="0"/>
        <w:tabs>
          <w:tab w:val="left" w:pos="0"/>
        </w:tabs>
        <w:autoSpaceDE w:val="0"/>
        <w:autoSpaceDN w:val="0"/>
        <w:adjustRightInd w:val="0"/>
        <w:spacing w:after="0" w:line="240" w:lineRule="auto"/>
        <w:jc w:val="both"/>
        <w:textAlignment w:val="baseline"/>
        <w:rPr>
          <w:rFonts w:ascii="Times New Roman" w:hAnsi="Times New Roman"/>
          <w:sz w:val="20"/>
          <w:szCs w:val="20"/>
        </w:rPr>
      </w:pPr>
      <w:r w:rsidRPr="00264FFA">
        <w:rPr>
          <w:rFonts w:ascii="Times New Roman" w:hAnsi="Times New Roman"/>
          <w:sz w:val="20"/>
          <w:szCs w:val="20"/>
        </w:rPr>
        <w:t xml:space="preserve">The Offer price of the equity shares have been based on many factor and may not be indicative of the market price of our Equity Shares after the Offer. For further information please refer the section titled </w:t>
      </w:r>
      <w:r w:rsidRPr="00264FFA">
        <w:rPr>
          <w:rFonts w:ascii="Times New Roman" w:hAnsi="Times New Roman"/>
          <w:b/>
          <w:i/>
          <w:sz w:val="20"/>
          <w:szCs w:val="20"/>
        </w:rPr>
        <w:t>“Basis for Offer Price”</w:t>
      </w:r>
      <w:r w:rsidRPr="00264FFA">
        <w:rPr>
          <w:rFonts w:ascii="Times New Roman" w:hAnsi="Times New Roman"/>
          <w:sz w:val="20"/>
          <w:szCs w:val="20"/>
        </w:rPr>
        <w:t xml:space="preserve"> beginning on page </w:t>
      </w:r>
      <w:r w:rsidRPr="00264FFA">
        <w:rPr>
          <w:rFonts w:ascii="Times New Roman" w:hAnsi="Times New Roman"/>
          <w:i/>
          <w:iCs/>
          <w:sz w:val="20"/>
          <w:szCs w:val="20"/>
        </w:rPr>
        <w:fldChar w:fldCharType="begin"/>
      </w:r>
      <w:r w:rsidRPr="00264FFA">
        <w:rPr>
          <w:rFonts w:ascii="Times New Roman" w:hAnsi="Times New Roman"/>
          <w:i/>
          <w:iCs/>
          <w:sz w:val="20"/>
          <w:szCs w:val="20"/>
        </w:rPr>
        <w:instrText xml:space="preserve"> PAGEREF  BASISFOR  \* MERGEFORMAT </w:instrText>
      </w:r>
      <w:r w:rsidRPr="00264FFA">
        <w:rPr>
          <w:rFonts w:ascii="Times New Roman" w:hAnsi="Times New Roman"/>
          <w:i/>
          <w:iCs/>
          <w:sz w:val="20"/>
          <w:szCs w:val="20"/>
        </w:rPr>
        <w:fldChar w:fldCharType="separate"/>
      </w:r>
      <w:r w:rsidRPr="00264FFA">
        <w:rPr>
          <w:rFonts w:ascii="Times New Roman" w:hAnsi="Times New Roman"/>
          <w:i/>
          <w:iCs/>
          <w:noProof/>
          <w:sz w:val="20"/>
          <w:szCs w:val="20"/>
        </w:rPr>
        <w:t>69</w:t>
      </w:r>
      <w:r w:rsidRPr="00264FFA">
        <w:rPr>
          <w:rFonts w:ascii="Times New Roman" w:hAnsi="Times New Roman"/>
          <w:i/>
          <w:iCs/>
          <w:sz w:val="20"/>
          <w:szCs w:val="20"/>
        </w:rPr>
        <w:fldChar w:fldCharType="end"/>
      </w:r>
      <w:r w:rsidRPr="00264FFA">
        <w:rPr>
          <w:rFonts w:ascii="Times New Roman" w:hAnsi="Times New Roman"/>
          <w:sz w:val="20"/>
          <w:szCs w:val="20"/>
        </w:rPr>
        <w:t xml:space="preserve"> of the Draft Red Herring Prospectus. The market price of our Equity Shares could be subject to significant fluctuations after the Offer, and may decline below the Offer Price. We cannot assure you that you will be able to sell your Equity Shares at or above the Offer Price. </w:t>
      </w:r>
    </w:p>
    <w:p w14:paraId="2BDE3ED2" w14:textId="77777777" w:rsidR="00D55EC1" w:rsidRPr="00264FFA" w:rsidRDefault="00D55EC1" w:rsidP="00D55EC1">
      <w:pPr>
        <w:spacing w:after="0" w:line="240" w:lineRule="auto"/>
        <w:rPr>
          <w:rFonts w:ascii="Times New Roman" w:hAnsi="Times New Roman"/>
          <w:sz w:val="20"/>
          <w:szCs w:val="20"/>
        </w:rPr>
      </w:pPr>
    </w:p>
    <w:p w14:paraId="081CD882" w14:textId="77777777" w:rsidR="00D55EC1" w:rsidRPr="00264FFA" w:rsidRDefault="00D55EC1" w:rsidP="00F038BD">
      <w:pPr>
        <w:numPr>
          <w:ilvl w:val="0"/>
          <w:numId w:val="150"/>
        </w:numPr>
        <w:suppressAutoHyphens/>
        <w:autoSpaceDE w:val="0"/>
        <w:autoSpaceDN w:val="0"/>
        <w:adjustRightInd w:val="0"/>
        <w:spacing w:after="0" w:line="240" w:lineRule="auto"/>
        <w:contextualSpacing/>
        <w:jc w:val="both"/>
        <w:textAlignment w:val="center"/>
        <w:rPr>
          <w:rFonts w:ascii="Times New Roman" w:hAnsi="Times New Roman"/>
          <w:b/>
          <w:bCs/>
          <w:i/>
          <w:iCs/>
          <w:color w:val="000000"/>
          <w:sz w:val="20"/>
          <w:szCs w:val="20"/>
          <w:lang w:val="x-none" w:eastAsia="x-none"/>
        </w:rPr>
      </w:pPr>
      <w:r w:rsidRPr="00264FFA">
        <w:rPr>
          <w:rFonts w:ascii="Times New Roman" w:hAnsi="Times New Roman"/>
          <w:b/>
          <w:bCs/>
          <w:i/>
          <w:iCs/>
          <w:color w:val="000000"/>
          <w:sz w:val="20"/>
          <w:szCs w:val="20"/>
          <w:lang w:val="x-none" w:eastAsia="x-none"/>
        </w:rPr>
        <w:t>Investors other than retail (including non-institutional investors and Corporate Bodies) are not permitted to withdraw or</w:t>
      </w:r>
      <w:r w:rsidRPr="00264FFA">
        <w:rPr>
          <w:rFonts w:ascii="Times New Roman" w:hAnsi="Times New Roman"/>
          <w:b/>
          <w:bCs/>
          <w:i/>
          <w:iCs/>
          <w:color w:val="000000"/>
          <w:sz w:val="20"/>
          <w:szCs w:val="20"/>
          <w:lang w:val="en-IN" w:eastAsia="x-none"/>
        </w:rPr>
        <w:t xml:space="preserve"> </w:t>
      </w:r>
      <w:r w:rsidRPr="00264FFA">
        <w:rPr>
          <w:rFonts w:ascii="Times New Roman" w:hAnsi="Times New Roman"/>
          <w:b/>
          <w:bCs/>
          <w:i/>
          <w:iCs/>
          <w:color w:val="000000"/>
          <w:sz w:val="20"/>
          <w:szCs w:val="20"/>
          <w:lang w:val="x-none" w:eastAsia="x-none"/>
        </w:rPr>
        <w:t>lower their Bids (in terms of quantity of Equity Shares or the Amount) at any stage after submitting an Application.</w:t>
      </w:r>
    </w:p>
    <w:p w14:paraId="55AA9B03" w14:textId="77777777" w:rsidR="00D55EC1" w:rsidRPr="00264FFA" w:rsidRDefault="00D55EC1" w:rsidP="00D55EC1">
      <w:pPr>
        <w:spacing w:after="0" w:line="240" w:lineRule="auto"/>
        <w:rPr>
          <w:rFonts w:ascii="Times New Roman" w:hAnsi="Times New Roman"/>
          <w:sz w:val="20"/>
          <w:szCs w:val="20"/>
        </w:rPr>
      </w:pPr>
    </w:p>
    <w:p w14:paraId="3E82D2D1" w14:textId="7F38BE9B" w:rsidR="00940A99" w:rsidRDefault="00D55EC1" w:rsidP="00D55EC1">
      <w:pPr>
        <w:spacing w:after="160" w:line="259" w:lineRule="auto"/>
        <w:jc w:val="both"/>
        <w:rPr>
          <w:rFonts w:ascii="Times New Roman" w:hAnsi="Times New Roman"/>
          <w:b/>
          <w:bCs/>
          <w:sz w:val="20"/>
          <w:szCs w:val="20"/>
        </w:rPr>
      </w:pPr>
      <w:r w:rsidRPr="00264FFA">
        <w:rPr>
          <w:rFonts w:ascii="Times New Roman" w:hAnsi="Times New Roman"/>
          <w:sz w:val="20"/>
          <w:szCs w:val="20"/>
        </w:rPr>
        <w:t xml:space="preserve">Pursuant to the SEBI ICDR Regulations, Investors other than retail (including non-institutional investors and Corporate Bodies) are not permitted to withdraw or lower their Application (in terms of quantity of Equity Shares or the Amount) at any stage after submitting an Application. While our Company is required to complete Allotment pursuant to the Offer within six Working Days from the Bid/ Offer Closing Date, events affecting the Applicants decision to invest in the Equity Shares, including material adverse changes in international or national monetary policy, financial, political or economic conditions, our business, results of operation or financial condition, may arise between the date of submission of the Application and Allotment. Our Company may complete the Allotment of the Equity Shares even if such events occur, and such events limit the applicant’s ability to sell the Equity Shares Allotted pursuant to the Offer or cause the trading price of the Equity Shares to decline on </w:t>
      </w:r>
      <w:r>
        <w:rPr>
          <w:rFonts w:ascii="Times New Roman" w:hAnsi="Times New Roman"/>
          <w:sz w:val="20"/>
          <w:szCs w:val="20"/>
        </w:rPr>
        <w:t>listing.</w:t>
      </w:r>
      <w:r w:rsidR="00940A99">
        <w:rPr>
          <w:rFonts w:ascii="Times New Roman" w:hAnsi="Times New Roman"/>
          <w:b/>
          <w:bCs/>
          <w:sz w:val="20"/>
          <w:szCs w:val="20"/>
        </w:rPr>
        <w:br w:type="page"/>
      </w:r>
    </w:p>
    <w:p w14:paraId="16522184" w14:textId="77777777" w:rsidR="00940A99" w:rsidRPr="00940A99" w:rsidRDefault="00940A99" w:rsidP="00940A99">
      <w:pPr>
        <w:spacing w:after="0" w:line="240" w:lineRule="auto"/>
        <w:jc w:val="center"/>
        <w:rPr>
          <w:rFonts w:ascii="Times New Roman" w:hAnsi="Times New Roman"/>
          <w:b/>
          <w:bCs/>
          <w:sz w:val="20"/>
          <w:szCs w:val="20"/>
          <w:u w:val="single"/>
        </w:rPr>
      </w:pPr>
      <w:r w:rsidRPr="00940A99">
        <w:rPr>
          <w:rFonts w:ascii="Times New Roman" w:hAnsi="Times New Roman"/>
          <w:b/>
          <w:bCs/>
          <w:sz w:val="20"/>
          <w:szCs w:val="20"/>
          <w:u w:val="single"/>
        </w:rPr>
        <w:lastRenderedPageBreak/>
        <w:t>SECTION IV – INTRODUCTION</w:t>
      </w:r>
    </w:p>
    <w:p w14:paraId="75AA7425" w14:textId="77777777" w:rsidR="00940A99" w:rsidRPr="00940A99" w:rsidRDefault="00940A99" w:rsidP="00940A99">
      <w:pPr>
        <w:spacing w:after="0" w:line="240" w:lineRule="auto"/>
        <w:jc w:val="center"/>
        <w:rPr>
          <w:rFonts w:ascii="Times New Roman" w:hAnsi="Times New Roman"/>
          <w:b/>
          <w:bCs/>
          <w:sz w:val="20"/>
          <w:szCs w:val="20"/>
          <w:u w:val="single"/>
        </w:rPr>
      </w:pPr>
    </w:p>
    <w:p w14:paraId="304DE941" w14:textId="67DC792D" w:rsidR="00940A99" w:rsidRPr="00940A99" w:rsidRDefault="00940A99" w:rsidP="00940A99">
      <w:pPr>
        <w:spacing w:after="0" w:line="240" w:lineRule="auto"/>
        <w:jc w:val="center"/>
        <w:rPr>
          <w:rFonts w:ascii="Times New Roman" w:hAnsi="Times New Roman"/>
          <w:b/>
          <w:bCs/>
          <w:sz w:val="20"/>
          <w:szCs w:val="20"/>
          <w:u w:val="single"/>
        </w:rPr>
      </w:pPr>
      <w:r w:rsidRPr="00940A99">
        <w:rPr>
          <w:rFonts w:ascii="Times New Roman" w:hAnsi="Times New Roman"/>
          <w:b/>
          <w:bCs/>
          <w:sz w:val="20"/>
          <w:szCs w:val="20"/>
          <w:u w:val="single"/>
        </w:rPr>
        <w:t>THE ISSUE</w:t>
      </w:r>
    </w:p>
    <w:p w14:paraId="4D960E7E" w14:textId="77777777" w:rsidR="00940A99" w:rsidRDefault="00940A99" w:rsidP="00940A99">
      <w:pPr>
        <w:spacing w:after="0" w:line="240" w:lineRule="auto"/>
        <w:jc w:val="center"/>
        <w:rPr>
          <w:rFonts w:ascii="Times New Roman" w:hAnsi="Times New Roman"/>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CellMar>
          <w:top w:w="14" w:type="dxa"/>
          <w:left w:w="115" w:type="dxa"/>
          <w:bottom w:w="14" w:type="dxa"/>
          <w:right w:w="115" w:type="dxa"/>
        </w:tblCellMar>
        <w:tblLook w:val="04A0" w:firstRow="1" w:lastRow="0" w:firstColumn="1" w:lastColumn="0" w:noHBand="0" w:noVBand="1"/>
      </w:tblPr>
      <w:tblGrid>
        <w:gridCol w:w="4390"/>
        <w:gridCol w:w="6067"/>
      </w:tblGrid>
      <w:tr w:rsidR="00940A99" w:rsidRPr="00712F3C" w14:paraId="42306DE6" w14:textId="77777777" w:rsidTr="00250DAC">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04996F1" w14:textId="77777777" w:rsidR="00940A99" w:rsidRPr="00712F3C" w:rsidRDefault="00940A99" w:rsidP="00250DAC">
            <w:pPr>
              <w:suppressAutoHyphens/>
              <w:autoSpaceDE w:val="0"/>
              <w:autoSpaceDN w:val="0"/>
              <w:adjustRightInd w:val="0"/>
              <w:spacing w:after="0" w:line="240" w:lineRule="auto"/>
              <w:contextualSpacing/>
              <w:jc w:val="both"/>
              <w:textAlignment w:val="center"/>
              <w:rPr>
                <w:rFonts w:ascii="Times New Roman" w:hAnsi="Times New Roman"/>
                <w:b/>
                <w:color w:val="000000"/>
                <w:sz w:val="20"/>
                <w:szCs w:val="20"/>
                <w:lang w:eastAsia="en-IN"/>
              </w:rPr>
            </w:pPr>
            <w:r w:rsidRPr="00712F3C">
              <w:rPr>
                <w:rFonts w:ascii="Times New Roman" w:hAnsi="Times New Roman"/>
                <w:b/>
                <w:color w:val="000000"/>
                <w:sz w:val="20"/>
                <w:szCs w:val="20"/>
                <w:lang w:eastAsia="en-IN"/>
              </w:rPr>
              <w:t>PRESENT ISSUE IN TERMS OF THIS DRAFT RED HERRING PROSPECTUS</w:t>
            </w:r>
          </w:p>
        </w:tc>
      </w:tr>
      <w:tr w:rsidR="00940A99" w:rsidRPr="00712F3C" w14:paraId="24725247" w14:textId="77777777" w:rsidTr="00250DAC">
        <w:trPr>
          <w:trHeight w:val="20"/>
        </w:trPr>
        <w:tc>
          <w:tcPr>
            <w:tcW w:w="2099" w:type="pct"/>
            <w:tcBorders>
              <w:top w:val="single" w:sz="4" w:space="0" w:color="auto"/>
              <w:left w:val="single" w:sz="4" w:space="0" w:color="auto"/>
              <w:bottom w:val="single" w:sz="4" w:space="0" w:color="auto"/>
              <w:right w:val="single" w:sz="4" w:space="0" w:color="auto"/>
            </w:tcBorders>
            <w:shd w:val="clear" w:color="auto" w:fill="auto"/>
            <w:hideMark/>
          </w:tcPr>
          <w:p w14:paraId="56F4DBEE" w14:textId="77777777" w:rsidR="00940A99" w:rsidRPr="00712F3C" w:rsidRDefault="00940A99" w:rsidP="00250DAC">
            <w:pPr>
              <w:suppressAutoHyphens/>
              <w:autoSpaceDE w:val="0"/>
              <w:autoSpaceDN w:val="0"/>
              <w:adjustRightInd w:val="0"/>
              <w:spacing w:after="0" w:line="240" w:lineRule="auto"/>
              <w:contextualSpacing/>
              <w:jc w:val="both"/>
              <w:textAlignment w:val="center"/>
              <w:rPr>
                <w:rFonts w:ascii="Times New Roman" w:hAnsi="Times New Roman"/>
                <w:b/>
                <w:color w:val="000000"/>
                <w:sz w:val="20"/>
                <w:szCs w:val="20"/>
                <w:vertAlign w:val="superscript"/>
              </w:rPr>
            </w:pPr>
            <w:r w:rsidRPr="00712F3C">
              <w:rPr>
                <w:rFonts w:ascii="Times New Roman" w:hAnsi="Times New Roman"/>
                <w:b/>
                <w:color w:val="000000"/>
                <w:sz w:val="20"/>
                <w:szCs w:val="20"/>
              </w:rPr>
              <w:t>Equity Shares Offered through Public Issue</w:t>
            </w:r>
            <w:r w:rsidRPr="00712F3C">
              <w:rPr>
                <w:rFonts w:ascii="Times New Roman" w:hAnsi="Times New Roman"/>
                <w:color w:val="000000"/>
                <w:sz w:val="20"/>
                <w:szCs w:val="20"/>
                <w:vertAlign w:val="superscript"/>
              </w:rPr>
              <w:t>(1) (2)</w:t>
            </w:r>
          </w:p>
        </w:tc>
        <w:tc>
          <w:tcPr>
            <w:tcW w:w="29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A62F54" w14:textId="0C6EEC5D" w:rsidR="00940A99" w:rsidRPr="00712F3C" w:rsidRDefault="00940A99" w:rsidP="00250DAC">
            <w:pPr>
              <w:suppressAutoHyphens/>
              <w:autoSpaceDE w:val="0"/>
              <w:autoSpaceDN w:val="0"/>
              <w:adjustRightInd w:val="0"/>
              <w:spacing w:after="0" w:line="240" w:lineRule="auto"/>
              <w:contextualSpacing/>
              <w:jc w:val="both"/>
              <w:textAlignment w:val="center"/>
              <w:rPr>
                <w:rFonts w:ascii="Times New Roman" w:hAnsi="Times New Roman"/>
                <w:color w:val="000000"/>
                <w:sz w:val="20"/>
                <w:szCs w:val="20"/>
              </w:rPr>
            </w:pPr>
            <w:r w:rsidRPr="00712F3C">
              <w:rPr>
                <w:rFonts w:ascii="Times New Roman" w:hAnsi="Times New Roman"/>
                <w:color w:val="000000"/>
                <w:sz w:val="20"/>
                <w:szCs w:val="20"/>
              </w:rPr>
              <w:t xml:space="preserve">Issue of upto </w:t>
            </w:r>
            <w:r>
              <w:rPr>
                <w:rFonts w:ascii="Times New Roman" w:hAnsi="Times New Roman"/>
                <w:color w:val="000000"/>
                <w:sz w:val="20"/>
                <w:szCs w:val="20"/>
              </w:rPr>
              <w:t>49,92</w:t>
            </w:r>
            <w:r w:rsidRPr="00712F3C">
              <w:rPr>
                <w:rFonts w:ascii="Times New Roman" w:hAnsi="Times New Roman"/>
                <w:color w:val="000000"/>
                <w:sz w:val="20"/>
                <w:szCs w:val="20"/>
              </w:rPr>
              <w:t xml:space="preserve">,000 Equity Shares of face value of </w:t>
            </w:r>
            <w:r w:rsidRPr="00712F3C">
              <w:rPr>
                <w:rFonts w:ascii="Times New Roman" w:eastAsia="Calibri" w:hAnsi="Times New Roman"/>
                <w:color w:val="000000"/>
                <w:sz w:val="20"/>
                <w:szCs w:val="20"/>
              </w:rPr>
              <w:t>₹</w:t>
            </w:r>
            <w:r w:rsidRPr="00712F3C">
              <w:rPr>
                <w:rFonts w:ascii="Times New Roman" w:hAnsi="Times New Roman"/>
                <w:color w:val="000000"/>
                <w:sz w:val="20"/>
                <w:szCs w:val="20"/>
              </w:rPr>
              <w:t xml:space="preserve"> 10 each fully paid-up of our Company for cash at a price of </w:t>
            </w:r>
            <w:r w:rsidRPr="00712F3C">
              <w:rPr>
                <w:rFonts w:ascii="Times New Roman" w:eastAsia="Calibri" w:hAnsi="Times New Roman"/>
                <w:color w:val="000000"/>
                <w:sz w:val="20"/>
                <w:szCs w:val="20"/>
              </w:rPr>
              <w:t>₹</w:t>
            </w:r>
            <w:r w:rsidRPr="00712F3C">
              <w:rPr>
                <w:rFonts w:ascii="Times New Roman" w:hAnsi="Times New Roman"/>
                <w:color w:val="000000"/>
                <w:sz w:val="20"/>
                <w:szCs w:val="20"/>
              </w:rPr>
              <w:t xml:space="preserve"> [●] per Equity Share aggregating to </w:t>
            </w:r>
            <w:r w:rsidRPr="00712F3C">
              <w:rPr>
                <w:rFonts w:ascii="Times New Roman" w:eastAsia="Calibri" w:hAnsi="Times New Roman"/>
                <w:color w:val="000000"/>
                <w:sz w:val="20"/>
                <w:szCs w:val="20"/>
              </w:rPr>
              <w:t>₹</w:t>
            </w:r>
            <w:r w:rsidRPr="00712F3C">
              <w:rPr>
                <w:rFonts w:ascii="Times New Roman" w:hAnsi="Times New Roman"/>
                <w:color w:val="000000"/>
                <w:sz w:val="20"/>
                <w:szCs w:val="20"/>
              </w:rPr>
              <w:t xml:space="preserve"> [●] Lakhs.</w:t>
            </w:r>
          </w:p>
        </w:tc>
      </w:tr>
      <w:tr w:rsidR="00940A99" w:rsidRPr="00712F3C" w14:paraId="2073EFF1" w14:textId="77777777" w:rsidTr="00250DAC">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0CB4070" w14:textId="77777777" w:rsidR="00940A99" w:rsidRPr="00712F3C" w:rsidRDefault="00940A99" w:rsidP="00250DAC">
            <w:pPr>
              <w:suppressAutoHyphens/>
              <w:autoSpaceDE w:val="0"/>
              <w:autoSpaceDN w:val="0"/>
              <w:adjustRightInd w:val="0"/>
              <w:spacing w:after="0" w:line="240" w:lineRule="auto"/>
              <w:contextualSpacing/>
              <w:jc w:val="both"/>
              <w:textAlignment w:val="center"/>
              <w:rPr>
                <w:rFonts w:ascii="Times New Roman" w:hAnsi="Times New Roman"/>
                <w:b/>
                <w:i/>
                <w:color w:val="000000"/>
                <w:sz w:val="20"/>
                <w:szCs w:val="20"/>
                <w:lang w:eastAsia="en-IN"/>
              </w:rPr>
            </w:pPr>
            <w:r w:rsidRPr="00712F3C">
              <w:rPr>
                <w:rFonts w:ascii="Times New Roman" w:hAnsi="Times New Roman"/>
                <w:b/>
                <w:i/>
                <w:color w:val="000000"/>
                <w:sz w:val="20"/>
                <w:szCs w:val="20"/>
              </w:rPr>
              <w:t>Out of which</w:t>
            </w:r>
            <w:r w:rsidRPr="00712F3C">
              <w:rPr>
                <w:rFonts w:ascii="Times New Roman" w:hAnsi="Times New Roman"/>
                <w:b/>
                <w:i/>
                <w:color w:val="000000"/>
                <w:sz w:val="20"/>
                <w:szCs w:val="20"/>
                <w:lang w:eastAsia="en-IN"/>
              </w:rPr>
              <w:t>:</w:t>
            </w:r>
          </w:p>
        </w:tc>
      </w:tr>
      <w:tr w:rsidR="00940A99" w:rsidRPr="00712F3C" w14:paraId="590B3488" w14:textId="77777777" w:rsidTr="00250DAC">
        <w:trPr>
          <w:trHeight w:val="20"/>
        </w:trPr>
        <w:tc>
          <w:tcPr>
            <w:tcW w:w="2099" w:type="pct"/>
            <w:tcBorders>
              <w:top w:val="single" w:sz="4" w:space="0" w:color="auto"/>
              <w:left w:val="single" w:sz="4" w:space="0" w:color="auto"/>
              <w:bottom w:val="single" w:sz="4" w:space="0" w:color="auto"/>
              <w:right w:val="single" w:sz="4" w:space="0" w:color="auto"/>
            </w:tcBorders>
            <w:shd w:val="clear" w:color="auto" w:fill="auto"/>
            <w:hideMark/>
          </w:tcPr>
          <w:p w14:paraId="1AC8AF91" w14:textId="77777777" w:rsidR="00940A99" w:rsidRPr="00712F3C" w:rsidRDefault="00940A99" w:rsidP="00250DAC">
            <w:pPr>
              <w:suppressAutoHyphens/>
              <w:autoSpaceDE w:val="0"/>
              <w:autoSpaceDN w:val="0"/>
              <w:adjustRightInd w:val="0"/>
              <w:spacing w:after="0" w:line="240" w:lineRule="auto"/>
              <w:contextualSpacing/>
              <w:jc w:val="both"/>
              <w:textAlignment w:val="center"/>
              <w:rPr>
                <w:rFonts w:ascii="Times New Roman" w:hAnsi="Times New Roman"/>
                <w:b/>
                <w:color w:val="000000"/>
                <w:sz w:val="20"/>
                <w:szCs w:val="20"/>
              </w:rPr>
            </w:pPr>
            <w:r w:rsidRPr="00712F3C">
              <w:rPr>
                <w:rFonts w:ascii="Times New Roman" w:hAnsi="Times New Roman"/>
                <w:b/>
                <w:color w:val="000000"/>
                <w:sz w:val="20"/>
                <w:szCs w:val="20"/>
              </w:rPr>
              <w:t>Issue Reserved for the Market Makers</w:t>
            </w:r>
          </w:p>
        </w:tc>
        <w:tc>
          <w:tcPr>
            <w:tcW w:w="29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041E4D" w14:textId="77777777" w:rsidR="00940A99" w:rsidRPr="00712F3C" w:rsidRDefault="00940A99" w:rsidP="00250DAC">
            <w:pPr>
              <w:suppressAutoHyphens/>
              <w:autoSpaceDE w:val="0"/>
              <w:autoSpaceDN w:val="0"/>
              <w:adjustRightInd w:val="0"/>
              <w:spacing w:after="0" w:line="240" w:lineRule="auto"/>
              <w:contextualSpacing/>
              <w:jc w:val="both"/>
              <w:textAlignment w:val="center"/>
              <w:rPr>
                <w:rFonts w:ascii="Times New Roman" w:eastAsia="MS Mincho" w:hAnsi="Times New Roman"/>
                <w:color w:val="000000"/>
                <w:sz w:val="20"/>
                <w:szCs w:val="20"/>
                <w:lang w:val="en-GB"/>
              </w:rPr>
            </w:pPr>
            <w:r w:rsidRPr="00712F3C">
              <w:rPr>
                <w:rFonts w:ascii="Times New Roman" w:eastAsia="MS Mincho" w:hAnsi="Times New Roman"/>
                <w:color w:val="000000"/>
                <w:sz w:val="20"/>
                <w:szCs w:val="20"/>
                <w:lang w:val="en-GB"/>
              </w:rPr>
              <w:t xml:space="preserve">[●] Equity Shares of face value of </w:t>
            </w:r>
            <w:r w:rsidRPr="00712F3C">
              <w:rPr>
                <w:rFonts w:ascii="Times New Roman" w:eastAsia="Calibri" w:hAnsi="Times New Roman"/>
                <w:color w:val="000000"/>
                <w:sz w:val="20"/>
                <w:szCs w:val="20"/>
              </w:rPr>
              <w:t xml:space="preserve">₹ </w:t>
            </w:r>
            <w:r w:rsidRPr="00712F3C">
              <w:rPr>
                <w:rFonts w:ascii="Times New Roman" w:eastAsia="MS Mincho" w:hAnsi="Times New Roman"/>
                <w:color w:val="000000"/>
                <w:sz w:val="20"/>
                <w:szCs w:val="20"/>
                <w:lang w:val="en-GB"/>
              </w:rPr>
              <w:t xml:space="preserve">10 each fully paid-up of our Company for cash at a price of </w:t>
            </w:r>
            <w:r w:rsidRPr="00712F3C">
              <w:rPr>
                <w:rFonts w:ascii="Times New Roman" w:eastAsia="Calibri" w:hAnsi="Times New Roman"/>
                <w:color w:val="000000"/>
                <w:sz w:val="20"/>
                <w:szCs w:val="20"/>
              </w:rPr>
              <w:t>₹</w:t>
            </w:r>
            <w:r w:rsidRPr="00712F3C">
              <w:rPr>
                <w:rFonts w:ascii="Times New Roman" w:eastAsia="MS Mincho" w:hAnsi="Times New Roman"/>
                <w:color w:val="000000"/>
                <w:sz w:val="20"/>
                <w:szCs w:val="20"/>
                <w:lang w:val="en-GB"/>
              </w:rPr>
              <w:t xml:space="preserve"> [●] per Equity Share aggregating to </w:t>
            </w:r>
            <w:r w:rsidRPr="00712F3C">
              <w:rPr>
                <w:rFonts w:ascii="Times New Roman" w:eastAsia="Calibri" w:hAnsi="Times New Roman"/>
                <w:color w:val="000000"/>
                <w:sz w:val="20"/>
                <w:szCs w:val="20"/>
              </w:rPr>
              <w:t>₹</w:t>
            </w:r>
            <w:r w:rsidRPr="00712F3C">
              <w:rPr>
                <w:rFonts w:ascii="Times New Roman" w:eastAsia="MS Mincho" w:hAnsi="Times New Roman"/>
                <w:color w:val="000000"/>
                <w:sz w:val="20"/>
                <w:szCs w:val="20"/>
                <w:lang w:val="en-GB"/>
              </w:rPr>
              <w:t xml:space="preserve"> [●] Lakhs.</w:t>
            </w:r>
          </w:p>
        </w:tc>
      </w:tr>
      <w:tr w:rsidR="00940A99" w:rsidRPr="00712F3C" w14:paraId="52D73313" w14:textId="77777777" w:rsidTr="00250DAC">
        <w:trPr>
          <w:trHeight w:val="20"/>
        </w:trPr>
        <w:tc>
          <w:tcPr>
            <w:tcW w:w="2099" w:type="pct"/>
            <w:tcBorders>
              <w:top w:val="single" w:sz="4" w:space="0" w:color="auto"/>
              <w:left w:val="single" w:sz="4" w:space="0" w:color="auto"/>
              <w:bottom w:val="single" w:sz="4" w:space="0" w:color="auto"/>
              <w:right w:val="single" w:sz="4" w:space="0" w:color="auto"/>
            </w:tcBorders>
            <w:shd w:val="clear" w:color="auto" w:fill="auto"/>
            <w:hideMark/>
          </w:tcPr>
          <w:p w14:paraId="1DEB26F7" w14:textId="77777777" w:rsidR="00940A99" w:rsidRPr="00712F3C" w:rsidRDefault="00940A99" w:rsidP="00250DAC">
            <w:pPr>
              <w:suppressAutoHyphens/>
              <w:autoSpaceDE w:val="0"/>
              <w:autoSpaceDN w:val="0"/>
              <w:adjustRightInd w:val="0"/>
              <w:spacing w:after="0" w:line="240" w:lineRule="auto"/>
              <w:contextualSpacing/>
              <w:jc w:val="both"/>
              <w:textAlignment w:val="center"/>
              <w:rPr>
                <w:rFonts w:ascii="Times New Roman" w:hAnsi="Times New Roman"/>
                <w:b/>
                <w:color w:val="000000"/>
                <w:sz w:val="20"/>
                <w:szCs w:val="20"/>
              </w:rPr>
            </w:pPr>
            <w:r w:rsidRPr="00712F3C">
              <w:rPr>
                <w:rFonts w:ascii="Times New Roman" w:hAnsi="Times New Roman"/>
                <w:b/>
                <w:color w:val="000000"/>
                <w:sz w:val="20"/>
                <w:szCs w:val="20"/>
              </w:rPr>
              <w:t>Net Issue to the Public</w:t>
            </w:r>
          </w:p>
        </w:tc>
        <w:tc>
          <w:tcPr>
            <w:tcW w:w="29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42983C" w14:textId="77777777" w:rsidR="00940A99" w:rsidRPr="00712F3C" w:rsidRDefault="00940A99" w:rsidP="00250DAC">
            <w:pPr>
              <w:suppressAutoHyphens/>
              <w:autoSpaceDE w:val="0"/>
              <w:autoSpaceDN w:val="0"/>
              <w:adjustRightInd w:val="0"/>
              <w:spacing w:after="0" w:line="240" w:lineRule="auto"/>
              <w:contextualSpacing/>
              <w:jc w:val="both"/>
              <w:textAlignment w:val="center"/>
              <w:rPr>
                <w:rFonts w:ascii="Times New Roman" w:eastAsia="MS Mincho" w:hAnsi="Times New Roman"/>
                <w:color w:val="000000"/>
                <w:sz w:val="20"/>
                <w:szCs w:val="20"/>
                <w:lang w:val="en-GB"/>
              </w:rPr>
            </w:pPr>
            <w:r w:rsidRPr="00712F3C">
              <w:rPr>
                <w:rFonts w:ascii="Times New Roman" w:eastAsia="MS Mincho" w:hAnsi="Times New Roman"/>
                <w:color w:val="000000"/>
                <w:sz w:val="20"/>
                <w:szCs w:val="20"/>
                <w:lang w:val="en-GB"/>
              </w:rPr>
              <w:t xml:space="preserve">[●] Equity Shares of face value of </w:t>
            </w:r>
            <w:r w:rsidRPr="00712F3C">
              <w:rPr>
                <w:rFonts w:ascii="Times New Roman" w:eastAsia="Calibri" w:hAnsi="Times New Roman"/>
                <w:color w:val="000000"/>
                <w:sz w:val="20"/>
                <w:szCs w:val="20"/>
              </w:rPr>
              <w:t xml:space="preserve">₹ </w:t>
            </w:r>
            <w:r w:rsidRPr="00712F3C">
              <w:rPr>
                <w:rFonts w:ascii="Times New Roman" w:eastAsia="MS Mincho" w:hAnsi="Times New Roman"/>
                <w:color w:val="000000"/>
                <w:sz w:val="20"/>
                <w:szCs w:val="20"/>
                <w:lang w:val="en-GB"/>
              </w:rPr>
              <w:t xml:space="preserve">10 each fully paid-up of our Company for cash at a price of </w:t>
            </w:r>
            <w:r w:rsidRPr="00712F3C">
              <w:rPr>
                <w:rFonts w:ascii="Times New Roman" w:eastAsia="Calibri" w:hAnsi="Times New Roman"/>
                <w:color w:val="000000"/>
                <w:sz w:val="20"/>
                <w:szCs w:val="20"/>
              </w:rPr>
              <w:t>₹</w:t>
            </w:r>
            <w:r w:rsidRPr="00712F3C">
              <w:rPr>
                <w:rFonts w:ascii="Times New Roman" w:eastAsia="MS Mincho" w:hAnsi="Times New Roman"/>
                <w:color w:val="000000"/>
                <w:sz w:val="20"/>
                <w:szCs w:val="20"/>
                <w:lang w:val="en-GB"/>
              </w:rPr>
              <w:t xml:space="preserve"> [●] per Equity Share aggregating to </w:t>
            </w:r>
            <w:r w:rsidRPr="00712F3C">
              <w:rPr>
                <w:rFonts w:ascii="Times New Roman" w:eastAsia="Calibri" w:hAnsi="Times New Roman"/>
                <w:color w:val="000000"/>
                <w:sz w:val="20"/>
                <w:szCs w:val="20"/>
              </w:rPr>
              <w:t>₹</w:t>
            </w:r>
            <w:r w:rsidRPr="00712F3C">
              <w:rPr>
                <w:rFonts w:ascii="Times New Roman" w:eastAsia="MS Mincho" w:hAnsi="Times New Roman"/>
                <w:color w:val="000000"/>
                <w:sz w:val="20"/>
                <w:szCs w:val="20"/>
                <w:lang w:val="en-GB"/>
              </w:rPr>
              <w:t xml:space="preserve"> [●] Lakhs. </w:t>
            </w:r>
          </w:p>
        </w:tc>
      </w:tr>
      <w:tr w:rsidR="00940A99" w:rsidRPr="00712F3C" w14:paraId="17F111B2" w14:textId="77777777" w:rsidTr="00250DAC">
        <w:trPr>
          <w:trHeight w:val="20"/>
        </w:trPr>
        <w:tc>
          <w:tcPr>
            <w:tcW w:w="2099"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CF54B8" w14:textId="77777777" w:rsidR="00940A99" w:rsidRPr="00712F3C" w:rsidRDefault="00940A99" w:rsidP="00250DAC">
            <w:pPr>
              <w:tabs>
                <w:tab w:val="right" w:pos="3292"/>
              </w:tabs>
              <w:suppressAutoHyphens/>
              <w:autoSpaceDE w:val="0"/>
              <w:autoSpaceDN w:val="0"/>
              <w:adjustRightInd w:val="0"/>
              <w:spacing w:after="0" w:line="240" w:lineRule="auto"/>
              <w:contextualSpacing/>
              <w:textAlignment w:val="center"/>
              <w:rPr>
                <w:rFonts w:ascii="Times New Roman" w:hAnsi="Times New Roman"/>
                <w:b/>
                <w:i/>
                <w:color w:val="000000"/>
                <w:sz w:val="20"/>
                <w:szCs w:val="20"/>
              </w:rPr>
            </w:pPr>
            <w:r w:rsidRPr="00712F3C">
              <w:rPr>
                <w:rFonts w:ascii="Times New Roman" w:hAnsi="Times New Roman"/>
                <w:b/>
                <w:i/>
                <w:color w:val="000000"/>
                <w:sz w:val="20"/>
                <w:szCs w:val="20"/>
              </w:rPr>
              <w:t>Out of which</w:t>
            </w:r>
            <w:r w:rsidRPr="00712F3C">
              <w:rPr>
                <w:rFonts w:ascii="Times New Roman" w:hAnsi="Times New Roman"/>
                <w:b/>
                <w:i/>
                <w:color w:val="000000"/>
                <w:sz w:val="20"/>
                <w:szCs w:val="20"/>
              </w:rPr>
              <w:tab/>
            </w:r>
          </w:p>
        </w:tc>
        <w:tc>
          <w:tcPr>
            <w:tcW w:w="2901"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0F1D123" w14:textId="77777777" w:rsidR="00940A99" w:rsidRPr="00712F3C" w:rsidRDefault="00940A99" w:rsidP="00250DAC">
            <w:pPr>
              <w:suppressAutoHyphens/>
              <w:autoSpaceDE w:val="0"/>
              <w:autoSpaceDN w:val="0"/>
              <w:adjustRightInd w:val="0"/>
              <w:spacing w:after="0" w:line="240" w:lineRule="auto"/>
              <w:contextualSpacing/>
              <w:jc w:val="both"/>
              <w:textAlignment w:val="center"/>
              <w:rPr>
                <w:rFonts w:ascii="Times New Roman" w:eastAsia="MS Mincho" w:hAnsi="Times New Roman"/>
                <w:color w:val="000000"/>
                <w:sz w:val="20"/>
                <w:szCs w:val="20"/>
                <w:lang w:val="en-GB"/>
              </w:rPr>
            </w:pPr>
          </w:p>
        </w:tc>
      </w:tr>
      <w:tr w:rsidR="00940A99" w:rsidRPr="00712F3C" w14:paraId="6C8E0838" w14:textId="77777777" w:rsidTr="00250DAC">
        <w:trPr>
          <w:trHeight w:val="20"/>
        </w:trPr>
        <w:tc>
          <w:tcPr>
            <w:tcW w:w="2099" w:type="pct"/>
            <w:tcBorders>
              <w:top w:val="single" w:sz="4" w:space="0" w:color="auto"/>
              <w:left w:val="single" w:sz="4" w:space="0" w:color="auto"/>
              <w:bottom w:val="single" w:sz="4" w:space="0" w:color="auto"/>
              <w:right w:val="single" w:sz="4" w:space="0" w:color="auto"/>
            </w:tcBorders>
            <w:shd w:val="clear" w:color="auto" w:fill="auto"/>
            <w:hideMark/>
          </w:tcPr>
          <w:p w14:paraId="1640954F" w14:textId="77777777" w:rsidR="00940A99" w:rsidRPr="00712F3C" w:rsidDel="00B844E1" w:rsidRDefault="00940A99">
            <w:pPr>
              <w:pStyle w:val="ListParagraph"/>
              <w:numPr>
                <w:ilvl w:val="0"/>
                <w:numId w:val="284"/>
              </w:numPr>
              <w:spacing w:line="240" w:lineRule="auto"/>
              <w:contextualSpacing/>
              <w:rPr>
                <w:sz w:val="20"/>
                <w:szCs w:val="20"/>
              </w:rPr>
            </w:pPr>
            <w:r w:rsidRPr="00712F3C">
              <w:rPr>
                <w:sz w:val="20"/>
                <w:szCs w:val="20"/>
              </w:rPr>
              <w:t xml:space="preserve">QIB Portion </w:t>
            </w:r>
            <w:r w:rsidRPr="00712F3C">
              <w:rPr>
                <w:sz w:val="20"/>
                <w:szCs w:val="20"/>
                <w:vertAlign w:val="superscript"/>
              </w:rPr>
              <w:t>(3)(4)</w:t>
            </w:r>
          </w:p>
        </w:tc>
        <w:tc>
          <w:tcPr>
            <w:tcW w:w="2901" w:type="pct"/>
            <w:tcBorders>
              <w:top w:val="single" w:sz="4" w:space="0" w:color="auto"/>
              <w:left w:val="single" w:sz="4" w:space="0" w:color="auto"/>
              <w:bottom w:val="single" w:sz="4" w:space="0" w:color="auto"/>
              <w:right w:val="single" w:sz="4" w:space="0" w:color="auto"/>
            </w:tcBorders>
            <w:shd w:val="clear" w:color="auto" w:fill="auto"/>
            <w:hideMark/>
          </w:tcPr>
          <w:p w14:paraId="46ACC1A7" w14:textId="77777777" w:rsidR="00940A99" w:rsidRPr="00712F3C" w:rsidRDefault="00940A99" w:rsidP="00250DAC">
            <w:pPr>
              <w:suppressAutoHyphens/>
              <w:autoSpaceDE w:val="0"/>
              <w:autoSpaceDN w:val="0"/>
              <w:adjustRightInd w:val="0"/>
              <w:spacing w:after="0" w:line="240" w:lineRule="auto"/>
              <w:contextualSpacing/>
              <w:jc w:val="both"/>
              <w:textAlignment w:val="center"/>
              <w:rPr>
                <w:rFonts w:ascii="Times New Roman" w:hAnsi="Times New Roman"/>
                <w:sz w:val="20"/>
                <w:szCs w:val="20"/>
              </w:rPr>
            </w:pPr>
            <w:r w:rsidRPr="00712F3C">
              <w:rPr>
                <w:rFonts w:ascii="Times New Roman" w:hAnsi="Times New Roman"/>
                <w:sz w:val="20"/>
                <w:szCs w:val="20"/>
              </w:rPr>
              <w:t>Not more than [●] Equity Shares aggregating up to ₹ [●] lakhs.</w:t>
            </w:r>
          </w:p>
        </w:tc>
      </w:tr>
      <w:tr w:rsidR="00940A99" w:rsidRPr="00712F3C" w14:paraId="44CA6C01" w14:textId="77777777" w:rsidTr="00250DAC">
        <w:trPr>
          <w:trHeight w:val="20"/>
        </w:trPr>
        <w:tc>
          <w:tcPr>
            <w:tcW w:w="2099"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FDE4368" w14:textId="77777777" w:rsidR="00940A99" w:rsidRPr="00712F3C" w:rsidRDefault="00940A99" w:rsidP="00250DAC">
            <w:pPr>
              <w:suppressAutoHyphens/>
              <w:autoSpaceDE w:val="0"/>
              <w:autoSpaceDN w:val="0"/>
              <w:adjustRightInd w:val="0"/>
              <w:spacing w:after="0" w:line="240" w:lineRule="auto"/>
              <w:contextualSpacing/>
              <w:textAlignment w:val="center"/>
              <w:rPr>
                <w:rFonts w:ascii="Times New Roman" w:hAnsi="Times New Roman"/>
                <w:color w:val="000000"/>
                <w:sz w:val="20"/>
                <w:szCs w:val="20"/>
              </w:rPr>
            </w:pPr>
          </w:p>
        </w:tc>
        <w:tc>
          <w:tcPr>
            <w:tcW w:w="2901"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CCCB863" w14:textId="77777777" w:rsidR="00940A99" w:rsidRPr="00712F3C" w:rsidRDefault="00940A99" w:rsidP="00250DAC">
            <w:pPr>
              <w:suppressAutoHyphens/>
              <w:autoSpaceDE w:val="0"/>
              <w:autoSpaceDN w:val="0"/>
              <w:adjustRightInd w:val="0"/>
              <w:spacing w:after="0" w:line="240" w:lineRule="auto"/>
              <w:contextualSpacing/>
              <w:jc w:val="both"/>
              <w:textAlignment w:val="center"/>
              <w:rPr>
                <w:rFonts w:ascii="Times New Roman" w:hAnsi="Times New Roman"/>
                <w:sz w:val="20"/>
                <w:szCs w:val="20"/>
              </w:rPr>
            </w:pPr>
          </w:p>
        </w:tc>
      </w:tr>
      <w:tr w:rsidR="00940A99" w:rsidRPr="00712F3C" w14:paraId="376C9766" w14:textId="77777777" w:rsidTr="00250DAC">
        <w:trPr>
          <w:trHeight w:val="20"/>
        </w:trPr>
        <w:tc>
          <w:tcPr>
            <w:tcW w:w="2099" w:type="pct"/>
            <w:tcBorders>
              <w:top w:val="single" w:sz="4" w:space="0" w:color="auto"/>
              <w:left w:val="single" w:sz="4" w:space="0" w:color="auto"/>
              <w:bottom w:val="single" w:sz="4" w:space="0" w:color="auto"/>
              <w:right w:val="single" w:sz="4" w:space="0" w:color="auto"/>
            </w:tcBorders>
            <w:shd w:val="clear" w:color="auto" w:fill="auto"/>
          </w:tcPr>
          <w:p w14:paraId="249E4B7D" w14:textId="77777777" w:rsidR="00940A99" w:rsidRPr="00712F3C" w:rsidRDefault="00940A99">
            <w:pPr>
              <w:pStyle w:val="ListParagraph"/>
              <w:numPr>
                <w:ilvl w:val="0"/>
                <w:numId w:val="282"/>
              </w:numPr>
              <w:spacing w:line="240" w:lineRule="auto"/>
              <w:ind w:left="447"/>
              <w:contextualSpacing/>
              <w:rPr>
                <w:sz w:val="20"/>
                <w:szCs w:val="20"/>
              </w:rPr>
            </w:pPr>
            <w:r w:rsidRPr="00712F3C">
              <w:rPr>
                <w:rFonts w:eastAsia="Calibri"/>
                <w:sz w:val="20"/>
                <w:szCs w:val="20"/>
                <w:lang w:val="en-IN"/>
              </w:rPr>
              <w:t>Anchor Investor Portion</w:t>
            </w: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67C2CE2E" w14:textId="77777777" w:rsidR="00940A99" w:rsidRPr="00712F3C" w:rsidRDefault="00940A99" w:rsidP="00250DAC">
            <w:pPr>
              <w:suppressAutoHyphens/>
              <w:autoSpaceDE w:val="0"/>
              <w:autoSpaceDN w:val="0"/>
              <w:adjustRightInd w:val="0"/>
              <w:spacing w:after="0" w:line="240" w:lineRule="auto"/>
              <w:contextualSpacing/>
              <w:jc w:val="both"/>
              <w:textAlignment w:val="center"/>
              <w:rPr>
                <w:rFonts w:ascii="Times New Roman" w:hAnsi="Times New Roman"/>
                <w:sz w:val="20"/>
                <w:szCs w:val="20"/>
              </w:rPr>
            </w:pPr>
            <w:r w:rsidRPr="00712F3C">
              <w:rPr>
                <w:rFonts w:ascii="Times New Roman" w:hAnsi="Times New Roman"/>
                <w:sz w:val="20"/>
                <w:szCs w:val="20"/>
              </w:rPr>
              <w:t>Upto [●] Equity Shares aggregating up to ₹ [●] lakhs.</w:t>
            </w:r>
          </w:p>
        </w:tc>
      </w:tr>
      <w:tr w:rsidR="00940A99" w:rsidRPr="00712F3C" w14:paraId="48E5320F" w14:textId="77777777" w:rsidTr="00250DAC">
        <w:trPr>
          <w:trHeight w:val="20"/>
        </w:trPr>
        <w:tc>
          <w:tcPr>
            <w:tcW w:w="2099" w:type="pct"/>
            <w:tcBorders>
              <w:top w:val="single" w:sz="4" w:space="0" w:color="auto"/>
              <w:left w:val="single" w:sz="4" w:space="0" w:color="auto"/>
              <w:bottom w:val="single" w:sz="4" w:space="0" w:color="auto"/>
              <w:right w:val="single" w:sz="4" w:space="0" w:color="auto"/>
            </w:tcBorders>
            <w:shd w:val="clear" w:color="auto" w:fill="auto"/>
          </w:tcPr>
          <w:p w14:paraId="5BF8F1FB" w14:textId="77777777" w:rsidR="00940A99" w:rsidRPr="00712F3C" w:rsidRDefault="00940A99">
            <w:pPr>
              <w:pStyle w:val="ListParagraph"/>
              <w:numPr>
                <w:ilvl w:val="0"/>
                <w:numId w:val="282"/>
              </w:numPr>
              <w:spacing w:line="240" w:lineRule="auto"/>
              <w:ind w:left="447"/>
              <w:contextualSpacing/>
              <w:rPr>
                <w:sz w:val="20"/>
                <w:szCs w:val="20"/>
              </w:rPr>
            </w:pPr>
            <w:r w:rsidRPr="00712F3C">
              <w:rPr>
                <w:rFonts w:eastAsia="Calibri"/>
                <w:sz w:val="20"/>
                <w:szCs w:val="20"/>
                <w:lang w:val="en-IN"/>
              </w:rPr>
              <w:t>Net QIB Portion (assuming Anchor Investor Portion is fully subscribed)</w:t>
            </w: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7868006C" w14:textId="77777777" w:rsidR="00940A99" w:rsidRPr="00712F3C" w:rsidRDefault="00940A99" w:rsidP="00250DAC">
            <w:pPr>
              <w:suppressAutoHyphens/>
              <w:autoSpaceDE w:val="0"/>
              <w:autoSpaceDN w:val="0"/>
              <w:adjustRightInd w:val="0"/>
              <w:spacing w:after="0" w:line="240" w:lineRule="auto"/>
              <w:contextualSpacing/>
              <w:jc w:val="both"/>
              <w:textAlignment w:val="center"/>
              <w:rPr>
                <w:rFonts w:ascii="Times New Roman" w:hAnsi="Times New Roman"/>
                <w:sz w:val="20"/>
                <w:szCs w:val="20"/>
              </w:rPr>
            </w:pPr>
            <w:r w:rsidRPr="00712F3C">
              <w:rPr>
                <w:rFonts w:ascii="Times New Roman" w:hAnsi="Times New Roman"/>
                <w:sz w:val="20"/>
                <w:szCs w:val="20"/>
              </w:rPr>
              <w:t xml:space="preserve">Upto </w:t>
            </w:r>
            <w:r w:rsidRPr="00712F3C">
              <w:rPr>
                <w:rFonts w:ascii="Times New Roman" w:eastAsia="Calibri" w:hAnsi="Times New Roman"/>
                <w:sz w:val="20"/>
                <w:szCs w:val="20"/>
              </w:rPr>
              <w:t>[●] Equity Shares aggregating up to ₹ [●] lakhs.</w:t>
            </w:r>
          </w:p>
        </w:tc>
      </w:tr>
      <w:tr w:rsidR="00940A99" w:rsidRPr="00712F3C" w14:paraId="790273AA" w14:textId="77777777" w:rsidTr="00250DAC">
        <w:trPr>
          <w:trHeight w:val="20"/>
        </w:trPr>
        <w:tc>
          <w:tcPr>
            <w:tcW w:w="2099"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BBE48FC" w14:textId="77777777" w:rsidR="00940A99" w:rsidRPr="00712F3C" w:rsidRDefault="00940A99" w:rsidP="00250DAC">
            <w:pPr>
              <w:spacing w:line="240" w:lineRule="auto"/>
              <w:contextualSpacing/>
              <w:rPr>
                <w:rFonts w:ascii="Times New Roman" w:eastAsia="Calibri" w:hAnsi="Times New Roman"/>
                <w:sz w:val="20"/>
                <w:szCs w:val="20"/>
                <w:lang w:val="en-IN"/>
              </w:rPr>
            </w:pPr>
            <w:r w:rsidRPr="00712F3C">
              <w:rPr>
                <w:rFonts w:ascii="Times New Roman" w:hAnsi="Times New Roman"/>
                <w:b/>
                <w:i/>
                <w:color w:val="000000"/>
                <w:sz w:val="20"/>
                <w:szCs w:val="20"/>
              </w:rPr>
              <w:t>Out of which</w:t>
            </w:r>
          </w:p>
        </w:tc>
        <w:tc>
          <w:tcPr>
            <w:tcW w:w="2901"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E02B5B9" w14:textId="77777777" w:rsidR="00940A99" w:rsidRPr="00712F3C" w:rsidRDefault="00940A99" w:rsidP="00250DAC">
            <w:pPr>
              <w:suppressAutoHyphens/>
              <w:autoSpaceDE w:val="0"/>
              <w:autoSpaceDN w:val="0"/>
              <w:adjustRightInd w:val="0"/>
              <w:spacing w:after="0" w:line="240" w:lineRule="auto"/>
              <w:contextualSpacing/>
              <w:jc w:val="both"/>
              <w:textAlignment w:val="center"/>
              <w:rPr>
                <w:rFonts w:ascii="Times New Roman" w:hAnsi="Times New Roman"/>
                <w:sz w:val="20"/>
                <w:szCs w:val="20"/>
              </w:rPr>
            </w:pPr>
          </w:p>
        </w:tc>
      </w:tr>
      <w:tr w:rsidR="00940A99" w:rsidRPr="00712F3C" w14:paraId="38DBBF3D" w14:textId="77777777" w:rsidTr="00250DAC">
        <w:trPr>
          <w:trHeight w:val="20"/>
        </w:trPr>
        <w:tc>
          <w:tcPr>
            <w:tcW w:w="2099" w:type="pct"/>
            <w:tcBorders>
              <w:top w:val="single" w:sz="4" w:space="0" w:color="auto"/>
              <w:left w:val="single" w:sz="4" w:space="0" w:color="auto"/>
              <w:bottom w:val="single" w:sz="4" w:space="0" w:color="auto"/>
              <w:right w:val="single" w:sz="4" w:space="0" w:color="auto"/>
            </w:tcBorders>
            <w:shd w:val="clear" w:color="auto" w:fill="auto"/>
            <w:hideMark/>
          </w:tcPr>
          <w:p w14:paraId="6E1C2B87" w14:textId="77777777" w:rsidR="00940A99" w:rsidRPr="00712F3C" w:rsidRDefault="00940A99">
            <w:pPr>
              <w:pStyle w:val="ListParagraph"/>
              <w:numPr>
                <w:ilvl w:val="0"/>
                <w:numId w:val="283"/>
              </w:numPr>
              <w:spacing w:line="240" w:lineRule="auto"/>
              <w:contextualSpacing/>
              <w:jc w:val="both"/>
              <w:rPr>
                <w:sz w:val="20"/>
                <w:szCs w:val="20"/>
              </w:rPr>
            </w:pPr>
            <w:r w:rsidRPr="00712F3C">
              <w:rPr>
                <w:rFonts w:eastAsia="Calibri"/>
                <w:sz w:val="20"/>
                <w:szCs w:val="20"/>
                <w:lang w:val="en-IN"/>
              </w:rPr>
              <w:t>Available for allocation to Mutual Funds only (5% of the Net QIB Portion)</w:t>
            </w:r>
          </w:p>
        </w:tc>
        <w:tc>
          <w:tcPr>
            <w:tcW w:w="2901" w:type="pct"/>
            <w:tcBorders>
              <w:top w:val="single" w:sz="4" w:space="0" w:color="auto"/>
              <w:left w:val="single" w:sz="4" w:space="0" w:color="auto"/>
              <w:bottom w:val="single" w:sz="4" w:space="0" w:color="auto"/>
              <w:right w:val="single" w:sz="4" w:space="0" w:color="auto"/>
            </w:tcBorders>
            <w:shd w:val="clear" w:color="auto" w:fill="auto"/>
            <w:hideMark/>
          </w:tcPr>
          <w:p w14:paraId="49BED41A" w14:textId="77777777" w:rsidR="00940A99" w:rsidRPr="00712F3C" w:rsidRDefault="00940A99" w:rsidP="00250DAC">
            <w:pPr>
              <w:suppressAutoHyphens/>
              <w:autoSpaceDE w:val="0"/>
              <w:autoSpaceDN w:val="0"/>
              <w:adjustRightInd w:val="0"/>
              <w:spacing w:after="0" w:line="240" w:lineRule="auto"/>
              <w:contextualSpacing/>
              <w:jc w:val="both"/>
              <w:textAlignment w:val="center"/>
              <w:rPr>
                <w:rFonts w:ascii="Times New Roman" w:hAnsi="Times New Roman"/>
                <w:sz w:val="20"/>
                <w:szCs w:val="20"/>
              </w:rPr>
            </w:pPr>
            <w:r w:rsidRPr="00712F3C">
              <w:rPr>
                <w:rFonts w:ascii="Times New Roman" w:hAnsi="Times New Roman"/>
                <w:sz w:val="20"/>
                <w:szCs w:val="20"/>
              </w:rPr>
              <w:t>Upto [●] Equity Shares aggregating up to ₹ [●] lakhs</w:t>
            </w:r>
          </w:p>
        </w:tc>
      </w:tr>
      <w:tr w:rsidR="00940A99" w:rsidRPr="00712F3C" w14:paraId="521B2913" w14:textId="77777777" w:rsidTr="00250DAC">
        <w:trPr>
          <w:trHeight w:val="20"/>
        </w:trPr>
        <w:tc>
          <w:tcPr>
            <w:tcW w:w="2099" w:type="pct"/>
            <w:tcBorders>
              <w:top w:val="single" w:sz="4" w:space="0" w:color="auto"/>
              <w:left w:val="single" w:sz="4" w:space="0" w:color="auto"/>
              <w:bottom w:val="single" w:sz="4" w:space="0" w:color="auto"/>
              <w:right w:val="single" w:sz="4" w:space="0" w:color="auto"/>
            </w:tcBorders>
            <w:shd w:val="clear" w:color="auto" w:fill="auto"/>
          </w:tcPr>
          <w:p w14:paraId="6144602C" w14:textId="77777777" w:rsidR="00940A99" w:rsidRPr="00712F3C" w:rsidRDefault="00940A99">
            <w:pPr>
              <w:pStyle w:val="ListParagraph"/>
              <w:numPr>
                <w:ilvl w:val="0"/>
                <w:numId w:val="283"/>
              </w:numPr>
              <w:spacing w:line="240" w:lineRule="auto"/>
              <w:contextualSpacing/>
              <w:jc w:val="both"/>
              <w:rPr>
                <w:sz w:val="20"/>
                <w:szCs w:val="20"/>
              </w:rPr>
            </w:pPr>
            <w:r w:rsidRPr="00712F3C">
              <w:rPr>
                <w:rFonts w:eastAsia="Calibri"/>
                <w:sz w:val="20"/>
                <w:szCs w:val="20"/>
                <w:lang w:val="en-IN"/>
              </w:rPr>
              <w:t>Balance of QIB Portion for all QIBs including Mutual Funds</w:t>
            </w: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172A7019" w14:textId="77777777" w:rsidR="00940A99" w:rsidRPr="00712F3C" w:rsidRDefault="00940A99" w:rsidP="00250DAC">
            <w:pPr>
              <w:suppressAutoHyphens/>
              <w:autoSpaceDE w:val="0"/>
              <w:autoSpaceDN w:val="0"/>
              <w:adjustRightInd w:val="0"/>
              <w:spacing w:after="0" w:line="240" w:lineRule="auto"/>
              <w:contextualSpacing/>
              <w:jc w:val="both"/>
              <w:textAlignment w:val="center"/>
              <w:rPr>
                <w:rFonts w:ascii="Times New Roman" w:hAnsi="Times New Roman"/>
                <w:sz w:val="20"/>
                <w:szCs w:val="20"/>
              </w:rPr>
            </w:pPr>
            <w:r w:rsidRPr="00712F3C">
              <w:rPr>
                <w:rFonts w:ascii="Times New Roman" w:hAnsi="Times New Roman"/>
                <w:sz w:val="20"/>
                <w:szCs w:val="20"/>
              </w:rPr>
              <w:t>Upto [●] Equity Shares aggregating up to ₹ [●] lakhs</w:t>
            </w:r>
          </w:p>
        </w:tc>
      </w:tr>
      <w:tr w:rsidR="00940A99" w:rsidRPr="00712F3C" w14:paraId="7280E208" w14:textId="77777777" w:rsidTr="00250DAC">
        <w:trPr>
          <w:trHeight w:val="20"/>
        </w:trPr>
        <w:tc>
          <w:tcPr>
            <w:tcW w:w="2099" w:type="pct"/>
            <w:tcBorders>
              <w:top w:val="single" w:sz="4" w:space="0" w:color="auto"/>
              <w:left w:val="single" w:sz="4" w:space="0" w:color="auto"/>
              <w:bottom w:val="single" w:sz="4" w:space="0" w:color="auto"/>
              <w:right w:val="single" w:sz="4" w:space="0" w:color="auto"/>
            </w:tcBorders>
            <w:shd w:val="clear" w:color="auto" w:fill="auto"/>
          </w:tcPr>
          <w:p w14:paraId="7703AE5E" w14:textId="77777777" w:rsidR="00940A99" w:rsidRPr="00712F3C" w:rsidRDefault="00940A99">
            <w:pPr>
              <w:pStyle w:val="ListParagraph"/>
              <w:numPr>
                <w:ilvl w:val="0"/>
                <w:numId w:val="284"/>
              </w:numPr>
              <w:spacing w:line="240" w:lineRule="auto"/>
              <w:contextualSpacing/>
              <w:rPr>
                <w:sz w:val="20"/>
                <w:szCs w:val="20"/>
              </w:rPr>
            </w:pPr>
            <w:r w:rsidRPr="00712F3C">
              <w:rPr>
                <w:sz w:val="20"/>
                <w:szCs w:val="20"/>
              </w:rPr>
              <w:t>Non-Institutional Portion</w:t>
            </w: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63453EA3" w14:textId="77777777" w:rsidR="00940A99" w:rsidRPr="00712F3C" w:rsidRDefault="00940A99" w:rsidP="00250DAC">
            <w:pPr>
              <w:suppressAutoHyphens/>
              <w:autoSpaceDE w:val="0"/>
              <w:autoSpaceDN w:val="0"/>
              <w:adjustRightInd w:val="0"/>
              <w:spacing w:after="0" w:line="240" w:lineRule="auto"/>
              <w:contextualSpacing/>
              <w:jc w:val="both"/>
              <w:textAlignment w:val="center"/>
              <w:rPr>
                <w:rFonts w:ascii="Times New Roman" w:hAnsi="Times New Roman"/>
                <w:sz w:val="20"/>
                <w:szCs w:val="20"/>
              </w:rPr>
            </w:pPr>
            <w:r w:rsidRPr="00712F3C">
              <w:rPr>
                <w:rFonts w:ascii="Times New Roman" w:hAnsi="Times New Roman"/>
                <w:sz w:val="20"/>
                <w:szCs w:val="20"/>
              </w:rPr>
              <w:t>Not less than [●] Equity Shares aggregating up to ₹ [●] lakhs</w:t>
            </w:r>
          </w:p>
        </w:tc>
      </w:tr>
      <w:tr w:rsidR="00940A99" w:rsidRPr="00712F3C" w14:paraId="78EBA563" w14:textId="77777777" w:rsidTr="00250DAC">
        <w:trPr>
          <w:trHeight w:val="20"/>
        </w:trPr>
        <w:tc>
          <w:tcPr>
            <w:tcW w:w="2099" w:type="pct"/>
            <w:tcBorders>
              <w:top w:val="single" w:sz="4" w:space="0" w:color="auto"/>
              <w:left w:val="single" w:sz="4" w:space="0" w:color="auto"/>
              <w:bottom w:val="single" w:sz="4" w:space="0" w:color="auto"/>
              <w:right w:val="single" w:sz="4" w:space="0" w:color="auto"/>
            </w:tcBorders>
            <w:shd w:val="clear" w:color="auto" w:fill="auto"/>
          </w:tcPr>
          <w:p w14:paraId="556C3F8C" w14:textId="77777777" w:rsidR="00940A99" w:rsidRPr="00712F3C" w:rsidRDefault="00940A99">
            <w:pPr>
              <w:pStyle w:val="ListParagraph"/>
              <w:numPr>
                <w:ilvl w:val="0"/>
                <w:numId w:val="284"/>
              </w:numPr>
              <w:spacing w:line="240" w:lineRule="auto"/>
              <w:contextualSpacing/>
              <w:rPr>
                <w:sz w:val="20"/>
                <w:szCs w:val="20"/>
              </w:rPr>
            </w:pPr>
            <w:r w:rsidRPr="00712F3C">
              <w:rPr>
                <w:sz w:val="20"/>
                <w:szCs w:val="20"/>
              </w:rPr>
              <w:t>Retail Portion</w:t>
            </w:r>
          </w:p>
        </w:tc>
        <w:tc>
          <w:tcPr>
            <w:tcW w:w="2901" w:type="pct"/>
            <w:tcBorders>
              <w:top w:val="single" w:sz="4" w:space="0" w:color="auto"/>
              <w:left w:val="single" w:sz="4" w:space="0" w:color="auto"/>
              <w:bottom w:val="single" w:sz="4" w:space="0" w:color="auto"/>
              <w:right w:val="single" w:sz="4" w:space="0" w:color="auto"/>
            </w:tcBorders>
            <w:shd w:val="clear" w:color="auto" w:fill="auto"/>
          </w:tcPr>
          <w:p w14:paraId="34CEB467" w14:textId="77777777" w:rsidR="00940A99" w:rsidRPr="00712F3C" w:rsidRDefault="00940A99" w:rsidP="00250DAC">
            <w:pPr>
              <w:suppressAutoHyphens/>
              <w:autoSpaceDE w:val="0"/>
              <w:autoSpaceDN w:val="0"/>
              <w:adjustRightInd w:val="0"/>
              <w:spacing w:after="0" w:line="240" w:lineRule="auto"/>
              <w:contextualSpacing/>
              <w:jc w:val="both"/>
              <w:textAlignment w:val="center"/>
              <w:rPr>
                <w:rFonts w:ascii="Times New Roman" w:hAnsi="Times New Roman"/>
                <w:sz w:val="20"/>
                <w:szCs w:val="20"/>
              </w:rPr>
            </w:pPr>
            <w:r w:rsidRPr="00712F3C">
              <w:rPr>
                <w:rFonts w:ascii="Times New Roman" w:hAnsi="Times New Roman"/>
                <w:sz w:val="20"/>
                <w:szCs w:val="20"/>
              </w:rPr>
              <w:t>Not less than [●] Equity Shares aggregating up to ₹ [●] lakhs</w:t>
            </w:r>
          </w:p>
        </w:tc>
      </w:tr>
      <w:tr w:rsidR="00940A99" w:rsidRPr="00712F3C" w14:paraId="1925E141" w14:textId="77777777" w:rsidTr="00250DAC">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334BC3B" w14:textId="77777777" w:rsidR="00940A99" w:rsidRPr="00712F3C" w:rsidRDefault="00940A99" w:rsidP="00250DAC">
            <w:pPr>
              <w:suppressAutoHyphens/>
              <w:autoSpaceDE w:val="0"/>
              <w:autoSpaceDN w:val="0"/>
              <w:adjustRightInd w:val="0"/>
              <w:spacing w:after="0" w:line="240" w:lineRule="auto"/>
              <w:contextualSpacing/>
              <w:jc w:val="both"/>
              <w:textAlignment w:val="center"/>
              <w:rPr>
                <w:rFonts w:ascii="Times New Roman" w:hAnsi="Times New Roman"/>
                <w:color w:val="000000"/>
                <w:sz w:val="20"/>
                <w:szCs w:val="20"/>
              </w:rPr>
            </w:pPr>
            <w:r w:rsidRPr="00712F3C">
              <w:rPr>
                <w:rFonts w:ascii="Times New Roman" w:hAnsi="Times New Roman"/>
                <w:b/>
                <w:color w:val="000000"/>
                <w:sz w:val="20"/>
                <w:szCs w:val="20"/>
              </w:rPr>
              <w:t>Pre and Post – Issue Equity Shares</w:t>
            </w:r>
          </w:p>
        </w:tc>
      </w:tr>
      <w:tr w:rsidR="00940A99" w:rsidRPr="00712F3C" w14:paraId="3C712A6E" w14:textId="77777777" w:rsidTr="00250DAC">
        <w:trPr>
          <w:trHeight w:val="20"/>
        </w:trPr>
        <w:tc>
          <w:tcPr>
            <w:tcW w:w="20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3F2878" w14:textId="77777777" w:rsidR="00940A99" w:rsidRPr="00712F3C" w:rsidRDefault="00940A99" w:rsidP="00250DAC">
            <w:pPr>
              <w:suppressAutoHyphens/>
              <w:autoSpaceDE w:val="0"/>
              <w:autoSpaceDN w:val="0"/>
              <w:adjustRightInd w:val="0"/>
              <w:spacing w:after="0" w:line="240" w:lineRule="auto"/>
              <w:contextualSpacing/>
              <w:jc w:val="both"/>
              <w:textAlignment w:val="center"/>
              <w:rPr>
                <w:rFonts w:ascii="Times New Roman" w:hAnsi="Times New Roman"/>
                <w:b/>
                <w:color w:val="000000"/>
                <w:sz w:val="20"/>
                <w:szCs w:val="20"/>
              </w:rPr>
            </w:pPr>
            <w:r w:rsidRPr="00712F3C">
              <w:rPr>
                <w:rFonts w:ascii="Times New Roman" w:hAnsi="Times New Roman"/>
                <w:b/>
                <w:color w:val="000000"/>
                <w:sz w:val="20"/>
                <w:szCs w:val="20"/>
              </w:rPr>
              <w:t>Equity Shares outstanding prior to the Issue</w:t>
            </w:r>
          </w:p>
        </w:tc>
        <w:tc>
          <w:tcPr>
            <w:tcW w:w="2901" w:type="pct"/>
            <w:tcBorders>
              <w:top w:val="single" w:sz="4" w:space="0" w:color="auto"/>
              <w:left w:val="single" w:sz="4" w:space="0" w:color="auto"/>
              <w:bottom w:val="single" w:sz="4" w:space="0" w:color="auto"/>
              <w:right w:val="single" w:sz="4" w:space="0" w:color="auto"/>
            </w:tcBorders>
            <w:shd w:val="clear" w:color="auto" w:fill="auto"/>
            <w:vAlign w:val="center"/>
          </w:tcPr>
          <w:p w14:paraId="5B007ABA" w14:textId="08D54B14" w:rsidR="00940A99" w:rsidRPr="00712F3C" w:rsidRDefault="00940A99" w:rsidP="00250DAC">
            <w:pPr>
              <w:suppressAutoHyphens/>
              <w:autoSpaceDE w:val="0"/>
              <w:autoSpaceDN w:val="0"/>
              <w:adjustRightInd w:val="0"/>
              <w:spacing w:after="0" w:line="240" w:lineRule="auto"/>
              <w:contextualSpacing/>
              <w:jc w:val="both"/>
              <w:textAlignment w:val="center"/>
              <w:rPr>
                <w:rFonts w:ascii="Times New Roman" w:hAnsi="Times New Roman"/>
                <w:color w:val="000000"/>
                <w:sz w:val="20"/>
                <w:szCs w:val="20"/>
              </w:rPr>
            </w:pPr>
            <w:r w:rsidRPr="000860EB">
              <w:rPr>
                <w:rFonts w:ascii="Times New Roman" w:eastAsia="MS Mincho" w:hAnsi="Times New Roman"/>
                <w:sz w:val="20"/>
                <w:szCs w:val="20"/>
              </w:rPr>
              <w:t xml:space="preserve">1,38,05,500 </w:t>
            </w:r>
            <w:r w:rsidRPr="00712F3C">
              <w:rPr>
                <w:rFonts w:ascii="Times New Roman" w:hAnsi="Times New Roman"/>
                <w:sz w:val="20"/>
                <w:szCs w:val="20"/>
              </w:rPr>
              <w:t xml:space="preserve">Equity Shares of face value of </w:t>
            </w:r>
            <w:r w:rsidRPr="00712F3C">
              <w:rPr>
                <w:rFonts w:ascii="Times New Roman" w:eastAsia="Calibri" w:hAnsi="Times New Roman"/>
                <w:color w:val="000000"/>
                <w:sz w:val="20"/>
                <w:szCs w:val="20"/>
              </w:rPr>
              <w:t xml:space="preserve">₹ </w:t>
            </w:r>
            <w:r w:rsidRPr="00712F3C">
              <w:rPr>
                <w:rFonts w:ascii="Times New Roman" w:hAnsi="Times New Roman"/>
                <w:sz w:val="20"/>
                <w:szCs w:val="20"/>
              </w:rPr>
              <w:t>10 each</w:t>
            </w:r>
          </w:p>
        </w:tc>
      </w:tr>
      <w:tr w:rsidR="00940A99" w:rsidRPr="00712F3C" w14:paraId="7E413098" w14:textId="77777777" w:rsidTr="00250DAC">
        <w:trPr>
          <w:trHeight w:val="20"/>
        </w:trPr>
        <w:tc>
          <w:tcPr>
            <w:tcW w:w="20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759746" w14:textId="77777777" w:rsidR="00940A99" w:rsidRPr="00712F3C" w:rsidRDefault="00940A99" w:rsidP="00250DAC">
            <w:pPr>
              <w:suppressAutoHyphens/>
              <w:autoSpaceDE w:val="0"/>
              <w:autoSpaceDN w:val="0"/>
              <w:adjustRightInd w:val="0"/>
              <w:spacing w:after="0" w:line="240" w:lineRule="auto"/>
              <w:contextualSpacing/>
              <w:jc w:val="both"/>
              <w:textAlignment w:val="center"/>
              <w:rPr>
                <w:rFonts w:ascii="Times New Roman" w:hAnsi="Times New Roman"/>
                <w:b/>
                <w:color w:val="000000"/>
                <w:sz w:val="20"/>
                <w:szCs w:val="20"/>
              </w:rPr>
            </w:pPr>
            <w:r w:rsidRPr="00712F3C">
              <w:rPr>
                <w:rFonts w:ascii="Times New Roman" w:hAnsi="Times New Roman"/>
                <w:b/>
                <w:color w:val="000000"/>
                <w:sz w:val="20"/>
                <w:szCs w:val="20"/>
              </w:rPr>
              <w:t>Equity Shares outstanding after the Issue</w:t>
            </w:r>
          </w:p>
        </w:tc>
        <w:tc>
          <w:tcPr>
            <w:tcW w:w="29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39460D" w14:textId="5A18E37A" w:rsidR="00940A99" w:rsidRPr="00712F3C" w:rsidRDefault="00940A99" w:rsidP="00250DAC">
            <w:pPr>
              <w:suppressAutoHyphens/>
              <w:autoSpaceDE w:val="0"/>
              <w:autoSpaceDN w:val="0"/>
              <w:adjustRightInd w:val="0"/>
              <w:spacing w:after="0" w:line="240" w:lineRule="auto"/>
              <w:contextualSpacing/>
              <w:jc w:val="both"/>
              <w:textAlignment w:val="center"/>
              <w:rPr>
                <w:rFonts w:ascii="Times New Roman" w:hAnsi="Times New Roman"/>
                <w:color w:val="000000"/>
                <w:sz w:val="20"/>
                <w:szCs w:val="20"/>
              </w:rPr>
            </w:pPr>
            <w:r w:rsidRPr="00712F3C">
              <w:rPr>
                <w:rFonts w:ascii="Times New Roman" w:hAnsi="Times New Roman"/>
                <w:sz w:val="20"/>
                <w:szCs w:val="20"/>
              </w:rPr>
              <w:t xml:space="preserve">Upto </w:t>
            </w:r>
            <w:r w:rsidRPr="00712F3C">
              <w:rPr>
                <w:rFonts w:ascii="Times New Roman" w:eastAsia="MS Mincho" w:hAnsi="Times New Roman"/>
                <w:sz w:val="20"/>
                <w:szCs w:val="20"/>
              </w:rPr>
              <w:t>1,</w:t>
            </w:r>
            <w:r>
              <w:rPr>
                <w:rFonts w:ascii="Times New Roman" w:eastAsia="MS Mincho" w:hAnsi="Times New Roman"/>
                <w:sz w:val="20"/>
                <w:szCs w:val="20"/>
              </w:rPr>
              <w:t>87,97</w:t>
            </w:r>
            <w:r w:rsidRPr="00712F3C">
              <w:rPr>
                <w:rFonts w:ascii="Times New Roman" w:eastAsia="MS Mincho" w:hAnsi="Times New Roman"/>
                <w:sz w:val="20"/>
                <w:szCs w:val="20"/>
              </w:rPr>
              <w:t>,</w:t>
            </w:r>
            <w:r>
              <w:rPr>
                <w:rFonts w:ascii="Times New Roman" w:eastAsia="MS Mincho" w:hAnsi="Times New Roman"/>
                <w:sz w:val="20"/>
                <w:szCs w:val="20"/>
              </w:rPr>
              <w:t>5</w:t>
            </w:r>
            <w:r w:rsidRPr="00712F3C">
              <w:rPr>
                <w:rFonts w:ascii="Times New Roman" w:eastAsia="MS Mincho" w:hAnsi="Times New Roman"/>
                <w:sz w:val="20"/>
                <w:szCs w:val="20"/>
              </w:rPr>
              <w:t xml:space="preserve">00 </w:t>
            </w:r>
            <w:r w:rsidRPr="00712F3C">
              <w:rPr>
                <w:rFonts w:ascii="Times New Roman" w:hAnsi="Times New Roman"/>
                <w:sz w:val="20"/>
                <w:szCs w:val="20"/>
              </w:rPr>
              <w:t xml:space="preserve">Equity Shares of face value </w:t>
            </w:r>
            <w:r w:rsidRPr="00712F3C">
              <w:rPr>
                <w:rFonts w:ascii="Times New Roman" w:eastAsia="Calibri" w:hAnsi="Times New Roman"/>
                <w:color w:val="000000"/>
                <w:sz w:val="20"/>
                <w:szCs w:val="20"/>
              </w:rPr>
              <w:t xml:space="preserve">₹ </w:t>
            </w:r>
            <w:r w:rsidRPr="00712F3C">
              <w:rPr>
                <w:rFonts w:ascii="Times New Roman" w:hAnsi="Times New Roman"/>
                <w:sz w:val="20"/>
                <w:szCs w:val="20"/>
              </w:rPr>
              <w:t xml:space="preserve">10 each </w:t>
            </w:r>
          </w:p>
        </w:tc>
      </w:tr>
      <w:tr w:rsidR="00940A99" w:rsidRPr="00712F3C" w14:paraId="11411552" w14:textId="77777777" w:rsidTr="00250DAC">
        <w:trPr>
          <w:trHeight w:val="20"/>
        </w:trPr>
        <w:tc>
          <w:tcPr>
            <w:tcW w:w="20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F22930" w14:textId="77777777" w:rsidR="00940A99" w:rsidRPr="00712F3C" w:rsidRDefault="00940A99" w:rsidP="00250DAC">
            <w:pPr>
              <w:suppressAutoHyphens/>
              <w:autoSpaceDE w:val="0"/>
              <w:autoSpaceDN w:val="0"/>
              <w:adjustRightInd w:val="0"/>
              <w:spacing w:after="0" w:line="240" w:lineRule="auto"/>
              <w:contextualSpacing/>
              <w:jc w:val="both"/>
              <w:textAlignment w:val="center"/>
              <w:rPr>
                <w:rFonts w:ascii="Times New Roman" w:hAnsi="Times New Roman"/>
                <w:b/>
                <w:color w:val="000000"/>
                <w:sz w:val="20"/>
                <w:szCs w:val="20"/>
              </w:rPr>
            </w:pPr>
            <w:r w:rsidRPr="00712F3C">
              <w:rPr>
                <w:rFonts w:ascii="Times New Roman" w:hAnsi="Times New Roman"/>
                <w:b/>
                <w:color w:val="000000"/>
                <w:sz w:val="20"/>
                <w:szCs w:val="20"/>
              </w:rPr>
              <w:t>Use of Net Proceeds by our Company</w:t>
            </w:r>
          </w:p>
        </w:tc>
        <w:tc>
          <w:tcPr>
            <w:tcW w:w="29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22D48D" w14:textId="77777777" w:rsidR="00940A99" w:rsidRPr="00712F3C" w:rsidRDefault="00940A99" w:rsidP="00250DAC">
            <w:pPr>
              <w:suppressAutoHyphens/>
              <w:autoSpaceDE w:val="0"/>
              <w:autoSpaceDN w:val="0"/>
              <w:adjustRightInd w:val="0"/>
              <w:spacing w:after="0" w:line="240" w:lineRule="auto"/>
              <w:contextualSpacing/>
              <w:jc w:val="both"/>
              <w:textAlignment w:val="center"/>
              <w:rPr>
                <w:rFonts w:ascii="Times New Roman" w:eastAsia="Arial Unicode MS" w:hAnsi="Times New Roman"/>
                <w:b/>
                <w:bCs/>
                <w:color w:val="000000"/>
                <w:sz w:val="20"/>
                <w:szCs w:val="20"/>
              </w:rPr>
            </w:pPr>
            <w:r w:rsidRPr="00712F3C">
              <w:rPr>
                <w:rFonts w:ascii="Times New Roman" w:hAnsi="Times New Roman"/>
                <w:color w:val="000000"/>
                <w:sz w:val="20"/>
                <w:szCs w:val="20"/>
              </w:rPr>
              <w:t xml:space="preserve">Please see the chapter titled </w:t>
            </w:r>
            <w:r w:rsidRPr="00712F3C">
              <w:rPr>
                <w:rFonts w:ascii="Times New Roman" w:hAnsi="Times New Roman"/>
                <w:b/>
                <w:i/>
                <w:color w:val="000000"/>
                <w:sz w:val="20"/>
                <w:szCs w:val="20"/>
              </w:rPr>
              <w:t>“Objects of the Issue”</w:t>
            </w:r>
            <w:r w:rsidRPr="00712F3C">
              <w:rPr>
                <w:rFonts w:ascii="Times New Roman" w:hAnsi="Times New Roman"/>
                <w:color w:val="000000"/>
                <w:sz w:val="20"/>
                <w:szCs w:val="20"/>
              </w:rPr>
              <w:t xml:space="preserve"> on </w:t>
            </w:r>
            <w:r w:rsidRPr="00712F3C">
              <w:rPr>
                <w:rFonts w:ascii="Times New Roman" w:hAnsi="Times New Roman"/>
                <w:color w:val="221F1F"/>
                <w:sz w:val="20"/>
                <w:szCs w:val="20"/>
              </w:rPr>
              <w:t xml:space="preserve">page </w:t>
            </w:r>
            <w:r>
              <w:rPr>
                <w:rFonts w:ascii="Times New Roman" w:hAnsi="Times New Roman"/>
                <w:color w:val="221F1F"/>
                <w:sz w:val="20"/>
                <w:szCs w:val="20"/>
              </w:rPr>
              <w:t>68</w:t>
            </w:r>
            <w:r w:rsidRPr="00712F3C">
              <w:rPr>
                <w:rFonts w:ascii="Times New Roman" w:hAnsi="Times New Roman"/>
                <w:color w:val="221F1F"/>
                <w:sz w:val="20"/>
                <w:szCs w:val="20"/>
              </w:rPr>
              <w:t xml:space="preserve"> </w:t>
            </w:r>
            <w:r w:rsidRPr="00712F3C">
              <w:rPr>
                <w:rFonts w:ascii="Times New Roman" w:hAnsi="Times New Roman"/>
                <w:color w:val="000000"/>
                <w:sz w:val="20"/>
                <w:szCs w:val="20"/>
              </w:rPr>
              <w:t xml:space="preserve">of this Draft </w:t>
            </w:r>
            <w:r w:rsidRPr="00712F3C">
              <w:rPr>
                <w:rFonts w:ascii="Times New Roman" w:hAnsi="Times New Roman"/>
                <w:sz w:val="20"/>
                <w:szCs w:val="20"/>
              </w:rPr>
              <w:t xml:space="preserve">Red Herring </w:t>
            </w:r>
            <w:r w:rsidRPr="00712F3C">
              <w:rPr>
                <w:rFonts w:ascii="Times New Roman" w:hAnsi="Times New Roman"/>
                <w:color w:val="000000"/>
                <w:sz w:val="20"/>
                <w:szCs w:val="20"/>
              </w:rPr>
              <w:t>Prospectus.</w:t>
            </w:r>
          </w:p>
        </w:tc>
      </w:tr>
    </w:tbl>
    <w:p w14:paraId="7C5BA1BD" w14:textId="464ED5C3" w:rsidR="00940A99" w:rsidRPr="00712F3C" w:rsidRDefault="00940A99" w:rsidP="00940A99">
      <w:pPr>
        <w:pStyle w:val="Default"/>
        <w:jc w:val="both"/>
        <w:rPr>
          <w:i/>
          <w:sz w:val="20"/>
          <w:szCs w:val="20"/>
        </w:rPr>
      </w:pPr>
      <w:r w:rsidRPr="00712F3C">
        <w:rPr>
          <w:i/>
          <w:sz w:val="20"/>
          <w:szCs w:val="20"/>
          <w:vertAlign w:val="superscript"/>
        </w:rPr>
        <w:t>(1)</w:t>
      </w:r>
      <w:r w:rsidRPr="00712F3C">
        <w:rPr>
          <w:i/>
          <w:sz w:val="20"/>
          <w:szCs w:val="20"/>
        </w:rPr>
        <w:t xml:space="preserve"> Public issue upto </w:t>
      </w:r>
      <w:r>
        <w:rPr>
          <w:i/>
          <w:sz w:val="20"/>
          <w:szCs w:val="20"/>
        </w:rPr>
        <w:t>49,92</w:t>
      </w:r>
      <w:r w:rsidRPr="00712F3C">
        <w:rPr>
          <w:i/>
          <w:sz w:val="20"/>
          <w:szCs w:val="20"/>
        </w:rPr>
        <w:t>,000 Equity Shares face value of ₹</w:t>
      </w:r>
      <w:r w:rsidRPr="00712F3C">
        <w:rPr>
          <w:sz w:val="20"/>
          <w:szCs w:val="20"/>
        </w:rPr>
        <w:t xml:space="preserve"> </w:t>
      </w:r>
      <w:r w:rsidRPr="00712F3C">
        <w:rPr>
          <w:i/>
          <w:sz w:val="20"/>
          <w:szCs w:val="20"/>
        </w:rPr>
        <w:t xml:space="preserve">10.00 each for cash at a price of ₹ [●] per Equity Share of our Company aggregating to ₹ [●] Lakhs. This issue is being made in terms of Chapter IX of the SEBI (ICDR) Regulations, 2018, as amended from time to time. For further details please refer to section </w:t>
      </w:r>
      <w:r w:rsidRPr="00712F3C">
        <w:rPr>
          <w:b/>
          <w:i/>
          <w:sz w:val="20"/>
          <w:szCs w:val="20"/>
        </w:rPr>
        <w:t xml:space="preserve">“Issue Structure” </w:t>
      </w:r>
      <w:r w:rsidRPr="00712F3C">
        <w:rPr>
          <w:i/>
          <w:sz w:val="20"/>
          <w:szCs w:val="20"/>
        </w:rPr>
        <w:t xml:space="preserve">beginning on page </w:t>
      </w:r>
      <w:r>
        <w:rPr>
          <w:i/>
          <w:sz w:val="20"/>
          <w:szCs w:val="20"/>
        </w:rPr>
        <w:t>213</w:t>
      </w:r>
      <w:r w:rsidRPr="00712F3C">
        <w:rPr>
          <w:i/>
          <w:sz w:val="20"/>
          <w:szCs w:val="20"/>
        </w:rPr>
        <w:t xml:space="preserve"> of this Draft Red Herring Prospectus. </w:t>
      </w:r>
    </w:p>
    <w:p w14:paraId="6258CA9E" w14:textId="77777777" w:rsidR="00940A99" w:rsidRPr="00712F3C" w:rsidRDefault="00940A99" w:rsidP="00940A99">
      <w:pPr>
        <w:pStyle w:val="Default"/>
        <w:jc w:val="both"/>
        <w:rPr>
          <w:i/>
          <w:sz w:val="20"/>
          <w:szCs w:val="20"/>
        </w:rPr>
      </w:pPr>
    </w:p>
    <w:p w14:paraId="5ADD6E9D" w14:textId="77777777" w:rsidR="00940A99" w:rsidRPr="00712F3C" w:rsidRDefault="00940A99" w:rsidP="00940A99">
      <w:pPr>
        <w:pStyle w:val="Default"/>
        <w:contextualSpacing/>
        <w:jc w:val="both"/>
        <w:rPr>
          <w:sz w:val="20"/>
          <w:szCs w:val="20"/>
        </w:rPr>
      </w:pPr>
      <w:r w:rsidRPr="00712F3C">
        <w:rPr>
          <w:sz w:val="20"/>
          <w:szCs w:val="20"/>
        </w:rPr>
        <w:t>Notes:</w:t>
      </w:r>
    </w:p>
    <w:p w14:paraId="7BE9597E" w14:textId="77777777" w:rsidR="00940A99" w:rsidRPr="00712F3C" w:rsidRDefault="00940A99" w:rsidP="00940A99">
      <w:pPr>
        <w:pStyle w:val="Default"/>
        <w:contextualSpacing/>
        <w:jc w:val="both"/>
        <w:rPr>
          <w:sz w:val="20"/>
          <w:szCs w:val="20"/>
        </w:rPr>
      </w:pPr>
    </w:p>
    <w:p w14:paraId="5186A47A" w14:textId="77777777" w:rsidR="00940A99" w:rsidRDefault="00940A99">
      <w:pPr>
        <w:numPr>
          <w:ilvl w:val="0"/>
          <w:numId w:val="285"/>
        </w:numPr>
        <w:autoSpaceDE w:val="0"/>
        <w:autoSpaceDN w:val="0"/>
        <w:adjustRightInd w:val="0"/>
        <w:spacing w:after="0" w:line="240" w:lineRule="auto"/>
        <w:ind w:left="426"/>
        <w:contextualSpacing/>
        <w:jc w:val="both"/>
        <w:rPr>
          <w:rFonts w:ascii="Times New Roman" w:hAnsi="Times New Roman"/>
          <w:sz w:val="20"/>
          <w:szCs w:val="20"/>
        </w:rPr>
      </w:pPr>
      <w:r w:rsidRPr="00712F3C">
        <w:rPr>
          <w:rFonts w:ascii="Times New Roman" w:hAnsi="Times New Roman"/>
          <w:sz w:val="20"/>
          <w:szCs w:val="20"/>
        </w:rPr>
        <w:t>The Issue is being made in terms of Chapter IX of the SEBI (ICDR) Regulations, 2018, as amended from time to time. This Issue is being made by our company in terms of Regulation of 229 (2) of SEBI ICDR Regulations read with Rule 19(2)(b)(i) of SCRR wherein not less than 25% of the post – issue paid up equity share capital of our company are being offered to the public for subscription.</w:t>
      </w:r>
    </w:p>
    <w:p w14:paraId="5B80C5D2" w14:textId="77777777" w:rsidR="00940A99" w:rsidRDefault="00940A99" w:rsidP="00940A99">
      <w:pPr>
        <w:autoSpaceDE w:val="0"/>
        <w:autoSpaceDN w:val="0"/>
        <w:adjustRightInd w:val="0"/>
        <w:spacing w:after="0" w:line="240" w:lineRule="auto"/>
        <w:ind w:left="426"/>
        <w:contextualSpacing/>
        <w:jc w:val="both"/>
        <w:rPr>
          <w:rFonts w:ascii="Times New Roman" w:hAnsi="Times New Roman"/>
          <w:sz w:val="20"/>
          <w:szCs w:val="20"/>
        </w:rPr>
      </w:pPr>
    </w:p>
    <w:p w14:paraId="4E0C3761" w14:textId="3560BEB4" w:rsidR="00940A99" w:rsidRPr="00940A99" w:rsidRDefault="00940A99">
      <w:pPr>
        <w:numPr>
          <w:ilvl w:val="0"/>
          <w:numId w:val="285"/>
        </w:numPr>
        <w:autoSpaceDE w:val="0"/>
        <w:autoSpaceDN w:val="0"/>
        <w:adjustRightInd w:val="0"/>
        <w:spacing w:after="0" w:line="240" w:lineRule="auto"/>
        <w:ind w:left="426"/>
        <w:contextualSpacing/>
        <w:jc w:val="both"/>
        <w:rPr>
          <w:rFonts w:ascii="Times New Roman" w:hAnsi="Times New Roman"/>
          <w:sz w:val="20"/>
          <w:szCs w:val="20"/>
        </w:rPr>
      </w:pPr>
      <w:r w:rsidRPr="00940A99">
        <w:rPr>
          <w:rFonts w:ascii="Times New Roman" w:hAnsi="Times New Roman"/>
          <w:sz w:val="20"/>
          <w:szCs w:val="20"/>
        </w:rPr>
        <w:t>The Present Issue of upto 49,92,000 Equity Shares in terms of this Draft Red Herring Prospectus has been authorized pursuant to a resolution of our Board of Directors dated August 25, 2023 and by special resolution passed under Section 62(1)(c) of the Companies Act, 2013 at an Extra Ordinary General Meeting of the members held on August 25, 2023</w:t>
      </w:r>
    </w:p>
    <w:p w14:paraId="726DA25F" w14:textId="77777777" w:rsidR="00940A99" w:rsidRPr="00712F3C" w:rsidRDefault="00940A99" w:rsidP="00940A99">
      <w:pPr>
        <w:autoSpaceDE w:val="0"/>
        <w:autoSpaceDN w:val="0"/>
        <w:adjustRightInd w:val="0"/>
        <w:spacing w:after="0" w:line="240" w:lineRule="auto"/>
        <w:ind w:left="426"/>
        <w:contextualSpacing/>
        <w:jc w:val="both"/>
        <w:rPr>
          <w:rFonts w:ascii="Times New Roman" w:hAnsi="Times New Roman"/>
          <w:sz w:val="20"/>
          <w:szCs w:val="20"/>
        </w:rPr>
      </w:pPr>
    </w:p>
    <w:p w14:paraId="45B5584F" w14:textId="4C8B262C" w:rsidR="00940A99" w:rsidRDefault="00940A99">
      <w:pPr>
        <w:numPr>
          <w:ilvl w:val="0"/>
          <w:numId w:val="285"/>
        </w:numPr>
        <w:autoSpaceDE w:val="0"/>
        <w:autoSpaceDN w:val="0"/>
        <w:adjustRightInd w:val="0"/>
        <w:spacing w:after="0" w:line="240" w:lineRule="auto"/>
        <w:ind w:left="426"/>
        <w:contextualSpacing/>
        <w:jc w:val="both"/>
        <w:rPr>
          <w:rFonts w:ascii="Times New Roman" w:hAnsi="Times New Roman"/>
          <w:sz w:val="20"/>
          <w:szCs w:val="20"/>
        </w:rPr>
      </w:pPr>
      <w:r w:rsidRPr="00712F3C">
        <w:rPr>
          <w:rFonts w:ascii="Times New Roman" w:hAnsi="Times New Roman"/>
          <w:sz w:val="20"/>
          <w:szCs w:val="20"/>
        </w:rPr>
        <w:t>The SEBI ICDR Regulations permit the issue of securities to the public through the Book Building Process, which states that, not less than 15% of the Net Issue shall be available for allocation on a proportionate basis to Non-Institutional Bidders and not less than 35% of the Net Issue shall be available for allocation on a proportionate basis to Retail Individual Bidders and not more than 50% of the Net Issue shall be allotted on a proportionate basis to QIBs, subject to valid Bids being received at or above the Issue Price. Accordingly, we have allocated the Net Issue i.e.</w:t>
      </w:r>
      <w:r>
        <w:rPr>
          <w:rFonts w:ascii="Times New Roman" w:hAnsi="Times New Roman"/>
          <w:sz w:val="20"/>
          <w:szCs w:val="20"/>
        </w:rPr>
        <w:t>,</w:t>
      </w:r>
      <w:r w:rsidRPr="00712F3C">
        <w:rPr>
          <w:rFonts w:ascii="Times New Roman" w:hAnsi="Times New Roman"/>
          <w:sz w:val="20"/>
          <w:szCs w:val="20"/>
        </w:rPr>
        <w:t xml:space="preserve"> not more than 50% of the Net Issue to QIB and not less than 35% of the Net Issue shall be available for allocation to Retail Individual Investors and not less than 15% of the Net Issue shall be available for allocation to </w:t>
      </w:r>
      <w:r>
        <w:rPr>
          <w:rFonts w:ascii="Times New Roman" w:hAnsi="Times New Roman"/>
          <w:sz w:val="20"/>
          <w:szCs w:val="20"/>
        </w:rPr>
        <w:t>n</w:t>
      </w:r>
      <w:r w:rsidRPr="00712F3C">
        <w:rPr>
          <w:rFonts w:ascii="Times New Roman" w:hAnsi="Times New Roman"/>
          <w:sz w:val="20"/>
          <w:szCs w:val="20"/>
        </w:rPr>
        <w:t>on-institutional bidders.</w:t>
      </w:r>
    </w:p>
    <w:p w14:paraId="57C295CA" w14:textId="77777777" w:rsidR="00940A99" w:rsidRDefault="00940A99" w:rsidP="00940A99">
      <w:pPr>
        <w:pStyle w:val="ListParagraph"/>
        <w:rPr>
          <w:sz w:val="20"/>
          <w:szCs w:val="20"/>
        </w:rPr>
      </w:pPr>
    </w:p>
    <w:p w14:paraId="5EF948FD" w14:textId="77777777" w:rsidR="00940A99" w:rsidRPr="00712F3C" w:rsidRDefault="00940A99">
      <w:pPr>
        <w:numPr>
          <w:ilvl w:val="0"/>
          <w:numId w:val="285"/>
        </w:numPr>
        <w:autoSpaceDE w:val="0"/>
        <w:autoSpaceDN w:val="0"/>
        <w:adjustRightInd w:val="0"/>
        <w:spacing w:after="0" w:line="240" w:lineRule="auto"/>
        <w:ind w:left="426"/>
        <w:contextualSpacing/>
        <w:jc w:val="both"/>
        <w:rPr>
          <w:rFonts w:ascii="Times New Roman" w:hAnsi="Times New Roman"/>
          <w:sz w:val="20"/>
          <w:szCs w:val="20"/>
        </w:rPr>
      </w:pPr>
      <w:r w:rsidRPr="00712F3C">
        <w:rPr>
          <w:rFonts w:ascii="Times New Roman" w:hAnsi="Times New Roman"/>
          <w:sz w:val="20"/>
          <w:szCs w:val="20"/>
        </w:rPr>
        <w:t>Subject to valid Bids being received at or above the Issue Price, undersubscription, if any, in any category, except in the QIB Portion, would be allowed to be met with spill-over from any other category or combination of categories of Bidders at the discretion of our Company in consultation with the Book Running Lead Managers and the Designated Stock Exchange, subject to applicable laws.</w:t>
      </w:r>
    </w:p>
    <w:p w14:paraId="1C720441" w14:textId="77777777" w:rsidR="00940A99" w:rsidRPr="00712F3C" w:rsidRDefault="00940A99" w:rsidP="00940A99">
      <w:pPr>
        <w:autoSpaceDE w:val="0"/>
        <w:autoSpaceDN w:val="0"/>
        <w:adjustRightInd w:val="0"/>
        <w:spacing w:after="0" w:line="240" w:lineRule="auto"/>
        <w:ind w:left="720"/>
        <w:contextualSpacing/>
        <w:jc w:val="both"/>
        <w:rPr>
          <w:rFonts w:ascii="Times New Roman" w:hAnsi="Times New Roman"/>
          <w:sz w:val="20"/>
          <w:szCs w:val="20"/>
        </w:rPr>
      </w:pPr>
    </w:p>
    <w:p w14:paraId="01C75989" w14:textId="065C079D" w:rsidR="00940A99" w:rsidRDefault="00940A99" w:rsidP="00940A99">
      <w:pPr>
        <w:spacing w:after="0" w:line="240" w:lineRule="auto"/>
        <w:contextualSpacing/>
        <w:jc w:val="both"/>
        <w:rPr>
          <w:rFonts w:ascii="Times New Roman" w:eastAsia="Calibri" w:hAnsi="Times New Roman"/>
          <w:sz w:val="20"/>
          <w:szCs w:val="20"/>
          <w:lang w:val="en-GB"/>
        </w:rPr>
      </w:pPr>
      <w:r w:rsidRPr="00712F3C">
        <w:rPr>
          <w:rFonts w:ascii="Times New Roman" w:hAnsi="Times New Roman"/>
          <w:sz w:val="20"/>
          <w:szCs w:val="20"/>
        </w:rPr>
        <w:t xml:space="preserve">Our Company may, in consultation with the Book Running Lead Manager, allocate up to 60% of the QIB Portion to Anchor Investors on a discretionary basis in accordance with the SEBI ICDR Regulations. One-third of the Anchor Investor Portion shall be reserved for domestic Mutual Funds, subject to valid Bids being received from domestic Mutual Funds at or above the Anchor Investor Allocation Price. In the event of under-subscription in the Anchor Investor Portion, the remaining Equity Shares shall be added to the QIB Portion. Further, 5% of the Net QIB Portion shall be available for allocation on a proportionate basis to Mutual Funds only, and the remainder of the QIB Portion shall be available for allocation on a proportionate basis to all QIB Bidders (other than Anchor Investors), including Mutual Funds, subject to valid Bids being received at or above the Issue Price. However, if the aggregate demand from Mutual Funds is less than 5% of the Net QIB Portion, the balance Equity Shares available for allotment in the Mutual Fund Portion will be added to the Net QIB Portion and allocated proportionately to the QIB Bidders (other than Anchor Investors) in proportion to their Bids. For further details, please refer section titled </w:t>
      </w:r>
      <w:r w:rsidRPr="00712F3C">
        <w:rPr>
          <w:rFonts w:ascii="Times New Roman" w:hAnsi="Times New Roman"/>
          <w:b/>
          <w:i/>
          <w:sz w:val="20"/>
          <w:szCs w:val="20"/>
        </w:rPr>
        <w:t>“Issue Procedure”</w:t>
      </w:r>
      <w:r w:rsidRPr="00712F3C">
        <w:rPr>
          <w:rFonts w:ascii="Times New Roman" w:hAnsi="Times New Roman"/>
          <w:sz w:val="20"/>
          <w:szCs w:val="20"/>
        </w:rPr>
        <w:t xml:space="preserve"> beginning on page </w:t>
      </w:r>
      <w:r>
        <w:rPr>
          <w:rFonts w:ascii="Times New Roman" w:hAnsi="Times New Roman"/>
          <w:iCs/>
          <w:sz w:val="20"/>
          <w:szCs w:val="20"/>
        </w:rPr>
        <w:t>216</w:t>
      </w:r>
      <w:r w:rsidRPr="00712F3C">
        <w:rPr>
          <w:rFonts w:ascii="Times New Roman" w:hAnsi="Times New Roman"/>
          <w:sz w:val="20"/>
          <w:szCs w:val="20"/>
        </w:rPr>
        <w:t xml:space="preserve"> of this Draft Red Herring Prospectus</w:t>
      </w:r>
      <w:r w:rsidRPr="00712F3C">
        <w:rPr>
          <w:rFonts w:ascii="Times New Roman" w:eastAsia="Calibri" w:hAnsi="Times New Roman"/>
          <w:sz w:val="20"/>
          <w:szCs w:val="20"/>
          <w:lang w:val="en-GB"/>
        </w:rPr>
        <w:t>.</w:t>
      </w:r>
    </w:p>
    <w:p w14:paraId="139CBF4B" w14:textId="77777777" w:rsidR="00940A99" w:rsidRDefault="00940A99">
      <w:pPr>
        <w:spacing w:after="160" w:line="259" w:lineRule="auto"/>
        <w:rPr>
          <w:rFonts w:ascii="Times New Roman" w:eastAsia="Calibri" w:hAnsi="Times New Roman"/>
          <w:sz w:val="20"/>
          <w:szCs w:val="20"/>
          <w:lang w:val="en-GB"/>
        </w:rPr>
      </w:pPr>
      <w:r>
        <w:rPr>
          <w:rFonts w:ascii="Times New Roman" w:eastAsia="Calibri" w:hAnsi="Times New Roman"/>
          <w:sz w:val="20"/>
          <w:szCs w:val="20"/>
          <w:lang w:val="en-GB"/>
        </w:rPr>
        <w:br w:type="page"/>
      </w:r>
    </w:p>
    <w:p w14:paraId="38B156CF" w14:textId="3D2BAB93" w:rsidR="00940A99" w:rsidRDefault="00940A99" w:rsidP="00940A99">
      <w:pPr>
        <w:spacing w:after="0" w:line="240" w:lineRule="auto"/>
        <w:contextualSpacing/>
        <w:jc w:val="center"/>
        <w:rPr>
          <w:rFonts w:ascii="Times New Roman" w:hAnsi="Times New Roman"/>
          <w:b/>
          <w:bCs/>
          <w:sz w:val="20"/>
          <w:szCs w:val="20"/>
          <w:u w:val="single"/>
        </w:rPr>
      </w:pPr>
      <w:r w:rsidRPr="00940A99">
        <w:rPr>
          <w:rFonts w:ascii="Times New Roman" w:hAnsi="Times New Roman"/>
          <w:b/>
          <w:bCs/>
          <w:sz w:val="20"/>
          <w:szCs w:val="20"/>
          <w:u w:val="single"/>
        </w:rPr>
        <w:lastRenderedPageBreak/>
        <w:t>SUMMARY OF OUR FINANCIALS</w:t>
      </w:r>
    </w:p>
    <w:p w14:paraId="1DAE3A51" w14:textId="77777777" w:rsidR="00940A99" w:rsidRPr="00940A99" w:rsidRDefault="00940A99" w:rsidP="00940A99">
      <w:pPr>
        <w:spacing w:after="0" w:line="240" w:lineRule="auto"/>
        <w:contextualSpacing/>
        <w:jc w:val="center"/>
        <w:rPr>
          <w:rFonts w:ascii="Times New Roman" w:hAnsi="Times New Roman"/>
          <w:b/>
          <w:bCs/>
          <w:sz w:val="20"/>
          <w:szCs w:val="20"/>
          <w:u w:val="single"/>
        </w:rPr>
      </w:pPr>
    </w:p>
    <w:p w14:paraId="657D7F6C" w14:textId="77777777" w:rsidR="00940A99" w:rsidRPr="005B12AE" w:rsidRDefault="00940A99" w:rsidP="00940A99">
      <w:pPr>
        <w:spacing w:after="0"/>
        <w:jc w:val="center"/>
        <w:rPr>
          <w:rFonts w:ascii="Times New Roman" w:hAnsi="Times New Roman"/>
          <w:b/>
          <w:bCs/>
          <w:sz w:val="20"/>
          <w:szCs w:val="20"/>
        </w:rPr>
      </w:pPr>
      <w:r w:rsidRPr="005B12AE">
        <w:rPr>
          <w:rFonts w:ascii="Times New Roman" w:hAnsi="Times New Roman"/>
          <w:b/>
          <w:bCs/>
          <w:sz w:val="20"/>
          <w:szCs w:val="20"/>
        </w:rPr>
        <w:t>ANNEXURE – I</w:t>
      </w:r>
    </w:p>
    <w:p w14:paraId="5C5D19A4" w14:textId="77777777" w:rsidR="00940A99" w:rsidRDefault="00940A99" w:rsidP="00940A99">
      <w:pPr>
        <w:spacing w:after="0"/>
        <w:jc w:val="center"/>
        <w:rPr>
          <w:rFonts w:ascii="Times New Roman" w:hAnsi="Times New Roman"/>
          <w:b/>
          <w:bCs/>
          <w:sz w:val="20"/>
          <w:szCs w:val="20"/>
        </w:rPr>
      </w:pPr>
      <w:r w:rsidRPr="005B12AE">
        <w:rPr>
          <w:rFonts w:ascii="Times New Roman" w:hAnsi="Times New Roman"/>
          <w:b/>
          <w:bCs/>
          <w:sz w:val="20"/>
          <w:szCs w:val="20"/>
        </w:rPr>
        <w:t>RESTATED STATEMENT OF ASSETS AND LIABILITIES</w:t>
      </w:r>
    </w:p>
    <w:p w14:paraId="595CE328" w14:textId="77777777" w:rsidR="00940A99" w:rsidRPr="005B12AE" w:rsidRDefault="00940A99" w:rsidP="00940A99">
      <w:pPr>
        <w:spacing w:after="0"/>
        <w:jc w:val="center"/>
        <w:rPr>
          <w:rFonts w:ascii="Times New Roman" w:hAnsi="Times New Roman"/>
          <w:b/>
          <w:bCs/>
          <w:sz w:val="20"/>
          <w:szCs w:val="20"/>
        </w:rPr>
      </w:pPr>
    </w:p>
    <w:p w14:paraId="6EDB443F" w14:textId="77777777" w:rsidR="00940A99" w:rsidRPr="005B12AE" w:rsidRDefault="00940A99" w:rsidP="00940A99">
      <w:pPr>
        <w:spacing w:after="0"/>
        <w:jc w:val="right"/>
        <w:rPr>
          <w:rFonts w:ascii="Times New Roman" w:hAnsi="Times New Roman"/>
          <w:b/>
          <w:bCs/>
          <w:sz w:val="20"/>
          <w:szCs w:val="20"/>
        </w:rPr>
      </w:pPr>
      <w:r w:rsidRPr="005B12AE">
        <w:rPr>
          <w:rFonts w:ascii="Times New Roman" w:hAnsi="Times New Roman"/>
          <w:b/>
          <w:bCs/>
          <w:sz w:val="20"/>
          <w:szCs w:val="20"/>
        </w:rPr>
        <w:t>(₹ in Lakhs)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573"/>
        <w:gridCol w:w="4141"/>
        <w:gridCol w:w="1767"/>
        <w:gridCol w:w="1746"/>
        <w:gridCol w:w="1748"/>
      </w:tblGrid>
      <w:tr w:rsidR="00940A99" w:rsidRPr="005B12AE" w14:paraId="3C1C7E1D" w14:textId="77777777" w:rsidTr="00940A99">
        <w:trPr>
          <w:trHeight w:val="20"/>
        </w:trPr>
        <w:tc>
          <w:tcPr>
            <w:tcW w:w="2484" w:type="pct"/>
            <w:gridSpan w:val="3"/>
            <w:vMerge w:val="restart"/>
            <w:shd w:val="clear" w:color="auto" w:fill="D0CECE" w:themeFill="background2" w:themeFillShade="E6"/>
            <w:vAlign w:val="center"/>
          </w:tcPr>
          <w:p w14:paraId="6CD6101B"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Particulars</w:t>
            </w:r>
          </w:p>
        </w:tc>
        <w:tc>
          <w:tcPr>
            <w:tcW w:w="2516" w:type="pct"/>
            <w:gridSpan w:val="3"/>
            <w:shd w:val="clear" w:color="auto" w:fill="D0CECE" w:themeFill="background2" w:themeFillShade="E6"/>
            <w:noWrap/>
            <w:vAlign w:val="bottom"/>
            <w:hideMark/>
          </w:tcPr>
          <w:p w14:paraId="6581B57E"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As at</w:t>
            </w:r>
          </w:p>
        </w:tc>
      </w:tr>
      <w:tr w:rsidR="00940A99" w:rsidRPr="005B12AE" w14:paraId="270AC6AB" w14:textId="77777777" w:rsidTr="00940A99">
        <w:trPr>
          <w:trHeight w:val="20"/>
        </w:trPr>
        <w:tc>
          <w:tcPr>
            <w:tcW w:w="2484" w:type="pct"/>
            <w:gridSpan w:val="3"/>
            <w:vMerge/>
            <w:shd w:val="clear" w:color="auto" w:fill="D0CECE" w:themeFill="background2" w:themeFillShade="E6"/>
            <w:vAlign w:val="center"/>
          </w:tcPr>
          <w:p w14:paraId="2C1EE21F" w14:textId="77777777" w:rsidR="00940A99" w:rsidRPr="005B12AE" w:rsidRDefault="00940A99" w:rsidP="00250DAC">
            <w:pPr>
              <w:spacing w:after="0" w:line="240" w:lineRule="auto"/>
              <w:rPr>
                <w:rFonts w:ascii="Times New Roman" w:hAnsi="Times New Roman"/>
                <w:b/>
                <w:bCs/>
                <w:sz w:val="20"/>
                <w:szCs w:val="20"/>
              </w:rPr>
            </w:pPr>
          </w:p>
        </w:tc>
        <w:tc>
          <w:tcPr>
            <w:tcW w:w="845" w:type="pct"/>
            <w:shd w:val="clear" w:color="auto" w:fill="D0CECE" w:themeFill="background2" w:themeFillShade="E6"/>
            <w:noWrap/>
            <w:vAlign w:val="bottom"/>
            <w:hideMark/>
          </w:tcPr>
          <w:p w14:paraId="177396BA"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31/03/2023</w:t>
            </w:r>
          </w:p>
        </w:tc>
        <w:tc>
          <w:tcPr>
            <w:tcW w:w="835" w:type="pct"/>
            <w:shd w:val="clear" w:color="auto" w:fill="D0CECE" w:themeFill="background2" w:themeFillShade="E6"/>
            <w:noWrap/>
            <w:vAlign w:val="bottom"/>
            <w:hideMark/>
          </w:tcPr>
          <w:p w14:paraId="486A0941"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31/03/2022</w:t>
            </w:r>
          </w:p>
        </w:tc>
        <w:tc>
          <w:tcPr>
            <w:tcW w:w="836" w:type="pct"/>
            <w:shd w:val="clear" w:color="auto" w:fill="D0CECE" w:themeFill="background2" w:themeFillShade="E6"/>
            <w:noWrap/>
            <w:vAlign w:val="bottom"/>
            <w:hideMark/>
          </w:tcPr>
          <w:p w14:paraId="26F1D87C"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31/03/2021</w:t>
            </w:r>
          </w:p>
        </w:tc>
      </w:tr>
      <w:tr w:rsidR="00940A99" w:rsidRPr="005B12AE" w14:paraId="53E7D17D" w14:textId="77777777" w:rsidTr="00940A99">
        <w:trPr>
          <w:trHeight w:val="20"/>
        </w:trPr>
        <w:tc>
          <w:tcPr>
            <w:tcW w:w="230" w:type="pct"/>
            <w:shd w:val="clear" w:color="auto" w:fill="auto"/>
            <w:noWrap/>
            <w:vAlign w:val="bottom"/>
            <w:hideMark/>
          </w:tcPr>
          <w:p w14:paraId="63745BBF"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A)</w:t>
            </w:r>
          </w:p>
        </w:tc>
        <w:tc>
          <w:tcPr>
            <w:tcW w:w="2254" w:type="pct"/>
            <w:gridSpan w:val="2"/>
            <w:shd w:val="clear" w:color="auto" w:fill="auto"/>
            <w:noWrap/>
            <w:vAlign w:val="bottom"/>
            <w:hideMark/>
          </w:tcPr>
          <w:p w14:paraId="01F08F20"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EQUITY AND LIABILITIES</w:t>
            </w:r>
          </w:p>
        </w:tc>
        <w:tc>
          <w:tcPr>
            <w:tcW w:w="845" w:type="pct"/>
            <w:shd w:val="clear" w:color="auto" w:fill="auto"/>
            <w:noWrap/>
            <w:vAlign w:val="bottom"/>
            <w:hideMark/>
          </w:tcPr>
          <w:p w14:paraId="56D6625B" w14:textId="77777777" w:rsidR="00940A99" w:rsidRPr="005B12AE" w:rsidRDefault="00940A99" w:rsidP="00250DAC">
            <w:pPr>
              <w:spacing w:after="0" w:line="240" w:lineRule="auto"/>
              <w:jc w:val="center"/>
              <w:rPr>
                <w:rFonts w:ascii="Times New Roman" w:hAnsi="Times New Roman"/>
                <w:sz w:val="20"/>
                <w:szCs w:val="20"/>
              </w:rPr>
            </w:pPr>
          </w:p>
        </w:tc>
        <w:tc>
          <w:tcPr>
            <w:tcW w:w="835" w:type="pct"/>
            <w:shd w:val="clear" w:color="auto" w:fill="auto"/>
            <w:noWrap/>
            <w:vAlign w:val="bottom"/>
            <w:hideMark/>
          </w:tcPr>
          <w:p w14:paraId="79881E61" w14:textId="77777777" w:rsidR="00940A99" w:rsidRPr="005B12AE" w:rsidRDefault="00940A99" w:rsidP="00250DAC">
            <w:pPr>
              <w:spacing w:after="0" w:line="240" w:lineRule="auto"/>
              <w:jc w:val="center"/>
              <w:rPr>
                <w:rFonts w:ascii="Times New Roman" w:hAnsi="Times New Roman"/>
                <w:sz w:val="20"/>
                <w:szCs w:val="20"/>
              </w:rPr>
            </w:pPr>
          </w:p>
        </w:tc>
        <w:tc>
          <w:tcPr>
            <w:tcW w:w="836" w:type="pct"/>
            <w:shd w:val="clear" w:color="auto" w:fill="auto"/>
            <w:noWrap/>
            <w:vAlign w:val="bottom"/>
            <w:hideMark/>
          </w:tcPr>
          <w:p w14:paraId="76025E47" w14:textId="77777777" w:rsidR="00940A99" w:rsidRPr="005B12AE" w:rsidRDefault="00940A99" w:rsidP="00250DAC">
            <w:pPr>
              <w:spacing w:after="0" w:line="240" w:lineRule="auto"/>
              <w:jc w:val="center"/>
              <w:rPr>
                <w:rFonts w:ascii="Times New Roman" w:hAnsi="Times New Roman"/>
                <w:sz w:val="20"/>
                <w:szCs w:val="20"/>
              </w:rPr>
            </w:pPr>
          </w:p>
        </w:tc>
      </w:tr>
      <w:tr w:rsidR="00940A99" w:rsidRPr="005B12AE" w14:paraId="743F6B86" w14:textId="77777777" w:rsidTr="00940A99">
        <w:trPr>
          <w:trHeight w:val="20"/>
        </w:trPr>
        <w:tc>
          <w:tcPr>
            <w:tcW w:w="230" w:type="pct"/>
            <w:shd w:val="clear" w:color="auto" w:fill="auto"/>
            <w:noWrap/>
            <w:vAlign w:val="bottom"/>
            <w:hideMark/>
          </w:tcPr>
          <w:p w14:paraId="7F5C8073"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1.</w:t>
            </w:r>
          </w:p>
        </w:tc>
        <w:tc>
          <w:tcPr>
            <w:tcW w:w="2254" w:type="pct"/>
            <w:gridSpan w:val="2"/>
            <w:shd w:val="clear" w:color="auto" w:fill="auto"/>
            <w:noWrap/>
            <w:vAlign w:val="bottom"/>
            <w:hideMark/>
          </w:tcPr>
          <w:p w14:paraId="1AB8A607"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 xml:space="preserve">Shareholders' Funds </w:t>
            </w:r>
          </w:p>
        </w:tc>
        <w:tc>
          <w:tcPr>
            <w:tcW w:w="845" w:type="pct"/>
            <w:shd w:val="clear" w:color="auto" w:fill="auto"/>
            <w:noWrap/>
            <w:vAlign w:val="bottom"/>
            <w:hideMark/>
          </w:tcPr>
          <w:p w14:paraId="245C01BA" w14:textId="77777777" w:rsidR="00940A99" w:rsidRPr="005B12AE" w:rsidRDefault="00940A99" w:rsidP="00250DAC">
            <w:pPr>
              <w:spacing w:after="0" w:line="240" w:lineRule="auto"/>
              <w:jc w:val="center"/>
              <w:rPr>
                <w:rFonts w:ascii="Times New Roman" w:hAnsi="Times New Roman"/>
                <w:sz w:val="20"/>
                <w:szCs w:val="20"/>
              </w:rPr>
            </w:pPr>
          </w:p>
        </w:tc>
        <w:tc>
          <w:tcPr>
            <w:tcW w:w="835" w:type="pct"/>
            <w:shd w:val="clear" w:color="auto" w:fill="auto"/>
            <w:noWrap/>
            <w:vAlign w:val="bottom"/>
            <w:hideMark/>
          </w:tcPr>
          <w:p w14:paraId="78BB07DF" w14:textId="77777777" w:rsidR="00940A99" w:rsidRPr="005B12AE" w:rsidRDefault="00940A99" w:rsidP="00250DAC">
            <w:pPr>
              <w:spacing w:after="0" w:line="240" w:lineRule="auto"/>
              <w:jc w:val="center"/>
              <w:rPr>
                <w:rFonts w:ascii="Times New Roman" w:hAnsi="Times New Roman"/>
                <w:sz w:val="20"/>
                <w:szCs w:val="20"/>
              </w:rPr>
            </w:pPr>
          </w:p>
        </w:tc>
        <w:tc>
          <w:tcPr>
            <w:tcW w:w="836" w:type="pct"/>
            <w:shd w:val="clear" w:color="auto" w:fill="auto"/>
            <w:noWrap/>
            <w:vAlign w:val="bottom"/>
            <w:hideMark/>
          </w:tcPr>
          <w:p w14:paraId="3A29E4E8" w14:textId="77777777" w:rsidR="00940A99" w:rsidRPr="005B12AE" w:rsidRDefault="00940A99" w:rsidP="00250DAC">
            <w:pPr>
              <w:spacing w:after="0" w:line="240" w:lineRule="auto"/>
              <w:jc w:val="center"/>
              <w:rPr>
                <w:rFonts w:ascii="Times New Roman" w:hAnsi="Times New Roman"/>
                <w:sz w:val="20"/>
                <w:szCs w:val="20"/>
              </w:rPr>
            </w:pPr>
          </w:p>
        </w:tc>
      </w:tr>
      <w:tr w:rsidR="00940A99" w:rsidRPr="005B12AE" w14:paraId="41452F87" w14:textId="77777777" w:rsidTr="00940A99">
        <w:trPr>
          <w:trHeight w:val="20"/>
        </w:trPr>
        <w:tc>
          <w:tcPr>
            <w:tcW w:w="230" w:type="pct"/>
            <w:shd w:val="clear" w:color="auto" w:fill="auto"/>
            <w:noWrap/>
            <w:vAlign w:val="bottom"/>
            <w:hideMark/>
          </w:tcPr>
          <w:p w14:paraId="400CEC51"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(a)</w:t>
            </w:r>
          </w:p>
        </w:tc>
        <w:tc>
          <w:tcPr>
            <w:tcW w:w="2254" w:type="pct"/>
            <w:gridSpan w:val="2"/>
            <w:shd w:val="clear" w:color="auto" w:fill="auto"/>
            <w:noWrap/>
            <w:vAlign w:val="bottom"/>
            <w:hideMark/>
          </w:tcPr>
          <w:p w14:paraId="4AD2A3FC"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Share Capital</w:t>
            </w:r>
          </w:p>
        </w:tc>
        <w:tc>
          <w:tcPr>
            <w:tcW w:w="845" w:type="pct"/>
            <w:shd w:val="clear" w:color="auto" w:fill="auto"/>
            <w:noWrap/>
            <w:vAlign w:val="bottom"/>
            <w:hideMark/>
          </w:tcPr>
          <w:p w14:paraId="5FADBE51"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1,380.55</w:t>
            </w:r>
          </w:p>
        </w:tc>
        <w:tc>
          <w:tcPr>
            <w:tcW w:w="835" w:type="pct"/>
            <w:shd w:val="clear" w:color="auto" w:fill="auto"/>
            <w:noWrap/>
            <w:vAlign w:val="bottom"/>
            <w:hideMark/>
          </w:tcPr>
          <w:p w14:paraId="276B0058"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1,380.55</w:t>
            </w:r>
          </w:p>
        </w:tc>
        <w:tc>
          <w:tcPr>
            <w:tcW w:w="836" w:type="pct"/>
            <w:shd w:val="clear" w:color="auto" w:fill="auto"/>
            <w:noWrap/>
            <w:vAlign w:val="bottom"/>
            <w:hideMark/>
          </w:tcPr>
          <w:p w14:paraId="4EF8FE6B"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1,380.55</w:t>
            </w:r>
          </w:p>
        </w:tc>
      </w:tr>
      <w:tr w:rsidR="00940A99" w:rsidRPr="005B12AE" w14:paraId="3BBF2657" w14:textId="77777777" w:rsidTr="00940A99">
        <w:trPr>
          <w:trHeight w:val="20"/>
        </w:trPr>
        <w:tc>
          <w:tcPr>
            <w:tcW w:w="230" w:type="pct"/>
            <w:shd w:val="clear" w:color="auto" w:fill="auto"/>
            <w:noWrap/>
            <w:vAlign w:val="bottom"/>
            <w:hideMark/>
          </w:tcPr>
          <w:p w14:paraId="163D3406"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(b)</w:t>
            </w:r>
          </w:p>
        </w:tc>
        <w:tc>
          <w:tcPr>
            <w:tcW w:w="2254" w:type="pct"/>
            <w:gridSpan w:val="2"/>
            <w:shd w:val="clear" w:color="auto" w:fill="auto"/>
            <w:noWrap/>
            <w:vAlign w:val="bottom"/>
            <w:hideMark/>
          </w:tcPr>
          <w:p w14:paraId="450185D3"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Reserves &amp; Surplus</w:t>
            </w:r>
          </w:p>
        </w:tc>
        <w:tc>
          <w:tcPr>
            <w:tcW w:w="845" w:type="pct"/>
            <w:shd w:val="clear" w:color="auto" w:fill="auto"/>
            <w:noWrap/>
            <w:vAlign w:val="bottom"/>
            <w:hideMark/>
          </w:tcPr>
          <w:p w14:paraId="1A1853DD"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3,261.57</w:t>
            </w:r>
          </w:p>
        </w:tc>
        <w:tc>
          <w:tcPr>
            <w:tcW w:w="835" w:type="pct"/>
            <w:shd w:val="clear" w:color="auto" w:fill="auto"/>
            <w:noWrap/>
            <w:vAlign w:val="bottom"/>
            <w:hideMark/>
          </w:tcPr>
          <w:p w14:paraId="325615FC"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2,496.16</w:t>
            </w:r>
          </w:p>
        </w:tc>
        <w:tc>
          <w:tcPr>
            <w:tcW w:w="836" w:type="pct"/>
            <w:shd w:val="clear" w:color="auto" w:fill="auto"/>
            <w:noWrap/>
            <w:vAlign w:val="bottom"/>
            <w:hideMark/>
          </w:tcPr>
          <w:p w14:paraId="2B963013"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2,173.68</w:t>
            </w:r>
          </w:p>
        </w:tc>
      </w:tr>
      <w:tr w:rsidR="00940A99" w:rsidRPr="005B12AE" w14:paraId="0A8D7F58" w14:textId="77777777" w:rsidTr="00940A99">
        <w:trPr>
          <w:trHeight w:val="20"/>
        </w:trPr>
        <w:tc>
          <w:tcPr>
            <w:tcW w:w="230" w:type="pct"/>
            <w:shd w:val="clear" w:color="auto" w:fill="auto"/>
            <w:noWrap/>
            <w:vAlign w:val="bottom"/>
            <w:hideMark/>
          </w:tcPr>
          <w:p w14:paraId="2F2E9E7D"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(c)</w:t>
            </w:r>
          </w:p>
        </w:tc>
        <w:tc>
          <w:tcPr>
            <w:tcW w:w="2254" w:type="pct"/>
            <w:gridSpan w:val="2"/>
            <w:shd w:val="clear" w:color="auto" w:fill="auto"/>
            <w:noWrap/>
            <w:vAlign w:val="bottom"/>
            <w:hideMark/>
          </w:tcPr>
          <w:p w14:paraId="2A82F4CF"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Share Application Money</w:t>
            </w:r>
          </w:p>
        </w:tc>
        <w:tc>
          <w:tcPr>
            <w:tcW w:w="845" w:type="pct"/>
            <w:shd w:val="clear" w:color="auto" w:fill="auto"/>
            <w:noWrap/>
            <w:vAlign w:val="bottom"/>
            <w:hideMark/>
          </w:tcPr>
          <w:p w14:paraId="13427F88"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35" w:type="pct"/>
            <w:shd w:val="clear" w:color="auto" w:fill="auto"/>
            <w:noWrap/>
            <w:vAlign w:val="bottom"/>
            <w:hideMark/>
          </w:tcPr>
          <w:p w14:paraId="7923327C"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36" w:type="pct"/>
            <w:shd w:val="clear" w:color="auto" w:fill="auto"/>
            <w:noWrap/>
            <w:vAlign w:val="bottom"/>
            <w:hideMark/>
          </w:tcPr>
          <w:p w14:paraId="5654B415"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940A99" w:rsidRPr="005B12AE" w14:paraId="66A37D03" w14:textId="77777777" w:rsidTr="00940A99">
        <w:trPr>
          <w:trHeight w:val="20"/>
        </w:trPr>
        <w:tc>
          <w:tcPr>
            <w:tcW w:w="230" w:type="pct"/>
            <w:shd w:val="clear" w:color="auto" w:fill="auto"/>
            <w:noWrap/>
            <w:vAlign w:val="bottom"/>
            <w:hideMark/>
          </w:tcPr>
          <w:p w14:paraId="715B1427" w14:textId="77777777" w:rsidR="00940A99" w:rsidRPr="005B12AE" w:rsidRDefault="00940A99" w:rsidP="00250DAC">
            <w:pPr>
              <w:spacing w:after="0" w:line="240" w:lineRule="auto"/>
              <w:rPr>
                <w:rFonts w:ascii="Times New Roman" w:hAnsi="Times New Roman"/>
                <w:sz w:val="20"/>
                <w:szCs w:val="20"/>
              </w:rPr>
            </w:pPr>
          </w:p>
        </w:tc>
        <w:tc>
          <w:tcPr>
            <w:tcW w:w="2254" w:type="pct"/>
            <w:gridSpan w:val="2"/>
            <w:shd w:val="clear" w:color="auto" w:fill="auto"/>
            <w:noWrap/>
            <w:vAlign w:val="bottom"/>
            <w:hideMark/>
          </w:tcPr>
          <w:p w14:paraId="4E211D6B" w14:textId="77777777" w:rsidR="00940A99" w:rsidRPr="005B12AE" w:rsidRDefault="00940A99" w:rsidP="00250DAC">
            <w:pPr>
              <w:spacing w:after="0" w:line="240" w:lineRule="auto"/>
              <w:rPr>
                <w:rFonts w:ascii="Times New Roman" w:hAnsi="Times New Roman"/>
                <w:sz w:val="20"/>
                <w:szCs w:val="20"/>
              </w:rPr>
            </w:pPr>
          </w:p>
        </w:tc>
        <w:tc>
          <w:tcPr>
            <w:tcW w:w="845" w:type="pct"/>
            <w:shd w:val="clear" w:color="auto" w:fill="auto"/>
            <w:noWrap/>
            <w:vAlign w:val="bottom"/>
            <w:hideMark/>
          </w:tcPr>
          <w:p w14:paraId="2D83A0CE"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4,642.12</w:t>
            </w:r>
          </w:p>
        </w:tc>
        <w:tc>
          <w:tcPr>
            <w:tcW w:w="835" w:type="pct"/>
            <w:shd w:val="clear" w:color="auto" w:fill="auto"/>
            <w:noWrap/>
            <w:vAlign w:val="bottom"/>
            <w:hideMark/>
          </w:tcPr>
          <w:p w14:paraId="2DBCCE30"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3,876.71</w:t>
            </w:r>
          </w:p>
        </w:tc>
        <w:tc>
          <w:tcPr>
            <w:tcW w:w="836" w:type="pct"/>
            <w:shd w:val="clear" w:color="auto" w:fill="auto"/>
            <w:noWrap/>
            <w:vAlign w:val="bottom"/>
            <w:hideMark/>
          </w:tcPr>
          <w:p w14:paraId="3F3EC8A0"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3,554.23</w:t>
            </w:r>
          </w:p>
        </w:tc>
      </w:tr>
      <w:tr w:rsidR="00940A99" w:rsidRPr="005B12AE" w14:paraId="52D510E3" w14:textId="77777777" w:rsidTr="00940A99">
        <w:trPr>
          <w:trHeight w:val="20"/>
        </w:trPr>
        <w:tc>
          <w:tcPr>
            <w:tcW w:w="230" w:type="pct"/>
            <w:shd w:val="clear" w:color="auto" w:fill="auto"/>
            <w:noWrap/>
            <w:vAlign w:val="bottom"/>
            <w:hideMark/>
          </w:tcPr>
          <w:p w14:paraId="28FFC298"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2.</w:t>
            </w:r>
          </w:p>
        </w:tc>
        <w:tc>
          <w:tcPr>
            <w:tcW w:w="2254" w:type="pct"/>
            <w:gridSpan w:val="2"/>
            <w:shd w:val="clear" w:color="auto" w:fill="auto"/>
            <w:noWrap/>
            <w:vAlign w:val="bottom"/>
            <w:hideMark/>
          </w:tcPr>
          <w:p w14:paraId="76D90746"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 xml:space="preserve">Non-Current Liabilities </w:t>
            </w:r>
          </w:p>
        </w:tc>
        <w:tc>
          <w:tcPr>
            <w:tcW w:w="845" w:type="pct"/>
            <w:shd w:val="clear" w:color="auto" w:fill="auto"/>
            <w:noWrap/>
            <w:vAlign w:val="bottom"/>
            <w:hideMark/>
          </w:tcPr>
          <w:p w14:paraId="31D8ABAB" w14:textId="77777777" w:rsidR="00940A99" w:rsidRPr="005B12AE" w:rsidRDefault="00940A99" w:rsidP="00250DAC">
            <w:pPr>
              <w:spacing w:after="0" w:line="240" w:lineRule="auto"/>
              <w:jc w:val="center"/>
              <w:rPr>
                <w:rFonts w:ascii="Times New Roman" w:hAnsi="Times New Roman"/>
                <w:sz w:val="20"/>
                <w:szCs w:val="20"/>
              </w:rPr>
            </w:pPr>
          </w:p>
        </w:tc>
        <w:tc>
          <w:tcPr>
            <w:tcW w:w="835" w:type="pct"/>
            <w:shd w:val="clear" w:color="auto" w:fill="auto"/>
            <w:noWrap/>
            <w:vAlign w:val="bottom"/>
            <w:hideMark/>
          </w:tcPr>
          <w:p w14:paraId="603E852D" w14:textId="77777777" w:rsidR="00940A99" w:rsidRPr="005B12AE" w:rsidRDefault="00940A99" w:rsidP="00250DAC">
            <w:pPr>
              <w:spacing w:after="0" w:line="240" w:lineRule="auto"/>
              <w:jc w:val="center"/>
              <w:rPr>
                <w:rFonts w:ascii="Times New Roman" w:hAnsi="Times New Roman"/>
                <w:sz w:val="20"/>
                <w:szCs w:val="20"/>
              </w:rPr>
            </w:pPr>
          </w:p>
        </w:tc>
        <w:tc>
          <w:tcPr>
            <w:tcW w:w="836" w:type="pct"/>
            <w:shd w:val="clear" w:color="auto" w:fill="auto"/>
            <w:noWrap/>
            <w:vAlign w:val="bottom"/>
            <w:hideMark/>
          </w:tcPr>
          <w:p w14:paraId="5988092E" w14:textId="77777777" w:rsidR="00940A99" w:rsidRPr="005B12AE" w:rsidRDefault="00940A99" w:rsidP="00250DAC">
            <w:pPr>
              <w:spacing w:after="0" w:line="240" w:lineRule="auto"/>
              <w:jc w:val="center"/>
              <w:rPr>
                <w:rFonts w:ascii="Times New Roman" w:hAnsi="Times New Roman"/>
                <w:sz w:val="20"/>
                <w:szCs w:val="20"/>
              </w:rPr>
            </w:pPr>
          </w:p>
        </w:tc>
      </w:tr>
      <w:tr w:rsidR="00940A99" w:rsidRPr="005B12AE" w14:paraId="6DE842C9" w14:textId="77777777" w:rsidTr="00940A99">
        <w:trPr>
          <w:trHeight w:val="20"/>
        </w:trPr>
        <w:tc>
          <w:tcPr>
            <w:tcW w:w="230" w:type="pct"/>
            <w:shd w:val="clear" w:color="auto" w:fill="auto"/>
            <w:noWrap/>
            <w:vAlign w:val="bottom"/>
            <w:hideMark/>
          </w:tcPr>
          <w:p w14:paraId="52F5B2E0"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(a)</w:t>
            </w:r>
          </w:p>
        </w:tc>
        <w:tc>
          <w:tcPr>
            <w:tcW w:w="2254" w:type="pct"/>
            <w:gridSpan w:val="2"/>
            <w:shd w:val="clear" w:color="auto" w:fill="auto"/>
            <w:noWrap/>
            <w:vAlign w:val="bottom"/>
            <w:hideMark/>
          </w:tcPr>
          <w:p w14:paraId="36DC101F"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Long Term Borrowings</w:t>
            </w:r>
          </w:p>
        </w:tc>
        <w:tc>
          <w:tcPr>
            <w:tcW w:w="845" w:type="pct"/>
            <w:shd w:val="clear" w:color="auto" w:fill="auto"/>
            <w:noWrap/>
            <w:vAlign w:val="bottom"/>
            <w:hideMark/>
          </w:tcPr>
          <w:p w14:paraId="009FAF7F"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702.81</w:t>
            </w:r>
          </w:p>
        </w:tc>
        <w:tc>
          <w:tcPr>
            <w:tcW w:w="835" w:type="pct"/>
            <w:shd w:val="clear" w:color="auto" w:fill="auto"/>
            <w:noWrap/>
            <w:vAlign w:val="bottom"/>
            <w:hideMark/>
          </w:tcPr>
          <w:p w14:paraId="091C4FE4"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269.05</w:t>
            </w:r>
          </w:p>
        </w:tc>
        <w:tc>
          <w:tcPr>
            <w:tcW w:w="836" w:type="pct"/>
            <w:shd w:val="clear" w:color="auto" w:fill="auto"/>
            <w:noWrap/>
            <w:vAlign w:val="bottom"/>
            <w:hideMark/>
          </w:tcPr>
          <w:p w14:paraId="1E318C83"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1,585.38</w:t>
            </w:r>
          </w:p>
        </w:tc>
      </w:tr>
      <w:tr w:rsidR="00940A99" w:rsidRPr="005B12AE" w14:paraId="3FB945E0" w14:textId="77777777" w:rsidTr="00940A99">
        <w:trPr>
          <w:trHeight w:val="20"/>
        </w:trPr>
        <w:tc>
          <w:tcPr>
            <w:tcW w:w="230" w:type="pct"/>
            <w:shd w:val="clear" w:color="auto" w:fill="auto"/>
            <w:noWrap/>
            <w:vAlign w:val="bottom"/>
            <w:hideMark/>
          </w:tcPr>
          <w:p w14:paraId="0256FC44"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(b)</w:t>
            </w:r>
          </w:p>
        </w:tc>
        <w:tc>
          <w:tcPr>
            <w:tcW w:w="2254" w:type="pct"/>
            <w:gridSpan w:val="2"/>
            <w:shd w:val="clear" w:color="auto" w:fill="auto"/>
            <w:noWrap/>
            <w:vAlign w:val="bottom"/>
            <w:hideMark/>
          </w:tcPr>
          <w:p w14:paraId="5E187379"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Deferred Tax Liabilities (Net)</w:t>
            </w:r>
          </w:p>
        </w:tc>
        <w:tc>
          <w:tcPr>
            <w:tcW w:w="845" w:type="pct"/>
            <w:shd w:val="clear" w:color="auto" w:fill="auto"/>
            <w:noWrap/>
            <w:vAlign w:val="bottom"/>
            <w:hideMark/>
          </w:tcPr>
          <w:p w14:paraId="4E42E12F"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35" w:type="pct"/>
            <w:shd w:val="clear" w:color="auto" w:fill="auto"/>
            <w:noWrap/>
            <w:vAlign w:val="bottom"/>
            <w:hideMark/>
          </w:tcPr>
          <w:p w14:paraId="76C59DB7"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36" w:type="pct"/>
            <w:shd w:val="clear" w:color="auto" w:fill="auto"/>
            <w:noWrap/>
            <w:vAlign w:val="bottom"/>
            <w:hideMark/>
          </w:tcPr>
          <w:p w14:paraId="164066ED"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940A99" w:rsidRPr="005B12AE" w14:paraId="4159F328" w14:textId="77777777" w:rsidTr="00940A99">
        <w:trPr>
          <w:trHeight w:val="20"/>
        </w:trPr>
        <w:tc>
          <w:tcPr>
            <w:tcW w:w="230" w:type="pct"/>
            <w:shd w:val="clear" w:color="auto" w:fill="auto"/>
            <w:noWrap/>
            <w:vAlign w:val="bottom"/>
            <w:hideMark/>
          </w:tcPr>
          <w:p w14:paraId="41BA698F"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(c)</w:t>
            </w:r>
          </w:p>
        </w:tc>
        <w:tc>
          <w:tcPr>
            <w:tcW w:w="2254" w:type="pct"/>
            <w:gridSpan w:val="2"/>
            <w:shd w:val="clear" w:color="auto" w:fill="auto"/>
            <w:noWrap/>
            <w:vAlign w:val="bottom"/>
            <w:hideMark/>
          </w:tcPr>
          <w:p w14:paraId="27705BDB"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Long Term Provisions</w:t>
            </w:r>
          </w:p>
        </w:tc>
        <w:tc>
          <w:tcPr>
            <w:tcW w:w="845" w:type="pct"/>
            <w:shd w:val="clear" w:color="auto" w:fill="auto"/>
            <w:noWrap/>
            <w:vAlign w:val="bottom"/>
            <w:hideMark/>
          </w:tcPr>
          <w:p w14:paraId="0FF79E30"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20.21</w:t>
            </w:r>
          </w:p>
        </w:tc>
        <w:tc>
          <w:tcPr>
            <w:tcW w:w="835" w:type="pct"/>
            <w:shd w:val="clear" w:color="auto" w:fill="auto"/>
            <w:noWrap/>
            <w:vAlign w:val="bottom"/>
            <w:hideMark/>
          </w:tcPr>
          <w:p w14:paraId="297C5DB9"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17.34</w:t>
            </w:r>
          </w:p>
        </w:tc>
        <w:tc>
          <w:tcPr>
            <w:tcW w:w="836" w:type="pct"/>
            <w:shd w:val="clear" w:color="auto" w:fill="auto"/>
            <w:noWrap/>
            <w:vAlign w:val="bottom"/>
            <w:hideMark/>
          </w:tcPr>
          <w:p w14:paraId="23244439"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15.68</w:t>
            </w:r>
          </w:p>
        </w:tc>
      </w:tr>
      <w:tr w:rsidR="00940A99" w:rsidRPr="005B12AE" w14:paraId="66595442" w14:textId="77777777" w:rsidTr="00940A99">
        <w:trPr>
          <w:trHeight w:val="20"/>
        </w:trPr>
        <w:tc>
          <w:tcPr>
            <w:tcW w:w="230" w:type="pct"/>
            <w:shd w:val="clear" w:color="auto" w:fill="auto"/>
            <w:noWrap/>
            <w:vAlign w:val="bottom"/>
            <w:hideMark/>
          </w:tcPr>
          <w:p w14:paraId="32D22511" w14:textId="77777777" w:rsidR="00940A99" w:rsidRPr="005B12AE" w:rsidRDefault="00940A99" w:rsidP="00250DAC">
            <w:pPr>
              <w:spacing w:after="0" w:line="240" w:lineRule="auto"/>
              <w:rPr>
                <w:rFonts w:ascii="Times New Roman" w:hAnsi="Times New Roman"/>
                <w:sz w:val="20"/>
                <w:szCs w:val="20"/>
              </w:rPr>
            </w:pPr>
          </w:p>
        </w:tc>
        <w:tc>
          <w:tcPr>
            <w:tcW w:w="2254" w:type="pct"/>
            <w:gridSpan w:val="2"/>
            <w:shd w:val="clear" w:color="auto" w:fill="auto"/>
            <w:noWrap/>
            <w:vAlign w:val="bottom"/>
            <w:hideMark/>
          </w:tcPr>
          <w:p w14:paraId="42E4C75B" w14:textId="77777777" w:rsidR="00940A99" w:rsidRPr="005B12AE" w:rsidRDefault="00940A99" w:rsidP="00250DAC">
            <w:pPr>
              <w:spacing w:after="0" w:line="240" w:lineRule="auto"/>
              <w:rPr>
                <w:rFonts w:ascii="Times New Roman" w:hAnsi="Times New Roman"/>
                <w:sz w:val="20"/>
                <w:szCs w:val="20"/>
              </w:rPr>
            </w:pPr>
          </w:p>
        </w:tc>
        <w:tc>
          <w:tcPr>
            <w:tcW w:w="845" w:type="pct"/>
            <w:shd w:val="clear" w:color="auto" w:fill="auto"/>
            <w:noWrap/>
            <w:vAlign w:val="bottom"/>
            <w:hideMark/>
          </w:tcPr>
          <w:p w14:paraId="46BEDFDE"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723.02</w:t>
            </w:r>
          </w:p>
        </w:tc>
        <w:tc>
          <w:tcPr>
            <w:tcW w:w="835" w:type="pct"/>
            <w:shd w:val="clear" w:color="auto" w:fill="auto"/>
            <w:noWrap/>
            <w:vAlign w:val="bottom"/>
            <w:hideMark/>
          </w:tcPr>
          <w:p w14:paraId="239F144D"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286.38</w:t>
            </w:r>
          </w:p>
        </w:tc>
        <w:tc>
          <w:tcPr>
            <w:tcW w:w="836" w:type="pct"/>
            <w:shd w:val="clear" w:color="auto" w:fill="auto"/>
            <w:noWrap/>
            <w:vAlign w:val="bottom"/>
            <w:hideMark/>
          </w:tcPr>
          <w:p w14:paraId="28DAA0D8"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1,601.06</w:t>
            </w:r>
          </w:p>
        </w:tc>
      </w:tr>
      <w:tr w:rsidR="00940A99" w:rsidRPr="005B12AE" w14:paraId="38FCBCEE" w14:textId="77777777" w:rsidTr="00940A99">
        <w:trPr>
          <w:trHeight w:val="20"/>
        </w:trPr>
        <w:tc>
          <w:tcPr>
            <w:tcW w:w="230" w:type="pct"/>
            <w:shd w:val="clear" w:color="auto" w:fill="auto"/>
            <w:noWrap/>
            <w:vAlign w:val="bottom"/>
            <w:hideMark/>
          </w:tcPr>
          <w:p w14:paraId="0C02675C"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3.</w:t>
            </w:r>
          </w:p>
        </w:tc>
        <w:tc>
          <w:tcPr>
            <w:tcW w:w="2254" w:type="pct"/>
            <w:gridSpan w:val="2"/>
            <w:shd w:val="clear" w:color="auto" w:fill="auto"/>
            <w:noWrap/>
            <w:vAlign w:val="bottom"/>
            <w:hideMark/>
          </w:tcPr>
          <w:p w14:paraId="5343DFCE"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 xml:space="preserve">Current Liabilities </w:t>
            </w:r>
          </w:p>
        </w:tc>
        <w:tc>
          <w:tcPr>
            <w:tcW w:w="845" w:type="pct"/>
            <w:shd w:val="clear" w:color="auto" w:fill="auto"/>
            <w:noWrap/>
            <w:vAlign w:val="bottom"/>
            <w:hideMark/>
          </w:tcPr>
          <w:p w14:paraId="553FC244" w14:textId="77777777" w:rsidR="00940A99" w:rsidRPr="005B12AE" w:rsidRDefault="00940A99" w:rsidP="00250DAC">
            <w:pPr>
              <w:spacing w:after="0" w:line="240" w:lineRule="auto"/>
              <w:jc w:val="center"/>
              <w:rPr>
                <w:rFonts w:ascii="Times New Roman" w:hAnsi="Times New Roman"/>
                <w:sz w:val="20"/>
                <w:szCs w:val="20"/>
              </w:rPr>
            </w:pPr>
          </w:p>
        </w:tc>
        <w:tc>
          <w:tcPr>
            <w:tcW w:w="835" w:type="pct"/>
            <w:shd w:val="clear" w:color="auto" w:fill="auto"/>
            <w:noWrap/>
            <w:vAlign w:val="bottom"/>
            <w:hideMark/>
          </w:tcPr>
          <w:p w14:paraId="0A0C9D46" w14:textId="77777777" w:rsidR="00940A99" w:rsidRPr="005B12AE" w:rsidRDefault="00940A99" w:rsidP="00250DAC">
            <w:pPr>
              <w:spacing w:after="0" w:line="240" w:lineRule="auto"/>
              <w:jc w:val="center"/>
              <w:rPr>
                <w:rFonts w:ascii="Times New Roman" w:hAnsi="Times New Roman"/>
                <w:sz w:val="20"/>
                <w:szCs w:val="20"/>
              </w:rPr>
            </w:pPr>
          </w:p>
        </w:tc>
        <w:tc>
          <w:tcPr>
            <w:tcW w:w="836" w:type="pct"/>
            <w:shd w:val="clear" w:color="auto" w:fill="auto"/>
            <w:noWrap/>
            <w:vAlign w:val="bottom"/>
            <w:hideMark/>
          </w:tcPr>
          <w:p w14:paraId="20FA2F7E" w14:textId="77777777" w:rsidR="00940A99" w:rsidRPr="005B12AE" w:rsidRDefault="00940A99" w:rsidP="00250DAC">
            <w:pPr>
              <w:spacing w:after="0" w:line="240" w:lineRule="auto"/>
              <w:jc w:val="center"/>
              <w:rPr>
                <w:rFonts w:ascii="Times New Roman" w:hAnsi="Times New Roman"/>
                <w:sz w:val="20"/>
                <w:szCs w:val="20"/>
              </w:rPr>
            </w:pPr>
          </w:p>
        </w:tc>
      </w:tr>
      <w:tr w:rsidR="00940A99" w:rsidRPr="005B12AE" w14:paraId="4B7C296F" w14:textId="77777777" w:rsidTr="00940A99">
        <w:trPr>
          <w:trHeight w:val="20"/>
        </w:trPr>
        <w:tc>
          <w:tcPr>
            <w:tcW w:w="230" w:type="pct"/>
            <w:shd w:val="clear" w:color="auto" w:fill="auto"/>
            <w:noWrap/>
            <w:vAlign w:val="bottom"/>
            <w:hideMark/>
          </w:tcPr>
          <w:p w14:paraId="52E8CD3A"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(a)</w:t>
            </w:r>
          </w:p>
        </w:tc>
        <w:tc>
          <w:tcPr>
            <w:tcW w:w="2254" w:type="pct"/>
            <w:gridSpan w:val="2"/>
            <w:shd w:val="clear" w:color="auto" w:fill="auto"/>
            <w:noWrap/>
            <w:vAlign w:val="bottom"/>
            <w:hideMark/>
          </w:tcPr>
          <w:p w14:paraId="481610F2"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Short Term Borrowings</w:t>
            </w:r>
          </w:p>
        </w:tc>
        <w:tc>
          <w:tcPr>
            <w:tcW w:w="845" w:type="pct"/>
            <w:shd w:val="clear" w:color="auto" w:fill="auto"/>
            <w:noWrap/>
            <w:vAlign w:val="bottom"/>
            <w:hideMark/>
          </w:tcPr>
          <w:p w14:paraId="1BB39CCB"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6,004.14</w:t>
            </w:r>
          </w:p>
        </w:tc>
        <w:tc>
          <w:tcPr>
            <w:tcW w:w="835" w:type="pct"/>
            <w:shd w:val="clear" w:color="auto" w:fill="auto"/>
            <w:noWrap/>
            <w:vAlign w:val="bottom"/>
            <w:hideMark/>
          </w:tcPr>
          <w:p w14:paraId="5492DA6E"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2,551.97</w:t>
            </w:r>
          </w:p>
        </w:tc>
        <w:tc>
          <w:tcPr>
            <w:tcW w:w="836" w:type="pct"/>
            <w:shd w:val="clear" w:color="auto" w:fill="auto"/>
            <w:noWrap/>
            <w:vAlign w:val="bottom"/>
            <w:hideMark/>
          </w:tcPr>
          <w:p w14:paraId="20D2A121"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1,346.33</w:t>
            </w:r>
          </w:p>
        </w:tc>
      </w:tr>
      <w:tr w:rsidR="00940A99" w:rsidRPr="005B12AE" w14:paraId="52C20E89" w14:textId="77777777" w:rsidTr="00940A99">
        <w:trPr>
          <w:trHeight w:val="20"/>
        </w:trPr>
        <w:tc>
          <w:tcPr>
            <w:tcW w:w="230" w:type="pct"/>
            <w:shd w:val="clear" w:color="auto" w:fill="auto"/>
            <w:noWrap/>
            <w:vAlign w:val="bottom"/>
            <w:hideMark/>
          </w:tcPr>
          <w:p w14:paraId="754E54DF"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(b)</w:t>
            </w:r>
          </w:p>
        </w:tc>
        <w:tc>
          <w:tcPr>
            <w:tcW w:w="2254" w:type="pct"/>
            <w:gridSpan w:val="2"/>
            <w:shd w:val="clear" w:color="auto" w:fill="auto"/>
            <w:noWrap/>
            <w:vAlign w:val="bottom"/>
            <w:hideMark/>
          </w:tcPr>
          <w:p w14:paraId="591AEF23"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Trade Payables</w:t>
            </w:r>
          </w:p>
        </w:tc>
        <w:tc>
          <w:tcPr>
            <w:tcW w:w="845" w:type="pct"/>
            <w:shd w:val="clear" w:color="auto" w:fill="auto"/>
            <w:noWrap/>
            <w:vAlign w:val="bottom"/>
            <w:hideMark/>
          </w:tcPr>
          <w:p w14:paraId="4D5E4FE8" w14:textId="77777777" w:rsidR="00940A99" w:rsidRPr="005B12AE" w:rsidRDefault="00940A99" w:rsidP="00250DAC">
            <w:pPr>
              <w:spacing w:after="0" w:line="240" w:lineRule="auto"/>
              <w:jc w:val="center"/>
              <w:rPr>
                <w:rFonts w:ascii="Times New Roman" w:hAnsi="Times New Roman"/>
                <w:sz w:val="20"/>
                <w:szCs w:val="20"/>
              </w:rPr>
            </w:pPr>
          </w:p>
        </w:tc>
        <w:tc>
          <w:tcPr>
            <w:tcW w:w="835" w:type="pct"/>
            <w:shd w:val="clear" w:color="auto" w:fill="auto"/>
            <w:noWrap/>
            <w:vAlign w:val="bottom"/>
            <w:hideMark/>
          </w:tcPr>
          <w:p w14:paraId="362C6367" w14:textId="77777777" w:rsidR="00940A99" w:rsidRPr="005B12AE" w:rsidRDefault="00940A99" w:rsidP="00250DAC">
            <w:pPr>
              <w:spacing w:after="0" w:line="240" w:lineRule="auto"/>
              <w:jc w:val="center"/>
              <w:rPr>
                <w:rFonts w:ascii="Times New Roman" w:hAnsi="Times New Roman"/>
                <w:sz w:val="20"/>
                <w:szCs w:val="20"/>
              </w:rPr>
            </w:pPr>
          </w:p>
        </w:tc>
        <w:tc>
          <w:tcPr>
            <w:tcW w:w="836" w:type="pct"/>
            <w:shd w:val="clear" w:color="auto" w:fill="auto"/>
            <w:noWrap/>
            <w:vAlign w:val="bottom"/>
            <w:hideMark/>
          </w:tcPr>
          <w:p w14:paraId="5FEE4460" w14:textId="77777777" w:rsidR="00940A99" w:rsidRPr="005B12AE" w:rsidRDefault="00940A99" w:rsidP="00250DAC">
            <w:pPr>
              <w:spacing w:after="0" w:line="240" w:lineRule="auto"/>
              <w:jc w:val="center"/>
              <w:rPr>
                <w:rFonts w:ascii="Times New Roman" w:hAnsi="Times New Roman"/>
                <w:sz w:val="20"/>
                <w:szCs w:val="20"/>
              </w:rPr>
            </w:pPr>
          </w:p>
        </w:tc>
      </w:tr>
      <w:tr w:rsidR="00940A99" w:rsidRPr="005B12AE" w14:paraId="1E9015F5" w14:textId="77777777" w:rsidTr="00940A99">
        <w:trPr>
          <w:trHeight w:val="20"/>
        </w:trPr>
        <w:tc>
          <w:tcPr>
            <w:tcW w:w="230" w:type="pct"/>
            <w:shd w:val="clear" w:color="auto" w:fill="auto"/>
            <w:noWrap/>
            <w:vAlign w:val="bottom"/>
            <w:hideMark/>
          </w:tcPr>
          <w:p w14:paraId="79B47AAD" w14:textId="77777777" w:rsidR="00940A99" w:rsidRPr="005B12AE" w:rsidRDefault="00940A99" w:rsidP="00250DAC">
            <w:pPr>
              <w:spacing w:after="0" w:line="240" w:lineRule="auto"/>
              <w:rPr>
                <w:rFonts w:ascii="Times New Roman" w:hAnsi="Times New Roman"/>
                <w:sz w:val="20"/>
                <w:szCs w:val="20"/>
              </w:rPr>
            </w:pPr>
          </w:p>
        </w:tc>
        <w:tc>
          <w:tcPr>
            <w:tcW w:w="274" w:type="pct"/>
            <w:shd w:val="clear" w:color="auto" w:fill="auto"/>
            <w:noWrap/>
            <w:vAlign w:val="center"/>
            <w:hideMark/>
          </w:tcPr>
          <w:p w14:paraId="1BD3480B"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(A)</w:t>
            </w:r>
          </w:p>
        </w:tc>
        <w:tc>
          <w:tcPr>
            <w:tcW w:w="1980" w:type="pct"/>
            <w:shd w:val="clear" w:color="auto" w:fill="auto"/>
            <w:vAlign w:val="bottom"/>
            <w:hideMark/>
          </w:tcPr>
          <w:p w14:paraId="137F97F4" w14:textId="77777777" w:rsidR="00940A99" w:rsidRPr="005B12AE" w:rsidRDefault="00940A99" w:rsidP="00250DAC">
            <w:pPr>
              <w:spacing w:after="0" w:line="240" w:lineRule="auto"/>
              <w:jc w:val="both"/>
              <w:rPr>
                <w:rFonts w:ascii="Times New Roman" w:hAnsi="Times New Roman"/>
                <w:sz w:val="20"/>
                <w:szCs w:val="20"/>
              </w:rPr>
            </w:pPr>
            <w:r w:rsidRPr="005B12AE">
              <w:rPr>
                <w:rFonts w:ascii="Times New Roman" w:hAnsi="Times New Roman"/>
                <w:sz w:val="20"/>
                <w:szCs w:val="20"/>
              </w:rPr>
              <w:t>outstanding dues of micro enterprises and small enterprises; and</w:t>
            </w:r>
          </w:p>
        </w:tc>
        <w:tc>
          <w:tcPr>
            <w:tcW w:w="845" w:type="pct"/>
            <w:shd w:val="clear" w:color="auto" w:fill="auto"/>
            <w:noWrap/>
            <w:vAlign w:val="bottom"/>
            <w:hideMark/>
          </w:tcPr>
          <w:p w14:paraId="7852A113"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35" w:type="pct"/>
            <w:shd w:val="clear" w:color="auto" w:fill="auto"/>
            <w:noWrap/>
            <w:vAlign w:val="bottom"/>
            <w:hideMark/>
          </w:tcPr>
          <w:p w14:paraId="14FA47CC"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36" w:type="pct"/>
            <w:shd w:val="clear" w:color="auto" w:fill="auto"/>
            <w:noWrap/>
            <w:vAlign w:val="bottom"/>
            <w:hideMark/>
          </w:tcPr>
          <w:p w14:paraId="60A1142E"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940A99" w:rsidRPr="005B12AE" w14:paraId="4B5D7525" w14:textId="77777777" w:rsidTr="00940A99">
        <w:trPr>
          <w:trHeight w:val="20"/>
        </w:trPr>
        <w:tc>
          <w:tcPr>
            <w:tcW w:w="230" w:type="pct"/>
            <w:shd w:val="clear" w:color="auto" w:fill="auto"/>
            <w:noWrap/>
            <w:vAlign w:val="bottom"/>
            <w:hideMark/>
          </w:tcPr>
          <w:p w14:paraId="18A72B67" w14:textId="77777777" w:rsidR="00940A99" w:rsidRPr="005B12AE" w:rsidRDefault="00940A99" w:rsidP="00250DAC">
            <w:pPr>
              <w:spacing w:after="0" w:line="240" w:lineRule="auto"/>
              <w:rPr>
                <w:rFonts w:ascii="Times New Roman" w:hAnsi="Times New Roman"/>
                <w:sz w:val="20"/>
                <w:szCs w:val="20"/>
              </w:rPr>
            </w:pPr>
          </w:p>
        </w:tc>
        <w:tc>
          <w:tcPr>
            <w:tcW w:w="274" w:type="pct"/>
            <w:shd w:val="clear" w:color="auto" w:fill="auto"/>
            <w:noWrap/>
            <w:vAlign w:val="center"/>
            <w:hideMark/>
          </w:tcPr>
          <w:p w14:paraId="6038C843"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(B)</w:t>
            </w:r>
          </w:p>
        </w:tc>
        <w:tc>
          <w:tcPr>
            <w:tcW w:w="1980" w:type="pct"/>
            <w:shd w:val="clear" w:color="auto" w:fill="auto"/>
            <w:vAlign w:val="bottom"/>
            <w:hideMark/>
          </w:tcPr>
          <w:p w14:paraId="7D6794DE" w14:textId="77777777" w:rsidR="00940A99" w:rsidRPr="005B12AE" w:rsidRDefault="00940A99" w:rsidP="00250DAC">
            <w:pPr>
              <w:spacing w:after="0" w:line="240" w:lineRule="auto"/>
              <w:jc w:val="both"/>
              <w:rPr>
                <w:rFonts w:ascii="Times New Roman" w:hAnsi="Times New Roman"/>
                <w:sz w:val="20"/>
                <w:szCs w:val="20"/>
              </w:rPr>
            </w:pPr>
            <w:r w:rsidRPr="005B12AE">
              <w:rPr>
                <w:rFonts w:ascii="Times New Roman" w:hAnsi="Times New Roman"/>
                <w:sz w:val="20"/>
                <w:szCs w:val="20"/>
              </w:rPr>
              <w:t>total outstanding dues of creditors other than micro enterprises and small enterprises.</w:t>
            </w:r>
          </w:p>
        </w:tc>
        <w:tc>
          <w:tcPr>
            <w:tcW w:w="845" w:type="pct"/>
            <w:shd w:val="clear" w:color="auto" w:fill="auto"/>
            <w:noWrap/>
            <w:vAlign w:val="bottom"/>
            <w:hideMark/>
          </w:tcPr>
          <w:p w14:paraId="32D98E75"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2,717.35</w:t>
            </w:r>
          </w:p>
        </w:tc>
        <w:tc>
          <w:tcPr>
            <w:tcW w:w="835" w:type="pct"/>
            <w:shd w:val="clear" w:color="auto" w:fill="auto"/>
            <w:noWrap/>
            <w:vAlign w:val="bottom"/>
            <w:hideMark/>
          </w:tcPr>
          <w:p w14:paraId="5F3AFFC2"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2,726.34</w:t>
            </w:r>
          </w:p>
        </w:tc>
        <w:tc>
          <w:tcPr>
            <w:tcW w:w="836" w:type="pct"/>
            <w:shd w:val="clear" w:color="auto" w:fill="auto"/>
            <w:noWrap/>
            <w:vAlign w:val="bottom"/>
            <w:hideMark/>
          </w:tcPr>
          <w:p w14:paraId="7572ACD6"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2,931.03</w:t>
            </w:r>
          </w:p>
        </w:tc>
      </w:tr>
      <w:tr w:rsidR="00940A99" w:rsidRPr="005B12AE" w14:paraId="1525EAB7" w14:textId="77777777" w:rsidTr="00940A99">
        <w:trPr>
          <w:trHeight w:val="20"/>
        </w:trPr>
        <w:tc>
          <w:tcPr>
            <w:tcW w:w="230" w:type="pct"/>
            <w:shd w:val="clear" w:color="auto" w:fill="auto"/>
            <w:noWrap/>
            <w:vAlign w:val="bottom"/>
            <w:hideMark/>
          </w:tcPr>
          <w:p w14:paraId="5B63D964"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(c)</w:t>
            </w:r>
          </w:p>
        </w:tc>
        <w:tc>
          <w:tcPr>
            <w:tcW w:w="2254" w:type="pct"/>
            <w:gridSpan w:val="2"/>
            <w:shd w:val="clear" w:color="auto" w:fill="auto"/>
            <w:noWrap/>
            <w:vAlign w:val="bottom"/>
            <w:hideMark/>
          </w:tcPr>
          <w:p w14:paraId="2097C013"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Other Current Liabilities</w:t>
            </w:r>
          </w:p>
        </w:tc>
        <w:tc>
          <w:tcPr>
            <w:tcW w:w="845" w:type="pct"/>
            <w:shd w:val="clear" w:color="auto" w:fill="auto"/>
            <w:noWrap/>
            <w:vAlign w:val="bottom"/>
            <w:hideMark/>
          </w:tcPr>
          <w:p w14:paraId="211B1822"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734.35</w:t>
            </w:r>
          </w:p>
        </w:tc>
        <w:tc>
          <w:tcPr>
            <w:tcW w:w="835" w:type="pct"/>
            <w:shd w:val="clear" w:color="auto" w:fill="auto"/>
            <w:noWrap/>
            <w:vAlign w:val="bottom"/>
            <w:hideMark/>
          </w:tcPr>
          <w:p w14:paraId="27799403"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250.07</w:t>
            </w:r>
          </w:p>
        </w:tc>
        <w:tc>
          <w:tcPr>
            <w:tcW w:w="836" w:type="pct"/>
            <w:shd w:val="clear" w:color="auto" w:fill="auto"/>
            <w:noWrap/>
            <w:vAlign w:val="bottom"/>
            <w:hideMark/>
          </w:tcPr>
          <w:p w14:paraId="7E3011C0"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330.55</w:t>
            </w:r>
          </w:p>
        </w:tc>
      </w:tr>
      <w:tr w:rsidR="00940A99" w:rsidRPr="005B12AE" w14:paraId="145EDA0A" w14:textId="77777777" w:rsidTr="00940A99">
        <w:trPr>
          <w:trHeight w:val="20"/>
        </w:trPr>
        <w:tc>
          <w:tcPr>
            <w:tcW w:w="230" w:type="pct"/>
            <w:shd w:val="clear" w:color="auto" w:fill="auto"/>
            <w:noWrap/>
            <w:vAlign w:val="bottom"/>
            <w:hideMark/>
          </w:tcPr>
          <w:p w14:paraId="6AAA1A9C"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(d)</w:t>
            </w:r>
          </w:p>
        </w:tc>
        <w:tc>
          <w:tcPr>
            <w:tcW w:w="2254" w:type="pct"/>
            <w:gridSpan w:val="2"/>
            <w:shd w:val="clear" w:color="auto" w:fill="auto"/>
            <w:noWrap/>
            <w:vAlign w:val="bottom"/>
            <w:hideMark/>
          </w:tcPr>
          <w:p w14:paraId="1ACBD25A"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Short Term Provisions</w:t>
            </w:r>
          </w:p>
        </w:tc>
        <w:tc>
          <w:tcPr>
            <w:tcW w:w="845" w:type="pct"/>
            <w:shd w:val="clear" w:color="auto" w:fill="auto"/>
            <w:noWrap/>
            <w:vAlign w:val="bottom"/>
            <w:hideMark/>
          </w:tcPr>
          <w:p w14:paraId="0BBF9985"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315.33</w:t>
            </w:r>
          </w:p>
        </w:tc>
        <w:tc>
          <w:tcPr>
            <w:tcW w:w="835" w:type="pct"/>
            <w:shd w:val="clear" w:color="auto" w:fill="auto"/>
            <w:noWrap/>
            <w:vAlign w:val="bottom"/>
            <w:hideMark/>
          </w:tcPr>
          <w:p w14:paraId="5071288E"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159.89</w:t>
            </w:r>
          </w:p>
        </w:tc>
        <w:tc>
          <w:tcPr>
            <w:tcW w:w="836" w:type="pct"/>
            <w:shd w:val="clear" w:color="auto" w:fill="auto"/>
            <w:noWrap/>
            <w:vAlign w:val="bottom"/>
            <w:hideMark/>
          </w:tcPr>
          <w:p w14:paraId="202DB3FE"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60.38</w:t>
            </w:r>
          </w:p>
        </w:tc>
      </w:tr>
      <w:tr w:rsidR="00940A99" w:rsidRPr="005B12AE" w14:paraId="36C5DB78" w14:textId="77777777" w:rsidTr="00940A99">
        <w:trPr>
          <w:trHeight w:val="20"/>
        </w:trPr>
        <w:tc>
          <w:tcPr>
            <w:tcW w:w="230" w:type="pct"/>
            <w:shd w:val="clear" w:color="auto" w:fill="auto"/>
            <w:noWrap/>
            <w:vAlign w:val="bottom"/>
            <w:hideMark/>
          </w:tcPr>
          <w:p w14:paraId="15DF5F0B" w14:textId="77777777" w:rsidR="00940A99" w:rsidRPr="005B12AE" w:rsidRDefault="00940A99" w:rsidP="00250DAC">
            <w:pPr>
              <w:spacing w:after="0" w:line="240" w:lineRule="auto"/>
              <w:rPr>
                <w:rFonts w:ascii="Times New Roman" w:hAnsi="Times New Roman"/>
                <w:sz w:val="20"/>
                <w:szCs w:val="20"/>
              </w:rPr>
            </w:pPr>
          </w:p>
        </w:tc>
        <w:tc>
          <w:tcPr>
            <w:tcW w:w="2254" w:type="pct"/>
            <w:gridSpan w:val="2"/>
            <w:shd w:val="clear" w:color="auto" w:fill="auto"/>
            <w:noWrap/>
            <w:vAlign w:val="bottom"/>
            <w:hideMark/>
          </w:tcPr>
          <w:p w14:paraId="354DDF52" w14:textId="77777777" w:rsidR="00940A99" w:rsidRPr="005B12AE" w:rsidRDefault="00940A99" w:rsidP="00250DAC">
            <w:pPr>
              <w:spacing w:after="0" w:line="240" w:lineRule="auto"/>
              <w:rPr>
                <w:rFonts w:ascii="Times New Roman" w:hAnsi="Times New Roman"/>
                <w:sz w:val="20"/>
                <w:szCs w:val="20"/>
              </w:rPr>
            </w:pPr>
          </w:p>
        </w:tc>
        <w:tc>
          <w:tcPr>
            <w:tcW w:w="845" w:type="pct"/>
            <w:shd w:val="clear" w:color="auto" w:fill="auto"/>
            <w:noWrap/>
            <w:vAlign w:val="bottom"/>
            <w:hideMark/>
          </w:tcPr>
          <w:p w14:paraId="6576B4B9"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9,771.17</w:t>
            </w:r>
          </w:p>
        </w:tc>
        <w:tc>
          <w:tcPr>
            <w:tcW w:w="835" w:type="pct"/>
            <w:shd w:val="clear" w:color="auto" w:fill="auto"/>
            <w:noWrap/>
            <w:vAlign w:val="bottom"/>
            <w:hideMark/>
          </w:tcPr>
          <w:p w14:paraId="15FFF9AC"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5,688.26</w:t>
            </w:r>
          </w:p>
        </w:tc>
        <w:tc>
          <w:tcPr>
            <w:tcW w:w="836" w:type="pct"/>
            <w:shd w:val="clear" w:color="auto" w:fill="auto"/>
            <w:noWrap/>
            <w:vAlign w:val="bottom"/>
            <w:hideMark/>
          </w:tcPr>
          <w:p w14:paraId="1819F482"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4,668.29</w:t>
            </w:r>
          </w:p>
        </w:tc>
      </w:tr>
      <w:tr w:rsidR="00940A99" w:rsidRPr="005B12AE" w14:paraId="1ECB069C" w14:textId="77777777" w:rsidTr="00940A99">
        <w:trPr>
          <w:trHeight w:val="20"/>
        </w:trPr>
        <w:tc>
          <w:tcPr>
            <w:tcW w:w="230" w:type="pct"/>
            <w:shd w:val="clear" w:color="auto" w:fill="auto"/>
            <w:noWrap/>
            <w:vAlign w:val="bottom"/>
            <w:hideMark/>
          </w:tcPr>
          <w:p w14:paraId="5F8165EE"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2254" w:type="pct"/>
            <w:gridSpan w:val="2"/>
            <w:shd w:val="clear" w:color="auto" w:fill="auto"/>
            <w:noWrap/>
            <w:vAlign w:val="bottom"/>
            <w:hideMark/>
          </w:tcPr>
          <w:p w14:paraId="0230456A"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b/>
                <w:bCs/>
                <w:sz w:val="20"/>
                <w:szCs w:val="20"/>
              </w:rPr>
              <w:t>Total</w:t>
            </w:r>
          </w:p>
        </w:tc>
        <w:tc>
          <w:tcPr>
            <w:tcW w:w="845" w:type="pct"/>
            <w:shd w:val="clear" w:color="auto" w:fill="auto"/>
            <w:noWrap/>
            <w:vAlign w:val="bottom"/>
            <w:hideMark/>
          </w:tcPr>
          <w:p w14:paraId="079E2DD4"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15,136.31</w:t>
            </w:r>
          </w:p>
        </w:tc>
        <w:tc>
          <w:tcPr>
            <w:tcW w:w="835" w:type="pct"/>
            <w:shd w:val="clear" w:color="auto" w:fill="auto"/>
            <w:noWrap/>
            <w:vAlign w:val="bottom"/>
            <w:hideMark/>
          </w:tcPr>
          <w:p w14:paraId="5A50E0B3"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9,851.36</w:t>
            </w:r>
          </w:p>
        </w:tc>
        <w:tc>
          <w:tcPr>
            <w:tcW w:w="836" w:type="pct"/>
            <w:shd w:val="clear" w:color="auto" w:fill="auto"/>
            <w:noWrap/>
            <w:vAlign w:val="bottom"/>
            <w:hideMark/>
          </w:tcPr>
          <w:p w14:paraId="6BC92631"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9,823.59</w:t>
            </w:r>
          </w:p>
        </w:tc>
      </w:tr>
      <w:tr w:rsidR="00940A99" w:rsidRPr="005B12AE" w14:paraId="6D712251" w14:textId="77777777" w:rsidTr="00940A99">
        <w:trPr>
          <w:trHeight w:val="20"/>
        </w:trPr>
        <w:tc>
          <w:tcPr>
            <w:tcW w:w="230" w:type="pct"/>
            <w:shd w:val="clear" w:color="auto" w:fill="auto"/>
            <w:noWrap/>
            <w:vAlign w:val="bottom"/>
            <w:hideMark/>
          </w:tcPr>
          <w:p w14:paraId="6DC95C38"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B)</w:t>
            </w:r>
          </w:p>
        </w:tc>
        <w:tc>
          <w:tcPr>
            <w:tcW w:w="2254" w:type="pct"/>
            <w:gridSpan w:val="2"/>
            <w:shd w:val="clear" w:color="auto" w:fill="auto"/>
            <w:noWrap/>
            <w:vAlign w:val="bottom"/>
            <w:hideMark/>
          </w:tcPr>
          <w:p w14:paraId="60E3D078"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ASSETS</w:t>
            </w:r>
          </w:p>
        </w:tc>
        <w:tc>
          <w:tcPr>
            <w:tcW w:w="845" w:type="pct"/>
            <w:shd w:val="clear" w:color="auto" w:fill="auto"/>
            <w:noWrap/>
            <w:vAlign w:val="bottom"/>
            <w:hideMark/>
          </w:tcPr>
          <w:p w14:paraId="7FDDFCA5" w14:textId="77777777" w:rsidR="00940A99" w:rsidRPr="005B12AE" w:rsidRDefault="00940A99" w:rsidP="00250DAC">
            <w:pPr>
              <w:spacing w:after="0" w:line="240" w:lineRule="auto"/>
              <w:jc w:val="center"/>
              <w:rPr>
                <w:rFonts w:ascii="Times New Roman" w:hAnsi="Times New Roman"/>
                <w:sz w:val="20"/>
                <w:szCs w:val="20"/>
              </w:rPr>
            </w:pPr>
          </w:p>
        </w:tc>
        <w:tc>
          <w:tcPr>
            <w:tcW w:w="835" w:type="pct"/>
            <w:shd w:val="clear" w:color="auto" w:fill="auto"/>
            <w:noWrap/>
            <w:vAlign w:val="bottom"/>
            <w:hideMark/>
          </w:tcPr>
          <w:p w14:paraId="023231EB" w14:textId="77777777" w:rsidR="00940A99" w:rsidRPr="005B12AE" w:rsidRDefault="00940A99" w:rsidP="00250DAC">
            <w:pPr>
              <w:spacing w:after="0" w:line="240" w:lineRule="auto"/>
              <w:jc w:val="center"/>
              <w:rPr>
                <w:rFonts w:ascii="Times New Roman" w:hAnsi="Times New Roman"/>
                <w:sz w:val="20"/>
                <w:szCs w:val="20"/>
              </w:rPr>
            </w:pPr>
          </w:p>
        </w:tc>
        <w:tc>
          <w:tcPr>
            <w:tcW w:w="836" w:type="pct"/>
            <w:shd w:val="clear" w:color="auto" w:fill="auto"/>
            <w:noWrap/>
            <w:vAlign w:val="bottom"/>
            <w:hideMark/>
          </w:tcPr>
          <w:p w14:paraId="5AB1AE1B" w14:textId="77777777" w:rsidR="00940A99" w:rsidRPr="005B12AE" w:rsidRDefault="00940A99" w:rsidP="00250DAC">
            <w:pPr>
              <w:spacing w:after="0" w:line="240" w:lineRule="auto"/>
              <w:jc w:val="center"/>
              <w:rPr>
                <w:rFonts w:ascii="Times New Roman" w:hAnsi="Times New Roman"/>
                <w:sz w:val="20"/>
                <w:szCs w:val="20"/>
              </w:rPr>
            </w:pPr>
          </w:p>
        </w:tc>
      </w:tr>
      <w:tr w:rsidR="00940A99" w:rsidRPr="005B12AE" w14:paraId="6E801F8E" w14:textId="77777777" w:rsidTr="00940A99">
        <w:trPr>
          <w:trHeight w:val="20"/>
        </w:trPr>
        <w:tc>
          <w:tcPr>
            <w:tcW w:w="230" w:type="pct"/>
            <w:shd w:val="clear" w:color="auto" w:fill="auto"/>
            <w:noWrap/>
            <w:vAlign w:val="bottom"/>
            <w:hideMark/>
          </w:tcPr>
          <w:p w14:paraId="283E6C79"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1.</w:t>
            </w:r>
          </w:p>
        </w:tc>
        <w:tc>
          <w:tcPr>
            <w:tcW w:w="2254" w:type="pct"/>
            <w:gridSpan w:val="2"/>
            <w:shd w:val="clear" w:color="auto" w:fill="auto"/>
            <w:noWrap/>
            <w:vAlign w:val="bottom"/>
            <w:hideMark/>
          </w:tcPr>
          <w:p w14:paraId="7DD418EC"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Non-Current Assets</w:t>
            </w:r>
          </w:p>
        </w:tc>
        <w:tc>
          <w:tcPr>
            <w:tcW w:w="845" w:type="pct"/>
            <w:shd w:val="clear" w:color="auto" w:fill="auto"/>
            <w:noWrap/>
            <w:vAlign w:val="bottom"/>
            <w:hideMark/>
          </w:tcPr>
          <w:p w14:paraId="72878D3D" w14:textId="77777777" w:rsidR="00940A99" w:rsidRPr="005B12AE" w:rsidRDefault="00940A99" w:rsidP="00250DAC">
            <w:pPr>
              <w:spacing w:after="0" w:line="240" w:lineRule="auto"/>
              <w:jc w:val="center"/>
              <w:rPr>
                <w:rFonts w:ascii="Times New Roman" w:hAnsi="Times New Roman"/>
                <w:sz w:val="20"/>
                <w:szCs w:val="20"/>
              </w:rPr>
            </w:pPr>
          </w:p>
        </w:tc>
        <w:tc>
          <w:tcPr>
            <w:tcW w:w="835" w:type="pct"/>
            <w:shd w:val="clear" w:color="auto" w:fill="auto"/>
            <w:noWrap/>
            <w:vAlign w:val="bottom"/>
            <w:hideMark/>
          </w:tcPr>
          <w:p w14:paraId="55425EC9" w14:textId="77777777" w:rsidR="00940A99" w:rsidRPr="005B12AE" w:rsidRDefault="00940A99" w:rsidP="00250DAC">
            <w:pPr>
              <w:spacing w:after="0" w:line="240" w:lineRule="auto"/>
              <w:jc w:val="center"/>
              <w:rPr>
                <w:rFonts w:ascii="Times New Roman" w:hAnsi="Times New Roman"/>
                <w:sz w:val="20"/>
                <w:szCs w:val="20"/>
              </w:rPr>
            </w:pPr>
          </w:p>
        </w:tc>
        <w:tc>
          <w:tcPr>
            <w:tcW w:w="836" w:type="pct"/>
            <w:shd w:val="clear" w:color="auto" w:fill="auto"/>
            <w:noWrap/>
            <w:vAlign w:val="bottom"/>
            <w:hideMark/>
          </w:tcPr>
          <w:p w14:paraId="6E3B2826" w14:textId="77777777" w:rsidR="00940A99" w:rsidRPr="005B12AE" w:rsidRDefault="00940A99" w:rsidP="00250DAC">
            <w:pPr>
              <w:spacing w:after="0" w:line="240" w:lineRule="auto"/>
              <w:jc w:val="center"/>
              <w:rPr>
                <w:rFonts w:ascii="Times New Roman" w:hAnsi="Times New Roman"/>
                <w:sz w:val="20"/>
                <w:szCs w:val="20"/>
              </w:rPr>
            </w:pPr>
          </w:p>
        </w:tc>
      </w:tr>
      <w:tr w:rsidR="00940A99" w:rsidRPr="005B12AE" w14:paraId="0D4DDF02" w14:textId="77777777" w:rsidTr="00940A99">
        <w:trPr>
          <w:trHeight w:val="20"/>
        </w:trPr>
        <w:tc>
          <w:tcPr>
            <w:tcW w:w="230" w:type="pct"/>
            <w:shd w:val="clear" w:color="auto" w:fill="auto"/>
            <w:noWrap/>
            <w:vAlign w:val="bottom"/>
            <w:hideMark/>
          </w:tcPr>
          <w:p w14:paraId="44477E33"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(a)</w:t>
            </w:r>
          </w:p>
        </w:tc>
        <w:tc>
          <w:tcPr>
            <w:tcW w:w="2254" w:type="pct"/>
            <w:gridSpan w:val="2"/>
            <w:shd w:val="clear" w:color="auto" w:fill="auto"/>
            <w:noWrap/>
            <w:vAlign w:val="bottom"/>
            <w:hideMark/>
          </w:tcPr>
          <w:p w14:paraId="05C14EDC"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Property, Plant and Equipment and Intangible assets</w:t>
            </w:r>
          </w:p>
        </w:tc>
        <w:tc>
          <w:tcPr>
            <w:tcW w:w="845" w:type="pct"/>
            <w:shd w:val="clear" w:color="auto" w:fill="auto"/>
            <w:noWrap/>
            <w:vAlign w:val="bottom"/>
            <w:hideMark/>
          </w:tcPr>
          <w:p w14:paraId="30B0895F" w14:textId="77777777" w:rsidR="00940A99" w:rsidRPr="005B12AE" w:rsidRDefault="00940A99" w:rsidP="00250DAC">
            <w:pPr>
              <w:spacing w:after="0" w:line="240" w:lineRule="auto"/>
              <w:jc w:val="center"/>
              <w:rPr>
                <w:rFonts w:ascii="Times New Roman" w:hAnsi="Times New Roman"/>
                <w:sz w:val="20"/>
                <w:szCs w:val="20"/>
              </w:rPr>
            </w:pPr>
          </w:p>
        </w:tc>
        <w:tc>
          <w:tcPr>
            <w:tcW w:w="835" w:type="pct"/>
            <w:shd w:val="clear" w:color="auto" w:fill="auto"/>
            <w:noWrap/>
            <w:vAlign w:val="bottom"/>
            <w:hideMark/>
          </w:tcPr>
          <w:p w14:paraId="7F92DDD2" w14:textId="77777777" w:rsidR="00940A99" w:rsidRPr="005B12AE" w:rsidRDefault="00940A99" w:rsidP="00250DAC">
            <w:pPr>
              <w:spacing w:after="0" w:line="240" w:lineRule="auto"/>
              <w:jc w:val="center"/>
              <w:rPr>
                <w:rFonts w:ascii="Times New Roman" w:hAnsi="Times New Roman"/>
                <w:sz w:val="20"/>
                <w:szCs w:val="20"/>
              </w:rPr>
            </w:pPr>
          </w:p>
        </w:tc>
        <w:tc>
          <w:tcPr>
            <w:tcW w:w="836" w:type="pct"/>
            <w:shd w:val="clear" w:color="auto" w:fill="auto"/>
            <w:noWrap/>
            <w:vAlign w:val="bottom"/>
            <w:hideMark/>
          </w:tcPr>
          <w:p w14:paraId="4054B91A" w14:textId="77777777" w:rsidR="00940A99" w:rsidRPr="005B12AE" w:rsidRDefault="00940A99" w:rsidP="00250DAC">
            <w:pPr>
              <w:spacing w:after="0" w:line="240" w:lineRule="auto"/>
              <w:jc w:val="center"/>
              <w:rPr>
                <w:rFonts w:ascii="Times New Roman" w:hAnsi="Times New Roman"/>
                <w:sz w:val="20"/>
                <w:szCs w:val="20"/>
              </w:rPr>
            </w:pPr>
          </w:p>
        </w:tc>
      </w:tr>
      <w:tr w:rsidR="00940A99" w:rsidRPr="005B12AE" w14:paraId="17E752A9" w14:textId="77777777" w:rsidTr="00940A99">
        <w:trPr>
          <w:trHeight w:val="20"/>
        </w:trPr>
        <w:tc>
          <w:tcPr>
            <w:tcW w:w="230" w:type="pct"/>
            <w:shd w:val="clear" w:color="auto" w:fill="auto"/>
            <w:noWrap/>
            <w:vAlign w:val="bottom"/>
            <w:hideMark/>
          </w:tcPr>
          <w:p w14:paraId="7F710AEB" w14:textId="77777777" w:rsidR="00940A99" w:rsidRPr="005B12AE" w:rsidRDefault="00940A99" w:rsidP="00250DAC">
            <w:pPr>
              <w:spacing w:after="0" w:line="240" w:lineRule="auto"/>
              <w:rPr>
                <w:rFonts w:ascii="Times New Roman" w:hAnsi="Times New Roman"/>
                <w:sz w:val="20"/>
                <w:szCs w:val="20"/>
              </w:rPr>
            </w:pPr>
          </w:p>
        </w:tc>
        <w:tc>
          <w:tcPr>
            <w:tcW w:w="274" w:type="pct"/>
            <w:shd w:val="clear" w:color="auto" w:fill="auto"/>
            <w:noWrap/>
            <w:vAlign w:val="bottom"/>
            <w:hideMark/>
          </w:tcPr>
          <w:p w14:paraId="2EBCC63E"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I)</w:t>
            </w:r>
          </w:p>
        </w:tc>
        <w:tc>
          <w:tcPr>
            <w:tcW w:w="1980" w:type="pct"/>
            <w:shd w:val="clear" w:color="auto" w:fill="auto"/>
            <w:noWrap/>
            <w:vAlign w:val="bottom"/>
            <w:hideMark/>
          </w:tcPr>
          <w:p w14:paraId="1B0E0F85"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Property, Plant and Equipment</w:t>
            </w:r>
          </w:p>
        </w:tc>
        <w:tc>
          <w:tcPr>
            <w:tcW w:w="845" w:type="pct"/>
            <w:shd w:val="clear" w:color="auto" w:fill="auto"/>
            <w:noWrap/>
            <w:vAlign w:val="bottom"/>
            <w:hideMark/>
          </w:tcPr>
          <w:p w14:paraId="1D5EE90D" w14:textId="77777777" w:rsidR="00940A99" w:rsidRPr="005B12AE" w:rsidRDefault="00940A99" w:rsidP="00250DAC">
            <w:pPr>
              <w:spacing w:after="0" w:line="240" w:lineRule="auto"/>
              <w:jc w:val="center"/>
              <w:rPr>
                <w:rFonts w:ascii="Times New Roman" w:hAnsi="Times New Roman"/>
                <w:sz w:val="20"/>
                <w:szCs w:val="20"/>
              </w:rPr>
            </w:pPr>
          </w:p>
        </w:tc>
        <w:tc>
          <w:tcPr>
            <w:tcW w:w="835" w:type="pct"/>
            <w:shd w:val="clear" w:color="auto" w:fill="auto"/>
            <w:noWrap/>
            <w:vAlign w:val="bottom"/>
            <w:hideMark/>
          </w:tcPr>
          <w:p w14:paraId="5D1F57B6" w14:textId="77777777" w:rsidR="00940A99" w:rsidRPr="005B12AE" w:rsidRDefault="00940A99" w:rsidP="00250DAC">
            <w:pPr>
              <w:spacing w:after="0" w:line="240" w:lineRule="auto"/>
              <w:jc w:val="center"/>
              <w:rPr>
                <w:rFonts w:ascii="Times New Roman" w:hAnsi="Times New Roman"/>
                <w:sz w:val="20"/>
                <w:szCs w:val="20"/>
              </w:rPr>
            </w:pPr>
          </w:p>
        </w:tc>
        <w:tc>
          <w:tcPr>
            <w:tcW w:w="836" w:type="pct"/>
            <w:shd w:val="clear" w:color="auto" w:fill="auto"/>
            <w:noWrap/>
            <w:vAlign w:val="bottom"/>
            <w:hideMark/>
          </w:tcPr>
          <w:p w14:paraId="1674BF9B" w14:textId="77777777" w:rsidR="00940A99" w:rsidRPr="005B12AE" w:rsidRDefault="00940A99" w:rsidP="00250DAC">
            <w:pPr>
              <w:spacing w:after="0" w:line="240" w:lineRule="auto"/>
              <w:jc w:val="center"/>
              <w:rPr>
                <w:rFonts w:ascii="Times New Roman" w:hAnsi="Times New Roman"/>
                <w:sz w:val="20"/>
                <w:szCs w:val="20"/>
              </w:rPr>
            </w:pPr>
          </w:p>
        </w:tc>
      </w:tr>
      <w:tr w:rsidR="00940A99" w:rsidRPr="005B12AE" w14:paraId="1BDFB7F9" w14:textId="77777777" w:rsidTr="00940A99">
        <w:trPr>
          <w:trHeight w:val="20"/>
        </w:trPr>
        <w:tc>
          <w:tcPr>
            <w:tcW w:w="230" w:type="pct"/>
            <w:shd w:val="clear" w:color="auto" w:fill="auto"/>
            <w:noWrap/>
            <w:vAlign w:val="bottom"/>
            <w:hideMark/>
          </w:tcPr>
          <w:p w14:paraId="205ADD76" w14:textId="77777777" w:rsidR="00940A99" w:rsidRPr="005B12AE" w:rsidRDefault="00940A99" w:rsidP="00250DAC">
            <w:pPr>
              <w:spacing w:after="0" w:line="240" w:lineRule="auto"/>
              <w:rPr>
                <w:rFonts w:ascii="Times New Roman" w:hAnsi="Times New Roman"/>
                <w:sz w:val="20"/>
                <w:szCs w:val="20"/>
              </w:rPr>
            </w:pPr>
          </w:p>
        </w:tc>
        <w:tc>
          <w:tcPr>
            <w:tcW w:w="2254" w:type="pct"/>
            <w:gridSpan w:val="2"/>
            <w:shd w:val="clear" w:color="auto" w:fill="auto"/>
            <w:noWrap/>
            <w:vAlign w:val="bottom"/>
            <w:hideMark/>
          </w:tcPr>
          <w:p w14:paraId="58EEB6F5"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 xml:space="preserve">  (i) Gross Block</w:t>
            </w:r>
          </w:p>
        </w:tc>
        <w:tc>
          <w:tcPr>
            <w:tcW w:w="845" w:type="pct"/>
            <w:shd w:val="clear" w:color="auto" w:fill="auto"/>
            <w:noWrap/>
            <w:vAlign w:val="bottom"/>
            <w:hideMark/>
          </w:tcPr>
          <w:p w14:paraId="31032A06"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2,087.24</w:t>
            </w:r>
          </w:p>
        </w:tc>
        <w:tc>
          <w:tcPr>
            <w:tcW w:w="835" w:type="pct"/>
            <w:shd w:val="clear" w:color="auto" w:fill="auto"/>
            <w:noWrap/>
            <w:vAlign w:val="bottom"/>
            <w:hideMark/>
          </w:tcPr>
          <w:p w14:paraId="616FE3BF"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2,050.96</w:t>
            </w:r>
          </w:p>
        </w:tc>
        <w:tc>
          <w:tcPr>
            <w:tcW w:w="836" w:type="pct"/>
            <w:shd w:val="clear" w:color="auto" w:fill="auto"/>
            <w:noWrap/>
            <w:vAlign w:val="bottom"/>
            <w:hideMark/>
          </w:tcPr>
          <w:p w14:paraId="1C80FFBD"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1,821.55</w:t>
            </w:r>
          </w:p>
        </w:tc>
      </w:tr>
      <w:tr w:rsidR="00940A99" w:rsidRPr="005B12AE" w14:paraId="282C6CDB" w14:textId="77777777" w:rsidTr="00940A99">
        <w:trPr>
          <w:trHeight w:val="20"/>
        </w:trPr>
        <w:tc>
          <w:tcPr>
            <w:tcW w:w="230" w:type="pct"/>
            <w:shd w:val="clear" w:color="auto" w:fill="auto"/>
            <w:noWrap/>
            <w:vAlign w:val="bottom"/>
            <w:hideMark/>
          </w:tcPr>
          <w:p w14:paraId="70A19BC7" w14:textId="77777777" w:rsidR="00940A99" w:rsidRPr="005B12AE" w:rsidRDefault="00940A99" w:rsidP="00250DAC">
            <w:pPr>
              <w:spacing w:after="0" w:line="240" w:lineRule="auto"/>
              <w:rPr>
                <w:rFonts w:ascii="Times New Roman" w:hAnsi="Times New Roman"/>
                <w:sz w:val="20"/>
                <w:szCs w:val="20"/>
              </w:rPr>
            </w:pPr>
          </w:p>
        </w:tc>
        <w:tc>
          <w:tcPr>
            <w:tcW w:w="2254" w:type="pct"/>
            <w:gridSpan w:val="2"/>
            <w:shd w:val="clear" w:color="auto" w:fill="auto"/>
            <w:noWrap/>
            <w:vAlign w:val="bottom"/>
            <w:hideMark/>
          </w:tcPr>
          <w:p w14:paraId="02E216B6"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 xml:space="preserve">  (ii) Depreciation </w:t>
            </w:r>
          </w:p>
        </w:tc>
        <w:tc>
          <w:tcPr>
            <w:tcW w:w="845" w:type="pct"/>
            <w:shd w:val="clear" w:color="auto" w:fill="auto"/>
            <w:noWrap/>
            <w:vAlign w:val="bottom"/>
            <w:hideMark/>
          </w:tcPr>
          <w:p w14:paraId="7D43EC34"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1,391.71</w:t>
            </w:r>
          </w:p>
        </w:tc>
        <w:tc>
          <w:tcPr>
            <w:tcW w:w="835" w:type="pct"/>
            <w:shd w:val="clear" w:color="auto" w:fill="auto"/>
            <w:noWrap/>
            <w:vAlign w:val="bottom"/>
            <w:hideMark/>
          </w:tcPr>
          <w:p w14:paraId="31C97EC7"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1,295.01</w:t>
            </w:r>
          </w:p>
        </w:tc>
        <w:tc>
          <w:tcPr>
            <w:tcW w:w="836" w:type="pct"/>
            <w:shd w:val="clear" w:color="auto" w:fill="auto"/>
            <w:noWrap/>
            <w:vAlign w:val="bottom"/>
            <w:hideMark/>
          </w:tcPr>
          <w:p w14:paraId="1A1163C0"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1,117.33</w:t>
            </w:r>
          </w:p>
        </w:tc>
      </w:tr>
      <w:tr w:rsidR="00940A99" w:rsidRPr="005B12AE" w14:paraId="6E02B68D" w14:textId="77777777" w:rsidTr="00940A99">
        <w:trPr>
          <w:trHeight w:val="20"/>
        </w:trPr>
        <w:tc>
          <w:tcPr>
            <w:tcW w:w="230" w:type="pct"/>
            <w:shd w:val="clear" w:color="auto" w:fill="auto"/>
            <w:noWrap/>
            <w:vAlign w:val="bottom"/>
            <w:hideMark/>
          </w:tcPr>
          <w:p w14:paraId="4B58D890" w14:textId="77777777" w:rsidR="00940A99" w:rsidRPr="005B12AE" w:rsidRDefault="00940A99" w:rsidP="00250DAC">
            <w:pPr>
              <w:spacing w:after="0" w:line="240" w:lineRule="auto"/>
              <w:rPr>
                <w:rFonts w:ascii="Times New Roman" w:hAnsi="Times New Roman"/>
                <w:sz w:val="20"/>
                <w:szCs w:val="20"/>
              </w:rPr>
            </w:pPr>
          </w:p>
        </w:tc>
        <w:tc>
          <w:tcPr>
            <w:tcW w:w="2254" w:type="pct"/>
            <w:gridSpan w:val="2"/>
            <w:shd w:val="clear" w:color="auto" w:fill="auto"/>
            <w:noWrap/>
            <w:vAlign w:val="bottom"/>
            <w:hideMark/>
          </w:tcPr>
          <w:p w14:paraId="2A78DF56"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 xml:space="preserve">  (iii) Net Block</w:t>
            </w:r>
          </w:p>
        </w:tc>
        <w:tc>
          <w:tcPr>
            <w:tcW w:w="845" w:type="pct"/>
            <w:shd w:val="clear" w:color="auto" w:fill="auto"/>
            <w:noWrap/>
            <w:vAlign w:val="bottom"/>
            <w:hideMark/>
          </w:tcPr>
          <w:p w14:paraId="37BD6872"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695.53</w:t>
            </w:r>
          </w:p>
        </w:tc>
        <w:tc>
          <w:tcPr>
            <w:tcW w:w="835" w:type="pct"/>
            <w:shd w:val="clear" w:color="auto" w:fill="auto"/>
            <w:noWrap/>
            <w:vAlign w:val="bottom"/>
            <w:hideMark/>
          </w:tcPr>
          <w:p w14:paraId="785CB00F"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755.95</w:t>
            </w:r>
          </w:p>
        </w:tc>
        <w:tc>
          <w:tcPr>
            <w:tcW w:w="836" w:type="pct"/>
            <w:shd w:val="clear" w:color="auto" w:fill="auto"/>
            <w:noWrap/>
            <w:vAlign w:val="bottom"/>
            <w:hideMark/>
          </w:tcPr>
          <w:p w14:paraId="16DB16B4"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704.22</w:t>
            </w:r>
          </w:p>
        </w:tc>
      </w:tr>
      <w:tr w:rsidR="00940A99" w:rsidRPr="005B12AE" w14:paraId="3E3D55B8" w14:textId="77777777" w:rsidTr="00940A99">
        <w:trPr>
          <w:trHeight w:val="20"/>
        </w:trPr>
        <w:tc>
          <w:tcPr>
            <w:tcW w:w="230" w:type="pct"/>
            <w:shd w:val="clear" w:color="auto" w:fill="auto"/>
            <w:noWrap/>
            <w:vAlign w:val="bottom"/>
            <w:hideMark/>
          </w:tcPr>
          <w:p w14:paraId="79224424" w14:textId="77777777" w:rsidR="00940A99" w:rsidRPr="005B12AE" w:rsidRDefault="00940A99" w:rsidP="00250DAC">
            <w:pPr>
              <w:spacing w:after="0" w:line="240" w:lineRule="auto"/>
              <w:rPr>
                <w:rFonts w:ascii="Times New Roman" w:hAnsi="Times New Roman"/>
                <w:sz w:val="20"/>
                <w:szCs w:val="20"/>
              </w:rPr>
            </w:pPr>
          </w:p>
        </w:tc>
        <w:tc>
          <w:tcPr>
            <w:tcW w:w="274" w:type="pct"/>
            <w:shd w:val="clear" w:color="auto" w:fill="auto"/>
            <w:noWrap/>
            <w:vAlign w:val="bottom"/>
            <w:hideMark/>
          </w:tcPr>
          <w:p w14:paraId="329D2246"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II)</w:t>
            </w:r>
          </w:p>
        </w:tc>
        <w:tc>
          <w:tcPr>
            <w:tcW w:w="1980" w:type="pct"/>
            <w:shd w:val="clear" w:color="auto" w:fill="auto"/>
            <w:noWrap/>
            <w:vAlign w:val="bottom"/>
            <w:hideMark/>
          </w:tcPr>
          <w:p w14:paraId="5138A162"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Intangible Assets</w:t>
            </w:r>
          </w:p>
        </w:tc>
        <w:tc>
          <w:tcPr>
            <w:tcW w:w="845" w:type="pct"/>
            <w:shd w:val="clear" w:color="auto" w:fill="auto"/>
            <w:noWrap/>
            <w:vAlign w:val="bottom"/>
            <w:hideMark/>
          </w:tcPr>
          <w:p w14:paraId="3F62FC3B"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35" w:type="pct"/>
            <w:shd w:val="clear" w:color="auto" w:fill="auto"/>
            <w:noWrap/>
            <w:vAlign w:val="bottom"/>
            <w:hideMark/>
          </w:tcPr>
          <w:p w14:paraId="53732EF6"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36" w:type="pct"/>
            <w:shd w:val="clear" w:color="auto" w:fill="auto"/>
            <w:noWrap/>
            <w:vAlign w:val="bottom"/>
            <w:hideMark/>
          </w:tcPr>
          <w:p w14:paraId="04DD70CF"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940A99" w:rsidRPr="005B12AE" w14:paraId="26517660" w14:textId="77777777" w:rsidTr="00940A99">
        <w:trPr>
          <w:trHeight w:val="20"/>
        </w:trPr>
        <w:tc>
          <w:tcPr>
            <w:tcW w:w="230" w:type="pct"/>
            <w:shd w:val="clear" w:color="auto" w:fill="auto"/>
            <w:noWrap/>
            <w:vAlign w:val="bottom"/>
            <w:hideMark/>
          </w:tcPr>
          <w:p w14:paraId="520E473D" w14:textId="77777777" w:rsidR="00940A99" w:rsidRPr="005B12AE" w:rsidRDefault="00940A99" w:rsidP="00250DAC">
            <w:pPr>
              <w:spacing w:after="0" w:line="240" w:lineRule="auto"/>
              <w:rPr>
                <w:rFonts w:ascii="Times New Roman" w:hAnsi="Times New Roman"/>
                <w:sz w:val="20"/>
                <w:szCs w:val="20"/>
              </w:rPr>
            </w:pPr>
          </w:p>
        </w:tc>
        <w:tc>
          <w:tcPr>
            <w:tcW w:w="274" w:type="pct"/>
            <w:shd w:val="clear" w:color="auto" w:fill="auto"/>
            <w:noWrap/>
            <w:vAlign w:val="bottom"/>
            <w:hideMark/>
          </w:tcPr>
          <w:p w14:paraId="08CFCF5F"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III)</w:t>
            </w:r>
          </w:p>
        </w:tc>
        <w:tc>
          <w:tcPr>
            <w:tcW w:w="1980" w:type="pct"/>
            <w:shd w:val="clear" w:color="auto" w:fill="auto"/>
            <w:noWrap/>
            <w:vAlign w:val="bottom"/>
            <w:hideMark/>
          </w:tcPr>
          <w:p w14:paraId="27532BAE"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Capital Work-in-Progress</w:t>
            </w:r>
          </w:p>
        </w:tc>
        <w:tc>
          <w:tcPr>
            <w:tcW w:w="845" w:type="pct"/>
            <w:shd w:val="clear" w:color="auto" w:fill="auto"/>
            <w:noWrap/>
            <w:vAlign w:val="bottom"/>
            <w:hideMark/>
          </w:tcPr>
          <w:p w14:paraId="1A9AC9D7"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35" w:type="pct"/>
            <w:shd w:val="clear" w:color="auto" w:fill="auto"/>
            <w:noWrap/>
            <w:vAlign w:val="bottom"/>
            <w:hideMark/>
          </w:tcPr>
          <w:p w14:paraId="3F3DEA10"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36" w:type="pct"/>
            <w:shd w:val="clear" w:color="auto" w:fill="auto"/>
            <w:noWrap/>
            <w:vAlign w:val="bottom"/>
            <w:hideMark/>
          </w:tcPr>
          <w:p w14:paraId="4549410D"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940A99" w:rsidRPr="005B12AE" w14:paraId="216D276B" w14:textId="77777777" w:rsidTr="00940A99">
        <w:trPr>
          <w:trHeight w:val="20"/>
        </w:trPr>
        <w:tc>
          <w:tcPr>
            <w:tcW w:w="230" w:type="pct"/>
            <w:shd w:val="clear" w:color="auto" w:fill="auto"/>
            <w:noWrap/>
            <w:vAlign w:val="bottom"/>
            <w:hideMark/>
          </w:tcPr>
          <w:p w14:paraId="1E3714DF" w14:textId="77777777" w:rsidR="00940A99" w:rsidRPr="005B12AE" w:rsidRDefault="00940A99" w:rsidP="00250DAC">
            <w:pPr>
              <w:spacing w:after="0" w:line="240" w:lineRule="auto"/>
              <w:rPr>
                <w:rFonts w:ascii="Times New Roman" w:hAnsi="Times New Roman"/>
                <w:sz w:val="20"/>
                <w:szCs w:val="20"/>
              </w:rPr>
            </w:pPr>
          </w:p>
        </w:tc>
        <w:tc>
          <w:tcPr>
            <w:tcW w:w="274" w:type="pct"/>
            <w:shd w:val="clear" w:color="auto" w:fill="auto"/>
            <w:noWrap/>
            <w:vAlign w:val="bottom"/>
            <w:hideMark/>
          </w:tcPr>
          <w:p w14:paraId="42287A3D"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IV)</w:t>
            </w:r>
          </w:p>
        </w:tc>
        <w:tc>
          <w:tcPr>
            <w:tcW w:w="1980" w:type="pct"/>
            <w:shd w:val="clear" w:color="auto" w:fill="auto"/>
            <w:noWrap/>
            <w:vAlign w:val="bottom"/>
            <w:hideMark/>
          </w:tcPr>
          <w:p w14:paraId="25E65E16"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Intangible assets under development</w:t>
            </w:r>
          </w:p>
        </w:tc>
        <w:tc>
          <w:tcPr>
            <w:tcW w:w="845" w:type="pct"/>
            <w:shd w:val="clear" w:color="auto" w:fill="auto"/>
            <w:noWrap/>
            <w:vAlign w:val="bottom"/>
            <w:hideMark/>
          </w:tcPr>
          <w:p w14:paraId="4C6F2051"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35" w:type="pct"/>
            <w:shd w:val="clear" w:color="auto" w:fill="auto"/>
            <w:noWrap/>
            <w:vAlign w:val="bottom"/>
            <w:hideMark/>
          </w:tcPr>
          <w:p w14:paraId="5E37B1B8"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36" w:type="pct"/>
            <w:shd w:val="clear" w:color="auto" w:fill="auto"/>
            <w:noWrap/>
            <w:vAlign w:val="bottom"/>
            <w:hideMark/>
          </w:tcPr>
          <w:p w14:paraId="19A9C812"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940A99" w:rsidRPr="005B12AE" w14:paraId="4AF78CAA" w14:textId="77777777" w:rsidTr="00940A99">
        <w:trPr>
          <w:trHeight w:val="20"/>
        </w:trPr>
        <w:tc>
          <w:tcPr>
            <w:tcW w:w="230" w:type="pct"/>
            <w:shd w:val="clear" w:color="auto" w:fill="auto"/>
            <w:noWrap/>
            <w:vAlign w:val="bottom"/>
            <w:hideMark/>
          </w:tcPr>
          <w:p w14:paraId="738DF548" w14:textId="77777777" w:rsidR="00940A99" w:rsidRPr="005B12AE" w:rsidRDefault="00940A99" w:rsidP="00250DAC">
            <w:pPr>
              <w:spacing w:after="0" w:line="240" w:lineRule="auto"/>
              <w:rPr>
                <w:rFonts w:ascii="Times New Roman" w:hAnsi="Times New Roman"/>
                <w:sz w:val="20"/>
                <w:szCs w:val="20"/>
              </w:rPr>
            </w:pPr>
          </w:p>
        </w:tc>
        <w:tc>
          <w:tcPr>
            <w:tcW w:w="2254" w:type="pct"/>
            <w:gridSpan w:val="2"/>
            <w:shd w:val="clear" w:color="auto" w:fill="auto"/>
            <w:noWrap/>
            <w:vAlign w:val="bottom"/>
            <w:hideMark/>
          </w:tcPr>
          <w:p w14:paraId="2807BAF3" w14:textId="77777777" w:rsidR="00940A99" w:rsidRPr="005B12AE" w:rsidRDefault="00940A99" w:rsidP="00250DAC">
            <w:pPr>
              <w:spacing w:after="0" w:line="240" w:lineRule="auto"/>
              <w:rPr>
                <w:rFonts w:ascii="Times New Roman" w:hAnsi="Times New Roman"/>
                <w:sz w:val="20"/>
                <w:szCs w:val="20"/>
              </w:rPr>
            </w:pPr>
          </w:p>
        </w:tc>
        <w:tc>
          <w:tcPr>
            <w:tcW w:w="845" w:type="pct"/>
            <w:shd w:val="clear" w:color="auto" w:fill="auto"/>
            <w:noWrap/>
            <w:vAlign w:val="bottom"/>
            <w:hideMark/>
          </w:tcPr>
          <w:p w14:paraId="347D8E0E"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695.53</w:t>
            </w:r>
          </w:p>
        </w:tc>
        <w:tc>
          <w:tcPr>
            <w:tcW w:w="835" w:type="pct"/>
            <w:shd w:val="clear" w:color="auto" w:fill="auto"/>
            <w:noWrap/>
            <w:vAlign w:val="bottom"/>
            <w:hideMark/>
          </w:tcPr>
          <w:p w14:paraId="4FBF77FE"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755.95</w:t>
            </w:r>
          </w:p>
        </w:tc>
        <w:tc>
          <w:tcPr>
            <w:tcW w:w="836" w:type="pct"/>
            <w:shd w:val="clear" w:color="auto" w:fill="auto"/>
            <w:noWrap/>
            <w:vAlign w:val="bottom"/>
            <w:hideMark/>
          </w:tcPr>
          <w:p w14:paraId="7F6B1AFE"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704.22</w:t>
            </w:r>
          </w:p>
        </w:tc>
      </w:tr>
      <w:tr w:rsidR="00940A99" w:rsidRPr="005B12AE" w14:paraId="03ED04FC" w14:textId="77777777" w:rsidTr="00940A99">
        <w:trPr>
          <w:trHeight w:val="20"/>
        </w:trPr>
        <w:tc>
          <w:tcPr>
            <w:tcW w:w="230" w:type="pct"/>
            <w:shd w:val="clear" w:color="auto" w:fill="auto"/>
            <w:noWrap/>
            <w:vAlign w:val="bottom"/>
            <w:hideMark/>
          </w:tcPr>
          <w:p w14:paraId="15DC427B"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(b)</w:t>
            </w:r>
          </w:p>
        </w:tc>
        <w:tc>
          <w:tcPr>
            <w:tcW w:w="2254" w:type="pct"/>
            <w:gridSpan w:val="2"/>
            <w:shd w:val="clear" w:color="auto" w:fill="auto"/>
            <w:noWrap/>
            <w:vAlign w:val="bottom"/>
            <w:hideMark/>
          </w:tcPr>
          <w:p w14:paraId="3DEF31AA"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Non-Current Investment</w:t>
            </w:r>
          </w:p>
        </w:tc>
        <w:tc>
          <w:tcPr>
            <w:tcW w:w="845" w:type="pct"/>
            <w:shd w:val="clear" w:color="auto" w:fill="auto"/>
            <w:noWrap/>
            <w:vAlign w:val="bottom"/>
            <w:hideMark/>
          </w:tcPr>
          <w:p w14:paraId="6EE3A4AF"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35" w:type="pct"/>
            <w:shd w:val="clear" w:color="auto" w:fill="auto"/>
            <w:noWrap/>
            <w:vAlign w:val="bottom"/>
            <w:hideMark/>
          </w:tcPr>
          <w:p w14:paraId="2E31BA99"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36" w:type="pct"/>
            <w:shd w:val="clear" w:color="auto" w:fill="auto"/>
            <w:noWrap/>
            <w:vAlign w:val="bottom"/>
            <w:hideMark/>
          </w:tcPr>
          <w:p w14:paraId="44D03E26"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940A99" w:rsidRPr="005B12AE" w14:paraId="06FB62F1" w14:textId="77777777" w:rsidTr="00940A99">
        <w:trPr>
          <w:trHeight w:val="20"/>
        </w:trPr>
        <w:tc>
          <w:tcPr>
            <w:tcW w:w="230" w:type="pct"/>
            <w:shd w:val="clear" w:color="auto" w:fill="auto"/>
            <w:noWrap/>
            <w:vAlign w:val="bottom"/>
            <w:hideMark/>
          </w:tcPr>
          <w:p w14:paraId="36E4EE78"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(c)</w:t>
            </w:r>
          </w:p>
        </w:tc>
        <w:tc>
          <w:tcPr>
            <w:tcW w:w="2254" w:type="pct"/>
            <w:gridSpan w:val="2"/>
            <w:shd w:val="clear" w:color="auto" w:fill="auto"/>
            <w:noWrap/>
            <w:vAlign w:val="bottom"/>
            <w:hideMark/>
          </w:tcPr>
          <w:p w14:paraId="079D50E8"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Deferred Tax Assets (Net)</w:t>
            </w:r>
          </w:p>
        </w:tc>
        <w:tc>
          <w:tcPr>
            <w:tcW w:w="845" w:type="pct"/>
            <w:shd w:val="clear" w:color="auto" w:fill="auto"/>
            <w:noWrap/>
            <w:vAlign w:val="bottom"/>
            <w:hideMark/>
          </w:tcPr>
          <w:p w14:paraId="55EAEC0B"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22.64</w:t>
            </w:r>
          </w:p>
        </w:tc>
        <w:tc>
          <w:tcPr>
            <w:tcW w:w="835" w:type="pct"/>
            <w:shd w:val="clear" w:color="auto" w:fill="auto"/>
            <w:noWrap/>
            <w:vAlign w:val="bottom"/>
            <w:hideMark/>
          </w:tcPr>
          <w:p w14:paraId="306E4B92"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23.70</w:t>
            </w:r>
          </w:p>
        </w:tc>
        <w:tc>
          <w:tcPr>
            <w:tcW w:w="836" w:type="pct"/>
            <w:shd w:val="clear" w:color="auto" w:fill="auto"/>
            <w:noWrap/>
            <w:vAlign w:val="bottom"/>
            <w:hideMark/>
          </w:tcPr>
          <w:p w14:paraId="1255F742"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9.40</w:t>
            </w:r>
          </w:p>
        </w:tc>
      </w:tr>
      <w:tr w:rsidR="00940A99" w:rsidRPr="005B12AE" w14:paraId="51192F5F" w14:textId="77777777" w:rsidTr="00940A99">
        <w:trPr>
          <w:trHeight w:val="20"/>
        </w:trPr>
        <w:tc>
          <w:tcPr>
            <w:tcW w:w="230" w:type="pct"/>
            <w:shd w:val="clear" w:color="auto" w:fill="auto"/>
            <w:noWrap/>
            <w:vAlign w:val="bottom"/>
            <w:hideMark/>
          </w:tcPr>
          <w:p w14:paraId="750F615C"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(d)</w:t>
            </w:r>
          </w:p>
        </w:tc>
        <w:tc>
          <w:tcPr>
            <w:tcW w:w="2254" w:type="pct"/>
            <w:gridSpan w:val="2"/>
            <w:shd w:val="clear" w:color="auto" w:fill="auto"/>
            <w:noWrap/>
            <w:vAlign w:val="bottom"/>
            <w:hideMark/>
          </w:tcPr>
          <w:p w14:paraId="6A16EDE5"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Long Term Loans and Advances</w:t>
            </w:r>
          </w:p>
        </w:tc>
        <w:tc>
          <w:tcPr>
            <w:tcW w:w="845" w:type="pct"/>
            <w:shd w:val="clear" w:color="auto" w:fill="auto"/>
            <w:noWrap/>
            <w:vAlign w:val="bottom"/>
            <w:hideMark/>
          </w:tcPr>
          <w:p w14:paraId="0C6B4074"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115.36</w:t>
            </w:r>
          </w:p>
        </w:tc>
        <w:tc>
          <w:tcPr>
            <w:tcW w:w="835" w:type="pct"/>
            <w:shd w:val="clear" w:color="auto" w:fill="auto"/>
            <w:noWrap/>
            <w:vAlign w:val="bottom"/>
            <w:hideMark/>
          </w:tcPr>
          <w:p w14:paraId="099463B5"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96.14</w:t>
            </w:r>
          </w:p>
        </w:tc>
        <w:tc>
          <w:tcPr>
            <w:tcW w:w="836" w:type="pct"/>
            <w:shd w:val="clear" w:color="auto" w:fill="auto"/>
            <w:noWrap/>
            <w:vAlign w:val="bottom"/>
            <w:hideMark/>
          </w:tcPr>
          <w:p w14:paraId="1CC1C7C2"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89.89</w:t>
            </w:r>
          </w:p>
        </w:tc>
      </w:tr>
      <w:tr w:rsidR="00940A99" w:rsidRPr="005B12AE" w14:paraId="56161C33" w14:textId="77777777" w:rsidTr="00940A99">
        <w:trPr>
          <w:trHeight w:val="20"/>
        </w:trPr>
        <w:tc>
          <w:tcPr>
            <w:tcW w:w="230" w:type="pct"/>
            <w:shd w:val="clear" w:color="auto" w:fill="auto"/>
            <w:noWrap/>
            <w:vAlign w:val="bottom"/>
            <w:hideMark/>
          </w:tcPr>
          <w:p w14:paraId="4E3B3DCE"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(e)</w:t>
            </w:r>
          </w:p>
        </w:tc>
        <w:tc>
          <w:tcPr>
            <w:tcW w:w="2254" w:type="pct"/>
            <w:gridSpan w:val="2"/>
            <w:shd w:val="clear" w:color="auto" w:fill="auto"/>
            <w:noWrap/>
            <w:vAlign w:val="bottom"/>
            <w:hideMark/>
          </w:tcPr>
          <w:p w14:paraId="51BEF00F"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Other Non-Current Assets</w:t>
            </w:r>
          </w:p>
        </w:tc>
        <w:tc>
          <w:tcPr>
            <w:tcW w:w="845" w:type="pct"/>
            <w:shd w:val="clear" w:color="auto" w:fill="auto"/>
            <w:noWrap/>
            <w:vAlign w:val="bottom"/>
            <w:hideMark/>
          </w:tcPr>
          <w:p w14:paraId="6732E1B6"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35" w:type="pct"/>
            <w:shd w:val="clear" w:color="auto" w:fill="auto"/>
            <w:noWrap/>
            <w:vAlign w:val="bottom"/>
            <w:hideMark/>
          </w:tcPr>
          <w:p w14:paraId="2609F2E9"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36" w:type="pct"/>
            <w:shd w:val="clear" w:color="auto" w:fill="auto"/>
            <w:noWrap/>
            <w:vAlign w:val="bottom"/>
            <w:hideMark/>
          </w:tcPr>
          <w:p w14:paraId="66B8AEC8"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940A99" w:rsidRPr="005B12AE" w14:paraId="69F8B799" w14:textId="77777777" w:rsidTr="00940A99">
        <w:trPr>
          <w:trHeight w:val="20"/>
        </w:trPr>
        <w:tc>
          <w:tcPr>
            <w:tcW w:w="230" w:type="pct"/>
            <w:shd w:val="clear" w:color="auto" w:fill="auto"/>
            <w:noWrap/>
            <w:vAlign w:val="bottom"/>
            <w:hideMark/>
          </w:tcPr>
          <w:p w14:paraId="2944BFCC" w14:textId="77777777" w:rsidR="00940A99" w:rsidRPr="005B12AE" w:rsidRDefault="00940A99" w:rsidP="00250DAC">
            <w:pPr>
              <w:spacing w:after="0" w:line="240" w:lineRule="auto"/>
              <w:rPr>
                <w:rFonts w:ascii="Times New Roman" w:hAnsi="Times New Roman"/>
                <w:sz w:val="20"/>
                <w:szCs w:val="20"/>
              </w:rPr>
            </w:pPr>
          </w:p>
        </w:tc>
        <w:tc>
          <w:tcPr>
            <w:tcW w:w="2254" w:type="pct"/>
            <w:gridSpan w:val="2"/>
            <w:shd w:val="clear" w:color="auto" w:fill="auto"/>
            <w:noWrap/>
            <w:vAlign w:val="bottom"/>
            <w:hideMark/>
          </w:tcPr>
          <w:p w14:paraId="4D7EC4D5" w14:textId="77777777" w:rsidR="00940A99" w:rsidRPr="005B12AE" w:rsidRDefault="00940A99" w:rsidP="00250DAC">
            <w:pPr>
              <w:spacing w:after="0" w:line="240" w:lineRule="auto"/>
              <w:rPr>
                <w:rFonts w:ascii="Times New Roman" w:hAnsi="Times New Roman"/>
                <w:sz w:val="20"/>
                <w:szCs w:val="20"/>
              </w:rPr>
            </w:pPr>
          </w:p>
        </w:tc>
        <w:tc>
          <w:tcPr>
            <w:tcW w:w="845" w:type="pct"/>
            <w:shd w:val="clear" w:color="auto" w:fill="auto"/>
            <w:noWrap/>
            <w:vAlign w:val="bottom"/>
            <w:hideMark/>
          </w:tcPr>
          <w:p w14:paraId="4C59996D"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138.00</w:t>
            </w:r>
          </w:p>
        </w:tc>
        <w:tc>
          <w:tcPr>
            <w:tcW w:w="835" w:type="pct"/>
            <w:shd w:val="clear" w:color="auto" w:fill="auto"/>
            <w:noWrap/>
            <w:vAlign w:val="bottom"/>
            <w:hideMark/>
          </w:tcPr>
          <w:p w14:paraId="245FD2FA"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119.84</w:t>
            </w:r>
          </w:p>
        </w:tc>
        <w:tc>
          <w:tcPr>
            <w:tcW w:w="836" w:type="pct"/>
            <w:shd w:val="clear" w:color="auto" w:fill="auto"/>
            <w:noWrap/>
            <w:vAlign w:val="bottom"/>
            <w:hideMark/>
          </w:tcPr>
          <w:p w14:paraId="0B2D7546"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99.29</w:t>
            </w:r>
          </w:p>
        </w:tc>
      </w:tr>
      <w:tr w:rsidR="00940A99" w:rsidRPr="005B12AE" w14:paraId="2EE4B3AB" w14:textId="77777777" w:rsidTr="00940A99">
        <w:trPr>
          <w:trHeight w:val="20"/>
        </w:trPr>
        <w:tc>
          <w:tcPr>
            <w:tcW w:w="230" w:type="pct"/>
            <w:shd w:val="clear" w:color="auto" w:fill="auto"/>
            <w:noWrap/>
            <w:vAlign w:val="bottom"/>
            <w:hideMark/>
          </w:tcPr>
          <w:p w14:paraId="05A85921"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2.</w:t>
            </w:r>
          </w:p>
        </w:tc>
        <w:tc>
          <w:tcPr>
            <w:tcW w:w="2254" w:type="pct"/>
            <w:gridSpan w:val="2"/>
            <w:shd w:val="clear" w:color="auto" w:fill="auto"/>
            <w:noWrap/>
            <w:vAlign w:val="bottom"/>
            <w:hideMark/>
          </w:tcPr>
          <w:p w14:paraId="266FF3B9"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Current Assets</w:t>
            </w:r>
          </w:p>
        </w:tc>
        <w:tc>
          <w:tcPr>
            <w:tcW w:w="845" w:type="pct"/>
            <w:shd w:val="clear" w:color="auto" w:fill="auto"/>
            <w:noWrap/>
            <w:vAlign w:val="bottom"/>
            <w:hideMark/>
          </w:tcPr>
          <w:p w14:paraId="1CB1D526" w14:textId="77777777" w:rsidR="00940A99" w:rsidRPr="005B12AE" w:rsidRDefault="00940A99" w:rsidP="00250DAC">
            <w:pPr>
              <w:spacing w:after="0" w:line="240" w:lineRule="auto"/>
              <w:jc w:val="center"/>
              <w:rPr>
                <w:rFonts w:ascii="Times New Roman" w:hAnsi="Times New Roman"/>
                <w:sz w:val="20"/>
                <w:szCs w:val="20"/>
              </w:rPr>
            </w:pPr>
          </w:p>
        </w:tc>
        <w:tc>
          <w:tcPr>
            <w:tcW w:w="835" w:type="pct"/>
            <w:shd w:val="clear" w:color="auto" w:fill="auto"/>
            <w:noWrap/>
            <w:vAlign w:val="bottom"/>
            <w:hideMark/>
          </w:tcPr>
          <w:p w14:paraId="6D4AE5AC" w14:textId="77777777" w:rsidR="00940A99" w:rsidRPr="005B12AE" w:rsidRDefault="00940A99" w:rsidP="00250DAC">
            <w:pPr>
              <w:spacing w:after="0" w:line="240" w:lineRule="auto"/>
              <w:jc w:val="center"/>
              <w:rPr>
                <w:rFonts w:ascii="Times New Roman" w:hAnsi="Times New Roman"/>
                <w:sz w:val="20"/>
                <w:szCs w:val="20"/>
              </w:rPr>
            </w:pPr>
          </w:p>
        </w:tc>
        <w:tc>
          <w:tcPr>
            <w:tcW w:w="836" w:type="pct"/>
            <w:shd w:val="clear" w:color="auto" w:fill="auto"/>
            <w:noWrap/>
            <w:vAlign w:val="bottom"/>
            <w:hideMark/>
          </w:tcPr>
          <w:p w14:paraId="6D59F3A3" w14:textId="77777777" w:rsidR="00940A99" w:rsidRPr="005B12AE" w:rsidRDefault="00940A99" w:rsidP="00250DAC">
            <w:pPr>
              <w:spacing w:after="0" w:line="240" w:lineRule="auto"/>
              <w:jc w:val="center"/>
              <w:rPr>
                <w:rFonts w:ascii="Times New Roman" w:hAnsi="Times New Roman"/>
                <w:sz w:val="20"/>
                <w:szCs w:val="20"/>
              </w:rPr>
            </w:pPr>
          </w:p>
        </w:tc>
      </w:tr>
      <w:tr w:rsidR="00940A99" w:rsidRPr="005B12AE" w14:paraId="07E7B1C3" w14:textId="77777777" w:rsidTr="00940A99">
        <w:trPr>
          <w:trHeight w:val="20"/>
        </w:trPr>
        <w:tc>
          <w:tcPr>
            <w:tcW w:w="230" w:type="pct"/>
            <w:shd w:val="clear" w:color="auto" w:fill="auto"/>
            <w:noWrap/>
            <w:vAlign w:val="bottom"/>
            <w:hideMark/>
          </w:tcPr>
          <w:p w14:paraId="16CD7FEA"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(a)</w:t>
            </w:r>
          </w:p>
        </w:tc>
        <w:tc>
          <w:tcPr>
            <w:tcW w:w="2254" w:type="pct"/>
            <w:gridSpan w:val="2"/>
            <w:shd w:val="clear" w:color="auto" w:fill="auto"/>
            <w:noWrap/>
            <w:vAlign w:val="bottom"/>
            <w:hideMark/>
          </w:tcPr>
          <w:p w14:paraId="64B0F0D9"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Trade Receivables</w:t>
            </w:r>
          </w:p>
        </w:tc>
        <w:tc>
          <w:tcPr>
            <w:tcW w:w="845" w:type="pct"/>
            <w:shd w:val="clear" w:color="auto" w:fill="auto"/>
            <w:noWrap/>
            <w:vAlign w:val="bottom"/>
            <w:hideMark/>
          </w:tcPr>
          <w:p w14:paraId="79868D90"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3,461.45</w:t>
            </w:r>
          </w:p>
        </w:tc>
        <w:tc>
          <w:tcPr>
            <w:tcW w:w="835" w:type="pct"/>
            <w:shd w:val="clear" w:color="auto" w:fill="auto"/>
            <w:noWrap/>
            <w:vAlign w:val="bottom"/>
            <w:hideMark/>
          </w:tcPr>
          <w:p w14:paraId="39F1CA85"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3,359.60</w:t>
            </w:r>
          </w:p>
        </w:tc>
        <w:tc>
          <w:tcPr>
            <w:tcW w:w="836" w:type="pct"/>
            <w:shd w:val="clear" w:color="auto" w:fill="auto"/>
            <w:noWrap/>
            <w:vAlign w:val="bottom"/>
            <w:hideMark/>
          </w:tcPr>
          <w:p w14:paraId="0BF317E0"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4,269.97</w:t>
            </w:r>
          </w:p>
        </w:tc>
      </w:tr>
      <w:tr w:rsidR="00940A99" w:rsidRPr="005B12AE" w14:paraId="4173D4B1" w14:textId="77777777" w:rsidTr="00940A99">
        <w:trPr>
          <w:trHeight w:val="20"/>
        </w:trPr>
        <w:tc>
          <w:tcPr>
            <w:tcW w:w="230" w:type="pct"/>
            <w:shd w:val="clear" w:color="auto" w:fill="auto"/>
            <w:noWrap/>
            <w:vAlign w:val="bottom"/>
            <w:hideMark/>
          </w:tcPr>
          <w:p w14:paraId="5E9B40F5"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(b)</w:t>
            </w:r>
          </w:p>
        </w:tc>
        <w:tc>
          <w:tcPr>
            <w:tcW w:w="2254" w:type="pct"/>
            <w:gridSpan w:val="2"/>
            <w:shd w:val="clear" w:color="auto" w:fill="auto"/>
            <w:noWrap/>
            <w:vAlign w:val="bottom"/>
            <w:hideMark/>
          </w:tcPr>
          <w:p w14:paraId="0517DCE9"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 xml:space="preserve">Cash and Cash equivalents </w:t>
            </w:r>
          </w:p>
        </w:tc>
        <w:tc>
          <w:tcPr>
            <w:tcW w:w="845" w:type="pct"/>
            <w:shd w:val="clear" w:color="auto" w:fill="auto"/>
            <w:noWrap/>
            <w:vAlign w:val="bottom"/>
            <w:hideMark/>
          </w:tcPr>
          <w:p w14:paraId="4E2796DD"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72.31</w:t>
            </w:r>
          </w:p>
        </w:tc>
        <w:tc>
          <w:tcPr>
            <w:tcW w:w="835" w:type="pct"/>
            <w:shd w:val="clear" w:color="auto" w:fill="auto"/>
            <w:noWrap/>
            <w:vAlign w:val="bottom"/>
            <w:hideMark/>
          </w:tcPr>
          <w:p w14:paraId="5FD3809D"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209.65</w:t>
            </w:r>
          </w:p>
        </w:tc>
        <w:tc>
          <w:tcPr>
            <w:tcW w:w="836" w:type="pct"/>
            <w:shd w:val="clear" w:color="auto" w:fill="auto"/>
            <w:noWrap/>
            <w:vAlign w:val="bottom"/>
            <w:hideMark/>
          </w:tcPr>
          <w:p w14:paraId="4FF9E931"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38.24</w:t>
            </w:r>
          </w:p>
        </w:tc>
      </w:tr>
      <w:tr w:rsidR="00940A99" w:rsidRPr="005B12AE" w14:paraId="6E15D4DB" w14:textId="77777777" w:rsidTr="00940A99">
        <w:trPr>
          <w:trHeight w:val="20"/>
        </w:trPr>
        <w:tc>
          <w:tcPr>
            <w:tcW w:w="230" w:type="pct"/>
            <w:shd w:val="clear" w:color="auto" w:fill="auto"/>
            <w:noWrap/>
            <w:vAlign w:val="bottom"/>
            <w:hideMark/>
          </w:tcPr>
          <w:p w14:paraId="13B3669E"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(c)</w:t>
            </w:r>
          </w:p>
        </w:tc>
        <w:tc>
          <w:tcPr>
            <w:tcW w:w="2254" w:type="pct"/>
            <w:gridSpan w:val="2"/>
            <w:shd w:val="clear" w:color="auto" w:fill="auto"/>
            <w:noWrap/>
            <w:vAlign w:val="bottom"/>
            <w:hideMark/>
          </w:tcPr>
          <w:p w14:paraId="6474667B"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Inventories</w:t>
            </w:r>
          </w:p>
        </w:tc>
        <w:tc>
          <w:tcPr>
            <w:tcW w:w="845" w:type="pct"/>
            <w:shd w:val="clear" w:color="auto" w:fill="auto"/>
            <w:noWrap/>
            <w:vAlign w:val="bottom"/>
            <w:hideMark/>
          </w:tcPr>
          <w:p w14:paraId="056CA700"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7,755.17</w:t>
            </w:r>
          </w:p>
        </w:tc>
        <w:tc>
          <w:tcPr>
            <w:tcW w:w="835" w:type="pct"/>
            <w:shd w:val="clear" w:color="auto" w:fill="auto"/>
            <w:noWrap/>
            <w:vAlign w:val="bottom"/>
            <w:hideMark/>
          </w:tcPr>
          <w:p w14:paraId="344F4F44"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4,943.40</w:t>
            </w:r>
          </w:p>
        </w:tc>
        <w:tc>
          <w:tcPr>
            <w:tcW w:w="836" w:type="pct"/>
            <w:shd w:val="clear" w:color="auto" w:fill="auto"/>
            <w:noWrap/>
            <w:vAlign w:val="bottom"/>
            <w:hideMark/>
          </w:tcPr>
          <w:p w14:paraId="61A0BA3E"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4,041.90</w:t>
            </w:r>
          </w:p>
        </w:tc>
      </w:tr>
      <w:tr w:rsidR="00940A99" w:rsidRPr="005B12AE" w14:paraId="46D104A5" w14:textId="77777777" w:rsidTr="00940A99">
        <w:trPr>
          <w:trHeight w:val="20"/>
        </w:trPr>
        <w:tc>
          <w:tcPr>
            <w:tcW w:w="230" w:type="pct"/>
            <w:shd w:val="clear" w:color="auto" w:fill="auto"/>
            <w:noWrap/>
            <w:vAlign w:val="bottom"/>
            <w:hideMark/>
          </w:tcPr>
          <w:p w14:paraId="5693CAD2"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(d)</w:t>
            </w:r>
          </w:p>
        </w:tc>
        <w:tc>
          <w:tcPr>
            <w:tcW w:w="2254" w:type="pct"/>
            <w:gridSpan w:val="2"/>
            <w:shd w:val="clear" w:color="auto" w:fill="auto"/>
            <w:noWrap/>
            <w:vAlign w:val="bottom"/>
            <w:hideMark/>
          </w:tcPr>
          <w:p w14:paraId="7ED8BE77"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Short-Term Loans and Advances</w:t>
            </w:r>
          </w:p>
        </w:tc>
        <w:tc>
          <w:tcPr>
            <w:tcW w:w="845" w:type="pct"/>
            <w:shd w:val="clear" w:color="auto" w:fill="auto"/>
            <w:noWrap/>
            <w:vAlign w:val="bottom"/>
            <w:hideMark/>
          </w:tcPr>
          <w:p w14:paraId="668A6CB2"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2,542.91</w:t>
            </w:r>
          </w:p>
        </w:tc>
        <w:tc>
          <w:tcPr>
            <w:tcW w:w="835" w:type="pct"/>
            <w:shd w:val="clear" w:color="auto" w:fill="auto"/>
            <w:noWrap/>
            <w:vAlign w:val="bottom"/>
            <w:hideMark/>
          </w:tcPr>
          <w:p w14:paraId="6778C439"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31.79</w:t>
            </w:r>
          </w:p>
        </w:tc>
        <w:tc>
          <w:tcPr>
            <w:tcW w:w="836" w:type="pct"/>
            <w:shd w:val="clear" w:color="auto" w:fill="auto"/>
            <w:noWrap/>
            <w:vAlign w:val="bottom"/>
            <w:hideMark/>
          </w:tcPr>
          <w:p w14:paraId="1F0CBD90"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185.63</w:t>
            </w:r>
          </w:p>
        </w:tc>
      </w:tr>
      <w:tr w:rsidR="00940A99" w:rsidRPr="005B12AE" w14:paraId="18E894CE" w14:textId="77777777" w:rsidTr="00940A99">
        <w:trPr>
          <w:trHeight w:val="20"/>
        </w:trPr>
        <w:tc>
          <w:tcPr>
            <w:tcW w:w="230" w:type="pct"/>
            <w:shd w:val="clear" w:color="auto" w:fill="auto"/>
            <w:noWrap/>
            <w:vAlign w:val="bottom"/>
            <w:hideMark/>
          </w:tcPr>
          <w:p w14:paraId="5BAC04C8"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(e)</w:t>
            </w:r>
          </w:p>
        </w:tc>
        <w:tc>
          <w:tcPr>
            <w:tcW w:w="2254" w:type="pct"/>
            <w:gridSpan w:val="2"/>
            <w:shd w:val="clear" w:color="auto" w:fill="auto"/>
            <w:noWrap/>
            <w:vAlign w:val="bottom"/>
            <w:hideMark/>
          </w:tcPr>
          <w:p w14:paraId="71405A80"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 xml:space="preserve">Other Current Assets </w:t>
            </w:r>
          </w:p>
        </w:tc>
        <w:tc>
          <w:tcPr>
            <w:tcW w:w="845" w:type="pct"/>
            <w:shd w:val="clear" w:color="auto" w:fill="auto"/>
            <w:noWrap/>
            <w:vAlign w:val="bottom"/>
            <w:hideMark/>
          </w:tcPr>
          <w:p w14:paraId="4C891A78"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470.93</w:t>
            </w:r>
          </w:p>
        </w:tc>
        <w:tc>
          <w:tcPr>
            <w:tcW w:w="835" w:type="pct"/>
            <w:shd w:val="clear" w:color="auto" w:fill="auto"/>
            <w:noWrap/>
            <w:vAlign w:val="bottom"/>
            <w:hideMark/>
          </w:tcPr>
          <w:p w14:paraId="42C95A17"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431.13</w:t>
            </w:r>
          </w:p>
        </w:tc>
        <w:tc>
          <w:tcPr>
            <w:tcW w:w="836" w:type="pct"/>
            <w:shd w:val="clear" w:color="auto" w:fill="auto"/>
            <w:noWrap/>
            <w:vAlign w:val="bottom"/>
            <w:hideMark/>
          </w:tcPr>
          <w:p w14:paraId="4191FECB"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484.35</w:t>
            </w:r>
          </w:p>
        </w:tc>
      </w:tr>
      <w:tr w:rsidR="00940A99" w:rsidRPr="005B12AE" w14:paraId="099F0042" w14:textId="77777777" w:rsidTr="00940A99">
        <w:trPr>
          <w:trHeight w:val="20"/>
        </w:trPr>
        <w:tc>
          <w:tcPr>
            <w:tcW w:w="230" w:type="pct"/>
            <w:shd w:val="clear" w:color="auto" w:fill="auto"/>
            <w:noWrap/>
            <w:vAlign w:val="bottom"/>
            <w:hideMark/>
          </w:tcPr>
          <w:p w14:paraId="2DA15B42" w14:textId="77777777" w:rsidR="00940A99" w:rsidRPr="005B12AE" w:rsidRDefault="00940A99" w:rsidP="00250DAC">
            <w:pPr>
              <w:spacing w:after="0" w:line="240" w:lineRule="auto"/>
              <w:rPr>
                <w:rFonts w:ascii="Times New Roman" w:hAnsi="Times New Roman"/>
                <w:sz w:val="20"/>
                <w:szCs w:val="20"/>
              </w:rPr>
            </w:pPr>
          </w:p>
        </w:tc>
        <w:tc>
          <w:tcPr>
            <w:tcW w:w="2254" w:type="pct"/>
            <w:gridSpan w:val="2"/>
            <w:shd w:val="clear" w:color="auto" w:fill="auto"/>
            <w:noWrap/>
            <w:vAlign w:val="bottom"/>
            <w:hideMark/>
          </w:tcPr>
          <w:p w14:paraId="2236C433" w14:textId="77777777" w:rsidR="00940A99" w:rsidRPr="005B12AE" w:rsidRDefault="00940A99" w:rsidP="00250DAC">
            <w:pPr>
              <w:spacing w:after="0" w:line="240" w:lineRule="auto"/>
              <w:rPr>
                <w:rFonts w:ascii="Times New Roman" w:hAnsi="Times New Roman"/>
                <w:sz w:val="20"/>
                <w:szCs w:val="20"/>
              </w:rPr>
            </w:pPr>
          </w:p>
        </w:tc>
        <w:tc>
          <w:tcPr>
            <w:tcW w:w="845" w:type="pct"/>
            <w:shd w:val="clear" w:color="auto" w:fill="auto"/>
            <w:noWrap/>
            <w:vAlign w:val="bottom"/>
            <w:hideMark/>
          </w:tcPr>
          <w:p w14:paraId="035F188D"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14,302.78</w:t>
            </w:r>
          </w:p>
        </w:tc>
        <w:tc>
          <w:tcPr>
            <w:tcW w:w="835" w:type="pct"/>
            <w:shd w:val="clear" w:color="auto" w:fill="auto"/>
            <w:noWrap/>
            <w:vAlign w:val="bottom"/>
            <w:hideMark/>
          </w:tcPr>
          <w:p w14:paraId="723D7C5C"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8,975.56</w:t>
            </w:r>
          </w:p>
        </w:tc>
        <w:tc>
          <w:tcPr>
            <w:tcW w:w="836" w:type="pct"/>
            <w:shd w:val="clear" w:color="auto" w:fill="auto"/>
            <w:noWrap/>
            <w:vAlign w:val="bottom"/>
            <w:hideMark/>
          </w:tcPr>
          <w:p w14:paraId="3BD8DCE5"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9,020.08</w:t>
            </w:r>
          </w:p>
        </w:tc>
      </w:tr>
      <w:tr w:rsidR="00940A99" w:rsidRPr="005B12AE" w14:paraId="657B3070" w14:textId="77777777" w:rsidTr="00940A99">
        <w:trPr>
          <w:trHeight w:val="20"/>
        </w:trPr>
        <w:tc>
          <w:tcPr>
            <w:tcW w:w="230" w:type="pct"/>
            <w:shd w:val="clear" w:color="auto" w:fill="auto"/>
            <w:noWrap/>
            <w:vAlign w:val="bottom"/>
            <w:hideMark/>
          </w:tcPr>
          <w:p w14:paraId="33D986E5"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2254" w:type="pct"/>
            <w:gridSpan w:val="2"/>
            <w:shd w:val="clear" w:color="auto" w:fill="auto"/>
            <w:noWrap/>
            <w:vAlign w:val="bottom"/>
            <w:hideMark/>
          </w:tcPr>
          <w:p w14:paraId="3B18CB65" w14:textId="77777777" w:rsidR="00940A99" w:rsidRPr="005B12AE" w:rsidRDefault="00940A99" w:rsidP="00250DAC">
            <w:pPr>
              <w:spacing w:after="0" w:line="240" w:lineRule="auto"/>
              <w:rPr>
                <w:rFonts w:ascii="Times New Roman" w:hAnsi="Times New Roman"/>
                <w:b/>
                <w:bCs/>
                <w:sz w:val="20"/>
                <w:szCs w:val="20"/>
              </w:rPr>
            </w:pPr>
            <w:r w:rsidRPr="005B12AE">
              <w:rPr>
                <w:rFonts w:ascii="Times New Roman" w:hAnsi="Times New Roman"/>
                <w:b/>
                <w:bCs/>
                <w:sz w:val="20"/>
                <w:szCs w:val="20"/>
              </w:rPr>
              <w:t>Total</w:t>
            </w:r>
          </w:p>
        </w:tc>
        <w:tc>
          <w:tcPr>
            <w:tcW w:w="845" w:type="pct"/>
            <w:shd w:val="clear" w:color="auto" w:fill="auto"/>
            <w:noWrap/>
            <w:vAlign w:val="bottom"/>
            <w:hideMark/>
          </w:tcPr>
          <w:p w14:paraId="437A940E"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15,136.31</w:t>
            </w:r>
          </w:p>
        </w:tc>
        <w:tc>
          <w:tcPr>
            <w:tcW w:w="835" w:type="pct"/>
            <w:shd w:val="clear" w:color="auto" w:fill="auto"/>
            <w:noWrap/>
            <w:vAlign w:val="bottom"/>
            <w:hideMark/>
          </w:tcPr>
          <w:p w14:paraId="508EB3DA"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9,851.35</w:t>
            </w:r>
          </w:p>
        </w:tc>
        <w:tc>
          <w:tcPr>
            <w:tcW w:w="836" w:type="pct"/>
            <w:shd w:val="clear" w:color="auto" w:fill="auto"/>
            <w:noWrap/>
            <w:vAlign w:val="bottom"/>
            <w:hideMark/>
          </w:tcPr>
          <w:p w14:paraId="0D969913"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9,823.59</w:t>
            </w:r>
          </w:p>
        </w:tc>
      </w:tr>
    </w:tbl>
    <w:p w14:paraId="41FE1DEA" w14:textId="77777777" w:rsidR="00940A99" w:rsidRPr="005B12AE" w:rsidRDefault="00940A99" w:rsidP="00940A99">
      <w:pPr>
        <w:spacing w:after="0"/>
        <w:rPr>
          <w:rFonts w:ascii="Times New Roman" w:hAnsi="Times New Roman"/>
          <w:b/>
          <w:bCs/>
          <w:sz w:val="20"/>
          <w:szCs w:val="20"/>
        </w:rPr>
      </w:pPr>
    </w:p>
    <w:p w14:paraId="4CCE830F" w14:textId="77777777" w:rsidR="00940A99" w:rsidRPr="005B12AE" w:rsidRDefault="00940A99" w:rsidP="00940A99">
      <w:pPr>
        <w:rPr>
          <w:rFonts w:ascii="Times New Roman" w:hAnsi="Times New Roman"/>
          <w:b/>
          <w:bCs/>
          <w:sz w:val="20"/>
          <w:szCs w:val="20"/>
        </w:rPr>
      </w:pPr>
      <w:r w:rsidRPr="005B12AE">
        <w:rPr>
          <w:rFonts w:ascii="Times New Roman" w:hAnsi="Times New Roman"/>
          <w:b/>
          <w:bCs/>
          <w:sz w:val="20"/>
          <w:szCs w:val="20"/>
        </w:rPr>
        <w:br w:type="page"/>
      </w:r>
    </w:p>
    <w:p w14:paraId="2986A341" w14:textId="77777777" w:rsidR="00940A99" w:rsidRPr="005B12AE" w:rsidRDefault="00940A99" w:rsidP="00940A99">
      <w:pPr>
        <w:spacing w:after="0"/>
        <w:jc w:val="center"/>
        <w:rPr>
          <w:rFonts w:ascii="Times New Roman" w:hAnsi="Times New Roman"/>
          <w:b/>
          <w:bCs/>
          <w:sz w:val="20"/>
          <w:szCs w:val="20"/>
        </w:rPr>
      </w:pPr>
      <w:r w:rsidRPr="005B12AE">
        <w:rPr>
          <w:rFonts w:ascii="Times New Roman" w:hAnsi="Times New Roman"/>
          <w:b/>
          <w:bCs/>
          <w:sz w:val="20"/>
          <w:szCs w:val="20"/>
        </w:rPr>
        <w:lastRenderedPageBreak/>
        <w:t>ANNEXURE – II</w:t>
      </w:r>
    </w:p>
    <w:p w14:paraId="66159FFF" w14:textId="77777777" w:rsidR="00940A99" w:rsidRPr="005B12AE" w:rsidRDefault="00940A99" w:rsidP="00940A99">
      <w:pPr>
        <w:spacing w:after="0"/>
        <w:jc w:val="center"/>
        <w:rPr>
          <w:rFonts w:ascii="Times New Roman" w:hAnsi="Times New Roman"/>
          <w:b/>
          <w:bCs/>
          <w:sz w:val="20"/>
          <w:szCs w:val="20"/>
        </w:rPr>
      </w:pPr>
      <w:r w:rsidRPr="005B12AE">
        <w:rPr>
          <w:rFonts w:ascii="Times New Roman" w:hAnsi="Times New Roman"/>
          <w:b/>
          <w:bCs/>
          <w:sz w:val="20"/>
          <w:szCs w:val="20"/>
        </w:rPr>
        <w:t>RESTATED STATEMENT OF PROFIT AND LOSS</w:t>
      </w:r>
    </w:p>
    <w:p w14:paraId="66A7F9C3" w14:textId="77777777" w:rsidR="00940A99" w:rsidRPr="005B12AE" w:rsidRDefault="00940A99" w:rsidP="00940A99">
      <w:pPr>
        <w:spacing w:after="0"/>
        <w:jc w:val="center"/>
        <w:rPr>
          <w:rFonts w:ascii="Times New Roman" w:hAnsi="Times New Roman"/>
          <w:b/>
          <w:bCs/>
          <w:sz w:val="20"/>
          <w:szCs w:val="20"/>
        </w:rPr>
      </w:pPr>
    </w:p>
    <w:p w14:paraId="55259EE8" w14:textId="77777777" w:rsidR="00940A99" w:rsidRPr="005B12AE" w:rsidRDefault="00940A99" w:rsidP="00940A99">
      <w:pPr>
        <w:spacing w:after="0"/>
        <w:jc w:val="right"/>
        <w:rPr>
          <w:rFonts w:ascii="Times New Roman" w:hAnsi="Times New Roman"/>
          <w:b/>
          <w:bCs/>
          <w:sz w:val="20"/>
          <w:szCs w:val="20"/>
        </w:rPr>
      </w:pPr>
      <w:r w:rsidRPr="005B12AE">
        <w:rPr>
          <w:rFonts w:ascii="Times New Roman" w:hAnsi="Times New Roman"/>
          <w:b/>
          <w:bCs/>
          <w:sz w:val="20"/>
          <w:szCs w:val="20"/>
        </w:rPr>
        <w:t>(₹ in Lakhs)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595"/>
        <w:gridCol w:w="1818"/>
        <w:gridCol w:w="1722"/>
        <w:gridCol w:w="1746"/>
      </w:tblGrid>
      <w:tr w:rsidR="00940A99" w:rsidRPr="005B12AE" w14:paraId="6113E224" w14:textId="77777777" w:rsidTr="00940A99">
        <w:trPr>
          <w:trHeight w:val="20"/>
        </w:trPr>
        <w:tc>
          <w:tcPr>
            <w:tcW w:w="5163" w:type="dxa"/>
            <w:gridSpan w:val="2"/>
            <w:vMerge w:val="restart"/>
            <w:shd w:val="clear" w:color="auto" w:fill="D0CECE" w:themeFill="background2" w:themeFillShade="E6"/>
            <w:vAlign w:val="center"/>
          </w:tcPr>
          <w:p w14:paraId="1F4E07CB"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Particulars</w:t>
            </w:r>
          </w:p>
        </w:tc>
        <w:tc>
          <w:tcPr>
            <w:tcW w:w="5286" w:type="dxa"/>
            <w:gridSpan w:val="3"/>
            <w:shd w:val="clear" w:color="auto" w:fill="D0CECE" w:themeFill="background2" w:themeFillShade="E6"/>
            <w:noWrap/>
            <w:vAlign w:val="center"/>
            <w:hideMark/>
          </w:tcPr>
          <w:p w14:paraId="4CBBF0DB"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For the Year ended</w:t>
            </w:r>
          </w:p>
        </w:tc>
      </w:tr>
      <w:tr w:rsidR="00940A99" w:rsidRPr="005B12AE" w14:paraId="524FE31B" w14:textId="77777777" w:rsidTr="00940A99">
        <w:trPr>
          <w:trHeight w:val="20"/>
        </w:trPr>
        <w:tc>
          <w:tcPr>
            <w:tcW w:w="5163" w:type="dxa"/>
            <w:gridSpan w:val="2"/>
            <w:vMerge/>
            <w:shd w:val="clear" w:color="auto" w:fill="D0CECE" w:themeFill="background2" w:themeFillShade="E6"/>
            <w:vAlign w:val="center"/>
          </w:tcPr>
          <w:p w14:paraId="52D75E16" w14:textId="77777777" w:rsidR="00940A99" w:rsidRPr="005B12AE" w:rsidRDefault="00940A99" w:rsidP="00250DAC">
            <w:pPr>
              <w:spacing w:after="0" w:line="240" w:lineRule="auto"/>
              <w:rPr>
                <w:rFonts w:ascii="Times New Roman" w:hAnsi="Times New Roman"/>
                <w:b/>
                <w:bCs/>
                <w:sz w:val="20"/>
                <w:szCs w:val="20"/>
              </w:rPr>
            </w:pPr>
          </w:p>
        </w:tc>
        <w:tc>
          <w:tcPr>
            <w:tcW w:w="1818" w:type="dxa"/>
            <w:shd w:val="clear" w:color="auto" w:fill="D0CECE" w:themeFill="background2" w:themeFillShade="E6"/>
            <w:noWrap/>
            <w:vAlign w:val="bottom"/>
            <w:hideMark/>
          </w:tcPr>
          <w:p w14:paraId="04DE66D8"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31/03/2023</w:t>
            </w:r>
          </w:p>
        </w:tc>
        <w:tc>
          <w:tcPr>
            <w:tcW w:w="1722" w:type="dxa"/>
            <w:shd w:val="clear" w:color="auto" w:fill="D0CECE" w:themeFill="background2" w:themeFillShade="E6"/>
            <w:noWrap/>
            <w:vAlign w:val="bottom"/>
            <w:hideMark/>
          </w:tcPr>
          <w:p w14:paraId="631C2E2E"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31/03/2022</w:t>
            </w:r>
          </w:p>
        </w:tc>
        <w:tc>
          <w:tcPr>
            <w:tcW w:w="1745" w:type="dxa"/>
            <w:shd w:val="clear" w:color="auto" w:fill="D0CECE" w:themeFill="background2" w:themeFillShade="E6"/>
            <w:noWrap/>
            <w:vAlign w:val="bottom"/>
            <w:hideMark/>
          </w:tcPr>
          <w:p w14:paraId="4B248003"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31/03/2021</w:t>
            </w:r>
          </w:p>
        </w:tc>
      </w:tr>
      <w:tr w:rsidR="00940A99" w:rsidRPr="005B12AE" w14:paraId="19DF1FE9" w14:textId="77777777" w:rsidTr="00940A99">
        <w:trPr>
          <w:trHeight w:val="20"/>
        </w:trPr>
        <w:tc>
          <w:tcPr>
            <w:tcW w:w="568" w:type="dxa"/>
            <w:shd w:val="clear" w:color="auto" w:fill="auto"/>
            <w:noWrap/>
            <w:vAlign w:val="bottom"/>
            <w:hideMark/>
          </w:tcPr>
          <w:p w14:paraId="5DC871DA" w14:textId="77777777" w:rsidR="00940A99" w:rsidRPr="005B12AE" w:rsidRDefault="00940A99" w:rsidP="00250DAC">
            <w:pPr>
              <w:spacing w:after="0" w:line="240" w:lineRule="auto"/>
              <w:rPr>
                <w:rFonts w:ascii="Times New Roman" w:hAnsi="Times New Roman"/>
                <w:b/>
                <w:bCs/>
                <w:sz w:val="20"/>
                <w:szCs w:val="20"/>
              </w:rPr>
            </w:pPr>
            <w:r w:rsidRPr="005B12AE">
              <w:rPr>
                <w:rFonts w:ascii="Times New Roman" w:hAnsi="Times New Roman"/>
                <w:b/>
                <w:bCs/>
                <w:sz w:val="20"/>
                <w:szCs w:val="20"/>
              </w:rPr>
              <w:t>1</w:t>
            </w:r>
          </w:p>
        </w:tc>
        <w:tc>
          <w:tcPr>
            <w:tcW w:w="4594" w:type="dxa"/>
            <w:shd w:val="clear" w:color="auto" w:fill="auto"/>
            <w:noWrap/>
            <w:vAlign w:val="bottom"/>
            <w:hideMark/>
          </w:tcPr>
          <w:p w14:paraId="6DC49960"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Revenue From Operations</w:t>
            </w:r>
          </w:p>
        </w:tc>
        <w:tc>
          <w:tcPr>
            <w:tcW w:w="1818" w:type="dxa"/>
            <w:shd w:val="clear" w:color="auto" w:fill="auto"/>
            <w:noWrap/>
            <w:vAlign w:val="bottom"/>
            <w:hideMark/>
          </w:tcPr>
          <w:p w14:paraId="7DA76439"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49,287.35</w:t>
            </w:r>
          </w:p>
        </w:tc>
        <w:tc>
          <w:tcPr>
            <w:tcW w:w="1722" w:type="dxa"/>
            <w:shd w:val="clear" w:color="auto" w:fill="auto"/>
            <w:noWrap/>
            <w:vAlign w:val="bottom"/>
            <w:hideMark/>
          </w:tcPr>
          <w:p w14:paraId="19BCD1A6"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42,323.27</w:t>
            </w:r>
          </w:p>
        </w:tc>
        <w:tc>
          <w:tcPr>
            <w:tcW w:w="1745" w:type="dxa"/>
            <w:shd w:val="clear" w:color="auto" w:fill="auto"/>
            <w:noWrap/>
            <w:vAlign w:val="bottom"/>
            <w:hideMark/>
          </w:tcPr>
          <w:p w14:paraId="7BC3995B"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13,867.05</w:t>
            </w:r>
          </w:p>
        </w:tc>
      </w:tr>
      <w:tr w:rsidR="00940A99" w:rsidRPr="005B12AE" w14:paraId="635F7033" w14:textId="77777777" w:rsidTr="00940A99">
        <w:trPr>
          <w:trHeight w:val="20"/>
        </w:trPr>
        <w:tc>
          <w:tcPr>
            <w:tcW w:w="568" w:type="dxa"/>
            <w:shd w:val="clear" w:color="auto" w:fill="auto"/>
            <w:noWrap/>
            <w:vAlign w:val="bottom"/>
            <w:hideMark/>
          </w:tcPr>
          <w:p w14:paraId="1FD7FE32" w14:textId="77777777" w:rsidR="00940A99" w:rsidRPr="005B12AE" w:rsidRDefault="00940A99" w:rsidP="00250DAC">
            <w:pPr>
              <w:spacing w:after="0" w:line="240" w:lineRule="auto"/>
              <w:rPr>
                <w:rFonts w:ascii="Times New Roman" w:hAnsi="Times New Roman"/>
                <w:b/>
                <w:bCs/>
                <w:sz w:val="20"/>
                <w:szCs w:val="20"/>
              </w:rPr>
            </w:pPr>
            <w:r w:rsidRPr="005B12AE">
              <w:rPr>
                <w:rFonts w:ascii="Times New Roman" w:hAnsi="Times New Roman"/>
                <w:b/>
                <w:bCs/>
                <w:sz w:val="20"/>
                <w:szCs w:val="20"/>
              </w:rPr>
              <w:t>2</w:t>
            </w:r>
          </w:p>
        </w:tc>
        <w:tc>
          <w:tcPr>
            <w:tcW w:w="4594" w:type="dxa"/>
            <w:shd w:val="clear" w:color="auto" w:fill="auto"/>
            <w:noWrap/>
            <w:vAlign w:val="bottom"/>
            <w:hideMark/>
          </w:tcPr>
          <w:p w14:paraId="3C3F81C1"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Other Income</w:t>
            </w:r>
          </w:p>
        </w:tc>
        <w:tc>
          <w:tcPr>
            <w:tcW w:w="1818" w:type="dxa"/>
            <w:shd w:val="clear" w:color="auto" w:fill="auto"/>
            <w:noWrap/>
            <w:vAlign w:val="bottom"/>
            <w:hideMark/>
          </w:tcPr>
          <w:p w14:paraId="1D7B67E2"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498.91</w:t>
            </w:r>
          </w:p>
        </w:tc>
        <w:tc>
          <w:tcPr>
            <w:tcW w:w="1722" w:type="dxa"/>
            <w:shd w:val="clear" w:color="auto" w:fill="auto"/>
            <w:noWrap/>
            <w:vAlign w:val="bottom"/>
            <w:hideMark/>
          </w:tcPr>
          <w:p w14:paraId="224CFD2E"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321.07</w:t>
            </w:r>
          </w:p>
        </w:tc>
        <w:tc>
          <w:tcPr>
            <w:tcW w:w="1745" w:type="dxa"/>
            <w:shd w:val="clear" w:color="auto" w:fill="auto"/>
            <w:noWrap/>
            <w:vAlign w:val="bottom"/>
            <w:hideMark/>
          </w:tcPr>
          <w:p w14:paraId="7E998A66"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105.88</w:t>
            </w:r>
          </w:p>
        </w:tc>
      </w:tr>
      <w:tr w:rsidR="00940A99" w:rsidRPr="005B12AE" w14:paraId="7AFCACE5" w14:textId="77777777" w:rsidTr="00940A99">
        <w:trPr>
          <w:trHeight w:val="20"/>
        </w:trPr>
        <w:tc>
          <w:tcPr>
            <w:tcW w:w="568" w:type="dxa"/>
            <w:shd w:val="clear" w:color="auto" w:fill="auto"/>
            <w:noWrap/>
            <w:vAlign w:val="bottom"/>
            <w:hideMark/>
          </w:tcPr>
          <w:p w14:paraId="5F604C30" w14:textId="77777777" w:rsidR="00940A99" w:rsidRPr="005B12AE" w:rsidRDefault="00940A99" w:rsidP="00250DAC">
            <w:pPr>
              <w:spacing w:after="0" w:line="240" w:lineRule="auto"/>
              <w:rPr>
                <w:rFonts w:ascii="Times New Roman" w:hAnsi="Times New Roman"/>
                <w:b/>
                <w:bCs/>
                <w:sz w:val="20"/>
                <w:szCs w:val="20"/>
              </w:rPr>
            </w:pPr>
          </w:p>
        </w:tc>
        <w:tc>
          <w:tcPr>
            <w:tcW w:w="4594" w:type="dxa"/>
            <w:shd w:val="clear" w:color="auto" w:fill="auto"/>
            <w:noWrap/>
            <w:vAlign w:val="bottom"/>
            <w:hideMark/>
          </w:tcPr>
          <w:p w14:paraId="0C57AA5A" w14:textId="77777777" w:rsidR="00940A99" w:rsidRPr="005B12AE" w:rsidRDefault="00940A99" w:rsidP="00250DAC">
            <w:pPr>
              <w:spacing w:after="0" w:line="240" w:lineRule="auto"/>
              <w:rPr>
                <w:rFonts w:ascii="Times New Roman" w:hAnsi="Times New Roman"/>
                <w:b/>
                <w:bCs/>
                <w:sz w:val="20"/>
                <w:szCs w:val="20"/>
              </w:rPr>
            </w:pPr>
            <w:r w:rsidRPr="005B12AE">
              <w:rPr>
                <w:rFonts w:ascii="Times New Roman" w:hAnsi="Times New Roman"/>
                <w:b/>
                <w:bCs/>
                <w:sz w:val="20"/>
                <w:szCs w:val="20"/>
              </w:rPr>
              <w:t>Total Income                                                  (1+2)</w:t>
            </w:r>
          </w:p>
        </w:tc>
        <w:tc>
          <w:tcPr>
            <w:tcW w:w="1818" w:type="dxa"/>
            <w:shd w:val="clear" w:color="auto" w:fill="auto"/>
            <w:noWrap/>
            <w:vAlign w:val="bottom"/>
            <w:hideMark/>
          </w:tcPr>
          <w:p w14:paraId="17664424"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49,786.27</w:t>
            </w:r>
          </w:p>
        </w:tc>
        <w:tc>
          <w:tcPr>
            <w:tcW w:w="1722" w:type="dxa"/>
            <w:shd w:val="clear" w:color="auto" w:fill="auto"/>
            <w:noWrap/>
            <w:vAlign w:val="bottom"/>
            <w:hideMark/>
          </w:tcPr>
          <w:p w14:paraId="4950D04D"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42,644.34</w:t>
            </w:r>
          </w:p>
        </w:tc>
        <w:tc>
          <w:tcPr>
            <w:tcW w:w="1745" w:type="dxa"/>
            <w:shd w:val="clear" w:color="auto" w:fill="auto"/>
            <w:noWrap/>
            <w:vAlign w:val="bottom"/>
            <w:hideMark/>
          </w:tcPr>
          <w:p w14:paraId="3C53EECB"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13,972.93</w:t>
            </w:r>
          </w:p>
        </w:tc>
      </w:tr>
      <w:tr w:rsidR="00940A99" w:rsidRPr="005B12AE" w14:paraId="5EF39C00" w14:textId="77777777" w:rsidTr="00940A99">
        <w:trPr>
          <w:trHeight w:val="20"/>
        </w:trPr>
        <w:tc>
          <w:tcPr>
            <w:tcW w:w="568" w:type="dxa"/>
            <w:shd w:val="clear" w:color="auto" w:fill="auto"/>
            <w:noWrap/>
            <w:vAlign w:val="bottom"/>
            <w:hideMark/>
          </w:tcPr>
          <w:p w14:paraId="4A81D483" w14:textId="77777777" w:rsidR="00940A99" w:rsidRPr="005B12AE" w:rsidRDefault="00940A99" w:rsidP="00250DAC">
            <w:pPr>
              <w:spacing w:after="0" w:line="240" w:lineRule="auto"/>
              <w:rPr>
                <w:rFonts w:ascii="Times New Roman" w:hAnsi="Times New Roman"/>
                <w:b/>
                <w:bCs/>
                <w:sz w:val="20"/>
                <w:szCs w:val="20"/>
              </w:rPr>
            </w:pPr>
            <w:r w:rsidRPr="005B12AE">
              <w:rPr>
                <w:rFonts w:ascii="Times New Roman" w:hAnsi="Times New Roman"/>
                <w:b/>
                <w:bCs/>
                <w:sz w:val="20"/>
                <w:szCs w:val="20"/>
              </w:rPr>
              <w:t>3</w:t>
            </w:r>
          </w:p>
        </w:tc>
        <w:tc>
          <w:tcPr>
            <w:tcW w:w="4594" w:type="dxa"/>
            <w:shd w:val="clear" w:color="auto" w:fill="auto"/>
            <w:noWrap/>
            <w:vAlign w:val="bottom"/>
            <w:hideMark/>
          </w:tcPr>
          <w:p w14:paraId="71C28139"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Expenditure</w:t>
            </w:r>
          </w:p>
        </w:tc>
        <w:tc>
          <w:tcPr>
            <w:tcW w:w="1818" w:type="dxa"/>
            <w:shd w:val="clear" w:color="auto" w:fill="auto"/>
            <w:noWrap/>
            <w:vAlign w:val="bottom"/>
            <w:hideMark/>
          </w:tcPr>
          <w:p w14:paraId="4F4ABDC4" w14:textId="77777777" w:rsidR="00940A99" w:rsidRPr="005B12AE" w:rsidRDefault="00940A99" w:rsidP="00250DAC">
            <w:pPr>
              <w:spacing w:after="0" w:line="240" w:lineRule="auto"/>
              <w:jc w:val="center"/>
              <w:rPr>
                <w:rFonts w:ascii="Times New Roman" w:hAnsi="Times New Roman"/>
                <w:sz w:val="20"/>
                <w:szCs w:val="20"/>
              </w:rPr>
            </w:pPr>
          </w:p>
        </w:tc>
        <w:tc>
          <w:tcPr>
            <w:tcW w:w="1722" w:type="dxa"/>
            <w:shd w:val="clear" w:color="auto" w:fill="auto"/>
            <w:noWrap/>
            <w:vAlign w:val="bottom"/>
            <w:hideMark/>
          </w:tcPr>
          <w:p w14:paraId="015EED5C" w14:textId="77777777" w:rsidR="00940A99" w:rsidRPr="005B12AE" w:rsidRDefault="00940A99" w:rsidP="00250DAC">
            <w:pPr>
              <w:spacing w:after="0" w:line="240" w:lineRule="auto"/>
              <w:jc w:val="center"/>
              <w:rPr>
                <w:rFonts w:ascii="Times New Roman" w:hAnsi="Times New Roman"/>
                <w:sz w:val="20"/>
                <w:szCs w:val="20"/>
              </w:rPr>
            </w:pPr>
          </w:p>
        </w:tc>
        <w:tc>
          <w:tcPr>
            <w:tcW w:w="1745" w:type="dxa"/>
            <w:shd w:val="clear" w:color="auto" w:fill="auto"/>
            <w:noWrap/>
            <w:vAlign w:val="bottom"/>
            <w:hideMark/>
          </w:tcPr>
          <w:p w14:paraId="31C49E24" w14:textId="77777777" w:rsidR="00940A99" w:rsidRPr="005B12AE" w:rsidRDefault="00940A99" w:rsidP="00250DAC">
            <w:pPr>
              <w:spacing w:after="0" w:line="240" w:lineRule="auto"/>
              <w:jc w:val="center"/>
              <w:rPr>
                <w:rFonts w:ascii="Times New Roman" w:hAnsi="Times New Roman"/>
                <w:sz w:val="20"/>
                <w:szCs w:val="20"/>
              </w:rPr>
            </w:pPr>
          </w:p>
        </w:tc>
      </w:tr>
      <w:tr w:rsidR="00940A99" w:rsidRPr="005B12AE" w14:paraId="792C30FE" w14:textId="77777777" w:rsidTr="00940A99">
        <w:trPr>
          <w:trHeight w:val="20"/>
        </w:trPr>
        <w:tc>
          <w:tcPr>
            <w:tcW w:w="568" w:type="dxa"/>
            <w:shd w:val="clear" w:color="auto" w:fill="auto"/>
            <w:noWrap/>
            <w:hideMark/>
          </w:tcPr>
          <w:p w14:paraId="42B497EF" w14:textId="77777777" w:rsidR="00940A99" w:rsidRPr="005B12AE" w:rsidRDefault="00940A99" w:rsidP="00250DAC">
            <w:pPr>
              <w:spacing w:after="0" w:line="240" w:lineRule="auto"/>
              <w:rPr>
                <w:rFonts w:ascii="Times New Roman" w:hAnsi="Times New Roman"/>
                <w:b/>
                <w:bCs/>
                <w:sz w:val="20"/>
                <w:szCs w:val="20"/>
              </w:rPr>
            </w:pPr>
            <w:r w:rsidRPr="005B12AE">
              <w:rPr>
                <w:rFonts w:ascii="Times New Roman" w:hAnsi="Times New Roman"/>
                <w:b/>
                <w:bCs/>
                <w:sz w:val="20"/>
                <w:szCs w:val="20"/>
              </w:rPr>
              <w:t>(a)</w:t>
            </w:r>
          </w:p>
        </w:tc>
        <w:tc>
          <w:tcPr>
            <w:tcW w:w="4594" w:type="dxa"/>
            <w:shd w:val="clear" w:color="auto" w:fill="auto"/>
            <w:noWrap/>
            <w:vAlign w:val="bottom"/>
            <w:hideMark/>
          </w:tcPr>
          <w:p w14:paraId="25358B96"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Raw Material Consumption</w:t>
            </w:r>
          </w:p>
        </w:tc>
        <w:tc>
          <w:tcPr>
            <w:tcW w:w="1818" w:type="dxa"/>
            <w:shd w:val="clear" w:color="auto" w:fill="auto"/>
            <w:noWrap/>
            <w:vAlign w:val="bottom"/>
            <w:hideMark/>
          </w:tcPr>
          <w:p w14:paraId="2419AEB7"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45,130.06</w:t>
            </w:r>
          </w:p>
        </w:tc>
        <w:tc>
          <w:tcPr>
            <w:tcW w:w="1722" w:type="dxa"/>
            <w:shd w:val="clear" w:color="auto" w:fill="auto"/>
            <w:noWrap/>
            <w:vAlign w:val="bottom"/>
            <w:hideMark/>
          </w:tcPr>
          <w:p w14:paraId="085067F1"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37,024.95</w:t>
            </w:r>
          </w:p>
        </w:tc>
        <w:tc>
          <w:tcPr>
            <w:tcW w:w="1745" w:type="dxa"/>
            <w:shd w:val="clear" w:color="auto" w:fill="auto"/>
            <w:noWrap/>
            <w:vAlign w:val="bottom"/>
            <w:hideMark/>
          </w:tcPr>
          <w:p w14:paraId="0FB04AA4"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11,961.74</w:t>
            </w:r>
          </w:p>
        </w:tc>
      </w:tr>
      <w:tr w:rsidR="00940A99" w:rsidRPr="005B12AE" w14:paraId="44B87767" w14:textId="77777777" w:rsidTr="00940A99">
        <w:trPr>
          <w:trHeight w:val="20"/>
        </w:trPr>
        <w:tc>
          <w:tcPr>
            <w:tcW w:w="568" w:type="dxa"/>
            <w:shd w:val="clear" w:color="auto" w:fill="auto"/>
            <w:noWrap/>
            <w:hideMark/>
          </w:tcPr>
          <w:p w14:paraId="2F60820D" w14:textId="77777777" w:rsidR="00940A99" w:rsidRPr="005B12AE" w:rsidRDefault="00940A99" w:rsidP="00250DAC">
            <w:pPr>
              <w:spacing w:after="0" w:line="240" w:lineRule="auto"/>
              <w:rPr>
                <w:rFonts w:ascii="Times New Roman" w:hAnsi="Times New Roman"/>
                <w:b/>
                <w:bCs/>
                <w:sz w:val="20"/>
                <w:szCs w:val="20"/>
              </w:rPr>
            </w:pPr>
            <w:r w:rsidRPr="005B12AE">
              <w:rPr>
                <w:rFonts w:ascii="Times New Roman" w:hAnsi="Times New Roman"/>
                <w:b/>
                <w:bCs/>
                <w:sz w:val="20"/>
                <w:szCs w:val="20"/>
              </w:rPr>
              <w:t>(b)</w:t>
            </w:r>
          </w:p>
        </w:tc>
        <w:tc>
          <w:tcPr>
            <w:tcW w:w="4594" w:type="dxa"/>
            <w:shd w:val="clear" w:color="auto" w:fill="auto"/>
            <w:noWrap/>
            <w:vAlign w:val="bottom"/>
            <w:hideMark/>
          </w:tcPr>
          <w:p w14:paraId="2469F747" w14:textId="77777777" w:rsidR="00940A99" w:rsidRPr="005B12AE" w:rsidRDefault="00940A99" w:rsidP="00250DAC">
            <w:pPr>
              <w:spacing w:after="0" w:line="240" w:lineRule="auto"/>
              <w:jc w:val="both"/>
              <w:rPr>
                <w:rFonts w:ascii="Times New Roman" w:hAnsi="Times New Roman"/>
                <w:sz w:val="20"/>
                <w:szCs w:val="20"/>
              </w:rPr>
            </w:pPr>
            <w:r w:rsidRPr="005B12AE">
              <w:rPr>
                <w:rFonts w:ascii="Times New Roman" w:hAnsi="Times New Roman"/>
                <w:sz w:val="20"/>
                <w:szCs w:val="20"/>
              </w:rPr>
              <w:t>Change in inventories of finished goods, work in progress and stock in trade</w:t>
            </w:r>
          </w:p>
        </w:tc>
        <w:tc>
          <w:tcPr>
            <w:tcW w:w="1818" w:type="dxa"/>
            <w:shd w:val="clear" w:color="auto" w:fill="auto"/>
            <w:noWrap/>
            <w:vAlign w:val="bottom"/>
            <w:hideMark/>
          </w:tcPr>
          <w:p w14:paraId="093FA23F"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(0.20)</w:t>
            </w:r>
          </w:p>
        </w:tc>
        <w:tc>
          <w:tcPr>
            <w:tcW w:w="1722" w:type="dxa"/>
            <w:shd w:val="clear" w:color="auto" w:fill="auto"/>
            <w:noWrap/>
            <w:vAlign w:val="bottom"/>
            <w:hideMark/>
          </w:tcPr>
          <w:p w14:paraId="693FF30C"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592.26</w:t>
            </w:r>
          </w:p>
        </w:tc>
        <w:tc>
          <w:tcPr>
            <w:tcW w:w="1745" w:type="dxa"/>
            <w:shd w:val="clear" w:color="auto" w:fill="auto"/>
            <w:noWrap/>
            <w:vAlign w:val="bottom"/>
            <w:hideMark/>
          </w:tcPr>
          <w:p w14:paraId="555BFAFC"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450.75</w:t>
            </w:r>
          </w:p>
        </w:tc>
      </w:tr>
      <w:tr w:rsidR="00940A99" w:rsidRPr="005B12AE" w14:paraId="537E244C" w14:textId="77777777" w:rsidTr="00940A99">
        <w:trPr>
          <w:trHeight w:val="20"/>
        </w:trPr>
        <w:tc>
          <w:tcPr>
            <w:tcW w:w="568" w:type="dxa"/>
            <w:shd w:val="clear" w:color="auto" w:fill="auto"/>
            <w:noWrap/>
            <w:hideMark/>
          </w:tcPr>
          <w:p w14:paraId="73C98CCC" w14:textId="77777777" w:rsidR="00940A99" w:rsidRPr="005B12AE" w:rsidRDefault="00940A99" w:rsidP="00250DAC">
            <w:pPr>
              <w:spacing w:after="0" w:line="240" w:lineRule="auto"/>
              <w:rPr>
                <w:rFonts w:ascii="Times New Roman" w:hAnsi="Times New Roman"/>
                <w:b/>
                <w:bCs/>
                <w:sz w:val="20"/>
                <w:szCs w:val="20"/>
              </w:rPr>
            </w:pPr>
            <w:r w:rsidRPr="005B12AE">
              <w:rPr>
                <w:rFonts w:ascii="Times New Roman" w:hAnsi="Times New Roman"/>
                <w:b/>
                <w:bCs/>
                <w:sz w:val="20"/>
                <w:szCs w:val="20"/>
              </w:rPr>
              <w:t>(c)</w:t>
            </w:r>
          </w:p>
        </w:tc>
        <w:tc>
          <w:tcPr>
            <w:tcW w:w="4594" w:type="dxa"/>
            <w:shd w:val="clear" w:color="auto" w:fill="auto"/>
            <w:noWrap/>
            <w:vAlign w:val="bottom"/>
            <w:hideMark/>
          </w:tcPr>
          <w:p w14:paraId="162B5AE8" w14:textId="77777777" w:rsidR="00940A99" w:rsidRPr="005B12AE" w:rsidRDefault="00940A99" w:rsidP="00250DAC">
            <w:pPr>
              <w:spacing w:after="0" w:line="240" w:lineRule="auto"/>
              <w:jc w:val="both"/>
              <w:rPr>
                <w:rFonts w:ascii="Times New Roman" w:hAnsi="Times New Roman"/>
                <w:sz w:val="20"/>
                <w:szCs w:val="20"/>
              </w:rPr>
            </w:pPr>
            <w:r w:rsidRPr="005B12AE">
              <w:rPr>
                <w:rFonts w:ascii="Times New Roman" w:hAnsi="Times New Roman"/>
                <w:sz w:val="20"/>
                <w:szCs w:val="20"/>
              </w:rPr>
              <w:t>Employee Benefit Expenses</w:t>
            </w:r>
          </w:p>
        </w:tc>
        <w:tc>
          <w:tcPr>
            <w:tcW w:w="1818" w:type="dxa"/>
            <w:shd w:val="clear" w:color="auto" w:fill="auto"/>
            <w:noWrap/>
            <w:vAlign w:val="bottom"/>
            <w:hideMark/>
          </w:tcPr>
          <w:p w14:paraId="1AD21802"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342.03</w:t>
            </w:r>
          </w:p>
        </w:tc>
        <w:tc>
          <w:tcPr>
            <w:tcW w:w="1722" w:type="dxa"/>
            <w:shd w:val="clear" w:color="auto" w:fill="auto"/>
            <w:noWrap/>
            <w:vAlign w:val="bottom"/>
            <w:hideMark/>
          </w:tcPr>
          <w:p w14:paraId="08EFBEA6"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325.32</w:t>
            </w:r>
          </w:p>
        </w:tc>
        <w:tc>
          <w:tcPr>
            <w:tcW w:w="1745" w:type="dxa"/>
            <w:shd w:val="clear" w:color="auto" w:fill="auto"/>
            <w:noWrap/>
            <w:vAlign w:val="bottom"/>
            <w:hideMark/>
          </w:tcPr>
          <w:p w14:paraId="7071A970"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352.02</w:t>
            </w:r>
          </w:p>
        </w:tc>
      </w:tr>
      <w:tr w:rsidR="00940A99" w:rsidRPr="005B12AE" w14:paraId="0CB1971C" w14:textId="77777777" w:rsidTr="00940A99">
        <w:trPr>
          <w:trHeight w:val="20"/>
        </w:trPr>
        <w:tc>
          <w:tcPr>
            <w:tcW w:w="568" w:type="dxa"/>
            <w:shd w:val="clear" w:color="auto" w:fill="auto"/>
            <w:noWrap/>
            <w:hideMark/>
          </w:tcPr>
          <w:p w14:paraId="29436621" w14:textId="77777777" w:rsidR="00940A99" w:rsidRPr="005B12AE" w:rsidRDefault="00940A99" w:rsidP="00250DAC">
            <w:pPr>
              <w:spacing w:after="0" w:line="240" w:lineRule="auto"/>
              <w:rPr>
                <w:rFonts w:ascii="Times New Roman" w:hAnsi="Times New Roman"/>
                <w:b/>
                <w:bCs/>
                <w:sz w:val="20"/>
                <w:szCs w:val="20"/>
              </w:rPr>
            </w:pPr>
            <w:r w:rsidRPr="005B12AE">
              <w:rPr>
                <w:rFonts w:ascii="Times New Roman" w:hAnsi="Times New Roman"/>
                <w:b/>
                <w:bCs/>
                <w:sz w:val="20"/>
                <w:szCs w:val="20"/>
              </w:rPr>
              <w:t>(d)</w:t>
            </w:r>
          </w:p>
        </w:tc>
        <w:tc>
          <w:tcPr>
            <w:tcW w:w="4594" w:type="dxa"/>
            <w:shd w:val="clear" w:color="auto" w:fill="auto"/>
            <w:noWrap/>
            <w:vAlign w:val="bottom"/>
            <w:hideMark/>
          </w:tcPr>
          <w:p w14:paraId="19B1D6C2" w14:textId="77777777" w:rsidR="00940A99" w:rsidRPr="005B12AE" w:rsidRDefault="00940A99" w:rsidP="00250DAC">
            <w:pPr>
              <w:spacing w:after="0" w:line="240" w:lineRule="auto"/>
              <w:jc w:val="both"/>
              <w:rPr>
                <w:rFonts w:ascii="Times New Roman" w:hAnsi="Times New Roman"/>
                <w:sz w:val="20"/>
                <w:szCs w:val="20"/>
              </w:rPr>
            </w:pPr>
            <w:r w:rsidRPr="005B12AE">
              <w:rPr>
                <w:rFonts w:ascii="Times New Roman" w:hAnsi="Times New Roman"/>
                <w:sz w:val="20"/>
                <w:szCs w:val="20"/>
              </w:rPr>
              <w:t>Finance Cost</w:t>
            </w:r>
          </w:p>
        </w:tc>
        <w:tc>
          <w:tcPr>
            <w:tcW w:w="1818" w:type="dxa"/>
            <w:shd w:val="clear" w:color="auto" w:fill="auto"/>
            <w:noWrap/>
            <w:vAlign w:val="bottom"/>
            <w:hideMark/>
          </w:tcPr>
          <w:p w14:paraId="502F22CF"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442.82</w:t>
            </w:r>
          </w:p>
        </w:tc>
        <w:tc>
          <w:tcPr>
            <w:tcW w:w="1722" w:type="dxa"/>
            <w:shd w:val="clear" w:color="auto" w:fill="auto"/>
            <w:noWrap/>
            <w:vAlign w:val="bottom"/>
            <w:hideMark/>
          </w:tcPr>
          <w:p w14:paraId="3B57446E"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245.24</w:t>
            </w:r>
          </w:p>
        </w:tc>
        <w:tc>
          <w:tcPr>
            <w:tcW w:w="1745" w:type="dxa"/>
            <w:shd w:val="clear" w:color="auto" w:fill="auto"/>
            <w:noWrap/>
            <w:vAlign w:val="bottom"/>
            <w:hideMark/>
          </w:tcPr>
          <w:p w14:paraId="1DE8F2A6"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153.89</w:t>
            </w:r>
          </w:p>
        </w:tc>
      </w:tr>
      <w:tr w:rsidR="00940A99" w:rsidRPr="005B12AE" w14:paraId="310286D2" w14:textId="77777777" w:rsidTr="00940A99">
        <w:trPr>
          <w:trHeight w:val="20"/>
        </w:trPr>
        <w:tc>
          <w:tcPr>
            <w:tcW w:w="568" w:type="dxa"/>
            <w:shd w:val="clear" w:color="auto" w:fill="auto"/>
            <w:noWrap/>
            <w:hideMark/>
          </w:tcPr>
          <w:p w14:paraId="13FEC79E" w14:textId="77777777" w:rsidR="00940A99" w:rsidRPr="005B12AE" w:rsidRDefault="00940A99" w:rsidP="00250DAC">
            <w:pPr>
              <w:spacing w:after="0" w:line="240" w:lineRule="auto"/>
              <w:rPr>
                <w:rFonts w:ascii="Times New Roman" w:hAnsi="Times New Roman"/>
                <w:b/>
                <w:bCs/>
                <w:sz w:val="20"/>
                <w:szCs w:val="20"/>
              </w:rPr>
            </w:pPr>
            <w:r w:rsidRPr="005B12AE">
              <w:rPr>
                <w:rFonts w:ascii="Times New Roman" w:hAnsi="Times New Roman"/>
                <w:b/>
                <w:bCs/>
                <w:sz w:val="20"/>
                <w:szCs w:val="20"/>
              </w:rPr>
              <w:t>(e)</w:t>
            </w:r>
          </w:p>
        </w:tc>
        <w:tc>
          <w:tcPr>
            <w:tcW w:w="4594" w:type="dxa"/>
            <w:shd w:val="clear" w:color="auto" w:fill="auto"/>
            <w:noWrap/>
            <w:vAlign w:val="bottom"/>
            <w:hideMark/>
          </w:tcPr>
          <w:p w14:paraId="303CC5F3" w14:textId="77777777" w:rsidR="00940A99" w:rsidRPr="005B12AE" w:rsidRDefault="00940A99" w:rsidP="00250DAC">
            <w:pPr>
              <w:spacing w:after="0" w:line="240" w:lineRule="auto"/>
              <w:jc w:val="both"/>
              <w:rPr>
                <w:rFonts w:ascii="Times New Roman" w:hAnsi="Times New Roman"/>
                <w:sz w:val="20"/>
                <w:szCs w:val="20"/>
              </w:rPr>
            </w:pPr>
            <w:r w:rsidRPr="005B12AE">
              <w:rPr>
                <w:rFonts w:ascii="Times New Roman" w:hAnsi="Times New Roman"/>
                <w:sz w:val="20"/>
                <w:szCs w:val="20"/>
              </w:rPr>
              <w:t>Depreciation and Amortisation Expenses</w:t>
            </w:r>
          </w:p>
        </w:tc>
        <w:tc>
          <w:tcPr>
            <w:tcW w:w="1818" w:type="dxa"/>
            <w:shd w:val="clear" w:color="auto" w:fill="auto"/>
            <w:noWrap/>
            <w:vAlign w:val="bottom"/>
            <w:hideMark/>
          </w:tcPr>
          <w:p w14:paraId="0433D1B4"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169.07</w:t>
            </w:r>
          </w:p>
        </w:tc>
        <w:tc>
          <w:tcPr>
            <w:tcW w:w="1722" w:type="dxa"/>
            <w:shd w:val="clear" w:color="auto" w:fill="auto"/>
            <w:noWrap/>
            <w:vAlign w:val="bottom"/>
            <w:hideMark/>
          </w:tcPr>
          <w:p w14:paraId="53009D89"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177.68</w:t>
            </w:r>
          </w:p>
        </w:tc>
        <w:tc>
          <w:tcPr>
            <w:tcW w:w="1745" w:type="dxa"/>
            <w:shd w:val="clear" w:color="auto" w:fill="auto"/>
            <w:noWrap/>
            <w:vAlign w:val="bottom"/>
            <w:hideMark/>
          </w:tcPr>
          <w:p w14:paraId="59A884FB"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135.74</w:t>
            </w:r>
          </w:p>
        </w:tc>
      </w:tr>
      <w:tr w:rsidR="00940A99" w:rsidRPr="005B12AE" w14:paraId="3B6E3D27" w14:textId="77777777" w:rsidTr="00940A99">
        <w:trPr>
          <w:trHeight w:val="20"/>
        </w:trPr>
        <w:tc>
          <w:tcPr>
            <w:tcW w:w="568" w:type="dxa"/>
            <w:shd w:val="clear" w:color="auto" w:fill="auto"/>
            <w:noWrap/>
            <w:hideMark/>
          </w:tcPr>
          <w:p w14:paraId="48FB06DF" w14:textId="77777777" w:rsidR="00940A99" w:rsidRPr="005B12AE" w:rsidRDefault="00940A99" w:rsidP="00250DAC">
            <w:pPr>
              <w:spacing w:after="0" w:line="240" w:lineRule="auto"/>
              <w:rPr>
                <w:rFonts w:ascii="Times New Roman" w:hAnsi="Times New Roman"/>
                <w:b/>
                <w:bCs/>
                <w:sz w:val="20"/>
                <w:szCs w:val="20"/>
              </w:rPr>
            </w:pPr>
            <w:r w:rsidRPr="005B12AE">
              <w:rPr>
                <w:rFonts w:ascii="Times New Roman" w:hAnsi="Times New Roman"/>
                <w:b/>
                <w:bCs/>
                <w:sz w:val="20"/>
                <w:szCs w:val="20"/>
              </w:rPr>
              <w:t>(f)</w:t>
            </w:r>
          </w:p>
        </w:tc>
        <w:tc>
          <w:tcPr>
            <w:tcW w:w="4594" w:type="dxa"/>
            <w:shd w:val="clear" w:color="auto" w:fill="auto"/>
            <w:noWrap/>
            <w:vAlign w:val="bottom"/>
            <w:hideMark/>
          </w:tcPr>
          <w:p w14:paraId="61437805" w14:textId="77777777" w:rsidR="00940A99" w:rsidRPr="005B12AE" w:rsidRDefault="00940A99" w:rsidP="00250DAC">
            <w:pPr>
              <w:spacing w:after="0" w:line="240" w:lineRule="auto"/>
              <w:jc w:val="both"/>
              <w:rPr>
                <w:rFonts w:ascii="Times New Roman" w:hAnsi="Times New Roman"/>
                <w:sz w:val="20"/>
                <w:szCs w:val="20"/>
              </w:rPr>
            </w:pPr>
            <w:r w:rsidRPr="005B12AE">
              <w:rPr>
                <w:rFonts w:ascii="Times New Roman" w:hAnsi="Times New Roman"/>
                <w:sz w:val="20"/>
                <w:szCs w:val="20"/>
              </w:rPr>
              <w:t>Other Expenses</w:t>
            </w:r>
          </w:p>
        </w:tc>
        <w:tc>
          <w:tcPr>
            <w:tcW w:w="1818" w:type="dxa"/>
            <w:shd w:val="clear" w:color="auto" w:fill="auto"/>
            <w:noWrap/>
            <w:vAlign w:val="bottom"/>
            <w:hideMark/>
          </w:tcPr>
          <w:p w14:paraId="2B35367F"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2,621.92</w:t>
            </w:r>
          </w:p>
        </w:tc>
        <w:tc>
          <w:tcPr>
            <w:tcW w:w="1722" w:type="dxa"/>
            <w:shd w:val="clear" w:color="auto" w:fill="auto"/>
            <w:noWrap/>
            <w:vAlign w:val="bottom"/>
            <w:hideMark/>
          </w:tcPr>
          <w:p w14:paraId="33786800"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3,829.13</w:t>
            </w:r>
          </w:p>
        </w:tc>
        <w:tc>
          <w:tcPr>
            <w:tcW w:w="1745" w:type="dxa"/>
            <w:shd w:val="clear" w:color="auto" w:fill="auto"/>
            <w:noWrap/>
            <w:vAlign w:val="bottom"/>
            <w:hideMark/>
          </w:tcPr>
          <w:p w14:paraId="2D3A94E1"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723.35</w:t>
            </w:r>
          </w:p>
        </w:tc>
      </w:tr>
      <w:tr w:rsidR="00940A99" w:rsidRPr="005B12AE" w14:paraId="1CB8F374" w14:textId="77777777" w:rsidTr="00940A99">
        <w:trPr>
          <w:trHeight w:val="20"/>
        </w:trPr>
        <w:tc>
          <w:tcPr>
            <w:tcW w:w="568" w:type="dxa"/>
            <w:shd w:val="clear" w:color="auto" w:fill="auto"/>
            <w:noWrap/>
            <w:vAlign w:val="bottom"/>
            <w:hideMark/>
          </w:tcPr>
          <w:p w14:paraId="0F2CCA9A" w14:textId="77777777" w:rsidR="00940A99" w:rsidRPr="005B12AE" w:rsidRDefault="00940A99" w:rsidP="00250DAC">
            <w:pPr>
              <w:spacing w:after="0" w:line="240" w:lineRule="auto"/>
              <w:rPr>
                <w:rFonts w:ascii="Times New Roman" w:hAnsi="Times New Roman"/>
                <w:b/>
                <w:bCs/>
                <w:sz w:val="20"/>
                <w:szCs w:val="20"/>
              </w:rPr>
            </w:pPr>
            <w:r w:rsidRPr="005B12AE">
              <w:rPr>
                <w:rFonts w:ascii="Times New Roman" w:hAnsi="Times New Roman"/>
                <w:b/>
                <w:bCs/>
                <w:sz w:val="20"/>
                <w:szCs w:val="20"/>
              </w:rPr>
              <w:t>4</w:t>
            </w:r>
          </w:p>
        </w:tc>
        <w:tc>
          <w:tcPr>
            <w:tcW w:w="4594" w:type="dxa"/>
            <w:shd w:val="clear" w:color="auto" w:fill="auto"/>
            <w:noWrap/>
            <w:vAlign w:val="bottom"/>
            <w:hideMark/>
          </w:tcPr>
          <w:p w14:paraId="446529B9" w14:textId="77777777" w:rsidR="00940A99" w:rsidRPr="005B12AE" w:rsidRDefault="00940A99" w:rsidP="00250DAC">
            <w:pPr>
              <w:spacing w:after="0" w:line="240" w:lineRule="auto"/>
              <w:jc w:val="both"/>
              <w:rPr>
                <w:rFonts w:ascii="Times New Roman" w:hAnsi="Times New Roman"/>
                <w:b/>
                <w:bCs/>
                <w:sz w:val="20"/>
                <w:szCs w:val="20"/>
              </w:rPr>
            </w:pPr>
            <w:r w:rsidRPr="005B12AE">
              <w:rPr>
                <w:rFonts w:ascii="Times New Roman" w:hAnsi="Times New Roman"/>
                <w:b/>
                <w:bCs/>
                <w:sz w:val="20"/>
                <w:szCs w:val="20"/>
              </w:rPr>
              <w:t>Total Expenditure                               3(a) to 3(f)</w:t>
            </w:r>
          </w:p>
        </w:tc>
        <w:tc>
          <w:tcPr>
            <w:tcW w:w="1818" w:type="dxa"/>
            <w:shd w:val="clear" w:color="auto" w:fill="auto"/>
            <w:noWrap/>
            <w:vAlign w:val="bottom"/>
            <w:hideMark/>
          </w:tcPr>
          <w:p w14:paraId="7584763B"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48,705.71</w:t>
            </w:r>
          </w:p>
        </w:tc>
        <w:tc>
          <w:tcPr>
            <w:tcW w:w="1722" w:type="dxa"/>
            <w:shd w:val="clear" w:color="auto" w:fill="auto"/>
            <w:noWrap/>
            <w:vAlign w:val="bottom"/>
            <w:hideMark/>
          </w:tcPr>
          <w:p w14:paraId="75B8AB98"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42,194.59</w:t>
            </w:r>
          </w:p>
        </w:tc>
        <w:tc>
          <w:tcPr>
            <w:tcW w:w="1745" w:type="dxa"/>
            <w:shd w:val="clear" w:color="auto" w:fill="auto"/>
            <w:noWrap/>
            <w:vAlign w:val="bottom"/>
            <w:hideMark/>
          </w:tcPr>
          <w:p w14:paraId="489BD14B"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13,777.48</w:t>
            </w:r>
          </w:p>
        </w:tc>
      </w:tr>
      <w:tr w:rsidR="00940A99" w:rsidRPr="005B12AE" w14:paraId="29F6036F" w14:textId="77777777" w:rsidTr="00940A99">
        <w:trPr>
          <w:trHeight w:val="20"/>
        </w:trPr>
        <w:tc>
          <w:tcPr>
            <w:tcW w:w="568" w:type="dxa"/>
            <w:shd w:val="clear" w:color="auto" w:fill="auto"/>
            <w:noWrap/>
            <w:vAlign w:val="bottom"/>
            <w:hideMark/>
          </w:tcPr>
          <w:p w14:paraId="7E606E5F" w14:textId="77777777" w:rsidR="00940A99" w:rsidRPr="005B12AE" w:rsidRDefault="00940A99" w:rsidP="00250DAC">
            <w:pPr>
              <w:spacing w:after="0" w:line="240" w:lineRule="auto"/>
              <w:rPr>
                <w:rFonts w:ascii="Times New Roman" w:hAnsi="Times New Roman"/>
                <w:b/>
                <w:bCs/>
                <w:sz w:val="20"/>
                <w:szCs w:val="20"/>
              </w:rPr>
            </w:pPr>
            <w:r w:rsidRPr="005B12AE">
              <w:rPr>
                <w:rFonts w:ascii="Times New Roman" w:hAnsi="Times New Roman"/>
                <w:b/>
                <w:bCs/>
                <w:sz w:val="20"/>
                <w:szCs w:val="20"/>
              </w:rPr>
              <w:t>5</w:t>
            </w:r>
          </w:p>
        </w:tc>
        <w:tc>
          <w:tcPr>
            <w:tcW w:w="4594" w:type="dxa"/>
            <w:shd w:val="clear" w:color="auto" w:fill="auto"/>
            <w:vAlign w:val="bottom"/>
            <w:hideMark/>
          </w:tcPr>
          <w:p w14:paraId="54772C6B" w14:textId="77777777" w:rsidR="00940A99" w:rsidRPr="005B12AE" w:rsidRDefault="00940A99" w:rsidP="00250DAC">
            <w:pPr>
              <w:spacing w:after="0" w:line="240" w:lineRule="auto"/>
              <w:jc w:val="both"/>
              <w:rPr>
                <w:rFonts w:ascii="Times New Roman" w:hAnsi="Times New Roman"/>
                <w:b/>
                <w:bCs/>
                <w:sz w:val="20"/>
                <w:szCs w:val="20"/>
              </w:rPr>
            </w:pPr>
            <w:r w:rsidRPr="005B12AE">
              <w:rPr>
                <w:rFonts w:ascii="Times New Roman" w:hAnsi="Times New Roman"/>
                <w:b/>
                <w:bCs/>
                <w:sz w:val="20"/>
                <w:szCs w:val="20"/>
              </w:rPr>
              <w:t>Profit/(Loss) Before Exceptional &amp; extraordinary items &amp; Tax                           (2-4)</w:t>
            </w:r>
          </w:p>
        </w:tc>
        <w:tc>
          <w:tcPr>
            <w:tcW w:w="1818" w:type="dxa"/>
            <w:shd w:val="clear" w:color="auto" w:fill="auto"/>
            <w:noWrap/>
            <w:vAlign w:val="bottom"/>
            <w:hideMark/>
          </w:tcPr>
          <w:p w14:paraId="624D9A9C"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1,080.56</w:t>
            </w:r>
          </w:p>
        </w:tc>
        <w:tc>
          <w:tcPr>
            <w:tcW w:w="1722" w:type="dxa"/>
            <w:shd w:val="clear" w:color="auto" w:fill="auto"/>
            <w:noWrap/>
            <w:vAlign w:val="bottom"/>
            <w:hideMark/>
          </w:tcPr>
          <w:p w14:paraId="56314A2E"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449.75</w:t>
            </w:r>
          </w:p>
        </w:tc>
        <w:tc>
          <w:tcPr>
            <w:tcW w:w="1745" w:type="dxa"/>
            <w:shd w:val="clear" w:color="auto" w:fill="auto"/>
            <w:noWrap/>
            <w:vAlign w:val="bottom"/>
            <w:hideMark/>
          </w:tcPr>
          <w:p w14:paraId="3BF7BC0D"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195.45</w:t>
            </w:r>
          </w:p>
        </w:tc>
      </w:tr>
      <w:tr w:rsidR="00940A99" w:rsidRPr="005B12AE" w14:paraId="657024FA" w14:textId="77777777" w:rsidTr="00940A99">
        <w:trPr>
          <w:trHeight w:val="20"/>
        </w:trPr>
        <w:tc>
          <w:tcPr>
            <w:tcW w:w="568" w:type="dxa"/>
            <w:shd w:val="clear" w:color="auto" w:fill="auto"/>
            <w:noWrap/>
            <w:vAlign w:val="bottom"/>
            <w:hideMark/>
          </w:tcPr>
          <w:p w14:paraId="5DEE8274" w14:textId="77777777" w:rsidR="00940A99" w:rsidRPr="005B12AE" w:rsidRDefault="00940A99" w:rsidP="00250DAC">
            <w:pPr>
              <w:spacing w:after="0" w:line="240" w:lineRule="auto"/>
              <w:rPr>
                <w:rFonts w:ascii="Times New Roman" w:hAnsi="Times New Roman"/>
                <w:b/>
                <w:bCs/>
                <w:sz w:val="20"/>
                <w:szCs w:val="20"/>
              </w:rPr>
            </w:pPr>
            <w:r w:rsidRPr="005B12AE">
              <w:rPr>
                <w:rFonts w:ascii="Times New Roman" w:hAnsi="Times New Roman"/>
                <w:b/>
                <w:bCs/>
                <w:sz w:val="20"/>
                <w:szCs w:val="20"/>
              </w:rPr>
              <w:t>6</w:t>
            </w:r>
          </w:p>
        </w:tc>
        <w:tc>
          <w:tcPr>
            <w:tcW w:w="4594" w:type="dxa"/>
            <w:shd w:val="clear" w:color="auto" w:fill="auto"/>
            <w:noWrap/>
            <w:vAlign w:val="bottom"/>
            <w:hideMark/>
          </w:tcPr>
          <w:p w14:paraId="220F80C5" w14:textId="77777777" w:rsidR="00940A99" w:rsidRPr="005B12AE" w:rsidRDefault="00940A99" w:rsidP="00250DAC">
            <w:pPr>
              <w:spacing w:after="0" w:line="240" w:lineRule="auto"/>
              <w:jc w:val="both"/>
              <w:rPr>
                <w:rFonts w:ascii="Times New Roman" w:hAnsi="Times New Roman"/>
                <w:sz w:val="20"/>
                <w:szCs w:val="20"/>
              </w:rPr>
            </w:pPr>
            <w:r w:rsidRPr="005B12AE">
              <w:rPr>
                <w:rFonts w:ascii="Times New Roman" w:hAnsi="Times New Roman"/>
                <w:sz w:val="20"/>
                <w:szCs w:val="20"/>
              </w:rPr>
              <w:t>Exceptional and Extra-ordinary items</w:t>
            </w:r>
          </w:p>
        </w:tc>
        <w:tc>
          <w:tcPr>
            <w:tcW w:w="1818" w:type="dxa"/>
            <w:shd w:val="clear" w:color="auto" w:fill="auto"/>
            <w:noWrap/>
            <w:vAlign w:val="bottom"/>
            <w:hideMark/>
          </w:tcPr>
          <w:p w14:paraId="72F30E33"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1722" w:type="dxa"/>
            <w:shd w:val="clear" w:color="auto" w:fill="auto"/>
            <w:noWrap/>
            <w:vAlign w:val="bottom"/>
            <w:hideMark/>
          </w:tcPr>
          <w:p w14:paraId="7174BEB3"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1745" w:type="dxa"/>
            <w:shd w:val="clear" w:color="auto" w:fill="auto"/>
            <w:noWrap/>
            <w:vAlign w:val="bottom"/>
            <w:hideMark/>
          </w:tcPr>
          <w:p w14:paraId="26C4C2C1"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r>
      <w:tr w:rsidR="00940A99" w:rsidRPr="005B12AE" w14:paraId="4FD68C1B" w14:textId="77777777" w:rsidTr="00940A99">
        <w:trPr>
          <w:trHeight w:val="20"/>
        </w:trPr>
        <w:tc>
          <w:tcPr>
            <w:tcW w:w="568" w:type="dxa"/>
            <w:shd w:val="clear" w:color="auto" w:fill="auto"/>
            <w:noWrap/>
            <w:vAlign w:val="bottom"/>
            <w:hideMark/>
          </w:tcPr>
          <w:p w14:paraId="1A4773DF" w14:textId="77777777" w:rsidR="00940A99" w:rsidRPr="005B12AE" w:rsidRDefault="00940A99" w:rsidP="00250DAC">
            <w:pPr>
              <w:spacing w:after="0" w:line="240" w:lineRule="auto"/>
              <w:rPr>
                <w:rFonts w:ascii="Times New Roman" w:hAnsi="Times New Roman"/>
                <w:b/>
                <w:bCs/>
                <w:sz w:val="20"/>
                <w:szCs w:val="20"/>
              </w:rPr>
            </w:pPr>
            <w:r w:rsidRPr="005B12AE">
              <w:rPr>
                <w:rFonts w:ascii="Times New Roman" w:hAnsi="Times New Roman"/>
                <w:b/>
                <w:bCs/>
                <w:sz w:val="20"/>
                <w:szCs w:val="20"/>
              </w:rPr>
              <w:t>7</w:t>
            </w:r>
          </w:p>
        </w:tc>
        <w:tc>
          <w:tcPr>
            <w:tcW w:w="4594" w:type="dxa"/>
            <w:shd w:val="clear" w:color="auto" w:fill="auto"/>
            <w:noWrap/>
            <w:vAlign w:val="bottom"/>
            <w:hideMark/>
          </w:tcPr>
          <w:p w14:paraId="4234FED0" w14:textId="77777777" w:rsidR="00940A99" w:rsidRPr="005B12AE" w:rsidRDefault="00940A99" w:rsidP="00250DAC">
            <w:pPr>
              <w:spacing w:after="0" w:line="240" w:lineRule="auto"/>
              <w:jc w:val="both"/>
              <w:rPr>
                <w:rFonts w:ascii="Times New Roman" w:hAnsi="Times New Roman"/>
                <w:b/>
                <w:bCs/>
                <w:sz w:val="20"/>
                <w:szCs w:val="20"/>
              </w:rPr>
            </w:pPr>
            <w:r w:rsidRPr="005B12AE">
              <w:rPr>
                <w:rFonts w:ascii="Times New Roman" w:hAnsi="Times New Roman"/>
                <w:b/>
                <w:bCs/>
                <w:sz w:val="20"/>
                <w:szCs w:val="20"/>
              </w:rPr>
              <w:t>Profit/(Loss) Before Tax                                (5-6)</w:t>
            </w:r>
          </w:p>
        </w:tc>
        <w:tc>
          <w:tcPr>
            <w:tcW w:w="1818" w:type="dxa"/>
            <w:shd w:val="clear" w:color="auto" w:fill="auto"/>
            <w:noWrap/>
            <w:vAlign w:val="bottom"/>
            <w:hideMark/>
          </w:tcPr>
          <w:p w14:paraId="2104D411"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1,080.56</w:t>
            </w:r>
          </w:p>
        </w:tc>
        <w:tc>
          <w:tcPr>
            <w:tcW w:w="1722" w:type="dxa"/>
            <w:shd w:val="clear" w:color="auto" w:fill="auto"/>
            <w:noWrap/>
            <w:vAlign w:val="bottom"/>
            <w:hideMark/>
          </w:tcPr>
          <w:p w14:paraId="51484393"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449.75</w:t>
            </w:r>
          </w:p>
        </w:tc>
        <w:tc>
          <w:tcPr>
            <w:tcW w:w="1745" w:type="dxa"/>
            <w:shd w:val="clear" w:color="auto" w:fill="auto"/>
            <w:noWrap/>
            <w:vAlign w:val="bottom"/>
            <w:hideMark/>
          </w:tcPr>
          <w:p w14:paraId="5C554F78"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195.45</w:t>
            </w:r>
          </w:p>
        </w:tc>
      </w:tr>
      <w:tr w:rsidR="00940A99" w:rsidRPr="005B12AE" w14:paraId="07B1B7C3" w14:textId="77777777" w:rsidTr="00940A99">
        <w:trPr>
          <w:trHeight w:val="20"/>
        </w:trPr>
        <w:tc>
          <w:tcPr>
            <w:tcW w:w="568" w:type="dxa"/>
            <w:shd w:val="clear" w:color="auto" w:fill="auto"/>
            <w:noWrap/>
            <w:vAlign w:val="bottom"/>
            <w:hideMark/>
          </w:tcPr>
          <w:p w14:paraId="74C9B5A8" w14:textId="77777777" w:rsidR="00940A99" w:rsidRPr="005B12AE" w:rsidRDefault="00940A99" w:rsidP="00250DAC">
            <w:pPr>
              <w:spacing w:after="0" w:line="240" w:lineRule="auto"/>
              <w:rPr>
                <w:rFonts w:ascii="Times New Roman" w:hAnsi="Times New Roman"/>
                <w:b/>
                <w:bCs/>
                <w:sz w:val="20"/>
                <w:szCs w:val="20"/>
              </w:rPr>
            </w:pPr>
            <w:r w:rsidRPr="005B12AE">
              <w:rPr>
                <w:rFonts w:ascii="Times New Roman" w:hAnsi="Times New Roman"/>
                <w:b/>
                <w:bCs/>
                <w:sz w:val="20"/>
                <w:szCs w:val="20"/>
              </w:rPr>
              <w:t>8</w:t>
            </w:r>
          </w:p>
        </w:tc>
        <w:tc>
          <w:tcPr>
            <w:tcW w:w="4594" w:type="dxa"/>
            <w:shd w:val="clear" w:color="auto" w:fill="auto"/>
            <w:noWrap/>
            <w:vAlign w:val="bottom"/>
            <w:hideMark/>
          </w:tcPr>
          <w:p w14:paraId="794AE3AA" w14:textId="77777777" w:rsidR="00940A99" w:rsidRPr="005B12AE" w:rsidRDefault="00940A99" w:rsidP="00250DAC">
            <w:pPr>
              <w:spacing w:after="0" w:line="240" w:lineRule="auto"/>
              <w:jc w:val="both"/>
              <w:rPr>
                <w:rFonts w:ascii="Times New Roman" w:hAnsi="Times New Roman"/>
                <w:b/>
                <w:bCs/>
                <w:sz w:val="20"/>
                <w:szCs w:val="20"/>
              </w:rPr>
            </w:pPr>
            <w:r w:rsidRPr="005B12AE">
              <w:rPr>
                <w:rFonts w:ascii="Times New Roman" w:hAnsi="Times New Roman"/>
                <w:b/>
                <w:bCs/>
                <w:sz w:val="20"/>
                <w:szCs w:val="20"/>
              </w:rPr>
              <w:t>Tax Expense:</w:t>
            </w:r>
          </w:p>
        </w:tc>
        <w:tc>
          <w:tcPr>
            <w:tcW w:w="1818" w:type="dxa"/>
            <w:shd w:val="clear" w:color="auto" w:fill="auto"/>
            <w:noWrap/>
            <w:vAlign w:val="bottom"/>
            <w:hideMark/>
          </w:tcPr>
          <w:p w14:paraId="118D5338" w14:textId="77777777" w:rsidR="00940A99" w:rsidRPr="005B12AE" w:rsidRDefault="00940A99" w:rsidP="00250DAC">
            <w:pPr>
              <w:spacing w:after="0" w:line="240" w:lineRule="auto"/>
              <w:jc w:val="center"/>
              <w:rPr>
                <w:rFonts w:ascii="Times New Roman" w:hAnsi="Times New Roman"/>
                <w:b/>
                <w:bCs/>
                <w:sz w:val="20"/>
                <w:szCs w:val="20"/>
              </w:rPr>
            </w:pPr>
          </w:p>
        </w:tc>
        <w:tc>
          <w:tcPr>
            <w:tcW w:w="1722" w:type="dxa"/>
            <w:shd w:val="clear" w:color="auto" w:fill="auto"/>
            <w:noWrap/>
            <w:vAlign w:val="bottom"/>
            <w:hideMark/>
          </w:tcPr>
          <w:p w14:paraId="75BE49D5" w14:textId="77777777" w:rsidR="00940A99" w:rsidRPr="005B12AE" w:rsidRDefault="00940A99" w:rsidP="00250DAC">
            <w:pPr>
              <w:spacing w:after="0" w:line="240" w:lineRule="auto"/>
              <w:jc w:val="center"/>
              <w:rPr>
                <w:rFonts w:ascii="Times New Roman" w:hAnsi="Times New Roman"/>
                <w:b/>
                <w:bCs/>
                <w:sz w:val="20"/>
                <w:szCs w:val="20"/>
              </w:rPr>
            </w:pPr>
          </w:p>
        </w:tc>
        <w:tc>
          <w:tcPr>
            <w:tcW w:w="1745" w:type="dxa"/>
            <w:shd w:val="clear" w:color="auto" w:fill="auto"/>
            <w:noWrap/>
            <w:vAlign w:val="bottom"/>
            <w:hideMark/>
          </w:tcPr>
          <w:p w14:paraId="20235CF4" w14:textId="77777777" w:rsidR="00940A99" w:rsidRPr="005B12AE" w:rsidRDefault="00940A99" w:rsidP="00250DAC">
            <w:pPr>
              <w:spacing w:after="0" w:line="240" w:lineRule="auto"/>
              <w:jc w:val="center"/>
              <w:rPr>
                <w:rFonts w:ascii="Times New Roman" w:hAnsi="Times New Roman"/>
                <w:b/>
                <w:bCs/>
                <w:sz w:val="20"/>
                <w:szCs w:val="20"/>
              </w:rPr>
            </w:pPr>
          </w:p>
        </w:tc>
      </w:tr>
      <w:tr w:rsidR="00940A99" w:rsidRPr="005B12AE" w14:paraId="1CBA282C" w14:textId="77777777" w:rsidTr="00940A99">
        <w:trPr>
          <w:trHeight w:val="20"/>
        </w:trPr>
        <w:tc>
          <w:tcPr>
            <w:tcW w:w="568" w:type="dxa"/>
            <w:shd w:val="clear" w:color="auto" w:fill="auto"/>
            <w:noWrap/>
            <w:vAlign w:val="bottom"/>
            <w:hideMark/>
          </w:tcPr>
          <w:p w14:paraId="47E37361" w14:textId="77777777" w:rsidR="00940A99" w:rsidRPr="005B12AE" w:rsidRDefault="00940A99" w:rsidP="00250DAC">
            <w:pPr>
              <w:spacing w:after="0" w:line="240" w:lineRule="auto"/>
              <w:rPr>
                <w:rFonts w:ascii="Times New Roman" w:hAnsi="Times New Roman"/>
                <w:b/>
                <w:bCs/>
                <w:sz w:val="20"/>
                <w:szCs w:val="20"/>
              </w:rPr>
            </w:pPr>
            <w:r w:rsidRPr="005B12AE">
              <w:rPr>
                <w:rFonts w:ascii="Times New Roman" w:hAnsi="Times New Roman"/>
                <w:b/>
                <w:bCs/>
                <w:sz w:val="20"/>
                <w:szCs w:val="20"/>
              </w:rPr>
              <w:t>(a)</w:t>
            </w:r>
          </w:p>
        </w:tc>
        <w:tc>
          <w:tcPr>
            <w:tcW w:w="4594" w:type="dxa"/>
            <w:shd w:val="clear" w:color="auto" w:fill="auto"/>
            <w:noWrap/>
            <w:vAlign w:val="bottom"/>
            <w:hideMark/>
          </w:tcPr>
          <w:p w14:paraId="7BCE2B46" w14:textId="77777777" w:rsidR="00940A99" w:rsidRPr="005B12AE" w:rsidRDefault="00940A99" w:rsidP="00250DAC">
            <w:pPr>
              <w:spacing w:after="0" w:line="240" w:lineRule="auto"/>
              <w:jc w:val="both"/>
              <w:rPr>
                <w:rFonts w:ascii="Times New Roman" w:hAnsi="Times New Roman"/>
                <w:sz w:val="20"/>
                <w:szCs w:val="20"/>
              </w:rPr>
            </w:pPr>
            <w:r w:rsidRPr="005B12AE">
              <w:rPr>
                <w:rFonts w:ascii="Times New Roman" w:hAnsi="Times New Roman"/>
                <w:sz w:val="20"/>
                <w:szCs w:val="20"/>
              </w:rPr>
              <w:t>Tax Expense for Current Year</w:t>
            </w:r>
          </w:p>
        </w:tc>
        <w:tc>
          <w:tcPr>
            <w:tcW w:w="1818" w:type="dxa"/>
            <w:shd w:val="clear" w:color="auto" w:fill="auto"/>
            <w:noWrap/>
            <w:vAlign w:val="bottom"/>
            <w:hideMark/>
          </w:tcPr>
          <w:p w14:paraId="6D16F8FA"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314.08</w:t>
            </w:r>
          </w:p>
        </w:tc>
        <w:tc>
          <w:tcPr>
            <w:tcW w:w="1722" w:type="dxa"/>
            <w:shd w:val="clear" w:color="auto" w:fill="auto"/>
            <w:noWrap/>
            <w:vAlign w:val="bottom"/>
            <w:hideMark/>
          </w:tcPr>
          <w:p w14:paraId="255A70FA"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152.97</w:t>
            </w:r>
          </w:p>
        </w:tc>
        <w:tc>
          <w:tcPr>
            <w:tcW w:w="1745" w:type="dxa"/>
            <w:shd w:val="clear" w:color="auto" w:fill="auto"/>
            <w:noWrap/>
            <w:vAlign w:val="bottom"/>
            <w:hideMark/>
          </w:tcPr>
          <w:p w14:paraId="19ACFEDD"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67.88</w:t>
            </w:r>
          </w:p>
        </w:tc>
      </w:tr>
      <w:tr w:rsidR="00940A99" w:rsidRPr="005B12AE" w14:paraId="75723B8F" w14:textId="77777777" w:rsidTr="00940A99">
        <w:trPr>
          <w:trHeight w:val="20"/>
        </w:trPr>
        <w:tc>
          <w:tcPr>
            <w:tcW w:w="568" w:type="dxa"/>
            <w:shd w:val="clear" w:color="auto" w:fill="auto"/>
            <w:noWrap/>
            <w:vAlign w:val="bottom"/>
            <w:hideMark/>
          </w:tcPr>
          <w:p w14:paraId="2CA3E931" w14:textId="77777777" w:rsidR="00940A99" w:rsidRPr="005B12AE" w:rsidRDefault="00940A99" w:rsidP="00250DAC">
            <w:pPr>
              <w:spacing w:after="0" w:line="240" w:lineRule="auto"/>
              <w:rPr>
                <w:rFonts w:ascii="Times New Roman" w:hAnsi="Times New Roman"/>
                <w:b/>
                <w:bCs/>
                <w:sz w:val="20"/>
                <w:szCs w:val="20"/>
              </w:rPr>
            </w:pPr>
          </w:p>
        </w:tc>
        <w:tc>
          <w:tcPr>
            <w:tcW w:w="4594" w:type="dxa"/>
            <w:shd w:val="clear" w:color="auto" w:fill="auto"/>
            <w:noWrap/>
            <w:vAlign w:val="bottom"/>
            <w:hideMark/>
          </w:tcPr>
          <w:p w14:paraId="2735C209" w14:textId="77777777" w:rsidR="00940A99" w:rsidRPr="005B12AE" w:rsidRDefault="00940A99" w:rsidP="00250DAC">
            <w:pPr>
              <w:spacing w:after="0" w:line="240" w:lineRule="auto"/>
              <w:jc w:val="both"/>
              <w:rPr>
                <w:rFonts w:ascii="Times New Roman" w:hAnsi="Times New Roman"/>
                <w:sz w:val="20"/>
                <w:szCs w:val="20"/>
              </w:rPr>
            </w:pPr>
            <w:r w:rsidRPr="005B12AE">
              <w:rPr>
                <w:rFonts w:ascii="Times New Roman" w:hAnsi="Times New Roman"/>
                <w:sz w:val="20"/>
                <w:szCs w:val="20"/>
              </w:rPr>
              <w:t>Less: MAT Credit entitlement</w:t>
            </w:r>
          </w:p>
        </w:tc>
        <w:tc>
          <w:tcPr>
            <w:tcW w:w="1818" w:type="dxa"/>
            <w:shd w:val="clear" w:color="auto" w:fill="auto"/>
            <w:noWrap/>
            <w:vAlign w:val="bottom"/>
            <w:hideMark/>
          </w:tcPr>
          <w:p w14:paraId="414967B5"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722" w:type="dxa"/>
            <w:shd w:val="clear" w:color="auto" w:fill="auto"/>
            <w:noWrap/>
            <w:vAlign w:val="bottom"/>
            <w:hideMark/>
          </w:tcPr>
          <w:p w14:paraId="381C650B"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(11.40)</w:t>
            </w:r>
          </w:p>
        </w:tc>
        <w:tc>
          <w:tcPr>
            <w:tcW w:w="1745" w:type="dxa"/>
            <w:shd w:val="clear" w:color="auto" w:fill="auto"/>
            <w:noWrap/>
            <w:vAlign w:val="bottom"/>
            <w:hideMark/>
          </w:tcPr>
          <w:p w14:paraId="345D2C1E"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(22.73)</w:t>
            </w:r>
          </w:p>
        </w:tc>
      </w:tr>
      <w:tr w:rsidR="00940A99" w:rsidRPr="005B12AE" w14:paraId="7431038F" w14:textId="77777777" w:rsidTr="00940A99">
        <w:trPr>
          <w:trHeight w:val="20"/>
        </w:trPr>
        <w:tc>
          <w:tcPr>
            <w:tcW w:w="568" w:type="dxa"/>
            <w:shd w:val="clear" w:color="auto" w:fill="auto"/>
            <w:noWrap/>
            <w:vAlign w:val="bottom"/>
            <w:hideMark/>
          </w:tcPr>
          <w:p w14:paraId="3A63D3C9" w14:textId="77777777" w:rsidR="00940A99" w:rsidRPr="005B12AE" w:rsidRDefault="00940A99" w:rsidP="00250DAC">
            <w:pPr>
              <w:spacing w:after="0" w:line="240" w:lineRule="auto"/>
              <w:rPr>
                <w:rFonts w:ascii="Times New Roman" w:hAnsi="Times New Roman"/>
                <w:b/>
                <w:bCs/>
                <w:sz w:val="20"/>
                <w:szCs w:val="20"/>
              </w:rPr>
            </w:pPr>
            <w:r w:rsidRPr="005B12AE">
              <w:rPr>
                <w:rFonts w:ascii="Times New Roman" w:hAnsi="Times New Roman"/>
                <w:b/>
                <w:bCs/>
                <w:sz w:val="20"/>
                <w:szCs w:val="20"/>
              </w:rPr>
              <w:t>(b)</w:t>
            </w:r>
          </w:p>
        </w:tc>
        <w:tc>
          <w:tcPr>
            <w:tcW w:w="4594" w:type="dxa"/>
            <w:shd w:val="clear" w:color="auto" w:fill="auto"/>
            <w:noWrap/>
            <w:vAlign w:val="bottom"/>
            <w:hideMark/>
          </w:tcPr>
          <w:p w14:paraId="22C0A328" w14:textId="77777777" w:rsidR="00940A99" w:rsidRPr="005B12AE" w:rsidRDefault="00940A99" w:rsidP="00250DAC">
            <w:pPr>
              <w:spacing w:after="0" w:line="240" w:lineRule="auto"/>
              <w:jc w:val="both"/>
              <w:rPr>
                <w:rFonts w:ascii="Times New Roman" w:hAnsi="Times New Roman"/>
                <w:sz w:val="20"/>
                <w:szCs w:val="20"/>
              </w:rPr>
            </w:pPr>
            <w:r w:rsidRPr="005B12AE">
              <w:rPr>
                <w:rFonts w:ascii="Times New Roman" w:hAnsi="Times New Roman"/>
                <w:sz w:val="20"/>
                <w:szCs w:val="20"/>
              </w:rPr>
              <w:t>Deferred Tax</w:t>
            </w:r>
          </w:p>
        </w:tc>
        <w:tc>
          <w:tcPr>
            <w:tcW w:w="1818" w:type="dxa"/>
            <w:shd w:val="clear" w:color="auto" w:fill="auto"/>
            <w:noWrap/>
            <w:vAlign w:val="bottom"/>
            <w:hideMark/>
          </w:tcPr>
          <w:p w14:paraId="5A55AFCC"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1.06</w:t>
            </w:r>
          </w:p>
        </w:tc>
        <w:tc>
          <w:tcPr>
            <w:tcW w:w="1722" w:type="dxa"/>
            <w:shd w:val="clear" w:color="auto" w:fill="auto"/>
            <w:noWrap/>
            <w:vAlign w:val="bottom"/>
            <w:hideMark/>
          </w:tcPr>
          <w:p w14:paraId="244603D2"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(14.30)</w:t>
            </w:r>
          </w:p>
        </w:tc>
        <w:tc>
          <w:tcPr>
            <w:tcW w:w="1745" w:type="dxa"/>
            <w:shd w:val="clear" w:color="auto" w:fill="auto"/>
            <w:noWrap/>
            <w:vAlign w:val="bottom"/>
            <w:hideMark/>
          </w:tcPr>
          <w:p w14:paraId="2D0D598B"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8.02</w:t>
            </w:r>
          </w:p>
        </w:tc>
      </w:tr>
      <w:tr w:rsidR="00940A99" w:rsidRPr="005B12AE" w14:paraId="1C924724" w14:textId="77777777" w:rsidTr="00940A99">
        <w:trPr>
          <w:trHeight w:val="20"/>
        </w:trPr>
        <w:tc>
          <w:tcPr>
            <w:tcW w:w="568" w:type="dxa"/>
            <w:shd w:val="clear" w:color="auto" w:fill="auto"/>
            <w:noWrap/>
            <w:vAlign w:val="bottom"/>
            <w:hideMark/>
          </w:tcPr>
          <w:p w14:paraId="17626B87" w14:textId="77777777" w:rsidR="00940A99" w:rsidRPr="005B12AE" w:rsidRDefault="00940A99" w:rsidP="00250DAC">
            <w:pPr>
              <w:spacing w:after="0" w:line="240" w:lineRule="auto"/>
              <w:rPr>
                <w:rFonts w:ascii="Times New Roman" w:hAnsi="Times New Roman"/>
                <w:b/>
                <w:bCs/>
                <w:sz w:val="20"/>
                <w:szCs w:val="20"/>
              </w:rPr>
            </w:pPr>
          </w:p>
        </w:tc>
        <w:tc>
          <w:tcPr>
            <w:tcW w:w="4594" w:type="dxa"/>
            <w:shd w:val="clear" w:color="auto" w:fill="auto"/>
            <w:noWrap/>
            <w:vAlign w:val="bottom"/>
            <w:hideMark/>
          </w:tcPr>
          <w:p w14:paraId="35C3E725" w14:textId="77777777" w:rsidR="00940A99" w:rsidRPr="005B12AE" w:rsidRDefault="00940A99" w:rsidP="00250DAC">
            <w:pPr>
              <w:spacing w:after="0" w:line="240" w:lineRule="auto"/>
              <w:jc w:val="both"/>
              <w:rPr>
                <w:rFonts w:ascii="Times New Roman" w:hAnsi="Times New Roman"/>
                <w:sz w:val="20"/>
                <w:szCs w:val="20"/>
              </w:rPr>
            </w:pPr>
            <w:r w:rsidRPr="005B12AE">
              <w:rPr>
                <w:rFonts w:ascii="Times New Roman" w:hAnsi="Times New Roman"/>
                <w:sz w:val="20"/>
                <w:szCs w:val="20"/>
              </w:rPr>
              <w:t>Net Current Tax Expenses</w:t>
            </w:r>
          </w:p>
        </w:tc>
        <w:tc>
          <w:tcPr>
            <w:tcW w:w="1818" w:type="dxa"/>
            <w:shd w:val="clear" w:color="auto" w:fill="auto"/>
            <w:noWrap/>
            <w:vAlign w:val="bottom"/>
            <w:hideMark/>
          </w:tcPr>
          <w:p w14:paraId="5C9891E8"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315.14</w:t>
            </w:r>
          </w:p>
        </w:tc>
        <w:tc>
          <w:tcPr>
            <w:tcW w:w="1722" w:type="dxa"/>
            <w:shd w:val="clear" w:color="auto" w:fill="auto"/>
            <w:noWrap/>
            <w:vAlign w:val="bottom"/>
            <w:hideMark/>
          </w:tcPr>
          <w:p w14:paraId="64224C8B"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127.28</w:t>
            </w:r>
          </w:p>
        </w:tc>
        <w:tc>
          <w:tcPr>
            <w:tcW w:w="1745" w:type="dxa"/>
            <w:shd w:val="clear" w:color="auto" w:fill="auto"/>
            <w:noWrap/>
            <w:vAlign w:val="bottom"/>
            <w:hideMark/>
          </w:tcPr>
          <w:p w14:paraId="12DF537B"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53.17</w:t>
            </w:r>
          </w:p>
        </w:tc>
      </w:tr>
      <w:tr w:rsidR="00940A99" w:rsidRPr="005B12AE" w14:paraId="115C97D9" w14:textId="77777777" w:rsidTr="00940A99">
        <w:trPr>
          <w:trHeight w:val="20"/>
        </w:trPr>
        <w:tc>
          <w:tcPr>
            <w:tcW w:w="568" w:type="dxa"/>
            <w:shd w:val="clear" w:color="auto" w:fill="auto"/>
            <w:noWrap/>
            <w:vAlign w:val="bottom"/>
            <w:hideMark/>
          </w:tcPr>
          <w:p w14:paraId="32BFDF0F" w14:textId="77777777" w:rsidR="00940A99" w:rsidRPr="005B12AE" w:rsidRDefault="00940A99" w:rsidP="00250DAC">
            <w:pPr>
              <w:spacing w:after="0" w:line="240" w:lineRule="auto"/>
              <w:rPr>
                <w:rFonts w:ascii="Times New Roman" w:hAnsi="Times New Roman"/>
                <w:b/>
                <w:bCs/>
                <w:sz w:val="20"/>
                <w:szCs w:val="20"/>
              </w:rPr>
            </w:pPr>
            <w:r w:rsidRPr="005B12AE">
              <w:rPr>
                <w:rFonts w:ascii="Times New Roman" w:hAnsi="Times New Roman"/>
                <w:b/>
                <w:bCs/>
                <w:sz w:val="20"/>
                <w:szCs w:val="20"/>
              </w:rPr>
              <w:t>9</w:t>
            </w:r>
          </w:p>
        </w:tc>
        <w:tc>
          <w:tcPr>
            <w:tcW w:w="4594" w:type="dxa"/>
            <w:shd w:val="clear" w:color="auto" w:fill="auto"/>
            <w:noWrap/>
            <w:vAlign w:val="bottom"/>
            <w:hideMark/>
          </w:tcPr>
          <w:p w14:paraId="05DD1805" w14:textId="77777777" w:rsidR="00940A99" w:rsidRPr="005B12AE" w:rsidRDefault="00940A99" w:rsidP="00250DAC">
            <w:pPr>
              <w:spacing w:after="0" w:line="240" w:lineRule="auto"/>
              <w:jc w:val="both"/>
              <w:rPr>
                <w:rFonts w:ascii="Times New Roman" w:hAnsi="Times New Roman"/>
                <w:b/>
                <w:bCs/>
                <w:sz w:val="20"/>
                <w:szCs w:val="20"/>
              </w:rPr>
            </w:pPr>
            <w:r w:rsidRPr="005B12AE">
              <w:rPr>
                <w:rFonts w:ascii="Times New Roman" w:hAnsi="Times New Roman"/>
                <w:b/>
                <w:bCs/>
                <w:sz w:val="20"/>
                <w:szCs w:val="20"/>
              </w:rPr>
              <w:t>Profit/(Loss) for the Year                            (7-8)</w:t>
            </w:r>
          </w:p>
        </w:tc>
        <w:tc>
          <w:tcPr>
            <w:tcW w:w="1818" w:type="dxa"/>
            <w:shd w:val="clear" w:color="auto" w:fill="auto"/>
            <w:noWrap/>
            <w:vAlign w:val="bottom"/>
            <w:hideMark/>
          </w:tcPr>
          <w:p w14:paraId="2DDAD136"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765.42</w:t>
            </w:r>
          </w:p>
        </w:tc>
        <w:tc>
          <w:tcPr>
            <w:tcW w:w="1722" w:type="dxa"/>
            <w:shd w:val="clear" w:color="auto" w:fill="auto"/>
            <w:noWrap/>
            <w:vAlign w:val="bottom"/>
            <w:hideMark/>
          </w:tcPr>
          <w:p w14:paraId="3E98BD7D"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322.47</w:t>
            </w:r>
          </w:p>
        </w:tc>
        <w:tc>
          <w:tcPr>
            <w:tcW w:w="1745" w:type="dxa"/>
            <w:shd w:val="clear" w:color="auto" w:fill="auto"/>
            <w:noWrap/>
            <w:vAlign w:val="bottom"/>
            <w:hideMark/>
          </w:tcPr>
          <w:p w14:paraId="04AA3915"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142.28</w:t>
            </w:r>
          </w:p>
        </w:tc>
      </w:tr>
      <w:tr w:rsidR="00940A99" w:rsidRPr="005B12AE" w14:paraId="7CB69D1E" w14:textId="77777777" w:rsidTr="00940A99">
        <w:trPr>
          <w:trHeight w:val="370"/>
        </w:trPr>
        <w:tc>
          <w:tcPr>
            <w:tcW w:w="568" w:type="dxa"/>
            <w:shd w:val="clear" w:color="auto" w:fill="auto"/>
            <w:noWrap/>
            <w:vAlign w:val="bottom"/>
            <w:hideMark/>
          </w:tcPr>
          <w:p w14:paraId="283A22AB" w14:textId="77777777" w:rsidR="00940A99" w:rsidRPr="005B12AE" w:rsidRDefault="00940A99" w:rsidP="00250DAC">
            <w:pPr>
              <w:spacing w:after="0" w:line="240" w:lineRule="auto"/>
              <w:rPr>
                <w:rFonts w:ascii="Times New Roman" w:hAnsi="Times New Roman"/>
                <w:b/>
                <w:bCs/>
                <w:sz w:val="20"/>
                <w:szCs w:val="20"/>
              </w:rPr>
            </w:pPr>
          </w:p>
        </w:tc>
        <w:tc>
          <w:tcPr>
            <w:tcW w:w="4594" w:type="dxa"/>
            <w:shd w:val="clear" w:color="auto" w:fill="auto"/>
            <w:noWrap/>
            <w:vAlign w:val="bottom"/>
            <w:hideMark/>
          </w:tcPr>
          <w:p w14:paraId="5950D4DC" w14:textId="77777777" w:rsidR="00940A99" w:rsidRPr="005B12AE" w:rsidRDefault="00940A99" w:rsidP="00250DAC">
            <w:pPr>
              <w:spacing w:after="0" w:line="240" w:lineRule="auto"/>
              <w:jc w:val="both"/>
              <w:rPr>
                <w:rFonts w:ascii="Times New Roman" w:hAnsi="Times New Roman"/>
                <w:b/>
                <w:bCs/>
                <w:sz w:val="20"/>
                <w:szCs w:val="20"/>
              </w:rPr>
            </w:pPr>
            <w:r w:rsidRPr="005B12AE">
              <w:rPr>
                <w:rFonts w:ascii="Times New Roman" w:hAnsi="Times New Roman"/>
                <w:b/>
                <w:bCs/>
                <w:sz w:val="20"/>
                <w:szCs w:val="20"/>
              </w:rPr>
              <w:t>Basic, computed on the basis of Restated Profit/(loss) attributable to equity holders</w:t>
            </w:r>
          </w:p>
          <w:p w14:paraId="0D02D47E" w14:textId="77777777" w:rsidR="00940A99" w:rsidRPr="005B12AE" w:rsidRDefault="00940A99" w:rsidP="00250DAC">
            <w:pPr>
              <w:spacing w:after="0" w:line="240" w:lineRule="auto"/>
              <w:jc w:val="both"/>
              <w:rPr>
                <w:rFonts w:ascii="Times New Roman" w:hAnsi="Times New Roman"/>
                <w:b/>
                <w:bCs/>
                <w:sz w:val="20"/>
                <w:szCs w:val="20"/>
              </w:rPr>
            </w:pPr>
            <w:r w:rsidRPr="005B12AE">
              <w:rPr>
                <w:rFonts w:ascii="Times New Roman" w:hAnsi="Times New Roman"/>
                <w:sz w:val="20"/>
                <w:szCs w:val="20"/>
              </w:rPr>
              <w:t>Equity shares, Nominal value of Rs 10 each</w:t>
            </w:r>
          </w:p>
        </w:tc>
        <w:tc>
          <w:tcPr>
            <w:tcW w:w="1818" w:type="dxa"/>
            <w:shd w:val="clear" w:color="auto" w:fill="auto"/>
            <w:noWrap/>
            <w:vAlign w:val="center"/>
            <w:hideMark/>
          </w:tcPr>
          <w:p w14:paraId="1DAF51D7"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5.54</w:t>
            </w:r>
          </w:p>
        </w:tc>
        <w:tc>
          <w:tcPr>
            <w:tcW w:w="1722" w:type="dxa"/>
            <w:shd w:val="clear" w:color="auto" w:fill="auto"/>
            <w:noWrap/>
            <w:vAlign w:val="center"/>
            <w:hideMark/>
          </w:tcPr>
          <w:p w14:paraId="69E36CF6"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2.34</w:t>
            </w:r>
          </w:p>
        </w:tc>
        <w:tc>
          <w:tcPr>
            <w:tcW w:w="1745" w:type="dxa"/>
            <w:shd w:val="clear" w:color="auto" w:fill="auto"/>
            <w:noWrap/>
            <w:vAlign w:val="center"/>
            <w:hideMark/>
          </w:tcPr>
          <w:p w14:paraId="54D7FAA0"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1.03</w:t>
            </w:r>
          </w:p>
        </w:tc>
      </w:tr>
      <w:tr w:rsidR="00940A99" w:rsidRPr="005B12AE" w14:paraId="29314BFF" w14:textId="77777777" w:rsidTr="00940A99">
        <w:trPr>
          <w:trHeight w:val="694"/>
        </w:trPr>
        <w:tc>
          <w:tcPr>
            <w:tcW w:w="568" w:type="dxa"/>
            <w:shd w:val="clear" w:color="auto" w:fill="auto"/>
            <w:noWrap/>
            <w:vAlign w:val="bottom"/>
            <w:hideMark/>
          </w:tcPr>
          <w:p w14:paraId="04B695AB" w14:textId="77777777" w:rsidR="00940A99" w:rsidRPr="005B12AE" w:rsidRDefault="00940A99" w:rsidP="00250DAC">
            <w:pPr>
              <w:spacing w:after="0" w:line="240" w:lineRule="auto"/>
              <w:rPr>
                <w:rFonts w:ascii="Times New Roman" w:hAnsi="Times New Roman"/>
                <w:b/>
                <w:bCs/>
                <w:sz w:val="20"/>
                <w:szCs w:val="20"/>
              </w:rPr>
            </w:pPr>
          </w:p>
        </w:tc>
        <w:tc>
          <w:tcPr>
            <w:tcW w:w="4594" w:type="dxa"/>
            <w:shd w:val="clear" w:color="000000" w:fill="FFFFFF"/>
            <w:hideMark/>
          </w:tcPr>
          <w:p w14:paraId="6B9867B5" w14:textId="77777777" w:rsidR="00940A99" w:rsidRPr="005B12AE" w:rsidRDefault="00940A99" w:rsidP="00250DAC">
            <w:pPr>
              <w:spacing w:after="0" w:line="240" w:lineRule="auto"/>
              <w:jc w:val="both"/>
              <w:rPr>
                <w:rFonts w:ascii="Times New Roman" w:hAnsi="Times New Roman"/>
                <w:b/>
                <w:bCs/>
                <w:sz w:val="20"/>
                <w:szCs w:val="20"/>
              </w:rPr>
            </w:pPr>
            <w:r w:rsidRPr="005B12AE">
              <w:rPr>
                <w:rFonts w:ascii="Times New Roman" w:hAnsi="Times New Roman"/>
                <w:b/>
                <w:bCs/>
                <w:sz w:val="20"/>
                <w:szCs w:val="20"/>
              </w:rPr>
              <w:t>Diluted, computed on the basis of Restated Profit/(loss) attributable to equity holders</w:t>
            </w:r>
          </w:p>
          <w:p w14:paraId="50CF797F" w14:textId="77777777" w:rsidR="00940A99" w:rsidRPr="005B12AE" w:rsidRDefault="00940A99" w:rsidP="00250DAC">
            <w:pPr>
              <w:spacing w:after="0" w:line="240" w:lineRule="auto"/>
              <w:jc w:val="both"/>
              <w:rPr>
                <w:rFonts w:ascii="Times New Roman" w:hAnsi="Times New Roman"/>
                <w:b/>
                <w:bCs/>
                <w:sz w:val="20"/>
                <w:szCs w:val="20"/>
              </w:rPr>
            </w:pPr>
            <w:r w:rsidRPr="005B12AE">
              <w:rPr>
                <w:rFonts w:ascii="Times New Roman" w:hAnsi="Times New Roman"/>
                <w:sz w:val="20"/>
                <w:szCs w:val="20"/>
              </w:rPr>
              <w:t>Equity shares, Nominal value of Rs 10 each</w:t>
            </w:r>
          </w:p>
        </w:tc>
        <w:tc>
          <w:tcPr>
            <w:tcW w:w="1818" w:type="dxa"/>
            <w:shd w:val="clear" w:color="auto" w:fill="auto"/>
            <w:noWrap/>
            <w:vAlign w:val="center"/>
            <w:hideMark/>
          </w:tcPr>
          <w:p w14:paraId="6ED12EEB"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5.54</w:t>
            </w:r>
          </w:p>
        </w:tc>
        <w:tc>
          <w:tcPr>
            <w:tcW w:w="1722" w:type="dxa"/>
            <w:shd w:val="clear" w:color="auto" w:fill="auto"/>
            <w:noWrap/>
            <w:vAlign w:val="center"/>
            <w:hideMark/>
          </w:tcPr>
          <w:p w14:paraId="6A01EF25"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2.34</w:t>
            </w:r>
          </w:p>
        </w:tc>
        <w:tc>
          <w:tcPr>
            <w:tcW w:w="1745" w:type="dxa"/>
            <w:shd w:val="clear" w:color="auto" w:fill="auto"/>
            <w:noWrap/>
            <w:vAlign w:val="center"/>
            <w:hideMark/>
          </w:tcPr>
          <w:p w14:paraId="67404F5B"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1.03</w:t>
            </w:r>
          </w:p>
        </w:tc>
      </w:tr>
    </w:tbl>
    <w:p w14:paraId="418F1375" w14:textId="77777777" w:rsidR="00940A99" w:rsidRPr="005B12AE" w:rsidRDefault="00940A99" w:rsidP="00940A99">
      <w:pPr>
        <w:rPr>
          <w:rFonts w:ascii="Times New Roman" w:hAnsi="Times New Roman"/>
          <w:sz w:val="20"/>
          <w:szCs w:val="20"/>
        </w:rPr>
      </w:pPr>
      <w:r w:rsidRPr="005B12AE">
        <w:rPr>
          <w:rFonts w:ascii="Times New Roman" w:hAnsi="Times New Roman"/>
          <w:sz w:val="20"/>
          <w:szCs w:val="20"/>
        </w:rPr>
        <w:br w:type="page"/>
      </w:r>
    </w:p>
    <w:p w14:paraId="28EA5722" w14:textId="77777777" w:rsidR="00940A99" w:rsidRPr="005B12AE" w:rsidRDefault="00940A99" w:rsidP="00940A99">
      <w:pPr>
        <w:spacing w:after="0"/>
        <w:jc w:val="center"/>
        <w:rPr>
          <w:rFonts w:ascii="Times New Roman" w:hAnsi="Times New Roman"/>
          <w:b/>
          <w:bCs/>
          <w:sz w:val="20"/>
          <w:szCs w:val="20"/>
        </w:rPr>
      </w:pPr>
      <w:r w:rsidRPr="005B12AE">
        <w:rPr>
          <w:rFonts w:ascii="Times New Roman" w:hAnsi="Times New Roman"/>
          <w:b/>
          <w:bCs/>
          <w:sz w:val="20"/>
          <w:szCs w:val="20"/>
        </w:rPr>
        <w:lastRenderedPageBreak/>
        <w:t>ANNEXURE III</w:t>
      </w:r>
    </w:p>
    <w:p w14:paraId="213236DA" w14:textId="77777777" w:rsidR="00940A99" w:rsidRPr="005B12AE" w:rsidRDefault="00940A99" w:rsidP="00940A99">
      <w:pPr>
        <w:spacing w:after="0"/>
        <w:jc w:val="center"/>
        <w:rPr>
          <w:rFonts w:ascii="Times New Roman" w:hAnsi="Times New Roman"/>
          <w:b/>
          <w:bCs/>
          <w:sz w:val="20"/>
          <w:szCs w:val="20"/>
        </w:rPr>
      </w:pPr>
      <w:r w:rsidRPr="005B12AE">
        <w:rPr>
          <w:rFonts w:ascii="Times New Roman" w:hAnsi="Times New Roman"/>
          <w:b/>
          <w:bCs/>
          <w:sz w:val="20"/>
          <w:szCs w:val="20"/>
        </w:rPr>
        <w:t>RESTATED CASH FLOW STATEMENT</w:t>
      </w:r>
    </w:p>
    <w:p w14:paraId="25B76370" w14:textId="77777777" w:rsidR="00940A99" w:rsidRPr="005B12AE" w:rsidRDefault="00940A99" w:rsidP="00940A99">
      <w:pPr>
        <w:spacing w:after="0"/>
        <w:jc w:val="right"/>
        <w:rPr>
          <w:rFonts w:ascii="Times New Roman" w:hAnsi="Times New Roman"/>
          <w:b/>
          <w:bCs/>
          <w:sz w:val="20"/>
          <w:szCs w:val="20"/>
        </w:rPr>
      </w:pPr>
      <w:r w:rsidRPr="005B12AE">
        <w:rPr>
          <w:rFonts w:ascii="Times New Roman" w:hAnsi="Times New Roman"/>
          <w:b/>
          <w:bCs/>
          <w:sz w:val="20"/>
          <w:szCs w:val="20"/>
        </w:rPr>
        <w:t>(₹ in Lakhs)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7"/>
        <w:gridCol w:w="1617"/>
        <w:gridCol w:w="1667"/>
        <w:gridCol w:w="1566"/>
      </w:tblGrid>
      <w:tr w:rsidR="00940A99" w:rsidRPr="005B12AE" w14:paraId="390EA37A" w14:textId="77777777" w:rsidTr="00250DAC">
        <w:trPr>
          <w:trHeight w:val="20"/>
        </w:trPr>
        <w:tc>
          <w:tcPr>
            <w:tcW w:w="2681" w:type="pct"/>
            <w:vMerge w:val="restart"/>
            <w:shd w:val="clear" w:color="auto" w:fill="D0CECE" w:themeFill="background2" w:themeFillShade="E6"/>
            <w:noWrap/>
            <w:vAlign w:val="center"/>
            <w:hideMark/>
          </w:tcPr>
          <w:p w14:paraId="076E9243"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 xml:space="preserve">Particulars </w:t>
            </w:r>
          </w:p>
        </w:tc>
        <w:tc>
          <w:tcPr>
            <w:tcW w:w="2319" w:type="pct"/>
            <w:gridSpan w:val="3"/>
            <w:shd w:val="clear" w:color="auto" w:fill="D0CECE" w:themeFill="background2" w:themeFillShade="E6"/>
            <w:noWrap/>
            <w:vAlign w:val="center"/>
            <w:hideMark/>
          </w:tcPr>
          <w:p w14:paraId="37EDCE43"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For The Year Ended</w:t>
            </w:r>
          </w:p>
        </w:tc>
      </w:tr>
      <w:tr w:rsidR="00940A99" w:rsidRPr="005B12AE" w14:paraId="0AAAB528" w14:textId="77777777" w:rsidTr="00250DAC">
        <w:trPr>
          <w:trHeight w:val="20"/>
        </w:trPr>
        <w:tc>
          <w:tcPr>
            <w:tcW w:w="2681" w:type="pct"/>
            <w:vMerge/>
            <w:shd w:val="clear" w:color="auto" w:fill="D0CECE" w:themeFill="background2" w:themeFillShade="E6"/>
            <w:vAlign w:val="center"/>
            <w:hideMark/>
          </w:tcPr>
          <w:p w14:paraId="01A24F93" w14:textId="77777777" w:rsidR="00940A99" w:rsidRPr="005B12AE" w:rsidRDefault="00940A99" w:rsidP="00250DAC">
            <w:pPr>
              <w:spacing w:after="0" w:line="240" w:lineRule="auto"/>
              <w:rPr>
                <w:rFonts w:ascii="Times New Roman" w:hAnsi="Times New Roman"/>
                <w:b/>
                <w:bCs/>
                <w:sz w:val="20"/>
                <w:szCs w:val="20"/>
              </w:rPr>
            </w:pPr>
          </w:p>
        </w:tc>
        <w:tc>
          <w:tcPr>
            <w:tcW w:w="773" w:type="pct"/>
            <w:shd w:val="clear" w:color="auto" w:fill="D0CECE" w:themeFill="background2" w:themeFillShade="E6"/>
            <w:noWrap/>
            <w:vAlign w:val="bottom"/>
            <w:hideMark/>
          </w:tcPr>
          <w:p w14:paraId="4AD35C1F"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31/03/2023</w:t>
            </w:r>
          </w:p>
        </w:tc>
        <w:tc>
          <w:tcPr>
            <w:tcW w:w="797" w:type="pct"/>
            <w:shd w:val="clear" w:color="auto" w:fill="D0CECE" w:themeFill="background2" w:themeFillShade="E6"/>
            <w:noWrap/>
            <w:vAlign w:val="bottom"/>
            <w:hideMark/>
          </w:tcPr>
          <w:p w14:paraId="2981E110"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31/03/2022</w:t>
            </w:r>
          </w:p>
        </w:tc>
        <w:tc>
          <w:tcPr>
            <w:tcW w:w="749" w:type="pct"/>
            <w:shd w:val="clear" w:color="auto" w:fill="D0CECE" w:themeFill="background2" w:themeFillShade="E6"/>
            <w:noWrap/>
            <w:vAlign w:val="bottom"/>
            <w:hideMark/>
          </w:tcPr>
          <w:p w14:paraId="76A3F2E8"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31/03/2021</w:t>
            </w:r>
          </w:p>
        </w:tc>
      </w:tr>
      <w:tr w:rsidR="00940A99" w:rsidRPr="005B12AE" w14:paraId="5557D079" w14:textId="77777777" w:rsidTr="00250DAC">
        <w:trPr>
          <w:trHeight w:val="20"/>
        </w:trPr>
        <w:tc>
          <w:tcPr>
            <w:tcW w:w="2681" w:type="pct"/>
            <w:shd w:val="clear" w:color="auto" w:fill="auto"/>
            <w:noWrap/>
            <w:vAlign w:val="bottom"/>
            <w:hideMark/>
          </w:tcPr>
          <w:p w14:paraId="51F47135"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 xml:space="preserve"> A) Cash Flow From Operating Activities: </w:t>
            </w:r>
          </w:p>
        </w:tc>
        <w:tc>
          <w:tcPr>
            <w:tcW w:w="773" w:type="pct"/>
            <w:shd w:val="clear" w:color="auto" w:fill="auto"/>
            <w:noWrap/>
            <w:vAlign w:val="bottom"/>
            <w:hideMark/>
          </w:tcPr>
          <w:p w14:paraId="29A7E881" w14:textId="77777777" w:rsidR="00940A99" w:rsidRPr="005B12AE" w:rsidRDefault="00940A99" w:rsidP="00250DAC">
            <w:pPr>
              <w:spacing w:after="0" w:line="240" w:lineRule="auto"/>
              <w:jc w:val="center"/>
              <w:rPr>
                <w:rFonts w:ascii="Times New Roman" w:hAnsi="Times New Roman"/>
                <w:sz w:val="20"/>
                <w:szCs w:val="20"/>
              </w:rPr>
            </w:pPr>
          </w:p>
        </w:tc>
        <w:tc>
          <w:tcPr>
            <w:tcW w:w="797" w:type="pct"/>
            <w:shd w:val="clear" w:color="auto" w:fill="auto"/>
            <w:noWrap/>
            <w:vAlign w:val="bottom"/>
            <w:hideMark/>
          </w:tcPr>
          <w:p w14:paraId="298F6612" w14:textId="77777777" w:rsidR="00940A99" w:rsidRPr="005B12AE" w:rsidRDefault="00940A99" w:rsidP="00250DAC">
            <w:pPr>
              <w:spacing w:after="0" w:line="240" w:lineRule="auto"/>
              <w:jc w:val="center"/>
              <w:rPr>
                <w:rFonts w:ascii="Times New Roman" w:hAnsi="Times New Roman"/>
                <w:sz w:val="20"/>
                <w:szCs w:val="20"/>
              </w:rPr>
            </w:pPr>
          </w:p>
        </w:tc>
        <w:tc>
          <w:tcPr>
            <w:tcW w:w="749" w:type="pct"/>
            <w:shd w:val="clear" w:color="auto" w:fill="auto"/>
            <w:noWrap/>
            <w:vAlign w:val="bottom"/>
            <w:hideMark/>
          </w:tcPr>
          <w:p w14:paraId="7D4B85C5" w14:textId="77777777" w:rsidR="00940A99" w:rsidRPr="005B12AE" w:rsidRDefault="00940A99" w:rsidP="00250DAC">
            <w:pPr>
              <w:spacing w:after="0" w:line="240" w:lineRule="auto"/>
              <w:jc w:val="center"/>
              <w:rPr>
                <w:rFonts w:ascii="Times New Roman" w:hAnsi="Times New Roman"/>
                <w:sz w:val="20"/>
                <w:szCs w:val="20"/>
              </w:rPr>
            </w:pPr>
          </w:p>
        </w:tc>
      </w:tr>
      <w:tr w:rsidR="00940A99" w:rsidRPr="005B12AE" w14:paraId="255F589D" w14:textId="77777777" w:rsidTr="00250DAC">
        <w:trPr>
          <w:trHeight w:val="20"/>
        </w:trPr>
        <w:tc>
          <w:tcPr>
            <w:tcW w:w="2681" w:type="pct"/>
            <w:shd w:val="clear" w:color="auto" w:fill="auto"/>
            <w:noWrap/>
            <w:vAlign w:val="bottom"/>
            <w:hideMark/>
          </w:tcPr>
          <w:p w14:paraId="24E5A02E"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 xml:space="preserve"> Net Profit before tax </w:t>
            </w:r>
          </w:p>
        </w:tc>
        <w:tc>
          <w:tcPr>
            <w:tcW w:w="773" w:type="pct"/>
            <w:shd w:val="clear" w:color="auto" w:fill="auto"/>
            <w:noWrap/>
            <w:vAlign w:val="bottom"/>
            <w:hideMark/>
          </w:tcPr>
          <w:p w14:paraId="183EBF9B"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1,080.56</w:t>
            </w:r>
          </w:p>
        </w:tc>
        <w:tc>
          <w:tcPr>
            <w:tcW w:w="797" w:type="pct"/>
            <w:shd w:val="clear" w:color="auto" w:fill="auto"/>
            <w:noWrap/>
            <w:vAlign w:val="bottom"/>
            <w:hideMark/>
          </w:tcPr>
          <w:p w14:paraId="3A496E4F"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449.75</w:t>
            </w:r>
          </w:p>
        </w:tc>
        <w:tc>
          <w:tcPr>
            <w:tcW w:w="749" w:type="pct"/>
            <w:shd w:val="clear" w:color="auto" w:fill="auto"/>
            <w:noWrap/>
            <w:vAlign w:val="bottom"/>
            <w:hideMark/>
          </w:tcPr>
          <w:p w14:paraId="2E198DBD"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195.45</w:t>
            </w:r>
          </w:p>
        </w:tc>
      </w:tr>
      <w:tr w:rsidR="00940A99" w:rsidRPr="005B12AE" w14:paraId="5D81F898" w14:textId="77777777" w:rsidTr="00250DAC">
        <w:trPr>
          <w:trHeight w:val="20"/>
        </w:trPr>
        <w:tc>
          <w:tcPr>
            <w:tcW w:w="2681" w:type="pct"/>
            <w:shd w:val="clear" w:color="auto" w:fill="auto"/>
            <w:noWrap/>
            <w:vAlign w:val="bottom"/>
            <w:hideMark/>
          </w:tcPr>
          <w:p w14:paraId="55D7476A"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 xml:space="preserve"> Adjustment for: </w:t>
            </w:r>
          </w:p>
        </w:tc>
        <w:tc>
          <w:tcPr>
            <w:tcW w:w="773" w:type="pct"/>
            <w:shd w:val="clear" w:color="auto" w:fill="auto"/>
            <w:noWrap/>
            <w:vAlign w:val="bottom"/>
            <w:hideMark/>
          </w:tcPr>
          <w:p w14:paraId="3EDB992E" w14:textId="77777777" w:rsidR="00940A99" w:rsidRPr="005B12AE" w:rsidRDefault="00940A99" w:rsidP="00250DAC">
            <w:pPr>
              <w:spacing w:after="0" w:line="240" w:lineRule="auto"/>
              <w:jc w:val="center"/>
              <w:rPr>
                <w:rFonts w:ascii="Times New Roman" w:hAnsi="Times New Roman"/>
                <w:sz w:val="20"/>
                <w:szCs w:val="20"/>
              </w:rPr>
            </w:pPr>
          </w:p>
        </w:tc>
        <w:tc>
          <w:tcPr>
            <w:tcW w:w="797" w:type="pct"/>
            <w:shd w:val="clear" w:color="auto" w:fill="auto"/>
            <w:noWrap/>
            <w:vAlign w:val="bottom"/>
            <w:hideMark/>
          </w:tcPr>
          <w:p w14:paraId="0990543A" w14:textId="77777777" w:rsidR="00940A99" w:rsidRPr="005B12AE" w:rsidRDefault="00940A99" w:rsidP="00250DAC">
            <w:pPr>
              <w:spacing w:after="0" w:line="240" w:lineRule="auto"/>
              <w:jc w:val="center"/>
              <w:rPr>
                <w:rFonts w:ascii="Times New Roman" w:hAnsi="Times New Roman"/>
                <w:sz w:val="20"/>
                <w:szCs w:val="20"/>
              </w:rPr>
            </w:pPr>
          </w:p>
        </w:tc>
        <w:tc>
          <w:tcPr>
            <w:tcW w:w="749" w:type="pct"/>
            <w:shd w:val="clear" w:color="auto" w:fill="auto"/>
            <w:noWrap/>
            <w:vAlign w:val="bottom"/>
            <w:hideMark/>
          </w:tcPr>
          <w:p w14:paraId="00FBF8BC" w14:textId="77777777" w:rsidR="00940A99" w:rsidRPr="005B12AE" w:rsidRDefault="00940A99" w:rsidP="00250DAC">
            <w:pPr>
              <w:spacing w:after="0" w:line="240" w:lineRule="auto"/>
              <w:jc w:val="center"/>
              <w:rPr>
                <w:rFonts w:ascii="Times New Roman" w:hAnsi="Times New Roman"/>
                <w:sz w:val="20"/>
                <w:szCs w:val="20"/>
              </w:rPr>
            </w:pPr>
          </w:p>
        </w:tc>
      </w:tr>
      <w:tr w:rsidR="00940A99" w:rsidRPr="005B12AE" w14:paraId="24388E4E" w14:textId="77777777" w:rsidTr="00250DAC">
        <w:trPr>
          <w:trHeight w:val="20"/>
        </w:trPr>
        <w:tc>
          <w:tcPr>
            <w:tcW w:w="2681" w:type="pct"/>
            <w:shd w:val="clear" w:color="auto" w:fill="auto"/>
            <w:noWrap/>
            <w:vAlign w:val="bottom"/>
            <w:hideMark/>
          </w:tcPr>
          <w:p w14:paraId="5E2AD72E" w14:textId="77777777" w:rsidR="00940A99" w:rsidRPr="005B12AE" w:rsidRDefault="00940A99" w:rsidP="00250DAC">
            <w:pPr>
              <w:spacing w:after="0" w:line="240" w:lineRule="auto"/>
              <w:ind w:left="162"/>
              <w:rPr>
                <w:rFonts w:ascii="Times New Roman" w:hAnsi="Times New Roman"/>
                <w:sz w:val="20"/>
                <w:szCs w:val="20"/>
              </w:rPr>
            </w:pPr>
            <w:r w:rsidRPr="005B12AE">
              <w:rPr>
                <w:rFonts w:ascii="Times New Roman" w:hAnsi="Times New Roman"/>
                <w:sz w:val="20"/>
                <w:szCs w:val="20"/>
              </w:rPr>
              <w:t xml:space="preserve"> Depreciation and amortization  </w:t>
            </w:r>
          </w:p>
        </w:tc>
        <w:tc>
          <w:tcPr>
            <w:tcW w:w="773" w:type="pct"/>
            <w:shd w:val="clear" w:color="auto" w:fill="auto"/>
            <w:noWrap/>
            <w:vAlign w:val="bottom"/>
            <w:hideMark/>
          </w:tcPr>
          <w:p w14:paraId="2C8DDD99"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169.07</w:t>
            </w:r>
          </w:p>
        </w:tc>
        <w:tc>
          <w:tcPr>
            <w:tcW w:w="797" w:type="pct"/>
            <w:shd w:val="clear" w:color="auto" w:fill="auto"/>
            <w:noWrap/>
            <w:vAlign w:val="bottom"/>
            <w:hideMark/>
          </w:tcPr>
          <w:p w14:paraId="597B00E9"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177.68</w:t>
            </w:r>
          </w:p>
        </w:tc>
        <w:tc>
          <w:tcPr>
            <w:tcW w:w="749" w:type="pct"/>
            <w:shd w:val="clear" w:color="auto" w:fill="auto"/>
            <w:noWrap/>
            <w:vAlign w:val="bottom"/>
            <w:hideMark/>
          </w:tcPr>
          <w:p w14:paraId="5EDECBAD"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135.74</w:t>
            </w:r>
          </w:p>
        </w:tc>
      </w:tr>
      <w:tr w:rsidR="00940A99" w:rsidRPr="005B12AE" w14:paraId="7B6D072E" w14:textId="77777777" w:rsidTr="00250DAC">
        <w:trPr>
          <w:trHeight w:val="20"/>
        </w:trPr>
        <w:tc>
          <w:tcPr>
            <w:tcW w:w="2681" w:type="pct"/>
            <w:shd w:val="clear" w:color="auto" w:fill="auto"/>
            <w:noWrap/>
            <w:vAlign w:val="bottom"/>
            <w:hideMark/>
          </w:tcPr>
          <w:p w14:paraId="28B813BD" w14:textId="77777777" w:rsidR="00940A99" w:rsidRPr="005B12AE" w:rsidRDefault="00940A99" w:rsidP="00250DAC">
            <w:pPr>
              <w:spacing w:after="0" w:line="240" w:lineRule="auto"/>
              <w:ind w:left="162"/>
              <w:rPr>
                <w:rFonts w:ascii="Times New Roman" w:hAnsi="Times New Roman"/>
                <w:sz w:val="20"/>
                <w:szCs w:val="20"/>
              </w:rPr>
            </w:pPr>
            <w:r w:rsidRPr="005B12AE">
              <w:rPr>
                <w:rFonts w:ascii="Times New Roman" w:hAnsi="Times New Roman"/>
                <w:sz w:val="20"/>
                <w:szCs w:val="20"/>
              </w:rPr>
              <w:t xml:space="preserve"> Interest Paid </w:t>
            </w:r>
          </w:p>
        </w:tc>
        <w:tc>
          <w:tcPr>
            <w:tcW w:w="773" w:type="pct"/>
            <w:shd w:val="clear" w:color="auto" w:fill="auto"/>
            <w:noWrap/>
            <w:vAlign w:val="bottom"/>
            <w:hideMark/>
          </w:tcPr>
          <w:p w14:paraId="38DA057D"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442.82</w:t>
            </w:r>
          </w:p>
        </w:tc>
        <w:tc>
          <w:tcPr>
            <w:tcW w:w="797" w:type="pct"/>
            <w:shd w:val="clear" w:color="auto" w:fill="auto"/>
            <w:noWrap/>
            <w:vAlign w:val="bottom"/>
            <w:hideMark/>
          </w:tcPr>
          <w:p w14:paraId="1F115F5C"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245.24</w:t>
            </w:r>
          </w:p>
        </w:tc>
        <w:tc>
          <w:tcPr>
            <w:tcW w:w="749" w:type="pct"/>
            <w:shd w:val="clear" w:color="auto" w:fill="auto"/>
            <w:noWrap/>
            <w:vAlign w:val="bottom"/>
            <w:hideMark/>
          </w:tcPr>
          <w:p w14:paraId="788402D1"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153.89</w:t>
            </w:r>
          </w:p>
        </w:tc>
      </w:tr>
      <w:tr w:rsidR="00940A99" w:rsidRPr="005B12AE" w14:paraId="3536534E" w14:textId="77777777" w:rsidTr="00250DAC">
        <w:trPr>
          <w:trHeight w:val="20"/>
        </w:trPr>
        <w:tc>
          <w:tcPr>
            <w:tcW w:w="2681" w:type="pct"/>
            <w:shd w:val="clear" w:color="auto" w:fill="auto"/>
            <w:noWrap/>
            <w:vAlign w:val="bottom"/>
            <w:hideMark/>
          </w:tcPr>
          <w:p w14:paraId="20B96846" w14:textId="77777777" w:rsidR="00940A99" w:rsidRPr="005B12AE" w:rsidRDefault="00940A99" w:rsidP="00250DAC">
            <w:pPr>
              <w:spacing w:after="0" w:line="240" w:lineRule="auto"/>
              <w:ind w:left="162"/>
              <w:rPr>
                <w:rFonts w:ascii="Times New Roman" w:hAnsi="Times New Roman"/>
                <w:sz w:val="20"/>
                <w:szCs w:val="20"/>
              </w:rPr>
            </w:pPr>
            <w:r w:rsidRPr="005B12AE">
              <w:rPr>
                <w:rFonts w:ascii="Times New Roman" w:hAnsi="Times New Roman"/>
                <w:sz w:val="20"/>
                <w:szCs w:val="20"/>
              </w:rPr>
              <w:t xml:space="preserve"> Interest Income </w:t>
            </w:r>
          </w:p>
        </w:tc>
        <w:tc>
          <w:tcPr>
            <w:tcW w:w="773" w:type="pct"/>
            <w:shd w:val="clear" w:color="auto" w:fill="auto"/>
            <w:noWrap/>
            <w:vAlign w:val="bottom"/>
            <w:hideMark/>
          </w:tcPr>
          <w:p w14:paraId="03E202F3" w14:textId="77777777" w:rsidR="00940A99" w:rsidRPr="005B12AE" w:rsidRDefault="00940A99" w:rsidP="00250DAC">
            <w:pPr>
              <w:spacing w:after="0" w:line="240" w:lineRule="auto"/>
              <w:jc w:val="center"/>
              <w:rPr>
                <w:rFonts w:ascii="Times New Roman" w:hAnsi="Times New Roman"/>
                <w:sz w:val="20"/>
                <w:szCs w:val="20"/>
              </w:rPr>
            </w:pPr>
          </w:p>
        </w:tc>
        <w:tc>
          <w:tcPr>
            <w:tcW w:w="797" w:type="pct"/>
            <w:shd w:val="clear" w:color="auto" w:fill="auto"/>
            <w:noWrap/>
            <w:vAlign w:val="bottom"/>
            <w:hideMark/>
          </w:tcPr>
          <w:p w14:paraId="1097DCA0" w14:textId="77777777" w:rsidR="00940A99" w:rsidRPr="005B12AE" w:rsidRDefault="00940A99" w:rsidP="00250DAC">
            <w:pPr>
              <w:spacing w:after="0" w:line="240" w:lineRule="auto"/>
              <w:jc w:val="center"/>
              <w:rPr>
                <w:rFonts w:ascii="Times New Roman" w:hAnsi="Times New Roman"/>
                <w:sz w:val="20"/>
                <w:szCs w:val="20"/>
              </w:rPr>
            </w:pPr>
          </w:p>
        </w:tc>
        <w:tc>
          <w:tcPr>
            <w:tcW w:w="749" w:type="pct"/>
            <w:shd w:val="clear" w:color="auto" w:fill="auto"/>
            <w:noWrap/>
            <w:vAlign w:val="bottom"/>
            <w:hideMark/>
          </w:tcPr>
          <w:p w14:paraId="2CF7B061" w14:textId="77777777" w:rsidR="00940A99" w:rsidRPr="005B12AE" w:rsidRDefault="00940A99" w:rsidP="00250DAC">
            <w:pPr>
              <w:spacing w:after="0" w:line="240" w:lineRule="auto"/>
              <w:jc w:val="center"/>
              <w:rPr>
                <w:rFonts w:ascii="Times New Roman" w:hAnsi="Times New Roman"/>
                <w:sz w:val="20"/>
                <w:szCs w:val="20"/>
              </w:rPr>
            </w:pPr>
          </w:p>
        </w:tc>
      </w:tr>
      <w:tr w:rsidR="00940A99" w:rsidRPr="005B12AE" w14:paraId="6C9C3E68" w14:textId="77777777" w:rsidTr="00250DAC">
        <w:trPr>
          <w:trHeight w:val="20"/>
        </w:trPr>
        <w:tc>
          <w:tcPr>
            <w:tcW w:w="2681" w:type="pct"/>
            <w:shd w:val="clear" w:color="auto" w:fill="auto"/>
            <w:noWrap/>
            <w:vAlign w:val="bottom"/>
            <w:hideMark/>
          </w:tcPr>
          <w:p w14:paraId="0026978E" w14:textId="77777777" w:rsidR="00940A99" w:rsidRPr="005B12AE" w:rsidRDefault="00940A99" w:rsidP="00250DAC">
            <w:pPr>
              <w:spacing w:after="0" w:line="240" w:lineRule="auto"/>
              <w:ind w:left="162"/>
              <w:rPr>
                <w:rFonts w:ascii="Times New Roman" w:hAnsi="Times New Roman"/>
                <w:sz w:val="20"/>
                <w:szCs w:val="20"/>
              </w:rPr>
            </w:pPr>
            <w:r w:rsidRPr="005B12AE">
              <w:rPr>
                <w:rFonts w:ascii="Times New Roman" w:hAnsi="Times New Roman"/>
                <w:sz w:val="20"/>
                <w:szCs w:val="20"/>
              </w:rPr>
              <w:t xml:space="preserve"> Long term provision </w:t>
            </w:r>
          </w:p>
        </w:tc>
        <w:tc>
          <w:tcPr>
            <w:tcW w:w="773" w:type="pct"/>
            <w:shd w:val="clear" w:color="auto" w:fill="auto"/>
            <w:noWrap/>
            <w:vAlign w:val="bottom"/>
            <w:hideMark/>
          </w:tcPr>
          <w:p w14:paraId="6390C93F"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2.87</w:t>
            </w:r>
          </w:p>
        </w:tc>
        <w:tc>
          <w:tcPr>
            <w:tcW w:w="797" w:type="pct"/>
            <w:shd w:val="clear" w:color="auto" w:fill="auto"/>
            <w:noWrap/>
            <w:vAlign w:val="bottom"/>
            <w:hideMark/>
          </w:tcPr>
          <w:p w14:paraId="44856B9A"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1.66</w:t>
            </w:r>
          </w:p>
        </w:tc>
        <w:tc>
          <w:tcPr>
            <w:tcW w:w="749" w:type="pct"/>
            <w:shd w:val="clear" w:color="auto" w:fill="auto"/>
            <w:noWrap/>
            <w:vAlign w:val="bottom"/>
            <w:hideMark/>
          </w:tcPr>
          <w:p w14:paraId="4D7DC285"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15.68</w:t>
            </w:r>
          </w:p>
        </w:tc>
      </w:tr>
      <w:tr w:rsidR="00940A99" w:rsidRPr="005B12AE" w14:paraId="25D182B7" w14:textId="77777777" w:rsidTr="00250DAC">
        <w:trPr>
          <w:trHeight w:val="20"/>
        </w:trPr>
        <w:tc>
          <w:tcPr>
            <w:tcW w:w="2681" w:type="pct"/>
            <w:shd w:val="clear" w:color="auto" w:fill="auto"/>
            <w:noWrap/>
            <w:vAlign w:val="bottom"/>
            <w:hideMark/>
          </w:tcPr>
          <w:p w14:paraId="411310AB" w14:textId="77777777" w:rsidR="00940A99" w:rsidRPr="005B12AE" w:rsidRDefault="00940A99" w:rsidP="00250DAC">
            <w:pPr>
              <w:spacing w:after="0" w:line="240" w:lineRule="auto"/>
              <w:ind w:left="162"/>
              <w:rPr>
                <w:rFonts w:ascii="Times New Roman" w:hAnsi="Times New Roman"/>
                <w:sz w:val="20"/>
                <w:szCs w:val="20"/>
              </w:rPr>
            </w:pPr>
            <w:r w:rsidRPr="005B12AE">
              <w:rPr>
                <w:rFonts w:ascii="Times New Roman" w:hAnsi="Times New Roman"/>
                <w:sz w:val="20"/>
                <w:szCs w:val="20"/>
              </w:rPr>
              <w:t xml:space="preserve"> Short/ Excess provision Written off </w:t>
            </w:r>
          </w:p>
        </w:tc>
        <w:tc>
          <w:tcPr>
            <w:tcW w:w="773" w:type="pct"/>
            <w:shd w:val="clear" w:color="auto" w:fill="auto"/>
            <w:noWrap/>
            <w:vAlign w:val="bottom"/>
            <w:hideMark/>
          </w:tcPr>
          <w:p w14:paraId="137357C0"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97" w:type="pct"/>
            <w:shd w:val="clear" w:color="auto" w:fill="auto"/>
            <w:noWrap/>
            <w:vAlign w:val="bottom"/>
            <w:hideMark/>
          </w:tcPr>
          <w:p w14:paraId="4AFA1C3E"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49" w:type="pct"/>
            <w:shd w:val="clear" w:color="auto" w:fill="auto"/>
            <w:noWrap/>
            <w:vAlign w:val="bottom"/>
            <w:hideMark/>
          </w:tcPr>
          <w:p w14:paraId="781A58E7"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940A99" w:rsidRPr="005B12AE" w14:paraId="4FCBD6B7" w14:textId="77777777" w:rsidTr="00250DAC">
        <w:trPr>
          <w:trHeight w:val="20"/>
        </w:trPr>
        <w:tc>
          <w:tcPr>
            <w:tcW w:w="2681" w:type="pct"/>
            <w:shd w:val="clear" w:color="auto" w:fill="auto"/>
            <w:noWrap/>
            <w:vAlign w:val="bottom"/>
            <w:hideMark/>
          </w:tcPr>
          <w:p w14:paraId="7190766D" w14:textId="77777777" w:rsidR="00940A99" w:rsidRPr="005B12AE" w:rsidRDefault="00940A99" w:rsidP="00250DAC">
            <w:pPr>
              <w:spacing w:after="0" w:line="240" w:lineRule="auto"/>
              <w:ind w:left="162"/>
              <w:rPr>
                <w:rFonts w:ascii="Times New Roman" w:hAnsi="Times New Roman"/>
                <w:sz w:val="20"/>
                <w:szCs w:val="20"/>
              </w:rPr>
            </w:pPr>
            <w:r w:rsidRPr="005B12AE">
              <w:rPr>
                <w:rFonts w:ascii="Times New Roman" w:hAnsi="Times New Roman"/>
                <w:sz w:val="20"/>
                <w:szCs w:val="20"/>
              </w:rPr>
              <w:t xml:space="preserve"> Deferred Tax Liabilities (Net) </w:t>
            </w:r>
          </w:p>
        </w:tc>
        <w:tc>
          <w:tcPr>
            <w:tcW w:w="773" w:type="pct"/>
            <w:shd w:val="clear" w:color="auto" w:fill="auto"/>
            <w:noWrap/>
            <w:vAlign w:val="bottom"/>
            <w:hideMark/>
          </w:tcPr>
          <w:p w14:paraId="4E1C2C88" w14:textId="77777777" w:rsidR="00940A99" w:rsidRPr="005B12AE" w:rsidRDefault="00940A99" w:rsidP="00250DAC">
            <w:pPr>
              <w:spacing w:after="0" w:line="240" w:lineRule="auto"/>
              <w:jc w:val="center"/>
              <w:rPr>
                <w:rFonts w:ascii="Times New Roman" w:hAnsi="Times New Roman"/>
                <w:sz w:val="20"/>
                <w:szCs w:val="20"/>
              </w:rPr>
            </w:pPr>
          </w:p>
        </w:tc>
        <w:tc>
          <w:tcPr>
            <w:tcW w:w="797" w:type="pct"/>
            <w:shd w:val="clear" w:color="auto" w:fill="auto"/>
            <w:noWrap/>
            <w:vAlign w:val="bottom"/>
            <w:hideMark/>
          </w:tcPr>
          <w:p w14:paraId="29E53DD7" w14:textId="77777777" w:rsidR="00940A99" w:rsidRPr="005B12AE" w:rsidRDefault="00940A99" w:rsidP="00250DAC">
            <w:pPr>
              <w:spacing w:after="0" w:line="240" w:lineRule="auto"/>
              <w:jc w:val="center"/>
              <w:rPr>
                <w:rFonts w:ascii="Times New Roman" w:hAnsi="Times New Roman"/>
                <w:sz w:val="20"/>
                <w:szCs w:val="20"/>
              </w:rPr>
            </w:pPr>
          </w:p>
        </w:tc>
        <w:tc>
          <w:tcPr>
            <w:tcW w:w="749" w:type="pct"/>
            <w:shd w:val="clear" w:color="auto" w:fill="auto"/>
            <w:noWrap/>
            <w:vAlign w:val="bottom"/>
            <w:hideMark/>
          </w:tcPr>
          <w:p w14:paraId="5A82322D" w14:textId="77777777" w:rsidR="00940A99" w:rsidRPr="005B12AE" w:rsidRDefault="00940A99" w:rsidP="00250DAC">
            <w:pPr>
              <w:spacing w:after="0" w:line="240" w:lineRule="auto"/>
              <w:jc w:val="center"/>
              <w:rPr>
                <w:rFonts w:ascii="Times New Roman" w:hAnsi="Times New Roman"/>
                <w:sz w:val="20"/>
                <w:szCs w:val="20"/>
              </w:rPr>
            </w:pPr>
          </w:p>
        </w:tc>
      </w:tr>
      <w:tr w:rsidR="00940A99" w:rsidRPr="005B12AE" w14:paraId="09AD97CF" w14:textId="77777777" w:rsidTr="00250DAC">
        <w:trPr>
          <w:trHeight w:val="20"/>
        </w:trPr>
        <w:tc>
          <w:tcPr>
            <w:tcW w:w="2681" w:type="pct"/>
            <w:shd w:val="clear" w:color="auto" w:fill="auto"/>
            <w:noWrap/>
            <w:vAlign w:val="bottom"/>
            <w:hideMark/>
          </w:tcPr>
          <w:p w14:paraId="59F919AC" w14:textId="77777777" w:rsidR="00940A99" w:rsidRPr="005B12AE" w:rsidRDefault="00940A99" w:rsidP="00250DAC">
            <w:pPr>
              <w:spacing w:after="0" w:line="240" w:lineRule="auto"/>
              <w:ind w:left="162"/>
              <w:rPr>
                <w:rFonts w:ascii="Times New Roman" w:hAnsi="Times New Roman"/>
                <w:sz w:val="20"/>
                <w:szCs w:val="20"/>
              </w:rPr>
            </w:pPr>
            <w:r w:rsidRPr="005B12AE">
              <w:rPr>
                <w:rFonts w:ascii="Times New Roman" w:hAnsi="Times New Roman"/>
                <w:sz w:val="20"/>
                <w:szCs w:val="20"/>
              </w:rPr>
              <w:t xml:space="preserve"> Profit on sale of Car </w:t>
            </w:r>
          </w:p>
        </w:tc>
        <w:tc>
          <w:tcPr>
            <w:tcW w:w="773" w:type="pct"/>
            <w:shd w:val="clear" w:color="auto" w:fill="auto"/>
            <w:noWrap/>
            <w:vAlign w:val="bottom"/>
            <w:hideMark/>
          </w:tcPr>
          <w:p w14:paraId="445ACA9A"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97" w:type="pct"/>
            <w:shd w:val="clear" w:color="auto" w:fill="auto"/>
            <w:noWrap/>
            <w:vAlign w:val="bottom"/>
            <w:hideMark/>
          </w:tcPr>
          <w:p w14:paraId="6A1B5E18"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49" w:type="pct"/>
            <w:shd w:val="clear" w:color="auto" w:fill="auto"/>
            <w:noWrap/>
            <w:vAlign w:val="bottom"/>
            <w:hideMark/>
          </w:tcPr>
          <w:p w14:paraId="36F5AAFE" w14:textId="77777777" w:rsidR="00940A99" w:rsidRPr="005B12AE" w:rsidRDefault="00940A99" w:rsidP="00250DAC">
            <w:pPr>
              <w:spacing w:after="0" w:line="240" w:lineRule="auto"/>
              <w:jc w:val="center"/>
              <w:rPr>
                <w:rFonts w:ascii="Times New Roman" w:hAnsi="Times New Roman"/>
                <w:sz w:val="20"/>
                <w:szCs w:val="20"/>
              </w:rPr>
            </w:pPr>
          </w:p>
        </w:tc>
      </w:tr>
      <w:tr w:rsidR="00940A99" w:rsidRPr="005B12AE" w14:paraId="11FEC436" w14:textId="77777777" w:rsidTr="00250DAC">
        <w:trPr>
          <w:trHeight w:val="20"/>
        </w:trPr>
        <w:tc>
          <w:tcPr>
            <w:tcW w:w="2681" w:type="pct"/>
            <w:shd w:val="clear" w:color="auto" w:fill="auto"/>
            <w:noWrap/>
            <w:vAlign w:val="bottom"/>
            <w:hideMark/>
          </w:tcPr>
          <w:p w14:paraId="63A5A941" w14:textId="77777777" w:rsidR="00940A99" w:rsidRPr="005B12AE" w:rsidRDefault="00940A99" w:rsidP="00250DAC">
            <w:pPr>
              <w:spacing w:after="0" w:line="240" w:lineRule="auto"/>
              <w:ind w:left="162"/>
              <w:rPr>
                <w:rFonts w:ascii="Times New Roman" w:hAnsi="Times New Roman"/>
                <w:sz w:val="20"/>
                <w:szCs w:val="20"/>
              </w:rPr>
            </w:pPr>
            <w:r w:rsidRPr="005B12AE">
              <w:rPr>
                <w:rFonts w:ascii="Times New Roman" w:hAnsi="Times New Roman"/>
                <w:sz w:val="20"/>
                <w:szCs w:val="20"/>
              </w:rPr>
              <w:t xml:space="preserve"> Income Tax Provision </w:t>
            </w:r>
          </w:p>
        </w:tc>
        <w:tc>
          <w:tcPr>
            <w:tcW w:w="773" w:type="pct"/>
            <w:shd w:val="clear" w:color="auto" w:fill="auto"/>
            <w:noWrap/>
            <w:vAlign w:val="bottom"/>
            <w:hideMark/>
          </w:tcPr>
          <w:p w14:paraId="655B0046"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314.08</w:t>
            </w:r>
          </w:p>
        </w:tc>
        <w:tc>
          <w:tcPr>
            <w:tcW w:w="797" w:type="pct"/>
            <w:shd w:val="clear" w:color="auto" w:fill="auto"/>
            <w:noWrap/>
            <w:vAlign w:val="bottom"/>
            <w:hideMark/>
          </w:tcPr>
          <w:p w14:paraId="6F265937"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152.97</w:t>
            </w:r>
          </w:p>
        </w:tc>
        <w:tc>
          <w:tcPr>
            <w:tcW w:w="749" w:type="pct"/>
            <w:shd w:val="clear" w:color="auto" w:fill="auto"/>
            <w:noWrap/>
            <w:vAlign w:val="bottom"/>
            <w:hideMark/>
          </w:tcPr>
          <w:p w14:paraId="2D398061"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940A99" w:rsidRPr="005B12AE" w14:paraId="0A647AD5" w14:textId="77777777" w:rsidTr="00250DAC">
        <w:trPr>
          <w:trHeight w:val="20"/>
        </w:trPr>
        <w:tc>
          <w:tcPr>
            <w:tcW w:w="2681" w:type="pct"/>
            <w:shd w:val="clear" w:color="auto" w:fill="auto"/>
            <w:noWrap/>
            <w:vAlign w:val="bottom"/>
            <w:hideMark/>
          </w:tcPr>
          <w:p w14:paraId="75B9FD37" w14:textId="77777777" w:rsidR="00940A99" w:rsidRPr="005B12AE" w:rsidRDefault="00940A99" w:rsidP="00250DAC">
            <w:pPr>
              <w:spacing w:after="0" w:line="240" w:lineRule="auto"/>
              <w:rPr>
                <w:rFonts w:ascii="Times New Roman" w:hAnsi="Times New Roman"/>
                <w:b/>
                <w:bCs/>
                <w:sz w:val="20"/>
                <w:szCs w:val="20"/>
              </w:rPr>
            </w:pPr>
            <w:r w:rsidRPr="005B12AE">
              <w:rPr>
                <w:rFonts w:ascii="Times New Roman" w:hAnsi="Times New Roman"/>
                <w:b/>
                <w:bCs/>
                <w:sz w:val="20"/>
                <w:szCs w:val="20"/>
              </w:rPr>
              <w:t xml:space="preserve">Operating profit before working capital changes </w:t>
            </w:r>
          </w:p>
        </w:tc>
        <w:tc>
          <w:tcPr>
            <w:tcW w:w="773" w:type="pct"/>
            <w:shd w:val="clear" w:color="auto" w:fill="auto"/>
            <w:noWrap/>
            <w:vAlign w:val="bottom"/>
            <w:hideMark/>
          </w:tcPr>
          <w:p w14:paraId="7B34309F"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2,009.41</w:t>
            </w:r>
          </w:p>
        </w:tc>
        <w:tc>
          <w:tcPr>
            <w:tcW w:w="797" w:type="pct"/>
            <w:shd w:val="clear" w:color="auto" w:fill="auto"/>
            <w:noWrap/>
            <w:vAlign w:val="bottom"/>
            <w:hideMark/>
          </w:tcPr>
          <w:p w14:paraId="1C3A3787"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1,027.31</w:t>
            </w:r>
          </w:p>
        </w:tc>
        <w:tc>
          <w:tcPr>
            <w:tcW w:w="749" w:type="pct"/>
            <w:shd w:val="clear" w:color="auto" w:fill="auto"/>
            <w:noWrap/>
            <w:vAlign w:val="bottom"/>
            <w:hideMark/>
          </w:tcPr>
          <w:p w14:paraId="007101F3"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500.76</w:t>
            </w:r>
          </w:p>
        </w:tc>
      </w:tr>
      <w:tr w:rsidR="00940A99" w:rsidRPr="005B12AE" w14:paraId="023A7AC5" w14:textId="77777777" w:rsidTr="00250DAC">
        <w:trPr>
          <w:trHeight w:val="20"/>
        </w:trPr>
        <w:tc>
          <w:tcPr>
            <w:tcW w:w="2681" w:type="pct"/>
            <w:shd w:val="clear" w:color="auto" w:fill="auto"/>
            <w:noWrap/>
            <w:vAlign w:val="bottom"/>
            <w:hideMark/>
          </w:tcPr>
          <w:p w14:paraId="4BC8EFA8"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 xml:space="preserve"> Changes in Working Capital </w:t>
            </w:r>
          </w:p>
        </w:tc>
        <w:tc>
          <w:tcPr>
            <w:tcW w:w="773" w:type="pct"/>
            <w:shd w:val="clear" w:color="auto" w:fill="auto"/>
            <w:noWrap/>
            <w:vAlign w:val="bottom"/>
            <w:hideMark/>
          </w:tcPr>
          <w:p w14:paraId="769EE0CC" w14:textId="77777777" w:rsidR="00940A99" w:rsidRPr="005B12AE" w:rsidRDefault="00940A99" w:rsidP="00250DAC">
            <w:pPr>
              <w:spacing w:after="0" w:line="240" w:lineRule="auto"/>
              <w:jc w:val="center"/>
              <w:rPr>
                <w:rFonts w:ascii="Times New Roman" w:hAnsi="Times New Roman"/>
                <w:sz w:val="20"/>
                <w:szCs w:val="20"/>
              </w:rPr>
            </w:pPr>
          </w:p>
        </w:tc>
        <w:tc>
          <w:tcPr>
            <w:tcW w:w="797" w:type="pct"/>
            <w:shd w:val="clear" w:color="auto" w:fill="auto"/>
            <w:noWrap/>
            <w:vAlign w:val="bottom"/>
            <w:hideMark/>
          </w:tcPr>
          <w:p w14:paraId="4822F5AF" w14:textId="77777777" w:rsidR="00940A99" w:rsidRPr="005B12AE" w:rsidRDefault="00940A99" w:rsidP="00250DAC">
            <w:pPr>
              <w:spacing w:after="0" w:line="240" w:lineRule="auto"/>
              <w:jc w:val="center"/>
              <w:rPr>
                <w:rFonts w:ascii="Times New Roman" w:hAnsi="Times New Roman"/>
                <w:sz w:val="20"/>
                <w:szCs w:val="20"/>
              </w:rPr>
            </w:pPr>
          </w:p>
        </w:tc>
        <w:tc>
          <w:tcPr>
            <w:tcW w:w="749" w:type="pct"/>
            <w:shd w:val="clear" w:color="auto" w:fill="auto"/>
            <w:noWrap/>
            <w:vAlign w:val="bottom"/>
            <w:hideMark/>
          </w:tcPr>
          <w:p w14:paraId="003812EB" w14:textId="77777777" w:rsidR="00940A99" w:rsidRPr="005B12AE" w:rsidRDefault="00940A99" w:rsidP="00250DAC">
            <w:pPr>
              <w:spacing w:after="0" w:line="240" w:lineRule="auto"/>
              <w:jc w:val="center"/>
              <w:rPr>
                <w:rFonts w:ascii="Times New Roman" w:hAnsi="Times New Roman"/>
                <w:sz w:val="20"/>
                <w:szCs w:val="20"/>
              </w:rPr>
            </w:pPr>
          </w:p>
        </w:tc>
      </w:tr>
      <w:tr w:rsidR="00940A99" w:rsidRPr="005B12AE" w14:paraId="2F809138" w14:textId="77777777" w:rsidTr="00250DAC">
        <w:trPr>
          <w:trHeight w:val="20"/>
        </w:trPr>
        <w:tc>
          <w:tcPr>
            <w:tcW w:w="2681" w:type="pct"/>
            <w:shd w:val="clear" w:color="auto" w:fill="auto"/>
            <w:noWrap/>
            <w:vAlign w:val="bottom"/>
            <w:hideMark/>
          </w:tcPr>
          <w:p w14:paraId="1884904B"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 xml:space="preserve">   (Increase)/Decrease in Trade Receivables </w:t>
            </w:r>
          </w:p>
        </w:tc>
        <w:tc>
          <w:tcPr>
            <w:tcW w:w="773" w:type="pct"/>
            <w:shd w:val="clear" w:color="auto" w:fill="auto"/>
            <w:noWrap/>
            <w:vAlign w:val="bottom"/>
            <w:hideMark/>
          </w:tcPr>
          <w:p w14:paraId="30A03BFE"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(101.85)</w:t>
            </w:r>
          </w:p>
        </w:tc>
        <w:tc>
          <w:tcPr>
            <w:tcW w:w="797" w:type="pct"/>
            <w:shd w:val="clear" w:color="auto" w:fill="auto"/>
            <w:noWrap/>
            <w:vAlign w:val="bottom"/>
            <w:hideMark/>
          </w:tcPr>
          <w:p w14:paraId="0E2A400D"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910.37</w:t>
            </w:r>
          </w:p>
        </w:tc>
        <w:tc>
          <w:tcPr>
            <w:tcW w:w="749" w:type="pct"/>
            <w:shd w:val="clear" w:color="auto" w:fill="auto"/>
            <w:noWrap/>
            <w:vAlign w:val="bottom"/>
            <w:hideMark/>
          </w:tcPr>
          <w:p w14:paraId="05E7FA78"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(845.84)</w:t>
            </w:r>
          </w:p>
        </w:tc>
      </w:tr>
      <w:tr w:rsidR="00940A99" w:rsidRPr="005B12AE" w14:paraId="19DA7BB7" w14:textId="77777777" w:rsidTr="00250DAC">
        <w:trPr>
          <w:trHeight w:val="20"/>
        </w:trPr>
        <w:tc>
          <w:tcPr>
            <w:tcW w:w="2681" w:type="pct"/>
            <w:shd w:val="clear" w:color="auto" w:fill="auto"/>
            <w:noWrap/>
            <w:vAlign w:val="bottom"/>
            <w:hideMark/>
          </w:tcPr>
          <w:p w14:paraId="724FD557"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 xml:space="preserve">   (Increase)/Decrease in Inventory </w:t>
            </w:r>
          </w:p>
        </w:tc>
        <w:tc>
          <w:tcPr>
            <w:tcW w:w="773" w:type="pct"/>
            <w:shd w:val="clear" w:color="auto" w:fill="auto"/>
            <w:noWrap/>
            <w:vAlign w:val="bottom"/>
            <w:hideMark/>
          </w:tcPr>
          <w:p w14:paraId="7BB85171"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(2,811.77)</w:t>
            </w:r>
          </w:p>
        </w:tc>
        <w:tc>
          <w:tcPr>
            <w:tcW w:w="797" w:type="pct"/>
            <w:shd w:val="clear" w:color="auto" w:fill="auto"/>
            <w:noWrap/>
            <w:vAlign w:val="bottom"/>
            <w:hideMark/>
          </w:tcPr>
          <w:p w14:paraId="691954C2"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(901.50)</w:t>
            </w:r>
          </w:p>
        </w:tc>
        <w:tc>
          <w:tcPr>
            <w:tcW w:w="749" w:type="pct"/>
            <w:shd w:val="clear" w:color="auto" w:fill="auto"/>
            <w:noWrap/>
            <w:vAlign w:val="bottom"/>
            <w:hideMark/>
          </w:tcPr>
          <w:p w14:paraId="0BD5884C"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(210.17)</w:t>
            </w:r>
          </w:p>
        </w:tc>
      </w:tr>
      <w:tr w:rsidR="00940A99" w:rsidRPr="005B12AE" w14:paraId="7EF20194" w14:textId="77777777" w:rsidTr="00250DAC">
        <w:trPr>
          <w:trHeight w:val="20"/>
        </w:trPr>
        <w:tc>
          <w:tcPr>
            <w:tcW w:w="2681" w:type="pct"/>
            <w:shd w:val="clear" w:color="auto" w:fill="auto"/>
            <w:noWrap/>
            <w:vAlign w:val="bottom"/>
            <w:hideMark/>
          </w:tcPr>
          <w:p w14:paraId="6DC8E67B"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 xml:space="preserve">   (Increase)/Decrease in Short Term Loans &amp; Advances </w:t>
            </w:r>
          </w:p>
        </w:tc>
        <w:tc>
          <w:tcPr>
            <w:tcW w:w="773" w:type="pct"/>
            <w:shd w:val="clear" w:color="auto" w:fill="auto"/>
            <w:noWrap/>
            <w:vAlign w:val="bottom"/>
            <w:hideMark/>
          </w:tcPr>
          <w:p w14:paraId="4F3EF611"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(2,511.12)</w:t>
            </w:r>
          </w:p>
        </w:tc>
        <w:tc>
          <w:tcPr>
            <w:tcW w:w="797" w:type="pct"/>
            <w:shd w:val="clear" w:color="auto" w:fill="auto"/>
            <w:noWrap/>
            <w:vAlign w:val="bottom"/>
            <w:hideMark/>
          </w:tcPr>
          <w:p w14:paraId="3D72CDE8"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153.84</w:t>
            </w:r>
          </w:p>
        </w:tc>
        <w:tc>
          <w:tcPr>
            <w:tcW w:w="749" w:type="pct"/>
            <w:shd w:val="clear" w:color="auto" w:fill="auto"/>
            <w:noWrap/>
            <w:vAlign w:val="bottom"/>
            <w:hideMark/>
          </w:tcPr>
          <w:p w14:paraId="78520E0D"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105.84</w:t>
            </w:r>
          </w:p>
        </w:tc>
      </w:tr>
      <w:tr w:rsidR="00940A99" w:rsidRPr="005B12AE" w14:paraId="32D9CF28" w14:textId="77777777" w:rsidTr="00250DAC">
        <w:trPr>
          <w:trHeight w:val="20"/>
        </w:trPr>
        <w:tc>
          <w:tcPr>
            <w:tcW w:w="2681" w:type="pct"/>
            <w:shd w:val="clear" w:color="auto" w:fill="auto"/>
            <w:noWrap/>
            <w:vAlign w:val="bottom"/>
            <w:hideMark/>
          </w:tcPr>
          <w:p w14:paraId="25338A85"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 xml:space="preserve">   (Increase)/Decrease in Other Current Assets  </w:t>
            </w:r>
          </w:p>
        </w:tc>
        <w:tc>
          <w:tcPr>
            <w:tcW w:w="773" w:type="pct"/>
            <w:shd w:val="clear" w:color="auto" w:fill="auto"/>
            <w:noWrap/>
            <w:vAlign w:val="bottom"/>
            <w:hideMark/>
          </w:tcPr>
          <w:p w14:paraId="4555DE9E"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(39.80)</w:t>
            </w:r>
          </w:p>
        </w:tc>
        <w:tc>
          <w:tcPr>
            <w:tcW w:w="797" w:type="pct"/>
            <w:shd w:val="clear" w:color="auto" w:fill="auto"/>
            <w:noWrap/>
            <w:vAlign w:val="bottom"/>
            <w:hideMark/>
          </w:tcPr>
          <w:p w14:paraId="0A4A261F"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53.21</w:t>
            </w:r>
          </w:p>
        </w:tc>
        <w:tc>
          <w:tcPr>
            <w:tcW w:w="749" w:type="pct"/>
            <w:shd w:val="clear" w:color="auto" w:fill="auto"/>
            <w:noWrap/>
            <w:vAlign w:val="bottom"/>
            <w:hideMark/>
          </w:tcPr>
          <w:p w14:paraId="59A53B1E"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0.37</w:t>
            </w:r>
          </w:p>
        </w:tc>
      </w:tr>
      <w:tr w:rsidR="00940A99" w:rsidRPr="005B12AE" w14:paraId="1EAA8AB8" w14:textId="77777777" w:rsidTr="00250DAC">
        <w:trPr>
          <w:trHeight w:val="20"/>
        </w:trPr>
        <w:tc>
          <w:tcPr>
            <w:tcW w:w="2681" w:type="pct"/>
            <w:shd w:val="clear" w:color="auto" w:fill="auto"/>
            <w:noWrap/>
            <w:vAlign w:val="bottom"/>
            <w:hideMark/>
          </w:tcPr>
          <w:p w14:paraId="68ED0287"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 xml:space="preserve">   Increase/(Decrease) in Trade Payables </w:t>
            </w:r>
          </w:p>
        </w:tc>
        <w:tc>
          <w:tcPr>
            <w:tcW w:w="773" w:type="pct"/>
            <w:shd w:val="clear" w:color="auto" w:fill="auto"/>
            <w:noWrap/>
            <w:vAlign w:val="bottom"/>
            <w:hideMark/>
          </w:tcPr>
          <w:p w14:paraId="6786DC71"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(8.99)</w:t>
            </w:r>
          </w:p>
        </w:tc>
        <w:tc>
          <w:tcPr>
            <w:tcW w:w="797" w:type="pct"/>
            <w:shd w:val="clear" w:color="auto" w:fill="auto"/>
            <w:noWrap/>
            <w:vAlign w:val="bottom"/>
            <w:hideMark/>
          </w:tcPr>
          <w:p w14:paraId="3BC3CE5E"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(204.69)</w:t>
            </w:r>
          </w:p>
        </w:tc>
        <w:tc>
          <w:tcPr>
            <w:tcW w:w="749" w:type="pct"/>
            <w:shd w:val="clear" w:color="auto" w:fill="auto"/>
            <w:noWrap/>
            <w:vAlign w:val="bottom"/>
            <w:hideMark/>
          </w:tcPr>
          <w:p w14:paraId="61D0B487"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904.39</w:t>
            </w:r>
          </w:p>
        </w:tc>
      </w:tr>
      <w:tr w:rsidR="00940A99" w:rsidRPr="005B12AE" w14:paraId="4CA209F7" w14:textId="77777777" w:rsidTr="00250DAC">
        <w:trPr>
          <w:trHeight w:val="20"/>
        </w:trPr>
        <w:tc>
          <w:tcPr>
            <w:tcW w:w="2681" w:type="pct"/>
            <w:shd w:val="clear" w:color="auto" w:fill="auto"/>
            <w:noWrap/>
            <w:vAlign w:val="bottom"/>
            <w:hideMark/>
          </w:tcPr>
          <w:p w14:paraId="0F9868FF"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 xml:space="preserve">   Increase/(Decrease) in Other Current Liabilities </w:t>
            </w:r>
          </w:p>
        </w:tc>
        <w:tc>
          <w:tcPr>
            <w:tcW w:w="773" w:type="pct"/>
            <w:shd w:val="clear" w:color="auto" w:fill="auto"/>
            <w:noWrap/>
            <w:vAlign w:val="bottom"/>
            <w:hideMark/>
          </w:tcPr>
          <w:p w14:paraId="6500C24C"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484.28</w:t>
            </w:r>
          </w:p>
        </w:tc>
        <w:tc>
          <w:tcPr>
            <w:tcW w:w="797" w:type="pct"/>
            <w:shd w:val="clear" w:color="auto" w:fill="auto"/>
            <w:noWrap/>
            <w:vAlign w:val="bottom"/>
            <w:hideMark/>
          </w:tcPr>
          <w:p w14:paraId="692AB845"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(80.49)</w:t>
            </w:r>
          </w:p>
        </w:tc>
        <w:tc>
          <w:tcPr>
            <w:tcW w:w="749" w:type="pct"/>
            <w:shd w:val="clear" w:color="auto" w:fill="auto"/>
            <w:noWrap/>
            <w:vAlign w:val="bottom"/>
            <w:hideMark/>
          </w:tcPr>
          <w:p w14:paraId="26EC2707"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193.36</w:t>
            </w:r>
          </w:p>
        </w:tc>
      </w:tr>
      <w:tr w:rsidR="00940A99" w:rsidRPr="005B12AE" w14:paraId="63C6F8C6" w14:textId="77777777" w:rsidTr="00250DAC">
        <w:trPr>
          <w:trHeight w:val="20"/>
        </w:trPr>
        <w:tc>
          <w:tcPr>
            <w:tcW w:w="2681" w:type="pct"/>
            <w:shd w:val="clear" w:color="auto" w:fill="auto"/>
            <w:noWrap/>
            <w:vAlign w:val="bottom"/>
            <w:hideMark/>
          </w:tcPr>
          <w:p w14:paraId="7F651B13"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 xml:space="preserve">   Increase/(Decrease) in Short Term Provisions, etc </w:t>
            </w:r>
          </w:p>
        </w:tc>
        <w:tc>
          <w:tcPr>
            <w:tcW w:w="773" w:type="pct"/>
            <w:shd w:val="clear" w:color="auto" w:fill="auto"/>
            <w:noWrap/>
            <w:vAlign w:val="bottom"/>
            <w:hideMark/>
          </w:tcPr>
          <w:p w14:paraId="64CC99A4"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155.44</w:t>
            </w:r>
          </w:p>
        </w:tc>
        <w:tc>
          <w:tcPr>
            <w:tcW w:w="797" w:type="pct"/>
            <w:shd w:val="clear" w:color="auto" w:fill="auto"/>
            <w:noWrap/>
            <w:vAlign w:val="bottom"/>
            <w:hideMark/>
          </w:tcPr>
          <w:p w14:paraId="182F1E98"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99.51</w:t>
            </w:r>
          </w:p>
        </w:tc>
        <w:tc>
          <w:tcPr>
            <w:tcW w:w="749" w:type="pct"/>
            <w:shd w:val="clear" w:color="auto" w:fill="auto"/>
            <w:noWrap/>
            <w:vAlign w:val="bottom"/>
            <w:hideMark/>
          </w:tcPr>
          <w:p w14:paraId="62B563EA"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940A99" w:rsidRPr="005B12AE" w14:paraId="6F106058" w14:textId="77777777" w:rsidTr="00250DAC">
        <w:trPr>
          <w:trHeight w:val="20"/>
        </w:trPr>
        <w:tc>
          <w:tcPr>
            <w:tcW w:w="2681" w:type="pct"/>
            <w:shd w:val="clear" w:color="auto" w:fill="auto"/>
            <w:noWrap/>
            <w:vAlign w:val="bottom"/>
            <w:hideMark/>
          </w:tcPr>
          <w:p w14:paraId="6342ABEE"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b/>
                <w:bCs/>
                <w:sz w:val="20"/>
                <w:szCs w:val="20"/>
              </w:rPr>
              <w:t xml:space="preserve"> Cash generated from operations </w:t>
            </w:r>
          </w:p>
        </w:tc>
        <w:tc>
          <w:tcPr>
            <w:tcW w:w="773" w:type="pct"/>
            <w:shd w:val="clear" w:color="auto" w:fill="auto"/>
            <w:noWrap/>
            <w:vAlign w:val="bottom"/>
            <w:hideMark/>
          </w:tcPr>
          <w:p w14:paraId="0FCAA7CD"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(2,824.41)</w:t>
            </w:r>
          </w:p>
        </w:tc>
        <w:tc>
          <w:tcPr>
            <w:tcW w:w="797" w:type="pct"/>
            <w:shd w:val="clear" w:color="auto" w:fill="auto"/>
            <w:noWrap/>
            <w:vAlign w:val="bottom"/>
            <w:hideMark/>
          </w:tcPr>
          <w:p w14:paraId="6C940AE2"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1,057.56</w:t>
            </w:r>
          </w:p>
        </w:tc>
        <w:tc>
          <w:tcPr>
            <w:tcW w:w="749" w:type="pct"/>
            <w:shd w:val="clear" w:color="auto" w:fill="auto"/>
            <w:noWrap/>
            <w:vAlign w:val="bottom"/>
            <w:hideMark/>
          </w:tcPr>
          <w:p w14:paraId="06726EC6"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648.72</w:t>
            </w:r>
          </w:p>
        </w:tc>
      </w:tr>
      <w:tr w:rsidR="00940A99" w:rsidRPr="005B12AE" w14:paraId="6D358EA0" w14:textId="77777777" w:rsidTr="00250DAC">
        <w:trPr>
          <w:trHeight w:val="20"/>
        </w:trPr>
        <w:tc>
          <w:tcPr>
            <w:tcW w:w="2681" w:type="pct"/>
            <w:shd w:val="clear" w:color="auto" w:fill="auto"/>
            <w:noWrap/>
            <w:vAlign w:val="bottom"/>
            <w:hideMark/>
          </w:tcPr>
          <w:p w14:paraId="624CF592"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 xml:space="preserve"> Net cash flow from operating activities                                    </w:t>
            </w:r>
            <w:r w:rsidRPr="005B12AE">
              <w:rPr>
                <w:rFonts w:ascii="Times New Roman" w:hAnsi="Times New Roman"/>
                <w:b/>
                <w:bCs/>
                <w:sz w:val="20"/>
                <w:szCs w:val="20"/>
              </w:rPr>
              <w:t xml:space="preserve"> A</w:t>
            </w:r>
            <w:r w:rsidRPr="005B12AE">
              <w:rPr>
                <w:rFonts w:ascii="Times New Roman" w:hAnsi="Times New Roman"/>
                <w:sz w:val="20"/>
                <w:szCs w:val="20"/>
              </w:rPr>
              <w:t xml:space="preserve"> </w:t>
            </w:r>
          </w:p>
        </w:tc>
        <w:tc>
          <w:tcPr>
            <w:tcW w:w="773" w:type="pct"/>
            <w:shd w:val="clear" w:color="auto" w:fill="auto"/>
            <w:noWrap/>
            <w:vAlign w:val="bottom"/>
            <w:hideMark/>
          </w:tcPr>
          <w:p w14:paraId="3D75C791"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(2,824.41)</w:t>
            </w:r>
          </w:p>
        </w:tc>
        <w:tc>
          <w:tcPr>
            <w:tcW w:w="797" w:type="pct"/>
            <w:shd w:val="clear" w:color="auto" w:fill="auto"/>
            <w:noWrap/>
            <w:vAlign w:val="bottom"/>
            <w:hideMark/>
          </w:tcPr>
          <w:p w14:paraId="6A75E43C"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1,057.56</w:t>
            </w:r>
          </w:p>
        </w:tc>
        <w:tc>
          <w:tcPr>
            <w:tcW w:w="749" w:type="pct"/>
            <w:shd w:val="clear" w:color="auto" w:fill="auto"/>
            <w:noWrap/>
            <w:vAlign w:val="bottom"/>
            <w:hideMark/>
          </w:tcPr>
          <w:p w14:paraId="47C1B47A"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648.72</w:t>
            </w:r>
          </w:p>
        </w:tc>
      </w:tr>
      <w:tr w:rsidR="00940A99" w:rsidRPr="005B12AE" w14:paraId="57BD1D97" w14:textId="77777777" w:rsidTr="00250DAC">
        <w:trPr>
          <w:trHeight w:val="20"/>
        </w:trPr>
        <w:tc>
          <w:tcPr>
            <w:tcW w:w="2681" w:type="pct"/>
            <w:shd w:val="clear" w:color="auto" w:fill="auto"/>
            <w:noWrap/>
            <w:vAlign w:val="bottom"/>
            <w:hideMark/>
          </w:tcPr>
          <w:p w14:paraId="3AAD75F4"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 xml:space="preserve"> B) Cash Flow From Investing Activities: </w:t>
            </w:r>
          </w:p>
        </w:tc>
        <w:tc>
          <w:tcPr>
            <w:tcW w:w="773" w:type="pct"/>
            <w:shd w:val="clear" w:color="auto" w:fill="auto"/>
            <w:noWrap/>
            <w:vAlign w:val="bottom"/>
            <w:hideMark/>
          </w:tcPr>
          <w:p w14:paraId="2B92E5C9" w14:textId="77777777" w:rsidR="00940A99" w:rsidRPr="005B12AE" w:rsidRDefault="00940A99" w:rsidP="00250DAC">
            <w:pPr>
              <w:spacing w:after="0" w:line="240" w:lineRule="auto"/>
              <w:jc w:val="center"/>
              <w:rPr>
                <w:rFonts w:ascii="Times New Roman" w:hAnsi="Times New Roman"/>
                <w:sz w:val="20"/>
                <w:szCs w:val="20"/>
              </w:rPr>
            </w:pPr>
          </w:p>
        </w:tc>
        <w:tc>
          <w:tcPr>
            <w:tcW w:w="797" w:type="pct"/>
            <w:shd w:val="clear" w:color="auto" w:fill="auto"/>
            <w:noWrap/>
            <w:vAlign w:val="bottom"/>
            <w:hideMark/>
          </w:tcPr>
          <w:p w14:paraId="3D86292F" w14:textId="77777777" w:rsidR="00940A99" w:rsidRPr="005B12AE" w:rsidRDefault="00940A99" w:rsidP="00250DAC">
            <w:pPr>
              <w:spacing w:after="0" w:line="240" w:lineRule="auto"/>
              <w:jc w:val="center"/>
              <w:rPr>
                <w:rFonts w:ascii="Times New Roman" w:hAnsi="Times New Roman"/>
                <w:sz w:val="20"/>
                <w:szCs w:val="20"/>
              </w:rPr>
            </w:pPr>
          </w:p>
        </w:tc>
        <w:tc>
          <w:tcPr>
            <w:tcW w:w="749" w:type="pct"/>
            <w:shd w:val="clear" w:color="auto" w:fill="auto"/>
            <w:noWrap/>
            <w:vAlign w:val="bottom"/>
            <w:hideMark/>
          </w:tcPr>
          <w:p w14:paraId="5EE6CFC2" w14:textId="77777777" w:rsidR="00940A99" w:rsidRPr="005B12AE" w:rsidRDefault="00940A99" w:rsidP="00250DAC">
            <w:pPr>
              <w:spacing w:after="0" w:line="240" w:lineRule="auto"/>
              <w:jc w:val="center"/>
              <w:rPr>
                <w:rFonts w:ascii="Times New Roman" w:hAnsi="Times New Roman"/>
                <w:sz w:val="20"/>
                <w:szCs w:val="20"/>
              </w:rPr>
            </w:pPr>
          </w:p>
        </w:tc>
      </w:tr>
      <w:tr w:rsidR="00940A99" w:rsidRPr="005B12AE" w14:paraId="534F6C25" w14:textId="77777777" w:rsidTr="00250DAC">
        <w:trPr>
          <w:trHeight w:val="20"/>
        </w:trPr>
        <w:tc>
          <w:tcPr>
            <w:tcW w:w="2681" w:type="pct"/>
            <w:shd w:val="clear" w:color="auto" w:fill="auto"/>
            <w:noWrap/>
            <w:vAlign w:val="bottom"/>
            <w:hideMark/>
          </w:tcPr>
          <w:p w14:paraId="0D251B13"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 xml:space="preserve"> Purchase of Fixed Assets including of CWIP  </w:t>
            </w:r>
          </w:p>
        </w:tc>
        <w:tc>
          <w:tcPr>
            <w:tcW w:w="773" w:type="pct"/>
            <w:shd w:val="clear" w:color="auto" w:fill="auto"/>
            <w:noWrap/>
            <w:vAlign w:val="bottom"/>
            <w:hideMark/>
          </w:tcPr>
          <w:p w14:paraId="638C6CFC"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(139.28)</w:t>
            </w:r>
          </w:p>
        </w:tc>
        <w:tc>
          <w:tcPr>
            <w:tcW w:w="797" w:type="pct"/>
            <w:shd w:val="clear" w:color="auto" w:fill="auto"/>
            <w:noWrap/>
            <w:vAlign w:val="bottom"/>
            <w:hideMark/>
          </w:tcPr>
          <w:p w14:paraId="1D3DEB85"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(235.71)</w:t>
            </w:r>
          </w:p>
        </w:tc>
        <w:tc>
          <w:tcPr>
            <w:tcW w:w="749" w:type="pct"/>
            <w:shd w:val="clear" w:color="auto" w:fill="auto"/>
            <w:noWrap/>
            <w:vAlign w:val="bottom"/>
            <w:hideMark/>
          </w:tcPr>
          <w:p w14:paraId="6B811D56"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(160.65)</w:t>
            </w:r>
          </w:p>
        </w:tc>
      </w:tr>
      <w:tr w:rsidR="00940A99" w:rsidRPr="005B12AE" w14:paraId="5E0ADE49" w14:textId="77777777" w:rsidTr="00250DAC">
        <w:trPr>
          <w:trHeight w:val="20"/>
        </w:trPr>
        <w:tc>
          <w:tcPr>
            <w:tcW w:w="2681" w:type="pct"/>
            <w:shd w:val="clear" w:color="auto" w:fill="auto"/>
            <w:noWrap/>
            <w:vAlign w:val="bottom"/>
            <w:hideMark/>
          </w:tcPr>
          <w:p w14:paraId="28F4A3AE"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 xml:space="preserve"> Sale of Fixed Assets  </w:t>
            </w:r>
          </w:p>
        </w:tc>
        <w:tc>
          <w:tcPr>
            <w:tcW w:w="773" w:type="pct"/>
            <w:shd w:val="clear" w:color="auto" w:fill="auto"/>
            <w:noWrap/>
            <w:vAlign w:val="bottom"/>
            <w:hideMark/>
          </w:tcPr>
          <w:p w14:paraId="4C3814B0"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30.63</w:t>
            </w:r>
          </w:p>
        </w:tc>
        <w:tc>
          <w:tcPr>
            <w:tcW w:w="797" w:type="pct"/>
            <w:shd w:val="clear" w:color="auto" w:fill="auto"/>
            <w:noWrap/>
            <w:vAlign w:val="bottom"/>
            <w:hideMark/>
          </w:tcPr>
          <w:p w14:paraId="1E7E92E9"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6.30</w:t>
            </w:r>
          </w:p>
        </w:tc>
        <w:tc>
          <w:tcPr>
            <w:tcW w:w="749" w:type="pct"/>
            <w:shd w:val="clear" w:color="auto" w:fill="auto"/>
            <w:noWrap/>
            <w:vAlign w:val="bottom"/>
            <w:hideMark/>
          </w:tcPr>
          <w:p w14:paraId="78D6A87E"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0.61</w:t>
            </w:r>
          </w:p>
        </w:tc>
      </w:tr>
      <w:tr w:rsidR="00940A99" w:rsidRPr="005B12AE" w14:paraId="5B891B49" w14:textId="77777777" w:rsidTr="00250DAC">
        <w:trPr>
          <w:trHeight w:val="20"/>
        </w:trPr>
        <w:tc>
          <w:tcPr>
            <w:tcW w:w="2681" w:type="pct"/>
            <w:shd w:val="clear" w:color="auto" w:fill="auto"/>
            <w:noWrap/>
            <w:vAlign w:val="bottom"/>
            <w:hideMark/>
          </w:tcPr>
          <w:p w14:paraId="61FE81BD"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 xml:space="preserve"> Investment made/Sold during the year </w:t>
            </w:r>
          </w:p>
        </w:tc>
        <w:tc>
          <w:tcPr>
            <w:tcW w:w="773" w:type="pct"/>
            <w:shd w:val="clear" w:color="auto" w:fill="auto"/>
            <w:noWrap/>
            <w:vAlign w:val="bottom"/>
            <w:hideMark/>
          </w:tcPr>
          <w:p w14:paraId="7BC42D16"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(19.22)</w:t>
            </w:r>
          </w:p>
        </w:tc>
        <w:tc>
          <w:tcPr>
            <w:tcW w:w="797" w:type="pct"/>
            <w:shd w:val="clear" w:color="auto" w:fill="auto"/>
            <w:noWrap/>
            <w:vAlign w:val="bottom"/>
            <w:hideMark/>
          </w:tcPr>
          <w:p w14:paraId="3002A7BE"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(6.25)</w:t>
            </w:r>
          </w:p>
        </w:tc>
        <w:tc>
          <w:tcPr>
            <w:tcW w:w="749" w:type="pct"/>
            <w:shd w:val="clear" w:color="auto" w:fill="auto"/>
            <w:noWrap/>
            <w:vAlign w:val="bottom"/>
            <w:hideMark/>
          </w:tcPr>
          <w:p w14:paraId="70E9FC83"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940A99" w:rsidRPr="005B12AE" w14:paraId="294BE00D" w14:textId="77777777" w:rsidTr="00250DAC">
        <w:trPr>
          <w:trHeight w:val="20"/>
        </w:trPr>
        <w:tc>
          <w:tcPr>
            <w:tcW w:w="2681" w:type="pct"/>
            <w:shd w:val="clear" w:color="auto" w:fill="auto"/>
            <w:noWrap/>
            <w:vAlign w:val="bottom"/>
            <w:hideMark/>
          </w:tcPr>
          <w:p w14:paraId="35E8965D"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 xml:space="preserve"> Dividend Income </w:t>
            </w:r>
          </w:p>
        </w:tc>
        <w:tc>
          <w:tcPr>
            <w:tcW w:w="773" w:type="pct"/>
            <w:shd w:val="clear" w:color="auto" w:fill="auto"/>
            <w:noWrap/>
            <w:vAlign w:val="bottom"/>
            <w:hideMark/>
          </w:tcPr>
          <w:p w14:paraId="36DD3545"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97" w:type="pct"/>
            <w:shd w:val="clear" w:color="auto" w:fill="auto"/>
            <w:noWrap/>
            <w:vAlign w:val="bottom"/>
            <w:hideMark/>
          </w:tcPr>
          <w:p w14:paraId="5F51567B"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49" w:type="pct"/>
            <w:shd w:val="clear" w:color="auto" w:fill="auto"/>
            <w:noWrap/>
            <w:vAlign w:val="bottom"/>
            <w:hideMark/>
          </w:tcPr>
          <w:p w14:paraId="4E6F9249"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940A99" w:rsidRPr="005B12AE" w14:paraId="195BE395" w14:textId="77777777" w:rsidTr="00250DAC">
        <w:trPr>
          <w:trHeight w:val="20"/>
        </w:trPr>
        <w:tc>
          <w:tcPr>
            <w:tcW w:w="2681" w:type="pct"/>
            <w:shd w:val="clear" w:color="auto" w:fill="auto"/>
            <w:noWrap/>
            <w:vAlign w:val="bottom"/>
            <w:hideMark/>
          </w:tcPr>
          <w:p w14:paraId="5EDF0AEB"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 xml:space="preserve"> Interest Income </w:t>
            </w:r>
          </w:p>
        </w:tc>
        <w:tc>
          <w:tcPr>
            <w:tcW w:w="773" w:type="pct"/>
            <w:shd w:val="clear" w:color="auto" w:fill="auto"/>
            <w:noWrap/>
            <w:vAlign w:val="bottom"/>
            <w:hideMark/>
          </w:tcPr>
          <w:p w14:paraId="2DB2BC0E"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97" w:type="pct"/>
            <w:shd w:val="clear" w:color="auto" w:fill="auto"/>
            <w:noWrap/>
            <w:vAlign w:val="bottom"/>
            <w:hideMark/>
          </w:tcPr>
          <w:p w14:paraId="3CE52107"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49" w:type="pct"/>
            <w:shd w:val="clear" w:color="auto" w:fill="auto"/>
            <w:noWrap/>
            <w:vAlign w:val="bottom"/>
            <w:hideMark/>
          </w:tcPr>
          <w:p w14:paraId="3D30EF5F"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940A99" w:rsidRPr="005B12AE" w14:paraId="053AF588" w14:textId="77777777" w:rsidTr="00250DAC">
        <w:trPr>
          <w:trHeight w:val="20"/>
        </w:trPr>
        <w:tc>
          <w:tcPr>
            <w:tcW w:w="2681" w:type="pct"/>
            <w:shd w:val="clear" w:color="auto" w:fill="auto"/>
            <w:noWrap/>
            <w:vAlign w:val="bottom"/>
            <w:hideMark/>
          </w:tcPr>
          <w:p w14:paraId="75369D53"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 xml:space="preserve"> Net cash flow from investing activities                                     </w:t>
            </w:r>
            <w:r w:rsidRPr="005B12AE">
              <w:rPr>
                <w:rFonts w:ascii="Times New Roman" w:hAnsi="Times New Roman"/>
                <w:b/>
                <w:bCs/>
                <w:sz w:val="20"/>
                <w:szCs w:val="20"/>
              </w:rPr>
              <w:t xml:space="preserve"> B</w:t>
            </w:r>
            <w:r w:rsidRPr="005B12AE">
              <w:rPr>
                <w:rFonts w:ascii="Times New Roman" w:hAnsi="Times New Roman"/>
                <w:sz w:val="20"/>
                <w:szCs w:val="20"/>
              </w:rPr>
              <w:t xml:space="preserve"> </w:t>
            </w:r>
          </w:p>
        </w:tc>
        <w:tc>
          <w:tcPr>
            <w:tcW w:w="773" w:type="pct"/>
            <w:shd w:val="clear" w:color="auto" w:fill="auto"/>
            <w:noWrap/>
            <w:vAlign w:val="bottom"/>
            <w:hideMark/>
          </w:tcPr>
          <w:p w14:paraId="4B3E5CF5"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(127.88)</w:t>
            </w:r>
          </w:p>
        </w:tc>
        <w:tc>
          <w:tcPr>
            <w:tcW w:w="797" w:type="pct"/>
            <w:shd w:val="clear" w:color="auto" w:fill="auto"/>
            <w:noWrap/>
            <w:vAlign w:val="bottom"/>
            <w:hideMark/>
          </w:tcPr>
          <w:p w14:paraId="3280FABF"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(235.67)</w:t>
            </w:r>
          </w:p>
        </w:tc>
        <w:tc>
          <w:tcPr>
            <w:tcW w:w="749" w:type="pct"/>
            <w:shd w:val="clear" w:color="auto" w:fill="auto"/>
            <w:noWrap/>
            <w:vAlign w:val="bottom"/>
            <w:hideMark/>
          </w:tcPr>
          <w:p w14:paraId="19203FC4"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(160.05)</w:t>
            </w:r>
          </w:p>
        </w:tc>
      </w:tr>
      <w:tr w:rsidR="00940A99" w:rsidRPr="005B12AE" w14:paraId="1AD4A948" w14:textId="77777777" w:rsidTr="00250DAC">
        <w:trPr>
          <w:trHeight w:val="20"/>
        </w:trPr>
        <w:tc>
          <w:tcPr>
            <w:tcW w:w="2681" w:type="pct"/>
            <w:shd w:val="clear" w:color="auto" w:fill="auto"/>
            <w:noWrap/>
            <w:vAlign w:val="bottom"/>
            <w:hideMark/>
          </w:tcPr>
          <w:p w14:paraId="41EA2624"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 xml:space="preserve"> C) Cash Flow From Financing Activities: </w:t>
            </w:r>
          </w:p>
        </w:tc>
        <w:tc>
          <w:tcPr>
            <w:tcW w:w="773" w:type="pct"/>
            <w:shd w:val="clear" w:color="auto" w:fill="auto"/>
            <w:noWrap/>
            <w:vAlign w:val="bottom"/>
            <w:hideMark/>
          </w:tcPr>
          <w:p w14:paraId="4EC614B6" w14:textId="77777777" w:rsidR="00940A99" w:rsidRPr="005B12AE" w:rsidRDefault="00940A99" w:rsidP="00250DAC">
            <w:pPr>
              <w:spacing w:after="0" w:line="240" w:lineRule="auto"/>
              <w:jc w:val="center"/>
              <w:rPr>
                <w:rFonts w:ascii="Times New Roman" w:hAnsi="Times New Roman"/>
                <w:sz w:val="20"/>
                <w:szCs w:val="20"/>
              </w:rPr>
            </w:pPr>
          </w:p>
        </w:tc>
        <w:tc>
          <w:tcPr>
            <w:tcW w:w="797" w:type="pct"/>
            <w:shd w:val="clear" w:color="auto" w:fill="auto"/>
            <w:noWrap/>
            <w:vAlign w:val="bottom"/>
            <w:hideMark/>
          </w:tcPr>
          <w:p w14:paraId="20155798" w14:textId="77777777" w:rsidR="00940A99" w:rsidRPr="005B12AE" w:rsidRDefault="00940A99" w:rsidP="00250DAC">
            <w:pPr>
              <w:spacing w:after="0" w:line="240" w:lineRule="auto"/>
              <w:jc w:val="center"/>
              <w:rPr>
                <w:rFonts w:ascii="Times New Roman" w:hAnsi="Times New Roman"/>
                <w:sz w:val="20"/>
                <w:szCs w:val="20"/>
              </w:rPr>
            </w:pPr>
          </w:p>
        </w:tc>
        <w:tc>
          <w:tcPr>
            <w:tcW w:w="749" w:type="pct"/>
            <w:shd w:val="clear" w:color="auto" w:fill="auto"/>
            <w:noWrap/>
            <w:vAlign w:val="bottom"/>
            <w:hideMark/>
          </w:tcPr>
          <w:p w14:paraId="6DCE3503" w14:textId="77777777" w:rsidR="00940A99" w:rsidRPr="005B12AE" w:rsidRDefault="00940A99" w:rsidP="00250DAC">
            <w:pPr>
              <w:spacing w:after="0" w:line="240" w:lineRule="auto"/>
              <w:jc w:val="center"/>
              <w:rPr>
                <w:rFonts w:ascii="Times New Roman" w:hAnsi="Times New Roman"/>
                <w:sz w:val="20"/>
                <w:szCs w:val="20"/>
              </w:rPr>
            </w:pPr>
          </w:p>
        </w:tc>
      </w:tr>
      <w:tr w:rsidR="00940A99" w:rsidRPr="005B12AE" w14:paraId="487C5AF9" w14:textId="77777777" w:rsidTr="00250DAC">
        <w:trPr>
          <w:trHeight w:val="20"/>
        </w:trPr>
        <w:tc>
          <w:tcPr>
            <w:tcW w:w="2681" w:type="pct"/>
            <w:shd w:val="clear" w:color="auto" w:fill="auto"/>
            <w:noWrap/>
            <w:vAlign w:val="bottom"/>
            <w:hideMark/>
          </w:tcPr>
          <w:p w14:paraId="6B6EE5ED"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 xml:space="preserve"> Proceeds from Issue of Share Capital </w:t>
            </w:r>
          </w:p>
        </w:tc>
        <w:tc>
          <w:tcPr>
            <w:tcW w:w="773" w:type="pct"/>
            <w:shd w:val="clear" w:color="auto" w:fill="auto"/>
            <w:noWrap/>
            <w:vAlign w:val="bottom"/>
            <w:hideMark/>
          </w:tcPr>
          <w:p w14:paraId="1877ACD6" w14:textId="77777777" w:rsidR="00940A99" w:rsidRPr="005B12AE" w:rsidRDefault="00940A99" w:rsidP="00250DAC">
            <w:pPr>
              <w:spacing w:after="0" w:line="240" w:lineRule="auto"/>
              <w:jc w:val="center"/>
              <w:rPr>
                <w:rFonts w:ascii="Times New Roman" w:hAnsi="Times New Roman"/>
                <w:sz w:val="20"/>
                <w:szCs w:val="20"/>
              </w:rPr>
            </w:pPr>
          </w:p>
        </w:tc>
        <w:tc>
          <w:tcPr>
            <w:tcW w:w="797" w:type="pct"/>
            <w:shd w:val="clear" w:color="auto" w:fill="auto"/>
            <w:noWrap/>
            <w:vAlign w:val="bottom"/>
            <w:hideMark/>
          </w:tcPr>
          <w:p w14:paraId="422E4B69" w14:textId="77777777" w:rsidR="00940A99" w:rsidRPr="005B12AE" w:rsidRDefault="00940A99" w:rsidP="00250DAC">
            <w:pPr>
              <w:spacing w:after="0" w:line="240" w:lineRule="auto"/>
              <w:jc w:val="center"/>
              <w:rPr>
                <w:rFonts w:ascii="Times New Roman" w:hAnsi="Times New Roman"/>
                <w:sz w:val="20"/>
                <w:szCs w:val="20"/>
              </w:rPr>
            </w:pPr>
          </w:p>
        </w:tc>
        <w:tc>
          <w:tcPr>
            <w:tcW w:w="749" w:type="pct"/>
            <w:shd w:val="clear" w:color="auto" w:fill="auto"/>
            <w:noWrap/>
            <w:vAlign w:val="bottom"/>
            <w:hideMark/>
          </w:tcPr>
          <w:p w14:paraId="050FC16E" w14:textId="77777777" w:rsidR="00940A99" w:rsidRPr="005B12AE" w:rsidRDefault="00940A99" w:rsidP="00250DAC">
            <w:pPr>
              <w:spacing w:after="0" w:line="240" w:lineRule="auto"/>
              <w:jc w:val="center"/>
              <w:rPr>
                <w:rFonts w:ascii="Times New Roman" w:hAnsi="Times New Roman"/>
                <w:sz w:val="20"/>
                <w:szCs w:val="20"/>
              </w:rPr>
            </w:pPr>
          </w:p>
        </w:tc>
      </w:tr>
      <w:tr w:rsidR="00940A99" w:rsidRPr="005B12AE" w14:paraId="022FAC8C" w14:textId="77777777" w:rsidTr="00250DAC">
        <w:trPr>
          <w:trHeight w:val="20"/>
        </w:trPr>
        <w:tc>
          <w:tcPr>
            <w:tcW w:w="2681" w:type="pct"/>
            <w:shd w:val="clear" w:color="auto" w:fill="auto"/>
            <w:noWrap/>
            <w:vAlign w:val="bottom"/>
            <w:hideMark/>
          </w:tcPr>
          <w:p w14:paraId="65BADD45"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 xml:space="preserve"> Increase/(Decrease) in Short Term Borrowings </w:t>
            </w:r>
          </w:p>
        </w:tc>
        <w:tc>
          <w:tcPr>
            <w:tcW w:w="773" w:type="pct"/>
            <w:shd w:val="clear" w:color="auto" w:fill="auto"/>
            <w:noWrap/>
            <w:vAlign w:val="bottom"/>
            <w:hideMark/>
          </w:tcPr>
          <w:p w14:paraId="4CC77F99"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3,452.17</w:t>
            </w:r>
          </w:p>
        </w:tc>
        <w:tc>
          <w:tcPr>
            <w:tcW w:w="797" w:type="pct"/>
            <w:shd w:val="clear" w:color="auto" w:fill="auto"/>
            <w:noWrap/>
            <w:vAlign w:val="bottom"/>
            <w:hideMark/>
          </w:tcPr>
          <w:p w14:paraId="1C770120"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1,205.64</w:t>
            </w:r>
          </w:p>
        </w:tc>
        <w:tc>
          <w:tcPr>
            <w:tcW w:w="749" w:type="pct"/>
            <w:shd w:val="clear" w:color="auto" w:fill="auto"/>
            <w:noWrap/>
            <w:vAlign w:val="bottom"/>
            <w:hideMark/>
          </w:tcPr>
          <w:p w14:paraId="1C72FBB9"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224.76</w:t>
            </w:r>
          </w:p>
        </w:tc>
      </w:tr>
      <w:tr w:rsidR="00940A99" w:rsidRPr="005B12AE" w14:paraId="684DCE4A" w14:textId="77777777" w:rsidTr="00250DAC">
        <w:trPr>
          <w:trHeight w:val="20"/>
        </w:trPr>
        <w:tc>
          <w:tcPr>
            <w:tcW w:w="2681" w:type="pct"/>
            <w:shd w:val="clear" w:color="auto" w:fill="auto"/>
            <w:noWrap/>
            <w:vAlign w:val="bottom"/>
            <w:hideMark/>
          </w:tcPr>
          <w:p w14:paraId="79FB1D25"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 xml:space="preserve"> Increase/(Decrease) in Long Term Borrowings </w:t>
            </w:r>
          </w:p>
        </w:tc>
        <w:tc>
          <w:tcPr>
            <w:tcW w:w="773" w:type="pct"/>
            <w:shd w:val="clear" w:color="auto" w:fill="auto"/>
            <w:noWrap/>
            <w:vAlign w:val="bottom"/>
            <w:hideMark/>
          </w:tcPr>
          <w:p w14:paraId="319A0DAE"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433.76</w:t>
            </w:r>
          </w:p>
        </w:tc>
        <w:tc>
          <w:tcPr>
            <w:tcW w:w="797" w:type="pct"/>
            <w:shd w:val="clear" w:color="auto" w:fill="auto"/>
            <w:noWrap/>
            <w:vAlign w:val="bottom"/>
            <w:hideMark/>
          </w:tcPr>
          <w:p w14:paraId="7E0B92B7"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(1,316.34)</w:t>
            </w:r>
          </w:p>
        </w:tc>
        <w:tc>
          <w:tcPr>
            <w:tcW w:w="749" w:type="pct"/>
            <w:shd w:val="clear" w:color="auto" w:fill="auto"/>
            <w:noWrap/>
            <w:vAlign w:val="bottom"/>
            <w:hideMark/>
          </w:tcPr>
          <w:p w14:paraId="1D0873C3"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(322.57)</w:t>
            </w:r>
          </w:p>
        </w:tc>
      </w:tr>
      <w:tr w:rsidR="00940A99" w:rsidRPr="005B12AE" w14:paraId="3ED68950" w14:textId="77777777" w:rsidTr="00250DAC">
        <w:trPr>
          <w:trHeight w:val="20"/>
        </w:trPr>
        <w:tc>
          <w:tcPr>
            <w:tcW w:w="2681" w:type="pct"/>
            <w:shd w:val="clear" w:color="auto" w:fill="auto"/>
            <w:noWrap/>
            <w:vAlign w:val="bottom"/>
            <w:hideMark/>
          </w:tcPr>
          <w:p w14:paraId="0BEFCD8B"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 xml:space="preserve"> Interest Paid </w:t>
            </w:r>
          </w:p>
        </w:tc>
        <w:tc>
          <w:tcPr>
            <w:tcW w:w="773" w:type="pct"/>
            <w:shd w:val="clear" w:color="auto" w:fill="auto"/>
            <w:noWrap/>
            <w:vAlign w:val="bottom"/>
            <w:hideMark/>
          </w:tcPr>
          <w:p w14:paraId="09AD0D1D"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(442.82)</w:t>
            </w:r>
          </w:p>
        </w:tc>
        <w:tc>
          <w:tcPr>
            <w:tcW w:w="797" w:type="pct"/>
            <w:shd w:val="clear" w:color="auto" w:fill="auto"/>
            <w:noWrap/>
            <w:vAlign w:val="bottom"/>
            <w:hideMark/>
          </w:tcPr>
          <w:p w14:paraId="4EDCCD2D"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(245.24)</w:t>
            </w:r>
          </w:p>
        </w:tc>
        <w:tc>
          <w:tcPr>
            <w:tcW w:w="749" w:type="pct"/>
            <w:shd w:val="clear" w:color="auto" w:fill="auto"/>
            <w:noWrap/>
            <w:vAlign w:val="bottom"/>
            <w:hideMark/>
          </w:tcPr>
          <w:p w14:paraId="07B827AB"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(153.89)</w:t>
            </w:r>
          </w:p>
        </w:tc>
      </w:tr>
      <w:tr w:rsidR="00940A99" w:rsidRPr="005B12AE" w14:paraId="6504E46B" w14:textId="77777777" w:rsidTr="00250DAC">
        <w:trPr>
          <w:trHeight w:val="20"/>
        </w:trPr>
        <w:tc>
          <w:tcPr>
            <w:tcW w:w="2681" w:type="pct"/>
            <w:shd w:val="clear" w:color="auto" w:fill="auto"/>
            <w:noWrap/>
            <w:vAlign w:val="bottom"/>
            <w:hideMark/>
          </w:tcPr>
          <w:p w14:paraId="475E92C3"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 xml:space="preserve"> Income tax expenses </w:t>
            </w:r>
          </w:p>
        </w:tc>
        <w:tc>
          <w:tcPr>
            <w:tcW w:w="773" w:type="pct"/>
            <w:shd w:val="clear" w:color="auto" w:fill="auto"/>
            <w:noWrap/>
            <w:vAlign w:val="bottom"/>
            <w:hideMark/>
          </w:tcPr>
          <w:p w14:paraId="12310E5F"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(628.16)</w:t>
            </w:r>
          </w:p>
        </w:tc>
        <w:tc>
          <w:tcPr>
            <w:tcW w:w="797" w:type="pct"/>
            <w:shd w:val="clear" w:color="auto" w:fill="auto"/>
            <w:noWrap/>
            <w:vAlign w:val="bottom"/>
            <w:hideMark/>
          </w:tcPr>
          <w:p w14:paraId="7F010995"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(294.55)</w:t>
            </w:r>
          </w:p>
        </w:tc>
        <w:tc>
          <w:tcPr>
            <w:tcW w:w="749" w:type="pct"/>
            <w:shd w:val="clear" w:color="auto" w:fill="auto"/>
            <w:noWrap/>
            <w:vAlign w:val="bottom"/>
            <w:hideMark/>
          </w:tcPr>
          <w:p w14:paraId="65D9865F"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(48.56)</w:t>
            </w:r>
          </w:p>
        </w:tc>
      </w:tr>
      <w:tr w:rsidR="00940A99" w:rsidRPr="005B12AE" w14:paraId="3D1BB048" w14:textId="77777777" w:rsidTr="00250DAC">
        <w:trPr>
          <w:trHeight w:val="20"/>
        </w:trPr>
        <w:tc>
          <w:tcPr>
            <w:tcW w:w="2681" w:type="pct"/>
            <w:shd w:val="clear" w:color="auto" w:fill="auto"/>
            <w:noWrap/>
            <w:vAlign w:val="bottom"/>
            <w:hideMark/>
          </w:tcPr>
          <w:p w14:paraId="07BBCB05"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 xml:space="preserve"> Increase/(Decrease) in Long Term Loans and Advances  </w:t>
            </w:r>
          </w:p>
        </w:tc>
        <w:tc>
          <w:tcPr>
            <w:tcW w:w="773" w:type="pct"/>
            <w:shd w:val="clear" w:color="auto" w:fill="auto"/>
            <w:noWrap/>
            <w:vAlign w:val="bottom"/>
            <w:hideMark/>
          </w:tcPr>
          <w:p w14:paraId="4A6832BE"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97" w:type="pct"/>
            <w:shd w:val="clear" w:color="auto" w:fill="auto"/>
            <w:noWrap/>
            <w:vAlign w:val="bottom"/>
            <w:hideMark/>
          </w:tcPr>
          <w:p w14:paraId="1A6F7825"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49" w:type="pct"/>
            <w:shd w:val="clear" w:color="auto" w:fill="auto"/>
            <w:noWrap/>
            <w:vAlign w:val="bottom"/>
            <w:hideMark/>
          </w:tcPr>
          <w:p w14:paraId="4160E41B"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(282.00)</w:t>
            </w:r>
          </w:p>
        </w:tc>
      </w:tr>
      <w:tr w:rsidR="00940A99" w:rsidRPr="005B12AE" w14:paraId="47421061" w14:textId="77777777" w:rsidTr="00250DAC">
        <w:trPr>
          <w:trHeight w:val="20"/>
        </w:trPr>
        <w:tc>
          <w:tcPr>
            <w:tcW w:w="2681" w:type="pct"/>
            <w:shd w:val="clear" w:color="auto" w:fill="auto"/>
            <w:noWrap/>
            <w:vAlign w:val="bottom"/>
            <w:hideMark/>
          </w:tcPr>
          <w:p w14:paraId="6A469724"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 xml:space="preserve"> Net cash flow from financing activities                                     </w:t>
            </w:r>
            <w:r w:rsidRPr="005B12AE">
              <w:rPr>
                <w:rFonts w:ascii="Times New Roman" w:hAnsi="Times New Roman"/>
                <w:b/>
                <w:bCs/>
                <w:sz w:val="20"/>
                <w:szCs w:val="20"/>
              </w:rPr>
              <w:t>C</w:t>
            </w:r>
            <w:r w:rsidRPr="005B12AE">
              <w:rPr>
                <w:rFonts w:ascii="Times New Roman" w:hAnsi="Times New Roman"/>
                <w:sz w:val="20"/>
                <w:szCs w:val="20"/>
              </w:rPr>
              <w:t xml:space="preserve"> </w:t>
            </w:r>
          </w:p>
        </w:tc>
        <w:tc>
          <w:tcPr>
            <w:tcW w:w="773" w:type="pct"/>
            <w:shd w:val="clear" w:color="auto" w:fill="auto"/>
            <w:noWrap/>
            <w:vAlign w:val="bottom"/>
            <w:hideMark/>
          </w:tcPr>
          <w:p w14:paraId="312129E1"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2,814.94</w:t>
            </w:r>
          </w:p>
        </w:tc>
        <w:tc>
          <w:tcPr>
            <w:tcW w:w="797" w:type="pct"/>
            <w:shd w:val="clear" w:color="auto" w:fill="auto"/>
            <w:noWrap/>
            <w:vAlign w:val="bottom"/>
            <w:hideMark/>
          </w:tcPr>
          <w:p w14:paraId="6050627F"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(650.49)</w:t>
            </w:r>
          </w:p>
        </w:tc>
        <w:tc>
          <w:tcPr>
            <w:tcW w:w="749" w:type="pct"/>
            <w:shd w:val="clear" w:color="auto" w:fill="auto"/>
            <w:noWrap/>
            <w:vAlign w:val="bottom"/>
            <w:hideMark/>
          </w:tcPr>
          <w:p w14:paraId="06DF801A"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(582.26)</w:t>
            </w:r>
          </w:p>
        </w:tc>
      </w:tr>
      <w:tr w:rsidR="00940A99" w:rsidRPr="005B12AE" w14:paraId="7EB88C27" w14:textId="77777777" w:rsidTr="00250DAC">
        <w:trPr>
          <w:trHeight w:val="20"/>
        </w:trPr>
        <w:tc>
          <w:tcPr>
            <w:tcW w:w="2681" w:type="pct"/>
            <w:shd w:val="clear" w:color="auto" w:fill="auto"/>
            <w:noWrap/>
            <w:vAlign w:val="bottom"/>
            <w:hideMark/>
          </w:tcPr>
          <w:p w14:paraId="4C7B3626"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 xml:space="preserve"> Net Increase/(Decrease) In Cash &amp; Cash Equivalents      </w:t>
            </w:r>
            <w:r w:rsidRPr="005B12AE">
              <w:rPr>
                <w:rFonts w:ascii="Times New Roman" w:hAnsi="Times New Roman"/>
                <w:b/>
                <w:bCs/>
                <w:sz w:val="20"/>
                <w:szCs w:val="20"/>
              </w:rPr>
              <w:t>(A+B+C)</w:t>
            </w:r>
            <w:r w:rsidRPr="005B12AE">
              <w:rPr>
                <w:rFonts w:ascii="Times New Roman" w:hAnsi="Times New Roman"/>
                <w:sz w:val="20"/>
                <w:szCs w:val="20"/>
              </w:rPr>
              <w:t xml:space="preserve"> </w:t>
            </w:r>
          </w:p>
        </w:tc>
        <w:tc>
          <w:tcPr>
            <w:tcW w:w="773" w:type="pct"/>
            <w:shd w:val="clear" w:color="auto" w:fill="auto"/>
            <w:noWrap/>
            <w:vAlign w:val="bottom"/>
            <w:hideMark/>
          </w:tcPr>
          <w:p w14:paraId="2DD932A3"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(137.32)</w:t>
            </w:r>
          </w:p>
        </w:tc>
        <w:tc>
          <w:tcPr>
            <w:tcW w:w="797" w:type="pct"/>
            <w:shd w:val="clear" w:color="auto" w:fill="auto"/>
            <w:noWrap/>
            <w:vAlign w:val="bottom"/>
            <w:hideMark/>
          </w:tcPr>
          <w:p w14:paraId="00786119"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171.42</w:t>
            </w:r>
          </w:p>
        </w:tc>
        <w:tc>
          <w:tcPr>
            <w:tcW w:w="749" w:type="pct"/>
            <w:shd w:val="clear" w:color="auto" w:fill="auto"/>
            <w:noWrap/>
            <w:vAlign w:val="bottom"/>
            <w:hideMark/>
          </w:tcPr>
          <w:p w14:paraId="2531B34E"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(93.59)</w:t>
            </w:r>
          </w:p>
        </w:tc>
      </w:tr>
      <w:tr w:rsidR="00940A99" w:rsidRPr="005B12AE" w14:paraId="1E13401F" w14:textId="77777777" w:rsidTr="00250DAC">
        <w:trPr>
          <w:trHeight w:val="20"/>
        </w:trPr>
        <w:tc>
          <w:tcPr>
            <w:tcW w:w="2681" w:type="pct"/>
            <w:shd w:val="clear" w:color="auto" w:fill="auto"/>
            <w:noWrap/>
            <w:vAlign w:val="bottom"/>
            <w:hideMark/>
          </w:tcPr>
          <w:p w14:paraId="08E5B131"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 xml:space="preserve"> Cash equivalents at the beginning of the year </w:t>
            </w:r>
          </w:p>
        </w:tc>
        <w:tc>
          <w:tcPr>
            <w:tcW w:w="773" w:type="pct"/>
            <w:shd w:val="clear" w:color="auto" w:fill="auto"/>
            <w:noWrap/>
            <w:vAlign w:val="bottom"/>
            <w:hideMark/>
          </w:tcPr>
          <w:p w14:paraId="6ECB47CA"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209.65</w:t>
            </w:r>
          </w:p>
        </w:tc>
        <w:tc>
          <w:tcPr>
            <w:tcW w:w="797" w:type="pct"/>
            <w:shd w:val="clear" w:color="auto" w:fill="auto"/>
            <w:noWrap/>
            <w:vAlign w:val="bottom"/>
            <w:hideMark/>
          </w:tcPr>
          <w:p w14:paraId="078E09EC"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38.24</w:t>
            </w:r>
          </w:p>
        </w:tc>
        <w:tc>
          <w:tcPr>
            <w:tcW w:w="749" w:type="pct"/>
            <w:shd w:val="clear" w:color="auto" w:fill="auto"/>
            <w:noWrap/>
            <w:vAlign w:val="bottom"/>
            <w:hideMark/>
          </w:tcPr>
          <w:p w14:paraId="6F1F47D2"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102.45</w:t>
            </w:r>
          </w:p>
        </w:tc>
      </w:tr>
      <w:tr w:rsidR="00940A99" w:rsidRPr="005B12AE" w14:paraId="0BADE49B" w14:textId="77777777" w:rsidTr="00250DAC">
        <w:trPr>
          <w:trHeight w:val="20"/>
        </w:trPr>
        <w:tc>
          <w:tcPr>
            <w:tcW w:w="2681" w:type="pct"/>
            <w:shd w:val="clear" w:color="auto" w:fill="auto"/>
            <w:noWrap/>
            <w:vAlign w:val="bottom"/>
            <w:hideMark/>
          </w:tcPr>
          <w:p w14:paraId="638FB06A" w14:textId="77777777" w:rsidR="00940A99" w:rsidRPr="005B12AE" w:rsidRDefault="00940A99" w:rsidP="00250DAC">
            <w:pPr>
              <w:spacing w:after="0" w:line="240" w:lineRule="auto"/>
              <w:rPr>
                <w:rFonts w:ascii="Times New Roman" w:hAnsi="Times New Roman"/>
                <w:b/>
                <w:bCs/>
                <w:sz w:val="20"/>
                <w:szCs w:val="20"/>
              </w:rPr>
            </w:pPr>
            <w:r w:rsidRPr="005B12AE">
              <w:rPr>
                <w:rFonts w:ascii="Times New Roman" w:hAnsi="Times New Roman"/>
                <w:b/>
                <w:bCs/>
                <w:sz w:val="20"/>
                <w:szCs w:val="20"/>
              </w:rPr>
              <w:t xml:space="preserve"> Cash equivalents at the end of the year </w:t>
            </w:r>
          </w:p>
        </w:tc>
        <w:tc>
          <w:tcPr>
            <w:tcW w:w="773" w:type="pct"/>
            <w:shd w:val="clear" w:color="auto" w:fill="auto"/>
            <w:noWrap/>
            <w:vAlign w:val="bottom"/>
            <w:hideMark/>
          </w:tcPr>
          <w:p w14:paraId="1A6FB378"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72.32</w:t>
            </w:r>
          </w:p>
        </w:tc>
        <w:tc>
          <w:tcPr>
            <w:tcW w:w="797" w:type="pct"/>
            <w:shd w:val="clear" w:color="auto" w:fill="auto"/>
            <w:noWrap/>
            <w:vAlign w:val="bottom"/>
            <w:hideMark/>
          </w:tcPr>
          <w:p w14:paraId="4A44B7B8"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209.65</w:t>
            </w:r>
          </w:p>
        </w:tc>
        <w:tc>
          <w:tcPr>
            <w:tcW w:w="749" w:type="pct"/>
            <w:shd w:val="clear" w:color="auto" w:fill="auto"/>
            <w:noWrap/>
            <w:vAlign w:val="bottom"/>
            <w:hideMark/>
          </w:tcPr>
          <w:p w14:paraId="4948DF5E"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8.86</w:t>
            </w:r>
          </w:p>
        </w:tc>
      </w:tr>
    </w:tbl>
    <w:p w14:paraId="2927BE6A" w14:textId="77777777" w:rsidR="00940A99" w:rsidRPr="005B12AE" w:rsidRDefault="00940A99" w:rsidP="00940A99">
      <w:pPr>
        <w:spacing w:after="0"/>
        <w:rPr>
          <w:rFonts w:ascii="Times New Roman" w:hAnsi="Times New Roman"/>
          <w:b/>
          <w:bCs/>
          <w:sz w:val="20"/>
          <w:szCs w:val="20"/>
        </w:rPr>
      </w:pPr>
      <w:r w:rsidRPr="005B12AE">
        <w:rPr>
          <w:rFonts w:ascii="Times New Roman" w:hAnsi="Times New Roman"/>
          <w:b/>
          <w:bCs/>
          <w:sz w:val="20"/>
          <w:szCs w:val="20"/>
        </w:rPr>
        <w:t>Notes:-</w:t>
      </w:r>
    </w:p>
    <w:tbl>
      <w:tblPr>
        <w:tblW w:w="10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5043"/>
        <w:gridCol w:w="1619"/>
        <w:gridCol w:w="1709"/>
        <w:gridCol w:w="1612"/>
      </w:tblGrid>
      <w:tr w:rsidR="00940A99" w:rsidRPr="005B12AE" w14:paraId="2F1E354C" w14:textId="77777777" w:rsidTr="00250DAC">
        <w:trPr>
          <w:trHeight w:val="21"/>
        </w:trPr>
        <w:tc>
          <w:tcPr>
            <w:tcW w:w="5578" w:type="dxa"/>
            <w:gridSpan w:val="2"/>
            <w:shd w:val="clear" w:color="auto" w:fill="auto"/>
            <w:noWrap/>
            <w:vAlign w:val="bottom"/>
          </w:tcPr>
          <w:p w14:paraId="74C0B382"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1.</w:t>
            </w:r>
          </w:p>
        </w:tc>
        <w:tc>
          <w:tcPr>
            <w:tcW w:w="1619" w:type="dxa"/>
            <w:shd w:val="clear" w:color="auto" w:fill="auto"/>
            <w:noWrap/>
            <w:vAlign w:val="bottom"/>
            <w:hideMark/>
          </w:tcPr>
          <w:p w14:paraId="1FB37B9D"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31-03-23</w:t>
            </w:r>
          </w:p>
        </w:tc>
        <w:tc>
          <w:tcPr>
            <w:tcW w:w="1709" w:type="dxa"/>
            <w:shd w:val="clear" w:color="auto" w:fill="auto"/>
            <w:noWrap/>
            <w:vAlign w:val="bottom"/>
            <w:hideMark/>
          </w:tcPr>
          <w:p w14:paraId="4399F367"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31-03-22</w:t>
            </w:r>
          </w:p>
        </w:tc>
        <w:tc>
          <w:tcPr>
            <w:tcW w:w="1612" w:type="dxa"/>
            <w:shd w:val="clear" w:color="auto" w:fill="auto"/>
            <w:noWrap/>
            <w:vAlign w:val="bottom"/>
            <w:hideMark/>
          </w:tcPr>
          <w:p w14:paraId="041B8732"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31-03-21</w:t>
            </w:r>
          </w:p>
        </w:tc>
      </w:tr>
      <w:tr w:rsidR="00940A99" w:rsidRPr="005B12AE" w14:paraId="03CB0A2B" w14:textId="77777777" w:rsidTr="00250DAC">
        <w:trPr>
          <w:trHeight w:val="21"/>
        </w:trPr>
        <w:tc>
          <w:tcPr>
            <w:tcW w:w="535" w:type="dxa"/>
            <w:vMerge w:val="restart"/>
            <w:shd w:val="clear" w:color="auto" w:fill="auto"/>
            <w:noWrap/>
            <w:vAlign w:val="bottom"/>
            <w:hideMark/>
          </w:tcPr>
          <w:p w14:paraId="34EF7DED"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 </w:t>
            </w:r>
          </w:p>
          <w:p w14:paraId="62BEB45A"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 </w:t>
            </w:r>
          </w:p>
          <w:p w14:paraId="4919D6EF"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 </w:t>
            </w:r>
          </w:p>
          <w:p w14:paraId="7F575A6C"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5043" w:type="dxa"/>
            <w:shd w:val="clear" w:color="auto" w:fill="auto"/>
            <w:vAlign w:val="bottom"/>
          </w:tcPr>
          <w:p w14:paraId="5534EC00"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Component of Cash and Cash equivalents</w:t>
            </w:r>
          </w:p>
        </w:tc>
        <w:tc>
          <w:tcPr>
            <w:tcW w:w="1619" w:type="dxa"/>
            <w:shd w:val="clear" w:color="auto" w:fill="auto"/>
            <w:noWrap/>
            <w:vAlign w:val="bottom"/>
            <w:hideMark/>
          </w:tcPr>
          <w:p w14:paraId="6A4EA51F" w14:textId="77777777" w:rsidR="00940A99" w:rsidRPr="005B12AE" w:rsidRDefault="00940A99" w:rsidP="00250DAC">
            <w:pPr>
              <w:spacing w:after="0" w:line="240" w:lineRule="auto"/>
              <w:jc w:val="center"/>
              <w:rPr>
                <w:rFonts w:ascii="Times New Roman" w:hAnsi="Times New Roman"/>
                <w:sz w:val="20"/>
                <w:szCs w:val="20"/>
              </w:rPr>
            </w:pPr>
          </w:p>
        </w:tc>
        <w:tc>
          <w:tcPr>
            <w:tcW w:w="1709" w:type="dxa"/>
            <w:shd w:val="clear" w:color="auto" w:fill="auto"/>
            <w:noWrap/>
            <w:vAlign w:val="bottom"/>
            <w:hideMark/>
          </w:tcPr>
          <w:p w14:paraId="66219065" w14:textId="77777777" w:rsidR="00940A99" w:rsidRPr="005B12AE" w:rsidRDefault="00940A99" w:rsidP="00250DAC">
            <w:pPr>
              <w:spacing w:after="0" w:line="240" w:lineRule="auto"/>
              <w:jc w:val="center"/>
              <w:rPr>
                <w:rFonts w:ascii="Times New Roman" w:hAnsi="Times New Roman"/>
                <w:sz w:val="20"/>
                <w:szCs w:val="20"/>
              </w:rPr>
            </w:pPr>
          </w:p>
        </w:tc>
        <w:tc>
          <w:tcPr>
            <w:tcW w:w="1612" w:type="dxa"/>
            <w:shd w:val="clear" w:color="auto" w:fill="auto"/>
            <w:noWrap/>
            <w:vAlign w:val="bottom"/>
            <w:hideMark/>
          </w:tcPr>
          <w:p w14:paraId="30AD4F61" w14:textId="77777777" w:rsidR="00940A99" w:rsidRPr="005B12AE" w:rsidRDefault="00940A99" w:rsidP="00250DAC">
            <w:pPr>
              <w:spacing w:after="0" w:line="240" w:lineRule="auto"/>
              <w:jc w:val="center"/>
              <w:rPr>
                <w:rFonts w:ascii="Times New Roman" w:hAnsi="Times New Roman"/>
                <w:sz w:val="20"/>
                <w:szCs w:val="20"/>
              </w:rPr>
            </w:pPr>
          </w:p>
        </w:tc>
      </w:tr>
      <w:tr w:rsidR="00940A99" w:rsidRPr="005B12AE" w14:paraId="031917B8" w14:textId="77777777" w:rsidTr="00250DAC">
        <w:trPr>
          <w:trHeight w:val="21"/>
        </w:trPr>
        <w:tc>
          <w:tcPr>
            <w:tcW w:w="535" w:type="dxa"/>
            <w:vMerge/>
            <w:shd w:val="clear" w:color="auto" w:fill="auto"/>
            <w:noWrap/>
            <w:vAlign w:val="bottom"/>
            <w:hideMark/>
          </w:tcPr>
          <w:p w14:paraId="1F51C381" w14:textId="77777777" w:rsidR="00940A99" w:rsidRPr="005B12AE" w:rsidRDefault="00940A99" w:rsidP="00250DAC">
            <w:pPr>
              <w:spacing w:after="0" w:line="240" w:lineRule="auto"/>
              <w:rPr>
                <w:rFonts w:ascii="Times New Roman" w:hAnsi="Times New Roman"/>
                <w:sz w:val="20"/>
                <w:szCs w:val="20"/>
              </w:rPr>
            </w:pPr>
          </w:p>
        </w:tc>
        <w:tc>
          <w:tcPr>
            <w:tcW w:w="5043" w:type="dxa"/>
            <w:shd w:val="clear" w:color="auto" w:fill="auto"/>
            <w:noWrap/>
            <w:vAlign w:val="bottom"/>
            <w:hideMark/>
          </w:tcPr>
          <w:p w14:paraId="1EC5E1F7"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 xml:space="preserve"> Cash on hand </w:t>
            </w:r>
          </w:p>
        </w:tc>
        <w:tc>
          <w:tcPr>
            <w:tcW w:w="1619" w:type="dxa"/>
            <w:shd w:val="clear" w:color="auto" w:fill="auto"/>
            <w:noWrap/>
            <w:vAlign w:val="bottom"/>
            <w:hideMark/>
          </w:tcPr>
          <w:p w14:paraId="287A79C1"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5.31</w:t>
            </w:r>
          </w:p>
        </w:tc>
        <w:tc>
          <w:tcPr>
            <w:tcW w:w="1709" w:type="dxa"/>
            <w:shd w:val="clear" w:color="auto" w:fill="auto"/>
            <w:noWrap/>
            <w:vAlign w:val="bottom"/>
            <w:hideMark/>
          </w:tcPr>
          <w:p w14:paraId="7D9D9D5A"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12.09</w:t>
            </w:r>
          </w:p>
        </w:tc>
        <w:tc>
          <w:tcPr>
            <w:tcW w:w="1612" w:type="dxa"/>
            <w:shd w:val="clear" w:color="auto" w:fill="auto"/>
            <w:noWrap/>
            <w:vAlign w:val="bottom"/>
            <w:hideMark/>
          </w:tcPr>
          <w:p w14:paraId="22AA8766"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38.15</w:t>
            </w:r>
          </w:p>
        </w:tc>
      </w:tr>
      <w:tr w:rsidR="00940A99" w:rsidRPr="005B12AE" w14:paraId="67119423" w14:textId="77777777" w:rsidTr="00250DAC">
        <w:trPr>
          <w:trHeight w:val="21"/>
        </w:trPr>
        <w:tc>
          <w:tcPr>
            <w:tcW w:w="535" w:type="dxa"/>
            <w:vMerge/>
            <w:shd w:val="clear" w:color="auto" w:fill="auto"/>
            <w:noWrap/>
            <w:vAlign w:val="bottom"/>
            <w:hideMark/>
          </w:tcPr>
          <w:p w14:paraId="74AFA224" w14:textId="77777777" w:rsidR="00940A99" w:rsidRPr="005B12AE" w:rsidRDefault="00940A99" w:rsidP="00250DAC">
            <w:pPr>
              <w:spacing w:after="0" w:line="240" w:lineRule="auto"/>
              <w:rPr>
                <w:rFonts w:ascii="Times New Roman" w:hAnsi="Times New Roman"/>
                <w:sz w:val="20"/>
                <w:szCs w:val="20"/>
              </w:rPr>
            </w:pPr>
          </w:p>
        </w:tc>
        <w:tc>
          <w:tcPr>
            <w:tcW w:w="5043" w:type="dxa"/>
            <w:shd w:val="clear" w:color="auto" w:fill="auto"/>
            <w:noWrap/>
            <w:vAlign w:val="bottom"/>
            <w:hideMark/>
          </w:tcPr>
          <w:p w14:paraId="10EC370B"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 xml:space="preserve"> Balance With banks </w:t>
            </w:r>
          </w:p>
        </w:tc>
        <w:tc>
          <w:tcPr>
            <w:tcW w:w="1619" w:type="dxa"/>
            <w:shd w:val="clear" w:color="auto" w:fill="auto"/>
            <w:noWrap/>
            <w:vAlign w:val="bottom"/>
            <w:hideMark/>
          </w:tcPr>
          <w:p w14:paraId="5108640E"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67.01</w:t>
            </w:r>
          </w:p>
        </w:tc>
        <w:tc>
          <w:tcPr>
            <w:tcW w:w="1709" w:type="dxa"/>
            <w:shd w:val="clear" w:color="auto" w:fill="auto"/>
            <w:noWrap/>
            <w:vAlign w:val="bottom"/>
            <w:hideMark/>
          </w:tcPr>
          <w:p w14:paraId="49F35CBB"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197.56</w:t>
            </w:r>
          </w:p>
        </w:tc>
        <w:tc>
          <w:tcPr>
            <w:tcW w:w="1612" w:type="dxa"/>
            <w:shd w:val="clear" w:color="auto" w:fill="auto"/>
            <w:noWrap/>
            <w:vAlign w:val="bottom"/>
            <w:hideMark/>
          </w:tcPr>
          <w:p w14:paraId="18393E23"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0.09</w:t>
            </w:r>
          </w:p>
        </w:tc>
      </w:tr>
      <w:tr w:rsidR="00940A99" w:rsidRPr="005B12AE" w14:paraId="2F26F889" w14:textId="77777777" w:rsidTr="00250DAC">
        <w:trPr>
          <w:trHeight w:val="21"/>
        </w:trPr>
        <w:tc>
          <w:tcPr>
            <w:tcW w:w="535" w:type="dxa"/>
            <w:vMerge/>
            <w:shd w:val="clear" w:color="auto" w:fill="auto"/>
            <w:noWrap/>
            <w:vAlign w:val="bottom"/>
            <w:hideMark/>
          </w:tcPr>
          <w:p w14:paraId="286CF13C" w14:textId="77777777" w:rsidR="00940A99" w:rsidRPr="005B12AE" w:rsidRDefault="00940A99" w:rsidP="00250DAC">
            <w:pPr>
              <w:spacing w:after="0" w:line="240" w:lineRule="auto"/>
              <w:rPr>
                <w:rFonts w:ascii="Times New Roman" w:hAnsi="Times New Roman"/>
                <w:sz w:val="20"/>
                <w:szCs w:val="20"/>
              </w:rPr>
            </w:pPr>
          </w:p>
        </w:tc>
        <w:tc>
          <w:tcPr>
            <w:tcW w:w="5043" w:type="dxa"/>
            <w:shd w:val="clear" w:color="auto" w:fill="auto"/>
            <w:noWrap/>
            <w:vAlign w:val="bottom"/>
            <w:hideMark/>
          </w:tcPr>
          <w:p w14:paraId="766F6190"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 xml:space="preserve"> Other Bank Balance </w:t>
            </w:r>
          </w:p>
        </w:tc>
        <w:tc>
          <w:tcPr>
            <w:tcW w:w="1619" w:type="dxa"/>
            <w:shd w:val="clear" w:color="auto" w:fill="auto"/>
            <w:noWrap/>
            <w:vAlign w:val="bottom"/>
            <w:hideMark/>
          </w:tcPr>
          <w:p w14:paraId="29FEB831"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709" w:type="dxa"/>
            <w:shd w:val="clear" w:color="auto" w:fill="auto"/>
            <w:noWrap/>
            <w:vAlign w:val="bottom"/>
            <w:hideMark/>
          </w:tcPr>
          <w:p w14:paraId="2BECF26A"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612" w:type="dxa"/>
            <w:shd w:val="clear" w:color="auto" w:fill="auto"/>
            <w:noWrap/>
            <w:vAlign w:val="bottom"/>
            <w:hideMark/>
          </w:tcPr>
          <w:p w14:paraId="3C1C9257" w14:textId="77777777" w:rsidR="00940A99" w:rsidRPr="005B12AE" w:rsidRDefault="00940A99"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940A99" w:rsidRPr="005B12AE" w14:paraId="43C5EF3D" w14:textId="77777777" w:rsidTr="00250DAC">
        <w:trPr>
          <w:trHeight w:val="21"/>
        </w:trPr>
        <w:tc>
          <w:tcPr>
            <w:tcW w:w="535" w:type="dxa"/>
            <w:vMerge/>
            <w:shd w:val="clear" w:color="auto" w:fill="auto"/>
            <w:noWrap/>
            <w:vAlign w:val="bottom"/>
            <w:hideMark/>
          </w:tcPr>
          <w:p w14:paraId="05196CF3" w14:textId="77777777" w:rsidR="00940A99" w:rsidRPr="005B12AE" w:rsidRDefault="00940A99" w:rsidP="00250DAC">
            <w:pPr>
              <w:spacing w:after="0" w:line="240" w:lineRule="auto"/>
              <w:rPr>
                <w:rFonts w:ascii="Times New Roman" w:hAnsi="Times New Roman"/>
                <w:sz w:val="20"/>
                <w:szCs w:val="20"/>
              </w:rPr>
            </w:pPr>
          </w:p>
        </w:tc>
        <w:tc>
          <w:tcPr>
            <w:tcW w:w="5043" w:type="dxa"/>
            <w:shd w:val="clear" w:color="auto" w:fill="auto"/>
            <w:noWrap/>
            <w:vAlign w:val="bottom"/>
            <w:hideMark/>
          </w:tcPr>
          <w:p w14:paraId="3B755D33"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b/>
                <w:bCs/>
                <w:sz w:val="20"/>
                <w:szCs w:val="20"/>
              </w:rPr>
              <w:t xml:space="preserve"> Total </w:t>
            </w:r>
          </w:p>
        </w:tc>
        <w:tc>
          <w:tcPr>
            <w:tcW w:w="1619" w:type="dxa"/>
            <w:shd w:val="clear" w:color="auto" w:fill="auto"/>
            <w:noWrap/>
            <w:vAlign w:val="bottom"/>
            <w:hideMark/>
          </w:tcPr>
          <w:p w14:paraId="20854CD7"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72.32</w:t>
            </w:r>
          </w:p>
        </w:tc>
        <w:tc>
          <w:tcPr>
            <w:tcW w:w="1709" w:type="dxa"/>
            <w:shd w:val="clear" w:color="auto" w:fill="auto"/>
            <w:noWrap/>
            <w:vAlign w:val="bottom"/>
            <w:hideMark/>
          </w:tcPr>
          <w:p w14:paraId="34E18961"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209.65</w:t>
            </w:r>
          </w:p>
        </w:tc>
        <w:tc>
          <w:tcPr>
            <w:tcW w:w="1612" w:type="dxa"/>
            <w:shd w:val="clear" w:color="auto" w:fill="auto"/>
            <w:noWrap/>
            <w:vAlign w:val="bottom"/>
            <w:hideMark/>
          </w:tcPr>
          <w:p w14:paraId="4B602DB2" w14:textId="77777777" w:rsidR="00940A99" w:rsidRPr="005B12AE" w:rsidRDefault="00940A99"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38.24</w:t>
            </w:r>
          </w:p>
        </w:tc>
      </w:tr>
      <w:tr w:rsidR="00940A99" w:rsidRPr="005B12AE" w14:paraId="4A5D5981" w14:textId="77777777" w:rsidTr="00250DAC">
        <w:trPr>
          <w:trHeight w:val="21"/>
        </w:trPr>
        <w:tc>
          <w:tcPr>
            <w:tcW w:w="535" w:type="dxa"/>
            <w:shd w:val="clear" w:color="auto" w:fill="auto"/>
            <w:noWrap/>
            <w:vAlign w:val="center"/>
          </w:tcPr>
          <w:p w14:paraId="1B77CE61" w14:textId="77777777" w:rsidR="00940A99" w:rsidRPr="005B12AE" w:rsidRDefault="00940A99" w:rsidP="00250DAC">
            <w:pPr>
              <w:spacing w:after="0" w:line="240" w:lineRule="auto"/>
              <w:rPr>
                <w:rFonts w:ascii="Times New Roman" w:hAnsi="Times New Roman"/>
                <w:sz w:val="20"/>
                <w:szCs w:val="20"/>
              </w:rPr>
            </w:pPr>
            <w:r w:rsidRPr="005B12AE">
              <w:rPr>
                <w:rFonts w:ascii="Times New Roman" w:hAnsi="Times New Roman"/>
                <w:sz w:val="20"/>
                <w:szCs w:val="20"/>
              </w:rPr>
              <w:t>2.</w:t>
            </w:r>
          </w:p>
        </w:tc>
        <w:tc>
          <w:tcPr>
            <w:tcW w:w="9983" w:type="dxa"/>
            <w:gridSpan w:val="4"/>
            <w:shd w:val="clear" w:color="auto" w:fill="auto"/>
            <w:noWrap/>
            <w:vAlign w:val="bottom"/>
          </w:tcPr>
          <w:p w14:paraId="5E352332" w14:textId="77777777" w:rsidR="00940A99" w:rsidRPr="005B12AE" w:rsidRDefault="00940A99" w:rsidP="00250DAC">
            <w:pPr>
              <w:spacing w:after="0" w:line="240" w:lineRule="auto"/>
              <w:jc w:val="both"/>
              <w:rPr>
                <w:rFonts w:ascii="Times New Roman" w:hAnsi="Times New Roman"/>
                <w:sz w:val="20"/>
                <w:szCs w:val="20"/>
              </w:rPr>
            </w:pPr>
            <w:r w:rsidRPr="005B12AE">
              <w:rPr>
                <w:rFonts w:ascii="Times New Roman" w:hAnsi="Times New Roman"/>
                <w:sz w:val="20"/>
                <w:szCs w:val="20"/>
              </w:rPr>
              <w:t>Cash flows are reported using the indirect method, whereby profit before tax is adjusted for the effects of transactions of a non-cash nature and any deferrals or accruals of past or future cash receipts or payments. The cash flows from regular revenue generating, financing and investing activities of the company are segregated.</w:t>
            </w:r>
          </w:p>
          <w:p w14:paraId="37942BB4" w14:textId="77777777" w:rsidR="00940A99" w:rsidRPr="005B12AE" w:rsidRDefault="00940A99" w:rsidP="00250DAC">
            <w:pPr>
              <w:spacing w:after="0" w:line="240" w:lineRule="auto"/>
              <w:jc w:val="both"/>
              <w:rPr>
                <w:rFonts w:ascii="Times New Roman" w:hAnsi="Times New Roman"/>
                <w:sz w:val="20"/>
                <w:szCs w:val="20"/>
              </w:rPr>
            </w:pPr>
            <w:r w:rsidRPr="005B12AE">
              <w:rPr>
                <w:rFonts w:ascii="Times New Roman" w:hAnsi="Times New Roman"/>
                <w:sz w:val="20"/>
                <w:szCs w:val="20"/>
              </w:rPr>
              <w:t>The accompanying summary of significant accounting policies, restated notes to accounts and notes on adjustments for restated summary financial information (Annexure IV) are an integral part of this statement.</w:t>
            </w:r>
          </w:p>
        </w:tc>
      </w:tr>
    </w:tbl>
    <w:p w14:paraId="50B3E449" w14:textId="46A0A521" w:rsidR="008A5BEA" w:rsidRDefault="008A5BEA" w:rsidP="00940A99">
      <w:pPr>
        <w:spacing w:after="0" w:line="240" w:lineRule="auto"/>
        <w:rPr>
          <w:rFonts w:ascii="Times New Roman" w:hAnsi="Times New Roman"/>
          <w:b/>
          <w:bCs/>
          <w:sz w:val="20"/>
          <w:szCs w:val="20"/>
        </w:rPr>
      </w:pPr>
    </w:p>
    <w:p w14:paraId="30AD9F6F" w14:textId="77777777" w:rsidR="00726B2B" w:rsidRDefault="00726B2B" w:rsidP="008A5BEA">
      <w:pPr>
        <w:widowControl w:val="0"/>
        <w:tabs>
          <w:tab w:val="left" w:pos="-90"/>
          <w:tab w:val="left" w:pos="360"/>
          <w:tab w:val="left" w:pos="9300"/>
        </w:tabs>
        <w:spacing w:after="0" w:line="240" w:lineRule="auto"/>
        <w:ind w:firstLine="360"/>
        <w:jc w:val="center"/>
        <w:rPr>
          <w:rFonts w:ascii="Times New Roman" w:hAnsi="Times New Roman"/>
          <w:b/>
          <w:sz w:val="20"/>
          <w:szCs w:val="20"/>
          <w:u w:val="single"/>
        </w:rPr>
      </w:pPr>
    </w:p>
    <w:p w14:paraId="59178BC5" w14:textId="77777777" w:rsidR="00726B2B" w:rsidRDefault="00726B2B" w:rsidP="008A5BEA">
      <w:pPr>
        <w:widowControl w:val="0"/>
        <w:tabs>
          <w:tab w:val="left" w:pos="-90"/>
          <w:tab w:val="left" w:pos="360"/>
          <w:tab w:val="left" w:pos="9300"/>
        </w:tabs>
        <w:spacing w:after="0" w:line="240" w:lineRule="auto"/>
        <w:ind w:firstLine="360"/>
        <w:jc w:val="center"/>
        <w:rPr>
          <w:rFonts w:ascii="Times New Roman" w:hAnsi="Times New Roman"/>
          <w:b/>
          <w:sz w:val="20"/>
          <w:szCs w:val="20"/>
          <w:u w:val="single"/>
        </w:rPr>
      </w:pPr>
    </w:p>
    <w:p w14:paraId="3C8A1BBB" w14:textId="0FCA25C4" w:rsidR="008A5BEA" w:rsidRPr="00712F3C" w:rsidRDefault="008A5BEA" w:rsidP="008A5BEA">
      <w:pPr>
        <w:widowControl w:val="0"/>
        <w:tabs>
          <w:tab w:val="left" w:pos="-90"/>
          <w:tab w:val="left" w:pos="360"/>
          <w:tab w:val="left" w:pos="9300"/>
        </w:tabs>
        <w:spacing w:after="0" w:line="240" w:lineRule="auto"/>
        <w:ind w:firstLine="360"/>
        <w:jc w:val="center"/>
        <w:rPr>
          <w:rFonts w:ascii="Times New Roman" w:hAnsi="Times New Roman"/>
          <w:b/>
          <w:sz w:val="20"/>
          <w:szCs w:val="20"/>
          <w:u w:val="single"/>
        </w:rPr>
      </w:pPr>
      <w:r w:rsidRPr="00712F3C">
        <w:rPr>
          <w:rFonts w:ascii="Times New Roman" w:hAnsi="Times New Roman"/>
          <w:b/>
          <w:sz w:val="20"/>
          <w:szCs w:val="20"/>
          <w:u w:val="single"/>
        </w:rPr>
        <w:lastRenderedPageBreak/>
        <w:t>GENERAL INFORMATION</w:t>
      </w:r>
    </w:p>
    <w:p w14:paraId="1956B106" w14:textId="77777777" w:rsidR="008A5BEA" w:rsidRPr="00712F3C" w:rsidRDefault="008A5BEA" w:rsidP="008A5BEA">
      <w:pPr>
        <w:spacing w:after="0" w:line="240" w:lineRule="auto"/>
        <w:jc w:val="center"/>
        <w:rPr>
          <w:rFonts w:ascii="Times New Roman" w:hAnsi="Times New Roman"/>
          <w:sz w:val="20"/>
          <w:szCs w:val="20"/>
        </w:rPr>
      </w:pPr>
    </w:p>
    <w:p w14:paraId="2DD1EFB9" w14:textId="77777777" w:rsidR="008A5BEA" w:rsidRPr="00712F3C" w:rsidRDefault="008A5BEA" w:rsidP="008A5BEA">
      <w:pPr>
        <w:widowControl w:val="0"/>
        <w:spacing w:after="0" w:line="240" w:lineRule="auto"/>
        <w:ind w:right="-64"/>
        <w:jc w:val="both"/>
        <w:rPr>
          <w:rFonts w:ascii="Times New Roman" w:hAnsi="Times New Roman"/>
          <w:b/>
          <w:sz w:val="20"/>
          <w:szCs w:val="20"/>
        </w:rPr>
      </w:pPr>
      <w:r w:rsidRPr="00712F3C">
        <w:rPr>
          <w:rFonts w:ascii="Times New Roman" w:hAnsi="Times New Roman"/>
          <w:b/>
          <w:sz w:val="20"/>
          <w:szCs w:val="20"/>
        </w:rPr>
        <w:t>Brief Summary:</w:t>
      </w:r>
    </w:p>
    <w:p w14:paraId="69E65D0D" w14:textId="77777777" w:rsidR="008A5BEA" w:rsidRPr="00712F3C" w:rsidRDefault="008A5BEA" w:rsidP="008A5BEA">
      <w:pPr>
        <w:widowControl w:val="0"/>
        <w:spacing w:after="0" w:line="240" w:lineRule="auto"/>
        <w:ind w:left="-90" w:right="-64"/>
        <w:jc w:val="both"/>
        <w:rPr>
          <w:rFonts w:ascii="Times New Roman" w:hAnsi="Times New Roman"/>
          <w:sz w:val="20"/>
          <w:szCs w:val="20"/>
        </w:rPr>
      </w:pPr>
    </w:p>
    <w:p w14:paraId="458CBB8D" w14:textId="77777777" w:rsidR="008A5BEA" w:rsidRPr="00712F3C" w:rsidRDefault="008A5BEA" w:rsidP="008A5BEA">
      <w:pPr>
        <w:widowControl w:val="0"/>
        <w:spacing w:after="0" w:line="240" w:lineRule="auto"/>
        <w:ind w:right="-64"/>
        <w:jc w:val="both"/>
        <w:rPr>
          <w:rFonts w:ascii="Times New Roman" w:hAnsi="Times New Roman"/>
          <w:sz w:val="20"/>
          <w:szCs w:val="20"/>
        </w:rPr>
      </w:pPr>
      <w:r w:rsidRPr="00712F3C">
        <w:rPr>
          <w:rFonts w:ascii="Times New Roman" w:hAnsi="Times New Roman"/>
          <w:sz w:val="20"/>
          <w:szCs w:val="20"/>
        </w:rPr>
        <w:t>Our Company was originally incorporated as a private limited Company under the name of “</w:t>
      </w:r>
      <w:r>
        <w:rPr>
          <w:rFonts w:ascii="Times New Roman" w:hAnsi="Times New Roman"/>
          <w:sz w:val="20"/>
          <w:szCs w:val="20"/>
        </w:rPr>
        <w:t>Siyaram Impex</w:t>
      </w:r>
      <w:r w:rsidRPr="00712F3C">
        <w:rPr>
          <w:rFonts w:ascii="Times New Roman" w:hAnsi="Times New Roman"/>
          <w:sz w:val="20"/>
          <w:szCs w:val="20"/>
        </w:rPr>
        <w:t xml:space="preserve"> Private Limited” on </w:t>
      </w:r>
      <w:r>
        <w:rPr>
          <w:rFonts w:ascii="Times New Roman" w:hAnsi="Times New Roman"/>
          <w:sz w:val="20"/>
          <w:szCs w:val="20"/>
        </w:rPr>
        <w:t>February 12, 2007</w:t>
      </w:r>
      <w:r w:rsidRPr="00712F3C">
        <w:rPr>
          <w:rFonts w:ascii="Times New Roman" w:hAnsi="Times New Roman"/>
          <w:sz w:val="20"/>
          <w:szCs w:val="20"/>
        </w:rPr>
        <w:t xml:space="preserve"> under the provisions of the Companies Act, </w:t>
      </w:r>
      <w:r>
        <w:rPr>
          <w:rFonts w:ascii="Times New Roman" w:hAnsi="Times New Roman"/>
          <w:sz w:val="20"/>
          <w:szCs w:val="20"/>
        </w:rPr>
        <w:t>1956</w:t>
      </w:r>
      <w:r w:rsidRPr="00712F3C">
        <w:rPr>
          <w:rFonts w:ascii="Times New Roman" w:hAnsi="Times New Roman"/>
          <w:sz w:val="20"/>
          <w:szCs w:val="20"/>
        </w:rPr>
        <w:t xml:space="preserve"> with the Registrar of Companies, </w:t>
      </w:r>
      <w:r w:rsidRPr="002A2E99">
        <w:rPr>
          <w:rFonts w:ascii="Times New Roman" w:hAnsi="Times New Roman"/>
          <w:sz w:val="20"/>
          <w:szCs w:val="20"/>
        </w:rPr>
        <w:t>Gujarat, Dadra and Nagar Havelli</w:t>
      </w:r>
      <w:r w:rsidRPr="00712F3C">
        <w:rPr>
          <w:rFonts w:ascii="Times New Roman" w:hAnsi="Times New Roman"/>
          <w:sz w:val="20"/>
          <w:szCs w:val="20"/>
        </w:rPr>
        <w:t xml:space="preserve">, bearing registration number as </w:t>
      </w:r>
      <w:r w:rsidRPr="002A2E99">
        <w:rPr>
          <w:rFonts w:ascii="Times New Roman" w:hAnsi="Times New Roman"/>
          <w:sz w:val="20"/>
          <w:szCs w:val="20"/>
        </w:rPr>
        <w:t>049999</w:t>
      </w:r>
      <w:r w:rsidRPr="00712F3C">
        <w:rPr>
          <w:rFonts w:ascii="Times New Roman" w:hAnsi="Times New Roman"/>
          <w:sz w:val="20"/>
          <w:szCs w:val="20"/>
        </w:rPr>
        <w:t>.</w:t>
      </w:r>
      <w:r>
        <w:rPr>
          <w:rFonts w:ascii="Times New Roman" w:hAnsi="Times New Roman"/>
          <w:sz w:val="20"/>
          <w:szCs w:val="20"/>
        </w:rPr>
        <w:t xml:space="preserve"> </w:t>
      </w:r>
      <w:r w:rsidRPr="002A2E99">
        <w:rPr>
          <w:rFonts w:ascii="Times New Roman" w:hAnsi="Times New Roman"/>
          <w:sz w:val="20"/>
          <w:szCs w:val="20"/>
        </w:rPr>
        <w:t>Further, pursuant to Special Resolution passed by the shareholders at the Extra Ordinary</w:t>
      </w:r>
      <w:r>
        <w:rPr>
          <w:rFonts w:ascii="Times New Roman" w:hAnsi="Times New Roman"/>
          <w:sz w:val="20"/>
          <w:szCs w:val="20"/>
        </w:rPr>
        <w:t xml:space="preserve"> </w:t>
      </w:r>
      <w:r w:rsidRPr="002A2E99">
        <w:rPr>
          <w:rFonts w:ascii="Times New Roman" w:hAnsi="Times New Roman"/>
          <w:sz w:val="20"/>
          <w:szCs w:val="20"/>
        </w:rPr>
        <w:t xml:space="preserve">General Meeting held on </w:t>
      </w:r>
      <w:r>
        <w:rPr>
          <w:rFonts w:ascii="Times New Roman" w:hAnsi="Times New Roman"/>
          <w:sz w:val="20"/>
          <w:szCs w:val="20"/>
        </w:rPr>
        <w:t>July 24, 2023</w:t>
      </w:r>
      <w:r w:rsidRPr="002A2E99">
        <w:rPr>
          <w:rFonts w:ascii="Times New Roman" w:hAnsi="Times New Roman"/>
          <w:sz w:val="20"/>
          <w:szCs w:val="20"/>
        </w:rPr>
        <w:t>, the name of our Company was changed from “</w:t>
      </w:r>
      <w:r>
        <w:rPr>
          <w:rFonts w:ascii="Times New Roman" w:hAnsi="Times New Roman"/>
          <w:sz w:val="20"/>
          <w:szCs w:val="20"/>
        </w:rPr>
        <w:t>Siyaram Impex</w:t>
      </w:r>
      <w:r w:rsidRPr="00712F3C">
        <w:rPr>
          <w:rFonts w:ascii="Times New Roman" w:hAnsi="Times New Roman"/>
          <w:sz w:val="20"/>
          <w:szCs w:val="20"/>
        </w:rPr>
        <w:t xml:space="preserve"> </w:t>
      </w:r>
      <w:r w:rsidRPr="002A2E99">
        <w:rPr>
          <w:rFonts w:ascii="Times New Roman" w:hAnsi="Times New Roman"/>
          <w:sz w:val="20"/>
          <w:szCs w:val="20"/>
        </w:rPr>
        <w:t>Private Limited” to “Siyaram Recycling Industries Private Limited” and a</w:t>
      </w:r>
      <w:r>
        <w:rPr>
          <w:rFonts w:ascii="Times New Roman" w:hAnsi="Times New Roman"/>
          <w:sz w:val="20"/>
          <w:szCs w:val="20"/>
        </w:rPr>
        <w:t xml:space="preserve"> </w:t>
      </w:r>
      <w:r w:rsidRPr="002A2E99">
        <w:rPr>
          <w:rFonts w:ascii="Times New Roman" w:hAnsi="Times New Roman"/>
          <w:sz w:val="20"/>
          <w:szCs w:val="20"/>
        </w:rPr>
        <w:t xml:space="preserve">fresh certificate of incorporation pursuant to change of name was issued by the Registrar of Companies, Ahmedabad vide </w:t>
      </w:r>
      <w:r>
        <w:rPr>
          <w:rFonts w:ascii="Times New Roman" w:hAnsi="Times New Roman"/>
          <w:sz w:val="20"/>
          <w:szCs w:val="20"/>
        </w:rPr>
        <w:t>certificate</w:t>
      </w:r>
      <w:r w:rsidRPr="002A2E99">
        <w:rPr>
          <w:rFonts w:ascii="Times New Roman" w:hAnsi="Times New Roman"/>
          <w:sz w:val="20"/>
          <w:szCs w:val="20"/>
        </w:rPr>
        <w:t xml:space="preserve"> dated </w:t>
      </w:r>
      <w:r>
        <w:rPr>
          <w:rFonts w:ascii="Times New Roman" w:hAnsi="Times New Roman"/>
          <w:sz w:val="20"/>
          <w:szCs w:val="20"/>
        </w:rPr>
        <w:t xml:space="preserve">July 27, 2023. </w:t>
      </w:r>
      <w:r w:rsidRPr="002A2E99">
        <w:rPr>
          <w:rFonts w:ascii="Times New Roman" w:hAnsi="Times New Roman"/>
          <w:sz w:val="20"/>
          <w:szCs w:val="20"/>
        </w:rPr>
        <w:t>Subsequently, pursuant to Special Resolution passed by the Shareholders at the Extra Ordinary General Meeting,</w:t>
      </w:r>
      <w:r>
        <w:rPr>
          <w:rFonts w:ascii="Times New Roman" w:hAnsi="Times New Roman"/>
          <w:sz w:val="20"/>
          <w:szCs w:val="20"/>
        </w:rPr>
        <w:t xml:space="preserve"> </w:t>
      </w:r>
      <w:r w:rsidRPr="002A2E99">
        <w:rPr>
          <w:rFonts w:ascii="Times New Roman" w:hAnsi="Times New Roman"/>
          <w:sz w:val="20"/>
          <w:szCs w:val="20"/>
        </w:rPr>
        <w:t xml:space="preserve">held on </w:t>
      </w:r>
      <w:r>
        <w:rPr>
          <w:rFonts w:ascii="Times New Roman" w:hAnsi="Times New Roman"/>
          <w:sz w:val="20"/>
          <w:szCs w:val="20"/>
        </w:rPr>
        <w:t>August 05, 2023</w:t>
      </w:r>
      <w:r w:rsidRPr="002A2E99">
        <w:rPr>
          <w:rFonts w:ascii="Times New Roman" w:hAnsi="Times New Roman"/>
          <w:sz w:val="20"/>
          <w:szCs w:val="20"/>
        </w:rPr>
        <w:t xml:space="preserve"> our Company was converted into a Public Limited Company and consequently the name of our Company was changed from “Siyaram Recycling Industries Private Limited” to “Siyaram Recycling Industries Limited” vide a fresh certificate of incorporation consequent upon conversion from private company to public company dated</w:t>
      </w:r>
      <w:r>
        <w:rPr>
          <w:rFonts w:ascii="Times New Roman" w:hAnsi="Times New Roman"/>
          <w:sz w:val="20"/>
          <w:szCs w:val="20"/>
        </w:rPr>
        <w:t xml:space="preserve"> August 24, 2023</w:t>
      </w:r>
      <w:r w:rsidRPr="002A2E99">
        <w:rPr>
          <w:rFonts w:ascii="Times New Roman" w:hAnsi="Times New Roman"/>
          <w:sz w:val="20"/>
          <w:szCs w:val="20"/>
        </w:rPr>
        <w:t xml:space="preserve"> issued by the Registrar of Companies, Ahmedabad bearing CIN U27106GJ2007P</w:t>
      </w:r>
      <w:r>
        <w:rPr>
          <w:rFonts w:ascii="Times New Roman" w:hAnsi="Times New Roman"/>
          <w:sz w:val="20"/>
          <w:szCs w:val="20"/>
        </w:rPr>
        <w:t>L</w:t>
      </w:r>
      <w:r w:rsidRPr="002A2E99">
        <w:rPr>
          <w:rFonts w:ascii="Times New Roman" w:hAnsi="Times New Roman"/>
          <w:sz w:val="20"/>
          <w:szCs w:val="20"/>
        </w:rPr>
        <w:t>C049999.</w:t>
      </w:r>
      <w:r w:rsidRPr="00712F3C">
        <w:rPr>
          <w:rFonts w:ascii="Times New Roman" w:hAnsi="Times New Roman"/>
          <w:sz w:val="20"/>
          <w:szCs w:val="20"/>
        </w:rPr>
        <w:t xml:space="preserve"> For further details please refer to chapter titled </w:t>
      </w:r>
      <w:r w:rsidRPr="00712F3C">
        <w:rPr>
          <w:rFonts w:ascii="Times New Roman" w:hAnsi="Times New Roman"/>
          <w:b/>
          <w:sz w:val="20"/>
          <w:szCs w:val="20"/>
        </w:rPr>
        <w:t>“</w:t>
      </w:r>
      <w:r w:rsidRPr="00712F3C">
        <w:rPr>
          <w:rFonts w:ascii="Times New Roman" w:hAnsi="Times New Roman"/>
          <w:b/>
          <w:i/>
          <w:sz w:val="20"/>
          <w:szCs w:val="20"/>
        </w:rPr>
        <w:t>History and Corporate Structure”</w:t>
      </w:r>
      <w:r w:rsidRPr="00712F3C">
        <w:rPr>
          <w:rFonts w:ascii="Times New Roman" w:hAnsi="Times New Roman"/>
          <w:sz w:val="20"/>
          <w:szCs w:val="20"/>
        </w:rPr>
        <w:t xml:space="preserve"> beginning on page </w:t>
      </w:r>
      <w:r>
        <w:rPr>
          <w:rFonts w:ascii="Times New Roman" w:hAnsi="Times New Roman"/>
          <w:sz w:val="20"/>
          <w:szCs w:val="20"/>
        </w:rPr>
        <w:t>109</w:t>
      </w:r>
      <w:r w:rsidRPr="00712F3C">
        <w:rPr>
          <w:rFonts w:ascii="Times New Roman" w:hAnsi="Times New Roman"/>
          <w:sz w:val="20"/>
          <w:szCs w:val="20"/>
        </w:rPr>
        <w:t xml:space="preserve"> of this Draft Red Herring Prospectus.</w:t>
      </w:r>
    </w:p>
    <w:p w14:paraId="4303E56B" w14:textId="77777777" w:rsidR="008A5BEA" w:rsidRPr="00712F3C" w:rsidRDefault="008A5BEA" w:rsidP="008A5BEA">
      <w:pPr>
        <w:spacing w:after="0" w:line="240" w:lineRule="auto"/>
        <w:ind w:left="-90" w:right="-90"/>
        <w:jc w:val="both"/>
        <w:rPr>
          <w:rFonts w:ascii="Times New Roman" w:hAnsi="Times New Roman"/>
          <w:sz w:val="20"/>
          <w:szCs w:val="20"/>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8"/>
        <w:gridCol w:w="8528"/>
      </w:tblGrid>
      <w:tr w:rsidR="008A5BEA" w:rsidRPr="00712F3C" w14:paraId="4A0ED12C" w14:textId="77777777" w:rsidTr="00250DAC">
        <w:tc>
          <w:tcPr>
            <w:tcW w:w="1928" w:type="dxa"/>
            <w:shd w:val="clear" w:color="auto" w:fill="D0CECE" w:themeFill="background2" w:themeFillShade="E6"/>
          </w:tcPr>
          <w:p w14:paraId="07850182" w14:textId="77777777" w:rsidR="008A5BEA" w:rsidRPr="00712F3C" w:rsidRDefault="008A5BEA" w:rsidP="00250DAC">
            <w:pPr>
              <w:spacing w:after="0" w:line="240" w:lineRule="auto"/>
              <w:jc w:val="both"/>
              <w:rPr>
                <w:rFonts w:ascii="Times New Roman" w:hAnsi="Times New Roman"/>
                <w:b/>
                <w:sz w:val="20"/>
                <w:szCs w:val="20"/>
              </w:rPr>
            </w:pPr>
            <w:r w:rsidRPr="00712F3C">
              <w:rPr>
                <w:rFonts w:ascii="Times New Roman" w:hAnsi="Times New Roman"/>
                <w:b/>
                <w:sz w:val="20"/>
                <w:szCs w:val="20"/>
              </w:rPr>
              <w:t>Registered Office</w:t>
            </w:r>
          </w:p>
        </w:tc>
        <w:tc>
          <w:tcPr>
            <w:tcW w:w="8528" w:type="dxa"/>
          </w:tcPr>
          <w:p w14:paraId="14977E38" w14:textId="264110DF" w:rsidR="008A5BEA" w:rsidRPr="00CB2D76" w:rsidRDefault="008A5BEA" w:rsidP="00250DAC">
            <w:pPr>
              <w:spacing w:after="0" w:line="240" w:lineRule="auto"/>
              <w:ind w:right="-90"/>
              <w:jc w:val="both"/>
              <w:rPr>
                <w:rFonts w:ascii="Times New Roman" w:hAnsi="Times New Roman"/>
                <w:sz w:val="20"/>
                <w:szCs w:val="20"/>
              </w:rPr>
            </w:pPr>
            <w:r w:rsidRPr="00266399">
              <w:rPr>
                <w:rFonts w:ascii="Times New Roman" w:hAnsi="Times New Roman"/>
                <w:sz w:val="20"/>
                <w:szCs w:val="20"/>
              </w:rPr>
              <w:t xml:space="preserve">Plot No. 6 &amp; 7, </w:t>
            </w:r>
            <w:r w:rsidRPr="00CB2D76">
              <w:rPr>
                <w:rFonts w:ascii="Times New Roman" w:hAnsi="Times New Roman"/>
                <w:sz w:val="20"/>
                <w:szCs w:val="20"/>
              </w:rPr>
              <w:t>Village: Lakhabaval Post: Khodiyar Colony, Jamnagar-361006 Gujarat.</w:t>
            </w:r>
          </w:p>
          <w:p w14:paraId="12D1E158" w14:textId="77777777" w:rsidR="008A5BEA" w:rsidRPr="00CB2D76" w:rsidRDefault="008A5BEA" w:rsidP="00250DAC">
            <w:pPr>
              <w:spacing w:after="0" w:line="240" w:lineRule="auto"/>
              <w:ind w:right="-90"/>
              <w:jc w:val="both"/>
              <w:rPr>
                <w:rFonts w:ascii="Times New Roman" w:hAnsi="Times New Roman"/>
                <w:sz w:val="20"/>
                <w:szCs w:val="20"/>
                <w:lang w:val="pt-BR"/>
              </w:rPr>
            </w:pPr>
            <w:r w:rsidRPr="00CB2D76">
              <w:rPr>
                <w:rFonts w:ascii="Times New Roman" w:hAnsi="Times New Roman"/>
                <w:b/>
                <w:sz w:val="20"/>
                <w:szCs w:val="20"/>
                <w:lang w:val="pt-BR"/>
              </w:rPr>
              <w:t>Tel. No.:</w:t>
            </w:r>
            <w:r w:rsidRPr="00CB2D76">
              <w:rPr>
                <w:rFonts w:ascii="Times New Roman" w:hAnsi="Times New Roman"/>
                <w:sz w:val="20"/>
                <w:szCs w:val="20"/>
                <w:lang w:val="pt-BR"/>
              </w:rPr>
              <w:t xml:space="preserve"> +91-75750-20500</w:t>
            </w:r>
          </w:p>
          <w:p w14:paraId="18BEACE3" w14:textId="77777777" w:rsidR="008A5BEA" w:rsidRPr="00CB2D76" w:rsidRDefault="008A5BEA" w:rsidP="00250DAC">
            <w:pPr>
              <w:spacing w:after="0" w:line="240" w:lineRule="auto"/>
              <w:ind w:right="-90"/>
              <w:jc w:val="both"/>
              <w:rPr>
                <w:rFonts w:ascii="Times New Roman" w:hAnsi="Times New Roman"/>
                <w:sz w:val="20"/>
                <w:szCs w:val="20"/>
                <w:lang w:val="pt-BR"/>
              </w:rPr>
            </w:pPr>
            <w:r w:rsidRPr="00CB2D76">
              <w:rPr>
                <w:rFonts w:ascii="Times New Roman" w:hAnsi="Times New Roman"/>
                <w:b/>
                <w:sz w:val="20"/>
                <w:szCs w:val="20"/>
                <w:lang w:val="pt-BR"/>
              </w:rPr>
              <w:t>Email</w:t>
            </w:r>
            <w:r w:rsidRPr="00CB2D76">
              <w:rPr>
                <w:rFonts w:ascii="Times New Roman" w:hAnsi="Times New Roman"/>
                <w:sz w:val="20"/>
                <w:szCs w:val="20"/>
                <w:lang w:val="pt-BR"/>
              </w:rPr>
              <w:t xml:space="preserve">: </w:t>
            </w:r>
            <w:hyperlink r:id="rId11" w:history="1">
              <w:r w:rsidRPr="00CB2D76">
                <w:rPr>
                  <w:rStyle w:val="Hyperlink"/>
                  <w:rFonts w:ascii="Times New Roman" w:hAnsi="Times New Roman"/>
                  <w:sz w:val="20"/>
                  <w:szCs w:val="20"/>
                  <w:lang w:val="pt-BR"/>
                </w:rPr>
                <w:t>info@siyaramimpex.com</w:t>
              </w:r>
            </w:hyperlink>
            <w:r w:rsidRPr="00CB2D76">
              <w:rPr>
                <w:rFonts w:ascii="Times New Roman" w:hAnsi="Times New Roman"/>
                <w:sz w:val="20"/>
                <w:szCs w:val="20"/>
                <w:lang w:val="pt-BR"/>
              </w:rPr>
              <w:t xml:space="preserve"> </w:t>
            </w:r>
          </w:p>
          <w:p w14:paraId="65FB319E" w14:textId="36049A00" w:rsidR="008A5BEA" w:rsidRPr="00CB2D76" w:rsidRDefault="008A5BEA" w:rsidP="00250DAC">
            <w:pPr>
              <w:spacing w:after="0" w:line="240" w:lineRule="auto"/>
              <w:ind w:right="-90"/>
              <w:jc w:val="both"/>
              <w:rPr>
                <w:rFonts w:ascii="Times New Roman" w:hAnsi="Times New Roman"/>
                <w:color w:val="0000FF"/>
                <w:sz w:val="20"/>
                <w:szCs w:val="20"/>
                <w:u w:val="single"/>
              </w:rPr>
            </w:pPr>
            <w:r w:rsidRPr="00CB2D76">
              <w:rPr>
                <w:rFonts w:ascii="Times New Roman" w:hAnsi="Times New Roman"/>
                <w:b/>
                <w:sz w:val="20"/>
                <w:szCs w:val="20"/>
              </w:rPr>
              <w:t>Website</w:t>
            </w:r>
            <w:r w:rsidRPr="00CB2D76">
              <w:rPr>
                <w:rFonts w:ascii="Times New Roman" w:hAnsi="Times New Roman"/>
                <w:sz w:val="20"/>
                <w:szCs w:val="20"/>
              </w:rPr>
              <w:t xml:space="preserve">: </w:t>
            </w:r>
            <w:hyperlink r:id="rId12" w:history="1">
              <w:r w:rsidR="001E3B1F">
                <w:rPr>
                  <w:rStyle w:val="Hyperlink"/>
                  <w:rFonts w:ascii="Times New Roman" w:hAnsi="Times New Roman"/>
                  <w:sz w:val="20"/>
                  <w:szCs w:val="20"/>
                </w:rPr>
                <w:t>www.siyaramindustries.co.in</w:t>
              </w:r>
            </w:hyperlink>
            <w:r w:rsidRPr="00CB2D76">
              <w:rPr>
                <w:rFonts w:ascii="Times New Roman" w:hAnsi="Times New Roman"/>
                <w:sz w:val="20"/>
                <w:szCs w:val="20"/>
              </w:rPr>
              <w:t xml:space="preserve"> </w:t>
            </w:r>
          </w:p>
          <w:p w14:paraId="70AB5A3B" w14:textId="77777777" w:rsidR="008A5BEA" w:rsidRPr="007459EE" w:rsidRDefault="008A5BEA" w:rsidP="00250DAC">
            <w:pPr>
              <w:spacing w:after="0" w:line="240" w:lineRule="auto"/>
              <w:ind w:right="-90"/>
              <w:jc w:val="both"/>
              <w:rPr>
                <w:rFonts w:ascii="Times New Roman" w:hAnsi="Times New Roman"/>
                <w:sz w:val="20"/>
                <w:szCs w:val="20"/>
              </w:rPr>
            </w:pPr>
            <w:r w:rsidRPr="00CB2D76">
              <w:rPr>
                <w:rFonts w:ascii="Times New Roman" w:hAnsi="Times New Roman"/>
                <w:b/>
                <w:sz w:val="20"/>
                <w:szCs w:val="20"/>
              </w:rPr>
              <w:t>CIN</w:t>
            </w:r>
            <w:r w:rsidRPr="00CB2D76">
              <w:rPr>
                <w:rFonts w:ascii="Times New Roman" w:hAnsi="Times New Roman"/>
                <w:sz w:val="20"/>
                <w:szCs w:val="20"/>
              </w:rPr>
              <w:t>: U27106GJ2007PLC049999</w:t>
            </w:r>
          </w:p>
          <w:p w14:paraId="78B16F7C" w14:textId="77777777" w:rsidR="008A5BEA" w:rsidRPr="00712F3C" w:rsidRDefault="008A5BEA" w:rsidP="00250DAC">
            <w:pPr>
              <w:spacing w:after="0" w:line="240" w:lineRule="auto"/>
              <w:ind w:right="-90"/>
              <w:jc w:val="both"/>
              <w:rPr>
                <w:rFonts w:ascii="Times New Roman" w:hAnsi="Times New Roman"/>
                <w:sz w:val="20"/>
                <w:szCs w:val="20"/>
              </w:rPr>
            </w:pPr>
            <w:r w:rsidRPr="00712F3C">
              <w:rPr>
                <w:rFonts w:ascii="Times New Roman" w:hAnsi="Times New Roman"/>
                <w:b/>
                <w:sz w:val="20"/>
                <w:szCs w:val="20"/>
              </w:rPr>
              <w:t>Registration Number</w:t>
            </w:r>
            <w:r w:rsidRPr="00712F3C">
              <w:rPr>
                <w:rFonts w:ascii="Times New Roman" w:hAnsi="Times New Roman"/>
                <w:sz w:val="20"/>
                <w:szCs w:val="20"/>
              </w:rPr>
              <w:t xml:space="preserve">: </w:t>
            </w:r>
            <w:r w:rsidRPr="00266399">
              <w:rPr>
                <w:rFonts w:ascii="Times New Roman" w:hAnsi="Times New Roman"/>
                <w:sz w:val="20"/>
                <w:szCs w:val="20"/>
              </w:rPr>
              <w:t>049999</w:t>
            </w:r>
          </w:p>
        </w:tc>
      </w:tr>
    </w:tbl>
    <w:p w14:paraId="357B58D5" w14:textId="77777777" w:rsidR="008A5BEA" w:rsidRPr="00712F3C" w:rsidRDefault="008A5BEA" w:rsidP="008A5BEA">
      <w:pPr>
        <w:spacing w:after="0" w:line="240" w:lineRule="auto"/>
        <w:ind w:left="-90" w:right="-90"/>
        <w:jc w:val="both"/>
        <w:rPr>
          <w:rFonts w:ascii="Times New Roman" w:hAnsi="Times New Roman"/>
          <w:b/>
          <w:sz w:val="20"/>
          <w:szCs w:val="20"/>
        </w:rPr>
      </w:pPr>
    </w:p>
    <w:p w14:paraId="580BA0AB" w14:textId="77777777" w:rsidR="008A5BEA" w:rsidRPr="00712F3C" w:rsidRDefault="008A5BEA" w:rsidP="008A5BEA">
      <w:pPr>
        <w:spacing w:after="0" w:line="240" w:lineRule="auto"/>
        <w:ind w:right="-90"/>
        <w:jc w:val="both"/>
        <w:rPr>
          <w:rFonts w:ascii="Times New Roman" w:hAnsi="Times New Roman"/>
          <w:b/>
          <w:sz w:val="20"/>
          <w:szCs w:val="20"/>
        </w:rPr>
      </w:pPr>
      <w:r w:rsidRPr="00712F3C">
        <w:rPr>
          <w:rFonts w:ascii="Times New Roman" w:hAnsi="Times New Roman"/>
          <w:b/>
          <w:sz w:val="20"/>
          <w:szCs w:val="20"/>
        </w:rPr>
        <w:t>Address of the RoC:</w:t>
      </w:r>
    </w:p>
    <w:p w14:paraId="511FB04A" w14:textId="77777777" w:rsidR="008A5BEA" w:rsidRPr="00712F3C" w:rsidRDefault="008A5BEA" w:rsidP="008A5BEA">
      <w:pPr>
        <w:spacing w:after="0" w:line="240" w:lineRule="auto"/>
        <w:ind w:right="-90"/>
        <w:jc w:val="both"/>
        <w:rPr>
          <w:rFonts w:ascii="Times New Roman" w:hAnsi="Times New Roman"/>
          <w:b/>
          <w:sz w:val="20"/>
          <w:szCs w:val="20"/>
        </w:rPr>
      </w:pPr>
    </w:p>
    <w:p w14:paraId="47BADD80" w14:textId="77777777" w:rsidR="008A5BEA" w:rsidRPr="00712F3C" w:rsidRDefault="008A5BEA" w:rsidP="008A5BEA">
      <w:pPr>
        <w:spacing w:after="0" w:line="240" w:lineRule="auto"/>
        <w:ind w:right="-90"/>
        <w:jc w:val="both"/>
        <w:rPr>
          <w:rFonts w:ascii="Times New Roman" w:hAnsi="Times New Roman"/>
          <w:b/>
          <w:sz w:val="20"/>
          <w:szCs w:val="20"/>
        </w:rPr>
      </w:pPr>
      <w:r w:rsidRPr="00712F3C">
        <w:rPr>
          <w:rFonts w:ascii="Times New Roman" w:hAnsi="Times New Roman"/>
          <w:b/>
          <w:sz w:val="20"/>
          <w:szCs w:val="20"/>
        </w:rPr>
        <w:t>Registrar of Companies, Ahmedabad</w:t>
      </w:r>
    </w:p>
    <w:p w14:paraId="66D05070" w14:textId="77777777" w:rsidR="008A5BEA" w:rsidRPr="00712F3C" w:rsidRDefault="008A5BEA" w:rsidP="008A5BEA">
      <w:pPr>
        <w:spacing w:after="0" w:line="240" w:lineRule="auto"/>
        <w:ind w:right="-90"/>
        <w:jc w:val="both"/>
        <w:rPr>
          <w:rFonts w:ascii="Times New Roman" w:hAnsi="Times New Roman"/>
          <w:sz w:val="20"/>
          <w:szCs w:val="20"/>
        </w:rPr>
      </w:pPr>
      <w:r w:rsidRPr="00712F3C">
        <w:rPr>
          <w:rFonts w:ascii="Times New Roman" w:hAnsi="Times New Roman"/>
          <w:sz w:val="20"/>
          <w:szCs w:val="20"/>
        </w:rPr>
        <w:t xml:space="preserve">ROC Bhavan, Opp Rupal Park Society, </w:t>
      </w:r>
    </w:p>
    <w:p w14:paraId="60AAC9D4" w14:textId="77777777" w:rsidR="008A5BEA" w:rsidRPr="00712F3C" w:rsidRDefault="008A5BEA" w:rsidP="008A5BEA">
      <w:pPr>
        <w:spacing w:after="0" w:line="240" w:lineRule="auto"/>
        <w:ind w:right="-90"/>
        <w:jc w:val="both"/>
        <w:rPr>
          <w:rFonts w:ascii="Times New Roman" w:hAnsi="Times New Roman"/>
          <w:sz w:val="20"/>
          <w:szCs w:val="20"/>
        </w:rPr>
      </w:pPr>
      <w:r w:rsidRPr="00712F3C">
        <w:rPr>
          <w:rFonts w:ascii="Times New Roman" w:hAnsi="Times New Roman"/>
          <w:sz w:val="20"/>
          <w:szCs w:val="20"/>
        </w:rPr>
        <w:t xml:space="preserve">Behind Ankur Bus Stop, Naranpura, </w:t>
      </w:r>
    </w:p>
    <w:p w14:paraId="130DAE7F" w14:textId="77777777" w:rsidR="008A5BEA" w:rsidRPr="00712F3C" w:rsidRDefault="008A5BEA" w:rsidP="008A5BEA">
      <w:pPr>
        <w:spacing w:after="0" w:line="240" w:lineRule="auto"/>
        <w:ind w:right="-90"/>
        <w:jc w:val="both"/>
        <w:rPr>
          <w:rFonts w:ascii="Times New Roman" w:hAnsi="Times New Roman"/>
          <w:sz w:val="20"/>
          <w:szCs w:val="20"/>
        </w:rPr>
      </w:pPr>
      <w:r w:rsidRPr="00712F3C">
        <w:rPr>
          <w:rFonts w:ascii="Times New Roman" w:hAnsi="Times New Roman"/>
          <w:sz w:val="20"/>
          <w:szCs w:val="20"/>
        </w:rPr>
        <w:t xml:space="preserve">Ahmedabad-380013, Gujarat </w:t>
      </w:r>
    </w:p>
    <w:p w14:paraId="0EEC07DF" w14:textId="77777777" w:rsidR="008A5BEA" w:rsidRPr="00712F3C" w:rsidRDefault="008A5BEA" w:rsidP="008A5BEA">
      <w:pPr>
        <w:spacing w:after="0" w:line="240" w:lineRule="auto"/>
        <w:ind w:right="-90"/>
        <w:jc w:val="both"/>
        <w:rPr>
          <w:rFonts w:ascii="Times New Roman" w:hAnsi="Times New Roman"/>
          <w:sz w:val="20"/>
          <w:szCs w:val="20"/>
        </w:rPr>
      </w:pPr>
      <w:r w:rsidRPr="00712F3C">
        <w:rPr>
          <w:rFonts w:ascii="Times New Roman" w:hAnsi="Times New Roman"/>
          <w:b/>
          <w:sz w:val="20"/>
          <w:szCs w:val="20"/>
        </w:rPr>
        <w:t>Phone</w:t>
      </w:r>
      <w:r w:rsidRPr="00712F3C">
        <w:rPr>
          <w:rFonts w:ascii="Times New Roman" w:hAnsi="Times New Roman"/>
          <w:sz w:val="20"/>
          <w:szCs w:val="20"/>
        </w:rPr>
        <w:t>: 079- 27438531</w:t>
      </w:r>
    </w:p>
    <w:p w14:paraId="0FF69F4D" w14:textId="77777777" w:rsidR="008A5BEA" w:rsidRPr="00712F3C" w:rsidRDefault="008A5BEA" w:rsidP="008A5BEA">
      <w:pPr>
        <w:spacing w:after="0" w:line="240" w:lineRule="auto"/>
        <w:ind w:right="-90"/>
        <w:jc w:val="both"/>
        <w:rPr>
          <w:rFonts w:ascii="Times New Roman" w:hAnsi="Times New Roman"/>
          <w:sz w:val="20"/>
          <w:szCs w:val="20"/>
        </w:rPr>
      </w:pPr>
      <w:r w:rsidRPr="00712F3C">
        <w:rPr>
          <w:rFonts w:ascii="Times New Roman" w:hAnsi="Times New Roman"/>
          <w:b/>
          <w:sz w:val="20"/>
          <w:szCs w:val="20"/>
        </w:rPr>
        <w:t>Email</w:t>
      </w:r>
      <w:r w:rsidRPr="00712F3C">
        <w:rPr>
          <w:rFonts w:ascii="Times New Roman" w:hAnsi="Times New Roman"/>
          <w:sz w:val="20"/>
          <w:szCs w:val="20"/>
        </w:rPr>
        <w:t xml:space="preserve">: </w:t>
      </w:r>
      <w:hyperlink r:id="rId13">
        <w:r w:rsidRPr="00712F3C">
          <w:rPr>
            <w:rFonts w:ascii="Times New Roman" w:hAnsi="Times New Roman"/>
            <w:color w:val="0000FF"/>
            <w:sz w:val="20"/>
            <w:szCs w:val="20"/>
            <w:u w:val="single"/>
          </w:rPr>
          <w:t>roc.ahmedabad@mca.gov.in</w:t>
        </w:r>
      </w:hyperlink>
      <w:r w:rsidRPr="00712F3C">
        <w:rPr>
          <w:rFonts w:ascii="Times New Roman" w:hAnsi="Times New Roman"/>
          <w:sz w:val="20"/>
          <w:szCs w:val="20"/>
        </w:rPr>
        <w:t xml:space="preserve">  </w:t>
      </w:r>
    </w:p>
    <w:p w14:paraId="034A03AD" w14:textId="77777777" w:rsidR="008A5BEA" w:rsidRPr="00712F3C" w:rsidRDefault="008A5BEA" w:rsidP="008A5BEA">
      <w:pPr>
        <w:spacing w:after="0" w:line="240" w:lineRule="auto"/>
        <w:ind w:right="-90"/>
        <w:jc w:val="both"/>
        <w:rPr>
          <w:rFonts w:ascii="Times New Roman" w:hAnsi="Times New Roman"/>
          <w:sz w:val="20"/>
          <w:szCs w:val="20"/>
        </w:rPr>
      </w:pPr>
      <w:r w:rsidRPr="00712F3C">
        <w:rPr>
          <w:rFonts w:ascii="Times New Roman" w:hAnsi="Times New Roman"/>
          <w:b/>
          <w:sz w:val="20"/>
          <w:szCs w:val="20"/>
        </w:rPr>
        <w:t>Website</w:t>
      </w:r>
      <w:r w:rsidRPr="00712F3C">
        <w:rPr>
          <w:rFonts w:ascii="Times New Roman" w:hAnsi="Times New Roman"/>
          <w:sz w:val="20"/>
          <w:szCs w:val="20"/>
        </w:rPr>
        <w:t xml:space="preserve">: </w:t>
      </w:r>
      <w:hyperlink r:id="rId14">
        <w:r w:rsidRPr="00712F3C">
          <w:rPr>
            <w:rFonts w:ascii="Times New Roman" w:hAnsi="Times New Roman"/>
            <w:color w:val="0000FF"/>
            <w:sz w:val="20"/>
            <w:szCs w:val="20"/>
            <w:u w:val="single"/>
          </w:rPr>
          <w:t>www.mca.gov.in</w:t>
        </w:r>
      </w:hyperlink>
      <w:r w:rsidRPr="00712F3C">
        <w:rPr>
          <w:rFonts w:ascii="Times New Roman" w:hAnsi="Times New Roman"/>
          <w:color w:val="0000FF"/>
          <w:sz w:val="20"/>
          <w:szCs w:val="20"/>
          <w:u w:val="single"/>
        </w:rPr>
        <w:t xml:space="preserve"> </w:t>
      </w:r>
    </w:p>
    <w:p w14:paraId="497BA7E3" w14:textId="77777777" w:rsidR="008A5BEA" w:rsidRPr="00712F3C" w:rsidRDefault="008A5BEA" w:rsidP="008A5BEA">
      <w:pPr>
        <w:spacing w:after="0" w:line="240" w:lineRule="auto"/>
        <w:jc w:val="both"/>
        <w:rPr>
          <w:rFonts w:ascii="Times New Roman" w:hAnsi="Times New Roman"/>
          <w:sz w:val="20"/>
          <w:szCs w:val="20"/>
        </w:rPr>
      </w:pPr>
    </w:p>
    <w:p w14:paraId="27E49778" w14:textId="77777777" w:rsidR="008A5BEA" w:rsidRPr="00712F3C" w:rsidRDefault="008A5BEA" w:rsidP="008A5BEA">
      <w:pPr>
        <w:spacing w:after="0" w:line="240" w:lineRule="auto"/>
        <w:jc w:val="both"/>
        <w:rPr>
          <w:rFonts w:ascii="Times New Roman" w:hAnsi="Times New Roman"/>
          <w:b/>
          <w:sz w:val="20"/>
          <w:szCs w:val="20"/>
        </w:rPr>
      </w:pPr>
      <w:r w:rsidRPr="00712F3C">
        <w:rPr>
          <w:rFonts w:ascii="Times New Roman" w:hAnsi="Times New Roman"/>
          <w:b/>
          <w:sz w:val="20"/>
          <w:szCs w:val="20"/>
        </w:rPr>
        <w:t>Board of Directors:</w:t>
      </w:r>
    </w:p>
    <w:p w14:paraId="0793A592" w14:textId="77777777" w:rsidR="008A5BEA" w:rsidRPr="00712F3C" w:rsidRDefault="008A5BEA" w:rsidP="008A5BEA">
      <w:pPr>
        <w:spacing w:after="0" w:line="240" w:lineRule="auto"/>
        <w:ind w:left="-90"/>
        <w:jc w:val="both"/>
        <w:rPr>
          <w:rFonts w:ascii="Times New Roman" w:hAnsi="Times New Roman"/>
          <w:sz w:val="20"/>
          <w:szCs w:val="20"/>
        </w:rPr>
      </w:pPr>
    </w:p>
    <w:p w14:paraId="464396C0" w14:textId="77777777" w:rsidR="008A5BEA" w:rsidRPr="00712F3C" w:rsidRDefault="008A5BEA" w:rsidP="008A5BEA">
      <w:pPr>
        <w:spacing w:after="0" w:line="240" w:lineRule="auto"/>
        <w:jc w:val="both"/>
        <w:rPr>
          <w:rFonts w:ascii="Times New Roman" w:hAnsi="Times New Roman"/>
          <w:sz w:val="20"/>
          <w:szCs w:val="20"/>
        </w:rPr>
      </w:pPr>
      <w:r w:rsidRPr="00712F3C">
        <w:rPr>
          <w:rFonts w:ascii="Times New Roman" w:hAnsi="Times New Roman"/>
          <w:sz w:val="20"/>
          <w:szCs w:val="20"/>
        </w:rPr>
        <w:t>The Board of Directors of our Company as on the date of filing of this Draft Red Herring Prospectus consists of:</w:t>
      </w:r>
    </w:p>
    <w:p w14:paraId="29FB0CE2" w14:textId="77777777" w:rsidR="008A5BEA" w:rsidRPr="00712F3C" w:rsidRDefault="008A5BEA" w:rsidP="008A5BEA">
      <w:pPr>
        <w:spacing w:after="0" w:line="240" w:lineRule="auto"/>
        <w:jc w:val="both"/>
        <w:rPr>
          <w:rFonts w:ascii="Times New Roman" w:hAnsi="Times New Roman"/>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64"/>
        <w:gridCol w:w="1899"/>
        <w:gridCol w:w="5390"/>
        <w:gridCol w:w="1104"/>
      </w:tblGrid>
      <w:tr w:rsidR="008A5BEA" w:rsidRPr="00712F3C" w14:paraId="071EF5AA" w14:textId="77777777" w:rsidTr="00250DAC">
        <w:trPr>
          <w:trHeight w:val="20"/>
        </w:trPr>
        <w:tc>
          <w:tcPr>
            <w:tcW w:w="987" w:type="pct"/>
            <w:shd w:val="clear" w:color="auto" w:fill="D0CECE" w:themeFill="background2" w:themeFillShade="E6"/>
            <w:vAlign w:val="center"/>
          </w:tcPr>
          <w:p w14:paraId="1F29F85F" w14:textId="77777777" w:rsidR="008A5BEA" w:rsidRPr="00712F3C" w:rsidRDefault="008A5BEA" w:rsidP="00250DAC">
            <w:pPr>
              <w:spacing w:after="0" w:line="240" w:lineRule="auto"/>
              <w:rPr>
                <w:rFonts w:ascii="Times New Roman" w:hAnsi="Times New Roman"/>
                <w:b/>
                <w:sz w:val="20"/>
                <w:szCs w:val="20"/>
              </w:rPr>
            </w:pPr>
            <w:r w:rsidRPr="00712F3C">
              <w:rPr>
                <w:rFonts w:ascii="Times New Roman" w:hAnsi="Times New Roman"/>
                <w:b/>
                <w:sz w:val="20"/>
                <w:szCs w:val="20"/>
              </w:rPr>
              <w:t>Name of Director</w:t>
            </w:r>
          </w:p>
        </w:tc>
        <w:tc>
          <w:tcPr>
            <w:tcW w:w="908" w:type="pct"/>
            <w:shd w:val="clear" w:color="auto" w:fill="D0CECE" w:themeFill="background2" w:themeFillShade="E6"/>
            <w:vAlign w:val="center"/>
          </w:tcPr>
          <w:p w14:paraId="282A05D1" w14:textId="77777777" w:rsidR="008A5BEA" w:rsidRPr="00712F3C" w:rsidRDefault="008A5BEA" w:rsidP="00250DAC">
            <w:pPr>
              <w:spacing w:after="0" w:line="240" w:lineRule="auto"/>
              <w:jc w:val="center"/>
              <w:rPr>
                <w:rFonts w:ascii="Times New Roman" w:hAnsi="Times New Roman"/>
                <w:b/>
                <w:sz w:val="20"/>
                <w:szCs w:val="20"/>
              </w:rPr>
            </w:pPr>
            <w:r w:rsidRPr="00712F3C">
              <w:rPr>
                <w:rFonts w:ascii="Times New Roman" w:hAnsi="Times New Roman"/>
                <w:b/>
                <w:sz w:val="20"/>
                <w:szCs w:val="20"/>
              </w:rPr>
              <w:t>Designation</w:t>
            </w:r>
          </w:p>
        </w:tc>
        <w:tc>
          <w:tcPr>
            <w:tcW w:w="2577" w:type="pct"/>
            <w:shd w:val="clear" w:color="auto" w:fill="D0CECE" w:themeFill="background2" w:themeFillShade="E6"/>
            <w:vAlign w:val="center"/>
          </w:tcPr>
          <w:p w14:paraId="6F2DEA54" w14:textId="77777777" w:rsidR="008A5BEA" w:rsidRPr="00712F3C" w:rsidRDefault="008A5BEA" w:rsidP="00250DAC">
            <w:pPr>
              <w:spacing w:after="0" w:line="240" w:lineRule="auto"/>
              <w:jc w:val="center"/>
              <w:rPr>
                <w:rFonts w:ascii="Times New Roman" w:hAnsi="Times New Roman"/>
                <w:b/>
                <w:sz w:val="20"/>
                <w:szCs w:val="20"/>
              </w:rPr>
            </w:pPr>
            <w:r w:rsidRPr="00712F3C">
              <w:rPr>
                <w:rFonts w:ascii="Times New Roman" w:hAnsi="Times New Roman"/>
                <w:b/>
                <w:sz w:val="20"/>
                <w:szCs w:val="20"/>
              </w:rPr>
              <w:t>Address</w:t>
            </w:r>
          </w:p>
        </w:tc>
        <w:tc>
          <w:tcPr>
            <w:tcW w:w="528" w:type="pct"/>
            <w:shd w:val="clear" w:color="auto" w:fill="D0CECE" w:themeFill="background2" w:themeFillShade="E6"/>
            <w:vAlign w:val="center"/>
          </w:tcPr>
          <w:p w14:paraId="4F839CB0" w14:textId="77777777" w:rsidR="008A5BEA" w:rsidRPr="00712F3C" w:rsidRDefault="008A5BEA" w:rsidP="00250DAC">
            <w:pPr>
              <w:spacing w:after="0" w:line="240" w:lineRule="auto"/>
              <w:jc w:val="center"/>
              <w:rPr>
                <w:rFonts w:ascii="Times New Roman" w:hAnsi="Times New Roman"/>
                <w:b/>
                <w:sz w:val="20"/>
                <w:szCs w:val="20"/>
              </w:rPr>
            </w:pPr>
            <w:r w:rsidRPr="00712F3C">
              <w:rPr>
                <w:rFonts w:ascii="Times New Roman" w:hAnsi="Times New Roman"/>
                <w:b/>
                <w:sz w:val="20"/>
                <w:szCs w:val="20"/>
              </w:rPr>
              <w:t>DIN</w:t>
            </w:r>
          </w:p>
        </w:tc>
      </w:tr>
      <w:tr w:rsidR="008A5BEA" w:rsidRPr="00712F3C" w14:paraId="4EA63A66" w14:textId="77777777" w:rsidTr="00250DAC">
        <w:trPr>
          <w:trHeight w:val="20"/>
        </w:trPr>
        <w:tc>
          <w:tcPr>
            <w:tcW w:w="987" w:type="pct"/>
            <w:vAlign w:val="center"/>
          </w:tcPr>
          <w:p w14:paraId="49C3398C" w14:textId="77777777" w:rsidR="008A5BEA" w:rsidRPr="00712F3C" w:rsidRDefault="008A5BEA" w:rsidP="00250DAC">
            <w:pPr>
              <w:widowControl w:val="0"/>
              <w:spacing w:after="0" w:line="240" w:lineRule="auto"/>
              <w:jc w:val="both"/>
              <w:rPr>
                <w:rFonts w:ascii="Times New Roman" w:hAnsi="Times New Roman"/>
                <w:sz w:val="20"/>
                <w:szCs w:val="20"/>
              </w:rPr>
            </w:pPr>
            <w:r w:rsidRPr="00266399">
              <w:rPr>
                <w:rFonts w:ascii="Times New Roman" w:hAnsi="Times New Roman"/>
                <w:sz w:val="20"/>
                <w:szCs w:val="20"/>
              </w:rPr>
              <w:t>Ramgopal Ochhavlal Maheshwari</w:t>
            </w:r>
          </w:p>
        </w:tc>
        <w:tc>
          <w:tcPr>
            <w:tcW w:w="908" w:type="pct"/>
            <w:vAlign w:val="center"/>
          </w:tcPr>
          <w:p w14:paraId="618391F0" w14:textId="77777777" w:rsidR="008A5BEA" w:rsidRPr="00712F3C" w:rsidRDefault="008A5BEA" w:rsidP="00250DAC">
            <w:pPr>
              <w:spacing w:after="0" w:line="240" w:lineRule="auto"/>
              <w:jc w:val="both"/>
              <w:rPr>
                <w:rFonts w:ascii="Times New Roman" w:hAnsi="Times New Roman"/>
                <w:sz w:val="20"/>
                <w:szCs w:val="20"/>
              </w:rPr>
            </w:pPr>
            <w:r w:rsidRPr="00712F3C">
              <w:rPr>
                <w:rFonts w:ascii="Times New Roman" w:hAnsi="Times New Roman"/>
                <w:sz w:val="20"/>
                <w:szCs w:val="20"/>
              </w:rPr>
              <w:t xml:space="preserve">Chairman &amp; </w:t>
            </w:r>
            <w:r>
              <w:rPr>
                <w:rFonts w:ascii="Times New Roman" w:hAnsi="Times New Roman"/>
                <w:sz w:val="20"/>
                <w:szCs w:val="20"/>
              </w:rPr>
              <w:t>Whole-time</w:t>
            </w:r>
            <w:r w:rsidRPr="00712F3C">
              <w:rPr>
                <w:rFonts w:ascii="Times New Roman" w:hAnsi="Times New Roman"/>
                <w:sz w:val="20"/>
                <w:szCs w:val="20"/>
              </w:rPr>
              <w:t xml:space="preserve"> Director</w:t>
            </w:r>
          </w:p>
        </w:tc>
        <w:tc>
          <w:tcPr>
            <w:tcW w:w="2577" w:type="pct"/>
            <w:vAlign w:val="center"/>
          </w:tcPr>
          <w:p w14:paraId="0F829B7A" w14:textId="77777777" w:rsidR="008A5BEA" w:rsidRPr="00712F3C" w:rsidRDefault="008A5BEA" w:rsidP="00250DAC">
            <w:pPr>
              <w:spacing w:after="0" w:line="240" w:lineRule="auto"/>
              <w:jc w:val="both"/>
              <w:rPr>
                <w:rFonts w:ascii="Times New Roman" w:hAnsi="Times New Roman"/>
                <w:sz w:val="20"/>
                <w:szCs w:val="20"/>
              </w:rPr>
            </w:pPr>
            <w:r w:rsidRPr="00D3382C">
              <w:rPr>
                <w:rFonts w:ascii="Times New Roman" w:hAnsi="Times New Roman"/>
                <w:sz w:val="20"/>
                <w:szCs w:val="20"/>
              </w:rPr>
              <w:t>Kanchan Palace, 2, Oswal Colony, Jamnagar-361005, Gujarat, India</w:t>
            </w:r>
          </w:p>
        </w:tc>
        <w:tc>
          <w:tcPr>
            <w:tcW w:w="528" w:type="pct"/>
            <w:vAlign w:val="center"/>
          </w:tcPr>
          <w:p w14:paraId="20935164" w14:textId="77777777" w:rsidR="008A5BEA" w:rsidRPr="00712F3C" w:rsidRDefault="008A5BEA" w:rsidP="00250DAC">
            <w:pPr>
              <w:spacing w:after="0" w:line="240" w:lineRule="auto"/>
              <w:jc w:val="center"/>
              <w:rPr>
                <w:rFonts w:ascii="Times New Roman" w:hAnsi="Times New Roman"/>
                <w:sz w:val="20"/>
                <w:szCs w:val="20"/>
              </w:rPr>
            </w:pPr>
            <w:r w:rsidRPr="00266399">
              <w:rPr>
                <w:rFonts w:ascii="Times New Roman" w:hAnsi="Times New Roman"/>
                <w:sz w:val="20"/>
                <w:szCs w:val="20"/>
              </w:rPr>
              <w:t>00553232</w:t>
            </w:r>
          </w:p>
        </w:tc>
      </w:tr>
      <w:tr w:rsidR="008A5BEA" w:rsidRPr="00712F3C" w14:paraId="421923C3" w14:textId="77777777" w:rsidTr="00250DAC">
        <w:trPr>
          <w:trHeight w:val="20"/>
        </w:trPr>
        <w:tc>
          <w:tcPr>
            <w:tcW w:w="987" w:type="pct"/>
            <w:vAlign w:val="center"/>
          </w:tcPr>
          <w:p w14:paraId="5A1B496C" w14:textId="77777777" w:rsidR="008A5BEA" w:rsidRPr="00712F3C" w:rsidRDefault="008A5BEA" w:rsidP="00250DAC">
            <w:pPr>
              <w:spacing w:after="0" w:line="240" w:lineRule="auto"/>
              <w:jc w:val="both"/>
              <w:rPr>
                <w:rFonts w:ascii="Times New Roman" w:hAnsi="Times New Roman"/>
                <w:sz w:val="20"/>
                <w:szCs w:val="20"/>
              </w:rPr>
            </w:pPr>
            <w:r w:rsidRPr="00266399">
              <w:rPr>
                <w:rFonts w:ascii="Times New Roman" w:hAnsi="Times New Roman"/>
                <w:sz w:val="20"/>
                <w:szCs w:val="20"/>
              </w:rPr>
              <w:t>Bhavesh Ramgopal Maheshwari</w:t>
            </w:r>
          </w:p>
        </w:tc>
        <w:tc>
          <w:tcPr>
            <w:tcW w:w="908" w:type="pct"/>
            <w:vAlign w:val="center"/>
          </w:tcPr>
          <w:p w14:paraId="63DCA36D" w14:textId="77777777" w:rsidR="008A5BEA" w:rsidRPr="00712F3C" w:rsidRDefault="008A5BEA" w:rsidP="00250DAC">
            <w:pPr>
              <w:spacing w:after="0" w:line="240" w:lineRule="auto"/>
              <w:jc w:val="both"/>
              <w:rPr>
                <w:rFonts w:ascii="Times New Roman" w:hAnsi="Times New Roman"/>
                <w:sz w:val="20"/>
                <w:szCs w:val="20"/>
              </w:rPr>
            </w:pPr>
            <w:r>
              <w:rPr>
                <w:rFonts w:ascii="Times New Roman" w:hAnsi="Times New Roman"/>
                <w:sz w:val="20"/>
                <w:szCs w:val="20"/>
              </w:rPr>
              <w:t>Managing Director</w:t>
            </w:r>
          </w:p>
        </w:tc>
        <w:tc>
          <w:tcPr>
            <w:tcW w:w="2577" w:type="pct"/>
            <w:vAlign w:val="center"/>
          </w:tcPr>
          <w:p w14:paraId="22767BB8" w14:textId="77777777" w:rsidR="008A5BEA" w:rsidRPr="00712F3C" w:rsidRDefault="008A5BEA" w:rsidP="00250DAC">
            <w:pPr>
              <w:spacing w:after="0" w:line="240" w:lineRule="auto"/>
              <w:jc w:val="both"/>
              <w:rPr>
                <w:rFonts w:ascii="Times New Roman" w:hAnsi="Times New Roman"/>
                <w:sz w:val="20"/>
                <w:szCs w:val="20"/>
              </w:rPr>
            </w:pPr>
            <w:r w:rsidRPr="00D3382C">
              <w:rPr>
                <w:rFonts w:ascii="Times New Roman" w:hAnsi="Times New Roman"/>
                <w:sz w:val="20"/>
                <w:szCs w:val="20"/>
              </w:rPr>
              <w:t>Kanchan Palace, 2, Oswal Colony, Jamnagar-361005, Gujarat, India</w:t>
            </w:r>
          </w:p>
        </w:tc>
        <w:tc>
          <w:tcPr>
            <w:tcW w:w="528" w:type="pct"/>
            <w:vAlign w:val="center"/>
          </w:tcPr>
          <w:p w14:paraId="367503A2" w14:textId="77777777" w:rsidR="008A5BEA" w:rsidRPr="00712F3C" w:rsidRDefault="008A5BEA" w:rsidP="00250DAC">
            <w:pPr>
              <w:spacing w:after="0" w:line="240" w:lineRule="auto"/>
              <w:jc w:val="center"/>
              <w:rPr>
                <w:rFonts w:ascii="Times New Roman" w:hAnsi="Times New Roman"/>
                <w:sz w:val="20"/>
                <w:szCs w:val="20"/>
              </w:rPr>
            </w:pPr>
            <w:r w:rsidRPr="00266399">
              <w:rPr>
                <w:rFonts w:ascii="Times New Roman" w:hAnsi="Times New Roman"/>
                <w:sz w:val="20"/>
                <w:szCs w:val="20"/>
              </w:rPr>
              <w:t>06573087</w:t>
            </w:r>
          </w:p>
        </w:tc>
      </w:tr>
      <w:tr w:rsidR="008A5BEA" w:rsidRPr="00712F3C" w14:paraId="24A6FAC2" w14:textId="77777777" w:rsidTr="00250DAC">
        <w:trPr>
          <w:trHeight w:val="20"/>
        </w:trPr>
        <w:tc>
          <w:tcPr>
            <w:tcW w:w="987" w:type="pct"/>
            <w:vAlign w:val="center"/>
          </w:tcPr>
          <w:p w14:paraId="597DB55F" w14:textId="77777777" w:rsidR="008A5BEA" w:rsidRPr="00712F3C" w:rsidRDefault="008A5BEA" w:rsidP="00250DAC">
            <w:pPr>
              <w:spacing w:after="0" w:line="240" w:lineRule="auto"/>
              <w:jc w:val="both"/>
              <w:rPr>
                <w:rFonts w:ascii="Times New Roman" w:hAnsi="Times New Roman"/>
                <w:sz w:val="20"/>
                <w:szCs w:val="20"/>
              </w:rPr>
            </w:pPr>
            <w:r w:rsidRPr="00266399">
              <w:rPr>
                <w:rFonts w:ascii="Times New Roman" w:hAnsi="Times New Roman"/>
                <w:sz w:val="20"/>
                <w:szCs w:val="20"/>
              </w:rPr>
              <w:t>Madhu Ramgopal Maheshwari</w:t>
            </w:r>
          </w:p>
        </w:tc>
        <w:tc>
          <w:tcPr>
            <w:tcW w:w="908" w:type="pct"/>
            <w:vAlign w:val="center"/>
          </w:tcPr>
          <w:p w14:paraId="46A3ECEE" w14:textId="77777777" w:rsidR="008A5BEA" w:rsidRPr="00712F3C" w:rsidRDefault="008A5BEA" w:rsidP="00250DAC">
            <w:pPr>
              <w:spacing w:after="0" w:line="240" w:lineRule="auto"/>
              <w:jc w:val="both"/>
              <w:rPr>
                <w:rFonts w:ascii="Times New Roman" w:hAnsi="Times New Roman"/>
                <w:sz w:val="20"/>
                <w:szCs w:val="20"/>
              </w:rPr>
            </w:pPr>
            <w:r w:rsidRPr="00712F3C">
              <w:rPr>
                <w:rFonts w:ascii="Times New Roman" w:hAnsi="Times New Roman"/>
                <w:sz w:val="20"/>
                <w:szCs w:val="20"/>
              </w:rPr>
              <w:t>Non-Executive Director</w:t>
            </w:r>
          </w:p>
        </w:tc>
        <w:tc>
          <w:tcPr>
            <w:tcW w:w="2577" w:type="pct"/>
            <w:vAlign w:val="center"/>
          </w:tcPr>
          <w:p w14:paraId="19C54420" w14:textId="77777777" w:rsidR="008A5BEA" w:rsidRPr="00712F3C" w:rsidRDefault="008A5BEA" w:rsidP="00250DAC">
            <w:pPr>
              <w:spacing w:after="0" w:line="240" w:lineRule="auto"/>
              <w:jc w:val="both"/>
              <w:rPr>
                <w:rFonts w:ascii="Times New Roman" w:hAnsi="Times New Roman"/>
                <w:sz w:val="20"/>
                <w:szCs w:val="20"/>
              </w:rPr>
            </w:pPr>
            <w:r w:rsidRPr="00D3382C">
              <w:rPr>
                <w:rFonts w:ascii="Times New Roman" w:hAnsi="Times New Roman"/>
                <w:sz w:val="20"/>
                <w:szCs w:val="20"/>
              </w:rPr>
              <w:t>Kanchan Palace, 2, Oswal Colony, Jamnagar-361005, Gujarat, India</w:t>
            </w:r>
          </w:p>
        </w:tc>
        <w:tc>
          <w:tcPr>
            <w:tcW w:w="528" w:type="pct"/>
            <w:vAlign w:val="center"/>
          </w:tcPr>
          <w:p w14:paraId="3FD3350D" w14:textId="77777777" w:rsidR="008A5BEA" w:rsidRPr="00712F3C" w:rsidRDefault="008A5BEA" w:rsidP="00250DAC">
            <w:pPr>
              <w:spacing w:after="0" w:line="240" w:lineRule="auto"/>
              <w:jc w:val="center"/>
              <w:rPr>
                <w:rFonts w:ascii="Times New Roman" w:hAnsi="Times New Roman"/>
                <w:sz w:val="20"/>
                <w:szCs w:val="20"/>
              </w:rPr>
            </w:pPr>
            <w:r w:rsidRPr="00266399">
              <w:rPr>
                <w:rFonts w:ascii="Times New Roman" w:hAnsi="Times New Roman"/>
                <w:sz w:val="20"/>
                <w:szCs w:val="20"/>
              </w:rPr>
              <w:t>00486584</w:t>
            </w:r>
          </w:p>
        </w:tc>
      </w:tr>
      <w:tr w:rsidR="008A5BEA" w:rsidRPr="00712F3C" w14:paraId="4595A9CD" w14:textId="77777777" w:rsidTr="00250DAC">
        <w:trPr>
          <w:trHeight w:val="20"/>
        </w:trPr>
        <w:tc>
          <w:tcPr>
            <w:tcW w:w="987" w:type="pct"/>
            <w:vAlign w:val="center"/>
          </w:tcPr>
          <w:p w14:paraId="34EE9F72" w14:textId="77777777" w:rsidR="008A5BEA" w:rsidRPr="00712F3C" w:rsidRDefault="008A5BEA" w:rsidP="00250DAC">
            <w:pPr>
              <w:widowControl w:val="0"/>
              <w:spacing w:after="0" w:line="240" w:lineRule="auto"/>
              <w:jc w:val="both"/>
              <w:rPr>
                <w:rFonts w:ascii="Times New Roman" w:hAnsi="Times New Roman"/>
                <w:sz w:val="20"/>
                <w:szCs w:val="20"/>
              </w:rPr>
            </w:pPr>
            <w:r w:rsidRPr="00712F3C">
              <w:rPr>
                <w:rFonts w:ascii="Times New Roman" w:hAnsi="Times New Roman"/>
                <w:sz w:val="20"/>
                <w:szCs w:val="20"/>
                <w:lang w:val="en-GB"/>
              </w:rPr>
              <w:t>Jaimish Govindbhai Patel</w:t>
            </w:r>
          </w:p>
        </w:tc>
        <w:tc>
          <w:tcPr>
            <w:tcW w:w="908" w:type="pct"/>
            <w:vAlign w:val="center"/>
          </w:tcPr>
          <w:p w14:paraId="4167B061" w14:textId="77777777" w:rsidR="008A5BEA" w:rsidRPr="00712F3C" w:rsidRDefault="008A5BEA" w:rsidP="00250DAC">
            <w:pPr>
              <w:spacing w:after="0" w:line="240" w:lineRule="auto"/>
              <w:jc w:val="both"/>
              <w:rPr>
                <w:rFonts w:ascii="Times New Roman" w:hAnsi="Times New Roman"/>
                <w:sz w:val="20"/>
                <w:szCs w:val="20"/>
              </w:rPr>
            </w:pPr>
            <w:r w:rsidRPr="00712F3C">
              <w:rPr>
                <w:rFonts w:ascii="Times New Roman" w:hAnsi="Times New Roman"/>
                <w:sz w:val="20"/>
                <w:szCs w:val="20"/>
              </w:rPr>
              <w:t>Independent Director</w:t>
            </w:r>
          </w:p>
        </w:tc>
        <w:tc>
          <w:tcPr>
            <w:tcW w:w="2577" w:type="pct"/>
            <w:vAlign w:val="center"/>
          </w:tcPr>
          <w:p w14:paraId="41E65C85" w14:textId="77777777" w:rsidR="008A5BEA" w:rsidRPr="00712F3C" w:rsidRDefault="008A5BEA" w:rsidP="00250DAC">
            <w:pPr>
              <w:spacing w:after="0" w:line="240" w:lineRule="auto"/>
              <w:jc w:val="both"/>
              <w:rPr>
                <w:rFonts w:ascii="Times New Roman" w:hAnsi="Times New Roman"/>
                <w:sz w:val="20"/>
                <w:szCs w:val="20"/>
              </w:rPr>
            </w:pPr>
            <w:r w:rsidRPr="00816541">
              <w:rPr>
                <w:rFonts w:ascii="Times New Roman" w:hAnsi="Times New Roman"/>
                <w:sz w:val="20"/>
                <w:szCs w:val="20"/>
              </w:rPr>
              <w:t>412-2306, Gujrat Housing Board Nr, Navarang Flat, Bapunagar, Ahmedabad, Gujarat – 380 024, India.</w:t>
            </w:r>
          </w:p>
        </w:tc>
        <w:tc>
          <w:tcPr>
            <w:tcW w:w="528" w:type="pct"/>
            <w:vAlign w:val="center"/>
          </w:tcPr>
          <w:p w14:paraId="3D7827A5" w14:textId="77777777" w:rsidR="008A5BEA" w:rsidRPr="00712F3C" w:rsidRDefault="008A5BEA" w:rsidP="00250DAC">
            <w:pPr>
              <w:spacing w:after="0" w:line="240" w:lineRule="auto"/>
              <w:jc w:val="center"/>
              <w:rPr>
                <w:rFonts w:ascii="Times New Roman" w:hAnsi="Times New Roman"/>
                <w:sz w:val="20"/>
                <w:szCs w:val="20"/>
              </w:rPr>
            </w:pPr>
            <w:r w:rsidRPr="00712F3C">
              <w:rPr>
                <w:rFonts w:ascii="Times New Roman" w:hAnsi="Times New Roman"/>
                <w:bCs/>
                <w:iCs/>
                <w:sz w:val="20"/>
                <w:szCs w:val="20"/>
                <w:lang w:val="pt-BR"/>
              </w:rPr>
              <w:t>09647742</w:t>
            </w:r>
          </w:p>
        </w:tc>
      </w:tr>
      <w:tr w:rsidR="008A5BEA" w:rsidRPr="00712F3C" w14:paraId="052F465D" w14:textId="77777777" w:rsidTr="00250DAC">
        <w:trPr>
          <w:trHeight w:val="20"/>
        </w:trPr>
        <w:tc>
          <w:tcPr>
            <w:tcW w:w="987" w:type="pct"/>
            <w:vAlign w:val="center"/>
          </w:tcPr>
          <w:p w14:paraId="199FF48B" w14:textId="77777777" w:rsidR="008A5BEA" w:rsidRPr="00712F3C" w:rsidRDefault="008A5BEA" w:rsidP="00250DAC">
            <w:pPr>
              <w:widowControl w:val="0"/>
              <w:spacing w:after="0" w:line="240" w:lineRule="auto"/>
              <w:jc w:val="both"/>
              <w:rPr>
                <w:rFonts w:ascii="Times New Roman" w:hAnsi="Times New Roman"/>
                <w:sz w:val="20"/>
                <w:szCs w:val="20"/>
              </w:rPr>
            </w:pPr>
            <w:r w:rsidRPr="00266399">
              <w:rPr>
                <w:rFonts w:ascii="Times New Roman" w:hAnsi="Times New Roman"/>
                <w:sz w:val="20"/>
                <w:szCs w:val="20"/>
              </w:rPr>
              <w:t>Raimeen Bhanubhai Maradiya</w:t>
            </w:r>
          </w:p>
        </w:tc>
        <w:tc>
          <w:tcPr>
            <w:tcW w:w="908" w:type="pct"/>
            <w:vAlign w:val="center"/>
          </w:tcPr>
          <w:p w14:paraId="28752E85" w14:textId="77777777" w:rsidR="008A5BEA" w:rsidRPr="00712F3C" w:rsidRDefault="008A5BEA" w:rsidP="00250DAC">
            <w:pPr>
              <w:spacing w:after="0" w:line="240" w:lineRule="auto"/>
              <w:jc w:val="both"/>
              <w:rPr>
                <w:rFonts w:ascii="Times New Roman" w:hAnsi="Times New Roman"/>
                <w:sz w:val="20"/>
                <w:szCs w:val="20"/>
              </w:rPr>
            </w:pPr>
            <w:r w:rsidRPr="00712F3C">
              <w:rPr>
                <w:rFonts w:ascii="Times New Roman" w:hAnsi="Times New Roman"/>
                <w:sz w:val="20"/>
                <w:szCs w:val="20"/>
              </w:rPr>
              <w:t>Independent Director</w:t>
            </w:r>
          </w:p>
        </w:tc>
        <w:tc>
          <w:tcPr>
            <w:tcW w:w="2577" w:type="pct"/>
            <w:vAlign w:val="center"/>
          </w:tcPr>
          <w:p w14:paraId="32867CBC" w14:textId="77777777" w:rsidR="008A5BEA" w:rsidRPr="00266399" w:rsidRDefault="008A5BEA" w:rsidP="00250DAC">
            <w:pPr>
              <w:spacing w:after="0" w:line="240" w:lineRule="auto"/>
              <w:jc w:val="both"/>
              <w:rPr>
                <w:rFonts w:ascii="Times New Roman" w:hAnsi="Times New Roman"/>
                <w:sz w:val="20"/>
                <w:szCs w:val="20"/>
                <w:lang w:val="pt-BR"/>
              </w:rPr>
            </w:pPr>
            <w:r w:rsidRPr="00266399">
              <w:rPr>
                <w:rFonts w:ascii="Times New Roman" w:hAnsi="Times New Roman"/>
                <w:sz w:val="20"/>
                <w:szCs w:val="20"/>
                <w:lang w:val="pt-BR"/>
              </w:rPr>
              <w:t>Piplavalo Delo, Ganjivada,</w:t>
            </w:r>
            <w:r>
              <w:rPr>
                <w:rFonts w:ascii="Times New Roman" w:hAnsi="Times New Roman"/>
                <w:sz w:val="20"/>
                <w:szCs w:val="20"/>
                <w:lang w:val="pt-BR"/>
              </w:rPr>
              <w:t xml:space="preserve"> </w:t>
            </w:r>
            <w:r w:rsidRPr="00266399">
              <w:rPr>
                <w:rFonts w:ascii="Times New Roman" w:hAnsi="Times New Roman"/>
                <w:sz w:val="20"/>
                <w:szCs w:val="20"/>
                <w:lang w:val="pt-BR"/>
              </w:rPr>
              <w:t>Visavadar, Junagadh</w:t>
            </w:r>
            <w:r>
              <w:rPr>
                <w:rFonts w:ascii="Times New Roman" w:hAnsi="Times New Roman"/>
                <w:sz w:val="20"/>
                <w:szCs w:val="20"/>
                <w:lang w:val="pt-BR"/>
              </w:rPr>
              <w:t>-</w:t>
            </w:r>
            <w:r w:rsidRPr="00266399">
              <w:rPr>
                <w:rFonts w:ascii="Times New Roman" w:hAnsi="Times New Roman"/>
                <w:sz w:val="20"/>
                <w:szCs w:val="20"/>
                <w:lang w:val="pt-BR"/>
              </w:rPr>
              <w:t>362130 Gujarat, India</w:t>
            </w:r>
          </w:p>
        </w:tc>
        <w:tc>
          <w:tcPr>
            <w:tcW w:w="528" w:type="pct"/>
            <w:vAlign w:val="center"/>
          </w:tcPr>
          <w:p w14:paraId="6C6BF8A8" w14:textId="77777777" w:rsidR="008A5BEA" w:rsidRPr="00712F3C" w:rsidRDefault="008A5BEA" w:rsidP="00250DAC">
            <w:pPr>
              <w:spacing w:after="0" w:line="240" w:lineRule="auto"/>
              <w:jc w:val="center"/>
              <w:rPr>
                <w:rFonts w:ascii="Times New Roman" w:hAnsi="Times New Roman"/>
                <w:sz w:val="20"/>
                <w:szCs w:val="20"/>
              </w:rPr>
            </w:pPr>
            <w:r w:rsidRPr="00266399">
              <w:rPr>
                <w:rFonts w:ascii="Times New Roman" w:hAnsi="Times New Roman"/>
                <w:sz w:val="20"/>
                <w:szCs w:val="20"/>
              </w:rPr>
              <w:t>09680179</w:t>
            </w:r>
          </w:p>
        </w:tc>
      </w:tr>
    </w:tbl>
    <w:p w14:paraId="01AAFEAF" w14:textId="77777777" w:rsidR="008A5BEA" w:rsidRPr="00712F3C" w:rsidRDefault="008A5BEA" w:rsidP="008A5BEA">
      <w:pPr>
        <w:spacing w:after="0" w:line="240" w:lineRule="auto"/>
        <w:ind w:left="-90" w:right="-90"/>
        <w:jc w:val="both"/>
        <w:rPr>
          <w:rFonts w:ascii="Times New Roman" w:hAnsi="Times New Roman"/>
          <w:sz w:val="20"/>
          <w:szCs w:val="20"/>
        </w:rPr>
      </w:pPr>
    </w:p>
    <w:p w14:paraId="17F92916" w14:textId="77777777" w:rsidR="008A5BEA" w:rsidRPr="00712F3C" w:rsidRDefault="008A5BEA" w:rsidP="008A5BEA">
      <w:pPr>
        <w:spacing w:after="0" w:line="240" w:lineRule="auto"/>
        <w:ind w:right="-90"/>
        <w:jc w:val="both"/>
        <w:rPr>
          <w:rFonts w:ascii="Times New Roman" w:hAnsi="Times New Roman"/>
          <w:sz w:val="20"/>
          <w:szCs w:val="20"/>
        </w:rPr>
      </w:pPr>
      <w:r w:rsidRPr="00712F3C">
        <w:rPr>
          <w:rFonts w:ascii="Times New Roman" w:hAnsi="Times New Roman"/>
          <w:sz w:val="20"/>
          <w:szCs w:val="20"/>
        </w:rPr>
        <w:t xml:space="preserve">For further details in relation to our </w:t>
      </w:r>
      <w:r>
        <w:rPr>
          <w:rFonts w:ascii="Times New Roman" w:hAnsi="Times New Roman"/>
          <w:sz w:val="20"/>
          <w:szCs w:val="20"/>
        </w:rPr>
        <w:t>d</w:t>
      </w:r>
      <w:r w:rsidRPr="00712F3C">
        <w:rPr>
          <w:rFonts w:ascii="Times New Roman" w:hAnsi="Times New Roman"/>
          <w:sz w:val="20"/>
          <w:szCs w:val="20"/>
        </w:rPr>
        <w:t xml:space="preserve">irectors, please refer to chapter titled </w:t>
      </w:r>
      <w:r w:rsidRPr="00712F3C">
        <w:rPr>
          <w:rFonts w:ascii="Times New Roman" w:hAnsi="Times New Roman"/>
          <w:b/>
          <w:i/>
          <w:sz w:val="20"/>
          <w:szCs w:val="20"/>
        </w:rPr>
        <w:t xml:space="preserve">“Our Management” </w:t>
      </w:r>
      <w:r w:rsidRPr="00712F3C">
        <w:rPr>
          <w:rFonts w:ascii="Times New Roman" w:hAnsi="Times New Roman"/>
          <w:sz w:val="20"/>
          <w:szCs w:val="20"/>
        </w:rPr>
        <w:t xml:space="preserve">on page </w:t>
      </w:r>
      <w:r>
        <w:rPr>
          <w:rFonts w:ascii="Times New Roman" w:hAnsi="Times New Roman"/>
          <w:sz w:val="20"/>
          <w:szCs w:val="20"/>
        </w:rPr>
        <w:t>111</w:t>
      </w:r>
      <w:r w:rsidRPr="00712F3C">
        <w:rPr>
          <w:rFonts w:ascii="Times New Roman" w:hAnsi="Times New Roman"/>
          <w:sz w:val="20"/>
          <w:szCs w:val="20"/>
        </w:rPr>
        <w:t xml:space="preserve"> of this Draft Red Herring Prospectus.</w:t>
      </w:r>
    </w:p>
    <w:p w14:paraId="4CA9FC99" w14:textId="77777777" w:rsidR="008A5BEA" w:rsidRPr="00712F3C" w:rsidRDefault="008A5BEA" w:rsidP="008A5BEA">
      <w:pPr>
        <w:spacing w:after="0" w:line="240" w:lineRule="auto"/>
        <w:ind w:left="-90" w:right="-90"/>
        <w:jc w:val="both"/>
        <w:rPr>
          <w:rFonts w:ascii="Times New Roman" w:hAnsi="Times New Roman"/>
          <w:sz w:val="20"/>
          <w:szCs w:val="20"/>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8A5BEA" w:rsidRPr="00712F3C" w14:paraId="63524FAB" w14:textId="77777777" w:rsidTr="00250DAC">
        <w:tc>
          <w:tcPr>
            <w:tcW w:w="5228" w:type="dxa"/>
            <w:shd w:val="clear" w:color="auto" w:fill="D0CECE" w:themeFill="background2" w:themeFillShade="E6"/>
          </w:tcPr>
          <w:p w14:paraId="304C4EA0" w14:textId="77777777" w:rsidR="008A5BEA" w:rsidRPr="00712F3C" w:rsidRDefault="008A5BEA" w:rsidP="00250DAC">
            <w:pPr>
              <w:spacing w:after="0" w:line="240" w:lineRule="auto"/>
              <w:ind w:right="-90"/>
              <w:jc w:val="both"/>
              <w:rPr>
                <w:rFonts w:ascii="Times New Roman" w:hAnsi="Times New Roman"/>
                <w:b/>
                <w:sz w:val="20"/>
                <w:szCs w:val="20"/>
              </w:rPr>
            </w:pPr>
            <w:r w:rsidRPr="00712F3C">
              <w:rPr>
                <w:rFonts w:ascii="Times New Roman" w:hAnsi="Times New Roman"/>
                <w:b/>
                <w:sz w:val="20"/>
                <w:szCs w:val="20"/>
              </w:rPr>
              <w:t>Chief Financial Officer</w:t>
            </w:r>
          </w:p>
        </w:tc>
        <w:tc>
          <w:tcPr>
            <w:tcW w:w="5228" w:type="dxa"/>
            <w:shd w:val="clear" w:color="auto" w:fill="D0CECE" w:themeFill="background2" w:themeFillShade="E6"/>
          </w:tcPr>
          <w:p w14:paraId="7A71302E" w14:textId="77777777" w:rsidR="008A5BEA" w:rsidRPr="00712F3C" w:rsidRDefault="008A5BEA" w:rsidP="00250DAC">
            <w:pPr>
              <w:spacing w:after="0" w:line="240" w:lineRule="auto"/>
              <w:ind w:right="-90"/>
              <w:jc w:val="both"/>
              <w:rPr>
                <w:rFonts w:ascii="Times New Roman" w:hAnsi="Times New Roman"/>
                <w:b/>
                <w:sz w:val="20"/>
                <w:szCs w:val="20"/>
              </w:rPr>
            </w:pPr>
            <w:r w:rsidRPr="00712F3C">
              <w:rPr>
                <w:rFonts w:ascii="Times New Roman" w:hAnsi="Times New Roman"/>
                <w:b/>
                <w:sz w:val="20"/>
                <w:szCs w:val="20"/>
              </w:rPr>
              <w:t>Company Secretary and Compliance Officer</w:t>
            </w:r>
          </w:p>
        </w:tc>
      </w:tr>
      <w:tr w:rsidR="008A5BEA" w:rsidRPr="002A2E99" w14:paraId="5DFDC42B" w14:textId="77777777" w:rsidTr="00250DAC">
        <w:tc>
          <w:tcPr>
            <w:tcW w:w="5228" w:type="dxa"/>
          </w:tcPr>
          <w:p w14:paraId="67C72FCE" w14:textId="77777777" w:rsidR="008A5BEA" w:rsidRPr="00712F3C" w:rsidRDefault="008A5BEA" w:rsidP="00250DAC">
            <w:pPr>
              <w:spacing w:after="0" w:line="240" w:lineRule="auto"/>
              <w:ind w:right="-90"/>
              <w:jc w:val="both"/>
              <w:rPr>
                <w:rFonts w:ascii="Times New Roman" w:hAnsi="Times New Roman"/>
                <w:b/>
                <w:sz w:val="20"/>
                <w:szCs w:val="20"/>
              </w:rPr>
            </w:pPr>
            <w:r>
              <w:rPr>
                <w:rFonts w:ascii="Times New Roman" w:hAnsi="Times New Roman"/>
                <w:b/>
                <w:sz w:val="20"/>
                <w:szCs w:val="20"/>
              </w:rPr>
              <w:t>Megha Bhavesh Maheshwari</w:t>
            </w:r>
            <w:r w:rsidRPr="00712F3C">
              <w:rPr>
                <w:rFonts w:ascii="Times New Roman" w:hAnsi="Times New Roman"/>
                <w:b/>
                <w:sz w:val="20"/>
                <w:szCs w:val="20"/>
              </w:rPr>
              <w:tab/>
              <w:t xml:space="preserve"> </w:t>
            </w:r>
            <w:r w:rsidRPr="00712F3C">
              <w:rPr>
                <w:rFonts w:ascii="Times New Roman" w:hAnsi="Times New Roman"/>
                <w:b/>
                <w:sz w:val="20"/>
                <w:szCs w:val="20"/>
              </w:rPr>
              <w:tab/>
            </w:r>
          </w:p>
          <w:p w14:paraId="5F81E61F" w14:textId="77777777" w:rsidR="008A5BEA" w:rsidRDefault="008A5BEA" w:rsidP="00250DAC">
            <w:pPr>
              <w:spacing w:after="0" w:line="240" w:lineRule="auto"/>
              <w:ind w:right="-90"/>
              <w:rPr>
                <w:rFonts w:ascii="Times New Roman" w:hAnsi="Times New Roman"/>
                <w:b/>
                <w:sz w:val="20"/>
                <w:szCs w:val="20"/>
              </w:rPr>
            </w:pPr>
            <w:r w:rsidRPr="00E72502">
              <w:rPr>
                <w:rFonts w:ascii="Times New Roman" w:hAnsi="Times New Roman"/>
                <w:b/>
                <w:sz w:val="20"/>
                <w:szCs w:val="20"/>
              </w:rPr>
              <w:t xml:space="preserve">Siyaram Recycling Industries Limited </w:t>
            </w:r>
          </w:p>
          <w:p w14:paraId="15662FDF" w14:textId="72BA4CB5" w:rsidR="008A5BEA" w:rsidRPr="00CB2D76" w:rsidRDefault="008A5BEA" w:rsidP="00250DAC">
            <w:pPr>
              <w:spacing w:after="0" w:line="240" w:lineRule="auto"/>
              <w:ind w:right="-90"/>
              <w:rPr>
                <w:rFonts w:ascii="Times New Roman" w:hAnsi="Times New Roman"/>
                <w:sz w:val="20"/>
                <w:szCs w:val="20"/>
              </w:rPr>
            </w:pPr>
            <w:r w:rsidRPr="00712F3C">
              <w:rPr>
                <w:rFonts w:ascii="Times New Roman" w:hAnsi="Times New Roman"/>
                <w:b/>
                <w:sz w:val="20"/>
                <w:szCs w:val="20"/>
              </w:rPr>
              <w:t>Address:</w:t>
            </w:r>
            <w:r w:rsidRPr="00712F3C">
              <w:rPr>
                <w:rFonts w:ascii="Times New Roman" w:hAnsi="Times New Roman"/>
                <w:sz w:val="20"/>
                <w:szCs w:val="20"/>
              </w:rPr>
              <w:t xml:space="preserve"> </w:t>
            </w:r>
            <w:r w:rsidRPr="00266399">
              <w:rPr>
                <w:rFonts w:ascii="Times New Roman" w:hAnsi="Times New Roman"/>
                <w:sz w:val="20"/>
                <w:szCs w:val="20"/>
              </w:rPr>
              <w:t>Plot No. 6 &amp; 7, Villag</w:t>
            </w:r>
            <w:r>
              <w:rPr>
                <w:rFonts w:ascii="Times New Roman" w:hAnsi="Times New Roman"/>
                <w:sz w:val="20"/>
                <w:szCs w:val="20"/>
              </w:rPr>
              <w:t>e</w:t>
            </w:r>
            <w:r w:rsidRPr="00266399">
              <w:rPr>
                <w:rFonts w:ascii="Times New Roman" w:hAnsi="Times New Roman"/>
                <w:sz w:val="20"/>
                <w:szCs w:val="20"/>
              </w:rPr>
              <w:t>: Lakhabaval Post: Khodiyar Colony</w:t>
            </w:r>
            <w:r w:rsidR="00FA5CBC">
              <w:rPr>
                <w:rFonts w:ascii="Times New Roman" w:hAnsi="Times New Roman"/>
                <w:sz w:val="20"/>
                <w:szCs w:val="20"/>
              </w:rPr>
              <w:t xml:space="preserve">, </w:t>
            </w:r>
            <w:r w:rsidRPr="00266399">
              <w:rPr>
                <w:rFonts w:ascii="Times New Roman" w:hAnsi="Times New Roman"/>
                <w:sz w:val="20"/>
                <w:szCs w:val="20"/>
              </w:rPr>
              <w:t>Jamnagar</w:t>
            </w:r>
            <w:r>
              <w:rPr>
                <w:rFonts w:ascii="Times New Roman" w:hAnsi="Times New Roman"/>
                <w:sz w:val="20"/>
                <w:szCs w:val="20"/>
              </w:rPr>
              <w:t>-</w:t>
            </w:r>
            <w:r w:rsidRPr="00CB2D76">
              <w:rPr>
                <w:rFonts w:ascii="Times New Roman" w:hAnsi="Times New Roman"/>
                <w:sz w:val="20"/>
                <w:szCs w:val="20"/>
              </w:rPr>
              <w:t>361006 Gujarat.</w:t>
            </w:r>
          </w:p>
          <w:p w14:paraId="0C47341D" w14:textId="77777777" w:rsidR="008A5BEA" w:rsidRPr="002A2E99" w:rsidRDefault="008A5BEA" w:rsidP="00250DAC">
            <w:pPr>
              <w:spacing w:after="0" w:line="240" w:lineRule="auto"/>
              <w:ind w:right="-90"/>
              <w:jc w:val="both"/>
              <w:rPr>
                <w:rFonts w:ascii="Times New Roman" w:hAnsi="Times New Roman"/>
                <w:sz w:val="20"/>
                <w:szCs w:val="20"/>
                <w:lang w:val="pt-BR"/>
              </w:rPr>
            </w:pPr>
            <w:r w:rsidRPr="00CB2D76">
              <w:rPr>
                <w:rFonts w:ascii="Times New Roman" w:hAnsi="Times New Roman"/>
                <w:b/>
                <w:sz w:val="20"/>
                <w:szCs w:val="20"/>
                <w:lang w:val="pt-BR"/>
              </w:rPr>
              <w:t>Tel. No.:</w:t>
            </w:r>
            <w:r w:rsidRPr="00CB2D76">
              <w:rPr>
                <w:rFonts w:ascii="Times New Roman" w:hAnsi="Times New Roman"/>
                <w:sz w:val="20"/>
                <w:szCs w:val="20"/>
                <w:lang w:val="pt-BR"/>
              </w:rPr>
              <w:t xml:space="preserve"> +91-75750-20500</w:t>
            </w:r>
          </w:p>
          <w:p w14:paraId="22A6F58F" w14:textId="272810CB" w:rsidR="008A5BEA" w:rsidRPr="002A2E99" w:rsidRDefault="008A5BEA" w:rsidP="00250DAC">
            <w:pPr>
              <w:spacing w:after="0" w:line="240" w:lineRule="auto"/>
              <w:ind w:right="-90"/>
              <w:jc w:val="both"/>
              <w:rPr>
                <w:rFonts w:ascii="Times New Roman" w:hAnsi="Times New Roman"/>
                <w:b/>
                <w:sz w:val="20"/>
                <w:szCs w:val="20"/>
                <w:lang w:val="pt-BR"/>
              </w:rPr>
            </w:pPr>
            <w:r w:rsidRPr="001E3B1F">
              <w:rPr>
                <w:rFonts w:ascii="Times New Roman" w:hAnsi="Times New Roman"/>
                <w:b/>
                <w:sz w:val="20"/>
                <w:szCs w:val="20"/>
                <w:lang w:val="pt-BR"/>
              </w:rPr>
              <w:t xml:space="preserve">Email: </w:t>
            </w:r>
            <w:hyperlink r:id="rId15" w:history="1">
              <w:r w:rsidR="001E3B1F" w:rsidRPr="001E3B1F">
                <w:rPr>
                  <w:rStyle w:val="Hyperlink"/>
                  <w:rFonts w:ascii="Times New Roman" w:hAnsi="Times New Roman"/>
                  <w:sz w:val="20"/>
                  <w:szCs w:val="20"/>
                </w:rPr>
                <w:t>cfo@siyaramindustries.co.in</w:t>
              </w:r>
            </w:hyperlink>
            <w:r w:rsidR="001E3B1F">
              <w:t xml:space="preserve"> </w:t>
            </w:r>
          </w:p>
        </w:tc>
        <w:tc>
          <w:tcPr>
            <w:tcW w:w="5228" w:type="dxa"/>
          </w:tcPr>
          <w:p w14:paraId="7A272B30" w14:textId="77777777" w:rsidR="008A5BEA" w:rsidRPr="00A56068" w:rsidRDefault="008A5BEA" w:rsidP="00250DAC">
            <w:pPr>
              <w:spacing w:after="0" w:line="240" w:lineRule="auto"/>
              <w:ind w:right="-90"/>
              <w:jc w:val="both"/>
              <w:rPr>
                <w:rFonts w:ascii="Times New Roman" w:hAnsi="Times New Roman"/>
                <w:b/>
                <w:bCs/>
                <w:sz w:val="20"/>
                <w:szCs w:val="20"/>
              </w:rPr>
            </w:pPr>
            <w:r w:rsidRPr="00A56068">
              <w:rPr>
                <w:rFonts w:ascii="Times New Roman" w:eastAsiaTheme="minorHAnsi" w:hAnsi="Times New Roman"/>
                <w:b/>
                <w:bCs/>
                <w:sz w:val="20"/>
                <w:szCs w:val="20"/>
                <w14:ligatures w14:val="standardContextual"/>
              </w:rPr>
              <w:t>Kiran Parmanand Goklani</w:t>
            </w:r>
            <w:r w:rsidRPr="00A56068">
              <w:rPr>
                <w:rFonts w:ascii="Times New Roman" w:hAnsi="Times New Roman"/>
                <w:b/>
                <w:bCs/>
                <w:sz w:val="20"/>
                <w:szCs w:val="20"/>
              </w:rPr>
              <w:tab/>
            </w:r>
          </w:p>
          <w:p w14:paraId="4BB0D223" w14:textId="77777777" w:rsidR="008A5BEA" w:rsidRDefault="008A5BEA" w:rsidP="00250DAC">
            <w:pPr>
              <w:spacing w:after="0" w:line="240" w:lineRule="auto"/>
              <w:ind w:right="-90"/>
              <w:rPr>
                <w:rFonts w:ascii="Times New Roman" w:hAnsi="Times New Roman"/>
                <w:b/>
                <w:sz w:val="20"/>
                <w:szCs w:val="20"/>
              </w:rPr>
            </w:pPr>
            <w:r w:rsidRPr="00E72502">
              <w:rPr>
                <w:rFonts w:ascii="Times New Roman" w:hAnsi="Times New Roman"/>
                <w:b/>
                <w:sz w:val="20"/>
                <w:szCs w:val="20"/>
              </w:rPr>
              <w:t xml:space="preserve">Siyaram Recycling Industries Limited </w:t>
            </w:r>
          </w:p>
          <w:p w14:paraId="597A72BD" w14:textId="11D28D0E" w:rsidR="008A5BEA" w:rsidRPr="00CB2D76" w:rsidRDefault="008A5BEA" w:rsidP="00250DAC">
            <w:pPr>
              <w:spacing w:after="0" w:line="240" w:lineRule="auto"/>
              <w:ind w:right="-90"/>
              <w:rPr>
                <w:rFonts w:ascii="Times New Roman" w:hAnsi="Times New Roman"/>
                <w:sz w:val="20"/>
                <w:szCs w:val="20"/>
              </w:rPr>
            </w:pPr>
            <w:r w:rsidRPr="00712F3C">
              <w:rPr>
                <w:rFonts w:ascii="Times New Roman" w:hAnsi="Times New Roman"/>
                <w:b/>
                <w:sz w:val="20"/>
                <w:szCs w:val="20"/>
              </w:rPr>
              <w:t>Address:</w:t>
            </w:r>
            <w:r w:rsidRPr="00712F3C">
              <w:rPr>
                <w:rFonts w:ascii="Times New Roman" w:hAnsi="Times New Roman"/>
                <w:sz w:val="20"/>
                <w:szCs w:val="20"/>
              </w:rPr>
              <w:t xml:space="preserve"> </w:t>
            </w:r>
            <w:r w:rsidRPr="00816541">
              <w:rPr>
                <w:rFonts w:ascii="Times New Roman" w:hAnsi="Times New Roman"/>
                <w:sz w:val="20"/>
                <w:szCs w:val="20"/>
              </w:rPr>
              <w:t>Plot No. 6 &amp; 7</w:t>
            </w:r>
            <w:r w:rsidRPr="00CB2D76">
              <w:rPr>
                <w:rFonts w:ascii="Times New Roman" w:hAnsi="Times New Roman"/>
                <w:sz w:val="20"/>
                <w:szCs w:val="20"/>
              </w:rPr>
              <w:t>, Village: Lakhabaval Post: Khodiyar Colony</w:t>
            </w:r>
            <w:r w:rsidR="00FA5CBC" w:rsidRPr="00CB2D76">
              <w:rPr>
                <w:rFonts w:ascii="Times New Roman" w:hAnsi="Times New Roman"/>
                <w:sz w:val="20"/>
                <w:szCs w:val="20"/>
              </w:rPr>
              <w:t xml:space="preserve">, </w:t>
            </w:r>
            <w:r w:rsidRPr="00CB2D76">
              <w:rPr>
                <w:rFonts w:ascii="Times New Roman" w:hAnsi="Times New Roman"/>
                <w:sz w:val="20"/>
                <w:szCs w:val="20"/>
              </w:rPr>
              <w:t>Jamnagar-361006 Gujarat.</w:t>
            </w:r>
          </w:p>
          <w:p w14:paraId="49909753" w14:textId="77777777" w:rsidR="008A5BEA" w:rsidRPr="002A2E99" w:rsidRDefault="008A5BEA" w:rsidP="00250DAC">
            <w:pPr>
              <w:spacing w:after="0" w:line="240" w:lineRule="auto"/>
              <w:ind w:right="-90"/>
              <w:jc w:val="both"/>
              <w:rPr>
                <w:rFonts w:ascii="Times New Roman" w:hAnsi="Times New Roman"/>
                <w:sz w:val="20"/>
                <w:szCs w:val="20"/>
                <w:lang w:val="pt-BR"/>
              </w:rPr>
            </w:pPr>
            <w:r w:rsidRPr="00CB2D76">
              <w:rPr>
                <w:rFonts w:ascii="Times New Roman" w:hAnsi="Times New Roman"/>
                <w:b/>
                <w:sz w:val="20"/>
                <w:szCs w:val="20"/>
                <w:lang w:val="pt-BR"/>
              </w:rPr>
              <w:t>Tel. No.:</w:t>
            </w:r>
            <w:r w:rsidRPr="00CB2D76">
              <w:rPr>
                <w:rFonts w:ascii="Times New Roman" w:hAnsi="Times New Roman"/>
                <w:sz w:val="20"/>
                <w:szCs w:val="20"/>
                <w:lang w:val="pt-BR"/>
              </w:rPr>
              <w:t xml:space="preserve"> +91-75750-20500</w:t>
            </w:r>
          </w:p>
          <w:p w14:paraId="4B0A1CC0" w14:textId="4F623D86" w:rsidR="008A5BEA" w:rsidRPr="002A2E99" w:rsidRDefault="001E3B1F" w:rsidP="00250DAC">
            <w:pPr>
              <w:spacing w:after="0" w:line="240" w:lineRule="auto"/>
              <w:ind w:right="-90"/>
              <w:jc w:val="both"/>
              <w:rPr>
                <w:rFonts w:ascii="Times New Roman" w:hAnsi="Times New Roman"/>
                <w:sz w:val="20"/>
                <w:szCs w:val="20"/>
                <w:lang w:val="pt-BR"/>
              </w:rPr>
            </w:pPr>
            <w:r w:rsidRPr="001E3B1F">
              <w:rPr>
                <w:rFonts w:ascii="Times New Roman" w:hAnsi="Times New Roman"/>
                <w:b/>
                <w:sz w:val="20"/>
                <w:szCs w:val="20"/>
                <w:lang w:val="pt-BR"/>
              </w:rPr>
              <w:t xml:space="preserve">Email: </w:t>
            </w:r>
            <w:hyperlink r:id="rId16" w:history="1">
              <w:r w:rsidRPr="00C216CD">
                <w:rPr>
                  <w:rStyle w:val="Hyperlink"/>
                  <w:rFonts w:ascii="Times New Roman" w:hAnsi="Times New Roman"/>
                  <w:sz w:val="20"/>
                  <w:szCs w:val="20"/>
                </w:rPr>
                <w:t>c</w:t>
              </w:r>
              <w:r w:rsidRPr="00C216CD">
                <w:rPr>
                  <w:rStyle w:val="Hyperlink"/>
                  <w:rFonts w:ascii="Times New Roman" w:hAnsi="Times New Roman"/>
                  <w:sz w:val="20"/>
                  <w:szCs w:val="20"/>
                </w:rPr>
                <w:t>s</w:t>
              </w:r>
              <w:r w:rsidRPr="00C216CD">
                <w:rPr>
                  <w:rStyle w:val="Hyperlink"/>
                  <w:rFonts w:ascii="Times New Roman" w:hAnsi="Times New Roman"/>
                  <w:sz w:val="20"/>
                  <w:szCs w:val="20"/>
                </w:rPr>
                <w:t>@siyaramindustries.co.in</w:t>
              </w:r>
            </w:hyperlink>
            <w:r>
              <w:rPr>
                <w:rFonts w:ascii="Times New Roman" w:hAnsi="Times New Roman"/>
                <w:sz w:val="20"/>
                <w:szCs w:val="20"/>
              </w:rPr>
              <w:t xml:space="preserve"> </w:t>
            </w:r>
          </w:p>
        </w:tc>
      </w:tr>
    </w:tbl>
    <w:p w14:paraId="6B5B9E54" w14:textId="77777777" w:rsidR="008A5BEA" w:rsidRPr="002A2E99" w:rsidRDefault="008A5BEA" w:rsidP="008A5BEA">
      <w:pPr>
        <w:spacing w:after="0" w:line="240" w:lineRule="auto"/>
        <w:jc w:val="both"/>
        <w:rPr>
          <w:rFonts w:ascii="Times New Roman" w:hAnsi="Times New Roman"/>
          <w:sz w:val="20"/>
          <w:szCs w:val="20"/>
          <w:lang w:val="pt-BR"/>
        </w:rPr>
      </w:pPr>
    </w:p>
    <w:p w14:paraId="34D5EE42" w14:textId="77777777" w:rsidR="008A5BEA" w:rsidRPr="002A2E99" w:rsidRDefault="008A5BEA" w:rsidP="008A5BEA">
      <w:pPr>
        <w:spacing w:after="0" w:line="240" w:lineRule="auto"/>
        <w:jc w:val="both"/>
        <w:rPr>
          <w:rFonts w:ascii="Times New Roman" w:hAnsi="Times New Roman"/>
          <w:sz w:val="20"/>
          <w:szCs w:val="20"/>
          <w:lang w:val="pt-BR"/>
        </w:rPr>
      </w:pPr>
    </w:p>
    <w:p w14:paraId="4FA3BC2F" w14:textId="77777777" w:rsidR="008A5BEA" w:rsidRPr="00712F3C" w:rsidRDefault="008A5BEA" w:rsidP="008A5BEA">
      <w:pPr>
        <w:spacing w:after="0" w:line="240" w:lineRule="auto"/>
        <w:ind w:right="-90"/>
        <w:jc w:val="both"/>
        <w:rPr>
          <w:rFonts w:ascii="Times New Roman" w:hAnsi="Times New Roman"/>
          <w:b/>
          <w:sz w:val="20"/>
          <w:szCs w:val="20"/>
          <w:u w:val="single"/>
        </w:rPr>
      </w:pPr>
      <w:r w:rsidRPr="00712F3C">
        <w:rPr>
          <w:rFonts w:ascii="Times New Roman" w:hAnsi="Times New Roman"/>
          <w:b/>
          <w:sz w:val="20"/>
          <w:szCs w:val="20"/>
          <w:u w:val="single"/>
        </w:rPr>
        <w:lastRenderedPageBreak/>
        <w:t>Investor Grievances:</w:t>
      </w:r>
    </w:p>
    <w:p w14:paraId="577747D7" w14:textId="77777777" w:rsidR="008A5BEA" w:rsidRPr="00712F3C" w:rsidRDefault="008A5BEA" w:rsidP="008A5BEA">
      <w:pPr>
        <w:spacing w:after="0" w:line="240" w:lineRule="auto"/>
        <w:ind w:right="-90"/>
        <w:jc w:val="both"/>
        <w:rPr>
          <w:rFonts w:ascii="Times New Roman" w:hAnsi="Times New Roman"/>
          <w:sz w:val="20"/>
          <w:szCs w:val="20"/>
        </w:rPr>
      </w:pPr>
    </w:p>
    <w:p w14:paraId="160BEB1C" w14:textId="77777777" w:rsidR="008A5BEA" w:rsidRPr="00712F3C" w:rsidRDefault="008A5BEA" w:rsidP="008A5BEA">
      <w:pPr>
        <w:spacing w:after="0" w:line="240" w:lineRule="auto"/>
        <w:ind w:right="-90"/>
        <w:jc w:val="both"/>
        <w:rPr>
          <w:rFonts w:ascii="Times New Roman" w:hAnsi="Times New Roman"/>
          <w:b/>
          <w:sz w:val="20"/>
          <w:szCs w:val="20"/>
        </w:rPr>
      </w:pPr>
      <w:bookmarkStart w:id="5" w:name="_heading=h.gjdgxs" w:colFirst="0" w:colLast="0"/>
      <w:bookmarkEnd w:id="5"/>
      <w:r w:rsidRPr="00712F3C">
        <w:rPr>
          <w:rFonts w:ascii="Times New Roman" w:hAnsi="Times New Roman"/>
          <w:b/>
          <w:sz w:val="20"/>
          <w:szCs w:val="20"/>
        </w:rPr>
        <w:t>Investors can contact the Company Secretary and Compliance Officer, the BRLM or the Registrar to the Issue in case of any pre-Issue or post-Issue related problems, such as non-receipt of letters of Allotment, noncredit of Allotted Equity Shares in the respective beneficiary account, non-receipt of refund orders and non-receipt of funds by electronic mode.</w:t>
      </w:r>
    </w:p>
    <w:p w14:paraId="62474924" w14:textId="77777777" w:rsidR="008A5BEA" w:rsidRPr="00712F3C" w:rsidRDefault="008A5BEA" w:rsidP="008A5BEA">
      <w:pPr>
        <w:spacing w:after="0" w:line="240" w:lineRule="auto"/>
        <w:ind w:right="-90"/>
        <w:jc w:val="both"/>
        <w:rPr>
          <w:rFonts w:ascii="Times New Roman" w:hAnsi="Times New Roman"/>
          <w:sz w:val="20"/>
          <w:szCs w:val="20"/>
        </w:rPr>
      </w:pPr>
    </w:p>
    <w:p w14:paraId="63CDDE37" w14:textId="77777777" w:rsidR="008A5BEA" w:rsidRPr="00712F3C" w:rsidRDefault="008A5BEA" w:rsidP="008A5BEA">
      <w:pPr>
        <w:spacing w:after="0" w:line="240" w:lineRule="auto"/>
        <w:ind w:right="-90"/>
        <w:jc w:val="both"/>
        <w:rPr>
          <w:rFonts w:ascii="Times New Roman" w:hAnsi="Times New Roman"/>
          <w:sz w:val="20"/>
          <w:szCs w:val="20"/>
        </w:rPr>
      </w:pPr>
      <w:r w:rsidRPr="00712F3C">
        <w:rPr>
          <w:rFonts w:ascii="Times New Roman" w:hAnsi="Times New Roman"/>
          <w:sz w:val="20"/>
          <w:szCs w:val="20"/>
        </w:rPr>
        <w:t xml:space="preserve">All grievances relating to the ASBA process may be addressed to the Registrar to the Issue with a copy to the relevant Designated Intermediary with whom the ASBA Form was submitted. The Applicant should give full details such as name of the sole or first Applicant, ASBA Form number, Applicant DP ID, Client ID, PAN, date of the ASBA Form, details of UPI IDs (if applicable), address of the Applicant, number of Equity Shares applied for and the name and address of the Designated Intermediary where the ASBA Form was submitted by the ASBA Applicant. </w:t>
      </w:r>
    </w:p>
    <w:p w14:paraId="6BD2D2A6" w14:textId="77777777" w:rsidR="008A5BEA" w:rsidRPr="00712F3C" w:rsidRDefault="008A5BEA" w:rsidP="008A5BEA">
      <w:pPr>
        <w:spacing w:after="0" w:line="240" w:lineRule="auto"/>
        <w:ind w:right="-90"/>
        <w:jc w:val="both"/>
        <w:rPr>
          <w:rFonts w:ascii="Times New Roman" w:hAnsi="Times New Roman"/>
          <w:sz w:val="20"/>
          <w:szCs w:val="20"/>
        </w:rPr>
      </w:pPr>
    </w:p>
    <w:p w14:paraId="11E80F03" w14:textId="77777777" w:rsidR="008A5BEA" w:rsidRPr="00712F3C" w:rsidRDefault="008A5BEA" w:rsidP="008A5BEA">
      <w:pPr>
        <w:spacing w:after="0" w:line="240" w:lineRule="auto"/>
        <w:ind w:right="-90"/>
        <w:jc w:val="both"/>
        <w:rPr>
          <w:rFonts w:ascii="Times New Roman" w:hAnsi="Times New Roman"/>
          <w:sz w:val="20"/>
          <w:szCs w:val="20"/>
        </w:rPr>
      </w:pPr>
      <w:r w:rsidRPr="00712F3C">
        <w:rPr>
          <w:rFonts w:ascii="Times New Roman" w:hAnsi="Times New Roman"/>
          <w:sz w:val="20"/>
          <w:szCs w:val="20"/>
        </w:rPr>
        <w:t>Further, the investors shall also enclose the Acknowledgment Slip from the Designated Intermediaries in addition to the documents/information mentioned hereinabove.</w:t>
      </w:r>
    </w:p>
    <w:p w14:paraId="0E949E5D" w14:textId="77777777" w:rsidR="008A5BEA" w:rsidRPr="00712F3C" w:rsidRDefault="008A5BEA" w:rsidP="008A5BEA">
      <w:pPr>
        <w:spacing w:after="0" w:line="240" w:lineRule="auto"/>
        <w:ind w:right="-90"/>
        <w:jc w:val="both"/>
        <w:rPr>
          <w:rFonts w:ascii="Times New Roman" w:hAnsi="Times New Roman"/>
          <w:b/>
          <w:sz w:val="20"/>
          <w:szCs w:val="20"/>
        </w:rPr>
      </w:pPr>
    </w:p>
    <w:p w14:paraId="768C1911" w14:textId="77777777" w:rsidR="008A5BEA" w:rsidRPr="00712F3C" w:rsidRDefault="008A5BEA" w:rsidP="008A5BEA">
      <w:pPr>
        <w:spacing w:after="0" w:line="240" w:lineRule="auto"/>
        <w:ind w:right="-90"/>
        <w:jc w:val="both"/>
        <w:rPr>
          <w:rFonts w:ascii="Times New Roman" w:hAnsi="Times New Roman"/>
          <w:b/>
          <w:sz w:val="20"/>
          <w:szCs w:val="20"/>
        </w:rPr>
      </w:pPr>
      <w:r w:rsidRPr="00712F3C">
        <w:rPr>
          <w:rFonts w:ascii="Times New Roman" w:hAnsi="Times New Roman"/>
          <w:b/>
          <w:sz w:val="20"/>
          <w:szCs w:val="20"/>
        </w:rPr>
        <w:t xml:space="preserve">Details of Key Intermediaries pertaining to this Issue and Our Company: </w:t>
      </w:r>
    </w:p>
    <w:p w14:paraId="77AAA5B9" w14:textId="77777777" w:rsidR="008A5BEA" w:rsidRPr="00712F3C" w:rsidRDefault="008A5BEA" w:rsidP="008A5BEA">
      <w:pPr>
        <w:spacing w:after="0" w:line="240" w:lineRule="auto"/>
        <w:jc w:val="both"/>
        <w:rPr>
          <w:rFonts w:ascii="Times New Roman" w:hAnsi="Times New Roman"/>
          <w:b/>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099"/>
        <w:gridCol w:w="5358"/>
      </w:tblGrid>
      <w:tr w:rsidR="008A5BEA" w:rsidRPr="00712F3C" w14:paraId="371CA004" w14:textId="77777777" w:rsidTr="00250DAC">
        <w:trPr>
          <w:trHeight w:val="20"/>
        </w:trPr>
        <w:tc>
          <w:tcPr>
            <w:tcW w:w="2438" w:type="pct"/>
            <w:shd w:val="clear" w:color="auto" w:fill="D0CECE" w:themeFill="background2" w:themeFillShade="E6"/>
            <w:vAlign w:val="center"/>
          </w:tcPr>
          <w:p w14:paraId="68A4907B" w14:textId="77777777" w:rsidR="008A5BEA" w:rsidRPr="00712F3C" w:rsidRDefault="008A5BEA" w:rsidP="00250DAC">
            <w:pPr>
              <w:tabs>
                <w:tab w:val="left" w:pos="2758"/>
              </w:tabs>
              <w:spacing w:after="0" w:line="240" w:lineRule="auto"/>
              <w:jc w:val="center"/>
              <w:rPr>
                <w:rFonts w:ascii="Times New Roman" w:hAnsi="Times New Roman"/>
                <w:b/>
                <w:sz w:val="20"/>
                <w:szCs w:val="20"/>
              </w:rPr>
            </w:pPr>
            <w:r w:rsidRPr="00712F3C">
              <w:rPr>
                <w:rFonts w:ascii="Times New Roman" w:hAnsi="Times New Roman"/>
                <w:b/>
                <w:sz w:val="20"/>
                <w:szCs w:val="20"/>
              </w:rPr>
              <w:t>Book Running Lead Manager of the Issue</w:t>
            </w:r>
          </w:p>
        </w:tc>
        <w:tc>
          <w:tcPr>
            <w:tcW w:w="2562" w:type="pct"/>
            <w:shd w:val="clear" w:color="auto" w:fill="D0CECE" w:themeFill="background2" w:themeFillShade="E6"/>
            <w:vAlign w:val="center"/>
          </w:tcPr>
          <w:p w14:paraId="0C47BCA4" w14:textId="77777777" w:rsidR="008A5BEA" w:rsidRPr="00712F3C" w:rsidRDefault="008A5BEA" w:rsidP="00250DAC">
            <w:pPr>
              <w:spacing w:after="0" w:line="240" w:lineRule="auto"/>
              <w:jc w:val="center"/>
              <w:rPr>
                <w:rFonts w:ascii="Times New Roman" w:hAnsi="Times New Roman"/>
                <w:b/>
                <w:sz w:val="20"/>
                <w:szCs w:val="20"/>
              </w:rPr>
            </w:pPr>
            <w:r w:rsidRPr="00712F3C">
              <w:rPr>
                <w:rFonts w:ascii="Times New Roman" w:hAnsi="Times New Roman"/>
                <w:b/>
                <w:sz w:val="20"/>
                <w:szCs w:val="20"/>
              </w:rPr>
              <w:t>Legal Advisor to the Issue</w:t>
            </w:r>
          </w:p>
        </w:tc>
      </w:tr>
      <w:tr w:rsidR="008A5BEA" w:rsidRPr="00A56068" w14:paraId="38F3BC28" w14:textId="77777777" w:rsidTr="00250DAC">
        <w:trPr>
          <w:trHeight w:val="20"/>
        </w:trPr>
        <w:tc>
          <w:tcPr>
            <w:tcW w:w="2438" w:type="pct"/>
            <w:tcBorders>
              <w:bottom w:val="single" w:sz="4" w:space="0" w:color="000000"/>
            </w:tcBorders>
          </w:tcPr>
          <w:p w14:paraId="60339B62" w14:textId="77777777" w:rsidR="008A5BEA" w:rsidRPr="00712F3C" w:rsidRDefault="008A5BEA" w:rsidP="00250DAC">
            <w:pPr>
              <w:spacing w:after="0" w:line="240" w:lineRule="auto"/>
              <w:rPr>
                <w:rFonts w:ascii="Times New Roman" w:hAnsi="Times New Roman"/>
                <w:b/>
                <w:sz w:val="20"/>
                <w:szCs w:val="20"/>
              </w:rPr>
            </w:pPr>
            <w:r w:rsidRPr="00712F3C">
              <w:rPr>
                <w:rFonts w:ascii="Times New Roman" w:hAnsi="Times New Roman"/>
                <w:b/>
                <w:sz w:val="20"/>
                <w:szCs w:val="20"/>
              </w:rPr>
              <w:t>Hem Securities Limited</w:t>
            </w:r>
          </w:p>
          <w:p w14:paraId="36DCE7F4" w14:textId="77777777" w:rsidR="008A5BEA" w:rsidRPr="00712F3C" w:rsidRDefault="008A5BEA" w:rsidP="00250DAC">
            <w:pPr>
              <w:spacing w:after="0" w:line="240" w:lineRule="auto"/>
              <w:rPr>
                <w:rFonts w:ascii="Times New Roman" w:hAnsi="Times New Roman"/>
                <w:color w:val="000000"/>
                <w:sz w:val="20"/>
                <w:szCs w:val="20"/>
              </w:rPr>
            </w:pPr>
            <w:r w:rsidRPr="00712F3C">
              <w:rPr>
                <w:rFonts w:ascii="Times New Roman" w:hAnsi="Times New Roman"/>
                <w:b/>
                <w:color w:val="000000"/>
                <w:sz w:val="20"/>
                <w:szCs w:val="20"/>
              </w:rPr>
              <w:t>Address:</w:t>
            </w:r>
            <w:r w:rsidRPr="00712F3C">
              <w:rPr>
                <w:rFonts w:ascii="Times New Roman" w:hAnsi="Times New Roman"/>
                <w:color w:val="000000"/>
                <w:sz w:val="20"/>
                <w:szCs w:val="20"/>
              </w:rPr>
              <w:t xml:space="preserve"> 904, A Wing, Naman Midtown, Senapati Bapat Marg, Elphinstone Road, Lower Parel,</w:t>
            </w:r>
            <w:r>
              <w:rPr>
                <w:rFonts w:ascii="Times New Roman" w:hAnsi="Times New Roman"/>
                <w:color w:val="000000"/>
                <w:sz w:val="20"/>
                <w:szCs w:val="20"/>
              </w:rPr>
              <w:t xml:space="preserve"> </w:t>
            </w:r>
            <w:r w:rsidRPr="00712F3C">
              <w:rPr>
                <w:rFonts w:ascii="Times New Roman" w:hAnsi="Times New Roman"/>
                <w:color w:val="000000"/>
                <w:sz w:val="20"/>
                <w:szCs w:val="20"/>
              </w:rPr>
              <w:t xml:space="preserve">Mumbai-400013, Maharashtra, India </w:t>
            </w:r>
          </w:p>
          <w:p w14:paraId="53BB3DF4" w14:textId="77777777" w:rsidR="008A5BEA" w:rsidRPr="002A2E99" w:rsidRDefault="008A5BEA" w:rsidP="00250DAC">
            <w:pPr>
              <w:spacing w:after="0" w:line="240" w:lineRule="auto"/>
              <w:rPr>
                <w:rFonts w:ascii="Times New Roman" w:hAnsi="Times New Roman"/>
                <w:sz w:val="20"/>
                <w:szCs w:val="20"/>
                <w:lang w:val="pt-BR"/>
              </w:rPr>
            </w:pPr>
            <w:r w:rsidRPr="002A2E99">
              <w:rPr>
                <w:rFonts w:ascii="Times New Roman" w:hAnsi="Times New Roman"/>
                <w:b/>
                <w:sz w:val="20"/>
                <w:szCs w:val="20"/>
                <w:lang w:val="pt-BR"/>
              </w:rPr>
              <w:t>Tel No.: +</w:t>
            </w:r>
            <w:r w:rsidRPr="002A2E99">
              <w:rPr>
                <w:rFonts w:ascii="Times New Roman" w:hAnsi="Times New Roman"/>
                <w:sz w:val="20"/>
                <w:szCs w:val="20"/>
                <w:lang w:val="pt-BR"/>
              </w:rPr>
              <w:t>91-22-4906 0000</w:t>
            </w:r>
          </w:p>
          <w:p w14:paraId="514489F7" w14:textId="77777777" w:rsidR="008A5BEA" w:rsidRPr="002A2E99" w:rsidRDefault="008A5BEA" w:rsidP="00250DAC">
            <w:pPr>
              <w:spacing w:after="0" w:line="240" w:lineRule="auto"/>
              <w:rPr>
                <w:rFonts w:ascii="Times New Roman" w:hAnsi="Times New Roman"/>
                <w:b/>
                <w:sz w:val="20"/>
                <w:szCs w:val="20"/>
                <w:lang w:val="pt-BR"/>
              </w:rPr>
            </w:pPr>
            <w:r w:rsidRPr="002A2E99">
              <w:rPr>
                <w:rFonts w:ascii="Times New Roman" w:hAnsi="Times New Roman"/>
                <w:b/>
                <w:sz w:val="20"/>
                <w:szCs w:val="20"/>
                <w:lang w:val="pt-BR"/>
              </w:rPr>
              <w:t>Fax No.: +</w:t>
            </w:r>
            <w:r w:rsidRPr="002A2E99">
              <w:rPr>
                <w:rFonts w:ascii="Times New Roman" w:hAnsi="Times New Roman"/>
                <w:sz w:val="20"/>
                <w:szCs w:val="20"/>
                <w:lang w:val="pt-BR"/>
              </w:rPr>
              <w:t>91-22-22625991</w:t>
            </w:r>
          </w:p>
          <w:p w14:paraId="4D6D97C8" w14:textId="77777777" w:rsidR="008A5BEA" w:rsidRPr="002A2E99" w:rsidRDefault="008A5BEA" w:rsidP="00250DAC">
            <w:pPr>
              <w:spacing w:after="0" w:line="240" w:lineRule="auto"/>
              <w:rPr>
                <w:rFonts w:ascii="Times New Roman" w:hAnsi="Times New Roman"/>
                <w:b/>
                <w:sz w:val="20"/>
                <w:szCs w:val="20"/>
                <w:lang w:val="pt-BR"/>
              </w:rPr>
            </w:pPr>
            <w:r w:rsidRPr="002A2E99">
              <w:rPr>
                <w:rFonts w:ascii="Times New Roman" w:hAnsi="Times New Roman"/>
                <w:b/>
                <w:sz w:val="20"/>
                <w:szCs w:val="20"/>
                <w:lang w:val="pt-BR"/>
              </w:rPr>
              <w:t>Email:</w:t>
            </w:r>
            <w:r w:rsidRPr="002A2E99">
              <w:rPr>
                <w:rFonts w:ascii="Times New Roman" w:hAnsi="Times New Roman"/>
                <w:sz w:val="20"/>
                <w:szCs w:val="20"/>
                <w:lang w:val="pt-BR"/>
              </w:rPr>
              <w:t xml:space="preserve"> </w:t>
            </w:r>
            <w:hyperlink r:id="rId17" w:history="1">
              <w:r w:rsidRPr="002A2E99">
                <w:rPr>
                  <w:rStyle w:val="Hyperlink"/>
                  <w:rFonts w:ascii="Times New Roman" w:hAnsi="Times New Roman"/>
                  <w:sz w:val="20"/>
                  <w:szCs w:val="20"/>
                  <w:lang w:val="pt-BR"/>
                </w:rPr>
                <w:t>ib@hemsecurities.com</w:t>
              </w:r>
            </w:hyperlink>
          </w:p>
          <w:p w14:paraId="00649F57" w14:textId="77777777" w:rsidR="008A5BEA" w:rsidRPr="00712F3C" w:rsidRDefault="008A5BEA" w:rsidP="00250DAC">
            <w:pPr>
              <w:spacing w:after="0" w:line="240" w:lineRule="auto"/>
              <w:rPr>
                <w:rFonts w:ascii="Times New Roman" w:hAnsi="Times New Roman"/>
                <w:b/>
                <w:sz w:val="20"/>
                <w:szCs w:val="20"/>
              </w:rPr>
            </w:pPr>
            <w:r w:rsidRPr="00712F3C">
              <w:rPr>
                <w:rFonts w:ascii="Times New Roman" w:hAnsi="Times New Roman"/>
                <w:b/>
                <w:sz w:val="20"/>
                <w:szCs w:val="20"/>
              </w:rPr>
              <w:t xml:space="preserve">Investor Grievance Email: </w:t>
            </w:r>
            <w:hyperlink r:id="rId18">
              <w:r w:rsidRPr="00712F3C">
                <w:rPr>
                  <w:rFonts w:ascii="Times New Roman" w:hAnsi="Times New Roman"/>
                  <w:color w:val="0000FF"/>
                  <w:sz w:val="20"/>
                  <w:szCs w:val="20"/>
                  <w:u w:val="single"/>
                </w:rPr>
                <w:t>redressal@hemsecurities.com</w:t>
              </w:r>
            </w:hyperlink>
          </w:p>
          <w:p w14:paraId="2F416B41" w14:textId="77777777" w:rsidR="008A5BEA" w:rsidRPr="00712F3C" w:rsidRDefault="008A5BEA" w:rsidP="00250DAC">
            <w:pPr>
              <w:spacing w:after="0" w:line="240" w:lineRule="auto"/>
              <w:rPr>
                <w:rFonts w:ascii="Times New Roman" w:hAnsi="Times New Roman"/>
                <w:sz w:val="20"/>
                <w:szCs w:val="20"/>
              </w:rPr>
            </w:pPr>
            <w:r w:rsidRPr="00712F3C">
              <w:rPr>
                <w:rFonts w:ascii="Times New Roman" w:hAnsi="Times New Roman"/>
                <w:b/>
                <w:sz w:val="20"/>
                <w:szCs w:val="20"/>
              </w:rPr>
              <w:t xml:space="preserve">Website: </w:t>
            </w:r>
            <w:hyperlink r:id="rId19">
              <w:r w:rsidRPr="00712F3C">
                <w:rPr>
                  <w:rFonts w:ascii="Times New Roman" w:hAnsi="Times New Roman"/>
                  <w:color w:val="0000FF"/>
                  <w:sz w:val="20"/>
                  <w:szCs w:val="20"/>
                  <w:u w:val="single"/>
                </w:rPr>
                <w:t>www.hemsecurities.com</w:t>
              </w:r>
            </w:hyperlink>
          </w:p>
          <w:p w14:paraId="7BBC5B40" w14:textId="77777777" w:rsidR="008A5BEA" w:rsidRPr="00712F3C" w:rsidRDefault="008A5BEA" w:rsidP="00250DAC">
            <w:pPr>
              <w:spacing w:after="0" w:line="240" w:lineRule="auto"/>
              <w:rPr>
                <w:rFonts w:ascii="Times New Roman" w:hAnsi="Times New Roman"/>
                <w:sz w:val="20"/>
                <w:szCs w:val="20"/>
              </w:rPr>
            </w:pPr>
            <w:r w:rsidRPr="00712F3C">
              <w:rPr>
                <w:rFonts w:ascii="Times New Roman" w:hAnsi="Times New Roman"/>
                <w:b/>
                <w:sz w:val="20"/>
                <w:szCs w:val="20"/>
              </w:rPr>
              <w:t>Contact Person:</w:t>
            </w:r>
            <w:r w:rsidRPr="00712F3C">
              <w:rPr>
                <w:rFonts w:ascii="Times New Roman" w:hAnsi="Times New Roman"/>
                <w:sz w:val="20"/>
                <w:szCs w:val="20"/>
              </w:rPr>
              <w:t xml:space="preserve"> Akun Goyal</w:t>
            </w:r>
          </w:p>
          <w:p w14:paraId="0405AF26" w14:textId="77777777" w:rsidR="008A5BEA" w:rsidRPr="00712F3C" w:rsidRDefault="008A5BEA" w:rsidP="00250DAC">
            <w:pPr>
              <w:widowControl w:val="0"/>
              <w:spacing w:after="0" w:line="240" w:lineRule="auto"/>
              <w:jc w:val="both"/>
              <w:rPr>
                <w:rFonts w:ascii="Times New Roman" w:hAnsi="Times New Roman"/>
                <w:sz w:val="20"/>
                <w:szCs w:val="20"/>
              </w:rPr>
            </w:pPr>
            <w:r w:rsidRPr="00712F3C">
              <w:rPr>
                <w:rFonts w:ascii="Times New Roman" w:hAnsi="Times New Roman"/>
                <w:b/>
                <w:sz w:val="20"/>
                <w:szCs w:val="20"/>
              </w:rPr>
              <w:t>SEBI Reg. No.:</w:t>
            </w:r>
            <w:r w:rsidRPr="00712F3C">
              <w:rPr>
                <w:rFonts w:ascii="Times New Roman" w:hAnsi="Times New Roman"/>
                <w:sz w:val="20"/>
                <w:szCs w:val="20"/>
              </w:rPr>
              <w:t xml:space="preserve"> INM000010981</w:t>
            </w:r>
          </w:p>
        </w:tc>
        <w:tc>
          <w:tcPr>
            <w:tcW w:w="2562" w:type="pct"/>
            <w:tcBorders>
              <w:bottom w:val="single" w:sz="4" w:space="0" w:color="000000"/>
            </w:tcBorders>
          </w:tcPr>
          <w:p w14:paraId="691CF2E2" w14:textId="77777777" w:rsidR="008A5BEA" w:rsidRPr="00A56068" w:rsidRDefault="008A5BEA" w:rsidP="00250DAC">
            <w:pPr>
              <w:spacing w:after="0" w:line="240" w:lineRule="auto"/>
              <w:jc w:val="both"/>
              <w:rPr>
                <w:rFonts w:ascii="Times New Roman" w:hAnsi="Times New Roman"/>
                <w:b/>
                <w:sz w:val="20"/>
                <w:szCs w:val="20"/>
              </w:rPr>
            </w:pPr>
            <w:r w:rsidRPr="00A56068">
              <w:rPr>
                <w:rFonts w:ascii="Times New Roman" w:hAnsi="Times New Roman"/>
                <w:b/>
                <w:sz w:val="20"/>
                <w:szCs w:val="20"/>
              </w:rPr>
              <w:t>Mindspright Legal</w:t>
            </w:r>
          </w:p>
          <w:p w14:paraId="169EBD24" w14:textId="77777777" w:rsidR="008A5BEA" w:rsidRPr="00A56068" w:rsidRDefault="008A5BEA" w:rsidP="00250DAC">
            <w:pPr>
              <w:spacing w:after="0" w:line="240" w:lineRule="auto"/>
              <w:jc w:val="both"/>
              <w:rPr>
                <w:rFonts w:ascii="Times New Roman" w:hAnsi="Times New Roman"/>
                <w:b/>
                <w:sz w:val="20"/>
                <w:szCs w:val="20"/>
              </w:rPr>
            </w:pPr>
            <w:r w:rsidRPr="00A56068">
              <w:rPr>
                <w:rFonts w:ascii="Times New Roman" w:hAnsi="Times New Roman"/>
                <w:b/>
                <w:sz w:val="20"/>
                <w:szCs w:val="20"/>
              </w:rPr>
              <w:t xml:space="preserve">Address: </w:t>
            </w:r>
            <w:r w:rsidRPr="00A56068">
              <w:rPr>
                <w:rFonts w:ascii="Times New Roman" w:hAnsi="Times New Roman"/>
                <w:bCs/>
                <w:sz w:val="20"/>
                <w:szCs w:val="20"/>
              </w:rPr>
              <w:t>712-714, C-Wing, Trade World, Kamla City, Senapati Bapat Marg, Lower Parel (West), Mumbai-400013, Maharashtra, India.</w:t>
            </w:r>
          </w:p>
          <w:p w14:paraId="62CADD47" w14:textId="77777777" w:rsidR="008A5BEA" w:rsidRPr="00A56068" w:rsidRDefault="008A5BEA" w:rsidP="00250DAC">
            <w:pPr>
              <w:spacing w:after="0" w:line="240" w:lineRule="auto"/>
              <w:jc w:val="both"/>
              <w:rPr>
                <w:rFonts w:ascii="Times New Roman" w:hAnsi="Times New Roman"/>
                <w:b/>
                <w:sz w:val="20"/>
                <w:szCs w:val="20"/>
                <w:lang w:val="pt-BR"/>
              </w:rPr>
            </w:pPr>
            <w:r w:rsidRPr="00A56068">
              <w:rPr>
                <w:rFonts w:ascii="Times New Roman" w:hAnsi="Times New Roman"/>
                <w:b/>
                <w:sz w:val="20"/>
                <w:szCs w:val="20"/>
                <w:lang w:val="pt-BR"/>
              </w:rPr>
              <w:t xml:space="preserve">Contact Person: </w:t>
            </w:r>
            <w:r w:rsidRPr="00A56068">
              <w:rPr>
                <w:rFonts w:ascii="Times New Roman" w:hAnsi="Times New Roman"/>
                <w:bCs/>
                <w:sz w:val="20"/>
                <w:szCs w:val="20"/>
                <w:lang w:val="pt-BR"/>
              </w:rPr>
              <w:t>Richa Bhansali</w:t>
            </w:r>
          </w:p>
          <w:p w14:paraId="1B97C669" w14:textId="77777777" w:rsidR="008A5BEA" w:rsidRPr="00A56068" w:rsidRDefault="008A5BEA" w:rsidP="00250DAC">
            <w:pPr>
              <w:spacing w:after="0" w:line="240" w:lineRule="auto"/>
              <w:jc w:val="both"/>
              <w:rPr>
                <w:rFonts w:ascii="Times New Roman" w:hAnsi="Times New Roman"/>
                <w:b/>
                <w:sz w:val="20"/>
                <w:szCs w:val="20"/>
                <w:lang w:val="pt-BR"/>
              </w:rPr>
            </w:pPr>
            <w:r w:rsidRPr="00A56068">
              <w:rPr>
                <w:rFonts w:ascii="Times New Roman" w:hAnsi="Times New Roman"/>
                <w:b/>
                <w:sz w:val="20"/>
                <w:szCs w:val="20"/>
                <w:lang w:val="pt-BR"/>
              </w:rPr>
              <w:t xml:space="preserve">Tel No.: </w:t>
            </w:r>
            <w:r w:rsidRPr="00A56068">
              <w:rPr>
                <w:rFonts w:ascii="Times New Roman" w:hAnsi="Times New Roman"/>
                <w:bCs/>
                <w:sz w:val="20"/>
                <w:szCs w:val="20"/>
                <w:lang w:val="pt-BR"/>
              </w:rPr>
              <w:t>+91-022- 42197000</w:t>
            </w:r>
          </w:p>
          <w:p w14:paraId="28A366EA" w14:textId="77777777" w:rsidR="008A5BEA" w:rsidRPr="00A56068" w:rsidRDefault="008A5BEA" w:rsidP="00250DAC">
            <w:pPr>
              <w:spacing w:after="0" w:line="240" w:lineRule="auto"/>
              <w:jc w:val="both"/>
              <w:rPr>
                <w:rFonts w:ascii="Times New Roman" w:hAnsi="Times New Roman"/>
                <w:bCs/>
                <w:sz w:val="20"/>
                <w:szCs w:val="20"/>
              </w:rPr>
            </w:pPr>
            <w:r w:rsidRPr="00A56068">
              <w:rPr>
                <w:rFonts w:ascii="Times New Roman" w:hAnsi="Times New Roman"/>
                <w:b/>
                <w:sz w:val="20"/>
                <w:szCs w:val="20"/>
              </w:rPr>
              <w:t xml:space="preserve">Email: </w:t>
            </w:r>
            <w:hyperlink r:id="rId20" w:history="1">
              <w:r w:rsidRPr="003B1D3E">
                <w:rPr>
                  <w:rStyle w:val="Hyperlink"/>
                  <w:rFonts w:ascii="Times New Roman" w:hAnsi="Times New Roman"/>
                  <w:sz w:val="20"/>
                  <w:szCs w:val="20"/>
                </w:rPr>
                <w:t>legal@mindspright.co.in</w:t>
              </w:r>
            </w:hyperlink>
            <w:r>
              <w:rPr>
                <w:rFonts w:ascii="Times New Roman" w:hAnsi="Times New Roman"/>
                <w:bCs/>
                <w:sz w:val="20"/>
                <w:szCs w:val="20"/>
              </w:rPr>
              <w:t xml:space="preserve"> </w:t>
            </w:r>
          </w:p>
          <w:p w14:paraId="1FAFDE66" w14:textId="77777777" w:rsidR="008A5BEA" w:rsidRPr="00A56068" w:rsidRDefault="008A5BEA" w:rsidP="00250DAC">
            <w:pPr>
              <w:spacing w:after="0" w:line="240" w:lineRule="auto"/>
              <w:jc w:val="both"/>
              <w:rPr>
                <w:rFonts w:ascii="Times New Roman" w:hAnsi="Times New Roman"/>
                <w:sz w:val="20"/>
                <w:szCs w:val="20"/>
              </w:rPr>
            </w:pPr>
            <w:r w:rsidRPr="00A56068">
              <w:rPr>
                <w:rFonts w:ascii="Times New Roman" w:hAnsi="Times New Roman"/>
                <w:b/>
                <w:sz w:val="20"/>
                <w:szCs w:val="20"/>
              </w:rPr>
              <w:t xml:space="preserve">Website: </w:t>
            </w:r>
            <w:hyperlink r:id="rId21" w:history="1">
              <w:r w:rsidRPr="003B1D3E">
                <w:rPr>
                  <w:rStyle w:val="Hyperlink"/>
                  <w:rFonts w:ascii="Times New Roman" w:hAnsi="Times New Roman"/>
                  <w:sz w:val="20"/>
                  <w:szCs w:val="20"/>
                </w:rPr>
                <w:t>www.mindspright.co.in</w:t>
              </w:r>
            </w:hyperlink>
            <w:r>
              <w:rPr>
                <w:rFonts w:ascii="Times New Roman" w:hAnsi="Times New Roman"/>
                <w:bCs/>
                <w:sz w:val="20"/>
                <w:szCs w:val="20"/>
              </w:rPr>
              <w:t xml:space="preserve"> </w:t>
            </w:r>
          </w:p>
        </w:tc>
      </w:tr>
      <w:tr w:rsidR="008A5BEA" w:rsidRPr="00712F3C" w14:paraId="07F4CDAE" w14:textId="77777777" w:rsidTr="00250DAC">
        <w:trPr>
          <w:trHeight w:val="20"/>
        </w:trPr>
        <w:tc>
          <w:tcPr>
            <w:tcW w:w="2438" w:type="pct"/>
            <w:shd w:val="clear" w:color="auto" w:fill="D0CECE"/>
          </w:tcPr>
          <w:p w14:paraId="798620D8" w14:textId="77777777" w:rsidR="008A5BEA" w:rsidRPr="00712F3C" w:rsidRDefault="008A5BEA" w:rsidP="00250DAC">
            <w:pPr>
              <w:tabs>
                <w:tab w:val="left" w:pos="2758"/>
              </w:tabs>
              <w:spacing w:after="0" w:line="240" w:lineRule="auto"/>
              <w:jc w:val="center"/>
              <w:rPr>
                <w:rFonts w:ascii="Times New Roman" w:hAnsi="Times New Roman"/>
                <w:b/>
                <w:sz w:val="20"/>
                <w:szCs w:val="20"/>
              </w:rPr>
            </w:pPr>
            <w:r w:rsidRPr="00712F3C">
              <w:rPr>
                <w:rFonts w:ascii="Times New Roman" w:hAnsi="Times New Roman"/>
                <w:b/>
                <w:sz w:val="20"/>
                <w:szCs w:val="20"/>
              </w:rPr>
              <w:t>Registrar to the Issue</w:t>
            </w:r>
          </w:p>
        </w:tc>
        <w:tc>
          <w:tcPr>
            <w:tcW w:w="2562" w:type="pct"/>
            <w:shd w:val="clear" w:color="auto" w:fill="D0CECE"/>
          </w:tcPr>
          <w:p w14:paraId="29A70843" w14:textId="77777777" w:rsidR="008A5BEA" w:rsidRPr="00712F3C" w:rsidRDefault="008A5BEA" w:rsidP="00250DAC">
            <w:pPr>
              <w:tabs>
                <w:tab w:val="left" w:pos="2758"/>
              </w:tabs>
              <w:spacing w:after="0" w:line="240" w:lineRule="auto"/>
              <w:jc w:val="center"/>
              <w:rPr>
                <w:rFonts w:ascii="Times New Roman" w:hAnsi="Times New Roman"/>
                <w:b/>
                <w:sz w:val="20"/>
                <w:szCs w:val="20"/>
              </w:rPr>
            </w:pPr>
            <w:r w:rsidRPr="00712F3C">
              <w:rPr>
                <w:rFonts w:ascii="Times New Roman" w:hAnsi="Times New Roman"/>
                <w:b/>
                <w:sz w:val="20"/>
                <w:szCs w:val="20"/>
              </w:rPr>
              <w:t>Statutory Auditor</w:t>
            </w:r>
          </w:p>
        </w:tc>
      </w:tr>
      <w:tr w:rsidR="008A5BEA" w:rsidRPr="00712F3C" w14:paraId="5A9F64A6" w14:textId="77777777" w:rsidTr="00250DAC">
        <w:trPr>
          <w:trHeight w:val="20"/>
        </w:trPr>
        <w:tc>
          <w:tcPr>
            <w:tcW w:w="2438" w:type="pct"/>
            <w:tcBorders>
              <w:bottom w:val="single" w:sz="4" w:space="0" w:color="000000"/>
            </w:tcBorders>
          </w:tcPr>
          <w:p w14:paraId="55834FCC" w14:textId="77777777" w:rsidR="008A5BEA" w:rsidRPr="00D023EA" w:rsidRDefault="008A5BEA" w:rsidP="00250DAC">
            <w:pPr>
              <w:spacing w:after="0" w:line="240" w:lineRule="auto"/>
              <w:rPr>
                <w:rFonts w:ascii="Times New Roman" w:hAnsi="Times New Roman"/>
                <w:b/>
                <w:sz w:val="20"/>
                <w:szCs w:val="20"/>
              </w:rPr>
            </w:pPr>
            <w:r w:rsidRPr="00D023EA">
              <w:rPr>
                <w:rFonts w:ascii="Times New Roman" w:hAnsi="Times New Roman"/>
                <w:b/>
                <w:sz w:val="20"/>
                <w:szCs w:val="20"/>
              </w:rPr>
              <w:t>Cameo Corporate Services Limited</w:t>
            </w:r>
          </w:p>
          <w:p w14:paraId="299918CE" w14:textId="77777777" w:rsidR="008A5BEA" w:rsidRPr="00D023EA" w:rsidRDefault="008A5BEA" w:rsidP="00250DAC">
            <w:pPr>
              <w:spacing w:after="0" w:line="240" w:lineRule="auto"/>
              <w:rPr>
                <w:rFonts w:ascii="Times New Roman" w:hAnsi="Times New Roman"/>
                <w:b/>
                <w:sz w:val="20"/>
                <w:szCs w:val="20"/>
              </w:rPr>
            </w:pPr>
            <w:r w:rsidRPr="00D023EA">
              <w:rPr>
                <w:rFonts w:ascii="Times New Roman" w:hAnsi="Times New Roman"/>
                <w:b/>
                <w:sz w:val="20"/>
                <w:szCs w:val="20"/>
              </w:rPr>
              <w:t xml:space="preserve">Address: </w:t>
            </w:r>
            <w:r w:rsidRPr="00D023EA">
              <w:rPr>
                <w:rFonts w:ascii="Times New Roman" w:hAnsi="Times New Roman"/>
                <w:sz w:val="20"/>
                <w:szCs w:val="20"/>
              </w:rPr>
              <w:t>No.1 Club House Road Chennai-600002 Tamil Nadu, India</w:t>
            </w:r>
          </w:p>
          <w:p w14:paraId="71596C8D" w14:textId="77777777" w:rsidR="008A5BEA" w:rsidRPr="00D023EA" w:rsidRDefault="008A5BEA" w:rsidP="00250DAC">
            <w:pPr>
              <w:spacing w:after="0" w:line="240" w:lineRule="auto"/>
              <w:rPr>
                <w:rFonts w:ascii="Times New Roman" w:hAnsi="Times New Roman"/>
                <w:b/>
                <w:sz w:val="20"/>
                <w:szCs w:val="20"/>
              </w:rPr>
            </w:pPr>
            <w:r w:rsidRPr="00D023EA">
              <w:rPr>
                <w:rFonts w:ascii="Times New Roman" w:hAnsi="Times New Roman"/>
                <w:b/>
                <w:sz w:val="20"/>
                <w:szCs w:val="20"/>
              </w:rPr>
              <w:t xml:space="preserve">Telephone: </w:t>
            </w:r>
            <w:r>
              <w:rPr>
                <w:rFonts w:ascii="Times New Roman" w:hAnsi="Times New Roman"/>
                <w:sz w:val="20"/>
                <w:szCs w:val="20"/>
              </w:rPr>
              <w:t>+91-44-40020700</w:t>
            </w:r>
          </w:p>
          <w:p w14:paraId="0EA655A3" w14:textId="77777777" w:rsidR="008A5BEA" w:rsidRPr="00D023EA" w:rsidRDefault="008A5BEA" w:rsidP="00250DAC">
            <w:pPr>
              <w:spacing w:after="0" w:line="240" w:lineRule="auto"/>
              <w:rPr>
                <w:rFonts w:ascii="Times New Roman" w:hAnsi="Times New Roman"/>
                <w:sz w:val="20"/>
                <w:szCs w:val="20"/>
              </w:rPr>
            </w:pPr>
            <w:r w:rsidRPr="00D023EA">
              <w:rPr>
                <w:rFonts w:ascii="Times New Roman" w:hAnsi="Times New Roman"/>
                <w:b/>
                <w:sz w:val="20"/>
                <w:szCs w:val="20"/>
              </w:rPr>
              <w:t>Email:</w:t>
            </w:r>
            <w:r w:rsidRPr="00D023EA">
              <w:rPr>
                <w:rFonts w:ascii="Times New Roman" w:hAnsi="Times New Roman"/>
                <w:sz w:val="20"/>
                <w:szCs w:val="20"/>
              </w:rPr>
              <w:t xml:space="preserve"> </w:t>
            </w:r>
            <w:hyperlink r:id="rId22" w:history="1">
              <w:r w:rsidRPr="00D023EA">
                <w:rPr>
                  <w:rStyle w:val="Hyperlink"/>
                  <w:rFonts w:ascii="Times New Roman" w:hAnsi="Times New Roman"/>
                  <w:sz w:val="20"/>
                  <w:szCs w:val="20"/>
                </w:rPr>
                <w:t>priya@cameoindia.com</w:t>
              </w:r>
            </w:hyperlink>
            <w:r w:rsidRPr="00D023EA">
              <w:rPr>
                <w:rFonts w:ascii="Times New Roman" w:hAnsi="Times New Roman"/>
                <w:sz w:val="20"/>
                <w:szCs w:val="20"/>
              </w:rPr>
              <w:t xml:space="preserve"> </w:t>
            </w:r>
          </w:p>
          <w:p w14:paraId="1E2FFDCC" w14:textId="77777777" w:rsidR="008A5BEA" w:rsidRPr="00D023EA" w:rsidRDefault="008A5BEA" w:rsidP="00250DAC">
            <w:pPr>
              <w:spacing w:after="0" w:line="240" w:lineRule="auto"/>
              <w:rPr>
                <w:rFonts w:ascii="Times New Roman" w:hAnsi="Times New Roman"/>
                <w:b/>
                <w:sz w:val="20"/>
                <w:szCs w:val="20"/>
              </w:rPr>
            </w:pPr>
            <w:r w:rsidRPr="00D023EA">
              <w:rPr>
                <w:rFonts w:ascii="Times New Roman" w:hAnsi="Times New Roman"/>
                <w:b/>
                <w:sz w:val="20"/>
                <w:szCs w:val="20"/>
              </w:rPr>
              <w:t xml:space="preserve">Investor Grievance Email: </w:t>
            </w:r>
            <w:hyperlink r:id="rId23" w:history="1">
              <w:r w:rsidRPr="00D023EA">
                <w:rPr>
                  <w:rStyle w:val="Hyperlink"/>
                  <w:rFonts w:ascii="Times New Roman" w:hAnsi="Times New Roman"/>
                  <w:sz w:val="20"/>
                  <w:szCs w:val="20"/>
                </w:rPr>
                <w:t>investor@cameoindia.com</w:t>
              </w:r>
            </w:hyperlink>
          </w:p>
          <w:p w14:paraId="32283BB3" w14:textId="77777777" w:rsidR="008A5BEA" w:rsidRPr="00D023EA" w:rsidRDefault="008A5BEA" w:rsidP="00250DAC">
            <w:pPr>
              <w:spacing w:after="0" w:line="240" w:lineRule="auto"/>
              <w:rPr>
                <w:rFonts w:ascii="Times New Roman" w:hAnsi="Times New Roman"/>
                <w:b/>
                <w:sz w:val="20"/>
                <w:szCs w:val="20"/>
              </w:rPr>
            </w:pPr>
            <w:r w:rsidRPr="00D023EA">
              <w:rPr>
                <w:rFonts w:ascii="Times New Roman" w:hAnsi="Times New Roman"/>
                <w:b/>
                <w:sz w:val="20"/>
                <w:szCs w:val="20"/>
              </w:rPr>
              <w:t xml:space="preserve">Website: </w:t>
            </w:r>
            <w:hyperlink r:id="rId24" w:history="1">
              <w:r w:rsidRPr="00D023EA">
                <w:rPr>
                  <w:rStyle w:val="Hyperlink"/>
                  <w:rFonts w:ascii="Times New Roman" w:hAnsi="Times New Roman"/>
                  <w:sz w:val="20"/>
                  <w:szCs w:val="20"/>
                </w:rPr>
                <w:t>www.cameoindia.com</w:t>
              </w:r>
            </w:hyperlink>
            <w:r w:rsidRPr="00D023EA">
              <w:rPr>
                <w:rFonts w:ascii="Times New Roman" w:hAnsi="Times New Roman"/>
                <w:sz w:val="20"/>
                <w:szCs w:val="20"/>
              </w:rPr>
              <w:t xml:space="preserve"> </w:t>
            </w:r>
          </w:p>
          <w:p w14:paraId="4C870B88" w14:textId="77777777" w:rsidR="008A5BEA" w:rsidRPr="00D023EA" w:rsidRDefault="008A5BEA" w:rsidP="00250DAC">
            <w:pPr>
              <w:spacing w:after="0" w:line="240" w:lineRule="auto"/>
              <w:rPr>
                <w:rFonts w:ascii="Times New Roman" w:hAnsi="Times New Roman"/>
                <w:b/>
                <w:sz w:val="20"/>
                <w:szCs w:val="20"/>
              </w:rPr>
            </w:pPr>
            <w:r w:rsidRPr="00D023EA">
              <w:rPr>
                <w:rFonts w:ascii="Times New Roman" w:hAnsi="Times New Roman"/>
                <w:b/>
                <w:sz w:val="20"/>
                <w:szCs w:val="20"/>
              </w:rPr>
              <w:t xml:space="preserve">Contact Person: </w:t>
            </w:r>
            <w:r w:rsidRPr="00D023EA">
              <w:rPr>
                <w:rFonts w:ascii="Times New Roman" w:hAnsi="Times New Roman"/>
                <w:sz w:val="20"/>
                <w:szCs w:val="20"/>
              </w:rPr>
              <w:t>K. Sreepriya</w:t>
            </w:r>
            <w:r>
              <w:rPr>
                <w:rFonts w:ascii="Times New Roman" w:hAnsi="Times New Roman"/>
                <w:sz w:val="20"/>
                <w:szCs w:val="20"/>
              </w:rPr>
              <w:t>,</w:t>
            </w:r>
            <w:r w:rsidRPr="00D023EA">
              <w:rPr>
                <w:rFonts w:ascii="Times New Roman" w:hAnsi="Times New Roman"/>
                <w:sz w:val="20"/>
                <w:szCs w:val="20"/>
              </w:rPr>
              <w:t xml:space="preserve"> Vice President &amp; Company Secretary</w:t>
            </w:r>
          </w:p>
          <w:p w14:paraId="73D24183" w14:textId="77777777" w:rsidR="008A5BEA" w:rsidRPr="00712F3C" w:rsidRDefault="008A5BEA" w:rsidP="00250DAC">
            <w:pPr>
              <w:spacing w:after="0" w:line="240" w:lineRule="auto"/>
              <w:rPr>
                <w:rFonts w:ascii="Times New Roman" w:hAnsi="Times New Roman"/>
                <w:sz w:val="20"/>
                <w:szCs w:val="20"/>
              </w:rPr>
            </w:pPr>
            <w:r w:rsidRPr="00D023EA">
              <w:rPr>
                <w:rFonts w:ascii="Times New Roman" w:hAnsi="Times New Roman"/>
                <w:b/>
                <w:sz w:val="20"/>
                <w:szCs w:val="20"/>
              </w:rPr>
              <w:t xml:space="preserve">SEBI Registration Number: </w:t>
            </w:r>
            <w:r w:rsidRPr="00D023EA">
              <w:rPr>
                <w:rFonts w:ascii="Times New Roman" w:hAnsi="Times New Roman"/>
                <w:sz w:val="20"/>
                <w:szCs w:val="20"/>
              </w:rPr>
              <w:t>INR000003753</w:t>
            </w:r>
          </w:p>
        </w:tc>
        <w:tc>
          <w:tcPr>
            <w:tcW w:w="2562" w:type="pct"/>
            <w:tcBorders>
              <w:bottom w:val="single" w:sz="4" w:space="0" w:color="000000"/>
            </w:tcBorders>
          </w:tcPr>
          <w:p w14:paraId="64282803" w14:textId="77777777" w:rsidR="008A5BEA" w:rsidRDefault="008A5BEA" w:rsidP="00250DAC">
            <w:pPr>
              <w:spacing w:after="0" w:line="240" w:lineRule="auto"/>
              <w:rPr>
                <w:rFonts w:ascii="Times New Roman" w:hAnsi="Times New Roman"/>
                <w:b/>
                <w:sz w:val="20"/>
                <w:szCs w:val="20"/>
              </w:rPr>
            </w:pPr>
            <w:r w:rsidRPr="00A56068">
              <w:rPr>
                <w:rFonts w:ascii="Times New Roman" w:hAnsi="Times New Roman"/>
                <w:b/>
                <w:sz w:val="20"/>
                <w:szCs w:val="20"/>
              </w:rPr>
              <w:t>Kamlesh Rathod &amp; Associates</w:t>
            </w:r>
          </w:p>
          <w:p w14:paraId="7393EACE" w14:textId="77777777" w:rsidR="008A5BEA" w:rsidRPr="00712F3C" w:rsidRDefault="008A5BEA" w:rsidP="00250DAC">
            <w:pPr>
              <w:spacing w:after="0" w:line="240" w:lineRule="auto"/>
              <w:rPr>
                <w:rFonts w:ascii="Times New Roman" w:hAnsi="Times New Roman"/>
                <w:b/>
                <w:sz w:val="20"/>
                <w:szCs w:val="20"/>
              </w:rPr>
            </w:pPr>
            <w:r w:rsidRPr="00712F3C">
              <w:rPr>
                <w:rFonts w:ascii="Times New Roman" w:hAnsi="Times New Roman"/>
                <w:b/>
                <w:sz w:val="20"/>
                <w:szCs w:val="20"/>
              </w:rPr>
              <w:t xml:space="preserve">Chartered Accountants, </w:t>
            </w:r>
          </w:p>
          <w:p w14:paraId="0CA3DA60" w14:textId="77777777" w:rsidR="008A5BEA" w:rsidRPr="00F40B19" w:rsidRDefault="008A5BEA" w:rsidP="00250DAC">
            <w:pPr>
              <w:spacing w:after="0" w:line="240" w:lineRule="auto"/>
              <w:jc w:val="both"/>
              <w:rPr>
                <w:rFonts w:ascii="Times New Roman" w:hAnsi="Times New Roman"/>
                <w:sz w:val="20"/>
                <w:szCs w:val="20"/>
              </w:rPr>
            </w:pPr>
            <w:r w:rsidRPr="00712F3C">
              <w:rPr>
                <w:rFonts w:ascii="Times New Roman" w:hAnsi="Times New Roman"/>
                <w:b/>
                <w:sz w:val="20"/>
                <w:szCs w:val="20"/>
              </w:rPr>
              <w:t>Address:</w:t>
            </w:r>
            <w:r w:rsidRPr="00712F3C">
              <w:rPr>
                <w:rFonts w:ascii="Times New Roman" w:hAnsi="Times New Roman"/>
                <w:sz w:val="20"/>
                <w:szCs w:val="20"/>
              </w:rPr>
              <w:t xml:space="preserve"> </w:t>
            </w:r>
            <w:r w:rsidRPr="00F40B19">
              <w:rPr>
                <w:rFonts w:ascii="Times New Roman" w:hAnsi="Times New Roman"/>
                <w:sz w:val="20"/>
                <w:szCs w:val="20"/>
              </w:rPr>
              <w:t xml:space="preserve">“Rathod House”, Near Bhid Bhanjan Temple Ground, </w:t>
            </w:r>
          </w:p>
          <w:p w14:paraId="04FD39F8" w14:textId="77777777" w:rsidR="008A5BEA" w:rsidRPr="008A5BEA" w:rsidRDefault="008A5BEA" w:rsidP="00250DAC">
            <w:pPr>
              <w:spacing w:after="0" w:line="240" w:lineRule="auto"/>
              <w:jc w:val="both"/>
              <w:rPr>
                <w:rFonts w:ascii="Times New Roman" w:hAnsi="Times New Roman"/>
                <w:sz w:val="20"/>
                <w:szCs w:val="20"/>
                <w:lang w:val="pt-BR"/>
              </w:rPr>
            </w:pPr>
            <w:r w:rsidRPr="008A5BEA">
              <w:rPr>
                <w:rFonts w:ascii="Times New Roman" w:hAnsi="Times New Roman"/>
                <w:sz w:val="20"/>
                <w:szCs w:val="20"/>
                <w:lang w:val="pt-BR"/>
              </w:rPr>
              <w:t xml:space="preserve">Jamnagar 361 001 Gujarat. </w:t>
            </w:r>
          </w:p>
          <w:p w14:paraId="01A58F34" w14:textId="77777777" w:rsidR="008A5BEA" w:rsidRPr="002A2E99" w:rsidRDefault="008A5BEA" w:rsidP="00250DAC">
            <w:pPr>
              <w:spacing w:after="0" w:line="240" w:lineRule="auto"/>
              <w:jc w:val="both"/>
              <w:rPr>
                <w:rFonts w:ascii="Times New Roman" w:hAnsi="Times New Roman"/>
                <w:sz w:val="20"/>
                <w:szCs w:val="20"/>
                <w:lang w:val="pt-BR"/>
              </w:rPr>
            </w:pPr>
            <w:r w:rsidRPr="002A2E99">
              <w:rPr>
                <w:rFonts w:ascii="Times New Roman" w:hAnsi="Times New Roman"/>
                <w:b/>
                <w:sz w:val="20"/>
                <w:szCs w:val="20"/>
                <w:lang w:val="pt-BR"/>
              </w:rPr>
              <w:t>Tel No.:</w:t>
            </w:r>
            <w:r w:rsidRPr="002A2E99">
              <w:rPr>
                <w:rFonts w:ascii="Times New Roman" w:hAnsi="Times New Roman"/>
                <w:sz w:val="20"/>
                <w:szCs w:val="20"/>
                <w:lang w:val="pt-BR"/>
              </w:rPr>
              <w:t xml:space="preserve"> </w:t>
            </w:r>
            <w:r w:rsidRPr="00A56068">
              <w:rPr>
                <w:rFonts w:ascii="Times New Roman" w:hAnsi="Times New Roman"/>
                <w:sz w:val="20"/>
                <w:szCs w:val="20"/>
                <w:lang w:val="pt-BR"/>
              </w:rPr>
              <w:t>+91 288 2673555</w:t>
            </w:r>
          </w:p>
          <w:p w14:paraId="47736288" w14:textId="77777777" w:rsidR="008A5BEA" w:rsidRPr="007459EE" w:rsidRDefault="008A5BEA" w:rsidP="00250DAC">
            <w:pPr>
              <w:spacing w:after="0" w:line="240" w:lineRule="auto"/>
              <w:jc w:val="both"/>
              <w:rPr>
                <w:rFonts w:ascii="Times New Roman" w:hAnsi="Times New Roman"/>
                <w:sz w:val="20"/>
                <w:szCs w:val="20"/>
                <w:lang w:val="pt-BR"/>
              </w:rPr>
            </w:pPr>
            <w:r w:rsidRPr="007459EE">
              <w:rPr>
                <w:rFonts w:ascii="Times New Roman" w:hAnsi="Times New Roman"/>
                <w:b/>
                <w:sz w:val="20"/>
                <w:szCs w:val="20"/>
                <w:lang w:val="pt-BR"/>
              </w:rPr>
              <w:t>Email:</w:t>
            </w:r>
            <w:r w:rsidRPr="007459EE">
              <w:rPr>
                <w:rFonts w:ascii="Times New Roman" w:hAnsi="Times New Roman"/>
                <w:sz w:val="20"/>
                <w:szCs w:val="20"/>
                <w:lang w:val="pt-BR"/>
              </w:rPr>
              <w:t xml:space="preserve"> </w:t>
            </w:r>
            <w:hyperlink r:id="rId25" w:history="1">
              <w:r w:rsidRPr="007459EE">
                <w:rPr>
                  <w:rStyle w:val="Hyperlink"/>
                  <w:rFonts w:ascii="Times New Roman" w:hAnsi="Times New Roman"/>
                  <w:sz w:val="20"/>
                  <w:szCs w:val="20"/>
                  <w:lang w:val="pt-BR"/>
                </w:rPr>
                <w:t>sagar@krathod.com</w:t>
              </w:r>
            </w:hyperlink>
            <w:r w:rsidRPr="007459EE">
              <w:rPr>
                <w:rFonts w:ascii="Times New Roman" w:hAnsi="Times New Roman"/>
                <w:sz w:val="20"/>
                <w:szCs w:val="20"/>
                <w:lang w:val="pt-BR"/>
              </w:rPr>
              <w:t xml:space="preserve"> </w:t>
            </w:r>
          </w:p>
          <w:p w14:paraId="3097CE6E" w14:textId="77777777" w:rsidR="008A5BEA" w:rsidRPr="00712F3C" w:rsidRDefault="008A5BEA" w:rsidP="00250DAC">
            <w:pPr>
              <w:spacing w:after="0" w:line="240" w:lineRule="auto"/>
              <w:rPr>
                <w:rFonts w:ascii="Times New Roman" w:hAnsi="Times New Roman"/>
                <w:sz w:val="20"/>
                <w:szCs w:val="20"/>
              </w:rPr>
            </w:pPr>
            <w:r w:rsidRPr="00712F3C">
              <w:rPr>
                <w:rFonts w:ascii="Times New Roman" w:hAnsi="Times New Roman"/>
                <w:b/>
                <w:sz w:val="20"/>
                <w:szCs w:val="20"/>
              </w:rPr>
              <w:t>Firm Registration No.:</w:t>
            </w:r>
            <w:r w:rsidRPr="00712F3C">
              <w:rPr>
                <w:rFonts w:ascii="Times New Roman" w:hAnsi="Times New Roman"/>
                <w:sz w:val="20"/>
                <w:szCs w:val="20"/>
              </w:rPr>
              <w:t xml:space="preserve"> </w:t>
            </w:r>
            <w:r w:rsidRPr="00A56068">
              <w:rPr>
                <w:rFonts w:ascii="Times New Roman" w:hAnsi="Times New Roman"/>
                <w:sz w:val="20"/>
                <w:szCs w:val="20"/>
              </w:rPr>
              <w:t>117930W</w:t>
            </w:r>
          </w:p>
          <w:p w14:paraId="4AD71ACA" w14:textId="77777777" w:rsidR="008A5BEA" w:rsidRPr="00F40B19" w:rsidRDefault="008A5BEA" w:rsidP="00250DAC">
            <w:pPr>
              <w:spacing w:after="0" w:line="240" w:lineRule="auto"/>
              <w:rPr>
                <w:rFonts w:ascii="Times New Roman" w:hAnsi="Times New Roman"/>
                <w:sz w:val="20"/>
                <w:szCs w:val="20"/>
              </w:rPr>
            </w:pPr>
            <w:r w:rsidRPr="00712F3C">
              <w:rPr>
                <w:rFonts w:ascii="Times New Roman" w:hAnsi="Times New Roman"/>
                <w:b/>
                <w:sz w:val="20"/>
                <w:szCs w:val="20"/>
              </w:rPr>
              <w:t>Contact Person:</w:t>
            </w:r>
            <w:r w:rsidRPr="00712F3C">
              <w:rPr>
                <w:rFonts w:ascii="Times New Roman" w:hAnsi="Times New Roman"/>
                <w:sz w:val="20"/>
                <w:szCs w:val="20"/>
              </w:rPr>
              <w:t xml:space="preserve"> </w:t>
            </w:r>
            <w:r w:rsidRPr="00712F3C">
              <w:rPr>
                <w:rFonts w:ascii="Times New Roman" w:hAnsi="Times New Roman"/>
                <w:sz w:val="20"/>
                <w:szCs w:val="20"/>
              </w:rPr>
              <w:tab/>
            </w:r>
            <w:r w:rsidRPr="00F40B19">
              <w:rPr>
                <w:rFonts w:ascii="Times New Roman" w:hAnsi="Times New Roman"/>
                <w:sz w:val="20"/>
                <w:szCs w:val="20"/>
              </w:rPr>
              <w:t>CA Sagar Shah/ CA Trupti Rathod</w:t>
            </w:r>
          </w:p>
          <w:p w14:paraId="392BA681" w14:textId="77777777" w:rsidR="008A5BEA" w:rsidRPr="00712F3C" w:rsidRDefault="008A5BEA" w:rsidP="00250DAC">
            <w:pPr>
              <w:spacing w:after="0" w:line="240" w:lineRule="auto"/>
              <w:rPr>
                <w:rFonts w:ascii="Times New Roman" w:hAnsi="Times New Roman"/>
                <w:b/>
                <w:sz w:val="20"/>
                <w:szCs w:val="20"/>
              </w:rPr>
            </w:pPr>
            <w:r w:rsidRPr="00F40B19">
              <w:rPr>
                <w:rFonts w:ascii="Times New Roman" w:hAnsi="Times New Roman"/>
                <w:b/>
                <w:sz w:val="20"/>
                <w:szCs w:val="20"/>
              </w:rPr>
              <w:t>Peer Review Certificate No.:</w:t>
            </w:r>
            <w:r w:rsidRPr="00F40B19">
              <w:rPr>
                <w:rFonts w:ascii="Times New Roman" w:hAnsi="Times New Roman"/>
                <w:sz w:val="20"/>
                <w:szCs w:val="20"/>
              </w:rPr>
              <w:t xml:space="preserve"> 013308</w:t>
            </w:r>
          </w:p>
        </w:tc>
      </w:tr>
      <w:tr w:rsidR="008A5BEA" w:rsidRPr="00712F3C" w14:paraId="4A62BA07" w14:textId="77777777" w:rsidTr="00250DAC">
        <w:trPr>
          <w:trHeight w:val="20"/>
        </w:trPr>
        <w:tc>
          <w:tcPr>
            <w:tcW w:w="2438" w:type="pct"/>
            <w:tcBorders>
              <w:bottom w:val="single" w:sz="4" w:space="0" w:color="000000"/>
            </w:tcBorders>
            <w:shd w:val="clear" w:color="auto" w:fill="D0CECE"/>
          </w:tcPr>
          <w:p w14:paraId="2FE52094" w14:textId="03BF4A37" w:rsidR="008A5BEA" w:rsidRPr="00712F3C" w:rsidRDefault="008A5BEA" w:rsidP="00250DAC">
            <w:pPr>
              <w:tabs>
                <w:tab w:val="left" w:pos="2758"/>
              </w:tabs>
              <w:spacing w:after="0" w:line="240" w:lineRule="auto"/>
              <w:jc w:val="center"/>
              <w:rPr>
                <w:rFonts w:ascii="Times New Roman" w:hAnsi="Times New Roman"/>
                <w:b/>
                <w:sz w:val="20"/>
                <w:szCs w:val="20"/>
              </w:rPr>
            </w:pPr>
            <w:r w:rsidRPr="00712F3C">
              <w:rPr>
                <w:rFonts w:ascii="Times New Roman" w:hAnsi="Times New Roman"/>
                <w:b/>
                <w:sz w:val="20"/>
                <w:szCs w:val="20"/>
              </w:rPr>
              <w:t>Bankers to the Company</w:t>
            </w:r>
            <w:r w:rsidR="00486D3C">
              <w:rPr>
                <w:rFonts w:ascii="Times New Roman" w:hAnsi="Times New Roman"/>
                <w:b/>
                <w:sz w:val="20"/>
                <w:szCs w:val="20"/>
              </w:rPr>
              <w:t>*</w:t>
            </w:r>
          </w:p>
        </w:tc>
        <w:tc>
          <w:tcPr>
            <w:tcW w:w="2562" w:type="pct"/>
            <w:tcBorders>
              <w:bottom w:val="single" w:sz="4" w:space="0" w:color="000000"/>
            </w:tcBorders>
            <w:shd w:val="clear" w:color="auto" w:fill="D0CECE"/>
          </w:tcPr>
          <w:p w14:paraId="041F934E" w14:textId="77777777" w:rsidR="008A5BEA" w:rsidRPr="00712F3C" w:rsidRDefault="008A5BEA" w:rsidP="00250DAC">
            <w:pPr>
              <w:tabs>
                <w:tab w:val="left" w:pos="2758"/>
              </w:tabs>
              <w:spacing w:after="0" w:line="240" w:lineRule="auto"/>
              <w:jc w:val="center"/>
              <w:rPr>
                <w:rFonts w:ascii="Times New Roman" w:hAnsi="Times New Roman"/>
                <w:b/>
                <w:sz w:val="20"/>
                <w:szCs w:val="20"/>
              </w:rPr>
            </w:pPr>
            <w:r w:rsidRPr="00712F3C">
              <w:rPr>
                <w:rFonts w:ascii="Times New Roman" w:eastAsiaTheme="minorHAnsi" w:hAnsi="Times New Roman"/>
                <w:b/>
                <w:bCs/>
                <w:sz w:val="20"/>
                <w:szCs w:val="20"/>
                <w:lang w:val="en-IN"/>
              </w:rPr>
              <w:t>Advisors to the Issue</w:t>
            </w:r>
          </w:p>
        </w:tc>
      </w:tr>
      <w:tr w:rsidR="008A5BEA" w:rsidRPr="00712F3C" w14:paraId="69301B95" w14:textId="77777777" w:rsidTr="000B2756">
        <w:trPr>
          <w:trHeight w:val="864"/>
        </w:trPr>
        <w:tc>
          <w:tcPr>
            <w:tcW w:w="2438" w:type="pct"/>
            <w:shd w:val="clear" w:color="auto" w:fill="auto"/>
            <w:vAlign w:val="center"/>
          </w:tcPr>
          <w:p w14:paraId="48877C34" w14:textId="77777777" w:rsidR="008A5BEA" w:rsidRPr="00712F3C" w:rsidRDefault="008A5BEA" w:rsidP="00250DAC">
            <w:pPr>
              <w:spacing w:after="0" w:line="240" w:lineRule="auto"/>
              <w:jc w:val="center"/>
              <w:rPr>
                <w:rFonts w:ascii="Times New Roman" w:hAnsi="Times New Roman"/>
                <w:b/>
                <w:sz w:val="20"/>
                <w:szCs w:val="20"/>
              </w:rPr>
            </w:pPr>
            <w:r w:rsidRPr="00486D3C">
              <w:rPr>
                <w:rFonts w:ascii="Times New Roman" w:hAnsi="Times New Roman"/>
                <w:b/>
                <w:sz w:val="20"/>
                <w:szCs w:val="20"/>
              </w:rPr>
              <w:t>[●]</w:t>
            </w:r>
          </w:p>
        </w:tc>
        <w:tc>
          <w:tcPr>
            <w:tcW w:w="2562" w:type="pct"/>
            <w:shd w:val="clear" w:color="auto" w:fill="auto"/>
          </w:tcPr>
          <w:p w14:paraId="10B4B2AE" w14:textId="77777777" w:rsidR="008A5BEA" w:rsidRPr="00712F3C" w:rsidRDefault="008A5BEA" w:rsidP="00250DAC">
            <w:pPr>
              <w:spacing w:after="0" w:line="240" w:lineRule="auto"/>
              <w:rPr>
                <w:rFonts w:ascii="Times New Roman" w:hAnsi="Times New Roman"/>
                <w:b/>
                <w:sz w:val="20"/>
                <w:szCs w:val="20"/>
              </w:rPr>
            </w:pPr>
            <w:r w:rsidRPr="00712F3C">
              <w:rPr>
                <w:rFonts w:ascii="Times New Roman" w:hAnsi="Times New Roman"/>
                <w:b/>
                <w:sz w:val="20"/>
                <w:szCs w:val="20"/>
              </w:rPr>
              <w:t>​JJ IPO Advisor Private Limited</w:t>
            </w:r>
          </w:p>
          <w:p w14:paraId="7F37843D" w14:textId="3B7EC0E3" w:rsidR="008A5BEA" w:rsidRPr="00712F3C" w:rsidRDefault="008A5BEA" w:rsidP="00486D3C">
            <w:pPr>
              <w:spacing w:after="0" w:line="240" w:lineRule="auto"/>
              <w:jc w:val="both"/>
              <w:rPr>
                <w:rFonts w:ascii="Times New Roman" w:hAnsi="Times New Roman"/>
                <w:b/>
                <w:sz w:val="20"/>
                <w:szCs w:val="20"/>
              </w:rPr>
            </w:pPr>
            <w:r w:rsidRPr="00712F3C">
              <w:rPr>
                <w:rFonts w:ascii="Times New Roman" w:hAnsi="Times New Roman"/>
                <w:b/>
                <w:sz w:val="20"/>
                <w:szCs w:val="20"/>
              </w:rPr>
              <w:t xml:space="preserve">Address: </w:t>
            </w:r>
            <w:r w:rsidR="00486D3C" w:rsidRPr="00486D3C">
              <w:rPr>
                <w:rFonts w:ascii="Times New Roman" w:hAnsi="Times New Roman"/>
                <w:bCs/>
                <w:sz w:val="20"/>
                <w:szCs w:val="20"/>
              </w:rPr>
              <w:t xml:space="preserve">210, Shilp-II, Above HDFC </w:t>
            </w:r>
            <w:r w:rsidR="00486D3C">
              <w:rPr>
                <w:rFonts w:ascii="Times New Roman" w:hAnsi="Times New Roman"/>
                <w:bCs/>
                <w:sz w:val="20"/>
                <w:szCs w:val="20"/>
              </w:rPr>
              <w:t>B</w:t>
            </w:r>
            <w:r w:rsidR="00486D3C" w:rsidRPr="00486D3C">
              <w:rPr>
                <w:rFonts w:ascii="Times New Roman" w:hAnsi="Times New Roman"/>
                <w:bCs/>
                <w:sz w:val="20"/>
                <w:szCs w:val="20"/>
              </w:rPr>
              <w:t>ank,</w:t>
            </w:r>
            <w:r w:rsidR="00486D3C">
              <w:rPr>
                <w:rFonts w:ascii="Times New Roman" w:hAnsi="Times New Roman"/>
                <w:bCs/>
                <w:sz w:val="20"/>
                <w:szCs w:val="20"/>
              </w:rPr>
              <w:t xml:space="preserve"> </w:t>
            </w:r>
            <w:r w:rsidR="00486D3C" w:rsidRPr="00486D3C">
              <w:rPr>
                <w:rFonts w:ascii="Times New Roman" w:hAnsi="Times New Roman"/>
                <w:bCs/>
                <w:sz w:val="20"/>
                <w:szCs w:val="20"/>
              </w:rPr>
              <w:t xml:space="preserve">Near Sales India, Income </w:t>
            </w:r>
            <w:r w:rsidR="00486D3C">
              <w:rPr>
                <w:rFonts w:ascii="Times New Roman" w:hAnsi="Times New Roman"/>
                <w:bCs/>
                <w:sz w:val="20"/>
                <w:szCs w:val="20"/>
              </w:rPr>
              <w:t>T</w:t>
            </w:r>
            <w:r w:rsidR="00486D3C" w:rsidRPr="00486D3C">
              <w:rPr>
                <w:rFonts w:ascii="Times New Roman" w:hAnsi="Times New Roman"/>
                <w:bCs/>
                <w:sz w:val="20"/>
                <w:szCs w:val="20"/>
              </w:rPr>
              <w:t xml:space="preserve">ax </w:t>
            </w:r>
            <w:r w:rsidR="00486D3C">
              <w:rPr>
                <w:rFonts w:ascii="Times New Roman" w:hAnsi="Times New Roman"/>
                <w:bCs/>
                <w:sz w:val="20"/>
                <w:szCs w:val="20"/>
              </w:rPr>
              <w:t>C</w:t>
            </w:r>
            <w:r w:rsidR="00486D3C" w:rsidRPr="00486D3C">
              <w:rPr>
                <w:rFonts w:ascii="Times New Roman" w:hAnsi="Times New Roman"/>
                <w:bCs/>
                <w:sz w:val="20"/>
                <w:szCs w:val="20"/>
              </w:rPr>
              <w:t xml:space="preserve">ross </w:t>
            </w:r>
            <w:r w:rsidR="00486D3C">
              <w:rPr>
                <w:rFonts w:ascii="Times New Roman" w:hAnsi="Times New Roman"/>
                <w:bCs/>
                <w:sz w:val="20"/>
                <w:szCs w:val="20"/>
              </w:rPr>
              <w:t>R</w:t>
            </w:r>
            <w:r w:rsidR="00486D3C" w:rsidRPr="00486D3C">
              <w:rPr>
                <w:rFonts w:ascii="Times New Roman" w:hAnsi="Times New Roman"/>
                <w:bCs/>
                <w:sz w:val="20"/>
                <w:szCs w:val="20"/>
              </w:rPr>
              <w:t>oad,</w:t>
            </w:r>
            <w:r w:rsidR="00486D3C">
              <w:rPr>
                <w:rFonts w:ascii="Times New Roman" w:hAnsi="Times New Roman"/>
                <w:bCs/>
                <w:sz w:val="20"/>
                <w:szCs w:val="20"/>
              </w:rPr>
              <w:t xml:space="preserve"> </w:t>
            </w:r>
            <w:r w:rsidR="00486D3C" w:rsidRPr="00486D3C">
              <w:rPr>
                <w:rFonts w:ascii="Times New Roman" w:hAnsi="Times New Roman"/>
                <w:bCs/>
                <w:sz w:val="20"/>
                <w:szCs w:val="20"/>
              </w:rPr>
              <w:t xml:space="preserve">Ashram </w:t>
            </w:r>
            <w:r w:rsidR="00486D3C">
              <w:rPr>
                <w:rFonts w:ascii="Times New Roman" w:hAnsi="Times New Roman"/>
                <w:bCs/>
                <w:sz w:val="20"/>
                <w:szCs w:val="20"/>
              </w:rPr>
              <w:t>R</w:t>
            </w:r>
            <w:r w:rsidR="00486D3C" w:rsidRPr="00486D3C">
              <w:rPr>
                <w:rFonts w:ascii="Times New Roman" w:hAnsi="Times New Roman"/>
                <w:bCs/>
                <w:sz w:val="20"/>
                <w:szCs w:val="20"/>
              </w:rPr>
              <w:t>oad, Ahmedabad</w:t>
            </w:r>
            <w:r w:rsidR="00486D3C">
              <w:rPr>
                <w:rFonts w:ascii="Times New Roman" w:hAnsi="Times New Roman"/>
                <w:bCs/>
                <w:sz w:val="20"/>
                <w:szCs w:val="20"/>
              </w:rPr>
              <w:t>-</w:t>
            </w:r>
            <w:r w:rsidR="00486D3C" w:rsidRPr="00486D3C">
              <w:rPr>
                <w:rFonts w:ascii="Times New Roman" w:hAnsi="Times New Roman"/>
                <w:bCs/>
                <w:sz w:val="20"/>
                <w:szCs w:val="20"/>
              </w:rPr>
              <w:t>380009</w:t>
            </w:r>
            <w:r w:rsidR="00486D3C">
              <w:rPr>
                <w:rFonts w:ascii="Times New Roman" w:hAnsi="Times New Roman"/>
                <w:bCs/>
                <w:sz w:val="20"/>
                <w:szCs w:val="20"/>
              </w:rPr>
              <w:t xml:space="preserve"> GJ</w:t>
            </w:r>
          </w:p>
          <w:p w14:paraId="3CEC678E" w14:textId="77777777" w:rsidR="00486D3C" w:rsidRDefault="008A5BEA" w:rsidP="00250DAC">
            <w:pPr>
              <w:spacing w:after="0" w:line="240" w:lineRule="auto"/>
              <w:rPr>
                <w:rFonts w:ascii="Times New Roman" w:hAnsi="Times New Roman"/>
                <w:bCs/>
                <w:sz w:val="20"/>
                <w:szCs w:val="20"/>
              </w:rPr>
            </w:pPr>
            <w:r w:rsidRPr="00712F3C">
              <w:rPr>
                <w:rFonts w:ascii="Times New Roman" w:hAnsi="Times New Roman"/>
                <w:b/>
                <w:sz w:val="20"/>
                <w:szCs w:val="20"/>
              </w:rPr>
              <w:t xml:space="preserve">Tel: </w:t>
            </w:r>
            <w:r w:rsidR="00486D3C" w:rsidRPr="00486D3C">
              <w:rPr>
                <w:rFonts w:ascii="Times New Roman" w:hAnsi="Times New Roman"/>
                <w:bCs/>
                <w:sz w:val="20"/>
                <w:szCs w:val="20"/>
              </w:rPr>
              <w:t xml:space="preserve">+91 9662143429, +91-9825065031 </w:t>
            </w:r>
          </w:p>
          <w:p w14:paraId="17A7EC9A" w14:textId="4F77AB1D" w:rsidR="008A5BEA" w:rsidRPr="00712F3C" w:rsidRDefault="008A5BEA" w:rsidP="00250DAC">
            <w:pPr>
              <w:spacing w:after="0" w:line="240" w:lineRule="auto"/>
              <w:rPr>
                <w:rFonts w:ascii="Times New Roman" w:hAnsi="Times New Roman"/>
                <w:b/>
                <w:sz w:val="20"/>
                <w:szCs w:val="20"/>
              </w:rPr>
            </w:pPr>
            <w:r w:rsidRPr="00712F3C">
              <w:rPr>
                <w:rFonts w:ascii="Times New Roman" w:hAnsi="Times New Roman"/>
                <w:b/>
                <w:sz w:val="20"/>
                <w:szCs w:val="20"/>
              </w:rPr>
              <w:t xml:space="preserve">Email: </w:t>
            </w:r>
            <w:hyperlink r:id="rId26" w:history="1">
              <w:r w:rsidRPr="00712F3C">
                <w:rPr>
                  <w:rStyle w:val="Hyperlink"/>
                  <w:rFonts w:ascii="Times New Roman" w:hAnsi="Times New Roman"/>
                  <w:sz w:val="20"/>
                  <w:szCs w:val="20"/>
                </w:rPr>
                <w:t>info@jjipoadvisors.com</w:t>
              </w:r>
            </w:hyperlink>
            <w:r w:rsidRPr="00712F3C">
              <w:rPr>
                <w:rFonts w:ascii="Times New Roman" w:hAnsi="Times New Roman"/>
                <w:bCs/>
                <w:sz w:val="20"/>
                <w:szCs w:val="20"/>
              </w:rPr>
              <w:t xml:space="preserve"> </w:t>
            </w:r>
          </w:p>
          <w:p w14:paraId="202C93D5" w14:textId="77777777" w:rsidR="008A5BEA" w:rsidRPr="00712F3C" w:rsidRDefault="008A5BEA" w:rsidP="00250DAC">
            <w:pPr>
              <w:spacing w:after="0" w:line="240" w:lineRule="auto"/>
              <w:rPr>
                <w:rFonts w:ascii="Times New Roman" w:hAnsi="Times New Roman"/>
                <w:b/>
                <w:sz w:val="20"/>
                <w:szCs w:val="20"/>
              </w:rPr>
            </w:pPr>
            <w:r w:rsidRPr="00712F3C">
              <w:rPr>
                <w:rFonts w:ascii="Times New Roman" w:hAnsi="Times New Roman"/>
                <w:b/>
                <w:sz w:val="20"/>
                <w:szCs w:val="20"/>
              </w:rPr>
              <w:t xml:space="preserve">Contact Person: </w:t>
            </w:r>
            <w:r w:rsidRPr="00712F3C">
              <w:rPr>
                <w:rFonts w:ascii="Times New Roman" w:hAnsi="Times New Roman"/>
                <w:bCs/>
                <w:sz w:val="20"/>
                <w:szCs w:val="20"/>
              </w:rPr>
              <w:t>Chetan Jagetiya/</w:t>
            </w:r>
            <w:r>
              <w:rPr>
                <w:rFonts w:ascii="Times New Roman" w:hAnsi="Times New Roman"/>
                <w:bCs/>
                <w:sz w:val="20"/>
                <w:szCs w:val="20"/>
              </w:rPr>
              <w:t xml:space="preserve"> </w:t>
            </w:r>
            <w:r w:rsidRPr="00712F3C">
              <w:rPr>
                <w:rFonts w:ascii="Times New Roman" w:hAnsi="Times New Roman"/>
                <w:bCs/>
                <w:sz w:val="20"/>
                <w:szCs w:val="20"/>
              </w:rPr>
              <w:t>Jeevan Jagetiya</w:t>
            </w:r>
          </w:p>
        </w:tc>
      </w:tr>
      <w:tr w:rsidR="008A5BEA" w:rsidRPr="00712F3C" w14:paraId="3CA44BC1" w14:textId="77777777" w:rsidTr="00250DAC">
        <w:trPr>
          <w:trHeight w:val="20"/>
        </w:trPr>
        <w:tc>
          <w:tcPr>
            <w:tcW w:w="2438" w:type="pct"/>
            <w:shd w:val="clear" w:color="auto" w:fill="D0CECE"/>
          </w:tcPr>
          <w:p w14:paraId="759F0EB9" w14:textId="77777777" w:rsidR="008A5BEA" w:rsidRPr="00712F3C" w:rsidRDefault="008A5BEA" w:rsidP="00250DAC">
            <w:pPr>
              <w:spacing w:after="0" w:line="240" w:lineRule="auto"/>
              <w:jc w:val="center"/>
              <w:rPr>
                <w:rFonts w:ascii="Times New Roman" w:hAnsi="Times New Roman"/>
                <w:b/>
                <w:sz w:val="20"/>
                <w:szCs w:val="20"/>
              </w:rPr>
            </w:pPr>
            <w:r w:rsidRPr="00712F3C">
              <w:rPr>
                <w:rFonts w:ascii="Times New Roman" w:hAnsi="Times New Roman"/>
                <w:b/>
                <w:sz w:val="20"/>
                <w:szCs w:val="20"/>
              </w:rPr>
              <w:t>Bankers to the Issue/ Refund Banker/ Sponsor Bank*</w:t>
            </w:r>
          </w:p>
        </w:tc>
        <w:tc>
          <w:tcPr>
            <w:tcW w:w="2562" w:type="pct"/>
            <w:shd w:val="clear" w:color="auto" w:fill="D0CECE"/>
          </w:tcPr>
          <w:p w14:paraId="7204C91D" w14:textId="77777777" w:rsidR="008A5BEA" w:rsidRPr="00712F3C" w:rsidRDefault="008A5BEA" w:rsidP="00250DAC">
            <w:pPr>
              <w:spacing w:after="0" w:line="240" w:lineRule="auto"/>
              <w:jc w:val="center"/>
              <w:rPr>
                <w:rFonts w:ascii="Times New Roman" w:hAnsi="Times New Roman"/>
                <w:b/>
                <w:sz w:val="20"/>
                <w:szCs w:val="20"/>
              </w:rPr>
            </w:pPr>
            <w:r w:rsidRPr="00712F3C">
              <w:rPr>
                <w:rFonts w:ascii="Times New Roman" w:hAnsi="Times New Roman"/>
                <w:b/>
                <w:sz w:val="20"/>
                <w:szCs w:val="20"/>
              </w:rPr>
              <w:t>Syndicate Member*</w:t>
            </w:r>
          </w:p>
        </w:tc>
      </w:tr>
      <w:tr w:rsidR="008A5BEA" w:rsidRPr="00712F3C" w14:paraId="6420F184" w14:textId="77777777" w:rsidTr="003A7C1B">
        <w:trPr>
          <w:trHeight w:val="2160"/>
        </w:trPr>
        <w:tc>
          <w:tcPr>
            <w:tcW w:w="2438" w:type="pct"/>
            <w:shd w:val="clear" w:color="auto" w:fill="auto"/>
            <w:vAlign w:val="center"/>
          </w:tcPr>
          <w:p w14:paraId="05FB0C73" w14:textId="77777777" w:rsidR="008A5BEA" w:rsidRPr="00712F3C" w:rsidRDefault="008A5BEA" w:rsidP="00250DAC">
            <w:pPr>
              <w:spacing w:after="0" w:line="240" w:lineRule="auto"/>
              <w:jc w:val="center"/>
              <w:rPr>
                <w:rFonts w:ascii="Times New Roman" w:hAnsi="Times New Roman"/>
                <w:b/>
                <w:sz w:val="20"/>
                <w:szCs w:val="20"/>
              </w:rPr>
            </w:pPr>
            <w:r w:rsidRPr="00712F3C">
              <w:rPr>
                <w:rFonts w:ascii="Times New Roman" w:hAnsi="Times New Roman"/>
                <w:b/>
                <w:sz w:val="20"/>
                <w:szCs w:val="20"/>
              </w:rPr>
              <w:t xml:space="preserve">​ </w:t>
            </w:r>
            <w:r w:rsidRPr="00712F3C">
              <w:rPr>
                <w:rFonts w:ascii="Times New Roman" w:hAnsi="Times New Roman"/>
                <w:sz w:val="20"/>
                <w:szCs w:val="20"/>
              </w:rPr>
              <w:t>[●]</w:t>
            </w:r>
          </w:p>
        </w:tc>
        <w:tc>
          <w:tcPr>
            <w:tcW w:w="2562" w:type="pct"/>
            <w:shd w:val="clear" w:color="auto" w:fill="auto"/>
            <w:vAlign w:val="center"/>
          </w:tcPr>
          <w:p w14:paraId="0B194962" w14:textId="77777777" w:rsidR="008A5BEA" w:rsidRPr="00712F3C" w:rsidRDefault="008A5BEA" w:rsidP="00250DAC">
            <w:pPr>
              <w:spacing w:after="0" w:line="240" w:lineRule="auto"/>
              <w:jc w:val="center"/>
              <w:rPr>
                <w:rFonts w:ascii="Times New Roman" w:hAnsi="Times New Roman"/>
                <w:b/>
                <w:sz w:val="20"/>
                <w:szCs w:val="20"/>
              </w:rPr>
            </w:pPr>
            <w:r w:rsidRPr="00712F3C">
              <w:rPr>
                <w:rFonts w:ascii="Times New Roman" w:hAnsi="Times New Roman"/>
                <w:sz w:val="20"/>
                <w:szCs w:val="20"/>
              </w:rPr>
              <w:t>[●]</w:t>
            </w:r>
          </w:p>
        </w:tc>
      </w:tr>
    </w:tbl>
    <w:p w14:paraId="5EDE48A4" w14:textId="4FEA3317" w:rsidR="008A5BEA" w:rsidRPr="00712F3C" w:rsidRDefault="008A5BEA" w:rsidP="008A5BEA">
      <w:pPr>
        <w:pBdr>
          <w:top w:val="nil"/>
          <w:left w:val="nil"/>
          <w:bottom w:val="nil"/>
          <w:right w:val="nil"/>
          <w:between w:val="nil"/>
        </w:pBdr>
        <w:spacing w:after="0" w:line="240" w:lineRule="auto"/>
        <w:jc w:val="both"/>
        <w:rPr>
          <w:rFonts w:ascii="Times New Roman" w:hAnsi="Times New Roman"/>
          <w:b/>
          <w:i/>
          <w:color w:val="000000"/>
          <w:sz w:val="20"/>
          <w:szCs w:val="20"/>
        </w:rPr>
      </w:pPr>
      <w:r w:rsidRPr="00712F3C">
        <w:rPr>
          <w:rFonts w:ascii="Times New Roman" w:hAnsi="Times New Roman"/>
          <w:b/>
          <w:i/>
          <w:color w:val="000000"/>
          <w:sz w:val="20"/>
          <w:szCs w:val="20"/>
        </w:rPr>
        <w:t>*</w:t>
      </w:r>
      <w:r w:rsidRPr="00712F3C">
        <w:rPr>
          <w:rFonts w:ascii="Times New Roman" w:hAnsi="Times New Roman"/>
          <w:i/>
          <w:color w:val="000000"/>
          <w:sz w:val="20"/>
          <w:szCs w:val="20"/>
        </w:rPr>
        <w:t xml:space="preserve">The </w:t>
      </w:r>
      <w:r w:rsidR="00486D3C" w:rsidRPr="00486D3C">
        <w:rPr>
          <w:rFonts w:ascii="Times New Roman" w:hAnsi="Times New Roman"/>
          <w:i/>
          <w:color w:val="000000"/>
          <w:sz w:val="20"/>
          <w:szCs w:val="20"/>
        </w:rPr>
        <w:t>Bankers to the Company</w:t>
      </w:r>
      <w:r w:rsidR="00486D3C">
        <w:rPr>
          <w:rFonts w:ascii="Times New Roman" w:hAnsi="Times New Roman"/>
          <w:i/>
          <w:color w:val="000000"/>
          <w:sz w:val="20"/>
          <w:szCs w:val="20"/>
        </w:rPr>
        <w:t>,</w:t>
      </w:r>
      <w:r w:rsidR="00486D3C" w:rsidRPr="00486D3C">
        <w:rPr>
          <w:rFonts w:ascii="Times New Roman" w:hAnsi="Times New Roman"/>
          <w:i/>
          <w:color w:val="000000"/>
          <w:sz w:val="20"/>
          <w:szCs w:val="20"/>
        </w:rPr>
        <w:t xml:space="preserve"> </w:t>
      </w:r>
      <w:r w:rsidRPr="00712F3C">
        <w:rPr>
          <w:rFonts w:ascii="Times New Roman" w:hAnsi="Times New Roman"/>
          <w:i/>
          <w:color w:val="000000"/>
          <w:sz w:val="20"/>
          <w:szCs w:val="20"/>
        </w:rPr>
        <w:t>Bankers to the Issue/ Refund Banker/ Sponsor Bank and Syndicate Member</w:t>
      </w:r>
      <w:r w:rsidRPr="00712F3C" w:rsidDel="00FA2C9A">
        <w:rPr>
          <w:rFonts w:ascii="Times New Roman" w:hAnsi="Times New Roman"/>
          <w:i/>
          <w:color w:val="000000"/>
          <w:sz w:val="20"/>
          <w:szCs w:val="20"/>
        </w:rPr>
        <w:t xml:space="preserve"> </w:t>
      </w:r>
      <w:r w:rsidRPr="00712F3C">
        <w:rPr>
          <w:rFonts w:ascii="Times New Roman" w:hAnsi="Times New Roman"/>
          <w:i/>
          <w:color w:val="000000"/>
          <w:sz w:val="20"/>
          <w:szCs w:val="20"/>
        </w:rPr>
        <w:t>shall be appointed prior to filing of the Red Herring Prospectus with the RoC.</w:t>
      </w:r>
    </w:p>
    <w:p w14:paraId="1095A6CE" w14:textId="77777777" w:rsidR="008A5BEA" w:rsidRDefault="008A5BEA" w:rsidP="008A5BEA">
      <w:pPr>
        <w:pBdr>
          <w:top w:val="nil"/>
          <w:left w:val="nil"/>
          <w:bottom w:val="nil"/>
          <w:right w:val="nil"/>
          <w:between w:val="nil"/>
        </w:pBdr>
        <w:spacing w:after="0" w:line="240" w:lineRule="auto"/>
        <w:jc w:val="both"/>
        <w:rPr>
          <w:rFonts w:ascii="Times New Roman" w:hAnsi="Times New Roman"/>
          <w:b/>
          <w:color w:val="000000"/>
          <w:sz w:val="20"/>
          <w:szCs w:val="20"/>
        </w:rPr>
      </w:pPr>
    </w:p>
    <w:p w14:paraId="582CDD8A" w14:textId="77777777" w:rsidR="008A5BEA" w:rsidRPr="00712F3C" w:rsidRDefault="008A5BEA" w:rsidP="008A5BEA">
      <w:pPr>
        <w:spacing w:after="0" w:line="240" w:lineRule="auto"/>
        <w:ind w:right="-90"/>
        <w:jc w:val="both"/>
        <w:rPr>
          <w:rFonts w:ascii="Times New Roman" w:hAnsi="Times New Roman"/>
          <w:b/>
          <w:sz w:val="20"/>
          <w:szCs w:val="20"/>
        </w:rPr>
      </w:pPr>
      <w:r w:rsidRPr="00712F3C">
        <w:rPr>
          <w:rFonts w:ascii="Times New Roman" w:hAnsi="Times New Roman"/>
          <w:b/>
          <w:sz w:val="20"/>
          <w:szCs w:val="20"/>
        </w:rPr>
        <w:t>Designated Intermediaries:</w:t>
      </w:r>
    </w:p>
    <w:p w14:paraId="4C3BD385" w14:textId="77777777" w:rsidR="008A5BEA" w:rsidRPr="00712F3C" w:rsidRDefault="008A5BEA" w:rsidP="008A5BEA">
      <w:pPr>
        <w:spacing w:after="0" w:line="240" w:lineRule="auto"/>
        <w:ind w:right="-90"/>
        <w:jc w:val="both"/>
        <w:rPr>
          <w:rFonts w:ascii="Times New Roman" w:hAnsi="Times New Roman"/>
          <w:b/>
          <w:sz w:val="20"/>
          <w:szCs w:val="20"/>
        </w:rPr>
      </w:pPr>
    </w:p>
    <w:p w14:paraId="2E2E6DBC" w14:textId="77777777" w:rsidR="008A5BEA" w:rsidRPr="00712F3C" w:rsidRDefault="008A5BEA" w:rsidP="008A5BEA">
      <w:pPr>
        <w:spacing w:after="0" w:line="240" w:lineRule="auto"/>
        <w:ind w:right="-90"/>
        <w:jc w:val="both"/>
        <w:rPr>
          <w:rFonts w:ascii="Times New Roman" w:hAnsi="Times New Roman"/>
          <w:b/>
          <w:sz w:val="20"/>
          <w:szCs w:val="20"/>
        </w:rPr>
      </w:pPr>
      <w:r w:rsidRPr="00712F3C">
        <w:rPr>
          <w:rFonts w:ascii="Times New Roman" w:hAnsi="Times New Roman"/>
          <w:b/>
          <w:sz w:val="20"/>
          <w:szCs w:val="20"/>
        </w:rPr>
        <w:lastRenderedPageBreak/>
        <w:t>Self-Certified Syndicate Banks (SCSB’s)</w:t>
      </w:r>
    </w:p>
    <w:p w14:paraId="463485A9" w14:textId="77777777" w:rsidR="008A5BEA" w:rsidRPr="00712F3C" w:rsidRDefault="008A5BEA" w:rsidP="008A5BEA">
      <w:pPr>
        <w:spacing w:after="0" w:line="240" w:lineRule="auto"/>
        <w:ind w:right="-90"/>
        <w:jc w:val="both"/>
        <w:rPr>
          <w:rFonts w:ascii="Times New Roman" w:hAnsi="Times New Roman"/>
          <w:b/>
          <w:sz w:val="20"/>
          <w:szCs w:val="20"/>
        </w:rPr>
      </w:pPr>
    </w:p>
    <w:p w14:paraId="67F87F5B" w14:textId="77777777" w:rsidR="008A5BEA" w:rsidRPr="00712F3C" w:rsidRDefault="008A5BEA" w:rsidP="008A5BEA">
      <w:pPr>
        <w:spacing w:after="0" w:line="240" w:lineRule="auto"/>
        <w:ind w:right="-90"/>
        <w:jc w:val="both"/>
        <w:rPr>
          <w:rFonts w:ascii="Times New Roman" w:hAnsi="Times New Roman"/>
          <w:sz w:val="20"/>
          <w:szCs w:val="20"/>
        </w:rPr>
      </w:pPr>
      <w:r w:rsidRPr="00712F3C">
        <w:rPr>
          <w:rFonts w:ascii="Times New Roman" w:hAnsi="Times New Roman"/>
          <w:sz w:val="20"/>
          <w:szCs w:val="20"/>
        </w:rPr>
        <w:t xml:space="preserve">The list of SCSBs, as updated till date, is available on website of Securities and Exchange Board of India at below link. </w:t>
      </w:r>
      <w:hyperlink r:id="rId27">
        <w:r w:rsidRPr="00712F3C">
          <w:rPr>
            <w:rFonts w:ascii="Times New Roman" w:hAnsi="Times New Roman"/>
            <w:color w:val="0000FF"/>
            <w:sz w:val="20"/>
            <w:szCs w:val="20"/>
            <w:u w:val="single"/>
          </w:rPr>
          <w:t>https://www.sebi.gov.in/sebiweb/other/OtherAction.do?doRecognisedFpi=yes&amp;intmId=34</w:t>
        </w:r>
      </w:hyperlink>
      <w:r w:rsidRPr="00712F3C">
        <w:rPr>
          <w:rFonts w:ascii="Times New Roman" w:hAnsi="Times New Roman"/>
          <w:sz w:val="20"/>
          <w:szCs w:val="20"/>
        </w:rPr>
        <w:t xml:space="preserve">; </w:t>
      </w:r>
      <w:hyperlink r:id="rId28">
        <w:r w:rsidRPr="00712F3C">
          <w:rPr>
            <w:rFonts w:ascii="Times New Roman" w:hAnsi="Times New Roman"/>
            <w:color w:val="0000FF"/>
            <w:sz w:val="20"/>
            <w:szCs w:val="20"/>
            <w:u w:val="single"/>
          </w:rPr>
          <w:t>https://www.sebi.gov.in/sebiweb/other/OtherAction.do?doRecognisedFpi=yes&amp;intmId=35</w:t>
        </w:r>
      </w:hyperlink>
      <w:r w:rsidRPr="00712F3C">
        <w:rPr>
          <w:rFonts w:ascii="Times New Roman" w:hAnsi="Times New Roman"/>
          <w:sz w:val="20"/>
          <w:szCs w:val="20"/>
        </w:rPr>
        <w:t xml:space="preserve">  </w:t>
      </w:r>
    </w:p>
    <w:p w14:paraId="433AB387" w14:textId="77777777" w:rsidR="008A5BEA" w:rsidRPr="00712F3C" w:rsidRDefault="008A5BEA" w:rsidP="008A5BEA">
      <w:pPr>
        <w:spacing w:after="0" w:line="240" w:lineRule="auto"/>
        <w:ind w:right="-90"/>
        <w:jc w:val="both"/>
        <w:rPr>
          <w:rFonts w:ascii="Times New Roman" w:hAnsi="Times New Roman"/>
          <w:sz w:val="20"/>
          <w:szCs w:val="20"/>
        </w:rPr>
      </w:pPr>
      <w:r w:rsidRPr="00712F3C">
        <w:rPr>
          <w:rFonts w:ascii="Times New Roman" w:hAnsi="Times New Roman"/>
          <w:sz w:val="20"/>
          <w:szCs w:val="20"/>
        </w:rPr>
        <w:t>Investors are requested to refer the SEBI website for updated list of SCSBs and their 33 designated branches.</w:t>
      </w:r>
    </w:p>
    <w:p w14:paraId="3E062A58" w14:textId="77777777" w:rsidR="008A5BEA" w:rsidRPr="00712F3C" w:rsidRDefault="008A5BEA" w:rsidP="008A5BEA">
      <w:pPr>
        <w:spacing w:after="0" w:line="240" w:lineRule="auto"/>
        <w:ind w:right="-90"/>
        <w:jc w:val="both"/>
        <w:rPr>
          <w:rFonts w:ascii="Times New Roman" w:hAnsi="Times New Roman"/>
          <w:b/>
          <w:sz w:val="20"/>
          <w:szCs w:val="20"/>
        </w:rPr>
      </w:pPr>
    </w:p>
    <w:p w14:paraId="0D9345D1" w14:textId="77777777" w:rsidR="008A5BEA" w:rsidRPr="00712F3C" w:rsidRDefault="008A5BEA" w:rsidP="008A5BEA">
      <w:pPr>
        <w:spacing w:after="0" w:line="240" w:lineRule="auto"/>
        <w:ind w:right="-90"/>
        <w:jc w:val="both"/>
        <w:rPr>
          <w:rFonts w:ascii="Times New Roman" w:hAnsi="Times New Roman"/>
          <w:b/>
          <w:sz w:val="20"/>
          <w:szCs w:val="20"/>
        </w:rPr>
      </w:pPr>
      <w:r w:rsidRPr="00712F3C">
        <w:rPr>
          <w:rFonts w:ascii="Times New Roman" w:hAnsi="Times New Roman"/>
          <w:b/>
          <w:sz w:val="20"/>
          <w:szCs w:val="20"/>
        </w:rPr>
        <w:t>Self-Certified Syndicate Banks eligible as Sponsor Banks for UPI</w:t>
      </w:r>
    </w:p>
    <w:p w14:paraId="65EA2037" w14:textId="77777777" w:rsidR="008A5BEA" w:rsidRPr="00712F3C" w:rsidRDefault="008A5BEA" w:rsidP="008A5BEA">
      <w:pPr>
        <w:spacing w:after="0" w:line="240" w:lineRule="auto"/>
        <w:ind w:right="-90"/>
        <w:jc w:val="both"/>
        <w:rPr>
          <w:rFonts w:ascii="Times New Roman" w:hAnsi="Times New Roman"/>
          <w:sz w:val="20"/>
          <w:szCs w:val="20"/>
        </w:rPr>
      </w:pPr>
    </w:p>
    <w:p w14:paraId="61E2CE25" w14:textId="77777777" w:rsidR="008A5BEA" w:rsidRPr="00712F3C" w:rsidRDefault="008A5BEA" w:rsidP="008A5BEA">
      <w:pPr>
        <w:spacing w:after="0" w:line="240" w:lineRule="auto"/>
        <w:ind w:right="-90"/>
        <w:jc w:val="both"/>
        <w:rPr>
          <w:rFonts w:ascii="Times New Roman" w:hAnsi="Times New Roman"/>
          <w:sz w:val="20"/>
          <w:szCs w:val="20"/>
        </w:rPr>
      </w:pPr>
      <w:r w:rsidRPr="00712F3C">
        <w:rPr>
          <w:rFonts w:ascii="Times New Roman" w:hAnsi="Times New Roman"/>
          <w:sz w:val="20"/>
          <w:szCs w:val="20"/>
        </w:rPr>
        <w:t xml:space="preserve">The list of Self Certified Syndicate Banks that have been notified by SEBI to act as Investors Bank or Issuer Bank for UPI mechanism are provide on the website of SEBI on </w:t>
      </w:r>
      <w:hyperlink r:id="rId29">
        <w:r w:rsidRPr="00712F3C">
          <w:rPr>
            <w:rFonts w:ascii="Times New Roman" w:hAnsi="Times New Roman"/>
            <w:color w:val="0000FF"/>
            <w:sz w:val="20"/>
            <w:szCs w:val="20"/>
            <w:u w:val="single"/>
          </w:rPr>
          <w:t>https://www.sebi.gov.in/sebiweb/other/OtherAction.do?doRecognisedFpi=yes&amp;intmId=41</w:t>
        </w:r>
      </w:hyperlink>
    </w:p>
    <w:p w14:paraId="550B5E6C" w14:textId="77777777" w:rsidR="008A5BEA" w:rsidRPr="00712F3C" w:rsidRDefault="008A5BEA" w:rsidP="008A5BEA">
      <w:pPr>
        <w:spacing w:after="0" w:line="240" w:lineRule="auto"/>
        <w:ind w:right="-90"/>
        <w:jc w:val="both"/>
        <w:rPr>
          <w:rFonts w:ascii="Times New Roman" w:hAnsi="Times New Roman"/>
          <w:b/>
          <w:sz w:val="20"/>
          <w:szCs w:val="20"/>
        </w:rPr>
      </w:pPr>
    </w:p>
    <w:p w14:paraId="30322E2D" w14:textId="77777777" w:rsidR="008A5BEA" w:rsidRPr="00712F3C" w:rsidRDefault="008A5BEA" w:rsidP="008A5BEA">
      <w:pPr>
        <w:spacing w:after="0" w:line="240" w:lineRule="auto"/>
        <w:ind w:right="-90"/>
        <w:jc w:val="both"/>
        <w:rPr>
          <w:rFonts w:ascii="Times New Roman" w:hAnsi="Times New Roman"/>
          <w:b/>
          <w:sz w:val="20"/>
          <w:szCs w:val="20"/>
        </w:rPr>
      </w:pPr>
      <w:r w:rsidRPr="00712F3C">
        <w:rPr>
          <w:rFonts w:ascii="Times New Roman" w:hAnsi="Times New Roman"/>
          <w:b/>
          <w:sz w:val="20"/>
          <w:szCs w:val="20"/>
        </w:rPr>
        <w:t>Syndicate SCSB Branches</w:t>
      </w:r>
    </w:p>
    <w:p w14:paraId="10223F21" w14:textId="77777777" w:rsidR="008A5BEA" w:rsidRPr="00712F3C" w:rsidRDefault="008A5BEA" w:rsidP="008A5BEA">
      <w:pPr>
        <w:spacing w:after="0" w:line="240" w:lineRule="auto"/>
        <w:ind w:right="-90"/>
        <w:jc w:val="both"/>
        <w:rPr>
          <w:rFonts w:ascii="Times New Roman" w:hAnsi="Times New Roman"/>
          <w:b/>
          <w:sz w:val="20"/>
          <w:szCs w:val="20"/>
        </w:rPr>
      </w:pPr>
    </w:p>
    <w:p w14:paraId="0CDC931B" w14:textId="77777777" w:rsidR="008A5BEA" w:rsidRPr="00712F3C" w:rsidRDefault="008A5BEA" w:rsidP="008A5BEA">
      <w:pPr>
        <w:spacing w:after="0" w:line="240" w:lineRule="auto"/>
        <w:ind w:right="-90"/>
        <w:jc w:val="both"/>
        <w:rPr>
          <w:rFonts w:ascii="Times New Roman" w:hAnsi="Times New Roman"/>
          <w:sz w:val="20"/>
          <w:szCs w:val="20"/>
        </w:rPr>
      </w:pPr>
      <w:r w:rsidRPr="00712F3C">
        <w:rPr>
          <w:rFonts w:ascii="Times New Roman" w:hAnsi="Times New Roman"/>
          <w:sz w:val="20"/>
          <w:szCs w:val="20"/>
        </w:rPr>
        <w:t>In accordance with SEBI Circular No. SEBI/HO/CFD/DIL2/CIR/P/2019/76 dated June 28, 2019 and SEBI Circular No. SEBI/HO/CFD/DIL2/CIR/P/2019/85 dated July 26, 2019, Retail Individual Investors Applying using the UPI Mechanism may apply through the SCSBs and mobile applications whose names appears on the website of the SEBI (</w:t>
      </w:r>
      <w:hyperlink r:id="rId30">
        <w:r w:rsidRPr="00712F3C">
          <w:rPr>
            <w:rFonts w:ascii="Times New Roman" w:hAnsi="Times New Roman"/>
            <w:color w:val="0000FF"/>
            <w:sz w:val="20"/>
            <w:szCs w:val="20"/>
            <w:u w:val="single"/>
          </w:rPr>
          <w:t>https://www.sebi.gov.in/sebiweb/other/OtherAction.do?doRecognisedFpi=yes&amp;intmId=40</w:t>
        </w:r>
      </w:hyperlink>
      <w:r w:rsidRPr="00712F3C">
        <w:rPr>
          <w:rFonts w:ascii="Times New Roman" w:hAnsi="Times New Roman"/>
          <w:sz w:val="20"/>
          <w:szCs w:val="20"/>
        </w:rPr>
        <w:t xml:space="preserve">) and updated from time to time. A list of SCSBs and mobile applications, which are live for applying in public issues using UPI mechanism is provided as ‘Annexure A’ for the SEBI circular number SEBI/HO/CFD/DIL2/CIR/P/2019/85 dated July 26, 2019, as amended. </w:t>
      </w:r>
    </w:p>
    <w:p w14:paraId="05043C8B" w14:textId="77777777" w:rsidR="008A5BEA" w:rsidRPr="00712F3C" w:rsidRDefault="008A5BEA" w:rsidP="008A5BEA">
      <w:pPr>
        <w:spacing w:after="0" w:line="240" w:lineRule="auto"/>
        <w:ind w:right="-90"/>
        <w:jc w:val="both"/>
        <w:rPr>
          <w:rFonts w:ascii="Times New Roman" w:hAnsi="Times New Roman"/>
          <w:b/>
          <w:sz w:val="20"/>
          <w:szCs w:val="20"/>
        </w:rPr>
      </w:pPr>
    </w:p>
    <w:p w14:paraId="0E9349C9" w14:textId="77777777" w:rsidR="008A5BEA" w:rsidRPr="00712F3C" w:rsidRDefault="008A5BEA" w:rsidP="008A5BEA">
      <w:pPr>
        <w:spacing w:after="0" w:line="240" w:lineRule="auto"/>
        <w:ind w:right="-90"/>
        <w:jc w:val="both"/>
        <w:rPr>
          <w:rFonts w:ascii="Times New Roman" w:hAnsi="Times New Roman"/>
          <w:b/>
          <w:sz w:val="20"/>
          <w:szCs w:val="20"/>
        </w:rPr>
      </w:pPr>
      <w:r w:rsidRPr="00712F3C">
        <w:rPr>
          <w:rFonts w:ascii="Times New Roman" w:hAnsi="Times New Roman"/>
          <w:b/>
          <w:sz w:val="20"/>
          <w:szCs w:val="20"/>
        </w:rPr>
        <w:t>Registered Brokers</w:t>
      </w:r>
    </w:p>
    <w:p w14:paraId="43825AB8" w14:textId="77777777" w:rsidR="008A5BEA" w:rsidRPr="00712F3C" w:rsidRDefault="008A5BEA" w:rsidP="008A5BEA">
      <w:pPr>
        <w:spacing w:after="0" w:line="240" w:lineRule="auto"/>
        <w:ind w:right="-90"/>
        <w:jc w:val="both"/>
        <w:rPr>
          <w:rFonts w:ascii="Times New Roman" w:hAnsi="Times New Roman"/>
          <w:b/>
          <w:sz w:val="20"/>
          <w:szCs w:val="20"/>
        </w:rPr>
      </w:pPr>
    </w:p>
    <w:p w14:paraId="7ADF0F3F" w14:textId="77777777" w:rsidR="008A5BEA" w:rsidRPr="00712F3C" w:rsidRDefault="008A5BEA" w:rsidP="008A5BEA">
      <w:pPr>
        <w:spacing w:after="0" w:line="240" w:lineRule="auto"/>
        <w:ind w:right="-90"/>
        <w:jc w:val="both"/>
        <w:rPr>
          <w:rFonts w:ascii="Times New Roman" w:hAnsi="Times New Roman"/>
          <w:sz w:val="20"/>
          <w:szCs w:val="20"/>
        </w:rPr>
      </w:pPr>
      <w:r w:rsidRPr="00712F3C">
        <w:rPr>
          <w:rFonts w:ascii="Times New Roman" w:hAnsi="Times New Roman"/>
          <w:sz w:val="20"/>
          <w:szCs w:val="20"/>
        </w:rPr>
        <w:t>The list of the Registered Brokers eligible to accept ASBA forms, including details such as postal address, telephone number and e-mail address, is provided on the website of the SEBI at (</w:t>
      </w:r>
      <w:hyperlink r:id="rId31">
        <w:r w:rsidRPr="00712F3C">
          <w:rPr>
            <w:rFonts w:ascii="Times New Roman" w:hAnsi="Times New Roman"/>
            <w:color w:val="0000FF"/>
            <w:sz w:val="20"/>
            <w:szCs w:val="20"/>
            <w:u w:val="single"/>
          </w:rPr>
          <w:t>https://www.sebi.gov.in/sebiweb/other/OtherAction.do?doRecognised=yes</w:t>
        </w:r>
      </w:hyperlink>
      <w:r w:rsidRPr="00712F3C">
        <w:rPr>
          <w:rFonts w:ascii="Times New Roman" w:hAnsi="Times New Roman"/>
          <w:sz w:val="20"/>
          <w:szCs w:val="20"/>
        </w:rPr>
        <w:t>), respectively, as updated from time to time.</w:t>
      </w:r>
    </w:p>
    <w:p w14:paraId="5A58CBE3" w14:textId="77777777" w:rsidR="008A5BEA" w:rsidRPr="00712F3C" w:rsidRDefault="008A5BEA" w:rsidP="008A5BEA">
      <w:pPr>
        <w:spacing w:after="0" w:line="240" w:lineRule="auto"/>
        <w:ind w:right="-90"/>
        <w:jc w:val="both"/>
        <w:rPr>
          <w:rFonts w:ascii="Times New Roman" w:hAnsi="Times New Roman"/>
          <w:b/>
          <w:sz w:val="20"/>
          <w:szCs w:val="20"/>
        </w:rPr>
      </w:pPr>
    </w:p>
    <w:p w14:paraId="1B92A1CD" w14:textId="77777777" w:rsidR="008A5BEA" w:rsidRPr="00712F3C" w:rsidRDefault="008A5BEA" w:rsidP="008A5BEA">
      <w:pPr>
        <w:spacing w:after="0" w:line="240" w:lineRule="auto"/>
        <w:ind w:right="-90"/>
        <w:jc w:val="both"/>
        <w:rPr>
          <w:rFonts w:ascii="Times New Roman" w:hAnsi="Times New Roman"/>
          <w:b/>
          <w:sz w:val="20"/>
          <w:szCs w:val="20"/>
        </w:rPr>
      </w:pPr>
      <w:r w:rsidRPr="00712F3C">
        <w:rPr>
          <w:rFonts w:ascii="Times New Roman" w:hAnsi="Times New Roman"/>
          <w:b/>
          <w:sz w:val="20"/>
          <w:szCs w:val="20"/>
        </w:rPr>
        <w:t>Registrar and Share Transfer Agents</w:t>
      </w:r>
    </w:p>
    <w:p w14:paraId="6356033F" w14:textId="77777777" w:rsidR="008A5BEA" w:rsidRPr="00712F3C" w:rsidRDefault="008A5BEA" w:rsidP="008A5BEA">
      <w:pPr>
        <w:spacing w:after="0" w:line="240" w:lineRule="auto"/>
        <w:ind w:right="-90"/>
        <w:jc w:val="both"/>
        <w:rPr>
          <w:rFonts w:ascii="Times New Roman" w:hAnsi="Times New Roman"/>
          <w:sz w:val="20"/>
          <w:szCs w:val="20"/>
        </w:rPr>
      </w:pPr>
    </w:p>
    <w:p w14:paraId="75C7768E" w14:textId="77777777" w:rsidR="008A5BEA" w:rsidRPr="00712F3C" w:rsidRDefault="008A5BEA" w:rsidP="008A5BEA">
      <w:pPr>
        <w:spacing w:after="0" w:line="240" w:lineRule="auto"/>
        <w:ind w:right="-90"/>
        <w:jc w:val="both"/>
        <w:rPr>
          <w:rFonts w:ascii="Times New Roman" w:hAnsi="Times New Roman"/>
          <w:b/>
          <w:sz w:val="20"/>
          <w:szCs w:val="20"/>
        </w:rPr>
      </w:pPr>
      <w:r w:rsidRPr="00712F3C">
        <w:rPr>
          <w:rFonts w:ascii="Times New Roman" w:hAnsi="Times New Roman"/>
          <w:sz w:val="20"/>
          <w:szCs w:val="20"/>
        </w:rPr>
        <w:t xml:space="preserve">The list of the Registrar to Issue and Share Transfer Agents (RTAs) eligible to accept Applications forms at the Designated RTA Locations, including details such as address, telephone number and e-mail address, are provided at </w:t>
      </w:r>
      <w:hyperlink r:id="rId32">
        <w:r w:rsidRPr="00712F3C">
          <w:rPr>
            <w:rFonts w:ascii="Times New Roman" w:hAnsi="Times New Roman"/>
            <w:color w:val="0000FF"/>
            <w:sz w:val="20"/>
            <w:szCs w:val="20"/>
            <w:u w:val="single"/>
          </w:rPr>
          <w:t>https://www.sebi.gov.in/sebiweb/other/OtherAction.do?doRecognisedFpi=yes&amp;intmId=10</w:t>
        </w:r>
      </w:hyperlink>
      <w:r w:rsidRPr="00712F3C">
        <w:rPr>
          <w:rFonts w:ascii="Times New Roman" w:hAnsi="Times New Roman"/>
          <w:sz w:val="20"/>
          <w:szCs w:val="20"/>
        </w:rPr>
        <w:t xml:space="preserve"> , as updated from time to time. </w:t>
      </w:r>
    </w:p>
    <w:p w14:paraId="001C0A4B" w14:textId="77777777" w:rsidR="008A5BEA" w:rsidRPr="00712F3C" w:rsidRDefault="008A5BEA" w:rsidP="008A5BEA">
      <w:pPr>
        <w:spacing w:after="0" w:line="240" w:lineRule="auto"/>
        <w:ind w:right="-90"/>
        <w:jc w:val="both"/>
        <w:rPr>
          <w:rFonts w:ascii="Times New Roman" w:hAnsi="Times New Roman"/>
          <w:b/>
          <w:sz w:val="20"/>
          <w:szCs w:val="20"/>
        </w:rPr>
      </w:pPr>
    </w:p>
    <w:p w14:paraId="4EC39784" w14:textId="77777777" w:rsidR="008A5BEA" w:rsidRPr="00712F3C" w:rsidRDefault="008A5BEA" w:rsidP="008A5BEA">
      <w:pPr>
        <w:spacing w:after="0" w:line="240" w:lineRule="auto"/>
        <w:ind w:right="-90"/>
        <w:jc w:val="both"/>
        <w:rPr>
          <w:rFonts w:ascii="Times New Roman" w:hAnsi="Times New Roman"/>
          <w:b/>
          <w:sz w:val="20"/>
          <w:szCs w:val="20"/>
        </w:rPr>
      </w:pPr>
      <w:r w:rsidRPr="00712F3C">
        <w:rPr>
          <w:rFonts w:ascii="Times New Roman" w:hAnsi="Times New Roman"/>
          <w:b/>
          <w:sz w:val="20"/>
          <w:szCs w:val="20"/>
        </w:rPr>
        <w:t>Collecting Depository Participants</w:t>
      </w:r>
    </w:p>
    <w:p w14:paraId="40988C9B" w14:textId="77777777" w:rsidR="008A5BEA" w:rsidRPr="00712F3C" w:rsidRDefault="008A5BEA" w:rsidP="008A5BEA">
      <w:pPr>
        <w:spacing w:after="0" w:line="240" w:lineRule="auto"/>
        <w:ind w:right="-90"/>
        <w:jc w:val="both"/>
        <w:rPr>
          <w:rFonts w:ascii="Times New Roman" w:hAnsi="Times New Roman"/>
          <w:b/>
          <w:sz w:val="20"/>
          <w:szCs w:val="20"/>
        </w:rPr>
      </w:pPr>
    </w:p>
    <w:p w14:paraId="3756DC84" w14:textId="77777777" w:rsidR="008A5BEA" w:rsidRPr="00712F3C" w:rsidRDefault="008A5BEA" w:rsidP="008A5BEA">
      <w:pPr>
        <w:spacing w:after="0" w:line="240" w:lineRule="auto"/>
        <w:ind w:right="-90"/>
        <w:jc w:val="both"/>
        <w:rPr>
          <w:rFonts w:ascii="Times New Roman" w:hAnsi="Times New Roman"/>
          <w:sz w:val="20"/>
          <w:szCs w:val="20"/>
        </w:rPr>
      </w:pPr>
      <w:r w:rsidRPr="00712F3C">
        <w:rPr>
          <w:rFonts w:ascii="Times New Roman" w:hAnsi="Times New Roman"/>
          <w:sz w:val="20"/>
          <w:szCs w:val="20"/>
        </w:rPr>
        <w:t xml:space="preserve">The list of the Collecting Depository Participants (CDPs) eligible to accept Bid-cum-Application Forms at the Designated CDP Locations, including details such as name and contact details, are provided at </w:t>
      </w:r>
      <w:hyperlink r:id="rId33">
        <w:r w:rsidRPr="00712F3C">
          <w:rPr>
            <w:rFonts w:ascii="Times New Roman" w:hAnsi="Times New Roman"/>
            <w:color w:val="0000FF"/>
            <w:sz w:val="20"/>
            <w:szCs w:val="20"/>
            <w:u w:val="single"/>
          </w:rPr>
          <w:t>https://www.sebi.gov.in/sebiweb/other/OtherAction.do?doRecognisedFpi=yes&amp;intmId=19</w:t>
        </w:r>
      </w:hyperlink>
      <w:r>
        <w:rPr>
          <w:rFonts w:ascii="Times New Roman" w:hAnsi="Times New Roman"/>
          <w:sz w:val="20"/>
          <w:szCs w:val="20"/>
        </w:rPr>
        <w:t xml:space="preserve"> </w:t>
      </w:r>
      <w:r w:rsidRPr="00712F3C">
        <w:rPr>
          <w:rFonts w:ascii="Times New Roman" w:hAnsi="Times New Roman"/>
          <w:sz w:val="20"/>
          <w:szCs w:val="20"/>
        </w:rPr>
        <w:t xml:space="preserve">for NSDL CDPs and at </w:t>
      </w:r>
      <w:hyperlink r:id="rId34">
        <w:r w:rsidRPr="00712F3C">
          <w:rPr>
            <w:rFonts w:ascii="Times New Roman" w:hAnsi="Times New Roman"/>
            <w:color w:val="0000FF"/>
            <w:sz w:val="20"/>
            <w:szCs w:val="20"/>
            <w:u w:val="single"/>
          </w:rPr>
          <w:t>https://www.sebi.gov.in/sebiweb/other/OtherAction.do?doRecognisedFpi=yes&amp;intmId=18</w:t>
        </w:r>
      </w:hyperlink>
      <w:r w:rsidRPr="00712F3C">
        <w:rPr>
          <w:rFonts w:ascii="Times New Roman" w:hAnsi="Times New Roman"/>
          <w:sz w:val="20"/>
          <w:szCs w:val="20"/>
        </w:rPr>
        <w:t xml:space="preserve"> for CDSL CDPs, as updated from time to time. The list of branches of the SCSBs named by the respective SCSBs to receive deposits of the Bid cum Application Forms from the Designated Intermediaries will be available on the website of the SEBI (</w:t>
      </w:r>
      <w:hyperlink r:id="rId35">
        <w:r w:rsidRPr="00712F3C">
          <w:rPr>
            <w:rFonts w:ascii="Times New Roman" w:hAnsi="Times New Roman"/>
            <w:color w:val="0000FF"/>
            <w:sz w:val="20"/>
            <w:szCs w:val="20"/>
            <w:u w:val="single"/>
          </w:rPr>
          <w:t>www.sebi.gov.in</w:t>
        </w:r>
      </w:hyperlink>
      <w:r w:rsidRPr="00712F3C">
        <w:rPr>
          <w:rFonts w:ascii="Times New Roman" w:hAnsi="Times New Roman"/>
          <w:sz w:val="20"/>
          <w:szCs w:val="20"/>
        </w:rPr>
        <w:t xml:space="preserve">) and updated from time to time. </w:t>
      </w:r>
    </w:p>
    <w:p w14:paraId="1A56955D" w14:textId="77777777" w:rsidR="008A5BEA" w:rsidRPr="00712F3C" w:rsidRDefault="008A5BEA" w:rsidP="008A5BEA">
      <w:pPr>
        <w:spacing w:after="0" w:line="240" w:lineRule="auto"/>
        <w:rPr>
          <w:rFonts w:ascii="Times New Roman" w:hAnsi="Times New Roman"/>
          <w:sz w:val="20"/>
          <w:szCs w:val="20"/>
        </w:rPr>
      </w:pPr>
    </w:p>
    <w:p w14:paraId="06ACC95C" w14:textId="77777777" w:rsidR="008A5BEA" w:rsidRPr="00712F3C" w:rsidRDefault="008A5BEA" w:rsidP="008A5BEA">
      <w:pPr>
        <w:spacing w:after="0" w:line="240" w:lineRule="auto"/>
        <w:ind w:right="-90"/>
        <w:jc w:val="both"/>
        <w:rPr>
          <w:rFonts w:ascii="Times New Roman" w:hAnsi="Times New Roman"/>
          <w:b/>
          <w:sz w:val="20"/>
          <w:szCs w:val="20"/>
        </w:rPr>
      </w:pPr>
      <w:r w:rsidRPr="00712F3C">
        <w:rPr>
          <w:rFonts w:ascii="Times New Roman" w:hAnsi="Times New Roman"/>
          <w:b/>
          <w:sz w:val="20"/>
          <w:szCs w:val="20"/>
        </w:rPr>
        <w:t>Brokers to the Issue</w:t>
      </w:r>
    </w:p>
    <w:p w14:paraId="2DB58738" w14:textId="77777777" w:rsidR="008A5BEA" w:rsidRPr="00712F3C" w:rsidRDefault="008A5BEA" w:rsidP="008A5BEA">
      <w:pPr>
        <w:spacing w:after="0" w:line="240" w:lineRule="auto"/>
        <w:ind w:right="-90"/>
        <w:jc w:val="both"/>
        <w:rPr>
          <w:rFonts w:ascii="Times New Roman" w:hAnsi="Times New Roman"/>
          <w:sz w:val="20"/>
          <w:szCs w:val="20"/>
        </w:rPr>
      </w:pPr>
    </w:p>
    <w:p w14:paraId="28113D0C" w14:textId="77777777" w:rsidR="008A5BEA" w:rsidRPr="00712F3C" w:rsidRDefault="008A5BEA" w:rsidP="008A5BEA">
      <w:pPr>
        <w:spacing w:after="0" w:line="240" w:lineRule="auto"/>
        <w:ind w:right="-90"/>
        <w:jc w:val="both"/>
        <w:rPr>
          <w:rFonts w:ascii="Times New Roman" w:hAnsi="Times New Roman"/>
          <w:sz w:val="20"/>
          <w:szCs w:val="20"/>
        </w:rPr>
      </w:pPr>
      <w:r w:rsidRPr="00712F3C">
        <w:rPr>
          <w:rFonts w:ascii="Times New Roman" w:hAnsi="Times New Roman"/>
          <w:sz w:val="20"/>
          <w:szCs w:val="20"/>
        </w:rPr>
        <w:t>All members of the recognized stock exchanges would be eligible to act as Brokers to the Issue.</w:t>
      </w:r>
    </w:p>
    <w:p w14:paraId="385FB6B3" w14:textId="77777777" w:rsidR="008A5BEA" w:rsidRPr="00712F3C" w:rsidRDefault="008A5BEA" w:rsidP="008A5BEA">
      <w:pPr>
        <w:spacing w:after="0" w:line="240" w:lineRule="auto"/>
        <w:ind w:right="-90"/>
        <w:jc w:val="both"/>
        <w:rPr>
          <w:rFonts w:ascii="Times New Roman" w:hAnsi="Times New Roman"/>
          <w:sz w:val="20"/>
          <w:szCs w:val="20"/>
        </w:rPr>
      </w:pPr>
    </w:p>
    <w:p w14:paraId="4AF0B37D" w14:textId="77777777" w:rsidR="008A5BEA" w:rsidRPr="00712F3C" w:rsidRDefault="008A5BEA" w:rsidP="008A5BEA">
      <w:pPr>
        <w:spacing w:after="0" w:line="240" w:lineRule="auto"/>
        <w:ind w:right="-90"/>
        <w:jc w:val="both"/>
        <w:rPr>
          <w:rFonts w:ascii="Times New Roman" w:hAnsi="Times New Roman"/>
          <w:b/>
          <w:sz w:val="20"/>
          <w:szCs w:val="20"/>
        </w:rPr>
      </w:pPr>
      <w:r w:rsidRPr="00712F3C">
        <w:rPr>
          <w:rFonts w:ascii="Times New Roman" w:hAnsi="Times New Roman"/>
          <w:b/>
          <w:sz w:val="20"/>
          <w:szCs w:val="20"/>
        </w:rPr>
        <w:t>Expert Opinion</w:t>
      </w:r>
    </w:p>
    <w:p w14:paraId="0F22A0AC" w14:textId="77777777" w:rsidR="008A5BEA" w:rsidRPr="00712F3C" w:rsidRDefault="008A5BEA" w:rsidP="008A5BEA">
      <w:pPr>
        <w:spacing w:after="0" w:line="240" w:lineRule="auto"/>
        <w:ind w:right="-90"/>
        <w:jc w:val="both"/>
        <w:rPr>
          <w:rFonts w:ascii="Times New Roman" w:hAnsi="Times New Roman"/>
          <w:b/>
          <w:sz w:val="20"/>
          <w:szCs w:val="20"/>
        </w:rPr>
      </w:pPr>
    </w:p>
    <w:p w14:paraId="3E7AAD4B" w14:textId="77777777" w:rsidR="008A5BEA" w:rsidRPr="00712F3C" w:rsidRDefault="008A5BEA" w:rsidP="008A5BEA">
      <w:pPr>
        <w:spacing w:after="0" w:line="240" w:lineRule="auto"/>
        <w:ind w:right="-90"/>
        <w:jc w:val="both"/>
        <w:rPr>
          <w:rFonts w:ascii="Times New Roman" w:hAnsi="Times New Roman"/>
          <w:sz w:val="20"/>
          <w:szCs w:val="20"/>
        </w:rPr>
      </w:pPr>
      <w:r w:rsidRPr="00712F3C">
        <w:rPr>
          <w:rFonts w:ascii="Times New Roman" w:hAnsi="Times New Roman"/>
          <w:sz w:val="20"/>
          <w:szCs w:val="20"/>
        </w:rPr>
        <w:t xml:space="preserve">Except the report of the Auditor on statement of special tax benefits and report on restated financial statements prepared for </w:t>
      </w:r>
      <w:r>
        <w:rPr>
          <w:rFonts w:ascii="Times New Roman" w:hAnsi="Times New Roman"/>
          <w:sz w:val="20"/>
          <w:szCs w:val="20"/>
        </w:rPr>
        <w:t xml:space="preserve">the </w:t>
      </w:r>
      <w:r w:rsidRPr="00712F3C">
        <w:rPr>
          <w:rFonts w:ascii="Times New Roman" w:hAnsi="Times New Roman"/>
          <w:sz w:val="20"/>
          <w:szCs w:val="20"/>
        </w:rPr>
        <w:t>financial year ended March 31, 202</w:t>
      </w:r>
      <w:r>
        <w:rPr>
          <w:rFonts w:ascii="Times New Roman" w:hAnsi="Times New Roman"/>
          <w:sz w:val="20"/>
          <w:szCs w:val="20"/>
        </w:rPr>
        <w:t xml:space="preserve">3, </w:t>
      </w:r>
      <w:r w:rsidRPr="00712F3C">
        <w:rPr>
          <w:rFonts w:ascii="Times New Roman" w:hAnsi="Times New Roman"/>
          <w:sz w:val="20"/>
          <w:szCs w:val="20"/>
        </w:rPr>
        <w:t>March 31, 2022</w:t>
      </w:r>
      <w:r>
        <w:rPr>
          <w:rFonts w:ascii="Times New Roman" w:hAnsi="Times New Roman"/>
          <w:sz w:val="20"/>
          <w:szCs w:val="20"/>
        </w:rPr>
        <w:t xml:space="preserve"> and </w:t>
      </w:r>
      <w:r w:rsidRPr="00712F3C">
        <w:rPr>
          <w:rFonts w:ascii="Times New Roman" w:hAnsi="Times New Roman"/>
          <w:sz w:val="20"/>
          <w:szCs w:val="20"/>
        </w:rPr>
        <w:t>March 31, 202</w:t>
      </w:r>
      <w:r>
        <w:rPr>
          <w:rFonts w:ascii="Times New Roman" w:hAnsi="Times New Roman"/>
          <w:sz w:val="20"/>
          <w:szCs w:val="20"/>
        </w:rPr>
        <w:t>1</w:t>
      </w:r>
      <w:r w:rsidRPr="00712F3C">
        <w:rPr>
          <w:rFonts w:ascii="Times New Roman" w:hAnsi="Times New Roman"/>
          <w:sz w:val="20"/>
          <w:szCs w:val="20"/>
        </w:rPr>
        <w:t xml:space="preserve"> as included in this Draft Red Herring Prospectus, our Company has not obtained any expert opinion.</w:t>
      </w:r>
    </w:p>
    <w:p w14:paraId="0356E2AD" w14:textId="77777777" w:rsidR="008A5BEA" w:rsidRPr="00712F3C" w:rsidRDefault="008A5BEA" w:rsidP="008A5BEA">
      <w:pPr>
        <w:spacing w:after="0" w:line="240" w:lineRule="auto"/>
        <w:ind w:right="-90"/>
        <w:jc w:val="both"/>
        <w:rPr>
          <w:rFonts w:ascii="Times New Roman" w:hAnsi="Times New Roman"/>
          <w:sz w:val="20"/>
          <w:szCs w:val="20"/>
        </w:rPr>
      </w:pPr>
    </w:p>
    <w:p w14:paraId="3742C4D0" w14:textId="77777777" w:rsidR="008A5BEA" w:rsidRPr="00712F3C" w:rsidRDefault="008A5BEA" w:rsidP="008A5BEA">
      <w:pPr>
        <w:spacing w:after="0" w:line="240" w:lineRule="auto"/>
        <w:ind w:right="-90"/>
        <w:jc w:val="both"/>
        <w:rPr>
          <w:rFonts w:ascii="Times New Roman" w:hAnsi="Times New Roman"/>
          <w:b/>
          <w:sz w:val="20"/>
          <w:szCs w:val="20"/>
        </w:rPr>
      </w:pPr>
      <w:r w:rsidRPr="00712F3C">
        <w:rPr>
          <w:rFonts w:ascii="Times New Roman" w:hAnsi="Times New Roman"/>
          <w:b/>
          <w:sz w:val="20"/>
          <w:szCs w:val="20"/>
        </w:rPr>
        <w:t>Inter-se Allocation of Responsibilities</w:t>
      </w:r>
    </w:p>
    <w:p w14:paraId="178541B9" w14:textId="77777777" w:rsidR="008A5BEA" w:rsidRPr="00712F3C" w:rsidRDefault="008A5BEA" w:rsidP="008A5BEA">
      <w:pPr>
        <w:spacing w:after="0" w:line="240" w:lineRule="auto"/>
        <w:ind w:right="-90"/>
        <w:jc w:val="both"/>
        <w:rPr>
          <w:rFonts w:ascii="Times New Roman" w:hAnsi="Times New Roman"/>
          <w:b/>
          <w:sz w:val="20"/>
          <w:szCs w:val="20"/>
        </w:rPr>
      </w:pPr>
    </w:p>
    <w:p w14:paraId="6E3707BB" w14:textId="77777777" w:rsidR="008A5BEA" w:rsidRPr="00712F3C" w:rsidRDefault="008A5BEA" w:rsidP="008A5BEA">
      <w:pPr>
        <w:spacing w:after="0" w:line="240" w:lineRule="auto"/>
        <w:ind w:right="-90"/>
        <w:jc w:val="both"/>
        <w:rPr>
          <w:rFonts w:ascii="Times New Roman" w:hAnsi="Times New Roman"/>
          <w:sz w:val="20"/>
          <w:szCs w:val="20"/>
        </w:rPr>
      </w:pPr>
      <w:r w:rsidRPr="00712F3C">
        <w:rPr>
          <w:rFonts w:ascii="Times New Roman" w:hAnsi="Times New Roman"/>
          <w:sz w:val="20"/>
          <w:szCs w:val="20"/>
        </w:rPr>
        <w:t xml:space="preserve">Since, Hem Securities Limited is the sole Book Running Lead Manager to this Issue, a statement of inter se allocation of responsibilities among Book Running Lead Manager is not applicable. </w:t>
      </w:r>
    </w:p>
    <w:p w14:paraId="5030939C" w14:textId="77777777" w:rsidR="008A5BEA" w:rsidRPr="00712F3C" w:rsidRDefault="008A5BEA" w:rsidP="008A5BEA">
      <w:pPr>
        <w:spacing w:after="0" w:line="240" w:lineRule="auto"/>
        <w:ind w:right="-90"/>
        <w:jc w:val="both"/>
        <w:rPr>
          <w:rFonts w:ascii="Times New Roman" w:hAnsi="Times New Roman"/>
          <w:b/>
          <w:sz w:val="20"/>
          <w:szCs w:val="20"/>
        </w:rPr>
      </w:pPr>
    </w:p>
    <w:p w14:paraId="729B991E" w14:textId="77777777" w:rsidR="008A5BEA" w:rsidRPr="00712F3C" w:rsidRDefault="008A5BEA" w:rsidP="008A5BEA">
      <w:pPr>
        <w:spacing w:after="0" w:line="240" w:lineRule="auto"/>
        <w:ind w:right="-90"/>
        <w:jc w:val="both"/>
        <w:rPr>
          <w:rFonts w:ascii="Times New Roman" w:hAnsi="Times New Roman"/>
          <w:b/>
          <w:sz w:val="20"/>
          <w:szCs w:val="20"/>
        </w:rPr>
      </w:pPr>
      <w:r w:rsidRPr="00712F3C">
        <w:rPr>
          <w:rFonts w:ascii="Times New Roman" w:hAnsi="Times New Roman"/>
          <w:b/>
          <w:sz w:val="20"/>
          <w:szCs w:val="20"/>
        </w:rPr>
        <w:t>Appraisal and Monitoring Agency</w:t>
      </w:r>
    </w:p>
    <w:p w14:paraId="564DFEBF" w14:textId="77777777" w:rsidR="008A5BEA" w:rsidRPr="00712F3C" w:rsidRDefault="008A5BEA" w:rsidP="008A5BEA">
      <w:pPr>
        <w:spacing w:after="0" w:line="240" w:lineRule="auto"/>
        <w:ind w:right="-90"/>
        <w:jc w:val="both"/>
        <w:rPr>
          <w:rFonts w:ascii="Times New Roman" w:hAnsi="Times New Roman"/>
          <w:b/>
          <w:sz w:val="20"/>
          <w:szCs w:val="20"/>
        </w:rPr>
      </w:pPr>
    </w:p>
    <w:p w14:paraId="0932C021" w14:textId="66B6E819" w:rsidR="008A5BEA" w:rsidRDefault="008A5BEA" w:rsidP="008A5BEA">
      <w:pPr>
        <w:spacing w:after="0" w:line="240" w:lineRule="auto"/>
        <w:ind w:right="-90"/>
        <w:jc w:val="both"/>
        <w:rPr>
          <w:rFonts w:ascii="Times New Roman" w:hAnsi="Times New Roman"/>
          <w:sz w:val="20"/>
          <w:szCs w:val="20"/>
        </w:rPr>
      </w:pPr>
      <w:r w:rsidRPr="00712F3C">
        <w:rPr>
          <w:rFonts w:ascii="Times New Roman" w:hAnsi="Times New Roman"/>
          <w:sz w:val="20"/>
          <w:szCs w:val="20"/>
        </w:rPr>
        <w:t>As per regulation 262(1) of SEBI ICDR Regulations, the requirement of monitoring agency is not mandatory if the Issue size is up to ₹ 10,000 Lakh</w:t>
      </w:r>
      <w:r w:rsidR="00486D3C">
        <w:rPr>
          <w:rFonts w:ascii="Times New Roman" w:hAnsi="Times New Roman"/>
          <w:sz w:val="20"/>
          <w:szCs w:val="20"/>
        </w:rPr>
        <w:t>s</w:t>
      </w:r>
      <w:r w:rsidRPr="00712F3C">
        <w:rPr>
          <w:rFonts w:ascii="Times New Roman" w:hAnsi="Times New Roman"/>
          <w:sz w:val="20"/>
          <w:szCs w:val="20"/>
        </w:rPr>
        <w:t>. Since the Issue size is below ₹ 10,000 Lakh, our Company has not appointed any monitoring agency for this Issue. However, as per section 177 of the Companies Act, the Audit Committee of our Company, would be monitoring the utilization of the proceeds of the issue.</w:t>
      </w:r>
    </w:p>
    <w:p w14:paraId="7F6D7A19" w14:textId="77777777" w:rsidR="008A5BEA" w:rsidRPr="00712F3C" w:rsidRDefault="008A5BEA" w:rsidP="008A5BEA">
      <w:pPr>
        <w:spacing w:after="0" w:line="240" w:lineRule="auto"/>
        <w:ind w:right="-90"/>
        <w:jc w:val="both"/>
        <w:rPr>
          <w:rFonts w:ascii="Times New Roman" w:hAnsi="Times New Roman"/>
          <w:b/>
          <w:sz w:val="20"/>
          <w:szCs w:val="20"/>
        </w:rPr>
      </w:pPr>
      <w:r w:rsidRPr="00712F3C">
        <w:rPr>
          <w:rFonts w:ascii="Times New Roman" w:hAnsi="Times New Roman"/>
          <w:b/>
          <w:sz w:val="20"/>
          <w:szCs w:val="20"/>
        </w:rPr>
        <w:lastRenderedPageBreak/>
        <w:t>Credit Rating</w:t>
      </w:r>
    </w:p>
    <w:p w14:paraId="25F20A3E" w14:textId="77777777" w:rsidR="008A5BEA" w:rsidRPr="00712F3C" w:rsidRDefault="008A5BEA" w:rsidP="008A5BEA">
      <w:pPr>
        <w:spacing w:after="0" w:line="240" w:lineRule="auto"/>
        <w:ind w:right="-90"/>
        <w:jc w:val="both"/>
        <w:rPr>
          <w:rFonts w:ascii="Times New Roman" w:hAnsi="Times New Roman"/>
          <w:b/>
          <w:sz w:val="20"/>
          <w:szCs w:val="20"/>
        </w:rPr>
      </w:pPr>
    </w:p>
    <w:p w14:paraId="517FBB6C" w14:textId="77777777" w:rsidR="008A5BEA" w:rsidRDefault="008A5BEA" w:rsidP="008A5BEA">
      <w:pPr>
        <w:spacing w:after="0" w:line="240" w:lineRule="auto"/>
        <w:ind w:right="-90"/>
        <w:jc w:val="both"/>
        <w:rPr>
          <w:rFonts w:ascii="Times New Roman" w:hAnsi="Times New Roman"/>
          <w:sz w:val="20"/>
          <w:szCs w:val="20"/>
        </w:rPr>
      </w:pPr>
      <w:r w:rsidRPr="00712F3C">
        <w:rPr>
          <w:rFonts w:ascii="Times New Roman" w:hAnsi="Times New Roman"/>
          <w:sz w:val="20"/>
          <w:szCs w:val="20"/>
        </w:rPr>
        <w:t>As this is an issue of Equity Shares, there is no credit rating for the Issue.</w:t>
      </w:r>
    </w:p>
    <w:p w14:paraId="2C460257" w14:textId="77777777" w:rsidR="008A5BEA" w:rsidRPr="00712F3C" w:rsidRDefault="008A5BEA" w:rsidP="008A5BEA">
      <w:pPr>
        <w:spacing w:after="0" w:line="240" w:lineRule="auto"/>
        <w:ind w:right="-90"/>
        <w:jc w:val="both"/>
        <w:rPr>
          <w:rFonts w:ascii="Times New Roman" w:hAnsi="Times New Roman"/>
          <w:sz w:val="20"/>
          <w:szCs w:val="20"/>
        </w:rPr>
      </w:pPr>
    </w:p>
    <w:p w14:paraId="14D490DC" w14:textId="77777777" w:rsidR="008A5BEA" w:rsidRPr="00712F3C" w:rsidRDefault="008A5BEA" w:rsidP="008A5BEA">
      <w:pPr>
        <w:spacing w:after="0" w:line="240" w:lineRule="auto"/>
        <w:ind w:right="-90"/>
        <w:jc w:val="both"/>
        <w:rPr>
          <w:rFonts w:ascii="Times New Roman" w:hAnsi="Times New Roman"/>
          <w:b/>
          <w:sz w:val="20"/>
          <w:szCs w:val="20"/>
        </w:rPr>
      </w:pPr>
      <w:r w:rsidRPr="00712F3C">
        <w:rPr>
          <w:rFonts w:ascii="Times New Roman" w:hAnsi="Times New Roman"/>
          <w:b/>
          <w:sz w:val="20"/>
          <w:szCs w:val="20"/>
        </w:rPr>
        <w:t>IPO Grading</w:t>
      </w:r>
    </w:p>
    <w:p w14:paraId="39C605D0" w14:textId="77777777" w:rsidR="008A5BEA" w:rsidRPr="00712F3C" w:rsidRDefault="008A5BEA" w:rsidP="008A5BEA">
      <w:pPr>
        <w:spacing w:after="0" w:line="240" w:lineRule="auto"/>
        <w:ind w:right="-90"/>
        <w:jc w:val="both"/>
        <w:rPr>
          <w:rFonts w:ascii="Times New Roman" w:hAnsi="Times New Roman"/>
          <w:b/>
          <w:sz w:val="20"/>
          <w:szCs w:val="20"/>
        </w:rPr>
      </w:pPr>
    </w:p>
    <w:p w14:paraId="7CD9D7BF" w14:textId="77777777" w:rsidR="008A5BEA" w:rsidRPr="00712F3C" w:rsidRDefault="008A5BEA" w:rsidP="008A5BEA">
      <w:pPr>
        <w:spacing w:after="0" w:line="240" w:lineRule="auto"/>
        <w:ind w:right="-90"/>
        <w:jc w:val="both"/>
        <w:rPr>
          <w:rFonts w:ascii="Times New Roman" w:hAnsi="Times New Roman"/>
          <w:sz w:val="20"/>
          <w:szCs w:val="20"/>
        </w:rPr>
      </w:pPr>
      <w:r w:rsidRPr="00712F3C">
        <w:rPr>
          <w:rFonts w:ascii="Times New Roman" w:hAnsi="Times New Roman"/>
          <w:sz w:val="20"/>
          <w:szCs w:val="20"/>
        </w:rPr>
        <w:t>No credit rating agency registered with SEBI has been appointed for grading the Issue.</w:t>
      </w:r>
    </w:p>
    <w:p w14:paraId="4C36BCC3" w14:textId="77777777" w:rsidR="008A5BEA" w:rsidRPr="00712F3C" w:rsidRDefault="008A5BEA" w:rsidP="008A5BEA">
      <w:pPr>
        <w:spacing w:after="0" w:line="240" w:lineRule="auto"/>
        <w:ind w:right="-90"/>
        <w:jc w:val="both"/>
        <w:rPr>
          <w:rFonts w:ascii="Times New Roman" w:hAnsi="Times New Roman"/>
          <w:b/>
          <w:sz w:val="20"/>
          <w:szCs w:val="20"/>
        </w:rPr>
      </w:pPr>
    </w:p>
    <w:p w14:paraId="6AF460C6" w14:textId="77777777" w:rsidR="008A5BEA" w:rsidRPr="00712F3C" w:rsidRDefault="008A5BEA" w:rsidP="008A5BEA">
      <w:pPr>
        <w:spacing w:after="0" w:line="240" w:lineRule="auto"/>
        <w:ind w:right="-90"/>
        <w:jc w:val="both"/>
        <w:rPr>
          <w:rFonts w:ascii="Times New Roman" w:hAnsi="Times New Roman"/>
          <w:b/>
          <w:sz w:val="20"/>
          <w:szCs w:val="20"/>
        </w:rPr>
      </w:pPr>
      <w:r w:rsidRPr="00712F3C">
        <w:rPr>
          <w:rFonts w:ascii="Times New Roman" w:hAnsi="Times New Roman"/>
          <w:b/>
          <w:sz w:val="20"/>
          <w:szCs w:val="20"/>
        </w:rPr>
        <w:t>Debenture Trustees</w:t>
      </w:r>
    </w:p>
    <w:p w14:paraId="3C318743" w14:textId="77777777" w:rsidR="008A5BEA" w:rsidRPr="00712F3C" w:rsidRDefault="008A5BEA" w:rsidP="008A5BEA">
      <w:pPr>
        <w:spacing w:after="0" w:line="240" w:lineRule="auto"/>
        <w:ind w:right="-90"/>
        <w:jc w:val="both"/>
        <w:rPr>
          <w:rFonts w:ascii="Times New Roman" w:hAnsi="Times New Roman"/>
          <w:b/>
          <w:sz w:val="20"/>
          <w:szCs w:val="20"/>
        </w:rPr>
      </w:pPr>
    </w:p>
    <w:p w14:paraId="531EEE94" w14:textId="77777777" w:rsidR="008A5BEA" w:rsidRPr="00712F3C" w:rsidRDefault="008A5BEA" w:rsidP="008A5BEA">
      <w:pPr>
        <w:spacing w:after="0" w:line="240" w:lineRule="auto"/>
        <w:ind w:right="-90"/>
        <w:jc w:val="both"/>
        <w:rPr>
          <w:rFonts w:ascii="Times New Roman" w:hAnsi="Times New Roman"/>
          <w:sz w:val="20"/>
          <w:szCs w:val="20"/>
        </w:rPr>
      </w:pPr>
      <w:r w:rsidRPr="00712F3C">
        <w:rPr>
          <w:rFonts w:ascii="Times New Roman" w:hAnsi="Times New Roman"/>
          <w:sz w:val="20"/>
          <w:szCs w:val="20"/>
        </w:rPr>
        <w:t xml:space="preserve">As this is an issue of Equity Shares, the appointment of Debenture trustees is not required. </w:t>
      </w:r>
    </w:p>
    <w:p w14:paraId="64B38A6A" w14:textId="77777777" w:rsidR="008A5BEA" w:rsidRPr="00712F3C" w:rsidRDefault="008A5BEA" w:rsidP="008A5BEA">
      <w:pPr>
        <w:spacing w:after="0" w:line="240" w:lineRule="auto"/>
        <w:ind w:right="-90"/>
        <w:jc w:val="both"/>
        <w:rPr>
          <w:rFonts w:ascii="Times New Roman" w:hAnsi="Times New Roman"/>
          <w:b/>
          <w:sz w:val="20"/>
          <w:szCs w:val="20"/>
        </w:rPr>
      </w:pPr>
    </w:p>
    <w:p w14:paraId="56D1FEDD" w14:textId="77777777" w:rsidR="008A5BEA" w:rsidRPr="00712F3C" w:rsidRDefault="008A5BEA" w:rsidP="008A5BEA">
      <w:pPr>
        <w:spacing w:after="0" w:line="240" w:lineRule="auto"/>
        <w:ind w:right="-90"/>
        <w:jc w:val="both"/>
        <w:rPr>
          <w:rFonts w:ascii="Times New Roman" w:hAnsi="Times New Roman"/>
          <w:b/>
          <w:sz w:val="20"/>
          <w:szCs w:val="20"/>
        </w:rPr>
      </w:pPr>
      <w:r w:rsidRPr="00712F3C">
        <w:rPr>
          <w:rFonts w:ascii="Times New Roman" w:hAnsi="Times New Roman"/>
          <w:b/>
          <w:sz w:val="20"/>
          <w:szCs w:val="20"/>
        </w:rPr>
        <w:t xml:space="preserve">Filing of Draft Red Herring Prospectus/ Red Herring Prospectus/ Prospectus </w:t>
      </w:r>
      <w:r w:rsidRPr="00391CEB">
        <w:rPr>
          <w:rFonts w:ascii="Times New Roman" w:eastAsiaTheme="minorHAnsi" w:hAnsi="Times New Roman"/>
          <w:b/>
          <w:bCs/>
          <w:sz w:val="20"/>
          <w:szCs w:val="20"/>
          <w:lang w:val="en-IN"/>
        </w:rPr>
        <w:t>with the Designated Stock Exchange/</w:t>
      </w:r>
      <w:r>
        <w:rPr>
          <w:rFonts w:ascii="Times New Roman" w:eastAsiaTheme="minorHAnsi" w:hAnsi="Times New Roman"/>
          <w:b/>
          <w:bCs/>
          <w:sz w:val="20"/>
          <w:szCs w:val="20"/>
          <w:lang w:val="en-IN"/>
        </w:rPr>
        <w:t xml:space="preserve"> </w:t>
      </w:r>
      <w:r w:rsidRPr="00391CEB">
        <w:rPr>
          <w:rFonts w:ascii="Times New Roman" w:eastAsiaTheme="minorHAnsi" w:hAnsi="Times New Roman"/>
          <w:b/>
          <w:bCs/>
          <w:sz w:val="20"/>
          <w:szCs w:val="20"/>
          <w:lang w:val="en-IN"/>
        </w:rPr>
        <w:t>SEBI/</w:t>
      </w:r>
      <w:r>
        <w:rPr>
          <w:rFonts w:ascii="Times New Roman" w:eastAsiaTheme="minorHAnsi" w:hAnsi="Times New Roman"/>
          <w:b/>
          <w:bCs/>
          <w:sz w:val="20"/>
          <w:szCs w:val="20"/>
          <w:lang w:val="en-IN"/>
        </w:rPr>
        <w:t xml:space="preserve"> </w:t>
      </w:r>
      <w:r w:rsidRPr="00391CEB">
        <w:rPr>
          <w:rFonts w:ascii="Times New Roman" w:eastAsiaTheme="minorHAnsi" w:hAnsi="Times New Roman"/>
          <w:b/>
          <w:bCs/>
          <w:sz w:val="20"/>
          <w:szCs w:val="20"/>
          <w:lang w:val="en-IN"/>
        </w:rPr>
        <w:t>ROC</w:t>
      </w:r>
    </w:p>
    <w:p w14:paraId="512B55E0" w14:textId="77777777" w:rsidR="008A5BEA" w:rsidRPr="00712F3C" w:rsidRDefault="008A5BEA" w:rsidP="008A5BEA">
      <w:pPr>
        <w:spacing w:after="0" w:line="240" w:lineRule="auto"/>
        <w:ind w:right="-90"/>
        <w:jc w:val="both"/>
        <w:rPr>
          <w:rFonts w:ascii="Times New Roman" w:hAnsi="Times New Roman"/>
          <w:b/>
          <w:sz w:val="20"/>
          <w:szCs w:val="20"/>
        </w:rPr>
      </w:pPr>
    </w:p>
    <w:p w14:paraId="068A5A4E" w14:textId="77777777" w:rsidR="008A5BEA" w:rsidRPr="00712F3C" w:rsidRDefault="008A5BEA" w:rsidP="008A5BEA">
      <w:pPr>
        <w:spacing w:after="0" w:line="240" w:lineRule="auto"/>
        <w:ind w:right="-90"/>
        <w:jc w:val="both"/>
        <w:rPr>
          <w:rFonts w:ascii="Times New Roman" w:hAnsi="Times New Roman"/>
          <w:sz w:val="20"/>
          <w:szCs w:val="20"/>
        </w:rPr>
      </w:pPr>
      <w:r w:rsidRPr="00712F3C">
        <w:rPr>
          <w:rFonts w:ascii="Times New Roman" w:hAnsi="Times New Roman"/>
          <w:sz w:val="20"/>
          <w:szCs w:val="20"/>
        </w:rPr>
        <w:t>The Draft Red Herring Prospectus is being filed with BSE Ltd., Phiroze Jeejeebhoy Towers, Dalal Street, Mumbai-400001 Maharashtra, India.</w:t>
      </w:r>
    </w:p>
    <w:p w14:paraId="04B71358" w14:textId="77777777" w:rsidR="008A5BEA" w:rsidRPr="00712F3C" w:rsidRDefault="008A5BEA" w:rsidP="008A5BEA">
      <w:pPr>
        <w:spacing w:after="0" w:line="240" w:lineRule="auto"/>
        <w:ind w:right="-90"/>
        <w:jc w:val="both"/>
        <w:rPr>
          <w:rFonts w:ascii="Times New Roman" w:hAnsi="Times New Roman"/>
          <w:sz w:val="20"/>
          <w:szCs w:val="20"/>
        </w:rPr>
      </w:pPr>
    </w:p>
    <w:p w14:paraId="7E6DC280" w14:textId="77777777" w:rsidR="008A5BEA" w:rsidRPr="00712F3C" w:rsidRDefault="008A5BEA" w:rsidP="008A5BEA">
      <w:pPr>
        <w:spacing w:after="0" w:line="240" w:lineRule="auto"/>
        <w:ind w:right="-90"/>
        <w:jc w:val="both"/>
        <w:rPr>
          <w:rFonts w:ascii="Times New Roman" w:hAnsi="Times New Roman"/>
          <w:sz w:val="20"/>
          <w:szCs w:val="20"/>
        </w:rPr>
      </w:pPr>
      <w:r w:rsidRPr="00712F3C">
        <w:rPr>
          <w:rFonts w:ascii="Times New Roman" w:hAnsi="Times New Roman"/>
          <w:sz w:val="20"/>
          <w:szCs w:val="20"/>
        </w:rPr>
        <w:t xml:space="preserve">The Draft Red Herring Prospectus will not be filed with SEBI, nor will SEBI issue any observation on the Offer Document in terms of Regulation 246(2) of SEBI (ICDR) Regulations, 2018. Pursuant to Regulation 246(5) of SEBI (ICDR) Regulations, 2018 and SEBI Circular Number SEBI/HO/CFD/DIL1/CIR/P/2018/011 dated January 19, 2018, a copy of Red Herring Prospectus/ Prospectus will be filed online through SEBI Intermediary Portal at </w:t>
      </w:r>
      <w:hyperlink r:id="rId36">
        <w:r w:rsidRPr="00712F3C">
          <w:rPr>
            <w:rFonts w:ascii="Times New Roman" w:hAnsi="Times New Roman"/>
            <w:color w:val="0000FF"/>
            <w:sz w:val="20"/>
            <w:szCs w:val="20"/>
            <w:u w:val="single"/>
          </w:rPr>
          <w:t>https://siportal.sebi.gov.in</w:t>
        </w:r>
      </w:hyperlink>
      <w:r w:rsidRPr="00712F3C">
        <w:rPr>
          <w:rFonts w:ascii="Times New Roman" w:hAnsi="Times New Roman"/>
          <w:sz w:val="20"/>
          <w:szCs w:val="20"/>
        </w:rPr>
        <w:t>.</w:t>
      </w:r>
    </w:p>
    <w:p w14:paraId="53CB96CB" w14:textId="77777777" w:rsidR="008A5BEA" w:rsidRPr="00712F3C" w:rsidRDefault="008A5BEA" w:rsidP="008A5BEA">
      <w:pPr>
        <w:spacing w:after="0" w:line="240" w:lineRule="auto"/>
        <w:ind w:right="-90"/>
        <w:jc w:val="both"/>
        <w:rPr>
          <w:rFonts w:ascii="Times New Roman" w:hAnsi="Times New Roman"/>
          <w:sz w:val="20"/>
          <w:szCs w:val="20"/>
        </w:rPr>
      </w:pPr>
    </w:p>
    <w:p w14:paraId="4464D1F9" w14:textId="77777777" w:rsidR="008A5BEA" w:rsidRPr="00712F3C" w:rsidRDefault="008A5BEA" w:rsidP="008A5BEA">
      <w:pPr>
        <w:spacing w:after="0" w:line="240" w:lineRule="auto"/>
        <w:ind w:right="-90"/>
        <w:jc w:val="both"/>
        <w:rPr>
          <w:rFonts w:ascii="Times New Roman" w:hAnsi="Times New Roman"/>
          <w:sz w:val="20"/>
          <w:szCs w:val="20"/>
        </w:rPr>
      </w:pPr>
      <w:r w:rsidRPr="00712F3C">
        <w:rPr>
          <w:rFonts w:ascii="Times New Roman" w:hAnsi="Times New Roman"/>
          <w:sz w:val="20"/>
          <w:szCs w:val="20"/>
        </w:rPr>
        <w:t xml:space="preserve">A copy of the Red Herring Prospectus/ Prospectus, along with the </w:t>
      </w:r>
      <w:r w:rsidRPr="00391CEB">
        <w:rPr>
          <w:rFonts w:ascii="Times New Roman" w:hAnsi="Times New Roman"/>
          <w:sz w:val="20"/>
          <w:szCs w:val="20"/>
        </w:rPr>
        <w:t>material contracts and</w:t>
      </w:r>
      <w:r>
        <w:rPr>
          <w:rFonts w:ascii="Times New Roman" w:hAnsi="Times New Roman"/>
          <w:sz w:val="20"/>
          <w:szCs w:val="20"/>
        </w:rPr>
        <w:t xml:space="preserve"> </w:t>
      </w:r>
      <w:r w:rsidRPr="00712F3C">
        <w:rPr>
          <w:rFonts w:ascii="Times New Roman" w:hAnsi="Times New Roman"/>
          <w:sz w:val="20"/>
          <w:szCs w:val="20"/>
        </w:rPr>
        <w:t>documents required to be filed under Section 26 &amp; 32 of the Companies Act, 2013 will be filed to the RoC</w:t>
      </w:r>
      <w:r>
        <w:rPr>
          <w:rFonts w:ascii="Times New Roman" w:hAnsi="Times New Roman"/>
          <w:sz w:val="20"/>
          <w:szCs w:val="20"/>
        </w:rPr>
        <w:t xml:space="preserve"> </w:t>
      </w:r>
      <w:r w:rsidRPr="00391CEB">
        <w:rPr>
          <w:rFonts w:ascii="Times New Roman" w:hAnsi="Times New Roman"/>
          <w:sz w:val="20"/>
          <w:szCs w:val="20"/>
        </w:rPr>
        <w:t xml:space="preserve">through the electronic portal at </w:t>
      </w:r>
      <w:hyperlink r:id="rId37" w:history="1">
        <w:r w:rsidRPr="003B1D3E">
          <w:rPr>
            <w:rStyle w:val="Hyperlink"/>
            <w:rFonts w:ascii="Times New Roman" w:hAnsi="Times New Roman"/>
            <w:sz w:val="20"/>
            <w:szCs w:val="20"/>
          </w:rPr>
          <w:t>http://www.mca.gov.in</w:t>
        </w:r>
      </w:hyperlink>
      <w:r w:rsidRPr="00712F3C">
        <w:rPr>
          <w:rFonts w:ascii="Times New Roman" w:hAnsi="Times New Roman"/>
          <w:sz w:val="20"/>
          <w:szCs w:val="20"/>
        </w:rPr>
        <w:t>.</w:t>
      </w:r>
    </w:p>
    <w:p w14:paraId="6AD80A55" w14:textId="77777777" w:rsidR="008A5BEA" w:rsidRPr="00712F3C" w:rsidRDefault="008A5BEA" w:rsidP="008A5BEA">
      <w:pPr>
        <w:spacing w:after="0" w:line="240" w:lineRule="auto"/>
        <w:ind w:right="-90"/>
        <w:jc w:val="both"/>
        <w:rPr>
          <w:rFonts w:ascii="Times New Roman" w:hAnsi="Times New Roman"/>
          <w:b/>
          <w:sz w:val="20"/>
          <w:szCs w:val="20"/>
        </w:rPr>
      </w:pPr>
    </w:p>
    <w:p w14:paraId="7D1146A7" w14:textId="77777777" w:rsidR="008A5BEA" w:rsidRPr="00712F3C" w:rsidRDefault="008A5BEA" w:rsidP="008A5BEA">
      <w:pPr>
        <w:shd w:val="clear" w:color="auto" w:fill="FFFFFF"/>
        <w:spacing w:after="0" w:line="240" w:lineRule="auto"/>
        <w:contextualSpacing/>
        <w:jc w:val="both"/>
        <w:rPr>
          <w:rFonts w:ascii="Times New Roman" w:hAnsi="Times New Roman"/>
          <w:b/>
          <w:sz w:val="20"/>
          <w:szCs w:val="20"/>
        </w:rPr>
      </w:pPr>
      <w:r w:rsidRPr="00712F3C">
        <w:rPr>
          <w:rFonts w:ascii="Times New Roman" w:hAnsi="Times New Roman"/>
          <w:b/>
          <w:sz w:val="20"/>
          <w:szCs w:val="20"/>
        </w:rPr>
        <w:t>Book Building Process</w:t>
      </w:r>
    </w:p>
    <w:p w14:paraId="1AD0648A" w14:textId="77777777" w:rsidR="008A5BEA" w:rsidRPr="00712F3C" w:rsidRDefault="008A5BEA" w:rsidP="008A5BEA">
      <w:pPr>
        <w:spacing w:after="0" w:line="240" w:lineRule="auto"/>
        <w:contextualSpacing/>
        <w:jc w:val="both"/>
        <w:rPr>
          <w:rFonts w:ascii="Times New Roman" w:eastAsia="MS Mincho" w:hAnsi="Times New Roman"/>
          <w:b/>
          <w:sz w:val="20"/>
          <w:szCs w:val="20"/>
        </w:rPr>
      </w:pPr>
    </w:p>
    <w:p w14:paraId="47ADBCF4" w14:textId="64C95C7A" w:rsidR="008A5BEA" w:rsidRPr="00712F3C" w:rsidRDefault="008A5BEA" w:rsidP="008A5BEA">
      <w:pPr>
        <w:shd w:val="clear" w:color="auto" w:fill="FFFFFF"/>
        <w:spacing w:after="0" w:line="240" w:lineRule="auto"/>
        <w:contextualSpacing/>
        <w:jc w:val="both"/>
        <w:rPr>
          <w:rFonts w:ascii="Times New Roman" w:hAnsi="Times New Roman"/>
          <w:sz w:val="20"/>
          <w:szCs w:val="20"/>
        </w:rPr>
      </w:pPr>
      <w:r w:rsidRPr="00712F3C">
        <w:rPr>
          <w:rFonts w:ascii="Times New Roman" w:hAnsi="Times New Roman"/>
          <w:sz w:val="20"/>
          <w:szCs w:val="20"/>
        </w:rPr>
        <w:t xml:space="preserve">Book Building, with reference to the Issue, refers to the process of collection of Bids on the basis of the Red Herring Prospectus within the Price Band. The Price Band shall be determined by our Company in consultation with the Book Running Lead Manager in accordance with the Book Building Process, and advertised in </w:t>
      </w:r>
      <w:r w:rsidRPr="00712F3C">
        <w:rPr>
          <w:rFonts w:ascii="Times New Roman" w:hAnsi="Times New Roman"/>
          <w:bCs/>
          <w:sz w:val="20"/>
          <w:szCs w:val="20"/>
          <w:lang w:bidi="en-US"/>
        </w:rPr>
        <w:t xml:space="preserve">in all editions of the </w:t>
      </w:r>
      <w:r w:rsidR="00D83D95" w:rsidRPr="00D83D95">
        <w:rPr>
          <w:rFonts w:ascii="Times New Roman" w:hAnsi="Times New Roman"/>
          <w:bCs/>
          <w:sz w:val="20"/>
          <w:szCs w:val="20"/>
          <w:lang w:bidi="en-US"/>
        </w:rPr>
        <w:t>English national daily newspaper and all editions of [●], a Hindi national daily newspaper and Jamnagar edition of [●], a regional newspaper each with wide circulation</w:t>
      </w:r>
      <w:r w:rsidRPr="00712F3C">
        <w:rPr>
          <w:rFonts w:ascii="Times New Roman" w:hAnsi="Times New Roman"/>
          <w:sz w:val="20"/>
          <w:szCs w:val="20"/>
        </w:rPr>
        <w:t xml:space="preserve"> where our registered office is situated at least two working days prior to the Bid/ Issue Opening date. The Issue Price shall be determined by our Company, in consultation with the Book Running Lead Manager in accordance with the Book Building Process after the Bid/ Issue Closing Date. Principal parties involved in the Book Building Process are:</w:t>
      </w:r>
    </w:p>
    <w:p w14:paraId="6F36A6AB" w14:textId="77777777" w:rsidR="008A5BEA" w:rsidRPr="00712F3C" w:rsidRDefault="008A5BEA" w:rsidP="008A5BEA">
      <w:pPr>
        <w:shd w:val="clear" w:color="auto" w:fill="FFFFFF"/>
        <w:spacing w:after="0" w:line="240" w:lineRule="auto"/>
        <w:contextualSpacing/>
        <w:jc w:val="both"/>
        <w:rPr>
          <w:rFonts w:ascii="Times New Roman" w:hAnsi="Times New Roman"/>
          <w:sz w:val="20"/>
          <w:szCs w:val="20"/>
        </w:rPr>
      </w:pPr>
    </w:p>
    <w:p w14:paraId="1EA4D9A5" w14:textId="77777777" w:rsidR="008A5BEA" w:rsidRPr="00712F3C" w:rsidRDefault="008A5BEA">
      <w:pPr>
        <w:pStyle w:val="ListParagraph"/>
        <w:numPr>
          <w:ilvl w:val="0"/>
          <w:numId w:val="286"/>
        </w:numPr>
        <w:spacing w:line="240" w:lineRule="auto"/>
        <w:ind w:left="426"/>
        <w:contextualSpacing/>
        <w:jc w:val="both"/>
        <w:rPr>
          <w:rFonts w:eastAsia="Calibri"/>
          <w:color w:val="auto"/>
          <w:sz w:val="20"/>
          <w:szCs w:val="20"/>
          <w:lang w:val="en-IN"/>
        </w:rPr>
      </w:pPr>
      <w:r w:rsidRPr="00712F3C">
        <w:rPr>
          <w:rFonts w:eastAsia="Calibri"/>
          <w:color w:val="auto"/>
          <w:sz w:val="20"/>
          <w:szCs w:val="20"/>
          <w:lang w:val="en-IN"/>
        </w:rPr>
        <w:t xml:space="preserve">Our Company; </w:t>
      </w:r>
    </w:p>
    <w:p w14:paraId="353E5B98" w14:textId="77777777" w:rsidR="008A5BEA" w:rsidRPr="00712F3C" w:rsidRDefault="008A5BEA">
      <w:pPr>
        <w:pStyle w:val="ListParagraph"/>
        <w:numPr>
          <w:ilvl w:val="0"/>
          <w:numId w:val="286"/>
        </w:numPr>
        <w:spacing w:line="240" w:lineRule="auto"/>
        <w:ind w:left="426"/>
        <w:contextualSpacing/>
        <w:jc w:val="both"/>
        <w:rPr>
          <w:rFonts w:eastAsia="Calibri"/>
          <w:color w:val="auto"/>
          <w:sz w:val="20"/>
          <w:szCs w:val="20"/>
          <w:lang w:val="en-IN"/>
        </w:rPr>
      </w:pPr>
      <w:r w:rsidRPr="00712F3C">
        <w:rPr>
          <w:rFonts w:eastAsia="Calibri"/>
          <w:color w:val="auto"/>
          <w:sz w:val="20"/>
          <w:szCs w:val="20"/>
          <w:lang w:val="en-IN"/>
        </w:rPr>
        <w:t xml:space="preserve">The Book Running Lead Manager in this case being Hem Securities Limited, </w:t>
      </w:r>
    </w:p>
    <w:p w14:paraId="344CA917" w14:textId="77777777" w:rsidR="008A5BEA" w:rsidRPr="00712F3C" w:rsidRDefault="008A5BEA">
      <w:pPr>
        <w:pStyle w:val="ListParagraph"/>
        <w:numPr>
          <w:ilvl w:val="0"/>
          <w:numId w:val="286"/>
        </w:numPr>
        <w:spacing w:line="240" w:lineRule="auto"/>
        <w:ind w:left="426"/>
        <w:contextualSpacing/>
        <w:jc w:val="both"/>
        <w:rPr>
          <w:rFonts w:eastAsia="Calibri"/>
          <w:color w:val="auto"/>
          <w:sz w:val="20"/>
          <w:szCs w:val="20"/>
          <w:lang w:val="en-IN"/>
        </w:rPr>
      </w:pPr>
      <w:r w:rsidRPr="00712F3C">
        <w:rPr>
          <w:rFonts w:eastAsia="Calibri"/>
          <w:color w:val="auto"/>
          <w:sz w:val="20"/>
          <w:szCs w:val="20"/>
          <w:lang w:val="en-IN"/>
        </w:rPr>
        <w:t xml:space="preserve">The Syndicate Member(s) who are intermediaries registered with SEBI/ registered as brokers with BSE Ltd. and eligible to act as Underwriters. The Syndicate Member(s) will be appointed by the Book Running Lead Manager; </w:t>
      </w:r>
    </w:p>
    <w:p w14:paraId="7BFFAD25" w14:textId="77777777" w:rsidR="008A5BEA" w:rsidRPr="00712F3C" w:rsidRDefault="008A5BEA">
      <w:pPr>
        <w:pStyle w:val="ListParagraph"/>
        <w:numPr>
          <w:ilvl w:val="0"/>
          <w:numId w:val="286"/>
        </w:numPr>
        <w:spacing w:line="240" w:lineRule="auto"/>
        <w:ind w:left="426"/>
        <w:contextualSpacing/>
        <w:jc w:val="both"/>
        <w:rPr>
          <w:rFonts w:eastAsia="Calibri"/>
          <w:color w:val="auto"/>
          <w:sz w:val="20"/>
          <w:szCs w:val="20"/>
          <w:lang w:val="en-IN"/>
        </w:rPr>
      </w:pPr>
      <w:r w:rsidRPr="00712F3C">
        <w:rPr>
          <w:rFonts w:eastAsia="Calibri"/>
          <w:color w:val="auto"/>
          <w:sz w:val="20"/>
          <w:szCs w:val="20"/>
          <w:lang w:val="en-IN"/>
        </w:rPr>
        <w:t xml:space="preserve">The Registrar to the Issue and; </w:t>
      </w:r>
    </w:p>
    <w:p w14:paraId="1AA263D2" w14:textId="77777777" w:rsidR="008A5BEA" w:rsidRPr="00712F3C" w:rsidRDefault="008A5BEA">
      <w:pPr>
        <w:pStyle w:val="ListParagraph"/>
        <w:numPr>
          <w:ilvl w:val="0"/>
          <w:numId w:val="286"/>
        </w:numPr>
        <w:spacing w:line="240" w:lineRule="auto"/>
        <w:ind w:left="426"/>
        <w:contextualSpacing/>
        <w:jc w:val="both"/>
        <w:rPr>
          <w:rFonts w:eastAsia="Calibri"/>
          <w:color w:val="auto"/>
          <w:sz w:val="20"/>
          <w:szCs w:val="20"/>
          <w:lang w:val="en-IN"/>
        </w:rPr>
      </w:pPr>
      <w:r w:rsidRPr="00712F3C">
        <w:rPr>
          <w:rFonts w:eastAsia="Calibri"/>
          <w:color w:val="auto"/>
          <w:sz w:val="20"/>
          <w:szCs w:val="20"/>
          <w:lang w:val="en-IN"/>
        </w:rPr>
        <w:t>The Designated Intermediaries and Sponsor bank</w:t>
      </w:r>
    </w:p>
    <w:p w14:paraId="62DC4109" w14:textId="77777777" w:rsidR="008A5BEA" w:rsidRPr="00712F3C" w:rsidRDefault="008A5BEA" w:rsidP="008A5BEA">
      <w:pPr>
        <w:spacing w:after="0" w:line="240" w:lineRule="auto"/>
        <w:contextualSpacing/>
        <w:jc w:val="both"/>
        <w:rPr>
          <w:rFonts w:ascii="Times New Roman" w:hAnsi="Times New Roman"/>
          <w:sz w:val="20"/>
          <w:szCs w:val="20"/>
        </w:rPr>
      </w:pPr>
    </w:p>
    <w:p w14:paraId="36B7D6A1" w14:textId="77777777" w:rsidR="008A5BEA" w:rsidRPr="00712F3C" w:rsidRDefault="008A5BEA" w:rsidP="008A5BEA">
      <w:pPr>
        <w:suppressAutoHyphens/>
        <w:autoSpaceDE w:val="0"/>
        <w:autoSpaceDN w:val="0"/>
        <w:adjustRightInd w:val="0"/>
        <w:spacing w:after="0" w:line="240" w:lineRule="auto"/>
        <w:contextualSpacing/>
        <w:jc w:val="both"/>
        <w:textAlignment w:val="center"/>
        <w:rPr>
          <w:rFonts w:ascii="Times New Roman" w:hAnsi="Times New Roman"/>
          <w:sz w:val="20"/>
          <w:szCs w:val="20"/>
        </w:rPr>
      </w:pPr>
      <w:r w:rsidRPr="00712F3C">
        <w:rPr>
          <w:rFonts w:ascii="Times New Roman" w:hAnsi="Times New Roman"/>
          <w:sz w:val="20"/>
          <w:szCs w:val="20"/>
        </w:rPr>
        <w:t xml:space="preserve">The SEBI ICDR Regulations have permitted the Issue of securities to the public through the Book Building Process, wherein allocation to the public shall be made as per Regulation 253 of the SEBI ICDR Regulations. </w:t>
      </w:r>
    </w:p>
    <w:p w14:paraId="45B1A898" w14:textId="77777777" w:rsidR="008A5BEA" w:rsidRPr="00712F3C" w:rsidRDefault="008A5BEA" w:rsidP="008A5BEA">
      <w:pPr>
        <w:suppressAutoHyphens/>
        <w:autoSpaceDE w:val="0"/>
        <w:autoSpaceDN w:val="0"/>
        <w:adjustRightInd w:val="0"/>
        <w:spacing w:after="0" w:line="240" w:lineRule="auto"/>
        <w:contextualSpacing/>
        <w:jc w:val="both"/>
        <w:textAlignment w:val="center"/>
        <w:rPr>
          <w:rFonts w:ascii="Times New Roman" w:hAnsi="Times New Roman"/>
          <w:sz w:val="20"/>
          <w:szCs w:val="20"/>
        </w:rPr>
      </w:pPr>
    </w:p>
    <w:p w14:paraId="4B9D9B58" w14:textId="77777777" w:rsidR="008A5BEA" w:rsidRDefault="008A5BEA" w:rsidP="008A5BEA">
      <w:pPr>
        <w:spacing w:after="0" w:line="240" w:lineRule="auto"/>
        <w:contextualSpacing/>
        <w:jc w:val="both"/>
        <w:rPr>
          <w:rFonts w:ascii="Times New Roman" w:hAnsi="Times New Roman"/>
          <w:sz w:val="20"/>
          <w:szCs w:val="20"/>
        </w:rPr>
      </w:pPr>
      <w:r w:rsidRPr="00712F3C">
        <w:rPr>
          <w:rFonts w:ascii="Times New Roman" w:hAnsi="Times New Roman"/>
          <w:sz w:val="20"/>
          <w:szCs w:val="20"/>
        </w:rPr>
        <w:t xml:space="preserve">The Issue is being made through the Book Building Process wherein not more than 50% of the Net Issue shall be available for allocation on a proportionate basis to QIBs, provided that our Company may in consultation with the BRLM allocate upto 60% of the QIB Portion to Anchor Investors on a discretionary basis in accordance with the SEBI (ICDR) Regulations </w:t>
      </w:r>
      <w:r w:rsidRPr="00422D5F">
        <w:rPr>
          <w:rFonts w:ascii="Times New Roman" w:hAnsi="Times New Roman"/>
          <w:sz w:val="20"/>
          <w:szCs w:val="20"/>
        </w:rPr>
        <w:t>(the “Anchor Investor Portion”), out of which one third shall be reserved for domestic Mutual Funds, subject to valid Bids being received</w:t>
      </w:r>
      <w:r w:rsidRPr="00712F3C">
        <w:rPr>
          <w:rFonts w:ascii="Times New Roman" w:hAnsi="Times New Roman"/>
          <w:sz w:val="20"/>
          <w:szCs w:val="20"/>
        </w:rPr>
        <w:t xml:space="preserve"> from domestic Mutual Funds at or above the Anchor Investor Issue Price. 5% of the QIB Portion shall be available for allocation on a proportionate basis to Mutual Funds only, and the remainder of the QIB Portion shall be available for allocation on a proportionate basis to all QIB Bidders, including Mutual Funds, subject to valid Bids being received at or above the Issue Price. Further, not less than 15% of the Net Issue shall be available for allocation on a proportionate basis to Non-Institutional Bidders and not less than 35% of the Net Issue shall be available for allocation to Retail Individual Bidders, in accordance with the SEBI Regulations, subject to valid Bids being received at or above the Issue Price. All potential Bidders may participate in the Issue through an ASBA process by providing details of their respective bank account which will be blocked by the SCSBs. All Bidders are mandatorily required to utilize the ASBA process to participate in the Issue. Under-subscription if any, in any category, except in the QIB Category, would be allowed to be met with spill over from any other category or a combination of categories at the discretion of our Company in consultation with the BRLM and the Designated Stock Exchange.</w:t>
      </w:r>
    </w:p>
    <w:p w14:paraId="2C9755D0" w14:textId="77777777" w:rsidR="00D53C9F" w:rsidRPr="00712F3C" w:rsidRDefault="00D53C9F" w:rsidP="008A5BEA">
      <w:pPr>
        <w:spacing w:after="0" w:line="240" w:lineRule="auto"/>
        <w:contextualSpacing/>
        <w:jc w:val="both"/>
        <w:rPr>
          <w:rFonts w:ascii="Times New Roman" w:hAnsi="Times New Roman"/>
          <w:sz w:val="20"/>
          <w:szCs w:val="20"/>
        </w:rPr>
      </w:pPr>
    </w:p>
    <w:p w14:paraId="3349AAA9" w14:textId="77777777" w:rsidR="008A5BEA" w:rsidRPr="00712F3C" w:rsidRDefault="008A5BEA" w:rsidP="008A5BEA">
      <w:pPr>
        <w:autoSpaceDE w:val="0"/>
        <w:autoSpaceDN w:val="0"/>
        <w:adjustRightInd w:val="0"/>
        <w:spacing w:after="0" w:line="240" w:lineRule="auto"/>
        <w:contextualSpacing/>
        <w:jc w:val="both"/>
        <w:rPr>
          <w:rFonts w:ascii="Times New Roman" w:hAnsi="Times New Roman"/>
          <w:b/>
          <w:bCs/>
          <w:sz w:val="20"/>
          <w:szCs w:val="20"/>
        </w:rPr>
      </w:pPr>
      <w:r w:rsidRPr="00712F3C">
        <w:rPr>
          <w:rFonts w:ascii="Times New Roman" w:hAnsi="Times New Roman"/>
          <w:b/>
          <w:bCs/>
          <w:sz w:val="20"/>
          <w:szCs w:val="20"/>
        </w:rPr>
        <w:t xml:space="preserve">All Bidders, except Anchor Investors, are mandatorily required to use the ASBA process for participating in the Issue. In accordance with the SEBI ICDR Regulations, QIBs bidding in the QIB Portion and Non-Institutional Bidders bidding in </w:t>
      </w:r>
      <w:r w:rsidRPr="00712F3C">
        <w:rPr>
          <w:rFonts w:ascii="Times New Roman" w:hAnsi="Times New Roman"/>
          <w:b/>
          <w:bCs/>
          <w:sz w:val="20"/>
          <w:szCs w:val="20"/>
        </w:rPr>
        <w:lastRenderedPageBreak/>
        <w:t>the Non-Institutional Portion are not allowed to withdraw or lower the size of their Bids (in terms of the quantity of the Equity Shares or the Bid Amount) at any stage. Retail Individual Bidders can revise their Bids during the Bid/Issue Period and withdraw their Bids until the Bid/Issue Closing Date. Further, Anchor Investors cannot withdraw their Bids after the Anchor Investor Bid/Issue Period. Allocation to the Anchor Investors will be on a discretionary basis.</w:t>
      </w:r>
    </w:p>
    <w:p w14:paraId="2C24EBF0" w14:textId="77777777" w:rsidR="008A5BEA" w:rsidRPr="00712F3C" w:rsidRDefault="008A5BEA" w:rsidP="008A5BEA">
      <w:pPr>
        <w:suppressAutoHyphens/>
        <w:autoSpaceDE w:val="0"/>
        <w:autoSpaceDN w:val="0"/>
        <w:adjustRightInd w:val="0"/>
        <w:spacing w:after="0" w:line="240" w:lineRule="auto"/>
        <w:contextualSpacing/>
        <w:jc w:val="both"/>
        <w:textAlignment w:val="center"/>
        <w:rPr>
          <w:rFonts w:ascii="Times New Roman" w:hAnsi="Times New Roman"/>
          <w:sz w:val="20"/>
          <w:szCs w:val="20"/>
        </w:rPr>
      </w:pPr>
    </w:p>
    <w:p w14:paraId="1F7C2829" w14:textId="77777777" w:rsidR="008A5BEA" w:rsidRPr="00712F3C" w:rsidRDefault="008A5BEA" w:rsidP="008A5BEA">
      <w:pPr>
        <w:suppressAutoHyphens/>
        <w:autoSpaceDE w:val="0"/>
        <w:autoSpaceDN w:val="0"/>
        <w:adjustRightInd w:val="0"/>
        <w:spacing w:after="0" w:line="240" w:lineRule="auto"/>
        <w:contextualSpacing/>
        <w:jc w:val="both"/>
        <w:textAlignment w:val="center"/>
        <w:rPr>
          <w:rFonts w:ascii="Times New Roman" w:hAnsi="Times New Roman"/>
          <w:sz w:val="20"/>
          <w:szCs w:val="20"/>
        </w:rPr>
      </w:pPr>
      <w:r w:rsidRPr="00712F3C">
        <w:rPr>
          <w:rFonts w:ascii="Times New Roman" w:hAnsi="Times New Roman"/>
          <w:sz w:val="20"/>
          <w:szCs w:val="20"/>
        </w:rPr>
        <w:t>Subject to valid Bids being received at or above the Issue Price, allocation to all categories in the Net Issue, shall be made on a proportionate basis, except for Retail Portion where allotment to each Retail Individual Bidders shall not be less than the minimum bid lot, subject to availability of Equity Shares in Retail Portion, and the remaining available Equity Shares, if any, shall be allotted on a proportionate basis. Under – subscription, if any, in any category, would be allowed to be met with spill – over from any other category or a combination of categories at the discretion of our Company in consultation with the Book Running Lead Manager and the Stock Exchange. However, under-subscription, if any, in the QIB Portion will not be allowed to be met with spill over from other categories or a combination of categories.</w:t>
      </w:r>
    </w:p>
    <w:p w14:paraId="791D7BCA" w14:textId="77777777" w:rsidR="008A5BEA" w:rsidRPr="00712F3C" w:rsidRDefault="008A5BEA" w:rsidP="008A5BEA">
      <w:pPr>
        <w:suppressAutoHyphens/>
        <w:autoSpaceDE w:val="0"/>
        <w:autoSpaceDN w:val="0"/>
        <w:adjustRightInd w:val="0"/>
        <w:spacing w:after="0" w:line="240" w:lineRule="auto"/>
        <w:contextualSpacing/>
        <w:jc w:val="both"/>
        <w:textAlignment w:val="center"/>
        <w:rPr>
          <w:rFonts w:ascii="Times New Roman" w:hAnsi="Times New Roman"/>
          <w:sz w:val="20"/>
          <w:szCs w:val="20"/>
        </w:rPr>
      </w:pPr>
    </w:p>
    <w:p w14:paraId="7B22FED9" w14:textId="77777777" w:rsidR="008A5BEA" w:rsidRPr="00712F3C" w:rsidRDefault="008A5BEA" w:rsidP="008A5BEA">
      <w:pPr>
        <w:suppressAutoHyphens/>
        <w:autoSpaceDE w:val="0"/>
        <w:autoSpaceDN w:val="0"/>
        <w:adjustRightInd w:val="0"/>
        <w:spacing w:after="0" w:line="240" w:lineRule="auto"/>
        <w:contextualSpacing/>
        <w:jc w:val="both"/>
        <w:textAlignment w:val="center"/>
        <w:rPr>
          <w:rFonts w:ascii="Times New Roman" w:hAnsi="Times New Roman"/>
          <w:sz w:val="20"/>
          <w:szCs w:val="20"/>
        </w:rPr>
      </w:pPr>
      <w:r w:rsidRPr="00712F3C">
        <w:rPr>
          <w:rFonts w:ascii="Times New Roman" w:hAnsi="Times New Roman"/>
          <w:sz w:val="20"/>
          <w:szCs w:val="20"/>
        </w:rPr>
        <w:t xml:space="preserve">In terms of SEBI Circular No. CIR/CFD/POLICYCELL/11/2015 dated November 10, 2015 and the SEBI (Issue of Capital and Disclosure Requirements) Regulations, 2018, all the investors (except Anchor Investors) applying in a public issue shall use only Application Supported by Blocked Amount (ASBA) process for application providing details of the bank account which will be blocked by the Self Certified Syndicate Banks (SCSBs) for the same. Further, pursuant to SEBI Circular No. SEBI/HO/CFD/DIL2/CIR/P/2018/138 dated November 01, 2018, Retail Individual Investors applying in public issue may use either Application Supported by Blocked Amount (ASBA) facility for making application or also can use UPI as a payment mechanism with Application Supported by Blocked Amount for making application. For details in this regards, specific attention are invited to the chapter titled </w:t>
      </w:r>
      <w:r w:rsidRPr="00712F3C">
        <w:rPr>
          <w:rFonts w:ascii="Times New Roman" w:hAnsi="Times New Roman"/>
          <w:b/>
          <w:bCs/>
          <w:i/>
          <w:iCs/>
          <w:sz w:val="20"/>
          <w:szCs w:val="20"/>
        </w:rPr>
        <w:t>“Issue Procedure”</w:t>
      </w:r>
      <w:r w:rsidRPr="00712F3C">
        <w:rPr>
          <w:rFonts w:ascii="Times New Roman" w:hAnsi="Times New Roman"/>
          <w:sz w:val="20"/>
          <w:szCs w:val="20"/>
        </w:rPr>
        <w:t xml:space="preserve"> beginning on page </w:t>
      </w:r>
      <w:r>
        <w:rPr>
          <w:rFonts w:ascii="Times New Roman" w:hAnsi="Times New Roman"/>
          <w:iCs/>
          <w:sz w:val="20"/>
          <w:szCs w:val="20"/>
        </w:rPr>
        <w:t>216</w:t>
      </w:r>
      <w:r w:rsidRPr="00712F3C">
        <w:rPr>
          <w:rFonts w:ascii="Times New Roman" w:hAnsi="Times New Roman"/>
          <w:sz w:val="20"/>
          <w:szCs w:val="20"/>
        </w:rPr>
        <w:t xml:space="preserve"> of the Draft Red Herring Prospectus.</w:t>
      </w:r>
    </w:p>
    <w:p w14:paraId="0897BE73" w14:textId="77777777" w:rsidR="008A5BEA" w:rsidRPr="00712F3C" w:rsidRDefault="008A5BEA" w:rsidP="008A5BEA">
      <w:pPr>
        <w:suppressAutoHyphens/>
        <w:autoSpaceDE w:val="0"/>
        <w:autoSpaceDN w:val="0"/>
        <w:adjustRightInd w:val="0"/>
        <w:spacing w:after="0" w:line="240" w:lineRule="auto"/>
        <w:contextualSpacing/>
        <w:jc w:val="both"/>
        <w:textAlignment w:val="center"/>
        <w:rPr>
          <w:rFonts w:ascii="Times New Roman" w:hAnsi="Times New Roman"/>
          <w:sz w:val="20"/>
          <w:szCs w:val="20"/>
        </w:rPr>
      </w:pPr>
    </w:p>
    <w:p w14:paraId="4071FFBE" w14:textId="77777777" w:rsidR="008A5BEA" w:rsidRPr="00712F3C" w:rsidRDefault="008A5BEA" w:rsidP="008A5BEA">
      <w:pPr>
        <w:suppressAutoHyphens/>
        <w:autoSpaceDE w:val="0"/>
        <w:autoSpaceDN w:val="0"/>
        <w:adjustRightInd w:val="0"/>
        <w:spacing w:after="0" w:line="240" w:lineRule="auto"/>
        <w:contextualSpacing/>
        <w:jc w:val="both"/>
        <w:textAlignment w:val="center"/>
        <w:rPr>
          <w:rFonts w:ascii="Times New Roman" w:hAnsi="Times New Roman"/>
          <w:sz w:val="20"/>
          <w:szCs w:val="20"/>
        </w:rPr>
      </w:pPr>
      <w:r w:rsidRPr="00712F3C">
        <w:rPr>
          <w:rFonts w:ascii="Times New Roman" w:hAnsi="Times New Roman"/>
          <w:sz w:val="20"/>
          <w:szCs w:val="20"/>
        </w:rPr>
        <w:t>The process of Book Building under the SEBI ICDR Regulations is subject to change from time to time and the investors are advised to make their own judgment about investment through this process prior to making a Bid or application in the Issue.</w:t>
      </w:r>
    </w:p>
    <w:p w14:paraId="706CFE2D" w14:textId="77777777" w:rsidR="008A5BEA" w:rsidRPr="00712F3C" w:rsidRDefault="008A5BEA" w:rsidP="008A5BEA">
      <w:pPr>
        <w:suppressAutoHyphens/>
        <w:autoSpaceDE w:val="0"/>
        <w:autoSpaceDN w:val="0"/>
        <w:adjustRightInd w:val="0"/>
        <w:spacing w:after="0" w:line="240" w:lineRule="auto"/>
        <w:contextualSpacing/>
        <w:jc w:val="both"/>
        <w:textAlignment w:val="center"/>
        <w:rPr>
          <w:rFonts w:ascii="Times New Roman" w:hAnsi="Times New Roman"/>
          <w:sz w:val="20"/>
          <w:szCs w:val="20"/>
        </w:rPr>
      </w:pPr>
    </w:p>
    <w:p w14:paraId="2060029B" w14:textId="77777777" w:rsidR="008A5BEA" w:rsidRPr="00712F3C" w:rsidRDefault="008A5BEA" w:rsidP="008A5BEA">
      <w:pPr>
        <w:suppressAutoHyphens/>
        <w:autoSpaceDE w:val="0"/>
        <w:autoSpaceDN w:val="0"/>
        <w:adjustRightInd w:val="0"/>
        <w:spacing w:after="0" w:line="240" w:lineRule="auto"/>
        <w:contextualSpacing/>
        <w:jc w:val="both"/>
        <w:textAlignment w:val="center"/>
        <w:rPr>
          <w:rFonts w:ascii="Times New Roman" w:hAnsi="Times New Roman"/>
          <w:sz w:val="20"/>
          <w:szCs w:val="20"/>
        </w:rPr>
      </w:pPr>
      <w:r w:rsidRPr="00712F3C">
        <w:rPr>
          <w:rFonts w:ascii="Times New Roman" w:hAnsi="Times New Roman"/>
          <w:sz w:val="20"/>
          <w:szCs w:val="20"/>
        </w:rPr>
        <w:t xml:space="preserve">For further details on the method and procedure for Bidding, please see section entitled </w:t>
      </w:r>
      <w:r w:rsidRPr="00712F3C">
        <w:rPr>
          <w:rFonts w:ascii="Times New Roman" w:hAnsi="Times New Roman"/>
          <w:b/>
          <w:bCs/>
          <w:i/>
          <w:iCs/>
          <w:sz w:val="20"/>
          <w:szCs w:val="20"/>
        </w:rPr>
        <w:t>“Issue Procedure”</w:t>
      </w:r>
      <w:r w:rsidRPr="00712F3C">
        <w:rPr>
          <w:rFonts w:ascii="Times New Roman" w:hAnsi="Times New Roman"/>
          <w:sz w:val="20"/>
          <w:szCs w:val="20"/>
        </w:rPr>
        <w:t xml:space="preserve"> on page </w:t>
      </w:r>
      <w:r>
        <w:rPr>
          <w:rFonts w:ascii="Times New Roman" w:hAnsi="Times New Roman"/>
          <w:iCs/>
          <w:sz w:val="20"/>
          <w:szCs w:val="20"/>
        </w:rPr>
        <w:t>216</w:t>
      </w:r>
      <w:r w:rsidRPr="00712F3C">
        <w:rPr>
          <w:rFonts w:ascii="Times New Roman" w:hAnsi="Times New Roman"/>
          <w:sz w:val="20"/>
          <w:szCs w:val="20"/>
        </w:rPr>
        <w:t xml:space="preserve"> of this Draft Red Herring Prospectus.</w:t>
      </w:r>
    </w:p>
    <w:p w14:paraId="1E50AA56" w14:textId="77777777" w:rsidR="008A5BEA" w:rsidRPr="00712F3C" w:rsidRDefault="008A5BEA" w:rsidP="008A5BEA">
      <w:pPr>
        <w:suppressAutoHyphens/>
        <w:autoSpaceDE w:val="0"/>
        <w:autoSpaceDN w:val="0"/>
        <w:adjustRightInd w:val="0"/>
        <w:spacing w:after="0" w:line="240" w:lineRule="auto"/>
        <w:contextualSpacing/>
        <w:jc w:val="both"/>
        <w:textAlignment w:val="center"/>
        <w:rPr>
          <w:rFonts w:ascii="Times New Roman" w:hAnsi="Times New Roman"/>
          <w:sz w:val="20"/>
          <w:szCs w:val="20"/>
        </w:rPr>
      </w:pPr>
    </w:p>
    <w:p w14:paraId="17A3574C" w14:textId="77777777" w:rsidR="008A5BEA" w:rsidRDefault="008A5BEA" w:rsidP="008A5BEA">
      <w:pPr>
        <w:widowControl w:val="0"/>
        <w:autoSpaceDE w:val="0"/>
        <w:autoSpaceDN w:val="0"/>
        <w:adjustRightInd w:val="0"/>
        <w:spacing w:after="0" w:line="240" w:lineRule="auto"/>
        <w:contextualSpacing/>
        <w:jc w:val="both"/>
        <w:rPr>
          <w:rFonts w:ascii="Times New Roman" w:eastAsia="Calibri" w:hAnsi="Times New Roman"/>
          <w:b/>
          <w:sz w:val="20"/>
          <w:szCs w:val="20"/>
          <w:lang w:bidi="en-US"/>
        </w:rPr>
      </w:pPr>
      <w:r w:rsidRPr="00712F3C">
        <w:rPr>
          <w:rFonts w:ascii="Times New Roman" w:eastAsia="Calibri" w:hAnsi="Times New Roman"/>
          <w:b/>
          <w:sz w:val="20"/>
          <w:szCs w:val="20"/>
          <w:lang w:bidi="en-US"/>
        </w:rPr>
        <w:t>Illustration of the Book Building and Price Discovery Process</w:t>
      </w:r>
    </w:p>
    <w:p w14:paraId="7058BEF8" w14:textId="77777777" w:rsidR="008A5BEA" w:rsidRDefault="008A5BEA" w:rsidP="008A5BEA">
      <w:pPr>
        <w:widowControl w:val="0"/>
        <w:autoSpaceDE w:val="0"/>
        <w:autoSpaceDN w:val="0"/>
        <w:adjustRightInd w:val="0"/>
        <w:spacing w:after="0" w:line="240" w:lineRule="auto"/>
        <w:contextualSpacing/>
        <w:jc w:val="both"/>
        <w:rPr>
          <w:rFonts w:ascii="Times New Roman" w:eastAsia="Calibri" w:hAnsi="Times New Roman"/>
          <w:b/>
          <w:sz w:val="20"/>
          <w:szCs w:val="20"/>
          <w:lang w:bidi="en-US"/>
        </w:rPr>
      </w:pPr>
    </w:p>
    <w:p w14:paraId="17A3316C" w14:textId="77777777" w:rsidR="008A5BEA" w:rsidRPr="00712F3C" w:rsidRDefault="008A5BEA" w:rsidP="008A5BEA">
      <w:pPr>
        <w:widowControl w:val="0"/>
        <w:autoSpaceDE w:val="0"/>
        <w:autoSpaceDN w:val="0"/>
        <w:adjustRightInd w:val="0"/>
        <w:spacing w:after="0" w:line="240" w:lineRule="auto"/>
        <w:contextualSpacing/>
        <w:jc w:val="both"/>
        <w:rPr>
          <w:rFonts w:ascii="Times New Roman" w:eastAsia="Calibri" w:hAnsi="Times New Roman"/>
          <w:sz w:val="20"/>
          <w:szCs w:val="20"/>
          <w:lang w:bidi="en-US"/>
        </w:rPr>
      </w:pPr>
      <w:r w:rsidRPr="00422D5F">
        <w:rPr>
          <w:rFonts w:ascii="Times New Roman" w:eastAsia="Calibri" w:hAnsi="Times New Roman"/>
          <w:sz w:val="20"/>
          <w:szCs w:val="20"/>
          <w:lang w:bidi="en-US"/>
        </w:rPr>
        <w:t xml:space="preserve">For an illustration of the Book Building Process and the price discovery process, please refer to the chapter titled </w:t>
      </w:r>
      <w:r w:rsidRPr="00422D5F">
        <w:rPr>
          <w:rFonts w:ascii="Times New Roman" w:eastAsia="Calibri" w:hAnsi="Times New Roman"/>
          <w:b/>
          <w:bCs/>
          <w:i/>
          <w:iCs/>
          <w:sz w:val="20"/>
          <w:szCs w:val="20"/>
          <w:lang w:bidi="en-US"/>
        </w:rPr>
        <w:t>“Issue Procedure”</w:t>
      </w:r>
      <w:r>
        <w:rPr>
          <w:rFonts w:ascii="Times New Roman" w:eastAsia="Calibri" w:hAnsi="Times New Roman"/>
          <w:sz w:val="20"/>
          <w:szCs w:val="20"/>
          <w:lang w:bidi="en-US"/>
        </w:rPr>
        <w:t xml:space="preserve"> </w:t>
      </w:r>
      <w:r w:rsidRPr="00422D5F">
        <w:rPr>
          <w:rFonts w:ascii="Times New Roman" w:eastAsia="Calibri" w:hAnsi="Times New Roman"/>
          <w:sz w:val="20"/>
          <w:szCs w:val="20"/>
          <w:lang w:bidi="en-US"/>
        </w:rPr>
        <w:t>on page 231 of this Draft Red Herring Prospectus</w:t>
      </w:r>
      <w:r w:rsidRPr="00712F3C">
        <w:rPr>
          <w:rFonts w:ascii="Times New Roman" w:eastAsia="Calibri" w:hAnsi="Times New Roman"/>
          <w:sz w:val="20"/>
          <w:szCs w:val="20"/>
          <w:lang w:bidi="en-US"/>
        </w:rPr>
        <w:t>.</w:t>
      </w:r>
    </w:p>
    <w:p w14:paraId="6AABC37D" w14:textId="77777777" w:rsidR="008A5BEA" w:rsidRPr="00712F3C" w:rsidRDefault="008A5BEA" w:rsidP="008A5BEA">
      <w:pPr>
        <w:spacing w:after="0" w:line="240" w:lineRule="auto"/>
        <w:contextualSpacing/>
        <w:jc w:val="both"/>
        <w:rPr>
          <w:rFonts w:ascii="Times New Roman" w:hAnsi="Times New Roman"/>
          <w:sz w:val="20"/>
          <w:szCs w:val="20"/>
        </w:rPr>
      </w:pPr>
    </w:p>
    <w:p w14:paraId="5A7788A5" w14:textId="77777777" w:rsidR="008A5BEA" w:rsidRPr="00712F3C" w:rsidRDefault="008A5BEA" w:rsidP="008A5BEA">
      <w:pPr>
        <w:suppressAutoHyphens/>
        <w:autoSpaceDE w:val="0"/>
        <w:autoSpaceDN w:val="0"/>
        <w:adjustRightInd w:val="0"/>
        <w:spacing w:after="0" w:line="240" w:lineRule="auto"/>
        <w:contextualSpacing/>
        <w:textAlignment w:val="center"/>
        <w:rPr>
          <w:rFonts w:ascii="Times New Roman" w:hAnsi="Times New Roman"/>
          <w:b/>
          <w:bCs/>
          <w:sz w:val="20"/>
          <w:szCs w:val="20"/>
        </w:rPr>
      </w:pPr>
      <w:r w:rsidRPr="00712F3C">
        <w:rPr>
          <w:rFonts w:ascii="Times New Roman" w:hAnsi="Times New Roman"/>
          <w:b/>
          <w:bCs/>
          <w:sz w:val="20"/>
          <w:szCs w:val="20"/>
        </w:rPr>
        <w:t>Bid/ Issue Program:</w:t>
      </w:r>
    </w:p>
    <w:p w14:paraId="36C213E9" w14:textId="77777777" w:rsidR="008A5BEA" w:rsidRPr="00712F3C" w:rsidRDefault="008A5BEA" w:rsidP="008A5BEA">
      <w:pPr>
        <w:suppressAutoHyphens/>
        <w:autoSpaceDE w:val="0"/>
        <w:autoSpaceDN w:val="0"/>
        <w:adjustRightInd w:val="0"/>
        <w:spacing w:after="0" w:line="240" w:lineRule="auto"/>
        <w:contextualSpacing/>
        <w:textAlignment w:val="center"/>
        <w:rPr>
          <w:rFonts w:ascii="Times New Roman" w:hAnsi="Times New Roman"/>
          <w:bCs/>
          <w:sz w:val="20"/>
          <w:szCs w:val="20"/>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6735"/>
        <w:gridCol w:w="3716"/>
      </w:tblGrid>
      <w:tr w:rsidR="008A5BEA" w:rsidRPr="00712F3C" w14:paraId="008047CD" w14:textId="77777777" w:rsidTr="00250DAC">
        <w:trPr>
          <w:trHeight w:val="23"/>
          <w:tblHeader/>
        </w:trPr>
        <w:tc>
          <w:tcPr>
            <w:tcW w:w="3222" w:type="pct"/>
            <w:shd w:val="clear" w:color="auto" w:fill="D0CECE" w:themeFill="background2" w:themeFillShade="E6"/>
          </w:tcPr>
          <w:p w14:paraId="4E828FAF" w14:textId="77777777" w:rsidR="008A5BEA" w:rsidRPr="00712F3C" w:rsidRDefault="008A5BEA" w:rsidP="00250DAC">
            <w:pPr>
              <w:widowControl w:val="0"/>
              <w:spacing w:after="0" w:line="240" w:lineRule="auto"/>
              <w:contextualSpacing/>
              <w:rPr>
                <w:rFonts w:ascii="Times New Roman" w:hAnsi="Times New Roman"/>
                <w:b/>
                <w:bCs/>
                <w:sz w:val="20"/>
                <w:szCs w:val="20"/>
                <w:lang w:bidi="en-US"/>
              </w:rPr>
            </w:pPr>
            <w:r w:rsidRPr="00712F3C">
              <w:rPr>
                <w:rFonts w:ascii="Times New Roman" w:hAnsi="Times New Roman"/>
                <w:b/>
                <w:bCs/>
                <w:sz w:val="20"/>
                <w:szCs w:val="20"/>
                <w:lang w:bidi="en-US"/>
              </w:rPr>
              <w:t>Event</w:t>
            </w:r>
          </w:p>
        </w:tc>
        <w:tc>
          <w:tcPr>
            <w:tcW w:w="1778" w:type="pct"/>
            <w:shd w:val="clear" w:color="auto" w:fill="D0CECE" w:themeFill="background2" w:themeFillShade="E6"/>
          </w:tcPr>
          <w:p w14:paraId="01CF15B4" w14:textId="77777777" w:rsidR="008A5BEA" w:rsidRPr="00712F3C" w:rsidRDefault="008A5BEA" w:rsidP="00250DAC">
            <w:pPr>
              <w:widowControl w:val="0"/>
              <w:spacing w:after="0" w:line="240" w:lineRule="auto"/>
              <w:contextualSpacing/>
              <w:jc w:val="center"/>
              <w:rPr>
                <w:rFonts w:ascii="Times New Roman" w:hAnsi="Times New Roman"/>
                <w:b/>
                <w:sz w:val="20"/>
                <w:szCs w:val="20"/>
                <w:lang w:bidi="en-US"/>
              </w:rPr>
            </w:pPr>
            <w:r w:rsidRPr="00712F3C">
              <w:rPr>
                <w:rFonts w:ascii="Times New Roman" w:hAnsi="Times New Roman"/>
                <w:b/>
                <w:sz w:val="20"/>
                <w:szCs w:val="20"/>
                <w:lang w:bidi="en-US"/>
              </w:rPr>
              <w:t>Indicative Dates</w:t>
            </w:r>
          </w:p>
        </w:tc>
      </w:tr>
      <w:tr w:rsidR="008A5BEA" w:rsidRPr="00712F3C" w14:paraId="23CB0F57" w14:textId="77777777" w:rsidTr="00250DAC">
        <w:trPr>
          <w:trHeight w:val="23"/>
        </w:trPr>
        <w:tc>
          <w:tcPr>
            <w:tcW w:w="3222" w:type="pct"/>
            <w:shd w:val="clear" w:color="auto" w:fill="auto"/>
          </w:tcPr>
          <w:p w14:paraId="544F39CC" w14:textId="77777777" w:rsidR="008A5BEA" w:rsidRPr="00712F3C" w:rsidRDefault="008A5BEA" w:rsidP="00250DAC">
            <w:pPr>
              <w:widowControl w:val="0"/>
              <w:spacing w:after="0" w:line="240" w:lineRule="auto"/>
              <w:contextualSpacing/>
              <w:rPr>
                <w:rFonts w:ascii="Times New Roman" w:hAnsi="Times New Roman"/>
                <w:bCs/>
                <w:sz w:val="20"/>
                <w:szCs w:val="20"/>
                <w:lang w:bidi="en-US"/>
              </w:rPr>
            </w:pPr>
            <w:r w:rsidRPr="00712F3C">
              <w:rPr>
                <w:rFonts w:ascii="Times New Roman" w:hAnsi="Times New Roman"/>
                <w:sz w:val="20"/>
                <w:szCs w:val="20"/>
              </w:rPr>
              <w:t>Bid/ Issue Opening Date</w:t>
            </w:r>
          </w:p>
        </w:tc>
        <w:tc>
          <w:tcPr>
            <w:tcW w:w="1778" w:type="pct"/>
          </w:tcPr>
          <w:p w14:paraId="7E692C07" w14:textId="77777777" w:rsidR="008A5BEA" w:rsidRPr="00712F3C" w:rsidRDefault="008A5BEA" w:rsidP="00250DAC">
            <w:pPr>
              <w:widowControl w:val="0"/>
              <w:spacing w:after="0" w:line="240" w:lineRule="auto"/>
              <w:contextualSpacing/>
              <w:jc w:val="center"/>
              <w:rPr>
                <w:rFonts w:ascii="Times New Roman" w:hAnsi="Times New Roman"/>
                <w:sz w:val="20"/>
                <w:szCs w:val="20"/>
                <w:lang w:bidi="en-US"/>
              </w:rPr>
            </w:pPr>
            <w:r w:rsidRPr="00712F3C">
              <w:rPr>
                <w:rFonts w:ascii="Times New Roman" w:hAnsi="Times New Roman"/>
                <w:sz w:val="20"/>
                <w:szCs w:val="20"/>
              </w:rPr>
              <w:t>[●]</w:t>
            </w:r>
            <w:r w:rsidRPr="00712F3C">
              <w:rPr>
                <w:rFonts w:ascii="Times New Roman" w:hAnsi="Times New Roman"/>
                <w:sz w:val="20"/>
                <w:szCs w:val="20"/>
                <w:vertAlign w:val="superscript"/>
              </w:rPr>
              <w:t>1</w:t>
            </w:r>
          </w:p>
        </w:tc>
      </w:tr>
      <w:tr w:rsidR="008A5BEA" w:rsidRPr="00712F3C" w14:paraId="61E89B10" w14:textId="77777777" w:rsidTr="00250DAC">
        <w:trPr>
          <w:trHeight w:val="23"/>
        </w:trPr>
        <w:tc>
          <w:tcPr>
            <w:tcW w:w="3222" w:type="pct"/>
            <w:shd w:val="clear" w:color="auto" w:fill="auto"/>
            <w:hideMark/>
          </w:tcPr>
          <w:p w14:paraId="40184DC1" w14:textId="77777777" w:rsidR="008A5BEA" w:rsidRPr="00712F3C" w:rsidRDefault="008A5BEA" w:rsidP="00250DAC">
            <w:pPr>
              <w:widowControl w:val="0"/>
              <w:spacing w:after="0" w:line="240" w:lineRule="auto"/>
              <w:contextualSpacing/>
              <w:rPr>
                <w:rFonts w:ascii="Times New Roman" w:hAnsi="Times New Roman"/>
                <w:bCs/>
                <w:sz w:val="20"/>
                <w:szCs w:val="20"/>
                <w:lang w:bidi="en-US"/>
              </w:rPr>
            </w:pPr>
            <w:r w:rsidRPr="00712F3C">
              <w:rPr>
                <w:rFonts w:ascii="Times New Roman" w:hAnsi="Times New Roman"/>
                <w:bCs/>
                <w:sz w:val="20"/>
                <w:szCs w:val="20"/>
                <w:lang w:bidi="en-US"/>
              </w:rPr>
              <w:t>Bid/ Issue Closing Date</w:t>
            </w:r>
          </w:p>
        </w:tc>
        <w:tc>
          <w:tcPr>
            <w:tcW w:w="1778" w:type="pct"/>
          </w:tcPr>
          <w:p w14:paraId="7F6BB416" w14:textId="77777777" w:rsidR="008A5BEA" w:rsidRPr="00712F3C" w:rsidRDefault="008A5BEA" w:rsidP="00250DAC">
            <w:pPr>
              <w:widowControl w:val="0"/>
              <w:spacing w:after="0" w:line="240" w:lineRule="auto"/>
              <w:contextualSpacing/>
              <w:jc w:val="center"/>
              <w:rPr>
                <w:rFonts w:ascii="Times New Roman" w:hAnsi="Times New Roman"/>
                <w:sz w:val="20"/>
                <w:szCs w:val="20"/>
                <w:lang w:bidi="en-US"/>
              </w:rPr>
            </w:pPr>
            <w:r w:rsidRPr="00712F3C">
              <w:rPr>
                <w:rFonts w:ascii="Times New Roman" w:hAnsi="Times New Roman"/>
                <w:sz w:val="20"/>
                <w:szCs w:val="20"/>
              </w:rPr>
              <w:t>[●]</w:t>
            </w:r>
            <w:r w:rsidRPr="00712F3C">
              <w:rPr>
                <w:rFonts w:ascii="Times New Roman" w:hAnsi="Times New Roman"/>
                <w:sz w:val="20"/>
                <w:szCs w:val="20"/>
                <w:vertAlign w:val="superscript"/>
              </w:rPr>
              <w:t>2</w:t>
            </w:r>
          </w:p>
        </w:tc>
      </w:tr>
      <w:tr w:rsidR="008A5BEA" w:rsidRPr="00712F3C" w14:paraId="66CBCD49" w14:textId="77777777" w:rsidTr="00250DAC">
        <w:trPr>
          <w:trHeight w:val="23"/>
        </w:trPr>
        <w:tc>
          <w:tcPr>
            <w:tcW w:w="3222" w:type="pct"/>
            <w:shd w:val="clear" w:color="auto" w:fill="auto"/>
          </w:tcPr>
          <w:p w14:paraId="3391A462" w14:textId="77777777" w:rsidR="008A5BEA" w:rsidRPr="00712F3C" w:rsidRDefault="008A5BEA" w:rsidP="00250DAC">
            <w:pPr>
              <w:widowControl w:val="0"/>
              <w:spacing w:after="0" w:line="240" w:lineRule="auto"/>
              <w:contextualSpacing/>
              <w:rPr>
                <w:rFonts w:ascii="Times New Roman" w:hAnsi="Times New Roman"/>
                <w:bCs/>
                <w:sz w:val="20"/>
                <w:szCs w:val="20"/>
                <w:lang w:bidi="en-US"/>
              </w:rPr>
            </w:pPr>
            <w:r w:rsidRPr="00712F3C">
              <w:rPr>
                <w:rFonts w:ascii="Times New Roman" w:hAnsi="Times New Roman"/>
                <w:bCs/>
                <w:sz w:val="20"/>
                <w:szCs w:val="20"/>
                <w:lang w:bidi="en-US"/>
              </w:rPr>
              <w:t>Finalization of Basis of Allotment with the Designated Stock Exchange</w:t>
            </w:r>
          </w:p>
        </w:tc>
        <w:tc>
          <w:tcPr>
            <w:tcW w:w="1778" w:type="pct"/>
          </w:tcPr>
          <w:p w14:paraId="755C08D5" w14:textId="77777777" w:rsidR="008A5BEA" w:rsidRPr="00712F3C" w:rsidRDefault="008A5BEA" w:rsidP="00250DAC">
            <w:pPr>
              <w:widowControl w:val="0"/>
              <w:spacing w:after="0" w:line="240" w:lineRule="auto"/>
              <w:contextualSpacing/>
              <w:jc w:val="center"/>
              <w:rPr>
                <w:rFonts w:ascii="Times New Roman" w:hAnsi="Times New Roman"/>
                <w:sz w:val="20"/>
                <w:szCs w:val="20"/>
                <w:lang w:bidi="en-US"/>
              </w:rPr>
            </w:pPr>
            <w:r w:rsidRPr="00712F3C">
              <w:rPr>
                <w:rFonts w:ascii="Times New Roman" w:hAnsi="Times New Roman"/>
                <w:sz w:val="20"/>
                <w:szCs w:val="20"/>
              </w:rPr>
              <w:t>[●]</w:t>
            </w:r>
          </w:p>
        </w:tc>
      </w:tr>
      <w:tr w:rsidR="008A5BEA" w:rsidRPr="00712F3C" w14:paraId="4E7FDE5E" w14:textId="77777777" w:rsidTr="00250DAC">
        <w:trPr>
          <w:trHeight w:val="23"/>
        </w:trPr>
        <w:tc>
          <w:tcPr>
            <w:tcW w:w="3222" w:type="pct"/>
            <w:shd w:val="clear" w:color="auto" w:fill="auto"/>
          </w:tcPr>
          <w:p w14:paraId="338F57BD" w14:textId="77777777" w:rsidR="008A5BEA" w:rsidRPr="00712F3C" w:rsidRDefault="008A5BEA" w:rsidP="00250DAC">
            <w:pPr>
              <w:widowControl w:val="0"/>
              <w:spacing w:after="0" w:line="240" w:lineRule="auto"/>
              <w:contextualSpacing/>
              <w:rPr>
                <w:rFonts w:ascii="Times New Roman" w:hAnsi="Times New Roman"/>
                <w:bCs/>
                <w:sz w:val="20"/>
                <w:szCs w:val="20"/>
                <w:lang w:bidi="en-US"/>
              </w:rPr>
            </w:pPr>
            <w:r w:rsidRPr="00712F3C">
              <w:rPr>
                <w:rFonts w:ascii="Times New Roman" w:hAnsi="Times New Roman"/>
                <w:sz w:val="20"/>
                <w:szCs w:val="20"/>
              </w:rPr>
              <w:t>Initiation of Allotment / Refunds / Unblocking of Funds from ASBA Account or UPI ID linked bank account</w:t>
            </w:r>
          </w:p>
        </w:tc>
        <w:tc>
          <w:tcPr>
            <w:tcW w:w="1778" w:type="pct"/>
          </w:tcPr>
          <w:p w14:paraId="1D25CEEB" w14:textId="77777777" w:rsidR="008A5BEA" w:rsidRPr="00712F3C" w:rsidRDefault="008A5BEA" w:rsidP="00250DAC">
            <w:pPr>
              <w:widowControl w:val="0"/>
              <w:spacing w:after="0" w:line="240" w:lineRule="auto"/>
              <w:contextualSpacing/>
              <w:jc w:val="center"/>
              <w:rPr>
                <w:rFonts w:ascii="Times New Roman" w:hAnsi="Times New Roman"/>
                <w:sz w:val="20"/>
                <w:szCs w:val="20"/>
                <w:lang w:bidi="en-US"/>
              </w:rPr>
            </w:pPr>
            <w:r w:rsidRPr="00712F3C">
              <w:rPr>
                <w:rFonts w:ascii="Times New Roman" w:hAnsi="Times New Roman"/>
                <w:sz w:val="20"/>
                <w:szCs w:val="20"/>
              </w:rPr>
              <w:t>[●]</w:t>
            </w:r>
          </w:p>
        </w:tc>
      </w:tr>
      <w:tr w:rsidR="008A5BEA" w:rsidRPr="00712F3C" w14:paraId="5FA3F7BA" w14:textId="77777777" w:rsidTr="00250DAC">
        <w:trPr>
          <w:trHeight w:val="23"/>
        </w:trPr>
        <w:tc>
          <w:tcPr>
            <w:tcW w:w="3222" w:type="pct"/>
            <w:shd w:val="clear" w:color="auto" w:fill="auto"/>
          </w:tcPr>
          <w:p w14:paraId="1A82A38D" w14:textId="77777777" w:rsidR="008A5BEA" w:rsidRPr="00712F3C" w:rsidRDefault="008A5BEA" w:rsidP="00250DAC">
            <w:pPr>
              <w:widowControl w:val="0"/>
              <w:spacing w:after="0" w:line="240" w:lineRule="auto"/>
              <w:contextualSpacing/>
              <w:rPr>
                <w:rFonts w:ascii="Times New Roman" w:hAnsi="Times New Roman"/>
                <w:bCs/>
                <w:sz w:val="20"/>
                <w:szCs w:val="20"/>
                <w:lang w:bidi="en-US"/>
              </w:rPr>
            </w:pPr>
            <w:r w:rsidRPr="00712F3C">
              <w:rPr>
                <w:rFonts w:ascii="Times New Roman" w:hAnsi="Times New Roman"/>
                <w:sz w:val="20"/>
                <w:szCs w:val="20"/>
              </w:rPr>
              <w:t>Credit of Equity Shares to Demat accounts of Allottees</w:t>
            </w:r>
          </w:p>
        </w:tc>
        <w:tc>
          <w:tcPr>
            <w:tcW w:w="1778" w:type="pct"/>
          </w:tcPr>
          <w:p w14:paraId="20C9252D" w14:textId="77777777" w:rsidR="008A5BEA" w:rsidRPr="00712F3C" w:rsidRDefault="008A5BEA" w:rsidP="00250DAC">
            <w:pPr>
              <w:widowControl w:val="0"/>
              <w:spacing w:after="0" w:line="240" w:lineRule="auto"/>
              <w:contextualSpacing/>
              <w:jc w:val="center"/>
              <w:rPr>
                <w:rFonts w:ascii="Times New Roman" w:hAnsi="Times New Roman"/>
                <w:sz w:val="20"/>
                <w:szCs w:val="20"/>
                <w:lang w:bidi="en-US"/>
              </w:rPr>
            </w:pPr>
            <w:r w:rsidRPr="00712F3C">
              <w:rPr>
                <w:rFonts w:ascii="Times New Roman" w:hAnsi="Times New Roman"/>
                <w:sz w:val="20"/>
                <w:szCs w:val="20"/>
              </w:rPr>
              <w:t>[●]</w:t>
            </w:r>
          </w:p>
        </w:tc>
      </w:tr>
      <w:tr w:rsidR="008A5BEA" w:rsidRPr="00712F3C" w14:paraId="2DA9EA4B" w14:textId="77777777" w:rsidTr="00250DAC">
        <w:trPr>
          <w:trHeight w:val="23"/>
        </w:trPr>
        <w:tc>
          <w:tcPr>
            <w:tcW w:w="3222" w:type="pct"/>
            <w:shd w:val="clear" w:color="auto" w:fill="auto"/>
          </w:tcPr>
          <w:p w14:paraId="3063863E" w14:textId="77777777" w:rsidR="008A5BEA" w:rsidRPr="00712F3C" w:rsidRDefault="008A5BEA" w:rsidP="00250DAC">
            <w:pPr>
              <w:widowControl w:val="0"/>
              <w:spacing w:after="0" w:line="240" w:lineRule="auto"/>
              <w:contextualSpacing/>
              <w:rPr>
                <w:rFonts w:ascii="Times New Roman" w:hAnsi="Times New Roman"/>
                <w:bCs/>
                <w:sz w:val="20"/>
                <w:szCs w:val="20"/>
                <w:lang w:bidi="en-US"/>
              </w:rPr>
            </w:pPr>
            <w:r w:rsidRPr="00712F3C">
              <w:rPr>
                <w:rFonts w:ascii="Times New Roman" w:hAnsi="Times New Roman"/>
                <w:sz w:val="20"/>
                <w:szCs w:val="20"/>
              </w:rPr>
              <w:t>Commencement of trading of the Equity Shares on the Stock Exchange</w:t>
            </w:r>
          </w:p>
        </w:tc>
        <w:tc>
          <w:tcPr>
            <w:tcW w:w="1778" w:type="pct"/>
          </w:tcPr>
          <w:p w14:paraId="7521D309" w14:textId="77777777" w:rsidR="008A5BEA" w:rsidRPr="00712F3C" w:rsidRDefault="008A5BEA" w:rsidP="00250DAC">
            <w:pPr>
              <w:widowControl w:val="0"/>
              <w:spacing w:after="0" w:line="240" w:lineRule="auto"/>
              <w:contextualSpacing/>
              <w:jc w:val="center"/>
              <w:rPr>
                <w:rFonts w:ascii="Times New Roman" w:hAnsi="Times New Roman"/>
                <w:sz w:val="20"/>
                <w:szCs w:val="20"/>
                <w:lang w:bidi="en-US"/>
              </w:rPr>
            </w:pPr>
            <w:r w:rsidRPr="00712F3C">
              <w:rPr>
                <w:rFonts w:ascii="Times New Roman" w:hAnsi="Times New Roman"/>
                <w:sz w:val="20"/>
                <w:szCs w:val="20"/>
              </w:rPr>
              <w:t>[●]</w:t>
            </w:r>
          </w:p>
        </w:tc>
      </w:tr>
    </w:tbl>
    <w:p w14:paraId="6A8E19FB" w14:textId="77777777" w:rsidR="008A5BEA" w:rsidRPr="00712F3C" w:rsidRDefault="008A5BEA" w:rsidP="008A5BEA">
      <w:pPr>
        <w:autoSpaceDE w:val="0"/>
        <w:autoSpaceDN w:val="0"/>
        <w:adjustRightInd w:val="0"/>
        <w:spacing w:after="0" w:line="240" w:lineRule="auto"/>
        <w:contextualSpacing/>
        <w:jc w:val="both"/>
        <w:rPr>
          <w:rFonts w:ascii="Times New Roman" w:hAnsi="Times New Roman"/>
          <w:i/>
          <w:iCs/>
          <w:sz w:val="20"/>
          <w:szCs w:val="20"/>
        </w:rPr>
      </w:pPr>
      <w:r w:rsidRPr="00712F3C">
        <w:rPr>
          <w:rFonts w:ascii="Times New Roman" w:hAnsi="Times New Roman"/>
          <w:i/>
          <w:iCs/>
          <w:sz w:val="20"/>
          <w:szCs w:val="20"/>
        </w:rPr>
        <w:t xml:space="preserve">Note </w:t>
      </w:r>
      <w:r w:rsidRPr="00712F3C">
        <w:rPr>
          <w:rFonts w:ascii="Times New Roman" w:hAnsi="Times New Roman"/>
          <w:i/>
          <w:iCs/>
          <w:sz w:val="20"/>
          <w:szCs w:val="20"/>
          <w:vertAlign w:val="superscript"/>
        </w:rPr>
        <w:t>1</w:t>
      </w:r>
      <w:r w:rsidRPr="00712F3C">
        <w:rPr>
          <w:rFonts w:ascii="Times New Roman" w:hAnsi="Times New Roman"/>
          <w:i/>
          <w:iCs/>
          <w:sz w:val="20"/>
          <w:szCs w:val="20"/>
        </w:rPr>
        <w:t>Our Company in consultation with the Book Running Lead Manager, may consider participation by Anchor Investors in accordance with the SEBI ICDR Regulations. The Anchor Investor Bid/Issue Period shall be one Working Day prior to the Bid/Issue Opening Date in accordance with the SEBI ICDR Regulations</w:t>
      </w:r>
    </w:p>
    <w:p w14:paraId="6887B11C" w14:textId="77777777" w:rsidR="008A5BEA" w:rsidRPr="00712F3C" w:rsidRDefault="008A5BEA" w:rsidP="008A5BEA">
      <w:pPr>
        <w:autoSpaceDE w:val="0"/>
        <w:autoSpaceDN w:val="0"/>
        <w:adjustRightInd w:val="0"/>
        <w:spacing w:after="0" w:line="240" w:lineRule="auto"/>
        <w:contextualSpacing/>
        <w:jc w:val="both"/>
        <w:rPr>
          <w:rFonts w:ascii="Times New Roman" w:hAnsi="Times New Roman"/>
          <w:i/>
          <w:iCs/>
          <w:sz w:val="20"/>
          <w:szCs w:val="20"/>
        </w:rPr>
      </w:pPr>
    </w:p>
    <w:p w14:paraId="38A273D6" w14:textId="77777777" w:rsidR="008A5BEA" w:rsidRPr="00712F3C" w:rsidRDefault="008A5BEA" w:rsidP="008A5BEA">
      <w:pPr>
        <w:autoSpaceDE w:val="0"/>
        <w:autoSpaceDN w:val="0"/>
        <w:adjustRightInd w:val="0"/>
        <w:spacing w:after="0" w:line="240" w:lineRule="auto"/>
        <w:jc w:val="both"/>
        <w:rPr>
          <w:rFonts w:ascii="Times New Roman" w:eastAsiaTheme="minorHAnsi" w:hAnsi="Times New Roman"/>
          <w:i/>
          <w:iCs/>
          <w:sz w:val="20"/>
          <w:szCs w:val="20"/>
        </w:rPr>
      </w:pPr>
      <w:r w:rsidRPr="00712F3C">
        <w:rPr>
          <w:rFonts w:ascii="Times New Roman" w:hAnsi="Times New Roman"/>
          <w:i/>
          <w:iCs/>
          <w:sz w:val="20"/>
          <w:szCs w:val="20"/>
          <w:vertAlign w:val="superscript"/>
        </w:rPr>
        <w:t>2</w:t>
      </w:r>
      <w:r w:rsidRPr="00712F3C">
        <w:rPr>
          <w:rFonts w:ascii="Times New Roman" w:eastAsiaTheme="minorHAnsi" w:hAnsi="Times New Roman"/>
          <w:i/>
          <w:iCs/>
          <w:sz w:val="20"/>
          <w:szCs w:val="20"/>
        </w:rPr>
        <w:t>Our Company in consultation with the BRLM, consider closing the Bid/Issue Period for QIBs one Working Day prior to the Bid/Issue Closing Date in accordance with the SEBI ICDR Regulations.</w:t>
      </w:r>
    </w:p>
    <w:p w14:paraId="4B42AB76" w14:textId="77777777" w:rsidR="008A5BEA" w:rsidRPr="00712F3C" w:rsidRDefault="008A5BEA" w:rsidP="008A5BEA">
      <w:pPr>
        <w:widowControl w:val="0"/>
        <w:spacing w:after="0" w:line="240" w:lineRule="auto"/>
        <w:contextualSpacing/>
        <w:rPr>
          <w:rFonts w:ascii="Times New Roman" w:hAnsi="Times New Roman"/>
          <w:bCs/>
          <w:sz w:val="20"/>
          <w:szCs w:val="20"/>
          <w:lang w:bidi="en-US"/>
        </w:rPr>
      </w:pPr>
    </w:p>
    <w:p w14:paraId="57B8BC16" w14:textId="77777777" w:rsidR="008A5BEA" w:rsidRPr="00712F3C" w:rsidRDefault="008A5BEA" w:rsidP="008A5BEA">
      <w:pPr>
        <w:widowControl w:val="0"/>
        <w:spacing w:after="0" w:line="240" w:lineRule="auto"/>
        <w:contextualSpacing/>
        <w:jc w:val="both"/>
        <w:rPr>
          <w:rFonts w:ascii="Times New Roman" w:hAnsi="Times New Roman"/>
          <w:sz w:val="20"/>
          <w:szCs w:val="20"/>
        </w:rPr>
      </w:pPr>
      <w:r w:rsidRPr="00712F3C">
        <w:rPr>
          <w:rFonts w:ascii="Times New Roman" w:hAnsi="Times New Roman"/>
          <w:sz w:val="20"/>
          <w:szCs w:val="20"/>
        </w:rPr>
        <w:t>The above timetable is indicative and does not constitute any obligation on our Company or the Book Running Lead Manager. Whilst our Company shall ensure that all steps for the completion of the necessary formalities for the listing and the commencement of trading of the Equity Shares on the Stock Exchange are taken within 6 Working Days of the Bid/ Issue Closing Date, the timetable may change due to various factors, such as extension of the Bid/Issue Period by our Company, revision of the Price Band or any delays in receiving the final listing and trading approval from the Stock Exchange. The Commencement of trading of the Equity Shares will be entirely at the discretion of the Stock Exchange and in accordance with the applicable laws.</w:t>
      </w:r>
    </w:p>
    <w:p w14:paraId="6514793F" w14:textId="77777777" w:rsidR="008A5BEA" w:rsidRPr="00712F3C" w:rsidRDefault="008A5BEA" w:rsidP="008A5BEA">
      <w:pPr>
        <w:widowControl w:val="0"/>
        <w:spacing w:after="0" w:line="240" w:lineRule="auto"/>
        <w:contextualSpacing/>
        <w:jc w:val="both"/>
        <w:rPr>
          <w:rFonts w:ascii="Times New Roman" w:hAnsi="Times New Roman"/>
          <w:sz w:val="20"/>
          <w:szCs w:val="20"/>
        </w:rPr>
      </w:pPr>
    </w:p>
    <w:p w14:paraId="5D7C5D3F" w14:textId="77777777" w:rsidR="008A5BEA" w:rsidRPr="00712F3C" w:rsidRDefault="008A5BEA" w:rsidP="008A5BEA">
      <w:pPr>
        <w:widowControl w:val="0"/>
        <w:spacing w:after="0" w:line="240" w:lineRule="auto"/>
        <w:contextualSpacing/>
        <w:jc w:val="both"/>
        <w:rPr>
          <w:rFonts w:ascii="Times New Roman" w:hAnsi="Times New Roman"/>
          <w:sz w:val="20"/>
          <w:szCs w:val="20"/>
        </w:rPr>
      </w:pPr>
      <w:r w:rsidRPr="00712F3C">
        <w:rPr>
          <w:rFonts w:ascii="Times New Roman" w:hAnsi="Times New Roman"/>
          <w:sz w:val="20"/>
          <w:szCs w:val="20"/>
        </w:rPr>
        <w:t>Bid Cum Application Forms and any revisions to the same will be accepted only between 10.00 A.M. to 5.00 P.M. (IST) during the Issue Period (except for the Bid/ Issue Closing Date). On the Bid/ Issue Closing Date, the Bid Cum Application Forms will be accepted only between 10.00 A.M. to 3.00 P.M. (IST) for retail and non-retail Bidders. The time for applying for Retail Individual Applicant on Bid/Issue Closing Date maybe extended in consultation with the BRLM, RTA and BSE SME taking into account the total number of applications received up to the closure of timings.</w:t>
      </w:r>
    </w:p>
    <w:p w14:paraId="5D93E0D5" w14:textId="77777777" w:rsidR="008A5BEA" w:rsidRPr="00712F3C" w:rsidRDefault="008A5BEA" w:rsidP="008A5BEA">
      <w:pPr>
        <w:widowControl w:val="0"/>
        <w:spacing w:after="0" w:line="240" w:lineRule="auto"/>
        <w:contextualSpacing/>
        <w:jc w:val="both"/>
        <w:rPr>
          <w:rFonts w:ascii="Times New Roman" w:hAnsi="Times New Roman"/>
          <w:sz w:val="20"/>
          <w:szCs w:val="20"/>
        </w:rPr>
      </w:pPr>
      <w:r w:rsidRPr="00712F3C">
        <w:rPr>
          <w:rFonts w:ascii="Times New Roman" w:hAnsi="Times New Roman"/>
          <w:sz w:val="20"/>
          <w:szCs w:val="20"/>
        </w:rPr>
        <w:lastRenderedPageBreak/>
        <w:t>Due to the limitation of time available for uploading the Bid Cum Application Forms on the Bid/Issue Closing Date, Bidders are advised to submit their applications one (1) day prior to the Bid/ Issue Closing Date and, in any case, not later than 3.00 P.M. (IST) on the Bid/ Issue Closing Date. Any time mentioned in this Draft Red Herring Prospectus is IST. Bidders are cautioned that, in the event a large number of Bid Cum Application Forms are received on the Bid/Issue Closing Date, as is typically experienced in public Issue, some Bid Cum Application Forms may not get uploaded due to the lack of sufficient time. Such Bid Cum Application Forms that cannot be uploaded will not be considered for allocation under this Issue. Applications will be accepted only on Working Days, i.e., Monday to Friday (excluding any public holidays). Neither our Company nor the BRLM is liable for any failure in uploading the Bid Cum Application Forms due to faults in any software/hardware system or otherwise.</w:t>
      </w:r>
    </w:p>
    <w:p w14:paraId="0D253A20" w14:textId="77777777" w:rsidR="008A5BEA" w:rsidRPr="00712F3C" w:rsidRDefault="008A5BEA" w:rsidP="008A5BEA">
      <w:pPr>
        <w:widowControl w:val="0"/>
        <w:spacing w:after="0" w:line="240" w:lineRule="auto"/>
        <w:contextualSpacing/>
        <w:jc w:val="both"/>
        <w:rPr>
          <w:rFonts w:ascii="Times New Roman" w:hAnsi="Times New Roman"/>
          <w:sz w:val="20"/>
          <w:szCs w:val="20"/>
        </w:rPr>
      </w:pPr>
    </w:p>
    <w:p w14:paraId="6833A2EE" w14:textId="77777777" w:rsidR="008A5BEA" w:rsidRPr="00712F3C" w:rsidRDefault="008A5BEA" w:rsidP="008A5BEA">
      <w:pPr>
        <w:widowControl w:val="0"/>
        <w:spacing w:after="0" w:line="240" w:lineRule="auto"/>
        <w:contextualSpacing/>
        <w:jc w:val="both"/>
        <w:rPr>
          <w:rFonts w:ascii="Times New Roman" w:hAnsi="Times New Roman"/>
          <w:sz w:val="20"/>
          <w:szCs w:val="20"/>
        </w:rPr>
      </w:pPr>
      <w:r w:rsidRPr="00712F3C">
        <w:rPr>
          <w:rFonts w:ascii="Times New Roman" w:hAnsi="Times New Roman"/>
          <w:sz w:val="20"/>
          <w:szCs w:val="20"/>
        </w:rPr>
        <w:t xml:space="preserve">In accordance with SEBI ICDR Regulations, QIBs and Non-Institutional Applicants are not allowed to withdraw or lower the size of their </w:t>
      </w:r>
      <w:r>
        <w:rPr>
          <w:rFonts w:ascii="Times New Roman" w:hAnsi="Times New Roman"/>
          <w:sz w:val="20"/>
          <w:szCs w:val="20"/>
        </w:rPr>
        <w:t>a</w:t>
      </w:r>
      <w:r w:rsidRPr="00712F3C">
        <w:rPr>
          <w:rFonts w:ascii="Times New Roman" w:hAnsi="Times New Roman"/>
          <w:sz w:val="20"/>
          <w:szCs w:val="20"/>
        </w:rPr>
        <w:t>pplication (in terms of the quantity of the Equity Shares or the Application amount) at any stage. Retail Individual Applicants can revise or withdraw their Bid Cum Application Forms prior to the Bid/Issue Closing Date. Allocation to Retail Individual Applicants, in this Issue will be on a proportionate basis.</w:t>
      </w:r>
    </w:p>
    <w:p w14:paraId="1FFE8557" w14:textId="77777777" w:rsidR="008A5BEA" w:rsidRPr="00712F3C" w:rsidRDefault="008A5BEA" w:rsidP="008A5BEA">
      <w:pPr>
        <w:widowControl w:val="0"/>
        <w:spacing w:after="0" w:line="240" w:lineRule="auto"/>
        <w:contextualSpacing/>
        <w:jc w:val="both"/>
        <w:rPr>
          <w:rFonts w:ascii="Times New Roman" w:hAnsi="Times New Roman"/>
          <w:sz w:val="20"/>
          <w:szCs w:val="20"/>
        </w:rPr>
      </w:pPr>
    </w:p>
    <w:p w14:paraId="024E1E45" w14:textId="77777777" w:rsidR="008A5BEA" w:rsidRPr="00712F3C" w:rsidRDefault="008A5BEA" w:rsidP="008A5BEA">
      <w:pPr>
        <w:widowControl w:val="0"/>
        <w:spacing w:after="0" w:line="240" w:lineRule="auto"/>
        <w:contextualSpacing/>
        <w:jc w:val="both"/>
        <w:rPr>
          <w:rFonts w:ascii="Times New Roman" w:hAnsi="Times New Roman"/>
          <w:sz w:val="20"/>
          <w:szCs w:val="20"/>
        </w:rPr>
      </w:pPr>
      <w:r w:rsidRPr="00712F3C">
        <w:rPr>
          <w:rFonts w:ascii="Times New Roman" w:hAnsi="Times New Roman"/>
          <w:sz w:val="20"/>
          <w:szCs w:val="20"/>
        </w:rPr>
        <w:t>In case of discrepancy in the data entered in the electronic book vis-à-vis the data contained in the physical Bid Cum Application Form, for a particular Applicant, the details as per the file received from Stock Exchange may be taken as the final data for the purpose of Allotment. In case of discrepancy in the data entered in the electronic book vis-à-vis the data contained in the physical or electronic Bid Cum Application Form, for a particular ASBA Applicant, the Registrar to the Issue shall ask the relevant SCSBs/ RTAs / DPs / stock brokers, as the case may be, for the rectified data.</w:t>
      </w:r>
    </w:p>
    <w:p w14:paraId="09EBF15F" w14:textId="77777777" w:rsidR="008A5BEA" w:rsidRPr="00712F3C" w:rsidRDefault="008A5BEA" w:rsidP="008A5BEA">
      <w:pPr>
        <w:spacing w:after="0" w:line="240" w:lineRule="auto"/>
        <w:ind w:left="-90" w:right="-90"/>
        <w:jc w:val="both"/>
        <w:rPr>
          <w:rFonts w:ascii="Times New Roman" w:hAnsi="Times New Roman"/>
          <w:b/>
          <w:sz w:val="20"/>
          <w:szCs w:val="20"/>
        </w:rPr>
      </w:pPr>
    </w:p>
    <w:p w14:paraId="3B9774C0" w14:textId="77777777" w:rsidR="008A5BEA" w:rsidRPr="00712F3C" w:rsidRDefault="008A5BEA" w:rsidP="008A5BEA">
      <w:pPr>
        <w:spacing w:after="0" w:line="240" w:lineRule="auto"/>
        <w:ind w:right="-90"/>
        <w:jc w:val="both"/>
        <w:rPr>
          <w:rFonts w:ascii="Times New Roman" w:hAnsi="Times New Roman"/>
          <w:b/>
          <w:sz w:val="20"/>
          <w:szCs w:val="20"/>
        </w:rPr>
      </w:pPr>
      <w:r w:rsidRPr="00712F3C">
        <w:rPr>
          <w:rFonts w:ascii="Times New Roman" w:hAnsi="Times New Roman"/>
          <w:b/>
          <w:sz w:val="20"/>
          <w:szCs w:val="20"/>
        </w:rPr>
        <w:t xml:space="preserve">Withdrawal of the Issue </w:t>
      </w:r>
    </w:p>
    <w:p w14:paraId="3C66ACCD" w14:textId="77777777" w:rsidR="008A5BEA" w:rsidRPr="00712F3C" w:rsidRDefault="008A5BEA" w:rsidP="008A5BEA">
      <w:pPr>
        <w:spacing w:after="0" w:line="240" w:lineRule="auto"/>
        <w:ind w:right="-90"/>
        <w:jc w:val="both"/>
        <w:rPr>
          <w:rFonts w:ascii="Times New Roman" w:hAnsi="Times New Roman"/>
          <w:b/>
          <w:sz w:val="20"/>
          <w:szCs w:val="20"/>
        </w:rPr>
      </w:pPr>
    </w:p>
    <w:p w14:paraId="4A0014D5" w14:textId="77777777" w:rsidR="008A5BEA" w:rsidRPr="00712F3C" w:rsidRDefault="008A5BEA" w:rsidP="008A5BEA">
      <w:pPr>
        <w:spacing w:after="0" w:line="240" w:lineRule="auto"/>
        <w:ind w:right="-90"/>
        <w:jc w:val="both"/>
        <w:rPr>
          <w:rFonts w:ascii="Times New Roman" w:hAnsi="Times New Roman"/>
          <w:sz w:val="20"/>
          <w:szCs w:val="20"/>
        </w:rPr>
      </w:pPr>
      <w:r w:rsidRPr="00712F3C">
        <w:rPr>
          <w:rFonts w:ascii="Times New Roman" w:hAnsi="Times New Roman"/>
          <w:sz w:val="20"/>
          <w:szCs w:val="20"/>
        </w:rPr>
        <w:t>Our Company in consultation with the BRLM, reserve the right to not to proceed with the Issue at any time before the Issue Opening Date without assigning any reason thereof.</w:t>
      </w:r>
    </w:p>
    <w:p w14:paraId="002BF97D" w14:textId="77777777" w:rsidR="008A5BEA" w:rsidRPr="00712F3C" w:rsidRDefault="008A5BEA" w:rsidP="008A5BEA">
      <w:pPr>
        <w:spacing w:after="0" w:line="240" w:lineRule="auto"/>
        <w:ind w:right="-90"/>
        <w:jc w:val="both"/>
        <w:rPr>
          <w:rFonts w:ascii="Times New Roman" w:hAnsi="Times New Roman"/>
          <w:sz w:val="20"/>
          <w:szCs w:val="20"/>
        </w:rPr>
      </w:pPr>
    </w:p>
    <w:p w14:paraId="320ED62D" w14:textId="77777777" w:rsidR="008A5BEA" w:rsidRPr="00712F3C" w:rsidRDefault="008A5BEA" w:rsidP="008A5BEA">
      <w:pPr>
        <w:spacing w:after="0" w:line="240" w:lineRule="auto"/>
        <w:ind w:right="-90"/>
        <w:jc w:val="both"/>
        <w:rPr>
          <w:rFonts w:ascii="Times New Roman" w:hAnsi="Times New Roman"/>
          <w:sz w:val="20"/>
          <w:szCs w:val="20"/>
        </w:rPr>
      </w:pPr>
      <w:r w:rsidRPr="00712F3C">
        <w:rPr>
          <w:rFonts w:ascii="Times New Roman" w:hAnsi="Times New Roman"/>
          <w:sz w:val="20"/>
          <w:szCs w:val="20"/>
        </w:rPr>
        <w:t>If our Company withdraws the Issue any time after the Bid/Issue Opening Date but before the allotment of Equity Shares, a public notice within 2 (two) working days of the Bid/Issue Closing Date, providing reasons for not proceeding with the Issue shall be issued by our Company. The notice of withdrawal will be issued in the same newspapers where the pre- Issue advertisements have appeared and the Stock Exchange will also be informed promptly. The BRLM, through the Registrar to the Issue, will instruct the SCSBs to unblock the ASBA Accounts within 1 (one) working Day from the day of receipt of such instruction.</w:t>
      </w:r>
    </w:p>
    <w:p w14:paraId="7E3B44CD" w14:textId="77777777" w:rsidR="008A5BEA" w:rsidRPr="00712F3C" w:rsidRDefault="008A5BEA" w:rsidP="008A5BEA">
      <w:pPr>
        <w:spacing w:after="0" w:line="240" w:lineRule="auto"/>
        <w:ind w:right="-90"/>
        <w:jc w:val="both"/>
        <w:rPr>
          <w:rFonts w:ascii="Times New Roman" w:hAnsi="Times New Roman"/>
          <w:sz w:val="20"/>
          <w:szCs w:val="20"/>
        </w:rPr>
      </w:pPr>
    </w:p>
    <w:p w14:paraId="42CB6D80" w14:textId="77777777" w:rsidR="008A5BEA" w:rsidRPr="00712F3C" w:rsidRDefault="008A5BEA" w:rsidP="008A5BEA">
      <w:pPr>
        <w:spacing w:after="0" w:line="240" w:lineRule="auto"/>
        <w:ind w:right="-90"/>
        <w:jc w:val="both"/>
        <w:rPr>
          <w:rFonts w:ascii="Times New Roman" w:hAnsi="Times New Roman"/>
          <w:sz w:val="20"/>
          <w:szCs w:val="20"/>
        </w:rPr>
      </w:pPr>
      <w:r w:rsidRPr="00712F3C">
        <w:rPr>
          <w:rFonts w:ascii="Times New Roman" w:hAnsi="Times New Roman"/>
          <w:sz w:val="20"/>
          <w:szCs w:val="20"/>
        </w:rPr>
        <w:t>If our Company withdraws the Issue after the Issue Closing Date and subsequently decides to proceed with an Issue of the Equity Shares, our Company will have to file a fresh Draft Red Herring Prospectus with the stock exchange where the Equity Shares may be proposed to be listed.</w:t>
      </w:r>
    </w:p>
    <w:p w14:paraId="11349940" w14:textId="77777777" w:rsidR="008A5BEA" w:rsidRPr="00712F3C" w:rsidRDefault="008A5BEA" w:rsidP="008A5BEA">
      <w:pPr>
        <w:spacing w:after="0" w:line="240" w:lineRule="auto"/>
        <w:ind w:right="-90"/>
        <w:jc w:val="both"/>
        <w:rPr>
          <w:rFonts w:ascii="Times New Roman" w:hAnsi="Times New Roman"/>
          <w:sz w:val="20"/>
          <w:szCs w:val="20"/>
        </w:rPr>
      </w:pPr>
    </w:p>
    <w:p w14:paraId="29E7E63F" w14:textId="77777777" w:rsidR="008A5BEA" w:rsidRDefault="008A5BEA" w:rsidP="008A5BEA">
      <w:pPr>
        <w:spacing w:after="0" w:line="240" w:lineRule="auto"/>
        <w:ind w:right="-90"/>
        <w:jc w:val="both"/>
        <w:rPr>
          <w:rFonts w:ascii="Times New Roman" w:hAnsi="Times New Roman"/>
          <w:sz w:val="20"/>
          <w:szCs w:val="20"/>
        </w:rPr>
      </w:pPr>
      <w:r w:rsidRPr="00712F3C">
        <w:rPr>
          <w:rFonts w:ascii="Times New Roman" w:hAnsi="Times New Roman"/>
          <w:sz w:val="20"/>
          <w:szCs w:val="20"/>
        </w:rPr>
        <w:t xml:space="preserve">Notwithstanding the foregoing, the Issue is subject to obtaining (i) the final listing and trading approvals of the Stock Exchange with respect to the Equity Shares issued through the </w:t>
      </w:r>
      <w:r>
        <w:rPr>
          <w:rFonts w:ascii="Times New Roman" w:hAnsi="Times New Roman"/>
          <w:sz w:val="20"/>
          <w:szCs w:val="20"/>
        </w:rPr>
        <w:t xml:space="preserve">Red Herring </w:t>
      </w:r>
      <w:r w:rsidRPr="00712F3C">
        <w:rPr>
          <w:rFonts w:ascii="Times New Roman" w:hAnsi="Times New Roman"/>
          <w:sz w:val="20"/>
          <w:szCs w:val="20"/>
        </w:rPr>
        <w:t xml:space="preserve">Prospectus, which our Company will apply for only after Allotment; and (ii) the registration of </w:t>
      </w:r>
      <w:r>
        <w:rPr>
          <w:rFonts w:ascii="Times New Roman" w:hAnsi="Times New Roman"/>
          <w:sz w:val="20"/>
          <w:szCs w:val="20"/>
        </w:rPr>
        <w:t xml:space="preserve">Red Herring </w:t>
      </w:r>
      <w:r w:rsidRPr="00712F3C">
        <w:rPr>
          <w:rFonts w:ascii="Times New Roman" w:hAnsi="Times New Roman"/>
          <w:sz w:val="20"/>
          <w:szCs w:val="20"/>
        </w:rPr>
        <w:t>Prospectus with RoC.</w:t>
      </w:r>
    </w:p>
    <w:p w14:paraId="4078C8FE" w14:textId="77777777" w:rsidR="008A5BEA" w:rsidRPr="00712F3C" w:rsidRDefault="008A5BEA" w:rsidP="008A5BEA">
      <w:pPr>
        <w:spacing w:after="0" w:line="240" w:lineRule="auto"/>
        <w:ind w:right="-90"/>
        <w:jc w:val="both"/>
        <w:rPr>
          <w:rFonts w:ascii="Times New Roman" w:hAnsi="Times New Roman"/>
          <w:sz w:val="20"/>
          <w:szCs w:val="20"/>
        </w:rPr>
      </w:pPr>
    </w:p>
    <w:p w14:paraId="74C38466" w14:textId="77777777" w:rsidR="008A5BEA" w:rsidRPr="00712F3C" w:rsidRDefault="008A5BEA" w:rsidP="008A5BEA">
      <w:pPr>
        <w:spacing w:after="0" w:line="240" w:lineRule="auto"/>
        <w:ind w:right="-90"/>
        <w:jc w:val="both"/>
        <w:rPr>
          <w:rFonts w:ascii="Times New Roman" w:hAnsi="Times New Roman"/>
          <w:b/>
          <w:sz w:val="20"/>
          <w:szCs w:val="20"/>
        </w:rPr>
      </w:pPr>
      <w:r w:rsidRPr="00712F3C">
        <w:rPr>
          <w:rFonts w:ascii="Times New Roman" w:hAnsi="Times New Roman"/>
          <w:b/>
          <w:sz w:val="20"/>
          <w:szCs w:val="20"/>
        </w:rPr>
        <w:t>Underwriting</w:t>
      </w:r>
    </w:p>
    <w:p w14:paraId="0BBB2BE1" w14:textId="77777777" w:rsidR="008A5BEA" w:rsidRPr="00712F3C" w:rsidRDefault="008A5BEA" w:rsidP="008A5BEA">
      <w:pPr>
        <w:spacing w:after="0" w:line="240" w:lineRule="auto"/>
        <w:ind w:right="-90"/>
        <w:jc w:val="both"/>
        <w:rPr>
          <w:rFonts w:ascii="Times New Roman" w:hAnsi="Times New Roman"/>
          <w:b/>
          <w:sz w:val="20"/>
          <w:szCs w:val="20"/>
        </w:rPr>
      </w:pPr>
    </w:p>
    <w:p w14:paraId="268EFCBB" w14:textId="77777777" w:rsidR="008A5BEA" w:rsidRPr="00712F3C" w:rsidRDefault="008A5BEA" w:rsidP="008A5BEA">
      <w:pPr>
        <w:spacing w:after="0" w:line="240" w:lineRule="auto"/>
        <w:ind w:right="-90"/>
        <w:jc w:val="both"/>
        <w:rPr>
          <w:rFonts w:ascii="Times New Roman" w:hAnsi="Times New Roman"/>
          <w:sz w:val="20"/>
          <w:szCs w:val="20"/>
        </w:rPr>
      </w:pPr>
      <w:r w:rsidRPr="00712F3C">
        <w:rPr>
          <w:rFonts w:ascii="Times New Roman" w:hAnsi="Times New Roman"/>
          <w:sz w:val="20"/>
          <w:szCs w:val="20"/>
        </w:rPr>
        <w:t>The Company and the Book Running Lead Manager to the Issue hereby confirm that the Issue will be [●] Underwritten by the underwriter [●]</w:t>
      </w:r>
      <w:r>
        <w:rPr>
          <w:rFonts w:ascii="Times New Roman" w:hAnsi="Times New Roman"/>
          <w:sz w:val="20"/>
          <w:szCs w:val="20"/>
        </w:rPr>
        <w:t xml:space="preserve"> </w:t>
      </w:r>
      <w:r w:rsidRPr="00422D5F">
        <w:rPr>
          <w:rFonts w:ascii="Times New Roman" w:hAnsi="Times New Roman"/>
          <w:sz w:val="20"/>
          <w:szCs w:val="20"/>
        </w:rPr>
        <w:t>in the capacity of Underwriter to the issue</w:t>
      </w:r>
      <w:r w:rsidRPr="00712F3C">
        <w:rPr>
          <w:rFonts w:ascii="Times New Roman" w:hAnsi="Times New Roman"/>
          <w:sz w:val="20"/>
          <w:szCs w:val="20"/>
        </w:rPr>
        <w:t>.</w:t>
      </w:r>
    </w:p>
    <w:p w14:paraId="568248EE" w14:textId="77777777" w:rsidR="008A5BEA" w:rsidRPr="00712F3C" w:rsidRDefault="008A5BEA" w:rsidP="008A5BEA">
      <w:pPr>
        <w:spacing w:after="0" w:line="240" w:lineRule="auto"/>
        <w:ind w:right="-90"/>
        <w:jc w:val="both"/>
        <w:rPr>
          <w:rFonts w:ascii="Times New Roman" w:hAnsi="Times New Roman"/>
          <w:sz w:val="20"/>
          <w:szCs w:val="20"/>
        </w:rPr>
      </w:pPr>
      <w:r>
        <w:rPr>
          <w:rFonts w:ascii="Times New Roman" w:hAnsi="Times New Roman"/>
          <w:sz w:val="20"/>
          <w:szCs w:val="20"/>
        </w:rPr>
        <w:t xml:space="preserve"> </w:t>
      </w:r>
    </w:p>
    <w:p w14:paraId="5F34B8BD" w14:textId="77777777" w:rsidR="008A5BEA" w:rsidRPr="00712F3C" w:rsidRDefault="008A5BEA" w:rsidP="008A5BEA">
      <w:pPr>
        <w:spacing w:after="0" w:line="240" w:lineRule="auto"/>
        <w:ind w:right="-90"/>
        <w:jc w:val="both"/>
        <w:rPr>
          <w:rFonts w:ascii="Times New Roman" w:hAnsi="Times New Roman"/>
          <w:sz w:val="20"/>
          <w:szCs w:val="20"/>
        </w:rPr>
      </w:pPr>
      <w:r w:rsidRPr="00712F3C">
        <w:rPr>
          <w:rFonts w:ascii="Times New Roman" w:hAnsi="Times New Roman"/>
          <w:sz w:val="20"/>
          <w:szCs w:val="20"/>
        </w:rPr>
        <w:t xml:space="preserve">Pursuant to the terms of the Underwriting Agreement dated [●] entered into by Company, Underwriter, the obligations of the Underwriter are subject to certain conditions specified therein. The Details of the Underwriting commitments are as under: </w:t>
      </w:r>
    </w:p>
    <w:p w14:paraId="04A0022E" w14:textId="77777777" w:rsidR="008A5BEA" w:rsidRPr="00712F3C" w:rsidRDefault="008A5BEA" w:rsidP="008A5BEA">
      <w:pPr>
        <w:spacing w:after="0" w:line="240" w:lineRule="auto"/>
        <w:jc w:val="both"/>
        <w:rPr>
          <w:rFonts w:ascii="Times New Roman" w:hAnsi="Times New Roman"/>
          <w:sz w:val="20"/>
          <w:szCs w:val="20"/>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6"/>
        <w:gridCol w:w="1418"/>
        <w:gridCol w:w="2242"/>
        <w:gridCol w:w="1840"/>
      </w:tblGrid>
      <w:tr w:rsidR="008A5BEA" w:rsidRPr="00712F3C" w14:paraId="736C0567" w14:textId="77777777" w:rsidTr="00250DAC">
        <w:tc>
          <w:tcPr>
            <w:tcW w:w="4956" w:type="dxa"/>
            <w:shd w:val="clear" w:color="auto" w:fill="D0CECE" w:themeFill="background2" w:themeFillShade="E6"/>
            <w:vAlign w:val="center"/>
          </w:tcPr>
          <w:p w14:paraId="0980582F" w14:textId="77777777" w:rsidR="008A5BEA" w:rsidRPr="00712F3C" w:rsidRDefault="008A5BEA" w:rsidP="00250DAC">
            <w:pPr>
              <w:spacing w:after="0" w:line="240" w:lineRule="auto"/>
              <w:rPr>
                <w:rFonts w:ascii="Times New Roman" w:hAnsi="Times New Roman"/>
                <w:b/>
                <w:sz w:val="20"/>
                <w:szCs w:val="20"/>
              </w:rPr>
            </w:pPr>
            <w:r w:rsidRPr="00712F3C">
              <w:rPr>
                <w:rFonts w:ascii="Times New Roman" w:hAnsi="Times New Roman"/>
                <w:b/>
                <w:sz w:val="20"/>
                <w:szCs w:val="20"/>
              </w:rPr>
              <w:t>Details of the Underwriter</w:t>
            </w:r>
          </w:p>
        </w:tc>
        <w:tc>
          <w:tcPr>
            <w:tcW w:w="1418" w:type="dxa"/>
            <w:shd w:val="clear" w:color="auto" w:fill="D0CECE" w:themeFill="background2" w:themeFillShade="E6"/>
            <w:vAlign w:val="center"/>
          </w:tcPr>
          <w:p w14:paraId="1BC3C2C4" w14:textId="77777777" w:rsidR="008A5BEA" w:rsidRPr="00712F3C" w:rsidRDefault="008A5BEA" w:rsidP="00250DAC">
            <w:pPr>
              <w:spacing w:after="0" w:line="240" w:lineRule="auto"/>
              <w:jc w:val="center"/>
              <w:rPr>
                <w:rFonts w:ascii="Times New Roman" w:hAnsi="Times New Roman"/>
                <w:b/>
                <w:sz w:val="20"/>
                <w:szCs w:val="20"/>
              </w:rPr>
            </w:pPr>
            <w:r w:rsidRPr="00712F3C">
              <w:rPr>
                <w:rFonts w:ascii="Times New Roman" w:hAnsi="Times New Roman"/>
                <w:b/>
                <w:sz w:val="20"/>
                <w:szCs w:val="20"/>
              </w:rPr>
              <w:t>No. of shares underwritten</w:t>
            </w:r>
          </w:p>
        </w:tc>
        <w:tc>
          <w:tcPr>
            <w:tcW w:w="2242" w:type="dxa"/>
            <w:shd w:val="clear" w:color="auto" w:fill="D0CECE" w:themeFill="background2" w:themeFillShade="E6"/>
            <w:vAlign w:val="center"/>
          </w:tcPr>
          <w:p w14:paraId="40139BD1" w14:textId="77777777" w:rsidR="008A5BEA" w:rsidRPr="00712F3C" w:rsidRDefault="008A5BEA" w:rsidP="00250DAC">
            <w:pPr>
              <w:spacing w:after="0" w:line="240" w:lineRule="auto"/>
              <w:jc w:val="center"/>
              <w:rPr>
                <w:rFonts w:ascii="Times New Roman" w:hAnsi="Times New Roman"/>
                <w:b/>
                <w:sz w:val="20"/>
                <w:szCs w:val="20"/>
              </w:rPr>
            </w:pPr>
            <w:r w:rsidRPr="00712F3C">
              <w:rPr>
                <w:rFonts w:ascii="Times New Roman" w:hAnsi="Times New Roman"/>
                <w:b/>
                <w:sz w:val="20"/>
                <w:szCs w:val="20"/>
              </w:rPr>
              <w:t>Amount Underwritten (</w:t>
            </w:r>
            <w:r w:rsidRPr="00712F3C">
              <w:rPr>
                <w:rFonts w:ascii="Times New Roman" w:hAnsi="Times New Roman"/>
                <w:sz w:val="20"/>
                <w:szCs w:val="20"/>
              </w:rPr>
              <w:t>₹</w:t>
            </w:r>
            <w:r w:rsidRPr="00712F3C">
              <w:rPr>
                <w:rFonts w:ascii="Times New Roman" w:hAnsi="Times New Roman"/>
                <w:b/>
                <w:sz w:val="20"/>
                <w:szCs w:val="20"/>
              </w:rPr>
              <w:t xml:space="preserve"> in Lakhs)</w:t>
            </w:r>
          </w:p>
        </w:tc>
        <w:tc>
          <w:tcPr>
            <w:tcW w:w="1840" w:type="dxa"/>
            <w:shd w:val="clear" w:color="auto" w:fill="D0CECE" w:themeFill="background2" w:themeFillShade="E6"/>
            <w:vAlign w:val="center"/>
          </w:tcPr>
          <w:p w14:paraId="4B4D66C2" w14:textId="77777777" w:rsidR="008A5BEA" w:rsidRPr="00712F3C" w:rsidRDefault="008A5BEA" w:rsidP="00250DAC">
            <w:pPr>
              <w:spacing w:after="0" w:line="240" w:lineRule="auto"/>
              <w:jc w:val="center"/>
              <w:rPr>
                <w:rFonts w:ascii="Times New Roman" w:hAnsi="Times New Roman"/>
                <w:b/>
                <w:sz w:val="20"/>
                <w:szCs w:val="20"/>
              </w:rPr>
            </w:pPr>
            <w:r w:rsidRPr="00712F3C">
              <w:rPr>
                <w:rFonts w:ascii="Times New Roman" w:hAnsi="Times New Roman"/>
                <w:b/>
                <w:sz w:val="20"/>
                <w:szCs w:val="20"/>
              </w:rPr>
              <w:t>% of Total Issue Size Underwritten</w:t>
            </w:r>
          </w:p>
        </w:tc>
      </w:tr>
      <w:tr w:rsidR="008A5BEA" w:rsidRPr="00712F3C" w14:paraId="19EB7CA1" w14:textId="77777777" w:rsidTr="00250DAC">
        <w:trPr>
          <w:trHeight w:val="1871"/>
        </w:trPr>
        <w:tc>
          <w:tcPr>
            <w:tcW w:w="4956" w:type="dxa"/>
            <w:shd w:val="clear" w:color="auto" w:fill="auto"/>
            <w:vAlign w:val="center"/>
          </w:tcPr>
          <w:p w14:paraId="121833F6" w14:textId="77777777" w:rsidR="008A5BEA" w:rsidRPr="00712F3C" w:rsidRDefault="008A5BEA" w:rsidP="00250DAC">
            <w:pPr>
              <w:spacing w:after="0" w:line="240" w:lineRule="auto"/>
              <w:jc w:val="center"/>
              <w:rPr>
                <w:rFonts w:ascii="Times New Roman" w:hAnsi="Times New Roman"/>
                <w:sz w:val="20"/>
                <w:szCs w:val="20"/>
              </w:rPr>
            </w:pPr>
            <w:r w:rsidRPr="00712F3C">
              <w:rPr>
                <w:rFonts w:ascii="Times New Roman" w:hAnsi="Times New Roman"/>
                <w:sz w:val="20"/>
                <w:szCs w:val="20"/>
              </w:rPr>
              <w:t>[●]</w:t>
            </w:r>
          </w:p>
        </w:tc>
        <w:tc>
          <w:tcPr>
            <w:tcW w:w="1418" w:type="dxa"/>
            <w:shd w:val="clear" w:color="auto" w:fill="auto"/>
            <w:vAlign w:val="center"/>
          </w:tcPr>
          <w:p w14:paraId="458E1B71" w14:textId="77777777" w:rsidR="008A5BEA" w:rsidRPr="00712F3C" w:rsidRDefault="008A5BEA" w:rsidP="00250DAC">
            <w:pPr>
              <w:spacing w:after="0" w:line="240" w:lineRule="auto"/>
              <w:jc w:val="center"/>
              <w:rPr>
                <w:rFonts w:ascii="Times New Roman" w:hAnsi="Times New Roman"/>
                <w:sz w:val="20"/>
                <w:szCs w:val="20"/>
              </w:rPr>
            </w:pPr>
            <w:r w:rsidRPr="00712F3C">
              <w:rPr>
                <w:rFonts w:ascii="Times New Roman" w:hAnsi="Times New Roman"/>
                <w:sz w:val="20"/>
                <w:szCs w:val="20"/>
              </w:rPr>
              <w:t>[●]</w:t>
            </w:r>
          </w:p>
        </w:tc>
        <w:tc>
          <w:tcPr>
            <w:tcW w:w="2242" w:type="dxa"/>
            <w:shd w:val="clear" w:color="auto" w:fill="auto"/>
            <w:vAlign w:val="center"/>
          </w:tcPr>
          <w:p w14:paraId="77BF84EE" w14:textId="77777777" w:rsidR="008A5BEA" w:rsidRPr="00712F3C" w:rsidRDefault="008A5BEA" w:rsidP="00250DAC">
            <w:pPr>
              <w:spacing w:after="0" w:line="240" w:lineRule="auto"/>
              <w:jc w:val="center"/>
              <w:rPr>
                <w:rFonts w:ascii="Times New Roman" w:hAnsi="Times New Roman"/>
                <w:sz w:val="20"/>
                <w:szCs w:val="20"/>
              </w:rPr>
            </w:pPr>
            <w:r w:rsidRPr="00712F3C">
              <w:rPr>
                <w:rFonts w:ascii="Times New Roman" w:hAnsi="Times New Roman"/>
                <w:sz w:val="20"/>
                <w:szCs w:val="20"/>
              </w:rPr>
              <w:t>[●]</w:t>
            </w:r>
          </w:p>
        </w:tc>
        <w:tc>
          <w:tcPr>
            <w:tcW w:w="1840" w:type="dxa"/>
            <w:shd w:val="clear" w:color="auto" w:fill="auto"/>
            <w:vAlign w:val="center"/>
          </w:tcPr>
          <w:p w14:paraId="095B9839" w14:textId="77777777" w:rsidR="008A5BEA" w:rsidRPr="00712F3C" w:rsidRDefault="008A5BEA" w:rsidP="00250DAC">
            <w:pPr>
              <w:spacing w:after="0" w:line="240" w:lineRule="auto"/>
              <w:jc w:val="center"/>
              <w:rPr>
                <w:rFonts w:ascii="Times New Roman" w:hAnsi="Times New Roman"/>
                <w:sz w:val="20"/>
                <w:szCs w:val="20"/>
              </w:rPr>
            </w:pPr>
            <w:r w:rsidRPr="00712F3C">
              <w:rPr>
                <w:rFonts w:ascii="Times New Roman" w:hAnsi="Times New Roman"/>
                <w:sz w:val="20"/>
                <w:szCs w:val="20"/>
              </w:rPr>
              <w:t>[●]</w:t>
            </w:r>
          </w:p>
        </w:tc>
      </w:tr>
    </w:tbl>
    <w:p w14:paraId="7A18EF9F" w14:textId="77777777" w:rsidR="008A5BEA" w:rsidRPr="00712F3C" w:rsidRDefault="008A5BEA" w:rsidP="008A5BEA">
      <w:pPr>
        <w:spacing w:after="0" w:line="240" w:lineRule="auto"/>
        <w:ind w:right="-90"/>
        <w:jc w:val="both"/>
        <w:rPr>
          <w:rFonts w:ascii="Times New Roman" w:hAnsi="Times New Roman"/>
          <w:i/>
          <w:sz w:val="20"/>
          <w:szCs w:val="20"/>
        </w:rPr>
      </w:pPr>
      <w:r w:rsidRPr="00712F3C">
        <w:rPr>
          <w:rFonts w:ascii="Times New Roman" w:hAnsi="Times New Roman"/>
          <w:i/>
          <w:sz w:val="20"/>
          <w:szCs w:val="20"/>
        </w:rPr>
        <w:t xml:space="preserve">*Includes [●] Equity Shares of the Market Maker Reservation Portion which are to be subscribed by the Market Maker, [●] in its own account in order to claim compliance with the requirements of Regulation 261 of the SEBI (ICDR) Regulations, 2018, as amended. </w:t>
      </w:r>
    </w:p>
    <w:p w14:paraId="047B3409" w14:textId="77777777" w:rsidR="008A5BEA" w:rsidRPr="00712F3C" w:rsidRDefault="008A5BEA" w:rsidP="008A5BEA">
      <w:pPr>
        <w:spacing w:after="0" w:line="240" w:lineRule="auto"/>
        <w:ind w:right="-90"/>
        <w:jc w:val="both"/>
        <w:rPr>
          <w:rFonts w:ascii="Times New Roman" w:hAnsi="Times New Roman"/>
          <w:sz w:val="20"/>
          <w:szCs w:val="20"/>
        </w:rPr>
      </w:pPr>
      <w:r w:rsidRPr="00712F3C">
        <w:rPr>
          <w:rFonts w:ascii="Times New Roman" w:hAnsi="Times New Roman"/>
          <w:sz w:val="20"/>
          <w:szCs w:val="20"/>
        </w:rPr>
        <w:t>In the opinion of the Board of Directors of our Company, the resources of the above</w:t>
      </w:r>
      <w:r>
        <w:rPr>
          <w:rFonts w:ascii="Times New Roman" w:hAnsi="Times New Roman"/>
          <w:sz w:val="20"/>
          <w:szCs w:val="20"/>
        </w:rPr>
        <w:t>-</w:t>
      </w:r>
      <w:r w:rsidRPr="00712F3C">
        <w:rPr>
          <w:rFonts w:ascii="Times New Roman" w:hAnsi="Times New Roman"/>
          <w:sz w:val="20"/>
          <w:szCs w:val="20"/>
        </w:rPr>
        <w:t>mentioned Underwriter are sufficient to enable them to discharge their respective obligations in full.</w:t>
      </w:r>
    </w:p>
    <w:p w14:paraId="0587EDAD" w14:textId="77777777" w:rsidR="008A5BEA" w:rsidRPr="00712F3C" w:rsidRDefault="008A5BEA" w:rsidP="008A5BEA">
      <w:pPr>
        <w:spacing w:after="0" w:line="240" w:lineRule="auto"/>
        <w:ind w:right="-90"/>
        <w:jc w:val="both"/>
        <w:rPr>
          <w:rFonts w:ascii="Times New Roman" w:hAnsi="Times New Roman"/>
          <w:b/>
          <w:sz w:val="20"/>
          <w:szCs w:val="20"/>
        </w:rPr>
      </w:pPr>
    </w:p>
    <w:p w14:paraId="4AB5C65C" w14:textId="77777777" w:rsidR="008A5BEA" w:rsidRPr="00712F3C" w:rsidRDefault="008A5BEA" w:rsidP="008A5BEA">
      <w:pPr>
        <w:spacing w:after="0" w:line="240" w:lineRule="auto"/>
        <w:ind w:right="-90"/>
        <w:jc w:val="both"/>
        <w:rPr>
          <w:rFonts w:ascii="Times New Roman" w:hAnsi="Times New Roman"/>
          <w:b/>
          <w:sz w:val="20"/>
          <w:szCs w:val="20"/>
        </w:rPr>
      </w:pPr>
      <w:r w:rsidRPr="00712F3C">
        <w:rPr>
          <w:rFonts w:ascii="Times New Roman" w:hAnsi="Times New Roman"/>
          <w:b/>
          <w:sz w:val="20"/>
          <w:szCs w:val="20"/>
        </w:rPr>
        <w:lastRenderedPageBreak/>
        <w:t xml:space="preserve">Change in Auditors during the last three (3) years </w:t>
      </w:r>
    </w:p>
    <w:p w14:paraId="3A87A052" w14:textId="77777777" w:rsidR="008A5BEA" w:rsidRPr="00712F3C" w:rsidRDefault="008A5BEA" w:rsidP="008A5BEA">
      <w:pPr>
        <w:spacing w:after="0" w:line="240" w:lineRule="auto"/>
        <w:ind w:right="-90"/>
        <w:jc w:val="both"/>
        <w:rPr>
          <w:rFonts w:ascii="Times New Roman" w:hAnsi="Times New Roman"/>
          <w:b/>
          <w:sz w:val="20"/>
          <w:szCs w:val="20"/>
        </w:rPr>
      </w:pPr>
    </w:p>
    <w:p w14:paraId="001E4F05" w14:textId="77777777" w:rsidR="008A5BEA" w:rsidRPr="00712F3C" w:rsidRDefault="008A5BEA" w:rsidP="008A5BEA">
      <w:pPr>
        <w:spacing w:after="0" w:line="240" w:lineRule="auto"/>
        <w:ind w:right="-90"/>
        <w:jc w:val="both"/>
        <w:rPr>
          <w:rFonts w:ascii="Times New Roman" w:hAnsi="Times New Roman"/>
          <w:sz w:val="20"/>
          <w:szCs w:val="20"/>
        </w:rPr>
      </w:pPr>
      <w:r w:rsidRPr="00712F3C">
        <w:rPr>
          <w:rFonts w:ascii="Times New Roman" w:hAnsi="Times New Roman"/>
          <w:sz w:val="20"/>
          <w:szCs w:val="20"/>
        </w:rPr>
        <w:t>There has been no change in our Company</w:t>
      </w:r>
      <w:r>
        <w:rPr>
          <w:rFonts w:ascii="Times New Roman" w:hAnsi="Times New Roman"/>
          <w:sz w:val="20"/>
          <w:szCs w:val="20"/>
        </w:rPr>
        <w:t>’</w:t>
      </w:r>
      <w:r w:rsidRPr="00712F3C">
        <w:rPr>
          <w:rFonts w:ascii="Times New Roman" w:hAnsi="Times New Roman"/>
          <w:sz w:val="20"/>
          <w:szCs w:val="20"/>
        </w:rPr>
        <w:t>s auditors in the last three (3) years.</w:t>
      </w:r>
    </w:p>
    <w:p w14:paraId="25CA3581" w14:textId="77777777" w:rsidR="008A5BEA" w:rsidRPr="00712F3C" w:rsidRDefault="008A5BEA" w:rsidP="008A5BEA">
      <w:pPr>
        <w:spacing w:after="0" w:line="240" w:lineRule="auto"/>
        <w:ind w:right="-90"/>
        <w:jc w:val="both"/>
        <w:rPr>
          <w:rFonts w:ascii="Times New Roman" w:hAnsi="Times New Roman"/>
          <w:sz w:val="20"/>
          <w:szCs w:val="20"/>
        </w:rPr>
      </w:pPr>
    </w:p>
    <w:p w14:paraId="597362AA" w14:textId="77777777" w:rsidR="008A5BEA" w:rsidRPr="00712F3C" w:rsidRDefault="008A5BEA" w:rsidP="008A5BEA">
      <w:pPr>
        <w:spacing w:after="0" w:line="240" w:lineRule="auto"/>
        <w:ind w:right="-90"/>
        <w:rPr>
          <w:rFonts w:ascii="Times New Roman" w:hAnsi="Times New Roman"/>
          <w:b/>
          <w:sz w:val="20"/>
          <w:szCs w:val="20"/>
        </w:rPr>
      </w:pPr>
      <w:r w:rsidRPr="00712F3C">
        <w:rPr>
          <w:rFonts w:ascii="Times New Roman" w:hAnsi="Times New Roman"/>
          <w:b/>
          <w:sz w:val="20"/>
          <w:szCs w:val="20"/>
        </w:rPr>
        <w:t>Details of the Market Making arrangement for this Issue</w:t>
      </w:r>
    </w:p>
    <w:p w14:paraId="3A9D02F4" w14:textId="77777777" w:rsidR="008A5BEA" w:rsidRPr="00712F3C" w:rsidRDefault="008A5BEA" w:rsidP="008A5BEA">
      <w:pPr>
        <w:spacing w:after="0" w:line="240" w:lineRule="auto"/>
        <w:ind w:right="-90"/>
        <w:jc w:val="both"/>
        <w:rPr>
          <w:rFonts w:ascii="Times New Roman" w:hAnsi="Times New Roman"/>
          <w:sz w:val="20"/>
          <w:szCs w:val="20"/>
        </w:rPr>
      </w:pPr>
    </w:p>
    <w:p w14:paraId="34871366" w14:textId="77777777" w:rsidR="008A5BEA" w:rsidRPr="00712F3C" w:rsidRDefault="008A5BEA" w:rsidP="008A5BEA">
      <w:pPr>
        <w:spacing w:after="0" w:line="240" w:lineRule="auto"/>
        <w:ind w:right="-90"/>
        <w:jc w:val="both"/>
        <w:rPr>
          <w:rFonts w:ascii="Times New Roman" w:hAnsi="Times New Roman"/>
          <w:sz w:val="20"/>
          <w:szCs w:val="20"/>
        </w:rPr>
      </w:pPr>
      <w:r w:rsidRPr="00712F3C">
        <w:rPr>
          <w:rFonts w:ascii="Times New Roman" w:hAnsi="Times New Roman"/>
          <w:sz w:val="20"/>
          <w:szCs w:val="20"/>
        </w:rPr>
        <w:t xml:space="preserve">Our Company and the BRLM has entered into Market Making Agreement dated [●] with the following Market Maker, </w:t>
      </w:r>
      <w:r w:rsidRPr="00422D5F">
        <w:rPr>
          <w:rFonts w:ascii="Times New Roman" w:hAnsi="Times New Roman"/>
          <w:sz w:val="20"/>
          <w:szCs w:val="20"/>
        </w:rPr>
        <w:t>for fulfilling the Market</w:t>
      </w:r>
      <w:r>
        <w:rPr>
          <w:rFonts w:ascii="Times New Roman" w:hAnsi="Times New Roman"/>
          <w:sz w:val="20"/>
          <w:szCs w:val="20"/>
        </w:rPr>
        <w:t xml:space="preserve"> </w:t>
      </w:r>
      <w:r w:rsidRPr="00422D5F">
        <w:rPr>
          <w:rFonts w:ascii="Times New Roman" w:hAnsi="Times New Roman"/>
          <w:sz w:val="20"/>
          <w:szCs w:val="20"/>
        </w:rPr>
        <w:t>Making obligations under this Issue</w:t>
      </w:r>
      <w:r>
        <w:rPr>
          <w:rFonts w:ascii="Times New Roman" w:hAnsi="Times New Roman"/>
          <w:sz w:val="20"/>
          <w:szCs w:val="20"/>
        </w:rPr>
        <w:t>:</w:t>
      </w:r>
    </w:p>
    <w:p w14:paraId="3CFFF1D8" w14:textId="77777777" w:rsidR="008A5BEA" w:rsidRPr="00712F3C" w:rsidRDefault="008A5BEA" w:rsidP="008A5BEA">
      <w:pPr>
        <w:spacing w:after="0" w:line="240" w:lineRule="auto"/>
        <w:rPr>
          <w:rFonts w:ascii="Times New Roman" w:hAnsi="Times New Roman"/>
          <w:sz w:val="20"/>
          <w:szCs w:val="20"/>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14"/>
        <w:gridCol w:w="6642"/>
      </w:tblGrid>
      <w:tr w:rsidR="008A5BEA" w:rsidRPr="00712F3C" w14:paraId="4FF6C3FC" w14:textId="77777777" w:rsidTr="00250DAC">
        <w:tc>
          <w:tcPr>
            <w:tcW w:w="3814" w:type="dxa"/>
            <w:shd w:val="clear" w:color="auto" w:fill="D0CECE"/>
            <w:vAlign w:val="center"/>
          </w:tcPr>
          <w:p w14:paraId="41EDB161" w14:textId="77777777" w:rsidR="008A5BEA" w:rsidRPr="00712F3C" w:rsidRDefault="008A5BEA" w:rsidP="00250DAC">
            <w:pPr>
              <w:spacing w:after="0" w:line="240" w:lineRule="auto"/>
              <w:rPr>
                <w:rFonts w:ascii="Times New Roman" w:hAnsi="Times New Roman"/>
                <w:b/>
                <w:sz w:val="20"/>
                <w:szCs w:val="20"/>
              </w:rPr>
            </w:pPr>
            <w:r w:rsidRPr="00712F3C">
              <w:rPr>
                <w:rFonts w:ascii="Times New Roman" w:hAnsi="Times New Roman"/>
                <w:b/>
                <w:sz w:val="20"/>
                <w:szCs w:val="20"/>
              </w:rPr>
              <w:t>Name</w:t>
            </w:r>
          </w:p>
        </w:tc>
        <w:tc>
          <w:tcPr>
            <w:tcW w:w="6642" w:type="dxa"/>
            <w:vMerge w:val="restart"/>
            <w:vAlign w:val="center"/>
          </w:tcPr>
          <w:p w14:paraId="56BA9BC5" w14:textId="77777777" w:rsidR="008A5BEA" w:rsidRPr="00712F3C" w:rsidRDefault="008A5BEA" w:rsidP="00250DAC">
            <w:pPr>
              <w:spacing w:after="0" w:line="240" w:lineRule="auto"/>
              <w:jc w:val="center"/>
              <w:rPr>
                <w:rFonts w:ascii="Times New Roman" w:hAnsi="Times New Roman"/>
                <w:b/>
                <w:sz w:val="20"/>
                <w:szCs w:val="20"/>
              </w:rPr>
            </w:pPr>
            <w:r w:rsidRPr="00712F3C">
              <w:rPr>
                <w:rFonts w:ascii="Times New Roman" w:hAnsi="Times New Roman"/>
                <w:sz w:val="20"/>
                <w:szCs w:val="20"/>
              </w:rPr>
              <w:t>[●]</w:t>
            </w:r>
          </w:p>
        </w:tc>
      </w:tr>
      <w:tr w:rsidR="008A5BEA" w:rsidRPr="00712F3C" w14:paraId="73D21E06" w14:textId="77777777" w:rsidTr="00250DAC">
        <w:tc>
          <w:tcPr>
            <w:tcW w:w="3814" w:type="dxa"/>
            <w:shd w:val="clear" w:color="auto" w:fill="D0CECE"/>
            <w:vAlign w:val="center"/>
          </w:tcPr>
          <w:p w14:paraId="48C97835" w14:textId="77777777" w:rsidR="008A5BEA" w:rsidRPr="00712F3C" w:rsidRDefault="008A5BEA" w:rsidP="00250DAC">
            <w:pPr>
              <w:spacing w:after="0" w:line="240" w:lineRule="auto"/>
              <w:rPr>
                <w:rFonts w:ascii="Times New Roman" w:hAnsi="Times New Roman"/>
                <w:b/>
                <w:sz w:val="20"/>
                <w:szCs w:val="20"/>
              </w:rPr>
            </w:pPr>
            <w:r w:rsidRPr="00712F3C">
              <w:rPr>
                <w:rFonts w:ascii="Times New Roman" w:hAnsi="Times New Roman"/>
                <w:b/>
                <w:sz w:val="20"/>
                <w:szCs w:val="20"/>
              </w:rPr>
              <w:t>Correspondence Address</w:t>
            </w:r>
          </w:p>
        </w:tc>
        <w:tc>
          <w:tcPr>
            <w:tcW w:w="6642" w:type="dxa"/>
            <w:vMerge/>
            <w:vAlign w:val="center"/>
          </w:tcPr>
          <w:p w14:paraId="7415650A" w14:textId="77777777" w:rsidR="008A5BEA" w:rsidRPr="00712F3C" w:rsidRDefault="008A5BEA" w:rsidP="00250DAC">
            <w:pPr>
              <w:widowControl w:val="0"/>
              <w:pBdr>
                <w:top w:val="nil"/>
                <w:left w:val="nil"/>
                <w:bottom w:val="nil"/>
                <w:right w:val="nil"/>
                <w:between w:val="nil"/>
              </w:pBdr>
              <w:spacing w:after="0" w:line="240" w:lineRule="auto"/>
              <w:rPr>
                <w:rFonts w:ascii="Times New Roman" w:hAnsi="Times New Roman"/>
                <w:b/>
                <w:sz w:val="20"/>
                <w:szCs w:val="20"/>
              </w:rPr>
            </w:pPr>
          </w:p>
        </w:tc>
      </w:tr>
      <w:tr w:rsidR="008A5BEA" w:rsidRPr="00712F3C" w14:paraId="5C019CC1" w14:textId="77777777" w:rsidTr="00250DAC">
        <w:tc>
          <w:tcPr>
            <w:tcW w:w="3814" w:type="dxa"/>
            <w:shd w:val="clear" w:color="auto" w:fill="D0CECE"/>
            <w:vAlign w:val="center"/>
          </w:tcPr>
          <w:p w14:paraId="5ED6D3E0" w14:textId="77777777" w:rsidR="008A5BEA" w:rsidRPr="00712F3C" w:rsidRDefault="008A5BEA" w:rsidP="00250DAC">
            <w:pPr>
              <w:spacing w:after="0" w:line="240" w:lineRule="auto"/>
              <w:rPr>
                <w:rFonts w:ascii="Times New Roman" w:hAnsi="Times New Roman"/>
                <w:b/>
                <w:sz w:val="20"/>
                <w:szCs w:val="20"/>
              </w:rPr>
            </w:pPr>
            <w:r w:rsidRPr="00712F3C">
              <w:rPr>
                <w:rFonts w:ascii="Times New Roman" w:hAnsi="Times New Roman"/>
                <w:b/>
                <w:sz w:val="20"/>
                <w:szCs w:val="20"/>
              </w:rPr>
              <w:t>Tel No.</w:t>
            </w:r>
          </w:p>
        </w:tc>
        <w:tc>
          <w:tcPr>
            <w:tcW w:w="6642" w:type="dxa"/>
            <w:vMerge/>
            <w:vAlign w:val="center"/>
          </w:tcPr>
          <w:p w14:paraId="728B106A" w14:textId="77777777" w:rsidR="008A5BEA" w:rsidRPr="00712F3C" w:rsidRDefault="008A5BEA" w:rsidP="00250DAC">
            <w:pPr>
              <w:widowControl w:val="0"/>
              <w:pBdr>
                <w:top w:val="nil"/>
                <w:left w:val="nil"/>
                <w:bottom w:val="nil"/>
                <w:right w:val="nil"/>
                <w:between w:val="nil"/>
              </w:pBdr>
              <w:spacing w:after="0" w:line="240" w:lineRule="auto"/>
              <w:rPr>
                <w:rFonts w:ascii="Times New Roman" w:hAnsi="Times New Roman"/>
                <w:b/>
                <w:sz w:val="20"/>
                <w:szCs w:val="20"/>
              </w:rPr>
            </w:pPr>
          </w:p>
        </w:tc>
      </w:tr>
      <w:tr w:rsidR="008A5BEA" w:rsidRPr="00712F3C" w14:paraId="600AF186" w14:textId="77777777" w:rsidTr="00250DAC">
        <w:tc>
          <w:tcPr>
            <w:tcW w:w="3814" w:type="dxa"/>
            <w:shd w:val="clear" w:color="auto" w:fill="D0CECE"/>
            <w:vAlign w:val="center"/>
          </w:tcPr>
          <w:p w14:paraId="44E787D5" w14:textId="77777777" w:rsidR="008A5BEA" w:rsidRPr="00712F3C" w:rsidRDefault="008A5BEA" w:rsidP="00250DAC">
            <w:pPr>
              <w:spacing w:after="0" w:line="240" w:lineRule="auto"/>
              <w:rPr>
                <w:rFonts w:ascii="Times New Roman" w:hAnsi="Times New Roman"/>
                <w:b/>
                <w:sz w:val="20"/>
                <w:szCs w:val="20"/>
              </w:rPr>
            </w:pPr>
            <w:r w:rsidRPr="00712F3C">
              <w:rPr>
                <w:rFonts w:ascii="Times New Roman" w:hAnsi="Times New Roman"/>
                <w:b/>
                <w:sz w:val="20"/>
                <w:szCs w:val="20"/>
              </w:rPr>
              <w:t>E-mail</w:t>
            </w:r>
          </w:p>
        </w:tc>
        <w:tc>
          <w:tcPr>
            <w:tcW w:w="6642" w:type="dxa"/>
            <w:vMerge/>
            <w:vAlign w:val="center"/>
          </w:tcPr>
          <w:p w14:paraId="0152C98E" w14:textId="77777777" w:rsidR="008A5BEA" w:rsidRPr="00712F3C" w:rsidRDefault="008A5BEA" w:rsidP="00250DAC">
            <w:pPr>
              <w:widowControl w:val="0"/>
              <w:pBdr>
                <w:top w:val="nil"/>
                <w:left w:val="nil"/>
                <w:bottom w:val="nil"/>
                <w:right w:val="nil"/>
                <w:between w:val="nil"/>
              </w:pBdr>
              <w:spacing w:after="0" w:line="240" w:lineRule="auto"/>
              <w:rPr>
                <w:rFonts w:ascii="Times New Roman" w:hAnsi="Times New Roman"/>
                <w:b/>
                <w:sz w:val="20"/>
                <w:szCs w:val="20"/>
              </w:rPr>
            </w:pPr>
          </w:p>
        </w:tc>
      </w:tr>
      <w:tr w:rsidR="008A5BEA" w:rsidRPr="00712F3C" w14:paraId="1D83C0CB" w14:textId="77777777" w:rsidTr="00250DAC">
        <w:tc>
          <w:tcPr>
            <w:tcW w:w="3814" w:type="dxa"/>
            <w:shd w:val="clear" w:color="auto" w:fill="D0CECE"/>
            <w:vAlign w:val="center"/>
          </w:tcPr>
          <w:p w14:paraId="1EE09094" w14:textId="77777777" w:rsidR="008A5BEA" w:rsidRPr="00712F3C" w:rsidRDefault="008A5BEA" w:rsidP="00250DAC">
            <w:pPr>
              <w:spacing w:after="0" w:line="240" w:lineRule="auto"/>
              <w:rPr>
                <w:rFonts w:ascii="Times New Roman" w:hAnsi="Times New Roman"/>
                <w:b/>
                <w:sz w:val="20"/>
                <w:szCs w:val="20"/>
              </w:rPr>
            </w:pPr>
            <w:r w:rsidRPr="00712F3C">
              <w:rPr>
                <w:rFonts w:ascii="Times New Roman" w:hAnsi="Times New Roman"/>
                <w:b/>
                <w:sz w:val="20"/>
                <w:szCs w:val="20"/>
              </w:rPr>
              <w:t>Website</w:t>
            </w:r>
          </w:p>
        </w:tc>
        <w:tc>
          <w:tcPr>
            <w:tcW w:w="6642" w:type="dxa"/>
            <w:vMerge/>
            <w:vAlign w:val="center"/>
          </w:tcPr>
          <w:p w14:paraId="2817361D" w14:textId="77777777" w:rsidR="008A5BEA" w:rsidRPr="00712F3C" w:rsidRDefault="008A5BEA" w:rsidP="00250DAC">
            <w:pPr>
              <w:widowControl w:val="0"/>
              <w:pBdr>
                <w:top w:val="nil"/>
                <w:left w:val="nil"/>
                <w:bottom w:val="nil"/>
                <w:right w:val="nil"/>
                <w:between w:val="nil"/>
              </w:pBdr>
              <w:spacing w:after="0" w:line="240" w:lineRule="auto"/>
              <w:rPr>
                <w:rFonts w:ascii="Times New Roman" w:hAnsi="Times New Roman"/>
                <w:b/>
                <w:sz w:val="20"/>
                <w:szCs w:val="20"/>
              </w:rPr>
            </w:pPr>
          </w:p>
        </w:tc>
      </w:tr>
      <w:tr w:rsidR="008A5BEA" w:rsidRPr="00712F3C" w14:paraId="75AA234C" w14:textId="77777777" w:rsidTr="00250DAC">
        <w:tc>
          <w:tcPr>
            <w:tcW w:w="3814" w:type="dxa"/>
            <w:shd w:val="clear" w:color="auto" w:fill="D0CECE"/>
            <w:vAlign w:val="center"/>
          </w:tcPr>
          <w:p w14:paraId="6287DF72" w14:textId="77777777" w:rsidR="008A5BEA" w:rsidRPr="00712F3C" w:rsidRDefault="008A5BEA" w:rsidP="00250DAC">
            <w:pPr>
              <w:spacing w:after="0" w:line="240" w:lineRule="auto"/>
              <w:rPr>
                <w:rFonts w:ascii="Times New Roman" w:hAnsi="Times New Roman"/>
                <w:b/>
                <w:sz w:val="20"/>
                <w:szCs w:val="20"/>
              </w:rPr>
            </w:pPr>
            <w:r w:rsidRPr="00712F3C">
              <w:rPr>
                <w:rFonts w:ascii="Times New Roman" w:hAnsi="Times New Roman"/>
                <w:b/>
                <w:sz w:val="20"/>
                <w:szCs w:val="20"/>
              </w:rPr>
              <w:t>Contact Person</w:t>
            </w:r>
          </w:p>
        </w:tc>
        <w:tc>
          <w:tcPr>
            <w:tcW w:w="6642" w:type="dxa"/>
            <w:vMerge/>
            <w:vAlign w:val="center"/>
          </w:tcPr>
          <w:p w14:paraId="1193FEFE" w14:textId="77777777" w:rsidR="008A5BEA" w:rsidRPr="00712F3C" w:rsidRDefault="008A5BEA" w:rsidP="00250DAC">
            <w:pPr>
              <w:widowControl w:val="0"/>
              <w:pBdr>
                <w:top w:val="nil"/>
                <w:left w:val="nil"/>
                <w:bottom w:val="nil"/>
                <w:right w:val="nil"/>
                <w:between w:val="nil"/>
              </w:pBdr>
              <w:spacing w:after="0" w:line="240" w:lineRule="auto"/>
              <w:rPr>
                <w:rFonts w:ascii="Times New Roman" w:hAnsi="Times New Roman"/>
                <w:b/>
                <w:sz w:val="20"/>
                <w:szCs w:val="20"/>
              </w:rPr>
            </w:pPr>
          </w:p>
        </w:tc>
      </w:tr>
      <w:tr w:rsidR="008A5BEA" w:rsidRPr="00712F3C" w14:paraId="6807215D" w14:textId="77777777" w:rsidTr="00250DAC">
        <w:tc>
          <w:tcPr>
            <w:tcW w:w="3814" w:type="dxa"/>
            <w:shd w:val="clear" w:color="auto" w:fill="D0CECE"/>
            <w:vAlign w:val="center"/>
          </w:tcPr>
          <w:p w14:paraId="1B191053" w14:textId="77777777" w:rsidR="008A5BEA" w:rsidRPr="00712F3C" w:rsidRDefault="008A5BEA" w:rsidP="00250DAC">
            <w:pPr>
              <w:spacing w:after="0" w:line="240" w:lineRule="auto"/>
              <w:rPr>
                <w:rFonts w:ascii="Times New Roman" w:hAnsi="Times New Roman"/>
                <w:b/>
                <w:sz w:val="20"/>
                <w:szCs w:val="20"/>
              </w:rPr>
            </w:pPr>
            <w:r w:rsidRPr="00712F3C">
              <w:rPr>
                <w:rFonts w:ascii="Times New Roman" w:hAnsi="Times New Roman"/>
                <w:b/>
                <w:sz w:val="20"/>
                <w:szCs w:val="20"/>
              </w:rPr>
              <w:t>SEBI Registration No.</w:t>
            </w:r>
          </w:p>
        </w:tc>
        <w:tc>
          <w:tcPr>
            <w:tcW w:w="6642" w:type="dxa"/>
            <w:vMerge/>
            <w:vAlign w:val="center"/>
          </w:tcPr>
          <w:p w14:paraId="2B94016B" w14:textId="77777777" w:rsidR="008A5BEA" w:rsidRPr="00712F3C" w:rsidRDefault="008A5BEA" w:rsidP="00250DAC">
            <w:pPr>
              <w:widowControl w:val="0"/>
              <w:pBdr>
                <w:top w:val="nil"/>
                <w:left w:val="nil"/>
                <w:bottom w:val="nil"/>
                <w:right w:val="nil"/>
                <w:between w:val="nil"/>
              </w:pBdr>
              <w:spacing w:after="0" w:line="240" w:lineRule="auto"/>
              <w:rPr>
                <w:rFonts w:ascii="Times New Roman" w:hAnsi="Times New Roman"/>
                <w:b/>
                <w:sz w:val="20"/>
                <w:szCs w:val="20"/>
              </w:rPr>
            </w:pPr>
          </w:p>
        </w:tc>
      </w:tr>
      <w:tr w:rsidR="008A5BEA" w:rsidRPr="00712F3C" w14:paraId="5B5EC808" w14:textId="77777777" w:rsidTr="00250DAC">
        <w:tc>
          <w:tcPr>
            <w:tcW w:w="3814" w:type="dxa"/>
            <w:shd w:val="clear" w:color="auto" w:fill="D0CECE"/>
            <w:vAlign w:val="center"/>
          </w:tcPr>
          <w:p w14:paraId="7497CF2A" w14:textId="77777777" w:rsidR="008A5BEA" w:rsidRPr="00712F3C" w:rsidRDefault="008A5BEA" w:rsidP="00250DAC">
            <w:pPr>
              <w:spacing w:after="0" w:line="240" w:lineRule="auto"/>
              <w:rPr>
                <w:rFonts w:ascii="Times New Roman" w:hAnsi="Times New Roman"/>
                <w:b/>
                <w:sz w:val="20"/>
                <w:szCs w:val="20"/>
              </w:rPr>
            </w:pPr>
            <w:r w:rsidRPr="00712F3C">
              <w:rPr>
                <w:rFonts w:ascii="Times New Roman" w:hAnsi="Times New Roman"/>
                <w:b/>
                <w:sz w:val="20"/>
                <w:szCs w:val="20"/>
              </w:rPr>
              <w:t>Market Maker Registration No.</w:t>
            </w:r>
          </w:p>
        </w:tc>
        <w:tc>
          <w:tcPr>
            <w:tcW w:w="6642" w:type="dxa"/>
            <w:vMerge/>
            <w:vAlign w:val="center"/>
          </w:tcPr>
          <w:p w14:paraId="7EF36B0D" w14:textId="77777777" w:rsidR="008A5BEA" w:rsidRPr="00712F3C" w:rsidRDefault="008A5BEA" w:rsidP="00250DAC">
            <w:pPr>
              <w:widowControl w:val="0"/>
              <w:pBdr>
                <w:top w:val="nil"/>
                <w:left w:val="nil"/>
                <w:bottom w:val="nil"/>
                <w:right w:val="nil"/>
                <w:between w:val="nil"/>
              </w:pBdr>
              <w:spacing w:after="0" w:line="240" w:lineRule="auto"/>
              <w:rPr>
                <w:rFonts w:ascii="Times New Roman" w:hAnsi="Times New Roman"/>
                <w:b/>
                <w:sz w:val="20"/>
                <w:szCs w:val="20"/>
              </w:rPr>
            </w:pPr>
          </w:p>
        </w:tc>
      </w:tr>
    </w:tbl>
    <w:p w14:paraId="5E2CD3EA" w14:textId="77777777" w:rsidR="008A5BEA" w:rsidRPr="00712F3C" w:rsidRDefault="008A5BEA" w:rsidP="008A5BEA">
      <w:pPr>
        <w:spacing w:after="0" w:line="240" w:lineRule="auto"/>
        <w:rPr>
          <w:rFonts w:ascii="Times New Roman" w:hAnsi="Times New Roman"/>
          <w:sz w:val="20"/>
          <w:szCs w:val="20"/>
        </w:rPr>
      </w:pPr>
    </w:p>
    <w:p w14:paraId="78CA9F41" w14:textId="77777777" w:rsidR="008A5BEA" w:rsidRPr="00712F3C" w:rsidRDefault="008A5BEA" w:rsidP="008A5BEA">
      <w:pPr>
        <w:spacing w:after="0" w:line="240" w:lineRule="auto"/>
        <w:jc w:val="both"/>
        <w:rPr>
          <w:rFonts w:ascii="Times New Roman" w:hAnsi="Times New Roman"/>
          <w:sz w:val="20"/>
          <w:szCs w:val="20"/>
        </w:rPr>
      </w:pPr>
      <w:r w:rsidRPr="00712F3C">
        <w:rPr>
          <w:rFonts w:ascii="Times New Roman" w:hAnsi="Times New Roman"/>
          <w:sz w:val="20"/>
          <w:szCs w:val="20"/>
        </w:rPr>
        <w:t xml:space="preserve">The Market Maker shall fulfill the applicable obligations and conditions as specified in the SEBI (ICDR) Regulations, and its amendments from time to time and the circulars issued by the BSE and SEBI regarding this matter from time to time. </w:t>
      </w:r>
    </w:p>
    <w:p w14:paraId="104C8C5C" w14:textId="77777777" w:rsidR="008A5BEA" w:rsidRPr="00712F3C" w:rsidRDefault="008A5BEA" w:rsidP="008A5BEA">
      <w:pPr>
        <w:spacing w:after="0" w:line="240" w:lineRule="auto"/>
        <w:jc w:val="both"/>
        <w:rPr>
          <w:rFonts w:ascii="Times New Roman" w:hAnsi="Times New Roman"/>
          <w:sz w:val="20"/>
          <w:szCs w:val="20"/>
        </w:rPr>
      </w:pPr>
    </w:p>
    <w:p w14:paraId="63B14FC1" w14:textId="77777777" w:rsidR="008A5BEA" w:rsidRPr="00712F3C" w:rsidRDefault="008A5BEA" w:rsidP="008A5BEA">
      <w:pPr>
        <w:spacing w:after="0" w:line="240" w:lineRule="auto"/>
        <w:jc w:val="both"/>
        <w:rPr>
          <w:rFonts w:ascii="Times New Roman" w:hAnsi="Times New Roman"/>
          <w:b/>
          <w:sz w:val="20"/>
          <w:szCs w:val="20"/>
        </w:rPr>
      </w:pPr>
      <w:r w:rsidRPr="00712F3C">
        <w:rPr>
          <w:rFonts w:ascii="Times New Roman" w:hAnsi="Times New Roman"/>
          <w:b/>
          <w:sz w:val="20"/>
          <w:szCs w:val="20"/>
        </w:rPr>
        <w:t xml:space="preserve">Following is a summary of the key details pertaining to the Market making arrangement: </w:t>
      </w:r>
    </w:p>
    <w:p w14:paraId="244D9102" w14:textId="77777777" w:rsidR="008A5BEA" w:rsidRPr="00712F3C" w:rsidRDefault="008A5BEA" w:rsidP="008A5BEA">
      <w:pPr>
        <w:spacing w:after="0" w:line="240" w:lineRule="auto"/>
        <w:ind w:left="-90"/>
        <w:jc w:val="both"/>
        <w:rPr>
          <w:rFonts w:ascii="Times New Roman" w:hAnsi="Times New Roman"/>
          <w:sz w:val="20"/>
          <w:szCs w:val="20"/>
        </w:rPr>
      </w:pPr>
    </w:p>
    <w:p w14:paraId="4EC0B0CC" w14:textId="77777777" w:rsidR="008A5BEA" w:rsidRPr="00422D5F" w:rsidRDefault="008A5BEA" w:rsidP="00F038BD">
      <w:pPr>
        <w:numPr>
          <w:ilvl w:val="0"/>
          <w:numId w:val="152"/>
        </w:numPr>
        <w:spacing w:after="0" w:line="240" w:lineRule="auto"/>
        <w:ind w:left="270" w:hanging="270"/>
        <w:jc w:val="both"/>
        <w:rPr>
          <w:rFonts w:ascii="Times New Roman" w:hAnsi="Times New Roman"/>
          <w:sz w:val="20"/>
          <w:szCs w:val="20"/>
        </w:rPr>
      </w:pPr>
      <w:r w:rsidRPr="00422D5F">
        <w:rPr>
          <w:rFonts w:ascii="Times New Roman" w:hAnsi="Times New Roman"/>
          <w:sz w:val="20"/>
          <w:szCs w:val="20"/>
        </w:rPr>
        <w:t>The Market Maker(s)</w:t>
      </w:r>
      <w:r>
        <w:rPr>
          <w:rFonts w:ascii="Times New Roman" w:hAnsi="Times New Roman"/>
          <w:sz w:val="20"/>
          <w:szCs w:val="20"/>
        </w:rPr>
        <w:t xml:space="preserve"> </w:t>
      </w:r>
      <w:r w:rsidRPr="00422D5F">
        <w:rPr>
          <w:rFonts w:ascii="Times New Roman" w:hAnsi="Times New Roman"/>
          <w:sz w:val="20"/>
          <w:szCs w:val="20"/>
        </w:rPr>
        <w:t>in our Company reduces to 24% of Issue Size, the Market Maker will resume providing 2-way</w:t>
      </w:r>
      <w:r>
        <w:rPr>
          <w:rFonts w:ascii="Times New Roman" w:hAnsi="Times New Roman"/>
          <w:sz w:val="20"/>
          <w:szCs w:val="20"/>
        </w:rPr>
        <w:t xml:space="preserve"> </w:t>
      </w:r>
      <w:r w:rsidRPr="00422D5F">
        <w:rPr>
          <w:rFonts w:ascii="Times New Roman" w:hAnsi="Times New Roman"/>
          <w:sz w:val="20"/>
          <w:szCs w:val="20"/>
        </w:rPr>
        <w:t xml:space="preserve">quotes. </w:t>
      </w:r>
    </w:p>
    <w:p w14:paraId="514B6F5B" w14:textId="77777777" w:rsidR="008A5BEA" w:rsidRPr="00712F3C" w:rsidRDefault="008A5BEA" w:rsidP="008A5BEA">
      <w:pPr>
        <w:spacing w:after="0" w:line="240" w:lineRule="auto"/>
        <w:ind w:left="270" w:hanging="270"/>
        <w:jc w:val="both"/>
        <w:rPr>
          <w:rFonts w:ascii="Times New Roman" w:hAnsi="Times New Roman"/>
          <w:sz w:val="20"/>
          <w:szCs w:val="20"/>
        </w:rPr>
      </w:pPr>
    </w:p>
    <w:p w14:paraId="55FBC974" w14:textId="77777777" w:rsidR="008A5BEA" w:rsidRPr="00712F3C" w:rsidRDefault="008A5BEA" w:rsidP="00F038BD">
      <w:pPr>
        <w:numPr>
          <w:ilvl w:val="0"/>
          <w:numId w:val="152"/>
        </w:numPr>
        <w:spacing w:after="0" w:line="240" w:lineRule="auto"/>
        <w:ind w:left="270" w:hanging="270"/>
        <w:jc w:val="both"/>
        <w:rPr>
          <w:rFonts w:ascii="Times New Roman" w:hAnsi="Times New Roman"/>
          <w:color w:val="000000"/>
          <w:sz w:val="20"/>
          <w:szCs w:val="20"/>
        </w:rPr>
      </w:pPr>
      <w:r w:rsidRPr="00712F3C">
        <w:rPr>
          <w:rFonts w:ascii="Times New Roman" w:hAnsi="Times New Roman"/>
          <w:color w:val="000000"/>
          <w:sz w:val="20"/>
          <w:szCs w:val="20"/>
        </w:rPr>
        <w:t>There shall be no exemption/</w:t>
      </w:r>
      <w:r>
        <w:rPr>
          <w:rFonts w:ascii="Times New Roman" w:hAnsi="Times New Roman"/>
          <w:color w:val="000000"/>
          <w:sz w:val="20"/>
          <w:szCs w:val="20"/>
        </w:rPr>
        <w:t xml:space="preserve"> </w:t>
      </w:r>
      <w:r w:rsidRPr="00712F3C">
        <w:rPr>
          <w:rFonts w:ascii="Times New Roman" w:hAnsi="Times New Roman"/>
          <w:color w:val="000000"/>
          <w:sz w:val="20"/>
          <w:szCs w:val="20"/>
        </w:rPr>
        <w:t>threshold on downside. However, in the event the Market Maker exhausts his inventory through market making process, BSE may intimate the same to SEBI after due verification.</w:t>
      </w:r>
    </w:p>
    <w:p w14:paraId="376C4759" w14:textId="77777777" w:rsidR="008A5BEA" w:rsidRPr="00712F3C" w:rsidRDefault="008A5BEA" w:rsidP="008A5BEA">
      <w:pPr>
        <w:spacing w:after="0" w:line="240" w:lineRule="auto"/>
        <w:ind w:left="270" w:hanging="270"/>
        <w:jc w:val="both"/>
        <w:rPr>
          <w:rFonts w:ascii="Times New Roman" w:hAnsi="Times New Roman"/>
          <w:color w:val="000000"/>
          <w:sz w:val="20"/>
          <w:szCs w:val="20"/>
        </w:rPr>
      </w:pPr>
    </w:p>
    <w:p w14:paraId="4FFA03DD" w14:textId="77777777" w:rsidR="008A5BEA" w:rsidRPr="00712F3C" w:rsidRDefault="008A5BEA" w:rsidP="00F038BD">
      <w:pPr>
        <w:numPr>
          <w:ilvl w:val="0"/>
          <w:numId w:val="152"/>
        </w:numPr>
        <w:spacing w:after="0" w:line="240" w:lineRule="auto"/>
        <w:ind w:left="270" w:hanging="270"/>
        <w:jc w:val="both"/>
        <w:rPr>
          <w:rFonts w:ascii="Times New Roman" w:hAnsi="Times New Roman"/>
          <w:sz w:val="20"/>
          <w:szCs w:val="20"/>
        </w:rPr>
      </w:pPr>
      <w:r w:rsidRPr="00712F3C">
        <w:rPr>
          <w:rFonts w:ascii="Times New Roman" w:hAnsi="Times New Roman"/>
          <w:sz w:val="20"/>
          <w:szCs w:val="20"/>
        </w:rPr>
        <w:t xml:space="preserve">Execution of the order at the quoted price and quantity must be guaranteed by the Market Maker(s), for the quotes given by him. </w:t>
      </w:r>
    </w:p>
    <w:p w14:paraId="457309A8" w14:textId="77777777" w:rsidR="008A5BEA" w:rsidRPr="00712F3C" w:rsidRDefault="008A5BEA" w:rsidP="008A5BEA">
      <w:pPr>
        <w:spacing w:after="0" w:line="240" w:lineRule="auto"/>
        <w:ind w:left="270" w:hanging="270"/>
        <w:jc w:val="both"/>
        <w:rPr>
          <w:rFonts w:ascii="Times New Roman" w:hAnsi="Times New Roman"/>
          <w:sz w:val="20"/>
          <w:szCs w:val="20"/>
        </w:rPr>
      </w:pPr>
    </w:p>
    <w:p w14:paraId="694639BC" w14:textId="77777777" w:rsidR="008A5BEA" w:rsidRPr="00712F3C" w:rsidRDefault="008A5BEA" w:rsidP="00F038BD">
      <w:pPr>
        <w:numPr>
          <w:ilvl w:val="0"/>
          <w:numId w:val="152"/>
        </w:numPr>
        <w:spacing w:after="0" w:line="240" w:lineRule="auto"/>
        <w:ind w:left="270" w:hanging="270"/>
        <w:jc w:val="both"/>
        <w:rPr>
          <w:rFonts w:ascii="Times New Roman" w:hAnsi="Times New Roman"/>
          <w:sz w:val="20"/>
          <w:szCs w:val="20"/>
        </w:rPr>
      </w:pPr>
      <w:r w:rsidRPr="00712F3C">
        <w:rPr>
          <w:rFonts w:ascii="Times New Roman" w:hAnsi="Times New Roman"/>
          <w:sz w:val="20"/>
          <w:szCs w:val="20"/>
        </w:rPr>
        <w:t xml:space="preserve">There would not be more than five Market Makers for a script at any point of time and the Market Makers may compete with other Market Makers for better quotes to the investors. </w:t>
      </w:r>
    </w:p>
    <w:p w14:paraId="4621DAFB" w14:textId="77777777" w:rsidR="008A5BEA" w:rsidRPr="00712F3C" w:rsidRDefault="008A5BEA" w:rsidP="008A5BEA">
      <w:pPr>
        <w:spacing w:after="0" w:line="240" w:lineRule="auto"/>
        <w:ind w:left="270" w:hanging="270"/>
        <w:jc w:val="both"/>
        <w:rPr>
          <w:rFonts w:ascii="Times New Roman" w:hAnsi="Times New Roman"/>
          <w:sz w:val="20"/>
          <w:szCs w:val="20"/>
        </w:rPr>
      </w:pPr>
    </w:p>
    <w:p w14:paraId="1BDAA86D" w14:textId="77777777" w:rsidR="008A5BEA" w:rsidRPr="00712F3C" w:rsidRDefault="008A5BEA" w:rsidP="00F038BD">
      <w:pPr>
        <w:numPr>
          <w:ilvl w:val="0"/>
          <w:numId w:val="152"/>
        </w:numPr>
        <w:spacing w:after="0" w:line="240" w:lineRule="auto"/>
        <w:ind w:left="270" w:hanging="270"/>
        <w:jc w:val="both"/>
        <w:rPr>
          <w:rFonts w:ascii="Times New Roman" w:hAnsi="Times New Roman"/>
          <w:sz w:val="20"/>
          <w:szCs w:val="20"/>
        </w:rPr>
      </w:pPr>
      <w:r w:rsidRPr="00712F3C">
        <w:rPr>
          <w:rFonts w:ascii="Times New Roman" w:hAnsi="Times New Roman"/>
          <w:sz w:val="20"/>
          <w:szCs w:val="20"/>
        </w:rPr>
        <w:t>On the first day of the listing, there will be pre-opening session (call auction) and there after the trading will happen as per the equity market hours. The circuits will apply from the first day of the listing on the discovered price during the pre-open call auction.</w:t>
      </w:r>
    </w:p>
    <w:p w14:paraId="2E7C1DE3" w14:textId="77777777" w:rsidR="008A5BEA" w:rsidRPr="00712F3C" w:rsidRDefault="008A5BEA" w:rsidP="008A5BEA">
      <w:pPr>
        <w:spacing w:after="0" w:line="240" w:lineRule="auto"/>
        <w:ind w:hanging="270"/>
        <w:jc w:val="both"/>
        <w:rPr>
          <w:rFonts w:ascii="Times New Roman" w:hAnsi="Times New Roman"/>
          <w:sz w:val="20"/>
          <w:szCs w:val="20"/>
        </w:rPr>
      </w:pPr>
    </w:p>
    <w:p w14:paraId="6A936175" w14:textId="77777777" w:rsidR="008A5BEA" w:rsidRPr="00712F3C" w:rsidRDefault="008A5BEA" w:rsidP="00F038BD">
      <w:pPr>
        <w:numPr>
          <w:ilvl w:val="0"/>
          <w:numId w:val="152"/>
        </w:numPr>
        <w:spacing w:after="0" w:line="240" w:lineRule="auto"/>
        <w:ind w:left="270" w:hanging="270"/>
        <w:jc w:val="both"/>
        <w:rPr>
          <w:rFonts w:ascii="Times New Roman" w:hAnsi="Times New Roman"/>
          <w:sz w:val="20"/>
          <w:szCs w:val="20"/>
        </w:rPr>
      </w:pPr>
      <w:r w:rsidRPr="00712F3C">
        <w:rPr>
          <w:rFonts w:ascii="Times New Roman" w:hAnsi="Times New Roman"/>
          <w:sz w:val="20"/>
          <w:szCs w:val="20"/>
        </w:rPr>
        <w:t>The Market maker may also be present in the opening call auction, but there is no obligation on him to do so.</w:t>
      </w:r>
    </w:p>
    <w:p w14:paraId="330EB719" w14:textId="77777777" w:rsidR="008A5BEA" w:rsidRPr="00712F3C" w:rsidRDefault="008A5BEA" w:rsidP="008A5BEA">
      <w:pPr>
        <w:spacing w:after="0" w:line="240" w:lineRule="auto"/>
        <w:ind w:left="270" w:hanging="270"/>
        <w:jc w:val="both"/>
        <w:rPr>
          <w:rFonts w:ascii="Times New Roman" w:hAnsi="Times New Roman"/>
          <w:sz w:val="20"/>
          <w:szCs w:val="20"/>
        </w:rPr>
      </w:pPr>
    </w:p>
    <w:p w14:paraId="5692FBA5" w14:textId="77777777" w:rsidR="008A5BEA" w:rsidRPr="00712F3C" w:rsidRDefault="008A5BEA" w:rsidP="00F038BD">
      <w:pPr>
        <w:numPr>
          <w:ilvl w:val="0"/>
          <w:numId w:val="152"/>
        </w:numPr>
        <w:spacing w:after="0" w:line="240" w:lineRule="auto"/>
        <w:ind w:left="270" w:hanging="270"/>
        <w:jc w:val="both"/>
        <w:rPr>
          <w:rFonts w:ascii="Times New Roman" w:hAnsi="Times New Roman"/>
          <w:sz w:val="20"/>
          <w:szCs w:val="20"/>
        </w:rPr>
      </w:pPr>
      <w:r w:rsidRPr="00712F3C">
        <w:rPr>
          <w:rFonts w:ascii="Times New Roman" w:hAnsi="Times New Roman"/>
          <w:sz w:val="20"/>
          <w:szCs w:val="20"/>
        </w:rPr>
        <w:t xml:space="preserve">There will be special circumstances under which the Market Maker may be allowed to withdraw temporarily/fully from the market-for instance due to system problems, any other problems. All controllable reasons require prior approval from the Exchange, while </w:t>
      </w:r>
      <w:r w:rsidRPr="00712F3C">
        <w:rPr>
          <w:rFonts w:ascii="Times New Roman" w:hAnsi="Times New Roman"/>
          <w:i/>
          <w:sz w:val="20"/>
          <w:szCs w:val="20"/>
        </w:rPr>
        <w:t>force-majeure</w:t>
      </w:r>
      <w:r w:rsidRPr="00712F3C">
        <w:rPr>
          <w:rFonts w:ascii="Times New Roman" w:hAnsi="Times New Roman"/>
          <w:sz w:val="20"/>
          <w:szCs w:val="20"/>
        </w:rPr>
        <w:t xml:space="preserve"> will be applicable for non-controllable reasons. The decision of the Exchange for deciding controllable and non-controllable reasons would be final.</w:t>
      </w:r>
    </w:p>
    <w:p w14:paraId="5FCCC04E" w14:textId="77777777" w:rsidR="008A5BEA" w:rsidRPr="00712F3C" w:rsidRDefault="008A5BEA" w:rsidP="008A5BEA">
      <w:pPr>
        <w:spacing w:after="0" w:line="240" w:lineRule="auto"/>
        <w:ind w:left="270" w:hanging="270"/>
        <w:jc w:val="both"/>
        <w:rPr>
          <w:rFonts w:ascii="Times New Roman" w:hAnsi="Times New Roman"/>
          <w:sz w:val="20"/>
          <w:szCs w:val="20"/>
        </w:rPr>
      </w:pPr>
    </w:p>
    <w:p w14:paraId="4CFA6898" w14:textId="77777777" w:rsidR="008A5BEA" w:rsidRDefault="008A5BEA" w:rsidP="00F038BD">
      <w:pPr>
        <w:numPr>
          <w:ilvl w:val="0"/>
          <w:numId w:val="152"/>
        </w:numPr>
        <w:spacing w:after="0" w:line="240" w:lineRule="auto"/>
        <w:ind w:left="270" w:hanging="270"/>
        <w:jc w:val="both"/>
        <w:rPr>
          <w:rFonts w:ascii="Times New Roman" w:hAnsi="Times New Roman"/>
          <w:sz w:val="20"/>
          <w:szCs w:val="20"/>
        </w:rPr>
      </w:pPr>
      <w:r w:rsidRPr="00A17DB0">
        <w:rPr>
          <w:rFonts w:ascii="Times New Roman" w:hAnsi="Times New Roman"/>
          <w:sz w:val="20"/>
          <w:szCs w:val="20"/>
        </w:rPr>
        <w:t>The Market Maker(s) shall have the right to terminate said arrangement by giving a six months’ notice or on mutually acceptable</w:t>
      </w:r>
      <w:r>
        <w:rPr>
          <w:rFonts w:ascii="Times New Roman" w:hAnsi="Times New Roman"/>
          <w:sz w:val="20"/>
          <w:szCs w:val="20"/>
        </w:rPr>
        <w:t xml:space="preserve"> </w:t>
      </w:r>
      <w:r w:rsidRPr="00A17DB0">
        <w:rPr>
          <w:rFonts w:ascii="Times New Roman" w:hAnsi="Times New Roman"/>
          <w:sz w:val="20"/>
          <w:szCs w:val="20"/>
        </w:rPr>
        <w:t>terms to the Merchant Banker, who shall then be responsible to appoint a replacement Market Maker(s) and execute a fresh</w:t>
      </w:r>
      <w:r>
        <w:rPr>
          <w:rFonts w:ascii="Times New Roman" w:hAnsi="Times New Roman"/>
          <w:sz w:val="20"/>
          <w:szCs w:val="20"/>
        </w:rPr>
        <w:t xml:space="preserve"> </w:t>
      </w:r>
      <w:r w:rsidRPr="00A17DB0">
        <w:rPr>
          <w:rFonts w:ascii="Times New Roman" w:hAnsi="Times New Roman"/>
          <w:sz w:val="20"/>
          <w:szCs w:val="20"/>
        </w:rPr>
        <w:t>arrangement. In case of termination of the above-mentioned Market Making agreement prior to the completion of the</w:t>
      </w:r>
      <w:r>
        <w:rPr>
          <w:rFonts w:ascii="Times New Roman" w:hAnsi="Times New Roman"/>
          <w:sz w:val="20"/>
          <w:szCs w:val="20"/>
        </w:rPr>
        <w:t xml:space="preserve"> </w:t>
      </w:r>
      <w:r w:rsidRPr="00A17DB0">
        <w:rPr>
          <w:rFonts w:ascii="Times New Roman" w:hAnsi="Times New Roman"/>
          <w:sz w:val="20"/>
          <w:szCs w:val="20"/>
        </w:rPr>
        <w:t>compulsory Market Making period, it shall be the responsibility of the BRLM to arrange for another Market Maker in</w:t>
      </w:r>
      <w:r>
        <w:rPr>
          <w:rFonts w:ascii="Times New Roman" w:hAnsi="Times New Roman"/>
          <w:sz w:val="20"/>
          <w:szCs w:val="20"/>
        </w:rPr>
        <w:t xml:space="preserve"> </w:t>
      </w:r>
      <w:r w:rsidRPr="00A17DB0">
        <w:rPr>
          <w:rFonts w:ascii="Times New Roman" w:hAnsi="Times New Roman"/>
          <w:sz w:val="20"/>
          <w:szCs w:val="20"/>
        </w:rPr>
        <w:t>replacement during the term of the notice period being served by the Market Maker but prior to the date of releasing the existing</w:t>
      </w:r>
      <w:r>
        <w:rPr>
          <w:rFonts w:ascii="Times New Roman" w:hAnsi="Times New Roman"/>
          <w:sz w:val="20"/>
          <w:szCs w:val="20"/>
        </w:rPr>
        <w:t xml:space="preserve"> </w:t>
      </w:r>
      <w:r w:rsidRPr="00A17DB0">
        <w:rPr>
          <w:rFonts w:ascii="Times New Roman" w:hAnsi="Times New Roman"/>
          <w:sz w:val="20"/>
          <w:szCs w:val="20"/>
        </w:rPr>
        <w:t>Market Maker from its duties in order to ensure compliance with the requirements of regulation 261 of the SEBI (ICDR)</w:t>
      </w:r>
      <w:r>
        <w:rPr>
          <w:rFonts w:ascii="Times New Roman" w:hAnsi="Times New Roman"/>
          <w:sz w:val="20"/>
          <w:szCs w:val="20"/>
        </w:rPr>
        <w:t xml:space="preserve"> </w:t>
      </w:r>
      <w:r w:rsidRPr="00A17DB0">
        <w:rPr>
          <w:rFonts w:ascii="Times New Roman" w:hAnsi="Times New Roman"/>
          <w:sz w:val="20"/>
          <w:szCs w:val="20"/>
        </w:rPr>
        <w:t>Regulations, 2018, as amended. Further our Company and the BRLM reserve the right to appoint other Market Makers either as</w:t>
      </w:r>
      <w:r>
        <w:rPr>
          <w:rFonts w:ascii="Times New Roman" w:hAnsi="Times New Roman"/>
          <w:sz w:val="20"/>
          <w:szCs w:val="20"/>
        </w:rPr>
        <w:t xml:space="preserve"> </w:t>
      </w:r>
      <w:r w:rsidRPr="00A17DB0">
        <w:rPr>
          <w:rFonts w:ascii="Times New Roman" w:hAnsi="Times New Roman"/>
          <w:sz w:val="20"/>
          <w:szCs w:val="20"/>
        </w:rPr>
        <w:t>a replacement of the current Market Maker or as an additional Market Maker subject to the total number of Designated Market</w:t>
      </w:r>
      <w:r>
        <w:rPr>
          <w:rFonts w:ascii="Times New Roman" w:hAnsi="Times New Roman"/>
          <w:sz w:val="20"/>
          <w:szCs w:val="20"/>
        </w:rPr>
        <w:t xml:space="preserve"> </w:t>
      </w:r>
      <w:r w:rsidRPr="00A17DB0">
        <w:rPr>
          <w:rFonts w:ascii="Times New Roman" w:hAnsi="Times New Roman"/>
          <w:sz w:val="20"/>
          <w:szCs w:val="20"/>
        </w:rPr>
        <w:t>Makers does not exceed five or as specified by the relevant laws and regulations applicable at that particular point of time. The</w:t>
      </w:r>
      <w:r>
        <w:rPr>
          <w:rFonts w:ascii="Times New Roman" w:hAnsi="Times New Roman"/>
          <w:sz w:val="20"/>
          <w:szCs w:val="20"/>
        </w:rPr>
        <w:t xml:space="preserve"> </w:t>
      </w:r>
      <w:r w:rsidRPr="00A17DB0">
        <w:rPr>
          <w:rFonts w:ascii="Times New Roman" w:hAnsi="Times New Roman"/>
          <w:sz w:val="20"/>
          <w:szCs w:val="20"/>
        </w:rPr>
        <w:t>Market Making Agreement is available for inspection at our office from 10.00 a.m. to 5.00 p.m. on working days</w:t>
      </w:r>
      <w:r w:rsidRPr="00712F3C">
        <w:rPr>
          <w:rFonts w:ascii="Times New Roman" w:hAnsi="Times New Roman"/>
          <w:sz w:val="20"/>
          <w:szCs w:val="20"/>
        </w:rPr>
        <w:t xml:space="preserve">. </w:t>
      </w:r>
    </w:p>
    <w:p w14:paraId="3057B0A1" w14:textId="77777777" w:rsidR="00486D3C" w:rsidRPr="00712F3C" w:rsidRDefault="00486D3C" w:rsidP="00486D3C">
      <w:pPr>
        <w:spacing w:after="0" w:line="240" w:lineRule="auto"/>
        <w:ind w:left="270"/>
        <w:jc w:val="both"/>
        <w:rPr>
          <w:rFonts w:ascii="Times New Roman" w:hAnsi="Times New Roman"/>
          <w:sz w:val="20"/>
          <w:szCs w:val="20"/>
        </w:rPr>
      </w:pPr>
    </w:p>
    <w:p w14:paraId="2B5AF2D1" w14:textId="77777777" w:rsidR="008A5BEA" w:rsidRPr="00712F3C" w:rsidRDefault="008A5BEA" w:rsidP="00F038BD">
      <w:pPr>
        <w:numPr>
          <w:ilvl w:val="0"/>
          <w:numId w:val="152"/>
        </w:numPr>
        <w:spacing w:after="0" w:line="240" w:lineRule="auto"/>
        <w:ind w:left="270" w:hanging="270"/>
        <w:jc w:val="both"/>
        <w:rPr>
          <w:rFonts w:ascii="Times New Roman" w:hAnsi="Times New Roman"/>
          <w:b/>
          <w:color w:val="000000"/>
          <w:sz w:val="20"/>
          <w:szCs w:val="20"/>
        </w:rPr>
      </w:pPr>
      <w:r w:rsidRPr="00712F3C">
        <w:rPr>
          <w:rFonts w:ascii="Times New Roman" w:hAnsi="Times New Roman"/>
          <w:b/>
          <w:color w:val="000000"/>
          <w:sz w:val="20"/>
          <w:szCs w:val="20"/>
        </w:rPr>
        <w:t xml:space="preserve">Risk containment measures and monitoring for Market Makers: </w:t>
      </w:r>
      <w:r>
        <w:rPr>
          <w:rFonts w:ascii="Times New Roman" w:hAnsi="Times New Roman"/>
          <w:color w:val="000000"/>
          <w:sz w:val="20"/>
          <w:szCs w:val="20"/>
        </w:rPr>
        <w:t>Stock Exchange</w:t>
      </w:r>
      <w:r w:rsidRPr="00712F3C">
        <w:rPr>
          <w:rFonts w:ascii="Times New Roman" w:hAnsi="Times New Roman"/>
          <w:color w:val="000000"/>
          <w:sz w:val="20"/>
          <w:szCs w:val="20"/>
        </w:rPr>
        <w:t xml:space="preserve"> will have all margins, which are applicable on BSE main board viz., Mark-to-Market, Value-At-Risk (VAR) Margin, Extreme Loss Margin, Special Margins and Base Minimum Capital etc. BSE can impose any other margins as deemed necessary from time-to-time.</w:t>
      </w:r>
    </w:p>
    <w:p w14:paraId="5B2208CD" w14:textId="77777777" w:rsidR="008A5BEA" w:rsidRPr="00712F3C" w:rsidRDefault="008A5BEA" w:rsidP="008A5BEA">
      <w:pPr>
        <w:spacing w:after="0" w:line="240" w:lineRule="auto"/>
        <w:ind w:left="270" w:hanging="270"/>
        <w:jc w:val="both"/>
        <w:rPr>
          <w:rFonts w:ascii="Times New Roman" w:hAnsi="Times New Roman"/>
          <w:b/>
          <w:sz w:val="20"/>
          <w:szCs w:val="20"/>
        </w:rPr>
      </w:pPr>
    </w:p>
    <w:p w14:paraId="43B88840" w14:textId="77777777" w:rsidR="008A5BEA" w:rsidRPr="00712F3C" w:rsidRDefault="008A5BEA" w:rsidP="00F038BD">
      <w:pPr>
        <w:numPr>
          <w:ilvl w:val="0"/>
          <w:numId w:val="152"/>
        </w:numPr>
        <w:spacing w:after="0" w:line="240" w:lineRule="auto"/>
        <w:ind w:left="270" w:hanging="270"/>
        <w:jc w:val="both"/>
        <w:rPr>
          <w:rFonts w:ascii="Times New Roman" w:hAnsi="Times New Roman"/>
          <w:color w:val="000000"/>
          <w:sz w:val="20"/>
          <w:szCs w:val="20"/>
        </w:rPr>
      </w:pPr>
      <w:r w:rsidRPr="00712F3C">
        <w:rPr>
          <w:rFonts w:ascii="Times New Roman" w:hAnsi="Times New Roman"/>
          <w:b/>
          <w:color w:val="000000"/>
          <w:sz w:val="20"/>
          <w:szCs w:val="20"/>
        </w:rPr>
        <w:t xml:space="preserve">Punitive Action in case of default by Market Makers: </w:t>
      </w:r>
      <w:r w:rsidRPr="00712F3C">
        <w:rPr>
          <w:rFonts w:ascii="Times New Roman" w:hAnsi="Times New Roman"/>
          <w:color w:val="000000"/>
          <w:sz w:val="20"/>
          <w:szCs w:val="20"/>
        </w:rPr>
        <w:t xml:space="preserve">SBE will monitor the obligations on a real time basis and punitive action will be initiated for any exceptions and/or non-compliances. Penalties/ fines may be imposed by the Exchange on the </w:t>
      </w:r>
      <w:r w:rsidRPr="00712F3C">
        <w:rPr>
          <w:rFonts w:ascii="Times New Roman" w:hAnsi="Times New Roman"/>
          <w:color w:val="000000"/>
          <w:sz w:val="20"/>
          <w:szCs w:val="20"/>
        </w:rPr>
        <w:lastRenderedPageBreak/>
        <w:t>Market Maker, in case he is not able to provide the desired liquidity in a particular security as per the specified guidelines. These penalties/ fines will be set by the Exchange from time to time. The Exchange will impose a penalty on the Market Maker in case he is not present in the market (offering two</w:t>
      </w:r>
      <w:r>
        <w:rPr>
          <w:rFonts w:ascii="Times New Roman" w:hAnsi="Times New Roman"/>
          <w:color w:val="000000"/>
          <w:sz w:val="20"/>
          <w:szCs w:val="20"/>
        </w:rPr>
        <w:t>-</w:t>
      </w:r>
      <w:r w:rsidRPr="00712F3C">
        <w:rPr>
          <w:rFonts w:ascii="Times New Roman" w:hAnsi="Times New Roman"/>
          <w:color w:val="000000"/>
          <w:sz w:val="20"/>
          <w:szCs w:val="20"/>
        </w:rPr>
        <w:t>way quotes) for at least 75% of the time. The nature of the penalty will be monetary as well as suspension in market making activities / trading membership. The Department of Surveillance and Supervision of the Exchange would decide and publish the penalties/ fines/ suspension for any type of misconduct/ manipulation/ other irregularities by the Market Maker from time to time.</w:t>
      </w:r>
    </w:p>
    <w:p w14:paraId="194FC8AF" w14:textId="77777777" w:rsidR="008A5BEA" w:rsidRPr="00712F3C" w:rsidRDefault="008A5BEA" w:rsidP="008A5BEA">
      <w:pPr>
        <w:spacing w:after="0" w:line="240" w:lineRule="auto"/>
        <w:ind w:left="270" w:hanging="270"/>
        <w:jc w:val="both"/>
        <w:rPr>
          <w:rFonts w:ascii="Times New Roman" w:hAnsi="Times New Roman"/>
          <w:b/>
          <w:sz w:val="12"/>
          <w:szCs w:val="12"/>
        </w:rPr>
      </w:pPr>
    </w:p>
    <w:p w14:paraId="24D2955A" w14:textId="77777777" w:rsidR="008A5BEA" w:rsidRPr="00712F3C" w:rsidRDefault="008A5BEA" w:rsidP="00F038BD">
      <w:pPr>
        <w:numPr>
          <w:ilvl w:val="0"/>
          <w:numId w:val="152"/>
        </w:numPr>
        <w:spacing w:after="0" w:line="240" w:lineRule="auto"/>
        <w:ind w:left="270" w:hanging="270"/>
        <w:jc w:val="both"/>
        <w:rPr>
          <w:rFonts w:ascii="Times New Roman" w:hAnsi="Times New Roman"/>
          <w:sz w:val="20"/>
          <w:szCs w:val="20"/>
        </w:rPr>
      </w:pPr>
      <w:r w:rsidRPr="00712F3C">
        <w:rPr>
          <w:rFonts w:ascii="Times New Roman" w:hAnsi="Times New Roman"/>
          <w:b/>
          <w:sz w:val="20"/>
          <w:szCs w:val="20"/>
        </w:rPr>
        <w:t xml:space="preserve">Price Band and Spreads: </w:t>
      </w:r>
      <w:r w:rsidRPr="00712F3C">
        <w:rPr>
          <w:rFonts w:ascii="Times New Roman" w:hAnsi="Times New Roman"/>
          <w:sz w:val="20"/>
          <w:szCs w:val="20"/>
        </w:rPr>
        <w:t>The price band shall be 20% and the market maker spread (difference between the sell and the buy quote) shall be within 10% or as intimated by Exchange from time to time.</w:t>
      </w:r>
    </w:p>
    <w:p w14:paraId="3DB864E1" w14:textId="77777777" w:rsidR="008A5BEA" w:rsidRPr="00712F3C" w:rsidRDefault="008A5BEA" w:rsidP="008A5BEA">
      <w:pPr>
        <w:spacing w:after="0" w:line="240" w:lineRule="auto"/>
        <w:ind w:left="270" w:hanging="270"/>
        <w:jc w:val="both"/>
        <w:rPr>
          <w:rFonts w:ascii="Times New Roman" w:hAnsi="Times New Roman"/>
          <w:sz w:val="12"/>
          <w:szCs w:val="12"/>
        </w:rPr>
      </w:pPr>
    </w:p>
    <w:p w14:paraId="6602D4A4" w14:textId="77777777" w:rsidR="008A5BEA" w:rsidRPr="00712F3C" w:rsidRDefault="008A5BEA" w:rsidP="00F038BD">
      <w:pPr>
        <w:numPr>
          <w:ilvl w:val="0"/>
          <w:numId w:val="152"/>
        </w:numPr>
        <w:spacing w:after="0" w:line="240" w:lineRule="auto"/>
        <w:ind w:left="270" w:hanging="270"/>
        <w:jc w:val="both"/>
        <w:rPr>
          <w:rFonts w:ascii="Times New Roman" w:hAnsi="Times New Roman"/>
          <w:sz w:val="20"/>
          <w:szCs w:val="20"/>
        </w:rPr>
      </w:pPr>
      <w:r w:rsidRPr="00712F3C">
        <w:rPr>
          <w:rFonts w:ascii="Times New Roman" w:hAnsi="Times New Roman"/>
          <w:sz w:val="20"/>
          <w:szCs w:val="20"/>
        </w:rPr>
        <w:t xml:space="preserve">Pursuant to SEBI Circular number CIR/MRD/DSA/31/2012 dated November 27, 2012, limits on the upper side for market makers during market making process has been made applicable, based on the Issue size and as follows: </w:t>
      </w:r>
    </w:p>
    <w:p w14:paraId="15A48DAB" w14:textId="77777777" w:rsidR="008A5BEA" w:rsidRPr="00712F3C" w:rsidRDefault="008A5BEA" w:rsidP="008A5BEA">
      <w:pPr>
        <w:spacing w:after="0" w:line="240" w:lineRule="auto"/>
        <w:ind w:left="270"/>
        <w:jc w:val="both"/>
        <w:rPr>
          <w:rFonts w:ascii="Times New Roman" w:hAnsi="Times New Roman"/>
          <w:sz w:val="20"/>
          <w:szCs w:val="20"/>
        </w:rPr>
      </w:pPr>
    </w:p>
    <w:tbl>
      <w:tblPr>
        <w:tblW w:w="9891"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3"/>
        <w:gridCol w:w="4111"/>
        <w:gridCol w:w="4127"/>
      </w:tblGrid>
      <w:tr w:rsidR="008A5BEA" w:rsidRPr="00712F3C" w14:paraId="22F41E2B" w14:textId="77777777" w:rsidTr="00250DAC">
        <w:tc>
          <w:tcPr>
            <w:tcW w:w="1653"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4DB96C9" w14:textId="77777777" w:rsidR="008A5BEA" w:rsidRPr="00712F3C" w:rsidRDefault="008A5BEA" w:rsidP="00250DAC">
            <w:pPr>
              <w:spacing w:after="0" w:line="240" w:lineRule="auto"/>
              <w:ind w:left="270"/>
              <w:jc w:val="center"/>
              <w:rPr>
                <w:rFonts w:ascii="Times New Roman" w:hAnsi="Times New Roman"/>
                <w:b/>
                <w:sz w:val="20"/>
                <w:szCs w:val="20"/>
              </w:rPr>
            </w:pPr>
            <w:r w:rsidRPr="00712F3C">
              <w:rPr>
                <w:rFonts w:ascii="Times New Roman" w:hAnsi="Times New Roman"/>
                <w:b/>
                <w:sz w:val="20"/>
                <w:szCs w:val="20"/>
              </w:rPr>
              <w:t>Issue Size</w:t>
            </w:r>
          </w:p>
        </w:tc>
        <w:tc>
          <w:tcPr>
            <w:tcW w:w="4111"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573489AA" w14:textId="77777777" w:rsidR="008A5BEA" w:rsidRPr="00712F3C" w:rsidRDefault="008A5BEA" w:rsidP="00250DAC">
            <w:pPr>
              <w:spacing w:after="0" w:line="240" w:lineRule="auto"/>
              <w:ind w:left="270"/>
              <w:jc w:val="center"/>
              <w:rPr>
                <w:rFonts w:ascii="Times New Roman" w:hAnsi="Times New Roman"/>
                <w:b/>
                <w:sz w:val="20"/>
                <w:szCs w:val="20"/>
              </w:rPr>
            </w:pPr>
            <w:r w:rsidRPr="00712F3C">
              <w:rPr>
                <w:rFonts w:ascii="Times New Roman" w:hAnsi="Times New Roman"/>
                <w:b/>
                <w:sz w:val="20"/>
                <w:szCs w:val="20"/>
              </w:rPr>
              <w:t>Buy quote exemption threshold (including mandatory initial inventory of 5% of the Issue Size)</w:t>
            </w:r>
          </w:p>
        </w:tc>
        <w:tc>
          <w:tcPr>
            <w:tcW w:w="412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5922723" w14:textId="77777777" w:rsidR="008A5BEA" w:rsidRPr="00712F3C" w:rsidRDefault="008A5BEA" w:rsidP="00250DAC">
            <w:pPr>
              <w:spacing w:after="0" w:line="240" w:lineRule="auto"/>
              <w:ind w:left="270"/>
              <w:jc w:val="center"/>
              <w:rPr>
                <w:rFonts w:ascii="Times New Roman" w:hAnsi="Times New Roman"/>
                <w:b/>
                <w:sz w:val="20"/>
                <w:szCs w:val="20"/>
              </w:rPr>
            </w:pPr>
            <w:r w:rsidRPr="00712F3C">
              <w:rPr>
                <w:rFonts w:ascii="Times New Roman" w:hAnsi="Times New Roman"/>
                <w:b/>
                <w:sz w:val="20"/>
                <w:szCs w:val="20"/>
              </w:rPr>
              <w:t>Re-Entry threshold for buy quote (including mandatory initial inventory of 5% of the Issue Size)</w:t>
            </w:r>
          </w:p>
        </w:tc>
      </w:tr>
      <w:tr w:rsidR="008A5BEA" w:rsidRPr="00712F3C" w14:paraId="0E29CA81" w14:textId="77777777" w:rsidTr="00250DAC">
        <w:tc>
          <w:tcPr>
            <w:tcW w:w="1653" w:type="dxa"/>
            <w:tcBorders>
              <w:top w:val="single" w:sz="4" w:space="0" w:color="000000"/>
            </w:tcBorders>
          </w:tcPr>
          <w:p w14:paraId="0A3610CC" w14:textId="77777777" w:rsidR="008A5BEA" w:rsidRPr="00712F3C" w:rsidRDefault="008A5BEA" w:rsidP="00250DAC">
            <w:pPr>
              <w:spacing w:after="0" w:line="240" w:lineRule="auto"/>
              <w:rPr>
                <w:rFonts w:ascii="Times New Roman" w:hAnsi="Times New Roman"/>
                <w:sz w:val="20"/>
                <w:szCs w:val="20"/>
              </w:rPr>
            </w:pPr>
            <w:r w:rsidRPr="00712F3C">
              <w:rPr>
                <w:rFonts w:ascii="Times New Roman" w:hAnsi="Times New Roman"/>
                <w:sz w:val="20"/>
                <w:szCs w:val="20"/>
              </w:rPr>
              <w:t>Up to ₹20 Crore</w:t>
            </w:r>
          </w:p>
        </w:tc>
        <w:tc>
          <w:tcPr>
            <w:tcW w:w="4111" w:type="dxa"/>
            <w:tcBorders>
              <w:top w:val="single" w:sz="4" w:space="0" w:color="000000"/>
            </w:tcBorders>
          </w:tcPr>
          <w:p w14:paraId="572F05ED" w14:textId="77777777" w:rsidR="008A5BEA" w:rsidRPr="00712F3C" w:rsidRDefault="008A5BEA" w:rsidP="00250DAC">
            <w:pPr>
              <w:spacing w:after="0" w:line="240" w:lineRule="auto"/>
              <w:ind w:left="270"/>
              <w:jc w:val="center"/>
              <w:rPr>
                <w:rFonts w:ascii="Times New Roman" w:hAnsi="Times New Roman"/>
                <w:sz w:val="20"/>
                <w:szCs w:val="20"/>
              </w:rPr>
            </w:pPr>
            <w:r w:rsidRPr="00712F3C">
              <w:rPr>
                <w:rFonts w:ascii="Times New Roman" w:hAnsi="Times New Roman"/>
                <w:sz w:val="20"/>
                <w:szCs w:val="20"/>
              </w:rPr>
              <w:t>25%</w:t>
            </w:r>
          </w:p>
        </w:tc>
        <w:tc>
          <w:tcPr>
            <w:tcW w:w="4127" w:type="dxa"/>
            <w:tcBorders>
              <w:top w:val="single" w:sz="4" w:space="0" w:color="000000"/>
            </w:tcBorders>
          </w:tcPr>
          <w:p w14:paraId="42032831" w14:textId="77777777" w:rsidR="008A5BEA" w:rsidRPr="00712F3C" w:rsidRDefault="008A5BEA" w:rsidP="00250DAC">
            <w:pPr>
              <w:spacing w:after="0" w:line="240" w:lineRule="auto"/>
              <w:ind w:left="270"/>
              <w:jc w:val="center"/>
              <w:rPr>
                <w:rFonts w:ascii="Times New Roman" w:hAnsi="Times New Roman"/>
                <w:sz w:val="20"/>
                <w:szCs w:val="20"/>
              </w:rPr>
            </w:pPr>
            <w:r w:rsidRPr="00712F3C">
              <w:rPr>
                <w:rFonts w:ascii="Times New Roman" w:hAnsi="Times New Roman"/>
                <w:sz w:val="20"/>
                <w:szCs w:val="20"/>
              </w:rPr>
              <w:t>24%</w:t>
            </w:r>
          </w:p>
        </w:tc>
      </w:tr>
      <w:tr w:rsidR="008A5BEA" w:rsidRPr="00712F3C" w14:paraId="33F8E35B" w14:textId="77777777" w:rsidTr="00250DAC">
        <w:tc>
          <w:tcPr>
            <w:tcW w:w="1653" w:type="dxa"/>
          </w:tcPr>
          <w:p w14:paraId="744A5D26" w14:textId="77777777" w:rsidR="008A5BEA" w:rsidRPr="00712F3C" w:rsidRDefault="008A5BEA" w:rsidP="00250DAC">
            <w:pPr>
              <w:spacing w:after="0" w:line="240" w:lineRule="auto"/>
              <w:rPr>
                <w:rFonts w:ascii="Times New Roman" w:hAnsi="Times New Roman"/>
                <w:sz w:val="20"/>
                <w:szCs w:val="20"/>
              </w:rPr>
            </w:pPr>
            <w:r w:rsidRPr="00712F3C">
              <w:rPr>
                <w:rFonts w:ascii="Times New Roman" w:hAnsi="Times New Roman"/>
                <w:sz w:val="20"/>
                <w:szCs w:val="20"/>
              </w:rPr>
              <w:t>₹20 to ₹50 Crore</w:t>
            </w:r>
          </w:p>
        </w:tc>
        <w:tc>
          <w:tcPr>
            <w:tcW w:w="4111" w:type="dxa"/>
          </w:tcPr>
          <w:p w14:paraId="63E47409" w14:textId="77777777" w:rsidR="008A5BEA" w:rsidRPr="00712F3C" w:rsidRDefault="008A5BEA" w:rsidP="00250DAC">
            <w:pPr>
              <w:spacing w:after="0" w:line="240" w:lineRule="auto"/>
              <w:ind w:left="270"/>
              <w:jc w:val="center"/>
              <w:rPr>
                <w:rFonts w:ascii="Times New Roman" w:hAnsi="Times New Roman"/>
                <w:sz w:val="20"/>
                <w:szCs w:val="20"/>
              </w:rPr>
            </w:pPr>
            <w:r w:rsidRPr="00712F3C">
              <w:rPr>
                <w:rFonts w:ascii="Times New Roman" w:hAnsi="Times New Roman"/>
                <w:sz w:val="20"/>
                <w:szCs w:val="20"/>
              </w:rPr>
              <w:t>20%</w:t>
            </w:r>
          </w:p>
        </w:tc>
        <w:tc>
          <w:tcPr>
            <w:tcW w:w="4127" w:type="dxa"/>
          </w:tcPr>
          <w:p w14:paraId="4E447993" w14:textId="77777777" w:rsidR="008A5BEA" w:rsidRPr="00712F3C" w:rsidRDefault="008A5BEA" w:rsidP="00250DAC">
            <w:pPr>
              <w:spacing w:after="0" w:line="240" w:lineRule="auto"/>
              <w:ind w:left="270"/>
              <w:jc w:val="center"/>
              <w:rPr>
                <w:rFonts w:ascii="Times New Roman" w:hAnsi="Times New Roman"/>
                <w:sz w:val="20"/>
                <w:szCs w:val="20"/>
              </w:rPr>
            </w:pPr>
            <w:r w:rsidRPr="00712F3C">
              <w:rPr>
                <w:rFonts w:ascii="Times New Roman" w:hAnsi="Times New Roman"/>
                <w:sz w:val="20"/>
                <w:szCs w:val="20"/>
              </w:rPr>
              <w:t>19%</w:t>
            </w:r>
          </w:p>
        </w:tc>
      </w:tr>
      <w:tr w:rsidR="008A5BEA" w:rsidRPr="00712F3C" w14:paraId="6B6162E3" w14:textId="77777777" w:rsidTr="00250DAC">
        <w:tc>
          <w:tcPr>
            <w:tcW w:w="1653" w:type="dxa"/>
          </w:tcPr>
          <w:p w14:paraId="6E36E390" w14:textId="77777777" w:rsidR="008A5BEA" w:rsidRPr="00712F3C" w:rsidRDefault="008A5BEA" w:rsidP="00250DAC">
            <w:pPr>
              <w:spacing w:after="0" w:line="240" w:lineRule="auto"/>
              <w:rPr>
                <w:rFonts w:ascii="Times New Roman" w:hAnsi="Times New Roman"/>
                <w:sz w:val="20"/>
                <w:szCs w:val="20"/>
              </w:rPr>
            </w:pPr>
            <w:r w:rsidRPr="00712F3C">
              <w:rPr>
                <w:rFonts w:ascii="Times New Roman" w:hAnsi="Times New Roman"/>
                <w:sz w:val="20"/>
                <w:szCs w:val="20"/>
              </w:rPr>
              <w:t>₹50 to ₹80 Crore</w:t>
            </w:r>
          </w:p>
        </w:tc>
        <w:tc>
          <w:tcPr>
            <w:tcW w:w="4111" w:type="dxa"/>
          </w:tcPr>
          <w:p w14:paraId="4AC4EC6B" w14:textId="77777777" w:rsidR="008A5BEA" w:rsidRPr="00712F3C" w:rsidRDefault="008A5BEA" w:rsidP="00250DAC">
            <w:pPr>
              <w:spacing w:after="0" w:line="240" w:lineRule="auto"/>
              <w:ind w:left="270"/>
              <w:jc w:val="center"/>
              <w:rPr>
                <w:rFonts w:ascii="Times New Roman" w:hAnsi="Times New Roman"/>
                <w:sz w:val="20"/>
                <w:szCs w:val="20"/>
              </w:rPr>
            </w:pPr>
            <w:r w:rsidRPr="00712F3C">
              <w:rPr>
                <w:rFonts w:ascii="Times New Roman" w:hAnsi="Times New Roman"/>
                <w:sz w:val="20"/>
                <w:szCs w:val="20"/>
              </w:rPr>
              <w:t>15%</w:t>
            </w:r>
          </w:p>
        </w:tc>
        <w:tc>
          <w:tcPr>
            <w:tcW w:w="4127" w:type="dxa"/>
          </w:tcPr>
          <w:p w14:paraId="7FAEAE4B" w14:textId="77777777" w:rsidR="008A5BEA" w:rsidRPr="00712F3C" w:rsidRDefault="008A5BEA" w:rsidP="00250DAC">
            <w:pPr>
              <w:spacing w:after="0" w:line="240" w:lineRule="auto"/>
              <w:ind w:left="270"/>
              <w:jc w:val="center"/>
              <w:rPr>
                <w:rFonts w:ascii="Times New Roman" w:hAnsi="Times New Roman"/>
                <w:sz w:val="20"/>
                <w:szCs w:val="20"/>
              </w:rPr>
            </w:pPr>
            <w:r w:rsidRPr="00712F3C">
              <w:rPr>
                <w:rFonts w:ascii="Times New Roman" w:hAnsi="Times New Roman"/>
                <w:sz w:val="20"/>
                <w:szCs w:val="20"/>
              </w:rPr>
              <w:t>14%</w:t>
            </w:r>
          </w:p>
        </w:tc>
      </w:tr>
      <w:tr w:rsidR="008A5BEA" w:rsidRPr="00712F3C" w14:paraId="2C3BF256" w14:textId="77777777" w:rsidTr="00250DAC">
        <w:tc>
          <w:tcPr>
            <w:tcW w:w="1653" w:type="dxa"/>
          </w:tcPr>
          <w:p w14:paraId="121B912F" w14:textId="77777777" w:rsidR="008A5BEA" w:rsidRPr="00712F3C" w:rsidRDefault="008A5BEA" w:rsidP="00250DAC">
            <w:pPr>
              <w:spacing w:after="0" w:line="240" w:lineRule="auto"/>
              <w:rPr>
                <w:rFonts w:ascii="Times New Roman" w:hAnsi="Times New Roman"/>
                <w:sz w:val="20"/>
                <w:szCs w:val="20"/>
              </w:rPr>
            </w:pPr>
            <w:r w:rsidRPr="00712F3C">
              <w:rPr>
                <w:rFonts w:ascii="Times New Roman" w:hAnsi="Times New Roman"/>
                <w:sz w:val="20"/>
                <w:szCs w:val="20"/>
              </w:rPr>
              <w:t>Above ₹80 Crore</w:t>
            </w:r>
          </w:p>
        </w:tc>
        <w:tc>
          <w:tcPr>
            <w:tcW w:w="4111" w:type="dxa"/>
          </w:tcPr>
          <w:p w14:paraId="469D6F25" w14:textId="77777777" w:rsidR="008A5BEA" w:rsidRPr="00712F3C" w:rsidRDefault="008A5BEA" w:rsidP="00250DAC">
            <w:pPr>
              <w:spacing w:after="0" w:line="240" w:lineRule="auto"/>
              <w:ind w:left="270"/>
              <w:jc w:val="center"/>
              <w:rPr>
                <w:rFonts w:ascii="Times New Roman" w:hAnsi="Times New Roman"/>
                <w:sz w:val="20"/>
                <w:szCs w:val="20"/>
              </w:rPr>
            </w:pPr>
            <w:r w:rsidRPr="00712F3C">
              <w:rPr>
                <w:rFonts w:ascii="Times New Roman" w:hAnsi="Times New Roman"/>
                <w:sz w:val="20"/>
                <w:szCs w:val="20"/>
              </w:rPr>
              <w:t>12%</w:t>
            </w:r>
          </w:p>
        </w:tc>
        <w:tc>
          <w:tcPr>
            <w:tcW w:w="4127" w:type="dxa"/>
          </w:tcPr>
          <w:p w14:paraId="20BDCBB0" w14:textId="77777777" w:rsidR="008A5BEA" w:rsidRPr="00712F3C" w:rsidRDefault="008A5BEA" w:rsidP="00250DAC">
            <w:pPr>
              <w:spacing w:after="0" w:line="240" w:lineRule="auto"/>
              <w:ind w:left="270"/>
              <w:jc w:val="center"/>
              <w:rPr>
                <w:rFonts w:ascii="Times New Roman" w:hAnsi="Times New Roman"/>
                <w:sz w:val="20"/>
                <w:szCs w:val="20"/>
              </w:rPr>
            </w:pPr>
            <w:r w:rsidRPr="00712F3C">
              <w:rPr>
                <w:rFonts w:ascii="Times New Roman" w:hAnsi="Times New Roman"/>
                <w:sz w:val="20"/>
                <w:szCs w:val="20"/>
              </w:rPr>
              <w:t>11%</w:t>
            </w:r>
          </w:p>
        </w:tc>
      </w:tr>
    </w:tbl>
    <w:p w14:paraId="12CC8717" w14:textId="77777777" w:rsidR="008A5BEA" w:rsidRPr="00712F3C" w:rsidRDefault="008A5BEA" w:rsidP="008A5BEA">
      <w:pPr>
        <w:tabs>
          <w:tab w:val="left" w:pos="270"/>
        </w:tabs>
        <w:spacing w:after="0" w:line="240" w:lineRule="auto"/>
        <w:ind w:left="270"/>
        <w:jc w:val="both"/>
        <w:rPr>
          <w:rFonts w:ascii="Times New Roman" w:hAnsi="Times New Roman"/>
          <w:sz w:val="20"/>
          <w:szCs w:val="20"/>
        </w:rPr>
      </w:pPr>
      <w:r w:rsidRPr="00712F3C">
        <w:rPr>
          <w:rFonts w:ascii="Times New Roman" w:hAnsi="Times New Roman"/>
          <w:sz w:val="20"/>
          <w:szCs w:val="20"/>
        </w:rPr>
        <w:t>The SEBI Circular bearing reference no: CIR/MRD/DP/ 02/2012 dated January 20, 2012, has laid down that for issue size up to ₹ 250 Crores, the applicable price bands for the first day shall be:</w:t>
      </w:r>
    </w:p>
    <w:p w14:paraId="4B673986" w14:textId="77777777" w:rsidR="008A5BEA" w:rsidRPr="00712F3C" w:rsidRDefault="008A5BEA" w:rsidP="008A5BEA">
      <w:pPr>
        <w:spacing w:after="0" w:line="240" w:lineRule="auto"/>
        <w:ind w:left="270"/>
        <w:jc w:val="both"/>
        <w:rPr>
          <w:rFonts w:ascii="Times New Roman" w:hAnsi="Times New Roman"/>
          <w:sz w:val="20"/>
          <w:szCs w:val="20"/>
        </w:rPr>
      </w:pPr>
    </w:p>
    <w:p w14:paraId="52169E0C" w14:textId="77777777" w:rsidR="008A5BEA" w:rsidRPr="00712F3C" w:rsidRDefault="008A5BEA" w:rsidP="00F038BD">
      <w:pPr>
        <w:numPr>
          <w:ilvl w:val="0"/>
          <w:numId w:val="153"/>
        </w:numPr>
        <w:pBdr>
          <w:top w:val="nil"/>
          <w:left w:val="nil"/>
          <w:bottom w:val="nil"/>
          <w:right w:val="nil"/>
          <w:between w:val="nil"/>
        </w:pBdr>
        <w:spacing w:after="0" w:line="240" w:lineRule="auto"/>
        <w:ind w:left="720"/>
        <w:jc w:val="both"/>
        <w:rPr>
          <w:rFonts w:ascii="Times New Roman" w:hAnsi="Times New Roman"/>
          <w:color w:val="000000"/>
          <w:sz w:val="20"/>
          <w:szCs w:val="20"/>
        </w:rPr>
      </w:pPr>
      <w:r w:rsidRPr="00712F3C">
        <w:rPr>
          <w:rFonts w:ascii="Times New Roman" w:hAnsi="Times New Roman"/>
          <w:color w:val="000000"/>
          <w:sz w:val="20"/>
          <w:szCs w:val="20"/>
        </w:rPr>
        <w:t>In case equilibrium price is discovered in the Call Auction, the price band in the normal trading session shall be 5% of the equilibrium price.</w:t>
      </w:r>
    </w:p>
    <w:p w14:paraId="48BA206E" w14:textId="77777777" w:rsidR="008A5BEA" w:rsidRPr="00712F3C" w:rsidRDefault="008A5BEA" w:rsidP="00F038BD">
      <w:pPr>
        <w:numPr>
          <w:ilvl w:val="0"/>
          <w:numId w:val="153"/>
        </w:numPr>
        <w:pBdr>
          <w:top w:val="nil"/>
          <w:left w:val="nil"/>
          <w:bottom w:val="nil"/>
          <w:right w:val="nil"/>
          <w:between w:val="nil"/>
        </w:pBdr>
        <w:spacing w:after="0" w:line="240" w:lineRule="auto"/>
        <w:ind w:left="720"/>
        <w:jc w:val="both"/>
        <w:rPr>
          <w:rFonts w:ascii="Times New Roman" w:hAnsi="Times New Roman"/>
          <w:color w:val="000000"/>
          <w:sz w:val="20"/>
          <w:szCs w:val="20"/>
        </w:rPr>
      </w:pPr>
      <w:r w:rsidRPr="00712F3C">
        <w:rPr>
          <w:rFonts w:ascii="Times New Roman" w:hAnsi="Times New Roman"/>
          <w:color w:val="000000"/>
          <w:sz w:val="20"/>
          <w:szCs w:val="20"/>
        </w:rPr>
        <w:t>In case equilibrium price is not discovered in the Call Auction, the price band in the normal trading session shall be 5% of the issue price.</w:t>
      </w:r>
    </w:p>
    <w:p w14:paraId="01A2338F" w14:textId="7A98623A" w:rsidR="003A7C1B" w:rsidRDefault="003A7C1B">
      <w:pPr>
        <w:spacing w:after="160" w:line="259" w:lineRule="auto"/>
        <w:rPr>
          <w:rFonts w:ascii="Times New Roman" w:hAnsi="Times New Roman"/>
          <w:b/>
          <w:bCs/>
          <w:sz w:val="20"/>
          <w:szCs w:val="20"/>
        </w:rPr>
      </w:pPr>
      <w:r>
        <w:rPr>
          <w:rFonts w:ascii="Times New Roman" w:hAnsi="Times New Roman"/>
          <w:b/>
          <w:bCs/>
          <w:sz w:val="20"/>
          <w:szCs w:val="20"/>
        </w:rPr>
        <w:br w:type="page"/>
      </w:r>
    </w:p>
    <w:p w14:paraId="09E19252" w14:textId="77777777" w:rsidR="003A7C1B" w:rsidRPr="000860EB" w:rsidRDefault="003A7C1B" w:rsidP="003A7C1B">
      <w:pPr>
        <w:pStyle w:val="BodyText0"/>
        <w:spacing w:before="0" w:after="0"/>
        <w:jc w:val="center"/>
        <w:rPr>
          <w:b/>
          <w:u w:val="single"/>
        </w:rPr>
      </w:pPr>
      <w:r w:rsidRPr="000860EB">
        <w:rPr>
          <w:b/>
          <w:u w:val="single"/>
        </w:rPr>
        <w:lastRenderedPageBreak/>
        <w:t>CAPITAL STRUCTURE</w:t>
      </w:r>
    </w:p>
    <w:p w14:paraId="2DB6F835" w14:textId="77777777" w:rsidR="003A7C1B" w:rsidRPr="000860EB" w:rsidRDefault="003A7C1B" w:rsidP="003A7C1B">
      <w:pPr>
        <w:pStyle w:val="BodyText0"/>
        <w:spacing w:before="0" w:after="0"/>
        <w:jc w:val="center"/>
        <w:rPr>
          <w:b/>
          <w:u w:val="single"/>
        </w:rPr>
      </w:pPr>
    </w:p>
    <w:p w14:paraId="5F5CC75E" w14:textId="77777777" w:rsidR="003A7C1B" w:rsidRPr="000860EB" w:rsidRDefault="003A7C1B" w:rsidP="003A7C1B">
      <w:pPr>
        <w:suppressAutoHyphens/>
        <w:autoSpaceDE w:val="0"/>
        <w:autoSpaceDN w:val="0"/>
        <w:adjustRightInd w:val="0"/>
        <w:spacing w:after="0" w:line="240" w:lineRule="auto"/>
        <w:textAlignment w:val="center"/>
        <w:rPr>
          <w:rFonts w:ascii="Times New Roman" w:hAnsi="Times New Roman"/>
          <w:color w:val="000000"/>
          <w:sz w:val="20"/>
          <w:szCs w:val="20"/>
        </w:rPr>
      </w:pPr>
      <w:r w:rsidRPr="000860EB">
        <w:rPr>
          <w:rFonts w:ascii="Times New Roman" w:hAnsi="Times New Roman"/>
          <w:color w:val="000000"/>
          <w:sz w:val="20"/>
          <w:szCs w:val="20"/>
        </w:rPr>
        <w:t>Set forth below are the details of the Equity Sha</w:t>
      </w:r>
      <w:r w:rsidRPr="000860EB">
        <w:rPr>
          <w:rFonts w:ascii="Times New Roman" w:hAnsi="Times New Roman"/>
          <w:color w:val="000000"/>
          <w:spacing w:val="1"/>
          <w:sz w:val="20"/>
          <w:szCs w:val="20"/>
        </w:rPr>
        <w:t>r</w:t>
      </w:r>
      <w:r w:rsidRPr="000860EB">
        <w:rPr>
          <w:rFonts w:ascii="Times New Roman" w:hAnsi="Times New Roman"/>
          <w:color w:val="000000"/>
          <w:sz w:val="20"/>
          <w:szCs w:val="20"/>
        </w:rPr>
        <w:t xml:space="preserve">e </w:t>
      </w:r>
      <w:r w:rsidRPr="000860EB">
        <w:rPr>
          <w:rFonts w:ascii="Times New Roman" w:hAnsi="Times New Roman"/>
          <w:color w:val="000000"/>
          <w:spacing w:val="1"/>
          <w:sz w:val="20"/>
          <w:szCs w:val="20"/>
        </w:rPr>
        <w:t>C</w:t>
      </w:r>
      <w:r w:rsidRPr="000860EB">
        <w:rPr>
          <w:rFonts w:ascii="Times New Roman" w:hAnsi="Times New Roman"/>
          <w:color w:val="000000"/>
          <w:sz w:val="20"/>
          <w:szCs w:val="20"/>
        </w:rPr>
        <w:t>apit</w:t>
      </w:r>
      <w:r w:rsidRPr="000860EB">
        <w:rPr>
          <w:rFonts w:ascii="Times New Roman" w:hAnsi="Times New Roman"/>
          <w:color w:val="000000"/>
          <w:spacing w:val="-2"/>
          <w:sz w:val="20"/>
          <w:szCs w:val="20"/>
        </w:rPr>
        <w:t>a</w:t>
      </w:r>
      <w:r w:rsidRPr="000860EB">
        <w:rPr>
          <w:rFonts w:ascii="Times New Roman" w:hAnsi="Times New Roman"/>
          <w:color w:val="000000"/>
          <w:sz w:val="20"/>
          <w:szCs w:val="20"/>
        </w:rPr>
        <w:t xml:space="preserve">l of </w:t>
      </w:r>
      <w:r w:rsidRPr="000860EB">
        <w:rPr>
          <w:rFonts w:ascii="Times New Roman" w:hAnsi="Times New Roman"/>
          <w:color w:val="000000"/>
          <w:spacing w:val="1"/>
          <w:sz w:val="20"/>
          <w:szCs w:val="20"/>
        </w:rPr>
        <w:t>o</w:t>
      </w:r>
      <w:r w:rsidRPr="000860EB">
        <w:rPr>
          <w:rFonts w:ascii="Times New Roman" w:hAnsi="Times New Roman"/>
          <w:color w:val="000000"/>
          <w:spacing w:val="-2"/>
          <w:sz w:val="20"/>
          <w:szCs w:val="20"/>
        </w:rPr>
        <w:t>u</w:t>
      </w:r>
      <w:r w:rsidRPr="000860EB">
        <w:rPr>
          <w:rFonts w:ascii="Times New Roman" w:hAnsi="Times New Roman"/>
          <w:color w:val="000000"/>
          <w:sz w:val="20"/>
          <w:szCs w:val="20"/>
        </w:rPr>
        <w:t>r</w:t>
      </w:r>
      <w:r w:rsidRPr="000860EB">
        <w:rPr>
          <w:rFonts w:ascii="Times New Roman" w:hAnsi="Times New Roman"/>
          <w:color w:val="000000"/>
          <w:spacing w:val="1"/>
          <w:sz w:val="20"/>
          <w:szCs w:val="20"/>
        </w:rPr>
        <w:t xml:space="preserve"> Company </w:t>
      </w:r>
      <w:r w:rsidRPr="000860EB">
        <w:rPr>
          <w:rFonts w:ascii="Times New Roman" w:hAnsi="Times New Roman"/>
          <w:color w:val="000000"/>
          <w:sz w:val="20"/>
          <w:szCs w:val="20"/>
        </w:rPr>
        <w:t>as on the d</w:t>
      </w:r>
      <w:r w:rsidRPr="000860EB">
        <w:rPr>
          <w:rFonts w:ascii="Times New Roman" w:hAnsi="Times New Roman"/>
          <w:color w:val="000000"/>
          <w:spacing w:val="-1"/>
          <w:sz w:val="20"/>
          <w:szCs w:val="20"/>
        </w:rPr>
        <w:t>a</w:t>
      </w:r>
      <w:r w:rsidRPr="000860EB">
        <w:rPr>
          <w:rFonts w:ascii="Times New Roman" w:hAnsi="Times New Roman"/>
          <w:color w:val="000000"/>
          <w:spacing w:val="2"/>
          <w:sz w:val="20"/>
          <w:szCs w:val="20"/>
        </w:rPr>
        <w:t>t</w:t>
      </w:r>
      <w:r w:rsidRPr="000860EB">
        <w:rPr>
          <w:rFonts w:ascii="Times New Roman" w:hAnsi="Times New Roman"/>
          <w:color w:val="000000"/>
          <w:sz w:val="20"/>
          <w:szCs w:val="20"/>
        </w:rPr>
        <w:t xml:space="preserve">e of this Draft </w:t>
      </w:r>
      <w:r w:rsidRPr="000860EB">
        <w:rPr>
          <w:rFonts w:ascii="Times New Roman" w:hAnsi="Times New Roman"/>
          <w:sz w:val="20"/>
          <w:szCs w:val="20"/>
        </w:rPr>
        <w:t xml:space="preserve">Red Herring </w:t>
      </w:r>
      <w:r w:rsidRPr="000860EB">
        <w:rPr>
          <w:rFonts w:ascii="Times New Roman" w:hAnsi="Times New Roman"/>
          <w:color w:val="000000"/>
          <w:sz w:val="20"/>
          <w:szCs w:val="20"/>
        </w:rPr>
        <w:t>Prospectus</w:t>
      </w:r>
      <w:r>
        <w:rPr>
          <w:rFonts w:ascii="Times New Roman" w:hAnsi="Times New Roman"/>
          <w:color w:val="000000"/>
          <w:sz w:val="20"/>
          <w:szCs w:val="20"/>
        </w:rPr>
        <w:t>:</w:t>
      </w:r>
    </w:p>
    <w:p w14:paraId="0559513F" w14:textId="77777777" w:rsidR="003A7C1B" w:rsidRPr="000860EB" w:rsidRDefault="003A7C1B" w:rsidP="003A7C1B">
      <w:pPr>
        <w:suppressAutoHyphens/>
        <w:autoSpaceDE w:val="0"/>
        <w:autoSpaceDN w:val="0"/>
        <w:adjustRightInd w:val="0"/>
        <w:spacing w:after="0" w:line="240" w:lineRule="auto"/>
        <w:textAlignment w:val="center"/>
        <w:rPr>
          <w:rFonts w:ascii="Times New Roman" w:hAnsi="Times New Roman"/>
          <w:color w:val="000000"/>
          <w:sz w:val="20"/>
          <w:szCs w:val="20"/>
        </w:rPr>
      </w:pPr>
    </w:p>
    <w:p w14:paraId="4E8E872C" w14:textId="77777777" w:rsidR="003A7C1B" w:rsidRPr="000860EB" w:rsidRDefault="003A7C1B" w:rsidP="003A7C1B">
      <w:pPr>
        <w:suppressAutoHyphens/>
        <w:autoSpaceDE w:val="0"/>
        <w:autoSpaceDN w:val="0"/>
        <w:adjustRightInd w:val="0"/>
        <w:spacing w:after="0" w:line="240" w:lineRule="auto"/>
        <w:jc w:val="right"/>
        <w:textAlignment w:val="center"/>
        <w:rPr>
          <w:rFonts w:ascii="Times New Roman" w:hAnsi="Times New Roman"/>
          <w:b/>
          <w:color w:val="000000"/>
          <w:sz w:val="20"/>
          <w:szCs w:val="20"/>
        </w:rPr>
      </w:pPr>
      <w:r w:rsidRPr="000860EB">
        <w:rPr>
          <w:rFonts w:ascii="Times New Roman" w:hAnsi="Times New Roman"/>
          <w:b/>
          <w:color w:val="000000"/>
          <w:sz w:val="20"/>
          <w:szCs w:val="20"/>
        </w:rPr>
        <w:t>(</w:t>
      </w:r>
      <w:r w:rsidRPr="000860EB">
        <w:rPr>
          <w:rFonts w:ascii="Times New Roman" w:eastAsia="Calibri" w:hAnsi="Times New Roman"/>
          <w:b/>
          <w:color w:val="000000"/>
          <w:sz w:val="20"/>
          <w:szCs w:val="20"/>
        </w:rPr>
        <w:t xml:space="preserve">₹ </w:t>
      </w:r>
      <w:r w:rsidRPr="000860EB">
        <w:rPr>
          <w:rFonts w:ascii="Times New Roman" w:hAnsi="Times New Roman"/>
          <w:b/>
          <w:color w:val="000000"/>
          <w:sz w:val="20"/>
          <w:szCs w:val="20"/>
        </w:rPr>
        <w:t>in Lakhs, except share data)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6431"/>
        <w:gridCol w:w="1650"/>
        <w:gridCol w:w="1667"/>
      </w:tblGrid>
      <w:tr w:rsidR="003A7C1B" w:rsidRPr="000860EB" w14:paraId="3DFB48D4" w14:textId="77777777" w:rsidTr="003A7C1B">
        <w:trPr>
          <w:trHeight w:val="20"/>
        </w:trPr>
        <w:tc>
          <w:tcPr>
            <w:tcW w:w="339" w:type="pct"/>
            <w:shd w:val="clear" w:color="auto" w:fill="D0CECE" w:themeFill="background2" w:themeFillShade="E6"/>
            <w:hideMark/>
          </w:tcPr>
          <w:p w14:paraId="4CE4800B" w14:textId="77777777" w:rsidR="003A7C1B" w:rsidRPr="000860EB" w:rsidRDefault="003A7C1B" w:rsidP="003A7C1B">
            <w:pPr>
              <w:suppressAutoHyphens/>
              <w:autoSpaceDE w:val="0"/>
              <w:autoSpaceDN w:val="0"/>
              <w:adjustRightInd w:val="0"/>
              <w:spacing w:after="0"/>
              <w:jc w:val="center"/>
              <w:textAlignment w:val="center"/>
              <w:rPr>
                <w:rFonts w:ascii="Times New Roman" w:eastAsia="Calibri" w:hAnsi="Times New Roman"/>
                <w:b/>
                <w:color w:val="000000"/>
                <w:sz w:val="20"/>
                <w:szCs w:val="20"/>
                <w:lang w:eastAsia="en-IN"/>
              </w:rPr>
            </w:pPr>
            <w:r w:rsidRPr="000860EB">
              <w:rPr>
                <w:rFonts w:ascii="Times New Roman" w:eastAsia="Calibri" w:hAnsi="Times New Roman"/>
                <w:b/>
                <w:color w:val="000000"/>
                <w:sz w:val="20"/>
                <w:szCs w:val="20"/>
              </w:rPr>
              <w:t>Sr. No.</w:t>
            </w:r>
          </w:p>
        </w:tc>
        <w:tc>
          <w:tcPr>
            <w:tcW w:w="3075" w:type="pct"/>
            <w:shd w:val="clear" w:color="auto" w:fill="D0CECE" w:themeFill="background2" w:themeFillShade="E6"/>
            <w:hideMark/>
          </w:tcPr>
          <w:p w14:paraId="751116C3" w14:textId="77777777" w:rsidR="003A7C1B" w:rsidRPr="000860EB" w:rsidRDefault="003A7C1B" w:rsidP="003A7C1B">
            <w:pPr>
              <w:suppressAutoHyphens/>
              <w:autoSpaceDE w:val="0"/>
              <w:autoSpaceDN w:val="0"/>
              <w:adjustRightInd w:val="0"/>
              <w:spacing w:after="0"/>
              <w:jc w:val="center"/>
              <w:textAlignment w:val="center"/>
              <w:rPr>
                <w:rFonts w:ascii="Times New Roman" w:eastAsia="Calibri" w:hAnsi="Times New Roman"/>
                <w:b/>
                <w:color w:val="000000"/>
                <w:sz w:val="20"/>
                <w:szCs w:val="20"/>
              </w:rPr>
            </w:pPr>
            <w:r w:rsidRPr="000860EB">
              <w:rPr>
                <w:rFonts w:ascii="Times New Roman" w:eastAsia="Calibri" w:hAnsi="Times New Roman"/>
                <w:b/>
                <w:color w:val="000000"/>
                <w:sz w:val="20"/>
                <w:szCs w:val="20"/>
              </w:rPr>
              <w:t>Particulars</w:t>
            </w:r>
          </w:p>
        </w:tc>
        <w:tc>
          <w:tcPr>
            <w:tcW w:w="789" w:type="pct"/>
            <w:shd w:val="clear" w:color="auto" w:fill="D0CECE" w:themeFill="background2" w:themeFillShade="E6"/>
            <w:hideMark/>
          </w:tcPr>
          <w:p w14:paraId="2BA31ED8" w14:textId="77777777" w:rsidR="003A7C1B" w:rsidRPr="000860EB" w:rsidRDefault="003A7C1B" w:rsidP="003A7C1B">
            <w:pPr>
              <w:suppressAutoHyphens/>
              <w:autoSpaceDE w:val="0"/>
              <w:autoSpaceDN w:val="0"/>
              <w:adjustRightInd w:val="0"/>
              <w:spacing w:after="0"/>
              <w:jc w:val="center"/>
              <w:textAlignment w:val="center"/>
              <w:rPr>
                <w:rFonts w:ascii="Times New Roman" w:eastAsia="Calibri" w:hAnsi="Times New Roman"/>
                <w:b/>
                <w:color w:val="000000"/>
                <w:sz w:val="20"/>
                <w:szCs w:val="20"/>
              </w:rPr>
            </w:pPr>
            <w:r w:rsidRPr="000860EB">
              <w:rPr>
                <w:rFonts w:ascii="Times New Roman" w:eastAsia="Calibri" w:hAnsi="Times New Roman"/>
                <w:b/>
                <w:color w:val="000000"/>
                <w:sz w:val="20"/>
                <w:szCs w:val="20"/>
              </w:rPr>
              <w:t>Aggregate Value at Face Value</w:t>
            </w:r>
          </w:p>
        </w:tc>
        <w:tc>
          <w:tcPr>
            <w:tcW w:w="797" w:type="pct"/>
            <w:shd w:val="clear" w:color="auto" w:fill="D0CECE" w:themeFill="background2" w:themeFillShade="E6"/>
            <w:hideMark/>
          </w:tcPr>
          <w:p w14:paraId="2BE2FC71" w14:textId="77777777" w:rsidR="003A7C1B" w:rsidRPr="000860EB" w:rsidRDefault="003A7C1B" w:rsidP="003A7C1B">
            <w:pPr>
              <w:suppressAutoHyphens/>
              <w:autoSpaceDE w:val="0"/>
              <w:autoSpaceDN w:val="0"/>
              <w:adjustRightInd w:val="0"/>
              <w:spacing w:after="0"/>
              <w:jc w:val="center"/>
              <w:textAlignment w:val="center"/>
              <w:rPr>
                <w:rFonts w:ascii="Times New Roman" w:eastAsia="Calibri" w:hAnsi="Times New Roman"/>
                <w:b/>
                <w:color w:val="000000"/>
                <w:sz w:val="20"/>
                <w:szCs w:val="20"/>
              </w:rPr>
            </w:pPr>
            <w:r w:rsidRPr="000860EB">
              <w:rPr>
                <w:rFonts w:ascii="Times New Roman" w:eastAsia="Calibri" w:hAnsi="Times New Roman"/>
                <w:b/>
                <w:color w:val="000000"/>
                <w:sz w:val="20"/>
                <w:szCs w:val="20"/>
              </w:rPr>
              <w:t>Aggregate Value at Issue Price</w:t>
            </w:r>
          </w:p>
        </w:tc>
      </w:tr>
      <w:tr w:rsidR="003A7C1B" w:rsidRPr="000860EB" w14:paraId="3F080368" w14:textId="77777777" w:rsidTr="003A7C1B">
        <w:trPr>
          <w:trHeight w:val="20"/>
        </w:trPr>
        <w:tc>
          <w:tcPr>
            <w:tcW w:w="339" w:type="pct"/>
            <w:shd w:val="clear" w:color="auto" w:fill="auto"/>
            <w:vAlign w:val="center"/>
            <w:hideMark/>
          </w:tcPr>
          <w:p w14:paraId="6C25B552" w14:textId="77777777" w:rsidR="003A7C1B" w:rsidRPr="000860EB" w:rsidRDefault="003A7C1B" w:rsidP="003A7C1B">
            <w:pPr>
              <w:suppressAutoHyphens/>
              <w:autoSpaceDE w:val="0"/>
              <w:autoSpaceDN w:val="0"/>
              <w:adjustRightInd w:val="0"/>
              <w:spacing w:after="0" w:line="240" w:lineRule="auto"/>
              <w:jc w:val="center"/>
              <w:textAlignment w:val="center"/>
              <w:rPr>
                <w:rFonts w:ascii="Times New Roman" w:eastAsia="Calibri" w:hAnsi="Times New Roman"/>
                <w:b/>
                <w:color w:val="000000"/>
                <w:sz w:val="20"/>
                <w:szCs w:val="20"/>
                <w:lang w:eastAsia="en-IN"/>
              </w:rPr>
            </w:pPr>
            <w:r w:rsidRPr="000860EB">
              <w:rPr>
                <w:rFonts w:ascii="Times New Roman" w:eastAsia="Calibri" w:hAnsi="Times New Roman"/>
                <w:b/>
                <w:color w:val="000000"/>
                <w:sz w:val="20"/>
                <w:szCs w:val="20"/>
                <w:lang w:eastAsia="en-IN"/>
              </w:rPr>
              <w:t>A</w:t>
            </w:r>
          </w:p>
        </w:tc>
        <w:tc>
          <w:tcPr>
            <w:tcW w:w="3075" w:type="pct"/>
            <w:shd w:val="clear" w:color="auto" w:fill="auto"/>
            <w:hideMark/>
          </w:tcPr>
          <w:p w14:paraId="7DA9EF7D" w14:textId="77777777" w:rsidR="003A7C1B" w:rsidRPr="000860EB" w:rsidRDefault="003A7C1B" w:rsidP="003A7C1B">
            <w:pPr>
              <w:suppressAutoHyphens/>
              <w:autoSpaceDE w:val="0"/>
              <w:autoSpaceDN w:val="0"/>
              <w:adjustRightInd w:val="0"/>
              <w:spacing w:after="0" w:line="240" w:lineRule="auto"/>
              <w:jc w:val="both"/>
              <w:textAlignment w:val="center"/>
              <w:rPr>
                <w:rFonts w:ascii="Times New Roman" w:eastAsia="Calibri" w:hAnsi="Times New Roman"/>
                <w:b/>
                <w:color w:val="000000"/>
                <w:sz w:val="20"/>
                <w:szCs w:val="20"/>
                <w:lang w:eastAsia="en-IN"/>
              </w:rPr>
            </w:pPr>
            <w:r w:rsidRPr="000860EB">
              <w:rPr>
                <w:rFonts w:ascii="Times New Roman" w:eastAsia="Calibri" w:hAnsi="Times New Roman"/>
                <w:b/>
                <w:color w:val="000000"/>
                <w:sz w:val="20"/>
                <w:szCs w:val="20"/>
                <w:lang w:eastAsia="en-IN"/>
              </w:rPr>
              <w:t>Authorized Share Capital</w:t>
            </w:r>
          </w:p>
          <w:p w14:paraId="7B559368" w14:textId="77777777" w:rsidR="003A7C1B" w:rsidRPr="000860EB" w:rsidRDefault="003A7C1B" w:rsidP="003A7C1B">
            <w:pPr>
              <w:suppressAutoHyphens/>
              <w:autoSpaceDE w:val="0"/>
              <w:autoSpaceDN w:val="0"/>
              <w:adjustRightInd w:val="0"/>
              <w:spacing w:after="0" w:line="240" w:lineRule="auto"/>
              <w:jc w:val="both"/>
              <w:textAlignment w:val="center"/>
              <w:rPr>
                <w:rFonts w:ascii="Times New Roman" w:eastAsia="Calibri" w:hAnsi="Times New Roman"/>
                <w:color w:val="000000"/>
                <w:sz w:val="20"/>
                <w:szCs w:val="20"/>
                <w:lang w:eastAsia="en-IN"/>
              </w:rPr>
            </w:pPr>
            <w:r w:rsidRPr="000860EB">
              <w:rPr>
                <w:rFonts w:ascii="Times New Roman" w:eastAsia="MS Mincho" w:hAnsi="Times New Roman"/>
                <w:sz w:val="20"/>
                <w:szCs w:val="20"/>
              </w:rPr>
              <w:t xml:space="preserve">2,00,00,000 </w:t>
            </w:r>
            <w:r w:rsidRPr="000860EB">
              <w:rPr>
                <w:rFonts w:ascii="Times New Roman" w:eastAsia="Calibri" w:hAnsi="Times New Roman"/>
                <w:color w:val="000000"/>
                <w:sz w:val="20"/>
                <w:szCs w:val="20"/>
                <w:lang w:eastAsia="en-IN"/>
              </w:rPr>
              <w:t xml:space="preserve">Equity Shares having Face Value of </w:t>
            </w:r>
            <w:r w:rsidRPr="000860EB">
              <w:rPr>
                <w:rFonts w:ascii="Times New Roman" w:eastAsia="Calibri" w:hAnsi="Times New Roman"/>
                <w:color w:val="000000"/>
                <w:sz w:val="20"/>
                <w:szCs w:val="20"/>
              </w:rPr>
              <w:t>₹ 10/-</w:t>
            </w:r>
            <w:r w:rsidRPr="000860EB">
              <w:rPr>
                <w:rFonts w:ascii="Times New Roman" w:eastAsia="Calibri" w:hAnsi="Times New Roman"/>
                <w:color w:val="000000"/>
                <w:sz w:val="20"/>
                <w:szCs w:val="20"/>
                <w:lang w:eastAsia="en-IN"/>
              </w:rPr>
              <w:t xml:space="preserve"> each</w:t>
            </w:r>
          </w:p>
        </w:tc>
        <w:tc>
          <w:tcPr>
            <w:tcW w:w="789" w:type="pct"/>
            <w:shd w:val="clear" w:color="auto" w:fill="auto"/>
            <w:vAlign w:val="center"/>
            <w:hideMark/>
          </w:tcPr>
          <w:p w14:paraId="1D04E682" w14:textId="77777777" w:rsidR="003A7C1B" w:rsidRPr="000860EB" w:rsidRDefault="003A7C1B" w:rsidP="003A7C1B">
            <w:pPr>
              <w:suppressAutoHyphens/>
              <w:autoSpaceDE w:val="0"/>
              <w:autoSpaceDN w:val="0"/>
              <w:adjustRightInd w:val="0"/>
              <w:spacing w:after="0" w:line="240" w:lineRule="auto"/>
              <w:jc w:val="center"/>
              <w:textAlignment w:val="center"/>
              <w:rPr>
                <w:rFonts w:ascii="Times New Roman" w:eastAsia="Calibri" w:hAnsi="Times New Roman"/>
                <w:color w:val="000000"/>
                <w:sz w:val="20"/>
                <w:szCs w:val="20"/>
                <w:lang w:eastAsia="en-IN"/>
              </w:rPr>
            </w:pPr>
            <w:r w:rsidRPr="000860EB">
              <w:rPr>
                <w:rFonts w:ascii="Times New Roman" w:eastAsia="Calibri" w:hAnsi="Times New Roman"/>
                <w:color w:val="000000"/>
                <w:sz w:val="20"/>
                <w:szCs w:val="20"/>
                <w:lang w:eastAsia="en-IN"/>
              </w:rPr>
              <w:t>2,000.00</w:t>
            </w:r>
          </w:p>
        </w:tc>
        <w:tc>
          <w:tcPr>
            <w:tcW w:w="797" w:type="pct"/>
            <w:shd w:val="clear" w:color="auto" w:fill="auto"/>
            <w:vAlign w:val="center"/>
            <w:hideMark/>
          </w:tcPr>
          <w:p w14:paraId="600BC817" w14:textId="77777777" w:rsidR="003A7C1B" w:rsidRPr="000860EB" w:rsidRDefault="003A7C1B" w:rsidP="003A7C1B">
            <w:pPr>
              <w:suppressAutoHyphens/>
              <w:autoSpaceDE w:val="0"/>
              <w:autoSpaceDN w:val="0"/>
              <w:adjustRightInd w:val="0"/>
              <w:spacing w:after="0" w:line="240" w:lineRule="auto"/>
              <w:jc w:val="center"/>
              <w:textAlignment w:val="center"/>
              <w:rPr>
                <w:rFonts w:ascii="Times New Roman" w:eastAsia="Calibri" w:hAnsi="Times New Roman"/>
                <w:color w:val="000000"/>
                <w:sz w:val="20"/>
                <w:szCs w:val="20"/>
                <w:lang w:eastAsia="en-IN"/>
              </w:rPr>
            </w:pPr>
            <w:r w:rsidRPr="000860EB">
              <w:rPr>
                <w:rFonts w:ascii="Times New Roman" w:eastAsia="Calibri" w:hAnsi="Times New Roman"/>
                <w:color w:val="000000"/>
                <w:sz w:val="20"/>
                <w:szCs w:val="20"/>
                <w:lang w:eastAsia="en-IN"/>
              </w:rPr>
              <w:t>-</w:t>
            </w:r>
          </w:p>
        </w:tc>
      </w:tr>
      <w:tr w:rsidR="003A7C1B" w:rsidRPr="000860EB" w14:paraId="1970F77D" w14:textId="77777777" w:rsidTr="003A7C1B">
        <w:trPr>
          <w:trHeight w:val="20"/>
        </w:trPr>
        <w:tc>
          <w:tcPr>
            <w:tcW w:w="339" w:type="pct"/>
            <w:shd w:val="clear" w:color="auto" w:fill="auto"/>
            <w:vAlign w:val="center"/>
            <w:hideMark/>
          </w:tcPr>
          <w:p w14:paraId="31777995" w14:textId="77777777" w:rsidR="003A7C1B" w:rsidRPr="000860EB" w:rsidRDefault="003A7C1B" w:rsidP="003A7C1B">
            <w:pPr>
              <w:suppressAutoHyphens/>
              <w:autoSpaceDE w:val="0"/>
              <w:autoSpaceDN w:val="0"/>
              <w:adjustRightInd w:val="0"/>
              <w:spacing w:after="0" w:line="240" w:lineRule="auto"/>
              <w:jc w:val="center"/>
              <w:textAlignment w:val="center"/>
              <w:rPr>
                <w:rFonts w:ascii="Times New Roman" w:eastAsia="Calibri" w:hAnsi="Times New Roman"/>
                <w:b/>
                <w:color w:val="000000"/>
                <w:sz w:val="20"/>
                <w:szCs w:val="20"/>
                <w:lang w:eastAsia="en-IN"/>
              </w:rPr>
            </w:pPr>
            <w:r w:rsidRPr="000860EB">
              <w:rPr>
                <w:rFonts w:ascii="Times New Roman" w:eastAsia="Calibri" w:hAnsi="Times New Roman"/>
                <w:b/>
                <w:color w:val="000000"/>
                <w:sz w:val="20"/>
                <w:szCs w:val="20"/>
                <w:lang w:eastAsia="en-IN"/>
              </w:rPr>
              <w:t>B</w:t>
            </w:r>
          </w:p>
        </w:tc>
        <w:tc>
          <w:tcPr>
            <w:tcW w:w="3075" w:type="pct"/>
            <w:shd w:val="clear" w:color="auto" w:fill="auto"/>
            <w:hideMark/>
          </w:tcPr>
          <w:p w14:paraId="4F8029F0" w14:textId="77777777" w:rsidR="003A7C1B" w:rsidRPr="000860EB" w:rsidRDefault="003A7C1B" w:rsidP="003A7C1B">
            <w:pPr>
              <w:suppressAutoHyphens/>
              <w:autoSpaceDE w:val="0"/>
              <w:autoSpaceDN w:val="0"/>
              <w:adjustRightInd w:val="0"/>
              <w:spacing w:after="0" w:line="240" w:lineRule="auto"/>
              <w:jc w:val="both"/>
              <w:textAlignment w:val="center"/>
              <w:rPr>
                <w:rFonts w:ascii="Times New Roman" w:eastAsia="Calibri" w:hAnsi="Times New Roman"/>
                <w:b/>
                <w:color w:val="000000"/>
                <w:sz w:val="20"/>
                <w:szCs w:val="20"/>
                <w:lang w:eastAsia="en-IN"/>
              </w:rPr>
            </w:pPr>
            <w:r w:rsidRPr="000860EB">
              <w:rPr>
                <w:rFonts w:ascii="Times New Roman" w:eastAsia="Calibri" w:hAnsi="Times New Roman"/>
                <w:b/>
                <w:color w:val="000000"/>
                <w:sz w:val="20"/>
                <w:szCs w:val="20"/>
                <w:lang w:eastAsia="en-IN"/>
              </w:rPr>
              <w:t>Issued, Subscribed &amp; Paid-up Share Capital prior to the Issue</w:t>
            </w:r>
          </w:p>
          <w:p w14:paraId="02D5A9BE" w14:textId="77777777" w:rsidR="003A7C1B" w:rsidRPr="000860EB" w:rsidRDefault="003A7C1B" w:rsidP="003A7C1B">
            <w:pPr>
              <w:suppressAutoHyphens/>
              <w:autoSpaceDE w:val="0"/>
              <w:autoSpaceDN w:val="0"/>
              <w:adjustRightInd w:val="0"/>
              <w:spacing w:after="0" w:line="240" w:lineRule="auto"/>
              <w:jc w:val="both"/>
              <w:textAlignment w:val="center"/>
              <w:rPr>
                <w:rFonts w:ascii="Times New Roman" w:eastAsia="Calibri" w:hAnsi="Times New Roman"/>
                <w:color w:val="000000"/>
                <w:sz w:val="20"/>
                <w:szCs w:val="20"/>
                <w:lang w:eastAsia="en-IN"/>
              </w:rPr>
            </w:pPr>
            <w:r w:rsidRPr="000860EB">
              <w:rPr>
                <w:rFonts w:ascii="Times New Roman" w:eastAsia="MS Mincho" w:hAnsi="Times New Roman"/>
                <w:sz w:val="20"/>
                <w:szCs w:val="20"/>
              </w:rPr>
              <w:t xml:space="preserve">1,38,05,500 </w:t>
            </w:r>
            <w:r w:rsidRPr="000860EB">
              <w:rPr>
                <w:rFonts w:ascii="Times New Roman" w:eastAsia="Calibri" w:hAnsi="Times New Roman"/>
                <w:color w:val="000000"/>
                <w:sz w:val="20"/>
                <w:szCs w:val="20"/>
                <w:lang w:eastAsia="en-IN"/>
              </w:rPr>
              <w:t xml:space="preserve">Equity Shares having Face Value of </w:t>
            </w:r>
            <w:r w:rsidRPr="000860EB">
              <w:rPr>
                <w:rFonts w:ascii="Times New Roman" w:eastAsia="Calibri" w:hAnsi="Times New Roman"/>
                <w:color w:val="000000"/>
                <w:sz w:val="20"/>
                <w:szCs w:val="20"/>
              </w:rPr>
              <w:t>₹</w:t>
            </w:r>
            <w:r w:rsidRPr="000860EB">
              <w:rPr>
                <w:rFonts w:ascii="Times New Roman" w:eastAsia="Calibri" w:hAnsi="Times New Roman"/>
                <w:color w:val="000000"/>
                <w:sz w:val="20"/>
                <w:szCs w:val="20"/>
                <w:lang w:eastAsia="en-IN"/>
              </w:rPr>
              <w:t>10/- each</w:t>
            </w:r>
          </w:p>
        </w:tc>
        <w:tc>
          <w:tcPr>
            <w:tcW w:w="789" w:type="pct"/>
            <w:shd w:val="clear" w:color="auto" w:fill="auto"/>
            <w:vAlign w:val="center"/>
          </w:tcPr>
          <w:p w14:paraId="59DD916C" w14:textId="77777777" w:rsidR="003A7C1B" w:rsidRPr="000860EB" w:rsidRDefault="003A7C1B" w:rsidP="003A7C1B">
            <w:pPr>
              <w:suppressAutoHyphens/>
              <w:autoSpaceDE w:val="0"/>
              <w:autoSpaceDN w:val="0"/>
              <w:adjustRightInd w:val="0"/>
              <w:spacing w:after="0" w:line="240" w:lineRule="auto"/>
              <w:jc w:val="center"/>
              <w:textAlignment w:val="center"/>
              <w:rPr>
                <w:rFonts w:ascii="Times New Roman" w:eastAsia="Calibri" w:hAnsi="Times New Roman"/>
                <w:color w:val="000000"/>
                <w:sz w:val="20"/>
                <w:szCs w:val="20"/>
              </w:rPr>
            </w:pPr>
            <w:r w:rsidRPr="000860EB">
              <w:rPr>
                <w:rFonts w:ascii="Times New Roman" w:eastAsia="MS Mincho" w:hAnsi="Times New Roman"/>
                <w:sz w:val="20"/>
                <w:szCs w:val="20"/>
              </w:rPr>
              <w:t>1,380.55</w:t>
            </w:r>
          </w:p>
        </w:tc>
        <w:tc>
          <w:tcPr>
            <w:tcW w:w="797" w:type="pct"/>
            <w:shd w:val="clear" w:color="auto" w:fill="auto"/>
            <w:vAlign w:val="center"/>
          </w:tcPr>
          <w:p w14:paraId="2420CD4E" w14:textId="77777777" w:rsidR="003A7C1B" w:rsidRPr="000860EB" w:rsidRDefault="003A7C1B" w:rsidP="003A7C1B">
            <w:pPr>
              <w:suppressAutoHyphens/>
              <w:autoSpaceDE w:val="0"/>
              <w:autoSpaceDN w:val="0"/>
              <w:adjustRightInd w:val="0"/>
              <w:spacing w:after="0" w:line="240" w:lineRule="auto"/>
              <w:jc w:val="center"/>
              <w:textAlignment w:val="center"/>
              <w:rPr>
                <w:rFonts w:ascii="Times New Roman" w:eastAsia="Calibri" w:hAnsi="Times New Roman"/>
                <w:color w:val="000000"/>
                <w:sz w:val="20"/>
                <w:szCs w:val="20"/>
              </w:rPr>
            </w:pPr>
            <w:r w:rsidRPr="000860EB">
              <w:rPr>
                <w:rFonts w:ascii="Times New Roman" w:eastAsia="Calibri" w:hAnsi="Times New Roman"/>
                <w:color w:val="000000"/>
                <w:sz w:val="20"/>
                <w:szCs w:val="20"/>
                <w:lang w:eastAsia="en-IN"/>
              </w:rPr>
              <w:t>-</w:t>
            </w:r>
          </w:p>
        </w:tc>
      </w:tr>
      <w:tr w:rsidR="003A7C1B" w:rsidRPr="000860EB" w14:paraId="7C2CCF8B" w14:textId="77777777" w:rsidTr="003A7C1B">
        <w:trPr>
          <w:trHeight w:val="20"/>
        </w:trPr>
        <w:tc>
          <w:tcPr>
            <w:tcW w:w="339" w:type="pct"/>
            <w:shd w:val="clear" w:color="auto" w:fill="auto"/>
            <w:vAlign w:val="center"/>
            <w:hideMark/>
          </w:tcPr>
          <w:p w14:paraId="1DD33B32" w14:textId="77777777" w:rsidR="003A7C1B" w:rsidRPr="000860EB" w:rsidRDefault="003A7C1B" w:rsidP="003A7C1B">
            <w:pPr>
              <w:suppressAutoHyphens/>
              <w:autoSpaceDE w:val="0"/>
              <w:autoSpaceDN w:val="0"/>
              <w:adjustRightInd w:val="0"/>
              <w:spacing w:after="0" w:line="240" w:lineRule="auto"/>
              <w:jc w:val="center"/>
              <w:textAlignment w:val="center"/>
              <w:rPr>
                <w:rFonts w:ascii="Times New Roman" w:eastAsia="Calibri" w:hAnsi="Times New Roman"/>
                <w:b/>
                <w:color w:val="000000"/>
                <w:sz w:val="20"/>
                <w:szCs w:val="20"/>
                <w:lang w:eastAsia="en-IN"/>
              </w:rPr>
            </w:pPr>
            <w:r w:rsidRPr="000860EB">
              <w:rPr>
                <w:rFonts w:ascii="Times New Roman" w:eastAsia="Calibri" w:hAnsi="Times New Roman"/>
                <w:b/>
                <w:color w:val="000000"/>
                <w:sz w:val="20"/>
                <w:szCs w:val="20"/>
                <w:lang w:eastAsia="en-IN"/>
              </w:rPr>
              <w:t>C</w:t>
            </w:r>
          </w:p>
        </w:tc>
        <w:tc>
          <w:tcPr>
            <w:tcW w:w="3075" w:type="pct"/>
            <w:shd w:val="clear" w:color="auto" w:fill="auto"/>
            <w:hideMark/>
          </w:tcPr>
          <w:p w14:paraId="4B92BD43" w14:textId="77777777" w:rsidR="003A7C1B" w:rsidRPr="000860EB" w:rsidRDefault="003A7C1B" w:rsidP="003A7C1B">
            <w:pPr>
              <w:suppressAutoHyphens/>
              <w:autoSpaceDE w:val="0"/>
              <w:autoSpaceDN w:val="0"/>
              <w:adjustRightInd w:val="0"/>
              <w:spacing w:after="0" w:line="240" w:lineRule="auto"/>
              <w:jc w:val="both"/>
              <w:textAlignment w:val="center"/>
              <w:rPr>
                <w:rFonts w:ascii="Times New Roman" w:eastAsia="Calibri" w:hAnsi="Times New Roman"/>
                <w:b/>
                <w:color w:val="000000"/>
                <w:sz w:val="20"/>
                <w:szCs w:val="20"/>
              </w:rPr>
            </w:pPr>
            <w:r w:rsidRPr="000860EB">
              <w:rPr>
                <w:rFonts w:ascii="Times New Roman" w:eastAsia="Calibri" w:hAnsi="Times New Roman"/>
                <w:b/>
                <w:color w:val="000000"/>
                <w:sz w:val="20"/>
                <w:szCs w:val="20"/>
              </w:rPr>
              <w:t>Present Issue in terms of this Draft Red Herring Prospectus*</w:t>
            </w:r>
          </w:p>
          <w:p w14:paraId="577393D9" w14:textId="77777777" w:rsidR="003A7C1B" w:rsidRPr="000860EB" w:rsidRDefault="003A7C1B" w:rsidP="003A7C1B">
            <w:pPr>
              <w:suppressAutoHyphens/>
              <w:autoSpaceDE w:val="0"/>
              <w:autoSpaceDN w:val="0"/>
              <w:adjustRightInd w:val="0"/>
              <w:spacing w:after="0" w:line="240" w:lineRule="auto"/>
              <w:jc w:val="both"/>
              <w:textAlignment w:val="center"/>
              <w:rPr>
                <w:rFonts w:ascii="Times New Roman" w:eastAsia="Calibri" w:hAnsi="Times New Roman"/>
                <w:b/>
                <w:bCs/>
                <w:color w:val="000000"/>
                <w:sz w:val="20"/>
                <w:szCs w:val="20"/>
              </w:rPr>
            </w:pPr>
            <w:r w:rsidRPr="000860EB">
              <w:rPr>
                <w:rFonts w:ascii="Times New Roman" w:eastAsia="MS Mincho" w:hAnsi="Times New Roman"/>
                <w:sz w:val="20"/>
                <w:szCs w:val="20"/>
              </w:rPr>
              <w:t xml:space="preserve">Upto 49,92,000 </w:t>
            </w:r>
            <w:r w:rsidRPr="000860EB">
              <w:rPr>
                <w:rFonts w:ascii="Times New Roman" w:eastAsia="Calibri" w:hAnsi="Times New Roman"/>
                <w:color w:val="000000"/>
                <w:sz w:val="20"/>
                <w:szCs w:val="20"/>
              </w:rPr>
              <w:t>Equity Shares having Face Value of ₹ 10/-</w:t>
            </w:r>
            <w:r>
              <w:rPr>
                <w:rFonts w:ascii="Times New Roman" w:eastAsia="Calibri" w:hAnsi="Times New Roman"/>
                <w:color w:val="000000"/>
                <w:sz w:val="20"/>
                <w:szCs w:val="20"/>
              </w:rPr>
              <w:t xml:space="preserve"> </w:t>
            </w:r>
            <w:r w:rsidRPr="000860EB">
              <w:rPr>
                <w:rFonts w:ascii="Times New Roman" w:eastAsia="Calibri" w:hAnsi="Times New Roman"/>
                <w:color w:val="000000"/>
                <w:sz w:val="20"/>
                <w:szCs w:val="20"/>
              </w:rPr>
              <w:t xml:space="preserve">each at a </w:t>
            </w:r>
            <w:r w:rsidRPr="000860EB">
              <w:rPr>
                <w:rFonts w:ascii="Times New Roman" w:eastAsia="Calibri" w:hAnsi="Times New Roman"/>
                <w:sz w:val="20"/>
                <w:szCs w:val="20"/>
              </w:rPr>
              <w:t xml:space="preserve">price </w:t>
            </w:r>
            <w:r w:rsidRPr="000860EB">
              <w:rPr>
                <w:rFonts w:ascii="Times New Roman" w:eastAsia="Calibri" w:hAnsi="Times New Roman"/>
                <w:color w:val="000000"/>
                <w:sz w:val="20"/>
                <w:szCs w:val="20"/>
              </w:rPr>
              <w:t xml:space="preserve">of ₹ </w:t>
            </w:r>
            <w:r w:rsidRPr="000860EB">
              <w:rPr>
                <w:rFonts w:ascii="Times New Roman" w:eastAsia="MS Mincho" w:hAnsi="Times New Roman"/>
                <w:color w:val="000000"/>
                <w:sz w:val="20"/>
                <w:szCs w:val="20"/>
                <w:lang w:val="en-GB"/>
              </w:rPr>
              <w:t xml:space="preserve">[●] </w:t>
            </w:r>
            <w:r w:rsidRPr="000860EB">
              <w:rPr>
                <w:rFonts w:ascii="Times New Roman" w:eastAsia="Calibri" w:hAnsi="Times New Roman"/>
                <w:color w:val="000000"/>
                <w:sz w:val="20"/>
                <w:szCs w:val="20"/>
              </w:rPr>
              <w:t xml:space="preserve">per share </w:t>
            </w:r>
          </w:p>
        </w:tc>
        <w:tc>
          <w:tcPr>
            <w:tcW w:w="789" w:type="pct"/>
            <w:shd w:val="clear" w:color="auto" w:fill="auto"/>
            <w:vAlign w:val="center"/>
          </w:tcPr>
          <w:p w14:paraId="07FBC3E0" w14:textId="77777777" w:rsidR="003A7C1B" w:rsidRPr="000860EB" w:rsidRDefault="003A7C1B" w:rsidP="003A7C1B">
            <w:pPr>
              <w:suppressAutoHyphens/>
              <w:autoSpaceDE w:val="0"/>
              <w:autoSpaceDN w:val="0"/>
              <w:adjustRightInd w:val="0"/>
              <w:spacing w:after="0" w:line="240" w:lineRule="auto"/>
              <w:jc w:val="center"/>
              <w:textAlignment w:val="center"/>
              <w:rPr>
                <w:rFonts w:ascii="Times New Roman" w:eastAsia="Calibri" w:hAnsi="Times New Roman"/>
                <w:color w:val="000000"/>
                <w:sz w:val="20"/>
                <w:szCs w:val="20"/>
              </w:rPr>
            </w:pPr>
            <w:r w:rsidRPr="000860EB">
              <w:rPr>
                <w:rFonts w:ascii="Times New Roman" w:eastAsia="MS Mincho" w:hAnsi="Times New Roman"/>
                <w:sz w:val="20"/>
                <w:szCs w:val="20"/>
              </w:rPr>
              <w:t>499.20</w:t>
            </w:r>
          </w:p>
        </w:tc>
        <w:tc>
          <w:tcPr>
            <w:tcW w:w="797" w:type="pct"/>
            <w:shd w:val="clear" w:color="auto" w:fill="auto"/>
            <w:vAlign w:val="center"/>
          </w:tcPr>
          <w:p w14:paraId="60962C42" w14:textId="77777777" w:rsidR="003A7C1B" w:rsidRPr="000860EB" w:rsidRDefault="003A7C1B" w:rsidP="003A7C1B">
            <w:pPr>
              <w:suppressAutoHyphens/>
              <w:autoSpaceDE w:val="0"/>
              <w:autoSpaceDN w:val="0"/>
              <w:adjustRightInd w:val="0"/>
              <w:spacing w:after="0" w:line="240" w:lineRule="auto"/>
              <w:jc w:val="center"/>
              <w:textAlignment w:val="center"/>
              <w:rPr>
                <w:rFonts w:ascii="Times New Roman" w:eastAsia="Calibri" w:hAnsi="Times New Roman"/>
                <w:color w:val="000000"/>
                <w:sz w:val="20"/>
                <w:szCs w:val="20"/>
              </w:rPr>
            </w:pPr>
            <w:r w:rsidRPr="000860EB">
              <w:rPr>
                <w:rFonts w:ascii="Times New Roman" w:eastAsia="Calibri" w:hAnsi="Times New Roman"/>
                <w:sz w:val="20"/>
                <w:szCs w:val="20"/>
                <w:lang w:val="en-GB"/>
              </w:rPr>
              <w:t>[●]</w:t>
            </w:r>
          </w:p>
        </w:tc>
      </w:tr>
      <w:tr w:rsidR="003A7C1B" w:rsidRPr="000860EB" w14:paraId="0C25021B" w14:textId="77777777" w:rsidTr="003A7C1B">
        <w:trPr>
          <w:trHeight w:val="20"/>
        </w:trPr>
        <w:tc>
          <w:tcPr>
            <w:tcW w:w="339" w:type="pct"/>
            <w:shd w:val="clear" w:color="auto" w:fill="auto"/>
            <w:vAlign w:val="center"/>
            <w:hideMark/>
          </w:tcPr>
          <w:p w14:paraId="5E22F317" w14:textId="77777777" w:rsidR="003A7C1B" w:rsidRPr="000860EB" w:rsidRDefault="003A7C1B" w:rsidP="003A7C1B">
            <w:pPr>
              <w:suppressAutoHyphens/>
              <w:autoSpaceDE w:val="0"/>
              <w:autoSpaceDN w:val="0"/>
              <w:adjustRightInd w:val="0"/>
              <w:spacing w:after="0" w:line="240" w:lineRule="auto"/>
              <w:jc w:val="center"/>
              <w:textAlignment w:val="center"/>
              <w:rPr>
                <w:rFonts w:ascii="Times New Roman" w:eastAsia="Calibri" w:hAnsi="Times New Roman"/>
                <w:i/>
                <w:color w:val="000000"/>
                <w:sz w:val="20"/>
                <w:szCs w:val="20"/>
                <w:lang w:eastAsia="en-IN"/>
              </w:rPr>
            </w:pPr>
          </w:p>
        </w:tc>
        <w:tc>
          <w:tcPr>
            <w:tcW w:w="3075" w:type="pct"/>
            <w:shd w:val="clear" w:color="auto" w:fill="auto"/>
            <w:hideMark/>
          </w:tcPr>
          <w:p w14:paraId="7DD4B343" w14:textId="77777777" w:rsidR="003A7C1B" w:rsidRPr="000860EB" w:rsidRDefault="003A7C1B" w:rsidP="003A7C1B">
            <w:pPr>
              <w:suppressAutoHyphens/>
              <w:autoSpaceDE w:val="0"/>
              <w:autoSpaceDN w:val="0"/>
              <w:adjustRightInd w:val="0"/>
              <w:spacing w:after="0" w:line="240" w:lineRule="auto"/>
              <w:jc w:val="both"/>
              <w:textAlignment w:val="center"/>
              <w:rPr>
                <w:rFonts w:ascii="Times New Roman" w:eastAsia="Calibri" w:hAnsi="Times New Roman"/>
                <w:b/>
                <w:i/>
                <w:color w:val="000000"/>
                <w:sz w:val="20"/>
                <w:szCs w:val="20"/>
              </w:rPr>
            </w:pPr>
            <w:r w:rsidRPr="000860EB">
              <w:rPr>
                <w:rFonts w:ascii="Times New Roman" w:eastAsia="Calibri" w:hAnsi="Times New Roman"/>
                <w:b/>
                <w:i/>
                <w:color w:val="000000"/>
                <w:sz w:val="20"/>
                <w:szCs w:val="20"/>
              </w:rPr>
              <w:t>Which comprises of:</w:t>
            </w:r>
          </w:p>
        </w:tc>
        <w:tc>
          <w:tcPr>
            <w:tcW w:w="789" w:type="pct"/>
            <w:shd w:val="clear" w:color="auto" w:fill="auto"/>
            <w:vAlign w:val="center"/>
            <w:hideMark/>
          </w:tcPr>
          <w:p w14:paraId="63EDFF7C" w14:textId="77777777" w:rsidR="003A7C1B" w:rsidRPr="000860EB" w:rsidRDefault="003A7C1B" w:rsidP="003A7C1B">
            <w:pPr>
              <w:suppressAutoHyphens/>
              <w:autoSpaceDE w:val="0"/>
              <w:autoSpaceDN w:val="0"/>
              <w:adjustRightInd w:val="0"/>
              <w:spacing w:after="0" w:line="240" w:lineRule="auto"/>
              <w:jc w:val="center"/>
              <w:textAlignment w:val="center"/>
              <w:rPr>
                <w:rFonts w:ascii="Times New Roman" w:eastAsia="Calibri" w:hAnsi="Times New Roman"/>
                <w:sz w:val="20"/>
                <w:szCs w:val="20"/>
                <w:lang w:val="en-GB"/>
              </w:rPr>
            </w:pPr>
          </w:p>
        </w:tc>
        <w:tc>
          <w:tcPr>
            <w:tcW w:w="797" w:type="pct"/>
            <w:shd w:val="clear" w:color="auto" w:fill="auto"/>
            <w:vAlign w:val="center"/>
            <w:hideMark/>
          </w:tcPr>
          <w:p w14:paraId="3C6F127C" w14:textId="77777777" w:rsidR="003A7C1B" w:rsidRPr="000860EB" w:rsidRDefault="003A7C1B" w:rsidP="003A7C1B">
            <w:pPr>
              <w:suppressAutoHyphens/>
              <w:autoSpaceDE w:val="0"/>
              <w:autoSpaceDN w:val="0"/>
              <w:adjustRightInd w:val="0"/>
              <w:spacing w:after="0" w:line="240" w:lineRule="auto"/>
              <w:jc w:val="center"/>
              <w:textAlignment w:val="center"/>
              <w:rPr>
                <w:rFonts w:ascii="Times New Roman" w:eastAsia="Calibri" w:hAnsi="Times New Roman"/>
                <w:color w:val="000000"/>
                <w:sz w:val="20"/>
                <w:szCs w:val="20"/>
              </w:rPr>
            </w:pPr>
          </w:p>
        </w:tc>
      </w:tr>
      <w:tr w:rsidR="003A7C1B" w:rsidRPr="000860EB" w14:paraId="790015D8" w14:textId="77777777" w:rsidTr="003A7C1B">
        <w:trPr>
          <w:trHeight w:val="20"/>
        </w:trPr>
        <w:tc>
          <w:tcPr>
            <w:tcW w:w="339" w:type="pct"/>
            <w:shd w:val="clear" w:color="auto" w:fill="auto"/>
            <w:vAlign w:val="center"/>
            <w:hideMark/>
          </w:tcPr>
          <w:p w14:paraId="02CE7E3C" w14:textId="77777777" w:rsidR="003A7C1B" w:rsidRPr="000860EB" w:rsidRDefault="003A7C1B" w:rsidP="003A7C1B">
            <w:pPr>
              <w:suppressAutoHyphens/>
              <w:autoSpaceDE w:val="0"/>
              <w:autoSpaceDN w:val="0"/>
              <w:adjustRightInd w:val="0"/>
              <w:spacing w:after="0" w:line="240" w:lineRule="auto"/>
              <w:jc w:val="center"/>
              <w:textAlignment w:val="center"/>
              <w:rPr>
                <w:rFonts w:ascii="Times New Roman" w:eastAsia="Calibri" w:hAnsi="Times New Roman"/>
                <w:b/>
                <w:color w:val="000000"/>
                <w:sz w:val="20"/>
                <w:szCs w:val="20"/>
                <w:lang w:eastAsia="en-IN"/>
              </w:rPr>
            </w:pPr>
            <w:r w:rsidRPr="000860EB">
              <w:rPr>
                <w:rFonts w:ascii="Times New Roman" w:eastAsia="Calibri" w:hAnsi="Times New Roman"/>
                <w:b/>
                <w:color w:val="000000"/>
                <w:sz w:val="20"/>
                <w:szCs w:val="20"/>
                <w:lang w:eastAsia="en-IN"/>
              </w:rPr>
              <w:t>D</w:t>
            </w:r>
          </w:p>
        </w:tc>
        <w:tc>
          <w:tcPr>
            <w:tcW w:w="3075" w:type="pct"/>
            <w:shd w:val="clear" w:color="auto" w:fill="auto"/>
            <w:hideMark/>
          </w:tcPr>
          <w:p w14:paraId="46CD6EA8" w14:textId="77777777" w:rsidR="003A7C1B" w:rsidRPr="000860EB" w:rsidRDefault="003A7C1B" w:rsidP="003A7C1B">
            <w:pPr>
              <w:suppressAutoHyphens/>
              <w:autoSpaceDE w:val="0"/>
              <w:autoSpaceDN w:val="0"/>
              <w:adjustRightInd w:val="0"/>
              <w:spacing w:after="0" w:line="240" w:lineRule="auto"/>
              <w:jc w:val="both"/>
              <w:textAlignment w:val="center"/>
              <w:rPr>
                <w:rFonts w:ascii="Times New Roman" w:eastAsia="Calibri" w:hAnsi="Times New Roman"/>
                <w:b/>
                <w:sz w:val="20"/>
                <w:szCs w:val="20"/>
              </w:rPr>
            </w:pPr>
            <w:r w:rsidRPr="000860EB">
              <w:rPr>
                <w:rFonts w:ascii="Times New Roman" w:eastAsia="Calibri" w:hAnsi="Times New Roman"/>
                <w:b/>
                <w:sz w:val="20"/>
                <w:szCs w:val="20"/>
              </w:rPr>
              <w:t>Reservation for Market Maker Portion</w:t>
            </w:r>
          </w:p>
          <w:p w14:paraId="521AF8FA" w14:textId="77777777" w:rsidR="003A7C1B" w:rsidRPr="000860EB" w:rsidRDefault="003A7C1B" w:rsidP="003A7C1B">
            <w:pPr>
              <w:suppressAutoHyphens/>
              <w:autoSpaceDE w:val="0"/>
              <w:autoSpaceDN w:val="0"/>
              <w:adjustRightInd w:val="0"/>
              <w:spacing w:after="0" w:line="240" w:lineRule="auto"/>
              <w:jc w:val="both"/>
              <w:textAlignment w:val="center"/>
              <w:rPr>
                <w:rFonts w:ascii="Times New Roman" w:eastAsia="Calibri" w:hAnsi="Times New Roman"/>
                <w:color w:val="000000"/>
                <w:sz w:val="20"/>
                <w:szCs w:val="20"/>
              </w:rPr>
            </w:pPr>
            <w:r w:rsidRPr="000860EB">
              <w:rPr>
                <w:rFonts w:ascii="Times New Roman" w:eastAsia="MS Mincho" w:hAnsi="Times New Roman"/>
                <w:color w:val="000000"/>
                <w:sz w:val="20"/>
                <w:szCs w:val="20"/>
                <w:lang w:val="en-GB"/>
              </w:rPr>
              <w:t xml:space="preserve">[●] </w:t>
            </w:r>
            <w:r w:rsidRPr="000860EB">
              <w:rPr>
                <w:rFonts w:ascii="Times New Roman" w:eastAsia="Calibri" w:hAnsi="Times New Roman"/>
                <w:sz w:val="20"/>
                <w:szCs w:val="20"/>
              </w:rPr>
              <w:t>Equity Shares of ₹10/- each at a price of ₹[●] per Equity Share reserved as Market Maker Portion</w:t>
            </w:r>
          </w:p>
        </w:tc>
        <w:tc>
          <w:tcPr>
            <w:tcW w:w="789" w:type="pct"/>
            <w:tcBorders>
              <w:right w:val="single" w:sz="4" w:space="0" w:color="auto"/>
            </w:tcBorders>
            <w:shd w:val="clear" w:color="auto" w:fill="auto"/>
            <w:vAlign w:val="center"/>
            <w:hideMark/>
          </w:tcPr>
          <w:p w14:paraId="6FCE6669" w14:textId="77777777" w:rsidR="003A7C1B" w:rsidRPr="000860EB" w:rsidRDefault="003A7C1B" w:rsidP="003A7C1B">
            <w:pPr>
              <w:suppressAutoHyphens/>
              <w:autoSpaceDE w:val="0"/>
              <w:autoSpaceDN w:val="0"/>
              <w:adjustRightInd w:val="0"/>
              <w:spacing w:after="0" w:line="240" w:lineRule="auto"/>
              <w:jc w:val="center"/>
              <w:textAlignment w:val="center"/>
              <w:rPr>
                <w:rFonts w:ascii="Times New Roman" w:eastAsia="Calibri" w:hAnsi="Times New Roman"/>
                <w:color w:val="000000"/>
                <w:sz w:val="20"/>
                <w:szCs w:val="20"/>
              </w:rPr>
            </w:pPr>
            <w:r w:rsidRPr="000860EB">
              <w:rPr>
                <w:rFonts w:ascii="Times New Roman" w:eastAsia="Calibri" w:hAnsi="Times New Roman"/>
                <w:sz w:val="20"/>
                <w:szCs w:val="20"/>
              </w:rPr>
              <w:t>[●]</w:t>
            </w:r>
          </w:p>
        </w:tc>
        <w:tc>
          <w:tcPr>
            <w:tcW w:w="797" w:type="pct"/>
            <w:tcBorders>
              <w:left w:val="single" w:sz="4" w:space="0" w:color="auto"/>
            </w:tcBorders>
            <w:shd w:val="clear" w:color="auto" w:fill="auto"/>
            <w:vAlign w:val="center"/>
            <w:hideMark/>
          </w:tcPr>
          <w:p w14:paraId="5C3BB0F2" w14:textId="77777777" w:rsidR="003A7C1B" w:rsidRPr="000860EB" w:rsidRDefault="003A7C1B" w:rsidP="003A7C1B">
            <w:pPr>
              <w:suppressAutoHyphens/>
              <w:autoSpaceDE w:val="0"/>
              <w:autoSpaceDN w:val="0"/>
              <w:adjustRightInd w:val="0"/>
              <w:spacing w:after="0" w:line="240" w:lineRule="auto"/>
              <w:jc w:val="center"/>
              <w:textAlignment w:val="center"/>
              <w:rPr>
                <w:rFonts w:ascii="Times New Roman" w:eastAsia="Calibri" w:hAnsi="Times New Roman"/>
                <w:color w:val="000000"/>
                <w:sz w:val="20"/>
                <w:szCs w:val="20"/>
              </w:rPr>
            </w:pPr>
            <w:r w:rsidRPr="000860EB">
              <w:rPr>
                <w:rFonts w:ascii="Times New Roman" w:eastAsia="Calibri" w:hAnsi="Times New Roman"/>
                <w:sz w:val="20"/>
                <w:szCs w:val="20"/>
              </w:rPr>
              <w:t>[●]</w:t>
            </w:r>
          </w:p>
        </w:tc>
      </w:tr>
      <w:tr w:rsidR="003A7C1B" w:rsidRPr="000860EB" w14:paraId="4FD5C34B" w14:textId="77777777" w:rsidTr="003A7C1B">
        <w:trPr>
          <w:trHeight w:val="20"/>
        </w:trPr>
        <w:tc>
          <w:tcPr>
            <w:tcW w:w="339" w:type="pct"/>
            <w:shd w:val="clear" w:color="auto" w:fill="auto"/>
            <w:vAlign w:val="center"/>
            <w:hideMark/>
          </w:tcPr>
          <w:p w14:paraId="1352E8D2" w14:textId="77777777" w:rsidR="003A7C1B" w:rsidRPr="000860EB" w:rsidRDefault="003A7C1B" w:rsidP="003A7C1B">
            <w:pPr>
              <w:suppressAutoHyphens/>
              <w:autoSpaceDE w:val="0"/>
              <w:autoSpaceDN w:val="0"/>
              <w:adjustRightInd w:val="0"/>
              <w:spacing w:after="0" w:line="240" w:lineRule="auto"/>
              <w:jc w:val="center"/>
              <w:textAlignment w:val="center"/>
              <w:rPr>
                <w:rFonts w:ascii="Times New Roman" w:eastAsia="Calibri" w:hAnsi="Times New Roman"/>
                <w:b/>
                <w:color w:val="000000"/>
                <w:sz w:val="20"/>
                <w:szCs w:val="20"/>
                <w:lang w:eastAsia="en-IN"/>
              </w:rPr>
            </w:pPr>
            <w:r w:rsidRPr="000860EB">
              <w:rPr>
                <w:rFonts w:ascii="Times New Roman" w:eastAsia="Calibri" w:hAnsi="Times New Roman"/>
                <w:b/>
                <w:color w:val="000000"/>
                <w:sz w:val="20"/>
                <w:szCs w:val="20"/>
                <w:lang w:eastAsia="en-IN"/>
              </w:rPr>
              <w:t>E</w:t>
            </w:r>
          </w:p>
        </w:tc>
        <w:tc>
          <w:tcPr>
            <w:tcW w:w="3075" w:type="pct"/>
            <w:shd w:val="clear" w:color="auto" w:fill="auto"/>
            <w:hideMark/>
          </w:tcPr>
          <w:p w14:paraId="6EBA82BF" w14:textId="77777777" w:rsidR="003A7C1B" w:rsidRPr="000860EB" w:rsidRDefault="003A7C1B" w:rsidP="003A7C1B">
            <w:pPr>
              <w:suppressAutoHyphens/>
              <w:autoSpaceDE w:val="0"/>
              <w:autoSpaceDN w:val="0"/>
              <w:adjustRightInd w:val="0"/>
              <w:spacing w:after="0" w:line="240" w:lineRule="auto"/>
              <w:jc w:val="both"/>
              <w:textAlignment w:val="center"/>
              <w:rPr>
                <w:rFonts w:ascii="Times New Roman" w:eastAsia="Calibri" w:hAnsi="Times New Roman"/>
                <w:b/>
                <w:sz w:val="20"/>
                <w:szCs w:val="20"/>
              </w:rPr>
            </w:pPr>
            <w:r w:rsidRPr="000860EB">
              <w:rPr>
                <w:rFonts w:ascii="Times New Roman" w:eastAsia="Calibri" w:hAnsi="Times New Roman"/>
                <w:b/>
                <w:sz w:val="20"/>
                <w:szCs w:val="20"/>
              </w:rPr>
              <w:t>Net Issue to Public</w:t>
            </w:r>
          </w:p>
          <w:p w14:paraId="0436DE04" w14:textId="77777777" w:rsidR="003A7C1B" w:rsidRPr="000860EB" w:rsidRDefault="003A7C1B" w:rsidP="003A7C1B">
            <w:pPr>
              <w:suppressAutoHyphens/>
              <w:autoSpaceDE w:val="0"/>
              <w:autoSpaceDN w:val="0"/>
              <w:adjustRightInd w:val="0"/>
              <w:spacing w:after="0" w:line="240" w:lineRule="auto"/>
              <w:jc w:val="both"/>
              <w:textAlignment w:val="center"/>
              <w:rPr>
                <w:rFonts w:ascii="Times New Roman" w:eastAsia="Calibri" w:hAnsi="Times New Roman"/>
                <w:color w:val="000000"/>
                <w:sz w:val="20"/>
                <w:szCs w:val="20"/>
                <w:lang w:eastAsia="en-IN"/>
              </w:rPr>
            </w:pPr>
            <w:r w:rsidRPr="000860EB">
              <w:rPr>
                <w:rFonts w:ascii="Times New Roman" w:eastAsia="Calibri" w:hAnsi="Times New Roman"/>
                <w:sz w:val="20"/>
                <w:szCs w:val="20"/>
              </w:rPr>
              <w:t xml:space="preserve">Net Issue to Public of </w:t>
            </w:r>
            <w:r w:rsidRPr="000860EB">
              <w:rPr>
                <w:rFonts w:ascii="Times New Roman" w:eastAsia="MS Mincho" w:hAnsi="Times New Roman"/>
                <w:color w:val="000000"/>
                <w:sz w:val="20"/>
                <w:szCs w:val="20"/>
                <w:lang w:val="en-GB"/>
              </w:rPr>
              <w:t xml:space="preserve">[●] </w:t>
            </w:r>
            <w:r w:rsidRPr="000860EB">
              <w:rPr>
                <w:rFonts w:ascii="Times New Roman" w:eastAsia="Calibri" w:hAnsi="Times New Roman"/>
                <w:sz w:val="20"/>
                <w:szCs w:val="20"/>
              </w:rPr>
              <w:t>Equity Shares of ₹10/- each at a price of ₹[●] per Equity Share to the Public</w:t>
            </w:r>
          </w:p>
        </w:tc>
        <w:tc>
          <w:tcPr>
            <w:tcW w:w="789" w:type="pct"/>
            <w:tcBorders>
              <w:right w:val="single" w:sz="4" w:space="0" w:color="auto"/>
            </w:tcBorders>
            <w:shd w:val="clear" w:color="auto" w:fill="auto"/>
            <w:vAlign w:val="center"/>
            <w:hideMark/>
          </w:tcPr>
          <w:p w14:paraId="47EFE00C" w14:textId="77777777" w:rsidR="003A7C1B" w:rsidRPr="000860EB" w:rsidRDefault="003A7C1B" w:rsidP="003A7C1B">
            <w:pPr>
              <w:suppressAutoHyphens/>
              <w:autoSpaceDE w:val="0"/>
              <w:autoSpaceDN w:val="0"/>
              <w:adjustRightInd w:val="0"/>
              <w:spacing w:after="0" w:line="240" w:lineRule="auto"/>
              <w:jc w:val="center"/>
              <w:textAlignment w:val="center"/>
              <w:rPr>
                <w:rFonts w:ascii="Times New Roman" w:eastAsia="Calibri" w:hAnsi="Times New Roman"/>
                <w:color w:val="000000"/>
                <w:sz w:val="20"/>
                <w:szCs w:val="20"/>
              </w:rPr>
            </w:pPr>
            <w:r w:rsidRPr="000860EB">
              <w:rPr>
                <w:rFonts w:ascii="Times New Roman" w:eastAsia="Calibri" w:hAnsi="Times New Roman"/>
                <w:sz w:val="20"/>
                <w:szCs w:val="20"/>
              </w:rPr>
              <w:t>[●]</w:t>
            </w:r>
          </w:p>
        </w:tc>
        <w:tc>
          <w:tcPr>
            <w:tcW w:w="797" w:type="pct"/>
            <w:tcBorders>
              <w:left w:val="single" w:sz="4" w:space="0" w:color="auto"/>
            </w:tcBorders>
            <w:shd w:val="clear" w:color="auto" w:fill="auto"/>
            <w:vAlign w:val="center"/>
          </w:tcPr>
          <w:p w14:paraId="587306B9" w14:textId="77777777" w:rsidR="003A7C1B" w:rsidRPr="000860EB" w:rsidRDefault="003A7C1B" w:rsidP="003A7C1B">
            <w:pPr>
              <w:suppressAutoHyphens/>
              <w:autoSpaceDE w:val="0"/>
              <w:autoSpaceDN w:val="0"/>
              <w:adjustRightInd w:val="0"/>
              <w:spacing w:after="0" w:line="240" w:lineRule="auto"/>
              <w:jc w:val="center"/>
              <w:textAlignment w:val="center"/>
              <w:rPr>
                <w:rFonts w:ascii="Times New Roman" w:eastAsia="Calibri" w:hAnsi="Times New Roman"/>
                <w:color w:val="000000"/>
                <w:sz w:val="20"/>
                <w:szCs w:val="20"/>
              </w:rPr>
            </w:pPr>
            <w:r w:rsidRPr="000860EB">
              <w:rPr>
                <w:rFonts w:ascii="Times New Roman" w:eastAsia="Calibri" w:hAnsi="Times New Roman"/>
                <w:sz w:val="20"/>
                <w:szCs w:val="20"/>
              </w:rPr>
              <w:t>[●]</w:t>
            </w:r>
          </w:p>
        </w:tc>
      </w:tr>
      <w:tr w:rsidR="003A7C1B" w:rsidRPr="000860EB" w14:paraId="5CDBFA90" w14:textId="77777777" w:rsidTr="003A7C1B">
        <w:trPr>
          <w:trHeight w:val="20"/>
        </w:trPr>
        <w:tc>
          <w:tcPr>
            <w:tcW w:w="339" w:type="pct"/>
            <w:shd w:val="clear" w:color="auto" w:fill="auto"/>
            <w:vAlign w:val="center"/>
          </w:tcPr>
          <w:p w14:paraId="56B1F726" w14:textId="77777777" w:rsidR="003A7C1B" w:rsidRPr="000860EB" w:rsidRDefault="003A7C1B" w:rsidP="003A7C1B">
            <w:pPr>
              <w:suppressAutoHyphens/>
              <w:autoSpaceDE w:val="0"/>
              <w:autoSpaceDN w:val="0"/>
              <w:adjustRightInd w:val="0"/>
              <w:spacing w:after="0" w:line="240" w:lineRule="auto"/>
              <w:jc w:val="center"/>
              <w:textAlignment w:val="center"/>
              <w:rPr>
                <w:rFonts w:ascii="Times New Roman" w:eastAsia="Calibri" w:hAnsi="Times New Roman"/>
                <w:b/>
                <w:color w:val="000000"/>
                <w:sz w:val="20"/>
                <w:szCs w:val="20"/>
                <w:lang w:eastAsia="en-IN"/>
              </w:rPr>
            </w:pPr>
            <w:r w:rsidRPr="000860EB">
              <w:rPr>
                <w:rFonts w:ascii="Times New Roman" w:eastAsia="Calibri" w:hAnsi="Times New Roman"/>
                <w:b/>
                <w:color w:val="000000"/>
                <w:sz w:val="20"/>
                <w:szCs w:val="20"/>
                <w:lang w:eastAsia="en-IN"/>
              </w:rPr>
              <w:t>F</w:t>
            </w:r>
          </w:p>
        </w:tc>
        <w:tc>
          <w:tcPr>
            <w:tcW w:w="3075" w:type="pct"/>
            <w:shd w:val="clear" w:color="auto" w:fill="auto"/>
          </w:tcPr>
          <w:p w14:paraId="04636405" w14:textId="77777777" w:rsidR="003A7C1B" w:rsidRPr="000860EB" w:rsidRDefault="003A7C1B" w:rsidP="003A7C1B">
            <w:pPr>
              <w:suppressAutoHyphens/>
              <w:autoSpaceDE w:val="0"/>
              <w:autoSpaceDN w:val="0"/>
              <w:adjustRightInd w:val="0"/>
              <w:spacing w:after="0" w:line="240" w:lineRule="auto"/>
              <w:jc w:val="both"/>
              <w:textAlignment w:val="center"/>
              <w:rPr>
                <w:rFonts w:ascii="Times New Roman" w:eastAsia="Calibri" w:hAnsi="Times New Roman"/>
                <w:b/>
                <w:color w:val="000000"/>
                <w:sz w:val="20"/>
                <w:szCs w:val="20"/>
              </w:rPr>
            </w:pPr>
            <w:r w:rsidRPr="000860EB">
              <w:rPr>
                <w:rFonts w:ascii="Times New Roman" w:eastAsia="Calibri" w:hAnsi="Times New Roman"/>
                <w:b/>
                <w:color w:val="000000"/>
                <w:sz w:val="20"/>
                <w:szCs w:val="20"/>
              </w:rPr>
              <w:t>Issued, Subscribed and Paid-up Equity Share Capital after the Issue</w:t>
            </w:r>
          </w:p>
        </w:tc>
        <w:tc>
          <w:tcPr>
            <w:tcW w:w="1586" w:type="pct"/>
            <w:gridSpan w:val="2"/>
            <w:shd w:val="clear" w:color="auto" w:fill="auto"/>
            <w:vAlign w:val="center"/>
          </w:tcPr>
          <w:p w14:paraId="7400C6EA" w14:textId="77777777" w:rsidR="003A7C1B" w:rsidRPr="000860EB" w:rsidRDefault="003A7C1B" w:rsidP="003A7C1B">
            <w:pPr>
              <w:suppressAutoHyphens/>
              <w:autoSpaceDE w:val="0"/>
              <w:autoSpaceDN w:val="0"/>
              <w:adjustRightInd w:val="0"/>
              <w:spacing w:after="0" w:line="240" w:lineRule="auto"/>
              <w:jc w:val="center"/>
              <w:textAlignment w:val="center"/>
              <w:rPr>
                <w:rFonts w:ascii="Times New Roman" w:eastAsia="Calibri" w:hAnsi="Times New Roman"/>
                <w:color w:val="000000"/>
                <w:sz w:val="20"/>
                <w:szCs w:val="20"/>
              </w:rPr>
            </w:pPr>
          </w:p>
        </w:tc>
      </w:tr>
      <w:tr w:rsidR="003A7C1B" w:rsidRPr="000860EB" w14:paraId="6DB68B2E" w14:textId="77777777" w:rsidTr="003A7C1B">
        <w:trPr>
          <w:trHeight w:val="20"/>
        </w:trPr>
        <w:tc>
          <w:tcPr>
            <w:tcW w:w="339" w:type="pct"/>
            <w:shd w:val="clear" w:color="auto" w:fill="auto"/>
            <w:vAlign w:val="center"/>
          </w:tcPr>
          <w:p w14:paraId="7E285461" w14:textId="77777777" w:rsidR="003A7C1B" w:rsidRPr="000860EB" w:rsidRDefault="003A7C1B" w:rsidP="003A7C1B">
            <w:pPr>
              <w:suppressAutoHyphens/>
              <w:autoSpaceDE w:val="0"/>
              <w:autoSpaceDN w:val="0"/>
              <w:adjustRightInd w:val="0"/>
              <w:spacing w:after="0" w:line="240" w:lineRule="auto"/>
              <w:jc w:val="center"/>
              <w:textAlignment w:val="center"/>
              <w:rPr>
                <w:rFonts w:ascii="Times New Roman" w:eastAsia="Calibri" w:hAnsi="Times New Roman"/>
                <w:b/>
                <w:color w:val="000000"/>
                <w:sz w:val="20"/>
                <w:szCs w:val="20"/>
                <w:lang w:eastAsia="en-IN"/>
              </w:rPr>
            </w:pPr>
          </w:p>
        </w:tc>
        <w:tc>
          <w:tcPr>
            <w:tcW w:w="3075" w:type="pct"/>
            <w:shd w:val="clear" w:color="auto" w:fill="auto"/>
          </w:tcPr>
          <w:p w14:paraId="6C3A06EB" w14:textId="77777777" w:rsidR="003A7C1B" w:rsidRPr="000860EB" w:rsidRDefault="003A7C1B" w:rsidP="003A7C1B">
            <w:pPr>
              <w:suppressAutoHyphens/>
              <w:autoSpaceDE w:val="0"/>
              <w:autoSpaceDN w:val="0"/>
              <w:adjustRightInd w:val="0"/>
              <w:spacing w:after="0" w:line="240" w:lineRule="auto"/>
              <w:jc w:val="both"/>
              <w:textAlignment w:val="center"/>
              <w:rPr>
                <w:rFonts w:ascii="Times New Roman" w:eastAsia="Calibri" w:hAnsi="Times New Roman"/>
                <w:b/>
                <w:color w:val="000000"/>
                <w:sz w:val="20"/>
                <w:szCs w:val="20"/>
              </w:rPr>
            </w:pPr>
            <w:r w:rsidRPr="000860EB">
              <w:rPr>
                <w:rFonts w:ascii="Times New Roman" w:eastAsia="Calibri" w:hAnsi="Times New Roman"/>
                <w:sz w:val="20"/>
                <w:szCs w:val="20"/>
              </w:rPr>
              <w:t>[●] Equity Shares of face value of ₹10/- each</w:t>
            </w:r>
          </w:p>
        </w:tc>
        <w:tc>
          <w:tcPr>
            <w:tcW w:w="1586" w:type="pct"/>
            <w:gridSpan w:val="2"/>
            <w:shd w:val="clear" w:color="auto" w:fill="auto"/>
            <w:vAlign w:val="center"/>
          </w:tcPr>
          <w:p w14:paraId="092864FA" w14:textId="77777777" w:rsidR="003A7C1B" w:rsidRPr="000860EB" w:rsidRDefault="003A7C1B" w:rsidP="003A7C1B">
            <w:pPr>
              <w:suppressAutoHyphens/>
              <w:autoSpaceDE w:val="0"/>
              <w:autoSpaceDN w:val="0"/>
              <w:adjustRightInd w:val="0"/>
              <w:spacing w:after="0" w:line="240" w:lineRule="auto"/>
              <w:jc w:val="center"/>
              <w:textAlignment w:val="center"/>
              <w:rPr>
                <w:rFonts w:ascii="Times New Roman" w:eastAsia="Calibri" w:hAnsi="Times New Roman"/>
                <w:color w:val="000000"/>
                <w:sz w:val="20"/>
                <w:szCs w:val="20"/>
              </w:rPr>
            </w:pPr>
            <w:r w:rsidRPr="000860EB">
              <w:rPr>
                <w:rFonts w:ascii="Times New Roman" w:eastAsia="Calibri" w:hAnsi="Times New Roman"/>
                <w:sz w:val="20"/>
                <w:szCs w:val="20"/>
              </w:rPr>
              <w:t>[●]</w:t>
            </w:r>
          </w:p>
        </w:tc>
      </w:tr>
      <w:tr w:rsidR="003A7C1B" w:rsidRPr="000860EB" w14:paraId="7F3F85FD" w14:textId="77777777" w:rsidTr="003A7C1B">
        <w:trPr>
          <w:trHeight w:val="20"/>
        </w:trPr>
        <w:tc>
          <w:tcPr>
            <w:tcW w:w="339" w:type="pct"/>
            <w:shd w:val="clear" w:color="auto" w:fill="auto"/>
            <w:vAlign w:val="center"/>
          </w:tcPr>
          <w:p w14:paraId="0F06650A" w14:textId="77777777" w:rsidR="003A7C1B" w:rsidRPr="000860EB" w:rsidRDefault="003A7C1B" w:rsidP="003A7C1B">
            <w:pPr>
              <w:suppressAutoHyphens/>
              <w:autoSpaceDE w:val="0"/>
              <w:autoSpaceDN w:val="0"/>
              <w:adjustRightInd w:val="0"/>
              <w:spacing w:after="0" w:line="240" w:lineRule="auto"/>
              <w:jc w:val="center"/>
              <w:textAlignment w:val="center"/>
              <w:rPr>
                <w:rFonts w:ascii="Times New Roman" w:eastAsia="Calibri" w:hAnsi="Times New Roman"/>
                <w:b/>
                <w:color w:val="000000"/>
                <w:sz w:val="20"/>
                <w:szCs w:val="20"/>
                <w:lang w:eastAsia="en-IN"/>
              </w:rPr>
            </w:pPr>
            <w:r w:rsidRPr="000860EB">
              <w:rPr>
                <w:rFonts w:ascii="Times New Roman" w:eastAsia="Calibri" w:hAnsi="Times New Roman"/>
                <w:b/>
                <w:color w:val="000000"/>
                <w:sz w:val="20"/>
                <w:szCs w:val="20"/>
                <w:lang w:eastAsia="en-IN"/>
              </w:rPr>
              <w:t>G</w:t>
            </w:r>
          </w:p>
        </w:tc>
        <w:tc>
          <w:tcPr>
            <w:tcW w:w="3075" w:type="pct"/>
            <w:shd w:val="clear" w:color="auto" w:fill="auto"/>
          </w:tcPr>
          <w:p w14:paraId="035EF7E5" w14:textId="77777777" w:rsidR="003A7C1B" w:rsidRPr="000860EB" w:rsidRDefault="003A7C1B" w:rsidP="003A7C1B">
            <w:pPr>
              <w:spacing w:after="0" w:line="240" w:lineRule="auto"/>
              <w:jc w:val="both"/>
              <w:rPr>
                <w:rFonts w:ascii="Times New Roman" w:eastAsia="MS PGothic" w:hAnsi="Times New Roman"/>
                <w:b/>
                <w:bCs/>
                <w:sz w:val="20"/>
                <w:szCs w:val="20"/>
                <w:lang w:eastAsia="ja-JP"/>
              </w:rPr>
            </w:pPr>
            <w:r w:rsidRPr="000860EB">
              <w:rPr>
                <w:rFonts w:ascii="Times New Roman" w:eastAsia="Calibri" w:hAnsi="Times New Roman"/>
                <w:b/>
                <w:bCs/>
                <w:sz w:val="20"/>
                <w:szCs w:val="20"/>
              </w:rPr>
              <w:t>Securities Premium Account</w:t>
            </w:r>
          </w:p>
        </w:tc>
        <w:tc>
          <w:tcPr>
            <w:tcW w:w="1586" w:type="pct"/>
            <w:gridSpan w:val="2"/>
            <w:shd w:val="clear" w:color="auto" w:fill="auto"/>
            <w:vAlign w:val="center"/>
          </w:tcPr>
          <w:p w14:paraId="6D58B5B3" w14:textId="77777777" w:rsidR="003A7C1B" w:rsidRPr="000860EB" w:rsidRDefault="003A7C1B" w:rsidP="003A7C1B">
            <w:pPr>
              <w:suppressAutoHyphens/>
              <w:autoSpaceDE w:val="0"/>
              <w:autoSpaceDN w:val="0"/>
              <w:adjustRightInd w:val="0"/>
              <w:spacing w:after="0" w:line="240" w:lineRule="auto"/>
              <w:jc w:val="center"/>
              <w:textAlignment w:val="center"/>
              <w:rPr>
                <w:rFonts w:ascii="Times New Roman" w:eastAsia="Calibri" w:hAnsi="Times New Roman"/>
                <w:color w:val="000000"/>
                <w:sz w:val="20"/>
                <w:szCs w:val="20"/>
              </w:rPr>
            </w:pPr>
          </w:p>
        </w:tc>
      </w:tr>
      <w:tr w:rsidR="003A7C1B" w:rsidRPr="000860EB" w14:paraId="4AF2F1DA" w14:textId="77777777" w:rsidTr="003A7C1B">
        <w:trPr>
          <w:trHeight w:val="20"/>
        </w:trPr>
        <w:tc>
          <w:tcPr>
            <w:tcW w:w="339" w:type="pct"/>
            <w:shd w:val="clear" w:color="auto" w:fill="auto"/>
            <w:vAlign w:val="center"/>
          </w:tcPr>
          <w:p w14:paraId="430445C1" w14:textId="77777777" w:rsidR="003A7C1B" w:rsidRPr="000860EB" w:rsidRDefault="003A7C1B" w:rsidP="003A7C1B">
            <w:pPr>
              <w:suppressAutoHyphens/>
              <w:autoSpaceDE w:val="0"/>
              <w:autoSpaceDN w:val="0"/>
              <w:adjustRightInd w:val="0"/>
              <w:spacing w:after="0" w:line="240" w:lineRule="auto"/>
              <w:jc w:val="center"/>
              <w:textAlignment w:val="center"/>
              <w:rPr>
                <w:rFonts w:ascii="Times New Roman" w:eastAsia="Calibri" w:hAnsi="Times New Roman"/>
                <w:b/>
                <w:color w:val="000000"/>
                <w:sz w:val="20"/>
                <w:szCs w:val="20"/>
                <w:lang w:eastAsia="en-IN"/>
              </w:rPr>
            </w:pPr>
          </w:p>
        </w:tc>
        <w:tc>
          <w:tcPr>
            <w:tcW w:w="3075" w:type="pct"/>
            <w:shd w:val="clear" w:color="auto" w:fill="auto"/>
          </w:tcPr>
          <w:p w14:paraId="15F4C6EC" w14:textId="77777777" w:rsidR="003A7C1B" w:rsidRPr="000860EB" w:rsidRDefault="003A7C1B" w:rsidP="003A7C1B">
            <w:pPr>
              <w:spacing w:after="0" w:line="240" w:lineRule="auto"/>
              <w:jc w:val="both"/>
              <w:rPr>
                <w:rFonts w:ascii="Times New Roman" w:eastAsia="Calibri" w:hAnsi="Times New Roman"/>
                <w:b/>
                <w:bCs/>
                <w:sz w:val="20"/>
                <w:szCs w:val="20"/>
              </w:rPr>
            </w:pPr>
            <w:r w:rsidRPr="000860EB">
              <w:rPr>
                <w:rFonts w:ascii="Times New Roman" w:eastAsia="Calibri" w:hAnsi="Times New Roman"/>
                <w:sz w:val="20"/>
                <w:szCs w:val="20"/>
              </w:rPr>
              <w:t>Before the Issue (as on date of this Draft Red Herring Prospectus)</w:t>
            </w:r>
          </w:p>
        </w:tc>
        <w:tc>
          <w:tcPr>
            <w:tcW w:w="1586" w:type="pct"/>
            <w:gridSpan w:val="2"/>
            <w:shd w:val="clear" w:color="auto" w:fill="auto"/>
            <w:vAlign w:val="center"/>
          </w:tcPr>
          <w:p w14:paraId="6A7FFBFC" w14:textId="37B7EF7A" w:rsidR="003A7C1B" w:rsidRPr="000860EB" w:rsidRDefault="003A7C1B" w:rsidP="003A7C1B">
            <w:pPr>
              <w:suppressAutoHyphens/>
              <w:autoSpaceDE w:val="0"/>
              <w:autoSpaceDN w:val="0"/>
              <w:adjustRightInd w:val="0"/>
              <w:spacing w:after="0" w:line="240" w:lineRule="auto"/>
              <w:jc w:val="center"/>
              <w:textAlignment w:val="center"/>
              <w:rPr>
                <w:rFonts w:ascii="Times New Roman" w:eastAsia="Calibri" w:hAnsi="Times New Roman"/>
                <w:color w:val="000000"/>
                <w:sz w:val="20"/>
                <w:szCs w:val="20"/>
              </w:rPr>
            </w:pPr>
            <w:r>
              <w:rPr>
                <w:rFonts w:ascii="Times New Roman" w:eastAsia="Calibri" w:hAnsi="Times New Roman"/>
                <w:color w:val="000000"/>
                <w:sz w:val="20"/>
                <w:szCs w:val="20"/>
              </w:rPr>
              <w:t>1,755.55</w:t>
            </w:r>
          </w:p>
        </w:tc>
      </w:tr>
      <w:tr w:rsidR="003A7C1B" w:rsidRPr="000860EB" w14:paraId="78CDA504" w14:textId="77777777" w:rsidTr="003A7C1B">
        <w:trPr>
          <w:trHeight w:val="20"/>
        </w:trPr>
        <w:tc>
          <w:tcPr>
            <w:tcW w:w="339" w:type="pct"/>
            <w:shd w:val="clear" w:color="auto" w:fill="auto"/>
            <w:vAlign w:val="center"/>
          </w:tcPr>
          <w:p w14:paraId="653502F9" w14:textId="77777777" w:rsidR="003A7C1B" w:rsidRPr="000860EB" w:rsidRDefault="003A7C1B" w:rsidP="003A7C1B">
            <w:pPr>
              <w:suppressAutoHyphens/>
              <w:autoSpaceDE w:val="0"/>
              <w:autoSpaceDN w:val="0"/>
              <w:adjustRightInd w:val="0"/>
              <w:spacing w:after="0" w:line="240" w:lineRule="auto"/>
              <w:jc w:val="center"/>
              <w:textAlignment w:val="center"/>
              <w:rPr>
                <w:rFonts w:ascii="Times New Roman" w:eastAsia="Calibri" w:hAnsi="Times New Roman"/>
                <w:b/>
                <w:color w:val="000000"/>
                <w:sz w:val="20"/>
                <w:szCs w:val="20"/>
                <w:lang w:eastAsia="en-IN"/>
              </w:rPr>
            </w:pPr>
          </w:p>
        </w:tc>
        <w:tc>
          <w:tcPr>
            <w:tcW w:w="3075" w:type="pct"/>
            <w:shd w:val="clear" w:color="auto" w:fill="auto"/>
          </w:tcPr>
          <w:p w14:paraId="3DBFEEF0" w14:textId="77777777" w:rsidR="003A7C1B" w:rsidRPr="000860EB" w:rsidRDefault="003A7C1B" w:rsidP="003A7C1B">
            <w:pPr>
              <w:spacing w:after="0" w:line="240" w:lineRule="auto"/>
              <w:jc w:val="both"/>
              <w:rPr>
                <w:rFonts w:ascii="Times New Roman" w:eastAsia="MS PGothic" w:hAnsi="Times New Roman"/>
                <w:sz w:val="20"/>
                <w:szCs w:val="20"/>
                <w:lang w:eastAsia="ja-JP"/>
              </w:rPr>
            </w:pPr>
            <w:r w:rsidRPr="000860EB">
              <w:rPr>
                <w:rFonts w:ascii="Times New Roman" w:eastAsia="Calibri" w:hAnsi="Times New Roman"/>
                <w:sz w:val="20"/>
                <w:szCs w:val="20"/>
              </w:rPr>
              <w:t>After the Issue</w:t>
            </w:r>
          </w:p>
        </w:tc>
        <w:tc>
          <w:tcPr>
            <w:tcW w:w="1586" w:type="pct"/>
            <w:gridSpan w:val="2"/>
            <w:shd w:val="clear" w:color="auto" w:fill="auto"/>
            <w:vAlign w:val="center"/>
          </w:tcPr>
          <w:p w14:paraId="073E36EC" w14:textId="77777777" w:rsidR="003A7C1B" w:rsidRPr="000860EB" w:rsidRDefault="003A7C1B" w:rsidP="003A7C1B">
            <w:pPr>
              <w:suppressAutoHyphens/>
              <w:autoSpaceDE w:val="0"/>
              <w:autoSpaceDN w:val="0"/>
              <w:adjustRightInd w:val="0"/>
              <w:spacing w:after="0" w:line="240" w:lineRule="auto"/>
              <w:jc w:val="center"/>
              <w:textAlignment w:val="center"/>
              <w:rPr>
                <w:rFonts w:ascii="Times New Roman" w:eastAsia="Calibri" w:hAnsi="Times New Roman"/>
                <w:sz w:val="20"/>
                <w:szCs w:val="20"/>
              </w:rPr>
            </w:pPr>
            <w:r w:rsidRPr="000860EB">
              <w:rPr>
                <w:rFonts w:ascii="Times New Roman" w:eastAsia="Calibri" w:hAnsi="Times New Roman"/>
                <w:sz w:val="20"/>
                <w:szCs w:val="20"/>
              </w:rPr>
              <w:t>[●]</w:t>
            </w:r>
          </w:p>
        </w:tc>
      </w:tr>
    </w:tbl>
    <w:p w14:paraId="04408DE2" w14:textId="77777777" w:rsidR="003A7C1B" w:rsidRPr="000860EB" w:rsidRDefault="003A7C1B" w:rsidP="003A7C1B">
      <w:pPr>
        <w:suppressAutoHyphens/>
        <w:autoSpaceDE w:val="0"/>
        <w:autoSpaceDN w:val="0"/>
        <w:adjustRightInd w:val="0"/>
        <w:spacing w:after="0" w:line="240" w:lineRule="auto"/>
        <w:jc w:val="both"/>
        <w:textAlignment w:val="center"/>
        <w:rPr>
          <w:rFonts w:ascii="Times New Roman" w:hAnsi="Times New Roman"/>
          <w:i/>
          <w:iCs/>
          <w:sz w:val="20"/>
          <w:szCs w:val="20"/>
        </w:rPr>
      </w:pPr>
      <w:r w:rsidRPr="000860EB">
        <w:rPr>
          <w:rFonts w:ascii="Times New Roman" w:hAnsi="Times New Roman"/>
          <w:i/>
          <w:iCs/>
          <w:sz w:val="20"/>
          <w:szCs w:val="20"/>
        </w:rPr>
        <w:t xml:space="preserve">*The Present Issue of upto 49,92,000 Equity Shares in terms of this Draft Red Herring Prospectus has been authorized pursuant to a resolution of our Board of Directors dated </w:t>
      </w:r>
      <w:r>
        <w:rPr>
          <w:rFonts w:ascii="Times New Roman" w:hAnsi="Times New Roman"/>
          <w:i/>
          <w:iCs/>
          <w:sz w:val="20"/>
          <w:szCs w:val="20"/>
        </w:rPr>
        <w:t>August 25, 2023</w:t>
      </w:r>
      <w:r w:rsidRPr="000860EB">
        <w:rPr>
          <w:rFonts w:ascii="Times New Roman" w:hAnsi="Times New Roman"/>
          <w:i/>
          <w:iCs/>
          <w:sz w:val="20"/>
          <w:szCs w:val="20"/>
        </w:rPr>
        <w:t xml:space="preserve"> and by special resolution passed under Section 62(1)(c) of the Companies Act, 2013 at an Extra Ordinary General Meeting of the members held on </w:t>
      </w:r>
      <w:r>
        <w:rPr>
          <w:rFonts w:ascii="Times New Roman" w:hAnsi="Times New Roman"/>
          <w:i/>
          <w:iCs/>
          <w:sz w:val="20"/>
          <w:szCs w:val="20"/>
        </w:rPr>
        <w:t>August 25, 2023.</w:t>
      </w:r>
    </w:p>
    <w:p w14:paraId="3B8FBB4B" w14:textId="77777777" w:rsidR="003A7C1B" w:rsidRPr="000860EB" w:rsidRDefault="003A7C1B" w:rsidP="003A7C1B">
      <w:pPr>
        <w:suppressAutoHyphens/>
        <w:autoSpaceDE w:val="0"/>
        <w:autoSpaceDN w:val="0"/>
        <w:adjustRightInd w:val="0"/>
        <w:spacing w:after="0" w:line="240" w:lineRule="auto"/>
        <w:textAlignment w:val="center"/>
        <w:rPr>
          <w:rFonts w:ascii="Times New Roman" w:hAnsi="Times New Roman"/>
          <w:i/>
          <w:iCs/>
          <w:sz w:val="20"/>
          <w:szCs w:val="20"/>
        </w:rPr>
      </w:pPr>
    </w:p>
    <w:p w14:paraId="1410FBD3" w14:textId="77777777" w:rsidR="003A7C1B" w:rsidRPr="000860EB" w:rsidRDefault="003A7C1B" w:rsidP="003A7C1B">
      <w:pPr>
        <w:suppressAutoHyphens/>
        <w:autoSpaceDE w:val="0"/>
        <w:autoSpaceDN w:val="0"/>
        <w:adjustRightInd w:val="0"/>
        <w:spacing w:after="0" w:line="240" w:lineRule="auto"/>
        <w:textAlignment w:val="center"/>
        <w:rPr>
          <w:rFonts w:ascii="Times New Roman" w:hAnsi="Times New Roman"/>
          <w:b/>
          <w:bCs/>
          <w:color w:val="000000"/>
          <w:sz w:val="20"/>
          <w:szCs w:val="20"/>
        </w:rPr>
      </w:pPr>
      <w:r w:rsidRPr="000860EB">
        <w:rPr>
          <w:rFonts w:ascii="Times New Roman" w:hAnsi="Times New Roman"/>
          <w:b/>
          <w:bCs/>
          <w:color w:val="000000"/>
          <w:sz w:val="20"/>
          <w:szCs w:val="20"/>
        </w:rPr>
        <w:t>Classes of Shares:</w:t>
      </w:r>
    </w:p>
    <w:p w14:paraId="6A997D61" w14:textId="77777777" w:rsidR="003A7C1B" w:rsidRPr="000860EB" w:rsidRDefault="003A7C1B" w:rsidP="003A7C1B">
      <w:pPr>
        <w:suppressAutoHyphens/>
        <w:autoSpaceDE w:val="0"/>
        <w:autoSpaceDN w:val="0"/>
        <w:adjustRightInd w:val="0"/>
        <w:spacing w:after="0" w:line="240" w:lineRule="auto"/>
        <w:textAlignment w:val="center"/>
        <w:rPr>
          <w:rFonts w:ascii="Times New Roman" w:hAnsi="Times New Roman"/>
          <w:color w:val="000000"/>
          <w:sz w:val="20"/>
          <w:szCs w:val="20"/>
          <w:lang w:eastAsia="en-IN"/>
        </w:rPr>
      </w:pPr>
    </w:p>
    <w:p w14:paraId="1D6BE721" w14:textId="77777777" w:rsidR="003A7C1B" w:rsidRPr="000860EB" w:rsidRDefault="003A7C1B" w:rsidP="003A7C1B">
      <w:pPr>
        <w:spacing w:after="0" w:line="240" w:lineRule="auto"/>
        <w:jc w:val="both"/>
        <w:rPr>
          <w:rFonts w:ascii="Times New Roman" w:hAnsi="Times New Roman"/>
          <w:sz w:val="20"/>
          <w:szCs w:val="20"/>
        </w:rPr>
      </w:pPr>
      <w:r w:rsidRPr="000860EB">
        <w:rPr>
          <w:rFonts w:ascii="Times New Roman" w:hAnsi="Times New Roman"/>
          <w:sz w:val="20"/>
          <w:szCs w:val="20"/>
        </w:rPr>
        <w:t>Our Company has only one class of share capital i.e.</w:t>
      </w:r>
      <w:r>
        <w:rPr>
          <w:rFonts w:ascii="Times New Roman" w:hAnsi="Times New Roman"/>
          <w:sz w:val="20"/>
          <w:szCs w:val="20"/>
        </w:rPr>
        <w:t>,</w:t>
      </w:r>
      <w:r w:rsidRPr="000860EB">
        <w:rPr>
          <w:rFonts w:ascii="Times New Roman" w:hAnsi="Times New Roman"/>
          <w:sz w:val="20"/>
          <w:szCs w:val="20"/>
        </w:rPr>
        <w:t xml:space="preserve"> Equity Shares of face value of ₹ 10/- each only. All the issued Equity Shares are fully paid-up. Our Company has no outstanding convertible instruments as on the date of this Draft Red Herring Prospectus.</w:t>
      </w:r>
    </w:p>
    <w:p w14:paraId="4F8E9E40" w14:textId="77777777" w:rsidR="003A7C1B" w:rsidRPr="000860EB" w:rsidRDefault="003A7C1B" w:rsidP="003A7C1B">
      <w:pPr>
        <w:suppressAutoHyphens/>
        <w:autoSpaceDE w:val="0"/>
        <w:autoSpaceDN w:val="0"/>
        <w:adjustRightInd w:val="0"/>
        <w:spacing w:after="0" w:line="240" w:lineRule="auto"/>
        <w:textAlignment w:val="center"/>
        <w:rPr>
          <w:rFonts w:ascii="Times New Roman" w:hAnsi="Times New Roman"/>
          <w:sz w:val="20"/>
          <w:szCs w:val="20"/>
        </w:rPr>
      </w:pPr>
    </w:p>
    <w:p w14:paraId="2D59DF1C" w14:textId="77777777" w:rsidR="003A7C1B" w:rsidRPr="000860EB" w:rsidRDefault="003A7C1B" w:rsidP="003A7C1B">
      <w:pPr>
        <w:suppressAutoHyphens/>
        <w:autoSpaceDE w:val="0"/>
        <w:autoSpaceDN w:val="0"/>
        <w:adjustRightInd w:val="0"/>
        <w:spacing w:after="0" w:line="240" w:lineRule="auto"/>
        <w:textAlignment w:val="center"/>
        <w:rPr>
          <w:rFonts w:ascii="Times New Roman" w:hAnsi="Times New Roman"/>
          <w:b/>
          <w:color w:val="000000"/>
          <w:sz w:val="20"/>
          <w:szCs w:val="20"/>
          <w:u w:val="single"/>
        </w:rPr>
      </w:pPr>
      <w:r w:rsidRPr="000860EB">
        <w:rPr>
          <w:rFonts w:ascii="Times New Roman" w:hAnsi="Times New Roman"/>
          <w:b/>
          <w:color w:val="000000"/>
          <w:sz w:val="20"/>
          <w:szCs w:val="20"/>
          <w:u w:val="single"/>
        </w:rPr>
        <w:t>NOTES TO THE CAPITAL STRUCTURE:</w:t>
      </w:r>
    </w:p>
    <w:p w14:paraId="6BD0F130" w14:textId="77777777" w:rsidR="003A7C1B" w:rsidRPr="000860EB" w:rsidRDefault="003A7C1B" w:rsidP="003A7C1B">
      <w:pPr>
        <w:suppressAutoHyphens/>
        <w:autoSpaceDE w:val="0"/>
        <w:autoSpaceDN w:val="0"/>
        <w:adjustRightInd w:val="0"/>
        <w:spacing w:after="0" w:line="240" w:lineRule="auto"/>
        <w:textAlignment w:val="center"/>
        <w:rPr>
          <w:rFonts w:ascii="Times New Roman" w:hAnsi="Times New Roman"/>
          <w:b/>
          <w:color w:val="000000"/>
          <w:sz w:val="20"/>
          <w:szCs w:val="20"/>
        </w:rPr>
      </w:pPr>
    </w:p>
    <w:p w14:paraId="49C1AB3C" w14:textId="77777777" w:rsidR="003A7C1B" w:rsidRPr="000860EB" w:rsidRDefault="003A7C1B" w:rsidP="00F038BD">
      <w:pPr>
        <w:numPr>
          <w:ilvl w:val="0"/>
          <w:numId w:val="157"/>
        </w:numPr>
        <w:spacing w:after="0" w:line="240" w:lineRule="auto"/>
        <w:contextualSpacing/>
        <w:rPr>
          <w:rFonts w:ascii="Times New Roman" w:hAnsi="Times New Roman"/>
          <w:b/>
          <w:color w:val="000000"/>
          <w:sz w:val="20"/>
          <w:szCs w:val="20"/>
          <w:lang w:eastAsia="en-IN"/>
        </w:rPr>
      </w:pPr>
      <w:r w:rsidRPr="000860EB">
        <w:rPr>
          <w:rFonts w:ascii="Times New Roman" w:hAnsi="Times New Roman"/>
          <w:b/>
          <w:color w:val="000000"/>
          <w:sz w:val="20"/>
          <w:szCs w:val="20"/>
          <w:lang w:eastAsia="en-IN"/>
        </w:rPr>
        <w:t>Changes in Authorized Equity Share Capital of our Company:</w:t>
      </w:r>
    </w:p>
    <w:p w14:paraId="25D2ECBF" w14:textId="77777777" w:rsidR="003A7C1B" w:rsidRPr="000860EB" w:rsidRDefault="003A7C1B" w:rsidP="003A7C1B">
      <w:pPr>
        <w:suppressAutoHyphens/>
        <w:autoSpaceDE w:val="0"/>
        <w:autoSpaceDN w:val="0"/>
        <w:adjustRightInd w:val="0"/>
        <w:spacing w:after="0" w:line="240" w:lineRule="auto"/>
        <w:textAlignment w:val="center"/>
        <w:rPr>
          <w:rFonts w:ascii="Times New Roman" w:hAnsi="Times New Roman"/>
          <w:b/>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3"/>
        <w:gridCol w:w="2459"/>
        <w:gridCol w:w="1418"/>
        <w:gridCol w:w="1198"/>
        <w:gridCol w:w="2096"/>
        <w:gridCol w:w="1556"/>
        <w:gridCol w:w="1217"/>
      </w:tblGrid>
      <w:tr w:rsidR="003A7C1B" w:rsidRPr="000860EB" w14:paraId="2398CB7F" w14:textId="77777777" w:rsidTr="00250DAC">
        <w:tc>
          <w:tcPr>
            <w:tcW w:w="245" w:type="pct"/>
            <w:shd w:val="clear" w:color="auto" w:fill="D0CECE" w:themeFill="background2" w:themeFillShade="E6"/>
          </w:tcPr>
          <w:p w14:paraId="27D12DF6" w14:textId="77777777" w:rsidR="003A7C1B" w:rsidRPr="000860EB" w:rsidRDefault="003A7C1B" w:rsidP="00250DAC">
            <w:pPr>
              <w:suppressAutoHyphens/>
              <w:autoSpaceDE w:val="0"/>
              <w:autoSpaceDN w:val="0"/>
              <w:adjustRightInd w:val="0"/>
              <w:spacing w:after="0" w:line="240" w:lineRule="auto"/>
              <w:jc w:val="center"/>
              <w:textAlignment w:val="center"/>
              <w:rPr>
                <w:rFonts w:ascii="Times New Roman" w:eastAsia="Calibri" w:hAnsi="Times New Roman"/>
                <w:b/>
                <w:color w:val="000000"/>
                <w:sz w:val="20"/>
                <w:szCs w:val="20"/>
              </w:rPr>
            </w:pPr>
            <w:r w:rsidRPr="000860EB">
              <w:rPr>
                <w:rFonts w:ascii="Times New Roman" w:eastAsia="Calibri" w:hAnsi="Times New Roman"/>
                <w:b/>
                <w:color w:val="000000"/>
                <w:sz w:val="20"/>
                <w:szCs w:val="20"/>
              </w:rPr>
              <w:t>Sr. No.</w:t>
            </w:r>
          </w:p>
        </w:tc>
        <w:tc>
          <w:tcPr>
            <w:tcW w:w="1176" w:type="pct"/>
            <w:shd w:val="clear" w:color="auto" w:fill="D0CECE" w:themeFill="background2" w:themeFillShade="E6"/>
          </w:tcPr>
          <w:p w14:paraId="1EDCF04A" w14:textId="77777777" w:rsidR="003A7C1B" w:rsidRPr="000860EB" w:rsidRDefault="003A7C1B" w:rsidP="00250DAC">
            <w:pPr>
              <w:suppressAutoHyphens/>
              <w:autoSpaceDE w:val="0"/>
              <w:autoSpaceDN w:val="0"/>
              <w:adjustRightInd w:val="0"/>
              <w:spacing w:after="0" w:line="240" w:lineRule="auto"/>
              <w:textAlignment w:val="center"/>
              <w:rPr>
                <w:rFonts w:ascii="Times New Roman" w:eastAsia="Calibri" w:hAnsi="Times New Roman"/>
                <w:b/>
                <w:color w:val="000000"/>
                <w:sz w:val="20"/>
                <w:szCs w:val="20"/>
              </w:rPr>
            </w:pPr>
            <w:r w:rsidRPr="000860EB">
              <w:rPr>
                <w:rFonts w:ascii="Times New Roman" w:eastAsia="Calibri" w:hAnsi="Times New Roman"/>
                <w:b/>
                <w:color w:val="000000"/>
                <w:sz w:val="20"/>
                <w:szCs w:val="20"/>
              </w:rPr>
              <w:t>Particulars</w:t>
            </w:r>
          </w:p>
        </w:tc>
        <w:tc>
          <w:tcPr>
            <w:tcW w:w="678" w:type="pct"/>
            <w:shd w:val="clear" w:color="auto" w:fill="D0CECE" w:themeFill="background2" w:themeFillShade="E6"/>
          </w:tcPr>
          <w:p w14:paraId="1CFB0A05" w14:textId="77777777" w:rsidR="003A7C1B" w:rsidRPr="000860EB" w:rsidRDefault="003A7C1B" w:rsidP="00250DAC">
            <w:pPr>
              <w:suppressAutoHyphens/>
              <w:autoSpaceDE w:val="0"/>
              <w:autoSpaceDN w:val="0"/>
              <w:adjustRightInd w:val="0"/>
              <w:spacing w:after="0" w:line="240" w:lineRule="auto"/>
              <w:jc w:val="center"/>
              <w:textAlignment w:val="center"/>
              <w:rPr>
                <w:rFonts w:ascii="Times New Roman" w:eastAsia="Calibri" w:hAnsi="Times New Roman"/>
                <w:b/>
                <w:color w:val="000000"/>
                <w:sz w:val="20"/>
                <w:szCs w:val="20"/>
              </w:rPr>
            </w:pPr>
            <w:r w:rsidRPr="000860EB">
              <w:rPr>
                <w:rFonts w:ascii="Times New Roman" w:eastAsia="Calibri" w:hAnsi="Times New Roman"/>
                <w:b/>
                <w:color w:val="000000"/>
                <w:sz w:val="20"/>
                <w:szCs w:val="20"/>
              </w:rPr>
              <w:t>Cumulative No. of Equity Shares</w:t>
            </w:r>
          </w:p>
        </w:tc>
        <w:tc>
          <w:tcPr>
            <w:tcW w:w="573" w:type="pct"/>
            <w:shd w:val="clear" w:color="auto" w:fill="D0CECE" w:themeFill="background2" w:themeFillShade="E6"/>
          </w:tcPr>
          <w:p w14:paraId="65BC3210" w14:textId="77777777" w:rsidR="003A7C1B" w:rsidRPr="000860EB" w:rsidRDefault="003A7C1B" w:rsidP="00250DAC">
            <w:pPr>
              <w:suppressAutoHyphens/>
              <w:autoSpaceDE w:val="0"/>
              <w:autoSpaceDN w:val="0"/>
              <w:adjustRightInd w:val="0"/>
              <w:spacing w:after="0" w:line="240" w:lineRule="auto"/>
              <w:jc w:val="center"/>
              <w:textAlignment w:val="center"/>
              <w:rPr>
                <w:rFonts w:ascii="Times New Roman" w:eastAsia="Calibri" w:hAnsi="Times New Roman"/>
                <w:b/>
                <w:color w:val="000000"/>
                <w:sz w:val="20"/>
                <w:szCs w:val="20"/>
              </w:rPr>
            </w:pPr>
            <w:r w:rsidRPr="000860EB">
              <w:rPr>
                <w:rFonts w:ascii="Times New Roman" w:eastAsia="Calibri" w:hAnsi="Times New Roman"/>
                <w:b/>
                <w:color w:val="000000"/>
                <w:sz w:val="20"/>
                <w:szCs w:val="20"/>
              </w:rPr>
              <w:t>Face Value of Equity Share</w:t>
            </w:r>
          </w:p>
        </w:tc>
        <w:tc>
          <w:tcPr>
            <w:tcW w:w="1002" w:type="pct"/>
            <w:shd w:val="clear" w:color="auto" w:fill="D0CECE" w:themeFill="background2" w:themeFillShade="E6"/>
          </w:tcPr>
          <w:p w14:paraId="7FD97E41" w14:textId="7E9BE155" w:rsidR="003A7C1B" w:rsidRPr="000860EB" w:rsidRDefault="003A7C1B" w:rsidP="00250DAC">
            <w:pPr>
              <w:suppressAutoHyphens/>
              <w:autoSpaceDE w:val="0"/>
              <w:autoSpaceDN w:val="0"/>
              <w:adjustRightInd w:val="0"/>
              <w:spacing w:after="0" w:line="240" w:lineRule="auto"/>
              <w:jc w:val="center"/>
              <w:textAlignment w:val="center"/>
              <w:rPr>
                <w:rFonts w:ascii="Times New Roman" w:eastAsia="Calibri" w:hAnsi="Times New Roman"/>
                <w:b/>
                <w:color w:val="000000"/>
                <w:sz w:val="20"/>
                <w:szCs w:val="20"/>
              </w:rPr>
            </w:pPr>
            <w:r w:rsidRPr="000860EB">
              <w:rPr>
                <w:rFonts w:ascii="Times New Roman" w:eastAsia="Calibri" w:hAnsi="Times New Roman"/>
                <w:b/>
                <w:color w:val="000000"/>
                <w:sz w:val="20"/>
                <w:szCs w:val="20"/>
              </w:rPr>
              <w:t>Cumulative Authorized Share Capital (₹ in lakhs)</w:t>
            </w:r>
          </w:p>
        </w:tc>
        <w:tc>
          <w:tcPr>
            <w:tcW w:w="744" w:type="pct"/>
            <w:shd w:val="clear" w:color="auto" w:fill="D0CECE" w:themeFill="background2" w:themeFillShade="E6"/>
          </w:tcPr>
          <w:p w14:paraId="55CD79C6" w14:textId="77777777" w:rsidR="003A7C1B" w:rsidRPr="000860EB" w:rsidRDefault="003A7C1B" w:rsidP="00250DAC">
            <w:pPr>
              <w:suppressAutoHyphens/>
              <w:autoSpaceDE w:val="0"/>
              <w:autoSpaceDN w:val="0"/>
              <w:adjustRightInd w:val="0"/>
              <w:spacing w:after="0" w:line="240" w:lineRule="auto"/>
              <w:jc w:val="center"/>
              <w:textAlignment w:val="center"/>
              <w:rPr>
                <w:rFonts w:ascii="Times New Roman" w:eastAsia="Calibri" w:hAnsi="Times New Roman"/>
                <w:b/>
                <w:color w:val="000000"/>
                <w:sz w:val="20"/>
                <w:szCs w:val="20"/>
              </w:rPr>
            </w:pPr>
            <w:r w:rsidRPr="000860EB">
              <w:rPr>
                <w:rFonts w:ascii="Times New Roman" w:eastAsia="Calibri" w:hAnsi="Times New Roman"/>
                <w:b/>
                <w:color w:val="000000"/>
                <w:sz w:val="20"/>
                <w:szCs w:val="20"/>
              </w:rPr>
              <w:t>Date of Meeting</w:t>
            </w:r>
          </w:p>
        </w:tc>
        <w:tc>
          <w:tcPr>
            <w:tcW w:w="582" w:type="pct"/>
            <w:shd w:val="clear" w:color="auto" w:fill="D0CECE" w:themeFill="background2" w:themeFillShade="E6"/>
          </w:tcPr>
          <w:p w14:paraId="46C58C01" w14:textId="77777777" w:rsidR="003A7C1B" w:rsidRPr="000860EB" w:rsidRDefault="003A7C1B" w:rsidP="00250DAC">
            <w:pPr>
              <w:suppressAutoHyphens/>
              <w:autoSpaceDE w:val="0"/>
              <w:autoSpaceDN w:val="0"/>
              <w:adjustRightInd w:val="0"/>
              <w:spacing w:after="0" w:line="240" w:lineRule="auto"/>
              <w:jc w:val="center"/>
              <w:textAlignment w:val="center"/>
              <w:rPr>
                <w:rFonts w:ascii="Times New Roman" w:eastAsia="Calibri" w:hAnsi="Times New Roman"/>
                <w:b/>
                <w:color w:val="000000"/>
                <w:sz w:val="20"/>
                <w:szCs w:val="20"/>
              </w:rPr>
            </w:pPr>
            <w:r w:rsidRPr="000860EB">
              <w:rPr>
                <w:rFonts w:ascii="Times New Roman" w:eastAsia="Calibri" w:hAnsi="Times New Roman"/>
                <w:b/>
                <w:color w:val="000000"/>
                <w:sz w:val="20"/>
                <w:szCs w:val="20"/>
              </w:rPr>
              <w:t>Whether AGM/ EGM</w:t>
            </w:r>
          </w:p>
        </w:tc>
      </w:tr>
      <w:tr w:rsidR="003A7C1B" w:rsidRPr="000860EB" w14:paraId="5A675E40" w14:textId="77777777" w:rsidTr="00250DAC">
        <w:tc>
          <w:tcPr>
            <w:tcW w:w="245" w:type="pct"/>
            <w:shd w:val="clear" w:color="auto" w:fill="auto"/>
            <w:vAlign w:val="center"/>
          </w:tcPr>
          <w:p w14:paraId="37C38567" w14:textId="77777777" w:rsidR="003A7C1B" w:rsidRPr="000860EB" w:rsidRDefault="003A7C1B" w:rsidP="00250DAC">
            <w:pPr>
              <w:suppressAutoHyphens/>
              <w:autoSpaceDE w:val="0"/>
              <w:autoSpaceDN w:val="0"/>
              <w:adjustRightInd w:val="0"/>
              <w:spacing w:after="0" w:line="240" w:lineRule="auto"/>
              <w:jc w:val="center"/>
              <w:textAlignment w:val="center"/>
              <w:rPr>
                <w:rFonts w:ascii="Times New Roman" w:eastAsia="Calibri" w:hAnsi="Times New Roman"/>
                <w:color w:val="000000"/>
                <w:sz w:val="20"/>
                <w:szCs w:val="20"/>
              </w:rPr>
            </w:pPr>
            <w:r w:rsidRPr="000860EB">
              <w:rPr>
                <w:rFonts w:ascii="Times New Roman" w:eastAsia="Calibri" w:hAnsi="Times New Roman"/>
                <w:color w:val="000000"/>
                <w:sz w:val="20"/>
                <w:szCs w:val="20"/>
              </w:rPr>
              <w:t>1.</w:t>
            </w:r>
          </w:p>
        </w:tc>
        <w:tc>
          <w:tcPr>
            <w:tcW w:w="1176" w:type="pct"/>
            <w:shd w:val="clear" w:color="auto" w:fill="auto"/>
          </w:tcPr>
          <w:p w14:paraId="62E19815" w14:textId="77777777" w:rsidR="003A7C1B" w:rsidRPr="000860EB" w:rsidRDefault="003A7C1B" w:rsidP="00250DAC">
            <w:pPr>
              <w:suppressAutoHyphens/>
              <w:autoSpaceDE w:val="0"/>
              <w:autoSpaceDN w:val="0"/>
              <w:adjustRightInd w:val="0"/>
              <w:spacing w:after="0" w:line="240" w:lineRule="auto"/>
              <w:jc w:val="both"/>
              <w:textAlignment w:val="center"/>
              <w:rPr>
                <w:rFonts w:ascii="Times New Roman" w:eastAsia="Calibri" w:hAnsi="Times New Roman"/>
                <w:color w:val="000000"/>
                <w:sz w:val="20"/>
                <w:szCs w:val="20"/>
              </w:rPr>
            </w:pPr>
            <w:r w:rsidRPr="000860EB">
              <w:rPr>
                <w:rFonts w:ascii="Times New Roman" w:eastAsia="Calibri" w:hAnsi="Times New Roman"/>
                <w:color w:val="000000"/>
                <w:sz w:val="20"/>
                <w:szCs w:val="20"/>
              </w:rPr>
              <w:t>On incorporation</w:t>
            </w:r>
          </w:p>
        </w:tc>
        <w:tc>
          <w:tcPr>
            <w:tcW w:w="678" w:type="pct"/>
            <w:shd w:val="clear" w:color="auto" w:fill="auto"/>
            <w:vAlign w:val="center"/>
          </w:tcPr>
          <w:p w14:paraId="03944B67" w14:textId="77777777" w:rsidR="003A7C1B" w:rsidRPr="000860EB" w:rsidRDefault="003A7C1B" w:rsidP="00250DAC">
            <w:pPr>
              <w:suppressAutoHyphens/>
              <w:autoSpaceDE w:val="0"/>
              <w:autoSpaceDN w:val="0"/>
              <w:adjustRightInd w:val="0"/>
              <w:spacing w:after="0" w:line="240" w:lineRule="auto"/>
              <w:jc w:val="center"/>
              <w:textAlignment w:val="center"/>
              <w:rPr>
                <w:rFonts w:ascii="Times New Roman" w:eastAsia="Calibri" w:hAnsi="Times New Roman"/>
                <w:color w:val="000000"/>
                <w:sz w:val="20"/>
                <w:szCs w:val="20"/>
              </w:rPr>
            </w:pPr>
            <w:r w:rsidRPr="000860EB">
              <w:rPr>
                <w:rFonts w:ascii="Times New Roman" w:eastAsia="Calibri" w:hAnsi="Times New Roman"/>
                <w:color w:val="000000"/>
                <w:sz w:val="20"/>
                <w:szCs w:val="20"/>
              </w:rPr>
              <w:t>10,00,000</w:t>
            </w:r>
          </w:p>
        </w:tc>
        <w:tc>
          <w:tcPr>
            <w:tcW w:w="573" w:type="pct"/>
            <w:vAlign w:val="center"/>
          </w:tcPr>
          <w:p w14:paraId="6B1D65DD" w14:textId="77777777" w:rsidR="003A7C1B" w:rsidRPr="000860EB" w:rsidRDefault="003A7C1B" w:rsidP="00250DAC">
            <w:pPr>
              <w:suppressAutoHyphens/>
              <w:autoSpaceDE w:val="0"/>
              <w:autoSpaceDN w:val="0"/>
              <w:adjustRightInd w:val="0"/>
              <w:spacing w:after="0" w:line="240" w:lineRule="auto"/>
              <w:jc w:val="center"/>
              <w:textAlignment w:val="center"/>
              <w:rPr>
                <w:rFonts w:ascii="Times New Roman" w:eastAsia="Calibri" w:hAnsi="Times New Roman"/>
                <w:color w:val="000000"/>
                <w:sz w:val="20"/>
                <w:szCs w:val="20"/>
              </w:rPr>
            </w:pPr>
            <w:r w:rsidRPr="000860EB">
              <w:rPr>
                <w:rFonts w:ascii="Times New Roman" w:eastAsia="Calibri" w:hAnsi="Times New Roman"/>
                <w:color w:val="000000"/>
                <w:sz w:val="20"/>
                <w:szCs w:val="20"/>
              </w:rPr>
              <w:t>10/-</w:t>
            </w:r>
          </w:p>
        </w:tc>
        <w:tc>
          <w:tcPr>
            <w:tcW w:w="1002" w:type="pct"/>
            <w:shd w:val="clear" w:color="auto" w:fill="auto"/>
            <w:vAlign w:val="center"/>
          </w:tcPr>
          <w:p w14:paraId="61D9B902" w14:textId="77777777" w:rsidR="003A7C1B" w:rsidRPr="000860EB" w:rsidRDefault="003A7C1B" w:rsidP="00250DAC">
            <w:pPr>
              <w:suppressAutoHyphens/>
              <w:autoSpaceDE w:val="0"/>
              <w:autoSpaceDN w:val="0"/>
              <w:adjustRightInd w:val="0"/>
              <w:spacing w:after="0" w:line="240" w:lineRule="auto"/>
              <w:jc w:val="center"/>
              <w:textAlignment w:val="center"/>
              <w:rPr>
                <w:rFonts w:ascii="Times New Roman" w:eastAsia="Calibri" w:hAnsi="Times New Roman"/>
                <w:color w:val="000000"/>
                <w:sz w:val="20"/>
                <w:szCs w:val="20"/>
              </w:rPr>
            </w:pPr>
            <w:r w:rsidRPr="000860EB">
              <w:rPr>
                <w:rFonts w:ascii="Times New Roman" w:eastAsia="Calibri" w:hAnsi="Times New Roman"/>
                <w:color w:val="000000"/>
                <w:sz w:val="20"/>
                <w:szCs w:val="20"/>
              </w:rPr>
              <w:t>100.00</w:t>
            </w:r>
          </w:p>
        </w:tc>
        <w:tc>
          <w:tcPr>
            <w:tcW w:w="744" w:type="pct"/>
            <w:shd w:val="clear" w:color="auto" w:fill="auto"/>
          </w:tcPr>
          <w:p w14:paraId="789B66F4"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On Incorporation</w:t>
            </w:r>
          </w:p>
        </w:tc>
        <w:tc>
          <w:tcPr>
            <w:tcW w:w="582" w:type="pct"/>
            <w:shd w:val="clear" w:color="auto" w:fill="auto"/>
            <w:vAlign w:val="center"/>
          </w:tcPr>
          <w:p w14:paraId="7CC987B0" w14:textId="77777777" w:rsidR="003A7C1B" w:rsidRPr="000860EB" w:rsidRDefault="003A7C1B" w:rsidP="00250DAC">
            <w:pPr>
              <w:suppressAutoHyphens/>
              <w:autoSpaceDE w:val="0"/>
              <w:autoSpaceDN w:val="0"/>
              <w:adjustRightInd w:val="0"/>
              <w:spacing w:after="0" w:line="240" w:lineRule="auto"/>
              <w:jc w:val="center"/>
              <w:textAlignment w:val="center"/>
              <w:rPr>
                <w:rFonts w:ascii="Times New Roman" w:eastAsia="Calibri" w:hAnsi="Times New Roman"/>
                <w:color w:val="000000"/>
                <w:sz w:val="20"/>
                <w:szCs w:val="20"/>
              </w:rPr>
            </w:pPr>
            <w:r w:rsidRPr="000860EB">
              <w:rPr>
                <w:rFonts w:ascii="Times New Roman" w:eastAsia="Calibri" w:hAnsi="Times New Roman"/>
                <w:color w:val="000000"/>
                <w:sz w:val="20"/>
                <w:szCs w:val="20"/>
              </w:rPr>
              <w:t>N.A.</w:t>
            </w:r>
          </w:p>
        </w:tc>
      </w:tr>
      <w:tr w:rsidR="003A7C1B" w:rsidRPr="000860EB" w14:paraId="01EB37CE" w14:textId="77777777" w:rsidTr="00250DAC">
        <w:tc>
          <w:tcPr>
            <w:tcW w:w="245" w:type="pct"/>
            <w:shd w:val="clear" w:color="auto" w:fill="auto"/>
            <w:vAlign w:val="center"/>
          </w:tcPr>
          <w:p w14:paraId="4A97AC12" w14:textId="77777777" w:rsidR="003A7C1B" w:rsidRPr="000860EB" w:rsidRDefault="003A7C1B" w:rsidP="00250DAC">
            <w:pPr>
              <w:suppressAutoHyphens/>
              <w:autoSpaceDE w:val="0"/>
              <w:autoSpaceDN w:val="0"/>
              <w:adjustRightInd w:val="0"/>
              <w:spacing w:after="0" w:line="240" w:lineRule="auto"/>
              <w:jc w:val="center"/>
              <w:textAlignment w:val="center"/>
              <w:rPr>
                <w:rFonts w:ascii="Times New Roman" w:eastAsia="Calibri" w:hAnsi="Times New Roman"/>
                <w:color w:val="000000"/>
                <w:sz w:val="20"/>
                <w:szCs w:val="20"/>
              </w:rPr>
            </w:pPr>
            <w:r w:rsidRPr="000860EB">
              <w:rPr>
                <w:rFonts w:ascii="Times New Roman" w:eastAsia="Calibri" w:hAnsi="Times New Roman"/>
                <w:color w:val="000000"/>
                <w:sz w:val="20"/>
                <w:szCs w:val="20"/>
              </w:rPr>
              <w:t>2.</w:t>
            </w:r>
          </w:p>
        </w:tc>
        <w:tc>
          <w:tcPr>
            <w:tcW w:w="1176" w:type="pct"/>
            <w:shd w:val="clear" w:color="auto" w:fill="auto"/>
          </w:tcPr>
          <w:p w14:paraId="37B0FAD1" w14:textId="77777777" w:rsidR="003A7C1B" w:rsidRPr="000860EB" w:rsidRDefault="003A7C1B" w:rsidP="00250DAC">
            <w:pPr>
              <w:suppressAutoHyphens/>
              <w:autoSpaceDE w:val="0"/>
              <w:autoSpaceDN w:val="0"/>
              <w:adjustRightInd w:val="0"/>
              <w:spacing w:after="0" w:line="240" w:lineRule="auto"/>
              <w:jc w:val="both"/>
              <w:textAlignment w:val="center"/>
              <w:rPr>
                <w:rFonts w:ascii="Times New Roman" w:eastAsia="Calibri" w:hAnsi="Times New Roman"/>
                <w:b/>
                <w:color w:val="000000"/>
                <w:sz w:val="20"/>
                <w:szCs w:val="20"/>
              </w:rPr>
            </w:pPr>
            <w:r w:rsidRPr="000860EB">
              <w:rPr>
                <w:rFonts w:ascii="Times New Roman" w:eastAsia="Calibri" w:hAnsi="Times New Roman"/>
                <w:color w:val="000000"/>
                <w:sz w:val="20"/>
                <w:szCs w:val="20"/>
              </w:rPr>
              <w:t xml:space="preserve">Increase in Authorized Share Capital from </w:t>
            </w:r>
            <w:r w:rsidRPr="000860EB">
              <w:rPr>
                <w:rFonts w:ascii="Times New Roman" w:eastAsia="Calibri" w:hAnsi="Times New Roman"/>
                <w:sz w:val="20"/>
                <w:szCs w:val="20"/>
              </w:rPr>
              <w:t>₹100.00 Lakh to ₹150.00 Lakhs</w:t>
            </w:r>
          </w:p>
        </w:tc>
        <w:tc>
          <w:tcPr>
            <w:tcW w:w="678" w:type="pct"/>
            <w:shd w:val="clear" w:color="auto" w:fill="auto"/>
            <w:vAlign w:val="center"/>
          </w:tcPr>
          <w:p w14:paraId="1B92FA52" w14:textId="77777777" w:rsidR="003A7C1B" w:rsidRPr="000860EB" w:rsidRDefault="003A7C1B" w:rsidP="00250DAC">
            <w:pPr>
              <w:suppressAutoHyphens/>
              <w:autoSpaceDE w:val="0"/>
              <w:autoSpaceDN w:val="0"/>
              <w:adjustRightInd w:val="0"/>
              <w:spacing w:after="0" w:line="240" w:lineRule="auto"/>
              <w:jc w:val="center"/>
              <w:textAlignment w:val="center"/>
              <w:rPr>
                <w:rFonts w:ascii="Times New Roman" w:eastAsia="Calibri" w:hAnsi="Times New Roman"/>
                <w:color w:val="000000"/>
                <w:sz w:val="20"/>
                <w:szCs w:val="20"/>
              </w:rPr>
            </w:pPr>
            <w:r w:rsidRPr="000860EB">
              <w:rPr>
                <w:rFonts w:ascii="Times New Roman" w:eastAsia="Calibri" w:hAnsi="Times New Roman"/>
                <w:color w:val="000000"/>
                <w:sz w:val="20"/>
                <w:szCs w:val="20"/>
              </w:rPr>
              <w:t>15,00,000</w:t>
            </w:r>
          </w:p>
        </w:tc>
        <w:tc>
          <w:tcPr>
            <w:tcW w:w="573" w:type="pct"/>
            <w:vAlign w:val="center"/>
          </w:tcPr>
          <w:p w14:paraId="7099DFD2" w14:textId="77777777" w:rsidR="003A7C1B" w:rsidRPr="000860EB" w:rsidRDefault="003A7C1B" w:rsidP="00250DAC">
            <w:pPr>
              <w:suppressAutoHyphens/>
              <w:autoSpaceDE w:val="0"/>
              <w:autoSpaceDN w:val="0"/>
              <w:adjustRightInd w:val="0"/>
              <w:spacing w:after="0" w:line="240" w:lineRule="auto"/>
              <w:jc w:val="center"/>
              <w:textAlignment w:val="center"/>
              <w:rPr>
                <w:rFonts w:ascii="Times New Roman" w:eastAsia="Calibri" w:hAnsi="Times New Roman"/>
                <w:color w:val="000000"/>
                <w:sz w:val="20"/>
                <w:szCs w:val="20"/>
              </w:rPr>
            </w:pPr>
            <w:r w:rsidRPr="000860EB">
              <w:rPr>
                <w:rFonts w:ascii="Times New Roman" w:eastAsia="Calibri" w:hAnsi="Times New Roman"/>
                <w:color w:val="000000"/>
                <w:sz w:val="20"/>
                <w:szCs w:val="20"/>
              </w:rPr>
              <w:t>10/-</w:t>
            </w:r>
          </w:p>
        </w:tc>
        <w:tc>
          <w:tcPr>
            <w:tcW w:w="1002" w:type="pct"/>
            <w:shd w:val="clear" w:color="auto" w:fill="auto"/>
            <w:vAlign w:val="center"/>
          </w:tcPr>
          <w:p w14:paraId="5A2C78CB" w14:textId="77777777" w:rsidR="003A7C1B" w:rsidRPr="000860EB" w:rsidRDefault="003A7C1B" w:rsidP="00250DAC">
            <w:pPr>
              <w:suppressAutoHyphens/>
              <w:autoSpaceDE w:val="0"/>
              <w:autoSpaceDN w:val="0"/>
              <w:adjustRightInd w:val="0"/>
              <w:spacing w:after="0" w:line="240" w:lineRule="auto"/>
              <w:jc w:val="center"/>
              <w:textAlignment w:val="center"/>
              <w:rPr>
                <w:rFonts w:ascii="Times New Roman" w:eastAsia="Calibri" w:hAnsi="Times New Roman"/>
                <w:color w:val="000000"/>
                <w:sz w:val="20"/>
                <w:szCs w:val="20"/>
              </w:rPr>
            </w:pPr>
            <w:r w:rsidRPr="000860EB">
              <w:rPr>
                <w:rFonts w:ascii="Times New Roman" w:eastAsia="Calibri" w:hAnsi="Times New Roman"/>
                <w:color w:val="000000"/>
                <w:sz w:val="20"/>
                <w:szCs w:val="20"/>
              </w:rPr>
              <w:t>150.00</w:t>
            </w:r>
          </w:p>
        </w:tc>
        <w:tc>
          <w:tcPr>
            <w:tcW w:w="744" w:type="pct"/>
            <w:shd w:val="clear" w:color="auto" w:fill="auto"/>
            <w:vAlign w:val="center"/>
          </w:tcPr>
          <w:p w14:paraId="7722E72C"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July 14, 2012</w:t>
            </w:r>
          </w:p>
        </w:tc>
        <w:tc>
          <w:tcPr>
            <w:tcW w:w="582" w:type="pct"/>
            <w:shd w:val="clear" w:color="auto" w:fill="auto"/>
            <w:vAlign w:val="center"/>
          </w:tcPr>
          <w:p w14:paraId="110B849D" w14:textId="77777777" w:rsidR="003A7C1B" w:rsidRPr="000860EB" w:rsidRDefault="003A7C1B" w:rsidP="00250DAC">
            <w:pPr>
              <w:suppressAutoHyphens/>
              <w:autoSpaceDE w:val="0"/>
              <w:autoSpaceDN w:val="0"/>
              <w:adjustRightInd w:val="0"/>
              <w:spacing w:after="0" w:line="240" w:lineRule="auto"/>
              <w:jc w:val="center"/>
              <w:textAlignment w:val="center"/>
              <w:rPr>
                <w:rFonts w:ascii="Times New Roman" w:eastAsia="Calibri" w:hAnsi="Times New Roman"/>
                <w:color w:val="000000"/>
                <w:sz w:val="20"/>
                <w:szCs w:val="20"/>
              </w:rPr>
            </w:pPr>
            <w:r w:rsidRPr="000860EB">
              <w:rPr>
                <w:rFonts w:ascii="Times New Roman" w:eastAsia="Calibri" w:hAnsi="Times New Roman"/>
                <w:color w:val="000000"/>
                <w:sz w:val="20"/>
                <w:szCs w:val="20"/>
              </w:rPr>
              <w:t>EGM</w:t>
            </w:r>
          </w:p>
        </w:tc>
      </w:tr>
      <w:tr w:rsidR="003A7C1B" w:rsidRPr="000860EB" w14:paraId="3A5E1805" w14:textId="77777777" w:rsidTr="00250DAC">
        <w:tc>
          <w:tcPr>
            <w:tcW w:w="245" w:type="pct"/>
            <w:shd w:val="clear" w:color="auto" w:fill="auto"/>
            <w:vAlign w:val="center"/>
          </w:tcPr>
          <w:p w14:paraId="37C8993A" w14:textId="77777777" w:rsidR="003A7C1B" w:rsidRPr="000860EB" w:rsidRDefault="003A7C1B" w:rsidP="00250DAC">
            <w:pPr>
              <w:suppressAutoHyphens/>
              <w:autoSpaceDE w:val="0"/>
              <w:autoSpaceDN w:val="0"/>
              <w:adjustRightInd w:val="0"/>
              <w:spacing w:after="0" w:line="240" w:lineRule="auto"/>
              <w:jc w:val="center"/>
              <w:textAlignment w:val="center"/>
              <w:rPr>
                <w:rFonts w:ascii="Times New Roman" w:eastAsia="Calibri" w:hAnsi="Times New Roman"/>
                <w:color w:val="000000"/>
                <w:sz w:val="20"/>
                <w:szCs w:val="20"/>
              </w:rPr>
            </w:pPr>
            <w:r w:rsidRPr="000860EB">
              <w:rPr>
                <w:rFonts w:ascii="Times New Roman" w:eastAsia="Calibri" w:hAnsi="Times New Roman"/>
                <w:color w:val="000000"/>
                <w:sz w:val="20"/>
                <w:szCs w:val="20"/>
              </w:rPr>
              <w:t>3.</w:t>
            </w:r>
          </w:p>
        </w:tc>
        <w:tc>
          <w:tcPr>
            <w:tcW w:w="1176" w:type="pct"/>
            <w:shd w:val="clear" w:color="auto" w:fill="auto"/>
          </w:tcPr>
          <w:p w14:paraId="25AB132D" w14:textId="77777777" w:rsidR="003A7C1B" w:rsidRPr="000860EB" w:rsidRDefault="003A7C1B" w:rsidP="00250DAC">
            <w:pPr>
              <w:suppressAutoHyphens/>
              <w:autoSpaceDE w:val="0"/>
              <w:autoSpaceDN w:val="0"/>
              <w:adjustRightInd w:val="0"/>
              <w:spacing w:after="0" w:line="240" w:lineRule="auto"/>
              <w:jc w:val="both"/>
              <w:textAlignment w:val="center"/>
              <w:rPr>
                <w:rFonts w:ascii="Times New Roman" w:eastAsia="Calibri" w:hAnsi="Times New Roman"/>
                <w:b/>
                <w:color w:val="000000"/>
                <w:sz w:val="20"/>
                <w:szCs w:val="20"/>
              </w:rPr>
            </w:pPr>
            <w:r w:rsidRPr="000860EB">
              <w:rPr>
                <w:rFonts w:ascii="Times New Roman" w:eastAsia="Calibri" w:hAnsi="Times New Roman"/>
                <w:color w:val="000000"/>
                <w:sz w:val="20"/>
                <w:szCs w:val="20"/>
              </w:rPr>
              <w:t xml:space="preserve">Increase in Authorized Share Capital from </w:t>
            </w:r>
            <w:r w:rsidRPr="000860EB">
              <w:rPr>
                <w:rFonts w:ascii="Times New Roman" w:eastAsia="Calibri" w:hAnsi="Times New Roman"/>
                <w:sz w:val="20"/>
                <w:szCs w:val="20"/>
              </w:rPr>
              <w:t>₹150.00 Lakhs to ₹1,400.00 Lakhs</w:t>
            </w:r>
          </w:p>
        </w:tc>
        <w:tc>
          <w:tcPr>
            <w:tcW w:w="678" w:type="pct"/>
            <w:shd w:val="clear" w:color="auto" w:fill="auto"/>
            <w:vAlign w:val="center"/>
          </w:tcPr>
          <w:p w14:paraId="2F0B6C4E" w14:textId="77777777" w:rsidR="003A7C1B" w:rsidRPr="000860EB" w:rsidRDefault="003A7C1B" w:rsidP="00250DAC">
            <w:pPr>
              <w:suppressAutoHyphens/>
              <w:autoSpaceDE w:val="0"/>
              <w:autoSpaceDN w:val="0"/>
              <w:adjustRightInd w:val="0"/>
              <w:spacing w:after="0" w:line="240" w:lineRule="auto"/>
              <w:jc w:val="center"/>
              <w:textAlignment w:val="center"/>
              <w:rPr>
                <w:rFonts w:ascii="Times New Roman" w:eastAsia="Calibri" w:hAnsi="Times New Roman"/>
                <w:b/>
                <w:color w:val="000000"/>
                <w:sz w:val="20"/>
                <w:szCs w:val="20"/>
              </w:rPr>
            </w:pPr>
            <w:r w:rsidRPr="000860EB">
              <w:rPr>
                <w:rFonts w:ascii="Times New Roman" w:eastAsia="Calibri" w:hAnsi="Times New Roman"/>
                <w:color w:val="000000"/>
                <w:sz w:val="20"/>
                <w:szCs w:val="20"/>
              </w:rPr>
              <w:t>1,40,00,000</w:t>
            </w:r>
          </w:p>
        </w:tc>
        <w:tc>
          <w:tcPr>
            <w:tcW w:w="573" w:type="pct"/>
            <w:vAlign w:val="center"/>
          </w:tcPr>
          <w:p w14:paraId="6446C6B3" w14:textId="77777777" w:rsidR="003A7C1B" w:rsidRPr="000860EB" w:rsidRDefault="003A7C1B" w:rsidP="00250DAC">
            <w:pPr>
              <w:suppressAutoHyphens/>
              <w:autoSpaceDE w:val="0"/>
              <w:autoSpaceDN w:val="0"/>
              <w:adjustRightInd w:val="0"/>
              <w:spacing w:after="0" w:line="240" w:lineRule="auto"/>
              <w:jc w:val="center"/>
              <w:textAlignment w:val="center"/>
              <w:rPr>
                <w:rFonts w:ascii="Times New Roman" w:eastAsia="Calibri" w:hAnsi="Times New Roman"/>
                <w:color w:val="000000"/>
                <w:sz w:val="20"/>
                <w:szCs w:val="20"/>
              </w:rPr>
            </w:pPr>
            <w:r w:rsidRPr="000860EB">
              <w:rPr>
                <w:rFonts w:ascii="Times New Roman" w:eastAsia="Calibri" w:hAnsi="Times New Roman"/>
                <w:color w:val="000000"/>
                <w:sz w:val="20"/>
                <w:szCs w:val="20"/>
              </w:rPr>
              <w:t>10/-</w:t>
            </w:r>
          </w:p>
        </w:tc>
        <w:tc>
          <w:tcPr>
            <w:tcW w:w="1002" w:type="pct"/>
            <w:shd w:val="clear" w:color="auto" w:fill="auto"/>
            <w:vAlign w:val="center"/>
          </w:tcPr>
          <w:p w14:paraId="0A419D1E" w14:textId="77777777" w:rsidR="003A7C1B" w:rsidRPr="000860EB" w:rsidRDefault="003A7C1B" w:rsidP="00250DAC">
            <w:pPr>
              <w:suppressAutoHyphens/>
              <w:autoSpaceDE w:val="0"/>
              <w:autoSpaceDN w:val="0"/>
              <w:adjustRightInd w:val="0"/>
              <w:spacing w:after="0" w:line="240" w:lineRule="auto"/>
              <w:jc w:val="center"/>
              <w:textAlignment w:val="center"/>
              <w:rPr>
                <w:rFonts w:ascii="Times New Roman" w:eastAsia="Calibri" w:hAnsi="Times New Roman"/>
                <w:color w:val="000000"/>
                <w:sz w:val="20"/>
                <w:szCs w:val="20"/>
              </w:rPr>
            </w:pPr>
            <w:r w:rsidRPr="000860EB">
              <w:rPr>
                <w:rFonts w:ascii="Times New Roman" w:eastAsia="Calibri" w:hAnsi="Times New Roman"/>
                <w:color w:val="000000"/>
                <w:sz w:val="20"/>
                <w:szCs w:val="20"/>
              </w:rPr>
              <w:t>1,400.00</w:t>
            </w:r>
          </w:p>
        </w:tc>
        <w:tc>
          <w:tcPr>
            <w:tcW w:w="744" w:type="pct"/>
            <w:shd w:val="clear" w:color="auto" w:fill="auto"/>
            <w:vAlign w:val="center"/>
          </w:tcPr>
          <w:p w14:paraId="12354472"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December 29, 2016</w:t>
            </w:r>
          </w:p>
        </w:tc>
        <w:tc>
          <w:tcPr>
            <w:tcW w:w="582" w:type="pct"/>
            <w:shd w:val="clear" w:color="auto" w:fill="auto"/>
            <w:vAlign w:val="center"/>
          </w:tcPr>
          <w:p w14:paraId="208F73E7" w14:textId="77777777" w:rsidR="003A7C1B" w:rsidRPr="000860EB" w:rsidRDefault="003A7C1B" w:rsidP="00250DAC">
            <w:pPr>
              <w:suppressAutoHyphens/>
              <w:autoSpaceDE w:val="0"/>
              <w:autoSpaceDN w:val="0"/>
              <w:adjustRightInd w:val="0"/>
              <w:spacing w:after="0" w:line="240" w:lineRule="auto"/>
              <w:jc w:val="center"/>
              <w:textAlignment w:val="center"/>
              <w:rPr>
                <w:rFonts w:ascii="Times New Roman" w:eastAsia="Calibri" w:hAnsi="Times New Roman"/>
                <w:color w:val="000000"/>
                <w:sz w:val="20"/>
                <w:szCs w:val="20"/>
              </w:rPr>
            </w:pPr>
            <w:r w:rsidRPr="000860EB">
              <w:rPr>
                <w:rFonts w:ascii="Times New Roman" w:eastAsia="Calibri" w:hAnsi="Times New Roman"/>
                <w:color w:val="000000"/>
                <w:sz w:val="20"/>
                <w:szCs w:val="20"/>
              </w:rPr>
              <w:t>EGM</w:t>
            </w:r>
          </w:p>
        </w:tc>
      </w:tr>
      <w:tr w:rsidR="003A7C1B" w:rsidRPr="000860EB" w14:paraId="4419D6F4" w14:textId="77777777" w:rsidTr="00250DAC">
        <w:tc>
          <w:tcPr>
            <w:tcW w:w="245" w:type="pct"/>
            <w:shd w:val="clear" w:color="auto" w:fill="auto"/>
            <w:vAlign w:val="center"/>
          </w:tcPr>
          <w:p w14:paraId="46CC4D03" w14:textId="77777777" w:rsidR="003A7C1B" w:rsidRPr="000860EB" w:rsidRDefault="003A7C1B" w:rsidP="00250DAC">
            <w:pPr>
              <w:suppressAutoHyphens/>
              <w:autoSpaceDE w:val="0"/>
              <w:autoSpaceDN w:val="0"/>
              <w:adjustRightInd w:val="0"/>
              <w:spacing w:after="0" w:line="240" w:lineRule="auto"/>
              <w:jc w:val="center"/>
              <w:textAlignment w:val="center"/>
              <w:rPr>
                <w:rFonts w:ascii="Times New Roman" w:eastAsia="Calibri" w:hAnsi="Times New Roman"/>
                <w:color w:val="000000"/>
                <w:sz w:val="20"/>
                <w:szCs w:val="20"/>
              </w:rPr>
            </w:pPr>
            <w:r w:rsidRPr="000860EB">
              <w:rPr>
                <w:rFonts w:ascii="Times New Roman" w:eastAsia="Calibri" w:hAnsi="Times New Roman"/>
                <w:color w:val="000000"/>
                <w:sz w:val="20"/>
                <w:szCs w:val="20"/>
              </w:rPr>
              <w:t>4.</w:t>
            </w:r>
          </w:p>
        </w:tc>
        <w:tc>
          <w:tcPr>
            <w:tcW w:w="1176" w:type="pct"/>
            <w:shd w:val="clear" w:color="auto" w:fill="auto"/>
          </w:tcPr>
          <w:p w14:paraId="26B333B9" w14:textId="77777777" w:rsidR="003A7C1B" w:rsidRPr="000860EB" w:rsidRDefault="003A7C1B" w:rsidP="00250DAC">
            <w:pPr>
              <w:suppressAutoHyphens/>
              <w:autoSpaceDE w:val="0"/>
              <w:autoSpaceDN w:val="0"/>
              <w:adjustRightInd w:val="0"/>
              <w:spacing w:after="0" w:line="240" w:lineRule="auto"/>
              <w:jc w:val="both"/>
              <w:textAlignment w:val="center"/>
              <w:rPr>
                <w:rFonts w:ascii="Times New Roman" w:eastAsia="Calibri" w:hAnsi="Times New Roman"/>
                <w:b/>
                <w:color w:val="000000"/>
                <w:sz w:val="20"/>
                <w:szCs w:val="20"/>
              </w:rPr>
            </w:pPr>
            <w:r w:rsidRPr="000860EB">
              <w:rPr>
                <w:rFonts w:ascii="Times New Roman" w:eastAsia="Calibri" w:hAnsi="Times New Roman"/>
                <w:color w:val="000000"/>
                <w:sz w:val="20"/>
                <w:szCs w:val="20"/>
              </w:rPr>
              <w:t xml:space="preserve">Increase in Authorized Share Capital from </w:t>
            </w:r>
            <w:r w:rsidRPr="000860EB">
              <w:rPr>
                <w:rFonts w:ascii="Times New Roman" w:eastAsia="Calibri" w:hAnsi="Times New Roman"/>
                <w:sz w:val="20"/>
                <w:szCs w:val="20"/>
              </w:rPr>
              <w:t>₹1,400.00 Lakhs to ₹2,000.00 Lakhs</w:t>
            </w:r>
          </w:p>
        </w:tc>
        <w:tc>
          <w:tcPr>
            <w:tcW w:w="678" w:type="pct"/>
            <w:shd w:val="clear" w:color="auto" w:fill="auto"/>
            <w:vAlign w:val="center"/>
          </w:tcPr>
          <w:p w14:paraId="43D40C8F" w14:textId="77777777" w:rsidR="003A7C1B" w:rsidRPr="000860EB" w:rsidRDefault="003A7C1B" w:rsidP="00250DAC">
            <w:pPr>
              <w:suppressAutoHyphens/>
              <w:autoSpaceDE w:val="0"/>
              <w:autoSpaceDN w:val="0"/>
              <w:adjustRightInd w:val="0"/>
              <w:spacing w:after="0" w:line="240" w:lineRule="auto"/>
              <w:jc w:val="center"/>
              <w:textAlignment w:val="center"/>
              <w:rPr>
                <w:rFonts w:ascii="Times New Roman" w:eastAsia="Calibri" w:hAnsi="Times New Roman"/>
                <w:b/>
                <w:color w:val="000000"/>
                <w:sz w:val="20"/>
                <w:szCs w:val="20"/>
              </w:rPr>
            </w:pPr>
            <w:r w:rsidRPr="000860EB">
              <w:rPr>
                <w:rFonts w:ascii="Times New Roman" w:eastAsia="Calibri" w:hAnsi="Times New Roman"/>
                <w:color w:val="000000"/>
                <w:sz w:val="20"/>
                <w:szCs w:val="20"/>
              </w:rPr>
              <w:t>2,00,00,000</w:t>
            </w:r>
          </w:p>
        </w:tc>
        <w:tc>
          <w:tcPr>
            <w:tcW w:w="573" w:type="pct"/>
            <w:vAlign w:val="center"/>
          </w:tcPr>
          <w:p w14:paraId="38F2A750" w14:textId="77777777" w:rsidR="003A7C1B" w:rsidRPr="000860EB" w:rsidRDefault="003A7C1B" w:rsidP="00250DAC">
            <w:pPr>
              <w:suppressAutoHyphens/>
              <w:autoSpaceDE w:val="0"/>
              <w:autoSpaceDN w:val="0"/>
              <w:adjustRightInd w:val="0"/>
              <w:spacing w:after="0" w:line="240" w:lineRule="auto"/>
              <w:jc w:val="center"/>
              <w:textAlignment w:val="center"/>
              <w:rPr>
                <w:rFonts w:ascii="Times New Roman" w:eastAsia="Calibri" w:hAnsi="Times New Roman"/>
                <w:color w:val="000000"/>
                <w:sz w:val="20"/>
                <w:szCs w:val="20"/>
              </w:rPr>
            </w:pPr>
            <w:r w:rsidRPr="000860EB">
              <w:rPr>
                <w:rFonts w:ascii="Times New Roman" w:eastAsia="Calibri" w:hAnsi="Times New Roman"/>
                <w:color w:val="000000"/>
                <w:sz w:val="20"/>
                <w:szCs w:val="20"/>
              </w:rPr>
              <w:t>10/-</w:t>
            </w:r>
          </w:p>
        </w:tc>
        <w:tc>
          <w:tcPr>
            <w:tcW w:w="1002" w:type="pct"/>
            <w:shd w:val="clear" w:color="auto" w:fill="auto"/>
            <w:vAlign w:val="center"/>
          </w:tcPr>
          <w:p w14:paraId="500967FA" w14:textId="77777777" w:rsidR="003A7C1B" w:rsidRPr="000860EB" w:rsidRDefault="003A7C1B" w:rsidP="00250DAC">
            <w:pPr>
              <w:suppressAutoHyphens/>
              <w:autoSpaceDE w:val="0"/>
              <w:autoSpaceDN w:val="0"/>
              <w:adjustRightInd w:val="0"/>
              <w:spacing w:after="0" w:line="240" w:lineRule="auto"/>
              <w:jc w:val="center"/>
              <w:textAlignment w:val="center"/>
              <w:rPr>
                <w:rFonts w:ascii="Times New Roman" w:eastAsia="Calibri" w:hAnsi="Times New Roman"/>
                <w:color w:val="000000"/>
                <w:sz w:val="20"/>
                <w:szCs w:val="20"/>
              </w:rPr>
            </w:pPr>
            <w:r w:rsidRPr="000860EB">
              <w:rPr>
                <w:rFonts w:ascii="Times New Roman" w:eastAsia="Calibri" w:hAnsi="Times New Roman"/>
                <w:color w:val="000000"/>
                <w:sz w:val="20"/>
                <w:szCs w:val="20"/>
              </w:rPr>
              <w:t>2,000.00</w:t>
            </w:r>
          </w:p>
        </w:tc>
        <w:tc>
          <w:tcPr>
            <w:tcW w:w="744" w:type="pct"/>
            <w:shd w:val="clear" w:color="auto" w:fill="auto"/>
            <w:vAlign w:val="center"/>
          </w:tcPr>
          <w:p w14:paraId="13E6B957"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July 24, 2023</w:t>
            </w:r>
          </w:p>
        </w:tc>
        <w:tc>
          <w:tcPr>
            <w:tcW w:w="582" w:type="pct"/>
            <w:shd w:val="clear" w:color="auto" w:fill="auto"/>
            <w:vAlign w:val="center"/>
          </w:tcPr>
          <w:p w14:paraId="1560F814" w14:textId="77777777" w:rsidR="003A7C1B" w:rsidRPr="000860EB" w:rsidRDefault="003A7C1B" w:rsidP="00250DAC">
            <w:pPr>
              <w:suppressAutoHyphens/>
              <w:autoSpaceDE w:val="0"/>
              <w:autoSpaceDN w:val="0"/>
              <w:adjustRightInd w:val="0"/>
              <w:spacing w:after="0" w:line="240" w:lineRule="auto"/>
              <w:jc w:val="center"/>
              <w:textAlignment w:val="center"/>
              <w:rPr>
                <w:rFonts w:ascii="Times New Roman" w:eastAsia="Calibri" w:hAnsi="Times New Roman"/>
                <w:color w:val="000000"/>
                <w:sz w:val="20"/>
                <w:szCs w:val="20"/>
              </w:rPr>
            </w:pPr>
            <w:r w:rsidRPr="000860EB">
              <w:rPr>
                <w:rFonts w:ascii="Times New Roman" w:eastAsia="Calibri" w:hAnsi="Times New Roman"/>
                <w:color w:val="000000"/>
                <w:sz w:val="20"/>
                <w:szCs w:val="20"/>
              </w:rPr>
              <w:t>EGM</w:t>
            </w:r>
          </w:p>
        </w:tc>
      </w:tr>
    </w:tbl>
    <w:p w14:paraId="2E58379E" w14:textId="77777777" w:rsidR="003A7C1B" w:rsidRDefault="003A7C1B" w:rsidP="003A7C1B">
      <w:pPr>
        <w:spacing w:after="0" w:line="240" w:lineRule="auto"/>
        <w:jc w:val="both"/>
        <w:rPr>
          <w:rFonts w:ascii="Times New Roman" w:hAnsi="Times New Roman"/>
          <w:sz w:val="20"/>
          <w:szCs w:val="20"/>
        </w:rPr>
      </w:pPr>
    </w:p>
    <w:p w14:paraId="33C0874D" w14:textId="77777777" w:rsidR="003A7C1B" w:rsidRDefault="003A7C1B" w:rsidP="003A7C1B">
      <w:pPr>
        <w:spacing w:after="0" w:line="240" w:lineRule="auto"/>
        <w:jc w:val="both"/>
        <w:rPr>
          <w:rFonts w:ascii="Times New Roman" w:hAnsi="Times New Roman"/>
          <w:sz w:val="20"/>
          <w:szCs w:val="20"/>
        </w:rPr>
      </w:pPr>
    </w:p>
    <w:p w14:paraId="0EF105DC" w14:textId="77777777" w:rsidR="003A7C1B" w:rsidRDefault="003A7C1B" w:rsidP="003A7C1B">
      <w:pPr>
        <w:spacing w:after="0" w:line="240" w:lineRule="auto"/>
        <w:jc w:val="both"/>
        <w:rPr>
          <w:rFonts w:ascii="Times New Roman" w:hAnsi="Times New Roman"/>
          <w:sz w:val="20"/>
          <w:szCs w:val="20"/>
        </w:rPr>
      </w:pPr>
    </w:p>
    <w:p w14:paraId="2BA98835" w14:textId="77777777" w:rsidR="003A7C1B" w:rsidRDefault="003A7C1B" w:rsidP="003A7C1B">
      <w:pPr>
        <w:spacing w:after="0" w:line="240" w:lineRule="auto"/>
        <w:jc w:val="both"/>
        <w:rPr>
          <w:rFonts w:ascii="Times New Roman" w:hAnsi="Times New Roman"/>
          <w:sz w:val="20"/>
          <w:szCs w:val="20"/>
        </w:rPr>
      </w:pPr>
    </w:p>
    <w:p w14:paraId="6F2D4971" w14:textId="77777777" w:rsidR="003A7C1B" w:rsidRDefault="003A7C1B" w:rsidP="003A7C1B">
      <w:pPr>
        <w:spacing w:after="0" w:line="240" w:lineRule="auto"/>
        <w:jc w:val="both"/>
        <w:rPr>
          <w:rFonts w:ascii="Times New Roman" w:hAnsi="Times New Roman"/>
          <w:sz w:val="20"/>
          <w:szCs w:val="20"/>
        </w:rPr>
      </w:pPr>
    </w:p>
    <w:p w14:paraId="16B5B56F" w14:textId="77777777" w:rsidR="003A7C1B" w:rsidRDefault="003A7C1B" w:rsidP="003A7C1B">
      <w:pPr>
        <w:spacing w:after="0" w:line="240" w:lineRule="auto"/>
        <w:jc w:val="both"/>
        <w:rPr>
          <w:rFonts w:ascii="Times New Roman" w:hAnsi="Times New Roman"/>
          <w:sz w:val="20"/>
          <w:szCs w:val="20"/>
        </w:rPr>
      </w:pPr>
    </w:p>
    <w:p w14:paraId="5519AF84" w14:textId="77777777" w:rsidR="003A7C1B" w:rsidRDefault="003A7C1B" w:rsidP="003A7C1B">
      <w:pPr>
        <w:spacing w:after="0" w:line="240" w:lineRule="auto"/>
        <w:jc w:val="both"/>
        <w:rPr>
          <w:rFonts w:ascii="Times New Roman" w:hAnsi="Times New Roman"/>
          <w:sz w:val="20"/>
          <w:szCs w:val="20"/>
        </w:rPr>
      </w:pPr>
    </w:p>
    <w:p w14:paraId="26ECFA0C" w14:textId="6C417307" w:rsidR="003A7C1B" w:rsidRPr="000860EB" w:rsidRDefault="003A7C1B" w:rsidP="003A7C1B">
      <w:pPr>
        <w:spacing w:after="0" w:line="240" w:lineRule="auto"/>
        <w:jc w:val="both"/>
        <w:rPr>
          <w:rFonts w:ascii="Times New Roman" w:hAnsi="Times New Roman"/>
          <w:sz w:val="20"/>
          <w:szCs w:val="20"/>
        </w:rPr>
      </w:pPr>
      <w:r>
        <w:rPr>
          <w:rFonts w:ascii="Times New Roman" w:hAnsi="Times New Roman"/>
          <w:sz w:val="20"/>
          <w:szCs w:val="20"/>
        </w:rPr>
        <w:tab/>
      </w:r>
    </w:p>
    <w:p w14:paraId="095A6E3C" w14:textId="77777777" w:rsidR="003A7C1B" w:rsidRPr="000860EB" w:rsidRDefault="003A7C1B" w:rsidP="00F038BD">
      <w:pPr>
        <w:numPr>
          <w:ilvl w:val="0"/>
          <w:numId w:val="157"/>
        </w:numPr>
        <w:spacing w:after="0" w:line="240" w:lineRule="auto"/>
        <w:contextualSpacing/>
        <w:rPr>
          <w:rFonts w:ascii="Times New Roman" w:hAnsi="Times New Roman"/>
          <w:b/>
          <w:color w:val="000000"/>
          <w:sz w:val="20"/>
          <w:szCs w:val="20"/>
        </w:rPr>
      </w:pPr>
      <w:r w:rsidRPr="000860EB">
        <w:rPr>
          <w:rFonts w:ascii="Times New Roman" w:hAnsi="Times New Roman"/>
          <w:b/>
          <w:color w:val="000000"/>
          <w:sz w:val="20"/>
          <w:szCs w:val="20"/>
        </w:rPr>
        <w:lastRenderedPageBreak/>
        <w:t>Equity Share Capital History of our Company:</w:t>
      </w:r>
    </w:p>
    <w:p w14:paraId="6D43B25C" w14:textId="77777777" w:rsidR="003A7C1B" w:rsidRPr="000860EB" w:rsidRDefault="003A7C1B" w:rsidP="003A7C1B">
      <w:pPr>
        <w:suppressAutoHyphens/>
        <w:autoSpaceDE w:val="0"/>
        <w:autoSpaceDN w:val="0"/>
        <w:adjustRightInd w:val="0"/>
        <w:spacing w:after="0" w:line="240" w:lineRule="auto"/>
        <w:ind w:left="360"/>
        <w:textAlignment w:val="center"/>
        <w:rPr>
          <w:rFonts w:ascii="Times New Roman" w:hAnsi="Times New Roman"/>
          <w:b/>
          <w:color w:val="000000"/>
          <w:sz w:val="20"/>
          <w:szCs w:val="20"/>
        </w:rPr>
      </w:pPr>
    </w:p>
    <w:p w14:paraId="591E66F6" w14:textId="77777777" w:rsidR="003A7C1B" w:rsidRPr="000860EB" w:rsidRDefault="003A7C1B" w:rsidP="00F038BD">
      <w:pPr>
        <w:numPr>
          <w:ilvl w:val="0"/>
          <w:numId w:val="155"/>
        </w:numPr>
        <w:tabs>
          <w:tab w:val="left" w:pos="810"/>
        </w:tabs>
        <w:spacing w:after="0" w:line="240" w:lineRule="auto"/>
        <w:ind w:hanging="270"/>
        <w:contextualSpacing/>
        <w:jc w:val="both"/>
        <w:rPr>
          <w:rFonts w:ascii="Times New Roman" w:hAnsi="Times New Roman"/>
          <w:color w:val="000000"/>
          <w:sz w:val="20"/>
          <w:szCs w:val="20"/>
        </w:rPr>
      </w:pPr>
      <w:r w:rsidRPr="000860EB">
        <w:rPr>
          <w:rFonts w:ascii="Times New Roman" w:hAnsi="Times New Roman"/>
          <w:iCs/>
          <w:color w:val="000000"/>
          <w:sz w:val="20"/>
          <w:szCs w:val="20"/>
        </w:rPr>
        <w:t xml:space="preserve">The following table sets forth details of the history of the Equity Share capital of our Company: </w:t>
      </w:r>
    </w:p>
    <w:p w14:paraId="7E60C8CD" w14:textId="77777777" w:rsidR="003A7C1B" w:rsidRPr="000860EB" w:rsidRDefault="003A7C1B" w:rsidP="003A7C1B">
      <w:pPr>
        <w:tabs>
          <w:tab w:val="left" w:pos="1350"/>
        </w:tabs>
        <w:spacing w:after="0" w:line="240" w:lineRule="auto"/>
        <w:contextualSpacing/>
        <w:jc w:val="both"/>
        <w:rPr>
          <w:rFonts w:ascii="Times New Roman" w:hAnsi="Times New Roman"/>
          <w:iCs/>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1399"/>
        <w:gridCol w:w="837"/>
        <w:gridCol w:w="2004"/>
        <w:gridCol w:w="1493"/>
        <w:gridCol w:w="1303"/>
        <w:gridCol w:w="1610"/>
      </w:tblGrid>
      <w:tr w:rsidR="003A7C1B" w:rsidRPr="000860EB" w14:paraId="6EE4CC3E" w14:textId="77777777" w:rsidTr="00250DAC">
        <w:trPr>
          <w:trHeight w:val="20"/>
          <w:tblHeader/>
        </w:trPr>
        <w:tc>
          <w:tcPr>
            <w:tcW w:w="866" w:type="pct"/>
            <w:shd w:val="clear" w:color="auto" w:fill="D0CECE" w:themeFill="background2" w:themeFillShade="E6"/>
            <w:hideMark/>
          </w:tcPr>
          <w:p w14:paraId="62044DB7" w14:textId="77777777" w:rsidR="003A7C1B" w:rsidRPr="000860EB" w:rsidRDefault="003A7C1B" w:rsidP="00250DAC">
            <w:pPr>
              <w:spacing w:after="0" w:line="240" w:lineRule="auto"/>
              <w:jc w:val="center"/>
              <w:rPr>
                <w:rFonts w:ascii="Times New Roman" w:hAnsi="Times New Roman"/>
                <w:b/>
                <w:sz w:val="20"/>
                <w:szCs w:val="20"/>
              </w:rPr>
            </w:pPr>
            <w:r w:rsidRPr="000860EB">
              <w:rPr>
                <w:rFonts w:ascii="Times New Roman" w:hAnsi="Times New Roman"/>
                <w:b/>
                <w:sz w:val="20"/>
                <w:szCs w:val="20"/>
              </w:rPr>
              <w:t>Date of Allotment of Equity Shares</w:t>
            </w:r>
          </w:p>
        </w:tc>
        <w:tc>
          <w:tcPr>
            <w:tcW w:w="669" w:type="pct"/>
            <w:shd w:val="clear" w:color="auto" w:fill="D0CECE" w:themeFill="background2" w:themeFillShade="E6"/>
            <w:hideMark/>
          </w:tcPr>
          <w:p w14:paraId="5A265F63" w14:textId="77777777" w:rsidR="003A7C1B" w:rsidRPr="000860EB" w:rsidRDefault="003A7C1B" w:rsidP="00250DAC">
            <w:pPr>
              <w:spacing w:after="0" w:line="240" w:lineRule="auto"/>
              <w:jc w:val="center"/>
              <w:rPr>
                <w:rFonts w:ascii="Times New Roman" w:hAnsi="Times New Roman"/>
                <w:b/>
                <w:sz w:val="20"/>
                <w:szCs w:val="20"/>
              </w:rPr>
            </w:pPr>
            <w:r w:rsidRPr="000860EB">
              <w:rPr>
                <w:rFonts w:ascii="Times New Roman" w:hAnsi="Times New Roman"/>
                <w:b/>
                <w:sz w:val="20"/>
                <w:szCs w:val="20"/>
              </w:rPr>
              <w:t>No. of Equity Shares allotted</w:t>
            </w:r>
          </w:p>
        </w:tc>
        <w:tc>
          <w:tcPr>
            <w:tcW w:w="400" w:type="pct"/>
            <w:shd w:val="clear" w:color="auto" w:fill="D0CECE" w:themeFill="background2" w:themeFillShade="E6"/>
            <w:hideMark/>
          </w:tcPr>
          <w:p w14:paraId="0D26471D" w14:textId="77777777" w:rsidR="003A7C1B" w:rsidRPr="000860EB" w:rsidRDefault="003A7C1B" w:rsidP="00250DAC">
            <w:pPr>
              <w:spacing w:after="0" w:line="240" w:lineRule="auto"/>
              <w:jc w:val="center"/>
              <w:rPr>
                <w:rFonts w:ascii="Times New Roman" w:hAnsi="Times New Roman"/>
                <w:b/>
                <w:sz w:val="20"/>
                <w:szCs w:val="20"/>
              </w:rPr>
            </w:pPr>
            <w:r w:rsidRPr="000860EB">
              <w:rPr>
                <w:rFonts w:ascii="Times New Roman" w:hAnsi="Times New Roman"/>
                <w:b/>
                <w:sz w:val="20"/>
                <w:szCs w:val="20"/>
              </w:rPr>
              <w:t>Face Value</w:t>
            </w:r>
          </w:p>
          <w:p w14:paraId="1082D777" w14:textId="77777777" w:rsidR="003A7C1B" w:rsidRPr="000860EB" w:rsidRDefault="003A7C1B" w:rsidP="00250DAC">
            <w:pPr>
              <w:spacing w:after="0" w:line="240" w:lineRule="auto"/>
              <w:jc w:val="center"/>
              <w:rPr>
                <w:rFonts w:ascii="Times New Roman" w:hAnsi="Times New Roman"/>
                <w:b/>
                <w:sz w:val="20"/>
                <w:szCs w:val="20"/>
              </w:rPr>
            </w:pPr>
            <w:r w:rsidRPr="000860EB">
              <w:rPr>
                <w:rFonts w:ascii="Times New Roman" w:hAnsi="Times New Roman"/>
                <w:b/>
                <w:sz w:val="20"/>
                <w:szCs w:val="20"/>
              </w:rPr>
              <w:t>(</w:t>
            </w:r>
            <w:r w:rsidRPr="000860EB">
              <w:rPr>
                <w:rFonts w:ascii="Times New Roman" w:eastAsia="Calibri" w:hAnsi="Times New Roman"/>
                <w:sz w:val="20"/>
                <w:szCs w:val="20"/>
              </w:rPr>
              <w:t>₹</w:t>
            </w:r>
            <w:r w:rsidRPr="000860EB">
              <w:rPr>
                <w:rFonts w:ascii="Times New Roman" w:hAnsi="Times New Roman"/>
                <w:b/>
                <w:sz w:val="20"/>
                <w:szCs w:val="20"/>
              </w:rPr>
              <w:t>)</w:t>
            </w:r>
          </w:p>
        </w:tc>
        <w:tc>
          <w:tcPr>
            <w:tcW w:w="958" w:type="pct"/>
            <w:shd w:val="clear" w:color="auto" w:fill="D0CECE" w:themeFill="background2" w:themeFillShade="E6"/>
            <w:hideMark/>
          </w:tcPr>
          <w:p w14:paraId="06909EFD" w14:textId="77777777" w:rsidR="003A7C1B" w:rsidRPr="000860EB" w:rsidRDefault="003A7C1B" w:rsidP="00250DAC">
            <w:pPr>
              <w:spacing w:after="0" w:line="240" w:lineRule="auto"/>
              <w:jc w:val="center"/>
              <w:rPr>
                <w:rFonts w:ascii="Times New Roman" w:hAnsi="Times New Roman"/>
                <w:b/>
                <w:sz w:val="20"/>
                <w:szCs w:val="20"/>
              </w:rPr>
            </w:pPr>
            <w:r w:rsidRPr="000860EB">
              <w:rPr>
                <w:rFonts w:ascii="Times New Roman" w:hAnsi="Times New Roman"/>
                <w:b/>
                <w:sz w:val="20"/>
                <w:szCs w:val="20"/>
              </w:rPr>
              <w:t>Issue Price (including Premium if applicable) (</w:t>
            </w:r>
            <w:r w:rsidRPr="000860EB">
              <w:rPr>
                <w:rFonts w:ascii="Times New Roman" w:eastAsia="Calibri" w:hAnsi="Times New Roman"/>
                <w:sz w:val="20"/>
                <w:szCs w:val="20"/>
              </w:rPr>
              <w:t>₹</w:t>
            </w:r>
            <w:r w:rsidRPr="000860EB">
              <w:rPr>
                <w:rFonts w:ascii="Times New Roman" w:hAnsi="Times New Roman"/>
                <w:b/>
                <w:sz w:val="20"/>
                <w:szCs w:val="20"/>
              </w:rPr>
              <w:t>)</w:t>
            </w:r>
          </w:p>
        </w:tc>
        <w:tc>
          <w:tcPr>
            <w:tcW w:w="714" w:type="pct"/>
            <w:shd w:val="clear" w:color="auto" w:fill="D0CECE" w:themeFill="background2" w:themeFillShade="E6"/>
            <w:hideMark/>
          </w:tcPr>
          <w:p w14:paraId="75301092" w14:textId="77777777" w:rsidR="003A7C1B" w:rsidRPr="000860EB" w:rsidRDefault="003A7C1B" w:rsidP="00250DAC">
            <w:pPr>
              <w:spacing w:after="0" w:line="240" w:lineRule="auto"/>
              <w:jc w:val="center"/>
              <w:rPr>
                <w:rFonts w:ascii="Times New Roman" w:hAnsi="Times New Roman"/>
                <w:b/>
                <w:sz w:val="20"/>
                <w:szCs w:val="20"/>
              </w:rPr>
            </w:pPr>
            <w:r w:rsidRPr="000860EB">
              <w:rPr>
                <w:rFonts w:ascii="Times New Roman" w:hAnsi="Times New Roman"/>
                <w:b/>
                <w:sz w:val="20"/>
                <w:szCs w:val="20"/>
              </w:rPr>
              <w:t>Consideration</w:t>
            </w:r>
          </w:p>
          <w:p w14:paraId="4FF8A7E0" w14:textId="77777777" w:rsidR="003A7C1B" w:rsidRPr="000860EB" w:rsidRDefault="003A7C1B" w:rsidP="00250DAC">
            <w:pPr>
              <w:spacing w:after="0" w:line="240" w:lineRule="auto"/>
              <w:jc w:val="center"/>
              <w:rPr>
                <w:rFonts w:ascii="Times New Roman" w:hAnsi="Times New Roman"/>
                <w:b/>
                <w:sz w:val="20"/>
                <w:szCs w:val="20"/>
              </w:rPr>
            </w:pPr>
            <w:r w:rsidRPr="000860EB">
              <w:rPr>
                <w:rFonts w:ascii="Times New Roman" w:hAnsi="Times New Roman"/>
                <w:b/>
                <w:sz w:val="20"/>
                <w:szCs w:val="20"/>
              </w:rPr>
              <w:t>Cash/ Other than Cash</w:t>
            </w:r>
          </w:p>
        </w:tc>
        <w:tc>
          <w:tcPr>
            <w:tcW w:w="623" w:type="pct"/>
            <w:shd w:val="clear" w:color="auto" w:fill="D0CECE" w:themeFill="background2" w:themeFillShade="E6"/>
            <w:hideMark/>
          </w:tcPr>
          <w:p w14:paraId="114D1984" w14:textId="77777777" w:rsidR="003A7C1B" w:rsidRPr="000860EB" w:rsidRDefault="003A7C1B" w:rsidP="00250DAC">
            <w:pPr>
              <w:spacing w:after="0" w:line="240" w:lineRule="auto"/>
              <w:jc w:val="center"/>
              <w:rPr>
                <w:rFonts w:ascii="Times New Roman" w:hAnsi="Times New Roman"/>
                <w:b/>
                <w:sz w:val="20"/>
                <w:szCs w:val="20"/>
              </w:rPr>
            </w:pPr>
            <w:r w:rsidRPr="000860EB">
              <w:rPr>
                <w:rFonts w:ascii="Times New Roman" w:hAnsi="Times New Roman"/>
                <w:b/>
                <w:sz w:val="20"/>
                <w:szCs w:val="20"/>
              </w:rPr>
              <w:t>Nature of Allotment</w:t>
            </w:r>
          </w:p>
        </w:tc>
        <w:tc>
          <w:tcPr>
            <w:tcW w:w="770" w:type="pct"/>
            <w:shd w:val="clear" w:color="auto" w:fill="D0CECE" w:themeFill="background2" w:themeFillShade="E6"/>
          </w:tcPr>
          <w:p w14:paraId="55D887F6" w14:textId="77777777" w:rsidR="003A7C1B" w:rsidRPr="000860EB" w:rsidRDefault="003A7C1B" w:rsidP="00250DAC">
            <w:pPr>
              <w:spacing w:after="0" w:line="240" w:lineRule="auto"/>
              <w:jc w:val="center"/>
              <w:rPr>
                <w:rFonts w:ascii="Times New Roman" w:hAnsi="Times New Roman"/>
                <w:b/>
                <w:sz w:val="20"/>
                <w:szCs w:val="20"/>
              </w:rPr>
            </w:pPr>
            <w:r w:rsidRPr="000860EB">
              <w:rPr>
                <w:rFonts w:ascii="Times New Roman" w:hAnsi="Times New Roman"/>
                <w:b/>
                <w:sz w:val="20"/>
                <w:szCs w:val="20"/>
              </w:rPr>
              <w:t>Cumulative No. of Equity Shares</w:t>
            </w:r>
          </w:p>
        </w:tc>
      </w:tr>
      <w:tr w:rsidR="003A7C1B" w:rsidRPr="000860EB" w14:paraId="7060E79A" w14:textId="77777777" w:rsidTr="00250DAC">
        <w:trPr>
          <w:trHeight w:val="20"/>
        </w:trPr>
        <w:tc>
          <w:tcPr>
            <w:tcW w:w="866" w:type="pct"/>
            <w:shd w:val="clear" w:color="auto" w:fill="auto"/>
            <w:vAlign w:val="center"/>
            <w:hideMark/>
          </w:tcPr>
          <w:p w14:paraId="5A7C6B98" w14:textId="77777777" w:rsidR="003A7C1B" w:rsidRPr="000860EB" w:rsidRDefault="003A7C1B" w:rsidP="00250DAC">
            <w:pPr>
              <w:spacing w:after="0" w:line="240" w:lineRule="auto"/>
              <w:jc w:val="center"/>
              <w:rPr>
                <w:rFonts w:ascii="Times New Roman" w:hAnsi="Times New Roman"/>
                <w:sz w:val="20"/>
                <w:szCs w:val="20"/>
              </w:rPr>
            </w:pPr>
            <w:r w:rsidRPr="000860EB">
              <w:rPr>
                <w:rFonts w:ascii="Times New Roman" w:hAnsi="Times New Roman"/>
                <w:sz w:val="20"/>
                <w:szCs w:val="20"/>
              </w:rPr>
              <w:t>Upon Incorporation</w:t>
            </w:r>
          </w:p>
        </w:tc>
        <w:tc>
          <w:tcPr>
            <w:tcW w:w="669" w:type="pct"/>
            <w:shd w:val="clear" w:color="auto" w:fill="auto"/>
            <w:noWrap/>
            <w:vAlign w:val="center"/>
            <w:hideMark/>
          </w:tcPr>
          <w:p w14:paraId="723896D5" w14:textId="77777777" w:rsidR="003A7C1B" w:rsidRPr="000860EB" w:rsidRDefault="003A7C1B" w:rsidP="00250DAC">
            <w:pPr>
              <w:spacing w:after="0" w:line="240" w:lineRule="auto"/>
              <w:jc w:val="center"/>
              <w:rPr>
                <w:rFonts w:ascii="Times New Roman" w:hAnsi="Times New Roman"/>
                <w:sz w:val="20"/>
                <w:szCs w:val="20"/>
              </w:rPr>
            </w:pPr>
            <w:r w:rsidRPr="000860EB">
              <w:rPr>
                <w:rFonts w:ascii="Times New Roman" w:hAnsi="Times New Roman"/>
                <w:sz w:val="20"/>
                <w:szCs w:val="20"/>
              </w:rPr>
              <w:t>10,000</w:t>
            </w:r>
          </w:p>
        </w:tc>
        <w:tc>
          <w:tcPr>
            <w:tcW w:w="400" w:type="pct"/>
            <w:shd w:val="clear" w:color="auto" w:fill="auto"/>
            <w:noWrap/>
            <w:vAlign w:val="center"/>
            <w:hideMark/>
          </w:tcPr>
          <w:p w14:paraId="7FFF69CD" w14:textId="77777777" w:rsidR="003A7C1B" w:rsidRPr="000860EB" w:rsidRDefault="003A7C1B" w:rsidP="00250DAC">
            <w:pPr>
              <w:spacing w:after="0" w:line="240" w:lineRule="auto"/>
              <w:jc w:val="center"/>
              <w:rPr>
                <w:rFonts w:ascii="Times New Roman" w:hAnsi="Times New Roman"/>
                <w:sz w:val="20"/>
                <w:szCs w:val="20"/>
              </w:rPr>
            </w:pPr>
            <w:r w:rsidRPr="000860EB">
              <w:rPr>
                <w:rFonts w:ascii="Times New Roman" w:hAnsi="Times New Roman"/>
                <w:sz w:val="20"/>
                <w:szCs w:val="20"/>
              </w:rPr>
              <w:t>10/-</w:t>
            </w:r>
          </w:p>
        </w:tc>
        <w:tc>
          <w:tcPr>
            <w:tcW w:w="958" w:type="pct"/>
            <w:shd w:val="clear" w:color="auto" w:fill="auto"/>
            <w:noWrap/>
            <w:vAlign w:val="center"/>
            <w:hideMark/>
          </w:tcPr>
          <w:p w14:paraId="048AEA91" w14:textId="77777777" w:rsidR="003A7C1B" w:rsidRPr="000860EB" w:rsidRDefault="003A7C1B" w:rsidP="00250DAC">
            <w:pPr>
              <w:spacing w:after="0" w:line="240" w:lineRule="auto"/>
              <w:jc w:val="center"/>
              <w:rPr>
                <w:rFonts w:ascii="Times New Roman" w:hAnsi="Times New Roman"/>
                <w:sz w:val="20"/>
                <w:szCs w:val="20"/>
              </w:rPr>
            </w:pPr>
            <w:r w:rsidRPr="000860EB">
              <w:rPr>
                <w:rFonts w:ascii="Times New Roman" w:hAnsi="Times New Roman"/>
                <w:sz w:val="20"/>
                <w:szCs w:val="20"/>
              </w:rPr>
              <w:t>10/-</w:t>
            </w:r>
          </w:p>
        </w:tc>
        <w:tc>
          <w:tcPr>
            <w:tcW w:w="714" w:type="pct"/>
            <w:shd w:val="clear" w:color="auto" w:fill="auto"/>
            <w:noWrap/>
            <w:vAlign w:val="center"/>
            <w:hideMark/>
          </w:tcPr>
          <w:p w14:paraId="60557159" w14:textId="77777777" w:rsidR="003A7C1B" w:rsidRPr="000860EB" w:rsidRDefault="003A7C1B" w:rsidP="00250DAC">
            <w:pPr>
              <w:spacing w:after="0" w:line="240" w:lineRule="auto"/>
              <w:jc w:val="center"/>
              <w:rPr>
                <w:rFonts w:ascii="Times New Roman" w:hAnsi="Times New Roman"/>
                <w:sz w:val="20"/>
                <w:szCs w:val="20"/>
              </w:rPr>
            </w:pPr>
            <w:r w:rsidRPr="000860EB">
              <w:rPr>
                <w:rFonts w:ascii="Times New Roman" w:hAnsi="Times New Roman"/>
                <w:sz w:val="20"/>
                <w:szCs w:val="20"/>
              </w:rPr>
              <w:t>Cash</w:t>
            </w:r>
          </w:p>
        </w:tc>
        <w:tc>
          <w:tcPr>
            <w:tcW w:w="623" w:type="pct"/>
            <w:shd w:val="clear" w:color="auto" w:fill="auto"/>
            <w:vAlign w:val="center"/>
            <w:hideMark/>
          </w:tcPr>
          <w:p w14:paraId="48EA57C5" w14:textId="77777777" w:rsidR="003A7C1B" w:rsidRPr="000860EB" w:rsidRDefault="003A7C1B" w:rsidP="00250DAC">
            <w:pPr>
              <w:spacing w:after="0" w:line="240" w:lineRule="auto"/>
              <w:jc w:val="center"/>
              <w:rPr>
                <w:rFonts w:ascii="Times New Roman" w:hAnsi="Times New Roman"/>
                <w:sz w:val="20"/>
                <w:szCs w:val="20"/>
              </w:rPr>
            </w:pPr>
            <w:r w:rsidRPr="000860EB">
              <w:rPr>
                <w:rFonts w:ascii="Times New Roman" w:hAnsi="Times New Roman"/>
                <w:sz w:val="20"/>
                <w:szCs w:val="20"/>
              </w:rPr>
              <w:t>Subscription to MOA</w:t>
            </w:r>
            <w:r w:rsidRPr="000860EB">
              <w:rPr>
                <w:rFonts w:ascii="Times New Roman" w:hAnsi="Times New Roman"/>
                <w:sz w:val="20"/>
                <w:szCs w:val="20"/>
                <w:vertAlign w:val="superscript"/>
              </w:rPr>
              <w:t>(i)</w:t>
            </w:r>
          </w:p>
        </w:tc>
        <w:tc>
          <w:tcPr>
            <w:tcW w:w="770" w:type="pct"/>
            <w:vAlign w:val="center"/>
          </w:tcPr>
          <w:p w14:paraId="613604BE" w14:textId="77777777" w:rsidR="003A7C1B" w:rsidRPr="000860EB" w:rsidRDefault="003A7C1B" w:rsidP="00250DAC">
            <w:pPr>
              <w:spacing w:after="0" w:line="240" w:lineRule="auto"/>
              <w:jc w:val="center"/>
              <w:rPr>
                <w:rFonts w:ascii="Times New Roman" w:hAnsi="Times New Roman"/>
                <w:sz w:val="20"/>
                <w:szCs w:val="20"/>
              </w:rPr>
            </w:pPr>
            <w:r w:rsidRPr="000860EB">
              <w:rPr>
                <w:rFonts w:ascii="Times New Roman" w:hAnsi="Times New Roman"/>
                <w:sz w:val="20"/>
                <w:szCs w:val="20"/>
              </w:rPr>
              <w:t>10,000</w:t>
            </w:r>
          </w:p>
        </w:tc>
      </w:tr>
      <w:tr w:rsidR="003A7C1B" w:rsidRPr="000860EB" w14:paraId="477201F5" w14:textId="77777777" w:rsidTr="00250DAC">
        <w:trPr>
          <w:trHeight w:val="20"/>
        </w:trPr>
        <w:tc>
          <w:tcPr>
            <w:tcW w:w="866" w:type="pct"/>
            <w:shd w:val="clear" w:color="auto" w:fill="auto"/>
            <w:vAlign w:val="center"/>
          </w:tcPr>
          <w:p w14:paraId="50A20571" w14:textId="77777777" w:rsidR="003A7C1B" w:rsidRPr="000860EB" w:rsidRDefault="003A7C1B" w:rsidP="00250DAC">
            <w:pPr>
              <w:spacing w:after="0" w:line="240" w:lineRule="auto"/>
              <w:jc w:val="center"/>
              <w:rPr>
                <w:rFonts w:ascii="Times New Roman" w:hAnsi="Times New Roman"/>
                <w:sz w:val="20"/>
                <w:szCs w:val="20"/>
              </w:rPr>
            </w:pPr>
            <w:r w:rsidRPr="000860EB">
              <w:rPr>
                <w:rFonts w:ascii="Times New Roman" w:hAnsi="Times New Roman"/>
                <w:sz w:val="20"/>
                <w:szCs w:val="20"/>
              </w:rPr>
              <w:t>December 21, 2007</w:t>
            </w:r>
          </w:p>
        </w:tc>
        <w:tc>
          <w:tcPr>
            <w:tcW w:w="669" w:type="pct"/>
            <w:shd w:val="clear" w:color="auto" w:fill="auto"/>
            <w:noWrap/>
            <w:vAlign w:val="center"/>
          </w:tcPr>
          <w:p w14:paraId="72B79BAF" w14:textId="77777777" w:rsidR="003A7C1B" w:rsidRPr="000860EB" w:rsidRDefault="003A7C1B" w:rsidP="00250DAC">
            <w:pPr>
              <w:spacing w:after="0" w:line="240" w:lineRule="auto"/>
              <w:jc w:val="center"/>
              <w:rPr>
                <w:rFonts w:ascii="Times New Roman" w:hAnsi="Times New Roman"/>
                <w:sz w:val="20"/>
                <w:szCs w:val="20"/>
              </w:rPr>
            </w:pPr>
            <w:r w:rsidRPr="000860EB">
              <w:rPr>
                <w:rFonts w:ascii="Times New Roman" w:hAnsi="Times New Roman"/>
                <w:sz w:val="20"/>
                <w:szCs w:val="20"/>
              </w:rPr>
              <w:t>9,90,000</w:t>
            </w:r>
          </w:p>
        </w:tc>
        <w:tc>
          <w:tcPr>
            <w:tcW w:w="400" w:type="pct"/>
            <w:shd w:val="clear" w:color="auto" w:fill="auto"/>
            <w:noWrap/>
            <w:vAlign w:val="center"/>
          </w:tcPr>
          <w:p w14:paraId="08DC8E66" w14:textId="77777777" w:rsidR="003A7C1B" w:rsidRPr="000860EB" w:rsidRDefault="003A7C1B" w:rsidP="00250DAC">
            <w:pPr>
              <w:spacing w:after="0" w:line="240" w:lineRule="auto"/>
              <w:jc w:val="center"/>
              <w:rPr>
                <w:rFonts w:ascii="Times New Roman" w:hAnsi="Times New Roman"/>
                <w:sz w:val="20"/>
                <w:szCs w:val="20"/>
              </w:rPr>
            </w:pPr>
            <w:r w:rsidRPr="000860EB">
              <w:rPr>
                <w:rFonts w:ascii="Times New Roman" w:hAnsi="Times New Roman"/>
                <w:sz w:val="20"/>
                <w:szCs w:val="20"/>
              </w:rPr>
              <w:t>10/-</w:t>
            </w:r>
          </w:p>
        </w:tc>
        <w:tc>
          <w:tcPr>
            <w:tcW w:w="958" w:type="pct"/>
            <w:shd w:val="clear" w:color="auto" w:fill="auto"/>
            <w:noWrap/>
            <w:vAlign w:val="center"/>
          </w:tcPr>
          <w:p w14:paraId="104FA26B" w14:textId="77777777" w:rsidR="003A7C1B" w:rsidRPr="000860EB" w:rsidRDefault="003A7C1B" w:rsidP="00250DAC">
            <w:pPr>
              <w:spacing w:after="0" w:line="240" w:lineRule="auto"/>
              <w:jc w:val="center"/>
              <w:rPr>
                <w:rFonts w:ascii="Times New Roman" w:hAnsi="Times New Roman"/>
                <w:sz w:val="20"/>
                <w:szCs w:val="20"/>
              </w:rPr>
            </w:pPr>
            <w:r w:rsidRPr="000860EB">
              <w:rPr>
                <w:rFonts w:ascii="Times New Roman" w:hAnsi="Times New Roman"/>
                <w:sz w:val="20"/>
                <w:szCs w:val="20"/>
              </w:rPr>
              <w:t>60/-</w:t>
            </w:r>
          </w:p>
        </w:tc>
        <w:tc>
          <w:tcPr>
            <w:tcW w:w="714" w:type="pct"/>
            <w:shd w:val="clear" w:color="auto" w:fill="auto"/>
            <w:noWrap/>
            <w:vAlign w:val="center"/>
          </w:tcPr>
          <w:p w14:paraId="5A16A1A9" w14:textId="77777777" w:rsidR="003A7C1B" w:rsidRPr="000860EB" w:rsidRDefault="003A7C1B" w:rsidP="00250DAC">
            <w:pPr>
              <w:spacing w:after="0" w:line="240" w:lineRule="auto"/>
              <w:jc w:val="center"/>
              <w:rPr>
                <w:rFonts w:ascii="Times New Roman" w:hAnsi="Times New Roman"/>
                <w:sz w:val="20"/>
                <w:szCs w:val="20"/>
              </w:rPr>
            </w:pPr>
            <w:r w:rsidRPr="000860EB">
              <w:rPr>
                <w:rFonts w:ascii="Times New Roman" w:hAnsi="Times New Roman"/>
                <w:sz w:val="20"/>
                <w:szCs w:val="20"/>
              </w:rPr>
              <w:t>Cash</w:t>
            </w:r>
          </w:p>
        </w:tc>
        <w:tc>
          <w:tcPr>
            <w:tcW w:w="623" w:type="pct"/>
            <w:shd w:val="clear" w:color="auto" w:fill="auto"/>
            <w:vAlign w:val="center"/>
          </w:tcPr>
          <w:p w14:paraId="3144B27A" w14:textId="77777777" w:rsidR="003A7C1B" w:rsidRPr="000860EB" w:rsidRDefault="003A7C1B" w:rsidP="00250DAC">
            <w:pPr>
              <w:spacing w:after="0" w:line="240" w:lineRule="auto"/>
              <w:jc w:val="center"/>
              <w:rPr>
                <w:rFonts w:ascii="Times New Roman" w:hAnsi="Times New Roman"/>
                <w:sz w:val="20"/>
                <w:szCs w:val="20"/>
              </w:rPr>
            </w:pPr>
            <w:r w:rsidRPr="000860EB">
              <w:rPr>
                <w:rFonts w:ascii="Times New Roman" w:hAnsi="Times New Roman"/>
                <w:sz w:val="20"/>
                <w:szCs w:val="20"/>
              </w:rPr>
              <w:t>Further Issue</w:t>
            </w:r>
            <w:r w:rsidRPr="000860EB">
              <w:rPr>
                <w:rFonts w:ascii="Times New Roman" w:hAnsi="Times New Roman"/>
                <w:sz w:val="20"/>
                <w:szCs w:val="20"/>
                <w:vertAlign w:val="superscript"/>
              </w:rPr>
              <w:t>(ii)</w:t>
            </w:r>
          </w:p>
        </w:tc>
        <w:tc>
          <w:tcPr>
            <w:tcW w:w="770" w:type="pct"/>
            <w:vAlign w:val="center"/>
          </w:tcPr>
          <w:p w14:paraId="337FC33E" w14:textId="77777777" w:rsidR="003A7C1B" w:rsidRPr="000860EB" w:rsidRDefault="003A7C1B" w:rsidP="00250DAC">
            <w:pPr>
              <w:spacing w:after="0" w:line="240" w:lineRule="auto"/>
              <w:jc w:val="center"/>
              <w:rPr>
                <w:rFonts w:ascii="Times New Roman" w:hAnsi="Times New Roman"/>
                <w:sz w:val="20"/>
                <w:szCs w:val="20"/>
              </w:rPr>
            </w:pPr>
            <w:r w:rsidRPr="000860EB">
              <w:rPr>
                <w:rFonts w:ascii="Times New Roman" w:hAnsi="Times New Roman"/>
                <w:sz w:val="20"/>
                <w:szCs w:val="20"/>
              </w:rPr>
              <w:t>10,00,000</w:t>
            </w:r>
          </w:p>
        </w:tc>
      </w:tr>
      <w:tr w:rsidR="003A7C1B" w:rsidRPr="000860EB" w14:paraId="578052C5" w14:textId="77777777" w:rsidTr="00250DAC">
        <w:trPr>
          <w:trHeight w:val="20"/>
        </w:trPr>
        <w:tc>
          <w:tcPr>
            <w:tcW w:w="866" w:type="pct"/>
            <w:shd w:val="clear" w:color="auto" w:fill="auto"/>
            <w:vAlign w:val="center"/>
          </w:tcPr>
          <w:p w14:paraId="7BC1E513" w14:textId="77777777" w:rsidR="003A7C1B" w:rsidRPr="000860EB" w:rsidRDefault="003A7C1B" w:rsidP="00250DAC">
            <w:pPr>
              <w:spacing w:after="0" w:line="240" w:lineRule="auto"/>
              <w:jc w:val="center"/>
              <w:rPr>
                <w:rFonts w:ascii="Times New Roman" w:hAnsi="Times New Roman"/>
                <w:sz w:val="20"/>
                <w:szCs w:val="20"/>
              </w:rPr>
            </w:pPr>
            <w:r w:rsidRPr="000860EB">
              <w:rPr>
                <w:rFonts w:ascii="Times New Roman" w:hAnsi="Times New Roman"/>
                <w:sz w:val="20"/>
                <w:szCs w:val="20"/>
              </w:rPr>
              <w:t>July 17, 2012</w:t>
            </w:r>
          </w:p>
        </w:tc>
        <w:tc>
          <w:tcPr>
            <w:tcW w:w="669" w:type="pct"/>
            <w:shd w:val="clear" w:color="auto" w:fill="auto"/>
            <w:noWrap/>
            <w:vAlign w:val="center"/>
          </w:tcPr>
          <w:p w14:paraId="587DF845" w14:textId="77777777" w:rsidR="003A7C1B" w:rsidRPr="000860EB" w:rsidRDefault="003A7C1B" w:rsidP="00250DAC">
            <w:pPr>
              <w:spacing w:after="0" w:line="240" w:lineRule="auto"/>
              <w:jc w:val="center"/>
              <w:rPr>
                <w:rFonts w:ascii="Times New Roman" w:hAnsi="Times New Roman"/>
                <w:sz w:val="20"/>
                <w:szCs w:val="20"/>
              </w:rPr>
            </w:pPr>
            <w:r w:rsidRPr="000860EB">
              <w:rPr>
                <w:rFonts w:ascii="Times New Roman" w:hAnsi="Times New Roman"/>
                <w:sz w:val="20"/>
                <w:szCs w:val="20"/>
              </w:rPr>
              <w:t>5,00,000</w:t>
            </w:r>
          </w:p>
        </w:tc>
        <w:tc>
          <w:tcPr>
            <w:tcW w:w="400" w:type="pct"/>
            <w:shd w:val="clear" w:color="auto" w:fill="auto"/>
            <w:noWrap/>
            <w:vAlign w:val="center"/>
          </w:tcPr>
          <w:p w14:paraId="73AA5E55" w14:textId="77777777" w:rsidR="003A7C1B" w:rsidRPr="000860EB" w:rsidRDefault="003A7C1B" w:rsidP="00250DAC">
            <w:pPr>
              <w:spacing w:after="0" w:line="240" w:lineRule="auto"/>
              <w:jc w:val="center"/>
              <w:rPr>
                <w:rFonts w:ascii="Times New Roman" w:hAnsi="Times New Roman"/>
                <w:sz w:val="20"/>
                <w:szCs w:val="20"/>
              </w:rPr>
            </w:pPr>
            <w:r w:rsidRPr="000860EB">
              <w:rPr>
                <w:rFonts w:ascii="Times New Roman" w:hAnsi="Times New Roman"/>
                <w:sz w:val="20"/>
                <w:szCs w:val="20"/>
              </w:rPr>
              <w:t>10/-</w:t>
            </w:r>
          </w:p>
        </w:tc>
        <w:tc>
          <w:tcPr>
            <w:tcW w:w="958" w:type="pct"/>
            <w:shd w:val="clear" w:color="auto" w:fill="auto"/>
            <w:noWrap/>
            <w:vAlign w:val="center"/>
          </w:tcPr>
          <w:p w14:paraId="69F1D8F7" w14:textId="77777777" w:rsidR="003A7C1B" w:rsidRPr="000860EB" w:rsidRDefault="003A7C1B" w:rsidP="00250DAC">
            <w:pPr>
              <w:spacing w:after="0" w:line="240" w:lineRule="auto"/>
              <w:jc w:val="center"/>
              <w:rPr>
                <w:rFonts w:ascii="Times New Roman" w:hAnsi="Times New Roman"/>
                <w:sz w:val="20"/>
                <w:szCs w:val="20"/>
              </w:rPr>
            </w:pPr>
            <w:r w:rsidRPr="000860EB">
              <w:rPr>
                <w:rFonts w:ascii="Times New Roman" w:hAnsi="Times New Roman"/>
                <w:sz w:val="20"/>
                <w:szCs w:val="20"/>
              </w:rPr>
              <w:t>15/-</w:t>
            </w:r>
          </w:p>
        </w:tc>
        <w:tc>
          <w:tcPr>
            <w:tcW w:w="714" w:type="pct"/>
            <w:shd w:val="clear" w:color="auto" w:fill="auto"/>
            <w:noWrap/>
            <w:vAlign w:val="center"/>
          </w:tcPr>
          <w:p w14:paraId="7E1D5FC2" w14:textId="77777777" w:rsidR="003A7C1B" w:rsidRPr="000860EB" w:rsidRDefault="003A7C1B" w:rsidP="00250DAC">
            <w:pPr>
              <w:spacing w:after="0" w:line="240" w:lineRule="auto"/>
              <w:jc w:val="center"/>
              <w:rPr>
                <w:rFonts w:ascii="Times New Roman" w:hAnsi="Times New Roman"/>
                <w:sz w:val="20"/>
                <w:szCs w:val="20"/>
              </w:rPr>
            </w:pPr>
            <w:r w:rsidRPr="000860EB">
              <w:rPr>
                <w:rFonts w:ascii="Times New Roman" w:hAnsi="Times New Roman"/>
                <w:sz w:val="20"/>
                <w:szCs w:val="20"/>
              </w:rPr>
              <w:t>Cash</w:t>
            </w:r>
          </w:p>
        </w:tc>
        <w:tc>
          <w:tcPr>
            <w:tcW w:w="623" w:type="pct"/>
            <w:shd w:val="clear" w:color="auto" w:fill="auto"/>
            <w:vAlign w:val="center"/>
          </w:tcPr>
          <w:p w14:paraId="47EF821F" w14:textId="77777777" w:rsidR="003A7C1B" w:rsidRPr="000860EB" w:rsidRDefault="003A7C1B" w:rsidP="00250DAC">
            <w:pPr>
              <w:spacing w:after="0" w:line="240" w:lineRule="auto"/>
              <w:jc w:val="center"/>
              <w:rPr>
                <w:rFonts w:ascii="Times New Roman" w:hAnsi="Times New Roman"/>
                <w:sz w:val="20"/>
                <w:szCs w:val="20"/>
              </w:rPr>
            </w:pPr>
            <w:r w:rsidRPr="000860EB">
              <w:rPr>
                <w:rFonts w:ascii="Times New Roman" w:hAnsi="Times New Roman"/>
                <w:sz w:val="20"/>
                <w:szCs w:val="20"/>
              </w:rPr>
              <w:t>Further Issue</w:t>
            </w:r>
            <w:r w:rsidRPr="000860EB">
              <w:rPr>
                <w:rFonts w:ascii="Times New Roman" w:hAnsi="Times New Roman"/>
                <w:sz w:val="20"/>
                <w:szCs w:val="20"/>
                <w:vertAlign w:val="superscript"/>
              </w:rPr>
              <w:t>(iii)</w:t>
            </w:r>
          </w:p>
        </w:tc>
        <w:tc>
          <w:tcPr>
            <w:tcW w:w="770" w:type="pct"/>
            <w:vAlign w:val="center"/>
          </w:tcPr>
          <w:p w14:paraId="4A5FC7C9" w14:textId="77777777" w:rsidR="003A7C1B" w:rsidRPr="000860EB" w:rsidRDefault="003A7C1B" w:rsidP="00250DAC">
            <w:pPr>
              <w:spacing w:after="0" w:line="240" w:lineRule="auto"/>
              <w:jc w:val="center"/>
              <w:rPr>
                <w:rFonts w:ascii="Times New Roman" w:hAnsi="Times New Roman"/>
                <w:sz w:val="20"/>
                <w:szCs w:val="20"/>
              </w:rPr>
            </w:pPr>
            <w:r w:rsidRPr="000860EB">
              <w:rPr>
                <w:rFonts w:ascii="Times New Roman" w:hAnsi="Times New Roman"/>
                <w:sz w:val="20"/>
                <w:szCs w:val="20"/>
              </w:rPr>
              <w:t>15,00,000</w:t>
            </w:r>
          </w:p>
        </w:tc>
      </w:tr>
      <w:tr w:rsidR="003A7C1B" w:rsidRPr="000860EB" w14:paraId="5AA9B38D" w14:textId="77777777" w:rsidTr="00250DAC">
        <w:trPr>
          <w:trHeight w:val="20"/>
        </w:trPr>
        <w:tc>
          <w:tcPr>
            <w:tcW w:w="866" w:type="pct"/>
            <w:shd w:val="clear" w:color="auto" w:fill="auto"/>
            <w:vAlign w:val="center"/>
          </w:tcPr>
          <w:p w14:paraId="70F426DB" w14:textId="77777777" w:rsidR="003A7C1B" w:rsidRPr="000860EB" w:rsidRDefault="003A7C1B" w:rsidP="00250DAC">
            <w:pPr>
              <w:spacing w:after="0" w:line="240" w:lineRule="auto"/>
              <w:jc w:val="center"/>
              <w:rPr>
                <w:rFonts w:ascii="Times New Roman" w:hAnsi="Times New Roman"/>
                <w:sz w:val="20"/>
                <w:szCs w:val="20"/>
              </w:rPr>
            </w:pPr>
            <w:r w:rsidRPr="000860EB">
              <w:rPr>
                <w:rFonts w:ascii="Times New Roman" w:hAnsi="Times New Roman"/>
                <w:sz w:val="20"/>
                <w:szCs w:val="20"/>
              </w:rPr>
              <w:t>March 31, 2017</w:t>
            </w:r>
          </w:p>
        </w:tc>
        <w:tc>
          <w:tcPr>
            <w:tcW w:w="669" w:type="pct"/>
            <w:shd w:val="clear" w:color="auto" w:fill="auto"/>
            <w:noWrap/>
            <w:vAlign w:val="center"/>
          </w:tcPr>
          <w:p w14:paraId="618390D9" w14:textId="77777777" w:rsidR="003A7C1B" w:rsidRPr="000860EB" w:rsidRDefault="003A7C1B" w:rsidP="00250DAC">
            <w:pPr>
              <w:spacing w:after="0" w:line="240" w:lineRule="auto"/>
              <w:jc w:val="center"/>
              <w:rPr>
                <w:rFonts w:ascii="Times New Roman" w:hAnsi="Times New Roman"/>
                <w:sz w:val="20"/>
                <w:szCs w:val="20"/>
              </w:rPr>
            </w:pPr>
            <w:r w:rsidRPr="000860EB">
              <w:rPr>
                <w:rFonts w:ascii="Times New Roman" w:hAnsi="Times New Roman"/>
                <w:sz w:val="20"/>
                <w:szCs w:val="20"/>
              </w:rPr>
              <w:t>1,23,05,500</w:t>
            </w:r>
          </w:p>
        </w:tc>
        <w:tc>
          <w:tcPr>
            <w:tcW w:w="400" w:type="pct"/>
            <w:shd w:val="clear" w:color="auto" w:fill="auto"/>
            <w:noWrap/>
            <w:vAlign w:val="center"/>
          </w:tcPr>
          <w:p w14:paraId="0F58C740" w14:textId="77777777" w:rsidR="003A7C1B" w:rsidRPr="000860EB" w:rsidRDefault="003A7C1B" w:rsidP="00250DAC">
            <w:pPr>
              <w:spacing w:after="0" w:line="240" w:lineRule="auto"/>
              <w:jc w:val="center"/>
              <w:rPr>
                <w:rFonts w:ascii="Times New Roman" w:hAnsi="Times New Roman"/>
                <w:sz w:val="20"/>
                <w:szCs w:val="20"/>
              </w:rPr>
            </w:pPr>
            <w:r w:rsidRPr="000860EB">
              <w:rPr>
                <w:rFonts w:ascii="Times New Roman" w:hAnsi="Times New Roman"/>
                <w:sz w:val="20"/>
                <w:szCs w:val="20"/>
              </w:rPr>
              <w:t>10/-</w:t>
            </w:r>
          </w:p>
        </w:tc>
        <w:tc>
          <w:tcPr>
            <w:tcW w:w="958" w:type="pct"/>
            <w:shd w:val="clear" w:color="auto" w:fill="auto"/>
            <w:noWrap/>
            <w:vAlign w:val="center"/>
          </w:tcPr>
          <w:p w14:paraId="5BE0A3BC" w14:textId="77777777" w:rsidR="003A7C1B" w:rsidRPr="000860EB" w:rsidRDefault="003A7C1B" w:rsidP="00250DAC">
            <w:pPr>
              <w:spacing w:after="0" w:line="240" w:lineRule="auto"/>
              <w:jc w:val="center"/>
              <w:rPr>
                <w:rFonts w:ascii="Times New Roman" w:hAnsi="Times New Roman"/>
                <w:sz w:val="20"/>
                <w:szCs w:val="20"/>
              </w:rPr>
            </w:pPr>
            <w:r w:rsidRPr="000860EB">
              <w:rPr>
                <w:rFonts w:ascii="Times New Roman" w:hAnsi="Times New Roman"/>
                <w:sz w:val="20"/>
                <w:szCs w:val="20"/>
              </w:rPr>
              <w:t>20/-</w:t>
            </w:r>
          </w:p>
        </w:tc>
        <w:tc>
          <w:tcPr>
            <w:tcW w:w="714" w:type="pct"/>
            <w:shd w:val="clear" w:color="auto" w:fill="auto"/>
            <w:noWrap/>
            <w:vAlign w:val="center"/>
          </w:tcPr>
          <w:p w14:paraId="53F65A0F" w14:textId="77777777" w:rsidR="003A7C1B" w:rsidRPr="000860EB" w:rsidRDefault="003A7C1B" w:rsidP="00250DAC">
            <w:pPr>
              <w:spacing w:after="0" w:line="240" w:lineRule="auto"/>
              <w:jc w:val="center"/>
              <w:rPr>
                <w:rFonts w:ascii="Times New Roman" w:hAnsi="Times New Roman"/>
                <w:sz w:val="20"/>
                <w:szCs w:val="20"/>
              </w:rPr>
            </w:pPr>
            <w:r w:rsidRPr="000860EB">
              <w:rPr>
                <w:rFonts w:ascii="Times New Roman" w:hAnsi="Times New Roman"/>
                <w:sz w:val="20"/>
                <w:szCs w:val="20"/>
              </w:rPr>
              <w:t>Cash</w:t>
            </w:r>
          </w:p>
        </w:tc>
        <w:tc>
          <w:tcPr>
            <w:tcW w:w="623" w:type="pct"/>
            <w:shd w:val="clear" w:color="auto" w:fill="auto"/>
            <w:vAlign w:val="center"/>
          </w:tcPr>
          <w:p w14:paraId="2CE9C778" w14:textId="77777777" w:rsidR="003A7C1B" w:rsidRPr="000860EB" w:rsidRDefault="003A7C1B" w:rsidP="00250DAC">
            <w:pPr>
              <w:spacing w:after="0" w:line="240" w:lineRule="auto"/>
              <w:jc w:val="center"/>
              <w:rPr>
                <w:rFonts w:ascii="Times New Roman" w:hAnsi="Times New Roman"/>
                <w:sz w:val="20"/>
                <w:szCs w:val="20"/>
              </w:rPr>
            </w:pPr>
            <w:r w:rsidRPr="000860EB">
              <w:rPr>
                <w:rFonts w:ascii="Times New Roman" w:hAnsi="Times New Roman"/>
                <w:sz w:val="20"/>
                <w:szCs w:val="20"/>
              </w:rPr>
              <w:t xml:space="preserve">Conversion of Unsecured Loan to Equity </w:t>
            </w:r>
            <w:r w:rsidRPr="000860EB">
              <w:rPr>
                <w:rFonts w:ascii="Times New Roman" w:hAnsi="Times New Roman"/>
                <w:sz w:val="20"/>
                <w:szCs w:val="20"/>
                <w:vertAlign w:val="superscript"/>
              </w:rPr>
              <w:t>(iv)</w:t>
            </w:r>
          </w:p>
        </w:tc>
        <w:tc>
          <w:tcPr>
            <w:tcW w:w="770" w:type="pct"/>
            <w:vAlign w:val="center"/>
          </w:tcPr>
          <w:p w14:paraId="1F960E27" w14:textId="77777777" w:rsidR="003A7C1B" w:rsidRPr="000860EB" w:rsidRDefault="003A7C1B" w:rsidP="00250DAC">
            <w:pPr>
              <w:spacing w:after="0" w:line="240" w:lineRule="auto"/>
              <w:jc w:val="center"/>
              <w:rPr>
                <w:rFonts w:ascii="Times New Roman" w:hAnsi="Times New Roman"/>
                <w:sz w:val="20"/>
                <w:szCs w:val="20"/>
              </w:rPr>
            </w:pPr>
            <w:r w:rsidRPr="000860EB">
              <w:rPr>
                <w:rFonts w:ascii="Times New Roman" w:hAnsi="Times New Roman"/>
                <w:sz w:val="20"/>
                <w:szCs w:val="20"/>
              </w:rPr>
              <w:t>1,38,05,500</w:t>
            </w:r>
          </w:p>
        </w:tc>
      </w:tr>
    </w:tbl>
    <w:p w14:paraId="3B5A09B4" w14:textId="77777777" w:rsidR="003A7C1B" w:rsidRPr="000860EB" w:rsidRDefault="003A7C1B" w:rsidP="003A7C1B">
      <w:pPr>
        <w:suppressAutoHyphens/>
        <w:autoSpaceDE w:val="0"/>
        <w:autoSpaceDN w:val="0"/>
        <w:adjustRightInd w:val="0"/>
        <w:spacing w:after="0" w:line="240" w:lineRule="auto"/>
        <w:jc w:val="both"/>
        <w:textAlignment w:val="center"/>
        <w:rPr>
          <w:rFonts w:ascii="Times New Roman" w:hAnsi="Times New Roman"/>
          <w:i/>
          <w:color w:val="000000"/>
          <w:sz w:val="20"/>
          <w:szCs w:val="20"/>
          <w:lang w:eastAsia="en-IN"/>
        </w:rPr>
      </w:pPr>
      <w:r w:rsidRPr="000860EB">
        <w:rPr>
          <w:rFonts w:ascii="Times New Roman" w:hAnsi="Times New Roman"/>
          <w:i/>
          <w:color w:val="000000"/>
          <w:sz w:val="20"/>
          <w:szCs w:val="20"/>
          <w:lang w:eastAsia="en-IN"/>
        </w:rPr>
        <w:t xml:space="preserve">All the above-mentioned shares are fully paid up since the date of allotment.  </w:t>
      </w:r>
    </w:p>
    <w:p w14:paraId="0833244C" w14:textId="77777777" w:rsidR="003A7C1B" w:rsidRPr="000860EB" w:rsidRDefault="003A7C1B" w:rsidP="003A7C1B">
      <w:pPr>
        <w:suppressAutoHyphens/>
        <w:autoSpaceDE w:val="0"/>
        <w:autoSpaceDN w:val="0"/>
        <w:adjustRightInd w:val="0"/>
        <w:spacing w:after="0" w:line="240" w:lineRule="auto"/>
        <w:jc w:val="both"/>
        <w:textAlignment w:val="center"/>
        <w:rPr>
          <w:rFonts w:ascii="Times New Roman" w:hAnsi="Times New Roman"/>
          <w:i/>
          <w:color w:val="000000"/>
          <w:sz w:val="16"/>
          <w:szCs w:val="20"/>
          <w:lang w:eastAsia="en-IN"/>
        </w:rPr>
      </w:pPr>
    </w:p>
    <w:p w14:paraId="2D042C49" w14:textId="77777777" w:rsidR="003A7C1B" w:rsidRDefault="003A7C1B" w:rsidP="00F038BD">
      <w:pPr>
        <w:numPr>
          <w:ilvl w:val="0"/>
          <w:numId w:val="154"/>
        </w:numPr>
        <w:spacing w:after="0" w:line="240" w:lineRule="auto"/>
        <w:ind w:left="360" w:hanging="360"/>
        <w:jc w:val="both"/>
        <w:rPr>
          <w:rFonts w:ascii="Times New Roman" w:hAnsi="Times New Roman"/>
          <w:i/>
          <w:color w:val="000000"/>
          <w:sz w:val="20"/>
          <w:szCs w:val="20"/>
        </w:rPr>
      </w:pPr>
      <w:r w:rsidRPr="000860EB">
        <w:rPr>
          <w:rFonts w:ascii="Times New Roman" w:hAnsi="Times New Roman"/>
          <w:i/>
          <w:color w:val="000000"/>
          <w:sz w:val="20"/>
          <w:szCs w:val="20"/>
        </w:rPr>
        <w:t>Initial Subscribers to the Memorandum of Association subscribed 10,000 Equity Shares of Face Value of ₹ 10/- each, details of which are given below:</w:t>
      </w:r>
    </w:p>
    <w:p w14:paraId="1423BA99" w14:textId="77777777" w:rsidR="003A7C1B" w:rsidRPr="000860EB" w:rsidRDefault="003A7C1B" w:rsidP="003A7C1B">
      <w:pPr>
        <w:spacing w:after="0" w:line="240" w:lineRule="auto"/>
        <w:ind w:left="360"/>
        <w:jc w:val="both"/>
        <w:rPr>
          <w:rFonts w:ascii="Times New Roman" w:hAnsi="Times New Roman"/>
          <w:i/>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7"/>
        <w:gridCol w:w="6663"/>
        <w:gridCol w:w="2807"/>
      </w:tblGrid>
      <w:tr w:rsidR="003A7C1B" w:rsidRPr="000860EB" w14:paraId="7F342EDF" w14:textId="77777777" w:rsidTr="00250DAC">
        <w:trPr>
          <w:trHeight w:val="20"/>
        </w:trPr>
        <w:tc>
          <w:tcPr>
            <w:tcW w:w="472" w:type="pct"/>
            <w:shd w:val="clear" w:color="auto" w:fill="D0CECE" w:themeFill="background2" w:themeFillShade="E6"/>
          </w:tcPr>
          <w:p w14:paraId="39BA3D66" w14:textId="77777777" w:rsidR="003A7C1B" w:rsidRPr="000860EB" w:rsidRDefault="003A7C1B" w:rsidP="00250DAC">
            <w:pPr>
              <w:suppressAutoHyphens/>
              <w:autoSpaceDE w:val="0"/>
              <w:autoSpaceDN w:val="0"/>
              <w:adjustRightInd w:val="0"/>
              <w:spacing w:after="0" w:line="240" w:lineRule="auto"/>
              <w:jc w:val="center"/>
              <w:textAlignment w:val="center"/>
              <w:rPr>
                <w:rFonts w:ascii="Times New Roman" w:eastAsia="Calibri" w:hAnsi="Times New Roman"/>
                <w:b/>
                <w:color w:val="000000"/>
                <w:sz w:val="20"/>
                <w:szCs w:val="20"/>
              </w:rPr>
            </w:pPr>
            <w:r w:rsidRPr="000860EB">
              <w:rPr>
                <w:rFonts w:ascii="Times New Roman" w:eastAsia="Calibri" w:hAnsi="Times New Roman"/>
                <w:b/>
                <w:color w:val="000000"/>
                <w:sz w:val="20"/>
                <w:szCs w:val="20"/>
              </w:rPr>
              <w:t>Sr. No.</w:t>
            </w:r>
          </w:p>
        </w:tc>
        <w:tc>
          <w:tcPr>
            <w:tcW w:w="3186" w:type="pct"/>
            <w:shd w:val="clear" w:color="auto" w:fill="D0CECE" w:themeFill="background2" w:themeFillShade="E6"/>
          </w:tcPr>
          <w:p w14:paraId="38D24646" w14:textId="77777777" w:rsidR="003A7C1B" w:rsidRPr="000860EB" w:rsidRDefault="003A7C1B" w:rsidP="00250DAC">
            <w:pPr>
              <w:suppressAutoHyphens/>
              <w:autoSpaceDE w:val="0"/>
              <w:autoSpaceDN w:val="0"/>
              <w:adjustRightInd w:val="0"/>
              <w:spacing w:after="0" w:line="240" w:lineRule="auto"/>
              <w:textAlignment w:val="center"/>
              <w:rPr>
                <w:rFonts w:ascii="Times New Roman" w:eastAsia="Calibri" w:hAnsi="Times New Roman"/>
                <w:b/>
                <w:color w:val="000000"/>
                <w:sz w:val="20"/>
                <w:szCs w:val="20"/>
              </w:rPr>
            </w:pPr>
            <w:r w:rsidRPr="000860EB">
              <w:rPr>
                <w:rFonts w:ascii="Times New Roman" w:eastAsia="Calibri" w:hAnsi="Times New Roman"/>
                <w:b/>
                <w:color w:val="000000"/>
                <w:sz w:val="20"/>
                <w:szCs w:val="20"/>
              </w:rPr>
              <w:t>Name of Subscribers</w:t>
            </w:r>
          </w:p>
        </w:tc>
        <w:tc>
          <w:tcPr>
            <w:tcW w:w="1342" w:type="pct"/>
            <w:shd w:val="clear" w:color="auto" w:fill="D0CECE" w:themeFill="background2" w:themeFillShade="E6"/>
          </w:tcPr>
          <w:p w14:paraId="75DECB8F" w14:textId="77777777" w:rsidR="003A7C1B" w:rsidRPr="000860EB" w:rsidRDefault="003A7C1B" w:rsidP="00250DAC">
            <w:pPr>
              <w:suppressAutoHyphens/>
              <w:autoSpaceDE w:val="0"/>
              <w:autoSpaceDN w:val="0"/>
              <w:adjustRightInd w:val="0"/>
              <w:spacing w:after="0" w:line="240" w:lineRule="auto"/>
              <w:jc w:val="center"/>
              <w:textAlignment w:val="center"/>
              <w:rPr>
                <w:rFonts w:ascii="Times New Roman" w:eastAsia="Calibri" w:hAnsi="Times New Roman"/>
                <w:b/>
                <w:color w:val="000000"/>
                <w:sz w:val="20"/>
                <w:szCs w:val="20"/>
              </w:rPr>
            </w:pPr>
            <w:r w:rsidRPr="000860EB">
              <w:rPr>
                <w:rFonts w:ascii="Times New Roman" w:eastAsia="Calibri" w:hAnsi="Times New Roman"/>
                <w:b/>
                <w:color w:val="000000"/>
                <w:sz w:val="20"/>
                <w:szCs w:val="20"/>
              </w:rPr>
              <w:t>Number of Shares Subscribed</w:t>
            </w:r>
          </w:p>
        </w:tc>
      </w:tr>
      <w:tr w:rsidR="003A7C1B" w:rsidRPr="000860EB" w14:paraId="65CA4052" w14:textId="77777777" w:rsidTr="00250DAC">
        <w:trPr>
          <w:trHeight w:val="20"/>
        </w:trPr>
        <w:tc>
          <w:tcPr>
            <w:tcW w:w="472" w:type="pct"/>
            <w:shd w:val="clear" w:color="auto" w:fill="auto"/>
            <w:vAlign w:val="center"/>
          </w:tcPr>
          <w:p w14:paraId="0FF72005" w14:textId="77777777" w:rsidR="003A7C1B" w:rsidRPr="000860EB" w:rsidRDefault="003A7C1B" w:rsidP="00250DAC">
            <w:pPr>
              <w:suppressAutoHyphens/>
              <w:autoSpaceDE w:val="0"/>
              <w:autoSpaceDN w:val="0"/>
              <w:adjustRightInd w:val="0"/>
              <w:spacing w:after="0" w:line="240" w:lineRule="auto"/>
              <w:jc w:val="center"/>
              <w:textAlignment w:val="center"/>
              <w:rPr>
                <w:rFonts w:ascii="Times New Roman" w:eastAsia="Calibri" w:hAnsi="Times New Roman"/>
                <w:color w:val="000000"/>
                <w:sz w:val="20"/>
                <w:szCs w:val="20"/>
              </w:rPr>
            </w:pPr>
            <w:r w:rsidRPr="000860EB">
              <w:rPr>
                <w:rFonts w:ascii="Times New Roman" w:eastAsia="Calibri" w:hAnsi="Times New Roman"/>
                <w:color w:val="000000"/>
                <w:sz w:val="20"/>
                <w:szCs w:val="20"/>
              </w:rPr>
              <w:t>1.</w:t>
            </w:r>
          </w:p>
        </w:tc>
        <w:tc>
          <w:tcPr>
            <w:tcW w:w="3186" w:type="pct"/>
            <w:shd w:val="clear" w:color="auto" w:fill="auto"/>
            <w:vAlign w:val="center"/>
          </w:tcPr>
          <w:p w14:paraId="16940ECD" w14:textId="77777777" w:rsidR="003A7C1B" w:rsidRPr="000860EB" w:rsidRDefault="003A7C1B" w:rsidP="00250DAC">
            <w:pPr>
              <w:spacing w:after="0" w:line="240" w:lineRule="auto"/>
              <w:jc w:val="both"/>
              <w:rPr>
                <w:rFonts w:ascii="Times New Roman" w:eastAsia="Calibri" w:hAnsi="Times New Roman"/>
                <w:color w:val="000000"/>
                <w:sz w:val="20"/>
                <w:szCs w:val="20"/>
              </w:rPr>
            </w:pPr>
            <w:r w:rsidRPr="000860EB">
              <w:rPr>
                <w:rFonts w:ascii="Times New Roman" w:eastAsia="Calibri" w:hAnsi="Times New Roman"/>
                <w:color w:val="000000"/>
                <w:sz w:val="20"/>
                <w:szCs w:val="20"/>
              </w:rPr>
              <w:t>Ramgopal Ochhavlal Maheswari</w:t>
            </w:r>
          </w:p>
        </w:tc>
        <w:tc>
          <w:tcPr>
            <w:tcW w:w="1342" w:type="pct"/>
            <w:shd w:val="clear" w:color="auto" w:fill="auto"/>
            <w:vAlign w:val="center"/>
          </w:tcPr>
          <w:p w14:paraId="49087DAD" w14:textId="77777777" w:rsidR="003A7C1B" w:rsidRPr="000860EB" w:rsidRDefault="003A7C1B" w:rsidP="00250DAC">
            <w:pPr>
              <w:spacing w:after="0" w:line="240" w:lineRule="auto"/>
              <w:jc w:val="center"/>
              <w:rPr>
                <w:rFonts w:ascii="Times New Roman" w:eastAsia="Calibri" w:hAnsi="Times New Roman"/>
                <w:color w:val="000000"/>
                <w:sz w:val="20"/>
                <w:szCs w:val="20"/>
              </w:rPr>
            </w:pPr>
            <w:r w:rsidRPr="000860EB">
              <w:rPr>
                <w:rFonts w:ascii="Times New Roman" w:eastAsia="Calibri" w:hAnsi="Times New Roman"/>
                <w:color w:val="000000"/>
                <w:sz w:val="20"/>
                <w:szCs w:val="20"/>
              </w:rPr>
              <w:t>7,000</w:t>
            </w:r>
          </w:p>
        </w:tc>
      </w:tr>
      <w:tr w:rsidR="003A7C1B" w:rsidRPr="000860EB" w14:paraId="210FD14E" w14:textId="77777777" w:rsidTr="00250DAC">
        <w:trPr>
          <w:trHeight w:val="20"/>
        </w:trPr>
        <w:tc>
          <w:tcPr>
            <w:tcW w:w="472" w:type="pct"/>
            <w:shd w:val="clear" w:color="auto" w:fill="auto"/>
            <w:vAlign w:val="center"/>
          </w:tcPr>
          <w:p w14:paraId="1B1267E7" w14:textId="77777777" w:rsidR="003A7C1B" w:rsidRPr="000860EB" w:rsidRDefault="003A7C1B" w:rsidP="00250DAC">
            <w:pPr>
              <w:suppressAutoHyphens/>
              <w:autoSpaceDE w:val="0"/>
              <w:autoSpaceDN w:val="0"/>
              <w:adjustRightInd w:val="0"/>
              <w:spacing w:after="0" w:line="240" w:lineRule="auto"/>
              <w:jc w:val="center"/>
              <w:textAlignment w:val="center"/>
              <w:rPr>
                <w:rFonts w:ascii="Times New Roman" w:eastAsia="Calibri" w:hAnsi="Times New Roman"/>
                <w:color w:val="000000"/>
                <w:sz w:val="20"/>
                <w:szCs w:val="20"/>
              </w:rPr>
            </w:pPr>
            <w:r w:rsidRPr="000860EB">
              <w:rPr>
                <w:rFonts w:ascii="Times New Roman" w:eastAsia="Calibri" w:hAnsi="Times New Roman"/>
                <w:color w:val="000000"/>
                <w:sz w:val="20"/>
                <w:szCs w:val="20"/>
              </w:rPr>
              <w:t>2.</w:t>
            </w:r>
          </w:p>
        </w:tc>
        <w:tc>
          <w:tcPr>
            <w:tcW w:w="3186" w:type="pct"/>
            <w:shd w:val="clear" w:color="auto" w:fill="auto"/>
            <w:vAlign w:val="center"/>
          </w:tcPr>
          <w:p w14:paraId="2C28C1CA" w14:textId="77777777" w:rsidR="003A7C1B" w:rsidRPr="000860EB" w:rsidRDefault="003A7C1B" w:rsidP="00250DAC">
            <w:pPr>
              <w:spacing w:after="0" w:line="240" w:lineRule="auto"/>
              <w:jc w:val="both"/>
              <w:rPr>
                <w:rFonts w:ascii="Times New Roman" w:eastAsia="Calibri" w:hAnsi="Times New Roman"/>
                <w:color w:val="000000"/>
                <w:sz w:val="20"/>
                <w:szCs w:val="20"/>
              </w:rPr>
            </w:pPr>
            <w:r w:rsidRPr="000860EB">
              <w:rPr>
                <w:rFonts w:ascii="Times New Roman" w:eastAsia="Calibri" w:hAnsi="Times New Roman"/>
                <w:color w:val="000000"/>
                <w:sz w:val="20"/>
                <w:szCs w:val="20"/>
              </w:rPr>
              <w:t>Dhaval Jinesh Shah</w:t>
            </w:r>
          </w:p>
        </w:tc>
        <w:tc>
          <w:tcPr>
            <w:tcW w:w="1342" w:type="pct"/>
            <w:shd w:val="clear" w:color="auto" w:fill="auto"/>
            <w:vAlign w:val="center"/>
          </w:tcPr>
          <w:p w14:paraId="329F370E" w14:textId="77777777" w:rsidR="003A7C1B" w:rsidRPr="000860EB" w:rsidRDefault="003A7C1B" w:rsidP="00250DAC">
            <w:pPr>
              <w:spacing w:after="0" w:line="240" w:lineRule="auto"/>
              <w:jc w:val="center"/>
              <w:rPr>
                <w:rFonts w:ascii="Times New Roman" w:eastAsia="Calibri" w:hAnsi="Times New Roman"/>
                <w:color w:val="000000"/>
                <w:sz w:val="20"/>
                <w:szCs w:val="20"/>
              </w:rPr>
            </w:pPr>
            <w:r w:rsidRPr="000860EB">
              <w:rPr>
                <w:rFonts w:ascii="Times New Roman" w:eastAsia="Calibri" w:hAnsi="Times New Roman"/>
                <w:color w:val="000000"/>
                <w:sz w:val="20"/>
                <w:szCs w:val="20"/>
              </w:rPr>
              <w:t>3,000</w:t>
            </w:r>
          </w:p>
        </w:tc>
      </w:tr>
      <w:tr w:rsidR="003A7C1B" w:rsidRPr="000860EB" w14:paraId="0F31691B" w14:textId="77777777" w:rsidTr="00250DAC">
        <w:trPr>
          <w:trHeight w:val="20"/>
        </w:trPr>
        <w:tc>
          <w:tcPr>
            <w:tcW w:w="472" w:type="pct"/>
            <w:shd w:val="clear" w:color="auto" w:fill="auto"/>
            <w:vAlign w:val="center"/>
          </w:tcPr>
          <w:p w14:paraId="76DD602B" w14:textId="77777777" w:rsidR="003A7C1B" w:rsidRPr="000860EB" w:rsidRDefault="003A7C1B" w:rsidP="00250DAC">
            <w:pPr>
              <w:suppressAutoHyphens/>
              <w:autoSpaceDE w:val="0"/>
              <w:autoSpaceDN w:val="0"/>
              <w:adjustRightInd w:val="0"/>
              <w:spacing w:after="0" w:line="240" w:lineRule="auto"/>
              <w:jc w:val="center"/>
              <w:textAlignment w:val="center"/>
              <w:rPr>
                <w:rFonts w:ascii="Times New Roman" w:eastAsia="Calibri" w:hAnsi="Times New Roman"/>
                <w:color w:val="000000"/>
                <w:sz w:val="20"/>
                <w:szCs w:val="20"/>
              </w:rPr>
            </w:pPr>
          </w:p>
        </w:tc>
        <w:tc>
          <w:tcPr>
            <w:tcW w:w="3186" w:type="pct"/>
            <w:shd w:val="clear" w:color="auto" w:fill="auto"/>
          </w:tcPr>
          <w:p w14:paraId="25BF52B9" w14:textId="77777777" w:rsidR="003A7C1B" w:rsidRPr="000860EB" w:rsidRDefault="003A7C1B" w:rsidP="00250DAC">
            <w:pPr>
              <w:spacing w:after="0" w:line="240" w:lineRule="auto"/>
              <w:jc w:val="center"/>
              <w:rPr>
                <w:rFonts w:ascii="Times New Roman" w:eastAsia="Calibri" w:hAnsi="Times New Roman"/>
                <w:b/>
                <w:color w:val="000000"/>
                <w:sz w:val="20"/>
                <w:szCs w:val="20"/>
              </w:rPr>
            </w:pPr>
            <w:r w:rsidRPr="000860EB">
              <w:rPr>
                <w:rFonts w:ascii="Times New Roman" w:eastAsia="Calibri" w:hAnsi="Times New Roman"/>
                <w:b/>
                <w:color w:val="000000"/>
                <w:sz w:val="20"/>
                <w:szCs w:val="20"/>
              </w:rPr>
              <w:t>Total</w:t>
            </w:r>
          </w:p>
        </w:tc>
        <w:tc>
          <w:tcPr>
            <w:tcW w:w="1342" w:type="pct"/>
            <w:shd w:val="clear" w:color="auto" w:fill="auto"/>
          </w:tcPr>
          <w:p w14:paraId="37D55BD9" w14:textId="77777777" w:rsidR="003A7C1B" w:rsidRPr="000860EB" w:rsidRDefault="003A7C1B" w:rsidP="00250DAC">
            <w:pPr>
              <w:spacing w:after="0" w:line="240" w:lineRule="auto"/>
              <w:jc w:val="center"/>
              <w:rPr>
                <w:rFonts w:ascii="Times New Roman" w:eastAsia="Calibri" w:hAnsi="Times New Roman"/>
                <w:b/>
                <w:color w:val="000000"/>
                <w:sz w:val="20"/>
                <w:szCs w:val="20"/>
              </w:rPr>
            </w:pPr>
            <w:r w:rsidRPr="000860EB">
              <w:rPr>
                <w:rFonts w:ascii="Times New Roman" w:eastAsia="Calibri" w:hAnsi="Times New Roman"/>
                <w:b/>
                <w:color w:val="000000"/>
                <w:sz w:val="20"/>
                <w:szCs w:val="20"/>
              </w:rPr>
              <w:t>10,000</w:t>
            </w:r>
          </w:p>
        </w:tc>
      </w:tr>
    </w:tbl>
    <w:p w14:paraId="7599D90B" w14:textId="77777777" w:rsidR="003A7C1B" w:rsidRPr="000860EB" w:rsidRDefault="003A7C1B" w:rsidP="003A7C1B">
      <w:pPr>
        <w:spacing w:after="0" w:line="240" w:lineRule="auto"/>
        <w:ind w:left="360"/>
        <w:jc w:val="both"/>
        <w:rPr>
          <w:rFonts w:ascii="Times New Roman" w:hAnsi="Times New Roman"/>
          <w:b/>
          <w:i/>
          <w:color w:val="000000"/>
          <w:sz w:val="20"/>
          <w:szCs w:val="20"/>
        </w:rPr>
      </w:pPr>
    </w:p>
    <w:p w14:paraId="2A286998" w14:textId="77777777" w:rsidR="003A7C1B" w:rsidRDefault="003A7C1B" w:rsidP="00F038BD">
      <w:pPr>
        <w:numPr>
          <w:ilvl w:val="0"/>
          <w:numId w:val="154"/>
        </w:numPr>
        <w:spacing w:after="0" w:line="240" w:lineRule="auto"/>
        <w:ind w:left="360" w:hanging="360"/>
        <w:jc w:val="both"/>
        <w:rPr>
          <w:rFonts w:ascii="Times New Roman" w:hAnsi="Times New Roman"/>
          <w:i/>
          <w:color w:val="000000"/>
          <w:sz w:val="20"/>
          <w:szCs w:val="20"/>
        </w:rPr>
      </w:pPr>
      <w:r w:rsidRPr="000860EB">
        <w:rPr>
          <w:rFonts w:ascii="Times New Roman" w:hAnsi="Times New Roman"/>
          <w:i/>
          <w:color w:val="000000"/>
          <w:sz w:val="20"/>
          <w:szCs w:val="20"/>
        </w:rPr>
        <w:t>Further issue of 9,90,000 Equity Shares of Face Value of ₹ 10/- each as per details given below:</w:t>
      </w:r>
    </w:p>
    <w:p w14:paraId="6B67A397" w14:textId="77777777" w:rsidR="003A7C1B" w:rsidRPr="000860EB" w:rsidRDefault="003A7C1B" w:rsidP="003A7C1B">
      <w:pPr>
        <w:spacing w:after="0" w:line="240" w:lineRule="auto"/>
        <w:ind w:left="360"/>
        <w:jc w:val="both"/>
        <w:rPr>
          <w:rFonts w:ascii="Times New Roman" w:hAnsi="Times New Roman"/>
          <w:i/>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7"/>
        <w:gridCol w:w="6663"/>
        <w:gridCol w:w="2807"/>
      </w:tblGrid>
      <w:tr w:rsidR="003A7C1B" w:rsidRPr="000860EB" w14:paraId="35A6F6FE" w14:textId="77777777" w:rsidTr="00250DAC">
        <w:trPr>
          <w:trHeight w:val="20"/>
        </w:trPr>
        <w:tc>
          <w:tcPr>
            <w:tcW w:w="472" w:type="pct"/>
            <w:shd w:val="clear" w:color="auto" w:fill="D0CECE" w:themeFill="background2" w:themeFillShade="E6"/>
          </w:tcPr>
          <w:p w14:paraId="01FBBA9D" w14:textId="77777777" w:rsidR="003A7C1B" w:rsidRPr="000860EB" w:rsidRDefault="003A7C1B" w:rsidP="00250DAC">
            <w:pPr>
              <w:suppressAutoHyphens/>
              <w:autoSpaceDE w:val="0"/>
              <w:autoSpaceDN w:val="0"/>
              <w:adjustRightInd w:val="0"/>
              <w:spacing w:after="0" w:line="240" w:lineRule="auto"/>
              <w:jc w:val="center"/>
              <w:textAlignment w:val="center"/>
              <w:rPr>
                <w:rFonts w:ascii="Times New Roman" w:eastAsia="Calibri" w:hAnsi="Times New Roman"/>
                <w:b/>
                <w:color w:val="000000"/>
                <w:sz w:val="20"/>
                <w:szCs w:val="20"/>
              </w:rPr>
            </w:pPr>
            <w:r w:rsidRPr="000860EB">
              <w:rPr>
                <w:rFonts w:ascii="Times New Roman" w:eastAsia="Calibri" w:hAnsi="Times New Roman"/>
                <w:b/>
                <w:color w:val="000000"/>
                <w:sz w:val="20"/>
                <w:szCs w:val="20"/>
              </w:rPr>
              <w:t>Sr. No.</w:t>
            </w:r>
          </w:p>
        </w:tc>
        <w:tc>
          <w:tcPr>
            <w:tcW w:w="3186" w:type="pct"/>
            <w:shd w:val="clear" w:color="auto" w:fill="D0CECE" w:themeFill="background2" w:themeFillShade="E6"/>
          </w:tcPr>
          <w:p w14:paraId="3132DC19" w14:textId="77777777" w:rsidR="003A7C1B" w:rsidRPr="000860EB" w:rsidRDefault="003A7C1B" w:rsidP="00250DAC">
            <w:pPr>
              <w:suppressAutoHyphens/>
              <w:autoSpaceDE w:val="0"/>
              <w:autoSpaceDN w:val="0"/>
              <w:adjustRightInd w:val="0"/>
              <w:spacing w:after="0" w:line="240" w:lineRule="auto"/>
              <w:textAlignment w:val="center"/>
              <w:rPr>
                <w:rFonts w:ascii="Times New Roman" w:eastAsia="Calibri" w:hAnsi="Times New Roman"/>
                <w:b/>
                <w:color w:val="000000"/>
                <w:sz w:val="20"/>
                <w:szCs w:val="20"/>
              </w:rPr>
            </w:pPr>
            <w:r w:rsidRPr="000860EB">
              <w:rPr>
                <w:rFonts w:ascii="Times New Roman" w:eastAsia="Calibri" w:hAnsi="Times New Roman"/>
                <w:b/>
                <w:color w:val="000000"/>
                <w:sz w:val="20"/>
                <w:szCs w:val="20"/>
              </w:rPr>
              <w:t>Name of Allottees</w:t>
            </w:r>
          </w:p>
        </w:tc>
        <w:tc>
          <w:tcPr>
            <w:tcW w:w="1342" w:type="pct"/>
            <w:shd w:val="clear" w:color="auto" w:fill="D0CECE" w:themeFill="background2" w:themeFillShade="E6"/>
          </w:tcPr>
          <w:p w14:paraId="0732745E" w14:textId="77777777" w:rsidR="003A7C1B" w:rsidRPr="000860EB" w:rsidRDefault="003A7C1B" w:rsidP="00250DAC">
            <w:pPr>
              <w:suppressAutoHyphens/>
              <w:autoSpaceDE w:val="0"/>
              <w:autoSpaceDN w:val="0"/>
              <w:adjustRightInd w:val="0"/>
              <w:spacing w:after="0" w:line="240" w:lineRule="auto"/>
              <w:jc w:val="center"/>
              <w:textAlignment w:val="center"/>
              <w:rPr>
                <w:rFonts w:ascii="Times New Roman" w:eastAsia="Calibri" w:hAnsi="Times New Roman"/>
                <w:b/>
                <w:color w:val="000000"/>
                <w:sz w:val="20"/>
                <w:szCs w:val="20"/>
              </w:rPr>
            </w:pPr>
            <w:r w:rsidRPr="000860EB">
              <w:rPr>
                <w:rFonts w:ascii="Times New Roman" w:eastAsia="Calibri" w:hAnsi="Times New Roman"/>
                <w:b/>
                <w:color w:val="000000"/>
                <w:sz w:val="20"/>
                <w:szCs w:val="20"/>
              </w:rPr>
              <w:t>Number of Shares Allotted</w:t>
            </w:r>
          </w:p>
        </w:tc>
      </w:tr>
      <w:tr w:rsidR="003A7C1B" w:rsidRPr="000860EB" w14:paraId="57C0D785" w14:textId="77777777" w:rsidTr="00250DAC">
        <w:trPr>
          <w:trHeight w:val="20"/>
        </w:trPr>
        <w:tc>
          <w:tcPr>
            <w:tcW w:w="472" w:type="pct"/>
            <w:shd w:val="clear" w:color="auto" w:fill="auto"/>
          </w:tcPr>
          <w:p w14:paraId="615E34A1" w14:textId="77777777" w:rsidR="003A7C1B" w:rsidRPr="000860EB" w:rsidRDefault="003A7C1B" w:rsidP="00250DAC">
            <w:pPr>
              <w:tabs>
                <w:tab w:val="left" w:pos="5310"/>
              </w:tabs>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1.</w:t>
            </w:r>
          </w:p>
        </w:tc>
        <w:tc>
          <w:tcPr>
            <w:tcW w:w="3186" w:type="pct"/>
            <w:shd w:val="clear" w:color="auto" w:fill="auto"/>
            <w:vAlign w:val="center"/>
          </w:tcPr>
          <w:p w14:paraId="7615F3D4" w14:textId="77777777" w:rsidR="003A7C1B" w:rsidRPr="000860EB" w:rsidRDefault="003A7C1B" w:rsidP="00250DAC">
            <w:pPr>
              <w:spacing w:after="0" w:line="240" w:lineRule="auto"/>
              <w:jc w:val="both"/>
              <w:rPr>
                <w:rFonts w:ascii="Times New Roman" w:hAnsi="Times New Roman"/>
                <w:sz w:val="20"/>
                <w:szCs w:val="20"/>
                <w:lang w:val="en-IN"/>
              </w:rPr>
            </w:pPr>
            <w:r w:rsidRPr="0094678C">
              <w:rPr>
                <w:rFonts w:ascii="Times New Roman" w:hAnsi="Times New Roman"/>
                <w:sz w:val="20"/>
                <w:szCs w:val="20"/>
              </w:rPr>
              <w:t xml:space="preserve">Dwarkadhish Venture Private Limited </w:t>
            </w:r>
            <w:r w:rsidRPr="0094678C">
              <w:rPr>
                <w:rFonts w:ascii="Times New Roman" w:hAnsi="Times New Roman"/>
                <w:i/>
                <w:iCs/>
                <w:sz w:val="20"/>
                <w:szCs w:val="20"/>
              </w:rPr>
              <w:t>(formerly known as Siyaram Metals Private Limited)</w:t>
            </w:r>
          </w:p>
        </w:tc>
        <w:tc>
          <w:tcPr>
            <w:tcW w:w="1342" w:type="pct"/>
            <w:shd w:val="clear" w:color="auto" w:fill="auto"/>
            <w:vAlign w:val="center"/>
          </w:tcPr>
          <w:p w14:paraId="43380912" w14:textId="77777777" w:rsidR="003A7C1B" w:rsidRPr="000860EB" w:rsidRDefault="003A7C1B" w:rsidP="00250DAC">
            <w:pPr>
              <w:spacing w:after="0" w:line="240" w:lineRule="auto"/>
              <w:jc w:val="center"/>
              <w:rPr>
                <w:rFonts w:ascii="Times New Roman" w:hAnsi="Times New Roman"/>
                <w:sz w:val="20"/>
                <w:szCs w:val="20"/>
                <w:lang w:val="en-IN"/>
              </w:rPr>
            </w:pPr>
            <w:r w:rsidRPr="000860EB">
              <w:rPr>
                <w:rFonts w:ascii="Times New Roman" w:hAnsi="Times New Roman"/>
                <w:sz w:val="20"/>
                <w:szCs w:val="20"/>
              </w:rPr>
              <w:t>7,40,000</w:t>
            </w:r>
          </w:p>
        </w:tc>
      </w:tr>
      <w:tr w:rsidR="003A7C1B" w:rsidRPr="000860EB" w14:paraId="6D224225" w14:textId="77777777" w:rsidTr="00250DAC">
        <w:trPr>
          <w:trHeight w:val="20"/>
        </w:trPr>
        <w:tc>
          <w:tcPr>
            <w:tcW w:w="472" w:type="pct"/>
            <w:shd w:val="clear" w:color="auto" w:fill="auto"/>
          </w:tcPr>
          <w:p w14:paraId="1C18FD4F" w14:textId="77777777" w:rsidR="003A7C1B" w:rsidRPr="000860EB" w:rsidRDefault="003A7C1B" w:rsidP="00250DAC">
            <w:pPr>
              <w:tabs>
                <w:tab w:val="left" w:pos="5310"/>
              </w:tabs>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2.</w:t>
            </w:r>
          </w:p>
        </w:tc>
        <w:tc>
          <w:tcPr>
            <w:tcW w:w="3186" w:type="pct"/>
            <w:shd w:val="clear" w:color="auto" w:fill="auto"/>
            <w:vAlign w:val="center"/>
          </w:tcPr>
          <w:p w14:paraId="05BA7A12" w14:textId="77777777" w:rsidR="003A7C1B" w:rsidRPr="000860EB" w:rsidRDefault="003A7C1B" w:rsidP="00250DAC">
            <w:pPr>
              <w:spacing w:after="0" w:line="240" w:lineRule="auto"/>
              <w:rPr>
                <w:rFonts w:ascii="Times New Roman" w:hAnsi="Times New Roman"/>
                <w:sz w:val="20"/>
                <w:szCs w:val="20"/>
              </w:rPr>
            </w:pPr>
            <w:r w:rsidRPr="000860EB">
              <w:rPr>
                <w:rFonts w:ascii="Times New Roman" w:hAnsi="Times New Roman"/>
                <w:sz w:val="20"/>
                <w:szCs w:val="20"/>
              </w:rPr>
              <w:t>Ramgopal Ochhavlal Maheswari</w:t>
            </w:r>
          </w:p>
        </w:tc>
        <w:tc>
          <w:tcPr>
            <w:tcW w:w="1342" w:type="pct"/>
            <w:shd w:val="clear" w:color="auto" w:fill="auto"/>
            <w:vAlign w:val="center"/>
          </w:tcPr>
          <w:p w14:paraId="5DE9CB1F" w14:textId="77777777" w:rsidR="003A7C1B" w:rsidRPr="000860EB" w:rsidRDefault="003A7C1B" w:rsidP="00250DAC">
            <w:pPr>
              <w:spacing w:after="0" w:line="240" w:lineRule="auto"/>
              <w:jc w:val="center"/>
              <w:rPr>
                <w:rFonts w:ascii="Times New Roman" w:hAnsi="Times New Roman"/>
                <w:sz w:val="20"/>
                <w:szCs w:val="20"/>
              </w:rPr>
            </w:pPr>
            <w:r w:rsidRPr="000860EB">
              <w:rPr>
                <w:rFonts w:ascii="Times New Roman" w:hAnsi="Times New Roman"/>
                <w:sz w:val="20"/>
                <w:szCs w:val="20"/>
              </w:rPr>
              <w:t>1,53,000</w:t>
            </w:r>
          </w:p>
        </w:tc>
      </w:tr>
      <w:tr w:rsidR="003A7C1B" w:rsidRPr="000860EB" w14:paraId="2672E5DA" w14:textId="77777777" w:rsidTr="00250DAC">
        <w:trPr>
          <w:trHeight w:val="20"/>
        </w:trPr>
        <w:tc>
          <w:tcPr>
            <w:tcW w:w="472" w:type="pct"/>
            <w:shd w:val="clear" w:color="auto" w:fill="auto"/>
          </w:tcPr>
          <w:p w14:paraId="56507622" w14:textId="77777777" w:rsidR="003A7C1B" w:rsidRPr="000860EB" w:rsidRDefault="003A7C1B" w:rsidP="00250DAC">
            <w:pPr>
              <w:tabs>
                <w:tab w:val="left" w:pos="5310"/>
              </w:tabs>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3.</w:t>
            </w:r>
          </w:p>
        </w:tc>
        <w:tc>
          <w:tcPr>
            <w:tcW w:w="3186" w:type="pct"/>
            <w:shd w:val="clear" w:color="auto" w:fill="auto"/>
            <w:vAlign w:val="center"/>
          </w:tcPr>
          <w:p w14:paraId="67D0D762" w14:textId="77777777" w:rsidR="003A7C1B" w:rsidRPr="000860EB" w:rsidRDefault="003A7C1B" w:rsidP="00250DAC">
            <w:pPr>
              <w:spacing w:after="0" w:line="240" w:lineRule="auto"/>
              <w:rPr>
                <w:rFonts w:ascii="Times New Roman" w:hAnsi="Times New Roman"/>
                <w:sz w:val="20"/>
                <w:szCs w:val="20"/>
              </w:rPr>
            </w:pPr>
            <w:r w:rsidRPr="000860EB">
              <w:rPr>
                <w:rFonts w:ascii="Times New Roman" w:hAnsi="Times New Roman"/>
                <w:sz w:val="20"/>
                <w:szCs w:val="20"/>
              </w:rPr>
              <w:t xml:space="preserve">Madhu </w:t>
            </w:r>
            <w:r w:rsidRPr="000860EB">
              <w:rPr>
                <w:rFonts w:ascii="Times New Roman" w:hAnsi="Times New Roman"/>
                <w:color w:val="000000"/>
                <w:sz w:val="20"/>
                <w:szCs w:val="20"/>
              </w:rPr>
              <w:t xml:space="preserve">Ramgopal </w:t>
            </w:r>
            <w:r w:rsidRPr="000860EB">
              <w:rPr>
                <w:rFonts w:ascii="Times New Roman" w:hAnsi="Times New Roman"/>
                <w:sz w:val="20"/>
                <w:szCs w:val="20"/>
              </w:rPr>
              <w:t>Maheshwari</w:t>
            </w:r>
          </w:p>
        </w:tc>
        <w:tc>
          <w:tcPr>
            <w:tcW w:w="1342" w:type="pct"/>
            <w:shd w:val="clear" w:color="auto" w:fill="auto"/>
            <w:vAlign w:val="center"/>
          </w:tcPr>
          <w:p w14:paraId="51E3AD0E" w14:textId="77777777" w:rsidR="003A7C1B" w:rsidRPr="000860EB" w:rsidRDefault="003A7C1B" w:rsidP="00250DAC">
            <w:pPr>
              <w:spacing w:after="0" w:line="240" w:lineRule="auto"/>
              <w:jc w:val="center"/>
              <w:rPr>
                <w:rFonts w:ascii="Times New Roman" w:hAnsi="Times New Roman"/>
                <w:sz w:val="20"/>
                <w:szCs w:val="20"/>
              </w:rPr>
            </w:pPr>
            <w:r w:rsidRPr="000860EB">
              <w:rPr>
                <w:rFonts w:ascii="Times New Roman" w:hAnsi="Times New Roman"/>
                <w:sz w:val="20"/>
                <w:szCs w:val="20"/>
              </w:rPr>
              <w:t>40,000</w:t>
            </w:r>
          </w:p>
        </w:tc>
      </w:tr>
      <w:tr w:rsidR="003A7C1B" w:rsidRPr="000860EB" w14:paraId="559C3BDC" w14:textId="77777777" w:rsidTr="00250DAC">
        <w:trPr>
          <w:trHeight w:val="20"/>
        </w:trPr>
        <w:tc>
          <w:tcPr>
            <w:tcW w:w="472" w:type="pct"/>
            <w:shd w:val="clear" w:color="auto" w:fill="auto"/>
          </w:tcPr>
          <w:p w14:paraId="20E8A806" w14:textId="77777777" w:rsidR="003A7C1B" w:rsidRPr="000860EB" w:rsidRDefault="003A7C1B" w:rsidP="00250DAC">
            <w:pPr>
              <w:tabs>
                <w:tab w:val="left" w:pos="5310"/>
              </w:tabs>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4.</w:t>
            </w:r>
          </w:p>
        </w:tc>
        <w:tc>
          <w:tcPr>
            <w:tcW w:w="3186" w:type="pct"/>
            <w:shd w:val="clear" w:color="auto" w:fill="auto"/>
            <w:vAlign w:val="center"/>
          </w:tcPr>
          <w:p w14:paraId="1882C121" w14:textId="77777777" w:rsidR="003A7C1B" w:rsidRPr="000860EB" w:rsidRDefault="003A7C1B" w:rsidP="00250DAC">
            <w:pPr>
              <w:spacing w:after="0" w:line="240" w:lineRule="auto"/>
              <w:rPr>
                <w:rFonts w:ascii="Times New Roman" w:hAnsi="Times New Roman"/>
                <w:sz w:val="20"/>
                <w:szCs w:val="20"/>
              </w:rPr>
            </w:pPr>
            <w:r w:rsidRPr="000860EB">
              <w:rPr>
                <w:rFonts w:ascii="Times New Roman" w:hAnsi="Times New Roman"/>
                <w:sz w:val="20"/>
                <w:szCs w:val="20"/>
              </w:rPr>
              <w:t>Amit J Shah</w:t>
            </w:r>
          </w:p>
        </w:tc>
        <w:tc>
          <w:tcPr>
            <w:tcW w:w="1342" w:type="pct"/>
            <w:shd w:val="clear" w:color="auto" w:fill="auto"/>
            <w:vAlign w:val="center"/>
          </w:tcPr>
          <w:p w14:paraId="6B37C562" w14:textId="77777777" w:rsidR="003A7C1B" w:rsidRPr="000860EB" w:rsidRDefault="003A7C1B" w:rsidP="00250DAC">
            <w:pPr>
              <w:spacing w:after="0" w:line="240" w:lineRule="auto"/>
              <w:jc w:val="center"/>
              <w:rPr>
                <w:rFonts w:ascii="Times New Roman" w:hAnsi="Times New Roman"/>
                <w:sz w:val="20"/>
                <w:szCs w:val="20"/>
              </w:rPr>
            </w:pPr>
            <w:r w:rsidRPr="000860EB">
              <w:rPr>
                <w:rFonts w:ascii="Times New Roman" w:hAnsi="Times New Roman"/>
                <w:sz w:val="20"/>
                <w:szCs w:val="20"/>
              </w:rPr>
              <w:t>20,000</w:t>
            </w:r>
          </w:p>
        </w:tc>
      </w:tr>
      <w:tr w:rsidR="003A7C1B" w:rsidRPr="000860EB" w14:paraId="018CE2BB" w14:textId="77777777" w:rsidTr="00250DAC">
        <w:trPr>
          <w:trHeight w:val="20"/>
        </w:trPr>
        <w:tc>
          <w:tcPr>
            <w:tcW w:w="472" w:type="pct"/>
            <w:shd w:val="clear" w:color="auto" w:fill="auto"/>
          </w:tcPr>
          <w:p w14:paraId="65B1391E" w14:textId="77777777" w:rsidR="003A7C1B" w:rsidRPr="000860EB" w:rsidRDefault="003A7C1B" w:rsidP="00250DAC">
            <w:pPr>
              <w:tabs>
                <w:tab w:val="left" w:pos="5310"/>
              </w:tabs>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5.</w:t>
            </w:r>
          </w:p>
        </w:tc>
        <w:tc>
          <w:tcPr>
            <w:tcW w:w="3186" w:type="pct"/>
            <w:shd w:val="clear" w:color="auto" w:fill="auto"/>
            <w:vAlign w:val="center"/>
          </w:tcPr>
          <w:p w14:paraId="5AE917B4" w14:textId="77777777" w:rsidR="003A7C1B" w:rsidRPr="000860EB" w:rsidRDefault="003A7C1B" w:rsidP="00250DAC">
            <w:pPr>
              <w:spacing w:after="0" w:line="240" w:lineRule="auto"/>
              <w:rPr>
                <w:rFonts w:ascii="Times New Roman" w:hAnsi="Times New Roman"/>
                <w:sz w:val="20"/>
                <w:szCs w:val="20"/>
              </w:rPr>
            </w:pPr>
            <w:r w:rsidRPr="000860EB">
              <w:rPr>
                <w:rFonts w:ascii="Times New Roman" w:hAnsi="Times New Roman"/>
                <w:sz w:val="20"/>
                <w:szCs w:val="20"/>
              </w:rPr>
              <w:t>Bhavini Dhaval Shah</w:t>
            </w:r>
          </w:p>
        </w:tc>
        <w:tc>
          <w:tcPr>
            <w:tcW w:w="1342" w:type="pct"/>
            <w:shd w:val="clear" w:color="auto" w:fill="auto"/>
            <w:vAlign w:val="center"/>
          </w:tcPr>
          <w:p w14:paraId="3B3F2C22" w14:textId="77777777" w:rsidR="003A7C1B" w:rsidRPr="000860EB" w:rsidRDefault="003A7C1B" w:rsidP="00250DAC">
            <w:pPr>
              <w:spacing w:after="0" w:line="240" w:lineRule="auto"/>
              <w:jc w:val="center"/>
              <w:rPr>
                <w:rFonts w:ascii="Times New Roman" w:hAnsi="Times New Roman"/>
                <w:sz w:val="20"/>
                <w:szCs w:val="20"/>
              </w:rPr>
            </w:pPr>
            <w:r w:rsidRPr="000860EB">
              <w:rPr>
                <w:rFonts w:ascii="Times New Roman" w:hAnsi="Times New Roman"/>
                <w:sz w:val="20"/>
                <w:szCs w:val="20"/>
              </w:rPr>
              <w:t>10,000</w:t>
            </w:r>
          </w:p>
        </w:tc>
      </w:tr>
      <w:tr w:rsidR="003A7C1B" w:rsidRPr="000860EB" w14:paraId="1A71006F" w14:textId="77777777" w:rsidTr="00250DAC">
        <w:trPr>
          <w:trHeight w:val="20"/>
        </w:trPr>
        <w:tc>
          <w:tcPr>
            <w:tcW w:w="472" w:type="pct"/>
            <w:shd w:val="clear" w:color="auto" w:fill="auto"/>
          </w:tcPr>
          <w:p w14:paraId="14E2D343" w14:textId="77777777" w:rsidR="003A7C1B" w:rsidRPr="000860EB" w:rsidRDefault="003A7C1B" w:rsidP="00250DAC">
            <w:pPr>
              <w:tabs>
                <w:tab w:val="left" w:pos="5310"/>
              </w:tabs>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6.</w:t>
            </w:r>
          </w:p>
        </w:tc>
        <w:tc>
          <w:tcPr>
            <w:tcW w:w="3186" w:type="pct"/>
            <w:shd w:val="clear" w:color="auto" w:fill="auto"/>
            <w:vAlign w:val="center"/>
          </w:tcPr>
          <w:p w14:paraId="5CCF7513" w14:textId="77777777" w:rsidR="003A7C1B" w:rsidRPr="000860EB" w:rsidRDefault="003A7C1B" w:rsidP="00250DAC">
            <w:pPr>
              <w:spacing w:after="0" w:line="240" w:lineRule="auto"/>
              <w:rPr>
                <w:rFonts w:ascii="Times New Roman" w:hAnsi="Times New Roman"/>
                <w:sz w:val="20"/>
                <w:szCs w:val="20"/>
              </w:rPr>
            </w:pPr>
            <w:r w:rsidRPr="000860EB">
              <w:rPr>
                <w:rFonts w:ascii="Times New Roman" w:hAnsi="Times New Roman"/>
                <w:sz w:val="20"/>
                <w:szCs w:val="20"/>
              </w:rPr>
              <w:t>Jayaben J Shah</w:t>
            </w:r>
          </w:p>
        </w:tc>
        <w:tc>
          <w:tcPr>
            <w:tcW w:w="1342" w:type="pct"/>
            <w:shd w:val="clear" w:color="auto" w:fill="auto"/>
            <w:vAlign w:val="center"/>
          </w:tcPr>
          <w:p w14:paraId="1DCB470A" w14:textId="77777777" w:rsidR="003A7C1B" w:rsidRPr="000860EB" w:rsidRDefault="003A7C1B" w:rsidP="00250DAC">
            <w:pPr>
              <w:spacing w:after="0" w:line="240" w:lineRule="auto"/>
              <w:jc w:val="center"/>
              <w:rPr>
                <w:rFonts w:ascii="Times New Roman" w:hAnsi="Times New Roman"/>
                <w:sz w:val="20"/>
                <w:szCs w:val="20"/>
              </w:rPr>
            </w:pPr>
            <w:r w:rsidRPr="000860EB">
              <w:rPr>
                <w:rFonts w:ascii="Times New Roman" w:hAnsi="Times New Roman"/>
                <w:sz w:val="20"/>
                <w:szCs w:val="20"/>
              </w:rPr>
              <w:t>10,000</w:t>
            </w:r>
          </w:p>
        </w:tc>
      </w:tr>
      <w:tr w:rsidR="003A7C1B" w:rsidRPr="000860EB" w14:paraId="6BCB1BFF" w14:textId="77777777" w:rsidTr="00250DAC">
        <w:trPr>
          <w:trHeight w:val="20"/>
        </w:trPr>
        <w:tc>
          <w:tcPr>
            <w:tcW w:w="472" w:type="pct"/>
            <w:shd w:val="clear" w:color="auto" w:fill="auto"/>
          </w:tcPr>
          <w:p w14:paraId="7C2A65D5" w14:textId="77777777" w:rsidR="003A7C1B" w:rsidRPr="000860EB" w:rsidRDefault="003A7C1B" w:rsidP="00250DAC">
            <w:pPr>
              <w:tabs>
                <w:tab w:val="left" w:pos="5310"/>
              </w:tabs>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7.</w:t>
            </w:r>
          </w:p>
        </w:tc>
        <w:tc>
          <w:tcPr>
            <w:tcW w:w="3186" w:type="pct"/>
            <w:shd w:val="clear" w:color="auto" w:fill="auto"/>
            <w:vAlign w:val="center"/>
          </w:tcPr>
          <w:p w14:paraId="01918F79" w14:textId="77777777" w:rsidR="003A7C1B" w:rsidRPr="000860EB" w:rsidRDefault="003A7C1B" w:rsidP="00250DAC">
            <w:pPr>
              <w:spacing w:after="0" w:line="240" w:lineRule="auto"/>
              <w:rPr>
                <w:rFonts w:ascii="Times New Roman" w:hAnsi="Times New Roman"/>
                <w:sz w:val="20"/>
                <w:szCs w:val="20"/>
              </w:rPr>
            </w:pPr>
            <w:r w:rsidRPr="000860EB">
              <w:rPr>
                <w:rFonts w:ascii="Times New Roman" w:hAnsi="Times New Roman"/>
                <w:sz w:val="20"/>
                <w:szCs w:val="20"/>
              </w:rPr>
              <w:t>Jinesh F Shah</w:t>
            </w:r>
          </w:p>
        </w:tc>
        <w:tc>
          <w:tcPr>
            <w:tcW w:w="1342" w:type="pct"/>
            <w:shd w:val="clear" w:color="auto" w:fill="auto"/>
            <w:vAlign w:val="center"/>
          </w:tcPr>
          <w:p w14:paraId="4839C86F" w14:textId="77777777" w:rsidR="003A7C1B" w:rsidRPr="000860EB" w:rsidRDefault="003A7C1B" w:rsidP="00250DAC">
            <w:pPr>
              <w:spacing w:after="0" w:line="240" w:lineRule="auto"/>
              <w:jc w:val="center"/>
              <w:rPr>
                <w:rFonts w:ascii="Times New Roman" w:hAnsi="Times New Roman"/>
                <w:sz w:val="20"/>
                <w:szCs w:val="20"/>
              </w:rPr>
            </w:pPr>
            <w:r w:rsidRPr="000860EB">
              <w:rPr>
                <w:rFonts w:ascii="Times New Roman" w:hAnsi="Times New Roman"/>
                <w:sz w:val="20"/>
                <w:szCs w:val="20"/>
              </w:rPr>
              <w:t>10,000</w:t>
            </w:r>
          </w:p>
        </w:tc>
      </w:tr>
      <w:tr w:rsidR="003A7C1B" w:rsidRPr="000860EB" w14:paraId="69A6CA92" w14:textId="77777777" w:rsidTr="00250DAC">
        <w:trPr>
          <w:trHeight w:val="20"/>
        </w:trPr>
        <w:tc>
          <w:tcPr>
            <w:tcW w:w="472" w:type="pct"/>
            <w:shd w:val="clear" w:color="auto" w:fill="auto"/>
          </w:tcPr>
          <w:p w14:paraId="69FDEA7D" w14:textId="77777777" w:rsidR="003A7C1B" w:rsidRPr="000860EB" w:rsidRDefault="003A7C1B" w:rsidP="00250DAC">
            <w:pPr>
              <w:tabs>
                <w:tab w:val="left" w:pos="5310"/>
              </w:tabs>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8.</w:t>
            </w:r>
          </w:p>
        </w:tc>
        <w:tc>
          <w:tcPr>
            <w:tcW w:w="3186" w:type="pct"/>
            <w:shd w:val="clear" w:color="auto" w:fill="auto"/>
            <w:vAlign w:val="center"/>
          </w:tcPr>
          <w:p w14:paraId="4D19AA21" w14:textId="77777777" w:rsidR="003A7C1B" w:rsidRPr="000860EB" w:rsidRDefault="003A7C1B" w:rsidP="00250DAC">
            <w:pPr>
              <w:spacing w:after="0" w:line="240" w:lineRule="auto"/>
              <w:rPr>
                <w:rFonts w:ascii="Times New Roman" w:hAnsi="Times New Roman"/>
                <w:sz w:val="20"/>
                <w:szCs w:val="20"/>
              </w:rPr>
            </w:pPr>
            <w:r w:rsidRPr="000860EB">
              <w:rPr>
                <w:rFonts w:ascii="Times New Roman" w:hAnsi="Times New Roman"/>
                <w:sz w:val="20"/>
                <w:szCs w:val="20"/>
              </w:rPr>
              <w:t>Dhaval Jinesh Shah</w:t>
            </w:r>
          </w:p>
        </w:tc>
        <w:tc>
          <w:tcPr>
            <w:tcW w:w="1342" w:type="pct"/>
            <w:shd w:val="clear" w:color="auto" w:fill="auto"/>
            <w:vAlign w:val="center"/>
          </w:tcPr>
          <w:p w14:paraId="6CA0A354" w14:textId="77777777" w:rsidR="003A7C1B" w:rsidRPr="000860EB" w:rsidRDefault="003A7C1B" w:rsidP="00250DAC">
            <w:pPr>
              <w:spacing w:after="0" w:line="240" w:lineRule="auto"/>
              <w:jc w:val="center"/>
              <w:rPr>
                <w:rFonts w:ascii="Times New Roman" w:hAnsi="Times New Roman"/>
                <w:sz w:val="20"/>
                <w:szCs w:val="20"/>
              </w:rPr>
            </w:pPr>
            <w:r w:rsidRPr="000860EB">
              <w:rPr>
                <w:rFonts w:ascii="Times New Roman" w:hAnsi="Times New Roman"/>
                <w:sz w:val="20"/>
                <w:szCs w:val="20"/>
              </w:rPr>
              <w:t>7,000</w:t>
            </w:r>
          </w:p>
        </w:tc>
      </w:tr>
      <w:tr w:rsidR="003A7C1B" w:rsidRPr="000860EB" w14:paraId="3E3044B2" w14:textId="77777777" w:rsidTr="00250DAC">
        <w:trPr>
          <w:trHeight w:val="20"/>
        </w:trPr>
        <w:tc>
          <w:tcPr>
            <w:tcW w:w="472" w:type="pct"/>
            <w:shd w:val="clear" w:color="auto" w:fill="auto"/>
          </w:tcPr>
          <w:p w14:paraId="3EB62306" w14:textId="77777777" w:rsidR="003A7C1B" w:rsidRPr="000860EB" w:rsidRDefault="003A7C1B" w:rsidP="00250DAC">
            <w:pPr>
              <w:tabs>
                <w:tab w:val="left" w:pos="5310"/>
              </w:tabs>
              <w:spacing w:after="0" w:line="240" w:lineRule="auto"/>
              <w:jc w:val="center"/>
              <w:rPr>
                <w:rFonts w:ascii="Times New Roman" w:eastAsia="Calibri" w:hAnsi="Times New Roman"/>
                <w:sz w:val="20"/>
                <w:szCs w:val="20"/>
              </w:rPr>
            </w:pPr>
          </w:p>
        </w:tc>
        <w:tc>
          <w:tcPr>
            <w:tcW w:w="3186" w:type="pct"/>
            <w:shd w:val="clear" w:color="auto" w:fill="auto"/>
          </w:tcPr>
          <w:p w14:paraId="6C6A6ACE" w14:textId="77777777" w:rsidR="003A7C1B" w:rsidRPr="000860EB" w:rsidRDefault="003A7C1B" w:rsidP="00250DAC">
            <w:pPr>
              <w:spacing w:after="0" w:line="240" w:lineRule="auto"/>
              <w:jc w:val="center"/>
              <w:rPr>
                <w:rFonts w:ascii="Times New Roman" w:hAnsi="Times New Roman"/>
                <w:sz w:val="20"/>
                <w:szCs w:val="20"/>
              </w:rPr>
            </w:pPr>
            <w:r w:rsidRPr="000860EB">
              <w:rPr>
                <w:rFonts w:ascii="Times New Roman" w:eastAsia="Calibri" w:hAnsi="Times New Roman"/>
                <w:b/>
                <w:sz w:val="20"/>
                <w:szCs w:val="20"/>
              </w:rPr>
              <w:t>Total</w:t>
            </w:r>
          </w:p>
        </w:tc>
        <w:tc>
          <w:tcPr>
            <w:tcW w:w="1342" w:type="pct"/>
            <w:shd w:val="clear" w:color="auto" w:fill="auto"/>
          </w:tcPr>
          <w:p w14:paraId="49904191" w14:textId="77777777" w:rsidR="003A7C1B" w:rsidRPr="000860EB" w:rsidRDefault="003A7C1B" w:rsidP="00250DAC">
            <w:pPr>
              <w:tabs>
                <w:tab w:val="left" w:pos="5310"/>
              </w:tabs>
              <w:spacing w:after="0" w:line="240" w:lineRule="auto"/>
              <w:jc w:val="center"/>
              <w:rPr>
                <w:rFonts w:ascii="Times New Roman" w:eastAsia="Calibri" w:hAnsi="Times New Roman"/>
                <w:b/>
                <w:sz w:val="20"/>
                <w:szCs w:val="20"/>
              </w:rPr>
            </w:pPr>
            <w:r w:rsidRPr="000860EB">
              <w:rPr>
                <w:rFonts w:ascii="Times New Roman" w:eastAsia="Calibri" w:hAnsi="Times New Roman"/>
                <w:b/>
                <w:sz w:val="20"/>
                <w:szCs w:val="20"/>
              </w:rPr>
              <w:t>9,90,000</w:t>
            </w:r>
          </w:p>
        </w:tc>
      </w:tr>
    </w:tbl>
    <w:p w14:paraId="5CC84584" w14:textId="77777777" w:rsidR="003A7C1B" w:rsidRPr="000860EB" w:rsidRDefault="003A7C1B" w:rsidP="003A7C1B">
      <w:pPr>
        <w:spacing w:after="0" w:line="240" w:lineRule="auto"/>
        <w:jc w:val="both"/>
        <w:rPr>
          <w:rFonts w:ascii="Times New Roman" w:hAnsi="Times New Roman"/>
          <w:i/>
          <w:color w:val="000000"/>
          <w:sz w:val="20"/>
          <w:szCs w:val="20"/>
        </w:rPr>
      </w:pPr>
    </w:p>
    <w:p w14:paraId="0A1FC587" w14:textId="77777777" w:rsidR="003A7C1B" w:rsidRDefault="003A7C1B" w:rsidP="00F038BD">
      <w:pPr>
        <w:numPr>
          <w:ilvl w:val="0"/>
          <w:numId w:val="154"/>
        </w:numPr>
        <w:spacing w:after="0" w:line="240" w:lineRule="auto"/>
        <w:ind w:left="360" w:hanging="360"/>
        <w:jc w:val="both"/>
        <w:rPr>
          <w:rFonts w:ascii="Times New Roman" w:hAnsi="Times New Roman"/>
          <w:i/>
          <w:color w:val="000000"/>
          <w:sz w:val="20"/>
          <w:szCs w:val="20"/>
        </w:rPr>
      </w:pPr>
      <w:r w:rsidRPr="000860EB">
        <w:rPr>
          <w:rFonts w:ascii="Times New Roman" w:hAnsi="Times New Roman"/>
          <w:i/>
          <w:color w:val="000000"/>
          <w:sz w:val="20"/>
          <w:szCs w:val="20"/>
        </w:rPr>
        <w:t>Further issue of 5,00,000 Equity Shares of Face Value of ₹ 10/- each as per details given below:</w:t>
      </w:r>
    </w:p>
    <w:p w14:paraId="7FE98715" w14:textId="77777777" w:rsidR="003A7C1B" w:rsidRPr="000860EB" w:rsidRDefault="003A7C1B" w:rsidP="003A7C1B">
      <w:pPr>
        <w:spacing w:after="0" w:line="240" w:lineRule="auto"/>
        <w:ind w:left="360"/>
        <w:jc w:val="both"/>
        <w:rPr>
          <w:rFonts w:ascii="Times New Roman" w:hAnsi="Times New Roman"/>
          <w:i/>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7"/>
        <w:gridCol w:w="6663"/>
        <w:gridCol w:w="2807"/>
      </w:tblGrid>
      <w:tr w:rsidR="003A7C1B" w:rsidRPr="000860EB" w14:paraId="371F4F71" w14:textId="77777777" w:rsidTr="00250DAC">
        <w:trPr>
          <w:trHeight w:val="20"/>
        </w:trPr>
        <w:tc>
          <w:tcPr>
            <w:tcW w:w="472" w:type="pct"/>
            <w:shd w:val="clear" w:color="auto" w:fill="D0CECE" w:themeFill="background2" w:themeFillShade="E6"/>
          </w:tcPr>
          <w:p w14:paraId="3CF035ED" w14:textId="77777777" w:rsidR="003A7C1B" w:rsidRPr="000860EB" w:rsidRDefault="003A7C1B" w:rsidP="00250DAC">
            <w:pPr>
              <w:suppressAutoHyphens/>
              <w:autoSpaceDE w:val="0"/>
              <w:autoSpaceDN w:val="0"/>
              <w:adjustRightInd w:val="0"/>
              <w:spacing w:after="0" w:line="240" w:lineRule="auto"/>
              <w:jc w:val="center"/>
              <w:textAlignment w:val="center"/>
              <w:rPr>
                <w:rFonts w:ascii="Times New Roman" w:eastAsia="Calibri" w:hAnsi="Times New Roman"/>
                <w:b/>
                <w:color w:val="000000"/>
                <w:sz w:val="20"/>
                <w:szCs w:val="20"/>
              </w:rPr>
            </w:pPr>
            <w:r w:rsidRPr="000860EB">
              <w:rPr>
                <w:rFonts w:ascii="Times New Roman" w:eastAsia="Calibri" w:hAnsi="Times New Roman"/>
                <w:b/>
                <w:color w:val="000000"/>
                <w:sz w:val="20"/>
                <w:szCs w:val="20"/>
              </w:rPr>
              <w:t>Sr. No.</w:t>
            </w:r>
          </w:p>
        </w:tc>
        <w:tc>
          <w:tcPr>
            <w:tcW w:w="3186" w:type="pct"/>
            <w:shd w:val="clear" w:color="auto" w:fill="D0CECE" w:themeFill="background2" w:themeFillShade="E6"/>
          </w:tcPr>
          <w:p w14:paraId="6651A454" w14:textId="77777777" w:rsidR="003A7C1B" w:rsidRPr="000860EB" w:rsidRDefault="003A7C1B" w:rsidP="00250DAC">
            <w:pPr>
              <w:suppressAutoHyphens/>
              <w:autoSpaceDE w:val="0"/>
              <w:autoSpaceDN w:val="0"/>
              <w:adjustRightInd w:val="0"/>
              <w:spacing w:after="0" w:line="240" w:lineRule="auto"/>
              <w:textAlignment w:val="center"/>
              <w:rPr>
                <w:rFonts w:ascii="Times New Roman" w:eastAsia="Calibri" w:hAnsi="Times New Roman"/>
                <w:b/>
                <w:color w:val="000000"/>
                <w:sz w:val="20"/>
                <w:szCs w:val="20"/>
              </w:rPr>
            </w:pPr>
            <w:r w:rsidRPr="000860EB">
              <w:rPr>
                <w:rFonts w:ascii="Times New Roman" w:eastAsia="Calibri" w:hAnsi="Times New Roman"/>
                <w:b/>
                <w:color w:val="000000"/>
                <w:sz w:val="20"/>
                <w:szCs w:val="20"/>
              </w:rPr>
              <w:t>Name of Allottees</w:t>
            </w:r>
          </w:p>
        </w:tc>
        <w:tc>
          <w:tcPr>
            <w:tcW w:w="1342" w:type="pct"/>
            <w:shd w:val="clear" w:color="auto" w:fill="D0CECE" w:themeFill="background2" w:themeFillShade="E6"/>
          </w:tcPr>
          <w:p w14:paraId="651A258C" w14:textId="77777777" w:rsidR="003A7C1B" w:rsidRPr="000860EB" w:rsidRDefault="003A7C1B" w:rsidP="00250DAC">
            <w:pPr>
              <w:suppressAutoHyphens/>
              <w:autoSpaceDE w:val="0"/>
              <w:autoSpaceDN w:val="0"/>
              <w:adjustRightInd w:val="0"/>
              <w:spacing w:after="0" w:line="240" w:lineRule="auto"/>
              <w:jc w:val="center"/>
              <w:textAlignment w:val="center"/>
              <w:rPr>
                <w:rFonts w:ascii="Times New Roman" w:eastAsia="Calibri" w:hAnsi="Times New Roman"/>
                <w:b/>
                <w:color w:val="000000"/>
                <w:sz w:val="20"/>
                <w:szCs w:val="20"/>
              </w:rPr>
            </w:pPr>
            <w:r w:rsidRPr="000860EB">
              <w:rPr>
                <w:rFonts w:ascii="Times New Roman" w:eastAsia="Calibri" w:hAnsi="Times New Roman"/>
                <w:b/>
                <w:color w:val="000000"/>
                <w:sz w:val="20"/>
                <w:szCs w:val="20"/>
              </w:rPr>
              <w:t>Number of Shares Allotted</w:t>
            </w:r>
          </w:p>
        </w:tc>
      </w:tr>
      <w:tr w:rsidR="003A7C1B" w:rsidRPr="000860EB" w14:paraId="6B7498CD" w14:textId="77777777" w:rsidTr="00250DAC">
        <w:trPr>
          <w:trHeight w:val="20"/>
        </w:trPr>
        <w:tc>
          <w:tcPr>
            <w:tcW w:w="472" w:type="pct"/>
            <w:shd w:val="clear" w:color="auto" w:fill="auto"/>
          </w:tcPr>
          <w:p w14:paraId="473764E3" w14:textId="77777777" w:rsidR="003A7C1B" w:rsidRPr="000860EB" w:rsidRDefault="003A7C1B" w:rsidP="00250DAC">
            <w:pPr>
              <w:tabs>
                <w:tab w:val="left" w:pos="5310"/>
              </w:tabs>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1.</w:t>
            </w:r>
          </w:p>
        </w:tc>
        <w:tc>
          <w:tcPr>
            <w:tcW w:w="3186" w:type="pct"/>
            <w:shd w:val="clear" w:color="auto" w:fill="auto"/>
            <w:vAlign w:val="center"/>
          </w:tcPr>
          <w:p w14:paraId="33263334" w14:textId="77777777" w:rsidR="003A7C1B" w:rsidRPr="000860EB" w:rsidRDefault="003A7C1B" w:rsidP="00250DAC">
            <w:pPr>
              <w:spacing w:after="0" w:line="240" w:lineRule="auto"/>
              <w:jc w:val="both"/>
              <w:rPr>
                <w:rFonts w:ascii="Times New Roman" w:eastAsia="Calibri" w:hAnsi="Times New Roman"/>
                <w:color w:val="000000"/>
                <w:sz w:val="20"/>
                <w:szCs w:val="20"/>
              </w:rPr>
            </w:pPr>
            <w:r w:rsidRPr="000860EB">
              <w:rPr>
                <w:rFonts w:ascii="Times New Roman" w:hAnsi="Times New Roman"/>
                <w:sz w:val="20"/>
                <w:szCs w:val="20"/>
              </w:rPr>
              <w:t>Ramgopal Ochhavlal Maheswari</w:t>
            </w:r>
          </w:p>
        </w:tc>
        <w:tc>
          <w:tcPr>
            <w:tcW w:w="1342" w:type="pct"/>
            <w:shd w:val="clear" w:color="auto" w:fill="auto"/>
          </w:tcPr>
          <w:p w14:paraId="5B872A74" w14:textId="77777777" w:rsidR="003A7C1B" w:rsidRPr="000860EB" w:rsidRDefault="003A7C1B" w:rsidP="00250DAC">
            <w:pPr>
              <w:tabs>
                <w:tab w:val="left" w:pos="5310"/>
              </w:tabs>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5,00,000</w:t>
            </w:r>
          </w:p>
        </w:tc>
      </w:tr>
      <w:tr w:rsidR="003A7C1B" w:rsidRPr="000860EB" w14:paraId="42EF3396" w14:textId="77777777" w:rsidTr="00250DAC">
        <w:trPr>
          <w:trHeight w:val="20"/>
        </w:trPr>
        <w:tc>
          <w:tcPr>
            <w:tcW w:w="472" w:type="pct"/>
            <w:shd w:val="clear" w:color="auto" w:fill="auto"/>
          </w:tcPr>
          <w:p w14:paraId="7316E98E" w14:textId="77777777" w:rsidR="003A7C1B" w:rsidRPr="000860EB" w:rsidRDefault="003A7C1B" w:rsidP="00250DAC">
            <w:pPr>
              <w:tabs>
                <w:tab w:val="left" w:pos="5310"/>
              </w:tabs>
              <w:spacing w:after="0" w:line="240" w:lineRule="auto"/>
              <w:jc w:val="center"/>
              <w:rPr>
                <w:rFonts w:ascii="Times New Roman" w:eastAsia="Calibri" w:hAnsi="Times New Roman"/>
                <w:sz w:val="20"/>
                <w:szCs w:val="20"/>
              </w:rPr>
            </w:pPr>
          </w:p>
        </w:tc>
        <w:tc>
          <w:tcPr>
            <w:tcW w:w="3186" w:type="pct"/>
            <w:shd w:val="clear" w:color="auto" w:fill="auto"/>
          </w:tcPr>
          <w:p w14:paraId="510ADACE" w14:textId="77777777" w:rsidR="003A7C1B" w:rsidRPr="000860EB" w:rsidRDefault="003A7C1B" w:rsidP="00250DAC">
            <w:pPr>
              <w:spacing w:after="0" w:line="240" w:lineRule="auto"/>
              <w:jc w:val="center"/>
              <w:rPr>
                <w:rFonts w:ascii="Times New Roman" w:hAnsi="Times New Roman"/>
                <w:b/>
                <w:sz w:val="20"/>
                <w:szCs w:val="20"/>
              </w:rPr>
            </w:pPr>
            <w:r w:rsidRPr="000860EB">
              <w:rPr>
                <w:rFonts w:ascii="Times New Roman" w:hAnsi="Times New Roman"/>
                <w:b/>
                <w:sz w:val="20"/>
                <w:szCs w:val="20"/>
              </w:rPr>
              <w:t>Total</w:t>
            </w:r>
          </w:p>
        </w:tc>
        <w:tc>
          <w:tcPr>
            <w:tcW w:w="1342" w:type="pct"/>
            <w:shd w:val="clear" w:color="auto" w:fill="auto"/>
          </w:tcPr>
          <w:p w14:paraId="2878F22B" w14:textId="77777777" w:rsidR="003A7C1B" w:rsidRPr="000860EB" w:rsidRDefault="003A7C1B" w:rsidP="00250DAC">
            <w:pPr>
              <w:tabs>
                <w:tab w:val="left" w:pos="5310"/>
              </w:tabs>
              <w:spacing w:after="0" w:line="240" w:lineRule="auto"/>
              <w:jc w:val="center"/>
              <w:rPr>
                <w:rFonts w:ascii="Times New Roman" w:eastAsia="Calibri" w:hAnsi="Times New Roman"/>
                <w:b/>
                <w:sz w:val="20"/>
                <w:szCs w:val="20"/>
              </w:rPr>
            </w:pPr>
            <w:r w:rsidRPr="000860EB">
              <w:rPr>
                <w:rFonts w:ascii="Times New Roman" w:eastAsia="Calibri" w:hAnsi="Times New Roman"/>
                <w:b/>
                <w:sz w:val="20"/>
                <w:szCs w:val="20"/>
              </w:rPr>
              <w:t>5,00,000</w:t>
            </w:r>
          </w:p>
        </w:tc>
      </w:tr>
    </w:tbl>
    <w:p w14:paraId="6D9AE4C5" w14:textId="77777777" w:rsidR="003A7C1B" w:rsidRPr="000860EB" w:rsidRDefault="003A7C1B" w:rsidP="003A7C1B">
      <w:pPr>
        <w:spacing w:after="0" w:line="240" w:lineRule="auto"/>
        <w:jc w:val="both"/>
        <w:rPr>
          <w:rFonts w:ascii="Times New Roman" w:hAnsi="Times New Roman"/>
          <w:i/>
          <w:color w:val="000000"/>
          <w:sz w:val="20"/>
          <w:szCs w:val="20"/>
        </w:rPr>
      </w:pPr>
    </w:p>
    <w:p w14:paraId="6A474D41" w14:textId="77777777" w:rsidR="003A7C1B" w:rsidRDefault="003A7C1B" w:rsidP="00F038BD">
      <w:pPr>
        <w:numPr>
          <w:ilvl w:val="0"/>
          <w:numId w:val="154"/>
        </w:numPr>
        <w:spacing w:after="0" w:line="240" w:lineRule="auto"/>
        <w:ind w:left="360" w:hanging="360"/>
        <w:jc w:val="both"/>
        <w:rPr>
          <w:rFonts w:ascii="Times New Roman" w:hAnsi="Times New Roman"/>
          <w:i/>
          <w:color w:val="000000"/>
          <w:sz w:val="20"/>
          <w:szCs w:val="20"/>
        </w:rPr>
      </w:pPr>
      <w:r w:rsidRPr="000860EB">
        <w:rPr>
          <w:rFonts w:ascii="Times New Roman" w:hAnsi="Times New Roman"/>
          <w:i/>
          <w:color w:val="000000"/>
          <w:sz w:val="20"/>
          <w:szCs w:val="20"/>
        </w:rPr>
        <w:t>Issue of 1,23,05,500 Equity Shares of Face Value of ₹ 10/- each by way of Conversion of Unsecured Loan to Equity as per details given below:</w:t>
      </w:r>
    </w:p>
    <w:p w14:paraId="4C6BA1D6" w14:textId="77777777" w:rsidR="003A7C1B" w:rsidRPr="000860EB" w:rsidRDefault="003A7C1B" w:rsidP="003A7C1B">
      <w:pPr>
        <w:spacing w:after="0" w:line="240" w:lineRule="auto"/>
        <w:ind w:left="360"/>
        <w:jc w:val="both"/>
        <w:rPr>
          <w:rFonts w:ascii="Times New Roman" w:hAnsi="Times New Roman"/>
          <w:i/>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7"/>
        <w:gridCol w:w="6663"/>
        <w:gridCol w:w="2807"/>
      </w:tblGrid>
      <w:tr w:rsidR="003A7C1B" w:rsidRPr="000860EB" w14:paraId="75871701" w14:textId="77777777" w:rsidTr="00250DAC">
        <w:trPr>
          <w:trHeight w:val="20"/>
        </w:trPr>
        <w:tc>
          <w:tcPr>
            <w:tcW w:w="472" w:type="pct"/>
            <w:shd w:val="clear" w:color="auto" w:fill="D0CECE" w:themeFill="background2" w:themeFillShade="E6"/>
          </w:tcPr>
          <w:p w14:paraId="582C65CF" w14:textId="77777777" w:rsidR="003A7C1B" w:rsidRPr="000860EB" w:rsidRDefault="003A7C1B" w:rsidP="00250DAC">
            <w:pPr>
              <w:suppressAutoHyphens/>
              <w:autoSpaceDE w:val="0"/>
              <w:autoSpaceDN w:val="0"/>
              <w:adjustRightInd w:val="0"/>
              <w:spacing w:after="0" w:line="240" w:lineRule="auto"/>
              <w:jc w:val="center"/>
              <w:textAlignment w:val="center"/>
              <w:rPr>
                <w:rFonts w:ascii="Times New Roman" w:eastAsia="Calibri" w:hAnsi="Times New Roman"/>
                <w:b/>
                <w:color w:val="000000"/>
                <w:sz w:val="20"/>
                <w:szCs w:val="20"/>
              </w:rPr>
            </w:pPr>
            <w:r w:rsidRPr="000860EB">
              <w:rPr>
                <w:rFonts w:ascii="Times New Roman" w:eastAsia="Calibri" w:hAnsi="Times New Roman"/>
                <w:b/>
                <w:color w:val="000000"/>
                <w:sz w:val="20"/>
                <w:szCs w:val="20"/>
              </w:rPr>
              <w:t>Sr. No.</w:t>
            </w:r>
          </w:p>
        </w:tc>
        <w:tc>
          <w:tcPr>
            <w:tcW w:w="3186" w:type="pct"/>
            <w:shd w:val="clear" w:color="auto" w:fill="D0CECE" w:themeFill="background2" w:themeFillShade="E6"/>
          </w:tcPr>
          <w:p w14:paraId="3A4A9296" w14:textId="77777777" w:rsidR="003A7C1B" w:rsidRPr="000860EB" w:rsidRDefault="003A7C1B" w:rsidP="00250DAC">
            <w:pPr>
              <w:suppressAutoHyphens/>
              <w:autoSpaceDE w:val="0"/>
              <w:autoSpaceDN w:val="0"/>
              <w:adjustRightInd w:val="0"/>
              <w:spacing w:after="0" w:line="240" w:lineRule="auto"/>
              <w:textAlignment w:val="center"/>
              <w:rPr>
                <w:rFonts w:ascii="Times New Roman" w:eastAsia="Calibri" w:hAnsi="Times New Roman"/>
                <w:b/>
                <w:color w:val="000000"/>
                <w:sz w:val="20"/>
                <w:szCs w:val="20"/>
              </w:rPr>
            </w:pPr>
            <w:r w:rsidRPr="000860EB">
              <w:rPr>
                <w:rFonts w:ascii="Times New Roman" w:eastAsia="Calibri" w:hAnsi="Times New Roman"/>
                <w:b/>
                <w:color w:val="000000"/>
                <w:sz w:val="20"/>
                <w:szCs w:val="20"/>
              </w:rPr>
              <w:t>Name of Allottees</w:t>
            </w:r>
          </w:p>
        </w:tc>
        <w:tc>
          <w:tcPr>
            <w:tcW w:w="1342" w:type="pct"/>
            <w:shd w:val="clear" w:color="auto" w:fill="D0CECE" w:themeFill="background2" w:themeFillShade="E6"/>
          </w:tcPr>
          <w:p w14:paraId="59E65CE8" w14:textId="77777777" w:rsidR="003A7C1B" w:rsidRPr="000860EB" w:rsidRDefault="003A7C1B" w:rsidP="00250DAC">
            <w:pPr>
              <w:suppressAutoHyphens/>
              <w:autoSpaceDE w:val="0"/>
              <w:autoSpaceDN w:val="0"/>
              <w:adjustRightInd w:val="0"/>
              <w:spacing w:after="0" w:line="240" w:lineRule="auto"/>
              <w:jc w:val="center"/>
              <w:textAlignment w:val="center"/>
              <w:rPr>
                <w:rFonts w:ascii="Times New Roman" w:eastAsia="Calibri" w:hAnsi="Times New Roman"/>
                <w:b/>
                <w:color w:val="000000"/>
                <w:sz w:val="20"/>
                <w:szCs w:val="20"/>
              </w:rPr>
            </w:pPr>
            <w:r w:rsidRPr="000860EB">
              <w:rPr>
                <w:rFonts w:ascii="Times New Roman" w:eastAsia="Calibri" w:hAnsi="Times New Roman"/>
                <w:b/>
                <w:color w:val="000000"/>
                <w:sz w:val="20"/>
                <w:szCs w:val="20"/>
              </w:rPr>
              <w:t>Number of Shares Allotted</w:t>
            </w:r>
          </w:p>
        </w:tc>
      </w:tr>
      <w:tr w:rsidR="003A7C1B" w:rsidRPr="000860EB" w14:paraId="74A39241" w14:textId="77777777" w:rsidTr="00250DAC">
        <w:trPr>
          <w:trHeight w:val="20"/>
        </w:trPr>
        <w:tc>
          <w:tcPr>
            <w:tcW w:w="472" w:type="pct"/>
            <w:shd w:val="clear" w:color="auto" w:fill="auto"/>
          </w:tcPr>
          <w:p w14:paraId="5A8A82B0" w14:textId="77777777" w:rsidR="003A7C1B" w:rsidRPr="000860EB" w:rsidRDefault="003A7C1B" w:rsidP="00250DAC">
            <w:pPr>
              <w:tabs>
                <w:tab w:val="left" w:pos="5310"/>
              </w:tabs>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1.</w:t>
            </w:r>
          </w:p>
        </w:tc>
        <w:tc>
          <w:tcPr>
            <w:tcW w:w="3186" w:type="pct"/>
            <w:shd w:val="clear" w:color="auto" w:fill="auto"/>
            <w:vAlign w:val="center"/>
          </w:tcPr>
          <w:p w14:paraId="0EC48790" w14:textId="77777777" w:rsidR="003A7C1B" w:rsidRPr="000860EB" w:rsidRDefault="003A7C1B" w:rsidP="00250DAC">
            <w:pPr>
              <w:spacing w:after="0" w:line="240" w:lineRule="auto"/>
              <w:jc w:val="both"/>
              <w:rPr>
                <w:rFonts w:ascii="Times New Roman" w:eastAsia="Calibri" w:hAnsi="Times New Roman"/>
                <w:color w:val="000000"/>
                <w:sz w:val="20"/>
                <w:szCs w:val="20"/>
              </w:rPr>
            </w:pPr>
            <w:r w:rsidRPr="0094678C">
              <w:rPr>
                <w:rFonts w:ascii="Times New Roman" w:hAnsi="Times New Roman"/>
                <w:sz w:val="20"/>
                <w:szCs w:val="20"/>
              </w:rPr>
              <w:t xml:space="preserve">Dwarkadhish Venture Private Limited </w:t>
            </w:r>
            <w:r w:rsidRPr="0094678C">
              <w:rPr>
                <w:rFonts w:ascii="Times New Roman" w:hAnsi="Times New Roman"/>
                <w:i/>
                <w:iCs/>
                <w:sz w:val="20"/>
                <w:szCs w:val="20"/>
              </w:rPr>
              <w:t>(formerly known as Siyaram Metals Private Limited)</w:t>
            </w:r>
          </w:p>
        </w:tc>
        <w:tc>
          <w:tcPr>
            <w:tcW w:w="1342" w:type="pct"/>
            <w:shd w:val="clear" w:color="auto" w:fill="auto"/>
          </w:tcPr>
          <w:p w14:paraId="249148D3" w14:textId="77777777" w:rsidR="003A7C1B" w:rsidRPr="000860EB" w:rsidRDefault="003A7C1B" w:rsidP="00250DAC">
            <w:pPr>
              <w:tabs>
                <w:tab w:val="left" w:pos="5310"/>
              </w:tabs>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1,23,05,500</w:t>
            </w:r>
          </w:p>
        </w:tc>
      </w:tr>
      <w:tr w:rsidR="003A7C1B" w:rsidRPr="000860EB" w14:paraId="62DD2F74" w14:textId="77777777" w:rsidTr="00250DAC">
        <w:trPr>
          <w:trHeight w:val="20"/>
        </w:trPr>
        <w:tc>
          <w:tcPr>
            <w:tcW w:w="472" w:type="pct"/>
            <w:shd w:val="clear" w:color="auto" w:fill="auto"/>
          </w:tcPr>
          <w:p w14:paraId="422EAC04" w14:textId="77777777" w:rsidR="003A7C1B" w:rsidRPr="000860EB" w:rsidRDefault="003A7C1B" w:rsidP="00250DAC">
            <w:pPr>
              <w:tabs>
                <w:tab w:val="left" w:pos="5310"/>
              </w:tabs>
              <w:spacing w:after="0" w:line="240" w:lineRule="auto"/>
              <w:jc w:val="center"/>
              <w:rPr>
                <w:rFonts w:ascii="Times New Roman" w:eastAsia="Calibri" w:hAnsi="Times New Roman"/>
                <w:sz w:val="20"/>
                <w:szCs w:val="20"/>
              </w:rPr>
            </w:pPr>
          </w:p>
        </w:tc>
        <w:tc>
          <w:tcPr>
            <w:tcW w:w="3186" w:type="pct"/>
            <w:shd w:val="clear" w:color="auto" w:fill="auto"/>
          </w:tcPr>
          <w:p w14:paraId="1389FE95" w14:textId="77777777" w:rsidR="003A7C1B" w:rsidRPr="000860EB" w:rsidRDefault="003A7C1B" w:rsidP="00250DAC">
            <w:pPr>
              <w:spacing w:after="0" w:line="240" w:lineRule="auto"/>
              <w:jc w:val="center"/>
              <w:rPr>
                <w:rFonts w:ascii="Times New Roman" w:hAnsi="Times New Roman"/>
                <w:b/>
                <w:sz w:val="20"/>
                <w:szCs w:val="20"/>
              </w:rPr>
            </w:pPr>
            <w:r w:rsidRPr="000860EB">
              <w:rPr>
                <w:rFonts w:ascii="Times New Roman" w:hAnsi="Times New Roman"/>
                <w:b/>
                <w:sz w:val="20"/>
                <w:szCs w:val="20"/>
              </w:rPr>
              <w:t>Total</w:t>
            </w:r>
          </w:p>
        </w:tc>
        <w:tc>
          <w:tcPr>
            <w:tcW w:w="1342" w:type="pct"/>
            <w:shd w:val="clear" w:color="auto" w:fill="auto"/>
          </w:tcPr>
          <w:p w14:paraId="2FF84789" w14:textId="77777777" w:rsidR="003A7C1B" w:rsidRPr="000860EB" w:rsidRDefault="003A7C1B" w:rsidP="00250DAC">
            <w:pPr>
              <w:tabs>
                <w:tab w:val="left" w:pos="5310"/>
              </w:tabs>
              <w:spacing w:after="0" w:line="240" w:lineRule="auto"/>
              <w:jc w:val="center"/>
              <w:rPr>
                <w:rFonts w:ascii="Times New Roman" w:eastAsia="Calibri" w:hAnsi="Times New Roman"/>
                <w:b/>
                <w:sz w:val="20"/>
                <w:szCs w:val="20"/>
              </w:rPr>
            </w:pPr>
            <w:r w:rsidRPr="000860EB">
              <w:rPr>
                <w:rFonts w:ascii="Times New Roman" w:eastAsia="Calibri" w:hAnsi="Times New Roman"/>
                <w:b/>
                <w:sz w:val="20"/>
                <w:szCs w:val="20"/>
              </w:rPr>
              <w:t>1,23,05,500</w:t>
            </w:r>
          </w:p>
        </w:tc>
      </w:tr>
    </w:tbl>
    <w:p w14:paraId="5A72696E" w14:textId="77777777" w:rsidR="003A7C1B" w:rsidRPr="003E2331" w:rsidRDefault="003A7C1B" w:rsidP="003A7C1B">
      <w:pPr>
        <w:spacing w:after="0" w:line="240" w:lineRule="auto"/>
        <w:ind w:left="360"/>
        <w:jc w:val="both"/>
        <w:rPr>
          <w:rFonts w:ascii="Times New Roman" w:hAnsi="Times New Roman"/>
          <w:i/>
          <w:color w:val="000000"/>
          <w:sz w:val="20"/>
          <w:szCs w:val="20"/>
        </w:rPr>
      </w:pPr>
    </w:p>
    <w:p w14:paraId="72437733" w14:textId="77777777" w:rsidR="003A7C1B" w:rsidRPr="003E2331" w:rsidRDefault="003A7C1B" w:rsidP="00F038BD">
      <w:pPr>
        <w:numPr>
          <w:ilvl w:val="0"/>
          <w:numId w:val="155"/>
        </w:numPr>
        <w:spacing w:after="0" w:line="240" w:lineRule="auto"/>
        <w:contextualSpacing/>
        <w:jc w:val="both"/>
        <w:rPr>
          <w:rFonts w:ascii="Times New Roman" w:hAnsi="Times New Roman"/>
          <w:color w:val="000000"/>
          <w:sz w:val="20"/>
          <w:szCs w:val="20"/>
        </w:rPr>
      </w:pPr>
      <w:r w:rsidRPr="003E2331">
        <w:rPr>
          <w:rFonts w:ascii="Times New Roman" w:hAnsi="Times New Roman"/>
          <w:color w:val="000000"/>
          <w:sz w:val="20"/>
          <w:szCs w:val="20"/>
        </w:rPr>
        <w:t xml:space="preserve">As on the date of this Draft Red Herring Prospectus, our Company does not have any Preference Share Capital. </w:t>
      </w:r>
    </w:p>
    <w:p w14:paraId="2140E25B" w14:textId="77777777" w:rsidR="003A7C1B" w:rsidRPr="003E2331" w:rsidRDefault="003A7C1B" w:rsidP="003A7C1B">
      <w:pPr>
        <w:spacing w:after="0" w:line="240" w:lineRule="auto"/>
        <w:ind w:left="720"/>
        <w:contextualSpacing/>
        <w:jc w:val="both"/>
        <w:rPr>
          <w:rFonts w:ascii="Times New Roman" w:hAnsi="Times New Roman"/>
          <w:color w:val="000000"/>
          <w:sz w:val="20"/>
          <w:szCs w:val="20"/>
        </w:rPr>
      </w:pPr>
    </w:p>
    <w:p w14:paraId="5138763A" w14:textId="77777777" w:rsidR="003A7C1B" w:rsidRPr="003E2331" w:rsidRDefault="003A7C1B" w:rsidP="00F038BD">
      <w:pPr>
        <w:numPr>
          <w:ilvl w:val="0"/>
          <w:numId w:val="157"/>
        </w:numPr>
        <w:spacing w:after="0" w:line="240" w:lineRule="auto"/>
        <w:contextualSpacing/>
        <w:jc w:val="both"/>
        <w:rPr>
          <w:rFonts w:ascii="Times New Roman" w:hAnsi="Times New Roman"/>
          <w:color w:val="000000"/>
          <w:sz w:val="20"/>
          <w:szCs w:val="20"/>
        </w:rPr>
      </w:pPr>
      <w:r w:rsidRPr="003E2331">
        <w:rPr>
          <w:rFonts w:ascii="Times New Roman" w:hAnsi="Times New Roman"/>
          <w:color w:val="000000"/>
          <w:sz w:val="20"/>
          <w:szCs w:val="20"/>
        </w:rPr>
        <w:t>The Company has not issued any Equity Share in the last two years preceding the date of the Draft Red Herring Prospectus.</w:t>
      </w:r>
    </w:p>
    <w:p w14:paraId="7E1C7F9C" w14:textId="77777777" w:rsidR="003A7C1B" w:rsidRPr="003E2331" w:rsidRDefault="003A7C1B" w:rsidP="003A7C1B">
      <w:pPr>
        <w:autoSpaceDE w:val="0"/>
        <w:autoSpaceDN w:val="0"/>
        <w:adjustRightInd w:val="0"/>
        <w:spacing w:after="0" w:line="240" w:lineRule="auto"/>
        <w:rPr>
          <w:rFonts w:ascii="Times New Roman" w:eastAsia="Calibri" w:hAnsi="Times New Roman"/>
          <w:b/>
          <w:bCs/>
          <w:color w:val="000000"/>
          <w:sz w:val="20"/>
          <w:szCs w:val="20"/>
        </w:rPr>
      </w:pPr>
    </w:p>
    <w:p w14:paraId="26587D22" w14:textId="77777777" w:rsidR="003A7C1B" w:rsidRPr="003E2331" w:rsidRDefault="003A7C1B" w:rsidP="00F038BD">
      <w:pPr>
        <w:numPr>
          <w:ilvl w:val="0"/>
          <w:numId w:val="157"/>
        </w:numPr>
        <w:spacing w:after="0" w:line="240" w:lineRule="auto"/>
        <w:contextualSpacing/>
        <w:jc w:val="both"/>
        <w:rPr>
          <w:rFonts w:ascii="Times New Roman" w:hAnsi="Times New Roman"/>
          <w:color w:val="000000"/>
          <w:sz w:val="20"/>
          <w:szCs w:val="20"/>
        </w:rPr>
      </w:pPr>
      <w:r w:rsidRPr="003E2331">
        <w:rPr>
          <w:rFonts w:ascii="Times New Roman" w:hAnsi="Times New Roman"/>
          <w:color w:val="000000"/>
          <w:sz w:val="20"/>
          <w:szCs w:val="20"/>
        </w:rPr>
        <w:t>The Company has not issued any Equity Shares for consideration other than cash.</w:t>
      </w:r>
    </w:p>
    <w:p w14:paraId="2BC545C3" w14:textId="77777777" w:rsidR="003A7C1B" w:rsidRPr="003E2331" w:rsidRDefault="003A7C1B" w:rsidP="003A7C1B">
      <w:pPr>
        <w:spacing w:after="0" w:line="240" w:lineRule="auto"/>
        <w:contextualSpacing/>
        <w:jc w:val="both"/>
        <w:rPr>
          <w:rFonts w:ascii="Times New Roman" w:hAnsi="Times New Roman"/>
          <w:color w:val="000000"/>
          <w:sz w:val="20"/>
          <w:szCs w:val="20"/>
        </w:rPr>
      </w:pPr>
    </w:p>
    <w:p w14:paraId="4A121D76" w14:textId="77777777" w:rsidR="003A7C1B" w:rsidRPr="003E2331" w:rsidRDefault="003A7C1B" w:rsidP="00F038BD">
      <w:pPr>
        <w:numPr>
          <w:ilvl w:val="0"/>
          <w:numId w:val="157"/>
        </w:numPr>
        <w:suppressAutoHyphens/>
        <w:autoSpaceDE w:val="0"/>
        <w:autoSpaceDN w:val="0"/>
        <w:adjustRightInd w:val="0"/>
        <w:spacing w:after="0" w:line="240" w:lineRule="auto"/>
        <w:jc w:val="both"/>
        <w:textAlignment w:val="center"/>
        <w:rPr>
          <w:rFonts w:ascii="Times New Roman" w:hAnsi="Times New Roman"/>
          <w:color w:val="000000"/>
          <w:sz w:val="20"/>
          <w:szCs w:val="20"/>
        </w:rPr>
      </w:pPr>
      <w:r w:rsidRPr="003E2331">
        <w:rPr>
          <w:rFonts w:ascii="Times New Roman" w:hAnsi="Times New Roman"/>
          <w:color w:val="000000"/>
          <w:sz w:val="20"/>
          <w:szCs w:val="20"/>
        </w:rPr>
        <w:lastRenderedPageBreak/>
        <w:t>No Equity Shares have been allotted pursuant to any scheme approved under sections 230-234 of the Companies Act, 2013 or under the erstwhile corresponding provisions of the Companies Act, 1956.</w:t>
      </w:r>
    </w:p>
    <w:p w14:paraId="3401069E" w14:textId="77777777" w:rsidR="003A7C1B" w:rsidRPr="003E2331" w:rsidRDefault="003A7C1B" w:rsidP="003A7C1B">
      <w:pPr>
        <w:suppressAutoHyphens/>
        <w:autoSpaceDE w:val="0"/>
        <w:autoSpaceDN w:val="0"/>
        <w:adjustRightInd w:val="0"/>
        <w:spacing w:after="0" w:line="240" w:lineRule="auto"/>
        <w:ind w:left="360"/>
        <w:jc w:val="both"/>
        <w:textAlignment w:val="center"/>
        <w:rPr>
          <w:rFonts w:ascii="Times New Roman" w:hAnsi="Times New Roman"/>
          <w:color w:val="000000"/>
          <w:sz w:val="20"/>
          <w:szCs w:val="20"/>
        </w:rPr>
      </w:pPr>
    </w:p>
    <w:p w14:paraId="2667B191" w14:textId="77777777" w:rsidR="003A7C1B" w:rsidRPr="003E2331" w:rsidRDefault="003A7C1B" w:rsidP="00F038BD">
      <w:pPr>
        <w:numPr>
          <w:ilvl w:val="0"/>
          <w:numId w:val="157"/>
        </w:numPr>
        <w:suppressAutoHyphens/>
        <w:autoSpaceDE w:val="0"/>
        <w:autoSpaceDN w:val="0"/>
        <w:adjustRightInd w:val="0"/>
        <w:spacing w:after="0" w:line="240" w:lineRule="auto"/>
        <w:jc w:val="both"/>
        <w:textAlignment w:val="center"/>
        <w:rPr>
          <w:rFonts w:ascii="Times New Roman" w:hAnsi="Times New Roman"/>
          <w:color w:val="000000"/>
          <w:sz w:val="20"/>
          <w:szCs w:val="20"/>
        </w:rPr>
      </w:pPr>
      <w:r w:rsidRPr="003E2331">
        <w:rPr>
          <w:rFonts w:ascii="Times New Roman" w:hAnsi="Times New Roman"/>
          <w:color w:val="000000"/>
          <w:sz w:val="20"/>
          <w:szCs w:val="20"/>
        </w:rPr>
        <w:t>Our Company has not issued any shares pursuant to an Employee Stock Option Scheme.</w:t>
      </w:r>
    </w:p>
    <w:p w14:paraId="7313DD2B" w14:textId="77777777" w:rsidR="003A7C1B" w:rsidRPr="003E2331" w:rsidRDefault="003A7C1B" w:rsidP="003A7C1B">
      <w:pPr>
        <w:suppressAutoHyphens/>
        <w:autoSpaceDE w:val="0"/>
        <w:autoSpaceDN w:val="0"/>
        <w:adjustRightInd w:val="0"/>
        <w:spacing w:after="0" w:line="240" w:lineRule="auto"/>
        <w:ind w:left="360"/>
        <w:jc w:val="both"/>
        <w:textAlignment w:val="center"/>
        <w:rPr>
          <w:rFonts w:ascii="Times New Roman" w:hAnsi="Times New Roman"/>
          <w:color w:val="000000"/>
          <w:sz w:val="20"/>
          <w:szCs w:val="20"/>
        </w:rPr>
      </w:pPr>
    </w:p>
    <w:p w14:paraId="5C189E20" w14:textId="77777777" w:rsidR="003A7C1B" w:rsidRDefault="003A7C1B" w:rsidP="00F038BD">
      <w:pPr>
        <w:numPr>
          <w:ilvl w:val="0"/>
          <w:numId w:val="157"/>
        </w:numPr>
        <w:tabs>
          <w:tab w:val="left" w:pos="360"/>
        </w:tabs>
        <w:autoSpaceDE w:val="0"/>
        <w:autoSpaceDN w:val="0"/>
        <w:adjustRightInd w:val="0"/>
        <w:spacing w:after="0" w:line="240" w:lineRule="auto"/>
        <w:jc w:val="both"/>
        <w:rPr>
          <w:rFonts w:ascii="Times New Roman" w:eastAsia="Calibri" w:hAnsi="Times New Roman"/>
          <w:color w:val="000000"/>
          <w:sz w:val="20"/>
          <w:szCs w:val="20"/>
        </w:rPr>
      </w:pPr>
      <w:r w:rsidRPr="003E2331">
        <w:rPr>
          <w:rFonts w:ascii="Times New Roman" w:eastAsia="Calibri" w:hAnsi="Times New Roman"/>
          <w:color w:val="000000"/>
          <w:sz w:val="20"/>
          <w:szCs w:val="20"/>
        </w:rPr>
        <w:t>Our Company has not issued Equity shares at price below the Issue price within last one year from the date of the Draft Red Herring Prospectus.</w:t>
      </w:r>
    </w:p>
    <w:p w14:paraId="377713DB" w14:textId="77777777" w:rsidR="003A7C1B" w:rsidRPr="003E2331" w:rsidRDefault="003A7C1B" w:rsidP="003A7C1B">
      <w:pPr>
        <w:tabs>
          <w:tab w:val="left" w:pos="360"/>
        </w:tabs>
        <w:autoSpaceDE w:val="0"/>
        <w:autoSpaceDN w:val="0"/>
        <w:adjustRightInd w:val="0"/>
        <w:spacing w:after="0" w:line="240" w:lineRule="auto"/>
        <w:ind w:left="360"/>
        <w:jc w:val="both"/>
        <w:rPr>
          <w:rFonts w:ascii="Times New Roman" w:eastAsia="Calibri" w:hAnsi="Times New Roman"/>
          <w:color w:val="000000"/>
          <w:sz w:val="20"/>
          <w:szCs w:val="20"/>
        </w:rPr>
      </w:pPr>
    </w:p>
    <w:p w14:paraId="6E41976A" w14:textId="77777777" w:rsidR="003A7C1B" w:rsidRPr="003E2331" w:rsidRDefault="003A7C1B" w:rsidP="00F038BD">
      <w:pPr>
        <w:numPr>
          <w:ilvl w:val="0"/>
          <w:numId w:val="157"/>
        </w:numPr>
        <w:tabs>
          <w:tab w:val="left" w:pos="360"/>
        </w:tabs>
        <w:autoSpaceDE w:val="0"/>
        <w:autoSpaceDN w:val="0"/>
        <w:adjustRightInd w:val="0"/>
        <w:spacing w:after="0" w:line="240" w:lineRule="auto"/>
        <w:jc w:val="both"/>
        <w:rPr>
          <w:rFonts w:ascii="Times New Roman" w:eastAsia="Calibri" w:hAnsi="Times New Roman"/>
          <w:color w:val="000000"/>
          <w:sz w:val="20"/>
          <w:szCs w:val="20"/>
        </w:rPr>
      </w:pPr>
      <w:r w:rsidRPr="003E2331">
        <w:rPr>
          <w:rFonts w:ascii="Times New Roman" w:hAnsi="Times New Roman"/>
          <w:sz w:val="20"/>
          <w:szCs w:val="20"/>
        </w:rPr>
        <w:t xml:space="preserve">We have not revalued our assets since inception and have not issued any Equity Shares (including bonus shares) by capitalizing any revaluation reserves. </w:t>
      </w:r>
    </w:p>
    <w:p w14:paraId="655ABC0F" w14:textId="77777777" w:rsidR="003A7C1B" w:rsidRPr="003E2331" w:rsidRDefault="003A7C1B" w:rsidP="003A7C1B">
      <w:pPr>
        <w:suppressAutoHyphens/>
        <w:autoSpaceDE w:val="0"/>
        <w:autoSpaceDN w:val="0"/>
        <w:adjustRightInd w:val="0"/>
        <w:spacing w:after="0" w:line="240" w:lineRule="auto"/>
        <w:ind w:left="720"/>
        <w:jc w:val="both"/>
        <w:textAlignment w:val="center"/>
        <w:rPr>
          <w:rFonts w:ascii="Times New Roman" w:hAnsi="Times New Roman"/>
          <w:color w:val="000000"/>
          <w:sz w:val="20"/>
          <w:szCs w:val="20"/>
        </w:rPr>
      </w:pPr>
    </w:p>
    <w:p w14:paraId="64ED83B5" w14:textId="77777777" w:rsidR="003A7C1B" w:rsidRPr="003E2331" w:rsidRDefault="003A7C1B" w:rsidP="00F038BD">
      <w:pPr>
        <w:numPr>
          <w:ilvl w:val="0"/>
          <w:numId w:val="157"/>
        </w:numPr>
        <w:spacing w:after="0" w:line="240" w:lineRule="auto"/>
        <w:contextualSpacing/>
        <w:jc w:val="both"/>
        <w:rPr>
          <w:rFonts w:ascii="Times New Roman" w:hAnsi="Times New Roman"/>
          <w:b/>
          <w:sz w:val="20"/>
          <w:szCs w:val="20"/>
        </w:rPr>
      </w:pPr>
      <w:r w:rsidRPr="003E2331">
        <w:rPr>
          <w:rFonts w:ascii="Times New Roman" w:hAnsi="Times New Roman"/>
          <w:b/>
          <w:sz w:val="20"/>
          <w:szCs w:val="20"/>
        </w:rPr>
        <w:t>Shareholding Pattern of the Company</w:t>
      </w:r>
    </w:p>
    <w:p w14:paraId="06E2A50D" w14:textId="77777777" w:rsidR="003A7C1B" w:rsidRPr="003E2331" w:rsidRDefault="003A7C1B" w:rsidP="003A7C1B">
      <w:pPr>
        <w:pStyle w:val="NoSpacing"/>
        <w:spacing w:line="240" w:lineRule="auto"/>
        <w:ind w:left="360"/>
        <w:jc w:val="both"/>
        <w:rPr>
          <w:b/>
        </w:rPr>
      </w:pPr>
    </w:p>
    <w:p w14:paraId="3FE2A596" w14:textId="77777777" w:rsidR="003A7C1B" w:rsidRPr="000860EB" w:rsidRDefault="003A7C1B" w:rsidP="003A7C1B">
      <w:pPr>
        <w:pStyle w:val="NoSpacing"/>
        <w:spacing w:line="240" w:lineRule="auto"/>
        <w:ind w:left="360"/>
        <w:jc w:val="both"/>
        <w:rPr>
          <w:b/>
        </w:rPr>
      </w:pPr>
      <w:r w:rsidRPr="003E2331">
        <w:t>The table below represents the shareholding pattern of our Company in accordance with Regulation 31 of the SEBI (Listing Obligations and Disclosure</w:t>
      </w:r>
      <w:r w:rsidRPr="000860EB">
        <w:t xml:space="preserve"> Requirements) Regulatio</w:t>
      </w:r>
      <w:r w:rsidRPr="000860EB">
        <w:rPr>
          <w:lang w:val="en-GB"/>
        </w:rPr>
        <w:t>ns,</w:t>
      </w:r>
      <w:r w:rsidRPr="000860EB">
        <w:t xml:space="preserve"> 2015, as on the date of this Draft Red Herring Prospectus:</w:t>
      </w:r>
    </w:p>
    <w:p w14:paraId="74F7385E" w14:textId="77777777" w:rsidR="003A7C1B" w:rsidRPr="000860EB" w:rsidRDefault="003A7C1B" w:rsidP="003A7C1B">
      <w:pPr>
        <w:autoSpaceDE w:val="0"/>
        <w:autoSpaceDN w:val="0"/>
        <w:adjustRightInd w:val="0"/>
        <w:spacing w:after="0" w:line="240" w:lineRule="auto"/>
        <w:rPr>
          <w:rFonts w:ascii="Times New Roman" w:hAnsi="Times New Roman"/>
          <w:b/>
          <w:sz w:val="20"/>
          <w:szCs w:val="20"/>
          <w:u w:val="single"/>
        </w:rPr>
        <w:sectPr w:rsidR="003A7C1B" w:rsidRPr="000860EB" w:rsidSect="003E2331">
          <w:headerReference w:type="default" r:id="rId38"/>
          <w:footerReference w:type="default" r:id="rId39"/>
          <w:pgSz w:w="11907" w:h="16839" w:code="9"/>
          <w:pgMar w:top="1135" w:right="720" w:bottom="1135" w:left="720" w:header="709" w:footer="459" w:gutter="0"/>
          <w:cols w:space="720"/>
          <w:docGrid w:linePitch="360"/>
        </w:sectPr>
      </w:pPr>
    </w:p>
    <w:p w14:paraId="4B3A55EC" w14:textId="77777777" w:rsidR="003A7C1B" w:rsidRPr="000860EB" w:rsidRDefault="003A7C1B" w:rsidP="003A7C1B">
      <w:pPr>
        <w:pStyle w:val="NoSpacing"/>
        <w:spacing w:line="240" w:lineRule="auto"/>
        <w:ind w:left="-810" w:firstLine="360"/>
        <w:jc w:val="both"/>
        <w:rPr>
          <w:b/>
        </w:rPr>
      </w:pPr>
      <w:r w:rsidRPr="000860EB">
        <w:rPr>
          <w:b/>
        </w:rPr>
        <w:lastRenderedPageBreak/>
        <w:t>I - Our Shareholding Pattern:-</w:t>
      </w:r>
    </w:p>
    <w:tbl>
      <w:tblPr>
        <w:tblW w:w="5564" w:type="pct"/>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1"/>
        <w:gridCol w:w="1107"/>
        <w:gridCol w:w="665"/>
        <w:gridCol w:w="1181"/>
        <w:gridCol w:w="573"/>
        <w:gridCol w:w="737"/>
        <w:gridCol w:w="1238"/>
        <w:gridCol w:w="861"/>
        <w:gridCol w:w="1174"/>
        <w:gridCol w:w="567"/>
        <w:gridCol w:w="1130"/>
        <w:gridCol w:w="848"/>
        <w:gridCol w:w="658"/>
        <w:gridCol w:w="1238"/>
        <w:gridCol w:w="399"/>
        <w:gridCol w:w="617"/>
        <w:gridCol w:w="608"/>
        <w:gridCol w:w="598"/>
        <w:gridCol w:w="725"/>
      </w:tblGrid>
      <w:tr w:rsidR="003A7C1B" w:rsidRPr="000860EB" w14:paraId="57494D14" w14:textId="77777777" w:rsidTr="00250DAC">
        <w:trPr>
          <w:trHeight w:val="20"/>
        </w:trPr>
        <w:tc>
          <w:tcPr>
            <w:tcW w:w="285" w:type="pct"/>
            <w:vMerge w:val="restart"/>
            <w:shd w:val="clear" w:color="auto" w:fill="D0CECE" w:themeFill="background2" w:themeFillShade="E6"/>
          </w:tcPr>
          <w:p w14:paraId="17FF2E9B" w14:textId="77777777" w:rsidR="003A7C1B" w:rsidRPr="000860EB" w:rsidRDefault="003A7C1B" w:rsidP="00250DAC">
            <w:pPr>
              <w:spacing w:after="0" w:line="240" w:lineRule="auto"/>
              <w:jc w:val="center"/>
              <w:rPr>
                <w:rFonts w:ascii="Times New Roman" w:eastAsia="Arial" w:hAnsi="Times New Roman"/>
                <w:b/>
                <w:sz w:val="20"/>
                <w:szCs w:val="20"/>
              </w:rPr>
            </w:pPr>
            <w:r w:rsidRPr="000860EB">
              <w:rPr>
                <w:rFonts w:ascii="Times New Roman" w:eastAsia="Arial" w:hAnsi="Times New Roman"/>
                <w:b/>
                <w:sz w:val="20"/>
                <w:szCs w:val="20"/>
              </w:rPr>
              <w:t>Category</w:t>
            </w:r>
          </w:p>
          <w:p w14:paraId="33ABAB0E" w14:textId="77777777" w:rsidR="003A7C1B" w:rsidRPr="000860EB" w:rsidRDefault="003A7C1B" w:rsidP="00250DAC">
            <w:pPr>
              <w:spacing w:after="0" w:line="240" w:lineRule="auto"/>
              <w:jc w:val="center"/>
              <w:rPr>
                <w:rFonts w:ascii="Times New Roman" w:eastAsia="Arial" w:hAnsi="Times New Roman"/>
                <w:b/>
                <w:sz w:val="20"/>
                <w:szCs w:val="20"/>
              </w:rPr>
            </w:pPr>
          </w:p>
        </w:tc>
        <w:tc>
          <w:tcPr>
            <w:tcW w:w="350" w:type="pct"/>
            <w:vMerge w:val="restart"/>
            <w:shd w:val="clear" w:color="auto" w:fill="D0CECE" w:themeFill="background2" w:themeFillShade="E6"/>
          </w:tcPr>
          <w:p w14:paraId="5BCDFB25" w14:textId="77777777" w:rsidR="003A7C1B" w:rsidRPr="000860EB" w:rsidRDefault="003A7C1B" w:rsidP="00250DAC">
            <w:pPr>
              <w:spacing w:after="0" w:line="240" w:lineRule="auto"/>
              <w:jc w:val="center"/>
              <w:rPr>
                <w:rFonts w:ascii="Times New Roman" w:eastAsia="Arial" w:hAnsi="Times New Roman"/>
                <w:b/>
                <w:sz w:val="20"/>
                <w:szCs w:val="20"/>
              </w:rPr>
            </w:pPr>
            <w:r w:rsidRPr="000860EB">
              <w:rPr>
                <w:rFonts w:ascii="Times New Roman" w:eastAsia="Arial" w:hAnsi="Times New Roman"/>
                <w:b/>
                <w:sz w:val="20"/>
                <w:szCs w:val="20"/>
              </w:rPr>
              <w:t>Category of shareholder</w:t>
            </w:r>
          </w:p>
          <w:p w14:paraId="0828AA17" w14:textId="77777777" w:rsidR="003A7C1B" w:rsidRPr="000860EB" w:rsidRDefault="003A7C1B" w:rsidP="00250DAC">
            <w:pPr>
              <w:spacing w:after="0" w:line="240" w:lineRule="auto"/>
              <w:jc w:val="center"/>
              <w:rPr>
                <w:rFonts w:ascii="Times New Roman" w:eastAsia="Arial" w:hAnsi="Times New Roman"/>
                <w:b/>
                <w:sz w:val="20"/>
                <w:szCs w:val="20"/>
              </w:rPr>
            </w:pPr>
          </w:p>
        </w:tc>
        <w:tc>
          <w:tcPr>
            <w:tcW w:w="210" w:type="pct"/>
            <w:vMerge w:val="restart"/>
            <w:shd w:val="clear" w:color="auto" w:fill="D0CECE" w:themeFill="background2" w:themeFillShade="E6"/>
          </w:tcPr>
          <w:p w14:paraId="1B11DA32" w14:textId="77777777" w:rsidR="003A7C1B" w:rsidRPr="000860EB" w:rsidRDefault="003A7C1B" w:rsidP="00250DAC">
            <w:pPr>
              <w:spacing w:after="0" w:line="240" w:lineRule="auto"/>
              <w:jc w:val="center"/>
              <w:rPr>
                <w:rFonts w:ascii="Times New Roman" w:eastAsia="Arial" w:hAnsi="Times New Roman"/>
                <w:b/>
                <w:sz w:val="20"/>
                <w:szCs w:val="20"/>
              </w:rPr>
            </w:pPr>
            <w:r w:rsidRPr="000860EB">
              <w:rPr>
                <w:rFonts w:ascii="Times New Roman" w:eastAsia="Arial" w:hAnsi="Times New Roman"/>
                <w:b/>
                <w:sz w:val="20"/>
                <w:szCs w:val="20"/>
              </w:rPr>
              <w:t>Nos. of share holders</w:t>
            </w:r>
          </w:p>
        </w:tc>
        <w:tc>
          <w:tcPr>
            <w:tcW w:w="373" w:type="pct"/>
            <w:vMerge w:val="restart"/>
            <w:shd w:val="clear" w:color="auto" w:fill="D0CECE" w:themeFill="background2" w:themeFillShade="E6"/>
          </w:tcPr>
          <w:p w14:paraId="16EC7F97" w14:textId="77777777" w:rsidR="003A7C1B" w:rsidRPr="000860EB" w:rsidRDefault="003A7C1B" w:rsidP="00250DAC">
            <w:pPr>
              <w:spacing w:after="0" w:line="240" w:lineRule="auto"/>
              <w:jc w:val="center"/>
              <w:rPr>
                <w:rFonts w:ascii="Times New Roman" w:eastAsia="Arial" w:hAnsi="Times New Roman"/>
                <w:b/>
                <w:sz w:val="20"/>
                <w:szCs w:val="20"/>
              </w:rPr>
            </w:pPr>
            <w:r w:rsidRPr="000860EB">
              <w:rPr>
                <w:rFonts w:ascii="Times New Roman" w:eastAsia="Arial" w:hAnsi="Times New Roman"/>
                <w:b/>
                <w:sz w:val="20"/>
                <w:szCs w:val="20"/>
              </w:rPr>
              <w:t>No. of fully paid</w:t>
            </w:r>
            <w:r>
              <w:rPr>
                <w:rFonts w:ascii="Times New Roman" w:eastAsia="Arial" w:hAnsi="Times New Roman"/>
                <w:b/>
                <w:sz w:val="20"/>
                <w:szCs w:val="20"/>
              </w:rPr>
              <w:t>-</w:t>
            </w:r>
            <w:r w:rsidRPr="000860EB">
              <w:rPr>
                <w:rFonts w:ascii="Times New Roman" w:eastAsia="Arial" w:hAnsi="Times New Roman"/>
                <w:b/>
                <w:sz w:val="20"/>
                <w:szCs w:val="20"/>
              </w:rPr>
              <w:t>up equity shares held</w:t>
            </w:r>
          </w:p>
          <w:p w14:paraId="09E78C04" w14:textId="77777777" w:rsidR="003A7C1B" w:rsidRPr="000860EB" w:rsidRDefault="003A7C1B" w:rsidP="00250DAC">
            <w:pPr>
              <w:spacing w:after="0" w:line="240" w:lineRule="auto"/>
              <w:jc w:val="center"/>
              <w:rPr>
                <w:rFonts w:ascii="Times New Roman" w:eastAsia="Arial" w:hAnsi="Times New Roman"/>
                <w:b/>
                <w:sz w:val="20"/>
                <w:szCs w:val="20"/>
              </w:rPr>
            </w:pPr>
          </w:p>
        </w:tc>
        <w:tc>
          <w:tcPr>
            <w:tcW w:w="181" w:type="pct"/>
            <w:vMerge w:val="restart"/>
            <w:shd w:val="clear" w:color="auto" w:fill="D0CECE" w:themeFill="background2" w:themeFillShade="E6"/>
          </w:tcPr>
          <w:p w14:paraId="12F325DC" w14:textId="77777777" w:rsidR="003A7C1B" w:rsidRPr="000860EB" w:rsidRDefault="003A7C1B" w:rsidP="00250DAC">
            <w:pPr>
              <w:spacing w:after="0" w:line="240" w:lineRule="auto"/>
              <w:jc w:val="center"/>
              <w:rPr>
                <w:rFonts w:ascii="Times New Roman" w:eastAsia="Arial" w:hAnsi="Times New Roman"/>
                <w:b/>
                <w:sz w:val="20"/>
                <w:szCs w:val="20"/>
              </w:rPr>
            </w:pPr>
            <w:r w:rsidRPr="000860EB">
              <w:rPr>
                <w:rFonts w:ascii="Times New Roman" w:eastAsia="Arial" w:hAnsi="Times New Roman"/>
                <w:b/>
                <w:sz w:val="20"/>
                <w:szCs w:val="20"/>
              </w:rPr>
              <w:t>No. of Partly paid-up equity shares</w:t>
            </w:r>
          </w:p>
          <w:p w14:paraId="15002970" w14:textId="77777777" w:rsidR="003A7C1B" w:rsidRPr="000860EB" w:rsidRDefault="003A7C1B" w:rsidP="00250DAC">
            <w:pPr>
              <w:spacing w:after="0" w:line="240" w:lineRule="auto"/>
              <w:jc w:val="center"/>
              <w:rPr>
                <w:rFonts w:ascii="Times New Roman" w:eastAsia="Arial" w:hAnsi="Times New Roman"/>
                <w:b/>
                <w:sz w:val="20"/>
                <w:szCs w:val="20"/>
              </w:rPr>
            </w:pPr>
            <w:r w:rsidRPr="000860EB">
              <w:rPr>
                <w:rFonts w:ascii="Times New Roman" w:eastAsia="Arial" w:hAnsi="Times New Roman"/>
                <w:b/>
                <w:sz w:val="20"/>
                <w:szCs w:val="20"/>
              </w:rPr>
              <w:t>held</w:t>
            </w:r>
          </w:p>
          <w:p w14:paraId="42427039" w14:textId="77777777" w:rsidR="003A7C1B" w:rsidRPr="000860EB" w:rsidRDefault="003A7C1B" w:rsidP="00250DAC">
            <w:pPr>
              <w:spacing w:after="0" w:line="240" w:lineRule="auto"/>
              <w:jc w:val="center"/>
              <w:rPr>
                <w:rFonts w:ascii="Times New Roman" w:eastAsia="Arial" w:hAnsi="Times New Roman"/>
                <w:b/>
                <w:sz w:val="20"/>
                <w:szCs w:val="20"/>
              </w:rPr>
            </w:pPr>
          </w:p>
        </w:tc>
        <w:tc>
          <w:tcPr>
            <w:tcW w:w="233" w:type="pct"/>
            <w:vMerge w:val="restart"/>
            <w:shd w:val="clear" w:color="auto" w:fill="D0CECE" w:themeFill="background2" w:themeFillShade="E6"/>
          </w:tcPr>
          <w:p w14:paraId="09D81FF0" w14:textId="77777777" w:rsidR="003A7C1B" w:rsidRPr="000860EB" w:rsidRDefault="003A7C1B" w:rsidP="00250DAC">
            <w:pPr>
              <w:spacing w:after="0" w:line="240" w:lineRule="auto"/>
              <w:jc w:val="center"/>
              <w:rPr>
                <w:rFonts w:ascii="Times New Roman" w:eastAsia="Arial" w:hAnsi="Times New Roman"/>
                <w:b/>
                <w:sz w:val="20"/>
                <w:szCs w:val="20"/>
              </w:rPr>
            </w:pPr>
            <w:r w:rsidRPr="000860EB">
              <w:rPr>
                <w:rFonts w:ascii="Times New Roman" w:eastAsia="Arial" w:hAnsi="Times New Roman"/>
                <w:b/>
                <w:sz w:val="20"/>
                <w:szCs w:val="20"/>
              </w:rPr>
              <w:t>No. of shares underlying Depository Receipts</w:t>
            </w:r>
          </w:p>
          <w:p w14:paraId="434DFCE0" w14:textId="77777777" w:rsidR="003A7C1B" w:rsidRPr="000860EB" w:rsidRDefault="003A7C1B" w:rsidP="00250DAC">
            <w:pPr>
              <w:spacing w:after="0" w:line="240" w:lineRule="auto"/>
              <w:jc w:val="center"/>
              <w:rPr>
                <w:rFonts w:ascii="Times New Roman" w:eastAsia="Arial" w:hAnsi="Times New Roman"/>
                <w:b/>
                <w:sz w:val="20"/>
                <w:szCs w:val="20"/>
              </w:rPr>
            </w:pPr>
          </w:p>
        </w:tc>
        <w:tc>
          <w:tcPr>
            <w:tcW w:w="391" w:type="pct"/>
            <w:vMerge w:val="restart"/>
            <w:shd w:val="clear" w:color="auto" w:fill="D0CECE" w:themeFill="background2" w:themeFillShade="E6"/>
          </w:tcPr>
          <w:p w14:paraId="21EAEA2E" w14:textId="77777777" w:rsidR="003A7C1B" w:rsidRPr="000860EB" w:rsidRDefault="003A7C1B" w:rsidP="00250DAC">
            <w:pPr>
              <w:spacing w:after="0" w:line="240" w:lineRule="auto"/>
              <w:jc w:val="center"/>
              <w:rPr>
                <w:rFonts w:ascii="Times New Roman" w:eastAsia="Arial" w:hAnsi="Times New Roman"/>
                <w:b/>
                <w:sz w:val="20"/>
                <w:szCs w:val="20"/>
              </w:rPr>
            </w:pPr>
            <w:r w:rsidRPr="000860EB">
              <w:rPr>
                <w:rFonts w:ascii="Times New Roman" w:eastAsia="Arial" w:hAnsi="Times New Roman"/>
                <w:b/>
                <w:sz w:val="20"/>
                <w:szCs w:val="20"/>
              </w:rPr>
              <w:t>Total nos. shares held</w:t>
            </w:r>
          </w:p>
          <w:p w14:paraId="4C26A128" w14:textId="77777777" w:rsidR="003A7C1B" w:rsidRPr="000860EB" w:rsidRDefault="003A7C1B" w:rsidP="00250DAC">
            <w:pPr>
              <w:spacing w:after="0" w:line="240" w:lineRule="auto"/>
              <w:jc w:val="center"/>
              <w:rPr>
                <w:rFonts w:ascii="Times New Roman" w:eastAsia="Arial" w:hAnsi="Times New Roman"/>
                <w:b/>
                <w:sz w:val="20"/>
                <w:szCs w:val="20"/>
              </w:rPr>
            </w:pPr>
          </w:p>
        </w:tc>
        <w:tc>
          <w:tcPr>
            <w:tcW w:w="272" w:type="pct"/>
            <w:vMerge w:val="restart"/>
            <w:shd w:val="clear" w:color="auto" w:fill="D0CECE" w:themeFill="background2" w:themeFillShade="E6"/>
          </w:tcPr>
          <w:p w14:paraId="01014916" w14:textId="77777777" w:rsidR="003A7C1B" w:rsidRPr="000860EB" w:rsidRDefault="003A7C1B" w:rsidP="00250DAC">
            <w:pPr>
              <w:spacing w:after="0" w:line="240" w:lineRule="auto"/>
              <w:jc w:val="center"/>
              <w:rPr>
                <w:rFonts w:ascii="Times New Roman" w:eastAsia="Arial" w:hAnsi="Times New Roman"/>
                <w:b/>
                <w:sz w:val="20"/>
                <w:szCs w:val="20"/>
              </w:rPr>
            </w:pPr>
            <w:r w:rsidRPr="000860EB">
              <w:rPr>
                <w:rFonts w:ascii="Times New Roman" w:eastAsia="Arial" w:hAnsi="Times New Roman"/>
                <w:b/>
                <w:sz w:val="20"/>
                <w:szCs w:val="20"/>
              </w:rPr>
              <w:t>Shareholding as a % of total no. of shares (calculated as per SCRR,</w:t>
            </w:r>
          </w:p>
          <w:p w14:paraId="295D8465" w14:textId="77777777" w:rsidR="003A7C1B" w:rsidRPr="000860EB" w:rsidRDefault="003A7C1B" w:rsidP="00250DAC">
            <w:pPr>
              <w:spacing w:after="0" w:line="240" w:lineRule="auto"/>
              <w:jc w:val="center"/>
              <w:rPr>
                <w:rFonts w:ascii="Times New Roman" w:eastAsia="Arial" w:hAnsi="Times New Roman"/>
                <w:b/>
                <w:sz w:val="20"/>
                <w:szCs w:val="20"/>
              </w:rPr>
            </w:pPr>
            <w:r w:rsidRPr="000860EB">
              <w:rPr>
                <w:rFonts w:ascii="Times New Roman" w:eastAsia="Arial" w:hAnsi="Times New Roman"/>
                <w:b/>
                <w:sz w:val="20"/>
                <w:szCs w:val="20"/>
              </w:rPr>
              <w:t>1957)</w:t>
            </w:r>
          </w:p>
          <w:p w14:paraId="03ACE166" w14:textId="77777777" w:rsidR="003A7C1B" w:rsidRPr="000860EB" w:rsidRDefault="003A7C1B" w:rsidP="00250DAC">
            <w:pPr>
              <w:spacing w:after="0" w:line="240" w:lineRule="auto"/>
              <w:jc w:val="center"/>
              <w:rPr>
                <w:rFonts w:ascii="Times New Roman" w:eastAsia="Arial" w:hAnsi="Times New Roman"/>
                <w:b/>
                <w:sz w:val="20"/>
                <w:szCs w:val="20"/>
              </w:rPr>
            </w:pPr>
            <w:r w:rsidRPr="000860EB">
              <w:rPr>
                <w:rFonts w:ascii="Times New Roman" w:eastAsia="Arial" w:hAnsi="Times New Roman"/>
                <w:b/>
                <w:sz w:val="20"/>
                <w:szCs w:val="20"/>
              </w:rPr>
              <w:t>As a % of</w:t>
            </w:r>
          </w:p>
          <w:p w14:paraId="1A4FC8B5" w14:textId="77777777" w:rsidR="003A7C1B" w:rsidRPr="000860EB" w:rsidRDefault="003A7C1B" w:rsidP="00250DAC">
            <w:pPr>
              <w:spacing w:after="0" w:line="240" w:lineRule="auto"/>
              <w:jc w:val="center"/>
              <w:rPr>
                <w:rFonts w:ascii="Times New Roman" w:eastAsia="Arial" w:hAnsi="Times New Roman"/>
                <w:b/>
                <w:sz w:val="20"/>
                <w:szCs w:val="20"/>
              </w:rPr>
            </w:pPr>
            <w:r w:rsidRPr="000860EB">
              <w:rPr>
                <w:rFonts w:ascii="Times New Roman" w:eastAsia="Arial" w:hAnsi="Times New Roman"/>
                <w:b/>
                <w:sz w:val="20"/>
                <w:szCs w:val="20"/>
              </w:rPr>
              <w:t>(A+B+C2)</w:t>
            </w:r>
          </w:p>
        </w:tc>
        <w:tc>
          <w:tcPr>
            <w:tcW w:w="1162" w:type="pct"/>
            <w:gridSpan w:val="4"/>
            <w:shd w:val="clear" w:color="auto" w:fill="D0CECE" w:themeFill="background2" w:themeFillShade="E6"/>
          </w:tcPr>
          <w:p w14:paraId="01D37DE5" w14:textId="77777777" w:rsidR="003A7C1B" w:rsidRPr="000860EB" w:rsidRDefault="003A7C1B" w:rsidP="00250DAC">
            <w:pPr>
              <w:spacing w:after="0" w:line="240" w:lineRule="auto"/>
              <w:jc w:val="center"/>
              <w:rPr>
                <w:rFonts w:ascii="Times New Roman" w:eastAsia="Arial" w:hAnsi="Times New Roman"/>
                <w:b/>
                <w:sz w:val="20"/>
                <w:szCs w:val="20"/>
              </w:rPr>
            </w:pPr>
            <w:r w:rsidRPr="000860EB">
              <w:rPr>
                <w:rFonts w:ascii="Times New Roman" w:eastAsia="Arial" w:hAnsi="Times New Roman"/>
                <w:b/>
                <w:sz w:val="20"/>
                <w:szCs w:val="20"/>
              </w:rPr>
              <w:t>Number of Voting Rights held in each class of securities*</w:t>
            </w:r>
          </w:p>
          <w:p w14:paraId="29916384" w14:textId="77777777" w:rsidR="003A7C1B" w:rsidRPr="000860EB" w:rsidRDefault="003A7C1B" w:rsidP="00250DAC">
            <w:pPr>
              <w:spacing w:after="0" w:line="240" w:lineRule="auto"/>
              <w:jc w:val="center"/>
              <w:rPr>
                <w:rFonts w:ascii="Times New Roman" w:eastAsia="Arial" w:hAnsi="Times New Roman"/>
                <w:b/>
                <w:sz w:val="20"/>
                <w:szCs w:val="20"/>
              </w:rPr>
            </w:pPr>
          </w:p>
        </w:tc>
        <w:tc>
          <w:tcPr>
            <w:tcW w:w="208" w:type="pct"/>
            <w:vMerge w:val="restart"/>
            <w:shd w:val="clear" w:color="auto" w:fill="D0CECE" w:themeFill="background2" w:themeFillShade="E6"/>
          </w:tcPr>
          <w:p w14:paraId="49A38C52" w14:textId="77777777" w:rsidR="003A7C1B" w:rsidRPr="000860EB" w:rsidRDefault="003A7C1B" w:rsidP="00250DAC">
            <w:pPr>
              <w:spacing w:after="0" w:line="240" w:lineRule="auto"/>
              <w:jc w:val="center"/>
              <w:rPr>
                <w:rFonts w:ascii="Times New Roman" w:eastAsia="Arial" w:hAnsi="Times New Roman"/>
                <w:b/>
                <w:sz w:val="20"/>
                <w:szCs w:val="20"/>
              </w:rPr>
            </w:pPr>
            <w:r w:rsidRPr="000860EB">
              <w:rPr>
                <w:rFonts w:ascii="Times New Roman" w:eastAsia="Arial" w:hAnsi="Times New Roman"/>
                <w:b/>
                <w:sz w:val="20"/>
                <w:szCs w:val="20"/>
              </w:rPr>
              <w:t>No. of Shares Underlying Outstanding convertible</w:t>
            </w:r>
          </w:p>
        </w:tc>
        <w:tc>
          <w:tcPr>
            <w:tcW w:w="391" w:type="pct"/>
            <w:vMerge w:val="restart"/>
            <w:shd w:val="clear" w:color="auto" w:fill="D0CECE" w:themeFill="background2" w:themeFillShade="E6"/>
          </w:tcPr>
          <w:p w14:paraId="224AF1F5" w14:textId="77777777" w:rsidR="003A7C1B" w:rsidRPr="000860EB" w:rsidRDefault="003A7C1B" w:rsidP="00250DAC">
            <w:pPr>
              <w:spacing w:after="0" w:line="240" w:lineRule="auto"/>
              <w:jc w:val="center"/>
              <w:rPr>
                <w:rFonts w:ascii="Times New Roman" w:eastAsia="Arial" w:hAnsi="Times New Roman"/>
                <w:b/>
                <w:sz w:val="20"/>
                <w:szCs w:val="20"/>
              </w:rPr>
            </w:pPr>
            <w:r w:rsidRPr="000860EB">
              <w:rPr>
                <w:rFonts w:ascii="Times New Roman" w:eastAsia="Arial" w:hAnsi="Times New Roman"/>
                <w:b/>
                <w:sz w:val="20"/>
                <w:szCs w:val="20"/>
              </w:rPr>
              <w:t>Shareholding, as a % assuming full conversion</w:t>
            </w:r>
          </w:p>
          <w:p w14:paraId="3030FCCD" w14:textId="77777777" w:rsidR="003A7C1B" w:rsidRPr="000860EB" w:rsidRDefault="003A7C1B" w:rsidP="00250DAC">
            <w:pPr>
              <w:spacing w:after="0" w:line="240" w:lineRule="auto"/>
              <w:jc w:val="center"/>
              <w:rPr>
                <w:rFonts w:ascii="Times New Roman" w:eastAsia="Arial" w:hAnsi="Times New Roman"/>
                <w:b/>
                <w:sz w:val="20"/>
                <w:szCs w:val="20"/>
              </w:rPr>
            </w:pPr>
            <w:r w:rsidRPr="000860EB">
              <w:rPr>
                <w:rFonts w:ascii="Times New Roman" w:eastAsia="Arial" w:hAnsi="Times New Roman"/>
                <w:b/>
                <w:sz w:val="20"/>
                <w:szCs w:val="20"/>
              </w:rPr>
              <w:t>of convertible securities ( as a</w:t>
            </w:r>
          </w:p>
          <w:p w14:paraId="625F122C" w14:textId="77777777" w:rsidR="003A7C1B" w:rsidRPr="000860EB" w:rsidRDefault="003A7C1B" w:rsidP="00250DAC">
            <w:pPr>
              <w:spacing w:after="0" w:line="240" w:lineRule="auto"/>
              <w:jc w:val="center"/>
              <w:rPr>
                <w:rFonts w:ascii="Times New Roman" w:eastAsia="Arial" w:hAnsi="Times New Roman"/>
                <w:b/>
                <w:sz w:val="20"/>
                <w:szCs w:val="20"/>
              </w:rPr>
            </w:pPr>
            <w:r w:rsidRPr="000860EB">
              <w:rPr>
                <w:rFonts w:ascii="Times New Roman" w:eastAsia="Arial" w:hAnsi="Times New Roman"/>
                <w:b/>
                <w:sz w:val="20"/>
                <w:szCs w:val="20"/>
              </w:rPr>
              <w:t>percentage of diluted share capital)</w:t>
            </w:r>
          </w:p>
          <w:p w14:paraId="744909AF" w14:textId="77777777" w:rsidR="003A7C1B" w:rsidRPr="000860EB" w:rsidRDefault="003A7C1B" w:rsidP="00250DAC">
            <w:pPr>
              <w:spacing w:after="0" w:line="240" w:lineRule="auto"/>
              <w:jc w:val="center"/>
              <w:rPr>
                <w:rFonts w:ascii="Times New Roman" w:eastAsia="Arial" w:hAnsi="Times New Roman"/>
                <w:b/>
                <w:sz w:val="20"/>
                <w:szCs w:val="20"/>
              </w:rPr>
            </w:pPr>
            <w:r w:rsidRPr="000860EB">
              <w:rPr>
                <w:rFonts w:ascii="Times New Roman" w:eastAsia="Arial" w:hAnsi="Times New Roman"/>
                <w:b/>
                <w:sz w:val="20"/>
                <w:szCs w:val="20"/>
              </w:rPr>
              <w:t>As a % of (A+B+C2)</w:t>
            </w:r>
          </w:p>
        </w:tc>
        <w:tc>
          <w:tcPr>
            <w:tcW w:w="321" w:type="pct"/>
            <w:gridSpan w:val="2"/>
            <w:shd w:val="clear" w:color="auto" w:fill="D0CECE" w:themeFill="background2" w:themeFillShade="E6"/>
          </w:tcPr>
          <w:p w14:paraId="31056766" w14:textId="77777777" w:rsidR="003A7C1B" w:rsidRPr="000860EB" w:rsidRDefault="003A7C1B" w:rsidP="00250DAC">
            <w:pPr>
              <w:spacing w:after="0" w:line="240" w:lineRule="auto"/>
              <w:jc w:val="center"/>
              <w:rPr>
                <w:rFonts w:ascii="Times New Roman" w:eastAsia="Arial" w:hAnsi="Times New Roman"/>
                <w:b/>
                <w:sz w:val="20"/>
                <w:szCs w:val="20"/>
              </w:rPr>
            </w:pPr>
            <w:r w:rsidRPr="000860EB">
              <w:rPr>
                <w:rFonts w:ascii="Times New Roman" w:eastAsia="Arial" w:hAnsi="Times New Roman"/>
                <w:b/>
                <w:sz w:val="20"/>
                <w:szCs w:val="20"/>
              </w:rPr>
              <w:t>Number of Locked in shares</w:t>
            </w:r>
          </w:p>
          <w:p w14:paraId="375C9264" w14:textId="77777777" w:rsidR="003A7C1B" w:rsidRPr="000860EB" w:rsidRDefault="003A7C1B" w:rsidP="00250DAC">
            <w:pPr>
              <w:spacing w:after="0" w:line="240" w:lineRule="auto"/>
              <w:jc w:val="center"/>
              <w:rPr>
                <w:rFonts w:ascii="Times New Roman" w:eastAsia="Calibri" w:hAnsi="Times New Roman"/>
                <w:b/>
                <w:sz w:val="20"/>
                <w:szCs w:val="20"/>
              </w:rPr>
            </w:pPr>
          </w:p>
          <w:p w14:paraId="7568D41A" w14:textId="77777777" w:rsidR="003A7C1B" w:rsidRPr="000860EB" w:rsidRDefault="003A7C1B" w:rsidP="00250DAC">
            <w:pPr>
              <w:spacing w:after="0" w:line="240" w:lineRule="auto"/>
              <w:rPr>
                <w:rFonts w:ascii="Times New Roman" w:eastAsia="Arial" w:hAnsi="Times New Roman"/>
                <w:b/>
                <w:sz w:val="20"/>
                <w:szCs w:val="20"/>
              </w:rPr>
            </w:pPr>
          </w:p>
        </w:tc>
        <w:tc>
          <w:tcPr>
            <w:tcW w:w="381" w:type="pct"/>
            <w:gridSpan w:val="2"/>
            <w:shd w:val="clear" w:color="auto" w:fill="D0CECE" w:themeFill="background2" w:themeFillShade="E6"/>
          </w:tcPr>
          <w:p w14:paraId="519DD81D" w14:textId="77777777" w:rsidR="003A7C1B" w:rsidRPr="000860EB" w:rsidRDefault="003A7C1B" w:rsidP="00250DAC">
            <w:pPr>
              <w:spacing w:after="0" w:line="240" w:lineRule="auto"/>
              <w:jc w:val="center"/>
              <w:rPr>
                <w:rFonts w:ascii="Times New Roman" w:eastAsia="Arial" w:hAnsi="Times New Roman"/>
                <w:b/>
                <w:sz w:val="20"/>
                <w:szCs w:val="20"/>
              </w:rPr>
            </w:pPr>
            <w:r w:rsidRPr="000860EB">
              <w:rPr>
                <w:rFonts w:ascii="Times New Roman" w:eastAsia="Arial" w:hAnsi="Times New Roman"/>
                <w:b/>
                <w:sz w:val="20"/>
                <w:szCs w:val="20"/>
              </w:rPr>
              <w:t>Number of Shares pledged or otherwise encumbered</w:t>
            </w:r>
          </w:p>
        </w:tc>
        <w:tc>
          <w:tcPr>
            <w:tcW w:w="242" w:type="pct"/>
            <w:vMerge w:val="restart"/>
            <w:shd w:val="clear" w:color="auto" w:fill="D0CECE" w:themeFill="background2" w:themeFillShade="E6"/>
          </w:tcPr>
          <w:p w14:paraId="2F78B551" w14:textId="77777777" w:rsidR="003A7C1B" w:rsidRPr="000860EB" w:rsidRDefault="003A7C1B" w:rsidP="00250DAC">
            <w:pPr>
              <w:spacing w:after="0" w:line="240" w:lineRule="auto"/>
              <w:jc w:val="center"/>
              <w:rPr>
                <w:rFonts w:ascii="Times New Roman" w:eastAsia="Arial" w:hAnsi="Times New Roman"/>
                <w:b/>
                <w:sz w:val="20"/>
                <w:szCs w:val="20"/>
              </w:rPr>
            </w:pPr>
            <w:r w:rsidRPr="000860EB">
              <w:rPr>
                <w:rFonts w:ascii="Times New Roman" w:eastAsia="Arial" w:hAnsi="Times New Roman"/>
                <w:b/>
                <w:sz w:val="20"/>
                <w:szCs w:val="20"/>
              </w:rPr>
              <w:t>Number of equity shares held in dematerialized form</w:t>
            </w:r>
          </w:p>
          <w:p w14:paraId="44D0A3AA" w14:textId="77777777" w:rsidR="003A7C1B" w:rsidRPr="000860EB" w:rsidRDefault="003A7C1B" w:rsidP="00250DAC">
            <w:pPr>
              <w:spacing w:after="0" w:line="240" w:lineRule="auto"/>
              <w:jc w:val="center"/>
              <w:rPr>
                <w:rFonts w:ascii="Times New Roman" w:eastAsia="Calibri" w:hAnsi="Times New Roman"/>
                <w:b/>
                <w:sz w:val="20"/>
                <w:szCs w:val="20"/>
              </w:rPr>
            </w:pPr>
          </w:p>
          <w:p w14:paraId="1323964A" w14:textId="77777777" w:rsidR="003A7C1B" w:rsidRPr="000860EB" w:rsidRDefault="003A7C1B" w:rsidP="00250DAC">
            <w:pPr>
              <w:spacing w:after="0" w:line="240" w:lineRule="auto"/>
              <w:jc w:val="center"/>
              <w:rPr>
                <w:rFonts w:ascii="Times New Roman" w:eastAsia="Arial" w:hAnsi="Times New Roman"/>
                <w:b/>
                <w:sz w:val="20"/>
                <w:szCs w:val="20"/>
              </w:rPr>
            </w:pPr>
          </w:p>
        </w:tc>
      </w:tr>
      <w:tr w:rsidR="003A7C1B" w:rsidRPr="000860EB" w14:paraId="29AED5B4" w14:textId="77777777" w:rsidTr="00250DAC">
        <w:trPr>
          <w:trHeight w:val="20"/>
        </w:trPr>
        <w:tc>
          <w:tcPr>
            <w:tcW w:w="285" w:type="pct"/>
            <w:vMerge/>
            <w:shd w:val="clear" w:color="auto" w:fill="D0CECE" w:themeFill="background2" w:themeFillShade="E6"/>
          </w:tcPr>
          <w:p w14:paraId="321EDAF3" w14:textId="77777777" w:rsidR="003A7C1B" w:rsidRPr="000860EB" w:rsidRDefault="003A7C1B" w:rsidP="00250DAC">
            <w:pPr>
              <w:spacing w:after="0" w:line="240" w:lineRule="auto"/>
              <w:jc w:val="center"/>
              <w:rPr>
                <w:rFonts w:ascii="Times New Roman" w:eastAsia="Calibri" w:hAnsi="Times New Roman"/>
                <w:b/>
                <w:sz w:val="20"/>
                <w:szCs w:val="20"/>
              </w:rPr>
            </w:pPr>
          </w:p>
        </w:tc>
        <w:tc>
          <w:tcPr>
            <w:tcW w:w="350" w:type="pct"/>
            <w:vMerge/>
            <w:shd w:val="clear" w:color="auto" w:fill="D0CECE" w:themeFill="background2" w:themeFillShade="E6"/>
          </w:tcPr>
          <w:p w14:paraId="64C25838" w14:textId="77777777" w:rsidR="003A7C1B" w:rsidRPr="000860EB" w:rsidRDefault="003A7C1B" w:rsidP="00250DAC">
            <w:pPr>
              <w:spacing w:after="0" w:line="240" w:lineRule="auto"/>
              <w:jc w:val="center"/>
              <w:rPr>
                <w:rFonts w:ascii="Times New Roman" w:eastAsia="Calibri" w:hAnsi="Times New Roman"/>
                <w:b/>
                <w:sz w:val="20"/>
                <w:szCs w:val="20"/>
              </w:rPr>
            </w:pPr>
          </w:p>
        </w:tc>
        <w:tc>
          <w:tcPr>
            <w:tcW w:w="210" w:type="pct"/>
            <w:vMerge/>
            <w:shd w:val="clear" w:color="auto" w:fill="D0CECE" w:themeFill="background2" w:themeFillShade="E6"/>
          </w:tcPr>
          <w:p w14:paraId="0EBF422D" w14:textId="77777777" w:rsidR="003A7C1B" w:rsidRPr="000860EB" w:rsidRDefault="003A7C1B" w:rsidP="00250DAC">
            <w:pPr>
              <w:spacing w:after="0" w:line="240" w:lineRule="auto"/>
              <w:jc w:val="center"/>
              <w:rPr>
                <w:rFonts w:ascii="Times New Roman" w:eastAsia="Calibri" w:hAnsi="Times New Roman"/>
                <w:b/>
                <w:sz w:val="20"/>
                <w:szCs w:val="20"/>
              </w:rPr>
            </w:pPr>
          </w:p>
        </w:tc>
        <w:tc>
          <w:tcPr>
            <w:tcW w:w="373" w:type="pct"/>
            <w:vMerge/>
            <w:shd w:val="clear" w:color="auto" w:fill="D0CECE" w:themeFill="background2" w:themeFillShade="E6"/>
          </w:tcPr>
          <w:p w14:paraId="5A5A660D" w14:textId="77777777" w:rsidR="003A7C1B" w:rsidRPr="000860EB" w:rsidRDefault="003A7C1B" w:rsidP="00250DAC">
            <w:pPr>
              <w:spacing w:after="0" w:line="240" w:lineRule="auto"/>
              <w:jc w:val="center"/>
              <w:rPr>
                <w:rFonts w:ascii="Times New Roman" w:eastAsia="Calibri" w:hAnsi="Times New Roman"/>
                <w:b/>
                <w:sz w:val="20"/>
                <w:szCs w:val="20"/>
              </w:rPr>
            </w:pPr>
          </w:p>
        </w:tc>
        <w:tc>
          <w:tcPr>
            <w:tcW w:w="181" w:type="pct"/>
            <w:vMerge/>
            <w:shd w:val="clear" w:color="auto" w:fill="D0CECE" w:themeFill="background2" w:themeFillShade="E6"/>
          </w:tcPr>
          <w:p w14:paraId="5909F948" w14:textId="77777777" w:rsidR="003A7C1B" w:rsidRPr="000860EB" w:rsidRDefault="003A7C1B" w:rsidP="00250DAC">
            <w:pPr>
              <w:spacing w:after="0" w:line="240" w:lineRule="auto"/>
              <w:jc w:val="center"/>
              <w:rPr>
                <w:rFonts w:ascii="Times New Roman" w:eastAsia="Calibri" w:hAnsi="Times New Roman"/>
                <w:b/>
                <w:sz w:val="20"/>
                <w:szCs w:val="20"/>
              </w:rPr>
            </w:pPr>
          </w:p>
        </w:tc>
        <w:tc>
          <w:tcPr>
            <w:tcW w:w="233" w:type="pct"/>
            <w:vMerge/>
            <w:shd w:val="clear" w:color="auto" w:fill="D0CECE" w:themeFill="background2" w:themeFillShade="E6"/>
          </w:tcPr>
          <w:p w14:paraId="6EAD22F5" w14:textId="77777777" w:rsidR="003A7C1B" w:rsidRPr="000860EB" w:rsidRDefault="003A7C1B" w:rsidP="00250DAC">
            <w:pPr>
              <w:spacing w:after="0" w:line="240" w:lineRule="auto"/>
              <w:jc w:val="center"/>
              <w:rPr>
                <w:rFonts w:ascii="Times New Roman" w:eastAsia="Calibri" w:hAnsi="Times New Roman"/>
                <w:b/>
                <w:sz w:val="20"/>
                <w:szCs w:val="20"/>
              </w:rPr>
            </w:pPr>
          </w:p>
        </w:tc>
        <w:tc>
          <w:tcPr>
            <w:tcW w:w="391" w:type="pct"/>
            <w:vMerge/>
            <w:shd w:val="clear" w:color="auto" w:fill="D0CECE" w:themeFill="background2" w:themeFillShade="E6"/>
          </w:tcPr>
          <w:p w14:paraId="03230F1D" w14:textId="77777777" w:rsidR="003A7C1B" w:rsidRPr="000860EB" w:rsidRDefault="003A7C1B" w:rsidP="00250DAC">
            <w:pPr>
              <w:spacing w:after="0" w:line="240" w:lineRule="auto"/>
              <w:jc w:val="center"/>
              <w:rPr>
                <w:rFonts w:ascii="Times New Roman" w:eastAsia="Calibri" w:hAnsi="Times New Roman"/>
                <w:b/>
                <w:sz w:val="20"/>
                <w:szCs w:val="20"/>
              </w:rPr>
            </w:pPr>
          </w:p>
        </w:tc>
        <w:tc>
          <w:tcPr>
            <w:tcW w:w="272" w:type="pct"/>
            <w:vMerge/>
            <w:shd w:val="clear" w:color="auto" w:fill="D0CECE" w:themeFill="background2" w:themeFillShade="E6"/>
          </w:tcPr>
          <w:p w14:paraId="7307739E" w14:textId="77777777" w:rsidR="003A7C1B" w:rsidRPr="000860EB" w:rsidRDefault="003A7C1B" w:rsidP="00250DAC">
            <w:pPr>
              <w:spacing w:after="0" w:line="240" w:lineRule="auto"/>
              <w:jc w:val="center"/>
              <w:rPr>
                <w:rFonts w:ascii="Times New Roman" w:eastAsia="Calibri" w:hAnsi="Times New Roman"/>
                <w:b/>
                <w:sz w:val="20"/>
                <w:szCs w:val="20"/>
              </w:rPr>
            </w:pPr>
          </w:p>
        </w:tc>
        <w:tc>
          <w:tcPr>
            <w:tcW w:w="894" w:type="pct"/>
            <w:gridSpan w:val="3"/>
            <w:shd w:val="clear" w:color="auto" w:fill="D0CECE" w:themeFill="background2" w:themeFillShade="E6"/>
          </w:tcPr>
          <w:p w14:paraId="7FEB7B6B" w14:textId="77777777" w:rsidR="003A7C1B" w:rsidRPr="000860EB" w:rsidRDefault="003A7C1B" w:rsidP="00250DAC">
            <w:pPr>
              <w:spacing w:after="0" w:line="240" w:lineRule="auto"/>
              <w:jc w:val="center"/>
              <w:rPr>
                <w:rFonts w:ascii="Times New Roman" w:eastAsia="Arial" w:hAnsi="Times New Roman"/>
                <w:b/>
                <w:sz w:val="20"/>
                <w:szCs w:val="20"/>
              </w:rPr>
            </w:pPr>
            <w:r w:rsidRPr="000860EB">
              <w:rPr>
                <w:rFonts w:ascii="Times New Roman" w:eastAsia="Arial" w:hAnsi="Times New Roman"/>
                <w:b/>
                <w:sz w:val="20"/>
                <w:szCs w:val="20"/>
              </w:rPr>
              <w:t>No of Voting Rights</w:t>
            </w:r>
          </w:p>
        </w:tc>
        <w:tc>
          <w:tcPr>
            <w:tcW w:w="268" w:type="pct"/>
            <w:vMerge w:val="restart"/>
            <w:shd w:val="clear" w:color="auto" w:fill="D0CECE" w:themeFill="background2" w:themeFillShade="E6"/>
          </w:tcPr>
          <w:p w14:paraId="07EAB4EE" w14:textId="77777777" w:rsidR="003A7C1B" w:rsidRPr="000860EB" w:rsidRDefault="003A7C1B" w:rsidP="00250DAC">
            <w:pPr>
              <w:spacing w:after="0" w:line="240" w:lineRule="auto"/>
              <w:jc w:val="center"/>
              <w:rPr>
                <w:rFonts w:ascii="Times New Roman" w:eastAsia="Arial" w:hAnsi="Times New Roman"/>
                <w:b/>
                <w:sz w:val="20"/>
                <w:szCs w:val="20"/>
              </w:rPr>
            </w:pPr>
            <w:r w:rsidRPr="000860EB">
              <w:rPr>
                <w:rFonts w:ascii="Times New Roman" w:eastAsia="Arial" w:hAnsi="Times New Roman"/>
                <w:b/>
                <w:sz w:val="20"/>
                <w:szCs w:val="20"/>
              </w:rPr>
              <w:t>Total as a</w:t>
            </w:r>
          </w:p>
          <w:p w14:paraId="522BC814" w14:textId="77777777" w:rsidR="003A7C1B" w:rsidRPr="000860EB" w:rsidRDefault="003A7C1B" w:rsidP="00250DAC">
            <w:pPr>
              <w:spacing w:after="0" w:line="240" w:lineRule="auto"/>
              <w:jc w:val="center"/>
              <w:rPr>
                <w:rFonts w:ascii="Times New Roman" w:eastAsia="Arial" w:hAnsi="Times New Roman"/>
                <w:b/>
                <w:sz w:val="20"/>
                <w:szCs w:val="20"/>
              </w:rPr>
            </w:pPr>
            <w:r w:rsidRPr="000860EB">
              <w:rPr>
                <w:rFonts w:ascii="Times New Roman" w:eastAsia="Arial" w:hAnsi="Times New Roman"/>
                <w:b/>
                <w:sz w:val="20"/>
                <w:szCs w:val="20"/>
              </w:rPr>
              <w:t>% of (A+B+ C)</w:t>
            </w:r>
          </w:p>
        </w:tc>
        <w:tc>
          <w:tcPr>
            <w:tcW w:w="208" w:type="pct"/>
            <w:vMerge/>
            <w:shd w:val="clear" w:color="auto" w:fill="D0CECE" w:themeFill="background2" w:themeFillShade="E6"/>
          </w:tcPr>
          <w:p w14:paraId="74A79B40" w14:textId="77777777" w:rsidR="003A7C1B" w:rsidRPr="000860EB" w:rsidRDefault="003A7C1B" w:rsidP="00250DAC">
            <w:pPr>
              <w:spacing w:after="0" w:line="240" w:lineRule="auto"/>
              <w:jc w:val="center"/>
              <w:rPr>
                <w:rFonts w:ascii="Times New Roman" w:eastAsia="Calibri" w:hAnsi="Times New Roman"/>
                <w:b/>
                <w:color w:val="FFFFFF"/>
                <w:sz w:val="20"/>
                <w:szCs w:val="20"/>
              </w:rPr>
            </w:pPr>
          </w:p>
        </w:tc>
        <w:tc>
          <w:tcPr>
            <w:tcW w:w="391" w:type="pct"/>
            <w:vMerge/>
            <w:shd w:val="clear" w:color="auto" w:fill="D0CECE" w:themeFill="background2" w:themeFillShade="E6"/>
          </w:tcPr>
          <w:p w14:paraId="5CFBED58" w14:textId="77777777" w:rsidR="003A7C1B" w:rsidRPr="000860EB" w:rsidRDefault="003A7C1B" w:rsidP="00250DAC">
            <w:pPr>
              <w:spacing w:after="0" w:line="240" w:lineRule="auto"/>
              <w:jc w:val="center"/>
              <w:rPr>
                <w:rFonts w:ascii="Times New Roman" w:eastAsia="Calibri" w:hAnsi="Times New Roman"/>
                <w:b/>
                <w:color w:val="FFFFFF"/>
                <w:sz w:val="20"/>
                <w:szCs w:val="20"/>
              </w:rPr>
            </w:pPr>
          </w:p>
        </w:tc>
        <w:tc>
          <w:tcPr>
            <w:tcW w:w="126" w:type="pct"/>
            <w:vMerge w:val="restart"/>
            <w:shd w:val="clear" w:color="auto" w:fill="D0CECE" w:themeFill="background2" w:themeFillShade="E6"/>
          </w:tcPr>
          <w:p w14:paraId="47CD35FD" w14:textId="77777777" w:rsidR="003A7C1B" w:rsidRPr="000860EB" w:rsidRDefault="003A7C1B" w:rsidP="00250DAC">
            <w:pPr>
              <w:spacing w:after="0" w:line="240" w:lineRule="auto"/>
              <w:jc w:val="center"/>
              <w:rPr>
                <w:rFonts w:ascii="Times New Roman" w:eastAsia="Arial" w:hAnsi="Times New Roman"/>
                <w:b/>
                <w:sz w:val="20"/>
                <w:szCs w:val="20"/>
              </w:rPr>
            </w:pPr>
            <w:r w:rsidRPr="000860EB">
              <w:rPr>
                <w:rFonts w:ascii="Times New Roman" w:eastAsia="Arial" w:hAnsi="Times New Roman"/>
                <w:b/>
                <w:sz w:val="20"/>
                <w:szCs w:val="20"/>
              </w:rPr>
              <w:t>No. (a)</w:t>
            </w:r>
          </w:p>
        </w:tc>
        <w:tc>
          <w:tcPr>
            <w:tcW w:w="195" w:type="pct"/>
            <w:vMerge w:val="restart"/>
            <w:shd w:val="clear" w:color="auto" w:fill="D0CECE" w:themeFill="background2" w:themeFillShade="E6"/>
          </w:tcPr>
          <w:p w14:paraId="269D0FC4" w14:textId="77777777" w:rsidR="003A7C1B" w:rsidRPr="000860EB" w:rsidRDefault="003A7C1B" w:rsidP="00250DAC">
            <w:pPr>
              <w:spacing w:after="0" w:line="240" w:lineRule="auto"/>
              <w:jc w:val="center"/>
              <w:rPr>
                <w:rFonts w:ascii="Times New Roman" w:eastAsia="Arial" w:hAnsi="Times New Roman"/>
                <w:b/>
                <w:sz w:val="20"/>
                <w:szCs w:val="20"/>
              </w:rPr>
            </w:pPr>
            <w:r w:rsidRPr="000860EB">
              <w:rPr>
                <w:rFonts w:ascii="Times New Roman" w:eastAsia="Arial" w:hAnsi="Times New Roman"/>
                <w:b/>
                <w:sz w:val="20"/>
                <w:szCs w:val="20"/>
              </w:rPr>
              <w:t>As a</w:t>
            </w:r>
          </w:p>
          <w:p w14:paraId="72729868" w14:textId="77777777" w:rsidR="003A7C1B" w:rsidRPr="000860EB" w:rsidRDefault="003A7C1B" w:rsidP="00250DAC">
            <w:pPr>
              <w:spacing w:after="0" w:line="240" w:lineRule="auto"/>
              <w:jc w:val="center"/>
              <w:rPr>
                <w:rFonts w:ascii="Times New Roman" w:eastAsia="Arial" w:hAnsi="Times New Roman"/>
                <w:b/>
                <w:sz w:val="20"/>
                <w:szCs w:val="20"/>
              </w:rPr>
            </w:pPr>
            <w:r w:rsidRPr="000860EB">
              <w:rPr>
                <w:rFonts w:ascii="Times New Roman" w:eastAsia="Arial" w:hAnsi="Times New Roman"/>
                <w:b/>
                <w:sz w:val="20"/>
                <w:szCs w:val="20"/>
              </w:rPr>
              <w:t>% of total Shares held (b)</w:t>
            </w:r>
          </w:p>
        </w:tc>
        <w:tc>
          <w:tcPr>
            <w:tcW w:w="192" w:type="pct"/>
            <w:vMerge w:val="restart"/>
            <w:shd w:val="clear" w:color="auto" w:fill="D0CECE" w:themeFill="background2" w:themeFillShade="E6"/>
          </w:tcPr>
          <w:p w14:paraId="314DD58D" w14:textId="77777777" w:rsidR="003A7C1B" w:rsidRPr="000860EB" w:rsidRDefault="003A7C1B" w:rsidP="00250DAC">
            <w:pPr>
              <w:spacing w:after="0" w:line="240" w:lineRule="auto"/>
              <w:jc w:val="center"/>
              <w:rPr>
                <w:rFonts w:ascii="Times New Roman" w:eastAsia="Arial" w:hAnsi="Times New Roman"/>
                <w:b/>
                <w:sz w:val="20"/>
                <w:szCs w:val="20"/>
              </w:rPr>
            </w:pPr>
            <w:r w:rsidRPr="000860EB">
              <w:rPr>
                <w:rFonts w:ascii="Times New Roman" w:eastAsia="Arial" w:hAnsi="Times New Roman"/>
                <w:b/>
                <w:sz w:val="20"/>
                <w:szCs w:val="20"/>
              </w:rPr>
              <w:t>No. (a)</w:t>
            </w:r>
          </w:p>
        </w:tc>
        <w:tc>
          <w:tcPr>
            <w:tcW w:w="189" w:type="pct"/>
            <w:vMerge w:val="restart"/>
            <w:shd w:val="clear" w:color="auto" w:fill="D0CECE" w:themeFill="background2" w:themeFillShade="E6"/>
          </w:tcPr>
          <w:p w14:paraId="12066129" w14:textId="77777777" w:rsidR="003A7C1B" w:rsidRPr="000860EB" w:rsidRDefault="003A7C1B" w:rsidP="00250DAC">
            <w:pPr>
              <w:spacing w:after="0" w:line="240" w:lineRule="auto"/>
              <w:jc w:val="center"/>
              <w:rPr>
                <w:rFonts w:ascii="Times New Roman" w:eastAsia="Arial" w:hAnsi="Times New Roman"/>
                <w:b/>
                <w:sz w:val="20"/>
                <w:szCs w:val="20"/>
              </w:rPr>
            </w:pPr>
            <w:r w:rsidRPr="000860EB">
              <w:rPr>
                <w:rFonts w:ascii="Times New Roman" w:eastAsia="Arial" w:hAnsi="Times New Roman"/>
                <w:b/>
                <w:sz w:val="20"/>
                <w:szCs w:val="20"/>
              </w:rPr>
              <w:t>As a</w:t>
            </w:r>
          </w:p>
          <w:p w14:paraId="19CA1AB1" w14:textId="77777777" w:rsidR="003A7C1B" w:rsidRPr="000860EB" w:rsidRDefault="003A7C1B" w:rsidP="00250DAC">
            <w:pPr>
              <w:spacing w:after="0" w:line="240" w:lineRule="auto"/>
              <w:jc w:val="center"/>
              <w:rPr>
                <w:rFonts w:ascii="Times New Roman" w:eastAsia="Arial" w:hAnsi="Times New Roman"/>
                <w:b/>
                <w:sz w:val="20"/>
                <w:szCs w:val="20"/>
              </w:rPr>
            </w:pPr>
            <w:r w:rsidRPr="000860EB">
              <w:rPr>
                <w:rFonts w:ascii="Times New Roman" w:eastAsia="Arial" w:hAnsi="Times New Roman"/>
                <w:b/>
                <w:sz w:val="20"/>
                <w:szCs w:val="20"/>
              </w:rPr>
              <w:t>% of total Share s held (b)</w:t>
            </w:r>
          </w:p>
        </w:tc>
        <w:tc>
          <w:tcPr>
            <w:tcW w:w="242" w:type="pct"/>
            <w:vMerge/>
            <w:shd w:val="clear" w:color="auto" w:fill="D0CECE" w:themeFill="background2" w:themeFillShade="E6"/>
          </w:tcPr>
          <w:p w14:paraId="796EC600" w14:textId="77777777" w:rsidR="003A7C1B" w:rsidRPr="000860EB" w:rsidRDefault="003A7C1B" w:rsidP="00250DAC">
            <w:pPr>
              <w:spacing w:after="0" w:line="240" w:lineRule="auto"/>
              <w:jc w:val="center"/>
              <w:rPr>
                <w:rFonts w:ascii="Times New Roman" w:eastAsia="Calibri" w:hAnsi="Times New Roman"/>
                <w:b/>
                <w:color w:val="FFFFFF"/>
                <w:sz w:val="20"/>
                <w:szCs w:val="20"/>
              </w:rPr>
            </w:pPr>
          </w:p>
        </w:tc>
      </w:tr>
      <w:tr w:rsidR="003A7C1B" w:rsidRPr="000860EB" w14:paraId="1EA8680F" w14:textId="77777777" w:rsidTr="00250DAC">
        <w:trPr>
          <w:trHeight w:val="20"/>
        </w:trPr>
        <w:tc>
          <w:tcPr>
            <w:tcW w:w="285" w:type="pct"/>
            <w:vMerge/>
            <w:shd w:val="clear" w:color="auto" w:fill="D0CECE" w:themeFill="background2" w:themeFillShade="E6"/>
          </w:tcPr>
          <w:p w14:paraId="33491CDA" w14:textId="77777777" w:rsidR="003A7C1B" w:rsidRPr="000860EB" w:rsidRDefault="003A7C1B" w:rsidP="00250DAC">
            <w:pPr>
              <w:spacing w:after="0" w:line="240" w:lineRule="auto"/>
              <w:jc w:val="center"/>
              <w:rPr>
                <w:rFonts w:ascii="Times New Roman" w:eastAsia="Calibri" w:hAnsi="Times New Roman"/>
                <w:b/>
                <w:sz w:val="20"/>
                <w:szCs w:val="20"/>
              </w:rPr>
            </w:pPr>
          </w:p>
        </w:tc>
        <w:tc>
          <w:tcPr>
            <w:tcW w:w="350" w:type="pct"/>
            <w:vMerge/>
            <w:shd w:val="clear" w:color="auto" w:fill="D0CECE" w:themeFill="background2" w:themeFillShade="E6"/>
          </w:tcPr>
          <w:p w14:paraId="16E4B575" w14:textId="77777777" w:rsidR="003A7C1B" w:rsidRPr="000860EB" w:rsidRDefault="003A7C1B" w:rsidP="00250DAC">
            <w:pPr>
              <w:spacing w:after="0" w:line="240" w:lineRule="auto"/>
              <w:jc w:val="center"/>
              <w:rPr>
                <w:rFonts w:ascii="Times New Roman" w:eastAsia="Calibri" w:hAnsi="Times New Roman"/>
                <w:b/>
                <w:sz w:val="20"/>
                <w:szCs w:val="20"/>
              </w:rPr>
            </w:pPr>
          </w:p>
        </w:tc>
        <w:tc>
          <w:tcPr>
            <w:tcW w:w="210" w:type="pct"/>
            <w:vMerge/>
            <w:shd w:val="clear" w:color="auto" w:fill="D0CECE" w:themeFill="background2" w:themeFillShade="E6"/>
          </w:tcPr>
          <w:p w14:paraId="5F12104F" w14:textId="77777777" w:rsidR="003A7C1B" w:rsidRPr="000860EB" w:rsidRDefault="003A7C1B" w:rsidP="00250DAC">
            <w:pPr>
              <w:spacing w:after="0" w:line="240" w:lineRule="auto"/>
              <w:jc w:val="center"/>
              <w:rPr>
                <w:rFonts w:ascii="Times New Roman" w:eastAsia="Calibri" w:hAnsi="Times New Roman"/>
                <w:b/>
                <w:sz w:val="20"/>
                <w:szCs w:val="20"/>
              </w:rPr>
            </w:pPr>
          </w:p>
        </w:tc>
        <w:tc>
          <w:tcPr>
            <w:tcW w:w="373" w:type="pct"/>
            <w:vMerge/>
            <w:shd w:val="clear" w:color="auto" w:fill="D0CECE" w:themeFill="background2" w:themeFillShade="E6"/>
          </w:tcPr>
          <w:p w14:paraId="5308997D" w14:textId="77777777" w:rsidR="003A7C1B" w:rsidRPr="000860EB" w:rsidRDefault="003A7C1B" w:rsidP="00250DAC">
            <w:pPr>
              <w:spacing w:after="0" w:line="240" w:lineRule="auto"/>
              <w:jc w:val="center"/>
              <w:rPr>
                <w:rFonts w:ascii="Times New Roman" w:eastAsia="Calibri" w:hAnsi="Times New Roman"/>
                <w:b/>
                <w:sz w:val="20"/>
                <w:szCs w:val="20"/>
              </w:rPr>
            </w:pPr>
          </w:p>
        </w:tc>
        <w:tc>
          <w:tcPr>
            <w:tcW w:w="181" w:type="pct"/>
            <w:vMerge/>
            <w:shd w:val="clear" w:color="auto" w:fill="D0CECE" w:themeFill="background2" w:themeFillShade="E6"/>
          </w:tcPr>
          <w:p w14:paraId="0BF534BE" w14:textId="77777777" w:rsidR="003A7C1B" w:rsidRPr="000860EB" w:rsidRDefault="003A7C1B" w:rsidP="00250DAC">
            <w:pPr>
              <w:spacing w:after="0" w:line="240" w:lineRule="auto"/>
              <w:jc w:val="center"/>
              <w:rPr>
                <w:rFonts w:ascii="Times New Roman" w:eastAsia="Calibri" w:hAnsi="Times New Roman"/>
                <w:b/>
                <w:sz w:val="20"/>
                <w:szCs w:val="20"/>
              </w:rPr>
            </w:pPr>
          </w:p>
        </w:tc>
        <w:tc>
          <w:tcPr>
            <w:tcW w:w="233" w:type="pct"/>
            <w:vMerge/>
            <w:shd w:val="clear" w:color="auto" w:fill="D0CECE" w:themeFill="background2" w:themeFillShade="E6"/>
          </w:tcPr>
          <w:p w14:paraId="58F518D1" w14:textId="77777777" w:rsidR="003A7C1B" w:rsidRPr="000860EB" w:rsidRDefault="003A7C1B" w:rsidP="00250DAC">
            <w:pPr>
              <w:spacing w:after="0" w:line="240" w:lineRule="auto"/>
              <w:jc w:val="center"/>
              <w:rPr>
                <w:rFonts w:ascii="Times New Roman" w:eastAsia="Calibri" w:hAnsi="Times New Roman"/>
                <w:b/>
                <w:sz w:val="20"/>
                <w:szCs w:val="20"/>
              </w:rPr>
            </w:pPr>
          </w:p>
        </w:tc>
        <w:tc>
          <w:tcPr>
            <w:tcW w:w="391" w:type="pct"/>
            <w:vMerge/>
            <w:shd w:val="clear" w:color="auto" w:fill="D0CECE" w:themeFill="background2" w:themeFillShade="E6"/>
          </w:tcPr>
          <w:p w14:paraId="4DC5E1D1" w14:textId="77777777" w:rsidR="003A7C1B" w:rsidRPr="000860EB" w:rsidRDefault="003A7C1B" w:rsidP="00250DAC">
            <w:pPr>
              <w:spacing w:after="0" w:line="240" w:lineRule="auto"/>
              <w:jc w:val="center"/>
              <w:rPr>
                <w:rFonts w:ascii="Times New Roman" w:eastAsia="Calibri" w:hAnsi="Times New Roman"/>
                <w:b/>
                <w:sz w:val="20"/>
                <w:szCs w:val="20"/>
              </w:rPr>
            </w:pPr>
          </w:p>
        </w:tc>
        <w:tc>
          <w:tcPr>
            <w:tcW w:w="272" w:type="pct"/>
            <w:vMerge/>
            <w:shd w:val="clear" w:color="auto" w:fill="D0CECE" w:themeFill="background2" w:themeFillShade="E6"/>
          </w:tcPr>
          <w:p w14:paraId="3B74EB3D" w14:textId="77777777" w:rsidR="003A7C1B" w:rsidRPr="000860EB" w:rsidRDefault="003A7C1B" w:rsidP="00250DAC">
            <w:pPr>
              <w:spacing w:after="0" w:line="240" w:lineRule="auto"/>
              <w:jc w:val="center"/>
              <w:rPr>
                <w:rFonts w:ascii="Times New Roman" w:eastAsia="Calibri" w:hAnsi="Times New Roman"/>
                <w:b/>
                <w:sz w:val="20"/>
                <w:szCs w:val="20"/>
              </w:rPr>
            </w:pPr>
          </w:p>
        </w:tc>
        <w:tc>
          <w:tcPr>
            <w:tcW w:w="358" w:type="pct"/>
            <w:shd w:val="clear" w:color="auto" w:fill="D0CECE" w:themeFill="background2" w:themeFillShade="E6"/>
          </w:tcPr>
          <w:p w14:paraId="0F71549C" w14:textId="77777777" w:rsidR="003A7C1B" w:rsidRPr="000860EB" w:rsidRDefault="003A7C1B" w:rsidP="00250DAC">
            <w:pPr>
              <w:spacing w:after="0" w:line="240" w:lineRule="auto"/>
              <w:jc w:val="center"/>
              <w:rPr>
                <w:rFonts w:ascii="Times New Roman" w:eastAsia="Arial" w:hAnsi="Times New Roman"/>
                <w:b/>
                <w:sz w:val="20"/>
                <w:szCs w:val="20"/>
              </w:rPr>
            </w:pPr>
            <w:r w:rsidRPr="000860EB">
              <w:rPr>
                <w:rFonts w:ascii="Times New Roman" w:eastAsia="Arial" w:hAnsi="Times New Roman"/>
                <w:b/>
                <w:sz w:val="20"/>
                <w:szCs w:val="20"/>
              </w:rPr>
              <w:t>Class Equity Shares of ₹10/- each^</w:t>
            </w:r>
          </w:p>
        </w:tc>
        <w:tc>
          <w:tcPr>
            <w:tcW w:w="179" w:type="pct"/>
            <w:shd w:val="clear" w:color="auto" w:fill="D0CECE" w:themeFill="background2" w:themeFillShade="E6"/>
          </w:tcPr>
          <w:p w14:paraId="09C7A929" w14:textId="77777777" w:rsidR="003A7C1B" w:rsidRPr="000860EB" w:rsidRDefault="003A7C1B" w:rsidP="00250DAC">
            <w:pPr>
              <w:spacing w:after="0" w:line="240" w:lineRule="auto"/>
              <w:jc w:val="center"/>
              <w:rPr>
                <w:rFonts w:ascii="Times New Roman" w:eastAsia="Arial" w:hAnsi="Times New Roman"/>
                <w:b/>
                <w:sz w:val="20"/>
                <w:szCs w:val="20"/>
              </w:rPr>
            </w:pPr>
            <w:r w:rsidRPr="000860EB">
              <w:rPr>
                <w:rFonts w:ascii="Times New Roman" w:eastAsia="Arial" w:hAnsi="Times New Roman"/>
                <w:b/>
                <w:sz w:val="20"/>
                <w:szCs w:val="20"/>
              </w:rPr>
              <w:t>Class eg: y</w:t>
            </w:r>
          </w:p>
        </w:tc>
        <w:tc>
          <w:tcPr>
            <w:tcW w:w="357" w:type="pct"/>
            <w:shd w:val="clear" w:color="auto" w:fill="D0CECE" w:themeFill="background2" w:themeFillShade="E6"/>
          </w:tcPr>
          <w:p w14:paraId="4BB13E1F" w14:textId="77777777" w:rsidR="003A7C1B" w:rsidRPr="000860EB" w:rsidRDefault="003A7C1B" w:rsidP="00250DAC">
            <w:pPr>
              <w:spacing w:after="0" w:line="240" w:lineRule="auto"/>
              <w:jc w:val="center"/>
              <w:rPr>
                <w:rFonts w:ascii="Times New Roman" w:eastAsia="Arial" w:hAnsi="Times New Roman"/>
                <w:b/>
                <w:sz w:val="20"/>
                <w:szCs w:val="20"/>
              </w:rPr>
            </w:pPr>
            <w:r w:rsidRPr="000860EB">
              <w:rPr>
                <w:rFonts w:ascii="Times New Roman" w:eastAsia="Arial" w:hAnsi="Times New Roman"/>
                <w:b/>
                <w:sz w:val="20"/>
                <w:szCs w:val="20"/>
              </w:rPr>
              <w:t>Total</w:t>
            </w:r>
          </w:p>
        </w:tc>
        <w:tc>
          <w:tcPr>
            <w:tcW w:w="268" w:type="pct"/>
            <w:vMerge/>
            <w:shd w:val="clear" w:color="auto" w:fill="D0CECE" w:themeFill="background2" w:themeFillShade="E6"/>
          </w:tcPr>
          <w:p w14:paraId="69A8F5E3" w14:textId="77777777" w:rsidR="003A7C1B" w:rsidRPr="000860EB" w:rsidRDefault="003A7C1B" w:rsidP="00250DAC">
            <w:pPr>
              <w:spacing w:after="0" w:line="240" w:lineRule="auto"/>
              <w:jc w:val="center"/>
              <w:rPr>
                <w:rFonts w:ascii="Times New Roman" w:eastAsia="Calibri" w:hAnsi="Times New Roman"/>
                <w:b/>
                <w:color w:val="FFFFFF"/>
                <w:sz w:val="20"/>
                <w:szCs w:val="20"/>
              </w:rPr>
            </w:pPr>
          </w:p>
        </w:tc>
        <w:tc>
          <w:tcPr>
            <w:tcW w:w="208" w:type="pct"/>
            <w:vMerge/>
            <w:shd w:val="clear" w:color="auto" w:fill="D0CECE" w:themeFill="background2" w:themeFillShade="E6"/>
          </w:tcPr>
          <w:p w14:paraId="11EE0260" w14:textId="77777777" w:rsidR="003A7C1B" w:rsidRPr="000860EB" w:rsidRDefault="003A7C1B" w:rsidP="00250DAC">
            <w:pPr>
              <w:spacing w:after="0" w:line="240" w:lineRule="auto"/>
              <w:jc w:val="center"/>
              <w:rPr>
                <w:rFonts w:ascii="Times New Roman" w:eastAsia="Calibri" w:hAnsi="Times New Roman"/>
                <w:b/>
                <w:color w:val="FFFFFF"/>
                <w:sz w:val="20"/>
                <w:szCs w:val="20"/>
              </w:rPr>
            </w:pPr>
          </w:p>
        </w:tc>
        <w:tc>
          <w:tcPr>
            <w:tcW w:w="391" w:type="pct"/>
            <w:vMerge/>
            <w:shd w:val="clear" w:color="auto" w:fill="D0CECE" w:themeFill="background2" w:themeFillShade="E6"/>
          </w:tcPr>
          <w:p w14:paraId="72DDC87B" w14:textId="77777777" w:rsidR="003A7C1B" w:rsidRPr="000860EB" w:rsidRDefault="003A7C1B" w:rsidP="00250DAC">
            <w:pPr>
              <w:spacing w:after="0" w:line="240" w:lineRule="auto"/>
              <w:jc w:val="center"/>
              <w:rPr>
                <w:rFonts w:ascii="Times New Roman" w:eastAsia="Calibri" w:hAnsi="Times New Roman"/>
                <w:b/>
                <w:color w:val="FFFFFF"/>
                <w:sz w:val="20"/>
                <w:szCs w:val="20"/>
              </w:rPr>
            </w:pPr>
          </w:p>
        </w:tc>
        <w:tc>
          <w:tcPr>
            <w:tcW w:w="126" w:type="pct"/>
            <w:vMerge/>
            <w:shd w:val="clear" w:color="auto" w:fill="D0CECE" w:themeFill="background2" w:themeFillShade="E6"/>
          </w:tcPr>
          <w:p w14:paraId="41610BF2" w14:textId="77777777" w:rsidR="003A7C1B" w:rsidRPr="000860EB" w:rsidRDefault="003A7C1B" w:rsidP="00250DAC">
            <w:pPr>
              <w:spacing w:after="0" w:line="240" w:lineRule="auto"/>
              <w:jc w:val="center"/>
              <w:rPr>
                <w:rFonts w:ascii="Times New Roman" w:eastAsia="Calibri" w:hAnsi="Times New Roman"/>
                <w:b/>
                <w:color w:val="FFFFFF"/>
                <w:sz w:val="20"/>
                <w:szCs w:val="20"/>
              </w:rPr>
            </w:pPr>
          </w:p>
        </w:tc>
        <w:tc>
          <w:tcPr>
            <w:tcW w:w="195" w:type="pct"/>
            <w:vMerge/>
            <w:shd w:val="clear" w:color="auto" w:fill="D0CECE" w:themeFill="background2" w:themeFillShade="E6"/>
          </w:tcPr>
          <w:p w14:paraId="43142718" w14:textId="77777777" w:rsidR="003A7C1B" w:rsidRPr="000860EB" w:rsidRDefault="003A7C1B" w:rsidP="00250DAC">
            <w:pPr>
              <w:spacing w:after="0" w:line="240" w:lineRule="auto"/>
              <w:jc w:val="center"/>
              <w:rPr>
                <w:rFonts w:ascii="Times New Roman" w:eastAsia="Calibri" w:hAnsi="Times New Roman"/>
                <w:b/>
                <w:color w:val="FFFFFF"/>
                <w:sz w:val="20"/>
                <w:szCs w:val="20"/>
              </w:rPr>
            </w:pPr>
          </w:p>
        </w:tc>
        <w:tc>
          <w:tcPr>
            <w:tcW w:w="192" w:type="pct"/>
            <w:vMerge/>
            <w:shd w:val="clear" w:color="auto" w:fill="D0CECE" w:themeFill="background2" w:themeFillShade="E6"/>
          </w:tcPr>
          <w:p w14:paraId="772C97EF" w14:textId="77777777" w:rsidR="003A7C1B" w:rsidRPr="000860EB" w:rsidRDefault="003A7C1B" w:rsidP="00250DAC">
            <w:pPr>
              <w:spacing w:after="0" w:line="240" w:lineRule="auto"/>
              <w:jc w:val="center"/>
              <w:rPr>
                <w:rFonts w:ascii="Times New Roman" w:eastAsia="Calibri" w:hAnsi="Times New Roman"/>
                <w:b/>
                <w:color w:val="FFFFFF"/>
                <w:sz w:val="20"/>
                <w:szCs w:val="20"/>
              </w:rPr>
            </w:pPr>
          </w:p>
        </w:tc>
        <w:tc>
          <w:tcPr>
            <w:tcW w:w="189" w:type="pct"/>
            <w:vMerge/>
            <w:shd w:val="clear" w:color="auto" w:fill="D0CECE" w:themeFill="background2" w:themeFillShade="E6"/>
          </w:tcPr>
          <w:p w14:paraId="04CDB253" w14:textId="77777777" w:rsidR="003A7C1B" w:rsidRPr="000860EB" w:rsidRDefault="003A7C1B" w:rsidP="00250DAC">
            <w:pPr>
              <w:spacing w:after="0" w:line="240" w:lineRule="auto"/>
              <w:jc w:val="center"/>
              <w:rPr>
                <w:rFonts w:ascii="Times New Roman" w:eastAsia="Calibri" w:hAnsi="Times New Roman"/>
                <w:b/>
                <w:color w:val="FFFFFF"/>
                <w:sz w:val="20"/>
                <w:szCs w:val="20"/>
              </w:rPr>
            </w:pPr>
          </w:p>
        </w:tc>
        <w:tc>
          <w:tcPr>
            <w:tcW w:w="242" w:type="pct"/>
            <w:vMerge/>
            <w:shd w:val="clear" w:color="auto" w:fill="D0CECE" w:themeFill="background2" w:themeFillShade="E6"/>
          </w:tcPr>
          <w:p w14:paraId="623ECF6D" w14:textId="77777777" w:rsidR="003A7C1B" w:rsidRPr="000860EB" w:rsidRDefault="003A7C1B" w:rsidP="00250DAC">
            <w:pPr>
              <w:spacing w:after="0" w:line="240" w:lineRule="auto"/>
              <w:jc w:val="center"/>
              <w:rPr>
                <w:rFonts w:ascii="Times New Roman" w:eastAsia="Calibri" w:hAnsi="Times New Roman"/>
                <w:b/>
                <w:sz w:val="20"/>
                <w:szCs w:val="20"/>
              </w:rPr>
            </w:pPr>
          </w:p>
        </w:tc>
      </w:tr>
      <w:tr w:rsidR="003A7C1B" w:rsidRPr="000860EB" w14:paraId="04E69C23" w14:textId="77777777" w:rsidTr="00250DAC">
        <w:trPr>
          <w:trHeight w:val="20"/>
        </w:trPr>
        <w:tc>
          <w:tcPr>
            <w:tcW w:w="285" w:type="pct"/>
            <w:shd w:val="clear" w:color="auto" w:fill="auto"/>
          </w:tcPr>
          <w:p w14:paraId="3DACCAA9" w14:textId="77777777" w:rsidR="003A7C1B" w:rsidRPr="000860EB" w:rsidRDefault="003A7C1B" w:rsidP="00250DAC">
            <w:pPr>
              <w:spacing w:after="0" w:line="240" w:lineRule="auto"/>
              <w:jc w:val="center"/>
              <w:rPr>
                <w:rFonts w:ascii="Times New Roman" w:eastAsia="Arial" w:hAnsi="Times New Roman"/>
                <w:b/>
                <w:sz w:val="20"/>
                <w:szCs w:val="20"/>
              </w:rPr>
            </w:pPr>
            <w:r w:rsidRPr="000860EB">
              <w:rPr>
                <w:rFonts w:ascii="Times New Roman" w:eastAsia="Arial" w:hAnsi="Times New Roman"/>
                <w:b/>
                <w:sz w:val="20"/>
                <w:szCs w:val="20"/>
              </w:rPr>
              <w:t>I</w:t>
            </w:r>
          </w:p>
        </w:tc>
        <w:tc>
          <w:tcPr>
            <w:tcW w:w="350" w:type="pct"/>
            <w:shd w:val="clear" w:color="auto" w:fill="auto"/>
          </w:tcPr>
          <w:p w14:paraId="28E78C9D" w14:textId="77777777" w:rsidR="003A7C1B" w:rsidRPr="000860EB" w:rsidRDefault="003A7C1B" w:rsidP="00250DAC">
            <w:pPr>
              <w:spacing w:after="0" w:line="240" w:lineRule="auto"/>
              <w:jc w:val="center"/>
              <w:rPr>
                <w:rFonts w:ascii="Times New Roman" w:eastAsia="Arial" w:hAnsi="Times New Roman"/>
                <w:b/>
                <w:sz w:val="20"/>
                <w:szCs w:val="20"/>
              </w:rPr>
            </w:pPr>
            <w:r w:rsidRPr="000860EB">
              <w:rPr>
                <w:rFonts w:ascii="Times New Roman" w:eastAsia="Arial" w:hAnsi="Times New Roman"/>
                <w:b/>
                <w:sz w:val="20"/>
                <w:szCs w:val="20"/>
              </w:rPr>
              <w:t>II</w:t>
            </w:r>
          </w:p>
        </w:tc>
        <w:tc>
          <w:tcPr>
            <w:tcW w:w="210" w:type="pct"/>
            <w:shd w:val="clear" w:color="auto" w:fill="auto"/>
          </w:tcPr>
          <w:p w14:paraId="560A26FE" w14:textId="77777777" w:rsidR="003A7C1B" w:rsidRPr="000860EB" w:rsidRDefault="003A7C1B" w:rsidP="00250DAC">
            <w:pPr>
              <w:spacing w:after="0" w:line="240" w:lineRule="auto"/>
              <w:jc w:val="center"/>
              <w:rPr>
                <w:rFonts w:ascii="Times New Roman" w:eastAsia="Calibri" w:hAnsi="Times New Roman"/>
                <w:b/>
                <w:sz w:val="20"/>
                <w:szCs w:val="20"/>
              </w:rPr>
            </w:pPr>
            <w:r w:rsidRPr="000860EB">
              <w:rPr>
                <w:rFonts w:ascii="Times New Roman" w:eastAsia="Calibri" w:hAnsi="Times New Roman"/>
                <w:b/>
                <w:sz w:val="20"/>
                <w:szCs w:val="20"/>
              </w:rPr>
              <w:t>III</w:t>
            </w:r>
          </w:p>
        </w:tc>
        <w:tc>
          <w:tcPr>
            <w:tcW w:w="373" w:type="pct"/>
            <w:shd w:val="clear" w:color="auto" w:fill="auto"/>
          </w:tcPr>
          <w:p w14:paraId="5E86D4CF" w14:textId="77777777" w:rsidR="003A7C1B" w:rsidRPr="000860EB" w:rsidRDefault="003A7C1B" w:rsidP="00250DAC">
            <w:pPr>
              <w:spacing w:after="0" w:line="240" w:lineRule="auto"/>
              <w:jc w:val="center"/>
              <w:rPr>
                <w:rFonts w:ascii="Times New Roman" w:eastAsia="Calibri" w:hAnsi="Times New Roman"/>
                <w:b/>
                <w:sz w:val="20"/>
                <w:szCs w:val="20"/>
              </w:rPr>
            </w:pPr>
            <w:r w:rsidRPr="000860EB">
              <w:rPr>
                <w:rFonts w:ascii="Times New Roman" w:eastAsia="Calibri" w:hAnsi="Times New Roman"/>
                <w:b/>
                <w:sz w:val="20"/>
                <w:szCs w:val="20"/>
              </w:rPr>
              <w:t>IV</w:t>
            </w:r>
          </w:p>
        </w:tc>
        <w:tc>
          <w:tcPr>
            <w:tcW w:w="181" w:type="pct"/>
            <w:shd w:val="clear" w:color="auto" w:fill="auto"/>
          </w:tcPr>
          <w:p w14:paraId="759EF0AC" w14:textId="77777777" w:rsidR="003A7C1B" w:rsidRPr="000860EB" w:rsidRDefault="003A7C1B" w:rsidP="00250DAC">
            <w:pPr>
              <w:spacing w:after="0" w:line="240" w:lineRule="auto"/>
              <w:jc w:val="center"/>
              <w:rPr>
                <w:rFonts w:ascii="Times New Roman" w:eastAsia="Calibri" w:hAnsi="Times New Roman"/>
                <w:b/>
                <w:sz w:val="20"/>
                <w:szCs w:val="20"/>
              </w:rPr>
            </w:pPr>
            <w:r w:rsidRPr="000860EB">
              <w:rPr>
                <w:rFonts w:ascii="Times New Roman" w:eastAsia="Calibri" w:hAnsi="Times New Roman"/>
                <w:b/>
                <w:sz w:val="20"/>
                <w:szCs w:val="20"/>
              </w:rPr>
              <w:t>V</w:t>
            </w:r>
          </w:p>
        </w:tc>
        <w:tc>
          <w:tcPr>
            <w:tcW w:w="233" w:type="pct"/>
            <w:shd w:val="clear" w:color="auto" w:fill="auto"/>
          </w:tcPr>
          <w:p w14:paraId="6D83F0C4" w14:textId="77777777" w:rsidR="003A7C1B" w:rsidRPr="000860EB" w:rsidRDefault="003A7C1B" w:rsidP="00250DAC">
            <w:pPr>
              <w:spacing w:after="0" w:line="240" w:lineRule="auto"/>
              <w:jc w:val="center"/>
              <w:rPr>
                <w:rFonts w:ascii="Times New Roman" w:eastAsia="Calibri" w:hAnsi="Times New Roman"/>
                <w:b/>
                <w:sz w:val="20"/>
                <w:szCs w:val="20"/>
              </w:rPr>
            </w:pPr>
            <w:r w:rsidRPr="000860EB">
              <w:rPr>
                <w:rFonts w:ascii="Times New Roman" w:eastAsia="Calibri" w:hAnsi="Times New Roman"/>
                <w:b/>
                <w:sz w:val="20"/>
                <w:szCs w:val="20"/>
              </w:rPr>
              <w:t>VI</w:t>
            </w:r>
          </w:p>
        </w:tc>
        <w:tc>
          <w:tcPr>
            <w:tcW w:w="391" w:type="pct"/>
            <w:shd w:val="clear" w:color="auto" w:fill="auto"/>
          </w:tcPr>
          <w:p w14:paraId="79B879D3" w14:textId="77777777" w:rsidR="003A7C1B" w:rsidRPr="000860EB" w:rsidRDefault="003A7C1B" w:rsidP="00250DAC">
            <w:pPr>
              <w:spacing w:after="0" w:line="240" w:lineRule="auto"/>
              <w:jc w:val="center"/>
              <w:rPr>
                <w:rFonts w:ascii="Times New Roman" w:eastAsia="Calibri" w:hAnsi="Times New Roman"/>
                <w:b/>
                <w:sz w:val="20"/>
                <w:szCs w:val="20"/>
              </w:rPr>
            </w:pPr>
            <w:r w:rsidRPr="000860EB">
              <w:rPr>
                <w:rFonts w:ascii="Times New Roman" w:eastAsia="Calibri" w:hAnsi="Times New Roman"/>
                <w:b/>
                <w:sz w:val="20"/>
                <w:szCs w:val="20"/>
              </w:rPr>
              <w:t>VII = IV+V+VI</w:t>
            </w:r>
          </w:p>
        </w:tc>
        <w:tc>
          <w:tcPr>
            <w:tcW w:w="272" w:type="pct"/>
            <w:shd w:val="clear" w:color="auto" w:fill="auto"/>
          </w:tcPr>
          <w:p w14:paraId="35267FC6" w14:textId="77777777" w:rsidR="003A7C1B" w:rsidRPr="000860EB" w:rsidRDefault="003A7C1B" w:rsidP="00250DAC">
            <w:pPr>
              <w:spacing w:after="0" w:line="240" w:lineRule="auto"/>
              <w:jc w:val="center"/>
              <w:rPr>
                <w:rFonts w:ascii="Times New Roman" w:eastAsia="Calibri" w:hAnsi="Times New Roman"/>
                <w:b/>
                <w:sz w:val="20"/>
                <w:szCs w:val="20"/>
              </w:rPr>
            </w:pPr>
            <w:r w:rsidRPr="000860EB">
              <w:rPr>
                <w:rFonts w:ascii="Times New Roman" w:eastAsia="Calibri" w:hAnsi="Times New Roman"/>
                <w:b/>
                <w:sz w:val="20"/>
                <w:szCs w:val="20"/>
              </w:rPr>
              <w:t>VIII</w:t>
            </w:r>
          </w:p>
        </w:tc>
        <w:tc>
          <w:tcPr>
            <w:tcW w:w="1162" w:type="pct"/>
            <w:gridSpan w:val="4"/>
            <w:shd w:val="clear" w:color="auto" w:fill="auto"/>
          </w:tcPr>
          <w:p w14:paraId="2100ACF8" w14:textId="77777777" w:rsidR="003A7C1B" w:rsidRPr="000860EB" w:rsidRDefault="003A7C1B" w:rsidP="00250DAC">
            <w:pPr>
              <w:spacing w:after="0" w:line="240" w:lineRule="auto"/>
              <w:jc w:val="center"/>
              <w:rPr>
                <w:rFonts w:ascii="Times New Roman" w:eastAsia="Calibri" w:hAnsi="Times New Roman"/>
                <w:b/>
                <w:sz w:val="20"/>
                <w:szCs w:val="20"/>
              </w:rPr>
            </w:pPr>
            <w:r w:rsidRPr="000860EB">
              <w:rPr>
                <w:rFonts w:ascii="Times New Roman" w:eastAsia="Calibri" w:hAnsi="Times New Roman"/>
                <w:b/>
                <w:sz w:val="20"/>
                <w:szCs w:val="20"/>
              </w:rPr>
              <w:t>IX</w:t>
            </w:r>
          </w:p>
        </w:tc>
        <w:tc>
          <w:tcPr>
            <w:tcW w:w="208" w:type="pct"/>
            <w:shd w:val="clear" w:color="auto" w:fill="auto"/>
          </w:tcPr>
          <w:p w14:paraId="31F857FF" w14:textId="77777777" w:rsidR="003A7C1B" w:rsidRPr="000860EB" w:rsidRDefault="003A7C1B" w:rsidP="00250DAC">
            <w:pPr>
              <w:spacing w:after="0" w:line="240" w:lineRule="auto"/>
              <w:jc w:val="center"/>
              <w:rPr>
                <w:rFonts w:ascii="Times New Roman" w:eastAsia="Calibri" w:hAnsi="Times New Roman"/>
                <w:b/>
                <w:sz w:val="20"/>
                <w:szCs w:val="20"/>
              </w:rPr>
            </w:pPr>
            <w:r w:rsidRPr="000860EB">
              <w:rPr>
                <w:rFonts w:ascii="Times New Roman" w:eastAsia="Calibri" w:hAnsi="Times New Roman"/>
                <w:b/>
                <w:sz w:val="20"/>
                <w:szCs w:val="20"/>
              </w:rPr>
              <w:t>X</w:t>
            </w:r>
          </w:p>
        </w:tc>
        <w:tc>
          <w:tcPr>
            <w:tcW w:w="391" w:type="pct"/>
            <w:shd w:val="clear" w:color="auto" w:fill="auto"/>
          </w:tcPr>
          <w:p w14:paraId="1F54AA6E" w14:textId="77777777" w:rsidR="003A7C1B" w:rsidRPr="000860EB" w:rsidRDefault="003A7C1B" w:rsidP="00250DAC">
            <w:pPr>
              <w:spacing w:after="0" w:line="240" w:lineRule="auto"/>
              <w:jc w:val="center"/>
              <w:rPr>
                <w:rFonts w:ascii="Times New Roman" w:eastAsia="Calibri" w:hAnsi="Times New Roman"/>
                <w:b/>
                <w:sz w:val="20"/>
                <w:szCs w:val="20"/>
              </w:rPr>
            </w:pPr>
            <w:r w:rsidRPr="000860EB">
              <w:rPr>
                <w:rFonts w:ascii="Times New Roman" w:eastAsia="Calibri" w:hAnsi="Times New Roman"/>
                <w:b/>
                <w:sz w:val="20"/>
                <w:szCs w:val="20"/>
              </w:rPr>
              <w:t>XI=VII+X</w:t>
            </w:r>
          </w:p>
        </w:tc>
        <w:tc>
          <w:tcPr>
            <w:tcW w:w="321" w:type="pct"/>
            <w:gridSpan w:val="2"/>
            <w:shd w:val="clear" w:color="auto" w:fill="auto"/>
          </w:tcPr>
          <w:p w14:paraId="0E1AFACE" w14:textId="77777777" w:rsidR="003A7C1B" w:rsidRPr="000860EB" w:rsidRDefault="003A7C1B" w:rsidP="00250DAC">
            <w:pPr>
              <w:spacing w:after="0" w:line="240" w:lineRule="auto"/>
              <w:jc w:val="center"/>
              <w:rPr>
                <w:rFonts w:ascii="Times New Roman" w:eastAsia="Calibri" w:hAnsi="Times New Roman"/>
                <w:b/>
                <w:sz w:val="20"/>
                <w:szCs w:val="20"/>
              </w:rPr>
            </w:pPr>
            <w:r w:rsidRPr="000860EB">
              <w:rPr>
                <w:rFonts w:ascii="Times New Roman" w:eastAsia="Calibri" w:hAnsi="Times New Roman"/>
                <w:b/>
                <w:sz w:val="20"/>
                <w:szCs w:val="20"/>
              </w:rPr>
              <w:t>XII</w:t>
            </w:r>
          </w:p>
        </w:tc>
        <w:tc>
          <w:tcPr>
            <w:tcW w:w="381" w:type="pct"/>
            <w:gridSpan w:val="2"/>
            <w:shd w:val="clear" w:color="auto" w:fill="auto"/>
          </w:tcPr>
          <w:p w14:paraId="3C147732" w14:textId="77777777" w:rsidR="003A7C1B" w:rsidRPr="000860EB" w:rsidRDefault="003A7C1B" w:rsidP="00250DAC">
            <w:pPr>
              <w:spacing w:after="0" w:line="240" w:lineRule="auto"/>
              <w:jc w:val="center"/>
              <w:rPr>
                <w:rFonts w:ascii="Times New Roman" w:eastAsia="Calibri" w:hAnsi="Times New Roman"/>
                <w:b/>
                <w:sz w:val="20"/>
                <w:szCs w:val="20"/>
              </w:rPr>
            </w:pPr>
            <w:r w:rsidRPr="000860EB">
              <w:rPr>
                <w:rFonts w:ascii="Times New Roman" w:eastAsia="Calibri" w:hAnsi="Times New Roman"/>
                <w:b/>
                <w:sz w:val="20"/>
                <w:szCs w:val="20"/>
              </w:rPr>
              <w:t>XIII</w:t>
            </w:r>
          </w:p>
        </w:tc>
        <w:tc>
          <w:tcPr>
            <w:tcW w:w="242" w:type="pct"/>
            <w:shd w:val="clear" w:color="auto" w:fill="auto"/>
          </w:tcPr>
          <w:p w14:paraId="782D8224" w14:textId="77777777" w:rsidR="003A7C1B" w:rsidRPr="000860EB" w:rsidRDefault="003A7C1B" w:rsidP="00250DAC">
            <w:pPr>
              <w:spacing w:after="0" w:line="240" w:lineRule="auto"/>
              <w:jc w:val="center"/>
              <w:rPr>
                <w:rFonts w:ascii="Times New Roman" w:eastAsia="Calibri" w:hAnsi="Times New Roman"/>
                <w:b/>
                <w:sz w:val="20"/>
                <w:szCs w:val="20"/>
              </w:rPr>
            </w:pPr>
            <w:r w:rsidRPr="000860EB">
              <w:rPr>
                <w:rFonts w:ascii="Times New Roman" w:eastAsia="Calibri" w:hAnsi="Times New Roman"/>
                <w:b/>
                <w:sz w:val="20"/>
                <w:szCs w:val="20"/>
              </w:rPr>
              <w:t>XIV</w:t>
            </w:r>
          </w:p>
        </w:tc>
      </w:tr>
      <w:tr w:rsidR="003A7C1B" w:rsidRPr="000860EB" w14:paraId="7643DD40" w14:textId="77777777" w:rsidTr="00250DAC">
        <w:trPr>
          <w:trHeight w:val="20"/>
        </w:trPr>
        <w:tc>
          <w:tcPr>
            <w:tcW w:w="285" w:type="pct"/>
            <w:shd w:val="clear" w:color="auto" w:fill="auto"/>
          </w:tcPr>
          <w:p w14:paraId="1E00A456" w14:textId="77777777" w:rsidR="003A7C1B" w:rsidRPr="000860EB" w:rsidRDefault="003A7C1B" w:rsidP="00250DAC">
            <w:pPr>
              <w:spacing w:after="0" w:line="240" w:lineRule="auto"/>
              <w:jc w:val="center"/>
              <w:rPr>
                <w:rFonts w:ascii="Times New Roman" w:eastAsia="Arial" w:hAnsi="Times New Roman"/>
                <w:sz w:val="20"/>
                <w:szCs w:val="20"/>
              </w:rPr>
            </w:pPr>
            <w:r w:rsidRPr="000860EB">
              <w:rPr>
                <w:rFonts w:ascii="Times New Roman" w:eastAsia="Arial" w:hAnsi="Times New Roman"/>
                <w:sz w:val="20"/>
                <w:szCs w:val="20"/>
              </w:rPr>
              <w:t>(A)</w:t>
            </w:r>
          </w:p>
        </w:tc>
        <w:tc>
          <w:tcPr>
            <w:tcW w:w="350" w:type="pct"/>
            <w:shd w:val="clear" w:color="auto" w:fill="auto"/>
          </w:tcPr>
          <w:p w14:paraId="19AD44DF" w14:textId="77777777" w:rsidR="003A7C1B" w:rsidRPr="000860EB" w:rsidRDefault="003A7C1B" w:rsidP="00250DAC">
            <w:pPr>
              <w:spacing w:after="0" w:line="240" w:lineRule="auto"/>
              <w:ind w:left="-58" w:right="-112"/>
              <w:jc w:val="both"/>
              <w:rPr>
                <w:rFonts w:ascii="Times New Roman" w:eastAsia="Arial" w:hAnsi="Times New Roman"/>
                <w:sz w:val="20"/>
                <w:szCs w:val="20"/>
              </w:rPr>
            </w:pPr>
            <w:r w:rsidRPr="000860EB">
              <w:rPr>
                <w:rFonts w:ascii="Times New Roman" w:eastAsia="Arial" w:hAnsi="Times New Roman"/>
                <w:sz w:val="20"/>
                <w:szCs w:val="20"/>
              </w:rPr>
              <w:t>Promoters &amp;Promoter Group</w:t>
            </w:r>
          </w:p>
        </w:tc>
        <w:tc>
          <w:tcPr>
            <w:tcW w:w="210" w:type="pct"/>
            <w:shd w:val="clear" w:color="auto" w:fill="auto"/>
            <w:vAlign w:val="center"/>
          </w:tcPr>
          <w:p w14:paraId="2737D962" w14:textId="77777777" w:rsidR="003A7C1B" w:rsidRPr="000860EB" w:rsidRDefault="003A7C1B" w:rsidP="00250DAC">
            <w:pPr>
              <w:spacing w:after="0" w:line="240" w:lineRule="auto"/>
              <w:jc w:val="center"/>
              <w:rPr>
                <w:rFonts w:ascii="Times New Roman" w:eastAsia="Calibri" w:hAnsi="Times New Roman"/>
                <w:bCs/>
                <w:sz w:val="20"/>
                <w:szCs w:val="20"/>
              </w:rPr>
            </w:pPr>
            <w:r>
              <w:rPr>
                <w:rFonts w:ascii="Times New Roman" w:eastAsia="Calibri" w:hAnsi="Times New Roman"/>
                <w:bCs/>
                <w:sz w:val="20"/>
                <w:szCs w:val="20"/>
              </w:rPr>
              <w:t>7</w:t>
            </w:r>
          </w:p>
        </w:tc>
        <w:tc>
          <w:tcPr>
            <w:tcW w:w="373" w:type="pct"/>
            <w:shd w:val="clear" w:color="auto" w:fill="auto"/>
            <w:vAlign w:val="center"/>
          </w:tcPr>
          <w:p w14:paraId="249B4B30" w14:textId="77777777" w:rsidR="003A7C1B" w:rsidRPr="000860EB" w:rsidRDefault="003A7C1B" w:rsidP="00250DAC">
            <w:pPr>
              <w:spacing w:after="0" w:line="240" w:lineRule="auto"/>
              <w:jc w:val="center"/>
              <w:rPr>
                <w:rFonts w:ascii="Times New Roman" w:eastAsia="Calibri" w:hAnsi="Times New Roman"/>
                <w:bCs/>
                <w:sz w:val="20"/>
                <w:szCs w:val="20"/>
              </w:rPr>
            </w:pPr>
            <w:r>
              <w:rPr>
                <w:rFonts w:ascii="Times New Roman" w:eastAsia="Calibri" w:hAnsi="Times New Roman"/>
                <w:bCs/>
                <w:sz w:val="20"/>
                <w:szCs w:val="20"/>
              </w:rPr>
              <w:t>1,38,05,500</w:t>
            </w:r>
          </w:p>
        </w:tc>
        <w:tc>
          <w:tcPr>
            <w:tcW w:w="181" w:type="pct"/>
            <w:shd w:val="clear" w:color="auto" w:fill="auto"/>
            <w:vAlign w:val="center"/>
          </w:tcPr>
          <w:p w14:paraId="74A027F5" w14:textId="77777777" w:rsidR="003A7C1B" w:rsidRPr="000860EB" w:rsidRDefault="003A7C1B" w:rsidP="00250DAC">
            <w:pPr>
              <w:spacing w:after="0" w:line="240" w:lineRule="auto"/>
              <w:jc w:val="center"/>
              <w:rPr>
                <w:rFonts w:ascii="Times New Roman" w:eastAsia="Calibri" w:hAnsi="Times New Roman"/>
                <w:bCs/>
                <w:sz w:val="20"/>
                <w:szCs w:val="20"/>
              </w:rPr>
            </w:pPr>
            <w:r w:rsidRPr="000860EB">
              <w:rPr>
                <w:rFonts w:ascii="Times New Roman" w:eastAsia="Calibri" w:hAnsi="Times New Roman"/>
                <w:bCs/>
                <w:sz w:val="20"/>
                <w:szCs w:val="20"/>
              </w:rPr>
              <w:t>-</w:t>
            </w:r>
          </w:p>
        </w:tc>
        <w:tc>
          <w:tcPr>
            <w:tcW w:w="233" w:type="pct"/>
            <w:shd w:val="clear" w:color="auto" w:fill="auto"/>
            <w:vAlign w:val="center"/>
          </w:tcPr>
          <w:p w14:paraId="3F29D2B2" w14:textId="77777777" w:rsidR="003A7C1B" w:rsidRPr="000860EB" w:rsidRDefault="003A7C1B" w:rsidP="00250DAC">
            <w:pPr>
              <w:spacing w:after="0" w:line="240" w:lineRule="auto"/>
              <w:jc w:val="center"/>
              <w:rPr>
                <w:rFonts w:ascii="Times New Roman" w:eastAsia="Calibri" w:hAnsi="Times New Roman"/>
                <w:bCs/>
                <w:sz w:val="20"/>
                <w:szCs w:val="20"/>
              </w:rPr>
            </w:pPr>
            <w:r w:rsidRPr="000860EB">
              <w:rPr>
                <w:rFonts w:ascii="Times New Roman" w:eastAsia="Calibri" w:hAnsi="Times New Roman"/>
                <w:bCs/>
                <w:sz w:val="20"/>
                <w:szCs w:val="20"/>
              </w:rPr>
              <w:t>-</w:t>
            </w:r>
          </w:p>
        </w:tc>
        <w:tc>
          <w:tcPr>
            <w:tcW w:w="391" w:type="pct"/>
            <w:shd w:val="clear" w:color="auto" w:fill="auto"/>
            <w:vAlign w:val="center"/>
          </w:tcPr>
          <w:p w14:paraId="4284D7B2" w14:textId="77777777" w:rsidR="003A7C1B" w:rsidRPr="000860EB" w:rsidRDefault="003A7C1B" w:rsidP="00250DAC">
            <w:pPr>
              <w:spacing w:after="0" w:line="240" w:lineRule="auto"/>
              <w:jc w:val="center"/>
              <w:rPr>
                <w:rFonts w:ascii="Times New Roman" w:eastAsia="Calibri" w:hAnsi="Times New Roman"/>
                <w:bCs/>
                <w:sz w:val="20"/>
                <w:szCs w:val="20"/>
              </w:rPr>
            </w:pPr>
            <w:r>
              <w:rPr>
                <w:rFonts w:ascii="Times New Roman" w:eastAsia="Calibri" w:hAnsi="Times New Roman"/>
                <w:bCs/>
                <w:sz w:val="20"/>
                <w:szCs w:val="20"/>
              </w:rPr>
              <w:t>1,38,05,500</w:t>
            </w:r>
          </w:p>
        </w:tc>
        <w:tc>
          <w:tcPr>
            <w:tcW w:w="272" w:type="pct"/>
            <w:shd w:val="clear" w:color="auto" w:fill="auto"/>
            <w:vAlign w:val="center"/>
          </w:tcPr>
          <w:p w14:paraId="7D53AA1E" w14:textId="77777777" w:rsidR="003A7C1B" w:rsidRPr="000860EB" w:rsidRDefault="003A7C1B" w:rsidP="00250DAC">
            <w:pPr>
              <w:spacing w:after="0" w:line="240" w:lineRule="auto"/>
              <w:jc w:val="center"/>
              <w:rPr>
                <w:rFonts w:ascii="Times New Roman" w:eastAsia="Calibri" w:hAnsi="Times New Roman"/>
                <w:bCs/>
                <w:sz w:val="20"/>
                <w:szCs w:val="20"/>
              </w:rPr>
            </w:pPr>
            <w:r>
              <w:rPr>
                <w:rFonts w:ascii="Times New Roman" w:eastAsia="Calibri" w:hAnsi="Times New Roman"/>
                <w:bCs/>
                <w:sz w:val="20"/>
                <w:szCs w:val="20"/>
              </w:rPr>
              <w:t>100.00</w:t>
            </w:r>
          </w:p>
        </w:tc>
        <w:tc>
          <w:tcPr>
            <w:tcW w:w="371" w:type="pct"/>
            <w:shd w:val="clear" w:color="auto" w:fill="auto"/>
            <w:vAlign w:val="center"/>
          </w:tcPr>
          <w:p w14:paraId="0DB234AB" w14:textId="77777777" w:rsidR="003A7C1B" w:rsidRPr="000860EB" w:rsidRDefault="003A7C1B" w:rsidP="00250DAC">
            <w:pPr>
              <w:spacing w:after="0" w:line="240" w:lineRule="auto"/>
              <w:jc w:val="center"/>
              <w:rPr>
                <w:rFonts w:ascii="Times New Roman" w:eastAsia="Calibri" w:hAnsi="Times New Roman"/>
                <w:bCs/>
                <w:sz w:val="20"/>
                <w:szCs w:val="20"/>
              </w:rPr>
            </w:pPr>
            <w:r>
              <w:rPr>
                <w:rFonts w:ascii="Times New Roman" w:eastAsia="Calibri" w:hAnsi="Times New Roman"/>
                <w:bCs/>
                <w:sz w:val="20"/>
                <w:szCs w:val="20"/>
              </w:rPr>
              <w:t>1,38,05,500</w:t>
            </w:r>
          </w:p>
        </w:tc>
        <w:tc>
          <w:tcPr>
            <w:tcW w:w="170" w:type="pct"/>
            <w:shd w:val="clear" w:color="auto" w:fill="auto"/>
            <w:vAlign w:val="center"/>
          </w:tcPr>
          <w:p w14:paraId="089B29AA" w14:textId="77777777" w:rsidR="003A7C1B" w:rsidRPr="000860EB" w:rsidRDefault="003A7C1B" w:rsidP="00250DAC">
            <w:pPr>
              <w:spacing w:after="0" w:line="240" w:lineRule="auto"/>
              <w:jc w:val="center"/>
              <w:rPr>
                <w:rFonts w:ascii="Times New Roman" w:eastAsia="Calibri" w:hAnsi="Times New Roman"/>
                <w:bCs/>
                <w:sz w:val="20"/>
                <w:szCs w:val="20"/>
              </w:rPr>
            </w:pPr>
            <w:r w:rsidRPr="000860EB">
              <w:rPr>
                <w:rFonts w:ascii="Times New Roman" w:eastAsia="Calibri" w:hAnsi="Times New Roman"/>
                <w:bCs/>
                <w:sz w:val="20"/>
                <w:szCs w:val="20"/>
              </w:rPr>
              <w:t>-</w:t>
            </w:r>
          </w:p>
        </w:tc>
        <w:tc>
          <w:tcPr>
            <w:tcW w:w="353" w:type="pct"/>
            <w:shd w:val="clear" w:color="auto" w:fill="auto"/>
            <w:vAlign w:val="center"/>
          </w:tcPr>
          <w:p w14:paraId="439A124F" w14:textId="77777777" w:rsidR="003A7C1B" w:rsidRPr="000860EB" w:rsidRDefault="003A7C1B" w:rsidP="00250DAC">
            <w:pPr>
              <w:spacing w:after="0" w:line="240" w:lineRule="auto"/>
              <w:ind w:left="-108" w:right="-162"/>
              <w:jc w:val="center"/>
              <w:rPr>
                <w:rFonts w:ascii="Times New Roman" w:eastAsia="Calibri" w:hAnsi="Times New Roman"/>
                <w:bCs/>
                <w:sz w:val="20"/>
                <w:szCs w:val="20"/>
              </w:rPr>
            </w:pPr>
            <w:r>
              <w:rPr>
                <w:rFonts w:ascii="Times New Roman" w:eastAsia="Calibri" w:hAnsi="Times New Roman"/>
                <w:bCs/>
                <w:sz w:val="20"/>
                <w:szCs w:val="20"/>
              </w:rPr>
              <w:t>1,38,05,500</w:t>
            </w:r>
          </w:p>
        </w:tc>
        <w:tc>
          <w:tcPr>
            <w:tcW w:w="268" w:type="pct"/>
            <w:shd w:val="clear" w:color="auto" w:fill="auto"/>
            <w:vAlign w:val="center"/>
          </w:tcPr>
          <w:p w14:paraId="08BD3958" w14:textId="77777777" w:rsidR="003A7C1B" w:rsidRPr="000860EB" w:rsidRDefault="003A7C1B" w:rsidP="00250DAC">
            <w:pPr>
              <w:spacing w:after="0" w:line="240" w:lineRule="auto"/>
              <w:jc w:val="center"/>
              <w:rPr>
                <w:rFonts w:ascii="Times New Roman" w:eastAsia="Calibri" w:hAnsi="Times New Roman"/>
                <w:bCs/>
                <w:sz w:val="20"/>
                <w:szCs w:val="20"/>
              </w:rPr>
            </w:pPr>
            <w:r>
              <w:rPr>
                <w:rFonts w:ascii="Times New Roman" w:eastAsia="Calibri" w:hAnsi="Times New Roman"/>
                <w:bCs/>
                <w:sz w:val="20"/>
                <w:szCs w:val="20"/>
              </w:rPr>
              <w:t>100.00</w:t>
            </w:r>
          </w:p>
        </w:tc>
        <w:tc>
          <w:tcPr>
            <w:tcW w:w="208" w:type="pct"/>
            <w:shd w:val="clear" w:color="auto" w:fill="auto"/>
            <w:vAlign w:val="center"/>
          </w:tcPr>
          <w:p w14:paraId="5E4D93DF" w14:textId="77777777" w:rsidR="003A7C1B" w:rsidRPr="000860EB" w:rsidRDefault="003A7C1B" w:rsidP="00250DAC">
            <w:pPr>
              <w:spacing w:after="0" w:line="240" w:lineRule="auto"/>
              <w:jc w:val="center"/>
              <w:rPr>
                <w:rFonts w:ascii="Times New Roman" w:eastAsia="Calibri" w:hAnsi="Times New Roman"/>
                <w:bCs/>
                <w:sz w:val="20"/>
                <w:szCs w:val="20"/>
              </w:rPr>
            </w:pPr>
            <w:r w:rsidRPr="000860EB">
              <w:rPr>
                <w:rFonts w:ascii="Times New Roman" w:eastAsia="Calibri" w:hAnsi="Times New Roman"/>
                <w:bCs/>
                <w:sz w:val="20"/>
                <w:szCs w:val="20"/>
              </w:rPr>
              <w:t xml:space="preserve">- </w:t>
            </w:r>
          </w:p>
        </w:tc>
        <w:tc>
          <w:tcPr>
            <w:tcW w:w="391" w:type="pct"/>
            <w:shd w:val="clear" w:color="auto" w:fill="auto"/>
            <w:vAlign w:val="center"/>
          </w:tcPr>
          <w:p w14:paraId="612EC6F9" w14:textId="77777777" w:rsidR="003A7C1B" w:rsidRPr="000860EB" w:rsidRDefault="003A7C1B" w:rsidP="00250DAC">
            <w:pPr>
              <w:spacing w:after="0" w:line="240" w:lineRule="auto"/>
              <w:jc w:val="center"/>
              <w:rPr>
                <w:rFonts w:ascii="Times New Roman" w:eastAsia="Calibri" w:hAnsi="Times New Roman"/>
                <w:bCs/>
                <w:sz w:val="20"/>
                <w:szCs w:val="20"/>
              </w:rPr>
            </w:pPr>
            <w:r>
              <w:rPr>
                <w:rFonts w:ascii="Times New Roman" w:eastAsia="Calibri" w:hAnsi="Times New Roman"/>
                <w:bCs/>
                <w:sz w:val="20"/>
                <w:szCs w:val="20"/>
              </w:rPr>
              <w:t>100.00</w:t>
            </w:r>
          </w:p>
        </w:tc>
        <w:tc>
          <w:tcPr>
            <w:tcW w:w="321" w:type="pct"/>
            <w:gridSpan w:val="2"/>
            <w:shd w:val="clear" w:color="auto" w:fill="auto"/>
            <w:vAlign w:val="center"/>
          </w:tcPr>
          <w:p w14:paraId="5A942D0D" w14:textId="77777777" w:rsidR="003A7C1B" w:rsidRPr="000860EB" w:rsidRDefault="003A7C1B" w:rsidP="00250DAC">
            <w:pPr>
              <w:spacing w:after="0" w:line="240" w:lineRule="auto"/>
              <w:jc w:val="center"/>
              <w:rPr>
                <w:rFonts w:ascii="Times New Roman" w:hAnsi="Times New Roman"/>
                <w:bCs/>
                <w:sz w:val="20"/>
                <w:szCs w:val="20"/>
              </w:rPr>
            </w:pPr>
            <w:r w:rsidRPr="000860EB">
              <w:rPr>
                <w:rFonts w:ascii="Times New Roman" w:hAnsi="Times New Roman"/>
                <w:bCs/>
                <w:sz w:val="20"/>
                <w:szCs w:val="20"/>
              </w:rPr>
              <w:t>-</w:t>
            </w:r>
          </w:p>
        </w:tc>
        <w:tc>
          <w:tcPr>
            <w:tcW w:w="381" w:type="pct"/>
            <w:gridSpan w:val="2"/>
            <w:shd w:val="clear" w:color="auto" w:fill="auto"/>
            <w:vAlign w:val="center"/>
          </w:tcPr>
          <w:p w14:paraId="01912976" w14:textId="77777777" w:rsidR="003A7C1B" w:rsidRPr="000860EB" w:rsidRDefault="003A7C1B" w:rsidP="00250DAC">
            <w:pPr>
              <w:spacing w:after="0" w:line="240" w:lineRule="auto"/>
              <w:jc w:val="center"/>
              <w:rPr>
                <w:rFonts w:ascii="Times New Roman" w:hAnsi="Times New Roman"/>
                <w:bCs/>
                <w:sz w:val="20"/>
                <w:szCs w:val="20"/>
              </w:rPr>
            </w:pPr>
            <w:r w:rsidRPr="000860EB">
              <w:rPr>
                <w:rFonts w:ascii="Times New Roman" w:hAnsi="Times New Roman"/>
                <w:bCs/>
                <w:sz w:val="20"/>
                <w:szCs w:val="20"/>
              </w:rPr>
              <w:t>-</w:t>
            </w:r>
          </w:p>
        </w:tc>
        <w:tc>
          <w:tcPr>
            <w:tcW w:w="242" w:type="pct"/>
            <w:shd w:val="clear" w:color="auto" w:fill="auto"/>
            <w:vAlign w:val="center"/>
          </w:tcPr>
          <w:p w14:paraId="38F05043" w14:textId="77777777" w:rsidR="003A7C1B" w:rsidRPr="000860EB" w:rsidRDefault="003A7C1B" w:rsidP="00250DAC">
            <w:pPr>
              <w:spacing w:after="0" w:line="240" w:lineRule="auto"/>
              <w:jc w:val="center"/>
              <w:rPr>
                <w:rFonts w:ascii="Times New Roman" w:eastAsia="Calibri" w:hAnsi="Times New Roman"/>
                <w:bCs/>
                <w:sz w:val="20"/>
                <w:szCs w:val="20"/>
              </w:rPr>
            </w:pPr>
            <w:r>
              <w:rPr>
                <w:rFonts w:ascii="Times New Roman" w:eastAsia="Calibri" w:hAnsi="Times New Roman"/>
                <w:bCs/>
                <w:sz w:val="20"/>
                <w:szCs w:val="20"/>
              </w:rPr>
              <w:t>1,38,05,500</w:t>
            </w:r>
          </w:p>
        </w:tc>
      </w:tr>
      <w:tr w:rsidR="003A7C1B" w:rsidRPr="000860EB" w14:paraId="3D1389F9" w14:textId="77777777" w:rsidTr="00250DAC">
        <w:trPr>
          <w:trHeight w:val="20"/>
        </w:trPr>
        <w:tc>
          <w:tcPr>
            <w:tcW w:w="285" w:type="pct"/>
            <w:shd w:val="clear" w:color="auto" w:fill="auto"/>
          </w:tcPr>
          <w:p w14:paraId="248BCD6C" w14:textId="77777777" w:rsidR="003A7C1B" w:rsidRPr="000860EB" w:rsidRDefault="003A7C1B" w:rsidP="00250DAC">
            <w:pPr>
              <w:spacing w:after="0" w:line="240" w:lineRule="auto"/>
              <w:jc w:val="center"/>
              <w:rPr>
                <w:rFonts w:ascii="Times New Roman" w:eastAsia="Arial" w:hAnsi="Times New Roman"/>
                <w:sz w:val="20"/>
                <w:szCs w:val="20"/>
              </w:rPr>
            </w:pPr>
            <w:r w:rsidRPr="000860EB">
              <w:rPr>
                <w:rFonts w:ascii="Times New Roman" w:eastAsia="Arial" w:hAnsi="Times New Roman"/>
                <w:sz w:val="20"/>
                <w:szCs w:val="20"/>
              </w:rPr>
              <w:t>(B)</w:t>
            </w:r>
          </w:p>
        </w:tc>
        <w:tc>
          <w:tcPr>
            <w:tcW w:w="350" w:type="pct"/>
            <w:shd w:val="clear" w:color="auto" w:fill="auto"/>
          </w:tcPr>
          <w:p w14:paraId="225474BD" w14:textId="77777777" w:rsidR="003A7C1B" w:rsidRPr="000860EB" w:rsidRDefault="003A7C1B" w:rsidP="00250DAC">
            <w:pPr>
              <w:spacing w:after="0" w:line="240" w:lineRule="auto"/>
              <w:ind w:left="-58" w:right="55"/>
              <w:jc w:val="both"/>
              <w:rPr>
                <w:rFonts w:ascii="Times New Roman" w:eastAsia="Arial" w:hAnsi="Times New Roman"/>
                <w:sz w:val="20"/>
                <w:szCs w:val="20"/>
              </w:rPr>
            </w:pPr>
            <w:r w:rsidRPr="000860EB">
              <w:rPr>
                <w:rFonts w:ascii="Times New Roman" w:eastAsia="Arial" w:hAnsi="Times New Roman"/>
                <w:sz w:val="20"/>
                <w:szCs w:val="20"/>
              </w:rPr>
              <w:t>Public</w:t>
            </w:r>
          </w:p>
        </w:tc>
        <w:tc>
          <w:tcPr>
            <w:tcW w:w="210" w:type="pct"/>
            <w:shd w:val="clear" w:color="auto" w:fill="auto"/>
            <w:vAlign w:val="center"/>
          </w:tcPr>
          <w:p w14:paraId="1D0F3B99" w14:textId="77777777" w:rsidR="003A7C1B" w:rsidRPr="000860EB" w:rsidRDefault="003A7C1B" w:rsidP="00250DAC">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373" w:type="pct"/>
            <w:shd w:val="clear" w:color="auto" w:fill="auto"/>
            <w:vAlign w:val="center"/>
          </w:tcPr>
          <w:p w14:paraId="6C6E1440" w14:textId="77777777" w:rsidR="003A7C1B" w:rsidRPr="000860EB" w:rsidRDefault="003A7C1B" w:rsidP="00250DAC">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181" w:type="pct"/>
            <w:shd w:val="clear" w:color="auto" w:fill="auto"/>
            <w:vAlign w:val="center"/>
          </w:tcPr>
          <w:p w14:paraId="560BD9E1" w14:textId="77777777" w:rsidR="003A7C1B" w:rsidRPr="000860EB" w:rsidRDefault="003A7C1B" w:rsidP="00250DAC">
            <w:pPr>
              <w:spacing w:after="0" w:line="240" w:lineRule="auto"/>
              <w:jc w:val="center"/>
              <w:rPr>
                <w:rFonts w:ascii="Times New Roman" w:hAnsi="Times New Roman"/>
                <w:bCs/>
                <w:sz w:val="20"/>
                <w:szCs w:val="20"/>
              </w:rPr>
            </w:pPr>
            <w:r w:rsidRPr="000860EB">
              <w:rPr>
                <w:rFonts w:ascii="Times New Roman" w:hAnsi="Times New Roman"/>
                <w:bCs/>
                <w:sz w:val="20"/>
                <w:szCs w:val="20"/>
              </w:rPr>
              <w:t>-</w:t>
            </w:r>
          </w:p>
        </w:tc>
        <w:tc>
          <w:tcPr>
            <w:tcW w:w="233" w:type="pct"/>
            <w:shd w:val="clear" w:color="auto" w:fill="auto"/>
            <w:vAlign w:val="center"/>
          </w:tcPr>
          <w:p w14:paraId="1FB265AE" w14:textId="77777777" w:rsidR="003A7C1B" w:rsidRPr="000860EB" w:rsidRDefault="003A7C1B" w:rsidP="00250DAC">
            <w:pPr>
              <w:spacing w:after="0" w:line="240" w:lineRule="auto"/>
              <w:jc w:val="center"/>
              <w:rPr>
                <w:rFonts w:ascii="Times New Roman" w:hAnsi="Times New Roman"/>
                <w:bCs/>
                <w:sz w:val="20"/>
                <w:szCs w:val="20"/>
              </w:rPr>
            </w:pPr>
            <w:r w:rsidRPr="000860EB">
              <w:rPr>
                <w:rFonts w:ascii="Times New Roman" w:hAnsi="Times New Roman"/>
                <w:bCs/>
                <w:sz w:val="20"/>
                <w:szCs w:val="20"/>
              </w:rPr>
              <w:t>-</w:t>
            </w:r>
          </w:p>
        </w:tc>
        <w:tc>
          <w:tcPr>
            <w:tcW w:w="391" w:type="pct"/>
            <w:shd w:val="clear" w:color="auto" w:fill="auto"/>
            <w:vAlign w:val="center"/>
          </w:tcPr>
          <w:p w14:paraId="19F38EFE" w14:textId="77777777" w:rsidR="003A7C1B" w:rsidRPr="000860EB" w:rsidRDefault="003A7C1B" w:rsidP="00250DAC">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272" w:type="pct"/>
            <w:shd w:val="clear" w:color="auto" w:fill="auto"/>
            <w:vAlign w:val="center"/>
          </w:tcPr>
          <w:p w14:paraId="2FC16464" w14:textId="77777777" w:rsidR="003A7C1B" w:rsidRPr="000860EB" w:rsidRDefault="003A7C1B" w:rsidP="00250DAC">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371" w:type="pct"/>
            <w:shd w:val="clear" w:color="auto" w:fill="auto"/>
            <w:vAlign w:val="center"/>
          </w:tcPr>
          <w:p w14:paraId="29351A0F" w14:textId="77777777" w:rsidR="003A7C1B" w:rsidRPr="000860EB" w:rsidRDefault="003A7C1B" w:rsidP="00250DAC">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170" w:type="pct"/>
            <w:shd w:val="clear" w:color="auto" w:fill="auto"/>
            <w:vAlign w:val="center"/>
          </w:tcPr>
          <w:p w14:paraId="75358118" w14:textId="77777777" w:rsidR="003A7C1B" w:rsidRPr="000860EB" w:rsidRDefault="003A7C1B" w:rsidP="00250DAC">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353" w:type="pct"/>
            <w:shd w:val="clear" w:color="auto" w:fill="auto"/>
            <w:vAlign w:val="center"/>
          </w:tcPr>
          <w:p w14:paraId="20A67925" w14:textId="77777777" w:rsidR="003A7C1B" w:rsidRPr="000860EB" w:rsidRDefault="003A7C1B" w:rsidP="00250DAC">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268" w:type="pct"/>
            <w:shd w:val="clear" w:color="auto" w:fill="auto"/>
            <w:vAlign w:val="center"/>
          </w:tcPr>
          <w:p w14:paraId="2D824AFF" w14:textId="77777777" w:rsidR="003A7C1B" w:rsidRPr="000860EB" w:rsidRDefault="003A7C1B" w:rsidP="00250DAC">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208" w:type="pct"/>
            <w:shd w:val="clear" w:color="auto" w:fill="auto"/>
            <w:vAlign w:val="center"/>
          </w:tcPr>
          <w:p w14:paraId="7A83E835" w14:textId="77777777" w:rsidR="003A7C1B" w:rsidRPr="000860EB" w:rsidRDefault="003A7C1B" w:rsidP="00250DAC">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391" w:type="pct"/>
            <w:shd w:val="clear" w:color="auto" w:fill="auto"/>
            <w:vAlign w:val="center"/>
          </w:tcPr>
          <w:p w14:paraId="317035B6" w14:textId="77777777" w:rsidR="003A7C1B" w:rsidRPr="000860EB" w:rsidRDefault="003A7C1B" w:rsidP="00250DAC">
            <w:pPr>
              <w:spacing w:after="0" w:line="240" w:lineRule="auto"/>
              <w:jc w:val="center"/>
              <w:rPr>
                <w:rFonts w:ascii="Times New Roman" w:hAnsi="Times New Roman"/>
                <w:bCs/>
                <w:sz w:val="20"/>
                <w:szCs w:val="20"/>
              </w:rPr>
            </w:pPr>
            <w:r>
              <w:rPr>
                <w:rFonts w:ascii="Times New Roman" w:hAnsi="Times New Roman"/>
                <w:bCs/>
                <w:sz w:val="20"/>
                <w:szCs w:val="20"/>
              </w:rPr>
              <w:t>-</w:t>
            </w:r>
          </w:p>
        </w:tc>
        <w:tc>
          <w:tcPr>
            <w:tcW w:w="321" w:type="pct"/>
            <w:gridSpan w:val="2"/>
            <w:shd w:val="clear" w:color="auto" w:fill="auto"/>
            <w:vAlign w:val="center"/>
          </w:tcPr>
          <w:p w14:paraId="38C955B8" w14:textId="77777777" w:rsidR="003A7C1B" w:rsidRPr="000860EB" w:rsidRDefault="003A7C1B" w:rsidP="00250DAC">
            <w:pPr>
              <w:spacing w:after="0" w:line="240" w:lineRule="auto"/>
              <w:jc w:val="center"/>
              <w:rPr>
                <w:rFonts w:ascii="Times New Roman" w:hAnsi="Times New Roman"/>
                <w:bCs/>
                <w:sz w:val="20"/>
                <w:szCs w:val="20"/>
              </w:rPr>
            </w:pPr>
            <w:r w:rsidRPr="000860EB">
              <w:rPr>
                <w:rFonts w:ascii="Times New Roman" w:hAnsi="Times New Roman"/>
                <w:bCs/>
                <w:sz w:val="20"/>
                <w:szCs w:val="20"/>
              </w:rPr>
              <w:t>-</w:t>
            </w:r>
          </w:p>
        </w:tc>
        <w:tc>
          <w:tcPr>
            <w:tcW w:w="381" w:type="pct"/>
            <w:gridSpan w:val="2"/>
            <w:shd w:val="clear" w:color="auto" w:fill="auto"/>
            <w:vAlign w:val="center"/>
          </w:tcPr>
          <w:p w14:paraId="1EEA3C14" w14:textId="77777777" w:rsidR="003A7C1B" w:rsidRPr="000860EB" w:rsidRDefault="003A7C1B" w:rsidP="00250DAC">
            <w:pPr>
              <w:spacing w:after="0" w:line="240" w:lineRule="auto"/>
              <w:jc w:val="center"/>
              <w:rPr>
                <w:rFonts w:ascii="Times New Roman" w:hAnsi="Times New Roman"/>
                <w:bCs/>
                <w:sz w:val="20"/>
                <w:szCs w:val="20"/>
              </w:rPr>
            </w:pPr>
            <w:r w:rsidRPr="000860EB">
              <w:rPr>
                <w:rFonts w:ascii="Times New Roman" w:hAnsi="Times New Roman"/>
                <w:bCs/>
                <w:sz w:val="20"/>
                <w:szCs w:val="20"/>
              </w:rPr>
              <w:t>-</w:t>
            </w:r>
          </w:p>
        </w:tc>
        <w:tc>
          <w:tcPr>
            <w:tcW w:w="242" w:type="pct"/>
            <w:shd w:val="clear" w:color="auto" w:fill="auto"/>
            <w:vAlign w:val="center"/>
          </w:tcPr>
          <w:p w14:paraId="1B0F82A4" w14:textId="77777777" w:rsidR="003A7C1B" w:rsidRPr="000860EB" w:rsidRDefault="003A7C1B" w:rsidP="00250DAC">
            <w:pPr>
              <w:spacing w:after="0" w:line="240" w:lineRule="auto"/>
              <w:jc w:val="center"/>
              <w:rPr>
                <w:rFonts w:ascii="Times New Roman" w:hAnsi="Times New Roman"/>
                <w:bCs/>
                <w:sz w:val="20"/>
                <w:szCs w:val="20"/>
              </w:rPr>
            </w:pPr>
            <w:r w:rsidRPr="000860EB">
              <w:rPr>
                <w:rFonts w:ascii="Times New Roman" w:hAnsi="Times New Roman"/>
                <w:bCs/>
                <w:sz w:val="20"/>
                <w:szCs w:val="20"/>
              </w:rPr>
              <w:t>-</w:t>
            </w:r>
          </w:p>
        </w:tc>
      </w:tr>
      <w:tr w:rsidR="003A7C1B" w:rsidRPr="000860EB" w14:paraId="0793E7ED" w14:textId="77777777" w:rsidTr="00250DAC">
        <w:trPr>
          <w:trHeight w:val="20"/>
        </w:trPr>
        <w:tc>
          <w:tcPr>
            <w:tcW w:w="285" w:type="pct"/>
            <w:shd w:val="clear" w:color="auto" w:fill="auto"/>
          </w:tcPr>
          <w:p w14:paraId="31A0D85F" w14:textId="77777777" w:rsidR="003A7C1B" w:rsidRPr="000860EB" w:rsidRDefault="003A7C1B" w:rsidP="00250DAC">
            <w:pPr>
              <w:spacing w:after="0" w:line="240" w:lineRule="auto"/>
              <w:jc w:val="center"/>
              <w:rPr>
                <w:rFonts w:ascii="Times New Roman" w:eastAsia="Arial" w:hAnsi="Times New Roman"/>
                <w:sz w:val="20"/>
                <w:szCs w:val="20"/>
              </w:rPr>
            </w:pPr>
            <w:r w:rsidRPr="000860EB">
              <w:rPr>
                <w:rFonts w:ascii="Times New Roman" w:eastAsia="Arial" w:hAnsi="Times New Roman"/>
                <w:sz w:val="20"/>
                <w:szCs w:val="20"/>
              </w:rPr>
              <w:t>(C)</w:t>
            </w:r>
          </w:p>
        </w:tc>
        <w:tc>
          <w:tcPr>
            <w:tcW w:w="350" w:type="pct"/>
            <w:shd w:val="clear" w:color="auto" w:fill="auto"/>
          </w:tcPr>
          <w:p w14:paraId="02996FDC" w14:textId="77777777" w:rsidR="003A7C1B" w:rsidRPr="000860EB" w:rsidRDefault="003A7C1B" w:rsidP="00250DAC">
            <w:pPr>
              <w:spacing w:after="0" w:line="240" w:lineRule="auto"/>
              <w:ind w:left="-58" w:right="55"/>
              <w:jc w:val="both"/>
              <w:rPr>
                <w:rFonts w:ascii="Times New Roman" w:eastAsia="Arial" w:hAnsi="Times New Roman"/>
                <w:sz w:val="20"/>
                <w:szCs w:val="20"/>
              </w:rPr>
            </w:pPr>
            <w:r w:rsidRPr="000860EB">
              <w:rPr>
                <w:rFonts w:ascii="Times New Roman" w:eastAsia="Arial" w:hAnsi="Times New Roman"/>
                <w:sz w:val="20"/>
                <w:szCs w:val="20"/>
              </w:rPr>
              <w:t>Non Promoter- Non Public</w:t>
            </w:r>
          </w:p>
        </w:tc>
        <w:tc>
          <w:tcPr>
            <w:tcW w:w="210" w:type="pct"/>
            <w:shd w:val="clear" w:color="auto" w:fill="auto"/>
            <w:vAlign w:val="center"/>
          </w:tcPr>
          <w:p w14:paraId="5364F900" w14:textId="77777777" w:rsidR="003A7C1B" w:rsidRPr="000860EB" w:rsidRDefault="003A7C1B" w:rsidP="00250DAC">
            <w:pPr>
              <w:spacing w:after="0" w:line="240" w:lineRule="auto"/>
              <w:jc w:val="center"/>
              <w:rPr>
                <w:rFonts w:ascii="Times New Roman" w:eastAsia="Calibri" w:hAnsi="Times New Roman"/>
                <w:bCs/>
                <w:sz w:val="20"/>
                <w:szCs w:val="20"/>
              </w:rPr>
            </w:pPr>
            <w:r w:rsidRPr="000860EB">
              <w:rPr>
                <w:rFonts w:ascii="Times New Roman" w:eastAsia="Calibri" w:hAnsi="Times New Roman"/>
                <w:bCs/>
                <w:sz w:val="20"/>
                <w:szCs w:val="20"/>
              </w:rPr>
              <w:t>-</w:t>
            </w:r>
          </w:p>
        </w:tc>
        <w:tc>
          <w:tcPr>
            <w:tcW w:w="373" w:type="pct"/>
            <w:shd w:val="clear" w:color="auto" w:fill="auto"/>
            <w:vAlign w:val="center"/>
          </w:tcPr>
          <w:p w14:paraId="63B16A0A" w14:textId="77777777" w:rsidR="003A7C1B" w:rsidRPr="000860EB" w:rsidRDefault="003A7C1B" w:rsidP="00250DAC">
            <w:pPr>
              <w:spacing w:after="0" w:line="240" w:lineRule="auto"/>
              <w:jc w:val="center"/>
              <w:rPr>
                <w:rFonts w:ascii="Times New Roman" w:eastAsia="Calibri" w:hAnsi="Times New Roman"/>
                <w:bCs/>
                <w:sz w:val="20"/>
                <w:szCs w:val="20"/>
              </w:rPr>
            </w:pPr>
            <w:r w:rsidRPr="000860EB">
              <w:rPr>
                <w:rFonts w:ascii="Times New Roman" w:eastAsia="Calibri" w:hAnsi="Times New Roman"/>
                <w:bCs/>
                <w:sz w:val="20"/>
                <w:szCs w:val="20"/>
              </w:rPr>
              <w:t>-</w:t>
            </w:r>
          </w:p>
        </w:tc>
        <w:tc>
          <w:tcPr>
            <w:tcW w:w="181" w:type="pct"/>
            <w:shd w:val="clear" w:color="auto" w:fill="auto"/>
            <w:vAlign w:val="center"/>
          </w:tcPr>
          <w:p w14:paraId="283DE7D6" w14:textId="77777777" w:rsidR="003A7C1B" w:rsidRPr="000860EB" w:rsidRDefault="003A7C1B" w:rsidP="00250DAC">
            <w:pPr>
              <w:spacing w:after="0" w:line="240" w:lineRule="auto"/>
              <w:jc w:val="center"/>
              <w:rPr>
                <w:rFonts w:ascii="Times New Roman" w:eastAsia="Calibri" w:hAnsi="Times New Roman"/>
                <w:bCs/>
                <w:sz w:val="20"/>
                <w:szCs w:val="20"/>
              </w:rPr>
            </w:pPr>
            <w:r w:rsidRPr="000860EB">
              <w:rPr>
                <w:rFonts w:ascii="Times New Roman" w:eastAsia="Calibri" w:hAnsi="Times New Roman"/>
                <w:bCs/>
                <w:sz w:val="20"/>
                <w:szCs w:val="20"/>
              </w:rPr>
              <w:t>-</w:t>
            </w:r>
          </w:p>
        </w:tc>
        <w:tc>
          <w:tcPr>
            <w:tcW w:w="233" w:type="pct"/>
            <w:shd w:val="clear" w:color="auto" w:fill="auto"/>
            <w:vAlign w:val="center"/>
          </w:tcPr>
          <w:p w14:paraId="69F3CD4A" w14:textId="77777777" w:rsidR="003A7C1B" w:rsidRPr="000860EB" w:rsidRDefault="003A7C1B" w:rsidP="00250DAC">
            <w:pPr>
              <w:spacing w:after="0" w:line="240" w:lineRule="auto"/>
              <w:jc w:val="center"/>
              <w:rPr>
                <w:rFonts w:ascii="Times New Roman" w:eastAsia="Calibri" w:hAnsi="Times New Roman"/>
                <w:bCs/>
                <w:sz w:val="20"/>
                <w:szCs w:val="20"/>
              </w:rPr>
            </w:pPr>
            <w:r w:rsidRPr="000860EB">
              <w:rPr>
                <w:rFonts w:ascii="Times New Roman" w:eastAsia="Calibri" w:hAnsi="Times New Roman"/>
                <w:bCs/>
                <w:sz w:val="20"/>
                <w:szCs w:val="20"/>
              </w:rPr>
              <w:t>-</w:t>
            </w:r>
          </w:p>
        </w:tc>
        <w:tc>
          <w:tcPr>
            <w:tcW w:w="391" w:type="pct"/>
            <w:shd w:val="clear" w:color="auto" w:fill="auto"/>
            <w:vAlign w:val="center"/>
          </w:tcPr>
          <w:p w14:paraId="491773D6" w14:textId="77777777" w:rsidR="003A7C1B" w:rsidRPr="000860EB" w:rsidRDefault="003A7C1B" w:rsidP="00250DAC">
            <w:pPr>
              <w:spacing w:after="0" w:line="240" w:lineRule="auto"/>
              <w:jc w:val="center"/>
              <w:rPr>
                <w:rFonts w:ascii="Times New Roman" w:eastAsia="Calibri" w:hAnsi="Times New Roman"/>
                <w:bCs/>
                <w:sz w:val="20"/>
                <w:szCs w:val="20"/>
              </w:rPr>
            </w:pPr>
            <w:r w:rsidRPr="000860EB">
              <w:rPr>
                <w:rFonts w:ascii="Times New Roman" w:eastAsia="Calibri" w:hAnsi="Times New Roman"/>
                <w:bCs/>
                <w:sz w:val="20"/>
                <w:szCs w:val="20"/>
              </w:rPr>
              <w:t>-</w:t>
            </w:r>
          </w:p>
        </w:tc>
        <w:tc>
          <w:tcPr>
            <w:tcW w:w="272" w:type="pct"/>
            <w:shd w:val="clear" w:color="auto" w:fill="auto"/>
            <w:vAlign w:val="center"/>
          </w:tcPr>
          <w:p w14:paraId="23C3BE6C" w14:textId="77777777" w:rsidR="003A7C1B" w:rsidRPr="000860EB" w:rsidRDefault="003A7C1B" w:rsidP="00250DAC">
            <w:pPr>
              <w:spacing w:after="0" w:line="240" w:lineRule="auto"/>
              <w:jc w:val="center"/>
              <w:rPr>
                <w:rFonts w:ascii="Times New Roman" w:eastAsia="Calibri" w:hAnsi="Times New Roman"/>
                <w:bCs/>
                <w:sz w:val="20"/>
                <w:szCs w:val="20"/>
              </w:rPr>
            </w:pPr>
            <w:r w:rsidRPr="000860EB">
              <w:rPr>
                <w:rFonts w:ascii="Times New Roman" w:eastAsia="Calibri" w:hAnsi="Times New Roman"/>
                <w:bCs/>
                <w:sz w:val="20"/>
                <w:szCs w:val="20"/>
              </w:rPr>
              <w:t>-</w:t>
            </w:r>
          </w:p>
        </w:tc>
        <w:tc>
          <w:tcPr>
            <w:tcW w:w="371" w:type="pct"/>
            <w:shd w:val="clear" w:color="auto" w:fill="auto"/>
            <w:vAlign w:val="center"/>
          </w:tcPr>
          <w:p w14:paraId="276CFB5E" w14:textId="77777777" w:rsidR="003A7C1B" w:rsidRPr="000860EB" w:rsidRDefault="003A7C1B" w:rsidP="00250DAC">
            <w:pPr>
              <w:spacing w:after="0" w:line="240" w:lineRule="auto"/>
              <w:jc w:val="center"/>
              <w:rPr>
                <w:rFonts w:ascii="Times New Roman" w:eastAsia="Calibri" w:hAnsi="Times New Roman"/>
                <w:bCs/>
                <w:sz w:val="20"/>
                <w:szCs w:val="20"/>
              </w:rPr>
            </w:pPr>
            <w:r w:rsidRPr="000860EB">
              <w:rPr>
                <w:rFonts w:ascii="Times New Roman" w:eastAsia="Calibri" w:hAnsi="Times New Roman"/>
                <w:bCs/>
                <w:sz w:val="20"/>
                <w:szCs w:val="20"/>
              </w:rPr>
              <w:t>-</w:t>
            </w:r>
          </w:p>
        </w:tc>
        <w:tc>
          <w:tcPr>
            <w:tcW w:w="170" w:type="pct"/>
            <w:shd w:val="clear" w:color="auto" w:fill="auto"/>
            <w:vAlign w:val="center"/>
          </w:tcPr>
          <w:p w14:paraId="1AF41F97" w14:textId="77777777" w:rsidR="003A7C1B" w:rsidRPr="000860EB" w:rsidRDefault="003A7C1B" w:rsidP="00250DAC">
            <w:pPr>
              <w:spacing w:after="0" w:line="240" w:lineRule="auto"/>
              <w:jc w:val="center"/>
              <w:rPr>
                <w:rFonts w:ascii="Times New Roman" w:eastAsia="Calibri" w:hAnsi="Times New Roman"/>
                <w:bCs/>
                <w:sz w:val="20"/>
                <w:szCs w:val="20"/>
              </w:rPr>
            </w:pPr>
            <w:r w:rsidRPr="000860EB">
              <w:rPr>
                <w:rFonts w:ascii="Times New Roman" w:eastAsia="Calibri" w:hAnsi="Times New Roman"/>
                <w:bCs/>
                <w:sz w:val="20"/>
                <w:szCs w:val="20"/>
              </w:rPr>
              <w:t>-</w:t>
            </w:r>
          </w:p>
        </w:tc>
        <w:tc>
          <w:tcPr>
            <w:tcW w:w="353" w:type="pct"/>
            <w:shd w:val="clear" w:color="auto" w:fill="auto"/>
            <w:vAlign w:val="center"/>
          </w:tcPr>
          <w:p w14:paraId="226CA08D" w14:textId="77777777" w:rsidR="003A7C1B" w:rsidRPr="000860EB" w:rsidRDefault="003A7C1B" w:rsidP="00250DAC">
            <w:pPr>
              <w:spacing w:after="0" w:line="240" w:lineRule="auto"/>
              <w:jc w:val="center"/>
              <w:rPr>
                <w:rFonts w:ascii="Times New Roman" w:eastAsia="Calibri" w:hAnsi="Times New Roman"/>
                <w:bCs/>
                <w:sz w:val="20"/>
                <w:szCs w:val="20"/>
              </w:rPr>
            </w:pPr>
            <w:r w:rsidRPr="000860EB">
              <w:rPr>
                <w:rFonts w:ascii="Times New Roman" w:eastAsia="Calibri" w:hAnsi="Times New Roman"/>
                <w:bCs/>
                <w:sz w:val="20"/>
                <w:szCs w:val="20"/>
              </w:rPr>
              <w:t>-</w:t>
            </w:r>
          </w:p>
        </w:tc>
        <w:tc>
          <w:tcPr>
            <w:tcW w:w="268" w:type="pct"/>
            <w:shd w:val="clear" w:color="auto" w:fill="auto"/>
            <w:vAlign w:val="center"/>
          </w:tcPr>
          <w:p w14:paraId="3C57F9A5" w14:textId="77777777" w:rsidR="003A7C1B" w:rsidRPr="000860EB" w:rsidRDefault="003A7C1B" w:rsidP="00250DAC">
            <w:pPr>
              <w:spacing w:after="0" w:line="240" w:lineRule="auto"/>
              <w:jc w:val="center"/>
              <w:rPr>
                <w:rFonts w:ascii="Times New Roman" w:eastAsia="Calibri" w:hAnsi="Times New Roman"/>
                <w:bCs/>
                <w:sz w:val="20"/>
                <w:szCs w:val="20"/>
              </w:rPr>
            </w:pPr>
            <w:r w:rsidRPr="000860EB">
              <w:rPr>
                <w:rFonts w:ascii="Times New Roman" w:eastAsia="Calibri" w:hAnsi="Times New Roman"/>
                <w:bCs/>
                <w:sz w:val="20"/>
                <w:szCs w:val="20"/>
              </w:rPr>
              <w:t>-</w:t>
            </w:r>
          </w:p>
        </w:tc>
        <w:tc>
          <w:tcPr>
            <w:tcW w:w="208" w:type="pct"/>
            <w:shd w:val="clear" w:color="auto" w:fill="auto"/>
            <w:vAlign w:val="center"/>
          </w:tcPr>
          <w:p w14:paraId="1611002B" w14:textId="77777777" w:rsidR="003A7C1B" w:rsidRPr="000860EB" w:rsidRDefault="003A7C1B" w:rsidP="00250DAC">
            <w:pPr>
              <w:spacing w:after="0" w:line="240" w:lineRule="auto"/>
              <w:jc w:val="center"/>
              <w:rPr>
                <w:rFonts w:ascii="Times New Roman" w:eastAsia="Calibri" w:hAnsi="Times New Roman"/>
                <w:bCs/>
                <w:sz w:val="20"/>
                <w:szCs w:val="20"/>
              </w:rPr>
            </w:pPr>
            <w:r w:rsidRPr="000860EB">
              <w:rPr>
                <w:rFonts w:ascii="Times New Roman" w:eastAsia="Calibri" w:hAnsi="Times New Roman"/>
                <w:bCs/>
                <w:sz w:val="20"/>
                <w:szCs w:val="20"/>
              </w:rPr>
              <w:t>-</w:t>
            </w:r>
          </w:p>
        </w:tc>
        <w:tc>
          <w:tcPr>
            <w:tcW w:w="391" w:type="pct"/>
            <w:shd w:val="clear" w:color="auto" w:fill="auto"/>
            <w:vAlign w:val="center"/>
          </w:tcPr>
          <w:p w14:paraId="25402134" w14:textId="77777777" w:rsidR="003A7C1B" w:rsidRPr="000860EB" w:rsidRDefault="003A7C1B" w:rsidP="00250DAC">
            <w:pPr>
              <w:spacing w:after="0" w:line="240" w:lineRule="auto"/>
              <w:jc w:val="center"/>
              <w:rPr>
                <w:rFonts w:ascii="Times New Roman" w:eastAsia="Calibri" w:hAnsi="Times New Roman"/>
                <w:bCs/>
                <w:sz w:val="20"/>
                <w:szCs w:val="20"/>
              </w:rPr>
            </w:pPr>
            <w:r w:rsidRPr="000860EB">
              <w:rPr>
                <w:rFonts w:ascii="Times New Roman" w:eastAsia="Calibri" w:hAnsi="Times New Roman"/>
                <w:bCs/>
                <w:sz w:val="20"/>
                <w:szCs w:val="20"/>
              </w:rPr>
              <w:t>-</w:t>
            </w:r>
          </w:p>
        </w:tc>
        <w:tc>
          <w:tcPr>
            <w:tcW w:w="321" w:type="pct"/>
            <w:gridSpan w:val="2"/>
            <w:shd w:val="clear" w:color="auto" w:fill="auto"/>
            <w:vAlign w:val="center"/>
          </w:tcPr>
          <w:p w14:paraId="2846887B" w14:textId="77777777" w:rsidR="003A7C1B" w:rsidRPr="000860EB" w:rsidRDefault="003A7C1B" w:rsidP="00250DAC">
            <w:pPr>
              <w:spacing w:after="0" w:line="240" w:lineRule="auto"/>
              <w:jc w:val="center"/>
              <w:rPr>
                <w:rFonts w:ascii="Times New Roman" w:eastAsia="Calibri" w:hAnsi="Times New Roman"/>
                <w:bCs/>
                <w:sz w:val="20"/>
                <w:szCs w:val="20"/>
              </w:rPr>
            </w:pPr>
            <w:r w:rsidRPr="000860EB">
              <w:rPr>
                <w:rFonts w:ascii="Times New Roman" w:eastAsia="Calibri" w:hAnsi="Times New Roman"/>
                <w:bCs/>
                <w:sz w:val="20"/>
                <w:szCs w:val="20"/>
              </w:rPr>
              <w:t>-</w:t>
            </w:r>
          </w:p>
        </w:tc>
        <w:tc>
          <w:tcPr>
            <w:tcW w:w="381" w:type="pct"/>
            <w:gridSpan w:val="2"/>
            <w:shd w:val="clear" w:color="auto" w:fill="auto"/>
            <w:vAlign w:val="center"/>
          </w:tcPr>
          <w:p w14:paraId="34EEA030" w14:textId="77777777" w:rsidR="003A7C1B" w:rsidRPr="000860EB" w:rsidRDefault="003A7C1B" w:rsidP="00250DAC">
            <w:pPr>
              <w:spacing w:after="0" w:line="240" w:lineRule="auto"/>
              <w:jc w:val="center"/>
              <w:rPr>
                <w:rFonts w:ascii="Times New Roman" w:eastAsia="Arial" w:hAnsi="Times New Roman"/>
                <w:bCs/>
                <w:sz w:val="20"/>
                <w:szCs w:val="20"/>
              </w:rPr>
            </w:pPr>
            <w:r w:rsidRPr="000860EB">
              <w:rPr>
                <w:rFonts w:ascii="Times New Roman" w:eastAsia="Arial" w:hAnsi="Times New Roman"/>
                <w:bCs/>
                <w:sz w:val="20"/>
                <w:szCs w:val="20"/>
              </w:rPr>
              <w:t>-</w:t>
            </w:r>
          </w:p>
        </w:tc>
        <w:tc>
          <w:tcPr>
            <w:tcW w:w="242" w:type="pct"/>
            <w:shd w:val="clear" w:color="auto" w:fill="auto"/>
            <w:vAlign w:val="center"/>
          </w:tcPr>
          <w:p w14:paraId="4184328B" w14:textId="77777777" w:rsidR="003A7C1B" w:rsidRPr="000860EB" w:rsidRDefault="003A7C1B" w:rsidP="00250DAC">
            <w:pPr>
              <w:spacing w:after="0" w:line="240" w:lineRule="auto"/>
              <w:jc w:val="center"/>
              <w:rPr>
                <w:rFonts w:ascii="Times New Roman" w:eastAsia="Calibri" w:hAnsi="Times New Roman"/>
                <w:bCs/>
                <w:sz w:val="20"/>
                <w:szCs w:val="20"/>
              </w:rPr>
            </w:pPr>
            <w:r w:rsidRPr="000860EB">
              <w:rPr>
                <w:rFonts w:ascii="Times New Roman" w:eastAsia="Calibri" w:hAnsi="Times New Roman"/>
                <w:bCs/>
                <w:sz w:val="20"/>
                <w:szCs w:val="20"/>
              </w:rPr>
              <w:t>-</w:t>
            </w:r>
          </w:p>
        </w:tc>
      </w:tr>
      <w:tr w:rsidR="003A7C1B" w:rsidRPr="000860EB" w14:paraId="40653605" w14:textId="77777777" w:rsidTr="00250DAC">
        <w:trPr>
          <w:trHeight w:val="20"/>
        </w:trPr>
        <w:tc>
          <w:tcPr>
            <w:tcW w:w="285" w:type="pct"/>
            <w:shd w:val="clear" w:color="auto" w:fill="auto"/>
          </w:tcPr>
          <w:p w14:paraId="50351203" w14:textId="77777777" w:rsidR="003A7C1B" w:rsidRPr="000860EB" w:rsidRDefault="003A7C1B" w:rsidP="00250DAC">
            <w:pPr>
              <w:spacing w:after="0" w:line="240" w:lineRule="auto"/>
              <w:jc w:val="center"/>
              <w:rPr>
                <w:rFonts w:ascii="Times New Roman" w:eastAsia="Arial" w:hAnsi="Times New Roman"/>
                <w:sz w:val="20"/>
                <w:szCs w:val="20"/>
              </w:rPr>
            </w:pPr>
            <w:r w:rsidRPr="000860EB">
              <w:rPr>
                <w:rFonts w:ascii="Times New Roman" w:eastAsia="Arial" w:hAnsi="Times New Roman"/>
                <w:sz w:val="20"/>
                <w:szCs w:val="20"/>
              </w:rPr>
              <w:t>(C1)</w:t>
            </w:r>
          </w:p>
        </w:tc>
        <w:tc>
          <w:tcPr>
            <w:tcW w:w="350" w:type="pct"/>
            <w:shd w:val="clear" w:color="auto" w:fill="auto"/>
          </w:tcPr>
          <w:p w14:paraId="1F00EFA8" w14:textId="77777777" w:rsidR="003A7C1B" w:rsidRPr="000860EB" w:rsidRDefault="003A7C1B" w:rsidP="00250DAC">
            <w:pPr>
              <w:spacing w:after="0" w:line="240" w:lineRule="auto"/>
              <w:ind w:left="-58"/>
              <w:jc w:val="both"/>
              <w:rPr>
                <w:rFonts w:ascii="Times New Roman" w:eastAsia="Arial" w:hAnsi="Times New Roman"/>
                <w:sz w:val="20"/>
                <w:szCs w:val="20"/>
              </w:rPr>
            </w:pPr>
            <w:r w:rsidRPr="000860EB">
              <w:rPr>
                <w:rFonts w:ascii="Times New Roman" w:eastAsia="Arial" w:hAnsi="Times New Roman"/>
                <w:sz w:val="20"/>
                <w:szCs w:val="20"/>
              </w:rPr>
              <w:t>Shares underlying DRs</w:t>
            </w:r>
          </w:p>
        </w:tc>
        <w:tc>
          <w:tcPr>
            <w:tcW w:w="210" w:type="pct"/>
            <w:shd w:val="clear" w:color="auto" w:fill="auto"/>
            <w:vAlign w:val="center"/>
          </w:tcPr>
          <w:p w14:paraId="01F6CF76" w14:textId="77777777" w:rsidR="003A7C1B" w:rsidRPr="000860EB" w:rsidRDefault="003A7C1B" w:rsidP="00250DAC">
            <w:pPr>
              <w:spacing w:after="0" w:line="240" w:lineRule="auto"/>
              <w:jc w:val="center"/>
              <w:rPr>
                <w:rFonts w:ascii="Times New Roman" w:eastAsia="Calibri" w:hAnsi="Times New Roman"/>
                <w:bCs/>
                <w:sz w:val="20"/>
                <w:szCs w:val="20"/>
              </w:rPr>
            </w:pPr>
            <w:r w:rsidRPr="000860EB">
              <w:rPr>
                <w:rFonts w:ascii="Times New Roman" w:eastAsia="Calibri" w:hAnsi="Times New Roman"/>
                <w:bCs/>
                <w:sz w:val="20"/>
                <w:szCs w:val="20"/>
              </w:rPr>
              <w:t>-</w:t>
            </w:r>
          </w:p>
        </w:tc>
        <w:tc>
          <w:tcPr>
            <w:tcW w:w="373" w:type="pct"/>
            <w:shd w:val="clear" w:color="auto" w:fill="auto"/>
            <w:vAlign w:val="center"/>
          </w:tcPr>
          <w:p w14:paraId="748183A8" w14:textId="77777777" w:rsidR="003A7C1B" w:rsidRPr="000860EB" w:rsidRDefault="003A7C1B" w:rsidP="00250DAC">
            <w:pPr>
              <w:spacing w:after="0" w:line="240" w:lineRule="auto"/>
              <w:jc w:val="center"/>
              <w:rPr>
                <w:rFonts w:ascii="Times New Roman" w:eastAsia="Calibri" w:hAnsi="Times New Roman"/>
                <w:bCs/>
                <w:sz w:val="20"/>
                <w:szCs w:val="20"/>
              </w:rPr>
            </w:pPr>
            <w:r w:rsidRPr="000860EB">
              <w:rPr>
                <w:rFonts w:ascii="Times New Roman" w:eastAsia="Calibri" w:hAnsi="Times New Roman"/>
                <w:bCs/>
                <w:sz w:val="20"/>
                <w:szCs w:val="20"/>
              </w:rPr>
              <w:t>-</w:t>
            </w:r>
          </w:p>
        </w:tc>
        <w:tc>
          <w:tcPr>
            <w:tcW w:w="181" w:type="pct"/>
            <w:shd w:val="clear" w:color="auto" w:fill="auto"/>
            <w:vAlign w:val="center"/>
          </w:tcPr>
          <w:p w14:paraId="27A4C12A" w14:textId="77777777" w:rsidR="003A7C1B" w:rsidRPr="000860EB" w:rsidRDefault="003A7C1B" w:rsidP="00250DAC">
            <w:pPr>
              <w:spacing w:after="0" w:line="240" w:lineRule="auto"/>
              <w:jc w:val="center"/>
              <w:rPr>
                <w:rFonts w:ascii="Times New Roman" w:eastAsia="Calibri" w:hAnsi="Times New Roman"/>
                <w:bCs/>
                <w:sz w:val="20"/>
                <w:szCs w:val="20"/>
              </w:rPr>
            </w:pPr>
            <w:r w:rsidRPr="000860EB">
              <w:rPr>
                <w:rFonts w:ascii="Times New Roman" w:eastAsia="Calibri" w:hAnsi="Times New Roman"/>
                <w:bCs/>
                <w:sz w:val="20"/>
                <w:szCs w:val="20"/>
              </w:rPr>
              <w:t>-</w:t>
            </w:r>
          </w:p>
        </w:tc>
        <w:tc>
          <w:tcPr>
            <w:tcW w:w="233" w:type="pct"/>
            <w:shd w:val="clear" w:color="auto" w:fill="auto"/>
            <w:vAlign w:val="center"/>
          </w:tcPr>
          <w:p w14:paraId="76933FD9" w14:textId="77777777" w:rsidR="003A7C1B" w:rsidRPr="000860EB" w:rsidRDefault="003A7C1B" w:rsidP="00250DAC">
            <w:pPr>
              <w:spacing w:after="0" w:line="240" w:lineRule="auto"/>
              <w:jc w:val="center"/>
              <w:rPr>
                <w:rFonts w:ascii="Times New Roman" w:eastAsia="Calibri" w:hAnsi="Times New Roman"/>
                <w:bCs/>
                <w:sz w:val="20"/>
                <w:szCs w:val="20"/>
              </w:rPr>
            </w:pPr>
            <w:r w:rsidRPr="000860EB">
              <w:rPr>
                <w:rFonts w:ascii="Times New Roman" w:eastAsia="Calibri" w:hAnsi="Times New Roman"/>
                <w:bCs/>
                <w:sz w:val="20"/>
                <w:szCs w:val="20"/>
              </w:rPr>
              <w:t>-</w:t>
            </w:r>
          </w:p>
        </w:tc>
        <w:tc>
          <w:tcPr>
            <w:tcW w:w="391" w:type="pct"/>
            <w:shd w:val="clear" w:color="auto" w:fill="auto"/>
            <w:vAlign w:val="center"/>
          </w:tcPr>
          <w:p w14:paraId="0A054EA3" w14:textId="77777777" w:rsidR="003A7C1B" w:rsidRPr="000860EB" w:rsidRDefault="003A7C1B" w:rsidP="00250DAC">
            <w:pPr>
              <w:spacing w:after="0" w:line="240" w:lineRule="auto"/>
              <w:jc w:val="center"/>
              <w:rPr>
                <w:rFonts w:ascii="Times New Roman" w:eastAsia="Calibri" w:hAnsi="Times New Roman"/>
                <w:bCs/>
                <w:sz w:val="20"/>
                <w:szCs w:val="20"/>
              </w:rPr>
            </w:pPr>
            <w:r w:rsidRPr="000860EB">
              <w:rPr>
                <w:rFonts w:ascii="Times New Roman" w:eastAsia="Calibri" w:hAnsi="Times New Roman"/>
                <w:bCs/>
                <w:sz w:val="20"/>
                <w:szCs w:val="20"/>
              </w:rPr>
              <w:t>-</w:t>
            </w:r>
          </w:p>
        </w:tc>
        <w:tc>
          <w:tcPr>
            <w:tcW w:w="272" w:type="pct"/>
            <w:shd w:val="clear" w:color="auto" w:fill="auto"/>
            <w:vAlign w:val="center"/>
          </w:tcPr>
          <w:p w14:paraId="08A67EC9" w14:textId="77777777" w:rsidR="003A7C1B" w:rsidRPr="000860EB" w:rsidRDefault="003A7C1B" w:rsidP="00250DAC">
            <w:pPr>
              <w:spacing w:after="0" w:line="240" w:lineRule="auto"/>
              <w:jc w:val="center"/>
              <w:rPr>
                <w:rFonts w:ascii="Times New Roman" w:eastAsia="Calibri" w:hAnsi="Times New Roman"/>
                <w:bCs/>
                <w:sz w:val="20"/>
                <w:szCs w:val="20"/>
              </w:rPr>
            </w:pPr>
            <w:r w:rsidRPr="000860EB">
              <w:rPr>
                <w:rFonts w:ascii="Times New Roman" w:eastAsia="Calibri" w:hAnsi="Times New Roman"/>
                <w:bCs/>
                <w:sz w:val="20"/>
                <w:szCs w:val="20"/>
              </w:rPr>
              <w:t>-</w:t>
            </w:r>
          </w:p>
        </w:tc>
        <w:tc>
          <w:tcPr>
            <w:tcW w:w="371" w:type="pct"/>
            <w:shd w:val="clear" w:color="auto" w:fill="auto"/>
            <w:vAlign w:val="center"/>
          </w:tcPr>
          <w:p w14:paraId="765AA801" w14:textId="77777777" w:rsidR="003A7C1B" w:rsidRPr="000860EB" w:rsidRDefault="003A7C1B" w:rsidP="00250DAC">
            <w:pPr>
              <w:spacing w:after="0" w:line="240" w:lineRule="auto"/>
              <w:jc w:val="center"/>
              <w:rPr>
                <w:rFonts w:ascii="Times New Roman" w:eastAsia="Calibri" w:hAnsi="Times New Roman"/>
                <w:bCs/>
                <w:sz w:val="20"/>
                <w:szCs w:val="20"/>
              </w:rPr>
            </w:pPr>
            <w:r w:rsidRPr="000860EB">
              <w:rPr>
                <w:rFonts w:ascii="Times New Roman" w:eastAsia="Calibri" w:hAnsi="Times New Roman"/>
                <w:bCs/>
                <w:sz w:val="20"/>
                <w:szCs w:val="20"/>
              </w:rPr>
              <w:t>-</w:t>
            </w:r>
          </w:p>
        </w:tc>
        <w:tc>
          <w:tcPr>
            <w:tcW w:w="170" w:type="pct"/>
            <w:shd w:val="clear" w:color="auto" w:fill="auto"/>
            <w:vAlign w:val="center"/>
          </w:tcPr>
          <w:p w14:paraId="0EEC170B" w14:textId="77777777" w:rsidR="003A7C1B" w:rsidRPr="000860EB" w:rsidRDefault="003A7C1B" w:rsidP="00250DAC">
            <w:pPr>
              <w:spacing w:after="0" w:line="240" w:lineRule="auto"/>
              <w:jc w:val="center"/>
              <w:rPr>
                <w:rFonts w:ascii="Times New Roman" w:eastAsia="Calibri" w:hAnsi="Times New Roman"/>
                <w:bCs/>
                <w:sz w:val="20"/>
                <w:szCs w:val="20"/>
              </w:rPr>
            </w:pPr>
            <w:r w:rsidRPr="000860EB">
              <w:rPr>
                <w:rFonts w:ascii="Times New Roman" w:eastAsia="Calibri" w:hAnsi="Times New Roman"/>
                <w:bCs/>
                <w:sz w:val="20"/>
                <w:szCs w:val="20"/>
              </w:rPr>
              <w:t>-</w:t>
            </w:r>
          </w:p>
        </w:tc>
        <w:tc>
          <w:tcPr>
            <w:tcW w:w="353" w:type="pct"/>
            <w:shd w:val="clear" w:color="auto" w:fill="auto"/>
            <w:vAlign w:val="center"/>
          </w:tcPr>
          <w:p w14:paraId="123CAB09" w14:textId="77777777" w:rsidR="003A7C1B" w:rsidRPr="000860EB" w:rsidRDefault="003A7C1B" w:rsidP="00250DAC">
            <w:pPr>
              <w:spacing w:after="0" w:line="240" w:lineRule="auto"/>
              <w:jc w:val="center"/>
              <w:rPr>
                <w:rFonts w:ascii="Times New Roman" w:eastAsia="Calibri" w:hAnsi="Times New Roman"/>
                <w:bCs/>
                <w:sz w:val="20"/>
                <w:szCs w:val="20"/>
              </w:rPr>
            </w:pPr>
            <w:r w:rsidRPr="000860EB">
              <w:rPr>
                <w:rFonts w:ascii="Times New Roman" w:eastAsia="Calibri" w:hAnsi="Times New Roman"/>
                <w:bCs/>
                <w:sz w:val="20"/>
                <w:szCs w:val="20"/>
              </w:rPr>
              <w:t>-</w:t>
            </w:r>
          </w:p>
        </w:tc>
        <w:tc>
          <w:tcPr>
            <w:tcW w:w="268" w:type="pct"/>
            <w:shd w:val="clear" w:color="auto" w:fill="auto"/>
            <w:vAlign w:val="center"/>
          </w:tcPr>
          <w:p w14:paraId="3C7A27ED" w14:textId="77777777" w:rsidR="003A7C1B" w:rsidRPr="000860EB" w:rsidRDefault="003A7C1B" w:rsidP="00250DAC">
            <w:pPr>
              <w:spacing w:after="0" w:line="240" w:lineRule="auto"/>
              <w:jc w:val="center"/>
              <w:rPr>
                <w:rFonts w:ascii="Times New Roman" w:eastAsia="Calibri" w:hAnsi="Times New Roman"/>
                <w:bCs/>
                <w:sz w:val="20"/>
                <w:szCs w:val="20"/>
              </w:rPr>
            </w:pPr>
            <w:r w:rsidRPr="000860EB">
              <w:rPr>
                <w:rFonts w:ascii="Times New Roman" w:eastAsia="Calibri" w:hAnsi="Times New Roman"/>
                <w:bCs/>
                <w:sz w:val="20"/>
                <w:szCs w:val="20"/>
              </w:rPr>
              <w:t>-</w:t>
            </w:r>
          </w:p>
        </w:tc>
        <w:tc>
          <w:tcPr>
            <w:tcW w:w="208" w:type="pct"/>
            <w:shd w:val="clear" w:color="auto" w:fill="auto"/>
            <w:vAlign w:val="center"/>
          </w:tcPr>
          <w:p w14:paraId="355A76A8" w14:textId="77777777" w:rsidR="003A7C1B" w:rsidRPr="000860EB" w:rsidRDefault="003A7C1B" w:rsidP="00250DAC">
            <w:pPr>
              <w:spacing w:after="0" w:line="240" w:lineRule="auto"/>
              <w:jc w:val="center"/>
              <w:rPr>
                <w:rFonts w:ascii="Times New Roman" w:eastAsia="Calibri" w:hAnsi="Times New Roman"/>
                <w:bCs/>
                <w:sz w:val="20"/>
                <w:szCs w:val="20"/>
              </w:rPr>
            </w:pPr>
            <w:r w:rsidRPr="000860EB">
              <w:rPr>
                <w:rFonts w:ascii="Times New Roman" w:eastAsia="Calibri" w:hAnsi="Times New Roman"/>
                <w:bCs/>
                <w:sz w:val="20"/>
                <w:szCs w:val="20"/>
              </w:rPr>
              <w:t>-</w:t>
            </w:r>
          </w:p>
        </w:tc>
        <w:tc>
          <w:tcPr>
            <w:tcW w:w="391" w:type="pct"/>
            <w:shd w:val="clear" w:color="auto" w:fill="auto"/>
            <w:vAlign w:val="center"/>
          </w:tcPr>
          <w:p w14:paraId="6A86D06A" w14:textId="77777777" w:rsidR="003A7C1B" w:rsidRPr="000860EB" w:rsidRDefault="003A7C1B" w:rsidP="00250DAC">
            <w:pPr>
              <w:spacing w:after="0" w:line="240" w:lineRule="auto"/>
              <w:jc w:val="center"/>
              <w:rPr>
                <w:rFonts w:ascii="Times New Roman" w:eastAsia="Calibri" w:hAnsi="Times New Roman"/>
                <w:bCs/>
                <w:sz w:val="20"/>
                <w:szCs w:val="20"/>
              </w:rPr>
            </w:pPr>
            <w:r w:rsidRPr="000860EB">
              <w:rPr>
                <w:rFonts w:ascii="Times New Roman" w:eastAsia="Calibri" w:hAnsi="Times New Roman"/>
                <w:bCs/>
                <w:sz w:val="20"/>
                <w:szCs w:val="20"/>
              </w:rPr>
              <w:t>-</w:t>
            </w:r>
          </w:p>
        </w:tc>
        <w:tc>
          <w:tcPr>
            <w:tcW w:w="321" w:type="pct"/>
            <w:gridSpan w:val="2"/>
            <w:shd w:val="clear" w:color="auto" w:fill="auto"/>
            <w:vAlign w:val="center"/>
          </w:tcPr>
          <w:p w14:paraId="50F653FD" w14:textId="77777777" w:rsidR="003A7C1B" w:rsidRPr="000860EB" w:rsidRDefault="003A7C1B" w:rsidP="00250DAC">
            <w:pPr>
              <w:spacing w:after="0" w:line="240" w:lineRule="auto"/>
              <w:jc w:val="center"/>
              <w:rPr>
                <w:rFonts w:ascii="Times New Roman" w:eastAsia="Calibri" w:hAnsi="Times New Roman"/>
                <w:bCs/>
                <w:sz w:val="20"/>
                <w:szCs w:val="20"/>
              </w:rPr>
            </w:pPr>
            <w:r w:rsidRPr="000860EB">
              <w:rPr>
                <w:rFonts w:ascii="Times New Roman" w:eastAsia="Calibri" w:hAnsi="Times New Roman"/>
                <w:bCs/>
                <w:sz w:val="20"/>
                <w:szCs w:val="20"/>
              </w:rPr>
              <w:t>-</w:t>
            </w:r>
          </w:p>
        </w:tc>
        <w:tc>
          <w:tcPr>
            <w:tcW w:w="381" w:type="pct"/>
            <w:gridSpan w:val="2"/>
            <w:shd w:val="clear" w:color="auto" w:fill="auto"/>
            <w:vAlign w:val="center"/>
          </w:tcPr>
          <w:p w14:paraId="1500F6D1" w14:textId="77777777" w:rsidR="003A7C1B" w:rsidRPr="000860EB" w:rsidRDefault="003A7C1B" w:rsidP="00250DAC">
            <w:pPr>
              <w:spacing w:after="0" w:line="240" w:lineRule="auto"/>
              <w:jc w:val="center"/>
              <w:rPr>
                <w:rFonts w:ascii="Times New Roman" w:eastAsia="Arial" w:hAnsi="Times New Roman"/>
                <w:bCs/>
                <w:sz w:val="20"/>
                <w:szCs w:val="20"/>
              </w:rPr>
            </w:pPr>
            <w:r w:rsidRPr="000860EB">
              <w:rPr>
                <w:rFonts w:ascii="Times New Roman" w:eastAsia="Arial" w:hAnsi="Times New Roman"/>
                <w:bCs/>
                <w:sz w:val="20"/>
                <w:szCs w:val="20"/>
              </w:rPr>
              <w:t>-</w:t>
            </w:r>
          </w:p>
        </w:tc>
        <w:tc>
          <w:tcPr>
            <w:tcW w:w="242" w:type="pct"/>
            <w:shd w:val="clear" w:color="auto" w:fill="auto"/>
            <w:vAlign w:val="center"/>
          </w:tcPr>
          <w:p w14:paraId="61096499" w14:textId="77777777" w:rsidR="003A7C1B" w:rsidRPr="000860EB" w:rsidRDefault="003A7C1B" w:rsidP="00250DAC">
            <w:pPr>
              <w:spacing w:after="0" w:line="240" w:lineRule="auto"/>
              <w:jc w:val="center"/>
              <w:rPr>
                <w:rFonts w:ascii="Times New Roman" w:eastAsia="Calibri" w:hAnsi="Times New Roman"/>
                <w:bCs/>
                <w:sz w:val="20"/>
                <w:szCs w:val="20"/>
              </w:rPr>
            </w:pPr>
            <w:r w:rsidRPr="000860EB">
              <w:rPr>
                <w:rFonts w:ascii="Times New Roman" w:eastAsia="Calibri" w:hAnsi="Times New Roman"/>
                <w:bCs/>
                <w:sz w:val="20"/>
                <w:szCs w:val="20"/>
              </w:rPr>
              <w:t>-</w:t>
            </w:r>
          </w:p>
        </w:tc>
      </w:tr>
      <w:tr w:rsidR="003A7C1B" w:rsidRPr="000860EB" w14:paraId="09FC6B50" w14:textId="77777777" w:rsidTr="00250DAC">
        <w:trPr>
          <w:trHeight w:val="20"/>
        </w:trPr>
        <w:tc>
          <w:tcPr>
            <w:tcW w:w="285" w:type="pct"/>
            <w:shd w:val="clear" w:color="auto" w:fill="auto"/>
          </w:tcPr>
          <w:p w14:paraId="05D64200" w14:textId="77777777" w:rsidR="003A7C1B" w:rsidRPr="000860EB" w:rsidRDefault="003A7C1B" w:rsidP="00250DAC">
            <w:pPr>
              <w:spacing w:after="0" w:line="240" w:lineRule="auto"/>
              <w:jc w:val="center"/>
              <w:rPr>
                <w:rFonts w:ascii="Times New Roman" w:eastAsia="Arial" w:hAnsi="Times New Roman"/>
                <w:sz w:val="20"/>
                <w:szCs w:val="20"/>
              </w:rPr>
            </w:pPr>
            <w:r w:rsidRPr="000860EB">
              <w:rPr>
                <w:rFonts w:ascii="Times New Roman" w:eastAsia="Arial" w:hAnsi="Times New Roman"/>
                <w:sz w:val="20"/>
                <w:szCs w:val="20"/>
              </w:rPr>
              <w:t>(C2)</w:t>
            </w:r>
          </w:p>
        </w:tc>
        <w:tc>
          <w:tcPr>
            <w:tcW w:w="350" w:type="pct"/>
            <w:shd w:val="clear" w:color="auto" w:fill="auto"/>
          </w:tcPr>
          <w:p w14:paraId="07AEA7DC" w14:textId="77777777" w:rsidR="003A7C1B" w:rsidRPr="000860EB" w:rsidRDefault="003A7C1B" w:rsidP="00250DAC">
            <w:pPr>
              <w:spacing w:after="0" w:line="240" w:lineRule="auto"/>
              <w:ind w:left="-58" w:right="55"/>
              <w:jc w:val="both"/>
              <w:rPr>
                <w:rFonts w:ascii="Times New Roman" w:eastAsia="Arial" w:hAnsi="Times New Roman"/>
                <w:sz w:val="20"/>
                <w:szCs w:val="20"/>
              </w:rPr>
            </w:pPr>
            <w:r w:rsidRPr="000860EB">
              <w:rPr>
                <w:rFonts w:ascii="Times New Roman" w:eastAsia="Arial" w:hAnsi="Times New Roman"/>
                <w:sz w:val="20"/>
                <w:szCs w:val="20"/>
              </w:rPr>
              <w:t>Shares held by Emp. Trusts</w:t>
            </w:r>
          </w:p>
        </w:tc>
        <w:tc>
          <w:tcPr>
            <w:tcW w:w="210" w:type="pct"/>
            <w:shd w:val="clear" w:color="auto" w:fill="auto"/>
            <w:vAlign w:val="center"/>
          </w:tcPr>
          <w:p w14:paraId="526A5CB1" w14:textId="77777777" w:rsidR="003A7C1B" w:rsidRPr="000860EB" w:rsidRDefault="003A7C1B" w:rsidP="00250DAC">
            <w:pPr>
              <w:spacing w:after="0" w:line="240" w:lineRule="auto"/>
              <w:jc w:val="center"/>
              <w:rPr>
                <w:rFonts w:ascii="Times New Roman" w:eastAsia="Calibri" w:hAnsi="Times New Roman"/>
                <w:bCs/>
                <w:sz w:val="20"/>
                <w:szCs w:val="20"/>
              </w:rPr>
            </w:pPr>
            <w:r w:rsidRPr="000860EB">
              <w:rPr>
                <w:rFonts w:ascii="Times New Roman" w:eastAsia="Calibri" w:hAnsi="Times New Roman"/>
                <w:bCs/>
                <w:sz w:val="20"/>
                <w:szCs w:val="20"/>
              </w:rPr>
              <w:t>-</w:t>
            </w:r>
          </w:p>
        </w:tc>
        <w:tc>
          <w:tcPr>
            <w:tcW w:w="373" w:type="pct"/>
            <w:shd w:val="clear" w:color="auto" w:fill="auto"/>
            <w:vAlign w:val="center"/>
          </w:tcPr>
          <w:p w14:paraId="5572CDDD" w14:textId="77777777" w:rsidR="003A7C1B" w:rsidRPr="000860EB" w:rsidRDefault="003A7C1B" w:rsidP="00250DAC">
            <w:pPr>
              <w:spacing w:after="0" w:line="240" w:lineRule="auto"/>
              <w:jc w:val="center"/>
              <w:rPr>
                <w:rFonts w:ascii="Times New Roman" w:eastAsia="Calibri" w:hAnsi="Times New Roman"/>
                <w:bCs/>
                <w:sz w:val="20"/>
                <w:szCs w:val="20"/>
              </w:rPr>
            </w:pPr>
            <w:r w:rsidRPr="000860EB">
              <w:rPr>
                <w:rFonts w:ascii="Times New Roman" w:eastAsia="Calibri" w:hAnsi="Times New Roman"/>
                <w:bCs/>
                <w:sz w:val="20"/>
                <w:szCs w:val="20"/>
              </w:rPr>
              <w:t>-</w:t>
            </w:r>
          </w:p>
        </w:tc>
        <w:tc>
          <w:tcPr>
            <w:tcW w:w="181" w:type="pct"/>
            <w:shd w:val="clear" w:color="auto" w:fill="auto"/>
            <w:vAlign w:val="center"/>
          </w:tcPr>
          <w:p w14:paraId="30506FC7" w14:textId="77777777" w:rsidR="003A7C1B" w:rsidRPr="000860EB" w:rsidRDefault="003A7C1B" w:rsidP="00250DAC">
            <w:pPr>
              <w:spacing w:after="0" w:line="240" w:lineRule="auto"/>
              <w:jc w:val="center"/>
              <w:rPr>
                <w:rFonts w:ascii="Times New Roman" w:eastAsia="Calibri" w:hAnsi="Times New Roman"/>
                <w:bCs/>
                <w:sz w:val="20"/>
                <w:szCs w:val="20"/>
              </w:rPr>
            </w:pPr>
            <w:r w:rsidRPr="000860EB">
              <w:rPr>
                <w:rFonts w:ascii="Times New Roman" w:eastAsia="Calibri" w:hAnsi="Times New Roman"/>
                <w:bCs/>
                <w:sz w:val="20"/>
                <w:szCs w:val="20"/>
              </w:rPr>
              <w:t>-</w:t>
            </w:r>
          </w:p>
        </w:tc>
        <w:tc>
          <w:tcPr>
            <w:tcW w:w="233" w:type="pct"/>
            <w:shd w:val="clear" w:color="auto" w:fill="auto"/>
            <w:vAlign w:val="center"/>
          </w:tcPr>
          <w:p w14:paraId="18DCECA1" w14:textId="77777777" w:rsidR="003A7C1B" w:rsidRPr="000860EB" w:rsidRDefault="003A7C1B" w:rsidP="00250DAC">
            <w:pPr>
              <w:spacing w:after="0" w:line="240" w:lineRule="auto"/>
              <w:jc w:val="center"/>
              <w:rPr>
                <w:rFonts w:ascii="Times New Roman" w:eastAsia="Calibri" w:hAnsi="Times New Roman"/>
                <w:bCs/>
                <w:sz w:val="20"/>
                <w:szCs w:val="20"/>
              </w:rPr>
            </w:pPr>
            <w:r w:rsidRPr="000860EB">
              <w:rPr>
                <w:rFonts w:ascii="Times New Roman" w:eastAsia="Calibri" w:hAnsi="Times New Roman"/>
                <w:bCs/>
                <w:sz w:val="20"/>
                <w:szCs w:val="20"/>
              </w:rPr>
              <w:t>-</w:t>
            </w:r>
          </w:p>
        </w:tc>
        <w:tc>
          <w:tcPr>
            <w:tcW w:w="391" w:type="pct"/>
            <w:shd w:val="clear" w:color="auto" w:fill="auto"/>
            <w:vAlign w:val="center"/>
          </w:tcPr>
          <w:p w14:paraId="6E6E8CF7" w14:textId="77777777" w:rsidR="003A7C1B" w:rsidRPr="000860EB" w:rsidRDefault="003A7C1B" w:rsidP="00250DAC">
            <w:pPr>
              <w:spacing w:after="0" w:line="240" w:lineRule="auto"/>
              <w:jc w:val="center"/>
              <w:rPr>
                <w:rFonts w:ascii="Times New Roman" w:eastAsia="Calibri" w:hAnsi="Times New Roman"/>
                <w:bCs/>
                <w:sz w:val="20"/>
                <w:szCs w:val="20"/>
              </w:rPr>
            </w:pPr>
            <w:r w:rsidRPr="000860EB">
              <w:rPr>
                <w:rFonts w:ascii="Times New Roman" w:eastAsia="Calibri" w:hAnsi="Times New Roman"/>
                <w:bCs/>
                <w:sz w:val="20"/>
                <w:szCs w:val="20"/>
              </w:rPr>
              <w:t>-</w:t>
            </w:r>
          </w:p>
        </w:tc>
        <w:tc>
          <w:tcPr>
            <w:tcW w:w="272" w:type="pct"/>
            <w:shd w:val="clear" w:color="auto" w:fill="auto"/>
            <w:vAlign w:val="center"/>
          </w:tcPr>
          <w:p w14:paraId="2222CD94" w14:textId="77777777" w:rsidR="003A7C1B" w:rsidRPr="000860EB" w:rsidRDefault="003A7C1B" w:rsidP="00250DAC">
            <w:pPr>
              <w:spacing w:after="0" w:line="240" w:lineRule="auto"/>
              <w:jc w:val="center"/>
              <w:rPr>
                <w:rFonts w:ascii="Times New Roman" w:eastAsia="Calibri" w:hAnsi="Times New Roman"/>
                <w:bCs/>
                <w:sz w:val="20"/>
                <w:szCs w:val="20"/>
              </w:rPr>
            </w:pPr>
            <w:r w:rsidRPr="000860EB">
              <w:rPr>
                <w:rFonts w:ascii="Times New Roman" w:eastAsia="Calibri" w:hAnsi="Times New Roman"/>
                <w:bCs/>
                <w:sz w:val="20"/>
                <w:szCs w:val="20"/>
              </w:rPr>
              <w:t>-</w:t>
            </w:r>
          </w:p>
        </w:tc>
        <w:tc>
          <w:tcPr>
            <w:tcW w:w="371" w:type="pct"/>
            <w:shd w:val="clear" w:color="auto" w:fill="auto"/>
            <w:vAlign w:val="center"/>
          </w:tcPr>
          <w:p w14:paraId="2C356555" w14:textId="77777777" w:rsidR="003A7C1B" w:rsidRPr="000860EB" w:rsidRDefault="003A7C1B" w:rsidP="00250DAC">
            <w:pPr>
              <w:spacing w:after="0" w:line="240" w:lineRule="auto"/>
              <w:jc w:val="center"/>
              <w:rPr>
                <w:rFonts w:ascii="Times New Roman" w:eastAsia="Calibri" w:hAnsi="Times New Roman"/>
                <w:bCs/>
                <w:sz w:val="20"/>
                <w:szCs w:val="20"/>
              </w:rPr>
            </w:pPr>
            <w:r w:rsidRPr="000860EB">
              <w:rPr>
                <w:rFonts w:ascii="Times New Roman" w:eastAsia="Calibri" w:hAnsi="Times New Roman"/>
                <w:bCs/>
                <w:sz w:val="20"/>
                <w:szCs w:val="20"/>
              </w:rPr>
              <w:t>-</w:t>
            </w:r>
          </w:p>
        </w:tc>
        <w:tc>
          <w:tcPr>
            <w:tcW w:w="170" w:type="pct"/>
            <w:shd w:val="clear" w:color="auto" w:fill="auto"/>
            <w:vAlign w:val="center"/>
          </w:tcPr>
          <w:p w14:paraId="177D3B0F" w14:textId="77777777" w:rsidR="003A7C1B" w:rsidRPr="000860EB" w:rsidRDefault="003A7C1B" w:rsidP="00250DAC">
            <w:pPr>
              <w:spacing w:after="0" w:line="240" w:lineRule="auto"/>
              <w:jc w:val="center"/>
              <w:rPr>
                <w:rFonts w:ascii="Times New Roman" w:eastAsia="Calibri" w:hAnsi="Times New Roman"/>
                <w:bCs/>
                <w:sz w:val="20"/>
                <w:szCs w:val="20"/>
              </w:rPr>
            </w:pPr>
            <w:r w:rsidRPr="000860EB">
              <w:rPr>
                <w:rFonts w:ascii="Times New Roman" w:eastAsia="Calibri" w:hAnsi="Times New Roman"/>
                <w:bCs/>
                <w:sz w:val="20"/>
                <w:szCs w:val="20"/>
              </w:rPr>
              <w:t>-</w:t>
            </w:r>
          </w:p>
        </w:tc>
        <w:tc>
          <w:tcPr>
            <w:tcW w:w="353" w:type="pct"/>
            <w:shd w:val="clear" w:color="auto" w:fill="auto"/>
            <w:vAlign w:val="center"/>
          </w:tcPr>
          <w:p w14:paraId="3A4F655F" w14:textId="77777777" w:rsidR="003A7C1B" w:rsidRPr="000860EB" w:rsidRDefault="003A7C1B" w:rsidP="00250DAC">
            <w:pPr>
              <w:spacing w:after="0" w:line="240" w:lineRule="auto"/>
              <w:jc w:val="center"/>
              <w:rPr>
                <w:rFonts w:ascii="Times New Roman" w:eastAsia="Calibri" w:hAnsi="Times New Roman"/>
                <w:bCs/>
                <w:sz w:val="20"/>
                <w:szCs w:val="20"/>
              </w:rPr>
            </w:pPr>
            <w:r w:rsidRPr="000860EB">
              <w:rPr>
                <w:rFonts w:ascii="Times New Roman" w:eastAsia="Calibri" w:hAnsi="Times New Roman"/>
                <w:bCs/>
                <w:sz w:val="20"/>
                <w:szCs w:val="20"/>
              </w:rPr>
              <w:t>-</w:t>
            </w:r>
          </w:p>
        </w:tc>
        <w:tc>
          <w:tcPr>
            <w:tcW w:w="268" w:type="pct"/>
            <w:shd w:val="clear" w:color="auto" w:fill="auto"/>
            <w:vAlign w:val="center"/>
          </w:tcPr>
          <w:p w14:paraId="12F0CCD3" w14:textId="77777777" w:rsidR="003A7C1B" w:rsidRPr="000860EB" w:rsidRDefault="003A7C1B" w:rsidP="00250DAC">
            <w:pPr>
              <w:spacing w:after="0" w:line="240" w:lineRule="auto"/>
              <w:jc w:val="center"/>
              <w:rPr>
                <w:rFonts w:ascii="Times New Roman" w:eastAsia="Calibri" w:hAnsi="Times New Roman"/>
                <w:bCs/>
                <w:sz w:val="20"/>
                <w:szCs w:val="20"/>
              </w:rPr>
            </w:pPr>
            <w:r w:rsidRPr="000860EB">
              <w:rPr>
                <w:rFonts w:ascii="Times New Roman" w:eastAsia="Calibri" w:hAnsi="Times New Roman"/>
                <w:bCs/>
                <w:sz w:val="20"/>
                <w:szCs w:val="20"/>
              </w:rPr>
              <w:t>-</w:t>
            </w:r>
          </w:p>
        </w:tc>
        <w:tc>
          <w:tcPr>
            <w:tcW w:w="208" w:type="pct"/>
            <w:shd w:val="clear" w:color="auto" w:fill="auto"/>
            <w:vAlign w:val="center"/>
          </w:tcPr>
          <w:p w14:paraId="3AEE6FED" w14:textId="77777777" w:rsidR="003A7C1B" w:rsidRPr="000860EB" w:rsidRDefault="003A7C1B" w:rsidP="00250DAC">
            <w:pPr>
              <w:spacing w:after="0" w:line="240" w:lineRule="auto"/>
              <w:jc w:val="center"/>
              <w:rPr>
                <w:rFonts w:ascii="Times New Roman" w:eastAsia="Calibri" w:hAnsi="Times New Roman"/>
                <w:bCs/>
                <w:sz w:val="20"/>
                <w:szCs w:val="20"/>
              </w:rPr>
            </w:pPr>
            <w:r w:rsidRPr="000860EB">
              <w:rPr>
                <w:rFonts w:ascii="Times New Roman" w:eastAsia="Calibri" w:hAnsi="Times New Roman"/>
                <w:bCs/>
                <w:sz w:val="20"/>
                <w:szCs w:val="20"/>
              </w:rPr>
              <w:t>-</w:t>
            </w:r>
          </w:p>
        </w:tc>
        <w:tc>
          <w:tcPr>
            <w:tcW w:w="391" w:type="pct"/>
            <w:shd w:val="clear" w:color="auto" w:fill="auto"/>
            <w:vAlign w:val="center"/>
          </w:tcPr>
          <w:p w14:paraId="6848B68E" w14:textId="77777777" w:rsidR="003A7C1B" w:rsidRPr="000860EB" w:rsidRDefault="003A7C1B" w:rsidP="00250DAC">
            <w:pPr>
              <w:spacing w:after="0" w:line="240" w:lineRule="auto"/>
              <w:jc w:val="center"/>
              <w:rPr>
                <w:rFonts w:ascii="Times New Roman" w:eastAsia="Calibri" w:hAnsi="Times New Roman"/>
                <w:bCs/>
                <w:sz w:val="20"/>
                <w:szCs w:val="20"/>
              </w:rPr>
            </w:pPr>
            <w:r w:rsidRPr="000860EB">
              <w:rPr>
                <w:rFonts w:ascii="Times New Roman" w:eastAsia="Calibri" w:hAnsi="Times New Roman"/>
                <w:bCs/>
                <w:sz w:val="20"/>
                <w:szCs w:val="20"/>
              </w:rPr>
              <w:t>-</w:t>
            </w:r>
          </w:p>
        </w:tc>
        <w:tc>
          <w:tcPr>
            <w:tcW w:w="321" w:type="pct"/>
            <w:gridSpan w:val="2"/>
            <w:shd w:val="clear" w:color="auto" w:fill="auto"/>
            <w:vAlign w:val="center"/>
          </w:tcPr>
          <w:p w14:paraId="48904F29" w14:textId="77777777" w:rsidR="003A7C1B" w:rsidRPr="000860EB" w:rsidRDefault="003A7C1B" w:rsidP="00250DAC">
            <w:pPr>
              <w:spacing w:after="0" w:line="240" w:lineRule="auto"/>
              <w:jc w:val="center"/>
              <w:rPr>
                <w:rFonts w:ascii="Times New Roman" w:eastAsia="Calibri" w:hAnsi="Times New Roman"/>
                <w:bCs/>
                <w:sz w:val="20"/>
                <w:szCs w:val="20"/>
              </w:rPr>
            </w:pPr>
            <w:r w:rsidRPr="000860EB">
              <w:rPr>
                <w:rFonts w:ascii="Times New Roman" w:eastAsia="Calibri" w:hAnsi="Times New Roman"/>
                <w:bCs/>
                <w:sz w:val="20"/>
                <w:szCs w:val="20"/>
              </w:rPr>
              <w:t>-</w:t>
            </w:r>
          </w:p>
        </w:tc>
        <w:tc>
          <w:tcPr>
            <w:tcW w:w="381" w:type="pct"/>
            <w:gridSpan w:val="2"/>
            <w:shd w:val="clear" w:color="auto" w:fill="auto"/>
            <w:vAlign w:val="center"/>
          </w:tcPr>
          <w:p w14:paraId="6339AF1C" w14:textId="77777777" w:rsidR="003A7C1B" w:rsidRPr="000860EB" w:rsidRDefault="003A7C1B" w:rsidP="00250DAC">
            <w:pPr>
              <w:spacing w:after="0" w:line="240" w:lineRule="auto"/>
              <w:jc w:val="center"/>
              <w:rPr>
                <w:rFonts w:ascii="Times New Roman" w:eastAsia="Arial" w:hAnsi="Times New Roman"/>
                <w:bCs/>
                <w:sz w:val="20"/>
                <w:szCs w:val="20"/>
              </w:rPr>
            </w:pPr>
            <w:r w:rsidRPr="000860EB">
              <w:rPr>
                <w:rFonts w:ascii="Times New Roman" w:eastAsia="Arial" w:hAnsi="Times New Roman"/>
                <w:bCs/>
                <w:sz w:val="20"/>
                <w:szCs w:val="20"/>
              </w:rPr>
              <w:t>-</w:t>
            </w:r>
          </w:p>
        </w:tc>
        <w:tc>
          <w:tcPr>
            <w:tcW w:w="242" w:type="pct"/>
            <w:shd w:val="clear" w:color="auto" w:fill="auto"/>
            <w:vAlign w:val="center"/>
          </w:tcPr>
          <w:p w14:paraId="36FFAF7F" w14:textId="77777777" w:rsidR="003A7C1B" w:rsidRPr="000860EB" w:rsidRDefault="003A7C1B" w:rsidP="00250DAC">
            <w:pPr>
              <w:spacing w:after="0" w:line="240" w:lineRule="auto"/>
              <w:jc w:val="center"/>
              <w:rPr>
                <w:rFonts w:ascii="Times New Roman" w:eastAsia="Calibri" w:hAnsi="Times New Roman"/>
                <w:bCs/>
                <w:sz w:val="20"/>
                <w:szCs w:val="20"/>
              </w:rPr>
            </w:pPr>
            <w:r w:rsidRPr="000860EB">
              <w:rPr>
                <w:rFonts w:ascii="Times New Roman" w:eastAsia="Calibri" w:hAnsi="Times New Roman"/>
                <w:bCs/>
                <w:sz w:val="20"/>
                <w:szCs w:val="20"/>
              </w:rPr>
              <w:t>-</w:t>
            </w:r>
          </w:p>
        </w:tc>
      </w:tr>
      <w:tr w:rsidR="003A7C1B" w:rsidRPr="000860EB" w14:paraId="189B2D11" w14:textId="77777777" w:rsidTr="00250DAC">
        <w:trPr>
          <w:trHeight w:val="20"/>
        </w:trPr>
        <w:tc>
          <w:tcPr>
            <w:tcW w:w="285" w:type="pct"/>
            <w:shd w:val="clear" w:color="auto" w:fill="auto"/>
            <w:vAlign w:val="center"/>
          </w:tcPr>
          <w:p w14:paraId="33AD9D2D" w14:textId="77777777" w:rsidR="003A7C1B" w:rsidRPr="000860EB" w:rsidRDefault="003A7C1B" w:rsidP="00250DAC">
            <w:pPr>
              <w:spacing w:after="0" w:line="240" w:lineRule="auto"/>
              <w:jc w:val="center"/>
              <w:rPr>
                <w:rFonts w:ascii="Times New Roman" w:eastAsia="Calibri" w:hAnsi="Times New Roman"/>
                <w:sz w:val="20"/>
                <w:szCs w:val="20"/>
              </w:rPr>
            </w:pPr>
          </w:p>
        </w:tc>
        <w:tc>
          <w:tcPr>
            <w:tcW w:w="350" w:type="pct"/>
            <w:shd w:val="clear" w:color="auto" w:fill="auto"/>
            <w:vAlign w:val="center"/>
          </w:tcPr>
          <w:p w14:paraId="26739B45" w14:textId="77777777" w:rsidR="003A7C1B" w:rsidRPr="000860EB" w:rsidRDefault="003A7C1B" w:rsidP="00250DAC">
            <w:pPr>
              <w:spacing w:after="0" w:line="240" w:lineRule="auto"/>
              <w:jc w:val="center"/>
              <w:rPr>
                <w:rFonts w:ascii="Times New Roman" w:eastAsia="Arial" w:hAnsi="Times New Roman"/>
                <w:b/>
                <w:sz w:val="20"/>
                <w:szCs w:val="20"/>
              </w:rPr>
            </w:pPr>
            <w:r w:rsidRPr="000860EB">
              <w:rPr>
                <w:rFonts w:ascii="Times New Roman" w:eastAsia="Arial" w:hAnsi="Times New Roman"/>
                <w:b/>
                <w:sz w:val="20"/>
                <w:szCs w:val="20"/>
              </w:rPr>
              <w:t>Total</w:t>
            </w:r>
          </w:p>
        </w:tc>
        <w:tc>
          <w:tcPr>
            <w:tcW w:w="210" w:type="pct"/>
            <w:shd w:val="clear" w:color="auto" w:fill="auto"/>
            <w:vAlign w:val="center"/>
          </w:tcPr>
          <w:p w14:paraId="3C186A54" w14:textId="77777777" w:rsidR="003A7C1B" w:rsidRPr="000860EB" w:rsidRDefault="003A7C1B" w:rsidP="00250DAC">
            <w:pPr>
              <w:spacing w:after="0" w:line="240" w:lineRule="auto"/>
              <w:jc w:val="center"/>
              <w:rPr>
                <w:rFonts w:ascii="Times New Roman" w:eastAsia="Calibri" w:hAnsi="Times New Roman"/>
                <w:b/>
                <w:bCs/>
                <w:sz w:val="20"/>
                <w:szCs w:val="20"/>
              </w:rPr>
            </w:pPr>
            <w:r>
              <w:rPr>
                <w:rFonts w:ascii="Times New Roman" w:eastAsia="Calibri" w:hAnsi="Times New Roman"/>
                <w:b/>
                <w:bCs/>
                <w:sz w:val="20"/>
                <w:szCs w:val="20"/>
              </w:rPr>
              <w:t>7</w:t>
            </w:r>
          </w:p>
        </w:tc>
        <w:tc>
          <w:tcPr>
            <w:tcW w:w="373" w:type="pct"/>
            <w:shd w:val="clear" w:color="auto" w:fill="auto"/>
            <w:vAlign w:val="center"/>
          </w:tcPr>
          <w:p w14:paraId="0FB3DE34" w14:textId="77777777" w:rsidR="003A7C1B" w:rsidRPr="000860EB" w:rsidRDefault="003A7C1B" w:rsidP="00250DAC">
            <w:pPr>
              <w:spacing w:after="0" w:line="240" w:lineRule="auto"/>
              <w:jc w:val="center"/>
              <w:rPr>
                <w:rFonts w:ascii="Times New Roman" w:eastAsia="Calibri" w:hAnsi="Times New Roman"/>
                <w:b/>
                <w:bCs/>
                <w:sz w:val="20"/>
                <w:szCs w:val="20"/>
              </w:rPr>
            </w:pPr>
            <w:r w:rsidRPr="000860EB">
              <w:rPr>
                <w:rFonts w:ascii="Times New Roman" w:eastAsia="Calibri" w:hAnsi="Times New Roman"/>
                <w:b/>
                <w:bCs/>
                <w:sz w:val="20"/>
                <w:szCs w:val="20"/>
              </w:rPr>
              <w:t>1,38,05,500</w:t>
            </w:r>
          </w:p>
        </w:tc>
        <w:tc>
          <w:tcPr>
            <w:tcW w:w="181" w:type="pct"/>
            <w:shd w:val="clear" w:color="auto" w:fill="auto"/>
            <w:vAlign w:val="center"/>
          </w:tcPr>
          <w:p w14:paraId="02602186" w14:textId="77777777" w:rsidR="003A7C1B" w:rsidRPr="000860EB" w:rsidRDefault="003A7C1B" w:rsidP="00250DAC">
            <w:pPr>
              <w:spacing w:after="0" w:line="240" w:lineRule="auto"/>
              <w:jc w:val="center"/>
              <w:rPr>
                <w:rFonts w:ascii="Times New Roman" w:eastAsia="Calibri" w:hAnsi="Times New Roman"/>
                <w:b/>
                <w:bCs/>
                <w:sz w:val="20"/>
                <w:szCs w:val="20"/>
              </w:rPr>
            </w:pPr>
            <w:r w:rsidRPr="000860EB">
              <w:rPr>
                <w:rFonts w:ascii="Times New Roman" w:eastAsia="Calibri" w:hAnsi="Times New Roman"/>
                <w:b/>
                <w:bCs/>
                <w:sz w:val="20"/>
                <w:szCs w:val="20"/>
              </w:rPr>
              <w:t>-</w:t>
            </w:r>
          </w:p>
        </w:tc>
        <w:tc>
          <w:tcPr>
            <w:tcW w:w="233" w:type="pct"/>
            <w:shd w:val="clear" w:color="auto" w:fill="auto"/>
            <w:vAlign w:val="center"/>
          </w:tcPr>
          <w:p w14:paraId="3CF2C0BC" w14:textId="77777777" w:rsidR="003A7C1B" w:rsidRPr="000860EB" w:rsidRDefault="003A7C1B" w:rsidP="00250DAC">
            <w:pPr>
              <w:spacing w:after="0" w:line="240" w:lineRule="auto"/>
              <w:jc w:val="center"/>
              <w:rPr>
                <w:rFonts w:ascii="Times New Roman" w:eastAsia="Calibri" w:hAnsi="Times New Roman"/>
                <w:b/>
                <w:bCs/>
                <w:sz w:val="20"/>
                <w:szCs w:val="20"/>
              </w:rPr>
            </w:pPr>
            <w:r w:rsidRPr="000860EB">
              <w:rPr>
                <w:rFonts w:ascii="Times New Roman" w:eastAsia="Calibri" w:hAnsi="Times New Roman"/>
                <w:b/>
                <w:bCs/>
                <w:sz w:val="20"/>
                <w:szCs w:val="20"/>
              </w:rPr>
              <w:t>-</w:t>
            </w:r>
          </w:p>
        </w:tc>
        <w:tc>
          <w:tcPr>
            <w:tcW w:w="391" w:type="pct"/>
            <w:shd w:val="clear" w:color="auto" w:fill="auto"/>
            <w:vAlign w:val="center"/>
          </w:tcPr>
          <w:p w14:paraId="47D8C8D6" w14:textId="77777777" w:rsidR="003A7C1B" w:rsidRPr="000860EB" w:rsidRDefault="003A7C1B" w:rsidP="00250DAC">
            <w:pPr>
              <w:spacing w:after="0" w:line="240" w:lineRule="auto"/>
              <w:jc w:val="center"/>
              <w:rPr>
                <w:rFonts w:ascii="Times New Roman" w:eastAsia="Calibri" w:hAnsi="Times New Roman"/>
                <w:b/>
                <w:bCs/>
                <w:sz w:val="20"/>
                <w:szCs w:val="20"/>
              </w:rPr>
            </w:pPr>
            <w:r w:rsidRPr="000860EB">
              <w:rPr>
                <w:rFonts w:ascii="Times New Roman" w:eastAsia="Calibri" w:hAnsi="Times New Roman"/>
                <w:b/>
                <w:bCs/>
                <w:sz w:val="20"/>
                <w:szCs w:val="20"/>
              </w:rPr>
              <w:t>1,38,05,500</w:t>
            </w:r>
          </w:p>
        </w:tc>
        <w:tc>
          <w:tcPr>
            <w:tcW w:w="272" w:type="pct"/>
            <w:shd w:val="clear" w:color="auto" w:fill="auto"/>
            <w:vAlign w:val="center"/>
          </w:tcPr>
          <w:p w14:paraId="629D90BB" w14:textId="77777777" w:rsidR="003A7C1B" w:rsidRPr="000860EB" w:rsidRDefault="003A7C1B" w:rsidP="00250DAC">
            <w:pPr>
              <w:spacing w:after="0" w:line="240" w:lineRule="auto"/>
              <w:jc w:val="center"/>
              <w:rPr>
                <w:rFonts w:ascii="Times New Roman" w:eastAsia="Calibri" w:hAnsi="Times New Roman"/>
                <w:b/>
                <w:bCs/>
                <w:sz w:val="20"/>
                <w:szCs w:val="20"/>
              </w:rPr>
            </w:pPr>
            <w:r w:rsidRPr="000860EB">
              <w:rPr>
                <w:rFonts w:ascii="Times New Roman" w:eastAsia="Calibri" w:hAnsi="Times New Roman"/>
                <w:b/>
                <w:bCs/>
                <w:sz w:val="20"/>
                <w:szCs w:val="20"/>
              </w:rPr>
              <w:t>100.00</w:t>
            </w:r>
          </w:p>
        </w:tc>
        <w:tc>
          <w:tcPr>
            <w:tcW w:w="371" w:type="pct"/>
            <w:shd w:val="clear" w:color="auto" w:fill="auto"/>
            <w:vAlign w:val="center"/>
          </w:tcPr>
          <w:p w14:paraId="51C651B7" w14:textId="77777777" w:rsidR="003A7C1B" w:rsidRPr="000860EB" w:rsidRDefault="003A7C1B" w:rsidP="00250DAC">
            <w:pPr>
              <w:spacing w:after="0" w:line="240" w:lineRule="auto"/>
              <w:jc w:val="center"/>
              <w:rPr>
                <w:rFonts w:ascii="Times New Roman" w:eastAsia="Calibri" w:hAnsi="Times New Roman"/>
                <w:b/>
                <w:bCs/>
                <w:sz w:val="20"/>
                <w:szCs w:val="20"/>
              </w:rPr>
            </w:pPr>
            <w:r w:rsidRPr="000860EB">
              <w:rPr>
                <w:rFonts w:ascii="Times New Roman" w:eastAsia="Calibri" w:hAnsi="Times New Roman"/>
                <w:b/>
                <w:bCs/>
                <w:sz w:val="20"/>
                <w:szCs w:val="20"/>
              </w:rPr>
              <w:t>1,38,05,500</w:t>
            </w:r>
          </w:p>
        </w:tc>
        <w:tc>
          <w:tcPr>
            <w:tcW w:w="170" w:type="pct"/>
            <w:shd w:val="clear" w:color="auto" w:fill="auto"/>
            <w:vAlign w:val="center"/>
          </w:tcPr>
          <w:p w14:paraId="4039B604" w14:textId="77777777" w:rsidR="003A7C1B" w:rsidRPr="000860EB" w:rsidRDefault="003A7C1B" w:rsidP="00250DAC">
            <w:pPr>
              <w:spacing w:after="0" w:line="240" w:lineRule="auto"/>
              <w:jc w:val="center"/>
              <w:rPr>
                <w:rFonts w:ascii="Times New Roman" w:eastAsia="Calibri" w:hAnsi="Times New Roman"/>
                <w:b/>
                <w:bCs/>
                <w:sz w:val="20"/>
                <w:szCs w:val="20"/>
              </w:rPr>
            </w:pPr>
            <w:r w:rsidRPr="000860EB">
              <w:rPr>
                <w:rFonts w:ascii="Times New Roman" w:eastAsia="Calibri" w:hAnsi="Times New Roman"/>
                <w:b/>
                <w:bCs/>
                <w:sz w:val="20"/>
                <w:szCs w:val="20"/>
              </w:rPr>
              <w:t>-</w:t>
            </w:r>
          </w:p>
        </w:tc>
        <w:tc>
          <w:tcPr>
            <w:tcW w:w="353" w:type="pct"/>
            <w:shd w:val="clear" w:color="auto" w:fill="auto"/>
            <w:vAlign w:val="center"/>
          </w:tcPr>
          <w:p w14:paraId="01089DCF" w14:textId="77777777" w:rsidR="003A7C1B" w:rsidRPr="00115A64" w:rsidRDefault="003A7C1B" w:rsidP="00250DAC">
            <w:pPr>
              <w:spacing w:after="0" w:line="240" w:lineRule="auto"/>
              <w:ind w:left="-108" w:right="-162"/>
              <w:jc w:val="center"/>
              <w:rPr>
                <w:rFonts w:ascii="Times New Roman" w:eastAsia="Calibri" w:hAnsi="Times New Roman"/>
                <w:b/>
                <w:sz w:val="20"/>
                <w:szCs w:val="20"/>
              </w:rPr>
            </w:pPr>
            <w:r w:rsidRPr="00115A64">
              <w:rPr>
                <w:rFonts w:ascii="Times New Roman" w:eastAsia="Calibri" w:hAnsi="Times New Roman"/>
                <w:b/>
                <w:sz w:val="20"/>
                <w:szCs w:val="20"/>
              </w:rPr>
              <w:t>1,38,05,500</w:t>
            </w:r>
          </w:p>
        </w:tc>
        <w:tc>
          <w:tcPr>
            <w:tcW w:w="268" w:type="pct"/>
            <w:shd w:val="clear" w:color="auto" w:fill="auto"/>
            <w:vAlign w:val="center"/>
          </w:tcPr>
          <w:p w14:paraId="429AC652" w14:textId="77777777" w:rsidR="003A7C1B" w:rsidRPr="000860EB" w:rsidRDefault="003A7C1B" w:rsidP="00250DAC">
            <w:pPr>
              <w:spacing w:after="0" w:line="240" w:lineRule="auto"/>
              <w:jc w:val="center"/>
              <w:rPr>
                <w:rFonts w:ascii="Times New Roman" w:eastAsia="Calibri" w:hAnsi="Times New Roman"/>
                <w:b/>
                <w:bCs/>
                <w:sz w:val="20"/>
                <w:szCs w:val="20"/>
              </w:rPr>
            </w:pPr>
            <w:r w:rsidRPr="000860EB">
              <w:rPr>
                <w:rFonts w:ascii="Times New Roman" w:eastAsia="Calibri" w:hAnsi="Times New Roman"/>
                <w:b/>
                <w:bCs/>
                <w:sz w:val="20"/>
                <w:szCs w:val="20"/>
              </w:rPr>
              <w:t>100.00</w:t>
            </w:r>
          </w:p>
        </w:tc>
        <w:tc>
          <w:tcPr>
            <w:tcW w:w="208" w:type="pct"/>
            <w:shd w:val="clear" w:color="auto" w:fill="auto"/>
            <w:vAlign w:val="center"/>
          </w:tcPr>
          <w:p w14:paraId="46B71381" w14:textId="77777777" w:rsidR="003A7C1B" w:rsidRPr="000860EB" w:rsidRDefault="003A7C1B" w:rsidP="00250DAC">
            <w:pPr>
              <w:spacing w:after="0" w:line="240" w:lineRule="auto"/>
              <w:jc w:val="center"/>
              <w:rPr>
                <w:rFonts w:ascii="Times New Roman" w:eastAsia="Calibri" w:hAnsi="Times New Roman"/>
                <w:b/>
                <w:bCs/>
                <w:sz w:val="20"/>
                <w:szCs w:val="20"/>
              </w:rPr>
            </w:pPr>
            <w:r w:rsidRPr="000860EB">
              <w:rPr>
                <w:rFonts w:ascii="Times New Roman" w:eastAsia="Calibri" w:hAnsi="Times New Roman"/>
                <w:b/>
                <w:bCs/>
                <w:sz w:val="20"/>
                <w:szCs w:val="20"/>
              </w:rPr>
              <w:t xml:space="preserve">- </w:t>
            </w:r>
          </w:p>
        </w:tc>
        <w:tc>
          <w:tcPr>
            <w:tcW w:w="391" w:type="pct"/>
            <w:shd w:val="clear" w:color="auto" w:fill="auto"/>
            <w:vAlign w:val="center"/>
          </w:tcPr>
          <w:p w14:paraId="78740763" w14:textId="77777777" w:rsidR="003A7C1B" w:rsidRPr="000860EB" w:rsidRDefault="003A7C1B" w:rsidP="00250DAC">
            <w:pPr>
              <w:spacing w:after="0" w:line="240" w:lineRule="auto"/>
              <w:jc w:val="center"/>
              <w:rPr>
                <w:rFonts w:ascii="Times New Roman" w:eastAsia="Calibri" w:hAnsi="Times New Roman"/>
                <w:b/>
                <w:bCs/>
                <w:sz w:val="20"/>
                <w:szCs w:val="20"/>
              </w:rPr>
            </w:pPr>
            <w:r w:rsidRPr="000860EB">
              <w:rPr>
                <w:rFonts w:ascii="Times New Roman" w:eastAsia="Calibri" w:hAnsi="Times New Roman"/>
                <w:b/>
                <w:bCs/>
                <w:sz w:val="20"/>
                <w:szCs w:val="20"/>
              </w:rPr>
              <w:t>100.00</w:t>
            </w:r>
          </w:p>
        </w:tc>
        <w:tc>
          <w:tcPr>
            <w:tcW w:w="321" w:type="pct"/>
            <w:gridSpan w:val="2"/>
            <w:shd w:val="clear" w:color="auto" w:fill="auto"/>
            <w:vAlign w:val="center"/>
          </w:tcPr>
          <w:p w14:paraId="164C64C4" w14:textId="77777777" w:rsidR="003A7C1B" w:rsidRPr="000860EB" w:rsidRDefault="003A7C1B" w:rsidP="00250DAC">
            <w:pPr>
              <w:spacing w:after="0" w:line="240" w:lineRule="auto"/>
              <w:jc w:val="center"/>
              <w:rPr>
                <w:rFonts w:ascii="Times New Roman" w:eastAsia="Calibri" w:hAnsi="Times New Roman"/>
                <w:b/>
                <w:bCs/>
                <w:sz w:val="20"/>
                <w:szCs w:val="20"/>
              </w:rPr>
            </w:pPr>
            <w:r w:rsidRPr="000860EB">
              <w:rPr>
                <w:rFonts w:ascii="Times New Roman" w:eastAsia="Calibri" w:hAnsi="Times New Roman"/>
                <w:b/>
                <w:bCs/>
                <w:sz w:val="20"/>
                <w:szCs w:val="20"/>
              </w:rPr>
              <w:t xml:space="preserve">- </w:t>
            </w:r>
          </w:p>
        </w:tc>
        <w:tc>
          <w:tcPr>
            <w:tcW w:w="381" w:type="pct"/>
            <w:gridSpan w:val="2"/>
            <w:shd w:val="clear" w:color="auto" w:fill="auto"/>
            <w:vAlign w:val="center"/>
          </w:tcPr>
          <w:p w14:paraId="0BC27A2A" w14:textId="77777777" w:rsidR="003A7C1B" w:rsidRPr="000860EB" w:rsidRDefault="003A7C1B" w:rsidP="00250DAC">
            <w:pPr>
              <w:spacing w:after="0" w:line="240" w:lineRule="auto"/>
              <w:jc w:val="center"/>
              <w:rPr>
                <w:rFonts w:ascii="Times New Roman" w:eastAsia="Calibri" w:hAnsi="Times New Roman"/>
                <w:b/>
                <w:bCs/>
                <w:sz w:val="20"/>
                <w:szCs w:val="20"/>
              </w:rPr>
            </w:pPr>
            <w:r w:rsidRPr="000860EB">
              <w:rPr>
                <w:rFonts w:ascii="Times New Roman" w:eastAsia="Calibri" w:hAnsi="Times New Roman"/>
                <w:b/>
                <w:bCs/>
                <w:sz w:val="20"/>
                <w:szCs w:val="20"/>
              </w:rPr>
              <w:t>-</w:t>
            </w:r>
          </w:p>
        </w:tc>
        <w:tc>
          <w:tcPr>
            <w:tcW w:w="242" w:type="pct"/>
            <w:shd w:val="clear" w:color="auto" w:fill="auto"/>
            <w:vAlign w:val="center"/>
          </w:tcPr>
          <w:p w14:paraId="3ED55142" w14:textId="77777777" w:rsidR="003A7C1B" w:rsidRPr="000860EB" w:rsidRDefault="003A7C1B" w:rsidP="00250DAC">
            <w:pPr>
              <w:spacing w:after="0" w:line="240" w:lineRule="auto"/>
              <w:jc w:val="center"/>
              <w:rPr>
                <w:rFonts w:ascii="Times New Roman" w:eastAsia="Calibri" w:hAnsi="Times New Roman"/>
                <w:b/>
                <w:bCs/>
                <w:sz w:val="20"/>
                <w:szCs w:val="20"/>
              </w:rPr>
            </w:pPr>
            <w:r w:rsidRPr="00115A64">
              <w:rPr>
                <w:rFonts w:ascii="Times New Roman" w:eastAsia="Calibri" w:hAnsi="Times New Roman"/>
                <w:b/>
                <w:sz w:val="20"/>
                <w:szCs w:val="20"/>
              </w:rPr>
              <w:t>1,38,05,500</w:t>
            </w:r>
          </w:p>
        </w:tc>
      </w:tr>
    </w:tbl>
    <w:p w14:paraId="141CA1B9" w14:textId="77777777" w:rsidR="003A7C1B" w:rsidRPr="000860EB" w:rsidRDefault="003A7C1B" w:rsidP="003A7C1B">
      <w:pPr>
        <w:spacing w:after="0" w:line="240" w:lineRule="auto"/>
        <w:ind w:left="-450"/>
        <w:jc w:val="both"/>
        <w:rPr>
          <w:rFonts w:ascii="Times New Roman" w:hAnsi="Times New Roman"/>
          <w:sz w:val="20"/>
          <w:szCs w:val="20"/>
        </w:rPr>
      </w:pPr>
      <w:r w:rsidRPr="000860EB">
        <w:rPr>
          <w:rFonts w:ascii="Times New Roman" w:hAnsi="Times New Roman"/>
          <w:sz w:val="20"/>
          <w:szCs w:val="20"/>
        </w:rPr>
        <w:t>The term “Encumbrance” has the same meaning as assigned under regulation 28(3) of SEBI (Substantial Acquisition of Shares and Takeovers) Regulations, 2011</w:t>
      </w:r>
    </w:p>
    <w:p w14:paraId="2974E0B1" w14:textId="77777777" w:rsidR="003A7C1B" w:rsidRPr="000860EB" w:rsidRDefault="003A7C1B" w:rsidP="003A7C1B">
      <w:pPr>
        <w:spacing w:after="0" w:line="240" w:lineRule="auto"/>
        <w:ind w:left="-810"/>
        <w:jc w:val="both"/>
        <w:rPr>
          <w:rFonts w:ascii="Times New Roman" w:hAnsi="Times New Roman"/>
          <w:b/>
          <w:sz w:val="20"/>
          <w:szCs w:val="20"/>
          <w:u w:val="single"/>
        </w:rPr>
      </w:pPr>
      <w:r w:rsidRPr="000860EB">
        <w:rPr>
          <w:rFonts w:ascii="Times New Roman" w:hAnsi="Times New Roman"/>
          <w:b/>
          <w:sz w:val="20"/>
          <w:szCs w:val="20"/>
          <w:u w:val="single"/>
        </w:rPr>
        <w:t>Notes:</w:t>
      </w:r>
    </w:p>
    <w:p w14:paraId="03DCBFC5" w14:textId="77777777" w:rsidR="003A7C1B" w:rsidRPr="000860EB" w:rsidRDefault="003A7C1B" w:rsidP="00F038BD">
      <w:pPr>
        <w:pStyle w:val="NoSpacing"/>
        <w:numPr>
          <w:ilvl w:val="0"/>
          <w:numId w:val="158"/>
        </w:numPr>
        <w:spacing w:line="240" w:lineRule="auto"/>
        <w:ind w:left="-450"/>
        <w:jc w:val="both"/>
        <w:rPr>
          <w:i/>
        </w:rPr>
      </w:pPr>
      <w:r w:rsidRPr="000860EB">
        <w:rPr>
          <w:i/>
        </w:rPr>
        <w:t>As on date of this Draft Red Herring Prospectus 1 Equity share holds 1 vote.</w:t>
      </w:r>
    </w:p>
    <w:p w14:paraId="46B59766" w14:textId="77777777" w:rsidR="003A7C1B" w:rsidRPr="000860EB" w:rsidRDefault="003A7C1B" w:rsidP="00F038BD">
      <w:pPr>
        <w:pStyle w:val="NoSpacing"/>
        <w:numPr>
          <w:ilvl w:val="0"/>
          <w:numId w:val="158"/>
        </w:numPr>
        <w:spacing w:line="240" w:lineRule="auto"/>
        <w:ind w:left="-450"/>
        <w:jc w:val="both"/>
        <w:rPr>
          <w:i/>
        </w:rPr>
      </w:pPr>
      <w:r w:rsidRPr="000860EB">
        <w:rPr>
          <w:i/>
        </w:rPr>
        <w:t>We have only one class of Equity Shares of face value of ₹ 10/- each.</w:t>
      </w:r>
    </w:p>
    <w:p w14:paraId="3F7DEBB0" w14:textId="77777777" w:rsidR="003A7C1B" w:rsidRPr="005B62CA" w:rsidRDefault="003A7C1B" w:rsidP="00F038BD">
      <w:pPr>
        <w:pStyle w:val="NoSpacing"/>
        <w:numPr>
          <w:ilvl w:val="0"/>
          <w:numId w:val="158"/>
        </w:numPr>
        <w:spacing w:line="240" w:lineRule="auto"/>
        <w:ind w:left="-450"/>
        <w:jc w:val="both"/>
        <w:rPr>
          <w:i/>
        </w:rPr>
      </w:pPr>
      <w:r w:rsidRPr="000860EB">
        <w:rPr>
          <w:i/>
        </w:rPr>
        <w:t xml:space="preserve">We have entered into tripartite agreement </w:t>
      </w:r>
      <w:r w:rsidRPr="000860EB">
        <w:rPr>
          <w:i/>
          <w:lang w:val="en-US"/>
        </w:rPr>
        <w:t xml:space="preserve">dated </w:t>
      </w:r>
      <w:r>
        <w:rPr>
          <w:i/>
          <w:lang w:val="en-US"/>
        </w:rPr>
        <w:t>August 04, 2023</w:t>
      </w:r>
      <w:r w:rsidRPr="000860EB">
        <w:rPr>
          <w:i/>
          <w:lang w:val="en-US"/>
        </w:rPr>
        <w:t xml:space="preserve"> and  </w:t>
      </w:r>
      <w:r>
        <w:rPr>
          <w:i/>
          <w:lang w:val="en-US"/>
        </w:rPr>
        <w:t>August 07, 2023</w:t>
      </w:r>
      <w:r w:rsidRPr="000860EB">
        <w:rPr>
          <w:i/>
          <w:lang w:val="en-US"/>
        </w:rPr>
        <w:t xml:space="preserve"> </w:t>
      </w:r>
      <w:r w:rsidRPr="000860EB">
        <w:rPr>
          <w:i/>
        </w:rPr>
        <w:t>with CDSL &amp; NSDL</w:t>
      </w:r>
      <w:r w:rsidRPr="000860EB">
        <w:rPr>
          <w:i/>
          <w:lang w:val="en-US"/>
        </w:rPr>
        <w:t xml:space="preserve"> respectively.</w:t>
      </w:r>
    </w:p>
    <w:p w14:paraId="5CC78B4A" w14:textId="77777777" w:rsidR="003A7C1B" w:rsidRPr="005B62CA" w:rsidRDefault="003A7C1B" w:rsidP="00F038BD">
      <w:pPr>
        <w:pStyle w:val="NoSpacing"/>
        <w:numPr>
          <w:ilvl w:val="0"/>
          <w:numId w:val="158"/>
        </w:numPr>
        <w:spacing w:line="240" w:lineRule="auto"/>
        <w:ind w:left="-450"/>
        <w:jc w:val="both"/>
        <w:rPr>
          <w:i/>
        </w:rPr>
      </w:pPr>
      <w:r w:rsidRPr="005B62CA">
        <w:rPr>
          <w:i/>
        </w:rPr>
        <w:t>Our Company will file the shareholding pattern in the form prescribed under Regulation 31 of the SEBI (Listing Obligations and Disclosure Requirements), Regulations, 2015, one day prior to the listing of the Equity shares. The shareholding pattern will be uploaded on the Website of the BSE before commencement of trading of such Equity Shares</w:t>
      </w:r>
    </w:p>
    <w:p w14:paraId="6E37733E" w14:textId="77777777" w:rsidR="003A7C1B" w:rsidRPr="005B62CA" w:rsidRDefault="003A7C1B" w:rsidP="003A7C1B">
      <w:pPr>
        <w:pStyle w:val="NoSpacing"/>
        <w:spacing w:line="240" w:lineRule="auto"/>
        <w:ind w:left="66"/>
        <w:jc w:val="both"/>
        <w:rPr>
          <w:i/>
        </w:rPr>
        <w:sectPr w:rsidR="003A7C1B" w:rsidRPr="005B62CA" w:rsidSect="00B101BD">
          <w:pgSz w:w="16839" w:h="11907" w:orient="landscape" w:code="9"/>
          <w:pgMar w:top="811" w:right="1440" w:bottom="811" w:left="1168" w:header="720" w:footer="720" w:gutter="0"/>
          <w:cols w:space="720"/>
          <w:docGrid w:linePitch="360"/>
        </w:sectPr>
      </w:pPr>
    </w:p>
    <w:p w14:paraId="604CF7CD" w14:textId="77777777" w:rsidR="003A7C1B" w:rsidRPr="000860EB" w:rsidRDefault="003A7C1B" w:rsidP="00F038BD">
      <w:pPr>
        <w:pStyle w:val="ListParagraph"/>
        <w:numPr>
          <w:ilvl w:val="0"/>
          <w:numId w:val="157"/>
        </w:numPr>
        <w:spacing w:line="240" w:lineRule="auto"/>
        <w:jc w:val="both"/>
        <w:rPr>
          <w:b/>
          <w:sz w:val="20"/>
          <w:szCs w:val="20"/>
        </w:rPr>
      </w:pPr>
      <w:r w:rsidRPr="000860EB">
        <w:rPr>
          <w:b/>
          <w:sz w:val="20"/>
          <w:szCs w:val="20"/>
        </w:rPr>
        <w:lastRenderedPageBreak/>
        <w:t>List of Shareholders of the Company holding 1% or more of the paid up Share Capital of the Company:-</w:t>
      </w:r>
    </w:p>
    <w:p w14:paraId="03CB4B11" w14:textId="77777777" w:rsidR="003A7C1B" w:rsidRPr="000860EB" w:rsidRDefault="003A7C1B" w:rsidP="003A7C1B">
      <w:pPr>
        <w:pStyle w:val="ListParagraph"/>
        <w:spacing w:line="240" w:lineRule="auto"/>
        <w:ind w:left="360"/>
        <w:jc w:val="both"/>
        <w:rPr>
          <w:b/>
          <w:sz w:val="20"/>
          <w:szCs w:val="20"/>
        </w:rPr>
      </w:pPr>
    </w:p>
    <w:p w14:paraId="290B8B9E" w14:textId="77777777" w:rsidR="003A7C1B" w:rsidRPr="000860EB" w:rsidRDefault="003A7C1B" w:rsidP="003A7C1B">
      <w:pPr>
        <w:numPr>
          <w:ilvl w:val="0"/>
          <w:numId w:val="74"/>
        </w:numPr>
        <w:spacing w:after="0" w:line="240" w:lineRule="auto"/>
        <w:jc w:val="both"/>
        <w:rPr>
          <w:rFonts w:ascii="Times New Roman" w:hAnsi="Times New Roman"/>
          <w:color w:val="000000"/>
          <w:sz w:val="20"/>
          <w:szCs w:val="20"/>
        </w:rPr>
      </w:pPr>
      <w:r w:rsidRPr="000860EB">
        <w:rPr>
          <w:rFonts w:ascii="Times New Roman" w:hAnsi="Times New Roman"/>
          <w:color w:val="000000"/>
          <w:sz w:val="20"/>
          <w:szCs w:val="20"/>
        </w:rPr>
        <w:t>As on the date of filing of this Draft Red Herring Prospectus:</w:t>
      </w:r>
    </w:p>
    <w:p w14:paraId="3AF7E7F8" w14:textId="77777777" w:rsidR="003A7C1B" w:rsidRPr="000860EB" w:rsidRDefault="003A7C1B" w:rsidP="003A7C1B">
      <w:pPr>
        <w:spacing w:after="0" w:line="240" w:lineRule="auto"/>
        <w:ind w:left="720"/>
        <w:jc w:val="both"/>
        <w:rPr>
          <w:rFonts w:ascii="Times New Roman" w:hAnsi="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3"/>
        <w:gridCol w:w="4937"/>
        <w:gridCol w:w="2290"/>
        <w:gridCol w:w="2246"/>
      </w:tblGrid>
      <w:tr w:rsidR="003A7C1B" w:rsidRPr="000860EB" w14:paraId="12A2F147" w14:textId="77777777" w:rsidTr="00250DAC">
        <w:trPr>
          <w:trHeight w:val="20"/>
        </w:trPr>
        <w:tc>
          <w:tcPr>
            <w:tcW w:w="470" w:type="pct"/>
            <w:shd w:val="clear" w:color="auto" w:fill="D0CECE" w:themeFill="background2" w:themeFillShade="E6"/>
          </w:tcPr>
          <w:p w14:paraId="538AD814" w14:textId="77777777" w:rsidR="003A7C1B" w:rsidRPr="000860EB" w:rsidRDefault="003A7C1B" w:rsidP="00250DAC">
            <w:pPr>
              <w:suppressAutoHyphens/>
              <w:autoSpaceDE w:val="0"/>
              <w:autoSpaceDN w:val="0"/>
              <w:adjustRightInd w:val="0"/>
              <w:spacing w:after="0" w:line="240" w:lineRule="auto"/>
              <w:jc w:val="center"/>
              <w:textAlignment w:val="center"/>
              <w:rPr>
                <w:rFonts w:ascii="Times New Roman" w:eastAsia="Calibri" w:hAnsi="Times New Roman"/>
                <w:b/>
                <w:bCs/>
                <w:color w:val="000000"/>
                <w:sz w:val="20"/>
                <w:szCs w:val="20"/>
              </w:rPr>
            </w:pPr>
            <w:r w:rsidRPr="000860EB">
              <w:rPr>
                <w:rFonts w:ascii="Times New Roman" w:eastAsia="Calibri" w:hAnsi="Times New Roman"/>
                <w:b/>
                <w:bCs/>
                <w:color w:val="000000"/>
                <w:sz w:val="20"/>
                <w:szCs w:val="20"/>
              </w:rPr>
              <w:t>Sr. No.</w:t>
            </w:r>
          </w:p>
        </w:tc>
        <w:tc>
          <w:tcPr>
            <w:tcW w:w="2361" w:type="pct"/>
            <w:shd w:val="clear" w:color="auto" w:fill="D0CECE" w:themeFill="background2" w:themeFillShade="E6"/>
            <w:noWrap/>
            <w:hideMark/>
          </w:tcPr>
          <w:p w14:paraId="10905FF2" w14:textId="77777777" w:rsidR="003A7C1B" w:rsidRPr="000860EB" w:rsidRDefault="003A7C1B" w:rsidP="00250DAC">
            <w:pPr>
              <w:suppressAutoHyphens/>
              <w:autoSpaceDE w:val="0"/>
              <w:autoSpaceDN w:val="0"/>
              <w:adjustRightInd w:val="0"/>
              <w:spacing w:after="0" w:line="240" w:lineRule="auto"/>
              <w:textAlignment w:val="center"/>
              <w:rPr>
                <w:rFonts w:ascii="Times New Roman" w:eastAsia="Calibri" w:hAnsi="Times New Roman"/>
                <w:b/>
                <w:bCs/>
                <w:color w:val="000000"/>
                <w:sz w:val="20"/>
                <w:szCs w:val="20"/>
              </w:rPr>
            </w:pPr>
            <w:r w:rsidRPr="000860EB">
              <w:rPr>
                <w:rFonts w:ascii="Times New Roman" w:eastAsia="Calibri" w:hAnsi="Times New Roman"/>
                <w:b/>
                <w:color w:val="000000"/>
                <w:sz w:val="20"/>
                <w:szCs w:val="20"/>
              </w:rPr>
              <w:t>Names of Shareholders</w:t>
            </w:r>
          </w:p>
        </w:tc>
        <w:tc>
          <w:tcPr>
            <w:tcW w:w="1095" w:type="pct"/>
            <w:shd w:val="clear" w:color="auto" w:fill="D0CECE" w:themeFill="background2" w:themeFillShade="E6"/>
            <w:noWrap/>
            <w:hideMark/>
          </w:tcPr>
          <w:p w14:paraId="0DBD70E1" w14:textId="77777777" w:rsidR="003A7C1B" w:rsidRPr="000860EB" w:rsidRDefault="003A7C1B" w:rsidP="00250DAC">
            <w:pPr>
              <w:suppressAutoHyphens/>
              <w:autoSpaceDE w:val="0"/>
              <w:autoSpaceDN w:val="0"/>
              <w:adjustRightInd w:val="0"/>
              <w:spacing w:after="0" w:line="240" w:lineRule="auto"/>
              <w:jc w:val="center"/>
              <w:textAlignment w:val="center"/>
              <w:rPr>
                <w:rFonts w:ascii="Times New Roman" w:eastAsia="Calibri" w:hAnsi="Times New Roman"/>
                <w:b/>
                <w:bCs/>
                <w:color w:val="000000"/>
                <w:sz w:val="20"/>
                <w:szCs w:val="20"/>
              </w:rPr>
            </w:pPr>
            <w:r w:rsidRPr="000860EB">
              <w:rPr>
                <w:rFonts w:ascii="Times New Roman" w:eastAsia="Calibri" w:hAnsi="Times New Roman"/>
                <w:b/>
                <w:bCs/>
                <w:color w:val="000000"/>
                <w:sz w:val="20"/>
                <w:szCs w:val="20"/>
              </w:rPr>
              <w:t>Shares held (Face Value of ₹ 10 each)</w:t>
            </w:r>
          </w:p>
        </w:tc>
        <w:tc>
          <w:tcPr>
            <w:tcW w:w="1074" w:type="pct"/>
            <w:shd w:val="clear" w:color="auto" w:fill="D0CECE" w:themeFill="background2" w:themeFillShade="E6"/>
            <w:noWrap/>
            <w:hideMark/>
          </w:tcPr>
          <w:p w14:paraId="37A0106D" w14:textId="77777777" w:rsidR="003A7C1B" w:rsidRPr="000860EB" w:rsidRDefault="003A7C1B" w:rsidP="00250DAC">
            <w:pPr>
              <w:suppressAutoHyphens/>
              <w:autoSpaceDE w:val="0"/>
              <w:autoSpaceDN w:val="0"/>
              <w:adjustRightInd w:val="0"/>
              <w:spacing w:after="0" w:line="240" w:lineRule="auto"/>
              <w:jc w:val="center"/>
              <w:textAlignment w:val="center"/>
              <w:rPr>
                <w:rFonts w:ascii="Times New Roman" w:eastAsia="Calibri" w:hAnsi="Times New Roman"/>
                <w:b/>
                <w:bCs/>
                <w:color w:val="000000"/>
                <w:sz w:val="20"/>
                <w:szCs w:val="20"/>
              </w:rPr>
            </w:pPr>
            <w:r w:rsidRPr="000860EB">
              <w:rPr>
                <w:rFonts w:ascii="Times New Roman" w:eastAsia="Calibri" w:hAnsi="Times New Roman"/>
                <w:b/>
                <w:bCs/>
                <w:color w:val="000000"/>
                <w:sz w:val="20"/>
                <w:szCs w:val="20"/>
              </w:rPr>
              <w:t>% Pre</w:t>
            </w:r>
            <w:r>
              <w:rPr>
                <w:rFonts w:ascii="Times New Roman" w:eastAsia="Calibri" w:hAnsi="Times New Roman"/>
                <w:b/>
                <w:bCs/>
                <w:color w:val="000000"/>
                <w:sz w:val="20"/>
                <w:szCs w:val="20"/>
              </w:rPr>
              <w:t>-</w:t>
            </w:r>
            <w:r w:rsidRPr="000860EB">
              <w:rPr>
                <w:rFonts w:ascii="Times New Roman" w:eastAsia="Calibri" w:hAnsi="Times New Roman"/>
                <w:b/>
                <w:bCs/>
                <w:color w:val="000000"/>
                <w:sz w:val="20"/>
                <w:szCs w:val="20"/>
              </w:rPr>
              <w:t>Issue paid up Share Capital</w:t>
            </w:r>
          </w:p>
        </w:tc>
      </w:tr>
      <w:tr w:rsidR="003A7C1B" w:rsidRPr="000860EB" w14:paraId="6C794A5F" w14:textId="77777777" w:rsidTr="00250DAC">
        <w:trPr>
          <w:trHeight w:val="20"/>
        </w:trPr>
        <w:tc>
          <w:tcPr>
            <w:tcW w:w="470" w:type="pct"/>
            <w:shd w:val="clear" w:color="auto" w:fill="auto"/>
          </w:tcPr>
          <w:p w14:paraId="100EF5CE"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1.</w:t>
            </w:r>
          </w:p>
        </w:tc>
        <w:tc>
          <w:tcPr>
            <w:tcW w:w="2361" w:type="pct"/>
            <w:shd w:val="clear" w:color="auto" w:fill="auto"/>
            <w:noWrap/>
            <w:vAlign w:val="center"/>
          </w:tcPr>
          <w:p w14:paraId="28F89E7A" w14:textId="77777777" w:rsidR="003A7C1B" w:rsidRPr="000860EB" w:rsidRDefault="003A7C1B" w:rsidP="00250DAC">
            <w:pPr>
              <w:spacing w:after="0" w:line="240" w:lineRule="auto"/>
              <w:rPr>
                <w:rFonts w:ascii="Times New Roman" w:eastAsia="Calibri" w:hAnsi="Times New Roman"/>
                <w:sz w:val="20"/>
                <w:szCs w:val="20"/>
              </w:rPr>
            </w:pPr>
            <w:r w:rsidRPr="0094678C">
              <w:rPr>
                <w:rFonts w:ascii="Times New Roman" w:hAnsi="Times New Roman"/>
                <w:sz w:val="20"/>
                <w:szCs w:val="20"/>
              </w:rPr>
              <w:t xml:space="preserve">Dwarkadhish Venture Private Limited </w:t>
            </w:r>
            <w:r w:rsidRPr="0094678C">
              <w:rPr>
                <w:rFonts w:ascii="Times New Roman" w:hAnsi="Times New Roman"/>
                <w:i/>
                <w:iCs/>
                <w:sz w:val="20"/>
                <w:szCs w:val="20"/>
              </w:rPr>
              <w:t>(formerly known as Siyaram Metals Private Limited)</w:t>
            </w:r>
          </w:p>
        </w:tc>
        <w:tc>
          <w:tcPr>
            <w:tcW w:w="1095" w:type="pct"/>
            <w:shd w:val="clear" w:color="auto" w:fill="auto"/>
            <w:noWrap/>
            <w:vAlign w:val="center"/>
          </w:tcPr>
          <w:p w14:paraId="64E48276" w14:textId="77777777" w:rsidR="003A7C1B" w:rsidRPr="000860EB" w:rsidRDefault="003A7C1B" w:rsidP="00250DAC">
            <w:pPr>
              <w:spacing w:after="0" w:line="240" w:lineRule="auto"/>
              <w:ind w:left="100"/>
              <w:jc w:val="center"/>
              <w:rPr>
                <w:rFonts w:ascii="Times New Roman" w:eastAsia="Calibri" w:hAnsi="Times New Roman"/>
                <w:sz w:val="20"/>
                <w:szCs w:val="20"/>
              </w:rPr>
            </w:pPr>
            <w:r w:rsidRPr="000860EB">
              <w:rPr>
                <w:rFonts w:ascii="Times New Roman" w:eastAsia="Calibri" w:hAnsi="Times New Roman"/>
                <w:sz w:val="20"/>
                <w:szCs w:val="20"/>
              </w:rPr>
              <w:t>1,30,45,500</w:t>
            </w:r>
          </w:p>
        </w:tc>
        <w:tc>
          <w:tcPr>
            <w:tcW w:w="1074" w:type="pct"/>
            <w:shd w:val="clear" w:color="auto" w:fill="auto"/>
            <w:noWrap/>
            <w:vAlign w:val="center"/>
          </w:tcPr>
          <w:p w14:paraId="2D6DE866" w14:textId="77777777" w:rsidR="003A7C1B" w:rsidRPr="000860EB" w:rsidRDefault="003A7C1B" w:rsidP="00250DAC">
            <w:pPr>
              <w:spacing w:after="0" w:line="240" w:lineRule="auto"/>
              <w:ind w:left="100"/>
              <w:jc w:val="center"/>
              <w:rPr>
                <w:rFonts w:ascii="Times New Roman" w:eastAsia="Calibri" w:hAnsi="Times New Roman"/>
                <w:sz w:val="20"/>
                <w:szCs w:val="20"/>
              </w:rPr>
            </w:pPr>
            <w:r w:rsidRPr="000860EB">
              <w:rPr>
                <w:rFonts w:ascii="Times New Roman" w:eastAsia="Calibri" w:hAnsi="Times New Roman"/>
                <w:sz w:val="20"/>
                <w:szCs w:val="20"/>
              </w:rPr>
              <w:t>94.49</w:t>
            </w:r>
          </w:p>
        </w:tc>
      </w:tr>
      <w:tr w:rsidR="003A7C1B" w:rsidRPr="000860EB" w14:paraId="0392695C" w14:textId="77777777" w:rsidTr="00250DAC">
        <w:trPr>
          <w:trHeight w:val="20"/>
        </w:trPr>
        <w:tc>
          <w:tcPr>
            <w:tcW w:w="470" w:type="pct"/>
            <w:shd w:val="clear" w:color="auto" w:fill="auto"/>
          </w:tcPr>
          <w:p w14:paraId="04271CFF"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2.</w:t>
            </w:r>
          </w:p>
        </w:tc>
        <w:tc>
          <w:tcPr>
            <w:tcW w:w="2361" w:type="pct"/>
            <w:shd w:val="clear" w:color="auto" w:fill="auto"/>
            <w:noWrap/>
            <w:vAlign w:val="center"/>
          </w:tcPr>
          <w:p w14:paraId="6B900720" w14:textId="77777777" w:rsidR="003A7C1B" w:rsidRPr="000860EB" w:rsidRDefault="003A7C1B" w:rsidP="00250DAC">
            <w:pPr>
              <w:spacing w:after="0" w:line="240" w:lineRule="auto"/>
              <w:rPr>
                <w:rFonts w:ascii="Times New Roman" w:eastAsia="Calibri" w:hAnsi="Times New Roman"/>
                <w:sz w:val="20"/>
                <w:szCs w:val="20"/>
              </w:rPr>
            </w:pPr>
            <w:r w:rsidRPr="000860EB">
              <w:rPr>
                <w:rFonts w:ascii="Times New Roman" w:eastAsia="Calibri" w:hAnsi="Times New Roman"/>
                <w:sz w:val="20"/>
                <w:szCs w:val="20"/>
              </w:rPr>
              <w:t>Ramgopal Ochhavlal Maheswari</w:t>
            </w:r>
          </w:p>
        </w:tc>
        <w:tc>
          <w:tcPr>
            <w:tcW w:w="1095" w:type="pct"/>
            <w:shd w:val="clear" w:color="auto" w:fill="auto"/>
            <w:noWrap/>
            <w:vAlign w:val="center"/>
          </w:tcPr>
          <w:p w14:paraId="0F6E4213" w14:textId="77777777" w:rsidR="003A7C1B" w:rsidRPr="000860EB" w:rsidRDefault="003A7C1B" w:rsidP="00250DAC">
            <w:pPr>
              <w:spacing w:after="0" w:line="240" w:lineRule="auto"/>
              <w:ind w:left="100"/>
              <w:jc w:val="center"/>
              <w:rPr>
                <w:rFonts w:ascii="Times New Roman" w:eastAsia="Calibri" w:hAnsi="Times New Roman"/>
                <w:sz w:val="20"/>
                <w:szCs w:val="20"/>
              </w:rPr>
            </w:pPr>
            <w:r w:rsidRPr="000860EB">
              <w:rPr>
                <w:rFonts w:ascii="Times New Roman" w:eastAsia="Calibri" w:hAnsi="Times New Roman"/>
                <w:sz w:val="20"/>
                <w:szCs w:val="20"/>
              </w:rPr>
              <w:t>4,50,000</w:t>
            </w:r>
          </w:p>
        </w:tc>
        <w:tc>
          <w:tcPr>
            <w:tcW w:w="1074" w:type="pct"/>
            <w:shd w:val="clear" w:color="auto" w:fill="auto"/>
            <w:noWrap/>
            <w:vAlign w:val="center"/>
          </w:tcPr>
          <w:p w14:paraId="13E998AA" w14:textId="77777777" w:rsidR="003A7C1B" w:rsidRPr="000860EB" w:rsidRDefault="003A7C1B" w:rsidP="00250DAC">
            <w:pPr>
              <w:spacing w:after="0" w:line="240" w:lineRule="auto"/>
              <w:ind w:left="100"/>
              <w:jc w:val="center"/>
              <w:rPr>
                <w:rFonts w:ascii="Times New Roman" w:eastAsia="Calibri" w:hAnsi="Times New Roman"/>
                <w:sz w:val="20"/>
                <w:szCs w:val="20"/>
              </w:rPr>
            </w:pPr>
            <w:r w:rsidRPr="000860EB">
              <w:rPr>
                <w:rFonts w:ascii="Times New Roman" w:eastAsia="Calibri" w:hAnsi="Times New Roman"/>
                <w:sz w:val="20"/>
                <w:szCs w:val="20"/>
              </w:rPr>
              <w:t>3.26</w:t>
            </w:r>
          </w:p>
        </w:tc>
      </w:tr>
      <w:tr w:rsidR="003A7C1B" w:rsidRPr="000860EB" w14:paraId="46FC1D68" w14:textId="77777777" w:rsidTr="00250DAC">
        <w:trPr>
          <w:trHeight w:val="20"/>
        </w:trPr>
        <w:tc>
          <w:tcPr>
            <w:tcW w:w="470" w:type="pct"/>
            <w:shd w:val="clear" w:color="auto" w:fill="auto"/>
          </w:tcPr>
          <w:p w14:paraId="22E0995C"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3.</w:t>
            </w:r>
          </w:p>
        </w:tc>
        <w:tc>
          <w:tcPr>
            <w:tcW w:w="2361" w:type="pct"/>
            <w:shd w:val="clear" w:color="auto" w:fill="auto"/>
            <w:noWrap/>
            <w:vAlign w:val="center"/>
          </w:tcPr>
          <w:p w14:paraId="1D6814F9" w14:textId="77777777" w:rsidR="003A7C1B" w:rsidRPr="000860EB" w:rsidRDefault="003A7C1B" w:rsidP="00250DAC">
            <w:pPr>
              <w:spacing w:after="0" w:line="240" w:lineRule="auto"/>
              <w:rPr>
                <w:rFonts w:ascii="Times New Roman" w:eastAsia="Calibri" w:hAnsi="Times New Roman"/>
                <w:sz w:val="20"/>
                <w:szCs w:val="20"/>
              </w:rPr>
            </w:pPr>
            <w:r w:rsidRPr="000860EB">
              <w:rPr>
                <w:rFonts w:ascii="Times New Roman" w:eastAsia="Calibri" w:hAnsi="Times New Roman"/>
                <w:sz w:val="20"/>
                <w:szCs w:val="20"/>
              </w:rPr>
              <w:t>Bhavesh Ramgopal Maheshwari</w:t>
            </w:r>
          </w:p>
        </w:tc>
        <w:tc>
          <w:tcPr>
            <w:tcW w:w="1095" w:type="pct"/>
            <w:shd w:val="clear" w:color="auto" w:fill="auto"/>
            <w:noWrap/>
            <w:vAlign w:val="center"/>
          </w:tcPr>
          <w:p w14:paraId="3CF950ED" w14:textId="77777777" w:rsidR="003A7C1B" w:rsidRPr="000860EB" w:rsidRDefault="003A7C1B" w:rsidP="00250DAC">
            <w:pPr>
              <w:spacing w:after="0" w:line="240" w:lineRule="auto"/>
              <w:ind w:left="100"/>
              <w:jc w:val="center"/>
              <w:rPr>
                <w:rFonts w:ascii="Times New Roman" w:eastAsia="Calibri" w:hAnsi="Times New Roman"/>
                <w:sz w:val="20"/>
                <w:szCs w:val="20"/>
              </w:rPr>
            </w:pPr>
            <w:r>
              <w:rPr>
                <w:rFonts w:ascii="Times New Roman" w:eastAsia="Calibri" w:hAnsi="Times New Roman"/>
                <w:sz w:val="20"/>
                <w:szCs w:val="20"/>
              </w:rPr>
              <w:t>2,10,000</w:t>
            </w:r>
          </w:p>
        </w:tc>
        <w:tc>
          <w:tcPr>
            <w:tcW w:w="1074" w:type="pct"/>
            <w:shd w:val="clear" w:color="auto" w:fill="auto"/>
            <w:noWrap/>
            <w:vAlign w:val="center"/>
          </w:tcPr>
          <w:p w14:paraId="43A25DFA" w14:textId="77777777" w:rsidR="003A7C1B" w:rsidRPr="000860EB" w:rsidRDefault="003A7C1B" w:rsidP="00250DAC">
            <w:pPr>
              <w:spacing w:after="0" w:line="240" w:lineRule="auto"/>
              <w:ind w:left="100"/>
              <w:jc w:val="center"/>
              <w:rPr>
                <w:rFonts w:ascii="Times New Roman" w:eastAsia="Calibri" w:hAnsi="Times New Roman"/>
                <w:sz w:val="20"/>
                <w:szCs w:val="20"/>
              </w:rPr>
            </w:pPr>
            <w:r>
              <w:rPr>
                <w:rFonts w:ascii="Times New Roman" w:eastAsia="Calibri" w:hAnsi="Times New Roman"/>
                <w:sz w:val="20"/>
                <w:szCs w:val="20"/>
              </w:rPr>
              <w:t>1.52</w:t>
            </w:r>
          </w:p>
        </w:tc>
      </w:tr>
      <w:tr w:rsidR="003A7C1B" w:rsidRPr="000860EB" w14:paraId="356EE3C9" w14:textId="77777777" w:rsidTr="00250DAC">
        <w:trPr>
          <w:trHeight w:val="70"/>
        </w:trPr>
        <w:tc>
          <w:tcPr>
            <w:tcW w:w="470" w:type="pct"/>
            <w:shd w:val="clear" w:color="auto" w:fill="auto"/>
          </w:tcPr>
          <w:p w14:paraId="5100F399" w14:textId="77777777" w:rsidR="003A7C1B" w:rsidRPr="000860EB" w:rsidRDefault="003A7C1B" w:rsidP="00250DAC">
            <w:pPr>
              <w:spacing w:after="0" w:line="240" w:lineRule="auto"/>
              <w:jc w:val="center"/>
              <w:rPr>
                <w:rFonts w:ascii="Times New Roman" w:eastAsia="Calibri" w:hAnsi="Times New Roman"/>
                <w:color w:val="000000"/>
                <w:sz w:val="20"/>
                <w:szCs w:val="20"/>
              </w:rPr>
            </w:pPr>
          </w:p>
        </w:tc>
        <w:tc>
          <w:tcPr>
            <w:tcW w:w="2361" w:type="pct"/>
            <w:shd w:val="clear" w:color="auto" w:fill="auto"/>
            <w:noWrap/>
            <w:vAlign w:val="center"/>
          </w:tcPr>
          <w:p w14:paraId="2C8E261A" w14:textId="77777777" w:rsidR="003A7C1B" w:rsidRPr="000860EB" w:rsidRDefault="003A7C1B" w:rsidP="00250DAC">
            <w:pPr>
              <w:suppressAutoHyphens/>
              <w:autoSpaceDE w:val="0"/>
              <w:autoSpaceDN w:val="0"/>
              <w:adjustRightInd w:val="0"/>
              <w:spacing w:after="0" w:line="240" w:lineRule="auto"/>
              <w:jc w:val="center"/>
              <w:textAlignment w:val="center"/>
              <w:rPr>
                <w:rFonts w:ascii="Times New Roman" w:eastAsia="Calibri" w:hAnsi="Times New Roman"/>
                <w:b/>
                <w:color w:val="000000"/>
                <w:sz w:val="20"/>
                <w:szCs w:val="20"/>
              </w:rPr>
            </w:pPr>
            <w:r w:rsidRPr="000860EB">
              <w:rPr>
                <w:rFonts w:ascii="Times New Roman" w:eastAsia="Calibri" w:hAnsi="Times New Roman"/>
                <w:b/>
                <w:color w:val="000000"/>
                <w:sz w:val="20"/>
                <w:szCs w:val="20"/>
              </w:rPr>
              <w:t>Total</w:t>
            </w:r>
          </w:p>
        </w:tc>
        <w:tc>
          <w:tcPr>
            <w:tcW w:w="1095" w:type="pct"/>
            <w:shd w:val="clear" w:color="auto" w:fill="auto"/>
            <w:noWrap/>
            <w:vAlign w:val="center"/>
          </w:tcPr>
          <w:p w14:paraId="64586E0A" w14:textId="77777777" w:rsidR="003A7C1B" w:rsidRPr="000860EB" w:rsidRDefault="003A7C1B" w:rsidP="00250DAC">
            <w:pPr>
              <w:spacing w:after="0" w:line="240" w:lineRule="auto"/>
              <w:jc w:val="center"/>
              <w:rPr>
                <w:rFonts w:ascii="Times New Roman" w:eastAsia="Calibri" w:hAnsi="Times New Roman"/>
                <w:b/>
                <w:sz w:val="20"/>
                <w:szCs w:val="20"/>
              </w:rPr>
            </w:pPr>
            <w:r>
              <w:rPr>
                <w:rFonts w:ascii="Times New Roman" w:eastAsia="Calibri" w:hAnsi="Times New Roman"/>
                <w:b/>
                <w:sz w:val="20"/>
                <w:szCs w:val="20"/>
              </w:rPr>
              <w:t>1,37,05,500</w:t>
            </w:r>
          </w:p>
        </w:tc>
        <w:tc>
          <w:tcPr>
            <w:tcW w:w="1074" w:type="pct"/>
            <w:shd w:val="clear" w:color="auto" w:fill="auto"/>
            <w:noWrap/>
          </w:tcPr>
          <w:p w14:paraId="2F82511F" w14:textId="77777777" w:rsidR="003A7C1B" w:rsidRPr="000860EB" w:rsidRDefault="003A7C1B" w:rsidP="00250DAC">
            <w:pPr>
              <w:spacing w:after="0" w:line="240" w:lineRule="auto"/>
              <w:ind w:left="100"/>
              <w:jc w:val="center"/>
              <w:rPr>
                <w:rFonts w:ascii="Times New Roman" w:eastAsia="Calibri" w:hAnsi="Times New Roman"/>
                <w:b/>
                <w:sz w:val="20"/>
                <w:szCs w:val="20"/>
              </w:rPr>
            </w:pPr>
            <w:r>
              <w:rPr>
                <w:rFonts w:ascii="Times New Roman" w:eastAsia="Calibri" w:hAnsi="Times New Roman"/>
                <w:b/>
                <w:sz w:val="20"/>
                <w:szCs w:val="20"/>
              </w:rPr>
              <w:t>99.28</w:t>
            </w:r>
          </w:p>
        </w:tc>
      </w:tr>
    </w:tbl>
    <w:p w14:paraId="7A256178" w14:textId="77777777" w:rsidR="003A7C1B" w:rsidRPr="000860EB" w:rsidRDefault="003A7C1B" w:rsidP="003A7C1B">
      <w:pPr>
        <w:suppressAutoHyphens/>
        <w:autoSpaceDE w:val="0"/>
        <w:autoSpaceDN w:val="0"/>
        <w:adjustRightInd w:val="0"/>
        <w:spacing w:after="0" w:line="240" w:lineRule="auto"/>
        <w:ind w:left="360" w:hanging="360"/>
        <w:jc w:val="both"/>
        <w:textAlignment w:val="center"/>
        <w:rPr>
          <w:rFonts w:ascii="Times New Roman" w:hAnsi="Times New Roman"/>
          <w:b/>
          <w:color w:val="000000"/>
          <w:sz w:val="20"/>
          <w:szCs w:val="20"/>
        </w:rPr>
      </w:pPr>
    </w:p>
    <w:p w14:paraId="0719356E" w14:textId="77777777" w:rsidR="003A7C1B" w:rsidRPr="000860EB" w:rsidRDefault="003A7C1B" w:rsidP="003A7C1B">
      <w:pPr>
        <w:numPr>
          <w:ilvl w:val="0"/>
          <w:numId w:val="74"/>
        </w:numPr>
        <w:tabs>
          <w:tab w:val="left" w:pos="0"/>
        </w:tabs>
        <w:spacing w:after="0" w:line="240" w:lineRule="auto"/>
        <w:jc w:val="both"/>
        <w:rPr>
          <w:rFonts w:ascii="Times New Roman" w:hAnsi="Times New Roman"/>
          <w:color w:val="000000"/>
          <w:sz w:val="20"/>
          <w:szCs w:val="20"/>
        </w:rPr>
      </w:pPr>
      <w:r w:rsidRPr="000860EB">
        <w:rPr>
          <w:rFonts w:ascii="Times New Roman" w:hAnsi="Times New Roman"/>
          <w:color w:val="000000"/>
          <w:sz w:val="20"/>
          <w:szCs w:val="20"/>
        </w:rPr>
        <w:t>Ten days prior to the date of filing of this Draft Red Herring Prospectus:</w:t>
      </w:r>
    </w:p>
    <w:p w14:paraId="6D2361C0" w14:textId="77777777" w:rsidR="003A7C1B" w:rsidRPr="000860EB" w:rsidRDefault="003A7C1B" w:rsidP="003A7C1B">
      <w:pPr>
        <w:tabs>
          <w:tab w:val="left" w:pos="0"/>
        </w:tabs>
        <w:spacing w:after="0" w:line="240" w:lineRule="auto"/>
        <w:jc w:val="both"/>
        <w:rPr>
          <w:rFonts w:ascii="Times New Roman" w:hAnsi="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3"/>
        <w:gridCol w:w="4937"/>
        <w:gridCol w:w="2290"/>
        <w:gridCol w:w="2246"/>
      </w:tblGrid>
      <w:tr w:rsidR="003A7C1B" w:rsidRPr="000860EB" w14:paraId="63E27FA6" w14:textId="77777777" w:rsidTr="00250DAC">
        <w:trPr>
          <w:trHeight w:val="20"/>
        </w:trPr>
        <w:tc>
          <w:tcPr>
            <w:tcW w:w="470" w:type="pct"/>
            <w:shd w:val="clear" w:color="auto" w:fill="D0CECE" w:themeFill="background2" w:themeFillShade="E6"/>
          </w:tcPr>
          <w:p w14:paraId="0169E3B6" w14:textId="77777777" w:rsidR="003A7C1B" w:rsidRPr="000860EB" w:rsidRDefault="003A7C1B" w:rsidP="00250DAC">
            <w:pPr>
              <w:suppressAutoHyphens/>
              <w:autoSpaceDE w:val="0"/>
              <w:autoSpaceDN w:val="0"/>
              <w:adjustRightInd w:val="0"/>
              <w:spacing w:after="0" w:line="240" w:lineRule="auto"/>
              <w:jc w:val="center"/>
              <w:textAlignment w:val="center"/>
              <w:rPr>
                <w:rFonts w:ascii="Times New Roman" w:eastAsia="Calibri" w:hAnsi="Times New Roman"/>
                <w:b/>
                <w:bCs/>
                <w:color w:val="000000"/>
                <w:sz w:val="20"/>
                <w:szCs w:val="20"/>
              </w:rPr>
            </w:pPr>
            <w:r w:rsidRPr="000860EB">
              <w:rPr>
                <w:rFonts w:ascii="Times New Roman" w:eastAsia="Calibri" w:hAnsi="Times New Roman"/>
                <w:b/>
                <w:bCs/>
                <w:color w:val="000000"/>
                <w:sz w:val="20"/>
                <w:szCs w:val="20"/>
              </w:rPr>
              <w:t>Sr. No.</w:t>
            </w:r>
          </w:p>
        </w:tc>
        <w:tc>
          <w:tcPr>
            <w:tcW w:w="2361" w:type="pct"/>
            <w:shd w:val="clear" w:color="auto" w:fill="D0CECE" w:themeFill="background2" w:themeFillShade="E6"/>
            <w:noWrap/>
            <w:hideMark/>
          </w:tcPr>
          <w:p w14:paraId="56517264" w14:textId="77777777" w:rsidR="003A7C1B" w:rsidRPr="000860EB" w:rsidRDefault="003A7C1B" w:rsidP="00250DAC">
            <w:pPr>
              <w:suppressAutoHyphens/>
              <w:autoSpaceDE w:val="0"/>
              <w:autoSpaceDN w:val="0"/>
              <w:adjustRightInd w:val="0"/>
              <w:spacing w:after="0" w:line="240" w:lineRule="auto"/>
              <w:textAlignment w:val="center"/>
              <w:rPr>
                <w:rFonts w:ascii="Times New Roman" w:eastAsia="Calibri" w:hAnsi="Times New Roman"/>
                <w:b/>
                <w:bCs/>
                <w:color w:val="000000"/>
                <w:sz w:val="20"/>
                <w:szCs w:val="20"/>
              </w:rPr>
            </w:pPr>
            <w:r w:rsidRPr="000860EB">
              <w:rPr>
                <w:rFonts w:ascii="Times New Roman" w:eastAsia="Calibri" w:hAnsi="Times New Roman"/>
                <w:b/>
                <w:color w:val="000000"/>
                <w:sz w:val="20"/>
                <w:szCs w:val="20"/>
              </w:rPr>
              <w:t>Names of Shareholders</w:t>
            </w:r>
          </w:p>
        </w:tc>
        <w:tc>
          <w:tcPr>
            <w:tcW w:w="1095" w:type="pct"/>
            <w:shd w:val="clear" w:color="auto" w:fill="D0CECE" w:themeFill="background2" w:themeFillShade="E6"/>
            <w:noWrap/>
            <w:hideMark/>
          </w:tcPr>
          <w:p w14:paraId="0D9E45CB" w14:textId="77777777" w:rsidR="003A7C1B" w:rsidRPr="000860EB" w:rsidRDefault="003A7C1B" w:rsidP="00250DAC">
            <w:pPr>
              <w:suppressAutoHyphens/>
              <w:autoSpaceDE w:val="0"/>
              <w:autoSpaceDN w:val="0"/>
              <w:adjustRightInd w:val="0"/>
              <w:spacing w:after="0" w:line="240" w:lineRule="auto"/>
              <w:jc w:val="center"/>
              <w:textAlignment w:val="center"/>
              <w:rPr>
                <w:rFonts w:ascii="Times New Roman" w:eastAsia="Calibri" w:hAnsi="Times New Roman"/>
                <w:b/>
                <w:bCs/>
                <w:color w:val="000000"/>
                <w:sz w:val="20"/>
                <w:szCs w:val="20"/>
              </w:rPr>
            </w:pPr>
            <w:r w:rsidRPr="000860EB">
              <w:rPr>
                <w:rFonts w:ascii="Times New Roman" w:eastAsia="Calibri" w:hAnsi="Times New Roman"/>
                <w:b/>
                <w:bCs/>
                <w:color w:val="000000"/>
                <w:sz w:val="20"/>
                <w:szCs w:val="20"/>
              </w:rPr>
              <w:t>Shares held (Face Value of ₹ 10 each)</w:t>
            </w:r>
          </w:p>
        </w:tc>
        <w:tc>
          <w:tcPr>
            <w:tcW w:w="1074" w:type="pct"/>
            <w:shd w:val="clear" w:color="auto" w:fill="D0CECE" w:themeFill="background2" w:themeFillShade="E6"/>
            <w:noWrap/>
            <w:hideMark/>
          </w:tcPr>
          <w:p w14:paraId="0BE82510" w14:textId="77777777" w:rsidR="003A7C1B" w:rsidRPr="000860EB" w:rsidRDefault="003A7C1B" w:rsidP="00250DAC">
            <w:pPr>
              <w:suppressAutoHyphens/>
              <w:autoSpaceDE w:val="0"/>
              <w:autoSpaceDN w:val="0"/>
              <w:adjustRightInd w:val="0"/>
              <w:spacing w:after="0" w:line="240" w:lineRule="auto"/>
              <w:jc w:val="center"/>
              <w:textAlignment w:val="center"/>
              <w:rPr>
                <w:rFonts w:ascii="Times New Roman" w:eastAsia="Calibri" w:hAnsi="Times New Roman"/>
                <w:b/>
                <w:bCs/>
                <w:color w:val="000000"/>
                <w:sz w:val="20"/>
                <w:szCs w:val="20"/>
              </w:rPr>
            </w:pPr>
            <w:r w:rsidRPr="000860EB">
              <w:rPr>
                <w:rFonts w:ascii="Times New Roman" w:eastAsia="Calibri" w:hAnsi="Times New Roman"/>
                <w:b/>
                <w:bCs/>
                <w:color w:val="000000"/>
                <w:sz w:val="20"/>
                <w:szCs w:val="20"/>
              </w:rPr>
              <w:t>% Pre</w:t>
            </w:r>
            <w:r>
              <w:rPr>
                <w:rFonts w:ascii="Times New Roman" w:eastAsia="Calibri" w:hAnsi="Times New Roman"/>
                <w:b/>
                <w:bCs/>
                <w:color w:val="000000"/>
                <w:sz w:val="20"/>
                <w:szCs w:val="20"/>
              </w:rPr>
              <w:t>-</w:t>
            </w:r>
            <w:r w:rsidRPr="000860EB">
              <w:rPr>
                <w:rFonts w:ascii="Times New Roman" w:eastAsia="Calibri" w:hAnsi="Times New Roman"/>
                <w:b/>
                <w:bCs/>
                <w:color w:val="000000"/>
                <w:sz w:val="20"/>
                <w:szCs w:val="20"/>
              </w:rPr>
              <w:t>Issue paid up Share Capital</w:t>
            </w:r>
          </w:p>
        </w:tc>
      </w:tr>
      <w:tr w:rsidR="003A7C1B" w:rsidRPr="000860EB" w14:paraId="56AC8EF7" w14:textId="77777777" w:rsidTr="00250DAC">
        <w:trPr>
          <w:trHeight w:val="20"/>
        </w:trPr>
        <w:tc>
          <w:tcPr>
            <w:tcW w:w="470" w:type="pct"/>
            <w:shd w:val="clear" w:color="auto" w:fill="auto"/>
          </w:tcPr>
          <w:p w14:paraId="0347DCEC"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1.</w:t>
            </w:r>
          </w:p>
        </w:tc>
        <w:tc>
          <w:tcPr>
            <w:tcW w:w="2361" w:type="pct"/>
            <w:shd w:val="clear" w:color="auto" w:fill="auto"/>
            <w:noWrap/>
            <w:vAlign w:val="center"/>
          </w:tcPr>
          <w:p w14:paraId="76F30680" w14:textId="77777777" w:rsidR="003A7C1B" w:rsidRPr="000860EB" w:rsidRDefault="003A7C1B" w:rsidP="00250DAC">
            <w:pPr>
              <w:spacing w:after="0" w:line="240" w:lineRule="auto"/>
              <w:rPr>
                <w:rFonts w:ascii="Times New Roman" w:eastAsia="Calibri" w:hAnsi="Times New Roman"/>
                <w:sz w:val="20"/>
                <w:szCs w:val="20"/>
              </w:rPr>
            </w:pPr>
            <w:r w:rsidRPr="0094678C">
              <w:rPr>
                <w:rFonts w:ascii="Times New Roman" w:hAnsi="Times New Roman"/>
                <w:sz w:val="20"/>
                <w:szCs w:val="20"/>
              </w:rPr>
              <w:t xml:space="preserve">Dwarkadhish Venture Private Limited </w:t>
            </w:r>
            <w:r w:rsidRPr="0094678C">
              <w:rPr>
                <w:rFonts w:ascii="Times New Roman" w:hAnsi="Times New Roman"/>
                <w:i/>
                <w:iCs/>
                <w:sz w:val="20"/>
                <w:szCs w:val="20"/>
              </w:rPr>
              <w:t>(formerly known as Siyaram Metals Private Limited)</w:t>
            </w:r>
          </w:p>
        </w:tc>
        <w:tc>
          <w:tcPr>
            <w:tcW w:w="1095" w:type="pct"/>
            <w:shd w:val="clear" w:color="auto" w:fill="auto"/>
            <w:noWrap/>
            <w:vAlign w:val="center"/>
          </w:tcPr>
          <w:p w14:paraId="644D4241" w14:textId="77777777" w:rsidR="003A7C1B" w:rsidRPr="000860EB" w:rsidRDefault="003A7C1B" w:rsidP="00250DAC">
            <w:pPr>
              <w:spacing w:after="0" w:line="240" w:lineRule="auto"/>
              <w:ind w:left="100"/>
              <w:jc w:val="center"/>
              <w:rPr>
                <w:rFonts w:ascii="Times New Roman" w:eastAsia="Calibri" w:hAnsi="Times New Roman"/>
                <w:sz w:val="20"/>
                <w:szCs w:val="20"/>
              </w:rPr>
            </w:pPr>
            <w:r w:rsidRPr="000860EB">
              <w:rPr>
                <w:rFonts w:ascii="Times New Roman" w:eastAsia="Calibri" w:hAnsi="Times New Roman"/>
                <w:sz w:val="20"/>
                <w:szCs w:val="20"/>
              </w:rPr>
              <w:t>1,30,45,500</w:t>
            </w:r>
          </w:p>
        </w:tc>
        <w:tc>
          <w:tcPr>
            <w:tcW w:w="1074" w:type="pct"/>
            <w:shd w:val="clear" w:color="auto" w:fill="auto"/>
            <w:noWrap/>
            <w:vAlign w:val="center"/>
          </w:tcPr>
          <w:p w14:paraId="02F39BCC" w14:textId="77777777" w:rsidR="003A7C1B" w:rsidRPr="000860EB" w:rsidRDefault="003A7C1B" w:rsidP="00250DAC">
            <w:pPr>
              <w:spacing w:after="0" w:line="240" w:lineRule="auto"/>
              <w:ind w:left="100"/>
              <w:jc w:val="center"/>
              <w:rPr>
                <w:rFonts w:ascii="Times New Roman" w:eastAsia="Calibri" w:hAnsi="Times New Roman"/>
                <w:sz w:val="20"/>
                <w:szCs w:val="20"/>
              </w:rPr>
            </w:pPr>
            <w:r w:rsidRPr="000860EB">
              <w:rPr>
                <w:rFonts w:ascii="Times New Roman" w:eastAsia="Calibri" w:hAnsi="Times New Roman"/>
                <w:sz w:val="20"/>
                <w:szCs w:val="20"/>
              </w:rPr>
              <w:t>94.49</w:t>
            </w:r>
          </w:p>
        </w:tc>
      </w:tr>
      <w:tr w:rsidR="003A7C1B" w:rsidRPr="000860EB" w14:paraId="2AC24024" w14:textId="77777777" w:rsidTr="00250DAC">
        <w:trPr>
          <w:trHeight w:val="20"/>
        </w:trPr>
        <w:tc>
          <w:tcPr>
            <w:tcW w:w="470" w:type="pct"/>
            <w:shd w:val="clear" w:color="auto" w:fill="auto"/>
          </w:tcPr>
          <w:p w14:paraId="34F579DE"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2.</w:t>
            </w:r>
          </w:p>
        </w:tc>
        <w:tc>
          <w:tcPr>
            <w:tcW w:w="2361" w:type="pct"/>
            <w:shd w:val="clear" w:color="auto" w:fill="auto"/>
            <w:noWrap/>
            <w:vAlign w:val="center"/>
          </w:tcPr>
          <w:p w14:paraId="485105DA" w14:textId="77777777" w:rsidR="003A7C1B" w:rsidRPr="000860EB" w:rsidRDefault="003A7C1B" w:rsidP="00250DAC">
            <w:pPr>
              <w:spacing w:after="0" w:line="240" w:lineRule="auto"/>
              <w:rPr>
                <w:rFonts w:ascii="Times New Roman" w:eastAsia="Calibri" w:hAnsi="Times New Roman"/>
                <w:sz w:val="20"/>
                <w:szCs w:val="20"/>
              </w:rPr>
            </w:pPr>
            <w:r w:rsidRPr="000860EB">
              <w:rPr>
                <w:rFonts w:ascii="Times New Roman" w:eastAsia="Calibri" w:hAnsi="Times New Roman"/>
                <w:sz w:val="20"/>
                <w:szCs w:val="20"/>
              </w:rPr>
              <w:t>Ramgopal Ochhavlal Maheswari</w:t>
            </w:r>
          </w:p>
        </w:tc>
        <w:tc>
          <w:tcPr>
            <w:tcW w:w="1095" w:type="pct"/>
            <w:shd w:val="clear" w:color="auto" w:fill="auto"/>
            <w:noWrap/>
            <w:vAlign w:val="center"/>
          </w:tcPr>
          <w:p w14:paraId="675A4B9E" w14:textId="77777777" w:rsidR="003A7C1B" w:rsidRPr="000860EB" w:rsidRDefault="003A7C1B" w:rsidP="00250DAC">
            <w:pPr>
              <w:spacing w:after="0" w:line="240" w:lineRule="auto"/>
              <w:ind w:left="100"/>
              <w:jc w:val="center"/>
              <w:rPr>
                <w:rFonts w:ascii="Times New Roman" w:eastAsia="Calibri" w:hAnsi="Times New Roman"/>
                <w:sz w:val="20"/>
                <w:szCs w:val="20"/>
              </w:rPr>
            </w:pPr>
            <w:r w:rsidRPr="000860EB">
              <w:rPr>
                <w:rFonts w:ascii="Times New Roman" w:eastAsia="Calibri" w:hAnsi="Times New Roman"/>
                <w:sz w:val="20"/>
                <w:szCs w:val="20"/>
              </w:rPr>
              <w:t>4,50,000</w:t>
            </w:r>
          </w:p>
        </w:tc>
        <w:tc>
          <w:tcPr>
            <w:tcW w:w="1074" w:type="pct"/>
            <w:shd w:val="clear" w:color="auto" w:fill="auto"/>
            <w:noWrap/>
            <w:vAlign w:val="center"/>
          </w:tcPr>
          <w:p w14:paraId="0E13DAEC" w14:textId="77777777" w:rsidR="003A7C1B" w:rsidRPr="000860EB" w:rsidRDefault="003A7C1B" w:rsidP="00250DAC">
            <w:pPr>
              <w:spacing w:after="0" w:line="240" w:lineRule="auto"/>
              <w:ind w:left="100"/>
              <w:jc w:val="center"/>
              <w:rPr>
                <w:rFonts w:ascii="Times New Roman" w:eastAsia="Calibri" w:hAnsi="Times New Roman"/>
                <w:sz w:val="20"/>
                <w:szCs w:val="20"/>
              </w:rPr>
            </w:pPr>
            <w:r w:rsidRPr="000860EB">
              <w:rPr>
                <w:rFonts w:ascii="Times New Roman" w:eastAsia="Calibri" w:hAnsi="Times New Roman"/>
                <w:sz w:val="20"/>
                <w:szCs w:val="20"/>
              </w:rPr>
              <w:t>3.26</w:t>
            </w:r>
          </w:p>
        </w:tc>
      </w:tr>
      <w:tr w:rsidR="003A7C1B" w:rsidRPr="000860EB" w14:paraId="68E31ED5" w14:textId="77777777" w:rsidTr="00250DAC">
        <w:trPr>
          <w:trHeight w:val="20"/>
        </w:trPr>
        <w:tc>
          <w:tcPr>
            <w:tcW w:w="470" w:type="pct"/>
            <w:shd w:val="clear" w:color="auto" w:fill="auto"/>
          </w:tcPr>
          <w:p w14:paraId="79236597"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3.</w:t>
            </w:r>
          </w:p>
        </w:tc>
        <w:tc>
          <w:tcPr>
            <w:tcW w:w="2361" w:type="pct"/>
            <w:shd w:val="clear" w:color="auto" w:fill="auto"/>
            <w:noWrap/>
            <w:vAlign w:val="center"/>
          </w:tcPr>
          <w:p w14:paraId="5DFD3AC1" w14:textId="77777777" w:rsidR="003A7C1B" w:rsidRPr="000860EB" w:rsidRDefault="003A7C1B" w:rsidP="00250DAC">
            <w:pPr>
              <w:spacing w:after="0" w:line="240" w:lineRule="auto"/>
              <w:rPr>
                <w:rFonts w:ascii="Times New Roman" w:eastAsia="Calibri" w:hAnsi="Times New Roman"/>
                <w:sz w:val="20"/>
                <w:szCs w:val="20"/>
              </w:rPr>
            </w:pPr>
            <w:r w:rsidRPr="000860EB">
              <w:rPr>
                <w:rFonts w:ascii="Times New Roman" w:eastAsia="Calibri" w:hAnsi="Times New Roman"/>
                <w:sz w:val="20"/>
                <w:szCs w:val="20"/>
              </w:rPr>
              <w:t>Bhavesh Ramgopal Maheshwari</w:t>
            </w:r>
          </w:p>
        </w:tc>
        <w:tc>
          <w:tcPr>
            <w:tcW w:w="1095" w:type="pct"/>
            <w:shd w:val="clear" w:color="auto" w:fill="auto"/>
            <w:noWrap/>
            <w:vAlign w:val="center"/>
          </w:tcPr>
          <w:p w14:paraId="56C3E357" w14:textId="77777777" w:rsidR="003A7C1B" w:rsidRPr="000860EB" w:rsidRDefault="003A7C1B" w:rsidP="00250DAC">
            <w:pPr>
              <w:spacing w:after="0" w:line="240" w:lineRule="auto"/>
              <w:ind w:left="100"/>
              <w:jc w:val="center"/>
              <w:rPr>
                <w:rFonts w:ascii="Times New Roman" w:eastAsia="Calibri" w:hAnsi="Times New Roman"/>
                <w:sz w:val="20"/>
                <w:szCs w:val="20"/>
              </w:rPr>
            </w:pPr>
            <w:r>
              <w:rPr>
                <w:rFonts w:ascii="Times New Roman" w:eastAsia="Calibri" w:hAnsi="Times New Roman"/>
                <w:sz w:val="20"/>
                <w:szCs w:val="20"/>
              </w:rPr>
              <w:t>2,10,000</w:t>
            </w:r>
          </w:p>
        </w:tc>
        <w:tc>
          <w:tcPr>
            <w:tcW w:w="1074" w:type="pct"/>
            <w:shd w:val="clear" w:color="auto" w:fill="auto"/>
            <w:noWrap/>
            <w:vAlign w:val="center"/>
          </w:tcPr>
          <w:p w14:paraId="33F569A8" w14:textId="77777777" w:rsidR="003A7C1B" w:rsidRPr="000860EB" w:rsidRDefault="003A7C1B" w:rsidP="00250DAC">
            <w:pPr>
              <w:spacing w:after="0" w:line="240" w:lineRule="auto"/>
              <w:ind w:left="100"/>
              <w:jc w:val="center"/>
              <w:rPr>
                <w:rFonts w:ascii="Times New Roman" w:eastAsia="Calibri" w:hAnsi="Times New Roman"/>
                <w:sz w:val="20"/>
                <w:szCs w:val="20"/>
              </w:rPr>
            </w:pPr>
            <w:r>
              <w:rPr>
                <w:rFonts w:ascii="Times New Roman" w:eastAsia="Calibri" w:hAnsi="Times New Roman"/>
                <w:sz w:val="20"/>
                <w:szCs w:val="20"/>
              </w:rPr>
              <w:t>1.52</w:t>
            </w:r>
          </w:p>
        </w:tc>
      </w:tr>
      <w:tr w:rsidR="003A7C1B" w:rsidRPr="000860EB" w14:paraId="753A469F" w14:textId="77777777" w:rsidTr="00250DAC">
        <w:trPr>
          <w:trHeight w:val="20"/>
        </w:trPr>
        <w:tc>
          <w:tcPr>
            <w:tcW w:w="470" w:type="pct"/>
            <w:shd w:val="clear" w:color="auto" w:fill="auto"/>
          </w:tcPr>
          <w:p w14:paraId="6C22B22F" w14:textId="77777777" w:rsidR="003A7C1B" w:rsidRPr="000860EB" w:rsidRDefault="003A7C1B" w:rsidP="00250DAC">
            <w:pPr>
              <w:spacing w:after="0" w:line="240" w:lineRule="auto"/>
              <w:jc w:val="center"/>
              <w:rPr>
                <w:rFonts w:ascii="Times New Roman" w:eastAsia="Calibri" w:hAnsi="Times New Roman"/>
                <w:color w:val="000000"/>
                <w:sz w:val="20"/>
                <w:szCs w:val="20"/>
              </w:rPr>
            </w:pPr>
          </w:p>
        </w:tc>
        <w:tc>
          <w:tcPr>
            <w:tcW w:w="2361" w:type="pct"/>
            <w:shd w:val="clear" w:color="auto" w:fill="auto"/>
            <w:noWrap/>
            <w:vAlign w:val="center"/>
          </w:tcPr>
          <w:p w14:paraId="0A1AA8FE" w14:textId="77777777" w:rsidR="003A7C1B" w:rsidRPr="000860EB" w:rsidRDefault="003A7C1B" w:rsidP="00250DAC">
            <w:pPr>
              <w:suppressAutoHyphens/>
              <w:autoSpaceDE w:val="0"/>
              <w:autoSpaceDN w:val="0"/>
              <w:adjustRightInd w:val="0"/>
              <w:spacing w:after="0" w:line="240" w:lineRule="auto"/>
              <w:jc w:val="center"/>
              <w:textAlignment w:val="center"/>
              <w:rPr>
                <w:rFonts w:ascii="Times New Roman" w:eastAsia="Calibri" w:hAnsi="Times New Roman"/>
                <w:b/>
                <w:color w:val="000000"/>
                <w:sz w:val="20"/>
                <w:szCs w:val="20"/>
              </w:rPr>
            </w:pPr>
            <w:r w:rsidRPr="000860EB">
              <w:rPr>
                <w:rFonts w:ascii="Times New Roman" w:eastAsia="Calibri" w:hAnsi="Times New Roman"/>
                <w:b/>
                <w:color w:val="000000"/>
                <w:sz w:val="20"/>
                <w:szCs w:val="20"/>
              </w:rPr>
              <w:t>Total</w:t>
            </w:r>
          </w:p>
        </w:tc>
        <w:tc>
          <w:tcPr>
            <w:tcW w:w="1095" w:type="pct"/>
            <w:shd w:val="clear" w:color="auto" w:fill="auto"/>
            <w:noWrap/>
            <w:vAlign w:val="center"/>
          </w:tcPr>
          <w:p w14:paraId="3BD1CBC0" w14:textId="77777777" w:rsidR="003A7C1B" w:rsidRPr="000860EB" w:rsidRDefault="003A7C1B" w:rsidP="00250DAC">
            <w:pPr>
              <w:spacing w:after="0" w:line="240" w:lineRule="auto"/>
              <w:jc w:val="center"/>
              <w:rPr>
                <w:rFonts w:ascii="Times New Roman" w:eastAsia="Calibri" w:hAnsi="Times New Roman"/>
                <w:b/>
                <w:sz w:val="20"/>
                <w:szCs w:val="20"/>
              </w:rPr>
            </w:pPr>
            <w:r>
              <w:rPr>
                <w:rFonts w:ascii="Times New Roman" w:eastAsia="Calibri" w:hAnsi="Times New Roman"/>
                <w:b/>
                <w:sz w:val="20"/>
                <w:szCs w:val="20"/>
              </w:rPr>
              <w:t>1,37,05,500</w:t>
            </w:r>
          </w:p>
        </w:tc>
        <w:tc>
          <w:tcPr>
            <w:tcW w:w="1074" w:type="pct"/>
            <w:shd w:val="clear" w:color="auto" w:fill="auto"/>
            <w:noWrap/>
          </w:tcPr>
          <w:p w14:paraId="7A82566B" w14:textId="77777777" w:rsidR="003A7C1B" w:rsidRPr="000860EB" w:rsidRDefault="003A7C1B" w:rsidP="00250DAC">
            <w:pPr>
              <w:spacing w:after="0" w:line="240" w:lineRule="auto"/>
              <w:ind w:left="100"/>
              <w:jc w:val="center"/>
              <w:rPr>
                <w:rFonts w:ascii="Times New Roman" w:eastAsia="Calibri" w:hAnsi="Times New Roman"/>
                <w:b/>
                <w:sz w:val="20"/>
                <w:szCs w:val="20"/>
              </w:rPr>
            </w:pPr>
            <w:r>
              <w:rPr>
                <w:rFonts w:ascii="Times New Roman" w:eastAsia="Calibri" w:hAnsi="Times New Roman"/>
                <w:b/>
                <w:sz w:val="20"/>
                <w:szCs w:val="20"/>
              </w:rPr>
              <w:t>99.28</w:t>
            </w:r>
          </w:p>
        </w:tc>
      </w:tr>
    </w:tbl>
    <w:p w14:paraId="57B4366D" w14:textId="77777777" w:rsidR="003A7C1B" w:rsidRPr="000860EB" w:rsidRDefault="003A7C1B" w:rsidP="003A7C1B">
      <w:pPr>
        <w:tabs>
          <w:tab w:val="left" w:pos="0"/>
        </w:tabs>
        <w:spacing w:after="0" w:line="240" w:lineRule="auto"/>
        <w:ind w:left="720"/>
        <w:jc w:val="both"/>
        <w:rPr>
          <w:rFonts w:ascii="Times New Roman" w:hAnsi="Times New Roman"/>
          <w:color w:val="000000"/>
          <w:sz w:val="20"/>
          <w:szCs w:val="20"/>
        </w:rPr>
      </w:pPr>
    </w:p>
    <w:p w14:paraId="3798C665" w14:textId="77777777" w:rsidR="003A7C1B" w:rsidRPr="000860EB" w:rsidRDefault="003A7C1B" w:rsidP="003A7C1B">
      <w:pPr>
        <w:numPr>
          <w:ilvl w:val="0"/>
          <w:numId w:val="74"/>
        </w:numPr>
        <w:tabs>
          <w:tab w:val="left" w:pos="0"/>
        </w:tabs>
        <w:spacing w:after="0" w:line="240" w:lineRule="auto"/>
        <w:jc w:val="both"/>
        <w:rPr>
          <w:rFonts w:ascii="Times New Roman" w:hAnsi="Times New Roman"/>
          <w:color w:val="000000"/>
          <w:sz w:val="20"/>
          <w:szCs w:val="20"/>
        </w:rPr>
      </w:pPr>
      <w:r w:rsidRPr="000860EB">
        <w:rPr>
          <w:rFonts w:ascii="Times New Roman" w:hAnsi="Times New Roman"/>
          <w:color w:val="000000"/>
          <w:sz w:val="20"/>
          <w:szCs w:val="20"/>
        </w:rPr>
        <w:t>One Year prior to the date of filing of this Draft Red Herring Prospectus</w:t>
      </w:r>
    </w:p>
    <w:p w14:paraId="7AFFDF83" w14:textId="77777777" w:rsidR="003A7C1B" w:rsidRPr="000860EB" w:rsidRDefault="003A7C1B" w:rsidP="003A7C1B">
      <w:pPr>
        <w:tabs>
          <w:tab w:val="left" w:pos="0"/>
        </w:tabs>
        <w:spacing w:after="0" w:line="240" w:lineRule="auto"/>
        <w:ind w:left="720"/>
        <w:jc w:val="both"/>
        <w:rPr>
          <w:rFonts w:ascii="Times New Roman" w:hAnsi="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3"/>
        <w:gridCol w:w="4939"/>
        <w:gridCol w:w="2290"/>
        <w:gridCol w:w="2244"/>
      </w:tblGrid>
      <w:tr w:rsidR="003A7C1B" w:rsidRPr="000860EB" w14:paraId="0D87D9F2" w14:textId="77777777" w:rsidTr="00250DAC">
        <w:trPr>
          <w:trHeight w:val="20"/>
        </w:trPr>
        <w:tc>
          <w:tcPr>
            <w:tcW w:w="470" w:type="pct"/>
            <w:shd w:val="clear" w:color="auto" w:fill="D0CECE" w:themeFill="background2" w:themeFillShade="E6"/>
          </w:tcPr>
          <w:p w14:paraId="452EA817" w14:textId="77777777" w:rsidR="003A7C1B" w:rsidRPr="000860EB" w:rsidRDefault="003A7C1B" w:rsidP="00250DAC">
            <w:pPr>
              <w:suppressAutoHyphens/>
              <w:autoSpaceDE w:val="0"/>
              <w:autoSpaceDN w:val="0"/>
              <w:adjustRightInd w:val="0"/>
              <w:spacing w:after="0" w:line="240" w:lineRule="auto"/>
              <w:jc w:val="center"/>
              <w:textAlignment w:val="center"/>
              <w:rPr>
                <w:rFonts w:ascii="Times New Roman" w:eastAsia="Calibri" w:hAnsi="Times New Roman"/>
                <w:b/>
                <w:bCs/>
                <w:color w:val="000000"/>
                <w:sz w:val="20"/>
                <w:szCs w:val="20"/>
              </w:rPr>
            </w:pPr>
            <w:r w:rsidRPr="000860EB">
              <w:rPr>
                <w:rFonts w:ascii="Times New Roman" w:eastAsia="Calibri" w:hAnsi="Times New Roman"/>
                <w:b/>
                <w:bCs/>
                <w:color w:val="000000"/>
                <w:sz w:val="20"/>
                <w:szCs w:val="20"/>
              </w:rPr>
              <w:t>Sr. No.</w:t>
            </w:r>
          </w:p>
        </w:tc>
        <w:tc>
          <w:tcPr>
            <w:tcW w:w="2362" w:type="pct"/>
            <w:shd w:val="clear" w:color="auto" w:fill="D0CECE" w:themeFill="background2" w:themeFillShade="E6"/>
            <w:noWrap/>
            <w:hideMark/>
          </w:tcPr>
          <w:p w14:paraId="29F34BCE" w14:textId="77777777" w:rsidR="003A7C1B" w:rsidRPr="000860EB" w:rsidRDefault="003A7C1B" w:rsidP="00250DAC">
            <w:pPr>
              <w:suppressAutoHyphens/>
              <w:autoSpaceDE w:val="0"/>
              <w:autoSpaceDN w:val="0"/>
              <w:adjustRightInd w:val="0"/>
              <w:spacing w:after="0" w:line="240" w:lineRule="auto"/>
              <w:textAlignment w:val="center"/>
              <w:rPr>
                <w:rFonts w:ascii="Times New Roman" w:eastAsia="Calibri" w:hAnsi="Times New Roman"/>
                <w:b/>
                <w:bCs/>
                <w:color w:val="000000"/>
                <w:sz w:val="20"/>
                <w:szCs w:val="20"/>
              </w:rPr>
            </w:pPr>
            <w:r w:rsidRPr="000860EB">
              <w:rPr>
                <w:rFonts w:ascii="Times New Roman" w:eastAsia="Calibri" w:hAnsi="Times New Roman"/>
                <w:b/>
                <w:color w:val="000000"/>
                <w:sz w:val="20"/>
                <w:szCs w:val="20"/>
              </w:rPr>
              <w:t>Names of Shareholders*</w:t>
            </w:r>
          </w:p>
        </w:tc>
        <w:tc>
          <w:tcPr>
            <w:tcW w:w="1095" w:type="pct"/>
            <w:shd w:val="clear" w:color="auto" w:fill="D0CECE" w:themeFill="background2" w:themeFillShade="E6"/>
            <w:noWrap/>
            <w:hideMark/>
          </w:tcPr>
          <w:p w14:paraId="75AFE251" w14:textId="77777777" w:rsidR="003A7C1B" w:rsidRPr="000860EB" w:rsidRDefault="003A7C1B" w:rsidP="00250DAC">
            <w:pPr>
              <w:suppressAutoHyphens/>
              <w:autoSpaceDE w:val="0"/>
              <w:autoSpaceDN w:val="0"/>
              <w:adjustRightInd w:val="0"/>
              <w:spacing w:after="0" w:line="240" w:lineRule="auto"/>
              <w:jc w:val="center"/>
              <w:textAlignment w:val="center"/>
              <w:rPr>
                <w:rFonts w:ascii="Times New Roman" w:eastAsia="Calibri" w:hAnsi="Times New Roman"/>
                <w:b/>
                <w:bCs/>
                <w:color w:val="000000"/>
                <w:sz w:val="20"/>
                <w:szCs w:val="20"/>
              </w:rPr>
            </w:pPr>
            <w:r w:rsidRPr="000860EB">
              <w:rPr>
                <w:rFonts w:ascii="Times New Roman" w:eastAsia="Calibri" w:hAnsi="Times New Roman"/>
                <w:b/>
                <w:bCs/>
                <w:color w:val="000000"/>
                <w:sz w:val="20"/>
                <w:szCs w:val="20"/>
              </w:rPr>
              <w:t>Shares held (Face Value of ₹ 10 each)</w:t>
            </w:r>
          </w:p>
        </w:tc>
        <w:tc>
          <w:tcPr>
            <w:tcW w:w="1073" w:type="pct"/>
            <w:shd w:val="clear" w:color="auto" w:fill="D0CECE" w:themeFill="background2" w:themeFillShade="E6"/>
            <w:noWrap/>
            <w:hideMark/>
          </w:tcPr>
          <w:p w14:paraId="778A3E60" w14:textId="77777777" w:rsidR="003A7C1B" w:rsidRPr="000860EB" w:rsidRDefault="003A7C1B" w:rsidP="00250DAC">
            <w:pPr>
              <w:suppressAutoHyphens/>
              <w:autoSpaceDE w:val="0"/>
              <w:autoSpaceDN w:val="0"/>
              <w:adjustRightInd w:val="0"/>
              <w:spacing w:after="0" w:line="240" w:lineRule="auto"/>
              <w:jc w:val="center"/>
              <w:textAlignment w:val="center"/>
              <w:rPr>
                <w:rFonts w:ascii="Times New Roman" w:eastAsia="Calibri" w:hAnsi="Times New Roman"/>
                <w:b/>
                <w:bCs/>
                <w:color w:val="000000"/>
                <w:sz w:val="20"/>
                <w:szCs w:val="20"/>
              </w:rPr>
            </w:pPr>
            <w:r w:rsidRPr="000860EB">
              <w:rPr>
                <w:rFonts w:ascii="Times New Roman" w:eastAsia="Calibri" w:hAnsi="Times New Roman"/>
                <w:b/>
                <w:bCs/>
                <w:color w:val="000000"/>
                <w:sz w:val="20"/>
                <w:szCs w:val="20"/>
              </w:rPr>
              <w:t>% Pre</w:t>
            </w:r>
            <w:r>
              <w:rPr>
                <w:rFonts w:ascii="Times New Roman" w:eastAsia="Calibri" w:hAnsi="Times New Roman"/>
                <w:b/>
                <w:bCs/>
                <w:color w:val="000000"/>
                <w:sz w:val="20"/>
                <w:szCs w:val="20"/>
              </w:rPr>
              <w:t>-</w:t>
            </w:r>
            <w:r w:rsidRPr="000860EB">
              <w:rPr>
                <w:rFonts w:ascii="Times New Roman" w:eastAsia="Calibri" w:hAnsi="Times New Roman"/>
                <w:b/>
                <w:bCs/>
                <w:color w:val="000000"/>
                <w:sz w:val="20"/>
                <w:szCs w:val="20"/>
              </w:rPr>
              <w:t>Issue paid up Share Capital</w:t>
            </w:r>
          </w:p>
        </w:tc>
      </w:tr>
      <w:tr w:rsidR="003A7C1B" w:rsidRPr="000860EB" w14:paraId="18E178CA" w14:textId="77777777" w:rsidTr="00250DAC">
        <w:trPr>
          <w:trHeight w:val="20"/>
        </w:trPr>
        <w:tc>
          <w:tcPr>
            <w:tcW w:w="470" w:type="pct"/>
            <w:shd w:val="clear" w:color="auto" w:fill="auto"/>
          </w:tcPr>
          <w:p w14:paraId="2FC0D023"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1.</w:t>
            </w:r>
          </w:p>
        </w:tc>
        <w:tc>
          <w:tcPr>
            <w:tcW w:w="2362" w:type="pct"/>
            <w:shd w:val="clear" w:color="auto" w:fill="auto"/>
            <w:noWrap/>
            <w:vAlign w:val="center"/>
          </w:tcPr>
          <w:p w14:paraId="12FDA389" w14:textId="77777777" w:rsidR="003A7C1B" w:rsidRPr="000860EB" w:rsidRDefault="003A7C1B" w:rsidP="00250DAC">
            <w:pPr>
              <w:spacing w:after="0" w:line="240" w:lineRule="auto"/>
              <w:ind w:left="100"/>
              <w:rPr>
                <w:rFonts w:ascii="Times New Roman" w:eastAsia="Calibri" w:hAnsi="Times New Roman"/>
                <w:sz w:val="20"/>
                <w:szCs w:val="20"/>
              </w:rPr>
            </w:pPr>
            <w:r w:rsidRPr="0094678C">
              <w:rPr>
                <w:rFonts w:ascii="Times New Roman" w:hAnsi="Times New Roman"/>
                <w:sz w:val="20"/>
                <w:szCs w:val="20"/>
              </w:rPr>
              <w:t xml:space="preserve">Dwarkadhish Venture Private Limited </w:t>
            </w:r>
            <w:r w:rsidRPr="0094678C">
              <w:rPr>
                <w:rFonts w:ascii="Times New Roman" w:hAnsi="Times New Roman"/>
                <w:i/>
                <w:iCs/>
                <w:sz w:val="20"/>
                <w:szCs w:val="20"/>
              </w:rPr>
              <w:t>(formerly known as Siyaram Metals Private Limited)</w:t>
            </w:r>
          </w:p>
        </w:tc>
        <w:tc>
          <w:tcPr>
            <w:tcW w:w="1095" w:type="pct"/>
            <w:shd w:val="clear" w:color="auto" w:fill="auto"/>
            <w:noWrap/>
            <w:vAlign w:val="center"/>
          </w:tcPr>
          <w:p w14:paraId="277789ED" w14:textId="77777777" w:rsidR="003A7C1B" w:rsidRPr="000860EB" w:rsidRDefault="003A7C1B" w:rsidP="00250DAC">
            <w:pPr>
              <w:spacing w:after="0" w:line="240" w:lineRule="auto"/>
              <w:ind w:left="100"/>
              <w:jc w:val="center"/>
              <w:rPr>
                <w:rFonts w:ascii="Times New Roman" w:eastAsia="Calibri" w:hAnsi="Times New Roman"/>
                <w:sz w:val="20"/>
                <w:szCs w:val="20"/>
              </w:rPr>
            </w:pPr>
            <w:r w:rsidRPr="000860EB">
              <w:rPr>
                <w:rFonts w:ascii="Times New Roman" w:eastAsia="Calibri" w:hAnsi="Times New Roman"/>
                <w:sz w:val="20"/>
                <w:szCs w:val="20"/>
              </w:rPr>
              <w:t>1,30,45,500</w:t>
            </w:r>
          </w:p>
        </w:tc>
        <w:tc>
          <w:tcPr>
            <w:tcW w:w="1073" w:type="pct"/>
            <w:shd w:val="clear" w:color="auto" w:fill="auto"/>
            <w:noWrap/>
            <w:vAlign w:val="center"/>
          </w:tcPr>
          <w:p w14:paraId="2FF303B1" w14:textId="77777777" w:rsidR="003A7C1B" w:rsidRPr="000860EB" w:rsidRDefault="003A7C1B" w:rsidP="00250DAC">
            <w:pPr>
              <w:spacing w:after="0" w:line="240" w:lineRule="auto"/>
              <w:ind w:left="100"/>
              <w:jc w:val="center"/>
              <w:rPr>
                <w:rFonts w:ascii="Times New Roman" w:eastAsia="Calibri" w:hAnsi="Times New Roman"/>
                <w:sz w:val="20"/>
                <w:szCs w:val="20"/>
              </w:rPr>
            </w:pPr>
            <w:r w:rsidRPr="000860EB">
              <w:rPr>
                <w:rFonts w:ascii="Times New Roman" w:eastAsia="Calibri" w:hAnsi="Times New Roman"/>
                <w:sz w:val="20"/>
                <w:szCs w:val="20"/>
              </w:rPr>
              <w:t>94.49</w:t>
            </w:r>
          </w:p>
        </w:tc>
      </w:tr>
      <w:tr w:rsidR="003A7C1B" w:rsidRPr="000860EB" w14:paraId="50D77146" w14:textId="77777777" w:rsidTr="00250DAC">
        <w:trPr>
          <w:trHeight w:val="20"/>
        </w:trPr>
        <w:tc>
          <w:tcPr>
            <w:tcW w:w="470" w:type="pct"/>
            <w:shd w:val="clear" w:color="auto" w:fill="auto"/>
          </w:tcPr>
          <w:p w14:paraId="1CE3AEE8"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2.</w:t>
            </w:r>
          </w:p>
        </w:tc>
        <w:tc>
          <w:tcPr>
            <w:tcW w:w="2362" w:type="pct"/>
            <w:shd w:val="clear" w:color="auto" w:fill="auto"/>
            <w:noWrap/>
            <w:vAlign w:val="center"/>
          </w:tcPr>
          <w:p w14:paraId="65B9C5BB" w14:textId="77777777" w:rsidR="003A7C1B" w:rsidRPr="000860EB" w:rsidRDefault="003A7C1B" w:rsidP="00250DAC">
            <w:pPr>
              <w:spacing w:after="0" w:line="240" w:lineRule="auto"/>
              <w:ind w:left="100"/>
              <w:rPr>
                <w:rFonts w:ascii="Times New Roman" w:eastAsia="Calibri" w:hAnsi="Times New Roman"/>
                <w:sz w:val="20"/>
                <w:szCs w:val="20"/>
              </w:rPr>
            </w:pPr>
            <w:r w:rsidRPr="000860EB">
              <w:rPr>
                <w:rFonts w:ascii="Times New Roman" w:eastAsia="Calibri" w:hAnsi="Times New Roman"/>
                <w:sz w:val="20"/>
                <w:szCs w:val="20"/>
              </w:rPr>
              <w:t>Ramgopal Ochhavlal Maheswari</w:t>
            </w:r>
          </w:p>
        </w:tc>
        <w:tc>
          <w:tcPr>
            <w:tcW w:w="1095" w:type="pct"/>
            <w:shd w:val="clear" w:color="auto" w:fill="auto"/>
            <w:noWrap/>
            <w:vAlign w:val="center"/>
          </w:tcPr>
          <w:p w14:paraId="22E393C4" w14:textId="77777777" w:rsidR="003A7C1B" w:rsidRPr="000860EB" w:rsidRDefault="003A7C1B" w:rsidP="00250DAC">
            <w:pPr>
              <w:spacing w:after="0" w:line="240" w:lineRule="auto"/>
              <w:ind w:left="100"/>
              <w:jc w:val="center"/>
              <w:rPr>
                <w:rFonts w:ascii="Times New Roman" w:eastAsia="Calibri" w:hAnsi="Times New Roman"/>
                <w:sz w:val="20"/>
                <w:szCs w:val="20"/>
              </w:rPr>
            </w:pPr>
            <w:r w:rsidRPr="000860EB">
              <w:rPr>
                <w:rFonts w:ascii="Times New Roman" w:eastAsia="Calibri" w:hAnsi="Times New Roman"/>
                <w:sz w:val="20"/>
                <w:szCs w:val="20"/>
              </w:rPr>
              <w:t>6,60,000</w:t>
            </w:r>
          </w:p>
        </w:tc>
        <w:tc>
          <w:tcPr>
            <w:tcW w:w="1073" w:type="pct"/>
            <w:shd w:val="clear" w:color="auto" w:fill="auto"/>
            <w:noWrap/>
            <w:vAlign w:val="center"/>
          </w:tcPr>
          <w:p w14:paraId="0FA89136" w14:textId="77777777" w:rsidR="003A7C1B" w:rsidRPr="000860EB" w:rsidRDefault="003A7C1B" w:rsidP="00250DAC">
            <w:pPr>
              <w:spacing w:after="0" w:line="240" w:lineRule="auto"/>
              <w:ind w:left="100"/>
              <w:jc w:val="center"/>
              <w:rPr>
                <w:rFonts w:ascii="Times New Roman" w:eastAsia="Calibri" w:hAnsi="Times New Roman"/>
                <w:sz w:val="20"/>
                <w:szCs w:val="20"/>
              </w:rPr>
            </w:pPr>
            <w:r w:rsidRPr="000860EB">
              <w:rPr>
                <w:rFonts w:ascii="Times New Roman" w:eastAsia="Calibri" w:hAnsi="Times New Roman"/>
                <w:sz w:val="20"/>
                <w:szCs w:val="20"/>
              </w:rPr>
              <w:t>4.78</w:t>
            </w:r>
          </w:p>
        </w:tc>
      </w:tr>
      <w:tr w:rsidR="003A7C1B" w:rsidRPr="000860EB" w14:paraId="498ACE85" w14:textId="77777777" w:rsidTr="00250DAC">
        <w:trPr>
          <w:trHeight w:val="20"/>
        </w:trPr>
        <w:tc>
          <w:tcPr>
            <w:tcW w:w="470" w:type="pct"/>
            <w:shd w:val="clear" w:color="auto" w:fill="auto"/>
          </w:tcPr>
          <w:p w14:paraId="74216E28" w14:textId="77777777" w:rsidR="003A7C1B" w:rsidRPr="000860EB" w:rsidRDefault="003A7C1B" w:rsidP="00250DAC">
            <w:pPr>
              <w:spacing w:after="0" w:line="240" w:lineRule="auto"/>
              <w:jc w:val="center"/>
              <w:rPr>
                <w:rFonts w:ascii="Times New Roman" w:eastAsia="Calibri" w:hAnsi="Times New Roman"/>
                <w:color w:val="000000"/>
                <w:sz w:val="20"/>
                <w:szCs w:val="20"/>
              </w:rPr>
            </w:pPr>
          </w:p>
        </w:tc>
        <w:tc>
          <w:tcPr>
            <w:tcW w:w="2362" w:type="pct"/>
            <w:shd w:val="clear" w:color="auto" w:fill="auto"/>
            <w:noWrap/>
            <w:vAlign w:val="center"/>
          </w:tcPr>
          <w:p w14:paraId="418BEBAB" w14:textId="77777777" w:rsidR="003A7C1B" w:rsidRPr="000860EB" w:rsidRDefault="003A7C1B" w:rsidP="00250DAC">
            <w:pPr>
              <w:suppressAutoHyphens/>
              <w:autoSpaceDE w:val="0"/>
              <w:autoSpaceDN w:val="0"/>
              <w:adjustRightInd w:val="0"/>
              <w:spacing w:after="0" w:line="240" w:lineRule="auto"/>
              <w:jc w:val="center"/>
              <w:textAlignment w:val="center"/>
              <w:rPr>
                <w:rFonts w:ascii="Times New Roman" w:eastAsia="Calibri" w:hAnsi="Times New Roman"/>
                <w:b/>
                <w:color w:val="000000"/>
                <w:sz w:val="20"/>
                <w:szCs w:val="20"/>
              </w:rPr>
            </w:pPr>
            <w:r w:rsidRPr="000860EB">
              <w:rPr>
                <w:rFonts w:ascii="Times New Roman" w:eastAsia="Calibri" w:hAnsi="Times New Roman"/>
                <w:b/>
                <w:color w:val="000000"/>
                <w:sz w:val="20"/>
                <w:szCs w:val="20"/>
              </w:rPr>
              <w:t>Total</w:t>
            </w:r>
          </w:p>
        </w:tc>
        <w:tc>
          <w:tcPr>
            <w:tcW w:w="1095" w:type="pct"/>
            <w:shd w:val="clear" w:color="auto" w:fill="auto"/>
            <w:noWrap/>
            <w:vAlign w:val="center"/>
          </w:tcPr>
          <w:p w14:paraId="2FDCD1C5" w14:textId="77777777" w:rsidR="003A7C1B" w:rsidRPr="000860EB" w:rsidRDefault="003A7C1B" w:rsidP="00250DAC">
            <w:pPr>
              <w:spacing w:after="0" w:line="240" w:lineRule="auto"/>
              <w:jc w:val="center"/>
              <w:rPr>
                <w:rFonts w:ascii="Times New Roman" w:eastAsia="Calibri" w:hAnsi="Times New Roman"/>
                <w:b/>
                <w:sz w:val="20"/>
                <w:szCs w:val="20"/>
              </w:rPr>
            </w:pPr>
            <w:r w:rsidRPr="000860EB">
              <w:rPr>
                <w:rFonts w:ascii="Times New Roman" w:eastAsia="Calibri" w:hAnsi="Times New Roman"/>
                <w:b/>
                <w:sz w:val="20"/>
                <w:szCs w:val="20"/>
              </w:rPr>
              <w:t>1,37,05,500</w:t>
            </w:r>
          </w:p>
        </w:tc>
        <w:tc>
          <w:tcPr>
            <w:tcW w:w="1073" w:type="pct"/>
            <w:shd w:val="clear" w:color="auto" w:fill="auto"/>
            <w:noWrap/>
            <w:vAlign w:val="center"/>
          </w:tcPr>
          <w:p w14:paraId="45683374" w14:textId="77777777" w:rsidR="003A7C1B" w:rsidRPr="000860EB" w:rsidRDefault="003A7C1B" w:rsidP="00250DAC">
            <w:pPr>
              <w:spacing w:after="0" w:line="240" w:lineRule="auto"/>
              <w:ind w:left="100"/>
              <w:jc w:val="center"/>
              <w:rPr>
                <w:rFonts w:ascii="Times New Roman" w:eastAsia="Calibri" w:hAnsi="Times New Roman"/>
                <w:b/>
                <w:sz w:val="20"/>
                <w:szCs w:val="20"/>
              </w:rPr>
            </w:pPr>
            <w:r w:rsidRPr="000860EB">
              <w:rPr>
                <w:rFonts w:ascii="Times New Roman" w:eastAsia="Calibri" w:hAnsi="Times New Roman"/>
                <w:b/>
                <w:sz w:val="20"/>
                <w:szCs w:val="20"/>
              </w:rPr>
              <w:t>99.28</w:t>
            </w:r>
          </w:p>
        </w:tc>
      </w:tr>
    </w:tbl>
    <w:p w14:paraId="6D2194F0" w14:textId="3F1EA25B" w:rsidR="003A7C1B" w:rsidRPr="00486D3C" w:rsidRDefault="003A7C1B" w:rsidP="003A7C1B">
      <w:pPr>
        <w:suppressAutoHyphens/>
        <w:autoSpaceDE w:val="0"/>
        <w:autoSpaceDN w:val="0"/>
        <w:adjustRightInd w:val="0"/>
        <w:spacing w:after="0" w:line="240" w:lineRule="auto"/>
        <w:contextualSpacing/>
        <w:jc w:val="both"/>
        <w:textAlignment w:val="center"/>
        <w:rPr>
          <w:rFonts w:ascii="Times New Roman" w:hAnsi="Times New Roman"/>
          <w:i/>
          <w:iCs/>
          <w:color w:val="000000"/>
          <w:sz w:val="20"/>
          <w:szCs w:val="20"/>
        </w:rPr>
      </w:pPr>
      <w:r w:rsidRPr="0021234E">
        <w:rPr>
          <w:rFonts w:ascii="Times New Roman" w:hAnsi="Times New Roman"/>
          <w:i/>
          <w:iCs/>
          <w:color w:val="000000"/>
          <w:sz w:val="20"/>
          <w:szCs w:val="20"/>
        </w:rPr>
        <w:t xml:space="preserve">*Details of shares </w:t>
      </w:r>
      <w:r w:rsidRPr="00486D3C">
        <w:rPr>
          <w:rFonts w:ascii="Times New Roman" w:hAnsi="Times New Roman"/>
          <w:i/>
          <w:iCs/>
          <w:color w:val="000000"/>
          <w:sz w:val="20"/>
          <w:szCs w:val="20"/>
        </w:rPr>
        <w:t xml:space="preserve">held on September </w:t>
      </w:r>
      <w:r w:rsidR="00486D3C" w:rsidRPr="00486D3C">
        <w:rPr>
          <w:rFonts w:ascii="Times New Roman" w:hAnsi="Times New Roman"/>
          <w:i/>
          <w:iCs/>
          <w:color w:val="000000"/>
          <w:sz w:val="20"/>
          <w:szCs w:val="20"/>
        </w:rPr>
        <w:t>23</w:t>
      </w:r>
      <w:r w:rsidRPr="00486D3C">
        <w:rPr>
          <w:rFonts w:ascii="Times New Roman" w:hAnsi="Times New Roman"/>
          <w:i/>
          <w:iCs/>
          <w:color w:val="000000"/>
          <w:sz w:val="20"/>
          <w:szCs w:val="20"/>
        </w:rPr>
        <w:t xml:space="preserve">, 2022 and percentage held has been calculated based on the paid-up capital of our Company as on September </w:t>
      </w:r>
      <w:r w:rsidR="00486D3C" w:rsidRPr="00486D3C">
        <w:rPr>
          <w:rFonts w:ascii="Times New Roman" w:hAnsi="Times New Roman"/>
          <w:i/>
          <w:iCs/>
          <w:color w:val="000000"/>
          <w:sz w:val="20"/>
          <w:szCs w:val="20"/>
        </w:rPr>
        <w:t>23</w:t>
      </w:r>
      <w:r w:rsidRPr="00486D3C">
        <w:rPr>
          <w:rFonts w:ascii="Times New Roman" w:hAnsi="Times New Roman"/>
          <w:i/>
          <w:iCs/>
          <w:color w:val="000000"/>
          <w:sz w:val="20"/>
          <w:szCs w:val="20"/>
        </w:rPr>
        <w:t>, 2022.</w:t>
      </w:r>
    </w:p>
    <w:p w14:paraId="3C5BA61C" w14:textId="77777777" w:rsidR="003A7C1B" w:rsidRPr="00486D3C" w:rsidRDefault="003A7C1B" w:rsidP="003A7C1B">
      <w:pPr>
        <w:tabs>
          <w:tab w:val="left" w:pos="0"/>
        </w:tabs>
        <w:spacing w:after="0" w:line="240" w:lineRule="auto"/>
        <w:ind w:left="720"/>
        <w:jc w:val="both"/>
        <w:rPr>
          <w:rFonts w:ascii="Times New Roman" w:hAnsi="Times New Roman"/>
          <w:color w:val="000000"/>
          <w:sz w:val="20"/>
          <w:szCs w:val="20"/>
        </w:rPr>
      </w:pPr>
    </w:p>
    <w:p w14:paraId="230061CE" w14:textId="77777777" w:rsidR="003A7C1B" w:rsidRPr="00486D3C" w:rsidRDefault="003A7C1B" w:rsidP="003A7C1B">
      <w:pPr>
        <w:numPr>
          <w:ilvl w:val="0"/>
          <w:numId w:val="74"/>
        </w:numPr>
        <w:tabs>
          <w:tab w:val="left" w:pos="0"/>
        </w:tabs>
        <w:spacing w:after="0" w:line="240" w:lineRule="auto"/>
        <w:jc w:val="both"/>
        <w:rPr>
          <w:rFonts w:ascii="Times New Roman" w:hAnsi="Times New Roman"/>
          <w:color w:val="000000"/>
          <w:sz w:val="20"/>
          <w:szCs w:val="20"/>
        </w:rPr>
      </w:pPr>
      <w:r w:rsidRPr="00486D3C">
        <w:rPr>
          <w:rFonts w:ascii="Times New Roman" w:hAnsi="Times New Roman"/>
          <w:color w:val="000000"/>
          <w:sz w:val="20"/>
          <w:szCs w:val="20"/>
        </w:rPr>
        <w:t>Two Years prior to the date of filing of this Draft Red Herring Prospectus:</w:t>
      </w:r>
    </w:p>
    <w:p w14:paraId="60B4E94F" w14:textId="77777777" w:rsidR="003A7C1B" w:rsidRPr="00486D3C" w:rsidRDefault="003A7C1B" w:rsidP="003A7C1B">
      <w:pPr>
        <w:tabs>
          <w:tab w:val="left" w:pos="0"/>
        </w:tabs>
        <w:spacing w:after="0" w:line="240" w:lineRule="auto"/>
        <w:ind w:left="720"/>
        <w:jc w:val="both"/>
        <w:rPr>
          <w:rFonts w:ascii="Times New Roman" w:hAnsi="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3"/>
        <w:gridCol w:w="4939"/>
        <w:gridCol w:w="2290"/>
        <w:gridCol w:w="2244"/>
      </w:tblGrid>
      <w:tr w:rsidR="003A7C1B" w:rsidRPr="00486D3C" w14:paraId="07FE327A" w14:textId="77777777" w:rsidTr="00250DAC">
        <w:trPr>
          <w:trHeight w:val="20"/>
        </w:trPr>
        <w:tc>
          <w:tcPr>
            <w:tcW w:w="470" w:type="pct"/>
            <w:shd w:val="clear" w:color="auto" w:fill="D0CECE" w:themeFill="background2" w:themeFillShade="E6"/>
          </w:tcPr>
          <w:p w14:paraId="176774DC" w14:textId="77777777" w:rsidR="003A7C1B" w:rsidRPr="00486D3C" w:rsidRDefault="003A7C1B" w:rsidP="00250DAC">
            <w:pPr>
              <w:suppressAutoHyphens/>
              <w:autoSpaceDE w:val="0"/>
              <w:autoSpaceDN w:val="0"/>
              <w:adjustRightInd w:val="0"/>
              <w:spacing w:after="0" w:line="240" w:lineRule="auto"/>
              <w:jc w:val="center"/>
              <w:textAlignment w:val="center"/>
              <w:rPr>
                <w:rFonts w:ascii="Times New Roman" w:eastAsia="Calibri" w:hAnsi="Times New Roman"/>
                <w:b/>
                <w:bCs/>
                <w:color w:val="000000"/>
                <w:sz w:val="20"/>
                <w:szCs w:val="20"/>
              </w:rPr>
            </w:pPr>
            <w:r w:rsidRPr="00486D3C">
              <w:rPr>
                <w:rFonts w:ascii="Times New Roman" w:eastAsia="Calibri" w:hAnsi="Times New Roman"/>
                <w:b/>
                <w:bCs/>
                <w:color w:val="000000"/>
                <w:sz w:val="20"/>
                <w:szCs w:val="20"/>
              </w:rPr>
              <w:t>Sr. No.</w:t>
            </w:r>
          </w:p>
        </w:tc>
        <w:tc>
          <w:tcPr>
            <w:tcW w:w="2362" w:type="pct"/>
            <w:shd w:val="clear" w:color="auto" w:fill="D0CECE" w:themeFill="background2" w:themeFillShade="E6"/>
            <w:noWrap/>
            <w:hideMark/>
          </w:tcPr>
          <w:p w14:paraId="76FAEABE" w14:textId="77777777" w:rsidR="003A7C1B" w:rsidRPr="00486D3C" w:rsidRDefault="003A7C1B" w:rsidP="00250DAC">
            <w:pPr>
              <w:suppressAutoHyphens/>
              <w:autoSpaceDE w:val="0"/>
              <w:autoSpaceDN w:val="0"/>
              <w:adjustRightInd w:val="0"/>
              <w:spacing w:after="0" w:line="240" w:lineRule="auto"/>
              <w:textAlignment w:val="center"/>
              <w:rPr>
                <w:rFonts w:ascii="Times New Roman" w:eastAsia="Calibri" w:hAnsi="Times New Roman"/>
                <w:b/>
                <w:bCs/>
                <w:color w:val="000000"/>
                <w:sz w:val="20"/>
                <w:szCs w:val="20"/>
              </w:rPr>
            </w:pPr>
            <w:r w:rsidRPr="00486D3C">
              <w:rPr>
                <w:rFonts w:ascii="Times New Roman" w:eastAsia="Calibri" w:hAnsi="Times New Roman"/>
                <w:b/>
                <w:color w:val="000000"/>
                <w:sz w:val="20"/>
                <w:szCs w:val="20"/>
              </w:rPr>
              <w:t>Names of Shareholders*</w:t>
            </w:r>
          </w:p>
        </w:tc>
        <w:tc>
          <w:tcPr>
            <w:tcW w:w="1095" w:type="pct"/>
            <w:shd w:val="clear" w:color="auto" w:fill="D0CECE" w:themeFill="background2" w:themeFillShade="E6"/>
            <w:noWrap/>
            <w:hideMark/>
          </w:tcPr>
          <w:p w14:paraId="130C7E87" w14:textId="77777777" w:rsidR="003A7C1B" w:rsidRPr="00486D3C" w:rsidRDefault="003A7C1B" w:rsidP="00250DAC">
            <w:pPr>
              <w:suppressAutoHyphens/>
              <w:autoSpaceDE w:val="0"/>
              <w:autoSpaceDN w:val="0"/>
              <w:adjustRightInd w:val="0"/>
              <w:spacing w:after="0" w:line="240" w:lineRule="auto"/>
              <w:jc w:val="center"/>
              <w:textAlignment w:val="center"/>
              <w:rPr>
                <w:rFonts w:ascii="Times New Roman" w:eastAsia="Calibri" w:hAnsi="Times New Roman"/>
                <w:b/>
                <w:bCs/>
                <w:color w:val="000000"/>
                <w:sz w:val="20"/>
                <w:szCs w:val="20"/>
              </w:rPr>
            </w:pPr>
            <w:r w:rsidRPr="00486D3C">
              <w:rPr>
                <w:rFonts w:ascii="Times New Roman" w:eastAsia="Calibri" w:hAnsi="Times New Roman"/>
                <w:b/>
                <w:bCs/>
                <w:color w:val="000000"/>
                <w:sz w:val="20"/>
                <w:szCs w:val="20"/>
              </w:rPr>
              <w:t>Shares held (Face Value of ₹ 10 each)</w:t>
            </w:r>
          </w:p>
        </w:tc>
        <w:tc>
          <w:tcPr>
            <w:tcW w:w="1073" w:type="pct"/>
            <w:shd w:val="clear" w:color="auto" w:fill="D0CECE" w:themeFill="background2" w:themeFillShade="E6"/>
            <w:noWrap/>
            <w:hideMark/>
          </w:tcPr>
          <w:p w14:paraId="615EAC20" w14:textId="77777777" w:rsidR="003A7C1B" w:rsidRPr="00486D3C" w:rsidRDefault="003A7C1B" w:rsidP="00250DAC">
            <w:pPr>
              <w:suppressAutoHyphens/>
              <w:autoSpaceDE w:val="0"/>
              <w:autoSpaceDN w:val="0"/>
              <w:adjustRightInd w:val="0"/>
              <w:spacing w:after="0" w:line="240" w:lineRule="auto"/>
              <w:jc w:val="center"/>
              <w:textAlignment w:val="center"/>
              <w:rPr>
                <w:rFonts w:ascii="Times New Roman" w:eastAsia="Calibri" w:hAnsi="Times New Roman"/>
                <w:b/>
                <w:bCs/>
                <w:color w:val="000000"/>
                <w:sz w:val="20"/>
                <w:szCs w:val="20"/>
              </w:rPr>
            </w:pPr>
            <w:r w:rsidRPr="00486D3C">
              <w:rPr>
                <w:rFonts w:ascii="Times New Roman" w:eastAsia="Calibri" w:hAnsi="Times New Roman"/>
                <w:b/>
                <w:bCs/>
                <w:color w:val="000000"/>
                <w:sz w:val="20"/>
                <w:szCs w:val="20"/>
              </w:rPr>
              <w:t>% Pre-Issue paid up Share Capital</w:t>
            </w:r>
          </w:p>
        </w:tc>
      </w:tr>
      <w:tr w:rsidR="003A7C1B" w:rsidRPr="00486D3C" w14:paraId="0CC3A7F0" w14:textId="77777777" w:rsidTr="00250DAC">
        <w:trPr>
          <w:trHeight w:val="20"/>
        </w:trPr>
        <w:tc>
          <w:tcPr>
            <w:tcW w:w="470" w:type="pct"/>
            <w:shd w:val="clear" w:color="auto" w:fill="auto"/>
          </w:tcPr>
          <w:p w14:paraId="3DE3268C" w14:textId="77777777" w:rsidR="003A7C1B" w:rsidRPr="00486D3C" w:rsidRDefault="003A7C1B" w:rsidP="00250DAC">
            <w:pPr>
              <w:spacing w:after="0" w:line="240" w:lineRule="auto"/>
              <w:jc w:val="center"/>
              <w:rPr>
                <w:rFonts w:ascii="Times New Roman" w:eastAsia="Calibri" w:hAnsi="Times New Roman"/>
                <w:sz w:val="20"/>
                <w:szCs w:val="20"/>
              </w:rPr>
            </w:pPr>
            <w:r w:rsidRPr="00486D3C">
              <w:rPr>
                <w:rFonts w:ascii="Times New Roman" w:eastAsia="Calibri" w:hAnsi="Times New Roman"/>
                <w:sz w:val="20"/>
                <w:szCs w:val="20"/>
              </w:rPr>
              <w:t>1.</w:t>
            </w:r>
          </w:p>
        </w:tc>
        <w:tc>
          <w:tcPr>
            <w:tcW w:w="2362" w:type="pct"/>
            <w:shd w:val="clear" w:color="auto" w:fill="auto"/>
            <w:noWrap/>
            <w:vAlign w:val="center"/>
          </w:tcPr>
          <w:p w14:paraId="4E4A937D" w14:textId="77777777" w:rsidR="003A7C1B" w:rsidRPr="00486D3C" w:rsidRDefault="003A7C1B" w:rsidP="00250DAC">
            <w:pPr>
              <w:spacing w:after="0" w:line="240" w:lineRule="auto"/>
              <w:ind w:left="100"/>
              <w:rPr>
                <w:rFonts w:ascii="Times New Roman" w:eastAsia="Calibri" w:hAnsi="Times New Roman"/>
                <w:sz w:val="20"/>
                <w:szCs w:val="20"/>
              </w:rPr>
            </w:pPr>
            <w:r w:rsidRPr="00486D3C">
              <w:rPr>
                <w:rFonts w:ascii="Times New Roman" w:hAnsi="Times New Roman"/>
                <w:sz w:val="20"/>
                <w:szCs w:val="20"/>
              </w:rPr>
              <w:t xml:space="preserve">Dwarkadhish Venture Private Limited </w:t>
            </w:r>
            <w:r w:rsidRPr="00486D3C">
              <w:rPr>
                <w:rFonts w:ascii="Times New Roman" w:hAnsi="Times New Roman"/>
                <w:i/>
                <w:iCs/>
                <w:sz w:val="20"/>
                <w:szCs w:val="20"/>
              </w:rPr>
              <w:t>(formerly known as Siyaram Metals Private Limited)</w:t>
            </w:r>
          </w:p>
        </w:tc>
        <w:tc>
          <w:tcPr>
            <w:tcW w:w="1095" w:type="pct"/>
            <w:shd w:val="clear" w:color="auto" w:fill="auto"/>
            <w:noWrap/>
            <w:vAlign w:val="center"/>
          </w:tcPr>
          <w:p w14:paraId="1E08F8F4" w14:textId="77777777" w:rsidR="003A7C1B" w:rsidRPr="00486D3C" w:rsidRDefault="003A7C1B" w:rsidP="00250DAC">
            <w:pPr>
              <w:spacing w:after="0" w:line="240" w:lineRule="auto"/>
              <w:ind w:left="100"/>
              <w:jc w:val="center"/>
              <w:rPr>
                <w:rFonts w:ascii="Times New Roman" w:eastAsia="Calibri" w:hAnsi="Times New Roman"/>
                <w:sz w:val="20"/>
                <w:szCs w:val="20"/>
              </w:rPr>
            </w:pPr>
            <w:r w:rsidRPr="00486D3C">
              <w:rPr>
                <w:rFonts w:ascii="Times New Roman" w:eastAsia="Calibri" w:hAnsi="Times New Roman"/>
                <w:sz w:val="20"/>
                <w:szCs w:val="20"/>
              </w:rPr>
              <w:t>1,30,45,500</w:t>
            </w:r>
          </w:p>
        </w:tc>
        <w:tc>
          <w:tcPr>
            <w:tcW w:w="1073" w:type="pct"/>
            <w:shd w:val="clear" w:color="auto" w:fill="auto"/>
            <w:noWrap/>
            <w:vAlign w:val="center"/>
          </w:tcPr>
          <w:p w14:paraId="59437A9C" w14:textId="77777777" w:rsidR="003A7C1B" w:rsidRPr="00486D3C" w:rsidRDefault="003A7C1B" w:rsidP="00250DAC">
            <w:pPr>
              <w:spacing w:after="0" w:line="240" w:lineRule="auto"/>
              <w:ind w:left="100"/>
              <w:jc w:val="center"/>
              <w:rPr>
                <w:rFonts w:ascii="Times New Roman" w:eastAsia="Calibri" w:hAnsi="Times New Roman"/>
                <w:sz w:val="20"/>
                <w:szCs w:val="20"/>
              </w:rPr>
            </w:pPr>
            <w:r w:rsidRPr="00486D3C">
              <w:rPr>
                <w:rFonts w:ascii="Times New Roman" w:eastAsia="Calibri" w:hAnsi="Times New Roman"/>
                <w:sz w:val="20"/>
                <w:szCs w:val="20"/>
              </w:rPr>
              <w:t>94.49</w:t>
            </w:r>
          </w:p>
        </w:tc>
      </w:tr>
      <w:tr w:rsidR="003A7C1B" w:rsidRPr="00486D3C" w14:paraId="0FD2E60B" w14:textId="77777777" w:rsidTr="00250DAC">
        <w:trPr>
          <w:trHeight w:val="20"/>
        </w:trPr>
        <w:tc>
          <w:tcPr>
            <w:tcW w:w="470" w:type="pct"/>
            <w:shd w:val="clear" w:color="auto" w:fill="auto"/>
          </w:tcPr>
          <w:p w14:paraId="490E5FEE" w14:textId="77777777" w:rsidR="003A7C1B" w:rsidRPr="00486D3C" w:rsidRDefault="003A7C1B" w:rsidP="00250DAC">
            <w:pPr>
              <w:spacing w:after="0" w:line="240" w:lineRule="auto"/>
              <w:jc w:val="center"/>
              <w:rPr>
                <w:rFonts w:ascii="Times New Roman" w:eastAsia="Calibri" w:hAnsi="Times New Roman"/>
                <w:sz w:val="20"/>
                <w:szCs w:val="20"/>
              </w:rPr>
            </w:pPr>
            <w:r w:rsidRPr="00486D3C">
              <w:rPr>
                <w:rFonts w:ascii="Times New Roman" w:eastAsia="Calibri" w:hAnsi="Times New Roman"/>
                <w:sz w:val="20"/>
                <w:szCs w:val="20"/>
              </w:rPr>
              <w:t>2.</w:t>
            </w:r>
          </w:p>
        </w:tc>
        <w:tc>
          <w:tcPr>
            <w:tcW w:w="2362" w:type="pct"/>
            <w:shd w:val="clear" w:color="auto" w:fill="auto"/>
            <w:noWrap/>
            <w:vAlign w:val="center"/>
          </w:tcPr>
          <w:p w14:paraId="4782FAB6" w14:textId="77777777" w:rsidR="003A7C1B" w:rsidRPr="00486D3C" w:rsidRDefault="003A7C1B" w:rsidP="00250DAC">
            <w:pPr>
              <w:spacing w:after="0" w:line="240" w:lineRule="auto"/>
              <w:ind w:left="100"/>
              <w:rPr>
                <w:rFonts w:ascii="Times New Roman" w:eastAsia="Calibri" w:hAnsi="Times New Roman"/>
                <w:sz w:val="20"/>
                <w:szCs w:val="20"/>
              </w:rPr>
            </w:pPr>
            <w:r w:rsidRPr="00486D3C">
              <w:rPr>
                <w:rFonts w:ascii="Times New Roman" w:eastAsia="Calibri" w:hAnsi="Times New Roman"/>
                <w:sz w:val="20"/>
                <w:szCs w:val="20"/>
              </w:rPr>
              <w:t>Ramgopal Ochhavlal Maheswari</w:t>
            </w:r>
          </w:p>
        </w:tc>
        <w:tc>
          <w:tcPr>
            <w:tcW w:w="1095" w:type="pct"/>
            <w:shd w:val="clear" w:color="auto" w:fill="auto"/>
            <w:noWrap/>
            <w:vAlign w:val="center"/>
          </w:tcPr>
          <w:p w14:paraId="06D8FC60" w14:textId="77777777" w:rsidR="003A7C1B" w:rsidRPr="00486D3C" w:rsidRDefault="003A7C1B" w:rsidP="00250DAC">
            <w:pPr>
              <w:spacing w:after="0" w:line="240" w:lineRule="auto"/>
              <w:ind w:left="100"/>
              <w:jc w:val="center"/>
              <w:rPr>
                <w:rFonts w:ascii="Times New Roman" w:eastAsia="Calibri" w:hAnsi="Times New Roman"/>
                <w:sz w:val="20"/>
                <w:szCs w:val="20"/>
              </w:rPr>
            </w:pPr>
            <w:r w:rsidRPr="00486D3C">
              <w:rPr>
                <w:rFonts w:ascii="Times New Roman" w:eastAsia="Calibri" w:hAnsi="Times New Roman"/>
                <w:sz w:val="20"/>
                <w:szCs w:val="20"/>
              </w:rPr>
              <w:t>6,60,000</w:t>
            </w:r>
          </w:p>
        </w:tc>
        <w:tc>
          <w:tcPr>
            <w:tcW w:w="1073" w:type="pct"/>
            <w:shd w:val="clear" w:color="auto" w:fill="auto"/>
            <w:noWrap/>
            <w:vAlign w:val="center"/>
          </w:tcPr>
          <w:p w14:paraId="4D56A3B3" w14:textId="77777777" w:rsidR="003A7C1B" w:rsidRPr="00486D3C" w:rsidRDefault="003A7C1B" w:rsidP="00250DAC">
            <w:pPr>
              <w:spacing w:after="0" w:line="240" w:lineRule="auto"/>
              <w:ind w:left="100"/>
              <w:jc w:val="center"/>
              <w:rPr>
                <w:rFonts w:ascii="Times New Roman" w:eastAsia="Calibri" w:hAnsi="Times New Roman"/>
                <w:sz w:val="20"/>
                <w:szCs w:val="20"/>
              </w:rPr>
            </w:pPr>
            <w:r w:rsidRPr="00486D3C">
              <w:rPr>
                <w:rFonts w:ascii="Times New Roman" w:eastAsia="Calibri" w:hAnsi="Times New Roman"/>
                <w:sz w:val="20"/>
                <w:szCs w:val="20"/>
              </w:rPr>
              <w:t>4.78</w:t>
            </w:r>
          </w:p>
        </w:tc>
      </w:tr>
      <w:tr w:rsidR="003A7C1B" w:rsidRPr="00486D3C" w14:paraId="556985D0" w14:textId="77777777" w:rsidTr="00250DAC">
        <w:trPr>
          <w:trHeight w:val="20"/>
        </w:trPr>
        <w:tc>
          <w:tcPr>
            <w:tcW w:w="470" w:type="pct"/>
            <w:shd w:val="clear" w:color="auto" w:fill="auto"/>
          </w:tcPr>
          <w:p w14:paraId="28CFE992" w14:textId="77777777" w:rsidR="003A7C1B" w:rsidRPr="00486D3C" w:rsidRDefault="003A7C1B" w:rsidP="00250DAC">
            <w:pPr>
              <w:spacing w:after="0" w:line="240" w:lineRule="auto"/>
              <w:jc w:val="center"/>
              <w:rPr>
                <w:rFonts w:ascii="Times New Roman" w:eastAsia="Calibri" w:hAnsi="Times New Roman"/>
                <w:color w:val="000000"/>
                <w:sz w:val="20"/>
                <w:szCs w:val="20"/>
              </w:rPr>
            </w:pPr>
          </w:p>
        </w:tc>
        <w:tc>
          <w:tcPr>
            <w:tcW w:w="2362" w:type="pct"/>
            <w:shd w:val="clear" w:color="auto" w:fill="auto"/>
            <w:noWrap/>
            <w:vAlign w:val="center"/>
          </w:tcPr>
          <w:p w14:paraId="4B405B02" w14:textId="77777777" w:rsidR="003A7C1B" w:rsidRPr="00486D3C" w:rsidRDefault="003A7C1B" w:rsidP="00250DAC">
            <w:pPr>
              <w:suppressAutoHyphens/>
              <w:autoSpaceDE w:val="0"/>
              <w:autoSpaceDN w:val="0"/>
              <w:adjustRightInd w:val="0"/>
              <w:spacing w:after="0" w:line="240" w:lineRule="auto"/>
              <w:jc w:val="center"/>
              <w:textAlignment w:val="center"/>
              <w:rPr>
                <w:rFonts w:ascii="Times New Roman" w:eastAsia="Calibri" w:hAnsi="Times New Roman"/>
                <w:b/>
                <w:color w:val="000000"/>
                <w:sz w:val="20"/>
                <w:szCs w:val="20"/>
              </w:rPr>
            </w:pPr>
            <w:r w:rsidRPr="00486D3C">
              <w:rPr>
                <w:rFonts w:ascii="Times New Roman" w:eastAsia="Calibri" w:hAnsi="Times New Roman"/>
                <w:b/>
                <w:color w:val="000000"/>
                <w:sz w:val="20"/>
                <w:szCs w:val="20"/>
              </w:rPr>
              <w:t>Total</w:t>
            </w:r>
          </w:p>
        </w:tc>
        <w:tc>
          <w:tcPr>
            <w:tcW w:w="1095" w:type="pct"/>
            <w:shd w:val="clear" w:color="auto" w:fill="auto"/>
            <w:noWrap/>
            <w:vAlign w:val="center"/>
          </w:tcPr>
          <w:p w14:paraId="7EF034D0" w14:textId="77777777" w:rsidR="003A7C1B" w:rsidRPr="00486D3C" w:rsidRDefault="003A7C1B" w:rsidP="00250DAC">
            <w:pPr>
              <w:spacing w:after="0" w:line="240" w:lineRule="auto"/>
              <w:jc w:val="center"/>
              <w:rPr>
                <w:rFonts w:ascii="Times New Roman" w:eastAsia="Calibri" w:hAnsi="Times New Roman"/>
                <w:b/>
                <w:sz w:val="20"/>
                <w:szCs w:val="20"/>
              </w:rPr>
            </w:pPr>
            <w:r w:rsidRPr="00486D3C">
              <w:rPr>
                <w:rFonts w:ascii="Times New Roman" w:eastAsia="Calibri" w:hAnsi="Times New Roman"/>
                <w:b/>
                <w:sz w:val="20"/>
                <w:szCs w:val="20"/>
              </w:rPr>
              <w:t>1,37,05,500</w:t>
            </w:r>
          </w:p>
        </w:tc>
        <w:tc>
          <w:tcPr>
            <w:tcW w:w="1073" w:type="pct"/>
            <w:shd w:val="clear" w:color="auto" w:fill="auto"/>
            <w:noWrap/>
            <w:vAlign w:val="center"/>
          </w:tcPr>
          <w:p w14:paraId="60270EA4" w14:textId="77777777" w:rsidR="003A7C1B" w:rsidRPr="00486D3C" w:rsidRDefault="003A7C1B" w:rsidP="00250DAC">
            <w:pPr>
              <w:spacing w:after="0" w:line="240" w:lineRule="auto"/>
              <w:ind w:left="100"/>
              <w:jc w:val="center"/>
              <w:rPr>
                <w:rFonts w:ascii="Times New Roman" w:eastAsia="Calibri" w:hAnsi="Times New Roman"/>
                <w:b/>
                <w:sz w:val="20"/>
                <w:szCs w:val="20"/>
              </w:rPr>
            </w:pPr>
            <w:r w:rsidRPr="00486D3C">
              <w:rPr>
                <w:rFonts w:ascii="Times New Roman" w:eastAsia="Calibri" w:hAnsi="Times New Roman"/>
                <w:b/>
                <w:sz w:val="20"/>
                <w:szCs w:val="20"/>
              </w:rPr>
              <w:t>99.28</w:t>
            </w:r>
          </w:p>
        </w:tc>
      </w:tr>
    </w:tbl>
    <w:p w14:paraId="4C3F6D67" w14:textId="4D6B8D61" w:rsidR="003A7C1B" w:rsidRPr="0021234E" w:rsidRDefault="003A7C1B" w:rsidP="003A7C1B">
      <w:pPr>
        <w:suppressAutoHyphens/>
        <w:autoSpaceDE w:val="0"/>
        <w:autoSpaceDN w:val="0"/>
        <w:adjustRightInd w:val="0"/>
        <w:spacing w:after="0" w:line="240" w:lineRule="auto"/>
        <w:contextualSpacing/>
        <w:jc w:val="both"/>
        <w:textAlignment w:val="center"/>
        <w:rPr>
          <w:rFonts w:ascii="Times New Roman" w:hAnsi="Times New Roman"/>
          <w:i/>
          <w:iCs/>
          <w:color w:val="000000"/>
          <w:sz w:val="20"/>
          <w:szCs w:val="20"/>
        </w:rPr>
      </w:pPr>
      <w:r w:rsidRPr="00486D3C">
        <w:rPr>
          <w:rFonts w:ascii="Times New Roman" w:hAnsi="Times New Roman"/>
          <w:i/>
          <w:iCs/>
          <w:color w:val="000000"/>
          <w:sz w:val="20"/>
          <w:szCs w:val="20"/>
        </w:rPr>
        <w:t xml:space="preserve">*Details of shares held on September </w:t>
      </w:r>
      <w:r w:rsidR="00486D3C" w:rsidRPr="00486D3C">
        <w:rPr>
          <w:rFonts w:ascii="Times New Roman" w:hAnsi="Times New Roman"/>
          <w:i/>
          <w:iCs/>
          <w:color w:val="000000"/>
          <w:sz w:val="20"/>
          <w:szCs w:val="20"/>
        </w:rPr>
        <w:t>23</w:t>
      </w:r>
      <w:r w:rsidRPr="00486D3C">
        <w:rPr>
          <w:rFonts w:ascii="Times New Roman" w:hAnsi="Times New Roman"/>
          <w:i/>
          <w:iCs/>
          <w:color w:val="000000"/>
          <w:sz w:val="20"/>
          <w:szCs w:val="20"/>
        </w:rPr>
        <w:t xml:space="preserve">, 2021 and percentage held has been calculated based on the paid-up capital of our Company as on September </w:t>
      </w:r>
      <w:r w:rsidR="00486D3C" w:rsidRPr="00486D3C">
        <w:rPr>
          <w:rFonts w:ascii="Times New Roman" w:hAnsi="Times New Roman"/>
          <w:i/>
          <w:iCs/>
          <w:color w:val="000000"/>
          <w:sz w:val="20"/>
          <w:szCs w:val="20"/>
        </w:rPr>
        <w:t>23</w:t>
      </w:r>
      <w:r w:rsidRPr="00486D3C">
        <w:rPr>
          <w:rFonts w:ascii="Times New Roman" w:hAnsi="Times New Roman"/>
          <w:i/>
          <w:iCs/>
          <w:color w:val="000000"/>
          <w:sz w:val="20"/>
          <w:szCs w:val="20"/>
        </w:rPr>
        <w:t>, 2021.</w:t>
      </w:r>
    </w:p>
    <w:p w14:paraId="3854F763" w14:textId="77777777" w:rsidR="003A7C1B" w:rsidRPr="000860EB" w:rsidRDefault="003A7C1B" w:rsidP="003A7C1B">
      <w:pPr>
        <w:tabs>
          <w:tab w:val="left" w:pos="360"/>
        </w:tabs>
        <w:autoSpaceDE w:val="0"/>
        <w:autoSpaceDN w:val="0"/>
        <w:adjustRightInd w:val="0"/>
        <w:spacing w:after="0" w:line="240" w:lineRule="auto"/>
        <w:ind w:left="360"/>
        <w:jc w:val="both"/>
        <w:rPr>
          <w:rFonts w:ascii="Times New Roman" w:eastAsia="Calibri" w:hAnsi="Times New Roman"/>
          <w:color w:val="000000"/>
          <w:sz w:val="20"/>
          <w:szCs w:val="20"/>
        </w:rPr>
      </w:pPr>
    </w:p>
    <w:p w14:paraId="2EA36B2E" w14:textId="77777777" w:rsidR="003A7C1B" w:rsidRPr="000860EB" w:rsidRDefault="003A7C1B" w:rsidP="00F038BD">
      <w:pPr>
        <w:numPr>
          <w:ilvl w:val="0"/>
          <w:numId w:val="157"/>
        </w:numPr>
        <w:tabs>
          <w:tab w:val="left" w:pos="360"/>
        </w:tabs>
        <w:spacing w:after="0" w:line="240" w:lineRule="auto"/>
        <w:ind w:left="270" w:hanging="270"/>
        <w:contextualSpacing/>
        <w:jc w:val="both"/>
        <w:rPr>
          <w:rFonts w:ascii="Times New Roman" w:hAnsi="Times New Roman"/>
          <w:color w:val="000000"/>
          <w:sz w:val="20"/>
          <w:szCs w:val="20"/>
        </w:rPr>
      </w:pPr>
      <w:r w:rsidRPr="000860EB">
        <w:rPr>
          <w:rFonts w:ascii="Times New Roman" w:hAnsi="Times New Roman"/>
          <w:color w:val="000000"/>
          <w:sz w:val="20"/>
          <w:szCs w:val="20"/>
        </w:rPr>
        <w:t xml:space="preserve"> Our Company has not made any Initial Public Offer of specified securities in the preceding two years.</w:t>
      </w:r>
    </w:p>
    <w:p w14:paraId="4E5391DC" w14:textId="77777777" w:rsidR="003A7C1B" w:rsidRPr="000860EB" w:rsidRDefault="003A7C1B" w:rsidP="003A7C1B">
      <w:pPr>
        <w:tabs>
          <w:tab w:val="left" w:pos="360"/>
        </w:tabs>
        <w:spacing w:after="0" w:line="240" w:lineRule="auto"/>
        <w:ind w:left="270"/>
        <w:contextualSpacing/>
        <w:jc w:val="both"/>
        <w:rPr>
          <w:rFonts w:ascii="Times New Roman" w:hAnsi="Times New Roman"/>
          <w:b/>
          <w:color w:val="000000"/>
          <w:sz w:val="20"/>
          <w:szCs w:val="20"/>
        </w:rPr>
      </w:pPr>
    </w:p>
    <w:p w14:paraId="770F9011" w14:textId="77777777" w:rsidR="003A7C1B" w:rsidRPr="000860EB" w:rsidRDefault="003A7C1B" w:rsidP="00F038BD">
      <w:pPr>
        <w:pStyle w:val="ListParagraph"/>
        <w:numPr>
          <w:ilvl w:val="0"/>
          <w:numId w:val="157"/>
        </w:numPr>
        <w:tabs>
          <w:tab w:val="left" w:pos="360"/>
        </w:tabs>
        <w:spacing w:line="240" w:lineRule="auto"/>
        <w:contextualSpacing/>
        <w:jc w:val="both"/>
        <w:rPr>
          <w:sz w:val="20"/>
          <w:szCs w:val="20"/>
        </w:rPr>
      </w:pPr>
      <w:r w:rsidRPr="000860EB">
        <w:rPr>
          <w:sz w:val="20"/>
          <w:szCs w:val="20"/>
        </w:rPr>
        <w:t xml:space="preserve">There will be no further issue of capital, whether by way of issue of bonus shares, preferential allotment, Right issue or in any other manner during the period commencing from the date of the Draft Red Herring Prospectus until the Equity Shares of our Company have been listed </w:t>
      </w:r>
      <w:r w:rsidRPr="000860EB">
        <w:rPr>
          <w:rFonts w:eastAsia="Calibri"/>
          <w:sz w:val="20"/>
          <w:szCs w:val="20"/>
        </w:rPr>
        <w:t>or application money unblocked on account of failure of Issue</w:t>
      </w:r>
      <w:r w:rsidRPr="000860EB">
        <w:rPr>
          <w:sz w:val="20"/>
          <w:szCs w:val="20"/>
        </w:rPr>
        <w:t>. Further, our Company does not intend to alter its capital structure within six months from the date of opening of the offer, by way of split/ consolidation of the denomination of Equity Shares. However, our Company may further issue Equity shares (including issue of securities convertible into Equity Shares) whether preferential or otherwise after the date of the listing of equity shares to finance an acquisition, merger or joint venture or for regulatory compliance or such other scheme of arrangement or any other purpose as the Board of Directors may deem fit, if an opportunity of such nature is determined by the Board of Directors to be in the interest of our Company.</w:t>
      </w:r>
    </w:p>
    <w:p w14:paraId="2B16D2A4" w14:textId="77777777" w:rsidR="003A7C1B" w:rsidRPr="000860EB" w:rsidRDefault="003A7C1B" w:rsidP="003A7C1B">
      <w:pPr>
        <w:pStyle w:val="ListParagraph"/>
        <w:tabs>
          <w:tab w:val="left" w:pos="360"/>
        </w:tabs>
        <w:spacing w:line="240" w:lineRule="auto"/>
        <w:ind w:left="360"/>
        <w:contextualSpacing/>
        <w:jc w:val="both"/>
        <w:rPr>
          <w:sz w:val="20"/>
          <w:szCs w:val="20"/>
        </w:rPr>
      </w:pPr>
    </w:p>
    <w:p w14:paraId="259B97CD" w14:textId="77777777" w:rsidR="003A7C1B" w:rsidRPr="000860EB" w:rsidRDefault="003A7C1B" w:rsidP="00F038BD">
      <w:pPr>
        <w:pStyle w:val="ListParagraph"/>
        <w:numPr>
          <w:ilvl w:val="0"/>
          <w:numId w:val="157"/>
        </w:numPr>
        <w:tabs>
          <w:tab w:val="left" w:pos="360"/>
        </w:tabs>
        <w:spacing w:line="240" w:lineRule="auto"/>
        <w:contextualSpacing/>
        <w:jc w:val="both"/>
        <w:rPr>
          <w:b/>
          <w:sz w:val="20"/>
          <w:szCs w:val="20"/>
        </w:rPr>
      </w:pPr>
      <w:r w:rsidRPr="000860EB">
        <w:rPr>
          <w:b/>
          <w:sz w:val="20"/>
          <w:szCs w:val="20"/>
        </w:rPr>
        <w:t>Capital Build-up in respect of Shareholding of our Promoters</w:t>
      </w:r>
    </w:p>
    <w:p w14:paraId="5D1B4C1E" w14:textId="77777777" w:rsidR="003A7C1B" w:rsidRPr="000860EB" w:rsidRDefault="003A7C1B" w:rsidP="003A7C1B">
      <w:pPr>
        <w:tabs>
          <w:tab w:val="left" w:pos="360"/>
        </w:tabs>
        <w:suppressAutoHyphens/>
        <w:autoSpaceDE w:val="0"/>
        <w:autoSpaceDN w:val="0"/>
        <w:adjustRightInd w:val="0"/>
        <w:spacing w:after="0" w:line="240" w:lineRule="auto"/>
        <w:ind w:left="270"/>
        <w:jc w:val="both"/>
        <w:textAlignment w:val="center"/>
        <w:rPr>
          <w:rFonts w:ascii="Times New Roman" w:hAnsi="Times New Roman"/>
          <w:b/>
          <w:color w:val="000000"/>
          <w:sz w:val="20"/>
          <w:szCs w:val="20"/>
        </w:rPr>
      </w:pPr>
    </w:p>
    <w:p w14:paraId="7B440106" w14:textId="77777777" w:rsidR="003A7C1B" w:rsidRPr="000860EB" w:rsidRDefault="003A7C1B" w:rsidP="003A7C1B">
      <w:pPr>
        <w:spacing w:after="0" w:line="240" w:lineRule="auto"/>
        <w:jc w:val="both"/>
        <w:rPr>
          <w:rFonts w:ascii="Times New Roman" w:hAnsi="Times New Roman"/>
          <w:sz w:val="20"/>
          <w:szCs w:val="20"/>
        </w:rPr>
      </w:pPr>
      <w:r w:rsidRPr="000860EB">
        <w:rPr>
          <w:rFonts w:ascii="Times New Roman" w:hAnsi="Times New Roman"/>
          <w:sz w:val="20"/>
          <w:szCs w:val="20"/>
        </w:rPr>
        <w:t xml:space="preserve">As on the date of this Draft Red Herring Prospectus, Our Promoters </w:t>
      </w:r>
      <w:r w:rsidRPr="0094678C">
        <w:rPr>
          <w:rFonts w:ascii="Times New Roman" w:hAnsi="Times New Roman"/>
          <w:sz w:val="20"/>
          <w:szCs w:val="20"/>
        </w:rPr>
        <w:t xml:space="preserve">Dwarkadhish Venture Private Limited </w:t>
      </w:r>
      <w:r w:rsidRPr="0094678C">
        <w:rPr>
          <w:rFonts w:ascii="Times New Roman" w:hAnsi="Times New Roman"/>
          <w:i/>
          <w:iCs/>
          <w:sz w:val="20"/>
          <w:szCs w:val="20"/>
        </w:rPr>
        <w:t>(formerly known as Siyaram Metals Private Limited)</w:t>
      </w:r>
      <w:r w:rsidRPr="000860EB">
        <w:rPr>
          <w:rFonts w:ascii="Times New Roman" w:hAnsi="Times New Roman"/>
          <w:sz w:val="20"/>
          <w:szCs w:val="20"/>
        </w:rPr>
        <w:t>, Ramgopal Ochhavlal Maheswari and Bhavesh Ramgopal Maheshwari hold 1,3</w:t>
      </w:r>
      <w:r>
        <w:rPr>
          <w:rFonts w:ascii="Times New Roman" w:hAnsi="Times New Roman"/>
          <w:sz w:val="20"/>
          <w:szCs w:val="20"/>
        </w:rPr>
        <w:t>7,05,50</w:t>
      </w:r>
      <w:r w:rsidRPr="000860EB">
        <w:rPr>
          <w:rFonts w:ascii="Times New Roman" w:hAnsi="Times New Roman"/>
          <w:sz w:val="20"/>
          <w:szCs w:val="20"/>
        </w:rPr>
        <w:t>0 Equity Shares of our Company. None of the Equity Shares held by our Promoters is subject to any pledge.</w:t>
      </w:r>
    </w:p>
    <w:p w14:paraId="7AE8331F" w14:textId="77777777" w:rsidR="003A7C1B" w:rsidRPr="000860EB" w:rsidRDefault="003A7C1B" w:rsidP="003A7C1B">
      <w:pPr>
        <w:spacing w:after="0" w:line="240" w:lineRule="auto"/>
        <w:jc w:val="both"/>
        <w:rPr>
          <w:rFonts w:ascii="Times New Roman" w:hAnsi="Times New Roman"/>
          <w:sz w:val="20"/>
          <w:szCs w:val="20"/>
        </w:rPr>
      </w:pPr>
    </w:p>
    <w:p w14:paraId="38FE147D" w14:textId="77777777" w:rsidR="003A7C1B" w:rsidRPr="000860EB" w:rsidRDefault="003A7C1B" w:rsidP="003A7C1B">
      <w:pPr>
        <w:spacing w:after="0" w:line="240" w:lineRule="auto"/>
        <w:jc w:val="both"/>
        <w:rPr>
          <w:rFonts w:ascii="Times New Roman" w:hAnsi="Times New Roman"/>
          <w:sz w:val="20"/>
          <w:szCs w:val="20"/>
        </w:rPr>
      </w:pPr>
      <w:bookmarkStart w:id="6" w:name="_Hlk131854071"/>
      <w:r w:rsidRPr="000860EB">
        <w:rPr>
          <w:rFonts w:ascii="Times New Roman" w:hAnsi="Times New Roman"/>
          <w:sz w:val="20"/>
          <w:szCs w:val="20"/>
        </w:rPr>
        <w:lastRenderedPageBreak/>
        <w:t>Set forth below is the build-up of the shareholding of our Promoters in our Company since incorporation.</w:t>
      </w:r>
    </w:p>
    <w:p w14:paraId="0664CC5E" w14:textId="77777777" w:rsidR="003A7C1B" w:rsidRPr="000860EB" w:rsidRDefault="003A7C1B" w:rsidP="003A7C1B">
      <w:pPr>
        <w:spacing w:after="0" w:line="240" w:lineRule="auto"/>
        <w:jc w:val="both"/>
        <w:rPr>
          <w:rFonts w:ascii="Times New Roman" w:hAnsi="Times New Roman"/>
          <w:sz w:val="20"/>
          <w:szCs w:val="20"/>
        </w:rPr>
      </w:pPr>
    </w:p>
    <w:tbl>
      <w:tblPr>
        <w:tblW w:w="5002"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1"/>
        <w:gridCol w:w="1276"/>
        <w:gridCol w:w="776"/>
        <w:gridCol w:w="1364"/>
        <w:gridCol w:w="1563"/>
        <w:gridCol w:w="1341"/>
        <w:gridCol w:w="1485"/>
        <w:gridCol w:w="1494"/>
      </w:tblGrid>
      <w:tr w:rsidR="003A7C1B" w:rsidRPr="000860EB" w14:paraId="3285A0CB" w14:textId="77777777" w:rsidTr="00250DAC">
        <w:trPr>
          <w:trHeight w:val="20"/>
          <w:tblHeader/>
        </w:trPr>
        <w:tc>
          <w:tcPr>
            <w:tcW w:w="555" w:type="pct"/>
            <w:shd w:val="clear" w:color="auto" w:fill="D0CECE" w:themeFill="background2" w:themeFillShade="E6"/>
          </w:tcPr>
          <w:p w14:paraId="6400D42A" w14:textId="77777777" w:rsidR="003A7C1B" w:rsidRPr="000860EB" w:rsidRDefault="003A7C1B" w:rsidP="00250DAC">
            <w:pPr>
              <w:spacing w:after="0" w:line="240" w:lineRule="auto"/>
              <w:ind w:right="-52"/>
              <w:jc w:val="center"/>
              <w:rPr>
                <w:rFonts w:ascii="Times New Roman" w:eastAsia="Calibri" w:hAnsi="Times New Roman"/>
                <w:b/>
                <w:sz w:val="20"/>
                <w:szCs w:val="20"/>
              </w:rPr>
            </w:pPr>
            <w:r w:rsidRPr="000860EB">
              <w:rPr>
                <w:rFonts w:ascii="Times New Roman" w:eastAsia="Calibri" w:hAnsi="Times New Roman"/>
                <w:b/>
                <w:sz w:val="20"/>
                <w:szCs w:val="20"/>
              </w:rPr>
              <w:t>Date of Allotment and made fully paid up/ Transfer</w:t>
            </w:r>
          </w:p>
        </w:tc>
        <w:tc>
          <w:tcPr>
            <w:tcW w:w="610" w:type="pct"/>
            <w:shd w:val="clear" w:color="auto" w:fill="D0CECE" w:themeFill="background2" w:themeFillShade="E6"/>
          </w:tcPr>
          <w:p w14:paraId="0ED83AEF" w14:textId="77777777" w:rsidR="003A7C1B" w:rsidRPr="000860EB" w:rsidRDefault="003A7C1B" w:rsidP="00250DAC">
            <w:pPr>
              <w:spacing w:after="0" w:line="240" w:lineRule="auto"/>
              <w:ind w:right="-52"/>
              <w:jc w:val="center"/>
              <w:rPr>
                <w:rFonts w:ascii="Times New Roman" w:eastAsia="Calibri" w:hAnsi="Times New Roman"/>
                <w:b/>
                <w:sz w:val="20"/>
                <w:szCs w:val="20"/>
              </w:rPr>
            </w:pPr>
            <w:r w:rsidRPr="000860EB">
              <w:rPr>
                <w:rFonts w:ascii="Times New Roman" w:eastAsia="Calibri" w:hAnsi="Times New Roman"/>
                <w:b/>
                <w:sz w:val="20"/>
                <w:szCs w:val="20"/>
              </w:rPr>
              <w:t>No. of Equity Shares</w:t>
            </w:r>
          </w:p>
        </w:tc>
        <w:tc>
          <w:tcPr>
            <w:tcW w:w="371" w:type="pct"/>
            <w:shd w:val="clear" w:color="auto" w:fill="D0CECE" w:themeFill="background2" w:themeFillShade="E6"/>
          </w:tcPr>
          <w:p w14:paraId="185996FA" w14:textId="77777777" w:rsidR="003A7C1B" w:rsidRPr="000860EB" w:rsidRDefault="003A7C1B" w:rsidP="00250DAC">
            <w:pPr>
              <w:spacing w:after="0" w:line="240" w:lineRule="auto"/>
              <w:ind w:right="-52"/>
              <w:jc w:val="center"/>
              <w:rPr>
                <w:rFonts w:ascii="Times New Roman" w:eastAsia="Calibri" w:hAnsi="Times New Roman"/>
                <w:b/>
                <w:sz w:val="20"/>
                <w:szCs w:val="20"/>
              </w:rPr>
            </w:pPr>
            <w:r w:rsidRPr="000860EB">
              <w:rPr>
                <w:rFonts w:ascii="Times New Roman" w:eastAsia="Calibri" w:hAnsi="Times New Roman"/>
                <w:b/>
                <w:sz w:val="20"/>
                <w:szCs w:val="20"/>
              </w:rPr>
              <w:t>Face Value Per Share</w:t>
            </w:r>
          </w:p>
          <w:p w14:paraId="4001B87B" w14:textId="77777777" w:rsidR="003A7C1B" w:rsidRPr="000860EB" w:rsidRDefault="003A7C1B" w:rsidP="00250DAC">
            <w:pPr>
              <w:spacing w:after="0" w:line="240" w:lineRule="auto"/>
              <w:ind w:right="-52"/>
              <w:jc w:val="center"/>
              <w:rPr>
                <w:rFonts w:ascii="Times New Roman" w:eastAsia="Calibri" w:hAnsi="Times New Roman"/>
                <w:b/>
                <w:sz w:val="20"/>
                <w:szCs w:val="20"/>
              </w:rPr>
            </w:pPr>
            <w:r w:rsidRPr="000860EB">
              <w:rPr>
                <w:rFonts w:ascii="Times New Roman" w:eastAsia="Calibri" w:hAnsi="Times New Roman"/>
                <w:b/>
                <w:sz w:val="20"/>
                <w:szCs w:val="20"/>
              </w:rPr>
              <w:t>(₹)</w:t>
            </w:r>
          </w:p>
        </w:tc>
        <w:tc>
          <w:tcPr>
            <w:tcW w:w="652" w:type="pct"/>
            <w:shd w:val="clear" w:color="auto" w:fill="D0CECE" w:themeFill="background2" w:themeFillShade="E6"/>
          </w:tcPr>
          <w:p w14:paraId="1D0F2159" w14:textId="77777777" w:rsidR="003A7C1B" w:rsidRPr="000860EB" w:rsidRDefault="003A7C1B" w:rsidP="00250DAC">
            <w:pPr>
              <w:spacing w:after="0" w:line="240" w:lineRule="auto"/>
              <w:ind w:right="-52"/>
              <w:jc w:val="center"/>
              <w:rPr>
                <w:rFonts w:ascii="Times New Roman" w:eastAsia="Calibri" w:hAnsi="Times New Roman"/>
                <w:b/>
                <w:sz w:val="20"/>
                <w:szCs w:val="20"/>
              </w:rPr>
            </w:pPr>
            <w:r w:rsidRPr="000860EB">
              <w:rPr>
                <w:rFonts w:ascii="Times New Roman" w:eastAsia="Calibri" w:hAnsi="Times New Roman"/>
                <w:b/>
                <w:sz w:val="20"/>
                <w:szCs w:val="20"/>
              </w:rPr>
              <w:t>Issue/ Acquisition/</w:t>
            </w:r>
          </w:p>
          <w:p w14:paraId="687F24ED" w14:textId="77777777" w:rsidR="003A7C1B" w:rsidRPr="000860EB" w:rsidRDefault="003A7C1B" w:rsidP="00250DAC">
            <w:pPr>
              <w:spacing w:after="0" w:line="240" w:lineRule="auto"/>
              <w:ind w:right="-52"/>
              <w:jc w:val="center"/>
              <w:rPr>
                <w:rFonts w:ascii="Times New Roman" w:eastAsia="Calibri" w:hAnsi="Times New Roman"/>
                <w:b/>
                <w:sz w:val="20"/>
                <w:szCs w:val="20"/>
              </w:rPr>
            </w:pPr>
            <w:r w:rsidRPr="000860EB">
              <w:rPr>
                <w:rFonts w:ascii="Times New Roman" w:eastAsia="Calibri" w:hAnsi="Times New Roman"/>
                <w:b/>
                <w:sz w:val="20"/>
                <w:szCs w:val="20"/>
              </w:rPr>
              <w:t>Transfer</w:t>
            </w:r>
            <w:r>
              <w:rPr>
                <w:rFonts w:ascii="Times New Roman" w:eastAsia="Calibri" w:hAnsi="Times New Roman"/>
                <w:b/>
                <w:sz w:val="20"/>
                <w:szCs w:val="20"/>
              </w:rPr>
              <w:t xml:space="preserve"> </w:t>
            </w:r>
            <w:r w:rsidRPr="000860EB">
              <w:rPr>
                <w:rFonts w:ascii="Times New Roman" w:eastAsia="Calibri" w:hAnsi="Times New Roman"/>
                <w:b/>
                <w:sz w:val="20"/>
                <w:szCs w:val="20"/>
              </w:rPr>
              <w:t>Price</w:t>
            </w:r>
            <w:r>
              <w:rPr>
                <w:rFonts w:ascii="Times New Roman" w:eastAsia="Calibri" w:hAnsi="Times New Roman"/>
                <w:b/>
                <w:sz w:val="20"/>
                <w:szCs w:val="20"/>
              </w:rPr>
              <w:t xml:space="preserve"> </w:t>
            </w:r>
            <w:r w:rsidRPr="000860EB">
              <w:rPr>
                <w:rFonts w:ascii="Times New Roman" w:eastAsia="Calibri" w:hAnsi="Times New Roman"/>
                <w:b/>
                <w:sz w:val="20"/>
                <w:szCs w:val="20"/>
              </w:rPr>
              <w:t>(₹)</w:t>
            </w:r>
          </w:p>
        </w:tc>
        <w:tc>
          <w:tcPr>
            <w:tcW w:w="747" w:type="pct"/>
            <w:shd w:val="clear" w:color="auto" w:fill="D0CECE" w:themeFill="background2" w:themeFillShade="E6"/>
          </w:tcPr>
          <w:p w14:paraId="70B890E1" w14:textId="77777777" w:rsidR="003A7C1B" w:rsidRPr="000860EB" w:rsidRDefault="003A7C1B" w:rsidP="00250DAC">
            <w:pPr>
              <w:spacing w:after="0" w:line="240" w:lineRule="auto"/>
              <w:ind w:right="-52"/>
              <w:jc w:val="center"/>
              <w:rPr>
                <w:rFonts w:ascii="Times New Roman" w:eastAsia="Calibri" w:hAnsi="Times New Roman"/>
                <w:b/>
                <w:sz w:val="20"/>
                <w:szCs w:val="20"/>
              </w:rPr>
            </w:pPr>
            <w:r w:rsidRPr="000860EB">
              <w:rPr>
                <w:rFonts w:ascii="Times New Roman" w:eastAsia="Calibri" w:hAnsi="Times New Roman"/>
                <w:b/>
                <w:sz w:val="20"/>
                <w:szCs w:val="20"/>
              </w:rPr>
              <w:t>Consideration</w:t>
            </w:r>
          </w:p>
        </w:tc>
        <w:tc>
          <w:tcPr>
            <w:tcW w:w="641" w:type="pct"/>
            <w:shd w:val="clear" w:color="auto" w:fill="D0CECE" w:themeFill="background2" w:themeFillShade="E6"/>
          </w:tcPr>
          <w:p w14:paraId="739B0072" w14:textId="77777777" w:rsidR="003A7C1B" w:rsidRPr="000860EB" w:rsidRDefault="003A7C1B" w:rsidP="00250DAC">
            <w:pPr>
              <w:spacing w:after="0" w:line="240" w:lineRule="auto"/>
              <w:ind w:right="-52"/>
              <w:jc w:val="center"/>
              <w:rPr>
                <w:rFonts w:ascii="Times New Roman" w:eastAsia="Calibri" w:hAnsi="Times New Roman"/>
                <w:b/>
                <w:sz w:val="20"/>
                <w:szCs w:val="20"/>
              </w:rPr>
            </w:pPr>
            <w:r w:rsidRPr="000860EB">
              <w:rPr>
                <w:rFonts w:ascii="Times New Roman" w:eastAsia="Calibri" w:hAnsi="Times New Roman"/>
                <w:b/>
                <w:sz w:val="20"/>
                <w:szCs w:val="20"/>
              </w:rPr>
              <w:t>Nature of Issue</w:t>
            </w:r>
          </w:p>
        </w:tc>
        <w:tc>
          <w:tcPr>
            <w:tcW w:w="710" w:type="pct"/>
            <w:shd w:val="clear" w:color="auto" w:fill="D0CECE" w:themeFill="background2" w:themeFillShade="E6"/>
          </w:tcPr>
          <w:p w14:paraId="1C6D073C" w14:textId="77777777" w:rsidR="003A7C1B" w:rsidRPr="000860EB" w:rsidRDefault="003A7C1B" w:rsidP="00250DAC">
            <w:pPr>
              <w:spacing w:after="0" w:line="240" w:lineRule="auto"/>
              <w:ind w:right="-52"/>
              <w:jc w:val="center"/>
              <w:rPr>
                <w:rFonts w:ascii="Times New Roman" w:eastAsia="Calibri" w:hAnsi="Times New Roman"/>
                <w:b/>
                <w:sz w:val="20"/>
                <w:szCs w:val="20"/>
              </w:rPr>
            </w:pPr>
            <w:r w:rsidRPr="000860EB">
              <w:rPr>
                <w:rFonts w:ascii="Times New Roman" w:eastAsia="Calibri" w:hAnsi="Times New Roman"/>
                <w:b/>
                <w:sz w:val="20"/>
                <w:szCs w:val="20"/>
              </w:rPr>
              <w:t>Pre-Issue Shareholding %</w:t>
            </w:r>
          </w:p>
        </w:tc>
        <w:tc>
          <w:tcPr>
            <w:tcW w:w="714" w:type="pct"/>
            <w:tcBorders>
              <w:right w:val="single" w:sz="4" w:space="0" w:color="auto"/>
            </w:tcBorders>
            <w:shd w:val="clear" w:color="auto" w:fill="D0CECE" w:themeFill="background2" w:themeFillShade="E6"/>
          </w:tcPr>
          <w:p w14:paraId="1DBB38FA" w14:textId="77777777" w:rsidR="003A7C1B" w:rsidRPr="000860EB" w:rsidRDefault="003A7C1B" w:rsidP="00250DAC">
            <w:pPr>
              <w:spacing w:after="0" w:line="240" w:lineRule="auto"/>
              <w:ind w:right="-52"/>
              <w:jc w:val="center"/>
              <w:rPr>
                <w:rFonts w:ascii="Times New Roman" w:eastAsia="Calibri" w:hAnsi="Times New Roman"/>
                <w:b/>
                <w:sz w:val="20"/>
                <w:szCs w:val="20"/>
              </w:rPr>
            </w:pPr>
            <w:r w:rsidRPr="000860EB">
              <w:rPr>
                <w:rFonts w:ascii="Times New Roman" w:eastAsia="Calibri" w:hAnsi="Times New Roman"/>
                <w:b/>
                <w:sz w:val="20"/>
                <w:szCs w:val="20"/>
              </w:rPr>
              <w:t>Post-Issue Shareholding %</w:t>
            </w:r>
          </w:p>
        </w:tc>
      </w:tr>
      <w:tr w:rsidR="003A7C1B" w:rsidRPr="000860EB" w14:paraId="1680500C" w14:textId="77777777" w:rsidTr="00250DAC">
        <w:trPr>
          <w:trHeight w:val="20"/>
        </w:trPr>
        <w:tc>
          <w:tcPr>
            <w:tcW w:w="5000" w:type="pct"/>
            <w:gridSpan w:val="8"/>
            <w:tcBorders>
              <w:right w:val="single" w:sz="4" w:space="0" w:color="auto"/>
            </w:tcBorders>
            <w:shd w:val="clear" w:color="auto" w:fill="D0CECE" w:themeFill="background2" w:themeFillShade="E6"/>
          </w:tcPr>
          <w:p w14:paraId="4B765AA5" w14:textId="77777777" w:rsidR="003A7C1B" w:rsidRPr="000860EB" w:rsidRDefault="003A7C1B" w:rsidP="00250DAC">
            <w:pPr>
              <w:spacing w:after="0" w:line="240" w:lineRule="auto"/>
              <w:rPr>
                <w:rFonts w:ascii="Times New Roman" w:eastAsia="Calibri" w:hAnsi="Times New Roman"/>
                <w:b/>
                <w:sz w:val="20"/>
                <w:szCs w:val="20"/>
              </w:rPr>
            </w:pPr>
            <w:r w:rsidRPr="00126C33">
              <w:rPr>
                <w:rFonts w:ascii="Times New Roman" w:hAnsi="Times New Roman"/>
                <w:b/>
                <w:bCs/>
                <w:sz w:val="20"/>
                <w:szCs w:val="20"/>
              </w:rPr>
              <w:t>Dwarkadhish Venture Private Limited</w:t>
            </w:r>
            <w:r w:rsidRPr="0094678C">
              <w:rPr>
                <w:rFonts w:ascii="Times New Roman" w:hAnsi="Times New Roman"/>
                <w:sz w:val="20"/>
                <w:szCs w:val="20"/>
              </w:rPr>
              <w:t xml:space="preserve"> </w:t>
            </w:r>
            <w:r w:rsidRPr="0094678C">
              <w:rPr>
                <w:rFonts w:ascii="Times New Roman" w:hAnsi="Times New Roman"/>
                <w:i/>
                <w:iCs/>
                <w:sz w:val="20"/>
                <w:szCs w:val="20"/>
              </w:rPr>
              <w:t>(formerly known as Siyaram Metals Private Limited)</w:t>
            </w:r>
          </w:p>
        </w:tc>
      </w:tr>
      <w:tr w:rsidR="003A7C1B" w:rsidRPr="000860EB" w14:paraId="62679476" w14:textId="77777777" w:rsidTr="00250DAC">
        <w:trPr>
          <w:trHeight w:val="20"/>
        </w:trPr>
        <w:tc>
          <w:tcPr>
            <w:tcW w:w="555" w:type="pct"/>
            <w:shd w:val="clear" w:color="auto" w:fill="auto"/>
            <w:vAlign w:val="center"/>
          </w:tcPr>
          <w:p w14:paraId="538BA99C"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December 21, 2007</w:t>
            </w:r>
          </w:p>
        </w:tc>
        <w:tc>
          <w:tcPr>
            <w:tcW w:w="610" w:type="pct"/>
            <w:shd w:val="clear" w:color="auto" w:fill="auto"/>
            <w:vAlign w:val="center"/>
          </w:tcPr>
          <w:p w14:paraId="2FF6A9ED"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7,40,000</w:t>
            </w:r>
          </w:p>
        </w:tc>
        <w:tc>
          <w:tcPr>
            <w:tcW w:w="371" w:type="pct"/>
            <w:shd w:val="clear" w:color="auto" w:fill="auto"/>
            <w:vAlign w:val="center"/>
          </w:tcPr>
          <w:p w14:paraId="24E1C44A"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10</w:t>
            </w:r>
          </w:p>
        </w:tc>
        <w:tc>
          <w:tcPr>
            <w:tcW w:w="652" w:type="pct"/>
            <w:shd w:val="clear" w:color="auto" w:fill="auto"/>
            <w:vAlign w:val="center"/>
          </w:tcPr>
          <w:p w14:paraId="04340089"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60</w:t>
            </w:r>
          </w:p>
        </w:tc>
        <w:tc>
          <w:tcPr>
            <w:tcW w:w="747" w:type="pct"/>
            <w:shd w:val="clear" w:color="auto" w:fill="auto"/>
            <w:vAlign w:val="center"/>
          </w:tcPr>
          <w:p w14:paraId="5A053D58"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Cash</w:t>
            </w:r>
          </w:p>
        </w:tc>
        <w:tc>
          <w:tcPr>
            <w:tcW w:w="641" w:type="pct"/>
            <w:shd w:val="clear" w:color="auto" w:fill="auto"/>
            <w:vAlign w:val="center"/>
          </w:tcPr>
          <w:p w14:paraId="160F2DF1" w14:textId="77777777" w:rsidR="003A7C1B" w:rsidRPr="000860EB" w:rsidRDefault="003A7C1B" w:rsidP="00250DAC">
            <w:pPr>
              <w:spacing w:after="0" w:line="240" w:lineRule="auto"/>
              <w:jc w:val="center"/>
              <w:rPr>
                <w:rFonts w:ascii="Times New Roman" w:hAnsi="Times New Roman"/>
                <w:sz w:val="20"/>
                <w:szCs w:val="20"/>
              </w:rPr>
            </w:pPr>
            <w:r w:rsidRPr="000860EB">
              <w:rPr>
                <w:rFonts w:ascii="Times New Roman" w:hAnsi="Times New Roman"/>
                <w:sz w:val="20"/>
                <w:szCs w:val="20"/>
              </w:rPr>
              <w:t>Further Issue of Shares</w:t>
            </w:r>
          </w:p>
        </w:tc>
        <w:tc>
          <w:tcPr>
            <w:tcW w:w="710" w:type="pct"/>
            <w:shd w:val="clear" w:color="auto" w:fill="auto"/>
            <w:vAlign w:val="center"/>
          </w:tcPr>
          <w:p w14:paraId="5F622947"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5.36</w:t>
            </w:r>
          </w:p>
        </w:tc>
        <w:tc>
          <w:tcPr>
            <w:tcW w:w="714" w:type="pct"/>
            <w:shd w:val="clear" w:color="auto" w:fill="auto"/>
            <w:vAlign w:val="center"/>
          </w:tcPr>
          <w:p w14:paraId="53D66182" w14:textId="77777777" w:rsidR="003A7C1B" w:rsidRPr="000860EB" w:rsidRDefault="003A7C1B" w:rsidP="00250DAC">
            <w:pPr>
              <w:spacing w:after="0" w:line="240" w:lineRule="auto"/>
              <w:jc w:val="center"/>
              <w:rPr>
                <w:rFonts w:ascii="Times New Roman" w:eastAsia="Calibri" w:hAnsi="Times New Roman"/>
                <w:sz w:val="20"/>
                <w:szCs w:val="20"/>
                <w:highlight w:val="yellow"/>
              </w:rPr>
            </w:pPr>
            <w:r w:rsidRPr="000860EB">
              <w:rPr>
                <w:rFonts w:ascii="Times New Roman" w:eastAsia="Calibri" w:hAnsi="Times New Roman"/>
                <w:sz w:val="20"/>
                <w:szCs w:val="20"/>
              </w:rPr>
              <w:t>[●]</w:t>
            </w:r>
          </w:p>
        </w:tc>
      </w:tr>
      <w:tr w:rsidR="003A7C1B" w:rsidRPr="000860EB" w14:paraId="515F4E30" w14:textId="77777777" w:rsidTr="00250DAC">
        <w:trPr>
          <w:trHeight w:val="20"/>
        </w:trPr>
        <w:tc>
          <w:tcPr>
            <w:tcW w:w="555" w:type="pct"/>
            <w:shd w:val="clear" w:color="auto" w:fill="auto"/>
            <w:vAlign w:val="center"/>
          </w:tcPr>
          <w:p w14:paraId="3AB763B6"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March 31, 2018</w:t>
            </w:r>
          </w:p>
        </w:tc>
        <w:tc>
          <w:tcPr>
            <w:tcW w:w="610" w:type="pct"/>
            <w:shd w:val="clear" w:color="auto" w:fill="auto"/>
            <w:vAlign w:val="center"/>
          </w:tcPr>
          <w:p w14:paraId="287905B9"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1,23,05,500</w:t>
            </w:r>
          </w:p>
        </w:tc>
        <w:tc>
          <w:tcPr>
            <w:tcW w:w="371" w:type="pct"/>
            <w:shd w:val="clear" w:color="auto" w:fill="auto"/>
            <w:vAlign w:val="center"/>
          </w:tcPr>
          <w:p w14:paraId="45DD646C"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10</w:t>
            </w:r>
          </w:p>
        </w:tc>
        <w:tc>
          <w:tcPr>
            <w:tcW w:w="652" w:type="pct"/>
            <w:shd w:val="clear" w:color="auto" w:fill="auto"/>
            <w:vAlign w:val="center"/>
          </w:tcPr>
          <w:p w14:paraId="59625162"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20</w:t>
            </w:r>
          </w:p>
        </w:tc>
        <w:tc>
          <w:tcPr>
            <w:tcW w:w="747" w:type="pct"/>
            <w:shd w:val="clear" w:color="auto" w:fill="auto"/>
            <w:vAlign w:val="center"/>
          </w:tcPr>
          <w:p w14:paraId="2BD907C0"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Cash</w:t>
            </w:r>
          </w:p>
        </w:tc>
        <w:tc>
          <w:tcPr>
            <w:tcW w:w="641" w:type="pct"/>
            <w:shd w:val="clear" w:color="auto" w:fill="auto"/>
            <w:vAlign w:val="center"/>
          </w:tcPr>
          <w:p w14:paraId="400B20D9" w14:textId="77777777" w:rsidR="003A7C1B" w:rsidRPr="000860EB" w:rsidRDefault="003A7C1B" w:rsidP="00250DAC">
            <w:pPr>
              <w:spacing w:after="0" w:line="240" w:lineRule="auto"/>
              <w:jc w:val="center"/>
              <w:rPr>
                <w:rFonts w:ascii="Times New Roman" w:hAnsi="Times New Roman"/>
                <w:b/>
                <w:sz w:val="20"/>
                <w:szCs w:val="20"/>
              </w:rPr>
            </w:pPr>
            <w:r w:rsidRPr="000860EB">
              <w:rPr>
                <w:rFonts w:ascii="Times New Roman" w:hAnsi="Times New Roman"/>
                <w:sz w:val="20"/>
                <w:szCs w:val="20"/>
              </w:rPr>
              <w:t>Conversion of Unsecured Loan to Equity</w:t>
            </w:r>
          </w:p>
        </w:tc>
        <w:tc>
          <w:tcPr>
            <w:tcW w:w="710" w:type="pct"/>
            <w:shd w:val="clear" w:color="auto" w:fill="auto"/>
            <w:vAlign w:val="center"/>
          </w:tcPr>
          <w:p w14:paraId="05F80558"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89.13</w:t>
            </w:r>
          </w:p>
        </w:tc>
        <w:tc>
          <w:tcPr>
            <w:tcW w:w="714" w:type="pct"/>
            <w:shd w:val="clear" w:color="auto" w:fill="auto"/>
            <w:vAlign w:val="center"/>
          </w:tcPr>
          <w:p w14:paraId="16F1B2A6" w14:textId="77777777" w:rsidR="003A7C1B" w:rsidRPr="000860EB" w:rsidRDefault="003A7C1B" w:rsidP="00250DAC">
            <w:pPr>
              <w:spacing w:after="0" w:line="240" w:lineRule="auto"/>
              <w:jc w:val="center"/>
              <w:rPr>
                <w:rFonts w:ascii="Times New Roman" w:eastAsia="Calibri" w:hAnsi="Times New Roman"/>
                <w:sz w:val="20"/>
                <w:szCs w:val="20"/>
                <w:highlight w:val="yellow"/>
              </w:rPr>
            </w:pPr>
            <w:r w:rsidRPr="000860EB">
              <w:rPr>
                <w:rFonts w:ascii="Times New Roman" w:eastAsia="Calibri" w:hAnsi="Times New Roman"/>
                <w:sz w:val="20"/>
                <w:szCs w:val="20"/>
              </w:rPr>
              <w:t>[●]</w:t>
            </w:r>
          </w:p>
        </w:tc>
      </w:tr>
      <w:tr w:rsidR="003A7C1B" w:rsidRPr="000860EB" w14:paraId="362FDA30" w14:textId="77777777" w:rsidTr="00250DAC">
        <w:trPr>
          <w:trHeight w:val="20"/>
        </w:trPr>
        <w:tc>
          <w:tcPr>
            <w:tcW w:w="555" w:type="pct"/>
            <w:shd w:val="clear" w:color="auto" w:fill="auto"/>
            <w:vAlign w:val="center"/>
          </w:tcPr>
          <w:p w14:paraId="50477701" w14:textId="77777777" w:rsidR="003A7C1B" w:rsidRPr="000860EB" w:rsidRDefault="003A7C1B" w:rsidP="00250DAC">
            <w:pPr>
              <w:spacing w:after="0" w:line="240" w:lineRule="auto"/>
              <w:jc w:val="center"/>
              <w:rPr>
                <w:rFonts w:ascii="Times New Roman" w:eastAsia="Calibri" w:hAnsi="Times New Roman"/>
                <w:b/>
                <w:sz w:val="20"/>
                <w:szCs w:val="20"/>
              </w:rPr>
            </w:pPr>
            <w:r w:rsidRPr="000860EB">
              <w:rPr>
                <w:rFonts w:ascii="Times New Roman" w:eastAsia="Calibri" w:hAnsi="Times New Roman"/>
                <w:b/>
                <w:sz w:val="20"/>
                <w:szCs w:val="20"/>
              </w:rPr>
              <w:t>Total (A)</w:t>
            </w:r>
          </w:p>
        </w:tc>
        <w:tc>
          <w:tcPr>
            <w:tcW w:w="610" w:type="pct"/>
            <w:shd w:val="clear" w:color="auto" w:fill="auto"/>
            <w:vAlign w:val="center"/>
          </w:tcPr>
          <w:p w14:paraId="60AD4CF5" w14:textId="77777777" w:rsidR="003A7C1B" w:rsidRPr="000860EB" w:rsidRDefault="003A7C1B" w:rsidP="00250DAC">
            <w:pPr>
              <w:spacing w:after="0" w:line="240" w:lineRule="auto"/>
              <w:jc w:val="center"/>
              <w:rPr>
                <w:rFonts w:ascii="Times New Roman" w:eastAsia="Calibri" w:hAnsi="Times New Roman"/>
                <w:b/>
                <w:sz w:val="20"/>
                <w:szCs w:val="20"/>
              </w:rPr>
            </w:pPr>
            <w:r w:rsidRPr="000860EB">
              <w:rPr>
                <w:rFonts w:ascii="Times New Roman" w:eastAsia="Calibri" w:hAnsi="Times New Roman"/>
                <w:b/>
                <w:sz w:val="20"/>
                <w:szCs w:val="20"/>
              </w:rPr>
              <w:t>1,30,45,500</w:t>
            </w:r>
          </w:p>
        </w:tc>
        <w:tc>
          <w:tcPr>
            <w:tcW w:w="371" w:type="pct"/>
            <w:shd w:val="clear" w:color="auto" w:fill="auto"/>
            <w:vAlign w:val="center"/>
          </w:tcPr>
          <w:p w14:paraId="736E4CE9" w14:textId="77777777" w:rsidR="003A7C1B" w:rsidRPr="000860EB" w:rsidRDefault="003A7C1B" w:rsidP="00250DAC">
            <w:pPr>
              <w:spacing w:after="0" w:line="240" w:lineRule="auto"/>
              <w:jc w:val="center"/>
              <w:rPr>
                <w:rFonts w:ascii="Times New Roman" w:eastAsia="Calibri" w:hAnsi="Times New Roman"/>
                <w:sz w:val="20"/>
                <w:szCs w:val="20"/>
              </w:rPr>
            </w:pPr>
          </w:p>
        </w:tc>
        <w:tc>
          <w:tcPr>
            <w:tcW w:w="652" w:type="pct"/>
            <w:shd w:val="clear" w:color="auto" w:fill="auto"/>
            <w:vAlign w:val="center"/>
          </w:tcPr>
          <w:p w14:paraId="698974C9" w14:textId="77777777" w:rsidR="003A7C1B" w:rsidRPr="000860EB" w:rsidRDefault="003A7C1B" w:rsidP="00250DAC">
            <w:pPr>
              <w:spacing w:after="0" w:line="240" w:lineRule="auto"/>
              <w:jc w:val="center"/>
              <w:rPr>
                <w:rFonts w:ascii="Times New Roman" w:eastAsia="Calibri" w:hAnsi="Times New Roman"/>
                <w:sz w:val="20"/>
                <w:szCs w:val="20"/>
              </w:rPr>
            </w:pPr>
          </w:p>
        </w:tc>
        <w:tc>
          <w:tcPr>
            <w:tcW w:w="747" w:type="pct"/>
            <w:shd w:val="clear" w:color="auto" w:fill="auto"/>
            <w:vAlign w:val="center"/>
          </w:tcPr>
          <w:p w14:paraId="595243D2" w14:textId="77777777" w:rsidR="003A7C1B" w:rsidRPr="000860EB" w:rsidRDefault="003A7C1B" w:rsidP="00250DAC">
            <w:pPr>
              <w:spacing w:after="0" w:line="240" w:lineRule="auto"/>
              <w:jc w:val="center"/>
              <w:rPr>
                <w:rFonts w:ascii="Times New Roman" w:eastAsia="Calibri" w:hAnsi="Times New Roman"/>
                <w:sz w:val="20"/>
                <w:szCs w:val="20"/>
              </w:rPr>
            </w:pPr>
          </w:p>
        </w:tc>
        <w:tc>
          <w:tcPr>
            <w:tcW w:w="641" w:type="pct"/>
            <w:shd w:val="clear" w:color="auto" w:fill="auto"/>
            <w:vAlign w:val="center"/>
          </w:tcPr>
          <w:p w14:paraId="4400B258" w14:textId="77777777" w:rsidR="003A7C1B" w:rsidRPr="000860EB" w:rsidRDefault="003A7C1B" w:rsidP="00250DAC">
            <w:pPr>
              <w:spacing w:after="0" w:line="240" w:lineRule="auto"/>
              <w:jc w:val="center"/>
              <w:rPr>
                <w:rFonts w:ascii="Times New Roman" w:eastAsia="Calibri" w:hAnsi="Times New Roman"/>
                <w:sz w:val="20"/>
                <w:szCs w:val="20"/>
              </w:rPr>
            </w:pPr>
          </w:p>
        </w:tc>
        <w:tc>
          <w:tcPr>
            <w:tcW w:w="710" w:type="pct"/>
            <w:shd w:val="clear" w:color="auto" w:fill="auto"/>
            <w:vAlign w:val="center"/>
          </w:tcPr>
          <w:p w14:paraId="69C6B8C0" w14:textId="77777777" w:rsidR="003A7C1B" w:rsidRPr="000860EB" w:rsidRDefault="003A7C1B" w:rsidP="00250DAC">
            <w:pPr>
              <w:spacing w:after="0" w:line="240" w:lineRule="auto"/>
              <w:jc w:val="center"/>
              <w:rPr>
                <w:rFonts w:ascii="Times New Roman" w:eastAsia="Calibri" w:hAnsi="Times New Roman"/>
                <w:b/>
                <w:sz w:val="20"/>
                <w:szCs w:val="20"/>
              </w:rPr>
            </w:pPr>
            <w:r w:rsidRPr="000860EB">
              <w:rPr>
                <w:rFonts w:ascii="Times New Roman" w:eastAsia="Calibri" w:hAnsi="Times New Roman"/>
                <w:b/>
                <w:sz w:val="20"/>
                <w:szCs w:val="20"/>
              </w:rPr>
              <w:t>94.49</w:t>
            </w:r>
          </w:p>
        </w:tc>
        <w:tc>
          <w:tcPr>
            <w:tcW w:w="714" w:type="pct"/>
            <w:shd w:val="clear" w:color="auto" w:fill="auto"/>
            <w:vAlign w:val="center"/>
          </w:tcPr>
          <w:p w14:paraId="07AA9557" w14:textId="77777777" w:rsidR="003A7C1B" w:rsidRPr="000860EB" w:rsidRDefault="003A7C1B" w:rsidP="00250DAC">
            <w:pPr>
              <w:spacing w:after="0" w:line="240" w:lineRule="auto"/>
              <w:jc w:val="center"/>
              <w:rPr>
                <w:rFonts w:ascii="Times New Roman" w:eastAsia="Calibri" w:hAnsi="Times New Roman"/>
                <w:b/>
                <w:sz w:val="20"/>
                <w:szCs w:val="20"/>
                <w:highlight w:val="yellow"/>
              </w:rPr>
            </w:pPr>
            <w:r w:rsidRPr="000860EB">
              <w:rPr>
                <w:rFonts w:ascii="Times New Roman" w:eastAsia="Calibri" w:hAnsi="Times New Roman"/>
                <w:sz w:val="20"/>
                <w:szCs w:val="20"/>
              </w:rPr>
              <w:t>[●]</w:t>
            </w:r>
          </w:p>
        </w:tc>
      </w:tr>
      <w:tr w:rsidR="003A7C1B" w:rsidRPr="000860EB" w14:paraId="6CBCEA0C" w14:textId="77777777" w:rsidTr="00250DAC">
        <w:trPr>
          <w:trHeight w:val="20"/>
        </w:trPr>
        <w:tc>
          <w:tcPr>
            <w:tcW w:w="5000" w:type="pct"/>
            <w:gridSpan w:val="8"/>
            <w:shd w:val="clear" w:color="auto" w:fill="D0CECE" w:themeFill="background2" w:themeFillShade="E6"/>
            <w:vAlign w:val="center"/>
          </w:tcPr>
          <w:p w14:paraId="64D22406" w14:textId="77777777" w:rsidR="003A7C1B" w:rsidRPr="000860EB" w:rsidRDefault="003A7C1B" w:rsidP="00250DAC">
            <w:pPr>
              <w:spacing w:after="0" w:line="240" w:lineRule="auto"/>
              <w:rPr>
                <w:rFonts w:ascii="Times New Roman" w:eastAsia="Calibri" w:hAnsi="Times New Roman"/>
                <w:b/>
                <w:sz w:val="20"/>
                <w:szCs w:val="20"/>
                <w:highlight w:val="yellow"/>
              </w:rPr>
            </w:pPr>
            <w:r w:rsidRPr="000860EB">
              <w:rPr>
                <w:rFonts w:ascii="Times New Roman" w:hAnsi="Times New Roman"/>
                <w:b/>
                <w:sz w:val="20"/>
                <w:szCs w:val="20"/>
              </w:rPr>
              <w:t>Ramgopal Ochhavlal Maheswari</w:t>
            </w:r>
          </w:p>
        </w:tc>
      </w:tr>
      <w:tr w:rsidR="003A7C1B" w:rsidRPr="000860EB" w14:paraId="4F98A6E3" w14:textId="77777777" w:rsidTr="00250DAC">
        <w:trPr>
          <w:trHeight w:val="20"/>
        </w:trPr>
        <w:tc>
          <w:tcPr>
            <w:tcW w:w="555" w:type="pct"/>
            <w:shd w:val="clear" w:color="auto" w:fill="auto"/>
            <w:vAlign w:val="center"/>
          </w:tcPr>
          <w:p w14:paraId="266BAF78"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December 12, 2007</w:t>
            </w:r>
          </w:p>
        </w:tc>
        <w:tc>
          <w:tcPr>
            <w:tcW w:w="610" w:type="pct"/>
            <w:shd w:val="clear" w:color="auto" w:fill="auto"/>
            <w:vAlign w:val="center"/>
          </w:tcPr>
          <w:p w14:paraId="0C3751A8"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7,000</w:t>
            </w:r>
          </w:p>
        </w:tc>
        <w:tc>
          <w:tcPr>
            <w:tcW w:w="371" w:type="pct"/>
            <w:shd w:val="clear" w:color="auto" w:fill="auto"/>
            <w:vAlign w:val="center"/>
          </w:tcPr>
          <w:p w14:paraId="41446350"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10</w:t>
            </w:r>
          </w:p>
        </w:tc>
        <w:tc>
          <w:tcPr>
            <w:tcW w:w="652" w:type="pct"/>
            <w:shd w:val="clear" w:color="auto" w:fill="auto"/>
            <w:vAlign w:val="center"/>
          </w:tcPr>
          <w:p w14:paraId="77A2C043"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10</w:t>
            </w:r>
          </w:p>
        </w:tc>
        <w:tc>
          <w:tcPr>
            <w:tcW w:w="747" w:type="pct"/>
            <w:shd w:val="clear" w:color="auto" w:fill="auto"/>
            <w:vAlign w:val="center"/>
          </w:tcPr>
          <w:p w14:paraId="39B6C021"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Cash</w:t>
            </w:r>
          </w:p>
        </w:tc>
        <w:tc>
          <w:tcPr>
            <w:tcW w:w="641" w:type="pct"/>
            <w:shd w:val="clear" w:color="auto" w:fill="auto"/>
            <w:vAlign w:val="center"/>
          </w:tcPr>
          <w:p w14:paraId="32F57A25"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hAnsi="Times New Roman"/>
                <w:sz w:val="20"/>
                <w:szCs w:val="20"/>
              </w:rPr>
              <w:t xml:space="preserve">Subscription to MOA </w:t>
            </w:r>
          </w:p>
        </w:tc>
        <w:tc>
          <w:tcPr>
            <w:tcW w:w="710" w:type="pct"/>
            <w:shd w:val="clear" w:color="auto" w:fill="auto"/>
            <w:vAlign w:val="center"/>
          </w:tcPr>
          <w:p w14:paraId="0E5BB436"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0.05</w:t>
            </w:r>
          </w:p>
        </w:tc>
        <w:tc>
          <w:tcPr>
            <w:tcW w:w="714" w:type="pct"/>
            <w:shd w:val="clear" w:color="auto" w:fill="auto"/>
            <w:vAlign w:val="center"/>
          </w:tcPr>
          <w:p w14:paraId="6F1D3C21" w14:textId="77777777" w:rsidR="003A7C1B" w:rsidRPr="000860EB" w:rsidRDefault="003A7C1B" w:rsidP="00250DAC">
            <w:pPr>
              <w:spacing w:after="0" w:line="240" w:lineRule="auto"/>
              <w:jc w:val="center"/>
              <w:rPr>
                <w:rFonts w:ascii="Times New Roman" w:eastAsia="Calibri" w:hAnsi="Times New Roman"/>
                <w:sz w:val="20"/>
                <w:szCs w:val="20"/>
                <w:highlight w:val="yellow"/>
              </w:rPr>
            </w:pPr>
            <w:r w:rsidRPr="000860EB">
              <w:rPr>
                <w:rFonts w:ascii="Times New Roman" w:eastAsia="Calibri" w:hAnsi="Times New Roman"/>
                <w:sz w:val="20"/>
                <w:szCs w:val="20"/>
              </w:rPr>
              <w:t>[●]</w:t>
            </w:r>
          </w:p>
        </w:tc>
      </w:tr>
      <w:tr w:rsidR="003A7C1B" w:rsidRPr="000860EB" w14:paraId="1D228F8C" w14:textId="77777777" w:rsidTr="00250DAC">
        <w:trPr>
          <w:trHeight w:val="20"/>
        </w:trPr>
        <w:tc>
          <w:tcPr>
            <w:tcW w:w="555" w:type="pct"/>
            <w:shd w:val="clear" w:color="auto" w:fill="auto"/>
            <w:vAlign w:val="center"/>
          </w:tcPr>
          <w:p w14:paraId="2E4737B2"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December 21, 2007</w:t>
            </w:r>
          </w:p>
        </w:tc>
        <w:tc>
          <w:tcPr>
            <w:tcW w:w="610" w:type="pct"/>
            <w:shd w:val="clear" w:color="auto" w:fill="auto"/>
            <w:vAlign w:val="center"/>
          </w:tcPr>
          <w:p w14:paraId="7D306A59"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1,53,000</w:t>
            </w:r>
          </w:p>
        </w:tc>
        <w:tc>
          <w:tcPr>
            <w:tcW w:w="371" w:type="pct"/>
            <w:shd w:val="clear" w:color="auto" w:fill="auto"/>
            <w:vAlign w:val="center"/>
          </w:tcPr>
          <w:p w14:paraId="456CCB7F"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10</w:t>
            </w:r>
          </w:p>
        </w:tc>
        <w:tc>
          <w:tcPr>
            <w:tcW w:w="652" w:type="pct"/>
            <w:shd w:val="clear" w:color="auto" w:fill="auto"/>
            <w:vAlign w:val="center"/>
          </w:tcPr>
          <w:p w14:paraId="79C7A804"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60</w:t>
            </w:r>
          </w:p>
        </w:tc>
        <w:tc>
          <w:tcPr>
            <w:tcW w:w="747" w:type="pct"/>
            <w:shd w:val="clear" w:color="auto" w:fill="auto"/>
            <w:vAlign w:val="center"/>
          </w:tcPr>
          <w:p w14:paraId="7B859C55"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Cash</w:t>
            </w:r>
          </w:p>
        </w:tc>
        <w:tc>
          <w:tcPr>
            <w:tcW w:w="641" w:type="pct"/>
            <w:shd w:val="clear" w:color="auto" w:fill="auto"/>
            <w:vAlign w:val="center"/>
          </w:tcPr>
          <w:p w14:paraId="4FCB64E2" w14:textId="77777777" w:rsidR="003A7C1B" w:rsidRPr="000860EB" w:rsidRDefault="003A7C1B" w:rsidP="00250DAC">
            <w:pPr>
              <w:spacing w:after="0" w:line="240" w:lineRule="auto"/>
              <w:jc w:val="center"/>
              <w:rPr>
                <w:rFonts w:ascii="Times New Roman" w:hAnsi="Times New Roman"/>
                <w:b/>
                <w:sz w:val="20"/>
                <w:szCs w:val="20"/>
              </w:rPr>
            </w:pPr>
            <w:r w:rsidRPr="000860EB">
              <w:rPr>
                <w:rFonts w:ascii="Times New Roman" w:hAnsi="Times New Roman"/>
                <w:sz w:val="20"/>
                <w:szCs w:val="20"/>
              </w:rPr>
              <w:t>Further Issue of Shares</w:t>
            </w:r>
          </w:p>
        </w:tc>
        <w:tc>
          <w:tcPr>
            <w:tcW w:w="710" w:type="pct"/>
            <w:shd w:val="clear" w:color="auto" w:fill="auto"/>
            <w:vAlign w:val="center"/>
          </w:tcPr>
          <w:p w14:paraId="48EA239E"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1.11</w:t>
            </w:r>
          </w:p>
        </w:tc>
        <w:tc>
          <w:tcPr>
            <w:tcW w:w="714" w:type="pct"/>
            <w:shd w:val="clear" w:color="auto" w:fill="auto"/>
            <w:vAlign w:val="center"/>
          </w:tcPr>
          <w:p w14:paraId="5965455B" w14:textId="77777777" w:rsidR="003A7C1B" w:rsidRPr="000860EB" w:rsidRDefault="003A7C1B" w:rsidP="00250DAC">
            <w:pPr>
              <w:spacing w:after="0" w:line="240" w:lineRule="auto"/>
              <w:jc w:val="center"/>
              <w:rPr>
                <w:rFonts w:ascii="Times New Roman" w:eastAsia="Calibri" w:hAnsi="Times New Roman"/>
                <w:sz w:val="20"/>
                <w:szCs w:val="20"/>
                <w:highlight w:val="yellow"/>
              </w:rPr>
            </w:pPr>
            <w:r w:rsidRPr="000860EB">
              <w:rPr>
                <w:rFonts w:ascii="Times New Roman" w:eastAsia="Calibri" w:hAnsi="Times New Roman"/>
                <w:sz w:val="20"/>
                <w:szCs w:val="20"/>
              </w:rPr>
              <w:t>[●]</w:t>
            </w:r>
          </w:p>
        </w:tc>
      </w:tr>
      <w:tr w:rsidR="003A7C1B" w:rsidRPr="000860EB" w14:paraId="432497CF" w14:textId="77777777" w:rsidTr="00250DAC">
        <w:trPr>
          <w:trHeight w:val="20"/>
        </w:trPr>
        <w:tc>
          <w:tcPr>
            <w:tcW w:w="555" w:type="pct"/>
            <w:shd w:val="clear" w:color="auto" w:fill="auto"/>
            <w:vAlign w:val="center"/>
          </w:tcPr>
          <w:p w14:paraId="51E9BF61"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July 17, 2012</w:t>
            </w:r>
          </w:p>
        </w:tc>
        <w:tc>
          <w:tcPr>
            <w:tcW w:w="610" w:type="pct"/>
            <w:shd w:val="clear" w:color="auto" w:fill="auto"/>
            <w:vAlign w:val="center"/>
          </w:tcPr>
          <w:p w14:paraId="0F5FDE0F"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5,00,000</w:t>
            </w:r>
          </w:p>
        </w:tc>
        <w:tc>
          <w:tcPr>
            <w:tcW w:w="371" w:type="pct"/>
            <w:shd w:val="clear" w:color="auto" w:fill="auto"/>
            <w:vAlign w:val="center"/>
          </w:tcPr>
          <w:p w14:paraId="6BD6958D"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10</w:t>
            </w:r>
          </w:p>
        </w:tc>
        <w:tc>
          <w:tcPr>
            <w:tcW w:w="652" w:type="pct"/>
            <w:shd w:val="clear" w:color="auto" w:fill="auto"/>
            <w:vAlign w:val="center"/>
          </w:tcPr>
          <w:p w14:paraId="22343397"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15</w:t>
            </w:r>
          </w:p>
        </w:tc>
        <w:tc>
          <w:tcPr>
            <w:tcW w:w="747" w:type="pct"/>
            <w:shd w:val="clear" w:color="auto" w:fill="auto"/>
            <w:vAlign w:val="center"/>
          </w:tcPr>
          <w:p w14:paraId="47ABFAF3"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Cash</w:t>
            </w:r>
          </w:p>
        </w:tc>
        <w:tc>
          <w:tcPr>
            <w:tcW w:w="641" w:type="pct"/>
            <w:shd w:val="clear" w:color="auto" w:fill="auto"/>
            <w:vAlign w:val="center"/>
          </w:tcPr>
          <w:p w14:paraId="2BC726FA" w14:textId="77777777" w:rsidR="003A7C1B" w:rsidRPr="000860EB" w:rsidRDefault="003A7C1B" w:rsidP="00250DAC">
            <w:pPr>
              <w:spacing w:after="0" w:line="240" w:lineRule="auto"/>
              <w:jc w:val="center"/>
              <w:rPr>
                <w:rFonts w:ascii="Times New Roman" w:hAnsi="Times New Roman"/>
                <w:b/>
                <w:sz w:val="20"/>
                <w:szCs w:val="20"/>
              </w:rPr>
            </w:pPr>
            <w:r w:rsidRPr="000860EB">
              <w:rPr>
                <w:rFonts w:ascii="Times New Roman" w:hAnsi="Times New Roman"/>
                <w:sz w:val="20"/>
                <w:szCs w:val="20"/>
              </w:rPr>
              <w:t>Further Issue of Shares</w:t>
            </w:r>
          </w:p>
        </w:tc>
        <w:tc>
          <w:tcPr>
            <w:tcW w:w="710" w:type="pct"/>
            <w:shd w:val="clear" w:color="auto" w:fill="auto"/>
            <w:vAlign w:val="center"/>
          </w:tcPr>
          <w:p w14:paraId="122F117A"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3.62</w:t>
            </w:r>
          </w:p>
        </w:tc>
        <w:tc>
          <w:tcPr>
            <w:tcW w:w="714" w:type="pct"/>
            <w:shd w:val="clear" w:color="auto" w:fill="auto"/>
            <w:vAlign w:val="center"/>
          </w:tcPr>
          <w:p w14:paraId="32BE21D4" w14:textId="77777777" w:rsidR="003A7C1B" w:rsidRPr="000860EB" w:rsidRDefault="003A7C1B" w:rsidP="00250DAC">
            <w:pPr>
              <w:spacing w:after="0" w:line="240" w:lineRule="auto"/>
              <w:jc w:val="center"/>
              <w:rPr>
                <w:rFonts w:ascii="Times New Roman" w:eastAsia="Calibri" w:hAnsi="Times New Roman"/>
                <w:sz w:val="20"/>
                <w:szCs w:val="20"/>
                <w:highlight w:val="yellow"/>
              </w:rPr>
            </w:pPr>
            <w:r w:rsidRPr="000860EB">
              <w:rPr>
                <w:rFonts w:ascii="Times New Roman" w:eastAsia="Calibri" w:hAnsi="Times New Roman"/>
                <w:sz w:val="20"/>
                <w:szCs w:val="20"/>
              </w:rPr>
              <w:t>[●]</w:t>
            </w:r>
          </w:p>
        </w:tc>
      </w:tr>
      <w:tr w:rsidR="003A7C1B" w:rsidRPr="000860EB" w14:paraId="474D778D" w14:textId="77777777" w:rsidTr="00250DAC">
        <w:trPr>
          <w:trHeight w:val="20"/>
        </w:trPr>
        <w:tc>
          <w:tcPr>
            <w:tcW w:w="555" w:type="pct"/>
            <w:shd w:val="clear" w:color="auto" w:fill="auto"/>
            <w:vAlign w:val="center"/>
          </w:tcPr>
          <w:p w14:paraId="6DE0B936"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June 20, 2023</w:t>
            </w:r>
          </w:p>
        </w:tc>
        <w:tc>
          <w:tcPr>
            <w:tcW w:w="610" w:type="pct"/>
            <w:shd w:val="clear" w:color="auto" w:fill="auto"/>
            <w:vAlign w:val="center"/>
          </w:tcPr>
          <w:p w14:paraId="612E44BA"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(2,10,000)</w:t>
            </w:r>
          </w:p>
        </w:tc>
        <w:tc>
          <w:tcPr>
            <w:tcW w:w="371" w:type="pct"/>
            <w:shd w:val="clear" w:color="auto" w:fill="auto"/>
            <w:vAlign w:val="center"/>
          </w:tcPr>
          <w:p w14:paraId="470F7401"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10</w:t>
            </w:r>
          </w:p>
        </w:tc>
        <w:tc>
          <w:tcPr>
            <w:tcW w:w="652" w:type="pct"/>
            <w:shd w:val="clear" w:color="auto" w:fill="auto"/>
            <w:vAlign w:val="center"/>
          </w:tcPr>
          <w:p w14:paraId="36E21B70"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w:t>
            </w:r>
          </w:p>
        </w:tc>
        <w:tc>
          <w:tcPr>
            <w:tcW w:w="747" w:type="pct"/>
            <w:shd w:val="clear" w:color="auto" w:fill="auto"/>
            <w:vAlign w:val="center"/>
          </w:tcPr>
          <w:p w14:paraId="1B435FB2"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Gift</w:t>
            </w:r>
          </w:p>
        </w:tc>
        <w:tc>
          <w:tcPr>
            <w:tcW w:w="641" w:type="pct"/>
            <w:shd w:val="clear" w:color="auto" w:fill="auto"/>
            <w:vAlign w:val="center"/>
          </w:tcPr>
          <w:p w14:paraId="02BAF880" w14:textId="77777777" w:rsidR="003A7C1B" w:rsidRPr="000860EB" w:rsidRDefault="003A7C1B" w:rsidP="00250DAC">
            <w:pPr>
              <w:spacing w:after="0" w:line="240" w:lineRule="auto"/>
              <w:jc w:val="center"/>
              <w:rPr>
                <w:rFonts w:ascii="Times New Roman" w:hAnsi="Times New Roman"/>
                <w:sz w:val="20"/>
                <w:szCs w:val="20"/>
              </w:rPr>
            </w:pPr>
            <w:r w:rsidRPr="000860EB">
              <w:rPr>
                <w:rFonts w:ascii="Times New Roman" w:hAnsi="Times New Roman"/>
                <w:sz w:val="20"/>
                <w:szCs w:val="20"/>
              </w:rPr>
              <w:t>Transfer of</w:t>
            </w:r>
          </w:p>
          <w:p w14:paraId="59DBE8E4" w14:textId="77777777" w:rsidR="003A7C1B" w:rsidRPr="000860EB" w:rsidRDefault="003A7C1B" w:rsidP="00250DAC">
            <w:pPr>
              <w:spacing w:after="0" w:line="240" w:lineRule="auto"/>
              <w:jc w:val="center"/>
              <w:rPr>
                <w:rFonts w:ascii="Times New Roman" w:hAnsi="Times New Roman"/>
                <w:sz w:val="20"/>
                <w:szCs w:val="20"/>
              </w:rPr>
            </w:pPr>
            <w:r w:rsidRPr="000860EB">
              <w:rPr>
                <w:rFonts w:ascii="Times New Roman" w:hAnsi="Times New Roman"/>
                <w:sz w:val="20"/>
                <w:szCs w:val="20"/>
              </w:rPr>
              <w:t xml:space="preserve">Shares </w:t>
            </w:r>
            <w:r w:rsidRPr="000860EB">
              <w:rPr>
                <w:rFonts w:ascii="Times New Roman" w:hAnsi="Times New Roman"/>
                <w:sz w:val="20"/>
                <w:szCs w:val="20"/>
                <w:vertAlign w:val="superscript"/>
              </w:rPr>
              <w:t>(i)</w:t>
            </w:r>
          </w:p>
        </w:tc>
        <w:tc>
          <w:tcPr>
            <w:tcW w:w="710" w:type="pct"/>
            <w:shd w:val="clear" w:color="auto" w:fill="auto"/>
            <w:vAlign w:val="center"/>
          </w:tcPr>
          <w:p w14:paraId="64825AFB"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(1.52)</w:t>
            </w:r>
          </w:p>
        </w:tc>
        <w:tc>
          <w:tcPr>
            <w:tcW w:w="714" w:type="pct"/>
            <w:shd w:val="clear" w:color="auto" w:fill="auto"/>
            <w:vAlign w:val="center"/>
          </w:tcPr>
          <w:p w14:paraId="77E92C17"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w:t>
            </w:r>
          </w:p>
        </w:tc>
      </w:tr>
      <w:tr w:rsidR="003A7C1B" w:rsidRPr="000860EB" w14:paraId="34FE33A0" w14:textId="77777777" w:rsidTr="00250DAC">
        <w:trPr>
          <w:trHeight w:val="20"/>
        </w:trPr>
        <w:tc>
          <w:tcPr>
            <w:tcW w:w="555" w:type="pct"/>
            <w:shd w:val="clear" w:color="auto" w:fill="auto"/>
            <w:vAlign w:val="center"/>
          </w:tcPr>
          <w:p w14:paraId="01F0262E" w14:textId="77777777" w:rsidR="003A7C1B" w:rsidRPr="000860EB" w:rsidRDefault="003A7C1B" w:rsidP="00250DAC">
            <w:pPr>
              <w:spacing w:after="0" w:line="240" w:lineRule="auto"/>
              <w:jc w:val="center"/>
              <w:rPr>
                <w:rFonts w:ascii="Times New Roman" w:eastAsia="Calibri" w:hAnsi="Times New Roman"/>
                <w:b/>
                <w:sz w:val="20"/>
                <w:szCs w:val="20"/>
              </w:rPr>
            </w:pPr>
            <w:r w:rsidRPr="000860EB">
              <w:rPr>
                <w:rFonts w:ascii="Times New Roman" w:eastAsia="Calibri" w:hAnsi="Times New Roman"/>
                <w:b/>
                <w:sz w:val="20"/>
                <w:szCs w:val="20"/>
              </w:rPr>
              <w:t>Total (B)</w:t>
            </w:r>
          </w:p>
        </w:tc>
        <w:tc>
          <w:tcPr>
            <w:tcW w:w="610" w:type="pct"/>
            <w:shd w:val="clear" w:color="auto" w:fill="auto"/>
            <w:vAlign w:val="center"/>
          </w:tcPr>
          <w:p w14:paraId="74F570E6" w14:textId="77777777" w:rsidR="003A7C1B" w:rsidRPr="000860EB" w:rsidRDefault="003A7C1B" w:rsidP="00250DAC">
            <w:pPr>
              <w:spacing w:after="0" w:line="240" w:lineRule="auto"/>
              <w:jc w:val="center"/>
              <w:rPr>
                <w:rFonts w:ascii="Times New Roman" w:eastAsia="Calibri" w:hAnsi="Times New Roman"/>
                <w:b/>
                <w:sz w:val="20"/>
                <w:szCs w:val="20"/>
              </w:rPr>
            </w:pPr>
            <w:r w:rsidRPr="000860EB">
              <w:rPr>
                <w:rFonts w:ascii="Times New Roman" w:eastAsia="Calibri" w:hAnsi="Times New Roman"/>
                <w:b/>
                <w:sz w:val="20"/>
                <w:szCs w:val="20"/>
              </w:rPr>
              <w:t>4,50,000</w:t>
            </w:r>
          </w:p>
        </w:tc>
        <w:tc>
          <w:tcPr>
            <w:tcW w:w="371" w:type="pct"/>
            <w:shd w:val="clear" w:color="auto" w:fill="auto"/>
            <w:vAlign w:val="center"/>
          </w:tcPr>
          <w:p w14:paraId="06F91E9F" w14:textId="77777777" w:rsidR="003A7C1B" w:rsidRPr="000860EB" w:rsidRDefault="003A7C1B" w:rsidP="00250DAC">
            <w:pPr>
              <w:spacing w:after="0" w:line="240" w:lineRule="auto"/>
              <w:jc w:val="center"/>
              <w:rPr>
                <w:rFonts w:ascii="Times New Roman" w:eastAsia="Calibri" w:hAnsi="Times New Roman"/>
                <w:sz w:val="20"/>
                <w:szCs w:val="20"/>
              </w:rPr>
            </w:pPr>
          </w:p>
        </w:tc>
        <w:tc>
          <w:tcPr>
            <w:tcW w:w="652" w:type="pct"/>
            <w:shd w:val="clear" w:color="auto" w:fill="auto"/>
            <w:vAlign w:val="center"/>
          </w:tcPr>
          <w:p w14:paraId="1E1875EE" w14:textId="77777777" w:rsidR="003A7C1B" w:rsidRPr="000860EB" w:rsidRDefault="003A7C1B" w:rsidP="00250DAC">
            <w:pPr>
              <w:spacing w:after="0" w:line="240" w:lineRule="auto"/>
              <w:jc w:val="center"/>
              <w:rPr>
                <w:rFonts w:ascii="Times New Roman" w:eastAsia="Calibri" w:hAnsi="Times New Roman"/>
                <w:sz w:val="20"/>
                <w:szCs w:val="20"/>
              </w:rPr>
            </w:pPr>
          </w:p>
        </w:tc>
        <w:tc>
          <w:tcPr>
            <w:tcW w:w="747" w:type="pct"/>
            <w:shd w:val="clear" w:color="auto" w:fill="auto"/>
            <w:vAlign w:val="center"/>
          </w:tcPr>
          <w:p w14:paraId="2B70FFD5" w14:textId="77777777" w:rsidR="003A7C1B" w:rsidRPr="000860EB" w:rsidRDefault="003A7C1B" w:rsidP="00250DAC">
            <w:pPr>
              <w:spacing w:after="0" w:line="240" w:lineRule="auto"/>
              <w:jc w:val="center"/>
              <w:rPr>
                <w:rFonts w:ascii="Times New Roman" w:eastAsia="Calibri" w:hAnsi="Times New Roman"/>
                <w:sz w:val="20"/>
                <w:szCs w:val="20"/>
              </w:rPr>
            </w:pPr>
          </w:p>
        </w:tc>
        <w:tc>
          <w:tcPr>
            <w:tcW w:w="641" w:type="pct"/>
            <w:shd w:val="clear" w:color="auto" w:fill="auto"/>
            <w:vAlign w:val="center"/>
          </w:tcPr>
          <w:p w14:paraId="29135616" w14:textId="77777777" w:rsidR="003A7C1B" w:rsidRPr="000860EB" w:rsidRDefault="003A7C1B" w:rsidP="00250DAC">
            <w:pPr>
              <w:spacing w:after="0" w:line="240" w:lineRule="auto"/>
              <w:jc w:val="center"/>
              <w:rPr>
                <w:rFonts w:ascii="Times New Roman" w:eastAsia="Calibri" w:hAnsi="Times New Roman"/>
                <w:sz w:val="20"/>
                <w:szCs w:val="20"/>
              </w:rPr>
            </w:pPr>
          </w:p>
        </w:tc>
        <w:tc>
          <w:tcPr>
            <w:tcW w:w="710" w:type="pct"/>
            <w:shd w:val="clear" w:color="auto" w:fill="auto"/>
            <w:vAlign w:val="center"/>
          </w:tcPr>
          <w:p w14:paraId="65DA5D4F" w14:textId="77777777" w:rsidR="003A7C1B" w:rsidRPr="000860EB" w:rsidRDefault="003A7C1B" w:rsidP="00250DAC">
            <w:pPr>
              <w:spacing w:after="0" w:line="240" w:lineRule="auto"/>
              <w:jc w:val="center"/>
              <w:rPr>
                <w:rFonts w:ascii="Times New Roman" w:eastAsia="Calibri" w:hAnsi="Times New Roman"/>
                <w:b/>
                <w:sz w:val="20"/>
                <w:szCs w:val="20"/>
              </w:rPr>
            </w:pPr>
            <w:r w:rsidRPr="000860EB">
              <w:rPr>
                <w:rFonts w:ascii="Times New Roman" w:eastAsia="Calibri" w:hAnsi="Times New Roman"/>
                <w:b/>
                <w:sz w:val="20"/>
                <w:szCs w:val="20"/>
              </w:rPr>
              <w:t>3.26</w:t>
            </w:r>
          </w:p>
        </w:tc>
        <w:tc>
          <w:tcPr>
            <w:tcW w:w="714" w:type="pct"/>
            <w:shd w:val="clear" w:color="auto" w:fill="auto"/>
            <w:vAlign w:val="center"/>
          </w:tcPr>
          <w:p w14:paraId="053A9F4E" w14:textId="77777777" w:rsidR="003A7C1B" w:rsidRPr="000860EB" w:rsidRDefault="003A7C1B" w:rsidP="00250DAC">
            <w:pPr>
              <w:spacing w:after="0" w:line="240" w:lineRule="auto"/>
              <w:jc w:val="center"/>
              <w:rPr>
                <w:rFonts w:ascii="Times New Roman" w:eastAsia="Calibri" w:hAnsi="Times New Roman"/>
                <w:b/>
                <w:sz w:val="20"/>
                <w:szCs w:val="20"/>
                <w:highlight w:val="yellow"/>
              </w:rPr>
            </w:pPr>
            <w:r w:rsidRPr="000860EB">
              <w:rPr>
                <w:rFonts w:ascii="Times New Roman" w:eastAsia="Calibri" w:hAnsi="Times New Roman"/>
                <w:sz w:val="20"/>
                <w:szCs w:val="20"/>
              </w:rPr>
              <w:t>[●]</w:t>
            </w:r>
          </w:p>
        </w:tc>
      </w:tr>
      <w:tr w:rsidR="003A7C1B" w:rsidRPr="000860EB" w14:paraId="4241517D" w14:textId="77777777" w:rsidTr="00250DAC">
        <w:trPr>
          <w:trHeight w:val="20"/>
        </w:trPr>
        <w:tc>
          <w:tcPr>
            <w:tcW w:w="5000" w:type="pct"/>
            <w:gridSpan w:val="8"/>
            <w:shd w:val="clear" w:color="auto" w:fill="D0CECE" w:themeFill="background2" w:themeFillShade="E6"/>
            <w:vAlign w:val="center"/>
          </w:tcPr>
          <w:p w14:paraId="170F551F" w14:textId="77777777" w:rsidR="003A7C1B" w:rsidRPr="000860EB" w:rsidRDefault="003A7C1B" w:rsidP="00250DAC">
            <w:pPr>
              <w:spacing w:after="0" w:line="240" w:lineRule="auto"/>
              <w:rPr>
                <w:rFonts w:ascii="Times New Roman" w:eastAsia="Calibri" w:hAnsi="Times New Roman"/>
                <w:b/>
                <w:sz w:val="20"/>
                <w:szCs w:val="20"/>
              </w:rPr>
            </w:pPr>
            <w:r w:rsidRPr="000860EB">
              <w:rPr>
                <w:rFonts w:ascii="Times New Roman" w:hAnsi="Times New Roman"/>
                <w:b/>
                <w:sz w:val="20"/>
                <w:szCs w:val="20"/>
              </w:rPr>
              <w:t>Bhavesh Ramgopal Maheshwari</w:t>
            </w:r>
          </w:p>
        </w:tc>
      </w:tr>
      <w:tr w:rsidR="003A7C1B" w:rsidRPr="000860EB" w14:paraId="78DDAAC2" w14:textId="77777777" w:rsidTr="00250DAC">
        <w:trPr>
          <w:trHeight w:val="20"/>
        </w:trPr>
        <w:tc>
          <w:tcPr>
            <w:tcW w:w="555" w:type="pct"/>
            <w:shd w:val="clear" w:color="auto" w:fill="auto"/>
            <w:vAlign w:val="center"/>
          </w:tcPr>
          <w:p w14:paraId="5EE01056"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June 20, 2023</w:t>
            </w:r>
          </w:p>
        </w:tc>
        <w:tc>
          <w:tcPr>
            <w:tcW w:w="610" w:type="pct"/>
            <w:shd w:val="clear" w:color="auto" w:fill="auto"/>
            <w:vAlign w:val="center"/>
          </w:tcPr>
          <w:p w14:paraId="54DF8A9C"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1,60,000</w:t>
            </w:r>
          </w:p>
        </w:tc>
        <w:tc>
          <w:tcPr>
            <w:tcW w:w="371" w:type="pct"/>
            <w:shd w:val="clear" w:color="auto" w:fill="auto"/>
            <w:vAlign w:val="center"/>
          </w:tcPr>
          <w:p w14:paraId="1ED55492"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10</w:t>
            </w:r>
          </w:p>
        </w:tc>
        <w:tc>
          <w:tcPr>
            <w:tcW w:w="652" w:type="pct"/>
            <w:shd w:val="clear" w:color="auto" w:fill="auto"/>
            <w:vAlign w:val="center"/>
          </w:tcPr>
          <w:p w14:paraId="791A2CF8"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w:t>
            </w:r>
          </w:p>
        </w:tc>
        <w:tc>
          <w:tcPr>
            <w:tcW w:w="747" w:type="pct"/>
            <w:shd w:val="clear" w:color="auto" w:fill="auto"/>
            <w:vAlign w:val="center"/>
          </w:tcPr>
          <w:p w14:paraId="7C3C0E51"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Gift</w:t>
            </w:r>
          </w:p>
        </w:tc>
        <w:tc>
          <w:tcPr>
            <w:tcW w:w="641" w:type="pct"/>
            <w:shd w:val="clear" w:color="auto" w:fill="auto"/>
            <w:vAlign w:val="center"/>
          </w:tcPr>
          <w:p w14:paraId="26FE2CBE" w14:textId="77777777" w:rsidR="003A7C1B" w:rsidRPr="000860EB" w:rsidRDefault="003A7C1B" w:rsidP="00250DAC">
            <w:pPr>
              <w:spacing w:after="0" w:line="240" w:lineRule="auto"/>
              <w:jc w:val="center"/>
              <w:rPr>
                <w:rFonts w:ascii="Times New Roman" w:hAnsi="Times New Roman"/>
                <w:sz w:val="20"/>
                <w:szCs w:val="20"/>
              </w:rPr>
            </w:pPr>
            <w:r w:rsidRPr="000860EB">
              <w:rPr>
                <w:rFonts w:ascii="Times New Roman" w:hAnsi="Times New Roman"/>
                <w:sz w:val="20"/>
                <w:szCs w:val="20"/>
              </w:rPr>
              <w:t>Acquisition by way of Transfer of Share</w:t>
            </w:r>
            <w:r>
              <w:rPr>
                <w:rFonts w:ascii="Times New Roman" w:hAnsi="Times New Roman"/>
                <w:sz w:val="20"/>
                <w:szCs w:val="20"/>
              </w:rPr>
              <w:t>s</w:t>
            </w:r>
            <w:r w:rsidRPr="000860EB">
              <w:rPr>
                <w:rFonts w:ascii="Times New Roman" w:hAnsi="Times New Roman"/>
                <w:sz w:val="20"/>
                <w:szCs w:val="20"/>
              </w:rPr>
              <w:t xml:space="preserve"> </w:t>
            </w:r>
            <w:r w:rsidRPr="000860EB">
              <w:rPr>
                <w:rFonts w:ascii="Times New Roman" w:hAnsi="Times New Roman"/>
                <w:sz w:val="20"/>
                <w:szCs w:val="20"/>
                <w:vertAlign w:val="superscript"/>
              </w:rPr>
              <w:t>(ii)</w:t>
            </w:r>
          </w:p>
        </w:tc>
        <w:tc>
          <w:tcPr>
            <w:tcW w:w="710" w:type="pct"/>
            <w:shd w:val="clear" w:color="auto" w:fill="auto"/>
            <w:vAlign w:val="center"/>
          </w:tcPr>
          <w:p w14:paraId="00073D7C"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1.16</w:t>
            </w:r>
          </w:p>
        </w:tc>
        <w:tc>
          <w:tcPr>
            <w:tcW w:w="714" w:type="pct"/>
            <w:shd w:val="clear" w:color="auto" w:fill="auto"/>
            <w:vAlign w:val="center"/>
          </w:tcPr>
          <w:p w14:paraId="30CE63F6" w14:textId="77777777" w:rsidR="003A7C1B" w:rsidRPr="000860EB" w:rsidRDefault="003A7C1B" w:rsidP="00250DAC">
            <w:pPr>
              <w:spacing w:after="0" w:line="240" w:lineRule="auto"/>
              <w:jc w:val="center"/>
              <w:rPr>
                <w:rFonts w:ascii="Times New Roman" w:eastAsia="Calibri" w:hAnsi="Times New Roman"/>
                <w:sz w:val="20"/>
                <w:szCs w:val="20"/>
                <w:highlight w:val="yellow"/>
              </w:rPr>
            </w:pPr>
            <w:r w:rsidRPr="000860EB">
              <w:rPr>
                <w:rFonts w:ascii="Times New Roman" w:eastAsia="Calibri" w:hAnsi="Times New Roman"/>
                <w:sz w:val="20"/>
                <w:szCs w:val="20"/>
              </w:rPr>
              <w:t>[●]</w:t>
            </w:r>
          </w:p>
        </w:tc>
      </w:tr>
      <w:tr w:rsidR="003A7C1B" w:rsidRPr="000860EB" w14:paraId="1D36E657" w14:textId="77777777" w:rsidTr="00250DAC">
        <w:trPr>
          <w:trHeight w:val="20"/>
        </w:trPr>
        <w:tc>
          <w:tcPr>
            <w:tcW w:w="555" w:type="pct"/>
            <w:shd w:val="clear" w:color="auto" w:fill="auto"/>
            <w:vAlign w:val="center"/>
          </w:tcPr>
          <w:p w14:paraId="6AECCC82" w14:textId="77777777" w:rsidR="003A7C1B" w:rsidRPr="000860EB" w:rsidRDefault="003A7C1B" w:rsidP="00250DAC">
            <w:pPr>
              <w:spacing w:after="0" w:line="240" w:lineRule="auto"/>
              <w:jc w:val="center"/>
              <w:rPr>
                <w:rFonts w:ascii="Times New Roman" w:eastAsia="Calibri" w:hAnsi="Times New Roman"/>
                <w:sz w:val="20"/>
                <w:szCs w:val="20"/>
              </w:rPr>
            </w:pPr>
            <w:r>
              <w:rPr>
                <w:rFonts w:ascii="Times New Roman" w:eastAsia="Calibri" w:hAnsi="Times New Roman"/>
                <w:sz w:val="20"/>
                <w:szCs w:val="20"/>
              </w:rPr>
              <w:t>August 16, 2023</w:t>
            </w:r>
          </w:p>
        </w:tc>
        <w:tc>
          <w:tcPr>
            <w:tcW w:w="610" w:type="pct"/>
            <w:shd w:val="clear" w:color="auto" w:fill="auto"/>
            <w:vAlign w:val="center"/>
          </w:tcPr>
          <w:p w14:paraId="196E9722" w14:textId="77777777" w:rsidR="003A7C1B" w:rsidRPr="000860EB" w:rsidRDefault="003A7C1B" w:rsidP="00250DAC">
            <w:pPr>
              <w:spacing w:after="0" w:line="240" w:lineRule="auto"/>
              <w:jc w:val="center"/>
              <w:rPr>
                <w:rFonts w:ascii="Times New Roman" w:eastAsia="Calibri" w:hAnsi="Times New Roman"/>
                <w:sz w:val="20"/>
                <w:szCs w:val="20"/>
              </w:rPr>
            </w:pPr>
            <w:r>
              <w:rPr>
                <w:rFonts w:ascii="Times New Roman" w:eastAsia="Calibri" w:hAnsi="Times New Roman"/>
                <w:sz w:val="20"/>
                <w:szCs w:val="20"/>
              </w:rPr>
              <w:t>(10,000)</w:t>
            </w:r>
          </w:p>
        </w:tc>
        <w:tc>
          <w:tcPr>
            <w:tcW w:w="371" w:type="pct"/>
            <w:shd w:val="clear" w:color="auto" w:fill="auto"/>
            <w:vAlign w:val="center"/>
          </w:tcPr>
          <w:p w14:paraId="42A8A93A" w14:textId="77777777" w:rsidR="003A7C1B" w:rsidRPr="000860EB" w:rsidRDefault="003A7C1B" w:rsidP="00250DAC">
            <w:pPr>
              <w:spacing w:after="0" w:line="240" w:lineRule="auto"/>
              <w:jc w:val="center"/>
              <w:rPr>
                <w:rFonts w:ascii="Times New Roman" w:eastAsia="Calibri" w:hAnsi="Times New Roman"/>
                <w:sz w:val="20"/>
                <w:szCs w:val="20"/>
              </w:rPr>
            </w:pPr>
            <w:r>
              <w:rPr>
                <w:rFonts w:ascii="Times New Roman" w:eastAsia="Calibri" w:hAnsi="Times New Roman"/>
                <w:sz w:val="20"/>
                <w:szCs w:val="20"/>
              </w:rPr>
              <w:t>10</w:t>
            </w:r>
          </w:p>
        </w:tc>
        <w:tc>
          <w:tcPr>
            <w:tcW w:w="652" w:type="pct"/>
            <w:shd w:val="clear" w:color="auto" w:fill="auto"/>
            <w:vAlign w:val="center"/>
          </w:tcPr>
          <w:p w14:paraId="5B70E08C" w14:textId="77777777" w:rsidR="003A7C1B" w:rsidRPr="000860EB" w:rsidRDefault="003A7C1B" w:rsidP="00250DAC">
            <w:pPr>
              <w:spacing w:after="0" w:line="240" w:lineRule="auto"/>
              <w:jc w:val="center"/>
              <w:rPr>
                <w:rFonts w:ascii="Times New Roman" w:eastAsia="Calibri" w:hAnsi="Times New Roman"/>
                <w:sz w:val="20"/>
                <w:szCs w:val="20"/>
              </w:rPr>
            </w:pPr>
            <w:r>
              <w:rPr>
                <w:rFonts w:ascii="Times New Roman" w:eastAsia="Calibri" w:hAnsi="Times New Roman"/>
                <w:sz w:val="20"/>
                <w:szCs w:val="20"/>
              </w:rPr>
              <w:t>-</w:t>
            </w:r>
          </w:p>
        </w:tc>
        <w:tc>
          <w:tcPr>
            <w:tcW w:w="747" w:type="pct"/>
            <w:shd w:val="clear" w:color="auto" w:fill="auto"/>
            <w:vAlign w:val="center"/>
          </w:tcPr>
          <w:p w14:paraId="146349D5"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Gift</w:t>
            </w:r>
          </w:p>
        </w:tc>
        <w:tc>
          <w:tcPr>
            <w:tcW w:w="641" w:type="pct"/>
            <w:shd w:val="clear" w:color="auto" w:fill="auto"/>
            <w:vAlign w:val="center"/>
          </w:tcPr>
          <w:p w14:paraId="4014243B" w14:textId="77777777" w:rsidR="003A7C1B" w:rsidRPr="000860EB" w:rsidRDefault="003A7C1B" w:rsidP="00250DAC">
            <w:pPr>
              <w:spacing w:after="0" w:line="240" w:lineRule="auto"/>
              <w:jc w:val="center"/>
              <w:rPr>
                <w:rFonts w:ascii="Times New Roman" w:hAnsi="Times New Roman"/>
                <w:sz w:val="20"/>
                <w:szCs w:val="20"/>
              </w:rPr>
            </w:pPr>
            <w:r w:rsidRPr="000860EB">
              <w:rPr>
                <w:rFonts w:ascii="Times New Roman" w:hAnsi="Times New Roman"/>
                <w:sz w:val="20"/>
                <w:szCs w:val="20"/>
              </w:rPr>
              <w:t>Transfer of</w:t>
            </w:r>
          </w:p>
          <w:p w14:paraId="5FBEB995" w14:textId="77777777" w:rsidR="003A7C1B" w:rsidRPr="000860EB" w:rsidRDefault="003A7C1B" w:rsidP="00250DAC">
            <w:pPr>
              <w:spacing w:after="0" w:line="240" w:lineRule="auto"/>
              <w:jc w:val="center"/>
              <w:rPr>
                <w:rFonts w:ascii="Times New Roman" w:hAnsi="Times New Roman"/>
                <w:sz w:val="20"/>
                <w:szCs w:val="20"/>
              </w:rPr>
            </w:pPr>
            <w:r w:rsidRPr="000860EB">
              <w:rPr>
                <w:rFonts w:ascii="Times New Roman" w:hAnsi="Times New Roman"/>
                <w:sz w:val="20"/>
                <w:szCs w:val="20"/>
              </w:rPr>
              <w:t xml:space="preserve">Shares </w:t>
            </w:r>
            <w:r w:rsidRPr="000860EB">
              <w:rPr>
                <w:rFonts w:ascii="Times New Roman" w:hAnsi="Times New Roman"/>
                <w:sz w:val="20"/>
                <w:szCs w:val="20"/>
                <w:vertAlign w:val="superscript"/>
              </w:rPr>
              <w:t>(</w:t>
            </w:r>
            <w:r>
              <w:rPr>
                <w:rFonts w:ascii="Times New Roman" w:hAnsi="Times New Roman"/>
                <w:sz w:val="20"/>
                <w:szCs w:val="20"/>
                <w:vertAlign w:val="superscript"/>
              </w:rPr>
              <w:t>iii</w:t>
            </w:r>
            <w:r w:rsidRPr="000860EB">
              <w:rPr>
                <w:rFonts w:ascii="Times New Roman" w:hAnsi="Times New Roman"/>
                <w:sz w:val="20"/>
                <w:szCs w:val="20"/>
                <w:vertAlign w:val="superscript"/>
              </w:rPr>
              <w:t>)</w:t>
            </w:r>
          </w:p>
        </w:tc>
        <w:tc>
          <w:tcPr>
            <w:tcW w:w="710" w:type="pct"/>
            <w:shd w:val="clear" w:color="auto" w:fill="auto"/>
            <w:vAlign w:val="center"/>
          </w:tcPr>
          <w:p w14:paraId="32E27447" w14:textId="77777777" w:rsidR="003A7C1B" w:rsidRPr="000860EB" w:rsidRDefault="003A7C1B" w:rsidP="00250DAC">
            <w:pPr>
              <w:spacing w:after="0" w:line="240" w:lineRule="auto"/>
              <w:jc w:val="center"/>
              <w:rPr>
                <w:rFonts w:ascii="Times New Roman" w:eastAsia="Calibri" w:hAnsi="Times New Roman"/>
                <w:sz w:val="20"/>
                <w:szCs w:val="20"/>
              </w:rPr>
            </w:pPr>
            <w:r>
              <w:rPr>
                <w:rFonts w:ascii="Times New Roman" w:eastAsia="Calibri" w:hAnsi="Times New Roman"/>
                <w:sz w:val="20"/>
                <w:szCs w:val="20"/>
              </w:rPr>
              <w:t>(0.07)</w:t>
            </w:r>
          </w:p>
        </w:tc>
        <w:tc>
          <w:tcPr>
            <w:tcW w:w="714" w:type="pct"/>
            <w:shd w:val="clear" w:color="auto" w:fill="auto"/>
            <w:vAlign w:val="center"/>
          </w:tcPr>
          <w:p w14:paraId="349397E4"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w:t>
            </w:r>
          </w:p>
        </w:tc>
      </w:tr>
      <w:tr w:rsidR="003A7C1B" w:rsidRPr="000860EB" w14:paraId="6DBA297B" w14:textId="77777777" w:rsidTr="00250DAC">
        <w:trPr>
          <w:trHeight w:val="20"/>
        </w:trPr>
        <w:tc>
          <w:tcPr>
            <w:tcW w:w="555" w:type="pct"/>
            <w:shd w:val="clear" w:color="auto" w:fill="auto"/>
            <w:vAlign w:val="center"/>
          </w:tcPr>
          <w:p w14:paraId="5E2F4948" w14:textId="77777777" w:rsidR="003A7C1B" w:rsidRPr="000860EB" w:rsidRDefault="003A7C1B" w:rsidP="00250DAC">
            <w:pPr>
              <w:spacing w:after="0" w:line="240" w:lineRule="auto"/>
              <w:jc w:val="center"/>
              <w:rPr>
                <w:rFonts w:ascii="Times New Roman" w:eastAsia="Calibri" w:hAnsi="Times New Roman"/>
                <w:sz w:val="20"/>
                <w:szCs w:val="20"/>
              </w:rPr>
            </w:pPr>
            <w:r>
              <w:rPr>
                <w:rFonts w:ascii="Times New Roman" w:eastAsia="Calibri" w:hAnsi="Times New Roman"/>
                <w:sz w:val="20"/>
                <w:szCs w:val="20"/>
              </w:rPr>
              <w:t>August 18, 2023</w:t>
            </w:r>
          </w:p>
        </w:tc>
        <w:tc>
          <w:tcPr>
            <w:tcW w:w="610" w:type="pct"/>
            <w:shd w:val="clear" w:color="auto" w:fill="auto"/>
            <w:vAlign w:val="center"/>
          </w:tcPr>
          <w:p w14:paraId="571B3967" w14:textId="77777777" w:rsidR="003A7C1B" w:rsidRPr="000860EB" w:rsidRDefault="003A7C1B" w:rsidP="00250DAC">
            <w:pPr>
              <w:spacing w:after="0" w:line="240" w:lineRule="auto"/>
              <w:jc w:val="center"/>
              <w:rPr>
                <w:rFonts w:ascii="Times New Roman" w:eastAsia="Calibri" w:hAnsi="Times New Roman"/>
                <w:sz w:val="20"/>
                <w:szCs w:val="20"/>
              </w:rPr>
            </w:pPr>
            <w:r>
              <w:rPr>
                <w:rFonts w:ascii="Times New Roman" w:eastAsia="Calibri" w:hAnsi="Times New Roman"/>
                <w:sz w:val="20"/>
                <w:szCs w:val="20"/>
              </w:rPr>
              <w:t>60,000</w:t>
            </w:r>
          </w:p>
        </w:tc>
        <w:tc>
          <w:tcPr>
            <w:tcW w:w="371" w:type="pct"/>
            <w:shd w:val="clear" w:color="auto" w:fill="auto"/>
            <w:vAlign w:val="center"/>
          </w:tcPr>
          <w:p w14:paraId="4A7613FC" w14:textId="77777777" w:rsidR="003A7C1B" w:rsidRPr="000860EB" w:rsidRDefault="003A7C1B" w:rsidP="00250DAC">
            <w:pPr>
              <w:spacing w:after="0" w:line="240" w:lineRule="auto"/>
              <w:jc w:val="center"/>
              <w:rPr>
                <w:rFonts w:ascii="Times New Roman" w:eastAsia="Calibri" w:hAnsi="Times New Roman"/>
                <w:sz w:val="20"/>
                <w:szCs w:val="20"/>
              </w:rPr>
            </w:pPr>
            <w:r>
              <w:rPr>
                <w:rFonts w:ascii="Times New Roman" w:eastAsia="Calibri" w:hAnsi="Times New Roman"/>
                <w:sz w:val="20"/>
                <w:szCs w:val="20"/>
              </w:rPr>
              <w:t>10</w:t>
            </w:r>
          </w:p>
        </w:tc>
        <w:tc>
          <w:tcPr>
            <w:tcW w:w="652" w:type="pct"/>
            <w:shd w:val="clear" w:color="auto" w:fill="auto"/>
            <w:vAlign w:val="center"/>
          </w:tcPr>
          <w:p w14:paraId="2EE99625" w14:textId="77777777" w:rsidR="003A7C1B" w:rsidRPr="000860EB" w:rsidRDefault="003A7C1B" w:rsidP="00250DAC">
            <w:pPr>
              <w:spacing w:after="0" w:line="240" w:lineRule="auto"/>
              <w:jc w:val="center"/>
              <w:rPr>
                <w:rFonts w:ascii="Times New Roman" w:eastAsia="Calibri" w:hAnsi="Times New Roman"/>
                <w:sz w:val="20"/>
                <w:szCs w:val="20"/>
              </w:rPr>
            </w:pPr>
            <w:r>
              <w:rPr>
                <w:rFonts w:ascii="Times New Roman" w:eastAsia="Calibri" w:hAnsi="Times New Roman"/>
                <w:sz w:val="20"/>
                <w:szCs w:val="20"/>
              </w:rPr>
              <w:t>27</w:t>
            </w:r>
          </w:p>
        </w:tc>
        <w:tc>
          <w:tcPr>
            <w:tcW w:w="747" w:type="pct"/>
            <w:shd w:val="clear" w:color="auto" w:fill="auto"/>
            <w:vAlign w:val="center"/>
          </w:tcPr>
          <w:p w14:paraId="5231DCFC" w14:textId="77777777" w:rsidR="003A7C1B" w:rsidRPr="000860EB" w:rsidRDefault="003A7C1B" w:rsidP="00250DAC">
            <w:pPr>
              <w:spacing w:after="0" w:line="240" w:lineRule="auto"/>
              <w:jc w:val="center"/>
              <w:rPr>
                <w:rFonts w:ascii="Times New Roman" w:eastAsia="Calibri" w:hAnsi="Times New Roman"/>
                <w:sz w:val="20"/>
                <w:szCs w:val="20"/>
              </w:rPr>
            </w:pPr>
            <w:r>
              <w:rPr>
                <w:rFonts w:ascii="Times New Roman" w:eastAsia="Calibri" w:hAnsi="Times New Roman"/>
                <w:sz w:val="20"/>
                <w:szCs w:val="20"/>
              </w:rPr>
              <w:t>Cash</w:t>
            </w:r>
          </w:p>
        </w:tc>
        <w:tc>
          <w:tcPr>
            <w:tcW w:w="641" w:type="pct"/>
            <w:shd w:val="clear" w:color="auto" w:fill="auto"/>
            <w:vAlign w:val="center"/>
          </w:tcPr>
          <w:p w14:paraId="5DF79DB1" w14:textId="77777777" w:rsidR="003A7C1B" w:rsidRPr="000860EB" w:rsidRDefault="003A7C1B" w:rsidP="00250DAC">
            <w:pPr>
              <w:spacing w:after="0" w:line="240" w:lineRule="auto"/>
              <w:jc w:val="center"/>
              <w:rPr>
                <w:rFonts w:ascii="Times New Roman" w:hAnsi="Times New Roman"/>
                <w:sz w:val="20"/>
                <w:szCs w:val="20"/>
              </w:rPr>
            </w:pPr>
            <w:r w:rsidRPr="000860EB">
              <w:rPr>
                <w:rFonts w:ascii="Times New Roman" w:hAnsi="Times New Roman"/>
                <w:sz w:val="20"/>
                <w:szCs w:val="20"/>
              </w:rPr>
              <w:t>Acquisition by way of Transfer of Share</w:t>
            </w:r>
            <w:r>
              <w:rPr>
                <w:rFonts w:ascii="Times New Roman" w:hAnsi="Times New Roman"/>
                <w:sz w:val="20"/>
                <w:szCs w:val="20"/>
              </w:rPr>
              <w:t>s</w:t>
            </w:r>
            <w:r w:rsidRPr="000860EB">
              <w:rPr>
                <w:rFonts w:ascii="Times New Roman" w:hAnsi="Times New Roman"/>
                <w:sz w:val="20"/>
                <w:szCs w:val="20"/>
              </w:rPr>
              <w:t xml:space="preserve"> </w:t>
            </w:r>
            <w:r w:rsidRPr="000860EB">
              <w:rPr>
                <w:rFonts w:ascii="Times New Roman" w:hAnsi="Times New Roman"/>
                <w:sz w:val="20"/>
                <w:szCs w:val="20"/>
                <w:vertAlign w:val="superscript"/>
              </w:rPr>
              <w:t>(i</w:t>
            </w:r>
            <w:r>
              <w:rPr>
                <w:rFonts w:ascii="Times New Roman" w:hAnsi="Times New Roman"/>
                <w:sz w:val="20"/>
                <w:szCs w:val="20"/>
                <w:vertAlign w:val="superscript"/>
              </w:rPr>
              <w:t>v</w:t>
            </w:r>
            <w:r w:rsidRPr="000860EB">
              <w:rPr>
                <w:rFonts w:ascii="Times New Roman" w:hAnsi="Times New Roman"/>
                <w:sz w:val="20"/>
                <w:szCs w:val="20"/>
                <w:vertAlign w:val="superscript"/>
              </w:rPr>
              <w:t>)</w:t>
            </w:r>
          </w:p>
        </w:tc>
        <w:tc>
          <w:tcPr>
            <w:tcW w:w="710" w:type="pct"/>
            <w:shd w:val="clear" w:color="auto" w:fill="auto"/>
            <w:vAlign w:val="center"/>
          </w:tcPr>
          <w:p w14:paraId="7F696996" w14:textId="77777777" w:rsidR="003A7C1B" w:rsidRPr="000860EB" w:rsidRDefault="003A7C1B" w:rsidP="00250DAC">
            <w:pPr>
              <w:spacing w:after="0" w:line="240" w:lineRule="auto"/>
              <w:jc w:val="center"/>
              <w:rPr>
                <w:rFonts w:ascii="Times New Roman" w:eastAsia="Calibri" w:hAnsi="Times New Roman"/>
                <w:sz w:val="20"/>
                <w:szCs w:val="20"/>
              </w:rPr>
            </w:pPr>
            <w:r>
              <w:rPr>
                <w:rFonts w:ascii="Times New Roman" w:eastAsia="Calibri" w:hAnsi="Times New Roman"/>
                <w:sz w:val="20"/>
                <w:szCs w:val="20"/>
              </w:rPr>
              <w:t>0.43</w:t>
            </w:r>
          </w:p>
        </w:tc>
        <w:tc>
          <w:tcPr>
            <w:tcW w:w="714" w:type="pct"/>
            <w:shd w:val="clear" w:color="auto" w:fill="auto"/>
            <w:vAlign w:val="center"/>
          </w:tcPr>
          <w:p w14:paraId="0A049AFA"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w:t>
            </w:r>
          </w:p>
        </w:tc>
      </w:tr>
      <w:tr w:rsidR="003A7C1B" w:rsidRPr="000860EB" w14:paraId="4A919D32" w14:textId="77777777" w:rsidTr="00250DAC">
        <w:trPr>
          <w:trHeight w:val="20"/>
        </w:trPr>
        <w:tc>
          <w:tcPr>
            <w:tcW w:w="555" w:type="pct"/>
            <w:shd w:val="clear" w:color="auto" w:fill="auto"/>
            <w:vAlign w:val="center"/>
          </w:tcPr>
          <w:p w14:paraId="19D64A86"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b/>
                <w:sz w:val="20"/>
                <w:szCs w:val="20"/>
              </w:rPr>
              <w:t>Total (C)</w:t>
            </w:r>
          </w:p>
        </w:tc>
        <w:tc>
          <w:tcPr>
            <w:tcW w:w="610" w:type="pct"/>
            <w:shd w:val="clear" w:color="auto" w:fill="auto"/>
            <w:vAlign w:val="center"/>
          </w:tcPr>
          <w:p w14:paraId="4CF5AD74" w14:textId="77777777" w:rsidR="003A7C1B" w:rsidRPr="000860EB" w:rsidRDefault="003A7C1B" w:rsidP="00250DAC">
            <w:pPr>
              <w:spacing w:after="0" w:line="240" w:lineRule="auto"/>
              <w:jc w:val="center"/>
              <w:rPr>
                <w:rFonts w:ascii="Times New Roman" w:eastAsia="Calibri" w:hAnsi="Times New Roman"/>
                <w:sz w:val="20"/>
                <w:szCs w:val="20"/>
              </w:rPr>
            </w:pPr>
            <w:r>
              <w:rPr>
                <w:rFonts w:ascii="Times New Roman" w:eastAsia="Calibri" w:hAnsi="Times New Roman"/>
                <w:b/>
                <w:sz w:val="20"/>
                <w:szCs w:val="20"/>
              </w:rPr>
              <w:t>2,10,000</w:t>
            </w:r>
          </w:p>
        </w:tc>
        <w:tc>
          <w:tcPr>
            <w:tcW w:w="371" w:type="pct"/>
            <w:shd w:val="clear" w:color="auto" w:fill="auto"/>
            <w:vAlign w:val="center"/>
          </w:tcPr>
          <w:p w14:paraId="080C0C84" w14:textId="77777777" w:rsidR="003A7C1B" w:rsidRPr="000860EB" w:rsidRDefault="003A7C1B" w:rsidP="00250DAC">
            <w:pPr>
              <w:spacing w:after="0" w:line="240" w:lineRule="auto"/>
              <w:jc w:val="center"/>
              <w:rPr>
                <w:rFonts w:ascii="Times New Roman" w:eastAsia="Calibri" w:hAnsi="Times New Roman"/>
                <w:sz w:val="20"/>
                <w:szCs w:val="20"/>
              </w:rPr>
            </w:pPr>
          </w:p>
        </w:tc>
        <w:tc>
          <w:tcPr>
            <w:tcW w:w="652" w:type="pct"/>
            <w:shd w:val="clear" w:color="auto" w:fill="auto"/>
            <w:vAlign w:val="center"/>
          </w:tcPr>
          <w:p w14:paraId="5148E178" w14:textId="77777777" w:rsidR="003A7C1B" w:rsidRPr="000860EB" w:rsidRDefault="003A7C1B" w:rsidP="00250DAC">
            <w:pPr>
              <w:spacing w:after="0" w:line="240" w:lineRule="auto"/>
              <w:jc w:val="center"/>
              <w:rPr>
                <w:rFonts w:ascii="Times New Roman" w:eastAsia="Calibri" w:hAnsi="Times New Roman"/>
                <w:sz w:val="20"/>
                <w:szCs w:val="20"/>
              </w:rPr>
            </w:pPr>
          </w:p>
        </w:tc>
        <w:tc>
          <w:tcPr>
            <w:tcW w:w="747" w:type="pct"/>
            <w:shd w:val="clear" w:color="auto" w:fill="auto"/>
            <w:vAlign w:val="center"/>
          </w:tcPr>
          <w:p w14:paraId="73FE974D" w14:textId="77777777" w:rsidR="003A7C1B" w:rsidRPr="000860EB" w:rsidRDefault="003A7C1B" w:rsidP="00250DAC">
            <w:pPr>
              <w:spacing w:after="0" w:line="240" w:lineRule="auto"/>
              <w:jc w:val="center"/>
              <w:rPr>
                <w:rFonts w:ascii="Times New Roman" w:eastAsia="Calibri" w:hAnsi="Times New Roman"/>
                <w:sz w:val="20"/>
                <w:szCs w:val="20"/>
              </w:rPr>
            </w:pPr>
          </w:p>
        </w:tc>
        <w:tc>
          <w:tcPr>
            <w:tcW w:w="641" w:type="pct"/>
            <w:shd w:val="clear" w:color="auto" w:fill="auto"/>
            <w:vAlign w:val="center"/>
          </w:tcPr>
          <w:p w14:paraId="08FF5598" w14:textId="77777777" w:rsidR="003A7C1B" w:rsidRPr="000860EB" w:rsidRDefault="003A7C1B" w:rsidP="00250DAC">
            <w:pPr>
              <w:spacing w:after="0" w:line="240" w:lineRule="auto"/>
              <w:jc w:val="center"/>
              <w:rPr>
                <w:rFonts w:ascii="Times New Roman" w:hAnsi="Times New Roman"/>
                <w:sz w:val="20"/>
                <w:szCs w:val="20"/>
              </w:rPr>
            </w:pPr>
          </w:p>
        </w:tc>
        <w:tc>
          <w:tcPr>
            <w:tcW w:w="710" w:type="pct"/>
            <w:shd w:val="clear" w:color="auto" w:fill="auto"/>
            <w:vAlign w:val="center"/>
          </w:tcPr>
          <w:p w14:paraId="46835BFE" w14:textId="77777777" w:rsidR="003A7C1B" w:rsidRPr="000860EB" w:rsidRDefault="003A7C1B" w:rsidP="00250DAC">
            <w:pPr>
              <w:spacing w:after="0" w:line="240" w:lineRule="auto"/>
              <w:jc w:val="center"/>
              <w:rPr>
                <w:rFonts w:ascii="Times New Roman" w:eastAsia="Calibri" w:hAnsi="Times New Roman"/>
                <w:sz w:val="20"/>
                <w:szCs w:val="20"/>
              </w:rPr>
            </w:pPr>
            <w:r>
              <w:rPr>
                <w:rFonts w:ascii="Times New Roman" w:eastAsia="Calibri" w:hAnsi="Times New Roman"/>
                <w:b/>
                <w:sz w:val="20"/>
                <w:szCs w:val="20"/>
              </w:rPr>
              <w:t>1.52</w:t>
            </w:r>
          </w:p>
        </w:tc>
        <w:tc>
          <w:tcPr>
            <w:tcW w:w="714" w:type="pct"/>
            <w:shd w:val="clear" w:color="auto" w:fill="auto"/>
            <w:vAlign w:val="center"/>
          </w:tcPr>
          <w:p w14:paraId="386D0CD2"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w:t>
            </w:r>
          </w:p>
        </w:tc>
      </w:tr>
      <w:tr w:rsidR="003A7C1B" w:rsidRPr="000860EB" w14:paraId="5BCA2F17" w14:textId="77777777" w:rsidTr="00250DAC">
        <w:trPr>
          <w:trHeight w:val="20"/>
        </w:trPr>
        <w:tc>
          <w:tcPr>
            <w:tcW w:w="555" w:type="pct"/>
            <w:shd w:val="clear" w:color="auto" w:fill="auto"/>
            <w:vAlign w:val="center"/>
          </w:tcPr>
          <w:p w14:paraId="4F4856E3"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b/>
                <w:sz w:val="20"/>
                <w:szCs w:val="20"/>
              </w:rPr>
              <w:t xml:space="preserve">Grand Total </w:t>
            </w:r>
          </w:p>
        </w:tc>
        <w:tc>
          <w:tcPr>
            <w:tcW w:w="610" w:type="pct"/>
            <w:shd w:val="clear" w:color="auto" w:fill="auto"/>
            <w:vAlign w:val="center"/>
          </w:tcPr>
          <w:p w14:paraId="253A267F"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b/>
                <w:sz w:val="20"/>
                <w:szCs w:val="20"/>
              </w:rPr>
              <w:t>1,3</w:t>
            </w:r>
            <w:r>
              <w:rPr>
                <w:rFonts w:ascii="Times New Roman" w:eastAsia="Calibri" w:hAnsi="Times New Roman"/>
                <w:b/>
                <w:sz w:val="20"/>
                <w:szCs w:val="20"/>
              </w:rPr>
              <w:t>7</w:t>
            </w:r>
            <w:r w:rsidRPr="000860EB">
              <w:rPr>
                <w:rFonts w:ascii="Times New Roman" w:eastAsia="Calibri" w:hAnsi="Times New Roman"/>
                <w:b/>
                <w:sz w:val="20"/>
                <w:szCs w:val="20"/>
              </w:rPr>
              <w:t>,</w:t>
            </w:r>
            <w:r>
              <w:rPr>
                <w:rFonts w:ascii="Times New Roman" w:eastAsia="Calibri" w:hAnsi="Times New Roman"/>
                <w:b/>
                <w:sz w:val="20"/>
                <w:szCs w:val="20"/>
              </w:rPr>
              <w:t>05</w:t>
            </w:r>
            <w:r w:rsidRPr="000860EB">
              <w:rPr>
                <w:rFonts w:ascii="Times New Roman" w:eastAsia="Calibri" w:hAnsi="Times New Roman"/>
                <w:b/>
                <w:sz w:val="20"/>
                <w:szCs w:val="20"/>
              </w:rPr>
              <w:t>,500</w:t>
            </w:r>
          </w:p>
        </w:tc>
        <w:tc>
          <w:tcPr>
            <w:tcW w:w="371" w:type="pct"/>
            <w:shd w:val="clear" w:color="auto" w:fill="auto"/>
            <w:vAlign w:val="center"/>
          </w:tcPr>
          <w:p w14:paraId="42E39C6B" w14:textId="77777777" w:rsidR="003A7C1B" w:rsidRPr="000860EB" w:rsidRDefault="003A7C1B" w:rsidP="00250DAC">
            <w:pPr>
              <w:spacing w:after="0" w:line="240" w:lineRule="auto"/>
              <w:jc w:val="center"/>
              <w:rPr>
                <w:rFonts w:ascii="Times New Roman" w:eastAsia="Calibri" w:hAnsi="Times New Roman"/>
                <w:sz w:val="20"/>
                <w:szCs w:val="20"/>
              </w:rPr>
            </w:pPr>
          </w:p>
        </w:tc>
        <w:tc>
          <w:tcPr>
            <w:tcW w:w="652" w:type="pct"/>
            <w:shd w:val="clear" w:color="auto" w:fill="auto"/>
            <w:vAlign w:val="center"/>
          </w:tcPr>
          <w:p w14:paraId="30F49D3F" w14:textId="77777777" w:rsidR="003A7C1B" w:rsidRPr="000860EB" w:rsidRDefault="003A7C1B" w:rsidP="00250DAC">
            <w:pPr>
              <w:spacing w:after="0" w:line="240" w:lineRule="auto"/>
              <w:jc w:val="center"/>
              <w:rPr>
                <w:rFonts w:ascii="Times New Roman" w:eastAsia="Calibri" w:hAnsi="Times New Roman"/>
                <w:sz w:val="20"/>
                <w:szCs w:val="20"/>
              </w:rPr>
            </w:pPr>
          </w:p>
        </w:tc>
        <w:tc>
          <w:tcPr>
            <w:tcW w:w="747" w:type="pct"/>
            <w:shd w:val="clear" w:color="auto" w:fill="auto"/>
          </w:tcPr>
          <w:p w14:paraId="334154B3" w14:textId="77777777" w:rsidR="003A7C1B" w:rsidRPr="000860EB" w:rsidRDefault="003A7C1B" w:rsidP="00250DAC">
            <w:pPr>
              <w:spacing w:after="0" w:line="240" w:lineRule="auto"/>
              <w:jc w:val="center"/>
              <w:rPr>
                <w:rFonts w:ascii="Times New Roman" w:eastAsia="Calibri" w:hAnsi="Times New Roman"/>
                <w:sz w:val="20"/>
                <w:szCs w:val="20"/>
              </w:rPr>
            </w:pPr>
          </w:p>
        </w:tc>
        <w:tc>
          <w:tcPr>
            <w:tcW w:w="641" w:type="pct"/>
            <w:shd w:val="clear" w:color="auto" w:fill="auto"/>
            <w:vAlign w:val="center"/>
          </w:tcPr>
          <w:p w14:paraId="6C5B368F" w14:textId="77777777" w:rsidR="003A7C1B" w:rsidRPr="000860EB" w:rsidRDefault="003A7C1B" w:rsidP="00250DAC">
            <w:pPr>
              <w:spacing w:after="0" w:line="240" w:lineRule="auto"/>
              <w:jc w:val="center"/>
              <w:rPr>
                <w:rFonts w:ascii="Times New Roman" w:hAnsi="Times New Roman"/>
                <w:sz w:val="20"/>
                <w:szCs w:val="20"/>
              </w:rPr>
            </w:pPr>
          </w:p>
        </w:tc>
        <w:tc>
          <w:tcPr>
            <w:tcW w:w="710" w:type="pct"/>
            <w:shd w:val="clear" w:color="auto" w:fill="auto"/>
            <w:vAlign w:val="center"/>
          </w:tcPr>
          <w:p w14:paraId="0248FC7F"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b/>
                <w:sz w:val="20"/>
                <w:szCs w:val="20"/>
              </w:rPr>
              <w:t>9</w:t>
            </w:r>
            <w:r>
              <w:rPr>
                <w:rFonts w:ascii="Times New Roman" w:eastAsia="Calibri" w:hAnsi="Times New Roman"/>
                <w:b/>
                <w:sz w:val="20"/>
                <w:szCs w:val="20"/>
              </w:rPr>
              <w:t>9.28</w:t>
            </w:r>
          </w:p>
        </w:tc>
        <w:tc>
          <w:tcPr>
            <w:tcW w:w="714" w:type="pct"/>
            <w:shd w:val="clear" w:color="auto" w:fill="auto"/>
            <w:vAlign w:val="center"/>
          </w:tcPr>
          <w:p w14:paraId="450B4105"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w:t>
            </w:r>
          </w:p>
        </w:tc>
      </w:tr>
    </w:tbl>
    <w:p w14:paraId="767D60C4" w14:textId="77777777" w:rsidR="003A7C1B" w:rsidRPr="000860EB" w:rsidRDefault="003A7C1B" w:rsidP="003A7C1B">
      <w:pPr>
        <w:spacing w:after="0" w:line="240" w:lineRule="auto"/>
        <w:jc w:val="both"/>
        <w:rPr>
          <w:rFonts w:ascii="Times New Roman" w:hAnsi="Times New Roman"/>
          <w:i/>
          <w:sz w:val="20"/>
          <w:szCs w:val="20"/>
        </w:rPr>
      </w:pPr>
      <w:r w:rsidRPr="000860EB">
        <w:rPr>
          <w:rFonts w:ascii="Times New Roman" w:hAnsi="Times New Roman"/>
          <w:i/>
          <w:sz w:val="20"/>
          <w:szCs w:val="20"/>
        </w:rPr>
        <w:t>Note: None of the Shares has been pledged by our Promoters.</w:t>
      </w:r>
    </w:p>
    <w:bookmarkEnd w:id="6"/>
    <w:p w14:paraId="42F6301F" w14:textId="77777777" w:rsidR="003A7C1B" w:rsidRPr="000860EB" w:rsidRDefault="003A7C1B" w:rsidP="003A7C1B">
      <w:pPr>
        <w:spacing w:after="0" w:line="240" w:lineRule="auto"/>
        <w:jc w:val="both"/>
        <w:rPr>
          <w:rFonts w:ascii="Times New Roman" w:hAnsi="Times New Roman"/>
          <w:i/>
          <w:sz w:val="20"/>
          <w:szCs w:val="20"/>
        </w:rPr>
      </w:pPr>
    </w:p>
    <w:p w14:paraId="79A0E4E8" w14:textId="77777777" w:rsidR="003A7C1B" w:rsidRPr="000860EB" w:rsidRDefault="003A7C1B" w:rsidP="00F038BD">
      <w:pPr>
        <w:pStyle w:val="ListParagraph"/>
        <w:numPr>
          <w:ilvl w:val="0"/>
          <w:numId w:val="159"/>
        </w:numPr>
        <w:spacing w:line="240" w:lineRule="auto"/>
        <w:ind w:left="607"/>
        <w:jc w:val="both"/>
        <w:rPr>
          <w:i/>
          <w:sz w:val="20"/>
          <w:szCs w:val="20"/>
        </w:rPr>
      </w:pPr>
      <w:r w:rsidRPr="000860EB">
        <w:rPr>
          <w:i/>
          <w:sz w:val="20"/>
          <w:szCs w:val="20"/>
        </w:rPr>
        <w:t xml:space="preserve">Details of </w:t>
      </w:r>
      <w:r w:rsidRPr="000860EB">
        <w:rPr>
          <w:i/>
          <w:sz w:val="20"/>
          <w:szCs w:val="20"/>
          <w:lang w:val="en-US"/>
        </w:rPr>
        <w:t>transfer of share</w:t>
      </w:r>
      <w:r>
        <w:rPr>
          <w:i/>
          <w:sz w:val="20"/>
          <w:szCs w:val="20"/>
          <w:lang w:val="en-US"/>
        </w:rPr>
        <w:t>s</w:t>
      </w:r>
      <w:r w:rsidRPr="000860EB">
        <w:rPr>
          <w:i/>
          <w:sz w:val="20"/>
          <w:szCs w:val="20"/>
          <w:lang w:val="en-US"/>
        </w:rPr>
        <w:t xml:space="preserve"> </w:t>
      </w:r>
      <w:r w:rsidRPr="000860EB">
        <w:rPr>
          <w:i/>
          <w:sz w:val="20"/>
          <w:szCs w:val="20"/>
        </w:rPr>
        <w:t xml:space="preserve">by </w:t>
      </w:r>
      <w:r w:rsidRPr="000860EB">
        <w:rPr>
          <w:rFonts w:eastAsia="Calibri"/>
          <w:i/>
          <w:sz w:val="20"/>
          <w:szCs w:val="20"/>
        </w:rPr>
        <w:t xml:space="preserve">Ramgopal Ochhavlal Maheswari </w:t>
      </w:r>
      <w:r w:rsidRPr="000860EB">
        <w:rPr>
          <w:i/>
          <w:sz w:val="20"/>
          <w:szCs w:val="20"/>
        </w:rPr>
        <w:t xml:space="preserve">by way of </w:t>
      </w:r>
      <w:r w:rsidRPr="000860EB">
        <w:rPr>
          <w:i/>
          <w:sz w:val="20"/>
          <w:szCs w:val="20"/>
          <w:lang w:val="en-US"/>
        </w:rPr>
        <w:t xml:space="preserve">gift </w:t>
      </w:r>
      <w:r w:rsidRPr="000860EB">
        <w:rPr>
          <w:i/>
          <w:sz w:val="20"/>
          <w:szCs w:val="20"/>
        </w:rPr>
        <w:t xml:space="preserve">of </w:t>
      </w:r>
      <w:r w:rsidRPr="000860EB">
        <w:rPr>
          <w:i/>
          <w:sz w:val="20"/>
          <w:szCs w:val="20"/>
          <w:lang w:val="en-IN"/>
        </w:rPr>
        <w:t>2,10,000</w:t>
      </w:r>
      <w:r w:rsidRPr="000860EB">
        <w:rPr>
          <w:i/>
          <w:sz w:val="20"/>
          <w:szCs w:val="20"/>
        </w:rPr>
        <w:t xml:space="preserve"> equity shares.</w:t>
      </w:r>
    </w:p>
    <w:p w14:paraId="2C7A9BB5" w14:textId="77777777" w:rsidR="003A7C1B" w:rsidRPr="000860EB" w:rsidRDefault="003A7C1B" w:rsidP="003A7C1B">
      <w:pPr>
        <w:pStyle w:val="ListParagraph"/>
        <w:spacing w:line="240" w:lineRule="auto"/>
        <w:ind w:left="607"/>
        <w:jc w:val="both"/>
        <w:rPr>
          <w:i/>
          <w:sz w:val="20"/>
          <w:szCs w:val="20"/>
        </w:rPr>
      </w:pPr>
    </w:p>
    <w:tbl>
      <w:tblPr>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6"/>
        <w:gridCol w:w="2066"/>
        <w:gridCol w:w="4216"/>
        <w:gridCol w:w="3128"/>
      </w:tblGrid>
      <w:tr w:rsidR="003A7C1B" w:rsidRPr="000860EB" w14:paraId="461CCF2B" w14:textId="77777777" w:rsidTr="00250DAC">
        <w:tc>
          <w:tcPr>
            <w:tcW w:w="500" w:type="pct"/>
            <w:shd w:val="clear" w:color="auto" w:fill="D0CECE" w:themeFill="background2" w:themeFillShade="E6"/>
          </w:tcPr>
          <w:p w14:paraId="76B4394E" w14:textId="77777777" w:rsidR="003A7C1B" w:rsidRPr="000860EB" w:rsidRDefault="003A7C1B" w:rsidP="00250DAC">
            <w:pPr>
              <w:spacing w:after="0" w:line="240" w:lineRule="auto"/>
              <w:ind w:right="-46"/>
              <w:jc w:val="center"/>
              <w:rPr>
                <w:rFonts w:ascii="Times New Roman" w:eastAsia="Calibri" w:hAnsi="Times New Roman"/>
                <w:b/>
                <w:sz w:val="20"/>
                <w:szCs w:val="20"/>
              </w:rPr>
            </w:pPr>
            <w:r w:rsidRPr="000860EB">
              <w:rPr>
                <w:rFonts w:ascii="Times New Roman" w:eastAsia="Calibri" w:hAnsi="Times New Roman"/>
                <w:b/>
                <w:sz w:val="20"/>
                <w:szCs w:val="20"/>
              </w:rPr>
              <w:t>Sr. No.</w:t>
            </w:r>
          </w:p>
        </w:tc>
        <w:tc>
          <w:tcPr>
            <w:tcW w:w="988" w:type="pct"/>
            <w:shd w:val="clear" w:color="auto" w:fill="D0CECE" w:themeFill="background2" w:themeFillShade="E6"/>
          </w:tcPr>
          <w:p w14:paraId="7B075B45" w14:textId="77777777" w:rsidR="003A7C1B" w:rsidRPr="000860EB" w:rsidRDefault="003A7C1B" w:rsidP="00250DAC">
            <w:pPr>
              <w:spacing w:after="0" w:line="240" w:lineRule="auto"/>
              <w:ind w:right="-46"/>
              <w:jc w:val="center"/>
              <w:rPr>
                <w:rFonts w:ascii="Times New Roman" w:eastAsia="Calibri" w:hAnsi="Times New Roman"/>
                <w:b/>
                <w:sz w:val="20"/>
                <w:szCs w:val="20"/>
              </w:rPr>
            </w:pPr>
            <w:r w:rsidRPr="000860EB">
              <w:rPr>
                <w:rFonts w:ascii="Times New Roman" w:eastAsia="Calibri" w:hAnsi="Times New Roman"/>
                <w:b/>
                <w:sz w:val="20"/>
                <w:szCs w:val="20"/>
              </w:rPr>
              <w:t xml:space="preserve">Date of Transfer </w:t>
            </w:r>
          </w:p>
        </w:tc>
        <w:tc>
          <w:tcPr>
            <w:tcW w:w="2016" w:type="pct"/>
            <w:shd w:val="clear" w:color="auto" w:fill="D0CECE" w:themeFill="background2" w:themeFillShade="E6"/>
          </w:tcPr>
          <w:p w14:paraId="644562AC" w14:textId="77777777" w:rsidR="003A7C1B" w:rsidRPr="000860EB" w:rsidRDefault="003A7C1B" w:rsidP="00250DAC">
            <w:pPr>
              <w:spacing w:after="0" w:line="240" w:lineRule="auto"/>
              <w:ind w:right="-46"/>
              <w:jc w:val="center"/>
              <w:rPr>
                <w:rFonts w:ascii="Times New Roman" w:eastAsia="Calibri" w:hAnsi="Times New Roman"/>
                <w:b/>
                <w:sz w:val="20"/>
                <w:szCs w:val="20"/>
              </w:rPr>
            </w:pPr>
            <w:r w:rsidRPr="000860EB">
              <w:rPr>
                <w:rFonts w:ascii="Times New Roman" w:eastAsia="Calibri" w:hAnsi="Times New Roman"/>
                <w:b/>
                <w:sz w:val="20"/>
                <w:szCs w:val="20"/>
              </w:rPr>
              <w:t>Name of Transfer</w:t>
            </w:r>
            <w:r>
              <w:rPr>
                <w:rFonts w:ascii="Times New Roman" w:eastAsia="Calibri" w:hAnsi="Times New Roman"/>
                <w:b/>
                <w:sz w:val="20"/>
                <w:szCs w:val="20"/>
              </w:rPr>
              <w:t>ee</w:t>
            </w:r>
          </w:p>
        </w:tc>
        <w:tc>
          <w:tcPr>
            <w:tcW w:w="1496" w:type="pct"/>
            <w:shd w:val="clear" w:color="auto" w:fill="D0CECE" w:themeFill="background2" w:themeFillShade="E6"/>
          </w:tcPr>
          <w:p w14:paraId="54E73D05" w14:textId="77777777" w:rsidR="003A7C1B" w:rsidRPr="000860EB" w:rsidRDefault="003A7C1B" w:rsidP="00250DAC">
            <w:pPr>
              <w:spacing w:after="0" w:line="240" w:lineRule="auto"/>
              <w:ind w:right="-46"/>
              <w:jc w:val="center"/>
              <w:rPr>
                <w:rFonts w:ascii="Times New Roman" w:eastAsia="Calibri" w:hAnsi="Times New Roman"/>
                <w:b/>
                <w:sz w:val="20"/>
                <w:szCs w:val="20"/>
              </w:rPr>
            </w:pPr>
            <w:r w:rsidRPr="000860EB">
              <w:rPr>
                <w:rFonts w:ascii="Times New Roman" w:eastAsia="Calibri" w:hAnsi="Times New Roman"/>
                <w:b/>
                <w:sz w:val="20"/>
                <w:szCs w:val="20"/>
              </w:rPr>
              <w:t>No. of Share Transfer</w:t>
            </w:r>
          </w:p>
        </w:tc>
      </w:tr>
      <w:tr w:rsidR="003A7C1B" w:rsidRPr="000860EB" w14:paraId="15D52FEA" w14:textId="77777777" w:rsidTr="00250DAC">
        <w:tc>
          <w:tcPr>
            <w:tcW w:w="500" w:type="pct"/>
          </w:tcPr>
          <w:p w14:paraId="5A44831B"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1.</w:t>
            </w:r>
          </w:p>
        </w:tc>
        <w:tc>
          <w:tcPr>
            <w:tcW w:w="988" w:type="pct"/>
          </w:tcPr>
          <w:p w14:paraId="11667E86" w14:textId="77777777" w:rsidR="003A7C1B" w:rsidRPr="000860EB" w:rsidRDefault="003A7C1B" w:rsidP="00250DAC">
            <w:pPr>
              <w:spacing w:after="0" w:line="240" w:lineRule="auto"/>
              <w:jc w:val="both"/>
              <w:rPr>
                <w:rFonts w:ascii="Times New Roman" w:eastAsia="Calibri" w:hAnsi="Times New Roman"/>
                <w:sz w:val="20"/>
                <w:szCs w:val="20"/>
              </w:rPr>
            </w:pPr>
            <w:r w:rsidRPr="000860EB">
              <w:rPr>
                <w:rFonts w:ascii="Times New Roman" w:eastAsia="Calibri" w:hAnsi="Times New Roman"/>
                <w:sz w:val="20"/>
                <w:szCs w:val="20"/>
              </w:rPr>
              <w:t>June 20, 2023</w:t>
            </w:r>
          </w:p>
        </w:tc>
        <w:tc>
          <w:tcPr>
            <w:tcW w:w="2016" w:type="pct"/>
          </w:tcPr>
          <w:p w14:paraId="24109ABF" w14:textId="77777777" w:rsidR="003A7C1B" w:rsidRPr="000860EB" w:rsidRDefault="003A7C1B" w:rsidP="00250DAC">
            <w:pPr>
              <w:spacing w:after="0" w:line="240" w:lineRule="auto"/>
              <w:jc w:val="both"/>
              <w:rPr>
                <w:rFonts w:ascii="Times New Roman" w:eastAsia="Calibri" w:hAnsi="Times New Roman"/>
                <w:sz w:val="20"/>
                <w:szCs w:val="20"/>
              </w:rPr>
            </w:pPr>
            <w:r w:rsidRPr="000860EB">
              <w:rPr>
                <w:rFonts w:ascii="Times New Roman" w:hAnsi="Times New Roman"/>
                <w:sz w:val="20"/>
                <w:szCs w:val="20"/>
              </w:rPr>
              <w:t>Bhavesh Ramgopal Maheshwari</w:t>
            </w:r>
          </w:p>
        </w:tc>
        <w:tc>
          <w:tcPr>
            <w:tcW w:w="1496" w:type="pct"/>
          </w:tcPr>
          <w:p w14:paraId="2C0D507A"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1,60,000</w:t>
            </w:r>
          </w:p>
        </w:tc>
      </w:tr>
      <w:tr w:rsidR="003A7C1B" w:rsidRPr="000860EB" w14:paraId="2973A9C5" w14:textId="77777777" w:rsidTr="00250DAC">
        <w:tc>
          <w:tcPr>
            <w:tcW w:w="500" w:type="pct"/>
          </w:tcPr>
          <w:p w14:paraId="2E9BE473"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2.</w:t>
            </w:r>
          </w:p>
        </w:tc>
        <w:tc>
          <w:tcPr>
            <w:tcW w:w="988" w:type="pct"/>
          </w:tcPr>
          <w:p w14:paraId="2D97CB59" w14:textId="77777777" w:rsidR="003A7C1B" w:rsidRPr="000860EB" w:rsidRDefault="003A7C1B" w:rsidP="00250DAC">
            <w:pPr>
              <w:spacing w:after="0" w:line="240" w:lineRule="auto"/>
              <w:jc w:val="both"/>
              <w:rPr>
                <w:rFonts w:ascii="Times New Roman" w:eastAsia="Calibri" w:hAnsi="Times New Roman"/>
                <w:sz w:val="20"/>
                <w:szCs w:val="20"/>
              </w:rPr>
            </w:pPr>
            <w:r w:rsidRPr="000860EB">
              <w:rPr>
                <w:rFonts w:ascii="Times New Roman" w:eastAsia="Calibri" w:hAnsi="Times New Roman"/>
                <w:sz w:val="20"/>
                <w:szCs w:val="20"/>
              </w:rPr>
              <w:t>June 20, 2023</w:t>
            </w:r>
          </w:p>
        </w:tc>
        <w:tc>
          <w:tcPr>
            <w:tcW w:w="2016" w:type="pct"/>
          </w:tcPr>
          <w:p w14:paraId="3360D852" w14:textId="77777777" w:rsidR="003A7C1B" w:rsidRPr="000860EB" w:rsidRDefault="003A7C1B" w:rsidP="00250DAC">
            <w:pPr>
              <w:spacing w:after="0" w:line="240" w:lineRule="auto"/>
              <w:jc w:val="both"/>
              <w:rPr>
                <w:rFonts w:ascii="Times New Roman" w:hAnsi="Times New Roman"/>
                <w:sz w:val="20"/>
                <w:szCs w:val="20"/>
              </w:rPr>
            </w:pPr>
            <w:r w:rsidRPr="000860EB">
              <w:rPr>
                <w:rFonts w:ascii="Times New Roman" w:hAnsi="Times New Roman"/>
                <w:sz w:val="20"/>
                <w:szCs w:val="20"/>
              </w:rPr>
              <w:t>Megha Bhavesh Maheshwari</w:t>
            </w:r>
          </w:p>
        </w:tc>
        <w:tc>
          <w:tcPr>
            <w:tcW w:w="1496" w:type="pct"/>
          </w:tcPr>
          <w:p w14:paraId="2557841A"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40,000</w:t>
            </w:r>
          </w:p>
        </w:tc>
      </w:tr>
      <w:tr w:rsidR="003A7C1B" w:rsidRPr="000860EB" w14:paraId="2F055A78" w14:textId="77777777" w:rsidTr="00250DAC">
        <w:tc>
          <w:tcPr>
            <w:tcW w:w="500" w:type="pct"/>
          </w:tcPr>
          <w:p w14:paraId="5544B99D"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3.</w:t>
            </w:r>
          </w:p>
        </w:tc>
        <w:tc>
          <w:tcPr>
            <w:tcW w:w="988" w:type="pct"/>
          </w:tcPr>
          <w:p w14:paraId="4891AE13" w14:textId="77777777" w:rsidR="003A7C1B" w:rsidRPr="000860EB" w:rsidRDefault="003A7C1B" w:rsidP="00250DAC">
            <w:pPr>
              <w:spacing w:after="0" w:line="240" w:lineRule="auto"/>
              <w:jc w:val="both"/>
              <w:rPr>
                <w:rFonts w:ascii="Times New Roman" w:eastAsia="Calibri" w:hAnsi="Times New Roman"/>
                <w:sz w:val="20"/>
                <w:szCs w:val="20"/>
              </w:rPr>
            </w:pPr>
            <w:r w:rsidRPr="000860EB">
              <w:rPr>
                <w:rFonts w:ascii="Times New Roman" w:eastAsia="Calibri" w:hAnsi="Times New Roman"/>
                <w:sz w:val="20"/>
                <w:szCs w:val="20"/>
              </w:rPr>
              <w:t>June 20, 2023</w:t>
            </w:r>
          </w:p>
        </w:tc>
        <w:tc>
          <w:tcPr>
            <w:tcW w:w="2016" w:type="pct"/>
          </w:tcPr>
          <w:p w14:paraId="17CFFA47" w14:textId="77777777" w:rsidR="003A7C1B" w:rsidRPr="000860EB" w:rsidRDefault="003A7C1B" w:rsidP="00250DAC">
            <w:pPr>
              <w:spacing w:after="0" w:line="240" w:lineRule="auto"/>
              <w:jc w:val="both"/>
              <w:rPr>
                <w:rFonts w:ascii="Times New Roman" w:hAnsi="Times New Roman"/>
                <w:sz w:val="20"/>
                <w:szCs w:val="20"/>
              </w:rPr>
            </w:pPr>
            <w:r>
              <w:rPr>
                <w:rFonts w:ascii="Times New Roman" w:hAnsi="Times New Roman"/>
                <w:sz w:val="20"/>
                <w:szCs w:val="20"/>
              </w:rPr>
              <w:t>M</w:t>
            </w:r>
            <w:r w:rsidRPr="00126C33">
              <w:rPr>
                <w:rFonts w:ascii="Times New Roman" w:hAnsi="Times New Roman"/>
                <w:sz w:val="20"/>
                <w:szCs w:val="20"/>
              </w:rPr>
              <w:t>aheshwari Ramgopal Ochha</w:t>
            </w:r>
            <w:r>
              <w:rPr>
                <w:rFonts w:ascii="Times New Roman" w:hAnsi="Times New Roman"/>
                <w:sz w:val="20"/>
                <w:szCs w:val="20"/>
              </w:rPr>
              <w:t>v</w:t>
            </w:r>
            <w:r w:rsidRPr="00126C33">
              <w:rPr>
                <w:rFonts w:ascii="Times New Roman" w:hAnsi="Times New Roman"/>
                <w:sz w:val="20"/>
                <w:szCs w:val="20"/>
              </w:rPr>
              <w:t xml:space="preserve">lal </w:t>
            </w:r>
            <w:r w:rsidRPr="000860EB">
              <w:rPr>
                <w:rFonts w:ascii="Times New Roman" w:hAnsi="Times New Roman"/>
                <w:sz w:val="20"/>
                <w:szCs w:val="20"/>
              </w:rPr>
              <w:t>HUF</w:t>
            </w:r>
          </w:p>
        </w:tc>
        <w:tc>
          <w:tcPr>
            <w:tcW w:w="1496" w:type="pct"/>
          </w:tcPr>
          <w:p w14:paraId="20C1346F"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10,000</w:t>
            </w:r>
          </w:p>
        </w:tc>
      </w:tr>
      <w:tr w:rsidR="003A7C1B" w:rsidRPr="000860EB" w14:paraId="4E6B60E3" w14:textId="77777777" w:rsidTr="00250DAC">
        <w:tc>
          <w:tcPr>
            <w:tcW w:w="500" w:type="pct"/>
          </w:tcPr>
          <w:p w14:paraId="7B6C86C1" w14:textId="77777777" w:rsidR="003A7C1B" w:rsidRPr="000860EB" w:rsidRDefault="003A7C1B" w:rsidP="00250DAC">
            <w:pPr>
              <w:spacing w:after="0" w:line="240" w:lineRule="auto"/>
              <w:jc w:val="center"/>
              <w:rPr>
                <w:rFonts w:ascii="Times New Roman" w:eastAsia="Calibri" w:hAnsi="Times New Roman"/>
                <w:sz w:val="20"/>
                <w:szCs w:val="20"/>
              </w:rPr>
            </w:pPr>
          </w:p>
        </w:tc>
        <w:tc>
          <w:tcPr>
            <w:tcW w:w="988" w:type="pct"/>
          </w:tcPr>
          <w:p w14:paraId="0D7AA02A" w14:textId="77777777" w:rsidR="003A7C1B" w:rsidRPr="000860EB" w:rsidRDefault="003A7C1B" w:rsidP="00250DAC">
            <w:pPr>
              <w:spacing w:after="0" w:line="240" w:lineRule="auto"/>
              <w:jc w:val="both"/>
              <w:rPr>
                <w:rFonts w:ascii="Times New Roman" w:eastAsia="Calibri" w:hAnsi="Times New Roman"/>
                <w:sz w:val="20"/>
                <w:szCs w:val="20"/>
              </w:rPr>
            </w:pPr>
          </w:p>
        </w:tc>
        <w:tc>
          <w:tcPr>
            <w:tcW w:w="2016" w:type="pct"/>
          </w:tcPr>
          <w:p w14:paraId="345F1D16" w14:textId="77777777" w:rsidR="003A7C1B" w:rsidRPr="000860EB" w:rsidRDefault="003A7C1B" w:rsidP="00250DAC">
            <w:pPr>
              <w:spacing w:after="0" w:line="240" w:lineRule="auto"/>
              <w:jc w:val="center"/>
              <w:rPr>
                <w:rFonts w:ascii="Times New Roman" w:eastAsia="Calibri" w:hAnsi="Times New Roman"/>
                <w:b/>
                <w:sz w:val="20"/>
                <w:szCs w:val="20"/>
              </w:rPr>
            </w:pPr>
            <w:r w:rsidRPr="000860EB">
              <w:rPr>
                <w:rFonts w:ascii="Times New Roman" w:eastAsia="Calibri" w:hAnsi="Times New Roman"/>
                <w:b/>
                <w:sz w:val="20"/>
                <w:szCs w:val="20"/>
              </w:rPr>
              <w:t>Total</w:t>
            </w:r>
          </w:p>
        </w:tc>
        <w:tc>
          <w:tcPr>
            <w:tcW w:w="1496" w:type="pct"/>
          </w:tcPr>
          <w:p w14:paraId="3FEBA6D0" w14:textId="77777777" w:rsidR="003A7C1B" w:rsidRPr="000860EB" w:rsidRDefault="003A7C1B" w:rsidP="00250DAC">
            <w:pPr>
              <w:spacing w:after="0" w:line="240" w:lineRule="auto"/>
              <w:jc w:val="center"/>
              <w:rPr>
                <w:rFonts w:ascii="Times New Roman" w:eastAsia="Calibri" w:hAnsi="Times New Roman"/>
                <w:b/>
                <w:sz w:val="20"/>
                <w:szCs w:val="20"/>
              </w:rPr>
            </w:pPr>
            <w:r w:rsidRPr="000860EB">
              <w:rPr>
                <w:rFonts w:ascii="Times New Roman" w:eastAsia="Calibri" w:hAnsi="Times New Roman"/>
                <w:b/>
                <w:sz w:val="20"/>
                <w:szCs w:val="20"/>
              </w:rPr>
              <w:t>2,10,000</w:t>
            </w:r>
          </w:p>
        </w:tc>
      </w:tr>
    </w:tbl>
    <w:p w14:paraId="0870D0D1" w14:textId="77777777" w:rsidR="003A7C1B" w:rsidRPr="000860EB" w:rsidRDefault="003A7C1B" w:rsidP="003A7C1B">
      <w:pPr>
        <w:pStyle w:val="ListParagraph"/>
        <w:spacing w:line="240" w:lineRule="auto"/>
        <w:ind w:left="607"/>
        <w:jc w:val="both"/>
        <w:rPr>
          <w:i/>
          <w:sz w:val="20"/>
          <w:szCs w:val="20"/>
        </w:rPr>
      </w:pPr>
    </w:p>
    <w:p w14:paraId="6B078810" w14:textId="77777777" w:rsidR="003A7C1B" w:rsidRPr="000860EB" w:rsidRDefault="003A7C1B" w:rsidP="00F038BD">
      <w:pPr>
        <w:pStyle w:val="ListParagraph"/>
        <w:numPr>
          <w:ilvl w:val="0"/>
          <w:numId w:val="159"/>
        </w:numPr>
        <w:spacing w:line="240" w:lineRule="auto"/>
        <w:ind w:left="607"/>
        <w:jc w:val="both"/>
        <w:rPr>
          <w:i/>
          <w:sz w:val="20"/>
          <w:szCs w:val="20"/>
        </w:rPr>
      </w:pPr>
      <w:r w:rsidRPr="000860EB">
        <w:rPr>
          <w:i/>
          <w:sz w:val="20"/>
          <w:szCs w:val="20"/>
        </w:rPr>
        <w:t xml:space="preserve">Details of Acquisition by </w:t>
      </w:r>
      <w:r w:rsidRPr="008813C5">
        <w:rPr>
          <w:i/>
          <w:sz w:val="20"/>
          <w:szCs w:val="20"/>
        </w:rPr>
        <w:t xml:space="preserve">Bhavesh Ramgopal Maheshwari </w:t>
      </w:r>
      <w:r w:rsidRPr="000860EB">
        <w:rPr>
          <w:i/>
          <w:sz w:val="20"/>
          <w:szCs w:val="20"/>
        </w:rPr>
        <w:t xml:space="preserve">by way of </w:t>
      </w:r>
      <w:r w:rsidRPr="000860EB">
        <w:rPr>
          <w:i/>
          <w:sz w:val="20"/>
          <w:szCs w:val="20"/>
          <w:lang w:val="en-US"/>
        </w:rPr>
        <w:t>gift</w:t>
      </w:r>
      <w:r w:rsidRPr="000860EB">
        <w:rPr>
          <w:i/>
          <w:sz w:val="20"/>
          <w:szCs w:val="20"/>
        </w:rPr>
        <w:t xml:space="preserve"> of </w:t>
      </w:r>
      <w:r w:rsidRPr="000860EB">
        <w:rPr>
          <w:i/>
          <w:sz w:val="20"/>
          <w:szCs w:val="20"/>
          <w:lang w:val="en-US"/>
        </w:rPr>
        <w:t>1,60,000</w:t>
      </w:r>
      <w:r w:rsidRPr="000860EB">
        <w:rPr>
          <w:i/>
          <w:sz w:val="20"/>
          <w:szCs w:val="20"/>
        </w:rPr>
        <w:t xml:space="preserve"> equity shares.</w:t>
      </w:r>
    </w:p>
    <w:p w14:paraId="1AFBB91D" w14:textId="77777777" w:rsidR="003A7C1B" w:rsidRPr="000860EB" w:rsidRDefault="003A7C1B" w:rsidP="003A7C1B">
      <w:pPr>
        <w:pStyle w:val="ListParagraph"/>
        <w:spacing w:line="240" w:lineRule="auto"/>
        <w:ind w:left="607"/>
        <w:jc w:val="both"/>
        <w:rPr>
          <w:i/>
          <w:sz w:val="20"/>
          <w:szCs w:val="20"/>
        </w:rPr>
      </w:pPr>
    </w:p>
    <w:tbl>
      <w:tblPr>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6"/>
        <w:gridCol w:w="2066"/>
        <w:gridCol w:w="4216"/>
        <w:gridCol w:w="3128"/>
      </w:tblGrid>
      <w:tr w:rsidR="003A7C1B" w:rsidRPr="000860EB" w14:paraId="6709B3CF" w14:textId="77777777" w:rsidTr="00250DAC">
        <w:trPr>
          <w:tblHeader/>
        </w:trPr>
        <w:tc>
          <w:tcPr>
            <w:tcW w:w="500" w:type="pct"/>
            <w:shd w:val="clear" w:color="auto" w:fill="D0CECE" w:themeFill="background2" w:themeFillShade="E6"/>
          </w:tcPr>
          <w:p w14:paraId="45F94535" w14:textId="77777777" w:rsidR="003A7C1B" w:rsidRPr="000860EB" w:rsidRDefault="003A7C1B" w:rsidP="00250DAC">
            <w:pPr>
              <w:spacing w:after="0" w:line="240" w:lineRule="auto"/>
              <w:ind w:right="-46"/>
              <w:jc w:val="center"/>
              <w:rPr>
                <w:rFonts w:ascii="Times New Roman" w:eastAsia="Calibri" w:hAnsi="Times New Roman"/>
                <w:b/>
                <w:sz w:val="20"/>
                <w:szCs w:val="20"/>
              </w:rPr>
            </w:pPr>
            <w:r w:rsidRPr="000860EB">
              <w:rPr>
                <w:rFonts w:ascii="Times New Roman" w:eastAsia="Calibri" w:hAnsi="Times New Roman"/>
                <w:b/>
                <w:sz w:val="20"/>
                <w:szCs w:val="20"/>
              </w:rPr>
              <w:t>Sr. No.</w:t>
            </w:r>
          </w:p>
        </w:tc>
        <w:tc>
          <w:tcPr>
            <w:tcW w:w="988" w:type="pct"/>
            <w:shd w:val="clear" w:color="auto" w:fill="D0CECE" w:themeFill="background2" w:themeFillShade="E6"/>
          </w:tcPr>
          <w:p w14:paraId="06E0DA86" w14:textId="77777777" w:rsidR="003A7C1B" w:rsidRPr="000860EB" w:rsidRDefault="003A7C1B" w:rsidP="00250DAC">
            <w:pPr>
              <w:spacing w:after="0" w:line="240" w:lineRule="auto"/>
              <w:ind w:right="-46"/>
              <w:jc w:val="center"/>
              <w:rPr>
                <w:rFonts w:ascii="Times New Roman" w:eastAsia="Calibri" w:hAnsi="Times New Roman"/>
                <w:b/>
                <w:sz w:val="20"/>
                <w:szCs w:val="20"/>
              </w:rPr>
            </w:pPr>
            <w:r w:rsidRPr="000860EB">
              <w:rPr>
                <w:rFonts w:ascii="Times New Roman" w:eastAsia="Calibri" w:hAnsi="Times New Roman"/>
                <w:b/>
                <w:sz w:val="20"/>
                <w:szCs w:val="20"/>
              </w:rPr>
              <w:t xml:space="preserve">Date of Transfer </w:t>
            </w:r>
          </w:p>
        </w:tc>
        <w:tc>
          <w:tcPr>
            <w:tcW w:w="2016" w:type="pct"/>
            <w:shd w:val="clear" w:color="auto" w:fill="D0CECE" w:themeFill="background2" w:themeFillShade="E6"/>
          </w:tcPr>
          <w:p w14:paraId="7B2BF91A" w14:textId="77777777" w:rsidR="003A7C1B" w:rsidRPr="000860EB" w:rsidRDefault="003A7C1B" w:rsidP="00250DAC">
            <w:pPr>
              <w:spacing w:after="0" w:line="240" w:lineRule="auto"/>
              <w:ind w:right="-46"/>
              <w:jc w:val="center"/>
              <w:rPr>
                <w:rFonts w:ascii="Times New Roman" w:eastAsia="Calibri" w:hAnsi="Times New Roman"/>
                <w:b/>
                <w:sz w:val="20"/>
                <w:szCs w:val="20"/>
              </w:rPr>
            </w:pPr>
            <w:r w:rsidRPr="000860EB">
              <w:rPr>
                <w:rFonts w:ascii="Times New Roman" w:eastAsia="Calibri" w:hAnsi="Times New Roman"/>
                <w:b/>
                <w:sz w:val="20"/>
                <w:szCs w:val="20"/>
              </w:rPr>
              <w:t>Name of Transfer</w:t>
            </w:r>
            <w:r>
              <w:rPr>
                <w:rFonts w:ascii="Times New Roman" w:eastAsia="Calibri" w:hAnsi="Times New Roman"/>
                <w:b/>
                <w:sz w:val="20"/>
                <w:szCs w:val="20"/>
              </w:rPr>
              <w:t>or</w:t>
            </w:r>
          </w:p>
        </w:tc>
        <w:tc>
          <w:tcPr>
            <w:tcW w:w="1496" w:type="pct"/>
            <w:shd w:val="clear" w:color="auto" w:fill="D0CECE" w:themeFill="background2" w:themeFillShade="E6"/>
          </w:tcPr>
          <w:p w14:paraId="61006403" w14:textId="77777777" w:rsidR="003A7C1B" w:rsidRPr="000860EB" w:rsidRDefault="003A7C1B" w:rsidP="00250DAC">
            <w:pPr>
              <w:spacing w:after="0" w:line="240" w:lineRule="auto"/>
              <w:ind w:right="-46"/>
              <w:jc w:val="center"/>
              <w:rPr>
                <w:rFonts w:ascii="Times New Roman" w:eastAsia="Calibri" w:hAnsi="Times New Roman"/>
                <w:b/>
                <w:sz w:val="20"/>
                <w:szCs w:val="20"/>
              </w:rPr>
            </w:pPr>
            <w:r w:rsidRPr="000860EB">
              <w:rPr>
                <w:rFonts w:ascii="Times New Roman" w:eastAsia="Calibri" w:hAnsi="Times New Roman"/>
                <w:b/>
                <w:sz w:val="20"/>
                <w:szCs w:val="20"/>
              </w:rPr>
              <w:t>No. of Share Transfer</w:t>
            </w:r>
          </w:p>
        </w:tc>
      </w:tr>
      <w:tr w:rsidR="003A7C1B" w:rsidRPr="000860EB" w14:paraId="5628FFA7" w14:textId="77777777" w:rsidTr="00250DAC">
        <w:tc>
          <w:tcPr>
            <w:tcW w:w="500" w:type="pct"/>
          </w:tcPr>
          <w:p w14:paraId="7A43FB8A"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1.</w:t>
            </w:r>
          </w:p>
        </w:tc>
        <w:tc>
          <w:tcPr>
            <w:tcW w:w="988" w:type="pct"/>
          </w:tcPr>
          <w:p w14:paraId="1D15DA31" w14:textId="77777777" w:rsidR="003A7C1B" w:rsidRPr="000860EB" w:rsidRDefault="003A7C1B" w:rsidP="00250DAC">
            <w:pPr>
              <w:spacing w:after="0" w:line="240" w:lineRule="auto"/>
              <w:jc w:val="both"/>
              <w:rPr>
                <w:rFonts w:ascii="Times New Roman" w:eastAsia="Calibri" w:hAnsi="Times New Roman"/>
                <w:sz w:val="20"/>
                <w:szCs w:val="20"/>
              </w:rPr>
            </w:pPr>
            <w:r w:rsidRPr="000860EB">
              <w:rPr>
                <w:rFonts w:ascii="Times New Roman" w:eastAsia="Calibri" w:hAnsi="Times New Roman"/>
                <w:sz w:val="20"/>
                <w:szCs w:val="20"/>
              </w:rPr>
              <w:t>June 20, 2023</w:t>
            </w:r>
          </w:p>
        </w:tc>
        <w:tc>
          <w:tcPr>
            <w:tcW w:w="2016" w:type="pct"/>
          </w:tcPr>
          <w:p w14:paraId="6A60436B" w14:textId="77777777" w:rsidR="003A7C1B" w:rsidRPr="000860EB" w:rsidRDefault="003A7C1B" w:rsidP="00250DAC">
            <w:pPr>
              <w:spacing w:after="0" w:line="240" w:lineRule="auto"/>
              <w:jc w:val="both"/>
              <w:rPr>
                <w:rFonts w:ascii="Times New Roman" w:eastAsia="Calibri" w:hAnsi="Times New Roman"/>
                <w:sz w:val="20"/>
                <w:szCs w:val="20"/>
              </w:rPr>
            </w:pPr>
            <w:r w:rsidRPr="000860EB">
              <w:rPr>
                <w:rFonts w:ascii="Times New Roman" w:eastAsia="Calibri" w:hAnsi="Times New Roman"/>
                <w:sz w:val="20"/>
                <w:szCs w:val="20"/>
              </w:rPr>
              <w:t>Ramgopal Ochhavlal Maheswari</w:t>
            </w:r>
          </w:p>
        </w:tc>
        <w:tc>
          <w:tcPr>
            <w:tcW w:w="1496" w:type="pct"/>
          </w:tcPr>
          <w:p w14:paraId="0A0753DD"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1,60,000</w:t>
            </w:r>
          </w:p>
        </w:tc>
      </w:tr>
      <w:tr w:rsidR="003A7C1B" w:rsidRPr="000860EB" w14:paraId="4289EAD1" w14:textId="77777777" w:rsidTr="00250DAC">
        <w:tc>
          <w:tcPr>
            <w:tcW w:w="500" w:type="pct"/>
          </w:tcPr>
          <w:p w14:paraId="7DE4969C" w14:textId="77777777" w:rsidR="003A7C1B" w:rsidRPr="000860EB" w:rsidRDefault="003A7C1B" w:rsidP="00250DAC">
            <w:pPr>
              <w:spacing w:after="0" w:line="240" w:lineRule="auto"/>
              <w:jc w:val="center"/>
              <w:rPr>
                <w:rFonts w:ascii="Times New Roman" w:eastAsia="Calibri" w:hAnsi="Times New Roman"/>
                <w:sz w:val="20"/>
                <w:szCs w:val="20"/>
              </w:rPr>
            </w:pPr>
          </w:p>
        </w:tc>
        <w:tc>
          <w:tcPr>
            <w:tcW w:w="988" w:type="pct"/>
          </w:tcPr>
          <w:p w14:paraId="4572E2EC" w14:textId="77777777" w:rsidR="003A7C1B" w:rsidRPr="000860EB" w:rsidRDefault="003A7C1B" w:rsidP="00250DAC">
            <w:pPr>
              <w:spacing w:after="0" w:line="240" w:lineRule="auto"/>
              <w:jc w:val="both"/>
              <w:rPr>
                <w:rFonts w:ascii="Times New Roman" w:eastAsia="Calibri" w:hAnsi="Times New Roman"/>
                <w:sz w:val="20"/>
                <w:szCs w:val="20"/>
              </w:rPr>
            </w:pPr>
          </w:p>
        </w:tc>
        <w:tc>
          <w:tcPr>
            <w:tcW w:w="2016" w:type="pct"/>
          </w:tcPr>
          <w:p w14:paraId="63784223" w14:textId="77777777" w:rsidR="003A7C1B" w:rsidRPr="000860EB" w:rsidRDefault="003A7C1B" w:rsidP="00250DAC">
            <w:pPr>
              <w:spacing w:after="0" w:line="240" w:lineRule="auto"/>
              <w:jc w:val="center"/>
              <w:rPr>
                <w:rFonts w:ascii="Times New Roman" w:eastAsia="Calibri" w:hAnsi="Times New Roman"/>
                <w:b/>
                <w:sz w:val="20"/>
                <w:szCs w:val="20"/>
              </w:rPr>
            </w:pPr>
            <w:r w:rsidRPr="000860EB">
              <w:rPr>
                <w:rFonts w:ascii="Times New Roman" w:eastAsia="Calibri" w:hAnsi="Times New Roman"/>
                <w:b/>
                <w:sz w:val="20"/>
                <w:szCs w:val="20"/>
              </w:rPr>
              <w:t>Total</w:t>
            </w:r>
          </w:p>
        </w:tc>
        <w:tc>
          <w:tcPr>
            <w:tcW w:w="1496" w:type="pct"/>
          </w:tcPr>
          <w:p w14:paraId="178E20B8" w14:textId="77777777" w:rsidR="003A7C1B" w:rsidRPr="000860EB" w:rsidRDefault="003A7C1B" w:rsidP="00250DAC">
            <w:pPr>
              <w:spacing w:after="0" w:line="240" w:lineRule="auto"/>
              <w:jc w:val="center"/>
              <w:rPr>
                <w:rFonts w:ascii="Times New Roman" w:eastAsia="Calibri" w:hAnsi="Times New Roman"/>
                <w:b/>
                <w:sz w:val="20"/>
                <w:szCs w:val="20"/>
              </w:rPr>
            </w:pPr>
            <w:r w:rsidRPr="000860EB">
              <w:rPr>
                <w:rFonts w:ascii="Times New Roman" w:eastAsia="Calibri" w:hAnsi="Times New Roman"/>
                <w:b/>
                <w:sz w:val="20"/>
                <w:szCs w:val="20"/>
              </w:rPr>
              <w:t>1,60,000</w:t>
            </w:r>
          </w:p>
        </w:tc>
      </w:tr>
    </w:tbl>
    <w:p w14:paraId="400221B4" w14:textId="77777777" w:rsidR="003A7C1B" w:rsidRDefault="003A7C1B" w:rsidP="003A7C1B">
      <w:pPr>
        <w:pStyle w:val="ListParagraph"/>
        <w:spacing w:line="240" w:lineRule="auto"/>
        <w:ind w:left="607"/>
        <w:jc w:val="both"/>
        <w:rPr>
          <w:i/>
          <w:sz w:val="20"/>
          <w:szCs w:val="20"/>
        </w:rPr>
      </w:pPr>
    </w:p>
    <w:p w14:paraId="2CD3BEB3" w14:textId="77777777" w:rsidR="003A7C1B" w:rsidRPr="000860EB" w:rsidRDefault="003A7C1B" w:rsidP="00F038BD">
      <w:pPr>
        <w:pStyle w:val="ListParagraph"/>
        <w:numPr>
          <w:ilvl w:val="0"/>
          <w:numId w:val="159"/>
        </w:numPr>
        <w:spacing w:line="240" w:lineRule="auto"/>
        <w:ind w:left="607"/>
        <w:jc w:val="both"/>
        <w:rPr>
          <w:i/>
          <w:sz w:val="20"/>
          <w:szCs w:val="20"/>
        </w:rPr>
      </w:pPr>
      <w:r w:rsidRPr="000860EB">
        <w:rPr>
          <w:i/>
          <w:sz w:val="20"/>
          <w:szCs w:val="20"/>
        </w:rPr>
        <w:t xml:space="preserve">Details of </w:t>
      </w:r>
      <w:r>
        <w:rPr>
          <w:i/>
          <w:sz w:val="20"/>
          <w:szCs w:val="20"/>
          <w:lang w:val="en-US"/>
        </w:rPr>
        <w:t>transfer of shares</w:t>
      </w:r>
      <w:r w:rsidRPr="000860EB">
        <w:rPr>
          <w:i/>
          <w:sz w:val="20"/>
          <w:szCs w:val="20"/>
        </w:rPr>
        <w:t xml:space="preserve"> by </w:t>
      </w:r>
      <w:r w:rsidRPr="008813C5">
        <w:rPr>
          <w:i/>
          <w:sz w:val="20"/>
          <w:szCs w:val="20"/>
        </w:rPr>
        <w:t xml:space="preserve">Bhavesh Ramgopal Maheshwari </w:t>
      </w:r>
      <w:r w:rsidRPr="000860EB">
        <w:rPr>
          <w:i/>
          <w:sz w:val="20"/>
          <w:szCs w:val="20"/>
        </w:rPr>
        <w:t xml:space="preserve">by way of </w:t>
      </w:r>
      <w:r w:rsidRPr="000860EB">
        <w:rPr>
          <w:i/>
          <w:sz w:val="20"/>
          <w:szCs w:val="20"/>
          <w:lang w:val="en-US"/>
        </w:rPr>
        <w:t>gift</w:t>
      </w:r>
      <w:r w:rsidRPr="000860EB">
        <w:rPr>
          <w:i/>
          <w:sz w:val="20"/>
          <w:szCs w:val="20"/>
        </w:rPr>
        <w:t xml:space="preserve"> of </w:t>
      </w:r>
      <w:r>
        <w:rPr>
          <w:i/>
          <w:sz w:val="20"/>
          <w:szCs w:val="20"/>
          <w:lang w:val="en-US"/>
        </w:rPr>
        <w:t>1</w:t>
      </w:r>
      <w:r w:rsidRPr="000860EB">
        <w:rPr>
          <w:i/>
          <w:sz w:val="20"/>
          <w:szCs w:val="20"/>
          <w:lang w:val="en-US"/>
        </w:rPr>
        <w:t>0,000</w:t>
      </w:r>
      <w:r w:rsidRPr="000860EB">
        <w:rPr>
          <w:i/>
          <w:sz w:val="20"/>
          <w:szCs w:val="20"/>
        </w:rPr>
        <w:t xml:space="preserve"> equity shares.</w:t>
      </w:r>
    </w:p>
    <w:p w14:paraId="5247975E" w14:textId="77777777" w:rsidR="003A7C1B" w:rsidRPr="000860EB" w:rsidRDefault="003A7C1B" w:rsidP="003A7C1B">
      <w:pPr>
        <w:pStyle w:val="ListParagraph"/>
        <w:spacing w:line="240" w:lineRule="auto"/>
        <w:ind w:left="607"/>
        <w:jc w:val="both"/>
        <w:rPr>
          <w:i/>
          <w:sz w:val="20"/>
          <w:szCs w:val="20"/>
        </w:rPr>
      </w:pPr>
    </w:p>
    <w:tbl>
      <w:tblPr>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6"/>
        <w:gridCol w:w="2066"/>
        <w:gridCol w:w="4216"/>
        <w:gridCol w:w="3128"/>
      </w:tblGrid>
      <w:tr w:rsidR="003A7C1B" w:rsidRPr="000860EB" w14:paraId="5761A9DD" w14:textId="77777777" w:rsidTr="00250DAC">
        <w:tc>
          <w:tcPr>
            <w:tcW w:w="500" w:type="pct"/>
            <w:shd w:val="clear" w:color="auto" w:fill="D0CECE" w:themeFill="background2" w:themeFillShade="E6"/>
          </w:tcPr>
          <w:p w14:paraId="1F86CFC9" w14:textId="77777777" w:rsidR="003A7C1B" w:rsidRPr="000860EB" w:rsidRDefault="003A7C1B" w:rsidP="00250DAC">
            <w:pPr>
              <w:spacing w:after="0" w:line="240" w:lineRule="auto"/>
              <w:ind w:right="-46"/>
              <w:jc w:val="center"/>
              <w:rPr>
                <w:rFonts w:ascii="Times New Roman" w:eastAsia="Calibri" w:hAnsi="Times New Roman"/>
                <w:b/>
                <w:sz w:val="20"/>
                <w:szCs w:val="20"/>
              </w:rPr>
            </w:pPr>
            <w:r w:rsidRPr="000860EB">
              <w:rPr>
                <w:rFonts w:ascii="Times New Roman" w:eastAsia="Calibri" w:hAnsi="Times New Roman"/>
                <w:b/>
                <w:sz w:val="20"/>
                <w:szCs w:val="20"/>
              </w:rPr>
              <w:t>Sr. No.</w:t>
            </w:r>
          </w:p>
        </w:tc>
        <w:tc>
          <w:tcPr>
            <w:tcW w:w="988" w:type="pct"/>
            <w:shd w:val="clear" w:color="auto" w:fill="D0CECE" w:themeFill="background2" w:themeFillShade="E6"/>
          </w:tcPr>
          <w:p w14:paraId="11DE154F" w14:textId="77777777" w:rsidR="003A7C1B" w:rsidRPr="000860EB" w:rsidRDefault="003A7C1B" w:rsidP="00250DAC">
            <w:pPr>
              <w:spacing w:after="0" w:line="240" w:lineRule="auto"/>
              <w:ind w:right="-46"/>
              <w:jc w:val="center"/>
              <w:rPr>
                <w:rFonts w:ascii="Times New Roman" w:eastAsia="Calibri" w:hAnsi="Times New Roman"/>
                <w:b/>
                <w:sz w:val="20"/>
                <w:szCs w:val="20"/>
              </w:rPr>
            </w:pPr>
            <w:r w:rsidRPr="000860EB">
              <w:rPr>
                <w:rFonts w:ascii="Times New Roman" w:eastAsia="Calibri" w:hAnsi="Times New Roman"/>
                <w:b/>
                <w:sz w:val="20"/>
                <w:szCs w:val="20"/>
              </w:rPr>
              <w:t xml:space="preserve">Date of Transfer </w:t>
            </w:r>
          </w:p>
        </w:tc>
        <w:tc>
          <w:tcPr>
            <w:tcW w:w="2016" w:type="pct"/>
            <w:shd w:val="clear" w:color="auto" w:fill="D0CECE" w:themeFill="background2" w:themeFillShade="E6"/>
          </w:tcPr>
          <w:p w14:paraId="0FE42F86" w14:textId="77777777" w:rsidR="003A7C1B" w:rsidRPr="000860EB" w:rsidRDefault="003A7C1B" w:rsidP="00250DAC">
            <w:pPr>
              <w:spacing w:after="0" w:line="240" w:lineRule="auto"/>
              <w:ind w:right="-46"/>
              <w:jc w:val="center"/>
              <w:rPr>
                <w:rFonts w:ascii="Times New Roman" w:eastAsia="Calibri" w:hAnsi="Times New Roman"/>
                <w:b/>
                <w:sz w:val="20"/>
                <w:szCs w:val="20"/>
              </w:rPr>
            </w:pPr>
            <w:r w:rsidRPr="000860EB">
              <w:rPr>
                <w:rFonts w:ascii="Times New Roman" w:eastAsia="Calibri" w:hAnsi="Times New Roman"/>
                <w:b/>
                <w:sz w:val="20"/>
                <w:szCs w:val="20"/>
              </w:rPr>
              <w:t>Name of Transferee</w:t>
            </w:r>
          </w:p>
        </w:tc>
        <w:tc>
          <w:tcPr>
            <w:tcW w:w="1496" w:type="pct"/>
            <w:shd w:val="clear" w:color="auto" w:fill="D0CECE" w:themeFill="background2" w:themeFillShade="E6"/>
          </w:tcPr>
          <w:p w14:paraId="3FFFE785" w14:textId="77777777" w:rsidR="003A7C1B" w:rsidRPr="000860EB" w:rsidRDefault="003A7C1B" w:rsidP="00250DAC">
            <w:pPr>
              <w:spacing w:after="0" w:line="240" w:lineRule="auto"/>
              <w:ind w:right="-46"/>
              <w:jc w:val="center"/>
              <w:rPr>
                <w:rFonts w:ascii="Times New Roman" w:eastAsia="Calibri" w:hAnsi="Times New Roman"/>
                <w:b/>
                <w:sz w:val="20"/>
                <w:szCs w:val="20"/>
              </w:rPr>
            </w:pPr>
            <w:r w:rsidRPr="000860EB">
              <w:rPr>
                <w:rFonts w:ascii="Times New Roman" w:eastAsia="Calibri" w:hAnsi="Times New Roman"/>
                <w:b/>
                <w:sz w:val="20"/>
                <w:szCs w:val="20"/>
              </w:rPr>
              <w:t>No. of Share Transfer</w:t>
            </w:r>
          </w:p>
        </w:tc>
      </w:tr>
      <w:tr w:rsidR="003A7C1B" w:rsidRPr="000860EB" w14:paraId="5E07C8A3" w14:textId="77777777" w:rsidTr="00250DAC">
        <w:tc>
          <w:tcPr>
            <w:tcW w:w="500" w:type="pct"/>
          </w:tcPr>
          <w:p w14:paraId="58BE673D"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1.</w:t>
            </w:r>
          </w:p>
        </w:tc>
        <w:tc>
          <w:tcPr>
            <w:tcW w:w="988" w:type="pct"/>
          </w:tcPr>
          <w:p w14:paraId="1B8B74D7" w14:textId="77777777" w:rsidR="003A7C1B" w:rsidRPr="000860EB" w:rsidRDefault="003A7C1B" w:rsidP="00250DAC">
            <w:pPr>
              <w:spacing w:after="0" w:line="240" w:lineRule="auto"/>
              <w:jc w:val="both"/>
              <w:rPr>
                <w:rFonts w:ascii="Times New Roman" w:eastAsia="Calibri" w:hAnsi="Times New Roman"/>
                <w:sz w:val="20"/>
                <w:szCs w:val="20"/>
              </w:rPr>
            </w:pPr>
            <w:r>
              <w:rPr>
                <w:rFonts w:ascii="Times New Roman" w:eastAsia="Calibri" w:hAnsi="Times New Roman"/>
                <w:sz w:val="20"/>
                <w:szCs w:val="20"/>
              </w:rPr>
              <w:t>August 16, 2023</w:t>
            </w:r>
          </w:p>
        </w:tc>
        <w:tc>
          <w:tcPr>
            <w:tcW w:w="2016" w:type="pct"/>
          </w:tcPr>
          <w:p w14:paraId="500E223D" w14:textId="77777777" w:rsidR="003A7C1B" w:rsidRPr="000860EB" w:rsidRDefault="003A7C1B" w:rsidP="00250DAC">
            <w:pPr>
              <w:spacing w:after="0" w:line="240" w:lineRule="auto"/>
              <w:jc w:val="both"/>
              <w:rPr>
                <w:rFonts w:ascii="Times New Roman" w:eastAsia="Calibri" w:hAnsi="Times New Roman"/>
                <w:sz w:val="20"/>
                <w:szCs w:val="20"/>
              </w:rPr>
            </w:pPr>
            <w:r w:rsidRPr="008813C5">
              <w:rPr>
                <w:rFonts w:ascii="Times New Roman" w:eastAsia="Calibri" w:hAnsi="Times New Roman"/>
                <w:sz w:val="20"/>
                <w:szCs w:val="20"/>
              </w:rPr>
              <w:t>Bhavesh Ramgopal Maheshwari</w:t>
            </w:r>
            <w:r>
              <w:rPr>
                <w:rFonts w:ascii="Times New Roman" w:eastAsia="Calibri" w:hAnsi="Times New Roman"/>
                <w:sz w:val="20"/>
                <w:szCs w:val="20"/>
              </w:rPr>
              <w:t xml:space="preserve"> HUF</w:t>
            </w:r>
          </w:p>
        </w:tc>
        <w:tc>
          <w:tcPr>
            <w:tcW w:w="1496" w:type="pct"/>
          </w:tcPr>
          <w:p w14:paraId="49445899" w14:textId="77777777" w:rsidR="003A7C1B" w:rsidRPr="000860EB" w:rsidRDefault="003A7C1B" w:rsidP="00250DAC">
            <w:pPr>
              <w:spacing w:after="0" w:line="240" w:lineRule="auto"/>
              <w:jc w:val="center"/>
              <w:rPr>
                <w:rFonts w:ascii="Times New Roman" w:eastAsia="Calibri" w:hAnsi="Times New Roman"/>
                <w:sz w:val="20"/>
                <w:szCs w:val="20"/>
              </w:rPr>
            </w:pPr>
            <w:r>
              <w:rPr>
                <w:rFonts w:ascii="Times New Roman" w:eastAsia="Calibri" w:hAnsi="Times New Roman"/>
                <w:sz w:val="20"/>
                <w:szCs w:val="20"/>
              </w:rPr>
              <w:t>10,000</w:t>
            </w:r>
          </w:p>
        </w:tc>
      </w:tr>
      <w:tr w:rsidR="003A7C1B" w:rsidRPr="000860EB" w14:paraId="6BA5A17B" w14:textId="77777777" w:rsidTr="00250DAC">
        <w:tc>
          <w:tcPr>
            <w:tcW w:w="500" w:type="pct"/>
          </w:tcPr>
          <w:p w14:paraId="6BA8F3FF" w14:textId="77777777" w:rsidR="003A7C1B" w:rsidRPr="000860EB" w:rsidRDefault="003A7C1B" w:rsidP="00250DAC">
            <w:pPr>
              <w:spacing w:after="0" w:line="240" w:lineRule="auto"/>
              <w:jc w:val="center"/>
              <w:rPr>
                <w:rFonts w:ascii="Times New Roman" w:eastAsia="Calibri" w:hAnsi="Times New Roman"/>
                <w:sz w:val="20"/>
                <w:szCs w:val="20"/>
              </w:rPr>
            </w:pPr>
          </w:p>
        </w:tc>
        <w:tc>
          <w:tcPr>
            <w:tcW w:w="988" w:type="pct"/>
          </w:tcPr>
          <w:p w14:paraId="4BA57539" w14:textId="77777777" w:rsidR="003A7C1B" w:rsidRPr="000860EB" w:rsidRDefault="003A7C1B" w:rsidP="00250DAC">
            <w:pPr>
              <w:spacing w:after="0" w:line="240" w:lineRule="auto"/>
              <w:jc w:val="both"/>
              <w:rPr>
                <w:rFonts w:ascii="Times New Roman" w:eastAsia="Calibri" w:hAnsi="Times New Roman"/>
                <w:sz w:val="20"/>
                <w:szCs w:val="20"/>
              </w:rPr>
            </w:pPr>
          </w:p>
        </w:tc>
        <w:tc>
          <w:tcPr>
            <w:tcW w:w="2016" w:type="pct"/>
          </w:tcPr>
          <w:p w14:paraId="258EE1A7" w14:textId="77777777" w:rsidR="003A7C1B" w:rsidRPr="000860EB" w:rsidRDefault="003A7C1B" w:rsidP="00250DAC">
            <w:pPr>
              <w:spacing w:after="0" w:line="240" w:lineRule="auto"/>
              <w:jc w:val="center"/>
              <w:rPr>
                <w:rFonts w:ascii="Times New Roman" w:eastAsia="Calibri" w:hAnsi="Times New Roman"/>
                <w:b/>
                <w:sz w:val="20"/>
                <w:szCs w:val="20"/>
              </w:rPr>
            </w:pPr>
            <w:r w:rsidRPr="000860EB">
              <w:rPr>
                <w:rFonts w:ascii="Times New Roman" w:eastAsia="Calibri" w:hAnsi="Times New Roman"/>
                <w:b/>
                <w:sz w:val="20"/>
                <w:szCs w:val="20"/>
              </w:rPr>
              <w:t>Total</w:t>
            </w:r>
          </w:p>
        </w:tc>
        <w:tc>
          <w:tcPr>
            <w:tcW w:w="1496" w:type="pct"/>
          </w:tcPr>
          <w:p w14:paraId="75738441" w14:textId="77777777" w:rsidR="003A7C1B" w:rsidRPr="000860EB" w:rsidRDefault="003A7C1B" w:rsidP="00250DAC">
            <w:pPr>
              <w:spacing w:after="0" w:line="240" w:lineRule="auto"/>
              <w:jc w:val="center"/>
              <w:rPr>
                <w:rFonts w:ascii="Times New Roman" w:eastAsia="Calibri" w:hAnsi="Times New Roman"/>
                <w:b/>
                <w:sz w:val="20"/>
                <w:szCs w:val="20"/>
              </w:rPr>
            </w:pPr>
            <w:r>
              <w:rPr>
                <w:rFonts w:ascii="Times New Roman" w:eastAsia="Calibri" w:hAnsi="Times New Roman"/>
                <w:b/>
                <w:sz w:val="20"/>
                <w:szCs w:val="20"/>
              </w:rPr>
              <w:t>10,000</w:t>
            </w:r>
          </w:p>
        </w:tc>
      </w:tr>
    </w:tbl>
    <w:p w14:paraId="4C30CCDD" w14:textId="77777777" w:rsidR="003A7C1B" w:rsidRDefault="003A7C1B" w:rsidP="003A7C1B">
      <w:pPr>
        <w:pStyle w:val="ListParagraph"/>
        <w:spacing w:line="240" w:lineRule="auto"/>
        <w:ind w:left="607"/>
        <w:jc w:val="both"/>
        <w:rPr>
          <w:i/>
          <w:sz w:val="20"/>
          <w:szCs w:val="20"/>
        </w:rPr>
      </w:pPr>
    </w:p>
    <w:p w14:paraId="1C83368B" w14:textId="77777777" w:rsidR="003A7C1B" w:rsidRDefault="003A7C1B" w:rsidP="003A7C1B">
      <w:pPr>
        <w:pStyle w:val="ListParagraph"/>
        <w:spacing w:line="240" w:lineRule="auto"/>
        <w:ind w:left="607"/>
        <w:jc w:val="both"/>
        <w:rPr>
          <w:i/>
          <w:sz w:val="20"/>
          <w:szCs w:val="20"/>
        </w:rPr>
      </w:pPr>
    </w:p>
    <w:p w14:paraId="07302AC2" w14:textId="77777777" w:rsidR="003A7C1B" w:rsidRPr="000860EB" w:rsidRDefault="003A7C1B" w:rsidP="00F038BD">
      <w:pPr>
        <w:pStyle w:val="ListParagraph"/>
        <w:numPr>
          <w:ilvl w:val="0"/>
          <w:numId w:val="159"/>
        </w:numPr>
        <w:spacing w:line="240" w:lineRule="auto"/>
        <w:ind w:left="607"/>
        <w:jc w:val="both"/>
        <w:rPr>
          <w:i/>
          <w:sz w:val="20"/>
          <w:szCs w:val="20"/>
        </w:rPr>
      </w:pPr>
      <w:r w:rsidRPr="000860EB">
        <w:rPr>
          <w:i/>
          <w:sz w:val="20"/>
          <w:szCs w:val="20"/>
        </w:rPr>
        <w:t xml:space="preserve">Details of </w:t>
      </w:r>
      <w:r>
        <w:rPr>
          <w:i/>
          <w:sz w:val="20"/>
          <w:szCs w:val="20"/>
          <w:lang w:val="en-US"/>
        </w:rPr>
        <w:t xml:space="preserve">Acquisition of 60,000 equity shares </w:t>
      </w:r>
      <w:r w:rsidRPr="000860EB">
        <w:rPr>
          <w:i/>
          <w:sz w:val="20"/>
          <w:szCs w:val="20"/>
        </w:rPr>
        <w:t xml:space="preserve">by </w:t>
      </w:r>
      <w:r w:rsidRPr="008813C5">
        <w:rPr>
          <w:i/>
          <w:sz w:val="20"/>
          <w:szCs w:val="20"/>
        </w:rPr>
        <w:t>Bhavesh Ramgopal Maheshwari</w:t>
      </w:r>
      <w:r w:rsidRPr="000860EB">
        <w:rPr>
          <w:i/>
          <w:sz w:val="20"/>
          <w:szCs w:val="20"/>
        </w:rPr>
        <w:t>.</w:t>
      </w:r>
    </w:p>
    <w:p w14:paraId="5DE4FA3D" w14:textId="77777777" w:rsidR="003A7C1B" w:rsidRPr="000860EB" w:rsidRDefault="003A7C1B" w:rsidP="003A7C1B">
      <w:pPr>
        <w:pStyle w:val="ListParagraph"/>
        <w:spacing w:line="240" w:lineRule="auto"/>
        <w:ind w:left="607"/>
        <w:jc w:val="both"/>
        <w:rPr>
          <w:i/>
          <w:sz w:val="20"/>
          <w:szCs w:val="20"/>
        </w:rPr>
      </w:pPr>
    </w:p>
    <w:tbl>
      <w:tblPr>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6"/>
        <w:gridCol w:w="2066"/>
        <w:gridCol w:w="4216"/>
        <w:gridCol w:w="3128"/>
      </w:tblGrid>
      <w:tr w:rsidR="003A7C1B" w:rsidRPr="000860EB" w14:paraId="16F9AE05" w14:textId="77777777" w:rsidTr="00250DAC">
        <w:tc>
          <w:tcPr>
            <w:tcW w:w="500" w:type="pct"/>
            <w:shd w:val="clear" w:color="auto" w:fill="D0CECE" w:themeFill="background2" w:themeFillShade="E6"/>
          </w:tcPr>
          <w:p w14:paraId="3460E4FB" w14:textId="77777777" w:rsidR="003A7C1B" w:rsidRPr="000860EB" w:rsidRDefault="003A7C1B" w:rsidP="00250DAC">
            <w:pPr>
              <w:spacing w:after="0" w:line="240" w:lineRule="auto"/>
              <w:ind w:right="-46"/>
              <w:jc w:val="center"/>
              <w:rPr>
                <w:rFonts w:ascii="Times New Roman" w:eastAsia="Calibri" w:hAnsi="Times New Roman"/>
                <w:b/>
                <w:sz w:val="20"/>
                <w:szCs w:val="20"/>
              </w:rPr>
            </w:pPr>
            <w:r w:rsidRPr="000860EB">
              <w:rPr>
                <w:rFonts w:ascii="Times New Roman" w:eastAsia="Calibri" w:hAnsi="Times New Roman"/>
                <w:b/>
                <w:sz w:val="20"/>
                <w:szCs w:val="20"/>
              </w:rPr>
              <w:t>Sr. No.</w:t>
            </w:r>
          </w:p>
        </w:tc>
        <w:tc>
          <w:tcPr>
            <w:tcW w:w="988" w:type="pct"/>
            <w:shd w:val="clear" w:color="auto" w:fill="D0CECE" w:themeFill="background2" w:themeFillShade="E6"/>
          </w:tcPr>
          <w:p w14:paraId="043D3D77" w14:textId="77777777" w:rsidR="003A7C1B" w:rsidRPr="000860EB" w:rsidRDefault="003A7C1B" w:rsidP="00250DAC">
            <w:pPr>
              <w:spacing w:after="0" w:line="240" w:lineRule="auto"/>
              <w:ind w:right="-46"/>
              <w:jc w:val="center"/>
              <w:rPr>
                <w:rFonts w:ascii="Times New Roman" w:eastAsia="Calibri" w:hAnsi="Times New Roman"/>
                <w:b/>
                <w:sz w:val="20"/>
                <w:szCs w:val="20"/>
              </w:rPr>
            </w:pPr>
            <w:r w:rsidRPr="000860EB">
              <w:rPr>
                <w:rFonts w:ascii="Times New Roman" w:eastAsia="Calibri" w:hAnsi="Times New Roman"/>
                <w:b/>
                <w:sz w:val="20"/>
                <w:szCs w:val="20"/>
              </w:rPr>
              <w:t xml:space="preserve">Date of Transfer </w:t>
            </w:r>
          </w:p>
        </w:tc>
        <w:tc>
          <w:tcPr>
            <w:tcW w:w="2016" w:type="pct"/>
            <w:shd w:val="clear" w:color="auto" w:fill="D0CECE" w:themeFill="background2" w:themeFillShade="E6"/>
          </w:tcPr>
          <w:p w14:paraId="3C6BAE43" w14:textId="77777777" w:rsidR="003A7C1B" w:rsidRPr="000860EB" w:rsidRDefault="003A7C1B" w:rsidP="00250DAC">
            <w:pPr>
              <w:spacing w:after="0" w:line="240" w:lineRule="auto"/>
              <w:ind w:right="-46"/>
              <w:jc w:val="center"/>
              <w:rPr>
                <w:rFonts w:ascii="Times New Roman" w:eastAsia="Calibri" w:hAnsi="Times New Roman"/>
                <w:b/>
                <w:sz w:val="20"/>
                <w:szCs w:val="20"/>
              </w:rPr>
            </w:pPr>
            <w:r w:rsidRPr="000860EB">
              <w:rPr>
                <w:rFonts w:ascii="Times New Roman" w:eastAsia="Calibri" w:hAnsi="Times New Roman"/>
                <w:b/>
                <w:sz w:val="20"/>
                <w:szCs w:val="20"/>
              </w:rPr>
              <w:t>Name of Transfer</w:t>
            </w:r>
            <w:r>
              <w:rPr>
                <w:rFonts w:ascii="Times New Roman" w:eastAsia="Calibri" w:hAnsi="Times New Roman"/>
                <w:b/>
                <w:sz w:val="20"/>
                <w:szCs w:val="20"/>
              </w:rPr>
              <w:t>or</w:t>
            </w:r>
          </w:p>
        </w:tc>
        <w:tc>
          <w:tcPr>
            <w:tcW w:w="1496" w:type="pct"/>
            <w:shd w:val="clear" w:color="auto" w:fill="D0CECE" w:themeFill="background2" w:themeFillShade="E6"/>
          </w:tcPr>
          <w:p w14:paraId="0A090461" w14:textId="77777777" w:rsidR="003A7C1B" w:rsidRPr="000860EB" w:rsidRDefault="003A7C1B" w:rsidP="00250DAC">
            <w:pPr>
              <w:spacing w:after="0" w:line="240" w:lineRule="auto"/>
              <w:ind w:right="-46"/>
              <w:jc w:val="center"/>
              <w:rPr>
                <w:rFonts w:ascii="Times New Roman" w:eastAsia="Calibri" w:hAnsi="Times New Roman"/>
                <w:b/>
                <w:sz w:val="20"/>
                <w:szCs w:val="20"/>
              </w:rPr>
            </w:pPr>
            <w:r w:rsidRPr="000860EB">
              <w:rPr>
                <w:rFonts w:ascii="Times New Roman" w:eastAsia="Calibri" w:hAnsi="Times New Roman"/>
                <w:b/>
                <w:sz w:val="20"/>
                <w:szCs w:val="20"/>
              </w:rPr>
              <w:t>No. of Share Transfer</w:t>
            </w:r>
          </w:p>
        </w:tc>
      </w:tr>
      <w:tr w:rsidR="003A7C1B" w:rsidRPr="000860EB" w14:paraId="654B89CA" w14:textId="77777777" w:rsidTr="00250DAC">
        <w:tc>
          <w:tcPr>
            <w:tcW w:w="500" w:type="pct"/>
          </w:tcPr>
          <w:p w14:paraId="0395B2D0"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1.</w:t>
            </w:r>
          </w:p>
        </w:tc>
        <w:tc>
          <w:tcPr>
            <w:tcW w:w="988" w:type="pct"/>
          </w:tcPr>
          <w:p w14:paraId="20F9837F" w14:textId="77777777" w:rsidR="003A7C1B" w:rsidRPr="000860EB" w:rsidRDefault="003A7C1B" w:rsidP="00250DAC">
            <w:pPr>
              <w:spacing w:after="0" w:line="240" w:lineRule="auto"/>
              <w:jc w:val="both"/>
              <w:rPr>
                <w:rFonts w:ascii="Times New Roman" w:eastAsia="Calibri" w:hAnsi="Times New Roman"/>
                <w:sz w:val="20"/>
                <w:szCs w:val="20"/>
              </w:rPr>
            </w:pPr>
            <w:r>
              <w:rPr>
                <w:rFonts w:ascii="Times New Roman" w:eastAsia="Calibri" w:hAnsi="Times New Roman"/>
                <w:sz w:val="20"/>
                <w:szCs w:val="20"/>
              </w:rPr>
              <w:t>August 18, 2023</w:t>
            </w:r>
          </w:p>
        </w:tc>
        <w:tc>
          <w:tcPr>
            <w:tcW w:w="2016" w:type="pct"/>
          </w:tcPr>
          <w:p w14:paraId="1F365FE1" w14:textId="77777777" w:rsidR="003A7C1B" w:rsidRPr="000860EB" w:rsidRDefault="003A7C1B" w:rsidP="00250DAC">
            <w:pPr>
              <w:spacing w:after="0" w:line="240" w:lineRule="auto"/>
              <w:jc w:val="both"/>
              <w:rPr>
                <w:rFonts w:ascii="Times New Roman" w:eastAsia="Calibri" w:hAnsi="Times New Roman"/>
                <w:sz w:val="20"/>
                <w:szCs w:val="20"/>
              </w:rPr>
            </w:pPr>
            <w:r w:rsidRPr="008813C5">
              <w:rPr>
                <w:rFonts w:ascii="Times New Roman" w:eastAsia="Calibri" w:hAnsi="Times New Roman"/>
                <w:sz w:val="20"/>
                <w:szCs w:val="20"/>
              </w:rPr>
              <w:t>Dhaval Jinesh Shah</w:t>
            </w:r>
          </w:p>
        </w:tc>
        <w:tc>
          <w:tcPr>
            <w:tcW w:w="1496" w:type="pct"/>
          </w:tcPr>
          <w:p w14:paraId="0408EBD2" w14:textId="77777777" w:rsidR="003A7C1B" w:rsidRPr="000860EB" w:rsidRDefault="003A7C1B" w:rsidP="00250DAC">
            <w:pPr>
              <w:spacing w:after="0" w:line="240" w:lineRule="auto"/>
              <w:jc w:val="center"/>
              <w:rPr>
                <w:rFonts w:ascii="Times New Roman" w:eastAsia="Calibri" w:hAnsi="Times New Roman"/>
                <w:sz w:val="20"/>
                <w:szCs w:val="20"/>
              </w:rPr>
            </w:pPr>
            <w:r>
              <w:rPr>
                <w:rFonts w:ascii="Times New Roman" w:eastAsia="Calibri" w:hAnsi="Times New Roman"/>
                <w:sz w:val="20"/>
                <w:szCs w:val="20"/>
              </w:rPr>
              <w:t>10,000</w:t>
            </w:r>
          </w:p>
        </w:tc>
      </w:tr>
      <w:tr w:rsidR="003A7C1B" w:rsidRPr="000860EB" w14:paraId="0639F6AE" w14:textId="77777777" w:rsidTr="00250DAC">
        <w:tc>
          <w:tcPr>
            <w:tcW w:w="500" w:type="pct"/>
          </w:tcPr>
          <w:p w14:paraId="1DF1F48F" w14:textId="77777777" w:rsidR="003A7C1B" w:rsidRPr="000860EB" w:rsidRDefault="003A7C1B" w:rsidP="00250DAC">
            <w:pPr>
              <w:spacing w:after="0" w:line="240" w:lineRule="auto"/>
              <w:jc w:val="center"/>
              <w:rPr>
                <w:rFonts w:ascii="Times New Roman" w:eastAsia="Calibri" w:hAnsi="Times New Roman"/>
                <w:sz w:val="20"/>
                <w:szCs w:val="20"/>
              </w:rPr>
            </w:pPr>
            <w:r>
              <w:rPr>
                <w:rFonts w:ascii="Times New Roman" w:eastAsia="Calibri" w:hAnsi="Times New Roman"/>
                <w:sz w:val="20"/>
                <w:szCs w:val="20"/>
              </w:rPr>
              <w:t>2.</w:t>
            </w:r>
          </w:p>
        </w:tc>
        <w:tc>
          <w:tcPr>
            <w:tcW w:w="988" w:type="pct"/>
          </w:tcPr>
          <w:p w14:paraId="663FD42F" w14:textId="77777777" w:rsidR="003A7C1B" w:rsidRDefault="003A7C1B" w:rsidP="00250DAC">
            <w:pPr>
              <w:spacing w:after="0" w:line="240" w:lineRule="auto"/>
              <w:jc w:val="both"/>
              <w:rPr>
                <w:rFonts w:ascii="Times New Roman" w:eastAsia="Calibri" w:hAnsi="Times New Roman"/>
                <w:sz w:val="20"/>
                <w:szCs w:val="20"/>
              </w:rPr>
            </w:pPr>
            <w:r>
              <w:rPr>
                <w:rFonts w:ascii="Times New Roman" w:eastAsia="Calibri" w:hAnsi="Times New Roman"/>
                <w:sz w:val="20"/>
                <w:szCs w:val="20"/>
              </w:rPr>
              <w:t>August 18, 2023</w:t>
            </w:r>
          </w:p>
        </w:tc>
        <w:tc>
          <w:tcPr>
            <w:tcW w:w="2016" w:type="pct"/>
          </w:tcPr>
          <w:p w14:paraId="39BBFECB" w14:textId="77777777" w:rsidR="003A7C1B" w:rsidRPr="008813C5" w:rsidRDefault="003A7C1B" w:rsidP="00250DAC">
            <w:pPr>
              <w:spacing w:after="0" w:line="240" w:lineRule="auto"/>
              <w:jc w:val="both"/>
              <w:rPr>
                <w:rFonts w:ascii="Times New Roman" w:eastAsia="Calibri" w:hAnsi="Times New Roman"/>
                <w:sz w:val="20"/>
                <w:szCs w:val="20"/>
              </w:rPr>
            </w:pPr>
            <w:r w:rsidRPr="008813C5">
              <w:rPr>
                <w:rFonts w:ascii="Times New Roman" w:eastAsia="Calibri" w:hAnsi="Times New Roman"/>
                <w:sz w:val="20"/>
                <w:szCs w:val="20"/>
              </w:rPr>
              <w:t>Amit J Shah</w:t>
            </w:r>
          </w:p>
        </w:tc>
        <w:tc>
          <w:tcPr>
            <w:tcW w:w="1496" w:type="pct"/>
          </w:tcPr>
          <w:p w14:paraId="7C2A84EA" w14:textId="77777777" w:rsidR="003A7C1B" w:rsidRDefault="003A7C1B" w:rsidP="00250DAC">
            <w:pPr>
              <w:spacing w:after="0" w:line="240" w:lineRule="auto"/>
              <w:jc w:val="center"/>
              <w:rPr>
                <w:rFonts w:ascii="Times New Roman" w:eastAsia="Calibri" w:hAnsi="Times New Roman"/>
                <w:sz w:val="20"/>
                <w:szCs w:val="20"/>
              </w:rPr>
            </w:pPr>
            <w:r>
              <w:rPr>
                <w:rFonts w:ascii="Times New Roman" w:eastAsia="Calibri" w:hAnsi="Times New Roman"/>
                <w:sz w:val="20"/>
                <w:szCs w:val="20"/>
              </w:rPr>
              <w:t>20,000</w:t>
            </w:r>
          </w:p>
        </w:tc>
      </w:tr>
      <w:tr w:rsidR="003A7C1B" w:rsidRPr="000860EB" w14:paraId="26BF7364" w14:textId="77777777" w:rsidTr="00250DAC">
        <w:tc>
          <w:tcPr>
            <w:tcW w:w="500" w:type="pct"/>
          </w:tcPr>
          <w:p w14:paraId="78B91373" w14:textId="77777777" w:rsidR="003A7C1B" w:rsidRDefault="003A7C1B" w:rsidP="00250DAC">
            <w:pPr>
              <w:spacing w:after="0" w:line="240" w:lineRule="auto"/>
              <w:jc w:val="center"/>
              <w:rPr>
                <w:rFonts w:ascii="Times New Roman" w:eastAsia="Calibri" w:hAnsi="Times New Roman"/>
                <w:sz w:val="20"/>
                <w:szCs w:val="20"/>
              </w:rPr>
            </w:pPr>
            <w:r>
              <w:rPr>
                <w:rFonts w:ascii="Times New Roman" w:eastAsia="Calibri" w:hAnsi="Times New Roman"/>
                <w:sz w:val="20"/>
                <w:szCs w:val="20"/>
              </w:rPr>
              <w:t>3.</w:t>
            </w:r>
          </w:p>
        </w:tc>
        <w:tc>
          <w:tcPr>
            <w:tcW w:w="988" w:type="pct"/>
          </w:tcPr>
          <w:p w14:paraId="6F2C235A" w14:textId="77777777" w:rsidR="003A7C1B" w:rsidRDefault="003A7C1B" w:rsidP="00250DAC">
            <w:pPr>
              <w:spacing w:after="0" w:line="240" w:lineRule="auto"/>
              <w:jc w:val="both"/>
              <w:rPr>
                <w:rFonts w:ascii="Times New Roman" w:eastAsia="Calibri" w:hAnsi="Times New Roman"/>
                <w:sz w:val="20"/>
                <w:szCs w:val="20"/>
              </w:rPr>
            </w:pPr>
            <w:r>
              <w:rPr>
                <w:rFonts w:ascii="Times New Roman" w:eastAsia="Calibri" w:hAnsi="Times New Roman"/>
                <w:sz w:val="20"/>
                <w:szCs w:val="20"/>
              </w:rPr>
              <w:t>August 18, 2023</w:t>
            </w:r>
          </w:p>
        </w:tc>
        <w:tc>
          <w:tcPr>
            <w:tcW w:w="2016" w:type="pct"/>
          </w:tcPr>
          <w:p w14:paraId="0B552836" w14:textId="77777777" w:rsidR="003A7C1B" w:rsidRPr="008813C5" w:rsidRDefault="003A7C1B" w:rsidP="00250DAC">
            <w:pPr>
              <w:spacing w:after="0" w:line="240" w:lineRule="auto"/>
              <w:jc w:val="both"/>
              <w:rPr>
                <w:rFonts w:ascii="Times New Roman" w:eastAsia="Calibri" w:hAnsi="Times New Roman"/>
                <w:sz w:val="20"/>
                <w:szCs w:val="20"/>
              </w:rPr>
            </w:pPr>
            <w:r w:rsidRPr="008813C5">
              <w:rPr>
                <w:rFonts w:ascii="Times New Roman" w:eastAsia="Calibri" w:hAnsi="Times New Roman"/>
                <w:sz w:val="20"/>
                <w:szCs w:val="20"/>
              </w:rPr>
              <w:t>Bhavini Dhaval Shah</w:t>
            </w:r>
          </w:p>
        </w:tc>
        <w:tc>
          <w:tcPr>
            <w:tcW w:w="1496" w:type="pct"/>
          </w:tcPr>
          <w:p w14:paraId="5CF4647A" w14:textId="77777777" w:rsidR="003A7C1B" w:rsidRDefault="003A7C1B" w:rsidP="00250DAC">
            <w:pPr>
              <w:spacing w:after="0" w:line="240" w:lineRule="auto"/>
              <w:jc w:val="center"/>
              <w:rPr>
                <w:rFonts w:ascii="Times New Roman" w:eastAsia="Calibri" w:hAnsi="Times New Roman"/>
                <w:sz w:val="20"/>
                <w:szCs w:val="20"/>
              </w:rPr>
            </w:pPr>
            <w:r>
              <w:rPr>
                <w:rFonts w:ascii="Times New Roman" w:eastAsia="Calibri" w:hAnsi="Times New Roman"/>
                <w:sz w:val="20"/>
                <w:szCs w:val="20"/>
              </w:rPr>
              <w:t>10,000</w:t>
            </w:r>
          </w:p>
        </w:tc>
      </w:tr>
      <w:tr w:rsidR="003A7C1B" w:rsidRPr="000860EB" w14:paraId="1978C96E" w14:textId="77777777" w:rsidTr="00250DAC">
        <w:tc>
          <w:tcPr>
            <w:tcW w:w="500" w:type="pct"/>
          </w:tcPr>
          <w:p w14:paraId="19BA795B" w14:textId="77777777" w:rsidR="003A7C1B" w:rsidRPr="000860EB" w:rsidRDefault="003A7C1B" w:rsidP="00250DAC">
            <w:pPr>
              <w:spacing w:after="0" w:line="240" w:lineRule="auto"/>
              <w:jc w:val="center"/>
              <w:rPr>
                <w:rFonts w:ascii="Times New Roman" w:eastAsia="Calibri" w:hAnsi="Times New Roman"/>
                <w:sz w:val="20"/>
                <w:szCs w:val="20"/>
              </w:rPr>
            </w:pPr>
            <w:r>
              <w:rPr>
                <w:rFonts w:ascii="Times New Roman" w:eastAsia="Calibri" w:hAnsi="Times New Roman"/>
                <w:sz w:val="20"/>
                <w:szCs w:val="20"/>
              </w:rPr>
              <w:t>4.</w:t>
            </w:r>
          </w:p>
        </w:tc>
        <w:tc>
          <w:tcPr>
            <w:tcW w:w="988" w:type="pct"/>
          </w:tcPr>
          <w:p w14:paraId="21CE4A1D" w14:textId="77777777" w:rsidR="003A7C1B" w:rsidRDefault="003A7C1B" w:rsidP="00250DAC">
            <w:pPr>
              <w:spacing w:after="0" w:line="240" w:lineRule="auto"/>
              <w:jc w:val="both"/>
              <w:rPr>
                <w:rFonts w:ascii="Times New Roman" w:eastAsia="Calibri" w:hAnsi="Times New Roman"/>
                <w:sz w:val="20"/>
                <w:szCs w:val="20"/>
              </w:rPr>
            </w:pPr>
            <w:r>
              <w:rPr>
                <w:rFonts w:ascii="Times New Roman" w:eastAsia="Calibri" w:hAnsi="Times New Roman"/>
                <w:sz w:val="20"/>
                <w:szCs w:val="20"/>
              </w:rPr>
              <w:t>August 18, 2023</w:t>
            </w:r>
          </w:p>
        </w:tc>
        <w:tc>
          <w:tcPr>
            <w:tcW w:w="2016" w:type="pct"/>
          </w:tcPr>
          <w:p w14:paraId="01FDFAE7" w14:textId="77777777" w:rsidR="003A7C1B" w:rsidRPr="008813C5" w:rsidRDefault="003A7C1B" w:rsidP="00250DAC">
            <w:pPr>
              <w:spacing w:after="0" w:line="240" w:lineRule="auto"/>
              <w:jc w:val="both"/>
              <w:rPr>
                <w:rFonts w:ascii="Times New Roman" w:eastAsia="Calibri" w:hAnsi="Times New Roman"/>
                <w:sz w:val="20"/>
                <w:szCs w:val="20"/>
              </w:rPr>
            </w:pPr>
            <w:r w:rsidRPr="008813C5">
              <w:rPr>
                <w:rFonts w:ascii="Times New Roman" w:eastAsia="Calibri" w:hAnsi="Times New Roman"/>
                <w:sz w:val="20"/>
                <w:szCs w:val="20"/>
              </w:rPr>
              <w:t>Jayaben J Shah</w:t>
            </w:r>
          </w:p>
        </w:tc>
        <w:tc>
          <w:tcPr>
            <w:tcW w:w="1496" w:type="pct"/>
          </w:tcPr>
          <w:p w14:paraId="078F2485" w14:textId="77777777" w:rsidR="003A7C1B" w:rsidRDefault="003A7C1B" w:rsidP="00250DAC">
            <w:pPr>
              <w:spacing w:after="0" w:line="240" w:lineRule="auto"/>
              <w:jc w:val="center"/>
              <w:rPr>
                <w:rFonts w:ascii="Times New Roman" w:eastAsia="Calibri" w:hAnsi="Times New Roman"/>
                <w:sz w:val="20"/>
                <w:szCs w:val="20"/>
              </w:rPr>
            </w:pPr>
            <w:r>
              <w:rPr>
                <w:rFonts w:ascii="Times New Roman" w:eastAsia="Calibri" w:hAnsi="Times New Roman"/>
                <w:sz w:val="20"/>
                <w:szCs w:val="20"/>
              </w:rPr>
              <w:t>10,000</w:t>
            </w:r>
          </w:p>
        </w:tc>
      </w:tr>
      <w:tr w:rsidR="003A7C1B" w:rsidRPr="000860EB" w14:paraId="64DAB9C1" w14:textId="77777777" w:rsidTr="00250DAC">
        <w:tc>
          <w:tcPr>
            <w:tcW w:w="500" w:type="pct"/>
          </w:tcPr>
          <w:p w14:paraId="49D43387" w14:textId="77777777" w:rsidR="003A7C1B" w:rsidRDefault="003A7C1B" w:rsidP="00250DAC">
            <w:pPr>
              <w:spacing w:after="0" w:line="240" w:lineRule="auto"/>
              <w:jc w:val="center"/>
              <w:rPr>
                <w:rFonts w:ascii="Times New Roman" w:eastAsia="Calibri" w:hAnsi="Times New Roman"/>
                <w:sz w:val="20"/>
                <w:szCs w:val="20"/>
              </w:rPr>
            </w:pPr>
            <w:r>
              <w:rPr>
                <w:rFonts w:ascii="Times New Roman" w:eastAsia="Calibri" w:hAnsi="Times New Roman"/>
                <w:sz w:val="20"/>
                <w:szCs w:val="20"/>
              </w:rPr>
              <w:t>5.</w:t>
            </w:r>
          </w:p>
        </w:tc>
        <w:tc>
          <w:tcPr>
            <w:tcW w:w="988" w:type="pct"/>
          </w:tcPr>
          <w:p w14:paraId="6CC9A3EF" w14:textId="77777777" w:rsidR="003A7C1B" w:rsidRDefault="003A7C1B" w:rsidP="00250DAC">
            <w:pPr>
              <w:spacing w:after="0" w:line="240" w:lineRule="auto"/>
              <w:jc w:val="both"/>
              <w:rPr>
                <w:rFonts w:ascii="Times New Roman" w:eastAsia="Calibri" w:hAnsi="Times New Roman"/>
                <w:sz w:val="20"/>
                <w:szCs w:val="20"/>
              </w:rPr>
            </w:pPr>
            <w:r>
              <w:rPr>
                <w:rFonts w:ascii="Times New Roman" w:eastAsia="Calibri" w:hAnsi="Times New Roman"/>
                <w:sz w:val="20"/>
                <w:szCs w:val="20"/>
              </w:rPr>
              <w:t>August 18, 2023</w:t>
            </w:r>
          </w:p>
        </w:tc>
        <w:tc>
          <w:tcPr>
            <w:tcW w:w="2016" w:type="pct"/>
          </w:tcPr>
          <w:p w14:paraId="0EA300E9" w14:textId="77777777" w:rsidR="003A7C1B" w:rsidRPr="008813C5" w:rsidRDefault="003A7C1B" w:rsidP="00250DAC">
            <w:pPr>
              <w:spacing w:after="0" w:line="240" w:lineRule="auto"/>
              <w:jc w:val="both"/>
              <w:rPr>
                <w:rFonts w:ascii="Times New Roman" w:eastAsia="Calibri" w:hAnsi="Times New Roman"/>
                <w:sz w:val="20"/>
                <w:szCs w:val="20"/>
              </w:rPr>
            </w:pPr>
            <w:r w:rsidRPr="008813C5">
              <w:rPr>
                <w:rFonts w:ascii="Times New Roman" w:eastAsia="Calibri" w:hAnsi="Times New Roman"/>
                <w:sz w:val="20"/>
                <w:szCs w:val="20"/>
              </w:rPr>
              <w:t>Jinesh F Shah</w:t>
            </w:r>
          </w:p>
        </w:tc>
        <w:tc>
          <w:tcPr>
            <w:tcW w:w="1496" w:type="pct"/>
          </w:tcPr>
          <w:p w14:paraId="1E66B281" w14:textId="77777777" w:rsidR="003A7C1B" w:rsidRDefault="003A7C1B" w:rsidP="00250DAC">
            <w:pPr>
              <w:spacing w:after="0" w:line="240" w:lineRule="auto"/>
              <w:jc w:val="center"/>
              <w:rPr>
                <w:rFonts w:ascii="Times New Roman" w:eastAsia="Calibri" w:hAnsi="Times New Roman"/>
                <w:sz w:val="20"/>
                <w:szCs w:val="20"/>
              </w:rPr>
            </w:pPr>
            <w:r>
              <w:rPr>
                <w:rFonts w:ascii="Times New Roman" w:eastAsia="Calibri" w:hAnsi="Times New Roman"/>
                <w:sz w:val="20"/>
                <w:szCs w:val="20"/>
              </w:rPr>
              <w:t>10,000</w:t>
            </w:r>
          </w:p>
        </w:tc>
      </w:tr>
      <w:tr w:rsidR="003A7C1B" w:rsidRPr="000860EB" w14:paraId="2478D34A" w14:textId="77777777" w:rsidTr="00250DAC">
        <w:tc>
          <w:tcPr>
            <w:tcW w:w="500" w:type="pct"/>
          </w:tcPr>
          <w:p w14:paraId="3615187A" w14:textId="77777777" w:rsidR="003A7C1B" w:rsidRPr="000860EB" w:rsidRDefault="003A7C1B" w:rsidP="00250DAC">
            <w:pPr>
              <w:spacing w:after="0" w:line="240" w:lineRule="auto"/>
              <w:jc w:val="center"/>
              <w:rPr>
                <w:rFonts w:ascii="Times New Roman" w:eastAsia="Calibri" w:hAnsi="Times New Roman"/>
                <w:sz w:val="20"/>
                <w:szCs w:val="20"/>
              </w:rPr>
            </w:pPr>
          </w:p>
        </w:tc>
        <w:tc>
          <w:tcPr>
            <w:tcW w:w="988" w:type="pct"/>
          </w:tcPr>
          <w:p w14:paraId="6258C15B" w14:textId="77777777" w:rsidR="003A7C1B" w:rsidRPr="000860EB" w:rsidRDefault="003A7C1B" w:rsidP="00250DAC">
            <w:pPr>
              <w:spacing w:after="0" w:line="240" w:lineRule="auto"/>
              <w:jc w:val="both"/>
              <w:rPr>
                <w:rFonts w:ascii="Times New Roman" w:eastAsia="Calibri" w:hAnsi="Times New Roman"/>
                <w:sz w:val="20"/>
                <w:szCs w:val="20"/>
              </w:rPr>
            </w:pPr>
          </w:p>
        </w:tc>
        <w:tc>
          <w:tcPr>
            <w:tcW w:w="2016" w:type="pct"/>
          </w:tcPr>
          <w:p w14:paraId="01FEB361" w14:textId="77777777" w:rsidR="003A7C1B" w:rsidRPr="000860EB" w:rsidRDefault="003A7C1B" w:rsidP="00250DAC">
            <w:pPr>
              <w:spacing w:after="0" w:line="240" w:lineRule="auto"/>
              <w:jc w:val="center"/>
              <w:rPr>
                <w:rFonts w:ascii="Times New Roman" w:eastAsia="Calibri" w:hAnsi="Times New Roman"/>
                <w:b/>
                <w:sz w:val="20"/>
                <w:szCs w:val="20"/>
              </w:rPr>
            </w:pPr>
            <w:r w:rsidRPr="000860EB">
              <w:rPr>
                <w:rFonts w:ascii="Times New Roman" w:eastAsia="Calibri" w:hAnsi="Times New Roman"/>
                <w:b/>
                <w:sz w:val="20"/>
                <w:szCs w:val="20"/>
              </w:rPr>
              <w:t>Total</w:t>
            </w:r>
          </w:p>
        </w:tc>
        <w:tc>
          <w:tcPr>
            <w:tcW w:w="1496" w:type="pct"/>
          </w:tcPr>
          <w:p w14:paraId="23343242" w14:textId="77777777" w:rsidR="003A7C1B" w:rsidRPr="000860EB" w:rsidRDefault="003A7C1B" w:rsidP="00250DAC">
            <w:pPr>
              <w:spacing w:after="0" w:line="240" w:lineRule="auto"/>
              <w:jc w:val="center"/>
              <w:rPr>
                <w:rFonts w:ascii="Times New Roman" w:eastAsia="Calibri" w:hAnsi="Times New Roman"/>
                <w:b/>
                <w:sz w:val="20"/>
                <w:szCs w:val="20"/>
              </w:rPr>
            </w:pPr>
            <w:r>
              <w:rPr>
                <w:rFonts w:ascii="Times New Roman" w:eastAsia="Calibri" w:hAnsi="Times New Roman"/>
                <w:b/>
                <w:sz w:val="20"/>
                <w:szCs w:val="20"/>
              </w:rPr>
              <w:t>60,000</w:t>
            </w:r>
          </w:p>
        </w:tc>
      </w:tr>
    </w:tbl>
    <w:p w14:paraId="4A4E8909" w14:textId="77777777" w:rsidR="003A7C1B" w:rsidRPr="000860EB" w:rsidRDefault="003A7C1B" w:rsidP="003A7C1B">
      <w:pPr>
        <w:pStyle w:val="ListParagraph"/>
        <w:spacing w:line="240" w:lineRule="auto"/>
        <w:ind w:left="607"/>
        <w:jc w:val="both"/>
        <w:rPr>
          <w:i/>
          <w:sz w:val="20"/>
          <w:szCs w:val="20"/>
        </w:rPr>
      </w:pPr>
    </w:p>
    <w:p w14:paraId="41EBFF3A" w14:textId="77777777" w:rsidR="003A7C1B" w:rsidRPr="000860EB" w:rsidRDefault="003A7C1B" w:rsidP="00F038BD">
      <w:pPr>
        <w:pStyle w:val="ListParagraph"/>
        <w:numPr>
          <w:ilvl w:val="0"/>
          <w:numId w:val="157"/>
        </w:numPr>
        <w:tabs>
          <w:tab w:val="left" w:pos="360"/>
        </w:tabs>
        <w:spacing w:line="240" w:lineRule="auto"/>
        <w:ind w:left="247"/>
        <w:contextualSpacing/>
        <w:jc w:val="both"/>
        <w:rPr>
          <w:b/>
          <w:sz w:val="20"/>
          <w:szCs w:val="20"/>
        </w:rPr>
      </w:pPr>
      <w:r w:rsidRPr="000860EB">
        <w:rPr>
          <w:b/>
          <w:sz w:val="20"/>
          <w:szCs w:val="20"/>
        </w:rPr>
        <w:t xml:space="preserve">The average cost of acquisition or subscription of shares by our Promoters is set forth in the table below: </w:t>
      </w:r>
    </w:p>
    <w:p w14:paraId="15AB2F90" w14:textId="77777777" w:rsidR="003A7C1B" w:rsidRPr="000860EB" w:rsidRDefault="003A7C1B" w:rsidP="003A7C1B">
      <w:pPr>
        <w:spacing w:after="0" w:line="240" w:lineRule="auto"/>
        <w:jc w:val="both"/>
        <w:rPr>
          <w:rFonts w:ascii="Times New Roman" w:hAnsi="Times New Roman"/>
          <w:sz w:val="20"/>
          <w:szCs w:val="20"/>
        </w:rPr>
      </w:pPr>
    </w:p>
    <w:tbl>
      <w:tblPr>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7"/>
        <w:gridCol w:w="4538"/>
        <w:gridCol w:w="1840"/>
        <w:gridCol w:w="3091"/>
      </w:tblGrid>
      <w:tr w:rsidR="003A7C1B" w:rsidRPr="000860EB" w14:paraId="38B468A6" w14:textId="77777777" w:rsidTr="00250DAC">
        <w:trPr>
          <w:trHeight w:val="144"/>
          <w:tblHeader/>
        </w:trPr>
        <w:tc>
          <w:tcPr>
            <w:tcW w:w="472" w:type="pct"/>
            <w:shd w:val="clear" w:color="auto" w:fill="D0CECE" w:themeFill="background2" w:themeFillShade="E6"/>
            <w:vAlign w:val="center"/>
          </w:tcPr>
          <w:p w14:paraId="634C5278" w14:textId="77777777" w:rsidR="003A7C1B" w:rsidRPr="000860EB" w:rsidRDefault="003A7C1B" w:rsidP="00250DAC">
            <w:pPr>
              <w:spacing w:after="0" w:line="240" w:lineRule="auto"/>
              <w:jc w:val="center"/>
              <w:rPr>
                <w:rFonts w:ascii="Times New Roman" w:eastAsia="Calibri" w:hAnsi="Times New Roman"/>
                <w:b/>
                <w:sz w:val="20"/>
                <w:szCs w:val="20"/>
              </w:rPr>
            </w:pPr>
            <w:r w:rsidRPr="000860EB">
              <w:rPr>
                <w:rFonts w:ascii="Times New Roman" w:eastAsia="Calibri" w:hAnsi="Times New Roman"/>
                <w:b/>
                <w:sz w:val="20"/>
                <w:szCs w:val="20"/>
              </w:rPr>
              <w:t>Sr. No.</w:t>
            </w:r>
          </w:p>
        </w:tc>
        <w:tc>
          <w:tcPr>
            <w:tcW w:w="2170" w:type="pct"/>
            <w:shd w:val="clear" w:color="auto" w:fill="D0CECE" w:themeFill="background2" w:themeFillShade="E6"/>
            <w:vAlign w:val="center"/>
          </w:tcPr>
          <w:p w14:paraId="0204B76A" w14:textId="77777777" w:rsidR="003A7C1B" w:rsidRPr="000860EB" w:rsidRDefault="003A7C1B" w:rsidP="00250DAC">
            <w:pPr>
              <w:spacing w:after="0" w:line="240" w:lineRule="auto"/>
              <w:rPr>
                <w:rFonts w:ascii="Times New Roman" w:eastAsia="Calibri" w:hAnsi="Times New Roman"/>
                <w:b/>
                <w:sz w:val="20"/>
                <w:szCs w:val="20"/>
              </w:rPr>
            </w:pPr>
            <w:r w:rsidRPr="000860EB">
              <w:rPr>
                <w:rFonts w:ascii="Times New Roman" w:eastAsia="Calibri" w:hAnsi="Times New Roman"/>
                <w:b/>
                <w:sz w:val="20"/>
                <w:szCs w:val="20"/>
              </w:rPr>
              <w:t>Name of the Promoters</w:t>
            </w:r>
          </w:p>
        </w:tc>
        <w:tc>
          <w:tcPr>
            <w:tcW w:w="880" w:type="pct"/>
            <w:shd w:val="clear" w:color="auto" w:fill="D0CECE" w:themeFill="background2" w:themeFillShade="E6"/>
            <w:vAlign w:val="center"/>
          </w:tcPr>
          <w:p w14:paraId="09FD0D9E" w14:textId="77777777" w:rsidR="003A7C1B" w:rsidRPr="000860EB" w:rsidRDefault="003A7C1B" w:rsidP="00250DAC">
            <w:pPr>
              <w:spacing w:after="0" w:line="240" w:lineRule="auto"/>
              <w:jc w:val="center"/>
              <w:rPr>
                <w:rFonts w:ascii="Times New Roman" w:eastAsia="Calibri" w:hAnsi="Times New Roman"/>
                <w:b/>
                <w:sz w:val="20"/>
                <w:szCs w:val="20"/>
              </w:rPr>
            </w:pPr>
            <w:r w:rsidRPr="000860EB">
              <w:rPr>
                <w:rFonts w:ascii="Times New Roman" w:eastAsia="Calibri" w:hAnsi="Times New Roman"/>
                <w:b/>
                <w:sz w:val="20"/>
                <w:szCs w:val="20"/>
              </w:rPr>
              <w:t>No. of Shares held</w:t>
            </w:r>
          </w:p>
        </w:tc>
        <w:tc>
          <w:tcPr>
            <w:tcW w:w="1478" w:type="pct"/>
            <w:shd w:val="clear" w:color="auto" w:fill="D0CECE" w:themeFill="background2" w:themeFillShade="E6"/>
            <w:vAlign w:val="center"/>
          </w:tcPr>
          <w:p w14:paraId="4C000B0A" w14:textId="77777777" w:rsidR="003A7C1B" w:rsidRPr="000860EB" w:rsidRDefault="003A7C1B" w:rsidP="00250DAC">
            <w:pPr>
              <w:spacing w:after="0" w:line="240" w:lineRule="auto"/>
              <w:jc w:val="center"/>
              <w:rPr>
                <w:rFonts w:ascii="Times New Roman" w:eastAsia="Calibri" w:hAnsi="Times New Roman"/>
                <w:b/>
                <w:sz w:val="20"/>
                <w:szCs w:val="20"/>
              </w:rPr>
            </w:pPr>
            <w:r w:rsidRPr="000860EB">
              <w:rPr>
                <w:rFonts w:ascii="Times New Roman" w:eastAsia="Calibri" w:hAnsi="Times New Roman"/>
                <w:b/>
                <w:sz w:val="20"/>
                <w:szCs w:val="20"/>
              </w:rPr>
              <w:t>Average cost of Acquisition (in ₹)</w:t>
            </w:r>
          </w:p>
        </w:tc>
      </w:tr>
      <w:tr w:rsidR="003A7C1B" w:rsidRPr="000860EB" w14:paraId="618E7D94" w14:textId="77777777" w:rsidTr="00250DAC">
        <w:trPr>
          <w:trHeight w:val="144"/>
        </w:trPr>
        <w:tc>
          <w:tcPr>
            <w:tcW w:w="472" w:type="pct"/>
            <w:shd w:val="clear" w:color="auto" w:fill="auto"/>
            <w:vAlign w:val="center"/>
          </w:tcPr>
          <w:p w14:paraId="7C1F73AE"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1.</w:t>
            </w:r>
          </w:p>
        </w:tc>
        <w:tc>
          <w:tcPr>
            <w:tcW w:w="2170" w:type="pct"/>
            <w:shd w:val="clear" w:color="auto" w:fill="auto"/>
          </w:tcPr>
          <w:p w14:paraId="5DA5D012" w14:textId="77777777" w:rsidR="003A7C1B" w:rsidRPr="000860EB" w:rsidRDefault="003A7C1B" w:rsidP="00250DAC">
            <w:pPr>
              <w:pStyle w:val="ListParagraph"/>
              <w:suppressAutoHyphens w:val="0"/>
              <w:autoSpaceDE/>
              <w:autoSpaceDN/>
              <w:adjustRightInd/>
              <w:spacing w:line="240" w:lineRule="auto"/>
              <w:ind w:left="0"/>
              <w:contextualSpacing/>
              <w:jc w:val="both"/>
              <w:textAlignment w:val="auto"/>
              <w:rPr>
                <w:sz w:val="20"/>
                <w:szCs w:val="20"/>
                <w:lang w:val="en-GB"/>
              </w:rPr>
            </w:pPr>
            <w:r w:rsidRPr="0094678C">
              <w:rPr>
                <w:sz w:val="20"/>
                <w:szCs w:val="20"/>
              </w:rPr>
              <w:t xml:space="preserve">Dwarkadhish Venture Private Limited </w:t>
            </w:r>
            <w:r w:rsidRPr="0094678C">
              <w:rPr>
                <w:i/>
                <w:iCs/>
                <w:sz w:val="20"/>
                <w:szCs w:val="20"/>
              </w:rPr>
              <w:t>(formerly known as Siyaram Metals Private Limited)</w:t>
            </w:r>
          </w:p>
        </w:tc>
        <w:tc>
          <w:tcPr>
            <w:tcW w:w="880" w:type="pct"/>
            <w:shd w:val="clear" w:color="auto" w:fill="auto"/>
            <w:vAlign w:val="center"/>
          </w:tcPr>
          <w:p w14:paraId="3D2C381A" w14:textId="77777777" w:rsidR="003A7C1B" w:rsidRPr="000860EB" w:rsidRDefault="003A7C1B" w:rsidP="00250DAC">
            <w:pPr>
              <w:spacing w:after="0" w:line="240" w:lineRule="auto"/>
              <w:jc w:val="center"/>
              <w:rPr>
                <w:rFonts w:ascii="Times New Roman" w:eastAsia="Calibri" w:hAnsi="Times New Roman"/>
                <w:color w:val="000000"/>
                <w:sz w:val="20"/>
                <w:szCs w:val="20"/>
              </w:rPr>
            </w:pPr>
            <w:r w:rsidRPr="000860EB">
              <w:rPr>
                <w:rFonts w:ascii="Times New Roman" w:eastAsia="Calibri" w:hAnsi="Times New Roman"/>
                <w:sz w:val="20"/>
                <w:szCs w:val="20"/>
              </w:rPr>
              <w:t>1,30,45,500</w:t>
            </w:r>
          </w:p>
        </w:tc>
        <w:tc>
          <w:tcPr>
            <w:tcW w:w="1478" w:type="pct"/>
            <w:shd w:val="clear" w:color="auto" w:fill="auto"/>
            <w:vAlign w:val="center"/>
          </w:tcPr>
          <w:p w14:paraId="6471170F"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22.27</w:t>
            </w:r>
          </w:p>
        </w:tc>
      </w:tr>
      <w:tr w:rsidR="003A7C1B" w:rsidRPr="000860EB" w14:paraId="31785DFD" w14:textId="77777777" w:rsidTr="00250DAC">
        <w:trPr>
          <w:trHeight w:val="144"/>
        </w:trPr>
        <w:tc>
          <w:tcPr>
            <w:tcW w:w="472" w:type="pct"/>
            <w:shd w:val="clear" w:color="auto" w:fill="auto"/>
            <w:vAlign w:val="center"/>
          </w:tcPr>
          <w:p w14:paraId="32747C85"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2.</w:t>
            </w:r>
          </w:p>
        </w:tc>
        <w:tc>
          <w:tcPr>
            <w:tcW w:w="2170" w:type="pct"/>
            <w:shd w:val="clear" w:color="auto" w:fill="auto"/>
          </w:tcPr>
          <w:p w14:paraId="39D9C76B" w14:textId="77777777" w:rsidR="003A7C1B" w:rsidRPr="000860EB" w:rsidRDefault="003A7C1B" w:rsidP="00250DAC">
            <w:pPr>
              <w:pStyle w:val="ListParagraph"/>
              <w:suppressAutoHyphens w:val="0"/>
              <w:autoSpaceDE/>
              <w:autoSpaceDN/>
              <w:adjustRightInd/>
              <w:spacing w:line="240" w:lineRule="auto"/>
              <w:ind w:left="0"/>
              <w:contextualSpacing/>
              <w:jc w:val="both"/>
              <w:textAlignment w:val="auto"/>
              <w:rPr>
                <w:sz w:val="20"/>
                <w:szCs w:val="20"/>
              </w:rPr>
            </w:pPr>
            <w:r w:rsidRPr="000860EB">
              <w:rPr>
                <w:sz w:val="20"/>
                <w:szCs w:val="20"/>
              </w:rPr>
              <w:t>Ramgopal Ochhavlal Maheswari</w:t>
            </w:r>
          </w:p>
        </w:tc>
        <w:tc>
          <w:tcPr>
            <w:tcW w:w="880" w:type="pct"/>
            <w:shd w:val="clear" w:color="auto" w:fill="auto"/>
            <w:vAlign w:val="center"/>
          </w:tcPr>
          <w:p w14:paraId="72C42A30" w14:textId="77777777" w:rsidR="003A7C1B" w:rsidRPr="000860EB" w:rsidRDefault="003A7C1B" w:rsidP="00250DAC">
            <w:pPr>
              <w:spacing w:after="0" w:line="240" w:lineRule="auto"/>
              <w:jc w:val="center"/>
              <w:rPr>
                <w:rFonts w:ascii="Times New Roman" w:eastAsia="Calibri" w:hAnsi="Times New Roman"/>
                <w:color w:val="000000"/>
                <w:sz w:val="20"/>
                <w:szCs w:val="20"/>
              </w:rPr>
            </w:pPr>
            <w:r w:rsidRPr="000860EB">
              <w:rPr>
                <w:rFonts w:ascii="Times New Roman" w:eastAsia="Calibri" w:hAnsi="Times New Roman"/>
                <w:sz w:val="20"/>
                <w:szCs w:val="20"/>
              </w:rPr>
              <w:t>4,50,000</w:t>
            </w:r>
          </w:p>
        </w:tc>
        <w:tc>
          <w:tcPr>
            <w:tcW w:w="1478" w:type="pct"/>
            <w:shd w:val="clear" w:color="auto" w:fill="auto"/>
            <w:vAlign w:val="center"/>
          </w:tcPr>
          <w:p w14:paraId="6A9356DD"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37.22</w:t>
            </w:r>
          </w:p>
        </w:tc>
      </w:tr>
      <w:tr w:rsidR="003A7C1B" w:rsidRPr="000860EB" w14:paraId="3DEF04BF" w14:textId="77777777" w:rsidTr="00250DAC">
        <w:trPr>
          <w:trHeight w:val="144"/>
        </w:trPr>
        <w:tc>
          <w:tcPr>
            <w:tcW w:w="472" w:type="pct"/>
            <w:shd w:val="clear" w:color="auto" w:fill="auto"/>
            <w:vAlign w:val="center"/>
          </w:tcPr>
          <w:p w14:paraId="71BA767E"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3.</w:t>
            </w:r>
          </w:p>
        </w:tc>
        <w:tc>
          <w:tcPr>
            <w:tcW w:w="2170" w:type="pct"/>
            <w:shd w:val="clear" w:color="auto" w:fill="auto"/>
          </w:tcPr>
          <w:p w14:paraId="1960B9D6" w14:textId="77777777" w:rsidR="003A7C1B" w:rsidRPr="000860EB" w:rsidRDefault="003A7C1B" w:rsidP="00250DAC">
            <w:pPr>
              <w:pStyle w:val="ListParagraph"/>
              <w:suppressAutoHyphens w:val="0"/>
              <w:autoSpaceDE/>
              <w:autoSpaceDN/>
              <w:adjustRightInd/>
              <w:spacing w:line="240" w:lineRule="auto"/>
              <w:ind w:left="0"/>
              <w:contextualSpacing/>
              <w:jc w:val="both"/>
              <w:textAlignment w:val="auto"/>
              <w:rPr>
                <w:sz w:val="20"/>
                <w:szCs w:val="20"/>
              </w:rPr>
            </w:pPr>
            <w:r w:rsidRPr="000860EB">
              <w:rPr>
                <w:sz w:val="20"/>
                <w:szCs w:val="20"/>
              </w:rPr>
              <w:t>Bhavesh Ramgopal Maheshwari</w:t>
            </w:r>
          </w:p>
        </w:tc>
        <w:tc>
          <w:tcPr>
            <w:tcW w:w="880" w:type="pct"/>
            <w:shd w:val="clear" w:color="auto" w:fill="auto"/>
            <w:vAlign w:val="center"/>
          </w:tcPr>
          <w:p w14:paraId="2EC5F62C" w14:textId="77777777" w:rsidR="003A7C1B" w:rsidRPr="000860EB" w:rsidRDefault="003A7C1B" w:rsidP="00250DAC">
            <w:pPr>
              <w:spacing w:after="0" w:line="240" w:lineRule="auto"/>
              <w:jc w:val="center"/>
              <w:rPr>
                <w:rFonts w:ascii="Times New Roman" w:eastAsia="Calibri" w:hAnsi="Times New Roman"/>
                <w:color w:val="000000"/>
                <w:sz w:val="20"/>
                <w:szCs w:val="20"/>
              </w:rPr>
            </w:pPr>
            <w:r>
              <w:rPr>
                <w:rFonts w:ascii="Times New Roman" w:eastAsia="Calibri" w:hAnsi="Times New Roman"/>
                <w:sz w:val="20"/>
                <w:szCs w:val="20"/>
              </w:rPr>
              <w:t>2,10,000</w:t>
            </w:r>
          </w:p>
        </w:tc>
        <w:tc>
          <w:tcPr>
            <w:tcW w:w="1478" w:type="pct"/>
            <w:shd w:val="clear" w:color="auto" w:fill="auto"/>
            <w:vAlign w:val="center"/>
          </w:tcPr>
          <w:p w14:paraId="7B81CEFF" w14:textId="77777777" w:rsidR="003A7C1B" w:rsidRPr="000860EB" w:rsidRDefault="003A7C1B" w:rsidP="00250DAC">
            <w:pPr>
              <w:spacing w:after="0" w:line="240" w:lineRule="auto"/>
              <w:jc w:val="center"/>
              <w:rPr>
                <w:rFonts w:ascii="Times New Roman" w:eastAsia="Calibri" w:hAnsi="Times New Roman"/>
                <w:sz w:val="20"/>
                <w:szCs w:val="20"/>
              </w:rPr>
            </w:pPr>
            <w:r>
              <w:rPr>
                <w:rFonts w:ascii="Times New Roman" w:eastAsia="Calibri" w:hAnsi="Times New Roman"/>
                <w:sz w:val="20"/>
                <w:szCs w:val="20"/>
              </w:rPr>
              <w:t>7.71</w:t>
            </w:r>
          </w:p>
        </w:tc>
      </w:tr>
    </w:tbl>
    <w:p w14:paraId="1595F3D3" w14:textId="77777777" w:rsidR="003A7C1B" w:rsidRPr="000860EB" w:rsidRDefault="003A7C1B" w:rsidP="003A7C1B">
      <w:pPr>
        <w:tabs>
          <w:tab w:val="left" w:pos="360"/>
        </w:tabs>
        <w:spacing w:after="0" w:line="240" w:lineRule="auto"/>
        <w:ind w:left="270"/>
        <w:contextualSpacing/>
        <w:jc w:val="both"/>
        <w:rPr>
          <w:rFonts w:ascii="Times New Roman" w:hAnsi="Times New Roman"/>
          <w:b/>
          <w:color w:val="000000"/>
          <w:sz w:val="20"/>
          <w:szCs w:val="20"/>
        </w:rPr>
      </w:pPr>
    </w:p>
    <w:p w14:paraId="34B7905D" w14:textId="77777777" w:rsidR="003A7C1B" w:rsidRPr="000860EB" w:rsidRDefault="003A7C1B" w:rsidP="00F038BD">
      <w:pPr>
        <w:pStyle w:val="ListParagraph"/>
        <w:numPr>
          <w:ilvl w:val="0"/>
          <w:numId w:val="157"/>
        </w:numPr>
        <w:tabs>
          <w:tab w:val="left" w:pos="360"/>
        </w:tabs>
        <w:spacing w:line="240" w:lineRule="auto"/>
        <w:contextualSpacing/>
        <w:jc w:val="both"/>
        <w:rPr>
          <w:b/>
          <w:sz w:val="20"/>
          <w:szCs w:val="20"/>
        </w:rPr>
      </w:pPr>
      <w:r w:rsidRPr="000860EB">
        <w:rPr>
          <w:b/>
          <w:sz w:val="20"/>
          <w:szCs w:val="20"/>
        </w:rPr>
        <w:t>Shareholding of Promoters &amp; Promoter Group</w:t>
      </w:r>
    </w:p>
    <w:p w14:paraId="012A07CC" w14:textId="77777777" w:rsidR="003A7C1B" w:rsidRPr="000860EB" w:rsidRDefault="003A7C1B" w:rsidP="003A7C1B">
      <w:pPr>
        <w:tabs>
          <w:tab w:val="left" w:pos="360"/>
        </w:tabs>
        <w:suppressAutoHyphens/>
        <w:autoSpaceDE w:val="0"/>
        <w:autoSpaceDN w:val="0"/>
        <w:adjustRightInd w:val="0"/>
        <w:spacing w:after="0" w:line="240" w:lineRule="auto"/>
        <w:ind w:left="270"/>
        <w:jc w:val="both"/>
        <w:textAlignment w:val="center"/>
        <w:rPr>
          <w:rFonts w:ascii="Times New Roman" w:hAnsi="Times New Roman"/>
          <w:color w:val="000000"/>
          <w:sz w:val="20"/>
          <w:szCs w:val="20"/>
        </w:rPr>
      </w:pPr>
    </w:p>
    <w:p w14:paraId="4479BF94" w14:textId="77777777" w:rsidR="003A7C1B" w:rsidRPr="000860EB" w:rsidRDefault="003A7C1B" w:rsidP="003A7C1B">
      <w:pPr>
        <w:tabs>
          <w:tab w:val="left" w:pos="90"/>
        </w:tabs>
        <w:spacing w:after="0" w:line="240" w:lineRule="auto"/>
        <w:jc w:val="both"/>
        <w:rPr>
          <w:rFonts w:ascii="Times New Roman" w:hAnsi="Times New Roman"/>
          <w:sz w:val="20"/>
          <w:szCs w:val="20"/>
        </w:rPr>
      </w:pPr>
      <w:r w:rsidRPr="000860EB">
        <w:rPr>
          <w:rFonts w:ascii="Times New Roman" w:hAnsi="Times New Roman"/>
          <w:sz w:val="20"/>
          <w:szCs w:val="20"/>
        </w:rPr>
        <w:t xml:space="preserve">Following are the details of pre and post Issue shareholding of persons belonging to the category </w:t>
      </w:r>
      <w:r w:rsidRPr="000860EB">
        <w:rPr>
          <w:rFonts w:ascii="Times New Roman" w:hAnsi="Times New Roman"/>
          <w:b/>
          <w:sz w:val="20"/>
          <w:szCs w:val="20"/>
        </w:rPr>
        <w:t>“Promoters and Promoter Group”</w:t>
      </w:r>
      <w:r w:rsidRPr="000860EB">
        <w:rPr>
          <w:rFonts w:ascii="Times New Roman" w:hAnsi="Times New Roman"/>
          <w:sz w:val="20"/>
          <w:szCs w:val="20"/>
        </w:rPr>
        <w:t>:</w:t>
      </w:r>
    </w:p>
    <w:p w14:paraId="0DB75987" w14:textId="77777777" w:rsidR="003A7C1B" w:rsidRPr="000860EB" w:rsidRDefault="003A7C1B" w:rsidP="003A7C1B">
      <w:pPr>
        <w:tabs>
          <w:tab w:val="left" w:pos="90"/>
        </w:tabs>
        <w:spacing w:after="0" w:line="240" w:lineRule="auto"/>
        <w:jc w:val="both"/>
        <w:rPr>
          <w:rFonts w:ascii="Times New Roman" w:hAnsi="Times New Roman"/>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3618"/>
        <w:gridCol w:w="1591"/>
        <w:gridCol w:w="1512"/>
        <w:gridCol w:w="1621"/>
        <w:gridCol w:w="1512"/>
      </w:tblGrid>
      <w:tr w:rsidR="003A7C1B" w:rsidRPr="000860EB" w14:paraId="16843ADB" w14:textId="77777777" w:rsidTr="00250DAC">
        <w:trPr>
          <w:trHeight w:val="20"/>
          <w:tblHeader/>
          <w:jc w:val="center"/>
        </w:trPr>
        <w:tc>
          <w:tcPr>
            <w:tcW w:w="288" w:type="pct"/>
            <w:vMerge w:val="restart"/>
            <w:shd w:val="clear" w:color="auto" w:fill="D0CECE" w:themeFill="background2" w:themeFillShade="E6"/>
            <w:noWrap/>
            <w:hideMark/>
          </w:tcPr>
          <w:p w14:paraId="4DF236EE" w14:textId="77777777" w:rsidR="003A7C1B" w:rsidRPr="000860EB" w:rsidRDefault="003A7C1B" w:rsidP="00250DAC">
            <w:pPr>
              <w:spacing w:after="0" w:line="240" w:lineRule="auto"/>
              <w:jc w:val="center"/>
              <w:rPr>
                <w:rFonts w:ascii="Times New Roman" w:hAnsi="Times New Roman"/>
                <w:b/>
                <w:sz w:val="20"/>
                <w:szCs w:val="20"/>
              </w:rPr>
            </w:pPr>
            <w:r w:rsidRPr="000860EB">
              <w:rPr>
                <w:rFonts w:ascii="Times New Roman" w:hAnsi="Times New Roman"/>
                <w:b/>
                <w:sz w:val="20"/>
                <w:szCs w:val="20"/>
              </w:rPr>
              <w:t xml:space="preserve">Sr. </w:t>
            </w:r>
          </w:p>
          <w:p w14:paraId="60322CB7" w14:textId="77777777" w:rsidR="003A7C1B" w:rsidRPr="000860EB" w:rsidRDefault="003A7C1B" w:rsidP="00250DAC">
            <w:pPr>
              <w:spacing w:after="0" w:line="240" w:lineRule="auto"/>
              <w:jc w:val="center"/>
              <w:rPr>
                <w:rFonts w:ascii="Times New Roman" w:hAnsi="Times New Roman"/>
                <w:b/>
                <w:sz w:val="20"/>
                <w:szCs w:val="20"/>
              </w:rPr>
            </w:pPr>
            <w:r w:rsidRPr="000860EB">
              <w:rPr>
                <w:rFonts w:ascii="Times New Roman" w:hAnsi="Times New Roman"/>
                <w:b/>
                <w:sz w:val="20"/>
                <w:szCs w:val="20"/>
              </w:rPr>
              <w:t>No</w:t>
            </w:r>
          </w:p>
        </w:tc>
        <w:tc>
          <w:tcPr>
            <w:tcW w:w="1730" w:type="pct"/>
            <w:vMerge w:val="restart"/>
            <w:shd w:val="clear" w:color="auto" w:fill="D0CECE" w:themeFill="background2" w:themeFillShade="E6"/>
            <w:noWrap/>
            <w:vAlign w:val="center"/>
            <w:hideMark/>
          </w:tcPr>
          <w:p w14:paraId="7FEA43AA" w14:textId="77777777" w:rsidR="003A7C1B" w:rsidRPr="000860EB" w:rsidRDefault="003A7C1B" w:rsidP="00250DAC">
            <w:pPr>
              <w:spacing w:after="0" w:line="240" w:lineRule="auto"/>
              <w:jc w:val="center"/>
              <w:rPr>
                <w:rFonts w:ascii="Times New Roman" w:hAnsi="Times New Roman"/>
                <w:b/>
                <w:sz w:val="20"/>
                <w:szCs w:val="20"/>
              </w:rPr>
            </w:pPr>
            <w:r w:rsidRPr="000860EB">
              <w:rPr>
                <w:rFonts w:ascii="Times New Roman" w:hAnsi="Times New Roman"/>
                <w:b/>
                <w:sz w:val="20"/>
                <w:szCs w:val="20"/>
              </w:rPr>
              <w:t>Names</w:t>
            </w:r>
          </w:p>
        </w:tc>
        <w:tc>
          <w:tcPr>
            <w:tcW w:w="1484" w:type="pct"/>
            <w:gridSpan w:val="2"/>
            <w:shd w:val="clear" w:color="auto" w:fill="D0CECE" w:themeFill="background2" w:themeFillShade="E6"/>
            <w:noWrap/>
            <w:vAlign w:val="center"/>
            <w:hideMark/>
          </w:tcPr>
          <w:p w14:paraId="5932D322" w14:textId="77777777" w:rsidR="003A7C1B" w:rsidRPr="000860EB" w:rsidRDefault="003A7C1B" w:rsidP="00250DAC">
            <w:pPr>
              <w:spacing w:after="0" w:line="240" w:lineRule="auto"/>
              <w:jc w:val="center"/>
              <w:rPr>
                <w:rFonts w:ascii="Times New Roman" w:hAnsi="Times New Roman"/>
                <w:b/>
                <w:sz w:val="20"/>
                <w:szCs w:val="20"/>
              </w:rPr>
            </w:pPr>
            <w:r w:rsidRPr="000860EB">
              <w:rPr>
                <w:rFonts w:ascii="Times New Roman" w:hAnsi="Times New Roman"/>
                <w:b/>
                <w:sz w:val="20"/>
                <w:szCs w:val="20"/>
              </w:rPr>
              <w:t>Pre IPO</w:t>
            </w:r>
          </w:p>
        </w:tc>
        <w:tc>
          <w:tcPr>
            <w:tcW w:w="1498" w:type="pct"/>
            <w:gridSpan w:val="2"/>
            <w:shd w:val="clear" w:color="auto" w:fill="D0CECE" w:themeFill="background2" w:themeFillShade="E6"/>
            <w:noWrap/>
            <w:vAlign w:val="center"/>
            <w:hideMark/>
          </w:tcPr>
          <w:p w14:paraId="0DDA9B4B" w14:textId="77777777" w:rsidR="003A7C1B" w:rsidRPr="000860EB" w:rsidRDefault="003A7C1B" w:rsidP="00250DAC">
            <w:pPr>
              <w:spacing w:after="0" w:line="240" w:lineRule="auto"/>
              <w:jc w:val="center"/>
              <w:rPr>
                <w:rFonts w:ascii="Times New Roman" w:hAnsi="Times New Roman"/>
                <w:b/>
                <w:sz w:val="20"/>
                <w:szCs w:val="20"/>
              </w:rPr>
            </w:pPr>
            <w:r w:rsidRPr="000860EB">
              <w:rPr>
                <w:rFonts w:ascii="Times New Roman" w:hAnsi="Times New Roman"/>
                <w:b/>
                <w:sz w:val="20"/>
                <w:szCs w:val="20"/>
              </w:rPr>
              <w:t>Post IPO</w:t>
            </w:r>
          </w:p>
        </w:tc>
      </w:tr>
      <w:tr w:rsidR="003A7C1B" w:rsidRPr="000860EB" w14:paraId="4D856A5C" w14:textId="77777777" w:rsidTr="00250DAC">
        <w:trPr>
          <w:trHeight w:val="20"/>
          <w:tblHeader/>
          <w:jc w:val="center"/>
        </w:trPr>
        <w:tc>
          <w:tcPr>
            <w:tcW w:w="288" w:type="pct"/>
            <w:vMerge/>
            <w:shd w:val="clear" w:color="auto" w:fill="D0CECE" w:themeFill="background2" w:themeFillShade="E6"/>
            <w:noWrap/>
            <w:vAlign w:val="center"/>
            <w:hideMark/>
          </w:tcPr>
          <w:p w14:paraId="69D29648" w14:textId="77777777" w:rsidR="003A7C1B" w:rsidRPr="000860EB" w:rsidRDefault="003A7C1B" w:rsidP="00250DAC">
            <w:pPr>
              <w:spacing w:after="0" w:line="240" w:lineRule="auto"/>
              <w:jc w:val="center"/>
              <w:rPr>
                <w:rFonts w:ascii="Times New Roman" w:hAnsi="Times New Roman"/>
                <w:b/>
                <w:sz w:val="20"/>
                <w:szCs w:val="20"/>
              </w:rPr>
            </w:pPr>
          </w:p>
        </w:tc>
        <w:tc>
          <w:tcPr>
            <w:tcW w:w="1730" w:type="pct"/>
            <w:vMerge/>
            <w:shd w:val="clear" w:color="auto" w:fill="D0CECE" w:themeFill="background2" w:themeFillShade="E6"/>
            <w:noWrap/>
            <w:vAlign w:val="center"/>
            <w:hideMark/>
          </w:tcPr>
          <w:p w14:paraId="4EDC473C" w14:textId="77777777" w:rsidR="003A7C1B" w:rsidRPr="000860EB" w:rsidRDefault="003A7C1B" w:rsidP="00250DAC">
            <w:pPr>
              <w:spacing w:after="0" w:line="240" w:lineRule="auto"/>
              <w:jc w:val="center"/>
              <w:rPr>
                <w:rFonts w:ascii="Times New Roman" w:hAnsi="Times New Roman"/>
                <w:b/>
                <w:sz w:val="20"/>
                <w:szCs w:val="20"/>
              </w:rPr>
            </w:pPr>
          </w:p>
        </w:tc>
        <w:tc>
          <w:tcPr>
            <w:tcW w:w="761" w:type="pct"/>
            <w:shd w:val="clear" w:color="auto" w:fill="D0CECE" w:themeFill="background2" w:themeFillShade="E6"/>
            <w:noWrap/>
            <w:vAlign w:val="center"/>
            <w:hideMark/>
          </w:tcPr>
          <w:p w14:paraId="73A5A508" w14:textId="77777777" w:rsidR="003A7C1B" w:rsidRPr="000860EB" w:rsidRDefault="003A7C1B" w:rsidP="00250DAC">
            <w:pPr>
              <w:spacing w:after="0" w:line="240" w:lineRule="auto"/>
              <w:jc w:val="center"/>
              <w:rPr>
                <w:rFonts w:ascii="Times New Roman" w:hAnsi="Times New Roman"/>
                <w:b/>
                <w:sz w:val="20"/>
                <w:szCs w:val="20"/>
              </w:rPr>
            </w:pPr>
            <w:r w:rsidRPr="000860EB">
              <w:rPr>
                <w:rFonts w:ascii="Times New Roman" w:hAnsi="Times New Roman"/>
                <w:b/>
                <w:sz w:val="20"/>
                <w:szCs w:val="20"/>
              </w:rPr>
              <w:t>Shares Held</w:t>
            </w:r>
          </w:p>
        </w:tc>
        <w:tc>
          <w:tcPr>
            <w:tcW w:w="723" w:type="pct"/>
            <w:shd w:val="clear" w:color="auto" w:fill="D0CECE" w:themeFill="background2" w:themeFillShade="E6"/>
            <w:noWrap/>
            <w:vAlign w:val="center"/>
            <w:hideMark/>
          </w:tcPr>
          <w:p w14:paraId="34B914C0" w14:textId="77777777" w:rsidR="003A7C1B" w:rsidRPr="000860EB" w:rsidRDefault="003A7C1B" w:rsidP="00250DAC">
            <w:pPr>
              <w:spacing w:after="0" w:line="240" w:lineRule="auto"/>
              <w:jc w:val="center"/>
              <w:rPr>
                <w:rFonts w:ascii="Times New Roman" w:hAnsi="Times New Roman"/>
                <w:b/>
                <w:sz w:val="20"/>
                <w:szCs w:val="20"/>
              </w:rPr>
            </w:pPr>
            <w:r w:rsidRPr="000860EB">
              <w:rPr>
                <w:rFonts w:ascii="Times New Roman" w:hAnsi="Times New Roman"/>
                <w:b/>
                <w:sz w:val="20"/>
                <w:szCs w:val="20"/>
              </w:rPr>
              <w:t>% Shares Held</w:t>
            </w:r>
          </w:p>
        </w:tc>
        <w:tc>
          <w:tcPr>
            <w:tcW w:w="775" w:type="pct"/>
            <w:shd w:val="clear" w:color="auto" w:fill="D0CECE" w:themeFill="background2" w:themeFillShade="E6"/>
            <w:noWrap/>
            <w:vAlign w:val="center"/>
            <w:hideMark/>
          </w:tcPr>
          <w:p w14:paraId="3B5DD282" w14:textId="77777777" w:rsidR="003A7C1B" w:rsidRPr="000860EB" w:rsidRDefault="003A7C1B" w:rsidP="00250DAC">
            <w:pPr>
              <w:spacing w:after="0" w:line="240" w:lineRule="auto"/>
              <w:jc w:val="center"/>
              <w:rPr>
                <w:rFonts w:ascii="Times New Roman" w:hAnsi="Times New Roman"/>
                <w:b/>
                <w:sz w:val="20"/>
                <w:szCs w:val="20"/>
              </w:rPr>
            </w:pPr>
            <w:r w:rsidRPr="000860EB">
              <w:rPr>
                <w:rFonts w:ascii="Times New Roman" w:hAnsi="Times New Roman"/>
                <w:b/>
                <w:sz w:val="20"/>
                <w:szCs w:val="20"/>
              </w:rPr>
              <w:t>Shares Held</w:t>
            </w:r>
          </w:p>
        </w:tc>
        <w:tc>
          <w:tcPr>
            <w:tcW w:w="723" w:type="pct"/>
            <w:shd w:val="clear" w:color="auto" w:fill="D0CECE" w:themeFill="background2" w:themeFillShade="E6"/>
            <w:noWrap/>
            <w:vAlign w:val="center"/>
            <w:hideMark/>
          </w:tcPr>
          <w:p w14:paraId="19618704" w14:textId="77777777" w:rsidR="003A7C1B" w:rsidRPr="000860EB" w:rsidRDefault="003A7C1B" w:rsidP="00250DAC">
            <w:pPr>
              <w:spacing w:after="0" w:line="240" w:lineRule="auto"/>
              <w:jc w:val="center"/>
              <w:rPr>
                <w:rFonts w:ascii="Times New Roman" w:hAnsi="Times New Roman"/>
                <w:b/>
                <w:sz w:val="20"/>
                <w:szCs w:val="20"/>
              </w:rPr>
            </w:pPr>
            <w:r w:rsidRPr="000860EB">
              <w:rPr>
                <w:rFonts w:ascii="Times New Roman" w:hAnsi="Times New Roman"/>
                <w:b/>
                <w:sz w:val="20"/>
                <w:szCs w:val="20"/>
              </w:rPr>
              <w:t>% Shares Held</w:t>
            </w:r>
          </w:p>
        </w:tc>
      </w:tr>
      <w:tr w:rsidR="003A7C1B" w:rsidRPr="000860EB" w14:paraId="12130104" w14:textId="77777777" w:rsidTr="00250DAC">
        <w:trPr>
          <w:trHeight w:val="20"/>
          <w:jc w:val="center"/>
        </w:trPr>
        <w:tc>
          <w:tcPr>
            <w:tcW w:w="288" w:type="pct"/>
            <w:shd w:val="clear" w:color="auto" w:fill="D0CECE" w:themeFill="background2" w:themeFillShade="E6"/>
            <w:noWrap/>
            <w:vAlign w:val="center"/>
            <w:hideMark/>
          </w:tcPr>
          <w:p w14:paraId="124E3752" w14:textId="77777777" w:rsidR="003A7C1B" w:rsidRPr="000860EB" w:rsidRDefault="003A7C1B" w:rsidP="00250DAC">
            <w:pPr>
              <w:spacing w:after="0" w:line="240" w:lineRule="auto"/>
              <w:jc w:val="center"/>
              <w:rPr>
                <w:rFonts w:ascii="Times New Roman" w:eastAsia="Calibri" w:hAnsi="Times New Roman"/>
                <w:sz w:val="20"/>
                <w:szCs w:val="20"/>
              </w:rPr>
            </w:pPr>
          </w:p>
        </w:tc>
        <w:tc>
          <w:tcPr>
            <w:tcW w:w="1730" w:type="pct"/>
            <w:shd w:val="clear" w:color="auto" w:fill="D0CECE" w:themeFill="background2" w:themeFillShade="E6"/>
            <w:noWrap/>
            <w:vAlign w:val="center"/>
            <w:hideMark/>
          </w:tcPr>
          <w:p w14:paraId="5DAD0DD8" w14:textId="77777777" w:rsidR="003A7C1B" w:rsidRPr="000860EB" w:rsidRDefault="003A7C1B" w:rsidP="00250DAC">
            <w:pPr>
              <w:spacing w:after="0" w:line="240" w:lineRule="auto"/>
              <w:rPr>
                <w:rFonts w:ascii="Times New Roman" w:eastAsia="Calibri" w:hAnsi="Times New Roman"/>
                <w:b/>
                <w:sz w:val="20"/>
                <w:szCs w:val="20"/>
              </w:rPr>
            </w:pPr>
            <w:r w:rsidRPr="000860EB">
              <w:rPr>
                <w:rFonts w:ascii="Times New Roman" w:eastAsia="Calibri" w:hAnsi="Times New Roman"/>
                <w:b/>
                <w:sz w:val="20"/>
                <w:szCs w:val="20"/>
              </w:rPr>
              <w:t>Promoters (A)</w:t>
            </w:r>
          </w:p>
        </w:tc>
        <w:tc>
          <w:tcPr>
            <w:tcW w:w="761" w:type="pct"/>
            <w:shd w:val="clear" w:color="auto" w:fill="D0CECE" w:themeFill="background2" w:themeFillShade="E6"/>
            <w:noWrap/>
            <w:hideMark/>
          </w:tcPr>
          <w:p w14:paraId="52F8F521" w14:textId="77777777" w:rsidR="003A7C1B" w:rsidRPr="000860EB" w:rsidRDefault="003A7C1B" w:rsidP="00250DAC">
            <w:pPr>
              <w:spacing w:after="0" w:line="240" w:lineRule="auto"/>
              <w:jc w:val="center"/>
              <w:rPr>
                <w:rFonts w:ascii="Times New Roman" w:eastAsia="Calibri" w:hAnsi="Times New Roman"/>
                <w:sz w:val="20"/>
                <w:szCs w:val="20"/>
              </w:rPr>
            </w:pPr>
          </w:p>
        </w:tc>
        <w:tc>
          <w:tcPr>
            <w:tcW w:w="723" w:type="pct"/>
            <w:shd w:val="clear" w:color="auto" w:fill="D0CECE" w:themeFill="background2" w:themeFillShade="E6"/>
            <w:noWrap/>
            <w:vAlign w:val="bottom"/>
            <w:hideMark/>
          </w:tcPr>
          <w:p w14:paraId="33E0CEC7" w14:textId="77777777" w:rsidR="003A7C1B" w:rsidRPr="000860EB" w:rsidRDefault="003A7C1B" w:rsidP="00250DAC">
            <w:pPr>
              <w:spacing w:after="0" w:line="240" w:lineRule="auto"/>
              <w:rPr>
                <w:rFonts w:ascii="Times New Roman" w:eastAsia="Calibri" w:hAnsi="Times New Roman"/>
                <w:sz w:val="20"/>
                <w:szCs w:val="20"/>
              </w:rPr>
            </w:pPr>
          </w:p>
        </w:tc>
        <w:tc>
          <w:tcPr>
            <w:tcW w:w="775" w:type="pct"/>
            <w:shd w:val="clear" w:color="auto" w:fill="D0CECE" w:themeFill="background2" w:themeFillShade="E6"/>
            <w:noWrap/>
            <w:vAlign w:val="bottom"/>
            <w:hideMark/>
          </w:tcPr>
          <w:p w14:paraId="52696F53" w14:textId="77777777" w:rsidR="003A7C1B" w:rsidRPr="000860EB" w:rsidRDefault="003A7C1B" w:rsidP="00250DAC">
            <w:pPr>
              <w:spacing w:after="0" w:line="240" w:lineRule="auto"/>
              <w:rPr>
                <w:rFonts w:ascii="Times New Roman" w:eastAsia="Calibri" w:hAnsi="Times New Roman"/>
                <w:sz w:val="20"/>
                <w:szCs w:val="20"/>
              </w:rPr>
            </w:pPr>
          </w:p>
        </w:tc>
        <w:tc>
          <w:tcPr>
            <w:tcW w:w="723" w:type="pct"/>
            <w:shd w:val="clear" w:color="auto" w:fill="D0CECE" w:themeFill="background2" w:themeFillShade="E6"/>
            <w:noWrap/>
            <w:vAlign w:val="bottom"/>
            <w:hideMark/>
          </w:tcPr>
          <w:p w14:paraId="31E0A47C" w14:textId="77777777" w:rsidR="003A7C1B" w:rsidRPr="000860EB" w:rsidRDefault="003A7C1B" w:rsidP="00250DAC">
            <w:pPr>
              <w:spacing w:after="0" w:line="240" w:lineRule="auto"/>
              <w:rPr>
                <w:rFonts w:ascii="Times New Roman" w:eastAsia="Calibri" w:hAnsi="Times New Roman"/>
                <w:sz w:val="20"/>
                <w:szCs w:val="20"/>
              </w:rPr>
            </w:pPr>
          </w:p>
        </w:tc>
      </w:tr>
      <w:tr w:rsidR="003A7C1B" w:rsidRPr="000860EB" w14:paraId="2B5E73D2" w14:textId="77777777" w:rsidTr="00250DAC">
        <w:trPr>
          <w:trHeight w:val="20"/>
          <w:jc w:val="center"/>
        </w:trPr>
        <w:tc>
          <w:tcPr>
            <w:tcW w:w="288" w:type="pct"/>
            <w:noWrap/>
            <w:vAlign w:val="center"/>
          </w:tcPr>
          <w:p w14:paraId="7E1AB35E"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1.</w:t>
            </w:r>
          </w:p>
        </w:tc>
        <w:tc>
          <w:tcPr>
            <w:tcW w:w="1730" w:type="pct"/>
            <w:noWrap/>
          </w:tcPr>
          <w:p w14:paraId="616010D6" w14:textId="77777777" w:rsidR="003A7C1B" w:rsidRPr="000860EB" w:rsidRDefault="003A7C1B" w:rsidP="00250DAC">
            <w:pPr>
              <w:pStyle w:val="ListParagraph"/>
              <w:suppressAutoHyphens w:val="0"/>
              <w:autoSpaceDE/>
              <w:autoSpaceDN/>
              <w:adjustRightInd/>
              <w:spacing w:line="240" w:lineRule="auto"/>
              <w:ind w:left="0"/>
              <w:contextualSpacing/>
              <w:jc w:val="both"/>
              <w:textAlignment w:val="auto"/>
              <w:rPr>
                <w:sz w:val="20"/>
                <w:szCs w:val="20"/>
                <w:lang w:val="en-GB"/>
              </w:rPr>
            </w:pPr>
            <w:r w:rsidRPr="0094678C">
              <w:rPr>
                <w:sz w:val="20"/>
                <w:szCs w:val="20"/>
              </w:rPr>
              <w:t xml:space="preserve">Dwarkadhish Venture Private Limited </w:t>
            </w:r>
            <w:r w:rsidRPr="0094678C">
              <w:rPr>
                <w:i/>
                <w:iCs/>
                <w:sz w:val="20"/>
                <w:szCs w:val="20"/>
              </w:rPr>
              <w:t>(formerly known as Siyaram Metals Private Limited)</w:t>
            </w:r>
          </w:p>
        </w:tc>
        <w:tc>
          <w:tcPr>
            <w:tcW w:w="761" w:type="pct"/>
            <w:noWrap/>
            <w:vAlign w:val="center"/>
          </w:tcPr>
          <w:p w14:paraId="3D72CCF7" w14:textId="77777777" w:rsidR="003A7C1B" w:rsidRPr="000860EB" w:rsidRDefault="003A7C1B" w:rsidP="00250DAC">
            <w:pPr>
              <w:spacing w:after="0" w:line="240" w:lineRule="auto"/>
              <w:jc w:val="center"/>
              <w:rPr>
                <w:rFonts w:ascii="Times New Roman" w:eastAsia="Calibri" w:hAnsi="Times New Roman"/>
                <w:color w:val="000000"/>
                <w:sz w:val="20"/>
                <w:szCs w:val="20"/>
              </w:rPr>
            </w:pPr>
            <w:r w:rsidRPr="000860EB">
              <w:rPr>
                <w:rFonts w:ascii="Times New Roman" w:eastAsia="Calibri" w:hAnsi="Times New Roman"/>
                <w:sz w:val="20"/>
                <w:szCs w:val="20"/>
              </w:rPr>
              <w:t>1,30,45,500</w:t>
            </w:r>
          </w:p>
        </w:tc>
        <w:tc>
          <w:tcPr>
            <w:tcW w:w="723" w:type="pct"/>
            <w:noWrap/>
            <w:vAlign w:val="center"/>
          </w:tcPr>
          <w:p w14:paraId="782DF6CB" w14:textId="77777777" w:rsidR="003A7C1B" w:rsidRPr="000860EB" w:rsidRDefault="003A7C1B" w:rsidP="00250DAC">
            <w:pPr>
              <w:spacing w:after="0" w:line="240" w:lineRule="auto"/>
              <w:jc w:val="center"/>
              <w:rPr>
                <w:rFonts w:ascii="Times New Roman" w:hAnsi="Times New Roman"/>
                <w:color w:val="000000"/>
                <w:sz w:val="20"/>
                <w:szCs w:val="20"/>
              </w:rPr>
            </w:pPr>
            <w:r w:rsidRPr="000860EB">
              <w:rPr>
                <w:rFonts w:ascii="Times New Roman" w:hAnsi="Times New Roman"/>
                <w:color w:val="000000"/>
                <w:sz w:val="20"/>
                <w:szCs w:val="20"/>
              </w:rPr>
              <w:t>94.49</w:t>
            </w:r>
          </w:p>
        </w:tc>
        <w:tc>
          <w:tcPr>
            <w:tcW w:w="775" w:type="pct"/>
            <w:noWrap/>
            <w:vAlign w:val="center"/>
          </w:tcPr>
          <w:p w14:paraId="1661CC80" w14:textId="77777777" w:rsidR="003A7C1B" w:rsidRPr="000860EB" w:rsidRDefault="003A7C1B" w:rsidP="00250DAC">
            <w:pPr>
              <w:spacing w:after="0" w:line="240" w:lineRule="auto"/>
              <w:jc w:val="center"/>
              <w:rPr>
                <w:rFonts w:ascii="Times New Roman" w:eastAsia="Calibri" w:hAnsi="Times New Roman"/>
                <w:color w:val="000000"/>
                <w:sz w:val="20"/>
                <w:szCs w:val="20"/>
              </w:rPr>
            </w:pPr>
            <w:r w:rsidRPr="000860EB">
              <w:rPr>
                <w:rFonts w:ascii="Times New Roman" w:eastAsia="Calibri" w:hAnsi="Times New Roman"/>
                <w:sz w:val="20"/>
                <w:szCs w:val="20"/>
              </w:rPr>
              <w:t>1,30,45,500</w:t>
            </w:r>
          </w:p>
        </w:tc>
        <w:tc>
          <w:tcPr>
            <w:tcW w:w="723" w:type="pct"/>
            <w:noWrap/>
            <w:vAlign w:val="center"/>
          </w:tcPr>
          <w:p w14:paraId="40EEFCA1" w14:textId="77777777" w:rsidR="003A7C1B" w:rsidRPr="000860EB" w:rsidRDefault="003A7C1B" w:rsidP="00250DAC">
            <w:pPr>
              <w:spacing w:after="0" w:line="240" w:lineRule="auto"/>
              <w:jc w:val="center"/>
              <w:rPr>
                <w:rFonts w:ascii="Times New Roman" w:hAnsi="Times New Roman"/>
                <w:color w:val="000000"/>
                <w:sz w:val="20"/>
                <w:szCs w:val="20"/>
              </w:rPr>
            </w:pPr>
            <w:r w:rsidRPr="000860EB">
              <w:rPr>
                <w:rFonts w:ascii="Times New Roman" w:eastAsia="Calibri" w:hAnsi="Times New Roman"/>
                <w:sz w:val="20"/>
                <w:szCs w:val="20"/>
              </w:rPr>
              <w:t>[●]</w:t>
            </w:r>
          </w:p>
        </w:tc>
      </w:tr>
      <w:tr w:rsidR="003A7C1B" w:rsidRPr="000860EB" w14:paraId="47C2D23F" w14:textId="77777777" w:rsidTr="00250DAC">
        <w:trPr>
          <w:trHeight w:val="20"/>
          <w:jc w:val="center"/>
        </w:trPr>
        <w:tc>
          <w:tcPr>
            <w:tcW w:w="288" w:type="pct"/>
            <w:noWrap/>
            <w:vAlign w:val="center"/>
          </w:tcPr>
          <w:p w14:paraId="618E1621"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2.</w:t>
            </w:r>
          </w:p>
        </w:tc>
        <w:tc>
          <w:tcPr>
            <w:tcW w:w="1730" w:type="pct"/>
            <w:noWrap/>
          </w:tcPr>
          <w:p w14:paraId="22F3DDD6" w14:textId="77777777" w:rsidR="003A7C1B" w:rsidRPr="000860EB" w:rsidRDefault="003A7C1B" w:rsidP="00250DAC">
            <w:pPr>
              <w:pStyle w:val="ListParagraph"/>
              <w:suppressAutoHyphens w:val="0"/>
              <w:autoSpaceDE/>
              <w:autoSpaceDN/>
              <w:adjustRightInd/>
              <w:spacing w:line="240" w:lineRule="auto"/>
              <w:ind w:left="0"/>
              <w:contextualSpacing/>
              <w:jc w:val="both"/>
              <w:textAlignment w:val="auto"/>
              <w:rPr>
                <w:sz w:val="20"/>
                <w:szCs w:val="20"/>
              </w:rPr>
            </w:pPr>
            <w:r w:rsidRPr="000860EB">
              <w:rPr>
                <w:sz w:val="20"/>
                <w:szCs w:val="20"/>
              </w:rPr>
              <w:t>Ramgopal Ochhavlal Maheswari</w:t>
            </w:r>
          </w:p>
        </w:tc>
        <w:tc>
          <w:tcPr>
            <w:tcW w:w="761" w:type="pct"/>
            <w:noWrap/>
            <w:vAlign w:val="center"/>
          </w:tcPr>
          <w:p w14:paraId="00921929" w14:textId="77777777" w:rsidR="003A7C1B" w:rsidRPr="000860EB" w:rsidRDefault="003A7C1B" w:rsidP="00250DAC">
            <w:pPr>
              <w:spacing w:after="0" w:line="240" w:lineRule="auto"/>
              <w:jc w:val="center"/>
              <w:rPr>
                <w:rFonts w:ascii="Times New Roman" w:eastAsia="Calibri" w:hAnsi="Times New Roman"/>
                <w:color w:val="000000"/>
                <w:sz w:val="20"/>
                <w:szCs w:val="20"/>
              </w:rPr>
            </w:pPr>
            <w:r w:rsidRPr="000860EB">
              <w:rPr>
                <w:rFonts w:ascii="Times New Roman" w:eastAsia="Calibri" w:hAnsi="Times New Roman"/>
                <w:sz w:val="20"/>
                <w:szCs w:val="20"/>
              </w:rPr>
              <w:t>4,50,000</w:t>
            </w:r>
          </w:p>
        </w:tc>
        <w:tc>
          <w:tcPr>
            <w:tcW w:w="723" w:type="pct"/>
            <w:noWrap/>
            <w:vAlign w:val="center"/>
          </w:tcPr>
          <w:p w14:paraId="7FDBF921" w14:textId="77777777" w:rsidR="003A7C1B" w:rsidRPr="000860EB" w:rsidRDefault="003A7C1B" w:rsidP="00250DAC">
            <w:pPr>
              <w:spacing w:after="0" w:line="240" w:lineRule="auto"/>
              <w:jc w:val="center"/>
              <w:rPr>
                <w:rFonts w:ascii="Times New Roman" w:hAnsi="Times New Roman"/>
                <w:color w:val="000000"/>
                <w:sz w:val="20"/>
                <w:szCs w:val="20"/>
              </w:rPr>
            </w:pPr>
            <w:r w:rsidRPr="000860EB">
              <w:rPr>
                <w:rFonts w:ascii="Times New Roman" w:hAnsi="Times New Roman"/>
                <w:color w:val="000000"/>
                <w:sz w:val="20"/>
                <w:szCs w:val="20"/>
              </w:rPr>
              <w:t>3.26</w:t>
            </w:r>
          </w:p>
        </w:tc>
        <w:tc>
          <w:tcPr>
            <w:tcW w:w="775" w:type="pct"/>
            <w:noWrap/>
            <w:vAlign w:val="center"/>
          </w:tcPr>
          <w:p w14:paraId="34F172E2" w14:textId="77777777" w:rsidR="003A7C1B" w:rsidRPr="000860EB" w:rsidRDefault="003A7C1B" w:rsidP="00250DAC">
            <w:pPr>
              <w:spacing w:after="0" w:line="240" w:lineRule="auto"/>
              <w:jc w:val="center"/>
              <w:rPr>
                <w:rFonts w:ascii="Times New Roman" w:eastAsia="Calibri" w:hAnsi="Times New Roman"/>
                <w:color w:val="000000"/>
                <w:sz w:val="20"/>
                <w:szCs w:val="20"/>
              </w:rPr>
            </w:pPr>
            <w:r w:rsidRPr="000860EB">
              <w:rPr>
                <w:rFonts w:ascii="Times New Roman" w:eastAsia="Calibri" w:hAnsi="Times New Roman"/>
                <w:sz w:val="20"/>
                <w:szCs w:val="20"/>
              </w:rPr>
              <w:t>4,50,000</w:t>
            </w:r>
          </w:p>
        </w:tc>
        <w:tc>
          <w:tcPr>
            <w:tcW w:w="723" w:type="pct"/>
            <w:noWrap/>
            <w:vAlign w:val="center"/>
          </w:tcPr>
          <w:p w14:paraId="2DD10BEA" w14:textId="77777777" w:rsidR="003A7C1B" w:rsidRPr="000860EB" w:rsidRDefault="003A7C1B" w:rsidP="00250DAC">
            <w:pPr>
              <w:spacing w:after="0" w:line="240" w:lineRule="auto"/>
              <w:jc w:val="center"/>
              <w:rPr>
                <w:rFonts w:ascii="Times New Roman" w:hAnsi="Times New Roman"/>
                <w:color w:val="000000"/>
                <w:sz w:val="20"/>
                <w:szCs w:val="20"/>
              </w:rPr>
            </w:pPr>
            <w:r w:rsidRPr="000860EB">
              <w:rPr>
                <w:rFonts w:ascii="Times New Roman" w:eastAsia="Calibri" w:hAnsi="Times New Roman"/>
                <w:sz w:val="20"/>
                <w:szCs w:val="20"/>
              </w:rPr>
              <w:t>[●]</w:t>
            </w:r>
          </w:p>
        </w:tc>
      </w:tr>
      <w:tr w:rsidR="003A7C1B" w:rsidRPr="000860EB" w14:paraId="34506C4D" w14:textId="77777777" w:rsidTr="00250DAC">
        <w:trPr>
          <w:trHeight w:val="20"/>
          <w:jc w:val="center"/>
        </w:trPr>
        <w:tc>
          <w:tcPr>
            <w:tcW w:w="288" w:type="pct"/>
            <w:noWrap/>
            <w:vAlign w:val="center"/>
          </w:tcPr>
          <w:p w14:paraId="1808843F"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3.</w:t>
            </w:r>
          </w:p>
        </w:tc>
        <w:tc>
          <w:tcPr>
            <w:tcW w:w="1730" w:type="pct"/>
            <w:noWrap/>
          </w:tcPr>
          <w:p w14:paraId="19C611B2" w14:textId="77777777" w:rsidR="003A7C1B" w:rsidRPr="000860EB" w:rsidRDefault="003A7C1B" w:rsidP="00250DAC">
            <w:pPr>
              <w:pStyle w:val="ListParagraph"/>
              <w:suppressAutoHyphens w:val="0"/>
              <w:autoSpaceDE/>
              <w:autoSpaceDN/>
              <w:adjustRightInd/>
              <w:spacing w:line="240" w:lineRule="auto"/>
              <w:ind w:left="0"/>
              <w:contextualSpacing/>
              <w:jc w:val="both"/>
              <w:textAlignment w:val="auto"/>
              <w:rPr>
                <w:sz w:val="20"/>
                <w:szCs w:val="20"/>
              </w:rPr>
            </w:pPr>
            <w:r w:rsidRPr="000860EB">
              <w:rPr>
                <w:sz w:val="20"/>
                <w:szCs w:val="20"/>
              </w:rPr>
              <w:t>Bhavesh Ramgopal Maheshwari</w:t>
            </w:r>
          </w:p>
        </w:tc>
        <w:tc>
          <w:tcPr>
            <w:tcW w:w="761" w:type="pct"/>
            <w:noWrap/>
            <w:vAlign w:val="center"/>
          </w:tcPr>
          <w:p w14:paraId="5EA1A4F7" w14:textId="77777777" w:rsidR="003A7C1B" w:rsidRPr="000860EB" w:rsidRDefault="003A7C1B" w:rsidP="00250DAC">
            <w:pPr>
              <w:spacing w:after="0" w:line="240" w:lineRule="auto"/>
              <w:jc w:val="center"/>
              <w:rPr>
                <w:rFonts w:ascii="Times New Roman" w:eastAsia="Calibri" w:hAnsi="Times New Roman"/>
                <w:color w:val="000000"/>
                <w:sz w:val="20"/>
                <w:szCs w:val="20"/>
              </w:rPr>
            </w:pPr>
            <w:r>
              <w:rPr>
                <w:rFonts w:ascii="Times New Roman" w:eastAsia="Calibri" w:hAnsi="Times New Roman"/>
                <w:sz w:val="20"/>
                <w:szCs w:val="20"/>
              </w:rPr>
              <w:t>2,10,000</w:t>
            </w:r>
          </w:p>
        </w:tc>
        <w:tc>
          <w:tcPr>
            <w:tcW w:w="723" w:type="pct"/>
            <w:noWrap/>
            <w:vAlign w:val="center"/>
          </w:tcPr>
          <w:p w14:paraId="7A42869F" w14:textId="77777777" w:rsidR="003A7C1B" w:rsidRPr="000860EB" w:rsidRDefault="003A7C1B" w:rsidP="00250DA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1.52</w:t>
            </w:r>
          </w:p>
        </w:tc>
        <w:tc>
          <w:tcPr>
            <w:tcW w:w="775" w:type="pct"/>
            <w:noWrap/>
            <w:vAlign w:val="center"/>
          </w:tcPr>
          <w:p w14:paraId="65337B5E" w14:textId="77777777" w:rsidR="003A7C1B" w:rsidRPr="000860EB" w:rsidRDefault="003A7C1B" w:rsidP="00250DAC">
            <w:pPr>
              <w:spacing w:after="0" w:line="240" w:lineRule="auto"/>
              <w:jc w:val="center"/>
              <w:rPr>
                <w:rFonts w:ascii="Times New Roman" w:eastAsia="Calibri" w:hAnsi="Times New Roman"/>
                <w:color w:val="000000"/>
                <w:sz w:val="20"/>
                <w:szCs w:val="20"/>
              </w:rPr>
            </w:pPr>
            <w:r>
              <w:rPr>
                <w:rFonts w:ascii="Times New Roman" w:eastAsia="Calibri" w:hAnsi="Times New Roman"/>
                <w:sz w:val="20"/>
                <w:szCs w:val="20"/>
              </w:rPr>
              <w:t>2,10,000</w:t>
            </w:r>
          </w:p>
        </w:tc>
        <w:tc>
          <w:tcPr>
            <w:tcW w:w="723" w:type="pct"/>
            <w:noWrap/>
            <w:vAlign w:val="center"/>
          </w:tcPr>
          <w:p w14:paraId="0310BDDD"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w:t>
            </w:r>
          </w:p>
        </w:tc>
      </w:tr>
      <w:tr w:rsidR="003A7C1B" w:rsidRPr="000860EB" w14:paraId="52BD4A85" w14:textId="77777777" w:rsidTr="00250DAC">
        <w:trPr>
          <w:trHeight w:val="20"/>
          <w:jc w:val="center"/>
        </w:trPr>
        <w:tc>
          <w:tcPr>
            <w:tcW w:w="288" w:type="pct"/>
            <w:noWrap/>
            <w:vAlign w:val="center"/>
          </w:tcPr>
          <w:p w14:paraId="0C57957A" w14:textId="77777777" w:rsidR="003A7C1B" w:rsidRPr="000860EB" w:rsidRDefault="003A7C1B" w:rsidP="00250DAC">
            <w:pPr>
              <w:spacing w:after="0" w:line="240" w:lineRule="auto"/>
              <w:jc w:val="center"/>
              <w:rPr>
                <w:rFonts w:ascii="Times New Roman" w:eastAsia="Calibri" w:hAnsi="Times New Roman"/>
                <w:sz w:val="20"/>
                <w:szCs w:val="20"/>
              </w:rPr>
            </w:pPr>
          </w:p>
        </w:tc>
        <w:tc>
          <w:tcPr>
            <w:tcW w:w="1730" w:type="pct"/>
            <w:noWrap/>
          </w:tcPr>
          <w:p w14:paraId="170E2916" w14:textId="77777777" w:rsidR="003A7C1B" w:rsidRPr="000860EB" w:rsidRDefault="003A7C1B" w:rsidP="00250DAC">
            <w:pPr>
              <w:spacing w:after="0" w:line="240" w:lineRule="auto"/>
              <w:jc w:val="both"/>
              <w:rPr>
                <w:rFonts w:ascii="Times New Roman" w:hAnsi="Times New Roman"/>
                <w:b/>
                <w:color w:val="000000"/>
                <w:sz w:val="20"/>
                <w:szCs w:val="20"/>
              </w:rPr>
            </w:pPr>
            <w:r w:rsidRPr="000860EB">
              <w:rPr>
                <w:rFonts w:ascii="Times New Roman" w:hAnsi="Times New Roman"/>
                <w:b/>
                <w:color w:val="000000"/>
                <w:sz w:val="20"/>
                <w:szCs w:val="20"/>
              </w:rPr>
              <w:t xml:space="preserve">Sub Total (A) </w:t>
            </w:r>
          </w:p>
        </w:tc>
        <w:tc>
          <w:tcPr>
            <w:tcW w:w="761" w:type="pct"/>
            <w:noWrap/>
            <w:vAlign w:val="center"/>
          </w:tcPr>
          <w:p w14:paraId="154AFA93" w14:textId="77777777" w:rsidR="003A7C1B" w:rsidRPr="000860EB" w:rsidRDefault="003A7C1B" w:rsidP="00250DAC">
            <w:pPr>
              <w:spacing w:after="0" w:line="240" w:lineRule="auto"/>
              <w:jc w:val="center"/>
              <w:rPr>
                <w:rFonts w:ascii="Times New Roman" w:eastAsia="Calibri" w:hAnsi="Times New Roman"/>
                <w:b/>
                <w:color w:val="000000"/>
                <w:sz w:val="20"/>
                <w:szCs w:val="20"/>
              </w:rPr>
            </w:pPr>
            <w:r>
              <w:rPr>
                <w:rFonts w:ascii="Times New Roman" w:eastAsia="Calibri" w:hAnsi="Times New Roman"/>
                <w:b/>
                <w:color w:val="000000"/>
                <w:sz w:val="20"/>
                <w:szCs w:val="20"/>
              </w:rPr>
              <w:t>1,37,05,500</w:t>
            </w:r>
          </w:p>
        </w:tc>
        <w:tc>
          <w:tcPr>
            <w:tcW w:w="723" w:type="pct"/>
            <w:noWrap/>
            <w:vAlign w:val="center"/>
          </w:tcPr>
          <w:p w14:paraId="787B9B1D" w14:textId="77777777" w:rsidR="003A7C1B" w:rsidRPr="000860EB" w:rsidRDefault="003A7C1B" w:rsidP="00250DA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99.28</w:t>
            </w:r>
          </w:p>
        </w:tc>
        <w:tc>
          <w:tcPr>
            <w:tcW w:w="775" w:type="pct"/>
            <w:noWrap/>
            <w:vAlign w:val="center"/>
          </w:tcPr>
          <w:p w14:paraId="38FA8CD7" w14:textId="77777777" w:rsidR="003A7C1B" w:rsidRPr="000860EB" w:rsidRDefault="003A7C1B" w:rsidP="00250DAC">
            <w:pPr>
              <w:spacing w:after="0" w:line="240" w:lineRule="auto"/>
              <w:jc w:val="center"/>
              <w:rPr>
                <w:rFonts w:ascii="Times New Roman" w:eastAsia="Calibri" w:hAnsi="Times New Roman"/>
                <w:b/>
                <w:color w:val="000000"/>
                <w:sz w:val="20"/>
                <w:szCs w:val="20"/>
              </w:rPr>
            </w:pPr>
            <w:r>
              <w:rPr>
                <w:rFonts w:ascii="Times New Roman" w:eastAsia="Calibri" w:hAnsi="Times New Roman"/>
                <w:b/>
                <w:color w:val="000000"/>
                <w:sz w:val="20"/>
                <w:szCs w:val="20"/>
              </w:rPr>
              <w:t>1,37,05,500</w:t>
            </w:r>
          </w:p>
        </w:tc>
        <w:tc>
          <w:tcPr>
            <w:tcW w:w="723" w:type="pct"/>
            <w:noWrap/>
            <w:vAlign w:val="center"/>
          </w:tcPr>
          <w:p w14:paraId="7EF9DDC2" w14:textId="77777777" w:rsidR="003A7C1B" w:rsidRPr="000860EB" w:rsidRDefault="003A7C1B" w:rsidP="00250DAC">
            <w:pPr>
              <w:spacing w:after="0" w:line="240" w:lineRule="auto"/>
              <w:jc w:val="center"/>
              <w:rPr>
                <w:rFonts w:ascii="Times New Roman" w:hAnsi="Times New Roman"/>
                <w:b/>
                <w:color w:val="000000"/>
                <w:sz w:val="20"/>
                <w:szCs w:val="20"/>
              </w:rPr>
            </w:pPr>
            <w:r w:rsidRPr="000860EB">
              <w:rPr>
                <w:rFonts w:ascii="Times New Roman" w:eastAsia="Calibri" w:hAnsi="Times New Roman"/>
                <w:sz w:val="20"/>
                <w:szCs w:val="20"/>
              </w:rPr>
              <w:t>[●]</w:t>
            </w:r>
          </w:p>
        </w:tc>
      </w:tr>
      <w:tr w:rsidR="003A7C1B" w:rsidRPr="000860EB" w14:paraId="18E7359A" w14:textId="77777777" w:rsidTr="00250DAC">
        <w:trPr>
          <w:trHeight w:val="20"/>
          <w:jc w:val="center"/>
        </w:trPr>
        <w:tc>
          <w:tcPr>
            <w:tcW w:w="288" w:type="pct"/>
            <w:noWrap/>
            <w:vAlign w:val="center"/>
          </w:tcPr>
          <w:p w14:paraId="42E0B1A6"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 xml:space="preserve"> </w:t>
            </w:r>
          </w:p>
        </w:tc>
        <w:tc>
          <w:tcPr>
            <w:tcW w:w="1730" w:type="pct"/>
            <w:noWrap/>
          </w:tcPr>
          <w:p w14:paraId="410C0545" w14:textId="77777777" w:rsidR="003A7C1B" w:rsidRPr="000860EB" w:rsidRDefault="003A7C1B" w:rsidP="00250DAC">
            <w:pPr>
              <w:spacing w:after="0" w:line="240" w:lineRule="auto"/>
              <w:jc w:val="both"/>
              <w:rPr>
                <w:rFonts w:ascii="Times New Roman" w:hAnsi="Times New Roman"/>
                <w:b/>
                <w:bCs/>
                <w:sz w:val="20"/>
                <w:szCs w:val="20"/>
              </w:rPr>
            </w:pPr>
          </w:p>
        </w:tc>
        <w:tc>
          <w:tcPr>
            <w:tcW w:w="761" w:type="pct"/>
            <w:noWrap/>
            <w:vAlign w:val="center"/>
          </w:tcPr>
          <w:p w14:paraId="05330B5A" w14:textId="77777777" w:rsidR="003A7C1B" w:rsidRPr="000860EB" w:rsidRDefault="003A7C1B" w:rsidP="00250DAC">
            <w:pPr>
              <w:spacing w:after="0" w:line="240" w:lineRule="auto"/>
              <w:jc w:val="center"/>
              <w:rPr>
                <w:rFonts w:ascii="Times New Roman" w:eastAsia="Calibri" w:hAnsi="Times New Roman"/>
                <w:color w:val="000000"/>
                <w:sz w:val="20"/>
                <w:szCs w:val="20"/>
              </w:rPr>
            </w:pPr>
          </w:p>
        </w:tc>
        <w:tc>
          <w:tcPr>
            <w:tcW w:w="723" w:type="pct"/>
            <w:noWrap/>
            <w:vAlign w:val="center"/>
          </w:tcPr>
          <w:p w14:paraId="124722A9" w14:textId="77777777" w:rsidR="003A7C1B" w:rsidRPr="000860EB" w:rsidRDefault="003A7C1B" w:rsidP="00250DAC">
            <w:pPr>
              <w:spacing w:after="0" w:line="240" w:lineRule="auto"/>
              <w:jc w:val="center"/>
              <w:rPr>
                <w:rFonts w:ascii="Times New Roman" w:hAnsi="Times New Roman"/>
                <w:color w:val="000000"/>
                <w:sz w:val="20"/>
                <w:szCs w:val="20"/>
              </w:rPr>
            </w:pPr>
          </w:p>
        </w:tc>
        <w:tc>
          <w:tcPr>
            <w:tcW w:w="775" w:type="pct"/>
            <w:noWrap/>
            <w:vAlign w:val="center"/>
          </w:tcPr>
          <w:p w14:paraId="4E097241" w14:textId="77777777" w:rsidR="003A7C1B" w:rsidRPr="000860EB" w:rsidRDefault="003A7C1B" w:rsidP="00250DAC">
            <w:pPr>
              <w:spacing w:after="0" w:line="240" w:lineRule="auto"/>
              <w:jc w:val="center"/>
              <w:rPr>
                <w:rFonts w:ascii="Times New Roman" w:eastAsia="Calibri" w:hAnsi="Times New Roman"/>
                <w:color w:val="000000"/>
                <w:sz w:val="20"/>
                <w:szCs w:val="20"/>
              </w:rPr>
            </w:pPr>
          </w:p>
        </w:tc>
        <w:tc>
          <w:tcPr>
            <w:tcW w:w="723" w:type="pct"/>
            <w:noWrap/>
            <w:vAlign w:val="center"/>
          </w:tcPr>
          <w:p w14:paraId="5B70FEAE" w14:textId="77777777" w:rsidR="003A7C1B" w:rsidRPr="000860EB" w:rsidRDefault="003A7C1B" w:rsidP="00250DAC">
            <w:pPr>
              <w:spacing w:after="0" w:line="240" w:lineRule="auto"/>
              <w:jc w:val="center"/>
              <w:rPr>
                <w:rFonts w:ascii="Times New Roman" w:hAnsi="Times New Roman"/>
                <w:color w:val="000000"/>
                <w:sz w:val="20"/>
                <w:szCs w:val="20"/>
              </w:rPr>
            </w:pPr>
          </w:p>
        </w:tc>
      </w:tr>
      <w:tr w:rsidR="003A7C1B" w:rsidRPr="000860EB" w14:paraId="57E10F19" w14:textId="77777777" w:rsidTr="00250DAC">
        <w:trPr>
          <w:trHeight w:val="20"/>
          <w:jc w:val="center"/>
        </w:trPr>
        <w:tc>
          <w:tcPr>
            <w:tcW w:w="288" w:type="pct"/>
            <w:shd w:val="clear" w:color="auto" w:fill="D0CECE" w:themeFill="background2" w:themeFillShade="E6"/>
            <w:noWrap/>
            <w:vAlign w:val="center"/>
          </w:tcPr>
          <w:p w14:paraId="790006FF" w14:textId="77777777" w:rsidR="003A7C1B" w:rsidRPr="000860EB" w:rsidRDefault="003A7C1B" w:rsidP="00250DAC">
            <w:pPr>
              <w:spacing w:after="0" w:line="240" w:lineRule="auto"/>
              <w:jc w:val="center"/>
              <w:rPr>
                <w:rFonts w:ascii="Times New Roman" w:eastAsia="Calibri" w:hAnsi="Times New Roman"/>
                <w:sz w:val="20"/>
                <w:szCs w:val="20"/>
              </w:rPr>
            </w:pPr>
          </w:p>
        </w:tc>
        <w:tc>
          <w:tcPr>
            <w:tcW w:w="1730" w:type="pct"/>
            <w:shd w:val="clear" w:color="auto" w:fill="D0CECE" w:themeFill="background2" w:themeFillShade="E6"/>
            <w:noWrap/>
          </w:tcPr>
          <w:p w14:paraId="11194B5E" w14:textId="77777777" w:rsidR="003A7C1B" w:rsidRPr="000860EB" w:rsidRDefault="003A7C1B" w:rsidP="00250DAC">
            <w:pPr>
              <w:spacing w:after="0" w:line="240" w:lineRule="auto"/>
              <w:jc w:val="both"/>
              <w:rPr>
                <w:rFonts w:ascii="Times New Roman" w:hAnsi="Times New Roman"/>
                <w:color w:val="000000"/>
                <w:sz w:val="20"/>
                <w:szCs w:val="20"/>
              </w:rPr>
            </w:pPr>
            <w:r w:rsidRPr="000860EB">
              <w:rPr>
                <w:rFonts w:ascii="Times New Roman" w:hAnsi="Times New Roman"/>
                <w:b/>
                <w:bCs/>
                <w:sz w:val="20"/>
                <w:szCs w:val="20"/>
              </w:rPr>
              <w:t>Promoter Group (B)</w:t>
            </w:r>
          </w:p>
        </w:tc>
        <w:tc>
          <w:tcPr>
            <w:tcW w:w="761" w:type="pct"/>
            <w:shd w:val="clear" w:color="auto" w:fill="D0CECE" w:themeFill="background2" w:themeFillShade="E6"/>
            <w:noWrap/>
            <w:vAlign w:val="center"/>
          </w:tcPr>
          <w:p w14:paraId="126D09D3" w14:textId="77777777" w:rsidR="003A7C1B" w:rsidRPr="000860EB" w:rsidRDefault="003A7C1B" w:rsidP="00250DAC">
            <w:pPr>
              <w:spacing w:after="0" w:line="240" w:lineRule="auto"/>
              <w:jc w:val="center"/>
              <w:rPr>
                <w:rFonts w:ascii="Times New Roman" w:eastAsia="Calibri" w:hAnsi="Times New Roman"/>
                <w:color w:val="000000"/>
                <w:sz w:val="20"/>
                <w:szCs w:val="20"/>
              </w:rPr>
            </w:pPr>
          </w:p>
        </w:tc>
        <w:tc>
          <w:tcPr>
            <w:tcW w:w="723" w:type="pct"/>
            <w:shd w:val="clear" w:color="auto" w:fill="D0CECE" w:themeFill="background2" w:themeFillShade="E6"/>
            <w:noWrap/>
            <w:vAlign w:val="center"/>
          </w:tcPr>
          <w:p w14:paraId="7C1EB1B9" w14:textId="77777777" w:rsidR="003A7C1B" w:rsidRPr="000860EB" w:rsidRDefault="003A7C1B" w:rsidP="00250DAC">
            <w:pPr>
              <w:spacing w:after="0" w:line="240" w:lineRule="auto"/>
              <w:jc w:val="center"/>
              <w:rPr>
                <w:rFonts w:ascii="Times New Roman" w:hAnsi="Times New Roman"/>
                <w:color w:val="000000"/>
                <w:sz w:val="20"/>
                <w:szCs w:val="20"/>
              </w:rPr>
            </w:pPr>
          </w:p>
        </w:tc>
        <w:tc>
          <w:tcPr>
            <w:tcW w:w="775" w:type="pct"/>
            <w:shd w:val="clear" w:color="auto" w:fill="D0CECE" w:themeFill="background2" w:themeFillShade="E6"/>
            <w:noWrap/>
            <w:vAlign w:val="center"/>
          </w:tcPr>
          <w:p w14:paraId="409510C0" w14:textId="77777777" w:rsidR="003A7C1B" w:rsidRPr="000860EB" w:rsidRDefault="003A7C1B" w:rsidP="00250DAC">
            <w:pPr>
              <w:spacing w:after="0" w:line="240" w:lineRule="auto"/>
              <w:jc w:val="center"/>
              <w:rPr>
                <w:rFonts w:ascii="Times New Roman" w:eastAsia="Calibri" w:hAnsi="Times New Roman"/>
                <w:color w:val="000000"/>
                <w:sz w:val="20"/>
                <w:szCs w:val="20"/>
              </w:rPr>
            </w:pPr>
          </w:p>
        </w:tc>
        <w:tc>
          <w:tcPr>
            <w:tcW w:w="723" w:type="pct"/>
            <w:shd w:val="clear" w:color="auto" w:fill="D0CECE" w:themeFill="background2" w:themeFillShade="E6"/>
            <w:noWrap/>
            <w:vAlign w:val="center"/>
          </w:tcPr>
          <w:p w14:paraId="31B06A0C" w14:textId="77777777" w:rsidR="003A7C1B" w:rsidRPr="000860EB" w:rsidRDefault="003A7C1B" w:rsidP="00250DAC">
            <w:pPr>
              <w:spacing w:after="0" w:line="240" w:lineRule="auto"/>
              <w:jc w:val="center"/>
              <w:rPr>
                <w:rFonts w:ascii="Times New Roman" w:hAnsi="Times New Roman"/>
                <w:color w:val="000000"/>
                <w:sz w:val="20"/>
                <w:szCs w:val="20"/>
              </w:rPr>
            </w:pPr>
          </w:p>
        </w:tc>
      </w:tr>
      <w:tr w:rsidR="003A7C1B" w:rsidRPr="000860EB" w14:paraId="230E9C17" w14:textId="77777777" w:rsidTr="00250DAC">
        <w:trPr>
          <w:trHeight w:val="20"/>
          <w:jc w:val="center"/>
        </w:trPr>
        <w:tc>
          <w:tcPr>
            <w:tcW w:w="288" w:type="pct"/>
            <w:noWrap/>
            <w:vAlign w:val="center"/>
          </w:tcPr>
          <w:p w14:paraId="700D0985"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4.</w:t>
            </w:r>
          </w:p>
        </w:tc>
        <w:tc>
          <w:tcPr>
            <w:tcW w:w="1730" w:type="pct"/>
            <w:noWrap/>
          </w:tcPr>
          <w:p w14:paraId="3F33328C" w14:textId="77777777" w:rsidR="003A7C1B" w:rsidRPr="000860EB" w:rsidRDefault="003A7C1B" w:rsidP="00250DAC">
            <w:pPr>
              <w:spacing w:after="0" w:line="240" w:lineRule="auto"/>
              <w:jc w:val="both"/>
              <w:rPr>
                <w:rFonts w:ascii="Times New Roman" w:hAnsi="Times New Roman"/>
                <w:color w:val="000000"/>
                <w:sz w:val="20"/>
                <w:szCs w:val="20"/>
              </w:rPr>
            </w:pPr>
            <w:r w:rsidRPr="000860EB">
              <w:rPr>
                <w:rFonts w:ascii="Times New Roman" w:hAnsi="Times New Roman"/>
                <w:color w:val="000000"/>
                <w:sz w:val="20"/>
                <w:szCs w:val="20"/>
              </w:rPr>
              <w:t>Madhu Ramgopal Maheshwari</w:t>
            </w:r>
          </w:p>
        </w:tc>
        <w:tc>
          <w:tcPr>
            <w:tcW w:w="761" w:type="pct"/>
            <w:noWrap/>
            <w:vAlign w:val="center"/>
          </w:tcPr>
          <w:p w14:paraId="2A26E8D2" w14:textId="77777777" w:rsidR="003A7C1B" w:rsidRPr="000860EB" w:rsidRDefault="003A7C1B" w:rsidP="00250DAC">
            <w:pPr>
              <w:spacing w:after="0" w:line="240" w:lineRule="auto"/>
              <w:jc w:val="center"/>
              <w:rPr>
                <w:rFonts w:ascii="Times New Roman" w:eastAsia="Calibri" w:hAnsi="Times New Roman"/>
                <w:color w:val="000000"/>
                <w:sz w:val="20"/>
                <w:szCs w:val="20"/>
              </w:rPr>
            </w:pPr>
            <w:r w:rsidRPr="000860EB">
              <w:rPr>
                <w:rFonts w:ascii="Times New Roman" w:eastAsia="Calibri" w:hAnsi="Times New Roman"/>
                <w:color w:val="000000"/>
                <w:sz w:val="20"/>
                <w:szCs w:val="20"/>
              </w:rPr>
              <w:t>40,000</w:t>
            </w:r>
          </w:p>
        </w:tc>
        <w:tc>
          <w:tcPr>
            <w:tcW w:w="723" w:type="pct"/>
            <w:noWrap/>
            <w:vAlign w:val="center"/>
          </w:tcPr>
          <w:p w14:paraId="31BE9077" w14:textId="77777777" w:rsidR="003A7C1B" w:rsidRPr="000860EB" w:rsidRDefault="003A7C1B" w:rsidP="00250DAC">
            <w:pPr>
              <w:spacing w:after="0" w:line="240" w:lineRule="auto"/>
              <w:jc w:val="center"/>
              <w:rPr>
                <w:rFonts w:ascii="Times New Roman" w:hAnsi="Times New Roman"/>
                <w:color w:val="000000"/>
                <w:sz w:val="20"/>
                <w:szCs w:val="20"/>
              </w:rPr>
            </w:pPr>
            <w:r w:rsidRPr="000860EB">
              <w:rPr>
                <w:rFonts w:ascii="Times New Roman" w:hAnsi="Times New Roman"/>
                <w:color w:val="000000"/>
                <w:sz w:val="20"/>
                <w:szCs w:val="20"/>
              </w:rPr>
              <w:t>0.29</w:t>
            </w:r>
          </w:p>
        </w:tc>
        <w:tc>
          <w:tcPr>
            <w:tcW w:w="775" w:type="pct"/>
            <w:noWrap/>
            <w:vAlign w:val="center"/>
          </w:tcPr>
          <w:p w14:paraId="76B8E657" w14:textId="77777777" w:rsidR="003A7C1B" w:rsidRPr="000860EB" w:rsidRDefault="003A7C1B" w:rsidP="00250DAC">
            <w:pPr>
              <w:spacing w:after="0" w:line="240" w:lineRule="auto"/>
              <w:jc w:val="center"/>
              <w:rPr>
                <w:rFonts w:ascii="Times New Roman" w:eastAsia="Calibri" w:hAnsi="Times New Roman"/>
                <w:color w:val="000000"/>
                <w:sz w:val="20"/>
                <w:szCs w:val="20"/>
              </w:rPr>
            </w:pPr>
            <w:r w:rsidRPr="000860EB">
              <w:rPr>
                <w:rFonts w:ascii="Times New Roman" w:eastAsia="Calibri" w:hAnsi="Times New Roman"/>
                <w:color w:val="000000"/>
                <w:sz w:val="20"/>
                <w:szCs w:val="20"/>
              </w:rPr>
              <w:t>40,000</w:t>
            </w:r>
          </w:p>
        </w:tc>
        <w:tc>
          <w:tcPr>
            <w:tcW w:w="723" w:type="pct"/>
            <w:noWrap/>
            <w:vAlign w:val="center"/>
          </w:tcPr>
          <w:p w14:paraId="2E6991E4" w14:textId="77777777" w:rsidR="003A7C1B" w:rsidRPr="000860EB" w:rsidRDefault="003A7C1B" w:rsidP="00250DAC">
            <w:pPr>
              <w:spacing w:after="0" w:line="240" w:lineRule="auto"/>
              <w:jc w:val="center"/>
              <w:rPr>
                <w:rFonts w:ascii="Times New Roman" w:hAnsi="Times New Roman"/>
                <w:color w:val="000000"/>
                <w:sz w:val="20"/>
                <w:szCs w:val="20"/>
              </w:rPr>
            </w:pPr>
            <w:r w:rsidRPr="000860EB">
              <w:rPr>
                <w:rFonts w:ascii="Times New Roman" w:eastAsia="Calibri" w:hAnsi="Times New Roman"/>
                <w:sz w:val="20"/>
                <w:szCs w:val="20"/>
              </w:rPr>
              <w:t>[●]</w:t>
            </w:r>
          </w:p>
        </w:tc>
      </w:tr>
      <w:tr w:rsidR="003A7C1B" w:rsidRPr="000860EB" w14:paraId="04963819" w14:textId="77777777" w:rsidTr="00250DAC">
        <w:trPr>
          <w:trHeight w:val="20"/>
          <w:jc w:val="center"/>
        </w:trPr>
        <w:tc>
          <w:tcPr>
            <w:tcW w:w="288" w:type="pct"/>
            <w:noWrap/>
            <w:vAlign w:val="center"/>
          </w:tcPr>
          <w:p w14:paraId="0286E40B"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5.</w:t>
            </w:r>
          </w:p>
        </w:tc>
        <w:tc>
          <w:tcPr>
            <w:tcW w:w="1730" w:type="pct"/>
            <w:noWrap/>
          </w:tcPr>
          <w:p w14:paraId="0BE72AA1" w14:textId="77777777" w:rsidR="003A7C1B" w:rsidRPr="000860EB" w:rsidRDefault="003A7C1B" w:rsidP="00250DAC">
            <w:pPr>
              <w:spacing w:after="0" w:line="240" w:lineRule="auto"/>
              <w:jc w:val="both"/>
              <w:rPr>
                <w:rFonts w:ascii="Times New Roman" w:hAnsi="Times New Roman"/>
                <w:color w:val="000000"/>
                <w:sz w:val="20"/>
                <w:szCs w:val="20"/>
              </w:rPr>
            </w:pPr>
            <w:r w:rsidRPr="000860EB">
              <w:rPr>
                <w:rFonts w:ascii="Times New Roman" w:hAnsi="Times New Roman"/>
                <w:color w:val="000000"/>
                <w:sz w:val="20"/>
                <w:szCs w:val="20"/>
              </w:rPr>
              <w:t xml:space="preserve">Megha </w:t>
            </w:r>
            <w:r w:rsidRPr="000860EB">
              <w:rPr>
                <w:rFonts w:ascii="Times New Roman" w:hAnsi="Times New Roman"/>
                <w:sz w:val="20"/>
                <w:szCs w:val="20"/>
              </w:rPr>
              <w:t xml:space="preserve">Bhavesh </w:t>
            </w:r>
            <w:r w:rsidRPr="000860EB">
              <w:rPr>
                <w:rFonts w:ascii="Times New Roman" w:hAnsi="Times New Roman"/>
                <w:color w:val="000000"/>
                <w:sz w:val="20"/>
                <w:szCs w:val="20"/>
              </w:rPr>
              <w:t>Maheshwari</w:t>
            </w:r>
          </w:p>
        </w:tc>
        <w:tc>
          <w:tcPr>
            <w:tcW w:w="761" w:type="pct"/>
            <w:noWrap/>
            <w:vAlign w:val="center"/>
          </w:tcPr>
          <w:p w14:paraId="3E5B118C" w14:textId="77777777" w:rsidR="003A7C1B" w:rsidRPr="000860EB" w:rsidRDefault="003A7C1B" w:rsidP="00250DAC">
            <w:pPr>
              <w:spacing w:after="0" w:line="240" w:lineRule="auto"/>
              <w:jc w:val="center"/>
              <w:rPr>
                <w:rFonts w:ascii="Times New Roman" w:eastAsia="Calibri" w:hAnsi="Times New Roman"/>
                <w:color w:val="000000"/>
                <w:sz w:val="20"/>
                <w:szCs w:val="20"/>
              </w:rPr>
            </w:pPr>
            <w:r w:rsidRPr="000860EB">
              <w:rPr>
                <w:rFonts w:ascii="Times New Roman" w:eastAsia="Calibri" w:hAnsi="Times New Roman"/>
                <w:color w:val="000000"/>
                <w:sz w:val="20"/>
                <w:szCs w:val="20"/>
              </w:rPr>
              <w:t>40,000</w:t>
            </w:r>
          </w:p>
        </w:tc>
        <w:tc>
          <w:tcPr>
            <w:tcW w:w="723" w:type="pct"/>
            <w:noWrap/>
            <w:vAlign w:val="center"/>
          </w:tcPr>
          <w:p w14:paraId="46BCF507" w14:textId="77777777" w:rsidR="003A7C1B" w:rsidRPr="000860EB" w:rsidRDefault="003A7C1B" w:rsidP="00250DAC">
            <w:pPr>
              <w:spacing w:after="0" w:line="240" w:lineRule="auto"/>
              <w:jc w:val="center"/>
              <w:rPr>
                <w:rFonts w:ascii="Times New Roman" w:hAnsi="Times New Roman"/>
                <w:color w:val="000000"/>
                <w:sz w:val="20"/>
                <w:szCs w:val="20"/>
              </w:rPr>
            </w:pPr>
            <w:r w:rsidRPr="000860EB">
              <w:rPr>
                <w:rFonts w:ascii="Times New Roman" w:hAnsi="Times New Roman"/>
                <w:color w:val="000000"/>
                <w:sz w:val="20"/>
                <w:szCs w:val="20"/>
              </w:rPr>
              <w:t>0.29</w:t>
            </w:r>
          </w:p>
        </w:tc>
        <w:tc>
          <w:tcPr>
            <w:tcW w:w="775" w:type="pct"/>
            <w:noWrap/>
            <w:vAlign w:val="center"/>
          </w:tcPr>
          <w:p w14:paraId="5A10DB8B" w14:textId="77777777" w:rsidR="003A7C1B" w:rsidRPr="000860EB" w:rsidRDefault="003A7C1B" w:rsidP="00250DAC">
            <w:pPr>
              <w:spacing w:after="0" w:line="240" w:lineRule="auto"/>
              <w:jc w:val="center"/>
              <w:rPr>
                <w:rFonts w:ascii="Times New Roman" w:eastAsia="Calibri" w:hAnsi="Times New Roman"/>
                <w:color w:val="000000"/>
                <w:sz w:val="20"/>
                <w:szCs w:val="20"/>
              </w:rPr>
            </w:pPr>
            <w:r w:rsidRPr="000860EB">
              <w:rPr>
                <w:rFonts w:ascii="Times New Roman" w:eastAsia="Calibri" w:hAnsi="Times New Roman"/>
                <w:color w:val="000000"/>
                <w:sz w:val="20"/>
                <w:szCs w:val="20"/>
              </w:rPr>
              <w:t>40,000</w:t>
            </w:r>
          </w:p>
        </w:tc>
        <w:tc>
          <w:tcPr>
            <w:tcW w:w="723" w:type="pct"/>
            <w:noWrap/>
            <w:vAlign w:val="center"/>
          </w:tcPr>
          <w:p w14:paraId="53C340B5" w14:textId="77777777" w:rsidR="003A7C1B" w:rsidRPr="000860EB" w:rsidRDefault="003A7C1B" w:rsidP="00250DAC">
            <w:pPr>
              <w:spacing w:after="0" w:line="240" w:lineRule="auto"/>
              <w:jc w:val="center"/>
              <w:rPr>
                <w:rFonts w:ascii="Times New Roman" w:hAnsi="Times New Roman"/>
                <w:color w:val="000000"/>
                <w:sz w:val="20"/>
                <w:szCs w:val="20"/>
              </w:rPr>
            </w:pPr>
            <w:r w:rsidRPr="000860EB">
              <w:rPr>
                <w:rFonts w:ascii="Times New Roman" w:eastAsia="Calibri" w:hAnsi="Times New Roman"/>
                <w:sz w:val="20"/>
                <w:szCs w:val="20"/>
              </w:rPr>
              <w:t>[●]</w:t>
            </w:r>
          </w:p>
        </w:tc>
      </w:tr>
      <w:tr w:rsidR="003A7C1B" w:rsidRPr="000860EB" w14:paraId="5CCF4C69" w14:textId="77777777" w:rsidTr="00250DAC">
        <w:trPr>
          <w:trHeight w:val="20"/>
          <w:jc w:val="center"/>
        </w:trPr>
        <w:tc>
          <w:tcPr>
            <w:tcW w:w="288" w:type="pct"/>
            <w:noWrap/>
            <w:vAlign w:val="center"/>
          </w:tcPr>
          <w:p w14:paraId="11F2D07B"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6.</w:t>
            </w:r>
          </w:p>
        </w:tc>
        <w:tc>
          <w:tcPr>
            <w:tcW w:w="1730" w:type="pct"/>
            <w:noWrap/>
          </w:tcPr>
          <w:p w14:paraId="2B34B768" w14:textId="77777777" w:rsidR="003A7C1B" w:rsidRPr="000860EB" w:rsidRDefault="003A7C1B" w:rsidP="00250DAC">
            <w:pPr>
              <w:spacing w:after="0" w:line="240" w:lineRule="auto"/>
              <w:jc w:val="both"/>
              <w:rPr>
                <w:rFonts w:ascii="Times New Roman" w:hAnsi="Times New Roman"/>
                <w:color w:val="000000"/>
                <w:sz w:val="20"/>
                <w:szCs w:val="20"/>
              </w:rPr>
            </w:pPr>
            <w:r>
              <w:rPr>
                <w:rFonts w:ascii="Times New Roman" w:hAnsi="Times New Roman"/>
                <w:sz w:val="20"/>
                <w:szCs w:val="20"/>
              </w:rPr>
              <w:t>M</w:t>
            </w:r>
            <w:r w:rsidRPr="00126C33">
              <w:rPr>
                <w:rFonts w:ascii="Times New Roman" w:hAnsi="Times New Roman"/>
                <w:sz w:val="20"/>
                <w:szCs w:val="20"/>
              </w:rPr>
              <w:t>aheshwari Ramgopal Ochha</w:t>
            </w:r>
            <w:r>
              <w:rPr>
                <w:rFonts w:ascii="Times New Roman" w:hAnsi="Times New Roman"/>
                <w:sz w:val="20"/>
                <w:szCs w:val="20"/>
              </w:rPr>
              <w:t>v</w:t>
            </w:r>
            <w:r w:rsidRPr="00126C33">
              <w:rPr>
                <w:rFonts w:ascii="Times New Roman" w:hAnsi="Times New Roman"/>
                <w:sz w:val="20"/>
                <w:szCs w:val="20"/>
              </w:rPr>
              <w:t xml:space="preserve">lal </w:t>
            </w:r>
            <w:r w:rsidRPr="000860EB">
              <w:rPr>
                <w:rFonts w:ascii="Times New Roman" w:hAnsi="Times New Roman"/>
                <w:color w:val="000000"/>
                <w:sz w:val="20"/>
                <w:szCs w:val="20"/>
              </w:rPr>
              <w:t>HUF</w:t>
            </w:r>
          </w:p>
        </w:tc>
        <w:tc>
          <w:tcPr>
            <w:tcW w:w="761" w:type="pct"/>
            <w:noWrap/>
            <w:vAlign w:val="center"/>
          </w:tcPr>
          <w:p w14:paraId="206CD784" w14:textId="77777777" w:rsidR="003A7C1B" w:rsidRPr="000860EB" w:rsidRDefault="003A7C1B" w:rsidP="00250DAC">
            <w:pPr>
              <w:spacing w:after="0" w:line="240" w:lineRule="auto"/>
              <w:jc w:val="center"/>
              <w:rPr>
                <w:rFonts w:ascii="Times New Roman" w:eastAsia="Calibri" w:hAnsi="Times New Roman"/>
                <w:color w:val="000000"/>
                <w:sz w:val="20"/>
                <w:szCs w:val="20"/>
              </w:rPr>
            </w:pPr>
            <w:r w:rsidRPr="000860EB">
              <w:rPr>
                <w:rFonts w:ascii="Times New Roman" w:eastAsia="Calibri" w:hAnsi="Times New Roman"/>
                <w:color w:val="000000"/>
                <w:sz w:val="20"/>
                <w:szCs w:val="20"/>
              </w:rPr>
              <w:t>10,000</w:t>
            </w:r>
          </w:p>
        </w:tc>
        <w:tc>
          <w:tcPr>
            <w:tcW w:w="723" w:type="pct"/>
            <w:noWrap/>
            <w:vAlign w:val="center"/>
          </w:tcPr>
          <w:p w14:paraId="0A94A86A" w14:textId="77777777" w:rsidR="003A7C1B" w:rsidRPr="000860EB" w:rsidRDefault="003A7C1B" w:rsidP="00250DAC">
            <w:pPr>
              <w:spacing w:after="0" w:line="240" w:lineRule="auto"/>
              <w:jc w:val="center"/>
              <w:rPr>
                <w:rFonts w:ascii="Times New Roman" w:hAnsi="Times New Roman"/>
                <w:color w:val="000000"/>
                <w:sz w:val="20"/>
                <w:szCs w:val="20"/>
              </w:rPr>
            </w:pPr>
            <w:r w:rsidRPr="000860EB">
              <w:rPr>
                <w:rFonts w:ascii="Times New Roman" w:hAnsi="Times New Roman"/>
                <w:color w:val="000000"/>
                <w:sz w:val="20"/>
                <w:szCs w:val="20"/>
              </w:rPr>
              <w:t>0.07</w:t>
            </w:r>
          </w:p>
        </w:tc>
        <w:tc>
          <w:tcPr>
            <w:tcW w:w="775" w:type="pct"/>
            <w:noWrap/>
            <w:vAlign w:val="center"/>
          </w:tcPr>
          <w:p w14:paraId="040DAC99" w14:textId="77777777" w:rsidR="003A7C1B" w:rsidRPr="000860EB" w:rsidRDefault="003A7C1B" w:rsidP="00250DAC">
            <w:pPr>
              <w:spacing w:after="0" w:line="240" w:lineRule="auto"/>
              <w:jc w:val="center"/>
              <w:rPr>
                <w:rFonts w:ascii="Times New Roman" w:eastAsia="Calibri" w:hAnsi="Times New Roman"/>
                <w:color w:val="000000"/>
                <w:sz w:val="20"/>
                <w:szCs w:val="20"/>
              </w:rPr>
            </w:pPr>
            <w:r w:rsidRPr="000860EB">
              <w:rPr>
                <w:rFonts w:ascii="Times New Roman" w:eastAsia="Calibri" w:hAnsi="Times New Roman"/>
                <w:color w:val="000000"/>
                <w:sz w:val="20"/>
                <w:szCs w:val="20"/>
              </w:rPr>
              <w:t>10,000</w:t>
            </w:r>
          </w:p>
        </w:tc>
        <w:tc>
          <w:tcPr>
            <w:tcW w:w="723" w:type="pct"/>
            <w:noWrap/>
            <w:vAlign w:val="center"/>
          </w:tcPr>
          <w:p w14:paraId="1BA32501"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w:t>
            </w:r>
          </w:p>
        </w:tc>
      </w:tr>
      <w:tr w:rsidR="003A7C1B" w:rsidRPr="000860EB" w14:paraId="71D2D96D" w14:textId="77777777" w:rsidTr="00250DAC">
        <w:trPr>
          <w:trHeight w:val="20"/>
          <w:jc w:val="center"/>
        </w:trPr>
        <w:tc>
          <w:tcPr>
            <w:tcW w:w="288" w:type="pct"/>
            <w:noWrap/>
            <w:vAlign w:val="center"/>
          </w:tcPr>
          <w:p w14:paraId="17B34910" w14:textId="77777777" w:rsidR="003A7C1B" w:rsidRPr="000860EB" w:rsidRDefault="003A7C1B" w:rsidP="00250DAC">
            <w:pPr>
              <w:spacing w:after="0" w:line="240" w:lineRule="auto"/>
              <w:jc w:val="center"/>
              <w:rPr>
                <w:rFonts w:ascii="Times New Roman" w:eastAsia="Calibri" w:hAnsi="Times New Roman"/>
                <w:sz w:val="20"/>
                <w:szCs w:val="20"/>
              </w:rPr>
            </w:pPr>
            <w:r>
              <w:rPr>
                <w:rFonts w:ascii="Times New Roman" w:eastAsia="Calibri" w:hAnsi="Times New Roman"/>
                <w:sz w:val="20"/>
                <w:szCs w:val="20"/>
              </w:rPr>
              <w:t>7.</w:t>
            </w:r>
          </w:p>
        </w:tc>
        <w:tc>
          <w:tcPr>
            <w:tcW w:w="1730" w:type="pct"/>
            <w:noWrap/>
          </w:tcPr>
          <w:p w14:paraId="5406BA63" w14:textId="77777777" w:rsidR="003A7C1B" w:rsidRPr="000860EB" w:rsidRDefault="003A7C1B" w:rsidP="00250DAC">
            <w:pPr>
              <w:spacing w:after="0" w:line="240" w:lineRule="auto"/>
              <w:jc w:val="both"/>
              <w:rPr>
                <w:rFonts w:ascii="Times New Roman" w:hAnsi="Times New Roman"/>
                <w:color w:val="000000"/>
                <w:sz w:val="20"/>
                <w:szCs w:val="20"/>
              </w:rPr>
            </w:pPr>
            <w:r w:rsidRPr="00910C32">
              <w:rPr>
                <w:rFonts w:ascii="Times New Roman" w:hAnsi="Times New Roman"/>
                <w:color w:val="000000"/>
                <w:sz w:val="20"/>
                <w:szCs w:val="20"/>
              </w:rPr>
              <w:t>Bhavesh Ramgopal Maheshwari</w:t>
            </w:r>
            <w:r>
              <w:rPr>
                <w:rFonts w:ascii="Times New Roman" w:hAnsi="Times New Roman"/>
                <w:color w:val="000000"/>
                <w:sz w:val="20"/>
                <w:szCs w:val="20"/>
              </w:rPr>
              <w:t xml:space="preserve"> HUF</w:t>
            </w:r>
          </w:p>
        </w:tc>
        <w:tc>
          <w:tcPr>
            <w:tcW w:w="761" w:type="pct"/>
            <w:noWrap/>
            <w:vAlign w:val="center"/>
          </w:tcPr>
          <w:p w14:paraId="21293E0F" w14:textId="77777777" w:rsidR="003A7C1B" w:rsidRPr="000860EB" w:rsidRDefault="003A7C1B" w:rsidP="00250DAC">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10,000</w:t>
            </w:r>
          </w:p>
        </w:tc>
        <w:tc>
          <w:tcPr>
            <w:tcW w:w="723" w:type="pct"/>
            <w:noWrap/>
            <w:vAlign w:val="center"/>
          </w:tcPr>
          <w:p w14:paraId="463E93F9" w14:textId="77777777" w:rsidR="003A7C1B" w:rsidRPr="000860EB" w:rsidRDefault="003A7C1B" w:rsidP="00250DA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0.07</w:t>
            </w:r>
          </w:p>
        </w:tc>
        <w:tc>
          <w:tcPr>
            <w:tcW w:w="775" w:type="pct"/>
            <w:noWrap/>
            <w:vAlign w:val="center"/>
          </w:tcPr>
          <w:p w14:paraId="69BF9F15" w14:textId="77777777" w:rsidR="003A7C1B" w:rsidRPr="000860EB" w:rsidRDefault="003A7C1B" w:rsidP="00250DAC">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10,000</w:t>
            </w:r>
          </w:p>
        </w:tc>
        <w:tc>
          <w:tcPr>
            <w:tcW w:w="723" w:type="pct"/>
            <w:noWrap/>
            <w:vAlign w:val="center"/>
          </w:tcPr>
          <w:p w14:paraId="7746CA7B" w14:textId="77777777" w:rsidR="003A7C1B" w:rsidRPr="000860EB" w:rsidRDefault="003A7C1B" w:rsidP="00250DAC">
            <w:pPr>
              <w:spacing w:after="0" w:line="240" w:lineRule="auto"/>
              <w:jc w:val="center"/>
              <w:rPr>
                <w:rFonts w:ascii="Times New Roman" w:eastAsia="Calibri" w:hAnsi="Times New Roman"/>
                <w:sz w:val="20"/>
                <w:szCs w:val="20"/>
              </w:rPr>
            </w:pPr>
            <w:r w:rsidRPr="000860EB">
              <w:rPr>
                <w:rFonts w:ascii="Times New Roman" w:eastAsia="Calibri" w:hAnsi="Times New Roman"/>
                <w:sz w:val="20"/>
                <w:szCs w:val="20"/>
              </w:rPr>
              <w:t>[●]</w:t>
            </w:r>
          </w:p>
        </w:tc>
      </w:tr>
      <w:tr w:rsidR="003A7C1B" w:rsidRPr="000860EB" w14:paraId="29EDCB5D" w14:textId="77777777" w:rsidTr="00250DAC">
        <w:trPr>
          <w:trHeight w:val="20"/>
          <w:jc w:val="center"/>
        </w:trPr>
        <w:tc>
          <w:tcPr>
            <w:tcW w:w="288" w:type="pct"/>
            <w:noWrap/>
            <w:vAlign w:val="center"/>
          </w:tcPr>
          <w:p w14:paraId="40EC1778" w14:textId="77777777" w:rsidR="003A7C1B" w:rsidRPr="000860EB" w:rsidRDefault="003A7C1B" w:rsidP="00250DAC">
            <w:pPr>
              <w:spacing w:after="0" w:line="240" w:lineRule="auto"/>
              <w:jc w:val="center"/>
              <w:rPr>
                <w:rFonts w:ascii="Times New Roman" w:eastAsia="Calibri" w:hAnsi="Times New Roman"/>
                <w:sz w:val="20"/>
                <w:szCs w:val="20"/>
              </w:rPr>
            </w:pPr>
          </w:p>
        </w:tc>
        <w:tc>
          <w:tcPr>
            <w:tcW w:w="1730" w:type="pct"/>
            <w:noWrap/>
          </w:tcPr>
          <w:p w14:paraId="3C4D2D96" w14:textId="77777777" w:rsidR="003A7C1B" w:rsidRPr="000860EB" w:rsidRDefault="003A7C1B" w:rsidP="00250DAC">
            <w:pPr>
              <w:spacing w:after="0" w:line="240" w:lineRule="auto"/>
              <w:rPr>
                <w:rFonts w:ascii="Times New Roman" w:hAnsi="Times New Roman"/>
                <w:color w:val="000000"/>
                <w:sz w:val="20"/>
                <w:szCs w:val="20"/>
              </w:rPr>
            </w:pPr>
            <w:r w:rsidRPr="000860EB">
              <w:rPr>
                <w:rFonts w:ascii="Times New Roman" w:hAnsi="Times New Roman"/>
                <w:b/>
                <w:color w:val="000000"/>
                <w:sz w:val="20"/>
                <w:szCs w:val="20"/>
              </w:rPr>
              <w:t>Sub Total (B)</w:t>
            </w:r>
          </w:p>
        </w:tc>
        <w:tc>
          <w:tcPr>
            <w:tcW w:w="761" w:type="pct"/>
            <w:noWrap/>
            <w:vAlign w:val="center"/>
          </w:tcPr>
          <w:p w14:paraId="77DAA8E8" w14:textId="77777777" w:rsidR="003A7C1B" w:rsidRPr="000860EB" w:rsidRDefault="003A7C1B" w:rsidP="00250DAC">
            <w:pPr>
              <w:spacing w:after="0" w:line="240" w:lineRule="auto"/>
              <w:jc w:val="center"/>
              <w:rPr>
                <w:rFonts w:ascii="Times New Roman" w:eastAsia="Calibri" w:hAnsi="Times New Roman"/>
                <w:b/>
                <w:color w:val="000000"/>
                <w:sz w:val="20"/>
                <w:szCs w:val="20"/>
              </w:rPr>
            </w:pPr>
            <w:r>
              <w:rPr>
                <w:rFonts w:ascii="Times New Roman" w:eastAsia="Calibri" w:hAnsi="Times New Roman"/>
                <w:b/>
                <w:color w:val="000000"/>
                <w:sz w:val="20"/>
                <w:szCs w:val="20"/>
              </w:rPr>
              <w:t>1,00</w:t>
            </w:r>
            <w:r w:rsidRPr="000860EB">
              <w:rPr>
                <w:rFonts w:ascii="Times New Roman" w:eastAsia="Calibri" w:hAnsi="Times New Roman"/>
                <w:b/>
                <w:color w:val="000000"/>
                <w:sz w:val="20"/>
                <w:szCs w:val="20"/>
              </w:rPr>
              <w:t>,000</w:t>
            </w:r>
          </w:p>
        </w:tc>
        <w:tc>
          <w:tcPr>
            <w:tcW w:w="723" w:type="pct"/>
            <w:noWrap/>
            <w:vAlign w:val="center"/>
          </w:tcPr>
          <w:p w14:paraId="1A8ECF2F" w14:textId="77777777" w:rsidR="003A7C1B" w:rsidRPr="000860EB" w:rsidRDefault="003A7C1B" w:rsidP="00250DA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0.72</w:t>
            </w:r>
          </w:p>
        </w:tc>
        <w:tc>
          <w:tcPr>
            <w:tcW w:w="775" w:type="pct"/>
            <w:noWrap/>
            <w:vAlign w:val="center"/>
          </w:tcPr>
          <w:p w14:paraId="73AEFE23" w14:textId="77777777" w:rsidR="003A7C1B" w:rsidRPr="000860EB" w:rsidRDefault="003A7C1B" w:rsidP="00250DAC">
            <w:pPr>
              <w:spacing w:after="0" w:line="240" w:lineRule="auto"/>
              <w:jc w:val="center"/>
              <w:rPr>
                <w:rFonts w:ascii="Times New Roman" w:eastAsia="Calibri" w:hAnsi="Times New Roman"/>
                <w:b/>
                <w:color w:val="000000"/>
                <w:sz w:val="20"/>
                <w:szCs w:val="20"/>
              </w:rPr>
            </w:pPr>
            <w:r>
              <w:rPr>
                <w:rFonts w:ascii="Times New Roman" w:eastAsia="Calibri" w:hAnsi="Times New Roman"/>
                <w:b/>
                <w:color w:val="000000"/>
                <w:sz w:val="20"/>
                <w:szCs w:val="20"/>
              </w:rPr>
              <w:t>1,00,000</w:t>
            </w:r>
          </w:p>
        </w:tc>
        <w:tc>
          <w:tcPr>
            <w:tcW w:w="723" w:type="pct"/>
            <w:noWrap/>
            <w:vAlign w:val="center"/>
          </w:tcPr>
          <w:p w14:paraId="1B586A2C" w14:textId="77777777" w:rsidR="003A7C1B" w:rsidRPr="000860EB" w:rsidRDefault="003A7C1B" w:rsidP="00250DAC">
            <w:pPr>
              <w:spacing w:after="0" w:line="240" w:lineRule="auto"/>
              <w:jc w:val="center"/>
              <w:rPr>
                <w:rFonts w:ascii="Times New Roman" w:hAnsi="Times New Roman"/>
                <w:b/>
                <w:color w:val="000000"/>
                <w:sz w:val="20"/>
                <w:szCs w:val="20"/>
              </w:rPr>
            </w:pPr>
            <w:r w:rsidRPr="000860EB">
              <w:rPr>
                <w:rFonts w:ascii="Times New Roman" w:eastAsia="Calibri" w:hAnsi="Times New Roman"/>
                <w:sz w:val="20"/>
                <w:szCs w:val="20"/>
              </w:rPr>
              <w:t>[●]</w:t>
            </w:r>
          </w:p>
        </w:tc>
      </w:tr>
      <w:tr w:rsidR="003A7C1B" w:rsidRPr="000860EB" w14:paraId="0668F223" w14:textId="77777777" w:rsidTr="00250DAC">
        <w:trPr>
          <w:trHeight w:val="64"/>
          <w:jc w:val="center"/>
        </w:trPr>
        <w:tc>
          <w:tcPr>
            <w:tcW w:w="288" w:type="pct"/>
            <w:shd w:val="clear" w:color="auto" w:fill="auto"/>
            <w:noWrap/>
            <w:vAlign w:val="center"/>
          </w:tcPr>
          <w:p w14:paraId="229F7D2A" w14:textId="77777777" w:rsidR="003A7C1B" w:rsidRPr="000860EB" w:rsidRDefault="003A7C1B" w:rsidP="00250DAC">
            <w:pPr>
              <w:spacing w:after="0" w:line="240" w:lineRule="auto"/>
              <w:jc w:val="center"/>
              <w:rPr>
                <w:rFonts w:ascii="Times New Roman" w:eastAsia="Calibri" w:hAnsi="Times New Roman"/>
                <w:sz w:val="20"/>
                <w:szCs w:val="20"/>
              </w:rPr>
            </w:pPr>
          </w:p>
        </w:tc>
        <w:tc>
          <w:tcPr>
            <w:tcW w:w="1730" w:type="pct"/>
            <w:shd w:val="clear" w:color="auto" w:fill="auto"/>
            <w:noWrap/>
            <w:vAlign w:val="bottom"/>
            <w:hideMark/>
          </w:tcPr>
          <w:p w14:paraId="5B916795" w14:textId="77777777" w:rsidR="003A7C1B" w:rsidRPr="000860EB" w:rsidRDefault="003A7C1B" w:rsidP="00250DAC">
            <w:pPr>
              <w:spacing w:after="0" w:line="240" w:lineRule="auto"/>
              <w:rPr>
                <w:rFonts w:ascii="Times New Roman" w:eastAsia="Calibri" w:hAnsi="Times New Roman"/>
                <w:b/>
                <w:sz w:val="20"/>
                <w:szCs w:val="20"/>
              </w:rPr>
            </w:pPr>
            <w:r w:rsidRPr="000860EB">
              <w:rPr>
                <w:rFonts w:ascii="Times New Roman" w:eastAsia="Calibri" w:hAnsi="Times New Roman"/>
                <w:b/>
                <w:sz w:val="20"/>
                <w:szCs w:val="20"/>
              </w:rPr>
              <w:t>Total (A) + (B)</w:t>
            </w:r>
          </w:p>
        </w:tc>
        <w:tc>
          <w:tcPr>
            <w:tcW w:w="761" w:type="pct"/>
            <w:shd w:val="clear" w:color="auto" w:fill="auto"/>
            <w:noWrap/>
            <w:vAlign w:val="center"/>
          </w:tcPr>
          <w:p w14:paraId="743FA939" w14:textId="77777777" w:rsidR="003A7C1B" w:rsidRPr="000860EB" w:rsidRDefault="003A7C1B" w:rsidP="00250DAC">
            <w:pPr>
              <w:spacing w:after="0" w:line="240" w:lineRule="auto"/>
              <w:jc w:val="center"/>
              <w:rPr>
                <w:rFonts w:ascii="Times New Roman" w:eastAsia="Calibri" w:hAnsi="Times New Roman"/>
                <w:b/>
                <w:sz w:val="20"/>
                <w:szCs w:val="20"/>
              </w:rPr>
            </w:pPr>
            <w:r>
              <w:rPr>
                <w:rFonts w:ascii="Times New Roman" w:eastAsia="Calibri" w:hAnsi="Times New Roman"/>
                <w:b/>
                <w:sz w:val="20"/>
                <w:szCs w:val="20"/>
              </w:rPr>
              <w:t>1,38,05,500</w:t>
            </w:r>
          </w:p>
        </w:tc>
        <w:tc>
          <w:tcPr>
            <w:tcW w:w="723" w:type="pct"/>
            <w:shd w:val="clear" w:color="auto" w:fill="auto"/>
            <w:noWrap/>
            <w:vAlign w:val="center"/>
          </w:tcPr>
          <w:p w14:paraId="494BF7B4" w14:textId="77777777" w:rsidR="003A7C1B" w:rsidRPr="000860EB" w:rsidRDefault="003A7C1B" w:rsidP="00250DAC">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100.00</w:t>
            </w:r>
          </w:p>
        </w:tc>
        <w:tc>
          <w:tcPr>
            <w:tcW w:w="775" w:type="pct"/>
            <w:shd w:val="clear" w:color="auto" w:fill="auto"/>
            <w:noWrap/>
            <w:vAlign w:val="center"/>
          </w:tcPr>
          <w:p w14:paraId="026A81F2" w14:textId="77777777" w:rsidR="003A7C1B" w:rsidRPr="000860EB" w:rsidRDefault="003A7C1B" w:rsidP="00250DAC">
            <w:pPr>
              <w:spacing w:after="0" w:line="240" w:lineRule="auto"/>
              <w:jc w:val="center"/>
              <w:rPr>
                <w:rFonts w:ascii="Times New Roman" w:eastAsia="Calibri" w:hAnsi="Times New Roman"/>
                <w:b/>
                <w:sz w:val="20"/>
                <w:szCs w:val="20"/>
              </w:rPr>
            </w:pPr>
            <w:r>
              <w:rPr>
                <w:rFonts w:ascii="Times New Roman" w:eastAsia="Calibri" w:hAnsi="Times New Roman"/>
                <w:b/>
                <w:sz w:val="20"/>
                <w:szCs w:val="20"/>
              </w:rPr>
              <w:t>1,38,05,500</w:t>
            </w:r>
          </w:p>
        </w:tc>
        <w:tc>
          <w:tcPr>
            <w:tcW w:w="723" w:type="pct"/>
            <w:shd w:val="clear" w:color="auto" w:fill="auto"/>
            <w:noWrap/>
            <w:vAlign w:val="center"/>
          </w:tcPr>
          <w:p w14:paraId="4B07D451" w14:textId="77777777" w:rsidR="003A7C1B" w:rsidRPr="000860EB" w:rsidRDefault="003A7C1B" w:rsidP="00250DAC">
            <w:pPr>
              <w:spacing w:after="0" w:line="240" w:lineRule="auto"/>
              <w:jc w:val="center"/>
              <w:rPr>
                <w:rFonts w:ascii="Times New Roman" w:hAnsi="Times New Roman"/>
                <w:b/>
                <w:color w:val="000000"/>
                <w:sz w:val="20"/>
                <w:szCs w:val="20"/>
              </w:rPr>
            </w:pPr>
            <w:r w:rsidRPr="000860EB">
              <w:rPr>
                <w:rFonts w:ascii="Times New Roman" w:eastAsia="Calibri" w:hAnsi="Times New Roman"/>
                <w:sz w:val="20"/>
                <w:szCs w:val="20"/>
              </w:rPr>
              <w:t>[●]</w:t>
            </w:r>
          </w:p>
        </w:tc>
      </w:tr>
    </w:tbl>
    <w:p w14:paraId="031DD081" w14:textId="77777777" w:rsidR="003A7C1B" w:rsidRPr="000860EB" w:rsidRDefault="003A7C1B" w:rsidP="003A7C1B">
      <w:pPr>
        <w:pStyle w:val="ListParagraph"/>
        <w:tabs>
          <w:tab w:val="left" w:pos="360"/>
        </w:tabs>
        <w:spacing w:line="240" w:lineRule="auto"/>
        <w:ind w:left="360"/>
        <w:contextualSpacing/>
        <w:jc w:val="both"/>
        <w:rPr>
          <w:sz w:val="20"/>
          <w:szCs w:val="20"/>
        </w:rPr>
      </w:pPr>
    </w:p>
    <w:p w14:paraId="29D4A9A6" w14:textId="77777777" w:rsidR="003A7C1B" w:rsidRPr="000860EB" w:rsidRDefault="003A7C1B" w:rsidP="00F038BD">
      <w:pPr>
        <w:pStyle w:val="ListParagraph"/>
        <w:numPr>
          <w:ilvl w:val="0"/>
          <w:numId w:val="157"/>
        </w:numPr>
        <w:tabs>
          <w:tab w:val="left" w:pos="360"/>
        </w:tabs>
        <w:spacing w:line="240" w:lineRule="auto"/>
        <w:contextualSpacing/>
        <w:jc w:val="both"/>
        <w:rPr>
          <w:sz w:val="20"/>
          <w:szCs w:val="20"/>
        </w:rPr>
      </w:pPr>
      <w:r w:rsidRPr="000860EB">
        <w:rPr>
          <w:sz w:val="20"/>
          <w:szCs w:val="20"/>
        </w:rPr>
        <w:t>Except as provided below, no Equity Shares were acquired/ purchased/ sold by the Promoters and Promoter Group, Directors and their immediate relatives within six months immediately preceding the date of filing of this Draft Red Herring Prospectus.</w:t>
      </w:r>
    </w:p>
    <w:p w14:paraId="5E7D1567" w14:textId="77777777" w:rsidR="003A7C1B" w:rsidRPr="000860EB" w:rsidRDefault="003A7C1B" w:rsidP="003A7C1B">
      <w:pPr>
        <w:tabs>
          <w:tab w:val="left" w:pos="360"/>
        </w:tabs>
        <w:spacing w:after="0" w:line="240" w:lineRule="auto"/>
        <w:ind w:left="360"/>
        <w:contextualSpacing/>
        <w:jc w:val="both"/>
        <w:rPr>
          <w:rFonts w:ascii="Times New Roman" w:hAnsi="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4"/>
        <w:gridCol w:w="3503"/>
        <w:gridCol w:w="916"/>
        <w:gridCol w:w="987"/>
        <w:gridCol w:w="1349"/>
        <w:gridCol w:w="2177"/>
      </w:tblGrid>
      <w:tr w:rsidR="003A7C1B" w:rsidRPr="000860EB" w14:paraId="02FEC02F" w14:textId="77777777" w:rsidTr="00250DAC">
        <w:trPr>
          <w:trHeight w:val="20"/>
          <w:tblHeader/>
        </w:trPr>
        <w:tc>
          <w:tcPr>
            <w:tcW w:w="729" w:type="pct"/>
            <w:shd w:val="clear" w:color="auto" w:fill="D0CECE" w:themeFill="background2" w:themeFillShade="E6"/>
          </w:tcPr>
          <w:p w14:paraId="7FAB07ED" w14:textId="77777777" w:rsidR="003A7C1B" w:rsidRPr="000860EB" w:rsidRDefault="003A7C1B" w:rsidP="00250DAC">
            <w:pPr>
              <w:tabs>
                <w:tab w:val="left" w:pos="360"/>
              </w:tabs>
              <w:spacing w:after="0" w:line="240" w:lineRule="auto"/>
              <w:contextualSpacing/>
              <w:jc w:val="center"/>
              <w:rPr>
                <w:rFonts w:ascii="Times New Roman" w:eastAsia="Calibri" w:hAnsi="Times New Roman"/>
                <w:b/>
                <w:color w:val="000000"/>
                <w:sz w:val="20"/>
                <w:szCs w:val="20"/>
              </w:rPr>
            </w:pPr>
            <w:r w:rsidRPr="000860EB">
              <w:rPr>
                <w:rFonts w:ascii="Times New Roman" w:eastAsia="Calibri" w:hAnsi="Times New Roman"/>
                <w:b/>
                <w:color w:val="000000"/>
                <w:sz w:val="20"/>
                <w:szCs w:val="20"/>
              </w:rPr>
              <w:t>Date of Allotment/ Transfer</w:t>
            </w:r>
          </w:p>
        </w:tc>
        <w:tc>
          <w:tcPr>
            <w:tcW w:w="1675" w:type="pct"/>
            <w:shd w:val="clear" w:color="auto" w:fill="D0CECE" w:themeFill="background2" w:themeFillShade="E6"/>
          </w:tcPr>
          <w:p w14:paraId="5F5C046F" w14:textId="77777777" w:rsidR="003A7C1B" w:rsidRPr="000860EB" w:rsidRDefault="003A7C1B" w:rsidP="00250DAC">
            <w:pPr>
              <w:tabs>
                <w:tab w:val="left" w:pos="360"/>
              </w:tabs>
              <w:spacing w:after="0" w:line="240" w:lineRule="auto"/>
              <w:contextualSpacing/>
              <w:jc w:val="both"/>
              <w:rPr>
                <w:rFonts w:ascii="Times New Roman" w:eastAsia="Calibri" w:hAnsi="Times New Roman"/>
                <w:b/>
                <w:color w:val="000000"/>
                <w:sz w:val="20"/>
                <w:szCs w:val="20"/>
              </w:rPr>
            </w:pPr>
            <w:r w:rsidRPr="000860EB">
              <w:rPr>
                <w:rFonts w:ascii="Times New Roman" w:eastAsia="Calibri" w:hAnsi="Times New Roman"/>
                <w:b/>
                <w:color w:val="000000"/>
                <w:sz w:val="20"/>
                <w:szCs w:val="20"/>
              </w:rPr>
              <w:t xml:space="preserve">Name of Shareholder </w:t>
            </w:r>
          </w:p>
        </w:tc>
        <w:tc>
          <w:tcPr>
            <w:tcW w:w="438" w:type="pct"/>
            <w:shd w:val="clear" w:color="auto" w:fill="D0CECE" w:themeFill="background2" w:themeFillShade="E6"/>
          </w:tcPr>
          <w:p w14:paraId="6823018B" w14:textId="77777777" w:rsidR="003A7C1B" w:rsidRPr="000860EB" w:rsidRDefault="003A7C1B" w:rsidP="00250DAC">
            <w:pPr>
              <w:tabs>
                <w:tab w:val="left" w:pos="360"/>
              </w:tabs>
              <w:spacing w:after="0" w:line="240" w:lineRule="auto"/>
              <w:contextualSpacing/>
              <w:jc w:val="center"/>
              <w:rPr>
                <w:rFonts w:ascii="Times New Roman" w:eastAsia="Calibri" w:hAnsi="Times New Roman"/>
                <w:b/>
                <w:color w:val="000000"/>
                <w:sz w:val="20"/>
                <w:szCs w:val="20"/>
              </w:rPr>
            </w:pPr>
            <w:r w:rsidRPr="000860EB">
              <w:rPr>
                <w:rFonts w:ascii="Times New Roman" w:eastAsia="Calibri" w:hAnsi="Times New Roman"/>
                <w:b/>
                <w:color w:val="000000"/>
                <w:sz w:val="20"/>
                <w:szCs w:val="20"/>
              </w:rPr>
              <w:t>No. of Equity</w:t>
            </w:r>
          </w:p>
          <w:p w14:paraId="21FF2EEE" w14:textId="77777777" w:rsidR="003A7C1B" w:rsidRPr="000860EB" w:rsidRDefault="003A7C1B" w:rsidP="00250DAC">
            <w:pPr>
              <w:tabs>
                <w:tab w:val="left" w:pos="360"/>
              </w:tabs>
              <w:spacing w:after="0" w:line="240" w:lineRule="auto"/>
              <w:contextualSpacing/>
              <w:jc w:val="center"/>
              <w:rPr>
                <w:rFonts w:ascii="Times New Roman" w:eastAsia="Calibri" w:hAnsi="Times New Roman"/>
                <w:b/>
                <w:color w:val="000000"/>
                <w:sz w:val="20"/>
                <w:szCs w:val="20"/>
              </w:rPr>
            </w:pPr>
            <w:r w:rsidRPr="000860EB">
              <w:rPr>
                <w:rFonts w:ascii="Times New Roman" w:eastAsia="Calibri" w:hAnsi="Times New Roman"/>
                <w:b/>
                <w:color w:val="000000"/>
                <w:sz w:val="20"/>
                <w:szCs w:val="20"/>
              </w:rPr>
              <w:t>Share</w:t>
            </w:r>
          </w:p>
        </w:tc>
        <w:tc>
          <w:tcPr>
            <w:tcW w:w="472" w:type="pct"/>
            <w:shd w:val="clear" w:color="auto" w:fill="D0CECE" w:themeFill="background2" w:themeFillShade="E6"/>
          </w:tcPr>
          <w:p w14:paraId="55B8167C" w14:textId="77777777" w:rsidR="003A7C1B" w:rsidRPr="000860EB" w:rsidRDefault="003A7C1B" w:rsidP="00250DAC">
            <w:pPr>
              <w:tabs>
                <w:tab w:val="left" w:pos="360"/>
              </w:tabs>
              <w:spacing w:after="0" w:line="240" w:lineRule="auto"/>
              <w:contextualSpacing/>
              <w:jc w:val="center"/>
              <w:rPr>
                <w:rFonts w:ascii="Times New Roman" w:eastAsia="Calibri" w:hAnsi="Times New Roman"/>
                <w:b/>
                <w:color w:val="000000"/>
                <w:sz w:val="20"/>
                <w:szCs w:val="20"/>
              </w:rPr>
            </w:pPr>
            <w:r w:rsidRPr="000860EB">
              <w:rPr>
                <w:rFonts w:ascii="Times New Roman" w:eastAsia="Calibri" w:hAnsi="Times New Roman"/>
                <w:b/>
                <w:color w:val="000000"/>
                <w:sz w:val="20"/>
                <w:szCs w:val="20"/>
              </w:rPr>
              <w:t>% of Pre issue Capital</w:t>
            </w:r>
          </w:p>
        </w:tc>
        <w:tc>
          <w:tcPr>
            <w:tcW w:w="645" w:type="pct"/>
            <w:shd w:val="clear" w:color="auto" w:fill="D0CECE" w:themeFill="background2" w:themeFillShade="E6"/>
          </w:tcPr>
          <w:p w14:paraId="12436B77" w14:textId="77777777" w:rsidR="003A7C1B" w:rsidRPr="000860EB" w:rsidRDefault="003A7C1B" w:rsidP="00250DAC">
            <w:pPr>
              <w:tabs>
                <w:tab w:val="left" w:pos="360"/>
              </w:tabs>
              <w:spacing w:after="0" w:line="240" w:lineRule="auto"/>
              <w:contextualSpacing/>
              <w:jc w:val="center"/>
              <w:rPr>
                <w:rFonts w:ascii="Times New Roman" w:eastAsia="Calibri" w:hAnsi="Times New Roman"/>
                <w:b/>
                <w:color w:val="000000"/>
                <w:sz w:val="20"/>
                <w:szCs w:val="20"/>
              </w:rPr>
            </w:pPr>
            <w:r w:rsidRPr="000860EB">
              <w:rPr>
                <w:rFonts w:ascii="Times New Roman" w:eastAsia="Calibri" w:hAnsi="Times New Roman"/>
                <w:b/>
                <w:color w:val="000000"/>
                <w:sz w:val="20"/>
                <w:szCs w:val="20"/>
              </w:rPr>
              <w:t>Allotment/</w:t>
            </w:r>
          </w:p>
          <w:p w14:paraId="3F7E7498" w14:textId="77777777" w:rsidR="003A7C1B" w:rsidRPr="000860EB" w:rsidRDefault="003A7C1B" w:rsidP="00250DAC">
            <w:pPr>
              <w:tabs>
                <w:tab w:val="left" w:pos="360"/>
              </w:tabs>
              <w:spacing w:after="0" w:line="240" w:lineRule="auto"/>
              <w:contextualSpacing/>
              <w:jc w:val="center"/>
              <w:rPr>
                <w:rFonts w:ascii="Times New Roman" w:eastAsia="Calibri" w:hAnsi="Times New Roman"/>
                <w:b/>
                <w:color w:val="000000"/>
                <w:sz w:val="20"/>
                <w:szCs w:val="20"/>
              </w:rPr>
            </w:pPr>
            <w:r w:rsidRPr="000860EB">
              <w:rPr>
                <w:rFonts w:ascii="Times New Roman" w:eastAsia="Calibri" w:hAnsi="Times New Roman"/>
                <w:b/>
                <w:color w:val="000000"/>
                <w:sz w:val="20"/>
                <w:szCs w:val="20"/>
              </w:rPr>
              <w:t>Acquire/ Transfer</w:t>
            </w:r>
          </w:p>
        </w:tc>
        <w:tc>
          <w:tcPr>
            <w:tcW w:w="1041" w:type="pct"/>
            <w:shd w:val="clear" w:color="auto" w:fill="D0CECE" w:themeFill="background2" w:themeFillShade="E6"/>
          </w:tcPr>
          <w:p w14:paraId="714BC62E" w14:textId="77777777" w:rsidR="003A7C1B" w:rsidRPr="000860EB" w:rsidRDefault="003A7C1B" w:rsidP="00250DAC">
            <w:pPr>
              <w:tabs>
                <w:tab w:val="left" w:pos="360"/>
              </w:tabs>
              <w:spacing w:after="0" w:line="240" w:lineRule="auto"/>
              <w:contextualSpacing/>
              <w:jc w:val="both"/>
              <w:rPr>
                <w:rFonts w:ascii="Times New Roman" w:eastAsia="Calibri" w:hAnsi="Times New Roman"/>
                <w:b/>
                <w:color w:val="000000"/>
                <w:sz w:val="20"/>
                <w:szCs w:val="20"/>
              </w:rPr>
            </w:pPr>
            <w:r w:rsidRPr="000860EB">
              <w:rPr>
                <w:rFonts w:ascii="Times New Roman" w:eastAsia="Calibri" w:hAnsi="Times New Roman"/>
                <w:b/>
                <w:color w:val="000000"/>
                <w:sz w:val="20"/>
                <w:szCs w:val="20"/>
              </w:rPr>
              <w:t>Category of Allottees (Promoters/ Promoter Group/ Director)</w:t>
            </w:r>
          </w:p>
        </w:tc>
      </w:tr>
      <w:tr w:rsidR="003A7C1B" w:rsidRPr="000860EB" w14:paraId="445BC91F" w14:textId="77777777" w:rsidTr="00250DAC">
        <w:trPr>
          <w:trHeight w:val="20"/>
        </w:trPr>
        <w:tc>
          <w:tcPr>
            <w:tcW w:w="729" w:type="pct"/>
            <w:shd w:val="clear" w:color="auto" w:fill="auto"/>
            <w:vAlign w:val="center"/>
          </w:tcPr>
          <w:p w14:paraId="021F8D17" w14:textId="77777777" w:rsidR="003A7C1B" w:rsidRPr="000860EB" w:rsidRDefault="003A7C1B" w:rsidP="00250DAC">
            <w:pPr>
              <w:tabs>
                <w:tab w:val="left" w:pos="360"/>
              </w:tabs>
              <w:spacing w:after="0" w:line="240" w:lineRule="auto"/>
              <w:contextualSpacing/>
              <w:rPr>
                <w:rFonts w:ascii="Times New Roman" w:eastAsia="Calibri" w:hAnsi="Times New Roman"/>
                <w:color w:val="000000"/>
                <w:sz w:val="20"/>
                <w:szCs w:val="20"/>
              </w:rPr>
            </w:pPr>
            <w:r w:rsidRPr="000860EB">
              <w:rPr>
                <w:rFonts w:ascii="Times New Roman" w:eastAsia="Calibri" w:hAnsi="Times New Roman"/>
                <w:sz w:val="20"/>
                <w:szCs w:val="20"/>
              </w:rPr>
              <w:t>June 20, 2023</w:t>
            </w:r>
          </w:p>
        </w:tc>
        <w:tc>
          <w:tcPr>
            <w:tcW w:w="1675" w:type="pct"/>
            <w:shd w:val="clear" w:color="auto" w:fill="auto"/>
            <w:vAlign w:val="center"/>
          </w:tcPr>
          <w:p w14:paraId="0F745FD0" w14:textId="77777777" w:rsidR="003A7C1B" w:rsidRPr="000860EB" w:rsidRDefault="003A7C1B" w:rsidP="00250DAC">
            <w:pPr>
              <w:tabs>
                <w:tab w:val="left" w:pos="360"/>
              </w:tabs>
              <w:spacing w:after="0" w:line="240" w:lineRule="auto"/>
              <w:contextualSpacing/>
              <w:rPr>
                <w:rFonts w:ascii="Times New Roman" w:eastAsia="Calibri" w:hAnsi="Times New Roman"/>
                <w:color w:val="000000"/>
                <w:sz w:val="20"/>
                <w:szCs w:val="20"/>
              </w:rPr>
            </w:pPr>
            <w:r w:rsidRPr="000860EB">
              <w:rPr>
                <w:rFonts w:ascii="Times New Roman" w:hAnsi="Times New Roman"/>
                <w:sz w:val="20"/>
                <w:szCs w:val="20"/>
              </w:rPr>
              <w:t>Ramgopal Ochhavlal Maheswari</w:t>
            </w:r>
          </w:p>
        </w:tc>
        <w:tc>
          <w:tcPr>
            <w:tcW w:w="438" w:type="pct"/>
            <w:shd w:val="clear" w:color="auto" w:fill="auto"/>
            <w:vAlign w:val="center"/>
          </w:tcPr>
          <w:p w14:paraId="7E8C585D" w14:textId="77777777" w:rsidR="003A7C1B" w:rsidRPr="000860EB" w:rsidRDefault="003A7C1B" w:rsidP="00250DAC">
            <w:pPr>
              <w:tabs>
                <w:tab w:val="left" w:pos="360"/>
              </w:tabs>
              <w:spacing w:after="0" w:line="240" w:lineRule="auto"/>
              <w:contextualSpacing/>
              <w:jc w:val="center"/>
              <w:rPr>
                <w:rFonts w:ascii="Times New Roman" w:eastAsia="Calibri" w:hAnsi="Times New Roman"/>
                <w:color w:val="000000"/>
                <w:sz w:val="20"/>
                <w:szCs w:val="20"/>
              </w:rPr>
            </w:pPr>
            <w:r w:rsidRPr="000860EB">
              <w:rPr>
                <w:rFonts w:ascii="Times New Roman" w:eastAsia="Calibri" w:hAnsi="Times New Roman"/>
                <w:color w:val="000000"/>
                <w:sz w:val="20"/>
                <w:szCs w:val="20"/>
              </w:rPr>
              <w:t>2,10,000</w:t>
            </w:r>
          </w:p>
        </w:tc>
        <w:tc>
          <w:tcPr>
            <w:tcW w:w="472" w:type="pct"/>
            <w:shd w:val="clear" w:color="auto" w:fill="auto"/>
            <w:vAlign w:val="center"/>
          </w:tcPr>
          <w:p w14:paraId="6926EE00" w14:textId="77777777" w:rsidR="003A7C1B" w:rsidRPr="000860EB" w:rsidRDefault="003A7C1B" w:rsidP="00250DAC">
            <w:pPr>
              <w:tabs>
                <w:tab w:val="left" w:pos="360"/>
              </w:tabs>
              <w:spacing w:after="0" w:line="240" w:lineRule="auto"/>
              <w:contextualSpacing/>
              <w:jc w:val="center"/>
              <w:rPr>
                <w:rFonts w:ascii="Times New Roman" w:eastAsia="Calibri" w:hAnsi="Times New Roman"/>
                <w:color w:val="000000"/>
                <w:sz w:val="20"/>
                <w:szCs w:val="20"/>
              </w:rPr>
            </w:pPr>
            <w:r w:rsidRPr="000860EB">
              <w:rPr>
                <w:rFonts w:ascii="Times New Roman" w:eastAsia="Calibri" w:hAnsi="Times New Roman"/>
                <w:color w:val="000000"/>
                <w:sz w:val="20"/>
                <w:szCs w:val="20"/>
              </w:rPr>
              <w:t>1.52</w:t>
            </w:r>
          </w:p>
        </w:tc>
        <w:tc>
          <w:tcPr>
            <w:tcW w:w="645" w:type="pct"/>
            <w:shd w:val="clear" w:color="auto" w:fill="auto"/>
            <w:vAlign w:val="center"/>
          </w:tcPr>
          <w:p w14:paraId="15855456" w14:textId="77777777" w:rsidR="003A7C1B" w:rsidRPr="000860EB" w:rsidRDefault="003A7C1B" w:rsidP="00250DAC">
            <w:pPr>
              <w:tabs>
                <w:tab w:val="left" w:pos="360"/>
              </w:tabs>
              <w:spacing w:after="0" w:line="240" w:lineRule="auto"/>
              <w:contextualSpacing/>
              <w:jc w:val="both"/>
              <w:rPr>
                <w:rFonts w:ascii="Times New Roman" w:eastAsia="Calibri" w:hAnsi="Times New Roman"/>
                <w:color w:val="000000"/>
                <w:sz w:val="20"/>
                <w:szCs w:val="20"/>
              </w:rPr>
            </w:pPr>
            <w:r w:rsidRPr="000860EB">
              <w:rPr>
                <w:rFonts w:ascii="Times New Roman" w:eastAsia="Calibri" w:hAnsi="Times New Roman"/>
                <w:color w:val="000000"/>
                <w:sz w:val="20"/>
                <w:szCs w:val="20"/>
              </w:rPr>
              <w:t>Transfer of Shares</w:t>
            </w:r>
          </w:p>
        </w:tc>
        <w:tc>
          <w:tcPr>
            <w:tcW w:w="1041" w:type="pct"/>
            <w:shd w:val="clear" w:color="auto" w:fill="auto"/>
            <w:vAlign w:val="center"/>
          </w:tcPr>
          <w:p w14:paraId="37013505" w14:textId="77777777" w:rsidR="003A7C1B" w:rsidRPr="000860EB" w:rsidRDefault="003A7C1B" w:rsidP="00250DAC">
            <w:pPr>
              <w:tabs>
                <w:tab w:val="left" w:pos="360"/>
              </w:tabs>
              <w:spacing w:after="0" w:line="240" w:lineRule="auto"/>
              <w:contextualSpacing/>
              <w:jc w:val="both"/>
              <w:rPr>
                <w:rFonts w:ascii="Times New Roman" w:eastAsia="Calibri" w:hAnsi="Times New Roman"/>
                <w:color w:val="000000"/>
                <w:sz w:val="20"/>
                <w:szCs w:val="20"/>
              </w:rPr>
            </w:pPr>
            <w:r w:rsidRPr="000860EB">
              <w:rPr>
                <w:rFonts w:ascii="Times New Roman" w:eastAsia="Calibri" w:hAnsi="Times New Roman"/>
                <w:color w:val="000000"/>
                <w:sz w:val="20"/>
                <w:szCs w:val="20"/>
              </w:rPr>
              <w:t>Promoter &amp; Director</w:t>
            </w:r>
          </w:p>
        </w:tc>
      </w:tr>
      <w:tr w:rsidR="003A7C1B" w:rsidRPr="000860EB" w14:paraId="74378595" w14:textId="77777777" w:rsidTr="00250DAC">
        <w:trPr>
          <w:trHeight w:val="64"/>
        </w:trPr>
        <w:tc>
          <w:tcPr>
            <w:tcW w:w="729" w:type="pct"/>
            <w:shd w:val="clear" w:color="auto" w:fill="auto"/>
            <w:vAlign w:val="center"/>
          </w:tcPr>
          <w:p w14:paraId="103F8EF8" w14:textId="77777777" w:rsidR="003A7C1B" w:rsidRPr="000860EB" w:rsidRDefault="003A7C1B" w:rsidP="00250DAC">
            <w:pPr>
              <w:spacing w:after="0" w:line="240" w:lineRule="auto"/>
              <w:rPr>
                <w:rFonts w:ascii="Times New Roman" w:hAnsi="Times New Roman"/>
                <w:sz w:val="20"/>
                <w:szCs w:val="20"/>
              </w:rPr>
            </w:pPr>
            <w:r w:rsidRPr="000860EB">
              <w:rPr>
                <w:rFonts w:ascii="Times New Roman" w:eastAsia="Calibri" w:hAnsi="Times New Roman"/>
                <w:sz w:val="20"/>
                <w:szCs w:val="20"/>
              </w:rPr>
              <w:t>June 20, 2023</w:t>
            </w:r>
          </w:p>
        </w:tc>
        <w:tc>
          <w:tcPr>
            <w:tcW w:w="1675" w:type="pct"/>
            <w:shd w:val="clear" w:color="auto" w:fill="auto"/>
          </w:tcPr>
          <w:p w14:paraId="715C785D" w14:textId="77777777" w:rsidR="003A7C1B" w:rsidRPr="000860EB" w:rsidRDefault="003A7C1B" w:rsidP="00250DAC">
            <w:pPr>
              <w:spacing w:after="0" w:line="240" w:lineRule="auto"/>
              <w:jc w:val="both"/>
              <w:rPr>
                <w:rFonts w:ascii="Times New Roman" w:hAnsi="Times New Roman"/>
                <w:color w:val="000000"/>
                <w:sz w:val="20"/>
                <w:szCs w:val="20"/>
              </w:rPr>
            </w:pPr>
            <w:r w:rsidRPr="000860EB">
              <w:rPr>
                <w:rFonts w:ascii="Times New Roman" w:hAnsi="Times New Roman"/>
                <w:sz w:val="20"/>
                <w:szCs w:val="20"/>
              </w:rPr>
              <w:t>Bhavesh Ramgopal Maheshwari</w:t>
            </w:r>
          </w:p>
        </w:tc>
        <w:tc>
          <w:tcPr>
            <w:tcW w:w="438" w:type="pct"/>
            <w:shd w:val="clear" w:color="auto" w:fill="auto"/>
          </w:tcPr>
          <w:p w14:paraId="03827170" w14:textId="77777777" w:rsidR="003A7C1B" w:rsidRPr="000860EB" w:rsidRDefault="003A7C1B" w:rsidP="00250DAC">
            <w:pPr>
              <w:spacing w:after="0" w:line="240" w:lineRule="auto"/>
              <w:jc w:val="center"/>
              <w:rPr>
                <w:rFonts w:ascii="Times New Roman" w:eastAsia="Calibri" w:hAnsi="Times New Roman"/>
                <w:color w:val="000000"/>
                <w:sz w:val="20"/>
                <w:szCs w:val="20"/>
              </w:rPr>
            </w:pPr>
            <w:r w:rsidRPr="000860EB">
              <w:rPr>
                <w:rFonts w:ascii="Times New Roman" w:eastAsia="Calibri" w:hAnsi="Times New Roman"/>
                <w:sz w:val="20"/>
                <w:szCs w:val="20"/>
              </w:rPr>
              <w:t>1,60,000</w:t>
            </w:r>
          </w:p>
        </w:tc>
        <w:tc>
          <w:tcPr>
            <w:tcW w:w="472" w:type="pct"/>
            <w:shd w:val="clear" w:color="auto" w:fill="auto"/>
            <w:vAlign w:val="center"/>
          </w:tcPr>
          <w:p w14:paraId="3E468DA9" w14:textId="77777777" w:rsidR="003A7C1B" w:rsidRPr="000860EB" w:rsidRDefault="003A7C1B" w:rsidP="00250DA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1.16</w:t>
            </w:r>
          </w:p>
        </w:tc>
        <w:tc>
          <w:tcPr>
            <w:tcW w:w="645" w:type="pct"/>
            <w:vMerge w:val="restart"/>
            <w:shd w:val="clear" w:color="auto" w:fill="auto"/>
            <w:vAlign w:val="center"/>
          </w:tcPr>
          <w:p w14:paraId="33B55A2C" w14:textId="77777777" w:rsidR="003A7C1B" w:rsidRPr="000860EB" w:rsidRDefault="003A7C1B" w:rsidP="00250DAC">
            <w:pPr>
              <w:spacing w:after="0" w:line="240" w:lineRule="auto"/>
              <w:jc w:val="both"/>
              <w:rPr>
                <w:rFonts w:ascii="Times New Roman" w:hAnsi="Times New Roman"/>
                <w:sz w:val="20"/>
                <w:szCs w:val="20"/>
              </w:rPr>
            </w:pPr>
            <w:r w:rsidRPr="000860EB">
              <w:rPr>
                <w:rFonts w:ascii="Times New Roman" w:hAnsi="Times New Roman"/>
                <w:sz w:val="20"/>
                <w:szCs w:val="20"/>
              </w:rPr>
              <w:t>Acquisition of Shares</w:t>
            </w:r>
          </w:p>
        </w:tc>
        <w:tc>
          <w:tcPr>
            <w:tcW w:w="1041" w:type="pct"/>
            <w:shd w:val="clear" w:color="auto" w:fill="auto"/>
            <w:vAlign w:val="center"/>
          </w:tcPr>
          <w:p w14:paraId="4F51124A" w14:textId="77777777" w:rsidR="003A7C1B" w:rsidRPr="000860EB" w:rsidRDefault="003A7C1B" w:rsidP="00250DAC">
            <w:pPr>
              <w:tabs>
                <w:tab w:val="left" w:pos="360"/>
              </w:tabs>
              <w:spacing w:after="0" w:line="240" w:lineRule="auto"/>
              <w:contextualSpacing/>
              <w:jc w:val="both"/>
              <w:rPr>
                <w:rFonts w:ascii="Times New Roman" w:eastAsia="Calibri" w:hAnsi="Times New Roman"/>
                <w:color w:val="000000"/>
                <w:sz w:val="20"/>
                <w:szCs w:val="20"/>
              </w:rPr>
            </w:pPr>
            <w:r w:rsidRPr="000860EB">
              <w:rPr>
                <w:rFonts w:ascii="Times New Roman" w:eastAsia="Calibri" w:hAnsi="Times New Roman"/>
                <w:color w:val="000000"/>
                <w:sz w:val="20"/>
                <w:szCs w:val="20"/>
              </w:rPr>
              <w:t>Promoter &amp; Director</w:t>
            </w:r>
          </w:p>
        </w:tc>
      </w:tr>
      <w:tr w:rsidR="003A7C1B" w:rsidRPr="000860EB" w14:paraId="4B238A56" w14:textId="77777777" w:rsidTr="00250DAC">
        <w:trPr>
          <w:trHeight w:val="20"/>
        </w:trPr>
        <w:tc>
          <w:tcPr>
            <w:tcW w:w="729" w:type="pct"/>
            <w:shd w:val="clear" w:color="auto" w:fill="auto"/>
            <w:vAlign w:val="center"/>
          </w:tcPr>
          <w:p w14:paraId="110CAA21" w14:textId="77777777" w:rsidR="003A7C1B" w:rsidRPr="000860EB" w:rsidRDefault="003A7C1B" w:rsidP="00250DAC">
            <w:pPr>
              <w:spacing w:after="0" w:line="240" w:lineRule="auto"/>
              <w:rPr>
                <w:rFonts w:ascii="Times New Roman" w:hAnsi="Times New Roman"/>
                <w:sz w:val="20"/>
                <w:szCs w:val="20"/>
              </w:rPr>
            </w:pPr>
            <w:r w:rsidRPr="000860EB">
              <w:rPr>
                <w:rFonts w:ascii="Times New Roman" w:eastAsia="Calibri" w:hAnsi="Times New Roman"/>
                <w:sz w:val="20"/>
                <w:szCs w:val="20"/>
              </w:rPr>
              <w:t>June 20, 2023</w:t>
            </w:r>
          </w:p>
        </w:tc>
        <w:tc>
          <w:tcPr>
            <w:tcW w:w="1675" w:type="pct"/>
            <w:shd w:val="clear" w:color="auto" w:fill="auto"/>
          </w:tcPr>
          <w:p w14:paraId="2DE7775A" w14:textId="77777777" w:rsidR="003A7C1B" w:rsidRPr="000860EB" w:rsidRDefault="003A7C1B" w:rsidP="00250DAC">
            <w:pPr>
              <w:spacing w:after="0" w:line="240" w:lineRule="auto"/>
              <w:jc w:val="both"/>
              <w:rPr>
                <w:rFonts w:ascii="Times New Roman" w:hAnsi="Times New Roman"/>
                <w:color w:val="000000"/>
                <w:sz w:val="20"/>
                <w:szCs w:val="20"/>
              </w:rPr>
            </w:pPr>
            <w:r w:rsidRPr="000860EB">
              <w:rPr>
                <w:rFonts w:ascii="Times New Roman" w:hAnsi="Times New Roman"/>
                <w:color w:val="000000"/>
                <w:sz w:val="20"/>
                <w:szCs w:val="20"/>
              </w:rPr>
              <w:t xml:space="preserve">Megha </w:t>
            </w:r>
            <w:r w:rsidRPr="000860EB">
              <w:rPr>
                <w:rFonts w:ascii="Times New Roman" w:hAnsi="Times New Roman"/>
                <w:sz w:val="20"/>
                <w:szCs w:val="20"/>
              </w:rPr>
              <w:t xml:space="preserve">Bhavesh </w:t>
            </w:r>
            <w:r w:rsidRPr="000860EB">
              <w:rPr>
                <w:rFonts w:ascii="Times New Roman" w:hAnsi="Times New Roman"/>
                <w:color w:val="000000"/>
                <w:sz w:val="20"/>
                <w:szCs w:val="20"/>
              </w:rPr>
              <w:t>Maheshwari</w:t>
            </w:r>
          </w:p>
        </w:tc>
        <w:tc>
          <w:tcPr>
            <w:tcW w:w="438" w:type="pct"/>
            <w:shd w:val="clear" w:color="auto" w:fill="auto"/>
            <w:vAlign w:val="center"/>
          </w:tcPr>
          <w:p w14:paraId="23DA767D" w14:textId="77777777" w:rsidR="003A7C1B" w:rsidRPr="000860EB" w:rsidRDefault="003A7C1B" w:rsidP="00250DAC">
            <w:pPr>
              <w:spacing w:after="0" w:line="240" w:lineRule="auto"/>
              <w:jc w:val="center"/>
              <w:rPr>
                <w:rFonts w:ascii="Times New Roman" w:eastAsia="Calibri" w:hAnsi="Times New Roman"/>
                <w:color w:val="000000"/>
                <w:sz w:val="20"/>
                <w:szCs w:val="20"/>
              </w:rPr>
            </w:pPr>
            <w:r w:rsidRPr="000860EB">
              <w:rPr>
                <w:rFonts w:ascii="Times New Roman" w:eastAsia="Calibri" w:hAnsi="Times New Roman"/>
                <w:color w:val="000000"/>
                <w:sz w:val="20"/>
                <w:szCs w:val="20"/>
              </w:rPr>
              <w:t>40,000</w:t>
            </w:r>
          </w:p>
        </w:tc>
        <w:tc>
          <w:tcPr>
            <w:tcW w:w="472" w:type="pct"/>
            <w:shd w:val="clear" w:color="auto" w:fill="auto"/>
            <w:vAlign w:val="center"/>
          </w:tcPr>
          <w:p w14:paraId="0F005522" w14:textId="77777777" w:rsidR="003A7C1B" w:rsidRPr="000860EB" w:rsidRDefault="003A7C1B" w:rsidP="00250DAC">
            <w:pPr>
              <w:spacing w:after="0" w:line="240" w:lineRule="auto"/>
              <w:jc w:val="center"/>
              <w:rPr>
                <w:rFonts w:ascii="Times New Roman" w:hAnsi="Times New Roman"/>
                <w:color w:val="000000"/>
                <w:sz w:val="20"/>
                <w:szCs w:val="20"/>
              </w:rPr>
            </w:pPr>
            <w:r w:rsidRPr="000860EB">
              <w:rPr>
                <w:rFonts w:ascii="Times New Roman" w:hAnsi="Times New Roman"/>
                <w:color w:val="000000"/>
                <w:sz w:val="20"/>
                <w:szCs w:val="20"/>
              </w:rPr>
              <w:t>0.29</w:t>
            </w:r>
          </w:p>
        </w:tc>
        <w:tc>
          <w:tcPr>
            <w:tcW w:w="645" w:type="pct"/>
            <w:vMerge/>
            <w:shd w:val="clear" w:color="auto" w:fill="auto"/>
          </w:tcPr>
          <w:p w14:paraId="1ACEA3EA" w14:textId="77777777" w:rsidR="003A7C1B" w:rsidRPr="000860EB" w:rsidRDefault="003A7C1B" w:rsidP="00250DAC">
            <w:pPr>
              <w:spacing w:after="0" w:line="240" w:lineRule="auto"/>
              <w:rPr>
                <w:rFonts w:ascii="Times New Roman" w:hAnsi="Times New Roman"/>
                <w:sz w:val="20"/>
                <w:szCs w:val="20"/>
              </w:rPr>
            </w:pPr>
          </w:p>
        </w:tc>
        <w:tc>
          <w:tcPr>
            <w:tcW w:w="1041" w:type="pct"/>
            <w:shd w:val="clear" w:color="auto" w:fill="auto"/>
            <w:vAlign w:val="center"/>
          </w:tcPr>
          <w:p w14:paraId="04730215" w14:textId="77777777" w:rsidR="003A7C1B" w:rsidRPr="000860EB" w:rsidRDefault="003A7C1B" w:rsidP="00250DAC">
            <w:pPr>
              <w:tabs>
                <w:tab w:val="left" w:pos="360"/>
              </w:tabs>
              <w:spacing w:after="0" w:line="240" w:lineRule="auto"/>
              <w:contextualSpacing/>
              <w:jc w:val="both"/>
              <w:rPr>
                <w:rFonts w:ascii="Times New Roman" w:eastAsia="Calibri" w:hAnsi="Times New Roman"/>
                <w:color w:val="000000"/>
                <w:sz w:val="20"/>
                <w:szCs w:val="20"/>
              </w:rPr>
            </w:pPr>
            <w:r w:rsidRPr="000860EB">
              <w:rPr>
                <w:rFonts w:ascii="Times New Roman" w:eastAsia="Calibri" w:hAnsi="Times New Roman"/>
                <w:color w:val="000000"/>
                <w:sz w:val="20"/>
                <w:szCs w:val="20"/>
              </w:rPr>
              <w:t>Promoter Group</w:t>
            </w:r>
          </w:p>
        </w:tc>
      </w:tr>
      <w:tr w:rsidR="003A7C1B" w:rsidRPr="000860EB" w14:paraId="13E2DBD3" w14:textId="77777777" w:rsidTr="00250DAC">
        <w:trPr>
          <w:trHeight w:val="20"/>
        </w:trPr>
        <w:tc>
          <w:tcPr>
            <w:tcW w:w="729" w:type="pct"/>
            <w:shd w:val="clear" w:color="auto" w:fill="auto"/>
            <w:vAlign w:val="center"/>
          </w:tcPr>
          <w:p w14:paraId="2D7EF39D" w14:textId="77777777" w:rsidR="003A7C1B" w:rsidRPr="000860EB" w:rsidRDefault="003A7C1B" w:rsidP="00250DAC">
            <w:pPr>
              <w:spacing w:after="0" w:line="240" w:lineRule="auto"/>
              <w:rPr>
                <w:rFonts w:ascii="Times New Roman" w:hAnsi="Times New Roman"/>
                <w:sz w:val="20"/>
                <w:szCs w:val="20"/>
              </w:rPr>
            </w:pPr>
            <w:r w:rsidRPr="000860EB">
              <w:rPr>
                <w:rFonts w:ascii="Times New Roman" w:eastAsia="Calibri" w:hAnsi="Times New Roman"/>
                <w:sz w:val="20"/>
                <w:szCs w:val="20"/>
              </w:rPr>
              <w:t>June 20, 2023</w:t>
            </w:r>
          </w:p>
        </w:tc>
        <w:tc>
          <w:tcPr>
            <w:tcW w:w="1675" w:type="pct"/>
            <w:shd w:val="clear" w:color="auto" w:fill="auto"/>
          </w:tcPr>
          <w:p w14:paraId="7A5496DD" w14:textId="77777777" w:rsidR="003A7C1B" w:rsidRPr="000860EB" w:rsidRDefault="003A7C1B" w:rsidP="00250DAC">
            <w:pPr>
              <w:spacing w:after="0" w:line="240" w:lineRule="auto"/>
              <w:jc w:val="both"/>
              <w:rPr>
                <w:rFonts w:ascii="Times New Roman" w:hAnsi="Times New Roman"/>
                <w:color w:val="000000"/>
                <w:sz w:val="20"/>
                <w:szCs w:val="20"/>
              </w:rPr>
            </w:pPr>
            <w:r>
              <w:rPr>
                <w:rFonts w:ascii="Times New Roman" w:hAnsi="Times New Roman"/>
                <w:sz w:val="20"/>
                <w:szCs w:val="20"/>
              </w:rPr>
              <w:t>M</w:t>
            </w:r>
            <w:r w:rsidRPr="00126C33">
              <w:rPr>
                <w:rFonts w:ascii="Times New Roman" w:hAnsi="Times New Roman"/>
                <w:sz w:val="20"/>
                <w:szCs w:val="20"/>
              </w:rPr>
              <w:t>aheshwari Ramgopal Ochha</w:t>
            </w:r>
            <w:r>
              <w:rPr>
                <w:rFonts w:ascii="Times New Roman" w:hAnsi="Times New Roman"/>
                <w:sz w:val="20"/>
                <w:szCs w:val="20"/>
              </w:rPr>
              <w:t>v</w:t>
            </w:r>
            <w:r w:rsidRPr="00126C33">
              <w:rPr>
                <w:rFonts w:ascii="Times New Roman" w:hAnsi="Times New Roman"/>
                <w:sz w:val="20"/>
                <w:szCs w:val="20"/>
              </w:rPr>
              <w:t xml:space="preserve">lal </w:t>
            </w:r>
            <w:r w:rsidRPr="000860EB">
              <w:rPr>
                <w:rFonts w:ascii="Times New Roman" w:hAnsi="Times New Roman"/>
                <w:color w:val="000000"/>
                <w:sz w:val="20"/>
                <w:szCs w:val="20"/>
              </w:rPr>
              <w:t>HUF</w:t>
            </w:r>
          </w:p>
        </w:tc>
        <w:tc>
          <w:tcPr>
            <w:tcW w:w="438" w:type="pct"/>
            <w:shd w:val="clear" w:color="auto" w:fill="auto"/>
            <w:vAlign w:val="center"/>
          </w:tcPr>
          <w:p w14:paraId="1A2C8B68" w14:textId="77777777" w:rsidR="003A7C1B" w:rsidRPr="000860EB" w:rsidRDefault="003A7C1B" w:rsidP="00250DAC">
            <w:pPr>
              <w:spacing w:after="0" w:line="240" w:lineRule="auto"/>
              <w:jc w:val="center"/>
              <w:rPr>
                <w:rFonts w:ascii="Times New Roman" w:eastAsia="Calibri" w:hAnsi="Times New Roman"/>
                <w:color w:val="000000"/>
                <w:sz w:val="20"/>
                <w:szCs w:val="20"/>
              </w:rPr>
            </w:pPr>
            <w:r w:rsidRPr="000860EB">
              <w:rPr>
                <w:rFonts w:ascii="Times New Roman" w:eastAsia="Calibri" w:hAnsi="Times New Roman"/>
                <w:color w:val="000000"/>
                <w:sz w:val="20"/>
                <w:szCs w:val="20"/>
              </w:rPr>
              <w:t>10,000</w:t>
            </w:r>
          </w:p>
        </w:tc>
        <w:tc>
          <w:tcPr>
            <w:tcW w:w="472" w:type="pct"/>
            <w:shd w:val="clear" w:color="auto" w:fill="auto"/>
            <w:vAlign w:val="center"/>
          </w:tcPr>
          <w:p w14:paraId="39ECD6A5" w14:textId="77777777" w:rsidR="003A7C1B" w:rsidRPr="000860EB" w:rsidRDefault="003A7C1B" w:rsidP="00250DAC">
            <w:pPr>
              <w:spacing w:after="0" w:line="240" w:lineRule="auto"/>
              <w:jc w:val="center"/>
              <w:rPr>
                <w:rFonts w:ascii="Times New Roman" w:hAnsi="Times New Roman"/>
                <w:color w:val="000000"/>
                <w:sz w:val="20"/>
                <w:szCs w:val="20"/>
              </w:rPr>
            </w:pPr>
            <w:r w:rsidRPr="000860EB">
              <w:rPr>
                <w:rFonts w:ascii="Times New Roman" w:hAnsi="Times New Roman"/>
                <w:color w:val="000000"/>
                <w:sz w:val="20"/>
                <w:szCs w:val="20"/>
              </w:rPr>
              <w:t>0.07</w:t>
            </w:r>
          </w:p>
        </w:tc>
        <w:tc>
          <w:tcPr>
            <w:tcW w:w="645" w:type="pct"/>
            <w:vMerge/>
            <w:shd w:val="clear" w:color="auto" w:fill="auto"/>
          </w:tcPr>
          <w:p w14:paraId="4DF344D1" w14:textId="77777777" w:rsidR="003A7C1B" w:rsidRPr="000860EB" w:rsidRDefault="003A7C1B" w:rsidP="00250DAC">
            <w:pPr>
              <w:spacing w:after="0" w:line="240" w:lineRule="auto"/>
              <w:rPr>
                <w:rFonts w:ascii="Times New Roman" w:hAnsi="Times New Roman"/>
                <w:sz w:val="20"/>
                <w:szCs w:val="20"/>
              </w:rPr>
            </w:pPr>
          </w:p>
        </w:tc>
        <w:tc>
          <w:tcPr>
            <w:tcW w:w="1041" w:type="pct"/>
            <w:shd w:val="clear" w:color="auto" w:fill="auto"/>
            <w:vAlign w:val="center"/>
          </w:tcPr>
          <w:p w14:paraId="08A3EDB5" w14:textId="77777777" w:rsidR="003A7C1B" w:rsidRPr="000860EB" w:rsidRDefault="003A7C1B" w:rsidP="00250DAC">
            <w:pPr>
              <w:tabs>
                <w:tab w:val="left" w:pos="360"/>
              </w:tabs>
              <w:spacing w:after="0" w:line="240" w:lineRule="auto"/>
              <w:contextualSpacing/>
              <w:jc w:val="both"/>
              <w:rPr>
                <w:rFonts w:ascii="Times New Roman" w:eastAsia="Calibri" w:hAnsi="Times New Roman"/>
                <w:color w:val="000000"/>
                <w:sz w:val="20"/>
                <w:szCs w:val="20"/>
              </w:rPr>
            </w:pPr>
            <w:r w:rsidRPr="000860EB">
              <w:rPr>
                <w:rFonts w:ascii="Times New Roman" w:eastAsia="Calibri" w:hAnsi="Times New Roman"/>
                <w:color w:val="000000"/>
                <w:sz w:val="20"/>
                <w:szCs w:val="20"/>
              </w:rPr>
              <w:t xml:space="preserve">Promoter Group </w:t>
            </w:r>
          </w:p>
        </w:tc>
      </w:tr>
      <w:tr w:rsidR="003A7C1B" w:rsidRPr="000860EB" w14:paraId="16CCEC37" w14:textId="77777777" w:rsidTr="00250DAC">
        <w:trPr>
          <w:trHeight w:val="20"/>
        </w:trPr>
        <w:tc>
          <w:tcPr>
            <w:tcW w:w="729" w:type="pct"/>
            <w:shd w:val="clear" w:color="auto" w:fill="auto"/>
            <w:vAlign w:val="center"/>
          </w:tcPr>
          <w:p w14:paraId="0117E16F" w14:textId="77777777" w:rsidR="003A7C1B" w:rsidRPr="000860EB" w:rsidRDefault="003A7C1B" w:rsidP="00250DAC">
            <w:pPr>
              <w:spacing w:after="0" w:line="240" w:lineRule="auto"/>
              <w:ind w:left="-18" w:right="-24"/>
              <w:rPr>
                <w:rFonts w:ascii="Times New Roman" w:eastAsia="Calibri" w:hAnsi="Times New Roman"/>
                <w:sz w:val="20"/>
                <w:szCs w:val="20"/>
              </w:rPr>
            </w:pPr>
            <w:r>
              <w:rPr>
                <w:rFonts w:ascii="Times New Roman" w:eastAsia="Calibri" w:hAnsi="Times New Roman"/>
                <w:sz w:val="20"/>
                <w:szCs w:val="20"/>
              </w:rPr>
              <w:t>August 16, 2023</w:t>
            </w:r>
          </w:p>
        </w:tc>
        <w:tc>
          <w:tcPr>
            <w:tcW w:w="1675" w:type="pct"/>
            <w:shd w:val="clear" w:color="auto" w:fill="auto"/>
            <w:vAlign w:val="center"/>
          </w:tcPr>
          <w:p w14:paraId="0C300025" w14:textId="77777777" w:rsidR="003A7C1B" w:rsidRPr="000860EB" w:rsidRDefault="003A7C1B" w:rsidP="00250DAC">
            <w:pPr>
              <w:spacing w:after="0" w:line="240" w:lineRule="auto"/>
              <w:rPr>
                <w:rFonts w:ascii="Times New Roman" w:hAnsi="Times New Roman"/>
                <w:color w:val="000000"/>
                <w:sz w:val="20"/>
                <w:szCs w:val="20"/>
              </w:rPr>
            </w:pPr>
            <w:r w:rsidRPr="000860EB">
              <w:rPr>
                <w:rFonts w:ascii="Times New Roman" w:hAnsi="Times New Roman"/>
                <w:sz w:val="20"/>
                <w:szCs w:val="20"/>
              </w:rPr>
              <w:t>Bhavesh Ramgopal Maheshwari</w:t>
            </w:r>
          </w:p>
        </w:tc>
        <w:tc>
          <w:tcPr>
            <w:tcW w:w="438" w:type="pct"/>
            <w:shd w:val="clear" w:color="auto" w:fill="auto"/>
            <w:vAlign w:val="center"/>
          </w:tcPr>
          <w:p w14:paraId="28825459" w14:textId="77777777" w:rsidR="003A7C1B" w:rsidRPr="000860EB" w:rsidRDefault="003A7C1B" w:rsidP="00250DAC">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10,000</w:t>
            </w:r>
          </w:p>
        </w:tc>
        <w:tc>
          <w:tcPr>
            <w:tcW w:w="472" w:type="pct"/>
            <w:shd w:val="clear" w:color="auto" w:fill="auto"/>
            <w:vAlign w:val="center"/>
          </w:tcPr>
          <w:p w14:paraId="2AEAB58F" w14:textId="77777777" w:rsidR="003A7C1B" w:rsidRPr="000860EB" w:rsidRDefault="003A7C1B" w:rsidP="00250DA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0.07</w:t>
            </w:r>
          </w:p>
        </w:tc>
        <w:tc>
          <w:tcPr>
            <w:tcW w:w="645" w:type="pct"/>
            <w:shd w:val="clear" w:color="auto" w:fill="auto"/>
          </w:tcPr>
          <w:p w14:paraId="0943FB44" w14:textId="77777777" w:rsidR="003A7C1B" w:rsidRPr="000860EB" w:rsidRDefault="003A7C1B" w:rsidP="00250DAC">
            <w:pPr>
              <w:spacing w:after="0" w:line="240" w:lineRule="auto"/>
              <w:rPr>
                <w:rFonts w:ascii="Times New Roman" w:hAnsi="Times New Roman"/>
                <w:sz w:val="20"/>
                <w:szCs w:val="20"/>
              </w:rPr>
            </w:pPr>
            <w:r w:rsidRPr="000860EB">
              <w:rPr>
                <w:rFonts w:ascii="Times New Roman" w:eastAsia="Calibri" w:hAnsi="Times New Roman"/>
                <w:color w:val="000000"/>
                <w:sz w:val="20"/>
                <w:szCs w:val="20"/>
              </w:rPr>
              <w:t>Transfer of Shares</w:t>
            </w:r>
          </w:p>
        </w:tc>
        <w:tc>
          <w:tcPr>
            <w:tcW w:w="1041" w:type="pct"/>
            <w:shd w:val="clear" w:color="auto" w:fill="auto"/>
            <w:vAlign w:val="center"/>
          </w:tcPr>
          <w:p w14:paraId="100B2667" w14:textId="77777777" w:rsidR="003A7C1B" w:rsidRPr="000860EB" w:rsidRDefault="003A7C1B" w:rsidP="00250DAC">
            <w:pPr>
              <w:tabs>
                <w:tab w:val="left" w:pos="360"/>
              </w:tabs>
              <w:spacing w:after="0" w:line="240" w:lineRule="auto"/>
              <w:contextualSpacing/>
              <w:jc w:val="both"/>
              <w:rPr>
                <w:rFonts w:ascii="Times New Roman" w:eastAsia="Calibri" w:hAnsi="Times New Roman"/>
                <w:color w:val="000000"/>
                <w:sz w:val="20"/>
                <w:szCs w:val="20"/>
              </w:rPr>
            </w:pPr>
            <w:r w:rsidRPr="000860EB">
              <w:rPr>
                <w:rFonts w:ascii="Times New Roman" w:eastAsia="Calibri" w:hAnsi="Times New Roman"/>
                <w:color w:val="000000"/>
                <w:sz w:val="20"/>
                <w:szCs w:val="20"/>
              </w:rPr>
              <w:t>Promoter &amp; Director</w:t>
            </w:r>
          </w:p>
        </w:tc>
      </w:tr>
      <w:tr w:rsidR="003A7C1B" w:rsidRPr="000860EB" w14:paraId="06934F2F" w14:textId="77777777" w:rsidTr="00250DAC">
        <w:trPr>
          <w:trHeight w:val="20"/>
        </w:trPr>
        <w:tc>
          <w:tcPr>
            <w:tcW w:w="729" w:type="pct"/>
            <w:shd w:val="clear" w:color="auto" w:fill="auto"/>
            <w:vAlign w:val="center"/>
          </w:tcPr>
          <w:p w14:paraId="4E8EAAF2" w14:textId="77777777" w:rsidR="003A7C1B" w:rsidRPr="000860EB" w:rsidRDefault="003A7C1B" w:rsidP="00250DAC">
            <w:pPr>
              <w:spacing w:after="0" w:line="240" w:lineRule="auto"/>
              <w:ind w:left="-18" w:right="-24"/>
              <w:rPr>
                <w:rFonts w:ascii="Times New Roman" w:eastAsia="Calibri" w:hAnsi="Times New Roman"/>
                <w:sz w:val="20"/>
                <w:szCs w:val="20"/>
              </w:rPr>
            </w:pPr>
            <w:r>
              <w:rPr>
                <w:rFonts w:ascii="Times New Roman" w:eastAsia="Calibri" w:hAnsi="Times New Roman"/>
                <w:sz w:val="20"/>
                <w:szCs w:val="20"/>
              </w:rPr>
              <w:t>August 16, 2023</w:t>
            </w:r>
          </w:p>
        </w:tc>
        <w:tc>
          <w:tcPr>
            <w:tcW w:w="1675" w:type="pct"/>
            <w:shd w:val="clear" w:color="auto" w:fill="auto"/>
          </w:tcPr>
          <w:p w14:paraId="5240E782" w14:textId="77777777" w:rsidR="003A7C1B" w:rsidRPr="000860EB" w:rsidRDefault="003A7C1B" w:rsidP="00250DAC">
            <w:pPr>
              <w:spacing w:after="0" w:line="240" w:lineRule="auto"/>
              <w:jc w:val="both"/>
              <w:rPr>
                <w:rFonts w:ascii="Times New Roman" w:hAnsi="Times New Roman"/>
                <w:color w:val="000000"/>
                <w:sz w:val="20"/>
                <w:szCs w:val="20"/>
              </w:rPr>
            </w:pPr>
            <w:r w:rsidRPr="000860EB">
              <w:rPr>
                <w:rFonts w:ascii="Times New Roman" w:hAnsi="Times New Roman"/>
                <w:sz w:val="20"/>
                <w:szCs w:val="20"/>
              </w:rPr>
              <w:t>Bhavesh Ramgopal Maheshwari</w:t>
            </w:r>
            <w:r>
              <w:rPr>
                <w:rFonts w:ascii="Times New Roman" w:hAnsi="Times New Roman"/>
                <w:sz w:val="20"/>
                <w:szCs w:val="20"/>
              </w:rPr>
              <w:t xml:space="preserve"> HUF</w:t>
            </w:r>
          </w:p>
        </w:tc>
        <w:tc>
          <w:tcPr>
            <w:tcW w:w="438" w:type="pct"/>
            <w:shd w:val="clear" w:color="auto" w:fill="auto"/>
            <w:vAlign w:val="center"/>
          </w:tcPr>
          <w:p w14:paraId="1EFE4371" w14:textId="77777777" w:rsidR="003A7C1B" w:rsidRPr="000860EB" w:rsidRDefault="003A7C1B" w:rsidP="00250DAC">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10,000</w:t>
            </w:r>
          </w:p>
        </w:tc>
        <w:tc>
          <w:tcPr>
            <w:tcW w:w="472" w:type="pct"/>
            <w:shd w:val="clear" w:color="auto" w:fill="auto"/>
            <w:vAlign w:val="center"/>
          </w:tcPr>
          <w:p w14:paraId="1B6DF808" w14:textId="77777777" w:rsidR="003A7C1B" w:rsidRPr="000860EB" w:rsidRDefault="003A7C1B" w:rsidP="00250DA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0.07</w:t>
            </w:r>
          </w:p>
        </w:tc>
        <w:tc>
          <w:tcPr>
            <w:tcW w:w="645" w:type="pct"/>
            <w:vMerge w:val="restart"/>
            <w:shd w:val="clear" w:color="auto" w:fill="auto"/>
          </w:tcPr>
          <w:p w14:paraId="64D1044D" w14:textId="77777777" w:rsidR="003A7C1B" w:rsidRPr="000860EB" w:rsidRDefault="003A7C1B" w:rsidP="00250DAC">
            <w:pPr>
              <w:spacing w:after="0" w:line="240" w:lineRule="auto"/>
              <w:rPr>
                <w:rFonts w:ascii="Times New Roman" w:hAnsi="Times New Roman"/>
                <w:sz w:val="20"/>
                <w:szCs w:val="20"/>
              </w:rPr>
            </w:pPr>
            <w:r w:rsidRPr="000860EB">
              <w:rPr>
                <w:rFonts w:ascii="Times New Roman" w:hAnsi="Times New Roman"/>
                <w:sz w:val="20"/>
                <w:szCs w:val="20"/>
              </w:rPr>
              <w:t>Acquisition of Shares</w:t>
            </w:r>
          </w:p>
        </w:tc>
        <w:tc>
          <w:tcPr>
            <w:tcW w:w="1041" w:type="pct"/>
            <w:shd w:val="clear" w:color="auto" w:fill="auto"/>
            <w:vAlign w:val="center"/>
          </w:tcPr>
          <w:p w14:paraId="419EDD0F" w14:textId="77777777" w:rsidR="003A7C1B" w:rsidRPr="000860EB" w:rsidRDefault="003A7C1B" w:rsidP="00250DAC">
            <w:pPr>
              <w:tabs>
                <w:tab w:val="left" w:pos="360"/>
              </w:tabs>
              <w:spacing w:after="0" w:line="240" w:lineRule="auto"/>
              <w:contextualSpacing/>
              <w:jc w:val="both"/>
              <w:rPr>
                <w:rFonts w:ascii="Times New Roman" w:eastAsia="Calibri" w:hAnsi="Times New Roman"/>
                <w:color w:val="000000"/>
                <w:sz w:val="20"/>
                <w:szCs w:val="20"/>
              </w:rPr>
            </w:pPr>
            <w:r w:rsidRPr="000860EB">
              <w:rPr>
                <w:rFonts w:ascii="Times New Roman" w:eastAsia="Calibri" w:hAnsi="Times New Roman"/>
                <w:color w:val="000000"/>
                <w:sz w:val="20"/>
                <w:szCs w:val="20"/>
              </w:rPr>
              <w:t xml:space="preserve">Promoter </w:t>
            </w:r>
            <w:r>
              <w:rPr>
                <w:rFonts w:ascii="Times New Roman" w:eastAsia="Calibri" w:hAnsi="Times New Roman"/>
                <w:color w:val="000000"/>
                <w:sz w:val="20"/>
                <w:szCs w:val="20"/>
              </w:rPr>
              <w:t>Group</w:t>
            </w:r>
          </w:p>
        </w:tc>
      </w:tr>
      <w:tr w:rsidR="003A7C1B" w:rsidRPr="000860EB" w14:paraId="19BED416" w14:textId="77777777" w:rsidTr="00250DAC">
        <w:trPr>
          <w:trHeight w:val="20"/>
        </w:trPr>
        <w:tc>
          <w:tcPr>
            <w:tcW w:w="729" w:type="pct"/>
            <w:shd w:val="clear" w:color="auto" w:fill="auto"/>
            <w:vAlign w:val="center"/>
          </w:tcPr>
          <w:p w14:paraId="5C518388" w14:textId="77777777" w:rsidR="003A7C1B" w:rsidRPr="000860EB" w:rsidRDefault="003A7C1B" w:rsidP="00250DAC">
            <w:pPr>
              <w:spacing w:after="0" w:line="240" w:lineRule="auto"/>
              <w:ind w:left="-18" w:right="-24"/>
              <w:rPr>
                <w:rFonts w:ascii="Times New Roman" w:eastAsia="Calibri" w:hAnsi="Times New Roman"/>
                <w:sz w:val="20"/>
                <w:szCs w:val="20"/>
              </w:rPr>
            </w:pPr>
            <w:r>
              <w:rPr>
                <w:rFonts w:ascii="Times New Roman" w:eastAsia="Calibri" w:hAnsi="Times New Roman"/>
                <w:sz w:val="20"/>
                <w:szCs w:val="20"/>
              </w:rPr>
              <w:t>August 18, 2023</w:t>
            </w:r>
          </w:p>
        </w:tc>
        <w:tc>
          <w:tcPr>
            <w:tcW w:w="1675" w:type="pct"/>
            <w:shd w:val="clear" w:color="auto" w:fill="auto"/>
          </w:tcPr>
          <w:p w14:paraId="3E2FE0DB" w14:textId="77777777" w:rsidR="003A7C1B" w:rsidRPr="000860EB" w:rsidRDefault="003A7C1B" w:rsidP="00250DAC">
            <w:pPr>
              <w:spacing w:after="0" w:line="240" w:lineRule="auto"/>
              <w:jc w:val="both"/>
              <w:rPr>
                <w:rFonts w:ascii="Times New Roman" w:hAnsi="Times New Roman"/>
                <w:color w:val="000000"/>
                <w:sz w:val="20"/>
                <w:szCs w:val="20"/>
              </w:rPr>
            </w:pPr>
            <w:r w:rsidRPr="000860EB">
              <w:rPr>
                <w:rFonts w:ascii="Times New Roman" w:hAnsi="Times New Roman"/>
                <w:sz w:val="20"/>
                <w:szCs w:val="20"/>
              </w:rPr>
              <w:t>Bhavesh Ramgopal Maheshwari</w:t>
            </w:r>
          </w:p>
        </w:tc>
        <w:tc>
          <w:tcPr>
            <w:tcW w:w="438" w:type="pct"/>
            <w:shd w:val="clear" w:color="auto" w:fill="auto"/>
            <w:vAlign w:val="center"/>
          </w:tcPr>
          <w:p w14:paraId="4DD21357" w14:textId="77777777" w:rsidR="003A7C1B" w:rsidRPr="000860EB" w:rsidRDefault="003A7C1B" w:rsidP="00250DAC">
            <w:pPr>
              <w:spacing w:after="0" w:line="240" w:lineRule="auto"/>
              <w:jc w:val="center"/>
              <w:rPr>
                <w:rFonts w:ascii="Times New Roman" w:eastAsia="Calibri" w:hAnsi="Times New Roman"/>
                <w:color w:val="000000"/>
                <w:sz w:val="20"/>
                <w:szCs w:val="20"/>
              </w:rPr>
            </w:pPr>
            <w:r>
              <w:rPr>
                <w:rFonts w:ascii="Times New Roman" w:eastAsia="Calibri" w:hAnsi="Times New Roman"/>
                <w:color w:val="000000"/>
                <w:sz w:val="20"/>
                <w:szCs w:val="20"/>
              </w:rPr>
              <w:t>60,000</w:t>
            </w:r>
          </w:p>
        </w:tc>
        <w:tc>
          <w:tcPr>
            <w:tcW w:w="472" w:type="pct"/>
            <w:shd w:val="clear" w:color="auto" w:fill="auto"/>
            <w:vAlign w:val="center"/>
          </w:tcPr>
          <w:p w14:paraId="0F3CCC05" w14:textId="77777777" w:rsidR="003A7C1B" w:rsidRPr="000860EB" w:rsidRDefault="003A7C1B" w:rsidP="00250DA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0.43</w:t>
            </w:r>
          </w:p>
        </w:tc>
        <w:tc>
          <w:tcPr>
            <w:tcW w:w="645" w:type="pct"/>
            <w:vMerge/>
            <w:shd w:val="clear" w:color="auto" w:fill="auto"/>
          </w:tcPr>
          <w:p w14:paraId="2A6BA65F" w14:textId="77777777" w:rsidR="003A7C1B" w:rsidRPr="000860EB" w:rsidRDefault="003A7C1B" w:rsidP="00250DAC">
            <w:pPr>
              <w:spacing w:after="0" w:line="240" w:lineRule="auto"/>
              <w:rPr>
                <w:rFonts w:ascii="Times New Roman" w:hAnsi="Times New Roman"/>
                <w:sz w:val="20"/>
                <w:szCs w:val="20"/>
              </w:rPr>
            </w:pPr>
          </w:p>
        </w:tc>
        <w:tc>
          <w:tcPr>
            <w:tcW w:w="1041" w:type="pct"/>
            <w:shd w:val="clear" w:color="auto" w:fill="auto"/>
            <w:vAlign w:val="center"/>
          </w:tcPr>
          <w:p w14:paraId="7EDA5A15" w14:textId="77777777" w:rsidR="003A7C1B" w:rsidRPr="000860EB" w:rsidRDefault="003A7C1B" w:rsidP="00250DAC">
            <w:pPr>
              <w:tabs>
                <w:tab w:val="left" w:pos="360"/>
              </w:tabs>
              <w:spacing w:after="0" w:line="240" w:lineRule="auto"/>
              <w:contextualSpacing/>
              <w:jc w:val="both"/>
              <w:rPr>
                <w:rFonts w:ascii="Times New Roman" w:eastAsia="Calibri" w:hAnsi="Times New Roman"/>
                <w:color w:val="000000"/>
                <w:sz w:val="20"/>
                <w:szCs w:val="20"/>
              </w:rPr>
            </w:pPr>
            <w:r w:rsidRPr="000860EB">
              <w:rPr>
                <w:rFonts w:ascii="Times New Roman" w:eastAsia="Calibri" w:hAnsi="Times New Roman"/>
                <w:color w:val="000000"/>
                <w:sz w:val="20"/>
                <w:szCs w:val="20"/>
              </w:rPr>
              <w:t>Promoter &amp; Director</w:t>
            </w:r>
          </w:p>
        </w:tc>
      </w:tr>
    </w:tbl>
    <w:p w14:paraId="48DB1E97" w14:textId="77777777" w:rsidR="003A7C1B" w:rsidRPr="000860EB" w:rsidRDefault="003A7C1B" w:rsidP="003A7C1B">
      <w:pPr>
        <w:tabs>
          <w:tab w:val="left" w:pos="360"/>
        </w:tabs>
        <w:spacing w:after="0" w:line="240" w:lineRule="auto"/>
        <w:ind w:left="360"/>
        <w:contextualSpacing/>
        <w:jc w:val="both"/>
        <w:rPr>
          <w:rFonts w:ascii="Times New Roman" w:hAnsi="Times New Roman"/>
          <w:color w:val="000000"/>
          <w:sz w:val="20"/>
          <w:szCs w:val="20"/>
        </w:rPr>
      </w:pPr>
    </w:p>
    <w:p w14:paraId="19317574" w14:textId="77777777" w:rsidR="003A7C1B" w:rsidRPr="000860EB" w:rsidRDefault="003A7C1B" w:rsidP="00F038BD">
      <w:pPr>
        <w:numPr>
          <w:ilvl w:val="0"/>
          <w:numId w:val="157"/>
        </w:numPr>
        <w:tabs>
          <w:tab w:val="left" w:pos="360"/>
        </w:tabs>
        <w:spacing w:after="0" w:line="240" w:lineRule="auto"/>
        <w:contextualSpacing/>
        <w:jc w:val="both"/>
        <w:rPr>
          <w:rFonts w:ascii="Times New Roman" w:hAnsi="Times New Roman"/>
          <w:color w:val="000000"/>
          <w:sz w:val="20"/>
          <w:szCs w:val="20"/>
        </w:rPr>
      </w:pPr>
      <w:r w:rsidRPr="000860EB">
        <w:rPr>
          <w:rFonts w:ascii="Times New Roman" w:hAnsi="Times New Roman"/>
          <w:color w:val="000000"/>
          <w:sz w:val="20"/>
          <w:szCs w:val="20"/>
          <w:lang w:val="x-none" w:eastAsia="x-none"/>
        </w:rPr>
        <w:t>None</w:t>
      </w:r>
      <w:r w:rsidRPr="000860EB">
        <w:rPr>
          <w:rFonts w:ascii="Times New Roman" w:hAnsi="Times New Roman"/>
          <w:color w:val="000000"/>
          <w:sz w:val="20"/>
          <w:szCs w:val="20"/>
        </w:rPr>
        <w:t xml:space="preserve"> of our Promoters, Promoter Group, our Directors and their relatives has entered into any financing arrangement or financed the purchase of the Equity Shares of our Company by any other person during the period of six months immediately preceding the date of filing of the Draft </w:t>
      </w:r>
      <w:r w:rsidRPr="000860EB">
        <w:rPr>
          <w:rFonts w:ascii="Times New Roman" w:hAnsi="Times New Roman"/>
          <w:sz w:val="20"/>
          <w:szCs w:val="20"/>
        </w:rPr>
        <w:t xml:space="preserve">Red Herring </w:t>
      </w:r>
      <w:r w:rsidRPr="000860EB">
        <w:rPr>
          <w:rFonts w:ascii="Times New Roman" w:hAnsi="Times New Roman"/>
          <w:color w:val="000000"/>
          <w:sz w:val="20"/>
          <w:szCs w:val="20"/>
        </w:rPr>
        <w:t>Prospectus.</w:t>
      </w:r>
    </w:p>
    <w:p w14:paraId="19739A84" w14:textId="77777777" w:rsidR="003A7C1B" w:rsidRDefault="003A7C1B" w:rsidP="003A7C1B">
      <w:pPr>
        <w:spacing w:after="0" w:line="240" w:lineRule="auto"/>
        <w:ind w:left="360"/>
        <w:jc w:val="both"/>
        <w:rPr>
          <w:rFonts w:ascii="Times New Roman" w:hAnsi="Times New Roman"/>
          <w:color w:val="000000"/>
          <w:sz w:val="20"/>
          <w:szCs w:val="20"/>
        </w:rPr>
      </w:pPr>
    </w:p>
    <w:p w14:paraId="7EB79752" w14:textId="77777777" w:rsidR="003A7C1B" w:rsidRPr="000860EB" w:rsidRDefault="003A7C1B" w:rsidP="003A7C1B">
      <w:pPr>
        <w:spacing w:after="0" w:line="240" w:lineRule="auto"/>
        <w:ind w:left="360"/>
        <w:jc w:val="both"/>
        <w:rPr>
          <w:rFonts w:ascii="Times New Roman" w:hAnsi="Times New Roman"/>
          <w:color w:val="000000"/>
          <w:sz w:val="20"/>
          <w:szCs w:val="20"/>
        </w:rPr>
      </w:pPr>
    </w:p>
    <w:p w14:paraId="02FB7659" w14:textId="77777777" w:rsidR="003A7C1B" w:rsidRPr="000860EB" w:rsidRDefault="003A7C1B" w:rsidP="00F038BD">
      <w:pPr>
        <w:numPr>
          <w:ilvl w:val="0"/>
          <w:numId w:val="157"/>
        </w:numPr>
        <w:tabs>
          <w:tab w:val="left" w:pos="360"/>
        </w:tabs>
        <w:spacing w:after="0" w:line="240" w:lineRule="auto"/>
        <w:contextualSpacing/>
        <w:jc w:val="both"/>
        <w:rPr>
          <w:rFonts w:ascii="Times New Roman" w:hAnsi="Times New Roman"/>
          <w:b/>
          <w:color w:val="000000"/>
          <w:sz w:val="20"/>
          <w:szCs w:val="20"/>
        </w:rPr>
      </w:pPr>
      <w:r w:rsidRPr="000860EB">
        <w:rPr>
          <w:rFonts w:ascii="Times New Roman" w:hAnsi="Times New Roman"/>
          <w:b/>
          <w:color w:val="000000"/>
          <w:sz w:val="20"/>
          <w:szCs w:val="20"/>
          <w:lang w:val="x-none" w:eastAsia="x-none"/>
        </w:rPr>
        <w:t>Details</w:t>
      </w:r>
      <w:r w:rsidRPr="000860EB">
        <w:rPr>
          <w:rFonts w:ascii="Times New Roman" w:hAnsi="Times New Roman"/>
          <w:b/>
          <w:iCs/>
          <w:color w:val="000000"/>
          <w:sz w:val="20"/>
          <w:szCs w:val="20"/>
        </w:rPr>
        <w:t xml:space="preserve"> of Promoters’ Contribution Locked-in for Three Years</w:t>
      </w:r>
    </w:p>
    <w:p w14:paraId="03F7F73F" w14:textId="77777777" w:rsidR="003A7C1B" w:rsidRPr="000860EB" w:rsidRDefault="003A7C1B" w:rsidP="003A7C1B">
      <w:pPr>
        <w:tabs>
          <w:tab w:val="left" w:pos="360"/>
        </w:tabs>
        <w:spacing w:after="0" w:line="240" w:lineRule="auto"/>
        <w:contextualSpacing/>
        <w:jc w:val="both"/>
        <w:rPr>
          <w:rFonts w:ascii="Times New Roman" w:hAnsi="Times New Roman"/>
          <w:color w:val="000000"/>
          <w:sz w:val="20"/>
          <w:szCs w:val="20"/>
        </w:rPr>
      </w:pPr>
    </w:p>
    <w:p w14:paraId="5AD4E73B" w14:textId="77777777" w:rsidR="003A7C1B" w:rsidRPr="000860EB" w:rsidRDefault="003A7C1B" w:rsidP="003A7C1B">
      <w:pPr>
        <w:tabs>
          <w:tab w:val="left" w:pos="360"/>
        </w:tabs>
        <w:spacing w:after="0" w:line="240" w:lineRule="auto"/>
        <w:contextualSpacing/>
        <w:jc w:val="both"/>
        <w:rPr>
          <w:rFonts w:ascii="Times New Roman" w:hAnsi="Times New Roman"/>
          <w:color w:val="000000"/>
          <w:sz w:val="20"/>
          <w:szCs w:val="20"/>
        </w:rPr>
      </w:pPr>
      <w:r w:rsidRPr="000860EB">
        <w:rPr>
          <w:rFonts w:ascii="Times New Roman" w:hAnsi="Times New Roman"/>
          <w:color w:val="000000"/>
          <w:sz w:val="20"/>
          <w:szCs w:val="20"/>
        </w:rPr>
        <w:t xml:space="preserve">Pursuant to Regulation 236 and 238 of SEBI (ICDR) Regulations, 2018, an aggregate of 20.00% of the post issue capital held by our Promoters shall be considered as Promoter’s Contribution </w:t>
      </w:r>
      <w:r w:rsidRPr="000860EB">
        <w:rPr>
          <w:rFonts w:ascii="Times New Roman" w:hAnsi="Times New Roman"/>
          <w:b/>
          <w:color w:val="000000"/>
          <w:sz w:val="20"/>
          <w:szCs w:val="20"/>
        </w:rPr>
        <w:t xml:space="preserve">(“Promoters Contribution”) </w:t>
      </w:r>
      <w:r w:rsidRPr="000860EB">
        <w:rPr>
          <w:rFonts w:ascii="Times New Roman" w:hAnsi="Times New Roman"/>
          <w:color w:val="000000"/>
          <w:sz w:val="20"/>
          <w:szCs w:val="20"/>
        </w:rPr>
        <w:t>and shall be locked-in for a period of three years from the date of allotment of Equity shares issued pursuant to this Issue. The lock in of Promoter’s Contribution would be created as per applicable law and procedure and details of the same shall also be provided to the Stock Exchange before listing of the Equity Shares.</w:t>
      </w:r>
    </w:p>
    <w:p w14:paraId="34B7ADDF" w14:textId="77777777" w:rsidR="003A7C1B" w:rsidRPr="000860EB" w:rsidRDefault="003A7C1B" w:rsidP="003A7C1B">
      <w:pPr>
        <w:tabs>
          <w:tab w:val="left" w:pos="360"/>
        </w:tabs>
        <w:spacing w:after="0" w:line="240" w:lineRule="auto"/>
        <w:contextualSpacing/>
        <w:jc w:val="both"/>
        <w:rPr>
          <w:rFonts w:ascii="Times New Roman" w:hAnsi="Times New Roman"/>
          <w:color w:val="000000"/>
          <w:sz w:val="20"/>
          <w:szCs w:val="20"/>
        </w:rPr>
      </w:pPr>
    </w:p>
    <w:p w14:paraId="059620B4" w14:textId="77777777" w:rsidR="003A7C1B" w:rsidRPr="000860EB" w:rsidRDefault="003A7C1B" w:rsidP="003A7C1B">
      <w:pPr>
        <w:tabs>
          <w:tab w:val="left" w:pos="360"/>
        </w:tabs>
        <w:spacing w:after="0" w:line="240" w:lineRule="auto"/>
        <w:contextualSpacing/>
        <w:jc w:val="both"/>
        <w:rPr>
          <w:rFonts w:ascii="Times New Roman" w:hAnsi="Times New Roman"/>
          <w:sz w:val="20"/>
          <w:szCs w:val="20"/>
        </w:rPr>
      </w:pPr>
      <w:r w:rsidRPr="000860EB">
        <w:rPr>
          <w:rFonts w:ascii="Times New Roman" w:hAnsi="Times New Roman"/>
          <w:color w:val="000000"/>
          <w:sz w:val="20"/>
          <w:szCs w:val="20"/>
        </w:rPr>
        <w:t xml:space="preserve">As on the date of this Draft </w:t>
      </w:r>
      <w:r w:rsidRPr="000860EB">
        <w:rPr>
          <w:rFonts w:ascii="Times New Roman" w:hAnsi="Times New Roman"/>
          <w:sz w:val="20"/>
          <w:szCs w:val="20"/>
        </w:rPr>
        <w:t xml:space="preserve">Red Herring </w:t>
      </w:r>
      <w:r w:rsidRPr="000860EB">
        <w:rPr>
          <w:rFonts w:ascii="Times New Roman" w:hAnsi="Times New Roman"/>
          <w:color w:val="000000"/>
          <w:sz w:val="20"/>
          <w:szCs w:val="20"/>
        </w:rPr>
        <w:t>Prospectus, our Promoters hold 1,</w:t>
      </w:r>
      <w:r>
        <w:rPr>
          <w:rFonts w:ascii="Times New Roman" w:hAnsi="Times New Roman"/>
          <w:color w:val="000000"/>
          <w:sz w:val="20"/>
          <w:szCs w:val="20"/>
        </w:rPr>
        <w:t>37,05,500</w:t>
      </w:r>
      <w:r w:rsidRPr="000860EB">
        <w:rPr>
          <w:rFonts w:ascii="Times New Roman" w:hAnsi="Times New Roman"/>
          <w:color w:val="000000"/>
          <w:sz w:val="20"/>
          <w:szCs w:val="20"/>
        </w:rPr>
        <w:t xml:space="preserve"> Equity Shares constituting [●]%</w:t>
      </w:r>
      <w:r w:rsidRPr="000860EB">
        <w:rPr>
          <w:rFonts w:ascii="Times New Roman" w:hAnsi="Times New Roman"/>
          <w:sz w:val="20"/>
          <w:szCs w:val="20"/>
        </w:rPr>
        <w:t xml:space="preserve"> of the Post-Issued, subscribed and paid up Equity Share Capital of our Company, which are eligible for the Promoters’ contribution.</w:t>
      </w:r>
    </w:p>
    <w:p w14:paraId="6B7140F3" w14:textId="77777777" w:rsidR="003A7C1B" w:rsidRPr="000860EB" w:rsidRDefault="003A7C1B" w:rsidP="003A7C1B">
      <w:pPr>
        <w:suppressAutoHyphens/>
        <w:autoSpaceDE w:val="0"/>
        <w:autoSpaceDN w:val="0"/>
        <w:adjustRightInd w:val="0"/>
        <w:spacing w:after="0" w:line="240" w:lineRule="auto"/>
        <w:jc w:val="both"/>
        <w:textAlignment w:val="center"/>
        <w:rPr>
          <w:rFonts w:ascii="Times New Roman" w:hAnsi="Times New Roman"/>
          <w:color w:val="000000"/>
          <w:sz w:val="20"/>
          <w:szCs w:val="20"/>
        </w:rPr>
      </w:pPr>
    </w:p>
    <w:p w14:paraId="72D5A6E1" w14:textId="77777777" w:rsidR="003A7C1B" w:rsidRPr="000860EB" w:rsidRDefault="003A7C1B" w:rsidP="003A7C1B">
      <w:pPr>
        <w:tabs>
          <w:tab w:val="left" w:pos="360"/>
        </w:tabs>
        <w:spacing w:after="0" w:line="240" w:lineRule="auto"/>
        <w:contextualSpacing/>
        <w:jc w:val="both"/>
        <w:rPr>
          <w:rFonts w:ascii="Times New Roman" w:hAnsi="Times New Roman"/>
          <w:color w:val="000000"/>
          <w:sz w:val="20"/>
          <w:szCs w:val="20"/>
        </w:rPr>
      </w:pPr>
      <w:r w:rsidRPr="000860EB">
        <w:rPr>
          <w:rFonts w:ascii="Times New Roman" w:hAnsi="Times New Roman"/>
          <w:sz w:val="20"/>
          <w:szCs w:val="20"/>
        </w:rPr>
        <w:t xml:space="preserve">Our Promoter, </w:t>
      </w:r>
      <w:r w:rsidRPr="0094678C">
        <w:rPr>
          <w:rFonts w:ascii="Times New Roman" w:hAnsi="Times New Roman"/>
          <w:sz w:val="20"/>
          <w:szCs w:val="20"/>
        </w:rPr>
        <w:t xml:space="preserve">Dwarkadhish Venture Private Limited </w:t>
      </w:r>
      <w:r w:rsidRPr="0094678C">
        <w:rPr>
          <w:rFonts w:ascii="Times New Roman" w:hAnsi="Times New Roman"/>
          <w:i/>
          <w:iCs/>
          <w:sz w:val="20"/>
          <w:szCs w:val="20"/>
        </w:rPr>
        <w:t>(formerly known as Siyaram Metals Private Limited)</w:t>
      </w:r>
      <w:r>
        <w:rPr>
          <w:rFonts w:ascii="Times New Roman" w:hAnsi="Times New Roman"/>
          <w:i/>
          <w:iCs/>
          <w:sz w:val="20"/>
          <w:szCs w:val="20"/>
        </w:rPr>
        <w:t xml:space="preserve"> </w:t>
      </w:r>
      <w:r w:rsidRPr="000860EB">
        <w:rPr>
          <w:rFonts w:ascii="Times New Roman" w:hAnsi="Times New Roman"/>
          <w:sz w:val="20"/>
          <w:szCs w:val="20"/>
        </w:rPr>
        <w:t xml:space="preserve">has given written consent to include its 37,80,000 Equity Shares held and subscribed in its name as part of Promoters Contribution constituting 20.11% of the post issue Equity Shares of our Company. Further, </w:t>
      </w:r>
      <w:r w:rsidRPr="0094678C">
        <w:rPr>
          <w:rFonts w:ascii="Times New Roman" w:hAnsi="Times New Roman"/>
          <w:sz w:val="20"/>
          <w:szCs w:val="20"/>
        </w:rPr>
        <w:t xml:space="preserve">Dwarkadhish Venture Private Limited </w:t>
      </w:r>
      <w:r w:rsidRPr="0094678C">
        <w:rPr>
          <w:rFonts w:ascii="Times New Roman" w:hAnsi="Times New Roman"/>
          <w:i/>
          <w:iCs/>
          <w:sz w:val="20"/>
          <w:szCs w:val="20"/>
        </w:rPr>
        <w:t>(formerly known as Siyaram Metals Private Limited)</w:t>
      </w:r>
      <w:r>
        <w:rPr>
          <w:rFonts w:ascii="Times New Roman" w:hAnsi="Times New Roman"/>
          <w:i/>
          <w:iCs/>
          <w:sz w:val="20"/>
          <w:szCs w:val="20"/>
        </w:rPr>
        <w:t xml:space="preserve"> </w:t>
      </w:r>
      <w:r w:rsidRPr="000860EB">
        <w:rPr>
          <w:rFonts w:ascii="Times New Roman" w:hAnsi="Times New Roman"/>
          <w:sz w:val="20"/>
          <w:szCs w:val="20"/>
        </w:rPr>
        <w:t xml:space="preserve">has agreed not to sell or transfer or pledge or otherwise dispose of in any manner, the Promoters contribution, for a period of three years from the date of allotment in the Issue. </w:t>
      </w:r>
    </w:p>
    <w:p w14:paraId="097008A4" w14:textId="77777777" w:rsidR="003A7C1B" w:rsidRPr="000860EB" w:rsidRDefault="003A7C1B" w:rsidP="003A7C1B">
      <w:pPr>
        <w:tabs>
          <w:tab w:val="left" w:pos="360"/>
        </w:tabs>
        <w:spacing w:after="0" w:line="240" w:lineRule="auto"/>
        <w:contextualSpacing/>
        <w:jc w:val="both"/>
        <w:rPr>
          <w:rFonts w:ascii="Times New Roman" w:hAnsi="Times New Roman"/>
          <w:color w:val="000000"/>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6"/>
        <w:gridCol w:w="1794"/>
        <w:gridCol w:w="1196"/>
        <w:gridCol w:w="1828"/>
        <w:gridCol w:w="1343"/>
        <w:gridCol w:w="1453"/>
        <w:gridCol w:w="916"/>
      </w:tblGrid>
      <w:tr w:rsidR="003A7C1B" w:rsidRPr="000860EB" w14:paraId="5A6AD6A2" w14:textId="77777777" w:rsidTr="00250DAC">
        <w:trPr>
          <w:tblHeader/>
        </w:trPr>
        <w:tc>
          <w:tcPr>
            <w:tcW w:w="921" w:type="pct"/>
            <w:shd w:val="clear" w:color="auto" w:fill="D0CECE" w:themeFill="background2" w:themeFillShade="E6"/>
          </w:tcPr>
          <w:p w14:paraId="2A083BA5" w14:textId="77777777" w:rsidR="003A7C1B" w:rsidRPr="000860EB" w:rsidRDefault="003A7C1B" w:rsidP="00250DAC">
            <w:pPr>
              <w:spacing w:after="0" w:line="240" w:lineRule="auto"/>
              <w:jc w:val="center"/>
              <w:rPr>
                <w:rFonts w:ascii="Times New Roman" w:eastAsia="Calibri" w:hAnsi="Times New Roman"/>
                <w:b/>
                <w:sz w:val="20"/>
                <w:szCs w:val="20"/>
              </w:rPr>
            </w:pPr>
            <w:r w:rsidRPr="000860EB">
              <w:rPr>
                <w:rFonts w:ascii="Times New Roman" w:eastAsia="Calibri" w:hAnsi="Times New Roman"/>
                <w:b/>
                <w:sz w:val="20"/>
                <w:szCs w:val="20"/>
              </w:rPr>
              <w:t>Date of Allotment/ Transfer and made fully Paid Up</w:t>
            </w:r>
          </w:p>
        </w:tc>
        <w:tc>
          <w:tcPr>
            <w:tcW w:w="858" w:type="pct"/>
            <w:shd w:val="clear" w:color="auto" w:fill="D0CECE" w:themeFill="background2" w:themeFillShade="E6"/>
          </w:tcPr>
          <w:p w14:paraId="18E4E809" w14:textId="77777777" w:rsidR="003A7C1B" w:rsidRPr="000860EB" w:rsidRDefault="003A7C1B" w:rsidP="00250DAC">
            <w:pPr>
              <w:spacing w:after="0" w:line="240" w:lineRule="auto"/>
              <w:jc w:val="center"/>
              <w:rPr>
                <w:rFonts w:ascii="Times New Roman" w:eastAsia="Calibri" w:hAnsi="Times New Roman"/>
                <w:b/>
                <w:sz w:val="20"/>
                <w:szCs w:val="20"/>
              </w:rPr>
            </w:pPr>
            <w:r w:rsidRPr="000860EB">
              <w:rPr>
                <w:rFonts w:ascii="Times New Roman" w:eastAsia="Calibri" w:hAnsi="Times New Roman"/>
                <w:b/>
                <w:sz w:val="20"/>
                <w:szCs w:val="20"/>
              </w:rPr>
              <w:t>No. of Equity Shares locked-in</w:t>
            </w:r>
          </w:p>
        </w:tc>
        <w:tc>
          <w:tcPr>
            <w:tcW w:w="572" w:type="pct"/>
            <w:shd w:val="clear" w:color="auto" w:fill="D0CECE" w:themeFill="background2" w:themeFillShade="E6"/>
          </w:tcPr>
          <w:p w14:paraId="20A65280" w14:textId="77777777" w:rsidR="003A7C1B" w:rsidRPr="000860EB" w:rsidRDefault="003A7C1B" w:rsidP="00250DAC">
            <w:pPr>
              <w:spacing w:after="0" w:line="240" w:lineRule="auto"/>
              <w:ind w:right="-33"/>
              <w:jc w:val="center"/>
              <w:rPr>
                <w:rFonts w:ascii="Times New Roman" w:eastAsia="Calibri" w:hAnsi="Times New Roman"/>
                <w:b/>
                <w:sz w:val="20"/>
                <w:szCs w:val="20"/>
              </w:rPr>
            </w:pPr>
            <w:r w:rsidRPr="000860EB">
              <w:rPr>
                <w:rFonts w:ascii="Times New Roman" w:eastAsia="Calibri" w:hAnsi="Times New Roman"/>
                <w:b/>
                <w:sz w:val="20"/>
                <w:szCs w:val="20"/>
              </w:rPr>
              <w:t>Face Value Per Share (₹)</w:t>
            </w:r>
          </w:p>
        </w:tc>
        <w:tc>
          <w:tcPr>
            <w:tcW w:w="874" w:type="pct"/>
            <w:shd w:val="clear" w:color="auto" w:fill="D0CECE" w:themeFill="background2" w:themeFillShade="E6"/>
          </w:tcPr>
          <w:p w14:paraId="27B7B8F1" w14:textId="77777777" w:rsidR="003A7C1B" w:rsidRPr="000860EB" w:rsidRDefault="003A7C1B" w:rsidP="00250DAC">
            <w:pPr>
              <w:spacing w:after="0" w:line="240" w:lineRule="auto"/>
              <w:jc w:val="center"/>
              <w:rPr>
                <w:rFonts w:ascii="Times New Roman" w:eastAsia="Calibri" w:hAnsi="Times New Roman"/>
                <w:b/>
                <w:sz w:val="20"/>
                <w:szCs w:val="20"/>
              </w:rPr>
            </w:pPr>
            <w:r w:rsidRPr="000860EB">
              <w:rPr>
                <w:rFonts w:ascii="Times New Roman" w:eastAsia="Calibri" w:hAnsi="Times New Roman"/>
                <w:b/>
                <w:sz w:val="20"/>
                <w:szCs w:val="20"/>
              </w:rPr>
              <w:t>Issue/ Acquisition/ Transfer Price (₹)</w:t>
            </w:r>
          </w:p>
        </w:tc>
        <w:tc>
          <w:tcPr>
            <w:tcW w:w="642" w:type="pct"/>
            <w:shd w:val="clear" w:color="auto" w:fill="D0CECE" w:themeFill="background2" w:themeFillShade="E6"/>
          </w:tcPr>
          <w:p w14:paraId="4E3EB11E" w14:textId="77777777" w:rsidR="003A7C1B" w:rsidRPr="000860EB" w:rsidRDefault="003A7C1B" w:rsidP="00250DAC">
            <w:pPr>
              <w:spacing w:after="0" w:line="240" w:lineRule="auto"/>
              <w:jc w:val="center"/>
              <w:rPr>
                <w:rFonts w:ascii="Times New Roman" w:eastAsia="Calibri" w:hAnsi="Times New Roman"/>
                <w:b/>
                <w:sz w:val="20"/>
                <w:szCs w:val="20"/>
              </w:rPr>
            </w:pPr>
            <w:r w:rsidRPr="000860EB">
              <w:rPr>
                <w:rFonts w:ascii="Times New Roman" w:eastAsia="Calibri" w:hAnsi="Times New Roman"/>
                <w:b/>
                <w:sz w:val="20"/>
                <w:szCs w:val="20"/>
              </w:rPr>
              <w:t>Nature of transaction</w:t>
            </w:r>
          </w:p>
        </w:tc>
        <w:tc>
          <w:tcPr>
            <w:tcW w:w="695" w:type="pct"/>
            <w:shd w:val="clear" w:color="auto" w:fill="D0CECE" w:themeFill="background2" w:themeFillShade="E6"/>
          </w:tcPr>
          <w:p w14:paraId="561DB53F" w14:textId="77777777" w:rsidR="003A7C1B" w:rsidRPr="000860EB" w:rsidRDefault="003A7C1B" w:rsidP="00250DAC">
            <w:pPr>
              <w:spacing w:after="0" w:line="240" w:lineRule="auto"/>
              <w:jc w:val="center"/>
              <w:rPr>
                <w:rFonts w:ascii="Times New Roman" w:eastAsia="Calibri" w:hAnsi="Times New Roman"/>
                <w:b/>
                <w:sz w:val="20"/>
                <w:szCs w:val="20"/>
              </w:rPr>
            </w:pPr>
            <w:r w:rsidRPr="000860EB">
              <w:rPr>
                <w:rFonts w:ascii="Times New Roman" w:eastAsia="Calibri" w:hAnsi="Times New Roman"/>
                <w:b/>
                <w:sz w:val="20"/>
                <w:szCs w:val="20"/>
              </w:rPr>
              <w:t>Post-Issue Shareholding %</w:t>
            </w:r>
          </w:p>
        </w:tc>
        <w:tc>
          <w:tcPr>
            <w:tcW w:w="438" w:type="pct"/>
            <w:shd w:val="clear" w:color="auto" w:fill="D0CECE" w:themeFill="background2" w:themeFillShade="E6"/>
          </w:tcPr>
          <w:p w14:paraId="4CBF1A90" w14:textId="77777777" w:rsidR="003A7C1B" w:rsidRPr="000860EB" w:rsidRDefault="003A7C1B" w:rsidP="00250DAC">
            <w:pPr>
              <w:spacing w:after="0" w:line="240" w:lineRule="auto"/>
              <w:jc w:val="center"/>
              <w:rPr>
                <w:rFonts w:ascii="Times New Roman" w:eastAsia="Calibri" w:hAnsi="Times New Roman"/>
                <w:b/>
                <w:sz w:val="20"/>
                <w:szCs w:val="20"/>
              </w:rPr>
            </w:pPr>
            <w:r w:rsidRPr="000860EB">
              <w:rPr>
                <w:rFonts w:ascii="Times New Roman" w:eastAsia="Calibri" w:hAnsi="Times New Roman"/>
                <w:b/>
                <w:sz w:val="20"/>
                <w:szCs w:val="20"/>
              </w:rPr>
              <w:t>Lock in Period</w:t>
            </w:r>
          </w:p>
        </w:tc>
      </w:tr>
      <w:tr w:rsidR="003A7C1B" w:rsidRPr="000860EB" w14:paraId="0665CE62" w14:textId="77777777" w:rsidTr="00250DAC">
        <w:tc>
          <w:tcPr>
            <w:tcW w:w="5000" w:type="pct"/>
            <w:gridSpan w:val="7"/>
            <w:shd w:val="clear" w:color="auto" w:fill="D0CECE" w:themeFill="background2" w:themeFillShade="E6"/>
          </w:tcPr>
          <w:p w14:paraId="4FB8FA43" w14:textId="77777777" w:rsidR="003A7C1B" w:rsidRPr="000860EB" w:rsidRDefault="003A7C1B" w:rsidP="00250DAC">
            <w:pPr>
              <w:tabs>
                <w:tab w:val="left" w:pos="360"/>
              </w:tabs>
              <w:spacing w:after="0" w:line="240" w:lineRule="auto"/>
              <w:contextualSpacing/>
              <w:rPr>
                <w:rFonts w:ascii="Times New Roman" w:eastAsia="Calibri" w:hAnsi="Times New Roman"/>
                <w:b/>
                <w:color w:val="000000"/>
                <w:sz w:val="20"/>
                <w:szCs w:val="20"/>
              </w:rPr>
            </w:pPr>
            <w:r w:rsidRPr="00126C33">
              <w:rPr>
                <w:rFonts w:ascii="Times New Roman" w:hAnsi="Times New Roman"/>
                <w:b/>
                <w:bCs/>
                <w:sz w:val="20"/>
                <w:szCs w:val="20"/>
              </w:rPr>
              <w:t>Dwarkadhish Venture Private Limited</w:t>
            </w:r>
            <w:r w:rsidRPr="0094678C">
              <w:rPr>
                <w:rFonts w:ascii="Times New Roman" w:hAnsi="Times New Roman"/>
                <w:sz w:val="20"/>
                <w:szCs w:val="20"/>
              </w:rPr>
              <w:t xml:space="preserve"> </w:t>
            </w:r>
            <w:r w:rsidRPr="0094678C">
              <w:rPr>
                <w:rFonts w:ascii="Times New Roman" w:hAnsi="Times New Roman"/>
                <w:i/>
                <w:iCs/>
                <w:sz w:val="20"/>
                <w:szCs w:val="20"/>
              </w:rPr>
              <w:t>(formerly known as Siyaram Metals Private Limited)</w:t>
            </w:r>
          </w:p>
        </w:tc>
      </w:tr>
      <w:tr w:rsidR="003A7C1B" w:rsidRPr="000860EB" w14:paraId="6AED180D" w14:textId="77777777" w:rsidTr="00250DAC">
        <w:tc>
          <w:tcPr>
            <w:tcW w:w="921" w:type="pct"/>
            <w:shd w:val="clear" w:color="auto" w:fill="auto"/>
            <w:vAlign w:val="center"/>
          </w:tcPr>
          <w:p w14:paraId="0AAB4A9D" w14:textId="77777777" w:rsidR="003A7C1B" w:rsidRPr="000860EB" w:rsidRDefault="003A7C1B" w:rsidP="00250DAC">
            <w:pPr>
              <w:tabs>
                <w:tab w:val="left" w:pos="360"/>
              </w:tabs>
              <w:spacing w:after="0" w:line="240" w:lineRule="auto"/>
              <w:contextualSpacing/>
              <w:jc w:val="center"/>
              <w:rPr>
                <w:rFonts w:ascii="Times New Roman" w:eastAsia="Calibri" w:hAnsi="Times New Roman"/>
                <w:color w:val="000000"/>
                <w:sz w:val="20"/>
                <w:szCs w:val="20"/>
              </w:rPr>
            </w:pPr>
            <w:r w:rsidRPr="000860EB">
              <w:rPr>
                <w:rFonts w:ascii="Times New Roman" w:eastAsia="Calibri" w:hAnsi="Times New Roman"/>
                <w:color w:val="000000"/>
                <w:sz w:val="20"/>
                <w:szCs w:val="20"/>
              </w:rPr>
              <w:t>March 31, 2017</w:t>
            </w:r>
          </w:p>
        </w:tc>
        <w:tc>
          <w:tcPr>
            <w:tcW w:w="858" w:type="pct"/>
            <w:shd w:val="clear" w:color="auto" w:fill="auto"/>
            <w:vAlign w:val="center"/>
          </w:tcPr>
          <w:p w14:paraId="685A27AC" w14:textId="77777777" w:rsidR="003A7C1B" w:rsidRPr="000860EB" w:rsidRDefault="003A7C1B" w:rsidP="00250DAC">
            <w:pPr>
              <w:tabs>
                <w:tab w:val="left" w:pos="360"/>
              </w:tabs>
              <w:spacing w:after="0" w:line="240" w:lineRule="auto"/>
              <w:contextualSpacing/>
              <w:jc w:val="center"/>
              <w:rPr>
                <w:rFonts w:ascii="Times New Roman" w:eastAsia="Calibri" w:hAnsi="Times New Roman"/>
                <w:color w:val="000000"/>
                <w:sz w:val="20"/>
                <w:szCs w:val="20"/>
              </w:rPr>
            </w:pPr>
            <w:r w:rsidRPr="000860EB">
              <w:rPr>
                <w:rFonts w:ascii="Times New Roman" w:eastAsia="Calibri" w:hAnsi="Times New Roman"/>
                <w:color w:val="000000"/>
                <w:sz w:val="20"/>
                <w:szCs w:val="20"/>
              </w:rPr>
              <w:t>37,80,000</w:t>
            </w:r>
          </w:p>
        </w:tc>
        <w:tc>
          <w:tcPr>
            <w:tcW w:w="572" w:type="pct"/>
            <w:shd w:val="clear" w:color="auto" w:fill="auto"/>
            <w:vAlign w:val="center"/>
          </w:tcPr>
          <w:p w14:paraId="65B0EBFD" w14:textId="77777777" w:rsidR="003A7C1B" w:rsidRPr="000860EB" w:rsidRDefault="003A7C1B" w:rsidP="00250DAC">
            <w:pPr>
              <w:tabs>
                <w:tab w:val="left" w:pos="360"/>
              </w:tabs>
              <w:spacing w:after="0" w:line="240" w:lineRule="auto"/>
              <w:contextualSpacing/>
              <w:jc w:val="center"/>
              <w:rPr>
                <w:rFonts w:ascii="Times New Roman" w:eastAsia="Calibri" w:hAnsi="Times New Roman"/>
                <w:color w:val="000000"/>
                <w:sz w:val="20"/>
                <w:szCs w:val="20"/>
              </w:rPr>
            </w:pPr>
            <w:r w:rsidRPr="000860EB">
              <w:rPr>
                <w:rFonts w:ascii="Times New Roman" w:eastAsia="Calibri" w:hAnsi="Times New Roman"/>
                <w:sz w:val="20"/>
                <w:szCs w:val="20"/>
              </w:rPr>
              <w:t>10</w:t>
            </w:r>
          </w:p>
        </w:tc>
        <w:tc>
          <w:tcPr>
            <w:tcW w:w="874" w:type="pct"/>
            <w:shd w:val="clear" w:color="auto" w:fill="auto"/>
            <w:vAlign w:val="center"/>
          </w:tcPr>
          <w:p w14:paraId="4F5A4870" w14:textId="77777777" w:rsidR="003A7C1B" w:rsidRPr="000860EB" w:rsidRDefault="003A7C1B" w:rsidP="00250DAC">
            <w:pPr>
              <w:tabs>
                <w:tab w:val="left" w:pos="360"/>
              </w:tabs>
              <w:spacing w:after="0" w:line="240" w:lineRule="auto"/>
              <w:contextualSpacing/>
              <w:jc w:val="center"/>
              <w:rPr>
                <w:rFonts w:ascii="Times New Roman" w:eastAsia="Calibri" w:hAnsi="Times New Roman"/>
                <w:color w:val="000000"/>
                <w:sz w:val="20"/>
                <w:szCs w:val="20"/>
              </w:rPr>
            </w:pPr>
            <w:r w:rsidRPr="000860EB">
              <w:rPr>
                <w:rFonts w:ascii="Times New Roman" w:eastAsia="Calibri" w:hAnsi="Times New Roman"/>
                <w:sz w:val="20"/>
                <w:szCs w:val="20"/>
              </w:rPr>
              <w:t>20</w:t>
            </w:r>
          </w:p>
        </w:tc>
        <w:tc>
          <w:tcPr>
            <w:tcW w:w="642" w:type="pct"/>
            <w:shd w:val="clear" w:color="auto" w:fill="auto"/>
            <w:vAlign w:val="center"/>
          </w:tcPr>
          <w:p w14:paraId="5599D05F" w14:textId="77777777" w:rsidR="003A7C1B" w:rsidRPr="000860EB" w:rsidRDefault="003A7C1B" w:rsidP="00250DAC">
            <w:pPr>
              <w:tabs>
                <w:tab w:val="left" w:pos="360"/>
              </w:tabs>
              <w:spacing w:after="0" w:line="240" w:lineRule="auto"/>
              <w:contextualSpacing/>
              <w:jc w:val="center"/>
              <w:rPr>
                <w:rFonts w:ascii="Times New Roman" w:eastAsia="Calibri" w:hAnsi="Times New Roman"/>
                <w:color w:val="000000"/>
                <w:sz w:val="20"/>
                <w:szCs w:val="20"/>
              </w:rPr>
            </w:pPr>
            <w:r w:rsidRPr="000860EB">
              <w:rPr>
                <w:rFonts w:ascii="Times New Roman" w:eastAsia="Calibri" w:hAnsi="Times New Roman"/>
                <w:sz w:val="20"/>
                <w:szCs w:val="20"/>
              </w:rPr>
              <w:t>Conversion of Unsecured Loan to Equity</w:t>
            </w:r>
          </w:p>
        </w:tc>
        <w:tc>
          <w:tcPr>
            <w:tcW w:w="695" w:type="pct"/>
            <w:shd w:val="clear" w:color="auto" w:fill="auto"/>
            <w:vAlign w:val="center"/>
          </w:tcPr>
          <w:p w14:paraId="08DBA4A2" w14:textId="77777777" w:rsidR="003A7C1B" w:rsidRPr="000860EB" w:rsidRDefault="003A7C1B" w:rsidP="00250DAC">
            <w:pPr>
              <w:tabs>
                <w:tab w:val="left" w:pos="360"/>
              </w:tabs>
              <w:spacing w:after="0" w:line="240" w:lineRule="auto"/>
              <w:contextualSpacing/>
              <w:jc w:val="center"/>
              <w:rPr>
                <w:rFonts w:ascii="Times New Roman" w:eastAsia="Calibri" w:hAnsi="Times New Roman"/>
                <w:color w:val="000000"/>
                <w:sz w:val="20"/>
                <w:szCs w:val="20"/>
              </w:rPr>
            </w:pPr>
            <w:r w:rsidRPr="000860EB">
              <w:rPr>
                <w:rFonts w:ascii="Times New Roman" w:eastAsia="Calibri" w:hAnsi="Times New Roman"/>
                <w:sz w:val="20"/>
                <w:szCs w:val="20"/>
              </w:rPr>
              <w:t>[●]</w:t>
            </w:r>
          </w:p>
        </w:tc>
        <w:tc>
          <w:tcPr>
            <w:tcW w:w="438" w:type="pct"/>
            <w:shd w:val="clear" w:color="auto" w:fill="auto"/>
            <w:vAlign w:val="center"/>
          </w:tcPr>
          <w:p w14:paraId="6D477F57" w14:textId="77777777" w:rsidR="003A7C1B" w:rsidRPr="000860EB" w:rsidRDefault="003A7C1B" w:rsidP="00250DAC">
            <w:pPr>
              <w:tabs>
                <w:tab w:val="left" w:pos="360"/>
              </w:tabs>
              <w:spacing w:after="0" w:line="240" w:lineRule="auto"/>
              <w:contextualSpacing/>
              <w:jc w:val="center"/>
              <w:rPr>
                <w:rFonts w:ascii="Times New Roman" w:eastAsia="Calibri" w:hAnsi="Times New Roman"/>
                <w:color w:val="000000"/>
                <w:sz w:val="20"/>
                <w:szCs w:val="20"/>
              </w:rPr>
            </w:pPr>
            <w:r w:rsidRPr="000860EB">
              <w:rPr>
                <w:rFonts w:ascii="Times New Roman" w:eastAsia="Calibri" w:hAnsi="Times New Roman"/>
                <w:sz w:val="20"/>
                <w:szCs w:val="20"/>
              </w:rPr>
              <w:t>3 years</w:t>
            </w:r>
          </w:p>
        </w:tc>
      </w:tr>
      <w:tr w:rsidR="003A7C1B" w:rsidRPr="000860EB" w14:paraId="24A90EC3" w14:textId="77777777" w:rsidTr="00250DAC">
        <w:tc>
          <w:tcPr>
            <w:tcW w:w="921" w:type="pct"/>
            <w:shd w:val="clear" w:color="auto" w:fill="auto"/>
          </w:tcPr>
          <w:p w14:paraId="24C096D9" w14:textId="77777777" w:rsidR="003A7C1B" w:rsidRPr="000860EB" w:rsidRDefault="003A7C1B" w:rsidP="00250DAC">
            <w:pPr>
              <w:tabs>
                <w:tab w:val="left" w:pos="360"/>
              </w:tabs>
              <w:spacing w:after="0" w:line="240" w:lineRule="auto"/>
              <w:contextualSpacing/>
              <w:jc w:val="center"/>
              <w:rPr>
                <w:rFonts w:ascii="Times New Roman" w:eastAsia="Calibri" w:hAnsi="Times New Roman"/>
                <w:b/>
                <w:sz w:val="20"/>
                <w:szCs w:val="20"/>
              </w:rPr>
            </w:pPr>
            <w:r w:rsidRPr="000860EB">
              <w:rPr>
                <w:rFonts w:ascii="Times New Roman" w:eastAsia="Calibri" w:hAnsi="Times New Roman"/>
                <w:b/>
                <w:sz w:val="20"/>
                <w:szCs w:val="20"/>
              </w:rPr>
              <w:t>Total</w:t>
            </w:r>
          </w:p>
        </w:tc>
        <w:tc>
          <w:tcPr>
            <w:tcW w:w="858" w:type="pct"/>
            <w:shd w:val="clear" w:color="auto" w:fill="auto"/>
          </w:tcPr>
          <w:p w14:paraId="0B67BA82" w14:textId="77777777" w:rsidR="003A7C1B" w:rsidRPr="00A95385" w:rsidRDefault="003A7C1B" w:rsidP="00250DAC">
            <w:pPr>
              <w:tabs>
                <w:tab w:val="left" w:pos="360"/>
              </w:tabs>
              <w:spacing w:after="0" w:line="240" w:lineRule="auto"/>
              <w:contextualSpacing/>
              <w:jc w:val="center"/>
              <w:rPr>
                <w:rFonts w:ascii="Times New Roman" w:eastAsia="Calibri" w:hAnsi="Times New Roman"/>
                <w:b/>
                <w:bCs/>
                <w:sz w:val="20"/>
                <w:szCs w:val="20"/>
              </w:rPr>
            </w:pPr>
            <w:r w:rsidRPr="00A95385">
              <w:rPr>
                <w:rFonts w:ascii="Times New Roman" w:eastAsia="Calibri" w:hAnsi="Times New Roman"/>
                <w:b/>
                <w:bCs/>
                <w:color w:val="000000"/>
                <w:sz w:val="20"/>
                <w:szCs w:val="20"/>
              </w:rPr>
              <w:t>37,80,000</w:t>
            </w:r>
          </w:p>
        </w:tc>
        <w:tc>
          <w:tcPr>
            <w:tcW w:w="572" w:type="pct"/>
            <w:shd w:val="clear" w:color="auto" w:fill="auto"/>
          </w:tcPr>
          <w:p w14:paraId="256ABF21" w14:textId="77777777" w:rsidR="003A7C1B" w:rsidRPr="000860EB" w:rsidRDefault="003A7C1B" w:rsidP="00250DAC">
            <w:pPr>
              <w:tabs>
                <w:tab w:val="left" w:pos="360"/>
              </w:tabs>
              <w:spacing w:after="0" w:line="240" w:lineRule="auto"/>
              <w:contextualSpacing/>
              <w:jc w:val="center"/>
              <w:rPr>
                <w:rFonts w:ascii="Times New Roman" w:eastAsia="Calibri" w:hAnsi="Times New Roman"/>
                <w:b/>
                <w:sz w:val="20"/>
                <w:szCs w:val="20"/>
              </w:rPr>
            </w:pPr>
          </w:p>
        </w:tc>
        <w:tc>
          <w:tcPr>
            <w:tcW w:w="874" w:type="pct"/>
            <w:shd w:val="clear" w:color="auto" w:fill="auto"/>
          </w:tcPr>
          <w:p w14:paraId="0B332DC8" w14:textId="77777777" w:rsidR="003A7C1B" w:rsidRPr="000860EB" w:rsidRDefault="003A7C1B" w:rsidP="00250DAC">
            <w:pPr>
              <w:tabs>
                <w:tab w:val="left" w:pos="360"/>
              </w:tabs>
              <w:spacing w:after="0" w:line="240" w:lineRule="auto"/>
              <w:contextualSpacing/>
              <w:jc w:val="center"/>
              <w:rPr>
                <w:rFonts w:ascii="Times New Roman" w:eastAsia="Calibri" w:hAnsi="Times New Roman"/>
                <w:b/>
                <w:sz w:val="20"/>
                <w:szCs w:val="20"/>
              </w:rPr>
            </w:pPr>
          </w:p>
        </w:tc>
        <w:tc>
          <w:tcPr>
            <w:tcW w:w="642" w:type="pct"/>
            <w:shd w:val="clear" w:color="auto" w:fill="auto"/>
          </w:tcPr>
          <w:p w14:paraId="45700E7F" w14:textId="77777777" w:rsidR="003A7C1B" w:rsidRPr="000860EB" w:rsidRDefault="003A7C1B" w:rsidP="00250DAC">
            <w:pPr>
              <w:tabs>
                <w:tab w:val="left" w:pos="360"/>
              </w:tabs>
              <w:spacing w:after="0" w:line="240" w:lineRule="auto"/>
              <w:contextualSpacing/>
              <w:jc w:val="center"/>
              <w:rPr>
                <w:rFonts w:ascii="Times New Roman" w:eastAsia="Calibri" w:hAnsi="Times New Roman"/>
                <w:b/>
                <w:sz w:val="20"/>
                <w:szCs w:val="20"/>
              </w:rPr>
            </w:pPr>
          </w:p>
        </w:tc>
        <w:tc>
          <w:tcPr>
            <w:tcW w:w="695" w:type="pct"/>
            <w:shd w:val="clear" w:color="auto" w:fill="auto"/>
          </w:tcPr>
          <w:p w14:paraId="76E90ADB" w14:textId="77777777" w:rsidR="003A7C1B" w:rsidRPr="000860EB" w:rsidRDefault="003A7C1B" w:rsidP="00250DAC">
            <w:pPr>
              <w:tabs>
                <w:tab w:val="left" w:pos="360"/>
              </w:tabs>
              <w:spacing w:after="0" w:line="240" w:lineRule="auto"/>
              <w:contextualSpacing/>
              <w:jc w:val="center"/>
              <w:rPr>
                <w:rFonts w:ascii="Times New Roman" w:eastAsia="Calibri" w:hAnsi="Times New Roman"/>
                <w:b/>
                <w:sz w:val="20"/>
                <w:szCs w:val="20"/>
              </w:rPr>
            </w:pPr>
            <w:r w:rsidRPr="000860EB">
              <w:rPr>
                <w:rFonts w:ascii="Times New Roman" w:eastAsia="Calibri" w:hAnsi="Times New Roman"/>
                <w:sz w:val="20"/>
                <w:szCs w:val="20"/>
              </w:rPr>
              <w:t>[●]</w:t>
            </w:r>
          </w:p>
        </w:tc>
        <w:tc>
          <w:tcPr>
            <w:tcW w:w="438" w:type="pct"/>
            <w:shd w:val="clear" w:color="auto" w:fill="auto"/>
          </w:tcPr>
          <w:p w14:paraId="655262E6" w14:textId="77777777" w:rsidR="003A7C1B" w:rsidRPr="000860EB" w:rsidRDefault="003A7C1B" w:rsidP="00250DAC">
            <w:pPr>
              <w:tabs>
                <w:tab w:val="left" w:pos="360"/>
              </w:tabs>
              <w:spacing w:after="0" w:line="240" w:lineRule="auto"/>
              <w:contextualSpacing/>
              <w:jc w:val="center"/>
              <w:rPr>
                <w:rFonts w:ascii="Times New Roman" w:eastAsia="Calibri" w:hAnsi="Times New Roman"/>
                <w:b/>
                <w:sz w:val="20"/>
                <w:szCs w:val="20"/>
              </w:rPr>
            </w:pPr>
          </w:p>
        </w:tc>
      </w:tr>
    </w:tbl>
    <w:p w14:paraId="04A81653" w14:textId="77777777" w:rsidR="003A7C1B" w:rsidRPr="000860EB" w:rsidRDefault="003A7C1B" w:rsidP="003A7C1B">
      <w:pPr>
        <w:suppressAutoHyphens/>
        <w:autoSpaceDE w:val="0"/>
        <w:autoSpaceDN w:val="0"/>
        <w:adjustRightInd w:val="0"/>
        <w:spacing w:after="0" w:line="240" w:lineRule="auto"/>
        <w:jc w:val="both"/>
        <w:textAlignment w:val="center"/>
        <w:rPr>
          <w:rFonts w:ascii="Times New Roman" w:hAnsi="Times New Roman"/>
          <w:color w:val="000000"/>
          <w:sz w:val="20"/>
          <w:szCs w:val="20"/>
        </w:rPr>
      </w:pPr>
    </w:p>
    <w:p w14:paraId="3F6D2C91" w14:textId="77777777" w:rsidR="003A7C1B" w:rsidRPr="000860EB" w:rsidRDefault="003A7C1B" w:rsidP="003A7C1B">
      <w:pPr>
        <w:suppressAutoHyphens/>
        <w:autoSpaceDE w:val="0"/>
        <w:autoSpaceDN w:val="0"/>
        <w:adjustRightInd w:val="0"/>
        <w:spacing w:after="0" w:line="240" w:lineRule="auto"/>
        <w:jc w:val="both"/>
        <w:textAlignment w:val="center"/>
        <w:rPr>
          <w:rFonts w:ascii="Times New Roman" w:hAnsi="Times New Roman"/>
          <w:color w:val="000000"/>
          <w:sz w:val="20"/>
          <w:szCs w:val="20"/>
        </w:rPr>
      </w:pPr>
      <w:r w:rsidRPr="000860EB">
        <w:rPr>
          <w:rFonts w:ascii="Times New Roman" w:hAnsi="Times New Roman"/>
          <w:color w:val="000000"/>
          <w:sz w:val="20"/>
          <w:szCs w:val="20"/>
        </w:rPr>
        <w:t xml:space="preserve">The minimum Promoter’s contribution has been brought in to the extent of not less than the specified minimum lot and from persons defined as </w:t>
      </w:r>
      <w:r w:rsidRPr="000860EB">
        <w:rPr>
          <w:rFonts w:ascii="Times New Roman" w:hAnsi="Times New Roman"/>
          <w:b/>
          <w:color w:val="000000"/>
          <w:sz w:val="20"/>
          <w:szCs w:val="20"/>
        </w:rPr>
        <w:t>“Promoter”</w:t>
      </w:r>
      <w:r w:rsidRPr="000860EB">
        <w:rPr>
          <w:rFonts w:ascii="Times New Roman" w:hAnsi="Times New Roman"/>
          <w:color w:val="000000"/>
          <w:sz w:val="20"/>
          <w:szCs w:val="20"/>
        </w:rPr>
        <w:t xml:space="preserve"> under the SEBI (ICDR) Regulations. All Equity Shares, which are being locked in are not ineligible for computation of Minimum Promoters Contribution as per Regulation 237 of the SEBI (ICDR) Regulations and are being locked in for 3 years as per Regulation 238(a) of the SEBI (ICDR) Regulations i.e.</w:t>
      </w:r>
      <w:r>
        <w:rPr>
          <w:rFonts w:ascii="Times New Roman" w:hAnsi="Times New Roman"/>
          <w:color w:val="000000"/>
          <w:sz w:val="20"/>
          <w:szCs w:val="20"/>
        </w:rPr>
        <w:t>,</w:t>
      </w:r>
      <w:r w:rsidRPr="000860EB">
        <w:rPr>
          <w:rFonts w:ascii="Times New Roman" w:hAnsi="Times New Roman"/>
          <w:color w:val="000000"/>
          <w:sz w:val="20"/>
          <w:szCs w:val="20"/>
        </w:rPr>
        <w:t xml:space="preserve"> for a period of three years from the date of allotment of Equity Shares in this issue. </w:t>
      </w:r>
    </w:p>
    <w:p w14:paraId="5A539C47" w14:textId="77777777" w:rsidR="003A7C1B" w:rsidRPr="000860EB" w:rsidRDefault="003A7C1B" w:rsidP="003A7C1B">
      <w:pPr>
        <w:suppressAutoHyphens/>
        <w:autoSpaceDE w:val="0"/>
        <w:autoSpaceDN w:val="0"/>
        <w:adjustRightInd w:val="0"/>
        <w:spacing w:after="0" w:line="240" w:lineRule="auto"/>
        <w:ind w:left="360"/>
        <w:jc w:val="both"/>
        <w:textAlignment w:val="center"/>
        <w:rPr>
          <w:rFonts w:ascii="Times New Roman" w:hAnsi="Times New Roman"/>
          <w:color w:val="000000"/>
          <w:sz w:val="20"/>
          <w:szCs w:val="20"/>
        </w:rPr>
      </w:pPr>
    </w:p>
    <w:p w14:paraId="549F3552" w14:textId="77777777" w:rsidR="003A7C1B" w:rsidRPr="000860EB" w:rsidRDefault="003A7C1B" w:rsidP="003A7C1B">
      <w:pPr>
        <w:suppressAutoHyphens/>
        <w:autoSpaceDE w:val="0"/>
        <w:autoSpaceDN w:val="0"/>
        <w:adjustRightInd w:val="0"/>
        <w:spacing w:after="0" w:line="240" w:lineRule="auto"/>
        <w:jc w:val="both"/>
        <w:textAlignment w:val="center"/>
        <w:rPr>
          <w:rFonts w:ascii="Times New Roman" w:hAnsi="Times New Roman"/>
          <w:color w:val="000000"/>
          <w:sz w:val="20"/>
          <w:szCs w:val="20"/>
        </w:rPr>
      </w:pPr>
      <w:r w:rsidRPr="000860EB">
        <w:rPr>
          <w:rFonts w:ascii="Times New Roman" w:hAnsi="Times New Roman"/>
          <w:color w:val="000000"/>
          <w:sz w:val="20"/>
          <w:szCs w:val="20"/>
        </w:rPr>
        <w:t>The entire pre-issue shareholding of the Promoters and Promoter Group, other than the Minimum Promoters contribution which is locked in for three years, shall be locked in for a period of one year from the date of allotment in this Issue.</w:t>
      </w:r>
    </w:p>
    <w:p w14:paraId="7ACD6958" w14:textId="77777777" w:rsidR="003A7C1B" w:rsidRPr="000860EB" w:rsidRDefault="003A7C1B" w:rsidP="003A7C1B">
      <w:pPr>
        <w:suppressAutoHyphens/>
        <w:autoSpaceDE w:val="0"/>
        <w:autoSpaceDN w:val="0"/>
        <w:adjustRightInd w:val="0"/>
        <w:spacing w:after="0" w:line="240" w:lineRule="auto"/>
        <w:jc w:val="both"/>
        <w:textAlignment w:val="center"/>
        <w:rPr>
          <w:rFonts w:ascii="Times New Roman" w:hAnsi="Times New Roman"/>
          <w:color w:val="000000"/>
          <w:sz w:val="20"/>
          <w:szCs w:val="20"/>
        </w:rPr>
      </w:pPr>
    </w:p>
    <w:p w14:paraId="354F5E03" w14:textId="77777777" w:rsidR="003A7C1B" w:rsidRPr="000860EB" w:rsidRDefault="003A7C1B" w:rsidP="003A7C1B">
      <w:pPr>
        <w:suppressAutoHyphens/>
        <w:autoSpaceDE w:val="0"/>
        <w:autoSpaceDN w:val="0"/>
        <w:adjustRightInd w:val="0"/>
        <w:spacing w:after="0" w:line="240" w:lineRule="auto"/>
        <w:jc w:val="both"/>
        <w:textAlignment w:val="center"/>
        <w:rPr>
          <w:rFonts w:ascii="Times New Roman" w:hAnsi="Times New Roman"/>
          <w:b/>
          <w:color w:val="000000"/>
          <w:sz w:val="20"/>
          <w:szCs w:val="20"/>
        </w:rPr>
      </w:pPr>
      <w:r w:rsidRPr="000860EB">
        <w:rPr>
          <w:rFonts w:ascii="Times New Roman" w:hAnsi="Times New Roman"/>
          <w:b/>
          <w:color w:val="000000"/>
          <w:sz w:val="20"/>
          <w:szCs w:val="20"/>
        </w:rPr>
        <w:t>Eligibility of Share for “Minimum Promoters Contribution in terms of clauses of Regulation 237(1) of SEBI (ICDR) Regulations, 2018</w:t>
      </w:r>
    </w:p>
    <w:p w14:paraId="40D67B79" w14:textId="77777777" w:rsidR="003A7C1B" w:rsidRPr="000860EB" w:rsidRDefault="003A7C1B" w:rsidP="003A7C1B">
      <w:pPr>
        <w:suppressAutoHyphens/>
        <w:autoSpaceDE w:val="0"/>
        <w:autoSpaceDN w:val="0"/>
        <w:adjustRightInd w:val="0"/>
        <w:spacing w:after="0" w:line="240" w:lineRule="auto"/>
        <w:jc w:val="both"/>
        <w:textAlignment w:val="center"/>
        <w:rPr>
          <w:rFonts w:ascii="Times New Roman" w:hAnsi="Times New Roman"/>
          <w:b/>
          <w:color w:val="00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4948"/>
        <w:gridCol w:w="4118"/>
      </w:tblGrid>
      <w:tr w:rsidR="003A7C1B" w:rsidRPr="000860EB" w14:paraId="7008ACF0" w14:textId="77777777" w:rsidTr="00250DAC">
        <w:trPr>
          <w:trHeight w:val="144"/>
          <w:tblHeader/>
        </w:trPr>
        <w:tc>
          <w:tcPr>
            <w:tcW w:w="664" w:type="pct"/>
            <w:shd w:val="clear" w:color="auto" w:fill="D0CECE" w:themeFill="background2" w:themeFillShade="E6"/>
            <w:vAlign w:val="center"/>
            <w:hideMark/>
          </w:tcPr>
          <w:p w14:paraId="7F4B9763" w14:textId="77777777" w:rsidR="003A7C1B" w:rsidRPr="000860EB" w:rsidRDefault="003A7C1B" w:rsidP="00250DAC">
            <w:pPr>
              <w:suppressAutoHyphens/>
              <w:autoSpaceDE w:val="0"/>
              <w:autoSpaceDN w:val="0"/>
              <w:adjustRightInd w:val="0"/>
              <w:spacing w:after="0" w:line="240" w:lineRule="auto"/>
              <w:contextualSpacing/>
              <w:jc w:val="center"/>
              <w:textAlignment w:val="center"/>
              <w:rPr>
                <w:rFonts w:ascii="Times New Roman" w:hAnsi="Times New Roman"/>
                <w:b/>
                <w:color w:val="000000"/>
                <w:sz w:val="20"/>
                <w:szCs w:val="20"/>
              </w:rPr>
            </w:pPr>
            <w:r w:rsidRPr="000860EB">
              <w:rPr>
                <w:rFonts w:ascii="Times New Roman" w:hAnsi="Times New Roman"/>
                <w:b/>
                <w:color w:val="000000"/>
                <w:sz w:val="20"/>
                <w:szCs w:val="20"/>
              </w:rPr>
              <w:t>Reg. No.</w:t>
            </w:r>
          </w:p>
        </w:tc>
        <w:tc>
          <w:tcPr>
            <w:tcW w:w="2366" w:type="pct"/>
            <w:shd w:val="clear" w:color="auto" w:fill="D0CECE" w:themeFill="background2" w:themeFillShade="E6"/>
            <w:vAlign w:val="center"/>
            <w:hideMark/>
          </w:tcPr>
          <w:p w14:paraId="11FBA748" w14:textId="77777777" w:rsidR="003A7C1B" w:rsidRPr="000860EB" w:rsidRDefault="003A7C1B" w:rsidP="00250DAC">
            <w:pPr>
              <w:suppressAutoHyphens/>
              <w:autoSpaceDE w:val="0"/>
              <w:autoSpaceDN w:val="0"/>
              <w:adjustRightInd w:val="0"/>
              <w:spacing w:after="0" w:line="240" w:lineRule="auto"/>
              <w:contextualSpacing/>
              <w:jc w:val="center"/>
              <w:textAlignment w:val="center"/>
              <w:rPr>
                <w:rFonts w:ascii="Times New Roman" w:hAnsi="Times New Roman"/>
                <w:b/>
                <w:color w:val="000000"/>
                <w:sz w:val="20"/>
                <w:szCs w:val="20"/>
              </w:rPr>
            </w:pPr>
            <w:r w:rsidRPr="000860EB">
              <w:rPr>
                <w:rFonts w:ascii="Times New Roman" w:hAnsi="Times New Roman"/>
                <w:b/>
                <w:color w:val="000000"/>
                <w:sz w:val="20"/>
                <w:szCs w:val="20"/>
              </w:rPr>
              <w:t>Promoters’ Minimum Contribution Conditions</w:t>
            </w:r>
          </w:p>
        </w:tc>
        <w:tc>
          <w:tcPr>
            <w:tcW w:w="1969" w:type="pct"/>
            <w:shd w:val="clear" w:color="auto" w:fill="D0CECE" w:themeFill="background2" w:themeFillShade="E6"/>
            <w:vAlign w:val="center"/>
            <w:hideMark/>
          </w:tcPr>
          <w:p w14:paraId="7E4D216F" w14:textId="77777777" w:rsidR="003A7C1B" w:rsidRPr="000860EB" w:rsidRDefault="003A7C1B" w:rsidP="00250DAC">
            <w:pPr>
              <w:suppressAutoHyphens/>
              <w:autoSpaceDE w:val="0"/>
              <w:autoSpaceDN w:val="0"/>
              <w:adjustRightInd w:val="0"/>
              <w:spacing w:after="0" w:line="240" w:lineRule="auto"/>
              <w:contextualSpacing/>
              <w:jc w:val="center"/>
              <w:textAlignment w:val="center"/>
              <w:rPr>
                <w:rFonts w:ascii="Times New Roman" w:hAnsi="Times New Roman"/>
                <w:b/>
                <w:color w:val="000000"/>
                <w:sz w:val="20"/>
                <w:szCs w:val="20"/>
              </w:rPr>
            </w:pPr>
            <w:r w:rsidRPr="000860EB">
              <w:rPr>
                <w:rFonts w:ascii="Times New Roman" w:hAnsi="Times New Roman"/>
                <w:b/>
                <w:color w:val="000000"/>
                <w:sz w:val="20"/>
                <w:szCs w:val="20"/>
              </w:rPr>
              <w:t>Eligibility Status of Equity Shares forming part of Promoter’s Contribution</w:t>
            </w:r>
          </w:p>
        </w:tc>
      </w:tr>
      <w:tr w:rsidR="003A7C1B" w:rsidRPr="000860EB" w14:paraId="03437E6A" w14:textId="77777777" w:rsidTr="00250DAC">
        <w:trPr>
          <w:trHeight w:val="144"/>
        </w:trPr>
        <w:tc>
          <w:tcPr>
            <w:tcW w:w="664" w:type="pct"/>
            <w:hideMark/>
          </w:tcPr>
          <w:p w14:paraId="17DF58B8" w14:textId="77777777" w:rsidR="003A7C1B" w:rsidRPr="000860EB" w:rsidRDefault="003A7C1B" w:rsidP="00250DAC">
            <w:pPr>
              <w:suppressAutoHyphens/>
              <w:autoSpaceDE w:val="0"/>
              <w:autoSpaceDN w:val="0"/>
              <w:adjustRightInd w:val="0"/>
              <w:spacing w:after="0" w:line="240" w:lineRule="auto"/>
              <w:contextualSpacing/>
              <w:textAlignment w:val="center"/>
              <w:rPr>
                <w:rFonts w:ascii="Times New Roman" w:hAnsi="Times New Roman"/>
                <w:color w:val="000000"/>
                <w:sz w:val="20"/>
                <w:szCs w:val="20"/>
              </w:rPr>
            </w:pPr>
            <w:r w:rsidRPr="000860EB">
              <w:rPr>
                <w:rFonts w:ascii="Times New Roman" w:hAnsi="Times New Roman"/>
                <w:color w:val="000000"/>
                <w:sz w:val="20"/>
                <w:szCs w:val="20"/>
              </w:rPr>
              <w:t>237(1) (a) (i)</w:t>
            </w:r>
          </w:p>
        </w:tc>
        <w:tc>
          <w:tcPr>
            <w:tcW w:w="2366" w:type="pct"/>
            <w:hideMark/>
          </w:tcPr>
          <w:p w14:paraId="6E5B431D" w14:textId="77777777" w:rsidR="003A7C1B" w:rsidRPr="000860EB" w:rsidRDefault="003A7C1B" w:rsidP="00250DAC">
            <w:pPr>
              <w:suppressAutoHyphens/>
              <w:autoSpaceDE w:val="0"/>
              <w:autoSpaceDN w:val="0"/>
              <w:adjustRightInd w:val="0"/>
              <w:spacing w:after="0" w:line="240" w:lineRule="auto"/>
              <w:contextualSpacing/>
              <w:jc w:val="both"/>
              <w:textAlignment w:val="center"/>
              <w:rPr>
                <w:rFonts w:ascii="Times New Roman" w:hAnsi="Times New Roman"/>
                <w:color w:val="000000"/>
                <w:sz w:val="20"/>
                <w:szCs w:val="20"/>
              </w:rPr>
            </w:pPr>
            <w:r w:rsidRPr="000860EB">
              <w:rPr>
                <w:rFonts w:ascii="Times New Roman" w:hAnsi="Times New Roman"/>
                <w:color w:val="000000"/>
                <w:sz w:val="20"/>
                <w:szCs w:val="20"/>
              </w:rPr>
              <w:t>Specified securities acquired during the preceding three years, if they are acquired for consideration other than cash and revaluation of assets or capitalization of intangible assets is involved in such transaction</w:t>
            </w:r>
          </w:p>
        </w:tc>
        <w:tc>
          <w:tcPr>
            <w:tcW w:w="1969" w:type="pct"/>
            <w:hideMark/>
          </w:tcPr>
          <w:p w14:paraId="3E2A992F" w14:textId="77777777" w:rsidR="003A7C1B" w:rsidRPr="000860EB" w:rsidRDefault="003A7C1B" w:rsidP="00250DAC">
            <w:pPr>
              <w:suppressAutoHyphens/>
              <w:autoSpaceDE w:val="0"/>
              <w:autoSpaceDN w:val="0"/>
              <w:adjustRightInd w:val="0"/>
              <w:spacing w:after="0" w:line="240" w:lineRule="auto"/>
              <w:contextualSpacing/>
              <w:jc w:val="both"/>
              <w:textAlignment w:val="center"/>
              <w:rPr>
                <w:rFonts w:ascii="Times New Roman" w:hAnsi="Times New Roman"/>
                <w:color w:val="000000"/>
                <w:sz w:val="20"/>
                <w:szCs w:val="20"/>
              </w:rPr>
            </w:pPr>
            <w:r w:rsidRPr="000860EB">
              <w:rPr>
                <w:rFonts w:ascii="Times New Roman" w:hAnsi="Times New Roman"/>
                <w:color w:val="000000"/>
                <w:sz w:val="20"/>
                <w:szCs w:val="20"/>
              </w:rPr>
              <w:t>The minimum Promoter’s contribution does not consist of such Equity Shares.</w:t>
            </w:r>
            <w:r w:rsidRPr="000860EB">
              <w:rPr>
                <w:rFonts w:ascii="Times New Roman" w:hAnsi="Times New Roman"/>
                <w:b/>
                <w:color w:val="000000"/>
                <w:sz w:val="20"/>
                <w:szCs w:val="20"/>
              </w:rPr>
              <w:t xml:space="preserve"> Hence Eligible</w:t>
            </w:r>
          </w:p>
        </w:tc>
      </w:tr>
      <w:tr w:rsidR="003A7C1B" w:rsidRPr="000860EB" w14:paraId="23DCEF2D" w14:textId="77777777" w:rsidTr="00250DAC">
        <w:trPr>
          <w:trHeight w:val="144"/>
        </w:trPr>
        <w:tc>
          <w:tcPr>
            <w:tcW w:w="664" w:type="pct"/>
            <w:hideMark/>
          </w:tcPr>
          <w:p w14:paraId="4F554FEB" w14:textId="77777777" w:rsidR="003A7C1B" w:rsidRPr="000860EB" w:rsidRDefault="003A7C1B" w:rsidP="00250DAC">
            <w:pPr>
              <w:suppressAutoHyphens/>
              <w:autoSpaceDE w:val="0"/>
              <w:autoSpaceDN w:val="0"/>
              <w:adjustRightInd w:val="0"/>
              <w:spacing w:after="0" w:line="240" w:lineRule="auto"/>
              <w:contextualSpacing/>
              <w:textAlignment w:val="center"/>
              <w:rPr>
                <w:rFonts w:ascii="Times New Roman" w:hAnsi="Times New Roman"/>
                <w:color w:val="000000"/>
                <w:sz w:val="20"/>
                <w:szCs w:val="20"/>
              </w:rPr>
            </w:pPr>
            <w:r w:rsidRPr="000860EB">
              <w:rPr>
                <w:rFonts w:ascii="Times New Roman" w:hAnsi="Times New Roman"/>
                <w:color w:val="000000"/>
                <w:sz w:val="20"/>
                <w:szCs w:val="20"/>
              </w:rPr>
              <w:t>237 (1) (a) (ii)</w:t>
            </w:r>
          </w:p>
        </w:tc>
        <w:tc>
          <w:tcPr>
            <w:tcW w:w="2366" w:type="pct"/>
            <w:hideMark/>
          </w:tcPr>
          <w:p w14:paraId="16E7D90C" w14:textId="77777777" w:rsidR="003A7C1B" w:rsidRPr="000860EB" w:rsidRDefault="003A7C1B" w:rsidP="00250DAC">
            <w:pPr>
              <w:suppressAutoHyphens/>
              <w:autoSpaceDE w:val="0"/>
              <w:autoSpaceDN w:val="0"/>
              <w:adjustRightInd w:val="0"/>
              <w:spacing w:after="0" w:line="240" w:lineRule="auto"/>
              <w:contextualSpacing/>
              <w:jc w:val="both"/>
              <w:textAlignment w:val="center"/>
              <w:rPr>
                <w:rFonts w:ascii="Times New Roman" w:hAnsi="Times New Roman"/>
                <w:color w:val="000000"/>
                <w:sz w:val="20"/>
                <w:szCs w:val="20"/>
              </w:rPr>
            </w:pPr>
            <w:r w:rsidRPr="000860EB">
              <w:rPr>
                <w:rFonts w:ascii="Times New Roman" w:hAnsi="Times New Roman"/>
                <w:color w:val="000000"/>
                <w:sz w:val="20"/>
                <w:szCs w:val="20"/>
              </w:rPr>
              <w:t>Specified securities acquired during the preceding three years, resulting from a bonus issue by utilization of revaluation reserves or unrealized profits of the issuer or from bonus issue against Equity Shares which are ineligible for minimum promoters’ contribution</w:t>
            </w:r>
          </w:p>
        </w:tc>
        <w:tc>
          <w:tcPr>
            <w:tcW w:w="1969" w:type="pct"/>
            <w:hideMark/>
          </w:tcPr>
          <w:p w14:paraId="577E5057" w14:textId="77777777" w:rsidR="003A7C1B" w:rsidRPr="000860EB" w:rsidRDefault="003A7C1B" w:rsidP="00250DAC">
            <w:pPr>
              <w:suppressAutoHyphens/>
              <w:autoSpaceDE w:val="0"/>
              <w:autoSpaceDN w:val="0"/>
              <w:adjustRightInd w:val="0"/>
              <w:spacing w:after="0" w:line="240" w:lineRule="auto"/>
              <w:contextualSpacing/>
              <w:jc w:val="both"/>
              <w:textAlignment w:val="center"/>
              <w:rPr>
                <w:rFonts w:ascii="Times New Roman" w:hAnsi="Times New Roman"/>
                <w:color w:val="000000"/>
                <w:sz w:val="20"/>
                <w:szCs w:val="20"/>
              </w:rPr>
            </w:pPr>
            <w:r w:rsidRPr="000860EB">
              <w:rPr>
                <w:rFonts w:ascii="Times New Roman" w:hAnsi="Times New Roman"/>
                <w:color w:val="000000"/>
                <w:sz w:val="20"/>
                <w:szCs w:val="20"/>
              </w:rPr>
              <w:t>The minimum Promoter’s contribution does not consist of such Equity Shares.</w:t>
            </w:r>
            <w:r w:rsidRPr="000860EB">
              <w:rPr>
                <w:rFonts w:ascii="Times New Roman" w:hAnsi="Times New Roman"/>
                <w:b/>
                <w:color w:val="000000"/>
                <w:sz w:val="20"/>
                <w:szCs w:val="20"/>
              </w:rPr>
              <w:t xml:space="preserve"> Hence Eligible</w:t>
            </w:r>
          </w:p>
        </w:tc>
      </w:tr>
      <w:tr w:rsidR="003A7C1B" w:rsidRPr="000860EB" w14:paraId="2B19F8D0" w14:textId="77777777" w:rsidTr="00250DAC">
        <w:trPr>
          <w:trHeight w:val="144"/>
        </w:trPr>
        <w:tc>
          <w:tcPr>
            <w:tcW w:w="664" w:type="pct"/>
            <w:hideMark/>
          </w:tcPr>
          <w:p w14:paraId="6DD05574" w14:textId="77777777" w:rsidR="003A7C1B" w:rsidRPr="000860EB" w:rsidRDefault="003A7C1B" w:rsidP="00250DAC">
            <w:pPr>
              <w:suppressAutoHyphens/>
              <w:autoSpaceDE w:val="0"/>
              <w:autoSpaceDN w:val="0"/>
              <w:adjustRightInd w:val="0"/>
              <w:spacing w:after="0" w:line="240" w:lineRule="auto"/>
              <w:contextualSpacing/>
              <w:textAlignment w:val="center"/>
              <w:rPr>
                <w:rFonts w:ascii="Times New Roman" w:hAnsi="Times New Roman"/>
                <w:color w:val="000000"/>
                <w:sz w:val="20"/>
                <w:szCs w:val="20"/>
              </w:rPr>
            </w:pPr>
            <w:r w:rsidRPr="000860EB">
              <w:rPr>
                <w:rFonts w:ascii="Times New Roman" w:hAnsi="Times New Roman"/>
                <w:color w:val="000000"/>
                <w:sz w:val="20"/>
                <w:szCs w:val="20"/>
              </w:rPr>
              <w:t>237 (1) (b)</w:t>
            </w:r>
          </w:p>
        </w:tc>
        <w:tc>
          <w:tcPr>
            <w:tcW w:w="2366" w:type="pct"/>
            <w:hideMark/>
          </w:tcPr>
          <w:p w14:paraId="6C6B479D" w14:textId="77777777" w:rsidR="003A7C1B" w:rsidRPr="000860EB" w:rsidRDefault="003A7C1B" w:rsidP="00250DAC">
            <w:pPr>
              <w:suppressAutoHyphens/>
              <w:autoSpaceDE w:val="0"/>
              <w:autoSpaceDN w:val="0"/>
              <w:adjustRightInd w:val="0"/>
              <w:spacing w:after="0" w:line="240" w:lineRule="auto"/>
              <w:contextualSpacing/>
              <w:jc w:val="both"/>
              <w:textAlignment w:val="center"/>
              <w:rPr>
                <w:rFonts w:ascii="Times New Roman" w:hAnsi="Times New Roman"/>
                <w:color w:val="000000"/>
                <w:sz w:val="20"/>
                <w:szCs w:val="20"/>
              </w:rPr>
            </w:pPr>
            <w:r w:rsidRPr="000860EB">
              <w:rPr>
                <w:rFonts w:ascii="Times New Roman" w:hAnsi="Times New Roman"/>
                <w:color w:val="000000"/>
                <w:sz w:val="20"/>
                <w:szCs w:val="20"/>
              </w:rPr>
              <w:t>Specified securities acquired by promoters during the preceding one year at a price lower than the price at which specified securities are being offered to public in the initial public offer</w:t>
            </w:r>
          </w:p>
        </w:tc>
        <w:tc>
          <w:tcPr>
            <w:tcW w:w="1969" w:type="pct"/>
            <w:hideMark/>
          </w:tcPr>
          <w:p w14:paraId="6AA73144" w14:textId="77777777" w:rsidR="003A7C1B" w:rsidRPr="000860EB" w:rsidRDefault="003A7C1B" w:rsidP="00250DAC">
            <w:pPr>
              <w:suppressAutoHyphens/>
              <w:autoSpaceDE w:val="0"/>
              <w:autoSpaceDN w:val="0"/>
              <w:adjustRightInd w:val="0"/>
              <w:spacing w:after="0" w:line="240" w:lineRule="auto"/>
              <w:contextualSpacing/>
              <w:jc w:val="both"/>
              <w:textAlignment w:val="center"/>
              <w:rPr>
                <w:rFonts w:ascii="Times New Roman" w:hAnsi="Times New Roman"/>
                <w:color w:val="000000"/>
                <w:sz w:val="20"/>
                <w:szCs w:val="20"/>
              </w:rPr>
            </w:pPr>
            <w:r w:rsidRPr="000860EB">
              <w:rPr>
                <w:rFonts w:ascii="Times New Roman" w:hAnsi="Times New Roman"/>
                <w:color w:val="000000"/>
                <w:sz w:val="20"/>
                <w:szCs w:val="20"/>
              </w:rPr>
              <w:t>The minimum Promoter’s contribution does not consist of such Equity Shares.</w:t>
            </w:r>
            <w:r w:rsidRPr="000860EB">
              <w:rPr>
                <w:rFonts w:ascii="Times New Roman" w:hAnsi="Times New Roman"/>
                <w:b/>
                <w:color w:val="000000"/>
                <w:sz w:val="20"/>
                <w:szCs w:val="20"/>
              </w:rPr>
              <w:t xml:space="preserve"> Hence Eligible.</w:t>
            </w:r>
          </w:p>
        </w:tc>
      </w:tr>
      <w:tr w:rsidR="003A7C1B" w:rsidRPr="000860EB" w14:paraId="27BF5F09" w14:textId="77777777" w:rsidTr="00250DAC">
        <w:trPr>
          <w:trHeight w:val="144"/>
        </w:trPr>
        <w:tc>
          <w:tcPr>
            <w:tcW w:w="664" w:type="pct"/>
          </w:tcPr>
          <w:p w14:paraId="1E6B07C0" w14:textId="77777777" w:rsidR="003A7C1B" w:rsidRPr="000860EB" w:rsidRDefault="003A7C1B" w:rsidP="00250DAC">
            <w:pPr>
              <w:suppressAutoHyphens/>
              <w:autoSpaceDE w:val="0"/>
              <w:autoSpaceDN w:val="0"/>
              <w:adjustRightInd w:val="0"/>
              <w:spacing w:after="0" w:line="240" w:lineRule="auto"/>
              <w:contextualSpacing/>
              <w:textAlignment w:val="center"/>
              <w:rPr>
                <w:rFonts w:ascii="Times New Roman" w:hAnsi="Times New Roman"/>
                <w:color w:val="000000"/>
                <w:sz w:val="20"/>
                <w:szCs w:val="20"/>
              </w:rPr>
            </w:pPr>
            <w:r w:rsidRPr="000860EB">
              <w:rPr>
                <w:rFonts w:ascii="Times New Roman" w:hAnsi="Times New Roman"/>
                <w:color w:val="000000"/>
                <w:sz w:val="20"/>
                <w:szCs w:val="20"/>
              </w:rPr>
              <w:t>237(1) (c)</w:t>
            </w:r>
          </w:p>
          <w:p w14:paraId="0B150F78" w14:textId="77777777" w:rsidR="003A7C1B" w:rsidRPr="000860EB" w:rsidRDefault="003A7C1B" w:rsidP="00250DAC">
            <w:pPr>
              <w:suppressAutoHyphens/>
              <w:autoSpaceDE w:val="0"/>
              <w:autoSpaceDN w:val="0"/>
              <w:adjustRightInd w:val="0"/>
              <w:spacing w:after="0" w:line="240" w:lineRule="auto"/>
              <w:contextualSpacing/>
              <w:textAlignment w:val="center"/>
              <w:rPr>
                <w:rFonts w:ascii="Times New Roman" w:hAnsi="Times New Roman"/>
                <w:color w:val="000000"/>
                <w:sz w:val="20"/>
                <w:szCs w:val="20"/>
              </w:rPr>
            </w:pPr>
          </w:p>
          <w:p w14:paraId="41FF2358" w14:textId="77777777" w:rsidR="003A7C1B" w:rsidRPr="000860EB" w:rsidRDefault="003A7C1B" w:rsidP="00250DAC">
            <w:pPr>
              <w:suppressAutoHyphens/>
              <w:autoSpaceDE w:val="0"/>
              <w:autoSpaceDN w:val="0"/>
              <w:adjustRightInd w:val="0"/>
              <w:spacing w:after="0" w:line="240" w:lineRule="auto"/>
              <w:contextualSpacing/>
              <w:textAlignment w:val="center"/>
              <w:rPr>
                <w:rFonts w:ascii="Times New Roman" w:hAnsi="Times New Roman"/>
                <w:color w:val="000000"/>
                <w:sz w:val="20"/>
                <w:szCs w:val="20"/>
              </w:rPr>
            </w:pPr>
          </w:p>
          <w:p w14:paraId="73FBBC02" w14:textId="77777777" w:rsidR="003A7C1B" w:rsidRPr="000860EB" w:rsidRDefault="003A7C1B" w:rsidP="00250DAC">
            <w:pPr>
              <w:suppressAutoHyphens/>
              <w:autoSpaceDE w:val="0"/>
              <w:autoSpaceDN w:val="0"/>
              <w:adjustRightInd w:val="0"/>
              <w:spacing w:after="0" w:line="240" w:lineRule="auto"/>
              <w:contextualSpacing/>
              <w:textAlignment w:val="center"/>
              <w:rPr>
                <w:rFonts w:ascii="Times New Roman" w:hAnsi="Times New Roman"/>
                <w:color w:val="000000"/>
                <w:sz w:val="20"/>
                <w:szCs w:val="20"/>
              </w:rPr>
            </w:pPr>
          </w:p>
          <w:p w14:paraId="1B689F27" w14:textId="77777777" w:rsidR="003A7C1B" w:rsidRPr="000860EB" w:rsidRDefault="003A7C1B" w:rsidP="00250DAC">
            <w:pPr>
              <w:suppressAutoHyphens/>
              <w:autoSpaceDE w:val="0"/>
              <w:autoSpaceDN w:val="0"/>
              <w:adjustRightInd w:val="0"/>
              <w:spacing w:after="0" w:line="240" w:lineRule="auto"/>
              <w:contextualSpacing/>
              <w:textAlignment w:val="center"/>
              <w:rPr>
                <w:rFonts w:ascii="Times New Roman" w:hAnsi="Times New Roman"/>
                <w:color w:val="000000"/>
                <w:sz w:val="20"/>
                <w:szCs w:val="20"/>
              </w:rPr>
            </w:pPr>
          </w:p>
          <w:p w14:paraId="17AE498D" w14:textId="77777777" w:rsidR="003A7C1B" w:rsidRPr="000860EB" w:rsidRDefault="003A7C1B" w:rsidP="00250DAC">
            <w:pPr>
              <w:suppressAutoHyphens/>
              <w:autoSpaceDE w:val="0"/>
              <w:autoSpaceDN w:val="0"/>
              <w:adjustRightInd w:val="0"/>
              <w:spacing w:after="0" w:line="240" w:lineRule="auto"/>
              <w:contextualSpacing/>
              <w:textAlignment w:val="center"/>
              <w:rPr>
                <w:rFonts w:ascii="Times New Roman" w:hAnsi="Times New Roman"/>
                <w:color w:val="000000"/>
                <w:sz w:val="20"/>
                <w:szCs w:val="20"/>
              </w:rPr>
            </w:pPr>
          </w:p>
        </w:tc>
        <w:tc>
          <w:tcPr>
            <w:tcW w:w="2366" w:type="pct"/>
            <w:hideMark/>
          </w:tcPr>
          <w:p w14:paraId="14486A69" w14:textId="77777777" w:rsidR="003A7C1B" w:rsidRPr="000860EB" w:rsidRDefault="003A7C1B" w:rsidP="00250DAC">
            <w:pPr>
              <w:suppressAutoHyphens/>
              <w:autoSpaceDE w:val="0"/>
              <w:autoSpaceDN w:val="0"/>
              <w:adjustRightInd w:val="0"/>
              <w:spacing w:after="0" w:line="240" w:lineRule="auto"/>
              <w:contextualSpacing/>
              <w:jc w:val="both"/>
              <w:textAlignment w:val="center"/>
              <w:rPr>
                <w:rFonts w:ascii="Times New Roman" w:hAnsi="Times New Roman"/>
                <w:color w:val="000000"/>
                <w:sz w:val="20"/>
                <w:szCs w:val="20"/>
              </w:rPr>
            </w:pPr>
            <w:r w:rsidRPr="000860EB">
              <w:rPr>
                <w:rFonts w:ascii="Times New Roman" w:hAnsi="Times New Roman"/>
                <w:color w:val="000000"/>
                <w:sz w:val="20"/>
                <w:szCs w:val="20"/>
              </w:rPr>
              <w:t xml:space="preserve">Specified securities allotted to promoters during the preceding one year at a price less than the issue price, against funds brought in by them during that period, in case of an issuer formed by conversion of one or more partnership firms, where the partners of the erstwhile partnership firms are the promoters of the issuer and there is no change in the management: Provided that specified securities, allotted to promoters against capital existing in </w:t>
            </w:r>
            <w:r w:rsidRPr="000860EB">
              <w:rPr>
                <w:rFonts w:ascii="Times New Roman" w:hAnsi="Times New Roman"/>
                <w:color w:val="000000"/>
                <w:sz w:val="20"/>
                <w:szCs w:val="20"/>
              </w:rPr>
              <w:lastRenderedPageBreak/>
              <w:t>such firms for a period of more than one year on a continuous basis, shall be eligible</w:t>
            </w:r>
          </w:p>
        </w:tc>
        <w:tc>
          <w:tcPr>
            <w:tcW w:w="1969" w:type="pct"/>
            <w:hideMark/>
          </w:tcPr>
          <w:p w14:paraId="3926FCDC" w14:textId="77777777" w:rsidR="003A7C1B" w:rsidRPr="000860EB" w:rsidRDefault="003A7C1B" w:rsidP="00250DAC">
            <w:pPr>
              <w:suppressAutoHyphens/>
              <w:autoSpaceDE w:val="0"/>
              <w:autoSpaceDN w:val="0"/>
              <w:adjustRightInd w:val="0"/>
              <w:spacing w:after="0" w:line="240" w:lineRule="auto"/>
              <w:contextualSpacing/>
              <w:jc w:val="both"/>
              <w:textAlignment w:val="center"/>
              <w:rPr>
                <w:rFonts w:ascii="Times New Roman" w:hAnsi="Times New Roman"/>
                <w:color w:val="000000"/>
                <w:sz w:val="20"/>
                <w:szCs w:val="20"/>
              </w:rPr>
            </w:pPr>
            <w:r w:rsidRPr="000860EB">
              <w:rPr>
                <w:rFonts w:ascii="Times New Roman" w:hAnsi="Times New Roman"/>
                <w:color w:val="000000"/>
                <w:sz w:val="20"/>
                <w:szCs w:val="20"/>
              </w:rPr>
              <w:lastRenderedPageBreak/>
              <w:t>The minimum Promoter’s contribution does not consist of such Equity Shares.</w:t>
            </w:r>
            <w:r w:rsidRPr="000860EB">
              <w:rPr>
                <w:rFonts w:ascii="Times New Roman" w:hAnsi="Times New Roman"/>
                <w:b/>
                <w:color w:val="000000"/>
                <w:sz w:val="20"/>
                <w:szCs w:val="20"/>
              </w:rPr>
              <w:t xml:space="preserve"> Hence Eligible.</w:t>
            </w:r>
          </w:p>
        </w:tc>
      </w:tr>
      <w:tr w:rsidR="003A7C1B" w:rsidRPr="000860EB" w14:paraId="64DD5CE9" w14:textId="77777777" w:rsidTr="00250DAC">
        <w:trPr>
          <w:trHeight w:val="144"/>
        </w:trPr>
        <w:tc>
          <w:tcPr>
            <w:tcW w:w="664" w:type="pct"/>
            <w:hideMark/>
          </w:tcPr>
          <w:p w14:paraId="73ADB14F" w14:textId="77777777" w:rsidR="003A7C1B" w:rsidRPr="000860EB" w:rsidRDefault="003A7C1B" w:rsidP="00250DAC">
            <w:pPr>
              <w:suppressAutoHyphens/>
              <w:autoSpaceDE w:val="0"/>
              <w:autoSpaceDN w:val="0"/>
              <w:adjustRightInd w:val="0"/>
              <w:spacing w:after="0" w:line="240" w:lineRule="auto"/>
              <w:contextualSpacing/>
              <w:textAlignment w:val="center"/>
              <w:rPr>
                <w:rFonts w:ascii="Times New Roman" w:hAnsi="Times New Roman"/>
                <w:color w:val="000000"/>
                <w:sz w:val="20"/>
                <w:szCs w:val="20"/>
              </w:rPr>
            </w:pPr>
            <w:r w:rsidRPr="000860EB">
              <w:rPr>
                <w:rFonts w:ascii="Times New Roman" w:hAnsi="Times New Roman"/>
                <w:color w:val="000000"/>
                <w:sz w:val="20"/>
                <w:szCs w:val="20"/>
              </w:rPr>
              <w:t>237 (1) (d)</w:t>
            </w:r>
          </w:p>
        </w:tc>
        <w:tc>
          <w:tcPr>
            <w:tcW w:w="2366" w:type="pct"/>
            <w:hideMark/>
          </w:tcPr>
          <w:p w14:paraId="69782A1E" w14:textId="77777777" w:rsidR="003A7C1B" w:rsidRPr="000860EB" w:rsidRDefault="003A7C1B" w:rsidP="00250DAC">
            <w:pPr>
              <w:suppressAutoHyphens/>
              <w:autoSpaceDE w:val="0"/>
              <w:autoSpaceDN w:val="0"/>
              <w:adjustRightInd w:val="0"/>
              <w:spacing w:after="0" w:line="240" w:lineRule="auto"/>
              <w:contextualSpacing/>
              <w:jc w:val="both"/>
              <w:textAlignment w:val="center"/>
              <w:rPr>
                <w:rFonts w:ascii="Times New Roman" w:hAnsi="Times New Roman"/>
                <w:color w:val="000000"/>
                <w:sz w:val="20"/>
                <w:szCs w:val="20"/>
                <w:highlight w:val="yellow"/>
              </w:rPr>
            </w:pPr>
            <w:r w:rsidRPr="000860EB">
              <w:rPr>
                <w:rFonts w:ascii="Times New Roman" w:hAnsi="Times New Roman"/>
                <w:color w:val="000000"/>
                <w:sz w:val="20"/>
                <w:szCs w:val="20"/>
              </w:rPr>
              <w:t>Specified securities pledged with any creditor.</w:t>
            </w:r>
          </w:p>
        </w:tc>
        <w:tc>
          <w:tcPr>
            <w:tcW w:w="1969" w:type="pct"/>
            <w:hideMark/>
          </w:tcPr>
          <w:p w14:paraId="41F4BC01" w14:textId="77777777" w:rsidR="003A7C1B" w:rsidRPr="000860EB" w:rsidRDefault="003A7C1B" w:rsidP="00250DAC">
            <w:pPr>
              <w:suppressAutoHyphens/>
              <w:autoSpaceDE w:val="0"/>
              <w:autoSpaceDN w:val="0"/>
              <w:adjustRightInd w:val="0"/>
              <w:spacing w:after="0" w:line="240" w:lineRule="auto"/>
              <w:contextualSpacing/>
              <w:jc w:val="both"/>
              <w:textAlignment w:val="center"/>
              <w:rPr>
                <w:rFonts w:ascii="Times New Roman" w:hAnsi="Times New Roman"/>
                <w:color w:val="000000"/>
                <w:sz w:val="20"/>
                <w:szCs w:val="20"/>
              </w:rPr>
            </w:pPr>
            <w:r w:rsidRPr="000860EB">
              <w:rPr>
                <w:rFonts w:ascii="Times New Roman" w:hAnsi="Times New Roman"/>
                <w:color w:val="000000"/>
                <w:sz w:val="20"/>
                <w:szCs w:val="20"/>
              </w:rPr>
              <w:t>Our Promoters have not Pledged any shares with any creditors. Accordingly, the minimum Promoter’s contribution does not consist of such Equity Shares.</w:t>
            </w:r>
            <w:r w:rsidRPr="000860EB">
              <w:rPr>
                <w:rFonts w:ascii="Times New Roman" w:hAnsi="Times New Roman"/>
                <w:b/>
                <w:color w:val="000000"/>
                <w:sz w:val="20"/>
                <w:szCs w:val="20"/>
              </w:rPr>
              <w:t xml:space="preserve"> Hence Eligible.</w:t>
            </w:r>
          </w:p>
        </w:tc>
      </w:tr>
    </w:tbl>
    <w:p w14:paraId="1B423BBA" w14:textId="77777777" w:rsidR="003A7C1B" w:rsidRPr="000860EB" w:rsidRDefault="003A7C1B" w:rsidP="003A7C1B">
      <w:pPr>
        <w:spacing w:after="0" w:line="240" w:lineRule="auto"/>
        <w:rPr>
          <w:rFonts w:ascii="Times New Roman" w:hAnsi="Times New Roman"/>
          <w:b/>
          <w:iCs/>
          <w:sz w:val="20"/>
          <w:szCs w:val="20"/>
        </w:rPr>
      </w:pPr>
    </w:p>
    <w:p w14:paraId="56FA0352" w14:textId="77777777" w:rsidR="003A7C1B" w:rsidRPr="000860EB" w:rsidRDefault="003A7C1B" w:rsidP="003A7C1B">
      <w:pPr>
        <w:spacing w:after="0" w:line="240" w:lineRule="auto"/>
        <w:ind w:left="360" w:hanging="360"/>
        <w:rPr>
          <w:rFonts w:ascii="Times New Roman" w:hAnsi="Times New Roman"/>
          <w:b/>
          <w:iCs/>
          <w:sz w:val="20"/>
          <w:szCs w:val="20"/>
        </w:rPr>
      </w:pPr>
      <w:r w:rsidRPr="000860EB">
        <w:rPr>
          <w:rFonts w:ascii="Times New Roman" w:hAnsi="Times New Roman"/>
          <w:b/>
          <w:iCs/>
          <w:sz w:val="20"/>
          <w:szCs w:val="20"/>
        </w:rPr>
        <w:t>Details of Promoters’ Contribution Locked-in for One Year</w:t>
      </w:r>
    </w:p>
    <w:p w14:paraId="505E35D5" w14:textId="77777777" w:rsidR="003A7C1B" w:rsidRPr="000860EB" w:rsidRDefault="003A7C1B" w:rsidP="003A7C1B">
      <w:pPr>
        <w:spacing w:after="0" w:line="240" w:lineRule="auto"/>
        <w:ind w:left="360" w:hanging="360"/>
        <w:rPr>
          <w:rFonts w:ascii="Times New Roman" w:hAnsi="Times New Roman"/>
          <w:iCs/>
          <w:sz w:val="20"/>
          <w:szCs w:val="20"/>
        </w:rPr>
      </w:pPr>
    </w:p>
    <w:p w14:paraId="49440C70" w14:textId="77777777" w:rsidR="003A7C1B" w:rsidRPr="000860EB" w:rsidRDefault="003A7C1B" w:rsidP="003A7C1B">
      <w:pPr>
        <w:suppressAutoHyphens/>
        <w:autoSpaceDE w:val="0"/>
        <w:autoSpaceDN w:val="0"/>
        <w:adjustRightInd w:val="0"/>
        <w:spacing w:after="0" w:line="240" w:lineRule="auto"/>
        <w:jc w:val="both"/>
        <w:textAlignment w:val="center"/>
        <w:rPr>
          <w:rFonts w:ascii="Times New Roman" w:hAnsi="Times New Roman"/>
          <w:color w:val="000000"/>
          <w:sz w:val="20"/>
          <w:szCs w:val="20"/>
        </w:rPr>
      </w:pPr>
      <w:r w:rsidRPr="000860EB">
        <w:rPr>
          <w:rFonts w:ascii="Times New Roman" w:hAnsi="Times New Roman"/>
          <w:color w:val="000000"/>
          <w:sz w:val="20"/>
          <w:szCs w:val="20"/>
        </w:rPr>
        <w:t xml:space="preserve">In terms of Regulation 238(b) and 239 of the SEBI (ICDR) Regulations, 2018, in addition to the Minimum Promoters contribution which is locked in for three years, as specified above, the entire pre-issue equity share capital </w:t>
      </w:r>
      <w:r w:rsidRPr="000860EB">
        <w:rPr>
          <w:rFonts w:ascii="Times New Roman" w:hAnsi="Times New Roman"/>
          <w:color w:val="000000"/>
          <w:sz w:val="20"/>
          <w:szCs w:val="20"/>
          <w:shd w:val="clear" w:color="auto" w:fill="FFFFFF"/>
        </w:rPr>
        <w:t>constituting 1,00,25,500</w:t>
      </w:r>
      <w:r w:rsidRPr="000860EB">
        <w:rPr>
          <w:rFonts w:ascii="Times New Roman" w:hAnsi="Times New Roman"/>
          <w:sz w:val="20"/>
          <w:szCs w:val="20"/>
          <w:shd w:val="clear" w:color="auto" w:fill="FFFFFF"/>
        </w:rPr>
        <w:t xml:space="preserve"> </w:t>
      </w:r>
      <w:r w:rsidRPr="000860EB">
        <w:rPr>
          <w:rFonts w:ascii="Times New Roman" w:hAnsi="Times New Roman"/>
          <w:color w:val="000000"/>
          <w:sz w:val="20"/>
          <w:szCs w:val="20"/>
        </w:rPr>
        <w:t xml:space="preserve">Equity Shares shall be locked in for a period of one year from the date of allotment of Equity Shares in this Issue. </w:t>
      </w:r>
    </w:p>
    <w:p w14:paraId="529DF948" w14:textId="77777777" w:rsidR="003A7C1B" w:rsidRPr="000860EB" w:rsidRDefault="003A7C1B" w:rsidP="003A7C1B">
      <w:pPr>
        <w:suppressAutoHyphens/>
        <w:autoSpaceDE w:val="0"/>
        <w:autoSpaceDN w:val="0"/>
        <w:adjustRightInd w:val="0"/>
        <w:spacing w:after="0" w:line="240" w:lineRule="auto"/>
        <w:jc w:val="both"/>
        <w:textAlignment w:val="center"/>
        <w:rPr>
          <w:rFonts w:ascii="Times New Roman" w:hAnsi="Times New Roman"/>
          <w:color w:val="000000"/>
          <w:sz w:val="20"/>
          <w:szCs w:val="20"/>
        </w:rPr>
      </w:pPr>
    </w:p>
    <w:p w14:paraId="11711BC5" w14:textId="77777777" w:rsidR="003A7C1B" w:rsidRDefault="003A7C1B" w:rsidP="003A7C1B">
      <w:pPr>
        <w:suppressAutoHyphens/>
        <w:autoSpaceDE w:val="0"/>
        <w:autoSpaceDN w:val="0"/>
        <w:adjustRightInd w:val="0"/>
        <w:spacing w:after="0" w:line="240" w:lineRule="auto"/>
        <w:jc w:val="both"/>
        <w:textAlignment w:val="center"/>
        <w:rPr>
          <w:rFonts w:ascii="Times New Roman" w:hAnsi="Times New Roman"/>
          <w:color w:val="000000"/>
          <w:sz w:val="20"/>
          <w:szCs w:val="20"/>
        </w:rPr>
      </w:pPr>
      <w:r w:rsidRPr="000860EB">
        <w:rPr>
          <w:rFonts w:ascii="Times New Roman" w:hAnsi="Times New Roman"/>
          <w:color w:val="000000"/>
          <w:sz w:val="20"/>
          <w:szCs w:val="20"/>
        </w:rPr>
        <w:t xml:space="preserve">In terms of Regulation 241 of the SEBI (ICDR) Regulations, 2018, the Equity Shares which are subject to lock-in shall carry inscription </w:t>
      </w:r>
      <w:r w:rsidRPr="000860EB">
        <w:rPr>
          <w:rFonts w:ascii="Times New Roman" w:hAnsi="Times New Roman"/>
          <w:b/>
          <w:color w:val="000000"/>
          <w:sz w:val="20"/>
          <w:szCs w:val="20"/>
        </w:rPr>
        <w:t xml:space="preserve">‘non-transferable’ </w:t>
      </w:r>
      <w:r w:rsidRPr="000860EB">
        <w:rPr>
          <w:rFonts w:ascii="Times New Roman" w:hAnsi="Times New Roman"/>
          <w:color w:val="000000"/>
          <w:sz w:val="20"/>
          <w:szCs w:val="20"/>
        </w:rPr>
        <w:t>along with the Ratio of specified non-transferable period mentioned in the face of the security certificate. The shares which are in dematerialized form, if any, shall be locked-in by the respective depositories. The details of lock-in of the Equity Shares shall also be provided to the Designated Stock Exchange before the listing of the Equity Shares.</w:t>
      </w:r>
    </w:p>
    <w:p w14:paraId="3B431B86" w14:textId="77777777" w:rsidR="003A7C1B" w:rsidRPr="000860EB" w:rsidRDefault="003A7C1B" w:rsidP="003A7C1B">
      <w:pPr>
        <w:suppressAutoHyphens/>
        <w:autoSpaceDE w:val="0"/>
        <w:autoSpaceDN w:val="0"/>
        <w:adjustRightInd w:val="0"/>
        <w:spacing w:after="0" w:line="240" w:lineRule="auto"/>
        <w:jc w:val="both"/>
        <w:textAlignment w:val="center"/>
        <w:rPr>
          <w:rFonts w:ascii="Times New Roman" w:hAnsi="Times New Roman"/>
          <w:color w:val="000000"/>
          <w:sz w:val="20"/>
          <w:szCs w:val="20"/>
        </w:rPr>
      </w:pPr>
    </w:p>
    <w:p w14:paraId="1883BE0C" w14:textId="77777777" w:rsidR="003A7C1B" w:rsidRPr="000860EB" w:rsidRDefault="003A7C1B" w:rsidP="003A7C1B">
      <w:pPr>
        <w:suppressAutoHyphens/>
        <w:autoSpaceDE w:val="0"/>
        <w:autoSpaceDN w:val="0"/>
        <w:adjustRightInd w:val="0"/>
        <w:spacing w:after="0" w:line="240" w:lineRule="auto"/>
        <w:jc w:val="both"/>
        <w:textAlignment w:val="center"/>
        <w:rPr>
          <w:rFonts w:ascii="Times New Roman" w:hAnsi="Times New Roman"/>
          <w:b/>
          <w:color w:val="000000"/>
          <w:sz w:val="20"/>
          <w:szCs w:val="20"/>
        </w:rPr>
      </w:pPr>
      <w:r w:rsidRPr="000860EB">
        <w:rPr>
          <w:rFonts w:ascii="Times New Roman" w:hAnsi="Times New Roman"/>
          <w:b/>
          <w:color w:val="000000"/>
          <w:sz w:val="20"/>
          <w:szCs w:val="20"/>
        </w:rPr>
        <w:t>Other requirements in respect of lock-in:</w:t>
      </w:r>
    </w:p>
    <w:p w14:paraId="111E8816" w14:textId="77777777" w:rsidR="003A7C1B" w:rsidRPr="000860EB" w:rsidRDefault="003A7C1B" w:rsidP="003A7C1B">
      <w:pPr>
        <w:suppressAutoHyphens/>
        <w:autoSpaceDE w:val="0"/>
        <w:autoSpaceDN w:val="0"/>
        <w:adjustRightInd w:val="0"/>
        <w:spacing w:after="0" w:line="240" w:lineRule="auto"/>
        <w:jc w:val="both"/>
        <w:textAlignment w:val="center"/>
        <w:rPr>
          <w:rFonts w:ascii="Times New Roman" w:hAnsi="Times New Roman"/>
          <w:color w:val="000000"/>
          <w:sz w:val="20"/>
          <w:szCs w:val="20"/>
        </w:rPr>
      </w:pPr>
    </w:p>
    <w:p w14:paraId="5B577088" w14:textId="77777777" w:rsidR="003A7C1B" w:rsidRPr="000860EB" w:rsidRDefault="003A7C1B" w:rsidP="00F038BD">
      <w:pPr>
        <w:numPr>
          <w:ilvl w:val="0"/>
          <w:numId w:val="156"/>
        </w:numPr>
        <w:spacing w:after="0" w:line="240" w:lineRule="auto"/>
        <w:jc w:val="both"/>
        <w:rPr>
          <w:rFonts w:ascii="Times New Roman" w:hAnsi="Times New Roman"/>
          <w:color w:val="000000"/>
          <w:sz w:val="20"/>
          <w:szCs w:val="20"/>
        </w:rPr>
      </w:pPr>
      <w:r w:rsidRPr="000860EB">
        <w:rPr>
          <w:rFonts w:ascii="Times New Roman" w:hAnsi="Times New Roman"/>
          <w:color w:val="000000"/>
          <w:sz w:val="20"/>
          <w:szCs w:val="20"/>
        </w:rPr>
        <w:t>In terms of Regulation 242 of the SEBI (ICDR) Regulations, the locked in Equity Shares held by the Promoters, as specified above, can be pledged with any scheduled commercial bank or public financial institution or a systemically important non-banking finance company or a housing finance company as collateral security for loan granted by such bank or institution provided that the pledge of Equity Shares is one of the terms of the sanction of the loan. Provided that securities locked in as minimum promoter’s contribution may be pledged only if, in addition to fulfilling the above requirements, the loan has been granted by such bank or institution, for the purpose of financing one or more of the objects of the Issue.</w:t>
      </w:r>
    </w:p>
    <w:p w14:paraId="4485089E" w14:textId="77777777" w:rsidR="003A7C1B" w:rsidRPr="000860EB" w:rsidRDefault="003A7C1B" w:rsidP="003A7C1B">
      <w:pPr>
        <w:suppressAutoHyphens/>
        <w:autoSpaceDE w:val="0"/>
        <w:autoSpaceDN w:val="0"/>
        <w:adjustRightInd w:val="0"/>
        <w:spacing w:after="0" w:line="240" w:lineRule="auto"/>
        <w:jc w:val="both"/>
        <w:textAlignment w:val="center"/>
        <w:rPr>
          <w:rFonts w:ascii="Times New Roman" w:hAnsi="Times New Roman"/>
          <w:color w:val="000000"/>
          <w:sz w:val="20"/>
          <w:szCs w:val="20"/>
        </w:rPr>
      </w:pPr>
    </w:p>
    <w:p w14:paraId="3EA86EDD" w14:textId="77777777" w:rsidR="003A7C1B" w:rsidRPr="000860EB" w:rsidRDefault="003A7C1B" w:rsidP="00F038BD">
      <w:pPr>
        <w:numPr>
          <w:ilvl w:val="0"/>
          <w:numId w:val="156"/>
        </w:numPr>
        <w:spacing w:after="0" w:line="240" w:lineRule="auto"/>
        <w:jc w:val="both"/>
        <w:rPr>
          <w:rFonts w:ascii="Times New Roman" w:hAnsi="Times New Roman"/>
          <w:color w:val="000000"/>
          <w:sz w:val="20"/>
          <w:szCs w:val="20"/>
        </w:rPr>
      </w:pPr>
      <w:r w:rsidRPr="000860EB">
        <w:rPr>
          <w:rFonts w:ascii="Times New Roman" w:hAnsi="Times New Roman"/>
          <w:color w:val="000000"/>
          <w:sz w:val="20"/>
          <w:szCs w:val="20"/>
        </w:rPr>
        <w:t>In terms of Regulation 243 of the SEBI (ICDR) Regulations, the Equity Shares held by persons other than the Promoters prior to the Issue may be transferred to any other person holding the Equity Shares which are locked in as per Regulation 239 of the SEBI (ICDR) Regulations, subject to continuation of the lock-in in the hands of the transferees for the remaining period and compliance with the SEBI (Substantial Acquisition of Shares and Takeovers) Regulations, 2011, as applicable.</w:t>
      </w:r>
    </w:p>
    <w:p w14:paraId="5EB1E97A" w14:textId="77777777" w:rsidR="003A7C1B" w:rsidRPr="000860EB" w:rsidRDefault="003A7C1B" w:rsidP="003A7C1B">
      <w:pPr>
        <w:suppressAutoHyphens/>
        <w:autoSpaceDE w:val="0"/>
        <w:autoSpaceDN w:val="0"/>
        <w:adjustRightInd w:val="0"/>
        <w:spacing w:after="0" w:line="240" w:lineRule="auto"/>
        <w:ind w:left="360"/>
        <w:jc w:val="both"/>
        <w:textAlignment w:val="center"/>
        <w:rPr>
          <w:rFonts w:ascii="Times New Roman" w:hAnsi="Times New Roman"/>
          <w:color w:val="000000"/>
          <w:sz w:val="20"/>
          <w:szCs w:val="20"/>
        </w:rPr>
      </w:pPr>
    </w:p>
    <w:p w14:paraId="6A56DB50" w14:textId="77777777" w:rsidR="003A7C1B" w:rsidRPr="000860EB" w:rsidRDefault="003A7C1B" w:rsidP="00F038BD">
      <w:pPr>
        <w:numPr>
          <w:ilvl w:val="0"/>
          <w:numId w:val="156"/>
        </w:numPr>
        <w:spacing w:after="0" w:line="240" w:lineRule="auto"/>
        <w:jc w:val="both"/>
        <w:rPr>
          <w:rFonts w:ascii="Times New Roman" w:hAnsi="Times New Roman"/>
          <w:b/>
          <w:color w:val="000000"/>
          <w:sz w:val="20"/>
          <w:szCs w:val="20"/>
        </w:rPr>
      </w:pPr>
      <w:r w:rsidRPr="000860EB">
        <w:rPr>
          <w:rFonts w:ascii="Times New Roman" w:hAnsi="Times New Roman"/>
          <w:color w:val="000000"/>
          <w:sz w:val="20"/>
          <w:szCs w:val="20"/>
        </w:rPr>
        <w:t>Further in terms of Regulation 243 of the SEBI (ICDR) Regulations, the specified securities held by the promoters and locked-in as per regulation 238 may be transferred to other promoters or any person of the Promoter Group or a new promoter or a person in control of the issuer subject to continuation of the lock-in in the hands of the transferees for the remaining period and compliance with SEBI (Substantial Acquisition of Shares and Takeovers) Regulations, 2011, as applicable.</w:t>
      </w:r>
    </w:p>
    <w:p w14:paraId="21287EC8" w14:textId="77777777" w:rsidR="003A7C1B" w:rsidRPr="000860EB" w:rsidRDefault="003A7C1B" w:rsidP="003A7C1B">
      <w:pPr>
        <w:spacing w:after="0" w:line="240" w:lineRule="auto"/>
        <w:ind w:left="360"/>
        <w:rPr>
          <w:rFonts w:ascii="Times New Roman" w:hAnsi="Times New Roman"/>
          <w:b/>
          <w:color w:val="000000"/>
          <w:sz w:val="20"/>
          <w:szCs w:val="20"/>
        </w:rPr>
      </w:pPr>
    </w:p>
    <w:p w14:paraId="299475A8" w14:textId="77777777" w:rsidR="003A7C1B" w:rsidRPr="000860EB" w:rsidRDefault="003A7C1B" w:rsidP="00F038BD">
      <w:pPr>
        <w:numPr>
          <w:ilvl w:val="0"/>
          <w:numId w:val="157"/>
        </w:numPr>
        <w:autoSpaceDE w:val="0"/>
        <w:autoSpaceDN w:val="0"/>
        <w:adjustRightInd w:val="0"/>
        <w:spacing w:after="0" w:line="240" w:lineRule="auto"/>
        <w:jc w:val="both"/>
        <w:rPr>
          <w:rFonts w:ascii="Times New Roman" w:eastAsia="Calibri" w:hAnsi="Times New Roman"/>
          <w:color w:val="000000"/>
          <w:sz w:val="20"/>
          <w:szCs w:val="20"/>
        </w:rPr>
      </w:pPr>
      <w:r w:rsidRPr="000860EB">
        <w:rPr>
          <w:rFonts w:ascii="Times New Roman" w:eastAsia="Calibri" w:hAnsi="Times New Roman"/>
          <w:color w:val="000000"/>
          <w:sz w:val="20"/>
          <w:szCs w:val="20"/>
        </w:rPr>
        <w:t>Neither, we nor our Promoters, Directors and the BRLM to this Issue have entered into any buyback and/ or standby arrangements and/ or similar arrangements for the purchase of our Equity Shares from any person.</w:t>
      </w:r>
    </w:p>
    <w:p w14:paraId="3F726DF2" w14:textId="77777777" w:rsidR="003A7C1B" w:rsidRPr="000860EB" w:rsidRDefault="003A7C1B" w:rsidP="003A7C1B">
      <w:pPr>
        <w:spacing w:after="0" w:line="240" w:lineRule="auto"/>
        <w:ind w:left="360"/>
        <w:jc w:val="both"/>
        <w:rPr>
          <w:rFonts w:ascii="Times New Roman" w:hAnsi="Times New Roman"/>
          <w:color w:val="000000"/>
          <w:sz w:val="20"/>
          <w:szCs w:val="20"/>
        </w:rPr>
      </w:pPr>
    </w:p>
    <w:p w14:paraId="23F0B46F" w14:textId="77777777" w:rsidR="003A7C1B" w:rsidRPr="000860EB" w:rsidRDefault="003A7C1B" w:rsidP="00F038BD">
      <w:pPr>
        <w:numPr>
          <w:ilvl w:val="0"/>
          <w:numId w:val="157"/>
        </w:numPr>
        <w:autoSpaceDE w:val="0"/>
        <w:autoSpaceDN w:val="0"/>
        <w:adjustRightInd w:val="0"/>
        <w:spacing w:after="0" w:line="240" w:lineRule="auto"/>
        <w:jc w:val="both"/>
        <w:rPr>
          <w:rFonts w:ascii="Times New Roman" w:eastAsia="Calibri" w:hAnsi="Times New Roman"/>
          <w:color w:val="000000"/>
          <w:sz w:val="20"/>
          <w:szCs w:val="20"/>
        </w:rPr>
      </w:pPr>
      <w:r w:rsidRPr="000860EB">
        <w:rPr>
          <w:rFonts w:ascii="Times New Roman" w:eastAsia="Calibri" w:hAnsi="Times New Roman"/>
          <w:color w:val="000000"/>
          <w:sz w:val="20"/>
          <w:szCs w:val="20"/>
        </w:rPr>
        <w:t xml:space="preserve">As on the date of this Draft </w:t>
      </w:r>
      <w:r w:rsidRPr="000860EB">
        <w:rPr>
          <w:rFonts w:ascii="Times New Roman" w:hAnsi="Times New Roman"/>
          <w:sz w:val="20"/>
          <w:szCs w:val="20"/>
        </w:rPr>
        <w:t xml:space="preserve">Red Herring </w:t>
      </w:r>
      <w:r w:rsidRPr="000860EB">
        <w:rPr>
          <w:rFonts w:ascii="Times New Roman" w:eastAsia="Calibri" w:hAnsi="Times New Roman"/>
          <w:color w:val="000000"/>
          <w:sz w:val="20"/>
          <w:szCs w:val="20"/>
        </w:rPr>
        <w:t>Prospectus, the entire Issued Share, Subscribed and Paid-up Share Capital of our Company is fully paid up. Since the entire issue price in respect of the issue is payable on application, all the successful applicants will be allotted fully paid</w:t>
      </w:r>
      <w:r>
        <w:rPr>
          <w:rFonts w:ascii="Times New Roman" w:eastAsia="Calibri" w:hAnsi="Times New Roman"/>
          <w:color w:val="000000"/>
          <w:sz w:val="20"/>
          <w:szCs w:val="20"/>
        </w:rPr>
        <w:t>-</w:t>
      </w:r>
      <w:r w:rsidRPr="000860EB">
        <w:rPr>
          <w:rFonts w:ascii="Times New Roman" w:eastAsia="Calibri" w:hAnsi="Times New Roman"/>
          <w:color w:val="000000"/>
          <w:sz w:val="20"/>
          <w:szCs w:val="20"/>
        </w:rPr>
        <w:t>up Equity Shares.</w:t>
      </w:r>
    </w:p>
    <w:p w14:paraId="6446BFCB" w14:textId="77777777" w:rsidR="003A7C1B" w:rsidRPr="000860EB" w:rsidRDefault="003A7C1B" w:rsidP="003A7C1B">
      <w:pPr>
        <w:autoSpaceDE w:val="0"/>
        <w:autoSpaceDN w:val="0"/>
        <w:adjustRightInd w:val="0"/>
        <w:spacing w:after="0" w:line="240" w:lineRule="auto"/>
        <w:ind w:left="360"/>
        <w:jc w:val="both"/>
        <w:rPr>
          <w:rFonts w:ascii="Times New Roman" w:eastAsia="Calibri" w:hAnsi="Times New Roman"/>
          <w:color w:val="000000"/>
          <w:sz w:val="20"/>
          <w:szCs w:val="20"/>
        </w:rPr>
      </w:pPr>
    </w:p>
    <w:p w14:paraId="0938B4CD" w14:textId="77777777" w:rsidR="003A7C1B" w:rsidRPr="000860EB" w:rsidRDefault="003A7C1B" w:rsidP="00F038BD">
      <w:pPr>
        <w:numPr>
          <w:ilvl w:val="0"/>
          <w:numId w:val="157"/>
        </w:numPr>
        <w:autoSpaceDE w:val="0"/>
        <w:autoSpaceDN w:val="0"/>
        <w:adjustRightInd w:val="0"/>
        <w:spacing w:after="0" w:line="240" w:lineRule="auto"/>
        <w:jc w:val="both"/>
        <w:rPr>
          <w:rFonts w:ascii="Times New Roman" w:eastAsia="Calibri" w:hAnsi="Times New Roman"/>
          <w:sz w:val="20"/>
          <w:szCs w:val="20"/>
        </w:rPr>
      </w:pPr>
      <w:r w:rsidRPr="000860EB">
        <w:rPr>
          <w:rFonts w:ascii="Times New Roman" w:eastAsia="Calibri" w:hAnsi="Times New Roman"/>
          <w:color w:val="000000"/>
          <w:sz w:val="20"/>
          <w:szCs w:val="20"/>
        </w:rPr>
        <w:t xml:space="preserve">The BRLM i.e., Hem Securities Limited and their associates do not hold any Equity Shares in our Company as on the date of filing of this Draft </w:t>
      </w:r>
      <w:r w:rsidRPr="000860EB">
        <w:rPr>
          <w:rFonts w:ascii="Times New Roman" w:hAnsi="Times New Roman"/>
          <w:sz w:val="20"/>
          <w:szCs w:val="20"/>
        </w:rPr>
        <w:t xml:space="preserve">Red Herring </w:t>
      </w:r>
      <w:r w:rsidRPr="000860EB">
        <w:rPr>
          <w:rFonts w:ascii="Times New Roman" w:eastAsia="Calibri" w:hAnsi="Times New Roman"/>
          <w:sz w:val="20"/>
          <w:szCs w:val="20"/>
        </w:rPr>
        <w:t>Prospectus.</w:t>
      </w:r>
    </w:p>
    <w:p w14:paraId="5F7CDF15" w14:textId="77777777" w:rsidR="003A7C1B" w:rsidRPr="000860EB" w:rsidRDefault="003A7C1B" w:rsidP="003A7C1B">
      <w:pPr>
        <w:autoSpaceDE w:val="0"/>
        <w:autoSpaceDN w:val="0"/>
        <w:adjustRightInd w:val="0"/>
        <w:spacing w:after="0" w:line="240" w:lineRule="auto"/>
        <w:ind w:left="360"/>
        <w:jc w:val="both"/>
        <w:rPr>
          <w:rFonts w:ascii="Times New Roman" w:eastAsia="Calibri" w:hAnsi="Times New Roman"/>
          <w:sz w:val="20"/>
          <w:szCs w:val="20"/>
        </w:rPr>
      </w:pPr>
    </w:p>
    <w:p w14:paraId="548714D3" w14:textId="77777777" w:rsidR="003A7C1B" w:rsidRPr="000860EB" w:rsidRDefault="003A7C1B" w:rsidP="00F038BD">
      <w:pPr>
        <w:numPr>
          <w:ilvl w:val="0"/>
          <w:numId w:val="157"/>
        </w:numPr>
        <w:autoSpaceDE w:val="0"/>
        <w:autoSpaceDN w:val="0"/>
        <w:adjustRightInd w:val="0"/>
        <w:spacing w:after="0" w:line="240" w:lineRule="auto"/>
        <w:jc w:val="both"/>
        <w:rPr>
          <w:rFonts w:ascii="Times New Roman" w:eastAsia="Calibri" w:hAnsi="Times New Roman"/>
          <w:sz w:val="20"/>
          <w:szCs w:val="20"/>
        </w:rPr>
      </w:pPr>
      <w:r w:rsidRPr="000860EB">
        <w:rPr>
          <w:rFonts w:ascii="Times New Roman" w:eastAsia="Calibri" w:hAnsi="Times New Roman"/>
          <w:sz w:val="20"/>
          <w:szCs w:val="20"/>
        </w:rPr>
        <w:t xml:space="preserve">As on the date of this Draft </w:t>
      </w:r>
      <w:r w:rsidRPr="000860EB">
        <w:rPr>
          <w:rFonts w:ascii="Times New Roman" w:hAnsi="Times New Roman"/>
          <w:sz w:val="20"/>
          <w:szCs w:val="20"/>
        </w:rPr>
        <w:t xml:space="preserve">Red Herring </w:t>
      </w:r>
      <w:r w:rsidRPr="000860EB">
        <w:rPr>
          <w:rFonts w:ascii="Times New Roman" w:eastAsia="Calibri" w:hAnsi="Times New Roman"/>
          <w:sz w:val="20"/>
          <w:szCs w:val="20"/>
        </w:rPr>
        <w:t>Prospectus, we do not have any Employees Stock Option Scheme/ Employees Stock Purchase Scheme and we do not intend to allot any shares to our employees under Employee Stock Option Scheme/ Employee Stock Purchase Plan from the proposed issue. As and when, options are granted to our employees under the Employee Stock Option Scheme, our Company shall comply with the SEBI (Share Based Employee Benefits) Regulations, 2014.</w:t>
      </w:r>
    </w:p>
    <w:p w14:paraId="5D36C794" w14:textId="77777777" w:rsidR="003A7C1B" w:rsidRPr="000860EB" w:rsidRDefault="003A7C1B" w:rsidP="003A7C1B">
      <w:pPr>
        <w:autoSpaceDE w:val="0"/>
        <w:autoSpaceDN w:val="0"/>
        <w:adjustRightInd w:val="0"/>
        <w:spacing w:after="0" w:line="240" w:lineRule="auto"/>
        <w:ind w:left="360"/>
        <w:jc w:val="both"/>
        <w:rPr>
          <w:rFonts w:ascii="Times New Roman" w:eastAsia="Calibri" w:hAnsi="Times New Roman"/>
          <w:sz w:val="20"/>
          <w:szCs w:val="20"/>
        </w:rPr>
      </w:pPr>
    </w:p>
    <w:p w14:paraId="19936C4F" w14:textId="77777777" w:rsidR="003A7C1B" w:rsidRPr="000860EB" w:rsidRDefault="003A7C1B" w:rsidP="00F038BD">
      <w:pPr>
        <w:numPr>
          <w:ilvl w:val="0"/>
          <w:numId w:val="157"/>
        </w:numPr>
        <w:autoSpaceDE w:val="0"/>
        <w:autoSpaceDN w:val="0"/>
        <w:adjustRightInd w:val="0"/>
        <w:spacing w:after="0" w:line="240" w:lineRule="auto"/>
        <w:jc w:val="both"/>
        <w:rPr>
          <w:rFonts w:ascii="Times New Roman" w:eastAsia="Calibri" w:hAnsi="Times New Roman"/>
          <w:sz w:val="20"/>
          <w:szCs w:val="20"/>
        </w:rPr>
      </w:pPr>
      <w:r w:rsidRPr="000860EB">
        <w:rPr>
          <w:rFonts w:ascii="Times New Roman" w:eastAsia="Calibri" w:hAnsi="Times New Roman"/>
          <w:sz w:val="20"/>
          <w:szCs w:val="20"/>
        </w:rPr>
        <w:t xml:space="preserve">We have </w:t>
      </w:r>
      <w:r w:rsidRPr="00AE3A79">
        <w:rPr>
          <w:rFonts w:ascii="Times New Roman" w:eastAsia="Calibri" w:hAnsi="Times New Roman"/>
          <w:sz w:val="20"/>
          <w:szCs w:val="20"/>
        </w:rPr>
        <w:t>7 (Seven)</w:t>
      </w:r>
      <w:r w:rsidRPr="000860EB">
        <w:rPr>
          <w:rFonts w:ascii="Times New Roman" w:eastAsia="Calibri" w:hAnsi="Times New Roman"/>
          <w:sz w:val="20"/>
          <w:szCs w:val="20"/>
        </w:rPr>
        <w:t xml:space="preserve"> shareholders as on the date of filing of this Draft </w:t>
      </w:r>
      <w:r w:rsidRPr="000860EB">
        <w:rPr>
          <w:rFonts w:ascii="Times New Roman" w:hAnsi="Times New Roman"/>
          <w:sz w:val="20"/>
          <w:szCs w:val="20"/>
        </w:rPr>
        <w:t xml:space="preserve">Red Herring </w:t>
      </w:r>
      <w:r w:rsidRPr="000860EB">
        <w:rPr>
          <w:rFonts w:ascii="Times New Roman" w:eastAsia="Calibri" w:hAnsi="Times New Roman"/>
          <w:sz w:val="20"/>
          <w:szCs w:val="20"/>
        </w:rPr>
        <w:t>Prospectus.</w:t>
      </w:r>
    </w:p>
    <w:p w14:paraId="47AEC99F" w14:textId="77777777" w:rsidR="003A7C1B" w:rsidRPr="000860EB" w:rsidRDefault="003A7C1B" w:rsidP="003A7C1B">
      <w:pPr>
        <w:spacing w:after="0" w:line="240" w:lineRule="auto"/>
        <w:ind w:left="360"/>
        <w:jc w:val="both"/>
        <w:rPr>
          <w:rFonts w:ascii="Times New Roman" w:hAnsi="Times New Roman"/>
          <w:sz w:val="20"/>
          <w:szCs w:val="20"/>
        </w:rPr>
      </w:pPr>
    </w:p>
    <w:p w14:paraId="1779B813" w14:textId="77777777" w:rsidR="003A7C1B" w:rsidRPr="000860EB" w:rsidRDefault="003A7C1B" w:rsidP="00F038BD">
      <w:pPr>
        <w:numPr>
          <w:ilvl w:val="0"/>
          <w:numId w:val="157"/>
        </w:numPr>
        <w:spacing w:after="0" w:line="240" w:lineRule="auto"/>
        <w:jc w:val="both"/>
        <w:rPr>
          <w:rFonts w:ascii="Times New Roman" w:hAnsi="Times New Roman"/>
          <w:sz w:val="20"/>
          <w:szCs w:val="20"/>
        </w:rPr>
      </w:pPr>
      <w:r w:rsidRPr="000860EB">
        <w:rPr>
          <w:rFonts w:ascii="Times New Roman" w:hAnsi="Times New Roman"/>
          <w:sz w:val="20"/>
          <w:szCs w:val="20"/>
        </w:rPr>
        <w:t>As on the date of filing of this Draft Red Herring Prospectus, there are no outstanding warrants, options or rights to convert debentures, loans or other instruments which would entitle Promoters or any shareholders or any other person any option to acquire our Equity Shares after this Initial Public Offer</w:t>
      </w:r>
    </w:p>
    <w:p w14:paraId="3397662D" w14:textId="77777777" w:rsidR="003A7C1B" w:rsidRPr="000860EB" w:rsidRDefault="003A7C1B" w:rsidP="003A7C1B">
      <w:pPr>
        <w:suppressAutoHyphens/>
        <w:autoSpaceDE w:val="0"/>
        <w:autoSpaceDN w:val="0"/>
        <w:adjustRightInd w:val="0"/>
        <w:spacing w:after="0" w:line="240" w:lineRule="auto"/>
        <w:ind w:left="360"/>
        <w:jc w:val="both"/>
        <w:textAlignment w:val="center"/>
        <w:rPr>
          <w:rFonts w:ascii="Times New Roman" w:hAnsi="Times New Roman"/>
          <w:sz w:val="20"/>
          <w:szCs w:val="20"/>
        </w:rPr>
      </w:pPr>
    </w:p>
    <w:p w14:paraId="5237ABCE" w14:textId="77777777" w:rsidR="003A7C1B" w:rsidRPr="000860EB" w:rsidRDefault="003A7C1B" w:rsidP="00F038BD">
      <w:pPr>
        <w:numPr>
          <w:ilvl w:val="0"/>
          <w:numId w:val="157"/>
        </w:numPr>
        <w:autoSpaceDE w:val="0"/>
        <w:autoSpaceDN w:val="0"/>
        <w:adjustRightInd w:val="0"/>
        <w:spacing w:after="0" w:line="240" w:lineRule="auto"/>
        <w:jc w:val="both"/>
        <w:rPr>
          <w:rFonts w:ascii="Times New Roman" w:eastAsia="Calibri" w:hAnsi="Times New Roman"/>
          <w:sz w:val="20"/>
          <w:szCs w:val="20"/>
        </w:rPr>
      </w:pPr>
      <w:r w:rsidRPr="000860EB">
        <w:rPr>
          <w:rFonts w:ascii="Times New Roman" w:eastAsia="Calibri" w:hAnsi="Times New Roman"/>
          <w:sz w:val="20"/>
          <w:szCs w:val="20"/>
        </w:rPr>
        <w:t>Our Company has not raised any bridge loan against the proceeds of the Issue.</w:t>
      </w:r>
    </w:p>
    <w:p w14:paraId="3CC6E769" w14:textId="77777777" w:rsidR="003A7C1B" w:rsidRPr="000860EB" w:rsidRDefault="003A7C1B" w:rsidP="003A7C1B">
      <w:pPr>
        <w:autoSpaceDE w:val="0"/>
        <w:autoSpaceDN w:val="0"/>
        <w:adjustRightInd w:val="0"/>
        <w:spacing w:after="0" w:line="240" w:lineRule="auto"/>
        <w:ind w:left="360"/>
        <w:jc w:val="both"/>
        <w:rPr>
          <w:rFonts w:ascii="Times New Roman" w:eastAsia="Calibri" w:hAnsi="Times New Roman"/>
          <w:sz w:val="20"/>
          <w:szCs w:val="20"/>
        </w:rPr>
      </w:pPr>
    </w:p>
    <w:p w14:paraId="35A87E5D" w14:textId="77777777" w:rsidR="003A7C1B" w:rsidRPr="000860EB" w:rsidRDefault="003A7C1B" w:rsidP="00F038BD">
      <w:pPr>
        <w:numPr>
          <w:ilvl w:val="0"/>
          <w:numId w:val="157"/>
        </w:numPr>
        <w:autoSpaceDE w:val="0"/>
        <w:autoSpaceDN w:val="0"/>
        <w:adjustRightInd w:val="0"/>
        <w:spacing w:after="0" w:line="240" w:lineRule="auto"/>
        <w:jc w:val="both"/>
        <w:rPr>
          <w:rFonts w:ascii="Times New Roman" w:eastAsia="Calibri" w:hAnsi="Times New Roman"/>
          <w:sz w:val="20"/>
          <w:szCs w:val="20"/>
        </w:rPr>
      </w:pPr>
      <w:r w:rsidRPr="000860EB">
        <w:rPr>
          <w:rFonts w:ascii="Times New Roman" w:eastAsia="Calibri" w:hAnsi="Times New Roman"/>
          <w:sz w:val="20"/>
          <w:szCs w:val="20"/>
        </w:rPr>
        <w:lastRenderedPageBreak/>
        <w:t xml:space="preserve">As on the date of this Draft </w:t>
      </w:r>
      <w:r w:rsidRPr="000860EB">
        <w:rPr>
          <w:rFonts w:ascii="Times New Roman" w:hAnsi="Times New Roman"/>
          <w:sz w:val="20"/>
          <w:szCs w:val="20"/>
        </w:rPr>
        <w:t xml:space="preserve">Red Herring </w:t>
      </w:r>
      <w:r w:rsidRPr="000860EB">
        <w:rPr>
          <w:rFonts w:ascii="Times New Roman" w:eastAsia="Calibri" w:hAnsi="Times New Roman"/>
          <w:sz w:val="20"/>
          <w:szCs w:val="20"/>
        </w:rPr>
        <w:t>Prospectus, none of the shares held by our Promoters/ Promoter Group are subject to any pledge.</w:t>
      </w:r>
    </w:p>
    <w:p w14:paraId="1C0479BF" w14:textId="77777777" w:rsidR="003A7C1B" w:rsidRPr="000860EB" w:rsidRDefault="003A7C1B" w:rsidP="003A7C1B">
      <w:pPr>
        <w:autoSpaceDE w:val="0"/>
        <w:autoSpaceDN w:val="0"/>
        <w:adjustRightInd w:val="0"/>
        <w:spacing w:after="0" w:line="240" w:lineRule="auto"/>
        <w:ind w:left="360"/>
        <w:jc w:val="both"/>
        <w:rPr>
          <w:rFonts w:ascii="Times New Roman" w:eastAsia="Calibri" w:hAnsi="Times New Roman"/>
          <w:sz w:val="20"/>
          <w:szCs w:val="20"/>
        </w:rPr>
      </w:pPr>
    </w:p>
    <w:p w14:paraId="72BF648F" w14:textId="77777777" w:rsidR="003A7C1B" w:rsidRPr="000860EB" w:rsidRDefault="003A7C1B" w:rsidP="00F038BD">
      <w:pPr>
        <w:numPr>
          <w:ilvl w:val="0"/>
          <w:numId w:val="157"/>
        </w:numPr>
        <w:autoSpaceDE w:val="0"/>
        <w:autoSpaceDN w:val="0"/>
        <w:adjustRightInd w:val="0"/>
        <w:spacing w:after="0" w:line="240" w:lineRule="auto"/>
        <w:jc w:val="both"/>
        <w:rPr>
          <w:rFonts w:ascii="Times New Roman" w:eastAsia="Calibri" w:hAnsi="Times New Roman"/>
          <w:sz w:val="20"/>
          <w:szCs w:val="20"/>
        </w:rPr>
      </w:pPr>
      <w:r w:rsidRPr="000860EB">
        <w:rPr>
          <w:rFonts w:ascii="Times New Roman" w:eastAsia="Calibri" w:hAnsi="Times New Roman"/>
          <w:sz w:val="20"/>
          <w:szCs w:val="20"/>
        </w:rPr>
        <w:t xml:space="preserve">We here by confirm that there will be no further issue of capital whether by way of issue of bonus shares, preferential allotment, rights issue or in any other manner during the period commencing from the date of the Draft </w:t>
      </w:r>
      <w:r w:rsidRPr="000860EB">
        <w:rPr>
          <w:rFonts w:ascii="Times New Roman" w:hAnsi="Times New Roman"/>
          <w:sz w:val="20"/>
          <w:szCs w:val="20"/>
        </w:rPr>
        <w:t xml:space="preserve">Red Herring </w:t>
      </w:r>
      <w:r w:rsidRPr="000860EB">
        <w:rPr>
          <w:rFonts w:ascii="Times New Roman" w:eastAsia="Calibri" w:hAnsi="Times New Roman"/>
          <w:sz w:val="20"/>
          <w:szCs w:val="20"/>
        </w:rPr>
        <w:t>Prospectus until the Equity Shares offered have been listed or application money unblocked on account of failure of Issue.</w:t>
      </w:r>
    </w:p>
    <w:p w14:paraId="3381A96D" w14:textId="77777777" w:rsidR="003A7C1B" w:rsidRPr="000860EB" w:rsidRDefault="003A7C1B" w:rsidP="003A7C1B">
      <w:pPr>
        <w:autoSpaceDE w:val="0"/>
        <w:autoSpaceDN w:val="0"/>
        <w:adjustRightInd w:val="0"/>
        <w:spacing w:after="0" w:line="240" w:lineRule="auto"/>
        <w:ind w:left="360"/>
        <w:jc w:val="both"/>
        <w:rPr>
          <w:rFonts w:ascii="Times New Roman" w:eastAsia="Calibri" w:hAnsi="Times New Roman"/>
          <w:sz w:val="20"/>
          <w:szCs w:val="20"/>
        </w:rPr>
      </w:pPr>
    </w:p>
    <w:p w14:paraId="104D8E98" w14:textId="77777777" w:rsidR="003A7C1B" w:rsidRPr="00F94A12" w:rsidRDefault="003A7C1B" w:rsidP="00F038BD">
      <w:pPr>
        <w:numPr>
          <w:ilvl w:val="0"/>
          <w:numId w:val="157"/>
        </w:numPr>
        <w:autoSpaceDE w:val="0"/>
        <w:autoSpaceDN w:val="0"/>
        <w:adjustRightInd w:val="0"/>
        <w:spacing w:after="0" w:line="240" w:lineRule="auto"/>
        <w:jc w:val="both"/>
        <w:rPr>
          <w:rFonts w:ascii="Times New Roman" w:eastAsia="Calibri" w:hAnsi="Times New Roman"/>
          <w:sz w:val="20"/>
          <w:szCs w:val="20"/>
        </w:rPr>
      </w:pPr>
      <w:r w:rsidRPr="00F94A12">
        <w:rPr>
          <w:rFonts w:ascii="Times New Roman" w:eastAsia="Calibri" w:hAnsi="Times New Roman"/>
          <w:sz w:val="20"/>
          <w:szCs w:val="20"/>
        </w:rPr>
        <w:t>An over-subscription to the extent of 1% of the Issue, subject to the maximum post issue paid up capital of ₹ 25 Cr., can be retained for the purpose of rounding off to the nearest integer during finalizing the allotment, subject to minimum allotment, which is the minimum application size in this Issue. Consequently, the actual allotment may go up by a maximum of 1% of the Issue, as a result of which, the post-issue paid up capital after the Issue would also increase by the excess amount of allotment so made. In such an event, the Equity Shares held by the Promoter and subject to 3-year lock- in shall be suitably increased; so as to ensure that 20% of the post Issue paid-up capital is</w:t>
      </w:r>
      <w:r>
        <w:rPr>
          <w:rFonts w:ascii="Times New Roman" w:eastAsia="Calibri" w:hAnsi="Times New Roman"/>
          <w:sz w:val="20"/>
          <w:szCs w:val="20"/>
        </w:rPr>
        <w:t xml:space="preserve"> </w:t>
      </w:r>
      <w:r w:rsidRPr="00F94A12">
        <w:rPr>
          <w:rFonts w:ascii="Times New Roman" w:eastAsia="Calibri" w:hAnsi="Times New Roman"/>
          <w:sz w:val="20"/>
          <w:szCs w:val="20"/>
        </w:rPr>
        <w:t>locked in.</w:t>
      </w:r>
    </w:p>
    <w:p w14:paraId="0A642873" w14:textId="77777777" w:rsidR="003A7C1B" w:rsidRPr="000860EB" w:rsidRDefault="003A7C1B" w:rsidP="003A7C1B">
      <w:pPr>
        <w:autoSpaceDE w:val="0"/>
        <w:autoSpaceDN w:val="0"/>
        <w:adjustRightInd w:val="0"/>
        <w:spacing w:after="0" w:line="240" w:lineRule="auto"/>
        <w:ind w:left="360"/>
        <w:jc w:val="both"/>
        <w:rPr>
          <w:rFonts w:ascii="Times New Roman" w:eastAsia="Calibri" w:hAnsi="Times New Roman"/>
          <w:sz w:val="20"/>
          <w:szCs w:val="20"/>
        </w:rPr>
      </w:pPr>
    </w:p>
    <w:p w14:paraId="3F708557" w14:textId="77777777" w:rsidR="003A7C1B" w:rsidRPr="000860EB" w:rsidRDefault="003A7C1B" w:rsidP="00F038BD">
      <w:pPr>
        <w:numPr>
          <w:ilvl w:val="0"/>
          <w:numId w:val="157"/>
        </w:numPr>
        <w:autoSpaceDE w:val="0"/>
        <w:autoSpaceDN w:val="0"/>
        <w:adjustRightInd w:val="0"/>
        <w:spacing w:after="0" w:line="240" w:lineRule="auto"/>
        <w:jc w:val="both"/>
        <w:rPr>
          <w:rFonts w:ascii="Times New Roman" w:eastAsia="Calibri" w:hAnsi="Times New Roman"/>
          <w:color w:val="000000"/>
          <w:sz w:val="20"/>
          <w:szCs w:val="20"/>
        </w:rPr>
      </w:pPr>
      <w:r w:rsidRPr="000860EB">
        <w:rPr>
          <w:rFonts w:ascii="Times New Roman" w:eastAsia="Calibri" w:hAnsi="Times New Roman"/>
          <w:color w:val="000000"/>
          <w:sz w:val="20"/>
          <w:szCs w:val="20"/>
        </w:rPr>
        <w:t xml:space="preserve">At any given point of time there shall be only one denomination of the Equity Shares, unless otherwise permitted by law. </w:t>
      </w:r>
    </w:p>
    <w:p w14:paraId="5AB831F8" w14:textId="77777777" w:rsidR="003A7C1B" w:rsidRPr="000860EB" w:rsidRDefault="003A7C1B" w:rsidP="003A7C1B">
      <w:pPr>
        <w:autoSpaceDE w:val="0"/>
        <w:autoSpaceDN w:val="0"/>
        <w:adjustRightInd w:val="0"/>
        <w:spacing w:after="0" w:line="240" w:lineRule="auto"/>
        <w:ind w:left="360"/>
        <w:jc w:val="both"/>
        <w:rPr>
          <w:rFonts w:ascii="Times New Roman" w:eastAsia="Calibri" w:hAnsi="Times New Roman"/>
          <w:color w:val="000000"/>
          <w:sz w:val="20"/>
          <w:szCs w:val="20"/>
        </w:rPr>
      </w:pPr>
    </w:p>
    <w:p w14:paraId="6761EF5A" w14:textId="77777777" w:rsidR="003A7C1B" w:rsidRPr="000860EB" w:rsidRDefault="003A7C1B" w:rsidP="00F038BD">
      <w:pPr>
        <w:numPr>
          <w:ilvl w:val="0"/>
          <w:numId w:val="157"/>
        </w:numPr>
        <w:autoSpaceDE w:val="0"/>
        <w:autoSpaceDN w:val="0"/>
        <w:adjustRightInd w:val="0"/>
        <w:spacing w:after="0" w:line="240" w:lineRule="auto"/>
        <w:jc w:val="both"/>
        <w:rPr>
          <w:rFonts w:ascii="Times New Roman" w:eastAsia="Calibri" w:hAnsi="Times New Roman"/>
          <w:color w:val="000000"/>
          <w:sz w:val="20"/>
          <w:szCs w:val="20"/>
        </w:rPr>
      </w:pPr>
      <w:r w:rsidRPr="000860EB">
        <w:rPr>
          <w:rFonts w:ascii="Times New Roman" w:eastAsia="Calibri" w:hAnsi="Times New Roman"/>
          <w:color w:val="000000"/>
          <w:sz w:val="20"/>
          <w:szCs w:val="20"/>
        </w:rPr>
        <w:t>Our Company shall comply with such disclosure and accounting norms as may be specified by BSE, SEBI and other regulatory authorities from time to time.</w:t>
      </w:r>
    </w:p>
    <w:p w14:paraId="33283DFE" w14:textId="77777777" w:rsidR="003A7C1B" w:rsidRPr="000860EB" w:rsidRDefault="003A7C1B" w:rsidP="003A7C1B">
      <w:pPr>
        <w:autoSpaceDE w:val="0"/>
        <w:autoSpaceDN w:val="0"/>
        <w:adjustRightInd w:val="0"/>
        <w:spacing w:after="0" w:line="240" w:lineRule="auto"/>
        <w:ind w:left="360"/>
        <w:jc w:val="both"/>
        <w:rPr>
          <w:rFonts w:ascii="Times New Roman" w:eastAsia="Calibri" w:hAnsi="Times New Roman"/>
          <w:color w:val="000000"/>
          <w:sz w:val="20"/>
          <w:szCs w:val="20"/>
        </w:rPr>
      </w:pPr>
    </w:p>
    <w:p w14:paraId="29DEFB23" w14:textId="77777777" w:rsidR="003A7C1B" w:rsidRPr="000860EB" w:rsidRDefault="003A7C1B" w:rsidP="00F038BD">
      <w:pPr>
        <w:numPr>
          <w:ilvl w:val="0"/>
          <w:numId w:val="157"/>
        </w:numPr>
        <w:autoSpaceDE w:val="0"/>
        <w:autoSpaceDN w:val="0"/>
        <w:adjustRightInd w:val="0"/>
        <w:spacing w:after="0" w:line="240" w:lineRule="auto"/>
        <w:jc w:val="both"/>
        <w:rPr>
          <w:rFonts w:ascii="Times New Roman" w:eastAsia="Calibri" w:hAnsi="Times New Roman"/>
          <w:color w:val="000000"/>
          <w:sz w:val="20"/>
          <w:szCs w:val="20"/>
        </w:rPr>
      </w:pPr>
      <w:r w:rsidRPr="000860EB">
        <w:rPr>
          <w:rFonts w:ascii="Times New Roman" w:eastAsia="Calibri" w:hAnsi="Times New Roman"/>
          <w:color w:val="000000"/>
          <w:sz w:val="20"/>
          <w:szCs w:val="20"/>
        </w:rPr>
        <w:t>There are no Equity Shares against which depository receipts have been issued.</w:t>
      </w:r>
    </w:p>
    <w:p w14:paraId="6A553A97" w14:textId="77777777" w:rsidR="003A7C1B" w:rsidRPr="000860EB" w:rsidRDefault="003A7C1B" w:rsidP="003A7C1B">
      <w:pPr>
        <w:autoSpaceDE w:val="0"/>
        <w:autoSpaceDN w:val="0"/>
        <w:adjustRightInd w:val="0"/>
        <w:spacing w:after="0" w:line="240" w:lineRule="auto"/>
        <w:ind w:left="360"/>
        <w:jc w:val="both"/>
        <w:rPr>
          <w:rFonts w:ascii="Times New Roman" w:eastAsia="Calibri" w:hAnsi="Times New Roman"/>
          <w:color w:val="000000"/>
          <w:sz w:val="20"/>
          <w:szCs w:val="20"/>
        </w:rPr>
      </w:pPr>
    </w:p>
    <w:p w14:paraId="62B59AA1" w14:textId="77777777" w:rsidR="003A7C1B" w:rsidRPr="000860EB" w:rsidRDefault="003A7C1B" w:rsidP="00F038BD">
      <w:pPr>
        <w:numPr>
          <w:ilvl w:val="0"/>
          <w:numId w:val="157"/>
        </w:numPr>
        <w:autoSpaceDE w:val="0"/>
        <w:autoSpaceDN w:val="0"/>
        <w:adjustRightInd w:val="0"/>
        <w:spacing w:after="0" w:line="240" w:lineRule="auto"/>
        <w:jc w:val="both"/>
        <w:rPr>
          <w:rFonts w:ascii="Times New Roman" w:eastAsia="Calibri" w:hAnsi="Times New Roman"/>
          <w:color w:val="000000"/>
          <w:sz w:val="20"/>
          <w:szCs w:val="20"/>
        </w:rPr>
      </w:pPr>
      <w:r w:rsidRPr="000860EB">
        <w:rPr>
          <w:rFonts w:ascii="Times New Roman" w:eastAsia="Calibri" w:hAnsi="Times New Roman"/>
          <w:color w:val="000000"/>
          <w:sz w:val="20"/>
          <w:szCs w:val="20"/>
        </w:rPr>
        <w:t>Other than the Equity Shares, there is no other class of securities issued by our Company.</w:t>
      </w:r>
    </w:p>
    <w:p w14:paraId="6BFA0247" w14:textId="77777777" w:rsidR="003A7C1B" w:rsidRPr="000860EB" w:rsidRDefault="003A7C1B" w:rsidP="003A7C1B">
      <w:pPr>
        <w:autoSpaceDE w:val="0"/>
        <w:autoSpaceDN w:val="0"/>
        <w:adjustRightInd w:val="0"/>
        <w:spacing w:after="0" w:line="240" w:lineRule="auto"/>
        <w:ind w:left="360"/>
        <w:jc w:val="both"/>
        <w:rPr>
          <w:rFonts w:ascii="Times New Roman" w:eastAsia="Calibri" w:hAnsi="Times New Roman"/>
          <w:color w:val="000000"/>
          <w:sz w:val="20"/>
          <w:szCs w:val="20"/>
        </w:rPr>
      </w:pPr>
    </w:p>
    <w:p w14:paraId="71365E4B" w14:textId="77777777" w:rsidR="003A7C1B" w:rsidRPr="000860EB" w:rsidRDefault="003A7C1B" w:rsidP="00F038BD">
      <w:pPr>
        <w:numPr>
          <w:ilvl w:val="0"/>
          <w:numId w:val="157"/>
        </w:numPr>
        <w:autoSpaceDE w:val="0"/>
        <w:autoSpaceDN w:val="0"/>
        <w:adjustRightInd w:val="0"/>
        <w:spacing w:after="0" w:line="240" w:lineRule="auto"/>
        <w:jc w:val="both"/>
        <w:rPr>
          <w:rFonts w:ascii="Times New Roman" w:eastAsia="Calibri" w:hAnsi="Times New Roman"/>
          <w:color w:val="000000"/>
          <w:sz w:val="20"/>
          <w:szCs w:val="20"/>
        </w:rPr>
      </w:pPr>
      <w:r w:rsidRPr="000860EB">
        <w:rPr>
          <w:rFonts w:ascii="Times New Roman" w:eastAsia="Calibri" w:hAnsi="Times New Roman"/>
          <w:color w:val="000000"/>
          <w:sz w:val="20"/>
          <w:szCs w:val="20"/>
        </w:rPr>
        <w:t>There are no safety net arrangements for this public issue.</w:t>
      </w:r>
    </w:p>
    <w:p w14:paraId="4DCC50DE" w14:textId="77777777" w:rsidR="003A7C1B" w:rsidRPr="000860EB" w:rsidRDefault="003A7C1B" w:rsidP="003A7C1B">
      <w:pPr>
        <w:autoSpaceDE w:val="0"/>
        <w:autoSpaceDN w:val="0"/>
        <w:adjustRightInd w:val="0"/>
        <w:spacing w:after="0" w:line="240" w:lineRule="auto"/>
        <w:ind w:left="360"/>
        <w:jc w:val="both"/>
        <w:rPr>
          <w:rFonts w:ascii="Times New Roman" w:eastAsia="Calibri" w:hAnsi="Times New Roman"/>
          <w:color w:val="000000"/>
          <w:sz w:val="20"/>
          <w:szCs w:val="20"/>
        </w:rPr>
      </w:pPr>
    </w:p>
    <w:p w14:paraId="32472499" w14:textId="77777777" w:rsidR="003A7C1B" w:rsidRPr="000860EB" w:rsidRDefault="003A7C1B" w:rsidP="00F038BD">
      <w:pPr>
        <w:numPr>
          <w:ilvl w:val="0"/>
          <w:numId w:val="157"/>
        </w:numPr>
        <w:autoSpaceDE w:val="0"/>
        <w:autoSpaceDN w:val="0"/>
        <w:adjustRightInd w:val="0"/>
        <w:spacing w:after="0" w:line="240" w:lineRule="auto"/>
        <w:jc w:val="both"/>
        <w:rPr>
          <w:rFonts w:ascii="Times New Roman" w:eastAsia="Calibri" w:hAnsi="Times New Roman"/>
          <w:color w:val="000000"/>
          <w:sz w:val="20"/>
          <w:szCs w:val="20"/>
        </w:rPr>
      </w:pPr>
      <w:r w:rsidRPr="000860EB">
        <w:rPr>
          <w:rFonts w:ascii="Times New Roman" w:eastAsia="Calibri" w:hAnsi="Times New Roman"/>
          <w:color w:val="000000"/>
          <w:sz w:val="20"/>
          <w:szCs w:val="20"/>
        </w:rPr>
        <w:t>As per RBI regulations, OCBs are not allowed to participate in this issue.</w:t>
      </w:r>
    </w:p>
    <w:p w14:paraId="6E53D427" w14:textId="77777777" w:rsidR="003A7C1B" w:rsidRPr="000860EB" w:rsidRDefault="003A7C1B" w:rsidP="003A7C1B">
      <w:pPr>
        <w:autoSpaceDE w:val="0"/>
        <w:autoSpaceDN w:val="0"/>
        <w:adjustRightInd w:val="0"/>
        <w:spacing w:after="0" w:line="240" w:lineRule="auto"/>
        <w:ind w:left="360"/>
        <w:jc w:val="both"/>
        <w:rPr>
          <w:rFonts w:ascii="Times New Roman" w:eastAsia="Calibri" w:hAnsi="Times New Roman"/>
          <w:color w:val="000000"/>
          <w:sz w:val="20"/>
          <w:szCs w:val="20"/>
        </w:rPr>
      </w:pPr>
    </w:p>
    <w:p w14:paraId="20FEBC74" w14:textId="77777777" w:rsidR="003A7C1B" w:rsidRPr="000860EB" w:rsidRDefault="003A7C1B" w:rsidP="00F038BD">
      <w:pPr>
        <w:numPr>
          <w:ilvl w:val="0"/>
          <w:numId w:val="157"/>
        </w:numPr>
        <w:autoSpaceDE w:val="0"/>
        <w:autoSpaceDN w:val="0"/>
        <w:adjustRightInd w:val="0"/>
        <w:spacing w:after="0" w:line="240" w:lineRule="auto"/>
        <w:jc w:val="both"/>
        <w:rPr>
          <w:rFonts w:ascii="Times New Roman" w:eastAsia="Calibri" w:hAnsi="Times New Roman"/>
          <w:sz w:val="20"/>
          <w:szCs w:val="20"/>
        </w:rPr>
      </w:pPr>
      <w:r w:rsidRPr="000860EB">
        <w:rPr>
          <w:rFonts w:ascii="Times New Roman" w:eastAsia="Calibri" w:hAnsi="Times New Roman"/>
          <w:sz w:val="20"/>
          <w:szCs w:val="20"/>
        </w:rPr>
        <w:t>Our Promoters and Promoter Group will not participate in this Issue.</w:t>
      </w:r>
    </w:p>
    <w:p w14:paraId="67907159" w14:textId="77777777" w:rsidR="003A7C1B" w:rsidRPr="000860EB" w:rsidRDefault="003A7C1B" w:rsidP="003A7C1B">
      <w:pPr>
        <w:autoSpaceDE w:val="0"/>
        <w:autoSpaceDN w:val="0"/>
        <w:adjustRightInd w:val="0"/>
        <w:spacing w:after="0" w:line="240" w:lineRule="auto"/>
        <w:ind w:left="360"/>
        <w:jc w:val="both"/>
        <w:rPr>
          <w:rFonts w:ascii="Times New Roman" w:eastAsia="Calibri" w:hAnsi="Times New Roman"/>
          <w:color w:val="000000"/>
          <w:sz w:val="20"/>
          <w:szCs w:val="20"/>
        </w:rPr>
      </w:pPr>
    </w:p>
    <w:p w14:paraId="2B5960EA" w14:textId="77777777" w:rsidR="003A7C1B" w:rsidRPr="000860EB" w:rsidRDefault="003A7C1B" w:rsidP="00F038BD">
      <w:pPr>
        <w:numPr>
          <w:ilvl w:val="0"/>
          <w:numId w:val="157"/>
        </w:numPr>
        <w:autoSpaceDE w:val="0"/>
        <w:autoSpaceDN w:val="0"/>
        <w:adjustRightInd w:val="0"/>
        <w:spacing w:after="0" w:line="240" w:lineRule="auto"/>
        <w:jc w:val="both"/>
        <w:rPr>
          <w:rFonts w:ascii="Times New Roman" w:eastAsia="Calibri" w:hAnsi="Times New Roman"/>
          <w:color w:val="000000"/>
          <w:sz w:val="20"/>
          <w:szCs w:val="20"/>
        </w:rPr>
      </w:pPr>
      <w:r w:rsidRPr="000860EB">
        <w:rPr>
          <w:rFonts w:ascii="Times New Roman" w:eastAsia="Calibri" w:hAnsi="Times New Roman"/>
          <w:color w:val="000000"/>
          <w:sz w:val="20"/>
          <w:szCs w:val="20"/>
        </w:rPr>
        <w:t>This Issue is being made through Book Building Method.</w:t>
      </w:r>
    </w:p>
    <w:p w14:paraId="1EE7B4F8" w14:textId="77777777" w:rsidR="003A7C1B" w:rsidRPr="000860EB" w:rsidRDefault="003A7C1B" w:rsidP="003A7C1B">
      <w:pPr>
        <w:autoSpaceDE w:val="0"/>
        <w:autoSpaceDN w:val="0"/>
        <w:adjustRightInd w:val="0"/>
        <w:spacing w:after="0" w:line="240" w:lineRule="auto"/>
        <w:ind w:left="360"/>
        <w:jc w:val="both"/>
        <w:rPr>
          <w:rFonts w:ascii="Times New Roman" w:eastAsia="Calibri" w:hAnsi="Times New Roman"/>
          <w:color w:val="000000"/>
          <w:sz w:val="20"/>
          <w:szCs w:val="20"/>
        </w:rPr>
      </w:pPr>
    </w:p>
    <w:p w14:paraId="3A165E45" w14:textId="77777777" w:rsidR="003A7C1B" w:rsidRDefault="003A7C1B" w:rsidP="00F038BD">
      <w:pPr>
        <w:numPr>
          <w:ilvl w:val="0"/>
          <w:numId w:val="157"/>
        </w:numPr>
        <w:autoSpaceDE w:val="0"/>
        <w:autoSpaceDN w:val="0"/>
        <w:adjustRightInd w:val="0"/>
        <w:spacing w:after="0" w:line="240" w:lineRule="auto"/>
        <w:jc w:val="both"/>
        <w:rPr>
          <w:rFonts w:ascii="Times New Roman" w:eastAsia="Calibri" w:hAnsi="Times New Roman"/>
          <w:color w:val="000000"/>
          <w:sz w:val="20"/>
          <w:szCs w:val="20"/>
        </w:rPr>
      </w:pPr>
      <w:r w:rsidRPr="00F94A12">
        <w:rPr>
          <w:rFonts w:ascii="Times New Roman" w:eastAsia="Calibri" w:hAnsi="Times New Roman"/>
          <w:color w:val="000000"/>
          <w:sz w:val="20"/>
          <w:szCs w:val="20"/>
        </w:rPr>
        <w:t>Our Company has not made any public issue or rights issue of any kind or class of securities since its incorporation</w:t>
      </w:r>
      <w:r>
        <w:rPr>
          <w:rFonts w:ascii="Times New Roman" w:eastAsia="Calibri" w:hAnsi="Times New Roman"/>
          <w:color w:val="000000"/>
          <w:sz w:val="20"/>
          <w:szCs w:val="20"/>
        </w:rPr>
        <w:t>.</w:t>
      </w:r>
    </w:p>
    <w:p w14:paraId="072B3E2F" w14:textId="77777777" w:rsidR="003A7C1B" w:rsidRDefault="003A7C1B" w:rsidP="003A7C1B">
      <w:pPr>
        <w:autoSpaceDE w:val="0"/>
        <w:autoSpaceDN w:val="0"/>
        <w:adjustRightInd w:val="0"/>
        <w:spacing w:after="0" w:line="240" w:lineRule="auto"/>
        <w:ind w:left="360"/>
        <w:jc w:val="both"/>
        <w:rPr>
          <w:rFonts w:ascii="Times New Roman" w:eastAsia="Calibri" w:hAnsi="Times New Roman"/>
          <w:color w:val="000000"/>
          <w:sz w:val="20"/>
          <w:szCs w:val="20"/>
        </w:rPr>
      </w:pPr>
    </w:p>
    <w:p w14:paraId="20FD3EA2" w14:textId="77777777" w:rsidR="003A7C1B" w:rsidRPr="000860EB" w:rsidRDefault="003A7C1B" w:rsidP="00F038BD">
      <w:pPr>
        <w:numPr>
          <w:ilvl w:val="0"/>
          <w:numId w:val="157"/>
        </w:numPr>
        <w:autoSpaceDE w:val="0"/>
        <w:autoSpaceDN w:val="0"/>
        <w:adjustRightInd w:val="0"/>
        <w:spacing w:after="0" w:line="240" w:lineRule="auto"/>
        <w:jc w:val="both"/>
        <w:rPr>
          <w:rFonts w:ascii="Times New Roman" w:eastAsia="Calibri" w:hAnsi="Times New Roman"/>
          <w:color w:val="000000"/>
          <w:sz w:val="20"/>
          <w:szCs w:val="20"/>
        </w:rPr>
      </w:pPr>
      <w:r>
        <w:rPr>
          <w:rFonts w:ascii="Times New Roman" w:eastAsia="Calibri" w:hAnsi="Times New Roman"/>
          <w:color w:val="000000"/>
          <w:sz w:val="20"/>
          <w:szCs w:val="20"/>
        </w:rPr>
        <w:t xml:space="preserve"> </w:t>
      </w:r>
      <w:r w:rsidRPr="000860EB">
        <w:rPr>
          <w:rFonts w:ascii="Times New Roman" w:eastAsia="Calibri" w:hAnsi="Times New Roman"/>
          <w:color w:val="000000"/>
          <w:sz w:val="20"/>
          <w:szCs w:val="20"/>
        </w:rPr>
        <w:t>In terms of Rule 19(2)(b)(i) of the Securities Contracts (Regulation) Rules, 1957, as amended, (the SCRR) the Issue is being made for at least 25% of the post-issue paid-up Equity Share capital of our Company. Further, this Issue is being made in terms of Chapter IX of the SEBI (ICDR) Regulations, 2018, as amended from time to time.</w:t>
      </w:r>
    </w:p>
    <w:p w14:paraId="2E58911D" w14:textId="77777777" w:rsidR="003A7C1B" w:rsidRPr="000860EB" w:rsidRDefault="003A7C1B" w:rsidP="003A7C1B">
      <w:pPr>
        <w:autoSpaceDE w:val="0"/>
        <w:autoSpaceDN w:val="0"/>
        <w:adjustRightInd w:val="0"/>
        <w:spacing w:after="0" w:line="240" w:lineRule="auto"/>
        <w:ind w:left="360"/>
        <w:jc w:val="both"/>
        <w:rPr>
          <w:rFonts w:ascii="Times New Roman" w:eastAsia="Calibri" w:hAnsi="Times New Roman"/>
          <w:color w:val="000000"/>
          <w:sz w:val="20"/>
          <w:szCs w:val="20"/>
        </w:rPr>
      </w:pPr>
    </w:p>
    <w:p w14:paraId="16C3CB39" w14:textId="77777777" w:rsidR="003A7C1B" w:rsidRPr="000860EB" w:rsidRDefault="003A7C1B" w:rsidP="00F038BD">
      <w:pPr>
        <w:numPr>
          <w:ilvl w:val="0"/>
          <w:numId w:val="157"/>
        </w:numPr>
        <w:autoSpaceDE w:val="0"/>
        <w:autoSpaceDN w:val="0"/>
        <w:adjustRightInd w:val="0"/>
        <w:spacing w:after="0" w:line="240" w:lineRule="auto"/>
        <w:jc w:val="both"/>
        <w:rPr>
          <w:rFonts w:ascii="Times New Roman" w:eastAsia="Calibri" w:hAnsi="Times New Roman"/>
          <w:color w:val="000000"/>
          <w:sz w:val="20"/>
          <w:szCs w:val="20"/>
        </w:rPr>
      </w:pPr>
      <w:r w:rsidRPr="000860EB">
        <w:rPr>
          <w:rFonts w:ascii="Times New Roman" w:eastAsia="Calibri" w:hAnsi="Times New Roman"/>
          <w:color w:val="000000"/>
          <w:sz w:val="20"/>
          <w:szCs w:val="20"/>
        </w:rPr>
        <w:t>No person connected with the Issue shall offer any incentive, whether direct or indirect, in the nature of discount, commission, and allowance, or otherwise, whether in cash, kind, services or otherwise, to any Applicant.</w:t>
      </w:r>
    </w:p>
    <w:p w14:paraId="7057FA55" w14:textId="77777777" w:rsidR="003A7C1B" w:rsidRPr="000860EB" w:rsidRDefault="003A7C1B" w:rsidP="003A7C1B">
      <w:pPr>
        <w:autoSpaceDE w:val="0"/>
        <w:autoSpaceDN w:val="0"/>
        <w:adjustRightInd w:val="0"/>
        <w:spacing w:after="0" w:line="240" w:lineRule="auto"/>
        <w:ind w:left="360"/>
        <w:jc w:val="both"/>
        <w:rPr>
          <w:rFonts w:ascii="Times New Roman" w:eastAsia="Calibri" w:hAnsi="Times New Roman"/>
          <w:color w:val="000000"/>
          <w:sz w:val="20"/>
          <w:szCs w:val="20"/>
        </w:rPr>
      </w:pPr>
    </w:p>
    <w:p w14:paraId="42FD48E0" w14:textId="4A704B59" w:rsidR="003A7C1B" w:rsidRDefault="003A7C1B" w:rsidP="003A7C1B">
      <w:pPr>
        <w:spacing w:after="0" w:line="240" w:lineRule="auto"/>
        <w:ind w:left="360"/>
        <w:jc w:val="both"/>
        <w:rPr>
          <w:rFonts w:ascii="Times New Roman" w:eastAsia="Calibri" w:hAnsi="Times New Roman"/>
          <w:color w:val="000000"/>
          <w:sz w:val="20"/>
          <w:szCs w:val="20"/>
        </w:rPr>
      </w:pPr>
      <w:r w:rsidRPr="000860EB">
        <w:rPr>
          <w:rFonts w:ascii="Times New Roman" w:eastAsia="Calibri" w:hAnsi="Times New Roman"/>
          <w:color w:val="000000"/>
          <w:sz w:val="20"/>
          <w:szCs w:val="20"/>
        </w:rPr>
        <w:t xml:space="preserve">We shall ensure that transactions in Equity Shares by the Promoters and members of the Promoter Group, if any, between the date of filing the Prospectus with the Registrar of companies and the </w:t>
      </w:r>
      <w:r w:rsidRPr="000860EB">
        <w:rPr>
          <w:rFonts w:ascii="Times New Roman" w:hAnsi="Times New Roman"/>
          <w:sz w:val="20"/>
          <w:szCs w:val="20"/>
        </w:rPr>
        <w:t>Bid/</w:t>
      </w:r>
      <w:r w:rsidRPr="000860EB">
        <w:rPr>
          <w:rFonts w:ascii="Times New Roman" w:eastAsia="Calibri" w:hAnsi="Times New Roman"/>
          <w:color w:val="000000"/>
          <w:sz w:val="20"/>
          <w:szCs w:val="20"/>
        </w:rPr>
        <w:t>Issue Closing Date are reported to the Stock Exchanges within 24 hours of such transactions being completed.</w:t>
      </w:r>
    </w:p>
    <w:p w14:paraId="5107632F" w14:textId="77777777" w:rsidR="003A7C1B" w:rsidRDefault="003A7C1B">
      <w:pPr>
        <w:spacing w:after="160" w:line="259" w:lineRule="auto"/>
        <w:rPr>
          <w:rFonts w:ascii="Times New Roman" w:eastAsia="Calibri" w:hAnsi="Times New Roman"/>
          <w:color w:val="000000"/>
          <w:sz w:val="20"/>
          <w:szCs w:val="20"/>
        </w:rPr>
      </w:pPr>
      <w:r>
        <w:rPr>
          <w:rFonts w:ascii="Times New Roman" w:eastAsia="Calibri" w:hAnsi="Times New Roman"/>
          <w:color w:val="000000"/>
          <w:sz w:val="20"/>
          <w:szCs w:val="20"/>
        </w:rPr>
        <w:br w:type="page"/>
      </w:r>
    </w:p>
    <w:p w14:paraId="2374D15A" w14:textId="77777777" w:rsidR="003A7C1B" w:rsidRPr="00712F3C" w:rsidRDefault="003A7C1B" w:rsidP="003A7C1B">
      <w:pPr>
        <w:spacing w:after="0" w:line="240" w:lineRule="auto"/>
        <w:jc w:val="center"/>
        <w:rPr>
          <w:rFonts w:ascii="Times New Roman" w:hAnsi="Times New Roman"/>
          <w:b/>
          <w:bCs/>
          <w:sz w:val="20"/>
          <w:szCs w:val="20"/>
          <w:u w:val="single"/>
        </w:rPr>
      </w:pPr>
      <w:r w:rsidRPr="00712F3C">
        <w:rPr>
          <w:rFonts w:ascii="Times New Roman" w:hAnsi="Times New Roman"/>
          <w:b/>
          <w:bCs/>
          <w:sz w:val="20"/>
          <w:szCs w:val="20"/>
          <w:u w:val="single"/>
        </w:rPr>
        <w:lastRenderedPageBreak/>
        <w:t>OBJECTS OF THE ISSUE</w:t>
      </w:r>
    </w:p>
    <w:p w14:paraId="539023EA" w14:textId="77777777" w:rsidR="003A7C1B" w:rsidRPr="00712F3C" w:rsidRDefault="003A7C1B" w:rsidP="003A7C1B">
      <w:pPr>
        <w:spacing w:after="0" w:line="240" w:lineRule="auto"/>
        <w:jc w:val="center"/>
        <w:rPr>
          <w:rFonts w:ascii="Times New Roman" w:hAnsi="Times New Roman"/>
          <w:b/>
          <w:bCs/>
          <w:sz w:val="20"/>
          <w:szCs w:val="20"/>
        </w:rPr>
      </w:pPr>
    </w:p>
    <w:p w14:paraId="3B9EFFD2"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sz w:val="20"/>
          <w:szCs w:val="20"/>
          <w:lang w:val="en-IN" w:eastAsia="en-IN"/>
        </w:rPr>
      </w:pPr>
      <w:r w:rsidRPr="001A423D">
        <w:rPr>
          <w:rFonts w:ascii="Times New Roman" w:eastAsia="Calibri" w:hAnsi="Times New Roman"/>
          <w:sz w:val="20"/>
          <w:szCs w:val="20"/>
          <w:lang w:val="en-IN" w:eastAsia="en-IN"/>
        </w:rPr>
        <w:t xml:space="preserve">The Issue includes a fresh Issue of up to </w:t>
      </w:r>
      <w:r>
        <w:rPr>
          <w:rFonts w:ascii="Times New Roman" w:eastAsia="Calibri" w:hAnsi="Times New Roman"/>
          <w:sz w:val="20"/>
          <w:szCs w:val="20"/>
          <w:lang w:val="en-IN" w:eastAsia="en-IN"/>
        </w:rPr>
        <w:t>49</w:t>
      </w:r>
      <w:r w:rsidRPr="001A423D">
        <w:rPr>
          <w:rFonts w:ascii="Times New Roman" w:eastAsia="Calibri" w:hAnsi="Times New Roman"/>
          <w:sz w:val="20"/>
          <w:szCs w:val="20"/>
          <w:lang w:val="en-IN" w:eastAsia="en-IN"/>
        </w:rPr>
        <w:t>,</w:t>
      </w:r>
      <w:r>
        <w:rPr>
          <w:rFonts w:ascii="Times New Roman" w:eastAsia="Calibri" w:hAnsi="Times New Roman"/>
          <w:sz w:val="20"/>
          <w:szCs w:val="20"/>
          <w:lang w:val="en-IN" w:eastAsia="en-IN"/>
        </w:rPr>
        <w:t>92</w:t>
      </w:r>
      <w:r w:rsidRPr="001A423D">
        <w:rPr>
          <w:rFonts w:ascii="Times New Roman" w:eastAsia="Calibri" w:hAnsi="Times New Roman"/>
          <w:sz w:val="20"/>
          <w:szCs w:val="20"/>
          <w:lang w:val="en-IN" w:eastAsia="en-IN"/>
        </w:rPr>
        <w:t xml:space="preserve">,000 Equity Shares of our Company at an Issue Price of ₹ </w:t>
      </w:r>
      <w:r w:rsidRPr="001A423D">
        <w:rPr>
          <w:rFonts w:ascii="Times New Roman" w:eastAsia="Calibri" w:hAnsi="Times New Roman"/>
          <w:bCs/>
          <w:color w:val="000000"/>
          <w:sz w:val="20"/>
          <w:szCs w:val="20"/>
          <w:lang w:val="en-IN" w:eastAsia="en-IN" w:bidi="en-US"/>
        </w:rPr>
        <w:t>[●]</w:t>
      </w:r>
      <w:r w:rsidRPr="001A423D">
        <w:rPr>
          <w:rFonts w:ascii="Times New Roman" w:eastAsia="Calibri" w:hAnsi="Times New Roman"/>
          <w:sz w:val="20"/>
          <w:szCs w:val="20"/>
          <w:lang w:val="en-IN" w:eastAsia="en-IN"/>
        </w:rPr>
        <w:t xml:space="preserve"> per Equity Share. We intend to utilize the proceeds of the </w:t>
      </w:r>
      <w:r>
        <w:rPr>
          <w:rFonts w:ascii="Times New Roman" w:eastAsia="Calibri" w:hAnsi="Times New Roman"/>
          <w:sz w:val="20"/>
          <w:szCs w:val="20"/>
          <w:lang w:val="en-IN" w:eastAsia="en-IN"/>
        </w:rPr>
        <w:t>net i</w:t>
      </w:r>
      <w:r w:rsidRPr="001A423D">
        <w:rPr>
          <w:rFonts w:ascii="Times New Roman" w:eastAsia="Calibri" w:hAnsi="Times New Roman"/>
          <w:sz w:val="20"/>
          <w:szCs w:val="20"/>
          <w:lang w:val="en-IN" w:eastAsia="en-IN"/>
        </w:rPr>
        <w:t>ssue to meet the following objects:</w:t>
      </w:r>
    </w:p>
    <w:p w14:paraId="5DC8F0C8"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sz w:val="20"/>
          <w:szCs w:val="20"/>
          <w:lang w:val="en-IN" w:eastAsia="en-IN"/>
        </w:rPr>
      </w:pPr>
    </w:p>
    <w:p w14:paraId="00CA0C2A" w14:textId="77777777" w:rsidR="00CB2D76" w:rsidRPr="001A423D" w:rsidRDefault="00CB2D76" w:rsidP="00CB2D76">
      <w:pPr>
        <w:numPr>
          <w:ilvl w:val="0"/>
          <w:numId w:val="160"/>
        </w:numPr>
        <w:autoSpaceDE w:val="0"/>
        <w:autoSpaceDN w:val="0"/>
        <w:adjustRightInd w:val="0"/>
        <w:spacing w:after="0" w:line="240" w:lineRule="auto"/>
        <w:ind w:left="426" w:hanging="426"/>
        <w:jc w:val="both"/>
        <w:rPr>
          <w:rFonts w:ascii="Times New Roman" w:eastAsia="Calibri" w:hAnsi="Times New Roman"/>
          <w:sz w:val="20"/>
          <w:szCs w:val="20"/>
          <w:lang w:val="en-IN" w:eastAsia="en-IN"/>
        </w:rPr>
      </w:pPr>
      <w:r w:rsidRPr="001A423D">
        <w:rPr>
          <w:rFonts w:ascii="Times New Roman" w:eastAsia="Calibri" w:hAnsi="Times New Roman"/>
          <w:sz w:val="20"/>
          <w:szCs w:val="20"/>
          <w:lang w:val="en-IN" w:eastAsia="en-IN"/>
        </w:rPr>
        <w:t xml:space="preserve">Repayment of </w:t>
      </w:r>
      <w:r>
        <w:rPr>
          <w:rFonts w:ascii="Times New Roman" w:eastAsia="Calibri" w:hAnsi="Times New Roman"/>
          <w:sz w:val="20"/>
          <w:szCs w:val="20"/>
          <w:lang w:val="en-IN" w:eastAsia="en-IN"/>
        </w:rPr>
        <w:t xml:space="preserve">a portion of </w:t>
      </w:r>
      <w:r w:rsidRPr="001A423D">
        <w:rPr>
          <w:rFonts w:ascii="Times New Roman" w:eastAsia="Calibri" w:hAnsi="Times New Roman"/>
          <w:sz w:val="20"/>
          <w:szCs w:val="20"/>
          <w:lang w:val="en-IN" w:eastAsia="en-IN"/>
        </w:rPr>
        <w:t xml:space="preserve">certain borrowing availed by our Company </w:t>
      </w:r>
    </w:p>
    <w:p w14:paraId="62416320" w14:textId="77777777" w:rsidR="00CB2D76" w:rsidRPr="001A423D" w:rsidRDefault="00CB2D76" w:rsidP="00CB2D76">
      <w:pPr>
        <w:numPr>
          <w:ilvl w:val="0"/>
          <w:numId w:val="160"/>
        </w:numPr>
        <w:autoSpaceDE w:val="0"/>
        <w:autoSpaceDN w:val="0"/>
        <w:adjustRightInd w:val="0"/>
        <w:spacing w:after="0" w:line="240" w:lineRule="auto"/>
        <w:ind w:left="426" w:hanging="426"/>
        <w:jc w:val="both"/>
        <w:rPr>
          <w:rFonts w:ascii="Times New Roman" w:eastAsia="Calibri" w:hAnsi="Times New Roman"/>
          <w:sz w:val="20"/>
          <w:szCs w:val="20"/>
          <w:lang w:val="en-IN" w:eastAsia="en-IN"/>
        </w:rPr>
      </w:pPr>
      <w:r w:rsidRPr="001A423D">
        <w:rPr>
          <w:rFonts w:ascii="Times New Roman" w:eastAsia="Calibri" w:hAnsi="Times New Roman"/>
          <w:sz w:val="20"/>
          <w:szCs w:val="20"/>
          <w:lang w:val="en-IN" w:eastAsia="en-IN"/>
        </w:rPr>
        <w:t>General Corporate Purpose</w:t>
      </w:r>
    </w:p>
    <w:p w14:paraId="0184A17D"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sz w:val="20"/>
          <w:szCs w:val="20"/>
          <w:lang w:val="en-IN" w:eastAsia="en-IN"/>
        </w:rPr>
      </w:pPr>
    </w:p>
    <w:p w14:paraId="5833F5B3"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i/>
          <w:sz w:val="20"/>
          <w:szCs w:val="20"/>
          <w:lang w:val="en-IN" w:eastAsia="en-IN"/>
        </w:rPr>
      </w:pPr>
      <w:r w:rsidRPr="001A423D">
        <w:rPr>
          <w:rFonts w:ascii="Times New Roman" w:eastAsia="Calibri" w:hAnsi="Times New Roman"/>
          <w:i/>
          <w:sz w:val="20"/>
          <w:szCs w:val="20"/>
          <w:lang w:val="en-IN" w:eastAsia="en-IN"/>
        </w:rPr>
        <w:t>(Collectively referred as the “</w:t>
      </w:r>
      <w:r w:rsidRPr="001A423D">
        <w:rPr>
          <w:rFonts w:ascii="Times New Roman" w:eastAsia="Calibri" w:hAnsi="Times New Roman"/>
          <w:b/>
          <w:i/>
          <w:sz w:val="20"/>
          <w:szCs w:val="20"/>
          <w:lang w:val="en-IN" w:eastAsia="en-IN"/>
        </w:rPr>
        <w:t>Objects</w:t>
      </w:r>
      <w:r w:rsidRPr="001A423D">
        <w:rPr>
          <w:rFonts w:ascii="Times New Roman" w:eastAsia="Calibri" w:hAnsi="Times New Roman"/>
          <w:i/>
          <w:sz w:val="20"/>
          <w:szCs w:val="20"/>
          <w:lang w:val="en-IN" w:eastAsia="en-IN"/>
        </w:rPr>
        <w:t>”)</w:t>
      </w:r>
    </w:p>
    <w:p w14:paraId="5C65C432"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sz w:val="20"/>
          <w:szCs w:val="20"/>
          <w:lang w:val="en-IN" w:eastAsia="en-IN"/>
        </w:rPr>
      </w:pPr>
    </w:p>
    <w:p w14:paraId="4724943F"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sz w:val="20"/>
          <w:szCs w:val="20"/>
          <w:lang w:val="en-IN" w:eastAsia="en-IN"/>
        </w:rPr>
      </w:pPr>
      <w:r>
        <w:rPr>
          <w:rFonts w:ascii="Times New Roman" w:eastAsia="Calibri" w:hAnsi="Times New Roman"/>
          <w:sz w:val="20"/>
          <w:szCs w:val="20"/>
          <w:lang w:val="en-IN" w:eastAsia="en-IN"/>
        </w:rPr>
        <w:t>In addition, w</w:t>
      </w:r>
      <w:r w:rsidRPr="001A423D">
        <w:rPr>
          <w:rFonts w:ascii="Times New Roman" w:eastAsia="Calibri" w:hAnsi="Times New Roman"/>
          <w:sz w:val="20"/>
          <w:szCs w:val="20"/>
          <w:lang w:val="en-IN" w:eastAsia="en-IN"/>
        </w:rPr>
        <w:t xml:space="preserve">e believe that listing will enhance our corporate image and visibility of brand name of our Company. We also believe that our Company will receive the benefits from listing of Equity Shares on the BSE SME Platform. It will also provide liquidity to the existing shareholders and will also create a public trading market for the Equity Shares of our Company. </w:t>
      </w:r>
    </w:p>
    <w:p w14:paraId="615805CF"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sz w:val="20"/>
          <w:szCs w:val="20"/>
          <w:lang w:val="en-IN" w:eastAsia="en-IN"/>
        </w:rPr>
      </w:pPr>
    </w:p>
    <w:p w14:paraId="08E3B6A3"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sz w:val="20"/>
          <w:szCs w:val="20"/>
          <w:lang w:val="en-IN" w:eastAsia="en-IN"/>
        </w:rPr>
      </w:pPr>
      <w:r w:rsidRPr="001A423D">
        <w:rPr>
          <w:rFonts w:ascii="Times New Roman" w:eastAsia="Calibri" w:hAnsi="Times New Roman"/>
          <w:sz w:val="20"/>
          <w:szCs w:val="20"/>
          <w:lang w:val="en-IN" w:eastAsia="en-IN"/>
        </w:rPr>
        <w:t>The main objects clause of our Memorandum enables our Company to undertake its existing activities.</w:t>
      </w:r>
    </w:p>
    <w:p w14:paraId="22E235ED"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sz w:val="20"/>
          <w:szCs w:val="20"/>
          <w:lang w:val="en-IN" w:eastAsia="en-IN"/>
        </w:rPr>
      </w:pPr>
    </w:p>
    <w:p w14:paraId="5B3B8D1A"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b/>
          <w:sz w:val="20"/>
          <w:szCs w:val="20"/>
          <w:lang w:val="en-IN" w:eastAsia="en-IN"/>
        </w:rPr>
      </w:pPr>
      <w:r w:rsidRPr="001A423D">
        <w:rPr>
          <w:rFonts w:ascii="Times New Roman" w:eastAsia="Calibri" w:hAnsi="Times New Roman"/>
          <w:b/>
          <w:sz w:val="20"/>
          <w:szCs w:val="20"/>
          <w:lang w:val="en-IN" w:eastAsia="en-IN"/>
        </w:rPr>
        <w:t>Net Proceeds</w:t>
      </w:r>
    </w:p>
    <w:p w14:paraId="16A10DA4"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sz w:val="20"/>
          <w:szCs w:val="20"/>
          <w:lang w:val="en-IN" w:eastAsia="en-IN"/>
        </w:rPr>
      </w:pPr>
    </w:p>
    <w:p w14:paraId="3B951556"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sz w:val="20"/>
          <w:szCs w:val="20"/>
          <w:lang w:val="en-IN" w:eastAsia="en-IN"/>
        </w:rPr>
      </w:pPr>
      <w:r w:rsidRPr="001A423D">
        <w:rPr>
          <w:rFonts w:ascii="Times New Roman" w:eastAsia="Calibri" w:hAnsi="Times New Roman"/>
          <w:sz w:val="20"/>
          <w:szCs w:val="20"/>
          <w:lang w:val="en-IN" w:eastAsia="en-IN"/>
        </w:rPr>
        <w:t>The details of the Net Proceeds are set forth below:</w:t>
      </w:r>
    </w:p>
    <w:p w14:paraId="61604607"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sz w:val="20"/>
          <w:szCs w:val="20"/>
          <w:lang w:val="en-IN" w:eastAsia="en-I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9"/>
        <w:gridCol w:w="2187"/>
      </w:tblGrid>
      <w:tr w:rsidR="00CB2D76" w:rsidRPr="001A423D" w14:paraId="6B2DE8EC" w14:textId="77777777" w:rsidTr="00CB2D76">
        <w:trPr>
          <w:trHeight w:val="20"/>
        </w:trPr>
        <w:tc>
          <w:tcPr>
            <w:tcW w:w="3954" w:type="pct"/>
            <w:shd w:val="clear" w:color="auto" w:fill="D0CECE" w:themeFill="background2" w:themeFillShade="E6"/>
            <w:noWrap/>
            <w:hideMark/>
          </w:tcPr>
          <w:p w14:paraId="456B66D0" w14:textId="77777777" w:rsidR="00CB2D76" w:rsidRPr="001A423D" w:rsidRDefault="00CB2D76" w:rsidP="009C1E14">
            <w:pPr>
              <w:spacing w:after="0" w:line="240" w:lineRule="auto"/>
              <w:rPr>
                <w:rFonts w:ascii="Times New Roman" w:hAnsi="Times New Roman"/>
                <w:b/>
                <w:sz w:val="20"/>
                <w:szCs w:val="20"/>
              </w:rPr>
            </w:pPr>
            <w:r w:rsidRPr="001A423D">
              <w:rPr>
                <w:rFonts w:ascii="Times New Roman" w:hAnsi="Times New Roman"/>
                <w:b/>
                <w:sz w:val="20"/>
                <w:szCs w:val="20"/>
              </w:rPr>
              <w:t>Particulars</w:t>
            </w:r>
          </w:p>
        </w:tc>
        <w:tc>
          <w:tcPr>
            <w:tcW w:w="1046" w:type="pct"/>
            <w:shd w:val="clear" w:color="auto" w:fill="D0CECE" w:themeFill="background2" w:themeFillShade="E6"/>
            <w:noWrap/>
            <w:hideMark/>
          </w:tcPr>
          <w:p w14:paraId="44542576" w14:textId="77777777" w:rsidR="00CB2D76" w:rsidRPr="001A423D" w:rsidRDefault="00CB2D76" w:rsidP="009C1E14">
            <w:pPr>
              <w:spacing w:after="0" w:line="240" w:lineRule="auto"/>
              <w:jc w:val="center"/>
              <w:rPr>
                <w:rFonts w:ascii="Times New Roman" w:hAnsi="Times New Roman"/>
                <w:b/>
                <w:sz w:val="20"/>
                <w:szCs w:val="20"/>
              </w:rPr>
            </w:pPr>
            <w:r w:rsidRPr="001A423D">
              <w:rPr>
                <w:rFonts w:ascii="Times New Roman" w:hAnsi="Times New Roman"/>
                <w:b/>
                <w:sz w:val="20"/>
                <w:szCs w:val="20"/>
              </w:rPr>
              <w:t>Amount (</w:t>
            </w:r>
            <w:r w:rsidRPr="001A423D">
              <w:rPr>
                <w:rFonts w:ascii="Times New Roman" w:eastAsia="Calibri" w:hAnsi="Times New Roman"/>
                <w:b/>
                <w:color w:val="000000"/>
                <w:sz w:val="20"/>
                <w:szCs w:val="20"/>
              </w:rPr>
              <w:t>₹</w:t>
            </w:r>
            <w:r w:rsidRPr="001A423D">
              <w:rPr>
                <w:rFonts w:ascii="Times New Roman" w:eastAsia="Calibri" w:hAnsi="Times New Roman"/>
                <w:color w:val="000000"/>
                <w:sz w:val="20"/>
                <w:szCs w:val="20"/>
              </w:rPr>
              <w:t xml:space="preserve"> </w:t>
            </w:r>
            <w:r w:rsidRPr="001A423D">
              <w:rPr>
                <w:rFonts w:ascii="Times New Roman" w:hAnsi="Times New Roman"/>
                <w:b/>
                <w:sz w:val="20"/>
                <w:szCs w:val="20"/>
              </w:rPr>
              <w:t>in Lakhs)</w:t>
            </w:r>
          </w:p>
        </w:tc>
      </w:tr>
      <w:tr w:rsidR="00CB2D76" w:rsidRPr="001A423D" w14:paraId="42971675" w14:textId="77777777" w:rsidTr="009C1E14">
        <w:trPr>
          <w:trHeight w:val="20"/>
        </w:trPr>
        <w:tc>
          <w:tcPr>
            <w:tcW w:w="3954" w:type="pct"/>
            <w:shd w:val="clear" w:color="auto" w:fill="auto"/>
            <w:noWrap/>
            <w:hideMark/>
          </w:tcPr>
          <w:p w14:paraId="5B4D8365" w14:textId="77777777" w:rsidR="00CB2D76" w:rsidRPr="001A423D" w:rsidRDefault="00CB2D76" w:rsidP="009C1E14">
            <w:pPr>
              <w:spacing w:after="0" w:line="240" w:lineRule="auto"/>
              <w:contextualSpacing/>
              <w:jc w:val="both"/>
              <w:rPr>
                <w:rFonts w:ascii="Times New Roman" w:hAnsi="Times New Roman"/>
                <w:sz w:val="20"/>
                <w:szCs w:val="20"/>
              </w:rPr>
            </w:pPr>
            <w:r w:rsidRPr="001A423D">
              <w:rPr>
                <w:rFonts w:ascii="Times New Roman" w:hAnsi="Times New Roman"/>
                <w:sz w:val="20"/>
                <w:szCs w:val="20"/>
              </w:rPr>
              <w:t>Gross Proceeds of the Issue</w:t>
            </w:r>
          </w:p>
        </w:tc>
        <w:tc>
          <w:tcPr>
            <w:tcW w:w="1046" w:type="pct"/>
            <w:shd w:val="clear" w:color="auto" w:fill="auto"/>
            <w:noWrap/>
          </w:tcPr>
          <w:p w14:paraId="47B695A1" w14:textId="77777777" w:rsidR="00CB2D76" w:rsidRPr="001A423D" w:rsidRDefault="00CB2D76" w:rsidP="009C1E14">
            <w:pPr>
              <w:spacing w:after="0" w:line="240" w:lineRule="auto"/>
              <w:jc w:val="center"/>
              <w:rPr>
                <w:rFonts w:ascii="Times New Roman" w:hAnsi="Times New Roman"/>
                <w:sz w:val="20"/>
                <w:szCs w:val="20"/>
              </w:rPr>
            </w:pPr>
            <w:r w:rsidRPr="001A423D">
              <w:rPr>
                <w:rFonts w:ascii="Times New Roman" w:hAnsi="Times New Roman"/>
                <w:bCs/>
                <w:sz w:val="20"/>
                <w:szCs w:val="20"/>
                <w:lang w:bidi="en-US"/>
              </w:rPr>
              <w:t>[●]</w:t>
            </w:r>
          </w:p>
        </w:tc>
      </w:tr>
      <w:tr w:rsidR="00CB2D76" w:rsidRPr="001A423D" w14:paraId="5056070F" w14:textId="77777777" w:rsidTr="009C1E14">
        <w:trPr>
          <w:trHeight w:val="20"/>
        </w:trPr>
        <w:tc>
          <w:tcPr>
            <w:tcW w:w="3954" w:type="pct"/>
            <w:shd w:val="clear" w:color="auto" w:fill="auto"/>
            <w:noWrap/>
            <w:hideMark/>
          </w:tcPr>
          <w:p w14:paraId="39455F98" w14:textId="77777777" w:rsidR="00CB2D76" w:rsidRPr="001A423D" w:rsidRDefault="00CB2D76" w:rsidP="009C1E14">
            <w:pPr>
              <w:spacing w:after="0" w:line="240" w:lineRule="auto"/>
              <w:contextualSpacing/>
              <w:jc w:val="both"/>
              <w:rPr>
                <w:rFonts w:ascii="Times New Roman" w:hAnsi="Times New Roman"/>
                <w:sz w:val="20"/>
                <w:szCs w:val="20"/>
              </w:rPr>
            </w:pPr>
            <w:r w:rsidRPr="001A423D">
              <w:rPr>
                <w:rFonts w:ascii="Times New Roman" w:hAnsi="Times New Roman"/>
                <w:sz w:val="20"/>
                <w:szCs w:val="20"/>
              </w:rPr>
              <w:t>Less: Issue related expenses in relation to Issue</w:t>
            </w:r>
          </w:p>
        </w:tc>
        <w:tc>
          <w:tcPr>
            <w:tcW w:w="1046" w:type="pct"/>
            <w:shd w:val="clear" w:color="auto" w:fill="auto"/>
            <w:noWrap/>
          </w:tcPr>
          <w:p w14:paraId="357122EF" w14:textId="77777777" w:rsidR="00CB2D76" w:rsidRPr="001A423D" w:rsidRDefault="00CB2D76" w:rsidP="009C1E14">
            <w:pPr>
              <w:spacing w:after="0" w:line="240" w:lineRule="auto"/>
              <w:jc w:val="center"/>
              <w:rPr>
                <w:rFonts w:ascii="Times New Roman" w:hAnsi="Times New Roman"/>
                <w:sz w:val="20"/>
                <w:szCs w:val="20"/>
                <w:highlight w:val="yellow"/>
              </w:rPr>
            </w:pPr>
            <w:r w:rsidRPr="001A423D">
              <w:rPr>
                <w:rFonts w:ascii="Times New Roman" w:hAnsi="Times New Roman"/>
                <w:bCs/>
                <w:sz w:val="20"/>
                <w:szCs w:val="20"/>
                <w:lang w:bidi="en-US"/>
              </w:rPr>
              <w:t>[●]</w:t>
            </w:r>
          </w:p>
        </w:tc>
      </w:tr>
      <w:tr w:rsidR="00CB2D76" w:rsidRPr="001A423D" w14:paraId="55282968" w14:textId="77777777" w:rsidTr="009C1E14">
        <w:trPr>
          <w:trHeight w:val="20"/>
        </w:trPr>
        <w:tc>
          <w:tcPr>
            <w:tcW w:w="3954" w:type="pct"/>
            <w:shd w:val="clear" w:color="auto" w:fill="auto"/>
            <w:noWrap/>
          </w:tcPr>
          <w:p w14:paraId="0F59BB4B" w14:textId="77777777" w:rsidR="00CB2D76" w:rsidRPr="001A423D" w:rsidRDefault="00CB2D76" w:rsidP="009C1E14">
            <w:pPr>
              <w:spacing w:after="0" w:line="240" w:lineRule="auto"/>
              <w:contextualSpacing/>
              <w:jc w:val="both"/>
              <w:rPr>
                <w:rFonts w:ascii="Times New Roman" w:hAnsi="Times New Roman"/>
                <w:sz w:val="20"/>
                <w:szCs w:val="20"/>
              </w:rPr>
            </w:pPr>
            <w:r w:rsidRPr="001A423D">
              <w:rPr>
                <w:rFonts w:ascii="Times New Roman" w:hAnsi="Times New Roman"/>
                <w:sz w:val="20"/>
                <w:szCs w:val="20"/>
              </w:rPr>
              <w:t>Net Proceeds</w:t>
            </w:r>
          </w:p>
        </w:tc>
        <w:tc>
          <w:tcPr>
            <w:tcW w:w="1046" w:type="pct"/>
            <w:shd w:val="clear" w:color="auto" w:fill="auto"/>
            <w:noWrap/>
          </w:tcPr>
          <w:p w14:paraId="0072F4DB" w14:textId="77777777" w:rsidR="00CB2D76" w:rsidRPr="001A423D" w:rsidRDefault="00CB2D76" w:rsidP="009C1E14">
            <w:pPr>
              <w:spacing w:after="0" w:line="240" w:lineRule="auto"/>
              <w:jc w:val="center"/>
              <w:rPr>
                <w:rFonts w:ascii="Times New Roman" w:hAnsi="Times New Roman"/>
                <w:sz w:val="20"/>
                <w:szCs w:val="20"/>
                <w:highlight w:val="yellow"/>
              </w:rPr>
            </w:pPr>
            <w:r w:rsidRPr="001A423D">
              <w:rPr>
                <w:rFonts w:ascii="Times New Roman" w:hAnsi="Times New Roman"/>
                <w:bCs/>
                <w:sz w:val="20"/>
                <w:szCs w:val="20"/>
                <w:lang w:bidi="en-US"/>
              </w:rPr>
              <w:t>[●]</w:t>
            </w:r>
          </w:p>
        </w:tc>
      </w:tr>
    </w:tbl>
    <w:p w14:paraId="00C96F4D"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sz w:val="20"/>
          <w:szCs w:val="20"/>
          <w:lang w:val="en-IN" w:eastAsia="en-IN"/>
        </w:rPr>
      </w:pPr>
    </w:p>
    <w:p w14:paraId="4ABF86DB"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b/>
          <w:sz w:val="20"/>
          <w:szCs w:val="20"/>
          <w:lang w:val="en-IN" w:eastAsia="en-IN"/>
        </w:rPr>
      </w:pPr>
      <w:r w:rsidRPr="001A423D">
        <w:rPr>
          <w:rFonts w:ascii="Times New Roman" w:eastAsia="Calibri" w:hAnsi="Times New Roman"/>
          <w:b/>
          <w:sz w:val="20"/>
          <w:szCs w:val="20"/>
          <w:lang w:val="en-IN" w:eastAsia="en-IN"/>
        </w:rPr>
        <w:t>Requirement of Funds and Utilization of Net Proceeds</w:t>
      </w:r>
    </w:p>
    <w:p w14:paraId="30A56E01"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sz w:val="20"/>
          <w:szCs w:val="20"/>
          <w:lang w:val="en-IN" w:eastAsia="en-IN"/>
        </w:rPr>
      </w:pPr>
    </w:p>
    <w:p w14:paraId="5579F7A0"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sz w:val="20"/>
          <w:szCs w:val="20"/>
          <w:lang w:val="en-IN" w:eastAsia="en-IN"/>
        </w:rPr>
      </w:pPr>
      <w:r w:rsidRPr="001A423D">
        <w:rPr>
          <w:rFonts w:ascii="Times New Roman" w:eastAsia="Calibri" w:hAnsi="Times New Roman"/>
          <w:sz w:val="20"/>
          <w:szCs w:val="20"/>
          <w:lang w:val="en-IN" w:eastAsia="en-IN"/>
        </w:rPr>
        <w:t>The Net Proceeds are proposed to be used in accordance with the details as set forth below:</w:t>
      </w:r>
    </w:p>
    <w:p w14:paraId="431D981B"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sz w:val="20"/>
          <w:szCs w:val="20"/>
          <w:lang w:val="en-IN" w:eastAsia="en-IN"/>
        </w:rPr>
      </w:pP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7576"/>
        <w:gridCol w:w="2114"/>
      </w:tblGrid>
      <w:tr w:rsidR="00CB2D76" w:rsidRPr="001A423D" w14:paraId="7B020A5D" w14:textId="77777777" w:rsidTr="00CB2D76">
        <w:trPr>
          <w:trHeight w:val="20"/>
        </w:trPr>
        <w:tc>
          <w:tcPr>
            <w:tcW w:w="347" w:type="pct"/>
            <w:shd w:val="clear" w:color="auto" w:fill="D0CECE" w:themeFill="background2" w:themeFillShade="E6"/>
            <w:noWrap/>
            <w:hideMark/>
          </w:tcPr>
          <w:p w14:paraId="61611B9F" w14:textId="77777777" w:rsidR="00CB2D76" w:rsidRPr="001A423D" w:rsidRDefault="00CB2D76" w:rsidP="009C1E14">
            <w:pPr>
              <w:spacing w:after="0" w:line="240" w:lineRule="auto"/>
              <w:jc w:val="both"/>
              <w:rPr>
                <w:rFonts w:ascii="Times New Roman" w:hAnsi="Times New Roman"/>
                <w:b/>
                <w:bCs/>
                <w:iCs/>
                <w:sz w:val="20"/>
                <w:szCs w:val="20"/>
                <w:lang w:val="en-GB"/>
              </w:rPr>
            </w:pPr>
            <w:r w:rsidRPr="001A423D">
              <w:rPr>
                <w:rFonts w:ascii="Times New Roman" w:hAnsi="Times New Roman"/>
                <w:b/>
                <w:bCs/>
                <w:iCs/>
                <w:sz w:val="20"/>
                <w:szCs w:val="20"/>
                <w:lang w:val="en-GB"/>
              </w:rPr>
              <w:t>S. No.</w:t>
            </w:r>
          </w:p>
        </w:tc>
        <w:tc>
          <w:tcPr>
            <w:tcW w:w="3638" w:type="pct"/>
            <w:shd w:val="clear" w:color="auto" w:fill="D0CECE" w:themeFill="background2" w:themeFillShade="E6"/>
            <w:noWrap/>
            <w:hideMark/>
          </w:tcPr>
          <w:p w14:paraId="656D9E77" w14:textId="77777777" w:rsidR="00CB2D76" w:rsidRPr="001A423D" w:rsidRDefault="00CB2D76" w:rsidP="009C1E14">
            <w:pPr>
              <w:spacing w:after="0" w:line="240" w:lineRule="auto"/>
              <w:jc w:val="both"/>
              <w:rPr>
                <w:rFonts w:ascii="Times New Roman" w:hAnsi="Times New Roman"/>
                <w:b/>
                <w:bCs/>
                <w:iCs/>
                <w:sz w:val="20"/>
                <w:szCs w:val="20"/>
                <w:lang w:val="en-GB"/>
              </w:rPr>
            </w:pPr>
            <w:r w:rsidRPr="001A423D">
              <w:rPr>
                <w:rFonts w:ascii="Times New Roman" w:hAnsi="Times New Roman"/>
                <w:b/>
                <w:bCs/>
                <w:iCs/>
                <w:sz w:val="20"/>
                <w:szCs w:val="20"/>
                <w:lang w:val="en-GB"/>
              </w:rPr>
              <w:t>Particulars</w:t>
            </w:r>
          </w:p>
        </w:tc>
        <w:tc>
          <w:tcPr>
            <w:tcW w:w="1015" w:type="pct"/>
            <w:shd w:val="clear" w:color="auto" w:fill="D0CECE" w:themeFill="background2" w:themeFillShade="E6"/>
            <w:noWrap/>
            <w:hideMark/>
          </w:tcPr>
          <w:p w14:paraId="3965372A" w14:textId="77777777" w:rsidR="00CB2D76" w:rsidRPr="001A423D" w:rsidRDefault="00CB2D76" w:rsidP="009C1E14">
            <w:pPr>
              <w:spacing w:after="0" w:line="240" w:lineRule="auto"/>
              <w:jc w:val="center"/>
              <w:rPr>
                <w:rFonts w:ascii="Times New Roman" w:hAnsi="Times New Roman"/>
                <w:b/>
                <w:bCs/>
                <w:iCs/>
                <w:sz w:val="20"/>
                <w:szCs w:val="20"/>
                <w:lang w:val="en-GB"/>
              </w:rPr>
            </w:pPr>
            <w:r w:rsidRPr="001A423D">
              <w:rPr>
                <w:rFonts w:ascii="Times New Roman" w:hAnsi="Times New Roman"/>
                <w:b/>
                <w:sz w:val="20"/>
                <w:szCs w:val="20"/>
              </w:rPr>
              <w:t>Amount (</w:t>
            </w:r>
            <w:r w:rsidRPr="001A423D">
              <w:rPr>
                <w:rFonts w:ascii="Times New Roman" w:eastAsia="Calibri" w:hAnsi="Times New Roman"/>
                <w:b/>
                <w:color w:val="000000"/>
                <w:sz w:val="20"/>
                <w:szCs w:val="20"/>
              </w:rPr>
              <w:t xml:space="preserve">₹ </w:t>
            </w:r>
            <w:r w:rsidRPr="001A423D">
              <w:rPr>
                <w:rFonts w:ascii="Times New Roman" w:hAnsi="Times New Roman"/>
                <w:b/>
                <w:sz w:val="20"/>
                <w:szCs w:val="20"/>
              </w:rPr>
              <w:t>in Lakhs)</w:t>
            </w:r>
          </w:p>
        </w:tc>
      </w:tr>
      <w:tr w:rsidR="00CB2D76" w:rsidRPr="001A423D" w14:paraId="4D66991A" w14:textId="77777777" w:rsidTr="009C1E14">
        <w:trPr>
          <w:trHeight w:val="20"/>
        </w:trPr>
        <w:tc>
          <w:tcPr>
            <w:tcW w:w="347" w:type="pct"/>
            <w:shd w:val="clear" w:color="auto" w:fill="auto"/>
            <w:noWrap/>
          </w:tcPr>
          <w:p w14:paraId="18549643" w14:textId="77777777" w:rsidR="00CB2D76" w:rsidRPr="001A423D" w:rsidRDefault="00CB2D76" w:rsidP="009C1E14">
            <w:pPr>
              <w:spacing w:after="0" w:line="240" w:lineRule="auto"/>
              <w:jc w:val="both"/>
              <w:rPr>
                <w:rFonts w:ascii="Times New Roman" w:hAnsi="Times New Roman"/>
                <w:bCs/>
                <w:sz w:val="20"/>
                <w:szCs w:val="20"/>
              </w:rPr>
            </w:pPr>
            <w:r>
              <w:rPr>
                <w:rFonts w:ascii="Times New Roman" w:hAnsi="Times New Roman"/>
                <w:bCs/>
                <w:sz w:val="20"/>
                <w:szCs w:val="20"/>
              </w:rPr>
              <w:t>1</w:t>
            </w:r>
            <w:r w:rsidRPr="001A423D">
              <w:rPr>
                <w:rFonts w:ascii="Times New Roman" w:hAnsi="Times New Roman"/>
                <w:bCs/>
                <w:sz w:val="20"/>
                <w:szCs w:val="20"/>
              </w:rPr>
              <w:t>.</w:t>
            </w:r>
          </w:p>
        </w:tc>
        <w:tc>
          <w:tcPr>
            <w:tcW w:w="3638" w:type="pct"/>
            <w:shd w:val="clear" w:color="auto" w:fill="auto"/>
            <w:noWrap/>
          </w:tcPr>
          <w:p w14:paraId="00154137" w14:textId="77777777" w:rsidR="00CB2D76" w:rsidRPr="001A423D" w:rsidRDefault="00CB2D76" w:rsidP="009C1E14">
            <w:pPr>
              <w:spacing w:after="0" w:line="240" w:lineRule="auto"/>
              <w:jc w:val="both"/>
              <w:rPr>
                <w:rFonts w:ascii="Times New Roman" w:hAnsi="Times New Roman"/>
                <w:sz w:val="20"/>
                <w:szCs w:val="20"/>
              </w:rPr>
            </w:pPr>
            <w:r w:rsidRPr="001A423D">
              <w:rPr>
                <w:rFonts w:ascii="Times New Roman" w:hAnsi="Times New Roman"/>
                <w:sz w:val="20"/>
                <w:szCs w:val="20"/>
              </w:rPr>
              <w:t>Repayment of a portion of certain borrowing availed by our Company</w:t>
            </w:r>
          </w:p>
        </w:tc>
        <w:tc>
          <w:tcPr>
            <w:tcW w:w="1015" w:type="pct"/>
            <w:shd w:val="clear" w:color="auto" w:fill="auto"/>
            <w:noWrap/>
            <w:vAlign w:val="center"/>
          </w:tcPr>
          <w:p w14:paraId="4A738949" w14:textId="77777777" w:rsidR="00CB2D76" w:rsidRPr="001A423D" w:rsidRDefault="00CB2D76" w:rsidP="009C1E14">
            <w:pPr>
              <w:spacing w:after="0" w:line="240" w:lineRule="auto"/>
              <w:jc w:val="center"/>
              <w:rPr>
                <w:rFonts w:ascii="Times New Roman" w:hAnsi="Times New Roman"/>
                <w:bCs/>
                <w:sz w:val="20"/>
                <w:szCs w:val="20"/>
                <w:lang w:bidi="en-US"/>
              </w:rPr>
            </w:pPr>
            <w:r>
              <w:rPr>
                <w:rFonts w:ascii="Times New Roman" w:hAnsi="Times New Roman"/>
                <w:bCs/>
                <w:sz w:val="20"/>
                <w:szCs w:val="20"/>
                <w:lang w:bidi="en-US"/>
              </w:rPr>
              <w:t>1800.00</w:t>
            </w:r>
          </w:p>
        </w:tc>
      </w:tr>
      <w:tr w:rsidR="00CB2D76" w:rsidRPr="001A423D" w14:paraId="042E9F8E" w14:textId="77777777" w:rsidTr="009C1E14">
        <w:trPr>
          <w:trHeight w:val="20"/>
        </w:trPr>
        <w:tc>
          <w:tcPr>
            <w:tcW w:w="347" w:type="pct"/>
            <w:shd w:val="clear" w:color="auto" w:fill="auto"/>
            <w:noWrap/>
            <w:hideMark/>
          </w:tcPr>
          <w:p w14:paraId="740C4AEA" w14:textId="77777777" w:rsidR="00CB2D76" w:rsidRPr="001A423D" w:rsidRDefault="00CB2D76" w:rsidP="009C1E14">
            <w:pPr>
              <w:spacing w:after="0" w:line="240" w:lineRule="auto"/>
              <w:jc w:val="both"/>
              <w:rPr>
                <w:rFonts w:ascii="Times New Roman" w:hAnsi="Times New Roman"/>
                <w:bCs/>
                <w:sz w:val="20"/>
                <w:szCs w:val="20"/>
              </w:rPr>
            </w:pPr>
            <w:r>
              <w:rPr>
                <w:rFonts w:ascii="Times New Roman" w:hAnsi="Times New Roman"/>
                <w:bCs/>
                <w:sz w:val="20"/>
                <w:szCs w:val="20"/>
              </w:rPr>
              <w:t>2</w:t>
            </w:r>
            <w:r w:rsidRPr="001A423D">
              <w:rPr>
                <w:rFonts w:ascii="Times New Roman" w:hAnsi="Times New Roman"/>
                <w:bCs/>
                <w:sz w:val="20"/>
                <w:szCs w:val="20"/>
              </w:rPr>
              <w:t>.</w:t>
            </w:r>
          </w:p>
        </w:tc>
        <w:tc>
          <w:tcPr>
            <w:tcW w:w="3638" w:type="pct"/>
            <w:shd w:val="clear" w:color="auto" w:fill="auto"/>
            <w:noWrap/>
            <w:hideMark/>
          </w:tcPr>
          <w:p w14:paraId="16A2F65C" w14:textId="77777777" w:rsidR="00CB2D76" w:rsidRPr="001A423D" w:rsidRDefault="00CB2D76" w:rsidP="009C1E14">
            <w:pPr>
              <w:spacing w:after="0" w:line="240" w:lineRule="auto"/>
              <w:rPr>
                <w:rFonts w:ascii="Times New Roman" w:hAnsi="Times New Roman"/>
                <w:sz w:val="20"/>
                <w:szCs w:val="20"/>
              </w:rPr>
            </w:pPr>
            <w:r w:rsidRPr="001A423D">
              <w:rPr>
                <w:rFonts w:ascii="Times New Roman" w:hAnsi="Times New Roman"/>
                <w:sz w:val="20"/>
                <w:szCs w:val="20"/>
              </w:rPr>
              <w:t>General Corporate Purpose</w:t>
            </w:r>
          </w:p>
        </w:tc>
        <w:tc>
          <w:tcPr>
            <w:tcW w:w="1015" w:type="pct"/>
            <w:shd w:val="clear" w:color="auto" w:fill="auto"/>
            <w:noWrap/>
            <w:vAlign w:val="center"/>
            <w:hideMark/>
          </w:tcPr>
          <w:p w14:paraId="04D1EAF0" w14:textId="77777777" w:rsidR="00CB2D76" w:rsidRPr="001A423D" w:rsidRDefault="00CB2D76" w:rsidP="009C1E14">
            <w:pPr>
              <w:spacing w:after="0" w:line="240" w:lineRule="auto"/>
              <w:jc w:val="center"/>
              <w:rPr>
                <w:rFonts w:ascii="Times New Roman" w:hAnsi="Times New Roman"/>
                <w:sz w:val="20"/>
                <w:szCs w:val="20"/>
              </w:rPr>
            </w:pPr>
            <w:r w:rsidRPr="001A423D">
              <w:rPr>
                <w:rFonts w:ascii="Times New Roman" w:hAnsi="Times New Roman"/>
                <w:bCs/>
                <w:sz w:val="20"/>
                <w:szCs w:val="20"/>
                <w:lang w:bidi="en-US"/>
              </w:rPr>
              <w:t>[●]</w:t>
            </w:r>
          </w:p>
        </w:tc>
      </w:tr>
      <w:tr w:rsidR="00CB2D76" w:rsidRPr="001A423D" w14:paraId="243471EA" w14:textId="77777777" w:rsidTr="009C1E14">
        <w:trPr>
          <w:trHeight w:val="20"/>
        </w:trPr>
        <w:tc>
          <w:tcPr>
            <w:tcW w:w="347" w:type="pct"/>
            <w:shd w:val="clear" w:color="auto" w:fill="auto"/>
            <w:noWrap/>
            <w:hideMark/>
          </w:tcPr>
          <w:p w14:paraId="0BABBE11" w14:textId="77777777" w:rsidR="00CB2D76" w:rsidRPr="001A423D" w:rsidRDefault="00CB2D76" w:rsidP="009C1E14">
            <w:pPr>
              <w:spacing w:after="0" w:line="240" w:lineRule="auto"/>
              <w:jc w:val="both"/>
              <w:rPr>
                <w:rFonts w:ascii="Times New Roman" w:hAnsi="Times New Roman"/>
                <w:b/>
                <w:sz w:val="20"/>
                <w:szCs w:val="20"/>
                <w:u w:val="single"/>
              </w:rPr>
            </w:pPr>
          </w:p>
        </w:tc>
        <w:tc>
          <w:tcPr>
            <w:tcW w:w="3638" w:type="pct"/>
            <w:shd w:val="clear" w:color="auto" w:fill="auto"/>
            <w:hideMark/>
          </w:tcPr>
          <w:p w14:paraId="56A73D7C" w14:textId="77777777" w:rsidR="00CB2D76" w:rsidRPr="001A423D" w:rsidRDefault="00CB2D76" w:rsidP="009C1E14">
            <w:pPr>
              <w:spacing w:after="0" w:line="240" w:lineRule="auto"/>
              <w:jc w:val="both"/>
              <w:rPr>
                <w:rFonts w:ascii="Times New Roman" w:hAnsi="Times New Roman"/>
                <w:b/>
                <w:sz w:val="20"/>
                <w:szCs w:val="20"/>
              </w:rPr>
            </w:pPr>
            <w:r w:rsidRPr="001A423D">
              <w:rPr>
                <w:rFonts w:ascii="Times New Roman" w:hAnsi="Times New Roman"/>
                <w:b/>
                <w:sz w:val="20"/>
                <w:szCs w:val="20"/>
              </w:rPr>
              <w:t>Total</w:t>
            </w:r>
          </w:p>
        </w:tc>
        <w:tc>
          <w:tcPr>
            <w:tcW w:w="1015" w:type="pct"/>
            <w:shd w:val="clear" w:color="auto" w:fill="auto"/>
            <w:noWrap/>
            <w:vAlign w:val="center"/>
            <w:hideMark/>
          </w:tcPr>
          <w:p w14:paraId="68EE976F" w14:textId="77777777" w:rsidR="00CB2D76" w:rsidRPr="001A423D" w:rsidRDefault="00CB2D76" w:rsidP="009C1E14">
            <w:pPr>
              <w:spacing w:after="0" w:line="240" w:lineRule="auto"/>
              <w:jc w:val="center"/>
              <w:rPr>
                <w:rFonts w:ascii="Times New Roman" w:hAnsi="Times New Roman"/>
                <w:b/>
                <w:sz w:val="20"/>
                <w:szCs w:val="20"/>
              </w:rPr>
            </w:pPr>
            <w:r w:rsidRPr="001A423D">
              <w:rPr>
                <w:rFonts w:ascii="Times New Roman" w:hAnsi="Times New Roman"/>
                <w:bCs/>
                <w:sz w:val="20"/>
                <w:szCs w:val="20"/>
                <w:lang w:bidi="en-US"/>
              </w:rPr>
              <w:t>[●]</w:t>
            </w:r>
          </w:p>
        </w:tc>
      </w:tr>
    </w:tbl>
    <w:p w14:paraId="0B02E9C4"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sz w:val="20"/>
          <w:szCs w:val="20"/>
          <w:lang w:val="en-IN" w:eastAsia="en-IN"/>
        </w:rPr>
      </w:pPr>
    </w:p>
    <w:p w14:paraId="585597CF"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b/>
          <w:sz w:val="20"/>
          <w:szCs w:val="20"/>
          <w:lang w:val="en-IN" w:eastAsia="en-IN"/>
        </w:rPr>
      </w:pPr>
      <w:r w:rsidRPr="001A423D">
        <w:rPr>
          <w:rFonts w:ascii="Times New Roman" w:eastAsia="Calibri" w:hAnsi="Times New Roman"/>
          <w:b/>
          <w:sz w:val="20"/>
          <w:szCs w:val="20"/>
          <w:lang w:val="en-IN" w:eastAsia="en-IN"/>
        </w:rPr>
        <w:t>Means of Finance</w:t>
      </w:r>
    </w:p>
    <w:p w14:paraId="66ADB4B7"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sz w:val="20"/>
          <w:szCs w:val="20"/>
          <w:lang w:val="en-IN" w:eastAsia="en-IN"/>
        </w:rPr>
      </w:pPr>
    </w:p>
    <w:p w14:paraId="30FACC7D"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sz w:val="20"/>
          <w:szCs w:val="20"/>
          <w:lang w:val="en-IN" w:eastAsia="en-IN"/>
        </w:rPr>
      </w:pPr>
      <w:r w:rsidRPr="001A423D">
        <w:rPr>
          <w:rFonts w:ascii="Times New Roman" w:eastAsia="Calibri" w:hAnsi="Times New Roman"/>
          <w:sz w:val="20"/>
          <w:szCs w:val="20"/>
          <w:lang w:val="en-IN" w:eastAsia="en-IN"/>
        </w:rPr>
        <w:t>We intend to finance our Objects of Issue through Net Issue Proceeds which is as follows:</w:t>
      </w:r>
    </w:p>
    <w:p w14:paraId="2083A27E"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sz w:val="20"/>
          <w:szCs w:val="20"/>
          <w:lang w:val="en-IN" w:eastAsia="en-I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6"/>
        <w:gridCol w:w="2240"/>
      </w:tblGrid>
      <w:tr w:rsidR="00CB2D76" w:rsidRPr="001A423D" w14:paraId="693FF9E7" w14:textId="77777777" w:rsidTr="00CB2D76">
        <w:trPr>
          <w:trHeight w:val="20"/>
        </w:trPr>
        <w:tc>
          <w:tcPr>
            <w:tcW w:w="3929" w:type="pct"/>
            <w:shd w:val="clear" w:color="auto" w:fill="D0CECE" w:themeFill="background2" w:themeFillShade="E6"/>
          </w:tcPr>
          <w:p w14:paraId="74FD6F65" w14:textId="77777777" w:rsidR="00CB2D76" w:rsidRPr="001A423D" w:rsidRDefault="00CB2D76" w:rsidP="009C1E14">
            <w:pPr>
              <w:spacing w:after="0" w:line="240" w:lineRule="auto"/>
              <w:jc w:val="both"/>
              <w:rPr>
                <w:rFonts w:ascii="Times New Roman" w:hAnsi="Times New Roman"/>
                <w:b/>
                <w:bCs/>
                <w:iCs/>
                <w:sz w:val="20"/>
                <w:szCs w:val="20"/>
                <w:lang w:val="en-GB"/>
              </w:rPr>
            </w:pPr>
            <w:r w:rsidRPr="001A423D">
              <w:rPr>
                <w:rFonts w:ascii="Times New Roman" w:hAnsi="Times New Roman"/>
                <w:b/>
                <w:bCs/>
                <w:iCs/>
                <w:sz w:val="20"/>
                <w:szCs w:val="20"/>
                <w:lang w:val="en-GB"/>
              </w:rPr>
              <w:t>Particulars</w:t>
            </w:r>
          </w:p>
        </w:tc>
        <w:tc>
          <w:tcPr>
            <w:tcW w:w="1071" w:type="pct"/>
            <w:shd w:val="clear" w:color="auto" w:fill="D0CECE" w:themeFill="background2" w:themeFillShade="E6"/>
          </w:tcPr>
          <w:p w14:paraId="39A77BAA" w14:textId="77777777" w:rsidR="00CB2D76" w:rsidRPr="001A423D" w:rsidRDefault="00CB2D76" w:rsidP="009C1E14">
            <w:pPr>
              <w:spacing w:after="0" w:line="240" w:lineRule="auto"/>
              <w:jc w:val="center"/>
              <w:rPr>
                <w:rFonts w:ascii="Times New Roman" w:hAnsi="Times New Roman"/>
                <w:b/>
                <w:sz w:val="20"/>
                <w:szCs w:val="20"/>
              </w:rPr>
            </w:pPr>
            <w:r w:rsidRPr="001A423D">
              <w:rPr>
                <w:rFonts w:ascii="Times New Roman" w:hAnsi="Times New Roman"/>
                <w:b/>
                <w:sz w:val="20"/>
                <w:szCs w:val="20"/>
              </w:rPr>
              <w:t>Amount (</w:t>
            </w:r>
            <w:r w:rsidRPr="001A423D">
              <w:rPr>
                <w:rFonts w:ascii="Times New Roman" w:eastAsia="Calibri" w:hAnsi="Times New Roman"/>
                <w:b/>
                <w:color w:val="000000"/>
                <w:sz w:val="20"/>
                <w:szCs w:val="20"/>
              </w:rPr>
              <w:t>₹</w:t>
            </w:r>
            <w:r w:rsidRPr="001A423D">
              <w:rPr>
                <w:rFonts w:ascii="Times New Roman" w:eastAsia="Calibri" w:hAnsi="Times New Roman"/>
                <w:color w:val="000000"/>
                <w:sz w:val="20"/>
                <w:szCs w:val="20"/>
              </w:rPr>
              <w:t xml:space="preserve"> </w:t>
            </w:r>
            <w:r w:rsidRPr="001A423D">
              <w:rPr>
                <w:rFonts w:ascii="Times New Roman" w:hAnsi="Times New Roman"/>
                <w:b/>
                <w:sz w:val="20"/>
                <w:szCs w:val="20"/>
              </w:rPr>
              <w:t>in Lakhs)</w:t>
            </w:r>
          </w:p>
        </w:tc>
      </w:tr>
      <w:tr w:rsidR="00CB2D76" w:rsidRPr="001A423D" w14:paraId="37FB7911" w14:textId="77777777" w:rsidTr="009C1E14">
        <w:trPr>
          <w:trHeight w:val="20"/>
        </w:trPr>
        <w:tc>
          <w:tcPr>
            <w:tcW w:w="3929" w:type="pct"/>
            <w:shd w:val="clear" w:color="auto" w:fill="auto"/>
          </w:tcPr>
          <w:p w14:paraId="56630841" w14:textId="77777777" w:rsidR="00CB2D76" w:rsidRPr="001A423D" w:rsidRDefault="00CB2D76" w:rsidP="009C1E14">
            <w:pPr>
              <w:spacing w:after="0" w:line="240" w:lineRule="auto"/>
              <w:jc w:val="both"/>
              <w:rPr>
                <w:rFonts w:ascii="Times New Roman" w:hAnsi="Times New Roman"/>
                <w:bCs/>
                <w:iCs/>
                <w:sz w:val="20"/>
                <w:szCs w:val="20"/>
                <w:lang w:val="en-GB"/>
              </w:rPr>
            </w:pPr>
            <w:r w:rsidRPr="001A423D">
              <w:rPr>
                <w:rFonts w:ascii="Times New Roman" w:hAnsi="Times New Roman"/>
                <w:bCs/>
                <w:iCs/>
                <w:sz w:val="20"/>
                <w:szCs w:val="20"/>
                <w:lang w:val="en-GB"/>
              </w:rPr>
              <w:t>Net Issue Proceeds</w:t>
            </w:r>
          </w:p>
        </w:tc>
        <w:tc>
          <w:tcPr>
            <w:tcW w:w="1071" w:type="pct"/>
            <w:shd w:val="clear" w:color="auto" w:fill="auto"/>
          </w:tcPr>
          <w:p w14:paraId="304090B0" w14:textId="77777777" w:rsidR="00CB2D76" w:rsidRPr="001A423D" w:rsidRDefault="00CB2D76" w:rsidP="009C1E14">
            <w:pPr>
              <w:spacing w:after="0" w:line="240" w:lineRule="auto"/>
              <w:jc w:val="center"/>
              <w:rPr>
                <w:rFonts w:ascii="Times New Roman" w:hAnsi="Times New Roman"/>
                <w:bCs/>
                <w:iCs/>
                <w:sz w:val="20"/>
                <w:szCs w:val="20"/>
                <w:lang w:val="en-GB"/>
              </w:rPr>
            </w:pPr>
            <w:r w:rsidRPr="001A423D">
              <w:rPr>
                <w:rFonts w:ascii="Times New Roman" w:hAnsi="Times New Roman"/>
                <w:bCs/>
                <w:sz w:val="20"/>
                <w:szCs w:val="20"/>
                <w:lang w:bidi="en-US"/>
              </w:rPr>
              <w:t>[●]</w:t>
            </w:r>
          </w:p>
        </w:tc>
      </w:tr>
      <w:tr w:rsidR="00CB2D76" w:rsidRPr="001A423D" w14:paraId="75458744" w14:textId="77777777" w:rsidTr="009C1E14">
        <w:trPr>
          <w:trHeight w:val="20"/>
        </w:trPr>
        <w:tc>
          <w:tcPr>
            <w:tcW w:w="3929" w:type="pct"/>
            <w:shd w:val="clear" w:color="auto" w:fill="auto"/>
          </w:tcPr>
          <w:p w14:paraId="456065CE" w14:textId="77777777" w:rsidR="00CB2D76" w:rsidRPr="001A423D" w:rsidRDefault="00CB2D76" w:rsidP="009C1E14">
            <w:pPr>
              <w:spacing w:after="0" w:line="240" w:lineRule="auto"/>
              <w:jc w:val="both"/>
              <w:rPr>
                <w:rFonts w:ascii="Times New Roman" w:hAnsi="Times New Roman"/>
                <w:b/>
                <w:bCs/>
                <w:iCs/>
                <w:sz w:val="20"/>
                <w:szCs w:val="20"/>
                <w:lang w:val="en-GB"/>
              </w:rPr>
            </w:pPr>
            <w:r w:rsidRPr="001A423D">
              <w:rPr>
                <w:rFonts w:ascii="Times New Roman" w:hAnsi="Times New Roman"/>
                <w:b/>
                <w:bCs/>
                <w:iCs/>
                <w:sz w:val="20"/>
                <w:szCs w:val="20"/>
                <w:lang w:val="en-GB"/>
              </w:rPr>
              <w:t>Total</w:t>
            </w:r>
          </w:p>
        </w:tc>
        <w:tc>
          <w:tcPr>
            <w:tcW w:w="1071" w:type="pct"/>
            <w:shd w:val="clear" w:color="auto" w:fill="auto"/>
          </w:tcPr>
          <w:p w14:paraId="1E2E6781" w14:textId="77777777" w:rsidR="00CB2D76" w:rsidRPr="001A423D" w:rsidRDefault="00CB2D76" w:rsidP="009C1E14">
            <w:pPr>
              <w:spacing w:after="0" w:line="240" w:lineRule="auto"/>
              <w:jc w:val="center"/>
              <w:rPr>
                <w:rFonts w:ascii="Times New Roman" w:hAnsi="Times New Roman"/>
                <w:b/>
                <w:bCs/>
                <w:iCs/>
                <w:sz w:val="20"/>
                <w:szCs w:val="20"/>
                <w:lang w:val="en-GB"/>
              </w:rPr>
            </w:pPr>
            <w:r w:rsidRPr="001A423D">
              <w:rPr>
                <w:rFonts w:ascii="Times New Roman" w:hAnsi="Times New Roman"/>
                <w:bCs/>
                <w:sz w:val="20"/>
                <w:szCs w:val="20"/>
                <w:lang w:bidi="en-US"/>
              </w:rPr>
              <w:t>[●]</w:t>
            </w:r>
          </w:p>
        </w:tc>
      </w:tr>
    </w:tbl>
    <w:p w14:paraId="07633FE1"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b/>
          <w:i/>
          <w:sz w:val="20"/>
          <w:szCs w:val="20"/>
          <w:lang w:val="en-IN" w:eastAsia="en-IN"/>
        </w:rPr>
      </w:pPr>
    </w:p>
    <w:p w14:paraId="05965E1A"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b/>
          <w:i/>
          <w:sz w:val="20"/>
          <w:szCs w:val="20"/>
          <w:lang w:val="en-IN" w:eastAsia="en-IN"/>
        </w:rPr>
      </w:pPr>
      <w:r w:rsidRPr="001A423D">
        <w:rPr>
          <w:rFonts w:ascii="Times New Roman" w:eastAsia="Calibri" w:hAnsi="Times New Roman"/>
          <w:b/>
          <w:i/>
          <w:sz w:val="20"/>
          <w:szCs w:val="20"/>
          <w:lang w:val="en-IN" w:eastAsia="en-IN"/>
        </w:rPr>
        <w:t>Since, the entire fund requirement is to be funded from the proceeds of the Issue, there is no requirement to make firm arrangements of finance under Regulation 230(1)(e) of the SEBI ICDR Regulations through verifiable means towards at least 75% of the stated means of finance, excluding the amounts to be raised through the proposed Issue.</w:t>
      </w:r>
    </w:p>
    <w:p w14:paraId="74A4CA3B"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b/>
          <w:i/>
          <w:sz w:val="20"/>
          <w:szCs w:val="20"/>
          <w:lang w:val="en-IN" w:eastAsia="en-IN"/>
        </w:rPr>
      </w:pPr>
    </w:p>
    <w:p w14:paraId="70EF41E0"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sz w:val="20"/>
          <w:szCs w:val="20"/>
          <w:lang w:val="en-IN" w:eastAsia="en-IN"/>
        </w:rPr>
      </w:pPr>
      <w:r w:rsidRPr="001A423D">
        <w:rPr>
          <w:rFonts w:ascii="Times New Roman" w:eastAsia="Calibri" w:hAnsi="Times New Roman"/>
          <w:sz w:val="20"/>
          <w:szCs w:val="20"/>
          <w:lang w:val="en-IN" w:eastAsia="en-IN"/>
        </w:rPr>
        <w:t>In case of any increase in the actual utilization of funds earmarked for the Objects, such additional funds for a particular activity will be met by way of means available to our Company, including from internal accruals. If the actual utilization towards any of the Objects is lower than the proposed deployment such balance will be used for future growth opportunities including funding existing objects, if required. In case of delays in raising funds from the Issue, our Company may deploy certain amounts towards any of the above-mentioned Objects through a combination of Internal Accruals or Unsecured Loans (Bridge Financing) and in such case the Funds raised shall be utilized towards repayment of such unsecured Loans or recouping of Internal Accruals. However, we confirm that no bridge financing has been availed as on date, which is subject to being repaid from the Issue Proceeds.</w:t>
      </w:r>
    </w:p>
    <w:p w14:paraId="25BF25BD"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sz w:val="20"/>
          <w:szCs w:val="20"/>
          <w:lang w:val="en-IN" w:eastAsia="en-IN"/>
        </w:rPr>
      </w:pPr>
    </w:p>
    <w:p w14:paraId="311784C6"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sz w:val="20"/>
          <w:szCs w:val="20"/>
          <w:lang w:val="en-IN" w:eastAsia="en-IN"/>
        </w:rPr>
      </w:pPr>
      <w:r w:rsidRPr="001A423D">
        <w:rPr>
          <w:rFonts w:ascii="Times New Roman" w:eastAsia="Calibri" w:hAnsi="Times New Roman"/>
          <w:sz w:val="20"/>
          <w:szCs w:val="20"/>
          <w:lang w:val="en-IN" w:eastAsia="en-IN"/>
        </w:rPr>
        <w:t xml:space="preserve">As we operate in competitive environment, our Company may have to revise its business plan from time to time and consequently our fund requirements may also change. Our Company’s historical expenditure may not be reflective of our future expenditure plans. Our Company may have to revise its estimated costs, fund allocation and fund requirements owing to various factors such as economic and business conditions, increased competition and other external factors which may not be within the control of our management. This may entail rescheduling or revising the planned expenditure and funding requirements, including the expenditure for a particular purpose at the discretion of the Company’s management. </w:t>
      </w:r>
    </w:p>
    <w:p w14:paraId="6E4D73D9"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sz w:val="20"/>
          <w:szCs w:val="20"/>
          <w:lang w:val="en-IN" w:eastAsia="en-IN"/>
        </w:rPr>
      </w:pPr>
    </w:p>
    <w:p w14:paraId="2C623675"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sz w:val="20"/>
          <w:szCs w:val="20"/>
          <w:lang w:val="en-IN" w:eastAsia="en-IN"/>
        </w:rPr>
      </w:pPr>
      <w:r w:rsidRPr="001A423D">
        <w:rPr>
          <w:rFonts w:ascii="Times New Roman" w:eastAsia="Calibri" w:hAnsi="Times New Roman"/>
          <w:sz w:val="20"/>
          <w:szCs w:val="20"/>
          <w:lang w:val="en-IN" w:eastAsia="en-IN"/>
        </w:rPr>
        <w:t xml:space="preserve">For further details on the risks involved in our business plans and executing our business strategies, please see the section titled </w:t>
      </w:r>
      <w:r w:rsidRPr="001A423D">
        <w:rPr>
          <w:rFonts w:ascii="Times New Roman" w:eastAsia="Calibri" w:hAnsi="Times New Roman"/>
          <w:b/>
          <w:i/>
          <w:sz w:val="20"/>
          <w:szCs w:val="20"/>
          <w:lang w:val="en-IN" w:eastAsia="en-IN"/>
        </w:rPr>
        <w:t>“Risk Factors”</w:t>
      </w:r>
      <w:r w:rsidRPr="001A423D">
        <w:rPr>
          <w:rFonts w:ascii="Times New Roman" w:eastAsia="Calibri" w:hAnsi="Times New Roman"/>
          <w:sz w:val="20"/>
          <w:szCs w:val="20"/>
          <w:lang w:val="en-IN" w:eastAsia="en-IN"/>
        </w:rPr>
        <w:t xml:space="preserve"> beginning on page 25 of this Draft </w:t>
      </w:r>
      <w:r w:rsidRPr="001A423D">
        <w:rPr>
          <w:rFonts w:ascii="Times New Roman" w:eastAsia="Calibri" w:hAnsi="Times New Roman"/>
          <w:color w:val="000000"/>
          <w:sz w:val="20"/>
          <w:szCs w:val="20"/>
          <w:lang w:val="en-IN" w:eastAsia="en-IN"/>
        </w:rPr>
        <w:t xml:space="preserve">Red Herring </w:t>
      </w:r>
      <w:r w:rsidRPr="001A423D">
        <w:rPr>
          <w:rFonts w:ascii="Times New Roman" w:eastAsia="Calibri" w:hAnsi="Times New Roman"/>
          <w:sz w:val="20"/>
          <w:szCs w:val="20"/>
          <w:lang w:val="en-IN" w:eastAsia="en-IN"/>
        </w:rPr>
        <w:t>Prospectus.</w:t>
      </w:r>
    </w:p>
    <w:p w14:paraId="19A7A44D"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b/>
          <w:sz w:val="20"/>
          <w:szCs w:val="20"/>
          <w:lang w:val="en-IN" w:eastAsia="en-IN"/>
        </w:rPr>
      </w:pPr>
      <w:r w:rsidRPr="001A423D">
        <w:rPr>
          <w:rFonts w:ascii="Times New Roman" w:eastAsia="Calibri" w:hAnsi="Times New Roman"/>
          <w:b/>
          <w:sz w:val="20"/>
          <w:szCs w:val="20"/>
          <w:lang w:val="en-IN" w:eastAsia="en-IN"/>
        </w:rPr>
        <w:lastRenderedPageBreak/>
        <w:t>Details of Utilization of Net Proceeds</w:t>
      </w:r>
    </w:p>
    <w:p w14:paraId="4F56EF45"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sz w:val="20"/>
          <w:szCs w:val="20"/>
          <w:lang w:val="en-IN" w:eastAsia="en-IN"/>
        </w:rPr>
      </w:pPr>
    </w:p>
    <w:p w14:paraId="552606FA"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sz w:val="20"/>
          <w:szCs w:val="20"/>
          <w:lang w:val="en-IN" w:eastAsia="en-IN"/>
        </w:rPr>
      </w:pPr>
      <w:r w:rsidRPr="001A423D">
        <w:rPr>
          <w:rFonts w:ascii="Times New Roman" w:eastAsia="Calibri" w:hAnsi="Times New Roman"/>
          <w:sz w:val="20"/>
          <w:szCs w:val="20"/>
          <w:lang w:val="en-IN" w:eastAsia="en-IN"/>
        </w:rPr>
        <w:t>The details of utilization of the Net Proceeds are set forth herein below:</w:t>
      </w:r>
    </w:p>
    <w:p w14:paraId="2EE687A7"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sz w:val="20"/>
          <w:szCs w:val="20"/>
          <w:lang w:val="en-IN" w:eastAsia="en-IN"/>
        </w:rPr>
      </w:pPr>
    </w:p>
    <w:p w14:paraId="5CEEDB8C" w14:textId="77777777" w:rsidR="00CB2D76" w:rsidRPr="001A423D" w:rsidRDefault="00CB2D76">
      <w:pPr>
        <w:numPr>
          <w:ilvl w:val="0"/>
          <w:numId w:val="346"/>
        </w:numPr>
        <w:autoSpaceDE w:val="0"/>
        <w:autoSpaceDN w:val="0"/>
        <w:adjustRightInd w:val="0"/>
        <w:spacing w:after="0" w:line="240" w:lineRule="auto"/>
        <w:jc w:val="both"/>
        <w:rPr>
          <w:rFonts w:ascii="Times New Roman" w:eastAsia="Calibri" w:hAnsi="Times New Roman"/>
          <w:b/>
          <w:bCs/>
          <w:sz w:val="20"/>
          <w:szCs w:val="20"/>
          <w:lang w:val="en-IN" w:eastAsia="en-IN"/>
        </w:rPr>
      </w:pPr>
      <w:r w:rsidRPr="001A423D">
        <w:rPr>
          <w:rFonts w:ascii="Times New Roman" w:eastAsia="Calibri" w:hAnsi="Times New Roman"/>
          <w:b/>
          <w:bCs/>
          <w:sz w:val="20"/>
          <w:szCs w:val="20"/>
          <w:lang w:val="en-IN" w:eastAsia="en-IN"/>
        </w:rPr>
        <w:t xml:space="preserve">Repayment of </w:t>
      </w:r>
      <w:r w:rsidRPr="00294AAE">
        <w:rPr>
          <w:rFonts w:ascii="Times New Roman" w:eastAsia="Calibri" w:hAnsi="Times New Roman"/>
          <w:b/>
          <w:bCs/>
          <w:sz w:val="20"/>
          <w:szCs w:val="20"/>
          <w:lang w:val="en-IN" w:eastAsia="en-IN"/>
        </w:rPr>
        <w:t xml:space="preserve">a portion of </w:t>
      </w:r>
      <w:r w:rsidRPr="001A423D">
        <w:rPr>
          <w:rFonts w:ascii="Times New Roman" w:eastAsia="Calibri" w:hAnsi="Times New Roman"/>
          <w:b/>
          <w:bCs/>
          <w:sz w:val="20"/>
          <w:szCs w:val="20"/>
          <w:lang w:val="en-IN" w:eastAsia="en-IN"/>
        </w:rPr>
        <w:t xml:space="preserve">certain borrowing availed by our Company </w:t>
      </w:r>
    </w:p>
    <w:p w14:paraId="52696772" w14:textId="77777777" w:rsidR="00CB2D76" w:rsidRPr="001A423D" w:rsidRDefault="00CB2D76" w:rsidP="00CB2D76">
      <w:pPr>
        <w:autoSpaceDE w:val="0"/>
        <w:autoSpaceDN w:val="0"/>
        <w:adjustRightInd w:val="0"/>
        <w:spacing w:after="0" w:line="240" w:lineRule="auto"/>
        <w:ind w:left="426"/>
        <w:jc w:val="both"/>
        <w:rPr>
          <w:rFonts w:ascii="Times New Roman" w:eastAsia="Calibri" w:hAnsi="Times New Roman"/>
          <w:b/>
          <w:sz w:val="20"/>
          <w:szCs w:val="20"/>
          <w:lang w:eastAsia="en-IN"/>
        </w:rPr>
      </w:pPr>
    </w:p>
    <w:p w14:paraId="30B2553C" w14:textId="10E8C78F" w:rsidR="00CB2D76" w:rsidRPr="001A423D" w:rsidRDefault="00CB2D76" w:rsidP="00CB2D76">
      <w:pPr>
        <w:autoSpaceDE w:val="0"/>
        <w:autoSpaceDN w:val="0"/>
        <w:adjustRightInd w:val="0"/>
        <w:spacing w:after="0" w:line="240" w:lineRule="auto"/>
        <w:jc w:val="both"/>
        <w:rPr>
          <w:rFonts w:ascii="Times New Roman" w:eastAsia="Calibri" w:hAnsi="Times New Roman"/>
          <w:sz w:val="20"/>
          <w:szCs w:val="20"/>
          <w:lang w:eastAsia="en-IN"/>
        </w:rPr>
      </w:pPr>
      <w:r w:rsidRPr="001A423D">
        <w:rPr>
          <w:rFonts w:ascii="Times New Roman" w:eastAsia="Calibri" w:hAnsi="Times New Roman"/>
          <w:sz w:val="20"/>
          <w:szCs w:val="20"/>
          <w:lang w:val="en-IN" w:eastAsia="en-IN"/>
        </w:rPr>
        <w:t xml:space="preserve">Our Company proposes to utilise an estimated amount of ₹ </w:t>
      </w:r>
      <w:r>
        <w:rPr>
          <w:rFonts w:ascii="Times New Roman" w:eastAsia="Calibri" w:hAnsi="Times New Roman"/>
          <w:sz w:val="20"/>
          <w:szCs w:val="20"/>
          <w:lang w:val="en-IN" w:eastAsia="en-IN"/>
        </w:rPr>
        <w:t>1,800.00</w:t>
      </w:r>
      <w:r w:rsidRPr="001A423D">
        <w:rPr>
          <w:rFonts w:ascii="Times New Roman" w:eastAsia="Calibri" w:hAnsi="Times New Roman"/>
          <w:sz w:val="20"/>
          <w:szCs w:val="20"/>
          <w:lang w:val="en-IN" w:eastAsia="en-IN"/>
        </w:rPr>
        <w:t xml:space="preserve"> lakhs </w:t>
      </w:r>
      <w:r w:rsidRPr="001A423D">
        <w:rPr>
          <w:rFonts w:ascii="Times New Roman" w:eastAsia="Calibri" w:hAnsi="Times New Roman"/>
          <w:sz w:val="20"/>
          <w:szCs w:val="20"/>
          <w:lang w:eastAsia="en-IN"/>
        </w:rPr>
        <w:t xml:space="preserve">towards repayment </w:t>
      </w:r>
      <w:r>
        <w:rPr>
          <w:rFonts w:ascii="Times New Roman" w:eastAsia="Calibri" w:hAnsi="Times New Roman"/>
          <w:sz w:val="20"/>
          <w:szCs w:val="20"/>
          <w:lang w:eastAsia="en-IN"/>
        </w:rPr>
        <w:t xml:space="preserve">of cash credit facility availed by our Company from Union Bank of India. </w:t>
      </w:r>
      <w:r w:rsidRPr="001A423D">
        <w:rPr>
          <w:rFonts w:ascii="Times New Roman" w:eastAsia="Calibri" w:hAnsi="Times New Roman"/>
          <w:color w:val="000000"/>
          <w:sz w:val="20"/>
          <w:szCs w:val="20"/>
          <w:lang w:eastAsia="en-IN"/>
        </w:rPr>
        <w:t xml:space="preserve">Our Company has entered into various financial arrangements from time to time, with banks and financial institutions. The loan facilities availed by our Company include borrowing in the form of, </w:t>
      </w:r>
      <w:r w:rsidRPr="001A423D">
        <w:rPr>
          <w:rFonts w:ascii="Times New Roman" w:eastAsia="Calibri" w:hAnsi="Times New Roman"/>
          <w:i/>
          <w:iCs/>
          <w:color w:val="000000"/>
          <w:sz w:val="20"/>
          <w:szCs w:val="20"/>
          <w:lang w:eastAsia="en-IN"/>
        </w:rPr>
        <w:t>inter alia</w:t>
      </w:r>
      <w:r w:rsidRPr="001A423D">
        <w:rPr>
          <w:rFonts w:ascii="Times New Roman" w:eastAsia="Calibri" w:hAnsi="Times New Roman"/>
          <w:color w:val="000000"/>
          <w:sz w:val="20"/>
          <w:szCs w:val="20"/>
          <w:lang w:eastAsia="en-IN"/>
        </w:rPr>
        <w:t xml:space="preserve">, term loans and working capital facility from various lenders. For further details, see </w:t>
      </w:r>
      <w:r w:rsidRPr="001A423D">
        <w:rPr>
          <w:rFonts w:ascii="Times New Roman" w:eastAsia="Calibri" w:hAnsi="Times New Roman"/>
          <w:b/>
          <w:color w:val="000000"/>
          <w:sz w:val="20"/>
          <w:szCs w:val="20"/>
          <w:lang w:eastAsia="en-IN"/>
        </w:rPr>
        <w:t xml:space="preserve">“Statement of </w:t>
      </w:r>
      <w:r w:rsidRPr="001A423D">
        <w:rPr>
          <w:rFonts w:ascii="Times New Roman" w:eastAsia="Calibri" w:hAnsi="Times New Roman"/>
          <w:b/>
          <w:i/>
          <w:iCs/>
          <w:color w:val="000000"/>
          <w:sz w:val="20"/>
          <w:szCs w:val="20"/>
          <w:lang w:eastAsia="en-IN"/>
        </w:rPr>
        <w:t>Financial</w:t>
      </w:r>
      <w:r w:rsidRPr="001A423D">
        <w:rPr>
          <w:rFonts w:ascii="Times New Roman" w:eastAsia="Calibri" w:hAnsi="Times New Roman"/>
          <w:b/>
          <w:color w:val="000000"/>
          <w:sz w:val="20"/>
          <w:szCs w:val="20"/>
          <w:lang w:eastAsia="en-IN"/>
        </w:rPr>
        <w:t xml:space="preserve"> </w:t>
      </w:r>
      <w:r w:rsidRPr="001A423D">
        <w:rPr>
          <w:rFonts w:ascii="Times New Roman" w:eastAsia="Calibri" w:hAnsi="Times New Roman"/>
          <w:b/>
          <w:i/>
          <w:iCs/>
          <w:color w:val="000000"/>
          <w:sz w:val="20"/>
          <w:szCs w:val="20"/>
          <w:lang w:eastAsia="en-IN"/>
        </w:rPr>
        <w:t>Indebtedness</w:t>
      </w:r>
      <w:r w:rsidRPr="001A423D">
        <w:rPr>
          <w:rFonts w:ascii="Times New Roman" w:eastAsia="Calibri" w:hAnsi="Times New Roman"/>
          <w:b/>
          <w:color w:val="000000"/>
          <w:sz w:val="20"/>
          <w:szCs w:val="20"/>
          <w:lang w:eastAsia="en-IN"/>
        </w:rPr>
        <w:t xml:space="preserve">” </w:t>
      </w:r>
      <w:r w:rsidRPr="001A423D">
        <w:rPr>
          <w:rFonts w:ascii="Times New Roman" w:eastAsia="Calibri" w:hAnsi="Times New Roman"/>
          <w:color w:val="000000"/>
          <w:sz w:val="20"/>
          <w:szCs w:val="20"/>
          <w:lang w:eastAsia="en-IN"/>
        </w:rPr>
        <w:t xml:space="preserve">on page 170. Our Company proposes to utilise an estimated amount of ₹ </w:t>
      </w:r>
      <w:r>
        <w:rPr>
          <w:rFonts w:ascii="Times New Roman" w:eastAsia="Calibri" w:hAnsi="Times New Roman"/>
          <w:color w:val="000000"/>
          <w:sz w:val="20"/>
          <w:szCs w:val="20"/>
          <w:lang w:eastAsia="en-IN"/>
        </w:rPr>
        <w:t>1,800</w:t>
      </w:r>
      <w:r w:rsidRPr="001A423D">
        <w:rPr>
          <w:rFonts w:ascii="Times New Roman" w:eastAsia="Calibri" w:hAnsi="Times New Roman"/>
          <w:color w:val="000000"/>
          <w:sz w:val="20"/>
          <w:szCs w:val="20"/>
          <w:lang w:eastAsia="en-IN"/>
        </w:rPr>
        <w:t xml:space="preserve"> lakhs from the Net Proceeds towards partial repayment of </w:t>
      </w:r>
      <w:r>
        <w:rPr>
          <w:rFonts w:ascii="Times New Roman" w:eastAsia="Calibri" w:hAnsi="Times New Roman"/>
          <w:color w:val="000000"/>
          <w:sz w:val="20"/>
          <w:szCs w:val="20"/>
          <w:lang w:eastAsia="en-IN"/>
        </w:rPr>
        <w:t>cash credit facility</w:t>
      </w:r>
      <w:r w:rsidRPr="001A423D">
        <w:rPr>
          <w:rFonts w:ascii="Times New Roman" w:eastAsia="Calibri" w:hAnsi="Times New Roman"/>
          <w:color w:val="000000"/>
          <w:sz w:val="20"/>
          <w:szCs w:val="20"/>
          <w:lang w:eastAsia="en-IN"/>
        </w:rPr>
        <w:t xml:space="preserve">, listed below, availed from the </w:t>
      </w:r>
      <w:r>
        <w:rPr>
          <w:rFonts w:ascii="Times New Roman" w:eastAsia="Calibri" w:hAnsi="Times New Roman"/>
          <w:color w:val="000000"/>
          <w:sz w:val="20"/>
          <w:szCs w:val="20"/>
          <w:lang w:eastAsia="en-IN"/>
        </w:rPr>
        <w:t>Union Bank of India</w:t>
      </w:r>
      <w:r w:rsidRPr="001A423D">
        <w:rPr>
          <w:rFonts w:ascii="Times New Roman" w:eastAsia="Calibri" w:hAnsi="Times New Roman"/>
          <w:color w:val="000000"/>
          <w:sz w:val="20"/>
          <w:szCs w:val="20"/>
          <w:lang w:eastAsia="en-IN"/>
        </w:rPr>
        <w:t xml:space="preserve"> by our Company.</w:t>
      </w:r>
    </w:p>
    <w:p w14:paraId="447CA9F3"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sz w:val="20"/>
          <w:szCs w:val="20"/>
          <w:lang w:eastAsia="en-IN"/>
        </w:rPr>
      </w:pPr>
    </w:p>
    <w:p w14:paraId="7D90B03B"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color w:val="000000"/>
          <w:sz w:val="20"/>
          <w:szCs w:val="20"/>
          <w:lang w:eastAsia="en-IN"/>
        </w:rPr>
      </w:pPr>
      <w:r w:rsidRPr="001A423D">
        <w:rPr>
          <w:rFonts w:ascii="Times New Roman" w:eastAsia="Calibri" w:hAnsi="Times New Roman"/>
          <w:color w:val="000000"/>
          <w:sz w:val="20"/>
          <w:szCs w:val="20"/>
          <w:lang w:eastAsia="en-IN"/>
        </w:rPr>
        <w:t>We believe that such repayment will help reduce our outstanding indebtedness, debt servicing costs, assist us in maintaining a favourable debt to equity ratio and enable utilisation of our internal accruals for further investment in our business growth and expansion. Additionally, we believe that the leverage capacity of our Company will improve our ability to raise further resources in the future to fund our potential business development opportunities and plans to grow and expand our business.</w:t>
      </w:r>
    </w:p>
    <w:p w14:paraId="32C5C949"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color w:val="000000"/>
          <w:sz w:val="20"/>
          <w:szCs w:val="20"/>
          <w:lang w:eastAsia="en-IN"/>
        </w:rPr>
      </w:pPr>
    </w:p>
    <w:p w14:paraId="68C7C71D" w14:textId="4D3C75A4" w:rsidR="00CB2D76" w:rsidRPr="001A423D" w:rsidRDefault="00CB2D76" w:rsidP="00CB2D76">
      <w:pPr>
        <w:autoSpaceDE w:val="0"/>
        <w:autoSpaceDN w:val="0"/>
        <w:adjustRightInd w:val="0"/>
        <w:spacing w:after="0" w:line="240" w:lineRule="auto"/>
        <w:jc w:val="both"/>
        <w:rPr>
          <w:rFonts w:ascii="Times New Roman" w:eastAsia="Calibri" w:hAnsi="Times New Roman"/>
          <w:color w:val="000000"/>
          <w:sz w:val="20"/>
          <w:szCs w:val="20"/>
          <w:lang w:eastAsia="en-IN"/>
        </w:rPr>
      </w:pPr>
      <w:r w:rsidRPr="001A423D">
        <w:rPr>
          <w:rFonts w:ascii="Times New Roman" w:eastAsia="Calibri" w:hAnsi="Times New Roman"/>
          <w:color w:val="000000"/>
          <w:sz w:val="20"/>
          <w:szCs w:val="20"/>
          <w:lang w:val="en-IN" w:eastAsia="en-IN"/>
        </w:rPr>
        <w:t xml:space="preserve">The details of the borrowings availed by our Company, which are proposed to be </w:t>
      </w:r>
      <w:r w:rsidRPr="001A423D">
        <w:rPr>
          <w:rFonts w:ascii="Times New Roman" w:eastAsia="Calibri" w:hAnsi="Times New Roman"/>
          <w:color w:val="000000"/>
          <w:sz w:val="20"/>
          <w:szCs w:val="20"/>
          <w:lang w:eastAsia="en-IN"/>
        </w:rPr>
        <w:t>fully or partially repaid or pre-paid from the Net Proceeds is mentioned below:</w:t>
      </w:r>
    </w:p>
    <w:p w14:paraId="532E9C52"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color w:val="000000"/>
          <w:sz w:val="20"/>
          <w:szCs w:val="20"/>
          <w:lang w:eastAsia="en-IN"/>
        </w:rPr>
      </w:pPr>
    </w:p>
    <w:tbl>
      <w:tblPr>
        <w:tblStyle w:val="TableGrid"/>
        <w:tblW w:w="10416" w:type="dxa"/>
        <w:tblLook w:val="04A0" w:firstRow="1" w:lastRow="0" w:firstColumn="1" w:lastColumn="0" w:noHBand="0" w:noVBand="1"/>
      </w:tblPr>
      <w:tblGrid>
        <w:gridCol w:w="522"/>
        <w:gridCol w:w="1003"/>
        <w:gridCol w:w="1148"/>
        <w:gridCol w:w="1161"/>
        <w:gridCol w:w="1286"/>
        <w:gridCol w:w="1257"/>
        <w:gridCol w:w="1194"/>
        <w:gridCol w:w="1261"/>
        <w:gridCol w:w="1584"/>
      </w:tblGrid>
      <w:tr w:rsidR="00CB2D76" w:rsidRPr="001A423D" w14:paraId="4ADE1A3F" w14:textId="77777777" w:rsidTr="009C1E14">
        <w:tc>
          <w:tcPr>
            <w:tcW w:w="522" w:type="dxa"/>
            <w:shd w:val="clear" w:color="auto" w:fill="D0CECE"/>
          </w:tcPr>
          <w:p w14:paraId="3E2FC823" w14:textId="77777777" w:rsidR="00CB2D76" w:rsidRPr="001A423D" w:rsidRDefault="00CB2D76" w:rsidP="00CB2D76">
            <w:pPr>
              <w:spacing w:after="0" w:line="240" w:lineRule="auto"/>
              <w:jc w:val="both"/>
              <w:rPr>
                <w:rFonts w:ascii="Times New Roman" w:hAnsi="Times New Roman"/>
                <w:b/>
              </w:rPr>
            </w:pPr>
            <w:bookmarkStart w:id="7" w:name="_Hlk134452972"/>
            <w:r w:rsidRPr="001A423D">
              <w:rPr>
                <w:rFonts w:ascii="Times New Roman" w:hAnsi="Times New Roman"/>
                <w:b/>
              </w:rPr>
              <w:t>Sr.</w:t>
            </w:r>
          </w:p>
          <w:p w14:paraId="4A1DB218" w14:textId="77777777" w:rsidR="00CB2D76" w:rsidRPr="001A423D" w:rsidRDefault="00CB2D76" w:rsidP="00CB2D76">
            <w:pPr>
              <w:spacing w:after="0" w:line="240" w:lineRule="auto"/>
              <w:jc w:val="both"/>
              <w:rPr>
                <w:rFonts w:ascii="Times New Roman" w:hAnsi="Times New Roman"/>
                <w:b/>
              </w:rPr>
            </w:pPr>
            <w:r w:rsidRPr="001A423D">
              <w:rPr>
                <w:rFonts w:ascii="Times New Roman" w:hAnsi="Times New Roman"/>
                <w:b/>
              </w:rPr>
              <w:t>No.</w:t>
            </w:r>
          </w:p>
        </w:tc>
        <w:tc>
          <w:tcPr>
            <w:tcW w:w="1003" w:type="dxa"/>
            <w:shd w:val="clear" w:color="auto" w:fill="D0CECE"/>
          </w:tcPr>
          <w:p w14:paraId="70461237" w14:textId="77777777" w:rsidR="00CB2D76" w:rsidRPr="001A423D" w:rsidRDefault="00CB2D76" w:rsidP="00CB2D76">
            <w:pPr>
              <w:spacing w:after="0" w:line="240" w:lineRule="auto"/>
              <w:jc w:val="both"/>
              <w:rPr>
                <w:rFonts w:ascii="Times New Roman" w:hAnsi="Times New Roman"/>
                <w:b/>
              </w:rPr>
            </w:pPr>
            <w:r w:rsidRPr="001A423D">
              <w:rPr>
                <w:rFonts w:ascii="Times New Roman" w:hAnsi="Times New Roman"/>
                <w:b/>
              </w:rPr>
              <w:t>Name of</w:t>
            </w:r>
          </w:p>
          <w:p w14:paraId="4B35BD78" w14:textId="77777777" w:rsidR="00CB2D76" w:rsidRPr="001A423D" w:rsidRDefault="00CB2D76" w:rsidP="00CB2D76">
            <w:pPr>
              <w:spacing w:after="0" w:line="240" w:lineRule="auto"/>
              <w:jc w:val="both"/>
              <w:rPr>
                <w:rFonts w:ascii="Times New Roman" w:hAnsi="Times New Roman"/>
                <w:b/>
              </w:rPr>
            </w:pPr>
            <w:r w:rsidRPr="001A423D">
              <w:rPr>
                <w:rFonts w:ascii="Times New Roman" w:hAnsi="Times New Roman"/>
                <w:b/>
              </w:rPr>
              <w:t>the lender</w:t>
            </w:r>
          </w:p>
        </w:tc>
        <w:tc>
          <w:tcPr>
            <w:tcW w:w="1148" w:type="dxa"/>
            <w:shd w:val="clear" w:color="auto" w:fill="D0CECE"/>
          </w:tcPr>
          <w:p w14:paraId="67B2773D" w14:textId="77777777" w:rsidR="00CB2D76" w:rsidRPr="001A423D" w:rsidRDefault="00CB2D76" w:rsidP="00CB2D76">
            <w:pPr>
              <w:spacing w:after="0" w:line="240" w:lineRule="auto"/>
              <w:jc w:val="both"/>
              <w:rPr>
                <w:rFonts w:ascii="Times New Roman" w:hAnsi="Times New Roman"/>
                <w:b/>
              </w:rPr>
            </w:pPr>
            <w:r w:rsidRPr="001A423D">
              <w:rPr>
                <w:rFonts w:ascii="Times New Roman" w:hAnsi="Times New Roman"/>
                <w:b/>
              </w:rPr>
              <w:t>Nature of</w:t>
            </w:r>
          </w:p>
          <w:p w14:paraId="44954669" w14:textId="77777777" w:rsidR="00CB2D76" w:rsidRPr="001A423D" w:rsidRDefault="00CB2D76" w:rsidP="00CB2D76">
            <w:pPr>
              <w:spacing w:after="0" w:line="240" w:lineRule="auto"/>
              <w:jc w:val="both"/>
              <w:rPr>
                <w:rFonts w:ascii="Times New Roman" w:hAnsi="Times New Roman"/>
                <w:b/>
              </w:rPr>
            </w:pPr>
            <w:r w:rsidRPr="001A423D">
              <w:rPr>
                <w:rFonts w:ascii="Times New Roman" w:hAnsi="Times New Roman"/>
                <w:b/>
              </w:rPr>
              <w:t>the</w:t>
            </w:r>
          </w:p>
          <w:p w14:paraId="2DBB0F86" w14:textId="77777777" w:rsidR="00CB2D76" w:rsidRPr="001A423D" w:rsidRDefault="00CB2D76" w:rsidP="00CB2D76">
            <w:pPr>
              <w:spacing w:after="0" w:line="240" w:lineRule="auto"/>
              <w:jc w:val="both"/>
              <w:rPr>
                <w:rFonts w:ascii="Times New Roman" w:hAnsi="Times New Roman"/>
                <w:b/>
              </w:rPr>
            </w:pPr>
            <w:r w:rsidRPr="001A423D">
              <w:rPr>
                <w:rFonts w:ascii="Times New Roman" w:hAnsi="Times New Roman"/>
                <w:b/>
              </w:rPr>
              <w:t>borrowing</w:t>
            </w:r>
          </w:p>
        </w:tc>
        <w:tc>
          <w:tcPr>
            <w:tcW w:w="1161" w:type="dxa"/>
            <w:shd w:val="clear" w:color="auto" w:fill="D0CECE"/>
          </w:tcPr>
          <w:p w14:paraId="7C4F584D" w14:textId="77777777" w:rsidR="00CB2D76" w:rsidRPr="001A423D" w:rsidRDefault="00CB2D76" w:rsidP="00CB2D76">
            <w:pPr>
              <w:spacing w:after="0" w:line="240" w:lineRule="auto"/>
              <w:jc w:val="both"/>
              <w:rPr>
                <w:rFonts w:ascii="Times New Roman" w:hAnsi="Times New Roman"/>
                <w:b/>
              </w:rPr>
            </w:pPr>
            <w:r w:rsidRPr="001A423D">
              <w:rPr>
                <w:rFonts w:ascii="Times New Roman" w:hAnsi="Times New Roman"/>
                <w:b/>
              </w:rPr>
              <w:t>Sanctioned</w:t>
            </w:r>
          </w:p>
          <w:p w14:paraId="0AFB6CE6" w14:textId="77777777" w:rsidR="00CB2D76" w:rsidRPr="001A423D" w:rsidRDefault="00CB2D76" w:rsidP="00CB2D76">
            <w:pPr>
              <w:spacing w:after="0" w:line="240" w:lineRule="auto"/>
              <w:jc w:val="both"/>
              <w:rPr>
                <w:rFonts w:ascii="Times New Roman" w:hAnsi="Times New Roman"/>
                <w:b/>
              </w:rPr>
            </w:pPr>
            <w:r w:rsidRPr="001A423D">
              <w:rPr>
                <w:rFonts w:ascii="Times New Roman" w:hAnsi="Times New Roman"/>
                <w:b/>
              </w:rPr>
              <w:t xml:space="preserve">amount </w:t>
            </w:r>
          </w:p>
          <w:p w14:paraId="6A8D6ED2" w14:textId="77777777" w:rsidR="00CB2D76" w:rsidRPr="001A423D" w:rsidRDefault="00CB2D76" w:rsidP="00CB2D76">
            <w:pPr>
              <w:spacing w:after="0" w:line="240" w:lineRule="auto"/>
              <w:jc w:val="both"/>
              <w:rPr>
                <w:rFonts w:ascii="Times New Roman" w:hAnsi="Times New Roman"/>
                <w:b/>
              </w:rPr>
            </w:pPr>
            <w:r w:rsidRPr="001A423D">
              <w:rPr>
                <w:rFonts w:ascii="Times New Roman" w:hAnsi="Times New Roman"/>
                <w:b/>
              </w:rPr>
              <w:t>(in ₹ lakhs)</w:t>
            </w:r>
          </w:p>
        </w:tc>
        <w:tc>
          <w:tcPr>
            <w:tcW w:w="1286" w:type="dxa"/>
            <w:shd w:val="clear" w:color="auto" w:fill="D0CECE"/>
          </w:tcPr>
          <w:p w14:paraId="4EE16221" w14:textId="77777777" w:rsidR="00CB2D76" w:rsidRPr="001A423D" w:rsidRDefault="00CB2D76" w:rsidP="00CB2D76">
            <w:pPr>
              <w:spacing w:after="0" w:line="240" w:lineRule="auto"/>
              <w:jc w:val="both"/>
              <w:rPr>
                <w:rFonts w:ascii="Times New Roman" w:hAnsi="Times New Roman"/>
                <w:b/>
              </w:rPr>
            </w:pPr>
            <w:r w:rsidRPr="001A423D">
              <w:rPr>
                <w:rFonts w:ascii="Times New Roman" w:hAnsi="Times New Roman"/>
                <w:b/>
              </w:rPr>
              <w:t>Amount</w:t>
            </w:r>
          </w:p>
          <w:p w14:paraId="377E5EC9" w14:textId="77777777" w:rsidR="00CB2D76" w:rsidRPr="001A423D" w:rsidRDefault="00CB2D76" w:rsidP="00CB2D76">
            <w:pPr>
              <w:spacing w:after="0" w:line="240" w:lineRule="auto"/>
              <w:jc w:val="both"/>
              <w:rPr>
                <w:rFonts w:ascii="Times New Roman" w:hAnsi="Times New Roman"/>
                <w:b/>
              </w:rPr>
            </w:pPr>
            <w:r w:rsidRPr="001A423D">
              <w:rPr>
                <w:rFonts w:ascii="Times New Roman" w:hAnsi="Times New Roman"/>
                <w:b/>
              </w:rPr>
              <w:t>Outstanding as at</w:t>
            </w:r>
          </w:p>
          <w:p w14:paraId="060713D9" w14:textId="77777777" w:rsidR="00CB2D76" w:rsidRPr="001A423D" w:rsidRDefault="00CB2D76" w:rsidP="00CB2D76">
            <w:pPr>
              <w:spacing w:after="0" w:line="240" w:lineRule="auto"/>
              <w:jc w:val="both"/>
              <w:rPr>
                <w:rFonts w:ascii="Times New Roman" w:hAnsi="Times New Roman"/>
                <w:b/>
              </w:rPr>
            </w:pPr>
            <w:r>
              <w:rPr>
                <w:rFonts w:ascii="Times New Roman" w:hAnsi="Times New Roman"/>
                <w:b/>
              </w:rPr>
              <w:t>August</w:t>
            </w:r>
            <w:r w:rsidRPr="001A423D">
              <w:rPr>
                <w:rFonts w:ascii="Times New Roman" w:hAnsi="Times New Roman"/>
                <w:b/>
              </w:rPr>
              <w:t xml:space="preserve"> </w:t>
            </w:r>
            <w:r>
              <w:rPr>
                <w:rFonts w:ascii="Times New Roman" w:hAnsi="Times New Roman"/>
                <w:b/>
              </w:rPr>
              <w:t>3</w:t>
            </w:r>
            <w:r w:rsidRPr="001A423D">
              <w:rPr>
                <w:rFonts w:ascii="Times New Roman" w:hAnsi="Times New Roman"/>
                <w:b/>
              </w:rPr>
              <w:t>1, 2023 (in ₹ lakhs)</w:t>
            </w:r>
          </w:p>
        </w:tc>
        <w:tc>
          <w:tcPr>
            <w:tcW w:w="1257" w:type="dxa"/>
            <w:shd w:val="clear" w:color="auto" w:fill="D0CECE"/>
          </w:tcPr>
          <w:p w14:paraId="5891229A" w14:textId="77777777" w:rsidR="00CB2D76" w:rsidRPr="001A423D" w:rsidRDefault="00CB2D76" w:rsidP="00CB2D76">
            <w:pPr>
              <w:spacing w:after="0" w:line="240" w:lineRule="auto"/>
              <w:jc w:val="both"/>
              <w:rPr>
                <w:rFonts w:ascii="Times New Roman" w:hAnsi="Times New Roman"/>
                <w:b/>
              </w:rPr>
            </w:pPr>
            <w:r w:rsidRPr="001A423D">
              <w:rPr>
                <w:rFonts w:ascii="Times New Roman" w:hAnsi="Times New Roman"/>
                <w:b/>
              </w:rPr>
              <w:t>Rate of</w:t>
            </w:r>
          </w:p>
          <w:p w14:paraId="52E965AE" w14:textId="77777777" w:rsidR="00CB2D76" w:rsidRPr="001A423D" w:rsidRDefault="00CB2D76" w:rsidP="00CB2D76">
            <w:pPr>
              <w:spacing w:after="0" w:line="240" w:lineRule="auto"/>
              <w:jc w:val="both"/>
              <w:rPr>
                <w:rFonts w:ascii="Times New Roman" w:hAnsi="Times New Roman"/>
                <w:b/>
              </w:rPr>
            </w:pPr>
            <w:r w:rsidRPr="001A423D">
              <w:rPr>
                <w:rFonts w:ascii="Times New Roman" w:hAnsi="Times New Roman"/>
                <w:b/>
              </w:rPr>
              <w:t>interest</w:t>
            </w:r>
          </w:p>
          <w:p w14:paraId="5EEEA817" w14:textId="77777777" w:rsidR="00CB2D76" w:rsidRPr="001A423D" w:rsidRDefault="00CB2D76" w:rsidP="00CB2D76">
            <w:pPr>
              <w:spacing w:after="0" w:line="240" w:lineRule="auto"/>
              <w:jc w:val="both"/>
              <w:rPr>
                <w:rFonts w:ascii="Times New Roman" w:hAnsi="Times New Roman"/>
                <w:b/>
              </w:rPr>
            </w:pPr>
            <w:r w:rsidRPr="001A423D">
              <w:rPr>
                <w:rFonts w:ascii="Times New Roman" w:hAnsi="Times New Roman"/>
                <w:b/>
              </w:rPr>
              <w:t>(%)</w:t>
            </w:r>
          </w:p>
          <w:p w14:paraId="04B35912" w14:textId="77777777" w:rsidR="00CB2D76" w:rsidRPr="001A423D" w:rsidRDefault="00CB2D76" w:rsidP="00CB2D76">
            <w:pPr>
              <w:spacing w:after="0" w:line="240" w:lineRule="auto"/>
              <w:jc w:val="both"/>
              <w:rPr>
                <w:rFonts w:ascii="Times New Roman" w:hAnsi="Times New Roman"/>
                <w:b/>
              </w:rPr>
            </w:pPr>
          </w:p>
        </w:tc>
        <w:tc>
          <w:tcPr>
            <w:tcW w:w="1194" w:type="dxa"/>
            <w:shd w:val="clear" w:color="auto" w:fill="D0CECE"/>
          </w:tcPr>
          <w:p w14:paraId="6F6CAB6D" w14:textId="77777777" w:rsidR="00CB2D76" w:rsidRPr="001A423D" w:rsidRDefault="00CB2D76" w:rsidP="00CB2D76">
            <w:pPr>
              <w:spacing w:after="0" w:line="240" w:lineRule="auto"/>
              <w:jc w:val="both"/>
              <w:rPr>
                <w:rFonts w:ascii="Times New Roman" w:hAnsi="Times New Roman"/>
                <w:b/>
              </w:rPr>
            </w:pPr>
            <w:r w:rsidRPr="001A423D">
              <w:rPr>
                <w:rFonts w:ascii="Times New Roman" w:hAnsi="Times New Roman"/>
                <w:b/>
              </w:rPr>
              <w:t>Repayment</w:t>
            </w:r>
          </w:p>
          <w:p w14:paraId="36F97507" w14:textId="77777777" w:rsidR="00CB2D76" w:rsidRPr="001A423D" w:rsidRDefault="00CB2D76" w:rsidP="00CB2D76">
            <w:pPr>
              <w:spacing w:after="0" w:line="240" w:lineRule="auto"/>
              <w:jc w:val="both"/>
              <w:rPr>
                <w:rFonts w:ascii="Times New Roman" w:hAnsi="Times New Roman"/>
                <w:b/>
              </w:rPr>
            </w:pPr>
            <w:r w:rsidRPr="001A423D">
              <w:rPr>
                <w:rFonts w:ascii="Times New Roman" w:hAnsi="Times New Roman"/>
                <w:b/>
              </w:rPr>
              <w:t>date/</w:t>
            </w:r>
          </w:p>
          <w:p w14:paraId="1B0B4DE9" w14:textId="77777777" w:rsidR="00CB2D76" w:rsidRPr="001A423D" w:rsidRDefault="00CB2D76" w:rsidP="00CB2D76">
            <w:pPr>
              <w:spacing w:after="0" w:line="240" w:lineRule="auto"/>
              <w:jc w:val="both"/>
              <w:rPr>
                <w:rFonts w:ascii="Times New Roman" w:hAnsi="Times New Roman"/>
                <w:b/>
              </w:rPr>
            </w:pPr>
            <w:r w:rsidRPr="001A423D">
              <w:rPr>
                <w:rFonts w:ascii="Times New Roman" w:hAnsi="Times New Roman"/>
                <w:b/>
              </w:rPr>
              <w:t>Schedule</w:t>
            </w:r>
          </w:p>
        </w:tc>
        <w:tc>
          <w:tcPr>
            <w:tcW w:w="1261" w:type="dxa"/>
            <w:shd w:val="clear" w:color="auto" w:fill="D0CECE"/>
          </w:tcPr>
          <w:p w14:paraId="1BB8983F" w14:textId="77777777" w:rsidR="00CB2D76" w:rsidRPr="001A423D" w:rsidRDefault="00CB2D76" w:rsidP="00CB2D76">
            <w:pPr>
              <w:spacing w:after="0" w:line="240" w:lineRule="auto"/>
              <w:jc w:val="both"/>
              <w:rPr>
                <w:rFonts w:ascii="Times New Roman" w:hAnsi="Times New Roman"/>
                <w:b/>
              </w:rPr>
            </w:pPr>
            <w:r w:rsidRPr="001A423D">
              <w:rPr>
                <w:rFonts w:ascii="Times New Roman" w:hAnsi="Times New Roman"/>
                <w:b/>
              </w:rPr>
              <w:t>Prepayment Penalty</w:t>
            </w:r>
          </w:p>
        </w:tc>
        <w:tc>
          <w:tcPr>
            <w:tcW w:w="1584" w:type="dxa"/>
            <w:shd w:val="clear" w:color="auto" w:fill="D0CECE"/>
          </w:tcPr>
          <w:p w14:paraId="13B56FFF" w14:textId="77777777" w:rsidR="00CB2D76" w:rsidRPr="001A423D" w:rsidRDefault="00CB2D76" w:rsidP="00CB2D76">
            <w:pPr>
              <w:spacing w:after="0" w:line="240" w:lineRule="auto"/>
              <w:jc w:val="both"/>
              <w:rPr>
                <w:rFonts w:ascii="Times New Roman" w:hAnsi="Times New Roman"/>
                <w:b/>
              </w:rPr>
            </w:pPr>
            <w:r w:rsidRPr="001A423D">
              <w:rPr>
                <w:rFonts w:ascii="Times New Roman" w:hAnsi="Times New Roman"/>
                <w:b/>
              </w:rPr>
              <w:t>Purpose for which the</w:t>
            </w:r>
          </w:p>
          <w:p w14:paraId="32964B93" w14:textId="77777777" w:rsidR="00CB2D76" w:rsidRPr="001A423D" w:rsidRDefault="00CB2D76" w:rsidP="00CB2D76">
            <w:pPr>
              <w:spacing w:after="0" w:line="240" w:lineRule="auto"/>
              <w:jc w:val="both"/>
              <w:rPr>
                <w:rFonts w:ascii="Times New Roman" w:hAnsi="Times New Roman"/>
                <w:b/>
              </w:rPr>
            </w:pPr>
            <w:r w:rsidRPr="001A423D">
              <w:rPr>
                <w:rFonts w:ascii="Times New Roman" w:hAnsi="Times New Roman"/>
                <w:b/>
              </w:rPr>
              <w:t>loan was sanctioned*</w:t>
            </w:r>
          </w:p>
        </w:tc>
      </w:tr>
      <w:tr w:rsidR="00CB2D76" w:rsidRPr="001A423D" w14:paraId="15A1BC07" w14:textId="77777777" w:rsidTr="009C1E14">
        <w:tc>
          <w:tcPr>
            <w:tcW w:w="522" w:type="dxa"/>
            <w:vAlign w:val="center"/>
          </w:tcPr>
          <w:p w14:paraId="45A1C68B" w14:textId="77777777" w:rsidR="00CB2D76" w:rsidRPr="001A423D" w:rsidRDefault="00CB2D76" w:rsidP="00CB2D76">
            <w:pPr>
              <w:autoSpaceDE w:val="0"/>
              <w:autoSpaceDN w:val="0"/>
              <w:adjustRightInd w:val="0"/>
              <w:spacing w:after="0" w:line="240" w:lineRule="auto"/>
              <w:jc w:val="center"/>
              <w:rPr>
                <w:rFonts w:ascii="Times New Roman" w:hAnsi="Times New Roman"/>
                <w:color w:val="000000"/>
              </w:rPr>
            </w:pPr>
            <w:r w:rsidRPr="001A423D">
              <w:rPr>
                <w:rFonts w:ascii="Times New Roman" w:hAnsi="Times New Roman"/>
                <w:color w:val="000000"/>
              </w:rPr>
              <w:t>1</w:t>
            </w:r>
          </w:p>
        </w:tc>
        <w:tc>
          <w:tcPr>
            <w:tcW w:w="1003" w:type="dxa"/>
            <w:vAlign w:val="center"/>
          </w:tcPr>
          <w:p w14:paraId="6A4A8C4C" w14:textId="77777777" w:rsidR="00CB2D76" w:rsidRPr="001A423D" w:rsidRDefault="00CB2D76" w:rsidP="00CB2D76">
            <w:pPr>
              <w:autoSpaceDE w:val="0"/>
              <w:autoSpaceDN w:val="0"/>
              <w:adjustRightInd w:val="0"/>
              <w:spacing w:after="0" w:line="240" w:lineRule="auto"/>
              <w:jc w:val="center"/>
              <w:rPr>
                <w:rFonts w:ascii="Times New Roman" w:hAnsi="Times New Roman"/>
                <w:color w:val="000000"/>
              </w:rPr>
            </w:pPr>
            <w:r w:rsidRPr="00AE1263">
              <w:rPr>
                <w:rFonts w:ascii="Times New Roman" w:hAnsi="Times New Roman"/>
                <w:color w:val="000000"/>
              </w:rPr>
              <w:t>Union Bank of India</w:t>
            </w:r>
          </w:p>
        </w:tc>
        <w:tc>
          <w:tcPr>
            <w:tcW w:w="1148" w:type="dxa"/>
            <w:vAlign w:val="center"/>
          </w:tcPr>
          <w:p w14:paraId="48F53C97" w14:textId="77777777" w:rsidR="00CB2D76" w:rsidRPr="001A423D" w:rsidRDefault="00CB2D76" w:rsidP="00CB2D7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Cash Credit facility</w:t>
            </w:r>
          </w:p>
        </w:tc>
        <w:tc>
          <w:tcPr>
            <w:tcW w:w="1161" w:type="dxa"/>
            <w:vAlign w:val="center"/>
          </w:tcPr>
          <w:p w14:paraId="032245CD" w14:textId="2379F35D" w:rsidR="00CB2D76" w:rsidRPr="001A423D" w:rsidRDefault="00CB2D76" w:rsidP="00CB2D7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4,600.00</w:t>
            </w:r>
          </w:p>
        </w:tc>
        <w:tc>
          <w:tcPr>
            <w:tcW w:w="1286" w:type="dxa"/>
            <w:vAlign w:val="center"/>
          </w:tcPr>
          <w:p w14:paraId="54DC6DE3" w14:textId="77777777" w:rsidR="00CB2D76" w:rsidRPr="001A423D" w:rsidRDefault="00CB2D76" w:rsidP="00CB2D76">
            <w:pPr>
              <w:autoSpaceDE w:val="0"/>
              <w:autoSpaceDN w:val="0"/>
              <w:adjustRightInd w:val="0"/>
              <w:spacing w:after="0" w:line="240" w:lineRule="auto"/>
              <w:jc w:val="center"/>
              <w:rPr>
                <w:rFonts w:ascii="Times New Roman" w:hAnsi="Times New Roman"/>
                <w:color w:val="000000"/>
              </w:rPr>
            </w:pPr>
            <w:r w:rsidRPr="00AE1263">
              <w:rPr>
                <w:rFonts w:ascii="Times New Roman" w:hAnsi="Times New Roman"/>
                <w:color w:val="000000"/>
                <w:highlight w:val="yellow"/>
              </w:rPr>
              <w:t>Xxxxx</w:t>
            </w:r>
          </w:p>
        </w:tc>
        <w:tc>
          <w:tcPr>
            <w:tcW w:w="1257" w:type="dxa"/>
            <w:vAlign w:val="center"/>
          </w:tcPr>
          <w:p w14:paraId="277081F3" w14:textId="77777777" w:rsidR="00CB2D76" w:rsidRPr="001A423D" w:rsidRDefault="00CB2D76" w:rsidP="00CB2D7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10.80%</w:t>
            </w:r>
          </w:p>
        </w:tc>
        <w:tc>
          <w:tcPr>
            <w:tcW w:w="1194" w:type="dxa"/>
            <w:vAlign w:val="center"/>
          </w:tcPr>
          <w:p w14:paraId="223601A6" w14:textId="77777777" w:rsidR="00CB2D76" w:rsidRPr="001A423D" w:rsidRDefault="00CB2D76" w:rsidP="00CB2D7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On demand</w:t>
            </w:r>
          </w:p>
        </w:tc>
        <w:tc>
          <w:tcPr>
            <w:tcW w:w="1261" w:type="dxa"/>
            <w:vAlign w:val="center"/>
          </w:tcPr>
          <w:p w14:paraId="0CEA03E4" w14:textId="77777777" w:rsidR="00CB2D76" w:rsidRPr="001A423D" w:rsidRDefault="00CB2D76" w:rsidP="00CB2D76">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Not specified</w:t>
            </w:r>
          </w:p>
        </w:tc>
        <w:tc>
          <w:tcPr>
            <w:tcW w:w="1584" w:type="dxa"/>
            <w:vAlign w:val="center"/>
          </w:tcPr>
          <w:p w14:paraId="08A3F95B" w14:textId="77777777" w:rsidR="00CB2D76" w:rsidRPr="001A423D" w:rsidRDefault="00CB2D76" w:rsidP="00CB2D76">
            <w:pPr>
              <w:autoSpaceDE w:val="0"/>
              <w:autoSpaceDN w:val="0"/>
              <w:adjustRightInd w:val="0"/>
              <w:spacing w:after="0" w:line="240" w:lineRule="auto"/>
              <w:jc w:val="center"/>
              <w:rPr>
                <w:rFonts w:ascii="Times New Roman" w:hAnsi="Times New Roman"/>
                <w:color w:val="000000"/>
              </w:rPr>
            </w:pPr>
            <w:r w:rsidRPr="00DC564D">
              <w:rPr>
                <w:rFonts w:ascii="Times New Roman" w:hAnsi="Times New Roman"/>
                <w:color w:val="000000"/>
                <w:highlight w:val="yellow"/>
              </w:rPr>
              <w:t>Xxxxx</w:t>
            </w:r>
          </w:p>
        </w:tc>
      </w:tr>
    </w:tbl>
    <w:bookmarkEnd w:id="7"/>
    <w:p w14:paraId="2268E113" w14:textId="7AAA27EA" w:rsidR="00CB2D76" w:rsidRPr="00CB2D76" w:rsidRDefault="00CB2D76" w:rsidP="00CB2D76">
      <w:pPr>
        <w:autoSpaceDE w:val="0"/>
        <w:autoSpaceDN w:val="0"/>
        <w:adjustRightInd w:val="0"/>
        <w:spacing w:after="0" w:line="240" w:lineRule="auto"/>
        <w:jc w:val="both"/>
        <w:rPr>
          <w:rFonts w:ascii="Times New Roman" w:eastAsia="Calibri" w:hAnsi="Times New Roman"/>
          <w:bCs/>
          <w:i/>
          <w:iCs/>
          <w:sz w:val="20"/>
          <w:szCs w:val="20"/>
          <w:lang w:val="en-IN" w:eastAsia="en-IN"/>
        </w:rPr>
      </w:pPr>
      <w:r w:rsidRPr="00CB2D76">
        <w:rPr>
          <w:rFonts w:ascii="Times New Roman" w:eastAsia="Calibri" w:hAnsi="Times New Roman"/>
          <w:bCs/>
          <w:i/>
          <w:iCs/>
          <w:sz w:val="20"/>
          <w:szCs w:val="20"/>
          <w:lang w:val="en-IN" w:eastAsia="en-IN"/>
        </w:rPr>
        <w:t xml:space="preserve">Note: The details included in the above table have been certified by our Statutory Auditors pursuant to their certificate dated </w:t>
      </w:r>
      <w:r w:rsidR="00D53C9F" w:rsidRPr="00D53C9F">
        <w:rPr>
          <w:rFonts w:ascii="Times New Roman" w:eastAsia="Calibri" w:hAnsi="Times New Roman"/>
          <w:bCs/>
          <w:i/>
          <w:iCs/>
          <w:sz w:val="20"/>
          <w:szCs w:val="20"/>
          <w:highlight w:val="yellow"/>
          <w:lang w:val="en-IN" w:eastAsia="en-IN"/>
        </w:rPr>
        <w:t>______________</w:t>
      </w:r>
      <w:r w:rsidRPr="00D53C9F">
        <w:rPr>
          <w:rFonts w:ascii="Times New Roman" w:eastAsia="Calibri" w:hAnsi="Times New Roman"/>
          <w:bCs/>
          <w:i/>
          <w:iCs/>
          <w:sz w:val="20"/>
          <w:szCs w:val="20"/>
          <w:highlight w:val="yellow"/>
          <w:lang w:val="en-IN" w:eastAsia="en-IN"/>
        </w:rPr>
        <w:t>.</w:t>
      </w:r>
    </w:p>
    <w:p w14:paraId="2C8F6374"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bCs/>
          <w:sz w:val="20"/>
          <w:szCs w:val="20"/>
          <w:lang w:val="en-IN" w:eastAsia="en-IN"/>
        </w:rPr>
      </w:pPr>
    </w:p>
    <w:p w14:paraId="13E732E8" w14:textId="20C0A519" w:rsidR="00CB2D76" w:rsidRDefault="00CB2D76" w:rsidP="00CB2D76">
      <w:pPr>
        <w:autoSpaceDE w:val="0"/>
        <w:autoSpaceDN w:val="0"/>
        <w:adjustRightInd w:val="0"/>
        <w:spacing w:after="0" w:line="240" w:lineRule="auto"/>
        <w:jc w:val="both"/>
        <w:rPr>
          <w:rFonts w:ascii="Times New Roman" w:eastAsia="Calibri" w:hAnsi="Times New Roman"/>
          <w:bCs/>
          <w:sz w:val="20"/>
          <w:szCs w:val="20"/>
          <w:lang w:val="en-IN" w:eastAsia="en-IN"/>
        </w:rPr>
      </w:pPr>
      <w:r w:rsidRPr="001A423D">
        <w:rPr>
          <w:rFonts w:ascii="Times New Roman" w:eastAsia="Calibri" w:hAnsi="Times New Roman"/>
          <w:bCs/>
          <w:sz w:val="20"/>
          <w:szCs w:val="20"/>
          <w:lang w:val="en-IN" w:eastAsia="en-IN"/>
        </w:rPr>
        <w:t xml:space="preserve">*Our Statutory Auditors by way of their certificate dated </w:t>
      </w:r>
      <w:r w:rsidR="00D53C9F" w:rsidRPr="00D53C9F">
        <w:rPr>
          <w:rFonts w:ascii="Times New Roman" w:eastAsia="Calibri" w:hAnsi="Times New Roman"/>
          <w:bCs/>
          <w:sz w:val="20"/>
          <w:szCs w:val="20"/>
          <w:highlight w:val="yellow"/>
          <w:lang w:val="en-IN" w:eastAsia="en-IN"/>
        </w:rPr>
        <w:t>______________</w:t>
      </w:r>
      <w:r w:rsidRPr="00D53C9F">
        <w:rPr>
          <w:rFonts w:ascii="Times New Roman" w:eastAsia="Calibri" w:hAnsi="Times New Roman"/>
          <w:bCs/>
          <w:sz w:val="20"/>
          <w:szCs w:val="20"/>
          <w:highlight w:val="yellow"/>
          <w:lang w:val="en-IN" w:eastAsia="en-IN"/>
        </w:rPr>
        <w:t>,</w:t>
      </w:r>
      <w:r w:rsidRPr="001A423D">
        <w:rPr>
          <w:rFonts w:ascii="Times New Roman" w:eastAsia="Calibri" w:hAnsi="Times New Roman"/>
          <w:bCs/>
          <w:sz w:val="20"/>
          <w:szCs w:val="20"/>
          <w:lang w:val="en-IN" w:eastAsia="en-IN"/>
        </w:rPr>
        <w:t xml:space="preserve"> have </w:t>
      </w:r>
      <w:bookmarkStart w:id="8" w:name="_Hlk134548935"/>
      <w:r w:rsidRPr="001A423D">
        <w:rPr>
          <w:rFonts w:ascii="Times New Roman" w:eastAsia="Calibri" w:hAnsi="Times New Roman"/>
          <w:bCs/>
          <w:sz w:val="20"/>
          <w:szCs w:val="20"/>
          <w:lang w:val="en-IN" w:eastAsia="en-IN"/>
        </w:rPr>
        <w:t>confirmed that the borrowings specified above has been utilized for the purposes availed, as per the sanction letters/loan agreements issued by the respective banks.</w:t>
      </w:r>
      <w:bookmarkEnd w:id="8"/>
    </w:p>
    <w:p w14:paraId="2798B8FD" w14:textId="77777777" w:rsidR="00CB2D76" w:rsidRDefault="00CB2D76" w:rsidP="00CB2D76">
      <w:pPr>
        <w:autoSpaceDE w:val="0"/>
        <w:autoSpaceDN w:val="0"/>
        <w:adjustRightInd w:val="0"/>
        <w:spacing w:after="0" w:line="240" w:lineRule="auto"/>
        <w:jc w:val="both"/>
        <w:rPr>
          <w:rFonts w:ascii="Times New Roman" w:eastAsia="Calibri" w:hAnsi="Times New Roman"/>
          <w:bCs/>
          <w:sz w:val="20"/>
          <w:szCs w:val="20"/>
          <w:lang w:val="en-IN" w:eastAsia="en-IN"/>
        </w:rPr>
      </w:pPr>
    </w:p>
    <w:p w14:paraId="28FD790F" w14:textId="153FC2E7" w:rsidR="00CB2D76" w:rsidRPr="001A423D" w:rsidRDefault="00CB2D76" w:rsidP="00CB2D76">
      <w:pPr>
        <w:autoSpaceDE w:val="0"/>
        <w:autoSpaceDN w:val="0"/>
        <w:adjustRightInd w:val="0"/>
        <w:spacing w:after="0" w:line="240" w:lineRule="auto"/>
        <w:jc w:val="both"/>
        <w:rPr>
          <w:rFonts w:ascii="Times New Roman" w:eastAsia="Calibri" w:hAnsi="Times New Roman"/>
          <w:bCs/>
          <w:sz w:val="20"/>
          <w:szCs w:val="20"/>
          <w:lang w:val="en-IN" w:eastAsia="en-IN"/>
        </w:rPr>
      </w:pPr>
      <w:r>
        <w:rPr>
          <w:rFonts w:ascii="Times New Roman" w:eastAsia="Calibri" w:hAnsi="Times New Roman"/>
          <w:bCs/>
          <w:sz w:val="20"/>
          <w:szCs w:val="20"/>
          <w:lang w:eastAsia="en-IN"/>
        </w:rPr>
        <w:t xml:space="preserve">The prepayment charges have not been specified in the sanction letter for repayment of CC limit. Thus, in case any charges are made by bank, the same </w:t>
      </w:r>
      <w:r w:rsidRPr="001A423D">
        <w:rPr>
          <w:rFonts w:ascii="Times New Roman" w:eastAsia="Calibri" w:hAnsi="Times New Roman"/>
          <w:bCs/>
          <w:sz w:val="20"/>
          <w:szCs w:val="20"/>
          <w:lang w:eastAsia="en-IN"/>
        </w:rPr>
        <w:t>will be funded from the internal accruals of our Company.</w:t>
      </w:r>
    </w:p>
    <w:p w14:paraId="1F1A024D" w14:textId="77777777" w:rsidR="00CB2D76" w:rsidRPr="001A423D" w:rsidRDefault="00CB2D76" w:rsidP="00CB2D76">
      <w:pPr>
        <w:autoSpaceDE w:val="0"/>
        <w:autoSpaceDN w:val="0"/>
        <w:adjustRightInd w:val="0"/>
        <w:spacing w:after="0" w:line="240" w:lineRule="auto"/>
        <w:ind w:left="426"/>
        <w:jc w:val="both"/>
        <w:rPr>
          <w:rFonts w:ascii="Times New Roman" w:eastAsia="Calibri" w:hAnsi="Times New Roman"/>
          <w:b/>
          <w:sz w:val="20"/>
          <w:szCs w:val="20"/>
          <w:lang w:val="en-IN" w:eastAsia="en-IN"/>
        </w:rPr>
      </w:pPr>
    </w:p>
    <w:p w14:paraId="43D7133F" w14:textId="77777777" w:rsidR="00CB2D76" w:rsidRPr="001A423D" w:rsidRDefault="00CB2D76">
      <w:pPr>
        <w:numPr>
          <w:ilvl w:val="0"/>
          <w:numId w:val="346"/>
        </w:numPr>
        <w:autoSpaceDE w:val="0"/>
        <w:autoSpaceDN w:val="0"/>
        <w:adjustRightInd w:val="0"/>
        <w:spacing w:after="0" w:line="240" w:lineRule="auto"/>
        <w:jc w:val="both"/>
        <w:rPr>
          <w:rFonts w:ascii="Times New Roman" w:eastAsia="Calibri" w:hAnsi="Times New Roman"/>
          <w:b/>
          <w:bCs/>
          <w:sz w:val="20"/>
          <w:szCs w:val="20"/>
          <w:lang w:val="en-IN" w:eastAsia="en-IN"/>
        </w:rPr>
      </w:pPr>
      <w:r w:rsidRPr="001A423D">
        <w:rPr>
          <w:rFonts w:ascii="Times New Roman" w:eastAsia="Calibri" w:hAnsi="Times New Roman"/>
          <w:b/>
          <w:bCs/>
          <w:sz w:val="20"/>
          <w:szCs w:val="20"/>
          <w:lang w:val="en-IN" w:eastAsia="en-IN"/>
        </w:rPr>
        <w:t>General Corporate Purpose</w:t>
      </w:r>
    </w:p>
    <w:p w14:paraId="2D0A3879"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sz w:val="20"/>
          <w:szCs w:val="20"/>
          <w:lang w:val="en-IN" w:eastAsia="en-IN"/>
        </w:rPr>
      </w:pPr>
    </w:p>
    <w:p w14:paraId="7C253299"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sz w:val="20"/>
          <w:szCs w:val="20"/>
          <w:lang w:val="en-IN" w:eastAsia="en-IN"/>
        </w:rPr>
      </w:pPr>
      <w:r w:rsidRPr="001A423D">
        <w:rPr>
          <w:rFonts w:ascii="Times New Roman" w:eastAsia="Calibri" w:hAnsi="Times New Roman"/>
          <w:sz w:val="20"/>
          <w:szCs w:val="20"/>
          <w:lang w:val="en-IN" w:eastAsia="en-IN"/>
        </w:rPr>
        <w:t xml:space="preserve">Our management, in accordance with the policies of our Board, will have flexibility in utilizing the proceeds earmarked for general corporate purposes. We intend to deploy the balance Fresh Issue proceeds aggregating ₹ </w:t>
      </w:r>
      <w:r w:rsidRPr="001A423D">
        <w:rPr>
          <w:rFonts w:ascii="Times New Roman" w:eastAsia="Calibri" w:hAnsi="Times New Roman"/>
          <w:bCs/>
          <w:color w:val="000000"/>
          <w:sz w:val="20"/>
          <w:szCs w:val="20"/>
          <w:lang w:val="en-IN" w:eastAsia="en-IN" w:bidi="en-US"/>
        </w:rPr>
        <w:t>[●]</w:t>
      </w:r>
      <w:r w:rsidRPr="001A423D">
        <w:rPr>
          <w:rFonts w:ascii="Times New Roman" w:eastAsia="Calibri" w:hAnsi="Times New Roman"/>
          <w:sz w:val="20"/>
          <w:szCs w:val="20"/>
          <w:lang w:val="en-IN" w:eastAsia="en-IN"/>
        </w:rPr>
        <w:t xml:space="preserve"> Lakhs towards the general corporate purposes to drive our business growth. In accordance with the policies set up by our Board, we have flexibility in applying the remaining Net Proceeds, for general corporate purpose including but not restricted to, meeting operating expenses, initial development costs for projects other than the identified projects, and the strengthening of our business development and marketing capabilities, meeting exigencies, which the Company in the ordinary course of business may not foresee or any other purposes as approved by our Board of Directors, subject to compliance with the necessary provisions of the Companies Act, 2013.</w:t>
      </w:r>
    </w:p>
    <w:p w14:paraId="3A132413"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sz w:val="20"/>
          <w:szCs w:val="20"/>
          <w:lang w:val="en-IN" w:eastAsia="en-IN"/>
        </w:rPr>
      </w:pPr>
    </w:p>
    <w:p w14:paraId="0B5BB68F"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sz w:val="20"/>
          <w:szCs w:val="20"/>
          <w:lang w:val="en-IN" w:eastAsia="en-IN"/>
        </w:rPr>
      </w:pPr>
      <w:r w:rsidRPr="001A423D">
        <w:rPr>
          <w:rFonts w:ascii="Times New Roman" w:eastAsia="Calibri" w:hAnsi="Times New Roman"/>
          <w:sz w:val="20"/>
          <w:szCs w:val="20"/>
          <w:lang w:val="en-IN" w:eastAsia="en-IN"/>
        </w:rPr>
        <w:t xml:space="preserve">We confirm that any issue related expenses shall not be considered as a part of General Corporate Purpose. </w:t>
      </w:r>
      <w:r w:rsidRPr="001A423D">
        <w:rPr>
          <w:rFonts w:ascii="Times New Roman" w:eastAsia="Calibri" w:hAnsi="Times New Roman"/>
          <w:color w:val="000000"/>
          <w:sz w:val="20"/>
          <w:szCs w:val="20"/>
          <w:lang w:val="en-IN" w:eastAsia="en-IN"/>
        </w:rPr>
        <w:t xml:space="preserve">Further in case, our actual issue expenses turn to be lesser than the estimated issue expenses of </w:t>
      </w:r>
      <w:r w:rsidRPr="001A423D">
        <w:rPr>
          <w:rFonts w:ascii="Times New Roman" w:eastAsia="Calibri" w:hAnsi="Times New Roman"/>
          <w:sz w:val="20"/>
          <w:szCs w:val="20"/>
          <w:lang w:val="en-IN" w:eastAsia="en-IN"/>
        </w:rPr>
        <w:t>₹</w:t>
      </w:r>
      <w:r w:rsidRPr="001A423D">
        <w:rPr>
          <w:rFonts w:ascii="Times New Roman" w:eastAsia="Calibri" w:hAnsi="Times New Roman"/>
          <w:color w:val="000000"/>
          <w:sz w:val="20"/>
          <w:szCs w:val="20"/>
          <w:lang w:val="en-IN" w:eastAsia="en-IN"/>
        </w:rPr>
        <w:t xml:space="preserve"> </w:t>
      </w:r>
      <w:r w:rsidRPr="001A423D">
        <w:rPr>
          <w:rFonts w:ascii="Times New Roman" w:eastAsia="Calibri" w:hAnsi="Times New Roman"/>
          <w:bCs/>
          <w:color w:val="000000"/>
          <w:sz w:val="20"/>
          <w:szCs w:val="20"/>
          <w:lang w:val="en-IN" w:eastAsia="en-IN" w:bidi="en-US"/>
        </w:rPr>
        <w:t>[●]</w:t>
      </w:r>
      <w:r w:rsidRPr="001A423D">
        <w:rPr>
          <w:rFonts w:ascii="Times New Roman" w:eastAsia="Calibri" w:hAnsi="Times New Roman"/>
          <w:color w:val="000000"/>
          <w:sz w:val="20"/>
          <w:szCs w:val="20"/>
          <w:lang w:val="en-IN" w:eastAsia="en-IN"/>
        </w:rPr>
        <w:t xml:space="preserve"> lakhs, such surplus amount shall be utilized for General Corporate Purpose in such a manner that the amount for general corporate purposes, as mentioned in the Red Herring Prospectus/ Prospectus, shall not exceed 25% of the amount raised by our Company through this Issue.</w:t>
      </w:r>
    </w:p>
    <w:p w14:paraId="587754A1" w14:textId="77777777" w:rsidR="00CB2D76" w:rsidRDefault="00CB2D76" w:rsidP="00CB2D76">
      <w:pPr>
        <w:autoSpaceDE w:val="0"/>
        <w:autoSpaceDN w:val="0"/>
        <w:adjustRightInd w:val="0"/>
        <w:spacing w:after="0" w:line="240" w:lineRule="auto"/>
        <w:jc w:val="both"/>
        <w:rPr>
          <w:rFonts w:ascii="Times New Roman" w:eastAsia="Calibri" w:hAnsi="Times New Roman"/>
          <w:sz w:val="20"/>
          <w:szCs w:val="20"/>
          <w:lang w:val="en-IN" w:eastAsia="en-IN"/>
        </w:rPr>
      </w:pPr>
    </w:p>
    <w:p w14:paraId="74F685AB"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sz w:val="20"/>
          <w:szCs w:val="20"/>
          <w:lang w:val="en-IN" w:eastAsia="en-IN"/>
        </w:rPr>
      </w:pPr>
      <w:r w:rsidRPr="001A423D">
        <w:rPr>
          <w:rFonts w:ascii="Times New Roman" w:eastAsia="Calibri" w:hAnsi="Times New Roman"/>
          <w:sz w:val="20"/>
          <w:szCs w:val="20"/>
          <w:lang w:val="en-IN" w:eastAsia="en-IN"/>
        </w:rPr>
        <w:t xml:space="preserve">The total estimated Issue Expenses are ₹ </w:t>
      </w:r>
      <w:r w:rsidRPr="001A423D">
        <w:rPr>
          <w:rFonts w:ascii="Times New Roman" w:eastAsia="Calibri" w:hAnsi="Times New Roman"/>
          <w:bCs/>
          <w:color w:val="000000"/>
          <w:sz w:val="20"/>
          <w:szCs w:val="20"/>
          <w:lang w:val="en-IN" w:eastAsia="en-IN" w:bidi="en-US"/>
        </w:rPr>
        <w:t>[●]</w:t>
      </w:r>
      <w:r w:rsidRPr="001A423D">
        <w:rPr>
          <w:rFonts w:ascii="Times New Roman" w:eastAsia="Calibri" w:hAnsi="Times New Roman"/>
          <w:sz w:val="20"/>
          <w:szCs w:val="20"/>
          <w:lang w:val="en-IN" w:eastAsia="en-IN"/>
        </w:rPr>
        <w:t xml:space="preserve"> Lakhs, which is </w:t>
      </w:r>
      <w:r w:rsidRPr="001A423D">
        <w:rPr>
          <w:rFonts w:ascii="Times New Roman" w:eastAsia="Calibri" w:hAnsi="Times New Roman"/>
          <w:bCs/>
          <w:color w:val="000000"/>
          <w:sz w:val="20"/>
          <w:szCs w:val="20"/>
          <w:lang w:val="en-IN" w:eastAsia="en-IN" w:bidi="en-US"/>
        </w:rPr>
        <w:t>[●]</w:t>
      </w:r>
      <w:r w:rsidRPr="001A423D">
        <w:rPr>
          <w:rFonts w:ascii="Times New Roman" w:eastAsia="Calibri" w:hAnsi="Times New Roman"/>
          <w:sz w:val="20"/>
          <w:szCs w:val="20"/>
          <w:lang w:val="en-IN" w:eastAsia="en-IN"/>
        </w:rPr>
        <w:t xml:space="preserve"> % of the total Issue Size. The details of the Issue Expenses are tabulated below:</w:t>
      </w:r>
    </w:p>
    <w:p w14:paraId="3072E184"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sz w:val="20"/>
          <w:szCs w:val="20"/>
          <w:lang w:val="en-IN" w:eastAsia="en-I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2"/>
        <w:gridCol w:w="1589"/>
        <w:gridCol w:w="1518"/>
        <w:gridCol w:w="1127"/>
      </w:tblGrid>
      <w:tr w:rsidR="00CB2D76" w:rsidRPr="001A423D" w14:paraId="5D24A8C2" w14:textId="77777777" w:rsidTr="00CB2D76">
        <w:trPr>
          <w:trHeight w:val="20"/>
          <w:tblHeader/>
        </w:trPr>
        <w:tc>
          <w:tcPr>
            <w:tcW w:w="2975" w:type="pct"/>
            <w:shd w:val="clear" w:color="auto" w:fill="D0CECE" w:themeFill="background2" w:themeFillShade="E6"/>
            <w:noWrap/>
            <w:hideMark/>
          </w:tcPr>
          <w:p w14:paraId="42424A1D" w14:textId="77777777" w:rsidR="00CB2D76" w:rsidRPr="001A423D" w:rsidRDefault="00CB2D76" w:rsidP="009C1E14">
            <w:pPr>
              <w:spacing w:after="0" w:line="240" w:lineRule="auto"/>
              <w:jc w:val="both"/>
              <w:rPr>
                <w:rFonts w:ascii="Times New Roman" w:hAnsi="Times New Roman"/>
                <w:b/>
                <w:sz w:val="20"/>
                <w:szCs w:val="20"/>
              </w:rPr>
            </w:pPr>
            <w:r w:rsidRPr="001A423D">
              <w:rPr>
                <w:rFonts w:ascii="Times New Roman" w:hAnsi="Times New Roman"/>
                <w:b/>
                <w:sz w:val="20"/>
                <w:szCs w:val="20"/>
              </w:rPr>
              <w:t>Activity</w:t>
            </w:r>
          </w:p>
        </w:tc>
        <w:tc>
          <w:tcPr>
            <w:tcW w:w="760" w:type="pct"/>
            <w:shd w:val="clear" w:color="auto" w:fill="D0CECE" w:themeFill="background2" w:themeFillShade="E6"/>
            <w:hideMark/>
          </w:tcPr>
          <w:p w14:paraId="0422071E" w14:textId="77777777" w:rsidR="00CB2D76" w:rsidRPr="001A423D" w:rsidRDefault="00CB2D76" w:rsidP="009C1E14">
            <w:pPr>
              <w:spacing w:after="0" w:line="240" w:lineRule="auto"/>
              <w:jc w:val="center"/>
              <w:rPr>
                <w:rFonts w:ascii="Times New Roman" w:hAnsi="Times New Roman"/>
                <w:b/>
                <w:sz w:val="20"/>
                <w:szCs w:val="20"/>
              </w:rPr>
            </w:pPr>
            <w:r w:rsidRPr="001A423D">
              <w:rPr>
                <w:rFonts w:ascii="Times New Roman" w:hAnsi="Times New Roman"/>
                <w:b/>
                <w:sz w:val="20"/>
                <w:szCs w:val="20"/>
              </w:rPr>
              <w:t>(₹ in Lakh)</w:t>
            </w:r>
          </w:p>
        </w:tc>
        <w:tc>
          <w:tcPr>
            <w:tcW w:w="726" w:type="pct"/>
            <w:shd w:val="clear" w:color="auto" w:fill="D0CECE" w:themeFill="background2" w:themeFillShade="E6"/>
          </w:tcPr>
          <w:p w14:paraId="2877AF70" w14:textId="77777777" w:rsidR="00CB2D76" w:rsidRPr="001A423D" w:rsidRDefault="00CB2D76" w:rsidP="009C1E14">
            <w:pPr>
              <w:autoSpaceDE w:val="0"/>
              <w:autoSpaceDN w:val="0"/>
              <w:adjustRightInd w:val="0"/>
              <w:spacing w:after="0" w:line="240" w:lineRule="auto"/>
              <w:jc w:val="both"/>
              <w:rPr>
                <w:rFonts w:ascii="Times New Roman" w:eastAsia="Calibri" w:hAnsi="Times New Roman"/>
                <w:b/>
                <w:sz w:val="20"/>
                <w:szCs w:val="20"/>
                <w:lang w:val="en-IN" w:eastAsia="en-IN"/>
              </w:rPr>
            </w:pPr>
            <w:r w:rsidRPr="001A423D">
              <w:rPr>
                <w:rFonts w:ascii="Times New Roman" w:eastAsia="Calibri" w:hAnsi="Times New Roman"/>
                <w:b/>
                <w:sz w:val="20"/>
                <w:szCs w:val="20"/>
                <w:lang w:val="en-IN" w:eastAsia="en-IN"/>
              </w:rPr>
              <w:t xml:space="preserve">As a % of Estimates Issue Expenses </w:t>
            </w:r>
          </w:p>
        </w:tc>
        <w:tc>
          <w:tcPr>
            <w:tcW w:w="539" w:type="pct"/>
            <w:shd w:val="clear" w:color="auto" w:fill="D0CECE" w:themeFill="background2" w:themeFillShade="E6"/>
          </w:tcPr>
          <w:p w14:paraId="1292359B" w14:textId="77777777" w:rsidR="00CB2D76" w:rsidRPr="001A423D" w:rsidRDefault="00CB2D76" w:rsidP="009C1E14">
            <w:pPr>
              <w:autoSpaceDE w:val="0"/>
              <w:autoSpaceDN w:val="0"/>
              <w:adjustRightInd w:val="0"/>
              <w:spacing w:after="0" w:line="240" w:lineRule="auto"/>
              <w:jc w:val="both"/>
              <w:rPr>
                <w:rFonts w:ascii="Times New Roman" w:eastAsia="Calibri" w:hAnsi="Times New Roman"/>
                <w:b/>
                <w:sz w:val="20"/>
                <w:szCs w:val="20"/>
                <w:lang w:val="en-IN" w:eastAsia="en-IN"/>
              </w:rPr>
            </w:pPr>
            <w:r w:rsidRPr="001A423D">
              <w:rPr>
                <w:rFonts w:ascii="Times New Roman" w:eastAsia="Calibri" w:hAnsi="Times New Roman"/>
                <w:b/>
                <w:sz w:val="20"/>
                <w:szCs w:val="20"/>
                <w:lang w:val="en-IN" w:eastAsia="en-IN"/>
              </w:rPr>
              <w:t xml:space="preserve">As a % of Issue Size </w:t>
            </w:r>
          </w:p>
          <w:p w14:paraId="0E1F2D97" w14:textId="77777777" w:rsidR="00CB2D76" w:rsidRPr="001A423D" w:rsidRDefault="00CB2D76" w:rsidP="009C1E14">
            <w:pPr>
              <w:spacing w:after="0" w:line="240" w:lineRule="auto"/>
              <w:jc w:val="both"/>
              <w:rPr>
                <w:rFonts w:ascii="Times New Roman" w:hAnsi="Times New Roman"/>
                <w:b/>
                <w:sz w:val="20"/>
                <w:szCs w:val="20"/>
              </w:rPr>
            </w:pPr>
          </w:p>
        </w:tc>
      </w:tr>
      <w:tr w:rsidR="00CB2D76" w:rsidRPr="001A423D" w14:paraId="2C02E768" w14:textId="77777777" w:rsidTr="009C1E14">
        <w:trPr>
          <w:trHeight w:val="20"/>
        </w:trPr>
        <w:tc>
          <w:tcPr>
            <w:tcW w:w="2975" w:type="pct"/>
            <w:shd w:val="clear" w:color="auto" w:fill="auto"/>
          </w:tcPr>
          <w:p w14:paraId="626B0F70" w14:textId="77777777" w:rsidR="00CB2D76" w:rsidRPr="001A423D" w:rsidRDefault="00CB2D76" w:rsidP="009C1E14">
            <w:pPr>
              <w:spacing w:after="0" w:line="240" w:lineRule="auto"/>
              <w:jc w:val="both"/>
              <w:rPr>
                <w:rFonts w:ascii="Times New Roman" w:hAnsi="Times New Roman"/>
                <w:sz w:val="20"/>
                <w:szCs w:val="20"/>
              </w:rPr>
            </w:pPr>
            <w:r w:rsidRPr="001A423D">
              <w:rPr>
                <w:rFonts w:ascii="Times New Roman" w:hAnsi="Times New Roman"/>
                <w:sz w:val="20"/>
                <w:szCs w:val="20"/>
              </w:rPr>
              <w:t>Book Running Lead Manger Fees</w:t>
            </w:r>
          </w:p>
        </w:tc>
        <w:tc>
          <w:tcPr>
            <w:tcW w:w="760" w:type="pct"/>
            <w:shd w:val="clear" w:color="auto" w:fill="auto"/>
            <w:noWrap/>
          </w:tcPr>
          <w:p w14:paraId="403C2A48" w14:textId="77777777" w:rsidR="00CB2D76" w:rsidRPr="001A423D" w:rsidRDefault="00CB2D76" w:rsidP="009C1E14">
            <w:pPr>
              <w:spacing w:after="0" w:line="240" w:lineRule="auto"/>
              <w:jc w:val="center"/>
              <w:rPr>
                <w:rFonts w:ascii="Times New Roman" w:hAnsi="Times New Roman"/>
                <w:sz w:val="20"/>
                <w:szCs w:val="20"/>
              </w:rPr>
            </w:pPr>
            <w:r w:rsidRPr="001A423D">
              <w:rPr>
                <w:rFonts w:ascii="Times New Roman" w:hAnsi="Times New Roman"/>
                <w:bCs/>
                <w:sz w:val="20"/>
                <w:szCs w:val="20"/>
                <w:lang w:bidi="en-US"/>
              </w:rPr>
              <w:t>[●]</w:t>
            </w:r>
          </w:p>
        </w:tc>
        <w:tc>
          <w:tcPr>
            <w:tcW w:w="726" w:type="pct"/>
          </w:tcPr>
          <w:p w14:paraId="5F2EE9E4" w14:textId="77777777" w:rsidR="00CB2D76" w:rsidRPr="001A423D" w:rsidDel="009650B9" w:rsidRDefault="00CB2D76" w:rsidP="009C1E14">
            <w:pPr>
              <w:spacing w:after="0" w:line="240" w:lineRule="auto"/>
              <w:jc w:val="center"/>
              <w:rPr>
                <w:rFonts w:ascii="Times New Roman" w:hAnsi="Times New Roman"/>
                <w:sz w:val="20"/>
                <w:szCs w:val="20"/>
              </w:rPr>
            </w:pPr>
            <w:r w:rsidRPr="001A423D">
              <w:rPr>
                <w:rFonts w:ascii="Times New Roman" w:hAnsi="Times New Roman"/>
                <w:bCs/>
                <w:sz w:val="20"/>
                <w:szCs w:val="20"/>
                <w:lang w:bidi="en-US"/>
              </w:rPr>
              <w:t>[●]</w:t>
            </w:r>
          </w:p>
        </w:tc>
        <w:tc>
          <w:tcPr>
            <w:tcW w:w="539" w:type="pct"/>
          </w:tcPr>
          <w:p w14:paraId="25CFB296" w14:textId="77777777" w:rsidR="00CB2D76" w:rsidRPr="001A423D" w:rsidDel="009650B9" w:rsidRDefault="00CB2D76" w:rsidP="009C1E14">
            <w:pPr>
              <w:spacing w:after="0" w:line="240" w:lineRule="auto"/>
              <w:jc w:val="center"/>
              <w:rPr>
                <w:rFonts w:ascii="Times New Roman" w:hAnsi="Times New Roman"/>
                <w:sz w:val="20"/>
                <w:szCs w:val="20"/>
              </w:rPr>
            </w:pPr>
            <w:r w:rsidRPr="001A423D">
              <w:rPr>
                <w:rFonts w:ascii="Times New Roman" w:hAnsi="Times New Roman"/>
                <w:bCs/>
                <w:sz w:val="20"/>
                <w:szCs w:val="20"/>
                <w:lang w:bidi="en-US"/>
              </w:rPr>
              <w:t>[●]</w:t>
            </w:r>
          </w:p>
        </w:tc>
      </w:tr>
      <w:tr w:rsidR="00CB2D76" w:rsidRPr="001A423D" w14:paraId="3771DC53" w14:textId="77777777" w:rsidTr="009C1E14">
        <w:trPr>
          <w:trHeight w:val="20"/>
        </w:trPr>
        <w:tc>
          <w:tcPr>
            <w:tcW w:w="2975" w:type="pct"/>
            <w:shd w:val="clear" w:color="auto" w:fill="auto"/>
          </w:tcPr>
          <w:p w14:paraId="06743C21" w14:textId="77777777" w:rsidR="00CB2D76" w:rsidRPr="001A423D" w:rsidRDefault="00CB2D76" w:rsidP="009C1E14">
            <w:pPr>
              <w:spacing w:after="0" w:line="240" w:lineRule="auto"/>
              <w:jc w:val="both"/>
              <w:rPr>
                <w:rFonts w:ascii="Times New Roman" w:hAnsi="Times New Roman"/>
                <w:sz w:val="20"/>
                <w:szCs w:val="20"/>
              </w:rPr>
            </w:pPr>
            <w:r w:rsidRPr="001A423D">
              <w:rPr>
                <w:rFonts w:ascii="Times New Roman" w:eastAsia="Calibri" w:hAnsi="Times New Roman"/>
                <w:sz w:val="20"/>
                <w:szCs w:val="20"/>
                <w:lang w:val="en-IN"/>
              </w:rPr>
              <w:t>Underwriting Commission</w:t>
            </w:r>
          </w:p>
        </w:tc>
        <w:tc>
          <w:tcPr>
            <w:tcW w:w="760" w:type="pct"/>
            <w:shd w:val="clear" w:color="auto" w:fill="auto"/>
            <w:noWrap/>
          </w:tcPr>
          <w:p w14:paraId="34336C12" w14:textId="77777777" w:rsidR="00CB2D76" w:rsidRPr="001A423D" w:rsidRDefault="00CB2D76" w:rsidP="009C1E14">
            <w:pPr>
              <w:spacing w:after="0" w:line="240" w:lineRule="auto"/>
              <w:jc w:val="center"/>
              <w:rPr>
                <w:rFonts w:ascii="Times New Roman" w:hAnsi="Times New Roman"/>
                <w:bCs/>
                <w:sz w:val="20"/>
                <w:szCs w:val="20"/>
                <w:lang w:bidi="en-US"/>
              </w:rPr>
            </w:pPr>
            <w:r w:rsidRPr="001A423D">
              <w:rPr>
                <w:rFonts w:ascii="Times New Roman" w:hAnsi="Times New Roman"/>
                <w:bCs/>
                <w:sz w:val="20"/>
                <w:szCs w:val="20"/>
                <w:lang w:bidi="en-US"/>
              </w:rPr>
              <w:t>[●]</w:t>
            </w:r>
          </w:p>
        </w:tc>
        <w:tc>
          <w:tcPr>
            <w:tcW w:w="726" w:type="pct"/>
          </w:tcPr>
          <w:p w14:paraId="33C5BD37" w14:textId="77777777" w:rsidR="00CB2D76" w:rsidRPr="001A423D" w:rsidRDefault="00CB2D76" w:rsidP="009C1E14">
            <w:pPr>
              <w:spacing w:after="0" w:line="240" w:lineRule="auto"/>
              <w:jc w:val="center"/>
              <w:rPr>
                <w:rFonts w:ascii="Times New Roman" w:hAnsi="Times New Roman"/>
                <w:bCs/>
                <w:sz w:val="20"/>
                <w:szCs w:val="20"/>
                <w:lang w:bidi="en-US"/>
              </w:rPr>
            </w:pPr>
            <w:r w:rsidRPr="001A423D">
              <w:rPr>
                <w:rFonts w:ascii="Times New Roman" w:hAnsi="Times New Roman"/>
                <w:bCs/>
                <w:sz w:val="20"/>
                <w:szCs w:val="20"/>
                <w:lang w:bidi="en-US"/>
              </w:rPr>
              <w:t>[●]</w:t>
            </w:r>
          </w:p>
        </w:tc>
        <w:tc>
          <w:tcPr>
            <w:tcW w:w="539" w:type="pct"/>
          </w:tcPr>
          <w:p w14:paraId="43F8B62E" w14:textId="77777777" w:rsidR="00CB2D76" w:rsidRPr="001A423D" w:rsidRDefault="00CB2D76" w:rsidP="009C1E14">
            <w:pPr>
              <w:spacing w:after="0" w:line="240" w:lineRule="auto"/>
              <w:jc w:val="center"/>
              <w:rPr>
                <w:rFonts w:ascii="Times New Roman" w:hAnsi="Times New Roman"/>
                <w:bCs/>
                <w:sz w:val="20"/>
                <w:szCs w:val="20"/>
                <w:lang w:bidi="en-US"/>
              </w:rPr>
            </w:pPr>
            <w:r w:rsidRPr="001A423D">
              <w:rPr>
                <w:rFonts w:ascii="Times New Roman" w:hAnsi="Times New Roman"/>
                <w:bCs/>
                <w:sz w:val="20"/>
                <w:szCs w:val="20"/>
                <w:lang w:bidi="en-US"/>
              </w:rPr>
              <w:t>[●]</w:t>
            </w:r>
          </w:p>
        </w:tc>
      </w:tr>
      <w:tr w:rsidR="00CB2D76" w:rsidRPr="001A423D" w14:paraId="2B62C6B1" w14:textId="77777777" w:rsidTr="009C1E14">
        <w:trPr>
          <w:trHeight w:val="20"/>
        </w:trPr>
        <w:tc>
          <w:tcPr>
            <w:tcW w:w="2975" w:type="pct"/>
            <w:shd w:val="clear" w:color="auto" w:fill="auto"/>
          </w:tcPr>
          <w:p w14:paraId="261E3F49" w14:textId="77777777" w:rsidR="00CB2D76" w:rsidRPr="001A423D" w:rsidRDefault="00CB2D76" w:rsidP="009C1E14">
            <w:pPr>
              <w:spacing w:after="0" w:line="240" w:lineRule="auto"/>
              <w:jc w:val="both"/>
              <w:rPr>
                <w:rFonts w:ascii="Times New Roman" w:hAnsi="Times New Roman"/>
                <w:sz w:val="20"/>
                <w:szCs w:val="20"/>
              </w:rPr>
            </w:pPr>
            <w:r w:rsidRPr="001A423D">
              <w:rPr>
                <w:rFonts w:ascii="Times New Roman" w:eastAsia="Calibri" w:hAnsi="Times New Roman"/>
                <w:sz w:val="20"/>
                <w:szCs w:val="20"/>
                <w:lang w:val="en-IN"/>
              </w:rPr>
              <w:t>Brokerage and selling commission</w:t>
            </w:r>
          </w:p>
        </w:tc>
        <w:tc>
          <w:tcPr>
            <w:tcW w:w="760" w:type="pct"/>
            <w:shd w:val="clear" w:color="auto" w:fill="auto"/>
            <w:noWrap/>
          </w:tcPr>
          <w:p w14:paraId="716E92E8" w14:textId="77777777" w:rsidR="00CB2D76" w:rsidRPr="001A423D" w:rsidRDefault="00CB2D76" w:rsidP="009C1E14">
            <w:pPr>
              <w:spacing w:after="0" w:line="240" w:lineRule="auto"/>
              <w:jc w:val="center"/>
              <w:rPr>
                <w:rFonts w:ascii="Times New Roman" w:hAnsi="Times New Roman"/>
                <w:bCs/>
                <w:sz w:val="20"/>
                <w:szCs w:val="20"/>
                <w:lang w:bidi="en-US"/>
              </w:rPr>
            </w:pPr>
            <w:r w:rsidRPr="001A423D">
              <w:rPr>
                <w:rFonts w:ascii="Times New Roman" w:hAnsi="Times New Roman"/>
                <w:bCs/>
                <w:sz w:val="20"/>
                <w:szCs w:val="20"/>
                <w:lang w:bidi="en-US"/>
              </w:rPr>
              <w:t>[●]</w:t>
            </w:r>
          </w:p>
        </w:tc>
        <w:tc>
          <w:tcPr>
            <w:tcW w:w="726" w:type="pct"/>
          </w:tcPr>
          <w:p w14:paraId="3A06C1BF" w14:textId="77777777" w:rsidR="00CB2D76" w:rsidRPr="001A423D" w:rsidRDefault="00CB2D76" w:rsidP="009C1E14">
            <w:pPr>
              <w:spacing w:after="0" w:line="240" w:lineRule="auto"/>
              <w:jc w:val="center"/>
              <w:rPr>
                <w:rFonts w:ascii="Times New Roman" w:hAnsi="Times New Roman"/>
                <w:bCs/>
                <w:sz w:val="20"/>
                <w:szCs w:val="20"/>
                <w:lang w:bidi="en-US"/>
              </w:rPr>
            </w:pPr>
            <w:r w:rsidRPr="001A423D">
              <w:rPr>
                <w:rFonts w:ascii="Times New Roman" w:hAnsi="Times New Roman"/>
                <w:bCs/>
                <w:sz w:val="20"/>
                <w:szCs w:val="20"/>
                <w:lang w:bidi="en-US"/>
              </w:rPr>
              <w:t>[●]</w:t>
            </w:r>
          </w:p>
        </w:tc>
        <w:tc>
          <w:tcPr>
            <w:tcW w:w="539" w:type="pct"/>
          </w:tcPr>
          <w:p w14:paraId="304392C8" w14:textId="77777777" w:rsidR="00CB2D76" w:rsidRPr="001A423D" w:rsidRDefault="00CB2D76" w:rsidP="009C1E14">
            <w:pPr>
              <w:spacing w:after="0" w:line="240" w:lineRule="auto"/>
              <w:jc w:val="center"/>
              <w:rPr>
                <w:rFonts w:ascii="Times New Roman" w:hAnsi="Times New Roman"/>
                <w:bCs/>
                <w:sz w:val="20"/>
                <w:szCs w:val="20"/>
                <w:lang w:bidi="en-US"/>
              </w:rPr>
            </w:pPr>
            <w:r w:rsidRPr="001A423D">
              <w:rPr>
                <w:rFonts w:ascii="Times New Roman" w:hAnsi="Times New Roman"/>
                <w:bCs/>
                <w:sz w:val="20"/>
                <w:szCs w:val="20"/>
                <w:lang w:bidi="en-US"/>
              </w:rPr>
              <w:t>[●]</w:t>
            </w:r>
          </w:p>
        </w:tc>
      </w:tr>
      <w:tr w:rsidR="00CB2D76" w:rsidRPr="001A423D" w14:paraId="72E34CCD" w14:textId="77777777" w:rsidTr="009C1E14">
        <w:trPr>
          <w:trHeight w:val="20"/>
        </w:trPr>
        <w:tc>
          <w:tcPr>
            <w:tcW w:w="2975" w:type="pct"/>
            <w:shd w:val="clear" w:color="auto" w:fill="auto"/>
          </w:tcPr>
          <w:p w14:paraId="076D4B72" w14:textId="77777777" w:rsidR="00CB2D76" w:rsidRPr="001A423D" w:rsidRDefault="00CB2D76" w:rsidP="009C1E14">
            <w:pPr>
              <w:spacing w:after="0" w:line="240" w:lineRule="auto"/>
              <w:jc w:val="both"/>
              <w:rPr>
                <w:rFonts w:ascii="Times New Roman" w:hAnsi="Times New Roman"/>
                <w:sz w:val="20"/>
                <w:szCs w:val="20"/>
              </w:rPr>
            </w:pPr>
            <w:r w:rsidRPr="001A423D">
              <w:rPr>
                <w:rFonts w:ascii="Times New Roman" w:hAnsi="Times New Roman"/>
                <w:sz w:val="20"/>
                <w:szCs w:val="20"/>
              </w:rPr>
              <w:lastRenderedPageBreak/>
              <w:t>Fees Payable to Registrar to the Issue</w:t>
            </w:r>
          </w:p>
        </w:tc>
        <w:tc>
          <w:tcPr>
            <w:tcW w:w="760" w:type="pct"/>
            <w:shd w:val="clear" w:color="auto" w:fill="auto"/>
            <w:noWrap/>
          </w:tcPr>
          <w:p w14:paraId="06F41169" w14:textId="77777777" w:rsidR="00CB2D76" w:rsidRPr="001A423D" w:rsidRDefault="00CB2D76" w:rsidP="009C1E14">
            <w:pPr>
              <w:spacing w:after="0" w:line="240" w:lineRule="auto"/>
              <w:jc w:val="center"/>
              <w:rPr>
                <w:rFonts w:ascii="Times New Roman" w:hAnsi="Times New Roman"/>
                <w:sz w:val="20"/>
                <w:szCs w:val="20"/>
              </w:rPr>
            </w:pPr>
            <w:r w:rsidRPr="001A423D">
              <w:rPr>
                <w:rFonts w:ascii="Times New Roman" w:hAnsi="Times New Roman"/>
                <w:bCs/>
                <w:sz w:val="20"/>
                <w:szCs w:val="20"/>
                <w:lang w:bidi="en-US"/>
              </w:rPr>
              <w:t>[●]</w:t>
            </w:r>
          </w:p>
        </w:tc>
        <w:tc>
          <w:tcPr>
            <w:tcW w:w="726" w:type="pct"/>
          </w:tcPr>
          <w:p w14:paraId="5C4C9713" w14:textId="77777777" w:rsidR="00CB2D76" w:rsidRPr="001A423D" w:rsidDel="009650B9" w:rsidRDefault="00CB2D76" w:rsidP="009C1E14">
            <w:pPr>
              <w:spacing w:after="0" w:line="240" w:lineRule="auto"/>
              <w:jc w:val="center"/>
              <w:rPr>
                <w:rFonts w:ascii="Times New Roman" w:hAnsi="Times New Roman"/>
                <w:sz w:val="20"/>
                <w:szCs w:val="20"/>
              </w:rPr>
            </w:pPr>
            <w:r w:rsidRPr="001A423D">
              <w:rPr>
                <w:rFonts w:ascii="Times New Roman" w:hAnsi="Times New Roman"/>
                <w:bCs/>
                <w:sz w:val="20"/>
                <w:szCs w:val="20"/>
                <w:lang w:bidi="en-US"/>
              </w:rPr>
              <w:t>[●]</w:t>
            </w:r>
          </w:p>
        </w:tc>
        <w:tc>
          <w:tcPr>
            <w:tcW w:w="539" w:type="pct"/>
          </w:tcPr>
          <w:p w14:paraId="014C9B02" w14:textId="77777777" w:rsidR="00CB2D76" w:rsidRPr="001A423D" w:rsidDel="009650B9" w:rsidRDefault="00CB2D76" w:rsidP="009C1E14">
            <w:pPr>
              <w:spacing w:after="0" w:line="240" w:lineRule="auto"/>
              <w:jc w:val="center"/>
              <w:rPr>
                <w:rFonts w:ascii="Times New Roman" w:hAnsi="Times New Roman"/>
                <w:sz w:val="20"/>
                <w:szCs w:val="20"/>
              </w:rPr>
            </w:pPr>
            <w:r w:rsidRPr="001A423D">
              <w:rPr>
                <w:rFonts w:ascii="Times New Roman" w:hAnsi="Times New Roman"/>
                <w:bCs/>
                <w:sz w:val="20"/>
                <w:szCs w:val="20"/>
                <w:lang w:bidi="en-US"/>
              </w:rPr>
              <w:t>[●]</w:t>
            </w:r>
          </w:p>
        </w:tc>
      </w:tr>
      <w:tr w:rsidR="00CB2D76" w:rsidRPr="001A423D" w14:paraId="206E5A71" w14:textId="77777777" w:rsidTr="009C1E14">
        <w:trPr>
          <w:trHeight w:val="20"/>
        </w:trPr>
        <w:tc>
          <w:tcPr>
            <w:tcW w:w="2975" w:type="pct"/>
            <w:shd w:val="clear" w:color="auto" w:fill="auto"/>
          </w:tcPr>
          <w:p w14:paraId="150653B4" w14:textId="77777777" w:rsidR="00CB2D76" w:rsidRPr="001A423D" w:rsidRDefault="00CB2D76" w:rsidP="009C1E14">
            <w:pPr>
              <w:spacing w:after="0" w:line="240" w:lineRule="auto"/>
              <w:jc w:val="both"/>
              <w:rPr>
                <w:rFonts w:ascii="Times New Roman" w:hAnsi="Times New Roman"/>
                <w:sz w:val="20"/>
                <w:szCs w:val="20"/>
              </w:rPr>
            </w:pPr>
            <w:r w:rsidRPr="001A423D">
              <w:rPr>
                <w:rFonts w:ascii="Times New Roman" w:hAnsi="Times New Roman"/>
                <w:sz w:val="20"/>
                <w:szCs w:val="20"/>
              </w:rPr>
              <w:t>Fees Payable for Advertising and Publishing Expenses</w:t>
            </w:r>
          </w:p>
        </w:tc>
        <w:tc>
          <w:tcPr>
            <w:tcW w:w="760" w:type="pct"/>
            <w:shd w:val="clear" w:color="auto" w:fill="auto"/>
            <w:noWrap/>
          </w:tcPr>
          <w:p w14:paraId="2EC5EFBE" w14:textId="77777777" w:rsidR="00CB2D76" w:rsidRPr="001A423D" w:rsidRDefault="00CB2D76" w:rsidP="009C1E14">
            <w:pPr>
              <w:spacing w:after="0" w:line="240" w:lineRule="auto"/>
              <w:jc w:val="center"/>
              <w:rPr>
                <w:rFonts w:ascii="Times New Roman" w:hAnsi="Times New Roman"/>
                <w:sz w:val="20"/>
                <w:szCs w:val="20"/>
              </w:rPr>
            </w:pPr>
            <w:r w:rsidRPr="001A423D">
              <w:rPr>
                <w:rFonts w:ascii="Times New Roman" w:hAnsi="Times New Roman"/>
                <w:bCs/>
                <w:sz w:val="20"/>
                <w:szCs w:val="20"/>
                <w:lang w:bidi="en-US"/>
              </w:rPr>
              <w:t>[●]</w:t>
            </w:r>
          </w:p>
        </w:tc>
        <w:tc>
          <w:tcPr>
            <w:tcW w:w="726" w:type="pct"/>
          </w:tcPr>
          <w:p w14:paraId="7A8B0D35" w14:textId="77777777" w:rsidR="00CB2D76" w:rsidRPr="001A423D" w:rsidDel="009650B9" w:rsidRDefault="00CB2D76" w:rsidP="009C1E14">
            <w:pPr>
              <w:spacing w:after="0" w:line="240" w:lineRule="auto"/>
              <w:jc w:val="center"/>
              <w:rPr>
                <w:rFonts w:ascii="Times New Roman" w:hAnsi="Times New Roman"/>
                <w:sz w:val="20"/>
                <w:szCs w:val="20"/>
              </w:rPr>
            </w:pPr>
            <w:r w:rsidRPr="001A423D">
              <w:rPr>
                <w:rFonts w:ascii="Times New Roman" w:hAnsi="Times New Roman"/>
                <w:bCs/>
                <w:sz w:val="20"/>
                <w:szCs w:val="20"/>
                <w:lang w:bidi="en-US"/>
              </w:rPr>
              <w:t>[●]</w:t>
            </w:r>
          </w:p>
        </w:tc>
        <w:tc>
          <w:tcPr>
            <w:tcW w:w="539" w:type="pct"/>
          </w:tcPr>
          <w:p w14:paraId="4386AB81" w14:textId="77777777" w:rsidR="00CB2D76" w:rsidRPr="001A423D" w:rsidDel="009650B9" w:rsidRDefault="00CB2D76" w:rsidP="009C1E14">
            <w:pPr>
              <w:spacing w:after="0" w:line="240" w:lineRule="auto"/>
              <w:jc w:val="center"/>
              <w:rPr>
                <w:rFonts w:ascii="Times New Roman" w:hAnsi="Times New Roman"/>
                <w:sz w:val="20"/>
                <w:szCs w:val="20"/>
              </w:rPr>
            </w:pPr>
            <w:r w:rsidRPr="001A423D">
              <w:rPr>
                <w:rFonts w:ascii="Times New Roman" w:hAnsi="Times New Roman"/>
                <w:bCs/>
                <w:sz w:val="20"/>
                <w:szCs w:val="20"/>
                <w:lang w:bidi="en-US"/>
              </w:rPr>
              <w:t>[●]</w:t>
            </w:r>
          </w:p>
        </w:tc>
      </w:tr>
      <w:tr w:rsidR="00CB2D76" w:rsidRPr="001A423D" w14:paraId="7CD0427A" w14:textId="77777777" w:rsidTr="009C1E14">
        <w:trPr>
          <w:trHeight w:val="20"/>
        </w:trPr>
        <w:tc>
          <w:tcPr>
            <w:tcW w:w="2975" w:type="pct"/>
            <w:shd w:val="clear" w:color="auto" w:fill="auto"/>
          </w:tcPr>
          <w:p w14:paraId="44906E14" w14:textId="77777777" w:rsidR="00CB2D76" w:rsidRPr="001A423D" w:rsidRDefault="00CB2D76" w:rsidP="009C1E14">
            <w:pPr>
              <w:spacing w:after="0" w:line="240" w:lineRule="auto"/>
              <w:jc w:val="both"/>
              <w:rPr>
                <w:rFonts w:ascii="Times New Roman" w:hAnsi="Times New Roman"/>
                <w:sz w:val="20"/>
                <w:szCs w:val="20"/>
              </w:rPr>
            </w:pPr>
            <w:r w:rsidRPr="001A423D">
              <w:rPr>
                <w:rFonts w:ascii="Times New Roman" w:hAnsi="Times New Roman"/>
                <w:sz w:val="20"/>
                <w:szCs w:val="20"/>
              </w:rPr>
              <w:t>Fees Payable to Regulators including Stock Exchanges</w:t>
            </w:r>
          </w:p>
        </w:tc>
        <w:tc>
          <w:tcPr>
            <w:tcW w:w="760" w:type="pct"/>
            <w:shd w:val="clear" w:color="auto" w:fill="auto"/>
            <w:noWrap/>
          </w:tcPr>
          <w:p w14:paraId="73DBC49D" w14:textId="77777777" w:rsidR="00CB2D76" w:rsidRPr="001A423D" w:rsidRDefault="00CB2D76" w:rsidP="009C1E14">
            <w:pPr>
              <w:spacing w:after="0" w:line="240" w:lineRule="auto"/>
              <w:jc w:val="center"/>
              <w:rPr>
                <w:rFonts w:ascii="Times New Roman" w:hAnsi="Times New Roman"/>
                <w:sz w:val="20"/>
                <w:szCs w:val="20"/>
              </w:rPr>
            </w:pPr>
            <w:r w:rsidRPr="001A423D">
              <w:rPr>
                <w:rFonts w:ascii="Times New Roman" w:hAnsi="Times New Roman"/>
                <w:bCs/>
                <w:sz w:val="20"/>
                <w:szCs w:val="20"/>
                <w:lang w:bidi="en-US"/>
              </w:rPr>
              <w:t>[●]</w:t>
            </w:r>
          </w:p>
        </w:tc>
        <w:tc>
          <w:tcPr>
            <w:tcW w:w="726" w:type="pct"/>
          </w:tcPr>
          <w:p w14:paraId="5112A296" w14:textId="77777777" w:rsidR="00CB2D76" w:rsidRPr="001A423D" w:rsidDel="009650B9" w:rsidRDefault="00CB2D76" w:rsidP="009C1E14">
            <w:pPr>
              <w:spacing w:after="0" w:line="240" w:lineRule="auto"/>
              <w:jc w:val="center"/>
              <w:rPr>
                <w:rFonts w:ascii="Times New Roman" w:hAnsi="Times New Roman"/>
                <w:sz w:val="20"/>
                <w:szCs w:val="20"/>
              </w:rPr>
            </w:pPr>
            <w:r w:rsidRPr="001A423D">
              <w:rPr>
                <w:rFonts w:ascii="Times New Roman" w:hAnsi="Times New Roman"/>
                <w:bCs/>
                <w:sz w:val="20"/>
                <w:szCs w:val="20"/>
                <w:lang w:bidi="en-US"/>
              </w:rPr>
              <w:t>[●]</w:t>
            </w:r>
          </w:p>
        </w:tc>
        <w:tc>
          <w:tcPr>
            <w:tcW w:w="539" w:type="pct"/>
          </w:tcPr>
          <w:p w14:paraId="52F42F87" w14:textId="77777777" w:rsidR="00CB2D76" w:rsidRPr="001A423D" w:rsidDel="009650B9" w:rsidRDefault="00CB2D76" w:rsidP="009C1E14">
            <w:pPr>
              <w:spacing w:after="0" w:line="240" w:lineRule="auto"/>
              <w:jc w:val="center"/>
              <w:rPr>
                <w:rFonts w:ascii="Times New Roman" w:hAnsi="Times New Roman"/>
                <w:sz w:val="20"/>
                <w:szCs w:val="20"/>
              </w:rPr>
            </w:pPr>
            <w:r w:rsidRPr="001A423D">
              <w:rPr>
                <w:rFonts w:ascii="Times New Roman" w:hAnsi="Times New Roman"/>
                <w:bCs/>
                <w:sz w:val="20"/>
                <w:szCs w:val="20"/>
                <w:lang w:bidi="en-US"/>
              </w:rPr>
              <w:t>[●]</w:t>
            </w:r>
          </w:p>
        </w:tc>
      </w:tr>
      <w:tr w:rsidR="00CB2D76" w:rsidRPr="001A423D" w14:paraId="2E11F14C" w14:textId="77777777" w:rsidTr="009C1E14">
        <w:trPr>
          <w:trHeight w:val="20"/>
        </w:trPr>
        <w:tc>
          <w:tcPr>
            <w:tcW w:w="2975" w:type="pct"/>
            <w:shd w:val="clear" w:color="auto" w:fill="auto"/>
          </w:tcPr>
          <w:p w14:paraId="5C934CDC" w14:textId="77777777" w:rsidR="00CB2D76" w:rsidRPr="001A423D" w:rsidRDefault="00CB2D76" w:rsidP="009C1E14">
            <w:pPr>
              <w:spacing w:after="0" w:line="240" w:lineRule="auto"/>
              <w:jc w:val="both"/>
              <w:rPr>
                <w:rFonts w:ascii="Times New Roman" w:hAnsi="Times New Roman"/>
                <w:sz w:val="20"/>
                <w:szCs w:val="20"/>
              </w:rPr>
            </w:pPr>
            <w:r w:rsidRPr="001A423D">
              <w:rPr>
                <w:rFonts w:ascii="Times New Roman" w:hAnsi="Times New Roman"/>
                <w:sz w:val="20"/>
                <w:szCs w:val="20"/>
              </w:rPr>
              <w:t>Payment for Printing &amp; Stationery, Postage, etc.</w:t>
            </w:r>
          </w:p>
        </w:tc>
        <w:tc>
          <w:tcPr>
            <w:tcW w:w="760" w:type="pct"/>
            <w:shd w:val="clear" w:color="auto" w:fill="auto"/>
            <w:noWrap/>
          </w:tcPr>
          <w:p w14:paraId="19F88E95" w14:textId="77777777" w:rsidR="00CB2D76" w:rsidRPr="001A423D" w:rsidRDefault="00CB2D76" w:rsidP="009C1E14">
            <w:pPr>
              <w:spacing w:after="0" w:line="240" w:lineRule="auto"/>
              <w:jc w:val="center"/>
              <w:rPr>
                <w:rFonts w:ascii="Times New Roman" w:hAnsi="Times New Roman"/>
                <w:sz w:val="20"/>
                <w:szCs w:val="20"/>
              </w:rPr>
            </w:pPr>
            <w:r w:rsidRPr="001A423D">
              <w:rPr>
                <w:rFonts w:ascii="Times New Roman" w:hAnsi="Times New Roman"/>
                <w:bCs/>
                <w:sz w:val="20"/>
                <w:szCs w:val="20"/>
                <w:lang w:bidi="en-US"/>
              </w:rPr>
              <w:t>[●]</w:t>
            </w:r>
          </w:p>
        </w:tc>
        <w:tc>
          <w:tcPr>
            <w:tcW w:w="726" w:type="pct"/>
          </w:tcPr>
          <w:p w14:paraId="6F82AADD" w14:textId="77777777" w:rsidR="00CB2D76" w:rsidRPr="001A423D" w:rsidDel="009650B9" w:rsidRDefault="00CB2D76" w:rsidP="009C1E14">
            <w:pPr>
              <w:spacing w:after="0" w:line="240" w:lineRule="auto"/>
              <w:jc w:val="center"/>
              <w:rPr>
                <w:rFonts w:ascii="Times New Roman" w:hAnsi="Times New Roman"/>
                <w:sz w:val="20"/>
                <w:szCs w:val="20"/>
              </w:rPr>
            </w:pPr>
            <w:r w:rsidRPr="001A423D">
              <w:rPr>
                <w:rFonts w:ascii="Times New Roman" w:hAnsi="Times New Roman"/>
                <w:bCs/>
                <w:sz w:val="20"/>
                <w:szCs w:val="20"/>
                <w:lang w:bidi="en-US"/>
              </w:rPr>
              <w:t>[●]</w:t>
            </w:r>
          </w:p>
        </w:tc>
        <w:tc>
          <w:tcPr>
            <w:tcW w:w="539" w:type="pct"/>
          </w:tcPr>
          <w:p w14:paraId="02E1DE18" w14:textId="77777777" w:rsidR="00CB2D76" w:rsidRPr="001A423D" w:rsidDel="009650B9" w:rsidRDefault="00CB2D76" w:rsidP="009C1E14">
            <w:pPr>
              <w:spacing w:after="0" w:line="240" w:lineRule="auto"/>
              <w:jc w:val="center"/>
              <w:rPr>
                <w:rFonts w:ascii="Times New Roman" w:hAnsi="Times New Roman"/>
                <w:sz w:val="20"/>
                <w:szCs w:val="20"/>
              </w:rPr>
            </w:pPr>
            <w:r w:rsidRPr="001A423D">
              <w:rPr>
                <w:rFonts w:ascii="Times New Roman" w:hAnsi="Times New Roman"/>
                <w:bCs/>
                <w:sz w:val="20"/>
                <w:szCs w:val="20"/>
                <w:lang w:bidi="en-US"/>
              </w:rPr>
              <w:t>[●]</w:t>
            </w:r>
          </w:p>
        </w:tc>
      </w:tr>
      <w:tr w:rsidR="00CB2D76" w:rsidRPr="001A423D" w14:paraId="1342BCE2" w14:textId="77777777" w:rsidTr="009C1E14">
        <w:trPr>
          <w:trHeight w:val="20"/>
        </w:trPr>
        <w:tc>
          <w:tcPr>
            <w:tcW w:w="2975" w:type="pct"/>
            <w:shd w:val="clear" w:color="auto" w:fill="auto"/>
          </w:tcPr>
          <w:p w14:paraId="0162BB65" w14:textId="77777777" w:rsidR="00CB2D76" w:rsidRPr="001A423D" w:rsidRDefault="00CB2D76" w:rsidP="009C1E14">
            <w:pPr>
              <w:spacing w:after="0" w:line="240" w:lineRule="auto"/>
              <w:jc w:val="both"/>
              <w:rPr>
                <w:rFonts w:ascii="Times New Roman" w:hAnsi="Times New Roman"/>
                <w:sz w:val="20"/>
                <w:szCs w:val="20"/>
              </w:rPr>
            </w:pPr>
            <w:r w:rsidRPr="001A423D">
              <w:rPr>
                <w:rFonts w:ascii="Times New Roman" w:hAnsi="Times New Roman"/>
                <w:sz w:val="20"/>
                <w:szCs w:val="20"/>
              </w:rPr>
              <w:t xml:space="preserve">Fees Payable to </w:t>
            </w:r>
            <w:r w:rsidRPr="001A423D">
              <w:rPr>
                <w:rFonts w:ascii="Times New Roman" w:eastAsia="Calibri" w:hAnsi="Times New Roman"/>
                <w:sz w:val="20"/>
                <w:szCs w:val="20"/>
                <w:lang w:val="en-IN"/>
              </w:rPr>
              <w:t>Statutory</w:t>
            </w:r>
            <w:r w:rsidRPr="001A423D">
              <w:rPr>
                <w:rFonts w:ascii="Times New Roman" w:hAnsi="Times New Roman"/>
                <w:sz w:val="20"/>
                <w:szCs w:val="20"/>
              </w:rPr>
              <w:t>Auditor, Legal Advisors and other Professionals</w:t>
            </w:r>
          </w:p>
        </w:tc>
        <w:tc>
          <w:tcPr>
            <w:tcW w:w="760" w:type="pct"/>
            <w:shd w:val="clear" w:color="auto" w:fill="auto"/>
            <w:noWrap/>
          </w:tcPr>
          <w:p w14:paraId="43BBC072" w14:textId="77777777" w:rsidR="00CB2D76" w:rsidRPr="001A423D" w:rsidRDefault="00CB2D76" w:rsidP="009C1E14">
            <w:pPr>
              <w:spacing w:after="0" w:line="240" w:lineRule="auto"/>
              <w:jc w:val="center"/>
              <w:rPr>
                <w:rFonts w:ascii="Times New Roman" w:hAnsi="Times New Roman"/>
                <w:sz w:val="20"/>
                <w:szCs w:val="20"/>
              </w:rPr>
            </w:pPr>
            <w:r w:rsidRPr="001A423D">
              <w:rPr>
                <w:rFonts w:ascii="Times New Roman" w:hAnsi="Times New Roman"/>
                <w:bCs/>
                <w:sz w:val="20"/>
                <w:szCs w:val="20"/>
                <w:lang w:bidi="en-US"/>
              </w:rPr>
              <w:t>[●]</w:t>
            </w:r>
          </w:p>
        </w:tc>
        <w:tc>
          <w:tcPr>
            <w:tcW w:w="726" w:type="pct"/>
          </w:tcPr>
          <w:p w14:paraId="14D2BC72" w14:textId="77777777" w:rsidR="00CB2D76" w:rsidRPr="001A423D" w:rsidDel="009650B9" w:rsidRDefault="00CB2D76" w:rsidP="009C1E14">
            <w:pPr>
              <w:spacing w:after="0" w:line="240" w:lineRule="auto"/>
              <w:jc w:val="center"/>
              <w:rPr>
                <w:rFonts w:ascii="Times New Roman" w:hAnsi="Times New Roman"/>
                <w:sz w:val="20"/>
                <w:szCs w:val="20"/>
              </w:rPr>
            </w:pPr>
            <w:r w:rsidRPr="001A423D">
              <w:rPr>
                <w:rFonts w:ascii="Times New Roman" w:hAnsi="Times New Roman"/>
                <w:bCs/>
                <w:sz w:val="20"/>
                <w:szCs w:val="20"/>
                <w:lang w:bidi="en-US"/>
              </w:rPr>
              <w:t>[●]</w:t>
            </w:r>
          </w:p>
        </w:tc>
        <w:tc>
          <w:tcPr>
            <w:tcW w:w="539" w:type="pct"/>
          </w:tcPr>
          <w:p w14:paraId="739416FC" w14:textId="77777777" w:rsidR="00CB2D76" w:rsidRPr="001A423D" w:rsidDel="009650B9" w:rsidRDefault="00CB2D76" w:rsidP="009C1E14">
            <w:pPr>
              <w:spacing w:after="0" w:line="240" w:lineRule="auto"/>
              <w:jc w:val="center"/>
              <w:rPr>
                <w:rFonts w:ascii="Times New Roman" w:hAnsi="Times New Roman"/>
                <w:sz w:val="20"/>
                <w:szCs w:val="20"/>
              </w:rPr>
            </w:pPr>
            <w:r w:rsidRPr="001A423D">
              <w:rPr>
                <w:rFonts w:ascii="Times New Roman" w:hAnsi="Times New Roman"/>
                <w:bCs/>
                <w:sz w:val="20"/>
                <w:szCs w:val="20"/>
                <w:lang w:bidi="en-US"/>
              </w:rPr>
              <w:t>[●]</w:t>
            </w:r>
          </w:p>
        </w:tc>
      </w:tr>
      <w:tr w:rsidR="00CB2D76" w:rsidRPr="001A423D" w14:paraId="57AF21E5" w14:textId="77777777" w:rsidTr="009C1E14">
        <w:trPr>
          <w:trHeight w:val="20"/>
        </w:trPr>
        <w:tc>
          <w:tcPr>
            <w:tcW w:w="2975" w:type="pct"/>
            <w:shd w:val="clear" w:color="auto" w:fill="auto"/>
          </w:tcPr>
          <w:p w14:paraId="0254DCFB" w14:textId="77777777" w:rsidR="00CB2D76" w:rsidRPr="001A423D" w:rsidRDefault="00CB2D76" w:rsidP="009C1E14">
            <w:pPr>
              <w:spacing w:after="0" w:line="240" w:lineRule="auto"/>
              <w:jc w:val="both"/>
              <w:rPr>
                <w:rFonts w:ascii="Times New Roman" w:hAnsi="Times New Roman"/>
                <w:sz w:val="20"/>
                <w:szCs w:val="20"/>
              </w:rPr>
            </w:pPr>
            <w:r w:rsidRPr="001A423D">
              <w:rPr>
                <w:rFonts w:ascii="Times New Roman" w:hAnsi="Times New Roman"/>
                <w:sz w:val="20"/>
                <w:szCs w:val="20"/>
              </w:rPr>
              <w:t>Others (Commission/processing fee for SCSBs, Sponsor Bank and Banker(s) to the Issue and brokerage and selling commission and bidding charges for Members of the Syndicate, Registered Brokers, RTAs and CDPs and Miscellaneous Expenses)</w:t>
            </w:r>
          </w:p>
        </w:tc>
        <w:tc>
          <w:tcPr>
            <w:tcW w:w="760" w:type="pct"/>
            <w:shd w:val="clear" w:color="auto" w:fill="auto"/>
            <w:noWrap/>
          </w:tcPr>
          <w:p w14:paraId="0CAE497A" w14:textId="77777777" w:rsidR="00CB2D76" w:rsidRPr="001A423D" w:rsidRDefault="00CB2D76" w:rsidP="009C1E14">
            <w:pPr>
              <w:spacing w:after="0" w:line="240" w:lineRule="auto"/>
              <w:jc w:val="center"/>
              <w:rPr>
                <w:rFonts w:ascii="Times New Roman" w:hAnsi="Times New Roman"/>
                <w:sz w:val="20"/>
                <w:szCs w:val="20"/>
              </w:rPr>
            </w:pPr>
            <w:r w:rsidRPr="001A423D">
              <w:rPr>
                <w:rFonts w:ascii="Times New Roman" w:hAnsi="Times New Roman"/>
                <w:bCs/>
                <w:sz w:val="20"/>
                <w:szCs w:val="20"/>
                <w:lang w:bidi="en-US"/>
              </w:rPr>
              <w:t>[●]</w:t>
            </w:r>
          </w:p>
        </w:tc>
        <w:tc>
          <w:tcPr>
            <w:tcW w:w="726" w:type="pct"/>
          </w:tcPr>
          <w:p w14:paraId="15457AF5" w14:textId="77777777" w:rsidR="00CB2D76" w:rsidRPr="001A423D" w:rsidRDefault="00CB2D76" w:rsidP="009C1E14">
            <w:pPr>
              <w:spacing w:after="0" w:line="240" w:lineRule="auto"/>
              <w:jc w:val="center"/>
              <w:rPr>
                <w:rFonts w:ascii="Times New Roman" w:hAnsi="Times New Roman"/>
                <w:sz w:val="20"/>
                <w:szCs w:val="20"/>
              </w:rPr>
            </w:pPr>
            <w:r w:rsidRPr="001A423D">
              <w:rPr>
                <w:rFonts w:ascii="Times New Roman" w:hAnsi="Times New Roman"/>
                <w:bCs/>
                <w:sz w:val="20"/>
                <w:szCs w:val="20"/>
                <w:lang w:bidi="en-US"/>
              </w:rPr>
              <w:t>[●]</w:t>
            </w:r>
          </w:p>
        </w:tc>
        <w:tc>
          <w:tcPr>
            <w:tcW w:w="539" w:type="pct"/>
          </w:tcPr>
          <w:p w14:paraId="258AC4DD" w14:textId="77777777" w:rsidR="00CB2D76" w:rsidRPr="001A423D" w:rsidRDefault="00CB2D76" w:rsidP="009C1E14">
            <w:pPr>
              <w:spacing w:after="0" w:line="240" w:lineRule="auto"/>
              <w:jc w:val="center"/>
              <w:rPr>
                <w:rFonts w:ascii="Times New Roman" w:hAnsi="Times New Roman"/>
                <w:sz w:val="20"/>
                <w:szCs w:val="20"/>
              </w:rPr>
            </w:pPr>
            <w:r w:rsidRPr="001A423D">
              <w:rPr>
                <w:rFonts w:ascii="Times New Roman" w:hAnsi="Times New Roman"/>
                <w:bCs/>
                <w:sz w:val="20"/>
                <w:szCs w:val="20"/>
                <w:lang w:bidi="en-US"/>
              </w:rPr>
              <w:t>[●]</w:t>
            </w:r>
          </w:p>
        </w:tc>
      </w:tr>
      <w:tr w:rsidR="00CB2D76" w:rsidRPr="001A423D" w14:paraId="708279CC" w14:textId="77777777" w:rsidTr="009C1E14">
        <w:trPr>
          <w:trHeight w:val="20"/>
        </w:trPr>
        <w:tc>
          <w:tcPr>
            <w:tcW w:w="2975" w:type="pct"/>
            <w:shd w:val="clear" w:color="auto" w:fill="auto"/>
          </w:tcPr>
          <w:p w14:paraId="74B43AF2" w14:textId="77777777" w:rsidR="00CB2D76" w:rsidRPr="001A423D" w:rsidRDefault="00CB2D76" w:rsidP="009C1E14">
            <w:pPr>
              <w:spacing w:after="0" w:line="240" w:lineRule="auto"/>
              <w:jc w:val="both"/>
              <w:rPr>
                <w:rFonts w:ascii="Times New Roman" w:hAnsi="Times New Roman"/>
                <w:b/>
                <w:sz w:val="20"/>
                <w:szCs w:val="20"/>
              </w:rPr>
            </w:pPr>
            <w:r w:rsidRPr="001A423D">
              <w:rPr>
                <w:rFonts w:ascii="Times New Roman" w:hAnsi="Times New Roman"/>
                <w:b/>
                <w:sz w:val="20"/>
                <w:szCs w:val="20"/>
              </w:rPr>
              <w:t>Total</w:t>
            </w:r>
          </w:p>
        </w:tc>
        <w:tc>
          <w:tcPr>
            <w:tcW w:w="760" w:type="pct"/>
            <w:shd w:val="clear" w:color="auto" w:fill="auto"/>
            <w:noWrap/>
          </w:tcPr>
          <w:p w14:paraId="41465BE3" w14:textId="77777777" w:rsidR="00CB2D76" w:rsidRPr="001A423D" w:rsidRDefault="00CB2D76" w:rsidP="009C1E14">
            <w:pPr>
              <w:spacing w:after="0" w:line="240" w:lineRule="auto"/>
              <w:jc w:val="center"/>
              <w:rPr>
                <w:rFonts w:ascii="Times New Roman" w:hAnsi="Times New Roman"/>
                <w:b/>
                <w:sz w:val="20"/>
                <w:szCs w:val="20"/>
              </w:rPr>
            </w:pPr>
            <w:r w:rsidRPr="001A423D">
              <w:rPr>
                <w:rFonts w:ascii="Times New Roman" w:hAnsi="Times New Roman"/>
                <w:bCs/>
                <w:sz w:val="20"/>
                <w:szCs w:val="20"/>
                <w:lang w:bidi="en-US"/>
              </w:rPr>
              <w:t>[●]</w:t>
            </w:r>
          </w:p>
        </w:tc>
        <w:tc>
          <w:tcPr>
            <w:tcW w:w="726" w:type="pct"/>
          </w:tcPr>
          <w:p w14:paraId="433FE49D" w14:textId="77777777" w:rsidR="00CB2D76" w:rsidRPr="001A423D" w:rsidDel="009650B9" w:rsidRDefault="00CB2D76" w:rsidP="009C1E14">
            <w:pPr>
              <w:spacing w:after="0" w:line="240" w:lineRule="auto"/>
              <w:jc w:val="center"/>
              <w:rPr>
                <w:rFonts w:ascii="Times New Roman" w:hAnsi="Times New Roman"/>
                <w:b/>
                <w:sz w:val="20"/>
                <w:szCs w:val="20"/>
              </w:rPr>
            </w:pPr>
            <w:r w:rsidRPr="001A423D">
              <w:rPr>
                <w:rFonts w:ascii="Times New Roman" w:hAnsi="Times New Roman"/>
                <w:bCs/>
                <w:sz w:val="20"/>
                <w:szCs w:val="20"/>
                <w:lang w:bidi="en-US"/>
              </w:rPr>
              <w:t>[●]</w:t>
            </w:r>
          </w:p>
        </w:tc>
        <w:tc>
          <w:tcPr>
            <w:tcW w:w="539" w:type="pct"/>
          </w:tcPr>
          <w:p w14:paraId="05322A03" w14:textId="77777777" w:rsidR="00CB2D76" w:rsidRPr="001A423D" w:rsidDel="009650B9" w:rsidRDefault="00CB2D76" w:rsidP="009C1E14">
            <w:pPr>
              <w:spacing w:after="0" w:line="240" w:lineRule="auto"/>
              <w:jc w:val="center"/>
              <w:rPr>
                <w:rFonts w:ascii="Times New Roman" w:hAnsi="Times New Roman"/>
                <w:b/>
                <w:sz w:val="20"/>
                <w:szCs w:val="20"/>
              </w:rPr>
            </w:pPr>
            <w:r w:rsidRPr="001A423D">
              <w:rPr>
                <w:rFonts w:ascii="Times New Roman" w:hAnsi="Times New Roman"/>
                <w:bCs/>
                <w:sz w:val="20"/>
                <w:szCs w:val="20"/>
                <w:lang w:bidi="en-US"/>
              </w:rPr>
              <w:t>[●]</w:t>
            </w:r>
          </w:p>
        </w:tc>
      </w:tr>
    </w:tbl>
    <w:p w14:paraId="5887769A" w14:textId="77777777" w:rsidR="00CB2D76" w:rsidRPr="001A423D" w:rsidRDefault="00CB2D76">
      <w:pPr>
        <w:numPr>
          <w:ilvl w:val="0"/>
          <w:numId w:val="161"/>
        </w:numPr>
        <w:tabs>
          <w:tab w:val="left" w:pos="492"/>
        </w:tabs>
        <w:spacing w:after="0" w:line="240" w:lineRule="auto"/>
        <w:ind w:left="426" w:right="119"/>
        <w:contextualSpacing/>
        <w:jc w:val="both"/>
        <w:rPr>
          <w:rFonts w:ascii="Times New Roman" w:hAnsi="Times New Roman"/>
          <w:color w:val="000000"/>
          <w:sz w:val="20"/>
          <w:szCs w:val="20"/>
          <w:lang w:val="x-none" w:eastAsia="x-none"/>
        </w:rPr>
      </w:pPr>
      <w:r w:rsidRPr="001A423D">
        <w:rPr>
          <w:rFonts w:ascii="Times New Roman" w:hAnsi="Times New Roman"/>
          <w:i/>
          <w:color w:val="000000"/>
          <w:spacing w:val="-1"/>
          <w:sz w:val="20"/>
          <w:szCs w:val="20"/>
          <w:lang w:val="x-none" w:eastAsia="x-none"/>
        </w:rPr>
        <w:t>Amounts</w:t>
      </w:r>
      <w:r w:rsidRPr="001A423D">
        <w:rPr>
          <w:rFonts w:ascii="Times New Roman" w:hAnsi="Times New Roman"/>
          <w:i/>
          <w:color w:val="000000"/>
          <w:spacing w:val="31"/>
          <w:sz w:val="20"/>
          <w:szCs w:val="20"/>
          <w:lang w:val="x-none" w:eastAsia="x-none"/>
        </w:rPr>
        <w:t xml:space="preserve"> </w:t>
      </w:r>
      <w:r w:rsidRPr="001A423D">
        <w:rPr>
          <w:rFonts w:ascii="Times New Roman" w:hAnsi="Times New Roman"/>
          <w:i/>
          <w:color w:val="000000"/>
          <w:spacing w:val="-1"/>
          <w:sz w:val="20"/>
          <w:szCs w:val="20"/>
          <w:lang w:val="x-none" w:eastAsia="x-none"/>
        </w:rPr>
        <w:t>will</w:t>
      </w:r>
      <w:r w:rsidRPr="001A423D">
        <w:rPr>
          <w:rFonts w:ascii="Times New Roman" w:hAnsi="Times New Roman"/>
          <w:i/>
          <w:color w:val="000000"/>
          <w:spacing w:val="36"/>
          <w:sz w:val="20"/>
          <w:szCs w:val="20"/>
          <w:lang w:val="x-none" w:eastAsia="x-none"/>
        </w:rPr>
        <w:t xml:space="preserve"> </w:t>
      </w:r>
      <w:r w:rsidRPr="001A423D">
        <w:rPr>
          <w:rFonts w:ascii="Times New Roman" w:hAnsi="Times New Roman"/>
          <w:i/>
          <w:color w:val="000000"/>
          <w:spacing w:val="-2"/>
          <w:sz w:val="20"/>
          <w:szCs w:val="20"/>
          <w:lang w:val="x-none" w:eastAsia="x-none"/>
        </w:rPr>
        <w:t>be</w:t>
      </w:r>
      <w:r w:rsidRPr="001A423D">
        <w:rPr>
          <w:rFonts w:ascii="Times New Roman" w:hAnsi="Times New Roman"/>
          <w:i/>
          <w:color w:val="000000"/>
          <w:spacing w:val="34"/>
          <w:sz w:val="20"/>
          <w:szCs w:val="20"/>
          <w:lang w:val="x-none" w:eastAsia="x-none"/>
        </w:rPr>
        <w:t xml:space="preserve"> </w:t>
      </w:r>
      <w:r w:rsidRPr="001A423D">
        <w:rPr>
          <w:rFonts w:ascii="Times New Roman" w:hAnsi="Times New Roman"/>
          <w:i/>
          <w:color w:val="000000"/>
          <w:spacing w:val="-1"/>
          <w:sz w:val="20"/>
          <w:szCs w:val="20"/>
          <w:lang w:val="x-none" w:eastAsia="x-none"/>
        </w:rPr>
        <w:t>finalised</w:t>
      </w:r>
      <w:r w:rsidRPr="001A423D">
        <w:rPr>
          <w:rFonts w:ascii="Times New Roman" w:hAnsi="Times New Roman"/>
          <w:i/>
          <w:color w:val="000000"/>
          <w:spacing w:val="31"/>
          <w:sz w:val="20"/>
          <w:szCs w:val="20"/>
          <w:lang w:val="x-none" w:eastAsia="x-none"/>
        </w:rPr>
        <w:t xml:space="preserve"> </w:t>
      </w:r>
      <w:r w:rsidRPr="001A423D">
        <w:rPr>
          <w:rFonts w:ascii="Times New Roman" w:hAnsi="Times New Roman"/>
          <w:i/>
          <w:color w:val="000000"/>
          <w:spacing w:val="-1"/>
          <w:sz w:val="20"/>
          <w:szCs w:val="20"/>
          <w:lang w:val="x-none" w:eastAsia="x-none"/>
        </w:rPr>
        <w:t>and</w:t>
      </w:r>
      <w:r w:rsidRPr="001A423D">
        <w:rPr>
          <w:rFonts w:ascii="Times New Roman" w:hAnsi="Times New Roman"/>
          <w:i/>
          <w:color w:val="000000"/>
          <w:spacing w:val="28"/>
          <w:sz w:val="20"/>
          <w:szCs w:val="20"/>
          <w:lang w:val="x-none" w:eastAsia="x-none"/>
        </w:rPr>
        <w:t xml:space="preserve"> </w:t>
      </w:r>
      <w:r w:rsidRPr="001A423D">
        <w:rPr>
          <w:rFonts w:ascii="Times New Roman" w:hAnsi="Times New Roman"/>
          <w:i/>
          <w:color w:val="000000"/>
          <w:spacing w:val="-1"/>
          <w:sz w:val="20"/>
          <w:szCs w:val="20"/>
          <w:lang w:val="x-none" w:eastAsia="x-none"/>
        </w:rPr>
        <w:t>incorporated</w:t>
      </w:r>
      <w:r w:rsidRPr="001A423D">
        <w:rPr>
          <w:rFonts w:ascii="Times New Roman" w:hAnsi="Times New Roman"/>
          <w:i/>
          <w:color w:val="000000"/>
          <w:spacing w:val="31"/>
          <w:sz w:val="20"/>
          <w:szCs w:val="20"/>
          <w:lang w:val="x-none" w:eastAsia="x-none"/>
        </w:rPr>
        <w:t xml:space="preserve"> </w:t>
      </w:r>
      <w:r w:rsidRPr="001A423D">
        <w:rPr>
          <w:rFonts w:ascii="Times New Roman" w:hAnsi="Times New Roman"/>
          <w:i/>
          <w:color w:val="000000"/>
          <w:spacing w:val="-1"/>
          <w:sz w:val="20"/>
          <w:szCs w:val="20"/>
          <w:lang w:val="x-none" w:eastAsia="x-none"/>
        </w:rPr>
        <w:t>in</w:t>
      </w:r>
      <w:r w:rsidRPr="001A423D">
        <w:rPr>
          <w:rFonts w:ascii="Times New Roman" w:hAnsi="Times New Roman"/>
          <w:i/>
          <w:color w:val="000000"/>
          <w:spacing w:val="31"/>
          <w:sz w:val="20"/>
          <w:szCs w:val="20"/>
          <w:lang w:val="x-none" w:eastAsia="x-none"/>
        </w:rPr>
        <w:t xml:space="preserve"> </w:t>
      </w:r>
      <w:r w:rsidRPr="001A423D">
        <w:rPr>
          <w:rFonts w:ascii="Times New Roman" w:hAnsi="Times New Roman"/>
          <w:i/>
          <w:color w:val="000000"/>
          <w:spacing w:val="-1"/>
          <w:sz w:val="20"/>
          <w:szCs w:val="20"/>
          <w:lang w:val="x-none" w:eastAsia="x-none"/>
        </w:rPr>
        <w:t>the</w:t>
      </w:r>
      <w:r w:rsidRPr="001A423D">
        <w:rPr>
          <w:rFonts w:ascii="Times New Roman" w:hAnsi="Times New Roman"/>
          <w:i/>
          <w:color w:val="000000"/>
          <w:spacing w:val="31"/>
          <w:sz w:val="20"/>
          <w:szCs w:val="20"/>
          <w:lang w:val="x-none" w:eastAsia="x-none"/>
        </w:rPr>
        <w:t xml:space="preserve"> </w:t>
      </w:r>
      <w:r w:rsidRPr="001A423D">
        <w:rPr>
          <w:rFonts w:ascii="Times New Roman" w:hAnsi="Times New Roman"/>
          <w:i/>
          <w:color w:val="000000"/>
          <w:spacing w:val="-1"/>
          <w:sz w:val="20"/>
          <w:szCs w:val="20"/>
          <w:lang w:val="x-none" w:eastAsia="x-none"/>
        </w:rPr>
        <w:t>Prospectus</w:t>
      </w:r>
      <w:r w:rsidRPr="001A423D">
        <w:rPr>
          <w:rFonts w:ascii="Times New Roman" w:hAnsi="Times New Roman"/>
          <w:i/>
          <w:color w:val="000000"/>
          <w:spacing w:val="33"/>
          <w:sz w:val="20"/>
          <w:szCs w:val="20"/>
          <w:lang w:val="x-none" w:eastAsia="x-none"/>
        </w:rPr>
        <w:t xml:space="preserve"> </w:t>
      </w:r>
      <w:r w:rsidRPr="001A423D">
        <w:rPr>
          <w:rFonts w:ascii="Times New Roman" w:hAnsi="Times New Roman"/>
          <w:i/>
          <w:color w:val="000000"/>
          <w:spacing w:val="-1"/>
          <w:sz w:val="20"/>
          <w:szCs w:val="20"/>
          <w:lang w:val="x-none" w:eastAsia="x-none"/>
        </w:rPr>
        <w:t>on</w:t>
      </w:r>
      <w:r w:rsidRPr="001A423D">
        <w:rPr>
          <w:rFonts w:ascii="Times New Roman" w:hAnsi="Times New Roman"/>
          <w:i/>
          <w:color w:val="000000"/>
          <w:spacing w:val="34"/>
          <w:sz w:val="20"/>
          <w:szCs w:val="20"/>
          <w:lang w:val="x-none" w:eastAsia="x-none"/>
        </w:rPr>
        <w:t xml:space="preserve"> </w:t>
      </w:r>
      <w:r w:rsidRPr="001A423D">
        <w:rPr>
          <w:rFonts w:ascii="Times New Roman" w:hAnsi="Times New Roman"/>
          <w:i/>
          <w:color w:val="000000"/>
          <w:spacing w:val="-2"/>
          <w:sz w:val="20"/>
          <w:szCs w:val="20"/>
          <w:lang w:val="x-none" w:eastAsia="x-none"/>
        </w:rPr>
        <w:t>determination</w:t>
      </w:r>
      <w:r w:rsidRPr="001A423D">
        <w:rPr>
          <w:rFonts w:ascii="Times New Roman" w:hAnsi="Times New Roman"/>
          <w:i/>
          <w:color w:val="000000"/>
          <w:spacing w:val="30"/>
          <w:sz w:val="20"/>
          <w:szCs w:val="20"/>
          <w:lang w:val="x-none" w:eastAsia="x-none"/>
        </w:rPr>
        <w:t xml:space="preserve"> </w:t>
      </w:r>
      <w:r w:rsidRPr="001A423D">
        <w:rPr>
          <w:rFonts w:ascii="Times New Roman" w:hAnsi="Times New Roman"/>
          <w:i/>
          <w:color w:val="000000"/>
          <w:sz w:val="20"/>
          <w:szCs w:val="20"/>
          <w:lang w:val="x-none" w:eastAsia="x-none"/>
        </w:rPr>
        <w:t>of</w:t>
      </w:r>
      <w:r w:rsidRPr="001A423D">
        <w:rPr>
          <w:rFonts w:ascii="Times New Roman" w:hAnsi="Times New Roman"/>
          <w:i/>
          <w:color w:val="000000"/>
          <w:spacing w:val="31"/>
          <w:sz w:val="20"/>
          <w:szCs w:val="20"/>
          <w:lang w:val="x-none" w:eastAsia="x-none"/>
        </w:rPr>
        <w:t xml:space="preserve"> </w:t>
      </w:r>
      <w:r w:rsidRPr="001A423D">
        <w:rPr>
          <w:rFonts w:ascii="Times New Roman" w:hAnsi="Times New Roman"/>
          <w:i/>
          <w:color w:val="000000"/>
          <w:spacing w:val="-1"/>
          <w:sz w:val="20"/>
          <w:szCs w:val="20"/>
          <w:lang w:val="x-none" w:eastAsia="x-none"/>
        </w:rPr>
        <w:t>Issue Price.</w:t>
      </w:r>
      <w:r w:rsidRPr="001A423D">
        <w:rPr>
          <w:rFonts w:ascii="Times New Roman" w:hAnsi="Times New Roman"/>
          <w:i/>
          <w:color w:val="000000"/>
          <w:spacing w:val="32"/>
          <w:sz w:val="20"/>
          <w:szCs w:val="20"/>
          <w:lang w:val="x-none" w:eastAsia="x-none"/>
        </w:rPr>
        <w:t xml:space="preserve"> </w:t>
      </w:r>
      <w:r w:rsidRPr="001A423D">
        <w:rPr>
          <w:rFonts w:ascii="Times New Roman" w:hAnsi="Times New Roman"/>
          <w:i/>
          <w:color w:val="000000"/>
          <w:spacing w:val="-2"/>
          <w:sz w:val="20"/>
          <w:szCs w:val="20"/>
          <w:lang w:val="x-none" w:eastAsia="x-none"/>
        </w:rPr>
        <w:t xml:space="preserve">Issue </w:t>
      </w:r>
      <w:r w:rsidRPr="001A423D">
        <w:rPr>
          <w:rFonts w:ascii="Times New Roman" w:hAnsi="Times New Roman"/>
          <w:i/>
          <w:color w:val="000000"/>
          <w:spacing w:val="-1"/>
          <w:sz w:val="20"/>
          <w:szCs w:val="20"/>
          <w:lang w:val="x-none" w:eastAsia="x-none"/>
        </w:rPr>
        <w:t>expenses</w:t>
      </w:r>
      <w:r w:rsidRPr="001A423D">
        <w:rPr>
          <w:rFonts w:ascii="Times New Roman" w:hAnsi="Times New Roman"/>
          <w:i/>
          <w:color w:val="000000"/>
          <w:spacing w:val="31"/>
          <w:sz w:val="20"/>
          <w:szCs w:val="20"/>
          <w:lang w:val="x-none" w:eastAsia="x-none"/>
        </w:rPr>
        <w:t xml:space="preserve"> </w:t>
      </w:r>
      <w:r w:rsidRPr="001A423D">
        <w:rPr>
          <w:rFonts w:ascii="Times New Roman" w:hAnsi="Times New Roman"/>
          <w:i/>
          <w:color w:val="000000"/>
          <w:spacing w:val="-1"/>
          <w:sz w:val="20"/>
          <w:szCs w:val="20"/>
          <w:lang w:val="x-none" w:eastAsia="x-none"/>
        </w:rPr>
        <w:t xml:space="preserve">include applicable </w:t>
      </w:r>
      <w:r w:rsidRPr="001A423D">
        <w:rPr>
          <w:rFonts w:ascii="Times New Roman" w:hAnsi="Times New Roman"/>
          <w:i/>
          <w:color w:val="000000"/>
          <w:spacing w:val="-2"/>
          <w:sz w:val="20"/>
          <w:szCs w:val="20"/>
          <w:lang w:val="x-none" w:eastAsia="x-none"/>
        </w:rPr>
        <w:t>taxes,</w:t>
      </w:r>
      <w:r w:rsidRPr="001A423D">
        <w:rPr>
          <w:rFonts w:ascii="Times New Roman" w:hAnsi="Times New Roman"/>
          <w:i/>
          <w:color w:val="000000"/>
          <w:spacing w:val="1"/>
          <w:sz w:val="20"/>
          <w:szCs w:val="20"/>
          <w:lang w:val="x-none" w:eastAsia="x-none"/>
        </w:rPr>
        <w:t xml:space="preserve"> </w:t>
      </w:r>
      <w:r w:rsidRPr="001A423D">
        <w:rPr>
          <w:rFonts w:ascii="Times New Roman" w:hAnsi="Times New Roman"/>
          <w:i/>
          <w:color w:val="000000"/>
          <w:spacing w:val="-1"/>
          <w:sz w:val="20"/>
          <w:szCs w:val="20"/>
          <w:lang w:val="x-none" w:eastAsia="x-none"/>
        </w:rPr>
        <w:t>where</w:t>
      </w:r>
      <w:r w:rsidRPr="001A423D">
        <w:rPr>
          <w:rFonts w:ascii="Times New Roman" w:hAnsi="Times New Roman"/>
          <w:i/>
          <w:color w:val="000000"/>
          <w:sz w:val="20"/>
          <w:szCs w:val="20"/>
          <w:lang w:val="x-none" w:eastAsia="x-none"/>
        </w:rPr>
        <w:t xml:space="preserve"> </w:t>
      </w:r>
      <w:r w:rsidRPr="001A423D">
        <w:rPr>
          <w:rFonts w:ascii="Times New Roman" w:hAnsi="Times New Roman"/>
          <w:i/>
          <w:color w:val="000000"/>
          <w:spacing w:val="-2"/>
          <w:sz w:val="20"/>
          <w:szCs w:val="20"/>
          <w:lang w:val="x-none" w:eastAsia="x-none"/>
        </w:rPr>
        <w:t>applicable.</w:t>
      </w:r>
      <w:r w:rsidRPr="001A423D">
        <w:rPr>
          <w:rFonts w:ascii="Times New Roman" w:hAnsi="Times New Roman"/>
          <w:i/>
          <w:color w:val="000000"/>
          <w:sz w:val="20"/>
          <w:szCs w:val="20"/>
          <w:lang w:val="x-none" w:eastAsia="x-none"/>
        </w:rPr>
        <w:t xml:space="preserve"> </w:t>
      </w:r>
      <w:r w:rsidRPr="001A423D">
        <w:rPr>
          <w:rFonts w:ascii="Times New Roman" w:hAnsi="Times New Roman"/>
          <w:i/>
          <w:color w:val="000000"/>
          <w:spacing w:val="-1"/>
          <w:sz w:val="20"/>
          <w:szCs w:val="20"/>
          <w:lang w:val="x-none" w:eastAsia="x-none"/>
        </w:rPr>
        <w:t>Issue expenses</w:t>
      </w:r>
      <w:r w:rsidRPr="001A423D">
        <w:rPr>
          <w:rFonts w:ascii="Times New Roman" w:hAnsi="Times New Roman"/>
          <w:i/>
          <w:color w:val="000000"/>
          <w:spacing w:val="-2"/>
          <w:sz w:val="20"/>
          <w:szCs w:val="20"/>
          <w:lang w:val="x-none" w:eastAsia="x-none"/>
        </w:rPr>
        <w:t xml:space="preserve"> are</w:t>
      </w:r>
      <w:r w:rsidRPr="001A423D">
        <w:rPr>
          <w:rFonts w:ascii="Times New Roman" w:hAnsi="Times New Roman"/>
          <w:i/>
          <w:color w:val="000000"/>
          <w:spacing w:val="2"/>
          <w:sz w:val="20"/>
          <w:szCs w:val="20"/>
          <w:lang w:val="x-none" w:eastAsia="x-none"/>
        </w:rPr>
        <w:t xml:space="preserve"> </w:t>
      </w:r>
      <w:r w:rsidRPr="001A423D">
        <w:rPr>
          <w:rFonts w:ascii="Times New Roman" w:hAnsi="Times New Roman"/>
          <w:i/>
          <w:color w:val="000000"/>
          <w:spacing w:val="-1"/>
          <w:sz w:val="20"/>
          <w:szCs w:val="20"/>
          <w:lang w:val="x-none" w:eastAsia="x-none"/>
        </w:rPr>
        <w:t>estimates</w:t>
      </w:r>
      <w:r w:rsidRPr="001A423D">
        <w:rPr>
          <w:rFonts w:ascii="Times New Roman" w:hAnsi="Times New Roman"/>
          <w:i/>
          <w:color w:val="000000"/>
          <w:sz w:val="20"/>
          <w:szCs w:val="20"/>
          <w:lang w:val="x-none" w:eastAsia="x-none"/>
        </w:rPr>
        <w:t xml:space="preserve"> </w:t>
      </w:r>
      <w:r w:rsidRPr="001A423D">
        <w:rPr>
          <w:rFonts w:ascii="Times New Roman" w:hAnsi="Times New Roman"/>
          <w:i/>
          <w:color w:val="000000"/>
          <w:spacing w:val="-1"/>
          <w:sz w:val="20"/>
          <w:szCs w:val="20"/>
          <w:lang w:val="x-none" w:eastAsia="x-none"/>
        </w:rPr>
        <w:t>and</w:t>
      </w:r>
      <w:r w:rsidRPr="001A423D">
        <w:rPr>
          <w:rFonts w:ascii="Times New Roman" w:hAnsi="Times New Roman"/>
          <w:i/>
          <w:color w:val="000000"/>
          <w:spacing w:val="-2"/>
          <w:sz w:val="20"/>
          <w:szCs w:val="20"/>
          <w:lang w:val="x-none" w:eastAsia="x-none"/>
        </w:rPr>
        <w:t xml:space="preserve"> </w:t>
      </w:r>
      <w:r w:rsidRPr="001A423D">
        <w:rPr>
          <w:rFonts w:ascii="Times New Roman" w:hAnsi="Times New Roman"/>
          <w:i/>
          <w:color w:val="000000"/>
          <w:sz w:val="20"/>
          <w:szCs w:val="20"/>
          <w:lang w:val="x-none" w:eastAsia="x-none"/>
        </w:rPr>
        <w:t xml:space="preserve">are </w:t>
      </w:r>
      <w:r w:rsidRPr="001A423D">
        <w:rPr>
          <w:rFonts w:ascii="Times New Roman" w:hAnsi="Times New Roman"/>
          <w:i/>
          <w:color w:val="000000"/>
          <w:spacing w:val="-1"/>
          <w:sz w:val="20"/>
          <w:szCs w:val="20"/>
          <w:lang w:val="x-none" w:eastAsia="x-none"/>
        </w:rPr>
        <w:t>subject</w:t>
      </w:r>
      <w:r w:rsidRPr="001A423D">
        <w:rPr>
          <w:rFonts w:ascii="Times New Roman" w:hAnsi="Times New Roman"/>
          <w:i/>
          <w:color w:val="000000"/>
          <w:spacing w:val="-2"/>
          <w:sz w:val="20"/>
          <w:szCs w:val="20"/>
          <w:lang w:val="x-none" w:eastAsia="x-none"/>
        </w:rPr>
        <w:t xml:space="preserve"> </w:t>
      </w:r>
      <w:r w:rsidRPr="001A423D">
        <w:rPr>
          <w:rFonts w:ascii="Times New Roman" w:hAnsi="Times New Roman"/>
          <w:i/>
          <w:color w:val="000000"/>
          <w:spacing w:val="-1"/>
          <w:sz w:val="20"/>
          <w:szCs w:val="20"/>
          <w:lang w:val="x-none" w:eastAsia="x-none"/>
        </w:rPr>
        <w:t>to</w:t>
      </w:r>
      <w:r w:rsidRPr="001A423D">
        <w:rPr>
          <w:rFonts w:ascii="Times New Roman" w:hAnsi="Times New Roman"/>
          <w:i/>
          <w:color w:val="000000"/>
          <w:spacing w:val="-2"/>
          <w:sz w:val="20"/>
          <w:szCs w:val="20"/>
          <w:lang w:val="x-none" w:eastAsia="x-none"/>
        </w:rPr>
        <w:t xml:space="preserve"> </w:t>
      </w:r>
      <w:r w:rsidRPr="001A423D">
        <w:rPr>
          <w:rFonts w:ascii="Times New Roman" w:hAnsi="Times New Roman"/>
          <w:i/>
          <w:color w:val="000000"/>
          <w:spacing w:val="-1"/>
          <w:sz w:val="20"/>
          <w:szCs w:val="20"/>
          <w:lang w:val="x-none" w:eastAsia="x-none"/>
        </w:rPr>
        <w:t>change.</w:t>
      </w:r>
    </w:p>
    <w:p w14:paraId="5FDDD693" w14:textId="77777777" w:rsidR="00CB2D76" w:rsidRPr="001A423D" w:rsidRDefault="00CB2D76" w:rsidP="00CB2D76">
      <w:pPr>
        <w:tabs>
          <w:tab w:val="left" w:pos="492"/>
        </w:tabs>
        <w:suppressAutoHyphens/>
        <w:autoSpaceDE w:val="0"/>
        <w:autoSpaceDN w:val="0"/>
        <w:adjustRightInd w:val="0"/>
        <w:spacing w:after="0" w:line="240" w:lineRule="auto"/>
        <w:ind w:left="426" w:right="119"/>
        <w:jc w:val="both"/>
        <w:textAlignment w:val="center"/>
        <w:rPr>
          <w:rFonts w:ascii="Times New Roman" w:hAnsi="Times New Roman"/>
          <w:color w:val="000000"/>
          <w:sz w:val="20"/>
          <w:szCs w:val="20"/>
          <w:lang w:val="x-none" w:eastAsia="x-none"/>
        </w:rPr>
      </w:pPr>
    </w:p>
    <w:p w14:paraId="5C7D9D11" w14:textId="77777777" w:rsidR="00CB2D76" w:rsidRPr="001A423D" w:rsidRDefault="00CB2D76">
      <w:pPr>
        <w:numPr>
          <w:ilvl w:val="0"/>
          <w:numId w:val="161"/>
        </w:numPr>
        <w:tabs>
          <w:tab w:val="left" w:pos="492"/>
        </w:tabs>
        <w:spacing w:after="0" w:line="240" w:lineRule="auto"/>
        <w:ind w:left="426" w:right="119"/>
        <w:contextualSpacing/>
        <w:jc w:val="both"/>
        <w:rPr>
          <w:rFonts w:ascii="Times New Roman" w:hAnsi="Times New Roman"/>
          <w:color w:val="000000"/>
          <w:sz w:val="20"/>
          <w:szCs w:val="20"/>
          <w:lang w:val="x-none" w:eastAsia="x-none"/>
        </w:rPr>
      </w:pPr>
      <w:r w:rsidRPr="001A423D">
        <w:rPr>
          <w:rFonts w:ascii="Times New Roman" w:hAnsi="Times New Roman"/>
          <w:i/>
          <w:color w:val="000000"/>
          <w:spacing w:val="-1"/>
          <w:sz w:val="20"/>
          <w:szCs w:val="20"/>
          <w:lang w:val="x-none" w:eastAsia="x-none"/>
        </w:rPr>
        <w:t>Selling</w:t>
      </w:r>
      <w:r w:rsidRPr="001A423D">
        <w:rPr>
          <w:rFonts w:ascii="Times New Roman" w:hAnsi="Times New Roman"/>
          <w:i/>
          <w:color w:val="000000"/>
          <w:spacing w:val="38"/>
          <w:sz w:val="20"/>
          <w:szCs w:val="20"/>
          <w:lang w:val="x-none" w:eastAsia="x-none"/>
        </w:rPr>
        <w:t xml:space="preserve"> </w:t>
      </w:r>
      <w:r w:rsidRPr="001A423D">
        <w:rPr>
          <w:rFonts w:ascii="Times New Roman" w:hAnsi="Times New Roman"/>
          <w:i/>
          <w:color w:val="000000"/>
          <w:spacing w:val="-1"/>
          <w:sz w:val="20"/>
          <w:szCs w:val="20"/>
          <w:lang w:val="x-none" w:eastAsia="x-none"/>
        </w:rPr>
        <w:t>commission</w:t>
      </w:r>
      <w:r w:rsidRPr="001A423D">
        <w:rPr>
          <w:rFonts w:ascii="Times New Roman" w:hAnsi="Times New Roman"/>
          <w:i/>
          <w:color w:val="000000"/>
          <w:spacing w:val="37"/>
          <w:sz w:val="20"/>
          <w:szCs w:val="20"/>
          <w:lang w:val="x-none" w:eastAsia="x-none"/>
        </w:rPr>
        <w:t xml:space="preserve"> </w:t>
      </w:r>
      <w:r w:rsidRPr="001A423D">
        <w:rPr>
          <w:rFonts w:ascii="Times New Roman" w:hAnsi="Times New Roman"/>
          <w:i/>
          <w:color w:val="000000"/>
          <w:spacing w:val="-1"/>
          <w:sz w:val="20"/>
          <w:szCs w:val="20"/>
          <w:lang w:val="x-none" w:eastAsia="x-none"/>
        </w:rPr>
        <w:t>payable</w:t>
      </w:r>
      <w:r w:rsidRPr="001A423D">
        <w:rPr>
          <w:rFonts w:ascii="Times New Roman" w:hAnsi="Times New Roman"/>
          <w:i/>
          <w:color w:val="000000"/>
          <w:spacing w:val="36"/>
          <w:sz w:val="20"/>
          <w:szCs w:val="20"/>
          <w:lang w:val="x-none" w:eastAsia="x-none"/>
        </w:rPr>
        <w:t xml:space="preserve"> </w:t>
      </w:r>
      <w:r w:rsidRPr="001A423D">
        <w:rPr>
          <w:rFonts w:ascii="Times New Roman" w:hAnsi="Times New Roman"/>
          <w:i/>
          <w:color w:val="000000"/>
          <w:spacing w:val="-1"/>
          <w:sz w:val="20"/>
          <w:szCs w:val="20"/>
          <w:lang w:val="x-none" w:eastAsia="x-none"/>
        </w:rPr>
        <w:t>to</w:t>
      </w:r>
      <w:r w:rsidRPr="001A423D">
        <w:rPr>
          <w:rFonts w:ascii="Times New Roman" w:hAnsi="Times New Roman"/>
          <w:i/>
          <w:color w:val="000000"/>
          <w:spacing w:val="37"/>
          <w:sz w:val="20"/>
          <w:szCs w:val="20"/>
          <w:lang w:val="x-none" w:eastAsia="x-none"/>
        </w:rPr>
        <w:t xml:space="preserve"> </w:t>
      </w:r>
      <w:r w:rsidRPr="001A423D">
        <w:rPr>
          <w:rFonts w:ascii="Times New Roman" w:hAnsi="Times New Roman"/>
          <w:i/>
          <w:color w:val="000000"/>
          <w:spacing w:val="-1"/>
          <w:sz w:val="20"/>
          <w:szCs w:val="20"/>
          <w:lang w:val="x-none" w:eastAsia="x-none"/>
        </w:rPr>
        <w:t>the</w:t>
      </w:r>
      <w:r w:rsidRPr="001A423D">
        <w:rPr>
          <w:rFonts w:ascii="Times New Roman" w:hAnsi="Times New Roman"/>
          <w:i/>
          <w:color w:val="000000"/>
          <w:spacing w:val="36"/>
          <w:sz w:val="20"/>
          <w:szCs w:val="20"/>
          <w:lang w:val="x-none" w:eastAsia="x-none"/>
        </w:rPr>
        <w:t xml:space="preserve"> </w:t>
      </w:r>
      <w:r w:rsidRPr="001A423D">
        <w:rPr>
          <w:rFonts w:ascii="Times New Roman" w:hAnsi="Times New Roman"/>
          <w:i/>
          <w:color w:val="000000"/>
          <w:spacing w:val="-1"/>
          <w:sz w:val="20"/>
          <w:szCs w:val="20"/>
          <w:lang w:val="x-none" w:eastAsia="x-none"/>
        </w:rPr>
        <w:t>SCSBs</w:t>
      </w:r>
      <w:r w:rsidRPr="001A423D">
        <w:rPr>
          <w:rFonts w:ascii="Times New Roman" w:hAnsi="Times New Roman"/>
          <w:i/>
          <w:color w:val="000000"/>
          <w:spacing w:val="39"/>
          <w:sz w:val="20"/>
          <w:szCs w:val="20"/>
          <w:lang w:val="x-none" w:eastAsia="x-none"/>
        </w:rPr>
        <w:t xml:space="preserve"> </w:t>
      </w:r>
      <w:r w:rsidRPr="001A423D">
        <w:rPr>
          <w:rFonts w:ascii="Times New Roman" w:hAnsi="Times New Roman"/>
          <w:i/>
          <w:color w:val="000000"/>
          <w:sz w:val="20"/>
          <w:szCs w:val="20"/>
          <w:lang w:val="x-none" w:eastAsia="x-none"/>
        </w:rPr>
        <w:t>on</w:t>
      </w:r>
      <w:r w:rsidRPr="001A423D">
        <w:rPr>
          <w:rFonts w:ascii="Times New Roman" w:hAnsi="Times New Roman"/>
          <w:i/>
          <w:color w:val="000000"/>
          <w:spacing w:val="35"/>
          <w:sz w:val="20"/>
          <w:szCs w:val="20"/>
          <w:lang w:val="x-none" w:eastAsia="x-none"/>
        </w:rPr>
        <w:t xml:space="preserve"> </w:t>
      </w:r>
      <w:r w:rsidRPr="001A423D">
        <w:rPr>
          <w:rFonts w:ascii="Times New Roman" w:hAnsi="Times New Roman"/>
          <w:i/>
          <w:color w:val="000000"/>
          <w:spacing w:val="-1"/>
          <w:sz w:val="20"/>
          <w:szCs w:val="20"/>
          <w:lang w:val="x-none" w:eastAsia="x-none"/>
        </w:rPr>
        <w:t>the</w:t>
      </w:r>
      <w:r w:rsidRPr="001A423D">
        <w:rPr>
          <w:rFonts w:ascii="Times New Roman" w:hAnsi="Times New Roman"/>
          <w:i/>
          <w:color w:val="000000"/>
          <w:spacing w:val="39"/>
          <w:sz w:val="20"/>
          <w:szCs w:val="20"/>
          <w:lang w:val="x-none" w:eastAsia="x-none"/>
        </w:rPr>
        <w:t xml:space="preserve"> </w:t>
      </w:r>
      <w:r w:rsidRPr="001A423D">
        <w:rPr>
          <w:rFonts w:ascii="Times New Roman" w:hAnsi="Times New Roman"/>
          <w:i/>
          <w:color w:val="000000"/>
          <w:spacing w:val="-1"/>
          <w:sz w:val="20"/>
          <w:szCs w:val="20"/>
          <w:lang w:val="x-none" w:eastAsia="x-none"/>
        </w:rPr>
        <w:t>portion</w:t>
      </w:r>
      <w:r w:rsidRPr="001A423D">
        <w:rPr>
          <w:rFonts w:ascii="Times New Roman" w:hAnsi="Times New Roman"/>
          <w:i/>
          <w:color w:val="000000"/>
          <w:spacing w:val="36"/>
          <w:sz w:val="20"/>
          <w:szCs w:val="20"/>
          <w:lang w:val="x-none" w:eastAsia="x-none"/>
        </w:rPr>
        <w:t xml:space="preserve"> </w:t>
      </w:r>
      <w:r w:rsidRPr="001A423D">
        <w:rPr>
          <w:rFonts w:ascii="Times New Roman" w:hAnsi="Times New Roman"/>
          <w:i/>
          <w:color w:val="000000"/>
          <w:spacing w:val="-1"/>
          <w:sz w:val="20"/>
          <w:szCs w:val="20"/>
          <w:lang w:val="x-none" w:eastAsia="x-none"/>
        </w:rPr>
        <w:t>for</w:t>
      </w:r>
      <w:r w:rsidRPr="001A423D">
        <w:rPr>
          <w:rFonts w:ascii="Times New Roman" w:hAnsi="Times New Roman"/>
          <w:i/>
          <w:color w:val="000000"/>
          <w:spacing w:val="37"/>
          <w:sz w:val="20"/>
          <w:szCs w:val="20"/>
          <w:lang w:val="x-none" w:eastAsia="x-none"/>
        </w:rPr>
        <w:t xml:space="preserve"> </w:t>
      </w:r>
      <w:r w:rsidRPr="001A423D">
        <w:rPr>
          <w:rFonts w:ascii="Times New Roman" w:hAnsi="Times New Roman"/>
          <w:i/>
          <w:color w:val="000000"/>
          <w:spacing w:val="-1"/>
          <w:sz w:val="20"/>
          <w:szCs w:val="20"/>
          <w:lang w:val="x-none" w:eastAsia="x-none"/>
        </w:rPr>
        <w:t>Retail</w:t>
      </w:r>
      <w:r w:rsidRPr="001A423D">
        <w:rPr>
          <w:rFonts w:ascii="Times New Roman" w:hAnsi="Times New Roman"/>
          <w:i/>
          <w:color w:val="000000"/>
          <w:spacing w:val="40"/>
          <w:sz w:val="20"/>
          <w:szCs w:val="20"/>
          <w:lang w:val="x-none" w:eastAsia="x-none"/>
        </w:rPr>
        <w:t xml:space="preserve"> </w:t>
      </w:r>
      <w:r w:rsidRPr="001A423D">
        <w:rPr>
          <w:rFonts w:ascii="Times New Roman" w:hAnsi="Times New Roman"/>
          <w:i/>
          <w:color w:val="000000"/>
          <w:spacing w:val="-1"/>
          <w:sz w:val="20"/>
          <w:szCs w:val="20"/>
          <w:lang w:val="x-none" w:eastAsia="x-none"/>
        </w:rPr>
        <w:t>Individual</w:t>
      </w:r>
      <w:r w:rsidRPr="001A423D">
        <w:rPr>
          <w:rFonts w:ascii="Times New Roman" w:hAnsi="Times New Roman"/>
          <w:i/>
          <w:color w:val="000000"/>
          <w:spacing w:val="36"/>
          <w:sz w:val="20"/>
          <w:szCs w:val="20"/>
          <w:lang w:val="x-none" w:eastAsia="x-none"/>
        </w:rPr>
        <w:t xml:space="preserve"> </w:t>
      </w:r>
      <w:r w:rsidRPr="001A423D">
        <w:rPr>
          <w:rFonts w:ascii="Times New Roman" w:hAnsi="Times New Roman"/>
          <w:i/>
          <w:color w:val="000000"/>
          <w:spacing w:val="-1"/>
          <w:sz w:val="20"/>
          <w:szCs w:val="20"/>
          <w:lang w:val="x-none" w:eastAsia="x-none"/>
        </w:rPr>
        <w:t>Bidders.</w:t>
      </w:r>
      <w:r w:rsidRPr="001A423D">
        <w:rPr>
          <w:rFonts w:ascii="Times New Roman" w:hAnsi="Times New Roman"/>
          <w:i/>
          <w:color w:val="000000"/>
          <w:spacing w:val="36"/>
          <w:sz w:val="20"/>
          <w:szCs w:val="20"/>
          <w:lang w:val="x-none" w:eastAsia="x-none"/>
        </w:rPr>
        <w:t xml:space="preserve"> </w:t>
      </w:r>
      <w:r w:rsidRPr="001A423D">
        <w:rPr>
          <w:rFonts w:ascii="Times New Roman" w:hAnsi="Times New Roman"/>
          <w:i/>
          <w:color w:val="000000"/>
          <w:spacing w:val="-1"/>
          <w:sz w:val="20"/>
          <w:szCs w:val="20"/>
          <w:lang w:val="x-none" w:eastAsia="x-none"/>
        </w:rPr>
        <w:t>Non-Institutional</w:t>
      </w:r>
      <w:r w:rsidRPr="001A423D">
        <w:rPr>
          <w:rFonts w:ascii="Times New Roman" w:hAnsi="Times New Roman"/>
          <w:i/>
          <w:color w:val="000000"/>
          <w:sz w:val="20"/>
          <w:szCs w:val="20"/>
          <w:lang w:val="x-none" w:eastAsia="x-none"/>
        </w:rPr>
        <w:t xml:space="preserve"> </w:t>
      </w:r>
      <w:r w:rsidRPr="001A423D">
        <w:rPr>
          <w:rFonts w:ascii="Times New Roman" w:hAnsi="Times New Roman"/>
          <w:i/>
          <w:color w:val="000000"/>
          <w:spacing w:val="-1"/>
          <w:sz w:val="20"/>
          <w:szCs w:val="20"/>
          <w:lang w:val="x-none" w:eastAsia="x-none"/>
        </w:rPr>
        <w:t>Bidders,</w:t>
      </w:r>
      <w:r w:rsidRPr="001A423D">
        <w:rPr>
          <w:rFonts w:ascii="Times New Roman" w:hAnsi="Times New Roman"/>
          <w:i/>
          <w:color w:val="000000"/>
          <w:sz w:val="20"/>
          <w:szCs w:val="20"/>
          <w:lang w:val="x-none" w:eastAsia="x-none"/>
        </w:rPr>
        <w:t xml:space="preserve"> </w:t>
      </w:r>
      <w:r w:rsidRPr="001A423D">
        <w:rPr>
          <w:rFonts w:ascii="Times New Roman" w:hAnsi="Times New Roman"/>
          <w:i/>
          <w:color w:val="000000"/>
          <w:spacing w:val="-1"/>
          <w:sz w:val="20"/>
          <w:szCs w:val="20"/>
          <w:lang w:val="x-none" w:eastAsia="x-none"/>
        </w:rPr>
        <w:t>which</w:t>
      </w:r>
      <w:r w:rsidRPr="001A423D">
        <w:rPr>
          <w:rFonts w:ascii="Times New Roman" w:hAnsi="Times New Roman"/>
          <w:i/>
          <w:color w:val="000000"/>
          <w:spacing w:val="-4"/>
          <w:sz w:val="20"/>
          <w:szCs w:val="20"/>
          <w:lang w:val="x-none" w:eastAsia="x-none"/>
        </w:rPr>
        <w:t xml:space="preserve"> </w:t>
      </w:r>
      <w:r w:rsidRPr="001A423D">
        <w:rPr>
          <w:rFonts w:ascii="Times New Roman" w:hAnsi="Times New Roman"/>
          <w:i/>
          <w:color w:val="000000"/>
          <w:spacing w:val="-1"/>
          <w:sz w:val="20"/>
          <w:szCs w:val="20"/>
          <w:lang w:val="x-none" w:eastAsia="x-none"/>
        </w:rPr>
        <w:t>are</w:t>
      </w:r>
      <w:r w:rsidRPr="001A423D">
        <w:rPr>
          <w:rFonts w:ascii="Times New Roman" w:hAnsi="Times New Roman"/>
          <w:i/>
          <w:color w:val="000000"/>
          <w:sz w:val="20"/>
          <w:szCs w:val="20"/>
          <w:lang w:val="x-none" w:eastAsia="x-none"/>
        </w:rPr>
        <w:t xml:space="preserve"> </w:t>
      </w:r>
      <w:r w:rsidRPr="001A423D">
        <w:rPr>
          <w:rFonts w:ascii="Times New Roman" w:hAnsi="Times New Roman"/>
          <w:i/>
          <w:color w:val="000000"/>
          <w:spacing w:val="-1"/>
          <w:sz w:val="20"/>
          <w:szCs w:val="20"/>
          <w:lang w:val="x-none" w:eastAsia="x-none"/>
        </w:rPr>
        <w:t>directly procured</w:t>
      </w:r>
      <w:r w:rsidRPr="001A423D">
        <w:rPr>
          <w:rFonts w:ascii="Times New Roman" w:hAnsi="Times New Roman"/>
          <w:i/>
          <w:color w:val="000000"/>
          <w:spacing w:val="-2"/>
          <w:sz w:val="20"/>
          <w:szCs w:val="20"/>
          <w:lang w:val="x-none" w:eastAsia="x-none"/>
        </w:rPr>
        <w:t xml:space="preserve"> </w:t>
      </w:r>
      <w:r w:rsidRPr="001A423D">
        <w:rPr>
          <w:rFonts w:ascii="Times New Roman" w:hAnsi="Times New Roman"/>
          <w:i/>
          <w:color w:val="000000"/>
          <w:spacing w:val="-1"/>
          <w:sz w:val="20"/>
          <w:szCs w:val="20"/>
          <w:lang w:val="x-none" w:eastAsia="x-none"/>
        </w:rPr>
        <w:t>by</w:t>
      </w:r>
      <w:r w:rsidRPr="001A423D">
        <w:rPr>
          <w:rFonts w:ascii="Times New Roman" w:hAnsi="Times New Roman"/>
          <w:i/>
          <w:color w:val="000000"/>
          <w:spacing w:val="1"/>
          <w:sz w:val="20"/>
          <w:szCs w:val="20"/>
          <w:lang w:val="x-none" w:eastAsia="x-none"/>
        </w:rPr>
        <w:t xml:space="preserve"> </w:t>
      </w:r>
      <w:r w:rsidRPr="001A423D">
        <w:rPr>
          <w:rFonts w:ascii="Times New Roman" w:hAnsi="Times New Roman"/>
          <w:i/>
          <w:color w:val="000000"/>
          <w:spacing w:val="-1"/>
          <w:sz w:val="20"/>
          <w:szCs w:val="20"/>
          <w:lang w:val="x-none" w:eastAsia="x-none"/>
        </w:rPr>
        <w:t>the</w:t>
      </w:r>
      <w:r w:rsidRPr="001A423D">
        <w:rPr>
          <w:rFonts w:ascii="Times New Roman" w:hAnsi="Times New Roman"/>
          <w:i/>
          <w:color w:val="000000"/>
          <w:sz w:val="20"/>
          <w:szCs w:val="20"/>
          <w:lang w:val="x-none" w:eastAsia="x-none"/>
        </w:rPr>
        <w:t xml:space="preserve"> </w:t>
      </w:r>
      <w:r w:rsidRPr="001A423D">
        <w:rPr>
          <w:rFonts w:ascii="Times New Roman" w:hAnsi="Times New Roman"/>
          <w:i/>
          <w:color w:val="000000"/>
          <w:spacing w:val="-1"/>
          <w:sz w:val="20"/>
          <w:szCs w:val="20"/>
          <w:lang w:val="x-none" w:eastAsia="x-none"/>
        </w:rPr>
        <w:t>SCSBs,</w:t>
      </w:r>
      <w:r w:rsidRPr="001A423D">
        <w:rPr>
          <w:rFonts w:ascii="Times New Roman" w:hAnsi="Times New Roman"/>
          <w:i/>
          <w:color w:val="000000"/>
          <w:sz w:val="20"/>
          <w:szCs w:val="20"/>
          <w:lang w:val="x-none" w:eastAsia="x-none"/>
        </w:rPr>
        <w:t xml:space="preserve"> </w:t>
      </w:r>
      <w:r w:rsidRPr="001A423D">
        <w:rPr>
          <w:rFonts w:ascii="Times New Roman" w:hAnsi="Times New Roman"/>
          <w:i/>
          <w:color w:val="000000"/>
          <w:spacing w:val="-1"/>
          <w:sz w:val="20"/>
          <w:szCs w:val="20"/>
          <w:lang w:val="x-none" w:eastAsia="x-none"/>
        </w:rPr>
        <w:t>would</w:t>
      </w:r>
      <w:r w:rsidRPr="001A423D">
        <w:rPr>
          <w:rFonts w:ascii="Times New Roman" w:hAnsi="Times New Roman"/>
          <w:i/>
          <w:color w:val="000000"/>
          <w:sz w:val="20"/>
          <w:szCs w:val="20"/>
          <w:lang w:val="x-none" w:eastAsia="x-none"/>
        </w:rPr>
        <w:t xml:space="preserve"> be</w:t>
      </w:r>
      <w:r w:rsidRPr="001A423D">
        <w:rPr>
          <w:rFonts w:ascii="Times New Roman" w:hAnsi="Times New Roman"/>
          <w:i/>
          <w:color w:val="000000"/>
          <w:spacing w:val="-1"/>
          <w:sz w:val="20"/>
          <w:szCs w:val="20"/>
          <w:lang w:val="x-none" w:eastAsia="x-none"/>
        </w:rPr>
        <w:t xml:space="preserve"> as</w:t>
      </w:r>
      <w:r w:rsidRPr="001A423D">
        <w:rPr>
          <w:rFonts w:ascii="Times New Roman" w:hAnsi="Times New Roman"/>
          <w:i/>
          <w:color w:val="000000"/>
          <w:sz w:val="20"/>
          <w:szCs w:val="20"/>
          <w:lang w:val="x-none" w:eastAsia="x-none"/>
        </w:rPr>
        <w:t xml:space="preserve"> </w:t>
      </w:r>
      <w:r w:rsidRPr="001A423D">
        <w:rPr>
          <w:rFonts w:ascii="Times New Roman" w:hAnsi="Times New Roman"/>
          <w:i/>
          <w:color w:val="000000"/>
          <w:spacing w:val="-2"/>
          <w:sz w:val="20"/>
          <w:szCs w:val="20"/>
          <w:lang w:val="x-none" w:eastAsia="x-none"/>
        </w:rPr>
        <w:t>follows</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15"/>
        <w:gridCol w:w="6615"/>
      </w:tblGrid>
      <w:tr w:rsidR="00CB2D76" w:rsidRPr="001A423D" w14:paraId="117EB1EF" w14:textId="77777777" w:rsidTr="009C1E14">
        <w:tc>
          <w:tcPr>
            <w:tcW w:w="3415" w:type="dxa"/>
            <w:shd w:val="clear" w:color="auto" w:fill="auto"/>
          </w:tcPr>
          <w:p w14:paraId="59FF82F2" w14:textId="77777777" w:rsidR="00CB2D76" w:rsidRPr="001A423D" w:rsidRDefault="00CB2D76" w:rsidP="009C1E14">
            <w:pPr>
              <w:widowControl w:val="0"/>
              <w:spacing w:after="0" w:line="240" w:lineRule="auto"/>
              <w:jc w:val="both"/>
              <w:rPr>
                <w:rFonts w:ascii="Times New Roman" w:hAnsi="Times New Roman"/>
                <w:sz w:val="20"/>
                <w:szCs w:val="20"/>
              </w:rPr>
            </w:pPr>
            <w:r w:rsidRPr="001A423D">
              <w:rPr>
                <w:rFonts w:ascii="Times New Roman" w:hAnsi="Times New Roman"/>
                <w:i/>
                <w:spacing w:val="-1"/>
                <w:sz w:val="20"/>
                <w:szCs w:val="20"/>
              </w:rPr>
              <w:t>Portion</w:t>
            </w:r>
            <w:r w:rsidRPr="001A423D">
              <w:rPr>
                <w:rFonts w:ascii="Times New Roman" w:hAnsi="Times New Roman"/>
                <w:i/>
                <w:sz w:val="20"/>
                <w:szCs w:val="20"/>
              </w:rPr>
              <w:t xml:space="preserve"> </w:t>
            </w:r>
            <w:r w:rsidRPr="001A423D">
              <w:rPr>
                <w:rFonts w:ascii="Times New Roman" w:hAnsi="Times New Roman"/>
                <w:i/>
                <w:spacing w:val="-2"/>
                <w:sz w:val="20"/>
                <w:szCs w:val="20"/>
              </w:rPr>
              <w:t>for</w:t>
            </w:r>
            <w:r w:rsidRPr="001A423D">
              <w:rPr>
                <w:rFonts w:ascii="Times New Roman" w:hAnsi="Times New Roman"/>
                <w:i/>
                <w:sz w:val="20"/>
                <w:szCs w:val="20"/>
              </w:rPr>
              <w:t xml:space="preserve"> </w:t>
            </w:r>
            <w:r w:rsidRPr="001A423D">
              <w:rPr>
                <w:rFonts w:ascii="Times New Roman" w:hAnsi="Times New Roman"/>
                <w:i/>
                <w:spacing w:val="-1"/>
                <w:sz w:val="20"/>
                <w:szCs w:val="20"/>
              </w:rPr>
              <w:t>Retail</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Individual</w:t>
            </w:r>
            <w:r w:rsidRPr="001A423D">
              <w:rPr>
                <w:rFonts w:ascii="Times New Roman" w:hAnsi="Times New Roman"/>
                <w:i/>
                <w:spacing w:val="3"/>
                <w:sz w:val="20"/>
                <w:szCs w:val="20"/>
              </w:rPr>
              <w:t xml:space="preserve"> </w:t>
            </w:r>
            <w:r w:rsidRPr="001A423D">
              <w:rPr>
                <w:rFonts w:ascii="Times New Roman" w:hAnsi="Times New Roman"/>
                <w:i/>
                <w:spacing w:val="-1"/>
                <w:sz w:val="20"/>
                <w:szCs w:val="20"/>
              </w:rPr>
              <w:t>Bidders*</w:t>
            </w:r>
          </w:p>
        </w:tc>
        <w:tc>
          <w:tcPr>
            <w:tcW w:w="6615" w:type="dxa"/>
            <w:shd w:val="clear" w:color="auto" w:fill="auto"/>
          </w:tcPr>
          <w:p w14:paraId="3A4F5BBA" w14:textId="77777777" w:rsidR="00CB2D76" w:rsidRPr="001A423D" w:rsidRDefault="00CB2D76" w:rsidP="009C1E14">
            <w:pPr>
              <w:widowControl w:val="0"/>
              <w:spacing w:after="0" w:line="240" w:lineRule="auto"/>
              <w:ind w:left="111"/>
              <w:jc w:val="both"/>
              <w:rPr>
                <w:rFonts w:ascii="Times New Roman" w:hAnsi="Times New Roman"/>
                <w:sz w:val="20"/>
                <w:szCs w:val="20"/>
              </w:rPr>
            </w:pPr>
            <w:r w:rsidRPr="001A423D">
              <w:rPr>
                <w:rFonts w:ascii="Times New Roman" w:hAnsi="Times New Roman"/>
                <w:i/>
                <w:spacing w:val="-1"/>
                <w:sz w:val="20"/>
                <w:szCs w:val="20"/>
              </w:rPr>
              <w:t>0.10%</w:t>
            </w:r>
            <w:r w:rsidRPr="001A423D">
              <w:rPr>
                <w:rFonts w:ascii="Times New Roman" w:hAnsi="Times New Roman"/>
                <w:i/>
                <w:sz w:val="20"/>
                <w:szCs w:val="20"/>
              </w:rPr>
              <w:t xml:space="preserve"> of</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the</w:t>
            </w:r>
            <w:r w:rsidRPr="001A423D">
              <w:rPr>
                <w:rFonts w:ascii="Times New Roman" w:hAnsi="Times New Roman"/>
                <w:i/>
                <w:sz w:val="20"/>
                <w:szCs w:val="20"/>
              </w:rPr>
              <w:t xml:space="preserve"> </w:t>
            </w:r>
            <w:r w:rsidRPr="001A423D">
              <w:rPr>
                <w:rFonts w:ascii="Times New Roman" w:hAnsi="Times New Roman"/>
                <w:i/>
                <w:spacing w:val="-1"/>
                <w:sz w:val="20"/>
                <w:szCs w:val="20"/>
              </w:rPr>
              <w:t>Amount</w:t>
            </w:r>
            <w:r w:rsidRPr="001A423D">
              <w:rPr>
                <w:rFonts w:ascii="Times New Roman" w:hAnsi="Times New Roman"/>
                <w:i/>
                <w:sz w:val="20"/>
                <w:szCs w:val="20"/>
              </w:rPr>
              <w:t xml:space="preserve"> </w:t>
            </w:r>
            <w:r w:rsidRPr="001A423D">
              <w:rPr>
                <w:rFonts w:ascii="Times New Roman" w:hAnsi="Times New Roman"/>
                <w:i/>
                <w:spacing w:val="-1"/>
                <w:sz w:val="20"/>
                <w:szCs w:val="20"/>
              </w:rPr>
              <w:t>Allotted*</w:t>
            </w:r>
            <w:r w:rsidRPr="001A423D">
              <w:rPr>
                <w:rFonts w:ascii="Times New Roman" w:hAnsi="Times New Roman"/>
                <w:i/>
                <w:sz w:val="20"/>
                <w:szCs w:val="20"/>
              </w:rPr>
              <w:t xml:space="preserve"> </w:t>
            </w:r>
            <w:r w:rsidRPr="001A423D">
              <w:rPr>
                <w:rFonts w:ascii="Times New Roman" w:hAnsi="Times New Roman"/>
                <w:i/>
                <w:spacing w:val="-1"/>
                <w:sz w:val="20"/>
                <w:szCs w:val="20"/>
              </w:rPr>
              <w:t>(plus</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applicable</w:t>
            </w:r>
            <w:r w:rsidRPr="001A423D">
              <w:rPr>
                <w:rFonts w:ascii="Times New Roman" w:hAnsi="Times New Roman"/>
                <w:i/>
                <w:sz w:val="20"/>
                <w:szCs w:val="20"/>
              </w:rPr>
              <w:t xml:space="preserve"> </w:t>
            </w:r>
            <w:r w:rsidRPr="001A423D">
              <w:rPr>
                <w:rFonts w:ascii="Times New Roman" w:hAnsi="Times New Roman"/>
                <w:i/>
                <w:spacing w:val="-1"/>
                <w:sz w:val="20"/>
                <w:szCs w:val="20"/>
              </w:rPr>
              <w:t>taxes)</w:t>
            </w:r>
          </w:p>
        </w:tc>
      </w:tr>
      <w:tr w:rsidR="00CB2D76" w:rsidRPr="001A423D" w14:paraId="775630D1" w14:textId="77777777" w:rsidTr="009C1E14">
        <w:tc>
          <w:tcPr>
            <w:tcW w:w="3415" w:type="dxa"/>
            <w:shd w:val="clear" w:color="auto" w:fill="auto"/>
          </w:tcPr>
          <w:p w14:paraId="447CDC9D" w14:textId="77777777" w:rsidR="00CB2D76" w:rsidRPr="001A423D" w:rsidRDefault="00CB2D76" w:rsidP="009C1E14">
            <w:pPr>
              <w:widowControl w:val="0"/>
              <w:spacing w:after="0" w:line="240" w:lineRule="auto"/>
              <w:jc w:val="both"/>
              <w:rPr>
                <w:rFonts w:ascii="Times New Roman" w:hAnsi="Times New Roman"/>
                <w:sz w:val="20"/>
                <w:szCs w:val="20"/>
              </w:rPr>
            </w:pPr>
            <w:r w:rsidRPr="001A423D">
              <w:rPr>
                <w:rFonts w:ascii="Times New Roman" w:hAnsi="Times New Roman"/>
                <w:i/>
                <w:spacing w:val="-1"/>
                <w:sz w:val="20"/>
                <w:szCs w:val="20"/>
              </w:rPr>
              <w:t>Portion</w:t>
            </w:r>
            <w:r w:rsidRPr="001A423D">
              <w:rPr>
                <w:rFonts w:ascii="Times New Roman" w:hAnsi="Times New Roman"/>
                <w:i/>
                <w:sz w:val="20"/>
                <w:szCs w:val="20"/>
              </w:rPr>
              <w:t xml:space="preserve"> </w:t>
            </w:r>
            <w:r w:rsidRPr="001A423D">
              <w:rPr>
                <w:rFonts w:ascii="Times New Roman" w:hAnsi="Times New Roman"/>
                <w:i/>
                <w:spacing w:val="-2"/>
                <w:sz w:val="20"/>
                <w:szCs w:val="20"/>
              </w:rPr>
              <w:t>for</w:t>
            </w:r>
            <w:r w:rsidRPr="001A423D">
              <w:rPr>
                <w:rFonts w:ascii="Times New Roman" w:hAnsi="Times New Roman"/>
                <w:i/>
                <w:sz w:val="20"/>
                <w:szCs w:val="20"/>
              </w:rPr>
              <w:t xml:space="preserve"> </w:t>
            </w:r>
            <w:r w:rsidRPr="001A423D">
              <w:rPr>
                <w:rFonts w:ascii="Times New Roman" w:hAnsi="Times New Roman"/>
                <w:i/>
                <w:spacing w:val="-1"/>
                <w:sz w:val="20"/>
                <w:szCs w:val="20"/>
              </w:rPr>
              <w:t>Non-Institutional</w:t>
            </w:r>
            <w:r w:rsidRPr="001A423D">
              <w:rPr>
                <w:rFonts w:ascii="Times New Roman" w:hAnsi="Times New Roman"/>
                <w:i/>
                <w:sz w:val="20"/>
                <w:szCs w:val="20"/>
              </w:rPr>
              <w:t xml:space="preserve"> </w:t>
            </w:r>
            <w:r w:rsidRPr="001A423D">
              <w:rPr>
                <w:rFonts w:ascii="Times New Roman" w:hAnsi="Times New Roman"/>
                <w:i/>
                <w:spacing w:val="-1"/>
                <w:sz w:val="20"/>
                <w:szCs w:val="20"/>
              </w:rPr>
              <w:t>Bidders*</w:t>
            </w:r>
          </w:p>
        </w:tc>
        <w:tc>
          <w:tcPr>
            <w:tcW w:w="6615" w:type="dxa"/>
            <w:shd w:val="clear" w:color="auto" w:fill="auto"/>
          </w:tcPr>
          <w:p w14:paraId="0528551F" w14:textId="77777777" w:rsidR="00CB2D76" w:rsidRPr="001A423D" w:rsidRDefault="00CB2D76" w:rsidP="009C1E14">
            <w:pPr>
              <w:widowControl w:val="0"/>
              <w:spacing w:after="0" w:line="240" w:lineRule="auto"/>
              <w:ind w:left="111"/>
              <w:jc w:val="both"/>
              <w:rPr>
                <w:rFonts w:ascii="Times New Roman" w:hAnsi="Times New Roman"/>
                <w:sz w:val="20"/>
                <w:szCs w:val="20"/>
              </w:rPr>
            </w:pPr>
            <w:r w:rsidRPr="001A423D">
              <w:rPr>
                <w:rFonts w:ascii="Times New Roman" w:hAnsi="Times New Roman"/>
                <w:i/>
                <w:spacing w:val="-1"/>
                <w:sz w:val="20"/>
                <w:szCs w:val="20"/>
              </w:rPr>
              <w:t>0.10%</w:t>
            </w:r>
            <w:r w:rsidRPr="001A423D">
              <w:rPr>
                <w:rFonts w:ascii="Times New Roman" w:hAnsi="Times New Roman"/>
                <w:i/>
                <w:sz w:val="20"/>
                <w:szCs w:val="20"/>
              </w:rPr>
              <w:t xml:space="preserve"> of</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 xml:space="preserve">the </w:t>
            </w:r>
            <w:r w:rsidRPr="001A423D">
              <w:rPr>
                <w:rFonts w:ascii="Times New Roman" w:hAnsi="Times New Roman"/>
                <w:i/>
                <w:spacing w:val="-2"/>
                <w:sz w:val="20"/>
                <w:szCs w:val="20"/>
              </w:rPr>
              <w:t>Amount</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Allotted*</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(plus</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applicable</w:t>
            </w:r>
            <w:r w:rsidRPr="001A423D">
              <w:rPr>
                <w:rFonts w:ascii="Times New Roman" w:hAnsi="Times New Roman"/>
                <w:i/>
                <w:sz w:val="20"/>
                <w:szCs w:val="20"/>
              </w:rPr>
              <w:t xml:space="preserve"> </w:t>
            </w:r>
            <w:r w:rsidRPr="001A423D">
              <w:rPr>
                <w:rFonts w:ascii="Times New Roman" w:hAnsi="Times New Roman"/>
                <w:i/>
                <w:spacing w:val="-1"/>
                <w:sz w:val="20"/>
                <w:szCs w:val="20"/>
              </w:rPr>
              <w:t>taxes)</w:t>
            </w:r>
          </w:p>
        </w:tc>
      </w:tr>
    </w:tbl>
    <w:p w14:paraId="409BC8B9" w14:textId="77777777" w:rsidR="00CB2D76" w:rsidRPr="001A423D" w:rsidRDefault="00CB2D76" w:rsidP="00CB2D76">
      <w:pPr>
        <w:tabs>
          <w:tab w:val="left" w:pos="492"/>
        </w:tabs>
        <w:spacing w:after="0" w:line="240" w:lineRule="auto"/>
        <w:ind w:left="426" w:right="119"/>
        <w:jc w:val="both"/>
        <w:rPr>
          <w:rFonts w:ascii="Times New Roman" w:hAnsi="Times New Roman"/>
          <w:i/>
          <w:spacing w:val="-1"/>
          <w:sz w:val="20"/>
          <w:szCs w:val="20"/>
        </w:rPr>
      </w:pPr>
      <w:r w:rsidRPr="001A423D">
        <w:rPr>
          <w:rFonts w:ascii="Times New Roman" w:hAnsi="Times New Roman"/>
          <w:i/>
          <w:spacing w:val="-1"/>
          <w:sz w:val="20"/>
          <w:szCs w:val="20"/>
        </w:rPr>
        <w:t>*Amount</w:t>
      </w:r>
      <w:r w:rsidRPr="001A423D">
        <w:rPr>
          <w:rFonts w:ascii="Times New Roman" w:hAnsi="Times New Roman"/>
          <w:i/>
          <w:spacing w:val="1"/>
          <w:sz w:val="20"/>
          <w:szCs w:val="20"/>
        </w:rPr>
        <w:t xml:space="preserve"> </w:t>
      </w:r>
      <w:r w:rsidRPr="001A423D">
        <w:rPr>
          <w:rFonts w:ascii="Times New Roman" w:hAnsi="Times New Roman"/>
          <w:i/>
          <w:spacing w:val="-1"/>
          <w:sz w:val="20"/>
          <w:szCs w:val="20"/>
        </w:rPr>
        <w:t>allotted</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is</w:t>
      </w:r>
      <w:r w:rsidRPr="001A423D">
        <w:rPr>
          <w:rFonts w:ascii="Times New Roman" w:hAnsi="Times New Roman"/>
          <w:i/>
          <w:sz w:val="20"/>
          <w:szCs w:val="20"/>
        </w:rPr>
        <w:t xml:space="preserve"> </w:t>
      </w:r>
      <w:r w:rsidRPr="001A423D">
        <w:rPr>
          <w:rFonts w:ascii="Times New Roman" w:hAnsi="Times New Roman"/>
          <w:i/>
          <w:spacing w:val="-1"/>
          <w:sz w:val="20"/>
          <w:szCs w:val="20"/>
        </w:rPr>
        <w:t>the</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product</w:t>
      </w:r>
      <w:r w:rsidRPr="001A423D">
        <w:rPr>
          <w:rFonts w:ascii="Times New Roman" w:hAnsi="Times New Roman"/>
          <w:i/>
          <w:sz w:val="20"/>
          <w:szCs w:val="20"/>
        </w:rPr>
        <w:t xml:space="preserve"> of</w:t>
      </w:r>
      <w:r w:rsidRPr="001A423D">
        <w:rPr>
          <w:rFonts w:ascii="Times New Roman" w:hAnsi="Times New Roman"/>
          <w:i/>
          <w:spacing w:val="2"/>
          <w:sz w:val="20"/>
          <w:szCs w:val="20"/>
        </w:rPr>
        <w:t xml:space="preserve"> </w:t>
      </w:r>
      <w:r w:rsidRPr="001A423D">
        <w:rPr>
          <w:rFonts w:ascii="Times New Roman" w:hAnsi="Times New Roman"/>
          <w:i/>
          <w:spacing w:val="-2"/>
          <w:sz w:val="20"/>
          <w:szCs w:val="20"/>
        </w:rPr>
        <w:t>the</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number</w:t>
      </w:r>
      <w:r w:rsidRPr="001A423D">
        <w:rPr>
          <w:rFonts w:ascii="Times New Roman" w:hAnsi="Times New Roman"/>
          <w:i/>
          <w:spacing w:val="-2"/>
          <w:sz w:val="20"/>
          <w:szCs w:val="20"/>
        </w:rPr>
        <w:t xml:space="preserve"> </w:t>
      </w:r>
      <w:r w:rsidRPr="001A423D">
        <w:rPr>
          <w:rFonts w:ascii="Times New Roman" w:hAnsi="Times New Roman"/>
          <w:i/>
          <w:sz w:val="20"/>
          <w:szCs w:val="20"/>
        </w:rPr>
        <w:t>of</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Equity</w:t>
      </w:r>
      <w:r w:rsidRPr="001A423D">
        <w:rPr>
          <w:rFonts w:ascii="Times New Roman" w:hAnsi="Times New Roman"/>
          <w:i/>
          <w:sz w:val="20"/>
          <w:szCs w:val="20"/>
        </w:rPr>
        <w:t xml:space="preserve"> </w:t>
      </w:r>
      <w:r w:rsidRPr="001A423D">
        <w:rPr>
          <w:rFonts w:ascii="Times New Roman" w:hAnsi="Times New Roman"/>
          <w:i/>
          <w:spacing w:val="-1"/>
          <w:sz w:val="20"/>
          <w:szCs w:val="20"/>
        </w:rPr>
        <w:t>Shares</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Allotted</w:t>
      </w:r>
      <w:r w:rsidRPr="001A423D">
        <w:rPr>
          <w:rFonts w:ascii="Times New Roman" w:hAnsi="Times New Roman"/>
          <w:i/>
          <w:spacing w:val="3"/>
          <w:sz w:val="20"/>
          <w:szCs w:val="20"/>
        </w:rPr>
        <w:t xml:space="preserve"> </w:t>
      </w:r>
      <w:r w:rsidRPr="001A423D">
        <w:rPr>
          <w:rFonts w:ascii="Times New Roman" w:hAnsi="Times New Roman"/>
          <w:i/>
          <w:spacing w:val="-2"/>
          <w:sz w:val="20"/>
          <w:szCs w:val="20"/>
        </w:rPr>
        <w:t>and</w:t>
      </w:r>
      <w:r w:rsidRPr="001A423D">
        <w:rPr>
          <w:rFonts w:ascii="Times New Roman" w:hAnsi="Times New Roman"/>
          <w:i/>
          <w:sz w:val="20"/>
          <w:szCs w:val="20"/>
        </w:rPr>
        <w:t xml:space="preserve"> </w:t>
      </w:r>
      <w:r w:rsidRPr="001A423D">
        <w:rPr>
          <w:rFonts w:ascii="Times New Roman" w:hAnsi="Times New Roman"/>
          <w:i/>
          <w:spacing w:val="-1"/>
          <w:sz w:val="20"/>
          <w:szCs w:val="20"/>
        </w:rPr>
        <w:t>the</w:t>
      </w:r>
      <w:r w:rsidRPr="001A423D">
        <w:rPr>
          <w:rFonts w:ascii="Times New Roman" w:hAnsi="Times New Roman"/>
          <w:i/>
          <w:spacing w:val="4"/>
          <w:sz w:val="20"/>
          <w:szCs w:val="20"/>
        </w:rPr>
        <w:t xml:space="preserve"> </w:t>
      </w:r>
      <w:r w:rsidRPr="001A423D">
        <w:rPr>
          <w:rFonts w:ascii="Times New Roman" w:hAnsi="Times New Roman"/>
          <w:i/>
          <w:spacing w:val="-1"/>
          <w:sz w:val="20"/>
          <w:szCs w:val="20"/>
        </w:rPr>
        <w:t>Issue Price.</w:t>
      </w:r>
      <w:r w:rsidRPr="001A423D">
        <w:rPr>
          <w:rFonts w:ascii="Times New Roman" w:hAnsi="Times New Roman"/>
          <w:i/>
          <w:spacing w:val="-2"/>
          <w:sz w:val="20"/>
          <w:szCs w:val="20"/>
        </w:rPr>
        <w:t xml:space="preserve"> </w:t>
      </w:r>
      <w:r w:rsidRPr="001A423D">
        <w:rPr>
          <w:rFonts w:ascii="Times New Roman" w:hAnsi="Times New Roman"/>
          <w:i/>
          <w:sz w:val="20"/>
          <w:szCs w:val="20"/>
        </w:rPr>
        <w:t xml:space="preserve">The </w:t>
      </w:r>
      <w:r w:rsidRPr="001A423D">
        <w:rPr>
          <w:rFonts w:ascii="Times New Roman" w:hAnsi="Times New Roman"/>
          <w:i/>
          <w:spacing w:val="-1"/>
          <w:sz w:val="20"/>
          <w:szCs w:val="20"/>
        </w:rPr>
        <w:t>selling</w:t>
      </w:r>
      <w:r w:rsidRPr="001A423D">
        <w:rPr>
          <w:rFonts w:ascii="Times New Roman" w:hAnsi="Times New Roman"/>
          <w:i/>
          <w:sz w:val="20"/>
          <w:szCs w:val="20"/>
        </w:rPr>
        <w:t xml:space="preserve"> </w:t>
      </w:r>
      <w:r w:rsidRPr="001A423D">
        <w:rPr>
          <w:rFonts w:ascii="Times New Roman" w:hAnsi="Times New Roman"/>
          <w:i/>
          <w:spacing w:val="-1"/>
          <w:sz w:val="20"/>
          <w:szCs w:val="20"/>
        </w:rPr>
        <w:t>commission</w:t>
      </w:r>
      <w:r w:rsidRPr="001A423D">
        <w:rPr>
          <w:rFonts w:ascii="Times New Roman" w:hAnsi="Times New Roman"/>
          <w:i/>
          <w:spacing w:val="1"/>
          <w:sz w:val="20"/>
          <w:szCs w:val="20"/>
        </w:rPr>
        <w:t xml:space="preserve"> </w:t>
      </w:r>
      <w:r w:rsidRPr="001A423D">
        <w:rPr>
          <w:rFonts w:ascii="Times New Roman" w:hAnsi="Times New Roman"/>
          <w:i/>
          <w:spacing w:val="-1"/>
          <w:sz w:val="20"/>
          <w:szCs w:val="20"/>
        </w:rPr>
        <w:t>payable</w:t>
      </w:r>
      <w:r w:rsidRPr="001A423D">
        <w:rPr>
          <w:rFonts w:ascii="Times New Roman" w:hAnsi="Times New Roman"/>
          <w:i/>
          <w:spacing w:val="53"/>
          <w:sz w:val="20"/>
          <w:szCs w:val="20"/>
        </w:rPr>
        <w:t xml:space="preserve"> </w:t>
      </w:r>
      <w:r w:rsidRPr="001A423D">
        <w:rPr>
          <w:rFonts w:ascii="Times New Roman" w:hAnsi="Times New Roman"/>
          <w:i/>
          <w:spacing w:val="-1"/>
          <w:sz w:val="20"/>
          <w:szCs w:val="20"/>
        </w:rPr>
        <w:t>to</w:t>
      </w:r>
      <w:r w:rsidRPr="001A423D">
        <w:rPr>
          <w:rFonts w:ascii="Times New Roman" w:hAnsi="Times New Roman"/>
          <w:i/>
          <w:sz w:val="20"/>
          <w:szCs w:val="20"/>
        </w:rPr>
        <w:t xml:space="preserve"> </w:t>
      </w:r>
      <w:r w:rsidRPr="001A423D">
        <w:rPr>
          <w:rFonts w:ascii="Times New Roman" w:hAnsi="Times New Roman"/>
          <w:i/>
          <w:spacing w:val="-2"/>
          <w:sz w:val="20"/>
          <w:szCs w:val="20"/>
        </w:rPr>
        <w:t>the</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SCSBs</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will</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be</w:t>
      </w:r>
      <w:r w:rsidRPr="001A423D">
        <w:rPr>
          <w:rFonts w:ascii="Times New Roman" w:hAnsi="Times New Roman"/>
          <w:i/>
          <w:sz w:val="20"/>
          <w:szCs w:val="20"/>
        </w:rPr>
        <w:t xml:space="preserve"> </w:t>
      </w:r>
      <w:r w:rsidRPr="001A423D">
        <w:rPr>
          <w:rFonts w:ascii="Times New Roman" w:hAnsi="Times New Roman"/>
          <w:i/>
          <w:spacing w:val="-1"/>
          <w:sz w:val="20"/>
          <w:szCs w:val="20"/>
        </w:rPr>
        <w:t>determined</w:t>
      </w:r>
      <w:r w:rsidRPr="001A423D">
        <w:rPr>
          <w:rFonts w:ascii="Times New Roman" w:hAnsi="Times New Roman"/>
          <w:i/>
          <w:spacing w:val="-4"/>
          <w:sz w:val="20"/>
          <w:szCs w:val="20"/>
        </w:rPr>
        <w:t xml:space="preserve"> </w:t>
      </w:r>
      <w:r w:rsidRPr="001A423D">
        <w:rPr>
          <w:rFonts w:ascii="Times New Roman" w:hAnsi="Times New Roman"/>
          <w:i/>
          <w:sz w:val="20"/>
          <w:szCs w:val="20"/>
        </w:rPr>
        <w:t>on</w:t>
      </w:r>
      <w:r w:rsidRPr="001A423D">
        <w:rPr>
          <w:rFonts w:ascii="Times New Roman" w:hAnsi="Times New Roman"/>
          <w:i/>
          <w:spacing w:val="1"/>
          <w:sz w:val="20"/>
          <w:szCs w:val="20"/>
        </w:rPr>
        <w:t xml:space="preserve"> </w:t>
      </w:r>
      <w:r w:rsidRPr="001A423D">
        <w:rPr>
          <w:rFonts w:ascii="Times New Roman" w:hAnsi="Times New Roman"/>
          <w:i/>
          <w:spacing w:val="-2"/>
          <w:sz w:val="20"/>
          <w:szCs w:val="20"/>
        </w:rPr>
        <w:t>the</w:t>
      </w:r>
      <w:r w:rsidRPr="001A423D">
        <w:rPr>
          <w:rFonts w:ascii="Times New Roman" w:hAnsi="Times New Roman"/>
          <w:i/>
          <w:spacing w:val="-1"/>
          <w:sz w:val="20"/>
          <w:szCs w:val="20"/>
        </w:rPr>
        <w:t xml:space="preserve"> basis</w:t>
      </w:r>
      <w:r w:rsidRPr="001A423D">
        <w:rPr>
          <w:rFonts w:ascii="Times New Roman" w:hAnsi="Times New Roman"/>
          <w:i/>
          <w:spacing w:val="-2"/>
          <w:sz w:val="20"/>
          <w:szCs w:val="20"/>
        </w:rPr>
        <w:t xml:space="preserve"> </w:t>
      </w:r>
      <w:r w:rsidRPr="001A423D">
        <w:rPr>
          <w:rFonts w:ascii="Times New Roman" w:hAnsi="Times New Roman"/>
          <w:i/>
          <w:sz w:val="20"/>
          <w:szCs w:val="20"/>
        </w:rPr>
        <w:t xml:space="preserve">of </w:t>
      </w:r>
      <w:r w:rsidRPr="001A423D">
        <w:rPr>
          <w:rFonts w:ascii="Times New Roman" w:hAnsi="Times New Roman"/>
          <w:i/>
          <w:spacing w:val="-2"/>
          <w:sz w:val="20"/>
          <w:szCs w:val="20"/>
        </w:rPr>
        <w:t>the</w:t>
      </w:r>
      <w:r w:rsidRPr="001A423D">
        <w:rPr>
          <w:rFonts w:ascii="Times New Roman" w:hAnsi="Times New Roman"/>
          <w:i/>
          <w:spacing w:val="2"/>
          <w:sz w:val="20"/>
          <w:szCs w:val="20"/>
        </w:rPr>
        <w:t xml:space="preserve"> </w:t>
      </w:r>
      <w:r w:rsidRPr="001A423D">
        <w:rPr>
          <w:rFonts w:ascii="Times New Roman" w:hAnsi="Times New Roman"/>
          <w:i/>
          <w:spacing w:val="-2"/>
          <w:sz w:val="20"/>
          <w:szCs w:val="20"/>
        </w:rPr>
        <w:t>bidding</w:t>
      </w:r>
      <w:r w:rsidRPr="001A423D">
        <w:rPr>
          <w:rFonts w:ascii="Times New Roman" w:hAnsi="Times New Roman"/>
          <w:i/>
          <w:spacing w:val="3"/>
          <w:sz w:val="20"/>
          <w:szCs w:val="20"/>
        </w:rPr>
        <w:t xml:space="preserve"> </w:t>
      </w:r>
      <w:r w:rsidRPr="001A423D">
        <w:rPr>
          <w:rFonts w:ascii="Times New Roman" w:hAnsi="Times New Roman"/>
          <w:i/>
          <w:spacing w:val="-1"/>
          <w:sz w:val="20"/>
          <w:szCs w:val="20"/>
        </w:rPr>
        <w:t>terminal</w:t>
      </w:r>
      <w:r w:rsidRPr="001A423D">
        <w:rPr>
          <w:rFonts w:ascii="Times New Roman" w:hAnsi="Times New Roman"/>
          <w:i/>
          <w:spacing w:val="-2"/>
          <w:sz w:val="20"/>
          <w:szCs w:val="20"/>
        </w:rPr>
        <w:t xml:space="preserve"> </w:t>
      </w:r>
      <w:r w:rsidRPr="001A423D">
        <w:rPr>
          <w:rFonts w:ascii="Times New Roman" w:hAnsi="Times New Roman"/>
          <w:i/>
          <w:sz w:val="20"/>
          <w:szCs w:val="20"/>
        </w:rPr>
        <w:t xml:space="preserve">ID </w:t>
      </w:r>
      <w:r w:rsidRPr="001A423D">
        <w:rPr>
          <w:rFonts w:ascii="Times New Roman" w:hAnsi="Times New Roman"/>
          <w:i/>
          <w:spacing w:val="-1"/>
          <w:sz w:val="20"/>
          <w:szCs w:val="20"/>
        </w:rPr>
        <w:t>as</w:t>
      </w:r>
      <w:r w:rsidRPr="001A423D">
        <w:rPr>
          <w:rFonts w:ascii="Times New Roman" w:hAnsi="Times New Roman"/>
          <w:i/>
          <w:sz w:val="20"/>
          <w:szCs w:val="20"/>
        </w:rPr>
        <w:t xml:space="preserve"> </w:t>
      </w:r>
      <w:r w:rsidRPr="001A423D">
        <w:rPr>
          <w:rFonts w:ascii="Times New Roman" w:hAnsi="Times New Roman"/>
          <w:i/>
          <w:spacing w:val="-1"/>
          <w:sz w:val="20"/>
          <w:szCs w:val="20"/>
        </w:rPr>
        <w:t>captured</w:t>
      </w:r>
      <w:r w:rsidRPr="001A423D">
        <w:rPr>
          <w:rFonts w:ascii="Times New Roman" w:hAnsi="Times New Roman"/>
          <w:i/>
          <w:sz w:val="20"/>
          <w:szCs w:val="20"/>
        </w:rPr>
        <w:t xml:space="preserve"> </w:t>
      </w:r>
      <w:r w:rsidRPr="001A423D">
        <w:rPr>
          <w:rFonts w:ascii="Times New Roman" w:hAnsi="Times New Roman"/>
          <w:i/>
          <w:spacing w:val="-1"/>
          <w:sz w:val="20"/>
          <w:szCs w:val="20"/>
        </w:rPr>
        <w:t>in</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the</w:t>
      </w:r>
      <w:r w:rsidRPr="001A423D">
        <w:rPr>
          <w:rFonts w:ascii="Times New Roman" w:hAnsi="Times New Roman"/>
          <w:i/>
          <w:sz w:val="20"/>
          <w:szCs w:val="20"/>
        </w:rPr>
        <w:t xml:space="preserve"> </w:t>
      </w:r>
      <w:r w:rsidRPr="001A423D">
        <w:rPr>
          <w:rFonts w:ascii="Times New Roman" w:hAnsi="Times New Roman"/>
          <w:i/>
          <w:spacing w:val="-1"/>
          <w:sz w:val="20"/>
          <w:szCs w:val="20"/>
        </w:rPr>
        <w:t>Bid</w:t>
      </w:r>
      <w:r w:rsidRPr="001A423D">
        <w:rPr>
          <w:rFonts w:ascii="Times New Roman" w:hAnsi="Times New Roman"/>
          <w:i/>
          <w:sz w:val="20"/>
          <w:szCs w:val="20"/>
        </w:rPr>
        <w:t xml:space="preserve"> </w:t>
      </w:r>
      <w:r w:rsidRPr="001A423D">
        <w:rPr>
          <w:rFonts w:ascii="Times New Roman" w:hAnsi="Times New Roman"/>
          <w:i/>
          <w:spacing w:val="-1"/>
          <w:sz w:val="20"/>
          <w:szCs w:val="20"/>
        </w:rPr>
        <w:t>Book</w:t>
      </w:r>
      <w:r w:rsidRPr="001A423D">
        <w:rPr>
          <w:rFonts w:ascii="Times New Roman" w:hAnsi="Times New Roman"/>
          <w:i/>
          <w:sz w:val="20"/>
          <w:szCs w:val="20"/>
        </w:rPr>
        <w:t xml:space="preserve"> </w:t>
      </w:r>
      <w:r w:rsidRPr="001A423D">
        <w:rPr>
          <w:rFonts w:ascii="Times New Roman" w:hAnsi="Times New Roman"/>
          <w:i/>
          <w:spacing w:val="-1"/>
          <w:sz w:val="20"/>
          <w:szCs w:val="20"/>
        </w:rPr>
        <w:t>of</w:t>
      </w:r>
      <w:r w:rsidRPr="001A423D">
        <w:rPr>
          <w:rFonts w:ascii="Times New Roman" w:hAnsi="Times New Roman"/>
          <w:i/>
          <w:spacing w:val="-2"/>
          <w:sz w:val="20"/>
          <w:szCs w:val="20"/>
        </w:rPr>
        <w:t xml:space="preserve"> </w:t>
      </w:r>
      <w:r w:rsidRPr="001A423D">
        <w:rPr>
          <w:rFonts w:ascii="Times New Roman" w:hAnsi="Times New Roman"/>
          <w:i/>
          <w:sz w:val="20"/>
          <w:szCs w:val="20"/>
        </w:rPr>
        <w:t>BSE</w:t>
      </w:r>
      <w:r w:rsidRPr="001A423D">
        <w:rPr>
          <w:rFonts w:ascii="Times New Roman" w:hAnsi="Times New Roman"/>
          <w:i/>
          <w:spacing w:val="-1"/>
          <w:sz w:val="20"/>
          <w:szCs w:val="20"/>
        </w:rPr>
        <w:t>.</w:t>
      </w:r>
    </w:p>
    <w:p w14:paraId="3370325B" w14:textId="77777777" w:rsidR="00CB2D76" w:rsidRPr="001A423D" w:rsidRDefault="00CB2D76" w:rsidP="00CB2D76">
      <w:pPr>
        <w:tabs>
          <w:tab w:val="left" w:pos="492"/>
        </w:tabs>
        <w:spacing w:after="0" w:line="240" w:lineRule="auto"/>
        <w:ind w:right="119"/>
        <w:jc w:val="both"/>
        <w:rPr>
          <w:rFonts w:ascii="Times New Roman" w:hAnsi="Times New Roman"/>
          <w:sz w:val="20"/>
          <w:szCs w:val="20"/>
        </w:rPr>
      </w:pPr>
    </w:p>
    <w:p w14:paraId="72489C08" w14:textId="77777777" w:rsidR="00CB2D76" w:rsidRPr="001A423D" w:rsidRDefault="00CB2D76">
      <w:pPr>
        <w:numPr>
          <w:ilvl w:val="0"/>
          <w:numId w:val="161"/>
        </w:numPr>
        <w:tabs>
          <w:tab w:val="left" w:pos="492"/>
        </w:tabs>
        <w:spacing w:after="0" w:line="240" w:lineRule="auto"/>
        <w:ind w:left="426" w:right="119"/>
        <w:contextualSpacing/>
        <w:jc w:val="both"/>
        <w:rPr>
          <w:rFonts w:ascii="Times New Roman" w:hAnsi="Times New Roman"/>
          <w:i/>
          <w:color w:val="000000"/>
          <w:spacing w:val="-1"/>
          <w:sz w:val="20"/>
          <w:szCs w:val="20"/>
          <w:lang w:val="x-none" w:eastAsia="x-none"/>
        </w:rPr>
      </w:pPr>
      <w:r w:rsidRPr="001A423D">
        <w:rPr>
          <w:rFonts w:ascii="Times New Roman" w:hAnsi="Times New Roman"/>
          <w:i/>
          <w:color w:val="000000"/>
          <w:spacing w:val="-1"/>
          <w:sz w:val="20"/>
          <w:szCs w:val="20"/>
          <w:lang w:val="x-none" w:eastAsia="x-none"/>
        </w:rPr>
        <w:t>No uploading/ processing fees shall be payable by our Company to the SCSBs on the applications directly procured by</w:t>
      </w:r>
      <w:r w:rsidRPr="001A423D">
        <w:rPr>
          <w:rFonts w:ascii="Times New Roman" w:hAnsi="Times New Roman"/>
          <w:i/>
          <w:color w:val="000000"/>
          <w:spacing w:val="31"/>
          <w:sz w:val="20"/>
          <w:szCs w:val="20"/>
          <w:lang w:val="x-none" w:eastAsia="x-none"/>
        </w:rPr>
        <w:t xml:space="preserve"> </w:t>
      </w:r>
      <w:r w:rsidRPr="001A423D">
        <w:rPr>
          <w:rFonts w:ascii="Times New Roman" w:hAnsi="Times New Roman"/>
          <w:i/>
          <w:color w:val="000000"/>
          <w:spacing w:val="-1"/>
          <w:sz w:val="20"/>
          <w:szCs w:val="20"/>
          <w:lang w:val="x-none" w:eastAsia="x-none"/>
        </w:rPr>
        <w:t>them.</w:t>
      </w:r>
      <w:r w:rsidRPr="001A423D">
        <w:rPr>
          <w:rFonts w:ascii="Times New Roman" w:hAnsi="Times New Roman"/>
          <w:i/>
          <w:color w:val="000000"/>
          <w:spacing w:val="27"/>
          <w:sz w:val="20"/>
          <w:szCs w:val="20"/>
          <w:lang w:val="x-none" w:eastAsia="x-none"/>
        </w:rPr>
        <w:t xml:space="preserve"> </w:t>
      </w:r>
      <w:r w:rsidRPr="001A423D">
        <w:rPr>
          <w:rFonts w:ascii="Times New Roman" w:hAnsi="Times New Roman"/>
          <w:i/>
          <w:color w:val="000000"/>
          <w:spacing w:val="-1"/>
          <w:sz w:val="20"/>
          <w:szCs w:val="20"/>
          <w:lang w:val="x-none" w:eastAsia="x-none"/>
        </w:rPr>
        <w:t>Processing</w:t>
      </w:r>
      <w:r w:rsidRPr="001A423D">
        <w:rPr>
          <w:rFonts w:ascii="Times New Roman" w:hAnsi="Times New Roman"/>
          <w:i/>
          <w:color w:val="000000"/>
          <w:spacing w:val="26"/>
          <w:sz w:val="20"/>
          <w:szCs w:val="20"/>
          <w:lang w:val="x-none" w:eastAsia="x-none"/>
        </w:rPr>
        <w:t xml:space="preserve"> </w:t>
      </w:r>
      <w:r w:rsidRPr="001A423D">
        <w:rPr>
          <w:rFonts w:ascii="Times New Roman" w:hAnsi="Times New Roman"/>
          <w:i/>
          <w:color w:val="000000"/>
          <w:spacing w:val="-1"/>
          <w:sz w:val="20"/>
          <w:szCs w:val="20"/>
          <w:lang w:val="x-none" w:eastAsia="x-none"/>
        </w:rPr>
        <w:t>fees</w:t>
      </w:r>
      <w:r w:rsidRPr="001A423D">
        <w:rPr>
          <w:rFonts w:ascii="Times New Roman" w:hAnsi="Times New Roman"/>
          <w:i/>
          <w:color w:val="000000"/>
          <w:spacing w:val="27"/>
          <w:sz w:val="20"/>
          <w:szCs w:val="20"/>
          <w:lang w:val="x-none" w:eastAsia="x-none"/>
        </w:rPr>
        <w:t xml:space="preserve"> </w:t>
      </w:r>
      <w:r w:rsidRPr="001A423D">
        <w:rPr>
          <w:rFonts w:ascii="Times New Roman" w:hAnsi="Times New Roman"/>
          <w:i/>
          <w:color w:val="000000"/>
          <w:spacing w:val="-1"/>
          <w:sz w:val="20"/>
          <w:szCs w:val="20"/>
          <w:lang w:val="x-none" w:eastAsia="x-none"/>
        </w:rPr>
        <w:t>payable</w:t>
      </w:r>
      <w:r w:rsidRPr="001A423D">
        <w:rPr>
          <w:rFonts w:ascii="Times New Roman" w:hAnsi="Times New Roman"/>
          <w:i/>
          <w:color w:val="000000"/>
          <w:spacing w:val="27"/>
          <w:sz w:val="20"/>
          <w:szCs w:val="20"/>
          <w:lang w:val="x-none" w:eastAsia="x-none"/>
        </w:rPr>
        <w:t xml:space="preserve"> </w:t>
      </w:r>
      <w:r w:rsidRPr="001A423D">
        <w:rPr>
          <w:rFonts w:ascii="Times New Roman" w:hAnsi="Times New Roman"/>
          <w:i/>
          <w:color w:val="000000"/>
          <w:spacing w:val="-1"/>
          <w:sz w:val="20"/>
          <w:szCs w:val="20"/>
          <w:lang w:val="x-none" w:eastAsia="x-none"/>
        </w:rPr>
        <w:t>to</w:t>
      </w:r>
      <w:r w:rsidRPr="001A423D">
        <w:rPr>
          <w:rFonts w:ascii="Times New Roman" w:hAnsi="Times New Roman"/>
          <w:i/>
          <w:color w:val="000000"/>
          <w:spacing w:val="26"/>
          <w:sz w:val="20"/>
          <w:szCs w:val="20"/>
          <w:lang w:val="x-none" w:eastAsia="x-none"/>
        </w:rPr>
        <w:t xml:space="preserve"> </w:t>
      </w:r>
      <w:r w:rsidRPr="001A423D">
        <w:rPr>
          <w:rFonts w:ascii="Times New Roman" w:hAnsi="Times New Roman"/>
          <w:i/>
          <w:color w:val="000000"/>
          <w:sz w:val="20"/>
          <w:szCs w:val="20"/>
          <w:lang w:val="x-none" w:eastAsia="x-none"/>
        </w:rPr>
        <w:t>the</w:t>
      </w:r>
      <w:r w:rsidRPr="001A423D">
        <w:rPr>
          <w:rFonts w:ascii="Times New Roman" w:hAnsi="Times New Roman"/>
          <w:i/>
          <w:color w:val="000000"/>
          <w:spacing w:val="28"/>
          <w:sz w:val="20"/>
          <w:szCs w:val="20"/>
          <w:lang w:val="x-none" w:eastAsia="x-none"/>
        </w:rPr>
        <w:t xml:space="preserve"> </w:t>
      </w:r>
      <w:r w:rsidRPr="001A423D">
        <w:rPr>
          <w:rFonts w:ascii="Times New Roman" w:hAnsi="Times New Roman"/>
          <w:i/>
          <w:color w:val="000000"/>
          <w:spacing w:val="-2"/>
          <w:sz w:val="20"/>
          <w:szCs w:val="20"/>
          <w:lang w:val="x-none" w:eastAsia="x-none"/>
        </w:rPr>
        <w:t>SCSBs</w:t>
      </w:r>
      <w:r w:rsidRPr="001A423D">
        <w:rPr>
          <w:rFonts w:ascii="Times New Roman" w:hAnsi="Times New Roman"/>
          <w:i/>
          <w:color w:val="000000"/>
          <w:spacing w:val="29"/>
          <w:sz w:val="20"/>
          <w:szCs w:val="20"/>
          <w:lang w:val="x-none" w:eastAsia="x-none"/>
        </w:rPr>
        <w:t xml:space="preserve"> </w:t>
      </w:r>
      <w:r w:rsidRPr="001A423D">
        <w:rPr>
          <w:rFonts w:ascii="Times New Roman" w:hAnsi="Times New Roman"/>
          <w:i/>
          <w:color w:val="000000"/>
          <w:spacing w:val="-1"/>
          <w:sz w:val="20"/>
          <w:szCs w:val="20"/>
          <w:lang w:val="x-none" w:eastAsia="x-none"/>
        </w:rPr>
        <w:t>on</w:t>
      </w:r>
      <w:r w:rsidRPr="001A423D">
        <w:rPr>
          <w:rFonts w:ascii="Times New Roman" w:hAnsi="Times New Roman"/>
          <w:i/>
          <w:color w:val="000000"/>
          <w:spacing w:val="28"/>
          <w:sz w:val="20"/>
          <w:szCs w:val="20"/>
          <w:lang w:val="x-none" w:eastAsia="x-none"/>
        </w:rPr>
        <w:t xml:space="preserve"> </w:t>
      </w:r>
      <w:r w:rsidRPr="001A423D">
        <w:rPr>
          <w:rFonts w:ascii="Times New Roman" w:hAnsi="Times New Roman"/>
          <w:i/>
          <w:color w:val="000000"/>
          <w:spacing w:val="-1"/>
          <w:sz w:val="20"/>
          <w:szCs w:val="20"/>
          <w:lang w:val="x-none" w:eastAsia="x-none"/>
        </w:rPr>
        <w:t>the</w:t>
      </w:r>
      <w:r w:rsidRPr="001A423D">
        <w:rPr>
          <w:rFonts w:ascii="Times New Roman" w:hAnsi="Times New Roman"/>
          <w:i/>
          <w:color w:val="000000"/>
          <w:spacing w:val="28"/>
          <w:sz w:val="20"/>
          <w:szCs w:val="20"/>
          <w:lang w:val="x-none" w:eastAsia="x-none"/>
        </w:rPr>
        <w:t xml:space="preserve"> </w:t>
      </w:r>
      <w:r w:rsidRPr="001A423D">
        <w:rPr>
          <w:rFonts w:ascii="Times New Roman" w:hAnsi="Times New Roman"/>
          <w:i/>
          <w:color w:val="000000"/>
          <w:spacing w:val="-2"/>
          <w:sz w:val="20"/>
          <w:szCs w:val="20"/>
          <w:lang w:val="x-none" w:eastAsia="x-none"/>
        </w:rPr>
        <w:t>portion</w:t>
      </w:r>
      <w:r w:rsidRPr="001A423D">
        <w:rPr>
          <w:rFonts w:ascii="Times New Roman" w:hAnsi="Times New Roman"/>
          <w:i/>
          <w:color w:val="000000"/>
          <w:spacing w:val="28"/>
          <w:sz w:val="20"/>
          <w:szCs w:val="20"/>
          <w:lang w:val="x-none" w:eastAsia="x-none"/>
        </w:rPr>
        <w:t xml:space="preserve"> </w:t>
      </w:r>
      <w:r w:rsidRPr="001A423D">
        <w:rPr>
          <w:rFonts w:ascii="Times New Roman" w:hAnsi="Times New Roman"/>
          <w:i/>
          <w:color w:val="000000"/>
          <w:spacing w:val="-1"/>
          <w:sz w:val="20"/>
          <w:szCs w:val="20"/>
          <w:lang w:val="x-none" w:eastAsia="x-none"/>
        </w:rPr>
        <w:t>for</w:t>
      </w:r>
      <w:r w:rsidRPr="001A423D">
        <w:rPr>
          <w:rFonts w:ascii="Times New Roman" w:hAnsi="Times New Roman"/>
          <w:i/>
          <w:color w:val="000000"/>
          <w:spacing w:val="27"/>
          <w:sz w:val="20"/>
          <w:szCs w:val="20"/>
          <w:lang w:val="x-none" w:eastAsia="x-none"/>
        </w:rPr>
        <w:t xml:space="preserve"> </w:t>
      </w:r>
      <w:r w:rsidRPr="001A423D">
        <w:rPr>
          <w:rFonts w:ascii="Times New Roman" w:hAnsi="Times New Roman"/>
          <w:i/>
          <w:color w:val="000000"/>
          <w:spacing w:val="-1"/>
          <w:sz w:val="20"/>
          <w:szCs w:val="20"/>
          <w:lang w:val="x-none" w:eastAsia="x-none"/>
        </w:rPr>
        <w:t>Retail</w:t>
      </w:r>
      <w:r w:rsidRPr="001A423D">
        <w:rPr>
          <w:rFonts w:ascii="Times New Roman" w:hAnsi="Times New Roman"/>
          <w:i/>
          <w:color w:val="000000"/>
          <w:spacing w:val="27"/>
          <w:sz w:val="20"/>
          <w:szCs w:val="20"/>
          <w:lang w:val="x-none" w:eastAsia="x-none"/>
        </w:rPr>
        <w:t xml:space="preserve"> </w:t>
      </w:r>
      <w:r w:rsidRPr="001A423D">
        <w:rPr>
          <w:rFonts w:ascii="Times New Roman" w:hAnsi="Times New Roman"/>
          <w:i/>
          <w:color w:val="000000"/>
          <w:spacing w:val="-1"/>
          <w:sz w:val="20"/>
          <w:szCs w:val="20"/>
          <w:lang w:val="x-none" w:eastAsia="x-none"/>
        </w:rPr>
        <w:t>Individual</w:t>
      </w:r>
      <w:r w:rsidRPr="001A423D">
        <w:rPr>
          <w:rFonts w:ascii="Times New Roman" w:hAnsi="Times New Roman"/>
          <w:i/>
          <w:color w:val="000000"/>
          <w:spacing w:val="27"/>
          <w:sz w:val="20"/>
          <w:szCs w:val="20"/>
          <w:lang w:val="x-none" w:eastAsia="x-none"/>
        </w:rPr>
        <w:t xml:space="preserve"> </w:t>
      </w:r>
      <w:r w:rsidRPr="001A423D">
        <w:rPr>
          <w:rFonts w:ascii="Times New Roman" w:hAnsi="Times New Roman"/>
          <w:i/>
          <w:color w:val="000000"/>
          <w:spacing w:val="-1"/>
          <w:sz w:val="20"/>
          <w:szCs w:val="20"/>
          <w:lang w:val="x-none" w:eastAsia="x-none"/>
        </w:rPr>
        <w:t>Bidders and</w:t>
      </w:r>
      <w:r w:rsidRPr="001A423D">
        <w:rPr>
          <w:rFonts w:ascii="Times New Roman" w:hAnsi="Times New Roman"/>
          <w:i/>
          <w:color w:val="000000"/>
          <w:spacing w:val="22"/>
          <w:sz w:val="20"/>
          <w:szCs w:val="20"/>
          <w:lang w:val="x-none" w:eastAsia="x-none"/>
        </w:rPr>
        <w:t xml:space="preserve"> </w:t>
      </w:r>
      <w:r w:rsidRPr="001A423D">
        <w:rPr>
          <w:rFonts w:ascii="Times New Roman" w:hAnsi="Times New Roman"/>
          <w:i/>
          <w:color w:val="000000"/>
          <w:spacing w:val="-1"/>
          <w:sz w:val="20"/>
          <w:szCs w:val="20"/>
          <w:lang w:val="x-none" w:eastAsia="x-none"/>
        </w:rPr>
        <w:t>Non-Institutional</w:t>
      </w:r>
      <w:r w:rsidRPr="001A423D">
        <w:rPr>
          <w:rFonts w:ascii="Times New Roman" w:hAnsi="Times New Roman"/>
          <w:i/>
          <w:color w:val="000000"/>
          <w:spacing w:val="27"/>
          <w:sz w:val="20"/>
          <w:szCs w:val="20"/>
          <w:lang w:val="x-none" w:eastAsia="x-none"/>
        </w:rPr>
        <w:t xml:space="preserve"> </w:t>
      </w:r>
      <w:r w:rsidRPr="001A423D">
        <w:rPr>
          <w:rFonts w:ascii="Times New Roman" w:hAnsi="Times New Roman"/>
          <w:i/>
          <w:color w:val="000000"/>
          <w:spacing w:val="-1"/>
          <w:sz w:val="20"/>
          <w:szCs w:val="20"/>
          <w:lang w:val="x-none" w:eastAsia="x-none"/>
        </w:rPr>
        <w:t>Bidders</w:t>
      </w:r>
      <w:r w:rsidRPr="001A423D">
        <w:rPr>
          <w:rFonts w:ascii="Times New Roman" w:hAnsi="Times New Roman"/>
          <w:i/>
          <w:color w:val="000000"/>
          <w:spacing w:val="26"/>
          <w:sz w:val="20"/>
          <w:szCs w:val="20"/>
          <w:lang w:val="x-none" w:eastAsia="x-none"/>
        </w:rPr>
        <w:t xml:space="preserve"> </w:t>
      </w:r>
      <w:r w:rsidRPr="001A423D">
        <w:rPr>
          <w:rFonts w:ascii="Times New Roman" w:hAnsi="Times New Roman"/>
          <w:i/>
          <w:color w:val="000000"/>
          <w:spacing w:val="-2"/>
          <w:sz w:val="20"/>
          <w:szCs w:val="20"/>
          <w:lang w:val="x-none" w:eastAsia="x-none"/>
        </w:rPr>
        <w:t>which</w:t>
      </w:r>
      <w:r w:rsidRPr="001A423D">
        <w:rPr>
          <w:rFonts w:ascii="Times New Roman" w:hAnsi="Times New Roman"/>
          <w:i/>
          <w:color w:val="000000"/>
          <w:spacing w:val="25"/>
          <w:sz w:val="20"/>
          <w:szCs w:val="20"/>
          <w:lang w:val="x-none" w:eastAsia="x-none"/>
        </w:rPr>
        <w:t xml:space="preserve"> </w:t>
      </w:r>
      <w:r w:rsidRPr="001A423D">
        <w:rPr>
          <w:rFonts w:ascii="Times New Roman" w:hAnsi="Times New Roman"/>
          <w:i/>
          <w:color w:val="000000"/>
          <w:spacing w:val="-1"/>
          <w:sz w:val="20"/>
          <w:szCs w:val="20"/>
          <w:lang w:val="x-none" w:eastAsia="x-none"/>
        </w:rPr>
        <w:t>are</w:t>
      </w:r>
      <w:r w:rsidRPr="001A423D">
        <w:rPr>
          <w:rFonts w:ascii="Times New Roman" w:hAnsi="Times New Roman"/>
          <w:i/>
          <w:color w:val="000000"/>
          <w:spacing w:val="26"/>
          <w:sz w:val="20"/>
          <w:szCs w:val="20"/>
          <w:lang w:val="x-none" w:eastAsia="x-none"/>
        </w:rPr>
        <w:t xml:space="preserve"> </w:t>
      </w:r>
      <w:r w:rsidRPr="001A423D">
        <w:rPr>
          <w:rFonts w:ascii="Times New Roman" w:hAnsi="Times New Roman"/>
          <w:i/>
          <w:color w:val="000000"/>
          <w:spacing w:val="-2"/>
          <w:sz w:val="20"/>
          <w:szCs w:val="20"/>
          <w:lang w:val="x-none" w:eastAsia="x-none"/>
        </w:rPr>
        <w:t>procured</w:t>
      </w:r>
      <w:r w:rsidRPr="001A423D">
        <w:rPr>
          <w:rFonts w:ascii="Times New Roman" w:hAnsi="Times New Roman"/>
          <w:i/>
          <w:color w:val="000000"/>
          <w:spacing w:val="26"/>
          <w:sz w:val="20"/>
          <w:szCs w:val="20"/>
          <w:lang w:val="x-none" w:eastAsia="x-none"/>
        </w:rPr>
        <w:t xml:space="preserve"> </w:t>
      </w:r>
      <w:r w:rsidRPr="001A423D">
        <w:rPr>
          <w:rFonts w:ascii="Times New Roman" w:hAnsi="Times New Roman"/>
          <w:i/>
          <w:color w:val="000000"/>
          <w:spacing w:val="-2"/>
          <w:sz w:val="20"/>
          <w:szCs w:val="20"/>
          <w:lang w:val="x-none" w:eastAsia="x-none"/>
        </w:rPr>
        <w:t>by</w:t>
      </w:r>
      <w:r w:rsidRPr="001A423D">
        <w:rPr>
          <w:rFonts w:ascii="Times New Roman" w:hAnsi="Times New Roman"/>
          <w:i/>
          <w:color w:val="000000"/>
          <w:spacing w:val="27"/>
          <w:sz w:val="20"/>
          <w:szCs w:val="20"/>
          <w:lang w:val="x-none" w:eastAsia="x-none"/>
        </w:rPr>
        <w:t xml:space="preserve"> </w:t>
      </w:r>
      <w:r w:rsidRPr="001A423D">
        <w:rPr>
          <w:rFonts w:ascii="Times New Roman" w:hAnsi="Times New Roman"/>
          <w:i/>
          <w:color w:val="000000"/>
          <w:spacing w:val="-1"/>
          <w:sz w:val="20"/>
          <w:szCs w:val="20"/>
          <w:lang w:val="x-none" w:eastAsia="x-none"/>
        </w:rPr>
        <w:t>the</w:t>
      </w:r>
      <w:r w:rsidRPr="001A423D">
        <w:rPr>
          <w:rFonts w:ascii="Times New Roman" w:hAnsi="Times New Roman"/>
          <w:i/>
          <w:color w:val="000000"/>
          <w:spacing w:val="26"/>
          <w:sz w:val="20"/>
          <w:szCs w:val="20"/>
          <w:lang w:val="x-none" w:eastAsia="x-none"/>
        </w:rPr>
        <w:t xml:space="preserve"> </w:t>
      </w:r>
      <w:r w:rsidRPr="001A423D">
        <w:rPr>
          <w:rFonts w:ascii="Times New Roman" w:hAnsi="Times New Roman"/>
          <w:i/>
          <w:color w:val="000000"/>
          <w:spacing w:val="-1"/>
          <w:sz w:val="20"/>
          <w:szCs w:val="20"/>
          <w:lang w:val="x-none" w:eastAsia="x-none"/>
        </w:rPr>
        <w:t>members</w:t>
      </w:r>
      <w:r w:rsidRPr="001A423D">
        <w:rPr>
          <w:rFonts w:ascii="Times New Roman" w:hAnsi="Times New Roman"/>
          <w:i/>
          <w:color w:val="000000"/>
          <w:spacing w:val="22"/>
          <w:sz w:val="20"/>
          <w:szCs w:val="20"/>
          <w:lang w:val="x-none" w:eastAsia="x-none"/>
        </w:rPr>
        <w:t xml:space="preserve"> </w:t>
      </w:r>
      <w:r w:rsidRPr="001A423D">
        <w:rPr>
          <w:rFonts w:ascii="Times New Roman" w:hAnsi="Times New Roman"/>
          <w:i/>
          <w:color w:val="000000"/>
          <w:sz w:val="20"/>
          <w:szCs w:val="20"/>
          <w:lang w:val="x-none" w:eastAsia="x-none"/>
        </w:rPr>
        <w:t>of</w:t>
      </w:r>
      <w:r w:rsidRPr="001A423D">
        <w:rPr>
          <w:rFonts w:ascii="Times New Roman" w:hAnsi="Times New Roman"/>
          <w:i/>
          <w:color w:val="000000"/>
          <w:spacing w:val="25"/>
          <w:sz w:val="20"/>
          <w:szCs w:val="20"/>
          <w:lang w:val="x-none" w:eastAsia="x-none"/>
        </w:rPr>
        <w:t xml:space="preserve"> </w:t>
      </w:r>
      <w:r w:rsidRPr="001A423D">
        <w:rPr>
          <w:rFonts w:ascii="Times New Roman" w:hAnsi="Times New Roman"/>
          <w:i/>
          <w:color w:val="000000"/>
          <w:spacing w:val="-1"/>
          <w:sz w:val="20"/>
          <w:szCs w:val="20"/>
          <w:lang w:val="x-none" w:eastAsia="x-none"/>
        </w:rPr>
        <w:t>the</w:t>
      </w:r>
      <w:r w:rsidRPr="001A423D">
        <w:rPr>
          <w:rFonts w:ascii="Times New Roman" w:hAnsi="Times New Roman"/>
          <w:i/>
          <w:color w:val="000000"/>
          <w:spacing w:val="25"/>
          <w:sz w:val="20"/>
          <w:szCs w:val="20"/>
          <w:lang w:val="x-none" w:eastAsia="x-none"/>
        </w:rPr>
        <w:t xml:space="preserve"> </w:t>
      </w:r>
      <w:r w:rsidRPr="001A423D">
        <w:rPr>
          <w:rFonts w:ascii="Times New Roman" w:hAnsi="Times New Roman"/>
          <w:i/>
          <w:color w:val="000000"/>
          <w:spacing w:val="-1"/>
          <w:sz w:val="20"/>
          <w:szCs w:val="20"/>
          <w:lang w:val="x-none" w:eastAsia="x-none"/>
        </w:rPr>
        <w:t>Syndicate/ sub-Syndicate/ Registered</w:t>
      </w:r>
      <w:r w:rsidRPr="001A423D">
        <w:rPr>
          <w:rFonts w:ascii="Times New Roman" w:hAnsi="Times New Roman"/>
          <w:i/>
          <w:color w:val="000000"/>
          <w:spacing w:val="61"/>
          <w:sz w:val="20"/>
          <w:szCs w:val="20"/>
          <w:lang w:val="x-none" w:eastAsia="x-none"/>
        </w:rPr>
        <w:t xml:space="preserve"> </w:t>
      </w:r>
      <w:r w:rsidRPr="001A423D">
        <w:rPr>
          <w:rFonts w:ascii="Times New Roman" w:hAnsi="Times New Roman"/>
          <w:i/>
          <w:color w:val="000000"/>
          <w:spacing w:val="-1"/>
          <w:sz w:val="20"/>
          <w:szCs w:val="20"/>
          <w:lang w:val="x-none" w:eastAsia="x-none"/>
        </w:rPr>
        <w:t>Broker/ CRTAs/</w:t>
      </w:r>
      <w:r w:rsidRPr="001A423D">
        <w:rPr>
          <w:rFonts w:ascii="Times New Roman" w:hAnsi="Times New Roman"/>
          <w:i/>
          <w:color w:val="000000"/>
          <w:spacing w:val="-4"/>
          <w:sz w:val="20"/>
          <w:szCs w:val="20"/>
          <w:lang w:val="x-none" w:eastAsia="x-none"/>
        </w:rPr>
        <w:t xml:space="preserve"> </w:t>
      </w:r>
      <w:r w:rsidRPr="001A423D">
        <w:rPr>
          <w:rFonts w:ascii="Times New Roman" w:hAnsi="Times New Roman"/>
          <w:i/>
          <w:color w:val="000000"/>
          <w:spacing w:val="-1"/>
          <w:sz w:val="20"/>
          <w:szCs w:val="20"/>
          <w:lang w:val="x-none" w:eastAsia="x-none"/>
        </w:rPr>
        <w:t>CDPs</w:t>
      </w:r>
      <w:r w:rsidRPr="001A423D">
        <w:rPr>
          <w:rFonts w:ascii="Times New Roman" w:hAnsi="Times New Roman"/>
          <w:i/>
          <w:color w:val="000000"/>
          <w:spacing w:val="1"/>
          <w:sz w:val="20"/>
          <w:szCs w:val="20"/>
          <w:lang w:val="x-none" w:eastAsia="x-none"/>
        </w:rPr>
        <w:t xml:space="preserve"> </w:t>
      </w:r>
      <w:r w:rsidRPr="001A423D">
        <w:rPr>
          <w:rFonts w:ascii="Times New Roman" w:hAnsi="Times New Roman"/>
          <w:i/>
          <w:color w:val="000000"/>
          <w:spacing w:val="-1"/>
          <w:sz w:val="20"/>
          <w:szCs w:val="20"/>
          <w:lang w:val="x-none" w:eastAsia="x-none"/>
        </w:rPr>
        <w:t>and</w:t>
      </w:r>
      <w:r w:rsidRPr="001A423D">
        <w:rPr>
          <w:rFonts w:ascii="Times New Roman" w:hAnsi="Times New Roman"/>
          <w:i/>
          <w:color w:val="000000"/>
          <w:sz w:val="20"/>
          <w:szCs w:val="20"/>
          <w:lang w:val="x-none" w:eastAsia="x-none"/>
        </w:rPr>
        <w:t xml:space="preserve"> </w:t>
      </w:r>
      <w:r w:rsidRPr="001A423D">
        <w:rPr>
          <w:rFonts w:ascii="Times New Roman" w:hAnsi="Times New Roman"/>
          <w:i/>
          <w:color w:val="000000"/>
          <w:spacing w:val="-1"/>
          <w:sz w:val="20"/>
          <w:szCs w:val="20"/>
          <w:lang w:val="x-none" w:eastAsia="x-none"/>
        </w:rPr>
        <w:t>submitted</w:t>
      </w:r>
      <w:r w:rsidRPr="001A423D">
        <w:rPr>
          <w:rFonts w:ascii="Times New Roman" w:hAnsi="Times New Roman"/>
          <w:i/>
          <w:color w:val="000000"/>
          <w:spacing w:val="-2"/>
          <w:sz w:val="20"/>
          <w:szCs w:val="20"/>
          <w:lang w:val="x-none" w:eastAsia="x-none"/>
        </w:rPr>
        <w:t xml:space="preserve"> </w:t>
      </w:r>
      <w:r w:rsidRPr="001A423D">
        <w:rPr>
          <w:rFonts w:ascii="Times New Roman" w:hAnsi="Times New Roman"/>
          <w:i/>
          <w:color w:val="000000"/>
          <w:spacing w:val="-1"/>
          <w:sz w:val="20"/>
          <w:szCs w:val="20"/>
          <w:lang w:val="x-none" w:eastAsia="x-none"/>
        </w:rPr>
        <w:t>to</w:t>
      </w:r>
      <w:r w:rsidRPr="001A423D">
        <w:rPr>
          <w:rFonts w:ascii="Times New Roman" w:hAnsi="Times New Roman"/>
          <w:i/>
          <w:color w:val="000000"/>
          <w:sz w:val="20"/>
          <w:szCs w:val="20"/>
          <w:lang w:val="x-none" w:eastAsia="x-none"/>
        </w:rPr>
        <w:t xml:space="preserve"> </w:t>
      </w:r>
      <w:r w:rsidRPr="001A423D">
        <w:rPr>
          <w:rFonts w:ascii="Times New Roman" w:hAnsi="Times New Roman"/>
          <w:i/>
          <w:color w:val="000000"/>
          <w:spacing w:val="-1"/>
          <w:sz w:val="20"/>
          <w:szCs w:val="20"/>
          <w:lang w:val="x-none" w:eastAsia="x-none"/>
        </w:rPr>
        <w:t>SCSB</w:t>
      </w:r>
      <w:r w:rsidRPr="001A423D">
        <w:rPr>
          <w:rFonts w:ascii="Times New Roman" w:hAnsi="Times New Roman"/>
          <w:i/>
          <w:color w:val="000000"/>
          <w:sz w:val="20"/>
          <w:szCs w:val="20"/>
          <w:lang w:val="x-none" w:eastAsia="x-none"/>
        </w:rPr>
        <w:t xml:space="preserve"> </w:t>
      </w:r>
      <w:r w:rsidRPr="001A423D">
        <w:rPr>
          <w:rFonts w:ascii="Times New Roman" w:hAnsi="Times New Roman"/>
          <w:i/>
          <w:color w:val="000000"/>
          <w:spacing w:val="-1"/>
          <w:sz w:val="20"/>
          <w:szCs w:val="20"/>
          <w:lang w:val="x-none" w:eastAsia="x-none"/>
        </w:rPr>
        <w:t>for</w:t>
      </w:r>
      <w:r w:rsidRPr="001A423D">
        <w:rPr>
          <w:rFonts w:ascii="Times New Roman" w:hAnsi="Times New Roman"/>
          <w:i/>
          <w:color w:val="000000"/>
          <w:spacing w:val="-4"/>
          <w:sz w:val="20"/>
          <w:szCs w:val="20"/>
          <w:lang w:val="x-none" w:eastAsia="x-none"/>
        </w:rPr>
        <w:t xml:space="preserve"> </w:t>
      </w:r>
      <w:r w:rsidRPr="001A423D">
        <w:rPr>
          <w:rFonts w:ascii="Times New Roman" w:hAnsi="Times New Roman"/>
          <w:i/>
          <w:color w:val="000000"/>
          <w:spacing w:val="-1"/>
          <w:sz w:val="20"/>
          <w:szCs w:val="20"/>
          <w:lang w:val="x-none" w:eastAsia="x-none"/>
        </w:rPr>
        <w:t>blocking,</w:t>
      </w:r>
      <w:r w:rsidRPr="001A423D">
        <w:rPr>
          <w:rFonts w:ascii="Times New Roman" w:hAnsi="Times New Roman"/>
          <w:i/>
          <w:color w:val="000000"/>
          <w:spacing w:val="1"/>
          <w:sz w:val="20"/>
          <w:szCs w:val="20"/>
          <w:lang w:val="x-none" w:eastAsia="x-none"/>
        </w:rPr>
        <w:t xml:space="preserve"> </w:t>
      </w:r>
      <w:r w:rsidRPr="001A423D">
        <w:rPr>
          <w:rFonts w:ascii="Times New Roman" w:hAnsi="Times New Roman"/>
          <w:i/>
          <w:color w:val="000000"/>
          <w:spacing w:val="-1"/>
          <w:sz w:val="20"/>
          <w:szCs w:val="20"/>
          <w:lang w:val="x-none" w:eastAsia="x-none"/>
        </w:rPr>
        <w:t>would</w:t>
      </w:r>
      <w:r w:rsidRPr="001A423D">
        <w:rPr>
          <w:rFonts w:ascii="Times New Roman" w:hAnsi="Times New Roman"/>
          <w:i/>
          <w:color w:val="000000"/>
          <w:sz w:val="20"/>
          <w:szCs w:val="20"/>
          <w:lang w:val="x-none" w:eastAsia="x-none"/>
        </w:rPr>
        <w:t xml:space="preserve"> </w:t>
      </w:r>
      <w:r w:rsidRPr="001A423D">
        <w:rPr>
          <w:rFonts w:ascii="Times New Roman" w:hAnsi="Times New Roman"/>
          <w:i/>
          <w:color w:val="000000"/>
          <w:spacing w:val="-1"/>
          <w:sz w:val="20"/>
          <w:szCs w:val="20"/>
          <w:lang w:val="x-none" w:eastAsia="x-none"/>
        </w:rPr>
        <w:t>be</w:t>
      </w:r>
      <w:r w:rsidRPr="001A423D">
        <w:rPr>
          <w:rFonts w:ascii="Times New Roman" w:hAnsi="Times New Roman"/>
          <w:i/>
          <w:color w:val="000000"/>
          <w:sz w:val="20"/>
          <w:szCs w:val="20"/>
          <w:lang w:val="x-none" w:eastAsia="x-none"/>
        </w:rPr>
        <w:t xml:space="preserve"> as</w:t>
      </w:r>
      <w:r w:rsidRPr="001A423D">
        <w:rPr>
          <w:rFonts w:ascii="Times New Roman" w:hAnsi="Times New Roman"/>
          <w:i/>
          <w:color w:val="000000"/>
          <w:spacing w:val="-2"/>
          <w:sz w:val="20"/>
          <w:szCs w:val="20"/>
          <w:lang w:val="x-none" w:eastAsia="x-none"/>
        </w:rPr>
        <w:t xml:space="preserve"> </w:t>
      </w:r>
      <w:r w:rsidRPr="001A423D">
        <w:rPr>
          <w:rFonts w:ascii="Times New Roman" w:hAnsi="Times New Roman"/>
          <w:i/>
          <w:color w:val="000000"/>
          <w:spacing w:val="-1"/>
          <w:sz w:val="20"/>
          <w:szCs w:val="20"/>
          <w:lang w:val="x-none" w:eastAsia="x-none"/>
        </w:rPr>
        <w:t>follows:</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7"/>
        <w:gridCol w:w="6633"/>
      </w:tblGrid>
      <w:tr w:rsidR="00CB2D76" w:rsidRPr="001A423D" w14:paraId="4D57A090" w14:textId="77777777" w:rsidTr="009C1E14">
        <w:tc>
          <w:tcPr>
            <w:tcW w:w="3397" w:type="dxa"/>
            <w:shd w:val="clear" w:color="auto" w:fill="auto"/>
            <w:vAlign w:val="center"/>
          </w:tcPr>
          <w:p w14:paraId="6696C9FA" w14:textId="77777777" w:rsidR="00CB2D76" w:rsidRPr="001A423D" w:rsidRDefault="00CB2D76" w:rsidP="009C1E14">
            <w:pPr>
              <w:widowControl w:val="0"/>
              <w:spacing w:after="0" w:line="240" w:lineRule="auto"/>
              <w:rPr>
                <w:rFonts w:ascii="Times New Roman" w:hAnsi="Times New Roman"/>
                <w:i/>
                <w:spacing w:val="-1"/>
                <w:sz w:val="20"/>
                <w:szCs w:val="20"/>
              </w:rPr>
            </w:pPr>
            <w:r w:rsidRPr="001A423D">
              <w:rPr>
                <w:rFonts w:ascii="Times New Roman" w:hAnsi="Times New Roman"/>
                <w:i/>
                <w:spacing w:val="-1"/>
                <w:sz w:val="20"/>
                <w:szCs w:val="20"/>
              </w:rPr>
              <w:t>Portion for Retail Individual Bidders</w:t>
            </w:r>
          </w:p>
        </w:tc>
        <w:tc>
          <w:tcPr>
            <w:tcW w:w="6633" w:type="dxa"/>
            <w:shd w:val="clear" w:color="auto" w:fill="auto"/>
          </w:tcPr>
          <w:p w14:paraId="41CF6B64" w14:textId="77777777" w:rsidR="00CB2D76" w:rsidRPr="001A423D" w:rsidRDefault="00CB2D76" w:rsidP="009C1E14">
            <w:pPr>
              <w:widowControl w:val="0"/>
              <w:spacing w:after="0" w:line="240" w:lineRule="auto"/>
              <w:ind w:left="141"/>
              <w:jc w:val="both"/>
              <w:rPr>
                <w:rFonts w:ascii="Times New Roman" w:hAnsi="Times New Roman"/>
                <w:i/>
                <w:spacing w:val="-1"/>
                <w:sz w:val="20"/>
                <w:szCs w:val="20"/>
              </w:rPr>
            </w:pPr>
            <w:r w:rsidRPr="001A423D">
              <w:rPr>
                <w:rFonts w:ascii="Times New Roman" w:hAnsi="Times New Roman"/>
                <w:i/>
                <w:spacing w:val="-1"/>
                <w:sz w:val="20"/>
                <w:szCs w:val="20"/>
              </w:rPr>
              <w:t>₹ 10 per valid Bid cum Application Form (plus applicable taxes)</w:t>
            </w:r>
          </w:p>
        </w:tc>
      </w:tr>
      <w:tr w:rsidR="00CB2D76" w:rsidRPr="001A423D" w14:paraId="29E435AE" w14:textId="77777777" w:rsidTr="009C1E14">
        <w:tc>
          <w:tcPr>
            <w:tcW w:w="3397" w:type="dxa"/>
            <w:shd w:val="clear" w:color="auto" w:fill="auto"/>
            <w:vAlign w:val="center"/>
          </w:tcPr>
          <w:p w14:paraId="35B787DC" w14:textId="77777777" w:rsidR="00CB2D76" w:rsidRPr="001A423D" w:rsidRDefault="00CB2D76" w:rsidP="009C1E14">
            <w:pPr>
              <w:widowControl w:val="0"/>
              <w:spacing w:after="0" w:line="240" w:lineRule="auto"/>
              <w:rPr>
                <w:rFonts w:ascii="Times New Roman" w:hAnsi="Times New Roman"/>
                <w:i/>
                <w:spacing w:val="-1"/>
                <w:sz w:val="20"/>
                <w:szCs w:val="20"/>
              </w:rPr>
            </w:pPr>
            <w:r w:rsidRPr="001A423D">
              <w:rPr>
                <w:rFonts w:ascii="Times New Roman" w:hAnsi="Times New Roman"/>
                <w:i/>
                <w:spacing w:val="-1"/>
                <w:sz w:val="20"/>
                <w:szCs w:val="20"/>
              </w:rPr>
              <w:t>Portion for Non-Institutional Bidders</w:t>
            </w:r>
          </w:p>
        </w:tc>
        <w:tc>
          <w:tcPr>
            <w:tcW w:w="6633" w:type="dxa"/>
            <w:shd w:val="clear" w:color="auto" w:fill="auto"/>
          </w:tcPr>
          <w:p w14:paraId="5CE3CAB4" w14:textId="77777777" w:rsidR="00CB2D76" w:rsidRPr="001A423D" w:rsidRDefault="00CB2D76" w:rsidP="009C1E14">
            <w:pPr>
              <w:widowControl w:val="0"/>
              <w:spacing w:after="0" w:line="240" w:lineRule="auto"/>
              <w:ind w:left="141"/>
              <w:jc w:val="both"/>
              <w:rPr>
                <w:rFonts w:ascii="Times New Roman" w:hAnsi="Times New Roman"/>
                <w:i/>
                <w:spacing w:val="-1"/>
                <w:sz w:val="20"/>
                <w:szCs w:val="20"/>
              </w:rPr>
            </w:pPr>
            <w:r w:rsidRPr="001A423D">
              <w:rPr>
                <w:rFonts w:ascii="Times New Roman" w:hAnsi="Times New Roman"/>
                <w:i/>
                <w:spacing w:val="-1"/>
                <w:sz w:val="20"/>
                <w:szCs w:val="20"/>
              </w:rPr>
              <w:t>₹ 10 per valid Bid cum Application Form (plus applicable taxes)</w:t>
            </w:r>
          </w:p>
        </w:tc>
      </w:tr>
    </w:tbl>
    <w:p w14:paraId="32EC2955" w14:textId="77777777" w:rsidR="00CB2D76" w:rsidRPr="001A423D" w:rsidRDefault="00CB2D76" w:rsidP="00CB2D76">
      <w:pPr>
        <w:tabs>
          <w:tab w:val="left" w:pos="492"/>
        </w:tabs>
        <w:spacing w:after="0" w:line="240" w:lineRule="auto"/>
        <w:ind w:left="426" w:right="226"/>
        <w:jc w:val="both"/>
        <w:rPr>
          <w:rFonts w:ascii="Times New Roman" w:hAnsi="Times New Roman"/>
          <w:i/>
          <w:spacing w:val="-1"/>
          <w:sz w:val="20"/>
          <w:szCs w:val="20"/>
        </w:rPr>
      </w:pPr>
      <w:r w:rsidRPr="001A423D">
        <w:rPr>
          <w:rFonts w:ascii="Times New Roman" w:hAnsi="Times New Roman"/>
          <w:i/>
          <w:spacing w:val="-1"/>
          <w:sz w:val="20"/>
          <w:szCs w:val="20"/>
        </w:rPr>
        <w:t>Notwithstanding anything contained above the total processing fee payable under this clause will not exceed ₹1 lakh (plus applicable taxes) and in case if the total processing fees exceeds ₹ 1 lakh (plus applicable taxes) then processing fees will be paid on pro-rata basis.</w:t>
      </w:r>
    </w:p>
    <w:p w14:paraId="28FA628B" w14:textId="77777777" w:rsidR="00CB2D76" w:rsidRPr="001A423D" w:rsidRDefault="00CB2D76" w:rsidP="00CB2D76">
      <w:pPr>
        <w:tabs>
          <w:tab w:val="left" w:pos="492"/>
        </w:tabs>
        <w:spacing w:after="0" w:line="240" w:lineRule="auto"/>
        <w:ind w:right="226"/>
        <w:jc w:val="both"/>
        <w:rPr>
          <w:rFonts w:ascii="Times New Roman" w:hAnsi="Times New Roman"/>
          <w:i/>
          <w:spacing w:val="-1"/>
          <w:sz w:val="20"/>
          <w:szCs w:val="20"/>
        </w:rPr>
      </w:pPr>
    </w:p>
    <w:p w14:paraId="28A33EF9" w14:textId="77777777" w:rsidR="00CB2D76" w:rsidRPr="001A423D" w:rsidRDefault="00CB2D76">
      <w:pPr>
        <w:numPr>
          <w:ilvl w:val="0"/>
          <w:numId w:val="161"/>
        </w:numPr>
        <w:tabs>
          <w:tab w:val="left" w:pos="492"/>
        </w:tabs>
        <w:spacing w:after="0" w:line="240" w:lineRule="auto"/>
        <w:ind w:left="426" w:right="119"/>
        <w:contextualSpacing/>
        <w:jc w:val="both"/>
        <w:rPr>
          <w:rFonts w:ascii="Times New Roman" w:hAnsi="Times New Roman"/>
          <w:color w:val="000000"/>
          <w:sz w:val="20"/>
          <w:szCs w:val="20"/>
          <w:lang w:val="x-none" w:eastAsia="x-none"/>
        </w:rPr>
      </w:pPr>
      <w:r w:rsidRPr="001A423D">
        <w:rPr>
          <w:rFonts w:ascii="Times New Roman" w:hAnsi="Times New Roman"/>
          <w:i/>
          <w:color w:val="000000"/>
          <w:spacing w:val="-1"/>
          <w:position w:val="6"/>
          <w:sz w:val="20"/>
          <w:szCs w:val="20"/>
          <w:lang w:val="x-none" w:eastAsia="x-none"/>
        </w:rPr>
        <w:tab/>
      </w:r>
      <w:r w:rsidRPr="001A423D">
        <w:rPr>
          <w:rFonts w:ascii="Times New Roman" w:hAnsi="Times New Roman"/>
          <w:i/>
          <w:color w:val="000000"/>
          <w:sz w:val="20"/>
          <w:szCs w:val="20"/>
          <w:lang w:val="x-none" w:eastAsia="x-none"/>
        </w:rPr>
        <w:t xml:space="preserve">The </w:t>
      </w:r>
      <w:r w:rsidRPr="001A423D">
        <w:rPr>
          <w:rFonts w:ascii="Times New Roman" w:hAnsi="Times New Roman"/>
          <w:i/>
          <w:color w:val="000000"/>
          <w:spacing w:val="-1"/>
          <w:sz w:val="20"/>
          <w:szCs w:val="20"/>
          <w:lang w:val="x-none" w:eastAsia="x-none"/>
        </w:rPr>
        <w:t>processing</w:t>
      </w:r>
      <w:r w:rsidRPr="001A423D">
        <w:rPr>
          <w:rFonts w:ascii="Times New Roman" w:hAnsi="Times New Roman"/>
          <w:i/>
          <w:color w:val="000000"/>
          <w:sz w:val="20"/>
          <w:szCs w:val="20"/>
          <w:lang w:val="x-none" w:eastAsia="x-none"/>
        </w:rPr>
        <w:t xml:space="preserve"> </w:t>
      </w:r>
      <w:r w:rsidRPr="001A423D">
        <w:rPr>
          <w:rFonts w:ascii="Times New Roman" w:hAnsi="Times New Roman"/>
          <w:i/>
          <w:color w:val="000000"/>
          <w:spacing w:val="-1"/>
          <w:sz w:val="20"/>
          <w:szCs w:val="20"/>
          <w:lang w:val="x-none" w:eastAsia="x-none"/>
        </w:rPr>
        <w:t>fees</w:t>
      </w:r>
      <w:r w:rsidRPr="001A423D">
        <w:rPr>
          <w:rFonts w:ascii="Times New Roman" w:hAnsi="Times New Roman"/>
          <w:i/>
          <w:color w:val="000000"/>
          <w:spacing w:val="-2"/>
          <w:sz w:val="20"/>
          <w:szCs w:val="20"/>
          <w:lang w:val="x-none" w:eastAsia="x-none"/>
        </w:rPr>
        <w:t xml:space="preserve"> </w:t>
      </w:r>
      <w:r w:rsidRPr="001A423D">
        <w:rPr>
          <w:rFonts w:ascii="Times New Roman" w:hAnsi="Times New Roman"/>
          <w:i/>
          <w:color w:val="000000"/>
          <w:spacing w:val="-1"/>
          <w:sz w:val="20"/>
          <w:szCs w:val="20"/>
          <w:lang w:val="x-none" w:eastAsia="x-none"/>
        </w:rPr>
        <w:t>for</w:t>
      </w:r>
      <w:r w:rsidRPr="001A423D">
        <w:rPr>
          <w:rFonts w:ascii="Times New Roman" w:hAnsi="Times New Roman"/>
          <w:i/>
          <w:color w:val="000000"/>
          <w:sz w:val="20"/>
          <w:szCs w:val="20"/>
          <w:lang w:val="x-none" w:eastAsia="x-none"/>
        </w:rPr>
        <w:t xml:space="preserve"> </w:t>
      </w:r>
      <w:r w:rsidRPr="001A423D">
        <w:rPr>
          <w:rFonts w:ascii="Times New Roman" w:hAnsi="Times New Roman"/>
          <w:i/>
          <w:color w:val="000000"/>
          <w:spacing w:val="-1"/>
          <w:sz w:val="20"/>
          <w:szCs w:val="20"/>
          <w:lang w:val="x-none" w:eastAsia="x-none"/>
        </w:rPr>
        <w:t>applications</w:t>
      </w:r>
      <w:r w:rsidRPr="001A423D">
        <w:rPr>
          <w:rFonts w:ascii="Times New Roman" w:hAnsi="Times New Roman"/>
          <w:i/>
          <w:color w:val="000000"/>
          <w:sz w:val="20"/>
          <w:szCs w:val="20"/>
          <w:lang w:val="x-none" w:eastAsia="x-none"/>
        </w:rPr>
        <w:t xml:space="preserve"> made</w:t>
      </w:r>
      <w:r w:rsidRPr="001A423D">
        <w:rPr>
          <w:rFonts w:ascii="Times New Roman" w:hAnsi="Times New Roman"/>
          <w:i/>
          <w:color w:val="000000"/>
          <w:spacing w:val="-1"/>
          <w:sz w:val="20"/>
          <w:szCs w:val="20"/>
          <w:lang w:val="x-none" w:eastAsia="x-none"/>
        </w:rPr>
        <w:t xml:space="preserve"> by</w:t>
      </w:r>
      <w:r w:rsidRPr="001A423D">
        <w:rPr>
          <w:rFonts w:ascii="Times New Roman" w:hAnsi="Times New Roman"/>
          <w:i/>
          <w:color w:val="000000"/>
          <w:sz w:val="20"/>
          <w:szCs w:val="20"/>
          <w:lang w:val="x-none" w:eastAsia="x-none"/>
        </w:rPr>
        <w:t xml:space="preserve"> </w:t>
      </w:r>
      <w:r w:rsidRPr="001A423D">
        <w:rPr>
          <w:rFonts w:ascii="Times New Roman" w:hAnsi="Times New Roman"/>
          <w:i/>
          <w:color w:val="000000"/>
          <w:spacing w:val="-1"/>
          <w:sz w:val="20"/>
          <w:szCs w:val="20"/>
          <w:lang w:val="x-none" w:eastAsia="x-none"/>
        </w:rPr>
        <w:t>Retail</w:t>
      </w:r>
      <w:r w:rsidRPr="001A423D">
        <w:rPr>
          <w:rFonts w:ascii="Times New Roman" w:hAnsi="Times New Roman"/>
          <w:i/>
          <w:color w:val="000000"/>
          <w:spacing w:val="-2"/>
          <w:sz w:val="20"/>
          <w:szCs w:val="20"/>
          <w:lang w:val="x-none" w:eastAsia="x-none"/>
        </w:rPr>
        <w:t xml:space="preserve"> </w:t>
      </w:r>
      <w:r w:rsidRPr="001A423D">
        <w:rPr>
          <w:rFonts w:ascii="Times New Roman" w:hAnsi="Times New Roman"/>
          <w:i/>
          <w:color w:val="000000"/>
          <w:spacing w:val="-1"/>
          <w:sz w:val="20"/>
          <w:szCs w:val="20"/>
          <w:lang w:val="x-none" w:eastAsia="x-none"/>
        </w:rPr>
        <w:t>Individual</w:t>
      </w:r>
      <w:r w:rsidRPr="001A423D">
        <w:rPr>
          <w:rFonts w:ascii="Times New Roman" w:hAnsi="Times New Roman"/>
          <w:i/>
          <w:color w:val="000000"/>
          <w:spacing w:val="1"/>
          <w:sz w:val="20"/>
          <w:szCs w:val="20"/>
          <w:lang w:val="x-none" w:eastAsia="x-none"/>
        </w:rPr>
        <w:t xml:space="preserve"> </w:t>
      </w:r>
      <w:r w:rsidRPr="001A423D">
        <w:rPr>
          <w:rFonts w:ascii="Times New Roman" w:hAnsi="Times New Roman"/>
          <w:i/>
          <w:color w:val="000000"/>
          <w:spacing w:val="-1"/>
          <w:sz w:val="20"/>
          <w:szCs w:val="20"/>
          <w:lang w:val="x-none" w:eastAsia="x-none"/>
        </w:rPr>
        <w:t>Bidders</w:t>
      </w:r>
      <w:r w:rsidRPr="001A423D">
        <w:rPr>
          <w:rFonts w:ascii="Times New Roman" w:hAnsi="Times New Roman"/>
          <w:i/>
          <w:color w:val="000000"/>
          <w:spacing w:val="1"/>
          <w:sz w:val="20"/>
          <w:szCs w:val="20"/>
          <w:lang w:val="x-none" w:eastAsia="x-none"/>
        </w:rPr>
        <w:t xml:space="preserve"> </w:t>
      </w:r>
      <w:r w:rsidRPr="001A423D">
        <w:rPr>
          <w:rFonts w:ascii="Times New Roman" w:hAnsi="Times New Roman"/>
          <w:i/>
          <w:color w:val="000000"/>
          <w:spacing w:val="-1"/>
          <w:sz w:val="20"/>
          <w:szCs w:val="20"/>
          <w:lang w:val="x-none" w:eastAsia="x-none"/>
        </w:rPr>
        <w:t>using</w:t>
      </w:r>
      <w:r w:rsidRPr="001A423D">
        <w:rPr>
          <w:rFonts w:ascii="Times New Roman" w:hAnsi="Times New Roman"/>
          <w:i/>
          <w:color w:val="000000"/>
          <w:sz w:val="20"/>
          <w:szCs w:val="20"/>
          <w:lang w:val="x-none" w:eastAsia="x-none"/>
        </w:rPr>
        <w:t xml:space="preserve"> </w:t>
      </w:r>
      <w:r w:rsidRPr="001A423D">
        <w:rPr>
          <w:rFonts w:ascii="Times New Roman" w:hAnsi="Times New Roman"/>
          <w:i/>
          <w:color w:val="000000"/>
          <w:spacing w:val="-1"/>
          <w:sz w:val="20"/>
          <w:szCs w:val="20"/>
          <w:lang w:val="x-none" w:eastAsia="x-none"/>
        </w:rPr>
        <w:t>the</w:t>
      </w:r>
      <w:r w:rsidRPr="001A423D">
        <w:rPr>
          <w:rFonts w:ascii="Times New Roman" w:hAnsi="Times New Roman"/>
          <w:i/>
          <w:color w:val="000000"/>
          <w:spacing w:val="-5"/>
          <w:sz w:val="20"/>
          <w:szCs w:val="20"/>
          <w:lang w:val="x-none" w:eastAsia="x-none"/>
        </w:rPr>
        <w:t xml:space="preserve"> </w:t>
      </w:r>
      <w:r w:rsidRPr="001A423D">
        <w:rPr>
          <w:rFonts w:ascii="Times New Roman" w:hAnsi="Times New Roman"/>
          <w:i/>
          <w:color w:val="000000"/>
          <w:spacing w:val="-1"/>
          <w:sz w:val="20"/>
          <w:szCs w:val="20"/>
          <w:lang w:val="x-none" w:eastAsia="x-none"/>
        </w:rPr>
        <w:t>UPI</w:t>
      </w:r>
      <w:r w:rsidRPr="001A423D">
        <w:rPr>
          <w:rFonts w:ascii="Times New Roman" w:hAnsi="Times New Roman"/>
          <w:i/>
          <w:color w:val="000000"/>
          <w:sz w:val="20"/>
          <w:szCs w:val="20"/>
          <w:lang w:val="x-none" w:eastAsia="x-none"/>
        </w:rPr>
        <w:t xml:space="preserve"> </w:t>
      </w:r>
      <w:r w:rsidRPr="001A423D">
        <w:rPr>
          <w:rFonts w:ascii="Times New Roman" w:hAnsi="Times New Roman"/>
          <w:i/>
          <w:color w:val="000000"/>
          <w:spacing w:val="-1"/>
          <w:sz w:val="20"/>
          <w:szCs w:val="20"/>
          <w:lang w:val="x-none" w:eastAsia="x-none"/>
        </w:rPr>
        <w:t>Mechanism</w:t>
      </w:r>
      <w:r w:rsidRPr="001A423D">
        <w:rPr>
          <w:rFonts w:ascii="Times New Roman" w:hAnsi="Times New Roman"/>
          <w:i/>
          <w:color w:val="000000"/>
          <w:spacing w:val="-4"/>
          <w:sz w:val="20"/>
          <w:szCs w:val="20"/>
          <w:lang w:val="x-none" w:eastAsia="x-none"/>
        </w:rPr>
        <w:t xml:space="preserve"> </w:t>
      </w:r>
      <w:r w:rsidRPr="001A423D">
        <w:rPr>
          <w:rFonts w:ascii="Times New Roman" w:hAnsi="Times New Roman"/>
          <w:i/>
          <w:color w:val="000000"/>
          <w:spacing w:val="-1"/>
          <w:sz w:val="20"/>
          <w:szCs w:val="20"/>
          <w:lang w:val="x-none" w:eastAsia="x-none"/>
        </w:rPr>
        <w:t>would</w:t>
      </w:r>
      <w:r w:rsidRPr="001A423D">
        <w:rPr>
          <w:rFonts w:ascii="Times New Roman" w:hAnsi="Times New Roman"/>
          <w:i/>
          <w:color w:val="000000"/>
          <w:sz w:val="20"/>
          <w:szCs w:val="20"/>
          <w:lang w:val="x-none" w:eastAsia="x-none"/>
        </w:rPr>
        <w:t xml:space="preserve"> be</w:t>
      </w:r>
      <w:r w:rsidRPr="001A423D">
        <w:rPr>
          <w:rFonts w:ascii="Times New Roman" w:hAnsi="Times New Roman"/>
          <w:i/>
          <w:color w:val="000000"/>
          <w:spacing w:val="-2"/>
          <w:sz w:val="20"/>
          <w:szCs w:val="20"/>
          <w:lang w:val="x-none" w:eastAsia="x-none"/>
        </w:rPr>
        <w:t xml:space="preserve"> </w:t>
      </w:r>
      <w:r w:rsidRPr="001A423D">
        <w:rPr>
          <w:rFonts w:ascii="Times New Roman" w:hAnsi="Times New Roman"/>
          <w:i/>
          <w:color w:val="000000"/>
          <w:sz w:val="20"/>
          <w:szCs w:val="20"/>
          <w:lang w:val="x-none" w:eastAsia="x-none"/>
        </w:rPr>
        <w:t xml:space="preserve">as </w:t>
      </w:r>
      <w:r w:rsidRPr="001A423D">
        <w:rPr>
          <w:rFonts w:ascii="Times New Roman" w:hAnsi="Times New Roman"/>
          <w:i/>
          <w:color w:val="000000"/>
          <w:spacing w:val="-1"/>
          <w:sz w:val="20"/>
          <w:szCs w:val="20"/>
          <w:lang w:val="x-none" w:eastAsia="x-none"/>
        </w:rPr>
        <w:t>follows:</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9"/>
        <w:gridCol w:w="7021"/>
      </w:tblGrid>
      <w:tr w:rsidR="00CB2D76" w:rsidRPr="001A423D" w14:paraId="3C7FABEF" w14:textId="77777777" w:rsidTr="009C1E14">
        <w:tc>
          <w:tcPr>
            <w:tcW w:w="3009" w:type="dxa"/>
            <w:shd w:val="clear" w:color="auto" w:fill="auto"/>
          </w:tcPr>
          <w:p w14:paraId="19B38D15" w14:textId="77777777" w:rsidR="00CB2D76" w:rsidRPr="001A423D" w:rsidRDefault="00CB2D76" w:rsidP="009C1E14">
            <w:pPr>
              <w:widowControl w:val="0"/>
              <w:tabs>
                <w:tab w:val="left" w:pos="492"/>
              </w:tabs>
              <w:spacing w:after="0" w:line="240" w:lineRule="auto"/>
              <w:ind w:right="46"/>
              <w:jc w:val="both"/>
              <w:rPr>
                <w:rFonts w:ascii="Times New Roman" w:hAnsi="Times New Roman"/>
                <w:sz w:val="20"/>
                <w:szCs w:val="20"/>
              </w:rPr>
            </w:pPr>
            <w:r w:rsidRPr="001A423D">
              <w:rPr>
                <w:rFonts w:ascii="Times New Roman" w:hAnsi="Times New Roman"/>
                <w:i/>
                <w:spacing w:val="-1"/>
                <w:sz w:val="20"/>
                <w:szCs w:val="20"/>
              </w:rPr>
              <w:t>Members</w:t>
            </w:r>
            <w:r w:rsidRPr="001A423D">
              <w:rPr>
                <w:rFonts w:ascii="Times New Roman" w:hAnsi="Times New Roman"/>
                <w:i/>
                <w:sz w:val="20"/>
                <w:szCs w:val="20"/>
              </w:rPr>
              <w:t xml:space="preserve"> </w:t>
            </w:r>
            <w:r w:rsidRPr="001A423D">
              <w:rPr>
                <w:rFonts w:ascii="Times New Roman" w:hAnsi="Times New Roman"/>
                <w:i/>
                <w:spacing w:val="-1"/>
                <w:sz w:val="20"/>
                <w:szCs w:val="20"/>
              </w:rPr>
              <w:t>of</w:t>
            </w:r>
            <w:r w:rsidRPr="001A423D">
              <w:rPr>
                <w:rFonts w:ascii="Times New Roman" w:hAnsi="Times New Roman"/>
                <w:i/>
                <w:sz w:val="20"/>
                <w:szCs w:val="20"/>
              </w:rPr>
              <w:t xml:space="preserve"> </w:t>
            </w:r>
            <w:r w:rsidRPr="001A423D">
              <w:rPr>
                <w:rFonts w:ascii="Times New Roman" w:hAnsi="Times New Roman"/>
                <w:i/>
                <w:spacing w:val="-2"/>
                <w:sz w:val="20"/>
                <w:szCs w:val="20"/>
              </w:rPr>
              <w:t>the</w:t>
            </w:r>
            <w:r w:rsidRPr="001A423D">
              <w:rPr>
                <w:rFonts w:ascii="Times New Roman" w:hAnsi="Times New Roman"/>
                <w:i/>
                <w:sz w:val="20"/>
                <w:szCs w:val="20"/>
              </w:rPr>
              <w:t xml:space="preserve"> </w:t>
            </w:r>
            <w:r w:rsidRPr="001A423D">
              <w:rPr>
                <w:rFonts w:ascii="Times New Roman" w:hAnsi="Times New Roman"/>
                <w:i/>
                <w:spacing w:val="-1"/>
                <w:sz w:val="20"/>
                <w:szCs w:val="20"/>
              </w:rPr>
              <w:t>Syndicate</w:t>
            </w:r>
            <w:r w:rsidRPr="001A423D">
              <w:rPr>
                <w:rFonts w:ascii="Times New Roman" w:hAnsi="Times New Roman"/>
                <w:i/>
                <w:sz w:val="20"/>
                <w:szCs w:val="20"/>
              </w:rPr>
              <w:t xml:space="preserve">/ </w:t>
            </w:r>
            <w:r w:rsidRPr="001A423D">
              <w:rPr>
                <w:rFonts w:ascii="Times New Roman" w:hAnsi="Times New Roman"/>
                <w:i/>
                <w:spacing w:val="-1"/>
                <w:sz w:val="20"/>
                <w:szCs w:val="20"/>
              </w:rPr>
              <w:t>RTAs</w:t>
            </w:r>
            <w:r w:rsidRPr="001A423D">
              <w:rPr>
                <w:rFonts w:ascii="Times New Roman" w:hAnsi="Times New Roman"/>
                <w:i/>
                <w:sz w:val="20"/>
                <w:szCs w:val="20"/>
              </w:rPr>
              <w:t xml:space="preserve">/ </w:t>
            </w:r>
            <w:r w:rsidRPr="001A423D">
              <w:rPr>
                <w:rFonts w:ascii="Times New Roman" w:hAnsi="Times New Roman"/>
                <w:i/>
                <w:spacing w:val="-1"/>
                <w:sz w:val="20"/>
                <w:szCs w:val="20"/>
              </w:rPr>
              <w:t>CDPs</w:t>
            </w:r>
            <w:r w:rsidRPr="001A423D">
              <w:rPr>
                <w:rFonts w:ascii="Times New Roman" w:hAnsi="Times New Roman"/>
                <w:i/>
                <w:spacing w:val="30"/>
                <w:sz w:val="20"/>
                <w:szCs w:val="20"/>
              </w:rPr>
              <w:t xml:space="preserve"> </w:t>
            </w:r>
            <w:r w:rsidRPr="001A423D">
              <w:rPr>
                <w:rFonts w:ascii="Times New Roman" w:hAnsi="Times New Roman"/>
                <w:i/>
                <w:spacing w:val="-1"/>
                <w:sz w:val="20"/>
                <w:szCs w:val="20"/>
              </w:rPr>
              <w:t>(uploading</w:t>
            </w:r>
            <w:r w:rsidRPr="001A423D">
              <w:rPr>
                <w:rFonts w:ascii="Times New Roman" w:hAnsi="Times New Roman"/>
                <w:i/>
                <w:spacing w:val="-4"/>
                <w:sz w:val="20"/>
                <w:szCs w:val="20"/>
              </w:rPr>
              <w:t xml:space="preserve"> </w:t>
            </w:r>
            <w:r w:rsidRPr="001A423D">
              <w:rPr>
                <w:rFonts w:ascii="Times New Roman" w:hAnsi="Times New Roman"/>
                <w:i/>
                <w:spacing w:val="-1"/>
                <w:sz w:val="20"/>
                <w:szCs w:val="20"/>
              </w:rPr>
              <w:t>charges)</w:t>
            </w:r>
          </w:p>
        </w:tc>
        <w:tc>
          <w:tcPr>
            <w:tcW w:w="7021" w:type="dxa"/>
            <w:shd w:val="clear" w:color="auto" w:fill="auto"/>
          </w:tcPr>
          <w:p w14:paraId="18382211" w14:textId="77777777" w:rsidR="00CB2D76" w:rsidRPr="001A423D" w:rsidRDefault="00CB2D76" w:rsidP="009C1E14">
            <w:pPr>
              <w:widowControl w:val="0"/>
              <w:spacing w:after="0" w:line="240" w:lineRule="auto"/>
              <w:ind w:right="142"/>
              <w:jc w:val="both"/>
              <w:rPr>
                <w:rFonts w:ascii="Times New Roman" w:hAnsi="Times New Roman"/>
                <w:i/>
                <w:spacing w:val="-1"/>
                <w:sz w:val="20"/>
                <w:szCs w:val="20"/>
              </w:rPr>
            </w:pPr>
            <w:r w:rsidRPr="001A423D">
              <w:rPr>
                <w:rFonts w:ascii="Times New Roman" w:hAnsi="Times New Roman"/>
                <w:i/>
                <w:spacing w:val="-1"/>
                <w:sz w:val="20"/>
                <w:szCs w:val="20"/>
              </w:rPr>
              <w:t>₹ 10 per valid application (plus applicable taxes)</w:t>
            </w:r>
          </w:p>
        </w:tc>
      </w:tr>
      <w:tr w:rsidR="00CB2D76" w:rsidRPr="001A423D" w14:paraId="52172556" w14:textId="77777777" w:rsidTr="009C1E14">
        <w:tc>
          <w:tcPr>
            <w:tcW w:w="3009" w:type="dxa"/>
            <w:shd w:val="clear" w:color="auto" w:fill="auto"/>
          </w:tcPr>
          <w:p w14:paraId="08F3CDCA" w14:textId="77777777" w:rsidR="00CB2D76" w:rsidRPr="001A423D" w:rsidRDefault="00CB2D76" w:rsidP="009C1E14">
            <w:pPr>
              <w:widowControl w:val="0"/>
              <w:spacing w:after="0" w:line="240" w:lineRule="auto"/>
              <w:jc w:val="both"/>
              <w:rPr>
                <w:rFonts w:ascii="Times New Roman" w:hAnsi="Times New Roman"/>
                <w:sz w:val="20"/>
                <w:szCs w:val="20"/>
              </w:rPr>
            </w:pPr>
            <w:r w:rsidRPr="001A423D">
              <w:rPr>
                <w:rFonts w:ascii="Times New Roman" w:hAnsi="Times New Roman"/>
                <w:i/>
                <w:spacing w:val="-1"/>
                <w:sz w:val="20"/>
                <w:szCs w:val="20"/>
              </w:rPr>
              <w:t>Sponsor</w:t>
            </w:r>
            <w:r w:rsidRPr="001A423D">
              <w:rPr>
                <w:rFonts w:ascii="Times New Roman" w:hAnsi="Times New Roman"/>
                <w:i/>
                <w:spacing w:val="-2"/>
                <w:sz w:val="20"/>
                <w:szCs w:val="20"/>
              </w:rPr>
              <w:t xml:space="preserve"> Bank </w:t>
            </w:r>
            <w:r w:rsidRPr="001A423D">
              <w:rPr>
                <w:rFonts w:ascii="Times New Roman" w:hAnsi="Times New Roman"/>
                <w:bCs/>
                <w:i/>
                <w:sz w:val="20"/>
                <w:szCs w:val="20"/>
                <w:lang w:bidi="en-US"/>
              </w:rPr>
              <w:t>[●]</w:t>
            </w:r>
          </w:p>
        </w:tc>
        <w:tc>
          <w:tcPr>
            <w:tcW w:w="7021" w:type="dxa"/>
            <w:shd w:val="clear" w:color="auto" w:fill="auto"/>
          </w:tcPr>
          <w:p w14:paraId="0C2A6952" w14:textId="77777777" w:rsidR="00CB2D76" w:rsidRPr="001A423D" w:rsidRDefault="00CB2D76" w:rsidP="009C1E14">
            <w:pPr>
              <w:widowControl w:val="0"/>
              <w:spacing w:after="0" w:line="240" w:lineRule="auto"/>
              <w:jc w:val="both"/>
              <w:rPr>
                <w:rFonts w:ascii="Times New Roman" w:hAnsi="Times New Roman"/>
                <w:sz w:val="20"/>
                <w:szCs w:val="20"/>
              </w:rPr>
            </w:pPr>
            <w:r w:rsidRPr="001A423D">
              <w:rPr>
                <w:rFonts w:ascii="Times New Roman" w:hAnsi="Times New Roman"/>
                <w:i/>
                <w:spacing w:val="-1"/>
                <w:sz w:val="20"/>
                <w:szCs w:val="20"/>
              </w:rPr>
              <w:t xml:space="preserve">₹ </w:t>
            </w:r>
            <w:r>
              <w:rPr>
                <w:rFonts w:ascii="Times New Roman" w:hAnsi="Times New Roman"/>
                <w:i/>
                <w:spacing w:val="-1"/>
                <w:sz w:val="20"/>
                <w:szCs w:val="20"/>
              </w:rPr>
              <w:t>6</w:t>
            </w:r>
            <w:r w:rsidRPr="001A423D">
              <w:rPr>
                <w:rFonts w:ascii="Times New Roman" w:hAnsi="Times New Roman"/>
                <w:i/>
                <w:spacing w:val="-1"/>
                <w:sz w:val="20"/>
                <w:szCs w:val="20"/>
              </w:rPr>
              <w:t xml:space="preserve"> </w:t>
            </w:r>
            <w:r w:rsidRPr="001A423D">
              <w:rPr>
                <w:rFonts w:ascii="Times New Roman" w:hAnsi="Times New Roman"/>
                <w:i/>
                <w:sz w:val="20"/>
                <w:szCs w:val="20"/>
              </w:rPr>
              <w:t>per</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valid</w:t>
            </w:r>
            <w:r w:rsidRPr="001A423D">
              <w:rPr>
                <w:rFonts w:ascii="Times New Roman" w:hAnsi="Times New Roman"/>
                <w:i/>
                <w:spacing w:val="-2"/>
                <w:sz w:val="20"/>
                <w:szCs w:val="20"/>
              </w:rPr>
              <w:t xml:space="preserve"> </w:t>
            </w:r>
            <w:r w:rsidRPr="001A423D">
              <w:rPr>
                <w:rFonts w:ascii="Times New Roman" w:hAnsi="Times New Roman"/>
                <w:i/>
                <w:sz w:val="20"/>
                <w:szCs w:val="20"/>
              </w:rPr>
              <w:t>Bid</w:t>
            </w:r>
            <w:r w:rsidRPr="001A423D">
              <w:rPr>
                <w:rFonts w:ascii="Times New Roman" w:hAnsi="Times New Roman"/>
                <w:i/>
                <w:spacing w:val="-4"/>
                <w:sz w:val="20"/>
                <w:szCs w:val="20"/>
              </w:rPr>
              <w:t xml:space="preserve"> </w:t>
            </w:r>
            <w:r w:rsidRPr="001A423D">
              <w:rPr>
                <w:rFonts w:ascii="Times New Roman" w:hAnsi="Times New Roman"/>
                <w:i/>
                <w:sz w:val="20"/>
                <w:szCs w:val="20"/>
              </w:rPr>
              <w:t xml:space="preserve">cum </w:t>
            </w:r>
            <w:r w:rsidRPr="001A423D">
              <w:rPr>
                <w:rFonts w:ascii="Times New Roman" w:hAnsi="Times New Roman"/>
                <w:i/>
                <w:spacing w:val="-1"/>
                <w:sz w:val="20"/>
                <w:szCs w:val="20"/>
              </w:rPr>
              <w:t>Application</w:t>
            </w:r>
            <w:r w:rsidRPr="001A423D">
              <w:rPr>
                <w:rFonts w:ascii="Times New Roman" w:hAnsi="Times New Roman"/>
                <w:i/>
                <w:spacing w:val="-4"/>
                <w:sz w:val="20"/>
                <w:szCs w:val="20"/>
              </w:rPr>
              <w:t xml:space="preserve"> </w:t>
            </w:r>
            <w:r w:rsidRPr="001A423D">
              <w:rPr>
                <w:rFonts w:ascii="Times New Roman" w:hAnsi="Times New Roman"/>
                <w:i/>
                <w:spacing w:val="-1"/>
                <w:sz w:val="20"/>
                <w:szCs w:val="20"/>
              </w:rPr>
              <w:t>Form*</w:t>
            </w:r>
            <w:r w:rsidRPr="001A423D">
              <w:rPr>
                <w:rFonts w:ascii="Times New Roman" w:hAnsi="Times New Roman"/>
                <w:i/>
                <w:spacing w:val="2"/>
                <w:position w:val="6"/>
                <w:sz w:val="20"/>
                <w:szCs w:val="20"/>
              </w:rPr>
              <w:t xml:space="preserve"> </w:t>
            </w:r>
            <w:r w:rsidRPr="001A423D">
              <w:rPr>
                <w:rFonts w:ascii="Times New Roman" w:hAnsi="Times New Roman"/>
                <w:i/>
                <w:spacing w:val="-1"/>
                <w:sz w:val="20"/>
                <w:szCs w:val="20"/>
              </w:rPr>
              <w:t>(plus</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applicable</w:t>
            </w:r>
            <w:r w:rsidRPr="001A423D">
              <w:rPr>
                <w:rFonts w:ascii="Times New Roman" w:hAnsi="Times New Roman"/>
                <w:i/>
                <w:spacing w:val="1"/>
                <w:sz w:val="20"/>
                <w:szCs w:val="20"/>
              </w:rPr>
              <w:t xml:space="preserve"> </w:t>
            </w:r>
            <w:r w:rsidRPr="001A423D">
              <w:rPr>
                <w:rFonts w:ascii="Times New Roman" w:hAnsi="Times New Roman"/>
                <w:i/>
                <w:spacing w:val="-1"/>
                <w:sz w:val="20"/>
                <w:szCs w:val="20"/>
              </w:rPr>
              <w:t xml:space="preserve">taxes) </w:t>
            </w:r>
            <w:r w:rsidRPr="001A423D">
              <w:rPr>
                <w:rFonts w:ascii="Times New Roman" w:hAnsi="Times New Roman"/>
                <w:i/>
                <w:sz w:val="20"/>
                <w:szCs w:val="20"/>
              </w:rPr>
              <w:t>The</w:t>
            </w:r>
            <w:r w:rsidRPr="001A423D">
              <w:rPr>
                <w:rFonts w:ascii="Times New Roman" w:hAnsi="Times New Roman"/>
                <w:i/>
                <w:spacing w:val="-4"/>
                <w:sz w:val="20"/>
                <w:szCs w:val="20"/>
              </w:rPr>
              <w:t xml:space="preserve"> </w:t>
            </w:r>
            <w:r w:rsidRPr="001A423D">
              <w:rPr>
                <w:rFonts w:ascii="Times New Roman" w:hAnsi="Times New Roman"/>
                <w:i/>
                <w:spacing w:val="-1"/>
                <w:sz w:val="20"/>
                <w:szCs w:val="20"/>
              </w:rPr>
              <w:t>Sponsor</w:t>
            </w:r>
            <w:r w:rsidRPr="001A423D">
              <w:rPr>
                <w:rFonts w:ascii="Times New Roman" w:hAnsi="Times New Roman"/>
                <w:i/>
                <w:spacing w:val="-2"/>
                <w:sz w:val="20"/>
                <w:szCs w:val="20"/>
              </w:rPr>
              <w:t xml:space="preserve"> Bank</w:t>
            </w:r>
            <w:r w:rsidRPr="001A423D">
              <w:rPr>
                <w:rFonts w:ascii="Times New Roman" w:hAnsi="Times New Roman"/>
                <w:i/>
                <w:spacing w:val="1"/>
                <w:sz w:val="20"/>
                <w:szCs w:val="20"/>
              </w:rPr>
              <w:t xml:space="preserve"> </w:t>
            </w:r>
            <w:r w:rsidRPr="001A423D">
              <w:rPr>
                <w:rFonts w:ascii="Times New Roman" w:hAnsi="Times New Roman"/>
                <w:i/>
                <w:spacing w:val="-1"/>
                <w:sz w:val="20"/>
                <w:szCs w:val="20"/>
              </w:rPr>
              <w:t>shall</w:t>
            </w:r>
            <w:r w:rsidRPr="001A423D">
              <w:rPr>
                <w:rFonts w:ascii="Times New Roman" w:hAnsi="Times New Roman"/>
                <w:i/>
                <w:sz w:val="20"/>
                <w:szCs w:val="20"/>
              </w:rPr>
              <w:t xml:space="preserve"> </w:t>
            </w:r>
            <w:r w:rsidRPr="001A423D">
              <w:rPr>
                <w:rFonts w:ascii="Times New Roman" w:hAnsi="Times New Roman"/>
                <w:i/>
                <w:spacing w:val="-1"/>
                <w:sz w:val="20"/>
                <w:szCs w:val="20"/>
              </w:rPr>
              <w:t>be</w:t>
            </w:r>
            <w:r w:rsidRPr="001A423D">
              <w:rPr>
                <w:rFonts w:ascii="Times New Roman" w:hAnsi="Times New Roman"/>
                <w:i/>
                <w:spacing w:val="3"/>
                <w:sz w:val="20"/>
                <w:szCs w:val="20"/>
              </w:rPr>
              <w:t xml:space="preserve"> </w:t>
            </w:r>
            <w:r w:rsidRPr="001A423D">
              <w:rPr>
                <w:rFonts w:ascii="Times New Roman" w:hAnsi="Times New Roman"/>
                <w:i/>
                <w:spacing w:val="-1"/>
                <w:sz w:val="20"/>
                <w:szCs w:val="20"/>
              </w:rPr>
              <w:t>responsible</w:t>
            </w:r>
            <w:r w:rsidRPr="001A423D">
              <w:rPr>
                <w:rFonts w:ascii="Times New Roman" w:hAnsi="Times New Roman"/>
                <w:i/>
                <w:spacing w:val="1"/>
                <w:sz w:val="20"/>
                <w:szCs w:val="20"/>
              </w:rPr>
              <w:t xml:space="preserve"> </w:t>
            </w:r>
            <w:r w:rsidRPr="001A423D">
              <w:rPr>
                <w:rFonts w:ascii="Times New Roman" w:hAnsi="Times New Roman"/>
                <w:i/>
                <w:spacing w:val="-1"/>
                <w:sz w:val="20"/>
                <w:szCs w:val="20"/>
              </w:rPr>
              <w:t>for</w:t>
            </w:r>
            <w:r w:rsidRPr="001A423D">
              <w:rPr>
                <w:rFonts w:ascii="Times New Roman" w:hAnsi="Times New Roman"/>
                <w:i/>
                <w:sz w:val="20"/>
                <w:szCs w:val="20"/>
              </w:rPr>
              <w:t xml:space="preserve"> </w:t>
            </w:r>
            <w:r w:rsidRPr="001A423D">
              <w:rPr>
                <w:rFonts w:ascii="Times New Roman" w:hAnsi="Times New Roman"/>
                <w:i/>
                <w:spacing w:val="-1"/>
                <w:sz w:val="20"/>
                <w:szCs w:val="20"/>
              </w:rPr>
              <w:t>making</w:t>
            </w:r>
            <w:r w:rsidRPr="001A423D">
              <w:rPr>
                <w:rFonts w:ascii="Times New Roman" w:hAnsi="Times New Roman"/>
                <w:i/>
                <w:sz w:val="20"/>
                <w:szCs w:val="20"/>
              </w:rPr>
              <w:t xml:space="preserve"> </w:t>
            </w:r>
            <w:r w:rsidRPr="001A423D">
              <w:rPr>
                <w:rFonts w:ascii="Times New Roman" w:hAnsi="Times New Roman"/>
                <w:i/>
                <w:spacing w:val="-1"/>
                <w:sz w:val="20"/>
                <w:szCs w:val="20"/>
              </w:rPr>
              <w:t>payments</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to</w:t>
            </w:r>
            <w:r w:rsidRPr="001A423D">
              <w:rPr>
                <w:rFonts w:ascii="Times New Roman" w:hAnsi="Times New Roman"/>
                <w:i/>
                <w:sz w:val="20"/>
                <w:szCs w:val="20"/>
              </w:rPr>
              <w:t xml:space="preserve"> </w:t>
            </w:r>
            <w:r w:rsidRPr="001A423D">
              <w:rPr>
                <w:rFonts w:ascii="Times New Roman" w:hAnsi="Times New Roman"/>
                <w:i/>
                <w:spacing w:val="-1"/>
                <w:sz w:val="20"/>
                <w:szCs w:val="20"/>
              </w:rPr>
              <w:t>the</w:t>
            </w:r>
            <w:r w:rsidRPr="001A423D">
              <w:rPr>
                <w:rFonts w:ascii="Times New Roman" w:hAnsi="Times New Roman"/>
                <w:i/>
                <w:sz w:val="20"/>
                <w:szCs w:val="20"/>
              </w:rPr>
              <w:t xml:space="preserve"> </w:t>
            </w:r>
            <w:r w:rsidRPr="001A423D">
              <w:rPr>
                <w:rFonts w:ascii="Times New Roman" w:hAnsi="Times New Roman"/>
                <w:i/>
                <w:spacing w:val="-1"/>
                <w:sz w:val="20"/>
                <w:szCs w:val="20"/>
              </w:rPr>
              <w:t>third</w:t>
            </w:r>
            <w:r w:rsidRPr="001A423D">
              <w:rPr>
                <w:rFonts w:ascii="Times New Roman" w:hAnsi="Times New Roman"/>
                <w:i/>
                <w:spacing w:val="31"/>
                <w:sz w:val="20"/>
                <w:szCs w:val="20"/>
              </w:rPr>
              <w:t xml:space="preserve"> </w:t>
            </w:r>
            <w:r w:rsidRPr="001A423D">
              <w:rPr>
                <w:rFonts w:ascii="Times New Roman" w:hAnsi="Times New Roman"/>
                <w:i/>
                <w:spacing w:val="-1"/>
                <w:sz w:val="20"/>
                <w:szCs w:val="20"/>
              </w:rPr>
              <w:t>parties</w:t>
            </w:r>
            <w:r w:rsidRPr="001A423D">
              <w:rPr>
                <w:rFonts w:ascii="Times New Roman" w:hAnsi="Times New Roman"/>
                <w:i/>
                <w:spacing w:val="5"/>
                <w:sz w:val="20"/>
                <w:szCs w:val="20"/>
              </w:rPr>
              <w:t xml:space="preserve"> </w:t>
            </w:r>
            <w:r w:rsidRPr="001A423D">
              <w:rPr>
                <w:rFonts w:ascii="Times New Roman" w:hAnsi="Times New Roman"/>
                <w:i/>
                <w:spacing w:val="-1"/>
                <w:sz w:val="20"/>
                <w:szCs w:val="20"/>
              </w:rPr>
              <w:t>such</w:t>
            </w:r>
            <w:r w:rsidRPr="001A423D">
              <w:rPr>
                <w:rFonts w:ascii="Times New Roman" w:hAnsi="Times New Roman"/>
                <w:i/>
                <w:spacing w:val="6"/>
                <w:sz w:val="20"/>
                <w:szCs w:val="20"/>
              </w:rPr>
              <w:t xml:space="preserve"> </w:t>
            </w:r>
            <w:r w:rsidRPr="001A423D">
              <w:rPr>
                <w:rFonts w:ascii="Times New Roman" w:hAnsi="Times New Roman"/>
                <w:i/>
                <w:sz w:val="20"/>
                <w:szCs w:val="20"/>
              </w:rPr>
              <w:t>as</w:t>
            </w:r>
            <w:r w:rsidRPr="001A423D">
              <w:rPr>
                <w:rFonts w:ascii="Times New Roman" w:hAnsi="Times New Roman"/>
                <w:i/>
                <w:spacing w:val="3"/>
                <w:sz w:val="20"/>
                <w:szCs w:val="20"/>
              </w:rPr>
              <w:t xml:space="preserve"> </w:t>
            </w:r>
            <w:r w:rsidRPr="001A423D">
              <w:rPr>
                <w:rFonts w:ascii="Times New Roman" w:hAnsi="Times New Roman"/>
                <w:i/>
                <w:spacing w:val="-1"/>
                <w:sz w:val="20"/>
                <w:szCs w:val="20"/>
              </w:rPr>
              <w:t>remitter</w:t>
            </w:r>
            <w:r w:rsidRPr="001A423D">
              <w:rPr>
                <w:rFonts w:ascii="Times New Roman" w:hAnsi="Times New Roman"/>
                <w:i/>
                <w:spacing w:val="5"/>
                <w:sz w:val="20"/>
                <w:szCs w:val="20"/>
              </w:rPr>
              <w:t xml:space="preserve"> </w:t>
            </w:r>
            <w:r w:rsidRPr="001A423D">
              <w:rPr>
                <w:rFonts w:ascii="Times New Roman" w:hAnsi="Times New Roman"/>
                <w:i/>
                <w:spacing w:val="-1"/>
                <w:sz w:val="20"/>
                <w:szCs w:val="20"/>
              </w:rPr>
              <w:t>bank,</w:t>
            </w:r>
            <w:r w:rsidRPr="001A423D">
              <w:rPr>
                <w:rFonts w:ascii="Times New Roman" w:hAnsi="Times New Roman"/>
                <w:i/>
                <w:spacing w:val="5"/>
                <w:sz w:val="20"/>
                <w:szCs w:val="20"/>
              </w:rPr>
              <w:t xml:space="preserve"> </w:t>
            </w:r>
            <w:r w:rsidRPr="001A423D">
              <w:rPr>
                <w:rFonts w:ascii="Times New Roman" w:hAnsi="Times New Roman"/>
                <w:i/>
                <w:spacing w:val="-1"/>
                <w:sz w:val="20"/>
                <w:szCs w:val="20"/>
              </w:rPr>
              <w:t>NPCI</w:t>
            </w:r>
            <w:r w:rsidRPr="001A423D">
              <w:rPr>
                <w:rFonts w:ascii="Times New Roman" w:hAnsi="Times New Roman"/>
                <w:i/>
                <w:spacing w:val="6"/>
                <w:sz w:val="20"/>
                <w:szCs w:val="20"/>
              </w:rPr>
              <w:t xml:space="preserve"> </w:t>
            </w:r>
            <w:r w:rsidRPr="001A423D">
              <w:rPr>
                <w:rFonts w:ascii="Times New Roman" w:hAnsi="Times New Roman"/>
                <w:i/>
                <w:spacing w:val="-1"/>
                <w:sz w:val="20"/>
                <w:szCs w:val="20"/>
              </w:rPr>
              <w:t>and</w:t>
            </w:r>
            <w:r w:rsidRPr="001A423D">
              <w:rPr>
                <w:rFonts w:ascii="Times New Roman" w:hAnsi="Times New Roman"/>
                <w:i/>
                <w:spacing w:val="6"/>
                <w:sz w:val="20"/>
                <w:szCs w:val="20"/>
              </w:rPr>
              <w:t xml:space="preserve"> </w:t>
            </w:r>
            <w:r w:rsidRPr="001A423D">
              <w:rPr>
                <w:rFonts w:ascii="Times New Roman" w:hAnsi="Times New Roman"/>
                <w:i/>
                <w:spacing w:val="-1"/>
                <w:sz w:val="20"/>
                <w:szCs w:val="20"/>
              </w:rPr>
              <w:t>such</w:t>
            </w:r>
            <w:r w:rsidRPr="001A423D">
              <w:rPr>
                <w:rFonts w:ascii="Times New Roman" w:hAnsi="Times New Roman"/>
                <w:i/>
                <w:spacing w:val="5"/>
                <w:sz w:val="20"/>
                <w:szCs w:val="20"/>
              </w:rPr>
              <w:t xml:space="preserve"> </w:t>
            </w:r>
            <w:r w:rsidRPr="001A423D">
              <w:rPr>
                <w:rFonts w:ascii="Times New Roman" w:hAnsi="Times New Roman"/>
                <w:i/>
                <w:spacing w:val="-1"/>
                <w:sz w:val="20"/>
                <w:szCs w:val="20"/>
              </w:rPr>
              <w:t>other</w:t>
            </w:r>
            <w:r w:rsidRPr="001A423D">
              <w:rPr>
                <w:rFonts w:ascii="Times New Roman" w:hAnsi="Times New Roman"/>
                <w:i/>
                <w:spacing w:val="1"/>
                <w:sz w:val="20"/>
                <w:szCs w:val="20"/>
              </w:rPr>
              <w:t xml:space="preserve"> </w:t>
            </w:r>
            <w:r w:rsidRPr="001A423D">
              <w:rPr>
                <w:rFonts w:ascii="Times New Roman" w:hAnsi="Times New Roman"/>
                <w:i/>
                <w:spacing w:val="-1"/>
                <w:sz w:val="20"/>
                <w:szCs w:val="20"/>
              </w:rPr>
              <w:t>parties</w:t>
            </w:r>
            <w:r w:rsidRPr="001A423D">
              <w:rPr>
                <w:rFonts w:ascii="Times New Roman" w:hAnsi="Times New Roman"/>
                <w:i/>
                <w:spacing w:val="5"/>
                <w:sz w:val="20"/>
                <w:szCs w:val="20"/>
              </w:rPr>
              <w:t xml:space="preserve"> </w:t>
            </w:r>
            <w:r w:rsidRPr="001A423D">
              <w:rPr>
                <w:rFonts w:ascii="Times New Roman" w:hAnsi="Times New Roman"/>
                <w:i/>
                <w:sz w:val="20"/>
                <w:szCs w:val="20"/>
              </w:rPr>
              <w:t>as</w:t>
            </w:r>
            <w:r w:rsidRPr="001A423D">
              <w:rPr>
                <w:rFonts w:ascii="Times New Roman" w:hAnsi="Times New Roman"/>
                <w:i/>
                <w:spacing w:val="3"/>
                <w:sz w:val="20"/>
                <w:szCs w:val="20"/>
              </w:rPr>
              <w:t xml:space="preserve"> </w:t>
            </w:r>
            <w:r w:rsidRPr="001A423D">
              <w:rPr>
                <w:rFonts w:ascii="Times New Roman" w:hAnsi="Times New Roman"/>
                <w:i/>
                <w:spacing w:val="-1"/>
                <w:sz w:val="20"/>
                <w:szCs w:val="20"/>
              </w:rPr>
              <w:t>required</w:t>
            </w:r>
            <w:r w:rsidRPr="001A423D">
              <w:rPr>
                <w:rFonts w:ascii="Times New Roman" w:hAnsi="Times New Roman"/>
                <w:i/>
                <w:spacing w:val="35"/>
                <w:sz w:val="20"/>
                <w:szCs w:val="20"/>
              </w:rPr>
              <w:t xml:space="preserve"> </w:t>
            </w:r>
            <w:r w:rsidRPr="001A423D">
              <w:rPr>
                <w:rFonts w:ascii="Times New Roman" w:hAnsi="Times New Roman"/>
                <w:i/>
                <w:spacing w:val="-1"/>
                <w:sz w:val="20"/>
                <w:szCs w:val="20"/>
              </w:rPr>
              <w:t>in</w:t>
            </w:r>
            <w:r w:rsidRPr="001A423D">
              <w:rPr>
                <w:rFonts w:ascii="Times New Roman" w:hAnsi="Times New Roman"/>
                <w:i/>
                <w:spacing w:val="-12"/>
                <w:sz w:val="20"/>
                <w:szCs w:val="20"/>
              </w:rPr>
              <w:t xml:space="preserve"> </w:t>
            </w:r>
            <w:r w:rsidRPr="001A423D">
              <w:rPr>
                <w:rFonts w:ascii="Times New Roman" w:hAnsi="Times New Roman"/>
                <w:i/>
                <w:spacing w:val="-1"/>
                <w:sz w:val="20"/>
                <w:szCs w:val="20"/>
              </w:rPr>
              <w:t>connection</w:t>
            </w:r>
            <w:r w:rsidRPr="001A423D">
              <w:rPr>
                <w:rFonts w:ascii="Times New Roman" w:hAnsi="Times New Roman"/>
                <w:i/>
                <w:spacing w:val="-14"/>
                <w:sz w:val="20"/>
                <w:szCs w:val="20"/>
              </w:rPr>
              <w:t xml:space="preserve"> </w:t>
            </w:r>
            <w:r w:rsidRPr="001A423D">
              <w:rPr>
                <w:rFonts w:ascii="Times New Roman" w:hAnsi="Times New Roman"/>
                <w:i/>
                <w:spacing w:val="-1"/>
                <w:sz w:val="20"/>
                <w:szCs w:val="20"/>
              </w:rPr>
              <w:t>with</w:t>
            </w:r>
            <w:r w:rsidRPr="001A423D">
              <w:rPr>
                <w:rFonts w:ascii="Times New Roman" w:hAnsi="Times New Roman"/>
                <w:i/>
                <w:spacing w:val="-11"/>
                <w:sz w:val="20"/>
                <w:szCs w:val="20"/>
              </w:rPr>
              <w:t xml:space="preserve"> </w:t>
            </w:r>
            <w:r w:rsidRPr="001A423D">
              <w:rPr>
                <w:rFonts w:ascii="Times New Roman" w:hAnsi="Times New Roman"/>
                <w:i/>
                <w:spacing w:val="-1"/>
                <w:sz w:val="20"/>
                <w:szCs w:val="20"/>
              </w:rPr>
              <w:t>the</w:t>
            </w:r>
            <w:r w:rsidRPr="001A423D">
              <w:rPr>
                <w:rFonts w:ascii="Times New Roman" w:hAnsi="Times New Roman"/>
                <w:i/>
                <w:spacing w:val="-11"/>
                <w:sz w:val="20"/>
                <w:szCs w:val="20"/>
              </w:rPr>
              <w:t xml:space="preserve"> </w:t>
            </w:r>
            <w:r w:rsidRPr="001A423D">
              <w:rPr>
                <w:rFonts w:ascii="Times New Roman" w:hAnsi="Times New Roman"/>
                <w:i/>
                <w:spacing w:val="-1"/>
                <w:sz w:val="20"/>
                <w:szCs w:val="20"/>
              </w:rPr>
              <w:t>performance</w:t>
            </w:r>
            <w:r w:rsidRPr="001A423D">
              <w:rPr>
                <w:rFonts w:ascii="Times New Roman" w:hAnsi="Times New Roman"/>
                <w:i/>
                <w:spacing w:val="-9"/>
                <w:sz w:val="20"/>
                <w:szCs w:val="20"/>
              </w:rPr>
              <w:t xml:space="preserve"> </w:t>
            </w:r>
            <w:r w:rsidRPr="001A423D">
              <w:rPr>
                <w:rFonts w:ascii="Times New Roman" w:hAnsi="Times New Roman"/>
                <w:i/>
                <w:spacing w:val="-3"/>
                <w:sz w:val="20"/>
                <w:szCs w:val="20"/>
              </w:rPr>
              <w:t>of</w:t>
            </w:r>
            <w:r w:rsidRPr="001A423D">
              <w:rPr>
                <w:rFonts w:ascii="Times New Roman" w:hAnsi="Times New Roman"/>
                <w:i/>
                <w:spacing w:val="-10"/>
                <w:sz w:val="20"/>
                <w:szCs w:val="20"/>
              </w:rPr>
              <w:t xml:space="preserve"> </w:t>
            </w:r>
            <w:r w:rsidRPr="001A423D">
              <w:rPr>
                <w:rFonts w:ascii="Times New Roman" w:hAnsi="Times New Roman"/>
                <w:i/>
                <w:sz w:val="20"/>
                <w:szCs w:val="20"/>
              </w:rPr>
              <w:t>its</w:t>
            </w:r>
            <w:r w:rsidRPr="001A423D">
              <w:rPr>
                <w:rFonts w:ascii="Times New Roman" w:hAnsi="Times New Roman"/>
                <w:i/>
                <w:spacing w:val="-10"/>
                <w:sz w:val="20"/>
                <w:szCs w:val="20"/>
              </w:rPr>
              <w:t xml:space="preserve"> </w:t>
            </w:r>
            <w:r w:rsidRPr="001A423D">
              <w:rPr>
                <w:rFonts w:ascii="Times New Roman" w:hAnsi="Times New Roman"/>
                <w:i/>
                <w:spacing w:val="-1"/>
                <w:sz w:val="20"/>
                <w:szCs w:val="20"/>
              </w:rPr>
              <w:t>duties</w:t>
            </w:r>
            <w:r w:rsidRPr="001A423D">
              <w:rPr>
                <w:rFonts w:ascii="Times New Roman" w:hAnsi="Times New Roman"/>
                <w:i/>
                <w:spacing w:val="-14"/>
                <w:sz w:val="20"/>
                <w:szCs w:val="20"/>
              </w:rPr>
              <w:t xml:space="preserve"> </w:t>
            </w:r>
            <w:r w:rsidRPr="001A423D">
              <w:rPr>
                <w:rFonts w:ascii="Times New Roman" w:hAnsi="Times New Roman"/>
                <w:i/>
                <w:spacing w:val="-1"/>
                <w:sz w:val="20"/>
                <w:szCs w:val="20"/>
              </w:rPr>
              <w:t>under</w:t>
            </w:r>
            <w:r w:rsidRPr="001A423D">
              <w:rPr>
                <w:rFonts w:ascii="Times New Roman" w:hAnsi="Times New Roman"/>
                <w:i/>
                <w:spacing w:val="-11"/>
                <w:sz w:val="20"/>
                <w:szCs w:val="20"/>
              </w:rPr>
              <w:t xml:space="preserve"> </w:t>
            </w:r>
            <w:r w:rsidRPr="001A423D">
              <w:rPr>
                <w:rFonts w:ascii="Times New Roman" w:hAnsi="Times New Roman"/>
                <w:i/>
                <w:spacing w:val="-2"/>
                <w:sz w:val="20"/>
                <w:szCs w:val="20"/>
              </w:rPr>
              <w:t>the</w:t>
            </w:r>
            <w:r w:rsidRPr="001A423D">
              <w:rPr>
                <w:rFonts w:ascii="Times New Roman" w:hAnsi="Times New Roman"/>
                <w:i/>
                <w:spacing w:val="-8"/>
                <w:sz w:val="20"/>
                <w:szCs w:val="20"/>
              </w:rPr>
              <w:t xml:space="preserve"> </w:t>
            </w:r>
            <w:r w:rsidRPr="001A423D">
              <w:rPr>
                <w:rFonts w:ascii="Times New Roman" w:hAnsi="Times New Roman"/>
                <w:i/>
                <w:spacing w:val="-1"/>
                <w:sz w:val="20"/>
                <w:szCs w:val="20"/>
              </w:rPr>
              <w:t>SEBI</w:t>
            </w:r>
            <w:r w:rsidRPr="001A423D">
              <w:rPr>
                <w:rFonts w:ascii="Times New Roman" w:hAnsi="Times New Roman"/>
                <w:i/>
                <w:spacing w:val="-11"/>
                <w:sz w:val="20"/>
                <w:szCs w:val="20"/>
              </w:rPr>
              <w:t xml:space="preserve"> </w:t>
            </w:r>
            <w:r w:rsidRPr="001A423D">
              <w:rPr>
                <w:rFonts w:ascii="Times New Roman" w:hAnsi="Times New Roman"/>
                <w:i/>
                <w:spacing w:val="-1"/>
                <w:sz w:val="20"/>
                <w:szCs w:val="20"/>
              </w:rPr>
              <w:t>circulars,</w:t>
            </w:r>
            <w:r w:rsidRPr="001A423D">
              <w:rPr>
                <w:rFonts w:ascii="Times New Roman" w:hAnsi="Times New Roman"/>
                <w:i/>
                <w:spacing w:val="31"/>
                <w:sz w:val="20"/>
                <w:szCs w:val="20"/>
              </w:rPr>
              <w:t xml:space="preserve"> </w:t>
            </w:r>
            <w:r w:rsidRPr="001A423D">
              <w:rPr>
                <w:rFonts w:ascii="Times New Roman" w:hAnsi="Times New Roman"/>
                <w:i/>
                <w:spacing w:val="-1"/>
                <w:sz w:val="20"/>
                <w:szCs w:val="20"/>
              </w:rPr>
              <w:t>other agreements</w:t>
            </w:r>
            <w:r w:rsidRPr="001A423D">
              <w:rPr>
                <w:rFonts w:ascii="Times New Roman" w:hAnsi="Times New Roman"/>
                <w:i/>
                <w:spacing w:val="-4"/>
                <w:sz w:val="20"/>
                <w:szCs w:val="20"/>
              </w:rPr>
              <w:t xml:space="preserve"> and </w:t>
            </w:r>
            <w:r w:rsidRPr="001A423D">
              <w:rPr>
                <w:rFonts w:ascii="Times New Roman" w:hAnsi="Times New Roman"/>
                <w:i/>
                <w:spacing w:val="-1"/>
                <w:sz w:val="20"/>
                <w:szCs w:val="20"/>
              </w:rPr>
              <w:t>other</w:t>
            </w:r>
            <w:r w:rsidRPr="001A423D">
              <w:rPr>
                <w:rFonts w:ascii="Times New Roman" w:hAnsi="Times New Roman"/>
                <w:i/>
                <w:spacing w:val="1"/>
                <w:sz w:val="20"/>
                <w:szCs w:val="20"/>
              </w:rPr>
              <w:t xml:space="preserve"> </w:t>
            </w:r>
            <w:r w:rsidRPr="001A423D">
              <w:rPr>
                <w:rFonts w:ascii="Times New Roman" w:hAnsi="Times New Roman"/>
                <w:i/>
                <w:spacing w:val="-1"/>
                <w:sz w:val="20"/>
                <w:szCs w:val="20"/>
              </w:rPr>
              <w:t>applicable laws.</w:t>
            </w:r>
          </w:p>
        </w:tc>
      </w:tr>
    </w:tbl>
    <w:p w14:paraId="5D003712" w14:textId="77777777" w:rsidR="00CB2D76" w:rsidRPr="001A423D" w:rsidRDefault="00CB2D76" w:rsidP="00CB2D76">
      <w:pPr>
        <w:tabs>
          <w:tab w:val="left" w:pos="492"/>
        </w:tabs>
        <w:spacing w:after="0" w:line="240" w:lineRule="auto"/>
        <w:ind w:left="426"/>
        <w:jc w:val="both"/>
        <w:rPr>
          <w:rFonts w:ascii="Times New Roman" w:hAnsi="Times New Roman"/>
          <w:i/>
          <w:spacing w:val="-1"/>
          <w:sz w:val="20"/>
          <w:szCs w:val="20"/>
        </w:rPr>
      </w:pPr>
      <w:r w:rsidRPr="001A423D">
        <w:rPr>
          <w:rFonts w:ascii="Times New Roman" w:hAnsi="Times New Roman"/>
          <w:i/>
          <w:spacing w:val="-1"/>
          <w:sz w:val="20"/>
          <w:szCs w:val="20"/>
        </w:rPr>
        <w:t>*For</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each</w:t>
      </w:r>
      <w:r w:rsidRPr="001A423D">
        <w:rPr>
          <w:rFonts w:ascii="Times New Roman" w:hAnsi="Times New Roman"/>
          <w:i/>
          <w:sz w:val="20"/>
          <w:szCs w:val="20"/>
        </w:rPr>
        <w:t xml:space="preserve"> </w:t>
      </w:r>
      <w:r w:rsidRPr="001A423D">
        <w:rPr>
          <w:rFonts w:ascii="Times New Roman" w:hAnsi="Times New Roman"/>
          <w:i/>
          <w:spacing w:val="-1"/>
          <w:sz w:val="20"/>
          <w:szCs w:val="20"/>
        </w:rPr>
        <w:t>valid</w:t>
      </w:r>
      <w:r w:rsidRPr="001A423D">
        <w:rPr>
          <w:rFonts w:ascii="Times New Roman" w:hAnsi="Times New Roman"/>
          <w:i/>
          <w:sz w:val="20"/>
          <w:szCs w:val="20"/>
        </w:rPr>
        <w:t xml:space="preserve"> </w:t>
      </w:r>
      <w:r w:rsidRPr="001A423D">
        <w:rPr>
          <w:rFonts w:ascii="Times New Roman" w:hAnsi="Times New Roman"/>
          <w:i/>
          <w:spacing w:val="-1"/>
          <w:sz w:val="20"/>
          <w:szCs w:val="20"/>
        </w:rPr>
        <w:t>application</w:t>
      </w:r>
      <w:r w:rsidRPr="001A423D">
        <w:rPr>
          <w:rFonts w:ascii="Times New Roman" w:hAnsi="Times New Roman"/>
          <w:i/>
          <w:spacing w:val="-2"/>
          <w:sz w:val="20"/>
          <w:szCs w:val="20"/>
        </w:rPr>
        <w:t xml:space="preserve"> </w:t>
      </w:r>
      <w:r w:rsidRPr="001A423D">
        <w:rPr>
          <w:rFonts w:ascii="Times New Roman" w:hAnsi="Times New Roman"/>
          <w:i/>
          <w:sz w:val="20"/>
          <w:szCs w:val="20"/>
        </w:rPr>
        <w:t>by</w:t>
      </w:r>
      <w:r w:rsidRPr="001A423D">
        <w:rPr>
          <w:rFonts w:ascii="Times New Roman" w:hAnsi="Times New Roman"/>
          <w:i/>
          <w:spacing w:val="-1"/>
          <w:sz w:val="20"/>
          <w:szCs w:val="20"/>
        </w:rPr>
        <w:t xml:space="preserve"> </w:t>
      </w:r>
      <w:r w:rsidRPr="001A423D">
        <w:rPr>
          <w:rFonts w:ascii="Times New Roman" w:hAnsi="Times New Roman"/>
          <w:i/>
          <w:spacing w:val="-2"/>
          <w:sz w:val="20"/>
          <w:szCs w:val="20"/>
        </w:rPr>
        <w:t>respective</w:t>
      </w:r>
      <w:r w:rsidRPr="001A423D">
        <w:rPr>
          <w:rFonts w:ascii="Times New Roman" w:hAnsi="Times New Roman"/>
          <w:i/>
          <w:spacing w:val="-1"/>
          <w:sz w:val="20"/>
          <w:szCs w:val="20"/>
        </w:rPr>
        <w:t xml:space="preserve"> Sponsor</w:t>
      </w:r>
      <w:r w:rsidRPr="001A423D">
        <w:rPr>
          <w:rFonts w:ascii="Times New Roman" w:hAnsi="Times New Roman"/>
          <w:i/>
          <w:sz w:val="20"/>
          <w:szCs w:val="20"/>
        </w:rPr>
        <w:t xml:space="preserve"> </w:t>
      </w:r>
      <w:r w:rsidRPr="001A423D">
        <w:rPr>
          <w:rFonts w:ascii="Times New Roman" w:hAnsi="Times New Roman"/>
          <w:i/>
          <w:spacing w:val="-1"/>
          <w:sz w:val="20"/>
          <w:szCs w:val="20"/>
        </w:rPr>
        <w:t>Bank</w:t>
      </w:r>
    </w:p>
    <w:p w14:paraId="6C4D9DC7" w14:textId="77777777" w:rsidR="00CB2D76" w:rsidRPr="001A423D" w:rsidRDefault="00CB2D76" w:rsidP="00CB2D76">
      <w:pPr>
        <w:tabs>
          <w:tab w:val="left" w:pos="492"/>
        </w:tabs>
        <w:spacing w:after="0" w:line="240" w:lineRule="auto"/>
        <w:jc w:val="both"/>
        <w:rPr>
          <w:rFonts w:ascii="Times New Roman" w:hAnsi="Times New Roman"/>
          <w:i/>
          <w:spacing w:val="-1"/>
          <w:sz w:val="20"/>
          <w:szCs w:val="20"/>
        </w:rPr>
      </w:pPr>
      <w:r w:rsidRPr="001A423D">
        <w:rPr>
          <w:rFonts w:ascii="Times New Roman" w:hAnsi="Times New Roman"/>
          <w:i/>
          <w:spacing w:val="-1"/>
          <w:sz w:val="20"/>
          <w:szCs w:val="20"/>
        </w:rPr>
        <w:t>Notwithstanding</w:t>
      </w:r>
      <w:r w:rsidRPr="001A423D">
        <w:rPr>
          <w:rFonts w:ascii="Times New Roman" w:hAnsi="Times New Roman"/>
          <w:i/>
          <w:spacing w:val="-4"/>
          <w:sz w:val="20"/>
          <w:szCs w:val="20"/>
        </w:rPr>
        <w:t xml:space="preserve"> </w:t>
      </w:r>
      <w:r w:rsidRPr="001A423D">
        <w:rPr>
          <w:rFonts w:ascii="Times New Roman" w:hAnsi="Times New Roman"/>
          <w:i/>
          <w:spacing w:val="-1"/>
          <w:sz w:val="20"/>
          <w:szCs w:val="20"/>
        </w:rPr>
        <w:t>anything</w:t>
      </w:r>
      <w:r w:rsidRPr="001A423D">
        <w:rPr>
          <w:rFonts w:ascii="Times New Roman" w:hAnsi="Times New Roman"/>
          <w:i/>
          <w:sz w:val="20"/>
          <w:szCs w:val="20"/>
        </w:rPr>
        <w:t xml:space="preserve"> </w:t>
      </w:r>
      <w:r w:rsidRPr="001A423D">
        <w:rPr>
          <w:rFonts w:ascii="Times New Roman" w:hAnsi="Times New Roman"/>
          <w:i/>
          <w:spacing w:val="-1"/>
          <w:sz w:val="20"/>
          <w:szCs w:val="20"/>
        </w:rPr>
        <w:t>contained</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above in</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this</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clause</w:t>
      </w:r>
      <w:r w:rsidRPr="001A423D">
        <w:rPr>
          <w:rFonts w:ascii="Times New Roman" w:hAnsi="Times New Roman"/>
          <w:i/>
          <w:spacing w:val="36"/>
          <w:sz w:val="20"/>
          <w:szCs w:val="20"/>
        </w:rPr>
        <w:t xml:space="preserve"> </w:t>
      </w:r>
      <w:r w:rsidRPr="001A423D">
        <w:rPr>
          <w:rFonts w:ascii="Times New Roman" w:hAnsi="Times New Roman"/>
          <w:i/>
          <w:sz w:val="20"/>
          <w:szCs w:val="20"/>
        </w:rPr>
        <w:t>the</w:t>
      </w:r>
      <w:r w:rsidRPr="001A423D">
        <w:rPr>
          <w:rFonts w:ascii="Times New Roman" w:hAnsi="Times New Roman"/>
          <w:i/>
          <w:spacing w:val="-4"/>
          <w:sz w:val="20"/>
          <w:szCs w:val="20"/>
        </w:rPr>
        <w:t xml:space="preserve"> </w:t>
      </w:r>
      <w:r w:rsidRPr="001A423D">
        <w:rPr>
          <w:rFonts w:ascii="Times New Roman" w:hAnsi="Times New Roman"/>
          <w:i/>
          <w:spacing w:val="-1"/>
          <w:sz w:val="20"/>
          <w:szCs w:val="20"/>
        </w:rPr>
        <w:t>total</w:t>
      </w:r>
      <w:r w:rsidRPr="001A423D">
        <w:rPr>
          <w:rFonts w:ascii="Times New Roman" w:hAnsi="Times New Roman"/>
          <w:i/>
          <w:spacing w:val="-5"/>
          <w:sz w:val="20"/>
          <w:szCs w:val="20"/>
        </w:rPr>
        <w:t xml:space="preserve"> </w:t>
      </w:r>
      <w:r w:rsidRPr="001A423D">
        <w:rPr>
          <w:rFonts w:ascii="Times New Roman" w:hAnsi="Times New Roman"/>
          <w:i/>
          <w:spacing w:val="-1"/>
          <w:sz w:val="20"/>
          <w:szCs w:val="20"/>
        </w:rPr>
        <w:t>Uploading</w:t>
      </w:r>
      <w:r w:rsidRPr="001A423D">
        <w:rPr>
          <w:rFonts w:ascii="Times New Roman" w:hAnsi="Times New Roman"/>
          <w:i/>
          <w:sz w:val="20"/>
          <w:szCs w:val="20"/>
        </w:rPr>
        <w:t xml:space="preserve"> </w:t>
      </w:r>
      <w:r w:rsidRPr="001A423D">
        <w:rPr>
          <w:rFonts w:ascii="Times New Roman" w:hAnsi="Times New Roman"/>
          <w:i/>
          <w:spacing w:val="-1"/>
          <w:sz w:val="20"/>
          <w:szCs w:val="20"/>
        </w:rPr>
        <w:t>charges/</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Processing</w:t>
      </w:r>
      <w:r w:rsidRPr="001A423D">
        <w:rPr>
          <w:rFonts w:ascii="Times New Roman" w:hAnsi="Times New Roman"/>
          <w:i/>
          <w:spacing w:val="-4"/>
          <w:sz w:val="20"/>
          <w:szCs w:val="20"/>
        </w:rPr>
        <w:t xml:space="preserve"> </w:t>
      </w:r>
      <w:r w:rsidRPr="001A423D">
        <w:rPr>
          <w:rFonts w:ascii="Times New Roman" w:hAnsi="Times New Roman"/>
          <w:i/>
          <w:spacing w:val="-1"/>
          <w:sz w:val="20"/>
          <w:szCs w:val="20"/>
        </w:rPr>
        <w:t>fees</w:t>
      </w:r>
      <w:r w:rsidRPr="001A423D">
        <w:rPr>
          <w:rFonts w:ascii="Times New Roman" w:hAnsi="Times New Roman"/>
          <w:i/>
          <w:spacing w:val="-4"/>
          <w:sz w:val="20"/>
          <w:szCs w:val="20"/>
        </w:rPr>
        <w:t xml:space="preserve"> payable to Members of the Syndicate/ RTAs/ CDPs </w:t>
      </w:r>
      <w:r w:rsidRPr="001A423D">
        <w:rPr>
          <w:rFonts w:ascii="Times New Roman" w:hAnsi="Times New Roman"/>
          <w:i/>
          <w:spacing w:val="-1"/>
          <w:sz w:val="20"/>
          <w:szCs w:val="20"/>
        </w:rPr>
        <w:t>for</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applications</w:t>
      </w:r>
      <w:r w:rsidRPr="001A423D">
        <w:rPr>
          <w:rFonts w:ascii="Times New Roman" w:hAnsi="Times New Roman"/>
          <w:i/>
          <w:sz w:val="20"/>
          <w:szCs w:val="20"/>
        </w:rPr>
        <w:t xml:space="preserve"> </w:t>
      </w:r>
      <w:r w:rsidRPr="001A423D">
        <w:rPr>
          <w:rFonts w:ascii="Times New Roman" w:hAnsi="Times New Roman"/>
          <w:i/>
          <w:spacing w:val="-1"/>
          <w:sz w:val="20"/>
          <w:szCs w:val="20"/>
        </w:rPr>
        <w:t xml:space="preserve">made by RIBs (up to ₹200,000), Non-Institutional Bidders (for an amount more than ₹200,000 and up to ₹500,000) using the UPI Mechanism </w:t>
      </w:r>
      <w:r w:rsidRPr="001A423D">
        <w:rPr>
          <w:rFonts w:ascii="Times New Roman" w:hAnsi="Times New Roman"/>
          <w:i/>
          <w:sz w:val="20"/>
          <w:szCs w:val="20"/>
        </w:rPr>
        <w:t>and</w:t>
      </w:r>
      <w:r w:rsidRPr="001A423D">
        <w:rPr>
          <w:rFonts w:ascii="Times New Roman" w:hAnsi="Times New Roman"/>
          <w:i/>
          <w:spacing w:val="47"/>
          <w:sz w:val="20"/>
          <w:szCs w:val="20"/>
        </w:rPr>
        <w:t xml:space="preserve"> </w:t>
      </w:r>
      <w:r w:rsidRPr="001A423D">
        <w:rPr>
          <w:rFonts w:ascii="Times New Roman" w:hAnsi="Times New Roman"/>
          <w:i/>
          <w:spacing w:val="-1"/>
          <w:sz w:val="20"/>
          <w:szCs w:val="20"/>
        </w:rPr>
        <w:t>in</w:t>
      </w:r>
      <w:r w:rsidRPr="001A423D">
        <w:rPr>
          <w:rFonts w:ascii="Times New Roman" w:hAnsi="Times New Roman"/>
          <w:i/>
          <w:sz w:val="20"/>
          <w:szCs w:val="20"/>
        </w:rPr>
        <w:t xml:space="preserve"> </w:t>
      </w:r>
      <w:r w:rsidRPr="001A423D">
        <w:rPr>
          <w:rFonts w:ascii="Times New Roman" w:hAnsi="Times New Roman"/>
          <w:i/>
          <w:spacing w:val="-1"/>
          <w:sz w:val="20"/>
          <w:szCs w:val="20"/>
        </w:rPr>
        <w:t>case</w:t>
      </w:r>
      <w:r w:rsidRPr="001A423D">
        <w:rPr>
          <w:rFonts w:ascii="Times New Roman" w:hAnsi="Times New Roman"/>
          <w:i/>
          <w:sz w:val="20"/>
          <w:szCs w:val="20"/>
        </w:rPr>
        <w:t xml:space="preserve"> </w:t>
      </w:r>
      <w:r w:rsidRPr="001A423D">
        <w:rPr>
          <w:rFonts w:ascii="Times New Roman" w:hAnsi="Times New Roman"/>
          <w:i/>
          <w:spacing w:val="-1"/>
          <w:sz w:val="20"/>
          <w:szCs w:val="20"/>
        </w:rPr>
        <w:t>if</w:t>
      </w:r>
      <w:r w:rsidRPr="001A423D">
        <w:rPr>
          <w:rFonts w:ascii="Times New Roman" w:hAnsi="Times New Roman"/>
          <w:i/>
          <w:spacing w:val="-2"/>
          <w:sz w:val="20"/>
          <w:szCs w:val="20"/>
        </w:rPr>
        <w:t xml:space="preserve"> </w:t>
      </w:r>
      <w:r w:rsidRPr="001A423D">
        <w:rPr>
          <w:rFonts w:ascii="Times New Roman" w:hAnsi="Times New Roman"/>
          <w:i/>
          <w:sz w:val="20"/>
          <w:szCs w:val="20"/>
        </w:rPr>
        <w:t xml:space="preserve">the </w:t>
      </w:r>
      <w:r w:rsidRPr="001A423D">
        <w:rPr>
          <w:rFonts w:ascii="Times New Roman" w:hAnsi="Times New Roman"/>
          <w:i/>
          <w:spacing w:val="-1"/>
          <w:sz w:val="20"/>
          <w:szCs w:val="20"/>
        </w:rPr>
        <w:t>total</w:t>
      </w:r>
      <w:r w:rsidRPr="001A423D">
        <w:rPr>
          <w:rFonts w:ascii="Times New Roman" w:hAnsi="Times New Roman"/>
          <w:i/>
          <w:spacing w:val="1"/>
          <w:sz w:val="20"/>
          <w:szCs w:val="20"/>
        </w:rPr>
        <w:t xml:space="preserve"> </w:t>
      </w:r>
      <w:r w:rsidRPr="001A423D">
        <w:rPr>
          <w:rFonts w:ascii="Times New Roman" w:hAnsi="Times New Roman"/>
          <w:i/>
          <w:spacing w:val="-1"/>
          <w:sz w:val="20"/>
          <w:szCs w:val="20"/>
        </w:rPr>
        <w:t>uploading</w:t>
      </w:r>
      <w:r w:rsidRPr="001A423D">
        <w:rPr>
          <w:rFonts w:ascii="Times New Roman" w:hAnsi="Times New Roman"/>
          <w:i/>
          <w:sz w:val="20"/>
          <w:szCs w:val="20"/>
        </w:rPr>
        <w:t xml:space="preserve"> </w:t>
      </w:r>
      <w:r w:rsidRPr="001A423D">
        <w:rPr>
          <w:rFonts w:ascii="Times New Roman" w:hAnsi="Times New Roman"/>
          <w:i/>
          <w:spacing w:val="-1"/>
          <w:sz w:val="20"/>
          <w:szCs w:val="20"/>
        </w:rPr>
        <w:t>charges/</w:t>
      </w:r>
      <w:r w:rsidRPr="001A423D">
        <w:rPr>
          <w:rFonts w:ascii="Times New Roman" w:hAnsi="Times New Roman"/>
          <w:i/>
          <w:sz w:val="20"/>
          <w:szCs w:val="20"/>
        </w:rPr>
        <w:t xml:space="preserve"> </w:t>
      </w:r>
      <w:r w:rsidRPr="001A423D">
        <w:rPr>
          <w:rFonts w:ascii="Times New Roman" w:hAnsi="Times New Roman"/>
          <w:i/>
          <w:spacing w:val="-1"/>
          <w:sz w:val="20"/>
          <w:szCs w:val="20"/>
        </w:rPr>
        <w:t>processing</w:t>
      </w:r>
      <w:r w:rsidRPr="001A423D">
        <w:rPr>
          <w:rFonts w:ascii="Times New Roman" w:hAnsi="Times New Roman"/>
          <w:i/>
          <w:sz w:val="20"/>
          <w:szCs w:val="20"/>
        </w:rPr>
        <w:t xml:space="preserve"> </w:t>
      </w:r>
      <w:r w:rsidRPr="001A423D">
        <w:rPr>
          <w:rFonts w:ascii="Times New Roman" w:hAnsi="Times New Roman"/>
          <w:i/>
          <w:spacing w:val="-2"/>
          <w:sz w:val="20"/>
          <w:szCs w:val="20"/>
        </w:rPr>
        <w:t>fees</w:t>
      </w:r>
      <w:r w:rsidRPr="001A423D">
        <w:rPr>
          <w:rFonts w:ascii="Times New Roman" w:hAnsi="Times New Roman"/>
          <w:i/>
          <w:sz w:val="20"/>
          <w:szCs w:val="20"/>
        </w:rPr>
        <w:t xml:space="preserve"> </w:t>
      </w:r>
      <w:r w:rsidRPr="001A423D">
        <w:rPr>
          <w:rFonts w:ascii="Times New Roman" w:hAnsi="Times New Roman"/>
          <w:i/>
          <w:spacing w:val="-1"/>
          <w:sz w:val="20"/>
          <w:szCs w:val="20"/>
        </w:rPr>
        <w:t>exceeds</w:t>
      </w:r>
      <w:r w:rsidRPr="001A423D">
        <w:rPr>
          <w:rFonts w:ascii="Times New Roman" w:hAnsi="Times New Roman"/>
          <w:i/>
          <w:spacing w:val="-2"/>
          <w:sz w:val="20"/>
          <w:szCs w:val="20"/>
        </w:rPr>
        <w:t xml:space="preserve"> </w:t>
      </w:r>
      <w:r w:rsidRPr="001A423D">
        <w:rPr>
          <w:rFonts w:ascii="Times New Roman" w:hAnsi="Times New Roman"/>
          <w:i/>
          <w:sz w:val="20"/>
          <w:szCs w:val="20"/>
        </w:rPr>
        <w:t>₹</w:t>
      </w:r>
      <w:r w:rsidRPr="001A423D">
        <w:rPr>
          <w:rFonts w:ascii="Times New Roman" w:hAnsi="Times New Roman"/>
          <w:i/>
          <w:spacing w:val="1"/>
          <w:sz w:val="20"/>
          <w:szCs w:val="20"/>
        </w:rPr>
        <w:t xml:space="preserve"> 1 lakh</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(plus</w:t>
      </w:r>
      <w:r w:rsidRPr="001A423D">
        <w:rPr>
          <w:rFonts w:ascii="Times New Roman" w:hAnsi="Times New Roman"/>
          <w:i/>
          <w:spacing w:val="1"/>
          <w:sz w:val="20"/>
          <w:szCs w:val="20"/>
        </w:rPr>
        <w:t xml:space="preserve"> </w:t>
      </w:r>
      <w:r w:rsidRPr="001A423D">
        <w:rPr>
          <w:rFonts w:ascii="Times New Roman" w:hAnsi="Times New Roman"/>
          <w:i/>
          <w:spacing w:val="-1"/>
          <w:sz w:val="20"/>
          <w:szCs w:val="20"/>
        </w:rPr>
        <w:t>applicable</w:t>
      </w:r>
      <w:r w:rsidRPr="001A423D">
        <w:rPr>
          <w:rFonts w:ascii="Times New Roman" w:hAnsi="Times New Roman"/>
          <w:i/>
          <w:sz w:val="20"/>
          <w:szCs w:val="20"/>
        </w:rPr>
        <w:t xml:space="preserve"> </w:t>
      </w:r>
      <w:r w:rsidRPr="001A423D">
        <w:rPr>
          <w:rFonts w:ascii="Times New Roman" w:hAnsi="Times New Roman"/>
          <w:i/>
          <w:spacing w:val="-1"/>
          <w:sz w:val="20"/>
          <w:szCs w:val="20"/>
        </w:rPr>
        <w:t>taxes)</w:t>
      </w:r>
      <w:r w:rsidRPr="001A423D">
        <w:rPr>
          <w:rFonts w:ascii="Times New Roman" w:hAnsi="Times New Roman"/>
          <w:i/>
          <w:spacing w:val="6"/>
          <w:sz w:val="20"/>
          <w:szCs w:val="20"/>
        </w:rPr>
        <w:t xml:space="preserve"> </w:t>
      </w:r>
      <w:r w:rsidRPr="001A423D">
        <w:rPr>
          <w:rFonts w:ascii="Times New Roman" w:hAnsi="Times New Roman"/>
          <w:i/>
          <w:spacing w:val="-1"/>
          <w:sz w:val="20"/>
          <w:szCs w:val="20"/>
        </w:rPr>
        <w:t>then</w:t>
      </w:r>
      <w:r w:rsidRPr="001A423D">
        <w:rPr>
          <w:rFonts w:ascii="Times New Roman" w:hAnsi="Times New Roman"/>
          <w:i/>
          <w:sz w:val="20"/>
          <w:szCs w:val="20"/>
        </w:rPr>
        <w:t xml:space="preserve"> </w:t>
      </w:r>
      <w:r w:rsidRPr="001A423D">
        <w:rPr>
          <w:rFonts w:ascii="Times New Roman" w:hAnsi="Times New Roman"/>
          <w:i/>
          <w:spacing w:val="-1"/>
          <w:sz w:val="20"/>
          <w:szCs w:val="20"/>
        </w:rPr>
        <w:t>uploading</w:t>
      </w:r>
      <w:r w:rsidRPr="001A423D">
        <w:rPr>
          <w:rFonts w:ascii="Times New Roman" w:hAnsi="Times New Roman"/>
          <w:i/>
          <w:sz w:val="20"/>
          <w:szCs w:val="20"/>
        </w:rPr>
        <w:t xml:space="preserve"> </w:t>
      </w:r>
      <w:r w:rsidRPr="001A423D">
        <w:rPr>
          <w:rFonts w:ascii="Times New Roman" w:hAnsi="Times New Roman"/>
          <w:i/>
          <w:spacing w:val="-1"/>
          <w:sz w:val="20"/>
          <w:szCs w:val="20"/>
        </w:rPr>
        <w:t>charges/</w:t>
      </w:r>
      <w:r w:rsidRPr="001A423D">
        <w:rPr>
          <w:rFonts w:ascii="Times New Roman" w:hAnsi="Times New Roman"/>
          <w:i/>
          <w:spacing w:val="63"/>
          <w:sz w:val="20"/>
          <w:szCs w:val="20"/>
        </w:rPr>
        <w:t xml:space="preserve"> </w:t>
      </w:r>
      <w:r w:rsidRPr="001A423D">
        <w:rPr>
          <w:rFonts w:ascii="Times New Roman" w:hAnsi="Times New Roman"/>
          <w:i/>
          <w:spacing w:val="-1"/>
          <w:sz w:val="20"/>
          <w:szCs w:val="20"/>
        </w:rPr>
        <w:t>processing</w:t>
      </w:r>
      <w:r w:rsidRPr="001A423D">
        <w:rPr>
          <w:rFonts w:ascii="Times New Roman" w:hAnsi="Times New Roman"/>
          <w:i/>
          <w:spacing w:val="-2"/>
          <w:sz w:val="20"/>
          <w:szCs w:val="20"/>
        </w:rPr>
        <w:t xml:space="preserve"> </w:t>
      </w:r>
      <w:r w:rsidRPr="001A423D">
        <w:rPr>
          <w:rFonts w:ascii="Times New Roman" w:hAnsi="Times New Roman"/>
          <w:i/>
          <w:sz w:val="20"/>
          <w:szCs w:val="20"/>
        </w:rPr>
        <w:t>fees</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using</w:t>
      </w:r>
      <w:r w:rsidRPr="001A423D">
        <w:rPr>
          <w:rFonts w:ascii="Times New Roman" w:hAnsi="Times New Roman"/>
          <w:i/>
          <w:sz w:val="20"/>
          <w:szCs w:val="20"/>
        </w:rPr>
        <w:t xml:space="preserve"> </w:t>
      </w:r>
      <w:r w:rsidRPr="001A423D">
        <w:rPr>
          <w:rFonts w:ascii="Times New Roman" w:hAnsi="Times New Roman"/>
          <w:i/>
          <w:spacing w:val="-1"/>
          <w:sz w:val="20"/>
          <w:szCs w:val="20"/>
        </w:rPr>
        <w:t>UPI Mechanism</w:t>
      </w:r>
      <w:r w:rsidRPr="001A423D">
        <w:rPr>
          <w:rFonts w:ascii="Times New Roman" w:hAnsi="Times New Roman"/>
          <w:i/>
          <w:sz w:val="20"/>
          <w:szCs w:val="20"/>
        </w:rPr>
        <w:t xml:space="preserve"> </w:t>
      </w:r>
      <w:r w:rsidRPr="001A423D">
        <w:rPr>
          <w:rFonts w:ascii="Times New Roman" w:hAnsi="Times New Roman"/>
          <w:i/>
          <w:spacing w:val="-1"/>
          <w:sz w:val="20"/>
          <w:szCs w:val="20"/>
        </w:rPr>
        <w:t>will</w:t>
      </w:r>
      <w:r w:rsidRPr="001A423D">
        <w:rPr>
          <w:rFonts w:ascii="Times New Roman" w:hAnsi="Times New Roman"/>
          <w:i/>
          <w:spacing w:val="-2"/>
          <w:sz w:val="20"/>
          <w:szCs w:val="20"/>
        </w:rPr>
        <w:t xml:space="preserve"> </w:t>
      </w:r>
      <w:r w:rsidRPr="001A423D">
        <w:rPr>
          <w:rFonts w:ascii="Times New Roman" w:hAnsi="Times New Roman"/>
          <w:i/>
          <w:sz w:val="20"/>
          <w:szCs w:val="20"/>
        </w:rPr>
        <w:t>be</w:t>
      </w:r>
      <w:r w:rsidRPr="001A423D">
        <w:rPr>
          <w:rFonts w:ascii="Times New Roman" w:hAnsi="Times New Roman"/>
          <w:i/>
          <w:spacing w:val="-5"/>
          <w:sz w:val="20"/>
          <w:szCs w:val="20"/>
        </w:rPr>
        <w:t xml:space="preserve"> </w:t>
      </w:r>
      <w:r w:rsidRPr="001A423D">
        <w:rPr>
          <w:rFonts w:ascii="Times New Roman" w:hAnsi="Times New Roman"/>
          <w:i/>
          <w:spacing w:val="-1"/>
          <w:sz w:val="20"/>
          <w:szCs w:val="20"/>
        </w:rPr>
        <w:t>paid</w:t>
      </w:r>
      <w:r w:rsidRPr="001A423D">
        <w:rPr>
          <w:rFonts w:ascii="Times New Roman" w:hAnsi="Times New Roman"/>
          <w:i/>
          <w:sz w:val="20"/>
          <w:szCs w:val="20"/>
        </w:rPr>
        <w:t xml:space="preserve"> on </w:t>
      </w:r>
      <w:r w:rsidRPr="001A423D">
        <w:rPr>
          <w:rFonts w:ascii="Times New Roman" w:hAnsi="Times New Roman"/>
          <w:i/>
          <w:spacing w:val="-1"/>
          <w:sz w:val="20"/>
          <w:szCs w:val="20"/>
        </w:rPr>
        <w:t>pro-rata</w:t>
      </w:r>
      <w:r w:rsidRPr="001A423D">
        <w:rPr>
          <w:rFonts w:ascii="Times New Roman" w:hAnsi="Times New Roman"/>
          <w:i/>
          <w:spacing w:val="-2"/>
          <w:sz w:val="20"/>
          <w:szCs w:val="20"/>
        </w:rPr>
        <w:t xml:space="preserve"> </w:t>
      </w:r>
      <w:r w:rsidRPr="001A423D">
        <w:rPr>
          <w:rFonts w:ascii="Times New Roman" w:hAnsi="Times New Roman"/>
          <w:i/>
          <w:sz w:val="20"/>
          <w:szCs w:val="20"/>
        </w:rPr>
        <w:t xml:space="preserve">basis. </w:t>
      </w:r>
    </w:p>
    <w:p w14:paraId="78AADF3D" w14:textId="77777777" w:rsidR="00CB2D76" w:rsidRPr="001A423D" w:rsidRDefault="00CB2D76" w:rsidP="00CB2D76">
      <w:pPr>
        <w:tabs>
          <w:tab w:val="left" w:pos="492"/>
        </w:tabs>
        <w:spacing w:after="0" w:line="240" w:lineRule="auto"/>
        <w:ind w:right="117"/>
        <w:jc w:val="both"/>
        <w:rPr>
          <w:rFonts w:ascii="Times New Roman" w:hAnsi="Times New Roman"/>
          <w:sz w:val="20"/>
          <w:szCs w:val="20"/>
        </w:rPr>
      </w:pPr>
    </w:p>
    <w:p w14:paraId="4E43226B" w14:textId="77777777" w:rsidR="00CB2D76" w:rsidRPr="001A423D" w:rsidRDefault="00CB2D76">
      <w:pPr>
        <w:numPr>
          <w:ilvl w:val="0"/>
          <w:numId w:val="161"/>
        </w:numPr>
        <w:tabs>
          <w:tab w:val="left" w:pos="492"/>
        </w:tabs>
        <w:spacing w:after="0" w:line="240" w:lineRule="auto"/>
        <w:ind w:left="426" w:right="119"/>
        <w:contextualSpacing/>
        <w:jc w:val="both"/>
        <w:rPr>
          <w:rFonts w:ascii="Times New Roman" w:hAnsi="Times New Roman"/>
          <w:color w:val="000000"/>
          <w:sz w:val="20"/>
          <w:szCs w:val="20"/>
          <w:lang w:val="x-none" w:eastAsia="x-none"/>
        </w:rPr>
      </w:pPr>
      <w:r w:rsidRPr="001A423D">
        <w:rPr>
          <w:rFonts w:ascii="Times New Roman" w:hAnsi="Times New Roman"/>
          <w:i/>
          <w:color w:val="000000"/>
          <w:spacing w:val="-1"/>
          <w:sz w:val="20"/>
          <w:szCs w:val="20"/>
          <w:lang w:val="x-none" w:eastAsia="x-none"/>
        </w:rPr>
        <w:t>Selling</w:t>
      </w:r>
      <w:r w:rsidRPr="001A423D">
        <w:rPr>
          <w:rFonts w:ascii="Times New Roman" w:hAnsi="Times New Roman"/>
          <w:i/>
          <w:color w:val="000000"/>
          <w:sz w:val="20"/>
          <w:szCs w:val="20"/>
          <w:lang w:val="x-none" w:eastAsia="x-none"/>
        </w:rPr>
        <w:t xml:space="preserve"> </w:t>
      </w:r>
      <w:r w:rsidRPr="001A423D">
        <w:rPr>
          <w:rFonts w:ascii="Times New Roman" w:hAnsi="Times New Roman"/>
          <w:i/>
          <w:color w:val="000000"/>
          <w:spacing w:val="-2"/>
          <w:sz w:val="20"/>
          <w:szCs w:val="20"/>
          <w:lang w:val="x-none" w:eastAsia="x-none"/>
        </w:rPr>
        <w:t>commission</w:t>
      </w:r>
      <w:r w:rsidRPr="001A423D">
        <w:rPr>
          <w:rFonts w:ascii="Times New Roman" w:hAnsi="Times New Roman"/>
          <w:i/>
          <w:color w:val="000000"/>
          <w:sz w:val="20"/>
          <w:szCs w:val="20"/>
          <w:lang w:val="x-none" w:eastAsia="x-none"/>
        </w:rPr>
        <w:t xml:space="preserve"> on</w:t>
      </w:r>
      <w:r w:rsidRPr="001A423D">
        <w:rPr>
          <w:rFonts w:ascii="Times New Roman" w:hAnsi="Times New Roman"/>
          <w:i/>
          <w:color w:val="000000"/>
          <w:spacing w:val="-4"/>
          <w:sz w:val="20"/>
          <w:szCs w:val="20"/>
          <w:lang w:val="x-none" w:eastAsia="x-none"/>
        </w:rPr>
        <w:t xml:space="preserve"> </w:t>
      </w:r>
      <w:r w:rsidRPr="001A423D">
        <w:rPr>
          <w:rFonts w:ascii="Times New Roman" w:hAnsi="Times New Roman"/>
          <w:i/>
          <w:color w:val="000000"/>
          <w:sz w:val="20"/>
          <w:szCs w:val="20"/>
          <w:lang w:val="x-none" w:eastAsia="x-none"/>
        </w:rPr>
        <w:t xml:space="preserve">the </w:t>
      </w:r>
      <w:r w:rsidRPr="001A423D">
        <w:rPr>
          <w:rFonts w:ascii="Times New Roman" w:hAnsi="Times New Roman"/>
          <w:i/>
          <w:color w:val="000000"/>
          <w:spacing w:val="-2"/>
          <w:sz w:val="20"/>
          <w:szCs w:val="20"/>
          <w:lang w:val="x-none" w:eastAsia="x-none"/>
        </w:rPr>
        <w:t>portion</w:t>
      </w:r>
      <w:r w:rsidRPr="001A423D">
        <w:rPr>
          <w:rFonts w:ascii="Times New Roman" w:hAnsi="Times New Roman"/>
          <w:i/>
          <w:color w:val="000000"/>
          <w:sz w:val="20"/>
          <w:szCs w:val="20"/>
          <w:lang w:val="x-none" w:eastAsia="x-none"/>
        </w:rPr>
        <w:t xml:space="preserve"> </w:t>
      </w:r>
      <w:r w:rsidRPr="001A423D">
        <w:rPr>
          <w:rFonts w:ascii="Times New Roman" w:hAnsi="Times New Roman"/>
          <w:i/>
          <w:color w:val="000000"/>
          <w:spacing w:val="-1"/>
          <w:sz w:val="20"/>
          <w:szCs w:val="20"/>
          <w:lang w:val="x-none" w:eastAsia="x-none"/>
        </w:rPr>
        <w:t>for</w:t>
      </w:r>
      <w:r w:rsidRPr="001A423D">
        <w:rPr>
          <w:rFonts w:ascii="Times New Roman" w:hAnsi="Times New Roman"/>
          <w:i/>
          <w:color w:val="000000"/>
          <w:spacing w:val="-2"/>
          <w:sz w:val="20"/>
          <w:szCs w:val="20"/>
          <w:lang w:val="x-none" w:eastAsia="x-none"/>
        </w:rPr>
        <w:t xml:space="preserve"> </w:t>
      </w:r>
      <w:r w:rsidRPr="001A423D">
        <w:rPr>
          <w:rFonts w:ascii="Times New Roman" w:hAnsi="Times New Roman"/>
          <w:i/>
          <w:color w:val="000000"/>
          <w:spacing w:val="-1"/>
          <w:sz w:val="20"/>
          <w:szCs w:val="20"/>
          <w:lang w:val="x-none" w:eastAsia="x-none"/>
        </w:rPr>
        <w:t>Retail</w:t>
      </w:r>
      <w:r w:rsidRPr="001A423D">
        <w:rPr>
          <w:rFonts w:ascii="Times New Roman" w:hAnsi="Times New Roman"/>
          <w:i/>
          <w:color w:val="000000"/>
          <w:sz w:val="20"/>
          <w:szCs w:val="20"/>
          <w:lang w:val="x-none" w:eastAsia="x-none"/>
        </w:rPr>
        <w:t xml:space="preserve"> </w:t>
      </w:r>
      <w:r w:rsidRPr="001A423D">
        <w:rPr>
          <w:rFonts w:ascii="Times New Roman" w:hAnsi="Times New Roman"/>
          <w:i/>
          <w:color w:val="000000"/>
          <w:spacing w:val="-1"/>
          <w:sz w:val="20"/>
          <w:szCs w:val="20"/>
          <w:lang w:val="x-none" w:eastAsia="x-none"/>
        </w:rPr>
        <w:t>Individual Bidders and</w:t>
      </w:r>
      <w:r w:rsidRPr="001A423D">
        <w:rPr>
          <w:rFonts w:ascii="Times New Roman" w:hAnsi="Times New Roman"/>
          <w:i/>
          <w:color w:val="000000"/>
          <w:spacing w:val="-4"/>
          <w:sz w:val="20"/>
          <w:szCs w:val="20"/>
          <w:lang w:val="x-none" w:eastAsia="x-none"/>
        </w:rPr>
        <w:t xml:space="preserve"> </w:t>
      </w:r>
      <w:r w:rsidRPr="001A423D">
        <w:rPr>
          <w:rFonts w:ascii="Times New Roman" w:hAnsi="Times New Roman"/>
          <w:i/>
          <w:color w:val="000000"/>
          <w:spacing w:val="-1"/>
          <w:sz w:val="20"/>
          <w:szCs w:val="20"/>
          <w:lang w:val="x-none" w:eastAsia="x-none"/>
        </w:rPr>
        <w:t>Non-Institutional</w:t>
      </w:r>
      <w:r w:rsidRPr="001A423D">
        <w:rPr>
          <w:rFonts w:ascii="Times New Roman" w:hAnsi="Times New Roman"/>
          <w:i/>
          <w:color w:val="000000"/>
          <w:spacing w:val="-2"/>
          <w:sz w:val="20"/>
          <w:szCs w:val="20"/>
          <w:lang w:val="x-none" w:eastAsia="x-none"/>
        </w:rPr>
        <w:t xml:space="preserve"> </w:t>
      </w:r>
      <w:r w:rsidRPr="001A423D">
        <w:rPr>
          <w:rFonts w:ascii="Times New Roman" w:hAnsi="Times New Roman"/>
          <w:i/>
          <w:color w:val="000000"/>
          <w:spacing w:val="-1"/>
          <w:sz w:val="20"/>
          <w:szCs w:val="20"/>
          <w:lang w:val="x-none" w:eastAsia="x-none"/>
        </w:rPr>
        <w:t>Bidders</w:t>
      </w:r>
      <w:r w:rsidRPr="001A423D">
        <w:rPr>
          <w:rFonts w:ascii="Times New Roman" w:hAnsi="Times New Roman"/>
          <w:i/>
          <w:color w:val="000000"/>
          <w:spacing w:val="-2"/>
          <w:sz w:val="20"/>
          <w:szCs w:val="20"/>
          <w:lang w:val="x-none" w:eastAsia="x-none"/>
        </w:rPr>
        <w:t xml:space="preserve"> </w:t>
      </w:r>
      <w:r w:rsidRPr="001A423D">
        <w:rPr>
          <w:rFonts w:ascii="Times New Roman" w:hAnsi="Times New Roman"/>
          <w:i/>
          <w:color w:val="000000"/>
          <w:spacing w:val="-1"/>
          <w:sz w:val="20"/>
          <w:szCs w:val="20"/>
          <w:lang w:val="x-none" w:eastAsia="x-none"/>
        </w:rPr>
        <w:t>which</w:t>
      </w:r>
      <w:r w:rsidRPr="001A423D">
        <w:rPr>
          <w:rFonts w:ascii="Times New Roman" w:hAnsi="Times New Roman"/>
          <w:i/>
          <w:color w:val="000000"/>
          <w:sz w:val="20"/>
          <w:szCs w:val="20"/>
          <w:lang w:val="x-none" w:eastAsia="x-none"/>
        </w:rPr>
        <w:t xml:space="preserve"> </w:t>
      </w:r>
      <w:r w:rsidRPr="001A423D">
        <w:rPr>
          <w:rFonts w:ascii="Times New Roman" w:hAnsi="Times New Roman"/>
          <w:i/>
          <w:color w:val="000000"/>
          <w:spacing w:val="-1"/>
          <w:sz w:val="20"/>
          <w:szCs w:val="20"/>
          <w:lang w:val="x-none" w:eastAsia="x-none"/>
        </w:rPr>
        <w:t>are</w:t>
      </w:r>
      <w:r w:rsidRPr="001A423D">
        <w:rPr>
          <w:rFonts w:ascii="Times New Roman" w:hAnsi="Times New Roman"/>
          <w:i/>
          <w:color w:val="000000"/>
          <w:spacing w:val="97"/>
          <w:sz w:val="20"/>
          <w:szCs w:val="20"/>
          <w:lang w:val="x-none" w:eastAsia="x-none"/>
        </w:rPr>
        <w:t xml:space="preserve"> </w:t>
      </w:r>
      <w:r w:rsidRPr="001A423D">
        <w:rPr>
          <w:rFonts w:ascii="Times New Roman" w:hAnsi="Times New Roman"/>
          <w:i/>
          <w:color w:val="000000"/>
          <w:spacing w:val="-1"/>
          <w:sz w:val="20"/>
          <w:szCs w:val="20"/>
          <w:lang w:val="x-none" w:eastAsia="x-none"/>
        </w:rPr>
        <w:t>procured</w:t>
      </w:r>
      <w:r w:rsidRPr="001A423D">
        <w:rPr>
          <w:rFonts w:ascii="Times New Roman" w:hAnsi="Times New Roman"/>
          <w:i/>
          <w:color w:val="000000"/>
          <w:spacing w:val="-4"/>
          <w:sz w:val="20"/>
          <w:szCs w:val="20"/>
          <w:lang w:val="x-none" w:eastAsia="x-none"/>
        </w:rPr>
        <w:t xml:space="preserve"> </w:t>
      </w:r>
      <w:r w:rsidRPr="001A423D">
        <w:rPr>
          <w:rFonts w:ascii="Times New Roman" w:hAnsi="Times New Roman"/>
          <w:i/>
          <w:color w:val="000000"/>
          <w:spacing w:val="-1"/>
          <w:sz w:val="20"/>
          <w:szCs w:val="20"/>
          <w:lang w:val="x-none" w:eastAsia="x-none"/>
        </w:rPr>
        <w:t>by</w:t>
      </w:r>
      <w:r w:rsidRPr="001A423D">
        <w:rPr>
          <w:rFonts w:ascii="Times New Roman" w:hAnsi="Times New Roman"/>
          <w:i/>
          <w:color w:val="000000"/>
          <w:spacing w:val="-2"/>
          <w:sz w:val="20"/>
          <w:szCs w:val="20"/>
          <w:lang w:val="x-none" w:eastAsia="x-none"/>
        </w:rPr>
        <w:t xml:space="preserve"> </w:t>
      </w:r>
      <w:r w:rsidRPr="001A423D">
        <w:rPr>
          <w:rFonts w:ascii="Times New Roman" w:hAnsi="Times New Roman"/>
          <w:i/>
          <w:color w:val="000000"/>
          <w:spacing w:val="-1"/>
          <w:sz w:val="20"/>
          <w:szCs w:val="20"/>
          <w:lang w:val="x-none" w:eastAsia="x-none"/>
        </w:rPr>
        <w:t>members</w:t>
      </w:r>
      <w:r w:rsidRPr="001A423D">
        <w:rPr>
          <w:rFonts w:ascii="Times New Roman" w:hAnsi="Times New Roman"/>
          <w:i/>
          <w:color w:val="000000"/>
          <w:spacing w:val="-7"/>
          <w:sz w:val="20"/>
          <w:szCs w:val="20"/>
          <w:lang w:val="x-none" w:eastAsia="x-none"/>
        </w:rPr>
        <w:t xml:space="preserve"> </w:t>
      </w:r>
      <w:r w:rsidRPr="001A423D">
        <w:rPr>
          <w:rFonts w:ascii="Times New Roman" w:hAnsi="Times New Roman"/>
          <w:i/>
          <w:color w:val="000000"/>
          <w:sz w:val="20"/>
          <w:szCs w:val="20"/>
          <w:lang w:val="x-none" w:eastAsia="x-none"/>
        </w:rPr>
        <w:t>of</w:t>
      </w:r>
      <w:r w:rsidRPr="001A423D">
        <w:rPr>
          <w:rFonts w:ascii="Times New Roman" w:hAnsi="Times New Roman"/>
          <w:i/>
          <w:color w:val="000000"/>
          <w:spacing w:val="-4"/>
          <w:sz w:val="20"/>
          <w:szCs w:val="20"/>
          <w:lang w:val="x-none" w:eastAsia="x-none"/>
        </w:rPr>
        <w:t xml:space="preserve"> </w:t>
      </w:r>
      <w:r w:rsidRPr="001A423D">
        <w:rPr>
          <w:rFonts w:ascii="Times New Roman" w:hAnsi="Times New Roman"/>
          <w:i/>
          <w:color w:val="000000"/>
          <w:spacing w:val="-2"/>
          <w:sz w:val="20"/>
          <w:szCs w:val="20"/>
          <w:lang w:val="x-none" w:eastAsia="x-none"/>
        </w:rPr>
        <w:t>the</w:t>
      </w:r>
      <w:r w:rsidRPr="001A423D">
        <w:rPr>
          <w:rFonts w:ascii="Times New Roman" w:hAnsi="Times New Roman"/>
          <w:i/>
          <w:color w:val="000000"/>
          <w:spacing w:val="-4"/>
          <w:sz w:val="20"/>
          <w:szCs w:val="20"/>
          <w:lang w:val="x-none" w:eastAsia="x-none"/>
        </w:rPr>
        <w:t xml:space="preserve"> </w:t>
      </w:r>
      <w:r w:rsidRPr="001A423D">
        <w:rPr>
          <w:rFonts w:ascii="Times New Roman" w:hAnsi="Times New Roman"/>
          <w:i/>
          <w:color w:val="000000"/>
          <w:spacing w:val="-1"/>
          <w:sz w:val="20"/>
          <w:szCs w:val="20"/>
          <w:lang w:val="x-none" w:eastAsia="x-none"/>
        </w:rPr>
        <w:t>Syndicate</w:t>
      </w:r>
      <w:r w:rsidRPr="001A423D">
        <w:rPr>
          <w:rFonts w:ascii="Times New Roman" w:hAnsi="Times New Roman"/>
          <w:i/>
          <w:color w:val="000000"/>
          <w:spacing w:val="-3"/>
          <w:sz w:val="20"/>
          <w:szCs w:val="20"/>
          <w:lang w:val="x-none" w:eastAsia="x-none"/>
        </w:rPr>
        <w:t xml:space="preserve"> </w:t>
      </w:r>
      <w:r w:rsidRPr="001A423D">
        <w:rPr>
          <w:rFonts w:ascii="Times New Roman" w:hAnsi="Times New Roman"/>
          <w:i/>
          <w:color w:val="000000"/>
          <w:spacing w:val="-1"/>
          <w:sz w:val="20"/>
          <w:szCs w:val="20"/>
          <w:lang w:val="x-none" w:eastAsia="x-none"/>
        </w:rPr>
        <w:t>(including</w:t>
      </w:r>
      <w:r w:rsidRPr="001A423D">
        <w:rPr>
          <w:rFonts w:ascii="Times New Roman" w:hAnsi="Times New Roman"/>
          <w:i/>
          <w:color w:val="000000"/>
          <w:spacing w:val="-6"/>
          <w:sz w:val="20"/>
          <w:szCs w:val="20"/>
          <w:lang w:val="x-none" w:eastAsia="x-none"/>
        </w:rPr>
        <w:t xml:space="preserve"> </w:t>
      </w:r>
      <w:r w:rsidRPr="001A423D">
        <w:rPr>
          <w:rFonts w:ascii="Times New Roman" w:hAnsi="Times New Roman"/>
          <w:i/>
          <w:color w:val="000000"/>
          <w:spacing w:val="-1"/>
          <w:sz w:val="20"/>
          <w:szCs w:val="20"/>
          <w:lang w:val="x-none" w:eastAsia="x-none"/>
        </w:rPr>
        <w:t>their</w:t>
      </w:r>
      <w:r w:rsidRPr="001A423D">
        <w:rPr>
          <w:rFonts w:ascii="Times New Roman" w:hAnsi="Times New Roman"/>
          <w:i/>
          <w:color w:val="000000"/>
          <w:spacing w:val="-4"/>
          <w:sz w:val="20"/>
          <w:szCs w:val="20"/>
          <w:lang w:val="x-none" w:eastAsia="x-none"/>
        </w:rPr>
        <w:t xml:space="preserve"> </w:t>
      </w:r>
      <w:r w:rsidRPr="001A423D">
        <w:rPr>
          <w:rFonts w:ascii="Times New Roman" w:hAnsi="Times New Roman"/>
          <w:i/>
          <w:color w:val="000000"/>
          <w:spacing w:val="-1"/>
          <w:sz w:val="20"/>
          <w:szCs w:val="20"/>
          <w:lang w:val="x-none" w:eastAsia="x-none"/>
        </w:rPr>
        <w:t>sub-Syndicate</w:t>
      </w:r>
      <w:r w:rsidRPr="001A423D">
        <w:rPr>
          <w:rFonts w:ascii="Times New Roman" w:hAnsi="Times New Roman"/>
          <w:i/>
          <w:color w:val="000000"/>
          <w:spacing w:val="-6"/>
          <w:sz w:val="20"/>
          <w:szCs w:val="20"/>
          <w:lang w:val="x-none" w:eastAsia="x-none"/>
        </w:rPr>
        <w:t xml:space="preserve"> </w:t>
      </w:r>
      <w:r w:rsidRPr="001A423D">
        <w:rPr>
          <w:rFonts w:ascii="Times New Roman" w:hAnsi="Times New Roman"/>
          <w:i/>
          <w:color w:val="000000"/>
          <w:spacing w:val="-2"/>
          <w:sz w:val="20"/>
          <w:szCs w:val="20"/>
          <w:lang w:val="x-none" w:eastAsia="x-none"/>
        </w:rPr>
        <w:t>Members),</w:t>
      </w:r>
      <w:r w:rsidRPr="001A423D">
        <w:rPr>
          <w:rFonts w:ascii="Times New Roman" w:hAnsi="Times New Roman"/>
          <w:i/>
          <w:color w:val="000000"/>
          <w:spacing w:val="-4"/>
          <w:sz w:val="20"/>
          <w:szCs w:val="20"/>
          <w:lang w:val="x-none" w:eastAsia="x-none"/>
        </w:rPr>
        <w:t xml:space="preserve"> </w:t>
      </w:r>
      <w:r w:rsidRPr="001A423D">
        <w:rPr>
          <w:rFonts w:ascii="Times New Roman" w:hAnsi="Times New Roman"/>
          <w:i/>
          <w:color w:val="000000"/>
          <w:spacing w:val="-2"/>
          <w:sz w:val="20"/>
          <w:szCs w:val="20"/>
          <w:lang w:val="x-none" w:eastAsia="x-none"/>
        </w:rPr>
        <w:t xml:space="preserve">Registered </w:t>
      </w:r>
      <w:r w:rsidRPr="001A423D">
        <w:rPr>
          <w:rFonts w:ascii="Times New Roman" w:hAnsi="Times New Roman"/>
          <w:i/>
          <w:color w:val="000000"/>
          <w:spacing w:val="-1"/>
          <w:sz w:val="20"/>
          <w:szCs w:val="20"/>
          <w:lang w:val="x-none" w:eastAsia="x-none"/>
        </w:rPr>
        <w:t>Brokers,</w:t>
      </w:r>
      <w:r w:rsidRPr="001A423D">
        <w:rPr>
          <w:rFonts w:ascii="Times New Roman" w:hAnsi="Times New Roman"/>
          <w:i/>
          <w:color w:val="000000"/>
          <w:spacing w:val="-4"/>
          <w:sz w:val="20"/>
          <w:szCs w:val="20"/>
          <w:lang w:val="x-none" w:eastAsia="x-none"/>
        </w:rPr>
        <w:t xml:space="preserve"> </w:t>
      </w:r>
      <w:r w:rsidRPr="001A423D">
        <w:rPr>
          <w:rFonts w:ascii="Times New Roman" w:hAnsi="Times New Roman"/>
          <w:i/>
          <w:color w:val="000000"/>
          <w:spacing w:val="-1"/>
          <w:sz w:val="20"/>
          <w:szCs w:val="20"/>
          <w:lang w:val="x-none" w:eastAsia="x-none"/>
        </w:rPr>
        <w:t>CRTAs</w:t>
      </w:r>
      <w:r w:rsidRPr="001A423D">
        <w:rPr>
          <w:rFonts w:ascii="Times New Roman" w:hAnsi="Times New Roman"/>
          <w:i/>
          <w:color w:val="000000"/>
          <w:spacing w:val="-4"/>
          <w:sz w:val="20"/>
          <w:szCs w:val="20"/>
          <w:lang w:val="x-none" w:eastAsia="x-none"/>
        </w:rPr>
        <w:t xml:space="preserve"> </w:t>
      </w:r>
      <w:r w:rsidRPr="001A423D">
        <w:rPr>
          <w:rFonts w:ascii="Times New Roman" w:hAnsi="Times New Roman"/>
          <w:i/>
          <w:color w:val="000000"/>
          <w:spacing w:val="-1"/>
          <w:sz w:val="20"/>
          <w:szCs w:val="20"/>
          <w:lang w:val="x-none" w:eastAsia="x-none"/>
        </w:rPr>
        <w:t>and</w:t>
      </w:r>
      <w:r w:rsidRPr="001A423D">
        <w:rPr>
          <w:rFonts w:ascii="Times New Roman" w:hAnsi="Times New Roman"/>
          <w:i/>
          <w:color w:val="000000"/>
          <w:spacing w:val="-6"/>
          <w:sz w:val="20"/>
          <w:szCs w:val="20"/>
          <w:lang w:val="x-none" w:eastAsia="x-none"/>
        </w:rPr>
        <w:t xml:space="preserve"> </w:t>
      </w:r>
      <w:r w:rsidRPr="001A423D">
        <w:rPr>
          <w:rFonts w:ascii="Times New Roman" w:hAnsi="Times New Roman"/>
          <w:i/>
          <w:color w:val="000000"/>
          <w:spacing w:val="-1"/>
          <w:sz w:val="20"/>
          <w:szCs w:val="20"/>
          <w:lang w:val="x-none" w:eastAsia="x-none"/>
        </w:rPr>
        <w:t>CDPs</w:t>
      </w:r>
      <w:r w:rsidRPr="001A423D">
        <w:rPr>
          <w:rFonts w:ascii="Times New Roman" w:hAnsi="Times New Roman"/>
          <w:i/>
          <w:color w:val="000000"/>
          <w:spacing w:val="-4"/>
          <w:sz w:val="20"/>
          <w:szCs w:val="20"/>
          <w:lang w:val="x-none" w:eastAsia="x-none"/>
        </w:rPr>
        <w:t xml:space="preserve"> </w:t>
      </w:r>
      <w:r w:rsidRPr="001A423D">
        <w:rPr>
          <w:rFonts w:ascii="Times New Roman" w:hAnsi="Times New Roman"/>
          <w:i/>
          <w:color w:val="000000"/>
          <w:sz w:val="20"/>
          <w:szCs w:val="20"/>
          <w:lang w:val="x-none" w:eastAsia="x-none"/>
        </w:rPr>
        <w:t>or</w:t>
      </w:r>
      <w:r w:rsidRPr="001A423D">
        <w:rPr>
          <w:rFonts w:ascii="Times New Roman" w:hAnsi="Times New Roman"/>
          <w:i/>
          <w:color w:val="000000"/>
          <w:spacing w:val="-4"/>
          <w:sz w:val="20"/>
          <w:szCs w:val="20"/>
          <w:lang w:val="x-none" w:eastAsia="x-none"/>
        </w:rPr>
        <w:t xml:space="preserve"> </w:t>
      </w:r>
      <w:r w:rsidRPr="001A423D">
        <w:rPr>
          <w:rFonts w:ascii="Times New Roman" w:hAnsi="Times New Roman"/>
          <w:i/>
          <w:color w:val="000000"/>
          <w:spacing w:val="-1"/>
          <w:sz w:val="20"/>
          <w:szCs w:val="20"/>
          <w:lang w:val="x-none" w:eastAsia="x-none"/>
        </w:rPr>
        <w:t>for using</w:t>
      </w:r>
      <w:r w:rsidRPr="001A423D">
        <w:rPr>
          <w:rFonts w:ascii="Times New Roman" w:hAnsi="Times New Roman"/>
          <w:i/>
          <w:color w:val="000000"/>
          <w:spacing w:val="3"/>
          <w:sz w:val="20"/>
          <w:szCs w:val="20"/>
          <w:lang w:val="x-none" w:eastAsia="x-none"/>
        </w:rPr>
        <w:t xml:space="preserve"> </w:t>
      </w:r>
      <w:r w:rsidRPr="001A423D">
        <w:rPr>
          <w:rFonts w:ascii="Times New Roman" w:hAnsi="Times New Roman"/>
          <w:i/>
          <w:color w:val="000000"/>
          <w:spacing w:val="-1"/>
          <w:sz w:val="20"/>
          <w:szCs w:val="20"/>
          <w:lang w:val="x-none" w:eastAsia="x-none"/>
        </w:rPr>
        <w:t>3-in-1</w:t>
      </w:r>
      <w:r w:rsidRPr="001A423D">
        <w:rPr>
          <w:rFonts w:ascii="Times New Roman" w:hAnsi="Times New Roman"/>
          <w:i/>
          <w:color w:val="000000"/>
          <w:spacing w:val="3"/>
          <w:sz w:val="20"/>
          <w:szCs w:val="20"/>
          <w:lang w:val="x-none" w:eastAsia="x-none"/>
        </w:rPr>
        <w:t xml:space="preserve"> </w:t>
      </w:r>
      <w:r w:rsidRPr="001A423D">
        <w:rPr>
          <w:rFonts w:ascii="Times New Roman" w:hAnsi="Times New Roman"/>
          <w:i/>
          <w:color w:val="000000"/>
          <w:spacing w:val="-1"/>
          <w:sz w:val="20"/>
          <w:szCs w:val="20"/>
          <w:lang w:val="x-none" w:eastAsia="x-none"/>
        </w:rPr>
        <w:t>type</w:t>
      </w:r>
      <w:r w:rsidRPr="001A423D">
        <w:rPr>
          <w:rFonts w:ascii="Times New Roman" w:hAnsi="Times New Roman"/>
          <w:i/>
          <w:color w:val="000000"/>
          <w:spacing w:val="6"/>
          <w:sz w:val="20"/>
          <w:szCs w:val="20"/>
          <w:lang w:val="x-none" w:eastAsia="x-none"/>
        </w:rPr>
        <w:t xml:space="preserve"> </w:t>
      </w:r>
      <w:r w:rsidRPr="001A423D">
        <w:rPr>
          <w:rFonts w:ascii="Times New Roman" w:hAnsi="Times New Roman"/>
          <w:i/>
          <w:color w:val="000000"/>
          <w:spacing w:val="-1"/>
          <w:sz w:val="20"/>
          <w:szCs w:val="20"/>
          <w:lang w:val="x-none" w:eastAsia="x-none"/>
        </w:rPr>
        <w:t>accounts-</w:t>
      </w:r>
      <w:r w:rsidRPr="001A423D">
        <w:rPr>
          <w:rFonts w:ascii="Times New Roman" w:hAnsi="Times New Roman"/>
          <w:i/>
          <w:color w:val="000000"/>
          <w:spacing w:val="6"/>
          <w:sz w:val="20"/>
          <w:szCs w:val="20"/>
          <w:lang w:val="x-none" w:eastAsia="x-none"/>
        </w:rPr>
        <w:t xml:space="preserve"> </w:t>
      </w:r>
      <w:r w:rsidRPr="001A423D">
        <w:rPr>
          <w:rFonts w:ascii="Times New Roman" w:hAnsi="Times New Roman"/>
          <w:i/>
          <w:color w:val="000000"/>
          <w:spacing w:val="-1"/>
          <w:sz w:val="20"/>
          <w:szCs w:val="20"/>
          <w:lang w:val="x-none" w:eastAsia="x-none"/>
        </w:rPr>
        <w:t>linked</w:t>
      </w:r>
      <w:r w:rsidRPr="001A423D">
        <w:rPr>
          <w:rFonts w:ascii="Times New Roman" w:hAnsi="Times New Roman"/>
          <w:i/>
          <w:color w:val="000000"/>
          <w:spacing w:val="3"/>
          <w:sz w:val="20"/>
          <w:szCs w:val="20"/>
          <w:lang w:val="x-none" w:eastAsia="x-none"/>
        </w:rPr>
        <w:t xml:space="preserve"> </w:t>
      </w:r>
      <w:r w:rsidRPr="001A423D">
        <w:rPr>
          <w:rFonts w:ascii="Times New Roman" w:hAnsi="Times New Roman"/>
          <w:i/>
          <w:color w:val="000000"/>
          <w:spacing w:val="-1"/>
          <w:sz w:val="20"/>
          <w:szCs w:val="20"/>
          <w:lang w:val="x-none" w:eastAsia="x-none"/>
        </w:rPr>
        <w:t>online</w:t>
      </w:r>
      <w:r w:rsidRPr="001A423D">
        <w:rPr>
          <w:rFonts w:ascii="Times New Roman" w:hAnsi="Times New Roman"/>
          <w:i/>
          <w:color w:val="000000"/>
          <w:spacing w:val="6"/>
          <w:sz w:val="20"/>
          <w:szCs w:val="20"/>
          <w:lang w:val="x-none" w:eastAsia="x-none"/>
        </w:rPr>
        <w:t xml:space="preserve"> </w:t>
      </w:r>
      <w:r w:rsidRPr="001A423D">
        <w:rPr>
          <w:rFonts w:ascii="Times New Roman" w:hAnsi="Times New Roman"/>
          <w:i/>
          <w:color w:val="000000"/>
          <w:spacing w:val="-1"/>
          <w:sz w:val="20"/>
          <w:szCs w:val="20"/>
          <w:lang w:val="x-none" w:eastAsia="x-none"/>
        </w:rPr>
        <w:t>trading,</w:t>
      </w:r>
      <w:r w:rsidRPr="001A423D">
        <w:rPr>
          <w:rFonts w:ascii="Times New Roman" w:hAnsi="Times New Roman"/>
          <w:i/>
          <w:color w:val="000000"/>
          <w:spacing w:val="6"/>
          <w:sz w:val="20"/>
          <w:szCs w:val="20"/>
          <w:lang w:val="x-none" w:eastAsia="x-none"/>
        </w:rPr>
        <w:t xml:space="preserve"> </w:t>
      </w:r>
      <w:r w:rsidRPr="001A423D">
        <w:rPr>
          <w:rFonts w:ascii="Times New Roman" w:hAnsi="Times New Roman"/>
          <w:i/>
          <w:color w:val="000000"/>
          <w:spacing w:val="-1"/>
          <w:sz w:val="20"/>
          <w:szCs w:val="20"/>
          <w:lang w:val="x-none" w:eastAsia="x-none"/>
        </w:rPr>
        <w:t>demat</w:t>
      </w:r>
      <w:r w:rsidRPr="001A423D">
        <w:rPr>
          <w:rFonts w:ascii="Times New Roman" w:hAnsi="Times New Roman"/>
          <w:i/>
          <w:color w:val="000000"/>
          <w:spacing w:val="3"/>
          <w:sz w:val="20"/>
          <w:szCs w:val="20"/>
          <w:lang w:val="x-none" w:eastAsia="x-none"/>
        </w:rPr>
        <w:t xml:space="preserve"> </w:t>
      </w:r>
      <w:r w:rsidRPr="001A423D">
        <w:rPr>
          <w:rFonts w:ascii="Times New Roman" w:hAnsi="Times New Roman"/>
          <w:i/>
          <w:color w:val="000000"/>
          <w:sz w:val="20"/>
          <w:szCs w:val="20"/>
          <w:lang w:val="x-none" w:eastAsia="x-none"/>
        </w:rPr>
        <w:t>&amp;</w:t>
      </w:r>
      <w:r w:rsidRPr="001A423D">
        <w:rPr>
          <w:rFonts w:ascii="Times New Roman" w:hAnsi="Times New Roman"/>
          <w:i/>
          <w:color w:val="000000"/>
          <w:spacing w:val="8"/>
          <w:sz w:val="20"/>
          <w:szCs w:val="20"/>
          <w:lang w:val="x-none" w:eastAsia="x-none"/>
        </w:rPr>
        <w:t xml:space="preserve"> </w:t>
      </w:r>
      <w:r w:rsidRPr="001A423D">
        <w:rPr>
          <w:rFonts w:ascii="Times New Roman" w:hAnsi="Times New Roman"/>
          <w:i/>
          <w:color w:val="000000"/>
          <w:spacing w:val="-1"/>
          <w:sz w:val="20"/>
          <w:szCs w:val="20"/>
          <w:lang w:val="x-none" w:eastAsia="x-none"/>
        </w:rPr>
        <w:t>bank</w:t>
      </w:r>
      <w:r w:rsidRPr="001A423D">
        <w:rPr>
          <w:rFonts w:ascii="Times New Roman" w:hAnsi="Times New Roman"/>
          <w:i/>
          <w:color w:val="000000"/>
          <w:spacing w:val="6"/>
          <w:sz w:val="20"/>
          <w:szCs w:val="20"/>
          <w:lang w:val="x-none" w:eastAsia="x-none"/>
        </w:rPr>
        <w:t xml:space="preserve"> </w:t>
      </w:r>
      <w:r w:rsidRPr="001A423D">
        <w:rPr>
          <w:rFonts w:ascii="Times New Roman" w:hAnsi="Times New Roman"/>
          <w:i/>
          <w:color w:val="000000"/>
          <w:spacing w:val="-1"/>
          <w:sz w:val="20"/>
          <w:szCs w:val="20"/>
          <w:lang w:val="x-none" w:eastAsia="x-none"/>
        </w:rPr>
        <w:t>account</w:t>
      </w:r>
      <w:r w:rsidRPr="001A423D">
        <w:rPr>
          <w:rFonts w:ascii="Times New Roman" w:hAnsi="Times New Roman"/>
          <w:i/>
          <w:color w:val="000000"/>
          <w:spacing w:val="3"/>
          <w:sz w:val="20"/>
          <w:szCs w:val="20"/>
          <w:lang w:val="x-none" w:eastAsia="x-none"/>
        </w:rPr>
        <w:t xml:space="preserve"> </w:t>
      </w:r>
      <w:r w:rsidRPr="001A423D">
        <w:rPr>
          <w:rFonts w:ascii="Times New Roman" w:hAnsi="Times New Roman"/>
          <w:i/>
          <w:color w:val="000000"/>
          <w:spacing w:val="-1"/>
          <w:sz w:val="20"/>
          <w:szCs w:val="20"/>
          <w:lang w:val="x-none" w:eastAsia="x-none"/>
        </w:rPr>
        <w:t>provided</w:t>
      </w:r>
      <w:r w:rsidRPr="001A423D">
        <w:rPr>
          <w:rFonts w:ascii="Times New Roman" w:hAnsi="Times New Roman"/>
          <w:i/>
          <w:color w:val="000000"/>
          <w:spacing w:val="3"/>
          <w:sz w:val="20"/>
          <w:szCs w:val="20"/>
          <w:lang w:val="x-none" w:eastAsia="x-none"/>
        </w:rPr>
        <w:t xml:space="preserve"> </w:t>
      </w:r>
      <w:r w:rsidRPr="001A423D">
        <w:rPr>
          <w:rFonts w:ascii="Times New Roman" w:hAnsi="Times New Roman"/>
          <w:i/>
          <w:color w:val="000000"/>
          <w:sz w:val="20"/>
          <w:szCs w:val="20"/>
          <w:lang w:val="x-none" w:eastAsia="x-none"/>
        </w:rPr>
        <w:t>by</w:t>
      </w:r>
      <w:r w:rsidRPr="001A423D">
        <w:rPr>
          <w:rFonts w:ascii="Times New Roman" w:hAnsi="Times New Roman"/>
          <w:i/>
          <w:color w:val="000000"/>
          <w:spacing w:val="6"/>
          <w:sz w:val="20"/>
          <w:szCs w:val="20"/>
          <w:lang w:val="x-none" w:eastAsia="x-none"/>
        </w:rPr>
        <w:t xml:space="preserve"> </w:t>
      </w:r>
      <w:r w:rsidRPr="001A423D">
        <w:rPr>
          <w:rFonts w:ascii="Times New Roman" w:hAnsi="Times New Roman"/>
          <w:i/>
          <w:color w:val="000000"/>
          <w:spacing w:val="-2"/>
          <w:sz w:val="20"/>
          <w:szCs w:val="20"/>
          <w:lang w:val="x-none" w:eastAsia="x-none"/>
        </w:rPr>
        <w:t>some</w:t>
      </w:r>
      <w:r w:rsidRPr="001A423D">
        <w:rPr>
          <w:rFonts w:ascii="Times New Roman" w:hAnsi="Times New Roman"/>
          <w:i/>
          <w:color w:val="000000"/>
          <w:spacing w:val="7"/>
          <w:sz w:val="20"/>
          <w:szCs w:val="20"/>
          <w:lang w:val="x-none" w:eastAsia="x-none"/>
        </w:rPr>
        <w:t xml:space="preserve"> </w:t>
      </w:r>
      <w:r w:rsidRPr="001A423D">
        <w:rPr>
          <w:rFonts w:ascii="Times New Roman" w:hAnsi="Times New Roman"/>
          <w:i/>
          <w:color w:val="000000"/>
          <w:spacing w:val="-1"/>
          <w:sz w:val="20"/>
          <w:szCs w:val="20"/>
          <w:lang w:val="x-none" w:eastAsia="x-none"/>
        </w:rPr>
        <w:t>of</w:t>
      </w:r>
      <w:r w:rsidRPr="001A423D">
        <w:rPr>
          <w:rFonts w:ascii="Times New Roman" w:hAnsi="Times New Roman"/>
          <w:i/>
          <w:color w:val="000000"/>
          <w:spacing w:val="6"/>
          <w:sz w:val="20"/>
          <w:szCs w:val="20"/>
          <w:lang w:val="x-none" w:eastAsia="x-none"/>
        </w:rPr>
        <w:t xml:space="preserve"> </w:t>
      </w:r>
      <w:r w:rsidRPr="001A423D">
        <w:rPr>
          <w:rFonts w:ascii="Times New Roman" w:hAnsi="Times New Roman"/>
          <w:i/>
          <w:color w:val="000000"/>
          <w:spacing w:val="-2"/>
          <w:sz w:val="20"/>
          <w:szCs w:val="20"/>
          <w:lang w:val="x-none" w:eastAsia="x-none"/>
        </w:rPr>
        <w:t>the</w:t>
      </w:r>
      <w:r w:rsidRPr="001A423D">
        <w:rPr>
          <w:rFonts w:ascii="Times New Roman" w:hAnsi="Times New Roman"/>
          <w:i/>
          <w:color w:val="000000"/>
          <w:spacing w:val="6"/>
          <w:sz w:val="20"/>
          <w:szCs w:val="20"/>
          <w:lang w:val="x-none" w:eastAsia="x-none"/>
        </w:rPr>
        <w:t xml:space="preserve"> </w:t>
      </w:r>
      <w:r w:rsidRPr="001A423D">
        <w:rPr>
          <w:rFonts w:ascii="Times New Roman" w:hAnsi="Times New Roman"/>
          <w:i/>
          <w:color w:val="000000"/>
          <w:spacing w:val="-1"/>
          <w:sz w:val="20"/>
          <w:szCs w:val="20"/>
          <w:lang w:val="x-none" w:eastAsia="x-none"/>
        </w:rPr>
        <w:t>Registered</w:t>
      </w:r>
      <w:r w:rsidRPr="001A423D">
        <w:rPr>
          <w:rFonts w:ascii="Times New Roman" w:hAnsi="Times New Roman"/>
          <w:i/>
          <w:color w:val="000000"/>
          <w:spacing w:val="5"/>
          <w:sz w:val="20"/>
          <w:szCs w:val="20"/>
          <w:lang w:val="x-none" w:eastAsia="x-none"/>
        </w:rPr>
        <w:t xml:space="preserve"> </w:t>
      </w:r>
      <w:r w:rsidRPr="001A423D">
        <w:rPr>
          <w:rFonts w:ascii="Times New Roman" w:hAnsi="Times New Roman"/>
          <w:i/>
          <w:color w:val="000000"/>
          <w:spacing w:val="-2"/>
          <w:sz w:val="20"/>
          <w:szCs w:val="20"/>
          <w:lang w:val="x-none" w:eastAsia="x-none"/>
        </w:rPr>
        <w:t>Brokers</w:t>
      </w:r>
      <w:r w:rsidRPr="001A423D">
        <w:rPr>
          <w:rFonts w:ascii="Times New Roman" w:hAnsi="Times New Roman"/>
          <w:i/>
          <w:color w:val="000000"/>
          <w:spacing w:val="6"/>
          <w:sz w:val="20"/>
          <w:szCs w:val="20"/>
          <w:lang w:val="x-none" w:eastAsia="x-none"/>
        </w:rPr>
        <w:t xml:space="preserve"> </w:t>
      </w:r>
      <w:r w:rsidRPr="001A423D">
        <w:rPr>
          <w:rFonts w:ascii="Times New Roman" w:hAnsi="Times New Roman"/>
          <w:i/>
          <w:color w:val="000000"/>
          <w:spacing w:val="-2"/>
          <w:sz w:val="20"/>
          <w:szCs w:val="20"/>
          <w:lang w:val="x-none" w:eastAsia="x-none"/>
        </w:rPr>
        <w:t xml:space="preserve">which </w:t>
      </w:r>
      <w:r w:rsidRPr="001A423D">
        <w:rPr>
          <w:rFonts w:ascii="Times New Roman" w:hAnsi="Times New Roman"/>
          <w:i/>
          <w:color w:val="000000"/>
          <w:spacing w:val="-1"/>
          <w:sz w:val="20"/>
          <w:szCs w:val="20"/>
          <w:lang w:val="x-none" w:eastAsia="x-none"/>
        </w:rPr>
        <w:t>are</w:t>
      </w:r>
      <w:r w:rsidRPr="001A423D">
        <w:rPr>
          <w:rFonts w:ascii="Times New Roman" w:hAnsi="Times New Roman"/>
          <w:i/>
          <w:color w:val="000000"/>
          <w:sz w:val="20"/>
          <w:szCs w:val="20"/>
          <w:lang w:val="x-none" w:eastAsia="x-none"/>
        </w:rPr>
        <w:t xml:space="preserve"> </w:t>
      </w:r>
      <w:r w:rsidRPr="001A423D">
        <w:rPr>
          <w:rFonts w:ascii="Times New Roman" w:hAnsi="Times New Roman"/>
          <w:i/>
          <w:color w:val="000000"/>
          <w:spacing w:val="-1"/>
          <w:sz w:val="20"/>
          <w:szCs w:val="20"/>
          <w:lang w:val="x-none" w:eastAsia="x-none"/>
        </w:rPr>
        <w:t>Members</w:t>
      </w:r>
      <w:r w:rsidRPr="001A423D">
        <w:rPr>
          <w:rFonts w:ascii="Times New Roman" w:hAnsi="Times New Roman"/>
          <w:i/>
          <w:color w:val="000000"/>
          <w:sz w:val="20"/>
          <w:szCs w:val="20"/>
          <w:lang w:val="x-none" w:eastAsia="x-none"/>
        </w:rPr>
        <w:t xml:space="preserve"> </w:t>
      </w:r>
      <w:r w:rsidRPr="001A423D">
        <w:rPr>
          <w:rFonts w:ascii="Times New Roman" w:hAnsi="Times New Roman"/>
          <w:i/>
          <w:color w:val="000000"/>
          <w:spacing w:val="-1"/>
          <w:sz w:val="20"/>
          <w:szCs w:val="20"/>
          <w:lang w:val="x-none" w:eastAsia="x-none"/>
        </w:rPr>
        <w:t>of</w:t>
      </w:r>
      <w:r w:rsidRPr="001A423D">
        <w:rPr>
          <w:rFonts w:ascii="Times New Roman" w:hAnsi="Times New Roman"/>
          <w:i/>
          <w:color w:val="000000"/>
          <w:sz w:val="20"/>
          <w:szCs w:val="20"/>
          <w:lang w:val="x-none" w:eastAsia="x-none"/>
        </w:rPr>
        <w:t xml:space="preserve"> </w:t>
      </w:r>
      <w:r w:rsidRPr="001A423D">
        <w:rPr>
          <w:rFonts w:ascii="Times New Roman" w:hAnsi="Times New Roman"/>
          <w:i/>
          <w:color w:val="000000"/>
          <w:spacing w:val="-1"/>
          <w:sz w:val="20"/>
          <w:szCs w:val="20"/>
          <w:lang w:val="x-none" w:eastAsia="x-none"/>
        </w:rPr>
        <w:t>the Syndicate</w:t>
      </w:r>
      <w:r w:rsidRPr="001A423D">
        <w:rPr>
          <w:rFonts w:ascii="Times New Roman" w:hAnsi="Times New Roman"/>
          <w:i/>
          <w:color w:val="000000"/>
          <w:sz w:val="20"/>
          <w:szCs w:val="20"/>
          <w:lang w:val="x-none" w:eastAsia="x-none"/>
        </w:rPr>
        <w:t xml:space="preserve"> </w:t>
      </w:r>
      <w:r w:rsidRPr="001A423D">
        <w:rPr>
          <w:rFonts w:ascii="Times New Roman" w:hAnsi="Times New Roman"/>
          <w:i/>
          <w:color w:val="000000"/>
          <w:spacing w:val="-1"/>
          <w:sz w:val="20"/>
          <w:szCs w:val="20"/>
          <w:lang w:val="x-none" w:eastAsia="x-none"/>
        </w:rPr>
        <w:t>(including</w:t>
      </w:r>
      <w:r w:rsidRPr="001A423D">
        <w:rPr>
          <w:rFonts w:ascii="Times New Roman" w:hAnsi="Times New Roman"/>
          <w:i/>
          <w:color w:val="000000"/>
          <w:spacing w:val="-4"/>
          <w:sz w:val="20"/>
          <w:szCs w:val="20"/>
          <w:lang w:val="x-none" w:eastAsia="x-none"/>
        </w:rPr>
        <w:t xml:space="preserve"> </w:t>
      </w:r>
      <w:r w:rsidRPr="001A423D">
        <w:rPr>
          <w:rFonts w:ascii="Times New Roman" w:hAnsi="Times New Roman"/>
          <w:i/>
          <w:color w:val="000000"/>
          <w:spacing w:val="-1"/>
          <w:sz w:val="20"/>
          <w:szCs w:val="20"/>
          <w:lang w:val="x-none" w:eastAsia="x-none"/>
        </w:rPr>
        <w:t>their</w:t>
      </w:r>
      <w:r w:rsidRPr="001A423D">
        <w:rPr>
          <w:rFonts w:ascii="Times New Roman" w:hAnsi="Times New Roman"/>
          <w:i/>
          <w:color w:val="000000"/>
          <w:spacing w:val="-2"/>
          <w:sz w:val="20"/>
          <w:szCs w:val="20"/>
          <w:lang w:val="x-none" w:eastAsia="x-none"/>
        </w:rPr>
        <w:t xml:space="preserve"> </w:t>
      </w:r>
      <w:r w:rsidRPr="001A423D">
        <w:rPr>
          <w:rFonts w:ascii="Times New Roman" w:hAnsi="Times New Roman"/>
          <w:i/>
          <w:color w:val="000000"/>
          <w:spacing w:val="-1"/>
          <w:sz w:val="20"/>
          <w:szCs w:val="20"/>
          <w:lang w:val="x-none" w:eastAsia="x-none"/>
        </w:rPr>
        <w:t>Sub-Syndicate Members) would</w:t>
      </w:r>
      <w:r w:rsidRPr="001A423D">
        <w:rPr>
          <w:rFonts w:ascii="Times New Roman" w:hAnsi="Times New Roman"/>
          <w:i/>
          <w:color w:val="000000"/>
          <w:sz w:val="20"/>
          <w:szCs w:val="20"/>
          <w:lang w:val="x-none" w:eastAsia="x-none"/>
        </w:rPr>
        <w:t xml:space="preserve"> be</w:t>
      </w:r>
      <w:r w:rsidRPr="001A423D">
        <w:rPr>
          <w:rFonts w:ascii="Times New Roman" w:hAnsi="Times New Roman"/>
          <w:i/>
          <w:color w:val="000000"/>
          <w:spacing w:val="-1"/>
          <w:sz w:val="20"/>
          <w:szCs w:val="20"/>
          <w:lang w:val="x-none" w:eastAsia="x-none"/>
        </w:rPr>
        <w:t xml:space="preserve"> as</w:t>
      </w:r>
      <w:r w:rsidRPr="001A423D">
        <w:rPr>
          <w:rFonts w:ascii="Times New Roman" w:hAnsi="Times New Roman"/>
          <w:i/>
          <w:color w:val="000000"/>
          <w:sz w:val="20"/>
          <w:szCs w:val="20"/>
          <w:lang w:val="x-none" w:eastAsia="x-none"/>
        </w:rPr>
        <w:t xml:space="preserve"> </w:t>
      </w:r>
      <w:r w:rsidRPr="001A423D">
        <w:rPr>
          <w:rFonts w:ascii="Times New Roman" w:hAnsi="Times New Roman"/>
          <w:i/>
          <w:color w:val="000000"/>
          <w:spacing w:val="-1"/>
          <w:sz w:val="20"/>
          <w:szCs w:val="20"/>
          <w:lang w:val="x-none" w:eastAsia="x-none"/>
        </w:rPr>
        <w:t>follows:</w:t>
      </w:r>
    </w:p>
    <w:tbl>
      <w:tblPr>
        <w:tblW w:w="10389"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0"/>
        <w:gridCol w:w="6339"/>
      </w:tblGrid>
      <w:tr w:rsidR="00CB2D76" w:rsidRPr="001A423D" w14:paraId="367E64ED" w14:textId="77777777" w:rsidTr="009C1E14">
        <w:trPr>
          <w:trHeight w:val="260"/>
        </w:trPr>
        <w:tc>
          <w:tcPr>
            <w:tcW w:w="4050" w:type="dxa"/>
            <w:shd w:val="clear" w:color="auto" w:fill="auto"/>
          </w:tcPr>
          <w:p w14:paraId="008C3512" w14:textId="77777777" w:rsidR="00CB2D76" w:rsidRPr="001A423D" w:rsidRDefault="00CB2D76" w:rsidP="009C1E14">
            <w:pPr>
              <w:widowControl w:val="0"/>
              <w:tabs>
                <w:tab w:val="left" w:pos="492"/>
              </w:tabs>
              <w:spacing w:after="0" w:line="240" w:lineRule="auto"/>
              <w:jc w:val="both"/>
              <w:rPr>
                <w:rFonts w:ascii="Times New Roman" w:hAnsi="Times New Roman"/>
                <w:sz w:val="20"/>
                <w:szCs w:val="20"/>
              </w:rPr>
            </w:pPr>
            <w:r w:rsidRPr="001A423D">
              <w:rPr>
                <w:rFonts w:ascii="Times New Roman" w:hAnsi="Times New Roman"/>
                <w:i/>
                <w:spacing w:val="-1"/>
                <w:sz w:val="20"/>
                <w:szCs w:val="20"/>
              </w:rPr>
              <w:t>Portion</w:t>
            </w:r>
            <w:r w:rsidRPr="001A423D">
              <w:rPr>
                <w:rFonts w:ascii="Times New Roman" w:hAnsi="Times New Roman"/>
                <w:i/>
                <w:sz w:val="20"/>
                <w:szCs w:val="20"/>
              </w:rPr>
              <w:t xml:space="preserve"> </w:t>
            </w:r>
            <w:r w:rsidRPr="001A423D">
              <w:rPr>
                <w:rFonts w:ascii="Times New Roman" w:hAnsi="Times New Roman"/>
                <w:i/>
                <w:spacing w:val="-2"/>
                <w:sz w:val="20"/>
                <w:szCs w:val="20"/>
              </w:rPr>
              <w:t>for</w:t>
            </w:r>
            <w:r w:rsidRPr="001A423D">
              <w:rPr>
                <w:rFonts w:ascii="Times New Roman" w:hAnsi="Times New Roman"/>
                <w:i/>
                <w:sz w:val="20"/>
                <w:szCs w:val="20"/>
              </w:rPr>
              <w:t xml:space="preserve"> </w:t>
            </w:r>
            <w:r w:rsidRPr="001A423D">
              <w:rPr>
                <w:rFonts w:ascii="Times New Roman" w:hAnsi="Times New Roman"/>
                <w:i/>
                <w:spacing w:val="-1"/>
                <w:sz w:val="20"/>
                <w:szCs w:val="20"/>
              </w:rPr>
              <w:t>Retail</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Individual</w:t>
            </w:r>
            <w:r w:rsidRPr="001A423D">
              <w:rPr>
                <w:rFonts w:ascii="Times New Roman" w:hAnsi="Times New Roman"/>
                <w:i/>
                <w:spacing w:val="5"/>
                <w:sz w:val="20"/>
                <w:szCs w:val="20"/>
              </w:rPr>
              <w:t xml:space="preserve"> </w:t>
            </w:r>
            <w:r w:rsidRPr="001A423D">
              <w:rPr>
                <w:rFonts w:ascii="Times New Roman" w:hAnsi="Times New Roman"/>
                <w:i/>
                <w:spacing w:val="-1"/>
                <w:sz w:val="20"/>
                <w:szCs w:val="20"/>
              </w:rPr>
              <w:t>Bidders</w:t>
            </w:r>
          </w:p>
        </w:tc>
        <w:tc>
          <w:tcPr>
            <w:tcW w:w="6339" w:type="dxa"/>
            <w:shd w:val="clear" w:color="auto" w:fill="auto"/>
          </w:tcPr>
          <w:p w14:paraId="1DDCB0FC" w14:textId="77777777" w:rsidR="00CB2D76" w:rsidRPr="001A423D" w:rsidRDefault="00CB2D76" w:rsidP="009C1E14">
            <w:pPr>
              <w:widowControl w:val="0"/>
              <w:tabs>
                <w:tab w:val="left" w:pos="492"/>
              </w:tabs>
              <w:spacing w:after="0" w:line="240" w:lineRule="auto"/>
              <w:jc w:val="both"/>
              <w:rPr>
                <w:rFonts w:ascii="Times New Roman" w:hAnsi="Times New Roman"/>
                <w:sz w:val="20"/>
                <w:szCs w:val="20"/>
              </w:rPr>
            </w:pPr>
            <w:r w:rsidRPr="001A423D">
              <w:rPr>
                <w:rFonts w:ascii="Times New Roman" w:hAnsi="Times New Roman"/>
                <w:i/>
                <w:spacing w:val="-1"/>
                <w:sz w:val="20"/>
                <w:szCs w:val="20"/>
              </w:rPr>
              <w:t>0.10%</w:t>
            </w:r>
            <w:r w:rsidRPr="001A423D">
              <w:rPr>
                <w:rFonts w:ascii="Times New Roman" w:hAnsi="Times New Roman"/>
                <w:i/>
                <w:sz w:val="20"/>
                <w:szCs w:val="20"/>
              </w:rPr>
              <w:t xml:space="preserve"> of</w:t>
            </w:r>
            <w:r w:rsidRPr="001A423D">
              <w:rPr>
                <w:rFonts w:ascii="Times New Roman" w:hAnsi="Times New Roman"/>
                <w:i/>
                <w:spacing w:val="-2"/>
                <w:sz w:val="20"/>
                <w:szCs w:val="20"/>
              </w:rPr>
              <w:t xml:space="preserve"> the</w:t>
            </w:r>
            <w:r w:rsidRPr="001A423D">
              <w:rPr>
                <w:rFonts w:ascii="Times New Roman" w:hAnsi="Times New Roman"/>
                <w:i/>
                <w:spacing w:val="-1"/>
                <w:sz w:val="20"/>
                <w:szCs w:val="20"/>
              </w:rPr>
              <w:t xml:space="preserve"> Amount</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Allotted*</w:t>
            </w:r>
            <w:r w:rsidRPr="001A423D">
              <w:rPr>
                <w:rFonts w:ascii="Times New Roman" w:hAnsi="Times New Roman"/>
                <w:i/>
                <w:sz w:val="20"/>
                <w:szCs w:val="20"/>
              </w:rPr>
              <w:t xml:space="preserve"> </w:t>
            </w:r>
            <w:r w:rsidRPr="001A423D">
              <w:rPr>
                <w:rFonts w:ascii="Times New Roman" w:hAnsi="Times New Roman"/>
                <w:i/>
                <w:spacing w:val="-1"/>
                <w:sz w:val="20"/>
                <w:szCs w:val="20"/>
              </w:rPr>
              <w:t>(plus</w:t>
            </w:r>
            <w:r w:rsidRPr="001A423D">
              <w:rPr>
                <w:rFonts w:ascii="Times New Roman" w:hAnsi="Times New Roman"/>
                <w:i/>
                <w:sz w:val="20"/>
                <w:szCs w:val="20"/>
              </w:rPr>
              <w:t xml:space="preserve"> </w:t>
            </w:r>
            <w:r w:rsidRPr="001A423D">
              <w:rPr>
                <w:rFonts w:ascii="Times New Roman" w:hAnsi="Times New Roman"/>
                <w:i/>
                <w:spacing w:val="-1"/>
                <w:sz w:val="20"/>
                <w:szCs w:val="20"/>
              </w:rPr>
              <w:t>applicable</w:t>
            </w:r>
            <w:r w:rsidRPr="001A423D">
              <w:rPr>
                <w:rFonts w:ascii="Times New Roman" w:hAnsi="Times New Roman"/>
                <w:i/>
                <w:sz w:val="20"/>
                <w:szCs w:val="20"/>
              </w:rPr>
              <w:t xml:space="preserve"> </w:t>
            </w:r>
            <w:r w:rsidRPr="001A423D">
              <w:rPr>
                <w:rFonts w:ascii="Times New Roman" w:hAnsi="Times New Roman"/>
                <w:i/>
                <w:spacing w:val="-1"/>
                <w:sz w:val="20"/>
                <w:szCs w:val="20"/>
              </w:rPr>
              <w:t>taxes)</w:t>
            </w:r>
          </w:p>
        </w:tc>
      </w:tr>
      <w:tr w:rsidR="00CB2D76" w:rsidRPr="001A423D" w14:paraId="1BF23753" w14:textId="77777777" w:rsidTr="009C1E14">
        <w:trPr>
          <w:trHeight w:val="260"/>
        </w:trPr>
        <w:tc>
          <w:tcPr>
            <w:tcW w:w="4050" w:type="dxa"/>
            <w:shd w:val="clear" w:color="auto" w:fill="auto"/>
          </w:tcPr>
          <w:p w14:paraId="29F2B1FA" w14:textId="77777777" w:rsidR="00CB2D76" w:rsidRPr="001A423D" w:rsidRDefault="00CB2D76" w:rsidP="009C1E14">
            <w:pPr>
              <w:widowControl w:val="0"/>
              <w:tabs>
                <w:tab w:val="left" w:pos="492"/>
              </w:tabs>
              <w:spacing w:after="0" w:line="240" w:lineRule="auto"/>
              <w:jc w:val="both"/>
              <w:rPr>
                <w:rFonts w:ascii="Times New Roman" w:hAnsi="Times New Roman"/>
                <w:sz w:val="20"/>
                <w:szCs w:val="20"/>
              </w:rPr>
            </w:pPr>
            <w:r w:rsidRPr="001A423D">
              <w:rPr>
                <w:rFonts w:ascii="Times New Roman" w:hAnsi="Times New Roman"/>
                <w:i/>
                <w:spacing w:val="-1"/>
                <w:sz w:val="20"/>
                <w:szCs w:val="20"/>
              </w:rPr>
              <w:t>Portion</w:t>
            </w:r>
            <w:r w:rsidRPr="001A423D">
              <w:rPr>
                <w:rFonts w:ascii="Times New Roman" w:hAnsi="Times New Roman"/>
                <w:i/>
                <w:sz w:val="20"/>
                <w:szCs w:val="20"/>
              </w:rPr>
              <w:t xml:space="preserve"> </w:t>
            </w:r>
            <w:r w:rsidRPr="001A423D">
              <w:rPr>
                <w:rFonts w:ascii="Times New Roman" w:hAnsi="Times New Roman"/>
                <w:i/>
                <w:spacing w:val="-2"/>
                <w:sz w:val="20"/>
                <w:szCs w:val="20"/>
              </w:rPr>
              <w:t>for</w:t>
            </w:r>
            <w:r w:rsidRPr="001A423D">
              <w:rPr>
                <w:rFonts w:ascii="Times New Roman" w:hAnsi="Times New Roman"/>
                <w:i/>
                <w:sz w:val="20"/>
                <w:szCs w:val="20"/>
              </w:rPr>
              <w:t xml:space="preserve"> </w:t>
            </w:r>
            <w:r w:rsidRPr="001A423D">
              <w:rPr>
                <w:rFonts w:ascii="Times New Roman" w:hAnsi="Times New Roman"/>
                <w:i/>
                <w:spacing w:val="-1"/>
                <w:sz w:val="20"/>
                <w:szCs w:val="20"/>
              </w:rPr>
              <w:t>Non-Institutional</w:t>
            </w:r>
            <w:r w:rsidRPr="001A423D">
              <w:rPr>
                <w:rFonts w:ascii="Times New Roman" w:hAnsi="Times New Roman"/>
                <w:i/>
                <w:sz w:val="20"/>
                <w:szCs w:val="20"/>
              </w:rPr>
              <w:t xml:space="preserve"> </w:t>
            </w:r>
            <w:r w:rsidRPr="001A423D">
              <w:rPr>
                <w:rFonts w:ascii="Times New Roman" w:hAnsi="Times New Roman"/>
                <w:i/>
                <w:spacing w:val="-1"/>
                <w:sz w:val="20"/>
                <w:szCs w:val="20"/>
              </w:rPr>
              <w:t>Bidders</w:t>
            </w:r>
          </w:p>
        </w:tc>
        <w:tc>
          <w:tcPr>
            <w:tcW w:w="6339" w:type="dxa"/>
            <w:shd w:val="clear" w:color="auto" w:fill="auto"/>
          </w:tcPr>
          <w:p w14:paraId="5EA285C1" w14:textId="77777777" w:rsidR="00CB2D76" w:rsidRPr="001A423D" w:rsidRDefault="00CB2D76" w:rsidP="009C1E14">
            <w:pPr>
              <w:widowControl w:val="0"/>
              <w:tabs>
                <w:tab w:val="left" w:pos="492"/>
              </w:tabs>
              <w:spacing w:after="0" w:line="240" w:lineRule="auto"/>
              <w:jc w:val="both"/>
              <w:rPr>
                <w:rFonts w:ascii="Times New Roman" w:hAnsi="Times New Roman"/>
                <w:sz w:val="20"/>
                <w:szCs w:val="20"/>
              </w:rPr>
            </w:pPr>
            <w:r w:rsidRPr="001A423D">
              <w:rPr>
                <w:rFonts w:ascii="Times New Roman" w:hAnsi="Times New Roman"/>
                <w:i/>
                <w:spacing w:val="-1"/>
                <w:sz w:val="20"/>
                <w:szCs w:val="20"/>
              </w:rPr>
              <w:t>0.10%</w:t>
            </w:r>
            <w:r w:rsidRPr="001A423D">
              <w:rPr>
                <w:rFonts w:ascii="Times New Roman" w:hAnsi="Times New Roman"/>
                <w:i/>
                <w:spacing w:val="1"/>
                <w:sz w:val="20"/>
                <w:szCs w:val="20"/>
              </w:rPr>
              <w:t xml:space="preserve"> </w:t>
            </w:r>
            <w:r w:rsidRPr="001A423D">
              <w:rPr>
                <w:rFonts w:ascii="Times New Roman" w:hAnsi="Times New Roman"/>
                <w:i/>
                <w:spacing w:val="-1"/>
                <w:sz w:val="20"/>
                <w:szCs w:val="20"/>
              </w:rPr>
              <w:t>of</w:t>
            </w:r>
            <w:r w:rsidRPr="001A423D">
              <w:rPr>
                <w:rFonts w:ascii="Times New Roman" w:hAnsi="Times New Roman"/>
                <w:i/>
                <w:sz w:val="20"/>
                <w:szCs w:val="20"/>
              </w:rPr>
              <w:t xml:space="preserve"> </w:t>
            </w:r>
            <w:r w:rsidRPr="001A423D">
              <w:rPr>
                <w:rFonts w:ascii="Times New Roman" w:hAnsi="Times New Roman"/>
                <w:i/>
                <w:spacing w:val="-2"/>
                <w:sz w:val="20"/>
                <w:szCs w:val="20"/>
              </w:rPr>
              <w:t>the</w:t>
            </w:r>
            <w:r w:rsidRPr="001A423D">
              <w:rPr>
                <w:rFonts w:ascii="Times New Roman" w:hAnsi="Times New Roman"/>
                <w:i/>
                <w:spacing w:val="-1"/>
                <w:sz w:val="20"/>
                <w:szCs w:val="20"/>
              </w:rPr>
              <w:t xml:space="preserve"> Amount</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Allotted*</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(plus</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applicable</w:t>
            </w:r>
            <w:r w:rsidRPr="001A423D">
              <w:rPr>
                <w:rFonts w:ascii="Times New Roman" w:hAnsi="Times New Roman"/>
                <w:i/>
                <w:sz w:val="20"/>
                <w:szCs w:val="20"/>
              </w:rPr>
              <w:t xml:space="preserve"> </w:t>
            </w:r>
            <w:r w:rsidRPr="001A423D">
              <w:rPr>
                <w:rFonts w:ascii="Times New Roman" w:hAnsi="Times New Roman"/>
                <w:i/>
                <w:spacing w:val="-1"/>
                <w:sz w:val="20"/>
                <w:szCs w:val="20"/>
              </w:rPr>
              <w:t>taxes)</w:t>
            </w:r>
          </w:p>
        </w:tc>
      </w:tr>
    </w:tbl>
    <w:p w14:paraId="36412872" w14:textId="77777777" w:rsidR="00CB2D76" w:rsidRPr="001A423D" w:rsidRDefault="00CB2D76" w:rsidP="00CB2D76">
      <w:pPr>
        <w:tabs>
          <w:tab w:val="left" w:pos="492"/>
        </w:tabs>
        <w:spacing w:after="0" w:line="240" w:lineRule="auto"/>
        <w:ind w:left="426"/>
        <w:jc w:val="both"/>
        <w:rPr>
          <w:rFonts w:ascii="Times New Roman" w:hAnsi="Times New Roman"/>
          <w:i/>
          <w:spacing w:val="-1"/>
          <w:sz w:val="20"/>
          <w:szCs w:val="20"/>
        </w:rPr>
      </w:pPr>
      <w:r w:rsidRPr="001A423D">
        <w:rPr>
          <w:rFonts w:ascii="Times New Roman" w:hAnsi="Times New Roman"/>
          <w:i/>
          <w:spacing w:val="-1"/>
          <w:sz w:val="20"/>
          <w:szCs w:val="20"/>
        </w:rPr>
        <w:t>*Amount</w:t>
      </w:r>
      <w:r w:rsidRPr="001A423D">
        <w:rPr>
          <w:rFonts w:ascii="Times New Roman" w:hAnsi="Times New Roman"/>
          <w:i/>
          <w:spacing w:val="1"/>
          <w:sz w:val="20"/>
          <w:szCs w:val="20"/>
        </w:rPr>
        <w:t xml:space="preserve"> </w:t>
      </w:r>
      <w:r w:rsidRPr="001A423D">
        <w:rPr>
          <w:rFonts w:ascii="Times New Roman" w:hAnsi="Times New Roman"/>
          <w:i/>
          <w:spacing w:val="-2"/>
          <w:sz w:val="20"/>
          <w:szCs w:val="20"/>
        </w:rPr>
        <w:t xml:space="preserve">Allotted </w:t>
      </w:r>
      <w:r w:rsidRPr="001A423D">
        <w:rPr>
          <w:rFonts w:ascii="Times New Roman" w:hAnsi="Times New Roman"/>
          <w:i/>
          <w:spacing w:val="-1"/>
          <w:sz w:val="20"/>
          <w:szCs w:val="20"/>
        </w:rPr>
        <w:t>is</w:t>
      </w:r>
      <w:r w:rsidRPr="001A423D">
        <w:rPr>
          <w:rFonts w:ascii="Times New Roman" w:hAnsi="Times New Roman"/>
          <w:i/>
          <w:sz w:val="20"/>
          <w:szCs w:val="20"/>
        </w:rPr>
        <w:t xml:space="preserve"> </w:t>
      </w:r>
      <w:r w:rsidRPr="001A423D">
        <w:rPr>
          <w:rFonts w:ascii="Times New Roman" w:hAnsi="Times New Roman"/>
          <w:i/>
          <w:spacing w:val="-1"/>
          <w:sz w:val="20"/>
          <w:szCs w:val="20"/>
        </w:rPr>
        <w:t>the product</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of</w:t>
      </w:r>
      <w:r w:rsidRPr="001A423D">
        <w:rPr>
          <w:rFonts w:ascii="Times New Roman" w:hAnsi="Times New Roman"/>
          <w:i/>
          <w:spacing w:val="1"/>
          <w:sz w:val="20"/>
          <w:szCs w:val="20"/>
        </w:rPr>
        <w:t xml:space="preserve"> </w:t>
      </w:r>
      <w:r w:rsidRPr="001A423D">
        <w:rPr>
          <w:rFonts w:ascii="Times New Roman" w:hAnsi="Times New Roman"/>
          <w:i/>
          <w:spacing w:val="-2"/>
          <w:sz w:val="20"/>
          <w:szCs w:val="20"/>
        </w:rPr>
        <w:t>the</w:t>
      </w:r>
      <w:r w:rsidRPr="001A423D">
        <w:rPr>
          <w:rFonts w:ascii="Times New Roman" w:hAnsi="Times New Roman"/>
          <w:i/>
          <w:spacing w:val="1"/>
          <w:sz w:val="20"/>
          <w:szCs w:val="20"/>
        </w:rPr>
        <w:t xml:space="preserve"> </w:t>
      </w:r>
      <w:r w:rsidRPr="001A423D">
        <w:rPr>
          <w:rFonts w:ascii="Times New Roman" w:hAnsi="Times New Roman"/>
          <w:i/>
          <w:spacing w:val="-1"/>
          <w:sz w:val="20"/>
          <w:szCs w:val="20"/>
        </w:rPr>
        <w:t>number</w:t>
      </w:r>
      <w:r w:rsidRPr="001A423D">
        <w:rPr>
          <w:rFonts w:ascii="Times New Roman" w:hAnsi="Times New Roman"/>
          <w:i/>
          <w:spacing w:val="-2"/>
          <w:sz w:val="20"/>
          <w:szCs w:val="20"/>
        </w:rPr>
        <w:t xml:space="preserve"> </w:t>
      </w:r>
      <w:r w:rsidRPr="001A423D">
        <w:rPr>
          <w:rFonts w:ascii="Times New Roman" w:hAnsi="Times New Roman"/>
          <w:i/>
          <w:sz w:val="20"/>
          <w:szCs w:val="20"/>
        </w:rPr>
        <w:t>of</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Equity Shares</w:t>
      </w:r>
      <w:r w:rsidRPr="001A423D">
        <w:rPr>
          <w:rFonts w:ascii="Times New Roman" w:hAnsi="Times New Roman"/>
          <w:i/>
          <w:sz w:val="20"/>
          <w:szCs w:val="20"/>
        </w:rPr>
        <w:t xml:space="preserve"> </w:t>
      </w:r>
      <w:r w:rsidRPr="001A423D">
        <w:rPr>
          <w:rFonts w:ascii="Times New Roman" w:hAnsi="Times New Roman"/>
          <w:i/>
          <w:spacing w:val="-1"/>
          <w:sz w:val="20"/>
          <w:szCs w:val="20"/>
        </w:rPr>
        <w:t>Allotted</w:t>
      </w:r>
      <w:r w:rsidRPr="001A423D">
        <w:rPr>
          <w:rFonts w:ascii="Times New Roman" w:hAnsi="Times New Roman"/>
          <w:i/>
          <w:sz w:val="20"/>
          <w:szCs w:val="20"/>
        </w:rPr>
        <w:t xml:space="preserve"> </w:t>
      </w:r>
      <w:r w:rsidRPr="001A423D">
        <w:rPr>
          <w:rFonts w:ascii="Times New Roman" w:hAnsi="Times New Roman"/>
          <w:i/>
          <w:spacing w:val="-1"/>
          <w:sz w:val="20"/>
          <w:szCs w:val="20"/>
        </w:rPr>
        <w:t>and</w:t>
      </w:r>
      <w:r w:rsidRPr="001A423D">
        <w:rPr>
          <w:rFonts w:ascii="Times New Roman" w:hAnsi="Times New Roman"/>
          <w:i/>
          <w:spacing w:val="-2"/>
          <w:sz w:val="20"/>
          <w:szCs w:val="20"/>
        </w:rPr>
        <w:t xml:space="preserve"> the</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Issue Price</w:t>
      </w:r>
    </w:p>
    <w:p w14:paraId="7CB96737" w14:textId="77777777" w:rsidR="00CB2D76" w:rsidRPr="001A423D" w:rsidRDefault="00CB2D76" w:rsidP="00CB2D76">
      <w:pPr>
        <w:tabs>
          <w:tab w:val="left" w:pos="492"/>
        </w:tabs>
        <w:spacing w:after="0" w:line="240" w:lineRule="auto"/>
        <w:ind w:right="118"/>
        <w:jc w:val="both"/>
        <w:rPr>
          <w:rFonts w:ascii="Times New Roman" w:hAnsi="Times New Roman"/>
          <w:i/>
          <w:spacing w:val="-1"/>
          <w:sz w:val="20"/>
          <w:szCs w:val="20"/>
        </w:rPr>
      </w:pPr>
      <w:r w:rsidRPr="001A423D">
        <w:rPr>
          <w:rFonts w:ascii="Times New Roman" w:hAnsi="Times New Roman"/>
          <w:i/>
          <w:spacing w:val="-1"/>
          <w:sz w:val="20"/>
          <w:szCs w:val="20"/>
        </w:rPr>
        <w:t>Uploading</w:t>
      </w:r>
      <w:r w:rsidRPr="001A423D">
        <w:rPr>
          <w:rFonts w:ascii="Times New Roman" w:hAnsi="Times New Roman"/>
          <w:i/>
          <w:spacing w:val="1"/>
          <w:sz w:val="20"/>
          <w:szCs w:val="20"/>
        </w:rPr>
        <w:t xml:space="preserve"> </w:t>
      </w:r>
      <w:r w:rsidRPr="001A423D">
        <w:rPr>
          <w:rFonts w:ascii="Times New Roman" w:hAnsi="Times New Roman"/>
          <w:i/>
          <w:spacing w:val="-1"/>
          <w:sz w:val="20"/>
          <w:szCs w:val="20"/>
        </w:rPr>
        <w:t>charges</w:t>
      </w:r>
      <w:r w:rsidRPr="001A423D">
        <w:rPr>
          <w:rFonts w:ascii="Times New Roman" w:hAnsi="Times New Roman"/>
          <w:i/>
          <w:spacing w:val="1"/>
          <w:sz w:val="20"/>
          <w:szCs w:val="20"/>
        </w:rPr>
        <w:t xml:space="preserve"> </w:t>
      </w:r>
      <w:r w:rsidRPr="001A423D">
        <w:rPr>
          <w:rFonts w:ascii="Times New Roman" w:hAnsi="Times New Roman"/>
          <w:i/>
          <w:spacing w:val="-1"/>
          <w:sz w:val="20"/>
          <w:szCs w:val="20"/>
        </w:rPr>
        <w:t>payable</w:t>
      </w:r>
      <w:r w:rsidRPr="001A423D">
        <w:rPr>
          <w:rFonts w:ascii="Times New Roman" w:hAnsi="Times New Roman"/>
          <w:i/>
          <w:spacing w:val="5"/>
          <w:sz w:val="20"/>
          <w:szCs w:val="20"/>
        </w:rPr>
        <w:t xml:space="preserve"> </w:t>
      </w:r>
      <w:r w:rsidRPr="001A423D">
        <w:rPr>
          <w:rFonts w:ascii="Times New Roman" w:hAnsi="Times New Roman"/>
          <w:i/>
          <w:spacing w:val="-1"/>
          <w:sz w:val="20"/>
          <w:szCs w:val="20"/>
        </w:rPr>
        <w:t>to</w:t>
      </w:r>
      <w:r w:rsidRPr="001A423D">
        <w:rPr>
          <w:rFonts w:ascii="Times New Roman" w:hAnsi="Times New Roman"/>
          <w:i/>
          <w:spacing w:val="1"/>
          <w:sz w:val="20"/>
          <w:szCs w:val="20"/>
        </w:rPr>
        <w:t xml:space="preserve"> </w:t>
      </w:r>
      <w:r w:rsidRPr="001A423D">
        <w:rPr>
          <w:rFonts w:ascii="Times New Roman" w:hAnsi="Times New Roman"/>
          <w:i/>
          <w:spacing w:val="-1"/>
          <w:sz w:val="20"/>
          <w:szCs w:val="20"/>
        </w:rPr>
        <w:t>Members</w:t>
      </w:r>
      <w:r w:rsidRPr="001A423D">
        <w:rPr>
          <w:rFonts w:ascii="Times New Roman" w:hAnsi="Times New Roman"/>
          <w:i/>
          <w:sz w:val="20"/>
          <w:szCs w:val="20"/>
        </w:rPr>
        <w:t xml:space="preserve"> of</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the</w:t>
      </w:r>
      <w:r w:rsidRPr="001A423D">
        <w:rPr>
          <w:rFonts w:ascii="Times New Roman" w:hAnsi="Times New Roman"/>
          <w:i/>
          <w:spacing w:val="1"/>
          <w:sz w:val="20"/>
          <w:szCs w:val="20"/>
        </w:rPr>
        <w:t xml:space="preserve"> </w:t>
      </w:r>
      <w:r w:rsidRPr="001A423D">
        <w:rPr>
          <w:rFonts w:ascii="Times New Roman" w:hAnsi="Times New Roman"/>
          <w:i/>
          <w:spacing w:val="-1"/>
          <w:sz w:val="20"/>
          <w:szCs w:val="20"/>
        </w:rPr>
        <w:t>Syndicate</w:t>
      </w:r>
      <w:r w:rsidRPr="001A423D">
        <w:rPr>
          <w:rFonts w:ascii="Times New Roman" w:hAnsi="Times New Roman"/>
          <w:i/>
          <w:spacing w:val="1"/>
          <w:sz w:val="20"/>
          <w:szCs w:val="20"/>
        </w:rPr>
        <w:t xml:space="preserve"> </w:t>
      </w:r>
      <w:r w:rsidRPr="001A423D">
        <w:rPr>
          <w:rFonts w:ascii="Times New Roman" w:hAnsi="Times New Roman"/>
          <w:i/>
          <w:spacing w:val="-1"/>
          <w:sz w:val="20"/>
          <w:szCs w:val="20"/>
        </w:rPr>
        <w:t>(including</w:t>
      </w:r>
      <w:r w:rsidRPr="001A423D">
        <w:rPr>
          <w:rFonts w:ascii="Times New Roman" w:hAnsi="Times New Roman"/>
          <w:i/>
          <w:spacing w:val="1"/>
          <w:sz w:val="20"/>
          <w:szCs w:val="20"/>
        </w:rPr>
        <w:t xml:space="preserve"> </w:t>
      </w:r>
      <w:r w:rsidRPr="001A423D">
        <w:rPr>
          <w:rFonts w:ascii="Times New Roman" w:hAnsi="Times New Roman"/>
          <w:i/>
          <w:spacing w:val="-1"/>
          <w:sz w:val="20"/>
          <w:szCs w:val="20"/>
        </w:rPr>
        <w:t>their</w:t>
      </w:r>
      <w:r w:rsidRPr="001A423D">
        <w:rPr>
          <w:rFonts w:ascii="Times New Roman" w:hAnsi="Times New Roman"/>
          <w:i/>
          <w:spacing w:val="3"/>
          <w:sz w:val="20"/>
          <w:szCs w:val="20"/>
        </w:rPr>
        <w:t xml:space="preserve"> </w:t>
      </w:r>
      <w:r w:rsidRPr="001A423D">
        <w:rPr>
          <w:rFonts w:ascii="Times New Roman" w:hAnsi="Times New Roman"/>
          <w:i/>
          <w:spacing w:val="-1"/>
          <w:sz w:val="20"/>
          <w:szCs w:val="20"/>
        </w:rPr>
        <w:t>sub-Syndicate</w:t>
      </w:r>
      <w:r w:rsidRPr="001A423D">
        <w:rPr>
          <w:rFonts w:ascii="Times New Roman" w:hAnsi="Times New Roman"/>
          <w:i/>
          <w:spacing w:val="4"/>
          <w:sz w:val="20"/>
          <w:szCs w:val="20"/>
        </w:rPr>
        <w:t xml:space="preserve"> </w:t>
      </w:r>
      <w:r w:rsidRPr="001A423D">
        <w:rPr>
          <w:rFonts w:ascii="Times New Roman" w:hAnsi="Times New Roman"/>
          <w:i/>
          <w:spacing w:val="-1"/>
          <w:sz w:val="20"/>
          <w:szCs w:val="20"/>
        </w:rPr>
        <w:t>Members),</w:t>
      </w:r>
      <w:r w:rsidRPr="001A423D">
        <w:rPr>
          <w:rFonts w:ascii="Times New Roman" w:hAnsi="Times New Roman"/>
          <w:i/>
          <w:spacing w:val="1"/>
          <w:sz w:val="20"/>
          <w:szCs w:val="20"/>
        </w:rPr>
        <w:t xml:space="preserve"> </w:t>
      </w:r>
      <w:r w:rsidRPr="001A423D">
        <w:rPr>
          <w:rFonts w:ascii="Times New Roman" w:hAnsi="Times New Roman"/>
          <w:i/>
          <w:spacing w:val="-1"/>
          <w:sz w:val="20"/>
          <w:szCs w:val="20"/>
        </w:rPr>
        <w:t>CRTAs</w:t>
      </w:r>
      <w:r w:rsidRPr="001A423D">
        <w:rPr>
          <w:rFonts w:ascii="Times New Roman" w:hAnsi="Times New Roman"/>
          <w:i/>
          <w:spacing w:val="1"/>
          <w:sz w:val="20"/>
          <w:szCs w:val="20"/>
        </w:rPr>
        <w:t xml:space="preserve"> </w:t>
      </w:r>
      <w:r w:rsidRPr="001A423D">
        <w:rPr>
          <w:rFonts w:ascii="Times New Roman" w:hAnsi="Times New Roman"/>
          <w:i/>
          <w:sz w:val="20"/>
          <w:szCs w:val="20"/>
        </w:rPr>
        <w:t>and</w:t>
      </w:r>
      <w:r w:rsidRPr="001A423D">
        <w:rPr>
          <w:rFonts w:ascii="Times New Roman" w:hAnsi="Times New Roman"/>
          <w:i/>
          <w:spacing w:val="1"/>
          <w:sz w:val="20"/>
          <w:szCs w:val="20"/>
        </w:rPr>
        <w:t xml:space="preserve"> </w:t>
      </w:r>
      <w:r w:rsidRPr="001A423D">
        <w:rPr>
          <w:rFonts w:ascii="Times New Roman" w:hAnsi="Times New Roman"/>
          <w:i/>
          <w:spacing w:val="-1"/>
          <w:sz w:val="20"/>
          <w:szCs w:val="20"/>
        </w:rPr>
        <w:t>CDPs</w:t>
      </w:r>
      <w:r w:rsidRPr="001A423D">
        <w:rPr>
          <w:rFonts w:ascii="Times New Roman" w:hAnsi="Times New Roman"/>
          <w:i/>
          <w:spacing w:val="1"/>
          <w:sz w:val="20"/>
          <w:szCs w:val="20"/>
        </w:rPr>
        <w:t xml:space="preserve"> </w:t>
      </w:r>
      <w:r w:rsidRPr="001A423D">
        <w:rPr>
          <w:rFonts w:ascii="Times New Roman" w:hAnsi="Times New Roman"/>
          <w:i/>
          <w:sz w:val="20"/>
          <w:szCs w:val="20"/>
        </w:rPr>
        <w:t>on</w:t>
      </w:r>
      <w:r w:rsidRPr="001A423D">
        <w:rPr>
          <w:rFonts w:ascii="Times New Roman" w:hAnsi="Times New Roman"/>
          <w:i/>
          <w:spacing w:val="3"/>
          <w:sz w:val="20"/>
          <w:szCs w:val="20"/>
        </w:rPr>
        <w:t xml:space="preserve"> </w:t>
      </w:r>
      <w:r w:rsidRPr="001A423D">
        <w:rPr>
          <w:rFonts w:ascii="Times New Roman" w:hAnsi="Times New Roman"/>
          <w:i/>
          <w:spacing w:val="-2"/>
          <w:sz w:val="20"/>
          <w:szCs w:val="20"/>
        </w:rPr>
        <w:t>the</w:t>
      </w:r>
      <w:r w:rsidRPr="001A423D">
        <w:rPr>
          <w:rFonts w:ascii="Times New Roman" w:hAnsi="Times New Roman"/>
          <w:i/>
          <w:spacing w:val="63"/>
          <w:sz w:val="20"/>
          <w:szCs w:val="20"/>
        </w:rPr>
        <w:t xml:space="preserve"> </w:t>
      </w:r>
      <w:r w:rsidRPr="001A423D">
        <w:rPr>
          <w:rFonts w:ascii="Times New Roman" w:hAnsi="Times New Roman"/>
          <w:i/>
          <w:spacing w:val="-1"/>
          <w:sz w:val="20"/>
          <w:szCs w:val="20"/>
        </w:rPr>
        <w:t>applications</w:t>
      </w:r>
      <w:r w:rsidRPr="001A423D">
        <w:rPr>
          <w:rFonts w:ascii="Times New Roman" w:hAnsi="Times New Roman"/>
          <w:i/>
          <w:spacing w:val="-4"/>
          <w:sz w:val="20"/>
          <w:szCs w:val="20"/>
        </w:rPr>
        <w:t xml:space="preserve"> </w:t>
      </w:r>
      <w:r w:rsidRPr="001A423D">
        <w:rPr>
          <w:rFonts w:ascii="Times New Roman" w:hAnsi="Times New Roman"/>
          <w:i/>
          <w:spacing w:val="-1"/>
          <w:sz w:val="20"/>
          <w:szCs w:val="20"/>
        </w:rPr>
        <w:t>made by</w:t>
      </w:r>
      <w:r w:rsidRPr="001A423D">
        <w:rPr>
          <w:rFonts w:ascii="Times New Roman" w:hAnsi="Times New Roman"/>
          <w:i/>
          <w:spacing w:val="-4"/>
          <w:sz w:val="20"/>
          <w:szCs w:val="20"/>
        </w:rPr>
        <w:t xml:space="preserve"> </w:t>
      </w:r>
      <w:r w:rsidRPr="001A423D">
        <w:rPr>
          <w:rFonts w:ascii="Times New Roman" w:hAnsi="Times New Roman"/>
          <w:i/>
          <w:spacing w:val="-1"/>
          <w:sz w:val="20"/>
          <w:szCs w:val="20"/>
        </w:rPr>
        <w:t>RIBs</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using</w:t>
      </w:r>
      <w:r w:rsidRPr="001A423D">
        <w:rPr>
          <w:rFonts w:ascii="Times New Roman" w:hAnsi="Times New Roman"/>
          <w:i/>
          <w:spacing w:val="-4"/>
          <w:sz w:val="20"/>
          <w:szCs w:val="20"/>
        </w:rPr>
        <w:t xml:space="preserve"> </w:t>
      </w:r>
      <w:r w:rsidRPr="001A423D">
        <w:rPr>
          <w:rFonts w:ascii="Times New Roman" w:hAnsi="Times New Roman"/>
          <w:i/>
          <w:spacing w:val="-1"/>
          <w:sz w:val="20"/>
          <w:szCs w:val="20"/>
        </w:rPr>
        <w:t>3-in-1</w:t>
      </w:r>
      <w:r w:rsidRPr="001A423D">
        <w:rPr>
          <w:rFonts w:ascii="Times New Roman" w:hAnsi="Times New Roman"/>
          <w:i/>
          <w:spacing w:val="-4"/>
          <w:sz w:val="20"/>
          <w:szCs w:val="20"/>
        </w:rPr>
        <w:t xml:space="preserve"> </w:t>
      </w:r>
      <w:r w:rsidRPr="001A423D">
        <w:rPr>
          <w:rFonts w:ascii="Times New Roman" w:hAnsi="Times New Roman"/>
          <w:i/>
          <w:spacing w:val="-1"/>
          <w:sz w:val="20"/>
          <w:szCs w:val="20"/>
        </w:rPr>
        <w:t>accounts</w:t>
      </w:r>
      <w:r w:rsidRPr="001A423D">
        <w:rPr>
          <w:rFonts w:ascii="Times New Roman" w:hAnsi="Times New Roman"/>
          <w:i/>
          <w:spacing w:val="-7"/>
          <w:sz w:val="20"/>
          <w:szCs w:val="20"/>
        </w:rPr>
        <w:t xml:space="preserve"> </w:t>
      </w:r>
      <w:r w:rsidRPr="001A423D">
        <w:rPr>
          <w:rFonts w:ascii="Times New Roman" w:hAnsi="Times New Roman"/>
          <w:i/>
          <w:sz w:val="20"/>
          <w:szCs w:val="20"/>
        </w:rPr>
        <w:t>and</w:t>
      </w:r>
      <w:r w:rsidRPr="001A423D">
        <w:rPr>
          <w:rFonts w:ascii="Times New Roman" w:hAnsi="Times New Roman"/>
          <w:i/>
          <w:spacing w:val="-4"/>
          <w:sz w:val="20"/>
          <w:szCs w:val="20"/>
        </w:rPr>
        <w:t xml:space="preserve"> </w:t>
      </w:r>
      <w:r w:rsidRPr="001A423D">
        <w:rPr>
          <w:rFonts w:ascii="Times New Roman" w:hAnsi="Times New Roman"/>
          <w:i/>
          <w:spacing w:val="-1"/>
          <w:sz w:val="20"/>
          <w:szCs w:val="20"/>
        </w:rPr>
        <w:t>Non-Institutional</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Bidders</w:t>
      </w:r>
      <w:r w:rsidRPr="001A423D">
        <w:rPr>
          <w:rFonts w:ascii="Times New Roman" w:hAnsi="Times New Roman"/>
          <w:i/>
          <w:spacing w:val="-4"/>
          <w:sz w:val="20"/>
          <w:szCs w:val="20"/>
        </w:rPr>
        <w:t xml:space="preserve"> </w:t>
      </w:r>
      <w:r w:rsidRPr="001A423D">
        <w:rPr>
          <w:rFonts w:ascii="Times New Roman" w:hAnsi="Times New Roman"/>
          <w:i/>
          <w:spacing w:val="-1"/>
          <w:sz w:val="20"/>
          <w:szCs w:val="20"/>
        </w:rPr>
        <w:t>which</w:t>
      </w:r>
      <w:r w:rsidRPr="001A423D">
        <w:rPr>
          <w:rFonts w:ascii="Times New Roman" w:hAnsi="Times New Roman"/>
          <w:i/>
          <w:spacing w:val="-4"/>
          <w:sz w:val="20"/>
          <w:szCs w:val="20"/>
        </w:rPr>
        <w:t xml:space="preserve"> </w:t>
      </w:r>
      <w:r w:rsidRPr="001A423D">
        <w:rPr>
          <w:rFonts w:ascii="Times New Roman" w:hAnsi="Times New Roman"/>
          <w:i/>
          <w:sz w:val="20"/>
          <w:szCs w:val="20"/>
        </w:rPr>
        <w:t>are</w:t>
      </w:r>
      <w:r w:rsidRPr="001A423D">
        <w:rPr>
          <w:rFonts w:ascii="Times New Roman" w:hAnsi="Times New Roman"/>
          <w:i/>
          <w:spacing w:val="-4"/>
          <w:sz w:val="20"/>
          <w:szCs w:val="20"/>
        </w:rPr>
        <w:t xml:space="preserve"> </w:t>
      </w:r>
      <w:r w:rsidRPr="001A423D">
        <w:rPr>
          <w:rFonts w:ascii="Times New Roman" w:hAnsi="Times New Roman"/>
          <w:i/>
          <w:spacing w:val="-1"/>
          <w:sz w:val="20"/>
          <w:szCs w:val="20"/>
        </w:rPr>
        <w:t>procured</w:t>
      </w:r>
      <w:r w:rsidRPr="001A423D">
        <w:rPr>
          <w:rFonts w:ascii="Times New Roman" w:hAnsi="Times New Roman"/>
          <w:i/>
          <w:spacing w:val="-4"/>
          <w:sz w:val="20"/>
          <w:szCs w:val="20"/>
        </w:rPr>
        <w:t xml:space="preserve"> </w:t>
      </w:r>
      <w:r w:rsidRPr="001A423D">
        <w:rPr>
          <w:rFonts w:ascii="Times New Roman" w:hAnsi="Times New Roman"/>
          <w:i/>
          <w:spacing w:val="-1"/>
          <w:sz w:val="20"/>
          <w:szCs w:val="20"/>
        </w:rPr>
        <w:t>by</w:t>
      </w:r>
      <w:r w:rsidRPr="001A423D">
        <w:rPr>
          <w:rFonts w:ascii="Times New Roman" w:hAnsi="Times New Roman"/>
          <w:i/>
          <w:spacing w:val="1"/>
          <w:sz w:val="20"/>
          <w:szCs w:val="20"/>
        </w:rPr>
        <w:t xml:space="preserve"> </w:t>
      </w:r>
      <w:r w:rsidRPr="001A423D">
        <w:rPr>
          <w:rFonts w:ascii="Times New Roman" w:hAnsi="Times New Roman"/>
          <w:i/>
          <w:spacing w:val="-1"/>
          <w:sz w:val="20"/>
          <w:szCs w:val="20"/>
        </w:rPr>
        <w:t>them</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and</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submitted</w:t>
      </w:r>
      <w:r w:rsidRPr="001A423D">
        <w:rPr>
          <w:rFonts w:ascii="Times New Roman" w:hAnsi="Times New Roman"/>
          <w:i/>
          <w:spacing w:val="-4"/>
          <w:sz w:val="20"/>
          <w:szCs w:val="20"/>
        </w:rPr>
        <w:t xml:space="preserve"> </w:t>
      </w:r>
      <w:r w:rsidRPr="001A423D">
        <w:rPr>
          <w:rFonts w:ascii="Times New Roman" w:hAnsi="Times New Roman"/>
          <w:i/>
          <w:spacing w:val="-1"/>
          <w:sz w:val="20"/>
          <w:szCs w:val="20"/>
        </w:rPr>
        <w:t>to</w:t>
      </w:r>
      <w:r w:rsidRPr="001A423D">
        <w:rPr>
          <w:rFonts w:ascii="Times New Roman" w:hAnsi="Times New Roman"/>
          <w:i/>
          <w:spacing w:val="69"/>
          <w:sz w:val="20"/>
          <w:szCs w:val="20"/>
        </w:rPr>
        <w:t xml:space="preserve"> </w:t>
      </w:r>
      <w:r w:rsidRPr="001A423D">
        <w:rPr>
          <w:rFonts w:ascii="Times New Roman" w:hAnsi="Times New Roman"/>
          <w:i/>
          <w:spacing w:val="-1"/>
          <w:sz w:val="20"/>
          <w:szCs w:val="20"/>
        </w:rPr>
        <w:t>SCSB for</w:t>
      </w:r>
      <w:r w:rsidRPr="001A423D">
        <w:rPr>
          <w:rFonts w:ascii="Times New Roman" w:hAnsi="Times New Roman"/>
          <w:i/>
          <w:sz w:val="20"/>
          <w:szCs w:val="20"/>
        </w:rPr>
        <w:t xml:space="preserve"> </w:t>
      </w:r>
      <w:r w:rsidRPr="001A423D">
        <w:rPr>
          <w:rFonts w:ascii="Times New Roman" w:hAnsi="Times New Roman"/>
          <w:i/>
          <w:spacing w:val="-1"/>
          <w:sz w:val="20"/>
          <w:szCs w:val="20"/>
        </w:rPr>
        <w:t>blocking</w:t>
      </w:r>
      <w:r w:rsidRPr="001A423D">
        <w:rPr>
          <w:rFonts w:ascii="Times New Roman" w:hAnsi="Times New Roman"/>
          <w:i/>
          <w:spacing w:val="1"/>
          <w:sz w:val="20"/>
          <w:szCs w:val="20"/>
        </w:rPr>
        <w:t xml:space="preserve"> </w:t>
      </w:r>
      <w:r w:rsidRPr="001A423D">
        <w:rPr>
          <w:rFonts w:ascii="Times New Roman" w:hAnsi="Times New Roman"/>
          <w:i/>
          <w:sz w:val="20"/>
          <w:szCs w:val="20"/>
        </w:rPr>
        <w:t xml:space="preserve">or </w:t>
      </w:r>
      <w:r w:rsidRPr="001A423D">
        <w:rPr>
          <w:rFonts w:ascii="Times New Roman" w:hAnsi="Times New Roman"/>
          <w:i/>
          <w:spacing w:val="-1"/>
          <w:sz w:val="20"/>
          <w:szCs w:val="20"/>
        </w:rPr>
        <w:t>using</w:t>
      </w:r>
      <w:r w:rsidRPr="001A423D">
        <w:rPr>
          <w:rFonts w:ascii="Times New Roman" w:hAnsi="Times New Roman"/>
          <w:i/>
          <w:spacing w:val="1"/>
          <w:sz w:val="20"/>
          <w:szCs w:val="20"/>
        </w:rPr>
        <w:t xml:space="preserve"> </w:t>
      </w:r>
      <w:r w:rsidRPr="001A423D">
        <w:rPr>
          <w:rFonts w:ascii="Times New Roman" w:hAnsi="Times New Roman"/>
          <w:i/>
          <w:spacing w:val="-1"/>
          <w:sz w:val="20"/>
          <w:szCs w:val="20"/>
        </w:rPr>
        <w:t xml:space="preserve">3-in- </w:t>
      </w:r>
      <w:r w:rsidRPr="001A423D">
        <w:rPr>
          <w:rFonts w:ascii="Times New Roman" w:hAnsi="Times New Roman"/>
          <w:i/>
          <w:sz w:val="20"/>
          <w:szCs w:val="20"/>
        </w:rPr>
        <w:t>1</w:t>
      </w:r>
      <w:r w:rsidRPr="001A423D">
        <w:rPr>
          <w:rFonts w:ascii="Times New Roman" w:hAnsi="Times New Roman"/>
          <w:i/>
          <w:spacing w:val="1"/>
          <w:sz w:val="20"/>
          <w:szCs w:val="20"/>
        </w:rPr>
        <w:t xml:space="preserve"> </w:t>
      </w:r>
      <w:r w:rsidRPr="001A423D">
        <w:rPr>
          <w:rFonts w:ascii="Times New Roman" w:hAnsi="Times New Roman"/>
          <w:i/>
          <w:spacing w:val="-1"/>
          <w:sz w:val="20"/>
          <w:szCs w:val="20"/>
        </w:rPr>
        <w:t>accounts,</w:t>
      </w:r>
      <w:r w:rsidRPr="001A423D">
        <w:rPr>
          <w:rFonts w:ascii="Times New Roman" w:hAnsi="Times New Roman"/>
          <w:i/>
          <w:spacing w:val="1"/>
          <w:sz w:val="20"/>
          <w:szCs w:val="20"/>
        </w:rPr>
        <w:t xml:space="preserve"> </w:t>
      </w:r>
      <w:r w:rsidRPr="001A423D">
        <w:rPr>
          <w:rFonts w:ascii="Times New Roman" w:hAnsi="Times New Roman"/>
          <w:i/>
          <w:spacing w:val="-2"/>
          <w:sz w:val="20"/>
          <w:szCs w:val="20"/>
        </w:rPr>
        <w:t>would</w:t>
      </w:r>
      <w:r w:rsidRPr="001A423D">
        <w:rPr>
          <w:rFonts w:ascii="Times New Roman" w:hAnsi="Times New Roman"/>
          <w:i/>
          <w:spacing w:val="1"/>
          <w:sz w:val="20"/>
          <w:szCs w:val="20"/>
        </w:rPr>
        <w:t xml:space="preserve"> </w:t>
      </w:r>
      <w:r w:rsidRPr="001A423D">
        <w:rPr>
          <w:rFonts w:ascii="Times New Roman" w:hAnsi="Times New Roman"/>
          <w:i/>
          <w:sz w:val="20"/>
          <w:szCs w:val="20"/>
        </w:rPr>
        <w:t>be</w:t>
      </w:r>
      <w:r w:rsidRPr="001A423D">
        <w:rPr>
          <w:rFonts w:ascii="Times New Roman" w:hAnsi="Times New Roman"/>
          <w:i/>
          <w:spacing w:val="1"/>
          <w:sz w:val="20"/>
          <w:szCs w:val="20"/>
        </w:rPr>
        <w:t xml:space="preserve"> </w:t>
      </w:r>
      <w:r w:rsidRPr="001A423D">
        <w:rPr>
          <w:rFonts w:ascii="Times New Roman" w:hAnsi="Times New Roman"/>
          <w:i/>
          <w:spacing w:val="-1"/>
          <w:sz w:val="20"/>
          <w:szCs w:val="20"/>
        </w:rPr>
        <w:t>as</w:t>
      </w:r>
      <w:r w:rsidRPr="001A423D">
        <w:rPr>
          <w:rFonts w:ascii="Times New Roman" w:hAnsi="Times New Roman"/>
          <w:i/>
          <w:spacing w:val="1"/>
          <w:sz w:val="20"/>
          <w:szCs w:val="20"/>
        </w:rPr>
        <w:t xml:space="preserve"> </w:t>
      </w:r>
      <w:r w:rsidRPr="001A423D">
        <w:rPr>
          <w:rFonts w:ascii="Times New Roman" w:hAnsi="Times New Roman"/>
          <w:i/>
          <w:spacing w:val="-1"/>
          <w:sz w:val="20"/>
          <w:szCs w:val="20"/>
        </w:rPr>
        <w:t>follows: ₹10 plus</w:t>
      </w:r>
      <w:r w:rsidRPr="001A423D">
        <w:rPr>
          <w:rFonts w:ascii="Times New Roman" w:hAnsi="Times New Roman"/>
          <w:i/>
          <w:sz w:val="20"/>
          <w:szCs w:val="20"/>
        </w:rPr>
        <w:t xml:space="preserve"> </w:t>
      </w:r>
      <w:r w:rsidRPr="001A423D">
        <w:rPr>
          <w:rFonts w:ascii="Times New Roman" w:hAnsi="Times New Roman"/>
          <w:i/>
          <w:spacing w:val="-1"/>
          <w:sz w:val="20"/>
          <w:szCs w:val="20"/>
        </w:rPr>
        <w:t>applicable</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taxes,</w:t>
      </w:r>
      <w:r w:rsidRPr="001A423D">
        <w:rPr>
          <w:rFonts w:ascii="Times New Roman" w:hAnsi="Times New Roman"/>
          <w:i/>
          <w:spacing w:val="1"/>
          <w:sz w:val="20"/>
          <w:szCs w:val="20"/>
        </w:rPr>
        <w:t xml:space="preserve"> </w:t>
      </w:r>
      <w:r w:rsidRPr="001A423D">
        <w:rPr>
          <w:rFonts w:ascii="Times New Roman" w:hAnsi="Times New Roman"/>
          <w:i/>
          <w:spacing w:val="-1"/>
          <w:sz w:val="20"/>
          <w:szCs w:val="20"/>
        </w:rPr>
        <w:t>per</w:t>
      </w:r>
      <w:r w:rsidRPr="001A423D">
        <w:rPr>
          <w:rFonts w:ascii="Times New Roman" w:hAnsi="Times New Roman"/>
          <w:i/>
          <w:spacing w:val="1"/>
          <w:sz w:val="20"/>
          <w:szCs w:val="20"/>
        </w:rPr>
        <w:t xml:space="preserve"> </w:t>
      </w:r>
      <w:r w:rsidRPr="001A423D">
        <w:rPr>
          <w:rFonts w:ascii="Times New Roman" w:hAnsi="Times New Roman"/>
          <w:i/>
          <w:spacing w:val="-1"/>
          <w:sz w:val="20"/>
          <w:szCs w:val="20"/>
        </w:rPr>
        <w:t>valid</w:t>
      </w:r>
      <w:r w:rsidRPr="001A423D">
        <w:rPr>
          <w:rFonts w:ascii="Times New Roman" w:hAnsi="Times New Roman"/>
          <w:i/>
          <w:spacing w:val="1"/>
          <w:sz w:val="20"/>
          <w:szCs w:val="20"/>
        </w:rPr>
        <w:t xml:space="preserve"> </w:t>
      </w:r>
      <w:r w:rsidRPr="001A423D">
        <w:rPr>
          <w:rFonts w:ascii="Times New Roman" w:hAnsi="Times New Roman"/>
          <w:i/>
          <w:spacing w:val="-1"/>
          <w:sz w:val="20"/>
          <w:szCs w:val="20"/>
        </w:rPr>
        <w:t>application</w:t>
      </w:r>
      <w:r w:rsidRPr="001A423D">
        <w:rPr>
          <w:rFonts w:ascii="Times New Roman" w:hAnsi="Times New Roman"/>
          <w:i/>
          <w:sz w:val="20"/>
          <w:szCs w:val="20"/>
        </w:rPr>
        <w:t xml:space="preserve"> </w:t>
      </w:r>
      <w:r w:rsidRPr="001A423D">
        <w:rPr>
          <w:rFonts w:ascii="Times New Roman" w:hAnsi="Times New Roman"/>
          <w:i/>
          <w:spacing w:val="-1"/>
          <w:sz w:val="20"/>
          <w:szCs w:val="20"/>
        </w:rPr>
        <w:t>bid</w:t>
      </w:r>
      <w:r w:rsidRPr="001A423D">
        <w:rPr>
          <w:rFonts w:ascii="Times New Roman" w:hAnsi="Times New Roman"/>
          <w:i/>
          <w:sz w:val="20"/>
          <w:szCs w:val="20"/>
        </w:rPr>
        <w:t xml:space="preserve"> by </w:t>
      </w:r>
      <w:r w:rsidRPr="001A423D">
        <w:rPr>
          <w:rFonts w:ascii="Times New Roman" w:hAnsi="Times New Roman"/>
          <w:i/>
          <w:spacing w:val="-1"/>
          <w:sz w:val="20"/>
          <w:szCs w:val="20"/>
        </w:rPr>
        <w:t>the</w:t>
      </w:r>
      <w:r w:rsidRPr="001A423D">
        <w:rPr>
          <w:rFonts w:ascii="Times New Roman" w:hAnsi="Times New Roman"/>
          <w:i/>
          <w:spacing w:val="45"/>
          <w:sz w:val="20"/>
          <w:szCs w:val="20"/>
        </w:rPr>
        <w:t xml:space="preserve"> </w:t>
      </w:r>
      <w:r w:rsidRPr="001A423D">
        <w:rPr>
          <w:rFonts w:ascii="Times New Roman" w:hAnsi="Times New Roman"/>
          <w:i/>
          <w:spacing w:val="-1"/>
          <w:sz w:val="20"/>
          <w:szCs w:val="20"/>
        </w:rPr>
        <w:t>Syndicate (including</w:t>
      </w:r>
      <w:r w:rsidRPr="001A423D">
        <w:rPr>
          <w:rFonts w:ascii="Times New Roman" w:hAnsi="Times New Roman"/>
          <w:i/>
          <w:sz w:val="20"/>
          <w:szCs w:val="20"/>
        </w:rPr>
        <w:t xml:space="preserve"> </w:t>
      </w:r>
      <w:r w:rsidRPr="001A423D">
        <w:rPr>
          <w:rFonts w:ascii="Times New Roman" w:hAnsi="Times New Roman"/>
          <w:i/>
          <w:spacing w:val="-1"/>
          <w:sz w:val="20"/>
          <w:szCs w:val="20"/>
        </w:rPr>
        <w:t>their</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sub-Syndicate</w:t>
      </w:r>
      <w:r w:rsidRPr="001A423D">
        <w:rPr>
          <w:rFonts w:ascii="Times New Roman" w:hAnsi="Times New Roman"/>
          <w:i/>
          <w:spacing w:val="2"/>
          <w:sz w:val="20"/>
          <w:szCs w:val="20"/>
        </w:rPr>
        <w:t xml:space="preserve"> </w:t>
      </w:r>
      <w:r w:rsidRPr="001A423D">
        <w:rPr>
          <w:rFonts w:ascii="Times New Roman" w:hAnsi="Times New Roman"/>
          <w:i/>
          <w:spacing w:val="-2"/>
          <w:sz w:val="20"/>
          <w:szCs w:val="20"/>
        </w:rPr>
        <w:t>Members),</w:t>
      </w:r>
      <w:r w:rsidRPr="001A423D">
        <w:rPr>
          <w:rFonts w:ascii="Times New Roman" w:hAnsi="Times New Roman"/>
          <w:i/>
          <w:spacing w:val="1"/>
          <w:sz w:val="20"/>
          <w:szCs w:val="20"/>
        </w:rPr>
        <w:t xml:space="preserve"> </w:t>
      </w:r>
      <w:r w:rsidRPr="001A423D">
        <w:rPr>
          <w:rFonts w:ascii="Times New Roman" w:hAnsi="Times New Roman"/>
          <w:i/>
          <w:spacing w:val="-1"/>
          <w:sz w:val="20"/>
          <w:szCs w:val="20"/>
        </w:rPr>
        <w:t>CRTAs</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and</w:t>
      </w:r>
      <w:r w:rsidRPr="001A423D">
        <w:rPr>
          <w:rFonts w:ascii="Times New Roman" w:hAnsi="Times New Roman"/>
          <w:i/>
          <w:sz w:val="20"/>
          <w:szCs w:val="20"/>
        </w:rPr>
        <w:t xml:space="preserve"> </w:t>
      </w:r>
      <w:r w:rsidRPr="001A423D">
        <w:rPr>
          <w:rFonts w:ascii="Times New Roman" w:hAnsi="Times New Roman"/>
          <w:i/>
          <w:spacing w:val="-1"/>
          <w:sz w:val="20"/>
          <w:szCs w:val="20"/>
        </w:rPr>
        <w:t>CDPs.</w:t>
      </w:r>
    </w:p>
    <w:p w14:paraId="6FB9A5F5" w14:textId="77777777" w:rsidR="00CB2D76" w:rsidRPr="001A423D" w:rsidRDefault="00CB2D76" w:rsidP="00CB2D76">
      <w:pPr>
        <w:tabs>
          <w:tab w:val="left" w:pos="492"/>
        </w:tabs>
        <w:spacing w:after="0" w:line="240" w:lineRule="auto"/>
        <w:jc w:val="both"/>
        <w:rPr>
          <w:rFonts w:ascii="Times New Roman" w:hAnsi="Times New Roman"/>
          <w:i/>
          <w:spacing w:val="-1"/>
          <w:sz w:val="20"/>
          <w:szCs w:val="20"/>
        </w:rPr>
      </w:pPr>
      <w:r w:rsidRPr="001A423D">
        <w:rPr>
          <w:rFonts w:ascii="Times New Roman" w:hAnsi="Times New Roman"/>
          <w:i/>
          <w:spacing w:val="-1"/>
          <w:sz w:val="20"/>
          <w:szCs w:val="20"/>
        </w:rPr>
        <w:t>Bidding</w:t>
      </w:r>
      <w:r w:rsidRPr="001A423D">
        <w:rPr>
          <w:rFonts w:ascii="Times New Roman" w:hAnsi="Times New Roman"/>
          <w:i/>
          <w:spacing w:val="-7"/>
          <w:sz w:val="20"/>
          <w:szCs w:val="20"/>
        </w:rPr>
        <w:t xml:space="preserve"> </w:t>
      </w:r>
      <w:r w:rsidRPr="001A423D">
        <w:rPr>
          <w:rFonts w:ascii="Times New Roman" w:hAnsi="Times New Roman"/>
          <w:i/>
          <w:spacing w:val="-1"/>
          <w:sz w:val="20"/>
          <w:szCs w:val="20"/>
        </w:rPr>
        <w:t>charges</w:t>
      </w:r>
      <w:r w:rsidRPr="001A423D">
        <w:rPr>
          <w:rFonts w:ascii="Times New Roman" w:hAnsi="Times New Roman"/>
          <w:i/>
          <w:spacing w:val="-9"/>
          <w:sz w:val="20"/>
          <w:szCs w:val="20"/>
        </w:rPr>
        <w:t xml:space="preserve"> </w:t>
      </w:r>
      <w:r w:rsidRPr="001A423D">
        <w:rPr>
          <w:rFonts w:ascii="Times New Roman" w:hAnsi="Times New Roman"/>
          <w:i/>
          <w:spacing w:val="-1"/>
          <w:sz w:val="20"/>
          <w:szCs w:val="20"/>
        </w:rPr>
        <w:t>payable</w:t>
      </w:r>
      <w:r w:rsidRPr="001A423D">
        <w:rPr>
          <w:rFonts w:ascii="Times New Roman" w:hAnsi="Times New Roman"/>
          <w:i/>
          <w:spacing w:val="-8"/>
          <w:sz w:val="20"/>
          <w:szCs w:val="20"/>
        </w:rPr>
        <w:t xml:space="preserve"> </w:t>
      </w:r>
      <w:r w:rsidRPr="001A423D">
        <w:rPr>
          <w:rFonts w:ascii="Times New Roman" w:hAnsi="Times New Roman"/>
          <w:i/>
          <w:spacing w:val="-2"/>
          <w:sz w:val="20"/>
          <w:szCs w:val="20"/>
        </w:rPr>
        <w:t>to</w:t>
      </w:r>
      <w:r w:rsidRPr="001A423D">
        <w:rPr>
          <w:rFonts w:ascii="Times New Roman" w:hAnsi="Times New Roman"/>
          <w:i/>
          <w:spacing w:val="-6"/>
          <w:sz w:val="20"/>
          <w:szCs w:val="20"/>
        </w:rPr>
        <w:t xml:space="preserve"> </w:t>
      </w:r>
      <w:r w:rsidRPr="001A423D">
        <w:rPr>
          <w:rFonts w:ascii="Times New Roman" w:hAnsi="Times New Roman"/>
          <w:i/>
          <w:sz w:val="20"/>
          <w:szCs w:val="20"/>
        </w:rPr>
        <w:t>the</w:t>
      </w:r>
      <w:r w:rsidRPr="001A423D">
        <w:rPr>
          <w:rFonts w:ascii="Times New Roman" w:hAnsi="Times New Roman"/>
          <w:i/>
          <w:spacing w:val="-9"/>
          <w:sz w:val="20"/>
          <w:szCs w:val="20"/>
        </w:rPr>
        <w:t xml:space="preserve"> </w:t>
      </w:r>
      <w:r w:rsidRPr="001A423D">
        <w:rPr>
          <w:rFonts w:ascii="Times New Roman" w:hAnsi="Times New Roman"/>
          <w:i/>
          <w:spacing w:val="-1"/>
          <w:sz w:val="20"/>
          <w:szCs w:val="20"/>
        </w:rPr>
        <w:t>Registered</w:t>
      </w:r>
      <w:r w:rsidRPr="001A423D">
        <w:rPr>
          <w:rFonts w:ascii="Times New Roman" w:hAnsi="Times New Roman"/>
          <w:i/>
          <w:spacing w:val="-9"/>
          <w:sz w:val="20"/>
          <w:szCs w:val="20"/>
        </w:rPr>
        <w:t xml:space="preserve"> </w:t>
      </w:r>
      <w:r w:rsidRPr="001A423D">
        <w:rPr>
          <w:rFonts w:ascii="Times New Roman" w:hAnsi="Times New Roman"/>
          <w:i/>
          <w:spacing w:val="-1"/>
          <w:sz w:val="20"/>
          <w:szCs w:val="20"/>
        </w:rPr>
        <w:t>Brokers,</w:t>
      </w:r>
      <w:r w:rsidRPr="001A423D">
        <w:rPr>
          <w:rFonts w:ascii="Times New Roman" w:hAnsi="Times New Roman"/>
          <w:i/>
          <w:spacing w:val="-9"/>
          <w:sz w:val="20"/>
          <w:szCs w:val="20"/>
        </w:rPr>
        <w:t xml:space="preserve"> </w:t>
      </w:r>
      <w:r w:rsidRPr="001A423D">
        <w:rPr>
          <w:rFonts w:ascii="Times New Roman" w:hAnsi="Times New Roman"/>
          <w:i/>
          <w:spacing w:val="-1"/>
          <w:sz w:val="20"/>
          <w:szCs w:val="20"/>
        </w:rPr>
        <w:t>CRTAs/ CDPs</w:t>
      </w:r>
      <w:r w:rsidRPr="001A423D">
        <w:rPr>
          <w:rFonts w:ascii="Times New Roman" w:hAnsi="Times New Roman"/>
          <w:i/>
          <w:spacing w:val="-7"/>
          <w:sz w:val="20"/>
          <w:szCs w:val="20"/>
        </w:rPr>
        <w:t xml:space="preserve"> </w:t>
      </w:r>
      <w:r w:rsidRPr="001A423D">
        <w:rPr>
          <w:rFonts w:ascii="Times New Roman" w:hAnsi="Times New Roman"/>
          <w:i/>
          <w:spacing w:val="-1"/>
          <w:sz w:val="20"/>
          <w:szCs w:val="20"/>
        </w:rPr>
        <w:t>on</w:t>
      </w:r>
      <w:r w:rsidRPr="001A423D">
        <w:rPr>
          <w:rFonts w:ascii="Times New Roman" w:hAnsi="Times New Roman"/>
          <w:i/>
          <w:spacing w:val="-9"/>
          <w:sz w:val="20"/>
          <w:szCs w:val="20"/>
        </w:rPr>
        <w:t xml:space="preserve"> </w:t>
      </w:r>
      <w:r w:rsidRPr="001A423D">
        <w:rPr>
          <w:rFonts w:ascii="Times New Roman" w:hAnsi="Times New Roman"/>
          <w:i/>
          <w:spacing w:val="-1"/>
          <w:sz w:val="20"/>
          <w:szCs w:val="20"/>
        </w:rPr>
        <w:t>the</w:t>
      </w:r>
      <w:r w:rsidRPr="001A423D">
        <w:rPr>
          <w:rFonts w:ascii="Times New Roman" w:hAnsi="Times New Roman"/>
          <w:i/>
          <w:spacing w:val="-7"/>
          <w:sz w:val="20"/>
          <w:szCs w:val="20"/>
        </w:rPr>
        <w:t xml:space="preserve"> </w:t>
      </w:r>
      <w:r w:rsidRPr="001A423D">
        <w:rPr>
          <w:rFonts w:ascii="Times New Roman" w:hAnsi="Times New Roman"/>
          <w:i/>
          <w:spacing w:val="-2"/>
          <w:sz w:val="20"/>
          <w:szCs w:val="20"/>
        </w:rPr>
        <w:t>portion</w:t>
      </w:r>
      <w:r w:rsidRPr="001A423D">
        <w:rPr>
          <w:rFonts w:ascii="Times New Roman" w:hAnsi="Times New Roman"/>
          <w:i/>
          <w:spacing w:val="-7"/>
          <w:sz w:val="20"/>
          <w:szCs w:val="20"/>
        </w:rPr>
        <w:t xml:space="preserve"> </w:t>
      </w:r>
      <w:r w:rsidRPr="001A423D">
        <w:rPr>
          <w:rFonts w:ascii="Times New Roman" w:hAnsi="Times New Roman"/>
          <w:i/>
          <w:spacing w:val="-2"/>
          <w:sz w:val="20"/>
          <w:szCs w:val="20"/>
        </w:rPr>
        <w:t>for</w:t>
      </w:r>
      <w:r w:rsidRPr="001A423D">
        <w:rPr>
          <w:rFonts w:ascii="Times New Roman" w:hAnsi="Times New Roman"/>
          <w:i/>
          <w:spacing w:val="-7"/>
          <w:sz w:val="20"/>
          <w:szCs w:val="20"/>
        </w:rPr>
        <w:t xml:space="preserve"> </w:t>
      </w:r>
      <w:r w:rsidRPr="001A423D">
        <w:rPr>
          <w:rFonts w:ascii="Times New Roman" w:hAnsi="Times New Roman"/>
          <w:i/>
          <w:spacing w:val="-1"/>
          <w:sz w:val="20"/>
          <w:szCs w:val="20"/>
        </w:rPr>
        <w:t>RIBs</w:t>
      </w:r>
      <w:r w:rsidRPr="001A423D">
        <w:rPr>
          <w:rFonts w:ascii="Times New Roman" w:hAnsi="Times New Roman"/>
          <w:i/>
          <w:spacing w:val="-9"/>
          <w:sz w:val="20"/>
          <w:szCs w:val="20"/>
        </w:rPr>
        <w:t xml:space="preserve"> </w:t>
      </w:r>
      <w:r w:rsidRPr="001A423D">
        <w:rPr>
          <w:rFonts w:ascii="Times New Roman" w:hAnsi="Times New Roman"/>
          <w:i/>
          <w:spacing w:val="-1"/>
          <w:sz w:val="20"/>
          <w:szCs w:val="20"/>
        </w:rPr>
        <w:t>and</w:t>
      </w:r>
      <w:r w:rsidRPr="001A423D">
        <w:rPr>
          <w:rFonts w:ascii="Times New Roman" w:hAnsi="Times New Roman"/>
          <w:i/>
          <w:spacing w:val="-7"/>
          <w:sz w:val="20"/>
          <w:szCs w:val="20"/>
        </w:rPr>
        <w:t xml:space="preserve"> </w:t>
      </w:r>
      <w:r w:rsidRPr="001A423D">
        <w:rPr>
          <w:rFonts w:ascii="Times New Roman" w:hAnsi="Times New Roman"/>
          <w:i/>
          <w:spacing w:val="-1"/>
          <w:sz w:val="20"/>
          <w:szCs w:val="20"/>
        </w:rPr>
        <w:t>Non-Institutional</w:t>
      </w:r>
      <w:r w:rsidRPr="001A423D">
        <w:rPr>
          <w:rFonts w:ascii="Times New Roman" w:hAnsi="Times New Roman"/>
          <w:i/>
          <w:spacing w:val="-9"/>
          <w:sz w:val="20"/>
          <w:szCs w:val="20"/>
        </w:rPr>
        <w:t xml:space="preserve"> </w:t>
      </w:r>
      <w:r w:rsidRPr="001A423D">
        <w:rPr>
          <w:rFonts w:ascii="Times New Roman" w:hAnsi="Times New Roman"/>
          <w:i/>
          <w:spacing w:val="-1"/>
          <w:sz w:val="20"/>
          <w:szCs w:val="20"/>
        </w:rPr>
        <w:t>Bidders</w:t>
      </w:r>
      <w:r w:rsidRPr="001A423D">
        <w:rPr>
          <w:rFonts w:ascii="Times New Roman" w:hAnsi="Times New Roman"/>
          <w:i/>
          <w:spacing w:val="-9"/>
          <w:sz w:val="20"/>
          <w:szCs w:val="20"/>
        </w:rPr>
        <w:t xml:space="preserve"> </w:t>
      </w:r>
      <w:r w:rsidRPr="001A423D">
        <w:rPr>
          <w:rFonts w:ascii="Times New Roman" w:hAnsi="Times New Roman"/>
          <w:i/>
          <w:spacing w:val="-1"/>
          <w:sz w:val="20"/>
          <w:szCs w:val="20"/>
        </w:rPr>
        <w:t>which</w:t>
      </w:r>
      <w:r w:rsidRPr="001A423D">
        <w:rPr>
          <w:rFonts w:ascii="Times New Roman" w:hAnsi="Times New Roman"/>
          <w:i/>
          <w:spacing w:val="61"/>
          <w:sz w:val="20"/>
          <w:szCs w:val="20"/>
        </w:rPr>
        <w:t xml:space="preserve"> </w:t>
      </w:r>
      <w:r w:rsidRPr="001A423D">
        <w:rPr>
          <w:rFonts w:ascii="Times New Roman" w:hAnsi="Times New Roman"/>
          <w:i/>
          <w:spacing w:val="-1"/>
          <w:sz w:val="20"/>
          <w:szCs w:val="20"/>
        </w:rPr>
        <w:t>are</w:t>
      </w:r>
      <w:r w:rsidRPr="001A423D">
        <w:rPr>
          <w:rFonts w:ascii="Times New Roman" w:hAnsi="Times New Roman"/>
          <w:i/>
          <w:spacing w:val="18"/>
          <w:sz w:val="20"/>
          <w:szCs w:val="20"/>
        </w:rPr>
        <w:t xml:space="preserve"> </w:t>
      </w:r>
      <w:r w:rsidRPr="001A423D">
        <w:rPr>
          <w:rFonts w:ascii="Times New Roman" w:hAnsi="Times New Roman"/>
          <w:i/>
          <w:spacing w:val="-2"/>
          <w:sz w:val="20"/>
          <w:szCs w:val="20"/>
        </w:rPr>
        <w:t>directly</w:t>
      </w:r>
      <w:r w:rsidRPr="001A423D">
        <w:rPr>
          <w:rFonts w:ascii="Times New Roman" w:hAnsi="Times New Roman"/>
          <w:i/>
          <w:spacing w:val="20"/>
          <w:sz w:val="20"/>
          <w:szCs w:val="20"/>
        </w:rPr>
        <w:t xml:space="preserve"> </w:t>
      </w:r>
      <w:r w:rsidRPr="001A423D">
        <w:rPr>
          <w:rFonts w:ascii="Times New Roman" w:hAnsi="Times New Roman"/>
          <w:i/>
          <w:spacing w:val="-1"/>
          <w:sz w:val="20"/>
          <w:szCs w:val="20"/>
        </w:rPr>
        <w:t>procured</w:t>
      </w:r>
      <w:r w:rsidRPr="001A423D">
        <w:rPr>
          <w:rFonts w:ascii="Times New Roman" w:hAnsi="Times New Roman"/>
          <w:i/>
          <w:spacing w:val="18"/>
          <w:sz w:val="20"/>
          <w:szCs w:val="20"/>
        </w:rPr>
        <w:t xml:space="preserve"> </w:t>
      </w:r>
      <w:r w:rsidRPr="001A423D">
        <w:rPr>
          <w:rFonts w:ascii="Times New Roman" w:hAnsi="Times New Roman"/>
          <w:i/>
          <w:spacing w:val="-1"/>
          <w:sz w:val="20"/>
          <w:szCs w:val="20"/>
        </w:rPr>
        <w:t>by</w:t>
      </w:r>
      <w:r w:rsidRPr="001A423D">
        <w:rPr>
          <w:rFonts w:ascii="Times New Roman" w:hAnsi="Times New Roman"/>
          <w:i/>
          <w:spacing w:val="21"/>
          <w:sz w:val="20"/>
          <w:szCs w:val="20"/>
        </w:rPr>
        <w:t xml:space="preserve"> </w:t>
      </w:r>
      <w:r w:rsidRPr="001A423D">
        <w:rPr>
          <w:rFonts w:ascii="Times New Roman" w:hAnsi="Times New Roman"/>
          <w:i/>
          <w:spacing w:val="-1"/>
          <w:sz w:val="20"/>
          <w:szCs w:val="20"/>
        </w:rPr>
        <w:t>the</w:t>
      </w:r>
      <w:r w:rsidRPr="001A423D">
        <w:rPr>
          <w:rFonts w:ascii="Times New Roman" w:hAnsi="Times New Roman"/>
          <w:i/>
          <w:spacing w:val="18"/>
          <w:sz w:val="20"/>
          <w:szCs w:val="20"/>
        </w:rPr>
        <w:t xml:space="preserve"> </w:t>
      </w:r>
      <w:r w:rsidRPr="001A423D">
        <w:rPr>
          <w:rFonts w:ascii="Times New Roman" w:hAnsi="Times New Roman"/>
          <w:i/>
          <w:spacing w:val="-1"/>
          <w:sz w:val="20"/>
          <w:szCs w:val="20"/>
        </w:rPr>
        <w:t>Registered</w:t>
      </w:r>
      <w:r w:rsidRPr="001A423D">
        <w:rPr>
          <w:rFonts w:ascii="Times New Roman" w:hAnsi="Times New Roman"/>
          <w:i/>
          <w:spacing w:val="21"/>
          <w:sz w:val="20"/>
          <w:szCs w:val="20"/>
        </w:rPr>
        <w:t xml:space="preserve"> </w:t>
      </w:r>
      <w:r w:rsidRPr="001A423D">
        <w:rPr>
          <w:rFonts w:ascii="Times New Roman" w:hAnsi="Times New Roman"/>
          <w:i/>
          <w:spacing w:val="-1"/>
          <w:sz w:val="20"/>
          <w:szCs w:val="20"/>
        </w:rPr>
        <w:t>Brokers</w:t>
      </w:r>
      <w:r w:rsidRPr="001A423D">
        <w:rPr>
          <w:rFonts w:ascii="Times New Roman" w:hAnsi="Times New Roman"/>
          <w:i/>
          <w:spacing w:val="17"/>
          <w:sz w:val="20"/>
          <w:szCs w:val="20"/>
        </w:rPr>
        <w:t xml:space="preserve"> </w:t>
      </w:r>
      <w:r w:rsidRPr="001A423D">
        <w:rPr>
          <w:rFonts w:ascii="Times New Roman" w:hAnsi="Times New Roman"/>
          <w:i/>
          <w:sz w:val="20"/>
          <w:szCs w:val="20"/>
        </w:rPr>
        <w:t>or</w:t>
      </w:r>
      <w:r w:rsidRPr="001A423D">
        <w:rPr>
          <w:rFonts w:ascii="Times New Roman" w:hAnsi="Times New Roman"/>
          <w:i/>
          <w:spacing w:val="20"/>
          <w:sz w:val="20"/>
          <w:szCs w:val="20"/>
        </w:rPr>
        <w:t xml:space="preserve"> </w:t>
      </w:r>
      <w:r w:rsidRPr="001A423D">
        <w:rPr>
          <w:rFonts w:ascii="Times New Roman" w:hAnsi="Times New Roman"/>
          <w:i/>
          <w:spacing w:val="-2"/>
          <w:sz w:val="20"/>
          <w:szCs w:val="20"/>
        </w:rPr>
        <w:t>CRTAs</w:t>
      </w:r>
      <w:r w:rsidRPr="001A423D">
        <w:rPr>
          <w:rFonts w:ascii="Times New Roman" w:hAnsi="Times New Roman"/>
          <w:i/>
          <w:spacing w:val="22"/>
          <w:sz w:val="20"/>
          <w:szCs w:val="20"/>
        </w:rPr>
        <w:t xml:space="preserve"> </w:t>
      </w:r>
      <w:r w:rsidRPr="001A423D">
        <w:rPr>
          <w:rFonts w:ascii="Times New Roman" w:hAnsi="Times New Roman"/>
          <w:i/>
          <w:spacing w:val="-1"/>
          <w:sz w:val="20"/>
          <w:szCs w:val="20"/>
        </w:rPr>
        <w:t>or</w:t>
      </w:r>
      <w:r w:rsidRPr="001A423D">
        <w:rPr>
          <w:rFonts w:ascii="Times New Roman" w:hAnsi="Times New Roman"/>
          <w:i/>
          <w:spacing w:val="18"/>
          <w:sz w:val="20"/>
          <w:szCs w:val="20"/>
        </w:rPr>
        <w:t xml:space="preserve"> </w:t>
      </w:r>
      <w:r w:rsidRPr="001A423D">
        <w:rPr>
          <w:rFonts w:ascii="Times New Roman" w:hAnsi="Times New Roman"/>
          <w:i/>
          <w:spacing w:val="-1"/>
          <w:sz w:val="20"/>
          <w:szCs w:val="20"/>
        </w:rPr>
        <w:t>CDPs</w:t>
      </w:r>
      <w:r w:rsidRPr="001A423D">
        <w:rPr>
          <w:rFonts w:ascii="Times New Roman" w:hAnsi="Times New Roman"/>
          <w:i/>
          <w:spacing w:val="18"/>
          <w:sz w:val="20"/>
          <w:szCs w:val="20"/>
        </w:rPr>
        <w:t xml:space="preserve"> </w:t>
      </w:r>
      <w:r w:rsidRPr="001A423D">
        <w:rPr>
          <w:rFonts w:ascii="Times New Roman" w:hAnsi="Times New Roman"/>
          <w:i/>
          <w:spacing w:val="-1"/>
          <w:sz w:val="20"/>
          <w:szCs w:val="20"/>
        </w:rPr>
        <w:t>and</w:t>
      </w:r>
      <w:r w:rsidRPr="001A423D">
        <w:rPr>
          <w:rFonts w:ascii="Times New Roman" w:hAnsi="Times New Roman"/>
          <w:i/>
          <w:spacing w:val="18"/>
          <w:sz w:val="20"/>
          <w:szCs w:val="20"/>
        </w:rPr>
        <w:t xml:space="preserve"> </w:t>
      </w:r>
      <w:r w:rsidRPr="001A423D">
        <w:rPr>
          <w:rFonts w:ascii="Times New Roman" w:hAnsi="Times New Roman"/>
          <w:i/>
          <w:spacing w:val="-1"/>
          <w:sz w:val="20"/>
          <w:szCs w:val="20"/>
        </w:rPr>
        <w:t>submitted</w:t>
      </w:r>
      <w:r w:rsidRPr="001A423D">
        <w:rPr>
          <w:rFonts w:ascii="Times New Roman" w:hAnsi="Times New Roman"/>
          <w:i/>
          <w:spacing w:val="18"/>
          <w:sz w:val="20"/>
          <w:szCs w:val="20"/>
        </w:rPr>
        <w:t xml:space="preserve"> </w:t>
      </w:r>
      <w:r w:rsidRPr="001A423D">
        <w:rPr>
          <w:rFonts w:ascii="Times New Roman" w:hAnsi="Times New Roman"/>
          <w:i/>
          <w:spacing w:val="-1"/>
          <w:sz w:val="20"/>
          <w:szCs w:val="20"/>
        </w:rPr>
        <w:t>to</w:t>
      </w:r>
      <w:r w:rsidRPr="001A423D">
        <w:rPr>
          <w:rFonts w:ascii="Times New Roman" w:hAnsi="Times New Roman"/>
          <w:i/>
          <w:spacing w:val="21"/>
          <w:sz w:val="20"/>
          <w:szCs w:val="20"/>
        </w:rPr>
        <w:t xml:space="preserve"> </w:t>
      </w:r>
      <w:r w:rsidRPr="001A423D">
        <w:rPr>
          <w:rFonts w:ascii="Times New Roman" w:hAnsi="Times New Roman"/>
          <w:i/>
          <w:spacing w:val="-1"/>
          <w:sz w:val="20"/>
          <w:szCs w:val="20"/>
        </w:rPr>
        <w:t>SCSB</w:t>
      </w:r>
      <w:r w:rsidRPr="001A423D">
        <w:rPr>
          <w:rFonts w:ascii="Times New Roman" w:hAnsi="Times New Roman"/>
          <w:i/>
          <w:spacing w:val="18"/>
          <w:sz w:val="20"/>
          <w:szCs w:val="20"/>
        </w:rPr>
        <w:t xml:space="preserve"> </w:t>
      </w:r>
      <w:r w:rsidRPr="001A423D">
        <w:rPr>
          <w:rFonts w:ascii="Times New Roman" w:hAnsi="Times New Roman"/>
          <w:i/>
          <w:spacing w:val="-1"/>
          <w:sz w:val="20"/>
          <w:szCs w:val="20"/>
        </w:rPr>
        <w:t>for</w:t>
      </w:r>
      <w:r w:rsidRPr="001A423D">
        <w:rPr>
          <w:rFonts w:ascii="Times New Roman" w:hAnsi="Times New Roman"/>
          <w:i/>
          <w:spacing w:val="18"/>
          <w:sz w:val="20"/>
          <w:szCs w:val="20"/>
        </w:rPr>
        <w:t xml:space="preserve"> </w:t>
      </w:r>
      <w:r w:rsidRPr="001A423D">
        <w:rPr>
          <w:rFonts w:ascii="Times New Roman" w:hAnsi="Times New Roman"/>
          <w:i/>
          <w:spacing w:val="-1"/>
          <w:sz w:val="20"/>
          <w:szCs w:val="20"/>
        </w:rPr>
        <w:t>processing,</w:t>
      </w:r>
      <w:r w:rsidRPr="001A423D">
        <w:rPr>
          <w:rFonts w:ascii="Times New Roman" w:hAnsi="Times New Roman"/>
          <w:i/>
          <w:spacing w:val="20"/>
          <w:sz w:val="20"/>
          <w:szCs w:val="20"/>
        </w:rPr>
        <w:t xml:space="preserve"> </w:t>
      </w:r>
      <w:r w:rsidRPr="001A423D">
        <w:rPr>
          <w:rFonts w:ascii="Times New Roman" w:hAnsi="Times New Roman"/>
          <w:i/>
          <w:spacing w:val="-1"/>
          <w:sz w:val="20"/>
          <w:szCs w:val="20"/>
        </w:rPr>
        <w:t>would</w:t>
      </w:r>
      <w:r w:rsidRPr="001A423D">
        <w:rPr>
          <w:rFonts w:ascii="Times New Roman" w:hAnsi="Times New Roman"/>
          <w:i/>
          <w:spacing w:val="18"/>
          <w:sz w:val="20"/>
          <w:szCs w:val="20"/>
        </w:rPr>
        <w:t xml:space="preserve"> </w:t>
      </w:r>
      <w:r w:rsidRPr="001A423D">
        <w:rPr>
          <w:rFonts w:ascii="Times New Roman" w:hAnsi="Times New Roman"/>
          <w:i/>
          <w:sz w:val="20"/>
          <w:szCs w:val="20"/>
        </w:rPr>
        <w:t>be</w:t>
      </w:r>
      <w:r w:rsidRPr="001A423D">
        <w:rPr>
          <w:rFonts w:ascii="Times New Roman" w:hAnsi="Times New Roman"/>
          <w:i/>
          <w:spacing w:val="21"/>
          <w:sz w:val="20"/>
          <w:szCs w:val="20"/>
        </w:rPr>
        <w:t xml:space="preserve"> </w:t>
      </w:r>
      <w:r w:rsidRPr="001A423D">
        <w:rPr>
          <w:rFonts w:ascii="Times New Roman" w:hAnsi="Times New Roman"/>
          <w:i/>
          <w:spacing w:val="-1"/>
          <w:sz w:val="20"/>
          <w:szCs w:val="20"/>
        </w:rPr>
        <w:t>as</w:t>
      </w:r>
      <w:r w:rsidRPr="001A423D">
        <w:rPr>
          <w:rFonts w:ascii="Times New Roman" w:hAnsi="Times New Roman"/>
          <w:i/>
          <w:spacing w:val="59"/>
          <w:sz w:val="20"/>
          <w:szCs w:val="20"/>
        </w:rPr>
        <w:t xml:space="preserve"> </w:t>
      </w:r>
      <w:r w:rsidRPr="001A423D">
        <w:rPr>
          <w:rFonts w:ascii="Times New Roman" w:hAnsi="Times New Roman"/>
          <w:i/>
          <w:spacing w:val="-1"/>
          <w:sz w:val="20"/>
          <w:szCs w:val="20"/>
        </w:rPr>
        <w:t>follows:</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91"/>
        <w:gridCol w:w="6439"/>
      </w:tblGrid>
      <w:tr w:rsidR="00CB2D76" w:rsidRPr="001A423D" w14:paraId="28E8A8AC" w14:textId="77777777" w:rsidTr="009C1E14">
        <w:tc>
          <w:tcPr>
            <w:tcW w:w="3591" w:type="dxa"/>
            <w:shd w:val="clear" w:color="auto" w:fill="auto"/>
          </w:tcPr>
          <w:p w14:paraId="4020A74F" w14:textId="77777777" w:rsidR="00CB2D76" w:rsidRPr="001A423D" w:rsidRDefault="00CB2D76" w:rsidP="009C1E14">
            <w:pPr>
              <w:widowControl w:val="0"/>
              <w:tabs>
                <w:tab w:val="left" w:pos="492"/>
              </w:tabs>
              <w:spacing w:after="0" w:line="240" w:lineRule="auto"/>
              <w:jc w:val="both"/>
              <w:rPr>
                <w:rFonts w:ascii="Times New Roman" w:hAnsi="Times New Roman"/>
                <w:sz w:val="20"/>
                <w:szCs w:val="20"/>
              </w:rPr>
            </w:pPr>
            <w:r w:rsidRPr="001A423D">
              <w:rPr>
                <w:rFonts w:ascii="Times New Roman" w:hAnsi="Times New Roman"/>
                <w:i/>
                <w:spacing w:val="-1"/>
                <w:sz w:val="20"/>
                <w:szCs w:val="20"/>
              </w:rPr>
              <w:t>Portion</w:t>
            </w:r>
            <w:r w:rsidRPr="001A423D">
              <w:rPr>
                <w:rFonts w:ascii="Times New Roman" w:hAnsi="Times New Roman"/>
                <w:i/>
                <w:sz w:val="20"/>
                <w:szCs w:val="20"/>
              </w:rPr>
              <w:t xml:space="preserve"> </w:t>
            </w:r>
            <w:r w:rsidRPr="001A423D">
              <w:rPr>
                <w:rFonts w:ascii="Times New Roman" w:hAnsi="Times New Roman"/>
                <w:i/>
                <w:spacing w:val="-2"/>
                <w:sz w:val="20"/>
                <w:szCs w:val="20"/>
              </w:rPr>
              <w:t>for</w:t>
            </w:r>
            <w:r w:rsidRPr="001A423D">
              <w:rPr>
                <w:rFonts w:ascii="Times New Roman" w:hAnsi="Times New Roman"/>
                <w:i/>
                <w:sz w:val="20"/>
                <w:szCs w:val="20"/>
              </w:rPr>
              <w:t xml:space="preserve"> </w:t>
            </w:r>
            <w:r w:rsidRPr="001A423D">
              <w:rPr>
                <w:rFonts w:ascii="Times New Roman" w:hAnsi="Times New Roman"/>
                <w:i/>
                <w:spacing w:val="-1"/>
                <w:sz w:val="20"/>
                <w:szCs w:val="20"/>
              </w:rPr>
              <w:t>Retail</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Individual</w:t>
            </w:r>
            <w:r w:rsidRPr="001A423D">
              <w:rPr>
                <w:rFonts w:ascii="Times New Roman" w:hAnsi="Times New Roman"/>
                <w:i/>
                <w:spacing w:val="3"/>
                <w:sz w:val="20"/>
                <w:szCs w:val="20"/>
              </w:rPr>
              <w:t xml:space="preserve"> </w:t>
            </w:r>
            <w:r w:rsidRPr="001A423D">
              <w:rPr>
                <w:rFonts w:ascii="Times New Roman" w:hAnsi="Times New Roman"/>
                <w:i/>
                <w:spacing w:val="-1"/>
                <w:sz w:val="20"/>
                <w:szCs w:val="20"/>
              </w:rPr>
              <w:t>Bidders*</w:t>
            </w:r>
          </w:p>
        </w:tc>
        <w:tc>
          <w:tcPr>
            <w:tcW w:w="6439" w:type="dxa"/>
            <w:shd w:val="clear" w:color="auto" w:fill="auto"/>
          </w:tcPr>
          <w:p w14:paraId="3FBF4C8E" w14:textId="77777777" w:rsidR="00CB2D76" w:rsidRPr="001A423D" w:rsidRDefault="00CB2D76" w:rsidP="009C1E14">
            <w:pPr>
              <w:widowControl w:val="0"/>
              <w:tabs>
                <w:tab w:val="left" w:pos="492"/>
              </w:tabs>
              <w:spacing w:after="0" w:line="240" w:lineRule="auto"/>
              <w:jc w:val="both"/>
              <w:rPr>
                <w:rFonts w:ascii="Times New Roman" w:hAnsi="Times New Roman"/>
                <w:sz w:val="20"/>
                <w:szCs w:val="20"/>
              </w:rPr>
            </w:pPr>
            <w:r w:rsidRPr="001A423D">
              <w:rPr>
                <w:rFonts w:ascii="Times New Roman" w:hAnsi="Times New Roman"/>
                <w:i/>
                <w:spacing w:val="-1"/>
                <w:sz w:val="20"/>
                <w:szCs w:val="20"/>
              </w:rPr>
              <w:t>₹10</w:t>
            </w:r>
            <w:r w:rsidRPr="001A423D">
              <w:rPr>
                <w:rFonts w:ascii="Times New Roman" w:hAnsi="Times New Roman"/>
                <w:i/>
                <w:spacing w:val="2"/>
                <w:sz w:val="20"/>
                <w:szCs w:val="20"/>
              </w:rPr>
              <w:t xml:space="preserve"> </w:t>
            </w:r>
            <w:r w:rsidRPr="001A423D">
              <w:rPr>
                <w:rFonts w:ascii="Times New Roman" w:hAnsi="Times New Roman"/>
                <w:i/>
                <w:sz w:val="20"/>
                <w:szCs w:val="20"/>
              </w:rPr>
              <w:t>per</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valid</w:t>
            </w:r>
            <w:r w:rsidRPr="001A423D">
              <w:rPr>
                <w:rFonts w:ascii="Times New Roman" w:hAnsi="Times New Roman"/>
                <w:i/>
                <w:spacing w:val="-2"/>
                <w:sz w:val="20"/>
                <w:szCs w:val="20"/>
              </w:rPr>
              <w:t xml:space="preserve"> </w:t>
            </w:r>
            <w:r w:rsidRPr="001A423D">
              <w:rPr>
                <w:rFonts w:ascii="Times New Roman" w:hAnsi="Times New Roman"/>
                <w:i/>
                <w:sz w:val="20"/>
                <w:szCs w:val="20"/>
              </w:rPr>
              <w:t>a</w:t>
            </w:r>
            <w:r w:rsidRPr="001A423D">
              <w:rPr>
                <w:rFonts w:ascii="Times New Roman" w:hAnsi="Times New Roman"/>
                <w:i/>
                <w:spacing w:val="-1"/>
                <w:sz w:val="20"/>
                <w:szCs w:val="20"/>
              </w:rPr>
              <w:t>pplication</w:t>
            </w:r>
            <w:r w:rsidRPr="001A423D">
              <w:rPr>
                <w:rFonts w:ascii="Times New Roman" w:hAnsi="Times New Roman"/>
                <w:i/>
                <w:sz w:val="20"/>
                <w:szCs w:val="20"/>
              </w:rPr>
              <w:t xml:space="preserve"> </w:t>
            </w:r>
            <w:r w:rsidRPr="001A423D">
              <w:rPr>
                <w:rFonts w:ascii="Times New Roman" w:hAnsi="Times New Roman"/>
                <w:i/>
                <w:spacing w:val="-1"/>
                <w:sz w:val="20"/>
                <w:szCs w:val="20"/>
              </w:rPr>
              <w:t>(plus</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applicable taxes)</w:t>
            </w:r>
          </w:p>
        </w:tc>
      </w:tr>
      <w:tr w:rsidR="00CB2D76" w:rsidRPr="001A423D" w14:paraId="21FA4E91" w14:textId="77777777" w:rsidTr="009C1E14">
        <w:tc>
          <w:tcPr>
            <w:tcW w:w="3591" w:type="dxa"/>
            <w:shd w:val="clear" w:color="auto" w:fill="auto"/>
          </w:tcPr>
          <w:p w14:paraId="009B9419" w14:textId="77777777" w:rsidR="00CB2D76" w:rsidRPr="001A423D" w:rsidRDefault="00CB2D76" w:rsidP="009C1E14">
            <w:pPr>
              <w:widowControl w:val="0"/>
              <w:tabs>
                <w:tab w:val="left" w:pos="492"/>
              </w:tabs>
              <w:spacing w:after="0" w:line="240" w:lineRule="auto"/>
              <w:jc w:val="both"/>
              <w:rPr>
                <w:rFonts w:ascii="Times New Roman" w:hAnsi="Times New Roman"/>
                <w:sz w:val="20"/>
                <w:szCs w:val="20"/>
              </w:rPr>
            </w:pPr>
            <w:r w:rsidRPr="001A423D">
              <w:rPr>
                <w:rFonts w:ascii="Times New Roman" w:hAnsi="Times New Roman"/>
                <w:i/>
                <w:spacing w:val="-1"/>
                <w:sz w:val="20"/>
                <w:szCs w:val="20"/>
              </w:rPr>
              <w:t>Portion</w:t>
            </w:r>
            <w:r w:rsidRPr="001A423D">
              <w:rPr>
                <w:rFonts w:ascii="Times New Roman" w:hAnsi="Times New Roman"/>
                <w:i/>
                <w:sz w:val="20"/>
                <w:szCs w:val="20"/>
              </w:rPr>
              <w:t xml:space="preserve"> </w:t>
            </w:r>
            <w:r w:rsidRPr="001A423D">
              <w:rPr>
                <w:rFonts w:ascii="Times New Roman" w:hAnsi="Times New Roman"/>
                <w:i/>
                <w:spacing w:val="-2"/>
                <w:sz w:val="20"/>
                <w:szCs w:val="20"/>
              </w:rPr>
              <w:t>for</w:t>
            </w:r>
            <w:r w:rsidRPr="001A423D">
              <w:rPr>
                <w:rFonts w:ascii="Times New Roman" w:hAnsi="Times New Roman"/>
                <w:i/>
                <w:sz w:val="20"/>
                <w:szCs w:val="20"/>
              </w:rPr>
              <w:t xml:space="preserve"> </w:t>
            </w:r>
            <w:r w:rsidRPr="001A423D">
              <w:rPr>
                <w:rFonts w:ascii="Times New Roman" w:hAnsi="Times New Roman"/>
                <w:i/>
                <w:spacing w:val="-1"/>
                <w:sz w:val="20"/>
                <w:szCs w:val="20"/>
              </w:rPr>
              <w:t>Non-Institutional</w:t>
            </w:r>
            <w:r w:rsidRPr="001A423D">
              <w:rPr>
                <w:rFonts w:ascii="Times New Roman" w:hAnsi="Times New Roman"/>
                <w:i/>
                <w:sz w:val="20"/>
                <w:szCs w:val="20"/>
              </w:rPr>
              <w:t xml:space="preserve"> </w:t>
            </w:r>
            <w:r w:rsidRPr="001A423D">
              <w:rPr>
                <w:rFonts w:ascii="Times New Roman" w:hAnsi="Times New Roman"/>
                <w:i/>
                <w:spacing w:val="-1"/>
                <w:sz w:val="20"/>
                <w:szCs w:val="20"/>
              </w:rPr>
              <w:t>Bidders*</w:t>
            </w:r>
          </w:p>
        </w:tc>
        <w:tc>
          <w:tcPr>
            <w:tcW w:w="6439" w:type="dxa"/>
            <w:shd w:val="clear" w:color="auto" w:fill="auto"/>
          </w:tcPr>
          <w:p w14:paraId="6B8D2CBD" w14:textId="77777777" w:rsidR="00CB2D76" w:rsidRPr="001A423D" w:rsidRDefault="00CB2D76" w:rsidP="009C1E14">
            <w:pPr>
              <w:widowControl w:val="0"/>
              <w:tabs>
                <w:tab w:val="left" w:pos="492"/>
              </w:tabs>
              <w:spacing w:after="0" w:line="240" w:lineRule="auto"/>
              <w:jc w:val="both"/>
              <w:rPr>
                <w:rFonts w:ascii="Times New Roman" w:hAnsi="Times New Roman"/>
                <w:sz w:val="20"/>
                <w:szCs w:val="20"/>
              </w:rPr>
            </w:pPr>
            <w:r w:rsidRPr="001A423D">
              <w:rPr>
                <w:rFonts w:ascii="Times New Roman" w:hAnsi="Times New Roman"/>
                <w:i/>
                <w:spacing w:val="-1"/>
                <w:sz w:val="20"/>
                <w:szCs w:val="20"/>
              </w:rPr>
              <w:t>₹10</w:t>
            </w:r>
            <w:r w:rsidRPr="001A423D">
              <w:rPr>
                <w:rFonts w:ascii="Times New Roman" w:hAnsi="Times New Roman"/>
                <w:i/>
                <w:spacing w:val="2"/>
                <w:sz w:val="20"/>
                <w:szCs w:val="20"/>
              </w:rPr>
              <w:t xml:space="preserve"> </w:t>
            </w:r>
            <w:r w:rsidRPr="001A423D">
              <w:rPr>
                <w:rFonts w:ascii="Times New Roman" w:hAnsi="Times New Roman"/>
                <w:i/>
                <w:sz w:val="20"/>
                <w:szCs w:val="20"/>
              </w:rPr>
              <w:t>per</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valid</w:t>
            </w:r>
            <w:r w:rsidRPr="001A423D">
              <w:rPr>
                <w:rFonts w:ascii="Times New Roman" w:hAnsi="Times New Roman"/>
                <w:i/>
                <w:spacing w:val="-2"/>
                <w:sz w:val="20"/>
                <w:szCs w:val="20"/>
              </w:rPr>
              <w:t xml:space="preserve"> </w:t>
            </w:r>
            <w:r w:rsidRPr="001A423D">
              <w:rPr>
                <w:rFonts w:ascii="Times New Roman" w:hAnsi="Times New Roman"/>
                <w:i/>
                <w:sz w:val="20"/>
                <w:szCs w:val="20"/>
              </w:rPr>
              <w:t>a</w:t>
            </w:r>
            <w:r w:rsidRPr="001A423D">
              <w:rPr>
                <w:rFonts w:ascii="Times New Roman" w:hAnsi="Times New Roman"/>
                <w:i/>
                <w:spacing w:val="-1"/>
                <w:sz w:val="20"/>
                <w:szCs w:val="20"/>
              </w:rPr>
              <w:t>pplication</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(plus</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applicable taxes)</w:t>
            </w:r>
          </w:p>
        </w:tc>
      </w:tr>
    </w:tbl>
    <w:p w14:paraId="1AA4D217" w14:textId="77777777" w:rsidR="00CB2D76" w:rsidRPr="001A423D" w:rsidRDefault="00CB2D76" w:rsidP="00CB2D76">
      <w:pPr>
        <w:tabs>
          <w:tab w:val="left" w:pos="492"/>
        </w:tabs>
        <w:spacing w:after="0" w:line="240" w:lineRule="auto"/>
        <w:ind w:left="426"/>
        <w:jc w:val="both"/>
        <w:rPr>
          <w:rFonts w:ascii="Times New Roman" w:hAnsi="Times New Roman"/>
          <w:i/>
          <w:spacing w:val="-1"/>
          <w:sz w:val="20"/>
          <w:szCs w:val="20"/>
        </w:rPr>
      </w:pPr>
      <w:r w:rsidRPr="001A423D">
        <w:rPr>
          <w:rFonts w:ascii="Times New Roman" w:hAnsi="Times New Roman"/>
          <w:i/>
          <w:sz w:val="20"/>
          <w:szCs w:val="20"/>
        </w:rPr>
        <w:t xml:space="preserve">* </w:t>
      </w:r>
      <w:r w:rsidRPr="001A423D">
        <w:rPr>
          <w:rFonts w:ascii="Times New Roman" w:hAnsi="Times New Roman"/>
          <w:i/>
          <w:spacing w:val="-1"/>
          <w:sz w:val="20"/>
          <w:szCs w:val="20"/>
        </w:rPr>
        <w:t>Based</w:t>
      </w:r>
      <w:r w:rsidRPr="001A423D">
        <w:rPr>
          <w:rFonts w:ascii="Times New Roman" w:hAnsi="Times New Roman"/>
          <w:i/>
          <w:spacing w:val="-2"/>
          <w:sz w:val="20"/>
          <w:szCs w:val="20"/>
        </w:rPr>
        <w:t xml:space="preserve"> </w:t>
      </w:r>
      <w:r w:rsidRPr="001A423D">
        <w:rPr>
          <w:rFonts w:ascii="Times New Roman" w:hAnsi="Times New Roman"/>
          <w:i/>
          <w:sz w:val="20"/>
          <w:szCs w:val="20"/>
        </w:rPr>
        <w:t>on</w:t>
      </w:r>
      <w:r w:rsidRPr="001A423D">
        <w:rPr>
          <w:rFonts w:ascii="Times New Roman" w:hAnsi="Times New Roman"/>
          <w:i/>
          <w:spacing w:val="-4"/>
          <w:sz w:val="20"/>
          <w:szCs w:val="20"/>
        </w:rPr>
        <w:t xml:space="preserve"> </w:t>
      </w:r>
      <w:r w:rsidRPr="001A423D">
        <w:rPr>
          <w:rFonts w:ascii="Times New Roman" w:hAnsi="Times New Roman"/>
          <w:i/>
          <w:spacing w:val="-1"/>
          <w:sz w:val="20"/>
          <w:szCs w:val="20"/>
        </w:rPr>
        <w:t>valid</w:t>
      </w:r>
      <w:r w:rsidRPr="001A423D">
        <w:rPr>
          <w:rFonts w:ascii="Times New Roman" w:hAnsi="Times New Roman"/>
          <w:i/>
          <w:sz w:val="20"/>
          <w:szCs w:val="20"/>
        </w:rPr>
        <w:t xml:space="preserve"> </w:t>
      </w:r>
      <w:r w:rsidRPr="001A423D">
        <w:rPr>
          <w:rFonts w:ascii="Times New Roman" w:hAnsi="Times New Roman"/>
          <w:i/>
          <w:spacing w:val="-1"/>
          <w:sz w:val="20"/>
          <w:szCs w:val="20"/>
        </w:rPr>
        <w:t>applications</w:t>
      </w:r>
    </w:p>
    <w:p w14:paraId="401C85C9" w14:textId="77777777" w:rsidR="00CB2D76" w:rsidRPr="001A423D" w:rsidRDefault="00CB2D76" w:rsidP="00CB2D76">
      <w:pPr>
        <w:tabs>
          <w:tab w:val="left" w:pos="492"/>
        </w:tabs>
        <w:spacing w:after="0" w:line="240" w:lineRule="auto"/>
        <w:jc w:val="both"/>
        <w:rPr>
          <w:rFonts w:ascii="Times New Roman" w:hAnsi="Times New Roman"/>
          <w:i/>
          <w:spacing w:val="-1"/>
          <w:sz w:val="20"/>
          <w:szCs w:val="20"/>
        </w:rPr>
      </w:pPr>
      <w:r w:rsidRPr="001A423D">
        <w:rPr>
          <w:rFonts w:ascii="Times New Roman" w:hAnsi="Times New Roman"/>
          <w:i/>
          <w:spacing w:val="-1"/>
          <w:sz w:val="20"/>
          <w:szCs w:val="20"/>
        </w:rPr>
        <w:lastRenderedPageBreak/>
        <w:t>Notwithstanding</w:t>
      </w:r>
      <w:r w:rsidRPr="001A423D">
        <w:rPr>
          <w:rFonts w:ascii="Times New Roman" w:hAnsi="Times New Roman"/>
          <w:i/>
          <w:spacing w:val="-9"/>
          <w:sz w:val="20"/>
          <w:szCs w:val="20"/>
        </w:rPr>
        <w:t xml:space="preserve"> </w:t>
      </w:r>
      <w:r w:rsidRPr="001A423D">
        <w:rPr>
          <w:rFonts w:ascii="Times New Roman" w:hAnsi="Times New Roman"/>
          <w:i/>
          <w:spacing w:val="-1"/>
          <w:sz w:val="20"/>
          <w:szCs w:val="20"/>
        </w:rPr>
        <w:t>anything</w:t>
      </w:r>
      <w:r w:rsidRPr="001A423D">
        <w:rPr>
          <w:rFonts w:ascii="Times New Roman" w:hAnsi="Times New Roman"/>
          <w:i/>
          <w:spacing w:val="-6"/>
          <w:sz w:val="20"/>
          <w:szCs w:val="20"/>
        </w:rPr>
        <w:t xml:space="preserve"> </w:t>
      </w:r>
      <w:r w:rsidRPr="001A423D">
        <w:rPr>
          <w:rFonts w:ascii="Times New Roman" w:hAnsi="Times New Roman"/>
          <w:i/>
          <w:spacing w:val="-1"/>
          <w:sz w:val="20"/>
          <w:szCs w:val="20"/>
        </w:rPr>
        <w:t>contained</w:t>
      </w:r>
      <w:r w:rsidRPr="001A423D">
        <w:rPr>
          <w:rFonts w:ascii="Times New Roman" w:hAnsi="Times New Roman"/>
          <w:i/>
          <w:spacing w:val="-4"/>
          <w:sz w:val="20"/>
          <w:szCs w:val="20"/>
        </w:rPr>
        <w:t xml:space="preserve"> </w:t>
      </w:r>
      <w:r w:rsidRPr="001A423D">
        <w:rPr>
          <w:rFonts w:ascii="Times New Roman" w:hAnsi="Times New Roman"/>
          <w:i/>
          <w:spacing w:val="-1"/>
          <w:sz w:val="20"/>
          <w:szCs w:val="20"/>
        </w:rPr>
        <w:t>above</w:t>
      </w:r>
      <w:r w:rsidRPr="001A423D">
        <w:rPr>
          <w:rFonts w:ascii="Times New Roman" w:hAnsi="Times New Roman"/>
          <w:i/>
          <w:spacing w:val="-6"/>
          <w:sz w:val="20"/>
          <w:szCs w:val="20"/>
        </w:rPr>
        <w:t xml:space="preserve"> </w:t>
      </w:r>
      <w:r w:rsidRPr="001A423D">
        <w:rPr>
          <w:rFonts w:ascii="Times New Roman" w:hAnsi="Times New Roman"/>
          <w:i/>
          <w:spacing w:val="-1"/>
          <w:sz w:val="20"/>
          <w:szCs w:val="20"/>
        </w:rPr>
        <w:t>the</w:t>
      </w:r>
      <w:r w:rsidRPr="001A423D">
        <w:rPr>
          <w:rFonts w:ascii="Times New Roman" w:hAnsi="Times New Roman"/>
          <w:i/>
          <w:spacing w:val="-6"/>
          <w:sz w:val="20"/>
          <w:szCs w:val="20"/>
        </w:rPr>
        <w:t xml:space="preserve"> </w:t>
      </w:r>
      <w:r w:rsidRPr="001A423D">
        <w:rPr>
          <w:rFonts w:ascii="Times New Roman" w:hAnsi="Times New Roman"/>
          <w:i/>
          <w:spacing w:val="-1"/>
          <w:sz w:val="20"/>
          <w:szCs w:val="20"/>
        </w:rPr>
        <w:t>total</w:t>
      </w:r>
      <w:r w:rsidRPr="001A423D">
        <w:rPr>
          <w:rFonts w:ascii="Times New Roman" w:hAnsi="Times New Roman"/>
          <w:i/>
          <w:spacing w:val="-7"/>
          <w:sz w:val="20"/>
          <w:szCs w:val="20"/>
        </w:rPr>
        <w:t xml:space="preserve"> </w:t>
      </w:r>
      <w:r w:rsidRPr="001A423D">
        <w:rPr>
          <w:rFonts w:ascii="Times New Roman" w:hAnsi="Times New Roman"/>
          <w:i/>
          <w:spacing w:val="-1"/>
          <w:sz w:val="20"/>
          <w:szCs w:val="20"/>
        </w:rPr>
        <w:t>uploading</w:t>
      </w:r>
      <w:r w:rsidRPr="001A423D">
        <w:rPr>
          <w:rFonts w:ascii="Times New Roman" w:hAnsi="Times New Roman"/>
          <w:i/>
          <w:sz w:val="20"/>
          <w:szCs w:val="20"/>
        </w:rPr>
        <w:t>/</w:t>
      </w:r>
      <w:r w:rsidRPr="001A423D">
        <w:rPr>
          <w:rFonts w:ascii="Times New Roman" w:hAnsi="Times New Roman"/>
          <w:i/>
          <w:spacing w:val="-7"/>
          <w:sz w:val="20"/>
          <w:szCs w:val="20"/>
        </w:rPr>
        <w:t xml:space="preserve"> </w:t>
      </w:r>
      <w:r w:rsidRPr="001A423D">
        <w:rPr>
          <w:rFonts w:ascii="Times New Roman" w:hAnsi="Times New Roman"/>
          <w:i/>
          <w:spacing w:val="-1"/>
          <w:sz w:val="20"/>
          <w:szCs w:val="20"/>
        </w:rPr>
        <w:t>bidding</w:t>
      </w:r>
      <w:r w:rsidRPr="001A423D">
        <w:rPr>
          <w:rFonts w:ascii="Times New Roman" w:hAnsi="Times New Roman"/>
          <w:i/>
          <w:spacing w:val="-6"/>
          <w:sz w:val="20"/>
          <w:szCs w:val="20"/>
        </w:rPr>
        <w:t xml:space="preserve"> </w:t>
      </w:r>
      <w:r w:rsidRPr="001A423D">
        <w:rPr>
          <w:rFonts w:ascii="Times New Roman" w:hAnsi="Times New Roman"/>
          <w:i/>
          <w:spacing w:val="-1"/>
          <w:sz w:val="20"/>
          <w:szCs w:val="20"/>
        </w:rPr>
        <w:t>charges</w:t>
      </w:r>
      <w:r w:rsidRPr="001A423D">
        <w:rPr>
          <w:rFonts w:ascii="Times New Roman" w:hAnsi="Times New Roman"/>
          <w:i/>
          <w:spacing w:val="-6"/>
          <w:sz w:val="20"/>
          <w:szCs w:val="20"/>
        </w:rPr>
        <w:t xml:space="preserve"> </w:t>
      </w:r>
      <w:r w:rsidRPr="001A423D">
        <w:rPr>
          <w:rFonts w:ascii="Times New Roman" w:hAnsi="Times New Roman"/>
          <w:i/>
          <w:spacing w:val="-1"/>
          <w:sz w:val="20"/>
          <w:szCs w:val="20"/>
        </w:rPr>
        <w:t>payable</w:t>
      </w:r>
      <w:r w:rsidRPr="001A423D">
        <w:rPr>
          <w:rFonts w:ascii="Times New Roman" w:hAnsi="Times New Roman"/>
          <w:i/>
          <w:spacing w:val="-4"/>
          <w:sz w:val="20"/>
          <w:szCs w:val="20"/>
        </w:rPr>
        <w:t xml:space="preserve"> </w:t>
      </w:r>
      <w:r w:rsidRPr="001A423D">
        <w:rPr>
          <w:rFonts w:ascii="Times New Roman" w:hAnsi="Times New Roman"/>
          <w:i/>
          <w:spacing w:val="-1"/>
          <w:sz w:val="20"/>
          <w:szCs w:val="20"/>
        </w:rPr>
        <w:t>under</w:t>
      </w:r>
      <w:r w:rsidRPr="001A423D">
        <w:rPr>
          <w:rFonts w:ascii="Times New Roman" w:hAnsi="Times New Roman"/>
          <w:i/>
          <w:spacing w:val="-4"/>
          <w:sz w:val="20"/>
          <w:szCs w:val="20"/>
        </w:rPr>
        <w:t xml:space="preserve"> </w:t>
      </w:r>
      <w:r w:rsidRPr="001A423D">
        <w:rPr>
          <w:rFonts w:ascii="Times New Roman" w:hAnsi="Times New Roman"/>
          <w:i/>
          <w:spacing w:val="-1"/>
          <w:sz w:val="20"/>
          <w:szCs w:val="20"/>
        </w:rPr>
        <w:t>this</w:t>
      </w:r>
      <w:r w:rsidRPr="001A423D">
        <w:rPr>
          <w:rFonts w:ascii="Times New Roman" w:hAnsi="Times New Roman"/>
          <w:i/>
          <w:spacing w:val="-7"/>
          <w:sz w:val="20"/>
          <w:szCs w:val="20"/>
        </w:rPr>
        <w:t xml:space="preserve"> </w:t>
      </w:r>
      <w:r w:rsidRPr="001A423D">
        <w:rPr>
          <w:rFonts w:ascii="Times New Roman" w:hAnsi="Times New Roman"/>
          <w:i/>
          <w:spacing w:val="-1"/>
          <w:sz w:val="20"/>
          <w:szCs w:val="20"/>
        </w:rPr>
        <w:t>clause</w:t>
      </w:r>
      <w:r w:rsidRPr="001A423D">
        <w:rPr>
          <w:rFonts w:ascii="Times New Roman" w:hAnsi="Times New Roman"/>
          <w:i/>
          <w:spacing w:val="-5"/>
          <w:sz w:val="20"/>
          <w:szCs w:val="20"/>
        </w:rPr>
        <w:t xml:space="preserve"> </w:t>
      </w:r>
      <w:r w:rsidRPr="001A423D">
        <w:rPr>
          <w:rFonts w:ascii="Times New Roman" w:hAnsi="Times New Roman"/>
          <w:i/>
          <w:spacing w:val="-1"/>
          <w:sz w:val="20"/>
          <w:szCs w:val="20"/>
        </w:rPr>
        <w:t>will</w:t>
      </w:r>
      <w:r w:rsidRPr="001A423D">
        <w:rPr>
          <w:rFonts w:ascii="Times New Roman" w:hAnsi="Times New Roman"/>
          <w:i/>
          <w:spacing w:val="-4"/>
          <w:sz w:val="20"/>
          <w:szCs w:val="20"/>
        </w:rPr>
        <w:t xml:space="preserve"> </w:t>
      </w:r>
      <w:r w:rsidRPr="001A423D">
        <w:rPr>
          <w:rFonts w:ascii="Times New Roman" w:hAnsi="Times New Roman"/>
          <w:i/>
          <w:spacing w:val="-1"/>
          <w:sz w:val="20"/>
          <w:szCs w:val="20"/>
        </w:rPr>
        <w:t>not</w:t>
      </w:r>
      <w:r w:rsidRPr="001A423D">
        <w:rPr>
          <w:rFonts w:ascii="Times New Roman" w:hAnsi="Times New Roman"/>
          <w:i/>
          <w:spacing w:val="-7"/>
          <w:sz w:val="20"/>
          <w:szCs w:val="20"/>
        </w:rPr>
        <w:t xml:space="preserve"> </w:t>
      </w:r>
      <w:r w:rsidRPr="001A423D">
        <w:rPr>
          <w:rFonts w:ascii="Times New Roman" w:hAnsi="Times New Roman"/>
          <w:i/>
          <w:spacing w:val="-1"/>
          <w:sz w:val="20"/>
          <w:szCs w:val="20"/>
        </w:rPr>
        <w:t>exceed</w:t>
      </w:r>
      <w:r w:rsidRPr="001A423D">
        <w:rPr>
          <w:rFonts w:ascii="Times New Roman" w:hAnsi="Times New Roman"/>
          <w:i/>
          <w:spacing w:val="-6"/>
          <w:sz w:val="20"/>
          <w:szCs w:val="20"/>
        </w:rPr>
        <w:t xml:space="preserve"> </w:t>
      </w:r>
      <w:r w:rsidRPr="001A423D">
        <w:rPr>
          <w:rFonts w:ascii="Times New Roman" w:hAnsi="Times New Roman"/>
          <w:i/>
          <w:spacing w:val="-1"/>
          <w:sz w:val="20"/>
          <w:szCs w:val="20"/>
        </w:rPr>
        <w:t>₹ 1 lakh</w:t>
      </w:r>
      <w:r w:rsidRPr="001A423D">
        <w:rPr>
          <w:rFonts w:ascii="Times New Roman" w:hAnsi="Times New Roman"/>
          <w:i/>
          <w:spacing w:val="-4"/>
          <w:sz w:val="20"/>
          <w:szCs w:val="20"/>
        </w:rPr>
        <w:t xml:space="preserve"> </w:t>
      </w:r>
      <w:r w:rsidRPr="001A423D">
        <w:rPr>
          <w:rFonts w:ascii="Times New Roman" w:hAnsi="Times New Roman"/>
          <w:i/>
          <w:spacing w:val="-1"/>
          <w:sz w:val="20"/>
          <w:szCs w:val="20"/>
        </w:rPr>
        <w:t>(plus</w:t>
      </w:r>
      <w:r w:rsidRPr="001A423D">
        <w:rPr>
          <w:rFonts w:ascii="Times New Roman" w:hAnsi="Times New Roman"/>
          <w:i/>
          <w:spacing w:val="-4"/>
          <w:sz w:val="20"/>
          <w:szCs w:val="20"/>
        </w:rPr>
        <w:t xml:space="preserve"> </w:t>
      </w:r>
      <w:r w:rsidRPr="001A423D">
        <w:rPr>
          <w:rFonts w:ascii="Times New Roman" w:hAnsi="Times New Roman"/>
          <w:i/>
          <w:spacing w:val="-1"/>
          <w:sz w:val="20"/>
          <w:szCs w:val="20"/>
        </w:rPr>
        <w:t>applicable</w:t>
      </w:r>
      <w:r w:rsidRPr="001A423D">
        <w:rPr>
          <w:rFonts w:ascii="Times New Roman" w:hAnsi="Times New Roman"/>
          <w:i/>
          <w:spacing w:val="-4"/>
          <w:sz w:val="20"/>
          <w:szCs w:val="20"/>
        </w:rPr>
        <w:t xml:space="preserve"> </w:t>
      </w:r>
      <w:r w:rsidRPr="001A423D">
        <w:rPr>
          <w:rFonts w:ascii="Times New Roman" w:hAnsi="Times New Roman"/>
          <w:i/>
          <w:spacing w:val="-1"/>
          <w:sz w:val="20"/>
          <w:szCs w:val="20"/>
        </w:rPr>
        <w:t>taxes) and</w:t>
      </w:r>
      <w:r w:rsidRPr="001A423D">
        <w:rPr>
          <w:rFonts w:ascii="Times New Roman" w:hAnsi="Times New Roman"/>
          <w:i/>
          <w:spacing w:val="-4"/>
          <w:sz w:val="20"/>
          <w:szCs w:val="20"/>
        </w:rPr>
        <w:t xml:space="preserve"> </w:t>
      </w:r>
      <w:r w:rsidRPr="001A423D">
        <w:rPr>
          <w:rFonts w:ascii="Times New Roman" w:hAnsi="Times New Roman"/>
          <w:i/>
          <w:spacing w:val="-1"/>
          <w:sz w:val="20"/>
          <w:szCs w:val="20"/>
        </w:rPr>
        <w:t>in</w:t>
      </w:r>
      <w:r w:rsidRPr="001A423D">
        <w:rPr>
          <w:rFonts w:ascii="Times New Roman" w:hAnsi="Times New Roman"/>
          <w:i/>
          <w:sz w:val="20"/>
          <w:szCs w:val="20"/>
        </w:rPr>
        <w:t xml:space="preserve"> </w:t>
      </w:r>
      <w:r w:rsidRPr="001A423D">
        <w:rPr>
          <w:rFonts w:ascii="Times New Roman" w:hAnsi="Times New Roman"/>
          <w:i/>
          <w:spacing w:val="-1"/>
          <w:sz w:val="20"/>
          <w:szCs w:val="20"/>
        </w:rPr>
        <w:t>case</w:t>
      </w:r>
      <w:r w:rsidRPr="001A423D">
        <w:rPr>
          <w:rFonts w:ascii="Times New Roman" w:hAnsi="Times New Roman"/>
          <w:i/>
          <w:spacing w:val="-4"/>
          <w:sz w:val="20"/>
          <w:szCs w:val="20"/>
        </w:rPr>
        <w:t xml:space="preserve"> </w:t>
      </w:r>
      <w:r w:rsidRPr="001A423D">
        <w:rPr>
          <w:rFonts w:ascii="Times New Roman" w:hAnsi="Times New Roman"/>
          <w:i/>
          <w:spacing w:val="-1"/>
          <w:sz w:val="20"/>
          <w:szCs w:val="20"/>
        </w:rPr>
        <w:t>if</w:t>
      </w:r>
      <w:r w:rsidRPr="001A423D">
        <w:rPr>
          <w:rFonts w:ascii="Times New Roman" w:hAnsi="Times New Roman"/>
          <w:i/>
          <w:spacing w:val="1"/>
          <w:sz w:val="20"/>
          <w:szCs w:val="20"/>
        </w:rPr>
        <w:t xml:space="preserve"> </w:t>
      </w:r>
      <w:r w:rsidRPr="001A423D">
        <w:rPr>
          <w:rFonts w:ascii="Times New Roman" w:hAnsi="Times New Roman"/>
          <w:i/>
          <w:spacing w:val="-1"/>
          <w:sz w:val="20"/>
          <w:szCs w:val="20"/>
        </w:rPr>
        <w:t>the</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total</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uploading</w:t>
      </w:r>
      <w:r w:rsidRPr="001A423D">
        <w:rPr>
          <w:rFonts w:ascii="Times New Roman" w:hAnsi="Times New Roman"/>
          <w:i/>
          <w:sz w:val="20"/>
          <w:szCs w:val="20"/>
        </w:rPr>
        <w:t>/</w:t>
      </w:r>
      <w:r w:rsidRPr="001A423D">
        <w:rPr>
          <w:rFonts w:ascii="Times New Roman" w:hAnsi="Times New Roman"/>
          <w:i/>
          <w:spacing w:val="-4"/>
          <w:sz w:val="20"/>
          <w:szCs w:val="20"/>
        </w:rPr>
        <w:t xml:space="preserve"> </w:t>
      </w:r>
      <w:r w:rsidRPr="001A423D">
        <w:rPr>
          <w:rFonts w:ascii="Times New Roman" w:hAnsi="Times New Roman"/>
          <w:i/>
          <w:spacing w:val="-1"/>
          <w:sz w:val="20"/>
          <w:szCs w:val="20"/>
        </w:rPr>
        <w:t>bidding</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charges</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exceeds</w:t>
      </w:r>
      <w:r w:rsidRPr="001A423D">
        <w:rPr>
          <w:rFonts w:ascii="Times New Roman" w:hAnsi="Times New Roman"/>
          <w:i/>
          <w:spacing w:val="-4"/>
          <w:sz w:val="20"/>
          <w:szCs w:val="20"/>
        </w:rPr>
        <w:t xml:space="preserve"> </w:t>
      </w:r>
      <w:r w:rsidRPr="001A423D">
        <w:rPr>
          <w:rFonts w:ascii="Times New Roman" w:hAnsi="Times New Roman"/>
          <w:i/>
          <w:spacing w:val="-1"/>
          <w:sz w:val="20"/>
          <w:szCs w:val="20"/>
        </w:rPr>
        <w:t xml:space="preserve">₹ </w:t>
      </w:r>
      <w:r w:rsidRPr="001A423D">
        <w:rPr>
          <w:rFonts w:ascii="Times New Roman" w:hAnsi="Times New Roman"/>
          <w:i/>
          <w:spacing w:val="-2"/>
          <w:sz w:val="20"/>
          <w:szCs w:val="20"/>
        </w:rPr>
        <w:t>1 lakh</w:t>
      </w:r>
      <w:r w:rsidRPr="001A423D">
        <w:rPr>
          <w:rFonts w:ascii="Times New Roman" w:hAnsi="Times New Roman"/>
          <w:i/>
          <w:spacing w:val="-4"/>
          <w:sz w:val="20"/>
          <w:szCs w:val="20"/>
        </w:rPr>
        <w:t xml:space="preserve"> </w:t>
      </w:r>
      <w:r w:rsidRPr="001A423D">
        <w:rPr>
          <w:rFonts w:ascii="Times New Roman" w:hAnsi="Times New Roman"/>
          <w:i/>
          <w:spacing w:val="-1"/>
          <w:sz w:val="20"/>
          <w:szCs w:val="20"/>
        </w:rPr>
        <w:t>(plus</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applicable</w:t>
      </w:r>
      <w:r w:rsidRPr="001A423D">
        <w:rPr>
          <w:rFonts w:ascii="Times New Roman" w:hAnsi="Times New Roman"/>
          <w:i/>
          <w:spacing w:val="63"/>
          <w:sz w:val="20"/>
          <w:szCs w:val="20"/>
        </w:rPr>
        <w:t xml:space="preserve"> </w:t>
      </w:r>
      <w:r w:rsidRPr="001A423D">
        <w:rPr>
          <w:rFonts w:ascii="Times New Roman" w:hAnsi="Times New Roman"/>
          <w:i/>
          <w:spacing w:val="-1"/>
          <w:sz w:val="20"/>
          <w:szCs w:val="20"/>
        </w:rPr>
        <w:t>taxes) then</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uploading</w:t>
      </w:r>
      <w:r w:rsidRPr="001A423D">
        <w:rPr>
          <w:rFonts w:ascii="Times New Roman" w:hAnsi="Times New Roman"/>
          <w:i/>
          <w:sz w:val="20"/>
          <w:szCs w:val="20"/>
        </w:rPr>
        <w:t xml:space="preserve"> </w:t>
      </w:r>
      <w:r w:rsidRPr="001A423D">
        <w:rPr>
          <w:rFonts w:ascii="Times New Roman" w:hAnsi="Times New Roman"/>
          <w:i/>
          <w:spacing w:val="-1"/>
          <w:sz w:val="20"/>
          <w:szCs w:val="20"/>
        </w:rPr>
        <w:t>charges</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will</w:t>
      </w:r>
      <w:r w:rsidRPr="001A423D">
        <w:rPr>
          <w:rFonts w:ascii="Times New Roman" w:hAnsi="Times New Roman"/>
          <w:i/>
          <w:sz w:val="20"/>
          <w:szCs w:val="20"/>
        </w:rPr>
        <w:t xml:space="preserve"> be</w:t>
      </w:r>
      <w:r w:rsidRPr="001A423D">
        <w:rPr>
          <w:rFonts w:ascii="Times New Roman" w:hAnsi="Times New Roman"/>
          <w:i/>
          <w:spacing w:val="-1"/>
          <w:sz w:val="20"/>
          <w:szCs w:val="20"/>
        </w:rPr>
        <w:t xml:space="preserve"> paid</w:t>
      </w:r>
      <w:r w:rsidRPr="001A423D">
        <w:rPr>
          <w:rFonts w:ascii="Times New Roman" w:hAnsi="Times New Roman"/>
          <w:i/>
          <w:spacing w:val="-2"/>
          <w:sz w:val="20"/>
          <w:szCs w:val="20"/>
        </w:rPr>
        <w:t xml:space="preserve"> </w:t>
      </w:r>
      <w:r w:rsidRPr="001A423D">
        <w:rPr>
          <w:rFonts w:ascii="Times New Roman" w:hAnsi="Times New Roman"/>
          <w:i/>
          <w:sz w:val="20"/>
          <w:szCs w:val="20"/>
        </w:rPr>
        <w:t xml:space="preserve">on </w:t>
      </w:r>
      <w:r w:rsidRPr="001A423D">
        <w:rPr>
          <w:rFonts w:ascii="Times New Roman" w:hAnsi="Times New Roman"/>
          <w:i/>
          <w:spacing w:val="-1"/>
          <w:sz w:val="20"/>
          <w:szCs w:val="20"/>
        </w:rPr>
        <w:t>pro-rata</w:t>
      </w:r>
      <w:r w:rsidRPr="001A423D">
        <w:rPr>
          <w:rFonts w:ascii="Times New Roman" w:hAnsi="Times New Roman"/>
          <w:i/>
          <w:sz w:val="20"/>
          <w:szCs w:val="20"/>
        </w:rPr>
        <w:t xml:space="preserve"> </w:t>
      </w:r>
      <w:r w:rsidRPr="001A423D">
        <w:rPr>
          <w:rFonts w:ascii="Times New Roman" w:hAnsi="Times New Roman"/>
          <w:i/>
          <w:spacing w:val="-1"/>
          <w:sz w:val="20"/>
          <w:szCs w:val="20"/>
        </w:rPr>
        <w:t>basis.</w:t>
      </w:r>
    </w:p>
    <w:p w14:paraId="21454A29" w14:textId="77777777" w:rsidR="00CB2D76" w:rsidRPr="001A423D" w:rsidRDefault="00CB2D76" w:rsidP="00CB2D76">
      <w:pPr>
        <w:tabs>
          <w:tab w:val="left" w:pos="492"/>
        </w:tabs>
        <w:spacing w:after="0" w:line="240" w:lineRule="auto"/>
        <w:ind w:right="119"/>
        <w:jc w:val="both"/>
        <w:rPr>
          <w:rFonts w:ascii="Times New Roman" w:hAnsi="Times New Roman"/>
          <w:i/>
          <w:spacing w:val="-1"/>
          <w:sz w:val="20"/>
          <w:szCs w:val="20"/>
        </w:rPr>
      </w:pPr>
      <w:r w:rsidRPr="001A423D">
        <w:rPr>
          <w:rFonts w:ascii="Times New Roman" w:hAnsi="Times New Roman"/>
          <w:i/>
          <w:sz w:val="20"/>
          <w:szCs w:val="20"/>
        </w:rPr>
        <w:t>The</w:t>
      </w:r>
      <w:r w:rsidRPr="001A423D">
        <w:rPr>
          <w:rFonts w:ascii="Times New Roman" w:hAnsi="Times New Roman"/>
          <w:i/>
          <w:spacing w:val="-4"/>
          <w:sz w:val="20"/>
          <w:szCs w:val="20"/>
        </w:rPr>
        <w:t xml:space="preserve"> </w:t>
      </w:r>
      <w:r w:rsidRPr="001A423D">
        <w:rPr>
          <w:rFonts w:ascii="Times New Roman" w:hAnsi="Times New Roman"/>
          <w:i/>
          <w:spacing w:val="-1"/>
          <w:sz w:val="20"/>
          <w:szCs w:val="20"/>
        </w:rPr>
        <w:t>Selling</w:t>
      </w:r>
      <w:r w:rsidRPr="001A423D">
        <w:rPr>
          <w:rFonts w:ascii="Times New Roman" w:hAnsi="Times New Roman"/>
          <w:i/>
          <w:sz w:val="20"/>
          <w:szCs w:val="20"/>
        </w:rPr>
        <w:t xml:space="preserve"> </w:t>
      </w:r>
      <w:r w:rsidRPr="001A423D">
        <w:rPr>
          <w:rFonts w:ascii="Times New Roman" w:hAnsi="Times New Roman"/>
          <w:i/>
          <w:spacing w:val="-2"/>
          <w:sz w:val="20"/>
          <w:szCs w:val="20"/>
        </w:rPr>
        <w:t>Commission</w:t>
      </w:r>
      <w:r w:rsidRPr="001A423D">
        <w:rPr>
          <w:rFonts w:ascii="Times New Roman" w:hAnsi="Times New Roman"/>
          <w:i/>
          <w:sz w:val="20"/>
          <w:szCs w:val="20"/>
        </w:rPr>
        <w:t xml:space="preserve"> </w:t>
      </w:r>
      <w:r w:rsidRPr="001A423D">
        <w:rPr>
          <w:rFonts w:ascii="Times New Roman" w:hAnsi="Times New Roman"/>
          <w:i/>
          <w:spacing w:val="-1"/>
          <w:sz w:val="20"/>
          <w:szCs w:val="20"/>
        </w:rPr>
        <w:t>payable</w:t>
      </w:r>
      <w:r w:rsidRPr="001A423D">
        <w:rPr>
          <w:rFonts w:ascii="Times New Roman" w:hAnsi="Times New Roman"/>
          <w:i/>
          <w:spacing w:val="-5"/>
          <w:sz w:val="20"/>
          <w:szCs w:val="20"/>
        </w:rPr>
        <w:t xml:space="preserve"> </w:t>
      </w:r>
      <w:r w:rsidRPr="001A423D">
        <w:rPr>
          <w:rFonts w:ascii="Times New Roman" w:hAnsi="Times New Roman"/>
          <w:i/>
          <w:spacing w:val="-1"/>
          <w:sz w:val="20"/>
          <w:szCs w:val="20"/>
        </w:rPr>
        <w:t>to</w:t>
      </w:r>
      <w:r w:rsidRPr="001A423D">
        <w:rPr>
          <w:rFonts w:ascii="Times New Roman" w:hAnsi="Times New Roman"/>
          <w:i/>
          <w:sz w:val="20"/>
          <w:szCs w:val="20"/>
        </w:rPr>
        <w:t xml:space="preserve"> </w:t>
      </w:r>
      <w:r w:rsidRPr="001A423D">
        <w:rPr>
          <w:rFonts w:ascii="Times New Roman" w:hAnsi="Times New Roman"/>
          <w:i/>
          <w:spacing w:val="-1"/>
          <w:sz w:val="20"/>
          <w:szCs w:val="20"/>
        </w:rPr>
        <w:t>the</w:t>
      </w:r>
      <w:r w:rsidRPr="001A423D">
        <w:rPr>
          <w:rFonts w:ascii="Times New Roman" w:hAnsi="Times New Roman"/>
          <w:i/>
          <w:spacing w:val="-5"/>
          <w:sz w:val="20"/>
          <w:szCs w:val="20"/>
        </w:rPr>
        <w:t xml:space="preserve"> </w:t>
      </w:r>
      <w:r w:rsidRPr="001A423D">
        <w:rPr>
          <w:rFonts w:ascii="Times New Roman" w:hAnsi="Times New Roman"/>
          <w:i/>
          <w:spacing w:val="-1"/>
          <w:sz w:val="20"/>
          <w:szCs w:val="20"/>
        </w:rPr>
        <w:t>Syndicate</w:t>
      </w:r>
      <w:r w:rsidRPr="001A423D">
        <w:rPr>
          <w:rFonts w:ascii="Times New Roman" w:hAnsi="Times New Roman"/>
          <w:i/>
          <w:sz w:val="20"/>
          <w:szCs w:val="20"/>
        </w:rPr>
        <w:t xml:space="preserve">/ </w:t>
      </w:r>
      <w:r w:rsidRPr="001A423D">
        <w:rPr>
          <w:rFonts w:ascii="Times New Roman" w:hAnsi="Times New Roman"/>
          <w:i/>
          <w:spacing w:val="-1"/>
          <w:sz w:val="20"/>
          <w:szCs w:val="20"/>
        </w:rPr>
        <w:t>Sub-Syndicate</w:t>
      </w:r>
      <w:r w:rsidRPr="001A423D">
        <w:rPr>
          <w:rFonts w:ascii="Times New Roman" w:hAnsi="Times New Roman"/>
          <w:i/>
          <w:spacing w:val="-5"/>
          <w:sz w:val="20"/>
          <w:szCs w:val="20"/>
        </w:rPr>
        <w:t xml:space="preserve"> </w:t>
      </w:r>
      <w:r w:rsidRPr="001A423D">
        <w:rPr>
          <w:rFonts w:ascii="Times New Roman" w:hAnsi="Times New Roman"/>
          <w:i/>
          <w:spacing w:val="-1"/>
          <w:sz w:val="20"/>
          <w:szCs w:val="20"/>
        </w:rPr>
        <w:t>Members</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will</w:t>
      </w:r>
      <w:r w:rsidRPr="001A423D">
        <w:rPr>
          <w:rFonts w:ascii="Times New Roman" w:hAnsi="Times New Roman"/>
          <w:i/>
          <w:sz w:val="20"/>
          <w:szCs w:val="20"/>
        </w:rPr>
        <w:t xml:space="preserve"> </w:t>
      </w:r>
      <w:r w:rsidRPr="001A423D">
        <w:rPr>
          <w:rFonts w:ascii="Times New Roman" w:hAnsi="Times New Roman"/>
          <w:i/>
          <w:spacing w:val="-1"/>
          <w:sz w:val="20"/>
          <w:szCs w:val="20"/>
        </w:rPr>
        <w:t>be</w:t>
      </w:r>
      <w:r w:rsidRPr="001A423D">
        <w:rPr>
          <w:rFonts w:ascii="Times New Roman" w:hAnsi="Times New Roman"/>
          <w:i/>
          <w:sz w:val="20"/>
          <w:szCs w:val="20"/>
        </w:rPr>
        <w:t xml:space="preserve"> </w:t>
      </w:r>
      <w:r w:rsidRPr="001A423D">
        <w:rPr>
          <w:rFonts w:ascii="Times New Roman" w:hAnsi="Times New Roman"/>
          <w:i/>
          <w:spacing w:val="-1"/>
          <w:sz w:val="20"/>
          <w:szCs w:val="20"/>
        </w:rPr>
        <w:t>determined</w:t>
      </w:r>
      <w:r w:rsidRPr="001A423D">
        <w:rPr>
          <w:rFonts w:ascii="Times New Roman" w:hAnsi="Times New Roman"/>
          <w:i/>
          <w:spacing w:val="-2"/>
          <w:sz w:val="20"/>
          <w:szCs w:val="20"/>
        </w:rPr>
        <w:t xml:space="preserve"> </w:t>
      </w:r>
      <w:r w:rsidRPr="001A423D">
        <w:rPr>
          <w:rFonts w:ascii="Times New Roman" w:hAnsi="Times New Roman"/>
          <w:i/>
          <w:sz w:val="20"/>
          <w:szCs w:val="20"/>
        </w:rPr>
        <w:t>on</w:t>
      </w:r>
      <w:r w:rsidRPr="001A423D">
        <w:rPr>
          <w:rFonts w:ascii="Times New Roman" w:hAnsi="Times New Roman"/>
          <w:i/>
          <w:spacing w:val="-4"/>
          <w:sz w:val="20"/>
          <w:szCs w:val="20"/>
        </w:rPr>
        <w:t xml:space="preserve"> </w:t>
      </w:r>
      <w:r w:rsidRPr="001A423D">
        <w:rPr>
          <w:rFonts w:ascii="Times New Roman" w:hAnsi="Times New Roman"/>
          <w:i/>
          <w:spacing w:val="-1"/>
          <w:sz w:val="20"/>
          <w:szCs w:val="20"/>
        </w:rPr>
        <w:t>the basis</w:t>
      </w:r>
      <w:r w:rsidRPr="001A423D">
        <w:rPr>
          <w:rFonts w:ascii="Times New Roman" w:hAnsi="Times New Roman"/>
          <w:i/>
          <w:sz w:val="20"/>
          <w:szCs w:val="20"/>
        </w:rPr>
        <w:t xml:space="preserve"> </w:t>
      </w:r>
      <w:r w:rsidRPr="001A423D">
        <w:rPr>
          <w:rFonts w:ascii="Times New Roman" w:hAnsi="Times New Roman"/>
          <w:i/>
          <w:spacing w:val="-1"/>
          <w:sz w:val="20"/>
          <w:szCs w:val="20"/>
        </w:rPr>
        <w:t>of</w:t>
      </w:r>
      <w:r w:rsidRPr="001A423D">
        <w:rPr>
          <w:rFonts w:ascii="Times New Roman" w:hAnsi="Times New Roman"/>
          <w:i/>
          <w:spacing w:val="-2"/>
          <w:sz w:val="20"/>
          <w:szCs w:val="20"/>
        </w:rPr>
        <w:t xml:space="preserve"> the</w:t>
      </w:r>
      <w:r w:rsidRPr="001A423D">
        <w:rPr>
          <w:rFonts w:ascii="Times New Roman" w:hAnsi="Times New Roman"/>
          <w:i/>
          <w:spacing w:val="-1"/>
          <w:sz w:val="20"/>
          <w:szCs w:val="20"/>
        </w:rPr>
        <w:t xml:space="preserve"> application</w:t>
      </w:r>
      <w:r w:rsidRPr="001A423D">
        <w:rPr>
          <w:rFonts w:ascii="Times New Roman" w:hAnsi="Times New Roman"/>
          <w:i/>
          <w:spacing w:val="77"/>
          <w:sz w:val="20"/>
          <w:szCs w:val="20"/>
        </w:rPr>
        <w:t xml:space="preserve"> </w:t>
      </w:r>
      <w:r w:rsidRPr="001A423D">
        <w:rPr>
          <w:rFonts w:ascii="Times New Roman" w:hAnsi="Times New Roman"/>
          <w:i/>
          <w:spacing w:val="-1"/>
          <w:sz w:val="20"/>
          <w:szCs w:val="20"/>
        </w:rPr>
        <w:t>form</w:t>
      </w:r>
      <w:r w:rsidRPr="001A423D">
        <w:rPr>
          <w:rFonts w:ascii="Times New Roman" w:hAnsi="Times New Roman"/>
          <w:i/>
          <w:spacing w:val="18"/>
          <w:sz w:val="20"/>
          <w:szCs w:val="20"/>
        </w:rPr>
        <w:t xml:space="preserve"> </w:t>
      </w:r>
      <w:r w:rsidRPr="001A423D">
        <w:rPr>
          <w:rFonts w:ascii="Times New Roman" w:hAnsi="Times New Roman"/>
          <w:i/>
          <w:spacing w:val="-1"/>
          <w:sz w:val="20"/>
          <w:szCs w:val="20"/>
        </w:rPr>
        <w:t>number</w:t>
      </w:r>
      <w:r w:rsidRPr="001A423D">
        <w:rPr>
          <w:rFonts w:ascii="Times New Roman" w:hAnsi="Times New Roman"/>
          <w:i/>
          <w:sz w:val="20"/>
          <w:szCs w:val="20"/>
        </w:rPr>
        <w:t>/</w:t>
      </w:r>
      <w:r w:rsidRPr="001A423D">
        <w:rPr>
          <w:rFonts w:ascii="Times New Roman" w:hAnsi="Times New Roman"/>
          <w:i/>
          <w:spacing w:val="20"/>
          <w:sz w:val="20"/>
          <w:szCs w:val="20"/>
        </w:rPr>
        <w:t xml:space="preserve"> </w:t>
      </w:r>
      <w:r w:rsidRPr="001A423D">
        <w:rPr>
          <w:rFonts w:ascii="Times New Roman" w:hAnsi="Times New Roman"/>
          <w:i/>
          <w:spacing w:val="-1"/>
          <w:sz w:val="20"/>
          <w:szCs w:val="20"/>
        </w:rPr>
        <w:t>series,</w:t>
      </w:r>
      <w:r w:rsidRPr="001A423D">
        <w:rPr>
          <w:rFonts w:ascii="Times New Roman" w:hAnsi="Times New Roman"/>
          <w:i/>
          <w:spacing w:val="20"/>
          <w:sz w:val="20"/>
          <w:szCs w:val="20"/>
        </w:rPr>
        <w:t xml:space="preserve"> </w:t>
      </w:r>
      <w:r w:rsidRPr="001A423D">
        <w:rPr>
          <w:rFonts w:ascii="Times New Roman" w:hAnsi="Times New Roman"/>
          <w:i/>
          <w:spacing w:val="-1"/>
          <w:sz w:val="20"/>
          <w:szCs w:val="20"/>
        </w:rPr>
        <w:t>provided</w:t>
      </w:r>
      <w:r w:rsidRPr="001A423D">
        <w:rPr>
          <w:rFonts w:ascii="Times New Roman" w:hAnsi="Times New Roman"/>
          <w:i/>
          <w:spacing w:val="20"/>
          <w:sz w:val="20"/>
          <w:szCs w:val="20"/>
        </w:rPr>
        <w:t xml:space="preserve"> </w:t>
      </w:r>
      <w:r w:rsidRPr="001A423D">
        <w:rPr>
          <w:rFonts w:ascii="Times New Roman" w:hAnsi="Times New Roman"/>
          <w:i/>
          <w:spacing w:val="-1"/>
          <w:sz w:val="20"/>
          <w:szCs w:val="20"/>
        </w:rPr>
        <w:t>that</w:t>
      </w:r>
      <w:r w:rsidRPr="001A423D">
        <w:rPr>
          <w:rFonts w:ascii="Times New Roman" w:hAnsi="Times New Roman"/>
          <w:i/>
          <w:spacing w:val="20"/>
          <w:sz w:val="20"/>
          <w:szCs w:val="20"/>
        </w:rPr>
        <w:t xml:space="preserve"> </w:t>
      </w:r>
      <w:r w:rsidRPr="001A423D">
        <w:rPr>
          <w:rFonts w:ascii="Times New Roman" w:hAnsi="Times New Roman"/>
          <w:i/>
          <w:spacing w:val="-2"/>
          <w:sz w:val="20"/>
          <w:szCs w:val="20"/>
        </w:rPr>
        <w:t>the</w:t>
      </w:r>
      <w:r w:rsidRPr="001A423D">
        <w:rPr>
          <w:rFonts w:ascii="Times New Roman" w:hAnsi="Times New Roman"/>
          <w:i/>
          <w:spacing w:val="20"/>
          <w:sz w:val="20"/>
          <w:szCs w:val="20"/>
        </w:rPr>
        <w:t xml:space="preserve"> </w:t>
      </w:r>
      <w:r w:rsidRPr="001A423D">
        <w:rPr>
          <w:rFonts w:ascii="Times New Roman" w:hAnsi="Times New Roman"/>
          <w:i/>
          <w:spacing w:val="-2"/>
          <w:sz w:val="20"/>
          <w:szCs w:val="20"/>
        </w:rPr>
        <w:t>application</w:t>
      </w:r>
      <w:r w:rsidRPr="001A423D">
        <w:rPr>
          <w:rFonts w:ascii="Times New Roman" w:hAnsi="Times New Roman"/>
          <w:i/>
          <w:spacing w:val="21"/>
          <w:sz w:val="20"/>
          <w:szCs w:val="20"/>
        </w:rPr>
        <w:t xml:space="preserve"> </w:t>
      </w:r>
      <w:r w:rsidRPr="001A423D">
        <w:rPr>
          <w:rFonts w:ascii="Times New Roman" w:hAnsi="Times New Roman"/>
          <w:i/>
          <w:spacing w:val="-1"/>
          <w:sz w:val="20"/>
          <w:szCs w:val="20"/>
        </w:rPr>
        <w:t>is</w:t>
      </w:r>
      <w:r w:rsidRPr="001A423D">
        <w:rPr>
          <w:rFonts w:ascii="Times New Roman" w:hAnsi="Times New Roman"/>
          <w:i/>
          <w:spacing w:val="20"/>
          <w:sz w:val="20"/>
          <w:szCs w:val="20"/>
        </w:rPr>
        <w:t xml:space="preserve"> </w:t>
      </w:r>
      <w:r w:rsidRPr="001A423D">
        <w:rPr>
          <w:rFonts w:ascii="Times New Roman" w:hAnsi="Times New Roman"/>
          <w:i/>
          <w:spacing w:val="-1"/>
          <w:sz w:val="20"/>
          <w:szCs w:val="20"/>
        </w:rPr>
        <w:t>also</w:t>
      </w:r>
      <w:r w:rsidRPr="001A423D">
        <w:rPr>
          <w:rFonts w:ascii="Times New Roman" w:hAnsi="Times New Roman"/>
          <w:i/>
          <w:spacing w:val="20"/>
          <w:sz w:val="20"/>
          <w:szCs w:val="20"/>
        </w:rPr>
        <w:t xml:space="preserve"> </w:t>
      </w:r>
      <w:r w:rsidRPr="001A423D">
        <w:rPr>
          <w:rFonts w:ascii="Times New Roman" w:hAnsi="Times New Roman"/>
          <w:i/>
          <w:spacing w:val="-2"/>
          <w:sz w:val="20"/>
          <w:szCs w:val="20"/>
        </w:rPr>
        <w:t>bid</w:t>
      </w:r>
      <w:r w:rsidRPr="001A423D">
        <w:rPr>
          <w:rFonts w:ascii="Times New Roman" w:hAnsi="Times New Roman"/>
          <w:i/>
          <w:spacing w:val="22"/>
          <w:sz w:val="20"/>
          <w:szCs w:val="20"/>
        </w:rPr>
        <w:t xml:space="preserve"> </w:t>
      </w:r>
      <w:r w:rsidRPr="001A423D">
        <w:rPr>
          <w:rFonts w:ascii="Times New Roman" w:hAnsi="Times New Roman"/>
          <w:i/>
          <w:spacing w:val="-1"/>
          <w:sz w:val="20"/>
          <w:szCs w:val="20"/>
        </w:rPr>
        <w:t>by</w:t>
      </w:r>
      <w:r w:rsidRPr="001A423D">
        <w:rPr>
          <w:rFonts w:ascii="Times New Roman" w:hAnsi="Times New Roman"/>
          <w:i/>
          <w:spacing w:val="20"/>
          <w:sz w:val="20"/>
          <w:szCs w:val="20"/>
        </w:rPr>
        <w:t xml:space="preserve"> </w:t>
      </w:r>
      <w:r w:rsidRPr="001A423D">
        <w:rPr>
          <w:rFonts w:ascii="Times New Roman" w:hAnsi="Times New Roman"/>
          <w:i/>
          <w:spacing w:val="-1"/>
          <w:sz w:val="20"/>
          <w:szCs w:val="20"/>
        </w:rPr>
        <w:t>the</w:t>
      </w:r>
      <w:r w:rsidRPr="001A423D">
        <w:rPr>
          <w:rFonts w:ascii="Times New Roman" w:hAnsi="Times New Roman"/>
          <w:i/>
          <w:spacing w:val="19"/>
          <w:sz w:val="20"/>
          <w:szCs w:val="20"/>
        </w:rPr>
        <w:t xml:space="preserve"> </w:t>
      </w:r>
      <w:r w:rsidRPr="001A423D">
        <w:rPr>
          <w:rFonts w:ascii="Times New Roman" w:hAnsi="Times New Roman"/>
          <w:i/>
          <w:spacing w:val="-1"/>
          <w:sz w:val="20"/>
          <w:szCs w:val="20"/>
        </w:rPr>
        <w:t>respective</w:t>
      </w:r>
      <w:r w:rsidRPr="001A423D">
        <w:rPr>
          <w:rFonts w:ascii="Times New Roman" w:hAnsi="Times New Roman"/>
          <w:i/>
          <w:spacing w:val="19"/>
          <w:sz w:val="20"/>
          <w:szCs w:val="20"/>
        </w:rPr>
        <w:t xml:space="preserve"> </w:t>
      </w:r>
      <w:r w:rsidRPr="001A423D">
        <w:rPr>
          <w:rFonts w:ascii="Times New Roman" w:hAnsi="Times New Roman"/>
          <w:i/>
          <w:spacing w:val="-1"/>
          <w:sz w:val="20"/>
          <w:szCs w:val="20"/>
        </w:rPr>
        <w:t>Syndicate</w:t>
      </w:r>
      <w:r w:rsidRPr="001A423D">
        <w:rPr>
          <w:rFonts w:ascii="Times New Roman" w:hAnsi="Times New Roman"/>
          <w:i/>
          <w:sz w:val="20"/>
          <w:szCs w:val="20"/>
        </w:rPr>
        <w:t>/</w:t>
      </w:r>
      <w:r w:rsidRPr="001A423D">
        <w:rPr>
          <w:rFonts w:ascii="Times New Roman" w:hAnsi="Times New Roman"/>
          <w:i/>
          <w:spacing w:val="20"/>
          <w:sz w:val="20"/>
          <w:szCs w:val="20"/>
        </w:rPr>
        <w:t xml:space="preserve"> </w:t>
      </w:r>
      <w:r w:rsidRPr="001A423D">
        <w:rPr>
          <w:rFonts w:ascii="Times New Roman" w:hAnsi="Times New Roman"/>
          <w:i/>
          <w:spacing w:val="-1"/>
          <w:sz w:val="20"/>
          <w:szCs w:val="20"/>
        </w:rPr>
        <w:t>Sub-Syndicate</w:t>
      </w:r>
      <w:r w:rsidRPr="001A423D">
        <w:rPr>
          <w:rFonts w:ascii="Times New Roman" w:hAnsi="Times New Roman"/>
          <w:i/>
          <w:spacing w:val="18"/>
          <w:sz w:val="20"/>
          <w:szCs w:val="20"/>
        </w:rPr>
        <w:t xml:space="preserve"> </w:t>
      </w:r>
      <w:r w:rsidRPr="001A423D">
        <w:rPr>
          <w:rFonts w:ascii="Times New Roman" w:hAnsi="Times New Roman"/>
          <w:i/>
          <w:spacing w:val="-1"/>
          <w:sz w:val="20"/>
          <w:szCs w:val="20"/>
        </w:rPr>
        <w:t>Member.</w:t>
      </w:r>
      <w:r w:rsidRPr="001A423D">
        <w:rPr>
          <w:rFonts w:ascii="Times New Roman" w:hAnsi="Times New Roman"/>
          <w:i/>
          <w:spacing w:val="20"/>
          <w:sz w:val="20"/>
          <w:szCs w:val="20"/>
        </w:rPr>
        <w:t xml:space="preserve"> </w:t>
      </w:r>
      <w:r w:rsidRPr="001A423D">
        <w:rPr>
          <w:rFonts w:ascii="Times New Roman" w:hAnsi="Times New Roman"/>
          <w:i/>
          <w:spacing w:val="-1"/>
          <w:sz w:val="20"/>
          <w:szCs w:val="20"/>
        </w:rPr>
        <w:t>For</w:t>
      </w:r>
      <w:r w:rsidRPr="001A423D">
        <w:rPr>
          <w:rFonts w:ascii="Times New Roman" w:hAnsi="Times New Roman"/>
          <w:i/>
          <w:spacing w:val="71"/>
          <w:sz w:val="20"/>
          <w:szCs w:val="20"/>
        </w:rPr>
        <w:t xml:space="preserve"> </w:t>
      </w:r>
      <w:r w:rsidRPr="001A423D">
        <w:rPr>
          <w:rFonts w:ascii="Times New Roman" w:hAnsi="Times New Roman"/>
          <w:i/>
          <w:spacing w:val="-1"/>
          <w:sz w:val="20"/>
          <w:szCs w:val="20"/>
        </w:rPr>
        <w:t>clarification,</w:t>
      </w:r>
      <w:r w:rsidRPr="001A423D">
        <w:rPr>
          <w:rFonts w:ascii="Times New Roman" w:hAnsi="Times New Roman"/>
          <w:i/>
          <w:spacing w:val="-6"/>
          <w:sz w:val="20"/>
          <w:szCs w:val="20"/>
        </w:rPr>
        <w:t xml:space="preserve"> </w:t>
      </w:r>
      <w:r w:rsidRPr="001A423D">
        <w:rPr>
          <w:rFonts w:ascii="Times New Roman" w:hAnsi="Times New Roman"/>
          <w:i/>
          <w:spacing w:val="-1"/>
          <w:sz w:val="20"/>
          <w:szCs w:val="20"/>
        </w:rPr>
        <w:t>if</w:t>
      </w:r>
      <w:r w:rsidRPr="001A423D">
        <w:rPr>
          <w:rFonts w:ascii="Times New Roman" w:hAnsi="Times New Roman"/>
          <w:i/>
          <w:spacing w:val="-4"/>
          <w:sz w:val="20"/>
          <w:szCs w:val="20"/>
        </w:rPr>
        <w:t xml:space="preserve"> </w:t>
      </w:r>
      <w:r w:rsidRPr="001A423D">
        <w:rPr>
          <w:rFonts w:ascii="Times New Roman" w:hAnsi="Times New Roman"/>
          <w:i/>
          <w:sz w:val="20"/>
          <w:szCs w:val="20"/>
        </w:rPr>
        <w:t>a</w:t>
      </w:r>
      <w:r w:rsidRPr="001A423D">
        <w:rPr>
          <w:rFonts w:ascii="Times New Roman" w:hAnsi="Times New Roman"/>
          <w:i/>
          <w:spacing w:val="-9"/>
          <w:sz w:val="20"/>
          <w:szCs w:val="20"/>
        </w:rPr>
        <w:t xml:space="preserve"> </w:t>
      </w:r>
      <w:r w:rsidRPr="001A423D">
        <w:rPr>
          <w:rFonts w:ascii="Times New Roman" w:hAnsi="Times New Roman"/>
          <w:i/>
          <w:spacing w:val="-1"/>
          <w:sz w:val="20"/>
          <w:szCs w:val="20"/>
        </w:rPr>
        <w:t>Syndicate</w:t>
      </w:r>
      <w:r w:rsidRPr="001A423D">
        <w:rPr>
          <w:rFonts w:ascii="Times New Roman" w:hAnsi="Times New Roman"/>
          <w:i/>
          <w:spacing w:val="-3"/>
          <w:sz w:val="20"/>
          <w:szCs w:val="20"/>
        </w:rPr>
        <w:t xml:space="preserve"> </w:t>
      </w:r>
      <w:r w:rsidRPr="001A423D">
        <w:rPr>
          <w:rFonts w:ascii="Times New Roman" w:hAnsi="Times New Roman"/>
          <w:i/>
          <w:spacing w:val="-1"/>
          <w:sz w:val="20"/>
          <w:szCs w:val="20"/>
        </w:rPr>
        <w:t>ASBA</w:t>
      </w:r>
      <w:r w:rsidRPr="001A423D">
        <w:rPr>
          <w:rFonts w:ascii="Times New Roman" w:hAnsi="Times New Roman"/>
          <w:i/>
          <w:spacing w:val="-6"/>
          <w:sz w:val="20"/>
          <w:szCs w:val="20"/>
        </w:rPr>
        <w:t xml:space="preserve"> </w:t>
      </w:r>
      <w:r w:rsidRPr="001A423D">
        <w:rPr>
          <w:rFonts w:ascii="Times New Roman" w:hAnsi="Times New Roman"/>
          <w:i/>
          <w:spacing w:val="-1"/>
          <w:sz w:val="20"/>
          <w:szCs w:val="20"/>
        </w:rPr>
        <w:t>application</w:t>
      </w:r>
      <w:r w:rsidRPr="001A423D">
        <w:rPr>
          <w:rFonts w:ascii="Times New Roman" w:hAnsi="Times New Roman"/>
          <w:i/>
          <w:spacing w:val="-6"/>
          <w:sz w:val="20"/>
          <w:szCs w:val="20"/>
        </w:rPr>
        <w:t xml:space="preserve"> </w:t>
      </w:r>
      <w:r w:rsidRPr="001A423D">
        <w:rPr>
          <w:rFonts w:ascii="Times New Roman" w:hAnsi="Times New Roman"/>
          <w:i/>
          <w:sz w:val="20"/>
          <w:szCs w:val="20"/>
        </w:rPr>
        <w:t>on</w:t>
      </w:r>
      <w:r w:rsidRPr="001A423D">
        <w:rPr>
          <w:rFonts w:ascii="Times New Roman" w:hAnsi="Times New Roman"/>
          <w:i/>
          <w:spacing w:val="-9"/>
          <w:sz w:val="20"/>
          <w:szCs w:val="20"/>
        </w:rPr>
        <w:t xml:space="preserve"> </w:t>
      </w:r>
      <w:r w:rsidRPr="001A423D">
        <w:rPr>
          <w:rFonts w:ascii="Times New Roman" w:hAnsi="Times New Roman"/>
          <w:i/>
          <w:spacing w:val="-1"/>
          <w:sz w:val="20"/>
          <w:szCs w:val="20"/>
        </w:rPr>
        <w:t>the</w:t>
      </w:r>
      <w:r w:rsidRPr="001A423D">
        <w:rPr>
          <w:rFonts w:ascii="Times New Roman" w:hAnsi="Times New Roman"/>
          <w:i/>
          <w:spacing w:val="-6"/>
          <w:sz w:val="20"/>
          <w:szCs w:val="20"/>
        </w:rPr>
        <w:t xml:space="preserve"> </w:t>
      </w:r>
      <w:r w:rsidRPr="001A423D">
        <w:rPr>
          <w:rFonts w:ascii="Times New Roman" w:hAnsi="Times New Roman"/>
          <w:i/>
          <w:spacing w:val="-1"/>
          <w:sz w:val="20"/>
          <w:szCs w:val="20"/>
        </w:rPr>
        <w:t>application</w:t>
      </w:r>
      <w:r w:rsidRPr="001A423D">
        <w:rPr>
          <w:rFonts w:ascii="Times New Roman" w:hAnsi="Times New Roman"/>
          <w:i/>
          <w:spacing w:val="-6"/>
          <w:sz w:val="20"/>
          <w:szCs w:val="20"/>
        </w:rPr>
        <w:t xml:space="preserve"> </w:t>
      </w:r>
      <w:r w:rsidRPr="001A423D">
        <w:rPr>
          <w:rFonts w:ascii="Times New Roman" w:hAnsi="Times New Roman"/>
          <w:i/>
          <w:spacing w:val="-1"/>
          <w:sz w:val="20"/>
          <w:szCs w:val="20"/>
        </w:rPr>
        <w:t>form</w:t>
      </w:r>
      <w:r w:rsidRPr="001A423D">
        <w:rPr>
          <w:rFonts w:ascii="Times New Roman" w:hAnsi="Times New Roman"/>
          <w:i/>
          <w:spacing w:val="-6"/>
          <w:sz w:val="20"/>
          <w:szCs w:val="20"/>
        </w:rPr>
        <w:t xml:space="preserve"> </w:t>
      </w:r>
      <w:r w:rsidRPr="001A423D">
        <w:rPr>
          <w:rFonts w:ascii="Times New Roman" w:hAnsi="Times New Roman"/>
          <w:i/>
          <w:spacing w:val="-1"/>
          <w:sz w:val="20"/>
          <w:szCs w:val="20"/>
        </w:rPr>
        <w:t>number</w:t>
      </w:r>
      <w:r w:rsidRPr="001A423D">
        <w:rPr>
          <w:rFonts w:ascii="Times New Roman" w:hAnsi="Times New Roman"/>
          <w:i/>
          <w:sz w:val="20"/>
          <w:szCs w:val="20"/>
        </w:rPr>
        <w:t>/</w:t>
      </w:r>
      <w:r w:rsidRPr="001A423D">
        <w:rPr>
          <w:rFonts w:ascii="Times New Roman" w:hAnsi="Times New Roman"/>
          <w:i/>
          <w:spacing w:val="-5"/>
          <w:sz w:val="20"/>
          <w:szCs w:val="20"/>
        </w:rPr>
        <w:t xml:space="preserve"> </w:t>
      </w:r>
      <w:r w:rsidRPr="001A423D">
        <w:rPr>
          <w:rFonts w:ascii="Times New Roman" w:hAnsi="Times New Roman"/>
          <w:i/>
          <w:spacing w:val="-1"/>
          <w:sz w:val="20"/>
          <w:szCs w:val="20"/>
        </w:rPr>
        <w:t>series</w:t>
      </w:r>
      <w:r w:rsidRPr="001A423D">
        <w:rPr>
          <w:rFonts w:ascii="Times New Roman" w:hAnsi="Times New Roman"/>
          <w:i/>
          <w:spacing w:val="-5"/>
          <w:sz w:val="20"/>
          <w:szCs w:val="20"/>
        </w:rPr>
        <w:t xml:space="preserve"> </w:t>
      </w:r>
      <w:r w:rsidRPr="001A423D">
        <w:rPr>
          <w:rFonts w:ascii="Times New Roman" w:hAnsi="Times New Roman"/>
          <w:i/>
          <w:spacing w:val="-1"/>
          <w:sz w:val="20"/>
          <w:szCs w:val="20"/>
        </w:rPr>
        <w:t>of</w:t>
      </w:r>
      <w:r w:rsidRPr="001A423D">
        <w:rPr>
          <w:rFonts w:ascii="Times New Roman" w:hAnsi="Times New Roman"/>
          <w:i/>
          <w:spacing w:val="-4"/>
          <w:sz w:val="20"/>
          <w:szCs w:val="20"/>
        </w:rPr>
        <w:t xml:space="preserve"> </w:t>
      </w:r>
      <w:r w:rsidRPr="001A423D">
        <w:rPr>
          <w:rFonts w:ascii="Times New Roman" w:hAnsi="Times New Roman"/>
          <w:i/>
          <w:sz w:val="20"/>
          <w:szCs w:val="20"/>
        </w:rPr>
        <w:t>a</w:t>
      </w:r>
      <w:r w:rsidRPr="001A423D">
        <w:rPr>
          <w:rFonts w:ascii="Times New Roman" w:hAnsi="Times New Roman"/>
          <w:i/>
          <w:spacing w:val="-6"/>
          <w:sz w:val="20"/>
          <w:szCs w:val="20"/>
        </w:rPr>
        <w:t xml:space="preserve"> </w:t>
      </w:r>
      <w:r w:rsidRPr="001A423D">
        <w:rPr>
          <w:rFonts w:ascii="Times New Roman" w:hAnsi="Times New Roman"/>
          <w:i/>
          <w:spacing w:val="-1"/>
          <w:sz w:val="20"/>
          <w:szCs w:val="20"/>
        </w:rPr>
        <w:t>Syndicate</w:t>
      </w:r>
      <w:r w:rsidRPr="001A423D">
        <w:rPr>
          <w:rFonts w:ascii="Times New Roman" w:hAnsi="Times New Roman"/>
          <w:i/>
          <w:spacing w:val="-6"/>
          <w:sz w:val="20"/>
          <w:szCs w:val="20"/>
        </w:rPr>
        <w:t>/</w:t>
      </w:r>
      <w:r w:rsidRPr="001A423D">
        <w:rPr>
          <w:rFonts w:ascii="Times New Roman" w:hAnsi="Times New Roman"/>
          <w:i/>
          <w:spacing w:val="-4"/>
          <w:sz w:val="20"/>
          <w:szCs w:val="20"/>
        </w:rPr>
        <w:t xml:space="preserve"> </w:t>
      </w:r>
      <w:r w:rsidRPr="001A423D">
        <w:rPr>
          <w:rFonts w:ascii="Times New Roman" w:hAnsi="Times New Roman"/>
          <w:i/>
          <w:spacing w:val="-1"/>
          <w:sz w:val="20"/>
          <w:szCs w:val="20"/>
        </w:rPr>
        <w:t>Sub-Syndicate</w:t>
      </w:r>
      <w:r w:rsidRPr="001A423D">
        <w:rPr>
          <w:rFonts w:ascii="Times New Roman" w:hAnsi="Times New Roman"/>
          <w:i/>
          <w:spacing w:val="-6"/>
          <w:sz w:val="20"/>
          <w:szCs w:val="20"/>
        </w:rPr>
        <w:t xml:space="preserve"> </w:t>
      </w:r>
      <w:r w:rsidRPr="001A423D">
        <w:rPr>
          <w:rFonts w:ascii="Times New Roman" w:hAnsi="Times New Roman"/>
          <w:i/>
          <w:spacing w:val="-1"/>
          <w:sz w:val="20"/>
          <w:szCs w:val="20"/>
        </w:rPr>
        <w:t>Member,</w:t>
      </w:r>
      <w:r w:rsidRPr="001A423D">
        <w:rPr>
          <w:rFonts w:ascii="Times New Roman" w:hAnsi="Times New Roman"/>
          <w:i/>
          <w:spacing w:val="69"/>
          <w:sz w:val="20"/>
          <w:szCs w:val="20"/>
        </w:rPr>
        <w:t xml:space="preserve"> </w:t>
      </w:r>
      <w:r w:rsidRPr="001A423D">
        <w:rPr>
          <w:rFonts w:ascii="Times New Roman" w:hAnsi="Times New Roman"/>
          <w:i/>
          <w:spacing w:val="-1"/>
          <w:sz w:val="20"/>
          <w:szCs w:val="20"/>
        </w:rPr>
        <w:t>is</w:t>
      </w:r>
      <w:r w:rsidRPr="001A423D">
        <w:rPr>
          <w:rFonts w:ascii="Times New Roman" w:hAnsi="Times New Roman"/>
          <w:i/>
          <w:spacing w:val="-7"/>
          <w:sz w:val="20"/>
          <w:szCs w:val="20"/>
        </w:rPr>
        <w:t xml:space="preserve"> </w:t>
      </w:r>
      <w:r w:rsidRPr="001A423D">
        <w:rPr>
          <w:rFonts w:ascii="Times New Roman" w:hAnsi="Times New Roman"/>
          <w:i/>
          <w:spacing w:val="-1"/>
          <w:sz w:val="20"/>
          <w:szCs w:val="20"/>
        </w:rPr>
        <w:t>bid</w:t>
      </w:r>
      <w:r w:rsidRPr="001A423D">
        <w:rPr>
          <w:rFonts w:ascii="Times New Roman" w:hAnsi="Times New Roman"/>
          <w:i/>
          <w:spacing w:val="-7"/>
          <w:sz w:val="20"/>
          <w:szCs w:val="20"/>
        </w:rPr>
        <w:t xml:space="preserve"> </w:t>
      </w:r>
      <w:r w:rsidRPr="001A423D">
        <w:rPr>
          <w:rFonts w:ascii="Times New Roman" w:hAnsi="Times New Roman"/>
          <w:i/>
          <w:spacing w:val="-1"/>
          <w:sz w:val="20"/>
          <w:szCs w:val="20"/>
        </w:rPr>
        <w:t>by</w:t>
      </w:r>
      <w:r w:rsidRPr="001A423D">
        <w:rPr>
          <w:rFonts w:ascii="Times New Roman" w:hAnsi="Times New Roman"/>
          <w:i/>
          <w:spacing w:val="-7"/>
          <w:sz w:val="20"/>
          <w:szCs w:val="20"/>
        </w:rPr>
        <w:t xml:space="preserve"> </w:t>
      </w:r>
      <w:r w:rsidRPr="001A423D">
        <w:rPr>
          <w:rFonts w:ascii="Times New Roman" w:hAnsi="Times New Roman"/>
          <w:i/>
          <w:spacing w:val="-1"/>
          <w:sz w:val="20"/>
          <w:szCs w:val="20"/>
        </w:rPr>
        <w:t>an</w:t>
      </w:r>
      <w:r w:rsidRPr="001A423D">
        <w:rPr>
          <w:rFonts w:ascii="Times New Roman" w:hAnsi="Times New Roman"/>
          <w:i/>
          <w:spacing w:val="-11"/>
          <w:sz w:val="20"/>
          <w:szCs w:val="20"/>
        </w:rPr>
        <w:t xml:space="preserve"> </w:t>
      </w:r>
      <w:r w:rsidRPr="001A423D">
        <w:rPr>
          <w:rFonts w:ascii="Times New Roman" w:hAnsi="Times New Roman"/>
          <w:i/>
          <w:spacing w:val="-1"/>
          <w:sz w:val="20"/>
          <w:szCs w:val="20"/>
        </w:rPr>
        <w:t>SCSB,</w:t>
      </w:r>
      <w:r w:rsidRPr="001A423D">
        <w:rPr>
          <w:rFonts w:ascii="Times New Roman" w:hAnsi="Times New Roman"/>
          <w:i/>
          <w:spacing w:val="-9"/>
          <w:sz w:val="20"/>
          <w:szCs w:val="20"/>
        </w:rPr>
        <w:t xml:space="preserve"> </w:t>
      </w:r>
      <w:r w:rsidRPr="001A423D">
        <w:rPr>
          <w:rFonts w:ascii="Times New Roman" w:hAnsi="Times New Roman"/>
          <w:i/>
          <w:spacing w:val="-1"/>
          <w:sz w:val="20"/>
          <w:szCs w:val="20"/>
        </w:rPr>
        <w:t>the</w:t>
      </w:r>
      <w:r w:rsidRPr="001A423D">
        <w:rPr>
          <w:rFonts w:ascii="Times New Roman" w:hAnsi="Times New Roman"/>
          <w:i/>
          <w:spacing w:val="-11"/>
          <w:sz w:val="20"/>
          <w:szCs w:val="20"/>
        </w:rPr>
        <w:t xml:space="preserve"> </w:t>
      </w:r>
      <w:r w:rsidRPr="001A423D">
        <w:rPr>
          <w:rFonts w:ascii="Times New Roman" w:hAnsi="Times New Roman"/>
          <w:i/>
          <w:spacing w:val="-1"/>
          <w:sz w:val="20"/>
          <w:szCs w:val="20"/>
        </w:rPr>
        <w:t>Selling</w:t>
      </w:r>
      <w:r w:rsidRPr="001A423D">
        <w:rPr>
          <w:rFonts w:ascii="Times New Roman" w:hAnsi="Times New Roman"/>
          <w:i/>
          <w:spacing w:val="-9"/>
          <w:sz w:val="20"/>
          <w:szCs w:val="20"/>
        </w:rPr>
        <w:t xml:space="preserve"> </w:t>
      </w:r>
      <w:r w:rsidRPr="001A423D">
        <w:rPr>
          <w:rFonts w:ascii="Times New Roman" w:hAnsi="Times New Roman"/>
          <w:i/>
          <w:spacing w:val="-1"/>
          <w:sz w:val="20"/>
          <w:szCs w:val="20"/>
        </w:rPr>
        <w:t>Commission</w:t>
      </w:r>
      <w:r w:rsidRPr="001A423D">
        <w:rPr>
          <w:rFonts w:ascii="Times New Roman" w:hAnsi="Times New Roman"/>
          <w:i/>
          <w:spacing w:val="-11"/>
          <w:sz w:val="20"/>
          <w:szCs w:val="20"/>
        </w:rPr>
        <w:t xml:space="preserve"> </w:t>
      </w:r>
      <w:r w:rsidRPr="001A423D">
        <w:rPr>
          <w:rFonts w:ascii="Times New Roman" w:hAnsi="Times New Roman"/>
          <w:i/>
          <w:spacing w:val="-1"/>
          <w:sz w:val="20"/>
          <w:szCs w:val="20"/>
        </w:rPr>
        <w:t>will</w:t>
      </w:r>
      <w:r w:rsidRPr="001A423D">
        <w:rPr>
          <w:rFonts w:ascii="Times New Roman" w:hAnsi="Times New Roman"/>
          <w:i/>
          <w:spacing w:val="-9"/>
          <w:sz w:val="20"/>
          <w:szCs w:val="20"/>
        </w:rPr>
        <w:t xml:space="preserve"> </w:t>
      </w:r>
      <w:r w:rsidRPr="001A423D">
        <w:rPr>
          <w:rFonts w:ascii="Times New Roman" w:hAnsi="Times New Roman"/>
          <w:i/>
          <w:sz w:val="20"/>
          <w:szCs w:val="20"/>
        </w:rPr>
        <w:t>be</w:t>
      </w:r>
      <w:r w:rsidRPr="001A423D">
        <w:rPr>
          <w:rFonts w:ascii="Times New Roman" w:hAnsi="Times New Roman"/>
          <w:i/>
          <w:spacing w:val="-9"/>
          <w:sz w:val="20"/>
          <w:szCs w:val="20"/>
        </w:rPr>
        <w:t xml:space="preserve"> </w:t>
      </w:r>
      <w:r w:rsidRPr="001A423D">
        <w:rPr>
          <w:rFonts w:ascii="Times New Roman" w:hAnsi="Times New Roman"/>
          <w:i/>
          <w:spacing w:val="-1"/>
          <w:sz w:val="20"/>
          <w:szCs w:val="20"/>
        </w:rPr>
        <w:t>payable</w:t>
      </w:r>
      <w:r w:rsidRPr="001A423D">
        <w:rPr>
          <w:rFonts w:ascii="Times New Roman" w:hAnsi="Times New Roman"/>
          <w:i/>
          <w:spacing w:val="-9"/>
          <w:sz w:val="20"/>
          <w:szCs w:val="20"/>
        </w:rPr>
        <w:t xml:space="preserve"> </w:t>
      </w:r>
      <w:r w:rsidRPr="001A423D">
        <w:rPr>
          <w:rFonts w:ascii="Times New Roman" w:hAnsi="Times New Roman"/>
          <w:i/>
          <w:spacing w:val="-1"/>
          <w:sz w:val="20"/>
          <w:szCs w:val="20"/>
        </w:rPr>
        <w:t>to</w:t>
      </w:r>
      <w:r w:rsidRPr="001A423D">
        <w:rPr>
          <w:rFonts w:ascii="Times New Roman" w:hAnsi="Times New Roman"/>
          <w:i/>
          <w:spacing w:val="-7"/>
          <w:sz w:val="20"/>
          <w:szCs w:val="20"/>
        </w:rPr>
        <w:t xml:space="preserve"> </w:t>
      </w:r>
      <w:r w:rsidRPr="001A423D">
        <w:rPr>
          <w:rFonts w:ascii="Times New Roman" w:hAnsi="Times New Roman"/>
          <w:i/>
          <w:spacing w:val="-2"/>
          <w:sz w:val="20"/>
          <w:szCs w:val="20"/>
        </w:rPr>
        <w:t>the</w:t>
      </w:r>
      <w:r w:rsidRPr="001A423D">
        <w:rPr>
          <w:rFonts w:ascii="Times New Roman" w:hAnsi="Times New Roman"/>
          <w:i/>
          <w:spacing w:val="-8"/>
          <w:sz w:val="20"/>
          <w:szCs w:val="20"/>
        </w:rPr>
        <w:t xml:space="preserve"> </w:t>
      </w:r>
      <w:r w:rsidRPr="001A423D">
        <w:rPr>
          <w:rFonts w:ascii="Times New Roman" w:hAnsi="Times New Roman"/>
          <w:i/>
          <w:spacing w:val="-1"/>
          <w:sz w:val="20"/>
          <w:szCs w:val="20"/>
        </w:rPr>
        <w:t>SCSB</w:t>
      </w:r>
      <w:r w:rsidRPr="001A423D">
        <w:rPr>
          <w:rFonts w:ascii="Times New Roman" w:hAnsi="Times New Roman"/>
          <w:i/>
          <w:spacing w:val="-11"/>
          <w:sz w:val="20"/>
          <w:szCs w:val="20"/>
        </w:rPr>
        <w:t xml:space="preserve"> </w:t>
      </w:r>
      <w:r w:rsidRPr="001A423D">
        <w:rPr>
          <w:rFonts w:ascii="Times New Roman" w:hAnsi="Times New Roman"/>
          <w:i/>
          <w:sz w:val="20"/>
          <w:szCs w:val="20"/>
        </w:rPr>
        <w:t>and</w:t>
      </w:r>
      <w:r w:rsidRPr="001A423D">
        <w:rPr>
          <w:rFonts w:ascii="Times New Roman" w:hAnsi="Times New Roman"/>
          <w:i/>
          <w:spacing w:val="-9"/>
          <w:sz w:val="20"/>
          <w:szCs w:val="20"/>
        </w:rPr>
        <w:t xml:space="preserve"> </w:t>
      </w:r>
      <w:r w:rsidRPr="001A423D">
        <w:rPr>
          <w:rFonts w:ascii="Times New Roman" w:hAnsi="Times New Roman"/>
          <w:i/>
          <w:spacing w:val="-1"/>
          <w:sz w:val="20"/>
          <w:szCs w:val="20"/>
        </w:rPr>
        <w:t>not</w:t>
      </w:r>
      <w:r w:rsidRPr="001A423D">
        <w:rPr>
          <w:rFonts w:ascii="Times New Roman" w:hAnsi="Times New Roman"/>
          <w:i/>
          <w:spacing w:val="-9"/>
          <w:sz w:val="20"/>
          <w:szCs w:val="20"/>
        </w:rPr>
        <w:t xml:space="preserve"> </w:t>
      </w:r>
      <w:r w:rsidRPr="001A423D">
        <w:rPr>
          <w:rFonts w:ascii="Times New Roman" w:hAnsi="Times New Roman"/>
          <w:i/>
          <w:spacing w:val="-1"/>
          <w:sz w:val="20"/>
          <w:szCs w:val="20"/>
        </w:rPr>
        <w:t>the</w:t>
      </w:r>
      <w:r w:rsidRPr="001A423D">
        <w:rPr>
          <w:rFonts w:ascii="Times New Roman" w:hAnsi="Times New Roman"/>
          <w:i/>
          <w:spacing w:val="-11"/>
          <w:sz w:val="20"/>
          <w:szCs w:val="20"/>
        </w:rPr>
        <w:t xml:space="preserve"> </w:t>
      </w:r>
      <w:r w:rsidRPr="001A423D">
        <w:rPr>
          <w:rFonts w:ascii="Times New Roman" w:hAnsi="Times New Roman"/>
          <w:i/>
          <w:spacing w:val="-1"/>
          <w:sz w:val="20"/>
          <w:szCs w:val="20"/>
        </w:rPr>
        <w:t>Syndicate</w:t>
      </w:r>
      <w:r w:rsidRPr="001A423D">
        <w:rPr>
          <w:rFonts w:ascii="Times New Roman" w:hAnsi="Times New Roman"/>
          <w:i/>
          <w:sz w:val="20"/>
          <w:szCs w:val="20"/>
        </w:rPr>
        <w:t>/</w:t>
      </w:r>
      <w:r w:rsidRPr="001A423D">
        <w:rPr>
          <w:rFonts w:ascii="Times New Roman" w:hAnsi="Times New Roman"/>
          <w:i/>
          <w:spacing w:val="-9"/>
          <w:sz w:val="20"/>
          <w:szCs w:val="20"/>
        </w:rPr>
        <w:t xml:space="preserve"> </w:t>
      </w:r>
      <w:r w:rsidRPr="001A423D">
        <w:rPr>
          <w:rFonts w:ascii="Times New Roman" w:hAnsi="Times New Roman"/>
          <w:i/>
          <w:spacing w:val="-1"/>
          <w:sz w:val="20"/>
          <w:szCs w:val="20"/>
        </w:rPr>
        <w:t>Sub-Syndicate</w:t>
      </w:r>
      <w:r w:rsidRPr="001A423D">
        <w:rPr>
          <w:rFonts w:ascii="Times New Roman" w:hAnsi="Times New Roman"/>
          <w:i/>
          <w:spacing w:val="-8"/>
          <w:sz w:val="20"/>
          <w:szCs w:val="20"/>
        </w:rPr>
        <w:t xml:space="preserve"> </w:t>
      </w:r>
      <w:r w:rsidRPr="001A423D">
        <w:rPr>
          <w:rFonts w:ascii="Times New Roman" w:hAnsi="Times New Roman"/>
          <w:i/>
          <w:spacing w:val="-2"/>
          <w:sz w:val="20"/>
          <w:szCs w:val="20"/>
        </w:rPr>
        <w:t>Member.</w:t>
      </w:r>
      <w:r w:rsidRPr="001A423D">
        <w:rPr>
          <w:rFonts w:ascii="Times New Roman" w:hAnsi="Times New Roman"/>
          <w:i/>
          <w:spacing w:val="-6"/>
          <w:sz w:val="20"/>
          <w:szCs w:val="20"/>
        </w:rPr>
        <w:t xml:space="preserve"> </w:t>
      </w:r>
      <w:r w:rsidRPr="001A423D">
        <w:rPr>
          <w:rFonts w:ascii="Times New Roman" w:hAnsi="Times New Roman"/>
          <w:i/>
          <w:spacing w:val="-1"/>
          <w:sz w:val="20"/>
          <w:szCs w:val="20"/>
        </w:rPr>
        <w:t>Bidding Charges</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payable</w:t>
      </w:r>
      <w:r w:rsidRPr="001A423D">
        <w:rPr>
          <w:rFonts w:ascii="Times New Roman" w:hAnsi="Times New Roman"/>
          <w:i/>
          <w:sz w:val="20"/>
          <w:szCs w:val="20"/>
        </w:rPr>
        <w:t xml:space="preserve"> </w:t>
      </w:r>
      <w:r w:rsidRPr="001A423D">
        <w:rPr>
          <w:rFonts w:ascii="Times New Roman" w:hAnsi="Times New Roman"/>
          <w:i/>
          <w:spacing w:val="-1"/>
          <w:sz w:val="20"/>
          <w:szCs w:val="20"/>
        </w:rPr>
        <w:t>to</w:t>
      </w:r>
      <w:r w:rsidRPr="001A423D">
        <w:rPr>
          <w:rFonts w:ascii="Times New Roman" w:hAnsi="Times New Roman"/>
          <w:i/>
          <w:spacing w:val="1"/>
          <w:sz w:val="20"/>
          <w:szCs w:val="20"/>
        </w:rPr>
        <w:t xml:space="preserve"> </w:t>
      </w:r>
      <w:r w:rsidRPr="001A423D">
        <w:rPr>
          <w:rFonts w:ascii="Times New Roman" w:hAnsi="Times New Roman"/>
          <w:i/>
          <w:spacing w:val="-1"/>
          <w:sz w:val="20"/>
          <w:szCs w:val="20"/>
        </w:rPr>
        <w:t>members</w:t>
      </w:r>
      <w:r w:rsidRPr="001A423D">
        <w:rPr>
          <w:rFonts w:ascii="Times New Roman" w:hAnsi="Times New Roman"/>
          <w:i/>
          <w:sz w:val="20"/>
          <w:szCs w:val="20"/>
        </w:rPr>
        <w:t xml:space="preserve"> of</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the</w:t>
      </w:r>
      <w:r w:rsidRPr="001A423D">
        <w:rPr>
          <w:rFonts w:ascii="Times New Roman" w:hAnsi="Times New Roman"/>
          <w:i/>
          <w:spacing w:val="1"/>
          <w:sz w:val="20"/>
          <w:szCs w:val="20"/>
        </w:rPr>
        <w:t xml:space="preserve"> </w:t>
      </w:r>
      <w:r w:rsidRPr="001A423D">
        <w:rPr>
          <w:rFonts w:ascii="Times New Roman" w:hAnsi="Times New Roman"/>
          <w:i/>
          <w:spacing w:val="-1"/>
          <w:sz w:val="20"/>
          <w:szCs w:val="20"/>
        </w:rPr>
        <w:t>Syndicate</w:t>
      </w:r>
      <w:r w:rsidRPr="001A423D">
        <w:rPr>
          <w:rFonts w:ascii="Times New Roman" w:hAnsi="Times New Roman"/>
          <w:i/>
          <w:spacing w:val="1"/>
          <w:sz w:val="20"/>
          <w:szCs w:val="20"/>
        </w:rPr>
        <w:t xml:space="preserve"> </w:t>
      </w:r>
      <w:r w:rsidRPr="001A423D">
        <w:rPr>
          <w:rFonts w:ascii="Times New Roman" w:hAnsi="Times New Roman"/>
          <w:i/>
          <w:spacing w:val="-1"/>
          <w:sz w:val="20"/>
          <w:szCs w:val="20"/>
        </w:rPr>
        <w:t>(including</w:t>
      </w:r>
      <w:r w:rsidRPr="001A423D">
        <w:rPr>
          <w:rFonts w:ascii="Times New Roman" w:hAnsi="Times New Roman"/>
          <w:i/>
          <w:spacing w:val="1"/>
          <w:sz w:val="20"/>
          <w:szCs w:val="20"/>
        </w:rPr>
        <w:t xml:space="preserve"> </w:t>
      </w:r>
      <w:r w:rsidRPr="001A423D">
        <w:rPr>
          <w:rFonts w:ascii="Times New Roman" w:hAnsi="Times New Roman"/>
          <w:i/>
          <w:spacing w:val="-1"/>
          <w:sz w:val="20"/>
          <w:szCs w:val="20"/>
        </w:rPr>
        <w:t>their</w:t>
      </w:r>
      <w:r w:rsidRPr="001A423D">
        <w:rPr>
          <w:rFonts w:ascii="Times New Roman" w:hAnsi="Times New Roman"/>
          <w:i/>
          <w:spacing w:val="1"/>
          <w:sz w:val="20"/>
          <w:szCs w:val="20"/>
        </w:rPr>
        <w:t xml:space="preserve"> </w:t>
      </w:r>
      <w:r w:rsidRPr="001A423D">
        <w:rPr>
          <w:rFonts w:ascii="Times New Roman" w:hAnsi="Times New Roman"/>
          <w:i/>
          <w:spacing w:val="-1"/>
          <w:sz w:val="20"/>
          <w:szCs w:val="20"/>
        </w:rPr>
        <w:t>sub-Syndicate</w:t>
      </w:r>
      <w:r w:rsidRPr="001A423D">
        <w:rPr>
          <w:rFonts w:ascii="Times New Roman" w:hAnsi="Times New Roman"/>
          <w:i/>
          <w:sz w:val="20"/>
          <w:szCs w:val="20"/>
        </w:rPr>
        <w:t xml:space="preserve"> </w:t>
      </w:r>
      <w:r w:rsidRPr="001A423D">
        <w:rPr>
          <w:rFonts w:ascii="Times New Roman" w:hAnsi="Times New Roman"/>
          <w:i/>
          <w:spacing w:val="-1"/>
          <w:sz w:val="20"/>
          <w:szCs w:val="20"/>
        </w:rPr>
        <w:t>Members),</w:t>
      </w:r>
      <w:r w:rsidRPr="001A423D">
        <w:rPr>
          <w:rFonts w:ascii="Times New Roman" w:hAnsi="Times New Roman"/>
          <w:i/>
          <w:sz w:val="20"/>
          <w:szCs w:val="20"/>
        </w:rPr>
        <w:t xml:space="preserve"> </w:t>
      </w:r>
      <w:r w:rsidRPr="001A423D">
        <w:rPr>
          <w:rFonts w:ascii="Times New Roman" w:hAnsi="Times New Roman"/>
          <w:i/>
          <w:spacing w:val="-1"/>
          <w:sz w:val="20"/>
          <w:szCs w:val="20"/>
        </w:rPr>
        <w:t>CRTAs</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and</w:t>
      </w:r>
      <w:r w:rsidRPr="001A423D">
        <w:rPr>
          <w:rFonts w:ascii="Times New Roman" w:hAnsi="Times New Roman"/>
          <w:i/>
          <w:spacing w:val="1"/>
          <w:sz w:val="20"/>
          <w:szCs w:val="20"/>
        </w:rPr>
        <w:t xml:space="preserve"> </w:t>
      </w:r>
      <w:r w:rsidRPr="001A423D">
        <w:rPr>
          <w:rFonts w:ascii="Times New Roman" w:hAnsi="Times New Roman"/>
          <w:i/>
          <w:spacing w:val="-1"/>
          <w:sz w:val="20"/>
          <w:szCs w:val="20"/>
        </w:rPr>
        <w:t>CDPs</w:t>
      </w:r>
      <w:r w:rsidRPr="001A423D">
        <w:rPr>
          <w:rFonts w:ascii="Times New Roman" w:hAnsi="Times New Roman"/>
          <w:i/>
          <w:sz w:val="20"/>
          <w:szCs w:val="20"/>
        </w:rPr>
        <w:t xml:space="preserve"> on</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the</w:t>
      </w:r>
      <w:r w:rsidRPr="001A423D">
        <w:rPr>
          <w:rFonts w:ascii="Times New Roman" w:hAnsi="Times New Roman"/>
          <w:i/>
          <w:sz w:val="20"/>
          <w:szCs w:val="20"/>
        </w:rPr>
        <w:t xml:space="preserve"> </w:t>
      </w:r>
      <w:r w:rsidRPr="001A423D">
        <w:rPr>
          <w:rFonts w:ascii="Times New Roman" w:hAnsi="Times New Roman"/>
          <w:i/>
          <w:spacing w:val="-1"/>
          <w:sz w:val="20"/>
          <w:szCs w:val="20"/>
        </w:rPr>
        <w:t>portion</w:t>
      </w:r>
      <w:r w:rsidRPr="001A423D">
        <w:rPr>
          <w:rFonts w:ascii="Times New Roman" w:hAnsi="Times New Roman"/>
          <w:i/>
          <w:spacing w:val="1"/>
          <w:sz w:val="20"/>
          <w:szCs w:val="20"/>
        </w:rPr>
        <w:t xml:space="preserve"> </w:t>
      </w:r>
      <w:r w:rsidRPr="001A423D">
        <w:rPr>
          <w:rFonts w:ascii="Times New Roman" w:hAnsi="Times New Roman"/>
          <w:i/>
          <w:spacing w:val="-1"/>
          <w:sz w:val="20"/>
          <w:szCs w:val="20"/>
        </w:rPr>
        <w:t>for</w:t>
      </w:r>
      <w:r w:rsidRPr="001A423D">
        <w:rPr>
          <w:rFonts w:ascii="Times New Roman" w:hAnsi="Times New Roman"/>
          <w:i/>
          <w:spacing w:val="59"/>
          <w:sz w:val="20"/>
          <w:szCs w:val="20"/>
        </w:rPr>
        <w:t xml:space="preserve"> </w:t>
      </w:r>
      <w:r w:rsidRPr="001A423D">
        <w:rPr>
          <w:rFonts w:ascii="Times New Roman" w:hAnsi="Times New Roman"/>
          <w:i/>
          <w:spacing w:val="-1"/>
          <w:sz w:val="20"/>
          <w:szCs w:val="20"/>
        </w:rPr>
        <w:t>RIBs and</w:t>
      </w:r>
      <w:r w:rsidRPr="001A423D">
        <w:rPr>
          <w:rFonts w:ascii="Times New Roman" w:hAnsi="Times New Roman"/>
          <w:i/>
          <w:spacing w:val="13"/>
          <w:sz w:val="20"/>
          <w:szCs w:val="20"/>
        </w:rPr>
        <w:t xml:space="preserve"> </w:t>
      </w:r>
      <w:r w:rsidRPr="001A423D">
        <w:rPr>
          <w:rFonts w:ascii="Times New Roman" w:hAnsi="Times New Roman"/>
          <w:i/>
          <w:spacing w:val="-1"/>
          <w:sz w:val="20"/>
          <w:szCs w:val="20"/>
        </w:rPr>
        <w:t>Non-Institutional</w:t>
      </w:r>
      <w:r w:rsidRPr="001A423D">
        <w:rPr>
          <w:rFonts w:ascii="Times New Roman" w:hAnsi="Times New Roman"/>
          <w:i/>
          <w:spacing w:val="11"/>
          <w:sz w:val="20"/>
          <w:szCs w:val="20"/>
        </w:rPr>
        <w:t xml:space="preserve"> </w:t>
      </w:r>
      <w:r w:rsidRPr="001A423D">
        <w:rPr>
          <w:rFonts w:ascii="Times New Roman" w:hAnsi="Times New Roman"/>
          <w:i/>
          <w:spacing w:val="-1"/>
          <w:sz w:val="20"/>
          <w:szCs w:val="20"/>
        </w:rPr>
        <w:t>Bidders</w:t>
      </w:r>
      <w:r w:rsidRPr="001A423D">
        <w:rPr>
          <w:rFonts w:ascii="Times New Roman" w:hAnsi="Times New Roman"/>
          <w:i/>
          <w:spacing w:val="13"/>
          <w:sz w:val="20"/>
          <w:szCs w:val="20"/>
        </w:rPr>
        <w:t xml:space="preserve"> </w:t>
      </w:r>
      <w:r w:rsidRPr="001A423D">
        <w:rPr>
          <w:rFonts w:ascii="Times New Roman" w:hAnsi="Times New Roman"/>
          <w:i/>
          <w:spacing w:val="-1"/>
          <w:sz w:val="20"/>
          <w:szCs w:val="20"/>
        </w:rPr>
        <w:t>which</w:t>
      </w:r>
      <w:r w:rsidRPr="001A423D">
        <w:rPr>
          <w:rFonts w:ascii="Times New Roman" w:hAnsi="Times New Roman"/>
          <w:i/>
          <w:spacing w:val="13"/>
          <w:sz w:val="20"/>
          <w:szCs w:val="20"/>
        </w:rPr>
        <w:t xml:space="preserve"> </w:t>
      </w:r>
      <w:r w:rsidRPr="001A423D">
        <w:rPr>
          <w:rFonts w:ascii="Times New Roman" w:hAnsi="Times New Roman"/>
          <w:i/>
          <w:sz w:val="20"/>
          <w:szCs w:val="20"/>
        </w:rPr>
        <w:t>are</w:t>
      </w:r>
      <w:r w:rsidRPr="001A423D">
        <w:rPr>
          <w:rFonts w:ascii="Times New Roman" w:hAnsi="Times New Roman"/>
          <w:i/>
          <w:spacing w:val="13"/>
          <w:sz w:val="20"/>
          <w:szCs w:val="20"/>
        </w:rPr>
        <w:t xml:space="preserve"> </w:t>
      </w:r>
      <w:r w:rsidRPr="001A423D">
        <w:rPr>
          <w:rFonts w:ascii="Times New Roman" w:hAnsi="Times New Roman"/>
          <w:i/>
          <w:spacing w:val="-1"/>
          <w:sz w:val="20"/>
          <w:szCs w:val="20"/>
        </w:rPr>
        <w:t>procured</w:t>
      </w:r>
      <w:r w:rsidRPr="001A423D">
        <w:rPr>
          <w:rFonts w:ascii="Times New Roman" w:hAnsi="Times New Roman"/>
          <w:i/>
          <w:spacing w:val="13"/>
          <w:sz w:val="20"/>
          <w:szCs w:val="20"/>
        </w:rPr>
        <w:t xml:space="preserve"> </w:t>
      </w:r>
      <w:r w:rsidRPr="001A423D">
        <w:rPr>
          <w:rFonts w:ascii="Times New Roman" w:hAnsi="Times New Roman"/>
          <w:i/>
          <w:spacing w:val="-1"/>
          <w:sz w:val="20"/>
          <w:szCs w:val="20"/>
        </w:rPr>
        <w:t>by</w:t>
      </w:r>
      <w:r w:rsidRPr="001A423D">
        <w:rPr>
          <w:rFonts w:ascii="Times New Roman" w:hAnsi="Times New Roman"/>
          <w:i/>
          <w:spacing w:val="14"/>
          <w:sz w:val="20"/>
          <w:szCs w:val="20"/>
        </w:rPr>
        <w:t xml:space="preserve"> </w:t>
      </w:r>
      <w:r w:rsidRPr="001A423D">
        <w:rPr>
          <w:rFonts w:ascii="Times New Roman" w:hAnsi="Times New Roman"/>
          <w:i/>
          <w:spacing w:val="-1"/>
          <w:sz w:val="20"/>
          <w:szCs w:val="20"/>
        </w:rPr>
        <w:t>them</w:t>
      </w:r>
      <w:r w:rsidRPr="001A423D">
        <w:rPr>
          <w:rFonts w:ascii="Times New Roman" w:hAnsi="Times New Roman"/>
          <w:i/>
          <w:spacing w:val="13"/>
          <w:sz w:val="20"/>
          <w:szCs w:val="20"/>
        </w:rPr>
        <w:t xml:space="preserve"> </w:t>
      </w:r>
      <w:r w:rsidRPr="001A423D">
        <w:rPr>
          <w:rFonts w:ascii="Times New Roman" w:hAnsi="Times New Roman"/>
          <w:i/>
          <w:spacing w:val="-1"/>
          <w:sz w:val="20"/>
          <w:szCs w:val="20"/>
        </w:rPr>
        <w:t>and</w:t>
      </w:r>
      <w:r w:rsidRPr="001A423D">
        <w:rPr>
          <w:rFonts w:ascii="Times New Roman" w:hAnsi="Times New Roman"/>
          <w:i/>
          <w:spacing w:val="17"/>
          <w:sz w:val="20"/>
          <w:szCs w:val="20"/>
        </w:rPr>
        <w:t xml:space="preserve"> </w:t>
      </w:r>
      <w:r w:rsidRPr="001A423D">
        <w:rPr>
          <w:rFonts w:ascii="Times New Roman" w:hAnsi="Times New Roman"/>
          <w:i/>
          <w:spacing w:val="-2"/>
          <w:sz w:val="20"/>
          <w:szCs w:val="20"/>
        </w:rPr>
        <w:t>submitted</w:t>
      </w:r>
      <w:r w:rsidRPr="001A423D">
        <w:rPr>
          <w:rFonts w:ascii="Times New Roman" w:hAnsi="Times New Roman"/>
          <w:i/>
          <w:spacing w:val="13"/>
          <w:sz w:val="20"/>
          <w:szCs w:val="20"/>
        </w:rPr>
        <w:t xml:space="preserve"> </w:t>
      </w:r>
      <w:r w:rsidRPr="001A423D">
        <w:rPr>
          <w:rFonts w:ascii="Times New Roman" w:hAnsi="Times New Roman"/>
          <w:i/>
          <w:spacing w:val="-1"/>
          <w:sz w:val="20"/>
          <w:szCs w:val="20"/>
        </w:rPr>
        <w:t>to</w:t>
      </w:r>
      <w:r w:rsidRPr="001A423D">
        <w:rPr>
          <w:rFonts w:ascii="Times New Roman" w:hAnsi="Times New Roman"/>
          <w:i/>
          <w:spacing w:val="13"/>
          <w:sz w:val="20"/>
          <w:szCs w:val="20"/>
        </w:rPr>
        <w:t xml:space="preserve"> </w:t>
      </w:r>
      <w:r w:rsidRPr="001A423D">
        <w:rPr>
          <w:rFonts w:ascii="Times New Roman" w:hAnsi="Times New Roman"/>
          <w:i/>
          <w:spacing w:val="-1"/>
          <w:sz w:val="20"/>
          <w:szCs w:val="20"/>
        </w:rPr>
        <w:t>SCSB</w:t>
      </w:r>
      <w:r w:rsidRPr="001A423D">
        <w:rPr>
          <w:rFonts w:ascii="Times New Roman" w:hAnsi="Times New Roman"/>
          <w:i/>
          <w:spacing w:val="15"/>
          <w:sz w:val="20"/>
          <w:szCs w:val="20"/>
        </w:rPr>
        <w:t xml:space="preserve"> </w:t>
      </w:r>
      <w:r w:rsidRPr="001A423D">
        <w:rPr>
          <w:rFonts w:ascii="Times New Roman" w:hAnsi="Times New Roman"/>
          <w:i/>
          <w:spacing w:val="-1"/>
          <w:sz w:val="20"/>
          <w:szCs w:val="20"/>
        </w:rPr>
        <w:t>for</w:t>
      </w:r>
      <w:r w:rsidRPr="001A423D">
        <w:rPr>
          <w:rFonts w:ascii="Times New Roman" w:hAnsi="Times New Roman"/>
          <w:i/>
          <w:spacing w:val="13"/>
          <w:sz w:val="20"/>
          <w:szCs w:val="20"/>
        </w:rPr>
        <w:t xml:space="preserve"> </w:t>
      </w:r>
      <w:r w:rsidRPr="001A423D">
        <w:rPr>
          <w:rFonts w:ascii="Times New Roman" w:hAnsi="Times New Roman"/>
          <w:i/>
          <w:spacing w:val="-1"/>
          <w:sz w:val="20"/>
          <w:szCs w:val="20"/>
        </w:rPr>
        <w:t>blocking, would be as follows: ₹ 10 plus applicable taxes, per valid application bid by the Syndicate (including their sub-Syndicate</w:t>
      </w:r>
      <w:r w:rsidRPr="001A423D">
        <w:rPr>
          <w:rFonts w:ascii="Times New Roman" w:hAnsi="Times New Roman"/>
          <w:sz w:val="20"/>
          <w:szCs w:val="20"/>
        </w:rPr>
        <w:t xml:space="preserve"> </w:t>
      </w:r>
      <w:r w:rsidRPr="001A423D">
        <w:rPr>
          <w:rFonts w:ascii="Times New Roman" w:hAnsi="Times New Roman"/>
          <w:i/>
          <w:spacing w:val="-1"/>
          <w:sz w:val="20"/>
          <w:szCs w:val="20"/>
        </w:rPr>
        <w:t>Members),</w:t>
      </w:r>
      <w:r w:rsidRPr="001A423D">
        <w:rPr>
          <w:rFonts w:ascii="Times New Roman" w:hAnsi="Times New Roman"/>
          <w:i/>
          <w:sz w:val="20"/>
          <w:szCs w:val="20"/>
        </w:rPr>
        <w:t xml:space="preserve"> </w:t>
      </w:r>
      <w:r w:rsidRPr="001A423D">
        <w:rPr>
          <w:rFonts w:ascii="Times New Roman" w:hAnsi="Times New Roman"/>
          <w:i/>
          <w:spacing w:val="-1"/>
          <w:sz w:val="20"/>
          <w:szCs w:val="20"/>
        </w:rPr>
        <w:t>CRTAs</w:t>
      </w:r>
      <w:r w:rsidRPr="001A423D">
        <w:rPr>
          <w:rFonts w:ascii="Times New Roman" w:hAnsi="Times New Roman"/>
          <w:i/>
          <w:sz w:val="20"/>
          <w:szCs w:val="20"/>
        </w:rPr>
        <w:t xml:space="preserve"> </w:t>
      </w:r>
      <w:r w:rsidRPr="001A423D">
        <w:rPr>
          <w:rFonts w:ascii="Times New Roman" w:hAnsi="Times New Roman"/>
          <w:i/>
          <w:spacing w:val="-2"/>
          <w:sz w:val="20"/>
          <w:szCs w:val="20"/>
        </w:rPr>
        <w:t>and</w:t>
      </w:r>
      <w:r w:rsidRPr="001A423D">
        <w:rPr>
          <w:rFonts w:ascii="Times New Roman" w:hAnsi="Times New Roman"/>
          <w:i/>
          <w:sz w:val="20"/>
          <w:szCs w:val="20"/>
        </w:rPr>
        <w:t xml:space="preserve"> </w:t>
      </w:r>
      <w:r w:rsidRPr="001A423D">
        <w:rPr>
          <w:rFonts w:ascii="Times New Roman" w:hAnsi="Times New Roman"/>
          <w:i/>
          <w:spacing w:val="-1"/>
          <w:sz w:val="20"/>
          <w:szCs w:val="20"/>
        </w:rPr>
        <w:t>CDPs.</w:t>
      </w:r>
    </w:p>
    <w:p w14:paraId="7A3ACE13" w14:textId="77777777" w:rsidR="00CB2D76" w:rsidRPr="001A423D" w:rsidRDefault="00CB2D76" w:rsidP="00CB2D76">
      <w:pPr>
        <w:tabs>
          <w:tab w:val="left" w:pos="492"/>
        </w:tabs>
        <w:spacing w:after="0" w:line="240" w:lineRule="auto"/>
        <w:ind w:right="119"/>
        <w:jc w:val="both"/>
        <w:rPr>
          <w:rFonts w:ascii="Times New Roman" w:hAnsi="Times New Roman"/>
          <w:sz w:val="20"/>
          <w:szCs w:val="20"/>
        </w:rPr>
      </w:pPr>
    </w:p>
    <w:p w14:paraId="3D009E2C" w14:textId="77777777" w:rsidR="00CB2D76" w:rsidRPr="001A423D" w:rsidRDefault="00CB2D76" w:rsidP="00CB2D76">
      <w:pPr>
        <w:tabs>
          <w:tab w:val="left" w:pos="492"/>
        </w:tabs>
        <w:spacing w:after="0" w:line="240" w:lineRule="auto"/>
        <w:ind w:right="119"/>
        <w:jc w:val="both"/>
        <w:rPr>
          <w:rFonts w:ascii="Times New Roman" w:hAnsi="Times New Roman"/>
          <w:i/>
          <w:spacing w:val="-1"/>
          <w:sz w:val="20"/>
          <w:szCs w:val="20"/>
        </w:rPr>
      </w:pPr>
      <w:r w:rsidRPr="001A423D">
        <w:rPr>
          <w:rFonts w:ascii="Times New Roman" w:hAnsi="Times New Roman"/>
          <w:i/>
          <w:sz w:val="20"/>
          <w:szCs w:val="20"/>
        </w:rPr>
        <w:t>The</w:t>
      </w:r>
      <w:r w:rsidRPr="001A423D">
        <w:rPr>
          <w:rFonts w:ascii="Times New Roman" w:hAnsi="Times New Roman"/>
          <w:i/>
          <w:spacing w:val="3"/>
          <w:sz w:val="20"/>
          <w:szCs w:val="20"/>
        </w:rPr>
        <w:t xml:space="preserve"> </w:t>
      </w:r>
      <w:r w:rsidRPr="001A423D">
        <w:rPr>
          <w:rFonts w:ascii="Times New Roman" w:hAnsi="Times New Roman"/>
          <w:i/>
          <w:spacing w:val="-1"/>
          <w:sz w:val="20"/>
          <w:szCs w:val="20"/>
        </w:rPr>
        <w:t>selling</w:t>
      </w:r>
      <w:r w:rsidRPr="001A423D">
        <w:rPr>
          <w:rFonts w:ascii="Times New Roman" w:hAnsi="Times New Roman"/>
          <w:i/>
          <w:spacing w:val="5"/>
          <w:sz w:val="20"/>
          <w:szCs w:val="20"/>
        </w:rPr>
        <w:t xml:space="preserve"> </w:t>
      </w:r>
      <w:r w:rsidRPr="001A423D">
        <w:rPr>
          <w:rFonts w:ascii="Times New Roman" w:hAnsi="Times New Roman"/>
          <w:i/>
          <w:spacing w:val="-2"/>
          <w:sz w:val="20"/>
          <w:szCs w:val="20"/>
        </w:rPr>
        <w:t>commission</w:t>
      </w:r>
      <w:r w:rsidRPr="001A423D">
        <w:rPr>
          <w:rFonts w:ascii="Times New Roman" w:hAnsi="Times New Roman"/>
          <w:i/>
          <w:spacing w:val="6"/>
          <w:sz w:val="20"/>
          <w:szCs w:val="20"/>
        </w:rPr>
        <w:t xml:space="preserve"> </w:t>
      </w:r>
      <w:r w:rsidRPr="001A423D">
        <w:rPr>
          <w:rFonts w:ascii="Times New Roman" w:hAnsi="Times New Roman"/>
          <w:i/>
          <w:spacing w:val="-1"/>
          <w:sz w:val="20"/>
          <w:szCs w:val="20"/>
        </w:rPr>
        <w:t>and</w:t>
      </w:r>
      <w:r w:rsidRPr="001A423D">
        <w:rPr>
          <w:rFonts w:ascii="Times New Roman" w:hAnsi="Times New Roman"/>
          <w:i/>
          <w:spacing w:val="5"/>
          <w:sz w:val="20"/>
          <w:szCs w:val="20"/>
        </w:rPr>
        <w:t xml:space="preserve"> </w:t>
      </w:r>
      <w:r w:rsidRPr="001A423D">
        <w:rPr>
          <w:rFonts w:ascii="Times New Roman" w:hAnsi="Times New Roman"/>
          <w:i/>
          <w:spacing w:val="-1"/>
          <w:sz w:val="20"/>
          <w:szCs w:val="20"/>
        </w:rPr>
        <w:t>bidding</w:t>
      </w:r>
      <w:r w:rsidRPr="001A423D">
        <w:rPr>
          <w:rFonts w:ascii="Times New Roman" w:hAnsi="Times New Roman"/>
          <w:i/>
          <w:spacing w:val="3"/>
          <w:sz w:val="20"/>
          <w:szCs w:val="20"/>
        </w:rPr>
        <w:t xml:space="preserve"> </w:t>
      </w:r>
      <w:r w:rsidRPr="001A423D">
        <w:rPr>
          <w:rFonts w:ascii="Times New Roman" w:hAnsi="Times New Roman"/>
          <w:i/>
          <w:spacing w:val="-1"/>
          <w:sz w:val="20"/>
          <w:szCs w:val="20"/>
        </w:rPr>
        <w:t>charges</w:t>
      </w:r>
      <w:r w:rsidRPr="001A423D">
        <w:rPr>
          <w:rFonts w:ascii="Times New Roman" w:hAnsi="Times New Roman"/>
          <w:i/>
          <w:spacing w:val="5"/>
          <w:sz w:val="20"/>
          <w:szCs w:val="20"/>
        </w:rPr>
        <w:t xml:space="preserve"> </w:t>
      </w:r>
      <w:r w:rsidRPr="001A423D">
        <w:rPr>
          <w:rFonts w:ascii="Times New Roman" w:hAnsi="Times New Roman"/>
          <w:i/>
          <w:spacing w:val="-1"/>
          <w:sz w:val="20"/>
          <w:szCs w:val="20"/>
        </w:rPr>
        <w:t>payable</w:t>
      </w:r>
      <w:r w:rsidRPr="001A423D">
        <w:rPr>
          <w:rFonts w:ascii="Times New Roman" w:hAnsi="Times New Roman"/>
          <w:i/>
          <w:spacing w:val="4"/>
          <w:sz w:val="20"/>
          <w:szCs w:val="20"/>
        </w:rPr>
        <w:t xml:space="preserve"> </w:t>
      </w:r>
      <w:r w:rsidRPr="001A423D">
        <w:rPr>
          <w:rFonts w:ascii="Times New Roman" w:hAnsi="Times New Roman"/>
          <w:i/>
          <w:spacing w:val="-2"/>
          <w:sz w:val="20"/>
          <w:szCs w:val="20"/>
        </w:rPr>
        <w:t>to</w:t>
      </w:r>
      <w:r w:rsidRPr="001A423D">
        <w:rPr>
          <w:rFonts w:ascii="Times New Roman" w:hAnsi="Times New Roman"/>
          <w:i/>
          <w:spacing w:val="5"/>
          <w:sz w:val="20"/>
          <w:szCs w:val="20"/>
        </w:rPr>
        <w:t xml:space="preserve"> </w:t>
      </w:r>
      <w:r w:rsidRPr="001A423D">
        <w:rPr>
          <w:rFonts w:ascii="Times New Roman" w:hAnsi="Times New Roman"/>
          <w:i/>
          <w:spacing w:val="-2"/>
          <w:sz w:val="20"/>
          <w:szCs w:val="20"/>
        </w:rPr>
        <w:t>Registered</w:t>
      </w:r>
      <w:r w:rsidRPr="001A423D">
        <w:rPr>
          <w:rFonts w:ascii="Times New Roman" w:hAnsi="Times New Roman"/>
          <w:i/>
          <w:spacing w:val="3"/>
          <w:sz w:val="20"/>
          <w:szCs w:val="20"/>
        </w:rPr>
        <w:t xml:space="preserve"> </w:t>
      </w:r>
      <w:r w:rsidRPr="001A423D">
        <w:rPr>
          <w:rFonts w:ascii="Times New Roman" w:hAnsi="Times New Roman"/>
          <w:i/>
          <w:spacing w:val="-1"/>
          <w:sz w:val="20"/>
          <w:szCs w:val="20"/>
        </w:rPr>
        <w:t>Brokers</w:t>
      </w:r>
      <w:r w:rsidRPr="001A423D">
        <w:rPr>
          <w:rFonts w:ascii="Times New Roman" w:hAnsi="Times New Roman"/>
          <w:i/>
          <w:spacing w:val="6"/>
          <w:sz w:val="20"/>
          <w:szCs w:val="20"/>
        </w:rPr>
        <w:t xml:space="preserve"> </w:t>
      </w:r>
      <w:r w:rsidRPr="001A423D">
        <w:rPr>
          <w:rFonts w:ascii="Times New Roman" w:hAnsi="Times New Roman"/>
          <w:i/>
          <w:spacing w:val="-2"/>
          <w:sz w:val="20"/>
          <w:szCs w:val="20"/>
        </w:rPr>
        <w:t>the</w:t>
      </w:r>
      <w:r w:rsidRPr="001A423D">
        <w:rPr>
          <w:rFonts w:ascii="Times New Roman" w:hAnsi="Times New Roman"/>
          <w:i/>
          <w:spacing w:val="3"/>
          <w:sz w:val="20"/>
          <w:szCs w:val="20"/>
        </w:rPr>
        <w:t xml:space="preserve"> </w:t>
      </w:r>
      <w:r w:rsidRPr="001A423D">
        <w:rPr>
          <w:rFonts w:ascii="Times New Roman" w:hAnsi="Times New Roman"/>
          <w:i/>
          <w:spacing w:val="-1"/>
          <w:sz w:val="20"/>
          <w:szCs w:val="20"/>
        </w:rPr>
        <w:t>CRTAs</w:t>
      </w:r>
      <w:r w:rsidRPr="001A423D">
        <w:rPr>
          <w:rFonts w:ascii="Times New Roman" w:hAnsi="Times New Roman"/>
          <w:i/>
          <w:spacing w:val="6"/>
          <w:sz w:val="20"/>
          <w:szCs w:val="20"/>
        </w:rPr>
        <w:t xml:space="preserve"> </w:t>
      </w:r>
      <w:r w:rsidRPr="001A423D">
        <w:rPr>
          <w:rFonts w:ascii="Times New Roman" w:hAnsi="Times New Roman"/>
          <w:i/>
          <w:spacing w:val="-2"/>
          <w:sz w:val="20"/>
          <w:szCs w:val="20"/>
        </w:rPr>
        <w:t>and</w:t>
      </w:r>
      <w:r w:rsidRPr="001A423D">
        <w:rPr>
          <w:rFonts w:ascii="Times New Roman" w:hAnsi="Times New Roman"/>
          <w:i/>
          <w:spacing w:val="5"/>
          <w:sz w:val="20"/>
          <w:szCs w:val="20"/>
        </w:rPr>
        <w:t xml:space="preserve"> </w:t>
      </w:r>
      <w:r w:rsidRPr="001A423D">
        <w:rPr>
          <w:rFonts w:ascii="Times New Roman" w:hAnsi="Times New Roman"/>
          <w:i/>
          <w:spacing w:val="-1"/>
          <w:sz w:val="20"/>
          <w:szCs w:val="20"/>
        </w:rPr>
        <w:t>CDPs</w:t>
      </w:r>
      <w:r w:rsidRPr="001A423D">
        <w:rPr>
          <w:rFonts w:ascii="Times New Roman" w:hAnsi="Times New Roman"/>
          <w:i/>
          <w:spacing w:val="5"/>
          <w:sz w:val="20"/>
          <w:szCs w:val="20"/>
        </w:rPr>
        <w:t xml:space="preserve"> </w:t>
      </w:r>
      <w:r w:rsidRPr="001A423D">
        <w:rPr>
          <w:rFonts w:ascii="Times New Roman" w:hAnsi="Times New Roman"/>
          <w:i/>
          <w:spacing w:val="-2"/>
          <w:sz w:val="20"/>
          <w:szCs w:val="20"/>
        </w:rPr>
        <w:t>will</w:t>
      </w:r>
      <w:r w:rsidRPr="001A423D">
        <w:rPr>
          <w:rFonts w:ascii="Times New Roman" w:hAnsi="Times New Roman"/>
          <w:i/>
          <w:spacing w:val="3"/>
          <w:sz w:val="20"/>
          <w:szCs w:val="20"/>
        </w:rPr>
        <w:t xml:space="preserve"> </w:t>
      </w:r>
      <w:r w:rsidRPr="001A423D">
        <w:rPr>
          <w:rFonts w:ascii="Times New Roman" w:hAnsi="Times New Roman"/>
          <w:i/>
          <w:sz w:val="20"/>
          <w:szCs w:val="20"/>
        </w:rPr>
        <w:t>be</w:t>
      </w:r>
      <w:r w:rsidRPr="001A423D">
        <w:rPr>
          <w:rFonts w:ascii="Times New Roman" w:hAnsi="Times New Roman"/>
          <w:i/>
          <w:spacing w:val="5"/>
          <w:sz w:val="20"/>
          <w:szCs w:val="20"/>
        </w:rPr>
        <w:t xml:space="preserve"> </w:t>
      </w:r>
      <w:r w:rsidRPr="001A423D">
        <w:rPr>
          <w:rFonts w:ascii="Times New Roman" w:hAnsi="Times New Roman"/>
          <w:i/>
          <w:spacing w:val="-2"/>
          <w:sz w:val="20"/>
          <w:szCs w:val="20"/>
        </w:rPr>
        <w:t>determined</w:t>
      </w:r>
      <w:r w:rsidRPr="001A423D">
        <w:rPr>
          <w:rFonts w:ascii="Times New Roman" w:hAnsi="Times New Roman"/>
          <w:i/>
          <w:spacing w:val="6"/>
          <w:sz w:val="20"/>
          <w:szCs w:val="20"/>
        </w:rPr>
        <w:t xml:space="preserve"> </w:t>
      </w:r>
      <w:r w:rsidRPr="001A423D">
        <w:rPr>
          <w:rFonts w:ascii="Times New Roman" w:hAnsi="Times New Roman"/>
          <w:i/>
          <w:sz w:val="20"/>
          <w:szCs w:val="20"/>
        </w:rPr>
        <w:t>on</w:t>
      </w:r>
      <w:r w:rsidRPr="001A423D">
        <w:rPr>
          <w:rFonts w:ascii="Times New Roman" w:hAnsi="Times New Roman"/>
          <w:i/>
          <w:spacing w:val="3"/>
          <w:sz w:val="20"/>
          <w:szCs w:val="20"/>
        </w:rPr>
        <w:t xml:space="preserve"> </w:t>
      </w:r>
      <w:r w:rsidRPr="001A423D">
        <w:rPr>
          <w:rFonts w:ascii="Times New Roman" w:hAnsi="Times New Roman"/>
          <w:i/>
          <w:spacing w:val="-1"/>
          <w:sz w:val="20"/>
          <w:szCs w:val="20"/>
        </w:rPr>
        <w:t>the</w:t>
      </w:r>
      <w:r w:rsidRPr="001A423D">
        <w:rPr>
          <w:rFonts w:ascii="Times New Roman" w:hAnsi="Times New Roman"/>
          <w:i/>
          <w:spacing w:val="105"/>
          <w:sz w:val="20"/>
          <w:szCs w:val="20"/>
        </w:rPr>
        <w:t xml:space="preserve"> </w:t>
      </w:r>
      <w:r w:rsidRPr="001A423D">
        <w:rPr>
          <w:rFonts w:ascii="Times New Roman" w:hAnsi="Times New Roman"/>
          <w:i/>
          <w:spacing w:val="-1"/>
          <w:sz w:val="20"/>
          <w:szCs w:val="20"/>
        </w:rPr>
        <w:t>basis</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of</w:t>
      </w:r>
      <w:r w:rsidRPr="001A423D">
        <w:rPr>
          <w:rFonts w:ascii="Times New Roman" w:hAnsi="Times New Roman"/>
          <w:i/>
          <w:spacing w:val="2"/>
          <w:sz w:val="20"/>
          <w:szCs w:val="20"/>
        </w:rPr>
        <w:t xml:space="preserve"> </w:t>
      </w:r>
      <w:r w:rsidRPr="001A423D">
        <w:rPr>
          <w:rFonts w:ascii="Times New Roman" w:hAnsi="Times New Roman"/>
          <w:i/>
          <w:spacing w:val="-2"/>
          <w:sz w:val="20"/>
          <w:szCs w:val="20"/>
        </w:rPr>
        <w:t>the</w:t>
      </w:r>
      <w:r w:rsidRPr="001A423D">
        <w:rPr>
          <w:rFonts w:ascii="Times New Roman" w:hAnsi="Times New Roman"/>
          <w:i/>
          <w:sz w:val="20"/>
          <w:szCs w:val="20"/>
        </w:rPr>
        <w:t xml:space="preserve"> </w:t>
      </w:r>
      <w:r w:rsidRPr="001A423D">
        <w:rPr>
          <w:rFonts w:ascii="Times New Roman" w:hAnsi="Times New Roman"/>
          <w:i/>
          <w:spacing w:val="-1"/>
          <w:sz w:val="20"/>
          <w:szCs w:val="20"/>
        </w:rPr>
        <w:t>bidding</w:t>
      </w:r>
      <w:r w:rsidRPr="001A423D">
        <w:rPr>
          <w:rFonts w:ascii="Times New Roman" w:hAnsi="Times New Roman"/>
          <w:i/>
          <w:sz w:val="20"/>
          <w:szCs w:val="20"/>
        </w:rPr>
        <w:t xml:space="preserve"> </w:t>
      </w:r>
      <w:r w:rsidRPr="001A423D">
        <w:rPr>
          <w:rFonts w:ascii="Times New Roman" w:hAnsi="Times New Roman"/>
          <w:i/>
          <w:spacing w:val="-1"/>
          <w:sz w:val="20"/>
          <w:szCs w:val="20"/>
        </w:rPr>
        <w:t>terminal</w:t>
      </w:r>
      <w:r w:rsidRPr="001A423D">
        <w:rPr>
          <w:rFonts w:ascii="Times New Roman" w:hAnsi="Times New Roman"/>
          <w:i/>
          <w:sz w:val="20"/>
          <w:szCs w:val="20"/>
        </w:rPr>
        <w:t xml:space="preserve"> ID</w:t>
      </w:r>
      <w:r w:rsidRPr="001A423D">
        <w:rPr>
          <w:rFonts w:ascii="Times New Roman" w:hAnsi="Times New Roman"/>
          <w:i/>
          <w:spacing w:val="-1"/>
          <w:sz w:val="20"/>
          <w:szCs w:val="20"/>
        </w:rPr>
        <w:t xml:space="preserve"> as</w:t>
      </w:r>
      <w:r w:rsidRPr="001A423D">
        <w:rPr>
          <w:rFonts w:ascii="Times New Roman" w:hAnsi="Times New Roman"/>
          <w:i/>
          <w:sz w:val="20"/>
          <w:szCs w:val="20"/>
        </w:rPr>
        <w:t xml:space="preserve"> </w:t>
      </w:r>
      <w:r w:rsidRPr="001A423D">
        <w:rPr>
          <w:rFonts w:ascii="Times New Roman" w:hAnsi="Times New Roman"/>
          <w:i/>
          <w:spacing w:val="-1"/>
          <w:sz w:val="20"/>
          <w:szCs w:val="20"/>
        </w:rPr>
        <w:t>captured</w:t>
      </w:r>
      <w:r w:rsidRPr="001A423D">
        <w:rPr>
          <w:rFonts w:ascii="Times New Roman" w:hAnsi="Times New Roman"/>
          <w:i/>
          <w:sz w:val="20"/>
          <w:szCs w:val="20"/>
        </w:rPr>
        <w:t xml:space="preserve"> </w:t>
      </w:r>
      <w:r w:rsidRPr="001A423D">
        <w:rPr>
          <w:rFonts w:ascii="Times New Roman" w:hAnsi="Times New Roman"/>
          <w:i/>
          <w:spacing w:val="-1"/>
          <w:sz w:val="20"/>
          <w:szCs w:val="20"/>
        </w:rPr>
        <w:t>in</w:t>
      </w:r>
      <w:r w:rsidRPr="001A423D">
        <w:rPr>
          <w:rFonts w:ascii="Times New Roman" w:hAnsi="Times New Roman"/>
          <w:i/>
          <w:sz w:val="20"/>
          <w:szCs w:val="20"/>
        </w:rPr>
        <w:t xml:space="preserve"> </w:t>
      </w:r>
      <w:r w:rsidRPr="001A423D">
        <w:rPr>
          <w:rFonts w:ascii="Times New Roman" w:hAnsi="Times New Roman"/>
          <w:i/>
          <w:spacing w:val="-1"/>
          <w:sz w:val="20"/>
          <w:szCs w:val="20"/>
        </w:rPr>
        <w:t>the</w:t>
      </w:r>
      <w:r w:rsidRPr="001A423D">
        <w:rPr>
          <w:rFonts w:ascii="Times New Roman" w:hAnsi="Times New Roman"/>
          <w:i/>
          <w:sz w:val="20"/>
          <w:szCs w:val="20"/>
        </w:rPr>
        <w:t xml:space="preserve"> </w:t>
      </w:r>
      <w:r w:rsidRPr="001A423D">
        <w:rPr>
          <w:rFonts w:ascii="Times New Roman" w:hAnsi="Times New Roman"/>
          <w:i/>
          <w:spacing w:val="-2"/>
          <w:sz w:val="20"/>
          <w:szCs w:val="20"/>
        </w:rPr>
        <w:t>Bid</w:t>
      </w:r>
      <w:r w:rsidRPr="001A423D">
        <w:rPr>
          <w:rFonts w:ascii="Times New Roman" w:hAnsi="Times New Roman"/>
          <w:i/>
          <w:sz w:val="20"/>
          <w:szCs w:val="20"/>
        </w:rPr>
        <w:t xml:space="preserve"> </w:t>
      </w:r>
      <w:r w:rsidRPr="001A423D">
        <w:rPr>
          <w:rFonts w:ascii="Times New Roman" w:hAnsi="Times New Roman"/>
          <w:i/>
          <w:spacing w:val="-1"/>
          <w:sz w:val="20"/>
          <w:szCs w:val="20"/>
        </w:rPr>
        <w:t>Book of</w:t>
      </w:r>
      <w:r w:rsidRPr="001A423D">
        <w:rPr>
          <w:rFonts w:ascii="Times New Roman" w:hAnsi="Times New Roman"/>
          <w:i/>
          <w:spacing w:val="-2"/>
          <w:sz w:val="20"/>
          <w:szCs w:val="20"/>
        </w:rPr>
        <w:t xml:space="preserve"> </w:t>
      </w:r>
      <w:r w:rsidRPr="001A423D">
        <w:rPr>
          <w:rFonts w:ascii="Times New Roman" w:hAnsi="Times New Roman"/>
          <w:i/>
          <w:spacing w:val="-1"/>
          <w:sz w:val="20"/>
          <w:szCs w:val="20"/>
        </w:rPr>
        <w:t>BSE.</w:t>
      </w:r>
    </w:p>
    <w:p w14:paraId="5BC0CDC8" w14:textId="77777777" w:rsidR="00CB2D76" w:rsidRPr="001A423D" w:rsidRDefault="00CB2D76" w:rsidP="00CB2D76">
      <w:pPr>
        <w:tabs>
          <w:tab w:val="left" w:pos="492"/>
        </w:tabs>
        <w:spacing w:after="0" w:line="240" w:lineRule="auto"/>
        <w:ind w:left="426" w:right="119"/>
        <w:jc w:val="both"/>
        <w:rPr>
          <w:rFonts w:ascii="Times New Roman" w:hAnsi="Times New Roman"/>
          <w:sz w:val="20"/>
          <w:szCs w:val="20"/>
        </w:rPr>
      </w:pPr>
      <w:r w:rsidRPr="001A423D">
        <w:rPr>
          <w:rFonts w:ascii="Times New Roman" w:hAnsi="Times New Roman"/>
          <w:sz w:val="20"/>
          <w:szCs w:val="20"/>
        </w:rPr>
        <w:t xml:space="preserve"> </w:t>
      </w:r>
    </w:p>
    <w:p w14:paraId="0EA35CA8"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sz w:val="20"/>
          <w:szCs w:val="20"/>
          <w:lang w:val="en-IN" w:eastAsia="en-IN"/>
        </w:rPr>
      </w:pPr>
      <w:r w:rsidRPr="001A423D">
        <w:rPr>
          <w:rFonts w:ascii="Times New Roman" w:eastAsia="Calibri" w:hAnsi="Times New Roman"/>
          <w:color w:val="000000"/>
          <w:spacing w:val="-1"/>
          <w:sz w:val="20"/>
          <w:szCs w:val="20"/>
          <w:lang w:val="en-IN" w:eastAsia="en-IN"/>
        </w:rPr>
        <w:t>All</w:t>
      </w:r>
      <w:r w:rsidRPr="001A423D">
        <w:rPr>
          <w:rFonts w:ascii="Times New Roman" w:eastAsia="Calibri" w:hAnsi="Times New Roman"/>
          <w:color w:val="000000"/>
          <w:spacing w:val="3"/>
          <w:sz w:val="20"/>
          <w:szCs w:val="20"/>
          <w:lang w:val="en-IN" w:eastAsia="en-IN"/>
        </w:rPr>
        <w:t xml:space="preserve"> </w:t>
      </w:r>
      <w:r w:rsidRPr="001A423D">
        <w:rPr>
          <w:rFonts w:ascii="Times New Roman" w:eastAsia="Calibri" w:hAnsi="Times New Roman"/>
          <w:color w:val="000000"/>
          <w:spacing w:val="-1"/>
          <w:sz w:val="20"/>
          <w:szCs w:val="20"/>
          <w:lang w:val="en-IN" w:eastAsia="en-IN"/>
        </w:rPr>
        <w:t>such</w:t>
      </w:r>
      <w:r w:rsidRPr="001A423D">
        <w:rPr>
          <w:rFonts w:ascii="Times New Roman" w:eastAsia="Calibri" w:hAnsi="Times New Roman"/>
          <w:color w:val="000000"/>
          <w:spacing w:val="6"/>
          <w:sz w:val="20"/>
          <w:szCs w:val="20"/>
          <w:lang w:val="en-IN" w:eastAsia="en-IN"/>
        </w:rPr>
        <w:t xml:space="preserve"> </w:t>
      </w:r>
      <w:r w:rsidRPr="001A423D">
        <w:rPr>
          <w:rFonts w:ascii="Times New Roman" w:eastAsia="Calibri" w:hAnsi="Times New Roman"/>
          <w:color w:val="000000"/>
          <w:spacing w:val="-2"/>
          <w:sz w:val="20"/>
          <w:szCs w:val="20"/>
          <w:lang w:val="en-IN" w:eastAsia="en-IN"/>
        </w:rPr>
        <w:t>commissions</w:t>
      </w:r>
      <w:r w:rsidRPr="001A423D">
        <w:rPr>
          <w:rFonts w:ascii="Times New Roman" w:eastAsia="Calibri" w:hAnsi="Times New Roman"/>
          <w:color w:val="000000"/>
          <w:spacing w:val="5"/>
          <w:sz w:val="20"/>
          <w:szCs w:val="20"/>
          <w:lang w:val="en-IN" w:eastAsia="en-IN"/>
        </w:rPr>
        <w:t xml:space="preserve"> </w:t>
      </w:r>
      <w:r w:rsidRPr="001A423D">
        <w:rPr>
          <w:rFonts w:ascii="Times New Roman" w:eastAsia="Calibri" w:hAnsi="Times New Roman"/>
          <w:color w:val="000000"/>
          <w:spacing w:val="-1"/>
          <w:sz w:val="20"/>
          <w:szCs w:val="20"/>
          <w:lang w:val="en-IN" w:eastAsia="en-IN"/>
        </w:rPr>
        <w:t>and</w:t>
      </w:r>
      <w:r w:rsidRPr="001A423D">
        <w:rPr>
          <w:rFonts w:ascii="Times New Roman" w:eastAsia="Calibri" w:hAnsi="Times New Roman"/>
          <w:color w:val="000000"/>
          <w:spacing w:val="2"/>
          <w:sz w:val="20"/>
          <w:szCs w:val="20"/>
          <w:lang w:val="en-IN" w:eastAsia="en-IN"/>
        </w:rPr>
        <w:t xml:space="preserve"> </w:t>
      </w:r>
      <w:r w:rsidRPr="001A423D">
        <w:rPr>
          <w:rFonts w:ascii="Times New Roman" w:eastAsia="Calibri" w:hAnsi="Times New Roman"/>
          <w:color w:val="000000"/>
          <w:spacing w:val="-1"/>
          <w:sz w:val="20"/>
          <w:szCs w:val="20"/>
          <w:lang w:val="en-IN" w:eastAsia="en-IN"/>
        </w:rPr>
        <w:t>processing</w:t>
      </w:r>
      <w:r w:rsidRPr="001A423D">
        <w:rPr>
          <w:rFonts w:ascii="Times New Roman" w:eastAsia="Calibri" w:hAnsi="Times New Roman"/>
          <w:color w:val="000000"/>
          <w:spacing w:val="5"/>
          <w:sz w:val="20"/>
          <w:szCs w:val="20"/>
          <w:lang w:val="en-IN" w:eastAsia="en-IN"/>
        </w:rPr>
        <w:t xml:space="preserve"> </w:t>
      </w:r>
      <w:r w:rsidRPr="001A423D">
        <w:rPr>
          <w:rFonts w:ascii="Times New Roman" w:eastAsia="Calibri" w:hAnsi="Times New Roman"/>
          <w:color w:val="000000"/>
          <w:spacing w:val="-1"/>
          <w:sz w:val="20"/>
          <w:szCs w:val="20"/>
          <w:lang w:val="en-IN" w:eastAsia="en-IN"/>
        </w:rPr>
        <w:t>fees</w:t>
      </w:r>
      <w:r w:rsidRPr="001A423D">
        <w:rPr>
          <w:rFonts w:ascii="Times New Roman" w:eastAsia="Calibri" w:hAnsi="Times New Roman"/>
          <w:color w:val="000000"/>
          <w:spacing w:val="2"/>
          <w:sz w:val="20"/>
          <w:szCs w:val="20"/>
          <w:lang w:val="en-IN" w:eastAsia="en-IN"/>
        </w:rPr>
        <w:t xml:space="preserve"> </w:t>
      </w:r>
      <w:r w:rsidRPr="001A423D">
        <w:rPr>
          <w:rFonts w:ascii="Times New Roman" w:eastAsia="Calibri" w:hAnsi="Times New Roman"/>
          <w:color w:val="000000"/>
          <w:spacing w:val="-1"/>
          <w:sz w:val="20"/>
          <w:szCs w:val="20"/>
          <w:lang w:val="en-IN" w:eastAsia="en-IN"/>
        </w:rPr>
        <w:t>set</w:t>
      </w:r>
      <w:r w:rsidRPr="001A423D">
        <w:rPr>
          <w:rFonts w:ascii="Times New Roman" w:eastAsia="Calibri" w:hAnsi="Times New Roman"/>
          <w:color w:val="000000"/>
          <w:spacing w:val="3"/>
          <w:sz w:val="20"/>
          <w:szCs w:val="20"/>
          <w:lang w:val="en-IN" w:eastAsia="en-IN"/>
        </w:rPr>
        <w:t xml:space="preserve"> </w:t>
      </w:r>
      <w:r w:rsidRPr="001A423D">
        <w:rPr>
          <w:rFonts w:ascii="Times New Roman" w:eastAsia="Calibri" w:hAnsi="Times New Roman"/>
          <w:color w:val="000000"/>
          <w:spacing w:val="-1"/>
          <w:sz w:val="20"/>
          <w:szCs w:val="20"/>
          <w:lang w:val="en-IN" w:eastAsia="en-IN"/>
        </w:rPr>
        <w:t>out</w:t>
      </w:r>
      <w:r w:rsidRPr="001A423D">
        <w:rPr>
          <w:rFonts w:ascii="Times New Roman" w:eastAsia="Calibri" w:hAnsi="Times New Roman"/>
          <w:color w:val="000000"/>
          <w:spacing w:val="4"/>
          <w:sz w:val="20"/>
          <w:szCs w:val="20"/>
          <w:lang w:val="en-IN" w:eastAsia="en-IN"/>
        </w:rPr>
        <w:t xml:space="preserve"> </w:t>
      </w:r>
      <w:r w:rsidRPr="001A423D">
        <w:rPr>
          <w:rFonts w:ascii="Times New Roman" w:eastAsia="Calibri" w:hAnsi="Times New Roman"/>
          <w:color w:val="000000"/>
          <w:spacing w:val="-1"/>
          <w:sz w:val="20"/>
          <w:szCs w:val="20"/>
          <w:lang w:val="en-IN" w:eastAsia="en-IN"/>
        </w:rPr>
        <w:t>above</w:t>
      </w:r>
      <w:r w:rsidRPr="001A423D">
        <w:rPr>
          <w:rFonts w:ascii="Times New Roman" w:eastAsia="Calibri" w:hAnsi="Times New Roman"/>
          <w:color w:val="000000"/>
          <w:spacing w:val="6"/>
          <w:sz w:val="20"/>
          <w:szCs w:val="20"/>
          <w:lang w:val="en-IN" w:eastAsia="en-IN"/>
        </w:rPr>
        <w:t xml:space="preserve"> </w:t>
      </w:r>
      <w:r w:rsidRPr="001A423D">
        <w:rPr>
          <w:rFonts w:ascii="Times New Roman" w:eastAsia="Calibri" w:hAnsi="Times New Roman"/>
          <w:color w:val="000000"/>
          <w:spacing w:val="-1"/>
          <w:sz w:val="20"/>
          <w:szCs w:val="20"/>
          <w:lang w:val="en-IN" w:eastAsia="en-IN"/>
        </w:rPr>
        <w:t>shall</w:t>
      </w:r>
      <w:r w:rsidRPr="001A423D">
        <w:rPr>
          <w:rFonts w:ascii="Times New Roman" w:eastAsia="Calibri" w:hAnsi="Times New Roman"/>
          <w:color w:val="000000"/>
          <w:spacing w:val="4"/>
          <w:sz w:val="20"/>
          <w:szCs w:val="20"/>
          <w:lang w:val="en-IN" w:eastAsia="en-IN"/>
        </w:rPr>
        <w:t xml:space="preserve"> </w:t>
      </w:r>
      <w:r w:rsidRPr="001A423D">
        <w:rPr>
          <w:rFonts w:ascii="Times New Roman" w:eastAsia="Calibri" w:hAnsi="Times New Roman"/>
          <w:color w:val="000000"/>
          <w:sz w:val="20"/>
          <w:szCs w:val="20"/>
          <w:lang w:val="en-IN" w:eastAsia="en-IN"/>
        </w:rPr>
        <w:t>be</w:t>
      </w:r>
      <w:r w:rsidRPr="001A423D">
        <w:rPr>
          <w:rFonts w:ascii="Times New Roman" w:eastAsia="Calibri" w:hAnsi="Times New Roman"/>
          <w:color w:val="000000"/>
          <w:spacing w:val="3"/>
          <w:sz w:val="20"/>
          <w:szCs w:val="20"/>
          <w:lang w:val="en-IN" w:eastAsia="en-IN"/>
        </w:rPr>
        <w:t xml:space="preserve"> </w:t>
      </w:r>
      <w:r w:rsidRPr="001A423D">
        <w:rPr>
          <w:rFonts w:ascii="Times New Roman" w:eastAsia="Calibri" w:hAnsi="Times New Roman"/>
          <w:color w:val="000000"/>
          <w:spacing w:val="-1"/>
          <w:sz w:val="20"/>
          <w:szCs w:val="20"/>
          <w:lang w:val="en-IN" w:eastAsia="en-IN"/>
        </w:rPr>
        <w:t>paid</w:t>
      </w:r>
      <w:r w:rsidRPr="001A423D">
        <w:rPr>
          <w:rFonts w:ascii="Times New Roman" w:eastAsia="Calibri" w:hAnsi="Times New Roman"/>
          <w:color w:val="000000"/>
          <w:spacing w:val="8"/>
          <w:sz w:val="20"/>
          <w:szCs w:val="20"/>
          <w:lang w:val="en-IN" w:eastAsia="en-IN"/>
        </w:rPr>
        <w:t xml:space="preserve"> </w:t>
      </w:r>
      <w:r w:rsidRPr="001A423D">
        <w:rPr>
          <w:rFonts w:ascii="Times New Roman" w:eastAsia="Calibri" w:hAnsi="Times New Roman"/>
          <w:color w:val="000000"/>
          <w:sz w:val="20"/>
          <w:szCs w:val="20"/>
          <w:lang w:val="en-IN" w:eastAsia="en-IN"/>
        </w:rPr>
        <w:t>as</w:t>
      </w:r>
      <w:r w:rsidRPr="001A423D">
        <w:rPr>
          <w:rFonts w:ascii="Times New Roman" w:eastAsia="Calibri" w:hAnsi="Times New Roman"/>
          <w:color w:val="000000"/>
          <w:spacing w:val="1"/>
          <w:sz w:val="20"/>
          <w:szCs w:val="20"/>
          <w:lang w:val="en-IN" w:eastAsia="en-IN"/>
        </w:rPr>
        <w:t xml:space="preserve"> </w:t>
      </w:r>
      <w:r w:rsidRPr="001A423D">
        <w:rPr>
          <w:rFonts w:ascii="Times New Roman" w:eastAsia="Calibri" w:hAnsi="Times New Roman"/>
          <w:color w:val="000000"/>
          <w:spacing w:val="-1"/>
          <w:sz w:val="20"/>
          <w:szCs w:val="20"/>
          <w:lang w:val="en-IN" w:eastAsia="en-IN"/>
        </w:rPr>
        <w:t>per</w:t>
      </w:r>
      <w:r w:rsidRPr="001A423D">
        <w:rPr>
          <w:rFonts w:ascii="Times New Roman" w:eastAsia="Calibri" w:hAnsi="Times New Roman"/>
          <w:color w:val="000000"/>
          <w:spacing w:val="6"/>
          <w:sz w:val="20"/>
          <w:szCs w:val="20"/>
          <w:lang w:val="en-IN" w:eastAsia="en-IN"/>
        </w:rPr>
        <w:t xml:space="preserve"> </w:t>
      </w:r>
      <w:r w:rsidRPr="001A423D">
        <w:rPr>
          <w:rFonts w:ascii="Times New Roman" w:eastAsia="Calibri" w:hAnsi="Times New Roman"/>
          <w:color w:val="000000"/>
          <w:spacing w:val="-1"/>
          <w:sz w:val="20"/>
          <w:szCs w:val="20"/>
          <w:lang w:val="en-IN" w:eastAsia="en-IN"/>
        </w:rPr>
        <w:t>the</w:t>
      </w:r>
      <w:r w:rsidRPr="001A423D">
        <w:rPr>
          <w:rFonts w:ascii="Times New Roman" w:eastAsia="Calibri" w:hAnsi="Times New Roman"/>
          <w:color w:val="000000"/>
          <w:spacing w:val="4"/>
          <w:sz w:val="20"/>
          <w:szCs w:val="20"/>
          <w:lang w:val="en-IN" w:eastAsia="en-IN"/>
        </w:rPr>
        <w:t xml:space="preserve"> </w:t>
      </w:r>
      <w:r w:rsidRPr="001A423D">
        <w:rPr>
          <w:rFonts w:ascii="Times New Roman" w:eastAsia="Calibri" w:hAnsi="Times New Roman"/>
          <w:color w:val="000000"/>
          <w:spacing w:val="-2"/>
          <w:sz w:val="20"/>
          <w:szCs w:val="20"/>
          <w:lang w:val="en-IN" w:eastAsia="en-IN"/>
        </w:rPr>
        <w:t>timelines</w:t>
      </w:r>
      <w:r w:rsidRPr="001A423D">
        <w:rPr>
          <w:rFonts w:ascii="Times New Roman" w:eastAsia="Calibri" w:hAnsi="Times New Roman"/>
          <w:color w:val="000000"/>
          <w:spacing w:val="8"/>
          <w:sz w:val="20"/>
          <w:szCs w:val="20"/>
          <w:lang w:val="en-IN" w:eastAsia="en-IN"/>
        </w:rPr>
        <w:t xml:space="preserve"> </w:t>
      </w:r>
      <w:r w:rsidRPr="001A423D">
        <w:rPr>
          <w:rFonts w:ascii="Times New Roman" w:eastAsia="Calibri" w:hAnsi="Times New Roman"/>
          <w:color w:val="000000"/>
          <w:spacing w:val="-1"/>
          <w:sz w:val="20"/>
          <w:szCs w:val="20"/>
          <w:lang w:val="en-IN" w:eastAsia="en-IN"/>
        </w:rPr>
        <w:t>in</w:t>
      </w:r>
      <w:r w:rsidRPr="001A423D">
        <w:rPr>
          <w:rFonts w:ascii="Times New Roman" w:eastAsia="Calibri" w:hAnsi="Times New Roman"/>
          <w:color w:val="000000"/>
          <w:spacing w:val="5"/>
          <w:sz w:val="20"/>
          <w:szCs w:val="20"/>
          <w:lang w:val="en-IN" w:eastAsia="en-IN"/>
        </w:rPr>
        <w:t xml:space="preserve"> </w:t>
      </w:r>
      <w:r w:rsidRPr="001A423D">
        <w:rPr>
          <w:rFonts w:ascii="Times New Roman" w:eastAsia="Calibri" w:hAnsi="Times New Roman"/>
          <w:color w:val="000000"/>
          <w:spacing w:val="-2"/>
          <w:sz w:val="20"/>
          <w:szCs w:val="20"/>
          <w:lang w:val="en-IN" w:eastAsia="en-IN"/>
        </w:rPr>
        <w:t>terms</w:t>
      </w:r>
      <w:r w:rsidRPr="001A423D">
        <w:rPr>
          <w:rFonts w:ascii="Times New Roman" w:eastAsia="Calibri" w:hAnsi="Times New Roman"/>
          <w:color w:val="000000"/>
          <w:spacing w:val="5"/>
          <w:sz w:val="20"/>
          <w:szCs w:val="20"/>
          <w:lang w:val="en-IN" w:eastAsia="en-IN"/>
        </w:rPr>
        <w:t xml:space="preserve"> </w:t>
      </w:r>
      <w:r w:rsidRPr="001A423D">
        <w:rPr>
          <w:rFonts w:ascii="Times New Roman" w:eastAsia="Calibri" w:hAnsi="Times New Roman"/>
          <w:color w:val="000000"/>
          <w:spacing w:val="-1"/>
          <w:sz w:val="20"/>
          <w:szCs w:val="20"/>
          <w:lang w:val="en-IN" w:eastAsia="en-IN"/>
        </w:rPr>
        <w:t>of</w:t>
      </w:r>
      <w:r w:rsidRPr="001A423D">
        <w:rPr>
          <w:rFonts w:ascii="Times New Roman" w:eastAsia="Calibri" w:hAnsi="Times New Roman"/>
          <w:color w:val="000000"/>
          <w:spacing w:val="6"/>
          <w:sz w:val="20"/>
          <w:szCs w:val="20"/>
          <w:lang w:val="en-IN" w:eastAsia="en-IN"/>
        </w:rPr>
        <w:t xml:space="preserve"> </w:t>
      </w:r>
      <w:r w:rsidRPr="001A423D">
        <w:rPr>
          <w:rFonts w:ascii="Times New Roman" w:eastAsia="Calibri" w:hAnsi="Times New Roman"/>
          <w:color w:val="000000"/>
          <w:spacing w:val="-1"/>
          <w:sz w:val="20"/>
          <w:szCs w:val="20"/>
          <w:lang w:val="en-IN" w:eastAsia="en-IN"/>
        </w:rPr>
        <w:t>the</w:t>
      </w:r>
      <w:r w:rsidRPr="001A423D">
        <w:rPr>
          <w:rFonts w:ascii="Times New Roman" w:eastAsia="Calibri" w:hAnsi="Times New Roman"/>
          <w:color w:val="000000"/>
          <w:spacing w:val="2"/>
          <w:sz w:val="20"/>
          <w:szCs w:val="20"/>
          <w:lang w:val="en-IN" w:eastAsia="en-IN"/>
        </w:rPr>
        <w:t xml:space="preserve"> </w:t>
      </w:r>
      <w:r w:rsidRPr="001A423D">
        <w:rPr>
          <w:rFonts w:ascii="Times New Roman" w:eastAsia="Calibri" w:hAnsi="Times New Roman"/>
          <w:color w:val="000000"/>
          <w:spacing w:val="-1"/>
          <w:sz w:val="20"/>
          <w:szCs w:val="20"/>
          <w:lang w:val="en-IN" w:eastAsia="en-IN"/>
        </w:rPr>
        <w:t>Syndicate</w:t>
      </w:r>
      <w:r w:rsidRPr="001A423D">
        <w:rPr>
          <w:rFonts w:ascii="Times New Roman" w:eastAsia="Calibri" w:hAnsi="Times New Roman"/>
          <w:color w:val="000000"/>
          <w:spacing w:val="65"/>
          <w:w w:val="99"/>
          <w:sz w:val="20"/>
          <w:szCs w:val="20"/>
          <w:lang w:val="en-IN" w:eastAsia="en-IN"/>
        </w:rPr>
        <w:t xml:space="preserve"> </w:t>
      </w:r>
      <w:r w:rsidRPr="001A423D">
        <w:rPr>
          <w:rFonts w:ascii="Times New Roman" w:eastAsia="Calibri" w:hAnsi="Times New Roman"/>
          <w:color w:val="000000"/>
          <w:spacing w:val="-1"/>
          <w:sz w:val="20"/>
          <w:szCs w:val="20"/>
          <w:lang w:val="en-IN" w:eastAsia="en-IN"/>
        </w:rPr>
        <w:t>Agreement</w:t>
      </w:r>
      <w:r w:rsidRPr="001A423D">
        <w:rPr>
          <w:rFonts w:ascii="Times New Roman" w:eastAsia="Calibri" w:hAnsi="Times New Roman"/>
          <w:color w:val="000000"/>
          <w:spacing w:val="15"/>
          <w:sz w:val="20"/>
          <w:szCs w:val="20"/>
          <w:lang w:val="en-IN" w:eastAsia="en-IN"/>
        </w:rPr>
        <w:t xml:space="preserve"> </w:t>
      </w:r>
      <w:r w:rsidRPr="001A423D">
        <w:rPr>
          <w:rFonts w:ascii="Times New Roman" w:eastAsia="Calibri" w:hAnsi="Times New Roman"/>
          <w:color w:val="000000"/>
          <w:spacing w:val="-1"/>
          <w:sz w:val="20"/>
          <w:szCs w:val="20"/>
          <w:lang w:val="en-IN" w:eastAsia="en-IN"/>
        </w:rPr>
        <w:t>and</w:t>
      </w:r>
      <w:r w:rsidRPr="001A423D">
        <w:rPr>
          <w:rFonts w:ascii="Times New Roman" w:eastAsia="Calibri" w:hAnsi="Times New Roman"/>
          <w:color w:val="000000"/>
          <w:spacing w:val="15"/>
          <w:sz w:val="20"/>
          <w:szCs w:val="20"/>
          <w:lang w:val="en-IN" w:eastAsia="en-IN"/>
        </w:rPr>
        <w:t xml:space="preserve"> </w:t>
      </w:r>
      <w:r w:rsidRPr="001A423D">
        <w:rPr>
          <w:rFonts w:ascii="Times New Roman" w:eastAsia="Calibri" w:hAnsi="Times New Roman"/>
          <w:color w:val="000000"/>
          <w:spacing w:val="-2"/>
          <w:sz w:val="20"/>
          <w:szCs w:val="20"/>
          <w:lang w:val="en-IN" w:eastAsia="en-IN"/>
        </w:rPr>
        <w:t>Escrow</w:t>
      </w:r>
      <w:r w:rsidRPr="001A423D">
        <w:rPr>
          <w:rFonts w:ascii="Times New Roman" w:eastAsia="Calibri" w:hAnsi="Times New Roman"/>
          <w:color w:val="000000"/>
          <w:spacing w:val="15"/>
          <w:sz w:val="20"/>
          <w:szCs w:val="20"/>
          <w:lang w:val="en-IN" w:eastAsia="en-IN"/>
        </w:rPr>
        <w:t xml:space="preserve"> </w:t>
      </w:r>
      <w:r w:rsidRPr="001A423D">
        <w:rPr>
          <w:rFonts w:ascii="Times New Roman" w:eastAsia="Calibri" w:hAnsi="Times New Roman"/>
          <w:color w:val="000000"/>
          <w:spacing w:val="-1"/>
          <w:sz w:val="20"/>
          <w:szCs w:val="20"/>
          <w:lang w:val="en-IN" w:eastAsia="en-IN"/>
        </w:rPr>
        <w:t>and</w:t>
      </w:r>
      <w:r w:rsidRPr="001A423D">
        <w:rPr>
          <w:rFonts w:ascii="Times New Roman" w:eastAsia="Calibri" w:hAnsi="Times New Roman"/>
          <w:color w:val="000000"/>
          <w:spacing w:val="14"/>
          <w:sz w:val="20"/>
          <w:szCs w:val="20"/>
          <w:lang w:val="en-IN" w:eastAsia="en-IN"/>
        </w:rPr>
        <w:t xml:space="preserve"> </w:t>
      </w:r>
      <w:r w:rsidRPr="001A423D">
        <w:rPr>
          <w:rFonts w:ascii="Times New Roman" w:eastAsia="Calibri" w:hAnsi="Times New Roman"/>
          <w:color w:val="000000"/>
          <w:spacing w:val="-1"/>
          <w:sz w:val="20"/>
          <w:szCs w:val="20"/>
          <w:lang w:val="en-IN" w:eastAsia="en-IN"/>
        </w:rPr>
        <w:t>Sponsor</w:t>
      </w:r>
      <w:r w:rsidRPr="001A423D">
        <w:rPr>
          <w:rFonts w:ascii="Times New Roman" w:eastAsia="Calibri" w:hAnsi="Times New Roman"/>
          <w:color w:val="000000"/>
          <w:spacing w:val="15"/>
          <w:sz w:val="20"/>
          <w:szCs w:val="20"/>
          <w:lang w:val="en-IN" w:eastAsia="en-IN"/>
        </w:rPr>
        <w:t xml:space="preserve"> </w:t>
      </w:r>
      <w:r w:rsidRPr="001A423D">
        <w:rPr>
          <w:rFonts w:ascii="Times New Roman" w:eastAsia="Calibri" w:hAnsi="Times New Roman"/>
          <w:color w:val="000000"/>
          <w:spacing w:val="-1"/>
          <w:sz w:val="20"/>
          <w:szCs w:val="20"/>
          <w:lang w:val="en-IN" w:eastAsia="en-IN"/>
        </w:rPr>
        <w:t>Bank</w:t>
      </w:r>
      <w:r w:rsidRPr="001A423D">
        <w:rPr>
          <w:rFonts w:ascii="Times New Roman" w:eastAsia="Calibri" w:hAnsi="Times New Roman"/>
          <w:color w:val="000000"/>
          <w:spacing w:val="14"/>
          <w:sz w:val="20"/>
          <w:szCs w:val="20"/>
          <w:lang w:val="en-IN" w:eastAsia="en-IN"/>
        </w:rPr>
        <w:t xml:space="preserve"> </w:t>
      </w:r>
      <w:r w:rsidRPr="001A423D">
        <w:rPr>
          <w:rFonts w:ascii="Times New Roman" w:eastAsia="Calibri" w:hAnsi="Times New Roman"/>
          <w:color w:val="000000"/>
          <w:spacing w:val="-1"/>
          <w:sz w:val="20"/>
          <w:szCs w:val="20"/>
          <w:lang w:val="en-IN" w:eastAsia="en-IN"/>
        </w:rPr>
        <w:t>Agreement.</w:t>
      </w:r>
      <w:r w:rsidRPr="001A423D">
        <w:rPr>
          <w:rFonts w:ascii="Times New Roman" w:eastAsia="Calibri" w:hAnsi="Times New Roman"/>
          <w:color w:val="000000"/>
          <w:spacing w:val="15"/>
          <w:sz w:val="20"/>
          <w:szCs w:val="20"/>
          <w:lang w:val="en-IN" w:eastAsia="en-IN"/>
        </w:rPr>
        <w:t xml:space="preserve"> </w:t>
      </w:r>
      <w:r w:rsidRPr="001A423D">
        <w:rPr>
          <w:rFonts w:ascii="Times New Roman" w:eastAsia="Calibri" w:hAnsi="Times New Roman"/>
          <w:color w:val="000000"/>
          <w:spacing w:val="-1"/>
          <w:sz w:val="20"/>
          <w:szCs w:val="20"/>
          <w:lang w:val="en-IN" w:eastAsia="en-IN"/>
        </w:rPr>
        <w:t>Further,</w:t>
      </w:r>
      <w:r w:rsidRPr="001A423D">
        <w:rPr>
          <w:rFonts w:ascii="Times New Roman" w:eastAsia="Calibri" w:hAnsi="Times New Roman"/>
          <w:color w:val="000000"/>
          <w:spacing w:val="15"/>
          <w:sz w:val="20"/>
          <w:szCs w:val="20"/>
          <w:lang w:val="en-IN" w:eastAsia="en-IN"/>
        </w:rPr>
        <w:t xml:space="preserve"> </w:t>
      </w:r>
      <w:r w:rsidRPr="001A423D">
        <w:rPr>
          <w:rFonts w:ascii="Times New Roman" w:eastAsia="Calibri" w:hAnsi="Times New Roman"/>
          <w:color w:val="000000"/>
          <w:spacing w:val="-1"/>
          <w:sz w:val="20"/>
          <w:szCs w:val="20"/>
          <w:lang w:val="en-IN" w:eastAsia="en-IN"/>
        </w:rPr>
        <w:t>the</w:t>
      </w:r>
      <w:r w:rsidRPr="001A423D">
        <w:rPr>
          <w:rFonts w:ascii="Times New Roman" w:eastAsia="Calibri" w:hAnsi="Times New Roman"/>
          <w:color w:val="000000"/>
          <w:spacing w:val="14"/>
          <w:sz w:val="20"/>
          <w:szCs w:val="20"/>
          <w:lang w:val="en-IN" w:eastAsia="en-IN"/>
        </w:rPr>
        <w:t xml:space="preserve"> </w:t>
      </w:r>
      <w:r w:rsidRPr="001A423D">
        <w:rPr>
          <w:rFonts w:ascii="Times New Roman" w:eastAsia="Calibri" w:hAnsi="Times New Roman"/>
          <w:color w:val="000000"/>
          <w:spacing w:val="-1"/>
          <w:sz w:val="20"/>
          <w:szCs w:val="20"/>
          <w:lang w:val="en-IN" w:eastAsia="en-IN"/>
        </w:rPr>
        <w:t>processing</w:t>
      </w:r>
      <w:r w:rsidRPr="001A423D">
        <w:rPr>
          <w:rFonts w:ascii="Times New Roman" w:eastAsia="Calibri" w:hAnsi="Times New Roman"/>
          <w:color w:val="000000"/>
          <w:spacing w:val="15"/>
          <w:sz w:val="20"/>
          <w:szCs w:val="20"/>
          <w:lang w:val="en-IN" w:eastAsia="en-IN"/>
        </w:rPr>
        <w:t xml:space="preserve"> </w:t>
      </w:r>
      <w:r w:rsidRPr="001A423D">
        <w:rPr>
          <w:rFonts w:ascii="Times New Roman" w:eastAsia="Calibri" w:hAnsi="Times New Roman"/>
          <w:color w:val="000000"/>
          <w:spacing w:val="-2"/>
          <w:sz w:val="20"/>
          <w:szCs w:val="20"/>
          <w:lang w:val="en-IN" w:eastAsia="en-IN"/>
        </w:rPr>
        <w:t>fees</w:t>
      </w:r>
      <w:r w:rsidRPr="001A423D">
        <w:rPr>
          <w:rFonts w:ascii="Times New Roman" w:eastAsia="Calibri" w:hAnsi="Times New Roman"/>
          <w:color w:val="000000"/>
          <w:spacing w:val="15"/>
          <w:sz w:val="20"/>
          <w:szCs w:val="20"/>
          <w:lang w:val="en-IN" w:eastAsia="en-IN"/>
        </w:rPr>
        <w:t xml:space="preserve"> </w:t>
      </w:r>
      <w:r w:rsidRPr="001A423D">
        <w:rPr>
          <w:rFonts w:ascii="Times New Roman" w:eastAsia="Calibri" w:hAnsi="Times New Roman"/>
          <w:color w:val="000000"/>
          <w:spacing w:val="-1"/>
          <w:sz w:val="20"/>
          <w:szCs w:val="20"/>
          <w:lang w:val="en-IN" w:eastAsia="en-IN"/>
        </w:rPr>
        <w:t>for</w:t>
      </w:r>
      <w:r w:rsidRPr="001A423D">
        <w:rPr>
          <w:rFonts w:ascii="Times New Roman" w:eastAsia="Calibri" w:hAnsi="Times New Roman"/>
          <w:color w:val="000000"/>
          <w:spacing w:val="17"/>
          <w:sz w:val="20"/>
          <w:szCs w:val="20"/>
          <w:lang w:val="en-IN" w:eastAsia="en-IN"/>
        </w:rPr>
        <w:t xml:space="preserve"> </w:t>
      </w:r>
      <w:r w:rsidRPr="001A423D">
        <w:rPr>
          <w:rFonts w:ascii="Times New Roman" w:eastAsia="Calibri" w:hAnsi="Times New Roman"/>
          <w:color w:val="000000"/>
          <w:spacing w:val="-1"/>
          <w:sz w:val="20"/>
          <w:szCs w:val="20"/>
          <w:lang w:val="en-IN" w:eastAsia="en-IN"/>
        </w:rPr>
        <w:t>applications</w:t>
      </w:r>
      <w:r w:rsidRPr="001A423D">
        <w:rPr>
          <w:rFonts w:ascii="Times New Roman" w:eastAsia="Calibri" w:hAnsi="Times New Roman"/>
          <w:color w:val="000000"/>
          <w:spacing w:val="16"/>
          <w:sz w:val="20"/>
          <w:szCs w:val="20"/>
          <w:lang w:val="en-IN" w:eastAsia="en-IN"/>
        </w:rPr>
        <w:t xml:space="preserve"> </w:t>
      </w:r>
      <w:r w:rsidRPr="001A423D">
        <w:rPr>
          <w:rFonts w:ascii="Times New Roman" w:eastAsia="Calibri" w:hAnsi="Times New Roman"/>
          <w:color w:val="000000"/>
          <w:spacing w:val="-2"/>
          <w:sz w:val="20"/>
          <w:szCs w:val="20"/>
          <w:lang w:val="en-IN" w:eastAsia="en-IN"/>
        </w:rPr>
        <w:t>made</w:t>
      </w:r>
      <w:r w:rsidRPr="001A423D">
        <w:rPr>
          <w:rFonts w:ascii="Times New Roman" w:eastAsia="Calibri" w:hAnsi="Times New Roman"/>
          <w:color w:val="000000"/>
          <w:spacing w:val="14"/>
          <w:sz w:val="20"/>
          <w:szCs w:val="20"/>
          <w:lang w:val="en-IN" w:eastAsia="en-IN"/>
        </w:rPr>
        <w:t xml:space="preserve"> </w:t>
      </w:r>
      <w:r w:rsidRPr="001A423D">
        <w:rPr>
          <w:rFonts w:ascii="Times New Roman" w:eastAsia="Calibri" w:hAnsi="Times New Roman"/>
          <w:color w:val="000000"/>
          <w:sz w:val="20"/>
          <w:szCs w:val="20"/>
          <w:lang w:val="en-IN" w:eastAsia="en-IN"/>
        </w:rPr>
        <w:t>by</w:t>
      </w:r>
      <w:r w:rsidRPr="001A423D">
        <w:rPr>
          <w:rFonts w:ascii="Times New Roman" w:eastAsia="Calibri" w:hAnsi="Times New Roman"/>
          <w:color w:val="000000"/>
          <w:spacing w:val="17"/>
          <w:sz w:val="20"/>
          <w:szCs w:val="20"/>
          <w:lang w:val="en-IN" w:eastAsia="en-IN"/>
        </w:rPr>
        <w:t xml:space="preserve"> </w:t>
      </w:r>
      <w:r w:rsidRPr="001A423D">
        <w:rPr>
          <w:rFonts w:ascii="Times New Roman" w:eastAsia="Calibri" w:hAnsi="Times New Roman"/>
          <w:color w:val="000000"/>
          <w:spacing w:val="-2"/>
          <w:sz w:val="20"/>
          <w:szCs w:val="20"/>
          <w:lang w:val="en-IN" w:eastAsia="en-IN"/>
        </w:rPr>
        <w:t>UPI</w:t>
      </w:r>
      <w:r w:rsidRPr="001A423D">
        <w:rPr>
          <w:rFonts w:ascii="Times New Roman" w:eastAsia="Calibri" w:hAnsi="Times New Roman"/>
          <w:color w:val="000000"/>
          <w:spacing w:val="51"/>
          <w:w w:val="99"/>
          <w:sz w:val="20"/>
          <w:szCs w:val="20"/>
          <w:lang w:val="en-IN" w:eastAsia="en-IN"/>
        </w:rPr>
        <w:t xml:space="preserve"> </w:t>
      </w:r>
      <w:r w:rsidRPr="001A423D">
        <w:rPr>
          <w:rFonts w:ascii="Times New Roman" w:eastAsia="Calibri" w:hAnsi="Times New Roman"/>
          <w:color w:val="000000"/>
          <w:spacing w:val="-2"/>
          <w:sz w:val="20"/>
          <w:szCs w:val="20"/>
          <w:lang w:val="en-IN" w:eastAsia="en-IN"/>
        </w:rPr>
        <w:t>Bidders</w:t>
      </w:r>
      <w:r w:rsidRPr="001A423D">
        <w:rPr>
          <w:rFonts w:ascii="Times New Roman" w:eastAsia="Calibri" w:hAnsi="Times New Roman"/>
          <w:color w:val="000000"/>
          <w:spacing w:val="12"/>
          <w:sz w:val="20"/>
          <w:szCs w:val="20"/>
          <w:lang w:val="en-IN" w:eastAsia="en-IN"/>
        </w:rPr>
        <w:t xml:space="preserve"> </w:t>
      </w:r>
      <w:r w:rsidRPr="001A423D">
        <w:rPr>
          <w:rFonts w:ascii="Times New Roman" w:eastAsia="Calibri" w:hAnsi="Times New Roman"/>
          <w:color w:val="000000"/>
          <w:spacing w:val="-2"/>
          <w:sz w:val="20"/>
          <w:szCs w:val="20"/>
          <w:lang w:val="en-IN" w:eastAsia="en-IN"/>
        </w:rPr>
        <w:t>using</w:t>
      </w:r>
      <w:r w:rsidRPr="001A423D">
        <w:rPr>
          <w:rFonts w:ascii="Times New Roman" w:eastAsia="Calibri" w:hAnsi="Times New Roman"/>
          <w:color w:val="000000"/>
          <w:spacing w:val="11"/>
          <w:sz w:val="20"/>
          <w:szCs w:val="20"/>
          <w:lang w:val="en-IN" w:eastAsia="en-IN"/>
        </w:rPr>
        <w:t xml:space="preserve"> </w:t>
      </w:r>
      <w:r w:rsidRPr="001A423D">
        <w:rPr>
          <w:rFonts w:ascii="Times New Roman" w:eastAsia="Calibri" w:hAnsi="Times New Roman"/>
          <w:color w:val="000000"/>
          <w:spacing w:val="-1"/>
          <w:sz w:val="20"/>
          <w:szCs w:val="20"/>
          <w:lang w:val="en-IN" w:eastAsia="en-IN"/>
        </w:rPr>
        <w:t>the</w:t>
      </w:r>
      <w:r w:rsidRPr="001A423D">
        <w:rPr>
          <w:rFonts w:ascii="Times New Roman" w:eastAsia="Calibri" w:hAnsi="Times New Roman"/>
          <w:color w:val="000000"/>
          <w:spacing w:val="12"/>
          <w:sz w:val="20"/>
          <w:szCs w:val="20"/>
          <w:lang w:val="en-IN" w:eastAsia="en-IN"/>
        </w:rPr>
        <w:t xml:space="preserve"> </w:t>
      </w:r>
      <w:r w:rsidRPr="001A423D">
        <w:rPr>
          <w:rFonts w:ascii="Times New Roman" w:eastAsia="Calibri" w:hAnsi="Times New Roman"/>
          <w:color w:val="000000"/>
          <w:spacing w:val="-2"/>
          <w:sz w:val="20"/>
          <w:szCs w:val="20"/>
          <w:lang w:val="en-IN" w:eastAsia="en-IN"/>
        </w:rPr>
        <w:t>UPI</w:t>
      </w:r>
      <w:r w:rsidRPr="001A423D">
        <w:rPr>
          <w:rFonts w:ascii="Times New Roman" w:eastAsia="Calibri" w:hAnsi="Times New Roman"/>
          <w:color w:val="000000"/>
          <w:spacing w:val="10"/>
          <w:sz w:val="20"/>
          <w:szCs w:val="20"/>
          <w:lang w:val="en-IN" w:eastAsia="en-IN"/>
        </w:rPr>
        <w:t xml:space="preserve"> </w:t>
      </w:r>
      <w:r w:rsidRPr="001A423D">
        <w:rPr>
          <w:rFonts w:ascii="Times New Roman" w:eastAsia="Calibri" w:hAnsi="Times New Roman"/>
          <w:color w:val="000000"/>
          <w:spacing w:val="-1"/>
          <w:sz w:val="20"/>
          <w:szCs w:val="20"/>
          <w:lang w:val="en-IN" w:eastAsia="en-IN"/>
        </w:rPr>
        <w:t>Mechanism</w:t>
      </w:r>
      <w:r w:rsidRPr="001A423D">
        <w:rPr>
          <w:rFonts w:ascii="Times New Roman" w:eastAsia="Calibri" w:hAnsi="Times New Roman"/>
          <w:color w:val="000000"/>
          <w:spacing w:val="9"/>
          <w:sz w:val="20"/>
          <w:szCs w:val="20"/>
          <w:lang w:val="en-IN" w:eastAsia="en-IN"/>
        </w:rPr>
        <w:t xml:space="preserve"> </w:t>
      </w:r>
      <w:r w:rsidRPr="001A423D">
        <w:rPr>
          <w:rFonts w:ascii="Times New Roman" w:eastAsia="Calibri" w:hAnsi="Times New Roman"/>
          <w:color w:val="000000"/>
          <w:spacing w:val="-2"/>
          <w:sz w:val="20"/>
          <w:szCs w:val="20"/>
          <w:lang w:val="en-IN" w:eastAsia="en-IN"/>
        </w:rPr>
        <w:t>may</w:t>
      </w:r>
      <w:r w:rsidRPr="001A423D">
        <w:rPr>
          <w:rFonts w:ascii="Times New Roman" w:eastAsia="Calibri" w:hAnsi="Times New Roman"/>
          <w:color w:val="000000"/>
          <w:spacing w:val="10"/>
          <w:sz w:val="20"/>
          <w:szCs w:val="20"/>
          <w:lang w:val="en-IN" w:eastAsia="en-IN"/>
        </w:rPr>
        <w:t xml:space="preserve"> </w:t>
      </w:r>
      <w:r w:rsidRPr="001A423D">
        <w:rPr>
          <w:rFonts w:ascii="Times New Roman" w:eastAsia="Calibri" w:hAnsi="Times New Roman"/>
          <w:color w:val="000000"/>
          <w:spacing w:val="-1"/>
          <w:sz w:val="20"/>
          <w:szCs w:val="20"/>
          <w:lang w:val="en-IN" w:eastAsia="en-IN"/>
        </w:rPr>
        <w:t>be</w:t>
      </w:r>
      <w:r w:rsidRPr="001A423D">
        <w:rPr>
          <w:rFonts w:ascii="Times New Roman" w:eastAsia="Calibri" w:hAnsi="Times New Roman"/>
          <w:color w:val="000000"/>
          <w:spacing w:val="12"/>
          <w:sz w:val="20"/>
          <w:szCs w:val="20"/>
          <w:lang w:val="en-IN" w:eastAsia="en-IN"/>
        </w:rPr>
        <w:t xml:space="preserve"> </w:t>
      </w:r>
      <w:r w:rsidRPr="001A423D">
        <w:rPr>
          <w:rFonts w:ascii="Times New Roman" w:eastAsia="Calibri" w:hAnsi="Times New Roman"/>
          <w:color w:val="000000"/>
          <w:spacing w:val="-1"/>
          <w:sz w:val="20"/>
          <w:szCs w:val="20"/>
          <w:lang w:val="en-IN" w:eastAsia="en-IN"/>
        </w:rPr>
        <w:t>released</w:t>
      </w:r>
      <w:r w:rsidRPr="001A423D">
        <w:rPr>
          <w:rFonts w:ascii="Times New Roman" w:eastAsia="Calibri" w:hAnsi="Times New Roman"/>
          <w:color w:val="000000"/>
          <w:spacing w:val="9"/>
          <w:sz w:val="20"/>
          <w:szCs w:val="20"/>
          <w:lang w:val="en-IN" w:eastAsia="en-IN"/>
        </w:rPr>
        <w:t xml:space="preserve"> </w:t>
      </w:r>
      <w:r w:rsidRPr="001A423D">
        <w:rPr>
          <w:rFonts w:ascii="Times New Roman" w:eastAsia="Calibri" w:hAnsi="Times New Roman"/>
          <w:color w:val="000000"/>
          <w:spacing w:val="-1"/>
          <w:sz w:val="20"/>
          <w:szCs w:val="20"/>
          <w:lang w:val="en-IN" w:eastAsia="en-IN"/>
        </w:rPr>
        <w:t>to</w:t>
      </w:r>
      <w:r w:rsidRPr="001A423D">
        <w:rPr>
          <w:rFonts w:ascii="Times New Roman" w:eastAsia="Calibri" w:hAnsi="Times New Roman"/>
          <w:color w:val="000000"/>
          <w:spacing w:val="10"/>
          <w:sz w:val="20"/>
          <w:szCs w:val="20"/>
          <w:lang w:val="en-IN" w:eastAsia="en-IN"/>
        </w:rPr>
        <w:t xml:space="preserve"> </w:t>
      </w:r>
      <w:r w:rsidRPr="001A423D">
        <w:rPr>
          <w:rFonts w:ascii="Times New Roman" w:eastAsia="Calibri" w:hAnsi="Times New Roman"/>
          <w:color w:val="000000"/>
          <w:spacing w:val="-2"/>
          <w:sz w:val="20"/>
          <w:szCs w:val="20"/>
          <w:lang w:val="en-IN" w:eastAsia="en-IN"/>
        </w:rPr>
        <w:t>the</w:t>
      </w:r>
      <w:r w:rsidRPr="001A423D">
        <w:rPr>
          <w:rFonts w:ascii="Times New Roman" w:eastAsia="Calibri" w:hAnsi="Times New Roman"/>
          <w:color w:val="000000"/>
          <w:spacing w:val="8"/>
          <w:sz w:val="20"/>
          <w:szCs w:val="20"/>
          <w:lang w:val="en-IN" w:eastAsia="en-IN"/>
        </w:rPr>
        <w:t xml:space="preserve"> </w:t>
      </w:r>
      <w:r w:rsidRPr="001A423D">
        <w:rPr>
          <w:rFonts w:ascii="Times New Roman" w:eastAsia="Calibri" w:hAnsi="Times New Roman"/>
          <w:color w:val="000000"/>
          <w:spacing w:val="-1"/>
          <w:sz w:val="20"/>
          <w:szCs w:val="20"/>
          <w:lang w:val="en-IN" w:eastAsia="en-IN"/>
        </w:rPr>
        <w:t>remitter</w:t>
      </w:r>
      <w:r w:rsidRPr="001A423D">
        <w:rPr>
          <w:rFonts w:ascii="Times New Roman" w:eastAsia="Calibri" w:hAnsi="Times New Roman"/>
          <w:color w:val="000000"/>
          <w:spacing w:val="10"/>
          <w:sz w:val="20"/>
          <w:szCs w:val="20"/>
          <w:lang w:val="en-IN" w:eastAsia="en-IN"/>
        </w:rPr>
        <w:t xml:space="preserve"> </w:t>
      </w:r>
      <w:r w:rsidRPr="001A423D">
        <w:rPr>
          <w:rFonts w:ascii="Times New Roman" w:eastAsia="Calibri" w:hAnsi="Times New Roman"/>
          <w:color w:val="000000"/>
          <w:spacing w:val="-1"/>
          <w:sz w:val="20"/>
          <w:szCs w:val="20"/>
          <w:lang w:val="en-IN" w:eastAsia="en-IN"/>
        </w:rPr>
        <w:t>banks</w:t>
      </w:r>
      <w:r w:rsidRPr="001A423D">
        <w:rPr>
          <w:rFonts w:ascii="Times New Roman" w:eastAsia="Calibri" w:hAnsi="Times New Roman"/>
          <w:color w:val="000000"/>
          <w:spacing w:val="9"/>
          <w:sz w:val="20"/>
          <w:szCs w:val="20"/>
          <w:lang w:val="en-IN" w:eastAsia="en-IN"/>
        </w:rPr>
        <w:t xml:space="preserve"> </w:t>
      </w:r>
      <w:r w:rsidRPr="001A423D">
        <w:rPr>
          <w:rFonts w:ascii="Times New Roman" w:eastAsia="Calibri" w:hAnsi="Times New Roman"/>
          <w:color w:val="000000"/>
          <w:spacing w:val="-1"/>
          <w:sz w:val="20"/>
          <w:szCs w:val="20"/>
          <w:lang w:val="en-IN" w:eastAsia="en-IN"/>
        </w:rPr>
        <w:t>(SCSBs)</w:t>
      </w:r>
      <w:r w:rsidRPr="001A423D">
        <w:rPr>
          <w:rFonts w:ascii="Times New Roman" w:eastAsia="Calibri" w:hAnsi="Times New Roman"/>
          <w:color w:val="000000"/>
          <w:spacing w:val="10"/>
          <w:sz w:val="20"/>
          <w:szCs w:val="20"/>
          <w:lang w:val="en-IN" w:eastAsia="en-IN"/>
        </w:rPr>
        <w:t xml:space="preserve"> </w:t>
      </w:r>
      <w:r w:rsidRPr="001A423D">
        <w:rPr>
          <w:rFonts w:ascii="Times New Roman" w:eastAsia="Calibri" w:hAnsi="Times New Roman"/>
          <w:color w:val="000000"/>
          <w:spacing w:val="-1"/>
          <w:sz w:val="20"/>
          <w:szCs w:val="20"/>
          <w:lang w:val="en-IN" w:eastAsia="en-IN"/>
        </w:rPr>
        <w:t>only</w:t>
      </w:r>
      <w:r w:rsidRPr="001A423D">
        <w:rPr>
          <w:rFonts w:ascii="Times New Roman" w:eastAsia="Calibri" w:hAnsi="Times New Roman"/>
          <w:color w:val="000000"/>
          <w:spacing w:val="10"/>
          <w:sz w:val="20"/>
          <w:szCs w:val="20"/>
          <w:lang w:val="en-IN" w:eastAsia="en-IN"/>
        </w:rPr>
        <w:t xml:space="preserve"> </w:t>
      </w:r>
      <w:r w:rsidRPr="001A423D">
        <w:rPr>
          <w:rFonts w:ascii="Times New Roman" w:eastAsia="Calibri" w:hAnsi="Times New Roman"/>
          <w:color w:val="000000"/>
          <w:spacing w:val="-1"/>
          <w:sz w:val="20"/>
          <w:szCs w:val="20"/>
          <w:lang w:val="en-IN" w:eastAsia="en-IN"/>
        </w:rPr>
        <w:t>after</w:t>
      </w:r>
      <w:r w:rsidRPr="001A423D">
        <w:rPr>
          <w:rFonts w:ascii="Times New Roman" w:eastAsia="Calibri" w:hAnsi="Times New Roman"/>
          <w:color w:val="000000"/>
          <w:spacing w:val="9"/>
          <w:sz w:val="20"/>
          <w:szCs w:val="20"/>
          <w:lang w:val="en-IN" w:eastAsia="en-IN"/>
        </w:rPr>
        <w:t xml:space="preserve"> </w:t>
      </w:r>
      <w:r w:rsidRPr="001A423D">
        <w:rPr>
          <w:rFonts w:ascii="Times New Roman" w:eastAsia="Calibri" w:hAnsi="Times New Roman"/>
          <w:color w:val="000000"/>
          <w:spacing w:val="-2"/>
          <w:sz w:val="20"/>
          <w:szCs w:val="20"/>
          <w:lang w:val="en-IN" w:eastAsia="en-IN"/>
        </w:rPr>
        <w:t>such</w:t>
      </w:r>
      <w:r w:rsidRPr="001A423D">
        <w:rPr>
          <w:rFonts w:ascii="Times New Roman" w:eastAsia="Calibri" w:hAnsi="Times New Roman"/>
          <w:color w:val="000000"/>
          <w:spacing w:val="10"/>
          <w:sz w:val="20"/>
          <w:szCs w:val="20"/>
          <w:lang w:val="en-IN" w:eastAsia="en-IN"/>
        </w:rPr>
        <w:t xml:space="preserve"> </w:t>
      </w:r>
      <w:r w:rsidRPr="001A423D">
        <w:rPr>
          <w:rFonts w:ascii="Times New Roman" w:eastAsia="Calibri" w:hAnsi="Times New Roman"/>
          <w:color w:val="000000"/>
          <w:spacing w:val="-1"/>
          <w:sz w:val="20"/>
          <w:szCs w:val="20"/>
          <w:lang w:val="en-IN" w:eastAsia="en-IN"/>
        </w:rPr>
        <w:t>banks</w:t>
      </w:r>
      <w:r w:rsidRPr="001A423D">
        <w:rPr>
          <w:rFonts w:ascii="Times New Roman" w:eastAsia="Calibri" w:hAnsi="Times New Roman"/>
          <w:color w:val="000000"/>
          <w:spacing w:val="9"/>
          <w:sz w:val="20"/>
          <w:szCs w:val="20"/>
          <w:lang w:val="en-IN" w:eastAsia="en-IN"/>
        </w:rPr>
        <w:t xml:space="preserve"> </w:t>
      </w:r>
      <w:r w:rsidRPr="001A423D">
        <w:rPr>
          <w:rFonts w:ascii="Times New Roman" w:eastAsia="Calibri" w:hAnsi="Times New Roman"/>
          <w:color w:val="000000"/>
          <w:spacing w:val="-1"/>
          <w:sz w:val="20"/>
          <w:szCs w:val="20"/>
          <w:lang w:val="en-IN" w:eastAsia="en-IN"/>
        </w:rPr>
        <w:t>provide</w:t>
      </w:r>
      <w:r w:rsidRPr="001A423D">
        <w:rPr>
          <w:rFonts w:ascii="Times New Roman" w:eastAsia="Calibri" w:hAnsi="Times New Roman"/>
          <w:color w:val="000000"/>
          <w:spacing w:val="12"/>
          <w:sz w:val="20"/>
          <w:szCs w:val="20"/>
          <w:lang w:val="en-IN" w:eastAsia="en-IN"/>
        </w:rPr>
        <w:t xml:space="preserve"> </w:t>
      </w:r>
      <w:r w:rsidRPr="001A423D">
        <w:rPr>
          <w:rFonts w:ascii="Times New Roman" w:eastAsia="Calibri" w:hAnsi="Times New Roman"/>
          <w:color w:val="000000"/>
          <w:sz w:val="20"/>
          <w:szCs w:val="20"/>
          <w:lang w:val="en-IN" w:eastAsia="en-IN"/>
        </w:rPr>
        <w:t xml:space="preserve">a </w:t>
      </w:r>
      <w:r w:rsidRPr="001A423D">
        <w:rPr>
          <w:rFonts w:ascii="Times New Roman" w:eastAsia="Calibri" w:hAnsi="Times New Roman"/>
          <w:color w:val="000000"/>
          <w:spacing w:val="-1"/>
          <w:sz w:val="20"/>
          <w:szCs w:val="20"/>
          <w:lang w:val="en-IN" w:eastAsia="en-IN"/>
        </w:rPr>
        <w:t>written</w:t>
      </w:r>
      <w:r w:rsidRPr="001A423D">
        <w:rPr>
          <w:rFonts w:ascii="Times New Roman" w:eastAsia="Calibri" w:hAnsi="Times New Roman"/>
          <w:color w:val="000000"/>
          <w:spacing w:val="-18"/>
          <w:sz w:val="20"/>
          <w:szCs w:val="20"/>
          <w:lang w:val="en-IN" w:eastAsia="en-IN"/>
        </w:rPr>
        <w:t xml:space="preserve"> </w:t>
      </w:r>
      <w:r w:rsidRPr="001A423D">
        <w:rPr>
          <w:rFonts w:ascii="Times New Roman" w:eastAsia="Calibri" w:hAnsi="Times New Roman"/>
          <w:color w:val="000000"/>
          <w:spacing w:val="-1"/>
          <w:sz w:val="20"/>
          <w:szCs w:val="20"/>
          <w:lang w:val="en-IN" w:eastAsia="en-IN"/>
        </w:rPr>
        <w:t>confirmation</w:t>
      </w:r>
      <w:r w:rsidRPr="001A423D">
        <w:rPr>
          <w:rFonts w:ascii="Times New Roman" w:eastAsia="Calibri" w:hAnsi="Times New Roman"/>
          <w:color w:val="000000"/>
          <w:spacing w:val="-15"/>
          <w:sz w:val="20"/>
          <w:szCs w:val="20"/>
          <w:lang w:val="en-IN" w:eastAsia="en-IN"/>
        </w:rPr>
        <w:t xml:space="preserve"> </w:t>
      </w:r>
      <w:r w:rsidRPr="001A423D">
        <w:rPr>
          <w:rFonts w:ascii="Times New Roman" w:eastAsia="Calibri" w:hAnsi="Times New Roman"/>
          <w:color w:val="000000"/>
          <w:spacing w:val="-1"/>
          <w:sz w:val="20"/>
          <w:szCs w:val="20"/>
          <w:lang w:val="en-IN" w:eastAsia="en-IN"/>
        </w:rPr>
        <w:t>on</w:t>
      </w:r>
      <w:r w:rsidRPr="001A423D">
        <w:rPr>
          <w:rFonts w:ascii="Times New Roman" w:eastAsia="Calibri" w:hAnsi="Times New Roman"/>
          <w:color w:val="000000"/>
          <w:spacing w:val="-14"/>
          <w:sz w:val="20"/>
          <w:szCs w:val="20"/>
          <w:lang w:val="en-IN" w:eastAsia="en-IN"/>
        </w:rPr>
        <w:t xml:space="preserve"> </w:t>
      </w:r>
      <w:r w:rsidRPr="001A423D">
        <w:rPr>
          <w:rFonts w:ascii="Times New Roman" w:eastAsia="Calibri" w:hAnsi="Times New Roman"/>
          <w:color w:val="000000"/>
          <w:spacing w:val="-1"/>
          <w:sz w:val="20"/>
          <w:szCs w:val="20"/>
          <w:lang w:val="en-IN" w:eastAsia="en-IN"/>
        </w:rPr>
        <w:t>compliance</w:t>
      </w:r>
      <w:r w:rsidRPr="001A423D">
        <w:rPr>
          <w:rFonts w:ascii="Times New Roman" w:eastAsia="Calibri" w:hAnsi="Times New Roman"/>
          <w:color w:val="000000"/>
          <w:spacing w:val="-15"/>
          <w:sz w:val="20"/>
          <w:szCs w:val="20"/>
          <w:lang w:val="en-IN" w:eastAsia="en-IN"/>
        </w:rPr>
        <w:t xml:space="preserve"> </w:t>
      </w:r>
      <w:r w:rsidRPr="001A423D">
        <w:rPr>
          <w:rFonts w:ascii="Times New Roman" w:eastAsia="Calibri" w:hAnsi="Times New Roman"/>
          <w:color w:val="000000"/>
          <w:spacing w:val="-1"/>
          <w:sz w:val="20"/>
          <w:szCs w:val="20"/>
          <w:lang w:val="en-IN" w:eastAsia="en-IN"/>
        </w:rPr>
        <w:t>with</w:t>
      </w:r>
      <w:r w:rsidRPr="001A423D">
        <w:rPr>
          <w:rFonts w:ascii="Times New Roman" w:eastAsia="Calibri" w:hAnsi="Times New Roman"/>
          <w:color w:val="000000"/>
          <w:spacing w:val="-15"/>
          <w:sz w:val="20"/>
          <w:szCs w:val="20"/>
          <w:lang w:val="en-IN" w:eastAsia="en-IN"/>
        </w:rPr>
        <w:t xml:space="preserve"> </w:t>
      </w:r>
      <w:r w:rsidRPr="001A423D">
        <w:rPr>
          <w:rFonts w:ascii="Times New Roman" w:eastAsia="Calibri" w:hAnsi="Times New Roman"/>
          <w:color w:val="000000"/>
          <w:spacing w:val="-2"/>
          <w:sz w:val="20"/>
          <w:szCs w:val="20"/>
          <w:lang w:val="en-IN" w:eastAsia="en-IN"/>
        </w:rPr>
        <w:t>SEBI</w:t>
      </w:r>
      <w:r w:rsidRPr="001A423D">
        <w:rPr>
          <w:rFonts w:ascii="Times New Roman" w:eastAsia="Calibri" w:hAnsi="Times New Roman"/>
          <w:color w:val="000000"/>
          <w:spacing w:val="-16"/>
          <w:sz w:val="20"/>
          <w:szCs w:val="20"/>
          <w:lang w:val="en-IN" w:eastAsia="en-IN"/>
        </w:rPr>
        <w:t xml:space="preserve"> </w:t>
      </w:r>
      <w:r w:rsidRPr="001A423D">
        <w:rPr>
          <w:rFonts w:ascii="Times New Roman" w:eastAsia="Calibri" w:hAnsi="Times New Roman"/>
          <w:color w:val="000000"/>
          <w:spacing w:val="-1"/>
          <w:sz w:val="20"/>
          <w:szCs w:val="20"/>
          <w:lang w:val="en-IN" w:eastAsia="en-IN"/>
        </w:rPr>
        <w:t>Circular</w:t>
      </w:r>
      <w:r w:rsidRPr="001A423D">
        <w:rPr>
          <w:rFonts w:ascii="Times New Roman" w:eastAsia="Calibri" w:hAnsi="Times New Roman"/>
          <w:color w:val="000000"/>
          <w:spacing w:val="-18"/>
          <w:sz w:val="20"/>
          <w:szCs w:val="20"/>
          <w:lang w:val="en-IN" w:eastAsia="en-IN"/>
        </w:rPr>
        <w:t xml:space="preserve"> </w:t>
      </w:r>
      <w:r w:rsidRPr="001A423D">
        <w:rPr>
          <w:rFonts w:ascii="Times New Roman" w:eastAsia="Calibri" w:hAnsi="Times New Roman"/>
          <w:color w:val="000000"/>
          <w:spacing w:val="-1"/>
          <w:sz w:val="20"/>
          <w:szCs w:val="20"/>
          <w:lang w:val="en-IN" w:eastAsia="en-IN"/>
        </w:rPr>
        <w:t>No:</w:t>
      </w:r>
      <w:r w:rsidRPr="001A423D">
        <w:rPr>
          <w:rFonts w:ascii="Times New Roman" w:eastAsia="Calibri" w:hAnsi="Times New Roman"/>
          <w:color w:val="000000"/>
          <w:spacing w:val="-11"/>
          <w:sz w:val="20"/>
          <w:szCs w:val="20"/>
          <w:lang w:val="en-IN" w:eastAsia="en-IN"/>
        </w:rPr>
        <w:t xml:space="preserve"> </w:t>
      </w:r>
      <w:r w:rsidRPr="001A423D">
        <w:rPr>
          <w:rFonts w:ascii="Times New Roman" w:eastAsia="Calibri" w:hAnsi="Times New Roman"/>
          <w:color w:val="000000"/>
          <w:spacing w:val="-2"/>
          <w:sz w:val="20"/>
          <w:szCs w:val="20"/>
          <w:lang w:val="en-IN" w:eastAsia="en-IN"/>
        </w:rPr>
        <w:t>SEBI/HO/CFD/DIL2/P/CIR/2021/570</w:t>
      </w:r>
      <w:r w:rsidRPr="001A423D">
        <w:rPr>
          <w:rFonts w:ascii="Times New Roman" w:eastAsia="Calibri" w:hAnsi="Times New Roman"/>
          <w:color w:val="000000"/>
          <w:spacing w:val="-16"/>
          <w:sz w:val="20"/>
          <w:szCs w:val="20"/>
          <w:lang w:val="en-IN" w:eastAsia="en-IN"/>
        </w:rPr>
        <w:t xml:space="preserve"> </w:t>
      </w:r>
      <w:r w:rsidRPr="001A423D">
        <w:rPr>
          <w:rFonts w:ascii="Times New Roman" w:eastAsia="Calibri" w:hAnsi="Times New Roman"/>
          <w:color w:val="000000"/>
          <w:spacing w:val="-1"/>
          <w:sz w:val="20"/>
          <w:szCs w:val="20"/>
          <w:lang w:val="en-IN" w:eastAsia="en-IN"/>
        </w:rPr>
        <w:t>dated</w:t>
      </w:r>
      <w:r w:rsidRPr="001A423D">
        <w:rPr>
          <w:rFonts w:ascii="Times New Roman" w:eastAsia="Calibri" w:hAnsi="Times New Roman"/>
          <w:color w:val="000000"/>
          <w:spacing w:val="-13"/>
          <w:sz w:val="20"/>
          <w:szCs w:val="20"/>
          <w:lang w:val="en-IN" w:eastAsia="en-IN"/>
        </w:rPr>
        <w:t xml:space="preserve"> </w:t>
      </w:r>
      <w:r w:rsidRPr="001A423D">
        <w:rPr>
          <w:rFonts w:ascii="Times New Roman" w:eastAsia="Calibri" w:hAnsi="Times New Roman"/>
          <w:color w:val="000000"/>
          <w:spacing w:val="-1"/>
          <w:sz w:val="20"/>
          <w:szCs w:val="20"/>
          <w:lang w:val="en-IN" w:eastAsia="en-IN"/>
        </w:rPr>
        <w:t>June</w:t>
      </w:r>
      <w:r w:rsidRPr="001A423D">
        <w:rPr>
          <w:rFonts w:ascii="Times New Roman" w:eastAsia="Calibri" w:hAnsi="Times New Roman"/>
          <w:color w:val="000000"/>
          <w:spacing w:val="-16"/>
          <w:sz w:val="20"/>
          <w:szCs w:val="20"/>
          <w:lang w:val="en-IN" w:eastAsia="en-IN"/>
        </w:rPr>
        <w:t xml:space="preserve"> </w:t>
      </w:r>
      <w:r w:rsidRPr="001A423D">
        <w:rPr>
          <w:rFonts w:ascii="Times New Roman" w:eastAsia="Calibri" w:hAnsi="Times New Roman"/>
          <w:color w:val="000000"/>
          <w:sz w:val="20"/>
          <w:szCs w:val="20"/>
          <w:lang w:val="en-IN" w:eastAsia="en-IN"/>
        </w:rPr>
        <w:t>2,</w:t>
      </w:r>
      <w:r w:rsidRPr="001A423D">
        <w:rPr>
          <w:rFonts w:ascii="Times New Roman" w:eastAsia="Calibri" w:hAnsi="Times New Roman"/>
          <w:color w:val="000000"/>
          <w:spacing w:val="-17"/>
          <w:sz w:val="20"/>
          <w:szCs w:val="20"/>
          <w:lang w:val="en-IN" w:eastAsia="en-IN"/>
        </w:rPr>
        <w:t xml:space="preserve"> </w:t>
      </w:r>
      <w:r w:rsidRPr="001A423D">
        <w:rPr>
          <w:rFonts w:ascii="Times New Roman" w:eastAsia="Calibri" w:hAnsi="Times New Roman"/>
          <w:color w:val="000000"/>
          <w:spacing w:val="-1"/>
          <w:sz w:val="20"/>
          <w:szCs w:val="20"/>
          <w:lang w:val="en-IN" w:eastAsia="en-IN"/>
        </w:rPr>
        <w:t>2021</w:t>
      </w:r>
      <w:r w:rsidRPr="001A423D">
        <w:rPr>
          <w:rFonts w:ascii="Times New Roman" w:eastAsia="Calibri" w:hAnsi="Times New Roman"/>
          <w:color w:val="000000"/>
          <w:spacing w:val="93"/>
          <w:w w:val="99"/>
          <w:sz w:val="20"/>
          <w:szCs w:val="20"/>
          <w:lang w:val="en-IN" w:eastAsia="en-IN"/>
        </w:rPr>
        <w:t xml:space="preserve"> </w:t>
      </w:r>
      <w:r w:rsidRPr="001A423D">
        <w:rPr>
          <w:rFonts w:ascii="Times New Roman" w:eastAsia="Calibri" w:hAnsi="Times New Roman"/>
          <w:color w:val="000000"/>
          <w:spacing w:val="-1"/>
          <w:sz w:val="20"/>
          <w:szCs w:val="20"/>
          <w:lang w:val="en-IN" w:eastAsia="en-IN"/>
        </w:rPr>
        <w:t>read</w:t>
      </w:r>
      <w:r w:rsidRPr="001A423D">
        <w:rPr>
          <w:rFonts w:ascii="Times New Roman" w:eastAsia="Calibri" w:hAnsi="Times New Roman"/>
          <w:color w:val="000000"/>
          <w:spacing w:val="-11"/>
          <w:sz w:val="20"/>
          <w:szCs w:val="20"/>
          <w:lang w:val="en-IN" w:eastAsia="en-IN"/>
        </w:rPr>
        <w:t xml:space="preserve"> </w:t>
      </w:r>
      <w:r w:rsidRPr="001A423D">
        <w:rPr>
          <w:rFonts w:ascii="Times New Roman" w:eastAsia="Calibri" w:hAnsi="Times New Roman"/>
          <w:color w:val="000000"/>
          <w:spacing w:val="-1"/>
          <w:sz w:val="20"/>
          <w:szCs w:val="20"/>
          <w:lang w:val="en-IN" w:eastAsia="en-IN"/>
        </w:rPr>
        <w:t>with</w:t>
      </w:r>
      <w:r w:rsidRPr="001A423D">
        <w:rPr>
          <w:rFonts w:ascii="Times New Roman" w:eastAsia="Calibri" w:hAnsi="Times New Roman"/>
          <w:color w:val="000000"/>
          <w:spacing w:val="-9"/>
          <w:sz w:val="20"/>
          <w:szCs w:val="20"/>
          <w:lang w:val="en-IN" w:eastAsia="en-IN"/>
        </w:rPr>
        <w:t xml:space="preserve"> </w:t>
      </w:r>
      <w:r w:rsidRPr="001A423D">
        <w:rPr>
          <w:rFonts w:ascii="Times New Roman" w:eastAsia="Calibri" w:hAnsi="Times New Roman"/>
          <w:color w:val="000000"/>
          <w:spacing w:val="-2"/>
          <w:sz w:val="20"/>
          <w:szCs w:val="20"/>
          <w:lang w:val="en-IN" w:eastAsia="en-IN"/>
        </w:rPr>
        <w:t>SEBI</w:t>
      </w:r>
      <w:r w:rsidRPr="001A423D">
        <w:rPr>
          <w:rFonts w:ascii="Times New Roman" w:eastAsia="Calibri" w:hAnsi="Times New Roman"/>
          <w:color w:val="000000"/>
          <w:spacing w:val="-9"/>
          <w:sz w:val="20"/>
          <w:szCs w:val="20"/>
          <w:lang w:val="en-IN" w:eastAsia="en-IN"/>
        </w:rPr>
        <w:t xml:space="preserve"> </w:t>
      </w:r>
      <w:r w:rsidRPr="001A423D">
        <w:rPr>
          <w:rFonts w:ascii="Times New Roman" w:eastAsia="Calibri" w:hAnsi="Times New Roman"/>
          <w:color w:val="000000"/>
          <w:spacing w:val="-1"/>
          <w:sz w:val="20"/>
          <w:szCs w:val="20"/>
          <w:lang w:val="en-IN" w:eastAsia="en-IN"/>
        </w:rPr>
        <w:t>Circular</w:t>
      </w:r>
      <w:r w:rsidRPr="001A423D">
        <w:rPr>
          <w:rFonts w:ascii="Times New Roman" w:eastAsia="Calibri" w:hAnsi="Times New Roman"/>
          <w:color w:val="000000"/>
          <w:spacing w:val="-8"/>
          <w:sz w:val="20"/>
          <w:szCs w:val="20"/>
          <w:lang w:val="en-IN" w:eastAsia="en-IN"/>
        </w:rPr>
        <w:t xml:space="preserve"> </w:t>
      </w:r>
      <w:r w:rsidRPr="001A423D">
        <w:rPr>
          <w:rFonts w:ascii="Times New Roman" w:eastAsia="Calibri" w:hAnsi="Times New Roman"/>
          <w:color w:val="000000"/>
          <w:spacing w:val="-1"/>
          <w:sz w:val="20"/>
          <w:szCs w:val="20"/>
          <w:lang w:val="en-IN" w:eastAsia="en-IN"/>
        </w:rPr>
        <w:t>No:</w:t>
      </w:r>
      <w:r w:rsidRPr="001A423D">
        <w:rPr>
          <w:rFonts w:ascii="Times New Roman" w:eastAsia="Calibri" w:hAnsi="Times New Roman"/>
          <w:color w:val="000000"/>
          <w:spacing w:val="-10"/>
          <w:sz w:val="20"/>
          <w:szCs w:val="20"/>
          <w:lang w:val="en-IN" w:eastAsia="en-IN"/>
        </w:rPr>
        <w:t xml:space="preserve"> </w:t>
      </w:r>
      <w:r w:rsidRPr="001A423D">
        <w:rPr>
          <w:rFonts w:ascii="Times New Roman" w:eastAsia="Calibri" w:hAnsi="Times New Roman"/>
          <w:color w:val="000000"/>
          <w:spacing w:val="-1"/>
          <w:sz w:val="20"/>
          <w:szCs w:val="20"/>
          <w:lang w:val="en-IN" w:eastAsia="en-IN"/>
        </w:rPr>
        <w:t>SEBI/HO/CFD/DIL2/CIR/P/2021/2480/1/M</w:t>
      </w:r>
      <w:r w:rsidRPr="001A423D">
        <w:rPr>
          <w:rFonts w:ascii="Times New Roman" w:eastAsia="Calibri" w:hAnsi="Times New Roman"/>
          <w:color w:val="000000"/>
          <w:spacing w:val="-11"/>
          <w:sz w:val="20"/>
          <w:szCs w:val="20"/>
          <w:lang w:val="en-IN" w:eastAsia="en-IN"/>
        </w:rPr>
        <w:t xml:space="preserve"> </w:t>
      </w:r>
      <w:r w:rsidRPr="001A423D">
        <w:rPr>
          <w:rFonts w:ascii="Times New Roman" w:eastAsia="Calibri" w:hAnsi="Times New Roman"/>
          <w:color w:val="000000"/>
          <w:spacing w:val="-1"/>
          <w:sz w:val="20"/>
          <w:szCs w:val="20"/>
          <w:lang w:val="en-IN" w:eastAsia="en-IN"/>
        </w:rPr>
        <w:t>dated</w:t>
      </w:r>
      <w:r w:rsidRPr="001A423D">
        <w:rPr>
          <w:rFonts w:ascii="Times New Roman" w:eastAsia="Calibri" w:hAnsi="Times New Roman"/>
          <w:color w:val="000000"/>
          <w:spacing w:val="-8"/>
          <w:sz w:val="20"/>
          <w:szCs w:val="20"/>
          <w:lang w:val="en-IN" w:eastAsia="en-IN"/>
        </w:rPr>
        <w:t xml:space="preserve"> </w:t>
      </w:r>
      <w:r w:rsidRPr="001A423D">
        <w:rPr>
          <w:rFonts w:ascii="Times New Roman" w:eastAsia="Calibri" w:hAnsi="Times New Roman"/>
          <w:color w:val="000000"/>
          <w:spacing w:val="-2"/>
          <w:sz w:val="20"/>
          <w:szCs w:val="20"/>
          <w:lang w:val="en-IN" w:eastAsia="en-IN"/>
        </w:rPr>
        <w:t>March</w:t>
      </w:r>
      <w:r w:rsidRPr="001A423D">
        <w:rPr>
          <w:rFonts w:ascii="Times New Roman" w:eastAsia="Calibri" w:hAnsi="Times New Roman"/>
          <w:color w:val="000000"/>
          <w:spacing w:val="-9"/>
          <w:sz w:val="20"/>
          <w:szCs w:val="20"/>
          <w:lang w:val="en-IN" w:eastAsia="en-IN"/>
        </w:rPr>
        <w:t xml:space="preserve"> </w:t>
      </w:r>
      <w:r w:rsidRPr="001A423D">
        <w:rPr>
          <w:rFonts w:ascii="Times New Roman" w:eastAsia="Calibri" w:hAnsi="Times New Roman"/>
          <w:color w:val="000000"/>
          <w:spacing w:val="-1"/>
          <w:sz w:val="20"/>
          <w:szCs w:val="20"/>
          <w:lang w:val="en-IN" w:eastAsia="en-IN"/>
        </w:rPr>
        <w:t>16,</w:t>
      </w:r>
      <w:r w:rsidRPr="001A423D">
        <w:rPr>
          <w:rFonts w:ascii="Times New Roman" w:eastAsia="Calibri" w:hAnsi="Times New Roman"/>
          <w:color w:val="000000"/>
          <w:spacing w:val="-9"/>
          <w:sz w:val="20"/>
          <w:szCs w:val="20"/>
          <w:lang w:val="en-IN" w:eastAsia="en-IN"/>
        </w:rPr>
        <w:t xml:space="preserve"> </w:t>
      </w:r>
      <w:r w:rsidRPr="001A423D">
        <w:rPr>
          <w:rFonts w:ascii="Times New Roman" w:eastAsia="Calibri" w:hAnsi="Times New Roman"/>
          <w:color w:val="000000"/>
          <w:spacing w:val="-1"/>
          <w:sz w:val="20"/>
          <w:szCs w:val="20"/>
          <w:lang w:val="en-IN" w:eastAsia="en-IN"/>
        </w:rPr>
        <w:t>2021</w:t>
      </w:r>
      <w:r w:rsidRPr="001A423D">
        <w:rPr>
          <w:rFonts w:ascii="Times New Roman" w:eastAsia="Calibri" w:hAnsi="Times New Roman"/>
          <w:i/>
          <w:sz w:val="20"/>
          <w:szCs w:val="20"/>
          <w:lang w:val="en-IN" w:eastAsia="en-IN"/>
        </w:rPr>
        <w:t>.</w:t>
      </w:r>
    </w:p>
    <w:p w14:paraId="2C265B32"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sz w:val="20"/>
          <w:szCs w:val="20"/>
          <w:lang w:val="en-IN" w:eastAsia="en-IN"/>
        </w:rPr>
      </w:pPr>
    </w:p>
    <w:p w14:paraId="56854F8D"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b/>
          <w:sz w:val="20"/>
          <w:szCs w:val="20"/>
          <w:lang w:val="en-IN" w:eastAsia="en-IN"/>
        </w:rPr>
      </w:pPr>
      <w:r w:rsidRPr="001A423D">
        <w:rPr>
          <w:rFonts w:ascii="Times New Roman" w:eastAsia="Calibri" w:hAnsi="Times New Roman"/>
          <w:b/>
          <w:sz w:val="20"/>
          <w:szCs w:val="20"/>
          <w:lang w:val="en-IN" w:eastAsia="en-IN"/>
        </w:rPr>
        <w:t>Proposed Schedule of Implementation:</w:t>
      </w:r>
    </w:p>
    <w:p w14:paraId="5349AB83"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b/>
          <w:sz w:val="20"/>
          <w:szCs w:val="20"/>
          <w:lang w:val="en-IN" w:eastAsia="en-IN"/>
        </w:rPr>
      </w:pPr>
    </w:p>
    <w:p w14:paraId="4C45B1E2"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sz w:val="20"/>
          <w:szCs w:val="20"/>
          <w:lang w:val="en-IN" w:eastAsia="en-IN"/>
        </w:rPr>
      </w:pPr>
      <w:r w:rsidRPr="001A423D">
        <w:rPr>
          <w:rFonts w:ascii="Times New Roman" w:eastAsia="Calibri" w:hAnsi="Times New Roman"/>
          <w:sz w:val="20"/>
          <w:szCs w:val="20"/>
          <w:lang w:val="en-IN" w:eastAsia="en-IN"/>
        </w:rPr>
        <w:t>The proposed year wise break up of deployment of funds and Schedule of Implementation of Net Issue Proceeds is as under:</w:t>
      </w:r>
    </w:p>
    <w:p w14:paraId="28C5F728" w14:textId="77777777" w:rsidR="00CB2D76" w:rsidRPr="001A423D" w:rsidRDefault="00CB2D76" w:rsidP="00CB2D76">
      <w:pPr>
        <w:autoSpaceDE w:val="0"/>
        <w:autoSpaceDN w:val="0"/>
        <w:adjustRightInd w:val="0"/>
        <w:spacing w:after="0" w:line="240" w:lineRule="auto"/>
        <w:rPr>
          <w:rFonts w:ascii="Times New Roman" w:eastAsia="Calibri" w:hAnsi="Times New Roman"/>
          <w:sz w:val="20"/>
          <w:szCs w:val="20"/>
          <w:lang w:val="en-IN" w:eastAsia="en-IN"/>
        </w:rPr>
      </w:pPr>
    </w:p>
    <w:p w14:paraId="4DA77B05" w14:textId="77777777" w:rsidR="00CB2D76" w:rsidRPr="001A423D" w:rsidRDefault="00CB2D76" w:rsidP="00CB2D76">
      <w:pPr>
        <w:autoSpaceDE w:val="0"/>
        <w:autoSpaceDN w:val="0"/>
        <w:adjustRightInd w:val="0"/>
        <w:spacing w:after="0" w:line="240" w:lineRule="auto"/>
        <w:jc w:val="right"/>
        <w:rPr>
          <w:rFonts w:ascii="Times New Roman" w:eastAsia="Calibri" w:hAnsi="Times New Roman"/>
          <w:sz w:val="20"/>
          <w:szCs w:val="20"/>
          <w:lang w:val="en-IN" w:eastAsia="en-IN"/>
        </w:rPr>
      </w:pPr>
      <w:r w:rsidRPr="001A423D">
        <w:rPr>
          <w:rFonts w:ascii="Times New Roman" w:eastAsia="Calibri" w:hAnsi="Times New Roman"/>
          <w:b/>
          <w:bCs/>
          <w:color w:val="000000"/>
          <w:sz w:val="20"/>
          <w:szCs w:val="20"/>
          <w:lang w:val="en-IN" w:eastAsia="en-IN"/>
        </w:rPr>
        <w:t>(</w:t>
      </w:r>
      <w:r w:rsidRPr="001A423D">
        <w:rPr>
          <w:rFonts w:ascii="Times New Roman" w:eastAsia="Calibri" w:hAnsi="Times New Roman"/>
          <w:b/>
          <w:color w:val="000000"/>
          <w:sz w:val="20"/>
          <w:szCs w:val="20"/>
          <w:lang w:val="en-IN" w:eastAsia="en-IN"/>
        </w:rPr>
        <w:t>₹</w:t>
      </w:r>
      <w:r w:rsidRPr="001A423D">
        <w:rPr>
          <w:rFonts w:ascii="Times New Roman" w:eastAsia="Calibri" w:hAnsi="Times New Roman"/>
          <w:b/>
          <w:bCs/>
          <w:color w:val="000000"/>
          <w:sz w:val="20"/>
          <w:szCs w:val="20"/>
          <w:lang w:val="en-IN" w:eastAsia="en-IN"/>
        </w:rPr>
        <w:t xml:space="preserve"> in Lakhs)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6945"/>
        <w:gridCol w:w="2664"/>
      </w:tblGrid>
      <w:tr w:rsidR="00CB2D76" w:rsidRPr="001A423D" w14:paraId="0B9D6D56" w14:textId="77777777" w:rsidTr="009C1E14">
        <w:trPr>
          <w:trHeight w:val="20"/>
        </w:trPr>
        <w:tc>
          <w:tcPr>
            <w:tcW w:w="405" w:type="pct"/>
            <w:shd w:val="clear" w:color="auto" w:fill="D0CECE"/>
          </w:tcPr>
          <w:p w14:paraId="2D273F37" w14:textId="77777777" w:rsidR="00CB2D76" w:rsidRPr="001A423D" w:rsidRDefault="00CB2D76" w:rsidP="009C1E14">
            <w:pPr>
              <w:spacing w:after="0" w:line="240" w:lineRule="auto"/>
              <w:rPr>
                <w:rFonts w:ascii="Times New Roman" w:hAnsi="Times New Roman"/>
                <w:b/>
                <w:bCs/>
                <w:sz w:val="20"/>
                <w:szCs w:val="20"/>
              </w:rPr>
            </w:pPr>
            <w:r w:rsidRPr="001A423D">
              <w:rPr>
                <w:rFonts w:ascii="Times New Roman" w:hAnsi="Times New Roman"/>
                <w:b/>
                <w:bCs/>
                <w:sz w:val="20"/>
                <w:szCs w:val="20"/>
              </w:rPr>
              <w:t>S. No.</w:t>
            </w:r>
          </w:p>
        </w:tc>
        <w:tc>
          <w:tcPr>
            <w:tcW w:w="3321" w:type="pct"/>
            <w:shd w:val="clear" w:color="auto" w:fill="D0CECE"/>
          </w:tcPr>
          <w:p w14:paraId="55B0F6FF" w14:textId="77777777" w:rsidR="00CB2D76" w:rsidRPr="001A423D" w:rsidRDefault="00CB2D76" w:rsidP="009C1E14">
            <w:pPr>
              <w:spacing w:after="0" w:line="240" w:lineRule="auto"/>
              <w:rPr>
                <w:rFonts w:ascii="Times New Roman" w:hAnsi="Times New Roman"/>
                <w:bCs/>
                <w:sz w:val="20"/>
                <w:szCs w:val="20"/>
              </w:rPr>
            </w:pPr>
            <w:r w:rsidRPr="001A423D">
              <w:rPr>
                <w:rFonts w:ascii="Times New Roman" w:hAnsi="Times New Roman"/>
                <w:b/>
                <w:bCs/>
                <w:sz w:val="20"/>
                <w:szCs w:val="20"/>
              </w:rPr>
              <w:t>Particulars</w:t>
            </w:r>
          </w:p>
        </w:tc>
        <w:tc>
          <w:tcPr>
            <w:tcW w:w="1274" w:type="pct"/>
            <w:shd w:val="clear" w:color="auto" w:fill="D0CECE"/>
          </w:tcPr>
          <w:p w14:paraId="01008290" w14:textId="77777777" w:rsidR="00CB2D76" w:rsidRPr="001A423D" w:rsidRDefault="00CB2D76" w:rsidP="009C1E14">
            <w:pPr>
              <w:spacing w:after="0" w:line="240" w:lineRule="auto"/>
              <w:jc w:val="center"/>
              <w:rPr>
                <w:rFonts w:ascii="Times New Roman" w:hAnsi="Times New Roman"/>
                <w:b/>
                <w:bCs/>
                <w:sz w:val="20"/>
                <w:szCs w:val="20"/>
              </w:rPr>
            </w:pPr>
            <w:r w:rsidRPr="001A423D">
              <w:rPr>
                <w:rFonts w:ascii="Times New Roman" w:hAnsi="Times New Roman"/>
                <w:b/>
                <w:bCs/>
                <w:sz w:val="20"/>
                <w:szCs w:val="20"/>
              </w:rPr>
              <w:t>Amount to be deployed and utilized in F.Y. 23-24</w:t>
            </w:r>
          </w:p>
        </w:tc>
      </w:tr>
      <w:tr w:rsidR="00CB2D76" w:rsidRPr="001A423D" w14:paraId="17165D35" w14:textId="77777777" w:rsidTr="009C1E14">
        <w:trPr>
          <w:trHeight w:val="20"/>
        </w:trPr>
        <w:tc>
          <w:tcPr>
            <w:tcW w:w="405" w:type="pct"/>
            <w:shd w:val="clear" w:color="auto" w:fill="auto"/>
          </w:tcPr>
          <w:p w14:paraId="3178375D" w14:textId="77777777" w:rsidR="00CB2D76" w:rsidRPr="001A423D" w:rsidRDefault="00CB2D76" w:rsidP="009C1E14">
            <w:pPr>
              <w:spacing w:after="0" w:line="240" w:lineRule="auto"/>
              <w:jc w:val="center"/>
              <w:rPr>
                <w:rFonts w:ascii="Times New Roman" w:hAnsi="Times New Roman"/>
                <w:bCs/>
                <w:sz w:val="20"/>
                <w:szCs w:val="20"/>
              </w:rPr>
            </w:pPr>
            <w:r>
              <w:rPr>
                <w:rFonts w:ascii="Times New Roman" w:hAnsi="Times New Roman"/>
                <w:bCs/>
                <w:sz w:val="20"/>
                <w:szCs w:val="20"/>
              </w:rPr>
              <w:t>1</w:t>
            </w:r>
            <w:r w:rsidRPr="001A423D">
              <w:rPr>
                <w:rFonts w:ascii="Times New Roman" w:hAnsi="Times New Roman"/>
                <w:bCs/>
                <w:sz w:val="20"/>
                <w:szCs w:val="20"/>
              </w:rPr>
              <w:t>.</w:t>
            </w:r>
          </w:p>
        </w:tc>
        <w:tc>
          <w:tcPr>
            <w:tcW w:w="3321" w:type="pct"/>
            <w:shd w:val="clear" w:color="auto" w:fill="auto"/>
          </w:tcPr>
          <w:p w14:paraId="6BF0B5D3" w14:textId="77777777" w:rsidR="00CB2D76" w:rsidRPr="001A423D" w:rsidRDefault="00CB2D76" w:rsidP="009C1E14">
            <w:pPr>
              <w:autoSpaceDE w:val="0"/>
              <w:autoSpaceDN w:val="0"/>
              <w:adjustRightInd w:val="0"/>
              <w:spacing w:after="0" w:line="240" w:lineRule="auto"/>
              <w:jc w:val="both"/>
              <w:rPr>
                <w:rFonts w:ascii="Times New Roman" w:eastAsia="Calibri" w:hAnsi="Times New Roman"/>
                <w:bCs/>
                <w:color w:val="000000"/>
                <w:sz w:val="20"/>
                <w:szCs w:val="20"/>
                <w:lang w:val="en-IN" w:eastAsia="en-IN"/>
              </w:rPr>
            </w:pPr>
            <w:r w:rsidRPr="00DC564D">
              <w:rPr>
                <w:rFonts w:ascii="Times New Roman" w:eastAsia="Calibri" w:hAnsi="Times New Roman"/>
                <w:bCs/>
                <w:sz w:val="20"/>
                <w:szCs w:val="20"/>
                <w:lang w:eastAsia="en-IN"/>
              </w:rPr>
              <w:t>Repayment of a portion of certain borrowing availed by our Company</w:t>
            </w:r>
          </w:p>
        </w:tc>
        <w:tc>
          <w:tcPr>
            <w:tcW w:w="1274" w:type="pct"/>
          </w:tcPr>
          <w:p w14:paraId="0C7C4958" w14:textId="187A0803" w:rsidR="00CB2D76" w:rsidRPr="001A423D" w:rsidRDefault="00CB2D76" w:rsidP="009C1E14">
            <w:pPr>
              <w:spacing w:after="0" w:line="240" w:lineRule="auto"/>
              <w:jc w:val="center"/>
              <w:rPr>
                <w:rFonts w:ascii="Times New Roman" w:hAnsi="Times New Roman"/>
                <w:bCs/>
                <w:sz w:val="20"/>
                <w:szCs w:val="20"/>
                <w:lang w:bidi="en-US"/>
              </w:rPr>
            </w:pPr>
            <w:r>
              <w:rPr>
                <w:rFonts w:ascii="Times New Roman" w:hAnsi="Times New Roman"/>
                <w:bCs/>
                <w:sz w:val="20"/>
                <w:szCs w:val="20"/>
                <w:lang w:bidi="en-US"/>
              </w:rPr>
              <w:t>1,800.00</w:t>
            </w:r>
          </w:p>
        </w:tc>
      </w:tr>
      <w:tr w:rsidR="00CB2D76" w:rsidRPr="001A423D" w14:paraId="12A7406C" w14:textId="77777777" w:rsidTr="009C1E14">
        <w:trPr>
          <w:trHeight w:val="20"/>
        </w:trPr>
        <w:tc>
          <w:tcPr>
            <w:tcW w:w="405" w:type="pct"/>
            <w:shd w:val="clear" w:color="auto" w:fill="auto"/>
          </w:tcPr>
          <w:p w14:paraId="5002827C" w14:textId="77777777" w:rsidR="00CB2D76" w:rsidRPr="001A423D" w:rsidRDefault="00CB2D76" w:rsidP="009C1E14">
            <w:pPr>
              <w:spacing w:after="0" w:line="240" w:lineRule="auto"/>
              <w:jc w:val="center"/>
              <w:rPr>
                <w:rFonts w:ascii="Times New Roman" w:hAnsi="Times New Roman"/>
                <w:bCs/>
                <w:sz w:val="20"/>
                <w:szCs w:val="20"/>
              </w:rPr>
            </w:pPr>
            <w:r>
              <w:rPr>
                <w:rFonts w:ascii="Times New Roman" w:hAnsi="Times New Roman"/>
                <w:bCs/>
                <w:sz w:val="20"/>
                <w:szCs w:val="20"/>
              </w:rPr>
              <w:t>2</w:t>
            </w:r>
            <w:r w:rsidRPr="001A423D">
              <w:rPr>
                <w:rFonts w:ascii="Times New Roman" w:hAnsi="Times New Roman"/>
                <w:bCs/>
                <w:sz w:val="20"/>
                <w:szCs w:val="20"/>
              </w:rPr>
              <w:t>.</w:t>
            </w:r>
          </w:p>
        </w:tc>
        <w:tc>
          <w:tcPr>
            <w:tcW w:w="3321" w:type="pct"/>
            <w:shd w:val="clear" w:color="auto" w:fill="auto"/>
          </w:tcPr>
          <w:p w14:paraId="0B54ACC9" w14:textId="77777777" w:rsidR="00CB2D76" w:rsidRPr="001A423D" w:rsidRDefault="00CB2D76" w:rsidP="009C1E14">
            <w:pPr>
              <w:spacing w:after="0" w:line="240" w:lineRule="auto"/>
              <w:rPr>
                <w:rFonts w:ascii="Times New Roman" w:hAnsi="Times New Roman"/>
                <w:sz w:val="20"/>
                <w:szCs w:val="20"/>
              </w:rPr>
            </w:pPr>
            <w:r w:rsidRPr="001A423D">
              <w:rPr>
                <w:rFonts w:ascii="Times New Roman" w:hAnsi="Times New Roman"/>
                <w:sz w:val="20"/>
                <w:szCs w:val="20"/>
              </w:rPr>
              <w:t>General Corporate Purpose</w:t>
            </w:r>
          </w:p>
        </w:tc>
        <w:tc>
          <w:tcPr>
            <w:tcW w:w="1274" w:type="pct"/>
          </w:tcPr>
          <w:p w14:paraId="4A755769" w14:textId="77777777" w:rsidR="00CB2D76" w:rsidRPr="001A423D" w:rsidRDefault="00CB2D76" w:rsidP="009C1E14">
            <w:pPr>
              <w:spacing w:after="0" w:line="240" w:lineRule="auto"/>
              <w:jc w:val="center"/>
              <w:rPr>
                <w:rFonts w:ascii="Times New Roman" w:hAnsi="Times New Roman"/>
                <w:sz w:val="20"/>
                <w:szCs w:val="20"/>
              </w:rPr>
            </w:pPr>
            <w:r w:rsidRPr="001A423D">
              <w:rPr>
                <w:rFonts w:ascii="Times New Roman" w:hAnsi="Times New Roman"/>
                <w:bCs/>
                <w:sz w:val="20"/>
                <w:szCs w:val="20"/>
                <w:lang w:bidi="en-US"/>
              </w:rPr>
              <w:t>[●]</w:t>
            </w:r>
          </w:p>
        </w:tc>
      </w:tr>
      <w:tr w:rsidR="00CB2D76" w:rsidRPr="001A423D" w14:paraId="3275FE72" w14:textId="77777777" w:rsidTr="009C1E14">
        <w:trPr>
          <w:trHeight w:val="20"/>
        </w:trPr>
        <w:tc>
          <w:tcPr>
            <w:tcW w:w="405" w:type="pct"/>
            <w:shd w:val="clear" w:color="auto" w:fill="auto"/>
          </w:tcPr>
          <w:p w14:paraId="355F2A94" w14:textId="77777777" w:rsidR="00CB2D76" w:rsidRPr="001A423D" w:rsidRDefault="00CB2D76" w:rsidP="009C1E14">
            <w:pPr>
              <w:spacing w:after="0" w:line="240" w:lineRule="auto"/>
              <w:jc w:val="center"/>
              <w:rPr>
                <w:rFonts w:ascii="Times New Roman" w:hAnsi="Times New Roman"/>
                <w:bCs/>
                <w:sz w:val="20"/>
                <w:szCs w:val="20"/>
              </w:rPr>
            </w:pPr>
            <w:r>
              <w:rPr>
                <w:rFonts w:ascii="Times New Roman" w:hAnsi="Times New Roman"/>
                <w:bCs/>
                <w:sz w:val="20"/>
                <w:szCs w:val="20"/>
              </w:rPr>
              <w:t>3</w:t>
            </w:r>
            <w:r w:rsidRPr="001A423D">
              <w:rPr>
                <w:rFonts w:ascii="Times New Roman" w:hAnsi="Times New Roman"/>
                <w:bCs/>
                <w:sz w:val="20"/>
                <w:szCs w:val="20"/>
              </w:rPr>
              <w:t>.</w:t>
            </w:r>
          </w:p>
        </w:tc>
        <w:tc>
          <w:tcPr>
            <w:tcW w:w="3321" w:type="pct"/>
            <w:shd w:val="clear" w:color="auto" w:fill="auto"/>
          </w:tcPr>
          <w:p w14:paraId="1EF14436" w14:textId="77777777" w:rsidR="00CB2D76" w:rsidRPr="001A423D" w:rsidRDefault="00CB2D76" w:rsidP="009C1E14">
            <w:pPr>
              <w:spacing w:after="0" w:line="240" w:lineRule="auto"/>
              <w:rPr>
                <w:rFonts w:ascii="Times New Roman" w:hAnsi="Times New Roman"/>
                <w:sz w:val="20"/>
                <w:szCs w:val="20"/>
              </w:rPr>
            </w:pPr>
            <w:r w:rsidRPr="001A423D">
              <w:rPr>
                <w:rFonts w:ascii="Times New Roman" w:hAnsi="Times New Roman"/>
                <w:bCs/>
                <w:sz w:val="20"/>
                <w:szCs w:val="20"/>
              </w:rPr>
              <w:t>Issue Expenses</w:t>
            </w:r>
          </w:p>
        </w:tc>
        <w:tc>
          <w:tcPr>
            <w:tcW w:w="1274" w:type="pct"/>
          </w:tcPr>
          <w:p w14:paraId="28D29A4B" w14:textId="77777777" w:rsidR="00CB2D76" w:rsidRPr="001A423D" w:rsidRDefault="00CB2D76" w:rsidP="009C1E14">
            <w:pPr>
              <w:spacing w:after="0" w:line="240" w:lineRule="auto"/>
              <w:jc w:val="center"/>
              <w:rPr>
                <w:rFonts w:ascii="Times New Roman" w:hAnsi="Times New Roman"/>
                <w:sz w:val="20"/>
                <w:szCs w:val="20"/>
              </w:rPr>
            </w:pPr>
            <w:r w:rsidRPr="001A423D">
              <w:rPr>
                <w:rFonts w:ascii="Times New Roman" w:hAnsi="Times New Roman"/>
                <w:bCs/>
                <w:sz w:val="20"/>
                <w:szCs w:val="20"/>
                <w:lang w:bidi="en-US"/>
              </w:rPr>
              <w:t>[●]</w:t>
            </w:r>
          </w:p>
        </w:tc>
      </w:tr>
      <w:tr w:rsidR="00CB2D76" w:rsidRPr="001A423D" w14:paraId="60E4FD21" w14:textId="77777777" w:rsidTr="009C1E14">
        <w:trPr>
          <w:trHeight w:val="20"/>
        </w:trPr>
        <w:tc>
          <w:tcPr>
            <w:tcW w:w="405" w:type="pct"/>
            <w:shd w:val="clear" w:color="auto" w:fill="auto"/>
          </w:tcPr>
          <w:p w14:paraId="73AF3507" w14:textId="77777777" w:rsidR="00CB2D76" w:rsidRPr="001A423D" w:rsidRDefault="00CB2D76" w:rsidP="009C1E14">
            <w:pPr>
              <w:spacing w:after="0" w:line="240" w:lineRule="auto"/>
              <w:jc w:val="both"/>
              <w:rPr>
                <w:rFonts w:ascii="Times New Roman" w:hAnsi="Times New Roman"/>
                <w:b/>
                <w:bCs/>
                <w:sz w:val="20"/>
                <w:szCs w:val="20"/>
              </w:rPr>
            </w:pPr>
          </w:p>
        </w:tc>
        <w:tc>
          <w:tcPr>
            <w:tcW w:w="3321" w:type="pct"/>
            <w:shd w:val="clear" w:color="auto" w:fill="auto"/>
          </w:tcPr>
          <w:p w14:paraId="239230AD" w14:textId="77777777" w:rsidR="00CB2D76" w:rsidRPr="001A423D" w:rsidRDefault="00CB2D76" w:rsidP="009C1E14">
            <w:pPr>
              <w:spacing w:after="0" w:line="240" w:lineRule="auto"/>
              <w:jc w:val="both"/>
              <w:rPr>
                <w:rFonts w:ascii="Times New Roman" w:hAnsi="Times New Roman"/>
                <w:b/>
                <w:bCs/>
                <w:sz w:val="20"/>
                <w:szCs w:val="20"/>
              </w:rPr>
            </w:pPr>
            <w:r w:rsidRPr="001A423D">
              <w:rPr>
                <w:rFonts w:ascii="Times New Roman" w:hAnsi="Times New Roman"/>
                <w:b/>
                <w:bCs/>
                <w:sz w:val="20"/>
                <w:szCs w:val="20"/>
              </w:rPr>
              <w:t>Total</w:t>
            </w:r>
          </w:p>
        </w:tc>
        <w:tc>
          <w:tcPr>
            <w:tcW w:w="1274" w:type="pct"/>
          </w:tcPr>
          <w:p w14:paraId="3A621C50" w14:textId="77777777" w:rsidR="00CB2D76" w:rsidRPr="001A423D" w:rsidRDefault="00CB2D76" w:rsidP="009C1E14">
            <w:pPr>
              <w:spacing w:after="0" w:line="240" w:lineRule="auto"/>
              <w:jc w:val="center"/>
              <w:rPr>
                <w:rFonts w:ascii="Times New Roman" w:hAnsi="Times New Roman"/>
                <w:sz w:val="20"/>
                <w:szCs w:val="20"/>
              </w:rPr>
            </w:pPr>
            <w:r w:rsidRPr="001A423D">
              <w:rPr>
                <w:rFonts w:ascii="Times New Roman" w:hAnsi="Times New Roman"/>
                <w:bCs/>
                <w:sz w:val="20"/>
                <w:szCs w:val="20"/>
                <w:lang w:bidi="en-US"/>
              </w:rPr>
              <w:t>[●]</w:t>
            </w:r>
          </w:p>
        </w:tc>
      </w:tr>
    </w:tbl>
    <w:p w14:paraId="4BCFD38C"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sz w:val="20"/>
          <w:szCs w:val="20"/>
          <w:lang w:val="en-IN" w:eastAsia="en-IN"/>
        </w:rPr>
      </w:pPr>
    </w:p>
    <w:p w14:paraId="7EF385A9"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b/>
          <w:sz w:val="20"/>
          <w:szCs w:val="20"/>
          <w:lang w:val="en-IN" w:eastAsia="en-IN"/>
        </w:rPr>
      </w:pPr>
      <w:r w:rsidRPr="001A423D">
        <w:rPr>
          <w:rFonts w:ascii="Times New Roman" w:eastAsia="Calibri" w:hAnsi="Times New Roman"/>
          <w:b/>
          <w:sz w:val="20"/>
          <w:szCs w:val="20"/>
          <w:lang w:val="en-IN" w:eastAsia="en-IN"/>
        </w:rPr>
        <w:t>Funds Deployed and Source of Funds Deployed:</w:t>
      </w:r>
    </w:p>
    <w:p w14:paraId="5F5BA27F"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sz w:val="20"/>
          <w:szCs w:val="20"/>
          <w:lang w:val="en-IN" w:eastAsia="en-IN"/>
        </w:rPr>
      </w:pPr>
    </w:p>
    <w:p w14:paraId="5975D6F3" w14:textId="77777777" w:rsidR="00CB2D76" w:rsidRPr="001A423D" w:rsidRDefault="00CB2D76" w:rsidP="00CB2D76">
      <w:pPr>
        <w:autoSpaceDE w:val="0"/>
        <w:autoSpaceDN w:val="0"/>
        <w:adjustRightInd w:val="0"/>
        <w:spacing w:after="0" w:line="240" w:lineRule="auto"/>
        <w:jc w:val="both"/>
        <w:rPr>
          <w:rFonts w:ascii="Times New Roman" w:eastAsia="Calibri" w:hAnsi="Times New Roman"/>
          <w:sz w:val="20"/>
          <w:szCs w:val="20"/>
          <w:lang w:val="en-IN" w:eastAsia="en-IN"/>
        </w:rPr>
      </w:pPr>
      <w:r w:rsidRPr="001A423D">
        <w:rPr>
          <w:rFonts w:ascii="Times New Roman" w:eastAsia="Calibri" w:hAnsi="Times New Roman"/>
          <w:bCs/>
          <w:color w:val="000000"/>
          <w:sz w:val="20"/>
          <w:szCs w:val="20"/>
          <w:lang w:val="en-IN" w:eastAsia="en-IN" w:bidi="en-US"/>
        </w:rPr>
        <w:t>[●]</w:t>
      </w:r>
      <w:r w:rsidRPr="001A423D">
        <w:rPr>
          <w:rFonts w:ascii="Times New Roman" w:eastAsia="Calibri" w:hAnsi="Times New Roman"/>
          <w:sz w:val="20"/>
          <w:szCs w:val="20"/>
          <w:lang w:val="en-IN" w:eastAsia="en-IN"/>
        </w:rPr>
        <w:t xml:space="preserve">, Chartered Accountants vide their certificate dated </w:t>
      </w:r>
      <w:r w:rsidRPr="001A423D">
        <w:rPr>
          <w:rFonts w:ascii="Times New Roman" w:eastAsia="Calibri" w:hAnsi="Times New Roman"/>
          <w:bCs/>
          <w:color w:val="000000"/>
          <w:sz w:val="20"/>
          <w:szCs w:val="20"/>
          <w:lang w:val="en-IN" w:eastAsia="en-IN" w:bidi="en-US"/>
        </w:rPr>
        <w:t>[●]</w:t>
      </w:r>
      <w:r w:rsidRPr="001A423D">
        <w:rPr>
          <w:rFonts w:ascii="Times New Roman" w:eastAsia="Calibri" w:hAnsi="Times New Roman"/>
          <w:sz w:val="20"/>
          <w:szCs w:val="20"/>
          <w:lang w:val="en-IN" w:eastAsia="en-IN"/>
        </w:rPr>
        <w:t xml:space="preserve"> have confirmed that as on date of certificate the following funds have been deployed for the proposed object of the Issue:</w:t>
      </w:r>
    </w:p>
    <w:p w14:paraId="18C408F0" w14:textId="77777777" w:rsidR="00CB2D76" w:rsidRPr="001A423D" w:rsidRDefault="00CB2D76" w:rsidP="00CB2D76">
      <w:pPr>
        <w:autoSpaceDE w:val="0"/>
        <w:autoSpaceDN w:val="0"/>
        <w:adjustRightInd w:val="0"/>
        <w:spacing w:after="0" w:line="240" w:lineRule="auto"/>
        <w:jc w:val="right"/>
        <w:rPr>
          <w:rFonts w:ascii="Times New Roman" w:eastAsia="Calibri" w:hAnsi="Times New Roman"/>
          <w:sz w:val="20"/>
          <w:szCs w:val="20"/>
          <w:lang w:val="en-IN" w:eastAsia="en-IN"/>
        </w:rPr>
      </w:pPr>
      <w:r w:rsidRPr="001A423D">
        <w:rPr>
          <w:rFonts w:ascii="Times New Roman" w:eastAsia="Calibri" w:hAnsi="Times New Roman"/>
          <w:b/>
          <w:bCs/>
          <w:color w:val="000000"/>
          <w:sz w:val="20"/>
          <w:szCs w:val="20"/>
          <w:lang w:val="en-IN" w:eastAsia="en-IN"/>
        </w:rPr>
        <w:t>(</w:t>
      </w:r>
      <w:r w:rsidRPr="001A423D">
        <w:rPr>
          <w:rFonts w:ascii="Times New Roman" w:eastAsia="Calibri" w:hAnsi="Times New Roman"/>
          <w:b/>
          <w:color w:val="000000"/>
          <w:sz w:val="20"/>
          <w:szCs w:val="20"/>
          <w:lang w:val="en-IN" w:eastAsia="en-IN"/>
        </w:rPr>
        <w:t>₹</w:t>
      </w:r>
      <w:r w:rsidRPr="001A423D">
        <w:rPr>
          <w:rFonts w:ascii="Times New Roman" w:eastAsia="Calibri" w:hAnsi="Times New Roman"/>
          <w:b/>
          <w:bCs/>
          <w:color w:val="000000"/>
          <w:sz w:val="20"/>
          <w:szCs w:val="20"/>
          <w:lang w:val="en-IN" w:eastAsia="en-IN"/>
        </w:rPr>
        <w:t xml:space="preserve"> in Lakhs)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5"/>
        <w:gridCol w:w="2691"/>
      </w:tblGrid>
      <w:tr w:rsidR="00CB2D76" w:rsidRPr="001A423D" w14:paraId="468338A3" w14:textId="77777777" w:rsidTr="009C1E14">
        <w:tc>
          <w:tcPr>
            <w:tcW w:w="3713" w:type="pct"/>
            <w:shd w:val="clear" w:color="auto" w:fill="D0CECE"/>
          </w:tcPr>
          <w:p w14:paraId="33979ECD" w14:textId="77777777" w:rsidR="00CB2D76" w:rsidRPr="001A423D" w:rsidRDefault="00CB2D76" w:rsidP="009C1E14">
            <w:pPr>
              <w:spacing w:after="0" w:line="240" w:lineRule="auto"/>
              <w:rPr>
                <w:rFonts w:ascii="Times New Roman" w:hAnsi="Times New Roman"/>
                <w:sz w:val="20"/>
                <w:szCs w:val="20"/>
              </w:rPr>
            </w:pPr>
            <w:r w:rsidRPr="001A423D">
              <w:rPr>
                <w:rFonts w:ascii="Times New Roman" w:hAnsi="Times New Roman"/>
                <w:b/>
                <w:bCs/>
                <w:sz w:val="20"/>
                <w:szCs w:val="20"/>
              </w:rPr>
              <w:t>Particulars</w:t>
            </w:r>
          </w:p>
        </w:tc>
        <w:tc>
          <w:tcPr>
            <w:tcW w:w="1287" w:type="pct"/>
            <w:shd w:val="clear" w:color="auto" w:fill="D0CECE"/>
          </w:tcPr>
          <w:p w14:paraId="5AB4007A" w14:textId="77777777" w:rsidR="00CB2D76" w:rsidRPr="001A423D" w:rsidRDefault="00CB2D76" w:rsidP="009C1E14">
            <w:pPr>
              <w:spacing w:after="0" w:line="240" w:lineRule="auto"/>
              <w:jc w:val="center"/>
              <w:rPr>
                <w:rFonts w:ascii="Times New Roman" w:hAnsi="Times New Roman"/>
                <w:sz w:val="20"/>
                <w:szCs w:val="20"/>
              </w:rPr>
            </w:pPr>
            <w:r w:rsidRPr="001A423D">
              <w:rPr>
                <w:rFonts w:ascii="Times New Roman" w:hAnsi="Times New Roman"/>
                <w:b/>
                <w:sz w:val="20"/>
                <w:szCs w:val="20"/>
              </w:rPr>
              <w:t>Amount</w:t>
            </w:r>
          </w:p>
        </w:tc>
      </w:tr>
      <w:tr w:rsidR="00CB2D76" w:rsidRPr="001A423D" w14:paraId="1AA5EB3C" w14:textId="77777777" w:rsidTr="009C1E14">
        <w:tc>
          <w:tcPr>
            <w:tcW w:w="3713" w:type="pct"/>
          </w:tcPr>
          <w:p w14:paraId="3320A9C5" w14:textId="77777777" w:rsidR="00CB2D76" w:rsidRPr="001A423D" w:rsidRDefault="00CB2D76" w:rsidP="009C1E14">
            <w:pPr>
              <w:spacing w:after="0" w:line="240" w:lineRule="auto"/>
              <w:jc w:val="both"/>
              <w:rPr>
                <w:rFonts w:ascii="Times New Roman" w:hAnsi="Times New Roman"/>
                <w:sz w:val="20"/>
                <w:szCs w:val="20"/>
              </w:rPr>
            </w:pPr>
            <w:r w:rsidRPr="001A423D">
              <w:rPr>
                <w:rFonts w:ascii="Times New Roman" w:hAnsi="Times New Roman"/>
                <w:sz w:val="20"/>
                <w:szCs w:val="20"/>
              </w:rPr>
              <w:t>Issue Expenses</w:t>
            </w:r>
          </w:p>
        </w:tc>
        <w:tc>
          <w:tcPr>
            <w:tcW w:w="1287" w:type="pct"/>
          </w:tcPr>
          <w:p w14:paraId="071DBB45" w14:textId="77777777" w:rsidR="00CB2D76" w:rsidRPr="001A423D" w:rsidRDefault="00CB2D76" w:rsidP="009C1E14">
            <w:pPr>
              <w:spacing w:after="0" w:line="240" w:lineRule="auto"/>
              <w:jc w:val="center"/>
              <w:rPr>
                <w:rFonts w:ascii="Times New Roman" w:hAnsi="Times New Roman"/>
                <w:sz w:val="20"/>
                <w:szCs w:val="20"/>
              </w:rPr>
            </w:pPr>
            <w:r w:rsidRPr="001A423D">
              <w:rPr>
                <w:rFonts w:ascii="Times New Roman" w:hAnsi="Times New Roman"/>
                <w:bCs/>
                <w:sz w:val="20"/>
                <w:szCs w:val="20"/>
                <w:lang w:bidi="en-US"/>
              </w:rPr>
              <w:t>[●]</w:t>
            </w:r>
          </w:p>
        </w:tc>
      </w:tr>
      <w:tr w:rsidR="00CB2D76" w:rsidRPr="001A423D" w14:paraId="4200DC96" w14:textId="77777777" w:rsidTr="009C1E14">
        <w:tc>
          <w:tcPr>
            <w:tcW w:w="3713" w:type="pct"/>
          </w:tcPr>
          <w:p w14:paraId="6A3E13DE" w14:textId="77777777" w:rsidR="00CB2D76" w:rsidRPr="001A423D" w:rsidRDefault="00CB2D76" w:rsidP="009C1E14">
            <w:pPr>
              <w:spacing w:after="0" w:line="240" w:lineRule="auto"/>
              <w:jc w:val="both"/>
              <w:rPr>
                <w:rFonts w:ascii="Times New Roman" w:hAnsi="Times New Roman"/>
                <w:b/>
                <w:sz w:val="20"/>
                <w:szCs w:val="20"/>
              </w:rPr>
            </w:pPr>
            <w:r w:rsidRPr="001A423D">
              <w:rPr>
                <w:rFonts w:ascii="Times New Roman" w:hAnsi="Times New Roman"/>
                <w:b/>
                <w:sz w:val="20"/>
                <w:szCs w:val="20"/>
              </w:rPr>
              <w:t>Total</w:t>
            </w:r>
          </w:p>
        </w:tc>
        <w:tc>
          <w:tcPr>
            <w:tcW w:w="1287" w:type="pct"/>
          </w:tcPr>
          <w:p w14:paraId="6A8D18E4" w14:textId="77777777" w:rsidR="00CB2D76" w:rsidRPr="001A423D" w:rsidRDefault="00CB2D76" w:rsidP="009C1E14">
            <w:pPr>
              <w:spacing w:after="0" w:line="240" w:lineRule="auto"/>
              <w:jc w:val="center"/>
              <w:rPr>
                <w:rFonts w:ascii="Times New Roman" w:hAnsi="Times New Roman"/>
                <w:b/>
                <w:sz w:val="20"/>
                <w:szCs w:val="20"/>
              </w:rPr>
            </w:pPr>
            <w:r w:rsidRPr="001A423D">
              <w:rPr>
                <w:rFonts w:ascii="Times New Roman" w:hAnsi="Times New Roman"/>
                <w:bCs/>
                <w:sz w:val="20"/>
                <w:szCs w:val="20"/>
                <w:lang w:bidi="en-US"/>
              </w:rPr>
              <w:t>[●]</w:t>
            </w:r>
          </w:p>
        </w:tc>
      </w:tr>
    </w:tbl>
    <w:p w14:paraId="361B46B3" w14:textId="77777777" w:rsidR="00CB2D76" w:rsidRPr="001A423D" w:rsidRDefault="00CB2D76" w:rsidP="00CB2D76">
      <w:pPr>
        <w:spacing w:after="0" w:line="240" w:lineRule="auto"/>
        <w:jc w:val="both"/>
        <w:rPr>
          <w:rFonts w:ascii="Times New Roman" w:hAnsi="Times New Roman"/>
          <w:b/>
          <w:bCs/>
          <w:sz w:val="20"/>
          <w:szCs w:val="20"/>
        </w:rPr>
      </w:pPr>
    </w:p>
    <w:p w14:paraId="4F74238F" w14:textId="77777777" w:rsidR="00CB2D76" w:rsidRPr="001A423D" w:rsidRDefault="00CB2D76" w:rsidP="00CB2D76">
      <w:pPr>
        <w:spacing w:after="0" w:line="240" w:lineRule="auto"/>
        <w:jc w:val="both"/>
        <w:rPr>
          <w:rFonts w:ascii="Times New Roman" w:hAnsi="Times New Roman"/>
          <w:b/>
          <w:bCs/>
          <w:sz w:val="20"/>
          <w:szCs w:val="20"/>
        </w:rPr>
      </w:pPr>
      <w:r w:rsidRPr="001A423D">
        <w:rPr>
          <w:rFonts w:ascii="Times New Roman" w:hAnsi="Times New Roman"/>
          <w:b/>
          <w:bCs/>
          <w:sz w:val="20"/>
          <w:szCs w:val="20"/>
        </w:rPr>
        <w:t>Sources of Financing for the Funds Deployed:</w:t>
      </w:r>
    </w:p>
    <w:p w14:paraId="3584F952" w14:textId="77777777" w:rsidR="00CB2D76" w:rsidRPr="001A423D" w:rsidRDefault="00CB2D76" w:rsidP="00CB2D76">
      <w:pPr>
        <w:spacing w:after="0" w:line="240" w:lineRule="auto"/>
        <w:ind w:firstLine="547"/>
        <w:jc w:val="both"/>
        <w:rPr>
          <w:rFonts w:ascii="Times New Roman" w:hAnsi="Times New Roman"/>
          <w:b/>
          <w:bCs/>
          <w:sz w:val="20"/>
          <w:szCs w:val="20"/>
        </w:rPr>
      </w:pPr>
    </w:p>
    <w:p w14:paraId="495D867F" w14:textId="77777777" w:rsidR="00CB2D76" w:rsidRPr="001A423D" w:rsidRDefault="00CB2D76" w:rsidP="00CB2D76">
      <w:pPr>
        <w:spacing w:after="0" w:line="240" w:lineRule="auto"/>
        <w:jc w:val="both"/>
        <w:rPr>
          <w:rFonts w:ascii="Times New Roman" w:hAnsi="Times New Roman"/>
          <w:sz w:val="20"/>
          <w:szCs w:val="20"/>
        </w:rPr>
      </w:pPr>
      <w:r w:rsidRPr="001A423D">
        <w:rPr>
          <w:rFonts w:ascii="Times New Roman" w:hAnsi="Times New Roman"/>
          <w:bCs/>
          <w:sz w:val="20"/>
          <w:szCs w:val="20"/>
          <w:lang w:bidi="en-US"/>
        </w:rPr>
        <w:t>[●]</w:t>
      </w:r>
      <w:r w:rsidRPr="001A423D">
        <w:rPr>
          <w:rFonts w:ascii="Times New Roman" w:hAnsi="Times New Roman"/>
          <w:sz w:val="20"/>
          <w:szCs w:val="20"/>
          <w:lang w:val="en-GB"/>
        </w:rPr>
        <w:t>, Chartered Accountants</w:t>
      </w:r>
      <w:r w:rsidRPr="001A423D">
        <w:rPr>
          <w:rFonts w:ascii="Times New Roman" w:hAnsi="Times New Roman"/>
          <w:sz w:val="20"/>
          <w:szCs w:val="20"/>
        </w:rPr>
        <w:t xml:space="preserve"> vide their certificate dated </w:t>
      </w:r>
      <w:r w:rsidRPr="001A423D">
        <w:rPr>
          <w:rFonts w:ascii="Times New Roman" w:hAnsi="Times New Roman"/>
          <w:bCs/>
          <w:sz w:val="20"/>
          <w:szCs w:val="20"/>
          <w:lang w:bidi="en-US"/>
        </w:rPr>
        <w:t>[●]</w:t>
      </w:r>
      <w:r w:rsidRPr="001A423D">
        <w:rPr>
          <w:rFonts w:ascii="Times New Roman" w:hAnsi="Times New Roman"/>
          <w:sz w:val="20"/>
          <w:szCs w:val="20"/>
        </w:rPr>
        <w:t xml:space="preserve"> have confirmed that as on date of certificate the following funds have been deployed for the proposed object of the Issue:</w:t>
      </w:r>
    </w:p>
    <w:p w14:paraId="23FD8976" w14:textId="77777777" w:rsidR="00CB2D76" w:rsidRPr="001A423D" w:rsidRDefault="00CB2D76" w:rsidP="00CB2D76">
      <w:pPr>
        <w:spacing w:after="0" w:line="240" w:lineRule="auto"/>
        <w:jc w:val="right"/>
        <w:rPr>
          <w:rFonts w:ascii="Times New Roman" w:hAnsi="Times New Roman"/>
          <w:sz w:val="20"/>
          <w:szCs w:val="20"/>
        </w:rPr>
      </w:pPr>
      <w:r w:rsidRPr="001A423D">
        <w:rPr>
          <w:rFonts w:ascii="Times New Roman" w:hAnsi="Times New Roman"/>
          <w:b/>
          <w:bCs/>
          <w:sz w:val="20"/>
          <w:szCs w:val="20"/>
        </w:rPr>
        <w:t>(</w:t>
      </w:r>
      <w:r w:rsidRPr="001A423D">
        <w:rPr>
          <w:rFonts w:ascii="Times New Roman" w:eastAsia="Calibri" w:hAnsi="Times New Roman"/>
          <w:b/>
          <w:color w:val="000000"/>
          <w:sz w:val="20"/>
          <w:szCs w:val="20"/>
        </w:rPr>
        <w:t>₹</w:t>
      </w:r>
      <w:r w:rsidRPr="001A423D">
        <w:rPr>
          <w:rFonts w:ascii="Times New Roman" w:hAnsi="Times New Roman"/>
          <w:b/>
          <w:bCs/>
          <w:sz w:val="20"/>
          <w:szCs w:val="20"/>
        </w:rPr>
        <w:t xml:space="preserve"> in Lakhs)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5"/>
        <w:gridCol w:w="2691"/>
      </w:tblGrid>
      <w:tr w:rsidR="00CB2D76" w:rsidRPr="001A423D" w14:paraId="66BB19D7" w14:textId="77777777" w:rsidTr="009C1E14">
        <w:tc>
          <w:tcPr>
            <w:tcW w:w="3713" w:type="pct"/>
            <w:shd w:val="clear" w:color="auto" w:fill="D0CECE"/>
          </w:tcPr>
          <w:p w14:paraId="508F26BE" w14:textId="77777777" w:rsidR="00CB2D76" w:rsidRPr="001A423D" w:rsidRDefault="00CB2D76" w:rsidP="009C1E14">
            <w:pPr>
              <w:spacing w:after="0" w:line="240" w:lineRule="auto"/>
              <w:jc w:val="both"/>
              <w:rPr>
                <w:rFonts w:ascii="Times New Roman" w:hAnsi="Times New Roman"/>
                <w:sz w:val="20"/>
                <w:szCs w:val="20"/>
              </w:rPr>
            </w:pPr>
            <w:r w:rsidRPr="001A423D">
              <w:rPr>
                <w:rFonts w:ascii="Times New Roman" w:hAnsi="Times New Roman"/>
                <w:b/>
                <w:bCs/>
                <w:sz w:val="20"/>
                <w:szCs w:val="20"/>
              </w:rPr>
              <w:t>Particulars</w:t>
            </w:r>
          </w:p>
        </w:tc>
        <w:tc>
          <w:tcPr>
            <w:tcW w:w="1287" w:type="pct"/>
            <w:shd w:val="clear" w:color="auto" w:fill="D0CECE"/>
          </w:tcPr>
          <w:p w14:paraId="1ECE2DAD" w14:textId="77777777" w:rsidR="00CB2D76" w:rsidRPr="001A423D" w:rsidRDefault="00CB2D76" w:rsidP="009C1E14">
            <w:pPr>
              <w:spacing w:after="0" w:line="240" w:lineRule="auto"/>
              <w:jc w:val="center"/>
              <w:rPr>
                <w:rFonts w:ascii="Times New Roman" w:hAnsi="Times New Roman"/>
                <w:sz w:val="20"/>
                <w:szCs w:val="20"/>
              </w:rPr>
            </w:pPr>
            <w:r w:rsidRPr="001A423D">
              <w:rPr>
                <w:rFonts w:ascii="Times New Roman" w:hAnsi="Times New Roman"/>
                <w:b/>
                <w:sz w:val="20"/>
                <w:szCs w:val="20"/>
              </w:rPr>
              <w:t>Amount</w:t>
            </w:r>
          </w:p>
        </w:tc>
      </w:tr>
      <w:tr w:rsidR="00CB2D76" w:rsidRPr="001A423D" w14:paraId="6565EA38" w14:textId="77777777" w:rsidTr="009C1E14">
        <w:tc>
          <w:tcPr>
            <w:tcW w:w="3713" w:type="pct"/>
          </w:tcPr>
          <w:p w14:paraId="32DB3EB3" w14:textId="77777777" w:rsidR="00CB2D76" w:rsidRPr="001A423D" w:rsidRDefault="00CB2D76" w:rsidP="009C1E14">
            <w:pPr>
              <w:spacing w:after="0" w:line="240" w:lineRule="auto"/>
              <w:jc w:val="both"/>
              <w:rPr>
                <w:rFonts w:ascii="Times New Roman" w:hAnsi="Times New Roman"/>
                <w:sz w:val="20"/>
                <w:szCs w:val="20"/>
              </w:rPr>
            </w:pPr>
            <w:r w:rsidRPr="001A423D">
              <w:rPr>
                <w:rFonts w:ascii="Times New Roman" w:hAnsi="Times New Roman"/>
                <w:sz w:val="20"/>
                <w:szCs w:val="20"/>
              </w:rPr>
              <w:t>Internal Accruals</w:t>
            </w:r>
          </w:p>
        </w:tc>
        <w:tc>
          <w:tcPr>
            <w:tcW w:w="1287" w:type="pct"/>
          </w:tcPr>
          <w:p w14:paraId="20011A98" w14:textId="77777777" w:rsidR="00CB2D76" w:rsidRPr="001A423D" w:rsidRDefault="00CB2D76" w:rsidP="009C1E14">
            <w:pPr>
              <w:spacing w:after="0" w:line="240" w:lineRule="auto"/>
              <w:jc w:val="center"/>
              <w:rPr>
                <w:rFonts w:ascii="Times New Roman" w:hAnsi="Times New Roman"/>
                <w:sz w:val="20"/>
                <w:szCs w:val="20"/>
              </w:rPr>
            </w:pPr>
            <w:r w:rsidRPr="001A423D">
              <w:rPr>
                <w:rFonts w:ascii="Times New Roman" w:hAnsi="Times New Roman"/>
                <w:bCs/>
                <w:sz w:val="20"/>
                <w:szCs w:val="20"/>
                <w:lang w:bidi="en-US"/>
              </w:rPr>
              <w:t>[●]</w:t>
            </w:r>
          </w:p>
        </w:tc>
      </w:tr>
      <w:tr w:rsidR="00CB2D76" w:rsidRPr="001A423D" w14:paraId="73F59462" w14:textId="77777777" w:rsidTr="009C1E14">
        <w:tc>
          <w:tcPr>
            <w:tcW w:w="3713" w:type="pct"/>
          </w:tcPr>
          <w:p w14:paraId="11D75E9B" w14:textId="77777777" w:rsidR="00CB2D76" w:rsidRPr="001A423D" w:rsidRDefault="00CB2D76" w:rsidP="009C1E14">
            <w:pPr>
              <w:spacing w:after="0" w:line="240" w:lineRule="auto"/>
              <w:jc w:val="both"/>
              <w:rPr>
                <w:rFonts w:ascii="Times New Roman" w:hAnsi="Times New Roman"/>
                <w:b/>
                <w:sz w:val="20"/>
                <w:szCs w:val="20"/>
              </w:rPr>
            </w:pPr>
            <w:r w:rsidRPr="001A423D">
              <w:rPr>
                <w:rFonts w:ascii="Times New Roman" w:hAnsi="Times New Roman"/>
                <w:b/>
                <w:sz w:val="20"/>
                <w:szCs w:val="20"/>
              </w:rPr>
              <w:t>Total</w:t>
            </w:r>
          </w:p>
        </w:tc>
        <w:tc>
          <w:tcPr>
            <w:tcW w:w="1287" w:type="pct"/>
          </w:tcPr>
          <w:p w14:paraId="0E55283E" w14:textId="77777777" w:rsidR="00CB2D76" w:rsidRPr="001A423D" w:rsidRDefault="00CB2D76" w:rsidP="009C1E14">
            <w:pPr>
              <w:spacing w:after="0" w:line="240" w:lineRule="auto"/>
              <w:jc w:val="center"/>
              <w:rPr>
                <w:rFonts w:ascii="Times New Roman" w:hAnsi="Times New Roman"/>
                <w:b/>
                <w:sz w:val="20"/>
                <w:szCs w:val="20"/>
              </w:rPr>
            </w:pPr>
            <w:r w:rsidRPr="001A423D">
              <w:rPr>
                <w:rFonts w:ascii="Times New Roman" w:hAnsi="Times New Roman"/>
                <w:bCs/>
                <w:sz w:val="20"/>
                <w:szCs w:val="20"/>
                <w:lang w:bidi="en-US"/>
              </w:rPr>
              <w:t>[●]</w:t>
            </w:r>
          </w:p>
        </w:tc>
      </w:tr>
    </w:tbl>
    <w:p w14:paraId="2F4A66D8" w14:textId="77777777" w:rsidR="00CB2D76" w:rsidRPr="001A423D" w:rsidRDefault="00CB2D76" w:rsidP="00CB2D76">
      <w:pPr>
        <w:spacing w:after="0" w:line="240" w:lineRule="auto"/>
        <w:ind w:firstLine="547"/>
        <w:jc w:val="both"/>
        <w:rPr>
          <w:rFonts w:ascii="Times New Roman" w:hAnsi="Times New Roman"/>
          <w:b/>
          <w:sz w:val="20"/>
          <w:szCs w:val="20"/>
        </w:rPr>
      </w:pPr>
    </w:p>
    <w:p w14:paraId="54582E08" w14:textId="77777777" w:rsidR="00CB2D76" w:rsidRPr="001A423D" w:rsidRDefault="00CB2D76" w:rsidP="00CB2D76">
      <w:pPr>
        <w:spacing w:after="0" w:line="240" w:lineRule="auto"/>
        <w:jc w:val="both"/>
        <w:rPr>
          <w:rFonts w:ascii="Times New Roman" w:hAnsi="Times New Roman"/>
          <w:b/>
          <w:sz w:val="20"/>
          <w:szCs w:val="20"/>
        </w:rPr>
      </w:pPr>
      <w:r w:rsidRPr="001A423D">
        <w:rPr>
          <w:rFonts w:ascii="Times New Roman" w:hAnsi="Times New Roman"/>
          <w:b/>
          <w:sz w:val="20"/>
          <w:szCs w:val="20"/>
        </w:rPr>
        <w:t>Appraisal</w:t>
      </w:r>
    </w:p>
    <w:p w14:paraId="55EAC046" w14:textId="77777777" w:rsidR="00CB2D76" w:rsidRPr="001A423D" w:rsidRDefault="00CB2D76" w:rsidP="00CB2D76">
      <w:pPr>
        <w:spacing w:after="0" w:line="240" w:lineRule="auto"/>
        <w:jc w:val="both"/>
        <w:rPr>
          <w:rFonts w:ascii="Times New Roman" w:hAnsi="Times New Roman"/>
          <w:sz w:val="20"/>
          <w:szCs w:val="20"/>
        </w:rPr>
      </w:pPr>
    </w:p>
    <w:p w14:paraId="29DF0F54" w14:textId="77777777" w:rsidR="00CB2D76" w:rsidRDefault="00CB2D76" w:rsidP="00CB2D76">
      <w:pPr>
        <w:spacing w:after="0" w:line="240" w:lineRule="auto"/>
        <w:jc w:val="both"/>
        <w:rPr>
          <w:rFonts w:ascii="Times New Roman" w:hAnsi="Times New Roman"/>
          <w:sz w:val="20"/>
          <w:szCs w:val="20"/>
        </w:rPr>
      </w:pPr>
      <w:r w:rsidRPr="00294AAE">
        <w:rPr>
          <w:rFonts w:ascii="Times New Roman" w:hAnsi="Times New Roman"/>
          <w:sz w:val="20"/>
          <w:szCs w:val="20"/>
        </w:rPr>
        <w:t>The fund requirements, deployment of funds and the intended use of the Net Proceeds as described in th</w:t>
      </w:r>
      <w:r>
        <w:rPr>
          <w:rFonts w:ascii="Times New Roman" w:hAnsi="Times New Roman"/>
          <w:sz w:val="20"/>
          <w:szCs w:val="20"/>
        </w:rPr>
        <w:t xml:space="preserve">e DRHP, </w:t>
      </w:r>
      <w:r w:rsidRPr="00294AAE">
        <w:rPr>
          <w:rFonts w:ascii="Times New Roman" w:hAnsi="Times New Roman"/>
          <w:sz w:val="20"/>
          <w:szCs w:val="20"/>
        </w:rPr>
        <w:t>Red Herring Prospectus and th</w:t>
      </w:r>
      <w:r>
        <w:rPr>
          <w:rFonts w:ascii="Times New Roman" w:hAnsi="Times New Roman"/>
          <w:sz w:val="20"/>
          <w:szCs w:val="20"/>
        </w:rPr>
        <w:t>e</w:t>
      </w:r>
      <w:r w:rsidRPr="00294AAE">
        <w:rPr>
          <w:rFonts w:ascii="Times New Roman" w:hAnsi="Times New Roman"/>
          <w:sz w:val="20"/>
          <w:szCs w:val="20"/>
        </w:rPr>
        <w:t xml:space="preserve"> Prospectus are based on our current business plan, management estimates, prevailing market</w:t>
      </w:r>
      <w:r>
        <w:rPr>
          <w:rFonts w:ascii="Times New Roman" w:hAnsi="Times New Roman"/>
          <w:sz w:val="20"/>
          <w:szCs w:val="20"/>
        </w:rPr>
        <w:t xml:space="preserve"> </w:t>
      </w:r>
      <w:r w:rsidRPr="00294AAE">
        <w:rPr>
          <w:rFonts w:ascii="Times New Roman" w:hAnsi="Times New Roman"/>
          <w:sz w:val="20"/>
          <w:szCs w:val="20"/>
        </w:rPr>
        <w:t>conditions</w:t>
      </w:r>
      <w:r>
        <w:rPr>
          <w:rFonts w:ascii="Times New Roman" w:hAnsi="Times New Roman"/>
          <w:sz w:val="20"/>
          <w:szCs w:val="20"/>
        </w:rPr>
        <w:t xml:space="preserve"> </w:t>
      </w:r>
      <w:r w:rsidRPr="00294AAE">
        <w:rPr>
          <w:rFonts w:ascii="Times New Roman" w:hAnsi="Times New Roman"/>
          <w:sz w:val="20"/>
          <w:szCs w:val="20"/>
        </w:rPr>
        <w:t>and</w:t>
      </w:r>
      <w:r>
        <w:rPr>
          <w:rFonts w:ascii="Times New Roman" w:hAnsi="Times New Roman"/>
          <w:sz w:val="20"/>
          <w:szCs w:val="20"/>
        </w:rPr>
        <w:t xml:space="preserve"> </w:t>
      </w:r>
      <w:r w:rsidRPr="00294AAE">
        <w:rPr>
          <w:rFonts w:ascii="Times New Roman" w:hAnsi="Times New Roman"/>
          <w:sz w:val="20"/>
          <w:szCs w:val="20"/>
        </w:rPr>
        <w:t>other</w:t>
      </w:r>
      <w:r>
        <w:rPr>
          <w:rFonts w:ascii="Times New Roman" w:hAnsi="Times New Roman"/>
          <w:sz w:val="20"/>
          <w:szCs w:val="20"/>
        </w:rPr>
        <w:t xml:space="preserve"> </w:t>
      </w:r>
      <w:r w:rsidRPr="00294AAE">
        <w:rPr>
          <w:rFonts w:ascii="Times New Roman" w:hAnsi="Times New Roman"/>
          <w:sz w:val="20"/>
          <w:szCs w:val="20"/>
        </w:rPr>
        <w:t>commercial considerations.</w:t>
      </w:r>
      <w:r>
        <w:rPr>
          <w:rFonts w:ascii="Times New Roman" w:hAnsi="Times New Roman"/>
          <w:sz w:val="20"/>
          <w:szCs w:val="20"/>
        </w:rPr>
        <w:t xml:space="preserve"> </w:t>
      </w:r>
      <w:r w:rsidRPr="00294AAE">
        <w:rPr>
          <w:rFonts w:ascii="Times New Roman" w:hAnsi="Times New Roman"/>
          <w:sz w:val="20"/>
          <w:szCs w:val="20"/>
        </w:rPr>
        <w:t>However, such</w:t>
      </w:r>
      <w:r>
        <w:rPr>
          <w:rFonts w:ascii="Times New Roman" w:hAnsi="Times New Roman"/>
          <w:sz w:val="20"/>
          <w:szCs w:val="20"/>
        </w:rPr>
        <w:t xml:space="preserve"> </w:t>
      </w:r>
      <w:r w:rsidRPr="00294AAE">
        <w:rPr>
          <w:rFonts w:ascii="Times New Roman" w:hAnsi="Times New Roman"/>
          <w:sz w:val="20"/>
          <w:szCs w:val="20"/>
        </w:rPr>
        <w:t>fund</w:t>
      </w:r>
      <w:r>
        <w:rPr>
          <w:rFonts w:ascii="Times New Roman" w:hAnsi="Times New Roman"/>
          <w:sz w:val="20"/>
          <w:szCs w:val="20"/>
        </w:rPr>
        <w:t xml:space="preserve"> </w:t>
      </w:r>
      <w:r w:rsidRPr="00294AAE">
        <w:rPr>
          <w:rFonts w:ascii="Times New Roman" w:hAnsi="Times New Roman"/>
          <w:sz w:val="20"/>
          <w:szCs w:val="20"/>
        </w:rPr>
        <w:t>requirements</w:t>
      </w:r>
      <w:r>
        <w:rPr>
          <w:rFonts w:ascii="Times New Roman" w:hAnsi="Times New Roman"/>
          <w:sz w:val="20"/>
          <w:szCs w:val="20"/>
        </w:rPr>
        <w:t xml:space="preserve"> </w:t>
      </w:r>
      <w:r w:rsidRPr="00294AAE">
        <w:rPr>
          <w:rFonts w:ascii="Times New Roman" w:hAnsi="Times New Roman"/>
          <w:sz w:val="20"/>
          <w:szCs w:val="20"/>
        </w:rPr>
        <w:t>and</w:t>
      </w:r>
      <w:r>
        <w:rPr>
          <w:rFonts w:ascii="Times New Roman" w:hAnsi="Times New Roman"/>
          <w:sz w:val="20"/>
          <w:szCs w:val="20"/>
        </w:rPr>
        <w:t xml:space="preserve"> </w:t>
      </w:r>
      <w:r w:rsidRPr="00294AAE">
        <w:rPr>
          <w:rFonts w:ascii="Times New Roman" w:hAnsi="Times New Roman"/>
          <w:sz w:val="20"/>
          <w:szCs w:val="20"/>
        </w:rPr>
        <w:t>deployment</w:t>
      </w:r>
      <w:r>
        <w:rPr>
          <w:rFonts w:ascii="Times New Roman" w:hAnsi="Times New Roman"/>
          <w:sz w:val="20"/>
          <w:szCs w:val="20"/>
        </w:rPr>
        <w:t xml:space="preserve"> </w:t>
      </w:r>
      <w:r w:rsidRPr="00294AAE">
        <w:rPr>
          <w:rFonts w:ascii="Times New Roman" w:hAnsi="Times New Roman"/>
          <w:sz w:val="20"/>
          <w:szCs w:val="20"/>
        </w:rPr>
        <w:t>of funds have not been appraised by any</w:t>
      </w:r>
      <w:r>
        <w:rPr>
          <w:rFonts w:ascii="Times New Roman" w:hAnsi="Times New Roman"/>
          <w:sz w:val="20"/>
          <w:szCs w:val="20"/>
        </w:rPr>
        <w:t xml:space="preserve"> </w:t>
      </w:r>
      <w:r w:rsidRPr="00294AAE">
        <w:rPr>
          <w:rFonts w:ascii="Times New Roman" w:hAnsi="Times New Roman"/>
          <w:sz w:val="20"/>
          <w:szCs w:val="20"/>
        </w:rPr>
        <w:t xml:space="preserve">external agency or any bank or financial institution or any other independent agency. </w:t>
      </w:r>
    </w:p>
    <w:p w14:paraId="6D5BD172" w14:textId="77777777" w:rsidR="00CB2D76" w:rsidRDefault="00CB2D76" w:rsidP="00CB2D76">
      <w:pPr>
        <w:spacing w:after="0" w:line="240" w:lineRule="auto"/>
        <w:jc w:val="both"/>
        <w:rPr>
          <w:rFonts w:ascii="Times New Roman" w:hAnsi="Times New Roman"/>
          <w:sz w:val="20"/>
          <w:szCs w:val="20"/>
        </w:rPr>
      </w:pPr>
    </w:p>
    <w:p w14:paraId="767EEAA3" w14:textId="77777777" w:rsidR="00CB2D76" w:rsidRDefault="00CB2D76" w:rsidP="00CB2D76">
      <w:pPr>
        <w:spacing w:after="0" w:line="240" w:lineRule="auto"/>
        <w:jc w:val="both"/>
        <w:rPr>
          <w:rFonts w:ascii="Times New Roman" w:hAnsi="Times New Roman"/>
          <w:sz w:val="20"/>
          <w:szCs w:val="20"/>
        </w:rPr>
      </w:pPr>
      <w:r w:rsidRPr="00294AAE">
        <w:rPr>
          <w:rFonts w:ascii="Times New Roman" w:hAnsi="Times New Roman"/>
          <w:sz w:val="20"/>
          <w:szCs w:val="20"/>
        </w:rPr>
        <w:t>We may have to revise our funding requirements and deployment on account of a variety of factors such as our financial</w:t>
      </w:r>
      <w:r>
        <w:rPr>
          <w:rFonts w:ascii="Times New Roman" w:hAnsi="Times New Roman"/>
          <w:sz w:val="20"/>
          <w:szCs w:val="20"/>
        </w:rPr>
        <w:t xml:space="preserve"> </w:t>
      </w:r>
      <w:r w:rsidRPr="00294AAE">
        <w:rPr>
          <w:rFonts w:ascii="Times New Roman" w:hAnsi="Times New Roman"/>
          <w:sz w:val="20"/>
          <w:szCs w:val="20"/>
        </w:rPr>
        <w:t>and</w:t>
      </w:r>
      <w:r>
        <w:rPr>
          <w:rFonts w:ascii="Times New Roman" w:hAnsi="Times New Roman"/>
          <w:sz w:val="20"/>
          <w:szCs w:val="20"/>
        </w:rPr>
        <w:t xml:space="preserve"> </w:t>
      </w:r>
      <w:r w:rsidRPr="00294AAE">
        <w:rPr>
          <w:rFonts w:ascii="Times New Roman" w:hAnsi="Times New Roman"/>
          <w:sz w:val="20"/>
          <w:szCs w:val="20"/>
        </w:rPr>
        <w:t>market</w:t>
      </w:r>
      <w:r>
        <w:rPr>
          <w:rFonts w:ascii="Times New Roman" w:hAnsi="Times New Roman"/>
          <w:sz w:val="20"/>
          <w:szCs w:val="20"/>
        </w:rPr>
        <w:t xml:space="preserve"> </w:t>
      </w:r>
      <w:r w:rsidRPr="00294AAE">
        <w:rPr>
          <w:rFonts w:ascii="Times New Roman" w:hAnsi="Times New Roman"/>
          <w:sz w:val="20"/>
          <w:szCs w:val="20"/>
        </w:rPr>
        <w:t>condition,</w:t>
      </w:r>
      <w:r>
        <w:rPr>
          <w:rFonts w:ascii="Times New Roman" w:hAnsi="Times New Roman"/>
          <w:sz w:val="20"/>
          <w:szCs w:val="20"/>
        </w:rPr>
        <w:t xml:space="preserve"> </w:t>
      </w:r>
      <w:r w:rsidRPr="00294AAE">
        <w:rPr>
          <w:rFonts w:ascii="Times New Roman" w:hAnsi="Times New Roman"/>
          <w:sz w:val="20"/>
          <w:szCs w:val="20"/>
        </w:rPr>
        <w:t>our</w:t>
      </w:r>
      <w:r>
        <w:rPr>
          <w:rFonts w:ascii="Times New Roman" w:hAnsi="Times New Roman"/>
          <w:sz w:val="20"/>
          <w:szCs w:val="20"/>
        </w:rPr>
        <w:t xml:space="preserve"> </w:t>
      </w:r>
      <w:r w:rsidRPr="00294AAE">
        <w:rPr>
          <w:rFonts w:ascii="Times New Roman" w:hAnsi="Times New Roman"/>
          <w:sz w:val="20"/>
          <w:szCs w:val="20"/>
        </w:rPr>
        <w:t>business</w:t>
      </w:r>
      <w:r>
        <w:rPr>
          <w:rFonts w:ascii="Times New Roman" w:hAnsi="Times New Roman"/>
          <w:sz w:val="20"/>
          <w:szCs w:val="20"/>
        </w:rPr>
        <w:t xml:space="preserve"> </w:t>
      </w:r>
      <w:r w:rsidRPr="00294AAE">
        <w:rPr>
          <w:rFonts w:ascii="Times New Roman" w:hAnsi="Times New Roman"/>
          <w:sz w:val="20"/>
          <w:szCs w:val="20"/>
        </w:rPr>
        <w:t>and</w:t>
      </w:r>
      <w:r>
        <w:rPr>
          <w:rFonts w:ascii="Times New Roman" w:hAnsi="Times New Roman"/>
          <w:sz w:val="20"/>
          <w:szCs w:val="20"/>
        </w:rPr>
        <w:t xml:space="preserve"> </w:t>
      </w:r>
      <w:r w:rsidRPr="00294AAE">
        <w:rPr>
          <w:rFonts w:ascii="Times New Roman" w:hAnsi="Times New Roman"/>
          <w:sz w:val="20"/>
          <w:szCs w:val="20"/>
        </w:rPr>
        <w:t>growth</w:t>
      </w:r>
      <w:r>
        <w:rPr>
          <w:rFonts w:ascii="Times New Roman" w:hAnsi="Times New Roman"/>
          <w:sz w:val="20"/>
          <w:szCs w:val="20"/>
        </w:rPr>
        <w:t xml:space="preserve"> </w:t>
      </w:r>
      <w:r w:rsidRPr="00294AAE">
        <w:rPr>
          <w:rFonts w:ascii="Times New Roman" w:hAnsi="Times New Roman"/>
          <w:sz w:val="20"/>
          <w:szCs w:val="20"/>
        </w:rPr>
        <w:t>strategies,</w:t>
      </w:r>
      <w:r>
        <w:rPr>
          <w:rFonts w:ascii="Times New Roman" w:hAnsi="Times New Roman"/>
          <w:sz w:val="20"/>
          <w:szCs w:val="20"/>
        </w:rPr>
        <w:t xml:space="preserve"> </w:t>
      </w:r>
      <w:r w:rsidRPr="00294AAE">
        <w:rPr>
          <w:rFonts w:ascii="Times New Roman" w:hAnsi="Times New Roman"/>
          <w:sz w:val="20"/>
          <w:szCs w:val="20"/>
        </w:rPr>
        <w:t>competitive</w:t>
      </w:r>
      <w:r>
        <w:rPr>
          <w:rFonts w:ascii="Times New Roman" w:hAnsi="Times New Roman"/>
          <w:sz w:val="20"/>
          <w:szCs w:val="20"/>
        </w:rPr>
        <w:t xml:space="preserve"> </w:t>
      </w:r>
      <w:r w:rsidRPr="00294AAE">
        <w:rPr>
          <w:rFonts w:ascii="Times New Roman" w:hAnsi="Times New Roman"/>
          <w:sz w:val="20"/>
          <w:szCs w:val="20"/>
        </w:rPr>
        <w:t>landscape,</w:t>
      </w:r>
      <w:r>
        <w:rPr>
          <w:rFonts w:ascii="Times New Roman" w:hAnsi="Times New Roman"/>
          <w:sz w:val="20"/>
          <w:szCs w:val="20"/>
        </w:rPr>
        <w:t xml:space="preserve"> </w:t>
      </w:r>
      <w:r w:rsidRPr="00294AAE">
        <w:rPr>
          <w:rFonts w:ascii="Times New Roman" w:hAnsi="Times New Roman"/>
          <w:sz w:val="20"/>
          <w:szCs w:val="20"/>
        </w:rPr>
        <w:t>general</w:t>
      </w:r>
      <w:r>
        <w:rPr>
          <w:rFonts w:ascii="Times New Roman" w:hAnsi="Times New Roman"/>
          <w:sz w:val="20"/>
          <w:szCs w:val="20"/>
        </w:rPr>
        <w:t xml:space="preserve"> </w:t>
      </w:r>
      <w:r w:rsidRPr="00294AAE">
        <w:rPr>
          <w:rFonts w:ascii="Times New Roman" w:hAnsi="Times New Roman"/>
          <w:sz w:val="20"/>
          <w:szCs w:val="20"/>
        </w:rPr>
        <w:t>factors affecting</w:t>
      </w:r>
      <w:r>
        <w:rPr>
          <w:rFonts w:ascii="Times New Roman" w:hAnsi="Times New Roman"/>
          <w:sz w:val="20"/>
          <w:szCs w:val="20"/>
        </w:rPr>
        <w:t xml:space="preserve"> </w:t>
      </w:r>
      <w:r w:rsidRPr="00294AAE">
        <w:rPr>
          <w:rFonts w:ascii="Times New Roman" w:hAnsi="Times New Roman"/>
          <w:sz w:val="20"/>
          <w:szCs w:val="20"/>
        </w:rPr>
        <w:t>our</w:t>
      </w:r>
      <w:r>
        <w:rPr>
          <w:rFonts w:ascii="Times New Roman" w:hAnsi="Times New Roman"/>
          <w:sz w:val="20"/>
          <w:szCs w:val="20"/>
        </w:rPr>
        <w:t xml:space="preserve"> </w:t>
      </w:r>
      <w:r w:rsidRPr="00294AAE">
        <w:rPr>
          <w:rFonts w:ascii="Times New Roman" w:hAnsi="Times New Roman"/>
          <w:sz w:val="20"/>
          <w:szCs w:val="20"/>
        </w:rPr>
        <w:t>results</w:t>
      </w:r>
      <w:r>
        <w:rPr>
          <w:rFonts w:ascii="Times New Roman" w:hAnsi="Times New Roman"/>
          <w:sz w:val="20"/>
          <w:szCs w:val="20"/>
        </w:rPr>
        <w:t xml:space="preserve"> </w:t>
      </w:r>
      <w:r w:rsidRPr="00294AAE">
        <w:rPr>
          <w:rFonts w:ascii="Times New Roman" w:hAnsi="Times New Roman"/>
          <w:sz w:val="20"/>
          <w:szCs w:val="20"/>
        </w:rPr>
        <w:t>of</w:t>
      </w:r>
      <w:r>
        <w:rPr>
          <w:rFonts w:ascii="Times New Roman" w:hAnsi="Times New Roman"/>
          <w:sz w:val="20"/>
          <w:szCs w:val="20"/>
        </w:rPr>
        <w:t xml:space="preserve"> </w:t>
      </w:r>
      <w:r w:rsidRPr="00294AAE">
        <w:rPr>
          <w:rFonts w:ascii="Times New Roman" w:hAnsi="Times New Roman"/>
          <w:sz w:val="20"/>
          <w:szCs w:val="20"/>
        </w:rPr>
        <w:t>operations,</w:t>
      </w:r>
      <w:r>
        <w:rPr>
          <w:rFonts w:ascii="Times New Roman" w:hAnsi="Times New Roman"/>
          <w:sz w:val="20"/>
          <w:szCs w:val="20"/>
        </w:rPr>
        <w:t xml:space="preserve"> </w:t>
      </w:r>
      <w:r w:rsidRPr="00294AAE">
        <w:rPr>
          <w:rFonts w:ascii="Times New Roman" w:hAnsi="Times New Roman"/>
          <w:sz w:val="20"/>
          <w:szCs w:val="20"/>
        </w:rPr>
        <w:t>financial</w:t>
      </w:r>
      <w:r>
        <w:rPr>
          <w:rFonts w:ascii="Times New Roman" w:hAnsi="Times New Roman"/>
          <w:sz w:val="20"/>
          <w:szCs w:val="20"/>
        </w:rPr>
        <w:t xml:space="preserve"> </w:t>
      </w:r>
      <w:r w:rsidRPr="00294AAE">
        <w:rPr>
          <w:rFonts w:ascii="Times New Roman" w:hAnsi="Times New Roman"/>
          <w:sz w:val="20"/>
          <w:szCs w:val="20"/>
        </w:rPr>
        <w:t>condition</w:t>
      </w:r>
      <w:r>
        <w:rPr>
          <w:rFonts w:ascii="Times New Roman" w:hAnsi="Times New Roman"/>
          <w:sz w:val="20"/>
          <w:szCs w:val="20"/>
        </w:rPr>
        <w:t xml:space="preserve"> </w:t>
      </w:r>
      <w:r w:rsidRPr="00294AAE">
        <w:rPr>
          <w:rFonts w:ascii="Times New Roman" w:hAnsi="Times New Roman"/>
          <w:sz w:val="20"/>
          <w:szCs w:val="20"/>
        </w:rPr>
        <w:t>and</w:t>
      </w:r>
      <w:r>
        <w:rPr>
          <w:rFonts w:ascii="Times New Roman" w:hAnsi="Times New Roman"/>
          <w:sz w:val="20"/>
          <w:szCs w:val="20"/>
        </w:rPr>
        <w:t xml:space="preserve"> </w:t>
      </w:r>
      <w:r w:rsidRPr="00294AAE">
        <w:rPr>
          <w:rFonts w:ascii="Times New Roman" w:hAnsi="Times New Roman"/>
          <w:sz w:val="20"/>
          <w:szCs w:val="20"/>
        </w:rPr>
        <w:t>access</w:t>
      </w:r>
      <w:r>
        <w:rPr>
          <w:rFonts w:ascii="Times New Roman" w:hAnsi="Times New Roman"/>
          <w:sz w:val="20"/>
          <w:szCs w:val="20"/>
        </w:rPr>
        <w:t xml:space="preserve"> </w:t>
      </w:r>
      <w:r w:rsidRPr="00294AAE">
        <w:rPr>
          <w:rFonts w:ascii="Times New Roman" w:hAnsi="Times New Roman"/>
          <w:sz w:val="20"/>
          <w:szCs w:val="20"/>
        </w:rPr>
        <w:t>to</w:t>
      </w:r>
      <w:r>
        <w:rPr>
          <w:rFonts w:ascii="Times New Roman" w:hAnsi="Times New Roman"/>
          <w:sz w:val="20"/>
          <w:szCs w:val="20"/>
        </w:rPr>
        <w:t xml:space="preserve"> </w:t>
      </w:r>
      <w:r w:rsidRPr="00294AAE">
        <w:rPr>
          <w:rFonts w:ascii="Times New Roman" w:hAnsi="Times New Roman"/>
          <w:sz w:val="20"/>
          <w:szCs w:val="20"/>
        </w:rPr>
        <w:t>capital</w:t>
      </w:r>
      <w:r>
        <w:rPr>
          <w:rFonts w:ascii="Times New Roman" w:hAnsi="Times New Roman"/>
          <w:sz w:val="20"/>
          <w:szCs w:val="20"/>
        </w:rPr>
        <w:t xml:space="preserve"> </w:t>
      </w:r>
      <w:r w:rsidRPr="00294AAE">
        <w:rPr>
          <w:rFonts w:ascii="Times New Roman" w:hAnsi="Times New Roman"/>
          <w:sz w:val="20"/>
          <w:szCs w:val="20"/>
        </w:rPr>
        <w:t>and</w:t>
      </w:r>
      <w:r>
        <w:rPr>
          <w:rFonts w:ascii="Times New Roman" w:hAnsi="Times New Roman"/>
          <w:sz w:val="20"/>
          <w:szCs w:val="20"/>
        </w:rPr>
        <w:t xml:space="preserve"> </w:t>
      </w:r>
      <w:r w:rsidRPr="00294AAE">
        <w:rPr>
          <w:rFonts w:ascii="Times New Roman" w:hAnsi="Times New Roman"/>
          <w:sz w:val="20"/>
          <w:szCs w:val="20"/>
        </w:rPr>
        <w:t>other</w:t>
      </w:r>
      <w:r>
        <w:rPr>
          <w:rFonts w:ascii="Times New Roman" w:hAnsi="Times New Roman"/>
          <w:sz w:val="20"/>
          <w:szCs w:val="20"/>
        </w:rPr>
        <w:t xml:space="preserve"> </w:t>
      </w:r>
      <w:r w:rsidRPr="00294AAE">
        <w:rPr>
          <w:rFonts w:ascii="Times New Roman" w:hAnsi="Times New Roman"/>
          <w:sz w:val="20"/>
          <w:szCs w:val="20"/>
        </w:rPr>
        <w:t>external</w:t>
      </w:r>
      <w:r>
        <w:rPr>
          <w:rFonts w:ascii="Times New Roman" w:hAnsi="Times New Roman"/>
          <w:sz w:val="20"/>
          <w:szCs w:val="20"/>
        </w:rPr>
        <w:t xml:space="preserve"> </w:t>
      </w:r>
      <w:r w:rsidRPr="00294AAE">
        <w:rPr>
          <w:rFonts w:ascii="Times New Roman" w:hAnsi="Times New Roman"/>
          <w:sz w:val="20"/>
          <w:szCs w:val="20"/>
        </w:rPr>
        <w:t>factors</w:t>
      </w:r>
      <w:r>
        <w:rPr>
          <w:rFonts w:ascii="Times New Roman" w:hAnsi="Times New Roman"/>
          <w:sz w:val="20"/>
          <w:szCs w:val="20"/>
        </w:rPr>
        <w:t xml:space="preserve"> </w:t>
      </w:r>
      <w:r w:rsidRPr="00294AAE">
        <w:rPr>
          <w:rFonts w:ascii="Times New Roman" w:hAnsi="Times New Roman"/>
          <w:sz w:val="20"/>
          <w:szCs w:val="20"/>
        </w:rPr>
        <w:t>such</w:t>
      </w:r>
      <w:r>
        <w:rPr>
          <w:rFonts w:ascii="Times New Roman" w:hAnsi="Times New Roman"/>
          <w:sz w:val="20"/>
          <w:szCs w:val="20"/>
        </w:rPr>
        <w:t xml:space="preserve"> </w:t>
      </w:r>
      <w:r w:rsidRPr="00294AAE">
        <w:rPr>
          <w:rFonts w:ascii="Times New Roman" w:hAnsi="Times New Roman"/>
          <w:sz w:val="20"/>
          <w:szCs w:val="20"/>
        </w:rPr>
        <w:t>as changes in the business environment or regulatory climate and interest or exchange rate fluctuations, which may not</w:t>
      </w:r>
      <w:r>
        <w:rPr>
          <w:rFonts w:ascii="Times New Roman" w:hAnsi="Times New Roman"/>
          <w:sz w:val="20"/>
          <w:szCs w:val="20"/>
        </w:rPr>
        <w:t xml:space="preserve"> </w:t>
      </w:r>
      <w:r w:rsidRPr="00294AAE">
        <w:rPr>
          <w:rFonts w:ascii="Times New Roman" w:hAnsi="Times New Roman"/>
          <w:sz w:val="20"/>
          <w:szCs w:val="20"/>
        </w:rPr>
        <w:t>be</w:t>
      </w:r>
      <w:r>
        <w:rPr>
          <w:rFonts w:ascii="Times New Roman" w:hAnsi="Times New Roman"/>
          <w:sz w:val="20"/>
          <w:szCs w:val="20"/>
        </w:rPr>
        <w:t xml:space="preserve"> </w:t>
      </w:r>
      <w:r w:rsidRPr="00294AAE">
        <w:rPr>
          <w:rFonts w:ascii="Times New Roman" w:hAnsi="Times New Roman"/>
          <w:sz w:val="20"/>
          <w:szCs w:val="20"/>
        </w:rPr>
        <w:t>within</w:t>
      </w:r>
      <w:r>
        <w:rPr>
          <w:rFonts w:ascii="Times New Roman" w:hAnsi="Times New Roman"/>
          <w:sz w:val="20"/>
          <w:szCs w:val="20"/>
        </w:rPr>
        <w:t xml:space="preserve"> </w:t>
      </w:r>
      <w:r w:rsidRPr="00294AAE">
        <w:rPr>
          <w:rFonts w:ascii="Times New Roman" w:hAnsi="Times New Roman"/>
          <w:sz w:val="20"/>
          <w:szCs w:val="20"/>
        </w:rPr>
        <w:t>the</w:t>
      </w:r>
      <w:r>
        <w:rPr>
          <w:rFonts w:ascii="Times New Roman" w:hAnsi="Times New Roman"/>
          <w:sz w:val="20"/>
          <w:szCs w:val="20"/>
        </w:rPr>
        <w:t xml:space="preserve"> </w:t>
      </w:r>
      <w:r w:rsidRPr="00294AAE">
        <w:rPr>
          <w:rFonts w:ascii="Times New Roman" w:hAnsi="Times New Roman"/>
          <w:sz w:val="20"/>
          <w:szCs w:val="20"/>
        </w:rPr>
        <w:t>control</w:t>
      </w:r>
      <w:r>
        <w:rPr>
          <w:rFonts w:ascii="Times New Roman" w:hAnsi="Times New Roman"/>
          <w:sz w:val="20"/>
          <w:szCs w:val="20"/>
        </w:rPr>
        <w:t xml:space="preserve"> </w:t>
      </w:r>
      <w:r w:rsidRPr="00294AAE">
        <w:rPr>
          <w:rFonts w:ascii="Times New Roman" w:hAnsi="Times New Roman"/>
          <w:sz w:val="20"/>
          <w:szCs w:val="20"/>
        </w:rPr>
        <w:t>of</w:t>
      </w:r>
      <w:r>
        <w:rPr>
          <w:rFonts w:ascii="Times New Roman" w:hAnsi="Times New Roman"/>
          <w:sz w:val="20"/>
          <w:szCs w:val="20"/>
        </w:rPr>
        <w:t xml:space="preserve"> </w:t>
      </w:r>
      <w:r w:rsidRPr="00294AAE">
        <w:rPr>
          <w:rFonts w:ascii="Times New Roman" w:hAnsi="Times New Roman"/>
          <w:sz w:val="20"/>
          <w:szCs w:val="20"/>
        </w:rPr>
        <w:t>our</w:t>
      </w:r>
      <w:r>
        <w:rPr>
          <w:rFonts w:ascii="Times New Roman" w:hAnsi="Times New Roman"/>
          <w:sz w:val="20"/>
          <w:szCs w:val="20"/>
        </w:rPr>
        <w:t xml:space="preserve"> </w:t>
      </w:r>
      <w:r w:rsidRPr="00294AAE">
        <w:rPr>
          <w:rFonts w:ascii="Times New Roman" w:hAnsi="Times New Roman"/>
          <w:sz w:val="20"/>
          <w:szCs w:val="20"/>
        </w:rPr>
        <w:t>management.</w:t>
      </w:r>
      <w:r>
        <w:rPr>
          <w:rFonts w:ascii="Times New Roman" w:hAnsi="Times New Roman"/>
          <w:sz w:val="20"/>
          <w:szCs w:val="20"/>
        </w:rPr>
        <w:t xml:space="preserve"> </w:t>
      </w:r>
      <w:r w:rsidRPr="00294AAE">
        <w:rPr>
          <w:rFonts w:ascii="Times New Roman" w:hAnsi="Times New Roman"/>
          <w:sz w:val="20"/>
          <w:szCs w:val="20"/>
        </w:rPr>
        <w:t>This</w:t>
      </w:r>
      <w:r>
        <w:rPr>
          <w:rFonts w:ascii="Times New Roman" w:hAnsi="Times New Roman"/>
          <w:sz w:val="20"/>
          <w:szCs w:val="20"/>
        </w:rPr>
        <w:t xml:space="preserve"> </w:t>
      </w:r>
      <w:r w:rsidRPr="00294AAE">
        <w:rPr>
          <w:rFonts w:ascii="Times New Roman" w:hAnsi="Times New Roman"/>
          <w:sz w:val="20"/>
          <w:szCs w:val="20"/>
        </w:rPr>
        <w:t>may</w:t>
      </w:r>
      <w:r>
        <w:rPr>
          <w:rFonts w:ascii="Times New Roman" w:hAnsi="Times New Roman"/>
          <w:sz w:val="20"/>
          <w:szCs w:val="20"/>
        </w:rPr>
        <w:t xml:space="preserve"> </w:t>
      </w:r>
      <w:r w:rsidRPr="00294AAE">
        <w:rPr>
          <w:rFonts w:ascii="Times New Roman" w:hAnsi="Times New Roman"/>
          <w:sz w:val="20"/>
          <w:szCs w:val="20"/>
        </w:rPr>
        <w:t>entail reviewing</w:t>
      </w:r>
      <w:r>
        <w:rPr>
          <w:rFonts w:ascii="Times New Roman" w:hAnsi="Times New Roman"/>
          <w:sz w:val="20"/>
          <w:szCs w:val="20"/>
        </w:rPr>
        <w:t xml:space="preserve"> </w:t>
      </w:r>
      <w:r w:rsidRPr="00294AAE">
        <w:rPr>
          <w:rFonts w:ascii="Times New Roman" w:hAnsi="Times New Roman"/>
          <w:sz w:val="20"/>
          <w:szCs w:val="20"/>
        </w:rPr>
        <w:t>the</w:t>
      </w:r>
      <w:r>
        <w:rPr>
          <w:rFonts w:ascii="Times New Roman" w:hAnsi="Times New Roman"/>
          <w:sz w:val="20"/>
          <w:szCs w:val="20"/>
        </w:rPr>
        <w:t xml:space="preserve"> </w:t>
      </w:r>
      <w:r w:rsidRPr="00294AAE">
        <w:rPr>
          <w:rFonts w:ascii="Times New Roman" w:hAnsi="Times New Roman"/>
          <w:sz w:val="20"/>
          <w:szCs w:val="20"/>
        </w:rPr>
        <w:t>proposed</w:t>
      </w:r>
      <w:r>
        <w:rPr>
          <w:rFonts w:ascii="Times New Roman" w:hAnsi="Times New Roman"/>
          <w:sz w:val="20"/>
          <w:szCs w:val="20"/>
        </w:rPr>
        <w:t xml:space="preserve"> </w:t>
      </w:r>
      <w:r w:rsidRPr="00294AAE">
        <w:rPr>
          <w:rFonts w:ascii="Times New Roman" w:hAnsi="Times New Roman"/>
          <w:sz w:val="20"/>
          <w:szCs w:val="20"/>
        </w:rPr>
        <w:t>utilisation</w:t>
      </w:r>
      <w:r>
        <w:rPr>
          <w:rFonts w:ascii="Times New Roman" w:hAnsi="Times New Roman"/>
          <w:sz w:val="20"/>
          <w:szCs w:val="20"/>
        </w:rPr>
        <w:t xml:space="preserve"> </w:t>
      </w:r>
      <w:r w:rsidRPr="00294AAE">
        <w:rPr>
          <w:rFonts w:ascii="Times New Roman" w:hAnsi="Times New Roman"/>
          <w:sz w:val="20"/>
          <w:szCs w:val="20"/>
        </w:rPr>
        <w:t>of</w:t>
      </w:r>
      <w:r>
        <w:rPr>
          <w:rFonts w:ascii="Times New Roman" w:hAnsi="Times New Roman"/>
          <w:sz w:val="20"/>
          <w:szCs w:val="20"/>
        </w:rPr>
        <w:t xml:space="preserve"> </w:t>
      </w:r>
      <w:r w:rsidRPr="00294AAE">
        <w:rPr>
          <w:rFonts w:ascii="Times New Roman" w:hAnsi="Times New Roman"/>
          <w:sz w:val="20"/>
          <w:szCs w:val="20"/>
        </w:rPr>
        <w:t>the</w:t>
      </w:r>
      <w:r>
        <w:rPr>
          <w:rFonts w:ascii="Times New Roman" w:hAnsi="Times New Roman"/>
          <w:sz w:val="20"/>
          <w:szCs w:val="20"/>
        </w:rPr>
        <w:t xml:space="preserve"> </w:t>
      </w:r>
      <w:r w:rsidRPr="00294AAE">
        <w:rPr>
          <w:rFonts w:ascii="Times New Roman" w:hAnsi="Times New Roman"/>
          <w:sz w:val="20"/>
          <w:szCs w:val="20"/>
        </w:rPr>
        <w:t>Net</w:t>
      </w:r>
      <w:r>
        <w:rPr>
          <w:rFonts w:ascii="Times New Roman" w:hAnsi="Times New Roman"/>
          <w:sz w:val="20"/>
          <w:szCs w:val="20"/>
        </w:rPr>
        <w:t xml:space="preserve"> </w:t>
      </w:r>
      <w:r w:rsidRPr="00294AAE">
        <w:rPr>
          <w:rFonts w:ascii="Times New Roman" w:hAnsi="Times New Roman"/>
          <w:sz w:val="20"/>
          <w:szCs w:val="20"/>
        </w:rPr>
        <w:t>Proceeds and changing the allocation of funds from its planned allocation at the discretion of our management, subject to compliance with applicable law.</w:t>
      </w:r>
    </w:p>
    <w:p w14:paraId="565CC3DC" w14:textId="77777777" w:rsidR="00CB2D76" w:rsidRPr="001A423D" w:rsidRDefault="00CB2D76" w:rsidP="00CB2D76">
      <w:pPr>
        <w:spacing w:after="0" w:line="240" w:lineRule="auto"/>
        <w:jc w:val="both"/>
        <w:rPr>
          <w:rFonts w:ascii="Times New Roman" w:hAnsi="Times New Roman"/>
          <w:b/>
          <w:bCs/>
          <w:sz w:val="20"/>
          <w:szCs w:val="20"/>
        </w:rPr>
      </w:pPr>
      <w:r w:rsidRPr="001A423D">
        <w:rPr>
          <w:rFonts w:ascii="Times New Roman" w:hAnsi="Times New Roman"/>
          <w:b/>
          <w:bCs/>
          <w:sz w:val="20"/>
          <w:szCs w:val="20"/>
        </w:rPr>
        <w:lastRenderedPageBreak/>
        <w:t>Shortfall of Funds</w:t>
      </w:r>
    </w:p>
    <w:p w14:paraId="3FD2C1A3" w14:textId="77777777" w:rsidR="00CB2D76" w:rsidRPr="001A423D" w:rsidRDefault="00CB2D76" w:rsidP="00CB2D76">
      <w:pPr>
        <w:spacing w:after="0" w:line="240" w:lineRule="auto"/>
        <w:jc w:val="both"/>
        <w:rPr>
          <w:rFonts w:ascii="Times New Roman" w:hAnsi="Times New Roman"/>
          <w:b/>
          <w:bCs/>
          <w:sz w:val="20"/>
          <w:szCs w:val="20"/>
        </w:rPr>
      </w:pPr>
    </w:p>
    <w:p w14:paraId="135B6794" w14:textId="77777777" w:rsidR="00CB2D76" w:rsidRPr="001A423D" w:rsidRDefault="00CB2D76" w:rsidP="00CB2D76">
      <w:pPr>
        <w:spacing w:after="0" w:line="240" w:lineRule="auto"/>
        <w:jc w:val="both"/>
        <w:rPr>
          <w:rFonts w:ascii="Times New Roman" w:hAnsi="Times New Roman"/>
          <w:sz w:val="20"/>
          <w:szCs w:val="20"/>
        </w:rPr>
      </w:pPr>
      <w:r w:rsidRPr="001A423D">
        <w:rPr>
          <w:rFonts w:ascii="Times New Roman" w:hAnsi="Times New Roman"/>
          <w:sz w:val="20"/>
          <w:szCs w:val="20"/>
        </w:rPr>
        <w:t>Any shortfall in meeting the fund requirements will be met by way of internal accruals and or unsecured Loans.</w:t>
      </w:r>
    </w:p>
    <w:p w14:paraId="34A158AE" w14:textId="77777777" w:rsidR="00CB2D76" w:rsidRPr="001A423D" w:rsidRDefault="00CB2D76" w:rsidP="00CB2D76">
      <w:pPr>
        <w:spacing w:after="0" w:line="240" w:lineRule="auto"/>
        <w:jc w:val="both"/>
        <w:rPr>
          <w:rFonts w:ascii="Times New Roman" w:hAnsi="Times New Roman"/>
          <w:sz w:val="20"/>
          <w:szCs w:val="20"/>
        </w:rPr>
      </w:pPr>
    </w:p>
    <w:p w14:paraId="2CD3E2BB" w14:textId="77777777" w:rsidR="00CB2D76" w:rsidRPr="001A423D" w:rsidRDefault="00CB2D76" w:rsidP="00CB2D76">
      <w:pPr>
        <w:spacing w:after="0" w:line="240" w:lineRule="auto"/>
        <w:jc w:val="both"/>
        <w:rPr>
          <w:rFonts w:ascii="Times New Roman" w:hAnsi="Times New Roman"/>
          <w:b/>
          <w:bCs/>
          <w:sz w:val="20"/>
          <w:szCs w:val="20"/>
        </w:rPr>
      </w:pPr>
      <w:r w:rsidRPr="001A423D">
        <w:rPr>
          <w:rFonts w:ascii="Times New Roman" w:hAnsi="Times New Roman"/>
          <w:b/>
          <w:bCs/>
          <w:sz w:val="20"/>
          <w:szCs w:val="20"/>
        </w:rPr>
        <w:t>Bridge Financing Facilities</w:t>
      </w:r>
    </w:p>
    <w:p w14:paraId="57ADD967" w14:textId="77777777" w:rsidR="00CB2D76" w:rsidRPr="001A423D" w:rsidRDefault="00CB2D76" w:rsidP="00CB2D76">
      <w:pPr>
        <w:spacing w:after="0" w:line="240" w:lineRule="auto"/>
        <w:ind w:firstLine="547"/>
        <w:jc w:val="both"/>
        <w:rPr>
          <w:rFonts w:ascii="Times New Roman" w:hAnsi="Times New Roman"/>
          <w:sz w:val="20"/>
          <w:szCs w:val="20"/>
        </w:rPr>
      </w:pPr>
    </w:p>
    <w:p w14:paraId="437A2A78" w14:textId="77777777" w:rsidR="00CB2D76" w:rsidRPr="001A423D" w:rsidRDefault="00CB2D76" w:rsidP="00CB2D76">
      <w:pPr>
        <w:spacing w:after="0" w:line="240" w:lineRule="auto"/>
        <w:jc w:val="both"/>
        <w:rPr>
          <w:rFonts w:ascii="Times New Roman" w:hAnsi="Times New Roman"/>
          <w:b/>
          <w:sz w:val="20"/>
          <w:szCs w:val="20"/>
        </w:rPr>
      </w:pPr>
      <w:r w:rsidRPr="001A423D">
        <w:rPr>
          <w:rFonts w:ascii="Times New Roman" w:hAnsi="Times New Roman"/>
          <w:sz w:val="20"/>
          <w:szCs w:val="20"/>
        </w:rPr>
        <w:t>As on the date of the Draft Red Herring Prospectus, we have not raised any bridge loans which are proposed to be repaid from the Net Proceeds.</w:t>
      </w:r>
    </w:p>
    <w:p w14:paraId="40BC2692" w14:textId="77777777" w:rsidR="00CB2D76" w:rsidRPr="001A423D" w:rsidRDefault="00CB2D76" w:rsidP="00CB2D76">
      <w:pPr>
        <w:spacing w:after="0" w:line="240" w:lineRule="auto"/>
        <w:ind w:firstLine="547"/>
        <w:jc w:val="both"/>
        <w:rPr>
          <w:rFonts w:ascii="Times New Roman" w:hAnsi="Times New Roman"/>
          <w:b/>
          <w:sz w:val="20"/>
          <w:szCs w:val="20"/>
        </w:rPr>
      </w:pPr>
    </w:p>
    <w:p w14:paraId="0D2074E0" w14:textId="77777777" w:rsidR="00CB2D76" w:rsidRPr="001A423D" w:rsidRDefault="00CB2D76" w:rsidP="00CB2D76">
      <w:pPr>
        <w:spacing w:after="0" w:line="240" w:lineRule="auto"/>
        <w:jc w:val="both"/>
        <w:rPr>
          <w:rFonts w:ascii="Times New Roman" w:hAnsi="Times New Roman"/>
          <w:b/>
          <w:sz w:val="20"/>
          <w:szCs w:val="20"/>
        </w:rPr>
      </w:pPr>
      <w:r w:rsidRPr="001A423D">
        <w:rPr>
          <w:rFonts w:ascii="Times New Roman" w:hAnsi="Times New Roman"/>
          <w:b/>
          <w:sz w:val="20"/>
          <w:szCs w:val="20"/>
        </w:rPr>
        <w:t>Monitoring Utilization of Funds</w:t>
      </w:r>
    </w:p>
    <w:p w14:paraId="313073F1" w14:textId="77777777" w:rsidR="00CB2D76" w:rsidRPr="001A423D" w:rsidRDefault="00CB2D76" w:rsidP="00CB2D76">
      <w:pPr>
        <w:spacing w:after="0" w:line="240" w:lineRule="auto"/>
        <w:ind w:firstLine="547"/>
        <w:jc w:val="both"/>
        <w:rPr>
          <w:rFonts w:ascii="Times New Roman" w:hAnsi="Times New Roman"/>
          <w:b/>
          <w:sz w:val="20"/>
          <w:szCs w:val="20"/>
        </w:rPr>
      </w:pPr>
    </w:p>
    <w:p w14:paraId="2ADCB1BB" w14:textId="77777777" w:rsidR="00CB2D76" w:rsidRPr="001A423D" w:rsidRDefault="00CB2D76" w:rsidP="00CB2D76">
      <w:pPr>
        <w:autoSpaceDE w:val="0"/>
        <w:autoSpaceDN w:val="0"/>
        <w:adjustRightInd w:val="0"/>
        <w:spacing w:after="0" w:line="240" w:lineRule="auto"/>
        <w:jc w:val="both"/>
        <w:rPr>
          <w:rFonts w:ascii="Times New Roman" w:hAnsi="Times New Roman"/>
          <w:sz w:val="20"/>
          <w:szCs w:val="20"/>
        </w:rPr>
      </w:pPr>
      <w:r w:rsidRPr="001A423D">
        <w:rPr>
          <w:rFonts w:ascii="Times New Roman" w:hAnsi="Times New Roman"/>
          <w:sz w:val="20"/>
          <w:szCs w:val="20"/>
        </w:rPr>
        <w:t>As the size of the Issue will not exceed ₹ 10,000 Lakhs, the appointment of Monitoring Agency would not be required as per Regulation 262(1) of the SEBI ICDR Regulations. Our Board and the management will monitor the utilization of the Net Issue Proceeds through our audit committee. Pursuant to Regulation 32 of the SEBI Listing Regulations, our Company shall on half-yearly basis disclose to the Audit Committee the Application of the proceeds of the Issue. On an annual basis, our Company shall prepare a statement of funds utilized for purposes other than stated in this Draft Red Herring Prospectus and place it before the Audit Committee. Such disclosures shall be made only until such time that all the proceeds of the Issue have been utilized in full.</w:t>
      </w:r>
    </w:p>
    <w:p w14:paraId="6F9B09DA" w14:textId="77777777" w:rsidR="00CB2D76" w:rsidRPr="001A423D" w:rsidRDefault="00CB2D76" w:rsidP="00CB2D76">
      <w:pPr>
        <w:autoSpaceDE w:val="0"/>
        <w:autoSpaceDN w:val="0"/>
        <w:adjustRightInd w:val="0"/>
        <w:spacing w:after="0" w:line="240" w:lineRule="auto"/>
        <w:jc w:val="both"/>
        <w:rPr>
          <w:rFonts w:ascii="Times New Roman" w:hAnsi="Times New Roman"/>
          <w:sz w:val="20"/>
          <w:szCs w:val="20"/>
        </w:rPr>
      </w:pPr>
    </w:p>
    <w:p w14:paraId="29D5F5DE" w14:textId="77777777" w:rsidR="00CB2D76" w:rsidRPr="001A423D" w:rsidRDefault="00CB2D76" w:rsidP="00CB2D76">
      <w:pPr>
        <w:spacing w:after="0" w:line="240" w:lineRule="auto"/>
        <w:jc w:val="both"/>
        <w:rPr>
          <w:rFonts w:ascii="Times New Roman" w:hAnsi="Times New Roman"/>
          <w:b/>
          <w:sz w:val="20"/>
          <w:szCs w:val="20"/>
        </w:rPr>
      </w:pPr>
      <w:r w:rsidRPr="001A423D">
        <w:rPr>
          <w:rFonts w:ascii="Times New Roman" w:hAnsi="Times New Roman"/>
          <w:b/>
          <w:sz w:val="20"/>
          <w:szCs w:val="20"/>
        </w:rPr>
        <w:t>Interim Use of Proceeds</w:t>
      </w:r>
    </w:p>
    <w:p w14:paraId="1046214A" w14:textId="77777777" w:rsidR="00CB2D76" w:rsidRPr="001A423D" w:rsidRDefault="00CB2D76" w:rsidP="00CB2D76">
      <w:pPr>
        <w:spacing w:after="0" w:line="240" w:lineRule="auto"/>
        <w:ind w:firstLine="547"/>
        <w:jc w:val="both"/>
        <w:rPr>
          <w:rFonts w:ascii="Times New Roman" w:hAnsi="Times New Roman"/>
          <w:b/>
          <w:sz w:val="20"/>
          <w:szCs w:val="20"/>
        </w:rPr>
      </w:pPr>
    </w:p>
    <w:p w14:paraId="6D77CCFA" w14:textId="77777777" w:rsidR="00CB2D76" w:rsidRPr="001A423D" w:rsidRDefault="00CB2D76" w:rsidP="00CB2D76">
      <w:pPr>
        <w:spacing w:after="0" w:line="240" w:lineRule="auto"/>
        <w:jc w:val="both"/>
        <w:rPr>
          <w:rFonts w:ascii="Times New Roman" w:hAnsi="Times New Roman"/>
          <w:sz w:val="20"/>
          <w:szCs w:val="20"/>
        </w:rPr>
      </w:pPr>
      <w:r w:rsidRPr="001A423D">
        <w:rPr>
          <w:rFonts w:ascii="Times New Roman" w:hAnsi="Times New Roman"/>
          <w:sz w:val="20"/>
          <w:szCs w:val="20"/>
        </w:rPr>
        <w:t xml:space="preserve">Pending utilization of the Issue proceeds of the Issue for the purposes described above, our Company will deposit the Net Proceeds with scheduled commercial banks included in schedule II of the RBI Act. </w:t>
      </w:r>
    </w:p>
    <w:p w14:paraId="27FF7C65" w14:textId="77777777" w:rsidR="00CB2D76" w:rsidRPr="001A423D" w:rsidRDefault="00CB2D76" w:rsidP="00CB2D76">
      <w:pPr>
        <w:spacing w:after="0" w:line="240" w:lineRule="auto"/>
        <w:jc w:val="both"/>
        <w:rPr>
          <w:rFonts w:ascii="Times New Roman" w:hAnsi="Times New Roman"/>
          <w:sz w:val="20"/>
          <w:szCs w:val="20"/>
        </w:rPr>
      </w:pPr>
    </w:p>
    <w:p w14:paraId="0F5405FC" w14:textId="77777777" w:rsidR="00CB2D76" w:rsidRPr="001A423D" w:rsidRDefault="00CB2D76" w:rsidP="00CB2D76">
      <w:pPr>
        <w:spacing w:after="0" w:line="240" w:lineRule="auto"/>
        <w:jc w:val="both"/>
        <w:rPr>
          <w:rFonts w:ascii="Times New Roman" w:hAnsi="Times New Roman"/>
          <w:sz w:val="20"/>
          <w:szCs w:val="20"/>
        </w:rPr>
      </w:pPr>
      <w:r w:rsidRPr="001A423D">
        <w:rPr>
          <w:rFonts w:ascii="Times New Roman" w:hAnsi="Times New Roman"/>
          <w:sz w:val="20"/>
          <w:szCs w:val="20"/>
        </w:rPr>
        <w:t>Our Company confirms that it shall not use the Net Proceeds for buying, trading or otherwise dealing in shares of any listed company or for any investment in the equity markets or investing in any real estate product or real estate linked products.</w:t>
      </w:r>
    </w:p>
    <w:p w14:paraId="25765F7A" w14:textId="77777777" w:rsidR="00CB2D76" w:rsidRPr="001A423D" w:rsidRDefault="00CB2D76" w:rsidP="00CB2D76">
      <w:pPr>
        <w:spacing w:after="0" w:line="240" w:lineRule="auto"/>
        <w:jc w:val="both"/>
        <w:rPr>
          <w:rFonts w:ascii="Times New Roman" w:hAnsi="Times New Roman"/>
          <w:b/>
          <w:bCs/>
          <w:sz w:val="20"/>
          <w:szCs w:val="20"/>
        </w:rPr>
      </w:pPr>
    </w:p>
    <w:p w14:paraId="4939975F" w14:textId="77777777" w:rsidR="00CB2D76" w:rsidRPr="001A423D" w:rsidRDefault="00CB2D76" w:rsidP="00CB2D76">
      <w:pPr>
        <w:spacing w:after="0" w:line="240" w:lineRule="auto"/>
        <w:jc w:val="both"/>
        <w:rPr>
          <w:rFonts w:ascii="Times New Roman" w:hAnsi="Times New Roman"/>
          <w:b/>
          <w:bCs/>
          <w:sz w:val="20"/>
          <w:szCs w:val="20"/>
        </w:rPr>
      </w:pPr>
      <w:r w:rsidRPr="001A423D">
        <w:rPr>
          <w:rFonts w:ascii="Times New Roman" w:hAnsi="Times New Roman"/>
          <w:b/>
          <w:bCs/>
          <w:sz w:val="20"/>
          <w:szCs w:val="20"/>
        </w:rPr>
        <w:t>Variation in Objects</w:t>
      </w:r>
    </w:p>
    <w:p w14:paraId="4170FF5D" w14:textId="77777777" w:rsidR="00CB2D76" w:rsidRPr="001A423D" w:rsidRDefault="00CB2D76" w:rsidP="00CB2D76">
      <w:pPr>
        <w:spacing w:after="0" w:line="240" w:lineRule="auto"/>
        <w:jc w:val="both"/>
        <w:rPr>
          <w:rFonts w:ascii="Times New Roman" w:hAnsi="Times New Roman"/>
          <w:b/>
          <w:bCs/>
          <w:sz w:val="20"/>
          <w:szCs w:val="20"/>
        </w:rPr>
      </w:pPr>
    </w:p>
    <w:p w14:paraId="2701632F" w14:textId="77777777" w:rsidR="00CB2D76" w:rsidRPr="001A423D" w:rsidRDefault="00CB2D76" w:rsidP="00CB2D76">
      <w:pPr>
        <w:spacing w:after="0" w:line="240" w:lineRule="auto"/>
        <w:jc w:val="both"/>
        <w:rPr>
          <w:rFonts w:ascii="Times New Roman" w:hAnsi="Times New Roman"/>
          <w:sz w:val="20"/>
          <w:szCs w:val="20"/>
        </w:rPr>
      </w:pPr>
      <w:r w:rsidRPr="001A423D">
        <w:rPr>
          <w:rFonts w:ascii="Times New Roman" w:hAnsi="Times New Roman"/>
          <w:sz w:val="20"/>
          <w:szCs w:val="20"/>
        </w:rPr>
        <w:t>In accordance with Section 27 of the Companies Act, 2013, our Company shall not vary the objects of the Issue without our Company being authorized to do so by the Shareholders by way of a Special Resolution. In addition, the notice issued to the Shareholders in relation to the passing of such special resolution shall specify the prescribed details as required under the Companies Act and shall be published in accordance with the Companies Act and the rules there under. As per the current provisions of the Companies Act, our Promoter or controlling Shareholders would be required to provide an exit opportunity to such shareholders who do not agree to the proposal to vary the objects, at such price, and in such manner, as may be prescribed by SEBI, in this regard.</w:t>
      </w:r>
    </w:p>
    <w:p w14:paraId="7B46D817" w14:textId="77777777" w:rsidR="00CB2D76" w:rsidRPr="001A423D" w:rsidRDefault="00CB2D76" w:rsidP="00CB2D76">
      <w:pPr>
        <w:spacing w:after="0" w:line="240" w:lineRule="auto"/>
        <w:jc w:val="both"/>
        <w:rPr>
          <w:rFonts w:ascii="Times New Roman" w:hAnsi="Times New Roman"/>
          <w:sz w:val="20"/>
          <w:szCs w:val="20"/>
        </w:rPr>
      </w:pPr>
    </w:p>
    <w:p w14:paraId="67DCD846" w14:textId="77777777" w:rsidR="00CB2D76" w:rsidRPr="001A423D" w:rsidRDefault="00CB2D76" w:rsidP="00CB2D76">
      <w:pPr>
        <w:spacing w:after="0" w:line="240" w:lineRule="auto"/>
        <w:jc w:val="both"/>
        <w:rPr>
          <w:rFonts w:ascii="Times New Roman" w:hAnsi="Times New Roman"/>
          <w:b/>
          <w:bCs/>
          <w:sz w:val="20"/>
          <w:szCs w:val="20"/>
        </w:rPr>
      </w:pPr>
      <w:r w:rsidRPr="001A423D">
        <w:rPr>
          <w:rFonts w:ascii="Times New Roman" w:hAnsi="Times New Roman"/>
          <w:b/>
          <w:bCs/>
          <w:sz w:val="20"/>
          <w:szCs w:val="20"/>
        </w:rPr>
        <w:t>Other confirmations</w:t>
      </w:r>
    </w:p>
    <w:p w14:paraId="1E61E141" w14:textId="77777777" w:rsidR="00CB2D76" w:rsidRPr="001A423D" w:rsidRDefault="00CB2D76" w:rsidP="00CB2D76">
      <w:pPr>
        <w:spacing w:after="0" w:line="240" w:lineRule="auto"/>
        <w:ind w:firstLine="547"/>
        <w:jc w:val="both"/>
        <w:rPr>
          <w:rFonts w:ascii="Times New Roman" w:hAnsi="Times New Roman"/>
          <w:sz w:val="20"/>
          <w:szCs w:val="20"/>
        </w:rPr>
      </w:pPr>
    </w:p>
    <w:p w14:paraId="1B0FDBCF" w14:textId="6E4F6EA5" w:rsidR="007524F6" w:rsidRDefault="00CB2D76" w:rsidP="00CB2D76">
      <w:pPr>
        <w:spacing w:after="0" w:line="240" w:lineRule="auto"/>
        <w:jc w:val="both"/>
        <w:rPr>
          <w:rFonts w:ascii="Times New Roman" w:hAnsi="Times New Roman"/>
          <w:sz w:val="20"/>
          <w:szCs w:val="20"/>
        </w:rPr>
      </w:pPr>
      <w:r w:rsidRPr="001A423D">
        <w:rPr>
          <w:rFonts w:ascii="Times New Roman" w:hAnsi="Times New Roman"/>
          <w:sz w:val="20"/>
          <w:szCs w:val="20"/>
        </w:rPr>
        <w:t>There are no material existing or anticipated transactions with our Promoter, our Directors, our Company’s key Managerial personnel, in relation to the utilization of the Net Proceeds. No part of the Net Proceeds will be paid by us as consideration to our Promoter, our directors or key managerial personnel except in the normal course of business and in compliance with the applicable</w:t>
      </w:r>
      <w:r>
        <w:rPr>
          <w:rFonts w:ascii="Times New Roman" w:hAnsi="Times New Roman"/>
          <w:sz w:val="20"/>
          <w:szCs w:val="20"/>
        </w:rPr>
        <w:t xml:space="preserve"> </w:t>
      </w:r>
      <w:r w:rsidR="00FB35D0">
        <w:rPr>
          <w:rFonts w:ascii="Times New Roman" w:hAnsi="Times New Roman"/>
          <w:sz w:val="20"/>
          <w:szCs w:val="20"/>
        </w:rPr>
        <w:t>laws.</w:t>
      </w:r>
    </w:p>
    <w:p w14:paraId="061409D3" w14:textId="77777777" w:rsidR="007524F6" w:rsidRDefault="007524F6">
      <w:pPr>
        <w:spacing w:after="160" w:line="259" w:lineRule="auto"/>
        <w:rPr>
          <w:rFonts w:ascii="Times New Roman" w:hAnsi="Times New Roman"/>
          <w:sz w:val="20"/>
          <w:szCs w:val="20"/>
        </w:rPr>
      </w:pPr>
      <w:r>
        <w:rPr>
          <w:rFonts w:ascii="Times New Roman" w:hAnsi="Times New Roman"/>
          <w:sz w:val="20"/>
          <w:szCs w:val="20"/>
        </w:rPr>
        <w:br w:type="page"/>
      </w:r>
    </w:p>
    <w:p w14:paraId="1A9AA2B4" w14:textId="77777777" w:rsidR="00F038BD" w:rsidRPr="00F038BD" w:rsidRDefault="00F038BD" w:rsidP="00F038BD">
      <w:pPr>
        <w:spacing w:after="0" w:line="240" w:lineRule="auto"/>
        <w:ind w:left="272"/>
        <w:jc w:val="center"/>
        <w:rPr>
          <w:rFonts w:ascii="Times New Roman" w:eastAsia="MS Mincho" w:hAnsi="Times New Roman"/>
          <w:b/>
          <w:sz w:val="20"/>
          <w:szCs w:val="20"/>
          <w:u w:val="single"/>
          <w:lang w:val="en-GB"/>
        </w:rPr>
      </w:pPr>
      <w:r w:rsidRPr="00F038BD">
        <w:rPr>
          <w:rFonts w:ascii="Times New Roman" w:eastAsia="MS Mincho" w:hAnsi="Times New Roman"/>
          <w:b/>
          <w:sz w:val="20"/>
          <w:szCs w:val="20"/>
          <w:u w:val="single"/>
          <w:lang w:val="en-GB"/>
        </w:rPr>
        <w:lastRenderedPageBreak/>
        <w:t>BASIS FOR ISSUE PRICE</w:t>
      </w:r>
    </w:p>
    <w:p w14:paraId="396097A7" w14:textId="77777777" w:rsidR="00F038BD" w:rsidRPr="00F038BD" w:rsidRDefault="00F038BD" w:rsidP="00F038BD">
      <w:pPr>
        <w:spacing w:after="0" w:line="240" w:lineRule="auto"/>
        <w:ind w:left="272"/>
        <w:jc w:val="center"/>
        <w:rPr>
          <w:rFonts w:ascii="Times New Roman" w:eastAsia="MS Mincho" w:hAnsi="Times New Roman"/>
          <w:b/>
          <w:sz w:val="20"/>
          <w:szCs w:val="20"/>
          <w:u w:val="single"/>
          <w:lang w:val="en-GB"/>
        </w:rPr>
      </w:pPr>
    </w:p>
    <w:p w14:paraId="49A6A75A" w14:textId="77777777" w:rsidR="00F038BD" w:rsidRPr="00CB2D76" w:rsidRDefault="00F038BD" w:rsidP="00F038BD">
      <w:pPr>
        <w:autoSpaceDE w:val="0"/>
        <w:autoSpaceDN w:val="0"/>
        <w:adjustRightInd w:val="0"/>
        <w:spacing w:after="0" w:line="240" w:lineRule="auto"/>
        <w:jc w:val="both"/>
        <w:rPr>
          <w:rFonts w:ascii="Times New Roman" w:hAnsi="Times New Roman"/>
          <w:i/>
          <w:sz w:val="20"/>
          <w:szCs w:val="20"/>
        </w:rPr>
      </w:pPr>
      <w:r w:rsidRPr="00F038BD">
        <w:rPr>
          <w:rFonts w:ascii="Times New Roman" w:hAnsi="Times New Roman"/>
          <w:i/>
          <w:sz w:val="20"/>
          <w:szCs w:val="20"/>
        </w:rPr>
        <w:t xml:space="preserve">Investors should read the following summary with the section titled </w:t>
      </w:r>
      <w:r w:rsidRPr="00F038BD">
        <w:rPr>
          <w:rFonts w:ascii="Times New Roman" w:hAnsi="Times New Roman"/>
          <w:b/>
          <w:i/>
          <w:sz w:val="20"/>
          <w:szCs w:val="20"/>
        </w:rPr>
        <w:t>“Risk Factors”</w:t>
      </w:r>
      <w:r w:rsidRPr="00F038BD">
        <w:rPr>
          <w:rFonts w:ascii="Times New Roman" w:hAnsi="Times New Roman"/>
          <w:i/>
          <w:sz w:val="20"/>
          <w:szCs w:val="20"/>
        </w:rPr>
        <w:t xml:space="preserve">, the details about our Company under the section titled </w:t>
      </w:r>
      <w:r w:rsidRPr="00F038BD">
        <w:rPr>
          <w:rFonts w:ascii="Times New Roman" w:hAnsi="Times New Roman"/>
          <w:b/>
          <w:i/>
          <w:sz w:val="20"/>
          <w:szCs w:val="20"/>
        </w:rPr>
        <w:t xml:space="preserve">“Our </w:t>
      </w:r>
      <w:r w:rsidRPr="00CB2D76">
        <w:rPr>
          <w:rFonts w:ascii="Times New Roman" w:hAnsi="Times New Roman"/>
          <w:b/>
          <w:i/>
          <w:sz w:val="20"/>
          <w:szCs w:val="20"/>
        </w:rPr>
        <w:t>Business”</w:t>
      </w:r>
      <w:r w:rsidRPr="00CB2D76">
        <w:rPr>
          <w:rFonts w:ascii="Times New Roman" w:hAnsi="Times New Roman"/>
          <w:i/>
          <w:sz w:val="20"/>
          <w:szCs w:val="20"/>
        </w:rPr>
        <w:t xml:space="preserve"> and its financial statements under the section titled </w:t>
      </w:r>
      <w:r w:rsidRPr="00CB2D76">
        <w:rPr>
          <w:rFonts w:ascii="Times New Roman" w:hAnsi="Times New Roman"/>
          <w:b/>
          <w:i/>
          <w:sz w:val="20"/>
          <w:szCs w:val="20"/>
        </w:rPr>
        <w:t xml:space="preserve">“Financial Information of the Company” </w:t>
      </w:r>
      <w:r w:rsidRPr="00CB2D76">
        <w:rPr>
          <w:rFonts w:ascii="Times New Roman" w:hAnsi="Times New Roman"/>
          <w:i/>
          <w:sz w:val="20"/>
          <w:szCs w:val="20"/>
        </w:rPr>
        <w:t>beginning on page 25, 91 and 130</w:t>
      </w:r>
      <w:r w:rsidRPr="00CB2D76">
        <w:rPr>
          <w:rFonts w:ascii="Times New Roman" w:hAnsi="Times New Roman"/>
          <w:sz w:val="20"/>
          <w:szCs w:val="20"/>
        </w:rPr>
        <w:t xml:space="preserve"> </w:t>
      </w:r>
      <w:r w:rsidRPr="00CB2D76">
        <w:rPr>
          <w:rFonts w:ascii="Times New Roman" w:hAnsi="Times New Roman"/>
          <w:i/>
          <w:sz w:val="20"/>
          <w:szCs w:val="20"/>
        </w:rPr>
        <w:t>respectively of the Draft Red Herring Prospectus. The trading price of the Equity Shares of Our Company could decline due to these risks and the investor may lose all or part of his investment.</w:t>
      </w:r>
    </w:p>
    <w:p w14:paraId="196EFEB1" w14:textId="77777777" w:rsidR="00F038BD" w:rsidRPr="00CB2D76" w:rsidRDefault="00F038BD" w:rsidP="00F038BD">
      <w:pPr>
        <w:autoSpaceDE w:val="0"/>
        <w:autoSpaceDN w:val="0"/>
        <w:adjustRightInd w:val="0"/>
        <w:spacing w:after="0" w:line="240" w:lineRule="auto"/>
        <w:ind w:left="272"/>
        <w:jc w:val="both"/>
        <w:rPr>
          <w:rFonts w:ascii="Times New Roman" w:hAnsi="Times New Roman"/>
          <w:i/>
          <w:sz w:val="20"/>
          <w:szCs w:val="20"/>
        </w:rPr>
      </w:pPr>
    </w:p>
    <w:p w14:paraId="522D7B5B" w14:textId="77777777" w:rsidR="00F038BD" w:rsidRPr="00CB2D76" w:rsidRDefault="00F038BD" w:rsidP="00F038BD">
      <w:pPr>
        <w:autoSpaceDE w:val="0"/>
        <w:autoSpaceDN w:val="0"/>
        <w:adjustRightInd w:val="0"/>
        <w:spacing w:after="0" w:line="240" w:lineRule="auto"/>
        <w:jc w:val="both"/>
        <w:rPr>
          <w:rFonts w:ascii="Times New Roman" w:hAnsi="Times New Roman"/>
          <w:sz w:val="20"/>
          <w:szCs w:val="20"/>
          <w:lang w:val="en-GB"/>
        </w:rPr>
      </w:pPr>
      <w:r w:rsidRPr="00CB2D76">
        <w:rPr>
          <w:rFonts w:ascii="Times New Roman" w:hAnsi="Times New Roman"/>
          <w:sz w:val="20"/>
          <w:szCs w:val="20"/>
        </w:rPr>
        <w:t xml:space="preserve">The Issue Price will be determined by our Company in consultation with the BRLM on the basis of the quantitative and qualitative factors as described below. The face value of the Equity Shares is </w:t>
      </w:r>
      <w:r w:rsidRPr="00CB2D76">
        <w:rPr>
          <w:rFonts w:ascii="Times New Roman" w:eastAsia="Calibri" w:hAnsi="Times New Roman"/>
          <w:sz w:val="20"/>
          <w:szCs w:val="20"/>
        </w:rPr>
        <w:t>₹</w:t>
      </w:r>
      <w:r w:rsidRPr="00CB2D76">
        <w:rPr>
          <w:rFonts w:ascii="Times New Roman" w:hAnsi="Times New Roman"/>
          <w:sz w:val="20"/>
          <w:szCs w:val="20"/>
        </w:rPr>
        <w:t xml:space="preserve"> 10.00 each and the Issue Price is ₹ </w:t>
      </w:r>
      <w:r w:rsidRPr="00CB2D76">
        <w:rPr>
          <w:rFonts w:ascii="Times New Roman" w:hAnsi="Times New Roman"/>
          <w:sz w:val="20"/>
          <w:szCs w:val="20"/>
          <w:lang w:val="en-GB"/>
        </w:rPr>
        <w:t>[●] times of the face value.</w:t>
      </w:r>
    </w:p>
    <w:p w14:paraId="35E22E99" w14:textId="77777777" w:rsidR="00F038BD" w:rsidRPr="00CB2D76" w:rsidRDefault="00F038BD" w:rsidP="00F038BD">
      <w:pPr>
        <w:autoSpaceDE w:val="0"/>
        <w:autoSpaceDN w:val="0"/>
        <w:adjustRightInd w:val="0"/>
        <w:spacing w:after="0" w:line="240" w:lineRule="auto"/>
        <w:jc w:val="both"/>
        <w:rPr>
          <w:rFonts w:ascii="Times New Roman" w:hAnsi="Times New Roman"/>
          <w:b/>
          <w:sz w:val="20"/>
          <w:szCs w:val="20"/>
        </w:rPr>
      </w:pPr>
    </w:p>
    <w:p w14:paraId="41226392" w14:textId="77777777" w:rsidR="00F038BD" w:rsidRPr="00CB2D76" w:rsidRDefault="00F038BD" w:rsidP="00F038BD">
      <w:pPr>
        <w:autoSpaceDE w:val="0"/>
        <w:autoSpaceDN w:val="0"/>
        <w:adjustRightInd w:val="0"/>
        <w:spacing w:after="0" w:line="240" w:lineRule="auto"/>
        <w:jc w:val="both"/>
        <w:rPr>
          <w:rFonts w:ascii="Times New Roman" w:hAnsi="Times New Roman"/>
          <w:b/>
          <w:sz w:val="20"/>
          <w:szCs w:val="20"/>
        </w:rPr>
      </w:pPr>
      <w:r w:rsidRPr="00CB2D76">
        <w:rPr>
          <w:rFonts w:ascii="Times New Roman" w:hAnsi="Times New Roman"/>
          <w:b/>
          <w:sz w:val="20"/>
          <w:szCs w:val="20"/>
        </w:rPr>
        <w:t>QUALITATIVE FACTORS</w:t>
      </w:r>
    </w:p>
    <w:p w14:paraId="5F52B686" w14:textId="77777777" w:rsidR="00F038BD" w:rsidRPr="00CB2D76" w:rsidRDefault="00F038BD" w:rsidP="00F038BD">
      <w:pPr>
        <w:autoSpaceDE w:val="0"/>
        <w:autoSpaceDN w:val="0"/>
        <w:adjustRightInd w:val="0"/>
        <w:spacing w:after="0" w:line="240" w:lineRule="auto"/>
        <w:ind w:left="272"/>
        <w:jc w:val="both"/>
        <w:rPr>
          <w:rFonts w:ascii="Times New Roman" w:hAnsi="Times New Roman"/>
          <w:b/>
          <w:sz w:val="20"/>
          <w:szCs w:val="20"/>
        </w:rPr>
      </w:pPr>
    </w:p>
    <w:p w14:paraId="03310E65" w14:textId="77777777" w:rsidR="00F038BD" w:rsidRPr="00CB2D76" w:rsidRDefault="00F038BD" w:rsidP="00F038BD">
      <w:pPr>
        <w:autoSpaceDE w:val="0"/>
        <w:autoSpaceDN w:val="0"/>
        <w:adjustRightInd w:val="0"/>
        <w:spacing w:after="0" w:line="240" w:lineRule="auto"/>
        <w:jc w:val="both"/>
        <w:rPr>
          <w:rFonts w:ascii="Times New Roman" w:hAnsi="Times New Roman"/>
          <w:sz w:val="20"/>
          <w:szCs w:val="20"/>
        </w:rPr>
      </w:pPr>
      <w:r w:rsidRPr="00CB2D76">
        <w:rPr>
          <w:rFonts w:ascii="Times New Roman" w:hAnsi="Times New Roman"/>
          <w:sz w:val="20"/>
          <w:szCs w:val="20"/>
        </w:rPr>
        <w:t>We believe the following business strengths allow us to successfully compete in the industry:</w:t>
      </w:r>
    </w:p>
    <w:p w14:paraId="0C01F8C2" w14:textId="77777777" w:rsidR="00F038BD" w:rsidRPr="00CB2D76" w:rsidRDefault="00F038BD" w:rsidP="00F038BD">
      <w:pPr>
        <w:autoSpaceDE w:val="0"/>
        <w:autoSpaceDN w:val="0"/>
        <w:adjustRightInd w:val="0"/>
        <w:spacing w:after="0" w:line="240" w:lineRule="auto"/>
        <w:ind w:left="272"/>
        <w:jc w:val="both"/>
        <w:rPr>
          <w:rFonts w:ascii="Times New Roman" w:eastAsia="Calibri" w:hAnsi="Times New Roman"/>
          <w:bCs/>
          <w:iCs/>
          <w:sz w:val="20"/>
          <w:szCs w:val="20"/>
        </w:rPr>
      </w:pPr>
    </w:p>
    <w:p w14:paraId="42B0E992" w14:textId="77777777" w:rsidR="00F038BD" w:rsidRPr="00CB2D76" w:rsidRDefault="00F038BD">
      <w:pPr>
        <w:numPr>
          <w:ilvl w:val="0"/>
          <w:numId w:val="164"/>
        </w:numPr>
        <w:spacing w:after="0" w:line="240" w:lineRule="auto"/>
        <w:jc w:val="both"/>
        <w:rPr>
          <w:rFonts w:ascii="Times New Roman" w:hAnsi="Times New Roman"/>
          <w:color w:val="000000" w:themeColor="text1"/>
          <w:sz w:val="20"/>
          <w:szCs w:val="20"/>
        </w:rPr>
      </w:pPr>
      <w:r w:rsidRPr="00CB2D76">
        <w:rPr>
          <w:rFonts w:ascii="Times New Roman" w:hAnsi="Times New Roman"/>
          <w:color w:val="000000" w:themeColor="text1"/>
          <w:sz w:val="20"/>
          <w:szCs w:val="20"/>
        </w:rPr>
        <w:t>Strategically located manufacturing facilities;</w:t>
      </w:r>
    </w:p>
    <w:p w14:paraId="17FD4E43" w14:textId="77777777" w:rsidR="00F038BD" w:rsidRPr="00CB2D76" w:rsidRDefault="00F038BD">
      <w:pPr>
        <w:numPr>
          <w:ilvl w:val="0"/>
          <w:numId w:val="164"/>
        </w:numPr>
        <w:spacing w:after="0" w:line="240" w:lineRule="auto"/>
        <w:jc w:val="both"/>
        <w:rPr>
          <w:rFonts w:ascii="Times New Roman" w:hAnsi="Times New Roman"/>
          <w:color w:val="000000" w:themeColor="text1"/>
          <w:sz w:val="20"/>
          <w:szCs w:val="20"/>
        </w:rPr>
      </w:pPr>
      <w:r w:rsidRPr="00CB2D76">
        <w:rPr>
          <w:rFonts w:ascii="Times New Roman" w:hAnsi="Times New Roman"/>
          <w:color w:val="000000" w:themeColor="text1"/>
          <w:sz w:val="20"/>
          <w:szCs w:val="20"/>
        </w:rPr>
        <w:t>Stringent quality control mechanism ensuring standardized product quality;</w:t>
      </w:r>
    </w:p>
    <w:p w14:paraId="6BB02ECA" w14:textId="77777777" w:rsidR="00F038BD" w:rsidRPr="00CB2D76" w:rsidRDefault="00F038BD">
      <w:pPr>
        <w:numPr>
          <w:ilvl w:val="0"/>
          <w:numId w:val="164"/>
        </w:numPr>
        <w:spacing w:after="0" w:line="240" w:lineRule="auto"/>
        <w:jc w:val="both"/>
        <w:rPr>
          <w:rFonts w:ascii="Times New Roman" w:hAnsi="Times New Roman"/>
          <w:color w:val="000000" w:themeColor="text1"/>
          <w:sz w:val="20"/>
          <w:szCs w:val="20"/>
        </w:rPr>
      </w:pPr>
      <w:r w:rsidRPr="00CB2D76">
        <w:rPr>
          <w:rFonts w:ascii="Times New Roman" w:hAnsi="Times New Roman"/>
          <w:color w:val="000000" w:themeColor="text1"/>
          <w:sz w:val="20"/>
          <w:szCs w:val="20"/>
        </w:rPr>
        <w:t>Diversified Client Base and long-standing relationship with our customers;</w:t>
      </w:r>
    </w:p>
    <w:p w14:paraId="60FFDC0A" w14:textId="77777777" w:rsidR="00F038BD" w:rsidRPr="00CB2D76" w:rsidRDefault="00F038BD">
      <w:pPr>
        <w:numPr>
          <w:ilvl w:val="0"/>
          <w:numId w:val="164"/>
        </w:numPr>
        <w:spacing w:after="0" w:line="240" w:lineRule="auto"/>
        <w:jc w:val="both"/>
        <w:rPr>
          <w:rFonts w:ascii="Times New Roman" w:hAnsi="Times New Roman"/>
          <w:color w:val="000000" w:themeColor="text1"/>
          <w:sz w:val="20"/>
          <w:szCs w:val="20"/>
        </w:rPr>
      </w:pPr>
      <w:r w:rsidRPr="00CB2D76">
        <w:rPr>
          <w:rFonts w:ascii="Times New Roman" w:hAnsi="Times New Roman"/>
          <w:color w:val="000000" w:themeColor="text1"/>
          <w:sz w:val="20"/>
          <w:szCs w:val="20"/>
        </w:rPr>
        <w:t>Strong and diversified supplier base for sourcing raw material;</w:t>
      </w:r>
    </w:p>
    <w:p w14:paraId="52A951C2" w14:textId="77777777" w:rsidR="00F038BD" w:rsidRPr="00CB2D76" w:rsidRDefault="00F038BD">
      <w:pPr>
        <w:numPr>
          <w:ilvl w:val="0"/>
          <w:numId w:val="164"/>
        </w:numPr>
        <w:spacing w:after="0" w:line="240" w:lineRule="auto"/>
        <w:jc w:val="both"/>
        <w:rPr>
          <w:rFonts w:ascii="Times New Roman" w:hAnsi="Times New Roman"/>
          <w:color w:val="000000" w:themeColor="text1"/>
          <w:sz w:val="20"/>
          <w:szCs w:val="20"/>
        </w:rPr>
      </w:pPr>
      <w:r w:rsidRPr="00CB2D76">
        <w:rPr>
          <w:rFonts w:ascii="Times New Roman" w:hAnsi="Times New Roman"/>
          <w:color w:val="000000" w:themeColor="text1"/>
          <w:sz w:val="20"/>
          <w:szCs w:val="20"/>
        </w:rPr>
        <w:t>Experienced Promoters supported by dedicated Management team.</w:t>
      </w:r>
    </w:p>
    <w:p w14:paraId="44B26F6B" w14:textId="77777777" w:rsidR="00F038BD" w:rsidRPr="00CB2D76" w:rsidRDefault="00F038BD" w:rsidP="00F038BD">
      <w:pPr>
        <w:autoSpaceDE w:val="0"/>
        <w:autoSpaceDN w:val="0"/>
        <w:adjustRightInd w:val="0"/>
        <w:spacing w:after="0" w:line="240" w:lineRule="auto"/>
        <w:jc w:val="both"/>
        <w:rPr>
          <w:rFonts w:ascii="Times New Roman" w:hAnsi="Times New Roman"/>
          <w:color w:val="000000"/>
          <w:sz w:val="20"/>
          <w:szCs w:val="20"/>
          <w:lang w:eastAsia="x-none"/>
        </w:rPr>
      </w:pPr>
    </w:p>
    <w:p w14:paraId="0C6943F3" w14:textId="77777777" w:rsidR="00F038BD" w:rsidRPr="00F038BD" w:rsidRDefault="00F038BD" w:rsidP="00F038BD">
      <w:pPr>
        <w:autoSpaceDE w:val="0"/>
        <w:autoSpaceDN w:val="0"/>
        <w:adjustRightInd w:val="0"/>
        <w:spacing w:after="0" w:line="240" w:lineRule="auto"/>
        <w:jc w:val="both"/>
        <w:rPr>
          <w:rFonts w:ascii="Times New Roman" w:hAnsi="Times New Roman"/>
          <w:sz w:val="20"/>
          <w:szCs w:val="20"/>
        </w:rPr>
      </w:pPr>
      <w:r w:rsidRPr="00CB2D76">
        <w:rPr>
          <w:rFonts w:ascii="Times New Roman" w:hAnsi="Times New Roman"/>
          <w:sz w:val="20"/>
          <w:szCs w:val="20"/>
        </w:rPr>
        <w:t xml:space="preserve">For a detailed discussion on the qualitative factors which form the basis for computing the price, please refer to sections titled </w:t>
      </w:r>
      <w:r w:rsidRPr="00CB2D76">
        <w:rPr>
          <w:rFonts w:ascii="Times New Roman" w:hAnsi="Times New Roman"/>
          <w:b/>
          <w:i/>
          <w:sz w:val="20"/>
          <w:szCs w:val="20"/>
        </w:rPr>
        <w:t>“Our Business”</w:t>
      </w:r>
      <w:r w:rsidRPr="00CB2D76">
        <w:rPr>
          <w:rFonts w:ascii="Times New Roman" w:hAnsi="Times New Roman"/>
          <w:sz w:val="20"/>
          <w:szCs w:val="20"/>
        </w:rPr>
        <w:t xml:space="preserve"> beginning on page 91 of this Draft Red</w:t>
      </w:r>
      <w:r w:rsidRPr="00F038BD">
        <w:rPr>
          <w:rFonts w:ascii="Times New Roman" w:hAnsi="Times New Roman"/>
          <w:sz w:val="20"/>
          <w:szCs w:val="20"/>
        </w:rPr>
        <w:t xml:space="preserve"> Herring Prospectus.</w:t>
      </w:r>
    </w:p>
    <w:p w14:paraId="3D608038" w14:textId="77777777" w:rsidR="00F038BD" w:rsidRPr="00F038BD" w:rsidRDefault="00F038BD" w:rsidP="00F038BD">
      <w:pPr>
        <w:autoSpaceDE w:val="0"/>
        <w:autoSpaceDN w:val="0"/>
        <w:adjustRightInd w:val="0"/>
        <w:spacing w:after="0" w:line="240" w:lineRule="auto"/>
        <w:jc w:val="both"/>
        <w:rPr>
          <w:rFonts w:ascii="Times New Roman" w:hAnsi="Times New Roman"/>
          <w:sz w:val="20"/>
          <w:szCs w:val="20"/>
        </w:rPr>
      </w:pPr>
    </w:p>
    <w:p w14:paraId="3A23AE00" w14:textId="77777777" w:rsidR="00F038BD" w:rsidRPr="00F038BD" w:rsidRDefault="00F038BD" w:rsidP="00F038BD">
      <w:pPr>
        <w:autoSpaceDE w:val="0"/>
        <w:autoSpaceDN w:val="0"/>
        <w:adjustRightInd w:val="0"/>
        <w:spacing w:after="0" w:line="240" w:lineRule="auto"/>
        <w:jc w:val="both"/>
        <w:rPr>
          <w:rFonts w:ascii="Times New Roman" w:hAnsi="Times New Roman"/>
          <w:b/>
          <w:sz w:val="20"/>
          <w:szCs w:val="20"/>
        </w:rPr>
      </w:pPr>
      <w:r w:rsidRPr="00F038BD">
        <w:rPr>
          <w:rFonts w:ascii="Times New Roman" w:hAnsi="Times New Roman"/>
          <w:b/>
          <w:sz w:val="20"/>
          <w:szCs w:val="20"/>
        </w:rPr>
        <w:t>QUANTITATIVE FACTORS</w:t>
      </w:r>
    </w:p>
    <w:p w14:paraId="05D6FEAF" w14:textId="77777777" w:rsidR="00F038BD" w:rsidRPr="00F038BD" w:rsidRDefault="00F038BD" w:rsidP="00F038BD">
      <w:pPr>
        <w:autoSpaceDE w:val="0"/>
        <w:autoSpaceDN w:val="0"/>
        <w:adjustRightInd w:val="0"/>
        <w:spacing w:after="0" w:line="240" w:lineRule="auto"/>
        <w:jc w:val="both"/>
        <w:rPr>
          <w:rFonts w:ascii="Times New Roman" w:hAnsi="Times New Roman"/>
          <w:b/>
          <w:sz w:val="20"/>
          <w:szCs w:val="20"/>
        </w:rPr>
      </w:pPr>
    </w:p>
    <w:p w14:paraId="23F53A65" w14:textId="77777777" w:rsidR="00F038BD" w:rsidRPr="00F038BD" w:rsidRDefault="00F038BD" w:rsidP="00F038BD">
      <w:pPr>
        <w:autoSpaceDE w:val="0"/>
        <w:autoSpaceDN w:val="0"/>
        <w:adjustRightInd w:val="0"/>
        <w:spacing w:after="0" w:line="240" w:lineRule="auto"/>
        <w:jc w:val="both"/>
        <w:rPr>
          <w:rFonts w:ascii="Times New Roman" w:hAnsi="Times New Roman"/>
          <w:sz w:val="20"/>
          <w:szCs w:val="20"/>
        </w:rPr>
      </w:pPr>
      <w:r w:rsidRPr="00F038BD">
        <w:rPr>
          <w:rFonts w:ascii="Times New Roman" w:hAnsi="Times New Roman"/>
          <w:sz w:val="20"/>
          <w:szCs w:val="20"/>
        </w:rPr>
        <w:t xml:space="preserve">The information presented below relating to our Company is based on the Restated Financial Statements. For details, please refer section titled </w:t>
      </w:r>
      <w:r w:rsidRPr="00F038BD">
        <w:rPr>
          <w:rFonts w:ascii="Times New Roman" w:hAnsi="Times New Roman"/>
          <w:b/>
          <w:i/>
          <w:sz w:val="20"/>
          <w:szCs w:val="20"/>
        </w:rPr>
        <w:t>“Financial Information of the Company”</w:t>
      </w:r>
      <w:r w:rsidRPr="00F038BD">
        <w:rPr>
          <w:rFonts w:ascii="Times New Roman" w:hAnsi="Times New Roman"/>
          <w:sz w:val="20"/>
          <w:szCs w:val="20"/>
        </w:rPr>
        <w:t xml:space="preserve"> on page 130 of this Draft Red Herring Prospectus.</w:t>
      </w:r>
    </w:p>
    <w:p w14:paraId="11CDFEB9" w14:textId="77777777" w:rsidR="00F038BD" w:rsidRPr="00F038BD" w:rsidRDefault="00F038BD" w:rsidP="00F038BD">
      <w:pPr>
        <w:autoSpaceDE w:val="0"/>
        <w:autoSpaceDN w:val="0"/>
        <w:adjustRightInd w:val="0"/>
        <w:spacing w:after="0" w:line="240" w:lineRule="auto"/>
        <w:jc w:val="both"/>
        <w:rPr>
          <w:rFonts w:ascii="Times New Roman" w:hAnsi="Times New Roman"/>
          <w:sz w:val="20"/>
          <w:szCs w:val="20"/>
        </w:rPr>
      </w:pPr>
    </w:p>
    <w:p w14:paraId="26B1C45E" w14:textId="77777777" w:rsidR="00F038BD" w:rsidRPr="00F038BD" w:rsidRDefault="00F038BD" w:rsidP="00F038BD">
      <w:pPr>
        <w:autoSpaceDE w:val="0"/>
        <w:autoSpaceDN w:val="0"/>
        <w:adjustRightInd w:val="0"/>
        <w:spacing w:after="0" w:line="240" w:lineRule="auto"/>
        <w:jc w:val="both"/>
        <w:rPr>
          <w:rFonts w:ascii="Times New Roman" w:hAnsi="Times New Roman"/>
          <w:sz w:val="20"/>
          <w:szCs w:val="20"/>
        </w:rPr>
      </w:pPr>
      <w:r w:rsidRPr="00F038BD">
        <w:rPr>
          <w:rFonts w:ascii="Times New Roman" w:hAnsi="Times New Roman"/>
          <w:sz w:val="20"/>
          <w:szCs w:val="20"/>
        </w:rPr>
        <w:t>Some of the quantitative factors which may form the basis for calculating the Issue Price are as follows:</w:t>
      </w:r>
    </w:p>
    <w:p w14:paraId="0CC716BB" w14:textId="77777777" w:rsidR="00F038BD" w:rsidRPr="00F038BD" w:rsidRDefault="00F038BD" w:rsidP="00F038BD">
      <w:pPr>
        <w:autoSpaceDE w:val="0"/>
        <w:autoSpaceDN w:val="0"/>
        <w:adjustRightInd w:val="0"/>
        <w:spacing w:after="0" w:line="240" w:lineRule="auto"/>
        <w:ind w:left="272"/>
        <w:jc w:val="both"/>
        <w:rPr>
          <w:rFonts w:ascii="Times New Roman" w:hAnsi="Times New Roman"/>
          <w:sz w:val="20"/>
          <w:szCs w:val="20"/>
        </w:rPr>
      </w:pPr>
    </w:p>
    <w:p w14:paraId="4CBFA979" w14:textId="77777777" w:rsidR="00F038BD" w:rsidRPr="00F038BD" w:rsidRDefault="00F038BD">
      <w:pPr>
        <w:numPr>
          <w:ilvl w:val="0"/>
          <w:numId w:val="165"/>
        </w:numPr>
        <w:autoSpaceDE w:val="0"/>
        <w:autoSpaceDN w:val="0"/>
        <w:adjustRightInd w:val="0"/>
        <w:spacing w:after="0" w:line="240" w:lineRule="auto"/>
        <w:ind w:left="426"/>
        <w:jc w:val="both"/>
        <w:rPr>
          <w:rFonts w:ascii="Times New Roman" w:hAnsi="Times New Roman"/>
          <w:b/>
          <w:bCs/>
          <w:sz w:val="20"/>
          <w:szCs w:val="20"/>
        </w:rPr>
      </w:pPr>
      <w:r w:rsidRPr="00F038BD">
        <w:rPr>
          <w:rFonts w:ascii="Times New Roman" w:hAnsi="Times New Roman"/>
          <w:b/>
          <w:bCs/>
          <w:sz w:val="20"/>
          <w:szCs w:val="20"/>
        </w:rPr>
        <w:t>Basic &amp; Diluted Earnings per share (EPS) (Face value of ₹ 10 each):</w:t>
      </w:r>
    </w:p>
    <w:p w14:paraId="6FD560DE" w14:textId="77777777" w:rsidR="00F038BD" w:rsidRPr="00F038BD" w:rsidRDefault="00F038BD" w:rsidP="00F038BD">
      <w:pPr>
        <w:autoSpaceDE w:val="0"/>
        <w:autoSpaceDN w:val="0"/>
        <w:adjustRightInd w:val="0"/>
        <w:spacing w:after="0" w:line="240" w:lineRule="auto"/>
        <w:ind w:left="272"/>
        <w:jc w:val="both"/>
        <w:rPr>
          <w:rFonts w:ascii="Times New Roman" w:hAnsi="Times New Roman"/>
          <w:b/>
          <w:bCs/>
          <w:sz w:val="20"/>
          <w:szCs w:val="20"/>
        </w:rPr>
      </w:pPr>
    </w:p>
    <w:p w14:paraId="67F223A6" w14:textId="77777777" w:rsidR="00F038BD" w:rsidRPr="00F038BD" w:rsidRDefault="00F038BD" w:rsidP="00F038BD">
      <w:pPr>
        <w:autoSpaceDE w:val="0"/>
        <w:autoSpaceDN w:val="0"/>
        <w:adjustRightInd w:val="0"/>
        <w:spacing w:after="0" w:line="240" w:lineRule="auto"/>
        <w:jc w:val="both"/>
        <w:rPr>
          <w:rFonts w:ascii="Times New Roman" w:hAnsi="Times New Roman"/>
          <w:sz w:val="20"/>
          <w:szCs w:val="20"/>
        </w:rPr>
      </w:pPr>
      <w:r w:rsidRPr="00F038BD">
        <w:rPr>
          <w:rFonts w:ascii="Times New Roman" w:hAnsi="Times New Roman"/>
          <w:bCs/>
          <w:sz w:val="20"/>
          <w:szCs w:val="20"/>
        </w:rPr>
        <w:t>As per the Restated Financial Statements:</w:t>
      </w:r>
    </w:p>
    <w:p w14:paraId="4F4E9303" w14:textId="77777777" w:rsidR="00F038BD" w:rsidRPr="00F038BD" w:rsidRDefault="00F038BD" w:rsidP="00F038BD">
      <w:pPr>
        <w:autoSpaceDE w:val="0"/>
        <w:autoSpaceDN w:val="0"/>
        <w:adjustRightInd w:val="0"/>
        <w:spacing w:after="0" w:line="240" w:lineRule="auto"/>
        <w:jc w:val="both"/>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6056"/>
        <w:gridCol w:w="1886"/>
        <w:gridCol w:w="1740"/>
      </w:tblGrid>
      <w:tr w:rsidR="00F038BD" w:rsidRPr="00F038BD" w14:paraId="04C6020C" w14:textId="77777777" w:rsidTr="00716083">
        <w:trPr>
          <w:trHeight w:val="227"/>
        </w:trPr>
        <w:tc>
          <w:tcPr>
            <w:tcW w:w="370"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146AAFA9" w14:textId="77777777" w:rsidR="00F038BD" w:rsidRPr="00F038BD" w:rsidRDefault="00F038BD" w:rsidP="00F038BD">
            <w:pPr>
              <w:spacing w:after="0" w:line="240" w:lineRule="auto"/>
              <w:jc w:val="center"/>
              <w:rPr>
                <w:rFonts w:ascii="Times New Roman" w:hAnsi="Times New Roman"/>
                <w:b/>
                <w:bCs/>
                <w:sz w:val="20"/>
                <w:szCs w:val="20"/>
                <w:lang w:val="en-IN" w:bidi="en-US"/>
              </w:rPr>
            </w:pPr>
            <w:r w:rsidRPr="00F038BD">
              <w:rPr>
                <w:rFonts w:ascii="Times New Roman" w:hAnsi="Times New Roman"/>
                <w:b/>
                <w:bCs/>
                <w:sz w:val="20"/>
                <w:szCs w:val="20"/>
                <w:lang w:val="en-IN" w:bidi="en-US"/>
              </w:rPr>
              <w:t>Sr. No</w:t>
            </w:r>
          </w:p>
        </w:tc>
        <w:tc>
          <w:tcPr>
            <w:tcW w:w="2896"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5BE1AA81" w14:textId="77777777" w:rsidR="00F038BD" w:rsidRPr="00F038BD" w:rsidRDefault="00F038BD" w:rsidP="00F038BD">
            <w:pPr>
              <w:spacing w:after="0" w:line="240" w:lineRule="auto"/>
              <w:jc w:val="both"/>
              <w:rPr>
                <w:rFonts w:ascii="Times New Roman" w:hAnsi="Times New Roman"/>
                <w:b/>
                <w:bCs/>
                <w:sz w:val="20"/>
                <w:szCs w:val="20"/>
                <w:lang w:val="en-IN" w:bidi="en-US"/>
              </w:rPr>
            </w:pPr>
            <w:r w:rsidRPr="00F038BD">
              <w:rPr>
                <w:rFonts w:ascii="Times New Roman" w:hAnsi="Times New Roman"/>
                <w:b/>
                <w:bCs/>
                <w:sz w:val="20"/>
                <w:szCs w:val="20"/>
                <w:lang w:val="en-IN" w:bidi="en-US"/>
              </w:rPr>
              <w:t>F.Y./Period</w:t>
            </w:r>
          </w:p>
        </w:tc>
        <w:tc>
          <w:tcPr>
            <w:tcW w:w="902"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7B56F4F8" w14:textId="77777777" w:rsidR="00F038BD" w:rsidRPr="00F038BD" w:rsidRDefault="00F038BD" w:rsidP="00F038BD">
            <w:pPr>
              <w:spacing w:after="0" w:line="240" w:lineRule="auto"/>
              <w:jc w:val="center"/>
              <w:rPr>
                <w:rFonts w:ascii="Times New Roman" w:hAnsi="Times New Roman"/>
                <w:b/>
                <w:bCs/>
                <w:sz w:val="20"/>
                <w:szCs w:val="20"/>
                <w:lang w:val="en-IN" w:bidi="en-US"/>
              </w:rPr>
            </w:pPr>
            <w:r w:rsidRPr="00F038BD">
              <w:rPr>
                <w:rFonts w:ascii="Times New Roman" w:eastAsia="Calibri" w:hAnsi="Times New Roman"/>
                <w:b/>
                <w:bCs/>
                <w:iCs/>
                <w:sz w:val="20"/>
                <w:szCs w:val="20"/>
                <w:lang w:val="en-IN" w:bidi="en-US"/>
              </w:rPr>
              <w:t xml:space="preserve">Basic &amp; Diluted </w:t>
            </w:r>
            <w:r w:rsidRPr="00F038BD">
              <w:rPr>
                <w:rFonts w:ascii="Times New Roman" w:hAnsi="Times New Roman"/>
                <w:b/>
                <w:bCs/>
                <w:sz w:val="20"/>
                <w:szCs w:val="20"/>
                <w:lang w:val="en-IN" w:bidi="en-US"/>
              </w:rPr>
              <w:t>(</w:t>
            </w:r>
            <w:r w:rsidRPr="00F038BD">
              <w:rPr>
                <w:rFonts w:ascii="Times New Roman" w:eastAsia="Calibri" w:hAnsi="Times New Roman"/>
                <w:b/>
                <w:sz w:val="20"/>
                <w:szCs w:val="20"/>
                <w:lang w:val="en-IN"/>
              </w:rPr>
              <w:t>₹</w:t>
            </w:r>
            <w:r w:rsidRPr="00F038BD">
              <w:rPr>
                <w:rFonts w:ascii="Times New Roman" w:hAnsi="Times New Roman"/>
                <w:b/>
                <w:bCs/>
                <w:sz w:val="20"/>
                <w:szCs w:val="20"/>
                <w:lang w:val="en-IN" w:bidi="en-US"/>
              </w:rPr>
              <w:t>)</w:t>
            </w:r>
          </w:p>
        </w:tc>
        <w:tc>
          <w:tcPr>
            <w:tcW w:w="832"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5200D3B1" w14:textId="77777777" w:rsidR="00F038BD" w:rsidRPr="00F038BD" w:rsidRDefault="00F038BD" w:rsidP="00F038BD">
            <w:pPr>
              <w:spacing w:after="0" w:line="240" w:lineRule="auto"/>
              <w:jc w:val="center"/>
              <w:rPr>
                <w:rFonts w:ascii="Times New Roman" w:hAnsi="Times New Roman"/>
                <w:b/>
                <w:bCs/>
                <w:sz w:val="20"/>
                <w:szCs w:val="20"/>
                <w:lang w:val="en-IN" w:bidi="en-US"/>
              </w:rPr>
            </w:pPr>
            <w:r w:rsidRPr="00F038BD">
              <w:rPr>
                <w:rFonts w:ascii="Times New Roman" w:hAnsi="Times New Roman"/>
                <w:b/>
                <w:bCs/>
                <w:sz w:val="20"/>
                <w:szCs w:val="20"/>
                <w:lang w:val="en-IN" w:bidi="en-US"/>
              </w:rPr>
              <w:t>Weights</w:t>
            </w:r>
          </w:p>
        </w:tc>
      </w:tr>
      <w:tr w:rsidR="00F038BD" w:rsidRPr="00F038BD" w14:paraId="793D3BB1" w14:textId="77777777" w:rsidTr="00716083">
        <w:trPr>
          <w:trHeight w:val="227"/>
        </w:trPr>
        <w:tc>
          <w:tcPr>
            <w:tcW w:w="370" w:type="pct"/>
            <w:tcBorders>
              <w:top w:val="single" w:sz="4" w:space="0" w:color="auto"/>
              <w:left w:val="single" w:sz="4" w:space="0" w:color="auto"/>
              <w:bottom w:val="single" w:sz="4" w:space="0" w:color="auto"/>
              <w:right w:val="single" w:sz="4" w:space="0" w:color="auto"/>
            </w:tcBorders>
            <w:noWrap/>
            <w:vAlign w:val="bottom"/>
            <w:hideMark/>
          </w:tcPr>
          <w:p w14:paraId="3B494A8B" w14:textId="77777777" w:rsidR="00F038BD" w:rsidRPr="00F038BD" w:rsidRDefault="00F038BD" w:rsidP="00F038BD">
            <w:pPr>
              <w:spacing w:after="0" w:line="240" w:lineRule="auto"/>
              <w:rPr>
                <w:rFonts w:ascii="Times New Roman" w:hAnsi="Times New Roman"/>
                <w:b/>
                <w:bCs/>
                <w:sz w:val="20"/>
                <w:szCs w:val="20"/>
                <w:lang w:val="en-IN" w:bidi="en-US"/>
              </w:rPr>
            </w:pPr>
          </w:p>
        </w:tc>
        <w:tc>
          <w:tcPr>
            <w:tcW w:w="2896" w:type="pct"/>
            <w:tcBorders>
              <w:top w:val="single" w:sz="4" w:space="0" w:color="auto"/>
              <w:left w:val="single" w:sz="4" w:space="0" w:color="auto"/>
              <w:bottom w:val="single" w:sz="4" w:space="0" w:color="auto"/>
              <w:right w:val="single" w:sz="4" w:space="0" w:color="auto"/>
            </w:tcBorders>
            <w:vAlign w:val="bottom"/>
            <w:hideMark/>
          </w:tcPr>
          <w:p w14:paraId="05BD9B94" w14:textId="77777777" w:rsidR="00F038BD" w:rsidRPr="00F038BD" w:rsidRDefault="00F038BD" w:rsidP="00F038BD">
            <w:pPr>
              <w:spacing w:after="0" w:line="240" w:lineRule="auto"/>
              <w:jc w:val="both"/>
              <w:rPr>
                <w:rFonts w:ascii="Times New Roman" w:hAnsi="Times New Roman"/>
                <w:sz w:val="20"/>
                <w:szCs w:val="20"/>
                <w:lang w:val="en-IN" w:bidi="en-US"/>
              </w:rPr>
            </w:pPr>
            <w:r w:rsidRPr="00F038BD">
              <w:rPr>
                <w:rFonts w:ascii="Times New Roman" w:hAnsi="Times New Roman"/>
                <w:sz w:val="20"/>
                <w:szCs w:val="20"/>
                <w:lang w:val="en-IN" w:bidi="en-US"/>
              </w:rPr>
              <w:t>Financial Year ending March 31, 2023</w:t>
            </w:r>
          </w:p>
        </w:tc>
        <w:tc>
          <w:tcPr>
            <w:tcW w:w="902" w:type="pct"/>
            <w:tcBorders>
              <w:top w:val="single" w:sz="4" w:space="0" w:color="auto"/>
              <w:left w:val="single" w:sz="4" w:space="0" w:color="auto"/>
              <w:bottom w:val="single" w:sz="4" w:space="0" w:color="auto"/>
              <w:right w:val="single" w:sz="4" w:space="0" w:color="auto"/>
            </w:tcBorders>
            <w:noWrap/>
            <w:vAlign w:val="bottom"/>
          </w:tcPr>
          <w:p w14:paraId="56063184" w14:textId="77777777" w:rsidR="00F038BD" w:rsidRPr="00F038BD" w:rsidRDefault="00F038BD" w:rsidP="00F038BD">
            <w:pPr>
              <w:spacing w:after="0" w:line="240" w:lineRule="auto"/>
              <w:jc w:val="center"/>
              <w:rPr>
                <w:rFonts w:ascii="Times New Roman" w:eastAsia="Calibri" w:hAnsi="Times New Roman"/>
                <w:sz w:val="20"/>
                <w:szCs w:val="20"/>
                <w:lang w:val="en-IN" w:bidi="en-US"/>
              </w:rPr>
            </w:pPr>
            <w:r w:rsidRPr="00F038BD">
              <w:rPr>
                <w:rFonts w:ascii="Times New Roman" w:eastAsia="Calibri" w:hAnsi="Times New Roman"/>
                <w:sz w:val="20"/>
                <w:szCs w:val="20"/>
                <w:lang w:val="en-IN" w:bidi="en-US"/>
              </w:rPr>
              <w:t>5.54</w:t>
            </w:r>
          </w:p>
        </w:tc>
        <w:tc>
          <w:tcPr>
            <w:tcW w:w="832" w:type="pct"/>
            <w:tcBorders>
              <w:top w:val="single" w:sz="4" w:space="0" w:color="auto"/>
              <w:left w:val="single" w:sz="4" w:space="0" w:color="auto"/>
              <w:bottom w:val="single" w:sz="4" w:space="0" w:color="auto"/>
              <w:right w:val="single" w:sz="4" w:space="0" w:color="auto"/>
            </w:tcBorders>
            <w:noWrap/>
            <w:vAlign w:val="bottom"/>
            <w:hideMark/>
          </w:tcPr>
          <w:p w14:paraId="46A669FF" w14:textId="77777777" w:rsidR="00F038BD" w:rsidRPr="00F038BD" w:rsidRDefault="00F038BD" w:rsidP="00F038BD">
            <w:pPr>
              <w:spacing w:after="0" w:line="240" w:lineRule="auto"/>
              <w:jc w:val="center"/>
              <w:rPr>
                <w:rFonts w:ascii="Times New Roman" w:eastAsia="Calibri" w:hAnsi="Times New Roman"/>
                <w:sz w:val="20"/>
                <w:szCs w:val="20"/>
                <w:lang w:val="en-IN" w:bidi="en-US"/>
              </w:rPr>
            </w:pPr>
            <w:r w:rsidRPr="00F038BD">
              <w:rPr>
                <w:rFonts w:ascii="Times New Roman" w:eastAsia="Calibri" w:hAnsi="Times New Roman"/>
                <w:sz w:val="20"/>
                <w:szCs w:val="20"/>
                <w:lang w:val="en-IN" w:bidi="en-US"/>
              </w:rPr>
              <w:t>3</w:t>
            </w:r>
          </w:p>
        </w:tc>
      </w:tr>
      <w:tr w:rsidR="00F038BD" w:rsidRPr="00F038BD" w14:paraId="5DAC1063" w14:textId="77777777" w:rsidTr="00716083">
        <w:trPr>
          <w:trHeight w:val="227"/>
        </w:trPr>
        <w:tc>
          <w:tcPr>
            <w:tcW w:w="370" w:type="pct"/>
            <w:tcBorders>
              <w:top w:val="single" w:sz="4" w:space="0" w:color="auto"/>
              <w:left w:val="single" w:sz="4" w:space="0" w:color="auto"/>
              <w:bottom w:val="single" w:sz="4" w:space="0" w:color="auto"/>
              <w:right w:val="single" w:sz="4" w:space="0" w:color="auto"/>
            </w:tcBorders>
            <w:noWrap/>
            <w:vAlign w:val="bottom"/>
            <w:hideMark/>
          </w:tcPr>
          <w:p w14:paraId="3D27F042" w14:textId="77777777" w:rsidR="00F038BD" w:rsidRPr="00F038BD" w:rsidRDefault="00F038BD" w:rsidP="00F038BD">
            <w:pPr>
              <w:spacing w:after="0" w:line="240" w:lineRule="auto"/>
              <w:rPr>
                <w:rFonts w:ascii="Times New Roman" w:eastAsia="Calibri" w:hAnsi="Times New Roman"/>
                <w:sz w:val="20"/>
                <w:szCs w:val="20"/>
                <w:lang w:val="en-IN" w:bidi="en-US"/>
              </w:rPr>
            </w:pPr>
          </w:p>
        </w:tc>
        <w:tc>
          <w:tcPr>
            <w:tcW w:w="2896" w:type="pct"/>
            <w:tcBorders>
              <w:top w:val="single" w:sz="4" w:space="0" w:color="auto"/>
              <w:left w:val="single" w:sz="4" w:space="0" w:color="auto"/>
              <w:bottom w:val="single" w:sz="4" w:space="0" w:color="auto"/>
              <w:right w:val="single" w:sz="4" w:space="0" w:color="auto"/>
            </w:tcBorders>
            <w:vAlign w:val="bottom"/>
            <w:hideMark/>
          </w:tcPr>
          <w:p w14:paraId="4038F0AA" w14:textId="77777777" w:rsidR="00F038BD" w:rsidRPr="00F038BD" w:rsidRDefault="00F038BD" w:rsidP="00F038BD">
            <w:pPr>
              <w:spacing w:after="0" w:line="240" w:lineRule="auto"/>
              <w:jc w:val="both"/>
              <w:rPr>
                <w:rFonts w:ascii="Times New Roman" w:hAnsi="Times New Roman"/>
                <w:sz w:val="20"/>
                <w:szCs w:val="20"/>
                <w:lang w:val="en-IN" w:bidi="en-US"/>
              </w:rPr>
            </w:pPr>
            <w:r w:rsidRPr="00F038BD">
              <w:rPr>
                <w:rFonts w:ascii="Times New Roman" w:hAnsi="Times New Roman"/>
                <w:sz w:val="20"/>
                <w:szCs w:val="20"/>
                <w:lang w:val="en-IN" w:bidi="en-US"/>
              </w:rPr>
              <w:t>Financial Year ending March 31, 2022</w:t>
            </w:r>
          </w:p>
        </w:tc>
        <w:tc>
          <w:tcPr>
            <w:tcW w:w="902" w:type="pct"/>
            <w:tcBorders>
              <w:top w:val="single" w:sz="4" w:space="0" w:color="auto"/>
              <w:left w:val="single" w:sz="4" w:space="0" w:color="auto"/>
              <w:bottom w:val="single" w:sz="4" w:space="0" w:color="auto"/>
              <w:right w:val="single" w:sz="4" w:space="0" w:color="auto"/>
            </w:tcBorders>
            <w:noWrap/>
            <w:vAlign w:val="bottom"/>
          </w:tcPr>
          <w:p w14:paraId="637577AE" w14:textId="77777777" w:rsidR="00F038BD" w:rsidRPr="00F038BD" w:rsidRDefault="00F038BD" w:rsidP="00F038BD">
            <w:pPr>
              <w:spacing w:after="0" w:line="240" w:lineRule="auto"/>
              <w:rPr>
                <w:rFonts w:ascii="Times New Roman" w:eastAsia="Calibri" w:hAnsi="Times New Roman"/>
                <w:sz w:val="20"/>
                <w:szCs w:val="20"/>
                <w:lang w:val="en-IN" w:bidi="en-US"/>
              </w:rPr>
            </w:pPr>
            <w:r w:rsidRPr="00F038BD">
              <w:rPr>
                <w:rFonts w:ascii="Times New Roman" w:eastAsia="Calibri" w:hAnsi="Times New Roman"/>
                <w:sz w:val="20"/>
                <w:szCs w:val="20"/>
                <w:lang w:val="en-IN" w:bidi="en-US"/>
              </w:rPr>
              <w:t xml:space="preserve">             2.34</w:t>
            </w:r>
          </w:p>
        </w:tc>
        <w:tc>
          <w:tcPr>
            <w:tcW w:w="832" w:type="pct"/>
            <w:tcBorders>
              <w:top w:val="single" w:sz="4" w:space="0" w:color="auto"/>
              <w:left w:val="single" w:sz="4" w:space="0" w:color="auto"/>
              <w:bottom w:val="single" w:sz="4" w:space="0" w:color="auto"/>
              <w:right w:val="single" w:sz="4" w:space="0" w:color="auto"/>
            </w:tcBorders>
            <w:noWrap/>
            <w:vAlign w:val="bottom"/>
            <w:hideMark/>
          </w:tcPr>
          <w:p w14:paraId="2C7D4AD1" w14:textId="77777777" w:rsidR="00F038BD" w:rsidRPr="00F038BD" w:rsidRDefault="00F038BD" w:rsidP="00F038BD">
            <w:pPr>
              <w:spacing w:after="0" w:line="240" w:lineRule="auto"/>
              <w:jc w:val="center"/>
              <w:rPr>
                <w:rFonts w:ascii="Times New Roman" w:eastAsia="Calibri" w:hAnsi="Times New Roman"/>
                <w:sz w:val="20"/>
                <w:szCs w:val="20"/>
                <w:lang w:val="en-IN" w:bidi="en-US"/>
              </w:rPr>
            </w:pPr>
            <w:r w:rsidRPr="00F038BD">
              <w:rPr>
                <w:rFonts w:ascii="Times New Roman" w:eastAsia="Calibri" w:hAnsi="Times New Roman"/>
                <w:sz w:val="20"/>
                <w:szCs w:val="20"/>
                <w:lang w:val="en-IN" w:bidi="en-US"/>
              </w:rPr>
              <w:t>2</w:t>
            </w:r>
          </w:p>
        </w:tc>
      </w:tr>
      <w:tr w:rsidR="00F038BD" w:rsidRPr="00F038BD" w14:paraId="74F3C92E" w14:textId="77777777" w:rsidTr="00716083">
        <w:trPr>
          <w:trHeight w:val="227"/>
        </w:trPr>
        <w:tc>
          <w:tcPr>
            <w:tcW w:w="370" w:type="pct"/>
            <w:tcBorders>
              <w:top w:val="single" w:sz="4" w:space="0" w:color="auto"/>
              <w:left w:val="single" w:sz="4" w:space="0" w:color="auto"/>
              <w:bottom w:val="single" w:sz="4" w:space="0" w:color="auto"/>
              <w:right w:val="single" w:sz="4" w:space="0" w:color="auto"/>
            </w:tcBorders>
            <w:noWrap/>
            <w:vAlign w:val="bottom"/>
            <w:hideMark/>
          </w:tcPr>
          <w:p w14:paraId="2CFD855A" w14:textId="77777777" w:rsidR="00F038BD" w:rsidRPr="00F038BD" w:rsidRDefault="00F038BD" w:rsidP="00F038BD">
            <w:pPr>
              <w:spacing w:after="0" w:line="240" w:lineRule="auto"/>
              <w:rPr>
                <w:rFonts w:ascii="Times New Roman" w:eastAsia="Calibri" w:hAnsi="Times New Roman"/>
                <w:sz w:val="20"/>
                <w:szCs w:val="20"/>
                <w:lang w:val="en-IN" w:bidi="en-US"/>
              </w:rPr>
            </w:pPr>
          </w:p>
        </w:tc>
        <w:tc>
          <w:tcPr>
            <w:tcW w:w="2896" w:type="pct"/>
            <w:tcBorders>
              <w:top w:val="single" w:sz="4" w:space="0" w:color="auto"/>
              <w:left w:val="single" w:sz="4" w:space="0" w:color="auto"/>
              <w:bottom w:val="single" w:sz="4" w:space="0" w:color="auto"/>
              <w:right w:val="single" w:sz="4" w:space="0" w:color="auto"/>
            </w:tcBorders>
            <w:vAlign w:val="bottom"/>
            <w:hideMark/>
          </w:tcPr>
          <w:p w14:paraId="14F189F1" w14:textId="77777777" w:rsidR="00F038BD" w:rsidRPr="00F038BD" w:rsidRDefault="00F038BD" w:rsidP="00F038BD">
            <w:pPr>
              <w:spacing w:after="0" w:line="240" w:lineRule="auto"/>
              <w:jc w:val="both"/>
              <w:rPr>
                <w:rFonts w:ascii="Times New Roman" w:hAnsi="Times New Roman"/>
                <w:sz w:val="20"/>
                <w:szCs w:val="20"/>
                <w:lang w:val="en-IN" w:bidi="en-US"/>
              </w:rPr>
            </w:pPr>
            <w:r w:rsidRPr="00F038BD">
              <w:rPr>
                <w:rFonts w:ascii="Times New Roman" w:hAnsi="Times New Roman"/>
                <w:sz w:val="20"/>
                <w:szCs w:val="20"/>
                <w:lang w:val="en-IN" w:bidi="en-US"/>
              </w:rPr>
              <w:t>Financial Year ending March 31, 2021</w:t>
            </w:r>
          </w:p>
        </w:tc>
        <w:tc>
          <w:tcPr>
            <w:tcW w:w="902" w:type="pct"/>
            <w:tcBorders>
              <w:top w:val="single" w:sz="4" w:space="0" w:color="auto"/>
              <w:left w:val="single" w:sz="4" w:space="0" w:color="auto"/>
              <w:bottom w:val="single" w:sz="4" w:space="0" w:color="auto"/>
              <w:right w:val="single" w:sz="4" w:space="0" w:color="auto"/>
            </w:tcBorders>
            <w:noWrap/>
            <w:vAlign w:val="bottom"/>
          </w:tcPr>
          <w:p w14:paraId="11459787" w14:textId="77777777" w:rsidR="00F038BD" w:rsidRPr="00F038BD" w:rsidRDefault="00F038BD" w:rsidP="00F038BD">
            <w:pPr>
              <w:spacing w:after="0" w:line="240" w:lineRule="auto"/>
              <w:jc w:val="center"/>
              <w:rPr>
                <w:rFonts w:ascii="Times New Roman" w:eastAsia="Calibri" w:hAnsi="Times New Roman"/>
                <w:sz w:val="20"/>
                <w:szCs w:val="20"/>
                <w:lang w:val="en-IN" w:bidi="en-US"/>
              </w:rPr>
            </w:pPr>
            <w:r w:rsidRPr="00F038BD">
              <w:rPr>
                <w:rFonts w:ascii="Times New Roman" w:eastAsia="Calibri" w:hAnsi="Times New Roman"/>
                <w:sz w:val="20"/>
                <w:szCs w:val="20"/>
                <w:lang w:val="en-IN" w:bidi="en-US"/>
              </w:rPr>
              <w:t>1.03</w:t>
            </w:r>
          </w:p>
        </w:tc>
        <w:tc>
          <w:tcPr>
            <w:tcW w:w="832" w:type="pct"/>
            <w:tcBorders>
              <w:top w:val="single" w:sz="4" w:space="0" w:color="auto"/>
              <w:left w:val="single" w:sz="4" w:space="0" w:color="auto"/>
              <w:bottom w:val="single" w:sz="4" w:space="0" w:color="auto"/>
              <w:right w:val="single" w:sz="4" w:space="0" w:color="auto"/>
            </w:tcBorders>
            <w:noWrap/>
            <w:vAlign w:val="bottom"/>
            <w:hideMark/>
          </w:tcPr>
          <w:p w14:paraId="35D2D9A1" w14:textId="77777777" w:rsidR="00F038BD" w:rsidRPr="00F038BD" w:rsidRDefault="00F038BD" w:rsidP="00F038BD">
            <w:pPr>
              <w:spacing w:after="0" w:line="240" w:lineRule="auto"/>
              <w:jc w:val="center"/>
              <w:rPr>
                <w:rFonts w:ascii="Times New Roman" w:eastAsia="Calibri" w:hAnsi="Times New Roman"/>
                <w:sz w:val="20"/>
                <w:szCs w:val="20"/>
                <w:lang w:val="en-IN" w:bidi="en-US"/>
              </w:rPr>
            </w:pPr>
            <w:r w:rsidRPr="00F038BD">
              <w:rPr>
                <w:rFonts w:ascii="Times New Roman" w:eastAsia="Calibri" w:hAnsi="Times New Roman"/>
                <w:sz w:val="20"/>
                <w:szCs w:val="20"/>
                <w:lang w:val="en-IN" w:bidi="en-US"/>
              </w:rPr>
              <w:t>1</w:t>
            </w:r>
          </w:p>
        </w:tc>
      </w:tr>
      <w:tr w:rsidR="00F038BD" w:rsidRPr="00F038BD" w14:paraId="3DAB2771" w14:textId="77777777" w:rsidTr="00716083">
        <w:trPr>
          <w:trHeight w:val="227"/>
        </w:trPr>
        <w:tc>
          <w:tcPr>
            <w:tcW w:w="370" w:type="pct"/>
            <w:tcBorders>
              <w:top w:val="single" w:sz="4" w:space="0" w:color="auto"/>
              <w:left w:val="single" w:sz="4" w:space="0" w:color="auto"/>
              <w:bottom w:val="single" w:sz="4" w:space="0" w:color="auto"/>
              <w:right w:val="single" w:sz="4" w:space="0" w:color="auto"/>
            </w:tcBorders>
            <w:noWrap/>
            <w:vAlign w:val="bottom"/>
            <w:hideMark/>
          </w:tcPr>
          <w:p w14:paraId="4779E5CB" w14:textId="77777777" w:rsidR="00F038BD" w:rsidRPr="00F038BD" w:rsidRDefault="00F038BD" w:rsidP="00F038BD">
            <w:pPr>
              <w:spacing w:after="0" w:line="240" w:lineRule="auto"/>
              <w:rPr>
                <w:rFonts w:ascii="Times New Roman" w:eastAsia="Calibri" w:hAnsi="Times New Roman"/>
                <w:sz w:val="20"/>
                <w:szCs w:val="20"/>
                <w:lang w:val="en-IN" w:bidi="en-US"/>
              </w:rPr>
            </w:pPr>
          </w:p>
        </w:tc>
        <w:tc>
          <w:tcPr>
            <w:tcW w:w="2896" w:type="pct"/>
            <w:tcBorders>
              <w:top w:val="single" w:sz="4" w:space="0" w:color="auto"/>
              <w:left w:val="single" w:sz="4" w:space="0" w:color="auto"/>
              <w:bottom w:val="single" w:sz="4" w:space="0" w:color="auto"/>
              <w:right w:val="single" w:sz="4" w:space="0" w:color="auto"/>
            </w:tcBorders>
            <w:vAlign w:val="bottom"/>
            <w:hideMark/>
          </w:tcPr>
          <w:p w14:paraId="2A716ECB" w14:textId="77777777" w:rsidR="00F038BD" w:rsidRPr="00F038BD" w:rsidRDefault="00F038BD" w:rsidP="00F038BD">
            <w:pPr>
              <w:spacing w:after="0" w:line="240" w:lineRule="auto"/>
              <w:jc w:val="both"/>
              <w:rPr>
                <w:rFonts w:ascii="Times New Roman" w:hAnsi="Times New Roman"/>
                <w:b/>
                <w:color w:val="000000"/>
                <w:sz w:val="20"/>
                <w:szCs w:val="20"/>
                <w:lang w:val="en-IN" w:bidi="en-US"/>
              </w:rPr>
            </w:pPr>
            <w:r w:rsidRPr="00F038BD">
              <w:rPr>
                <w:rFonts w:ascii="Times New Roman" w:hAnsi="Times New Roman"/>
                <w:b/>
                <w:color w:val="000000"/>
                <w:sz w:val="20"/>
                <w:szCs w:val="20"/>
                <w:lang w:val="en-IN" w:bidi="en-US"/>
              </w:rPr>
              <w:t>Weighted Average</w:t>
            </w:r>
          </w:p>
        </w:tc>
        <w:tc>
          <w:tcPr>
            <w:tcW w:w="902" w:type="pct"/>
            <w:tcBorders>
              <w:top w:val="single" w:sz="4" w:space="0" w:color="auto"/>
              <w:left w:val="single" w:sz="4" w:space="0" w:color="auto"/>
              <w:bottom w:val="single" w:sz="4" w:space="0" w:color="auto"/>
              <w:right w:val="single" w:sz="4" w:space="0" w:color="auto"/>
            </w:tcBorders>
            <w:noWrap/>
            <w:vAlign w:val="bottom"/>
            <w:hideMark/>
          </w:tcPr>
          <w:p w14:paraId="5CB4379D" w14:textId="77777777" w:rsidR="00F038BD" w:rsidRPr="00F038BD" w:rsidRDefault="00F038BD" w:rsidP="00F038BD">
            <w:pPr>
              <w:spacing w:after="0" w:line="240" w:lineRule="auto"/>
              <w:jc w:val="center"/>
              <w:rPr>
                <w:rFonts w:ascii="Times New Roman" w:hAnsi="Times New Roman"/>
                <w:b/>
                <w:color w:val="000000"/>
                <w:sz w:val="20"/>
                <w:szCs w:val="20"/>
                <w:lang w:val="en-IN" w:bidi="en-US"/>
              </w:rPr>
            </w:pPr>
            <w:r w:rsidRPr="00F038BD">
              <w:rPr>
                <w:rFonts w:ascii="Times New Roman" w:hAnsi="Times New Roman"/>
                <w:b/>
                <w:color w:val="000000"/>
                <w:sz w:val="20"/>
                <w:szCs w:val="20"/>
                <w:lang w:val="en-IN" w:bidi="en-US"/>
              </w:rPr>
              <w:t>3.72</w:t>
            </w:r>
          </w:p>
        </w:tc>
        <w:tc>
          <w:tcPr>
            <w:tcW w:w="832" w:type="pct"/>
            <w:tcBorders>
              <w:top w:val="single" w:sz="4" w:space="0" w:color="auto"/>
              <w:left w:val="single" w:sz="4" w:space="0" w:color="auto"/>
              <w:bottom w:val="single" w:sz="4" w:space="0" w:color="auto"/>
              <w:right w:val="single" w:sz="4" w:space="0" w:color="auto"/>
            </w:tcBorders>
            <w:vAlign w:val="bottom"/>
            <w:hideMark/>
          </w:tcPr>
          <w:p w14:paraId="08C66206" w14:textId="77777777" w:rsidR="00F038BD" w:rsidRPr="00F038BD" w:rsidRDefault="00F038BD" w:rsidP="00F038BD">
            <w:pPr>
              <w:spacing w:after="0" w:line="240" w:lineRule="auto"/>
              <w:jc w:val="center"/>
              <w:rPr>
                <w:rFonts w:ascii="Times New Roman" w:hAnsi="Times New Roman"/>
                <w:b/>
                <w:color w:val="000000"/>
                <w:sz w:val="20"/>
                <w:szCs w:val="20"/>
                <w:lang w:val="en-IN" w:bidi="en-US"/>
              </w:rPr>
            </w:pPr>
            <w:r w:rsidRPr="00F038BD">
              <w:rPr>
                <w:rFonts w:ascii="Times New Roman" w:hAnsi="Times New Roman"/>
                <w:b/>
                <w:color w:val="000000"/>
                <w:sz w:val="20"/>
                <w:szCs w:val="20"/>
                <w:lang w:val="en-IN" w:bidi="en-US"/>
              </w:rPr>
              <w:t>6</w:t>
            </w:r>
          </w:p>
        </w:tc>
      </w:tr>
    </w:tbl>
    <w:p w14:paraId="6A14FAC8" w14:textId="77777777" w:rsidR="00F038BD" w:rsidRPr="00F038BD" w:rsidRDefault="00F038BD" w:rsidP="00F038BD">
      <w:pPr>
        <w:autoSpaceDE w:val="0"/>
        <w:autoSpaceDN w:val="0"/>
        <w:adjustRightInd w:val="0"/>
        <w:spacing w:after="0" w:line="240" w:lineRule="auto"/>
        <w:ind w:left="142"/>
        <w:jc w:val="both"/>
        <w:rPr>
          <w:rFonts w:ascii="Times New Roman" w:eastAsia="Calibri" w:hAnsi="Times New Roman"/>
          <w:b/>
          <w:i/>
          <w:iCs/>
          <w:sz w:val="20"/>
          <w:szCs w:val="20"/>
        </w:rPr>
      </w:pPr>
      <w:r w:rsidRPr="00F038BD">
        <w:rPr>
          <w:rFonts w:ascii="Times New Roman" w:eastAsia="Calibri" w:hAnsi="Times New Roman"/>
          <w:b/>
          <w:i/>
          <w:iCs/>
          <w:sz w:val="20"/>
          <w:szCs w:val="20"/>
        </w:rPr>
        <w:t xml:space="preserve">Notes: </w:t>
      </w:r>
    </w:p>
    <w:p w14:paraId="41E5B79A" w14:textId="77777777" w:rsidR="00F038BD" w:rsidRPr="00F038BD" w:rsidRDefault="00F038BD">
      <w:pPr>
        <w:numPr>
          <w:ilvl w:val="0"/>
          <w:numId w:val="166"/>
        </w:numPr>
        <w:suppressAutoHyphens/>
        <w:autoSpaceDE w:val="0"/>
        <w:autoSpaceDN w:val="0"/>
        <w:adjustRightInd w:val="0"/>
        <w:spacing w:after="0" w:line="240" w:lineRule="auto"/>
        <w:ind w:left="426" w:hanging="90"/>
        <w:jc w:val="both"/>
        <w:textAlignment w:val="center"/>
        <w:rPr>
          <w:rFonts w:ascii="Times New Roman" w:eastAsia="Calibri" w:hAnsi="Times New Roman"/>
          <w:i/>
          <w:iCs/>
          <w:color w:val="000000"/>
          <w:sz w:val="20"/>
          <w:szCs w:val="20"/>
        </w:rPr>
      </w:pPr>
      <w:r w:rsidRPr="00F038BD">
        <w:rPr>
          <w:rFonts w:ascii="Times New Roman" w:hAnsi="Times New Roman"/>
          <w:i/>
          <w:iCs/>
          <w:color w:val="000000"/>
          <w:sz w:val="20"/>
          <w:szCs w:val="20"/>
        </w:rPr>
        <w:t>The figures disclosed above are based on the Restated Financial Statements of the Company.</w:t>
      </w:r>
    </w:p>
    <w:p w14:paraId="24C16CD5" w14:textId="77777777" w:rsidR="00F038BD" w:rsidRPr="00F038BD" w:rsidRDefault="00F038BD">
      <w:pPr>
        <w:numPr>
          <w:ilvl w:val="0"/>
          <w:numId w:val="166"/>
        </w:numPr>
        <w:suppressAutoHyphens/>
        <w:autoSpaceDE w:val="0"/>
        <w:autoSpaceDN w:val="0"/>
        <w:adjustRightInd w:val="0"/>
        <w:spacing w:after="0" w:line="240" w:lineRule="auto"/>
        <w:ind w:left="426" w:hanging="90"/>
        <w:jc w:val="both"/>
        <w:textAlignment w:val="center"/>
        <w:rPr>
          <w:rFonts w:ascii="Times New Roman" w:eastAsia="Calibri" w:hAnsi="Times New Roman"/>
          <w:i/>
          <w:iCs/>
          <w:color w:val="000000"/>
          <w:sz w:val="20"/>
          <w:szCs w:val="20"/>
        </w:rPr>
      </w:pPr>
      <w:r w:rsidRPr="00F038BD">
        <w:rPr>
          <w:rFonts w:ascii="Times New Roman" w:hAnsi="Times New Roman"/>
          <w:i/>
          <w:iCs/>
          <w:color w:val="000000"/>
          <w:sz w:val="20"/>
          <w:szCs w:val="20"/>
        </w:rPr>
        <w:t xml:space="preserve">The face value of each Equity Share is </w:t>
      </w:r>
      <w:r w:rsidRPr="00F038BD">
        <w:rPr>
          <w:rFonts w:ascii="Times New Roman" w:eastAsia="Calibri" w:hAnsi="Times New Roman"/>
          <w:i/>
          <w:color w:val="000000"/>
          <w:sz w:val="20"/>
          <w:szCs w:val="20"/>
        </w:rPr>
        <w:t>₹</w:t>
      </w:r>
      <w:r w:rsidRPr="00F038BD">
        <w:rPr>
          <w:rFonts w:ascii="Times New Roman" w:hAnsi="Times New Roman"/>
          <w:i/>
          <w:iCs/>
          <w:color w:val="000000"/>
          <w:sz w:val="20"/>
          <w:szCs w:val="20"/>
        </w:rPr>
        <w:t>10.00.</w:t>
      </w:r>
    </w:p>
    <w:p w14:paraId="2B78F1B6" w14:textId="77777777" w:rsidR="00F038BD" w:rsidRPr="00F038BD" w:rsidRDefault="00F038BD">
      <w:pPr>
        <w:numPr>
          <w:ilvl w:val="0"/>
          <w:numId w:val="166"/>
        </w:numPr>
        <w:suppressAutoHyphens/>
        <w:autoSpaceDE w:val="0"/>
        <w:autoSpaceDN w:val="0"/>
        <w:adjustRightInd w:val="0"/>
        <w:spacing w:after="0" w:line="240" w:lineRule="auto"/>
        <w:ind w:left="426" w:hanging="90"/>
        <w:jc w:val="both"/>
        <w:textAlignment w:val="center"/>
        <w:rPr>
          <w:rFonts w:ascii="Times New Roman" w:eastAsia="Calibri" w:hAnsi="Times New Roman"/>
          <w:i/>
          <w:iCs/>
          <w:color w:val="000000"/>
          <w:sz w:val="20"/>
          <w:szCs w:val="20"/>
        </w:rPr>
      </w:pPr>
      <w:r w:rsidRPr="00F038BD">
        <w:rPr>
          <w:rFonts w:ascii="Times New Roman" w:hAnsi="Times New Roman"/>
          <w:i/>
          <w:iCs/>
          <w:color w:val="000000"/>
          <w:sz w:val="20"/>
          <w:szCs w:val="20"/>
        </w:rPr>
        <w:t xml:space="preserve">Earnings per Share has been calculated in accordance with </w:t>
      </w:r>
      <w:r w:rsidRPr="00F038BD">
        <w:rPr>
          <w:rFonts w:ascii="Times New Roman" w:hAnsi="Times New Roman"/>
          <w:b/>
          <w:bCs/>
          <w:i/>
          <w:iCs/>
          <w:color w:val="000000"/>
          <w:sz w:val="20"/>
          <w:szCs w:val="20"/>
        </w:rPr>
        <w:t xml:space="preserve">Accounting Standard 20 – “Earnings per Share” </w:t>
      </w:r>
      <w:r w:rsidRPr="00F038BD">
        <w:rPr>
          <w:rFonts w:ascii="Times New Roman" w:hAnsi="Times New Roman"/>
          <w:i/>
          <w:iCs/>
          <w:color w:val="000000"/>
          <w:sz w:val="20"/>
          <w:szCs w:val="20"/>
        </w:rPr>
        <w:t>issued by the Institute of Chartered Accountants of India.</w:t>
      </w:r>
    </w:p>
    <w:p w14:paraId="59DD8DC9" w14:textId="77777777" w:rsidR="00F038BD" w:rsidRPr="00F038BD" w:rsidRDefault="00F038BD">
      <w:pPr>
        <w:numPr>
          <w:ilvl w:val="0"/>
          <w:numId w:val="166"/>
        </w:numPr>
        <w:suppressAutoHyphens/>
        <w:autoSpaceDE w:val="0"/>
        <w:autoSpaceDN w:val="0"/>
        <w:adjustRightInd w:val="0"/>
        <w:spacing w:after="0" w:line="240" w:lineRule="auto"/>
        <w:ind w:left="426" w:hanging="90"/>
        <w:jc w:val="both"/>
        <w:textAlignment w:val="center"/>
        <w:rPr>
          <w:rFonts w:ascii="Times New Roman" w:eastAsia="Calibri" w:hAnsi="Times New Roman"/>
          <w:i/>
          <w:iCs/>
          <w:color w:val="000000"/>
          <w:sz w:val="20"/>
          <w:szCs w:val="20"/>
        </w:rPr>
      </w:pPr>
      <w:r w:rsidRPr="00F038BD">
        <w:rPr>
          <w:rFonts w:ascii="Times New Roman" w:hAnsi="Times New Roman"/>
          <w:i/>
          <w:iCs/>
          <w:color w:val="000000"/>
          <w:sz w:val="20"/>
          <w:szCs w:val="20"/>
        </w:rPr>
        <w:t>The above statement should be read with Significant Accounting Policies and the Notes to the Restated Financial Statements as appearing in Annexure IV.</w:t>
      </w:r>
    </w:p>
    <w:p w14:paraId="23953A7A" w14:textId="77777777" w:rsidR="00F038BD" w:rsidRPr="00F038BD" w:rsidRDefault="00F038BD">
      <w:pPr>
        <w:numPr>
          <w:ilvl w:val="0"/>
          <w:numId w:val="166"/>
        </w:numPr>
        <w:suppressAutoHyphens/>
        <w:autoSpaceDE w:val="0"/>
        <w:autoSpaceDN w:val="0"/>
        <w:adjustRightInd w:val="0"/>
        <w:spacing w:after="0" w:line="240" w:lineRule="auto"/>
        <w:ind w:left="426" w:hanging="90"/>
        <w:jc w:val="both"/>
        <w:textAlignment w:val="center"/>
        <w:rPr>
          <w:rFonts w:ascii="Times New Roman" w:eastAsia="Calibri" w:hAnsi="Times New Roman"/>
          <w:i/>
          <w:iCs/>
          <w:color w:val="000000"/>
          <w:sz w:val="20"/>
          <w:szCs w:val="20"/>
        </w:rPr>
      </w:pPr>
      <w:r w:rsidRPr="00F038BD">
        <w:rPr>
          <w:rFonts w:ascii="Times New Roman" w:hAnsi="Times New Roman"/>
          <w:i/>
          <w:iCs/>
          <w:color w:val="000000"/>
          <w:sz w:val="20"/>
          <w:szCs w:val="20"/>
        </w:rPr>
        <w:t>Basic Earnings per Share = Net Profit/(Loss) after tax, as restated attributable to equity shareholders / Weighted average number of equity shares outstanding during the year/ period</w:t>
      </w:r>
    </w:p>
    <w:p w14:paraId="2EF127B9" w14:textId="77777777" w:rsidR="00F038BD" w:rsidRPr="00F038BD" w:rsidRDefault="00F038BD">
      <w:pPr>
        <w:numPr>
          <w:ilvl w:val="0"/>
          <w:numId w:val="166"/>
        </w:numPr>
        <w:suppressAutoHyphens/>
        <w:autoSpaceDE w:val="0"/>
        <w:autoSpaceDN w:val="0"/>
        <w:adjustRightInd w:val="0"/>
        <w:spacing w:after="0" w:line="240" w:lineRule="auto"/>
        <w:ind w:left="426" w:hanging="90"/>
        <w:jc w:val="both"/>
        <w:textAlignment w:val="center"/>
        <w:rPr>
          <w:rFonts w:ascii="Times New Roman" w:eastAsia="Calibri" w:hAnsi="Times New Roman"/>
          <w:i/>
          <w:iCs/>
          <w:color w:val="000000"/>
          <w:sz w:val="20"/>
          <w:szCs w:val="20"/>
        </w:rPr>
      </w:pPr>
      <w:r w:rsidRPr="00F038BD">
        <w:rPr>
          <w:rFonts w:ascii="Times New Roman" w:hAnsi="Times New Roman"/>
          <w:i/>
          <w:iCs/>
          <w:color w:val="000000"/>
          <w:sz w:val="20"/>
          <w:szCs w:val="20"/>
        </w:rPr>
        <w:t>Diluted Earnings per Share = Net Profit/(Loss) after tax, as restated attributable to equity shareholders / Weighted average number of diluted potential equity shares outstanding during the year/ period</w:t>
      </w:r>
      <w:r w:rsidRPr="00F038BD">
        <w:rPr>
          <w:rFonts w:ascii="Times New Roman" w:eastAsia="Calibri" w:hAnsi="Times New Roman"/>
          <w:i/>
          <w:iCs/>
          <w:color w:val="000000"/>
          <w:sz w:val="20"/>
          <w:szCs w:val="20"/>
        </w:rPr>
        <w:t>.</w:t>
      </w:r>
    </w:p>
    <w:p w14:paraId="748DB008" w14:textId="77777777" w:rsidR="00F038BD" w:rsidRPr="00F038BD" w:rsidRDefault="00F038BD" w:rsidP="00F038BD">
      <w:pPr>
        <w:suppressAutoHyphens/>
        <w:autoSpaceDE w:val="0"/>
        <w:autoSpaceDN w:val="0"/>
        <w:adjustRightInd w:val="0"/>
        <w:spacing w:after="0" w:line="240" w:lineRule="auto"/>
        <w:ind w:left="722"/>
        <w:jc w:val="both"/>
        <w:textAlignment w:val="center"/>
        <w:rPr>
          <w:rFonts w:ascii="Times New Roman" w:eastAsia="Calibri" w:hAnsi="Times New Roman"/>
          <w:i/>
          <w:iCs/>
          <w:color w:val="000000"/>
          <w:sz w:val="20"/>
          <w:szCs w:val="20"/>
        </w:rPr>
      </w:pPr>
    </w:p>
    <w:p w14:paraId="7AA71C36" w14:textId="77777777" w:rsidR="00F038BD" w:rsidRPr="00F038BD" w:rsidRDefault="00F038BD">
      <w:pPr>
        <w:numPr>
          <w:ilvl w:val="0"/>
          <w:numId w:val="165"/>
        </w:numPr>
        <w:autoSpaceDE w:val="0"/>
        <w:autoSpaceDN w:val="0"/>
        <w:adjustRightInd w:val="0"/>
        <w:spacing w:after="0" w:line="240" w:lineRule="auto"/>
        <w:contextualSpacing/>
        <w:jc w:val="both"/>
        <w:rPr>
          <w:rFonts w:ascii="Times New Roman" w:hAnsi="Times New Roman"/>
          <w:b/>
          <w:bCs/>
          <w:sz w:val="20"/>
          <w:szCs w:val="20"/>
        </w:rPr>
      </w:pPr>
      <w:r w:rsidRPr="00F038BD">
        <w:rPr>
          <w:rFonts w:ascii="Times New Roman" w:hAnsi="Times New Roman"/>
          <w:b/>
          <w:bCs/>
          <w:sz w:val="20"/>
          <w:szCs w:val="20"/>
        </w:rPr>
        <w:t>Price Earning (P/E) Ratio in relation to the Price Band of ₹ [●] to ₹ [●] per Equity Share of Face Value of ₹ 10/- each fully paid up:</w:t>
      </w:r>
    </w:p>
    <w:p w14:paraId="77F246D0" w14:textId="77777777" w:rsidR="00F038BD" w:rsidRPr="00F038BD" w:rsidRDefault="00F038BD" w:rsidP="00F038BD">
      <w:pPr>
        <w:autoSpaceDE w:val="0"/>
        <w:autoSpaceDN w:val="0"/>
        <w:adjustRightInd w:val="0"/>
        <w:spacing w:after="0" w:line="240" w:lineRule="auto"/>
        <w:ind w:left="632"/>
        <w:jc w:val="both"/>
        <w:rPr>
          <w:rFonts w:ascii="Times New Roman" w:hAnsi="Times New Roman"/>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8"/>
        <w:gridCol w:w="1564"/>
        <w:gridCol w:w="1564"/>
      </w:tblGrid>
      <w:tr w:rsidR="00F038BD" w:rsidRPr="00F038BD" w14:paraId="145B8C00" w14:textId="77777777" w:rsidTr="00716083">
        <w:trPr>
          <w:trHeight w:val="227"/>
        </w:trPr>
        <w:tc>
          <w:tcPr>
            <w:tcW w:w="3504"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939BDD" w14:textId="77777777" w:rsidR="00F038BD" w:rsidRPr="00F038BD" w:rsidRDefault="00F038BD" w:rsidP="00F038BD">
            <w:pPr>
              <w:spacing w:after="0" w:line="240" w:lineRule="auto"/>
              <w:jc w:val="center"/>
              <w:rPr>
                <w:rFonts w:ascii="Times New Roman" w:hAnsi="Times New Roman"/>
                <w:b/>
                <w:sz w:val="20"/>
                <w:szCs w:val="20"/>
                <w:lang w:val="en-IN"/>
              </w:rPr>
            </w:pPr>
            <w:r w:rsidRPr="00F038BD">
              <w:rPr>
                <w:rFonts w:ascii="Times New Roman" w:hAnsi="Times New Roman"/>
                <w:b/>
                <w:sz w:val="20"/>
                <w:szCs w:val="20"/>
                <w:lang w:val="en-IN"/>
              </w:rPr>
              <w:t>Particulars</w:t>
            </w:r>
          </w:p>
        </w:tc>
        <w:tc>
          <w:tcPr>
            <w:tcW w:w="748"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CF4254" w14:textId="77777777" w:rsidR="00F038BD" w:rsidRPr="00F038BD" w:rsidRDefault="00F038BD" w:rsidP="00F038BD">
            <w:pPr>
              <w:spacing w:after="0" w:line="240" w:lineRule="auto"/>
              <w:jc w:val="center"/>
              <w:rPr>
                <w:rFonts w:ascii="Times New Roman" w:hAnsi="Times New Roman"/>
                <w:b/>
                <w:sz w:val="20"/>
                <w:szCs w:val="20"/>
                <w:lang w:val="en-IN"/>
              </w:rPr>
            </w:pPr>
            <w:r w:rsidRPr="00F038BD">
              <w:rPr>
                <w:rFonts w:ascii="Times New Roman" w:hAnsi="Times New Roman"/>
                <w:b/>
                <w:sz w:val="20"/>
                <w:szCs w:val="20"/>
              </w:rPr>
              <w:t>(P/E) Ratio at the Floor Price</w:t>
            </w:r>
          </w:p>
        </w:tc>
        <w:tc>
          <w:tcPr>
            <w:tcW w:w="748"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3307093" w14:textId="77777777" w:rsidR="00F038BD" w:rsidRPr="00F038BD" w:rsidRDefault="00F038BD" w:rsidP="00F038BD">
            <w:pPr>
              <w:spacing w:after="0" w:line="240" w:lineRule="auto"/>
              <w:jc w:val="center"/>
              <w:rPr>
                <w:rFonts w:ascii="Times New Roman" w:hAnsi="Times New Roman"/>
                <w:b/>
                <w:sz w:val="20"/>
                <w:szCs w:val="20"/>
                <w:lang w:val="en-IN"/>
              </w:rPr>
            </w:pPr>
            <w:r w:rsidRPr="00F038BD">
              <w:rPr>
                <w:rFonts w:ascii="Times New Roman" w:hAnsi="Times New Roman"/>
                <w:b/>
                <w:sz w:val="20"/>
                <w:szCs w:val="20"/>
              </w:rPr>
              <w:t>(P/E) Ratio at the Cap Price</w:t>
            </w:r>
          </w:p>
        </w:tc>
      </w:tr>
      <w:tr w:rsidR="00F038BD" w:rsidRPr="00F038BD" w14:paraId="5D4AF07C" w14:textId="77777777" w:rsidTr="00716083">
        <w:trPr>
          <w:trHeight w:val="227"/>
        </w:trPr>
        <w:tc>
          <w:tcPr>
            <w:tcW w:w="3504" w:type="pct"/>
            <w:tcBorders>
              <w:top w:val="single" w:sz="4" w:space="0" w:color="auto"/>
              <w:left w:val="single" w:sz="4" w:space="0" w:color="auto"/>
              <w:bottom w:val="single" w:sz="4" w:space="0" w:color="auto"/>
              <w:right w:val="single" w:sz="4" w:space="0" w:color="auto"/>
            </w:tcBorders>
            <w:hideMark/>
          </w:tcPr>
          <w:p w14:paraId="17169240" w14:textId="77777777" w:rsidR="00F038BD" w:rsidRPr="00F038BD" w:rsidRDefault="00F038BD" w:rsidP="00F038BD">
            <w:pPr>
              <w:spacing w:after="0" w:line="240" w:lineRule="auto"/>
              <w:jc w:val="both"/>
              <w:rPr>
                <w:rFonts w:ascii="Times New Roman" w:hAnsi="Times New Roman"/>
                <w:sz w:val="20"/>
                <w:szCs w:val="20"/>
                <w:lang w:val="en-IN"/>
              </w:rPr>
            </w:pPr>
            <w:r w:rsidRPr="00F038BD">
              <w:rPr>
                <w:rFonts w:ascii="Times New Roman" w:hAnsi="Times New Roman"/>
                <w:sz w:val="20"/>
                <w:szCs w:val="20"/>
                <w:lang w:val="en-IN"/>
              </w:rPr>
              <w:t>P/E ratio based on the Basic &amp; Diluted EPS, as restated for period ending March 31, 2023</w:t>
            </w:r>
          </w:p>
        </w:tc>
        <w:tc>
          <w:tcPr>
            <w:tcW w:w="748" w:type="pct"/>
            <w:tcBorders>
              <w:top w:val="single" w:sz="4" w:space="0" w:color="auto"/>
              <w:left w:val="single" w:sz="4" w:space="0" w:color="auto"/>
              <w:bottom w:val="single" w:sz="4" w:space="0" w:color="auto"/>
              <w:right w:val="single" w:sz="4" w:space="0" w:color="auto"/>
            </w:tcBorders>
            <w:hideMark/>
          </w:tcPr>
          <w:p w14:paraId="57F56835" w14:textId="77777777" w:rsidR="00F038BD" w:rsidRPr="00F038BD" w:rsidRDefault="00F038BD" w:rsidP="00F038BD">
            <w:pPr>
              <w:spacing w:after="0" w:line="240" w:lineRule="auto"/>
              <w:jc w:val="center"/>
              <w:rPr>
                <w:rFonts w:ascii="Times New Roman" w:hAnsi="Times New Roman"/>
                <w:sz w:val="20"/>
                <w:szCs w:val="20"/>
                <w:lang w:val="en-IN"/>
              </w:rPr>
            </w:pPr>
            <w:r w:rsidRPr="00F038BD">
              <w:rPr>
                <w:rFonts w:ascii="Times New Roman" w:hAnsi="Times New Roman"/>
                <w:sz w:val="20"/>
                <w:szCs w:val="20"/>
                <w:lang w:val="en-GB"/>
              </w:rPr>
              <w:t>[●]</w:t>
            </w:r>
          </w:p>
        </w:tc>
        <w:tc>
          <w:tcPr>
            <w:tcW w:w="748" w:type="pct"/>
            <w:tcBorders>
              <w:top w:val="single" w:sz="4" w:space="0" w:color="auto"/>
              <w:left w:val="single" w:sz="4" w:space="0" w:color="auto"/>
              <w:bottom w:val="single" w:sz="4" w:space="0" w:color="auto"/>
              <w:right w:val="single" w:sz="4" w:space="0" w:color="auto"/>
            </w:tcBorders>
          </w:tcPr>
          <w:p w14:paraId="7CAB939D" w14:textId="77777777" w:rsidR="00F038BD" w:rsidRPr="00F038BD" w:rsidRDefault="00F038BD" w:rsidP="00F038BD">
            <w:pPr>
              <w:spacing w:after="0" w:line="240" w:lineRule="auto"/>
              <w:jc w:val="center"/>
              <w:rPr>
                <w:rFonts w:ascii="Times New Roman" w:hAnsi="Times New Roman"/>
                <w:sz w:val="20"/>
                <w:szCs w:val="20"/>
                <w:lang w:val="en-GB"/>
              </w:rPr>
            </w:pPr>
            <w:r w:rsidRPr="00F038BD">
              <w:rPr>
                <w:rFonts w:ascii="Times New Roman" w:hAnsi="Times New Roman"/>
                <w:sz w:val="20"/>
                <w:szCs w:val="20"/>
                <w:lang w:val="en-GB"/>
              </w:rPr>
              <w:t>[●]</w:t>
            </w:r>
          </w:p>
        </w:tc>
      </w:tr>
      <w:tr w:rsidR="00F038BD" w:rsidRPr="00F038BD" w14:paraId="58A0E6C5" w14:textId="77777777" w:rsidTr="00716083">
        <w:trPr>
          <w:trHeight w:val="227"/>
        </w:trPr>
        <w:tc>
          <w:tcPr>
            <w:tcW w:w="3504" w:type="pct"/>
            <w:tcBorders>
              <w:top w:val="single" w:sz="4" w:space="0" w:color="auto"/>
              <w:left w:val="single" w:sz="4" w:space="0" w:color="auto"/>
              <w:bottom w:val="single" w:sz="4" w:space="0" w:color="auto"/>
              <w:right w:val="single" w:sz="4" w:space="0" w:color="auto"/>
            </w:tcBorders>
            <w:hideMark/>
          </w:tcPr>
          <w:p w14:paraId="1EF8A808" w14:textId="77777777" w:rsidR="00F038BD" w:rsidRPr="00F038BD" w:rsidRDefault="00F038BD" w:rsidP="00F038BD">
            <w:pPr>
              <w:spacing w:after="0" w:line="240" w:lineRule="auto"/>
              <w:jc w:val="both"/>
              <w:rPr>
                <w:rFonts w:ascii="Times New Roman" w:hAnsi="Times New Roman"/>
                <w:sz w:val="20"/>
                <w:szCs w:val="20"/>
                <w:lang w:val="en-IN"/>
              </w:rPr>
            </w:pPr>
            <w:r w:rsidRPr="00F038BD">
              <w:rPr>
                <w:rFonts w:ascii="Times New Roman" w:hAnsi="Times New Roman"/>
                <w:sz w:val="20"/>
                <w:szCs w:val="20"/>
                <w:lang w:val="en-IN"/>
              </w:rPr>
              <w:t>P/E ratio based on the Weighted Average EPS, as restated.</w:t>
            </w:r>
          </w:p>
        </w:tc>
        <w:tc>
          <w:tcPr>
            <w:tcW w:w="748" w:type="pct"/>
            <w:tcBorders>
              <w:top w:val="single" w:sz="4" w:space="0" w:color="auto"/>
              <w:left w:val="single" w:sz="4" w:space="0" w:color="auto"/>
              <w:bottom w:val="single" w:sz="4" w:space="0" w:color="auto"/>
              <w:right w:val="single" w:sz="4" w:space="0" w:color="auto"/>
            </w:tcBorders>
            <w:hideMark/>
          </w:tcPr>
          <w:p w14:paraId="4452EC5C" w14:textId="77777777" w:rsidR="00F038BD" w:rsidRPr="00F038BD" w:rsidRDefault="00F038BD" w:rsidP="00F038BD">
            <w:pPr>
              <w:spacing w:after="0" w:line="240" w:lineRule="auto"/>
              <w:jc w:val="center"/>
              <w:rPr>
                <w:rFonts w:ascii="Times New Roman" w:hAnsi="Times New Roman"/>
                <w:sz w:val="20"/>
                <w:szCs w:val="20"/>
                <w:lang w:val="en-IN"/>
              </w:rPr>
            </w:pPr>
            <w:r w:rsidRPr="00F038BD">
              <w:rPr>
                <w:rFonts w:ascii="Times New Roman" w:hAnsi="Times New Roman"/>
                <w:sz w:val="20"/>
                <w:szCs w:val="20"/>
                <w:lang w:val="en-GB"/>
              </w:rPr>
              <w:t>[●]</w:t>
            </w:r>
          </w:p>
        </w:tc>
        <w:tc>
          <w:tcPr>
            <w:tcW w:w="748" w:type="pct"/>
            <w:tcBorders>
              <w:top w:val="single" w:sz="4" w:space="0" w:color="auto"/>
              <w:left w:val="single" w:sz="4" w:space="0" w:color="auto"/>
              <w:bottom w:val="single" w:sz="4" w:space="0" w:color="auto"/>
              <w:right w:val="single" w:sz="4" w:space="0" w:color="auto"/>
            </w:tcBorders>
          </w:tcPr>
          <w:p w14:paraId="3C425AC4" w14:textId="77777777" w:rsidR="00F038BD" w:rsidRPr="00F038BD" w:rsidRDefault="00F038BD" w:rsidP="00F038BD">
            <w:pPr>
              <w:spacing w:after="0" w:line="240" w:lineRule="auto"/>
              <w:jc w:val="center"/>
              <w:rPr>
                <w:rFonts w:ascii="Times New Roman" w:hAnsi="Times New Roman"/>
                <w:sz w:val="20"/>
                <w:szCs w:val="20"/>
                <w:lang w:val="en-GB"/>
              </w:rPr>
            </w:pPr>
            <w:r w:rsidRPr="00F038BD">
              <w:rPr>
                <w:rFonts w:ascii="Times New Roman" w:hAnsi="Times New Roman"/>
                <w:sz w:val="20"/>
                <w:szCs w:val="20"/>
                <w:lang w:val="en-GB"/>
              </w:rPr>
              <w:t>[●]</w:t>
            </w:r>
          </w:p>
        </w:tc>
      </w:tr>
    </w:tbl>
    <w:p w14:paraId="2FC1FE0A" w14:textId="77777777" w:rsidR="00F038BD" w:rsidRPr="00F038BD" w:rsidRDefault="00F038BD" w:rsidP="00F038BD">
      <w:pPr>
        <w:spacing w:after="0" w:line="240" w:lineRule="auto"/>
        <w:rPr>
          <w:rFonts w:ascii="Times New Roman" w:hAnsi="Times New Roman"/>
          <w:sz w:val="20"/>
          <w:szCs w:val="20"/>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2"/>
        <w:gridCol w:w="1956"/>
      </w:tblGrid>
      <w:tr w:rsidR="00F038BD" w:rsidRPr="00F038BD" w14:paraId="2F55ABA6" w14:textId="77777777" w:rsidTr="00716083">
        <w:trPr>
          <w:trHeight w:val="227"/>
        </w:trPr>
        <w:tc>
          <w:tcPr>
            <w:tcW w:w="4065"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3BA3BE" w14:textId="77777777" w:rsidR="00F038BD" w:rsidRPr="00F038BD" w:rsidRDefault="00F038BD" w:rsidP="00F038BD">
            <w:pPr>
              <w:spacing w:after="0" w:line="240" w:lineRule="auto"/>
              <w:rPr>
                <w:rFonts w:ascii="Times New Roman" w:hAnsi="Times New Roman"/>
                <w:b/>
                <w:sz w:val="20"/>
                <w:szCs w:val="20"/>
                <w:lang w:val="en-IN"/>
              </w:rPr>
            </w:pPr>
            <w:r w:rsidRPr="00F038BD">
              <w:rPr>
                <w:rFonts w:ascii="Times New Roman" w:hAnsi="Times New Roman"/>
                <w:b/>
                <w:sz w:val="20"/>
                <w:szCs w:val="20"/>
                <w:lang w:val="en-GB"/>
              </w:rPr>
              <w:t>Industry P/E Ratio*</w:t>
            </w:r>
          </w:p>
        </w:tc>
        <w:tc>
          <w:tcPr>
            <w:tcW w:w="935"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B058F42" w14:textId="77777777" w:rsidR="00F038BD" w:rsidRPr="00F038BD" w:rsidRDefault="00F038BD" w:rsidP="00F038BD">
            <w:pPr>
              <w:spacing w:after="0" w:line="240" w:lineRule="auto"/>
              <w:jc w:val="center"/>
              <w:rPr>
                <w:rFonts w:ascii="Times New Roman" w:hAnsi="Times New Roman"/>
                <w:b/>
                <w:sz w:val="20"/>
                <w:szCs w:val="20"/>
                <w:lang w:val="en-IN"/>
              </w:rPr>
            </w:pPr>
            <w:r w:rsidRPr="00F038BD">
              <w:rPr>
                <w:rFonts w:ascii="Times New Roman" w:hAnsi="Times New Roman"/>
                <w:b/>
                <w:sz w:val="20"/>
                <w:szCs w:val="20"/>
                <w:lang w:val="en-IN"/>
              </w:rPr>
              <w:t>(P/E) Ratio</w:t>
            </w:r>
          </w:p>
        </w:tc>
      </w:tr>
      <w:tr w:rsidR="00F038BD" w:rsidRPr="00F038BD" w14:paraId="59AE59B1" w14:textId="77777777" w:rsidTr="00716083">
        <w:trPr>
          <w:trHeight w:val="227"/>
        </w:trPr>
        <w:tc>
          <w:tcPr>
            <w:tcW w:w="4065" w:type="pct"/>
            <w:tcBorders>
              <w:top w:val="single" w:sz="4" w:space="0" w:color="auto"/>
              <w:left w:val="single" w:sz="4" w:space="0" w:color="auto"/>
              <w:bottom w:val="single" w:sz="4" w:space="0" w:color="auto"/>
              <w:right w:val="single" w:sz="4" w:space="0" w:color="auto"/>
            </w:tcBorders>
            <w:hideMark/>
          </w:tcPr>
          <w:p w14:paraId="04A6BC86" w14:textId="77777777" w:rsidR="00F038BD" w:rsidRPr="00D53C9F" w:rsidRDefault="00F038BD" w:rsidP="00F038BD">
            <w:pPr>
              <w:shd w:val="clear" w:color="auto" w:fill="FFFFFF"/>
              <w:suppressAutoHyphens/>
              <w:autoSpaceDE w:val="0"/>
              <w:autoSpaceDN w:val="0"/>
              <w:adjustRightInd w:val="0"/>
              <w:spacing w:after="0" w:line="240" w:lineRule="auto"/>
              <w:textAlignment w:val="baseline"/>
              <w:outlineLvl w:val="0"/>
              <w:rPr>
                <w:rFonts w:ascii="Times New Roman" w:hAnsi="Times New Roman"/>
                <w:color w:val="000000"/>
                <w:sz w:val="20"/>
                <w:szCs w:val="20"/>
                <w:lang w:val="en-GB" w:eastAsia="x-none"/>
              </w:rPr>
            </w:pPr>
            <w:r w:rsidRPr="00D53C9F">
              <w:rPr>
                <w:rFonts w:ascii="Times New Roman" w:hAnsi="Times New Roman"/>
                <w:color w:val="000000"/>
                <w:sz w:val="20"/>
                <w:szCs w:val="20"/>
                <w:lang w:val="en-IN" w:eastAsia="x-none"/>
              </w:rPr>
              <w:t>Industry Average</w:t>
            </w:r>
          </w:p>
        </w:tc>
        <w:tc>
          <w:tcPr>
            <w:tcW w:w="935" w:type="pct"/>
            <w:tcBorders>
              <w:top w:val="single" w:sz="4" w:space="0" w:color="auto"/>
              <w:left w:val="single" w:sz="4" w:space="0" w:color="auto"/>
              <w:bottom w:val="single" w:sz="4" w:space="0" w:color="auto"/>
              <w:right w:val="single" w:sz="4" w:space="0" w:color="auto"/>
            </w:tcBorders>
            <w:hideMark/>
          </w:tcPr>
          <w:p w14:paraId="0B9B2385" w14:textId="3C479C7C" w:rsidR="00F038BD" w:rsidRPr="00D53C9F" w:rsidRDefault="00523CA4" w:rsidP="00F038BD">
            <w:pPr>
              <w:spacing w:after="0" w:line="240" w:lineRule="auto"/>
              <w:jc w:val="center"/>
              <w:rPr>
                <w:rFonts w:ascii="Times New Roman" w:hAnsi="Times New Roman"/>
                <w:bCs/>
                <w:sz w:val="20"/>
                <w:szCs w:val="20"/>
                <w:lang w:val="en-IN"/>
              </w:rPr>
            </w:pPr>
            <w:r>
              <w:rPr>
                <w:rFonts w:ascii="Times New Roman" w:hAnsi="Times New Roman"/>
                <w:bCs/>
                <w:sz w:val="20"/>
                <w:szCs w:val="20"/>
                <w:lang w:val="en-GB"/>
              </w:rPr>
              <w:t>39.64</w:t>
            </w:r>
          </w:p>
        </w:tc>
      </w:tr>
    </w:tbl>
    <w:p w14:paraId="10B3B3DF" w14:textId="77777777" w:rsidR="00F038BD" w:rsidRPr="00F038BD" w:rsidRDefault="00F038BD" w:rsidP="00F038BD">
      <w:pPr>
        <w:spacing w:after="0" w:line="240" w:lineRule="auto"/>
        <w:jc w:val="both"/>
        <w:rPr>
          <w:rFonts w:ascii="Times New Roman" w:hAnsi="Times New Roman"/>
          <w:i/>
          <w:sz w:val="20"/>
          <w:szCs w:val="20"/>
        </w:rPr>
      </w:pPr>
      <w:r w:rsidRPr="00F038BD">
        <w:rPr>
          <w:rFonts w:ascii="Times New Roman" w:hAnsi="Times New Roman"/>
          <w:bCs/>
          <w:i/>
          <w:sz w:val="20"/>
          <w:szCs w:val="20"/>
        </w:rPr>
        <w:lastRenderedPageBreak/>
        <w:t>* For the purpose of industry, we have considered those companies which are engaged in the similar line of business segment as of our Company, however, they may not be exactly comparable in terms of product portfolio or the size of our Company. The peers have been included for the purpose of broad comparison</w:t>
      </w:r>
      <w:r w:rsidRPr="00F038BD">
        <w:rPr>
          <w:rFonts w:ascii="Times New Roman" w:hAnsi="Times New Roman"/>
          <w:i/>
          <w:sz w:val="20"/>
          <w:szCs w:val="20"/>
        </w:rPr>
        <w:t>.</w:t>
      </w:r>
    </w:p>
    <w:p w14:paraId="590819F3" w14:textId="77777777" w:rsidR="00F038BD" w:rsidRPr="00F038BD" w:rsidRDefault="00F038BD" w:rsidP="00F038BD">
      <w:pPr>
        <w:spacing w:after="0" w:line="240" w:lineRule="auto"/>
        <w:jc w:val="both"/>
        <w:rPr>
          <w:rFonts w:ascii="Times New Roman" w:hAnsi="Times New Roman"/>
          <w:i/>
          <w:sz w:val="20"/>
          <w:szCs w:val="20"/>
        </w:rPr>
      </w:pPr>
    </w:p>
    <w:p w14:paraId="26D85200" w14:textId="77777777" w:rsidR="00F038BD" w:rsidRPr="00F038BD" w:rsidRDefault="00F038BD" w:rsidP="00F038BD">
      <w:pPr>
        <w:spacing w:after="0" w:line="240" w:lineRule="auto"/>
        <w:jc w:val="both"/>
        <w:rPr>
          <w:rFonts w:ascii="Times New Roman" w:hAnsi="Times New Roman"/>
          <w:b/>
          <w:bCs/>
          <w:i/>
          <w:sz w:val="20"/>
          <w:szCs w:val="20"/>
        </w:rPr>
      </w:pPr>
      <w:r w:rsidRPr="00F038BD">
        <w:rPr>
          <w:rFonts w:ascii="Times New Roman" w:hAnsi="Times New Roman"/>
          <w:b/>
          <w:bCs/>
          <w:i/>
          <w:sz w:val="20"/>
          <w:szCs w:val="20"/>
        </w:rPr>
        <w:t>Note:</w:t>
      </w:r>
    </w:p>
    <w:p w14:paraId="53CE91DB" w14:textId="77777777" w:rsidR="00F038BD" w:rsidRPr="00F038BD" w:rsidRDefault="00F038BD">
      <w:pPr>
        <w:numPr>
          <w:ilvl w:val="0"/>
          <w:numId w:val="167"/>
        </w:numPr>
        <w:suppressAutoHyphens/>
        <w:autoSpaceDE w:val="0"/>
        <w:autoSpaceDN w:val="0"/>
        <w:adjustRightInd w:val="0"/>
        <w:spacing w:after="0" w:line="240" w:lineRule="auto"/>
        <w:ind w:left="426"/>
        <w:jc w:val="both"/>
        <w:rPr>
          <w:rFonts w:ascii="Times New Roman" w:hAnsi="Times New Roman"/>
          <w:bCs/>
          <w:color w:val="000000"/>
          <w:sz w:val="20"/>
          <w:szCs w:val="20"/>
          <w:lang w:val="x-none" w:eastAsia="x-none"/>
        </w:rPr>
      </w:pPr>
      <w:r w:rsidRPr="00F038BD">
        <w:rPr>
          <w:rFonts w:ascii="Times New Roman" w:hAnsi="Times New Roman"/>
          <w:bCs/>
          <w:color w:val="000000"/>
          <w:sz w:val="20"/>
          <w:szCs w:val="20"/>
          <w:lang w:val="x-none" w:eastAsia="x-none"/>
        </w:rPr>
        <w:t>The P/E ratio of our Company has been computed by dividing Issue Price with EPS.</w:t>
      </w:r>
    </w:p>
    <w:p w14:paraId="36BE5FD1" w14:textId="6B3274F1" w:rsidR="00F038BD" w:rsidRPr="00F038BD" w:rsidRDefault="00F038BD">
      <w:pPr>
        <w:numPr>
          <w:ilvl w:val="0"/>
          <w:numId w:val="167"/>
        </w:numPr>
        <w:suppressAutoHyphens/>
        <w:autoSpaceDE w:val="0"/>
        <w:autoSpaceDN w:val="0"/>
        <w:adjustRightInd w:val="0"/>
        <w:spacing w:after="0" w:line="240" w:lineRule="auto"/>
        <w:ind w:left="426"/>
        <w:jc w:val="both"/>
        <w:rPr>
          <w:rFonts w:ascii="Times New Roman" w:hAnsi="Times New Roman"/>
          <w:bCs/>
          <w:color w:val="000000"/>
          <w:sz w:val="20"/>
          <w:szCs w:val="20"/>
          <w:lang w:val="x-none" w:eastAsia="x-none"/>
        </w:rPr>
      </w:pPr>
      <w:r w:rsidRPr="00F038BD">
        <w:rPr>
          <w:rFonts w:ascii="Times New Roman" w:hAnsi="Times New Roman"/>
          <w:bCs/>
          <w:color w:val="000000"/>
          <w:sz w:val="20"/>
          <w:szCs w:val="20"/>
          <w:lang w:val="x-none" w:eastAsia="x-none"/>
        </w:rPr>
        <w:t xml:space="preserve">P/E Ratio of the </w:t>
      </w:r>
      <w:r w:rsidRPr="00F038BD">
        <w:rPr>
          <w:rFonts w:ascii="Times New Roman" w:hAnsi="Times New Roman"/>
          <w:bCs/>
          <w:color w:val="000000"/>
          <w:sz w:val="20"/>
          <w:szCs w:val="20"/>
          <w:lang w:eastAsia="x-none"/>
        </w:rPr>
        <w:t xml:space="preserve">peer </w:t>
      </w:r>
      <w:r w:rsidRPr="00F038BD">
        <w:rPr>
          <w:rFonts w:ascii="Times New Roman" w:hAnsi="Times New Roman"/>
          <w:bCs/>
          <w:color w:val="000000"/>
          <w:sz w:val="20"/>
          <w:szCs w:val="20"/>
          <w:lang w:val="x-none" w:eastAsia="x-none"/>
        </w:rPr>
        <w:t xml:space="preserve">company is based on the Consolidated Audited Results for the F.Y. </w:t>
      </w:r>
      <w:r w:rsidRPr="00F038BD">
        <w:rPr>
          <w:rFonts w:ascii="Times New Roman" w:hAnsi="Times New Roman"/>
          <w:bCs/>
          <w:color w:val="000000"/>
          <w:sz w:val="20"/>
          <w:szCs w:val="20"/>
          <w:lang w:eastAsia="x-none"/>
        </w:rPr>
        <w:t>2022-23</w:t>
      </w:r>
      <w:r w:rsidRPr="00F038BD">
        <w:rPr>
          <w:rFonts w:ascii="Times New Roman" w:hAnsi="Times New Roman"/>
          <w:bCs/>
          <w:color w:val="000000"/>
          <w:sz w:val="20"/>
          <w:szCs w:val="20"/>
          <w:lang w:val="x-none" w:eastAsia="x-none"/>
        </w:rPr>
        <w:t xml:space="preserve"> and stock exchange data </w:t>
      </w:r>
      <w:r w:rsidRPr="00523CA4">
        <w:rPr>
          <w:rFonts w:ascii="Times New Roman" w:hAnsi="Times New Roman"/>
          <w:bCs/>
          <w:color w:val="000000"/>
          <w:sz w:val="20"/>
          <w:szCs w:val="20"/>
          <w:lang w:val="x-none" w:eastAsia="x-none"/>
        </w:rPr>
        <w:t>dated</w:t>
      </w:r>
      <w:r w:rsidR="00523CA4" w:rsidRPr="00523CA4">
        <w:rPr>
          <w:rFonts w:ascii="Times New Roman" w:hAnsi="Times New Roman"/>
          <w:bCs/>
          <w:color w:val="000000"/>
          <w:sz w:val="20"/>
          <w:szCs w:val="20"/>
          <w:lang w:eastAsia="x-none"/>
        </w:rPr>
        <w:t xml:space="preserve"> </w:t>
      </w:r>
      <w:r w:rsidR="00523CA4" w:rsidRPr="00523CA4">
        <w:rPr>
          <w:rFonts w:ascii="Times New Roman" w:hAnsi="Times New Roman"/>
          <w:bCs/>
          <w:color w:val="000000"/>
          <w:sz w:val="20"/>
          <w:szCs w:val="20"/>
          <w:lang w:eastAsia="x-none"/>
        </w:rPr>
        <w:t>September 21, 2023</w:t>
      </w:r>
      <w:r w:rsidR="00523CA4">
        <w:rPr>
          <w:rFonts w:ascii="Times New Roman" w:hAnsi="Times New Roman"/>
          <w:bCs/>
          <w:color w:val="000000"/>
          <w:sz w:val="20"/>
          <w:szCs w:val="20"/>
          <w:lang w:eastAsia="x-none"/>
        </w:rPr>
        <w:t>.</w:t>
      </w:r>
    </w:p>
    <w:p w14:paraId="406EA5EC" w14:textId="77777777" w:rsidR="00F038BD" w:rsidRPr="00F038BD" w:rsidRDefault="00F038BD" w:rsidP="00F038BD">
      <w:pPr>
        <w:suppressAutoHyphens/>
        <w:autoSpaceDE w:val="0"/>
        <w:autoSpaceDN w:val="0"/>
        <w:adjustRightInd w:val="0"/>
        <w:spacing w:after="0" w:line="240" w:lineRule="auto"/>
        <w:ind w:left="426"/>
        <w:jc w:val="both"/>
        <w:rPr>
          <w:rFonts w:ascii="Times New Roman" w:hAnsi="Times New Roman"/>
          <w:bCs/>
          <w:color w:val="000000"/>
          <w:sz w:val="20"/>
          <w:szCs w:val="20"/>
          <w:lang w:val="x-none" w:eastAsia="x-none"/>
        </w:rPr>
      </w:pPr>
    </w:p>
    <w:p w14:paraId="6FE03622" w14:textId="77777777" w:rsidR="00F038BD" w:rsidRPr="00F038BD" w:rsidRDefault="00F038BD">
      <w:pPr>
        <w:numPr>
          <w:ilvl w:val="0"/>
          <w:numId w:val="165"/>
        </w:numPr>
        <w:autoSpaceDE w:val="0"/>
        <w:autoSpaceDN w:val="0"/>
        <w:adjustRightInd w:val="0"/>
        <w:spacing w:after="0" w:line="240" w:lineRule="auto"/>
        <w:ind w:left="426"/>
        <w:jc w:val="both"/>
        <w:rPr>
          <w:rFonts w:ascii="Times New Roman" w:hAnsi="Times New Roman"/>
          <w:b/>
          <w:bCs/>
          <w:sz w:val="20"/>
          <w:szCs w:val="20"/>
        </w:rPr>
      </w:pPr>
      <w:r w:rsidRPr="00F038BD">
        <w:rPr>
          <w:rFonts w:ascii="Times New Roman" w:hAnsi="Times New Roman"/>
          <w:b/>
          <w:bCs/>
          <w:sz w:val="20"/>
          <w:szCs w:val="20"/>
        </w:rPr>
        <w:t>Return on Net worth (RoNW)</w:t>
      </w:r>
    </w:p>
    <w:p w14:paraId="0789A9AC" w14:textId="77777777" w:rsidR="00F038BD" w:rsidRPr="00F038BD" w:rsidRDefault="00F038BD" w:rsidP="00F038BD">
      <w:pPr>
        <w:autoSpaceDE w:val="0"/>
        <w:autoSpaceDN w:val="0"/>
        <w:adjustRightInd w:val="0"/>
        <w:spacing w:after="0" w:line="240" w:lineRule="auto"/>
        <w:ind w:left="272"/>
        <w:jc w:val="both"/>
        <w:rPr>
          <w:rFonts w:ascii="Times New Roman" w:hAnsi="Times New Roman"/>
          <w:sz w:val="20"/>
          <w:szCs w:val="20"/>
        </w:rPr>
      </w:pPr>
    </w:p>
    <w:tbl>
      <w:tblPr>
        <w:tblW w:w="4922" w:type="pct"/>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5861"/>
        <w:gridCol w:w="2071"/>
        <w:gridCol w:w="1571"/>
      </w:tblGrid>
      <w:tr w:rsidR="00F038BD" w:rsidRPr="00F038BD" w14:paraId="7E5A21EC" w14:textId="77777777" w:rsidTr="00716083">
        <w:trPr>
          <w:trHeight w:val="227"/>
        </w:trPr>
        <w:tc>
          <w:tcPr>
            <w:tcW w:w="384"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473ECD94" w14:textId="77777777" w:rsidR="00F038BD" w:rsidRPr="00F038BD" w:rsidRDefault="00F038BD" w:rsidP="00F038BD">
            <w:pPr>
              <w:keepNext/>
              <w:keepLines/>
              <w:spacing w:after="0" w:line="240" w:lineRule="auto"/>
              <w:jc w:val="both"/>
              <w:outlineLvl w:val="0"/>
              <w:rPr>
                <w:rFonts w:ascii="Times New Roman" w:hAnsi="Times New Roman"/>
                <w:color w:val="000000"/>
                <w:sz w:val="20"/>
                <w:szCs w:val="20"/>
                <w:lang w:val="en-IN" w:bidi="en-US"/>
              </w:rPr>
            </w:pPr>
            <w:r w:rsidRPr="00F038BD">
              <w:rPr>
                <w:rFonts w:ascii="Times New Roman" w:hAnsi="Times New Roman"/>
                <w:b/>
                <w:bCs/>
                <w:sz w:val="20"/>
                <w:szCs w:val="20"/>
                <w:lang w:val="en-IN" w:bidi="en-US"/>
              </w:rPr>
              <w:t>Sr. No</w:t>
            </w:r>
          </w:p>
        </w:tc>
        <w:tc>
          <w:tcPr>
            <w:tcW w:w="284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4F61730B" w14:textId="77777777" w:rsidR="00F038BD" w:rsidRPr="00F038BD" w:rsidRDefault="00F038BD" w:rsidP="00F038BD">
            <w:pPr>
              <w:spacing w:after="0" w:line="240" w:lineRule="auto"/>
              <w:jc w:val="both"/>
              <w:rPr>
                <w:rFonts w:ascii="Times New Roman" w:hAnsi="Times New Roman"/>
                <w:color w:val="000000"/>
                <w:sz w:val="20"/>
                <w:szCs w:val="20"/>
                <w:lang w:val="en-IN" w:bidi="en-US"/>
              </w:rPr>
            </w:pPr>
            <w:r w:rsidRPr="00F038BD">
              <w:rPr>
                <w:rFonts w:ascii="Times New Roman" w:hAnsi="Times New Roman"/>
                <w:b/>
                <w:bCs/>
                <w:sz w:val="20"/>
                <w:szCs w:val="20"/>
                <w:lang w:val="en-IN" w:bidi="en-US"/>
              </w:rPr>
              <w:t>Period</w:t>
            </w:r>
          </w:p>
        </w:tc>
        <w:tc>
          <w:tcPr>
            <w:tcW w:w="1006"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68874363" w14:textId="77777777" w:rsidR="00F038BD" w:rsidRPr="00F038BD" w:rsidRDefault="00F038BD" w:rsidP="00F038BD">
            <w:pPr>
              <w:spacing w:after="0" w:line="240" w:lineRule="auto"/>
              <w:jc w:val="center"/>
              <w:rPr>
                <w:rFonts w:ascii="Times New Roman" w:hAnsi="Times New Roman"/>
                <w:color w:val="000000"/>
                <w:sz w:val="20"/>
                <w:szCs w:val="20"/>
                <w:lang w:val="en-IN" w:bidi="en-US"/>
              </w:rPr>
            </w:pPr>
            <w:r w:rsidRPr="00F038BD">
              <w:rPr>
                <w:rFonts w:ascii="Times New Roman" w:hAnsi="Times New Roman"/>
                <w:b/>
                <w:bCs/>
                <w:sz w:val="20"/>
                <w:szCs w:val="20"/>
                <w:lang w:val="en-IN" w:bidi="en-US"/>
              </w:rPr>
              <w:t>RONW (%)</w:t>
            </w:r>
          </w:p>
        </w:tc>
        <w:tc>
          <w:tcPr>
            <w:tcW w:w="763"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2831175D" w14:textId="77777777" w:rsidR="00F038BD" w:rsidRPr="00F038BD" w:rsidRDefault="00F038BD" w:rsidP="00F038BD">
            <w:pPr>
              <w:spacing w:after="0" w:line="240" w:lineRule="auto"/>
              <w:jc w:val="center"/>
              <w:rPr>
                <w:rFonts w:ascii="Times New Roman" w:hAnsi="Times New Roman"/>
                <w:color w:val="000000"/>
                <w:sz w:val="20"/>
                <w:szCs w:val="20"/>
                <w:lang w:val="en-IN" w:bidi="en-US"/>
              </w:rPr>
            </w:pPr>
            <w:r w:rsidRPr="00F038BD">
              <w:rPr>
                <w:rFonts w:ascii="Times New Roman" w:hAnsi="Times New Roman"/>
                <w:b/>
                <w:bCs/>
                <w:sz w:val="20"/>
                <w:szCs w:val="20"/>
                <w:lang w:val="en-IN" w:bidi="en-US"/>
              </w:rPr>
              <w:t>Weights</w:t>
            </w:r>
          </w:p>
        </w:tc>
      </w:tr>
      <w:tr w:rsidR="00F038BD" w:rsidRPr="00F038BD" w14:paraId="66AC94FA" w14:textId="77777777" w:rsidTr="00716083">
        <w:trPr>
          <w:trHeight w:val="227"/>
        </w:trPr>
        <w:tc>
          <w:tcPr>
            <w:tcW w:w="384" w:type="pct"/>
            <w:tcBorders>
              <w:top w:val="single" w:sz="4" w:space="0" w:color="auto"/>
              <w:left w:val="single" w:sz="4" w:space="0" w:color="auto"/>
              <w:bottom w:val="single" w:sz="4" w:space="0" w:color="auto"/>
              <w:right w:val="single" w:sz="4" w:space="0" w:color="auto"/>
            </w:tcBorders>
            <w:noWrap/>
            <w:vAlign w:val="bottom"/>
            <w:hideMark/>
          </w:tcPr>
          <w:p w14:paraId="62D46473" w14:textId="77777777" w:rsidR="00F038BD" w:rsidRPr="00F038BD" w:rsidRDefault="00F038BD" w:rsidP="00F038BD">
            <w:pPr>
              <w:keepNext/>
              <w:keepLines/>
              <w:spacing w:after="0" w:line="240" w:lineRule="auto"/>
              <w:jc w:val="center"/>
              <w:outlineLvl w:val="0"/>
              <w:rPr>
                <w:rFonts w:ascii="Times New Roman" w:hAnsi="Times New Roman"/>
                <w:color w:val="000000"/>
                <w:sz w:val="20"/>
                <w:szCs w:val="20"/>
                <w:lang w:val="en-IN" w:bidi="en-US"/>
              </w:rPr>
            </w:pPr>
            <w:r w:rsidRPr="00F038BD">
              <w:rPr>
                <w:rFonts w:ascii="Times New Roman" w:hAnsi="Times New Roman"/>
                <w:color w:val="000000"/>
                <w:sz w:val="20"/>
                <w:szCs w:val="20"/>
                <w:lang w:val="en-IN" w:bidi="en-US"/>
              </w:rPr>
              <w:t>1</w:t>
            </w:r>
          </w:p>
        </w:tc>
        <w:tc>
          <w:tcPr>
            <w:tcW w:w="2847" w:type="pct"/>
            <w:tcBorders>
              <w:top w:val="single" w:sz="4" w:space="0" w:color="auto"/>
              <w:left w:val="single" w:sz="4" w:space="0" w:color="auto"/>
              <w:bottom w:val="single" w:sz="4" w:space="0" w:color="auto"/>
              <w:right w:val="single" w:sz="4" w:space="0" w:color="auto"/>
            </w:tcBorders>
            <w:vAlign w:val="bottom"/>
            <w:hideMark/>
          </w:tcPr>
          <w:p w14:paraId="091E8A97" w14:textId="77777777" w:rsidR="00F038BD" w:rsidRPr="00F038BD" w:rsidRDefault="00F038BD" w:rsidP="00F038BD">
            <w:pPr>
              <w:spacing w:after="0" w:line="240" w:lineRule="auto"/>
              <w:jc w:val="both"/>
              <w:rPr>
                <w:rFonts w:ascii="Times New Roman" w:hAnsi="Times New Roman"/>
                <w:color w:val="000000"/>
                <w:sz w:val="20"/>
                <w:szCs w:val="20"/>
                <w:lang w:val="en-IN" w:bidi="en-US"/>
              </w:rPr>
            </w:pPr>
            <w:r w:rsidRPr="00F038BD">
              <w:rPr>
                <w:rFonts w:ascii="Times New Roman" w:hAnsi="Times New Roman"/>
                <w:color w:val="000000"/>
                <w:sz w:val="20"/>
                <w:szCs w:val="20"/>
                <w:lang w:val="en-IN" w:bidi="en-US"/>
              </w:rPr>
              <w:t>Period ending March 31, 2023</w:t>
            </w:r>
          </w:p>
        </w:tc>
        <w:tc>
          <w:tcPr>
            <w:tcW w:w="1006" w:type="pct"/>
            <w:tcBorders>
              <w:top w:val="single" w:sz="4" w:space="0" w:color="auto"/>
              <w:left w:val="single" w:sz="4" w:space="0" w:color="auto"/>
              <w:bottom w:val="single" w:sz="4" w:space="0" w:color="auto"/>
              <w:right w:val="single" w:sz="4" w:space="0" w:color="auto"/>
            </w:tcBorders>
            <w:noWrap/>
            <w:vAlign w:val="center"/>
          </w:tcPr>
          <w:p w14:paraId="73B76B2A" w14:textId="77777777" w:rsidR="00F038BD" w:rsidRPr="00F038BD" w:rsidRDefault="00F038BD" w:rsidP="00F038BD">
            <w:pPr>
              <w:spacing w:after="0" w:line="240" w:lineRule="auto"/>
              <w:jc w:val="center"/>
              <w:rPr>
                <w:rFonts w:ascii="Times New Roman" w:hAnsi="Times New Roman"/>
                <w:color w:val="000000"/>
                <w:sz w:val="20"/>
                <w:szCs w:val="20"/>
                <w:lang w:val="en-IN" w:bidi="en-US"/>
              </w:rPr>
            </w:pPr>
            <w:r w:rsidRPr="00F038BD">
              <w:rPr>
                <w:rFonts w:ascii="Times New Roman" w:hAnsi="Times New Roman"/>
                <w:color w:val="000000"/>
                <w:sz w:val="20"/>
                <w:szCs w:val="20"/>
                <w:lang w:val="en-IN" w:bidi="en-US"/>
              </w:rPr>
              <w:t>16.49%</w:t>
            </w:r>
          </w:p>
        </w:tc>
        <w:tc>
          <w:tcPr>
            <w:tcW w:w="763" w:type="pct"/>
            <w:tcBorders>
              <w:top w:val="single" w:sz="4" w:space="0" w:color="auto"/>
              <w:left w:val="single" w:sz="4" w:space="0" w:color="auto"/>
              <w:bottom w:val="single" w:sz="4" w:space="0" w:color="auto"/>
              <w:right w:val="single" w:sz="4" w:space="0" w:color="auto"/>
            </w:tcBorders>
            <w:noWrap/>
            <w:vAlign w:val="center"/>
            <w:hideMark/>
          </w:tcPr>
          <w:p w14:paraId="5E971FD2" w14:textId="77777777" w:rsidR="00F038BD" w:rsidRPr="00F038BD" w:rsidRDefault="00F038BD" w:rsidP="00F038BD">
            <w:pPr>
              <w:spacing w:after="0" w:line="240" w:lineRule="auto"/>
              <w:jc w:val="center"/>
              <w:rPr>
                <w:rFonts w:ascii="Times New Roman" w:hAnsi="Times New Roman"/>
                <w:color w:val="000000"/>
                <w:sz w:val="20"/>
                <w:szCs w:val="20"/>
                <w:lang w:val="en-IN" w:bidi="en-US"/>
              </w:rPr>
            </w:pPr>
            <w:r w:rsidRPr="00F038BD">
              <w:rPr>
                <w:rFonts w:ascii="Times New Roman" w:hAnsi="Times New Roman"/>
                <w:color w:val="000000"/>
                <w:sz w:val="20"/>
                <w:szCs w:val="20"/>
                <w:lang w:val="en-IN" w:bidi="en-US"/>
              </w:rPr>
              <w:t>3</w:t>
            </w:r>
          </w:p>
        </w:tc>
      </w:tr>
      <w:tr w:rsidR="00F038BD" w:rsidRPr="00F038BD" w14:paraId="5547BABE" w14:textId="77777777" w:rsidTr="00716083">
        <w:trPr>
          <w:trHeight w:val="227"/>
        </w:trPr>
        <w:tc>
          <w:tcPr>
            <w:tcW w:w="384" w:type="pct"/>
            <w:tcBorders>
              <w:top w:val="single" w:sz="4" w:space="0" w:color="auto"/>
              <w:left w:val="single" w:sz="4" w:space="0" w:color="auto"/>
              <w:bottom w:val="single" w:sz="4" w:space="0" w:color="auto"/>
              <w:right w:val="single" w:sz="4" w:space="0" w:color="auto"/>
            </w:tcBorders>
            <w:noWrap/>
            <w:vAlign w:val="bottom"/>
            <w:hideMark/>
          </w:tcPr>
          <w:p w14:paraId="05DC24EC" w14:textId="77777777" w:rsidR="00F038BD" w:rsidRPr="00F038BD" w:rsidRDefault="00F038BD" w:rsidP="00F038BD">
            <w:pPr>
              <w:keepNext/>
              <w:keepLines/>
              <w:spacing w:after="0" w:line="240" w:lineRule="auto"/>
              <w:jc w:val="center"/>
              <w:outlineLvl w:val="0"/>
              <w:rPr>
                <w:rFonts w:ascii="Times New Roman" w:hAnsi="Times New Roman"/>
                <w:color w:val="000000"/>
                <w:sz w:val="20"/>
                <w:szCs w:val="20"/>
                <w:lang w:val="en-IN" w:bidi="en-US"/>
              </w:rPr>
            </w:pPr>
            <w:r w:rsidRPr="00F038BD">
              <w:rPr>
                <w:rFonts w:ascii="Times New Roman" w:hAnsi="Times New Roman"/>
                <w:color w:val="000000"/>
                <w:sz w:val="20"/>
                <w:szCs w:val="20"/>
                <w:lang w:val="en-IN" w:bidi="en-US"/>
              </w:rPr>
              <w:t>2</w:t>
            </w:r>
          </w:p>
        </w:tc>
        <w:tc>
          <w:tcPr>
            <w:tcW w:w="2847" w:type="pct"/>
            <w:tcBorders>
              <w:top w:val="single" w:sz="4" w:space="0" w:color="auto"/>
              <w:left w:val="single" w:sz="4" w:space="0" w:color="auto"/>
              <w:bottom w:val="single" w:sz="4" w:space="0" w:color="auto"/>
              <w:right w:val="single" w:sz="4" w:space="0" w:color="auto"/>
            </w:tcBorders>
            <w:vAlign w:val="bottom"/>
            <w:hideMark/>
          </w:tcPr>
          <w:p w14:paraId="69812D00" w14:textId="77777777" w:rsidR="00F038BD" w:rsidRPr="00F038BD" w:rsidRDefault="00F038BD" w:rsidP="00F038BD">
            <w:pPr>
              <w:spacing w:after="0" w:line="240" w:lineRule="auto"/>
              <w:jc w:val="both"/>
              <w:rPr>
                <w:rFonts w:ascii="Times New Roman" w:hAnsi="Times New Roman"/>
                <w:color w:val="000000"/>
                <w:sz w:val="20"/>
                <w:szCs w:val="20"/>
                <w:lang w:val="en-IN" w:bidi="en-US"/>
              </w:rPr>
            </w:pPr>
            <w:r w:rsidRPr="00F038BD">
              <w:rPr>
                <w:rFonts w:ascii="Times New Roman" w:hAnsi="Times New Roman"/>
                <w:color w:val="000000"/>
                <w:sz w:val="20"/>
                <w:szCs w:val="20"/>
                <w:lang w:val="en-IN" w:bidi="en-US"/>
              </w:rPr>
              <w:t>Period ending March 31, 2022</w:t>
            </w:r>
          </w:p>
        </w:tc>
        <w:tc>
          <w:tcPr>
            <w:tcW w:w="1006" w:type="pct"/>
            <w:tcBorders>
              <w:top w:val="single" w:sz="4" w:space="0" w:color="auto"/>
              <w:left w:val="single" w:sz="4" w:space="0" w:color="auto"/>
              <w:bottom w:val="single" w:sz="4" w:space="0" w:color="auto"/>
              <w:right w:val="single" w:sz="4" w:space="0" w:color="auto"/>
            </w:tcBorders>
            <w:noWrap/>
            <w:vAlign w:val="center"/>
          </w:tcPr>
          <w:p w14:paraId="1BA84CD7" w14:textId="77777777" w:rsidR="00F038BD" w:rsidRPr="00F038BD" w:rsidRDefault="00F038BD" w:rsidP="00F038BD">
            <w:pPr>
              <w:spacing w:after="0" w:line="240" w:lineRule="auto"/>
              <w:jc w:val="center"/>
              <w:rPr>
                <w:rFonts w:ascii="Times New Roman" w:hAnsi="Times New Roman"/>
                <w:color w:val="000000"/>
                <w:sz w:val="20"/>
                <w:szCs w:val="20"/>
                <w:lang w:val="en-IN" w:bidi="en-US"/>
              </w:rPr>
            </w:pPr>
            <w:r w:rsidRPr="00F038BD">
              <w:rPr>
                <w:rFonts w:ascii="Times New Roman" w:hAnsi="Times New Roman"/>
                <w:color w:val="000000"/>
                <w:sz w:val="20"/>
                <w:szCs w:val="20"/>
                <w:lang w:val="en-IN" w:bidi="en-US"/>
              </w:rPr>
              <w:t>8.32%</w:t>
            </w:r>
          </w:p>
        </w:tc>
        <w:tc>
          <w:tcPr>
            <w:tcW w:w="763" w:type="pct"/>
            <w:tcBorders>
              <w:top w:val="single" w:sz="4" w:space="0" w:color="auto"/>
              <w:left w:val="single" w:sz="4" w:space="0" w:color="auto"/>
              <w:bottom w:val="single" w:sz="4" w:space="0" w:color="auto"/>
              <w:right w:val="single" w:sz="4" w:space="0" w:color="auto"/>
            </w:tcBorders>
            <w:noWrap/>
            <w:vAlign w:val="center"/>
            <w:hideMark/>
          </w:tcPr>
          <w:p w14:paraId="2298A6E7" w14:textId="77777777" w:rsidR="00F038BD" w:rsidRPr="00F038BD" w:rsidRDefault="00F038BD" w:rsidP="00F038BD">
            <w:pPr>
              <w:spacing w:after="0" w:line="240" w:lineRule="auto"/>
              <w:jc w:val="center"/>
              <w:rPr>
                <w:rFonts w:ascii="Times New Roman" w:hAnsi="Times New Roman"/>
                <w:color w:val="000000"/>
                <w:sz w:val="20"/>
                <w:szCs w:val="20"/>
                <w:lang w:val="en-IN" w:bidi="en-US"/>
              </w:rPr>
            </w:pPr>
            <w:r w:rsidRPr="00F038BD">
              <w:rPr>
                <w:rFonts w:ascii="Times New Roman" w:hAnsi="Times New Roman"/>
                <w:color w:val="000000"/>
                <w:sz w:val="20"/>
                <w:szCs w:val="20"/>
                <w:lang w:val="en-IN" w:bidi="en-US"/>
              </w:rPr>
              <w:t>2</w:t>
            </w:r>
          </w:p>
        </w:tc>
      </w:tr>
      <w:tr w:rsidR="00F038BD" w:rsidRPr="00F038BD" w14:paraId="1F2C165D" w14:textId="77777777" w:rsidTr="00716083">
        <w:trPr>
          <w:trHeight w:val="227"/>
        </w:trPr>
        <w:tc>
          <w:tcPr>
            <w:tcW w:w="384" w:type="pct"/>
            <w:tcBorders>
              <w:top w:val="single" w:sz="4" w:space="0" w:color="auto"/>
              <w:left w:val="single" w:sz="4" w:space="0" w:color="auto"/>
              <w:bottom w:val="single" w:sz="4" w:space="0" w:color="auto"/>
              <w:right w:val="single" w:sz="4" w:space="0" w:color="auto"/>
            </w:tcBorders>
            <w:noWrap/>
            <w:vAlign w:val="bottom"/>
            <w:hideMark/>
          </w:tcPr>
          <w:p w14:paraId="3BD3E829" w14:textId="77777777" w:rsidR="00F038BD" w:rsidRPr="00F038BD" w:rsidRDefault="00F038BD" w:rsidP="00F038BD">
            <w:pPr>
              <w:spacing w:after="0" w:line="240" w:lineRule="auto"/>
              <w:contextualSpacing/>
              <w:jc w:val="center"/>
              <w:rPr>
                <w:rFonts w:ascii="Times New Roman" w:hAnsi="Times New Roman"/>
                <w:color w:val="000000"/>
                <w:sz w:val="20"/>
                <w:szCs w:val="20"/>
                <w:lang w:val="en-IN" w:bidi="en-US"/>
              </w:rPr>
            </w:pPr>
            <w:r w:rsidRPr="00F038BD">
              <w:rPr>
                <w:rFonts w:ascii="Times New Roman" w:hAnsi="Times New Roman"/>
                <w:color w:val="000000"/>
                <w:sz w:val="20"/>
                <w:szCs w:val="20"/>
                <w:lang w:val="en-IN" w:bidi="en-US"/>
              </w:rPr>
              <w:t>3</w:t>
            </w:r>
          </w:p>
        </w:tc>
        <w:tc>
          <w:tcPr>
            <w:tcW w:w="2847" w:type="pct"/>
            <w:tcBorders>
              <w:top w:val="single" w:sz="4" w:space="0" w:color="auto"/>
              <w:left w:val="single" w:sz="4" w:space="0" w:color="auto"/>
              <w:bottom w:val="single" w:sz="4" w:space="0" w:color="auto"/>
              <w:right w:val="single" w:sz="4" w:space="0" w:color="auto"/>
            </w:tcBorders>
            <w:vAlign w:val="bottom"/>
            <w:hideMark/>
          </w:tcPr>
          <w:p w14:paraId="4B7E3E44" w14:textId="77777777" w:rsidR="00F038BD" w:rsidRPr="00F038BD" w:rsidRDefault="00F038BD" w:rsidP="00F038BD">
            <w:pPr>
              <w:spacing w:after="0" w:line="240" w:lineRule="auto"/>
              <w:jc w:val="both"/>
              <w:rPr>
                <w:rFonts w:ascii="Times New Roman" w:hAnsi="Times New Roman"/>
                <w:color w:val="000000"/>
                <w:sz w:val="20"/>
                <w:szCs w:val="20"/>
                <w:lang w:val="en-IN" w:bidi="en-US"/>
              </w:rPr>
            </w:pPr>
            <w:r w:rsidRPr="00F038BD">
              <w:rPr>
                <w:rFonts w:ascii="Times New Roman" w:hAnsi="Times New Roman"/>
                <w:color w:val="000000"/>
                <w:sz w:val="20"/>
                <w:szCs w:val="20"/>
                <w:lang w:val="en-IN" w:bidi="en-US"/>
              </w:rPr>
              <w:t>Period ending March 31, 2021</w:t>
            </w:r>
          </w:p>
        </w:tc>
        <w:tc>
          <w:tcPr>
            <w:tcW w:w="1006" w:type="pct"/>
            <w:tcBorders>
              <w:top w:val="single" w:sz="4" w:space="0" w:color="auto"/>
              <w:left w:val="single" w:sz="4" w:space="0" w:color="auto"/>
              <w:bottom w:val="single" w:sz="4" w:space="0" w:color="auto"/>
              <w:right w:val="single" w:sz="4" w:space="0" w:color="auto"/>
            </w:tcBorders>
            <w:noWrap/>
            <w:vAlign w:val="center"/>
          </w:tcPr>
          <w:p w14:paraId="45279A95" w14:textId="77777777" w:rsidR="00F038BD" w:rsidRPr="00F038BD" w:rsidRDefault="00F038BD" w:rsidP="00F038BD">
            <w:pPr>
              <w:spacing w:after="0" w:line="240" w:lineRule="auto"/>
              <w:jc w:val="center"/>
              <w:rPr>
                <w:rFonts w:ascii="Times New Roman" w:hAnsi="Times New Roman"/>
                <w:color w:val="000000"/>
                <w:sz w:val="20"/>
                <w:szCs w:val="20"/>
                <w:lang w:val="en-IN" w:bidi="en-US"/>
              </w:rPr>
            </w:pPr>
            <w:r w:rsidRPr="00F038BD">
              <w:rPr>
                <w:rFonts w:ascii="Times New Roman" w:hAnsi="Times New Roman"/>
                <w:color w:val="000000"/>
                <w:sz w:val="20"/>
                <w:szCs w:val="20"/>
                <w:lang w:val="en-IN" w:bidi="en-US"/>
              </w:rPr>
              <w:t>4.00%</w:t>
            </w:r>
          </w:p>
        </w:tc>
        <w:tc>
          <w:tcPr>
            <w:tcW w:w="763" w:type="pct"/>
            <w:tcBorders>
              <w:top w:val="single" w:sz="4" w:space="0" w:color="auto"/>
              <w:left w:val="single" w:sz="4" w:space="0" w:color="auto"/>
              <w:bottom w:val="single" w:sz="4" w:space="0" w:color="auto"/>
              <w:right w:val="single" w:sz="4" w:space="0" w:color="auto"/>
            </w:tcBorders>
            <w:noWrap/>
            <w:vAlign w:val="center"/>
            <w:hideMark/>
          </w:tcPr>
          <w:p w14:paraId="1B6224D7" w14:textId="77777777" w:rsidR="00F038BD" w:rsidRPr="00F038BD" w:rsidRDefault="00F038BD" w:rsidP="00F038BD">
            <w:pPr>
              <w:spacing w:after="0" w:line="240" w:lineRule="auto"/>
              <w:jc w:val="center"/>
              <w:rPr>
                <w:rFonts w:ascii="Times New Roman" w:hAnsi="Times New Roman"/>
                <w:color w:val="000000"/>
                <w:sz w:val="20"/>
                <w:szCs w:val="20"/>
                <w:lang w:val="en-IN" w:bidi="en-US"/>
              </w:rPr>
            </w:pPr>
            <w:r w:rsidRPr="00F038BD">
              <w:rPr>
                <w:rFonts w:ascii="Times New Roman" w:hAnsi="Times New Roman"/>
                <w:color w:val="000000"/>
                <w:sz w:val="20"/>
                <w:szCs w:val="20"/>
                <w:lang w:val="en-IN" w:bidi="en-US"/>
              </w:rPr>
              <w:t>1</w:t>
            </w:r>
          </w:p>
        </w:tc>
      </w:tr>
      <w:tr w:rsidR="00F038BD" w:rsidRPr="00F038BD" w14:paraId="7CC4DB64" w14:textId="77777777" w:rsidTr="00716083">
        <w:trPr>
          <w:trHeight w:val="227"/>
        </w:trPr>
        <w:tc>
          <w:tcPr>
            <w:tcW w:w="384" w:type="pct"/>
            <w:tcBorders>
              <w:top w:val="single" w:sz="4" w:space="0" w:color="auto"/>
              <w:left w:val="single" w:sz="4" w:space="0" w:color="auto"/>
              <w:bottom w:val="single" w:sz="4" w:space="0" w:color="auto"/>
              <w:right w:val="single" w:sz="4" w:space="0" w:color="auto"/>
            </w:tcBorders>
            <w:noWrap/>
            <w:vAlign w:val="bottom"/>
            <w:hideMark/>
          </w:tcPr>
          <w:p w14:paraId="7962A17C" w14:textId="77777777" w:rsidR="00F038BD" w:rsidRPr="00F038BD" w:rsidRDefault="00F038BD" w:rsidP="00F038BD">
            <w:pPr>
              <w:spacing w:after="0" w:line="240" w:lineRule="auto"/>
              <w:rPr>
                <w:rFonts w:ascii="Times New Roman" w:hAnsi="Times New Roman"/>
                <w:color w:val="000000"/>
                <w:sz w:val="20"/>
                <w:szCs w:val="20"/>
                <w:lang w:val="en-IN" w:bidi="en-US"/>
              </w:rPr>
            </w:pPr>
          </w:p>
        </w:tc>
        <w:tc>
          <w:tcPr>
            <w:tcW w:w="2847" w:type="pct"/>
            <w:tcBorders>
              <w:top w:val="single" w:sz="4" w:space="0" w:color="auto"/>
              <w:left w:val="single" w:sz="4" w:space="0" w:color="auto"/>
              <w:bottom w:val="single" w:sz="4" w:space="0" w:color="auto"/>
              <w:right w:val="single" w:sz="4" w:space="0" w:color="auto"/>
            </w:tcBorders>
            <w:vAlign w:val="bottom"/>
            <w:hideMark/>
          </w:tcPr>
          <w:p w14:paraId="57D9F89F" w14:textId="77777777" w:rsidR="00F038BD" w:rsidRPr="00F038BD" w:rsidRDefault="00F038BD" w:rsidP="00F038BD">
            <w:pPr>
              <w:spacing w:after="0" w:line="240" w:lineRule="auto"/>
              <w:jc w:val="both"/>
              <w:rPr>
                <w:rFonts w:ascii="Times New Roman" w:hAnsi="Times New Roman"/>
                <w:b/>
                <w:color w:val="000000"/>
                <w:sz w:val="20"/>
                <w:szCs w:val="20"/>
                <w:lang w:val="en-IN" w:bidi="en-US"/>
              </w:rPr>
            </w:pPr>
            <w:r w:rsidRPr="00F038BD">
              <w:rPr>
                <w:rFonts w:ascii="Times New Roman" w:hAnsi="Times New Roman"/>
                <w:b/>
                <w:color w:val="000000"/>
                <w:sz w:val="20"/>
                <w:szCs w:val="20"/>
                <w:lang w:val="en-IN" w:bidi="en-US"/>
              </w:rPr>
              <w:t>Weighted Average</w:t>
            </w:r>
          </w:p>
        </w:tc>
        <w:tc>
          <w:tcPr>
            <w:tcW w:w="1006" w:type="pct"/>
            <w:tcBorders>
              <w:top w:val="single" w:sz="4" w:space="0" w:color="auto"/>
              <w:left w:val="single" w:sz="4" w:space="0" w:color="auto"/>
              <w:bottom w:val="single" w:sz="4" w:space="0" w:color="auto"/>
              <w:right w:val="single" w:sz="4" w:space="0" w:color="auto"/>
            </w:tcBorders>
            <w:noWrap/>
            <w:vAlign w:val="center"/>
            <w:hideMark/>
          </w:tcPr>
          <w:p w14:paraId="6023DF39" w14:textId="77777777" w:rsidR="00F038BD" w:rsidRPr="00F038BD" w:rsidRDefault="00F038BD" w:rsidP="00F038BD">
            <w:pPr>
              <w:spacing w:after="0" w:line="240" w:lineRule="auto"/>
              <w:jc w:val="center"/>
              <w:rPr>
                <w:rFonts w:ascii="Times New Roman" w:hAnsi="Times New Roman"/>
                <w:b/>
                <w:color w:val="000000"/>
                <w:sz w:val="20"/>
                <w:szCs w:val="20"/>
                <w:lang w:val="en-IN" w:bidi="en-US"/>
              </w:rPr>
            </w:pPr>
            <w:r w:rsidRPr="00F038BD">
              <w:rPr>
                <w:rFonts w:ascii="Times New Roman" w:hAnsi="Times New Roman"/>
                <w:b/>
                <w:color w:val="000000"/>
                <w:sz w:val="20"/>
                <w:szCs w:val="20"/>
                <w:lang w:val="en-IN" w:bidi="en-US"/>
              </w:rPr>
              <w:t>11.69%</w:t>
            </w:r>
          </w:p>
        </w:tc>
        <w:tc>
          <w:tcPr>
            <w:tcW w:w="763" w:type="pct"/>
            <w:tcBorders>
              <w:top w:val="single" w:sz="4" w:space="0" w:color="auto"/>
              <w:left w:val="single" w:sz="4" w:space="0" w:color="auto"/>
              <w:bottom w:val="single" w:sz="4" w:space="0" w:color="auto"/>
              <w:right w:val="single" w:sz="4" w:space="0" w:color="auto"/>
            </w:tcBorders>
            <w:vAlign w:val="center"/>
            <w:hideMark/>
          </w:tcPr>
          <w:p w14:paraId="5B378A63" w14:textId="77777777" w:rsidR="00F038BD" w:rsidRPr="00F038BD" w:rsidRDefault="00F038BD" w:rsidP="00F038BD">
            <w:pPr>
              <w:spacing w:after="0" w:line="240" w:lineRule="auto"/>
              <w:jc w:val="center"/>
              <w:rPr>
                <w:rFonts w:ascii="Times New Roman" w:hAnsi="Times New Roman"/>
                <w:b/>
                <w:color w:val="000000"/>
                <w:sz w:val="20"/>
                <w:szCs w:val="20"/>
                <w:lang w:val="en-IN" w:bidi="en-US"/>
              </w:rPr>
            </w:pPr>
            <w:r w:rsidRPr="00F038BD">
              <w:rPr>
                <w:rFonts w:ascii="Times New Roman" w:hAnsi="Times New Roman"/>
                <w:b/>
                <w:color w:val="000000"/>
                <w:sz w:val="20"/>
                <w:szCs w:val="20"/>
                <w:lang w:val="en-IN" w:bidi="en-US"/>
              </w:rPr>
              <w:t>6</w:t>
            </w:r>
          </w:p>
        </w:tc>
      </w:tr>
    </w:tbl>
    <w:p w14:paraId="27218CF5" w14:textId="77777777" w:rsidR="00F038BD" w:rsidRPr="00F038BD" w:rsidRDefault="00F038BD" w:rsidP="00F038BD">
      <w:pPr>
        <w:autoSpaceDE w:val="0"/>
        <w:autoSpaceDN w:val="0"/>
        <w:adjustRightInd w:val="0"/>
        <w:spacing w:after="0" w:line="240" w:lineRule="auto"/>
        <w:ind w:left="142"/>
        <w:jc w:val="both"/>
        <w:rPr>
          <w:rFonts w:ascii="Times New Roman" w:hAnsi="Times New Roman"/>
          <w:b/>
          <w:i/>
          <w:sz w:val="20"/>
          <w:szCs w:val="20"/>
        </w:rPr>
      </w:pPr>
    </w:p>
    <w:p w14:paraId="4D294FC5" w14:textId="77777777" w:rsidR="00F038BD" w:rsidRPr="00F038BD" w:rsidRDefault="00F038BD" w:rsidP="00F038BD">
      <w:pPr>
        <w:autoSpaceDE w:val="0"/>
        <w:autoSpaceDN w:val="0"/>
        <w:adjustRightInd w:val="0"/>
        <w:spacing w:after="0" w:line="240" w:lineRule="auto"/>
        <w:ind w:left="142"/>
        <w:jc w:val="both"/>
        <w:rPr>
          <w:rFonts w:ascii="Times New Roman" w:hAnsi="Times New Roman"/>
          <w:b/>
          <w:i/>
          <w:sz w:val="20"/>
          <w:szCs w:val="20"/>
        </w:rPr>
      </w:pPr>
      <w:r w:rsidRPr="00F038BD">
        <w:rPr>
          <w:rFonts w:ascii="Times New Roman" w:hAnsi="Times New Roman"/>
          <w:b/>
          <w:i/>
          <w:sz w:val="20"/>
          <w:szCs w:val="20"/>
        </w:rPr>
        <w:t>Note:</w:t>
      </w:r>
    </w:p>
    <w:p w14:paraId="44E61E52" w14:textId="77777777" w:rsidR="00F038BD" w:rsidRPr="00F038BD" w:rsidRDefault="00F038BD">
      <w:pPr>
        <w:numPr>
          <w:ilvl w:val="0"/>
          <w:numId w:val="168"/>
        </w:numPr>
        <w:suppressAutoHyphens/>
        <w:autoSpaceDE w:val="0"/>
        <w:autoSpaceDN w:val="0"/>
        <w:adjustRightInd w:val="0"/>
        <w:spacing w:after="0" w:line="240" w:lineRule="auto"/>
        <w:jc w:val="both"/>
        <w:textAlignment w:val="center"/>
        <w:rPr>
          <w:rFonts w:ascii="Times New Roman" w:eastAsia="Calibri" w:hAnsi="Times New Roman"/>
          <w:i/>
          <w:iCs/>
          <w:color w:val="000000"/>
          <w:sz w:val="20"/>
          <w:szCs w:val="20"/>
        </w:rPr>
      </w:pPr>
      <w:r w:rsidRPr="00F038BD">
        <w:rPr>
          <w:rFonts w:ascii="Times New Roman" w:hAnsi="Times New Roman"/>
          <w:i/>
          <w:iCs/>
          <w:color w:val="000000"/>
          <w:sz w:val="20"/>
          <w:szCs w:val="20"/>
        </w:rPr>
        <w:t>The figures disclosed above are based on the Restated Financial Statements of the Company.</w:t>
      </w:r>
    </w:p>
    <w:p w14:paraId="4B25FCE4" w14:textId="77777777" w:rsidR="00F038BD" w:rsidRPr="00F038BD" w:rsidRDefault="00F038BD">
      <w:pPr>
        <w:numPr>
          <w:ilvl w:val="0"/>
          <w:numId w:val="168"/>
        </w:numPr>
        <w:autoSpaceDE w:val="0"/>
        <w:autoSpaceDN w:val="0"/>
        <w:adjustRightInd w:val="0"/>
        <w:spacing w:after="0" w:line="240" w:lineRule="auto"/>
        <w:jc w:val="both"/>
        <w:rPr>
          <w:rFonts w:ascii="Times New Roman" w:hAnsi="Times New Roman"/>
          <w:i/>
          <w:sz w:val="20"/>
          <w:szCs w:val="20"/>
        </w:rPr>
      </w:pPr>
      <w:r w:rsidRPr="00F038BD">
        <w:rPr>
          <w:rFonts w:ascii="Times New Roman" w:hAnsi="Times New Roman"/>
          <w:i/>
          <w:sz w:val="20"/>
          <w:szCs w:val="20"/>
        </w:rPr>
        <w:t>The RoNW has been computed by dividing restated net profit after tax (excluding exceptional items) with restated Net worth as at the end of the year</w:t>
      </w:r>
    </w:p>
    <w:p w14:paraId="0B638D26" w14:textId="77777777" w:rsidR="00F038BD" w:rsidRPr="00F038BD" w:rsidRDefault="00F038BD">
      <w:pPr>
        <w:numPr>
          <w:ilvl w:val="0"/>
          <w:numId w:val="168"/>
        </w:numPr>
        <w:autoSpaceDE w:val="0"/>
        <w:autoSpaceDN w:val="0"/>
        <w:adjustRightInd w:val="0"/>
        <w:spacing w:after="0" w:line="240" w:lineRule="auto"/>
        <w:jc w:val="both"/>
        <w:rPr>
          <w:rFonts w:ascii="Times New Roman" w:hAnsi="Times New Roman"/>
          <w:i/>
          <w:sz w:val="20"/>
          <w:szCs w:val="20"/>
        </w:rPr>
      </w:pPr>
      <w:r w:rsidRPr="00F038BD">
        <w:rPr>
          <w:rFonts w:ascii="Times New Roman" w:hAnsi="Times New Roman"/>
          <w:i/>
          <w:sz w:val="20"/>
          <w:szCs w:val="20"/>
        </w:rPr>
        <w:t>Weighted average = Aggregate of year-wise weighted RoNW divided by the aggregate of weights i.e. (RoNW x Weight) for each year/Total of weights.</w:t>
      </w:r>
    </w:p>
    <w:p w14:paraId="052AA7E0" w14:textId="77777777" w:rsidR="00F038BD" w:rsidRPr="00F038BD" w:rsidRDefault="00F038BD" w:rsidP="00F038BD">
      <w:pPr>
        <w:autoSpaceDE w:val="0"/>
        <w:autoSpaceDN w:val="0"/>
        <w:adjustRightInd w:val="0"/>
        <w:spacing w:after="0" w:line="240" w:lineRule="auto"/>
        <w:ind w:left="272"/>
        <w:jc w:val="both"/>
        <w:rPr>
          <w:rFonts w:ascii="Times New Roman" w:hAnsi="Times New Roman"/>
          <w:i/>
          <w:sz w:val="20"/>
          <w:szCs w:val="20"/>
        </w:rPr>
      </w:pPr>
    </w:p>
    <w:p w14:paraId="5076F146" w14:textId="77777777" w:rsidR="00F038BD" w:rsidRPr="00F038BD" w:rsidRDefault="00F038BD">
      <w:pPr>
        <w:numPr>
          <w:ilvl w:val="0"/>
          <w:numId w:val="165"/>
        </w:numPr>
        <w:autoSpaceDE w:val="0"/>
        <w:autoSpaceDN w:val="0"/>
        <w:adjustRightInd w:val="0"/>
        <w:spacing w:after="0" w:line="240" w:lineRule="auto"/>
        <w:ind w:left="426"/>
        <w:jc w:val="both"/>
        <w:rPr>
          <w:rFonts w:ascii="Times New Roman" w:hAnsi="Times New Roman"/>
          <w:b/>
          <w:bCs/>
          <w:sz w:val="20"/>
          <w:szCs w:val="20"/>
        </w:rPr>
      </w:pPr>
      <w:r w:rsidRPr="00F038BD">
        <w:rPr>
          <w:rFonts w:ascii="Times New Roman" w:hAnsi="Times New Roman"/>
          <w:b/>
          <w:bCs/>
          <w:sz w:val="20"/>
          <w:szCs w:val="20"/>
        </w:rPr>
        <w:t>Net Asset Value (NAV) per Equity Share:</w:t>
      </w:r>
    </w:p>
    <w:p w14:paraId="7E12ED68" w14:textId="77777777" w:rsidR="00F038BD" w:rsidRPr="00F038BD" w:rsidRDefault="00F038BD" w:rsidP="00F038BD">
      <w:pPr>
        <w:spacing w:after="0" w:line="240" w:lineRule="auto"/>
        <w:ind w:left="272"/>
        <w:contextualSpacing/>
        <w:jc w:val="both"/>
        <w:rPr>
          <w:rFonts w:ascii="Times New Roman" w:eastAsia="Calibri" w:hAnsi="Times New Roman"/>
          <w:b/>
          <w:bCs/>
          <w:iCs/>
          <w:sz w:val="20"/>
          <w:szCs w:val="20"/>
          <w:lang w:bidi="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5893"/>
        <w:gridCol w:w="3691"/>
      </w:tblGrid>
      <w:tr w:rsidR="00F038BD" w:rsidRPr="00F038BD" w14:paraId="735F1132" w14:textId="77777777" w:rsidTr="00716083">
        <w:trPr>
          <w:trHeight w:val="227"/>
        </w:trPr>
        <w:tc>
          <w:tcPr>
            <w:tcW w:w="417"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372AACF6" w14:textId="77777777" w:rsidR="00F038BD" w:rsidRPr="00F038BD" w:rsidRDefault="00F038BD" w:rsidP="00F038BD">
            <w:pPr>
              <w:spacing w:after="0" w:line="240" w:lineRule="auto"/>
              <w:jc w:val="center"/>
              <w:rPr>
                <w:rFonts w:ascii="Times New Roman" w:hAnsi="Times New Roman"/>
                <w:b/>
                <w:bCs/>
                <w:sz w:val="20"/>
                <w:szCs w:val="20"/>
                <w:lang w:val="en-IN" w:bidi="en-US"/>
              </w:rPr>
            </w:pPr>
            <w:r w:rsidRPr="00F038BD">
              <w:rPr>
                <w:rFonts w:ascii="Times New Roman" w:hAnsi="Times New Roman"/>
                <w:b/>
                <w:bCs/>
                <w:sz w:val="20"/>
                <w:szCs w:val="20"/>
                <w:lang w:val="en-IN" w:bidi="en-US"/>
              </w:rPr>
              <w:t>Sr. No.</w:t>
            </w:r>
          </w:p>
        </w:tc>
        <w:tc>
          <w:tcPr>
            <w:tcW w:w="2818"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7B3A2EB5" w14:textId="77777777" w:rsidR="00F038BD" w:rsidRPr="00F038BD" w:rsidRDefault="00F038BD" w:rsidP="00F038BD">
            <w:pPr>
              <w:spacing w:after="0" w:line="240" w:lineRule="auto"/>
              <w:jc w:val="both"/>
              <w:rPr>
                <w:rFonts w:ascii="Times New Roman" w:hAnsi="Times New Roman"/>
                <w:b/>
                <w:bCs/>
                <w:sz w:val="20"/>
                <w:szCs w:val="20"/>
                <w:lang w:val="en-IN" w:bidi="en-US"/>
              </w:rPr>
            </w:pPr>
            <w:r w:rsidRPr="00F038BD">
              <w:rPr>
                <w:rFonts w:ascii="Times New Roman" w:hAnsi="Times New Roman"/>
                <w:b/>
                <w:bCs/>
                <w:sz w:val="20"/>
                <w:szCs w:val="20"/>
                <w:lang w:val="en-IN" w:bidi="en-US"/>
              </w:rPr>
              <w:t>NAV per Equity Share</w:t>
            </w:r>
          </w:p>
        </w:tc>
        <w:tc>
          <w:tcPr>
            <w:tcW w:w="1765"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21ED1B0" w14:textId="77777777" w:rsidR="00F038BD" w:rsidRPr="00F038BD" w:rsidRDefault="00F038BD" w:rsidP="00F038BD">
            <w:pPr>
              <w:spacing w:after="0" w:line="240" w:lineRule="auto"/>
              <w:jc w:val="center"/>
              <w:rPr>
                <w:rFonts w:ascii="Times New Roman" w:hAnsi="Times New Roman"/>
                <w:b/>
                <w:bCs/>
                <w:sz w:val="20"/>
                <w:szCs w:val="20"/>
                <w:lang w:val="en-IN" w:bidi="en-US"/>
              </w:rPr>
            </w:pPr>
            <w:r w:rsidRPr="00F038BD">
              <w:rPr>
                <w:rFonts w:ascii="Times New Roman" w:hAnsi="Times New Roman"/>
                <w:b/>
                <w:bCs/>
                <w:sz w:val="20"/>
                <w:szCs w:val="20"/>
                <w:lang w:val="en-IN" w:bidi="en-US"/>
              </w:rPr>
              <w:t>(Amount in ₹)</w:t>
            </w:r>
          </w:p>
        </w:tc>
      </w:tr>
      <w:tr w:rsidR="00F038BD" w:rsidRPr="00F038BD" w14:paraId="35C22438" w14:textId="77777777" w:rsidTr="00716083">
        <w:trPr>
          <w:trHeight w:val="227"/>
        </w:trPr>
        <w:tc>
          <w:tcPr>
            <w:tcW w:w="417" w:type="pct"/>
            <w:tcBorders>
              <w:top w:val="single" w:sz="4" w:space="0" w:color="auto"/>
              <w:left w:val="single" w:sz="4" w:space="0" w:color="auto"/>
              <w:bottom w:val="single" w:sz="4" w:space="0" w:color="auto"/>
              <w:right w:val="single" w:sz="4" w:space="0" w:color="auto"/>
            </w:tcBorders>
            <w:noWrap/>
            <w:vAlign w:val="bottom"/>
          </w:tcPr>
          <w:p w14:paraId="21239737" w14:textId="77777777" w:rsidR="00F038BD" w:rsidRPr="00F038BD" w:rsidRDefault="00F038BD" w:rsidP="00F038BD">
            <w:pPr>
              <w:spacing w:after="0" w:line="240" w:lineRule="auto"/>
              <w:jc w:val="center"/>
              <w:rPr>
                <w:rFonts w:ascii="Times New Roman" w:hAnsi="Times New Roman"/>
                <w:bCs/>
                <w:sz w:val="20"/>
                <w:szCs w:val="20"/>
                <w:lang w:val="en-IN" w:bidi="en-US"/>
              </w:rPr>
            </w:pPr>
            <w:r w:rsidRPr="00F038BD">
              <w:rPr>
                <w:rFonts w:ascii="Times New Roman" w:hAnsi="Times New Roman"/>
                <w:bCs/>
                <w:sz w:val="20"/>
                <w:szCs w:val="20"/>
                <w:lang w:val="en-IN" w:bidi="en-US"/>
              </w:rPr>
              <w:t>1.</w:t>
            </w:r>
          </w:p>
        </w:tc>
        <w:tc>
          <w:tcPr>
            <w:tcW w:w="2818" w:type="pct"/>
            <w:tcBorders>
              <w:top w:val="single" w:sz="4" w:space="0" w:color="auto"/>
              <w:left w:val="single" w:sz="4" w:space="0" w:color="auto"/>
              <w:bottom w:val="single" w:sz="4" w:space="0" w:color="auto"/>
              <w:right w:val="single" w:sz="4" w:space="0" w:color="auto"/>
            </w:tcBorders>
            <w:vAlign w:val="center"/>
            <w:hideMark/>
          </w:tcPr>
          <w:p w14:paraId="6D6CE0AF" w14:textId="77777777" w:rsidR="00F038BD" w:rsidRPr="00F038BD" w:rsidRDefault="00F038BD" w:rsidP="00F038BD">
            <w:pPr>
              <w:spacing w:after="0" w:line="240" w:lineRule="auto"/>
              <w:jc w:val="both"/>
              <w:rPr>
                <w:rFonts w:ascii="Times New Roman" w:hAnsi="Times New Roman"/>
                <w:color w:val="000000"/>
                <w:sz w:val="20"/>
                <w:szCs w:val="20"/>
                <w:lang w:val="en-IN" w:bidi="en-US"/>
              </w:rPr>
            </w:pPr>
            <w:r w:rsidRPr="00F038BD">
              <w:rPr>
                <w:rFonts w:ascii="Times New Roman" w:hAnsi="Times New Roman"/>
                <w:color w:val="000000"/>
                <w:sz w:val="20"/>
                <w:szCs w:val="20"/>
                <w:lang w:val="en-IN" w:bidi="en-US"/>
              </w:rPr>
              <w:t>As at March 31, 2021</w:t>
            </w:r>
          </w:p>
        </w:tc>
        <w:tc>
          <w:tcPr>
            <w:tcW w:w="1765" w:type="pct"/>
            <w:tcBorders>
              <w:top w:val="single" w:sz="4" w:space="0" w:color="auto"/>
              <w:left w:val="single" w:sz="4" w:space="0" w:color="auto"/>
              <w:bottom w:val="single" w:sz="4" w:space="0" w:color="auto"/>
              <w:right w:val="single" w:sz="4" w:space="0" w:color="auto"/>
            </w:tcBorders>
            <w:vAlign w:val="center"/>
          </w:tcPr>
          <w:p w14:paraId="04F49343" w14:textId="77777777" w:rsidR="00F038BD" w:rsidRPr="00F038BD" w:rsidRDefault="00F038BD" w:rsidP="00F038BD">
            <w:pPr>
              <w:spacing w:after="0" w:line="240" w:lineRule="auto"/>
              <w:jc w:val="center"/>
              <w:rPr>
                <w:rFonts w:ascii="Times New Roman" w:hAnsi="Times New Roman"/>
                <w:color w:val="000000"/>
                <w:sz w:val="20"/>
                <w:szCs w:val="20"/>
                <w:lang w:val="en-IN" w:bidi="en-US"/>
              </w:rPr>
            </w:pPr>
            <w:r w:rsidRPr="00F038BD">
              <w:rPr>
                <w:rFonts w:ascii="Times New Roman" w:hAnsi="Times New Roman"/>
                <w:color w:val="000000"/>
                <w:sz w:val="20"/>
                <w:szCs w:val="20"/>
                <w:lang w:val="en-IN" w:bidi="en-US"/>
              </w:rPr>
              <w:t>25.75</w:t>
            </w:r>
          </w:p>
        </w:tc>
      </w:tr>
      <w:tr w:rsidR="00F038BD" w:rsidRPr="00F038BD" w14:paraId="06409953" w14:textId="77777777" w:rsidTr="00716083">
        <w:trPr>
          <w:trHeight w:val="227"/>
        </w:trPr>
        <w:tc>
          <w:tcPr>
            <w:tcW w:w="417" w:type="pct"/>
            <w:tcBorders>
              <w:top w:val="single" w:sz="4" w:space="0" w:color="auto"/>
              <w:left w:val="single" w:sz="4" w:space="0" w:color="auto"/>
              <w:bottom w:val="single" w:sz="4" w:space="0" w:color="auto"/>
              <w:right w:val="single" w:sz="4" w:space="0" w:color="auto"/>
            </w:tcBorders>
            <w:noWrap/>
            <w:vAlign w:val="bottom"/>
          </w:tcPr>
          <w:p w14:paraId="73F438A1" w14:textId="77777777" w:rsidR="00F038BD" w:rsidRPr="00F038BD" w:rsidRDefault="00F038BD" w:rsidP="00F038BD">
            <w:pPr>
              <w:spacing w:after="0" w:line="240" w:lineRule="auto"/>
              <w:contextualSpacing/>
              <w:jc w:val="center"/>
              <w:rPr>
                <w:rFonts w:ascii="Times New Roman" w:hAnsi="Times New Roman"/>
                <w:bCs/>
                <w:color w:val="000000"/>
                <w:sz w:val="20"/>
                <w:szCs w:val="20"/>
                <w:lang w:val="en-IN" w:bidi="en-US"/>
              </w:rPr>
            </w:pPr>
            <w:r w:rsidRPr="00F038BD">
              <w:rPr>
                <w:rFonts w:ascii="Times New Roman" w:hAnsi="Times New Roman"/>
                <w:bCs/>
                <w:color w:val="000000"/>
                <w:sz w:val="20"/>
                <w:szCs w:val="20"/>
                <w:lang w:val="en-IN" w:bidi="en-US"/>
              </w:rPr>
              <w:t>2.</w:t>
            </w:r>
          </w:p>
        </w:tc>
        <w:tc>
          <w:tcPr>
            <w:tcW w:w="2818" w:type="pct"/>
            <w:tcBorders>
              <w:top w:val="single" w:sz="4" w:space="0" w:color="auto"/>
              <w:left w:val="single" w:sz="4" w:space="0" w:color="auto"/>
              <w:bottom w:val="single" w:sz="4" w:space="0" w:color="auto"/>
              <w:right w:val="single" w:sz="4" w:space="0" w:color="auto"/>
            </w:tcBorders>
            <w:vAlign w:val="center"/>
            <w:hideMark/>
          </w:tcPr>
          <w:p w14:paraId="7B2D72D8" w14:textId="77777777" w:rsidR="00F038BD" w:rsidRPr="00F038BD" w:rsidRDefault="00F038BD" w:rsidP="00F038BD">
            <w:pPr>
              <w:spacing w:after="0" w:line="240" w:lineRule="auto"/>
              <w:jc w:val="both"/>
              <w:rPr>
                <w:rFonts w:ascii="Times New Roman" w:hAnsi="Times New Roman"/>
                <w:color w:val="000000"/>
                <w:sz w:val="20"/>
                <w:szCs w:val="20"/>
                <w:lang w:val="en-IN" w:bidi="en-US"/>
              </w:rPr>
            </w:pPr>
            <w:r w:rsidRPr="00F038BD">
              <w:rPr>
                <w:rFonts w:ascii="Times New Roman" w:hAnsi="Times New Roman"/>
                <w:color w:val="000000"/>
                <w:sz w:val="20"/>
                <w:szCs w:val="20"/>
                <w:lang w:val="en-IN" w:bidi="en-US"/>
              </w:rPr>
              <w:t>As at March 31, 2022</w:t>
            </w:r>
          </w:p>
        </w:tc>
        <w:tc>
          <w:tcPr>
            <w:tcW w:w="1765" w:type="pct"/>
            <w:tcBorders>
              <w:top w:val="single" w:sz="4" w:space="0" w:color="auto"/>
              <w:left w:val="single" w:sz="4" w:space="0" w:color="auto"/>
              <w:bottom w:val="single" w:sz="4" w:space="0" w:color="auto"/>
              <w:right w:val="single" w:sz="4" w:space="0" w:color="auto"/>
            </w:tcBorders>
            <w:vAlign w:val="center"/>
          </w:tcPr>
          <w:p w14:paraId="199BBA23" w14:textId="77777777" w:rsidR="00F038BD" w:rsidRPr="00F038BD" w:rsidRDefault="00F038BD" w:rsidP="00F038BD">
            <w:pPr>
              <w:spacing w:after="0" w:line="240" w:lineRule="auto"/>
              <w:jc w:val="center"/>
              <w:rPr>
                <w:rFonts w:ascii="Times New Roman" w:hAnsi="Times New Roman"/>
                <w:color w:val="000000"/>
                <w:sz w:val="20"/>
                <w:szCs w:val="20"/>
                <w:lang w:val="en-IN" w:bidi="en-US"/>
              </w:rPr>
            </w:pPr>
            <w:r w:rsidRPr="00F038BD">
              <w:rPr>
                <w:rFonts w:ascii="Times New Roman" w:hAnsi="Times New Roman"/>
                <w:color w:val="000000"/>
                <w:sz w:val="20"/>
                <w:szCs w:val="20"/>
                <w:lang w:val="en-IN" w:bidi="en-US"/>
              </w:rPr>
              <w:t>28.08</w:t>
            </w:r>
          </w:p>
        </w:tc>
      </w:tr>
      <w:tr w:rsidR="00F038BD" w:rsidRPr="00F038BD" w14:paraId="34000FB5" w14:textId="77777777" w:rsidTr="00716083">
        <w:trPr>
          <w:trHeight w:val="227"/>
        </w:trPr>
        <w:tc>
          <w:tcPr>
            <w:tcW w:w="417" w:type="pct"/>
            <w:tcBorders>
              <w:top w:val="single" w:sz="4" w:space="0" w:color="auto"/>
              <w:left w:val="single" w:sz="4" w:space="0" w:color="auto"/>
              <w:bottom w:val="single" w:sz="4" w:space="0" w:color="auto"/>
              <w:right w:val="single" w:sz="4" w:space="0" w:color="auto"/>
            </w:tcBorders>
            <w:noWrap/>
            <w:vAlign w:val="bottom"/>
          </w:tcPr>
          <w:p w14:paraId="7746B900" w14:textId="77777777" w:rsidR="00F038BD" w:rsidRPr="00F038BD" w:rsidRDefault="00F038BD" w:rsidP="00F038BD">
            <w:pPr>
              <w:spacing w:after="0" w:line="240" w:lineRule="auto"/>
              <w:contextualSpacing/>
              <w:jc w:val="center"/>
              <w:rPr>
                <w:rFonts w:ascii="Times New Roman" w:hAnsi="Times New Roman"/>
                <w:bCs/>
                <w:color w:val="000000"/>
                <w:sz w:val="20"/>
                <w:szCs w:val="20"/>
                <w:lang w:val="en-IN" w:bidi="en-US"/>
              </w:rPr>
            </w:pPr>
            <w:r w:rsidRPr="00F038BD">
              <w:rPr>
                <w:rFonts w:ascii="Times New Roman" w:hAnsi="Times New Roman"/>
                <w:bCs/>
                <w:color w:val="000000"/>
                <w:sz w:val="20"/>
                <w:szCs w:val="20"/>
                <w:lang w:val="en-IN" w:bidi="en-US"/>
              </w:rPr>
              <w:t>3.</w:t>
            </w:r>
          </w:p>
        </w:tc>
        <w:tc>
          <w:tcPr>
            <w:tcW w:w="2818" w:type="pct"/>
            <w:tcBorders>
              <w:top w:val="single" w:sz="4" w:space="0" w:color="auto"/>
              <w:left w:val="single" w:sz="4" w:space="0" w:color="auto"/>
              <w:bottom w:val="single" w:sz="4" w:space="0" w:color="auto"/>
              <w:right w:val="single" w:sz="4" w:space="0" w:color="auto"/>
            </w:tcBorders>
            <w:vAlign w:val="center"/>
            <w:hideMark/>
          </w:tcPr>
          <w:p w14:paraId="6F342983" w14:textId="77777777" w:rsidR="00F038BD" w:rsidRPr="00F038BD" w:rsidRDefault="00F038BD" w:rsidP="00F038BD">
            <w:pPr>
              <w:spacing w:after="0" w:line="240" w:lineRule="auto"/>
              <w:jc w:val="both"/>
              <w:rPr>
                <w:rFonts w:ascii="Times New Roman" w:hAnsi="Times New Roman"/>
                <w:color w:val="000000"/>
                <w:sz w:val="20"/>
                <w:szCs w:val="20"/>
                <w:lang w:val="en-IN" w:bidi="en-US"/>
              </w:rPr>
            </w:pPr>
            <w:r w:rsidRPr="00F038BD">
              <w:rPr>
                <w:rFonts w:ascii="Times New Roman" w:hAnsi="Times New Roman"/>
                <w:color w:val="000000"/>
                <w:sz w:val="20"/>
                <w:szCs w:val="20"/>
                <w:lang w:val="en-IN" w:bidi="en-US"/>
              </w:rPr>
              <w:t>As at March 31, 2023</w:t>
            </w:r>
          </w:p>
        </w:tc>
        <w:tc>
          <w:tcPr>
            <w:tcW w:w="1765" w:type="pct"/>
            <w:tcBorders>
              <w:top w:val="single" w:sz="4" w:space="0" w:color="auto"/>
              <w:left w:val="single" w:sz="4" w:space="0" w:color="auto"/>
              <w:bottom w:val="single" w:sz="4" w:space="0" w:color="auto"/>
              <w:right w:val="single" w:sz="4" w:space="0" w:color="auto"/>
            </w:tcBorders>
            <w:vAlign w:val="center"/>
          </w:tcPr>
          <w:p w14:paraId="3F2971D0" w14:textId="77777777" w:rsidR="00F038BD" w:rsidRPr="00F038BD" w:rsidRDefault="00F038BD" w:rsidP="00F038BD">
            <w:pPr>
              <w:spacing w:after="0" w:line="240" w:lineRule="auto"/>
              <w:jc w:val="center"/>
              <w:rPr>
                <w:rFonts w:ascii="Times New Roman" w:hAnsi="Times New Roman"/>
                <w:color w:val="000000"/>
                <w:sz w:val="20"/>
                <w:szCs w:val="20"/>
                <w:lang w:val="en-IN" w:bidi="en-US"/>
              </w:rPr>
            </w:pPr>
            <w:r w:rsidRPr="00F038BD">
              <w:rPr>
                <w:rFonts w:ascii="Times New Roman" w:hAnsi="Times New Roman"/>
                <w:color w:val="000000"/>
                <w:sz w:val="20"/>
                <w:szCs w:val="20"/>
                <w:lang w:val="en-IN" w:bidi="en-US"/>
              </w:rPr>
              <w:t>33.63</w:t>
            </w:r>
          </w:p>
        </w:tc>
      </w:tr>
      <w:tr w:rsidR="00F038BD" w:rsidRPr="00F038BD" w14:paraId="558C880B" w14:textId="77777777" w:rsidTr="00716083">
        <w:trPr>
          <w:trHeight w:val="227"/>
        </w:trPr>
        <w:tc>
          <w:tcPr>
            <w:tcW w:w="417" w:type="pct"/>
            <w:tcBorders>
              <w:top w:val="single" w:sz="4" w:space="0" w:color="auto"/>
              <w:left w:val="single" w:sz="4" w:space="0" w:color="auto"/>
              <w:bottom w:val="single" w:sz="4" w:space="0" w:color="auto"/>
              <w:right w:val="single" w:sz="4" w:space="0" w:color="auto"/>
            </w:tcBorders>
            <w:noWrap/>
            <w:vAlign w:val="bottom"/>
          </w:tcPr>
          <w:p w14:paraId="01674FC0" w14:textId="77777777" w:rsidR="00F038BD" w:rsidRPr="00F038BD" w:rsidRDefault="00F038BD" w:rsidP="00F038BD">
            <w:pPr>
              <w:spacing w:after="0" w:line="240" w:lineRule="auto"/>
              <w:contextualSpacing/>
              <w:jc w:val="center"/>
              <w:rPr>
                <w:rFonts w:ascii="Times New Roman" w:hAnsi="Times New Roman"/>
                <w:bCs/>
                <w:color w:val="000000"/>
                <w:sz w:val="20"/>
                <w:szCs w:val="20"/>
                <w:lang w:val="en-IN" w:bidi="en-US"/>
              </w:rPr>
            </w:pPr>
            <w:r w:rsidRPr="00F038BD">
              <w:rPr>
                <w:rFonts w:ascii="Times New Roman" w:hAnsi="Times New Roman"/>
                <w:bCs/>
                <w:color w:val="000000"/>
                <w:sz w:val="20"/>
                <w:szCs w:val="20"/>
                <w:lang w:val="en-IN" w:bidi="en-US"/>
              </w:rPr>
              <w:t>4.</w:t>
            </w:r>
          </w:p>
        </w:tc>
        <w:tc>
          <w:tcPr>
            <w:tcW w:w="2818" w:type="pct"/>
            <w:tcBorders>
              <w:top w:val="single" w:sz="4" w:space="0" w:color="auto"/>
              <w:left w:val="single" w:sz="4" w:space="0" w:color="auto"/>
              <w:bottom w:val="single" w:sz="4" w:space="0" w:color="auto"/>
              <w:right w:val="single" w:sz="4" w:space="0" w:color="auto"/>
            </w:tcBorders>
            <w:vAlign w:val="center"/>
            <w:hideMark/>
          </w:tcPr>
          <w:p w14:paraId="736B26AE" w14:textId="77777777" w:rsidR="00F038BD" w:rsidRPr="00F038BD" w:rsidRDefault="00F038BD" w:rsidP="00F038BD">
            <w:pPr>
              <w:spacing w:after="0" w:line="240" w:lineRule="auto"/>
              <w:jc w:val="both"/>
              <w:rPr>
                <w:rFonts w:ascii="Times New Roman" w:hAnsi="Times New Roman"/>
                <w:color w:val="000000"/>
                <w:sz w:val="20"/>
                <w:szCs w:val="20"/>
                <w:lang w:val="en-IN" w:bidi="en-US"/>
              </w:rPr>
            </w:pPr>
            <w:r w:rsidRPr="00F038BD">
              <w:rPr>
                <w:rFonts w:ascii="Times New Roman" w:hAnsi="Times New Roman"/>
                <w:color w:val="000000"/>
                <w:sz w:val="20"/>
                <w:szCs w:val="20"/>
                <w:lang w:val="en-IN" w:bidi="en-US"/>
              </w:rPr>
              <w:t>NAV per Equity Share after the Issue</w:t>
            </w:r>
          </w:p>
        </w:tc>
        <w:tc>
          <w:tcPr>
            <w:tcW w:w="1765" w:type="pct"/>
            <w:tcBorders>
              <w:top w:val="single" w:sz="4" w:space="0" w:color="auto"/>
              <w:left w:val="single" w:sz="4" w:space="0" w:color="auto"/>
              <w:bottom w:val="single" w:sz="4" w:space="0" w:color="auto"/>
              <w:right w:val="single" w:sz="4" w:space="0" w:color="auto"/>
            </w:tcBorders>
            <w:vAlign w:val="center"/>
          </w:tcPr>
          <w:p w14:paraId="70B7C850" w14:textId="77777777" w:rsidR="00F038BD" w:rsidRPr="00F038BD" w:rsidRDefault="00F038BD" w:rsidP="00F038BD">
            <w:pPr>
              <w:spacing w:after="0" w:line="240" w:lineRule="auto"/>
              <w:jc w:val="center"/>
              <w:rPr>
                <w:rFonts w:ascii="Times New Roman" w:hAnsi="Times New Roman"/>
                <w:color w:val="000000"/>
                <w:sz w:val="20"/>
                <w:szCs w:val="20"/>
                <w:lang w:val="en-IN" w:bidi="en-US"/>
              </w:rPr>
            </w:pPr>
          </w:p>
        </w:tc>
      </w:tr>
      <w:tr w:rsidR="00F038BD" w:rsidRPr="00F038BD" w14:paraId="2369CD96" w14:textId="77777777" w:rsidTr="00716083">
        <w:trPr>
          <w:trHeight w:val="227"/>
        </w:trPr>
        <w:tc>
          <w:tcPr>
            <w:tcW w:w="417" w:type="pct"/>
            <w:tcBorders>
              <w:top w:val="single" w:sz="4" w:space="0" w:color="auto"/>
              <w:left w:val="single" w:sz="4" w:space="0" w:color="auto"/>
              <w:bottom w:val="single" w:sz="4" w:space="0" w:color="auto"/>
              <w:right w:val="single" w:sz="4" w:space="0" w:color="auto"/>
            </w:tcBorders>
            <w:noWrap/>
            <w:vAlign w:val="bottom"/>
          </w:tcPr>
          <w:p w14:paraId="0B4BE5E4" w14:textId="77777777" w:rsidR="00F038BD" w:rsidRPr="00F038BD" w:rsidRDefault="00F038BD" w:rsidP="00F038BD">
            <w:pPr>
              <w:spacing w:after="0" w:line="240" w:lineRule="auto"/>
              <w:jc w:val="center"/>
              <w:rPr>
                <w:rFonts w:ascii="Times New Roman" w:hAnsi="Times New Roman"/>
                <w:color w:val="000000"/>
                <w:sz w:val="20"/>
                <w:szCs w:val="20"/>
                <w:lang w:val="en-IN" w:bidi="en-US"/>
              </w:rPr>
            </w:pPr>
          </w:p>
        </w:tc>
        <w:tc>
          <w:tcPr>
            <w:tcW w:w="2818" w:type="pct"/>
            <w:tcBorders>
              <w:top w:val="single" w:sz="4" w:space="0" w:color="auto"/>
              <w:left w:val="single" w:sz="4" w:space="0" w:color="auto"/>
              <w:bottom w:val="single" w:sz="4" w:space="0" w:color="auto"/>
              <w:right w:val="single" w:sz="4" w:space="0" w:color="auto"/>
            </w:tcBorders>
            <w:noWrap/>
            <w:vAlign w:val="center"/>
            <w:hideMark/>
          </w:tcPr>
          <w:p w14:paraId="79BF11C6" w14:textId="77777777" w:rsidR="00F038BD" w:rsidRPr="00F038BD" w:rsidRDefault="00F038BD" w:rsidP="00F038BD">
            <w:pPr>
              <w:spacing w:after="0" w:line="240" w:lineRule="auto"/>
              <w:jc w:val="both"/>
              <w:rPr>
                <w:rFonts w:ascii="Times New Roman" w:hAnsi="Times New Roman"/>
                <w:color w:val="000000"/>
                <w:sz w:val="20"/>
                <w:szCs w:val="20"/>
                <w:lang w:val="en-IN" w:bidi="en-US"/>
              </w:rPr>
            </w:pPr>
            <w:r w:rsidRPr="00F038BD">
              <w:rPr>
                <w:rFonts w:ascii="Times New Roman" w:hAnsi="Times New Roman"/>
                <w:color w:val="000000"/>
                <w:sz w:val="20"/>
                <w:szCs w:val="20"/>
                <w:lang w:val="en-IN" w:bidi="en-US"/>
              </w:rPr>
              <w:t>(i) at Floor Price</w:t>
            </w:r>
          </w:p>
        </w:tc>
        <w:tc>
          <w:tcPr>
            <w:tcW w:w="1765" w:type="pct"/>
            <w:tcBorders>
              <w:top w:val="single" w:sz="4" w:space="0" w:color="auto"/>
              <w:left w:val="single" w:sz="4" w:space="0" w:color="auto"/>
              <w:bottom w:val="single" w:sz="4" w:space="0" w:color="auto"/>
              <w:right w:val="single" w:sz="4" w:space="0" w:color="auto"/>
            </w:tcBorders>
            <w:vAlign w:val="center"/>
            <w:hideMark/>
          </w:tcPr>
          <w:p w14:paraId="3219D0BE" w14:textId="77777777" w:rsidR="00F038BD" w:rsidRPr="00F038BD" w:rsidRDefault="00F038BD" w:rsidP="00F038BD">
            <w:pPr>
              <w:spacing w:after="0" w:line="240" w:lineRule="auto"/>
              <w:jc w:val="center"/>
              <w:rPr>
                <w:rFonts w:ascii="Times New Roman" w:hAnsi="Times New Roman"/>
                <w:sz w:val="20"/>
                <w:szCs w:val="20"/>
                <w:lang w:val="en-IN"/>
              </w:rPr>
            </w:pPr>
            <w:r w:rsidRPr="00F038BD">
              <w:rPr>
                <w:rFonts w:ascii="Times New Roman" w:hAnsi="Times New Roman"/>
                <w:sz w:val="20"/>
                <w:szCs w:val="20"/>
                <w:lang w:val="en-GB"/>
              </w:rPr>
              <w:t>[●]</w:t>
            </w:r>
          </w:p>
        </w:tc>
      </w:tr>
      <w:tr w:rsidR="00F038BD" w:rsidRPr="00F038BD" w14:paraId="4BBE8354" w14:textId="77777777" w:rsidTr="00716083">
        <w:trPr>
          <w:trHeight w:val="227"/>
        </w:trPr>
        <w:tc>
          <w:tcPr>
            <w:tcW w:w="417" w:type="pct"/>
            <w:tcBorders>
              <w:top w:val="single" w:sz="4" w:space="0" w:color="auto"/>
              <w:left w:val="single" w:sz="4" w:space="0" w:color="auto"/>
              <w:bottom w:val="single" w:sz="4" w:space="0" w:color="auto"/>
              <w:right w:val="single" w:sz="4" w:space="0" w:color="auto"/>
            </w:tcBorders>
            <w:noWrap/>
            <w:vAlign w:val="bottom"/>
          </w:tcPr>
          <w:p w14:paraId="2D00AEB0" w14:textId="77777777" w:rsidR="00F038BD" w:rsidRPr="00F038BD" w:rsidRDefault="00F038BD" w:rsidP="00F038BD">
            <w:pPr>
              <w:spacing w:after="0" w:line="240" w:lineRule="auto"/>
              <w:jc w:val="center"/>
              <w:rPr>
                <w:rFonts w:ascii="Times New Roman" w:hAnsi="Times New Roman"/>
                <w:color w:val="000000"/>
                <w:sz w:val="20"/>
                <w:szCs w:val="20"/>
                <w:lang w:val="en-IN" w:bidi="en-US"/>
              </w:rPr>
            </w:pPr>
          </w:p>
        </w:tc>
        <w:tc>
          <w:tcPr>
            <w:tcW w:w="2818" w:type="pct"/>
            <w:tcBorders>
              <w:top w:val="single" w:sz="4" w:space="0" w:color="auto"/>
              <w:left w:val="single" w:sz="4" w:space="0" w:color="auto"/>
              <w:bottom w:val="single" w:sz="4" w:space="0" w:color="auto"/>
              <w:right w:val="single" w:sz="4" w:space="0" w:color="auto"/>
            </w:tcBorders>
            <w:noWrap/>
            <w:vAlign w:val="center"/>
          </w:tcPr>
          <w:p w14:paraId="0E3A5C73" w14:textId="77777777" w:rsidR="00F038BD" w:rsidRPr="00F038BD" w:rsidRDefault="00F038BD" w:rsidP="00F038BD">
            <w:pPr>
              <w:spacing w:after="0" w:line="240" w:lineRule="auto"/>
              <w:jc w:val="both"/>
              <w:rPr>
                <w:rFonts w:ascii="Times New Roman" w:hAnsi="Times New Roman"/>
                <w:color w:val="000000"/>
                <w:sz w:val="20"/>
                <w:szCs w:val="20"/>
                <w:lang w:val="en-IN" w:bidi="en-US"/>
              </w:rPr>
            </w:pPr>
            <w:r w:rsidRPr="00F038BD">
              <w:rPr>
                <w:rFonts w:ascii="Times New Roman" w:hAnsi="Times New Roman"/>
                <w:color w:val="000000"/>
                <w:sz w:val="20"/>
                <w:szCs w:val="20"/>
                <w:lang w:val="en-IN" w:bidi="en-US"/>
              </w:rPr>
              <w:t>(ii) at Cap Price</w:t>
            </w:r>
          </w:p>
        </w:tc>
        <w:tc>
          <w:tcPr>
            <w:tcW w:w="1765" w:type="pct"/>
            <w:tcBorders>
              <w:top w:val="single" w:sz="4" w:space="0" w:color="auto"/>
              <w:left w:val="single" w:sz="4" w:space="0" w:color="auto"/>
              <w:bottom w:val="single" w:sz="4" w:space="0" w:color="auto"/>
              <w:right w:val="single" w:sz="4" w:space="0" w:color="auto"/>
            </w:tcBorders>
            <w:vAlign w:val="center"/>
          </w:tcPr>
          <w:p w14:paraId="6FF95854" w14:textId="77777777" w:rsidR="00F038BD" w:rsidRPr="00F038BD" w:rsidRDefault="00F038BD" w:rsidP="00F038BD">
            <w:pPr>
              <w:spacing w:after="0" w:line="240" w:lineRule="auto"/>
              <w:jc w:val="center"/>
              <w:rPr>
                <w:rFonts w:ascii="Times New Roman" w:hAnsi="Times New Roman"/>
                <w:sz w:val="20"/>
                <w:szCs w:val="20"/>
                <w:lang w:val="en-GB"/>
              </w:rPr>
            </w:pPr>
            <w:r w:rsidRPr="00F038BD">
              <w:rPr>
                <w:rFonts w:ascii="Times New Roman" w:hAnsi="Times New Roman"/>
                <w:sz w:val="20"/>
                <w:szCs w:val="20"/>
                <w:lang w:val="en-GB"/>
              </w:rPr>
              <w:t>[●]</w:t>
            </w:r>
          </w:p>
        </w:tc>
      </w:tr>
      <w:tr w:rsidR="00F038BD" w:rsidRPr="00F038BD" w14:paraId="291F4B09" w14:textId="77777777" w:rsidTr="00716083">
        <w:trPr>
          <w:trHeight w:val="227"/>
        </w:trPr>
        <w:tc>
          <w:tcPr>
            <w:tcW w:w="417" w:type="pct"/>
            <w:tcBorders>
              <w:top w:val="single" w:sz="4" w:space="0" w:color="auto"/>
              <w:left w:val="single" w:sz="4" w:space="0" w:color="auto"/>
              <w:bottom w:val="single" w:sz="4" w:space="0" w:color="auto"/>
              <w:right w:val="single" w:sz="4" w:space="0" w:color="auto"/>
            </w:tcBorders>
            <w:noWrap/>
            <w:vAlign w:val="bottom"/>
          </w:tcPr>
          <w:p w14:paraId="66C10E3F" w14:textId="77777777" w:rsidR="00F038BD" w:rsidRPr="00F038BD" w:rsidRDefault="00F038BD" w:rsidP="00F038BD">
            <w:pPr>
              <w:spacing w:after="0" w:line="240" w:lineRule="auto"/>
              <w:jc w:val="center"/>
              <w:rPr>
                <w:rFonts w:ascii="Times New Roman" w:hAnsi="Times New Roman"/>
                <w:sz w:val="20"/>
                <w:szCs w:val="20"/>
                <w:lang w:val="en-IN"/>
              </w:rPr>
            </w:pPr>
            <w:r w:rsidRPr="00F038BD">
              <w:rPr>
                <w:rFonts w:ascii="Times New Roman" w:hAnsi="Times New Roman"/>
                <w:sz w:val="20"/>
                <w:szCs w:val="20"/>
                <w:lang w:val="en-IN"/>
              </w:rPr>
              <w:t>5.</w:t>
            </w:r>
          </w:p>
        </w:tc>
        <w:tc>
          <w:tcPr>
            <w:tcW w:w="2818" w:type="pct"/>
            <w:tcBorders>
              <w:top w:val="single" w:sz="4" w:space="0" w:color="auto"/>
              <w:left w:val="single" w:sz="4" w:space="0" w:color="auto"/>
              <w:bottom w:val="single" w:sz="4" w:space="0" w:color="auto"/>
              <w:right w:val="single" w:sz="4" w:space="0" w:color="auto"/>
            </w:tcBorders>
            <w:noWrap/>
            <w:vAlign w:val="center"/>
            <w:hideMark/>
          </w:tcPr>
          <w:p w14:paraId="174C73D6" w14:textId="77777777" w:rsidR="00F038BD" w:rsidRPr="00F038BD" w:rsidRDefault="00F038BD" w:rsidP="00F038BD">
            <w:pPr>
              <w:spacing w:after="0" w:line="240" w:lineRule="auto"/>
              <w:jc w:val="both"/>
              <w:rPr>
                <w:rFonts w:ascii="Times New Roman" w:hAnsi="Times New Roman"/>
                <w:color w:val="000000"/>
                <w:sz w:val="20"/>
                <w:szCs w:val="20"/>
                <w:lang w:val="en-IN" w:bidi="en-US"/>
              </w:rPr>
            </w:pPr>
            <w:r w:rsidRPr="00F038BD">
              <w:rPr>
                <w:rFonts w:ascii="Times New Roman" w:hAnsi="Times New Roman"/>
                <w:color w:val="000000"/>
                <w:sz w:val="20"/>
                <w:szCs w:val="20"/>
                <w:lang w:val="en-IN" w:bidi="en-US"/>
              </w:rPr>
              <w:t>Issue Price</w:t>
            </w:r>
          </w:p>
        </w:tc>
        <w:tc>
          <w:tcPr>
            <w:tcW w:w="1765" w:type="pct"/>
            <w:tcBorders>
              <w:top w:val="single" w:sz="4" w:space="0" w:color="auto"/>
              <w:left w:val="single" w:sz="4" w:space="0" w:color="auto"/>
              <w:bottom w:val="single" w:sz="4" w:space="0" w:color="auto"/>
              <w:right w:val="single" w:sz="4" w:space="0" w:color="auto"/>
            </w:tcBorders>
            <w:vAlign w:val="center"/>
            <w:hideMark/>
          </w:tcPr>
          <w:p w14:paraId="6B049043" w14:textId="77777777" w:rsidR="00F038BD" w:rsidRPr="00F038BD" w:rsidRDefault="00F038BD" w:rsidP="00F038BD">
            <w:pPr>
              <w:spacing w:after="0" w:line="240" w:lineRule="auto"/>
              <w:jc w:val="center"/>
              <w:rPr>
                <w:rFonts w:ascii="Times New Roman" w:hAnsi="Times New Roman"/>
                <w:sz w:val="20"/>
                <w:szCs w:val="20"/>
                <w:lang w:val="en-GB"/>
              </w:rPr>
            </w:pPr>
            <w:r w:rsidRPr="00F038BD">
              <w:rPr>
                <w:rFonts w:ascii="Times New Roman" w:hAnsi="Times New Roman"/>
                <w:sz w:val="20"/>
                <w:szCs w:val="20"/>
                <w:lang w:val="en-GB"/>
              </w:rPr>
              <w:t>[●]</w:t>
            </w:r>
          </w:p>
        </w:tc>
      </w:tr>
    </w:tbl>
    <w:p w14:paraId="308E52F1" w14:textId="77777777" w:rsidR="00F038BD" w:rsidRPr="00F038BD" w:rsidRDefault="00F038BD" w:rsidP="00F038BD">
      <w:pPr>
        <w:spacing w:after="0" w:line="240" w:lineRule="auto"/>
        <w:ind w:left="142"/>
        <w:jc w:val="both"/>
        <w:rPr>
          <w:rFonts w:ascii="Times New Roman" w:eastAsia="Calibri" w:hAnsi="Times New Roman"/>
          <w:bCs/>
          <w:i/>
          <w:iCs/>
          <w:sz w:val="20"/>
          <w:szCs w:val="20"/>
          <w:lang w:bidi="en-US"/>
        </w:rPr>
      </w:pPr>
      <w:r w:rsidRPr="00F038BD">
        <w:rPr>
          <w:rFonts w:ascii="Times New Roman" w:eastAsia="Calibri" w:hAnsi="Times New Roman"/>
          <w:bCs/>
          <w:i/>
          <w:iCs/>
          <w:sz w:val="20"/>
          <w:szCs w:val="20"/>
          <w:lang w:bidi="en-US"/>
        </w:rPr>
        <w:t>*The above NAV has been calculated based on weighted number of shares outstanding at the end of the respective year.</w:t>
      </w:r>
    </w:p>
    <w:p w14:paraId="5F10A3A4" w14:textId="77777777" w:rsidR="00F038BD" w:rsidRPr="00F038BD" w:rsidRDefault="00F038BD" w:rsidP="00F038BD">
      <w:pPr>
        <w:spacing w:after="0" w:line="240" w:lineRule="auto"/>
        <w:ind w:left="142"/>
        <w:jc w:val="both"/>
        <w:rPr>
          <w:rFonts w:ascii="Times New Roman" w:eastAsia="Calibri" w:hAnsi="Times New Roman"/>
          <w:bCs/>
          <w:i/>
          <w:iCs/>
          <w:sz w:val="20"/>
          <w:szCs w:val="20"/>
          <w:lang w:bidi="en-US"/>
        </w:rPr>
      </w:pPr>
    </w:p>
    <w:p w14:paraId="1C62BE58" w14:textId="77777777" w:rsidR="00F038BD" w:rsidRPr="00F038BD" w:rsidRDefault="00F038BD" w:rsidP="00F038BD">
      <w:pPr>
        <w:spacing w:after="0" w:line="240" w:lineRule="auto"/>
        <w:ind w:left="142"/>
        <w:jc w:val="both"/>
        <w:rPr>
          <w:rFonts w:ascii="Times New Roman" w:eastAsia="Calibri" w:hAnsi="Times New Roman"/>
          <w:b/>
          <w:bCs/>
          <w:i/>
          <w:iCs/>
          <w:sz w:val="20"/>
          <w:szCs w:val="20"/>
          <w:lang w:bidi="en-US"/>
        </w:rPr>
      </w:pPr>
      <w:r w:rsidRPr="00F038BD">
        <w:rPr>
          <w:rFonts w:ascii="Times New Roman" w:eastAsia="Calibri" w:hAnsi="Times New Roman"/>
          <w:b/>
          <w:bCs/>
          <w:i/>
          <w:iCs/>
          <w:sz w:val="20"/>
          <w:szCs w:val="20"/>
          <w:lang w:bidi="en-US"/>
        </w:rPr>
        <w:t>Notes:</w:t>
      </w:r>
    </w:p>
    <w:p w14:paraId="132D01CD" w14:textId="77777777" w:rsidR="00F038BD" w:rsidRPr="00F038BD" w:rsidRDefault="00F038BD">
      <w:pPr>
        <w:numPr>
          <w:ilvl w:val="0"/>
          <w:numId w:val="169"/>
        </w:numPr>
        <w:suppressAutoHyphens/>
        <w:autoSpaceDE w:val="0"/>
        <w:autoSpaceDN w:val="0"/>
        <w:adjustRightInd w:val="0"/>
        <w:spacing w:after="0" w:line="240" w:lineRule="auto"/>
        <w:jc w:val="both"/>
        <w:textAlignment w:val="center"/>
        <w:rPr>
          <w:rFonts w:ascii="Times New Roman" w:eastAsia="Calibri" w:hAnsi="Times New Roman"/>
          <w:i/>
          <w:iCs/>
          <w:color w:val="000000"/>
          <w:sz w:val="20"/>
          <w:szCs w:val="20"/>
        </w:rPr>
      </w:pPr>
      <w:r w:rsidRPr="00F038BD">
        <w:rPr>
          <w:rFonts w:ascii="Times New Roman" w:hAnsi="Times New Roman"/>
          <w:i/>
          <w:iCs/>
          <w:color w:val="000000"/>
          <w:sz w:val="20"/>
          <w:szCs w:val="20"/>
        </w:rPr>
        <w:t>The figures disclosed above are based on the Restated Financial Statements of the Company.</w:t>
      </w:r>
    </w:p>
    <w:p w14:paraId="40AAC20E" w14:textId="77777777" w:rsidR="00F038BD" w:rsidRPr="00F038BD" w:rsidRDefault="00F038BD">
      <w:pPr>
        <w:numPr>
          <w:ilvl w:val="0"/>
          <w:numId w:val="169"/>
        </w:numPr>
        <w:spacing w:after="0" w:line="240" w:lineRule="auto"/>
        <w:jc w:val="both"/>
        <w:rPr>
          <w:rFonts w:ascii="Times New Roman" w:eastAsia="Calibri" w:hAnsi="Times New Roman"/>
          <w:bCs/>
          <w:i/>
          <w:iCs/>
          <w:sz w:val="20"/>
          <w:szCs w:val="20"/>
          <w:lang w:bidi="en-US"/>
        </w:rPr>
      </w:pPr>
      <w:r w:rsidRPr="00F038BD">
        <w:rPr>
          <w:rFonts w:ascii="Times New Roman" w:eastAsia="Calibri" w:hAnsi="Times New Roman"/>
          <w:bCs/>
          <w:i/>
          <w:iCs/>
          <w:sz w:val="20"/>
          <w:szCs w:val="20"/>
          <w:lang w:bidi="en-US"/>
        </w:rPr>
        <w:t>NAV per share=Restated Net worth at the end of the year divided by weighted average number of equity shares outstanding at the end of the year</w:t>
      </w:r>
    </w:p>
    <w:p w14:paraId="71E36FD8" w14:textId="77777777" w:rsidR="00F038BD" w:rsidRPr="00F038BD" w:rsidRDefault="00F038BD">
      <w:pPr>
        <w:numPr>
          <w:ilvl w:val="0"/>
          <w:numId w:val="169"/>
        </w:numPr>
        <w:spacing w:after="0" w:line="240" w:lineRule="auto"/>
        <w:jc w:val="both"/>
        <w:rPr>
          <w:rFonts w:ascii="Times New Roman" w:eastAsia="Calibri" w:hAnsi="Times New Roman"/>
          <w:bCs/>
          <w:i/>
          <w:iCs/>
          <w:sz w:val="20"/>
          <w:szCs w:val="20"/>
          <w:lang w:bidi="en-US"/>
        </w:rPr>
      </w:pPr>
      <w:r w:rsidRPr="00F038BD">
        <w:rPr>
          <w:rFonts w:ascii="Times New Roman" w:eastAsia="Calibri" w:hAnsi="Times New Roman"/>
          <w:bCs/>
          <w:i/>
          <w:iCs/>
          <w:sz w:val="20"/>
          <w:szCs w:val="20"/>
          <w:lang w:bidi="en-US"/>
        </w:rPr>
        <w:t>Net worth is computed as the sum of the aggregate of paid-up equity share capital, all reserves created out of the profits, securities premium account received in respect of equity shares and debit or credit balance of profit and loss account.</w:t>
      </w:r>
    </w:p>
    <w:p w14:paraId="3D46ACBA" w14:textId="77777777" w:rsidR="00F038BD" w:rsidRPr="00F038BD" w:rsidRDefault="00F038BD">
      <w:pPr>
        <w:numPr>
          <w:ilvl w:val="0"/>
          <w:numId w:val="169"/>
        </w:numPr>
        <w:spacing w:after="0" w:line="240" w:lineRule="auto"/>
        <w:jc w:val="both"/>
        <w:rPr>
          <w:rFonts w:ascii="Times New Roman" w:eastAsia="Calibri" w:hAnsi="Times New Roman"/>
          <w:bCs/>
          <w:i/>
          <w:iCs/>
          <w:sz w:val="20"/>
          <w:szCs w:val="20"/>
          <w:lang w:bidi="en-US"/>
        </w:rPr>
      </w:pPr>
      <w:r w:rsidRPr="00F038BD">
        <w:rPr>
          <w:rFonts w:ascii="Times New Roman" w:eastAsia="Calibri" w:hAnsi="Times New Roman"/>
          <w:bCs/>
          <w:i/>
          <w:iCs/>
          <w:sz w:val="20"/>
          <w:szCs w:val="20"/>
          <w:lang w:bidi="en-US"/>
        </w:rPr>
        <w:t xml:space="preserve">Issue Price per Equity Share will be determined by our Company in consultation with the Book Running Lead Manager. </w:t>
      </w:r>
    </w:p>
    <w:p w14:paraId="5B5D2DC4" w14:textId="77777777" w:rsidR="00F038BD" w:rsidRPr="00F038BD" w:rsidRDefault="00F038BD" w:rsidP="00F038BD">
      <w:pPr>
        <w:spacing w:after="0" w:line="240" w:lineRule="auto"/>
        <w:ind w:left="272"/>
        <w:jc w:val="both"/>
        <w:rPr>
          <w:rFonts w:ascii="Times New Roman" w:eastAsia="Calibri" w:hAnsi="Times New Roman"/>
          <w:bCs/>
          <w:i/>
          <w:iCs/>
          <w:sz w:val="20"/>
          <w:szCs w:val="20"/>
          <w:lang w:bidi="en-US"/>
        </w:rPr>
      </w:pPr>
    </w:p>
    <w:p w14:paraId="20B19C03" w14:textId="77777777" w:rsidR="00F038BD" w:rsidRPr="00F038BD" w:rsidRDefault="00F038BD">
      <w:pPr>
        <w:numPr>
          <w:ilvl w:val="0"/>
          <w:numId w:val="165"/>
        </w:numPr>
        <w:autoSpaceDE w:val="0"/>
        <w:autoSpaceDN w:val="0"/>
        <w:adjustRightInd w:val="0"/>
        <w:spacing w:after="0" w:line="240" w:lineRule="auto"/>
        <w:ind w:left="426"/>
        <w:jc w:val="both"/>
        <w:rPr>
          <w:rFonts w:ascii="Times New Roman" w:eastAsia="Calibri" w:hAnsi="Times New Roman"/>
          <w:b/>
          <w:bCs/>
          <w:sz w:val="20"/>
          <w:szCs w:val="20"/>
        </w:rPr>
      </w:pPr>
      <w:r w:rsidRPr="00F038BD">
        <w:rPr>
          <w:rFonts w:ascii="Times New Roman" w:eastAsia="Calibri" w:hAnsi="Times New Roman"/>
          <w:b/>
          <w:bCs/>
          <w:sz w:val="20"/>
          <w:szCs w:val="20"/>
        </w:rPr>
        <w:t xml:space="preserve">Comparison of Accounting Ratios with Industry Peers </w:t>
      </w:r>
    </w:p>
    <w:p w14:paraId="58BAD077" w14:textId="77777777" w:rsidR="00F038BD" w:rsidRPr="00F038BD" w:rsidRDefault="00F038BD" w:rsidP="00CB2D76">
      <w:pPr>
        <w:autoSpaceDE w:val="0"/>
        <w:autoSpaceDN w:val="0"/>
        <w:adjustRightInd w:val="0"/>
        <w:spacing w:after="0" w:line="240" w:lineRule="auto"/>
        <w:jc w:val="right"/>
        <w:rPr>
          <w:rFonts w:ascii="Times New Roman" w:eastAsia="Calibri" w:hAnsi="Times New Roman"/>
          <w:b/>
          <w:bCs/>
          <w:sz w:val="20"/>
          <w:szCs w:val="20"/>
        </w:rPr>
      </w:pPr>
      <w:r w:rsidRPr="00F038BD">
        <w:rPr>
          <w:rFonts w:ascii="Times New Roman" w:hAnsi="Times New Roman"/>
          <w:b/>
          <w:bCs/>
          <w:color w:val="000000"/>
          <w:sz w:val="20"/>
          <w:szCs w:val="20"/>
          <w:lang w:val="en-IN" w:eastAsia="en-IN"/>
        </w:rPr>
        <w:t>(</w:t>
      </w:r>
      <w:r w:rsidRPr="00F038BD">
        <w:rPr>
          <w:rFonts w:ascii="Times New Roman" w:eastAsia="Calibri" w:hAnsi="Times New Roman"/>
          <w:b/>
          <w:sz w:val="20"/>
          <w:szCs w:val="20"/>
        </w:rPr>
        <w:t>₹</w:t>
      </w:r>
      <w:r w:rsidRPr="00F038BD">
        <w:rPr>
          <w:rFonts w:ascii="Times New Roman" w:hAnsi="Times New Roman"/>
          <w:b/>
          <w:bCs/>
          <w:color w:val="000000"/>
          <w:sz w:val="20"/>
          <w:szCs w:val="20"/>
          <w:lang w:val="en-IN" w:eastAsia="en-IN"/>
        </w:rPr>
        <w:t xml:space="preserve"> In lakhs)</w:t>
      </w:r>
    </w:p>
    <w:tbl>
      <w:tblPr>
        <w:tblW w:w="51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7"/>
        <w:gridCol w:w="1633"/>
        <w:gridCol w:w="831"/>
        <w:gridCol w:w="921"/>
        <w:gridCol w:w="842"/>
        <w:gridCol w:w="741"/>
        <w:gridCol w:w="912"/>
        <w:gridCol w:w="1045"/>
        <w:gridCol w:w="1622"/>
      </w:tblGrid>
      <w:tr w:rsidR="00F038BD" w:rsidRPr="00F038BD" w14:paraId="444DE02A" w14:textId="77777777" w:rsidTr="00716083">
        <w:trPr>
          <w:trHeight w:val="20"/>
        </w:trPr>
        <w:tc>
          <w:tcPr>
            <w:tcW w:w="1000" w:type="pct"/>
            <w:vMerge w:val="restart"/>
            <w:tcBorders>
              <w:top w:val="single" w:sz="4" w:space="0" w:color="auto"/>
              <w:left w:val="single" w:sz="4" w:space="0" w:color="auto"/>
              <w:right w:val="single" w:sz="4" w:space="0" w:color="auto"/>
            </w:tcBorders>
            <w:shd w:val="clear" w:color="auto" w:fill="D0CECE" w:themeFill="background2" w:themeFillShade="E6"/>
            <w:noWrap/>
            <w:vAlign w:val="center"/>
            <w:hideMark/>
          </w:tcPr>
          <w:p w14:paraId="11DC59F9" w14:textId="77777777" w:rsidR="00F038BD" w:rsidRPr="00F038BD" w:rsidRDefault="00F038BD" w:rsidP="00F038BD">
            <w:pPr>
              <w:spacing w:after="0" w:line="240" w:lineRule="auto"/>
              <w:contextualSpacing/>
              <w:jc w:val="center"/>
              <w:rPr>
                <w:rFonts w:ascii="Times New Roman" w:hAnsi="Times New Roman"/>
                <w:b/>
                <w:bCs/>
                <w:color w:val="000000"/>
                <w:sz w:val="20"/>
                <w:szCs w:val="20"/>
                <w:lang w:val="en-IN" w:eastAsia="en-IN"/>
              </w:rPr>
            </w:pPr>
            <w:r w:rsidRPr="00F038BD">
              <w:rPr>
                <w:rFonts w:ascii="Times New Roman" w:hAnsi="Times New Roman"/>
                <w:b/>
                <w:bCs/>
                <w:color w:val="000000"/>
                <w:sz w:val="20"/>
                <w:szCs w:val="20"/>
                <w:lang w:val="en-IN" w:eastAsia="en-IN"/>
              </w:rPr>
              <w:t>Name of Company</w:t>
            </w:r>
          </w:p>
        </w:tc>
        <w:tc>
          <w:tcPr>
            <w:tcW w:w="764" w:type="pct"/>
            <w:vMerge w:val="restart"/>
            <w:tcBorders>
              <w:top w:val="single" w:sz="4" w:space="0" w:color="auto"/>
              <w:left w:val="single" w:sz="4" w:space="0" w:color="auto"/>
              <w:right w:val="single" w:sz="4" w:space="0" w:color="auto"/>
            </w:tcBorders>
            <w:shd w:val="clear" w:color="auto" w:fill="D0CECE" w:themeFill="background2" w:themeFillShade="E6"/>
            <w:noWrap/>
            <w:vAlign w:val="center"/>
            <w:hideMark/>
          </w:tcPr>
          <w:p w14:paraId="4D7458C8" w14:textId="77777777" w:rsidR="00F038BD" w:rsidRPr="00F038BD" w:rsidRDefault="00F038BD" w:rsidP="00F038BD">
            <w:pPr>
              <w:spacing w:after="0" w:line="240" w:lineRule="auto"/>
              <w:contextualSpacing/>
              <w:jc w:val="center"/>
              <w:rPr>
                <w:rFonts w:ascii="Times New Roman" w:hAnsi="Times New Roman"/>
                <w:b/>
                <w:bCs/>
                <w:color w:val="000000"/>
                <w:sz w:val="20"/>
                <w:szCs w:val="20"/>
                <w:lang w:val="en-IN" w:eastAsia="en-IN"/>
              </w:rPr>
            </w:pPr>
            <w:r w:rsidRPr="00F038BD">
              <w:rPr>
                <w:rFonts w:ascii="Times New Roman" w:hAnsi="Times New Roman"/>
                <w:b/>
                <w:bCs/>
                <w:color w:val="000000"/>
                <w:sz w:val="20"/>
                <w:szCs w:val="20"/>
                <w:lang w:val="en-IN" w:eastAsia="en-IN"/>
              </w:rPr>
              <w:t>Current Market Price (</w:t>
            </w:r>
            <w:r w:rsidRPr="00F038BD">
              <w:rPr>
                <w:rFonts w:ascii="Times New Roman" w:eastAsia="Calibri" w:hAnsi="Times New Roman"/>
                <w:b/>
                <w:sz w:val="20"/>
                <w:szCs w:val="20"/>
                <w:lang w:val="en-IN"/>
              </w:rPr>
              <w:t>₹</w:t>
            </w:r>
            <w:r w:rsidRPr="00F038BD">
              <w:rPr>
                <w:rFonts w:ascii="Times New Roman" w:hAnsi="Times New Roman"/>
                <w:b/>
                <w:bCs/>
                <w:color w:val="000000"/>
                <w:sz w:val="20"/>
                <w:szCs w:val="20"/>
                <w:lang w:val="en-IN" w:eastAsia="en-IN"/>
              </w:rPr>
              <w:t>)</w:t>
            </w:r>
          </w:p>
        </w:tc>
        <w:tc>
          <w:tcPr>
            <w:tcW w:w="389" w:type="pct"/>
            <w:vMerge w:val="restart"/>
            <w:tcBorders>
              <w:top w:val="single" w:sz="4" w:space="0" w:color="auto"/>
              <w:left w:val="single" w:sz="4" w:space="0" w:color="auto"/>
              <w:right w:val="single" w:sz="4" w:space="0" w:color="auto"/>
            </w:tcBorders>
            <w:shd w:val="clear" w:color="auto" w:fill="D0CECE" w:themeFill="background2" w:themeFillShade="E6"/>
            <w:noWrap/>
            <w:vAlign w:val="center"/>
            <w:hideMark/>
          </w:tcPr>
          <w:p w14:paraId="037EDAC2" w14:textId="77777777" w:rsidR="00F038BD" w:rsidRPr="00F038BD" w:rsidRDefault="00F038BD" w:rsidP="00F038BD">
            <w:pPr>
              <w:spacing w:after="0" w:line="240" w:lineRule="auto"/>
              <w:contextualSpacing/>
              <w:jc w:val="center"/>
              <w:rPr>
                <w:rFonts w:ascii="Times New Roman" w:hAnsi="Times New Roman"/>
                <w:b/>
                <w:bCs/>
                <w:color w:val="000000"/>
                <w:sz w:val="20"/>
                <w:szCs w:val="20"/>
                <w:lang w:val="en-IN" w:eastAsia="en-IN"/>
              </w:rPr>
            </w:pPr>
            <w:r w:rsidRPr="00F038BD">
              <w:rPr>
                <w:rFonts w:ascii="Times New Roman" w:hAnsi="Times New Roman"/>
                <w:b/>
                <w:bCs/>
                <w:color w:val="000000"/>
                <w:sz w:val="20"/>
                <w:szCs w:val="20"/>
                <w:lang w:val="en-IN" w:eastAsia="en-IN"/>
              </w:rPr>
              <w:t>Face Value</w:t>
            </w:r>
          </w:p>
        </w:tc>
        <w:tc>
          <w:tcPr>
            <w:tcW w:w="824"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349AFFBF" w14:textId="77777777" w:rsidR="00F038BD" w:rsidRPr="00F038BD" w:rsidRDefault="00F038BD" w:rsidP="00F038BD">
            <w:pPr>
              <w:spacing w:after="0" w:line="240" w:lineRule="auto"/>
              <w:contextualSpacing/>
              <w:jc w:val="center"/>
              <w:rPr>
                <w:rFonts w:ascii="Times New Roman" w:hAnsi="Times New Roman"/>
                <w:b/>
                <w:bCs/>
                <w:color w:val="000000"/>
                <w:sz w:val="20"/>
                <w:szCs w:val="20"/>
                <w:lang w:val="en-IN" w:eastAsia="en-IN"/>
              </w:rPr>
            </w:pPr>
            <w:r w:rsidRPr="00F038BD">
              <w:rPr>
                <w:rFonts w:ascii="Times New Roman" w:hAnsi="Times New Roman"/>
                <w:b/>
                <w:bCs/>
                <w:color w:val="000000"/>
                <w:sz w:val="20"/>
                <w:szCs w:val="20"/>
                <w:lang w:val="en-IN" w:eastAsia="en-IN"/>
              </w:rPr>
              <w:t>EPS</w:t>
            </w:r>
          </w:p>
        </w:tc>
        <w:tc>
          <w:tcPr>
            <w:tcW w:w="347" w:type="pct"/>
            <w:vMerge w:val="restart"/>
            <w:tcBorders>
              <w:top w:val="single" w:sz="4" w:space="0" w:color="auto"/>
              <w:left w:val="single" w:sz="4" w:space="0" w:color="auto"/>
              <w:right w:val="single" w:sz="4" w:space="0" w:color="auto"/>
            </w:tcBorders>
            <w:shd w:val="clear" w:color="auto" w:fill="D0CECE" w:themeFill="background2" w:themeFillShade="E6"/>
            <w:noWrap/>
            <w:vAlign w:val="center"/>
            <w:hideMark/>
          </w:tcPr>
          <w:p w14:paraId="39520FDD" w14:textId="77777777" w:rsidR="00F038BD" w:rsidRPr="00F038BD" w:rsidRDefault="00F038BD" w:rsidP="00F038BD">
            <w:pPr>
              <w:spacing w:after="0" w:line="240" w:lineRule="auto"/>
              <w:contextualSpacing/>
              <w:jc w:val="center"/>
              <w:rPr>
                <w:rFonts w:ascii="Times New Roman" w:hAnsi="Times New Roman"/>
                <w:b/>
                <w:bCs/>
                <w:color w:val="000000"/>
                <w:sz w:val="20"/>
                <w:szCs w:val="20"/>
                <w:lang w:val="en-IN" w:eastAsia="en-IN"/>
              </w:rPr>
            </w:pPr>
            <w:r w:rsidRPr="00F038BD">
              <w:rPr>
                <w:rFonts w:ascii="Times New Roman" w:hAnsi="Times New Roman"/>
                <w:b/>
                <w:bCs/>
                <w:color w:val="000000"/>
                <w:sz w:val="20"/>
                <w:szCs w:val="20"/>
                <w:lang w:val="en-IN" w:eastAsia="en-IN"/>
              </w:rPr>
              <w:t>PE</w:t>
            </w:r>
          </w:p>
        </w:tc>
        <w:tc>
          <w:tcPr>
            <w:tcW w:w="427" w:type="pct"/>
            <w:vMerge w:val="restart"/>
            <w:tcBorders>
              <w:top w:val="single" w:sz="4" w:space="0" w:color="auto"/>
              <w:left w:val="single" w:sz="4" w:space="0" w:color="auto"/>
              <w:right w:val="single" w:sz="4" w:space="0" w:color="auto"/>
            </w:tcBorders>
            <w:shd w:val="clear" w:color="auto" w:fill="D0CECE" w:themeFill="background2" w:themeFillShade="E6"/>
            <w:noWrap/>
            <w:vAlign w:val="center"/>
            <w:hideMark/>
          </w:tcPr>
          <w:p w14:paraId="1C376415" w14:textId="77777777" w:rsidR="00F038BD" w:rsidRPr="00F038BD" w:rsidRDefault="00F038BD" w:rsidP="00F038BD">
            <w:pPr>
              <w:spacing w:after="0" w:line="240" w:lineRule="auto"/>
              <w:contextualSpacing/>
              <w:jc w:val="center"/>
              <w:rPr>
                <w:rFonts w:ascii="Times New Roman" w:hAnsi="Times New Roman"/>
                <w:b/>
                <w:bCs/>
                <w:color w:val="000000"/>
                <w:sz w:val="20"/>
                <w:szCs w:val="20"/>
                <w:lang w:val="en-IN" w:eastAsia="en-IN"/>
              </w:rPr>
            </w:pPr>
            <w:r w:rsidRPr="00F038BD">
              <w:rPr>
                <w:rFonts w:ascii="Times New Roman" w:hAnsi="Times New Roman"/>
                <w:b/>
                <w:bCs/>
                <w:color w:val="000000"/>
                <w:sz w:val="20"/>
                <w:szCs w:val="20"/>
                <w:lang w:val="en-IN" w:eastAsia="en-IN"/>
              </w:rPr>
              <w:t>RoNW (%)</w:t>
            </w:r>
          </w:p>
        </w:tc>
        <w:tc>
          <w:tcPr>
            <w:tcW w:w="489" w:type="pct"/>
            <w:vMerge w:val="restart"/>
            <w:tcBorders>
              <w:top w:val="single" w:sz="4" w:space="0" w:color="auto"/>
              <w:left w:val="single" w:sz="4" w:space="0" w:color="auto"/>
              <w:right w:val="single" w:sz="4" w:space="0" w:color="auto"/>
            </w:tcBorders>
            <w:shd w:val="clear" w:color="auto" w:fill="D0CECE" w:themeFill="background2" w:themeFillShade="E6"/>
            <w:noWrap/>
            <w:vAlign w:val="center"/>
            <w:hideMark/>
          </w:tcPr>
          <w:p w14:paraId="14074875" w14:textId="77777777" w:rsidR="00F038BD" w:rsidRPr="00F038BD" w:rsidRDefault="00F038BD" w:rsidP="00F038BD">
            <w:pPr>
              <w:spacing w:after="0" w:line="240" w:lineRule="auto"/>
              <w:contextualSpacing/>
              <w:jc w:val="center"/>
              <w:rPr>
                <w:rFonts w:ascii="Times New Roman" w:hAnsi="Times New Roman"/>
                <w:b/>
                <w:bCs/>
                <w:color w:val="000000"/>
                <w:sz w:val="20"/>
                <w:szCs w:val="20"/>
                <w:lang w:val="en-IN" w:eastAsia="en-IN"/>
              </w:rPr>
            </w:pPr>
            <w:r w:rsidRPr="00F038BD">
              <w:rPr>
                <w:rFonts w:ascii="Times New Roman" w:hAnsi="Times New Roman"/>
                <w:b/>
                <w:bCs/>
                <w:color w:val="000000"/>
                <w:sz w:val="20"/>
                <w:szCs w:val="20"/>
                <w:lang w:val="en-IN" w:eastAsia="en-IN"/>
              </w:rPr>
              <w:t>Book Value (</w:t>
            </w:r>
            <w:r w:rsidRPr="00F038BD">
              <w:rPr>
                <w:rFonts w:ascii="Times New Roman" w:eastAsia="Calibri" w:hAnsi="Times New Roman"/>
                <w:b/>
                <w:sz w:val="20"/>
                <w:szCs w:val="20"/>
                <w:lang w:val="en-IN"/>
              </w:rPr>
              <w:t>₹</w:t>
            </w:r>
            <w:r w:rsidRPr="00F038BD">
              <w:rPr>
                <w:rFonts w:ascii="Times New Roman" w:hAnsi="Times New Roman"/>
                <w:b/>
                <w:bCs/>
                <w:color w:val="000000"/>
                <w:sz w:val="20"/>
                <w:szCs w:val="20"/>
                <w:lang w:val="en-IN" w:eastAsia="en-IN"/>
              </w:rPr>
              <w:t>)</w:t>
            </w:r>
          </w:p>
        </w:tc>
        <w:tc>
          <w:tcPr>
            <w:tcW w:w="760" w:type="pct"/>
            <w:vMerge w:val="restart"/>
            <w:tcBorders>
              <w:top w:val="single" w:sz="4" w:space="0" w:color="auto"/>
              <w:left w:val="single" w:sz="4" w:space="0" w:color="auto"/>
              <w:right w:val="single" w:sz="4" w:space="0" w:color="auto"/>
            </w:tcBorders>
            <w:shd w:val="clear" w:color="auto" w:fill="D0CECE" w:themeFill="background2" w:themeFillShade="E6"/>
            <w:noWrap/>
            <w:vAlign w:val="center"/>
            <w:hideMark/>
          </w:tcPr>
          <w:p w14:paraId="76736746" w14:textId="77777777" w:rsidR="00F038BD" w:rsidRPr="00F038BD" w:rsidRDefault="00F038BD" w:rsidP="00F038BD">
            <w:pPr>
              <w:spacing w:after="0" w:line="240" w:lineRule="auto"/>
              <w:contextualSpacing/>
              <w:jc w:val="center"/>
              <w:rPr>
                <w:rFonts w:ascii="Times New Roman" w:hAnsi="Times New Roman"/>
                <w:b/>
                <w:bCs/>
                <w:color w:val="000000"/>
                <w:sz w:val="20"/>
                <w:szCs w:val="20"/>
                <w:lang w:val="en-IN" w:eastAsia="en-IN"/>
              </w:rPr>
            </w:pPr>
            <w:r w:rsidRPr="00F038BD">
              <w:rPr>
                <w:rFonts w:ascii="Times New Roman" w:hAnsi="Times New Roman"/>
                <w:b/>
                <w:bCs/>
                <w:color w:val="000000"/>
                <w:sz w:val="20"/>
                <w:szCs w:val="20"/>
                <w:lang w:val="en-IN" w:eastAsia="en-IN"/>
              </w:rPr>
              <w:t>Total Income (</w:t>
            </w:r>
            <w:r w:rsidRPr="00F038BD">
              <w:rPr>
                <w:rFonts w:ascii="Times New Roman" w:eastAsia="Calibri" w:hAnsi="Times New Roman"/>
                <w:b/>
                <w:sz w:val="20"/>
                <w:szCs w:val="20"/>
                <w:lang w:val="en-IN"/>
              </w:rPr>
              <w:t>₹</w:t>
            </w:r>
            <w:r w:rsidRPr="00F038BD">
              <w:rPr>
                <w:rFonts w:ascii="Times New Roman" w:hAnsi="Times New Roman"/>
                <w:b/>
                <w:bCs/>
                <w:color w:val="000000"/>
                <w:sz w:val="20"/>
                <w:szCs w:val="20"/>
                <w:lang w:val="en-IN" w:eastAsia="en-IN"/>
              </w:rPr>
              <w:t xml:space="preserve"> In lakhs)</w:t>
            </w:r>
          </w:p>
        </w:tc>
      </w:tr>
      <w:tr w:rsidR="00F038BD" w:rsidRPr="00F038BD" w14:paraId="5966FBE7" w14:textId="77777777" w:rsidTr="00716083">
        <w:trPr>
          <w:trHeight w:val="20"/>
        </w:trPr>
        <w:tc>
          <w:tcPr>
            <w:tcW w:w="1000" w:type="pct"/>
            <w:vMerge/>
            <w:tcBorders>
              <w:left w:val="single" w:sz="4" w:space="0" w:color="auto"/>
              <w:bottom w:val="single" w:sz="4" w:space="0" w:color="auto"/>
              <w:right w:val="single" w:sz="4" w:space="0" w:color="auto"/>
            </w:tcBorders>
            <w:shd w:val="clear" w:color="auto" w:fill="D0CECE" w:themeFill="background2" w:themeFillShade="E6"/>
            <w:noWrap/>
            <w:vAlign w:val="center"/>
          </w:tcPr>
          <w:p w14:paraId="7A9D8F49" w14:textId="77777777" w:rsidR="00F038BD" w:rsidRPr="00F038BD" w:rsidRDefault="00F038BD" w:rsidP="00F038BD">
            <w:pPr>
              <w:spacing w:after="0" w:line="240" w:lineRule="auto"/>
              <w:contextualSpacing/>
              <w:jc w:val="center"/>
              <w:rPr>
                <w:rFonts w:ascii="Times New Roman" w:hAnsi="Times New Roman"/>
                <w:b/>
                <w:bCs/>
                <w:color w:val="000000"/>
                <w:sz w:val="20"/>
                <w:szCs w:val="20"/>
                <w:lang w:val="en-IN" w:eastAsia="en-IN"/>
              </w:rPr>
            </w:pPr>
          </w:p>
        </w:tc>
        <w:tc>
          <w:tcPr>
            <w:tcW w:w="764" w:type="pct"/>
            <w:vMerge/>
            <w:tcBorders>
              <w:left w:val="single" w:sz="4" w:space="0" w:color="auto"/>
              <w:bottom w:val="single" w:sz="4" w:space="0" w:color="auto"/>
              <w:right w:val="single" w:sz="4" w:space="0" w:color="auto"/>
            </w:tcBorders>
            <w:shd w:val="clear" w:color="auto" w:fill="D0CECE" w:themeFill="background2" w:themeFillShade="E6"/>
            <w:noWrap/>
            <w:vAlign w:val="center"/>
          </w:tcPr>
          <w:p w14:paraId="098ED02B" w14:textId="77777777" w:rsidR="00F038BD" w:rsidRPr="00F038BD" w:rsidRDefault="00F038BD" w:rsidP="00F038BD">
            <w:pPr>
              <w:spacing w:after="0" w:line="240" w:lineRule="auto"/>
              <w:contextualSpacing/>
              <w:jc w:val="center"/>
              <w:rPr>
                <w:rFonts w:ascii="Times New Roman" w:hAnsi="Times New Roman"/>
                <w:b/>
                <w:bCs/>
                <w:color w:val="000000"/>
                <w:sz w:val="20"/>
                <w:szCs w:val="20"/>
                <w:lang w:val="en-IN" w:eastAsia="en-IN"/>
              </w:rPr>
            </w:pPr>
          </w:p>
        </w:tc>
        <w:tc>
          <w:tcPr>
            <w:tcW w:w="389" w:type="pct"/>
            <w:vMerge/>
            <w:tcBorders>
              <w:left w:val="single" w:sz="4" w:space="0" w:color="auto"/>
              <w:bottom w:val="single" w:sz="4" w:space="0" w:color="auto"/>
              <w:right w:val="single" w:sz="4" w:space="0" w:color="auto"/>
            </w:tcBorders>
            <w:shd w:val="clear" w:color="auto" w:fill="D0CECE" w:themeFill="background2" w:themeFillShade="E6"/>
            <w:noWrap/>
            <w:vAlign w:val="center"/>
          </w:tcPr>
          <w:p w14:paraId="46D4C3C8" w14:textId="77777777" w:rsidR="00F038BD" w:rsidRPr="00F038BD" w:rsidRDefault="00F038BD" w:rsidP="00F038BD">
            <w:pPr>
              <w:spacing w:after="0" w:line="240" w:lineRule="auto"/>
              <w:contextualSpacing/>
              <w:jc w:val="center"/>
              <w:rPr>
                <w:rFonts w:ascii="Times New Roman" w:hAnsi="Times New Roman"/>
                <w:b/>
                <w:bCs/>
                <w:color w:val="000000"/>
                <w:sz w:val="20"/>
                <w:szCs w:val="20"/>
                <w:lang w:val="en-IN" w:eastAsia="en-IN"/>
              </w:rPr>
            </w:pPr>
          </w:p>
        </w:tc>
        <w:tc>
          <w:tcPr>
            <w:tcW w:w="431" w:type="pc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6B67B867" w14:textId="77777777" w:rsidR="00F038BD" w:rsidRPr="00F038BD" w:rsidRDefault="00F038BD" w:rsidP="00F038BD">
            <w:pPr>
              <w:spacing w:after="0" w:line="240" w:lineRule="auto"/>
              <w:contextualSpacing/>
              <w:jc w:val="center"/>
              <w:rPr>
                <w:rFonts w:ascii="Times New Roman" w:hAnsi="Times New Roman"/>
                <w:b/>
                <w:bCs/>
                <w:color w:val="000000"/>
                <w:sz w:val="20"/>
                <w:szCs w:val="20"/>
                <w:lang w:val="en-IN" w:eastAsia="en-IN"/>
              </w:rPr>
            </w:pPr>
            <w:r w:rsidRPr="00F038BD">
              <w:rPr>
                <w:rFonts w:ascii="Times New Roman" w:hAnsi="Times New Roman"/>
                <w:b/>
                <w:bCs/>
                <w:color w:val="000000"/>
                <w:sz w:val="20"/>
                <w:szCs w:val="20"/>
                <w:lang w:val="en-IN" w:eastAsia="en-IN"/>
              </w:rPr>
              <w:t>Basic</w:t>
            </w:r>
          </w:p>
        </w:tc>
        <w:tc>
          <w:tcPr>
            <w:tcW w:w="394"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51A4514" w14:textId="77777777" w:rsidR="00F038BD" w:rsidRPr="00F038BD" w:rsidRDefault="00F038BD" w:rsidP="00F038BD">
            <w:pPr>
              <w:spacing w:after="0" w:line="240" w:lineRule="auto"/>
              <w:ind w:left="-106"/>
              <w:contextualSpacing/>
              <w:jc w:val="right"/>
              <w:rPr>
                <w:rFonts w:ascii="Times New Roman" w:hAnsi="Times New Roman"/>
                <w:b/>
                <w:bCs/>
                <w:color w:val="000000"/>
                <w:sz w:val="20"/>
                <w:szCs w:val="20"/>
                <w:lang w:val="en-IN" w:eastAsia="en-IN"/>
              </w:rPr>
            </w:pPr>
            <w:r w:rsidRPr="00F038BD">
              <w:rPr>
                <w:rFonts w:ascii="Times New Roman" w:hAnsi="Times New Roman"/>
                <w:b/>
                <w:bCs/>
                <w:color w:val="000000"/>
                <w:sz w:val="20"/>
                <w:szCs w:val="20"/>
                <w:lang w:val="en-IN" w:eastAsia="en-IN"/>
              </w:rPr>
              <w:t>Diluted</w:t>
            </w:r>
          </w:p>
        </w:tc>
        <w:tc>
          <w:tcPr>
            <w:tcW w:w="347" w:type="pct"/>
            <w:vMerge/>
            <w:tcBorders>
              <w:left w:val="single" w:sz="4" w:space="0" w:color="auto"/>
              <w:bottom w:val="single" w:sz="4" w:space="0" w:color="auto"/>
              <w:right w:val="single" w:sz="4" w:space="0" w:color="auto"/>
            </w:tcBorders>
            <w:shd w:val="clear" w:color="auto" w:fill="D0CECE" w:themeFill="background2" w:themeFillShade="E6"/>
            <w:noWrap/>
            <w:vAlign w:val="center"/>
          </w:tcPr>
          <w:p w14:paraId="5BD8B4E7" w14:textId="77777777" w:rsidR="00F038BD" w:rsidRPr="00F038BD" w:rsidRDefault="00F038BD" w:rsidP="00F038BD">
            <w:pPr>
              <w:spacing w:after="0" w:line="240" w:lineRule="auto"/>
              <w:contextualSpacing/>
              <w:jc w:val="center"/>
              <w:rPr>
                <w:rFonts w:ascii="Times New Roman" w:hAnsi="Times New Roman"/>
                <w:b/>
                <w:bCs/>
                <w:color w:val="000000"/>
                <w:sz w:val="20"/>
                <w:szCs w:val="20"/>
                <w:lang w:val="en-IN" w:eastAsia="en-IN"/>
              </w:rPr>
            </w:pPr>
          </w:p>
        </w:tc>
        <w:tc>
          <w:tcPr>
            <w:tcW w:w="427" w:type="pct"/>
            <w:vMerge/>
            <w:tcBorders>
              <w:left w:val="single" w:sz="4" w:space="0" w:color="auto"/>
              <w:bottom w:val="single" w:sz="4" w:space="0" w:color="auto"/>
              <w:right w:val="single" w:sz="4" w:space="0" w:color="auto"/>
            </w:tcBorders>
            <w:shd w:val="clear" w:color="auto" w:fill="D0CECE" w:themeFill="background2" w:themeFillShade="E6"/>
            <w:noWrap/>
            <w:vAlign w:val="center"/>
          </w:tcPr>
          <w:p w14:paraId="23A0FB4E" w14:textId="77777777" w:rsidR="00F038BD" w:rsidRPr="00F038BD" w:rsidRDefault="00F038BD" w:rsidP="00F038BD">
            <w:pPr>
              <w:spacing w:after="0" w:line="240" w:lineRule="auto"/>
              <w:contextualSpacing/>
              <w:jc w:val="center"/>
              <w:rPr>
                <w:rFonts w:ascii="Times New Roman" w:hAnsi="Times New Roman"/>
                <w:b/>
                <w:bCs/>
                <w:color w:val="000000"/>
                <w:sz w:val="20"/>
                <w:szCs w:val="20"/>
                <w:lang w:val="en-IN" w:eastAsia="en-IN"/>
              </w:rPr>
            </w:pPr>
          </w:p>
        </w:tc>
        <w:tc>
          <w:tcPr>
            <w:tcW w:w="489" w:type="pct"/>
            <w:vMerge/>
            <w:tcBorders>
              <w:left w:val="single" w:sz="4" w:space="0" w:color="auto"/>
              <w:bottom w:val="single" w:sz="4" w:space="0" w:color="auto"/>
              <w:right w:val="single" w:sz="4" w:space="0" w:color="auto"/>
            </w:tcBorders>
            <w:shd w:val="clear" w:color="auto" w:fill="D0CECE" w:themeFill="background2" w:themeFillShade="E6"/>
            <w:noWrap/>
            <w:vAlign w:val="center"/>
          </w:tcPr>
          <w:p w14:paraId="71D59CB3" w14:textId="77777777" w:rsidR="00F038BD" w:rsidRPr="00F038BD" w:rsidRDefault="00F038BD" w:rsidP="00F038BD">
            <w:pPr>
              <w:spacing w:after="0" w:line="240" w:lineRule="auto"/>
              <w:contextualSpacing/>
              <w:jc w:val="center"/>
              <w:rPr>
                <w:rFonts w:ascii="Times New Roman" w:hAnsi="Times New Roman"/>
                <w:b/>
                <w:bCs/>
                <w:color w:val="000000"/>
                <w:sz w:val="20"/>
                <w:szCs w:val="20"/>
                <w:lang w:val="en-IN" w:eastAsia="en-IN"/>
              </w:rPr>
            </w:pPr>
          </w:p>
        </w:tc>
        <w:tc>
          <w:tcPr>
            <w:tcW w:w="760" w:type="pct"/>
            <w:vMerge/>
            <w:tcBorders>
              <w:left w:val="single" w:sz="4" w:space="0" w:color="auto"/>
              <w:bottom w:val="single" w:sz="4" w:space="0" w:color="auto"/>
              <w:right w:val="single" w:sz="4" w:space="0" w:color="auto"/>
            </w:tcBorders>
            <w:shd w:val="clear" w:color="auto" w:fill="D0CECE" w:themeFill="background2" w:themeFillShade="E6"/>
            <w:noWrap/>
            <w:vAlign w:val="center"/>
          </w:tcPr>
          <w:p w14:paraId="2AE9762A" w14:textId="77777777" w:rsidR="00F038BD" w:rsidRPr="00F038BD" w:rsidRDefault="00F038BD" w:rsidP="00F038BD">
            <w:pPr>
              <w:spacing w:after="0" w:line="240" w:lineRule="auto"/>
              <w:contextualSpacing/>
              <w:jc w:val="center"/>
              <w:rPr>
                <w:rFonts w:ascii="Times New Roman" w:hAnsi="Times New Roman"/>
                <w:b/>
                <w:bCs/>
                <w:color w:val="000000"/>
                <w:sz w:val="20"/>
                <w:szCs w:val="20"/>
                <w:lang w:val="en-IN" w:eastAsia="en-IN"/>
              </w:rPr>
            </w:pPr>
          </w:p>
        </w:tc>
      </w:tr>
      <w:tr w:rsidR="00F038BD" w:rsidRPr="00F038BD" w14:paraId="526AEA80" w14:textId="77777777" w:rsidTr="00716083">
        <w:trPr>
          <w:trHeight w:val="20"/>
        </w:trPr>
        <w:tc>
          <w:tcPr>
            <w:tcW w:w="1000" w:type="pct"/>
            <w:tcBorders>
              <w:top w:val="single" w:sz="4" w:space="0" w:color="auto"/>
              <w:left w:val="single" w:sz="4" w:space="0" w:color="auto"/>
              <w:bottom w:val="single" w:sz="4" w:space="0" w:color="auto"/>
              <w:right w:val="single" w:sz="4" w:space="0" w:color="auto"/>
            </w:tcBorders>
            <w:noWrap/>
            <w:vAlign w:val="center"/>
            <w:hideMark/>
          </w:tcPr>
          <w:p w14:paraId="5EDAB42B" w14:textId="77777777" w:rsidR="00F038BD" w:rsidRPr="00F038BD" w:rsidRDefault="00F038BD" w:rsidP="00F038BD">
            <w:pPr>
              <w:spacing w:after="0" w:line="240" w:lineRule="auto"/>
              <w:contextualSpacing/>
              <w:jc w:val="both"/>
              <w:rPr>
                <w:rFonts w:ascii="Times New Roman" w:hAnsi="Times New Roman"/>
                <w:color w:val="000000"/>
                <w:sz w:val="20"/>
                <w:szCs w:val="20"/>
                <w:lang w:val="en-IN" w:eastAsia="en-IN"/>
              </w:rPr>
            </w:pPr>
            <w:r w:rsidRPr="00F038BD">
              <w:rPr>
                <w:rFonts w:ascii="Times New Roman" w:hAnsi="Times New Roman"/>
                <w:color w:val="000000"/>
                <w:sz w:val="20"/>
                <w:szCs w:val="20"/>
                <w:lang w:val="en-IN" w:eastAsia="en-IN"/>
              </w:rPr>
              <w:t>Siyaram Recycling Industries Limited</w:t>
            </w:r>
          </w:p>
        </w:tc>
        <w:tc>
          <w:tcPr>
            <w:tcW w:w="764" w:type="pct"/>
            <w:tcBorders>
              <w:top w:val="single" w:sz="4" w:space="0" w:color="auto"/>
              <w:left w:val="single" w:sz="4" w:space="0" w:color="auto"/>
              <w:bottom w:val="single" w:sz="4" w:space="0" w:color="auto"/>
              <w:right w:val="single" w:sz="4" w:space="0" w:color="auto"/>
            </w:tcBorders>
            <w:noWrap/>
            <w:vAlign w:val="center"/>
            <w:hideMark/>
          </w:tcPr>
          <w:p w14:paraId="073EBB01" w14:textId="77777777" w:rsidR="00F038BD" w:rsidRPr="00F038BD" w:rsidRDefault="00F038BD" w:rsidP="00F038BD">
            <w:pPr>
              <w:spacing w:after="0" w:line="240" w:lineRule="auto"/>
              <w:contextualSpacing/>
              <w:jc w:val="center"/>
              <w:rPr>
                <w:rFonts w:ascii="Times New Roman" w:hAnsi="Times New Roman"/>
                <w:color w:val="000000"/>
                <w:sz w:val="20"/>
                <w:szCs w:val="20"/>
                <w:lang w:val="en-IN" w:eastAsia="en-IN"/>
              </w:rPr>
            </w:pPr>
            <w:r w:rsidRPr="00F038BD">
              <w:rPr>
                <w:rFonts w:ascii="Times New Roman" w:eastAsia="Calibri" w:hAnsi="Times New Roman"/>
                <w:sz w:val="20"/>
                <w:szCs w:val="20"/>
                <w:lang w:val="en-GB"/>
              </w:rPr>
              <w:t>[●]</w:t>
            </w:r>
          </w:p>
        </w:tc>
        <w:tc>
          <w:tcPr>
            <w:tcW w:w="389" w:type="pct"/>
            <w:tcBorders>
              <w:top w:val="single" w:sz="4" w:space="0" w:color="auto"/>
              <w:left w:val="single" w:sz="4" w:space="0" w:color="auto"/>
              <w:bottom w:val="single" w:sz="4" w:space="0" w:color="auto"/>
              <w:right w:val="single" w:sz="4" w:space="0" w:color="auto"/>
            </w:tcBorders>
            <w:noWrap/>
            <w:vAlign w:val="center"/>
            <w:hideMark/>
          </w:tcPr>
          <w:p w14:paraId="0C98BFA0" w14:textId="77777777" w:rsidR="00F038BD" w:rsidRPr="00F038BD" w:rsidRDefault="00F038BD" w:rsidP="00F038BD">
            <w:pPr>
              <w:spacing w:after="0" w:line="240" w:lineRule="auto"/>
              <w:contextualSpacing/>
              <w:jc w:val="center"/>
              <w:rPr>
                <w:rFonts w:ascii="Times New Roman" w:hAnsi="Times New Roman"/>
                <w:color w:val="000000"/>
                <w:sz w:val="20"/>
                <w:szCs w:val="20"/>
                <w:lang w:val="en-IN" w:eastAsia="en-IN"/>
              </w:rPr>
            </w:pPr>
            <w:r w:rsidRPr="00F038BD">
              <w:rPr>
                <w:rFonts w:ascii="Times New Roman" w:hAnsi="Times New Roman"/>
                <w:color w:val="000000"/>
                <w:sz w:val="20"/>
                <w:szCs w:val="20"/>
                <w:lang w:val="en-IN" w:eastAsia="en-IN"/>
              </w:rPr>
              <w:t>10</w:t>
            </w:r>
          </w:p>
        </w:tc>
        <w:tc>
          <w:tcPr>
            <w:tcW w:w="431" w:type="pct"/>
            <w:tcBorders>
              <w:top w:val="single" w:sz="4" w:space="0" w:color="auto"/>
              <w:left w:val="single" w:sz="4" w:space="0" w:color="auto"/>
              <w:bottom w:val="single" w:sz="4" w:space="0" w:color="auto"/>
              <w:right w:val="single" w:sz="4" w:space="0" w:color="auto"/>
            </w:tcBorders>
            <w:noWrap/>
            <w:vAlign w:val="center"/>
            <w:hideMark/>
          </w:tcPr>
          <w:p w14:paraId="5AFC21AF" w14:textId="77777777" w:rsidR="00F038BD" w:rsidRPr="00F038BD" w:rsidRDefault="00F038BD" w:rsidP="00F038BD">
            <w:pPr>
              <w:spacing w:after="0" w:line="240" w:lineRule="auto"/>
              <w:contextualSpacing/>
              <w:jc w:val="center"/>
              <w:rPr>
                <w:rFonts w:ascii="Times New Roman" w:hAnsi="Times New Roman"/>
                <w:color w:val="000000"/>
                <w:sz w:val="20"/>
                <w:szCs w:val="20"/>
                <w:lang w:val="en-IN" w:eastAsia="en-IN"/>
              </w:rPr>
            </w:pPr>
            <w:r w:rsidRPr="00F038BD">
              <w:rPr>
                <w:rFonts w:ascii="Times New Roman" w:hAnsi="Times New Roman"/>
                <w:color w:val="000000"/>
                <w:sz w:val="20"/>
                <w:szCs w:val="20"/>
                <w:lang w:val="en-IN" w:eastAsia="en-IN"/>
              </w:rPr>
              <w:t>5.54</w:t>
            </w:r>
          </w:p>
        </w:tc>
        <w:tc>
          <w:tcPr>
            <w:tcW w:w="394" w:type="pct"/>
            <w:tcBorders>
              <w:top w:val="single" w:sz="4" w:space="0" w:color="auto"/>
              <w:left w:val="single" w:sz="4" w:space="0" w:color="auto"/>
              <w:bottom w:val="single" w:sz="4" w:space="0" w:color="auto"/>
              <w:right w:val="single" w:sz="4" w:space="0" w:color="auto"/>
            </w:tcBorders>
            <w:vAlign w:val="center"/>
          </w:tcPr>
          <w:p w14:paraId="15A51822" w14:textId="77777777" w:rsidR="00F038BD" w:rsidRPr="00F038BD" w:rsidRDefault="00F038BD" w:rsidP="00F038BD">
            <w:pPr>
              <w:spacing w:after="0" w:line="240" w:lineRule="auto"/>
              <w:contextualSpacing/>
              <w:jc w:val="center"/>
              <w:rPr>
                <w:rFonts w:ascii="Times New Roman" w:eastAsia="Calibri" w:hAnsi="Times New Roman"/>
                <w:sz w:val="20"/>
                <w:szCs w:val="20"/>
                <w:lang w:val="en-GB"/>
              </w:rPr>
            </w:pPr>
            <w:r w:rsidRPr="00F038BD">
              <w:rPr>
                <w:rFonts w:ascii="Times New Roman" w:eastAsia="Calibri" w:hAnsi="Times New Roman"/>
                <w:sz w:val="20"/>
                <w:szCs w:val="20"/>
                <w:lang w:val="en-GB"/>
              </w:rPr>
              <w:t>5.54</w:t>
            </w:r>
          </w:p>
        </w:tc>
        <w:tc>
          <w:tcPr>
            <w:tcW w:w="347" w:type="pct"/>
            <w:tcBorders>
              <w:top w:val="single" w:sz="4" w:space="0" w:color="auto"/>
              <w:left w:val="single" w:sz="4" w:space="0" w:color="auto"/>
              <w:bottom w:val="single" w:sz="4" w:space="0" w:color="auto"/>
              <w:right w:val="single" w:sz="4" w:space="0" w:color="auto"/>
            </w:tcBorders>
            <w:noWrap/>
            <w:vAlign w:val="center"/>
          </w:tcPr>
          <w:p w14:paraId="799B96DB" w14:textId="77777777" w:rsidR="00F038BD" w:rsidRPr="00F038BD" w:rsidRDefault="00F038BD" w:rsidP="00F038BD">
            <w:pPr>
              <w:spacing w:after="0" w:line="240" w:lineRule="auto"/>
              <w:contextualSpacing/>
              <w:jc w:val="center"/>
              <w:rPr>
                <w:rFonts w:ascii="Times New Roman" w:hAnsi="Times New Roman"/>
                <w:color w:val="000000"/>
                <w:sz w:val="20"/>
                <w:szCs w:val="20"/>
                <w:highlight w:val="yellow"/>
                <w:lang w:val="en-IN" w:eastAsia="en-IN"/>
              </w:rPr>
            </w:pPr>
            <w:r w:rsidRPr="00F038BD">
              <w:rPr>
                <w:rFonts w:ascii="Times New Roman" w:eastAsia="Calibri" w:hAnsi="Times New Roman"/>
                <w:sz w:val="20"/>
                <w:szCs w:val="20"/>
                <w:lang w:val="en-GB"/>
              </w:rPr>
              <w:t>[●]</w:t>
            </w:r>
          </w:p>
        </w:tc>
        <w:tc>
          <w:tcPr>
            <w:tcW w:w="427" w:type="pct"/>
            <w:tcBorders>
              <w:top w:val="single" w:sz="4" w:space="0" w:color="auto"/>
              <w:left w:val="single" w:sz="4" w:space="0" w:color="auto"/>
              <w:bottom w:val="single" w:sz="4" w:space="0" w:color="auto"/>
              <w:right w:val="single" w:sz="4" w:space="0" w:color="auto"/>
            </w:tcBorders>
            <w:noWrap/>
            <w:vAlign w:val="center"/>
            <w:hideMark/>
          </w:tcPr>
          <w:p w14:paraId="60F74CD6" w14:textId="77777777" w:rsidR="00F038BD" w:rsidRPr="00F038BD" w:rsidRDefault="00F038BD" w:rsidP="00F038BD">
            <w:pPr>
              <w:spacing w:after="0" w:line="240" w:lineRule="auto"/>
              <w:contextualSpacing/>
              <w:jc w:val="center"/>
              <w:rPr>
                <w:rFonts w:ascii="Times New Roman" w:hAnsi="Times New Roman"/>
                <w:color w:val="000000"/>
                <w:sz w:val="20"/>
                <w:szCs w:val="20"/>
                <w:highlight w:val="yellow"/>
                <w:lang w:val="en-IN" w:eastAsia="en-IN"/>
              </w:rPr>
            </w:pPr>
            <w:r w:rsidRPr="00F038BD">
              <w:rPr>
                <w:rFonts w:ascii="Times New Roman" w:hAnsi="Times New Roman"/>
                <w:color w:val="000000"/>
                <w:sz w:val="20"/>
                <w:szCs w:val="20"/>
                <w:lang w:val="en-IN" w:bidi="en-US"/>
              </w:rPr>
              <w:t>16.49%</w:t>
            </w:r>
          </w:p>
        </w:tc>
        <w:tc>
          <w:tcPr>
            <w:tcW w:w="489" w:type="pct"/>
            <w:tcBorders>
              <w:top w:val="single" w:sz="4" w:space="0" w:color="auto"/>
              <w:left w:val="single" w:sz="4" w:space="0" w:color="auto"/>
              <w:bottom w:val="single" w:sz="4" w:space="0" w:color="auto"/>
              <w:right w:val="single" w:sz="4" w:space="0" w:color="auto"/>
            </w:tcBorders>
            <w:noWrap/>
            <w:vAlign w:val="center"/>
            <w:hideMark/>
          </w:tcPr>
          <w:p w14:paraId="0A4BA28F" w14:textId="77777777" w:rsidR="00F038BD" w:rsidRPr="00F038BD" w:rsidRDefault="00F038BD" w:rsidP="00F038BD">
            <w:pPr>
              <w:spacing w:after="0" w:line="240" w:lineRule="auto"/>
              <w:contextualSpacing/>
              <w:jc w:val="center"/>
              <w:rPr>
                <w:rFonts w:ascii="Times New Roman" w:hAnsi="Times New Roman"/>
                <w:color w:val="000000"/>
                <w:sz w:val="20"/>
                <w:szCs w:val="20"/>
                <w:highlight w:val="yellow"/>
                <w:lang w:val="en-IN" w:eastAsia="en-IN"/>
              </w:rPr>
            </w:pPr>
            <w:r w:rsidRPr="00F038BD">
              <w:rPr>
                <w:rFonts w:ascii="Times New Roman" w:hAnsi="Times New Roman"/>
                <w:color w:val="000000"/>
                <w:sz w:val="20"/>
                <w:szCs w:val="20"/>
                <w:lang w:val="en-IN" w:eastAsia="en-IN"/>
              </w:rPr>
              <w:t>34.12</w:t>
            </w:r>
          </w:p>
        </w:tc>
        <w:tc>
          <w:tcPr>
            <w:tcW w:w="760" w:type="pct"/>
            <w:tcBorders>
              <w:top w:val="single" w:sz="4" w:space="0" w:color="auto"/>
              <w:left w:val="single" w:sz="4" w:space="0" w:color="auto"/>
              <w:bottom w:val="single" w:sz="4" w:space="0" w:color="auto"/>
              <w:right w:val="single" w:sz="4" w:space="0" w:color="auto"/>
            </w:tcBorders>
            <w:noWrap/>
            <w:vAlign w:val="center"/>
            <w:hideMark/>
          </w:tcPr>
          <w:p w14:paraId="12A8023F" w14:textId="77777777" w:rsidR="00F038BD" w:rsidRPr="00F038BD" w:rsidRDefault="00F038BD" w:rsidP="00F038BD">
            <w:pPr>
              <w:spacing w:after="0" w:line="240" w:lineRule="auto"/>
              <w:contextualSpacing/>
              <w:jc w:val="center"/>
              <w:rPr>
                <w:rFonts w:ascii="Times New Roman" w:hAnsi="Times New Roman"/>
                <w:color w:val="000000"/>
                <w:sz w:val="20"/>
                <w:szCs w:val="20"/>
                <w:highlight w:val="yellow"/>
                <w:lang w:val="en-IN" w:eastAsia="en-IN"/>
              </w:rPr>
            </w:pPr>
            <w:r w:rsidRPr="00F038BD">
              <w:rPr>
                <w:rFonts w:ascii="Times New Roman" w:hAnsi="Times New Roman"/>
                <w:color w:val="000000"/>
                <w:sz w:val="20"/>
                <w:szCs w:val="20"/>
                <w:lang w:val="en-IN" w:eastAsia="en-IN"/>
              </w:rPr>
              <w:t>49,785.78</w:t>
            </w:r>
          </w:p>
        </w:tc>
      </w:tr>
      <w:tr w:rsidR="00F038BD" w:rsidRPr="00F038BD" w14:paraId="626A996F" w14:textId="77777777" w:rsidTr="00716083">
        <w:trPr>
          <w:trHeight w:val="20"/>
        </w:trPr>
        <w:tc>
          <w:tcPr>
            <w:tcW w:w="1000" w:type="pct"/>
            <w:tcBorders>
              <w:top w:val="single" w:sz="4" w:space="0" w:color="auto"/>
              <w:left w:val="single" w:sz="4" w:space="0" w:color="auto"/>
              <w:bottom w:val="single" w:sz="4" w:space="0" w:color="auto"/>
              <w:right w:val="single" w:sz="4" w:space="0" w:color="auto"/>
            </w:tcBorders>
            <w:noWrap/>
            <w:vAlign w:val="center"/>
            <w:hideMark/>
          </w:tcPr>
          <w:p w14:paraId="6AB31281" w14:textId="77777777" w:rsidR="00F038BD" w:rsidRPr="00F038BD" w:rsidRDefault="00F038BD" w:rsidP="00F038BD">
            <w:pPr>
              <w:spacing w:after="0" w:line="240" w:lineRule="auto"/>
              <w:contextualSpacing/>
              <w:rPr>
                <w:rFonts w:ascii="Times New Roman" w:hAnsi="Times New Roman"/>
                <w:b/>
                <w:color w:val="000000"/>
                <w:sz w:val="20"/>
                <w:szCs w:val="20"/>
                <w:lang w:val="en-IN" w:eastAsia="en-IN"/>
              </w:rPr>
            </w:pPr>
            <w:r w:rsidRPr="00F038BD">
              <w:rPr>
                <w:rFonts w:ascii="Times New Roman" w:hAnsi="Times New Roman"/>
                <w:b/>
                <w:color w:val="000000"/>
                <w:sz w:val="20"/>
                <w:szCs w:val="20"/>
                <w:lang w:val="en-IN" w:eastAsia="en-IN"/>
              </w:rPr>
              <w:t>Peer Group</w:t>
            </w:r>
          </w:p>
        </w:tc>
        <w:tc>
          <w:tcPr>
            <w:tcW w:w="764" w:type="pct"/>
            <w:tcBorders>
              <w:top w:val="single" w:sz="4" w:space="0" w:color="auto"/>
              <w:left w:val="single" w:sz="4" w:space="0" w:color="auto"/>
              <w:bottom w:val="single" w:sz="4" w:space="0" w:color="auto"/>
              <w:right w:val="single" w:sz="4" w:space="0" w:color="auto"/>
            </w:tcBorders>
            <w:noWrap/>
            <w:vAlign w:val="center"/>
          </w:tcPr>
          <w:p w14:paraId="72D9CF2E" w14:textId="77777777" w:rsidR="00F038BD" w:rsidRPr="00F038BD" w:rsidRDefault="00F038BD" w:rsidP="00F038BD">
            <w:pPr>
              <w:spacing w:after="0" w:line="240" w:lineRule="auto"/>
              <w:contextualSpacing/>
              <w:jc w:val="center"/>
              <w:rPr>
                <w:rFonts w:ascii="Times New Roman" w:hAnsi="Times New Roman"/>
                <w:color w:val="000000"/>
                <w:sz w:val="20"/>
                <w:szCs w:val="20"/>
                <w:lang w:val="en-IN" w:eastAsia="en-IN"/>
              </w:rPr>
            </w:pPr>
          </w:p>
        </w:tc>
        <w:tc>
          <w:tcPr>
            <w:tcW w:w="389" w:type="pct"/>
            <w:tcBorders>
              <w:top w:val="single" w:sz="4" w:space="0" w:color="auto"/>
              <w:left w:val="single" w:sz="4" w:space="0" w:color="auto"/>
              <w:bottom w:val="single" w:sz="4" w:space="0" w:color="auto"/>
              <w:right w:val="single" w:sz="4" w:space="0" w:color="auto"/>
            </w:tcBorders>
            <w:noWrap/>
            <w:vAlign w:val="center"/>
          </w:tcPr>
          <w:p w14:paraId="28EDFC44" w14:textId="77777777" w:rsidR="00F038BD" w:rsidRPr="00F038BD" w:rsidRDefault="00F038BD" w:rsidP="00F038BD">
            <w:pPr>
              <w:spacing w:after="0" w:line="240" w:lineRule="auto"/>
              <w:contextualSpacing/>
              <w:jc w:val="center"/>
              <w:rPr>
                <w:rFonts w:ascii="Times New Roman" w:hAnsi="Times New Roman"/>
                <w:color w:val="000000"/>
                <w:sz w:val="20"/>
                <w:szCs w:val="20"/>
                <w:lang w:val="en-IN" w:eastAsia="en-IN"/>
              </w:rPr>
            </w:pPr>
          </w:p>
        </w:tc>
        <w:tc>
          <w:tcPr>
            <w:tcW w:w="431" w:type="pct"/>
            <w:tcBorders>
              <w:top w:val="single" w:sz="4" w:space="0" w:color="auto"/>
              <w:left w:val="single" w:sz="4" w:space="0" w:color="auto"/>
              <w:bottom w:val="single" w:sz="4" w:space="0" w:color="auto"/>
              <w:right w:val="single" w:sz="4" w:space="0" w:color="auto"/>
            </w:tcBorders>
            <w:noWrap/>
            <w:vAlign w:val="center"/>
          </w:tcPr>
          <w:p w14:paraId="4CF38D8D" w14:textId="77777777" w:rsidR="00F038BD" w:rsidRPr="00F038BD" w:rsidRDefault="00F038BD" w:rsidP="00F038BD">
            <w:pPr>
              <w:spacing w:after="0" w:line="240" w:lineRule="auto"/>
              <w:contextualSpacing/>
              <w:jc w:val="center"/>
              <w:rPr>
                <w:rFonts w:ascii="Times New Roman" w:hAnsi="Times New Roman"/>
                <w:color w:val="000000"/>
                <w:sz w:val="20"/>
                <w:szCs w:val="20"/>
                <w:highlight w:val="yellow"/>
                <w:lang w:val="en-IN" w:eastAsia="en-IN"/>
              </w:rPr>
            </w:pPr>
          </w:p>
        </w:tc>
        <w:tc>
          <w:tcPr>
            <w:tcW w:w="394" w:type="pct"/>
            <w:tcBorders>
              <w:top w:val="single" w:sz="4" w:space="0" w:color="auto"/>
              <w:left w:val="single" w:sz="4" w:space="0" w:color="auto"/>
              <w:bottom w:val="single" w:sz="4" w:space="0" w:color="auto"/>
              <w:right w:val="single" w:sz="4" w:space="0" w:color="auto"/>
            </w:tcBorders>
            <w:vAlign w:val="center"/>
          </w:tcPr>
          <w:p w14:paraId="368A33B0" w14:textId="77777777" w:rsidR="00F038BD" w:rsidRPr="00F038BD" w:rsidRDefault="00F038BD" w:rsidP="00F038BD">
            <w:pPr>
              <w:spacing w:after="0" w:line="240" w:lineRule="auto"/>
              <w:contextualSpacing/>
              <w:jc w:val="center"/>
              <w:rPr>
                <w:rFonts w:ascii="Times New Roman" w:hAnsi="Times New Roman"/>
                <w:color w:val="000000"/>
                <w:sz w:val="20"/>
                <w:szCs w:val="20"/>
                <w:highlight w:val="yellow"/>
                <w:lang w:val="en-IN" w:eastAsia="en-IN"/>
              </w:rPr>
            </w:pPr>
          </w:p>
        </w:tc>
        <w:tc>
          <w:tcPr>
            <w:tcW w:w="347" w:type="pct"/>
            <w:tcBorders>
              <w:top w:val="single" w:sz="4" w:space="0" w:color="auto"/>
              <w:left w:val="single" w:sz="4" w:space="0" w:color="auto"/>
              <w:bottom w:val="single" w:sz="4" w:space="0" w:color="auto"/>
              <w:right w:val="single" w:sz="4" w:space="0" w:color="auto"/>
            </w:tcBorders>
            <w:noWrap/>
            <w:vAlign w:val="center"/>
          </w:tcPr>
          <w:p w14:paraId="6EEDBC21" w14:textId="77777777" w:rsidR="00F038BD" w:rsidRPr="00F038BD" w:rsidRDefault="00F038BD" w:rsidP="00F038BD">
            <w:pPr>
              <w:spacing w:after="0" w:line="240" w:lineRule="auto"/>
              <w:contextualSpacing/>
              <w:jc w:val="center"/>
              <w:rPr>
                <w:rFonts w:ascii="Times New Roman" w:hAnsi="Times New Roman"/>
                <w:color w:val="000000"/>
                <w:sz w:val="20"/>
                <w:szCs w:val="20"/>
                <w:highlight w:val="yellow"/>
                <w:lang w:val="en-IN" w:eastAsia="en-IN"/>
              </w:rPr>
            </w:pPr>
          </w:p>
        </w:tc>
        <w:tc>
          <w:tcPr>
            <w:tcW w:w="427" w:type="pct"/>
            <w:tcBorders>
              <w:top w:val="single" w:sz="4" w:space="0" w:color="auto"/>
              <w:left w:val="single" w:sz="4" w:space="0" w:color="auto"/>
              <w:bottom w:val="single" w:sz="4" w:space="0" w:color="auto"/>
              <w:right w:val="single" w:sz="4" w:space="0" w:color="auto"/>
            </w:tcBorders>
            <w:noWrap/>
            <w:vAlign w:val="center"/>
          </w:tcPr>
          <w:p w14:paraId="31572BFC" w14:textId="77777777" w:rsidR="00F038BD" w:rsidRPr="00F038BD" w:rsidRDefault="00F038BD" w:rsidP="00F038BD">
            <w:pPr>
              <w:spacing w:after="0" w:line="240" w:lineRule="auto"/>
              <w:contextualSpacing/>
              <w:jc w:val="center"/>
              <w:rPr>
                <w:rFonts w:ascii="Times New Roman" w:hAnsi="Times New Roman"/>
                <w:color w:val="000000"/>
                <w:sz w:val="20"/>
                <w:szCs w:val="20"/>
                <w:highlight w:val="yellow"/>
                <w:lang w:val="en-IN" w:eastAsia="en-IN"/>
              </w:rPr>
            </w:pPr>
          </w:p>
        </w:tc>
        <w:tc>
          <w:tcPr>
            <w:tcW w:w="489" w:type="pct"/>
            <w:tcBorders>
              <w:top w:val="single" w:sz="4" w:space="0" w:color="auto"/>
              <w:left w:val="single" w:sz="4" w:space="0" w:color="auto"/>
              <w:bottom w:val="single" w:sz="4" w:space="0" w:color="auto"/>
              <w:right w:val="single" w:sz="4" w:space="0" w:color="auto"/>
            </w:tcBorders>
            <w:noWrap/>
            <w:vAlign w:val="center"/>
          </w:tcPr>
          <w:p w14:paraId="783F2EE5" w14:textId="77777777" w:rsidR="00F038BD" w:rsidRPr="00F038BD" w:rsidRDefault="00F038BD" w:rsidP="00F038BD">
            <w:pPr>
              <w:spacing w:after="0" w:line="240" w:lineRule="auto"/>
              <w:contextualSpacing/>
              <w:jc w:val="center"/>
              <w:rPr>
                <w:rFonts w:ascii="Times New Roman" w:hAnsi="Times New Roman"/>
                <w:color w:val="000000"/>
                <w:sz w:val="20"/>
                <w:szCs w:val="20"/>
                <w:highlight w:val="yellow"/>
                <w:lang w:val="en-IN" w:eastAsia="en-IN"/>
              </w:rPr>
            </w:pPr>
          </w:p>
        </w:tc>
        <w:tc>
          <w:tcPr>
            <w:tcW w:w="760" w:type="pct"/>
            <w:tcBorders>
              <w:top w:val="single" w:sz="4" w:space="0" w:color="auto"/>
              <w:left w:val="single" w:sz="4" w:space="0" w:color="auto"/>
              <w:bottom w:val="single" w:sz="4" w:space="0" w:color="auto"/>
              <w:right w:val="single" w:sz="4" w:space="0" w:color="auto"/>
            </w:tcBorders>
            <w:noWrap/>
            <w:vAlign w:val="center"/>
          </w:tcPr>
          <w:p w14:paraId="2AF70AEB" w14:textId="77777777" w:rsidR="00F038BD" w:rsidRPr="00F038BD" w:rsidRDefault="00F038BD" w:rsidP="00F038BD">
            <w:pPr>
              <w:spacing w:after="0" w:line="240" w:lineRule="auto"/>
              <w:contextualSpacing/>
              <w:jc w:val="center"/>
              <w:rPr>
                <w:rFonts w:ascii="Times New Roman" w:hAnsi="Times New Roman"/>
                <w:color w:val="000000"/>
                <w:sz w:val="20"/>
                <w:szCs w:val="20"/>
                <w:highlight w:val="yellow"/>
                <w:lang w:val="en-IN" w:eastAsia="en-IN"/>
              </w:rPr>
            </w:pPr>
          </w:p>
        </w:tc>
      </w:tr>
      <w:tr w:rsidR="00F038BD" w:rsidRPr="00F038BD" w14:paraId="1FF9B6DB" w14:textId="77777777" w:rsidTr="00716083">
        <w:trPr>
          <w:trHeight w:val="20"/>
        </w:trPr>
        <w:tc>
          <w:tcPr>
            <w:tcW w:w="1000" w:type="pct"/>
            <w:tcBorders>
              <w:top w:val="single" w:sz="4" w:space="0" w:color="auto"/>
              <w:left w:val="single" w:sz="4" w:space="0" w:color="auto"/>
              <w:bottom w:val="single" w:sz="4" w:space="0" w:color="auto"/>
              <w:right w:val="single" w:sz="4" w:space="0" w:color="auto"/>
            </w:tcBorders>
            <w:noWrap/>
            <w:vAlign w:val="center"/>
            <w:hideMark/>
          </w:tcPr>
          <w:p w14:paraId="2E8D1CC7" w14:textId="77777777" w:rsidR="00F038BD" w:rsidRPr="00F038BD" w:rsidRDefault="00F038BD" w:rsidP="00F038BD">
            <w:pPr>
              <w:spacing w:after="0" w:line="240" w:lineRule="auto"/>
              <w:contextualSpacing/>
              <w:jc w:val="both"/>
              <w:rPr>
                <w:rFonts w:ascii="Times New Roman" w:hAnsi="Times New Roman"/>
                <w:color w:val="000000"/>
                <w:sz w:val="20"/>
                <w:szCs w:val="20"/>
                <w:lang w:val="en-IN" w:eastAsia="en-IN"/>
              </w:rPr>
            </w:pPr>
            <w:r w:rsidRPr="00F038BD">
              <w:rPr>
                <w:rFonts w:ascii="Times New Roman" w:hAnsi="Times New Roman"/>
                <w:sz w:val="20"/>
                <w:szCs w:val="20"/>
                <w:lang w:val="en-GB"/>
              </w:rPr>
              <w:t xml:space="preserve">Sprayking Agro Equipment Limited </w:t>
            </w:r>
            <w:r w:rsidRPr="00F038BD">
              <w:rPr>
                <w:rFonts w:ascii="Times New Roman" w:hAnsi="Times New Roman"/>
                <w:sz w:val="20"/>
                <w:szCs w:val="20"/>
                <w:vertAlign w:val="superscript"/>
                <w:lang w:val="en-GB"/>
              </w:rPr>
              <w:t>(i)</w:t>
            </w:r>
          </w:p>
        </w:tc>
        <w:tc>
          <w:tcPr>
            <w:tcW w:w="764" w:type="pct"/>
            <w:tcBorders>
              <w:top w:val="single" w:sz="4" w:space="0" w:color="auto"/>
              <w:left w:val="single" w:sz="4" w:space="0" w:color="auto"/>
              <w:bottom w:val="single" w:sz="4" w:space="0" w:color="auto"/>
              <w:right w:val="single" w:sz="4" w:space="0" w:color="auto"/>
            </w:tcBorders>
            <w:noWrap/>
            <w:vAlign w:val="center"/>
            <w:hideMark/>
          </w:tcPr>
          <w:p w14:paraId="7695D5E2" w14:textId="5DA7D6C3" w:rsidR="00F038BD" w:rsidRPr="00523CA4" w:rsidRDefault="00523CA4" w:rsidP="00523CA4">
            <w:pPr>
              <w:spacing w:after="0" w:line="240" w:lineRule="auto"/>
              <w:contextualSpacing/>
              <w:jc w:val="center"/>
              <w:rPr>
                <w:rFonts w:ascii="Times New Roman" w:hAnsi="Times New Roman"/>
                <w:color w:val="000000"/>
                <w:sz w:val="20"/>
                <w:szCs w:val="20"/>
                <w:lang w:val="en-IN" w:eastAsia="en-IN"/>
              </w:rPr>
            </w:pPr>
            <w:r w:rsidRPr="00523CA4">
              <w:rPr>
                <w:rFonts w:ascii="Times New Roman" w:hAnsi="Times New Roman"/>
                <w:color w:val="000000"/>
                <w:sz w:val="20"/>
                <w:szCs w:val="20"/>
                <w:lang w:val="en-IN" w:eastAsia="en-IN"/>
              </w:rPr>
              <w:t>184.40</w:t>
            </w:r>
          </w:p>
        </w:tc>
        <w:tc>
          <w:tcPr>
            <w:tcW w:w="389" w:type="pct"/>
            <w:tcBorders>
              <w:top w:val="single" w:sz="4" w:space="0" w:color="auto"/>
              <w:left w:val="single" w:sz="4" w:space="0" w:color="auto"/>
              <w:bottom w:val="single" w:sz="4" w:space="0" w:color="auto"/>
              <w:right w:val="single" w:sz="4" w:space="0" w:color="auto"/>
            </w:tcBorders>
            <w:noWrap/>
            <w:vAlign w:val="center"/>
            <w:hideMark/>
          </w:tcPr>
          <w:p w14:paraId="6D3B25E7" w14:textId="77777777" w:rsidR="00F038BD" w:rsidRPr="00523CA4" w:rsidRDefault="00F038BD" w:rsidP="00523CA4">
            <w:pPr>
              <w:spacing w:after="0" w:line="240" w:lineRule="auto"/>
              <w:contextualSpacing/>
              <w:jc w:val="center"/>
              <w:rPr>
                <w:rFonts w:ascii="Times New Roman" w:hAnsi="Times New Roman"/>
                <w:color w:val="000000"/>
                <w:sz w:val="20"/>
                <w:szCs w:val="20"/>
                <w:lang w:val="en-IN" w:eastAsia="en-IN"/>
              </w:rPr>
            </w:pPr>
            <w:r w:rsidRPr="00523CA4">
              <w:rPr>
                <w:rFonts w:ascii="Times New Roman" w:hAnsi="Times New Roman"/>
                <w:color w:val="000000"/>
                <w:sz w:val="20"/>
                <w:szCs w:val="20"/>
                <w:lang w:val="en-IN" w:eastAsia="en-IN"/>
              </w:rPr>
              <w:t>10.00</w:t>
            </w:r>
          </w:p>
        </w:tc>
        <w:tc>
          <w:tcPr>
            <w:tcW w:w="431" w:type="pct"/>
            <w:tcBorders>
              <w:top w:val="single" w:sz="4" w:space="0" w:color="auto"/>
              <w:left w:val="single" w:sz="4" w:space="0" w:color="auto"/>
              <w:bottom w:val="single" w:sz="4" w:space="0" w:color="auto"/>
              <w:right w:val="single" w:sz="4" w:space="0" w:color="auto"/>
            </w:tcBorders>
            <w:noWrap/>
            <w:vAlign w:val="center"/>
            <w:hideMark/>
          </w:tcPr>
          <w:p w14:paraId="1129F0DA" w14:textId="77777777" w:rsidR="00F038BD" w:rsidRPr="00523CA4" w:rsidRDefault="00F038BD" w:rsidP="00523CA4">
            <w:pPr>
              <w:spacing w:after="0" w:line="240" w:lineRule="auto"/>
              <w:contextualSpacing/>
              <w:jc w:val="center"/>
              <w:rPr>
                <w:rFonts w:ascii="Times New Roman" w:hAnsi="Times New Roman"/>
                <w:color w:val="000000"/>
                <w:sz w:val="20"/>
                <w:szCs w:val="20"/>
                <w:lang w:val="en-IN" w:eastAsia="en-IN"/>
              </w:rPr>
            </w:pPr>
            <w:r w:rsidRPr="00523CA4">
              <w:rPr>
                <w:rFonts w:ascii="Times New Roman" w:hAnsi="Times New Roman"/>
                <w:color w:val="000000"/>
                <w:sz w:val="20"/>
                <w:szCs w:val="20"/>
                <w:lang w:val="en-IN" w:eastAsia="en-IN"/>
              </w:rPr>
              <w:t>4.24</w:t>
            </w:r>
          </w:p>
        </w:tc>
        <w:tc>
          <w:tcPr>
            <w:tcW w:w="394" w:type="pct"/>
            <w:tcBorders>
              <w:top w:val="single" w:sz="4" w:space="0" w:color="auto"/>
              <w:left w:val="single" w:sz="4" w:space="0" w:color="auto"/>
              <w:bottom w:val="single" w:sz="4" w:space="0" w:color="auto"/>
              <w:right w:val="single" w:sz="4" w:space="0" w:color="auto"/>
            </w:tcBorders>
            <w:vAlign w:val="center"/>
          </w:tcPr>
          <w:p w14:paraId="11099E42" w14:textId="77777777" w:rsidR="00F038BD" w:rsidRPr="00523CA4" w:rsidRDefault="00F038BD" w:rsidP="00523CA4">
            <w:pPr>
              <w:spacing w:after="0" w:line="240" w:lineRule="auto"/>
              <w:contextualSpacing/>
              <w:jc w:val="center"/>
              <w:rPr>
                <w:rFonts w:ascii="Times New Roman" w:hAnsi="Times New Roman"/>
                <w:color w:val="000000"/>
                <w:sz w:val="20"/>
                <w:szCs w:val="20"/>
                <w:lang w:val="en-IN" w:eastAsia="en-IN"/>
              </w:rPr>
            </w:pPr>
            <w:r w:rsidRPr="00523CA4">
              <w:rPr>
                <w:rFonts w:ascii="Times New Roman" w:hAnsi="Times New Roman"/>
                <w:color w:val="000000"/>
                <w:sz w:val="20"/>
                <w:szCs w:val="20"/>
                <w:lang w:val="en-IN" w:eastAsia="en-IN"/>
              </w:rPr>
              <w:t>4.24</w:t>
            </w:r>
          </w:p>
        </w:tc>
        <w:tc>
          <w:tcPr>
            <w:tcW w:w="347" w:type="pct"/>
            <w:tcBorders>
              <w:top w:val="single" w:sz="4" w:space="0" w:color="auto"/>
              <w:left w:val="single" w:sz="4" w:space="0" w:color="auto"/>
              <w:bottom w:val="single" w:sz="4" w:space="0" w:color="auto"/>
              <w:right w:val="single" w:sz="4" w:space="0" w:color="auto"/>
            </w:tcBorders>
            <w:noWrap/>
            <w:vAlign w:val="center"/>
            <w:hideMark/>
          </w:tcPr>
          <w:p w14:paraId="39091342" w14:textId="4D62624C" w:rsidR="00F038BD" w:rsidRPr="00523CA4" w:rsidRDefault="00523CA4" w:rsidP="00523CA4">
            <w:pPr>
              <w:spacing w:after="0" w:line="240" w:lineRule="auto"/>
              <w:contextualSpacing/>
              <w:jc w:val="center"/>
              <w:rPr>
                <w:rFonts w:ascii="Times New Roman" w:hAnsi="Times New Roman"/>
                <w:color w:val="000000"/>
                <w:sz w:val="20"/>
                <w:szCs w:val="20"/>
                <w:lang w:val="en-IN" w:eastAsia="en-IN"/>
              </w:rPr>
            </w:pPr>
            <w:r w:rsidRPr="00523CA4">
              <w:rPr>
                <w:rFonts w:ascii="Times New Roman" w:hAnsi="Times New Roman"/>
                <w:color w:val="000000"/>
                <w:sz w:val="20"/>
                <w:szCs w:val="20"/>
                <w:lang w:val="en-IN" w:eastAsia="en-IN"/>
              </w:rPr>
              <w:t>43.49</w:t>
            </w:r>
          </w:p>
        </w:tc>
        <w:tc>
          <w:tcPr>
            <w:tcW w:w="427" w:type="pct"/>
            <w:tcBorders>
              <w:top w:val="single" w:sz="4" w:space="0" w:color="auto"/>
              <w:left w:val="single" w:sz="4" w:space="0" w:color="auto"/>
              <w:bottom w:val="single" w:sz="4" w:space="0" w:color="auto"/>
              <w:right w:val="single" w:sz="4" w:space="0" w:color="auto"/>
            </w:tcBorders>
            <w:noWrap/>
            <w:vAlign w:val="center"/>
            <w:hideMark/>
          </w:tcPr>
          <w:p w14:paraId="2C34972E" w14:textId="77777777" w:rsidR="00F038BD" w:rsidRPr="00523CA4" w:rsidRDefault="00F038BD" w:rsidP="00523CA4">
            <w:pPr>
              <w:spacing w:after="0" w:line="240" w:lineRule="auto"/>
              <w:contextualSpacing/>
              <w:jc w:val="center"/>
              <w:rPr>
                <w:rFonts w:ascii="Times New Roman" w:hAnsi="Times New Roman"/>
                <w:color w:val="000000"/>
                <w:sz w:val="20"/>
                <w:szCs w:val="20"/>
                <w:highlight w:val="yellow"/>
                <w:lang w:val="en-IN" w:eastAsia="en-IN"/>
              </w:rPr>
            </w:pPr>
            <w:r w:rsidRPr="00523CA4">
              <w:rPr>
                <w:rFonts w:ascii="Times New Roman" w:hAnsi="Times New Roman"/>
                <w:color w:val="000000"/>
                <w:sz w:val="20"/>
                <w:szCs w:val="20"/>
                <w:lang w:val="en-IN" w:eastAsia="en-IN"/>
              </w:rPr>
              <w:t>6.87%</w:t>
            </w:r>
          </w:p>
        </w:tc>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988F22" w14:textId="77777777" w:rsidR="00F038BD" w:rsidRPr="00523CA4" w:rsidRDefault="00F038BD" w:rsidP="00523CA4">
            <w:pPr>
              <w:spacing w:after="0" w:line="240" w:lineRule="auto"/>
              <w:contextualSpacing/>
              <w:jc w:val="center"/>
              <w:rPr>
                <w:rFonts w:ascii="Times New Roman" w:hAnsi="Times New Roman"/>
                <w:color w:val="000000"/>
                <w:sz w:val="20"/>
                <w:szCs w:val="20"/>
                <w:lang w:val="en-IN" w:eastAsia="en-IN"/>
              </w:rPr>
            </w:pPr>
            <w:r w:rsidRPr="00523CA4">
              <w:rPr>
                <w:rFonts w:ascii="Times New Roman" w:hAnsi="Times New Roman"/>
                <w:color w:val="000000"/>
                <w:sz w:val="20"/>
                <w:szCs w:val="20"/>
                <w:lang w:val="en-IN" w:eastAsia="en-IN"/>
              </w:rPr>
              <w:t>3.90</w:t>
            </w:r>
          </w:p>
        </w:tc>
        <w:tc>
          <w:tcPr>
            <w:tcW w:w="760" w:type="pct"/>
            <w:tcBorders>
              <w:top w:val="single" w:sz="4" w:space="0" w:color="auto"/>
              <w:left w:val="single" w:sz="4" w:space="0" w:color="auto"/>
              <w:bottom w:val="single" w:sz="4" w:space="0" w:color="auto"/>
              <w:right w:val="single" w:sz="4" w:space="0" w:color="auto"/>
            </w:tcBorders>
            <w:noWrap/>
            <w:vAlign w:val="center"/>
            <w:hideMark/>
          </w:tcPr>
          <w:p w14:paraId="0FB7F9E0" w14:textId="77777777" w:rsidR="00F038BD" w:rsidRPr="00523CA4" w:rsidRDefault="00F038BD" w:rsidP="00523CA4">
            <w:pPr>
              <w:spacing w:after="0" w:line="240" w:lineRule="auto"/>
              <w:contextualSpacing/>
              <w:jc w:val="center"/>
              <w:rPr>
                <w:rFonts w:ascii="Times New Roman" w:hAnsi="Times New Roman"/>
                <w:color w:val="000000"/>
                <w:sz w:val="20"/>
                <w:szCs w:val="20"/>
                <w:lang w:val="en-IN" w:eastAsia="en-IN"/>
              </w:rPr>
            </w:pPr>
            <w:r w:rsidRPr="00523CA4">
              <w:rPr>
                <w:rFonts w:ascii="Times New Roman" w:hAnsi="Times New Roman"/>
                <w:color w:val="000000"/>
                <w:sz w:val="20"/>
                <w:szCs w:val="20"/>
                <w:lang w:val="en-IN" w:eastAsia="en-IN"/>
              </w:rPr>
              <w:t>1,933.24</w:t>
            </w:r>
          </w:p>
        </w:tc>
      </w:tr>
      <w:tr w:rsidR="00F038BD" w:rsidRPr="00F038BD" w14:paraId="5D4ACDFC" w14:textId="77777777" w:rsidTr="00716083">
        <w:trPr>
          <w:trHeight w:val="20"/>
        </w:trPr>
        <w:tc>
          <w:tcPr>
            <w:tcW w:w="1000" w:type="pct"/>
            <w:tcBorders>
              <w:top w:val="single" w:sz="4" w:space="0" w:color="auto"/>
              <w:left w:val="single" w:sz="4" w:space="0" w:color="auto"/>
              <w:bottom w:val="single" w:sz="4" w:space="0" w:color="auto"/>
              <w:right w:val="single" w:sz="4" w:space="0" w:color="auto"/>
            </w:tcBorders>
            <w:noWrap/>
            <w:vAlign w:val="center"/>
          </w:tcPr>
          <w:p w14:paraId="49E8B70A" w14:textId="77777777" w:rsidR="00F038BD" w:rsidRPr="00F038BD" w:rsidRDefault="00F038BD" w:rsidP="00F038BD">
            <w:pPr>
              <w:spacing w:after="0" w:line="240" w:lineRule="auto"/>
              <w:contextualSpacing/>
              <w:jc w:val="both"/>
              <w:rPr>
                <w:rFonts w:ascii="Times New Roman" w:hAnsi="Times New Roman"/>
                <w:sz w:val="20"/>
                <w:szCs w:val="20"/>
                <w:lang w:val="en-GB"/>
              </w:rPr>
            </w:pPr>
            <w:r w:rsidRPr="00F038BD">
              <w:rPr>
                <w:rFonts w:ascii="Times New Roman" w:hAnsi="Times New Roman"/>
                <w:sz w:val="20"/>
                <w:szCs w:val="20"/>
              </w:rPr>
              <w:t xml:space="preserve">Poojawestern Metaliks Limited </w:t>
            </w:r>
            <w:r w:rsidRPr="00F038BD">
              <w:rPr>
                <w:rFonts w:ascii="Times New Roman" w:hAnsi="Times New Roman"/>
                <w:sz w:val="20"/>
                <w:szCs w:val="20"/>
                <w:vertAlign w:val="superscript"/>
                <w:lang w:val="en-GB"/>
              </w:rPr>
              <w:t>(i)</w:t>
            </w:r>
          </w:p>
        </w:tc>
        <w:tc>
          <w:tcPr>
            <w:tcW w:w="764" w:type="pct"/>
            <w:tcBorders>
              <w:top w:val="single" w:sz="4" w:space="0" w:color="auto"/>
              <w:left w:val="single" w:sz="4" w:space="0" w:color="auto"/>
              <w:bottom w:val="single" w:sz="4" w:space="0" w:color="auto"/>
              <w:right w:val="single" w:sz="4" w:space="0" w:color="auto"/>
            </w:tcBorders>
            <w:noWrap/>
            <w:vAlign w:val="center"/>
          </w:tcPr>
          <w:p w14:paraId="7FC2DF68" w14:textId="6EE0D628" w:rsidR="00F038BD" w:rsidRPr="00523CA4" w:rsidRDefault="00523CA4" w:rsidP="00523CA4">
            <w:pPr>
              <w:spacing w:after="0" w:line="240" w:lineRule="auto"/>
              <w:contextualSpacing/>
              <w:jc w:val="center"/>
              <w:rPr>
                <w:rFonts w:ascii="Times New Roman" w:hAnsi="Times New Roman"/>
                <w:color w:val="000000"/>
                <w:sz w:val="20"/>
                <w:szCs w:val="20"/>
                <w:lang w:val="en-IN" w:eastAsia="en-IN"/>
              </w:rPr>
            </w:pPr>
            <w:r w:rsidRPr="00523CA4">
              <w:rPr>
                <w:rFonts w:ascii="Times New Roman" w:hAnsi="Times New Roman"/>
                <w:color w:val="000000"/>
                <w:sz w:val="20"/>
                <w:szCs w:val="20"/>
                <w:lang w:val="en-IN" w:eastAsia="en-IN"/>
              </w:rPr>
              <w:t>37.57</w:t>
            </w:r>
          </w:p>
        </w:tc>
        <w:tc>
          <w:tcPr>
            <w:tcW w:w="389" w:type="pct"/>
            <w:tcBorders>
              <w:top w:val="single" w:sz="4" w:space="0" w:color="auto"/>
              <w:left w:val="single" w:sz="4" w:space="0" w:color="auto"/>
              <w:bottom w:val="single" w:sz="4" w:space="0" w:color="auto"/>
              <w:right w:val="single" w:sz="4" w:space="0" w:color="auto"/>
            </w:tcBorders>
            <w:noWrap/>
            <w:vAlign w:val="center"/>
          </w:tcPr>
          <w:p w14:paraId="7201A4BF" w14:textId="77777777" w:rsidR="00F038BD" w:rsidRPr="00523CA4" w:rsidRDefault="00F038BD" w:rsidP="00523CA4">
            <w:pPr>
              <w:spacing w:after="0" w:line="240" w:lineRule="auto"/>
              <w:contextualSpacing/>
              <w:jc w:val="center"/>
              <w:rPr>
                <w:rFonts w:ascii="Times New Roman" w:hAnsi="Times New Roman"/>
                <w:color w:val="000000"/>
                <w:sz w:val="20"/>
                <w:szCs w:val="20"/>
                <w:lang w:val="en-IN" w:eastAsia="en-IN"/>
              </w:rPr>
            </w:pPr>
            <w:r w:rsidRPr="00523CA4">
              <w:rPr>
                <w:rFonts w:ascii="Times New Roman" w:hAnsi="Times New Roman"/>
                <w:color w:val="000000"/>
                <w:sz w:val="20"/>
                <w:szCs w:val="20"/>
                <w:lang w:val="en-IN" w:eastAsia="en-IN"/>
              </w:rPr>
              <w:t>10.00</w:t>
            </w:r>
          </w:p>
        </w:tc>
        <w:tc>
          <w:tcPr>
            <w:tcW w:w="431" w:type="pct"/>
            <w:tcBorders>
              <w:top w:val="single" w:sz="4" w:space="0" w:color="auto"/>
              <w:left w:val="single" w:sz="4" w:space="0" w:color="auto"/>
              <w:bottom w:val="single" w:sz="4" w:space="0" w:color="auto"/>
              <w:right w:val="single" w:sz="4" w:space="0" w:color="auto"/>
            </w:tcBorders>
            <w:noWrap/>
            <w:vAlign w:val="center"/>
          </w:tcPr>
          <w:p w14:paraId="441A18EA" w14:textId="77777777" w:rsidR="00F038BD" w:rsidRPr="00523CA4" w:rsidRDefault="00F038BD" w:rsidP="00523CA4">
            <w:pPr>
              <w:spacing w:after="0" w:line="240" w:lineRule="auto"/>
              <w:contextualSpacing/>
              <w:jc w:val="center"/>
              <w:rPr>
                <w:rFonts w:ascii="Times New Roman" w:hAnsi="Times New Roman"/>
                <w:color w:val="000000"/>
                <w:sz w:val="20"/>
                <w:szCs w:val="20"/>
                <w:lang w:val="en-IN" w:eastAsia="en-IN"/>
              </w:rPr>
            </w:pPr>
            <w:r w:rsidRPr="00523CA4">
              <w:rPr>
                <w:rFonts w:ascii="Times New Roman" w:hAnsi="Times New Roman"/>
                <w:color w:val="000000"/>
                <w:sz w:val="20"/>
                <w:szCs w:val="20"/>
                <w:lang w:val="en-IN" w:eastAsia="en-IN"/>
              </w:rPr>
              <w:t>1.05</w:t>
            </w:r>
          </w:p>
        </w:tc>
        <w:tc>
          <w:tcPr>
            <w:tcW w:w="394" w:type="pct"/>
            <w:tcBorders>
              <w:top w:val="single" w:sz="4" w:space="0" w:color="auto"/>
              <w:left w:val="single" w:sz="4" w:space="0" w:color="auto"/>
              <w:bottom w:val="single" w:sz="4" w:space="0" w:color="auto"/>
              <w:right w:val="single" w:sz="4" w:space="0" w:color="auto"/>
            </w:tcBorders>
            <w:vAlign w:val="center"/>
          </w:tcPr>
          <w:p w14:paraId="383AA7A5" w14:textId="77777777" w:rsidR="00F038BD" w:rsidRPr="00523CA4" w:rsidRDefault="00F038BD" w:rsidP="00523CA4">
            <w:pPr>
              <w:spacing w:after="0" w:line="240" w:lineRule="auto"/>
              <w:contextualSpacing/>
              <w:jc w:val="center"/>
              <w:rPr>
                <w:rFonts w:ascii="Times New Roman" w:hAnsi="Times New Roman"/>
                <w:color w:val="000000"/>
                <w:sz w:val="20"/>
                <w:szCs w:val="20"/>
                <w:lang w:val="en-IN" w:eastAsia="en-IN"/>
              </w:rPr>
            </w:pPr>
            <w:r w:rsidRPr="00523CA4">
              <w:rPr>
                <w:rFonts w:ascii="Times New Roman" w:hAnsi="Times New Roman"/>
                <w:color w:val="000000"/>
                <w:sz w:val="20"/>
                <w:szCs w:val="20"/>
                <w:lang w:val="en-IN" w:eastAsia="en-IN"/>
              </w:rPr>
              <w:t>1.05</w:t>
            </w:r>
          </w:p>
        </w:tc>
        <w:tc>
          <w:tcPr>
            <w:tcW w:w="347" w:type="pct"/>
            <w:tcBorders>
              <w:top w:val="single" w:sz="4" w:space="0" w:color="auto"/>
              <w:left w:val="single" w:sz="4" w:space="0" w:color="auto"/>
              <w:bottom w:val="single" w:sz="4" w:space="0" w:color="auto"/>
              <w:right w:val="single" w:sz="4" w:space="0" w:color="auto"/>
            </w:tcBorders>
            <w:noWrap/>
            <w:vAlign w:val="center"/>
          </w:tcPr>
          <w:p w14:paraId="3D3E283A" w14:textId="6EACA007" w:rsidR="00F038BD" w:rsidRPr="00523CA4" w:rsidRDefault="00523CA4" w:rsidP="00523CA4">
            <w:pPr>
              <w:spacing w:after="0" w:line="240" w:lineRule="auto"/>
              <w:contextualSpacing/>
              <w:jc w:val="center"/>
              <w:rPr>
                <w:rFonts w:ascii="Times New Roman" w:hAnsi="Times New Roman"/>
                <w:color w:val="000000"/>
                <w:sz w:val="20"/>
                <w:szCs w:val="20"/>
                <w:lang w:val="en-IN" w:eastAsia="en-IN"/>
              </w:rPr>
            </w:pPr>
            <w:r w:rsidRPr="00523CA4">
              <w:rPr>
                <w:rFonts w:ascii="Times New Roman" w:hAnsi="Times New Roman"/>
                <w:color w:val="000000"/>
                <w:sz w:val="20"/>
                <w:szCs w:val="20"/>
                <w:lang w:val="en-IN" w:eastAsia="en-IN"/>
              </w:rPr>
              <w:t>35.78</w:t>
            </w:r>
          </w:p>
        </w:tc>
        <w:tc>
          <w:tcPr>
            <w:tcW w:w="427" w:type="pct"/>
            <w:tcBorders>
              <w:top w:val="single" w:sz="4" w:space="0" w:color="auto"/>
              <w:left w:val="single" w:sz="4" w:space="0" w:color="auto"/>
              <w:bottom w:val="single" w:sz="4" w:space="0" w:color="auto"/>
              <w:right w:val="single" w:sz="4" w:space="0" w:color="auto"/>
            </w:tcBorders>
            <w:noWrap/>
            <w:vAlign w:val="center"/>
          </w:tcPr>
          <w:p w14:paraId="149A1742" w14:textId="77777777" w:rsidR="00F038BD" w:rsidRPr="00523CA4" w:rsidRDefault="00F038BD" w:rsidP="00523CA4">
            <w:pPr>
              <w:spacing w:after="0" w:line="240" w:lineRule="auto"/>
              <w:contextualSpacing/>
              <w:jc w:val="center"/>
              <w:rPr>
                <w:rFonts w:ascii="Times New Roman" w:hAnsi="Times New Roman"/>
                <w:color w:val="000000"/>
                <w:sz w:val="20"/>
                <w:szCs w:val="20"/>
                <w:lang w:val="en-IN" w:eastAsia="en-IN"/>
              </w:rPr>
            </w:pPr>
            <w:r w:rsidRPr="00523CA4">
              <w:rPr>
                <w:rFonts w:ascii="Times New Roman" w:hAnsi="Times New Roman"/>
                <w:color w:val="000000"/>
                <w:sz w:val="20"/>
                <w:szCs w:val="20"/>
                <w:lang w:val="en-IN" w:eastAsia="en-IN"/>
              </w:rPr>
              <w:t>8.67%</w:t>
            </w:r>
          </w:p>
        </w:tc>
        <w:tc>
          <w:tcPr>
            <w:tcW w:w="489" w:type="pct"/>
            <w:tcBorders>
              <w:top w:val="single" w:sz="4" w:space="0" w:color="auto"/>
              <w:left w:val="single" w:sz="4" w:space="0" w:color="auto"/>
              <w:bottom w:val="single" w:sz="4" w:space="0" w:color="auto"/>
              <w:right w:val="single" w:sz="4" w:space="0" w:color="auto"/>
            </w:tcBorders>
            <w:noWrap/>
            <w:vAlign w:val="center"/>
          </w:tcPr>
          <w:p w14:paraId="767AFED0" w14:textId="77777777" w:rsidR="00F038BD" w:rsidRPr="00523CA4" w:rsidRDefault="00F038BD" w:rsidP="00523CA4">
            <w:pPr>
              <w:spacing w:after="0" w:line="240" w:lineRule="auto"/>
              <w:contextualSpacing/>
              <w:jc w:val="center"/>
              <w:rPr>
                <w:rFonts w:ascii="Times New Roman" w:hAnsi="Times New Roman"/>
                <w:color w:val="000000"/>
                <w:sz w:val="20"/>
                <w:szCs w:val="20"/>
                <w:lang w:val="en-IN" w:eastAsia="en-IN"/>
              </w:rPr>
            </w:pPr>
            <w:r w:rsidRPr="00523CA4">
              <w:rPr>
                <w:rFonts w:ascii="Times New Roman" w:hAnsi="Times New Roman"/>
                <w:color w:val="000000"/>
                <w:sz w:val="20"/>
                <w:szCs w:val="20"/>
                <w:lang w:val="en-IN" w:eastAsia="en-IN"/>
              </w:rPr>
              <w:t>12.10</w:t>
            </w:r>
          </w:p>
        </w:tc>
        <w:tc>
          <w:tcPr>
            <w:tcW w:w="760" w:type="pct"/>
            <w:tcBorders>
              <w:top w:val="single" w:sz="4" w:space="0" w:color="auto"/>
              <w:left w:val="single" w:sz="4" w:space="0" w:color="auto"/>
              <w:bottom w:val="single" w:sz="4" w:space="0" w:color="auto"/>
              <w:right w:val="single" w:sz="4" w:space="0" w:color="auto"/>
            </w:tcBorders>
            <w:noWrap/>
            <w:vAlign w:val="center"/>
          </w:tcPr>
          <w:p w14:paraId="678E6879" w14:textId="77777777" w:rsidR="00F038BD" w:rsidRPr="00523CA4" w:rsidRDefault="00F038BD" w:rsidP="00523CA4">
            <w:pPr>
              <w:spacing w:after="0" w:line="240" w:lineRule="auto"/>
              <w:contextualSpacing/>
              <w:jc w:val="center"/>
              <w:rPr>
                <w:rFonts w:ascii="Times New Roman" w:hAnsi="Times New Roman"/>
                <w:color w:val="000000"/>
                <w:sz w:val="20"/>
                <w:szCs w:val="20"/>
                <w:lang w:val="en-IN" w:eastAsia="en-IN"/>
              </w:rPr>
            </w:pPr>
            <w:r w:rsidRPr="00523CA4">
              <w:rPr>
                <w:rFonts w:ascii="Times New Roman" w:hAnsi="Times New Roman"/>
                <w:color w:val="000000"/>
                <w:sz w:val="20"/>
                <w:szCs w:val="20"/>
                <w:lang w:val="en-IN" w:eastAsia="en-IN"/>
              </w:rPr>
              <w:t>3,176.55</w:t>
            </w:r>
          </w:p>
        </w:tc>
      </w:tr>
    </w:tbl>
    <w:p w14:paraId="19CD2932" w14:textId="77777777" w:rsidR="00F038BD" w:rsidRPr="00F038BD" w:rsidRDefault="00F038BD" w:rsidP="00F038BD">
      <w:pPr>
        <w:spacing w:after="0" w:line="240" w:lineRule="auto"/>
        <w:rPr>
          <w:rFonts w:ascii="Times New Roman" w:eastAsia="Calibri" w:hAnsi="Times New Roman"/>
          <w:sz w:val="20"/>
          <w:szCs w:val="20"/>
        </w:rPr>
      </w:pPr>
      <w:r w:rsidRPr="00F038BD">
        <w:rPr>
          <w:rFonts w:ascii="Times New Roman" w:eastAsia="Calibri" w:hAnsi="Times New Roman"/>
          <w:sz w:val="20"/>
          <w:szCs w:val="20"/>
        </w:rPr>
        <w:t>Notes:</w:t>
      </w:r>
    </w:p>
    <w:p w14:paraId="6EB2252C" w14:textId="1A8E8291" w:rsidR="00F038BD" w:rsidRPr="00523CA4" w:rsidRDefault="00F038BD">
      <w:pPr>
        <w:numPr>
          <w:ilvl w:val="0"/>
          <w:numId w:val="170"/>
        </w:numPr>
        <w:spacing w:after="0" w:line="240" w:lineRule="auto"/>
        <w:contextualSpacing/>
        <w:jc w:val="both"/>
        <w:rPr>
          <w:rFonts w:ascii="Times New Roman" w:eastAsia="Calibri" w:hAnsi="Times New Roman"/>
          <w:bCs/>
          <w:i/>
          <w:sz w:val="20"/>
          <w:szCs w:val="20"/>
        </w:rPr>
      </w:pPr>
      <w:r w:rsidRPr="00F038BD">
        <w:rPr>
          <w:rFonts w:ascii="Times New Roman" w:eastAsia="Calibri" w:hAnsi="Times New Roman"/>
          <w:i/>
          <w:sz w:val="20"/>
          <w:szCs w:val="20"/>
        </w:rPr>
        <w:t xml:space="preserve">Source – All the financial information for listed industry peers mentioned above is sourced from the Financial Results of the aforesaid companies for the year ended March 31, 2023 and stock exchange data dated </w:t>
      </w:r>
      <w:r w:rsidR="00523CA4">
        <w:rPr>
          <w:rFonts w:ascii="Times New Roman" w:eastAsia="Calibri" w:hAnsi="Times New Roman"/>
          <w:i/>
          <w:sz w:val="20"/>
          <w:szCs w:val="20"/>
        </w:rPr>
        <w:t>September 21</w:t>
      </w:r>
      <w:r w:rsidRPr="00F038BD">
        <w:rPr>
          <w:rFonts w:ascii="Times New Roman" w:eastAsia="Calibri" w:hAnsi="Times New Roman"/>
          <w:i/>
          <w:sz w:val="20"/>
          <w:szCs w:val="20"/>
        </w:rPr>
        <w:t>, 2023 to compute the corresponding financial ratios. For our Company, we have taken Current Market Price as the issue price of equity share. Further, P/E Ratio is based on the current market price of the respective scrips.</w:t>
      </w:r>
    </w:p>
    <w:p w14:paraId="3AC1DB98" w14:textId="77777777" w:rsidR="00523CA4" w:rsidRPr="00F038BD" w:rsidRDefault="00523CA4" w:rsidP="00523CA4">
      <w:pPr>
        <w:spacing w:after="0" w:line="240" w:lineRule="auto"/>
        <w:ind w:left="765"/>
        <w:contextualSpacing/>
        <w:jc w:val="both"/>
        <w:rPr>
          <w:rFonts w:ascii="Times New Roman" w:eastAsia="Calibri" w:hAnsi="Times New Roman"/>
          <w:bCs/>
          <w:i/>
          <w:sz w:val="20"/>
          <w:szCs w:val="20"/>
        </w:rPr>
      </w:pPr>
    </w:p>
    <w:p w14:paraId="43490A29" w14:textId="77777777" w:rsidR="00F038BD" w:rsidRPr="00F038BD" w:rsidRDefault="00F038BD">
      <w:pPr>
        <w:numPr>
          <w:ilvl w:val="0"/>
          <w:numId w:val="170"/>
        </w:numPr>
        <w:spacing w:after="0" w:line="240" w:lineRule="auto"/>
        <w:contextualSpacing/>
        <w:jc w:val="both"/>
        <w:rPr>
          <w:rFonts w:ascii="Times New Roman" w:eastAsia="Calibri" w:hAnsi="Times New Roman"/>
          <w:bCs/>
          <w:i/>
          <w:sz w:val="20"/>
          <w:szCs w:val="20"/>
        </w:rPr>
      </w:pPr>
      <w:r w:rsidRPr="00F038BD">
        <w:rPr>
          <w:rFonts w:ascii="Times New Roman" w:eastAsia="Calibri" w:hAnsi="Times New Roman"/>
          <w:i/>
          <w:sz w:val="20"/>
          <w:szCs w:val="20"/>
        </w:rPr>
        <w:lastRenderedPageBreak/>
        <w:t xml:space="preserve">The EPS, NAV, RoNW and total Income of our Company are taken as per Restated Financial Statement for the Financial Year 2022-23. </w:t>
      </w:r>
    </w:p>
    <w:p w14:paraId="6417A66D" w14:textId="77777777" w:rsidR="00F038BD" w:rsidRPr="00F038BD" w:rsidRDefault="00F038BD">
      <w:pPr>
        <w:numPr>
          <w:ilvl w:val="0"/>
          <w:numId w:val="170"/>
        </w:numPr>
        <w:spacing w:after="0" w:line="240" w:lineRule="auto"/>
        <w:contextualSpacing/>
        <w:jc w:val="both"/>
        <w:rPr>
          <w:rFonts w:ascii="Times New Roman" w:eastAsia="Calibri" w:hAnsi="Times New Roman"/>
          <w:bCs/>
          <w:i/>
          <w:sz w:val="20"/>
          <w:szCs w:val="20"/>
        </w:rPr>
      </w:pPr>
      <w:r w:rsidRPr="00F038BD">
        <w:rPr>
          <w:rFonts w:ascii="Times New Roman" w:eastAsia="Calibri" w:hAnsi="Times New Roman"/>
          <w:i/>
          <w:sz w:val="20"/>
          <w:szCs w:val="20"/>
        </w:rPr>
        <w:t>NAV per share is computed as the closing net worth divided by the weighted average number of paid-up equity shares as on March 31, 2023.</w:t>
      </w:r>
    </w:p>
    <w:p w14:paraId="7A589423" w14:textId="77777777" w:rsidR="00F038BD" w:rsidRPr="00F038BD" w:rsidRDefault="00F038BD">
      <w:pPr>
        <w:numPr>
          <w:ilvl w:val="0"/>
          <w:numId w:val="170"/>
        </w:numPr>
        <w:spacing w:after="0" w:line="240" w:lineRule="auto"/>
        <w:contextualSpacing/>
        <w:jc w:val="both"/>
        <w:rPr>
          <w:rFonts w:ascii="Times New Roman" w:eastAsia="Calibri" w:hAnsi="Times New Roman"/>
          <w:bCs/>
          <w:i/>
          <w:sz w:val="20"/>
          <w:szCs w:val="20"/>
        </w:rPr>
      </w:pPr>
      <w:r w:rsidRPr="00F038BD">
        <w:rPr>
          <w:rFonts w:ascii="Times New Roman" w:eastAsia="Calibri" w:hAnsi="Times New Roman"/>
          <w:i/>
          <w:sz w:val="20"/>
          <w:szCs w:val="20"/>
        </w:rPr>
        <w:t xml:space="preserve">RoNW has been computed as net profit after tax divided by closing net worth. </w:t>
      </w:r>
    </w:p>
    <w:p w14:paraId="3337FC2D" w14:textId="77777777" w:rsidR="00F038BD" w:rsidRPr="00F038BD" w:rsidRDefault="00F038BD">
      <w:pPr>
        <w:numPr>
          <w:ilvl w:val="0"/>
          <w:numId w:val="170"/>
        </w:numPr>
        <w:spacing w:after="0" w:line="240" w:lineRule="auto"/>
        <w:contextualSpacing/>
        <w:jc w:val="both"/>
        <w:rPr>
          <w:rFonts w:ascii="Times New Roman" w:eastAsia="Calibri" w:hAnsi="Times New Roman"/>
          <w:bCs/>
          <w:i/>
          <w:sz w:val="20"/>
          <w:szCs w:val="20"/>
        </w:rPr>
      </w:pPr>
      <w:r w:rsidRPr="00F038BD">
        <w:rPr>
          <w:rFonts w:ascii="Times New Roman" w:eastAsia="Calibri" w:hAnsi="Times New Roman"/>
          <w:i/>
          <w:sz w:val="20"/>
          <w:szCs w:val="20"/>
        </w:rPr>
        <w:t xml:space="preserve">Net worth has been computed in the manner as specifies in Regulation 2(1) (hh) of SEBI (ICDR) Regulations, 2018. </w:t>
      </w:r>
    </w:p>
    <w:p w14:paraId="05D20EC3" w14:textId="77777777" w:rsidR="00F038BD" w:rsidRPr="00F038BD" w:rsidRDefault="00F038BD">
      <w:pPr>
        <w:numPr>
          <w:ilvl w:val="0"/>
          <w:numId w:val="170"/>
        </w:numPr>
        <w:spacing w:after="0" w:line="240" w:lineRule="auto"/>
        <w:contextualSpacing/>
        <w:jc w:val="both"/>
        <w:rPr>
          <w:rFonts w:ascii="Times New Roman" w:eastAsia="Calibri" w:hAnsi="Times New Roman"/>
          <w:bCs/>
          <w:i/>
          <w:sz w:val="20"/>
          <w:szCs w:val="20"/>
        </w:rPr>
      </w:pPr>
      <w:r w:rsidRPr="00F038BD">
        <w:rPr>
          <w:rFonts w:ascii="Times New Roman" w:eastAsia="Calibri" w:hAnsi="Times New Roman"/>
          <w:i/>
          <w:sz w:val="20"/>
          <w:szCs w:val="20"/>
        </w:rPr>
        <w:t>The face value of Equity Shares of our Company is ₹ 10/- per Equity Share and the Issue price is [●] times the face value of equity share.</w:t>
      </w:r>
    </w:p>
    <w:p w14:paraId="668CFC18" w14:textId="77777777" w:rsidR="00F038BD" w:rsidRPr="00F038BD" w:rsidRDefault="00F038BD" w:rsidP="00F038BD">
      <w:pPr>
        <w:spacing w:after="0" w:line="240" w:lineRule="auto"/>
        <w:rPr>
          <w:rFonts w:ascii="Times New Roman" w:eastAsia="Calibri" w:hAnsi="Times New Roman"/>
          <w:bCs/>
          <w:iCs/>
          <w:sz w:val="20"/>
          <w:szCs w:val="20"/>
          <w:lang w:bidi="en-US"/>
        </w:rPr>
      </w:pPr>
    </w:p>
    <w:p w14:paraId="49B019D5" w14:textId="77777777" w:rsidR="00F038BD" w:rsidRPr="00F038BD" w:rsidRDefault="00F038BD">
      <w:pPr>
        <w:numPr>
          <w:ilvl w:val="0"/>
          <w:numId w:val="165"/>
        </w:numPr>
        <w:autoSpaceDE w:val="0"/>
        <w:autoSpaceDN w:val="0"/>
        <w:adjustRightInd w:val="0"/>
        <w:spacing w:after="0" w:line="240" w:lineRule="auto"/>
        <w:ind w:left="426"/>
        <w:jc w:val="both"/>
        <w:rPr>
          <w:rFonts w:ascii="Times New Roman" w:hAnsi="Times New Roman"/>
          <w:bCs/>
          <w:sz w:val="20"/>
          <w:szCs w:val="20"/>
        </w:rPr>
      </w:pPr>
      <w:r w:rsidRPr="00F038BD">
        <w:rPr>
          <w:rFonts w:ascii="Times New Roman" w:eastAsia="Calibri" w:hAnsi="Times New Roman"/>
          <w:b/>
          <w:bCs/>
          <w:sz w:val="20"/>
          <w:szCs w:val="20"/>
        </w:rPr>
        <w:t>Key Performance Indicators</w:t>
      </w:r>
    </w:p>
    <w:p w14:paraId="03DBD68D" w14:textId="77777777" w:rsidR="00F038BD" w:rsidRPr="00F038BD" w:rsidRDefault="00F038BD" w:rsidP="00F038BD">
      <w:pPr>
        <w:spacing w:after="0" w:line="240" w:lineRule="auto"/>
        <w:contextualSpacing/>
        <w:jc w:val="both"/>
        <w:rPr>
          <w:rFonts w:ascii="Times New Roman" w:eastAsia="Calibri" w:hAnsi="Times New Roman"/>
          <w:bCs/>
          <w:sz w:val="20"/>
          <w:szCs w:val="20"/>
        </w:rPr>
      </w:pPr>
    </w:p>
    <w:p w14:paraId="23C28E5B" w14:textId="77777777" w:rsidR="00F038BD" w:rsidRPr="00F038BD" w:rsidRDefault="00F038BD" w:rsidP="00F038BD">
      <w:pPr>
        <w:spacing w:after="0" w:line="240" w:lineRule="auto"/>
        <w:contextualSpacing/>
        <w:jc w:val="both"/>
        <w:rPr>
          <w:rFonts w:ascii="Times New Roman" w:eastAsia="Calibri" w:hAnsi="Times New Roman"/>
          <w:bCs/>
          <w:sz w:val="20"/>
          <w:szCs w:val="20"/>
        </w:rPr>
      </w:pPr>
      <w:r w:rsidRPr="00F038BD">
        <w:rPr>
          <w:rFonts w:ascii="Times New Roman" w:eastAsia="Calibri" w:hAnsi="Times New Roman"/>
          <w:bCs/>
          <w:sz w:val="20"/>
          <w:szCs w:val="20"/>
        </w:rPr>
        <w:t>The KPIs disclosed below have been used historically by our Company to understand and analyze the business performance, which in result, help us in analyzing the growth of our company.</w:t>
      </w:r>
    </w:p>
    <w:p w14:paraId="79DBF632" w14:textId="77777777" w:rsidR="00F038BD" w:rsidRPr="00F038BD" w:rsidRDefault="00F038BD" w:rsidP="00F038BD">
      <w:pPr>
        <w:spacing w:after="0" w:line="240" w:lineRule="auto"/>
        <w:contextualSpacing/>
        <w:jc w:val="both"/>
        <w:rPr>
          <w:rFonts w:ascii="Times New Roman" w:eastAsia="Calibri" w:hAnsi="Times New Roman"/>
          <w:bCs/>
          <w:sz w:val="20"/>
          <w:szCs w:val="20"/>
        </w:rPr>
      </w:pPr>
    </w:p>
    <w:p w14:paraId="0680E4C3" w14:textId="641C958C" w:rsidR="00F038BD" w:rsidRPr="00F038BD" w:rsidRDefault="00F038BD" w:rsidP="00F038BD">
      <w:pPr>
        <w:spacing w:after="0" w:line="240" w:lineRule="auto"/>
        <w:contextualSpacing/>
        <w:jc w:val="both"/>
        <w:rPr>
          <w:rFonts w:ascii="Times New Roman" w:eastAsia="Calibri" w:hAnsi="Times New Roman"/>
          <w:bCs/>
          <w:sz w:val="20"/>
          <w:szCs w:val="20"/>
        </w:rPr>
      </w:pPr>
      <w:r w:rsidRPr="00F038BD">
        <w:rPr>
          <w:rFonts w:ascii="Times New Roman" w:hAnsi="Times New Roman"/>
          <w:sz w:val="20"/>
          <w:szCs w:val="20"/>
        </w:rPr>
        <w:t xml:space="preserve">The KPIs disclosed below have been approved by a resolution of our Audit Committee dated </w:t>
      </w:r>
      <w:r w:rsidR="00523CA4">
        <w:rPr>
          <w:rFonts w:ascii="Times New Roman" w:hAnsi="Times New Roman"/>
          <w:sz w:val="20"/>
          <w:szCs w:val="20"/>
          <w:highlight w:val="yellow"/>
        </w:rPr>
        <w:t>September 22, 2023</w:t>
      </w:r>
      <w:r w:rsidR="00523CA4">
        <w:rPr>
          <w:rFonts w:ascii="Times New Roman" w:hAnsi="Times New Roman"/>
          <w:sz w:val="20"/>
          <w:szCs w:val="20"/>
        </w:rPr>
        <w:t xml:space="preserve"> </w:t>
      </w:r>
      <w:r w:rsidRPr="00F038BD">
        <w:rPr>
          <w:rFonts w:ascii="Times New Roman" w:hAnsi="Times New Roman"/>
          <w:sz w:val="20"/>
          <w:szCs w:val="20"/>
        </w:rPr>
        <w:t xml:space="preserve">and the members of the Audit Committee have verified the details of all KPIs pertaining to our Company. Further, the members of the Audit Committee have confirmed that there are no KPIs pertaining to our Company that have been disclosed to any investors at any point of time during the three years period prior to the date of filing of this Draft Red Herring Prospectus. Further, the KPIs herein have been certified by Kamlesh Rathod &amp; Associates, Chartered Accountants, by their certificate dated </w:t>
      </w:r>
      <w:r w:rsidR="00523CA4">
        <w:rPr>
          <w:rFonts w:ascii="Times New Roman" w:hAnsi="Times New Roman"/>
          <w:sz w:val="20"/>
          <w:szCs w:val="20"/>
          <w:highlight w:val="yellow"/>
        </w:rPr>
        <w:t>September 22</w:t>
      </w:r>
      <w:r w:rsidRPr="00F038BD">
        <w:rPr>
          <w:rFonts w:ascii="Times New Roman" w:hAnsi="Times New Roman"/>
          <w:sz w:val="20"/>
          <w:szCs w:val="20"/>
          <w:highlight w:val="yellow"/>
        </w:rPr>
        <w:t>, 2023</w:t>
      </w:r>
      <w:r w:rsidRPr="00F038BD">
        <w:rPr>
          <w:rFonts w:ascii="Times New Roman" w:eastAsia="Calibri" w:hAnsi="Times New Roman"/>
          <w:sz w:val="20"/>
          <w:szCs w:val="20"/>
        </w:rPr>
        <w:t>.</w:t>
      </w:r>
    </w:p>
    <w:p w14:paraId="19D4C56A" w14:textId="77777777" w:rsidR="00F038BD" w:rsidRPr="00F038BD" w:rsidRDefault="00F038BD" w:rsidP="00F038BD">
      <w:pPr>
        <w:spacing w:after="0" w:line="240" w:lineRule="auto"/>
        <w:contextualSpacing/>
        <w:jc w:val="both"/>
        <w:rPr>
          <w:rFonts w:ascii="Times New Roman" w:eastAsia="Calibri" w:hAnsi="Times New Roman"/>
          <w:bCs/>
          <w:sz w:val="16"/>
          <w:szCs w:val="20"/>
        </w:rPr>
      </w:pPr>
    </w:p>
    <w:p w14:paraId="12A62C4E" w14:textId="77777777" w:rsidR="00F038BD" w:rsidRPr="00F038BD" w:rsidRDefault="00F038BD" w:rsidP="00F038BD">
      <w:pPr>
        <w:spacing w:after="0" w:line="240" w:lineRule="auto"/>
        <w:contextualSpacing/>
        <w:jc w:val="both"/>
        <w:rPr>
          <w:rFonts w:ascii="Times New Roman" w:eastAsia="Calibri" w:hAnsi="Times New Roman"/>
          <w:sz w:val="20"/>
          <w:szCs w:val="20"/>
        </w:rPr>
      </w:pPr>
      <w:r w:rsidRPr="00F038BD">
        <w:rPr>
          <w:rFonts w:ascii="Times New Roman" w:eastAsia="Calibri" w:hAnsi="Times New Roman"/>
          <w:bCs/>
          <w:sz w:val="20"/>
          <w:szCs w:val="20"/>
        </w:rPr>
        <w:t xml:space="preserve">The KPIs of our Company have been disclosed in the sections titled </w:t>
      </w:r>
      <w:r w:rsidRPr="00F038BD">
        <w:rPr>
          <w:rFonts w:ascii="Times New Roman" w:eastAsia="Calibri" w:hAnsi="Times New Roman"/>
          <w:b/>
          <w:bCs/>
          <w:i/>
          <w:sz w:val="20"/>
          <w:szCs w:val="20"/>
        </w:rPr>
        <w:t>“Our Business”</w:t>
      </w:r>
      <w:r w:rsidRPr="00F038BD">
        <w:rPr>
          <w:rFonts w:ascii="Times New Roman" w:eastAsia="Calibri" w:hAnsi="Times New Roman"/>
          <w:bCs/>
          <w:sz w:val="20"/>
          <w:szCs w:val="20"/>
        </w:rPr>
        <w:t xml:space="preserve"> and </w:t>
      </w:r>
      <w:r w:rsidRPr="00F038BD">
        <w:rPr>
          <w:rFonts w:ascii="Times New Roman" w:eastAsia="Calibri" w:hAnsi="Times New Roman"/>
          <w:b/>
          <w:bCs/>
          <w:i/>
          <w:sz w:val="20"/>
          <w:szCs w:val="20"/>
        </w:rPr>
        <w:t xml:space="preserve">“Management’s Discussion and Analysis of Financial Condition and Results of Operations – Key Performance Indicators” </w:t>
      </w:r>
      <w:r w:rsidRPr="00F038BD">
        <w:rPr>
          <w:rFonts w:ascii="Times New Roman" w:eastAsia="Calibri" w:hAnsi="Times New Roman"/>
          <w:bCs/>
          <w:sz w:val="20"/>
          <w:szCs w:val="20"/>
        </w:rPr>
        <w:t xml:space="preserve">on pages 91 and 177, respectively. We have described and defined the KPIs as applicable in </w:t>
      </w:r>
      <w:r w:rsidRPr="00F038BD">
        <w:rPr>
          <w:rFonts w:ascii="Times New Roman" w:eastAsia="Calibri" w:hAnsi="Times New Roman"/>
          <w:b/>
          <w:bCs/>
          <w:i/>
          <w:sz w:val="20"/>
          <w:szCs w:val="20"/>
        </w:rPr>
        <w:t>“Definitions and Abbreviations”</w:t>
      </w:r>
      <w:r w:rsidRPr="00F038BD">
        <w:rPr>
          <w:rFonts w:ascii="Times New Roman" w:eastAsia="Calibri" w:hAnsi="Times New Roman"/>
          <w:bCs/>
          <w:sz w:val="20"/>
          <w:szCs w:val="20"/>
        </w:rPr>
        <w:t xml:space="preserve"> on page 1.</w:t>
      </w:r>
    </w:p>
    <w:p w14:paraId="0BFE7A0A" w14:textId="77777777" w:rsidR="00F038BD" w:rsidRPr="00F038BD" w:rsidRDefault="00F038BD" w:rsidP="00F038BD">
      <w:pPr>
        <w:spacing w:after="0" w:line="240" w:lineRule="auto"/>
        <w:contextualSpacing/>
        <w:jc w:val="both"/>
        <w:rPr>
          <w:rFonts w:ascii="Times New Roman" w:eastAsia="Calibri" w:hAnsi="Times New Roman"/>
          <w:sz w:val="12"/>
          <w:szCs w:val="20"/>
        </w:rPr>
      </w:pPr>
    </w:p>
    <w:p w14:paraId="3C9C92F9" w14:textId="77777777" w:rsidR="00F038BD" w:rsidRPr="00F038BD" w:rsidRDefault="00F038BD" w:rsidP="00F038BD">
      <w:pPr>
        <w:autoSpaceDE w:val="0"/>
        <w:autoSpaceDN w:val="0"/>
        <w:adjustRightInd w:val="0"/>
        <w:spacing w:after="0" w:line="240" w:lineRule="auto"/>
        <w:jc w:val="both"/>
        <w:rPr>
          <w:rFonts w:ascii="Times New Roman" w:eastAsia="Calibri" w:hAnsi="Times New Roman"/>
          <w:sz w:val="20"/>
          <w:szCs w:val="20"/>
        </w:rPr>
      </w:pPr>
      <w:r w:rsidRPr="00F038BD">
        <w:rPr>
          <w:rFonts w:ascii="Times New Roman" w:eastAsia="Calibri" w:hAnsi="Times New Roman"/>
          <w:sz w:val="20"/>
          <w:szCs w:val="20"/>
        </w:rPr>
        <w:t>Our Company confirms that it shall continue to disclose all the KPIs included in this section on a periodic basis, at least once in a year (or any lesser period as determined by the Board of our Company), for a duration of one year after the date of listing of the Equity Shares on the Stock Exchange or till the complete utilisation of the proceeds of the Fresh Issue as per the disclosure made in the Objects of the Issue, whichever is later or for such other duration as may be required under the SEBI ICDR Regulations. Further, the ongoing KPIs will continue to be certified by a member of an expert body as required under the SEBI ICDR Regulations.</w:t>
      </w:r>
    </w:p>
    <w:p w14:paraId="5DBF1CEB" w14:textId="77777777" w:rsidR="00F038BD" w:rsidRPr="00F038BD" w:rsidRDefault="00F038BD" w:rsidP="00F038BD">
      <w:pPr>
        <w:autoSpaceDE w:val="0"/>
        <w:autoSpaceDN w:val="0"/>
        <w:adjustRightInd w:val="0"/>
        <w:spacing w:after="0" w:line="240" w:lineRule="auto"/>
        <w:jc w:val="both"/>
        <w:rPr>
          <w:rFonts w:ascii="Times New Roman" w:eastAsia="Calibri" w:hAnsi="Times New Roman"/>
          <w:sz w:val="14"/>
          <w:szCs w:val="20"/>
        </w:rPr>
      </w:pPr>
    </w:p>
    <w:p w14:paraId="07C541A2" w14:textId="77777777" w:rsidR="00F038BD" w:rsidRPr="00F038BD" w:rsidRDefault="00F038BD" w:rsidP="00F038BD">
      <w:pPr>
        <w:spacing w:after="0" w:line="240" w:lineRule="auto"/>
        <w:contextualSpacing/>
        <w:jc w:val="both"/>
        <w:rPr>
          <w:rFonts w:ascii="Times New Roman" w:eastAsia="Calibri" w:hAnsi="Times New Roman"/>
          <w:b/>
          <w:bCs/>
          <w:sz w:val="20"/>
          <w:szCs w:val="20"/>
          <w:lang w:val="en-IN"/>
        </w:rPr>
      </w:pPr>
      <w:r w:rsidRPr="00F038BD">
        <w:rPr>
          <w:rFonts w:ascii="Times New Roman" w:eastAsia="Calibri" w:hAnsi="Times New Roman"/>
          <w:b/>
          <w:bCs/>
          <w:sz w:val="20"/>
          <w:szCs w:val="20"/>
          <w:lang w:val="en-IN"/>
        </w:rPr>
        <w:t>Key Performance Indicators of our Company</w:t>
      </w:r>
    </w:p>
    <w:p w14:paraId="3573AAA9" w14:textId="77777777" w:rsidR="00F038BD" w:rsidRPr="00F038BD" w:rsidRDefault="00F038BD" w:rsidP="00F038BD">
      <w:pPr>
        <w:spacing w:after="0" w:line="240" w:lineRule="auto"/>
        <w:contextualSpacing/>
        <w:jc w:val="right"/>
        <w:rPr>
          <w:rFonts w:ascii="Times New Roman" w:eastAsia="Calibri" w:hAnsi="Times New Roman"/>
          <w:b/>
          <w:bCs/>
          <w:i/>
          <w:sz w:val="20"/>
          <w:szCs w:val="20"/>
          <w:lang w:val="en-IN"/>
        </w:rPr>
      </w:pPr>
      <w:r w:rsidRPr="00F038BD">
        <w:rPr>
          <w:rFonts w:ascii="Times New Roman" w:eastAsia="Calibri" w:hAnsi="Times New Roman"/>
          <w:b/>
          <w:bCs/>
          <w:sz w:val="20"/>
          <w:szCs w:val="20"/>
          <w:lang w:val="en-IN"/>
        </w:rPr>
        <w:tab/>
      </w:r>
      <w:r w:rsidRPr="00F038BD">
        <w:rPr>
          <w:rFonts w:ascii="Times New Roman" w:eastAsia="Calibri" w:hAnsi="Times New Roman"/>
          <w:b/>
          <w:bCs/>
          <w:sz w:val="20"/>
          <w:szCs w:val="20"/>
          <w:lang w:val="en-IN"/>
        </w:rPr>
        <w:tab/>
      </w:r>
      <w:r w:rsidRPr="00F038BD">
        <w:rPr>
          <w:rFonts w:ascii="Times New Roman" w:eastAsia="Calibri" w:hAnsi="Times New Roman"/>
          <w:b/>
          <w:bCs/>
          <w:sz w:val="20"/>
          <w:szCs w:val="20"/>
          <w:lang w:val="en-IN"/>
        </w:rPr>
        <w:tab/>
      </w:r>
      <w:r w:rsidRPr="00F038BD">
        <w:rPr>
          <w:rFonts w:ascii="Times New Roman" w:eastAsia="Calibri" w:hAnsi="Times New Roman"/>
          <w:b/>
          <w:bCs/>
          <w:sz w:val="20"/>
          <w:szCs w:val="20"/>
          <w:lang w:val="en-IN"/>
        </w:rPr>
        <w:tab/>
      </w:r>
      <w:r w:rsidRPr="00F038BD">
        <w:rPr>
          <w:rFonts w:ascii="Times New Roman" w:eastAsia="Calibri" w:hAnsi="Times New Roman"/>
          <w:b/>
          <w:bCs/>
          <w:sz w:val="20"/>
          <w:szCs w:val="20"/>
          <w:lang w:val="en-IN"/>
        </w:rPr>
        <w:tab/>
      </w:r>
      <w:r w:rsidRPr="00F038BD">
        <w:rPr>
          <w:rFonts w:ascii="Times New Roman" w:eastAsia="Calibri" w:hAnsi="Times New Roman"/>
          <w:b/>
          <w:bCs/>
          <w:sz w:val="20"/>
          <w:szCs w:val="20"/>
          <w:lang w:val="en-IN"/>
        </w:rPr>
        <w:tab/>
      </w:r>
      <w:r w:rsidRPr="00F038BD">
        <w:rPr>
          <w:rFonts w:ascii="Times New Roman" w:eastAsia="Calibri" w:hAnsi="Times New Roman"/>
          <w:b/>
          <w:bCs/>
          <w:sz w:val="20"/>
          <w:szCs w:val="20"/>
          <w:lang w:val="en-IN"/>
        </w:rPr>
        <w:tab/>
      </w:r>
      <w:r w:rsidRPr="00F038BD">
        <w:rPr>
          <w:rFonts w:ascii="Times New Roman" w:eastAsia="Calibri" w:hAnsi="Times New Roman"/>
          <w:b/>
          <w:bCs/>
          <w:sz w:val="20"/>
          <w:szCs w:val="20"/>
          <w:lang w:val="en-IN"/>
        </w:rPr>
        <w:tab/>
      </w:r>
      <w:r w:rsidRPr="00F038BD">
        <w:rPr>
          <w:rFonts w:ascii="Times New Roman" w:eastAsia="Calibri" w:hAnsi="Times New Roman"/>
          <w:b/>
          <w:bCs/>
          <w:sz w:val="20"/>
          <w:szCs w:val="20"/>
          <w:lang w:val="en-IN"/>
        </w:rPr>
        <w:tab/>
        <w:t>(</w:t>
      </w:r>
      <w:r w:rsidRPr="00F038BD">
        <w:rPr>
          <w:rFonts w:ascii="Times New Roman" w:eastAsia="Calibri" w:hAnsi="Times New Roman"/>
          <w:b/>
          <w:i/>
          <w:sz w:val="20"/>
          <w:szCs w:val="20"/>
        </w:rPr>
        <w:t>₹</w:t>
      </w:r>
      <w:r w:rsidRPr="00F038BD">
        <w:rPr>
          <w:rFonts w:ascii="Times New Roman" w:eastAsia="Calibri" w:hAnsi="Times New Roman"/>
          <w:b/>
          <w:bCs/>
          <w:i/>
          <w:sz w:val="20"/>
          <w:szCs w:val="20"/>
          <w:lang w:val="en-IN"/>
        </w:rPr>
        <w:t xml:space="preserve"> In Lakhs except percentages and ratios)</w:t>
      </w:r>
    </w:p>
    <w:tbl>
      <w:tblPr>
        <w:tblStyle w:val="TableGrid"/>
        <w:tblW w:w="5000" w:type="pct"/>
        <w:tblLook w:val="04A0" w:firstRow="1" w:lastRow="0" w:firstColumn="1" w:lastColumn="0" w:noHBand="0" w:noVBand="1"/>
      </w:tblPr>
      <w:tblGrid>
        <w:gridCol w:w="3754"/>
        <w:gridCol w:w="2246"/>
        <w:gridCol w:w="2254"/>
        <w:gridCol w:w="2202"/>
      </w:tblGrid>
      <w:tr w:rsidR="00F038BD" w:rsidRPr="00F038BD" w14:paraId="62A82BA1" w14:textId="77777777" w:rsidTr="00716083">
        <w:trPr>
          <w:trHeight w:val="23"/>
        </w:trPr>
        <w:tc>
          <w:tcPr>
            <w:tcW w:w="1795"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166E1D3" w14:textId="77777777" w:rsidR="00F038BD" w:rsidRPr="00F038BD" w:rsidRDefault="00F038BD" w:rsidP="00F038BD">
            <w:pPr>
              <w:spacing w:after="0" w:line="240" w:lineRule="auto"/>
              <w:contextualSpacing/>
              <w:rPr>
                <w:rFonts w:ascii="Times New Roman" w:eastAsia="Calibri" w:hAnsi="Times New Roman"/>
                <w:b/>
              </w:rPr>
            </w:pPr>
            <w:r w:rsidRPr="00F038BD">
              <w:rPr>
                <w:rFonts w:ascii="Times New Roman" w:eastAsia="Calibri" w:hAnsi="Times New Roman"/>
                <w:b/>
                <w:bCs/>
              </w:rPr>
              <w:t>Key Financial Performance</w:t>
            </w:r>
          </w:p>
        </w:tc>
        <w:tc>
          <w:tcPr>
            <w:tcW w:w="1074"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2F2199E" w14:textId="77777777" w:rsidR="00F038BD" w:rsidRPr="00F038BD" w:rsidRDefault="00F038BD" w:rsidP="00F038BD">
            <w:pPr>
              <w:spacing w:after="0" w:line="240" w:lineRule="auto"/>
              <w:contextualSpacing/>
              <w:jc w:val="center"/>
              <w:rPr>
                <w:rFonts w:ascii="Times New Roman" w:eastAsia="Calibri" w:hAnsi="Times New Roman"/>
                <w:b/>
              </w:rPr>
            </w:pPr>
            <w:r w:rsidRPr="00F038BD">
              <w:rPr>
                <w:rFonts w:ascii="Times New Roman" w:eastAsia="Calibri" w:hAnsi="Times New Roman"/>
                <w:b/>
                <w:bCs/>
              </w:rPr>
              <w:t>FY 2022-23</w:t>
            </w:r>
          </w:p>
        </w:tc>
        <w:tc>
          <w:tcPr>
            <w:tcW w:w="1078"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CCDA48E" w14:textId="77777777" w:rsidR="00F038BD" w:rsidRPr="00F038BD" w:rsidRDefault="00F038BD" w:rsidP="00F038BD">
            <w:pPr>
              <w:spacing w:after="0" w:line="240" w:lineRule="auto"/>
              <w:contextualSpacing/>
              <w:jc w:val="center"/>
              <w:rPr>
                <w:rFonts w:ascii="Times New Roman" w:eastAsia="Calibri" w:hAnsi="Times New Roman"/>
                <w:b/>
              </w:rPr>
            </w:pPr>
            <w:r w:rsidRPr="00F038BD">
              <w:rPr>
                <w:rFonts w:ascii="Times New Roman" w:eastAsia="Calibri" w:hAnsi="Times New Roman"/>
                <w:b/>
                <w:bCs/>
              </w:rPr>
              <w:t>FY 2021-22</w:t>
            </w:r>
          </w:p>
        </w:tc>
        <w:tc>
          <w:tcPr>
            <w:tcW w:w="1053"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82EB37A" w14:textId="77777777" w:rsidR="00F038BD" w:rsidRPr="00F038BD" w:rsidRDefault="00F038BD" w:rsidP="00F038BD">
            <w:pPr>
              <w:spacing w:after="0" w:line="240" w:lineRule="auto"/>
              <w:contextualSpacing/>
              <w:jc w:val="center"/>
              <w:rPr>
                <w:rFonts w:ascii="Times New Roman" w:eastAsia="Calibri" w:hAnsi="Times New Roman"/>
                <w:b/>
              </w:rPr>
            </w:pPr>
            <w:r w:rsidRPr="00F038BD">
              <w:rPr>
                <w:rFonts w:ascii="Times New Roman" w:eastAsia="Calibri" w:hAnsi="Times New Roman"/>
                <w:b/>
                <w:bCs/>
              </w:rPr>
              <w:t>FY 2020-21</w:t>
            </w:r>
          </w:p>
        </w:tc>
      </w:tr>
      <w:tr w:rsidR="00F038BD" w:rsidRPr="00F038BD" w14:paraId="6950CBDF" w14:textId="77777777" w:rsidTr="00716083">
        <w:trPr>
          <w:trHeight w:val="23"/>
        </w:trPr>
        <w:tc>
          <w:tcPr>
            <w:tcW w:w="1795" w:type="pct"/>
            <w:tcBorders>
              <w:top w:val="single" w:sz="4" w:space="0" w:color="auto"/>
              <w:left w:val="single" w:sz="4" w:space="0" w:color="auto"/>
              <w:bottom w:val="single" w:sz="4" w:space="0" w:color="auto"/>
              <w:right w:val="single" w:sz="4" w:space="0" w:color="auto"/>
            </w:tcBorders>
            <w:vAlign w:val="center"/>
            <w:hideMark/>
          </w:tcPr>
          <w:p w14:paraId="689EB74C" w14:textId="77777777" w:rsidR="00F038BD" w:rsidRPr="00F038BD" w:rsidRDefault="00F038BD" w:rsidP="00F038BD">
            <w:pPr>
              <w:spacing w:after="0" w:line="240" w:lineRule="auto"/>
              <w:contextualSpacing/>
              <w:rPr>
                <w:rFonts w:ascii="Times New Roman" w:hAnsi="Times New Roman"/>
                <w:b/>
              </w:rPr>
            </w:pPr>
            <w:r w:rsidRPr="00F038BD">
              <w:rPr>
                <w:rFonts w:ascii="Times New Roman" w:eastAsiaTheme="minorHAnsi" w:hAnsi="Times New Roman"/>
              </w:rPr>
              <w:t>Revenue from operations</w:t>
            </w:r>
            <w:r w:rsidRPr="00F038BD">
              <w:rPr>
                <w:rFonts w:ascii="Times New Roman" w:eastAsiaTheme="minorHAnsi" w:hAnsi="Times New Roman"/>
                <w:vertAlign w:val="superscript"/>
              </w:rPr>
              <w:t>(1)</w:t>
            </w:r>
          </w:p>
        </w:tc>
        <w:tc>
          <w:tcPr>
            <w:tcW w:w="1074" w:type="pct"/>
            <w:tcBorders>
              <w:top w:val="single" w:sz="4" w:space="0" w:color="auto"/>
              <w:left w:val="single" w:sz="4" w:space="0" w:color="auto"/>
              <w:bottom w:val="single" w:sz="4" w:space="0" w:color="auto"/>
              <w:right w:val="single" w:sz="4" w:space="0" w:color="auto"/>
            </w:tcBorders>
            <w:vAlign w:val="center"/>
            <w:hideMark/>
          </w:tcPr>
          <w:p w14:paraId="2BEAC975" w14:textId="77777777" w:rsidR="00F038BD" w:rsidRPr="00F038BD" w:rsidRDefault="00F038BD" w:rsidP="00F038BD">
            <w:pPr>
              <w:spacing w:after="0" w:line="240" w:lineRule="auto"/>
              <w:jc w:val="center"/>
              <w:rPr>
                <w:rFonts w:ascii="Times New Roman" w:hAnsi="Times New Roman"/>
                <w:bCs/>
              </w:rPr>
            </w:pPr>
            <w:r w:rsidRPr="00F038BD">
              <w:rPr>
                <w:rFonts w:ascii="Times New Roman" w:hAnsi="Times New Roman"/>
              </w:rPr>
              <w:t>49,287.35</w:t>
            </w:r>
          </w:p>
        </w:tc>
        <w:tc>
          <w:tcPr>
            <w:tcW w:w="1078" w:type="pct"/>
            <w:tcBorders>
              <w:top w:val="single" w:sz="4" w:space="0" w:color="auto"/>
              <w:left w:val="single" w:sz="4" w:space="0" w:color="auto"/>
              <w:bottom w:val="single" w:sz="4" w:space="0" w:color="auto"/>
              <w:right w:val="single" w:sz="4" w:space="0" w:color="auto"/>
            </w:tcBorders>
            <w:vAlign w:val="center"/>
            <w:hideMark/>
          </w:tcPr>
          <w:p w14:paraId="693F6817" w14:textId="77777777" w:rsidR="00F038BD" w:rsidRPr="00F038BD" w:rsidRDefault="00F038BD" w:rsidP="00F038BD">
            <w:pPr>
              <w:spacing w:after="0" w:line="240" w:lineRule="auto"/>
              <w:jc w:val="center"/>
              <w:rPr>
                <w:rFonts w:ascii="Times New Roman" w:hAnsi="Times New Roman"/>
                <w:bCs/>
              </w:rPr>
            </w:pPr>
            <w:r w:rsidRPr="00F038BD">
              <w:rPr>
                <w:rFonts w:ascii="Times New Roman" w:hAnsi="Times New Roman"/>
              </w:rPr>
              <w:t>42,323.27</w:t>
            </w:r>
          </w:p>
        </w:tc>
        <w:tc>
          <w:tcPr>
            <w:tcW w:w="1053" w:type="pct"/>
            <w:tcBorders>
              <w:top w:val="single" w:sz="4" w:space="0" w:color="auto"/>
              <w:left w:val="single" w:sz="4" w:space="0" w:color="auto"/>
              <w:bottom w:val="single" w:sz="4" w:space="0" w:color="auto"/>
              <w:right w:val="single" w:sz="4" w:space="0" w:color="auto"/>
            </w:tcBorders>
            <w:vAlign w:val="center"/>
            <w:hideMark/>
          </w:tcPr>
          <w:p w14:paraId="40892B59" w14:textId="77777777" w:rsidR="00F038BD" w:rsidRPr="00F038BD" w:rsidRDefault="00F038BD" w:rsidP="00F038BD">
            <w:pPr>
              <w:spacing w:after="0" w:line="240" w:lineRule="auto"/>
              <w:jc w:val="center"/>
              <w:rPr>
                <w:rFonts w:ascii="Times New Roman" w:hAnsi="Times New Roman"/>
                <w:bCs/>
              </w:rPr>
            </w:pPr>
            <w:r w:rsidRPr="00F038BD">
              <w:rPr>
                <w:rFonts w:ascii="Times New Roman" w:hAnsi="Times New Roman"/>
              </w:rPr>
              <w:t>13,867.05</w:t>
            </w:r>
          </w:p>
        </w:tc>
      </w:tr>
      <w:tr w:rsidR="00F038BD" w:rsidRPr="00F038BD" w14:paraId="3FA490DB" w14:textId="77777777" w:rsidTr="00716083">
        <w:trPr>
          <w:trHeight w:val="23"/>
        </w:trPr>
        <w:tc>
          <w:tcPr>
            <w:tcW w:w="1795" w:type="pct"/>
            <w:tcBorders>
              <w:top w:val="single" w:sz="4" w:space="0" w:color="auto"/>
              <w:left w:val="single" w:sz="4" w:space="0" w:color="auto"/>
              <w:bottom w:val="single" w:sz="4" w:space="0" w:color="auto"/>
              <w:right w:val="single" w:sz="4" w:space="0" w:color="auto"/>
            </w:tcBorders>
            <w:vAlign w:val="center"/>
            <w:hideMark/>
          </w:tcPr>
          <w:p w14:paraId="5BAA2258" w14:textId="77777777" w:rsidR="00F038BD" w:rsidRPr="00F038BD" w:rsidRDefault="00F038BD" w:rsidP="00F038BD">
            <w:pPr>
              <w:spacing w:after="0" w:line="240" w:lineRule="auto"/>
              <w:contextualSpacing/>
              <w:rPr>
                <w:rFonts w:ascii="Times New Roman" w:hAnsi="Times New Roman"/>
                <w:b/>
              </w:rPr>
            </w:pPr>
            <w:r w:rsidRPr="00F038BD">
              <w:rPr>
                <w:rFonts w:ascii="Times New Roman" w:eastAsiaTheme="minorHAnsi" w:hAnsi="Times New Roman"/>
              </w:rPr>
              <w:t>EBITDA</w:t>
            </w:r>
            <w:r w:rsidRPr="00F038BD">
              <w:rPr>
                <w:rFonts w:ascii="Times New Roman" w:eastAsiaTheme="minorHAnsi" w:hAnsi="Times New Roman"/>
                <w:vertAlign w:val="superscript"/>
              </w:rPr>
              <w:t>(2)</w:t>
            </w:r>
          </w:p>
        </w:tc>
        <w:tc>
          <w:tcPr>
            <w:tcW w:w="1074" w:type="pct"/>
            <w:tcBorders>
              <w:top w:val="single" w:sz="4" w:space="0" w:color="auto"/>
              <w:left w:val="single" w:sz="4" w:space="0" w:color="auto"/>
              <w:bottom w:val="single" w:sz="4" w:space="0" w:color="auto"/>
              <w:right w:val="single" w:sz="4" w:space="0" w:color="auto"/>
            </w:tcBorders>
            <w:hideMark/>
          </w:tcPr>
          <w:p w14:paraId="28F47F3C" w14:textId="77777777" w:rsidR="00F038BD" w:rsidRPr="00F038BD" w:rsidRDefault="00F038BD" w:rsidP="00F038BD">
            <w:pPr>
              <w:spacing w:after="0" w:line="240" w:lineRule="auto"/>
              <w:jc w:val="center"/>
              <w:rPr>
                <w:rFonts w:ascii="Times New Roman" w:hAnsi="Times New Roman"/>
              </w:rPr>
            </w:pPr>
            <w:r w:rsidRPr="00F038BD">
              <w:rPr>
                <w:rFonts w:ascii="Times New Roman" w:hAnsi="Times New Roman"/>
              </w:rPr>
              <w:t xml:space="preserve"> 1,157.48 </w:t>
            </w:r>
          </w:p>
        </w:tc>
        <w:tc>
          <w:tcPr>
            <w:tcW w:w="1078" w:type="pct"/>
            <w:tcBorders>
              <w:top w:val="single" w:sz="4" w:space="0" w:color="auto"/>
              <w:left w:val="single" w:sz="4" w:space="0" w:color="auto"/>
              <w:bottom w:val="single" w:sz="4" w:space="0" w:color="auto"/>
              <w:right w:val="single" w:sz="4" w:space="0" w:color="auto"/>
            </w:tcBorders>
            <w:hideMark/>
          </w:tcPr>
          <w:p w14:paraId="46C1DE8A" w14:textId="77777777" w:rsidR="00F038BD" w:rsidRPr="00F038BD" w:rsidRDefault="00F038BD" w:rsidP="00F038BD">
            <w:pPr>
              <w:spacing w:after="0" w:line="240" w:lineRule="auto"/>
              <w:jc w:val="center"/>
              <w:rPr>
                <w:rFonts w:ascii="Times New Roman" w:hAnsi="Times New Roman"/>
              </w:rPr>
            </w:pPr>
            <w:r w:rsidRPr="00F038BD">
              <w:rPr>
                <w:rFonts w:ascii="Times New Roman" w:hAnsi="Times New Roman"/>
              </w:rPr>
              <w:t xml:space="preserve"> 513.94 </w:t>
            </w:r>
          </w:p>
        </w:tc>
        <w:tc>
          <w:tcPr>
            <w:tcW w:w="1053" w:type="pct"/>
            <w:tcBorders>
              <w:top w:val="single" w:sz="4" w:space="0" w:color="auto"/>
              <w:left w:val="single" w:sz="4" w:space="0" w:color="auto"/>
              <w:bottom w:val="single" w:sz="4" w:space="0" w:color="auto"/>
              <w:right w:val="single" w:sz="4" w:space="0" w:color="auto"/>
            </w:tcBorders>
            <w:hideMark/>
          </w:tcPr>
          <w:p w14:paraId="16832163" w14:textId="77777777" w:rsidR="00F038BD" w:rsidRPr="00F038BD" w:rsidRDefault="00F038BD" w:rsidP="00F038BD">
            <w:pPr>
              <w:spacing w:after="0" w:line="240" w:lineRule="auto"/>
              <w:jc w:val="center"/>
              <w:rPr>
                <w:rFonts w:ascii="Times New Roman" w:hAnsi="Times New Roman"/>
              </w:rPr>
            </w:pPr>
            <w:r w:rsidRPr="00F038BD">
              <w:rPr>
                <w:rFonts w:ascii="Times New Roman" w:hAnsi="Times New Roman"/>
              </w:rPr>
              <w:t xml:space="preserve"> 375.97 </w:t>
            </w:r>
          </w:p>
        </w:tc>
      </w:tr>
      <w:tr w:rsidR="00F038BD" w:rsidRPr="00F038BD" w14:paraId="7CBBBB9D" w14:textId="77777777" w:rsidTr="00716083">
        <w:trPr>
          <w:trHeight w:val="23"/>
        </w:trPr>
        <w:tc>
          <w:tcPr>
            <w:tcW w:w="1795" w:type="pct"/>
            <w:tcBorders>
              <w:top w:val="single" w:sz="4" w:space="0" w:color="auto"/>
              <w:left w:val="single" w:sz="4" w:space="0" w:color="auto"/>
              <w:bottom w:val="single" w:sz="4" w:space="0" w:color="auto"/>
              <w:right w:val="single" w:sz="4" w:space="0" w:color="auto"/>
            </w:tcBorders>
            <w:vAlign w:val="center"/>
            <w:hideMark/>
          </w:tcPr>
          <w:p w14:paraId="2755FCC0" w14:textId="77777777" w:rsidR="00F038BD" w:rsidRPr="00F038BD" w:rsidRDefault="00F038BD" w:rsidP="00F038BD">
            <w:pPr>
              <w:spacing w:after="0" w:line="240" w:lineRule="auto"/>
              <w:contextualSpacing/>
              <w:rPr>
                <w:rFonts w:ascii="Times New Roman" w:hAnsi="Times New Roman"/>
                <w:b/>
              </w:rPr>
            </w:pPr>
            <w:r w:rsidRPr="00F038BD">
              <w:rPr>
                <w:rFonts w:ascii="Times New Roman" w:eastAsiaTheme="minorHAnsi" w:hAnsi="Times New Roman"/>
              </w:rPr>
              <w:t>EBITDA Margin</w:t>
            </w:r>
            <w:r w:rsidRPr="00F038BD">
              <w:rPr>
                <w:rFonts w:ascii="Times New Roman" w:eastAsiaTheme="minorHAnsi" w:hAnsi="Times New Roman"/>
                <w:vertAlign w:val="superscript"/>
              </w:rPr>
              <w:t>(3)</w:t>
            </w:r>
          </w:p>
        </w:tc>
        <w:tc>
          <w:tcPr>
            <w:tcW w:w="1074" w:type="pct"/>
            <w:tcBorders>
              <w:top w:val="single" w:sz="4" w:space="0" w:color="auto"/>
              <w:left w:val="single" w:sz="4" w:space="0" w:color="auto"/>
              <w:bottom w:val="single" w:sz="4" w:space="0" w:color="auto"/>
              <w:right w:val="single" w:sz="4" w:space="0" w:color="auto"/>
            </w:tcBorders>
            <w:vAlign w:val="center"/>
            <w:hideMark/>
          </w:tcPr>
          <w:p w14:paraId="28CE0767" w14:textId="77777777" w:rsidR="00F038BD" w:rsidRPr="00F038BD" w:rsidRDefault="00F038BD" w:rsidP="00F038BD">
            <w:pPr>
              <w:spacing w:after="0" w:line="240" w:lineRule="auto"/>
              <w:contextualSpacing/>
              <w:jc w:val="center"/>
              <w:rPr>
                <w:rFonts w:ascii="Times New Roman" w:eastAsia="Calibri" w:hAnsi="Times New Roman"/>
              </w:rPr>
            </w:pPr>
            <w:r w:rsidRPr="00F038BD">
              <w:rPr>
                <w:rFonts w:ascii="Times New Roman" w:hAnsi="Times New Roman"/>
              </w:rPr>
              <w:t>2.35%</w:t>
            </w:r>
          </w:p>
        </w:tc>
        <w:tc>
          <w:tcPr>
            <w:tcW w:w="1078" w:type="pct"/>
            <w:tcBorders>
              <w:top w:val="single" w:sz="4" w:space="0" w:color="auto"/>
              <w:left w:val="single" w:sz="4" w:space="0" w:color="auto"/>
              <w:bottom w:val="single" w:sz="4" w:space="0" w:color="auto"/>
              <w:right w:val="single" w:sz="4" w:space="0" w:color="auto"/>
            </w:tcBorders>
            <w:vAlign w:val="center"/>
            <w:hideMark/>
          </w:tcPr>
          <w:p w14:paraId="02FEAFFF" w14:textId="77777777" w:rsidR="00F038BD" w:rsidRPr="00F038BD" w:rsidRDefault="00F038BD" w:rsidP="00F038BD">
            <w:pPr>
              <w:spacing w:after="0" w:line="240" w:lineRule="auto"/>
              <w:contextualSpacing/>
              <w:jc w:val="center"/>
              <w:rPr>
                <w:rFonts w:ascii="Times New Roman" w:eastAsia="Calibri" w:hAnsi="Times New Roman"/>
              </w:rPr>
            </w:pPr>
            <w:r w:rsidRPr="00F038BD">
              <w:rPr>
                <w:rFonts w:ascii="Times New Roman" w:hAnsi="Times New Roman"/>
              </w:rPr>
              <w:t>1.21%</w:t>
            </w:r>
          </w:p>
        </w:tc>
        <w:tc>
          <w:tcPr>
            <w:tcW w:w="1053" w:type="pct"/>
            <w:tcBorders>
              <w:top w:val="single" w:sz="4" w:space="0" w:color="auto"/>
              <w:left w:val="single" w:sz="4" w:space="0" w:color="auto"/>
              <w:bottom w:val="single" w:sz="4" w:space="0" w:color="auto"/>
              <w:right w:val="single" w:sz="4" w:space="0" w:color="auto"/>
            </w:tcBorders>
            <w:vAlign w:val="center"/>
            <w:hideMark/>
          </w:tcPr>
          <w:p w14:paraId="7FB2783D" w14:textId="77777777" w:rsidR="00F038BD" w:rsidRPr="00F038BD" w:rsidRDefault="00F038BD" w:rsidP="00F038BD">
            <w:pPr>
              <w:spacing w:after="0" w:line="240" w:lineRule="auto"/>
              <w:contextualSpacing/>
              <w:jc w:val="center"/>
              <w:rPr>
                <w:rFonts w:ascii="Times New Roman" w:eastAsia="Calibri" w:hAnsi="Times New Roman"/>
              </w:rPr>
            </w:pPr>
            <w:r w:rsidRPr="00F038BD">
              <w:rPr>
                <w:rFonts w:ascii="Times New Roman" w:hAnsi="Times New Roman"/>
              </w:rPr>
              <w:t>2.71%</w:t>
            </w:r>
          </w:p>
        </w:tc>
      </w:tr>
      <w:tr w:rsidR="00F038BD" w:rsidRPr="00F038BD" w14:paraId="7BE95C43" w14:textId="77777777" w:rsidTr="00716083">
        <w:trPr>
          <w:trHeight w:val="23"/>
        </w:trPr>
        <w:tc>
          <w:tcPr>
            <w:tcW w:w="1795" w:type="pct"/>
            <w:tcBorders>
              <w:top w:val="single" w:sz="4" w:space="0" w:color="auto"/>
              <w:left w:val="single" w:sz="4" w:space="0" w:color="auto"/>
              <w:bottom w:val="single" w:sz="4" w:space="0" w:color="auto"/>
              <w:right w:val="single" w:sz="4" w:space="0" w:color="auto"/>
            </w:tcBorders>
            <w:vAlign w:val="center"/>
            <w:hideMark/>
          </w:tcPr>
          <w:p w14:paraId="491965C1" w14:textId="77777777" w:rsidR="00F038BD" w:rsidRPr="00F038BD" w:rsidRDefault="00F038BD" w:rsidP="00F038BD">
            <w:pPr>
              <w:spacing w:after="0" w:line="240" w:lineRule="auto"/>
              <w:contextualSpacing/>
              <w:rPr>
                <w:rFonts w:ascii="Times New Roman" w:hAnsi="Times New Roman"/>
                <w:b/>
              </w:rPr>
            </w:pPr>
            <w:r w:rsidRPr="00F038BD">
              <w:rPr>
                <w:rFonts w:ascii="Times New Roman" w:eastAsiaTheme="minorHAnsi" w:hAnsi="Times New Roman"/>
              </w:rPr>
              <w:t>PAT</w:t>
            </w:r>
            <w:r w:rsidRPr="00F038BD">
              <w:rPr>
                <w:rFonts w:ascii="Times New Roman" w:eastAsiaTheme="minorHAnsi" w:hAnsi="Times New Roman"/>
                <w:vertAlign w:val="superscript"/>
              </w:rPr>
              <w:t>(4)</w:t>
            </w:r>
          </w:p>
        </w:tc>
        <w:tc>
          <w:tcPr>
            <w:tcW w:w="1074" w:type="pct"/>
            <w:tcBorders>
              <w:top w:val="single" w:sz="4" w:space="0" w:color="auto"/>
              <w:left w:val="single" w:sz="4" w:space="0" w:color="auto"/>
              <w:bottom w:val="single" w:sz="4" w:space="0" w:color="auto"/>
              <w:right w:val="single" w:sz="4" w:space="0" w:color="auto"/>
            </w:tcBorders>
            <w:vAlign w:val="center"/>
            <w:hideMark/>
          </w:tcPr>
          <w:p w14:paraId="6E61705B" w14:textId="77777777" w:rsidR="00F038BD" w:rsidRPr="00F038BD" w:rsidRDefault="00F038BD" w:rsidP="00F038BD">
            <w:pPr>
              <w:spacing w:after="0" w:line="240" w:lineRule="auto"/>
              <w:jc w:val="center"/>
              <w:rPr>
                <w:rFonts w:ascii="Times New Roman" w:hAnsi="Times New Roman"/>
                <w:bCs/>
              </w:rPr>
            </w:pPr>
            <w:r w:rsidRPr="00F038BD">
              <w:rPr>
                <w:rFonts w:ascii="Times New Roman" w:hAnsi="Times New Roman"/>
              </w:rPr>
              <w:t>765.42</w:t>
            </w:r>
          </w:p>
        </w:tc>
        <w:tc>
          <w:tcPr>
            <w:tcW w:w="1078" w:type="pct"/>
            <w:tcBorders>
              <w:top w:val="single" w:sz="4" w:space="0" w:color="auto"/>
              <w:left w:val="single" w:sz="4" w:space="0" w:color="auto"/>
              <w:bottom w:val="single" w:sz="4" w:space="0" w:color="auto"/>
              <w:right w:val="single" w:sz="4" w:space="0" w:color="auto"/>
            </w:tcBorders>
            <w:vAlign w:val="center"/>
            <w:hideMark/>
          </w:tcPr>
          <w:p w14:paraId="2B204BB2" w14:textId="77777777" w:rsidR="00F038BD" w:rsidRPr="00F038BD" w:rsidRDefault="00F038BD" w:rsidP="00F038BD">
            <w:pPr>
              <w:spacing w:after="0" w:line="240" w:lineRule="auto"/>
              <w:jc w:val="center"/>
              <w:rPr>
                <w:rFonts w:ascii="Times New Roman" w:hAnsi="Times New Roman"/>
                <w:bCs/>
              </w:rPr>
            </w:pPr>
            <w:r w:rsidRPr="00F038BD">
              <w:rPr>
                <w:rFonts w:ascii="Times New Roman" w:hAnsi="Times New Roman"/>
                <w:bCs/>
              </w:rPr>
              <w:t>322.47</w:t>
            </w:r>
          </w:p>
        </w:tc>
        <w:tc>
          <w:tcPr>
            <w:tcW w:w="1053" w:type="pct"/>
            <w:tcBorders>
              <w:top w:val="single" w:sz="4" w:space="0" w:color="auto"/>
              <w:left w:val="single" w:sz="4" w:space="0" w:color="auto"/>
              <w:bottom w:val="single" w:sz="4" w:space="0" w:color="auto"/>
              <w:right w:val="single" w:sz="4" w:space="0" w:color="auto"/>
            </w:tcBorders>
            <w:vAlign w:val="center"/>
            <w:hideMark/>
          </w:tcPr>
          <w:p w14:paraId="1104B03A" w14:textId="77777777" w:rsidR="00F038BD" w:rsidRPr="00F038BD" w:rsidRDefault="00F038BD" w:rsidP="00F038BD">
            <w:pPr>
              <w:spacing w:after="0" w:line="240" w:lineRule="auto"/>
              <w:jc w:val="center"/>
              <w:rPr>
                <w:rFonts w:ascii="Times New Roman" w:hAnsi="Times New Roman"/>
                <w:bCs/>
              </w:rPr>
            </w:pPr>
            <w:r w:rsidRPr="00F038BD">
              <w:rPr>
                <w:rFonts w:ascii="Times New Roman" w:hAnsi="Times New Roman"/>
              </w:rPr>
              <w:t>142.28</w:t>
            </w:r>
          </w:p>
        </w:tc>
      </w:tr>
      <w:tr w:rsidR="00F038BD" w:rsidRPr="00F038BD" w14:paraId="160F462F" w14:textId="77777777" w:rsidTr="00716083">
        <w:trPr>
          <w:trHeight w:val="23"/>
        </w:trPr>
        <w:tc>
          <w:tcPr>
            <w:tcW w:w="1795" w:type="pct"/>
            <w:tcBorders>
              <w:top w:val="single" w:sz="4" w:space="0" w:color="auto"/>
              <w:left w:val="single" w:sz="4" w:space="0" w:color="auto"/>
              <w:bottom w:val="single" w:sz="4" w:space="0" w:color="auto"/>
              <w:right w:val="single" w:sz="4" w:space="0" w:color="auto"/>
            </w:tcBorders>
            <w:vAlign w:val="center"/>
            <w:hideMark/>
          </w:tcPr>
          <w:p w14:paraId="42856336" w14:textId="77777777" w:rsidR="00F038BD" w:rsidRPr="00F038BD" w:rsidRDefault="00F038BD" w:rsidP="00F038BD">
            <w:pPr>
              <w:spacing w:after="0" w:line="240" w:lineRule="auto"/>
              <w:contextualSpacing/>
              <w:rPr>
                <w:rFonts w:ascii="Times New Roman" w:hAnsi="Times New Roman"/>
                <w:b/>
              </w:rPr>
            </w:pPr>
            <w:r w:rsidRPr="00F038BD">
              <w:rPr>
                <w:rFonts w:ascii="Times New Roman" w:eastAsiaTheme="minorHAnsi" w:hAnsi="Times New Roman"/>
              </w:rPr>
              <w:t>PAT Margin</w:t>
            </w:r>
            <w:r w:rsidRPr="00F038BD">
              <w:rPr>
                <w:rFonts w:ascii="Times New Roman" w:eastAsiaTheme="minorHAnsi" w:hAnsi="Times New Roman"/>
                <w:vertAlign w:val="superscript"/>
              </w:rPr>
              <w:t>(5)</w:t>
            </w:r>
          </w:p>
        </w:tc>
        <w:tc>
          <w:tcPr>
            <w:tcW w:w="1074" w:type="pct"/>
            <w:tcBorders>
              <w:top w:val="single" w:sz="4" w:space="0" w:color="auto"/>
              <w:left w:val="single" w:sz="4" w:space="0" w:color="auto"/>
              <w:bottom w:val="single" w:sz="4" w:space="0" w:color="auto"/>
              <w:right w:val="single" w:sz="4" w:space="0" w:color="auto"/>
            </w:tcBorders>
            <w:vAlign w:val="center"/>
          </w:tcPr>
          <w:p w14:paraId="123BE59D" w14:textId="77777777" w:rsidR="00F038BD" w:rsidRPr="00F038BD" w:rsidRDefault="00F038BD" w:rsidP="00F038BD">
            <w:pPr>
              <w:spacing w:after="0" w:line="240" w:lineRule="auto"/>
              <w:contextualSpacing/>
              <w:jc w:val="center"/>
              <w:rPr>
                <w:rFonts w:ascii="Times New Roman" w:eastAsia="Calibri" w:hAnsi="Times New Roman"/>
              </w:rPr>
            </w:pPr>
            <w:r w:rsidRPr="00F038BD">
              <w:rPr>
                <w:rFonts w:ascii="Times New Roman" w:hAnsi="Times New Roman"/>
              </w:rPr>
              <w:t>1.55%</w:t>
            </w:r>
          </w:p>
        </w:tc>
        <w:tc>
          <w:tcPr>
            <w:tcW w:w="1078" w:type="pct"/>
            <w:tcBorders>
              <w:top w:val="single" w:sz="4" w:space="0" w:color="auto"/>
              <w:left w:val="single" w:sz="4" w:space="0" w:color="auto"/>
              <w:bottom w:val="single" w:sz="4" w:space="0" w:color="auto"/>
              <w:right w:val="single" w:sz="4" w:space="0" w:color="auto"/>
            </w:tcBorders>
            <w:vAlign w:val="center"/>
          </w:tcPr>
          <w:p w14:paraId="1EE46718" w14:textId="77777777" w:rsidR="00F038BD" w:rsidRPr="00F038BD" w:rsidRDefault="00F038BD" w:rsidP="00F038BD">
            <w:pPr>
              <w:spacing w:after="0" w:line="240" w:lineRule="auto"/>
              <w:contextualSpacing/>
              <w:jc w:val="center"/>
              <w:rPr>
                <w:rFonts w:ascii="Times New Roman" w:eastAsia="Calibri" w:hAnsi="Times New Roman"/>
              </w:rPr>
            </w:pPr>
            <w:r w:rsidRPr="00F038BD">
              <w:rPr>
                <w:rFonts w:ascii="Times New Roman" w:hAnsi="Times New Roman"/>
              </w:rPr>
              <w:t>0.76%</w:t>
            </w:r>
          </w:p>
        </w:tc>
        <w:tc>
          <w:tcPr>
            <w:tcW w:w="1053" w:type="pct"/>
            <w:tcBorders>
              <w:top w:val="single" w:sz="4" w:space="0" w:color="auto"/>
              <w:left w:val="single" w:sz="4" w:space="0" w:color="auto"/>
              <w:bottom w:val="single" w:sz="4" w:space="0" w:color="auto"/>
              <w:right w:val="single" w:sz="4" w:space="0" w:color="auto"/>
            </w:tcBorders>
            <w:vAlign w:val="center"/>
          </w:tcPr>
          <w:p w14:paraId="3B53B9E4" w14:textId="77777777" w:rsidR="00F038BD" w:rsidRPr="00F038BD" w:rsidRDefault="00F038BD" w:rsidP="00F038BD">
            <w:pPr>
              <w:spacing w:after="0" w:line="240" w:lineRule="auto"/>
              <w:contextualSpacing/>
              <w:jc w:val="center"/>
              <w:rPr>
                <w:rFonts w:ascii="Times New Roman" w:eastAsia="Calibri" w:hAnsi="Times New Roman"/>
              </w:rPr>
            </w:pPr>
            <w:r w:rsidRPr="00F038BD">
              <w:rPr>
                <w:rFonts w:ascii="Times New Roman" w:hAnsi="Times New Roman"/>
              </w:rPr>
              <w:t>1.03%</w:t>
            </w:r>
          </w:p>
        </w:tc>
      </w:tr>
      <w:tr w:rsidR="00F038BD" w:rsidRPr="00F038BD" w14:paraId="4FBD91B0" w14:textId="77777777" w:rsidTr="00716083">
        <w:trPr>
          <w:trHeight w:val="23"/>
        </w:trPr>
        <w:tc>
          <w:tcPr>
            <w:tcW w:w="1795" w:type="pct"/>
            <w:tcBorders>
              <w:top w:val="single" w:sz="4" w:space="0" w:color="auto"/>
              <w:left w:val="single" w:sz="4" w:space="0" w:color="auto"/>
              <w:bottom w:val="single" w:sz="4" w:space="0" w:color="auto"/>
              <w:right w:val="single" w:sz="4" w:space="0" w:color="auto"/>
            </w:tcBorders>
            <w:vAlign w:val="center"/>
          </w:tcPr>
          <w:p w14:paraId="63043132" w14:textId="77777777" w:rsidR="00F038BD" w:rsidRPr="00F038BD" w:rsidRDefault="00F038BD" w:rsidP="00F038BD">
            <w:pPr>
              <w:spacing w:after="0" w:line="240" w:lineRule="auto"/>
              <w:contextualSpacing/>
              <w:rPr>
                <w:rFonts w:ascii="Times New Roman" w:eastAsiaTheme="minorHAnsi" w:hAnsi="Times New Roman"/>
              </w:rPr>
            </w:pPr>
            <w:r w:rsidRPr="00F038BD">
              <w:rPr>
                <w:rFonts w:ascii="Times New Roman" w:eastAsiaTheme="minorHAnsi" w:hAnsi="Times New Roman"/>
              </w:rPr>
              <w:t>RoE(%)</w:t>
            </w:r>
            <w:r w:rsidRPr="00F038BD">
              <w:rPr>
                <w:rFonts w:ascii="Times New Roman" w:eastAsiaTheme="minorHAnsi" w:hAnsi="Times New Roman"/>
                <w:vertAlign w:val="superscript"/>
              </w:rPr>
              <w:t>(6)</w:t>
            </w:r>
          </w:p>
        </w:tc>
        <w:tc>
          <w:tcPr>
            <w:tcW w:w="1074" w:type="pct"/>
            <w:tcBorders>
              <w:top w:val="single" w:sz="4" w:space="0" w:color="auto"/>
              <w:left w:val="single" w:sz="4" w:space="0" w:color="auto"/>
              <w:bottom w:val="single" w:sz="4" w:space="0" w:color="auto"/>
              <w:right w:val="single" w:sz="4" w:space="0" w:color="auto"/>
            </w:tcBorders>
            <w:vAlign w:val="center"/>
          </w:tcPr>
          <w:p w14:paraId="32E026E1" w14:textId="77777777" w:rsidR="00F038BD" w:rsidRPr="00F038BD" w:rsidRDefault="00F038BD" w:rsidP="00F038BD">
            <w:pPr>
              <w:spacing w:after="0" w:line="240" w:lineRule="auto"/>
              <w:contextualSpacing/>
              <w:jc w:val="center"/>
              <w:rPr>
                <w:rFonts w:ascii="Times New Roman" w:eastAsia="Calibri" w:hAnsi="Times New Roman"/>
              </w:rPr>
            </w:pPr>
            <w:r w:rsidRPr="00F038BD">
              <w:rPr>
                <w:rFonts w:ascii="Times New Roman" w:hAnsi="Times New Roman"/>
                <w:bCs/>
              </w:rPr>
              <w:t>17.97%</w:t>
            </w:r>
          </w:p>
        </w:tc>
        <w:tc>
          <w:tcPr>
            <w:tcW w:w="1078" w:type="pct"/>
            <w:tcBorders>
              <w:top w:val="single" w:sz="4" w:space="0" w:color="auto"/>
              <w:left w:val="single" w:sz="4" w:space="0" w:color="auto"/>
              <w:bottom w:val="single" w:sz="4" w:space="0" w:color="auto"/>
              <w:right w:val="single" w:sz="4" w:space="0" w:color="auto"/>
            </w:tcBorders>
            <w:vAlign w:val="center"/>
          </w:tcPr>
          <w:p w14:paraId="5C4045CD" w14:textId="77777777" w:rsidR="00F038BD" w:rsidRPr="00F038BD" w:rsidRDefault="00F038BD" w:rsidP="00F038BD">
            <w:pPr>
              <w:spacing w:after="0" w:line="240" w:lineRule="auto"/>
              <w:contextualSpacing/>
              <w:jc w:val="center"/>
              <w:rPr>
                <w:rFonts w:ascii="Times New Roman" w:eastAsia="Calibri" w:hAnsi="Times New Roman"/>
              </w:rPr>
            </w:pPr>
            <w:r w:rsidRPr="00F038BD">
              <w:rPr>
                <w:rFonts w:ascii="Times New Roman" w:hAnsi="Times New Roman"/>
                <w:bCs/>
              </w:rPr>
              <w:t>8.68%</w:t>
            </w:r>
          </w:p>
        </w:tc>
        <w:tc>
          <w:tcPr>
            <w:tcW w:w="1053" w:type="pct"/>
            <w:tcBorders>
              <w:top w:val="single" w:sz="4" w:space="0" w:color="auto"/>
              <w:left w:val="single" w:sz="4" w:space="0" w:color="auto"/>
              <w:bottom w:val="single" w:sz="4" w:space="0" w:color="auto"/>
              <w:right w:val="single" w:sz="4" w:space="0" w:color="auto"/>
            </w:tcBorders>
            <w:vAlign w:val="center"/>
          </w:tcPr>
          <w:p w14:paraId="28C2AEED" w14:textId="77777777" w:rsidR="00F038BD" w:rsidRPr="00F038BD" w:rsidRDefault="00F038BD" w:rsidP="00F038BD">
            <w:pPr>
              <w:spacing w:after="0" w:line="240" w:lineRule="auto"/>
              <w:contextualSpacing/>
              <w:jc w:val="center"/>
              <w:rPr>
                <w:rFonts w:ascii="Times New Roman" w:eastAsia="Calibri" w:hAnsi="Times New Roman"/>
              </w:rPr>
            </w:pPr>
            <w:r w:rsidRPr="00F038BD">
              <w:rPr>
                <w:rFonts w:ascii="Times New Roman" w:hAnsi="Times New Roman"/>
                <w:bCs/>
              </w:rPr>
              <w:t>8.01%</w:t>
            </w:r>
          </w:p>
        </w:tc>
      </w:tr>
      <w:tr w:rsidR="00F038BD" w:rsidRPr="00F038BD" w14:paraId="69A652FF" w14:textId="77777777" w:rsidTr="00716083">
        <w:trPr>
          <w:trHeight w:val="23"/>
        </w:trPr>
        <w:tc>
          <w:tcPr>
            <w:tcW w:w="1795" w:type="pct"/>
            <w:tcBorders>
              <w:top w:val="single" w:sz="4" w:space="0" w:color="auto"/>
              <w:left w:val="single" w:sz="4" w:space="0" w:color="auto"/>
              <w:bottom w:val="single" w:sz="4" w:space="0" w:color="auto"/>
              <w:right w:val="single" w:sz="4" w:space="0" w:color="auto"/>
            </w:tcBorders>
            <w:vAlign w:val="center"/>
          </w:tcPr>
          <w:p w14:paraId="368AF3BD" w14:textId="77777777" w:rsidR="00F038BD" w:rsidRPr="00F038BD" w:rsidRDefault="00F038BD" w:rsidP="00F038BD">
            <w:pPr>
              <w:spacing w:after="0" w:line="240" w:lineRule="auto"/>
              <w:contextualSpacing/>
              <w:rPr>
                <w:rFonts w:ascii="Times New Roman" w:eastAsiaTheme="minorHAnsi" w:hAnsi="Times New Roman"/>
              </w:rPr>
            </w:pPr>
            <w:r w:rsidRPr="00F038BD">
              <w:rPr>
                <w:rFonts w:ascii="Times New Roman" w:eastAsiaTheme="minorHAnsi" w:hAnsi="Times New Roman"/>
              </w:rPr>
              <w:t>RoCE (%)</w:t>
            </w:r>
            <w:r w:rsidRPr="00F038BD">
              <w:rPr>
                <w:rFonts w:ascii="Times New Roman" w:eastAsiaTheme="minorHAnsi" w:hAnsi="Times New Roman"/>
                <w:vertAlign w:val="superscript"/>
              </w:rPr>
              <w:t>(7)</w:t>
            </w:r>
          </w:p>
        </w:tc>
        <w:tc>
          <w:tcPr>
            <w:tcW w:w="1074" w:type="pct"/>
            <w:tcBorders>
              <w:top w:val="single" w:sz="4" w:space="0" w:color="auto"/>
              <w:left w:val="single" w:sz="4" w:space="0" w:color="auto"/>
              <w:bottom w:val="single" w:sz="4" w:space="0" w:color="auto"/>
              <w:right w:val="single" w:sz="4" w:space="0" w:color="auto"/>
            </w:tcBorders>
          </w:tcPr>
          <w:p w14:paraId="0BB57B98" w14:textId="77777777" w:rsidR="00F038BD" w:rsidRPr="00F038BD" w:rsidRDefault="00F038BD" w:rsidP="00F038BD">
            <w:pPr>
              <w:spacing w:after="0" w:line="240" w:lineRule="auto"/>
              <w:contextualSpacing/>
              <w:jc w:val="center"/>
              <w:rPr>
                <w:rFonts w:ascii="Times New Roman" w:eastAsia="Calibri" w:hAnsi="Times New Roman"/>
              </w:rPr>
            </w:pPr>
            <w:r w:rsidRPr="00F038BD">
              <w:rPr>
                <w:rFonts w:ascii="Times New Roman" w:hAnsi="Times New Roman"/>
                <w:bCs/>
              </w:rPr>
              <w:t xml:space="preserve"> 13.42%</w:t>
            </w:r>
          </w:p>
        </w:tc>
        <w:tc>
          <w:tcPr>
            <w:tcW w:w="1078" w:type="pct"/>
            <w:tcBorders>
              <w:top w:val="single" w:sz="4" w:space="0" w:color="auto"/>
              <w:left w:val="single" w:sz="4" w:space="0" w:color="auto"/>
              <w:bottom w:val="single" w:sz="4" w:space="0" w:color="auto"/>
              <w:right w:val="single" w:sz="4" w:space="0" w:color="auto"/>
            </w:tcBorders>
          </w:tcPr>
          <w:p w14:paraId="4C533934" w14:textId="77777777" w:rsidR="00F038BD" w:rsidRPr="00F038BD" w:rsidRDefault="00F038BD" w:rsidP="00F038BD">
            <w:pPr>
              <w:spacing w:after="0" w:line="240" w:lineRule="auto"/>
              <w:contextualSpacing/>
              <w:jc w:val="center"/>
              <w:rPr>
                <w:rFonts w:ascii="Times New Roman" w:eastAsia="Calibri" w:hAnsi="Times New Roman"/>
              </w:rPr>
            </w:pPr>
            <w:r w:rsidRPr="00F038BD">
              <w:rPr>
                <w:rFonts w:ascii="Times New Roman" w:hAnsi="Times New Roman"/>
                <w:bCs/>
              </w:rPr>
              <w:t xml:space="preserve"> 10.38%</w:t>
            </w:r>
          </w:p>
        </w:tc>
        <w:tc>
          <w:tcPr>
            <w:tcW w:w="1053" w:type="pct"/>
            <w:tcBorders>
              <w:top w:val="single" w:sz="4" w:space="0" w:color="auto"/>
              <w:left w:val="single" w:sz="4" w:space="0" w:color="auto"/>
              <w:bottom w:val="single" w:sz="4" w:space="0" w:color="auto"/>
              <w:right w:val="single" w:sz="4" w:space="0" w:color="auto"/>
            </w:tcBorders>
          </w:tcPr>
          <w:p w14:paraId="2FC66891" w14:textId="77777777" w:rsidR="00F038BD" w:rsidRPr="00F038BD" w:rsidRDefault="00F038BD" w:rsidP="00F038BD">
            <w:pPr>
              <w:spacing w:after="0" w:line="240" w:lineRule="auto"/>
              <w:contextualSpacing/>
              <w:jc w:val="center"/>
              <w:rPr>
                <w:rFonts w:ascii="Times New Roman" w:eastAsia="Calibri" w:hAnsi="Times New Roman"/>
              </w:rPr>
            </w:pPr>
            <w:r w:rsidRPr="00F038BD">
              <w:rPr>
                <w:rFonts w:ascii="Times New Roman" w:hAnsi="Times New Roman"/>
                <w:bCs/>
              </w:rPr>
              <w:t xml:space="preserve"> 5.39%</w:t>
            </w:r>
          </w:p>
        </w:tc>
      </w:tr>
    </w:tbl>
    <w:p w14:paraId="2CCAF60D" w14:textId="77777777" w:rsidR="00F038BD" w:rsidRPr="00F038BD" w:rsidRDefault="00F038BD" w:rsidP="00F038BD">
      <w:pPr>
        <w:autoSpaceDE w:val="0"/>
        <w:autoSpaceDN w:val="0"/>
        <w:adjustRightInd w:val="0"/>
        <w:spacing w:after="0" w:line="240" w:lineRule="auto"/>
        <w:rPr>
          <w:rFonts w:ascii="Times New Roman" w:eastAsia="Calibri" w:hAnsi="Times New Roman"/>
          <w:b/>
          <w:bCs/>
          <w:i/>
          <w:iCs/>
          <w:sz w:val="20"/>
          <w:szCs w:val="20"/>
          <w:lang w:val="en-IN"/>
        </w:rPr>
      </w:pPr>
      <w:bookmarkStart w:id="9" w:name="_Hlk145945862"/>
      <w:r w:rsidRPr="00F038BD">
        <w:rPr>
          <w:rFonts w:ascii="Times New Roman" w:eastAsia="Calibri" w:hAnsi="Times New Roman"/>
          <w:b/>
          <w:bCs/>
          <w:i/>
          <w:iCs/>
          <w:sz w:val="20"/>
          <w:szCs w:val="20"/>
          <w:lang w:val="en-IN"/>
        </w:rPr>
        <w:t>Notes:</w:t>
      </w:r>
    </w:p>
    <w:p w14:paraId="014E1C68" w14:textId="77777777" w:rsidR="00F038BD" w:rsidRPr="00F038BD" w:rsidRDefault="00F038BD" w:rsidP="00F038BD">
      <w:pPr>
        <w:autoSpaceDE w:val="0"/>
        <w:autoSpaceDN w:val="0"/>
        <w:adjustRightInd w:val="0"/>
        <w:spacing w:after="0" w:line="240" w:lineRule="auto"/>
        <w:rPr>
          <w:rFonts w:ascii="Times New Roman" w:eastAsia="Calibri" w:hAnsi="Times New Roman"/>
          <w:i/>
          <w:iCs/>
          <w:sz w:val="20"/>
          <w:szCs w:val="20"/>
          <w:lang w:val="en-IN"/>
        </w:rPr>
      </w:pPr>
      <w:r w:rsidRPr="00F038BD">
        <w:rPr>
          <w:rFonts w:ascii="Times New Roman" w:eastAsia="Calibri" w:hAnsi="Times New Roman"/>
          <w:i/>
          <w:iCs/>
          <w:sz w:val="20"/>
          <w:szCs w:val="20"/>
          <w:vertAlign w:val="superscript"/>
          <w:lang w:val="en-IN"/>
        </w:rPr>
        <w:t xml:space="preserve">(1) </w:t>
      </w:r>
      <w:r w:rsidRPr="00F038BD">
        <w:rPr>
          <w:rFonts w:ascii="Times New Roman" w:eastAsia="Calibri" w:hAnsi="Times New Roman"/>
          <w:i/>
          <w:iCs/>
          <w:sz w:val="20"/>
          <w:szCs w:val="20"/>
          <w:lang w:val="en-IN"/>
        </w:rPr>
        <w:t>Revenue from operation means revenue from sales, service and other operating revenues</w:t>
      </w:r>
    </w:p>
    <w:p w14:paraId="2CA4606E" w14:textId="77777777" w:rsidR="00F038BD" w:rsidRPr="00F038BD" w:rsidRDefault="00F038BD" w:rsidP="00F038BD">
      <w:pPr>
        <w:autoSpaceDE w:val="0"/>
        <w:autoSpaceDN w:val="0"/>
        <w:adjustRightInd w:val="0"/>
        <w:spacing w:after="0" w:line="240" w:lineRule="auto"/>
        <w:rPr>
          <w:rFonts w:ascii="Times New Roman" w:eastAsia="Calibri" w:hAnsi="Times New Roman"/>
          <w:i/>
          <w:iCs/>
          <w:sz w:val="20"/>
          <w:szCs w:val="20"/>
          <w:lang w:val="en-IN"/>
        </w:rPr>
      </w:pPr>
      <w:r w:rsidRPr="00F038BD">
        <w:rPr>
          <w:rFonts w:ascii="Times New Roman" w:eastAsia="Calibri" w:hAnsi="Times New Roman"/>
          <w:i/>
          <w:iCs/>
          <w:sz w:val="20"/>
          <w:szCs w:val="20"/>
          <w:vertAlign w:val="superscript"/>
          <w:lang w:val="en-IN"/>
        </w:rPr>
        <w:t xml:space="preserve">(2) </w:t>
      </w:r>
      <w:r w:rsidRPr="00F038BD">
        <w:rPr>
          <w:rFonts w:ascii="Times New Roman" w:eastAsia="Calibri" w:hAnsi="Times New Roman"/>
          <w:i/>
          <w:iCs/>
          <w:sz w:val="20"/>
          <w:szCs w:val="20"/>
          <w:lang w:val="en-IN"/>
        </w:rPr>
        <w:t>EBITDA is calculated as Profit before tax + Depreciation + Interest Expenses - Other Income</w:t>
      </w:r>
    </w:p>
    <w:p w14:paraId="39141A9A" w14:textId="77777777" w:rsidR="00F038BD" w:rsidRPr="00F038BD" w:rsidRDefault="00F038BD" w:rsidP="00F038BD">
      <w:pPr>
        <w:autoSpaceDE w:val="0"/>
        <w:autoSpaceDN w:val="0"/>
        <w:adjustRightInd w:val="0"/>
        <w:spacing w:after="0" w:line="240" w:lineRule="auto"/>
        <w:rPr>
          <w:rFonts w:ascii="Times New Roman" w:eastAsia="Calibri" w:hAnsi="Times New Roman"/>
          <w:i/>
          <w:iCs/>
          <w:sz w:val="20"/>
          <w:szCs w:val="20"/>
          <w:lang w:val="en-IN"/>
        </w:rPr>
      </w:pPr>
      <w:r w:rsidRPr="00F038BD">
        <w:rPr>
          <w:rFonts w:ascii="Times New Roman" w:eastAsia="Calibri" w:hAnsi="Times New Roman"/>
          <w:i/>
          <w:iCs/>
          <w:sz w:val="20"/>
          <w:szCs w:val="20"/>
          <w:vertAlign w:val="superscript"/>
          <w:lang w:val="en-IN"/>
        </w:rPr>
        <w:t xml:space="preserve">(3) </w:t>
      </w:r>
      <w:r w:rsidRPr="00F038BD">
        <w:rPr>
          <w:rFonts w:ascii="Times New Roman" w:eastAsia="Calibri" w:hAnsi="Times New Roman"/>
          <w:i/>
          <w:iCs/>
          <w:sz w:val="20"/>
          <w:szCs w:val="20"/>
          <w:lang w:val="en-IN"/>
        </w:rPr>
        <w:t>EBITDA Margin is calculated as EBITDA divided by Revenue from Operations</w:t>
      </w:r>
    </w:p>
    <w:p w14:paraId="534D6597" w14:textId="77777777" w:rsidR="00F038BD" w:rsidRPr="00F038BD" w:rsidRDefault="00F038BD" w:rsidP="00F038BD">
      <w:pPr>
        <w:autoSpaceDE w:val="0"/>
        <w:autoSpaceDN w:val="0"/>
        <w:adjustRightInd w:val="0"/>
        <w:spacing w:after="0" w:line="240" w:lineRule="auto"/>
        <w:jc w:val="both"/>
        <w:rPr>
          <w:rFonts w:ascii="Times New Roman" w:eastAsiaTheme="minorHAnsi" w:hAnsi="Times New Roman"/>
          <w:i/>
          <w:iCs/>
          <w:sz w:val="20"/>
          <w:szCs w:val="20"/>
          <w:lang w:val="en-IN"/>
        </w:rPr>
      </w:pPr>
      <w:r w:rsidRPr="00F038BD">
        <w:rPr>
          <w:rFonts w:ascii="Times New Roman" w:eastAsiaTheme="minorHAnsi" w:hAnsi="Times New Roman"/>
          <w:i/>
          <w:iCs/>
          <w:sz w:val="20"/>
          <w:szCs w:val="20"/>
          <w:vertAlign w:val="superscript"/>
          <w:lang w:val="en-IN"/>
        </w:rPr>
        <w:t xml:space="preserve">(4) </w:t>
      </w:r>
      <w:r w:rsidRPr="00F038BD">
        <w:rPr>
          <w:rFonts w:ascii="Times New Roman" w:eastAsiaTheme="minorHAnsi" w:hAnsi="Times New Roman"/>
          <w:i/>
          <w:iCs/>
          <w:sz w:val="20"/>
          <w:szCs w:val="20"/>
          <w:lang w:val="en-IN"/>
        </w:rPr>
        <w:t>PAT is calculated as Profit before tax – Tax Expenses</w:t>
      </w:r>
    </w:p>
    <w:p w14:paraId="5B3F39B4" w14:textId="77777777" w:rsidR="00F038BD" w:rsidRPr="00F038BD" w:rsidRDefault="00F038BD" w:rsidP="00F038BD">
      <w:pPr>
        <w:spacing w:after="0" w:line="240" w:lineRule="auto"/>
        <w:contextualSpacing/>
        <w:jc w:val="both"/>
        <w:rPr>
          <w:rFonts w:ascii="Times New Roman" w:eastAsiaTheme="minorHAnsi" w:hAnsi="Times New Roman"/>
          <w:i/>
          <w:iCs/>
          <w:sz w:val="20"/>
          <w:szCs w:val="20"/>
          <w:lang w:val="en-IN"/>
        </w:rPr>
      </w:pPr>
      <w:r w:rsidRPr="00F038BD">
        <w:rPr>
          <w:rFonts w:ascii="Times New Roman" w:eastAsiaTheme="minorHAnsi" w:hAnsi="Times New Roman"/>
          <w:i/>
          <w:iCs/>
          <w:sz w:val="20"/>
          <w:szCs w:val="20"/>
          <w:vertAlign w:val="superscript"/>
          <w:lang w:val="en-IN"/>
        </w:rPr>
        <w:t>(5)</w:t>
      </w:r>
      <w:r w:rsidRPr="00F038BD">
        <w:rPr>
          <w:rFonts w:ascii="Times New Roman" w:eastAsiaTheme="minorHAnsi" w:hAnsi="Times New Roman"/>
          <w:i/>
          <w:iCs/>
          <w:sz w:val="20"/>
          <w:szCs w:val="20"/>
          <w:lang w:val="en-IN"/>
        </w:rPr>
        <w:t xml:space="preserve"> PAT Margin is calculated as PAT for the period/year divided by revenue from operations.</w:t>
      </w:r>
    </w:p>
    <w:p w14:paraId="2395A527" w14:textId="77777777" w:rsidR="00F038BD" w:rsidRPr="00F038BD" w:rsidRDefault="00F038BD" w:rsidP="00F038BD">
      <w:pPr>
        <w:spacing w:after="0" w:line="240" w:lineRule="auto"/>
        <w:jc w:val="both"/>
        <w:rPr>
          <w:rFonts w:ascii="Times New Roman" w:eastAsiaTheme="minorHAnsi" w:hAnsi="Times New Roman"/>
          <w:i/>
          <w:iCs/>
          <w:sz w:val="20"/>
          <w:szCs w:val="20"/>
          <w:lang w:val="en-IN"/>
        </w:rPr>
      </w:pPr>
      <w:r w:rsidRPr="00F038BD">
        <w:rPr>
          <w:rFonts w:ascii="Times New Roman" w:eastAsiaTheme="minorHAnsi" w:hAnsi="Times New Roman"/>
          <w:i/>
          <w:iCs/>
          <w:sz w:val="20"/>
          <w:szCs w:val="20"/>
          <w:vertAlign w:val="superscript"/>
          <w:lang w:val="en-IN"/>
        </w:rPr>
        <w:t>(6)</w:t>
      </w:r>
      <w:r w:rsidRPr="00F038BD">
        <w:rPr>
          <w:rFonts w:ascii="Times New Roman" w:eastAsiaTheme="minorHAnsi" w:hAnsi="Times New Roman"/>
          <w:i/>
          <w:iCs/>
          <w:sz w:val="20"/>
          <w:szCs w:val="20"/>
          <w:lang w:val="en-IN"/>
        </w:rPr>
        <w:t xml:space="preserve"> Return on Equity is ratio of Profit after Tax and Average Shareholder Equity</w:t>
      </w:r>
    </w:p>
    <w:p w14:paraId="3EED9F30" w14:textId="77777777" w:rsidR="00F038BD" w:rsidRPr="00F038BD" w:rsidRDefault="00F038BD" w:rsidP="00F038BD">
      <w:pPr>
        <w:spacing w:after="0" w:line="240" w:lineRule="auto"/>
        <w:jc w:val="both"/>
        <w:rPr>
          <w:rFonts w:ascii="Times New Roman" w:hAnsi="Times New Roman"/>
          <w:bCs/>
          <w:i/>
          <w:sz w:val="20"/>
          <w:szCs w:val="20"/>
        </w:rPr>
      </w:pPr>
      <w:r w:rsidRPr="00F038BD">
        <w:rPr>
          <w:rFonts w:ascii="Times New Roman" w:eastAsiaTheme="minorHAnsi" w:hAnsi="Times New Roman"/>
          <w:i/>
          <w:iCs/>
          <w:sz w:val="20"/>
          <w:szCs w:val="20"/>
          <w:vertAlign w:val="superscript"/>
          <w:lang w:val="en-IN"/>
        </w:rPr>
        <w:t xml:space="preserve">(7) </w:t>
      </w:r>
      <w:r w:rsidRPr="00F038BD">
        <w:rPr>
          <w:rFonts w:ascii="Times New Roman" w:hAnsi="Times New Roman"/>
          <w:bCs/>
          <w:i/>
          <w:sz w:val="20"/>
          <w:szCs w:val="20"/>
        </w:rPr>
        <w:t>Return on Capital Employed is calculated as EBIT divided by capital employed, which is defined as shareholders’ equity plus Long term borrowings and Short term borrowings.</w:t>
      </w:r>
    </w:p>
    <w:bookmarkEnd w:id="9"/>
    <w:p w14:paraId="3D00BBFF" w14:textId="77777777" w:rsidR="00F038BD" w:rsidRPr="00F038BD" w:rsidRDefault="00F038BD" w:rsidP="00F038BD">
      <w:pPr>
        <w:spacing w:after="0" w:line="240" w:lineRule="auto"/>
        <w:contextualSpacing/>
        <w:jc w:val="both"/>
        <w:rPr>
          <w:rFonts w:ascii="Times New Roman" w:eastAsia="Calibri" w:hAnsi="Times New Roman"/>
          <w:i/>
          <w:iCs/>
          <w:sz w:val="14"/>
          <w:szCs w:val="20"/>
          <w:lang w:val="en-IN"/>
        </w:rPr>
      </w:pPr>
    </w:p>
    <w:p w14:paraId="6038EB05" w14:textId="77777777" w:rsidR="00F038BD" w:rsidRPr="00F038BD" w:rsidRDefault="00F038BD" w:rsidP="00F038BD">
      <w:pPr>
        <w:spacing w:after="0" w:line="240" w:lineRule="auto"/>
        <w:contextualSpacing/>
        <w:jc w:val="both"/>
        <w:rPr>
          <w:rFonts w:ascii="Times New Roman" w:eastAsia="Calibri" w:hAnsi="Times New Roman"/>
          <w:b/>
          <w:bCs/>
          <w:sz w:val="20"/>
          <w:szCs w:val="20"/>
        </w:rPr>
      </w:pPr>
      <w:r w:rsidRPr="00F038BD">
        <w:rPr>
          <w:rFonts w:ascii="Times New Roman" w:eastAsia="Calibri" w:hAnsi="Times New Roman"/>
          <w:b/>
          <w:bCs/>
          <w:sz w:val="20"/>
          <w:szCs w:val="20"/>
        </w:rPr>
        <w:t>Explanation for KPI metrics:</w:t>
      </w:r>
    </w:p>
    <w:tbl>
      <w:tblPr>
        <w:tblStyle w:val="TableGrid"/>
        <w:tblW w:w="5000" w:type="pct"/>
        <w:tblLook w:val="04A0" w:firstRow="1" w:lastRow="0" w:firstColumn="1" w:lastColumn="0" w:noHBand="0" w:noVBand="1"/>
      </w:tblPr>
      <w:tblGrid>
        <w:gridCol w:w="1980"/>
        <w:gridCol w:w="8476"/>
      </w:tblGrid>
      <w:tr w:rsidR="00F038BD" w:rsidRPr="00F038BD" w14:paraId="040E01A2" w14:textId="77777777" w:rsidTr="00716083">
        <w:trPr>
          <w:trHeight w:val="23"/>
        </w:trPr>
        <w:tc>
          <w:tcPr>
            <w:tcW w:w="947" w:type="pct"/>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14:paraId="029D004D" w14:textId="77777777" w:rsidR="00F038BD" w:rsidRPr="00F038BD" w:rsidRDefault="00F038BD" w:rsidP="00F038BD">
            <w:pPr>
              <w:spacing w:after="0" w:line="240" w:lineRule="auto"/>
              <w:contextualSpacing/>
              <w:jc w:val="both"/>
              <w:rPr>
                <w:rFonts w:ascii="Times New Roman" w:eastAsia="Calibri" w:hAnsi="Times New Roman"/>
                <w:b/>
                <w:bCs/>
              </w:rPr>
            </w:pPr>
            <w:r w:rsidRPr="00F038BD">
              <w:rPr>
                <w:rFonts w:ascii="Times New Roman" w:eastAsia="Calibri" w:hAnsi="Times New Roman"/>
                <w:b/>
                <w:bCs/>
              </w:rPr>
              <w:t>KPI</w:t>
            </w:r>
          </w:p>
        </w:tc>
        <w:tc>
          <w:tcPr>
            <w:tcW w:w="4053" w:type="pct"/>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14:paraId="5C214983" w14:textId="77777777" w:rsidR="00F038BD" w:rsidRPr="00F038BD" w:rsidRDefault="00F038BD" w:rsidP="00F038BD">
            <w:pPr>
              <w:spacing w:after="0" w:line="240" w:lineRule="auto"/>
              <w:contextualSpacing/>
              <w:jc w:val="both"/>
              <w:rPr>
                <w:rFonts w:ascii="Times New Roman" w:eastAsia="Calibri" w:hAnsi="Times New Roman"/>
                <w:b/>
                <w:bCs/>
              </w:rPr>
            </w:pPr>
            <w:r w:rsidRPr="00F038BD">
              <w:rPr>
                <w:rFonts w:ascii="Times New Roman" w:eastAsia="Calibri" w:hAnsi="Times New Roman"/>
                <w:b/>
                <w:bCs/>
              </w:rPr>
              <w:t>Explanations</w:t>
            </w:r>
          </w:p>
        </w:tc>
      </w:tr>
      <w:tr w:rsidR="00F038BD" w:rsidRPr="00F038BD" w14:paraId="50A92D6D" w14:textId="77777777" w:rsidTr="00716083">
        <w:trPr>
          <w:trHeight w:val="23"/>
        </w:trPr>
        <w:tc>
          <w:tcPr>
            <w:tcW w:w="947" w:type="pct"/>
            <w:tcBorders>
              <w:top w:val="single" w:sz="4" w:space="0" w:color="000000"/>
              <w:left w:val="single" w:sz="4" w:space="0" w:color="000000"/>
              <w:bottom w:val="single" w:sz="4" w:space="0" w:color="000000"/>
              <w:right w:val="single" w:sz="4" w:space="0" w:color="000000"/>
            </w:tcBorders>
            <w:hideMark/>
          </w:tcPr>
          <w:p w14:paraId="28616291" w14:textId="77777777" w:rsidR="00F038BD" w:rsidRPr="00F038BD" w:rsidRDefault="00F038BD" w:rsidP="00F038BD">
            <w:pPr>
              <w:spacing w:after="0" w:line="240" w:lineRule="auto"/>
              <w:contextualSpacing/>
              <w:jc w:val="both"/>
              <w:rPr>
                <w:rFonts w:ascii="Times New Roman" w:eastAsia="Calibri" w:hAnsi="Times New Roman"/>
                <w:bCs/>
              </w:rPr>
            </w:pPr>
            <w:r w:rsidRPr="00F038BD">
              <w:rPr>
                <w:rFonts w:ascii="Times New Roman" w:eastAsia="Calibri" w:hAnsi="Times New Roman"/>
              </w:rPr>
              <w:t>Revenue from Operations</w:t>
            </w:r>
          </w:p>
        </w:tc>
        <w:tc>
          <w:tcPr>
            <w:tcW w:w="4053" w:type="pct"/>
            <w:tcBorders>
              <w:top w:val="single" w:sz="4" w:space="0" w:color="000000"/>
              <w:left w:val="single" w:sz="4" w:space="0" w:color="000000"/>
              <w:bottom w:val="single" w:sz="4" w:space="0" w:color="000000"/>
              <w:right w:val="single" w:sz="4" w:space="0" w:color="000000"/>
            </w:tcBorders>
            <w:hideMark/>
          </w:tcPr>
          <w:p w14:paraId="3B0F2FCA" w14:textId="77777777" w:rsidR="00F038BD" w:rsidRPr="00F038BD" w:rsidRDefault="00F038BD" w:rsidP="00F038BD">
            <w:pPr>
              <w:spacing w:after="0" w:line="240" w:lineRule="auto"/>
              <w:contextualSpacing/>
              <w:jc w:val="both"/>
              <w:rPr>
                <w:rFonts w:ascii="Times New Roman" w:eastAsia="Calibri" w:hAnsi="Times New Roman"/>
                <w:bCs/>
              </w:rPr>
            </w:pPr>
            <w:r w:rsidRPr="00F038BD">
              <w:rPr>
                <w:rFonts w:ascii="Times New Roman" w:eastAsia="Calibri" w:hAnsi="Times New Roman"/>
                <w:bCs/>
              </w:rPr>
              <w:t>Revenue from Operations is used by our management to track the revenue profile of the business and in turn helps to assess the overall financial performance of our Company and volume of our business</w:t>
            </w:r>
          </w:p>
        </w:tc>
      </w:tr>
      <w:tr w:rsidR="00F038BD" w:rsidRPr="00F038BD" w14:paraId="569EB1BC" w14:textId="77777777" w:rsidTr="00716083">
        <w:trPr>
          <w:trHeight w:val="23"/>
        </w:trPr>
        <w:tc>
          <w:tcPr>
            <w:tcW w:w="947" w:type="pct"/>
            <w:tcBorders>
              <w:top w:val="single" w:sz="4" w:space="0" w:color="000000"/>
              <w:left w:val="single" w:sz="4" w:space="0" w:color="000000"/>
              <w:bottom w:val="single" w:sz="4" w:space="0" w:color="000000"/>
              <w:right w:val="single" w:sz="4" w:space="0" w:color="000000"/>
            </w:tcBorders>
            <w:hideMark/>
          </w:tcPr>
          <w:p w14:paraId="05408EA9" w14:textId="77777777" w:rsidR="00F038BD" w:rsidRPr="00F038BD" w:rsidRDefault="00F038BD" w:rsidP="00F038BD">
            <w:pPr>
              <w:spacing w:after="0" w:line="240" w:lineRule="auto"/>
              <w:contextualSpacing/>
              <w:jc w:val="both"/>
              <w:rPr>
                <w:rFonts w:ascii="Times New Roman" w:eastAsia="Calibri" w:hAnsi="Times New Roman"/>
                <w:bCs/>
              </w:rPr>
            </w:pPr>
            <w:r w:rsidRPr="00F038BD">
              <w:rPr>
                <w:rFonts w:ascii="Times New Roman" w:eastAsia="Calibri" w:hAnsi="Times New Roman"/>
              </w:rPr>
              <w:t>EBITDA</w:t>
            </w:r>
          </w:p>
        </w:tc>
        <w:tc>
          <w:tcPr>
            <w:tcW w:w="4053" w:type="pct"/>
            <w:tcBorders>
              <w:top w:val="single" w:sz="4" w:space="0" w:color="000000"/>
              <w:left w:val="single" w:sz="4" w:space="0" w:color="000000"/>
              <w:bottom w:val="single" w:sz="4" w:space="0" w:color="000000"/>
              <w:right w:val="single" w:sz="4" w:space="0" w:color="000000"/>
            </w:tcBorders>
            <w:hideMark/>
          </w:tcPr>
          <w:p w14:paraId="18AD97A1" w14:textId="77777777" w:rsidR="00F038BD" w:rsidRPr="00F038BD" w:rsidRDefault="00F038BD" w:rsidP="00F038BD">
            <w:pPr>
              <w:spacing w:after="0" w:line="240" w:lineRule="auto"/>
              <w:contextualSpacing/>
              <w:jc w:val="both"/>
              <w:rPr>
                <w:rFonts w:ascii="Times New Roman" w:eastAsia="Calibri" w:hAnsi="Times New Roman"/>
                <w:bCs/>
              </w:rPr>
            </w:pPr>
            <w:r w:rsidRPr="00F038BD">
              <w:rPr>
                <w:rFonts w:ascii="Times New Roman" w:eastAsia="Calibri" w:hAnsi="Times New Roman"/>
              </w:rPr>
              <w:t>EBITDA provides information regarding the operational efficiency of the business</w:t>
            </w:r>
          </w:p>
        </w:tc>
      </w:tr>
      <w:tr w:rsidR="00F038BD" w:rsidRPr="00F038BD" w14:paraId="439435ED" w14:textId="77777777" w:rsidTr="00716083">
        <w:trPr>
          <w:trHeight w:val="23"/>
        </w:trPr>
        <w:tc>
          <w:tcPr>
            <w:tcW w:w="947" w:type="pct"/>
            <w:tcBorders>
              <w:top w:val="single" w:sz="4" w:space="0" w:color="000000"/>
              <w:left w:val="single" w:sz="4" w:space="0" w:color="000000"/>
              <w:bottom w:val="single" w:sz="4" w:space="0" w:color="000000"/>
              <w:right w:val="single" w:sz="4" w:space="0" w:color="000000"/>
            </w:tcBorders>
            <w:hideMark/>
          </w:tcPr>
          <w:p w14:paraId="2115669F" w14:textId="77777777" w:rsidR="00F038BD" w:rsidRPr="00F038BD" w:rsidRDefault="00F038BD" w:rsidP="00F038BD">
            <w:pPr>
              <w:spacing w:after="0" w:line="240" w:lineRule="auto"/>
              <w:contextualSpacing/>
              <w:jc w:val="both"/>
              <w:rPr>
                <w:rFonts w:ascii="Times New Roman" w:eastAsia="Calibri" w:hAnsi="Times New Roman"/>
                <w:bCs/>
              </w:rPr>
            </w:pPr>
            <w:r w:rsidRPr="00F038BD">
              <w:rPr>
                <w:rFonts w:ascii="Times New Roman" w:eastAsia="Calibri" w:hAnsi="Times New Roman"/>
              </w:rPr>
              <w:t>EBITDA Margin (%)</w:t>
            </w:r>
          </w:p>
        </w:tc>
        <w:tc>
          <w:tcPr>
            <w:tcW w:w="4053" w:type="pct"/>
            <w:tcBorders>
              <w:top w:val="single" w:sz="4" w:space="0" w:color="000000"/>
              <w:left w:val="single" w:sz="4" w:space="0" w:color="000000"/>
              <w:bottom w:val="single" w:sz="4" w:space="0" w:color="000000"/>
              <w:right w:val="single" w:sz="4" w:space="0" w:color="000000"/>
            </w:tcBorders>
            <w:hideMark/>
          </w:tcPr>
          <w:p w14:paraId="4D0E95C3" w14:textId="77777777" w:rsidR="00F038BD" w:rsidRPr="00F038BD" w:rsidRDefault="00F038BD" w:rsidP="00F038BD">
            <w:pPr>
              <w:autoSpaceDE w:val="0"/>
              <w:autoSpaceDN w:val="0"/>
              <w:adjustRightInd w:val="0"/>
              <w:spacing w:after="0" w:line="240" w:lineRule="auto"/>
              <w:jc w:val="both"/>
              <w:rPr>
                <w:rFonts w:ascii="Times New Roman" w:eastAsia="Calibri" w:hAnsi="Times New Roman"/>
                <w:bCs/>
              </w:rPr>
            </w:pPr>
            <w:r w:rsidRPr="00F038BD">
              <w:rPr>
                <w:rFonts w:ascii="Times New Roman" w:eastAsia="Calibri" w:hAnsi="Times New Roman"/>
              </w:rPr>
              <w:t>EBITDA Margin (%) is an indicator of the operational profitability and financial performance of our business</w:t>
            </w:r>
          </w:p>
        </w:tc>
      </w:tr>
      <w:tr w:rsidR="00F038BD" w:rsidRPr="00F038BD" w14:paraId="13CD9416" w14:textId="77777777" w:rsidTr="00716083">
        <w:trPr>
          <w:trHeight w:val="23"/>
        </w:trPr>
        <w:tc>
          <w:tcPr>
            <w:tcW w:w="947" w:type="pct"/>
            <w:tcBorders>
              <w:top w:val="single" w:sz="4" w:space="0" w:color="000000"/>
              <w:left w:val="single" w:sz="4" w:space="0" w:color="000000"/>
              <w:bottom w:val="single" w:sz="4" w:space="0" w:color="000000"/>
              <w:right w:val="single" w:sz="4" w:space="0" w:color="000000"/>
            </w:tcBorders>
            <w:hideMark/>
          </w:tcPr>
          <w:p w14:paraId="27E5A801" w14:textId="77777777" w:rsidR="00F038BD" w:rsidRPr="00F038BD" w:rsidRDefault="00F038BD" w:rsidP="00F038BD">
            <w:pPr>
              <w:spacing w:after="0" w:line="240" w:lineRule="auto"/>
              <w:contextualSpacing/>
              <w:jc w:val="both"/>
              <w:rPr>
                <w:rFonts w:ascii="Times New Roman" w:eastAsia="Calibri" w:hAnsi="Times New Roman"/>
                <w:bCs/>
              </w:rPr>
            </w:pPr>
            <w:r w:rsidRPr="00F038BD">
              <w:rPr>
                <w:rFonts w:ascii="Times New Roman" w:eastAsia="Calibri" w:hAnsi="Times New Roman"/>
              </w:rPr>
              <w:t>PAT</w:t>
            </w:r>
          </w:p>
        </w:tc>
        <w:tc>
          <w:tcPr>
            <w:tcW w:w="4053" w:type="pct"/>
            <w:tcBorders>
              <w:top w:val="single" w:sz="4" w:space="0" w:color="000000"/>
              <w:left w:val="single" w:sz="4" w:space="0" w:color="000000"/>
              <w:bottom w:val="single" w:sz="4" w:space="0" w:color="000000"/>
              <w:right w:val="single" w:sz="4" w:space="0" w:color="000000"/>
            </w:tcBorders>
            <w:hideMark/>
          </w:tcPr>
          <w:p w14:paraId="306AFF36" w14:textId="77777777" w:rsidR="00F038BD" w:rsidRPr="00F038BD" w:rsidRDefault="00F038BD" w:rsidP="00F038BD">
            <w:pPr>
              <w:spacing w:after="0" w:line="240" w:lineRule="auto"/>
              <w:contextualSpacing/>
              <w:jc w:val="both"/>
              <w:rPr>
                <w:rFonts w:ascii="Times New Roman" w:eastAsia="Calibri" w:hAnsi="Times New Roman"/>
                <w:bCs/>
              </w:rPr>
            </w:pPr>
            <w:r w:rsidRPr="00F038BD">
              <w:rPr>
                <w:rFonts w:ascii="Times New Roman" w:eastAsia="Calibri" w:hAnsi="Times New Roman"/>
                <w:bCs/>
              </w:rPr>
              <w:t>Profit after tax provides information regarding the overall profitability of the business.</w:t>
            </w:r>
          </w:p>
        </w:tc>
      </w:tr>
      <w:tr w:rsidR="00F038BD" w:rsidRPr="00F038BD" w14:paraId="1D1DF8E0" w14:textId="77777777" w:rsidTr="00716083">
        <w:trPr>
          <w:trHeight w:val="23"/>
        </w:trPr>
        <w:tc>
          <w:tcPr>
            <w:tcW w:w="947" w:type="pct"/>
            <w:tcBorders>
              <w:top w:val="single" w:sz="4" w:space="0" w:color="000000"/>
              <w:left w:val="single" w:sz="4" w:space="0" w:color="000000"/>
              <w:bottom w:val="single" w:sz="4" w:space="0" w:color="000000"/>
              <w:right w:val="single" w:sz="4" w:space="0" w:color="000000"/>
            </w:tcBorders>
            <w:hideMark/>
          </w:tcPr>
          <w:p w14:paraId="50B6BED2" w14:textId="77777777" w:rsidR="00F038BD" w:rsidRPr="00F038BD" w:rsidRDefault="00F038BD" w:rsidP="00F038BD">
            <w:pPr>
              <w:spacing w:after="0" w:line="240" w:lineRule="auto"/>
              <w:contextualSpacing/>
              <w:jc w:val="both"/>
              <w:rPr>
                <w:rFonts w:ascii="Times New Roman" w:eastAsia="Calibri" w:hAnsi="Times New Roman"/>
              </w:rPr>
            </w:pPr>
            <w:r w:rsidRPr="00F038BD">
              <w:rPr>
                <w:rFonts w:ascii="Times New Roman" w:eastAsia="Calibri" w:hAnsi="Times New Roman"/>
              </w:rPr>
              <w:t>PAT Margin (%)</w:t>
            </w:r>
          </w:p>
        </w:tc>
        <w:tc>
          <w:tcPr>
            <w:tcW w:w="4053" w:type="pct"/>
            <w:tcBorders>
              <w:top w:val="single" w:sz="4" w:space="0" w:color="000000"/>
              <w:left w:val="single" w:sz="4" w:space="0" w:color="000000"/>
              <w:bottom w:val="single" w:sz="4" w:space="0" w:color="000000"/>
              <w:right w:val="single" w:sz="4" w:space="0" w:color="000000"/>
            </w:tcBorders>
            <w:hideMark/>
          </w:tcPr>
          <w:p w14:paraId="0DC36C4A" w14:textId="77777777" w:rsidR="00F038BD" w:rsidRPr="00F038BD" w:rsidRDefault="00F038BD" w:rsidP="00F038BD">
            <w:pPr>
              <w:spacing w:after="0" w:line="240" w:lineRule="auto"/>
              <w:contextualSpacing/>
              <w:jc w:val="both"/>
              <w:rPr>
                <w:rFonts w:ascii="Times New Roman" w:eastAsia="Calibri" w:hAnsi="Times New Roman"/>
                <w:bCs/>
              </w:rPr>
            </w:pPr>
            <w:r w:rsidRPr="00F038BD">
              <w:rPr>
                <w:rFonts w:ascii="Times New Roman" w:eastAsia="Calibri" w:hAnsi="Times New Roman"/>
                <w:bCs/>
              </w:rPr>
              <w:t>PAT Margin (%) is an indicator of the overall profitability and financial performance of our business.</w:t>
            </w:r>
          </w:p>
        </w:tc>
      </w:tr>
      <w:tr w:rsidR="00F038BD" w:rsidRPr="00F038BD" w14:paraId="18E6D6E7" w14:textId="77777777" w:rsidTr="00716083">
        <w:trPr>
          <w:trHeight w:val="23"/>
        </w:trPr>
        <w:tc>
          <w:tcPr>
            <w:tcW w:w="947" w:type="pct"/>
            <w:tcBorders>
              <w:top w:val="single" w:sz="4" w:space="0" w:color="000000"/>
              <w:left w:val="single" w:sz="4" w:space="0" w:color="000000"/>
              <w:bottom w:val="single" w:sz="4" w:space="0" w:color="000000"/>
              <w:right w:val="single" w:sz="4" w:space="0" w:color="000000"/>
            </w:tcBorders>
            <w:vAlign w:val="center"/>
          </w:tcPr>
          <w:p w14:paraId="21E16060" w14:textId="77777777" w:rsidR="00F038BD" w:rsidRPr="00F038BD" w:rsidRDefault="00F038BD" w:rsidP="00F038BD">
            <w:pPr>
              <w:spacing w:after="0" w:line="240" w:lineRule="auto"/>
              <w:contextualSpacing/>
              <w:rPr>
                <w:rFonts w:ascii="Times New Roman" w:eastAsiaTheme="minorHAnsi" w:hAnsi="Times New Roman"/>
              </w:rPr>
            </w:pPr>
            <w:r w:rsidRPr="00F038BD">
              <w:rPr>
                <w:rFonts w:ascii="Times New Roman" w:eastAsiaTheme="minorHAnsi" w:hAnsi="Times New Roman"/>
              </w:rPr>
              <w:t>RoE(%)</w:t>
            </w:r>
          </w:p>
        </w:tc>
        <w:tc>
          <w:tcPr>
            <w:tcW w:w="4053" w:type="pct"/>
            <w:tcBorders>
              <w:top w:val="single" w:sz="4" w:space="0" w:color="000000"/>
              <w:left w:val="single" w:sz="4" w:space="0" w:color="000000"/>
              <w:bottom w:val="single" w:sz="4" w:space="0" w:color="000000"/>
              <w:right w:val="single" w:sz="4" w:space="0" w:color="000000"/>
            </w:tcBorders>
          </w:tcPr>
          <w:p w14:paraId="5E3B02CA" w14:textId="77777777" w:rsidR="00F038BD" w:rsidRPr="00F038BD" w:rsidRDefault="00F038BD" w:rsidP="00F038BD">
            <w:pPr>
              <w:spacing w:after="0" w:line="240" w:lineRule="auto"/>
              <w:contextualSpacing/>
              <w:jc w:val="both"/>
              <w:rPr>
                <w:rFonts w:ascii="Times New Roman" w:hAnsi="Times New Roman"/>
                <w:bCs/>
              </w:rPr>
            </w:pPr>
            <w:r w:rsidRPr="00F038BD">
              <w:rPr>
                <w:rFonts w:ascii="Times New Roman" w:hAnsi="Times New Roman"/>
                <w:bCs/>
              </w:rPr>
              <w:t>RoE provides how efficiently our Company generates profits from shareholders’ funds.</w:t>
            </w:r>
          </w:p>
        </w:tc>
      </w:tr>
      <w:tr w:rsidR="00F038BD" w:rsidRPr="00F038BD" w14:paraId="7C214B93" w14:textId="77777777" w:rsidTr="00716083">
        <w:trPr>
          <w:trHeight w:val="23"/>
        </w:trPr>
        <w:tc>
          <w:tcPr>
            <w:tcW w:w="947" w:type="pct"/>
            <w:tcBorders>
              <w:top w:val="single" w:sz="4" w:space="0" w:color="000000"/>
              <w:left w:val="single" w:sz="4" w:space="0" w:color="000000"/>
              <w:bottom w:val="single" w:sz="4" w:space="0" w:color="000000"/>
              <w:right w:val="single" w:sz="4" w:space="0" w:color="000000"/>
            </w:tcBorders>
            <w:vAlign w:val="center"/>
          </w:tcPr>
          <w:p w14:paraId="6ACF1563" w14:textId="77777777" w:rsidR="00F038BD" w:rsidRPr="00F038BD" w:rsidRDefault="00F038BD" w:rsidP="00F038BD">
            <w:pPr>
              <w:spacing w:after="0" w:line="240" w:lineRule="auto"/>
              <w:contextualSpacing/>
              <w:rPr>
                <w:rFonts w:ascii="Times New Roman" w:eastAsiaTheme="minorHAnsi" w:hAnsi="Times New Roman"/>
              </w:rPr>
            </w:pPr>
            <w:r w:rsidRPr="00F038BD">
              <w:rPr>
                <w:rFonts w:ascii="Times New Roman" w:eastAsiaTheme="minorHAnsi" w:hAnsi="Times New Roman"/>
              </w:rPr>
              <w:t>RoCE (%)</w:t>
            </w:r>
          </w:p>
        </w:tc>
        <w:tc>
          <w:tcPr>
            <w:tcW w:w="4053" w:type="pct"/>
            <w:tcBorders>
              <w:top w:val="single" w:sz="4" w:space="0" w:color="000000"/>
              <w:left w:val="single" w:sz="4" w:space="0" w:color="000000"/>
              <w:bottom w:val="single" w:sz="4" w:space="0" w:color="000000"/>
              <w:right w:val="single" w:sz="4" w:space="0" w:color="000000"/>
            </w:tcBorders>
          </w:tcPr>
          <w:p w14:paraId="25745D05" w14:textId="77777777" w:rsidR="00F038BD" w:rsidRPr="00F038BD" w:rsidRDefault="00F038BD" w:rsidP="00F038BD">
            <w:pPr>
              <w:spacing w:after="0" w:line="240" w:lineRule="auto"/>
              <w:contextualSpacing/>
              <w:jc w:val="both"/>
              <w:rPr>
                <w:rFonts w:ascii="Times New Roman" w:hAnsi="Times New Roman"/>
                <w:bCs/>
              </w:rPr>
            </w:pPr>
            <w:r w:rsidRPr="00F038BD">
              <w:rPr>
                <w:rFonts w:ascii="Times New Roman" w:hAnsi="Times New Roman"/>
                <w:bCs/>
              </w:rPr>
              <w:t>RoCE provides how efficiently our Company generates earnings from the capital employed in the business.</w:t>
            </w:r>
          </w:p>
        </w:tc>
      </w:tr>
    </w:tbl>
    <w:p w14:paraId="245D408A" w14:textId="77777777" w:rsidR="00F038BD" w:rsidRPr="00F038BD" w:rsidRDefault="00F038BD" w:rsidP="00F038BD">
      <w:pPr>
        <w:spacing w:after="0" w:line="240" w:lineRule="auto"/>
        <w:rPr>
          <w:rFonts w:ascii="Times New Roman" w:hAnsi="Times New Roman"/>
          <w:sz w:val="20"/>
          <w:szCs w:val="20"/>
        </w:rPr>
      </w:pPr>
    </w:p>
    <w:p w14:paraId="2881A49C" w14:textId="77777777" w:rsidR="00F038BD" w:rsidRPr="00F038BD" w:rsidRDefault="00F038BD" w:rsidP="00F038BD">
      <w:pPr>
        <w:spacing w:after="160" w:line="240" w:lineRule="auto"/>
        <w:rPr>
          <w:rFonts w:ascii="Times New Roman" w:eastAsia="Calibri" w:hAnsi="Times New Roman"/>
          <w:b/>
          <w:bCs/>
          <w:sz w:val="20"/>
          <w:szCs w:val="20"/>
        </w:rPr>
      </w:pPr>
      <w:r w:rsidRPr="00F038BD">
        <w:rPr>
          <w:rFonts w:ascii="Times New Roman" w:eastAsia="Calibri" w:hAnsi="Times New Roman"/>
          <w:b/>
          <w:bCs/>
          <w:sz w:val="20"/>
          <w:szCs w:val="20"/>
        </w:rPr>
        <w:br w:type="page"/>
      </w:r>
    </w:p>
    <w:p w14:paraId="1094AA2D" w14:textId="77777777" w:rsidR="00F038BD" w:rsidRPr="00F038BD" w:rsidRDefault="00F038BD" w:rsidP="00F038BD">
      <w:pPr>
        <w:suppressAutoHyphens/>
        <w:autoSpaceDE w:val="0"/>
        <w:autoSpaceDN w:val="0"/>
        <w:adjustRightInd w:val="0"/>
        <w:spacing w:after="0" w:line="240" w:lineRule="auto"/>
        <w:ind w:left="360"/>
        <w:contextualSpacing/>
        <w:jc w:val="both"/>
        <w:rPr>
          <w:rFonts w:ascii="Times New Roman" w:eastAsia="Calibri" w:hAnsi="Times New Roman"/>
          <w:b/>
          <w:bCs/>
          <w:sz w:val="20"/>
          <w:szCs w:val="20"/>
        </w:rPr>
      </w:pPr>
    </w:p>
    <w:p w14:paraId="325127FC" w14:textId="77777777" w:rsidR="00F038BD" w:rsidRPr="00F038BD" w:rsidRDefault="00F038BD">
      <w:pPr>
        <w:numPr>
          <w:ilvl w:val="0"/>
          <w:numId w:val="165"/>
        </w:numPr>
        <w:suppressAutoHyphens/>
        <w:autoSpaceDE w:val="0"/>
        <w:autoSpaceDN w:val="0"/>
        <w:adjustRightInd w:val="0"/>
        <w:spacing w:after="0" w:line="240" w:lineRule="auto"/>
        <w:contextualSpacing/>
        <w:jc w:val="both"/>
        <w:rPr>
          <w:rFonts w:ascii="Times New Roman" w:eastAsia="Calibri" w:hAnsi="Times New Roman"/>
          <w:b/>
          <w:bCs/>
          <w:sz w:val="20"/>
          <w:szCs w:val="20"/>
        </w:rPr>
      </w:pPr>
      <w:r w:rsidRPr="00F038BD">
        <w:rPr>
          <w:rFonts w:ascii="Times New Roman" w:eastAsia="Calibri" w:hAnsi="Times New Roman"/>
          <w:b/>
          <w:bCs/>
          <w:sz w:val="20"/>
          <w:szCs w:val="20"/>
        </w:rPr>
        <w:t>Set forth below are the details of comparison of key performance of indicators with our listed industry peer:</w:t>
      </w:r>
    </w:p>
    <w:p w14:paraId="6E77CBC1" w14:textId="77777777" w:rsidR="00F038BD" w:rsidRPr="00F038BD" w:rsidRDefault="00F038BD" w:rsidP="00F038BD">
      <w:pPr>
        <w:suppressAutoHyphens/>
        <w:autoSpaceDE w:val="0"/>
        <w:autoSpaceDN w:val="0"/>
        <w:adjustRightInd w:val="0"/>
        <w:spacing w:after="0" w:line="240" w:lineRule="auto"/>
        <w:ind w:left="360"/>
        <w:contextualSpacing/>
        <w:jc w:val="both"/>
        <w:rPr>
          <w:rFonts w:ascii="Times New Roman" w:eastAsia="Calibri" w:hAnsi="Times New Roman"/>
          <w:b/>
          <w:bCs/>
          <w:sz w:val="20"/>
          <w:szCs w:val="20"/>
        </w:rPr>
      </w:pPr>
    </w:p>
    <w:p w14:paraId="04D0A9D2" w14:textId="77777777" w:rsidR="00F038BD" w:rsidRPr="00F038BD" w:rsidRDefault="00F038BD" w:rsidP="00F038BD">
      <w:pPr>
        <w:autoSpaceDE w:val="0"/>
        <w:autoSpaceDN w:val="0"/>
        <w:adjustRightInd w:val="0"/>
        <w:spacing w:after="0" w:line="240" w:lineRule="auto"/>
        <w:jc w:val="right"/>
        <w:rPr>
          <w:rFonts w:ascii="Times New Roman" w:eastAsia="Calibri" w:hAnsi="Times New Roman"/>
          <w:b/>
          <w:i/>
          <w:sz w:val="20"/>
          <w:szCs w:val="20"/>
        </w:rPr>
      </w:pPr>
      <w:r w:rsidRPr="00F038BD">
        <w:rPr>
          <w:rFonts w:ascii="Times New Roman" w:eastAsia="Calibri" w:hAnsi="Times New Roman"/>
          <w:b/>
          <w:bCs/>
          <w:i/>
          <w:sz w:val="20"/>
          <w:szCs w:val="20"/>
          <w:lang w:val="en-IN"/>
        </w:rPr>
        <w:t>(</w:t>
      </w:r>
      <w:r w:rsidRPr="00F038BD">
        <w:rPr>
          <w:rFonts w:ascii="Times New Roman" w:eastAsia="Calibri" w:hAnsi="Times New Roman"/>
          <w:b/>
          <w:i/>
          <w:sz w:val="20"/>
          <w:szCs w:val="20"/>
        </w:rPr>
        <w:t>₹</w:t>
      </w:r>
      <w:r w:rsidRPr="00F038BD">
        <w:rPr>
          <w:rFonts w:ascii="Times New Roman" w:eastAsia="Calibri" w:hAnsi="Times New Roman"/>
          <w:b/>
          <w:bCs/>
          <w:i/>
          <w:sz w:val="20"/>
          <w:szCs w:val="20"/>
          <w:lang w:val="en-IN"/>
        </w:rPr>
        <w:t xml:space="preserve"> In Lakhs except percentages and ratios</w:t>
      </w:r>
      <w:r w:rsidRPr="00F038BD">
        <w:rPr>
          <w:rFonts w:ascii="Times New Roman" w:eastAsia="Calibri" w:hAnsi="Times New Roman"/>
          <w:b/>
          <w:i/>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1016"/>
        <w:gridCol w:w="1016"/>
        <w:gridCol w:w="1016"/>
        <w:gridCol w:w="1071"/>
        <w:gridCol w:w="1071"/>
        <w:gridCol w:w="1016"/>
        <w:gridCol w:w="937"/>
        <w:gridCol w:w="985"/>
        <w:gridCol w:w="924"/>
      </w:tblGrid>
      <w:tr w:rsidR="00F038BD" w:rsidRPr="00F038BD" w14:paraId="710E881A" w14:textId="77777777" w:rsidTr="00716083">
        <w:trPr>
          <w:trHeight w:val="20"/>
          <w:tblHeader/>
        </w:trPr>
        <w:tc>
          <w:tcPr>
            <w:tcW w:w="671"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0F96C2" w14:textId="77777777" w:rsidR="00F038BD" w:rsidRPr="00F038BD" w:rsidRDefault="00F038BD" w:rsidP="00F038BD">
            <w:pPr>
              <w:spacing w:after="0" w:line="240" w:lineRule="auto"/>
              <w:contextualSpacing/>
              <w:rPr>
                <w:rFonts w:ascii="Times New Roman" w:eastAsia="Calibri" w:hAnsi="Times New Roman"/>
                <w:b/>
                <w:bCs/>
                <w:sz w:val="20"/>
                <w:szCs w:val="20"/>
                <w:lang w:val="en-IN" w:eastAsia="en-IN"/>
              </w:rPr>
            </w:pPr>
            <w:bookmarkStart w:id="10" w:name="_Hlk127785629"/>
            <w:r w:rsidRPr="00F038BD">
              <w:rPr>
                <w:rFonts w:ascii="Times New Roman" w:eastAsia="Calibri" w:hAnsi="Times New Roman"/>
                <w:b/>
                <w:bCs/>
                <w:sz w:val="20"/>
                <w:szCs w:val="20"/>
                <w:lang w:val="en-IN" w:eastAsia="en-IN"/>
              </w:rPr>
              <w:t>Key Financial Performance</w:t>
            </w:r>
          </w:p>
        </w:tc>
        <w:tc>
          <w:tcPr>
            <w:tcW w:w="1458" w:type="pct"/>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5177687" w14:textId="77777777" w:rsidR="00F038BD" w:rsidRPr="00F038BD" w:rsidRDefault="00F038BD" w:rsidP="00F038BD">
            <w:pPr>
              <w:spacing w:after="0" w:line="240" w:lineRule="auto"/>
              <w:contextualSpacing/>
              <w:jc w:val="center"/>
              <w:rPr>
                <w:rFonts w:ascii="Times New Roman" w:eastAsia="Calibri" w:hAnsi="Times New Roman"/>
                <w:b/>
                <w:bCs/>
                <w:sz w:val="20"/>
                <w:szCs w:val="20"/>
                <w:lang w:val="en-IN" w:eastAsia="en-IN"/>
              </w:rPr>
            </w:pPr>
            <w:r w:rsidRPr="00F038BD">
              <w:rPr>
                <w:rFonts w:ascii="Times New Roman" w:eastAsia="Calibri" w:hAnsi="Times New Roman"/>
                <w:b/>
                <w:bCs/>
                <w:sz w:val="20"/>
                <w:szCs w:val="20"/>
                <w:lang w:val="en-IN" w:eastAsia="en-IN"/>
              </w:rPr>
              <w:t>Siyaram Recycling Industries Limited</w:t>
            </w:r>
          </w:p>
        </w:tc>
        <w:tc>
          <w:tcPr>
            <w:tcW w:w="1510" w:type="pct"/>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02B0205" w14:textId="77777777" w:rsidR="00F038BD" w:rsidRPr="00F038BD" w:rsidRDefault="00F038BD" w:rsidP="00F038BD">
            <w:pPr>
              <w:spacing w:after="0" w:line="240" w:lineRule="auto"/>
              <w:contextualSpacing/>
              <w:jc w:val="center"/>
              <w:rPr>
                <w:rFonts w:ascii="Times New Roman" w:eastAsia="Calibri" w:hAnsi="Times New Roman"/>
                <w:b/>
                <w:bCs/>
                <w:sz w:val="20"/>
                <w:szCs w:val="20"/>
                <w:lang w:val="en-IN"/>
              </w:rPr>
            </w:pPr>
            <w:r w:rsidRPr="00F038BD">
              <w:rPr>
                <w:rFonts w:ascii="Times New Roman" w:hAnsi="Times New Roman"/>
                <w:b/>
                <w:bCs/>
                <w:sz w:val="20"/>
                <w:szCs w:val="20"/>
                <w:lang w:val="en-GB"/>
              </w:rPr>
              <w:t>Sprayking Agro Equipment Limited</w:t>
            </w:r>
          </w:p>
        </w:tc>
        <w:tc>
          <w:tcPr>
            <w:tcW w:w="1361" w:type="pct"/>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CF93FBA" w14:textId="77777777" w:rsidR="00F038BD" w:rsidRPr="00F038BD" w:rsidRDefault="00F038BD" w:rsidP="00F038BD">
            <w:pPr>
              <w:spacing w:after="0" w:line="240" w:lineRule="auto"/>
              <w:contextualSpacing/>
              <w:jc w:val="center"/>
              <w:rPr>
                <w:rFonts w:ascii="Times New Roman" w:eastAsia="Calibri" w:hAnsi="Times New Roman"/>
                <w:b/>
                <w:bCs/>
                <w:sz w:val="20"/>
                <w:szCs w:val="20"/>
                <w:lang w:val="en-IN"/>
              </w:rPr>
            </w:pPr>
            <w:r w:rsidRPr="00F038BD">
              <w:rPr>
                <w:rFonts w:ascii="Times New Roman" w:eastAsia="Calibri" w:hAnsi="Times New Roman"/>
                <w:b/>
                <w:bCs/>
                <w:sz w:val="20"/>
                <w:szCs w:val="20"/>
                <w:lang w:val="en-IN"/>
              </w:rPr>
              <w:t>Poojawestern Metaliks Limited</w:t>
            </w:r>
          </w:p>
        </w:tc>
      </w:tr>
      <w:tr w:rsidR="00F038BD" w:rsidRPr="00F038BD" w14:paraId="67E31468" w14:textId="77777777" w:rsidTr="00716083">
        <w:trPr>
          <w:trHeight w:val="20"/>
          <w:tblHeader/>
        </w:trPr>
        <w:tc>
          <w:tcPr>
            <w:tcW w:w="671" w:type="pct"/>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5883CDD" w14:textId="77777777" w:rsidR="00F038BD" w:rsidRPr="00F038BD" w:rsidRDefault="00F038BD" w:rsidP="00F038BD">
            <w:pPr>
              <w:spacing w:after="0" w:line="240" w:lineRule="auto"/>
              <w:rPr>
                <w:rFonts w:ascii="Times New Roman" w:eastAsia="Calibri" w:hAnsi="Times New Roman"/>
                <w:b/>
                <w:bCs/>
                <w:sz w:val="20"/>
                <w:szCs w:val="20"/>
                <w:lang w:val="en-IN" w:eastAsia="en-IN"/>
              </w:rPr>
            </w:pPr>
          </w:p>
        </w:tc>
        <w:tc>
          <w:tcPr>
            <w:tcW w:w="486"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693C805" w14:textId="77777777" w:rsidR="00F038BD" w:rsidRPr="00F038BD" w:rsidRDefault="00F038BD" w:rsidP="00F038BD">
            <w:pPr>
              <w:spacing w:after="0" w:line="240" w:lineRule="auto"/>
              <w:ind w:left="-108" w:right="-107"/>
              <w:contextualSpacing/>
              <w:jc w:val="center"/>
              <w:rPr>
                <w:rFonts w:ascii="Times New Roman" w:eastAsia="Calibri" w:hAnsi="Times New Roman"/>
                <w:b/>
                <w:bCs/>
                <w:sz w:val="20"/>
                <w:szCs w:val="20"/>
                <w:lang w:val="en-IN"/>
              </w:rPr>
            </w:pPr>
            <w:r w:rsidRPr="00F038BD">
              <w:rPr>
                <w:rFonts w:ascii="Times New Roman" w:eastAsia="Calibri" w:hAnsi="Times New Roman"/>
                <w:b/>
                <w:bCs/>
                <w:sz w:val="20"/>
                <w:szCs w:val="20"/>
                <w:lang w:val="en-IN"/>
              </w:rPr>
              <w:t>FY</w:t>
            </w:r>
          </w:p>
          <w:p w14:paraId="4E6D4A92" w14:textId="77777777" w:rsidR="00F038BD" w:rsidRPr="00F038BD" w:rsidRDefault="00F038BD" w:rsidP="00F038BD">
            <w:pPr>
              <w:spacing w:after="0" w:line="240" w:lineRule="auto"/>
              <w:contextualSpacing/>
              <w:jc w:val="center"/>
              <w:rPr>
                <w:rFonts w:ascii="Times New Roman" w:eastAsia="Calibri" w:hAnsi="Times New Roman"/>
                <w:b/>
                <w:bCs/>
                <w:sz w:val="20"/>
                <w:szCs w:val="20"/>
                <w:lang w:val="en-IN"/>
              </w:rPr>
            </w:pPr>
            <w:r w:rsidRPr="00F038BD">
              <w:rPr>
                <w:rFonts w:ascii="Times New Roman" w:eastAsia="Calibri" w:hAnsi="Times New Roman"/>
                <w:b/>
                <w:bCs/>
                <w:sz w:val="20"/>
                <w:szCs w:val="20"/>
                <w:lang w:val="en-IN"/>
              </w:rPr>
              <w:t>2022-23</w:t>
            </w:r>
          </w:p>
        </w:tc>
        <w:tc>
          <w:tcPr>
            <w:tcW w:w="486"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1D2AC50" w14:textId="77777777" w:rsidR="00F038BD" w:rsidRPr="00F038BD" w:rsidRDefault="00F038BD" w:rsidP="00F038BD">
            <w:pPr>
              <w:spacing w:after="0" w:line="240" w:lineRule="auto"/>
              <w:contextualSpacing/>
              <w:jc w:val="center"/>
              <w:rPr>
                <w:rFonts w:ascii="Times New Roman" w:eastAsia="Calibri" w:hAnsi="Times New Roman"/>
                <w:b/>
                <w:bCs/>
                <w:sz w:val="20"/>
                <w:szCs w:val="20"/>
                <w:lang w:val="en-IN"/>
              </w:rPr>
            </w:pPr>
            <w:r w:rsidRPr="00F038BD">
              <w:rPr>
                <w:rFonts w:ascii="Times New Roman" w:eastAsia="Calibri" w:hAnsi="Times New Roman"/>
                <w:b/>
                <w:bCs/>
                <w:sz w:val="20"/>
                <w:szCs w:val="20"/>
                <w:lang w:val="en-IN"/>
              </w:rPr>
              <w:t>FY</w:t>
            </w:r>
          </w:p>
          <w:p w14:paraId="1A295AC6" w14:textId="77777777" w:rsidR="00F038BD" w:rsidRPr="00F038BD" w:rsidRDefault="00F038BD" w:rsidP="00F038BD">
            <w:pPr>
              <w:spacing w:after="0" w:line="240" w:lineRule="auto"/>
              <w:contextualSpacing/>
              <w:jc w:val="center"/>
              <w:rPr>
                <w:rFonts w:ascii="Times New Roman" w:eastAsia="Calibri" w:hAnsi="Times New Roman"/>
                <w:b/>
                <w:bCs/>
                <w:sz w:val="20"/>
                <w:szCs w:val="20"/>
                <w:lang w:val="en-IN"/>
              </w:rPr>
            </w:pPr>
            <w:r w:rsidRPr="00F038BD">
              <w:rPr>
                <w:rFonts w:ascii="Times New Roman" w:eastAsia="Calibri" w:hAnsi="Times New Roman"/>
                <w:b/>
                <w:bCs/>
                <w:sz w:val="20"/>
                <w:szCs w:val="20"/>
                <w:lang w:val="en-IN"/>
              </w:rPr>
              <w:t>2021-22</w:t>
            </w:r>
          </w:p>
        </w:tc>
        <w:tc>
          <w:tcPr>
            <w:tcW w:w="486"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F8C0C03" w14:textId="77777777" w:rsidR="00F038BD" w:rsidRPr="00F038BD" w:rsidRDefault="00F038BD" w:rsidP="00F038BD">
            <w:pPr>
              <w:spacing w:after="0" w:line="240" w:lineRule="auto"/>
              <w:ind w:left="-107"/>
              <w:contextualSpacing/>
              <w:jc w:val="center"/>
              <w:rPr>
                <w:rFonts w:ascii="Times New Roman" w:eastAsia="Calibri" w:hAnsi="Times New Roman"/>
                <w:b/>
                <w:bCs/>
                <w:sz w:val="20"/>
                <w:szCs w:val="20"/>
                <w:lang w:val="en-IN"/>
              </w:rPr>
            </w:pPr>
            <w:r w:rsidRPr="00F038BD">
              <w:rPr>
                <w:rFonts w:ascii="Times New Roman" w:eastAsia="Calibri" w:hAnsi="Times New Roman"/>
                <w:b/>
                <w:bCs/>
                <w:sz w:val="20"/>
                <w:szCs w:val="20"/>
                <w:lang w:val="en-IN"/>
              </w:rPr>
              <w:t>FY</w:t>
            </w:r>
          </w:p>
          <w:p w14:paraId="7AB59DC3" w14:textId="77777777" w:rsidR="00F038BD" w:rsidRPr="00F038BD" w:rsidRDefault="00F038BD" w:rsidP="00F038BD">
            <w:pPr>
              <w:spacing w:after="0" w:line="240" w:lineRule="auto"/>
              <w:ind w:left="-107"/>
              <w:contextualSpacing/>
              <w:jc w:val="center"/>
              <w:rPr>
                <w:rFonts w:ascii="Times New Roman" w:eastAsia="Calibri" w:hAnsi="Times New Roman"/>
                <w:b/>
                <w:bCs/>
                <w:sz w:val="20"/>
                <w:szCs w:val="20"/>
                <w:lang w:val="en-IN"/>
              </w:rPr>
            </w:pPr>
            <w:r w:rsidRPr="00F038BD">
              <w:rPr>
                <w:rFonts w:ascii="Times New Roman" w:eastAsia="Calibri" w:hAnsi="Times New Roman"/>
                <w:b/>
                <w:bCs/>
                <w:sz w:val="20"/>
                <w:szCs w:val="20"/>
                <w:lang w:val="en-IN"/>
              </w:rPr>
              <w:t>2020-21</w:t>
            </w:r>
          </w:p>
        </w:tc>
        <w:tc>
          <w:tcPr>
            <w:tcW w:w="512"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4723768" w14:textId="77777777" w:rsidR="00F038BD" w:rsidRPr="00F038BD" w:rsidRDefault="00F038BD" w:rsidP="00F038BD">
            <w:pPr>
              <w:spacing w:after="0" w:line="240" w:lineRule="auto"/>
              <w:ind w:left="-108" w:right="-107"/>
              <w:contextualSpacing/>
              <w:jc w:val="center"/>
              <w:rPr>
                <w:rFonts w:ascii="Times New Roman" w:eastAsia="Calibri" w:hAnsi="Times New Roman"/>
                <w:b/>
                <w:bCs/>
                <w:sz w:val="20"/>
                <w:szCs w:val="20"/>
                <w:lang w:val="en-IN"/>
              </w:rPr>
            </w:pPr>
            <w:r w:rsidRPr="00F038BD">
              <w:rPr>
                <w:rFonts w:ascii="Times New Roman" w:eastAsia="Calibri" w:hAnsi="Times New Roman"/>
                <w:b/>
                <w:bCs/>
                <w:sz w:val="20"/>
                <w:szCs w:val="20"/>
                <w:lang w:val="en-IN"/>
              </w:rPr>
              <w:t>FY</w:t>
            </w:r>
          </w:p>
          <w:p w14:paraId="4CC4441B" w14:textId="77777777" w:rsidR="00F038BD" w:rsidRPr="00F038BD" w:rsidRDefault="00F038BD" w:rsidP="00F038BD">
            <w:pPr>
              <w:spacing w:after="0" w:line="240" w:lineRule="auto"/>
              <w:contextualSpacing/>
              <w:jc w:val="center"/>
              <w:rPr>
                <w:rFonts w:ascii="Times New Roman" w:eastAsia="Calibri" w:hAnsi="Times New Roman"/>
                <w:b/>
                <w:bCs/>
                <w:sz w:val="20"/>
                <w:szCs w:val="20"/>
                <w:lang w:val="en-IN"/>
              </w:rPr>
            </w:pPr>
            <w:r w:rsidRPr="00F038BD">
              <w:rPr>
                <w:rFonts w:ascii="Times New Roman" w:eastAsia="Calibri" w:hAnsi="Times New Roman"/>
                <w:b/>
                <w:bCs/>
                <w:sz w:val="20"/>
                <w:szCs w:val="20"/>
                <w:lang w:val="en-IN"/>
              </w:rPr>
              <w:t>2022-23</w:t>
            </w:r>
          </w:p>
        </w:tc>
        <w:tc>
          <w:tcPr>
            <w:tcW w:w="512"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075A9E9" w14:textId="77777777" w:rsidR="00F038BD" w:rsidRPr="00F038BD" w:rsidRDefault="00F038BD" w:rsidP="00F038BD">
            <w:pPr>
              <w:spacing w:after="0" w:line="240" w:lineRule="auto"/>
              <w:contextualSpacing/>
              <w:jc w:val="center"/>
              <w:rPr>
                <w:rFonts w:ascii="Times New Roman" w:eastAsia="Calibri" w:hAnsi="Times New Roman"/>
                <w:b/>
                <w:bCs/>
                <w:sz w:val="20"/>
                <w:szCs w:val="20"/>
                <w:lang w:val="en-IN"/>
              </w:rPr>
            </w:pPr>
            <w:r w:rsidRPr="00F038BD">
              <w:rPr>
                <w:rFonts w:ascii="Times New Roman" w:eastAsia="Calibri" w:hAnsi="Times New Roman"/>
                <w:b/>
                <w:bCs/>
                <w:sz w:val="20"/>
                <w:szCs w:val="20"/>
                <w:lang w:val="en-IN"/>
              </w:rPr>
              <w:t>FY</w:t>
            </w:r>
          </w:p>
          <w:p w14:paraId="5D040AE9" w14:textId="77777777" w:rsidR="00F038BD" w:rsidRPr="00F038BD" w:rsidRDefault="00F038BD" w:rsidP="00F038BD">
            <w:pPr>
              <w:spacing w:after="0" w:line="240" w:lineRule="auto"/>
              <w:contextualSpacing/>
              <w:jc w:val="center"/>
              <w:rPr>
                <w:rFonts w:ascii="Times New Roman" w:eastAsia="Calibri" w:hAnsi="Times New Roman"/>
                <w:b/>
                <w:bCs/>
                <w:sz w:val="20"/>
                <w:szCs w:val="20"/>
                <w:lang w:val="en-IN"/>
              </w:rPr>
            </w:pPr>
            <w:r w:rsidRPr="00F038BD">
              <w:rPr>
                <w:rFonts w:ascii="Times New Roman" w:eastAsia="Calibri" w:hAnsi="Times New Roman"/>
                <w:b/>
                <w:bCs/>
                <w:sz w:val="20"/>
                <w:szCs w:val="20"/>
                <w:lang w:val="en-IN"/>
              </w:rPr>
              <w:t>2021-22</w:t>
            </w:r>
          </w:p>
        </w:tc>
        <w:tc>
          <w:tcPr>
            <w:tcW w:w="486"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F23807B" w14:textId="77777777" w:rsidR="00F038BD" w:rsidRPr="00F038BD" w:rsidRDefault="00F038BD" w:rsidP="00F038BD">
            <w:pPr>
              <w:spacing w:after="0" w:line="240" w:lineRule="auto"/>
              <w:ind w:left="-107"/>
              <w:contextualSpacing/>
              <w:jc w:val="center"/>
              <w:rPr>
                <w:rFonts w:ascii="Times New Roman" w:eastAsia="Calibri" w:hAnsi="Times New Roman"/>
                <w:b/>
                <w:bCs/>
                <w:sz w:val="20"/>
                <w:szCs w:val="20"/>
                <w:lang w:val="en-IN"/>
              </w:rPr>
            </w:pPr>
            <w:r w:rsidRPr="00F038BD">
              <w:rPr>
                <w:rFonts w:ascii="Times New Roman" w:eastAsia="Calibri" w:hAnsi="Times New Roman"/>
                <w:b/>
                <w:bCs/>
                <w:sz w:val="20"/>
                <w:szCs w:val="20"/>
                <w:lang w:val="en-IN"/>
              </w:rPr>
              <w:t>FY</w:t>
            </w:r>
          </w:p>
          <w:p w14:paraId="1004E7D9" w14:textId="77777777" w:rsidR="00F038BD" w:rsidRPr="00F038BD" w:rsidRDefault="00F038BD" w:rsidP="00F038BD">
            <w:pPr>
              <w:spacing w:after="0" w:line="240" w:lineRule="auto"/>
              <w:ind w:left="-107"/>
              <w:contextualSpacing/>
              <w:jc w:val="center"/>
              <w:rPr>
                <w:rFonts w:ascii="Times New Roman" w:eastAsia="Calibri" w:hAnsi="Times New Roman"/>
                <w:b/>
                <w:bCs/>
                <w:sz w:val="20"/>
                <w:szCs w:val="20"/>
                <w:lang w:val="en-IN"/>
              </w:rPr>
            </w:pPr>
            <w:r w:rsidRPr="00F038BD">
              <w:rPr>
                <w:rFonts w:ascii="Times New Roman" w:eastAsia="Calibri" w:hAnsi="Times New Roman"/>
                <w:b/>
                <w:bCs/>
                <w:sz w:val="20"/>
                <w:szCs w:val="20"/>
                <w:lang w:val="en-IN"/>
              </w:rPr>
              <w:t>2020-21</w:t>
            </w:r>
          </w:p>
        </w:tc>
        <w:tc>
          <w:tcPr>
            <w:tcW w:w="448"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73F185F" w14:textId="77777777" w:rsidR="00F038BD" w:rsidRPr="00F038BD" w:rsidRDefault="00F038BD" w:rsidP="00F038BD">
            <w:pPr>
              <w:spacing w:after="0" w:line="240" w:lineRule="auto"/>
              <w:ind w:left="-108" w:right="-107"/>
              <w:contextualSpacing/>
              <w:jc w:val="center"/>
              <w:rPr>
                <w:rFonts w:ascii="Times New Roman" w:eastAsia="Calibri" w:hAnsi="Times New Roman"/>
                <w:b/>
                <w:bCs/>
                <w:sz w:val="20"/>
                <w:szCs w:val="20"/>
                <w:lang w:val="en-IN"/>
              </w:rPr>
            </w:pPr>
            <w:r w:rsidRPr="00F038BD">
              <w:rPr>
                <w:rFonts w:ascii="Times New Roman" w:eastAsia="Calibri" w:hAnsi="Times New Roman"/>
                <w:b/>
                <w:bCs/>
                <w:sz w:val="20"/>
                <w:szCs w:val="20"/>
                <w:lang w:val="en-IN"/>
              </w:rPr>
              <w:t>FY</w:t>
            </w:r>
          </w:p>
          <w:p w14:paraId="3A96B241" w14:textId="77777777" w:rsidR="00F038BD" w:rsidRPr="00F038BD" w:rsidRDefault="00F038BD" w:rsidP="00F038BD">
            <w:pPr>
              <w:spacing w:after="0" w:line="240" w:lineRule="auto"/>
              <w:ind w:left="-107"/>
              <w:contextualSpacing/>
              <w:jc w:val="center"/>
              <w:rPr>
                <w:rFonts w:ascii="Times New Roman" w:eastAsia="Calibri" w:hAnsi="Times New Roman"/>
                <w:b/>
                <w:bCs/>
                <w:sz w:val="20"/>
                <w:szCs w:val="20"/>
                <w:lang w:val="en-IN"/>
              </w:rPr>
            </w:pPr>
            <w:r w:rsidRPr="00F038BD">
              <w:rPr>
                <w:rFonts w:ascii="Times New Roman" w:eastAsia="Calibri" w:hAnsi="Times New Roman"/>
                <w:b/>
                <w:bCs/>
                <w:sz w:val="20"/>
                <w:szCs w:val="20"/>
                <w:lang w:val="en-IN"/>
              </w:rPr>
              <w:t>2022-23</w:t>
            </w:r>
          </w:p>
        </w:tc>
        <w:tc>
          <w:tcPr>
            <w:tcW w:w="471"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24134DD" w14:textId="77777777" w:rsidR="00F038BD" w:rsidRPr="00F038BD" w:rsidRDefault="00F038BD" w:rsidP="00F038BD">
            <w:pPr>
              <w:spacing w:after="0" w:line="240" w:lineRule="auto"/>
              <w:contextualSpacing/>
              <w:jc w:val="center"/>
              <w:rPr>
                <w:rFonts w:ascii="Times New Roman" w:eastAsia="Calibri" w:hAnsi="Times New Roman"/>
                <w:b/>
                <w:bCs/>
                <w:sz w:val="20"/>
                <w:szCs w:val="20"/>
                <w:lang w:val="en-IN"/>
              </w:rPr>
            </w:pPr>
            <w:r w:rsidRPr="00F038BD">
              <w:rPr>
                <w:rFonts w:ascii="Times New Roman" w:eastAsia="Calibri" w:hAnsi="Times New Roman"/>
                <w:b/>
                <w:bCs/>
                <w:sz w:val="20"/>
                <w:szCs w:val="20"/>
                <w:lang w:val="en-IN"/>
              </w:rPr>
              <w:t>FY</w:t>
            </w:r>
          </w:p>
          <w:p w14:paraId="5A95E68A" w14:textId="77777777" w:rsidR="00F038BD" w:rsidRPr="00F038BD" w:rsidRDefault="00F038BD" w:rsidP="00F038BD">
            <w:pPr>
              <w:spacing w:after="0" w:line="240" w:lineRule="auto"/>
              <w:ind w:left="-107"/>
              <w:contextualSpacing/>
              <w:jc w:val="center"/>
              <w:rPr>
                <w:rFonts w:ascii="Times New Roman" w:eastAsia="Calibri" w:hAnsi="Times New Roman"/>
                <w:b/>
                <w:bCs/>
                <w:sz w:val="20"/>
                <w:szCs w:val="20"/>
                <w:lang w:val="en-IN"/>
              </w:rPr>
            </w:pPr>
            <w:r w:rsidRPr="00F038BD">
              <w:rPr>
                <w:rFonts w:ascii="Times New Roman" w:eastAsia="Calibri" w:hAnsi="Times New Roman"/>
                <w:b/>
                <w:bCs/>
                <w:sz w:val="20"/>
                <w:szCs w:val="20"/>
                <w:lang w:val="en-IN"/>
              </w:rPr>
              <w:t>2021-22</w:t>
            </w:r>
          </w:p>
        </w:tc>
        <w:tc>
          <w:tcPr>
            <w:tcW w:w="442"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3BA1752" w14:textId="77777777" w:rsidR="00F038BD" w:rsidRPr="00F038BD" w:rsidRDefault="00F038BD" w:rsidP="00F038BD">
            <w:pPr>
              <w:spacing w:after="0" w:line="240" w:lineRule="auto"/>
              <w:ind w:left="-107"/>
              <w:contextualSpacing/>
              <w:jc w:val="center"/>
              <w:rPr>
                <w:rFonts w:ascii="Times New Roman" w:eastAsia="Calibri" w:hAnsi="Times New Roman"/>
                <w:b/>
                <w:bCs/>
                <w:sz w:val="20"/>
                <w:szCs w:val="20"/>
                <w:lang w:val="en-IN"/>
              </w:rPr>
            </w:pPr>
            <w:r w:rsidRPr="00F038BD">
              <w:rPr>
                <w:rFonts w:ascii="Times New Roman" w:eastAsia="Calibri" w:hAnsi="Times New Roman"/>
                <w:b/>
                <w:bCs/>
                <w:sz w:val="20"/>
                <w:szCs w:val="20"/>
                <w:lang w:val="en-IN"/>
              </w:rPr>
              <w:t>FY</w:t>
            </w:r>
          </w:p>
          <w:p w14:paraId="551D80CD" w14:textId="77777777" w:rsidR="00F038BD" w:rsidRPr="00F038BD" w:rsidRDefault="00F038BD" w:rsidP="00F038BD">
            <w:pPr>
              <w:spacing w:after="0" w:line="240" w:lineRule="auto"/>
              <w:ind w:left="-107"/>
              <w:contextualSpacing/>
              <w:jc w:val="center"/>
              <w:rPr>
                <w:rFonts w:ascii="Times New Roman" w:eastAsia="Calibri" w:hAnsi="Times New Roman"/>
                <w:b/>
                <w:bCs/>
                <w:sz w:val="20"/>
                <w:szCs w:val="20"/>
                <w:lang w:val="en-IN"/>
              </w:rPr>
            </w:pPr>
            <w:r w:rsidRPr="00F038BD">
              <w:rPr>
                <w:rFonts w:ascii="Times New Roman" w:eastAsia="Calibri" w:hAnsi="Times New Roman"/>
                <w:b/>
                <w:bCs/>
                <w:sz w:val="20"/>
                <w:szCs w:val="20"/>
                <w:lang w:val="en-IN"/>
              </w:rPr>
              <w:t>2020-21</w:t>
            </w:r>
          </w:p>
        </w:tc>
      </w:tr>
      <w:tr w:rsidR="00F038BD" w:rsidRPr="00F038BD" w14:paraId="3A7B283A" w14:textId="77777777" w:rsidTr="00716083">
        <w:trPr>
          <w:trHeight w:val="20"/>
        </w:trPr>
        <w:tc>
          <w:tcPr>
            <w:tcW w:w="671" w:type="pct"/>
            <w:tcBorders>
              <w:top w:val="single" w:sz="4" w:space="0" w:color="auto"/>
              <w:left w:val="single" w:sz="4" w:space="0" w:color="auto"/>
              <w:bottom w:val="single" w:sz="4" w:space="0" w:color="auto"/>
              <w:right w:val="single" w:sz="4" w:space="0" w:color="auto"/>
            </w:tcBorders>
            <w:vAlign w:val="center"/>
            <w:hideMark/>
          </w:tcPr>
          <w:p w14:paraId="0D92D51E" w14:textId="77777777" w:rsidR="00F038BD" w:rsidRPr="00F038BD" w:rsidRDefault="00F038BD" w:rsidP="00F038BD">
            <w:pPr>
              <w:spacing w:after="0" w:line="240" w:lineRule="auto"/>
              <w:contextualSpacing/>
              <w:jc w:val="both"/>
              <w:rPr>
                <w:rFonts w:ascii="Times New Roman" w:hAnsi="Times New Roman"/>
                <w:b/>
                <w:sz w:val="20"/>
                <w:szCs w:val="20"/>
              </w:rPr>
            </w:pPr>
            <w:r w:rsidRPr="00F038BD">
              <w:rPr>
                <w:rFonts w:ascii="Times New Roman" w:eastAsiaTheme="minorHAnsi" w:hAnsi="Times New Roman"/>
                <w:sz w:val="20"/>
                <w:szCs w:val="20"/>
                <w:lang w:val="en-IN"/>
              </w:rPr>
              <w:t xml:space="preserve">Revenue from operations </w:t>
            </w:r>
            <w:r w:rsidRPr="00F038BD">
              <w:rPr>
                <w:rFonts w:ascii="Times New Roman" w:eastAsiaTheme="minorHAnsi" w:hAnsi="Times New Roman"/>
                <w:sz w:val="20"/>
                <w:szCs w:val="20"/>
                <w:vertAlign w:val="superscript"/>
                <w:lang w:val="en-IN"/>
              </w:rPr>
              <w:t>(1)</w:t>
            </w:r>
          </w:p>
        </w:tc>
        <w:tc>
          <w:tcPr>
            <w:tcW w:w="486" w:type="pct"/>
            <w:tcBorders>
              <w:top w:val="single" w:sz="4" w:space="0" w:color="auto"/>
              <w:left w:val="single" w:sz="4" w:space="0" w:color="auto"/>
              <w:bottom w:val="single" w:sz="4" w:space="0" w:color="auto"/>
              <w:right w:val="single" w:sz="4" w:space="0" w:color="auto"/>
            </w:tcBorders>
            <w:vAlign w:val="center"/>
            <w:hideMark/>
          </w:tcPr>
          <w:p w14:paraId="550692A0" w14:textId="77777777" w:rsidR="00F038BD" w:rsidRPr="00F038BD" w:rsidRDefault="00F038BD" w:rsidP="00F038BD">
            <w:pPr>
              <w:spacing w:after="0" w:line="240" w:lineRule="auto"/>
              <w:ind w:left="-116" w:right="-193"/>
              <w:contextualSpacing/>
              <w:jc w:val="center"/>
              <w:rPr>
                <w:rFonts w:ascii="Times New Roman" w:hAnsi="Times New Roman"/>
                <w:bCs/>
                <w:sz w:val="20"/>
                <w:szCs w:val="20"/>
              </w:rPr>
            </w:pPr>
            <w:r w:rsidRPr="00F038BD">
              <w:rPr>
                <w:rFonts w:ascii="Times New Roman" w:hAnsi="Times New Roman"/>
                <w:bCs/>
                <w:sz w:val="20"/>
                <w:szCs w:val="20"/>
              </w:rPr>
              <w:t>49,287.35</w:t>
            </w:r>
          </w:p>
        </w:tc>
        <w:tc>
          <w:tcPr>
            <w:tcW w:w="486" w:type="pct"/>
            <w:tcBorders>
              <w:top w:val="single" w:sz="4" w:space="0" w:color="auto"/>
              <w:left w:val="single" w:sz="4" w:space="0" w:color="auto"/>
              <w:bottom w:val="single" w:sz="4" w:space="0" w:color="auto"/>
              <w:right w:val="single" w:sz="4" w:space="0" w:color="auto"/>
            </w:tcBorders>
            <w:vAlign w:val="center"/>
            <w:hideMark/>
          </w:tcPr>
          <w:p w14:paraId="7833DCD6" w14:textId="77777777" w:rsidR="00F038BD" w:rsidRPr="00F038BD" w:rsidRDefault="00F038BD" w:rsidP="00F038BD">
            <w:pPr>
              <w:spacing w:after="0" w:line="240" w:lineRule="auto"/>
              <w:ind w:left="-116" w:right="-193"/>
              <w:contextualSpacing/>
              <w:jc w:val="center"/>
              <w:rPr>
                <w:rFonts w:ascii="Times New Roman" w:hAnsi="Times New Roman"/>
                <w:bCs/>
                <w:sz w:val="20"/>
                <w:szCs w:val="20"/>
              </w:rPr>
            </w:pPr>
            <w:r w:rsidRPr="00F038BD">
              <w:rPr>
                <w:rFonts w:ascii="Times New Roman" w:hAnsi="Times New Roman"/>
                <w:bCs/>
                <w:sz w:val="20"/>
                <w:szCs w:val="20"/>
              </w:rPr>
              <w:t>42,323.27</w:t>
            </w:r>
          </w:p>
        </w:tc>
        <w:tc>
          <w:tcPr>
            <w:tcW w:w="486" w:type="pct"/>
            <w:tcBorders>
              <w:top w:val="single" w:sz="4" w:space="0" w:color="auto"/>
              <w:left w:val="single" w:sz="4" w:space="0" w:color="auto"/>
              <w:bottom w:val="single" w:sz="4" w:space="0" w:color="auto"/>
              <w:right w:val="single" w:sz="4" w:space="0" w:color="auto"/>
            </w:tcBorders>
            <w:vAlign w:val="center"/>
            <w:hideMark/>
          </w:tcPr>
          <w:p w14:paraId="78AC0057" w14:textId="77777777" w:rsidR="00F038BD" w:rsidRPr="00F038BD" w:rsidRDefault="00F038BD" w:rsidP="00F038BD">
            <w:pPr>
              <w:spacing w:after="0" w:line="240" w:lineRule="auto"/>
              <w:ind w:left="-116" w:right="-193"/>
              <w:contextualSpacing/>
              <w:jc w:val="center"/>
              <w:rPr>
                <w:rFonts w:ascii="Times New Roman" w:hAnsi="Times New Roman"/>
                <w:bCs/>
                <w:sz w:val="20"/>
                <w:szCs w:val="20"/>
              </w:rPr>
            </w:pPr>
            <w:r w:rsidRPr="00F038BD">
              <w:rPr>
                <w:rFonts w:ascii="Times New Roman" w:hAnsi="Times New Roman"/>
                <w:bCs/>
                <w:sz w:val="20"/>
                <w:szCs w:val="20"/>
              </w:rPr>
              <w:t>13,867.05</w:t>
            </w:r>
          </w:p>
        </w:tc>
        <w:tc>
          <w:tcPr>
            <w:tcW w:w="512" w:type="pct"/>
            <w:tcBorders>
              <w:top w:val="single" w:sz="4" w:space="0" w:color="auto"/>
              <w:left w:val="single" w:sz="4" w:space="0" w:color="auto"/>
              <w:bottom w:val="single" w:sz="4" w:space="0" w:color="auto"/>
              <w:right w:val="single" w:sz="4" w:space="0" w:color="auto"/>
            </w:tcBorders>
            <w:vAlign w:val="center"/>
          </w:tcPr>
          <w:p w14:paraId="7995FA85" w14:textId="77777777" w:rsidR="00F038BD" w:rsidRPr="00F038BD" w:rsidRDefault="00F038BD" w:rsidP="00F038BD">
            <w:pPr>
              <w:spacing w:after="0" w:line="240" w:lineRule="auto"/>
              <w:contextualSpacing/>
              <w:jc w:val="center"/>
              <w:rPr>
                <w:rFonts w:ascii="Times New Roman" w:hAnsi="Times New Roman"/>
                <w:bCs/>
                <w:sz w:val="20"/>
                <w:szCs w:val="20"/>
              </w:rPr>
            </w:pPr>
            <w:r w:rsidRPr="00F038BD">
              <w:rPr>
                <w:rFonts w:ascii="Times New Roman" w:hAnsi="Times New Roman"/>
                <w:bCs/>
                <w:sz w:val="20"/>
                <w:szCs w:val="20"/>
              </w:rPr>
              <w:t>1,932.77</w:t>
            </w:r>
          </w:p>
        </w:tc>
        <w:tc>
          <w:tcPr>
            <w:tcW w:w="512" w:type="pct"/>
            <w:tcBorders>
              <w:top w:val="single" w:sz="4" w:space="0" w:color="auto"/>
              <w:left w:val="single" w:sz="4" w:space="0" w:color="auto"/>
              <w:bottom w:val="single" w:sz="4" w:space="0" w:color="auto"/>
              <w:right w:val="single" w:sz="4" w:space="0" w:color="auto"/>
            </w:tcBorders>
            <w:vAlign w:val="center"/>
          </w:tcPr>
          <w:p w14:paraId="09B8B655" w14:textId="77777777" w:rsidR="00F038BD" w:rsidRPr="00F038BD" w:rsidRDefault="00F038BD" w:rsidP="00F038BD">
            <w:pPr>
              <w:spacing w:after="0" w:line="240" w:lineRule="auto"/>
              <w:contextualSpacing/>
              <w:jc w:val="center"/>
              <w:rPr>
                <w:rFonts w:ascii="Times New Roman" w:hAnsi="Times New Roman"/>
                <w:bCs/>
                <w:sz w:val="20"/>
                <w:szCs w:val="20"/>
              </w:rPr>
            </w:pPr>
            <w:r w:rsidRPr="00F038BD">
              <w:rPr>
                <w:rFonts w:ascii="Times New Roman" w:hAnsi="Times New Roman"/>
                <w:bCs/>
                <w:sz w:val="20"/>
                <w:szCs w:val="20"/>
              </w:rPr>
              <w:t>1,561.92</w:t>
            </w:r>
          </w:p>
        </w:tc>
        <w:tc>
          <w:tcPr>
            <w:tcW w:w="486" w:type="pct"/>
            <w:tcBorders>
              <w:top w:val="single" w:sz="4" w:space="0" w:color="auto"/>
              <w:left w:val="single" w:sz="4" w:space="0" w:color="auto"/>
              <w:bottom w:val="single" w:sz="4" w:space="0" w:color="auto"/>
              <w:right w:val="single" w:sz="4" w:space="0" w:color="auto"/>
            </w:tcBorders>
            <w:vAlign w:val="center"/>
          </w:tcPr>
          <w:p w14:paraId="0E3791A8" w14:textId="77777777" w:rsidR="00F038BD" w:rsidRPr="00F038BD" w:rsidRDefault="00F038BD" w:rsidP="00F038BD">
            <w:pPr>
              <w:spacing w:after="0" w:line="240" w:lineRule="auto"/>
              <w:contextualSpacing/>
              <w:jc w:val="center"/>
              <w:rPr>
                <w:rFonts w:ascii="Times New Roman" w:hAnsi="Times New Roman"/>
                <w:bCs/>
                <w:sz w:val="20"/>
                <w:szCs w:val="20"/>
              </w:rPr>
            </w:pPr>
            <w:r w:rsidRPr="00F038BD">
              <w:rPr>
                <w:rFonts w:ascii="Times New Roman" w:hAnsi="Times New Roman"/>
                <w:bCs/>
                <w:sz w:val="20"/>
                <w:szCs w:val="20"/>
              </w:rPr>
              <w:t>1860.19</w:t>
            </w:r>
          </w:p>
        </w:tc>
        <w:tc>
          <w:tcPr>
            <w:tcW w:w="448" w:type="pct"/>
            <w:tcBorders>
              <w:top w:val="single" w:sz="4" w:space="0" w:color="auto"/>
              <w:left w:val="single" w:sz="4" w:space="0" w:color="auto"/>
              <w:bottom w:val="single" w:sz="4" w:space="0" w:color="auto"/>
              <w:right w:val="single" w:sz="4" w:space="0" w:color="auto"/>
            </w:tcBorders>
            <w:vAlign w:val="center"/>
          </w:tcPr>
          <w:p w14:paraId="04DB850B" w14:textId="77777777" w:rsidR="00F038BD" w:rsidRPr="00F038BD" w:rsidRDefault="00F038BD" w:rsidP="00F038BD">
            <w:pPr>
              <w:autoSpaceDE w:val="0"/>
              <w:autoSpaceDN w:val="0"/>
              <w:adjustRightInd w:val="0"/>
              <w:spacing w:after="0" w:line="240" w:lineRule="auto"/>
              <w:jc w:val="center"/>
              <w:rPr>
                <w:rFonts w:ascii="Times New Roman" w:eastAsiaTheme="minorHAnsi" w:hAnsi="Times New Roman"/>
                <w:bCs/>
                <w:color w:val="000000"/>
                <w:sz w:val="20"/>
                <w:szCs w:val="20"/>
                <w:lang w:val="en-IN"/>
                <w14:ligatures w14:val="standardContextual"/>
              </w:rPr>
            </w:pPr>
            <w:r w:rsidRPr="00F038BD">
              <w:rPr>
                <w:rFonts w:ascii="Times New Roman" w:hAnsi="Times New Roman"/>
                <w:bCs/>
                <w:sz w:val="20"/>
                <w:szCs w:val="20"/>
              </w:rPr>
              <w:t>3,117.90</w:t>
            </w:r>
          </w:p>
        </w:tc>
        <w:tc>
          <w:tcPr>
            <w:tcW w:w="471" w:type="pct"/>
            <w:tcBorders>
              <w:top w:val="single" w:sz="4" w:space="0" w:color="auto"/>
              <w:left w:val="single" w:sz="4" w:space="0" w:color="auto"/>
              <w:bottom w:val="single" w:sz="4" w:space="0" w:color="auto"/>
              <w:right w:val="single" w:sz="4" w:space="0" w:color="auto"/>
            </w:tcBorders>
            <w:vAlign w:val="center"/>
          </w:tcPr>
          <w:p w14:paraId="748BB482" w14:textId="77777777" w:rsidR="00F038BD" w:rsidRPr="00F038BD" w:rsidRDefault="00F038BD" w:rsidP="00F038BD">
            <w:pPr>
              <w:spacing w:after="0" w:line="240" w:lineRule="auto"/>
              <w:contextualSpacing/>
              <w:jc w:val="center"/>
              <w:rPr>
                <w:rFonts w:ascii="Times New Roman" w:hAnsi="Times New Roman"/>
                <w:bCs/>
                <w:sz w:val="20"/>
                <w:szCs w:val="20"/>
              </w:rPr>
            </w:pPr>
            <w:r w:rsidRPr="00F038BD">
              <w:rPr>
                <w:rFonts w:ascii="Times New Roman" w:hAnsi="Times New Roman"/>
                <w:bCs/>
                <w:sz w:val="20"/>
                <w:szCs w:val="20"/>
              </w:rPr>
              <w:t>2,081.65</w:t>
            </w:r>
          </w:p>
        </w:tc>
        <w:tc>
          <w:tcPr>
            <w:tcW w:w="442" w:type="pct"/>
            <w:tcBorders>
              <w:top w:val="single" w:sz="4" w:space="0" w:color="auto"/>
              <w:left w:val="single" w:sz="4" w:space="0" w:color="auto"/>
              <w:bottom w:val="single" w:sz="4" w:space="0" w:color="auto"/>
              <w:right w:val="single" w:sz="4" w:space="0" w:color="auto"/>
            </w:tcBorders>
            <w:vAlign w:val="center"/>
          </w:tcPr>
          <w:p w14:paraId="2E98E44D" w14:textId="77777777" w:rsidR="00F038BD" w:rsidRPr="00F038BD" w:rsidRDefault="00F038BD" w:rsidP="00F038BD">
            <w:pPr>
              <w:spacing w:after="0" w:line="240" w:lineRule="auto"/>
              <w:contextualSpacing/>
              <w:jc w:val="center"/>
              <w:rPr>
                <w:rFonts w:ascii="Times New Roman" w:hAnsi="Times New Roman"/>
                <w:bCs/>
                <w:sz w:val="20"/>
                <w:szCs w:val="20"/>
              </w:rPr>
            </w:pPr>
            <w:r w:rsidRPr="00F038BD">
              <w:rPr>
                <w:rFonts w:ascii="Times New Roman" w:hAnsi="Times New Roman"/>
                <w:bCs/>
                <w:sz w:val="20"/>
                <w:szCs w:val="20"/>
              </w:rPr>
              <w:t>1515.20</w:t>
            </w:r>
          </w:p>
        </w:tc>
      </w:tr>
      <w:tr w:rsidR="00F038BD" w:rsidRPr="00F038BD" w14:paraId="3057C83C" w14:textId="77777777" w:rsidTr="00716083">
        <w:trPr>
          <w:trHeight w:val="20"/>
        </w:trPr>
        <w:tc>
          <w:tcPr>
            <w:tcW w:w="671" w:type="pct"/>
            <w:tcBorders>
              <w:top w:val="single" w:sz="4" w:space="0" w:color="auto"/>
              <w:left w:val="single" w:sz="4" w:space="0" w:color="auto"/>
              <w:bottom w:val="single" w:sz="4" w:space="0" w:color="auto"/>
              <w:right w:val="single" w:sz="4" w:space="0" w:color="auto"/>
            </w:tcBorders>
            <w:vAlign w:val="center"/>
            <w:hideMark/>
          </w:tcPr>
          <w:p w14:paraId="21C31323" w14:textId="77777777" w:rsidR="00F038BD" w:rsidRPr="00F038BD" w:rsidRDefault="00F038BD" w:rsidP="00F038BD">
            <w:pPr>
              <w:spacing w:after="0" w:line="240" w:lineRule="auto"/>
              <w:contextualSpacing/>
              <w:jc w:val="both"/>
              <w:rPr>
                <w:rFonts w:ascii="Times New Roman" w:hAnsi="Times New Roman"/>
                <w:b/>
                <w:sz w:val="20"/>
                <w:szCs w:val="20"/>
              </w:rPr>
            </w:pPr>
            <w:r w:rsidRPr="00F038BD">
              <w:rPr>
                <w:rFonts w:ascii="Times New Roman" w:eastAsiaTheme="minorHAnsi" w:hAnsi="Times New Roman"/>
                <w:sz w:val="20"/>
                <w:szCs w:val="20"/>
                <w:lang w:val="en-IN"/>
              </w:rPr>
              <w:t xml:space="preserve">EBITDA </w:t>
            </w:r>
            <w:r w:rsidRPr="00F038BD">
              <w:rPr>
                <w:rFonts w:ascii="Times New Roman" w:eastAsiaTheme="minorHAnsi" w:hAnsi="Times New Roman"/>
                <w:sz w:val="20"/>
                <w:szCs w:val="20"/>
                <w:vertAlign w:val="superscript"/>
                <w:lang w:val="en-IN"/>
              </w:rPr>
              <w:t>(2)</w:t>
            </w:r>
          </w:p>
        </w:tc>
        <w:tc>
          <w:tcPr>
            <w:tcW w:w="486" w:type="pct"/>
            <w:tcBorders>
              <w:top w:val="single" w:sz="4" w:space="0" w:color="auto"/>
              <w:left w:val="single" w:sz="4" w:space="0" w:color="auto"/>
              <w:bottom w:val="single" w:sz="4" w:space="0" w:color="auto"/>
              <w:right w:val="single" w:sz="4" w:space="0" w:color="auto"/>
            </w:tcBorders>
            <w:hideMark/>
          </w:tcPr>
          <w:p w14:paraId="53C1E5ED" w14:textId="77777777" w:rsidR="00F038BD" w:rsidRPr="00F038BD" w:rsidRDefault="00F038BD" w:rsidP="00F038BD">
            <w:pPr>
              <w:spacing w:after="0" w:line="240" w:lineRule="auto"/>
              <w:ind w:left="-116" w:right="-193"/>
              <w:contextualSpacing/>
              <w:jc w:val="center"/>
              <w:rPr>
                <w:rFonts w:ascii="Times New Roman" w:hAnsi="Times New Roman"/>
                <w:bCs/>
                <w:sz w:val="20"/>
                <w:szCs w:val="20"/>
              </w:rPr>
            </w:pPr>
            <w:r w:rsidRPr="00F038BD">
              <w:rPr>
                <w:rFonts w:ascii="Times New Roman" w:hAnsi="Times New Roman"/>
                <w:bCs/>
                <w:sz w:val="20"/>
                <w:szCs w:val="20"/>
              </w:rPr>
              <w:t xml:space="preserve"> 1,157.48 </w:t>
            </w:r>
          </w:p>
        </w:tc>
        <w:tc>
          <w:tcPr>
            <w:tcW w:w="486" w:type="pct"/>
            <w:tcBorders>
              <w:top w:val="single" w:sz="4" w:space="0" w:color="auto"/>
              <w:left w:val="single" w:sz="4" w:space="0" w:color="auto"/>
              <w:bottom w:val="single" w:sz="4" w:space="0" w:color="auto"/>
              <w:right w:val="single" w:sz="4" w:space="0" w:color="auto"/>
            </w:tcBorders>
            <w:hideMark/>
          </w:tcPr>
          <w:p w14:paraId="509EA87D" w14:textId="77777777" w:rsidR="00F038BD" w:rsidRPr="00F038BD" w:rsidRDefault="00F038BD" w:rsidP="00F038BD">
            <w:pPr>
              <w:spacing w:after="0" w:line="240" w:lineRule="auto"/>
              <w:ind w:left="-116" w:right="-193"/>
              <w:contextualSpacing/>
              <w:jc w:val="center"/>
              <w:rPr>
                <w:rFonts w:ascii="Times New Roman" w:hAnsi="Times New Roman"/>
                <w:bCs/>
                <w:sz w:val="20"/>
                <w:szCs w:val="20"/>
              </w:rPr>
            </w:pPr>
            <w:r w:rsidRPr="00F038BD">
              <w:rPr>
                <w:rFonts w:ascii="Times New Roman" w:hAnsi="Times New Roman"/>
                <w:bCs/>
                <w:sz w:val="20"/>
                <w:szCs w:val="20"/>
              </w:rPr>
              <w:t xml:space="preserve"> 513.94 </w:t>
            </w:r>
          </w:p>
        </w:tc>
        <w:tc>
          <w:tcPr>
            <w:tcW w:w="486" w:type="pct"/>
            <w:tcBorders>
              <w:top w:val="single" w:sz="4" w:space="0" w:color="auto"/>
              <w:left w:val="single" w:sz="4" w:space="0" w:color="auto"/>
              <w:bottom w:val="single" w:sz="4" w:space="0" w:color="auto"/>
              <w:right w:val="single" w:sz="4" w:space="0" w:color="auto"/>
            </w:tcBorders>
            <w:hideMark/>
          </w:tcPr>
          <w:p w14:paraId="71B292C2" w14:textId="77777777" w:rsidR="00F038BD" w:rsidRPr="00F038BD" w:rsidRDefault="00F038BD" w:rsidP="00F038BD">
            <w:pPr>
              <w:spacing w:after="0" w:line="240" w:lineRule="auto"/>
              <w:ind w:left="-116" w:right="-193"/>
              <w:contextualSpacing/>
              <w:jc w:val="center"/>
              <w:rPr>
                <w:rFonts w:ascii="Times New Roman" w:hAnsi="Times New Roman"/>
                <w:bCs/>
                <w:sz w:val="20"/>
                <w:szCs w:val="20"/>
              </w:rPr>
            </w:pPr>
            <w:r w:rsidRPr="00F038BD">
              <w:rPr>
                <w:rFonts w:ascii="Times New Roman" w:hAnsi="Times New Roman"/>
                <w:bCs/>
                <w:sz w:val="20"/>
                <w:szCs w:val="20"/>
              </w:rPr>
              <w:t xml:space="preserve"> 375.97 </w:t>
            </w:r>
          </w:p>
        </w:tc>
        <w:tc>
          <w:tcPr>
            <w:tcW w:w="512" w:type="pct"/>
            <w:tcBorders>
              <w:top w:val="single" w:sz="4" w:space="0" w:color="auto"/>
              <w:left w:val="single" w:sz="4" w:space="0" w:color="auto"/>
              <w:bottom w:val="single" w:sz="4" w:space="0" w:color="auto"/>
              <w:right w:val="single" w:sz="4" w:space="0" w:color="auto"/>
            </w:tcBorders>
            <w:vAlign w:val="center"/>
          </w:tcPr>
          <w:p w14:paraId="6AB50406" w14:textId="77777777" w:rsidR="00F038BD" w:rsidRPr="00F038BD" w:rsidRDefault="00F038BD" w:rsidP="00F038BD">
            <w:pPr>
              <w:spacing w:after="0" w:line="240" w:lineRule="auto"/>
              <w:ind w:left="-116" w:right="-193"/>
              <w:contextualSpacing/>
              <w:jc w:val="center"/>
              <w:rPr>
                <w:rFonts w:ascii="Times New Roman" w:hAnsi="Times New Roman"/>
                <w:bCs/>
                <w:sz w:val="20"/>
                <w:szCs w:val="20"/>
              </w:rPr>
            </w:pPr>
            <w:r w:rsidRPr="00F038BD">
              <w:rPr>
                <w:rFonts w:ascii="Times New Roman" w:hAnsi="Times New Roman"/>
                <w:bCs/>
                <w:sz w:val="20"/>
                <w:szCs w:val="20"/>
              </w:rPr>
              <w:t>253.56</w:t>
            </w:r>
          </w:p>
        </w:tc>
        <w:tc>
          <w:tcPr>
            <w:tcW w:w="512" w:type="pct"/>
            <w:tcBorders>
              <w:top w:val="single" w:sz="4" w:space="0" w:color="auto"/>
              <w:left w:val="single" w:sz="4" w:space="0" w:color="auto"/>
              <w:bottom w:val="single" w:sz="4" w:space="0" w:color="auto"/>
              <w:right w:val="single" w:sz="4" w:space="0" w:color="auto"/>
            </w:tcBorders>
            <w:vAlign w:val="center"/>
          </w:tcPr>
          <w:p w14:paraId="3D685B95" w14:textId="77777777" w:rsidR="00F038BD" w:rsidRPr="00F038BD" w:rsidRDefault="00F038BD" w:rsidP="00F038BD">
            <w:pPr>
              <w:spacing w:after="0" w:line="240" w:lineRule="auto"/>
              <w:ind w:left="-116" w:right="-193"/>
              <w:contextualSpacing/>
              <w:jc w:val="center"/>
              <w:rPr>
                <w:rFonts w:ascii="Times New Roman" w:hAnsi="Times New Roman"/>
                <w:bCs/>
                <w:sz w:val="20"/>
                <w:szCs w:val="20"/>
              </w:rPr>
            </w:pPr>
            <w:r w:rsidRPr="00F038BD">
              <w:rPr>
                <w:rFonts w:ascii="Times New Roman" w:hAnsi="Times New Roman"/>
                <w:bCs/>
                <w:sz w:val="20"/>
                <w:szCs w:val="20"/>
              </w:rPr>
              <w:t>11.82</w:t>
            </w:r>
          </w:p>
        </w:tc>
        <w:tc>
          <w:tcPr>
            <w:tcW w:w="486" w:type="pct"/>
            <w:tcBorders>
              <w:top w:val="single" w:sz="4" w:space="0" w:color="auto"/>
              <w:left w:val="single" w:sz="4" w:space="0" w:color="auto"/>
              <w:bottom w:val="single" w:sz="4" w:space="0" w:color="auto"/>
              <w:right w:val="single" w:sz="4" w:space="0" w:color="auto"/>
            </w:tcBorders>
            <w:vAlign w:val="center"/>
          </w:tcPr>
          <w:p w14:paraId="678E3134" w14:textId="77777777" w:rsidR="00F038BD" w:rsidRPr="00F038BD" w:rsidRDefault="00F038BD" w:rsidP="00F038BD">
            <w:pPr>
              <w:spacing w:after="0" w:line="240" w:lineRule="auto"/>
              <w:contextualSpacing/>
              <w:jc w:val="center"/>
              <w:rPr>
                <w:rFonts w:ascii="Times New Roman" w:hAnsi="Times New Roman"/>
                <w:bCs/>
                <w:sz w:val="20"/>
                <w:szCs w:val="20"/>
              </w:rPr>
            </w:pPr>
            <w:r w:rsidRPr="00F038BD">
              <w:rPr>
                <w:rFonts w:ascii="Times New Roman" w:hAnsi="Times New Roman"/>
                <w:bCs/>
                <w:sz w:val="20"/>
                <w:szCs w:val="20"/>
              </w:rPr>
              <w:t>-49.41</w:t>
            </w:r>
          </w:p>
        </w:tc>
        <w:tc>
          <w:tcPr>
            <w:tcW w:w="448" w:type="pct"/>
            <w:tcBorders>
              <w:top w:val="single" w:sz="4" w:space="0" w:color="auto"/>
              <w:left w:val="single" w:sz="4" w:space="0" w:color="auto"/>
              <w:bottom w:val="single" w:sz="4" w:space="0" w:color="auto"/>
              <w:right w:val="single" w:sz="4" w:space="0" w:color="auto"/>
            </w:tcBorders>
            <w:vAlign w:val="center"/>
          </w:tcPr>
          <w:p w14:paraId="55027C12" w14:textId="77777777" w:rsidR="00F038BD" w:rsidRPr="00F038BD" w:rsidRDefault="00F038BD" w:rsidP="00F038BD">
            <w:pPr>
              <w:spacing w:after="0" w:line="240" w:lineRule="auto"/>
              <w:ind w:left="-116" w:right="-193"/>
              <w:contextualSpacing/>
              <w:jc w:val="center"/>
              <w:rPr>
                <w:rFonts w:ascii="Times New Roman" w:hAnsi="Times New Roman"/>
                <w:bCs/>
                <w:sz w:val="20"/>
                <w:szCs w:val="20"/>
              </w:rPr>
            </w:pPr>
            <w:r w:rsidRPr="00F038BD">
              <w:rPr>
                <w:rFonts w:ascii="Times New Roman" w:hAnsi="Times New Roman"/>
                <w:bCs/>
                <w:sz w:val="20"/>
                <w:szCs w:val="20"/>
              </w:rPr>
              <w:t>310.86</w:t>
            </w:r>
          </w:p>
        </w:tc>
        <w:tc>
          <w:tcPr>
            <w:tcW w:w="471" w:type="pct"/>
            <w:tcBorders>
              <w:top w:val="single" w:sz="4" w:space="0" w:color="auto"/>
              <w:left w:val="single" w:sz="4" w:space="0" w:color="auto"/>
              <w:bottom w:val="single" w:sz="4" w:space="0" w:color="auto"/>
              <w:right w:val="single" w:sz="4" w:space="0" w:color="auto"/>
            </w:tcBorders>
            <w:vAlign w:val="center"/>
          </w:tcPr>
          <w:p w14:paraId="5B5E92C2" w14:textId="77777777" w:rsidR="00F038BD" w:rsidRPr="00F038BD" w:rsidRDefault="00F038BD" w:rsidP="00F038BD">
            <w:pPr>
              <w:spacing w:after="0" w:line="240" w:lineRule="auto"/>
              <w:ind w:left="-116" w:right="-193"/>
              <w:contextualSpacing/>
              <w:jc w:val="center"/>
              <w:rPr>
                <w:rFonts w:ascii="Times New Roman" w:hAnsi="Times New Roman"/>
                <w:bCs/>
                <w:sz w:val="20"/>
                <w:szCs w:val="20"/>
              </w:rPr>
            </w:pPr>
            <w:r w:rsidRPr="00F038BD">
              <w:rPr>
                <w:rFonts w:ascii="Times New Roman" w:hAnsi="Times New Roman"/>
                <w:bCs/>
                <w:sz w:val="20"/>
                <w:szCs w:val="20"/>
              </w:rPr>
              <w:t>190.73</w:t>
            </w:r>
          </w:p>
        </w:tc>
        <w:tc>
          <w:tcPr>
            <w:tcW w:w="442" w:type="pct"/>
            <w:tcBorders>
              <w:top w:val="single" w:sz="4" w:space="0" w:color="auto"/>
              <w:left w:val="single" w:sz="4" w:space="0" w:color="auto"/>
              <w:bottom w:val="single" w:sz="4" w:space="0" w:color="auto"/>
              <w:right w:val="single" w:sz="4" w:space="0" w:color="auto"/>
            </w:tcBorders>
            <w:vAlign w:val="center"/>
          </w:tcPr>
          <w:p w14:paraId="5630FC9C" w14:textId="77777777" w:rsidR="00F038BD" w:rsidRPr="00F038BD" w:rsidRDefault="00F038BD" w:rsidP="00F038BD">
            <w:pPr>
              <w:spacing w:after="0" w:line="240" w:lineRule="auto"/>
              <w:ind w:left="-116" w:right="-193"/>
              <w:contextualSpacing/>
              <w:jc w:val="center"/>
              <w:rPr>
                <w:rFonts w:ascii="Times New Roman" w:hAnsi="Times New Roman"/>
                <w:bCs/>
                <w:sz w:val="20"/>
                <w:szCs w:val="20"/>
              </w:rPr>
            </w:pPr>
            <w:r w:rsidRPr="00F038BD">
              <w:rPr>
                <w:rFonts w:ascii="Times New Roman" w:hAnsi="Times New Roman"/>
                <w:bCs/>
                <w:sz w:val="20"/>
                <w:szCs w:val="20"/>
              </w:rPr>
              <w:t>118.81</w:t>
            </w:r>
          </w:p>
        </w:tc>
      </w:tr>
      <w:tr w:rsidR="00F038BD" w:rsidRPr="00F038BD" w14:paraId="147EFB75" w14:textId="77777777" w:rsidTr="00716083">
        <w:trPr>
          <w:trHeight w:val="20"/>
        </w:trPr>
        <w:tc>
          <w:tcPr>
            <w:tcW w:w="671" w:type="pct"/>
            <w:tcBorders>
              <w:top w:val="single" w:sz="4" w:space="0" w:color="auto"/>
              <w:left w:val="single" w:sz="4" w:space="0" w:color="auto"/>
              <w:bottom w:val="single" w:sz="4" w:space="0" w:color="auto"/>
              <w:right w:val="single" w:sz="4" w:space="0" w:color="auto"/>
            </w:tcBorders>
            <w:vAlign w:val="center"/>
            <w:hideMark/>
          </w:tcPr>
          <w:p w14:paraId="32A97E4A" w14:textId="77777777" w:rsidR="00F038BD" w:rsidRPr="00F038BD" w:rsidRDefault="00F038BD" w:rsidP="00F038BD">
            <w:pPr>
              <w:spacing w:after="0" w:line="240" w:lineRule="auto"/>
              <w:contextualSpacing/>
              <w:jc w:val="both"/>
              <w:rPr>
                <w:rFonts w:ascii="Times New Roman" w:hAnsi="Times New Roman"/>
                <w:b/>
                <w:sz w:val="20"/>
                <w:szCs w:val="20"/>
              </w:rPr>
            </w:pPr>
            <w:r w:rsidRPr="00F038BD">
              <w:rPr>
                <w:rFonts w:ascii="Times New Roman" w:eastAsiaTheme="minorHAnsi" w:hAnsi="Times New Roman"/>
                <w:sz w:val="20"/>
                <w:szCs w:val="20"/>
                <w:lang w:val="en-IN"/>
              </w:rPr>
              <w:t xml:space="preserve">EBITDA Margin (%) </w:t>
            </w:r>
            <w:r w:rsidRPr="00F038BD">
              <w:rPr>
                <w:rFonts w:ascii="Times New Roman" w:eastAsiaTheme="minorHAnsi" w:hAnsi="Times New Roman"/>
                <w:sz w:val="20"/>
                <w:szCs w:val="20"/>
                <w:vertAlign w:val="superscript"/>
                <w:lang w:val="en-IN"/>
              </w:rPr>
              <w:t>(3)</w:t>
            </w:r>
          </w:p>
        </w:tc>
        <w:tc>
          <w:tcPr>
            <w:tcW w:w="486" w:type="pct"/>
            <w:tcBorders>
              <w:top w:val="single" w:sz="4" w:space="0" w:color="auto"/>
              <w:left w:val="single" w:sz="4" w:space="0" w:color="auto"/>
              <w:bottom w:val="single" w:sz="4" w:space="0" w:color="auto"/>
              <w:right w:val="single" w:sz="4" w:space="0" w:color="auto"/>
            </w:tcBorders>
            <w:vAlign w:val="center"/>
            <w:hideMark/>
          </w:tcPr>
          <w:p w14:paraId="2B5EA437" w14:textId="77777777" w:rsidR="00F038BD" w:rsidRPr="00F038BD" w:rsidRDefault="00F038BD" w:rsidP="00F038BD">
            <w:pPr>
              <w:spacing w:after="0" w:line="240" w:lineRule="auto"/>
              <w:ind w:left="-116" w:right="-193"/>
              <w:contextualSpacing/>
              <w:jc w:val="center"/>
              <w:rPr>
                <w:rFonts w:ascii="Times New Roman" w:hAnsi="Times New Roman"/>
                <w:bCs/>
                <w:sz w:val="20"/>
                <w:szCs w:val="20"/>
              </w:rPr>
            </w:pPr>
            <w:r w:rsidRPr="00F038BD">
              <w:rPr>
                <w:rFonts w:ascii="Times New Roman" w:hAnsi="Times New Roman"/>
                <w:bCs/>
                <w:sz w:val="20"/>
                <w:szCs w:val="20"/>
              </w:rPr>
              <w:t>2.35%</w:t>
            </w:r>
          </w:p>
        </w:tc>
        <w:tc>
          <w:tcPr>
            <w:tcW w:w="486" w:type="pct"/>
            <w:tcBorders>
              <w:top w:val="single" w:sz="4" w:space="0" w:color="auto"/>
              <w:left w:val="single" w:sz="4" w:space="0" w:color="auto"/>
              <w:bottom w:val="single" w:sz="4" w:space="0" w:color="auto"/>
              <w:right w:val="single" w:sz="4" w:space="0" w:color="auto"/>
            </w:tcBorders>
            <w:vAlign w:val="center"/>
            <w:hideMark/>
          </w:tcPr>
          <w:p w14:paraId="68CEA8D2" w14:textId="77777777" w:rsidR="00F038BD" w:rsidRPr="00F038BD" w:rsidRDefault="00F038BD" w:rsidP="00F038BD">
            <w:pPr>
              <w:spacing w:after="0" w:line="240" w:lineRule="auto"/>
              <w:ind w:left="-116" w:right="-193"/>
              <w:contextualSpacing/>
              <w:jc w:val="center"/>
              <w:rPr>
                <w:rFonts w:ascii="Times New Roman" w:hAnsi="Times New Roman"/>
                <w:bCs/>
                <w:sz w:val="20"/>
                <w:szCs w:val="20"/>
              </w:rPr>
            </w:pPr>
            <w:r w:rsidRPr="00F038BD">
              <w:rPr>
                <w:rFonts w:ascii="Times New Roman" w:hAnsi="Times New Roman"/>
                <w:bCs/>
                <w:sz w:val="20"/>
                <w:szCs w:val="20"/>
              </w:rPr>
              <w:t>1.21%</w:t>
            </w:r>
          </w:p>
        </w:tc>
        <w:tc>
          <w:tcPr>
            <w:tcW w:w="486" w:type="pct"/>
            <w:tcBorders>
              <w:top w:val="single" w:sz="4" w:space="0" w:color="auto"/>
              <w:left w:val="single" w:sz="4" w:space="0" w:color="auto"/>
              <w:bottom w:val="single" w:sz="4" w:space="0" w:color="auto"/>
              <w:right w:val="single" w:sz="4" w:space="0" w:color="auto"/>
            </w:tcBorders>
            <w:vAlign w:val="center"/>
            <w:hideMark/>
          </w:tcPr>
          <w:p w14:paraId="5B2F6E22" w14:textId="77777777" w:rsidR="00F038BD" w:rsidRPr="00F038BD" w:rsidRDefault="00F038BD" w:rsidP="00F038BD">
            <w:pPr>
              <w:spacing w:after="0" w:line="240" w:lineRule="auto"/>
              <w:ind w:left="-116" w:right="-193"/>
              <w:contextualSpacing/>
              <w:jc w:val="center"/>
              <w:rPr>
                <w:rFonts w:ascii="Times New Roman" w:hAnsi="Times New Roman"/>
                <w:bCs/>
                <w:sz w:val="20"/>
                <w:szCs w:val="20"/>
              </w:rPr>
            </w:pPr>
            <w:r w:rsidRPr="00F038BD">
              <w:rPr>
                <w:rFonts w:ascii="Times New Roman" w:hAnsi="Times New Roman"/>
                <w:bCs/>
                <w:sz w:val="20"/>
                <w:szCs w:val="20"/>
              </w:rPr>
              <w:t>2.71%</w:t>
            </w:r>
          </w:p>
        </w:tc>
        <w:tc>
          <w:tcPr>
            <w:tcW w:w="512" w:type="pct"/>
            <w:tcBorders>
              <w:top w:val="single" w:sz="4" w:space="0" w:color="auto"/>
              <w:left w:val="single" w:sz="4" w:space="0" w:color="auto"/>
              <w:bottom w:val="single" w:sz="4" w:space="0" w:color="auto"/>
              <w:right w:val="single" w:sz="4" w:space="0" w:color="auto"/>
            </w:tcBorders>
            <w:vAlign w:val="center"/>
          </w:tcPr>
          <w:p w14:paraId="45A0F321" w14:textId="77777777" w:rsidR="00F038BD" w:rsidRPr="00F038BD" w:rsidRDefault="00F038BD" w:rsidP="00F038BD">
            <w:pPr>
              <w:spacing w:after="0" w:line="240" w:lineRule="auto"/>
              <w:ind w:left="-116" w:right="-193"/>
              <w:jc w:val="center"/>
              <w:rPr>
                <w:rFonts w:ascii="Times New Roman" w:hAnsi="Times New Roman"/>
                <w:bCs/>
                <w:sz w:val="20"/>
                <w:szCs w:val="20"/>
              </w:rPr>
            </w:pPr>
            <w:r w:rsidRPr="00F038BD">
              <w:rPr>
                <w:rFonts w:ascii="Times New Roman" w:hAnsi="Times New Roman"/>
                <w:bCs/>
                <w:sz w:val="20"/>
                <w:szCs w:val="20"/>
              </w:rPr>
              <w:t>13.12%</w:t>
            </w:r>
          </w:p>
        </w:tc>
        <w:tc>
          <w:tcPr>
            <w:tcW w:w="512" w:type="pct"/>
            <w:tcBorders>
              <w:top w:val="single" w:sz="4" w:space="0" w:color="auto"/>
              <w:left w:val="single" w:sz="4" w:space="0" w:color="auto"/>
              <w:bottom w:val="single" w:sz="4" w:space="0" w:color="auto"/>
              <w:right w:val="single" w:sz="4" w:space="0" w:color="auto"/>
            </w:tcBorders>
            <w:vAlign w:val="center"/>
          </w:tcPr>
          <w:p w14:paraId="4A9C1E97" w14:textId="77777777" w:rsidR="00F038BD" w:rsidRPr="00F038BD" w:rsidRDefault="00F038BD" w:rsidP="00F038BD">
            <w:pPr>
              <w:spacing w:after="0" w:line="240" w:lineRule="auto"/>
              <w:ind w:left="-116" w:right="-193"/>
              <w:jc w:val="center"/>
              <w:rPr>
                <w:rFonts w:ascii="Times New Roman" w:hAnsi="Times New Roman"/>
                <w:bCs/>
                <w:sz w:val="20"/>
                <w:szCs w:val="20"/>
              </w:rPr>
            </w:pPr>
            <w:r w:rsidRPr="00F038BD">
              <w:rPr>
                <w:rFonts w:ascii="Times New Roman" w:hAnsi="Times New Roman"/>
                <w:bCs/>
                <w:sz w:val="20"/>
                <w:szCs w:val="20"/>
              </w:rPr>
              <w:t>0.76%</w:t>
            </w:r>
          </w:p>
        </w:tc>
        <w:tc>
          <w:tcPr>
            <w:tcW w:w="486" w:type="pct"/>
            <w:tcBorders>
              <w:top w:val="single" w:sz="4" w:space="0" w:color="auto"/>
              <w:left w:val="single" w:sz="4" w:space="0" w:color="auto"/>
              <w:bottom w:val="single" w:sz="4" w:space="0" w:color="auto"/>
              <w:right w:val="single" w:sz="4" w:space="0" w:color="auto"/>
            </w:tcBorders>
            <w:vAlign w:val="center"/>
          </w:tcPr>
          <w:p w14:paraId="624E6C62" w14:textId="77777777" w:rsidR="00F038BD" w:rsidRPr="00F038BD" w:rsidRDefault="00F038BD" w:rsidP="00F038BD">
            <w:pPr>
              <w:spacing w:after="0" w:line="240" w:lineRule="auto"/>
              <w:contextualSpacing/>
              <w:jc w:val="center"/>
              <w:rPr>
                <w:rFonts w:ascii="Times New Roman" w:hAnsi="Times New Roman"/>
                <w:bCs/>
                <w:sz w:val="20"/>
                <w:szCs w:val="20"/>
              </w:rPr>
            </w:pPr>
            <w:r w:rsidRPr="00F038BD">
              <w:rPr>
                <w:rFonts w:ascii="Times New Roman" w:hAnsi="Times New Roman"/>
                <w:bCs/>
                <w:sz w:val="20"/>
                <w:szCs w:val="20"/>
              </w:rPr>
              <w:t>-2.66%</w:t>
            </w:r>
          </w:p>
        </w:tc>
        <w:tc>
          <w:tcPr>
            <w:tcW w:w="448" w:type="pct"/>
            <w:tcBorders>
              <w:top w:val="single" w:sz="4" w:space="0" w:color="auto"/>
              <w:left w:val="single" w:sz="4" w:space="0" w:color="auto"/>
              <w:bottom w:val="single" w:sz="4" w:space="0" w:color="auto"/>
              <w:right w:val="single" w:sz="4" w:space="0" w:color="auto"/>
            </w:tcBorders>
            <w:vAlign w:val="center"/>
          </w:tcPr>
          <w:p w14:paraId="75A0CA28" w14:textId="77777777" w:rsidR="00F038BD" w:rsidRPr="00F038BD" w:rsidRDefault="00F038BD" w:rsidP="00F038BD">
            <w:pPr>
              <w:spacing w:after="0" w:line="240" w:lineRule="auto"/>
              <w:ind w:left="-116" w:right="-193"/>
              <w:jc w:val="center"/>
              <w:rPr>
                <w:rFonts w:ascii="Times New Roman" w:hAnsi="Times New Roman"/>
                <w:bCs/>
                <w:sz w:val="20"/>
                <w:szCs w:val="20"/>
              </w:rPr>
            </w:pPr>
            <w:r w:rsidRPr="00F038BD">
              <w:rPr>
                <w:rFonts w:ascii="Times New Roman" w:hAnsi="Times New Roman"/>
                <w:bCs/>
                <w:sz w:val="20"/>
                <w:szCs w:val="20"/>
              </w:rPr>
              <w:t>9.97%</w:t>
            </w:r>
          </w:p>
        </w:tc>
        <w:tc>
          <w:tcPr>
            <w:tcW w:w="471" w:type="pct"/>
            <w:tcBorders>
              <w:top w:val="single" w:sz="4" w:space="0" w:color="auto"/>
              <w:left w:val="single" w:sz="4" w:space="0" w:color="auto"/>
              <w:bottom w:val="single" w:sz="4" w:space="0" w:color="auto"/>
              <w:right w:val="single" w:sz="4" w:space="0" w:color="auto"/>
            </w:tcBorders>
            <w:vAlign w:val="center"/>
          </w:tcPr>
          <w:p w14:paraId="34786993" w14:textId="77777777" w:rsidR="00F038BD" w:rsidRPr="00F038BD" w:rsidRDefault="00F038BD" w:rsidP="00F038BD">
            <w:pPr>
              <w:spacing w:after="0" w:line="240" w:lineRule="auto"/>
              <w:ind w:left="-116" w:right="-193"/>
              <w:jc w:val="center"/>
              <w:rPr>
                <w:rFonts w:ascii="Times New Roman" w:hAnsi="Times New Roman"/>
                <w:bCs/>
                <w:sz w:val="20"/>
                <w:szCs w:val="20"/>
              </w:rPr>
            </w:pPr>
            <w:r w:rsidRPr="00F038BD">
              <w:rPr>
                <w:rFonts w:ascii="Times New Roman" w:hAnsi="Times New Roman"/>
                <w:bCs/>
                <w:sz w:val="20"/>
                <w:szCs w:val="20"/>
              </w:rPr>
              <w:t>9.16%</w:t>
            </w:r>
          </w:p>
        </w:tc>
        <w:tc>
          <w:tcPr>
            <w:tcW w:w="442" w:type="pct"/>
            <w:tcBorders>
              <w:top w:val="single" w:sz="4" w:space="0" w:color="auto"/>
              <w:left w:val="single" w:sz="4" w:space="0" w:color="auto"/>
              <w:bottom w:val="single" w:sz="4" w:space="0" w:color="auto"/>
              <w:right w:val="single" w:sz="4" w:space="0" w:color="auto"/>
            </w:tcBorders>
            <w:vAlign w:val="center"/>
          </w:tcPr>
          <w:p w14:paraId="0A770EC9" w14:textId="77777777" w:rsidR="00F038BD" w:rsidRPr="00F038BD" w:rsidRDefault="00F038BD" w:rsidP="00F038BD">
            <w:pPr>
              <w:spacing w:after="0" w:line="240" w:lineRule="auto"/>
              <w:ind w:left="-116" w:right="-193"/>
              <w:jc w:val="center"/>
              <w:rPr>
                <w:rFonts w:ascii="Times New Roman" w:hAnsi="Times New Roman"/>
                <w:bCs/>
                <w:sz w:val="20"/>
                <w:szCs w:val="20"/>
              </w:rPr>
            </w:pPr>
            <w:r w:rsidRPr="00F038BD">
              <w:rPr>
                <w:rFonts w:ascii="Times New Roman" w:hAnsi="Times New Roman"/>
                <w:bCs/>
                <w:sz w:val="20"/>
                <w:szCs w:val="20"/>
              </w:rPr>
              <w:t>7.84%</w:t>
            </w:r>
          </w:p>
        </w:tc>
      </w:tr>
      <w:tr w:rsidR="00F038BD" w:rsidRPr="00F038BD" w14:paraId="7BD287F9" w14:textId="77777777" w:rsidTr="00716083">
        <w:trPr>
          <w:trHeight w:val="20"/>
        </w:trPr>
        <w:tc>
          <w:tcPr>
            <w:tcW w:w="671" w:type="pct"/>
            <w:tcBorders>
              <w:top w:val="single" w:sz="4" w:space="0" w:color="auto"/>
              <w:left w:val="single" w:sz="4" w:space="0" w:color="auto"/>
              <w:bottom w:val="single" w:sz="4" w:space="0" w:color="auto"/>
              <w:right w:val="single" w:sz="4" w:space="0" w:color="auto"/>
            </w:tcBorders>
            <w:vAlign w:val="center"/>
            <w:hideMark/>
          </w:tcPr>
          <w:p w14:paraId="66816116" w14:textId="77777777" w:rsidR="00F038BD" w:rsidRPr="00F038BD" w:rsidRDefault="00F038BD" w:rsidP="00F038BD">
            <w:pPr>
              <w:spacing w:after="0" w:line="240" w:lineRule="auto"/>
              <w:contextualSpacing/>
              <w:jc w:val="both"/>
              <w:rPr>
                <w:rFonts w:ascii="Times New Roman" w:hAnsi="Times New Roman"/>
                <w:b/>
                <w:sz w:val="20"/>
                <w:szCs w:val="20"/>
              </w:rPr>
            </w:pPr>
            <w:r w:rsidRPr="00F038BD">
              <w:rPr>
                <w:rFonts w:ascii="Times New Roman" w:eastAsiaTheme="minorHAnsi" w:hAnsi="Times New Roman"/>
                <w:sz w:val="20"/>
                <w:szCs w:val="20"/>
                <w:lang w:val="en-IN"/>
              </w:rPr>
              <w:t xml:space="preserve">PAT </w:t>
            </w:r>
            <w:r w:rsidRPr="00F038BD">
              <w:rPr>
                <w:rFonts w:ascii="Times New Roman" w:eastAsiaTheme="minorHAnsi" w:hAnsi="Times New Roman"/>
                <w:sz w:val="20"/>
                <w:szCs w:val="20"/>
                <w:vertAlign w:val="superscript"/>
                <w:lang w:val="en-IN"/>
              </w:rPr>
              <w:t>(4)</w:t>
            </w:r>
          </w:p>
        </w:tc>
        <w:tc>
          <w:tcPr>
            <w:tcW w:w="486" w:type="pct"/>
            <w:tcBorders>
              <w:top w:val="single" w:sz="4" w:space="0" w:color="auto"/>
              <w:left w:val="single" w:sz="4" w:space="0" w:color="auto"/>
              <w:bottom w:val="single" w:sz="4" w:space="0" w:color="auto"/>
              <w:right w:val="single" w:sz="4" w:space="0" w:color="auto"/>
            </w:tcBorders>
            <w:vAlign w:val="center"/>
            <w:hideMark/>
          </w:tcPr>
          <w:p w14:paraId="0C7681EE" w14:textId="77777777" w:rsidR="00F038BD" w:rsidRPr="00F038BD" w:rsidRDefault="00F038BD" w:rsidP="00F038BD">
            <w:pPr>
              <w:spacing w:after="0" w:line="240" w:lineRule="auto"/>
              <w:ind w:left="-116" w:right="-193"/>
              <w:contextualSpacing/>
              <w:jc w:val="center"/>
              <w:rPr>
                <w:rFonts w:ascii="Times New Roman" w:hAnsi="Times New Roman"/>
                <w:bCs/>
                <w:sz w:val="20"/>
                <w:szCs w:val="20"/>
              </w:rPr>
            </w:pPr>
            <w:r w:rsidRPr="00F038BD">
              <w:rPr>
                <w:rFonts w:ascii="Times New Roman" w:hAnsi="Times New Roman"/>
                <w:bCs/>
                <w:sz w:val="20"/>
                <w:szCs w:val="20"/>
              </w:rPr>
              <w:t>765.42</w:t>
            </w:r>
          </w:p>
        </w:tc>
        <w:tc>
          <w:tcPr>
            <w:tcW w:w="486" w:type="pct"/>
            <w:tcBorders>
              <w:top w:val="single" w:sz="4" w:space="0" w:color="auto"/>
              <w:left w:val="single" w:sz="4" w:space="0" w:color="auto"/>
              <w:bottom w:val="single" w:sz="4" w:space="0" w:color="auto"/>
              <w:right w:val="single" w:sz="4" w:space="0" w:color="auto"/>
            </w:tcBorders>
            <w:vAlign w:val="center"/>
            <w:hideMark/>
          </w:tcPr>
          <w:p w14:paraId="39634162" w14:textId="77777777" w:rsidR="00F038BD" w:rsidRPr="00F038BD" w:rsidRDefault="00F038BD" w:rsidP="00F038BD">
            <w:pPr>
              <w:spacing w:after="0" w:line="240" w:lineRule="auto"/>
              <w:ind w:left="-116" w:right="-193"/>
              <w:contextualSpacing/>
              <w:jc w:val="center"/>
              <w:rPr>
                <w:rFonts w:ascii="Times New Roman" w:hAnsi="Times New Roman"/>
                <w:bCs/>
                <w:sz w:val="20"/>
                <w:szCs w:val="20"/>
              </w:rPr>
            </w:pPr>
            <w:r w:rsidRPr="00F038BD">
              <w:rPr>
                <w:rFonts w:ascii="Times New Roman" w:hAnsi="Times New Roman"/>
                <w:bCs/>
                <w:sz w:val="20"/>
                <w:szCs w:val="20"/>
              </w:rPr>
              <w:t>322.47</w:t>
            </w:r>
          </w:p>
        </w:tc>
        <w:tc>
          <w:tcPr>
            <w:tcW w:w="486" w:type="pct"/>
            <w:tcBorders>
              <w:top w:val="single" w:sz="4" w:space="0" w:color="auto"/>
              <w:left w:val="single" w:sz="4" w:space="0" w:color="auto"/>
              <w:bottom w:val="single" w:sz="4" w:space="0" w:color="auto"/>
              <w:right w:val="single" w:sz="4" w:space="0" w:color="auto"/>
            </w:tcBorders>
            <w:vAlign w:val="center"/>
            <w:hideMark/>
          </w:tcPr>
          <w:p w14:paraId="2FD00FBD" w14:textId="77777777" w:rsidR="00F038BD" w:rsidRPr="00F038BD" w:rsidRDefault="00F038BD" w:rsidP="00F038BD">
            <w:pPr>
              <w:spacing w:after="0" w:line="240" w:lineRule="auto"/>
              <w:ind w:left="-116" w:right="-193"/>
              <w:contextualSpacing/>
              <w:jc w:val="center"/>
              <w:rPr>
                <w:rFonts w:ascii="Times New Roman" w:hAnsi="Times New Roman"/>
                <w:bCs/>
                <w:sz w:val="20"/>
                <w:szCs w:val="20"/>
              </w:rPr>
            </w:pPr>
            <w:r w:rsidRPr="00F038BD">
              <w:rPr>
                <w:rFonts w:ascii="Times New Roman" w:hAnsi="Times New Roman"/>
                <w:bCs/>
                <w:sz w:val="20"/>
                <w:szCs w:val="20"/>
              </w:rPr>
              <w:t>142.28</w:t>
            </w:r>
          </w:p>
        </w:tc>
        <w:tc>
          <w:tcPr>
            <w:tcW w:w="512" w:type="pct"/>
            <w:tcBorders>
              <w:top w:val="single" w:sz="4" w:space="0" w:color="auto"/>
              <w:left w:val="single" w:sz="4" w:space="0" w:color="auto"/>
              <w:bottom w:val="single" w:sz="4" w:space="0" w:color="auto"/>
              <w:right w:val="single" w:sz="4" w:space="0" w:color="auto"/>
            </w:tcBorders>
            <w:vAlign w:val="center"/>
          </w:tcPr>
          <w:p w14:paraId="5BF895E8" w14:textId="77777777" w:rsidR="00F038BD" w:rsidRPr="00F038BD" w:rsidRDefault="00F038BD" w:rsidP="00F038BD">
            <w:pPr>
              <w:spacing w:after="0" w:line="240" w:lineRule="auto"/>
              <w:ind w:left="-116" w:right="-193"/>
              <w:contextualSpacing/>
              <w:jc w:val="center"/>
              <w:rPr>
                <w:rFonts w:ascii="Times New Roman" w:hAnsi="Times New Roman"/>
                <w:bCs/>
                <w:sz w:val="20"/>
                <w:szCs w:val="20"/>
              </w:rPr>
            </w:pPr>
            <w:r w:rsidRPr="00F038BD">
              <w:rPr>
                <w:rFonts w:ascii="Times New Roman" w:hAnsi="Times New Roman"/>
                <w:bCs/>
                <w:sz w:val="20"/>
                <w:szCs w:val="20"/>
              </w:rPr>
              <w:t>170.02</w:t>
            </w:r>
          </w:p>
        </w:tc>
        <w:tc>
          <w:tcPr>
            <w:tcW w:w="512" w:type="pct"/>
            <w:tcBorders>
              <w:top w:val="single" w:sz="4" w:space="0" w:color="auto"/>
              <w:left w:val="single" w:sz="4" w:space="0" w:color="auto"/>
              <w:bottom w:val="single" w:sz="4" w:space="0" w:color="auto"/>
              <w:right w:val="single" w:sz="4" w:space="0" w:color="auto"/>
            </w:tcBorders>
            <w:vAlign w:val="center"/>
          </w:tcPr>
          <w:p w14:paraId="6A9BD3B9" w14:textId="77777777" w:rsidR="00F038BD" w:rsidRPr="00F038BD" w:rsidRDefault="00F038BD" w:rsidP="00F038BD">
            <w:pPr>
              <w:spacing w:after="0" w:line="240" w:lineRule="auto"/>
              <w:ind w:left="-116" w:right="-193"/>
              <w:contextualSpacing/>
              <w:jc w:val="center"/>
              <w:rPr>
                <w:rFonts w:ascii="Times New Roman" w:hAnsi="Times New Roman"/>
                <w:bCs/>
                <w:sz w:val="20"/>
                <w:szCs w:val="20"/>
              </w:rPr>
            </w:pPr>
            <w:r w:rsidRPr="00F038BD">
              <w:rPr>
                <w:rFonts w:ascii="Times New Roman" w:hAnsi="Times New Roman"/>
                <w:bCs/>
                <w:sz w:val="20"/>
                <w:szCs w:val="20"/>
              </w:rPr>
              <w:t>34.68</w:t>
            </w:r>
          </w:p>
        </w:tc>
        <w:tc>
          <w:tcPr>
            <w:tcW w:w="486" w:type="pct"/>
            <w:tcBorders>
              <w:top w:val="single" w:sz="4" w:space="0" w:color="auto"/>
              <w:left w:val="single" w:sz="4" w:space="0" w:color="auto"/>
              <w:bottom w:val="single" w:sz="4" w:space="0" w:color="auto"/>
              <w:right w:val="single" w:sz="4" w:space="0" w:color="auto"/>
            </w:tcBorders>
            <w:vAlign w:val="center"/>
          </w:tcPr>
          <w:p w14:paraId="7716565E" w14:textId="77777777" w:rsidR="00F038BD" w:rsidRPr="00F038BD" w:rsidRDefault="00F038BD" w:rsidP="00F038BD">
            <w:pPr>
              <w:spacing w:after="0" w:line="240" w:lineRule="auto"/>
              <w:contextualSpacing/>
              <w:jc w:val="center"/>
              <w:rPr>
                <w:rFonts w:ascii="Times New Roman" w:hAnsi="Times New Roman"/>
                <w:bCs/>
                <w:sz w:val="20"/>
                <w:szCs w:val="20"/>
              </w:rPr>
            </w:pPr>
            <w:r w:rsidRPr="00F038BD">
              <w:rPr>
                <w:rFonts w:ascii="Times New Roman" w:hAnsi="Times New Roman"/>
                <w:bCs/>
                <w:sz w:val="20"/>
                <w:szCs w:val="20"/>
              </w:rPr>
              <w:t>62.04</w:t>
            </w:r>
          </w:p>
        </w:tc>
        <w:tc>
          <w:tcPr>
            <w:tcW w:w="448" w:type="pct"/>
            <w:tcBorders>
              <w:top w:val="single" w:sz="4" w:space="0" w:color="auto"/>
              <w:left w:val="single" w:sz="4" w:space="0" w:color="auto"/>
              <w:bottom w:val="single" w:sz="4" w:space="0" w:color="auto"/>
              <w:right w:val="single" w:sz="4" w:space="0" w:color="auto"/>
            </w:tcBorders>
            <w:vAlign w:val="center"/>
          </w:tcPr>
          <w:p w14:paraId="2EFC3F26" w14:textId="77777777" w:rsidR="00F038BD" w:rsidRPr="00F038BD" w:rsidRDefault="00F038BD" w:rsidP="00F038BD">
            <w:pPr>
              <w:spacing w:after="0" w:line="240" w:lineRule="auto"/>
              <w:ind w:left="-116" w:right="-193"/>
              <w:contextualSpacing/>
              <w:jc w:val="center"/>
              <w:rPr>
                <w:rFonts w:ascii="Times New Roman" w:hAnsi="Times New Roman"/>
                <w:bCs/>
                <w:sz w:val="20"/>
                <w:szCs w:val="20"/>
              </w:rPr>
            </w:pPr>
            <w:r w:rsidRPr="00F038BD">
              <w:rPr>
                <w:rFonts w:ascii="Times New Roman" w:hAnsi="Times New Roman"/>
                <w:bCs/>
                <w:sz w:val="20"/>
                <w:szCs w:val="20"/>
              </w:rPr>
              <w:t>106.36</w:t>
            </w:r>
          </w:p>
        </w:tc>
        <w:tc>
          <w:tcPr>
            <w:tcW w:w="471" w:type="pct"/>
            <w:tcBorders>
              <w:top w:val="single" w:sz="4" w:space="0" w:color="auto"/>
              <w:left w:val="single" w:sz="4" w:space="0" w:color="auto"/>
              <w:bottom w:val="single" w:sz="4" w:space="0" w:color="auto"/>
              <w:right w:val="single" w:sz="4" w:space="0" w:color="auto"/>
            </w:tcBorders>
            <w:vAlign w:val="center"/>
          </w:tcPr>
          <w:p w14:paraId="1E0F56F8" w14:textId="77777777" w:rsidR="00F038BD" w:rsidRPr="00F038BD" w:rsidRDefault="00F038BD" w:rsidP="00F038BD">
            <w:pPr>
              <w:spacing w:after="0" w:line="240" w:lineRule="auto"/>
              <w:ind w:left="-116" w:right="-193"/>
              <w:contextualSpacing/>
              <w:jc w:val="center"/>
              <w:rPr>
                <w:rFonts w:ascii="Times New Roman" w:hAnsi="Times New Roman"/>
                <w:bCs/>
                <w:sz w:val="20"/>
                <w:szCs w:val="20"/>
              </w:rPr>
            </w:pPr>
            <w:r w:rsidRPr="00F038BD">
              <w:rPr>
                <w:rFonts w:ascii="Times New Roman" w:hAnsi="Times New Roman"/>
                <w:bCs/>
                <w:sz w:val="20"/>
                <w:szCs w:val="20"/>
              </w:rPr>
              <w:t>77.14</w:t>
            </w:r>
          </w:p>
        </w:tc>
        <w:tc>
          <w:tcPr>
            <w:tcW w:w="442" w:type="pct"/>
            <w:tcBorders>
              <w:top w:val="single" w:sz="4" w:space="0" w:color="auto"/>
              <w:left w:val="single" w:sz="4" w:space="0" w:color="auto"/>
              <w:bottom w:val="single" w:sz="4" w:space="0" w:color="auto"/>
              <w:right w:val="single" w:sz="4" w:space="0" w:color="auto"/>
            </w:tcBorders>
            <w:vAlign w:val="center"/>
          </w:tcPr>
          <w:p w14:paraId="4D882A7B" w14:textId="77777777" w:rsidR="00F038BD" w:rsidRPr="00F038BD" w:rsidRDefault="00F038BD" w:rsidP="00F038BD">
            <w:pPr>
              <w:spacing w:after="0" w:line="240" w:lineRule="auto"/>
              <w:ind w:left="-116" w:right="-193"/>
              <w:contextualSpacing/>
              <w:jc w:val="center"/>
              <w:rPr>
                <w:rFonts w:ascii="Times New Roman" w:hAnsi="Times New Roman"/>
                <w:bCs/>
                <w:sz w:val="20"/>
                <w:szCs w:val="20"/>
              </w:rPr>
            </w:pPr>
            <w:r w:rsidRPr="00F038BD">
              <w:rPr>
                <w:rFonts w:ascii="Times New Roman" w:hAnsi="Times New Roman"/>
                <w:bCs/>
                <w:sz w:val="20"/>
                <w:szCs w:val="20"/>
              </w:rPr>
              <w:t>24.35</w:t>
            </w:r>
          </w:p>
        </w:tc>
      </w:tr>
      <w:tr w:rsidR="00F038BD" w:rsidRPr="00F038BD" w14:paraId="3C471DEE" w14:textId="77777777" w:rsidTr="00716083">
        <w:trPr>
          <w:trHeight w:val="20"/>
        </w:trPr>
        <w:tc>
          <w:tcPr>
            <w:tcW w:w="671" w:type="pct"/>
            <w:tcBorders>
              <w:top w:val="single" w:sz="4" w:space="0" w:color="auto"/>
              <w:left w:val="single" w:sz="4" w:space="0" w:color="auto"/>
              <w:bottom w:val="single" w:sz="4" w:space="0" w:color="auto"/>
              <w:right w:val="single" w:sz="4" w:space="0" w:color="auto"/>
            </w:tcBorders>
            <w:vAlign w:val="center"/>
            <w:hideMark/>
          </w:tcPr>
          <w:p w14:paraId="56B74CBF" w14:textId="77777777" w:rsidR="00F038BD" w:rsidRPr="00F038BD" w:rsidRDefault="00F038BD" w:rsidP="00F038BD">
            <w:pPr>
              <w:spacing w:after="0" w:line="240" w:lineRule="auto"/>
              <w:contextualSpacing/>
              <w:jc w:val="both"/>
              <w:rPr>
                <w:rFonts w:ascii="Times New Roman" w:hAnsi="Times New Roman"/>
                <w:b/>
                <w:sz w:val="20"/>
                <w:szCs w:val="20"/>
              </w:rPr>
            </w:pPr>
            <w:r w:rsidRPr="00F038BD">
              <w:rPr>
                <w:rFonts w:ascii="Times New Roman" w:eastAsiaTheme="minorHAnsi" w:hAnsi="Times New Roman"/>
                <w:sz w:val="20"/>
                <w:szCs w:val="20"/>
                <w:lang w:val="en-IN"/>
              </w:rPr>
              <w:t xml:space="preserve">PAT Margin (%) </w:t>
            </w:r>
            <w:r w:rsidRPr="00F038BD">
              <w:rPr>
                <w:rFonts w:ascii="Times New Roman" w:eastAsiaTheme="minorHAnsi" w:hAnsi="Times New Roman"/>
                <w:sz w:val="20"/>
                <w:szCs w:val="20"/>
                <w:vertAlign w:val="superscript"/>
                <w:lang w:val="en-IN"/>
              </w:rPr>
              <w:t>(5)</w:t>
            </w:r>
          </w:p>
        </w:tc>
        <w:tc>
          <w:tcPr>
            <w:tcW w:w="486" w:type="pct"/>
            <w:tcBorders>
              <w:top w:val="single" w:sz="4" w:space="0" w:color="auto"/>
              <w:left w:val="single" w:sz="4" w:space="0" w:color="auto"/>
              <w:bottom w:val="single" w:sz="4" w:space="0" w:color="auto"/>
              <w:right w:val="single" w:sz="4" w:space="0" w:color="auto"/>
            </w:tcBorders>
            <w:vAlign w:val="center"/>
            <w:hideMark/>
          </w:tcPr>
          <w:p w14:paraId="51082DCD" w14:textId="77777777" w:rsidR="00F038BD" w:rsidRPr="00F038BD" w:rsidRDefault="00F038BD" w:rsidP="00F038BD">
            <w:pPr>
              <w:spacing w:after="0" w:line="240" w:lineRule="auto"/>
              <w:ind w:left="-116" w:right="-193"/>
              <w:contextualSpacing/>
              <w:jc w:val="center"/>
              <w:rPr>
                <w:rFonts w:ascii="Times New Roman" w:hAnsi="Times New Roman"/>
                <w:bCs/>
                <w:sz w:val="20"/>
                <w:szCs w:val="20"/>
              </w:rPr>
            </w:pPr>
            <w:r w:rsidRPr="00F038BD">
              <w:rPr>
                <w:rFonts w:ascii="Times New Roman" w:hAnsi="Times New Roman"/>
                <w:bCs/>
                <w:sz w:val="20"/>
                <w:szCs w:val="20"/>
              </w:rPr>
              <w:t>1.55%</w:t>
            </w:r>
          </w:p>
        </w:tc>
        <w:tc>
          <w:tcPr>
            <w:tcW w:w="486" w:type="pct"/>
            <w:tcBorders>
              <w:top w:val="single" w:sz="4" w:space="0" w:color="auto"/>
              <w:left w:val="single" w:sz="4" w:space="0" w:color="auto"/>
              <w:bottom w:val="single" w:sz="4" w:space="0" w:color="auto"/>
              <w:right w:val="single" w:sz="4" w:space="0" w:color="auto"/>
            </w:tcBorders>
            <w:vAlign w:val="center"/>
            <w:hideMark/>
          </w:tcPr>
          <w:p w14:paraId="41D1F953" w14:textId="77777777" w:rsidR="00F038BD" w:rsidRPr="00F038BD" w:rsidRDefault="00F038BD" w:rsidP="00F038BD">
            <w:pPr>
              <w:spacing w:after="0" w:line="240" w:lineRule="auto"/>
              <w:ind w:left="-116" w:right="-193"/>
              <w:contextualSpacing/>
              <w:jc w:val="center"/>
              <w:rPr>
                <w:rFonts w:ascii="Times New Roman" w:hAnsi="Times New Roman"/>
                <w:bCs/>
                <w:sz w:val="20"/>
                <w:szCs w:val="20"/>
              </w:rPr>
            </w:pPr>
            <w:r w:rsidRPr="00F038BD">
              <w:rPr>
                <w:rFonts w:ascii="Times New Roman" w:hAnsi="Times New Roman"/>
                <w:bCs/>
                <w:sz w:val="20"/>
                <w:szCs w:val="20"/>
              </w:rPr>
              <w:t>0.76%</w:t>
            </w:r>
          </w:p>
        </w:tc>
        <w:tc>
          <w:tcPr>
            <w:tcW w:w="486" w:type="pct"/>
            <w:tcBorders>
              <w:top w:val="single" w:sz="4" w:space="0" w:color="auto"/>
              <w:left w:val="single" w:sz="4" w:space="0" w:color="auto"/>
              <w:bottom w:val="single" w:sz="4" w:space="0" w:color="auto"/>
              <w:right w:val="single" w:sz="4" w:space="0" w:color="auto"/>
            </w:tcBorders>
            <w:vAlign w:val="center"/>
            <w:hideMark/>
          </w:tcPr>
          <w:p w14:paraId="2F56B58D" w14:textId="77777777" w:rsidR="00F038BD" w:rsidRPr="00F038BD" w:rsidRDefault="00F038BD" w:rsidP="00F038BD">
            <w:pPr>
              <w:spacing w:after="0" w:line="240" w:lineRule="auto"/>
              <w:ind w:left="-116" w:right="-193"/>
              <w:contextualSpacing/>
              <w:jc w:val="center"/>
              <w:rPr>
                <w:rFonts w:ascii="Times New Roman" w:hAnsi="Times New Roman"/>
                <w:bCs/>
                <w:sz w:val="20"/>
                <w:szCs w:val="20"/>
              </w:rPr>
            </w:pPr>
            <w:r w:rsidRPr="00F038BD">
              <w:rPr>
                <w:rFonts w:ascii="Times New Roman" w:hAnsi="Times New Roman"/>
                <w:bCs/>
                <w:sz w:val="20"/>
                <w:szCs w:val="20"/>
              </w:rPr>
              <w:t>1.03%</w:t>
            </w:r>
          </w:p>
        </w:tc>
        <w:tc>
          <w:tcPr>
            <w:tcW w:w="512" w:type="pct"/>
            <w:tcBorders>
              <w:top w:val="single" w:sz="4" w:space="0" w:color="auto"/>
              <w:left w:val="single" w:sz="4" w:space="0" w:color="auto"/>
              <w:bottom w:val="single" w:sz="4" w:space="0" w:color="auto"/>
              <w:right w:val="single" w:sz="4" w:space="0" w:color="auto"/>
            </w:tcBorders>
            <w:vAlign w:val="center"/>
          </w:tcPr>
          <w:p w14:paraId="2C7FB83E" w14:textId="77777777" w:rsidR="00F038BD" w:rsidRPr="00F038BD" w:rsidRDefault="00F038BD" w:rsidP="00F038BD">
            <w:pPr>
              <w:spacing w:after="0" w:line="240" w:lineRule="auto"/>
              <w:ind w:left="-116" w:right="-193"/>
              <w:jc w:val="center"/>
              <w:rPr>
                <w:rFonts w:ascii="Times New Roman" w:hAnsi="Times New Roman"/>
                <w:bCs/>
                <w:sz w:val="20"/>
                <w:szCs w:val="20"/>
              </w:rPr>
            </w:pPr>
            <w:r w:rsidRPr="00F038BD">
              <w:rPr>
                <w:rFonts w:ascii="Times New Roman" w:hAnsi="Times New Roman"/>
                <w:bCs/>
                <w:sz w:val="20"/>
                <w:szCs w:val="20"/>
              </w:rPr>
              <w:t>8.80%</w:t>
            </w:r>
          </w:p>
        </w:tc>
        <w:tc>
          <w:tcPr>
            <w:tcW w:w="512" w:type="pct"/>
            <w:tcBorders>
              <w:top w:val="single" w:sz="4" w:space="0" w:color="auto"/>
              <w:left w:val="single" w:sz="4" w:space="0" w:color="auto"/>
              <w:bottom w:val="single" w:sz="4" w:space="0" w:color="auto"/>
              <w:right w:val="single" w:sz="4" w:space="0" w:color="auto"/>
            </w:tcBorders>
            <w:vAlign w:val="center"/>
          </w:tcPr>
          <w:p w14:paraId="3ACBEA15" w14:textId="77777777" w:rsidR="00F038BD" w:rsidRPr="00F038BD" w:rsidRDefault="00F038BD" w:rsidP="00F038BD">
            <w:pPr>
              <w:spacing w:after="0" w:line="240" w:lineRule="auto"/>
              <w:ind w:left="-116" w:right="-193"/>
              <w:jc w:val="center"/>
              <w:rPr>
                <w:rFonts w:ascii="Times New Roman" w:hAnsi="Times New Roman"/>
                <w:bCs/>
                <w:sz w:val="20"/>
                <w:szCs w:val="20"/>
              </w:rPr>
            </w:pPr>
            <w:r w:rsidRPr="00F038BD">
              <w:rPr>
                <w:rFonts w:ascii="Times New Roman" w:hAnsi="Times New Roman"/>
                <w:bCs/>
                <w:sz w:val="20"/>
                <w:szCs w:val="20"/>
              </w:rPr>
              <w:t>2.22%</w:t>
            </w:r>
          </w:p>
        </w:tc>
        <w:tc>
          <w:tcPr>
            <w:tcW w:w="486" w:type="pct"/>
            <w:tcBorders>
              <w:top w:val="single" w:sz="4" w:space="0" w:color="auto"/>
              <w:left w:val="single" w:sz="4" w:space="0" w:color="auto"/>
              <w:bottom w:val="single" w:sz="4" w:space="0" w:color="auto"/>
              <w:right w:val="single" w:sz="4" w:space="0" w:color="auto"/>
            </w:tcBorders>
            <w:vAlign w:val="center"/>
          </w:tcPr>
          <w:p w14:paraId="3BDFED03" w14:textId="77777777" w:rsidR="00F038BD" w:rsidRPr="00F038BD" w:rsidRDefault="00F038BD" w:rsidP="00F038BD">
            <w:pPr>
              <w:spacing w:after="0" w:line="240" w:lineRule="auto"/>
              <w:contextualSpacing/>
              <w:jc w:val="center"/>
              <w:rPr>
                <w:rFonts w:ascii="Times New Roman" w:hAnsi="Times New Roman"/>
                <w:bCs/>
                <w:sz w:val="20"/>
                <w:szCs w:val="20"/>
              </w:rPr>
            </w:pPr>
            <w:r w:rsidRPr="00F038BD">
              <w:rPr>
                <w:rFonts w:ascii="Times New Roman" w:hAnsi="Times New Roman"/>
                <w:bCs/>
                <w:sz w:val="20"/>
                <w:szCs w:val="20"/>
              </w:rPr>
              <w:t>3.34%</w:t>
            </w:r>
          </w:p>
        </w:tc>
        <w:tc>
          <w:tcPr>
            <w:tcW w:w="448" w:type="pct"/>
            <w:tcBorders>
              <w:top w:val="single" w:sz="4" w:space="0" w:color="auto"/>
              <w:left w:val="single" w:sz="4" w:space="0" w:color="auto"/>
              <w:bottom w:val="single" w:sz="4" w:space="0" w:color="auto"/>
              <w:right w:val="single" w:sz="4" w:space="0" w:color="auto"/>
            </w:tcBorders>
            <w:vAlign w:val="center"/>
          </w:tcPr>
          <w:p w14:paraId="18946D93" w14:textId="77777777" w:rsidR="00F038BD" w:rsidRPr="00F038BD" w:rsidRDefault="00F038BD" w:rsidP="00F038BD">
            <w:pPr>
              <w:spacing w:after="0" w:line="240" w:lineRule="auto"/>
              <w:ind w:left="-116" w:right="-193"/>
              <w:jc w:val="center"/>
              <w:rPr>
                <w:rFonts w:ascii="Times New Roman" w:hAnsi="Times New Roman"/>
                <w:bCs/>
                <w:sz w:val="20"/>
                <w:szCs w:val="20"/>
              </w:rPr>
            </w:pPr>
            <w:r w:rsidRPr="00F038BD">
              <w:rPr>
                <w:rFonts w:ascii="Times New Roman" w:hAnsi="Times New Roman"/>
                <w:bCs/>
                <w:sz w:val="20"/>
                <w:szCs w:val="20"/>
              </w:rPr>
              <w:t>3.41%</w:t>
            </w:r>
          </w:p>
        </w:tc>
        <w:tc>
          <w:tcPr>
            <w:tcW w:w="471" w:type="pct"/>
            <w:tcBorders>
              <w:top w:val="single" w:sz="4" w:space="0" w:color="auto"/>
              <w:left w:val="single" w:sz="4" w:space="0" w:color="auto"/>
              <w:bottom w:val="single" w:sz="4" w:space="0" w:color="auto"/>
              <w:right w:val="single" w:sz="4" w:space="0" w:color="auto"/>
            </w:tcBorders>
            <w:vAlign w:val="center"/>
          </w:tcPr>
          <w:p w14:paraId="113C5FF2" w14:textId="77777777" w:rsidR="00F038BD" w:rsidRPr="00F038BD" w:rsidRDefault="00F038BD" w:rsidP="00F038BD">
            <w:pPr>
              <w:spacing w:after="0" w:line="240" w:lineRule="auto"/>
              <w:ind w:left="-116" w:right="-193"/>
              <w:jc w:val="center"/>
              <w:rPr>
                <w:rFonts w:ascii="Times New Roman" w:hAnsi="Times New Roman"/>
                <w:bCs/>
                <w:sz w:val="20"/>
                <w:szCs w:val="20"/>
              </w:rPr>
            </w:pPr>
            <w:r w:rsidRPr="00F038BD">
              <w:rPr>
                <w:rFonts w:ascii="Times New Roman" w:hAnsi="Times New Roman"/>
                <w:bCs/>
                <w:sz w:val="20"/>
                <w:szCs w:val="20"/>
              </w:rPr>
              <w:t>3.71%</w:t>
            </w:r>
          </w:p>
        </w:tc>
        <w:tc>
          <w:tcPr>
            <w:tcW w:w="442" w:type="pct"/>
            <w:tcBorders>
              <w:top w:val="single" w:sz="4" w:space="0" w:color="auto"/>
              <w:left w:val="single" w:sz="4" w:space="0" w:color="auto"/>
              <w:bottom w:val="single" w:sz="4" w:space="0" w:color="auto"/>
              <w:right w:val="single" w:sz="4" w:space="0" w:color="auto"/>
            </w:tcBorders>
            <w:vAlign w:val="center"/>
          </w:tcPr>
          <w:p w14:paraId="54397B96" w14:textId="77777777" w:rsidR="00F038BD" w:rsidRPr="00F038BD" w:rsidRDefault="00F038BD" w:rsidP="00F038BD">
            <w:pPr>
              <w:spacing w:after="0" w:line="240" w:lineRule="auto"/>
              <w:ind w:left="-116" w:right="-193"/>
              <w:jc w:val="center"/>
              <w:rPr>
                <w:rFonts w:ascii="Times New Roman" w:hAnsi="Times New Roman"/>
                <w:bCs/>
                <w:sz w:val="20"/>
                <w:szCs w:val="20"/>
              </w:rPr>
            </w:pPr>
            <w:r w:rsidRPr="00F038BD">
              <w:rPr>
                <w:rFonts w:ascii="Times New Roman" w:hAnsi="Times New Roman"/>
                <w:bCs/>
                <w:sz w:val="20"/>
                <w:szCs w:val="20"/>
              </w:rPr>
              <w:t>1.61%</w:t>
            </w:r>
          </w:p>
        </w:tc>
      </w:tr>
      <w:tr w:rsidR="00F038BD" w:rsidRPr="00F038BD" w14:paraId="0125B124" w14:textId="77777777" w:rsidTr="00716083">
        <w:trPr>
          <w:trHeight w:val="20"/>
        </w:trPr>
        <w:tc>
          <w:tcPr>
            <w:tcW w:w="671" w:type="pct"/>
            <w:tcBorders>
              <w:top w:val="single" w:sz="4" w:space="0" w:color="auto"/>
              <w:left w:val="single" w:sz="4" w:space="0" w:color="auto"/>
              <w:bottom w:val="single" w:sz="4" w:space="0" w:color="auto"/>
              <w:right w:val="single" w:sz="4" w:space="0" w:color="auto"/>
            </w:tcBorders>
            <w:vAlign w:val="center"/>
          </w:tcPr>
          <w:p w14:paraId="0F5417A5" w14:textId="77777777" w:rsidR="00F038BD" w:rsidRPr="00F038BD" w:rsidRDefault="00F038BD" w:rsidP="00F038BD">
            <w:pPr>
              <w:spacing w:after="0" w:line="240" w:lineRule="auto"/>
              <w:contextualSpacing/>
              <w:jc w:val="both"/>
              <w:rPr>
                <w:rFonts w:ascii="Times New Roman" w:eastAsiaTheme="minorHAnsi" w:hAnsi="Times New Roman"/>
                <w:sz w:val="20"/>
                <w:szCs w:val="20"/>
                <w:lang w:val="en-IN"/>
              </w:rPr>
            </w:pPr>
            <w:r w:rsidRPr="00F038BD">
              <w:rPr>
                <w:rFonts w:ascii="Times New Roman" w:eastAsiaTheme="minorHAnsi" w:hAnsi="Times New Roman"/>
                <w:sz w:val="20"/>
                <w:szCs w:val="20"/>
                <w:lang w:val="en-IN"/>
              </w:rPr>
              <w:t xml:space="preserve">RoE (%) </w:t>
            </w:r>
            <w:r w:rsidRPr="00F038BD">
              <w:rPr>
                <w:rFonts w:ascii="Times New Roman" w:eastAsiaTheme="minorHAnsi" w:hAnsi="Times New Roman"/>
                <w:sz w:val="20"/>
                <w:szCs w:val="20"/>
                <w:vertAlign w:val="superscript"/>
                <w:lang w:val="en-IN"/>
              </w:rPr>
              <w:t>(6)</w:t>
            </w:r>
          </w:p>
        </w:tc>
        <w:tc>
          <w:tcPr>
            <w:tcW w:w="486" w:type="pct"/>
            <w:tcBorders>
              <w:top w:val="single" w:sz="4" w:space="0" w:color="auto"/>
              <w:left w:val="single" w:sz="4" w:space="0" w:color="auto"/>
              <w:bottom w:val="single" w:sz="4" w:space="0" w:color="auto"/>
              <w:right w:val="single" w:sz="4" w:space="0" w:color="auto"/>
            </w:tcBorders>
            <w:vAlign w:val="center"/>
          </w:tcPr>
          <w:p w14:paraId="281BC2CD" w14:textId="77777777" w:rsidR="00F038BD" w:rsidRPr="00F038BD" w:rsidRDefault="00F038BD" w:rsidP="00F038BD">
            <w:pPr>
              <w:spacing w:after="0" w:line="240" w:lineRule="auto"/>
              <w:ind w:left="-116" w:right="-193"/>
              <w:contextualSpacing/>
              <w:jc w:val="center"/>
              <w:rPr>
                <w:rFonts w:ascii="Times New Roman" w:hAnsi="Times New Roman"/>
                <w:bCs/>
                <w:sz w:val="20"/>
                <w:szCs w:val="20"/>
              </w:rPr>
            </w:pPr>
            <w:r w:rsidRPr="00F038BD">
              <w:rPr>
                <w:rFonts w:ascii="Times New Roman" w:hAnsi="Times New Roman"/>
                <w:bCs/>
                <w:sz w:val="20"/>
                <w:szCs w:val="20"/>
              </w:rPr>
              <w:t>17.97%</w:t>
            </w:r>
          </w:p>
        </w:tc>
        <w:tc>
          <w:tcPr>
            <w:tcW w:w="486" w:type="pct"/>
            <w:tcBorders>
              <w:top w:val="single" w:sz="4" w:space="0" w:color="auto"/>
              <w:left w:val="single" w:sz="4" w:space="0" w:color="auto"/>
              <w:bottom w:val="single" w:sz="4" w:space="0" w:color="auto"/>
              <w:right w:val="single" w:sz="4" w:space="0" w:color="auto"/>
            </w:tcBorders>
            <w:vAlign w:val="center"/>
          </w:tcPr>
          <w:p w14:paraId="4C0CEC3E" w14:textId="77777777" w:rsidR="00F038BD" w:rsidRPr="00F038BD" w:rsidRDefault="00F038BD" w:rsidP="00F038BD">
            <w:pPr>
              <w:spacing w:after="0" w:line="240" w:lineRule="auto"/>
              <w:ind w:left="-116" w:right="-193"/>
              <w:contextualSpacing/>
              <w:jc w:val="center"/>
              <w:rPr>
                <w:rFonts w:ascii="Times New Roman" w:hAnsi="Times New Roman"/>
                <w:bCs/>
                <w:sz w:val="20"/>
                <w:szCs w:val="20"/>
              </w:rPr>
            </w:pPr>
            <w:r w:rsidRPr="00F038BD">
              <w:rPr>
                <w:rFonts w:ascii="Times New Roman" w:hAnsi="Times New Roman"/>
                <w:bCs/>
                <w:sz w:val="20"/>
                <w:szCs w:val="20"/>
              </w:rPr>
              <w:t>8.68%</w:t>
            </w:r>
          </w:p>
        </w:tc>
        <w:tc>
          <w:tcPr>
            <w:tcW w:w="486" w:type="pct"/>
            <w:tcBorders>
              <w:top w:val="single" w:sz="4" w:space="0" w:color="auto"/>
              <w:left w:val="single" w:sz="4" w:space="0" w:color="auto"/>
              <w:bottom w:val="single" w:sz="4" w:space="0" w:color="auto"/>
              <w:right w:val="single" w:sz="4" w:space="0" w:color="auto"/>
            </w:tcBorders>
            <w:vAlign w:val="center"/>
          </w:tcPr>
          <w:p w14:paraId="26CFE216" w14:textId="77777777" w:rsidR="00F038BD" w:rsidRPr="00F038BD" w:rsidRDefault="00F038BD" w:rsidP="00F038BD">
            <w:pPr>
              <w:spacing w:after="0" w:line="240" w:lineRule="auto"/>
              <w:ind w:left="-116" w:right="-193"/>
              <w:contextualSpacing/>
              <w:jc w:val="center"/>
              <w:rPr>
                <w:rFonts w:ascii="Times New Roman" w:hAnsi="Times New Roman"/>
                <w:bCs/>
                <w:sz w:val="20"/>
                <w:szCs w:val="20"/>
              </w:rPr>
            </w:pPr>
            <w:r w:rsidRPr="00F038BD">
              <w:rPr>
                <w:rFonts w:ascii="Times New Roman" w:hAnsi="Times New Roman"/>
                <w:bCs/>
                <w:sz w:val="20"/>
                <w:szCs w:val="20"/>
              </w:rPr>
              <w:t>8.01%</w:t>
            </w:r>
          </w:p>
        </w:tc>
        <w:tc>
          <w:tcPr>
            <w:tcW w:w="512" w:type="pct"/>
            <w:tcBorders>
              <w:top w:val="single" w:sz="4" w:space="0" w:color="auto"/>
              <w:left w:val="single" w:sz="4" w:space="0" w:color="auto"/>
              <w:bottom w:val="single" w:sz="4" w:space="0" w:color="auto"/>
              <w:right w:val="single" w:sz="4" w:space="0" w:color="auto"/>
            </w:tcBorders>
            <w:vAlign w:val="center"/>
          </w:tcPr>
          <w:p w14:paraId="10213E7C" w14:textId="77777777" w:rsidR="00F038BD" w:rsidRPr="00F038BD" w:rsidRDefault="00F038BD" w:rsidP="00F038BD">
            <w:pPr>
              <w:spacing w:after="0" w:line="240" w:lineRule="auto"/>
              <w:ind w:left="-116" w:right="-193"/>
              <w:jc w:val="center"/>
              <w:rPr>
                <w:rFonts w:ascii="Times New Roman" w:hAnsi="Times New Roman"/>
                <w:bCs/>
                <w:sz w:val="20"/>
                <w:szCs w:val="20"/>
              </w:rPr>
            </w:pPr>
            <w:r w:rsidRPr="00F038BD">
              <w:rPr>
                <w:rFonts w:ascii="Times New Roman" w:hAnsi="Times New Roman"/>
                <w:bCs/>
                <w:sz w:val="20"/>
                <w:szCs w:val="20"/>
              </w:rPr>
              <w:t>8.79%</w:t>
            </w:r>
          </w:p>
        </w:tc>
        <w:tc>
          <w:tcPr>
            <w:tcW w:w="512" w:type="pct"/>
            <w:tcBorders>
              <w:top w:val="single" w:sz="4" w:space="0" w:color="auto"/>
              <w:left w:val="single" w:sz="4" w:space="0" w:color="auto"/>
              <w:bottom w:val="single" w:sz="4" w:space="0" w:color="auto"/>
              <w:right w:val="single" w:sz="4" w:space="0" w:color="auto"/>
            </w:tcBorders>
            <w:vAlign w:val="center"/>
          </w:tcPr>
          <w:p w14:paraId="6666E260" w14:textId="77777777" w:rsidR="00F038BD" w:rsidRPr="00F038BD" w:rsidRDefault="00F038BD" w:rsidP="00F038BD">
            <w:pPr>
              <w:spacing w:after="0" w:line="240" w:lineRule="auto"/>
              <w:ind w:left="-116" w:right="-193"/>
              <w:jc w:val="center"/>
              <w:rPr>
                <w:rFonts w:ascii="Times New Roman" w:hAnsi="Times New Roman"/>
                <w:bCs/>
                <w:sz w:val="20"/>
                <w:szCs w:val="20"/>
              </w:rPr>
            </w:pPr>
            <w:r w:rsidRPr="00F038BD">
              <w:rPr>
                <w:rFonts w:ascii="Times New Roman" w:hAnsi="Times New Roman"/>
                <w:bCs/>
                <w:sz w:val="20"/>
                <w:szCs w:val="20"/>
              </w:rPr>
              <w:t>3.88%</w:t>
            </w:r>
          </w:p>
        </w:tc>
        <w:tc>
          <w:tcPr>
            <w:tcW w:w="486" w:type="pct"/>
            <w:tcBorders>
              <w:top w:val="single" w:sz="4" w:space="0" w:color="auto"/>
              <w:left w:val="single" w:sz="4" w:space="0" w:color="auto"/>
              <w:bottom w:val="single" w:sz="4" w:space="0" w:color="auto"/>
              <w:right w:val="single" w:sz="4" w:space="0" w:color="auto"/>
            </w:tcBorders>
            <w:vAlign w:val="center"/>
          </w:tcPr>
          <w:p w14:paraId="14077A15" w14:textId="77777777" w:rsidR="00F038BD" w:rsidRPr="00F038BD" w:rsidRDefault="00F038BD" w:rsidP="00F038BD">
            <w:pPr>
              <w:spacing w:after="0" w:line="240" w:lineRule="auto"/>
              <w:contextualSpacing/>
              <w:jc w:val="center"/>
              <w:rPr>
                <w:rFonts w:ascii="Times New Roman" w:hAnsi="Times New Roman"/>
                <w:bCs/>
                <w:sz w:val="20"/>
                <w:szCs w:val="20"/>
              </w:rPr>
            </w:pPr>
            <w:r w:rsidRPr="00F038BD">
              <w:rPr>
                <w:rFonts w:ascii="Times New Roman" w:hAnsi="Times New Roman"/>
                <w:bCs/>
                <w:sz w:val="20"/>
                <w:szCs w:val="20"/>
              </w:rPr>
              <w:t>7.38%</w:t>
            </w:r>
          </w:p>
        </w:tc>
        <w:tc>
          <w:tcPr>
            <w:tcW w:w="448" w:type="pct"/>
            <w:tcBorders>
              <w:top w:val="single" w:sz="4" w:space="0" w:color="auto"/>
              <w:left w:val="single" w:sz="4" w:space="0" w:color="auto"/>
              <w:bottom w:val="single" w:sz="4" w:space="0" w:color="auto"/>
              <w:right w:val="single" w:sz="4" w:space="0" w:color="auto"/>
            </w:tcBorders>
            <w:vAlign w:val="center"/>
          </w:tcPr>
          <w:p w14:paraId="7DE33F1B" w14:textId="77777777" w:rsidR="00F038BD" w:rsidRPr="00F038BD" w:rsidRDefault="00F038BD" w:rsidP="00F038BD">
            <w:pPr>
              <w:spacing w:after="0" w:line="240" w:lineRule="auto"/>
              <w:ind w:left="-116" w:right="-193"/>
              <w:jc w:val="center"/>
              <w:rPr>
                <w:rFonts w:ascii="Times New Roman" w:hAnsi="Times New Roman"/>
                <w:bCs/>
                <w:sz w:val="20"/>
                <w:szCs w:val="20"/>
              </w:rPr>
            </w:pPr>
            <w:r w:rsidRPr="00F038BD">
              <w:rPr>
                <w:rFonts w:ascii="Times New Roman" w:hAnsi="Times New Roman"/>
                <w:bCs/>
                <w:sz w:val="20"/>
                <w:szCs w:val="20"/>
              </w:rPr>
              <w:t>9%</w:t>
            </w:r>
          </w:p>
        </w:tc>
        <w:tc>
          <w:tcPr>
            <w:tcW w:w="471" w:type="pct"/>
            <w:tcBorders>
              <w:top w:val="single" w:sz="4" w:space="0" w:color="auto"/>
              <w:left w:val="single" w:sz="4" w:space="0" w:color="auto"/>
              <w:bottom w:val="single" w:sz="4" w:space="0" w:color="auto"/>
              <w:right w:val="single" w:sz="4" w:space="0" w:color="auto"/>
            </w:tcBorders>
            <w:vAlign w:val="center"/>
          </w:tcPr>
          <w:p w14:paraId="11F8F9F4" w14:textId="77777777" w:rsidR="00F038BD" w:rsidRPr="00F038BD" w:rsidRDefault="00F038BD" w:rsidP="00F038BD">
            <w:pPr>
              <w:spacing w:after="0" w:line="240" w:lineRule="auto"/>
              <w:ind w:left="-116" w:right="-193"/>
              <w:jc w:val="center"/>
              <w:rPr>
                <w:rFonts w:ascii="Times New Roman" w:hAnsi="Times New Roman"/>
                <w:bCs/>
                <w:sz w:val="20"/>
                <w:szCs w:val="20"/>
              </w:rPr>
            </w:pPr>
            <w:r w:rsidRPr="00F038BD">
              <w:rPr>
                <w:rFonts w:ascii="Times New Roman" w:hAnsi="Times New Roman"/>
                <w:bCs/>
                <w:sz w:val="20"/>
                <w:szCs w:val="20"/>
              </w:rPr>
              <w:t>7.12%</w:t>
            </w:r>
          </w:p>
        </w:tc>
        <w:tc>
          <w:tcPr>
            <w:tcW w:w="442" w:type="pct"/>
            <w:tcBorders>
              <w:top w:val="single" w:sz="4" w:space="0" w:color="auto"/>
              <w:left w:val="single" w:sz="4" w:space="0" w:color="auto"/>
              <w:bottom w:val="single" w:sz="4" w:space="0" w:color="auto"/>
              <w:right w:val="single" w:sz="4" w:space="0" w:color="auto"/>
            </w:tcBorders>
            <w:vAlign w:val="center"/>
          </w:tcPr>
          <w:p w14:paraId="1799C4F5" w14:textId="77777777" w:rsidR="00F038BD" w:rsidRPr="00F038BD" w:rsidRDefault="00F038BD" w:rsidP="00F038BD">
            <w:pPr>
              <w:spacing w:after="0" w:line="240" w:lineRule="auto"/>
              <w:ind w:left="-116" w:right="-193"/>
              <w:jc w:val="center"/>
              <w:rPr>
                <w:rFonts w:ascii="Times New Roman" w:hAnsi="Times New Roman"/>
                <w:bCs/>
                <w:sz w:val="20"/>
                <w:szCs w:val="20"/>
              </w:rPr>
            </w:pPr>
            <w:r w:rsidRPr="00F038BD">
              <w:rPr>
                <w:rFonts w:ascii="Times New Roman" w:hAnsi="Times New Roman"/>
                <w:bCs/>
                <w:sz w:val="20"/>
                <w:szCs w:val="20"/>
              </w:rPr>
              <w:t>2.39%</w:t>
            </w:r>
          </w:p>
        </w:tc>
      </w:tr>
      <w:tr w:rsidR="00F038BD" w:rsidRPr="00F038BD" w14:paraId="230A3019" w14:textId="77777777" w:rsidTr="00716083">
        <w:trPr>
          <w:trHeight w:val="256"/>
        </w:trPr>
        <w:tc>
          <w:tcPr>
            <w:tcW w:w="671" w:type="pct"/>
            <w:tcBorders>
              <w:top w:val="single" w:sz="4" w:space="0" w:color="auto"/>
              <w:left w:val="single" w:sz="4" w:space="0" w:color="auto"/>
              <w:bottom w:val="single" w:sz="4" w:space="0" w:color="auto"/>
              <w:right w:val="single" w:sz="4" w:space="0" w:color="auto"/>
            </w:tcBorders>
            <w:vAlign w:val="center"/>
          </w:tcPr>
          <w:p w14:paraId="1E096628" w14:textId="77777777" w:rsidR="00F038BD" w:rsidRPr="00F038BD" w:rsidRDefault="00F038BD" w:rsidP="00F038BD">
            <w:pPr>
              <w:spacing w:after="0" w:line="240" w:lineRule="auto"/>
              <w:contextualSpacing/>
              <w:jc w:val="both"/>
              <w:rPr>
                <w:rFonts w:ascii="Times New Roman" w:eastAsiaTheme="minorHAnsi" w:hAnsi="Times New Roman"/>
                <w:sz w:val="20"/>
                <w:szCs w:val="20"/>
                <w:lang w:val="en-IN"/>
              </w:rPr>
            </w:pPr>
            <w:r w:rsidRPr="00F038BD">
              <w:rPr>
                <w:rFonts w:ascii="Times New Roman" w:eastAsiaTheme="minorHAnsi" w:hAnsi="Times New Roman"/>
                <w:sz w:val="20"/>
                <w:szCs w:val="20"/>
                <w:lang w:val="en-IN"/>
              </w:rPr>
              <w:t xml:space="preserve">RoCE (%) </w:t>
            </w:r>
            <w:r w:rsidRPr="00F038BD">
              <w:rPr>
                <w:rFonts w:ascii="Times New Roman" w:eastAsiaTheme="minorHAnsi" w:hAnsi="Times New Roman"/>
                <w:sz w:val="20"/>
                <w:szCs w:val="20"/>
                <w:vertAlign w:val="superscript"/>
                <w:lang w:val="en-IN"/>
              </w:rPr>
              <w:t>(7)</w:t>
            </w:r>
          </w:p>
        </w:tc>
        <w:tc>
          <w:tcPr>
            <w:tcW w:w="486" w:type="pct"/>
            <w:tcBorders>
              <w:top w:val="single" w:sz="4" w:space="0" w:color="auto"/>
              <w:left w:val="single" w:sz="4" w:space="0" w:color="auto"/>
              <w:bottom w:val="single" w:sz="4" w:space="0" w:color="auto"/>
              <w:right w:val="single" w:sz="4" w:space="0" w:color="auto"/>
            </w:tcBorders>
          </w:tcPr>
          <w:p w14:paraId="69A0C939" w14:textId="77777777" w:rsidR="00F038BD" w:rsidRPr="00F038BD" w:rsidRDefault="00F038BD" w:rsidP="00F038BD">
            <w:pPr>
              <w:spacing w:after="0" w:line="240" w:lineRule="auto"/>
              <w:ind w:left="-116" w:right="-193"/>
              <w:contextualSpacing/>
              <w:jc w:val="center"/>
              <w:rPr>
                <w:rFonts w:ascii="Times New Roman" w:hAnsi="Times New Roman"/>
                <w:bCs/>
                <w:sz w:val="20"/>
                <w:szCs w:val="20"/>
              </w:rPr>
            </w:pPr>
            <w:r w:rsidRPr="00F038BD">
              <w:rPr>
                <w:rFonts w:ascii="Times New Roman" w:hAnsi="Times New Roman"/>
                <w:bCs/>
                <w:sz w:val="20"/>
                <w:szCs w:val="20"/>
              </w:rPr>
              <w:t xml:space="preserve"> 13.42%</w:t>
            </w:r>
          </w:p>
        </w:tc>
        <w:tc>
          <w:tcPr>
            <w:tcW w:w="486" w:type="pct"/>
            <w:tcBorders>
              <w:top w:val="single" w:sz="4" w:space="0" w:color="auto"/>
              <w:left w:val="single" w:sz="4" w:space="0" w:color="auto"/>
              <w:bottom w:val="single" w:sz="4" w:space="0" w:color="auto"/>
              <w:right w:val="single" w:sz="4" w:space="0" w:color="auto"/>
            </w:tcBorders>
          </w:tcPr>
          <w:p w14:paraId="585479FE" w14:textId="77777777" w:rsidR="00F038BD" w:rsidRPr="00F038BD" w:rsidRDefault="00F038BD" w:rsidP="00F038BD">
            <w:pPr>
              <w:spacing w:after="0" w:line="240" w:lineRule="auto"/>
              <w:ind w:left="-116" w:right="-193"/>
              <w:contextualSpacing/>
              <w:jc w:val="center"/>
              <w:rPr>
                <w:rFonts w:ascii="Times New Roman" w:hAnsi="Times New Roman"/>
                <w:bCs/>
                <w:sz w:val="20"/>
                <w:szCs w:val="20"/>
              </w:rPr>
            </w:pPr>
            <w:r w:rsidRPr="00F038BD">
              <w:rPr>
                <w:rFonts w:ascii="Times New Roman" w:hAnsi="Times New Roman"/>
                <w:bCs/>
                <w:sz w:val="20"/>
                <w:szCs w:val="20"/>
              </w:rPr>
              <w:t xml:space="preserve"> 10.38%</w:t>
            </w:r>
          </w:p>
        </w:tc>
        <w:tc>
          <w:tcPr>
            <w:tcW w:w="486" w:type="pct"/>
            <w:tcBorders>
              <w:top w:val="single" w:sz="4" w:space="0" w:color="auto"/>
              <w:left w:val="single" w:sz="4" w:space="0" w:color="auto"/>
              <w:bottom w:val="single" w:sz="4" w:space="0" w:color="auto"/>
              <w:right w:val="single" w:sz="4" w:space="0" w:color="auto"/>
            </w:tcBorders>
          </w:tcPr>
          <w:p w14:paraId="3BD8E52F" w14:textId="77777777" w:rsidR="00F038BD" w:rsidRPr="00F038BD" w:rsidRDefault="00F038BD" w:rsidP="00F038BD">
            <w:pPr>
              <w:spacing w:after="0" w:line="240" w:lineRule="auto"/>
              <w:ind w:left="-116" w:right="-193"/>
              <w:contextualSpacing/>
              <w:jc w:val="center"/>
              <w:rPr>
                <w:rFonts w:ascii="Times New Roman" w:hAnsi="Times New Roman"/>
                <w:bCs/>
                <w:sz w:val="20"/>
                <w:szCs w:val="20"/>
              </w:rPr>
            </w:pPr>
            <w:r w:rsidRPr="00F038BD">
              <w:rPr>
                <w:rFonts w:ascii="Times New Roman" w:hAnsi="Times New Roman"/>
                <w:bCs/>
                <w:sz w:val="20"/>
                <w:szCs w:val="20"/>
              </w:rPr>
              <w:t xml:space="preserve"> 5.39%</w:t>
            </w:r>
          </w:p>
        </w:tc>
        <w:tc>
          <w:tcPr>
            <w:tcW w:w="512" w:type="pct"/>
            <w:tcBorders>
              <w:top w:val="single" w:sz="4" w:space="0" w:color="auto"/>
              <w:left w:val="single" w:sz="4" w:space="0" w:color="auto"/>
              <w:bottom w:val="single" w:sz="4" w:space="0" w:color="auto"/>
              <w:right w:val="single" w:sz="4" w:space="0" w:color="auto"/>
            </w:tcBorders>
            <w:vAlign w:val="center"/>
          </w:tcPr>
          <w:p w14:paraId="0ADD02BC" w14:textId="77777777" w:rsidR="00F038BD" w:rsidRPr="00F038BD" w:rsidRDefault="00F038BD" w:rsidP="00F038BD">
            <w:pPr>
              <w:spacing w:after="0" w:line="240" w:lineRule="auto"/>
              <w:ind w:left="-116" w:right="-193"/>
              <w:jc w:val="center"/>
              <w:rPr>
                <w:rFonts w:ascii="Times New Roman" w:hAnsi="Times New Roman"/>
                <w:bCs/>
                <w:sz w:val="20"/>
                <w:szCs w:val="20"/>
              </w:rPr>
            </w:pPr>
            <w:r w:rsidRPr="00F038BD">
              <w:rPr>
                <w:rFonts w:ascii="Times New Roman" w:hAnsi="Times New Roman"/>
                <w:bCs/>
                <w:sz w:val="20"/>
                <w:szCs w:val="20"/>
              </w:rPr>
              <w:t>9.63%</w:t>
            </w:r>
          </w:p>
        </w:tc>
        <w:tc>
          <w:tcPr>
            <w:tcW w:w="512" w:type="pct"/>
            <w:tcBorders>
              <w:top w:val="single" w:sz="4" w:space="0" w:color="auto"/>
              <w:left w:val="single" w:sz="4" w:space="0" w:color="auto"/>
              <w:bottom w:val="single" w:sz="4" w:space="0" w:color="auto"/>
              <w:right w:val="single" w:sz="4" w:space="0" w:color="auto"/>
            </w:tcBorders>
            <w:vAlign w:val="center"/>
          </w:tcPr>
          <w:p w14:paraId="5BBEA4C9" w14:textId="77777777" w:rsidR="00F038BD" w:rsidRPr="00F038BD" w:rsidRDefault="00F038BD" w:rsidP="00F038BD">
            <w:pPr>
              <w:spacing w:after="0" w:line="240" w:lineRule="auto"/>
              <w:ind w:left="-116" w:right="-193"/>
              <w:jc w:val="center"/>
              <w:rPr>
                <w:rFonts w:ascii="Times New Roman" w:hAnsi="Times New Roman"/>
                <w:bCs/>
                <w:sz w:val="20"/>
                <w:szCs w:val="20"/>
              </w:rPr>
            </w:pPr>
            <w:r w:rsidRPr="00F038BD">
              <w:rPr>
                <w:rFonts w:ascii="Times New Roman" w:hAnsi="Times New Roman"/>
                <w:bCs/>
                <w:sz w:val="20"/>
                <w:szCs w:val="20"/>
              </w:rPr>
              <w:t>5.21%</w:t>
            </w:r>
          </w:p>
        </w:tc>
        <w:tc>
          <w:tcPr>
            <w:tcW w:w="486" w:type="pct"/>
            <w:tcBorders>
              <w:top w:val="single" w:sz="4" w:space="0" w:color="auto"/>
              <w:left w:val="single" w:sz="4" w:space="0" w:color="auto"/>
              <w:bottom w:val="single" w:sz="4" w:space="0" w:color="auto"/>
              <w:right w:val="single" w:sz="4" w:space="0" w:color="auto"/>
            </w:tcBorders>
            <w:vAlign w:val="center"/>
          </w:tcPr>
          <w:p w14:paraId="3BC49F97" w14:textId="77777777" w:rsidR="00F038BD" w:rsidRPr="00F038BD" w:rsidRDefault="00F038BD" w:rsidP="00F038BD">
            <w:pPr>
              <w:spacing w:after="0" w:line="240" w:lineRule="auto"/>
              <w:contextualSpacing/>
              <w:jc w:val="center"/>
              <w:rPr>
                <w:rFonts w:ascii="Times New Roman" w:hAnsi="Times New Roman"/>
                <w:bCs/>
                <w:sz w:val="20"/>
                <w:szCs w:val="20"/>
              </w:rPr>
            </w:pPr>
            <w:r w:rsidRPr="00F038BD">
              <w:rPr>
                <w:rFonts w:ascii="Times New Roman" w:hAnsi="Times New Roman"/>
                <w:bCs/>
                <w:sz w:val="20"/>
                <w:szCs w:val="20"/>
              </w:rPr>
              <w:t>11.53%</w:t>
            </w:r>
          </w:p>
        </w:tc>
        <w:tc>
          <w:tcPr>
            <w:tcW w:w="448" w:type="pct"/>
            <w:tcBorders>
              <w:top w:val="single" w:sz="4" w:space="0" w:color="auto"/>
              <w:left w:val="single" w:sz="4" w:space="0" w:color="auto"/>
              <w:bottom w:val="single" w:sz="4" w:space="0" w:color="auto"/>
              <w:right w:val="single" w:sz="4" w:space="0" w:color="auto"/>
            </w:tcBorders>
            <w:vAlign w:val="center"/>
          </w:tcPr>
          <w:p w14:paraId="012B4544" w14:textId="77777777" w:rsidR="00F038BD" w:rsidRPr="00F038BD" w:rsidRDefault="00F038BD" w:rsidP="00F038BD">
            <w:pPr>
              <w:spacing w:after="0" w:line="240" w:lineRule="auto"/>
              <w:ind w:left="-116" w:right="-193"/>
              <w:jc w:val="center"/>
              <w:rPr>
                <w:rFonts w:ascii="Times New Roman" w:hAnsi="Times New Roman"/>
                <w:bCs/>
                <w:sz w:val="20"/>
                <w:szCs w:val="20"/>
              </w:rPr>
            </w:pPr>
            <w:r w:rsidRPr="00F038BD">
              <w:rPr>
                <w:rFonts w:ascii="Times New Roman" w:hAnsi="Times New Roman"/>
                <w:bCs/>
                <w:sz w:val="20"/>
                <w:szCs w:val="20"/>
              </w:rPr>
              <w:t>21%</w:t>
            </w:r>
          </w:p>
        </w:tc>
        <w:tc>
          <w:tcPr>
            <w:tcW w:w="471" w:type="pct"/>
            <w:tcBorders>
              <w:top w:val="single" w:sz="4" w:space="0" w:color="auto"/>
              <w:left w:val="single" w:sz="4" w:space="0" w:color="auto"/>
              <w:bottom w:val="single" w:sz="4" w:space="0" w:color="auto"/>
              <w:right w:val="single" w:sz="4" w:space="0" w:color="auto"/>
            </w:tcBorders>
            <w:vAlign w:val="center"/>
          </w:tcPr>
          <w:p w14:paraId="740CFA45" w14:textId="77777777" w:rsidR="00F038BD" w:rsidRPr="00F038BD" w:rsidRDefault="00F038BD" w:rsidP="00F038BD">
            <w:pPr>
              <w:spacing w:after="0" w:line="240" w:lineRule="auto"/>
              <w:ind w:left="-116" w:right="-193"/>
              <w:jc w:val="center"/>
              <w:rPr>
                <w:rFonts w:ascii="Times New Roman" w:hAnsi="Times New Roman"/>
                <w:bCs/>
                <w:sz w:val="20"/>
                <w:szCs w:val="20"/>
              </w:rPr>
            </w:pPr>
            <w:r w:rsidRPr="00F038BD">
              <w:rPr>
                <w:rFonts w:ascii="Times New Roman" w:hAnsi="Times New Roman"/>
                <w:bCs/>
                <w:sz w:val="20"/>
                <w:szCs w:val="20"/>
              </w:rPr>
              <w:t>14%</w:t>
            </w:r>
          </w:p>
        </w:tc>
        <w:tc>
          <w:tcPr>
            <w:tcW w:w="442" w:type="pct"/>
            <w:tcBorders>
              <w:top w:val="single" w:sz="4" w:space="0" w:color="auto"/>
              <w:left w:val="single" w:sz="4" w:space="0" w:color="auto"/>
              <w:bottom w:val="single" w:sz="4" w:space="0" w:color="auto"/>
              <w:right w:val="single" w:sz="4" w:space="0" w:color="auto"/>
            </w:tcBorders>
            <w:vAlign w:val="center"/>
          </w:tcPr>
          <w:p w14:paraId="30EA2E97" w14:textId="77777777" w:rsidR="00F038BD" w:rsidRPr="00F038BD" w:rsidRDefault="00F038BD" w:rsidP="00F038BD">
            <w:pPr>
              <w:spacing w:after="0" w:line="240" w:lineRule="auto"/>
              <w:ind w:left="-116" w:right="-193"/>
              <w:jc w:val="center"/>
              <w:rPr>
                <w:rFonts w:ascii="Times New Roman" w:hAnsi="Times New Roman"/>
                <w:bCs/>
                <w:sz w:val="20"/>
                <w:szCs w:val="20"/>
              </w:rPr>
            </w:pPr>
            <w:r w:rsidRPr="00F038BD">
              <w:rPr>
                <w:rFonts w:ascii="Times New Roman" w:hAnsi="Times New Roman"/>
                <w:bCs/>
                <w:sz w:val="20"/>
                <w:szCs w:val="20"/>
              </w:rPr>
              <w:t>4.57%</w:t>
            </w:r>
          </w:p>
        </w:tc>
      </w:tr>
      <w:bookmarkEnd w:id="10"/>
    </w:tbl>
    <w:p w14:paraId="58E3EF5F" w14:textId="77777777" w:rsidR="00F038BD" w:rsidRPr="00F038BD" w:rsidRDefault="00F038BD" w:rsidP="00F038BD">
      <w:pPr>
        <w:spacing w:after="0" w:line="240" w:lineRule="auto"/>
        <w:contextualSpacing/>
        <w:jc w:val="both"/>
        <w:rPr>
          <w:rFonts w:ascii="Times New Roman" w:eastAsia="Calibri" w:hAnsi="Times New Roman"/>
          <w:bCs/>
          <w:i/>
          <w:sz w:val="20"/>
          <w:szCs w:val="20"/>
        </w:rPr>
      </w:pPr>
    </w:p>
    <w:p w14:paraId="3B62E382" w14:textId="77777777" w:rsidR="00F038BD" w:rsidRPr="00F038BD" w:rsidRDefault="00F038BD" w:rsidP="00F038BD">
      <w:pPr>
        <w:spacing w:after="0" w:line="240" w:lineRule="auto"/>
        <w:contextualSpacing/>
        <w:jc w:val="both"/>
        <w:rPr>
          <w:rFonts w:ascii="Times New Roman" w:eastAsia="Calibri" w:hAnsi="Times New Roman"/>
          <w:bCs/>
          <w:i/>
          <w:sz w:val="20"/>
          <w:szCs w:val="20"/>
        </w:rPr>
      </w:pPr>
      <w:r w:rsidRPr="00F038BD">
        <w:rPr>
          <w:rFonts w:ascii="Times New Roman" w:eastAsia="Calibri" w:hAnsi="Times New Roman"/>
          <w:bCs/>
          <w:i/>
          <w:sz w:val="20"/>
          <w:szCs w:val="20"/>
        </w:rPr>
        <w:t>Notes:</w:t>
      </w:r>
    </w:p>
    <w:p w14:paraId="5BBEBD74" w14:textId="77777777" w:rsidR="00F038BD" w:rsidRPr="00F038BD" w:rsidRDefault="00F038BD" w:rsidP="00F038BD">
      <w:pPr>
        <w:autoSpaceDE w:val="0"/>
        <w:autoSpaceDN w:val="0"/>
        <w:adjustRightInd w:val="0"/>
        <w:spacing w:after="0" w:line="240" w:lineRule="auto"/>
        <w:ind w:left="426"/>
        <w:jc w:val="both"/>
        <w:rPr>
          <w:rFonts w:ascii="Times New Roman" w:eastAsiaTheme="minorHAnsi" w:hAnsi="Times New Roman"/>
          <w:i/>
          <w:iCs/>
          <w:sz w:val="20"/>
          <w:szCs w:val="20"/>
          <w:lang w:val="en-IN"/>
        </w:rPr>
      </w:pPr>
      <w:r w:rsidRPr="00F038BD">
        <w:rPr>
          <w:rFonts w:ascii="Times New Roman" w:eastAsiaTheme="minorHAnsi" w:hAnsi="Times New Roman"/>
          <w:i/>
          <w:iCs/>
          <w:sz w:val="20"/>
          <w:szCs w:val="20"/>
          <w:vertAlign w:val="superscript"/>
          <w:lang w:val="en-IN"/>
        </w:rPr>
        <w:t xml:space="preserve">(1) </w:t>
      </w:r>
      <w:r w:rsidRPr="00F038BD">
        <w:rPr>
          <w:rFonts w:ascii="Times New Roman" w:eastAsiaTheme="minorHAnsi" w:hAnsi="Times New Roman"/>
          <w:i/>
          <w:iCs/>
          <w:sz w:val="20"/>
          <w:szCs w:val="20"/>
          <w:lang w:val="en-IN"/>
        </w:rPr>
        <w:t>Revenue from operation means revenue from sales, service and other operating revenues</w:t>
      </w:r>
    </w:p>
    <w:p w14:paraId="3F76F311" w14:textId="77777777" w:rsidR="00F038BD" w:rsidRPr="00F038BD" w:rsidRDefault="00F038BD" w:rsidP="00F038BD">
      <w:pPr>
        <w:autoSpaceDE w:val="0"/>
        <w:autoSpaceDN w:val="0"/>
        <w:adjustRightInd w:val="0"/>
        <w:spacing w:after="0" w:line="240" w:lineRule="auto"/>
        <w:ind w:left="426"/>
        <w:jc w:val="both"/>
        <w:rPr>
          <w:rFonts w:ascii="Times New Roman" w:eastAsiaTheme="minorHAnsi" w:hAnsi="Times New Roman"/>
          <w:i/>
          <w:iCs/>
          <w:sz w:val="20"/>
          <w:szCs w:val="20"/>
          <w:lang w:val="en-IN"/>
        </w:rPr>
      </w:pPr>
      <w:r w:rsidRPr="00F038BD">
        <w:rPr>
          <w:rFonts w:ascii="Times New Roman" w:eastAsiaTheme="minorHAnsi" w:hAnsi="Times New Roman"/>
          <w:i/>
          <w:iCs/>
          <w:sz w:val="20"/>
          <w:szCs w:val="20"/>
          <w:vertAlign w:val="superscript"/>
          <w:lang w:val="en-IN"/>
        </w:rPr>
        <w:t xml:space="preserve">(2) </w:t>
      </w:r>
      <w:r w:rsidRPr="00F038BD">
        <w:rPr>
          <w:rFonts w:ascii="Times New Roman" w:eastAsiaTheme="minorHAnsi" w:hAnsi="Times New Roman"/>
          <w:i/>
          <w:iCs/>
          <w:sz w:val="20"/>
          <w:szCs w:val="20"/>
          <w:lang w:val="en-IN"/>
        </w:rPr>
        <w:t>EBITDA is calculated as Profit before tax + Depreciation + Interest Cost - Other Income</w:t>
      </w:r>
    </w:p>
    <w:p w14:paraId="5157AA8B" w14:textId="77777777" w:rsidR="00F038BD" w:rsidRPr="00F038BD" w:rsidRDefault="00F038BD" w:rsidP="00F038BD">
      <w:pPr>
        <w:autoSpaceDE w:val="0"/>
        <w:autoSpaceDN w:val="0"/>
        <w:adjustRightInd w:val="0"/>
        <w:spacing w:after="0" w:line="240" w:lineRule="auto"/>
        <w:ind w:left="426"/>
        <w:jc w:val="both"/>
        <w:rPr>
          <w:rFonts w:ascii="Times New Roman" w:eastAsiaTheme="minorHAnsi" w:hAnsi="Times New Roman"/>
          <w:i/>
          <w:iCs/>
          <w:sz w:val="20"/>
          <w:szCs w:val="20"/>
        </w:rPr>
      </w:pPr>
      <w:r w:rsidRPr="00F038BD">
        <w:rPr>
          <w:rFonts w:ascii="Times New Roman" w:eastAsiaTheme="minorHAnsi" w:hAnsi="Times New Roman"/>
          <w:i/>
          <w:iCs/>
          <w:sz w:val="20"/>
          <w:szCs w:val="20"/>
          <w:vertAlign w:val="superscript"/>
          <w:lang w:val="en-IN"/>
        </w:rPr>
        <w:t xml:space="preserve">(3) </w:t>
      </w:r>
      <w:r w:rsidRPr="00F038BD">
        <w:rPr>
          <w:rFonts w:ascii="Times New Roman" w:eastAsiaTheme="minorHAnsi" w:hAnsi="Times New Roman"/>
          <w:i/>
          <w:iCs/>
          <w:sz w:val="20"/>
          <w:szCs w:val="20"/>
          <w:lang w:val="en-IN"/>
        </w:rPr>
        <w:t>EBITDA Margin is calculated as EBITDA divided by Revenue from Operations</w:t>
      </w:r>
    </w:p>
    <w:p w14:paraId="2B366865" w14:textId="77777777" w:rsidR="00F038BD" w:rsidRPr="00F038BD" w:rsidRDefault="00F038BD" w:rsidP="00F038BD">
      <w:pPr>
        <w:autoSpaceDE w:val="0"/>
        <w:autoSpaceDN w:val="0"/>
        <w:adjustRightInd w:val="0"/>
        <w:spacing w:after="0" w:line="240" w:lineRule="auto"/>
        <w:ind w:left="426"/>
        <w:jc w:val="both"/>
        <w:rPr>
          <w:rFonts w:ascii="Times New Roman" w:eastAsiaTheme="minorHAnsi" w:hAnsi="Times New Roman"/>
          <w:i/>
          <w:iCs/>
          <w:sz w:val="20"/>
          <w:szCs w:val="20"/>
          <w:lang w:val="en-IN"/>
        </w:rPr>
      </w:pPr>
      <w:r w:rsidRPr="00F038BD">
        <w:rPr>
          <w:rFonts w:ascii="Times New Roman" w:eastAsiaTheme="minorHAnsi" w:hAnsi="Times New Roman"/>
          <w:i/>
          <w:iCs/>
          <w:sz w:val="20"/>
          <w:szCs w:val="20"/>
          <w:vertAlign w:val="superscript"/>
          <w:lang w:val="en-IN"/>
        </w:rPr>
        <w:t xml:space="preserve">(4) </w:t>
      </w:r>
      <w:r w:rsidRPr="00F038BD">
        <w:rPr>
          <w:rFonts w:ascii="Times New Roman" w:eastAsiaTheme="minorHAnsi" w:hAnsi="Times New Roman"/>
          <w:i/>
          <w:iCs/>
          <w:sz w:val="20"/>
          <w:szCs w:val="20"/>
          <w:lang w:val="en-IN"/>
        </w:rPr>
        <w:t>PAT is calculated as Profit before tax – Tax Expenses</w:t>
      </w:r>
    </w:p>
    <w:p w14:paraId="614FB29F" w14:textId="77777777" w:rsidR="00F038BD" w:rsidRPr="00F038BD" w:rsidRDefault="00F038BD" w:rsidP="00F038BD">
      <w:pPr>
        <w:spacing w:after="0" w:line="240" w:lineRule="auto"/>
        <w:ind w:left="426"/>
        <w:contextualSpacing/>
        <w:jc w:val="both"/>
        <w:rPr>
          <w:rFonts w:ascii="Times New Roman" w:eastAsiaTheme="minorHAnsi" w:hAnsi="Times New Roman"/>
          <w:i/>
          <w:iCs/>
          <w:sz w:val="20"/>
          <w:szCs w:val="20"/>
          <w:lang w:val="en-IN"/>
        </w:rPr>
      </w:pPr>
      <w:r w:rsidRPr="00F038BD">
        <w:rPr>
          <w:rFonts w:ascii="Times New Roman" w:eastAsiaTheme="minorHAnsi" w:hAnsi="Times New Roman"/>
          <w:i/>
          <w:iCs/>
          <w:sz w:val="20"/>
          <w:szCs w:val="20"/>
          <w:vertAlign w:val="superscript"/>
          <w:lang w:val="en-IN"/>
        </w:rPr>
        <w:t xml:space="preserve">(5) </w:t>
      </w:r>
      <w:r w:rsidRPr="00F038BD">
        <w:rPr>
          <w:rFonts w:ascii="Times New Roman" w:eastAsiaTheme="minorHAnsi" w:hAnsi="Times New Roman"/>
          <w:i/>
          <w:iCs/>
          <w:sz w:val="20"/>
          <w:szCs w:val="20"/>
          <w:lang w:val="en-IN"/>
        </w:rPr>
        <w:t>PAT Margin is calculated as PAT for the period/year divided by revenue from operations.</w:t>
      </w:r>
    </w:p>
    <w:p w14:paraId="498465FD" w14:textId="77777777" w:rsidR="00F038BD" w:rsidRPr="00F038BD" w:rsidRDefault="00F038BD" w:rsidP="00F038BD">
      <w:pPr>
        <w:spacing w:after="0" w:line="240" w:lineRule="auto"/>
        <w:ind w:left="426"/>
        <w:jc w:val="both"/>
        <w:rPr>
          <w:rFonts w:ascii="Times New Roman" w:eastAsiaTheme="minorHAnsi" w:hAnsi="Times New Roman"/>
          <w:i/>
          <w:iCs/>
          <w:sz w:val="20"/>
          <w:szCs w:val="20"/>
          <w:lang w:val="en-IN"/>
        </w:rPr>
      </w:pPr>
      <w:r w:rsidRPr="00F038BD">
        <w:rPr>
          <w:rFonts w:ascii="Times New Roman" w:eastAsiaTheme="minorHAnsi" w:hAnsi="Times New Roman"/>
          <w:i/>
          <w:iCs/>
          <w:sz w:val="20"/>
          <w:szCs w:val="20"/>
          <w:vertAlign w:val="superscript"/>
          <w:lang w:val="en-IN"/>
        </w:rPr>
        <w:t xml:space="preserve">(6) </w:t>
      </w:r>
      <w:r w:rsidRPr="00F038BD">
        <w:rPr>
          <w:rFonts w:ascii="Times New Roman" w:eastAsiaTheme="minorHAnsi" w:hAnsi="Times New Roman"/>
          <w:i/>
          <w:iCs/>
          <w:sz w:val="20"/>
          <w:szCs w:val="20"/>
          <w:lang w:val="en-IN"/>
        </w:rPr>
        <w:t>Return on Equity is ratio of Profit after Tax and Closing Shareholder Equity</w:t>
      </w:r>
    </w:p>
    <w:p w14:paraId="774967C9" w14:textId="77777777" w:rsidR="00F038BD" w:rsidRPr="00F038BD" w:rsidRDefault="00F038BD" w:rsidP="00F038BD">
      <w:pPr>
        <w:spacing w:after="0" w:line="240" w:lineRule="auto"/>
        <w:ind w:left="426"/>
        <w:jc w:val="both"/>
        <w:rPr>
          <w:rFonts w:ascii="Times New Roman" w:hAnsi="Times New Roman"/>
          <w:bCs/>
          <w:i/>
          <w:sz w:val="20"/>
          <w:szCs w:val="20"/>
        </w:rPr>
      </w:pPr>
      <w:r w:rsidRPr="00F038BD">
        <w:rPr>
          <w:rFonts w:ascii="Times New Roman" w:eastAsiaTheme="minorHAnsi" w:hAnsi="Times New Roman"/>
          <w:i/>
          <w:iCs/>
          <w:sz w:val="20"/>
          <w:szCs w:val="20"/>
          <w:vertAlign w:val="superscript"/>
          <w:lang w:val="en-IN"/>
        </w:rPr>
        <w:t xml:space="preserve">(7) </w:t>
      </w:r>
      <w:r w:rsidRPr="00F038BD">
        <w:rPr>
          <w:rFonts w:ascii="Times New Roman" w:hAnsi="Times New Roman"/>
          <w:bCs/>
          <w:i/>
          <w:sz w:val="20"/>
          <w:szCs w:val="20"/>
        </w:rPr>
        <w:t>Return on Capital Employed is calculated as EBIT divided by capital employed, which is defined as shareholders’ equity plus Long term borrowings.</w:t>
      </w:r>
    </w:p>
    <w:p w14:paraId="561F71CB" w14:textId="77777777" w:rsidR="00F038BD" w:rsidRPr="00F038BD" w:rsidRDefault="00F038BD" w:rsidP="00F038BD">
      <w:pPr>
        <w:spacing w:after="0" w:line="240" w:lineRule="auto"/>
        <w:ind w:left="360"/>
        <w:contextualSpacing/>
        <w:jc w:val="both"/>
        <w:rPr>
          <w:rFonts w:ascii="Times New Roman" w:eastAsia="Calibri" w:hAnsi="Times New Roman"/>
          <w:bCs/>
          <w:i/>
          <w:iCs/>
          <w:sz w:val="20"/>
          <w:szCs w:val="20"/>
        </w:rPr>
      </w:pPr>
    </w:p>
    <w:p w14:paraId="0F5D689E" w14:textId="77777777" w:rsidR="00F038BD" w:rsidRPr="00F038BD" w:rsidRDefault="00F038BD">
      <w:pPr>
        <w:numPr>
          <w:ilvl w:val="0"/>
          <w:numId w:val="165"/>
        </w:numPr>
        <w:suppressAutoHyphens/>
        <w:autoSpaceDE w:val="0"/>
        <w:autoSpaceDN w:val="0"/>
        <w:adjustRightInd w:val="0"/>
        <w:spacing w:after="0" w:line="240" w:lineRule="auto"/>
        <w:contextualSpacing/>
        <w:jc w:val="both"/>
        <w:rPr>
          <w:rFonts w:ascii="Times New Roman" w:eastAsia="Calibri" w:hAnsi="Times New Roman"/>
          <w:bCs/>
          <w:sz w:val="20"/>
          <w:szCs w:val="20"/>
        </w:rPr>
      </w:pPr>
      <w:r w:rsidRPr="00F038BD">
        <w:rPr>
          <w:rFonts w:ascii="Times New Roman" w:eastAsia="Calibri" w:hAnsi="Times New Roman"/>
          <w:b/>
          <w:bCs/>
          <w:sz w:val="20"/>
          <w:szCs w:val="20"/>
        </w:rPr>
        <w:t>Weighted average cost of acquisition</w:t>
      </w:r>
    </w:p>
    <w:p w14:paraId="0D833025" w14:textId="77777777" w:rsidR="00F038BD" w:rsidRPr="00F038BD" w:rsidRDefault="00F038BD" w:rsidP="00F038BD">
      <w:pPr>
        <w:spacing w:after="0" w:line="240" w:lineRule="auto"/>
        <w:ind w:left="360"/>
        <w:contextualSpacing/>
        <w:jc w:val="both"/>
        <w:rPr>
          <w:rFonts w:ascii="Times New Roman" w:eastAsia="Calibri" w:hAnsi="Times New Roman"/>
          <w:bCs/>
          <w:sz w:val="20"/>
          <w:szCs w:val="20"/>
        </w:rPr>
      </w:pPr>
    </w:p>
    <w:p w14:paraId="7CDABE80" w14:textId="77777777" w:rsidR="00F038BD" w:rsidRPr="00F038BD" w:rsidRDefault="00F038BD">
      <w:pPr>
        <w:numPr>
          <w:ilvl w:val="0"/>
          <w:numId w:val="171"/>
        </w:numPr>
        <w:suppressAutoHyphens/>
        <w:autoSpaceDE w:val="0"/>
        <w:autoSpaceDN w:val="0"/>
        <w:adjustRightInd w:val="0"/>
        <w:spacing w:after="0" w:line="240" w:lineRule="auto"/>
        <w:jc w:val="both"/>
        <w:rPr>
          <w:rFonts w:ascii="Times New Roman" w:hAnsi="Times New Roman"/>
          <w:bCs/>
          <w:color w:val="000000"/>
          <w:sz w:val="20"/>
          <w:szCs w:val="20"/>
          <w:lang w:val="x-none" w:eastAsia="x-none"/>
        </w:rPr>
      </w:pPr>
      <w:r w:rsidRPr="00F038BD">
        <w:rPr>
          <w:rFonts w:ascii="Times New Roman" w:hAnsi="Times New Roman"/>
          <w:bCs/>
          <w:color w:val="000000"/>
          <w:sz w:val="20"/>
          <w:szCs w:val="20"/>
          <w:lang w:val="x-none" w:eastAsia="x-none"/>
        </w:rPr>
        <w:t>The price per share of our Company based on the primary/ new issue of shares (equity/ convertible securities)</w:t>
      </w:r>
    </w:p>
    <w:p w14:paraId="6ECB2424" w14:textId="77777777" w:rsidR="00F038BD" w:rsidRPr="00F038BD" w:rsidRDefault="00F038BD" w:rsidP="00F038BD">
      <w:pPr>
        <w:suppressAutoHyphens/>
        <w:autoSpaceDE w:val="0"/>
        <w:autoSpaceDN w:val="0"/>
        <w:adjustRightInd w:val="0"/>
        <w:spacing w:after="0" w:line="240" w:lineRule="auto"/>
        <w:ind w:left="720"/>
        <w:jc w:val="both"/>
        <w:textAlignment w:val="center"/>
        <w:rPr>
          <w:rFonts w:ascii="Times New Roman" w:hAnsi="Times New Roman"/>
          <w:bCs/>
          <w:color w:val="000000"/>
          <w:sz w:val="20"/>
          <w:szCs w:val="20"/>
          <w:lang w:val="x-none" w:eastAsia="x-none"/>
        </w:rPr>
      </w:pPr>
    </w:p>
    <w:p w14:paraId="02366BCC" w14:textId="77777777" w:rsidR="00F038BD" w:rsidRPr="00F038BD" w:rsidRDefault="00F038BD" w:rsidP="00F038BD">
      <w:pPr>
        <w:suppressAutoHyphens/>
        <w:autoSpaceDE w:val="0"/>
        <w:autoSpaceDN w:val="0"/>
        <w:adjustRightInd w:val="0"/>
        <w:spacing w:after="0" w:line="240" w:lineRule="auto"/>
        <w:ind w:left="720"/>
        <w:jc w:val="both"/>
        <w:textAlignment w:val="center"/>
        <w:rPr>
          <w:rFonts w:ascii="Times New Roman" w:hAnsi="Times New Roman"/>
          <w:bCs/>
          <w:color w:val="000000"/>
          <w:sz w:val="20"/>
          <w:szCs w:val="20"/>
          <w:lang w:val="x-none" w:eastAsia="x-none"/>
        </w:rPr>
      </w:pPr>
      <w:r w:rsidRPr="00F038BD">
        <w:rPr>
          <w:rFonts w:ascii="Times New Roman" w:hAnsi="Times New Roman"/>
          <w:bCs/>
          <w:color w:val="000000"/>
          <w:sz w:val="20"/>
          <w:szCs w:val="20"/>
          <w:lang w:val="x-none" w:eastAsia="x-none"/>
        </w:rPr>
        <w:t xml:space="preserve">There has been no issuance of Equity Shares, during the 18 months preceding the date of this Draft </w:t>
      </w:r>
      <w:r w:rsidRPr="00F038BD">
        <w:rPr>
          <w:rFonts w:ascii="Times New Roman" w:hAnsi="Times New Roman"/>
          <w:color w:val="000000"/>
          <w:sz w:val="20"/>
          <w:szCs w:val="20"/>
          <w:lang w:val="x-none" w:eastAsia="x-none"/>
        </w:rPr>
        <w:t xml:space="preserve">Red Herring </w:t>
      </w:r>
      <w:r w:rsidRPr="00F038BD">
        <w:rPr>
          <w:rFonts w:ascii="Times New Roman" w:hAnsi="Times New Roman"/>
          <w:bCs/>
          <w:color w:val="000000"/>
          <w:sz w:val="20"/>
          <w:szCs w:val="20"/>
          <w:lang w:val="x-none" w:eastAsia="x-none"/>
        </w:rPr>
        <w:t>Prospectus, where such issuance is equal to or more than 5% of the fully diluted paid-up share capital of the Company (calculated based on the pre-issue capital before such transaction(s) and excluding employee stock options granted but not vested), in a single transaction or multiple transactions combined together over a span of 30 days.</w:t>
      </w:r>
    </w:p>
    <w:p w14:paraId="7CD2282E" w14:textId="77777777" w:rsidR="00F038BD" w:rsidRPr="00F038BD" w:rsidRDefault="00F038BD" w:rsidP="00F038BD">
      <w:pPr>
        <w:suppressAutoHyphens/>
        <w:autoSpaceDE w:val="0"/>
        <w:autoSpaceDN w:val="0"/>
        <w:adjustRightInd w:val="0"/>
        <w:spacing w:after="0" w:line="240" w:lineRule="auto"/>
        <w:ind w:left="720"/>
        <w:jc w:val="both"/>
        <w:rPr>
          <w:rFonts w:ascii="Times New Roman" w:eastAsia="Calibri" w:hAnsi="Times New Roman"/>
          <w:bCs/>
          <w:sz w:val="20"/>
          <w:szCs w:val="20"/>
        </w:rPr>
      </w:pPr>
    </w:p>
    <w:p w14:paraId="255C59F6" w14:textId="77777777" w:rsidR="00F038BD" w:rsidRPr="00AC0BFD" w:rsidRDefault="00F038BD">
      <w:pPr>
        <w:numPr>
          <w:ilvl w:val="0"/>
          <w:numId w:val="171"/>
        </w:numPr>
        <w:suppressAutoHyphens/>
        <w:autoSpaceDE w:val="0"/>
        <w:autoSpaceDN w:val="0"/>
        <w:adjustRightInd w:val="0"/>
        <w:spacing w:after="0" w:line="240" w:lineRule="auto"/>
        <w:jc w:val="both"/>
        <w:rPr>
          <w:rFonts w:ascii="Times New Roman" w:eastAsia="Calibri" w:hAnsi="Times New Roman"/>
          <w:bCs/>
          <w:color w:val="000000"/>
          <w:sz w:val="20"/>
          <w:szCs w:val="20"/>
          <w:highlight w:val="yellow"/>
          <w:lang w:val="x-none" w:eastAsia="x-none"/>
        </w:rPr>
      </w:pPr>
      <w:r w:rsidRPr="00AC0BFD">
        <w:rPr>
          <w:rFonts w:ascii="Times New Roman" w:eastAsia="Calibri" w:hAnsi="Times New Roman"/>
          <w:bCs/>
          <w:color w:val="000000"/>
          <w:sz w:val="20"/>
          <w:szCs w:val="20"/>
          <w:highlight w:val="yellow"/>
          <w:lang w:val="x-none" w:eastAsia="x-none"/>
        </w:rPr>
        <w:t>The price per share of our Company based on the secondary sale/ acquisition of shares (equity</w:t>
      </w:r>
      <w:r w:rsidRPr="00AC0BFD">
        <w:rPr>
          <w:rFonts w:ascii="Times New Roman" w:eastAsia="Calibri" w:hAnsi="Times New Roman"/>
          <w:bCs/>
          <w:color w:val="000000"/>
          <w:sz w:val="20"/>
          <w:szCs w:val="20"/>
          <w:highlight w:val="yellow"/>
          <w:lang w:val="en-IN" w:eastAsia="x-none"/>
        </w:rPr>
        <w:t xml:space="preserve"> shares</w:t>
      </w:r>
      <w:r w:rsidRPr="00AC0BFD">
        <w:rPr>
          <w:rFonts w:ascii="Times New Roman" w:eastAsia="Calibri" w:hAnsi="Times New Roman"/>
          <w:bCs/>
          <w:color w:val="000000"/>
          <w:sz w:val="20"/>
          <w:szCs w:val="20"/>
          <w:highlight w:val="yellow"/>
          <w:lang w:val="x-none" w:eastAsia="x-none"/>
        </w:rPr>
        <w:t>)</w:t>
      </w:r>
    </w:p>
    <w:p w14:paraId="62F3F67A" w14:textId="77777777" w:rsidR="00F038BD" w:rsidRPr="00AC0BFD" w:rsidRDefault="00F038BD" w:rsidP="00F038BD">
      <w:pPr>
        <w:spacing w:after="0" w:line="240" w:lineRule="auto"/>
        <w:ind w:left="360"/>
        <w:contextualSpacing/>
        <w:jc w:val="both"/>
        <w:rPr>
          <w:rFonts w:ascii="Times New Roman" w:eastAsia="Calibri" w:hAnsi="Times New Roman"/>
          <w:bCs/>
          <w:sz w:val="20"/>
          <w:szCs w:val="20"/>
          <w:highlight w:val="yellow"/>
        </w:rPr>
      </w:pPr>
    </w:p>
    <w:p w14:paraId="4443846E" w14:textId="77777777" w:rsidR="00F038BD" w:rsidRPr="00AC0BFD" w:rsidRDefault="00F038BD" w:rsidP="00F038BD">
      <w:pPr>
        <w:spacing w:after="0" w:line="240" w:lineRule="auto"/>
        <w:ind w:left="720"/>
        <w:contextualSpacing/>
        <w:jc w:val="both"/>
        <w:rPr>
          <w:rFonts w:ascii="Times New Roman" w:eastAsia="Calibri" w:hAnsi="Times New Roman"/>
          <w:bCs/>
          <w:sz w:val="20"/>
          <w:szCs w:val="20"/>
          <w:highlight w:val="yellow"/>
        </w:rPr>
      </w:pPr>
      <w:r w:rsidRPr="00AC0BFD">
        <w:rPr>
          <w:rFonts w:ascii="Times New Roman" w:eastAsia="Calibri" w:hAnsi="Times New Roman"/>
          <w:bCs/>
          <w:sz w:val="20"/>
          <w:szCs w:val="20"/>
          <w:highlight w:val="yellow"/>
        </w:rPr>
        <w:t>Except as stated below, there have been no secondary sale/ acquisitions of Equity Shares, where the promoters, members of the promoter group or shareholder(s) having the right to nominate director(s) in the board of directors of the Company are a party to the transaction (excluding gifts of shares), during the 18 months preceding the date of this certificate, where either acquisition or sale is equal to or more than 5% of the fully diluted paid up share capital of the Company (calculated based on the pre-issue capital before such transaction/s and excluding employee stock options granted but not vested), in a single transaction or multiple transactions combined together over a span of rolling 30 days.</w:t>
      </w:r>
    </w:p>
    <w:p w14:paraId="6D3C4F31" w14:textId="77777777" w:rsidR="00F038BD" w:rsidRPr="00AC0BFD" w:rsidRDefault="00F038BD" w:rsidP="00F038BD">
      <w:pPr>
        <w:spacing w:after="0" w:line="240" w:lineRule="auto"/>
        <w:ind w:left="720"/>
        <w:contextualSpacing/>
        <w:jc w:val="both"/>
        <w:rPr>
          <w:rFonts w:ascii="Times New Roman" w:eastAsia="Calibri" w:hAnsi="Times New Roman"/>
          <w:bCs/>
          <w:sz w:val="20"/>
          <w:szCs w:val="20"/>
          <w:highlight w:val="yellow"/>
        </w:rPr>
      </w:pPr>
    </w:p>
    <w:tbl>
      <w:tblPr>
        <w:tblStyle w:val="TableGrid"/>
        <w:tblW w:w="5000" w:type="pct"/>
        <w:tblLook w:val="04A0" w:firstRow="1" w:lastRow="0" w:firstColumn="1" w:lastColumn="0" w:noHBand="0" w:noVBand="1"/>
      </w:tblPr>
      <w:tblGrid>
        <w:gridCol w:w="1171"/>
        <w:gridCol w:w="2064"/>
        <w:gridCol w:w="1980"/>
        <w:gridCol w:w="1414"/>
        <w:gridCol w:w="1215"/>
        <w:gridCol w:w="1184"/>
        <w:gridCol w:w="1428"/>
      </w:tblGrid>
      <w:tr w:rsidR="00F038BD" w:rsidRPr="00AC0BFD" w14:paraId="40B43DDD" w14:textId="77777777" w:rsidTr="00716083">
        <w:trPr>
          <w:trHeight w:val="23"/>
          <w:tblHeader/>
        </w:trPr>
        <w:tc>
          <w:tcPr>
            <w:tcW w:w="560" w:type="pct"/>
            <w:tcBorders>
              <w:top w:val="single" w:sz="4" w:space="0" w:color="000000"/>
              <w:left w:val="single" w:sz="4" w:space="0" w:color="000000"/>
              <w:bottom w:val="single" w:sz="4" w:space="0" w:color="000000"/>
              <w:right w:val="single" w:sz="4" w:space="0" w:color="000000"/>
            </w:tcBorders>
            <w:shd w:val="clear" w:color="auto" w:fill="D0CECE"/>
            <w:vAlign w:val="center"/>
            <w:hideMark/>
          </w:tcPr>
          <w:p w14:paraId="3DB705D5" w14:textId="77777777" w:rsidR="00F038BD" w:rsidRPr="00AC0BFD" w:rsidRDefault="00F038BD" w:rsidP="00F038BD">
            <w:pPr>
              <w:autoSpaceDE w:val="0"/>
              <w:autoSpaceDN w:val="0"/>
              <w:adjustRightInd w:val="0"/>
              <w:spacing w:after="0" w:line="240" w:lineRule="auto"/>
              <w:contextualSpacing/>
              <w:jc w:val="center"/>
              <w:rPr>
                <w:rFonts w:ascii="Times New Roman" w:eastAsia="Calibri" w:hAnsi="Times New Roman"/>
                <w:b/>
                <w:bCs/>
                <w:highlight w:val="yellow"/>
              </w:rPr>
            </w:pPr>
            <w:r w:rsidRPr="00AC0BFD">
              <w:rPr>
                <w:rFonts w:ascii="Times New Roman" w:eastAsia="Calibri" w:hAnsi="Times New Roman"/>
                <w:b/>
                <w:bCs/>
                <w:highlight w:val="yellow"/>
              </w:rPr>
              <w:t>Date of</w:t>
            </w:r>
          </w:p>
          <w:p w14:paraId="3167A01C" w14:textId="77777777" w:rsidR="00F038BD" w:rsidRPr="00AC0BFD" w:rsidRDefault="00F038BD" w:rsidP="00F038BD">
            <w:pPr>
              <w:autoSpaceDE w:val="0"/>
              <w:autoSpaceDN w:val="0"/>
              <w:adjustRightInd w:val="0"/>
              <w:spacing w:after="0" w:line="240" w:lineRule="auto"/>
              <w:contextualSpacing/>
              <w:jc w:val="center"/>
              <w:rPr>
                <w:rFonts w:ascii="Times New Roman" w:eastAsia="Calibri" w:hAnsi="Times New Roman"/>
                <w:b/>
                <w:bCs/>
                <w:highlight w:val="yellow"/>
              </w:rPr>
            </w:pPr>
            <w:r w:rsidRPr="00AC0BFD">
              <w:rPr>
                <w:rFonts w:ascii="Times New Roman" w:eastAsia="Calibri" w:hAnsi="Times New Roman"/>
                <w:b/>
                <w:bCs/>
                <w:highlight w:val="yellow"/>
              </w:rPr>
              <w:t>transfer</w:t>
            </w:r>
          </w:p>
        </w:tc>
        <w:tc>
          <w:tcPr>
            <w:tcW w:w="987" w:type="pct"/>
            <w:tcBorders>
              <w:top w:val="single" w:sz="4" w:space="0" w:color="000000"/>
              <w:left w:val="single" w:sz="4" w:space="0" w:color="000000"/>
              <w:bottom w:val="single" w:sz="4" w:space="0" w:color="000000"/>
              <w:right w:val="single" w:sz="4" w:space="0" w:color="000000"/>
            </w:tcBorders>
            <w:shd w:val="clear" w:color="auto" w:fill="D0CECE"/>
            <w:vAlign w:val="center"/>
            <w:hideMark/>
          </w:tcPr>
          <w:p w14:paraId="6F7622F1" w14:textId="77777777" w:rsidR="00F038BD" w:rsidRPr="00AC0BFD" w:rsidRDefault="00F038BD" w:rsidP="00F038BD">
            <w:pPr>
              <w:autoSpaceDE w:val="0"/>
              <w:autoSpaceDN w:val="0"/>
              <w:adjustRightInd w:val="0"/>
              <w:spacing w:after="0" w:line="240" w:lineRule="auto"/>
              <w:contextualSpacing/>
              <w:jc w:val="center"/>
              <w:rPr>
                <w:rFonts w:ascii="Times New Roman" w:eastAsia="Calibri" w:hAnsi="Times New Roman"/>
                <w:b/>
                <w:bCs/>
                <w:highlight w:val="yellow"/>
              </w:rPr>
            </w:pPr>
            <w:r w:rsidRPr="00AC0BFD">
              <w:rPr>
                <w:rFonts w:ascii="Times New Roman" w:eastAsia="Calibri" w:hAnsi="Times New Roman"/>
                <w:b/>
                <w:bCs/>
                <w:highlight w:val="yellow"/>
              </w:rPr>
              <w:t xml:space="preserve">Name of transferor </w:t>
            </w:r>
          </w:p>
        </w:tc>
        <w:tc>
          <w:tcPr>
            <w:tcW w:w="947" w:type="pct"/>
            <w:tcBorders>
              <w:top w:val="single" w:sz="4" w:space="0" w:color="000000"/>
              <w:left w:val="single" w:sz="4" w:space="0" w:color="000000"/>
              <w:bottom w:val="single" w:sz="4" w:space="0" w:color="000000"/>
              <w:right w:val="single" w:sz="4" w:space="0" w:color="000000"/>
            </w:tcBorders>
            <w:shd w:val="clear" w:color="auto" w:fill="D0CECE"/>
            <w:vAlign w:val="center"/>
            <w:hideMark/>
          </w:tcPr>
          <w:p w14:paraId="2227706A" w14:textId="77777777" w:rsidR="00F038BD" w:rsidRPr="00AC0BFD" w:rsidRDefault="00F038BD" w:rsidP="00F038BD">
            <w:pPr>
              <w:autoSpaceDE w:val="0"/>
              <w:autoSpaceDN w:val="0"/>
              <w:adjustRightInd w:val="0"/>
              <w:spacing w:after="0" w:line="240" w:lineRule="auto"/>
              <w:contextualSpacing/>
              <w:jc w:val="center"/>
              <w:rPr>
                <w:rFonts w:ascii="Times New Roman" w:eastAsia="Calibri" w:hAnsi="Times New Roman"/>
                <w:b/>
                <w:bCs/>
                <w:highlight w:val="yellow"/>
              </w:rPr>
            </w:pPr>
            <w:r w:rsidRPr="00AC0BFD">
              <w:rPr>
                <w:rFonts w:ascii="Times New Roman" w:eastAsia="Calibri" w:hAnsi="Times New Roman"/>
                <w:b/>
                <w:bCs/>
                <w:highlight w:val="yellow"/>
              </w:rPr>
              <w:t>Name of transferee</w:t>
            </w:r>
          </w:p>
        </w:tc>
        <w:tc>
          <w:tcPr>
            <w:tcW w:w="676" w:type="pct"/>
            <w:tcBorders>
              <w:top w:val="single" w:sz="4" w:space="0" w:color="000000"/>
              <w:left w:val="single" w:sz="4" w:space="0" w:color="000000"/>
              <w:bottom w:val="single" w:sz="4" w:space="0" w:color="000000"/>
              <w:right w:val="single" w:sz="4" w:space="0" w:color="000000"/>
            </w:tcBorders>
            <w:shd w:val="clear" w:color="auto" w:fill="D0CECE"/>
            <w:vAlign w:val="center"/>
            <w:hideMark/>
          </w:tcPr>
          <w:p w14:paraId="5E104588" w14:textId="77777777" w:rsidR="00F038BD" w:rsidRPr="00AC0BFD" w:rsidRDefault="00F038BD" w:rsidP="00F038BD">
            <w:pPr>
              <w:autoSpaceDE w:val="0"/>
              <w:autoSpaceDN w:val="0"/>
              <w:adjustRightInd w:val="0"/>
              <w:spacing w:after="0" w:line="240" w:lineRule="auto"/>
              <w:contextualSpacing/>
              <w:jc w:val="center"/>
              <w:rPr>
                <w:rFonts w:ascii="Times New Roman" w:eastAsia="Calibri" w:hAnsi="Times New Roman"/>
                <w:b/>
                <w:bCs/>
                <w:highlight w:val="yellow"/>
              </w:rPr>
            </w:pPr>
            <w:r w:rsidRPr="00AC0BFD">
              <w:rPr>
                <w:rFonts w:ascii="Times New Roman" w:eastAsia="Calibri" w:hAnsi="Times New Roman"/>
                <w:b/>
                <w:bCs/>
                <w:highlight w:val="yellow"/>
              </w:rPr>
              <w:t>No. of Equity shares</w:t>
            </w:r>
          </w:p>
        </w:tc>
        <w:tc>
          <w:tcPr>
            <w:tcW w:w="581" w:type="pct"/>
            <w:tcBorders>
              <w:top w:val="single" w:sz="4" w:space="0" w:color="000000"/>
              <w:left w:val="single" w:sz="4" w:space="0" w:color="000000"/>
              <w:bottom w:val="single" w:sz="4" w:space="0" w:color="000000"/>
              <w:right w:val="single" w:sz="4" w:space="0" w:color="000000"/>
            </w:tcBorders>
            <w:shd w:val="clear" w:color="auto" w:fill="D0CECE"/>
            <w:vAlign w:val="center"/>
            <w:hideMark/>
          </w:tcPr>
          <w:p w14:paraId="314866FF" w14:textId="77777777" w:rsidR="00F038BD" w:rsidRPr="00AC0BFD" w:rsidRDefault="00F038BD" w:rsidP="00F038BD">
            <w:pPr>
              <w:autoSpaceDE w:val="0"/>
              <w:autoSpaceDN w:val="0"/>
              <w:adjustRightInd w:val="0"/>
              <w:spacing w:after="0" w:line="240" w:lineRule="auto"/>
              <w:contextualSpacing/>
              <w:jc w:val="center"/>
              <w:rPr>
                <w:rFonts w:ascii="Times New Roman" w:eastAsia="Calibri" w:hAnsi="Times New Roman"/>
                <w:b/>
                <w:bCs/>
                <w:highlight w:val="yellow"/>
              </w:rPr>
            </w:pPr>
            <w:r w:rsidRPr="00AC0BFD">
              <w:rPr>
                <w:rFonts w:ascii="Times New Roman" w:eastAsia="Calibri" w:hAnsi="Times New Roman"/>
                <w:b/>
                <w:bCs/>
                <w:highlight w:val="yellow"/>
              </w:rPr>
              <w:t>Price Per Equity Share (₹)</w:t>
            </w:r>
          </w:p>
        </w:tc>
        <w:tc>
          <w:tcPr>
            <w:tcW w:w="566" w:type="pct"/>
            <w:tcBorders>
              <w:top w:val="single" w:sz="4" w:space="0" w:color="000000"/>
              <w:left w:val="single" w:sz="4" w:space="0" w:color="000000"/>
              <w:bottom w:val="single" w:sz="4" w:space="0" w:color="000000"/>
              <w:right w:val="single" w:sz="4" w:space="0" w:color="000000"/>
            </w:tcBorders>
            <w:shd w:val="clear" w:color="auto" w:fill="D0CECE"/>
            <w:vAlign w:val="center"/>
            <w:hideMark/>
          </w:tcPr>
          <w:p w14:paraId="41A41064" w14:textId="77777777" w:rsidR="00F038BD" w:rsidRPr="00AC0BFD" w:rsidRDefault="00F038BD" w:rsidP="00F038BD">
            <w:pPr>
              <w:autoSpaceDE w:val="0"/>
              <w:autoSpaceDN w:val="0"/>
              <w:adjustRightInd w:val="0"/>
              <w:spacing w:after="0" w:line="240" w:lineRule="auto"/>
              <w:contextualSpacing/>
              <w:jc w:val="center"/>
              <w:rPr>
                <w:rFonts w:ascii="Times New Roman" w:eastAsia="Calibri" w:hAnsi="Times New Roman"/>
                <w:b/>
                <w:bCs/>
                <w:highlight w:val="yellow"/>
              </w:rPr>
            </w:pPr>
            <w:r w:rsidRPr="00AC0BFD">
              <w:rPr>
                <w:rFonts w:ascii="Times New Roman" w:eastAsia="Calibri" w:hAnsi="Times New Roman"/>
                <w:b/>
                <w:bCs/>
                <w:highlight w:val="yellow"/>
              </w:rPr>
              <w:t>Nature of</w:t>
            </w:r>
          </w:p>
          <w:p w14:paraId="4E15984E" w14:textId="77777777" w:rsidR="00F038BD" w:rsidRPr="00AC0BFD" w:rsidRDefault="00F038BD" w:rsidP="00F038BD">
            <w:pPr>
              <w:autoSpaceDE w:val="0"/>
              <w:autoSpaceDN w:val="0"/>
              <w:adjustRightInd w:val="0"/>
              <w:spacing w:after="0" w:line="240" w:lineRule="auto"/>
              <w:contextualSpacing/>
              <w:jc w:val="center"/>
              <w:rPr>
                <w:rFonts w:ascii="Times New Roman" w:eastAsia="Calibri" w:hAnsi="Times New Roman"/>
                <w:b/>
                <w:bCs/>
                <w:highlight w:val="yellow"/>
              </w:rPr>
            </w:pPr>
            <w:r w:rsidRPr="00AC0BFD">
              <w:rPr>
                <w:rFonts w:ascii="Times New Roman" w:eastAsia="Calibri" w:hAnsi="Times New Roman"/>
                <w:b/>
                <w:bCs/>
                <w:highlight w:val="yellow"/>
              </w:rPr>
              <w:t>transaction</w:t>
            </w:r>
          </w:p>
        </w:tc>
        <w:tc>
          <w:tcPr>
            <w:tcW w:w="683" w:type="pct"/>
            <w:tcBorders>
              <w:top w:val="single" w:sz="4" w:space="0" w:color="000000"/>
              <w:left w:val="single" w:sz="4" w:space="0" w:color="000000"/>
              <w:bottom w:val="single" w:sz="4" w:space="0" w:color="000000"/>
              <w:right w:val="single" w:sz="4" w:space="0" w:color="000000"/>
            </w:tcBorders>
            <w:shd w:val="clear" w:color="auto" w:fill="D0CECE"/>
            <w:vAlign w:val="center"/>
            <w:hideMark/>
          </w:tcPr>
          <w:p w14:paraId="2D80C938" w14:textId="77777777" w:rsidR="00F038BD" w:rsidRPr="00AC0BFD" w:rsidRDefault="00F038BD" w:rsidP="00F038BD">
            <w:pPr>
              <w:autoSpaceDE w:val="0"/>
              <w:autoSpaceDN w:val="0"/>
              <w:adjustRightInd w:val="0"/>
              <w:spacing w:after="0" w:line="240" w:lineRule="auto"/>
              <w:contextualSpacing/>
              <w:jc w:val="center"/>
              <w:rPr>
                <w:rFonts w:ascii="Times New Roman" w:eastAsia="Calibri" w:hAnsi="Times New Roman"/>
                <w:b/>
                <w:bCs/>
                <w:highlight w:val="yellow"/>
              </w:rPr>
            </w:pPr>
            <w:r w:rsidRPr="00AC0BFD">
              <w:rPr>
                <w:rFonts w:ascii="Times New Roman" w:eastAsia="Calibri" w:hAnsi="Times New Roman"/>
                <w:b/>
                <w:bCs/>
                <w:highlight w:val="yellow"/>
              </w:rPr>
              <w:t xml:space="preserve">Total Consideration (₹ in lakhs) </w:t>
            </w:r>
          </w:p>
        </w:tc>
      </w:tr>
      <w:tr w:rsidR="00F038BD" w:rsidRPr="00AC0BFD" w14:paraId="02ABF157" w14:textId="77777777" w:rsidTr="00716083">
        <w:trPr>
          <w:trHeight w:val="23"/>
        </w:trPr>
        <w:tc>
          <w:tcPr>
            <w:tcW w:w="560" w:type="pct"/>
            <w:vMerge w:val="restart"/>
            <w:tcBorders>
              <w:top w:val="single" w:sz="4" w:space="0" w:color="000000"/>
              <w:left w:val="single" w:sz="4" w:space="0" w:color="000000"/>
              <w:right w:val="single" w:sz="4" w:space="0" w:color="000000"/>
            </w:tcBorders>
            <w:vAlign w:val="center"/>
          </w:tcPr>
          <w:p w14:paraId="5DB61CED" w14:textId="77777777" w:rsidR="00F038BD" w:rsidRPr="00AC0BFD" w:rsidRDefault="00F038BD" w:rsidP="00F038BD">
            <w:pPr>
              <w:autoSpaceDE w:val="0"/>
              <w:autoSpaceDN w:val="0"/>
              <w:adjustRightInd w:val="0"/>
              <w:spacing w:after="0" w:line="240" w:lineRule="auto"/>
              <w:contextualSpacing/>
              <w:jc w:val="center"/>
              <w:rPr>
                <w:rFonts w:ascii="Times New Roman" w:eastAsia="Calibri" w:hAnsi="Times New Roman"/>
                <w:bCs/>
                <w:highlight w:val="yellow"/>
              </w:rPr>
            </w:pPr>
            <w:r w:rsidRPr="00AC0BFD">
              <w:rPr>
                <w:rFonts w:ascii="Times New Roman" w:eastAsia="Calibri" w:hAnsi="Times New Roman"/>
                <w:bCs/>
                <w:highlight w:val="yellow"/>
              </w:rPr>
              <w:t>August 18, 2023</w:t>
            </w:r>
          </w:p>
        </w:tc>
        <w:tc>
          <w:tcPr>
            <w:tcW w:w="987" w:type="pct"/>
            <w:tcBorders>
              <w:top w:val="single" w:sz="4" w:space="0" w:color="000000"/>
              <w:left w:val="single" w:sz="4" w:space="0" w:color="000000"/>
              <w:right w:val="single" w:sz="4" w:space="0" w:color="000000"/>
            </w:tcBorders>
            <w:vAlign w:val="center"/>
          </w:tcPr>
          <w:p w14:paraId="2E80A18A" w14:textId="77777777" w:rsidR="00F038BD" w:rsidRPr="00AC0BFD" w:rsidRDefault="00F038BD" w:rsidP="00F038BD">
            <w:pPr>
              <w:autoSpaceDE w:val="0"/>
              <w:autoSpaceDN w:val="0"/>
              <w:adjustRightInd w:val="0"/>
              <w:spacing w:after="0" w:line="240" w:lineRule="auto"/>
              <w:contextualSpacing/>
              <w:jc w:val="both"/>
              <w:rPr>
                <w:rFonts w:ascii="Times New Roman" w:eastAsia="Calibri" w:hAnsi="Times New Roman"/>
                <w:bCs/>
                <w:highlight w:val="yellow"/>
              </w:rPr>
            </w:pPr>
            <w:r w:rsidRPr="00AC0BFD">
              <w:rPr>
                <w:rFonts w:ascii="Times New Roman" w:eastAsia="Calibri" w:hAnsi="Times New Roman"/>
                <w:bCs/>
                <w:highlight w:val="yellow"/>
              </w:rPr>
              <w:t>Dhaval Jinesh Shah</w:t>
            </w:r>
          </w:p>
        </w:tc>
        <w:tc>
          <w:tcPr>
            <w:tcW w:w="947" w:type="pct"/>
            <w:vMerge w:val="restart"/>
            <w:tcBorders>
              <w:top w:val="single" w:sz="4" w:space="0" w:color="000000"/>
              <w:left w:val="single" w:sz="4" w:space="0" w:color="000000"/>
              <w:right w:val="single" w:sz="4" w:space="0" w:color="000000"/>
            </w:tcBorders>
            <w:vAlign w:val="center"/>
          </w:tcPr>
          <w:p w14:paraId="17C20520" w14:textId="77777777" w:rsidR="00F038BD" w:rsidRPr="00AC0BFD" w:rsidRDefault="00F038BD" w:rsidP="00F038BD">
            <w:pPr>
              <w:autoSpaceDE w:val="0"/>
              <w:autoSpaceDN w:val="0"/>
              <w:adjustRightInd w:val="0"/>
              <w:spacing w:after="0" w:line="240" w:lineRule="auto"/>
              <w:contextualSpacing/>
              <w:jc w:val="both"/>
              <w:rPr>
                <w:rFonts w:ascii="Times New Roman" w:eastAsia="Calibri" w:hAnsi="Times New Roman"/>
                <w:bCs/>
                <w:highlight w:val="yellow"/>
              </w:rPr>
            </w:pPr>
            <w:r w:rsidRPr="00AC0BFD">
              <w:rPr>
                <w:rFonts w:ascii="Times New Roman" w:eastAsia="Calibri" w:hAnsi="Times New Roman"/>
                <w:bCs/>
                <w:highlight w:val="yellow"/>
              </w:rPr>
              <w:t>Bhavesh Ramgopal Maheshwari</w:t>
            </w:r>
          </w:p>
        </w:tc>
        <w:tc>
          <w:tcPr>
            <w:tcW w:w="676" w:type="pct"/>
            <w:tcBorders>
              <w:top w:val="single" w:sz="4" w:space="0" w:color="000000"/>
              <w:left w:val="single" w:sz="4" w:space="0" w:color="000000"/>
              <w:bottom w:val="single" w:sz="4" w:space="0" w:color="000000"/>
              <w:right w:val="single" w:sz="4" w:space="0" w:color="000000"/>
            </w:tcBorders>
            <w:vAlign w:val="center"/>
          </w:tcPr>
          <w:p w14:paraId="094B55E0" w14:textId="77777777" w:rsidR="00F038BD" w:rsidRPr="00AC0BFD" w:rsidRDefault="00F038BD" w:rsidP="00F038BD">
            <w:pPr>
              <w:autoSpaceDE w:val="0"/>
              <w:autoSpaceDN w:val="0"/>
              <w:adjustRightInd w:val="0"/>
              <w:spacing w:after="0" w:line="240" w:lineRule="auto"/>
              <w:contextualSpacing/>
              <w:jc w:val="center"/>
              <w:rPr>
                <w:rFonts w:ascii="Times New Roman" w:eastAsia="Calibri" w:hAnsi="Times New Roman"/>
                <w:bCs/>
                <w:highlight w:val="yellow"/>
              </w:rPr>
            </w:pPr>
            <w:r w:rsidRPr="00AC0BFD">
              <w:rPr>
                <w:rFonts w:ascii="Times New Roman" w:eastAsia="Calibri" w:hAnsi="Times New Roman"/>
                <w:bCs/>
                <w:highlight w:val="yellow"/>
              </w:rPr>
              <w:t>10,000</w:t>
            </w:r>
          </w:p>
        </w:tc>
        <w:tc>
          <w:tcPr>
            <w:tcW w:w="581" w:type="pct"/>
            <w:vMerge w:val="restart"/>
            <w:tcBorders>
              <w:top w:val="single" w:sz="4" w:space="0" w:color="000000"/>
              <w:left w:val="single" w:sz="4" w:space="0" w:color="000000"/>
              <w:right w:val="single" w:sz="4" w:space="0" w:color="000000"/>
            </w:tcBorders>
            <w:vAlign w:val="center"/>
          </w:tcPr>
          <w:p w14:paraId="2A2A1D29" w14:textId="77777777" w:rsidR="00F038BD" w:rsidRPr="00AC0BFD" w:rsidRDefault="00F038BD" w:rsidP="00F038BD">
            <w:pPr>
              <w:autoSpaceDE w:val="0"/>
              <w:autoSpaceDN w:val="0"/>
              <w:adjustRightInd w:val="0"/>
              <w:spacing w:after="0" w:line="240" w:lineRule="auto"/>
              <w:contextualSpacing/>
              <w:jc w:val="center"/>
              <w:rPr>
                <w:rFonts w:ascii="Times New Roman" w:eastAsia="Calibri" w:hAnsi="Times New Roman"/>
                <w:bCs/>
                <w:highlight w:val="yellow"/>
              </w:rPr>
            </w:pPr>
            <w:r w:rsidRPr="00AC0BFD">
              <w:rPr>
                <w:rFonts w:ascii="Times New Roman" w:eastAsia="Calibri" w:hAnsi="Times New Roman"/>
                <w:bCs/>
                <w:highlight w:val="yellow"/>
              </w:rPr>
              <w:t>27.00</w:t>
            </w:r>
          </w:p>
        </w:tc>
        <w:tc>
          <w:tcPr>
            <w:tcW w:w="566" w:type="pct"/>
            <w:vMerge w:val="restart"/>
            <w:tcBorders>
              <w:top w:val="single" w:sz="4" w:space="0" w:color="000000"/>
              <w:left w:val="single" w:sz="4" w:space="0" w:color="000000"/>
              <w:right w:val="single" w:sz="4" w:space="0" w:color="000000"/>
            </w:tcBorders>
            <w:vAlign w:val="center"/>
          </w:tcPr>
          <w:p w14:paraId="2CAD7CDF" w14:textId="77777777" w:rsidR="00F038BD" w:rsidRPr="00AC0BFD" w:rsidRDefault="00F038BD" w:rsidP="00F038BD">
            <w:pPr>
              <w:autoSpaceDE w:val="0"/>
              <w:autoSpaceDN w:val="0"/>
              <w:adjustRightInd w:val="0"/>
              <w:spacing w:after="0" w:line="240" w:lineRule="auto"/>
              <w:contextualSpacing/>
              <w:jc w:val="center"/>
              <w:rPr>
                <w:rFonts w:ascii="Times New Roman" w:eastAsia="Calibri" w:hAnsi="Times New Roman"/>
                <w:bCs/>
                <w:highlight w:val="yellow"/>
              </w:rPr>
            </w:pPr>
            <w:r w:rsidRPr="00AC0BFD">
              <w:rPr>
                <w:rFonts w:ascii="Times New Roman" w:eastAsia="Calibri" w:hAnsi="Times New Roman"/>
                <w:bCs/>
                <w:highlight w:val="yellow"/>
              </w:rPr>
              <w:t>Cash</w:t>
            </w:r>
          </w:p>
        </w:tc>
        <w:tc>
          <w:tcPr>
            <w:tcW w:w="683" w:type="pct"/>
            <w:tcBorders>
              <w:top w:val="single" w:sz="4" w:space="0" w:color="000000"/>
              <w:left w:val="single" w:sz="4" w:space="0" w:color="000000"/>
              <w:bottom w:val="single" w:sz="4" w:space="0" w:color="000000"/>
              <w:right w:val="single" w:sz="4" w:space="0" w:color="000000"/>
            </w:tcBorders>
            <w:vAlign w:val="center"/>
          </w:tcPr>
          <w:p w14:paraId="169C3BB9" w14:textId="77777777" w:rsidR="00F038BD" w:rsidRPr="00AC0BFD" w:rsidRDefault="00F038BD" w:rsidP="00F038BD">
            <w:pPr>
              <w:spacing w:after="0" w:line="240" w:lineRule="auto"/>
              <w:jc w:val="center"/>
              <w:rPr>
                <w:rFonts w:ascii="Times New Roman" w:hAnsi="Times New Roman"/>
                <w:color w:val="000000"/>
                <w:highlight w:val="yellow"/>
              </w:rPr>
            </w:pPr>
            <w:r w:rsidRPr="00AC0BFD">
              <w:rPr>
                <w:rFonts w:ascii="Times New Roman" w:hAnsi="Times New Roman"/>
                <w:color w:val="000000"/>
                <w:highlight w:val="yellow"/>
              </w:rPr>
              <w:t>2.70</w:t>
            </w:r>
          </w:p>
        </w:tc>
      </w:tr>
      <w:tr w:rsidR="00F038BD" w:rsidRPr="00AC0BFD" w14:paraId="01D43D56" w14:textId="77777777" w:rsidTr="00716083">
        <w:trPr>
          <w:trHeight w:val="23"/>
        </w:trPr>
        <w:tc>
          <w:tcPr>
            <w:tcW w:w="560" w:type="pct"/>
            <w:vMerge/>
            <w:tcBorders>
              <w:left w:val="single" w:sz="4" w:space="0" w:color="000000"/>
              <w:right w:val="single" w:sz="4" w:space="0" w:color="000000"/>
            </w:tcBorders>
            <w:vAlign w:val="center"/>
          </w:tcPr>
          <w:p w14:paraId="195654E0" w14:textId="77777777" w:rsidR="00F038BD" w:rsidRPr="00AC0BFD" w:rsidRDefault="00F038BD" w:rsidP="00F038BD">
            <w:pPr>
              <w:autoSpaceDE w:val="0"/>
              <w:autoSpaceDN w:val="0"/>
              <w:adjustRightInd w:val="0"/>
              <w:spacing w:after="0" w:line="240" w:lineRule="auto"/>
              <w:contextualSpacing/>
              <w:jc w:val="center"/>
              <w:rPr>
                <w:rFonts w:ascii="Times New Roman" w:eastAsia="Calibri" w:hAnsi="Times New Roman"/>
                <w:bCs/>
                <w:highlight w:val="yellow"/>
              </w:rPr>
            </w:pPr>
          </w:p>
        </w:tc>
        <w:tc>
          <w:tcPr>
            <w:tcW w:w="987" w:type="pct"/>
            <w:tcBorders>
              <w:left w:val="single" w:sz="4" w:space="0" w:color="000000"/>
              <w:right w:val="single" w:sz="4" w:space="0" w:color="000000"/>
            </w:tcBorders>
            <w:vAlign w:val="center"/>
          </w:tcPr>
          <w:p w14:paraId="2002C6AF" w14:textId="77777777" w:rsidR="00F038BD" w:rsidRPr="00AC0BFD" w:rsidRDefault="00F038BD" w:rsidP="00F038BD">
            <w:pPr>
              <w:autoSpaceDE w:val="0"/>
              <w:autoSpaceDN w:val="0"/>
              <w:adjustRightInd w:val="0"/>
              <w:spacing w:after="0" w:line="240" w:lineRule="auto"/>
              <w:contextualSpacing/>
              <w:jc w:val="both"/>
              <w:rPr>
                <w:rFonts w:ascii="Times New Roman" w:eastAsia="Calibri" w:hAnsi="Times New Roman"/>
                <w:bCs/>
                <w:highlight w:val="yellow"/>
              </w:rPr>
            </w:pPr>
            <w:r w:rsidRPr="00AC0BFD">
              <w:rPr>
                <w:rFonts w:ascii="Times New Roman" w:eastAsia="Calibri" w:hAnsi="Times New Roman"/>
                <w:bCs/>
                <w:highlight w:val="yellow"/>
              </w:rPr>
              <w:t>Amit J Shah</w:t>
            </w:r>
          </w:p>
        </w:tc>
        <w:tc>
          <w:tcPr>
            <w:tcW w:w="947" w:type="pct"/>
            <w:vMerge/>
            <w:tcBorders>
              <w:left w:val="single" w:sz="4" w:space="0" w:color="000000"/>
              <w:right w:val="single" w:sz="4" w:space="0" w:color="000000"/>
            </w:tcBorders>
            <w:vAlign w:val="center"/>
          </w:tcPr>
          <w:p w14:paraId="258CDF9F" w14:textId="77777777" w:rsidR="00F038BD" w:rsidRPr="00AC0BFD" w:rsidRDefault="00F038BD" w:rsidP="00F038BD">
            <w:pPr>
              <w:autoSpaceDE w:val="0"/>
              <w:autoSpaceDN w:val="0"/>
              <w:adjustRightInd w:val="0"/>
              <w:spacing w:after="0" w:line="240" w:lineRule="auto"/>
              <w:contextualSpacing/>
              <w:jc w:val="both"/>
              <w:rPr>
                <w:rFonts w:ascii="Times New Roman" w:eastAsia="Calibri" w:hAnsi="Times New Roman"/>
                <w:bCs/>
                <w:color w:val="000000"/>
                <w:highlight w:val="yellow"/>
              </w:rPr>
            </w:pPr>
          </w:p>
        </w:tc>
        <w:tc>
          <w:tcPr>
            <w:tcW w:w="676" w:type="pct"/>
            <w:tcBorders>
              <w:top w:val="single" w:sz="4" w:space="0" w:color="000000"/>
              <w:left w:val="single" w:sz="4" w:space="0" w:color="000000"/>
              <w:bottom w:val="single" w:sz="4" w:space="0" w:color="000000"/>
              <w:right w:val="single" w:sz="4" w:space="0" w:color="000000"/>
            </w:tcBorders>
            <w:vAlign w:val="center"/>
          </w:tcPr>
          <w:p w14:paraId="286BAB82" w14:textId="77777777" w:rsidR="00F038BD" w:rsidRPr="00AC0BFD" w:rsidRDefault="00F038BD" w:rsidP="00F038BD">
            <w:pPr>
              <w:autoSpaceDE w:val="0"/>
              <w:autoSpaceDN w:val="0"/>
              <w:adjustRightInd w:val="0"/>
              <w:spacing w:after="0" w:line="240" w:lineRule="auto"/>
              <w:contextualSpacing/>
              <w:jc w:val="center"/>
              <w:rPr>
                <w:rFonts w:ascii="Times New Roman" w:eastAsia="Calibri" w:hAnsi="Times New Roman"/>
                <w:bCs/>
                <w:highlight w:val="yellow"/>
              </w:rPr>
            </w:pPr>
            <w:r w:rsidRPr="00AC0BFD">
              <w:rPr>
                <w:rFonts w:ascii="Times New Roman" w:eastAsia="Calibri" w:hAnsi="Times New Roman"/>
                <w:bCs/>
                <w:highlight w:val="yellow"/>
              </w:rPr>
              <w:t>10,000</w:t>
            </w:r>
          </w:p>
        </w:tc>
        <w:tc>
          <w:tcPr>
            <w:tcW w:w="581" w:type="pct"/>
            <w:vMerge/>
            <w:tcBorders>
              <w:left w:val="single" w:sz="4" w:space="0" w:color="000000"/>
              <w:right w:val="single" w:sz="4" w:space="0" w:color="000000"/>
            </w:tcBorders>
            <w:vAlign w:val="center"/>
          </w:tcPr>
          <w:p w14:paraId="459F5E69" w14:textId="77777777" w:rsidR="00F038BD" w:rsidRPr="00AC0BFD" w:rsidRDefault="00F038BD" w:rsidP="00F038BD">
            <w:pPr>
              <w:autoSpaceDE w:val="0"/>
              <w:autoSpaceDN w:val="0"/>
              <w:adjustRightInd w:val="0"/>
              <w:spacing w:after="0" w:line="240" w:lineRule="auto"/>
              <w:contextualSpacing/>
              <w:jc w:val="center"/>
              <w:rPr>
                <w:rFonts w:ascii="Times New Roman" w:eastAsia="Calibri" w:hAnsi="Times New Roman"/>
                <w:bCs/>
                <w:highlight w:val="yellow"/>
              </w:rPr>
            </w:pPr>
          </w:p>
        </w:tc>
        <w:tc>
          <w:tcPr>
            <w:tcW w:w="566" w:type="pct"/>
            <w:vMerge/>
            <w:tcBorders>
              <w:left w:val="single" w:sz="4" w:space="0" w:color="000000"/>
              <w:right w:val="single" w:sz="4" w:space="0" w:color="000000"/>
            </w:tcBorders>
            <w:vAlign w:val="center"/>
          </w:tcPr>
          <w:p w14:paraId="0DF5C73A" w14:textId="77777777" w:rsidR="00F038BD" w:rsidRPr="00AC0BFD" w:rsidRDefault="00F038BD" w:rsidP="00F038BD">
            <w:pPr>
              <w:autoSpaceDE w:val="0"/>
              <w:autoSpaceDN w:val="0"/>
              <w:adjustRightInd w:val="0"/>
              <w:spacing w:after="0" w:line="240" w:lineRule="auto"/>
              <w:contextualSpacing/>
              <w:jc w:val="center"/>
              <w:rPr>
                <w:rFonts w:ascii="Times New Roman" w:eastAsia="Calibri" w:hAnsi="Times New Roman"/>
                <w:bCs/>
                <w:highlight w:val="yellow"/>
              </w:rPr>
            </w:pPr>
          </w:p>
        </w:tc>
        <w:tc>
          <w:tcPr>
            <w:tcW w:w="683" w:type="pct"/>
            <w:tcBorders>
              <w:top w:val="single" w:sz="4" w:space="0" w:color="000000"/>
              <w:left w:val="single" w:sz="4" w:space="0" w:color="000000"/>
              <w:bottom w:val="single" w:sz="4" w:space="0" w:color="000000"/>
              <w:right w:val="single" w:sz="4" w:space="0" w:color="000000"/>
            </w:tcBorders>
            <w:vAlign w:val="center"/>
          </w:tcPr>
          <w:p w14:paraId="28E8B0D2" w14:textId="77777777" w:rsidR="00F038BD" w:rsidRPr="00AC0BFD" w:rsidRDefault="00F038BD" w:rsidP="00F038BD">
            <w:pPr>
              <w:spacing w:after="0" w:line="240" w:lineRule="auto"/>
              <w:jc w:val="center"/>
              <w:rPr>
                <w:rFonts w:ascii="Times New Roman" w:hAnsi="Times New Roman"/>
                <w:color w:val="000000"/>
                <w:highlight w:val="yellow"/>
              </w:rPr>
            </w:pPr>
            <w:r w:rsidRPr="00AC0BFD">
              <w:rPr>
                <w:rFonts w:ascii="Times New Roman" w:hAnsi="Times New Roman"/>
                <w:color w:val="000000"/>
                <w:highlight w:val="yellow"/>
              </w:rPr>
              <w:t>5.40</w:t>
            </w:r>
          </w:p>
        </w:tc>
      </w:tr>
      <w:tr w:rsidR="00F038BD" w:rsidRPr="00AC0BFD" w14:paraId="6ACE9CCC" w14:textId="77777777" w:rsidTr="00716083">
        <w:trPr>
          <w:trHeight w:val="23"/>
        </w:trPr>
        <w:tc>
          <w:tcPr>
            <w:tcW w:w="560" w:type="pct"/>
            <w:vMerge/>
            <w:tcBorders>
              <w:left w:val="single" w:sz="4" w:space="0" w:color="000000"/>
              <w:right w:val="single" w:sz="4" w:space="0" w:color="000000"/>
            </w:tcBorders>
            <w:vAlign w:val="center"/>
          </w:tcPr>
          <w:p w14:paraId="4641C5F0" w14:textId="77777777" w:rsidR="00F038BD" w:rsidRPr="00AC0BFD" w:rsidRDefault="00F038BD" w:rsidP="00F038BD">
            <w:pPr>
              <w:autoSpaceDE w:val="0"/>
              <w:autoSpaceDN w:val="0"/>
              <w:adjustRightInd w:val="0"/>
              <w:spacing w:after="0" w:line="240" w:lineRule="auto"/>
              <w:contextualSpacing/>
              <w:jc w:val="center"/>
              <w:rPr>
                <w:rFonts w:ascii="Times New Roman" w:eastAsia="Calibri" w:hAnsi="Times New Roman"/>
                <w:bCs/>
                <w:highlight w:val="yellow"/>
              </w:rPr>
            </w:pPr>
          </w:p>
        </w:tc>
        <w:tc>
          <w:tcPr>
            <w:tcW w:w="987" w:type="pct"/>
            <w:tcBorders>
              <w:left w:val="single" w:sz="4" w:space="0" w:color="000000"/>
              <w:right w:val="single" w:sz="4" w:space="0" w:color="000000"/>
            </w:tcBorders>
            <w:vAlign w:val="center"/>
          </w:tcPr>
          <w:p w14:paraId="64535CC8" w14:textId="77777777" w:rsidR="00F038BD" w:rsidRPr="00AC0BFD" w:rsidRDefault="00F038BD" w:rsidP="00F038BD">
            <w:pPr>
              <w:autoSpaceDE w:val="0"/>
              <w:autoSpaceDN w:val="0"/>
              <w:adjustRightInd w:val="0"/>
              <w:spacing w:after="0" w:line="240" w:lineRule="auto"/>
              <w:contextualSpacing/>
              <w:jc w:val="both"/>
              <w:rPr>
                <w:rFonts w:ascii="Times New Roman" w:eastAsia="Calibri" w:hAnsi="Times New Roman"/>
                <w:bCs/>
                <w:highlight w:val="yellow"/>
              </w:rPr>
            </w:pPr>
            <w:r w:rsidRPr="00AC0BFD">
              <w:rPr>
                <w:rFonts w:ascii="Times New Roman" w:eastAsia="Calibri" w:hAnsi="Times New Roman"/>
                <w:bCs/>
                <w:highlight w:val="yellow"/>
              </w:rPr>
              <w:t>Bhavini Dhaval Shah</w:t>
            </w:r>
          </w:p>
        </w:tc>
        <w:tc>
          <w:tcPr>
            <w:tcW w:w="947" w:type="pct"/>
            <w:vMerge/>
            <w:tcBorders>
              <w:left w:val="single" w:sz="4" w:space="0" w:color="000000"/>
              <w:right w:val="single" w:sz="4" w:space="0" w:color="000000"/>
            </w:tcBorders>
            <w:vAlign w:val="center"/>
          </w:tcPr>
          <w:p w14:paraId="6D1B5845" w14:textId="77777777" w:rsidR="00F038BD" w:rsidRPr="00AC0BFD" w:rsidRDefault="00F038BD" w:rsidP="00F038BD">
            <w:pPr>
              <w:autoSpaceDE w:val="0"/>
              <w:autoSpaceDN w:val="0"/>
              <w:adjustRightInd w:val="0"/>
              <w:spacing w:after="0" w:line="240" w:lineRule="auto"/>
              <w:contextualSpacing/>
              <w:jc w:val="both"/>
              <w:rPr>
                <w:rFonts w:ascii="Times New Roman" w:eastAsia="Calibri" w:hAnsi="Times New Roman"/>
                <w:bCs/>
                <w:color w:val="000000"/>
                <w:highlight w:val="yellow"/>
              </w:rPr>
            </w:pPr>
          </w:p>
        </w:tc>
        <w:tc>
          <w:tcPr>
            <w:tcW w:w="676" w:type="pct"/>
            <w:tcBorders>
              <w:top w:val="single" w:sz="4" w:space="0" w:color="000000"/>
              <w:left w:val="single" w:sz="4" w:space="0" w:color="000000"/>
              <w:bottom w:val="single" w:sz="4" w:space="0" w:color="000000"/>
              <w:right w:val="single" w:sz="4" w:space="0" w:color="000000"/>
            </w:tcBorders>
            <w:vAlign w:val="center"/>
          </w:tcPr>
          <w:p w14:paraId="4D163352" w14:textId="77777777" w:rsidR="00F038BD" w:rsidRPr="00AC0BFD" w:rsidRDefault="00F038BD" w:rsidP="00F038BD">
            <w:pPr>
              <w:autoSpaceDE w:val="0"/>
              <w:autoSpaceDN w:val="0"/>
              <w:adjustRightInd w:val="0"/>
              <w:spacing w:after="0" w:line="240" w:lineRule="auto"/>
              <w:contextualSpacing/>
              <w:jc w:val="center"/>
              <w:rPr>
                <w:rFonts w:ascii="Times New Roman" w:eastAsia="Calibri" w:hAnsi="Times New Roman"/>
                <w:bCs/>
                <w:highlight w:val="yellow"/>
              </w:rPr>
            </w:pPr>
            <w:r w:rsidRPr="00AC0BFD">
              <w:rPr>
                <w:rFonts w:ascii="Times New Roman" w:eastAsia="Calibri" w:hAnsi="Times New Roman"/>
                <w:bCs/>
                <w:highlight w:val="yellow"/>
              </w:rPr>
              <w:t>10,000</w:t>
            </w:r>
          </w:p>
        </w:tc>
        <w:tc>
          <w:tcPr>
            <w:tcW w:w="581" w:type="pct"/>
            <w:vMerge/>
            <w:tcBorders>
              <w:left w:val="single" w:sz="4" w:space="0" w:color="000000"/>
              <w:right w:val="single" w:sz="4" w:space="0" w:color="000000"/>
            </w:tcBorders>
            <w:vAlign w:val="center"/>
          </w:tcPr>
          <w:p w14:paraId="67BBAC20" w14:textId="77777777" w:rsidR="00F038BD" w:rsidRPr="00AC0BFD" w:rsidRDefault="00F038BD" w:rsidP="00F038BD">
            <w:pPr>
              <w:autoSpaceDE w:val="0"/>
              <w:autoSpaceDN w:val="0"/>
              <w:adjustRightInd w:val="0"/>
              <w:spacing w:after="0" w:line="240" w:lineRule="auto"/>
              <w:contextualSpacing/>
              <w:jc w:val="center"/>
              <w:rPr>
                <w:rFonts w:ascii="Times New Roman" w:eastAsia="Calibri" w:hAnsi="Times New Roman"/>
                <w:bCs/>
                <w:highlight w:val="yellow"/>
              </w:rPr>
            </w:pPr>
          </w:p>
        </w:tc>
        <w:tc>
          <w:tcPr>
            <w:tcW w:w="566" w:type="pct"/>
            <w:vMerge/>
            <w:tcBorders>
              <w:left w:val="single" w:sz="4" w:space="0" w:color="000000"/>
              <w:right w:val="single" w:sz="4" w:space="0" w:color="000000"/>
            </w:tcBorders>
            <w:vAlign w:val="center"/>
          </w:tcPr>
          <w:p w14:paraId="25C73193" w14:textId="77777777" w:rsidR="00F038BD" w:rsidRPr="00AC0BFD" w:rsidRDefault="00F038BD" w:rsidP="00F038BD">
            <w:pPr>
              <w:autoSpaceDE w:val="0"/>
              <w:autoSpaceDN w:val="0"/>
              <w:adjustRightInd w:val="0"/>
              <w:spacing w:after="0" w:line="240" w:lineRule="auto"/>
              <w:contextualSpacing/>
              <w:jc w:val="center"/>
              <w:rPr>
                <w:rFonts w:ascii="Times New Roman" w:eastAsia="Calibri" w:hAnsi="Times New Roman"/>
                <w:bCs/>
                <w:highlight w:val="yellow"/>
              </w:rPr>
            </w:pPr>
          </w:p>
        </w:tc>
        <w:tc>
          <w:tcPr>
            <w:tcW w:w="683" w:type="pct"/>
            <w:tcBorders>
              <w:top w:val="single" w:sz="4" w:space="0" w:color="000000"/>
              <w:left w:val="single" w:sz="4" w:space="0" w:color="000000"/>
              <w:bottom w:val="single" w:sz="4" w:space="0" w:color="000000"/>
              <w:right w:val="single" w:sz="4" w:space="0" w:color="000000"/>
            </w:tcBorders>
            <w:vAlign w:val="center"/>
          </w:tcPr>
          <w:p w14:paraId="65C5A818" w14:textId="77777777" w:rsidR="00F038BD" w:rsidRPr="00AC0BFD" w:rsidRDefault="00F038BD" w:rsidP="00F038BD">
            <w:pPr>
              <w:spacing w:after="0" w:line="240" w:lineRule="auto"/>
              <w:jc w:val="center"/>
              <w:rPr>
                <w:rFonts w:ascii="Times New Roman" w:hAnsi="Times New Roman"/>
                <w:color w:val="000000"/>
                <w:highlight w:val="yellow"/>
              </w:rPr>
            </w:pPr>
            <w:r w:rsidRPr="00AC0BFD">
              <w:rPr>
                <w:rFonts w:ascii="Times New Roman" w:hAnsi="Times New Roman"/>
                <w:color w:val="000000"/>
                <w:highlight w:val="yellow"/>
              </w:rPr>
              <w:t>2.70</w:t>
            </w:r>
          </w:p>
        </w:tc>
      </w:tr>
      <w:tr w:rsidR="00F038BD" w:rsidRPr="00AC0BFD" w14:paraId="36F07A1F" w14:textId="77777777" w:rsidTr="00716083">
        <w:trPr>
          <w:trHeight w:val="23"/>
        </w:trPr>
        <w:tc>
          <w:tcPr>
            <w:tcW w:w="560" w:type="pct"/>
            <w:vMerge/>
            <w:tcBorders>
              <w:left w:val="single" w:sz="4" w:space="0" w:color="000000"/>
              <w:right w:val="single" w:sz="4" w:space="0" w:color="000000"/>
            </w:tcBorders>
            <w:vAlign w:val="center"/>
          </w:tcPr>
          <w:p w14:paraId="13623686" w14:textId="77777777" w:rsidR="00F038BD" w:rsidRPr="00AC0BFD" w:rsidRDefault="00F038BD" w:rsidP="00F038BD">
            <w:pPr>
              <w:autoSpaceDE w:val="0"/>
              <w:autoSpaceDN w:val="0"/>
              <w:adjustRightInd w:val="0"/>
              <w:spacing w:after="0" w:line="240" w:lineRule="auto"/>
              <w:contextualSpacing/>
              <w:jc w:val="center"/>
              <w:rPr>
                <w:rFonts w:ascii="Times New Roman" w:eastAsia="Calibri" w:hAnsi="Times New Roman"/>
                <w:bCs/>
                <w:highlight w:val="yellow"/>
              </w:rPr>
            </w:pPr>
          </w:p>
        </w:tc>
        <w:tc>
          <w:tcPr>
            <w:tcW w:w="987" w:type="pct"/>
            <w:tcBorders>
              <w:left w:val="single" w:sz="4" w:space="0" w:color="000000"/>
              <w:right w:val="single" w:sz="4" w:space="0" w:color="000000"/>
            </w:tcBorders>
            <w:vAlign w:val="center"/>
          </w:tcPr>
          <w:p w14:paraId="39D26243" w14:textId="77777777" w:rsidR="00F038BD" w:rsidRPr="00AC0BFD" w:rsidRDefault="00F038BD" w:rsidP="00F038BD">
            <w:pPr>
              <w:autoSpaceDE w:val="0"/>
              <w:autoSpaceDN w:val="0"/>
              <w:adjustRightInd w:val="0"/>
              <w:spacing w:after="0" w:line="240" w:lineRule="auto"/>
              <w:contextualSpacing/>
              <w:jc w:val="both"/>
              <w:rPr>
                <w:rFonts w:ascii="Times New Roman" w:eastAsia="Calibri" w:hAnsi="Times New Roman"/>
                <w:bCs/>
                <w:highlight w:val="yellow"/>
              </w:rPr>
            </w:pPr>
            <w:r w:rsidRPr="00AC0BFD">
              <w:rPr>
                <w:rFonts w:ascii="Times New Roman" w:eastAsia="Calibri" w:hAnsi="Times New Roman"/>
                <w:bCs/>
                <w:highlight w:val="yellow"/>
              </w:rPr>
              <w:t>Jayaben J Shah</w:t>
            </w:r>
          </w:p>
        </w:tc>
        <w:tc>
          <w:tcPr>
            <w:tcW w:w="947" w:type="pct"/>
            <w:vMerge/>
            <w:tcBorders>
              <w:left w:val="single" w:sz="4" w:space="0" w:color="000000"/>
              <w:right w:val="single" w:sz="4" w:space="0" w:color="000000"/>
            </w:tcBorders>
            <w:vAlign w:val="center"/>
          </w:tcPr>
          <w:p w14:paraId="571064ED" w14:textId="77777777" w:rsidR="00F038BD" w:rsidRPr="00AC0BFD" w:rsidRDefault="00F038BD" w:rsidP="00F038BD">
            <w:pPr>
              <w:autoSpaceDE w:val="0"/>
              <w:autoSpaceDN w:val="0"/>
              <w:adjustRightInd w:val="0"/>
              <w:spacing w:after="0" w:line="240" w:lineRule="auto"/>
              <w:contextualSpacing/>
              <w:jc w:val="both"/>
              <w:rPr>
                <w:rFonts w:ascii="Times New Roman" w:eastAsia="Calibri" w:hAnsi="Times New Roman"/>
                <w:bCs/>
                <w:color w:val="000000"/>
                <w:highlight w:val="yellow"/>
              </w:rPr>
            </w:pPr>
          </w:p>
        </w:tc>
        <w:tc>
          <w:tcPr>
            <w:tcW w:w="676" w:type="pct"/>
            <w:tcBorders>
              <w:top w:val="single" w:sz="4" w:space="0" w:color="000000"/>
              <w:left w:val="single" w:sz="4" w:space="0" w:color="000000"/>
              <w:bottom w:val="single" w:sz="4" w:space="0" w:color="000000"/>
              <w:right w:val="single" w:sz="4" w:space="0" w:color="000000"/>
            </w:tcBorders>
            <w:vAlign w:val="center"/>
          </w:tcPr>
          <w:p w14:paraId="2AFCC7F8" w14:textId="77777777" w:rsidR="00F038BD" w:rsidRPr="00AC0BFD" w:rsidRDefault="00F038BD" w:rsidP="00F038BD">
            <w:pPr>
              <w:autoSpaceDE w:val="0"/>
              <w:autoSpaceDN w:val="0"/>
              <w:adjustRightInd w:val="0"/>
              <w:spacing w:after="0" w:line="240" w:lineRule="auto"/>
              <w:contextualSpacing/>
              <w:jc w:val="center"/>
              <w:rPr>
                <w:rFonts w:ascii="Times New Roman" w:eastAsia="Calibri" w:hAnsi="Times New Roman"/>
                <w:bCs/>
                <w:highlight w:val="yellow"/>
              </w:rPr>
            </w:pPr>
            <w:r w:rsidRPr="00AC0BFD">
              <w:rPr>
                <w:rFonts w:ascii="Times New Roman" w:eastAsia="Calibri" w:hAnsi="Times New Roman"/>
                <w:bCs/>
                <w:highlight w:val="yellow"/>
              </w:rPr>
              <w:t>10,000</w:t>
            </w:r>
          </w:p>
        </w:tc>
        <w:tc>
          <w:tcPr>
            <w:tcW w:w="581" w:type="pct"/>
            <w:vMerge/>
            <w:tcBorders>
              <w:left w:val="single" w:sz="4" w:space="0" w:color="000000"/>
              <w:right w:val="single" w:sz="4" w:space="0" w:color="000000"/>
            </w:tcBorders>
            <w:vAlign w:val="center"/>
          </w:tcPr>
          <w:p w14:paraId="3E902FD7" w14:textId="77777777" w:rsidR="00F038BD" w:rsidRPr="00AC0BFD" w:rsidRDefault="00F038BD" w:rsidP="00F038BD">
            <w:pPr>
              <w:autoSpaceDE w:val="0"/>
              <w:autoSpaceDN w:val="0"/>
              <w:adjustRightInd w:val="0"/>
              <w:spacing w:after="0" w:line="240" w:lineRule="auto"/>
              <w:contextualSpacing/>
              <w:jc w:val="center"/>
              <w:rPr>
                <w:rFonts w:ascii="Times New Roman" w:eastAsia="Calibri" w:hAnsi="Times New Roman"/>
                <w:bCs/>
                <w:highlight w:val="yellow"/>
              </w:rPr>
            </w:pPr>
          </w:p>
        </w:tc>
        <w:tc>
          <w:tcPr>
            <w:tcW w:w="566" w:type="pct"/>
            <w:vMerge/>
            <w:tcBorders>
              <w:left w:val="single" w:sz="4" w:space="0" w:color="000000"/>
              <w:right w:val="single" w:sz="4" w:space="0" w:color="000000"/>
            </w:tcBorders>
            <w:vAlign w:val="center"/>
          </w:tcPr>
          <w:p w14:paraId="3C880E2B" w14:textId="77777777" w:rsidR="00F038BD" w:rsidRPr="00AC0BFD" w:rsidRDefault="00F038BD" w:rsidP="00F038BD">
            <w:pPr>
              <w:autoSpaceDE w:val="0"/>
              <w:autoSpaceDN w:val="0"/>
              <w:adjustRightInd w:val="0"/>
              <w:spacing w:after="0" w:line="240" w:lineRule="auto"/>
              <w:contextualSpacing/>
              <w:jc w:val="center"/>
              <w:rPr>
                <w:rFonts w:ascii="Times New Roman" w:eastAsia="Calibri" w:hAnsi="Times New Roman"/>
                <w:bCs/>
                <w:highlight w:val="yellow"/>
              </w:rPr>
            </w:pPr>
          </w:p>
        </w:tc>
        <w:tc>
          <w:tcPr>
            <w:tcW w:w="683" w:type="pct"/>
            <w:tcBorders>
              <w:top w:val="single" w:sz="4" w:space="0" w:color="000000"/>
              <w:left w:val="single" w:sz="4" w:space="0" w:color="000000"/>
              <w:bottom w:val="single" w:sz="4" w:space="0" w:color="000000"/>
              <w:right w:val="single" w:sz="4" w:space="0" w:color="000000"/>
            </w:tcBorders>
            <w:vAlign w:val="center"/>
          </w:tcPr>
          <w:p w14:paraId="4A9450E7" w14:textId="77777777" w:rsidR="00F038BD" w:rsidRPr="00AC0BFD" w:rsidRDefault="00F038BD" w:rsidP="00F038BD">
            <w:pPr>
              <w:spacing w:after="0" w:line="240" w:lineRule="auto"/>
              <w:jc w:val="center"/>
              <w:rPr>
                <w:rFonts w:ascii="Times New Roman" w:hAnsi="Times New Roman"/>
                <w:color w:val="000000"/>
                <w:highlight w:val="yellow"/>
              </w:rPr>
            </w:pPr>
            <w:r w:rsidRPr="00AC0BFD">
              <w:rPr>
                <w:rFonts w:ascii="Times New Roman" w:hAnsi="Times New Roman"/>
                <w:color w:val="000000"/>
                <w:highlight w:val="yellow"/>
              </w:rPr>
              <w:t>2.70</w:t>
            </w:r>
          </w:p>
        </w:tc>
      </w:tr>
      <w:tr w:rsidR="00F038BD" w:rsidRPr="00AC0BFD" w14:paraId="4F8EC66E" w14:textId="77777777" w:rsidTr="00716083">
        <w:trPr>
          <w:trHeight w:val="23"/>
        </w:trPr>
        <w:tc>
          <w:tcPr>
            <w:tcW w:w="560" w:type="pct"/>
            <w:vMerge/>
            <w:tcBorders>
              <w:left w:val="single" w:sz="4" w:space="0" w:color="000000"/>
              <w:right w:val="single" w:sz="4" w:space="0" w:color="000000"/>
            </w:tcBorders>
            <w:vAlign w:val="center"/>
          </w:tcPr>
          <w:p w14:paraId="4289C6B0" w14:textId="77777777" w:rsidR="00F038BD" w:rsidRPr="00AC0BFD" w:rsidRDefault="00F038BD" w:rsidP="00F038BD">
            <w:pPr>
              <w:autoSpaceDE w:val="0"/>
              <w:autoSpaceDN w:val="0"/>
              <w:adjustRightInd w:val="0"/>
              <w:spacing w:after="0" w:line="240" w:lineRule="auto"/>
              <w:contextualSpacing/>
              <w:jc w:val="center"/>
              <w:rPr>
                <w:rFonts w:ascii="Times New Roman" w:eastAsia="Calibri" w:hAnsi="Times New Roman"/>
                <w:bCs/>
                <w:highlight w:val="yellow"/>
              </w:rPr>
            </w:pPr>
          </w:p>
        </w:tc>
        <w:tc>
          <w:tcPr>
            <w:tcW w:w="987" w:type="pct"/>
            <w:tcBorders>
              <w:left w:val="single" w:sz="4" w:space="0" w:color="000000"/>
              <w:bottom w:val="single" w:sz="4" w:space="0" w:color="000000"/>
              <w:right w:val="single" w:sz="4" w:space="0" w:color="000000"/>
            </w:tcBorders>
            <w:vAlign w:val="center"/>
          </w:tcPr>
          <w:p w14:paraId="3A981618" w14:textId="77777777" w:rsidR="00F038BD" w:rsidRPr="00AC0BFD" w:rsidRDefault="00F038BD" w:rsidP="00F038BD">
            <w:pPr>
              <w:autoSpaceDE w:val="0"/>
              <w:autoSpaceDN w:val="0"/>
              <w:adjustRightInd w:val="0"/>
              <w:spacing w:after="0" w:line="240" w:lineRule="auto"/>
              <w:contextualSpacing/>
              <w:jc w:val="both"/>
              <w:rPr>
                <w:rFonts w:ascii="Times New Roman" w:eastAsia="Calibri" w:hAnsi="Times New Roman"/>
                <w:bCs/>
                <w:highlight w:val="yellow"/>
              </w:rPr>
            </w:pPr>
            <w:r w:rsidRPr="00AC0BFD">
              <w:rPr>
                <w:rFonts w:ascii="Times New Roman" w:eastAsia="Calibri" w:hAnsi="Times New Roman"/>
                <w:bCs/>
                <w:highlight w:val="yellow"/>
              </w:rPr>
              <w:t>Jinesh F Shah</w:t>
            </w:r>
          </w:p>
        </w:tc>
        <w:tc>
          <w:tcPr>
            <w:tcW w:w="947" w:type="pct"/>
            <w:vMerge/>
            <w:tcBorders>
              <w:left w:val="single" w:sz="4" w:space="0" w:color="000000"/>
              <w:bottom w:val="single" w:sz="4" w:space="0" w:color="000000"/>
              <w:right w:val="single" w:sz="4" w:space="0" w:color="000000"/>
            </w:tcBorders>
            <w:vAlign w:val="center"/>
          </w:tcPr>
          <w:p w14:paraId="77946D7C" w14:textId="77777777" w:rsidR="00F038BD" w:rsidRPr="00AC0BFD" w:rsidRDefault="00F038BD" w:rsidP="00F038BD">
            <w:pPr>
              <w:autoSpaceDE w:val="0"/>
              <w:autoSpaceDN w:val="0"/>
              <w:adjustRightInd w:val="0"/>
              <w:spacing w:after="0" w:line="240" w:lineRule="auto"/>
              <w:contextualSpacing/>
              <w:jc w:val="both"/>
              <w:rPr>
                <w:rFonts w:ascii="Times New Roman" w:eastAsia="Calibri" w:hAnsi="Times New Roman"/>
                <w:bCs/>
                <w:color w:val="000000"/>
                <w:highlight w:val="yellow"/>
              </w:rPr>
            </w:pPr>
          </w:p>
        </w:tc>
        <w:tc>
          <w:tcPr>
            <w:tcW w:w="676" w:type="pct"/>
            <w:tcBorders>
              <w:top w:val="single" w:sz="4" w:space="0" w:color="000000"/>
              <w:left w:val="single" w:sz="4" w:space="0" w:color="000000"/>
              <w:bottom w:val="single" w:sz="4" w:space="0" w:color="000000"/>
              <w:right w:val="single" w:sz="4" w:space="0" w:color="000000"/>
            </w:tcBorders>
            <w:vAlign w:val="center"/>
          </w:tcPr>
          <w:p w14:paraId="143914ED" w14:textId="77777777" w:rsidR="00F038BD" w:rsidRPr="00AC0BFD" w:rsidRDefault="00F038BD" w:rsidP="00F038BD">
            <w:pPr>
              <w:autoSpaceDE w:val="0"/>
              <w:autoSpaceDN w:val="0"/>
              <w:adjustRightInd w:val="0"/>
              <w:spacing w:after="0" w:line="240" w:lineRule="auto"/>
              <w:contextualSpacing/>
              <w:jc w:val="center"/>
              <w:rPr>
                <w:rFonts w:ascii="Times New Roman" w:eastAsia="Calibri" w:hAnsi="Times New Roman"/>
                <w:bCs/>
                <w:highlight w:val="yellow"/>
              </w:rPr>
            </w:pPr>
            <w:r w:rsidRPr="00AC0BFD">
              <w:rPr>
                <w:rFonts w:ascii="Times New Roman" w:eastAsia="Calibri" w:hAnsi="Times New Roman"/>
                <w:bCs/>
                <w:highlight w:val="yellow"/>
              </w:rPr>
              <w:t>10,000</w:t>
            </w:r>
          </w:p>
        </w:tc>
        <w:tc>
          <w:tcPr>
            <w:tcW w:w="581" w:type="pct"/>
            <w:vMerge/>
            <w:tcBorders>
              <w:left w:val="single" w:sz="4" w:space="0" w:color="000000"/>
              <w:bottom w:val="single" w:sz="4" w:space="0" w:color="000000"/>
              <w:right w:val="single" w:sz="4" w:space="0" w:color="000000"/>
            </w:tcBorders>
            <w:vAlign w:val="center"/>
          </w:tcPr>
          <w:p w14:paraId="6CE48AB5" w14:textId="77777777" w:rsidR="00F038BD" w:rsidRPr="00AC0BFD" w:rsidRDefault="00F038BD" w:rsidP="00F038BD">
            <w:pPr>
              <w:autoSpaceDE w:val="0"/>
              <w:autoSpaceDN w:val="0"/>
              <w:adjustRightInd w:val="0"/>
              <w:spacing w:after="0" w:line="240" w:lineRule="auto"/>
              <w:contextualSpacing/>
              <w:jc w:val="center"/>
              <w:rPr>
                <w:rFonts w:ascii="Times New Roman" w:eastAsia="Calibri" w:hAnsi="Times New Roman"/>
                <w:bCs/>
                <w:highlight w:val="yellow"/>
              </w:rPr>
            </w:pPr>
          </w:p>
        </w:tc>
        <w:tc>
          <w:tcPr>
            <w:tcW w:w="566" w:type="pct"/>
            <w:vMerge/>
            <w:tcBorders>
              <w:left w:val="single" w:sz="4" w:space="0" w:color="000000"/>
              <w:bottom w:val="single" w:sz="4" w:space="0" w:color="000000"/>
              <w:right w:val="single" w:sz="4" w:space="0" w:color="000000"/>
            </w:tcBorders>
            <w:vAlign w:val="center"/>
          </w:tcPr>
          <w:p w14:paraId="16AA2DF4" w14:textId="77777777" w:rsidR="00F038BD" w:rsidRPr="00AC0BFD" w:rsidRDefault="00F038BD" w:rsidP="00F038BD">
            <w:pPr>
              <w:autoSpaceDE w:val="0"/>
              <w:autoSpaceDN w:val="0"/>
              <w:adjustRightInd w:val="0"/>
              <w:spacing w:after="0" w:line="240" w:lineRule="auto"/>
              <w:contextualSpacing/>
              <w:jc w:val="center"/>
              <w:rPr>
                <w:rFonts w:ascii="Times New Roman" w:eastAsia="Calibri" w:hAnsi="Times New Roman"/>
                <w:bCs/>
                <w:highlight w:val="yellow"/>
              </w:rPr>
            </w:pPr>
          </w:p>
        </w:tc>
        <w:tc>
          <w:tcPr>
            <w:tcW w:w="683" w:type="pct"/>
            <w:tcBorders>
              <w:top w:val="single" w:sz="4" w:space="0" w:color="000000"/>
              <w:left w:val="single" w:sz="4" w:space="0" w:color="000000"/>
              <w:bottom w:val="single" w:sz="4" w:space="0" w:color="000000"/>
              <w:right w:val="single" w:sz="4" w:space="0" w:color="000000"/>
            </w:tcBorders>
            <w:vAlign w:val="center"/>
          </w:tcPr>
          <w:p w14:paraId="19B1A835" w14:textId="77777777" w:rsidR="00F038BD" w:rsidRPr="00AC0BFD" w:rsidRDefault="00F038BD" w:rsidP="00F038BD">
            <w:pPr>
              <w:spacing w:after="0" w:line="240" w:lineRule="auto"/>
              <w:jc w:val="center"/>
              <w:rPr>
                <w:rFonts w:ascii="Times New Roman" w:hAnsi="Times New Roman"/>
                <w:color w:val="000000"/>
                <w:highlight w:val="yellow"/>
              </w:rPr>
            </w:pPr>
            <w:r w:rsidRPr="00AC0BFD">
              <w:rPr>
                <w:rFonts w:ascii="Times New Roman" w:hAnsi="Times New Roman"/>
                <w:color w:val="000000"/>
                <w:highlight w:val="yellow"/>
              </w:rPr>
              <w:t>2.70</w:t>
            </w:r>
          </w:p>
        </w:tc>
      </w:tr>
    </w:tbl>
    <w:p w14:paraId="335F473F" w14:textId="77777777" w:rsidR="00F038BD" w:rsidRPr="00AC0BFD" w:rsidRDefault="00F038BD" w:rsidP="00F038BD">
      <w:pPr>
        <w:spacing w:after="0" w:line="240" w:lineRule="auto"/>
        <w:ind w:left="720"/>
        <w:contextualSpacing/>
        <w:jc w:val="both"/>
        <w:rPr>
          <w:rFonts w:ascii="Times New Roman" w:eastAsia="Calibri" w:hAnsi="Times New Roman"/>
          <w:bCs/>
          <w:sz w:val="20"/>
          <w:szCs w:val="20"/>
          <w:highlight w:val="yellow"/>
        </w:rPr>
      </w:pPr>
    </w:p>
    <w:p w14:paraId="693D1B31" w14:textId="77777777" w:rsidR="00F038BD" w:rsidRPr="00AC0BFD" w:rsidRDefault="00F038BD" w:rsidP="00F038BD">
      <w:pPr>
        <w:spacing w:after="0" w:line="240" w:lineRule="auto"/>
        <w:rPr>
          <w:rFonts w:ascii="Times New Roman" w:hAnsi="Times New Roman"/>
          <w:color w:val="000000"/>
          <w:sz w:val="20"/>
          <w:szCs w:val="20"/>
          <w:highlight w:val="yellow"/>
        </w:rPr>
      </w:pPr>
      <w:r w:rsidRPr="00AC0BFD">
        <w:rPr>
          <w:rFonts w:ascii="Times New Roman" w:hAnsi="Times New Roman"/>
          <w:color w:val="000000"/>
          <w:sz w:val="20"/>
          <w:szCs w:val="20"/>
          <w:highlight w:val="yellow"/>
        </w:rPr>
        <w:t>Weighted average cost of acquisition &amp; Issue price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97"/>
        <w:gridCol w:w="3243"/>
        <w:gridCol w:w="1259"/>
        <w:gridCol w:w="1257"/>
      </w:tblGrid>
      <w:tr w:rsidR="00F038BD" w:rsidRPr="00AC0BFD" w14:paraId="4A72BE5F" w14:textId="77777777" w:rsidTr="00716083">
        <w:trPr>
          <w:trHeight w:val="20"/>
          <w:tblHeader/>
        </w:trPr>
        <w:tc>
          <w:tcPr>
            <w:tcW w:w="2246" w:type="pct"/>
            <w:shd w:val="clear" w:color="auto" w:fill="D0CECE"/>
            <w:tcMar>
              <w:top w:w="0" w:type="dxa"/>
              <w:left w:w="108" w:type="dxa"/>
              <w:bottom w:w="0" w:type="dxa"/>
              <w:right w:w="108" w:type="dxa"/>
            </w:tcMar>
            <w:vAlign w:val="center"/>
            <w:hideMark/>
          </w:tcPr>
          <w:p w14:paraId="684928CD" w14:textId="77777777" w:rsidR="00F038BD" w:rsidRPr="00AC0BFD" w:rsidRDefault="00F038BD" w:rsidP="00F038BD">
            <w:pPr>
              <w:spacing w:before="100" w:beforeAutospacing="1" w:after="0" w:line="240" w:lineRule="auto"/>
              <w:rPr>
                <w:rFonts w:ascii="Times New Roman" w:hAnsi="Times New Roman"/>
                <w:sz w:val="20"/>
                <w:szCs w:val="20"/>
                <w:highlight w:val="yellow"/>
                <w:lang w:val="en-IN"/>
              </w:rPr>
            </w:pPr>
            <w:r w:rsidRPr="00AC0BFD">
              <w:rPr>
                <w:rFonts w:ascii="Times New Roman" w:hAnsi="Times New Roman"/>
                <w:color w:val="000000"/>
                <w:sz w:val="20"/>
                <w:szCs w:val="20"/>
                <w:highlight w:val="yellow"/>
              </w:rPr>
              <w:t> </w:t>
            </w:r>
            <w:r w:rsidRPr="00AC0BFD">
              <w:rPr>
                <w:rFonts w:ascii="Times New Roman" w:hAnsi="Times New Roman"/>
                <w:b/>
                <w:bCs/>
                <w:sz w:val="20"/>
                <w:szCs w:val="20"/>
                <w:highlight w:val="yellow"/>
                <w:lang w:val="en-IN"/>
              </w:rPr>
              <w:t>Types of transactions</w:t>
            </w:r>
          </w:p>
        </w:tc>
        <w:tc>
          <w:tcPr>
            <w:tcW w:w="1551" w:type="pct"/>
            <w:shd w:val="clear" w:color="auto" w:fill="D0CECE"/>
            <w:tcMar>
              <w:top w:w="0" w:type="dxa"/>
              <w:left w:w="108" w:type="dxa"/>
              <w:bottom w:w="0" w:type="dxa"/>
              <w:right w:w="108" w:type="dxa"/>
            </w:tcMar>
            <w:vAlign w:val="center"/>
            <w:hideMark/>
          </w:tcPr>
          <w:p w14:paraId="59AF1FEE" w14:textId="77777777" w:rsidR="00F038BD" w:rsidRPr="00AC0BFD" w:rsidRDefault="00F038BD" w:rsidP="00F038BD">
            <w:pPr>
              <w:spacing w:after="0" w:line="240" w:lineRule="auto"/>
              <w:jc w:val="center"/>
              <w:rPr>
                <w:rFonts w:ascii="Times New Roman" w:hAnsi="Times New Roman"/>
                <w:b/>
                <w:bCs/>
                <w:sz w:val="20"/>
                <w:szCs w:val="20"/>
                <w:highlight w:val="yellow"/>
                <w:lang w:val="en-IN"/>
              </w:rPr>
            </w:pPr>
            <w:r w:rsidRPr="00AC0BFD">
              <w:rPr>
                <w:rFonts w:ascii="Times New Roman" w:hAnsi="Times New Roman"/>
                <w:b/>
                <w:bCs/>
                <w:sz w:val="20"/>
                <w:szCs w:val="20"/>
                <w:highlight w:val="yellow"/>
                <w:lang w:val="en-IN"/>
              </w:rPr>
              <w:t>Weighted average cost of acquisition (₹ per Equity Shares)</w:t>
            </w:r>
          </w:p>
        </w:tc>
        <w:tc>
          <w:tcPr>
            <w:tcW w:w="602" w:type="pct"/>
            <w:shd w:val="clear" w:color="auto" w:fill="D0CECE"/>
            <w:vAlign w:val="center"/>
          </w:tcPr>
          <w:p w14:paraId="2E68D709" w14:textId="77777777" w:rsidR="00F038BD" w:rsidRPr="00AC0BFD" w:rsidRDefault="00F038BD" w:rsidP="00F038BD">
            <w:pPr>
              <w:spacing w:before="100" w:beforeAutospacing="1" w:after="0" w:line="240" w:lineRule="auto"/>
              <w:jc w:val="center"/>
              <w:rPr>
                <w:rFonts w:ascii="Times New Roman" w:hAnsi="Times New Roman"/>
                <w:b/>
                <w:bCs/>
                <w:sz w:val="20"/>
                <w:szCs w:val="20"/>
                <w:highlight w:val="yellow"/>
                <w:lang w:val="en-IN"/>
              </w:rPr>
            </w:pPr>
            <w:r w:rsidRPr="00AC0BFD">
              <w:rPr>
                <w:rFonts w:ascii="Times New Roman" w:hAnsi="Times New Roman"/>
                <w:b/>
                <w:bCs/>
                <w:sz w:val="20"/>
                <w:szCs w:val="20"/>
                <w:highlight w:val="yellow"/>
                <w:lang w:val="en-IN"/>
              </w:rPr>
              <w:t>Floor Price* (i.e. ₹ [●])</w:t>
            </w:r>
          </w:p>
        </w:tc>
        <w:tc>
          <w:tcPr>
            <w:tcW w:w="601" w:type="pct"/>
            <w:shd w:val="clear" w:color="auto" w:fill="D0CECE"/>
            <w:tcMar>
              <w:top w:w="0" w:type="dxa"/>
              <w:left w:w="108" w:type="dxa"/>
              <w:bottom w:w="0" w:type="dxa"/>
              <w:right w:w="108" w:type="dxa"/>
            </w:tcMar>
            <w:vAlign w:val="center"/>
            <w:hideMark/>
          </w:tcPr>
          <w:p w14:paraId="070E4B7D" w14:textId="77777777" w:rsidR="00F038BD" w:rsidRPr="00AC0BFD" w:rsidRDefault="00F038BD" w:rsidP="00F038BD">
            <w:pPr>
              <w:spacing w:before="100" w:beforeAutospacing="1" w:after="0" w:line="240" w:lineRule="auto"/>
              <w:jc w:val="center"/>
              <w:rPr>
                <w:rFonts w:ascii="Times New Roman" w:hAnsi="Times New Roman"/>
                <w:sz w:val="20"/>
                <w:szCs w:val="20"/>
                <w:highlight w:val="yellow"/>
                <w:lang w:val="en-IN"/>
              </w:rPr>
            </w:pPr>
            <w:r w:rsidRPr="00AC0BFD">
              <w:rPr>
                <w:rFonts w:ascii="Times New Roman" w:hAnsi="Times New Roman"/>
                <w:b/>
                <w:bCs/>
                <w:sz w:val="20"/>
                <w:szCs w:val="20"/>
                <w:highlight w:val="yellow"/>
                <w:lang w:val="en-IN"/>
              </w:rPr>
              <w:t>Issue price* (i.e. ₹ [●])</w:t>
            </w:r>
          </w:p>
        </w:tc>
      </w:tr>
      <w:tr w:rsidR="00F038BD" w:rsidRPr="00AC0BFD" w14:paraId="0C652394" w14:textId="77777777" w:rsidTr="00716083">
        <w:trPr>
          <w:trHeight w:val="20"/>
        </w:trPr>
        <w:tc>
          <w:tcPr>
            <w:tcW w:w="2246" w:type="pct"/>
            <w:tcMar>
              <w:top w:w="0" w:type="dxa"/>
              <w:left w:w="108" w:type="dxa"/>
              <w:bottom w:w="0" w:type="dxa"/>
              <w:right w:w="108" w:type="dxa"/>
            </w:tcMar>
            <w:vAlign w:val="center"/>
            <w:hideMark/>
          </w:tcPr>
          <w:p w14:paraId="2EFE12B0" w14:textId="77777777" w:rsidR="00F038BD" w:rsidRPr="00AC0BFD" w:rsidRDefault="00F038BD" w:rsidP="00F038BD">
            <w:pPr>
              <w:spacing w:before="100" w:beforeAutospacing="1" w:after="0" w:line="240" w:lineRule="auto"/>
              <w:rPr>
                <w:rFonts w:ascii="Times New Roman" w:hAnsi="Times New Roman"/>
                <w:sz w:val="20"/>
                <w:szCs w:val="20"/>
                <w:highlight w:val="yellow"/>
                <w:lang w:val="en-IN"/>
              </w:rPr>
            </w:pPr>
            <w:r w:rsidRPr="00AC0BFD">
              <w:rPr>
                <w:rFonts w:ascii="Times New Roman" w:hAnsi="Times New Roman"/>
                <w:sz w:val="20"/>
                <w:szCs w:val="20"/>
                <w:highlight w:val="yellow"/>
                <w:lang w:val="en-IN"/>
              </w:rPr>
              <w:t>Weighted average cost of acquisition of primary / new issue as per paragraph 8(a) above.</w:t>
            </w:r>
          </w:p>
        </w:tc>
        <w:tc>
          <w:tcPr>
            <w:tcW w:w="1551" w:type="pct"/>
            <w:tcMar>
              <w:top w:w="0" w:type="dxa"/>
              <w:left w:w="108" w:type="dxa"/>
              <w:bottom w:w="0" w:type="dxa"/>
              <w:right w:w="108" w:type="dxa"/>
            </w:tcMar>
            <w:vAlign w:val="center"/>
            <w:hideMark/>
          </w:tcPr>
          <w:p w14:paraId="641FAB0C" w14:textId="77777777" w:rsidR="00F038BD" w:rsidRPr="00AC0BFD" w:rsidRDefault="00F038BD" w:rsidP="00F038BD">
            <w:pPr>
              <w:spacing w:before="100" w:beforeAutospacing="1" w:after="0" w:line="240" w:lineRule="auto"/>
              <w:jc w:val="center"/>
              <w:rPr>
                <w:rFonts w:ascii="Times New Roman" w:hAnsi="Times New Roman"/>
                <w:sz w:val="20"/>
                <w:szCs w:val="20"/>
                <w:highlight w:val="yellow"/>
                <w:lang w:val="en-IN"/>
              </w:rPr>
            </w:pPr>
            <w:r w:rsidRPr="00AC0BFD">
              <w:rPr>
                <w:rFonts w:ascii="Times New Roman" w:hAnsi="Times New Roman"/>
                <w:sz w:val="20"/>
                <w:szCs w:val="20"/>
                <w:highlight w:val="yellow"/>
                <w:lang w:val="en-IN"/>
              </w:rPr>
              <w:t>NA^</w:t>
            </w:r>
          </w:p>
        </w:tc>
        <w:tc>
          <w:tcPr>
            <w:tcW w:w="602" w:type="pct"/>
            <w:vAlign w:val="center"/>
          </w:tcPr>
          <w:p w14:paraId="2DF1E5A5" w14:textId="77777777" w:rsidR="00F038BD" w:rsidRPr="00AC0BFD" w:rsidRDefault="00F038BD" w:rsidP="00F038BD">
            <w:pPr>
              <w:spacing w:before="100" w:beforeAutospacing="1" w:after="0" w:line="240" w:lineRule="auto"/>
              <w:jc w:val="center"/>
              <w:rPr>
                <w:rFonts w:ascii="Times New Roman" w:hAnsi="Times New Roman"/>
                <w:sz w:val="20"/>
                <w:szCs w:val="20"/>
                <w:highlight w:val="yellow"/>
                <w:lang w:val="en-IN"/>
              </w:rPr>
            </w:pPr>
            <w:r w:rsidRPr="00AC0BFD">
              <w:rPr>
                <w:rFonts w:ascii="Times New Roman" w:hAnsi="Times New Roman"/>
                <w:sz w:val="20"/>
                <w:szCs w:val="20"/>
                <w:highlight w:val="yellow"/>
                <w:lang w:val="en-IN"/>
              </w:rPr>
              <w:t>NA^</w:t>
            </w:r>
          </w:p>
        </w:tc>
        <w:tc>
          <w:tcPr>
            <w:tcW w:w="601" w:type="pct"/>
            <w:tcMar>
              <w:top w:w="0" w:type="dxa"/>
              <w:left w:w="108" w:type="dxa"/>
              <w:bottom w:w="0" w:type="dxa"/>
              <w:right w:w="108" w:type="dxa"/>
            </w:tcMar>
            <w:vAlign w:val="center"/>
            <w:hideMark/>
          </w:tcPr>
          <w:p w14:paraId="3403AF34" w14:textId="77777777" w:rsidR="00F038BD" w:rsidRPr="00AC0BFD" w:rsidRDefault="00F038BD" w:rsidP="00F038BD">
            <w:pPr>
              <w:spacing w:before="100" w:beforeAutospacing="1" w:after="0" w:line="240" w:lineRule="auto"/>
              <w:jc w:val="center"/>
              <w:rPr>
                <w:rFonts w:ascii="Times New Roman" w:hAnsi="Times New Roman"/>
                <w:sz w:val="20"/>
                <w:szCs w:val="20"/>
                <w:highlight w:val="yellow"/>
                <w:lang w:val="en-IN"/>
              </w:rPr>
            </w:pPr>
            <w:r w:rsidRPr="00AC0BFD">
              <w:rPr>
                <w:rFonts w:ascii="Times New Roman" w:hAnsi="Times New Roman"/>
                <w:sz w:val="20"/>
                <w:szCs w:val="20"/>
                <w:highlight w:val="yellow"/>
                <w:lang w:val="en-IN"/>
              </w:rPr>
              <w:t>NA^</w:t>
            </w:r>
          </w:p>
        </w:tc>
      </w:tr>
      <w:tr w:rsidR="00F038BD" w:rsidRPr="00AC0BFD" w14:paraId="74A3934A" w14:textId="77777777" w:rsidTr="00716083">
        <w:trPr>
          <w:trHeight w:val="20"/>
        </w:trPr>
        <w:tc>
          <w:tcPr>
            <w:tcW w:w="2246" w:type="pct"/>
            <w:tcMar>
              <w:top w:w="0" w:type="dxa"/>
              <w:left w:w="108" w:type="dxa"/>
              <w:bottom w:w="0" w:type="dxa"/>
              <w:right w:w="108" w:type="dxa"/>
            </w:tcMar>
            <w:vAlign w:val="center"/>
            <w:hideMark/>
          </w:tcPr>
          <w:p w14:paraId="1F129565" w14:textId="77777777" w:rsidR="00F038BD" w:rsidRPr="00AC0BFD" w:rsidRDefault="00F038BD" w:rsidP="00F038BD">
            <w:pPr>
              <w:spacing w:before="100" w:beforeAutospacing="1" w:after="0" w:line="240" w:lineRule="auto"/>
              <w:rPr>
                <w:rFonts w:ascii="Times New Roman" w:hAnsi="Times New Roman"/>
                <w:sz w:val="20"/>
                <w:szCs w:val="20"/>
                <w:highlight w:val="yellow"/>
                <w:lang w:val="en-IN"/>
              </w:rPr>
            </w:pPr>
            <w:r w:rsidRPr="00AC0BFD">
              <w:rPr>
                <w:rFonts w:ascii="Times New Roman" w:hAnsi="Times New Roman"/>
                <w:sz w:val="20"/>
                <w:szCs w:val="20"/>
                <w:highlight w:val="yellow"/>
                <w:lang w:val="en-IN"/>
              </w:rPr>
              <w:lastRenderedPageBreak/>
              <w:t>Weighted average cost of acquisition for secondary sale / acquisition as per paragraph 8(b) above.</w:t>
            </w:r>
          </w:p>
        </w:tc>
        <w:tc>
          <w:tcPr>
            <w:tcW w:w="1551" w:type="pct"/>
            <w:tcMar>
              <w:top w:w="0" w:type="dxa"/>
              <w:left w:w="108" w:type="dxa"/>
              <w:bottom w:w="0" w:type="dxa"/>
              <w:right w:w="108" w:type="dxa"/>
            </w:tcMar>
            <w:vAlign w:val="center"/>
            <w:hideMark/>
          </w:tcPr>
          <w:p w14:paraId="26FA191D" w14:textId="77777777" w:rsidR="00F038BD" w:rsidRPr="00AC0BFD" w:rsidRDefault="00F038BD" w:rsidP="00F038BD">
            <w:pPr>
              <w:spacing w:before="100" w:beforeAutospacing="1" w:after="0" w:line="240" w:lineRule="auto"/>
              <w:jc w:val="center"/>
              <w:rPr>
                <w:rFonts w:ascii="Times New Roman" w:hAnsi="Times New Roman"/>
                <w:sz w:val="20"/>
                <w:szCs w:val="20"/>
                <w:highlight w:val="yellow"/>
                <w:lang w:val="en-IN"/>
              </w:rPr>
            </w:pPr>
            <w:r w:rsidRPr="00AC0BFD">
              <w:rPr>
                <w:rFonts w:ascii="Times New Roman" w:hAnsi="Times New Roman"/>
                <w:sz w:val="20"/>
                <w:szCs w:val="20"/>
                <w:highlight w:val="yellow"/>
                <w:lang w:val="en-IN"/>
              </w:rPr>
              <w:t>27.00</w:t>
            </w:r>
          </w:p>
        </w:tc>
        <w:tc>
          <w:tcPr>
            <w:tcW w:w="602" w:type="pct"/>
            <w:vAlign w:val="center"/>
          </w:tcPr>
          <w:p w14:paraId="63A223B5" w14:textId="77777777" w:rsidR="00F038BD" w:rsidRPr="00AC0BFD" w:rsidRDefault="00F038BD" w:rsidP="00F038BD">
            <w:pPr>
              <w:spacing w:before="100" w:beforeAutospacing="1" w:after="0" w:line="240" w:lineRule="auto"/>
              <w:jc w:val="center"/>
              <w:rPr>
                <w:rFonts w:ascii="Times New Roman" w:hAnsi="Times New Roman"/>
                <w:b/>
                <w:bCs/>
                <w:sz w:val="20"/>
                <w:szCs w:val="20"/>
                <w:highlight w:val="yellow"/>
                <w:lang w:val="en-IN"/>
              </w:rPr>
            </w:pPr>
            <w:r w:rsidRPr="00AC0BFD">
              <w:rPr>
                <w:rFonts w:ascii="Times New Roman" w:hAnsi="Times New Roman"/>
                <w:b/>
                <w:bCs/>
                <w:sz w:val="20"/>
                <w:szCs w:val="20"/>
                <w:highlight w:val="yellow"/>
                <w:lang w:val="en-IN"/>
              </w:rPr>
              <w:t>[●]</w:t>
            </w:r>
            <w:r w:rsidRPr="00AC0BFD">
              <w:rPr>
                <w:rFonts w:ascii="Times New Roman" w:hAnsi="Times New Roman"/>
                <w:sz w:val="20"/>
                <w:szCs w:val="20"/>
                <w:highlight w:val="yellow"/>
                <w:lang w:val="en-IN"/>
              </w:rPr>
              <w:t> times</w:t>
            </w:r>
          </w:p>
        </w:tc>
        <w:tc>
          <w:tcPr>
            <w:tcW w:w="601" w:type="pct"/>
            <w:tcMar>
              <w:top w:w="0" w:type="dxa"/>
              <w:left w:w="108" w:type="dxa"/>
              <w:bottom w:w="0" w:type="dxa"/>
              <w:right w:w="108" w:type="dxa"/>
            </w:tcMar>
            <w:vAlign w:val="center"/>
            <w:hideMark/>
          </w:tcPr>
          <w:p w14:paraId="5E40BD1B" w14:textId="77777777" w:rsidR="00F038BD" w:rsidRPr="00AC0BFD" w:rsidRDefault="00F038BD" w:rsidP="00F038BD">
            <w:pPr>
              <w:spacing w:before="100" w:beforeAutospacing="1" w:after="0" w:line="240" w:lineRule="auto"/>
              <w:jc w:val="center"/>
              <w:rPr>
                <w:rFonts w:ascii="Times New Roman" w:hAnsi="Times New Roman"/>
                <w:sz w:val="20"/>
                <w:szCs w:val="20"/>
                <w:highlight w:val="yellow"/>
                <w:lang w:val="en-IN"/>
              </w:rPr>
            </w:pPr>
            <w:r w:rsidRPr="00AC0BFD">
              <w:rPr>
                <w:rFonts w:ascii="Times New Roman" w:hAnsi="Times New Roman"/>
                <w:b/>
                <w:bCs/>
                <w:sz w:val="20"/>
                <w:szCs w:val="20"/>
                <w:highlight w:val="yellow"/>
                <w:lang w:val="en-IN"/>
              </w:rPr>
              <w:t>[●]</w:t>
            </w:r>
            <w:r w:rsidRPr="00AC0BFD">
              <w:rPr>
                <w:rFonts w:ascii="Times New Roman" w:hAnsi="Times New Roman"/>
                <w:sz w:val="20"/>
                <w:szCs w:val="20"/>
                <w:highlight w:val="yellow"/>
                <w:lang w:val="en-IN"/>
              </w:rPr>
              <w:t> times</w:t>
            </w:r>
          </w:p>
        </w:tc>
      </w:tr>
    </w:tbl>
    <w:p w14:paraId="42567FF5" w14:textId="77777777" w:rsidR="00F038BD" w:rsidRPr="00AC0BFD" w:rsidRDefault="00F038BD" w:rsidP="00F038BD">
      <w:pPr>
        <w:spacing w:after="0" w:line="240" w:lineRule="auto"/>
        <w:rPr>
          <w:rFonts w:ascii="Times New Roman" w:hAnsi="Times New Roman"/>
          <w:color w:val="222222"/>
          <w:sz w:val="20"/>
          <w:szCs w:val="20"/>
          <w:highlight w:val="yellow"/>
        </w:rPr>
      </w:pPr>
      <w:r w:rsidRPr="00AC0BFD">
        <w:rPr>
          <w:rFonts w:ascii="Times New Roman" w:hAnsi="Times New Roman"/>
          <w:i/>
          <w:iCs/>
          <w:color w:val="222222"/>
          <w:sz w:val="20"/>
          <w:szCs w:val="20"/>
          <w:highlight w:val="yellow"/>
        </w:rPr>
        <w:t>Note:</w:t>
      </w:r>
    </w:p>
    <w:p w14:paraId="0B77C06F" w14:textId="77777777" w:rsidR="00F038BD" w:rsidRPr="00AC0BFD" w:rsidRDefault="00F038BD" w:rsidP="00F038BD">
      <w:pPr>
        <w:spacing w:after="0" w:line="240" w:lineRule="auto"/>
        <w:jc w:val="both"/>
        <w:rPr>
          <w:rFonts w:ascii="Times New Roman" w:hAnsi="Times New Roman"/>
          <w:i/>
          <w:iCs/>
          <w:color w:val="222222"/>
          <w:sz w:val="20"/>
          <w:szCs w:val="20"/>
          <w:highlight w:val="yellow"/>
        </w:rPr>
      </w:pPr>
      <w:r w:rsidRPr="00AC0BFD">
        <w:rPr>
          <w:rFonts w:ascii="Times New Roman" w:hAnsi="Times New Roman"/>
          <w:i/>
          <w:iCs/>
          <w:color w:val="222222"/>
          <w:sz w:val="20"/>
          <w:szCs w:val="20"/>
          <w:highlight w:val="yellow"/>
        </w:rPr>
        <w:t>^There were no primary/ new issue of shares (equity/ convertible securities) as mentioned in paragraph 8(a) above, in last 18 months from the date of this Draft Red Herring Prospectus.</w:t>
      </w:r>
    </w:p>
    <w:p w14:paraId="0C1E216B" w14:textId="77777777" w:rsidR="00F038BD" w:rsidRPr="00F038BD" w:rsidRDefault="00F038BD" w:rsidP="00F038BD">
      <w:pPr>
        <w:spacing w:after="0" w:line="240" w:lineRule="auto"/>
        <w:jc w:val="both"/>
        <w:rPr>
          <w:rFonts w:ascii="Times New Roman" w:hAnsi="Times New Roman"/>
          <w:i/>
          <w:iCs/>
          <w:color w:val="222222"/>
          <w:sz w:val="20"/>
          <w:szCs w:val="20"/>
        </w:rPr>
      </w:pPr>
      <w:r w:rsidRPr="00AC0BFD">
        <w:rPr>
          <w:rFonts w:ascii="Times New Roman" w:hAnsi="Times New Roman"/>
          <w:i/>
          <w:iCs/>
          <w:color w:val="222222"/>
          <w:sz w:val="20"/>
          <w:szCs w:val="20"/>
          <w:highlight w:val="yellow"/>
        </w:rPr>
        <w:t>* To be updated at Prospectus stage.</w:t>
      </w:r>
    </w:p>
    <w:p w14:paraId="7AF4B719" w14:textId="77777777" w:rsidR="00F038BD" w:rsidRPr="00F038BD" w:rsidRDefault="00F038BD" w:rsidP="00F038BD">
      <w:pPr>
        <w:spacing w:after="0" w:line="240" w:lineRule="auto"/>
        <w:jc w:val="both"/>
        <w:rPr>
          <w:rFonts w:ascii="Times New Roman" w:hAnsi="Times New Roman"/>
          <w:bCs/>
          <w:sz w:val="20"/>
          <w:szCs w:val="20"/>
        </w:rPr>
      </w:pPr>
    </w:p>
    <w:p w14:paraId="192120E3" w14:textId="2F007316" w:rsidR="00F038BD" w:rsidRPr="00F038BD" w:rsidRDefault="00F038BD" w:rsidP="00F038BD">
      <w:pPr>
        <w:spacing w:after="0" w:line="240" w:lineRule="auto"/>
        <w:jc w:val="both"/>
        <w:rPr>
          <w:rFonts w:ascii="Times New Roman" w:hAnsi="Times New Roman"/>
          <w:bCs/>
          <w:iCs/>
          <w:sz w:val="20"/>
          <w:szCs w:val="20"/>
          <w:lang w:bidi="en-US"/>
        </w:rPr>
      </w:pPr>
      <w:r w:rsidRPr="00F038BD">
        <w:rPr>
          <w:rFonts w:ascii="Times New Roman" w:hAnsi="Times New Roman"/>
          <w:bCs/>
          <w:iCs/>
          <w:sz w:val="20"/>
          <w:szCs w:val="20"/>
          <w:lang w:bidi="en-US"/>
        </w:rPr>
        <w:t xml:space="preserve">This is a Book Built Issue and the price band for the same shall be published 2 working days before opening of the Issue in all editions of the </w:t>
      </w:r>
      <w:r w:rsidR="00D83D95" w:rsidRPr="00D83D95">
        <w:rPr>
          <w:rFonts w:ascii="Times New Roman" w:hAnsi="Times New Roman"/>
          <w:bCs/>
          <w:sz w:val="20"/>
          <w:szCs w:val="20"/>
          <w:lang w:bidi="en-US"/>
        </w:rPr>
        <w:t>English national daily newspaper and all editions of [●], a Hindi national daily newspaper and Jamnagar edition of [●], a regional newspaper each with wide circulation</w:t>
      </w:r>
      <w:r w:rsidR="00D83D95">
        <w:rPr>
          <w:rFonts w:ascii="Times New Roman" w:hAnsi="Times New Roman"/>
          <w:bCs/>
          <w:sz w:val="20"/>
          <w:szCs w:val="20"/>
          <w:lang w:bidi="en-US"/>
        </w:rPr>
        <w:t xml:space="preserve"> </w:t>
      </w:r>
      <w:r w:rsidR="005B4BD3" w:rsidRPr="00712F3C">
        <w:rPr>
          <w:rFonts w:ascii="Times New Roman" w:hAnsi="Times New Roman"/>
          <w:bCs/>
          <w:color w:val="000000"/>
          <w:sz w:val="20"/>
          <w:szCs w:val="20"/>
        </w:rPr>
        <w:t>w</w:t>
      </w:r>
      <w:r w:rsidR="005B4BD3" w:rsidRPr="00712F3C">
        <w:rPr>
          <w:rFonts w:ascii="Times New Roman" w:hAnsi="Times New Roman"/>
          <w:bCs/>
          <w:sz w:val="20"/>
          <w:szCs w:val="20"/>
          <w:lang w:bidi="en-US"/>
        </w:rPr>
        <w:t>here the registered office of the company is situated</w:t>
      </w:r>
      <w:r w:rsidRPr="00F038BD">
        <w:rPr>
          <w:rFonts w:ascii="Times New Roman" w:hAnsi="Times New Roman"/>
          <w:bCs/>
          <w:iCs/>
          <w:sz w:val="20"/>
          <w:szCs w:val="20"/>
          <w:lang w:bidi="en-US"/>
        </w:rPr>
        <w:t xml:space="preserve">.  </w:t>
      </w:r>
    </w:p>
    <w:p w14:paraId="26F76009" w14:textId="77777777" w:rsidR="00F038BD" w:rsidRPr="00F038BD" w:rsidRDefault="00F038BD" w:rsidP="00F038BD">
      <w:pPr>
        <w:spacing w:after="0" w:line="240" w:lineRule="auto"/>
        <w:jc w:val="both"/>
        <w:rPr>
          <w:rFonts w:ascii="Times New Roman" w:hAnsi="Times New Roman"/>
          <w:bCs/>
          <w:iCs/>
          <w:sz w:val="20"/>
          <w:szCs w:val="20"/>
          <w:lang w:bidi="en-US"/>
        </w:rPr>
      </w:pPr>
    </w:p>
    <w:p w14:paraId="489E66C9" w14:textId="7B2BFC41" w:rsidR="007524F6" w:rsidRDefault="00F038BD" w:rsidP="00CB2D76">
      <w:pPr>
        <w:spacing w:after="160" w:line="259" w:lineRule="auto"/>
        <w:jc w:val="both"/>
        <w:rPr>
          <w:rFonts w:ascii="Times New Roman" w:hAnsi="Times New Roman"/>
          <w:b/>
          <w:bCs/>
          <w:u w:val="single"/>
        </w:rPr>
      </w:pPr>
      <w:r w:rsidRPr="00F038BD">
        <w:rPr>
          <w:rFonts w:ascii="Times New Roman" w:hAnsi="Times New Roman"/>
          <w:bCs/>
          <w:iCs/>
          <w:sz w:val="20"/>
          <w:szCs w:val="20"/>
          <w:lang w:bidi="en-US"/>
        </w:rPr>
        <w:t xml:space="preserve">The Price Band/ Floor Price/ Issue Price shall be determined by our Company in consultation with the BRLM and will be justified by us in consultation with the BRLM on the basis of the above information. Investors should read the above-mentioned information along with </w:t>
      </w:r>
      <w:r w:rsidRPr="00F038BD">
        <w:rPr>
          <w:rFonts w:ascii="Times New Roman" w:hAnsi="Times New Roman"/>
          <w:b/>
          <w:bCs/>
          <w:i/>
          <w:iCs/>
          <w:sz w:val="20"/>
          <w:szCs w:val="20"/>
          <w:lang w:bidi="en-US"/>
        </w:rPr>
        <w:t>“Our Business”, “Risk Factors” and “Restated Financial Statements”</w:t>
      </w:r>
      <w:r w:rsidRPr="00F038BD">
        <w:rPr>
          <w:rFonts w:ascii="Times New Roman" w:hAnsi="Times New Roman"/>
          <w:bCs/>
          <w:iCs/>
          <w:sz w:val="20"/>
          <w:szCs w:val="20"/>
          <w:lang w:bidi="en-US"/>
        </w:rPr>
        <w:t xml:space="preserve"> on pages </w:t>
      </w:r>
      <w:r w:rsidRPr="00F038BD">
        <w:rPr>
          <w:rFonts w:ascii="Times New Roman" w:hAnsi="Times New Roman"/>
          <w:bCs/>
          <w:sz w:val="20"/>
          <w:szCs w:val="20"/>
        </w:rPr>
        <w:t>91</w:t>
      </w:r>
      <w:r w:rsidRPr="00F038BD">
        <w:rPr>
          <w:rFonts w:ascii="Times New Roman" w:hAnsi="Times New Roman"/>
          <w:bCs/>
          <w:iCs/>
          <w:sz w:val="20"/>
          <w:szCs w:val="20"/>
        </w:rPr>
        <w:t>, 25</w:t>
      </w:r>
      <w:r w:rsidRPr="00F038BD">
        <w:rPr>
          <w:rFonts w:ascii="Times New Roman" w:hAnsi="Times New Roman"/>
          <w:bCs/>
          <w:iCs/>
          <w:sz w:val="20"/>
          <w:szCs w:val="20"/>
          <w:lang w:bidi="en-US"/>
        </w:rPr>
        <w:t xml:space="preserve"> and 130 respectively, to have a more informed view. The trading price of the Equity Shares of our Company could decline due to the factors mentioned in </w:t>
      </w:r>
      <w:r w:rsidRPr="00F038BD">
        <w:rPr>
          <w:rFonts w:ascii="Times New Roman" w:hAnsi="Times New Roman"/>
          <w:b/>
          <w:bCs/>
          <w:iCs/>
          <w:sz w:val="20"/>
          <w:szCs w:val="20"/>
          <w:lang w:bidi="en-US"/>
        </w:rPr>
        <w:t>“Risk Factors”</w:t>
      </w:r>
      <w:r w:rsidRPr="00F038BD">
        <w:rPr>
          <w:rFonts w:ascii="Times New Roman" w:hAnsi="Times New Roman"/>
          <w:bCs/>
          <w:iCs/>
          <w:sz w:val="20"/>
          <w:szCs w:val="20"/>
          <w:lang w:bidi="en-US"/>
        </w:rPr>
        <w:t xml:space="preserve"> or any other factors that may arise in the future and you may lose all or part of your investments</w:t>
      </w:r>
      <w:r w:rsidR="007524F6">
        <w:rPr>
          <w:rFonts w:ascii="Times New Roman" w:hAnsi="Times New Roman"/>
          <w:b/>
          <w:bCs/>
          <w:u w:val="single"/>
        </w:rPr>
        <w:br w:type="page"/>
      </w:r>
    </w:p>
    <w:p w14:paraId="3D9EAD0F" w14:textId="3EE78372" w:rsidR="00940A99" w:rsidRPr="00361E52" w:rsidRDefault="007524F6" w:rsidP="007524F6">
      <w:pPr>
        <w:spacing w:after="0" w:line="240" w:lineRule="auto"/>
        <w:jc w:val="center"/>
        <w:rPr>
          <w:rFonts w:ascii="Times New Roman" w:hAnsi="Times New Roman"/>
          <w:b/>
          <w:bCs/>
          <w:sz w:val="20"/>
          <w:szCs w:val="20"/>
          <w:u w:val="single"/>
        </w:rPr>
      </w:pPr>
      <w:r w:rsidRPr="00361E52">
        <w:rPr>
          <w:rFonts w:ascii="Times New Roman" w:hAnsi="Times New Roman"/>
          <w:b/>
          <w:bCs/>
          <w:sz w:val="20"/>
          <w:szCs w:val="20"/>
          <w:u w:val="single"/>
        </w:rPr>
        <w:lastRenderedPageBreak/>
        <w:t>STATEMENT OF POSSIBLE TAX BENEFITS</w:t>
      </w:r>
    </w:p>
    <w:p w14:paraId="4B3E33AC" w14:textId="77777777" w:rsidR="007524F6" w:rsidRDefault="007524F6" w:rsidP="007524F6">
      <w:pPr>
        <w:spacing w:after="0" w:line="240" w:lineRule="auto"/>
        <w:jc w:val="center"/>
        <w:rPr>
          <w:rFonts w:ascii="Times New Roman" w:hAnsi="Times New Roman"/>
          <w:b/>
          <w:bCs/>
          <w:u w:val="single"/>
        </w:rPr>
      </w:pPr>
    </w:p>
    <w:p w14:paraId="20A0E5DD" w14:textId="77777777" w:rsidR="007524F6" w:rsidRPr="007524F6" w:rsidRDefault="007524F6" w:rsidP="007524F6">
      <w:pPr>
        <w:spacing w:after="0" w:line="240" w:lineRule="auto"/>
        <w:rPr>
          <w:rFonts w:ascii="Times New Roman" w:hAnsi="Times New Roman"/>
          <w:sz w:val="20"/>
          <w:szCs w:val="20"/>
        </w:rPr>
      </w:pPr>
      <w:r w:rsidRPr="007524F6">
        <w:rPr>
          <w:rFonts w:ascii="Times New Roman" w:hAnsi="Times New Roman"/>
          <w:sz w:val="20"/>
          <w:szCs w:val="20"/>
        </w:rPr>
        <w:t>To,</w:t>
      </w:r>
    </w:p>
    <w:p w14:paraId="0E4775D4" w14:textId="77777777" w:rsidR="007524F6" w:rsidRPr="007524F6" w:rsidRDefault="007524F6" w:rsidP="007524F6">
      <w:pPr>
        <w:spacing w:after="0" w:line="240" w:lineRule="auto"/>
        <w:rPr>
          <w:rFonts w:ascii="Times New Roman" w:hAnsi="Times New Roman"/>
          <w:sz w:val="20"/>
          <w:szCs w:val="20"/>
        </w:rPr>
      </w:pPr>
      <w:r w:rsidRPr="007524F6">
        <w:rPr>
          <w:rFonts w:ascii="Times New Roman" w:hAnsi="Times New Roman"/>
          <w:sz w:val="20"/>
          <w:szCs w:val="20"/>
        </w:rPr>
        <w:t>The Board of Directors</w:t>
      </w:r>
    </w:p>
    <w:p w14:paraId="66800182" w14:textId="77777777" w:rsidR="007524F6" w:rsidRPr="007524F6" w:rsidRDefault="007524F6" w:rsidP="007524F6">
      <w:pPr>
        <w:spacing w:after="0" w:line="240" w:lineRule="auto"/>
        <w:rPr>
          <w:rFonts w:ascii="Times New Roman" w:hAnsi="Times New Roman"/>
          <w:b/>
          <w:bCs/>
          <w:sz w:val="20"/>
          <w:szCs w:val="20"/>
        </w:rPr>
      </w:pPr>
      <w:r w:rsidRPr="007524F6">
        <w:rPr>
          <w:rFonts w:ascii="Times New Roman" w:hAnsi="Times New Roman"/>
          <w:b/>
          <w:bCs/>
          <w:sz w:val="20"/>
          <w:szCs w:val="20"/>
        </w:rPr>
        <w:t>Siyaram Recycling Industries Limited</w:t>
      </w:r>
    </w:p>
    <w:p w14:paraId="57C6BA9B" w14:textId="77777777" w:rsidR="007524F6" w:rsidRPr="007524F6" w:rsidRDefault="007524F6" w:rsidP="007524F6">
      <w:pPr>
        <w:spacing w:after="0" w:line="240" w:lineRule="auto"/>
        <w:rPr>
          <w:rFonts w:ascii="Times New Roman" w:hAnsi="Times New Roman"/>
          <w:b/>
          <w:bCs/>
          <w:sz w:val="20"/>
          <w:szCs w:val="20"/>
        </w:rPr>
      </w:pPr>
      <w:r w:rsidRPr="007524F6">
        <w:rPr>
          <w:rFonts w:ascii="Times New Roman" w:hAnsi="Times New Roman"/>
          <w:b/>
          <w:bCs/>
          <w:sz w:val="20"/>
          <w:szCs w:val="20"/>
        </w:rPr>
        <w:t>(Erstwhile Known as Siyaram Impex Private Limited)</w:t>
      </w:r>
    </w:p>
    <w:p w14:paraId="7DF1B91A" w14:textId="77777777" w:rsidR="007524F6" w:rsidRPr="007524F6" w:rsidRDefault="007524F6" w:rsidP="007524F6">
      <w:pPr>
        <w:spacing w:after="0" w:line="240" w:lineRule="auto"/>
        <w:rPr>
          <w:rFonts w:ascii="Times New Roman" w:hAnsi="Times New Roman"/>
          <w:sz w:val="20"/>
          <w:szCs w:val="20"/>
        </w:rPr>
      </w:pPr>
      <w:r w:rsidRPr="007524F6">
        <w:rPr>
          <w:rFonts w:ascii="Times New Roman" w:hAnsi="Times New Roman"/>
          <w:sz w:val="20"/>
          <w:szCs w:val="20"/>
        </w:rPr>
        <w:t xml:space="preserve">PLOT NO. 6 &amp; 7, Village: Lakhabaval </w:t>
      </w:r>
    </w:p>
    <w:p w14:paraId="3D5710C2" w14:textId="77777777" w:rsidR="007524F6" w:rsidRPr="007524F6" w:rsidRDefault="007524F6" w:rsidP="007524F6">
      <w:pPr>
        <w:spacing w:after="0" w:line="240" w:lineRule="auto"/>
        <w:rPr>
          <w:rFonts w:ascii="Times New Roman" w:hAnsi="Times New Roman"/>
          <w:sz w:val="20"/>
          <w:szCs w:val="20"/>
        </w:rPr>
      </w:pPr>
      <w:r w:rsidRPr="007524F6">
        <w:rPr>
          <w:rFonts w:ascii="Times New Roman" w:hAnsi="Times New Roman"/>
          <w:sz w:val="20"/>
          <w:szCs w:val="20"/>
        </w:rPr>
        <w:t>Post: Khodiyar Colony, Jamnagar, Gujarat - 361006</w:t>
      </w:r>
    </w:p>
    <w:p w14:paraId="502AB51F" w14:textId="77777777" w:rsidR="007524F6" w:rsidRPr="007524F6" w:rsidRDefault="007524F6" w:rsidP="007524F6">
      <w:pPr>
        <w:spacing w:after="0" w:line="240" w:lineRule="auto"/>
        <w:rPr>
          <w:rFonts w:ascii="Times New Roman" w:hAnsi="Times New Roman"/>
          <w:sz w:val="20"/>
          <w:szCs w:val="20"/>
        </w:rPr>
      </w:pPr>
    </w:p>
    <w:p w14:paraId="11734D84" w14:textId="77777777" w:rsidR="007524F6" w:rsidRPr="007524F6" w:rsidRDefault="007524F6" w:rsidP="007524F6">
      <w:pPr>
        <w:spacing w:after="0" w:line="240" w:lineRule="auto"/>
        <w:rPr>
          <w:rFonts w:ascii="Times New Roman" w:hAnsi="Times New Roman"/>
          <w:sz w:val="20"/>
          <w:szCs w:val="20"/>
        </w:rPr>
      </w:pPr>
      <w:r w:rsidRPr="007524F6">
        <w:rPr>
          <w:rFonts w:ascii="Times New Roman" w:hAnsi="Times New Roman"/>
          <w:sz w:val="20"/>
          <w:szCs w:val="20"/>
        </w:rPr>
        <w:t>Dear Sir,</w:t>
      </w:r>
    </w:p>
    <w:p w14:paraId="0F717FF9" w14:textId="77777777" w:rsidR="007524F6" w:rsidRPr="007524F6" w:rsidRDefault="007524F6" w:rsidP="007524F6">
      <w:pPr>
        <w:spacing w:after="0" w:line="240" w:lineRule="auto"/>
        <w:rPr>
          <w:rFonts w:ascii="Times New Roman" w:hAnsi="Times New Roman"/>
          <w:sz w:val="20"/>
          <w:szCs w:val="20"/>
        </w:rPr>
      </w:pPr>
    </w:p>
    <w:p w14:paraId="10471DB8" w14:textId="77777777" w:rsidR="007524F6" w:rsidRPr="007524F6" w:rsidRDefault="007524F6" w:rsidP="007524F6">
      <w:pPr>
        <w:spacing w:after="0" w:line="240" w:lineRule="auto"/>
        <w:jc w:val="both"/>
        <w:rPr>
          <w:rFonts w:ascii="Times New Roman" w:hAnsi="Times New Roman"/>
          <w:b/>
          <w:bCs/>
          <w:sz w:val="20"/>
          <w:szCs w:val="20"/>
        </w:rPr>
      </w:pPr>
      <w:r w:rsidRPr="007524F6">
        <w:rPr>
          <w:rFonts w:ascii="Times New Roman" w:hAnsi="Times New Roman"/>
          <w:b/>
          <w:bCs/>
          <w:sz w:val="20"/>
          <w:szCs w:val="20"/>
        </w:rPr>
        <w:t>Sub: Statement of Tax Benefits (‘The Statement’) available to Siyaram Recycling Industries Limited (Erstwhile Known As Siyaram Impex Private Limited) (“The Company”) and its shareholders under the Direct and Indirect Tax Laws in India</w:t>
      </w:r>
    </w:p>
    <w:p w14:paraId="134BE068" w14:textId="77777777" w:rsidR="007524F6" w:rsidRPr="007524F6" w:rsidRDefault="007524F6" w:rsidP="007524F6">
      <w:pPr>
        <w:spacing w:after="0" w:line="240" w:lineRule="auto"/>
        <w:jc w:val="both"/>
        <w:rPr>
          <w:rFonts w:ascii="Times New Roman" w:hAnsi="Times New Roman"/>
          <w:sz w:val="20"/>
          <w:szCs w:val="20"/>
        </w:rPr>
      </w:pPr>
    </w:p>
    <w:p w14:paraId="60ECB0F9" w14:textId="77777777" w:rsidR="007524F6" w:rsidRPr="007524F6" w:rsidRDefault="007524F6" w:rsidP="007524F6">
      <w:pPr>
        <w:spacing w:after="0" w:line="240" w:lineRule="auto"/>
        <w:jc w:val="both"/>
        <w:rPr>
          <w:rFonts w:ascii="Times New Roman" w:hAnsi="Times New Roman"/>
          <w:sz w:val="20"/>
          <w:szCs w:val="20"/>
        </w:rPr>
      </w:pPr>
      <w:r w:rsidRPr="007524F6">
        <w:rPr>
          <w:rFonts w:ascii="Times New Roman" w:hAnsi="Times New Roman"/>
          <w:sz w:val="20"/>
          <w:szCs w:val="20"/>
        </w:rPr>
        <w:t xml:space="preserve">We hereby report that the enclosed annexure prepared by the management of </w:t>
      </w:r>
      <w:r w:rsidRPr="007524F6">
        <w:rPr>
          <w:rFonts w:ascii="Times New Roman" w:hAnsi="Times New Roman"/>
          <w:b/>
          <w:bCs/>
          <w:sz w:val="20"/>
          <w:szCs w:val="20"/>
        </w:rPr>
        <w:t>Siyaram Recycling Industries Limited (Erstwhile Known As Siyaram Impex Private Limited),</w:t>
      </w:r>
      <w:r w:rsidRPr="007524F6">
        <w:rPr>
          <w:rFonts w:ascii="Times New Roman" w:hAnsi="Times New Roman"/>
          <w:sz w:val="20"/>
          <w:szCs w:val="20"/>
        </w:rPr>
        <w:t xml:space="preserve"> states the special tax benefits available to the Company and the shareholders of the Company under the Income-Tax Act, 1961, the Central Goods and Services Tax Act, 2017, the Integrated Goods and Services Tax Act, 2017, the Union Territory Goods and Services Tax Act, 2017, respective State Goods and Services Tax Act, 2017 (collectively the “GST Act”) presently in force in India. Several of these benefits are dependent on the Company or its shareholders fulfilling the conditions prescribed under the relevant provisions of the Act. Hence, the ability of the Company or its shareholders to derive the tax benefits is dependent upon fulfilling such conditions which, based on business imperatives which the Company may face in the future, the Company may or may not choose to fulfill.</w:t>
      </w:r>
    </w:p>
    <w:p w14:paraId="734E2D53" w14:textId="77777777" w:rsidR="007524F6" w:rsidRPr="007524F6" w:rsidRDefault="007524F6" w:rsidP="007524F6">
      <w:pPr>
        <w:spacing w:after="0" w:line="240" w:lineRule="auto"/>
        <w:jc w:val="both"/>
        <w:rPr>
          <w:rFonts w:ascii="Times New Roman" w:hAnsi="Times New Roman"/>
          <w:sz w:val="20"/>
          <w:szCs w:val="20"/>
        </w:rPr>
      </w:pPr>
    </w:p>
    <w:p w14:paraId="192DC66F" w14:textId="77777777" w:rsidR="007524F6" w:rsidRPr="007524F6" w:rsidRDefault="007524F6" w:rsidP="007524F6">
      <w:pPr>
        <w:spacing w:after="0" w:line="240" w:lineRule="auto"/>
        <w:jc w:val="both"/>
        <w:rPr>
          <w:rFonts w:ascii="Times New Roman" w:hAnsi="Times New Roman"/>
          <w:sz w:val="20"/>
          <w:szCs w:val="20"/>
        </w:rPr>
      </w:pPr>
      <w:r w:rsidRPr="007524F6">
        <w:rPr>
          <w:rFonts w:ascii="Times New Roman" w:hAnsi="Times New Roman"/>
          <w:sz w:val="20"/>
          <w:szCs w:val="20"/>
        </w:rPr>
        <w:t xml:space="preserve">The benefits discussed in the enclosed Annexure cover only special tax benefits available to the Company and do not cover any general tax benefits available to the Company. Further, the preparation of enclosed statement and the contents stated therein is the responsibility of the Company’s management. We are informed that, this Statement is only intended to provide general information to the investors and is neither designed nor intended to be a substitute for professional tax advice. In view of the individual nature of the tax consequences and the changing tax laws, each investor is advised to consult his or her own tax consultant with respect to the specific tax implications arising out of their participation in the proposed initial public offering of Equity shares (“the Issue”) by the Company. </w:t>
      </w:r>
    </w:p>
    <w:p w14:paraId="0C225EC7" w14:textId="77777777" w:rsidR="007524F6" w:rsidRPr="007524F6" w:rsidRDefault="007524F6" w:rsidP="007524F6">
      <w:pPr>
        <w:spacing w:after="0" w:line="240" w:lineRule="auto"/>
        <w:rPr>
          <w:rFonts w:ascii="Times New Roman" w:hAnsi="Times New Roman"/>
          <w:sz w:val="20"/>
          <w:szCs w:val="20"/>
        </w:rPr>
      </w:pPr>
    </w:p>
    <w:p w14:paraId="1D9AB297" w14:textId="77777777" w:rsidR="007524F6" w:rsidRPr="007524F6" w:rsidRDefault="007524F6" w:rsidP="007524F6">
      <w:pPr>
        <w:spacing w:after="0" w:line="240" w:lineRule="auto"/>
        <w:rPr>
          <w:rFonts w:ascii="Times New Roman" w:hAnsi="Times New Roman"/>
          <w:sz w:val="20"/>
          <w:szCs w:val="20"/>
        </w:rPr>
      </w:pPr>
      <w:r w:rsidRPr="007524F6">
        <w:rPr>
          <w:rFonts w:ascii="Times New Roman" w:hAnsi="Times New Roman"/>
          <w:sz w:val="20"/>
          <w:szCs w:val="20"/>
        </w:rPr>
        <w:t xml:space="preserve">We do not express any opinion or provide any assurance as to whether: </w:t>
      </w:r>
    </w:p>
    <w:p w14:paraId="52C20A78" w14:textId="77777777" w:rsidR="007524F6" w:rsidRPr="007524F6" w:rsidRDefault="007524F6" w:rsidP="007524F6">
      <w:pPr>
        <w:spacing w:after="0" w:line="240" w:lineRule="auto"/>
        <w:rPr>
          <w:rFonts w:ascii="Times New Roman" w:hAnsi="Times New Roman"/>
          <w:sz w:val="20"/>
          <w:szCs w:val="20"/>
        </w:rPr>
      </w:pPr>
    </w:p>
    <w:p w14:paraId="79187F99" w14:textId="0A0757BB" w:rsidR="007524F6" w:rsidRPr="007524F6" w:rsidRDefault="007524F6">
      <w:pPr>
        <w:pStyle w:val="ListParagraph"/>
        <w:numPr>
          <w:ilvl w:val="4"/>
          <w:numId w:val="315"/>
        </w:numPr>
        <w:spacing w:line="240" w:lineRule="auto"/>
        <w:ind w:left="720"/>
        <w:rPr>
          <w:sz w:val="20"/>
          <w:szCs w:val="20"/>
        </w:rPr>
      </w:pPr>
      <w:r w:rsidRPr="007524F6">
        <w:rPr>
          <w:sz w:val="20"/>
          <w:szCs w:val="20"/>
        </w:rPr>
        <w:t>The Company or its shareholders will continue to obtain these benefits in future; or</w:t>
      </w:r>
    </w:p>
    <w:p w14:paraId="3BE400E6" w14:textId="77777777" w:rsidR="007524F6" w:rsidRPr="007524F6" w:rsidRDefault="007524F6" w:rsidP="007524F6">
      <w:pPr>
        <w:spacing w:after="0" w:line="240" w:lineRule="auto"/>
        <w:ind w:left="720"/>
        <w:rPr>
          <w:rFonts w:ascii="Times New Roman" w:hAnsi="Times New Roman"/>
          <w:sz w:val="20"/>
          <w:szCs w:val="20"/>
        </w:rPr>
      </w:pPr>
    </w:p>
    <w:p w14:paraId="35035C2F" w14:textId="74CB0066" w:rsidR="007524F6" w:rsidRPr="007524F6" w:rsidRDefault="007524F6">
      <w:pPr>
        <w:pStyle w:val="ListParagraph"/>
        <w:numPr>
          <w:ilvl w:val="4"/>
          <w:numId w:val="315"/>
        </w:numPr>
        <w:spacing w:line="240" w:lineRule="auto"/>
        <w:ind w:left="720"/>
        <w:rPr>
          <w:sz w:val="20"/>
          <w:szCs w:val="20"/>
        </w:rPr>
      </w:pPr>
      <w:r w:rsidRPr="007524F6">
        <w:rPr>
          <w:sz w:val="20"/>
          <w:szCs w:val="20"/>
        </w:rPr>
        <w:t>The conditions prescribed for availing the benefits have been/would be met.</w:t>
      </w:r>
    </w:p>
    <w:p w14:paraId="5CF44EBD" w14:textId="77777777" w:rsidR="007524F6" w:rsidRPr="007524F6" w:rsidRDefault="007524F6" w:rsidP="007524F6">
      <w:pPr>
        <w:spacing w:after="0" w:line="240" w:lineRule="auto"/>
        <w:rPr>
          <w:rFonts w:ascii="Times New Roman" w:hAnsi="Times New Roman"/>
          <w:sz w:val="20"/>
          <w:szCs w:val="20"/>
        </w:rPr>
      </w:pPr>
    </w:p>
    <w:p w14:paraId="237D966F" w14:textId="77777777" w:rsidR="007524F6" w:rsidRPr="007524F6" w:rsidRDefault="007524F6" w:rsidP="007524F6">
      <w:pPr>
        <w:spacing w:after="0" w:line="240" w:lineRule="auto"/>
        <w:jc w:val="both"/>
        <w:rPr>
          <w:rFonts w:ascii="Times New Roman" w:hAnsi="Times New Roman"/>
          <w:sz w:val="20"/>
          <w:szCs w:val="20"/>
        </w:rPr>
      </w:pPr>
      <w:r w:rsidRPr="007524F6">
        <w:rPr>
          <w:rFonts w:ascii="Times New Roman" w:hAnsi="Times New Roman"/>
          <w:sz w:val="20"/>
          <w:szCs w:val="20"/>
        </w:rPr>
        <w:t xml:space="preserve">The contents of the enclosed statement are based on information, explanations and representations obtained from the Company and on the basis of our understanding of the business activities and operations of the Company. </w:t>
      </w:r>
    </w:p>
    <w:p w14:paraId="2400D7C6" w14:textId="77777777" w:rsidR="007524F6" w:rsidRPr="007524F6" w:rsidRDefault="007524F6" w:rsidP="007524F6">
      <w:pPr>
        <w:spacing w:after="0" w:line="240" w:lineRule="auto"/>
        <w:jc w:val="both"/>
        <w:rPr>
          <w:rFonts w:ascii="Times New Roman" w:hAnsi="Times New Roman"/>
          <w:sz w:val="20"/>
          <w:szCs w:val="20"/>
        </w:rPr>
      </w:pPr>
    </w:p>
    <w:p w14:paraId="4F628A4A" w14:textId="77777777" w:rsidR="007524F6" w:rsidRPr="007524F6" w:rsidRDefault="007524F6" w:rsidP="007524F6">
      <w:pPr>
        <w:spacing w:after="0" w:line="240" w:lineRule="auto"/>
        <w:jc w:val="both"/>
        <w:rPr>
          <w:rFonts w:ascii="Times New Roman" w:hAnsi="Times New Roman"/>
          <w:sz w:val="20"/>
          <w:szCs w:val="20"/>
        </w:rPr>
      </w:pPr>
      <w:r w:rsidRPr="007524F6">
        <w:rPr>
          <w:rFonts w:ascii="Times New Roman" w:hAnsi="Times New Roman"/>
          <w:sz w:val="20"/>
          <w:szCs w:val="20"/>
        </w:rPr>
        <w:t xml:space="preserve">Our views are based on facts and assumptions indicated to us and the existing provisions of tax law and its interpretations, which are subject to change or modification from time to time by subsequent legislative, regulatory, administrative, or judicial decisions. Any such changes, which could also be retrospective, could have an effect on the validity of our views stated herein. </w:t>
      </w:r>
    </w:p>
    <w:p w14:paraId="06E37E9D" w14:textId="77777777" w:rsidR="007524F6" w:rsidRPr="007524F6" w:rsidRDefault="007524F6" w:rsidP="007524F6">
      <w:pPr>
        <w:spacing w:after="0" w:line="240" w:lineRule="auto"/>
        <w:jc w:val="both"/>
        <w:rPr>
          <w:rFonts w:ascii="Times New Roman" w:hAnsi="Times New Roman"/>
          <w:sz w:val="20"/>
          <w:szCs w:val="20"/>
        </w:rPr>
      </w:pPr>
    </w:p>
    <w:p w14:paraId="12601E0A" w14:textId="77777777" w:rsidR="007524F6" w:rsidRPr="007524F6" w:rsidRDefault="007524F6" w:rsidP="007524F6">
      <w:pPr>
        <w:spacing w:after="0" w:line="240" w:lineRule="auto"/>
        <w:jc w:val="both"/>
        <w:rPr>
          <w:rFonts w:ascii="Times New Roman" w:hAnsi="Times New Roman"/>
          <w:sz w:val="20"/>
          <w:szCs w:val="20"/>
        </w:rPr>
      </w:pPr>
      <w:r w:rsidRPr="007524F6">
        <w:rPr>
          <w:rFonts w:ascii="Times New Roman" w:hAnsi="Times New Roman"/>
          <w:sz w:val="20"/>
          <w:szCs w:val="20"/>
        </w:rPr>
        <w:t>We assume no obligation to update this statement on any events subsequent to its issue, which may have a material effect on the discussions herein. This report including enclosed annexure are intended solely for your information and for the inclusion in the Draft Prospectus/ Prospectus or any other issue related material in connection with the proposed initial public offer of the Company and is not to be used, referred to or distributed for any other purpose without our prior written consent.</w:t>
      </w:r>
    </w:p>
    <w:p w14:paraId="3F6B59C9" w14:textId="77777777" w:rsidR="007524F6" w:rsidRDefault="007524F6" w:rsidP="007524F6">
      <w:pPr>
        <w:spacing w:after="0" w:line="240" w:lineRule="auto"/>
        <w:rPr>
          <w:rFonts w:ascii="Times New Roman" w:hAnsi="Times New Roman"/>
        </w:rPr>
      </w:pPr>
    </w:p>
    <w:p w14:paraId="06EC6544" w14:textId="77777777" w:rsidR="007524F6" w:rsidRPr="007524F6" w:rsidRDefault="007524F6" w:rsidP="007524F6">
      <w:pPr>
        <w:spacing w:after="0" w:line="240" w:lineRule="auto"/>
        <w:rPr>
          <w:rFonts w:ascii="Times New Roman" w:hAnsi="Times New Roman"/>
          <w:b/>
          <w:bCs/>
          <w:sz w:val="20"/>
          <w:szCs w:val="20"/>
        </w:rPr>
      </w:pPr>
      <w:r w:rsidRPr="007524F6">
        <w:rPr>
          <w:rFonts w:ascii="Times New Roman" w:hAnsi="Times New Roman"/>
          <w:b/>
          <w:bCs/>
          <w:sz w:val="20"/>
          <w:szCs w:val="20"/>
        </w:rPr>
        <w:t xml:space="preserve">For Kamlesh Rathod &amp; Associates </w:t>
      </w:r>
    </w:p>
    <w:p w14:paraId="35F59BA9" w14:textId="77777777" w:rsidR="007524F6" w:rsidRPr="007524F6" w:rsidRDefault="007524F6" w:rsidP="007524F6">
      <w:pPr>
        <w:spacing w:after="0" w:line="240" w:lineRule="auto"/>
        <w:rPr>
          <w:rFonts w:ascii="Times New Roman" w:hAnsi="Times New Roman"/>
          <w:b/>
          <w:bCs/>
          <w:sz w:val="20"/>
          <w:szCs w:val="20"/>
        </w:rPr>
      </w:pPr>
      <w:r w:rsidRPr="007524F6">
        <w:rPr>
          <w:rFonts w:ascii="Times New Roman" w:hAnsi="Times New Roman"/>
          <w:b/>
          <w:bCs/>
          <w:sz w:val="20"/>
          <w:szCs w:val="20"/>
        </w:rPr>
        <w:t>Chartered Accountants</w:t>
      </w:r>
    </w:p>
    <w:p w14:paraId="2A617C33" w14:textId="77777777" w:rsidR="007524F6" w:rsidRPr="007524F6" w:rsidRDefault="007524F6" w:rsidP="007524F6">
      <w:pPr>
        <w:spacing w:after="0" w:line="240" w:lineRule="auto"/>
        <w:rPr>
          <w:rFonts w:ascii="Times New Roman" w:hAnsi="Times New Roman"/>
          <w:b/>
          <w:bCs/>
          <w:sz w:val="20"/>
          <w:szCs w:val="20"/>
        </w:rPr>
      </w:pPr>
      <w:r w:rsidRPr="007524F6">
        <w:rPr>
          <w:rFonts w:ascii="Times New Roman" w:hAnsi="Times New Roman"/>
          <w:b/>
          <w:bCs/>
          <w:sz w:val="20"/>
          <w:szCs w:val="20"/>
        </w:rPr>
        <w:t xml:space="preserve">FRN No. 117930W </w:t>
      </w:r>
    </w:p>
    <w:p w14:paraId="78E66B91" w14:textId="77777777" w:rsidR="007524F6" w:rsidRPr="007524F6" w:rsidRDefault="007524F6" w:rsidP="007524F6">
      <w:pPr>
        <w:spacing w:after="0" w:line="240" w:lineRule="auto"/>
        <w:rPr>
          <w:rFonts w:ascii="Times New Roman" w:hAnsi="Times New Roman"/>
          <w:b/>
          <w:bCs/>
          <w:sz w:val="20"/>
          <w:szCs w:val="20"/>
        </w:rPr>
      </w:pPr>
    </w:p>
    <w:p w14:paraId="3AB99EF9" w14:textId="77777777" w:rsidR="007524F6" w:rsidRPr="007524F6" w:rsidRDefault="007524F6" w:rsidP="007524F6">
      <w:pPr>
        <w:spacing w:after="0" w:line="240" w:lineRule="auto"/>
        <w:rPr>
          <w:rFonts w:ascii="Times New Roman" w:hAnsi="Times New Roman"/>
          <w:b/>
          <w:bCs/>
          <w:sz w:val="20"/>
          <w:szCs w:val="20"/>
        </w:rPr>
      </w:pPr>
      <w:r w:rsidRPr="007524F6">
        <w:rPr>
          <w:rFonts w:ascii="Times New Roman" w:hAnsi="Times New Roman"/>
          <w:b/>
          <w:bCs/>
          <w:sz w:val="20"/>
          <w:szCs w:val="20"/>
        </w:rPr>
        <w:t>Sd/-</w:t>
      </w:r>
    </w:p>
    <w:p w14:paraId="76BF7BF7" w14:textId="77777777" w:rsidR="007524F6" w:rsidRPr="007524F6" w:rsidRDefault="007524F6" w:rsidP="007524F6">
      <w:pPr>
        <w:spacing w:after="0" w:line="240" w:lineRule="auto"/>
        <w:rPr>
          <w:rFonts w:ascii="Times New Roman" w:hAnsi="Times New Roman"/>
          <w:b/>
          <w:bCs/>
          <w:sz w:val="20"/>
          <w:szCs w:val="20"/>
        </w:rPr>
      </w:pPr>
      <w:r w:rsidRPr="007524F6">
        <w:rPr>
          <w:rFonts w:ascii="Times New Roman" w:hAnsi="Times New Roman"/>
          <w:b/>
          <w:bCs/>
          <w:sz w:val="20"/>
          <w:szCs w:val="20"/>
        </w:rPr>
        <w:t>(Sagar D Shah)</w:t>
      </w:r>
    </w:p>
    <w:p w14:paraId="2B03BCD3" w14:textId="77777777" w:rsidR="007524F6" w:rsidRPr="007524F6" w:rsidRDefault="007524F6" w:rsidP="007524F6">
      <w:pPr>
        <w:spacing w:after="0" w:line="240" w:lineRule="auto"/>
        <w:rPr>
          <w:rFonts w:ascii="Times New Roman" w:hAnsi="Times New Roman"/>
          <w:b/>
          <w:bCs/>
          <w:sz w:val="20"/>
          <w:szCs w:val="20"/>
        </w:rPr>
      </w:pPr>
      <w:r w:rsidRPr="007524F6">
        <w:rPr>
          <w:rFonts w:ascii="Times New Roman" w:hAnsi="Times New Roman"/>
          <w:b/>
          <w:bCs/>
          <w:sz w:val="20"/>
          <w:szCs w:val="20"/>
        </w:rPr>
        <w:t>Partner</w:t>
      </w:r>
    </w:p>
    <w:p w14:paraId="496FBB80" w14:textId="77777777" w:rsidR="007524F6" w:rsidRPr="007524F6" w:rsidRDefault="007524F6" w:rsidP="007524F6">
      <w:pPr>
        <w:spacing w:after="0" w:line="240" w:lineRule="auto"/>
        <w:rPr>
          <w:rFonts w:ascii="Times New Roman" w:hAnsi="Times New Roman"/>
          <w:b/>
          <w:bCs/>
          <w:sz w:val="20"/>
          <w:szCs w:val="20"/>
        </w:rPr>
      </w:pPr>
      <w:r w:rsidRPr="007524F6">
        <w:rPr>
          <w:rFonts w:ascii="Times New Roman" w:hAnsi="Times New Roman"/>
          <w:b/>
          <w:bCs/>
          <w:sz w:val="20"/>
          <w:szCs w:val="20"/>
        </w:rPr>
        <w:t>M. No. 131261</w:t>
      </w:r>
    </w:p>
    <w:p w14:paraId="5E78F6F6" w14:textId="77777777" w:rsidR="007524F6" w:rsidRPr="007524F6" w:rsidRDefault="007524F6" w:rsidP="007524F6">
      <w:pPr>
        <w:spacing w:after="0" w:line="240" w:lineRule="auto"/>
        <w:rPr>
          <w:rFonts w:ascii="Times New Roman" w:hAnsi="Times New Roman"/>
          <w:b/>
          <w:bCs/>
          <w:sz w:val="20"/>
          <w:szCs w:val="20"/>
        </w:rPr>
      </w:pPr>
      <w:r w:rsidRPr="007524F6">
        <w:rPr>
          <w:rFonts w:ascii="Times New Roman" w:hAnsi="Times New Roman"/>
          <w:b/>
          <w:bCs/>
          <w:sz w:val="20"/>
          <w:szCs w:val="20"/>
        </w:rPr>
        <w:t>Place: Jamnagar</w:t>
      </w:r>
    </w:p>
    <w:p w14:paraId="61A736EC" w14:textId="77777777" w:rsidR="007524F6" w:rsidRPr="007524F6" w:rsidRDefault="007524F6" w:rsidP="007524F6">
      <w:pPr>
        <w:spacing w:after="0" w:line="240" w:lineRule="auto"/>
        <w:rPr>
          <w:rFonts w:ascii="Times New Roman" w:hAnsi="Times New Roman"/>
          <w:b/>
          <w:bCs/>
          <w:sz w:val="20"/>
          <w:szCs w:val="20"/>
          <w:highlight w:val="yellow"/>
        </w:rPr>
      </w:pPr>
      <w:r w:rsidRPr="007524F6">
        <w:rPr>
          <w:rFonts w:ascii="Times New Roman" w:hAnsi="Times New Roman"/>
          <w:b/>
          <w:bCs/>
          <w:sz w:val="20"/>
          <w:szCs w:val="20"/>
          <w:highlight w:val="yellow"/>
        </w:rPr>
        <w:t xml:space="preserve">Date: </w:t>
      </w:r>
    </w:p>
    <w:p w14:paraId="66F2E9BA" w14:textId="129F25A7" w:rsidR="007524F6" w:rsidRDefault="007524F6" w:rsidP="007524F6">
      <w:pPr>
        <w:spacing w:after="0" w:line="240" w:lineRule="auto"/>
        <w:rPr>
          <w:rFonts w:ascii="Times New Roman" w:hAnsi="Times New Roman"/>
          <w:b/>
          <w:bCs/>
          <w:sz w:val="20"/>
          <w:szCs w:val="20"/>
          <w:highlight w:val="yellow"/>
        </w:rPr>
      </w:pPr>
      <w:r w:rsidRPr="007524F6">
        <w:rPr>
          <w:rFonts w:ascii="Times New Roman" w:hAnsi="Times New Roman"/>
          <w:b/>
          <w:bCs/>
          <w:sz w:val="20"/>
          <w:szCs w:val="20"/>
          <w:highlight w:val="yellow"/>
        </w:rPr>
        <w:t>UDIN:</w:t>
      </w:r>
    </w:p>
    <w:p w14:paraId="7E7427C5" w14:textId="77777777" w:rsidR="007524F6" w:rsidRDefault="007524F6">
      <w:pPr>
        <w:spacing w:after="160" w:line="259" w:lineRule="auto"/>
        <w:rPr>
          <w:rFonts w:ascii="Times New Roman" w:hAnsi="Times New Roman"/>
          <w:b/>
          <w:bCs/>
          <w:sz w:val="20"/>
          <w:szCs w:val="20"/>
          <w:highlight w:val="yellow"/>
        </w:rPr>
      </w:pPr>
      <w:r>
        <w:rPr>
          <w:rFonts w:ascii="Times New Roman" w:hAnsi="Times New Roman"/>
          <w:b/>
          <w:bCs/>
          <w:sz w:val="20"/>
          <w:szCs w:val="20"/>
          <w:highlight w:val="yellow"/>
        </w:rPr>
        <w:br w:type="page"/>
      </w:r>
    </w:p>
    <w:p w14:paraId="6EAD2474" w14:textId="77777777" w:rsidR="007524F6" w:rsidRPr="007524F6" w:rsidRDefault="007524F6" w:rsidP="007524F6">
      <w:pPr>
        <w:spacing w:after="0" w:line="240" w:lineRule="auto"/>
        <w:jc w:val="center"/>
        <w:rPr>
          <w:rFonts w:ascii="Times New Roman" w:hAnsi="Times New Roman"/>
          <w:b/>
          <w:bCs/>
          <w:sz w:val="20"/>
          <w:szCs w:val="20"/>
          <w:u w:val="single"/>
        </w:rPr>
      </w:pPr>
      <w:r w:rsidRPr="007524F6">
        <w:rPr>
          <w:rFonts w:ascii="Times New Roman" w:hAnsi="Times New Roman"/>
          <w:b/>
          <w:bCs/>
          <w:sz w:val="20"/>
          <w:szCs w:val="20"/>
          <w:u w:val="single"/>
        </w:rPr>
        <w:lastRenderedPageBreak/>
        <w:t>ANNEXURE TO THE STATEMENT OF SPECIAL TAX BENEFITS</w:t>
      </w:r>
    </w:p>
    <w:p w14:paraId="035C5920" w14:textId="77777777" w:rsidR="007524F6" w:rsidRPr="007524F6" w:rsidRDefault="007524F6" w:rsidP="007524F6">
      <w:pPr>
        <w:spacing w:after="0" w:line="240" w:lineRule="auto"/>
        <w:rPr>
          <w:rFonts w:ascii="Times New Roman" w:hAnsi="Times New Roman"/>
          <w:b/>
          <w:bCs/>
          <w:sz w:val="20"/>
          <w:szCs w:val="20"/>
        </w:rPr>
      </w:pPr>
    </w:p>
    <w:p w14:paraId="08D3D228" w14:textId="77777777" w:rsidR="007524F6" w:rsidRPr="007524F6" w:rsidRDefault="007524F6" w:rsidP="007524F6">
      <w:pPr>
        <w:spacing w:after="0" w:line="240" w:lineRule="auto"/>
        <w:jc w:val="both"/>
        <w:rPr>
          <w:rFonts w:ascii="Times New Roman" w:hAnsi="Times New Roman"/>
          <w:sz w:val="20"/>
          <w:szCs w:val="20"/>
        </w:rPr>
      </w:pPr>
      <w:r w:rsidRPr="007524F6">
        <w:rPr>
          <w:rFonts w:ascii="Times New Roman" w:hAnsi="Times New Roman"/>
          <w:sz w:val="20"/>
          <w:szCs w:val="20"/>
        </w:rPr>
        <w:t xml:space="preserve">The information provided below sets out the special tax benefits available to the Company and the Equity Shareholders under the Income Tax Act, 1961 presently in force in India. It is not exhaustive or comprehensive and is not intended to be a substitute for professional advice. Investors are advised to consult their own tax consultant with respect to the tax implications of an investment in Equity Shares particularly in view of the fact that certain recently enacted legislation may not have a direct legal precedent or may have a different interpretation on the benefits, which an investor can avail. </w:t>
      </w:r>
    </w:p>
    <w:p w14:paraId="4131FE7B" w14:textId="77777777" w:rsidR="007524F6" w:rsidRPr="007524F6" w:rsidRDefault="007524F6" w:rsidP="007524F6">
      <w:pPr>
        <w:spacing w:after="0" w:line="240" w:lineRule="auto"/>
        <w:jc w:val="both"/>
        <w:rPr>
          <w:rFonts w:ascii="Times New Roman" w:hAnsi="Times New Roman"/>
          <w:sz w:val="20"/>
          <w:szCs w:val="20"/>
        </w:rPr>
      </w:pPr>
    </w:p>
    <w:p w14:paraId="35FC8622" w14:textId="516DFC80" w:rsidR="007524F6" w:rsidRPr="007524F6" w:rsidRDefault="007524F6">
      <w:pPr>
        <w:pStyle w:val="ListParagraph"/>
        <w:numPr>
          <w:ilvl w:val="5"/>
          <w:numId w:val="316"/>
        </w:numPr>
        <w:spacing w:line="240" w:lineRule="auto"/>
        <w:ind w:left="360"/>
        <w:jc w:val="both"/>
        <w:rPr>
          <w:b/>
          <w:bCs/>
          <w:sz w:val="20"/>
          <w:szCs w:val="20"/>
        </w:rPr>
      </w:pPr>
      <w:r w:rsidRPr="007524F6">
        <w:rPr>
          <w:b/>
          <w:bCs/>
          <w:sz w:val="20"/>
          <w:szCs w:val="20"/>
        </w:rPr>
        <w:t>SPECIAL DIRECT AND INDIRECT TAX BENEFITS TO THE COMPANY</w:t>
      </w:r>
      <w:r>
        <w:rPr>
          <w:b/>
          <w:bCs/>
          <w:sz w:val="20"/>
          <w:szCs w:val="20"/>
          <w:lang w:val="en-US"/>
        </w:rPr>
        <w:t>:</w:t>
      </w:r>
    </w:p>
    <w:p w14:paraId="16973A54" w14:textId="77777777" w:rsidR="007524F6" w:rsidRDefault="007524F6" w:rsidP="007524F6">
      <w:pPr>
        <w:spacing w:after="0" w:line="240" w:lineRule="auto"/>
        <w:jc w:val="both"/>
        <w:rPr>
          <w:rFonts w:ascii="Times New Roman" w:hAnsi="Times New Roman"/>
          <w:sz w:val="20"/>
          <w:szCs w:val="20"/>
        </w:rPr>
      </w:pPr>
    </w:p>
    <w:p w14:paraId="33B28AD6" w14:textId="21FA3385" w:rsidR="007524F6" w:rsidRPr="007524F6" w:rsidRDefault="007524F6" w:rsidP="007524F6">
      <w:pPr>
        <w:spacing w:after="0" w:line="240" w:lineRule="auto"/>
        <w:jc w:val="both"/>
        <w:rPr>
          <w:rFonts w:ascii="Times New Roman" w:hAnsi="Times New Roman"/>
          <w:sz w:val="20"/>
          <w:szCs w:val="20"/>
        </w:rPr>
      </w:pPr>
      <w:r w:rsidRPr="007524F6">
        <w:rPr>
          <w:rFonts w:ascii="Times New Roman" w:hAnsi="Times New Roman"/>
          <w:sz w:val="20"/>
          <w:szCs w:val="20"/>
        </w:rPr>
        <w:t>The Company is not entitled to any special tax benefits under the Income Tax Act, 1961 and GST Act.</w:t>
      </w:r>
    </w:p>
    <w:p w14:paraId="63850E54" w14:textId="77777777" w:rsidR="007524F6" w:rsidRPr="007524F6" w:rsidRDefault="007524F6" w:rsidP="007524F6">
      <w:pPr>
        <w:spacing w:after="0" w:line="240" w:lineRule="auto"/>
        <w:jc w:val="both"/>
        <w:rPr>
          <w:rFonts w:ascii="Times New Roman" w:hAnsi="Times New Roman"/>
          <w:sz w:val="20"/>
          <w:szCs w:val="20"/>
        </w:rPr>
      </w:pPr>
    </w:p>
    <w:p w14:paraId="02839D83" w14:textId="037C8C67" w:rsidR="007524F6" w:rsidRDefault="007524F6">
      <w:pPr>
        <w:pStyle w:val="ListParagraph"/>
        <w:numPr>
          <w:ilvl w:val="5"/>
          <w:numId w:val="316"/>
        </w:numPr>
        <w:spacing w:line="240" w:lineRule="auto"/>
        <w:ind w:left="360"/>
        <w:jc w:val="both"/>
        <w:rPr>
          <w:b/>
          <w:bCs/>
          <w:sz w:val="20"/>
          <w:szCs w:val="20"/>
        </w:rPr>
      </w:pPr>
      <w:r w:rsidRPr="007524F6">
        <w:rPr>
          <w:b/>
          <w:bCs/>
          <w:sz w:val="20"/>
          <w:szCs w:val="20"/>
        </w:rPr>
        <w:t>SPECIAL DIRECT AND INDIRECT TAX BENEFITS TO THE SHAREHOLDERS</w:t>
      </w:r>
      <w:r>
        <w:rPr>
          <w:b/>
          <w:bCs/>
          <w:sz w:val="20"/>
          <w:szCs w:val="20"/>
          <w:lang w:val="en-US"/>
        </w:rPr>
        <w:t>:</w:t>
      </w:r>
    </w:p>
    <w:p w14:paraId="0CCFFBC4" w14:textId="77777777" w:rsidR="007524F6" w:rsidRPr="007524F6" w:rsidRDefault="007524F6" w:rsidP="007524F6">
      <w:pPr>
        <w:pStyle w:val="ListParagraph"/>
        <w:spacing w:line="240" w:lineRule="auto"/>
        <w:ind w:left="360"/>
        <w:jc w:val="both"/>
        <w:rPr>
          <w:b/>
          <w:bCs/>
          <w:sz w:val="20"/>
          <w:szCs w:val="20"/>
        </w:rPr>
      </w:pPr>
    </w:p>
    <w:p w14:paraId="0E3E5AC6" w14:textId="77777777" w:rsidR="007524F6" w:rsidRPr="007524F6" w:rsidRDefault="007524F6" w:rsidP="007524F6">
      <w:pPr>
        <w:spacing w:after="0" w:line="240" w:lineRule="auto"/>
        <w:jc w:val="both"/>
        <w:rPr>
          <w:rFonts w:ascii="Times New Roman" w:hAnsi="Times New Roman"/>
          <w:sz w:val="20"/>
          <w:szCs w:val="20"/>
        </w:rPr>
      </w:pPr>
      <w:r w:rsidRPr="007524F6">
        <w:rPr>
          <w:rFonts w:ascii="Times New Roman" w:hAnsi="Times New Roman"/>
          <w:sz w:val="20"/>
          <w:szCs w:val="20"/>
        </w:rPr>
        <w:t>The Shareholders of the Company are not entitled to any special tax benefits under the Income Tax Act, 1961 and GST Act.</w:t>
      </w:r>
    </w:p>
    <w:p w14:paraId="092D098B" w14:textId="77777777" w:rsidR="007524F6" w:rsidRPr="007524F6" w:rsidRDefault="007524F6" w:rsidP="007524F6">
      <w:pPr>
        <w:spacing w:after="0" w:line="240" w:lineRule="auto"/>
        <w:jc w:val="both"/>
        <w:rPr>
          <w:rFonts w:ascii="Times New Roman" w:hAnsi="Times New Roman"/>
          <w:sz w:val="20"/>
          <w:szCs w:val="20"/>
        </w:rPr>
      </w:pPr>
    </w:p>
    <w:p w14:paraId="1FD3D90A" w14:textId="77777777" w:rsidR="007524F6" w:rsidRPr="007524F6" w:rsidRDefault="007524F6" w:rsidP="007524F6">
      <w:pPr>
        <w:spacing w:after="0" w:line="240" w:lineRule="auto"/>
        <w:jc w:val="both"/>
        <w:rPr>
          <w:rFonts w:ascii="Times New Roman" w:hAnsi="Times New Roman"/>
          <w:sz w:val="20"/>
          <w:szCs w:val="20"/>
        </w:rPr>
      </w:pPr>
      <w:r w:rsidRPr="007524F6">
        <w:rPr>
          <w:rFonts w:ascii="Times New Roman" w:hAnsi="Times New Roman"/>
          <w:sz w:val="20"/>
          <w:szCs w:val="20"/>
        </w:rPr>
        <w:t>Notes:</w:t>
      </w:r>
    </w:p>
    <w:p w14:paraId="1D3A094F" w14:textId="77777777" w:rsidR="007524F6" w:rsidRPr="007524F6" w:rsidRDefault="007524F6" w:rsidP="007524F6">
      <w:pPr>
        <w:spacing w:after="0" w:line="240" w:lineRule="auto"/>
        <w:jc w:val="both"/>
        <w:rPr>
          <w:rFonts w:ascii="Times New Roman" w:hAnsi="Times New Roman"/>
          <w:sz w:val="20"/>
          <w:szCs w:val="20"/>
        </w:rPr>
      </w:pPr>
    </w:p>
    <w:p w14:paraId="5683E9C6" w14:textId="1EC4EDFE" w:rsidR="007524F6" w:rsidRPr="007524F6" w:rsidRDefault="007524F6">
      <w:pPr>
        <w:pStyle w:val="ListParagraph"/>
        <w:numPr>
          <w:ilvl w:val="0"/>
          <w:numId w:val="317"/>
        </w:numPr>
        <w:spacing w:line="240" w:lineRule="auto"/>
        <w:ind w:left="360"/>
        <w:jc w:val="both"/>
        <w:rPr>
          <w:sz w:val="20"/>
          <w:szCs w:val="20"/>
        </w:rPr>
      </w:pPr>
      <w:r w:rsidRPr="007524F6">
        <w:rPr>
          <w:sz w:val="20"/>
          <w:szCs w:val="20"/>
        </w:rPr>
        <w:t>For the purpose of reporting here, we have not considered the general tax benefits available to the company or shareholders.</w:t>
      </w:r>
    </w:p>
    <w:p w14:paraId="04825823" w14:textId="77777777" w:rsidR="007524F6" w:rsidRDefault="007524F6" w:rsidP="007524F6">
      <w:pPr>
        <w:pStyle w:val="ListParagraph"/>
        <w:spacing w:line="240" w:lineRule="auto"/>
        <w:ind w:left="360"/>
        <w:jc w:val="both"/>
        <w:rPr>
          <w:sz w:val="20"/>
          <w:szCs w:val="20"/>
        </w:rPr>
      </w:pPr>
    </w:p>
    <w:p w14:paraId="727E4763" w14:textId="31B8402A" w:rsidR="007524F6" w:rsidRPr="007524F6" w:rsidRDefault="007524F6">
      <w:pPr>
        <w:pStyle w:val="ListParagraph"/>
        <w:numPr>
          <w:ilvl w:val="0"/>
          <w:numId w:val="317"/>
        </w:numPr>
        <w:spacing w:line="240" w:lineRule="auto"/>
        <w:ind w:left="360"/>
        <w:jc w:val="both"/>
        <w:rPr>
          <w:sz w:val="20"/>
          <w:szCs w:val="20"/>
        </w:rPr>
      </w:pPr>
      <w:r w:rsidRPr="007524F6">
        <w:rPr>
          <w:sz w:val="20"/>
          <w:szCs w:val="20"/>
        </w:rPr>
        <w:t>The above statement covers only certain relevant direct tax law benefits and indirect tax law benefits or benefit.</w:t>
      </w:r>
    </w:p>
    <w:p w14:paraId="7185A775" w14:textId="77777777" w:rsidR="007524F6" w:rsidRPr="007524F6" w:rsidRDefault="007524F6" w:rsidP="007524F6">
      <w:pPr>
        <w:spacing w:after="0" w:line="240" w:lineRule="auto"/>
        <w:ind w:left="360"/>
        <w:jc w:val="both"/>
        <w:rPr>
          <w:rFonts w:ascii="Times New Roman" w:hAnsi="Times New Roman"/>
          <w:sz w:val="20"/>
          <w:szCs w:val="20"/>
        </w:rPr>
      </w:pPr>
    </w:p>
    <w:p w14:paraId="2F763581" w14:textId="38BD85BD" w:rsidR="007524F6" w:rsidRPr="007524F6" w:rsidRDefault="007524F6">
      <w:pPr>
        <w:pStyle w:val="ListParagraph"/>
        <w:numPr>
          <w:ilvl w:val="0"/>
          <w:numId w:val="317"/>
        </w:numPr>
        <w:spacing w:line="240" w:lineRule="auto"/>
        <w:ind w:left="360"/>
        <w:jc w:val="both"/>
        <w:rPr>
          <w:sz w:val="20"/>
          <w:szCs w:val="20"/>
        </w:rPr>
      </w:pPr>
      <w:r w:rsidRPr="007524F6">
        <w:rPr>
          <w:sz w:val="20"/>
          <w:szCs w:val="20"/>
        </w:rPr>
        <w:t>No assurance is given that the revenue authorities/courts will concur with the views expressed herein. Our views are based on the existing provisions of law and its interpretation, which are subject to changes from time to time. We do not assume responsibility to update the views consequent to such changes. We shall not be liable to any claims, liabilities or expenses relating to this assignment except to the extent of fees relating to this assignment, as finally judicially determined to have resulted primarily from bad faith or intentional misconduct. We will not be liable to any other person in respect of this statement.</w:t>
      </w:r>
    </w:p>
    <w:p w14:paraId="42DF7BDA" w14:textId="77777777" w:rsidR="007524F6" w:rsidRPr="007524F6" w:rsidRDefault="007524F6" w:rsidP="007524F6">
      <w:pPr>
        <w:spacing w:after="0" w:line="240" w:lineRule="auto"/>
        <w:jc w:val="both"/>
        <w:rPr>
          <w:rFonts w:ascii="Times New Roman" w:hAnsi="Times New Roman"/>
          <w:sz w:val="20"/>
          <w:szCs w:val="20"/>
        </w:rPr>
      </w:pPr>
    </w:p>
    <w:p w14:paraId="49F12EF8" w14:textId="6306FBF0" w:rsidR="00361E52" w:rsidRDefault="00361E52">
      <w:pPr>
        <w:spacing w:after="160" w:line="259" w:lineRule="auto"/>
        <w:rPr>
          <w:rFonts w:ascii="Times New Roman" w:hAnsi="Times New Roman"/>
        </w:rPr>
      </w:pPr>
      <w:r>
        <w:rPr>
          <w:rFonts w:ascii="Times New Roman" w:hAnsi="Times New Roman"/>
        </w:rPr>
        <w:br w:type="page"/>
      </w:r>
    </w:p>
    <w:p w14:paraId="1DFC0EE7" w14:textId="33CC7B7D" w:rsidR="007524F6" w:rsidRDefault="00361E52" w:rsidP="00361E52">
      <w:pPr>
        <w:spacing w:after="0" w:line="240" w:lineRule="auto"/>
        <w:jc w:val="center"/>
        <w:rPr>
          <w:rFonts w:ascii="Times New Roman" w:hAnsi="Times New Roman"/>
          <w:b/>
          <w:bCs/>
          <w:sz w:val="20"/>
          <w:szCs w:val="20"/>
          <w:u w:val="single"/>
        </w:rPr>
      </w:pPr>
      <w:r w:rsidRPr="00361E52">
        <w:rPr>
          <w:rFonts w:ascii="Times New Roman" w:hAnsi="Times New Roman"/>
          <w:b/>
          <w:bCs/>
          <w:sz w:val="20"/>
          <w:szCs w:val="20"/>
          <w:u w:val="single"/>
        </w:rPr>
        <w:lastRenderedPageBreak/>
        <w:t>INDUSTRY OVERVIEW</w:t>
      </w:r>
    </w:p>
    <w:p w14:paraId="0D9E9633" w14:textId="77777777" w:rsidR="00361E52" w:rsidRDefault="00361E52" w:rsidP="00361E52">
      <w:pPr>
        <w:spacing w:after="0" w:line="240" w:lineRule="auto"/>
        <w:jc w:val="center"/>
        <w:rPr>
          <w:rFonts w:ascii="Times New Roman" w:hAnsi="Times New Roman"/>
          <w:b/>
          <w:bCs/>
          <w:sz w:val="20"/>
          <w:szCs w:val="20"/>
          <w:u w:val="single"/>
        </w:rPr>
      </w:pPr>
    </w:p>
    <w:p w14:paraId="62B999D0" w14:textId="77777777" w:rsidR="00361E52" w:rsidRPr="00712F3C" w:rsidRDefault="00361E52" w:rsidP="00361E52">
      <w:pPr>
        <w:spacing w:after="0" w:line="240" w:lineRule="auto"/>
        <w:ind w:right="26"/>
        <w:jc w:val="both"/>
        <w:rPr>
          <w:rFonts w:ascii="Times New Roman" w:hAnsi="Times New Roman"/>
          <w:i/>
          <w:color w:val="000000"/>
          <w:sz w:val="20"/>
          <w:szCs w:val="20"/>
        </w:rPr>
      </w:pPr>
      <w:r w:rsidRPr="00712F3C">
        <w:rPr>
          <w:rFonts w:ascii="Times New Roman" w:hAnsi="Times New Roman"/>
          <w:i/>
          <w:color w:val="000000"/>
          <w:sz w:val="20"/>
          <w:szCs w:val="20"/>
        </w:rPr>
        <w:t>The information in this section has been extracted from various websites and publicly available documents from various industry sources. The data may have been re-classified by us for the purpose of presentation. Neither we nor any other person connected with the issue has independently verified the information provided in this section. Industry sources and publications, referred to in this section, generally state that the information contained therein has been obtained from sources generally believed to be reliable but their accuracy, completeness and underlying assumptions are not guaranteed and their reliability cannot be assured, and, accordingly, investment decisions should not be based on such information.</w:t>
      </w:r>
    </w:p>
    <w:p w14:paraId="054EA353" w14:textId="77777777" w:rsidR="00361E52" w:rsidRPr="00712F3C" w:rsidRDefault="00361E52" w:rsidP="00361E52">
      <w:pPr>
        <w:spacing w:after="0" w:line="240" w:lineRule="auto"/>
        <w:ind w:right="26"/>
        <w:jc w:val="both"/>
        <w:rPr>
          <w:rFonts w:ascii="Times New Roman" w:hAnsi="Times New Roman"/>
          <w:i/>
          <w:color w:val="000000"/>
          <w:sz w:val="20"/>
          <w:szCs w:val="20"/>
        </w:rPr>
      </w:pPr>
    </w:p>
    <w:p w14:paraId="34DC5216" w14:textId="77777777" w:rsidR="00361E52" w:rsidRPr="00712F3C" w:rsidRDefault="00361E52" w:rsidP="00361E52">
      <w:pPr>
        <w:shd w:val="clear" w:color="auto" w:fill="D0CECE" w:themeFill="background2" w:themeFillShade="E6"/>
        <w:spacing w:after="0" w:line="240" w:lineRule="auto"/>
        <w:ind w:right="26"/>
        <w:jc w:val="both"/>
        <w:rPr>
          <w:rFonts w:ascii="Times New Roman" w:hAnsi="Times New Roman"/>
          <w:b/>
          <w:sz w:val="20"/>
          <w:szCs w:val="20"/>
        </w:rPr>
      </w:pPr>
      <w:r w:rsidRPr="00712F3C">
        <w:rPr>
          <w:rFonts w:ascii="Times New Roman" w:hAnsi="Times New Roman"/>
          <w:b/>
          <w:sz w:val="20"/>
          <w:szCs w:val="20"/>
        </w:rPr>
        <w:t>GLOBAL ECONOMY</w:t>
      </w:r>
    </w:p>
    <w:p w14:paraId="0345F2E8" w14:textId="77777777" w:rsidR="00361E52" w:rsidRDefault="00361E52" w:rsidP="00361E52">
      <w:pPr>
        <w:spacing w:after="0" w:line="240" w:lineRule="auto"/>
        <w:ind w:right="26"/>
        <w:jc w:val="both"/>
        <w:rPr>
          <w:rFonts w:ascii="Times New Roman" w:hAnsi="Times New Roman"/>
          <w:b/>
          <w:sz w:val="20"/>
          <w:szCs w:val="20"/>
        </w:rPr>
      </w:pPr>
    </w:p>
    <w:p w14:paraId="2D846AC0" w14:textId="77777777" w:rsidR="00361E52" w:rsidRDefault="00361E52" w:rsidP="00361E52">
      <w:pPr>
        <w:spacing w:after="0" w:line="240" w:lineRule="auto"/>
        <w:ind w:right="26"/>
        <w:jc w:val="both"/>
        <w:rPr>
          <w:rFonts w:ascii="Times New Roman" w:hAnsi="Times New Roman"/>
          <w:sz w:val="20"/>
          <w:szCs w:val="20"/>
          <w:lang w:val="en-IN"/>
        </w:rPr>
      </w:pPr>
      <w:r w:rsidRPr="006A3DB6">
        <w:rPr>
          <w:rFonts w:ascii="Times New Roman" w:hAnsi="Times New Roman"/>
          <w:sz w:val="20"/>
          <w:szCs w:val="20"/>
          <w:lang w:val="en-IN"/>
        </w:rPr>
        <w:t>After growing 3.1 percent last</w:t>
      </w:r>
      <w:r>
        <w:rPr>
          <w:rFonts w:ascii="Times New Roman" w:hAnsi="Times New Roman"/>
          <w:sz w:val="20"/>
          <w:szCs w:val="20"/>
          <w:lang w:val="en-IN"/>
        </w:rPr>
        <w:t xml:space="preserve"> </w:t>
      </w:r>
      <w:r w:rsidRPr="006A3DB6">
        <w:rPr>
          <w:rFonts w:ascii="Times New Roman" w:hAnsi="Times New Roman"/>
          <w:sz w:val="20"/>
          <w:szCs w:val="20"/>
          <w:lang w:val="en-IN"/>
        </w:rPr>
        <w:t>year, the global</w:t>
      </w:r>
      <w:r>
        <w:rPr>
          <w:rFonts w:ascii="Times New Roman" w:hAnsi="Times New Roman"/>
          <w:sz w:val="20"/>
          <w:szCs w:val="20"/>
          <w:lang w:val="en-IN"/>
        </w:rPr>
        <w:t xml:space="preserve"> economy is set to slow substan</w:t>
      </w:r>
      <w:r w:rsidRPr="006A3DB6">
        <w:rPr>
          <w:rFonts w:ascii="Times New Roman" w:hAnsi="Times New Roman"/>
          <w:sz w:val="20"/>
          <w:szCs w:val="20"/>
          <w:lang w:val="en-IN"/>
        </w:rPr>
        <w:t>tially in 2023, to 2.1 percent, amid continued</w:t>
      </w:r>
      <w:r>
        <w:rPr>
          <w:rFonts w:ascii="Times New Roman" w:hAnsi="Times New Roman"/>
          <w:sz w:val="20"/>
          <w:szCs w:val="20"/>
          <w:lang w:val="en-IN"/>
        </w:rPr>
        <w:t xml:space="preserve"> </w:t>
      </w:r>
      <w:r w:rsidRPr="006A3DB6">
        <w:rPr>
          <w:rFonts w:ascii="Times New Roman" w:hAnsi="Times New Roman"/>
          <w:sz w:val="20"/>
          <w:szCs w:val="20"/>
          <w:lang w:val="en-IN"/>
        </w:rPr>
        <w:t>monetary policy tightening to rein in high</w:t>
      </w:r>
      <w:r>
        <w:rPr>
          <w:rFonts w:ascii="Times New Roman" w:hAnsi="Times New Roman"/>
          <w:sz w:val="20"/>
          <w:szCs w:val="20"/>
          <w:lang w:val="en-IN"/>
        </w:rPr>
        <w:t xml:space="preserve"> </w:t>
      </w:r>
      <w:r w:rsidRPr="006A3DB6">
        <w:rPr>
          <w:rFonts w:ascii="Times New Roman" w:hAnsi="Times New Roman"/>
          <w:sz w:val="20"/>
          <w:szCs w:val="20"/>
          <w:lang w:val="en-IN"/>
        </w:rPr>
        <w:t>inflation, before a tepid recovery in 2024, to 2.4</w:t>
      </w:r>
      <w:r>
        <w:rPr>
          <w:rFonts w:ascii="Times New Roman" w:hAnsi="Times New Roman"/>
          <w:sz w:val="20"/>
          <w:szCs w:val="20"/>
          <w:lang w:val="en-IN"/>
        </w:rPr>
        <w:t xml:space="preserve"> </w:t>
      </w:r>
      <w:r w:rsidRPr="006A3DB6">
        <w:rPr>
          <w:rFonts w:ascii="Times New Roman" w:hAnsi="Times New Roman"/>
          <w:sz w:val="20"/>
          <w:szCs w:val="20"/>
          <w:lang w:val="en-IN"/>
        </w:rPr>
        <w:t>percent. Tight global financial conditions and</w:t>
      </w:r>
      <w:r>
        <w:rPr>
          <w:rFonts w:ascii="Times New Roman" w:hAnsi="Times New Roman"/>
          <w:sz w:val="20"/>
          <w:szCs w:val="20"/>
          <w:lang w:val="en-IN"/>
        </w:rPr>
        <w:t xml:space="preserve"> </w:t>
      </w:r>
      <w:r w:rsidRPr="006A3DB6">
        <w:rPr>
          <w:rFonts w:ascii="Times New Roman" w:hAnsi="Times New Roman"/>
          <w:sz w:val="20"/>
          <w:szCs w:val="20"/>
          <w:lang w:val="en-IN"/>
        </w:rPr>
        <w:t>subdued external demand are expected to weigh</w:t>
      </w:r>
      <w:r>
        <w:rPr>
          <w:rFonts w:ascii="Times New Roman" w:hAnsi="Times New Roman"/>
          <w:sz w:val="20"/>
          <w:szCs w:val="20"/>
          <w:lang w:val="en-IN"/>
        </w:rPr>
        <w:t xml:space="preserve"> </w:t>
      </w:r>
      <w:r w:rsidRPr="006A3DB6">
        <w:rPr>
          <w:rFonts w:ascii="Times New Roman" w:hAnsi="Times New Roman"/>
          <w:sz w:val="20"/>
          <w:szCs w:val="20"/>
          <w:lang w:val="en-IN"/>
        </w:rPr>
        <w:t>on growth acr</w:t>
      </w:r>
      <w:r>
        <w:rPr>
          <w:rFonts w:ascii="Times New Roman" w:hAnsi="Times New Roman"/>
          <w:sz w:val="20"/>
          <w:szCs w:val="20"/>
          <w:lang w:val="en-IN"/>
        </w:rPr>
        <w:t>oss emerging market and develop</w:t>
      </w:r>
      <w:r w:rsidRPr="006A3DB6">
        <w:rPr>
          <w:rFonts w:ascii="Times New Roman" w:hAnsi="Times New Roman"/>
          <w:sz w:val="20"/>
          <w:szCs w:val="20"/>
          <w:lang w:val="en-IN"/>
        </w:rPr>
        <w:t>ing economies (EMDEs). Projections for many</w:t>
      </w:r>
      <w:r>
        <w:rPr>
          <w:rFonts w:ascii="Times New Roman" w:hAnsi="Times New Roman"/>
          <w:sz w:val="20"/>
          <w:szCs w:val="20"/>
          <w:lang w:val="en-IN"/>
        </w:rPr>
        <w:t xml:space="preserve"> </w:t>
      </w:r>
      <w:r w:rsidRPr="006A3DB6">
        <w:rPr>
          <w:rFonts w:ascii="Times New Roman" w:hAnsi="Times New Roman"/>
          <w:sz w:val="20"/>
          <w:szCs w:val="20"/>
          <w:lang w:val="en-IN"/>
        </w:rPr>
        <w:t>countries have been revised down over the</w:t>
      </w:r>
      <w:r>
        <w:rPr>
          <w:rFonts w:ascii="Times New Roman" w:hAnsi="Times New Roman"/>
          <w:sz w:val="20"/>
          <w:szCs w:val="20"/>
          <w:lang w:val="en-IN"/>
        </w:rPr>
        <w:t xml:space="preserve"> </w:t>
      </w:r>
      <w:r w:rsidRPr="006A3DB6">
        <w:rPr>
          <w:rFonts w:ascii="Times New Roman" w:hAnsi="Times New Roman"/>
          <w:sz w:val="20"/>
          <w:szCs w:val="20"/>
          <w:lang w:val="en-IN"/>
        </w:rPr>
        <w:t>forecast horizon, with upgrades primarily due to</w:t>
      </w:r>
      <w:r>
        <w:rPr>
          <w:rFonts w:ascii="Times New Roman" w:hAnsi="Times New Roman"/>
          <w:sz w:val="20"/>
          <w:szCs w:val="20"/>
          <w:lang w:val="en-IN"/>
        </w:rPr>
        <w:t xml:space="preserve"> stronger than </w:t>
      </w:r>
      <w:r w:rsidRPr="006A3DB6">
        <w:rPr>
          <w:rFonts w:ascii="Times New Roman" w:hAnsi="Times New Roman"/>
          <w:sz w:val="20"/>
          <w:szCs w:val="20"/>
          <w:lang w:val="en-IN"/>
        </w:rPr>
        <w:t>expected data at the beginning of</w:t>
      </w:r>
      <w:r>
        <w:rPr>
          <w:rFonts w:ascii="Times New Roman" w:hAnsi="Times New Roman"/>
          <w:sz w:val="20"/>
          <w:szCs w:val="20"/>
          <w:lang w:val="en-IN"/>
        </w:rPr>
        <w:t xml:space="preserve"> </w:t>
      </w:r>
      <w:r w:rsidRPr="006A3DB6">
        <w:rPr>
          <w:rFonts w:ascii="Times New Roman" w:hAnsi="Times New Roman"/>
          <w:sz w:val="20"/>
          <w:szCs w:val="20"/>
          <w:lang w:val="en-IN"/>
        </w:rPr>
        <w:t>2023 more than offset by downgrades thereafter.</w:t>
      </w:r>
      <w:r>
        <w:rPr>
          <w:rFonts w:ascii="Times New Roman" w:hAnsi="Times New Roman"/>
          <w:sz w:val="20"/>
          <w:szCs w:val="20"/>
          <w:lang w:val="en-IN"/>
        </w:rPr>
        <w:t xml:space="preserve"> </w:t>
      </w:r>
      <w:r w:rsidRPr="006A3DB6">
        <w:rPr>
          <w:rFonts w:ascii="Times New Roman" w:hAnsi="Times New Roman"/>
          <w:sz w:val="20"/>
          <w:szCs w:val="20"/>
          <w:lang w:val="en-IN"/>
        </w:rPr>
        <w:t>Inflation has been persistent but is projected to</w:t>
      </w:r>
      <w:r>
        <w:rPr>
          <w:rFonts w:ascii="Times New Roman" w:hAnsi="Times New Roman"/>
          <w:sz w:val="20"/>
          <w:szCs w:val="20"/>
          <w:lang w:val="en-IN"/>
        </w:rPr>
        <w:t xml:space="preserve"> </w:t>
      </w:r>
      <w:r w:rsidRPr="006A3DB6">
        <w:rPr>
          <w:rFonts w:ascii="Times New Roman" w:hAnsi="Times New Roman"/>
          <w:sz w:val="20"/>
          <w:szCs w:val="20"/>
          <w:lang w:val="en-IN"/>
        </w:rPr>
        <w:t>decline gradually as demand weakens and commodity prices moderate, provided longer-term</w:t>
      </w:r>
      <w:r>
        <w:rPr>
          <w:rFonts w:ascii="Times New Roman" w:hAnsi="Times New Roman"/>
          <w:sz w:val="20"/>
          <w:szCs w:val="20"/>
          <w:lang w:val="en-IN"/>
        </w:rPr>
        <w:t xml:space="preserve"> </w:t>
      </w:r>
      <w:r w:rsidRPr="006A3DB6">
        <w:rPr>
          <w:rFonts w:ascii="Times New Roman" w:hAnsi="Times New Roman"/>
          <w:sz w:val="20"/>
          <w:szCs w:val="20"/>
          <w:lang w:val="en-IN"/>
        </w:rPr>
        <w:t>inflation expectations remain anchored.</w:t>
      </w:r>
    </w:p>
    <w:p w14:paraId="4C0011A2" w14:textId="77777777" w:rsidR="00361E52" w:rsidRDefault="00361E52" w:rsidP="00361E52">
      <w:pPr>
        <w:spacing w:after="0" w:line="240" w:lineRule="auto"/>
        <w:ind w:right="26"/>
        <w:jc w:val="both"/>
        <w:rPr>
          <w:rFonts w:ascii="Times New Roman" w:hAnsi="Times New Roman"/>
          <w:sz w:val="20"/>
          <w:szCs w:val="20"/>
        </w:rPr>
      </w:pPr>
    </w:p>
    <w:p w14:paraId="39B14214" w14:textId="77777777" w:rsidR="00361E52" w:rsidRDefault="00361E52" w:rsidP="00361E52">
      <w:pPr>
        <w:spacing w:after="0" w:line="240" w:lineRule="auto"/>
        <w:ind w:right="26"/>
        <w:jc w:val="both"/>
        <w:rPr>
          <w:rFonts w:ascii="Times New Roman" w:hAnsi="Times New Roman"/>
          <w:sz w:val="20"/>
          <w:szCs w:val="20"/>
          <w:lang w:val="en-IN"/>
        </w:rPr>
      </w:pPr>
      <w:r w:rsidRPr="006A3DB6">
        <w:rPr>
          <w:rFonts w:ascii="Times New Roman" w:hAnsi="Times New Roman"/>
          <w:sz w:val="20"/>
          <w:szCs w:val="20"/>
          <w:lang w:val="en-IN"/>
        </w:rPr>
        <w:t>Global growth could be weaker than anticipated</w:t>
      </w:r>
      <w:r>
        <w:rPr>
          <w:rFonts w:ascii="Times New Roman" w:hAnsi="Times New Roman"/>
          <w:sz w:val="20"/>
          <w:szCs w:val="20"/>
          <w:lang w:val="en-IN"/>
        </w:rPr>
        <w:t xml:space="preserve"> </w:t>
      </w:r>
      <w:r w:rsidRPr="006A3DB6">
        <w:rPr>
          <w:rFonts w:ascii="Times New Roman" w:hAnsi="Times New Roman"/>
          <w:sz w:val="20"/>
          <w:szCs w:val="20"/>
          <w:lang w:val="en-IN"/>
        </w:rPr>
        <w:t>in the event of more widespread banking sector</w:t>
      </w:r>
      <w:r>
        <w:rPr>
          <w:rFonts w:ascii="Times New Roman" w:hAnsi="Times New Roman"/>
          <w:sz w:val="20"/>
          <w:szCs w:val="20"/>
          <w:lang w:val="en-IN"/>
        </w:rPr>
        <w:t xml:space="preserve"> </w:t>
      </w:r>
      <w:r w:rsidRPr="006A3DB6">
        <w:rPr>
          <w:rFonts w:ascii="Times New Roman" w:hAnsi="Times New Roman"/>
          <w:sz w:val="20"/>
          <w:szCs w:val="20"/>
          <w:lang w:val="en-IN"/>
        </w:rPr>
        <w:t>stress, or if more persistent inflation pressures</w:t>
      </w:r>
      <w:r>
        <w:rPr>
          <w:rFonts w:ascii="Times New Roman" w:hAnsi="Times New Roman"/>
          <w:sz w:val="20"/>
          <w:szCs w:val="20"/>
          <w:lang w:val="en-IN"/>
        </w:rPr>
        <w:t xml:space="preserve"> </w:t>
      </w:r>
      <w:r w:rsidRPr="006A3DB6">
        <w:rPr>
          <w:rFonts w:ascii="Times New Roman" w:hAnsi="Times New Roman"/>
          <w:sz w:val="20"/>
          <w:szCs w:val="20"/>
          <w:lang w:val="en-IN"/>
        </w:rPr>
        <w:t>prompt tighter-than-expected monetary policy.</w:t>
      </w:r>
      <w:r>
        <w:rPr>
          <w:rFonts w:ascii="Times New Roman" w:hAnsi="Times New Roman"/>
          <w:sz w:val="20"/>
          <w:szCs w:val="20"/>
          <w:lang w:val="en-IN"/>
        </w:rPr>
        <w:t xml:space="preserve"> </w:t>
      </w:r>
      <w:r w:rsidRPr="006A3DB6">
        <w:rPr>
          <w:rFonts w:ascii="Times New Roman" w:hAnsi="Times New Roman"/>
          <w:sz w:val="20"/>
          <w:szCs w:val="20"/>
          <w:lang w:val="en-IN"/>
        </w:rPr>
        <w:t>Weak growth prospects and heightened risks in</w:t>
      </w:r>
      <w:r>
        <w:rPr>
          <w:rFonts w:ascii="Times New Roman" w:hAnsi="Times New Roman"/>
          <w:sz w:val="20"/>
          <w:szCs w:val="20"/>
          <w:lang w:val="en-IN"/>
        </w:rPr>
        <w:t xml:space="preserve"> </w:t>
      </w:r>
      <w:r w:rsidRPr="006A3DB6">
        <w:rPr>
          <w:rFonts w:ascii="Times New Roman" w:hAnsi="Times New Roman"/>
          <w:sz w:val="20"/>
          <w:szCs w:val="20"/>
          <w:lang w:val="en-IN"/>
        </w:rPr>
        <w:t>the near term compound a long-term slowdown</w:t>
      </w:r>
      <w:r>
        <w:rPr>
          <w:rFonts w:ascii="Times New Roman" w:hAnsi="Times New Roman"/>
          <w:sz w:val="20"/>
          <w:szCs w:val="20"/>
          <w:lang w:val="en-IN"/>
        </w:rPr>
        <w:t xml:space="preserve"> </w:t>
      </w:r>
      <w:r w:rsidRPr="006A3DB6">
        <w:rPr>
          <w:rFonts w:ascii="Times New Roman" w:hAnsi="Times New Roman"/>
          <w:sz w:val="20"/>
          <w:szCs w:val="20"/>
          <w:lang w:val="en-IN"/>
        </w:rPr>
        <w:t>in potential growth, which has been exacerbated</w:t>
      </w:r>
      <w:r>
        <w:rPr>
          <w:rFonts w:ascii="Times New Roman" w:hAnsi="Times New Roman"/>
          <w:sz w:val="20"/>
          <w:szCs w:val="20"/>
          <w:lang w:val="en-IN"/>
        </w:rPr>
        <w:t xml:space="preserve"> </w:t>
      </w:r>
      <w:r w:rsidRPr="006A3DB6">
        <w:rPr>
          <w:rFonts w:ascii="Times New Roman" w:hAnsi="Times New Roman"/>
          <w:sz w:val="20"/>
          <w:szCs w:val="20"/>
          <w:lang w:val="en-IN"/>
        </w:rPr>
        <w:t>by the overlapping shocks of the pandemic, the</w:t>
      </w:r>
      <w:r>
        <w:rPr>
          <w:rFonts w:ascii="Times New Roman" w:hAnsi="Times New Roman"/>
          <w:sz w:val="20"/>
          <w:szCs w:val="20"/>
          <w:lang w:val="en-IN"/>
        </w:rPr>
        <w:t xml:space="preserve"> </w:t>
      </w:r>
      <w:r w:rsidRPr="006A3DB6">
        <w:rPr>
          <w:rFonts w:ascii="Times New Roman" w:hAnsi="Times New Roman"/>
          <w:sz w:val="20"/>
          <w:szCs w:val="20"/>
          <w:lang w:val="en-IN"/>
        </w:rPr>
        <w:t>Russian Federation’s invasion of Ukraine, and the</w:t>
      </w:r>
      <w:r>
        <w:rPr>
          <w:rFonts w:ascii="Times New Roman" w:hAnsi="Times New Roman"/>
          <w:sz w:val="20"/>
          <w:szCs w:val="20"/>
          <w:lang w:val="en-IN"/>
        </w:rPr>
        <w:t xml:space="preserve"> </w:t>
      </w:r>
      <w:r w:rsidRPr="006A3DB6">
        <w:rPr>
          <w:rFonts w:ascii="Times New Roman" w:hAnsi="Times New Roman"/>
          <w:sz w:val="20"/>
          <w:szCs w:val="20"/>
          <w:lang w:val="en-IN"/>
        </w:rPr>
        <w:t>sharp tightening of global financial conditions.</w:t>
      </w:r>
      <w:r>
        <w:rPr>
          <w:rFonts w:ascii="Times New Roman" w:hAnsi="Times New Roman"/>
          <w:sz w:val="20"/>
          <w:szCs w:val="20"/>
          <w:lang w:val="en-IN"/>
        </w:rPr>
        <w:t xml:space="preserve"> </w:t>
      </w:r>
      <w:r w:rsidRPr="006A3DB6">
        <w:rPr>
          <w:rFonts w:ascii="Times New Roman" w:hAnsi="Times New Roman"/>
          <w:sz w:val="20"/>
          <w:szCs w:val="20"/>
          <w:lang w:val="en-IN"/>
        </w:rPr>
        <w:t>This difficult context highlights a multitude of</w:t>
      </w:r>
      <w:r>
        <w:rPr>
          <w:rFonts w:ascii="Times New Roman" w:hAnsi="Times New Roman"/>
          <w:sz w:val="20"/>
          <w:szCs w:val="20"/>
          <w:lang w:val="en-IN"/>
        </w:rPr>
        <w:t xml:space="preserve"> </w:t>
      </w:r>
      <w:r w:rsidRPr="006A3DB6">
        <w:rPr>
          <w:rFonts w:ascii="Times New Roman" w:hAnsi="Times New Roman"/>
          <w:sz w:val="20"/>
          <w:szCs w:val="20"/>
          <w:lang w:val="en-IN"/>
        </w:rPr>
        <w:t>policy challenges. Recent bank failures call for a</w:t>
      </w:r>
      <w:r>
        <w:rPr>
          <w:rFonts w:ascii="Times New Roman" w:hAnsi="Times New Roman"/>
          <w:sz w:val="20"/>
          <w:szCs w:val="20"/>
          <w:lang w:val="en-IN"/>
        </w:rPr>
        <w:t xml:space="preserve"> </w:t>
      </w:r>
      <w:r w:rsidRPr="006A3DB6">
        <w:rPr>
          <w:rFonts w:ascii="Times New Roman" w:hAnsi="Times New Roman"/>
          <w:sz w:val="20"/>
          <w:szCs w:val="20"/>
          <w:lang w:val="en-IN"/>
        </w:rPr>
        <w:t>renewed focus on global financial regulatory</w:t>
      </w:r>
      <w:r>
        <w:rPr>
          <w:rFonts w:ascii="Times New Roman" w:hAnsi="Times New Roman"/>
          <w:sz w:val="20"/>
          <w:szCs w:val="20"/>
          <w:lang w:val="en-IN"/>
        </w:rPr>
        <w:t xml:space="preserve"> </w:t>
      </w:r>
      <w:r w:rsidRPr="006A3DB6">
        <w:rPr>
          <w:rFonts w:ascii="Times New Roman" w:hAnsi="Times New Roman"/>
          <w:sz w:val="20"/>
          <w:szCs w:val="20"/>
          <w:lang w:val="en-IN"/>
        </w:rPr>
        <w:t>reform. Global cooperation is also necessary to</w:t>
      </w:r>
      <w:r>
        <w:rPr>
          <w:rFonts w:ascii="Times New Roman" w:hAnsi="Times New Roman"/>
          <w:sz w:val="20"/>
          <w:szCs w:val="20"/>
          <w:lang w:val="en-IN"/>
        </w:rPr>
        <w:t xml:space="preserve"> </w:t>
      </w:r>
      <w:r w:rsidRPr="006A3DB6">
        <w:rPr>
          <w:rFonts w:ascii="Times New Roman" w:hAnsi="Times New Roman"/>
          <w:sz w:val="20"/>
          <w:szCs w:val="20"/>
          <w:lang w:val="en-IN"/>
        </w:rPr>
        <w:t>accelerate the clean energy transition, mitigate</w:t>
      </w:r>
      <w:r>
        <w:rPr>
          <w:rFonts w:ascii="Times New Roman" w:hAnsi="Times New Roman"/>
          <w:sz w:val="20"/>
          <w:szCs w:val="20"/>
          <w:lang w:val="en-IN"/>
        </w:rPr>
        <w:t xml:space="preserve"> </w:t>
      </w:r>
      <w:r w:rsidRPr="006A3DB6">
        <w:rPr>
          <w:rFonts w:ascii="Times New Roman" w:hAnsi="Times New Roman"/>
          <w:sz w:val="20"/>
          <w:szCs w:val="20"/>
          <w:lang w:val="en-IN"/>
        </w:rPr>
        <w:t>climate change, and provide debt relief for</w:t>
      </w:r>
      <w:r>
        <w:rPr>
          <w:rFonts w:ascii="Times New Roman" w:hAnsi="Times New Roman"/>
          <w:sz w:val="20"/>
          <w:szCs w:val="20"/>
          <w:lang w:val="en-IN"/>
        </w:rPr>
        <w:t xml:space="preserve"> </w:t>
      </w:r>
      <w:r w:rsidRPr="006A3DB6">
        <w:rPr>
          <w:rFonts w:ascii="Times New Roman" w:hAnsi="Times New Roman"/>
          <w:sz w:val="20"/>
          <w:szCs w:val="20"/>
          <w:lang w:val="en-IN"/>
        </w:rPr>
        <w:t>the rising number of countries experiencing</w:t>
      </w:r>
      <w:r>
        <w:rPr>
          <w:rFonts w:ascii="Times New Roman" w:hAnsi="Times New Roman"/>
          <w:sz w:val="20"/>
          <w:szCs w:val="20"/>
          <w:lang w:val="en-IN"/>
        </w:rPr>
        <w:t xml:space="preserve"> </w:t>
      </w:r>
      <w:r w:rsidRPr="006A3DB6">
        <w:rPr>
          <w:rFonts w:ascii="Times New Roman" w:hAnsi="Times New Roman"/>
          <w:sz w:val="20"/>
          <w:szCs w:val="20"/>
          <w:lang w:val="en-IN"/>
        </w:rPr>
        <w:t>debt distress. At the national level, it is imperative</w:t>
      </w:r>
      <w:r>
        <w:rPr>
          <w:rFonts w:ascii="Times New Roman" w:hAnsi="Times New Roman"/>
          <w:sz w:val="20"/>
          <w:szCs w:val="20"/>
          <w:lang w:val="en-IN"/>
        </w:rPr>
        <w:t xml:space="preserve"> </w:t>
      </w:r>
      <w:r w:rsidRPr="006A3DB6">
        <w:rPr>
          <w:rFonts w:ascii="Times New Roman" w:hAnsi="Times New Roman"/>
          <w:sz w:val="20"/>
          <w:szCs w:val="20"/>
          <w:lang w:val="en-IN"/>
        </w:rPr>
        <w:t>to implement cre</w:t>
      </w:r>
      <w:r>
        <w:rPr>
          <w:rFonts w:ascii="Times New Roman" w:hAnsi="Times New Roman"/>
          <w:sz w:val="20"/>
          <w:szCs w:val="20"/>
          <w:lang w:val="en-IN"/>
        </w:rPr>
        <w:t>dible policies to contain infla</w:t>
      </w:r>
      <w:r w:rsidRPr="006A3DB6">
        <w:rPr>
          <w:rFonts w:ascii="Times New Roman" w:hAnsi="Times New Roman"/>
          <w:sz w:val="20"/>
          <w:szCs w:val="20"/>
          <w:lang w:val="en-IN"/>
        </w:rPr>
        <w:t>tion and ensure macroeconomic and financial</w:t>
      </w:r>
      <w:r>
        <w:rPr>
          <w:rFonts w:ascii="Times New Roman" w:hAnsi="Times New Roman"/>
          <w:sz w:val="20"/>
          <w:szCs w:val="20"/>
          <w:lang w:val="en-IN"/>
        </w:rPr>
        <w:t xml:space="preserve"> </w:t>
      </w:r>
      <w:r w:rsidRPr="006A3DB6">
        <w:rPr>
          <w:rFonts w:ascii="Times New Roman" w:hAnsi="Times New Roman"/>
          <w:sz w:val="20"/>
          <w:szCs w:val="20"/>
          <w:lang w:val="en-IN"/>
        </w:rPr>
        <w:t>stability, as well as undertake reforms to set the</w:t>
      </w:r>
      <w:r>
        <w:rPr>
          <w:rFonts w:ascii="Times New Roman" w:hAnsi="Times New Roman"/>
          <w:sz w:val="20"/>
          <w:szCs w:val="20"/>
          <w:lang w:val="en-IN"/>
        </w:rPr>
        <w:t xml:space="preserve"> </w:t>
      </w:r>
      <w:r w:rsidRPr="006A3DB6">
        <w:rPr>
          <w:rFonts w:ascii="Times New Roman" w:hAnsi="Times New Roman"/>
          <w:sz w:val="20"/>
          <w:szCs w:val="20"/>
          <w:lang w:val="en-IN"/>
        </w:rPr>
        <w:t>foundations for a</w:t>
      </w:r>
      <w:r>
        <w:rPr>
          <w:rFonts w:ascii="Times New Roman" w:hAnsi="Times New Roman"/>
          <w:sz w:val="20"/>
          <w:szCs w:val="20"/>
          <w:lang w:val="en-IN"/>
        </w:rPr>
        <w:t xml:space="preserve"> robust, sustainable, and inclu</w:t>
      </w:r>
      <w:r w:rsidRPr="006A3DB6">
        <w:rPr>
          <w:rFonts w:ascii="Times New Roman" w:hAnsi="Times New Roman"/>
          <w:sz w:val="20"/>
          <w:szCs w:val="20"/>
          <w:lang w:val="en-IN"/>
        </w:rPr>
        <w:t>sive development path.</w:t>
      </w:r>
    </w:p>
    <w:p w14:paraId="6040C504" w14:textId="77777777" w:rsidR="00361E52" w:rsidRPr="00712F3C" w:rsidRDefault="00361E52" w:rsidP="00361E52">
      <w:pPr>
        <w:spacing w:after="0" w:line="240" w:lineRule="auto"/>
        <w:ind w:right="26"/>
        <w:jc w:val="both"/>
        <w:rPr>
          <w:rFonts w:ascii="Times New Roman" w:hAnsi="Times New Roman"/>
          <w:sz w:val="20"/>
          <w:szCs w:val="20"/>
        </w:rPr>
      </w:pPr>
    </w:p>
    <w:p w14:paraId="2FD31CCC" w14:textId="77777777" w:rsidR="00361E52" w:rsidRPr="00712F3C" w:rsidRDefault="00361E52" w:rsidP="00361E52">
      <w:pPr>
        <w:spacing w:after="0" w:line="240" w:lineRule="auto"/>
        <w:ind w:right="26"/>
        <w:jc w:val="both"/>
        <w:rPr>
          <w:rFonts w:ascii="Times New Roman" w:hAnsi="Times New Roman"/>
          <w:b/>
          <w:i/>
          <w:sz w:val="20"/>
          <w:szCs w:val="20"/>
        </w:rPr>
      </w:pPr>
      <w:r w:rsidRPr="00712F3C">
        <w:rPr>
          <w:rFonts w:ascii="Times New Roman" w:hAnsi="Times New Roman"/>
          <w:b/>
          <w:i/>
          <w:sz w:val="20"/>
          <w:szCs w:val="20"/>
        </w:rPr>
        <w:t>Regional prospects</w:t>
      </w:r>
    </w:p>
    <w:p w14:paraId="510478A1" w14:textId="77777777" w:rsidR="00361E52" w:rsidRPr="00712F3C" w:rsidRDefault="00361E52" w:rsidP="00361E52">
      <w:pPr>
        <w:spacing w:after="0" w:line="240" w:lineRule="auto"/>
        <w:ind w:right="26"/>
        <w:jc w:val="both"/>
        <w:rPr>
          <w:rFonts w:ascii="Times New Roman" w:hAnsi="Times New Roman"/>
          <w:b/>
          <w:sz w:val="20"/>
          <w:szCs w:val="20"/>
        </w:rPr>
      </w:pPr>
    </w:p>
    <w:p w14:paraId="64F25B5E" w14:textId="7F53F92C" w:rsidR="00361E52" w:rsidRDefault="00361E52" w:rsidP="00361E52">
      <w:pPr>
        <w:spacing w:after="0" w:line="240" w:lineRule="auto"/>
        <w:ind w:right="26"/>
        <w:jc w:val="both"/>
        <w:rPr>
          <w:rFonts w:ascii="Times New Roman" w:hAnsi="Times New Roman"/>
          <w:sz w:val="20"/>
          <w:szCs w:val="20"/>
          <w:lang w:val="en-IN"/>
        </w:rPr>
      </w:pPr>
      <w:r w:rsidRPr="002C4919">
        <w:rPr>
          <w:rFonts w:ascii="Times New Roman" w:hAnsi="Times New Roman"/>
          <w:sz w:val="20"/>
          <w:szCs w:val="20"/>
          <w:lang w:val="en-IN"/>
        </w:rPr>
        <w:t>Growth is projected to</w:t>
      </w:r>
      <w:r>
        <w:rPr>
          <w:rFonts w:ascii="Times New Roman" w:hAnsi="Times New Roman"/>
          <w:sz w:val="20"/>
          <w:szCs w:val="20"/>
          <w:lang w:val="en-IN"/>
        </w:rPr>
        <w:t xml:space="preserve"> </w:t>
      </w:r>
      <w:r w:rsidRPr="002C4919">
        <w:rPr>
          <w:rFonts w:ascii="Times New Roman" w:hAnsi="Times New Roman"/>
          <w:sz w:val="20"/>
          <w:szCs w:val="20"/>
          <w:lang w:val="en-IN"/>
        </w:rPr>
        <w:t>diverge across EMDE regions this year and next.</w:t>
      </w:r>
      <w:r>
        <w:rPr>
          <w:rFonts w:ascii="Times New Roman" w:hAnsi="Times New Roman"/>
          <w:sz w:val="20"/>
          <w:szCs w:val="20"/>
          <w:lang w:val="en-IN"/>
        </w:rPr>
        <w:t xml:space="preserve"> </w:t>
      </w:r>
      <w:r w:rsidRPr="002C4919">
        <w:rPr>
          <w:rFonts w:ascii="Times New Roman" w:hAnsi="Times New Roman"/>
          <w:sz w:val="20"/>
          <w:szCs w:val="20"/>
          <w:lang w:val="en-IN"/>
        </w:rPr>
        <w:t>It is expected to pick up in 2023 in East Asia and</w:t>
      </w:r>
      <w:r>
        <w:rPr>
          <w:rFonts w:ascii="Times New Roman" w:hAnsi="Times New Roman"/>
          <w:sz w:val="20"/>
          <w:szCs w:val="20"/>
          <w:lang w:val="en-IN"/>
        </w:rPr>
        <w:t xml:space="preserve"> </w:t>
      </w:r>
      <w:r w:rsidRPr="002C4919">
        <w:rPr>
          <w:rFonts w:ascii="Times New Roman" w:hAnsi="Times New Roman"/>
          <w:sz w:val="20"/>
          <w:szCs w:val="20"/>
          <w:lang w:val="en-IN"/>
        </w:rPr>
        <w:t>Pacific (EAP) and Europe and Central Asia</w:t>
      </w:r>
      <w:r>
        <w:rPr>
          <w:rFonts w:ascii="Times New Roman" w:hAnsi="Times New Roman"/>
          <w:sz w:val="20"/>
          <w:szCs w:val="20"/>
          <w:lang w:val="en-IN"/>
        </w:rPr>
        <w:t xml:space="preserve"> </w:t>
      </w:r>
      <w:r w:rsidRPr="002C4919">
        <w:rPr>
          <w:rFonts w:ascii="Times New Roman" w:hAnsi="Times New Roman"/>
          <w:sz w:val="20"/>
          <w:szCs w:val="20"/>
          <w:lang w:val="en-IN"/>
        </w:rPr>
        <w:t>(ECA), as China’s reopening spurs a recovery and</w:t>
      </w:r>
      <w:r>
        <w:rPr>
          <w:rFonts w:ascii="Times New Roman" w:hAnsi="Times New Roman"/>
          <w:sz w:val="20"/>
          <w:szCs w:val="20"/>
          <w:lang w:val="en-IN"/>
        </w:rPr>
        <w:t xml:space="preserve"> </w:t>
      </w:r>
      <w:r w:rsidRPr="002C4919">
        <w:rPr>
          <w:rFonts w:ascii="Times New Roman" w:hAnsi="Times New Roman"/>
          <w:sz w:val="20"/>
          <w:szCs w:val="20"/>
          <w:lang w:val="en-IN"/>
        </w:rPr>
        <w:t>as growth prospects in several large economies</w:t>
      </w:r>
      <w:r>
        <w:rPr>
          <w:rFonts w:ascii="Times New Roman" w:hAnsi="Times New Roman"/>
          <w:sz w:val="20"/>
          <w:szCs w:val="20"/>
          <w:lang w:val="en-IN"/>
        </w:rPr>
        <w:t xml:space="preserve"> </w:t>
      </w:r>
      <w:r w:rsidRPr="002C4919">
        <w:rPr>
          <w:rFonts w:ascii="Times New Roman" w:hAnsi="Times New Roman"/>
          <w:sz w:val="20"/>
          <w:szCs w:val="20"/>
          <w:lang w:val="en-IN"/>
        </w:rPr>
        <w:t>improve. In contrast, growth is forecast to</w:t>
      </w:r>
      <w:r>
        <w:rPr>
          <w:rFonts w:ascii="Times New Roman" w:hAnsi="Times New Roman"/>
          <w:sz w:val="20"/>
          <w:szCs w:val="20"/>
          <w:lang w:val="en-IN"/>
        </w:rPr>
        <w:t xml:space="preserve"> </w:t>
      </w:r>
      <w:r w:rsidRPr="002C4919">
        <w:rPr>
          <w:rFonts w:ascii="Times New Roman" w:hAnsi="Times New Roman"/>
          <w:sz w:val="20"/>
          <w:szCs w:val="20"/>
          <w:lang w:val="en-IN"/>
        </w:rPr>
        <w:t>moderate in all other regions, particularly in</w:t>
      </w:r>
      <w:r>
        <w:rPr>
          <w:rFonts w:ascii="Times New Roman" w:hAnsi="Times New Roman"/>
          <w:sz w:val="20"/>
          <w:szCs w:val="20"/>
          <w:lang w:val="en-IN"/>
        </w:rPr>
        <w:t xml:space="preserve"> </w:t>
      </w:r>
      <w:r w:rsidRPr="002C4919">
        <w:rPr>
          <w:rFonts w:ascii="Times New Roman" w:hAnsi="Times New Roman"/>
          <w:sz w:val="20"/>
          <w:szCs w:val="20"/>
          <w:lang w:val="en-IN"/>
        </w:rPr>
        <w:t>Latin America and the Caribbean (LAC) and the</w:t>
      </w:r>
      <w:r>
        <w:rPr>
          <w:rFonts w:ascii="Times New Roman" w:hAnsi="Times New Roman"/>
          <w:sz w:val="20"/>
          <w:szCs w:val="20"/>
          <w:lang w:val="en-IN"/>
        </w:rPr>
        <w:t xml:space="preserve"> </w:t>
      </w:r>
      <w:r w:rsidRPr="002C4919">
        <w:rPr>
          <w:rFonts w:ascii="Times New Roman" w:hAnsi="Times New Roman"/>
          <w:sz w:val="20"/>
          <w:szCs w:val="20"/>
          <w:lang w:val="en-IN"/>
        </w:rPr>
        <w:t>Middle East and North Africa (MNA). Head-winds from weak external demand, tight global</w:t>
      </w:r>
      <w:r>
        <w:rPr>
          <w:rFonts w:ascii="Times New Roman" w:hAnsi="Times New Roman"/>
          <w:sz w:val="20"/>
          <w:szCs w:val="20"/>
          <w:lang w:val="en-IN"/>
        </w:rPr>
        <w:t xml:space="preserve"> </w:t>
      </w:r>
      <w:r w:rsidRPr="002C4919">
        <w:rPr>
          <w:rFonts w:ascii="Times New Roman" w:hAnsi="Times New Roman"/>
          <w:sz w:val="20"/>
          <w:szCs w:val="20"/>
          <w:lang w:val="en-IN"/>
        </w:rPr>
        <w:t>financial conditions, and high inflation will drag</w:t>
      </w:r>
      <w:r>
        <w:rPr>
          <w:rFonts w:ascii="Times New Roman" w:hAnsi="Times New Roman"/>
          <w:sz w:val="20"/>
          <w:szCs w:val="20"/>
          <w:lang w:val="en-IN"/>
        </w:rPr>
        <w:t xml:space="preserve"> </w:t>
      </w:r>
      <w:r w:rsidRPr="002C4919">
        <w:rPr>
          <w:rFonts w:ascii="Times New Roman" w:hAnsi="Times New Roman"/>
          <w:sz w:val="20"/>
          <w:szCs w:val="20"/>
          <w:lang w:val="en-IN"/>
        </w:rPr>
        <w:t>on activity this year, especially in LAC, South</w:t>
      </w:r>
      <w:r>
        <w:rPr>
          <w:rFonts w:ascii="Times New Roman" w:hAnsi="Times New Roman"/>
          <w:sz w:val="20"/>
          <w:szCs w:val="20"/>
          <w:lang w:val="en-IN"/>
        </w:rPr>
        <w:t xml:space="preserve"> </w:t>
      </w:r>
      <w:r w:rsidRPr="002C4919">
        <w:rPr>
          <w:rFonts w:ascii="Times New Roman" w:hAnsi="Times New Roman"/>
          <w:sz w:val="20"/>
          <w:szCs w:val="20"/>
          <w:lang w:val="en-IN"/>
        </w:rPr>
        <w:t>Asia (SAR), and Sub-Saharan Africa (SSA). The</w:t>
      </w:r>
      <w:r>
        <w:rPr>
          <w:rFonts w:ascii="Times New Roman" w:hAnsi="Times New Roman"/>
          <w:sz w:val="20"/>
          <w:szCs w:val="20"/>
          <w:lang w:val="en-IN"/>
        </w:rPr>
        <w:t xml:space="preserve"> </w:t>
      </w:r>
      <w:r w:rsidRPr="002C4919">
        <w:rPr>
          <w:rFonts w:ascii="Times New Roman" w:hAnsi="Times New Roman"/>
          <w:sz w:val="20"/>
          <w:szCs w:val="20"/>
          <w:lang w:val="en-IN"/>
        </w:rPr>
        <w:t>lingering impact of Russia’s invasion of Ukraine</w:t>
      </w:r>
      <w:r>
        <w:rPr>
          <w:rFonts w:ascii="Times New Roman" w:hAnsi="Times New Roman"/>
          <w:sz w:val="20"/>
          <w:szCs w:val="20"/>
          <w:lang w:val="en-IN"/>
        </w:rPr>
        <w:t xml:space="preserve"> </w:t>
      </w:r>
      <w:r w:rsidRPr="002C4919">
        <w:rPr>
          <w:rFonts w:ascii="Times New Roman" w:hAnsi="Times New Roman"/>
          <w:sz w:val="20"/>
          <w:szCs w:val="20"/>
          <w:lang w:val="en-IN"/>
        </w:rPr>
        <w:t>will continue to weigh on growth across regions,</w:t>
      </w:r>
      <w:r>
        <w:rPr>
          <w:rFonts w:ascii="Times New Roman" w:hAnsi="Times New Roman"/>
          <w:sz w:val="20"/>
          <w:szCs w:val="20"/>
          <w:lang w:val="en-IN"/>
        </w:rPr>
        <w:t xml:space="preserve"> </w:t>
      </w:r>
      <w:r w:rsidRPr="002C4919">
        <w:rPr>
          <w:rFonts w:ascii="Times New Roman" w:hAnsi="Times New Roman"/>
          <w:sz w:val="20"/>
          <w:szCs w:val="20"/>
          <w:lang w:val="en-IN"/>
        </w:rPr>
        <w:t>particularly in EC</w:t>
      </w:r>
      <w:r>
        <w:rPr>
          <w:rFonts w:ascii="Times New Roman" w:hAnsi="Times New Roman"/>
          <w:sz w:val="20"/>
          <w:szCs w:val="20"/>
          <w:lang w:val="en-IN"/>
        </w:rPr>
        <w:t>A. Next year, growth is project</w:t>
      </w:r>
      <w:r w:rsidRPr="002C4919">
        <w:rPr>
          <w:rFonts w:ascii="Times New Roman" w:hAnsi="Times New Roman"/>
          <w:sz w:val="20"/>
          <w:szCs w:val="20"/>
          <w:lang w:val="en-IN"/>
        </w:rPr>
        <w:t>ed to moderate in EAP and SAR but to pick up</w:t>
      </w:r>
      <w:r>
        <w:rPr>
          <w:rFonts w:ascii="Times New Roman" w:hAnsi="Times New Roman"/>
          <w:sz w:val="20"/>
          <w:szCs w:val="20"/>
          <w:lang w:val="en-IN"/>
        </w:rPr>
        <w:t xml:space="preserve"> </w:t>
      </w:r>
      <w:r w:rsidRPr="002C4919">
        <w:rPr>
          <w:rFonts w:ascii="Times New Roman" w:hAnsi="Times New Roman"/>
          <w:sz w:val="20"/>
          <w:szCs w:val="20"/>
          <w:lang w:val="en-IN"/>
        </w:rPr>
        <w:t>elsewhere as domestic headwinds ease and</w:t>
      </w:r>
      <w:r>
        <w:rPr>
          <w:rFonts w:ascii="Times New Roman" w:hAnsi="Times New Roman"/>
          <w:sz w:val="20"/>
          <w:szCs w:val="20"/>
          <w:lang w:val="en-IN"/>
        </w:rPr>
        <w:t xml:space="preserve"> </w:t>
      </w:r>
      <w:r w:rsidRPr="002C4919">
        <w:rPr>
          <w:rFonts w:ascii="Times New Roman" w:hAnsi="Times New Roman"/>
          <w:sz w:val="20"/>
          <w:szCs w:val="20"/>
          <w:lang w:val="en-IN"/>
        </w:rPr>
        <w:t>external demand strengthens. Downside risks to</w:t>
      </w:r>
      <w:r>
        <w:rPr>
          <w:rFonts w:ascii="Times New Roman" w:hAnsi="Times New Roman"/>
          <w:sz w:val="20"/>
          <w:szCs w:val="20"/>
          <w:lang w:val="en-IN"/>
        </w:rPr>
        <w:t xml:space="preserve"> </w:t>
      </w:r>
      <w:r w:rsidRPr="002C4919">
        <w:rPr>
          <w:rFonts w:ascii="Times New Roman" w:hAnsi="Times New Roman"/>
          <w:sz w:val="20"/>
          <w:szCs w:val="20"/>
          <w:lang w:val="en-IN"/>
        </w:rPr>
        <w:t>the outlook for all regions include possible</w:t>
      </w:r>
      <w:r>
        <w:rPr>
          <w:rFonts w:ascii="Times New Roman" w:hAnsi="Times New Roman"/>
          <w:sz w:val="20"/>
          <w:szCs w:val="20"/>
          <w:lang w:val="en-IN"/>
        </w:rPr>
        <w:t xml:space="preserve"> </w:t>
      </w:r>
      <w:r w:rsidRPr="002C4919">
        <w:rPr>
          <w:rFonts w:ascii="Times New Roman" w:hAnsi="Times New Roman"/>
          <w:sz w:val="20"/>
          <w:szCs w:val="20"/>
          <w:lang w:val="en-IN"/>
        </w:rPr>
        <w:t>further global financial stress and more persistent</w:t>
      </w:r>
      <w:r>
        <w:rPr>
          <w:rFonts w:ascii="Times New Roman" w:hAnsi="Times New Roman"/>
          <w:sz w:val="20"/>
          <w:szCs w:val="20"/>
          <w:lang w:val="en-IN"/>
        </w:rPr>
        <w:t xml:space="preserve"> </w:t>
      </w:r>
      <w:r w:rsidRPr="002C4919">
        <w:rPr>
          <w:rFonts w:ascii="Times New Roman" w:hAnsi="Times New Roman"/>
          <w:sz w:val="20"/>
          <w:szCs w:val="20"/>
          <w:lang w:val="en-IN"/>
        </w:rPr>
        <w:t>domestic inflation than projected in the baseline.</w:t>
      </w:r>
      <w:r>
        <w:rPr>
          <w:rFonts w:ascii="Times New Roman" w:hAnsi="Times New Roman"/>
          <w:sz w:val="20"/>
          <w:szCs w:val="20"/>
          <w:lang w:val="en-IN"/>
        </w:rPr>
        <w:t xml:space="preserve"> </w:t>
      </w:r>
      <w:r w:rsidRPr="002C4919">
        <w:rPr>
          <w:rFonts w:ascii="Times New Roman" w:hAnsi="Times New Roman"/>
          <w:sz w:val="20"/>
          <w:szCs w:val="20"/>
          <w:lang w:val="en-IN"/>
        </w:rPr>
        <w:t>Geopolitical tensions, conflict and social unrest,</w:t>
      </w:r>
      <w:r>
        <w:rPr>
          <w:rFonts w:ascii="Times New Roman" w:hAnsi="Times New Roman"/>
          <w:sz w:val="20"/>
          <w:szCs w:val="20"/>
          <w:lang w:val="en-IN"/>
        </w:rPr>
        <w:t xml:space="preserve"> </w:t>
      </w:r>
      <w:r w:rsidRPr="002C4919">
        <w:rPr>
          <w:rFonts w:ascii="Times New Roman" w:hAnsi="Times New Roman"/>
          <w:sz w:val="20"/>
          <w:szCs w:val="20"/>
          <w:lang w:val="en-IN"/>
        </w:rPr>
        <w:t>and natural disasters stemming from climate</w:t>
      </w:r>
      <w:r>
        <w:rPr>
          <w:rFonts w:ascii="Times New Roman" w:hAnsi="Times New Roman"/>
          <w:sz w:val="20"/>
          <w:szCs w:val="20"/>
          <w:lang w:val="en-IN"/>
        </w:rPr>
        <w:t xml:space="preserve"> </w:t>
      </w:r>
      <w:r w:rsidRPr="002C4919">
        <w:rPr>
          <w:rFonts w:ascii="Times New Roman" w:hAnsi="Times New Roman"/>
          <w:sz w:val="20"/>
          <w:szCs w:val="20"/>
          <w:lang w:val="en-IN"/>
        </w:rPr>
        <w:t>change also present downside risks, to varying</w:t>
      </w:r>
      <w:r>
        <w:rPr>
          <w:rFonts w:ascii="Times New Roman" w:hAnsi="Times New Roman"/>
          <w:sz w:val="20"/>
          <w:szCs w:val="20"/>
          <w:lang w:val="en-IN"/>
        </w:rPr>
        <w:t xml:space="preserve"> </w:t>
      </w:r>
      <w:r w:rsidRPr="002C4919">
        <w:rPr>
          <w:rFonts w:ascii="Times New Roman" w:hAnsi="Times New Roman"/>
          <w:sz w:val="20"/>
          <w:szCs w:val="20"/>
          <w:lang w:val="en-IN"/>
        </w:rPr>
        <w:t>degrees. The materialization of such risks could</w:t>
      </w:r>
      <w:r>
        <w:rPr>
          <w:rFonts w:ascii="Times New Roman" w:hAnsi="Times New Roman"/>
          <w:sz w:val="20"/>
          <w:szCs w:val="20"/>
          <w:lang w:val="en-IN"/>
        </w:rPr>
        <w:t xml:space="preserve"> </w:t>
      </w:r>
      <w:r w:rsidRPr="002C4919">
        <w:rPr>
          <w:rFonts w:ascii="Times New Roman" w:hAnsi="Times New Roman"/>
          <w:sz w:val="20"/>
          <w:szCs w:val="20"/>
          <w:lang w:val="en-IN"/>
        </w:rPr>
        <w:t>further weaken potential growth, leading to a</w:t>
      </w:r>
      <w:r>
        <w:rPr>
          <w:rFonts w:ascii="Times New Roman" w:hAnsi="Times New Roman"/>
          <w:sz w:val="20"/>
          <w:szCs w:val="20"/>
          <w:lang w:val="en-IN"/>
        </w:rPr>
        <w:t xml:space="preserve"> </w:t>
      </w:r>
      <w:r w:rsidRPr="002C4919">
        <w:rPr>
          <w:rFonts w:ascii="Times New Roman" w:hAnsi="Times New Roman"/>
          <w:sz w:val="20"/>
          <w:szCs w:val="20"/>
          <w:lang w:val="en-IN"/>
        </w:rPr>
        <w:t>prolonged period of slower growth in all EMDE</w:t>
      </w:r>
      <w:r>
        <w:rPr>
          <w:rFonts w:ascii="Times New Roman" w:hAnsi="Times New Roman"/>
          <w:sz w:val="20"/>
          <w:szCs w:val="20"/>
          <w:lang w:val="en-IN"/>
        </w:rPr>
        <w:t xml:space="preserve"> </w:t>
      </w:r>
      <w:r w:rsidRPr="002C4919">
        <w:rPr>
          <w:rFonts w:ascii="Times New Roman" w:hAnsi="Times New Roman"/>
          <w:sz w:val="20"/>
          <w:szCs w:val="20"/>
          <w:lang w:val="en-IN"/>
        </w:rPr>
        <w:t>regions.</w:t>
      </w:r>
    </w:p>
    <w:p w14:paraId="40A81697" w14:textId="77777777" w:rsidR="00361E52" w:rsidRPr="00712F3C" w:rsidRDefault="00361E52" w:rsidP="00361E52">
      <w:pPr>
        <w:spacing w:after="0" w:line="240" w:lineRule="auto"/>
        <w:ind w:right="26"/>
        <w:jc w:val="both"/>
        <w:rPr>
          <w:rFonts w:ascii="Times New Roman" w:hAnsi="Times New Roman"/>
          <w:sz w:val="20"/>
          <w:szCs w:val="20"/>
        </w:rPr>
      </w:pPr>
    </w:p>
    <w:p w14:paraId="0B7778D9" w14:textId="77777777" w:rsidR="00361E52" w:rsidRDefault="00361E52" w:rsidP="00361E52">
      <w:pPr>
        <w:spacing w:after="0" w:line="240" w:lineRule="auto"/>
        <w:ind w:right="26"/>
        <w:jc w:val="both"/>
        <w:rPr>
          <w:rFonts w:ascii="Times New Roman" w:hAnsi="Times New Roman"/>
          <w:b/>
          <w:i/>
          <w:sz w:val="20"/>
          <w:szCs w:val="20"/>
        </w:rPr>
      </w:pPr>
      <w:r w:rsidRPr="009A48C4">
        <w:rPr>
          <w:rFonts w:ascii="Times New Roman" w:hAnsi="Times New Roman"/>
          <w:b/>
          <w:i/>
          <w:sz w:val="20"/>
          <w:szCs w:val="20"/>
        </w:rPr>
        <w:t>Financial Spillover</w:t>
      </w:r>
      <w:r>
        <w:rPr>
          <w:rFonts w:ascii="Times New Roman" w:hAnsi="Times New Roman"/>
          <w:b/>
          <w:i/>
          <w:sz w:val="20"/>
          <w:szCs w:val="20"/>
        </w:rPr>
        <w:t>s of Rising U.S. Interest Rates</w:t>
      </w:r>
    </w:p>
    <w:p w14:paraId="0163D615" w14:textId="77777777" w:rsidR="00361E52" w:rsidRPr="00712F3C" w:rsidRDefault="00361E52" w:rsidP="00361E52">
      <w:pPr>
        <w:spacing w:after="0" w:line="240" w:lineRule="auto"/>
        <w:ind w:right="26"/>
        <w:jc w:val="both"/>
        <w:rPr>
          <w:rFonts w:ascii="Times New Roman" w:hAnsi="Times New Roman"/>
          <w:sz w:val="20"/>
          <w:szCs w:val="20"/>
        </w:rPr>
      </w:pPr>
    </w:p>
    <w:p w14:paraId="6E188E69" w14:textId="77777777" w:rsidR="00361E52" w:rsidRPr="00712F3C" w:rsidRDefault="00361E52" w:rsidP="00361E52">
      <w:pPr>
        <w:spacing w:after="0" w:line="240" w:lineRule="auto"/>
        <w:ind w:right="26"/>
        <w:jc w:val="both"/>
        <w:rPr>
          <w:rFonts w:ascii="Times New Roman" w:hAnsi="Times New Roman"/>
          <w:sz w:val="20"/>
          <w:szCs w:val="20"/>
        </w:rPr>
      </w:pPr>
      <w:r w:rsidRPr="009A48C4">
        <w:rPr>
          <w:rFonts w:ascii="Times New Roman" w:hAnsi="Times New Roman"/>
          <w:sz w:val="20"/>
          <w:szCs w:val="20"/>
        </w:rPr>
        <w:t>The rapid rise in interest rates in the United States poses a significant challenge to EMDEs. As the Federal Reserve has pivoted toward a more hawkish stance to rein in inflation, a substantial part of the sharp increases in U.S. interest rates since early 2022 has been driven by shocks that capture changes in perceptions of the Fed’s reaction function. These reaction shocks are associated with especially adverse financial market effects in EMDEs, including a higher likelihood of experiencing a financial crisis. Their effects also appear to be more pronounced in EMDEs with greater economic vulnerabilities. These findings suggest that major central banks can alleviate adverse spillovers through proper communication that clarifies their reaction functions. They also highlight that EMDEs need to adjust macroeconomic and financial policies to mitigate the negative impact of rising global and U.S. interest rates.</w:t>
      </w:r>
    </w:p>
    <w:p w14:paraId="3F1C477C" w14:textId="77777777" w:rsidR="00361E52" w:rsidRPr="00712F3C" w:rsidRDefault="00361E52" w:rsidP="00361E52">
      <w:pPr>
        <w:spacing w:after="0" w:line="240" w:lineRule="auto"/>
        <w:ind w:right="26"/>
        <w:jc w:val="both"/>
        <w:rPr>
          <w:rFonts w:ascii="Times New Roman" w:hAnsi="Times New Roman"/>
          <w:b/>
          <w:i/>
          <w:sz w:val="20"/>
          <w:szCs w:val="20"/>
        </w:rPr>
      </w:pPr>
    </w:p>
    <w:p w14:paraId="3AEF304C" w14:textId="77777777" w:rsidR="00361E52" w:rsidRPr="009A48C4" w:rsidRDefault="00361E52" w:rsidP="00361E52">
      <w:pPr>
        <w:spacing w:after="0" w:line="240" w:lineRule="auto"/>
        <w:ind w:right="26"/>
        <w:jc w:val="both"/>
        <w:rPr>
          <w:rFonts w:ascii="Times New Roman" w:hAnsi="Times New Roman"/>
          <w:b/>
          <w:i/>
          <w:sz w:val="20"/>
          <w:szCs w:val="20"/>
        </w:rPr>
      </w:pPr>
      <w:r w:rsidRPr="009A48C4">
        <w:rPr>
          <w:rFonts w:ascii="Times New Roman" w:hAnsi="Times New Roman"/>
          <w:b/>
          <w:i/>
          <w:sz w:val="20"/>
          <w:szCs w:val="20"/>
        </w:rPr>
        <w:t>Global outlook</w:t>
      </w:r>
    </w:p>
    <w:p w14:paraId="051C9BB2" w14:textId="77777777" w:rsidR="00361E52" w:rsidRPr="00712F3C" w:rsidRDefault="00361E52" w:rsidP="00361E52">
      <w:pPr>
        <w:spacing w:after="0" w:line="240" w:lineRule="auto"/>
        <w:ind w:right="26"/>
        <w:jc w:val="both"/>
        <w:rPr>
          <w:rFonts w:ascii="Times New Roman" w:hAnsi="Times New Roman"/>
          <w:b/>
          <w:i/>
          <w:sz w:val="20"/>
          <w:szCs w:val="20"/>
        </w:rPr>
      </w:pPr>
    </w:p>
    <w:p w14:paraId="358DA51A" w14:textId="77777777" w:rsidR="00361E52" w:rsidRPr="00712F3C" w:rsidRDefault="00361E52" w:rsidP="00361E52">
      <w:pPr>
        <w:spacing w:after="0" w:line="240" w:lineRule="auto"/>
        <w:ind w:right="26"/>
        <w:jc w:val="both"/>
        <w:rPr>
          <w:rFonts w:ascii="Times New Roman" w:hAnsi="Times New Roman"/>
          <w:sz w:val="20"/>
          <w:szCs w:val="20"/>
        </w:rPr>
      </w:pPr>
      <w:r w:rsidRPr="00F61DAD">
        <w:rPr>
          <w:rFonts w:ascii="Times New Roman" w:hAnsi="Times New Roman"/>
          <w:sz w:val="20"/>
          <w:szCs w:val="20"/>
        </w:rPr>
        <w:t>The global economy remains in a precarious state amid the protracted effects of the overlapping negative shocks of the pandemic, the Russian Federation’s invasion of Ukraine, and the sharp tightening of monetary policy to contain high inflation. The resilience that global economic activity exhibited earlier this year is expected to fade. Growth in several major economies was stronger than envisaged at the beginning of the year, with faster-than-expected economic reopening in China and resilient consumption in the United States. Nonetheless, for 2023 as a whole, global activity is projected to slow, with a pronounced deceleration in advanced economies and a siza</w:t>
      </w:r>
      <w:r>
        <w:rPr>
          <w:rFonts w:ascii="Times New Roman" w:hAnsi="Times New Roman"/>
          <w:sz w:val="20"/>
          <w:szCs w:val="20"/>
        </w:rPr>
        <w:t xml:space="preserve">ble pickup in China (figure </w:t>
      </w:r>
      <w:r w:rsidRPr="00F61DAD">
        <w:rPr>
          <w:rFonts w:ascii="Times New Roman" w:hAnsi="Times New Roman"/>
          <w:sz w:val="20"/>
          <w:szCs w:val="20"/>
        </w:rPr>
        <w:t xml:space="preserve">A). Inflation pressures persist, and the drag on growth from the ongoing monetary tightening to restore price stability is expected to peak in 2023 in many major economies. Recent banking sector stress will further tighten credit conditions. This will result in a substantial growth deceleration in the second half of this year. This slowdown will </w:t>
      </w:r>
      <w:r w:rsidRPr="00F61DAD">
        <w:rPr>
          <w:rFonts w:ascii="Times New Roman" w:hAnsi="Times New Roman"/>
          <w:sz w:val="20"/>
          <w:szCs w:val="20"/>
        </w:rPr>
        <w:lastRenderedPageBreak/>
        <w:t>compound a period of already-subdued growth—over the first half of the 2020s (2020-2024), growth in EMDEs is expected to average just 3.4 percent, one of the weakest half-decades of the past 30 years (f</w:t>
      </w:r>
      <w:r>
        <w:rPr>
          <w:rFonts w:ascii="Times New Roman" w:hAnsi="Times New Roman"/>
          <w:sz w:val="20"/>
          <w:szCs w:val="20"/>
        </w:rPr>
        <w:t xml:space="preserve">igure </w:t>
      </w:r>
      <w:r w:rsidRPr="00F61DAD">
        <w:rPr>
          <w:rFonts w:ascii="Times New Roman" w:hAnsi="Times New Roman"/>
          <w:sz w:val="20"/>
          <w:szCs w:val="20"/>
        </w:rPr>
        <w:t>B). This slowdown reflects both cyclical dynamics and the current trend of declining global pote</w:t>
      </w:r>
      <w:r>
        <w:rPr>
          <w:rFonts w:ascii="Times New Roman" w:hAnsi="Times New Roman"/>
          <w:sz w:val="20"/>
          <w:szCs w:val="20"/>
        </w:rPr>
        <w:t xml:space="preserve">ntial output growth (figure </w:t>
      </w:r>
      <w:r w:rsidRPr="00F61DAD">
        <w:rPr>
          <w:rFonts w:ascii="Times New Roman" w:hAnsi="Times New Roman"/>
          <w:sz w:val="20"/>
          <w:szCs w:val="20"/>
        </w:rPr>
        <w:t xml:space="preserve">C).  </w:t>
      </w:r>
    </w:p>
    <w:p w14:paraId="16039B15" w14:textId="77777777" w:rsidR="00361E52" w:rsidRPr="00712F3C" w:rsidRDefault="00361E52" w:rsidP="00361E52">
      <w:pPr>
        <w:spacing w:after="0" w:line="240" w:lineRule="auto"/>
        <w:ind w:right="26"/>
        <w:jc w:val="both"/>
        <w:rPr>
          <w:rFonts w:ascii="Times New Roman" w:hAnsi="Times New Roman"/>
          <w:sz w:val="20"/>
          <w:szCs w:val="20"/>
        </w:rPr>
      </w:pPr>
    </w:p>
    <w:p w14:paraId="236136CB" w14:textId="77777777" w:rsidR="00361E52" w:rsidRDefault="00361E52" w:rsidP="00361E52">
      <w:pPr>
        <w:spacing w:after="0" w:line="240" w:lineRule="auto"/>
        <w:ind w:right="26"/>
        <w:jc w:val="both"/>
        <w:rPr>
          <w:rFonts w:ascii="Times New Roman" w:hAnsi="Times New Roman"/>
          <w:sz w:val="20"/>
          <w:szCs w:val="20"/>
        </w:rPr>
      </w:pPr>
      <w:r w:rsidRPr="00935F0F">
        <w:rPr>
          <w:rFonts w:ascii="Times New Roman" w:hAnsi="Times New Roman"/>
          <w:sz w:val="20"/>
          <w:szCs w:val="20"/>
        </w:rPr>
        <w:t>Global financial conditions have tightened as a result of policy rate hikes and, to a lesser extent, recent bouts of financial instability. Many banks experienced substantial unrealized losses due to the sharp rise in policy interest rates. Concerns about the viability of balance sheets of some banks led to depositor flight and market volatility in the United States and Europe earlier in the year, which were stemmed by a swift and extensive policy response. Financial markets remain highly sensitive to evolving expectations about the future path of interest rates of major central banks. Spillovers from banking turmoil in advanced economies to EMDEs have so far been limited. However, countries with more pronounced macroeconomic policy vulnerabilities, as reflected by lower credit ratings, have experienced slower growth and greater financial stress, including large currency depreciations and a sharp widening of sovereign spreads. Projections for 2023 growth in these economies have fallen by more than half</w:t>
      </w:r>
      <w:r>
        <w:rPr>
          <w:rFonts w:ascii="Times New Roman" w:hAnsi="Times New Roman"/>
          <w:sz w:val="20"/>
          <w:szCs w:val="20"/>
        </w:rPr>
        <w:t xml:space="preserve"> over the past year (figure </w:t>
      </w:r>
      <w:r w:rsidRPr="00935F0F">
        <w:rPr>
          <w:rFonts w:ascii="Times New Roman" w:hAnsi="Times New Roman"/>
          <w:sz w:val="20"/>
          <w:szCs w:val="20"/>
        </w:rPr>
        <w:t>D).</w:t>
      </w:r>
    </w:p>
    <w:p w14:paraId="637FCC21" w14:textId="77777777" w:rsidR="00361E52" w:rsidRPr="00712F3C" w:rsidRDefault="00361E52" w:rsidP="00361E52">
      <w:pPr>
        <w:spacing w:after="0" w:line="240" w:lineRule="auto"/>
        <w:ind w:right="26"/>
        <w:jc w:val="both"/>
        <w:rPr>
          <w:rFonts w:ascii="Times New Roman" w:hAnsi="Times New Roman"/>
          <w:sz w:val="20"/>
          <w:szCs w:val="20"/>
        </w:rPr>
      </w:pPr>
    </w:p>
    <w:p w14:paraId="38C70BA5" w14:textId="77777777" w:rsidR="00361E52" w:rsidRDefault="00361E52" w:rsidP="00361E52">
      <w:pPr>
        <w:spacing w:after="0" w:line="240" w:lineRule="auto"/>
        <w:ind w:right="26"/>
        <w:jc w:val="both"/>
        <w:rPr>
          <w:rFonts w:ascii="Times New Roman" w:hAnsi="Times New Roman"/>
          <w:sz w:val="20"/>
          <w:szCs w:val="20"/>
        </w:rPr>
      </w:pPr>
      <w:r w:rsidRPr="001A1ADB">
        <w:rPr>
          <w:rFonts w:ascii="Times New Roman" w:hAnsi="Times New Roman"/>
          <w:sz w:val="20"/>
          <w:szCs w:val="20"/>
        </w:rPr>
        <w:t>Inflation pressures persist. Although global headline inflation has been decelerating as a result of base effects, abating supply chain pressures, and</w:t>
      </w:r>
      <w:r>
        <w:rPr>
          <w:rFonts w:ascii="Times New Roman" w:hAnsi="Times New Roman"/>
          <w:sz w:val="20"/>
          <w:szCs w:val="20"/>
        </w:rPr>
        <w:t xml:space="preserve"> </w:t>
      </w:r>
      <w:r w:rsidRPr="001A1ADB">
        <w:rPr>
          <w:rFonts w:ascii="Times New Roman" w:hAnsi="Times New Roman"/>
          <w:sz w:val="20"/>
          <w:szCs w:val="20"/>
        </w:rPr>
        <w:t>falling commodity prices, core inflation in many countries remains elevated, and inflation is above target in almost all inflation-targeting economies. Inflation is expected to continue to be above its pre-pandemi</w:t>
      </w:r>
      <w:r>
        <w:rPr>
          <w:rFonts w:ascii="Times New Roman" w:hAnsi="Times New Roman"/>
          <w:sz w:val="20"/>
          <w:szCs w:val="20"/>
        </w:rPr>
        <w:t xml:space="preserve">c level beyond 2024 (figure </w:t>
      </w:r>
      <w:r w:rsidRPr="001A1ADB">
        <w:rPr>
          <w:rFonts w:ascii="Times New Roman" w:hAnsi="Times New Roman"/>
          <w:sz w:val="20"/>
          <w:szCs w:val="20"/>
        </w:rPr>
        <w:t xml:space="preserve">E). That said, inflation expectations in most inflation targeting countries have so far not undergone a major shift and appear to remain anchored.  </w:t>
      </w:r>
    </w:p>
    <w:p w14:paraId="471683DF" w14:textId="77777777" w:rsidR="00361E52" w:rsidRDefault="00361E52" w:rsidP="00361E52">
      <w:pPr>
        <w:spacing w:after="0" w:line="240" w:lineRule="auto"/>
        <w:ind w:right="26"/>
        <w:jc w:val="both"/>
        <w:rPr>
          <w:rFonts w:ascii="Times New Roman" w:hAnsi="Times New Roman"/>
          <w:sz w:val="20"/>
          <w:szCs w:val="20"/>
        </w:rPr>
      </w:pPr>
    </w:p>
    <w:p w14:paraId="45CDCE10" w14:textId="77777777" w:rsidR="00361E52" w:rsidRDefault="00361E52" w:rsidP="00361E52">
      <w:pPr>
        <w:spacing w:after="0" w:line="240" w:lineRule="auto"/>
        <w:ind w:right="26"/>
        <w:jc w:val="both"/>
        <w:rPr>
          <w:rFonts w:ascii="Times New Roman" w:hAnsi="Times New Roman"/>
          <w:sz w:val="20"/>
          <w:szCs w:val="20"/>
        </w:rPr>
      </w:pPr>
      <w:r w:rsidRPr="00B278E2">
        <w:rPr>
          <w:rFonts w:ascii="Times New Roman" w:hAnsi="Times New Roman"/>
          <w:sz w:val="20"/>
          <w:szCs w:val="20"/>
        </w:rPr>
        <w:t>In all, global growth is forecast to slow from 3.1 percent in 2022 to 2.1 percent in 2023, before edging up to 2.4 percent in 2024. Relative to the January projections, this is 0.4 percentage point stronger in 2023 and 0.3 percentage point weaker in 2024. Greater-than-expected resilience of major economies at the end of 2022 and early in 2023 led to the overall upgrade to growth in 2023.</w:t>
      </w:r>
      <w:r>
        <w:rPr>
          <w:rFonts w:ascii="Times New Roman" w:hAnsi="Times New Roman"/>
          <w:sz w:val="20"/>
          <w:szCs w:val="20"/>
        </w:rPr>
        <w:t xml:space="preserve"> </w:t>
      </w:r>
      <w:r w:rsidRPr="00B278E2">
        <w:rPr>
          <w:rFonts w:ascii="Times New Roman" w:hAnsi="Times New Roman"/>
          <w:sz w:val="20"/>
          <w:szCs w:val="20"/>
        </w:rPr>
        <w:t>Growth in advanced economies is set to decelerate substantially for 2023 as a whole, to 0.7 percent, and to remain feeble in 2024, due to monetary</w:t>
      </w:r>
      <w:r>
        <w:rPr>
          <w:rFonts w:ascii="Times New Roman" w:hAnsi="Times New Roman"/>
          <w:sz w:val="20"/>
          <w:szCs w:val="20"/>
        </w:rPr>
        <w:t xml:space="preserve"> </w:t>
      </w:r>
      <w:r w:rsidRPr="00B278E2">
        <w:rPr>
          <w:rFonts w:ascii="Times New Roman" w:hAnsi="Times New Roman"/>
          <w:sz w:val="20"/>
          <w:szCs w:val="20"/>
        </w:rPr>
        <w:t>tightening, less favorable credit conditions, softening labor markets, and still-high energy prices. In EMDEs, aggregate growth is projected to edge up to 4 percent in 2023, almost entirely due to a rebound in China following the removal of strict pandemic-related mobility restrictions. Excluding China, growth in EMDEs is set to slow substantially to 2.9 percent this year. This projection is predicated on the assumption of a protracted period of tight global monetary policy, fiscal consolidation in most EMDEs, and weak external demand. The slowdown is expected to be even more severe for EMDEs with elevated fiscal vulnerabilities and external financing needs. Persistent weak growth means that, excluding China, EMDEs are expected to continue making next to no progress at closing the differential in per capita incomes relative to</w:t>
      </w:r>
      <w:r>
        <w:rPr>
          <w:rFonts w:ascii="Times New Roman" w:hAnsi="Times New Roman"/>
          <w:sz w:val="20"/>
          <w:szCs w:val="20"/>
        </w:rPr>
        <w:t xml:space="preserve"> advanced economies (figure </w:t>
      </w:r>
      <w:r w:rsidRPr="00B278E2">
        <w:rPr>
          <w:rFonts w:ascii="Times New Roman" w:hAnsi="Times New Roman"/>
          <w:sz w:val="20"/>
          <w:szCs w:val="20"/>
        </w:rPr>
        <w:t xml:space="preserve">F). By 2024, economic activity in EMDEs will still be about 5 percent below levels projected on the eve of the pandemic.  </w:t>
      </w:r>
    </w:p>
    <w:p w14:paraId="036723AB" w14:textId="77777777" w:rsidR="00361E52" w:rsidRDefault="00361E52" w:rsidP="00361E52">
      <w:pPr>
        <w:spacing w:after="0" w:line="240" w:lineRule="auto"/>
        <w:ind w:right="26"/>
        <w:jc w:val="both"/>
        <w:rPr>
          <w:rFonts w:ascii="Times New Roman" w:hAnsi="Times New Roman"/>
          <w:sz w:val="20"/>
          <w:szCs w:val="20"/>
        </w:rPr>
      </w:pPr>
    </w:p>
    <w:p w14:paraId="26D00128" w14:textId="538B00E6" w:rsidR="00361E52" w:rsidRDefault="00361E52" w:rsidP="00361E52">
      <w:pPr>
        <w:spacing w:after="0" w:line="240" w:lineRule="auto"/>
        <w:ind w:right="26"/>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176D10A1" wp14:editId="4E23BDBD">
            <wp:extent cx="3960000" cy="179913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pture.PNG"/>
                    <pic:cNvPicPr/>
                  </pic:nvPicPr>
                  <pic:blipFill>
                    <a:blip r:embed="rId40">
                      <a:extLst>
                        <a:ext uri="{28A0092B-C50C-407E-A947-70E740481C1C}">
                          <a14:useLocalDpi xmlns:a14="http://schemas.microsoft.com/office/drawing/2010/main" val="0"/>
                        </a:ext>
                      </a:extLst>
                    </a:blip>
                    <a:stretch>
                      <a:fillRect/>
                    </a:stretch>
                  </pic:blipFill>
                  <pic:spPr>
                    <a:xfrm>
                      <a:off x="0" y="0"/>
                      <a:ext cx="3960000" cy="1799135"/>
                    </a:xfrm>
                    <a:prstGeom prst="rect">
                      <a:avLst/>
                    </a:prstGeom>
                  </pic:spPr>
                </pic:pic>
              </a:graphicData>
            </a:graphic>
          </wp:inline>
        </w:drawing>
      </w:r>
      <w:r>
        <w:rPr>
          <w:rFonts w:ascii="Times New Roman" w:hAnsi="Times New Roman"/>
          <w:noProof/>
          <w:sz w:val="20"/>
          <w:szCs w:val="20"/>
          <w:lang w:val="en-IN" w:eastAsia="en-IN"/>
        </w:rPr>
        <w:drawing>
          <wp:inline distT="0" distB="0" distL="0" distR="0" wp14:anchorId="4C32DFEA" wp14:editId="56C4EF32">
            <wp:extent cx="2272727" cy="1800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pture2.PNG"/>
                    <pic:cNvPicPr/>
                  </pic:nvPicPr>
                  <pic:blipFill rotWithShape="1">
                    <a:blip r:embed="rId41">
                      <a:extLst>
                        <a:ext uri="{28A0092B-C50C-407E-A947-70E740481C1C}">
                          <a14:useLocalDpi xmlns:a14="http://schemas.microsoft.com/office/drawing/2010/main" val="0"/>
                        </a:ext>
                      </a:extLst>
                    </a:blip>
                    <a:srcRect r="50000"/>
                    <a:stretch/>
                  </pic:blipFill>
                  <pic:spPr bwMode="auto">
                    <a:xfrm>
                      <a:off x="0" y="0"/>
                      <a:ext cx="2272727"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14C9318D" w14:textId="77777777" w:rsidR="00361E52" w:rsidRDefault="00361E52" w:rsidP="00361E52">
      <w:pPr>
        <w:spacing w:after="0" w:line="240" w:lineRule="auto"/>
        <w:ind w:right="26"/>
        <w:jc w:val="center"/>
        <w:rPr>
          <w:rFonts w:ascii="Times New Roman" w:hAnsi="Times New Roman"/>
          <w:sz w:val="20"/>
          <w:szCs w:val="20"/>
        </w:rPr>
      </w:pPr>
    </w:p>
    <w:p w14:paraId="057EB5C8" w14:textId="77777777" w:rsidR="00361E52" w:rsidRDefault="00361E52" w:rsidP="00361E52">
      <w:pPr>
        <w:spacing w:after="0" w:line="240" w:lineRule="auto"/>
        <w:ind w:right="26"/>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5C192D2D" wp14:editId="4CE6F349">
            <wp:extent cx="2122776" cy="1656080"/>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pture2.PNG"/>
                    <pic:cNvPicPr/>
                  </pic:nvPicPr>
                  <pic:blipFill>
                    <a:blip r:embed="rId42">
                      <a:extLst>
                        <a:ext uri="{28A0092B-C50C-407E-A947-70E740481C1C}">
                          <a14:useLocalDpi xmlns:a14="http://schemas.microsoft.com/office/drawing/2010/main" val="0"/>
                        </a:ext>
                      </a:extLst>
                    </a:blip>
                    <a:stretch>
                      <a:fillRect/>
                    </a:stretch>
                  </pic:blipFill>
                  <pic:spPr>
                    <a:xfrm>
                      <a:off x="0" y="0"/>
                      <a:ext cx="2160676" cy="1685647"/>
                    </a:xfrm>
                    <a:prstGeom prst="rect">
                      <a:avLst/>
                    </a:prstGeom>
                  </pic:spPr>
                </pic:pic>
              </a:graphicData>
            </a:graphic>
          </wp:inline>
        </w:drawing>
      </w:r>
      <w:r>
        <w:rPr>
          <w:rFonts w:ascii="Times New Roman" w:hAnsi="Times New Roman"/>
          <w:noProof/>
          <w:sz w:val="20"/>
          <w:szCs w:val="20"/>
          <w:lang w:val="en-IN" w:eastAsia="en-IN"/>
        </w:rPr>
        <w:drawing>
          <wp:inline distT="0" distB="0" distL="0" distR="0" wp14:anchorId="53100C7D" wp14:editId="29BBF080">
            <wp:extent cx="4293870" cy="172255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23-08-19 121200.png"/>
                    <pic:cNvPicPr/>
                  </pic:nvPicPr>
                  <pic:blipFill>
                    <a:blip r:embed="rId43">
                      <a:extLst>
                        <a:ext uri="{28A0092B-C50C-407E-A947-70E740481C1C}">
                          <a14:useLocalDpi xmlns:a14="http://schemas.microsoft.com/office/drawing/2010/main" val="0"/>
                        </a:ext>
                      </a:extLst>
                    </a:blip>
                    <a:stretch>
                      <a:fillRect/>
                    </a:stretch>
                  </pic:blipFill>
                  <pic:spPr>
                    <a:xfrm>
                      <a:off x="0" y="0"/>
                      <a:ext cx="4349619" cy="1744918"/>
                    </a:xfrm>
                    <a:prstGeom prst="rect">
                      <a:avLst/>
                    </a:prstGeom>
                  </pic:spPr>
                </pic:pic>
              </a:graphicData>
            </a:graphic>
          </wp:inline>
        </w:drawing>
      </w:r>
    </w:p>
    <w:p w14:paraId="69107F0A" w14:textId="77777777" w:rsidR="00361E52" w:rsidRDefault="00361E52" w:rsidP="00361E52">
      <w:pPr>
        <w:spacing w:after="0" w:line="240" w:lineRule="auto"/>
        <w:ind w:right="26"/>
        <w:jc w:val="both"/>
        <w:rPr>
          <w:rFonts w:ascii="Times New Roman" w:hAnsi="Times New Roman"/>
          <w:sz w:val="20"/>
          <w:szCs w:val="20"/>
        </w:rPr>
      </w:pPr>
    </w:p>
    <w:p w14:paraId="38E6841E" w14:textId="77777777" w:rsidR="00361E52" w:rsidRPr="00712F3C" w:rsidRDefault="00361E52" w:rsidP="00361E52">
      <w:pPr>
        <w:spacing w:after="0" w:line="240" w:lineRule="auto"/>
        <w:ind w:right="26"/>
        <w:jc w:val="both"/>
        <w:rPr>
          <w:rFonts w:ascii="Times New Roman" w:hAnsi="Times New Roman"/>
          <w:sz w:val="20"/>
          <w:szCs w:val="20"/>
        </w:rPr>
      </w:pPr>
      <w:r w:rsidRPr="00B278E2">
        <w:rPr>
          <w:rFonts w:ascii="Times New Roman" w:hAnsi="Times New Roman"/>
          <w:sz w:val="20"/>
          <w:szCs w:val="20"/>
        </w:rPr>
        <w:t xml:space="preserve">The global economy is projected to slow substantially this year, with a pronounced deceleration in advanced economies. The first half of the 2020s is expected to be one of the weakest half-decades of the past 30 years for emerging market and developing economies (EMDEs), as a result of both cyclical dynamics and slowing potential growth. EMDEs with lower credit ratings are set to experience a particularly sharp slowdown this year. Inflation remains elevated in many countries and is envisaged to remain </w:t>
      </w:r>
      <w:r w:rsidRPr="00B278E2">
        <w:rPr>
          <w:rFonts w:ascii="Times New Roman" w:hAnsi="Times New Roman"/>
          <w:sz w:val="20"/>
          <w:szCs w:val="20"/>
        </w:rPr>
        <w:lastRenderedPageBreak/>
        <w:t>above pre-pandemic levels beyond 2024. Excluding China, EMDEs are expected to make next to no progress at closing the gap in per capita incomes with advanced economies over the forecast horizon.</w:t>
      </w:r>
    </w:p>
    <w:p w14:paraId="7E67326F" w14:textId="77777777" w:rsidR="00361E52" w:rsidRDefault="00361E52" w:rsidP="00361E52">
      <w:pPr>
        <w:spacing w:after="0" w:line="240" w:lineRule="auto"/>
        <w:ind w:right="26"/>
        <w:jc w:val="both"/>
        <w:rPr>
          <w:rFonts w:ascii="Times New Roman" w:hAnsi="Times New Roman"/>
          <w:sz w:val="20"/>
          <w:szCs w:val="20"/>
        </w:rPr>
      </w:pPr>
    </w:p>
    <w:p w14:paraId="5806CDB9" w14:textId="77777777" w:rsidR="00361E52" w:rsidRPr="00712F3C" w:rsidRDefault="00361E52" w:rsidP="00361E52">
      <w:pPr>
        <w:spacing w:after="0" w:line="240" w:lineRule="auto"/>
        <w:ind w:right="26"/>
        <w:jc w:val="both"/>
        <w:rPr>
          <w:rFonts w:ascii="Times New Roman" w:hAnsi="Times New Roman"/>
          <w:b/>
          <w:i/>
          <w:sz w:val="20"/>
          <w:szCs w:val="20"/>
        </w:rPr>
      </w:pPr>
      <w:r w:rsidRPr="00712F3C">
        <w:rPr>
          <w:rFonts w:ascii="Times New Roman" w:hAnsi="Times New Roman"/>
          <w:b/>
          <w:i/>
          <w:sz w:val="20"/>
          <w:szCs w:val="20"/>
        </w:rPr>
        <w:t>Global risks and policy challenges</w:t>
      </w:r>
    </w:p>
    <w:p w14:paraId="180F26B9" w14:textId="77777777" w:rsidR="00361E52" w:rsidRPr="00712F3C" w:rsidRDefault="00361E52" w:rsidP="00361E52">
      <w:pPr>
        <w:spacing w:after="0" w:line="240" w:lineRule="auto"/>
        <w:ind w:right="26"/>
        <w:jc w:val="both"/>
        <w:rPr>
          <w:rFonts w:ascii="Times New Roman" w:hAnsi="Times New Roman"/>
          <w:b/>
          <w:i/>
          <w:sz w:val="20"/>
          <w:szCs w:val="20"/>
        </w:rPr>
      </w:pPr>
    </w:p>
    <w:p w14:paraId="184D4BFE" w14:textId="77777777" w:rsidR="00361E52" w:rsidRDefault="00361E52" w:rsidP="00361E52">
      <w:pPr>
        <w:spacing w:after="0" w:line="240" w:lineRule="auto"/>
        <w:ind w:right="26"/>
        <w:jc w:val="both"/>
        <w:rPr>
          <w:rFonts w:ascii="Times New Roman" w:hAnsi="Times New Roman"/>
          <w:sz w:val="20"/>
          <w:szCs w:val="20"/>
        </w:rPr>
      </w:pPr>
      <w:r w:rsidRPr="00F61DAD">
        <w:rPr>
          <w:rFonts w:ascii="Times New Roman" w:hAnsi="Times New Roman"/>
          <w:sz w:val="20"/>
          <w:szCs w:val="20"/>
        </w:rPr>
        <w:t xml:space="preserve">An intensification of advanced-economy banking stress could result in a sharp slowdown in global growth in 2024, or even a global recession if it had major spillovers to emerging market and developing economies (EMDEs). A more hawkish U.S. monetary policy reaction to inflation could also further raise borrowing costs in EMDEs, especially in those with underlying vulnerabilities. There is an increasing need for debt relief for low-income countries amid a greater diversity of lenders. Substantial investments are needed to achieve resilient and low-carbon growth. Rising debt servicing costs are increasing the risk of debt distress. Reversing the decline in potential growth requires decisive structural reforms.  </w:t>
      </w:r>
    </w:p>
    <w:p w14:paraId="68691F5F" w14:textId="77777777" w:rsidR="00361E52" w:rsidRPr="00712F3C" w:rsidRDefault="00361E52" w:rsidP="00361E52">
      <w:pPr>
        <w:spacing w:after="0" w:line="240" w:lineRule="auto"/>
        <w:ind w:right="26"/>
        <w:jc w:val="both"/>
        <w:rPr>
          <w:rFonts w:ascii="Times New Roman" w:hAnsi="Times New Roman"/>
          <w:sz w:val="20"/>
          <w:szCs w:val="20"/>
        </w:rPr>
      </w:pPr>
    </w:p>
    <w:p w14:paraId="23E56005" w14:textId="77777777" w:rsidR="00361E52" w:rsidRPr="00712F3C" w:rsidRDefault="00361E52" w:rsidP="00361E52">
      <w:pPr>
        <w:spacing w:after="0" w:line="240" w:lineRule="auto"/>
        <w:ind w:right="26"/>
        <w:jc w:val="both"/>
        <w:rPr>
          <w:rFonts w:ascii="Times New Roman" w:hAnsi="Times New Roman"/>
          <w:b/>
          <w:i/>
          <w:sz w:val="20"/>
          <w:szCs w:val="20"/>
        </w:rPr>
      </w:pPr>
      <w:r w:rsidRPr="00712F3C">
        <w:rPr>
          <w:rFonts w:ascii="Times New Roman" w:hAnsi="Times New Roman"/>
          <w:b/>
          <w:i/>
          <w:sz w:val="20"/>
          <w:szCs w:val="20"/>
        </w:rPr>
        <w:t>Global trade</w:t>
      </w:r>
    </w:p>
    <w:p w14:paraId="31A177DC" w14:textId="77777777" w:rsidR="00361E52" w:rsidRPr="00712F3C" w:rsidRDefault="00361E52" w:rsidP="00361E52">
      <w:pPr>
        <w:spacing w:after="0" w:line="240" w:lineRule="auto"/>
        <w:ind w:right="26"/>
        <w:jc w:val="both"/>
        <w:rPr>
          <w:rFonts w:ascii="Times New Roman" w:hAnsi="Times New Roman"/>
          <w:b/>
          <w:i/>
          <w:sz w:val="20"/>
          <w:szCs w:val="20"/>
        </w:rPr>
      </w:pPr>
    </w:p>
    <w:p w14:paraId="1A7FF6CF" w14:textId="77777777" w:rsidR="00361E52" w:rsidRPr="00A07130" w:rsidRDefault="00361E52" w:rsidP="00361E52">
      <w:pPr>
        <w:spacing w:after="0" w:line="240" w:lineRule="auto"/>
        <w:ind w:right="26"/>
        <w:jc w:val="both"/>
        <w:rPr>
          <w:rFonts w:ascii="Times New Roman" w:hAnsi="Times New Roman"/>
          <w:sz w:val="20"/>
          <w:szCs w:val="20"/>
        </w:rPr>
      </w:pPr>
      <w:r w:rsidRPr="00A07130">
        <w:rPr>
          <w:rFonts w:ascii="Times New Roman" w:hAnsi="Times New Roman"/>
          <w:sz w:val="20"/>
          <w:szCs w:val="20"/>
        </w:rPr>
        <w:t>Supply chain pressures and supplier delivery times have dropped back to pre-pandemic levels as goods demand has weakened and global shipping conditions have improved. A rising number of new trade measures have been protectionist. The ongoing shift in global consumption toward less trade-intensive goods will likely continue to lower the growth rate of trade</w:t>
      </w:r>
      <w:r>
        <w:rPr>
          <w:rFonts w:ascii="Times New Roman" w:hAnsi="Times New Roman"/>
          <w:sz w:val="20"/>
          <w:szCs w:val="20"/>
        </w:rPr>
        <w:t xml:space="preserve"> </w:t>
      </w:r>
      <w:r w:rsidRPr="00A07130">
        <w:rPr>
          <w:rFonts w:ascii="Times New Roman" w:hAnsi="Times New Roman"/>
          <w:sz w:val="20"/>
          <w:szCs w:val="20"/>
        </w:rPr>
        <w:t>relative to output. This shift and subdued demand are expected to dampen global trade growth substantially this year.</w:t>
      </w:r>
    </w:p>
    <w:p w14:paraId="3A2C2C68" w14:textId="77777777" w:rsidR="00361E52" w:rsidRDefault="00361E52" w:rsidP="00361E52">
      <w:pPr>
        <w:spacing w:after="0" w:line="240" w:lineRule="auto"/>
        <w:ind w:right="26"/>
        <w:rPr>
          <w:rFonts w:ascii="Times New Roman" w:hAnsi="Times New Roman"/>
          <w:sz w:val="20"/>
          <w:szCs w:val="20"/>
        </w:rPr>
      </w:pPr>
      <w:r>
        <w:rPr>
          <w:noProof/>
          <w:lang w:val="en-IN" w:eastAsia="en-IN"/>
        </w:rPr>
        <w:drawing>
          <wp:inline distT="0" distB="0" distL="0" distR="0" wp14:anchorId="2A063737" wp14:editId="4B811538">
            <wp:extent cx="3590925" cy="16097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5528" t="13763" r="47568" b="48596"/>
                    <a:stretch/>
                  </pic:blipFill>
                  <pic:spPr bwMode="auto">
                    <a:xfrm>
                      <a:off x="0" y="0"/>
                      <a:ext cx="3590925" cy="1609725"/>
                    </a:xfrm>
                    <a:prstGeom prst="rect">
                      <a:avLst/>
                    </a:prstGeom>
                    <a:ln>
                      <a:noFill/>
                    </a:ln>
                    <a:extLst>
                      <a:ext uri="{53640926-AAD7-44D8-BBD7-CCE9431645EC}">
                        <a14:shadowObscured xmlns:a14="http://schemas.microsoft.com/office/drawing/2010/main"/>
                      </a:ext>
                    </a:extLst>
                  </pic:spPr>
                </pic:pic>
              </a:graphicData>
            </a:graphic>
          </wp:inline>
        </w:drawing>
      </w:r>
      <w:r>
        <w:rPr>
          <w:noProof/>
          <w:lang w:val="en-IN" w:eastAsia="en-IN"/>
        </w:rPr>
        <w:drawing>
          <wp:inline distT="0" distB="0" distL="0" distR="0" wp14:anchorId="3217CFD3" wp14:editId="568C9A42">
            <wp:extent cx="2819400" cy="1600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5054" t="40450" r="48199" b="23595"/>
                    <a:stretch/>
                  </pic:blipFill>
                  <pic:spPr bwMode="auto">
                    <a:xfrm>
                      <a:off x="0" y="0"/>
                      <a:ext cx="2819400" cy="1600200"/>
                    </a:xfrm>
                    <a:prstGeom prst="rect">
                      <a:avLst/>
                    </a:prstGeom>
                    <a:ln>
                      <a:noFill/>
                    </a:ln>
                    <a:extLst>
                      <a:ext uri="{53640926-AAD7-44D8-BBD7-CCE9431645EC}">
                        <a14:shadowObscured xmlns:a14="http://schemas.microsoft.com/office/drawing/2010/main"/>
                      </a:ext>
                    </a:extLst>
                  </pic:spPr>
                </pic:pic>
              </a:graphicData>
            </a:graphic>
          </wp:inline>
        </w:drawing>
      </w:r>
    </w:p>
    <w:p w14:paraId="4BB05704" w14:textId="77777777" w:rsidR="00361E52" w:rsidRPr="00712F3C" w:rsidRDefault="00361E52" w:rsidP="00361E52">
      <w:pPr>
        <w:spacing w:after="0" w:line="240" w:lineRule="auto"/>
        <w:ind w:right="26"/>
        <w:jc w:val="center"/>
        <w:rPr>
          <w:rFonts w:ascii="Times New Roman" w:hAnsi="Times New Roman"/>
          <w:sz w:val="20"/>
          <w:szCs w:val="20"/>
        </w:rPr>
      </w:pPr>
    </w:p>
    <w:p w14:paraId="47070800" w14:textId="77777777" w:rsidR="00361E52" w:rsidRPr="00712F3C" w:rsidRDefault="00361E52" w:rsidP="00361E52">
      <w:pPr>
        <w:spacing w:after="0" w:line="240" w:lineRule="auto"/>
        <w:ind w:right="26"/>
        <w:jc w:val="both"/>
        <w:rPr>
          <w:rFonts w:ascii="Times New Roman" w:hAnsi="Times New Roman"/>
          <w:b/>
          <w:i/>
          <w:sz w:val="20"/>
          <w:szCs w:val="20"/>
        </w:rPr>
      </w:pPr>
      <w:r w:rsidRPr="00712F3C">
        <w:rPr>
          <w:rFonts w:ascii="Times New Roman" w:hAnsi="Times New Roman"/>
          <w:b/>
          <w:i/>
          <w:sz w:val="20"/>
          <w:szCs w:val="20"/>
        </w:rPr>
        <w:t>Global inflation and financial developments</w:t>
      </w:r>
    </w:p>
    <w:p w14:paraId="73CAAFC7" w14:textId="77777777" w:rsidR="00361E52" w:rsidRPr="00712F3C" w:rsidRDefault="00361E52" w:rsidP="00361E52">
      <w:pPr>
        <w:spacing w:after="0" w:line="240" w:lineRule="auto"/>
        <w:ind w:right="26"/>
        <w:jc w:val="both"/>
        <w:rPr>
          <w:rFonts w:ascii="Times New Roman" w:hAnsi="Times New Roman"/>
          <w:b/>
          <w:i/>
          <w:sz w:val="20"/>
          <w:szCs w:val="20"/>
        </w:rPr>
      </w:pPr>
    </w:p>
    <w:p w14:paraId="41C665F2" w14:textId="77777777" w:rsidR="00361E52" w:rsidRPr="00312341" w:rsidRDefault="00361E52" w:rsidP="00361E52">
      <w:pPr>
        <w:spacing w:after="0" w:line="240" w:lineRule="auto"/>
        <w:ind w:right="26"/>
        <w:jc w:val="both"/>
        <w:rPr>
          <w:rFonts w:ascii="Times New Roman" w:hAnsi="Times New Roman"/>
          <w:sz w:val="20"/>
          <w:szCs w:val="20"/>
        </w:rPr>
      </w:pPr>
      <w:r w:rsidRPr="00312341">
        <w:rPr>
          <w:rFonts w:ascii="Times New Roman" w:hAnsi="Times New Roman"/>
          <w:sz w:val="20"/>
          <w:szCs w:val="20"/>
        </w:rPr>
        <w:t>Global core inflation remains elevated. Projections suggest inflation will continue to be above its pre-pandemic level beyond 2024. Market-based measures of long-term inflation compensation in advanced economies remain above 2 percent, despite a decline in oil prices. In many emerging market and developing economies (EMDEs), inflation is either accelerating or has stabilized at high levels. One-year-ahead EMDE inflation expectations have declined only slightly. Longer-term projections point to a faster decline in inflation in countries with inflation targets.</w:t>
      </w:r>
    </w:p>
    <w:p w14:paraId="7341CA1B" w14:textId="77777777" w:rsidR="00361E52" w:rsidRDefault="00361E52" w:rsidP="00361E52">
      <w:pPr>
        <w:spacing w:after="0" w:line="240" w:lineRule="auto"/>
        <w:ind w:right="26"/>
        <w:jc w:val="both"/>
        <w:rPr>
          <w:rFonts w:ascii="Times New Roman" w:hAnsi="Times New Roman"/>
          <w:sz w:val="20"/>
          <w:szCs w:val="20"/>
        </w:rPr>
      </w:pPr>
    </w:p>
    <w:p w14:paraId="3DF35BCE" w14:textId="77777777" w:rsidR="00361E52" w:rsidRPr="008C10AB" w:rsidRDefault="00361E52" w:rsidP="00361E52">
      <w:pPr>
        <w:spacing w:after="0" w:line="240" w:lineRule="auto"/>
        <w:ind w:right="26"/>
        <w:jc w:val="both"/>
        <w:rPr>
          <w:rFonts w:ascii="Times New Roman" w:hAnsi="Times New Roman"/>
          <w:sz w:val="20"/>
          <w:szCs w:val="20"/>
        </w:rPr>
      </w:pPr>
      <w:r w:rsidRPr="00312341">
        <w:rPr>
          <w:rFonts w:ascii="Times New Roman" w:hAnsi="Times New Roman"/>
          <w:sz w:val="20"/>
          <w:szCs w:val="20"/>
        </w:rPr>
        <w:t>Prior to the advanced-economy bank failures in March, the U.S. yield curve</w:t>
      </w:r>
      <w:r>
        <w:rPr>
          <w:rFonts w:ascii="Times New Roman" w:hAnsi="Times New Roman"/>
          <w:sz w:val="20"/>
          <w:szCs w:val="20"/>
        </w:rPr>
        <w:t xml:space="preserve"> </w:t>
      </w:r>
      <w:r w:rsidRPr="00312341">
        <w:rPr>
          <w:rFonts w:ascii="Times New Roman" w:hAnsi="Times New Roman"/>
          <w:sz w:val="20"/>
          <w:szCs w:val="20"/>
        </w:rPr>
        <w:t>registered its deepest inversion in four decades. During the banking stress,</w:t>
      </w:r>
      <w:r>
        <w:rPr>
          <w:rFonts w:ascii="Times New Roman" w:hAnsi="Times New Roman"/>
          <w:sz w:val="20"/>
          <w:szCs w:val="20"/>
        </w:rPr>
        <w:t xml:space="preserve"> </w:t>
      </w:r>
      <w:r w:rsidRPr="00312341">
        <w:rPr>
          <w:rFonts w:ascii="Times New Roman" w:hAnsi="Times New Roman"/>
          <w:sz w:val="20"/>
          <w:szCs w:val="20"/>
        </w:rPr>
        <w:t>short-term government bond yields and bank stocks fell sharply. Despite</w:t>
      </w:r>
      <w:r>
        <w:rPr>
          <w:rFonts w:ascii="Times New Roman" w:hAnsi="Times New Roman"/>
          <w:sz w:val="20"/>
          <w:szCs w:val="20"/>
        </w:rPr>
        <w:t xml:space="preserve"> </w:t>
      </w:r>
      <w:r w:rsidRPr="00312341">
        <w:rPr>
          <w:rFonts w:ascii="Times New Roman" w:hAnsi="Times New Roman"/>
          <w:sz w:val="20"/>
          <w:szCs w:val="20"/>
        </w:rPr>
        <w:t>these events, and much tightened bank lending standards, advanced</w:t>
      </w:r>
      <w:r>
        <w:rPr>
          <w:rFonts w:ascii="Times New Roman" w:hAnsi="Times New Roman"/>
          <w:sz w:val="20"/>
          <w:szCs w:val="20"/>
        </w:rPr>
        <w:t xml:space="preserve"> </w:t>
      </w:r>
      <w:r w:rsidRPr="00312341">
        <w:rPr>
          <w:rFonts w:ascii="Times New Roman" w:hAnsi="Times New Roman"/>
          <w:sz w:val="20"/>
          <w:szCs w:val="20"/>
        </w:rPr>
        <w:t>economy</w:t>
      </w:r>
      <w:r>
        <w:rPr>
          <w:rFonts w:ascii="Times New Roman" w:hAnsi="Times New Roman"/>
          <w:sz w:val="20"/>
          <w:szCs w:val="20"/>
        </w:rPr>
        <w:t xml:space="preserve"> </w:t>
      </w:r>
      <w:r w:rsidRPr="00312341">
        <w:rPr>
          <w:rFonts w:ascii="Times New Roman" w:hAnsi="Times New Roman"/>
          <w:sz w:val="20"/>
          <w:szCs w:val="20"/>
        </w:rPr>
        <w:t>credit spreads remain contained. As borrowing costs have risen</w:t>
      </w:r>
      <w:r>
        <w:rPr>
          <w:rFonts w:ascii="Times New Roman" w:hAnsi="Times New Roman"/>
          <w:sz w:val="20"/>
          <w:szCs w:val="20"/>
        </w:rPr>
        <w:t xml:space="preserve"> </w:t>
      </w:r>
      <w:r w:rsidRPr="00312341">
        <w:rPr>
          <w:rFonts w:ascii="Times New Roman" w:hAnsi="Times New Roman"/>
          <w:sz w:val="20"/>
          <w:szCs w:val="20"/>
        </w:rPr>
        <w:t>globally, currency depreciation and credit spread widening in emerging</w:t>
      </w:r>
      <w:r>
        <w:rPr>
          <w:rFonts w:ascii="Times New Roman" w:hAnsi="Times New Roman"/>
          <w:sz w:val="20"/>
          <w:szCs w:val="20"/>
        </w:rPr>
        <w:t xml:space="preserve"> </w:t>
      </w:r>
      <w:r w:rsidRPr="00312341">
        <w:rPr>
          <w:rFonts w:ascii="Times New Roman" w:hAnsi="Times New Roman"/>
          <w:sz w:val="20"/>
          <w:szCs w:val="20"/>
        </w:rPr>
        <w:t>market and developing economies have been disproportionately concentrated</w:t>
      </w:r>
      <w:r>
        <w:rPr>
          <w:rFonts w:ascii="Times New Roman" w:hAnsi="Times New Roman"/>
          <w:sz w:val="20"/>
          <w:szCs w:val="20"/>
        </w:rPr>
        <w:t xml:space="preserve"> </w:t>
      </w:r>
      <w:r w:rsidRPr="00312341">
        <w:rPr>
          <w:rFonts w:ascii="Times New Roman" w:hAnsi="Times New Roman"/>
          <w:sz w:val="20"/>
          <w:szCs w:val="20"/>
        </w:rPr>
        <w:t>in the countries with the weakest credit ratings.</w:t>
      </w:r>
    </w:p>
    <w:p w14:paraId="3C15BA30" w14:textId="77777777" w:rsidR="00361E52" w:rsidRDefault="00361E52" w:rsidP="00361E52">
      <w:pPr>
        <w:spacing w:after="0" w:line="240" w:lineRule="auto"/>
        <w:ind w:right="26"/>
        <w:jc w:val="both"/>
        <w:rPr>
          <w:rFonts w:ascii="Times New Roman" w:hAnsi="Times New Roman"/>
          <w:noProof/>
          <w:sz w:val="20"/>
          <w:szCs w:val="20"/>
          <w:lang w:val="en-IN" w:eastAsia="en-IN"/>
        </w:rPr>
      </w:pPr>
      <w:r w:rsidRPr="00712F3C">
        <w:rPr>
          <w:rFonts w:ascii="Times New Roman" w:hAnsi="Times New Roman"/>
          <w:noProof/>
          <w:sz w:val="20"/>
          <w:szCs w:val="20"/>
          <w:lang w:val="en-IN" w:eastAsia="en-IN"/>
        </w:rPr>
        <w:t xml:space="preserve"> </w:t>
      </w:r>
      <w:r>
        <w:rPr>
          <w:noProof/>
          <w:lang w:val="en-IN" w:eastAsia="en-IN"/>
        </w:rPr>
        <w:drawing>
          <wp:inline distT="0" distB="0" distL="0" distR="0" wp14:anchorId="6B06B030" wp14:editId="7AA215F3">
            <wp:extent cx="1762125" cy="1819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4909" t="21224" r="72931" b="42256"/>
                    <a:stretch/>
                  </pic:blipFill>
                  <pic:spPr bwMode="auto">
                    <a:xfrm>
                      <a:off x="0" y="0"/>
                      <a:ext cx="1762125" cy="1819275"/>
                    </a:xfrm>
                    <a:prstGeom prst="rect">
                      <a:avLst/>
                    </a:prstGeom>
                    <a:ln>
                      <a:noFill/>
                    </a:ln>
                    <a:extLst>
                      <a:ext uri="{53640926-AAD7-44D8-BBD7-CCE9431645EC}">
                        <a14:shadowObscured xmlns:a14="http://schemas.microsoft.com/office/drawing/2010/main"/>
                      </a:ext>
                    </a:extLst>
                  </pic:spPr>
                </pic:pic>
              </a:graphicData>
            </a:graphic>
          </wp:inline>
        </w:drawing>
      </w:r>
      <w:r>
        <w:rPr>
          <w:noProof/>
          <w:lang w:val="en-IN" w:eastAsia="en-IN"/>
        </w:rPr>
        <w:drawing>
          <wp:inline distT="0" distB="0" distL="0" distR="0" wp14:anchorId="3730F680" wp14:editId="6C6D63A4">
            <wp:extent cx="1724025" cy="16859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8134" t="21918" r="50000" b="42237"/>
                    <a:stretch/>
                  </pic:blipFill>
                  <pic:spPr bwMode="auto">
                    <a:xfrm>
                      <a:off x="0" y="0"/>
                      <a:ext cx="1724025" cy="1685925"/>
                    </a:xfrm>
                    <a:prstGeom prst="rect">
                      <a:avLst/>
                    </a:prstGeom>
                    <a:ln>
                      <a:noFill/>
                    </a:ln>
                    <a:extLst>
                      <a:ext uri="{53640926-AAD7-44D8-BBD7-CCE9431645EC}">
                        <a14:shadowObscured xmlns:a14="http://schemas.microsoft.com/office/drawing/2010/main"/>
                      </a:ext>
                    </a:extLst>
                  </pic:spPr>
                </pic:pic>
              </a:graphicData>
            </a:graphic>
          </wp:inline>
        </w:drawing>
      </w:r>
      <w:r>
        <w:rPr>
          <w:noProof/>
          <w:lang w:val="en-IN" w:eastAsia="en-IN"/>
        </w:rPr>
        <w:drawing>
          <wp:inline distT="0" distB="0" distL="0" distR="0" wp14:anchorId="3B946DEF" wp14:editId="484A3E45">
            <wp:extent cx="2828925" cy="17240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5527" t="40449" r="50095" b="21910"/>
                    <a:stretch/>
                  </pic:blipFill>
                  <pic:spPr bwMode="auto">
                    <a:xfrm>
                      <a:off x="0" y="0"/>
                      <a:ext cx="2828925" cy="1724025"/>
                    </a:xfrm>
                    <a:prstGeom prst="rect">
                      <a:avLst/>
                    </a:prstGeom>
                    <a:ln>
                      <a:noFill/>
                    </a:ln>
                    <a:extLst>
                      <a:ext uri="{53640926-AAD7-44D8-BBD7-CCE9431645EC}">
                        <a14:shadowObscured xmlns:a14="http://schemas.microsoft.com/office/drawing/2010/main"/>
                      </a:ext>
                    </a:extLst>
                  </pic:spPr>
                </pic:pic>
              </a:graphicData>
            </a:graphic>
          </wp:inline>
        </w:drawing>
      </w:r>
    </w:p>
    <w:p w14:paraId="2894A0CD" w14:textId="77777777" w:rsidR="00361E52" w:rsidRPr="00712F3C" w:rsidRDefault="00361E52" w:rsidP="00361E52">
      <w:pPr>
        <w:spacing w:after="0" w:line="240" w:lineRule="auto"/>
        <w:ind w:right="26"/>
        <w:jc w:val="both"/>
        <w:rPr>
          <w:rFonts w:ascii="Times New Roman" w:hAnsi="Times New Roman"/>
          <w:sz w:val="20"/>
          <w:szCs w:val="20"/>
        </w:rPr>
      </w:pPr>
    </w:p>
    <w:p w14:paraId="68E99862" w14:textId="77777777" w:rsidR="00361E52" w:rsidRPr="00712F3C" w:rsidRDefault="00361E52" w:rsidP="00361E52">
      <w:pPr>
        <w:spacing w:after="0" w:line="240" w:lineRule="auto"/>
        <w:ind w:right="26"/>
        <w:jc w:val="both"/>
        <w:rPr>
          <w:rFonts w:ascii="Times New Roman" w:hAnsi="Times New Roman"/>
          <w:i/>
          <w:sz w:val="20"/>
          <w:szCs w:val="20"/>
        </w:rPr>
      </w:pPr>
      <w:r w:rsidRPr="00712F3C">
        <w:rPr>
          <w:rFonts w:ascii="Times New Roman" w:hAnsi="Times New Roman"/>
          <w:i/>
          <w:sz w:val="20"/>
          <w:szCs w:val="20"/>
        </w:rPr>
        <w:t>(Source:</w:t>
      </w:r>
      <w:r w:rsidRPr="00386E5B">
        <w:rPr>
          <w:rFonts w:ascii="Times New Roman" w:hAnsi="Times New Roman"/>
          <w:i/>
          <w:color w:val="0000FF"/>
          <w:sz w:val="20"/>
          <w:szCs w:val="20"/>
          <w:u w:val="single"/>
        </w:rPr>
        <w:t>https://openknowledge.worldbank.org/server/api/core/bitstreams/6e892b75-2594-4901-a036-46d0dec1e753/content</w:t>
      </w:r>
      <w:r w:rsidRPr="00712F3C">
        <w:rPr>
          <w:rFonts w:ascii="Times New Roman" w:hAnsi="Times New Roman"/>
          <w:i/>
          <w:sz w:val="20"/>
          <w:szCs w:val="20"/>
        </w:rPr>
        <w:t>)</w:t>
      </w:r>
    </w:p>
    <w:p w14:paraId="6487E57B" w14:textId="77777777" w:rsidR="00361E52" w:rsidRDefault="00361E52" w:rsidP="00361E52">
      <w:pPr>
        <w:spacing w:after="0" w:line="240" w:lineRule="auto"/>
        <w:ind w:right="26"/>
        <w:jc w:val="both"/>
        <w:rPr>
          <w:rFonts w:ascii="Times New Roman" w:hAnsi="Times New Roman"/>
          <w:b/>
          <w:sz w:val="20"/>
          <w:szCs w:val="20"/>
        </w:rPr>
      </w:pPr>
    </w:p>
    <w:p w14:paraId="38D7D102" w14:textId="77777777" w:rsidR="00361E52" w:rsidRPr="00712F3C" w:rsidRDefault="00361E52" w:rsidP="00361E52">
      <w:pPr>
        <w:shd w:val="clear" w:color="auto" w:fill="D0CECE" w:themeFill="background2" w:themeFillShade="E6"/>
        <w:spacing w:after="0" w:line="240" w:lineRule="auto"/>
        <w:ind w:right="26"/>
        <w:jc w:val="both"/>
        <w:rPr>
          <w:rFonts w:ascii="Times New Roman" w:hAnsi="Times New Roman"/>
          <w:b/>
          <w:sz w:val="20"/>
          <w:szCs w:val="20"/>
        </w:rPr>
      </w:pPr>
      <w:r w:rsidRPr="00712F3C">
        <w:rPr>
          <w:rFonts w:ascii="Times New Roman" w:hAnsi="Times New Roman"/>
          <w:b/>
          <w:sz w:val="20"/>
          <w:szCs w:val="20"/>
        </w:rPr>
        <w:t xml:space="preserve">INDIAN ECONOMY </w:t>
      </w:r>
    </w:p>
    <w:p w14:paraId="4A79FC56" w14:textId="77777777" w:rsidR="00361E52" w:rsidRPr="00712F3C" w:rsidRDefault="00361E52" w:rsidP="00361E52">
      <w:pPr>
        <w:spacing w:after="0" w:line="240" w:lineRule="auto"/>
        <w:ind w:right="26"/>
        <w:jc w:val="both"/>
        <w:rPr>
          <w:rFonts w:ascii="Times New Roman" w:hAnsi="Times New Roman"/>
          <w:b/>
          <w:sz w:val="20"/>
          <w:szCs w:val="20"/>
          <w:lang w:val="en-IN"/>
        </w:rPr>
      </w:pPr>
    </w:p>
    <w:p w14:paraId="44D25B70" w14:textId="77777777" w:rsidR="00361E52" w:rsidRPr="00712F3C" w:rsidRDefault="00361E52" w:rsidP="00361E52">
      <w:pPr>
        <w:spacing w:after="0" w:line="240" w:lineRule="auto"/>
        <w:ind w:right="26"/>
        <w:jc w:val="both"/>
        <w:rPr>
          <w:rFonts w:ascii="Times New Roman" w:hAnsi="Times New Roman"/>
          <w:sz w:val="20"/>
          <w:szCs w:val="20"/>
        </w:rPr>
      </w:pPr>
      <w:r w:rsidRPr="00712F3C">
        <w:rPr>
          <w:rFonts w:ascii="Times New Roman" w:hAnsi="Times New Roman"/>
          <w:sz w:val="20"/>
          <w:szCs w:val="20"/>
        </w:rPr>
        <w:t xml:space="preserve">In general, global economic shocks in the past were severe but spaced out in time. This changed in the third decade of this millennium. At least three shocks have hit the global economy since 2020. It all started with the pandemic-induced contraction of </w:t>
      </w:r>
      <w:r w:rsidRPr="00712F3C">
        <w:rPr>
          <w:rFonts w:ascii="Times New Roman" w:hAnsi="Times New Roman"/>
          <w:sz w:val="20"/>
          <w:szCs w:val="20"/>
        </w:rPr>
        <w:lastRenderedPageBreak/>
        <w:t>the global output, followed by the Russian-Ukraine conflict leading to a worldwide surge in inflation. Then, the central banks across economies led by the Federal Reserve responded with synchronised policy rate hikes to curb inflation.</w:t>
      </w:r>
    </w:p>
    <w:p w14:paraId="550ABC9D" w14:textId="77777777" w:rsidR="00361E52" w:rsidRPr="00712F3C" w:rsidRDefault="00361E52" w:rsidP="00361E52">
      <w:pPr>
        <w:spacing w:after="0" w:line="240" w:lineRule="auto"/>
        <w:ind w:right="26"/>
        <w:jc w:val="both"/>
        <w:rPr>
          <w:rFonts w:ascii="Times New Roman" w:hAnsi="Times New Roman"/>
          <w:sz w:val="20"/>
          <w:szCs w:val="20"/>
        </w:rPr>
      </w:pPr>
    </w:p>
    <w:p w14:paraId="17F2C694" w14:textId="77777777" w:rsidR="00361E52" w:rsidRPr="00712F3C" w:rsidRDefault="00361E52" w:rsidP="00361E52">
      <w:pPr>
        <w:spacing w:after="0" w:line="240" w:lineRule="auto"/>
        <w:ind w:right="26"/>
        <w:jc w:val="both"/>
        <w:rPr>
          <w:rFonts w:ascii="Times New Roman" w:hAnsi="Times New Roman"/>
          <w:sz w:val="20"/>
          <w:szCs w:val="20"/>
        </w:rPr>
      </w:pPr>
      <w:r w:rsidRPr="00712F3C">
        <w:rPr>
          <w:rFonts w:ascii="Times New Roman" w:hAnsi="Times New Roman"/>
          <w:sz w:val="20"/>
          <w:szCs w:val="20"/>
        </w:rPr>
        <w:t>The Indian economy, however, appears to have moved on after its encounter with the pandemic, staging a full recovery in FY22 ahead of many nations and positioning itself to ascend to the pre-pandemic growth path in FY23. Yet in the current year, India has also faced the challenge of reining in inflation that the European strife accentuated. Measures taken by the government and RBI, along with the easing of global commodity prices, have finally managed to bring retail inflation below the RBI upper tolerance target in November 2022. However, the challenge of the depreciating rupee, although better performing than most other currencies, persists with the likelihood of further increases in policy rates by the US Fed.</w:t>
      </w:r>
    </w:p>
    <w:p w14:paraId="57B8D2B0" w14:textId="77777777" w:rsidR="00361E52" w:rsidRPr="00712F3C" w:rsidRDefault="00361E52" w:rsidP="00361E52">
      <w:pPr>
        <w:spacing w:after="0" w:line="240" w:lineRule="auto"/>
        <w:ind w:right="26"/>
        <w:jc w:val="both"/>
        <w:rPr>
          <w:rFonts w:ascii="Times New Roman" w:hAnsi="Times New Roman"/>
          <w:sz w:val="20"/>
          <w:szCs w:val="20"/>
        </w:rPr>
      </w:pPr>
    </w:p>
    <w:p w14:paraId="6877893F" w14:textId="77777777" w:rsidR="00361E52" w:rsidRPr="00712F3C" w:rsidRDefault="00361E52" w:rsidP="00361E52">
      <w:pPr>
        <w:spacing w:after="0" w:line="240" w:lineRule="auto"/>
        <w:ind w:right="26"/>
        <w:jc w:val="both"/>
        <w:rPr>
          <w:rFonts w:ascii="Times New Roman" w:hAnsi="Times New Roman"/>
          <w:sz w:val="20"/>
          <w:szCs w:val="20"/>
        </w:rPr>
      </w:pPr>
      <w:r w:rsidRPr="00712F3C">
        <w:rPr>
          <w:rFonts w:ascii="Times New Roman" w:hAnsi="Times New Roman"/>
          <w:sz w:val="20"/>
          <w:szCs w:val="20"/>
        </w:rPr>
        <w:t>Despite these, agencies worldwide continue to project India as the fastest-growing major economy at 6.5-7.0 per cent in FY23. These optimistic growth forecasts stem in part from the resilience of the Indian economy seen in the rebound of private consumption seamlessly replacing the export stimuli as the leading driver of growth. The uptick in private consumption has also given a boost to production activity resulting in an increase in capacity utilisation across sectors. The rebound in consumption was engineered by the near-universal vaccination coverage overseen by the government that brought people back to the streets to spend on contact-based services, such as restaurants, hotels, shopping malls, and cinemas, among others. The world’s second-largest vaccination drive involving more than 2 billion doses also served to lift consumer sentiments that may prolong the rebound in consumption. Vaccinations have facilitated the return of migrant workers to cities to work in construction sites as the rebound in consumption spilled over into the housing market. This is evident in the housing market witnessing a significant decline in inventory overhang to 33 months in Q3 of FY23 from 42 months last year.</w:t>
      </w:r>
    </w:p>
    <w:p w14:paraId="4CD91186" w14:textId="77777777" w:rsidR="00361E52" w:rsidRPr="00712F3C" w:rsidRDefault="00361E52" w:rsidP="00361E52">
      <w:pPr>
        <w:spacing w:after="0" w:line="240" w:lineRule="auto"/>
        <w:ind w:right="26"/>
        <w:jc w:val="both"/>
        <w:rPr>
          <w:rFonts w:ascii="Times New Roman" w:hAnsi="Times New Roman"/>
          <w:sz w:val="20"/>
          <w:szCs w:val="20"/>
        </w:rPr>
      </w:pPr>
    </w:p>
    <w:p w14:paraId="3E822124" w14:textId="77777777" w:rsidR="00361E52" w:rsidRPr="00712F3C" w:rsidRDefault="00361E52" w:rsidP="00361E52">
      <w:pPr>
        <w:spacing w:after="0" w:line="240" w:lineRule="auto"/>
        <w:ind w:right="26"/>
        <w:jc w:val="both"/>
        <w:rPr>
          <w:rFonts w:ascii="Times New Roman" w:hAnsi="Times New Roman"/>
          <w:sz w:val="20"/>
          <w:szCs w:val="20"/>
        </w:rPr>
      </w:pPr>
      <w:r w:rsidRPr="00712F3C">
        <w:rPr>
          <w:rFonts w:ascii="Times New Roman" w:hAnsi="Times New Roman"/>
          <w:sz w:val="20"/>
          <w:szCs w:val="20"/>
        </w:rPr>
        <w:t>The Capital Expenditure (Capex) of the central government, which increased by 63.4 per cent in the first eight months of FY23, was another growth driver of the Indian economy in the current year, crowding in the private Capex since the January-March quarter of 2022. On current trend, it appears that the full year’s capital expenditure budget will be met. A sustained increase in private Capex is also imminent with the strengthening of the balance sheets of the Corporates and the consequent increase in credit financing it has been able to generate. India’s economic growth in FY23 has been principally led by private consumption and capital formation. It has helped generate employment as seen in the declining urban unemployment rate and in the faster net registration in Employee Provident Fund. Still, private capex soon needs to take up the leadership role to put job creation on a fast track. Recovery of MSMEs is proceeding apace, as is evident in the amounts of GST they pay, while the ECGLS is easing their debt servicing concerns.</w:t>
      </w:r>
    </w:p>
    <w:p w14:paraId="213E254A" w14:textId="77777777" w:rsidR="00361E52" w:rsidRPr="00712F3C" w:rsidRDefault="00361E52" w:rsidP="00361E52">
      <w:pPr>
        <w:spacing w:after="0" w:line="240" w:lineRule="auto"/>
        <w:ind w:right="26"/>
        <w:jc w:val="both"/>
        <w:rPr>
          <w:rFonts w:ascii="Times New Roman" w:hAnsi="Times New Roman"/>
          <w:sz w:val="20"/>
          <w:szCs w:val="20"/>
        </w:rPr>
      </w:pPr>
    </w:p>
    <w:p w14:paraId="68295F19" w14:textId="77777777" w:rsidR="00361E52" w:rsidRPr="00712F3C" w:rsidRDefault="00361E52" w:rsidP="00361E52">
      <w:pPr>
        <w:spacing w:after="0" w:line="240" w:lineRule="auto"/>
        <w:ind w:right="26"/>
        <w:jc w:val="both"/>
        <w:rPr>
          <w:rFonts w:ascii="Times New Roman" w:hAnsi="Times New Roman"/>
          <w:sz w:val="20"/>
          <w:szCs w:val="20"/>
        </w:rPr>
      </w:pPr>
      <w:r w:rsidRPr="00712F3C">
        <w:rPr>
          <w:rFonts w:ascii="Times New Roman" w:hAnsi="Times New Roman"/>
          <w:sz w:val="20"/>
          <w:szCs w:val="20"/>
        </w:rPr>
        <w:t>Global growth has been projected to decline in 2023 and is expected to remain generally subdued in the following years as well. The slowing demand will likely push down global commodity prices and improve India’s CAD in FY24. However, a downside risk to the Current Account Balance stems from a swift recovery driven mainly by domestic demand and, to a lesser extent, by exports. Growth is expected to be brisk in FY24 as a vigorous credit disbursal, and capital investment cycle is expected to unfold in India with the strengthening of the balance sheets of the corporate and banking sectors.</w:t>
      </w:r>
    </w:p>
    <w:p w14:paraId="16322C68" w14:textId="70D2B1B9" w:rsidR="00361E52" w:rsidRPr="00712F3C" w:rsidRDefault="00361E52" w:rsidP="00361E52">
      <w:pPr>
        <w:spacing w:after="0" w:line="240" w:lineRule="auto"/>
        <w:ind w:right="26"/>
        <w:jc w:val="both"/>
        <w:rPr>
          <w:rFonts w:ascii="Times New Roman" w:hAnsi="Times New Roman"/>
          <w:sz w:val="20"/>
          <w:szCs w:val="20"/>
        </w:rPr>
      </w:pPr>
    </w:p>
    <w:p w14:paraId="1DDE61F5" w14:textId="2E028822" w:rsidR="00361E52" w:rsidRPr="00712F3C" w:rsidRDefault="00361E52" w:rsidP="00361E52">
      <w:pPr>
        <w:spacing w:after="0" w:line="240" w:lineRule="auto"/>
        <w:ind w:right="26"/>
        <w:jc w:val="center"/>
        <w:rPr>
          <w:rFonts w:ascii="Times New Roman" w:hAnsi="Times New Roman"/>
          <w:sz w:val="20"/>
          <w:szCs w:val="20"/>
        </w:rPr>
      </w:pPr>
      <w:r w:rsidRPr="00712F3C">
        <w:rPr>
          <w:rFonts w:ascii="Times New Roman" w:hAnsi="Times New Roman"/>
          <w:noProof/>
          <w:sz w:val="20"/>
          <w:szCs w:val="20"/>
          <w:lang w:val="en-IN" w:eastAsia="en-IN"/>
        </w:rPr>
        <w:drawing>
          <wp:inline distT="0" distB="0" distL="0" distR="0" wp14:anchorId="6343ABBD" wp14:editId="65C3D175">
            <wp:extent cx="3771912" cy="211264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813788" cy="2136100"/>
                    </a:xfrm>
                    <a:prstGeom prst="rect">
                      <a:avLst/>
                    </a:prstGeom>
                  </pic:spPr>
                </pic:pic>
              </a:graphicData>
            </a:graphic>
          </wp:inline>
        </w:drawing>
      </w:r>
    </w:p>
    <w:p w14:paraId="541113D1" w14:textId="322D3EB1" w:rsidR="00361E52" w:rsidRPr="00712F3C" w:rsidRDefault="00361E52" w:rsidP="00361E52">
      <w:pPr>
        <w:spacing w:after="0" w:line="240" w:lineRule="auto"/>
        <w:ind w:right="26"/>
        <w:jc w:val="both"/>
        <w:rPr>
          <w:rFonts w:ascii="Times New Roman" w:hAnsi="Times New Roman"/>
          <w:i/>
          <w:sz w:val="20"/>
          <w:szCs w:val="20"/>
        </w:rPr>
      </w:pPr>
      <w:r w:rsidRPr="00712F3C">
        <w:rPr>
          <w:rFonts w:ascii="Times New Roman" w:hAnsi="Times New Roman"/>
          <w:noProof/>
          <w:sz w:val="20"/>
          <w:szCs w:val="20"/>
          <w:lang w:val="en-IN" w:eastAsia="en-IN"/>
        </w:rPr>
        <w:lastRenderedPageBreak/>
        <w:drawing>
          <wp:anchor distT="0" distB="0" distL="114300" distR="114300" simplePos="0" relativeHeight="251662336" behindDoc="1" locked="0" layoutInCell="1" allowOverlap="1" wp14:anchorId="27DAC5F3" wp14:editId="05B7BE70">
            <wp:simplePos x="0" y="0"/>
            <wp:positionH relativeFrom="column">
              <wp:posOffset>4366260</wp:posOffset>
            </wp:positionH>
            <wp:positionV relativeFrom="paragraph">
              <wp:posOffset>44450</wp:posOffset>
            </wp:positionV>
            <wp:extent cx="2199640" cy="2417445"/>
            <wp:effectExtent l="0" t="0" r="0" b="1905"/>
            <wp:wrapTight wrapText="bothSides">
              <wp:wrapPolygon edited="0">
                <wp:start x="0" y="0"/>
                <wp:lineTo x="0" y="21447"/>
                <wp:lineTo x="21326" y="21447"/>
                <wp:lineTo x="2132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199640" cy="2417445"/>
                    </a:xfrm>
                    <a:prstGeom prst="rect">
                      <a:avLst/>
                    </a:prstGeom>
                  </pic:spPr>
                </pic:pic>
              </a:graphicData>
            </a:graphic>
            <wp14:sizeRelH relativeFrom="page">
              <wp14:pctWidth>0</wp14:pctWidth>
            </wp14:sizeRelH>
            <wp14:sizeRelV relativeFrom="page">
              <wp14:pctHeight>0</wp14:pctHeight>
            </wp14:sizeRelV>
          </wp:anchor>
        </w:drawing>
      </w:r>
      <w:r w:rsidRPr="00712F3C">
        <w:rPr>
          <w:rFonts w:ascii="Times New Roman" w:hAnsi="Times New Roman"/>
          <w:i/>
          <w:sz w:val="20"/>
          <w:szCs w:val="20"/>
        </w:rPr>
        <w:t xml:space="preserve">(Source: </w:t>
      </w:r>
      <w:hyperlink r:id="rId51" w:history="1">
        <w:r w:rsidRPr="00712F3C">
          <w:rPr>
            <w:rStyle w:val="Hyperlink"/>
            <w:rFonts w:ascii="Times New Roman" w:hAnsi="Times New Roman"/>
            <w:i/>
            <w:sz w:val="20"/>
            <w:szCs w:val="20"/>
          </w:rPr>
          <w:t>https://www.indiabudget.gov.in/economicsurvey/doc/eschapter/echap01.pdf</w:t>
        </w:r>
      </w:hyperlink>
      <w:r w:rsidRPr="00712F3C">
        <w:rPr>
          <w:rFonts w:ascii="Times New Roman" w:hAnsi="Times New Roman"/>
          <w:i/>
          <w:sz w:val="20"/>
          <w:szCs w:val="20"/>
        </w:rPr>
        <w:t>)</w:t>
      </w:r>
    </w:p>
    <w:p w14:paraId="49A70AFE" w14:textId="3CD92DC9" w:rsidR="00361E52" w:rsidRDefault="00361E52" w:rsidP="00361E52">
      <w:pPr>
        <w:spacing w:after="0" w:line="240" w:lineRule="auto"/>
        <w:ind w:right="26"/>
        <w:rPr>
          <w:rFonts w:ascii="Times New Roman" w:hAnsi="Times New Roman"/>
          <w:noProof/>
          <w:sz w:val="20"/>
          <w:szCs w:val="20"/>
          <w:lang w:val="en-IN" w:eastAsia="en-IN"/>
        </w:rPr>
      </w:pPr>
    </w:p>
    <w:p w14:paraId="548A9DE8" w14:textId="45804F78" w:rsidR="00361E52" w:rsidRPr="00712F3C" w:rsidRDefault="00361E52" w:rsidP="00361E52">
      <w:pPr>
        <w:spacing w:after="0" w:line="240" w:lineRule="auto"/>
        <w:ind w:right="26"/>
        <w:rPr>
          <w:rFonts w:ascii="Times New Roman" w:hAnsi="Times New Roman"/>
          <w:b/>
          <w:i/>
          <w:sz w:val="20"/>
          <w:szCs w:val="20"/>
        </w:rPr>
      </w:pPr>
      <w:r w:rsidRPr="00712F3C">
        <w:rPr>
          <w:rFonts w:ascii="Times New Roman" w:hAnsi="Times New Roman"/>
          <w:b/>
          <w:i/>
          <w:sz w:val="20"/>
          <w:szCs w:val="20"/>
        </w:rPr>
        <w:t>Market Size</w:t>
      </w:r>
    </w:p>
    <w:p w14:paraId="64D8A445" w14:textId="1678F912" w:rsidR="00361E52" w:rsidRPr="00712F3C" w:rsidRDefault="00361E52" w:rsidP="00361E52">
      <w:pPr>
        <w:spacing w:after="0" w:line="240" w:lineRule="auto"/>
        <w:ind w:right="26"/>
        <w:rPr>
          <w:rFonts w:ascii="Times New Roman" w:hAnsi="Times New Roman"/>
          <w:b/>
          <w:i/>
          <w:sz w:val="20"/>
          <w:szCs w:val="20"/>
        </w:rPr>
      </w:pPr>
    </w:p>
    <w:p w14:paraId="6622E6D9" w14:textId="4AC4B5E7" w:rsidR="00361E52" w:rsidRPr="00712F3C" w:rsidRDefault="00361E52" w:rsidP="00361E52">
      <w:pPr>
        <w:spacing w:after="0" w:line="240" w:lineRule="auto"/>
        <w:ind w:right="26"/>
        <w:jc w:val="both"/>
        <w:rPr>
          <w:rFonts w:ascii="Times New Roman" w:hAnsi="Times New Roman"/>
          <w:sz w:val="20"/>
          <w:szCs w:val="20"/>
        </w:rPr>
      </w:pPr>
      <w:r w:rsidRPr="00712F3C">
        <w:rPr>
          <w:rFonts w:ascii="Times New Roman" w:hAnsi="Times New Roman"/>
          <w:sz w:val="20"/>
          <w:szCs w:val="20"/>
        </w:rPr>
        <w:t>India’s nominal gross domestic product (GDP) at current prices is estimated to be at ₹ 232.15 trillion (US$ 3.12 trillion) in FY22. With more than 100 unicorns valued at US$ 332.7 billion, India has the third-largest unicorn base in the world. The government is also focusing on renewable sources to generate energy and is planning to achieve 40% of its energy from non-fossil sources by 2030.</w:t>
      </w:r>
    </w:p>
    <w:p w14:paraId="63FEEF5E" w14:textId="52CF70B7" w:rsidR="00361E52" w:rsidRPr="00712F3C" w:rsidRDefault="00361E52" w:rsidP="00361E52">
      <w:pPr>
        <w:spacing w:after="0" w:line="240" w:lineRule="auto"/>
        <w:ind w:right="26"/>
        <w:jc w:val="both"/>
        <w:rPr>
          <w:rFonts w:ascii="Times New Roman" w:hAnsi="Times New Roman"/>
          <w:sz w:val="20"/>
          <w:szCs w:val="20"/>
        </w:rPr>
      </w:pPr>
    </w:p>
    <w:p w14:paraId="4631CF80" w14:textId="0BAE8138" w:rsidR="00361E52" w:rsidRPr="00712F3C" w:rsidRDefault="00361E52" w:rsidP="00361E52">
      <w:pPr>
        <w:spacing w:after="0" w:line="240" w:lineRule="auto"/>
        <w:ind w:right="26"/>
        <w:jc w:val="both"/>
        <w:rPr>
          <w:rFonts w:ascii="Times New Roman" w:hAnsi="Times New Roman"/>
          <w:sz w:val="20"/>
          <w:szCs w:val="20"/>
        </w:rPr>
      </w:pPr>
      <w:r w:rsidRPr="00712F3C">
        <w:rPr>
          <w:rFonts w:ascii="Times New Roman" w:hAnsi="Times New Roman"/>
          <w:sz w:val="20"/>
          <w:szCs w:val="20"/>
        </w:rPr>
        <w:t>According to the McKinsey Global Institute, India needs to boost its rate of employment growth and create 90 million non-farm jobs between 2023 and 2030 in order to increase productivity and economic growth. The net employment rate needs to grow by 1.5% per annum from 2023 to 2030 to achieve 8-8.5% GDP growth between 2023 and 2030. India's current account deficit (CAD), primarily driven by an increase in the trade deficit, stood at 2.1% of GDP in the first quarter of FY 2022-23.</w:t>
      </w:r>
    </w:p>
    <w:p w14:paraId="7FF23FFB" w14:textId="5F72DA1C" w:rsidR="00361E52" w:rsidRPr="00712F3C" w:rsidRDefault="00361E52" w:rsidP="00361E52">
      <w:pPr>
        <w:spacing w:after="0" w:line="240" w:lineRule="auto"/>
        <w:ind w:right="26"/>
        <w:jc w:val="both"/>
        <w:rPr>
          <w:rFonts w:ascii="Times New Roman" w:hAnsi="Times New Roman"/>
          <w:sz w:val="20"/>
          <w:szCs w:val="20"/>
        </w:rPr>
      </w:pPr>
    </w:p>
    <w:p w14:paraId="0B8D8243" w14:textId="77777777" w:rsidR="00361E52" w:rsidRPr="00712F3C" w:rsidRDefault="00361E52" w:rsidP="00361E52">
      <w:pPr>
        <w:spacing w:after="0" w:line="240" w:lineRule="auto"/>
        <w:ind w:right="26"/>
        <w:jc w:val="both"/>
        <w:rPr>
          <w:rFonts w:ascii="Times New Roman" w:hAnsi="Times New Roman"/>
          <w:b/>
          <w:i/>
          <w:sz w:val="20"/>
          <w:szCs w:val="20"/>
        </w:rPr>
      </w:pPr>
      <w:r w:rsidRPr="00712F3C">
        <w:rPr>
          <w:rFonts w:ascii="Times New Roman" w:hAnsi="Times New Roman"/>
          <w:b/>
          <w:i/>
          <w:sz w:val="20"/>
          <w:szCs w:val="20"/>
        </w:rPr>
        <w:t>Recent Developments</w:t>
      </w:r>
    </w:p>
    <w:p w14:paraId="4ECB0467" w14:textId="77777777" w:rsidR="00361E52" w:rsidRPr="00712F3C" w:rsidRDefault="00361E52" w:rsidP="00361E52">
      <w:pPr>
        <w:spacing w:after="0" w:line="240" w:lineRule="auto"/>
        <w:ind w:right="26"/>
        <w:jc w:val="both"/>
        <w:rPr>
          <w:rFonts w:ascii="Times New Roman" w:hAnsi="Times New Roman"/>
          <w:b/>
          <w:i/>
          <w:sz w:val="20"/>
          <w:szCs w:val="20"/>
        </w:rPr>
      </w:pPr>
    </w:p>
    <w:p w14:paraId="5D74C8DF" w14:textId="77777777" w:rsidR="00361E52" w:rsidRPr="00712F3C" w:rsidRDefault="00361E52" w:rsidP="00361E52">
      <w:pPr>
        <w:spacing w:after="0" w:line="240" w:lineRule="auto"/>
        <w:ind w:right="26"/>
        <w:jc w:val="both"/>
        <w:rPr>
          <w:rFonts w:ascii="Times New Roman" w:hAnsi="Times New Roman"/>
          <w:sz w:val="20"/>
          <w:szCs w:val="20"/>
        </w:rPr>
      </w:pPr>
      <w:r w:rsidRPr="00712F3C">
        <w:rPr>
          <w:rFonts w:ascii="Times New Roman" w:hAnsi="Times New Roman"/>
          <w:sz w:val="20"/>
          <w:szCs w:val="20"/>
        </w:rPr>
        <w:t>India is primarily a domestic demand-driven economy, with consumption and investments contributing to 70% of the economic activity. With an improvement in the economic scenario and the Indian economy recovering from the Covid-19 pandemic shock, several investments and developments have been made across various sectors of the economy.</w:t>
      </w:r>
    </w:p>
    <w:p w14:paraId="644AEA9A" w14:textId="77777777" w:rsidR="00361E52" w:rsidRPr="00712F3C" w:rsidRDefault="00361E52" w:rsidP="00361E52">
      <w:pPr>
        <w:spacing w:after="0" w:line="240" w:lineRule="auto"/>
        <w:ind w:right="26"/>
        <w:jc w:val="both"/>
        <w:rPr>
          <w:rFonts w:ascii="Times New Roman" w:hAnsi="Times New Roman"/>
          <w:sz w:val="20"/>
          <w:szCs w:val="20"/>
        </w:rPr>
      </w:pPr>
    </w:p>
    <w:p w14:paraId="2916FCC0" w14:textId="77777777" w:rsidR="00361E52" w:rsidRPr="00712F3C" w:rsidRDefault="00361E52">
      <w:pPr>
        <w:pStyle w:val="ListParagraph"/>
        <w:numPr>
          <w:ilvl w:val="0"/>
          <w:numId w:val="162"/>
        </w:numPr>
        <w:suppressAutoHyphens w:val="0"/>
        <w:autoSpaceDE/>
        <w:autoSpaceDN/>
        <w:adjustRightInd/>
        <w:spacing w:line="240" w:lineRule="auto"/>
        <w:ind w:left="360" w:right="26"/>
        <w:contextualSpacing/>
        <w:jc w:val="both"/>
        <w:textAlignment w:val="auto"/>
        <w:rPr>
          <w:sz w:val="20"/>
          <w:szCs w:val="20"/>
        </w:rPr>
      </w:pPr>
      <w:r w:rsidRPr="00712F3C">
        <w:rPr>
          <w:sz w:val="20"/>
          <w:szCs w:val="20"/>
        </w:rPr>
        <w:t>As of September 21, 2022, India’s foreign exchange reserves stood at US$ 524,520 million.</w:t>
      </w:r>
    </w:p>
    <w:p w14:paraId="71EB0D51" w14:textId="77777777" w:rsidR="00361E52" w:rsidRPr="00712F3C" w:rsidRDefault="00361E52">
      <w:pPr>
        <w:pStyle w:val="ListParagraph"/>
        <w:numPr>
          <w:ilvl w:val="0"/>
          <w:numId w:val="162"/>
        </w:numPr>
        <w:suppressAutoHyphens w:val="0"/>
        <w:autoSpaceDE/>
        <w:autoSpaceDN/>
        <w:adjustRightInd/>
        <w:spacing w:line="240" w:lineRule="auto"/>
        <w:ind w:left="360" w:right="26"/>
        <w:contextualSpacing/>
        <w:jc w:val="both"/>
        <w:textAlignment w:val="auto"/>
        <w:rPr>
          <w:sz w:val="20"/>
          <w:szCs w:val="20"/>
        </w:rPr>
      </w:pPr>
      <w:r w:rsidRPr="00712F3C">
        <w:rPr>
          <w:sz w:val="20"/>
          <w:szCs w:val="20"/>
        </w:rPr>
        <w:t>The private equity-venture capital (PE-VC) sector investments stood at US$ 2 billion in September 2022.</w:t>
      </w:r>
    </w:p>
    <w:p w14:paraId="616AC5C6" w14:textId="77777777" w:rsidR="00361E52" w:rsidRPr="00712F3C" w:rsidRDefault="00361E52">
      <w:pPr>
        <w:pStyle w:val="ListParagraph"/>
        <w:numPr>
          <w:ilvl w:val="0"/>
          <w:numId w:val="162"/>
        </w:numPr>
        <w:suppressAutoHyphens w:val="0"/>
        <w:autoSpaceDE/>
        <w:autoSpaceDN/>
        <w:adjustRightInd/>
        <w:spacing w:line="240" w:lineRule="auto"/>
        <w:ind w:left="360" w:right="26"/>
        <w:contextualSpacing/>
        <w:jc w:val="both"/>
        <w:textAlignment w:val="auto"/>
        <w:rPr>
          <w:sz w:val="20"/>
          <w:szCs w:val="20"/>
        </w:rPr>
      </w:pPr>
      <w:r w:rsidRPr="00712F3C">
        <w:rPr>
          <w:sz w:val="20"/>
          <w:szCs w:val="20"/>
        </w:rPr>
        <w:t>In September 2022, the gross Goods and Services Tax (GST) revenue collection stood at ₹ 147,686 crore (US$ 17.92 billion).</w:t>
      </w:r>
    </w:p>
    <w:p w14:paraId="583225C1" w14:textId="77777777" w:rsidR="00361E52" w:rsidRPr="00712F3C" w:rsidRDefault="00361E52">
      <w:pPr>
        <w:pStyle w:val="ListParagraph"/>
        <w:numPr>
          <w:ilvl w:val="0"/>
          <w:numId w:val="162"/>
        </w:numPr>
        <w:suppressAutoHyphens w:val="0"/>
        <w:autoSpaceDE/>
        <w:autoSpaceDN/>
        <w:adjustRightInd/>
        <w:spacing w:line="240" w:lineRule="auto"/>
        <w:ind w:left="360" w:right="26"/>
        <w:contextualSpacing/>
        <w:jc w:val="both"/>
        <w:textAlignment w:val="auto"/>
        <w:rPr>
          <w:sz w:val="20"/>
          <w:szCs w:val="20"/>
        </w:rPr>
      </w:pPr>
      <w:r w:rsidRPr="00712F3C">
        <w:rPr>
          <w:sz w:val="20"/>
          <w:szCs w:val="20"/>
        </w:rPr>
        <w:t>In August 2022, the overall IIP (Index of Industrial Production) stood at 131.3. The Indices of Industrial Production for the mining, manufacturing and electricity sectors stood at 99.6, 131.0 and 191.3, respectively, in August 2022.</w:t>
      </w:r>
    </w:p>
    <w:p w14:paraId="16DF3B60" w14:textId="77777777" w:rsidR="00361E52" w:rsidRPr="00712F3C" w:rsidRDefault="00361E52">
      <w:pPr>
        <w:pStyle w:val="ListParagraph"/>
        <w:numPr>
          <w:ilvl w:val="0"/>
          <w:numId w:val="162"/>
        </w:numPr>
        <w:suppressAutoHyphens w:val="0"/>
        <w:autoSpaceDE/>
        <w:autoSpaceDN/>
        <w:adjustRightInd/>
        <w:spacing w:line="240" w:lineRule="auto"/>
        <w:ind w:left="360" w:right="26"/>
        <w:contextualSpacing/>
        <w:jc w:val="both"/>
        <w:textAlignment w:val="auto"/>
        <w:rPr>
          <w:sz w:val="20"/>
          <w:szCs w:val="20"/>
        </w:rPr>
      </w:pPr>
      <w:r w:rsidRPr="00712F3C">
        <w:rPr>
          <w:sz w:val="20"/>
          <w:szCs w:val="20"/>
        </w:rPr>
        <w:t>According to data released by the Ministry of Statistics &amp; Programme Implementation (MoSPI), India’s Consumer Price Index (CPI) based retail inflation reached 7.41% in September 2022.</w:t>
      </w:r>
    </w:p>
    <w:p w14:paraId="0CF598B0" w14:textId="77777777" w:rsidR="00361E52" w:rsidRPr="00712F3C" w:rsidRDefault="00361E52">
      <w:pPr>
        <w:pStyle w:val="ListParagraph"/>
        <w:numPr>
          <w:ilvl w:val="0"/>
          <w:numId w:val="162"/>
        </w:numPr>
        <w:suppressAutoHyphens w:val="0"/>
        <w:autoSpaceDE/>
        <w:autoSpaceDN/>
        <w:adjustRightInd/>
        <w:spacing w:line="240" w:lineRule="auto"/>
        <w:ind w:left="360" w:right="26"/>
        <w:contextualSpacing/>
        <w:jc w:val="both"/>
        <w:textAlignment w:val="auto"/>
        <w:rPr>
          <w:sz w:val="20"/>
          <w:szCs w:val="20"/>
        </w:rPr>
      </w:pPr>
      <w:r w:rsidRPr="00712F3C">
        <w:rPr>
          <w:sz w:val="20"/>
          <w:szCs w:val="20"/>
        </w:rPr>
        <w:t>In FY 2022-23, (until October 28, 2022), Foreign Portfolio Investment (FPI) outflows stood at ₹ 58,762 crore (US$ 7.13 billion).</w:t>
      </w:r>
    </w:p>
    <w:p w14:paraId="44EF3E00" w14:textId="77777777" w:rsidR="00361E52" w:rsidRPr="00712F3C" w:rsidRDefault="00361E52" w:rsidP="00361E52">
      <w:pPr>
        <w:spacing w:after="0" w:line="240" w:lineRule="auto"/>
        <w:ind w:right="26"/>
        <w:jc w:val="both"/>
        <w:rPr>
          <w:rFonts w:ascii="Times New Roman" w:hAnsi="Times New Roman"/>
          <w:sz w:val="20"/>
          <w:szCs w:val="20"/>
        </w:rPr>
      </w:pPr>
    </w:p>
    <w:p w14:paraId="292A6A55" w14:textId="77777777" w:rsidR="00361E52" w:rsidRPr="00712F3C" w:rsidRDefault="00361E52" w:rsidP="00361E52">
      <w:pPr>
        <w:spacing w:after="0" w:line="240" w:lineRule="auto"/>
        <w:ind w:right="26"/>
        <w:jc w:val="both"/>
        <w:rPr>
          <w:rFonts w:ascii="Times New Roman" w:hAnsi="Times New Roman"/>
          <w:b/>
          <w:i/>
          <w:sz w:val="20"/>
          <w:szCs w:val="20"/>
        </w:rPr>
      </w:pPr>
      <w:r w:rsidRPr="00712F3C">
        <w:rPr>
          <w:rFonts w:ascii="Times New Roman" w:hAnsi="Times New Roman"/>
          <w:b/>
          <w:i/>
          <w:sz w:val="20"/>
          <w:szCs w:val="20"/>
        </w:rPr>
        <w:t>Government Initiatives</w:t>
      </w:r>
    </w:p>
    <w:p w14:paraId="5B3DFAAC" w14:textId="77777777" w:rsidR="00361E52" w:rsidRPr="00712F3C" w:rsidRDefault="00361E52" w:rsidP="00361E52">
      <w:pPr>
        <w:spacing w:after="0" w:line="240" w:lineRule="auto"/>
        <w:ind w:right="26"/>
        <w:jc w:val="both"/>
        <w:rPr>
          <w:rFonts w:ascii="Times New Roman" w:hAnsi="Times New Roman"/>
          <w:b/>
          <w:i/>
          <w:sz w:val="20"/>
          <w:szCs w:val="20"/>
        </w:rPr>
      </w:pPr>
    </w:p>
    <w:p w14:paraId="73C6705F" w14:textId="77777777" w:rsidR="00361E52" w:rsidRPr="00712F3C" w:rsidRDefault="00361E52" w:rsidP="00361E52">
      <w:pPr>
        <w:spacing w:after="0" w:line="240" w:lineRule="auto"/>
        <w:ind w:right="26"/>
        <w:jc w:val="both"/>
        <w:rPr>
          <w:rFonts w:ascii="Times New Roman" w:hAnsi="Times New Roman"/>
          <w:sz w:val="20"/>
          <w:szCs w:val="20"/>
        </w:rPr>
      </w:pPr>
      <w:r w:rsidRPr="00712F3C">
        <w:rPr>
          <w:rFonts w:ascii="Times New Roman" w:hAnsi="Times New Roman"/>
          <w:sz w:val="20"/>
          <w:szCs w:val="20"/>
        </w:rPr>
        <w:t>Over the years, the Indian government has introduced many initiatives to strengthen the nation's economy. The Indian government has been effective in developing policies and programmes that are not only beneficial for citizens to improve their financial stability but also for the overall growth of the economy. Over recent decades, India's rapid economic growth has led to a substantial increase in its demand for exports.</w:t>
      </w:r>
    </w:p>
    <w:p w14:paraId="1ED1EF30" w14:textId="77777777" w:rsidR="00361E52" w:rsidRPr="00712F3C" w:rsidRDefault="00361E52" w:rsidP="00361E52">
      <w:pPr>
        <w:spacing w:after="0" w:line="240" w:lineRule="auto"/>
        <w:ind w:right="26"/>
        <w:jc w:val="both"/>
        <w:rPr>
          <w:rFonts w:ascii="Times New Roman" w:hAnsi="Times New Roman"/>
          <w:sz w:val="20"/>
          <w:szCs w:val="20"/>
        </w:rPr>
      </w:pPr>
    </w:p>
    <w:p w14:paraId="76D1D5E2" w14:textId="77777777" w:rsidR="00361E52" w:rsidRPr="00361E52" w:rsidRDefault="00361E52">
      <w:pPr>
        <w:pStyle w:val="ListParagraph"/>
        <w:numPr>
          <w:ilvl w:val="0"/>
          <w:numId w:val="319"/>
        </w:numPr>
        <w:tabs>
          <w:tab w:val="left" w:pos="360"/>
        </w:tabs>
        <w:spacing w:line="240" w:lineRule="auto"/>
        <w:ind w:left="360" w:right="26"/>
        <w:contextualSpacing/>
        <w:jc w:val="both"/>
        <w:rPr>
          <w:sz w:val="20"/>
          <w:szCs w:val="20"/>
        </w:rPr>
      </w:pPr>
      <w:r w:rsidRPr="00361E52">
        <w:rPr>
          <w:sz w:val="20"/>
          <w:szCs w:val="20"/>
        </w:rPr>
        <w:t>Home &amp; Cooperation Minister Mr. Amit Shah, laid the foundation stone and performed Bhoomi Pujan of Shri Tanot Mandir Complex Project under Border Tourism Development Programme in Jaisalmer in September 2022.</w:t>
      </w:r>
    </w:p>
    <w:p w14:paraId="6B0729F2" w14:textId="77777777" w:rsidR="00361E52" w:rsidRPr="00361E52" w:rsidRDefault="00361E52">
      <w:pPr>
        <w:pStyle w:val="ListParagraph"/>
        <w:numPr>
          <w:ilvl w:val="0"/>
          <w:numId w:val="319"/>
        </w:numPr>
        <w:tabs>
          <w:tab w:val="left" w:pos="360"/>
        </w:tabs>
        <w:spacing w:line="240" w:lineRule="auto"/>
        <w:ind w:left="360" w:right="26"/>
        <w:contextualSpacing/>
        <w:jc w:val="both"/>
        <w:rPr>
          <w:sz w:val="20"/>
          <w:szCs w:val="20"/>
        </w:rPr>
      </w:pPr>
      <w:r w:rsidRPr="00361E52">
        <w:rPr>
          <w:sz w:val="20"/>
          <w:szCs w:val="20"/>
        </w:rPr>
        <w:t>In August 2022, Mr. Narendra Singh Tomar, Minister of Agriculture and Farmers Welfare inaugurated four new facilities at the Central Arid Zone Research Institute (CAZRI), which has been rendering excellent services for more than 60 years under the Indian Council of Agricultural Research (ICAR).</w:t>
      </w:r>
    </w:p>
    <w:p w14:paraId="0CE12A05" w14:textId="77777777" w:rsidR="00361E52" w:rsidRPr="00361E52" w:rsidRDefault="00361E52">
      <w:pPr>
        <w:pStyle w:val="ListParagraph"/>
        <w:numPr>
          <w:ilvl w:val="0"/>
          <w:numId w:val="319"/>
        </w:numPr>
        <w:tabs>
          <w:tab w:val="left" w:pos="360"/>
        </w:tabs>
        <w:spacing w:line="240" w:lineRule="auto"/>
        <w:ind w:left="360" w:right="26"/>
        <w:contextualSpacing/>
        <w:rPr>
          <w:sz w:val="20"/>
          <w:szCs w:val="20"/>
        </w:rPr>
      </w:pPr>
      <w:r w:rsidRPr="00361E52">
        <w:rPr>
          <w:sz w:val="20"/>
          <w:szCs w:val="20"/>
        </w:rPr>
        <w:t>The Union Budget of 2022-23 was presented on February 1, 2022, by the Minister for Finance &amp; Corporate Affairs, Ms. Nirmala Sitharaman. The budget had four priorities PM GatiShakti, Inclusive Development, Productivity Enhancement and Investment, and Financing of Investments. In the Union Budget 2022-23, effective capital expenditure is expected to increase by 27% at ₹ 10.68 lakh crore (US$ 142.93 billion) to boost the economy. This will be 4.1% of the total Gross Domestic Production (GDP).</w:t>
      </w:r>
    </w:p>
    <w:p w14:paraId="3515B418" w14:textId="77777777" w:rsidR="00361E52" w:rsidRPr="00361E52" w:rsidRDefault="00361E52">
      <w:pPr>
        <w:pStyle w:val="ListParagraph"/>
        <w:numPr>
          <w:ilvl w:val="0"/>
          <w:numId w:val="319"/>
        </w:numPr>
        <w:tabs>
          <w:tab w:val="left" w:pos="360"/>
        </w:tabs>
        <w:spacing w:line="240" w:lineRule="auto"/>
        <w:ind w:left="360" w:right="26"/>
        <w:contextualSpacing/>
        <w:jc w:val="both"/>
        <w:rPr>
          <w:sz w:val="20"/>
          <w:szCs w:val="20"/>
        </w:rPr>
      </w:pPr>
      <w:r w:rsidRPr="00361E52">
        <w:rPr>
          <w:sz w:val="20"/>
          <w:szCs w:val="20"/>
        </w:rPr>
        <w:t>In August 2022, a Special Food Processing Fund of ₹ 2,000 crore (US$ 242.72 million) was set up with National Bank for Agriculture and Rural Development (NABARD) to provide affordable credit for investments in setting up Mega Food Parks (MFP) as well as processing units in the MFPs.</w:t>
      </w:r>
    </w:p>
    <w:p w14:paraId="1CAAD1FD" w14:textId="77777777" w:rsidR="00361E52" w:rsidRPr="00361E52" w:rsidRDefault="00361E52">
      <w:pPr>
        <w:pStyle w:val="ListParagraph"/>
        <w:numPr>
          <w:ilvl w:val="0"/>
          <w:numId w:val="319"/>
        </w:numPr>
        <w:tabs>
          <w:tab w:val="left" w:pos="360"/>
        </w:tabs>
        <w:spacing w:line="240" w:lineRule="auto"/>
        <w:ind w:left="360" w:right="26"/>
        <w:contextualSpacing/>
        <w:jc w:val="both"/>
        <w:rPr>
          <w:sz w:val="20"/>
          <w:szCs w:val="20"/>
        </w:rPr>
      </w:pPr>
      <w:r w:rsidRPr="00361E52">
        <w:rPr>
          <w:sz w:val="20"/>
          <w:szCs w:val="20"/>
        </w:rPr>
        <w:t>In July 2022, Deendayal Port Authority (DPA) announced plans to develop two Mega Cargo Handling Terminals on a Build-Operate-Transfer (BOT) basis under Public-Private Partnership (PPP) Mode at an estimated cost of ₹ 5,963 crore (US$ 747.64 million).</w:t>
      </w:r>
    </w:p>
    <w:p w14:paraId="6046A582" w14:textId="77777777" w:rsidR="00361E52" w:rsidRPr="00361E52" w:rsidRDefault="00361E52">
      <w:pPr>
        <w:pStyle w:val="ListParagraph"/>
        <w:numPr>
          <w:ilvl w:val="0"/>
          <w:numId w:val="319"/>
        </w:numPr>
        <w:tabs>
          <w:tab w:val="left" w:pos="360"/>
        </w:tabs>
        <w:spacing w:line="240" w:lineRule="auto"/>
        <w:ind w:left="360" w:right="26"/>
        <w:contextualSpacing/>
        <w:jc w:val="both"/>
        <w:rPr>
          <w:sz w:val="20"/>
          <w:szCs w:val="20"/>
        </w:rPr>
      </w:pPr>
      <w:r w:rsidRPr="00361E52">
        <w:rPr>
          <w:sz w:val="20"/>
          <w:szCs w:val="20"/>
        </w:rPr>
        <w:t>In July 2022, the Union Cabinet chaired by the Prime Minister Mr. Narendra Modi, approved the signing of the Memorandum of Understanding (MoU) between India &amp; Maldives. This MoU will provide a platform to tap the benefits of information technology for court digitization and can be a potential growth area for the IT companies and start-ups in both the countries.</w:t>
      </w:r>
    </w:p>
    <w:p w14:paraId="11485AD3" w14:textId="77777777" w:rsidR="00361E52" w:rsidRPr="00712F3C" w:rsidRDefault="00361E52" w:rsidP="00361E52">
      <w:pPr>
        <w:spacing w:after="0" w:line="240" w:lineRule="auto"/>
        <w:ind w:right="26"/>
        <w:jc w:val="both"/>
        <w:rPr>
          <w:rFonts w:ascii="Times New Roman" w:hAnsi="Times New Roman"/>
          <w:i/>
          <w:sz w:val="20"/>
          <w:szCs w:val="20"/>
        </w:rPr>
      </w:pPr>
    </w:p>
    <w:p w14:paraId="1FD10807" w14:textId="76B199CC" w:rsidR="00361E52" w:rsidRPr="00712F3C" w:rsidRDefault="00361E52" w:rsidP="00361E52">
      <w:pPr>
        <w:spacing w:after="0" w:line="240" w:lineRule="auto"/>
        <w:ind w:right="26"/>
        <w:jc w:val="both"/>
        <w:rPr>
          <w:rFonts w:ascii="Times New Roman" w:hAnsi="Times New Roman"/>
          <w:i/>
          <w:sz w:val="20"/>
          <w:szCs w:val="20"/>
        </w:rPr>
      </w:pPr>
      <w:r w:rsidRPr="00712F3C">
        <w:rPr>
          <w:rFonts w:ascii="Times New Roman" w:hAnsi="Times New Roman"/>
          <w:i/>
          <w:sz w:val="20"/>
          <w:szCs w:val="20"/>
        </w:rPr>
        <w:t xml:space="preserve">(Source: </w:t>
      </w:r>
      <w:hyperlink r:id="rId52" w:history="1">
        <w:r w:rsidRPr="00712F3C">
          <w:rPr>
            <w:rStyle w:val="Hyperlink"/>
            <w:rFonts w:ascii="Times New Roman" w:hAnsi="Times New Roman"/>
            <w:i/>
            <w:sz w:val="20"/>
            <w:szCs w:val="20"/>
          </w:rPr>
          <w:t>https://www.ibef.org/economy/indian-economy-overview</w:t>
        </w:r>
      </w:hyperlink>
      <w:r w:rsidRPr="00712F3C">
        <w:rPr>
          <w:rFonts w:ascii="Times New Roman" w:hAnsi="Times New Roman"/>
          <w:i/>
          <w:sz w:val="20"/>
          <w:szCs w:val="20"/>
        </w:rPr>
        <w:t>)</w:t>
      </w:r>
      <w:r w:rsidRPr="00361E52">
        <w:rPr>
          <w:rFonts w:ascii="Times New Roman" w:hAnsi="Times New Roman"/>
          <w:noProof/>
          <w:sz w:val="20"/>
          <w:szCs w:val="20"/>
          <w:lang w:val="en-IN" w:eastAsia="en-IN"/>
        </w:rPr>
        <w:t xml:space="preserve"> </w:t>
      </w:r>
    </w:p>
    <w:p w14:paraId="312DB0F0" w14:textId="2A76F4C6" w:rsidR="00361E52" w:rsidRPr="00712F3C" w:rsidRDefault="00361E52" w:rsidP="00361E52">
      <w:pPr>
        <w:pStyle w:val="ListParagraph"/>
        <w:spacing w:line="240" w:lineRule="auto"/>
        <w:ind w:left="0" w:right="26"/>
        <w:jc w:val="both"/>
        <w:rPr>
          <w:sz w:val="20"/>
          <w:szCs w:val="20"/>
        </w:rPr>
      </w:pPr>
    </w:p>
    <w:p w14:paraId="40E9AA19" w14:textId="166626A4" w:rsidR="00361E52" w:rsidRPr="00712F3C" w:rsidRDefault="00361E52" w:rsidP="00361E52">
      <w:pPr>
        <w:spacing w:after="0" w:line="240" w:lineRule="auto"/>
        <w:ind w:right="26"/>
        <w:jc w:val="both"/>
        <w:rPr>
          <w:rFonts w:ascii="Times New Roman" w:hAnsi="Times New Roman"/>
          <w:b/>
          <w:i/>
          <w:sz w:val="20"/>
          <w:szCs w:val="20"/>
        </w:rPr>
      </w:pPr>
      <w:r w:rsidRPr="00712F3C">
        <w:rPr>
          <w:rFonts w:ascii="Times New Roman" w:hAnsi="Times New Roman"/>
          <w:noProof/>
          <w:sz w:val="20"/>
          <w:szCs w:val="20"/>
          <w:lang w:val="en-IN" w:eastAsia="en-IN"/>
        </w:rPr>
        <w:drawing>
          <wp:anchor distT="0" distB="0" distL="114300" distR="114300" simplePos="0" relativeHeight="251664384" behindDoc="1" locked="0" layoutInCell="1" allowOverlap="1" wp14:anchorId="5E7992D5" wp14:editId="41AABF05">
            <wp:simplePos x="0" y="0"/>
            <wp:positionH relativeFrom="column">
              <wp:posOffset>2689860</wp:posOffset>
            </wp:positionH>
            <wp:positionV relativeFrom="paragraph">
              <wp:posOffset>126365</wp:posOffset>
            </wp:positionV>
            <wp:extent cx="3964658" cy="2027451"/>
            <wp:effectExtent l="0" t="0" r="0" b="0"/>
            <wp:wrapTight wrapText="bothSides">
              <wp:wrapPolygon edited="0">
                <wp:start x="0" y="0"/>
                <wp:lineTo x="0" y="21316"/>
                <wp:lineTo x="21486" y="21316"/>
                <wp:lineTo x="2148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964658" cy="20274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2F3C">
        <w:rPr>
          <w:rFonts w:ascii="Times New Roman" w:hAnsi="Times New Roman"/>
          <w:b/>
          <w:i/>
          <w:sz w:val="20"/>
          <w:szCs w:val="20"/>
        </w:rPr>
        <w:t>Growth Outlook: 2023-24</w:t>
      </w:r>
    </w:p>
    <w:p w14:paraId="5F2F62C9" w14:textId="77777777" w:rsidR="00361E52" w:rsidRPr="00712F3C" w:rsidRDefault="00361E52" w:rsidP="00361E52">
      <w:pPr>
        <w:spacing w:after="0" w:line="240" w:lineRule="auto"/>
        <w:ind w:right="26"/>
        <w:jc w:val="both"/>
        <w:rPr>
          <w:rFonts w:ascii="Times New Roman" w:hAnsi="Times New Roman"/>
          <w:b/>
          <w:i/>
          <w:sz w:val="20"/>
          <w:szCs w:val="20"/>
        </w:rPr>
      </w:pPr>
    </w:p>
    <w:p w14:paraId="37EDB3D4" w14:textId="7BFB2E81" w:rsidR="00361E52" w:rsidRPr="00712F3C" w:rsidRDefault="00361E52" w:rsidP="00361E52">
      <w:pPr>
        <w:spacing w:after="0" w:line="240" w:lineRule="auto"/>
        <w:ind w:right="26"/>
        <w:jc w:val="both"/>
        <w:rPr>
          <w:rFonts w:ascii="Times New Roman" w:hAnsi="Times New Roman"/>
          <w:sz w:val="20"/>
          <w:szCs w:val="20"/>
        </w:rPr>
      </w:pPr>
      <w:r w:rsidRPr="00712F3C">
        <w:rPr>
          <w:rFonts w:ascii="Times New Roman" w:hAnsi="Times New Roman"/>
          <w:sz w:val="20"/>
          <w:szCs w:val="20"/>
        </w:rPr>
        <w:t>India’s recovery from the pandemic was relatively quick, and growth in the upcoming year will be supported by solid domestic demand and a pickup in capital investment. The current growth trajectory will be supported by multiple structural changes that have been implemented over the past few years. The private sector – financial and non-financial – was repairing balance sheets, which led to a slowdown in capital formation in the previous decade. The financial system stress experienced in the second decade of the millennium, evidenced by rising nonperforming assets, low credit growth and declining growth rates of capital formation, caused by excessive lending witnessed in the first decade-plus, is now behind us. Aided by healthy financials, incipient signs of a new private sector capital formation cycle are visible. More importantly, compensating for the private sector’s caution in capital expenditure, the government raised capital expenditure substantially. Budgeted capital expenditure rose 2.7X in the last seven years, from FY16 to FY23, re-invigorating the Capex cycle. Structural reforms such as the introduction of the Goods and Services Tax and the Insolvency and Bankruptcy Code enhanced the efficiency and transparency of the economy and ensured financial discipline and better compliance.</w:t>
      </w:r>
    </w:p>
    <w:p w14:paraId="35189AB1" w14:textId="77777777" w:rsidR="00361E52" w:rsidRPr="00712F3C" w:rsidRDefault="00361E52" w:rsidP="00361E52">
      <w:pPr>
        <w:spacing w:after="0" w:line="240" w:lineRule="auto"/>
        <w:ind w:right="26"/>
        <w:jc w:val="both"/>
        <w:rPr>
          <w:rFonts w:ascii="Times New Roman" w:hAnsi="Times New Roman"/>
          <w:sz w:val="20"/>
          <w:szCs w:val="20"/>
        </w:rPr>
      </w:pPr>
    </w:p>
    <w:p w14:paraId="0BF34781" w14:textId="77777777" w:rsidR="00361E52" w:rsidRPr="00712F3C" w:rsidRDefault="00361E52" w:rsidP="00361E52">
      <w:pPr>
        <w:spacing w:after="0" w:line="240" w:lineRule="auto"/>
        <w:ind w:right="26"/>
        <w:jc w:val="both"/>
        <w:rPr>
          <w:rFonts w:ascii="Times New Roman" w:hAnsi="Times New Roman"/>
          <w:b/>
          <w:i/>
          <w:sz w:val="20"/>
          <w:szCs w:val="20"/>
        </w:rPr>
      </w:pPr>
      <w:r w:rsidRPr="00712F3C">
        <w:rPr>
          <w:rFonts w:ascii="Times New Roman" w:hAnsi="Times New Roman"/>
          <w:b/>
          <w:i/>
          <w:sz w:val="20"/>
          <w:szCs w:val="20"/>
        </w:rPr>
        <w:t>Growth Magnets in this Decade (2023-2030)</w:t>
      </w:r>
    </w:p>
    <w:p w14:paraId="0F0AD31E" w14:textId="77777777" w:rsidR="00361E52" w:rsidRPr="00712F3C" w:rsidRDefault="00361E52" w:rsidP="00361E52">
      <w:pPr>
        <w:spacing w:after="0" w:line="240" w:lineRule="auto"/>
        <w:ind w:right="26"/>
        <w:jc w:val="both"/>
        <w:rPr>
          <w:rFonts w:ascii="Times New Roman" w:hAnsi="Times New Roman"/>
          <w:b/>
          <w:i/>
          <w:sz w:val="20"/>
          <w:szCs w:val="20"/>
        </w:rPr>
      </w:pPr>
    </w:p>
    <w:p w14:paraId="2D51E2AB" w14:textId="77777777" w:rsidR="00361E52" w:rsidRPr="00712F3C" w:rsidRDefault="00361E52" w:rsidP="00361E52">
      <w:pPr>
        <w:spacing w:after="0" w:line="240" w:lineRule="auto"/>
        <w:ind w:right="26"/>
        <w:jc w:val="both"/>
        <w:rPr>
          <w:rFonts w:ascii="Times New Roman" w:hAnsi="Times New Roman"/>
          <w:sz w:val="20"/>
          <w:szCs w:val="20"/>
        </w:rPr>
      </w:pPr>
      <w:r w:rsidRPr="00712F3C">
        <w:rPr>
          <w:rFonts w:ascii="Times New Roman" w:hAnsi="Times New Roman"/>
          <w:sz w:val="20"/>
          <w:szCs w:val="20"/>
        </w:rPr>
        <w:t>After a long period of balance sheet repair in the financial and corporate sector, the financial cycle is poised to turn upward. As the health and economic shocks of the pandemic and the spike in commodity prices in 2022 wear off, the Indian economy is thus well placed to grow at its potential in the coming decade, similar to the growth experience of the economy after 2003. This is the primary reason for expecting India’s growth outlook to be better than it was in the pre-pandemic years. The sound and healthy financial system developed over the last few years will ensure efficient credit provisioning, contributing to higher growth in the coming years through higher investments and consumption. Thanks to India’s digital revolution and formalisation, banks have far more information about their customer’s credit risks than before, thus being able to make credit and pricing decisions better than before.</w:t>
      </w:r>
    </w:p>
    <w:p w14:paraId="39717983" w14:textId="77777777" w:rsidR="00361E52" w:rsidRPr="00712F3C" w:rsidRDefault="00361E52" w:rsidP="00361E52">
      <w:pPr>
        <w:spacing w:after="0" w:line="240" w:lineRule="auto"/>
        <w:ind w:right="26"/>
        <w:jc w:val="both"/>
        <w:rPr>
          <w:rFonts w:ascii="Times New Roman" w:hAnsi="Times New Roman"/>
          <w:sz w:val="20"/>
          <w:szCs w:val="20"/>
        </w:rPr>
      </w:pPr>
    </w:p>
    <w:p w14:paraId="514F63B1" w14:textId="77777777" w:rsidR="00361E52" w:rsidRPr="00712F3C" w:rsidRDefault="00361E52" w:rsidP="00361E52">
      <w:pPr>
        <w:spacing w:after="0" w:line="240" w:lineRule="auto"/>
        <w:ind w:right="26"/>
        <w:jc w:val="both"/>
        <w:rPr>
          <w:rFonts w:ascii="Times New Roman" w:hAnsi="Times New Roman"/>
          <w:i/>
          <w:sz w:val="20"/>
          <w:szCs w:val="20"/>
        </w:rPr>
      </w:pPr>
      <w:r w:rsidRPr="00712F3C">
        <w:rPr>
          <w:rFonts w:ascii="Times New Roman" w:hAnsi="Times New Roman"/>
          <w:i/>
          <w:sz w:val="20"/>
          <w:szCs w:val="20"/>
        </w:rPr>
        <w:t xml:space="preserve">(Source: </w:t>
      </w:r>
      <w:hyperlink r:id="rId54" w:history="1">
        <w:r w:rsidRPr="00712F3C">
          <w:rPr>
            <w:rStyle w:val="Hyperlink"/>
            <w:rFonts w:ascii="Times New Roman" w:hAnsi="Times New Roman"/>
            <w:i/>
            <w:sz w:val="20"/>
            <w:szCs w:val="20"/>
          </w:rPr>
          <w:t>https://www.indiabudget.gov.in/economicsurvey/</w:t>
        </w:r>
      </w:hyperlink>
      <w:r w:rsidRPr="00712F3C">
        <w:rPr>
          <w:rFonts w:ascii="Times New Roman" w:hAnsi="Times New Roman"/>
          <w:i/>
          <w:sz w:val="20"/>
          <w:szCs w:val="20"/>
        </w:rPr>
        <w:t>)</w:t>
      </w:r>
    </w:p>
    <w:p w14:paraId="2084B7D5" w14:textId="77777777" w:rsidR="00361E52" w:rsidRDefault="00361E52" w:rsidP="00361E52">
      <w:pPr>
        <w:spacing w:after="0" w:line="240" w:lineRule="auto"/>
        <w:ind w:right="26"/>
        <w:rPr>
          <w:rFonts w:ascii="Times New Roman" w:hAnsi="Times New Roman"/>
          <w:b/>
          <w:i/>
          <w:sz w:val="20"/>
          <w:szCs w:val="20"/>
        </w:rPr>
      </w:pPr>
    </w:p>
    <w:p w14:paraId="1E8D1B5B" w14:textId="77777777" w:rsidR="00361E52" w:rsidRPr="00712F3C" w:rsidRDefault="00361E52" w:rsidP="00361E52">
      <w:pPr>
        <w:spacing w:after="0" w:line="240" w:lineRule="auto"/>
        <w:ind w:right="26"/>
        <w:rPr>
          <w:rFonts w:ascii="Times New Roman" w:hAnsi="Times New Roman"/>
          <w:b/>
          <w:i/>
          <w:sz w:val="20"/>
          <w:szCs w:val="20"/>
        </w:rPr>
      </w:pPr>
      <w:r w:rsidRPr="00712F3C">
        <w:rPr>
          <w:rFonts w:ascii="Times New Roman" w:hAnsi="Times New Roman"/>
          <w:b/>
          <w:i/>
          <w:sz w:val="20"/>
          <w:szCs w:val="20"/>
        </w:rPr>
        <w:t>Road Ahead</w:t>
      </w:r>
    </w:p>
    <w:p w14:paraId="265F35A5" w14:textId="77777777" w:rsidR="00361E52" w:rsidRPr="00712F3C" w:rsidRDefault="00361E52" w:rsidP="00361E52">
      <w:pPr>
        <w:spacing w:after="0" w:line="240" w:lineRule="auto"/>
        <w:ind w:right="26"/>
        <w:rPr>
          <w:rFonts w:ascii="Times New Roman" w:hAnsi="Times New Roman"/>
          <w:b/>
          <w:i/>
          <w:sz w:val="20"/>
          <w:szCs w:val="20"/>
        </w:rPr>
      </w:pPr>
    </w:p>
    <w:p w14:paraId="2D99CEA3" w14:textId="77777777" w:rsidR="00361E52" w:rsidRPr="00712F3C" w:rsidRDefault="00361E52" w:rsidP="00361E52">
      <w:pPr>
        <w:spacing w:after="0" w:line="240" w:lineRule="auto"/>
        <w:ind w:right="26"/>
        <w:jc w:val="both"/>
        <w:rPr>
          <w:rFonts w:ascii="Times New Roman" w:hAnsi="Times New Roman"/>
          <w:sz w:val="20"/>
          <w:szCs w:val="20"/>
        </w:rPr>
      </w:pPr>
      <w:r w:rsidRPr="00712F3C">
        <w:rPr>
          <w:rFonts w:ascii="Times New Roman" w:hAnsi="Times New Roman"/>
          <w:sz w:val="20"/>
          <w:szCs w:val="20"/>
        </w:rPr>
        <w:t>In the second quarter of FY 2022-23, the growth momentum of the first quarter was sustained, and high-frequency indicators (HFIs) performed well in July and August of 2022. India's comparatively strong position in the external sector reflects the country's generally positive outlook for economic growth and rising employment rates. India ranked fifth in foreign direct investment inflows among the developed and developing nations listed for the first quarter of 2022.</w:t>
      </w:r>
    </w:p>
    <w:p w14:paraId="009918F0" w14:textId="77777777" w:rsidR="00361E52" w:rsidRPr="00712F3C" w:rsidRDefault="00361E52" w:rsidP="00361E52">
      <w:pPr>
        <w:spacing w:after="0" w:line="240" w:lineRule="auto"/>
        <w:ind w:right="26"/>
        <w:jc w:val="both"/>
        <w:rPr>
          <w:rFonts w:ascii="Times New Roman" w:hAnsi="Times New Roman"/>
          <w:sz w:val="20"/>
          <w:szCs w:val="20"/>
        </w:rPr>
      </w:pPr>
    </w:p>
    <w:p w14:paraId="0C5E5AE0" w14:textId="77777777" w:rsidR="00361E52" w:rsidRPr="00712F3C" w:rsidRDefault="00361E52" w:rsidP="00361E52">
      <w:pPr>
        <w:spacing w:after="0" w:line="240" w:lineRule="auto"/>
        <w:ind w:right="26"/>
        <w:jc w:val="both"/>
        <w:rPr>
          <w:rFonts w:ascii="Times New Roman" w:hAnsi="Times New Roman"/>
          <w:sz w:val="20"/>
          <w:szCs w:val="20"/>
        </w:rPr>
      </w:pPr>
      <w:r w:rsidRPr="00712F3C">
        <w:rPr>
          <w:rFonts w:ascii="Times New Roman" w:hAnsi="Times New Roman"/>
          <w:sz w:val="20"/>
          <w:szCs w:val="20"/>
        </w:rPr>
        <w:t>India's economic story during the first half of the current financial year highlighted the unwavering support the government gave to its capital expenditure, which, in FY 2022–23 (until August 2022), stood 46.8% higher than the same period last year. The ratio of revenue expenditure to capital outlay decreased from 6.4 in the previous year to 4.5 in the current year, signaling a clear change in favour of higher-quality spending. Stronger revenue generation as a result of improved tax compliance, increased profitability of the company, and increasing economic activity also contributed to rising capital spending levels.</w:t>
      </w:r>
    </w:p>
    <w:p w14:paraId="1AD0F2E2" w14:textId="77777777" w:rsidR="00361E52" w:rsidRPr="00712F3C" w:rsidRDefault="00361E52" w:rsidP="00361E52">
      <w:pPr>
        <w:spacing w:after="0" w:line="240" w:lineRule="auto"/>
        <w:ind w:right="26"/>
        <w:jc w:val="both"/>
        <w:rPr>
          <w:rFonts w:ascii="Times New Roman" w:hAnsi="Times New Roman"/>
          <w:sz w:val="20"/>
          <w:szCs w:val="20"/>
          <w:u w:val="single"/>
        </w:rPr>
      </w:pPr>
    </w:p>
    <w:p w14:paraId="5D028D39" w14:textId="77777777" w:rsidR="00361E52" w:rsidRPr="00712F3C" w:rsidRDefault="00361E52" w:rsidP="00361E52">
      <w:pPr>
        <w:spacing w:after="0" w:line="240" w:lineRule="auto"/>
        <w:ind w:right="26"/>
        <w:jc w:val="both"/>
        <w:rPr>
          <w:rFonts w:ascii="Times New Roman" w:hAnsi="Times New Roman"/>
          <w:sz w:val="20"/>
          <w:szCs w:val="20"/>
        </w:rPr>
      </w:pPr>
      <w:r w:rsidRPr="00712F3C">
        <w:rPr>
          <w:rFonts w:ascii="Times New Roman" w:hAnsi="Times New Roman"/>
          <w:sz w:val="20"/>
          <w:szCs w:val="20"/>
        </w:rPr>
        <w:t>Despite the continued global slowdown, India's exports climbed at the second highest rate this quarter. With a reduction in port congestion, supply networks are being restored. The CPI-C and WPI inflation reduction from April 2022 already reflects the impact. In August 2022, CPI-C inflation was 7.0%, down from 7.8% in April 2022. Similarly, WPI inflation has decreased from 15.4% in April 2022 to 12.4% in August 2022. With a proactive set of administrative actions by the government, flexible monetary policy, and a softening of global commodity prices and supply-chain bottlenecks, inflationary pressures in India look to be on the decline overall.</w:t>
      </w:r>
    </w:p>
    <w:p w14:paraId="45F09FFB" w14:textId="77777777" w:rsidR="00361E52" w:rsidRPr="00712F3C" w:rsidRDefault="00361E52" w:rsidP="00361E52">
      <w:pPr>
        <w:spacing w:after="0" w:line="240" w:lineRule="auto"/>
        <w:ind w:right="26"/>
        <w:rPr>
          <w:rFonts w:ascii="Times New Roman" w:hAnsi="Times New Roman"/>
          <w:sz w:val="20"/>
          <w:szCs w:val="20"/>
        </w:rPr>
      </w:pPr>
    </w:p>
    <w:p w14:paraId="3B36414B" w14:textId="77777777" w:rsidR="00361E52" w:rsidRPr="00712F3C" w:rsidRDefault="00361E52" w:rsidP="00361E52">
      <w:pPr>
        <w:spacing w:after="0" w:line="240" w:lineRule="auto"/>
        <w:ind w:right="26"/>
        <w:rPr>
          <w:rFonts w:ascii="Times New Roman" w:hAnsi="Times New Roman"/>
          <w:i/>
          <w:sz w:val="20"/>
          <w:szCs w:val="20"/>
        </w:rPr>
      </w:pPr>
      <w:r w:rsidRPr="00712F3C">
        <w:rPr>
          <w:rFonts w:ascii="Times New Roman" w:hAnsi="Times New Roman"/>
          <w:i/>
          <w:sz w:val="20"/>
          <w:szCs w:val="20"/>
        </w:rPr>
        <w:t xml:space="preserve">(Source: </w:t>
      </w:r>
      <w:hyperlink r:id="rId55" w:history="1">
        <w:r w:rsidRPr="00712F3C">
          <w:rPr>
            <w:rStyle w:val="Hyperlink"/>
            <w:rFonts w:ascii="Times New Roman" w:hAnsi="Times New Roman"/>
            <w:i/>
            <w:sz w:val="20"/>
            <w:szCs w:val="20"/>
          </w:rPr>
          <w:t>https://www.ibef.org/economy/indian-economy-overview</w:t>
        </w:r>
      </w:hyperlink>
      <w:r w:rsidRPr="00712F3C">
        <w:rPr>
          <w:rFonts w:ascii="Times New Roman" w:hAnsi="Times New Roman"/>
          <w:i/>
          <w:sz w:val="20"/>
          <w:szCs w:val="20"/>
        </w:rPr>
        <w:t>)</w:t>
      </w:r>
    </w:p>
    <w:p w14:paraId="0D66A8FC" w14:textId="77777777" w:rsidR="00361E52" w:rsidRPr="00712F3C" w:rsidRDefault="00361E52" w:rsidP="00361E52">
      <w:pPr>
        <w:spacing w:after="0" w:line="240" w:lineRule="auto"/>
        <w:ind w:right="26"/>
        <w:jc w:val="both"/>
        <w:rPr>
          <w:rFonts w:ascii="Times New Roman" w:hAnsi="Times New Roman"/>
          <w:sz w:val="20"/>
          <w:szCs w:val="20"/>
        </w:rPr>
      </w:pPr>
    </w:p>
    <w:p w14:paraId="366D7163" w14:textId="77777777" w:rsidR="00361E52" w:rsidRPr="00712F3C" w:rsidRDefault="00361E52" w:rsidP="00361E52">
      <w:pPr>
        <w:shd w:val="clear" w:color="auto" w:fill="D0CECE" w:themeFill="background2" w:themeFillShade="E6"/>
        <w:spacing w:after="0" w:line="240" w:lineRule="auto"/>
        <w:ind w:right="26"/>
        <w:jc w:val="both"/>
        <w:rPr>
          <w:rFonts w:ascii="Times New Roman" w:hAnsi="Times New Roman"/>
          <w:b/>
          <w:sz w:val="20"/>
          <w:szCs w:val="20"/>
        </w:rPr>
      </w:pPr>
      <w:r>
        <w:rPr>
          <w:rFonts w:ascii="Times New Roman" w:hAnsi="Times New Roman"/>
          <w:b/>
          <w:sz w:val="20"/>
          <w:szCs w:val="20"/>
        </w:rPr>
        <w:t xml:space="preserve">BRASS RECYCLING - </w:t>
      </w:r>
      <w:r w:rsidRPr="00712F3C">
        <w:rPr>
          <w:rFonts w:ascii="Times New Roman" w:hAnsi="Times New Roman"/>
          <w:b/>
          <w:sz w:val="20"/>
          <w:szCs w:val="20"/>
        </w:rPr>
        <w:t>INDUSTRY SCENARIO</w:t>
      </w:r>
    </w:p>
    <w:p w14:paraId="1FA3B264" w14:textId="77777777" w:rsidR="00361E52" w:rsidRPr="00712F3C" w:rsidRDefault="00361E52" w:rsidP="00361E52">
      <w:pPr>
        <w:spacing w:after="0" w:line="240" w:lineRule="auto"/>
        <w:ind w:right="26"/>
        <w:rPr>
          <w:rFonts w:ascii="Times New Roman" w:hAnsi="Times New Roman"/>
          <w:b/>
          <w:sz w:val="20"/>
          <w:szCs w:val="20"/>
          <w:u w:val="single"/>
        </w:rPr>
      </w:pPr>
    </w:p>
    <w:p w14:paraId="65FF6E7B" w14:textId="77777777" w:rsidR="00361E52" w:rsidRDefault="00361E52" w:rsidP="00361E52">
      <w:pPr>
        <w:spacing w:after="0" w:line="240" w:lineRule="auto"/>
        <w:ind w:right="26"/>
        <w:jc w:val="both"/>
        <w:rPr>
          <w:rFonts w:ascii="Times New Roman" w:hAnsi="Times New Roman"/>
          <w:sz w:val="20"/>
          <w:szCs w:val="20"/>
        </w:rPr>
      </w:pPr>
      <w:r w:rsidRPr="0014720C">
        <w:rPr>
          <w:rFonts w:ascii="Times New Roman" w:hAnsi="Times New Roman"/>
          <w:sz w:val="20"/>
          <w:szCs w:val="20"/>
        </w:rPr>
        <w:t>India is one of the fastest growing economies in the world. Strong domestic</w:t>
      </w:r>
      <w:r>
        <w:rPr>
          <w:rFonts w:ascii="Times New Roman" w:hAnsi="Times New Roman"/>
          <w:sz w:val="20"/>
          <w:szCs w:val="20"/>
        </w:rPr>
        <w:t xml:space="preserve"> </w:t>
      </w:r>
      <w:r w:rsidRPr="0014720C">
        <w:rPr>
          <w:rFonts w:ascii="Times New Roman" w:hAnsi="Times New Roman"/>
          <w:sz w:val="20"/>
          <w:szCs w:val="20"/>
        </w:rPr>
        <w:t>demand coupled with several reforms that the government has undertaken are</w:t>
      </w:r>
      <w:r>
        <w:rPr>
          <w:rFonts w:ascii="Times New Roman" w:hAnsi="Times New Roman"/>
          <w:sz w:val="20"/>
          <w:szCs w:val="20"/>
        </w:rPr>
        <w:t xml:space="preserve"> </w:t>
      </w:r>
      <w:r w:rsidRPr="0014720C">
        <w:rPr>
          <w:rFonts w:ascii="Times New Roman" w:hAnsi="Times New Roman"/>
          <w:sz w:val="20"/>
          <w:szCs w:val="20"/>
        </w:rPr>
        <w:t>on track to maintain the economic growth momentum going forward. As nonferrous metals find widespread applications across the economy, the current</w:t>
      </w:r>
      <w:r>
        <w:rPr>
          <w:rFonts w:ascii="Times New Roman" w:hAnsi="Times New Roman"/>
          <w:sz w:val="20"/>
          <w:szCs w:val="20"/>
        </w:rPr>
        <w:t xml:space="preserve"> </w:t>
      </w:r>
      <w:r w:rsidRPr="0014720C">
        <w:rPr>
          <w:rFonts w:ascii="Times New Roman" w:hAnsi="Times New Roman"/>
          <w:sz w:val="20"/>
          <w:szCs w:val="20"/>
        </w:rPr>
        <w:t>policy measures provide a tremendous opportunity for the development of the</w:t>
      </w:r>
      <w:r>
        <w:rPr>
          <w:rFonts w:ascii="Times New Roman" w:hAnsi="Times New Roman"/>
          <w:sz w:val="20"/>
          <w:szCs w:val="20"/>
        </w:rPr>
        <w:t xml:space="preserve"> </w:t>
      </w:r>
      <w:r w:rsidRPr="0014720C">
        <w:rPr>
          <w:rFonts w:ascii="Times New Roman" w:hAnsi="Times New Roman"/>
          <w:sz w:val="20"/>
          <w:szCs w:val="20"/>
        </w:rPr>
        <w:t>Indian non-ferrous metals industry in the future. A major push is expected to</w:t>
      </w:r>
      <w:r>
        <w:rPr>
          <w:rFonts w:ascii="Times New Roman" w:hAnsi="Times New Roman"/>
          <w:sz w:val="20"/>
          <w:szCs w:val="20"/>
        </w:rPr>
        <w:t xml:space="preserve"> </w:t>
      </w:r>
      <w:r w:rsidRPr="0014720C">
        <w:rPr>
          <w:rFonts w:ascii="Times New Roman" w:hAnsi="Times New Roman"/>
          <w:sz w:val="20"/>
          <w:szCs w:val="20"/>
        </w:rPr>
        <w:t>emerge from the g</w:t>
      </w:r>
      <w:r>
        <w:rPr>
          <w:rFonts w:ascii="Times New Roman" w:hAnsi="Times New Roman"/>
          <w:sz w:val="20"/>
          <w:szCs w:val="20"/>
        </w:rPr>
        <w:t>overnments ‘Make in India’</w:t>
      </w:r>
      <w:r w:rsidRPr="0014720C">
        <w:rPr>
          <w:rFonts w:ascii="Times New Roman" w:hAnsi="Times New Roman"/>
          <w:sz w:val="20"/>
          <w:szCs w:val="20"/>
        </w:rPr>
        <w:t xml:space="preserve"> </w:t>
      </w:r>
      <w:r w:rsidRPr="0014720C">
        <w:rPr>
          <w:rFonts w:ascii="Times New Roman" w:hAnsi="Times New Roman"/>
          <w:sz w:val="20"/>
          <w:szCs w:val="20"/>
        </w:rPr>
        <w:lastRenderedPageBreak/>
        <w:t>initiative, which aims to increase</w:t>
      </w:r>
      <w:r>
        <w:rPr>
          <w:rFonts w:ascii="Times New Roman" w:hAnsi="Times New Roman"/>
          <w:sz w:val="20"/>
          <w:szCs w:val="20"/>
        </w:rPr>
        <w:t xml:space="preserve"> </w:t>
      </w:r>
      <w:r w:rsidRPr="0014720C">
        <w:rPr>
          <w:rFonts w:ascii="Times New Roman" w:hAnsi="Times New Roman"/>
          <w:sz w:val="20"/>
          <w:szCs w:val="20"/>
        </w:rPr>
        <w:t>the manufacturing share of GDP from the present 17 per cent to 25 per cent by</w:t>
      </w:r>
      <w:r>
        <w:rPr>
          <w:rFonts w:ascii="Times New Roman" w:hAnsi="Times New Roman"/>
          <w:sz w:val="20"/>
          <w:szCs w:val="20"/>
        </w:rPr>
        <w:t xml:space="preserve"> </w:t>
      </w:r>
      <w:r w:rsidRPr="0014720C">
        <w:rPr>
          <w:rFonts w:ascii="Times New Roman" w:hAnsi="Times New Roman"/>
          <w:sz w:val="20"/>
          <w:szCs w:val="20"/>
        </w:rPr>
        <w:t>the end of 2025. Under this initiative, the government has identified 25</w:t>
      </w:r>
      <w:r>
        <w:rPr>
          <w:rFonts w:ascii="Times New Roman" w:hAnsi="Times New Roman"/>
          <w:sz w:val="20"/>
          <w:szCs w:val="20"/>
        </w:rPr>
        <w:t xml:space="preserve"> </w:t>
      </w:r>
      <w:r w:rsidRPr="0014720C">
        <w:rPr>
          <w:rFonts w:ascii="Times New Roman" w:hAnsi="Times New Roman"/>
          <w:sz w:val="20"/>
          <w:szCs w:val="20"/>
        </w:rPr>
        <w:t>sectors such as Automotive, Power, Defence manufacturing, etc. which have</w:t>
      </w:r>
      <w:r>
        <w:rPr>
          <w:rFonts w:ascii="Times New Roman" w:hAnsi="Times New Roman"/>
          <w:sz w:val="20"/>
          <w:szCs w:val="20"/>
        </w:rPr>
        <w:t xml:space="preserve"> </w:t>
      </w:r>
      <w:r w:rsidRPr="0014720C">
        <w:rPr>
          <w:rFonts w:ascii="Times New Roman" w:hAnsi="Times New Roman"/>
          <w:sz w:val="20"/>
          <w:szCs w:val="20"/>
        </w:rPr>
        <w:t>extensive applications of various non-ferrous metals, and therefore, can provide</w:t>
      </w:r>
      <w:r>
        <w:rPr>
          <w:rFonts w:ascii="Times New Roman" w:hAnsi="Times New Roman"/>
          <w:sz w:val="20"/>
          <w:szCs w:val="20"/>
        </w:rPr>
        <w:t xml:space="preserve"> </w:t>
      </w:r>
      <w:r w:rsidRPr="0014720C">
        <w:rPr>
          <w:rFonts w:ascii="Times New Roman" w:hAnsi="Times New Roman"/>
          <w:sz w:val="20"/>
          <w:szCs w:val="20"/>
        </w:rPr>
        <w:t>a boost to the industry. Furthermore, these metals are witnessing increasing</w:t>
      </w:r>
      <w:r>
        <w:rPr>
          <w:rFonts w:ascii="Times New Roman" w:hAnsi="Times New Roman"/>
          <w:sz w:val="20"/>
          <w:szCs w:val="20"/>
        </w:rPr>
        <w:t xml:space="preserve"> </w:t>
      </w:r>
      <w:r w:rsidRPr="0014720C">
        <w:rPr>
          <w:rFonts w:ascii="Times New Roman" w:hAnsi="Times New Roman"/>
          <w:sz w:val="20"/>
          <w:szCs w:val="20"/>
        </w:rPr>
        <w:t>applications in the existing sectors as well as exploring many newer</w:t>
      </w:r>
      <w:r>
        <w:rPr>
          <w:rFonts w:ascii="Times New Roman" w:hAnsi="Times New Roman"/>
          <w:sz w:val="20"/>
          <w:szCs w:val="20"/>
        </w:rPr>
        <w:t xml:space="preserve"> </w:t>
      </w:r>
      <w:r w:rsidRPr="0014720C">
        <w:rPr>
          <w:rFonts w:ascii="Times New Roman" w:hAnsi="Times New Roman"/>
          <w:sz w:val="20"/>
          <w:szCs w:val="20"/>
        </w:rPr>
        <w:t>applications.</w:t>
      </w:r>
    </w:p>
    <w:p w14:paraId="133E61D1" w14:textId="77777777" w:rsidR="00361E52" w:rsidRDefault="00361E52" w:rsidP="00361E52">
      <w:pPr>
        <w:spacing w:after="0" w:line="240" w:lineRule="auto"/>
        <w:ind w:right="26"/>
        <w:jc w:val="both"/>
        <w:rPr>
          <w:rFonts w:ascii="Times New Roman" w:hAnsi="Times New Roman"/>
          <w:sz w:val="20"/>
          <w:szCs w:val="20"/>
        </w:rPr>
      </w:pPr>
    </w:p>
    <w:p w14:paraId="5B3B4F70" w14:textId="3541D111" w:rsidR="00361E52" w:rsidRPr="00370473" w:rsidRDefault="00361E52" w:rsidP="00361E52">
      <w:pPr>
        <w:spacing w:after="0" w:line="240" w:lineRule="auto"/>
        <w:ind w:right="26"/>
        <w:jc w:val="both"/>
        <w:rPr>
          <w:rFonts w:ascii="Times New Roman" w:hAnsi="Times New Roman"/>
          <w:i/>
          <w:sz w:val="20"/>
          <w:szCs w:val="20"/>
        </w:rPr>
      </w:pPr>
      <w:r w:rsidRPr="00370473">
        <w:rPr>
          <w:rFonts w:ascii="Times New Roman" w:hAnsi="Times New Roman"/>
          <w:i/>
          <w:sz w:val="20"/>
          <w:szCs w:val="20"/>
        </w:rPr>
        <w:t xml:space="preserve">(Source: </w:t>
      </w:r>
      <w:hyperlink r:id="rId56" w:history="1">
        <w:r w:rsidRPr="00241637">
          <w:rPr>
            <w:rStyle w:val="Hyperlink"/>
            <w:rFonts w:ascii="Times New Roman" w:hAnsi="Times New Roman"/>
            <w:i/>
            <w:sz w:val="20"/>
            <w:szCs w:val="20"/>
          </w:rPr>
          <w:t>https://mines.gov.in/writereaddata/UploadFile/NFMScrapRecyclingFramework3.pdf</w:t>
        </w:r>
      </w:hyperlink>
      <w:r w:rsidRPr="00370473">
        <w:rPr>
          <w:rFonts w:ascii="Times New Roman" w:hAnsi="Times New Roman"/>
          <w:i/>
          <w:sz w:val="20"/>
          <w:szCs w:val="20"/>
        </w:rPr>
        <w:t>)</w:t>
      </w:r>
    </w:p>
    <w:p w14:paraId="0D636497" w14:textId="77777777" w:rsidR="00361E52" w:rsidRDefault="00361E52" w:rsidP="00361E52">
      <w:pPr>
        <w:spacing w:after="0" w:line="240" w:lineRule="auto"/>
        <w:ind w:right="26"/>
        <w:jc w:val="both"/>
        <w:rPr>
          <w:rFonts w:ascii="Times New Roman" w:hAnsi="Times New Roman"/>
          <w:sz w:val="20"/>
          <w:szCs w:val="20"/>
        </w:rPr>
      </w:pPr>
    </w:p>
    <w:p w14:paraId="3916B3B9" w14:textId="77777777" w:rsidR="00361E52" w:rsidRDefault="00361E52" w:rsidP="00361E52">
      <w:pPr>
        <w:spacing w:after="0" w:line="240" w:lineRule="auto"/>
        <w:ind w:right="26"/>
        <w:jc w:val="both"/>
        <w:rPr>
          <w:rFonts w:ascii="Times New Roman" w:hAnsi="Times New Roman"/>
          <w:sz w:val="20"/>
          <w:szCs w:val="20"/>
        </w:rPr>
      </w:pPr>
      <w:r w:rsidRPr="0032536C">
        <w:rPr>
          <w:rFonts w:ascii="Times New Roman" w:hAnsi="Times New Roman"/>
          <w:sz w:val="20"/>
          <w:szCs w:val="20"/>
        </w:rPr>
        <w:t>Metal ores and minerals are non-renewable natural resources, which</w:t>
      </w:r>
      <w:r>
        <w:rPr>
          <w:rFonts w:ascii="Times New Roman" w:hAnsi="Times New Roman"/>
          <w:sz w:val="20"/>
          <w:szCs w:val="20"/>
        </w:rPr>
        <w:t xml:space="preserve"> </w:t>
      </w:r>
      <w:r w:rsidRPr="0032536C">
        <w:rPr>
          <w:rFonts w:ascii="Times New Roman" w:hAnsi="Times New Roman"/>
          <w:sz w:val="20"/>
          <w:szCs w:val="20"/>
        </w:rPr>
        <w:t>have an ever growing demand at global level and across sectors, making it</w:t>
      </w:r>
      <w:r>
        <w:rPr>
          <w:rFonts w:ascii="Times New Roman" w:hAnsi="Times New Roman"/>
          <w:sz w:val="20"/>
          <w:szCs w:val="20"/>
        </w:rPr>
        <w:t xml:space="preserve"> </w:t>
      </w:r>
      <w:r w:rsidRPr="0032536C">
        <w:rPr>
          <w:rFonts w:ascii="Times New Roman" w:hAnsi="Times New Roman"/>
          <w:sz w:val="20"/>
          <w:szCs w:val="20"/>
        </w:rPr>
        <w:t>imperative to reuse and recycle these metals. The National Mineral Policy 2019</w:t>
      </w:r>
      <w:r>
        <w:rPr>
          <w:rFonts w:ascii="Times New Roman" w:hAnsi="Times New Roman"/>
          <w:sz w:val="20"/>
          <w:szCs w:val="20"/>
        </w:rPr>
        <w:t xml:space="preserve"> </w:t>
      </w:r>
      <w:r w:rsidRPr="0032536C">
        <w:rPr>
          <w:rFonts w:ascii="Times New Roman" w:hAnsi="Times New Roman"/>
          <w:sz w:val="20"/>
          <w:szCs w:val="20"/>
        </w:rPr>
        <w:t>of Ministry of Mines</w:t>
      </w:r>
      <w:r>
        <w:rPr>
          <w:rFonts w:ascii="Times New Roman" w:hAnsi="Times New Roman"/>
          <w:sz w:val="20"/>
          <w:szCs w:val="20"/>
        </w:rPr>
        <w:t xml:space="preserve"> </w:t>
      </w:r>
      <w:r w:rsidRPr="0032536C">
        <w:rPr>
          <w:rFonts w:ascii="Times New Roman" w:hAnsi="Times New Roman"/>
          <w:sz w:val="20"/>
          <w:szCs w:val="20"/>
        </w:rPr>
        <w:t>envisages making efforts towards augmenting supply of</w:t>
      </w:r>
      <w:r>
        <w:rPr>
          <w:rFonts w:ascii="Times New Roman" w:hAnsi="Times New Roman"/>
          <w:sz w:val="20"/>
          <w:szCs w:val="20"/>
        </w:rPr>
        <w:t xml:space="preserve"> m</w:t>
      </w:r>
      <w:r w:rsidRPr="0032536C">
        <w:rPr>
          <w:rFonts w:ascii="Times New Roman" w:hAnsi="Times New Roman"/>
          <w:sz w:val="20"/>
          <w:szCs w:val="20"/>
        </w:rPr>
        <w:t>etals by developing processes for recovery of metal through recycling. The</w:t>
      </w:r>
      <w:r>
        <w:rPr>
          <w:rFonts w:ascii="Times New Roman" w:hAnsi="Times New Roman"/>
          <w:sz w:val="20"/>
          <w:szCs w:val="20"/>
        </w:rPr>
        <w:t xml:space="preserve"> </w:t>
      </w:r>
      <w:r w:rsidRPr="0032536C">
        <w:rPr>
          <w:rFonts w:ascii="Times New Roman" w:hAnsi="Times New Roman"/>
          <w:sz w:val="20"/>
          <w:szCs w:val="20"/>
        </w:rPr>
        <w:t>stated policy is in line with SDG Goal No 12, which states that current material</w:t>
      </w:r>
      <w:r>
        <w:rPr>
          <w:rFonts w:ascii="Times New Roman" w:hAnsi="Times New Roman"/>
          <w:sz w:val="20"/>
          <w:szCs w:val="20"/>
        </w:rPr>
        <w:t xml:space="preserve"> </w:t>
      </w:r>
      <w:r w:rsidRPr="0032536C">
        <w:rPr>
          <w:rFonts w:ascii="Times New Roman" w:hAnsi="Times New Roman"/>
          <w:sz w:val="20"/>
          <w:szCs w:val="20"/>
        </w:rPr>
        <w:t>needs do not lead to over extraction of resources or to degradation of</w:t>
      </w:r>
      <w:r>
        <w:rPr>
          <w:rFonts w:ascii="Times New Roman" w:hAnsi="Times New Roman"/>
          <w:sz w:val="20"/>
          <w:szCs w:val="20"/>
        </w:rPr>
        <w:t xml:space="preserve"> </w:t>
      </w:r>
      <w:r w:rsidRPr="0032536C">
        <w:rPr>
          <w:rFonts w:ascii="Times New Roman" w:hAnsi="Times New Roman"/>
          <w:sz w:val="20"/>
          <w:szCs w:val="20"/>
        </w:rPr>
        <w:t>environment. This calls for policy initiative focusing on improved resource</w:t>
      </w:r>
      <w:r>
        <w:rPr>
          <w:rFonts w:ascii="Times New Roman" w:hAnsi="Times New Roman"/>
          <w:sz w:val="20"/>
          <w:szCs w:val="20"/>
        </w:rPr>
        <w:t xml:space="preserve"> </w:t>
      </w:r>
      <w:r w:rsidRPr="0032536C">
        <w:rPr>
          <w:rFonts w:ascii="Times New Roman" w:hAnsi="Times New Roman"/>
          <w:sz w:val="20"/>
          <w:szCs w:val="20"/>
        </w:rPr>
        <w:t>efficiency and reduced wastage. Resource efficiency in the minerals and metals</w:t>
      </w:r>
      <w:r>
        <w:rPr>
          <w:rFonts w:ascii="Times New Roman" w:hAnsi="Times New Roman"/>
          <w:sz w:val="20"/>
          <w:szCs w:val="20"/>
        </w:rPr>
        <w:t xml:space="preserve"> </w:t>
      </w:r>
      <w:r w:rsidRPr="0032536C">
        <w:rPr>
          <w:rFonts w:ascii="Times New Roman" w:hAnsi="Times New Roman"/>
          <w:sz w:val="20"/>
          <w:szCs w:val="20"/>
        </w:rPr>
        <w:t>sector is realized through the implementation of sustainable development</w:t>
      </w:r>
      <w:r>
        <w:rPr>
          <w:rFonts w:ascii="Times New Roman" w:hAnsi="Times New Roman"/>
          <w:sz w:val="20"/>
          <w:szCs w:val="20"/>
        </w:rPr>
        <w:t xml:space="preserve"> </w:t>
      </w:r>
      <w:r w:rsidRPr="0032536C">
        <w:rPr>
          <w:rFonts w:ascii="Times New Roman" w:hAnsi="Times New Roman"/>
          <w:sz w:val="20"/>
          <w:szCs w:val="20"/>
        </w:rPr>
        <w:t>principles throughout the life cycle of minerals and metals. National Non-ferrous Metal Scrap Recycling Framework, 2020 seeks to use life</w:t>
      </w:r>
      <w:r>
        <w:rPr>
          <w:rFonts w:ascii="Times New Roman" w:hAnsi="Times New Roman"/>
          <w:sz w:val="20"/>
          <w:szCs w:val="20"/>
        </w:rPr>
        <w:t xml:space="preserve"> </w:t>
      </w:r>
      <w:r w:rsidRPr="0032536C">
        <w:rPr>
          <w:rFonts w:ascii="Times New Roman" w:hAnsi="Times New Roman"/>
          <w:sz w:val="20"/>
          <w:szCs w:val="20"/>
        </w:rPr>
        <w:t>cycle management approach for better efficiency in mineral value chain</w:t>
      </w:r>
      <w:r>
        <w:rPr>
          <w:rFonts w:ascii="Times New Roman" w:hAnsi="Times New Roman"/>
          <w:sz w:val="20"/>
          <w:szCs w:val="20"/>
        </w:rPr>
        <w:t xml:space="preserve"> </w:t>
      </w:r>
      <w:r w:rsidRPr="0032536C">
        <w:rPr>
          <w:rFonts w:ascii="Times New Roman" w:hAnsi="Times New Roman"/>
          <w:sz w:val="20"/>
          <w:szCs w:val="20"/>
        </w:rPr>
        <w:t>process. It envisages bringing both product and processing stewardship to</w:t>
      </w:r>
      <w:r>
        <w:rPr>
          <w:rFonts w:ascii="Times New Roman" w:hAnsi="Times New Roman"/>
          <w:sz w:val="20"/>
          <w:szCs w:val="20"/>
        </w:rPr>
        <w:t xml:space="preserve"> </w:t>
      </w:r>
      <w:r w:rsidRPr="0032536C">
        <w:rPr>
          <w:rFonts w:ascii="Times New Roman" w:hAnsi="Times New Roman"/>
          <w:sz w:val="20"/>
          <w:szCs w:val="20"/>
        </w:rPr>
        <w:t>enhance Non-Ferrous Metal recycling.</w:t>
      </w:r>
      <w:r w:rsidRPr="007E3C5F">
        <w:rPr>
          <w:rFonts w:ascii="Times New Roman" w:hAnsi="Times New Roman"/>
          <w:sz w:val="20"/>
          <w:szCs w:val="20"/>
        </w:rPr>
        <w:t xml:space="preserve"> Similarly, NITI Aayog is proposing a comprehensive “National Material Recycling Policy” to drive concerned and coordinated national and state level programs, plans and actions towards ramping up material recycling in India in a formal and organized manner.</w:t>
      </w:r>
    </w:p>
    <w:p w14:paraId="36F982E5" w14:textId="77777777" w:rsidR="00361E52" w:rsidRDefault="00361E52" w:rsidP="00361E52">
      <w:pPr>
        <w:spacing w:after="0" w:line="240" w:lineRule="auto"/>
        <w:ind w:right="26"/>
        <w:jc w:val="both"/>
        <w:rPr>
          <w:rFonts w:ascii="Times New Roman" w:hAnsi="Times New Roman"/>
          <w:sz w:val="20"/>
          <w:szCs w:val="20"/>
        </w:rPr>
      </w:pPr>
    </w:p>
    <w:p w14:paraId="1D1F57FF" w14:textId="77777777" w:rsidR="00361E52" w:rsidRPr="00370473" w:rsidRDefault="00361E52" w:rsidP="00361E52">
      <w:pPr>
        <w:spacing w:after="0" w:line="240" w:lineRule="auto"/>
        <w:ind w:right="26"/>
        <w:rPr>
          <w:rFonts w:ascii="Times New Roman" w:hAnsi="Times New Roman"/>
          <w:b/>
          <w:sz w:val="20"/>
          <w:szCs w:val="20"/>
        </w:rPr>
      </w:pPr>
      <w:r w:rsidRPr="00370473">
        <w:rPr>
          <w:rFonts w:ascii="Times New Roman" w:hAnsi="Times New Roman"/>
          <w:b/>
          <w:sz w:val="20"/>
          <w:szCs w:val="20"/>
        </w:rPr>
        <w:t>Recycling Metal is an important consideration, recycling of non-ferrous metal gains merit on following grounds:-</w:t>
      </w:r>
    </w:p>
    <w:p w14:paraId="567F8C14" w14:textId="77777777" w:rsidR="00361E52" w:rsidRDefault="00361E52" w:rsidP="00361E52">
      <w:pPr>
        <w:spacing w:after="0" w:line="240" w:lineRule="auto"/>
        <w:ind w:right="26"/>
        <w:rPr>
          <w:rFonts w:ascii="Times New Roman" w:hAnsi="Times New Roman"/>
          <w:sz w:val="20"/>
          <w:szCs w:val="20"/>
        </w:rPr>
      </w:pPr>
      <w:r w:rsidRPr="00664DE3">
        <w:rPr>
          <w:rFonts w:ascii="Times New Roman" w:hAnsi="Times New Roman"/>
          <w:sz w:val="20"/>
          <w:szCs w:val="20"/>
        </w:rPr>
        <w:t xml:space="preserve"> </w:t>
      </w:r>
    </w:p>
    <w:p w14:paraId="762DCF2D" w14:textId="77777777" w:rsidR="00361E52" w:rsidRPr="00664DE3" w:rsidRDefault="00361E52">
      <w:pPr>
        <w:pStyle w:val="ListParagraph"/>
        <w:numPr>
          <w:ilvl w:val="0"/>
          <w:numId w:val="318"/>
        </w:numPr>
        <w:spacing w:line="240" w:lineRule="auto"/>
        <w:ind w:left="360" w:right="26"/>
        <w:jc w:val="both"/>
        <w:rPr>
          <w:sz w:val="20"/>
          <w:szCs w:val="20"/>
        </w:rPr>
      </w:pPr>
      <w:r w:rsidRPr="00370473">
        <w:rPr>
          <w:b/>
          <w:sz w:val="20"/>
          <w:szCs w:val="20"/>
        </w:rPr>
        <w:t>Social benefits</w:t>
      </w:r>
      <w:r w:rsidRPr="00664DE3">
        <w:rPr>
          <w:sz w:val="20"/>
          <w:szCs w:val="20"/>
        </w:rPr>
        <w:t xml:space="preserve">- India’s mineral rich areas are under dense forests and inhabited by indigenous communities. Most of the impacts of material extraction, use and disposal occur domestically and negatively on a sizeable population. Extraction pressures have contributed significantly to conflicts due to displacement, loss of livelihood and have led to opposition by tribal and other local communities including fishermen in coastal areas. These social and political conflicts also pose significant threat to internal security. Recycling would put fewer burdens on the need of extraction thereby offsetting some of the risks arising out of social conflicts. </w:t>
      </w:r>
    </w:p>
    <w:p w14:paraId="5671F179" w14:textId="77777777" w:rsidR="00361E52" w:rsidRPr="00664DE3" w:rsidRDefault="00361E52" w:rsidP="00361E52">
      <w:pPr>
        <w:pStyle w:val="ListParagraph"/>
        <w:spacing w:line="240" w:lineRule="auto"/>
        <w:ind w:left="0" w:right="26"/>
        <w:rPr>
          <w:sz w:val="20"/>
          <w:szCs w:val="20"/>
        </w:rPr>
      </w:pPr>
    </w:p>
    <w:p w14:paraId="6C49A02C" w14:textId="77777777" w:rsidR="00361E52" w:rsidRPr="00664DE3" w:rsidRDefault="00361E52">
      <w:pPr>
        <w:pStyle w:val="ListParagraph"/>
        <w:numPr>
          <w:ilvl w:val="0"/>
          <w:numId w:val="318"/>
        </w:numPr>
        <w:spacing w:line="240" w:lineRule="auto"/>
        <w:ind w:left="360" w:right="26"/>
        <w:jc w:val="both"/>
        <w:rPr>
          <w:sz w:val="20"/>
          <w:szCs w:val="20"/>
        </w:rPr>
      </w:pPr>
      <w:r w:rsidRPr="00370473">
        <w:rPr>
          <w:b/>
          <w:sz w:val="20"/>
          <w:szCs w:val="20"/>
        </w:rPr>
        <w:t>Environmental benefits</w:t>
      </w:r>
      <w:r w:rsidRPr="00664DE3">
        <w:rPr>
          <w:sz w:val="20"/>
          <w:szCs w:val="20"/>
        </w:rPr>
        <w:t xml:space="preserve">- Mineral rich areas overlap with heavily forested areas in the country. Extraction activities often result in ecological degradation. Reduced pressures from mining will help to reduce this ecological degradation. Reduced waste generation will not only reduce </w:t>
      </w:r>
      <w:r w:rsidRPr="00361E52">
        <w:rPr>
          <w:b/>
          <w:sz w:val="20"/>
          <w:szCs w:val="20"/>
        </w:rPr>
        <w:t>pollution</w:t>
      </w:r>
      <w:r w:rsidRPr="00664DE3">
        <w:rPr>
          <w:sz w:val="20"/>
          <w:szCs w:val="20"/>
        </w:rPr>
        <w:t xml:space="preserve"> associated with disposal but also save related costs. Also, resource extraction and use is highly energy intensive leading to significant GHG emissions. In 2007, CO2 emissions were to the tune of 131 million tonnes from mineral industry, metal sector contributed about 122.7 million tonnes of CO2. Furthermore, smelters of copper, zinc, lead ore etc. are significant contributors of CO2 and SOx.</w:t>
      </w:r>
    </w:p>
    <w:p w14:paraId="5F92A36E" w14:textId="77777777" w:rsidR="00361E52" w:rsidRPr="00664DE3" w:rsidRDefault="00361E52" w:rsidP="00361E52">
      <w:pPr>
        <w:pStyle w:val="ListParagraph"/>
        <w:spacing w:line="240" w:lineRule="auto"/>
        <w:ind w:left="0" w:right="26"/>
        <w:jc w:val="both"/>
        <w:rPr>
          <w:sz w:val="20"/>
          <w:szCs w:val="20"/>
        </w:rPr>
      </w:pPr>
    </w:p>
    <w:p w14:paraId="17949F16" w14:textId="1CDDB617" w:rsidR="00361E52" w:rsidRDefault="00361E52">
      <w:pPr>
        <w:pStyle w:val="ListParagraph"/>
        <w:numPr>
          <w:ilvl w:val="0"/>
          <w:numId w:val="318"/>
        </w:numPr>
        <w:spacing w:line="240" w:lineRule="auto"/>
        <w:ind w:left="360" w:right="26"/>
        <w:jc w:val="both"/>
        <w:rPr>
          <w:sz w:val="20"/>
          <w:szCs w:val="20"/>
        </w:rPr>
      </w:pPr>
      <w:r w:rsidRPr="00370473">
        <w:rPr>
          <w:b/>
          <w:sz w:val="20"/>
          <w:szCs w:val="20"/>
        </w:rPr>
        <w:t>Economic benefits</w:t>
      </w:r>
      <w:r>
        <w:rPr>
          <w:b/>
          <w:sz w:val="20"/>
          <w:szCs w:val="20"/>
          <w:lang w:val="en-IN"/>
        </w:rPr>
        <w:t>-</w:t>
      </w:r>
      <w:r w:rsidRPr="00664DE3">
        <w:rPr>
          <w:sz w:val="20"/>
          <w:szCs w:val="20"/>
        </w:rPr>
        <w:t xml:space="preserve"> In manufacturing sector alone, Indian companies could save up to </w:t>
      </w:r>
      <w:r w:rsidR="001706A2" w:rsidRPr="00712F3C">
        <w:rPr>
          <w:rFonts w:eastAsia="MS Mincho"/>
          <w:sz w:val="20"/>
          <w:szCs w:val="20"/>
        </w:rPr>
        <w:t>₹</w:t>
      </w:r>
      <w:r w:rsidRPr="00664DE3">
        <w:rPr>
          <w:sz w:val="20"/>
          <w:szCs w:val="20"/>
        </w:rPr>
        <w:t xml:space="preserve"> 60,855 million by implementing resource </w:t>
      </w:r>
      <w:r w:rsidRPr="00361E52">
        <w:rPr>
          <w:b/>
          <w:sz w:val="20"/>
          <w:szCs w:val="20"/>
        </w:rPr>
        <w:t>efficiency</w:t>
      </w:r>
      <w:r w:rsidRPr="00664DE3">
        <w:rPr>
          <w:sz w:val="20"/>
          <w:szCs w:val="20"/>
        </w:rPr>
        <w:t xml:space="preserve"> measures, thereby improving competitiveness and profitability. Recycling based innovations can also give industries an edge in the export market. New industries can be created in the recycling sector with focus on innovative design and manufacturing from recycled material. As per an estimate from the Society of Indian Automobile Manufacturers (SIAM, 2015), with efficient recycling, India can hope to recover by the year 2020 over 0.18 million tonnes of aluminium scrap (source NITI Aayog, 2017 Strategy Paper on Resource efficiency). Also, reduced import dependence National Non-Ferrous Metal Scrap Recycling Framework, 2020 Page 8 of 21 for critical minera</w:t>
      </w:r>
      <w:r>
        <w:rPr>
          <w:sz w:val="20"/>
          <w:szCs w:val="20"/>
        </w:rPr>
        <w:t>ls will help to improve country’</w:t>
      </w:r>
      <w:r w:rsidRPr="00664DE3">
        <w:rPr>
          <w:sz w:val="20"/>
          <w:szCs w:val="20"/>
        </w:rPr>
        <w:t>s trade balance and promote economic stability.</w:t>
      </w:r>
    </w:p>
    <w:p w14:paraId="3BA7C697" w14:textId="77777777" w:rsidR="00361E52" w:rsidRPr="00664DE3" w:rsidRDefault="00361E52" w:rsidP="00361E52">
      <w:pPr>
        <w:pStyle w:val="ListParagraph"/>
        <w:ind w:left="0" w:right="26"/>
        <w:rPr>
          <w:sz w:val="20"/>
          <w:szCs w:val="20"/>
        </w:rPr>
      </w:pPr>
    </w:p>
    <w:p w14:paraId="2E7A6027" w14:textId="77777777" w:rsidR="00361E52" w:rsidRPr="00664DE3" w:rsidRDefault="00361E52">
      <w:pPr>
        <w:pStyle w:val="ListParagraph"/>
        <w:numPr>
          <w:ilvl w:val="0"/>
          <w:numId w:val="318"/>
        </w:numPr>
        <w:spacing w:line="240" w:lineRule="auto"/>
        <w:ind w:left="360" w:right="26"/>
        <w:jc w:val="both"/>
        <w:rPr>
          <w:sz w:val="20"/>
          <w:szCs w:val="20"/>
        </w:rPr>
      </w:pPr>
      <w:r w:rsidRPr="00370473">
        <w:rPr>
          <w:b/>
          <w:sz w:val="20"/>
          <w:szCs w:val="20"/>
        </w:rPr>
        <w:t>Employment Generation Potential</w:t>
      </w:r>
      <w:r>
        <w:rPr>
          <w:sz w:val="20"/>
          <w:szCs w:val="20"/>
        </w:rPr>
        <w:t xml:space="preserve">- </w:t>
      </w:r>
      <w:r w:rsidRPr="00664DE3">
        <w:rPr>
          <w:sz w:val="20"/>
          <w:szCs w:val="20"/>
        </w:rPr>
        <w:t>Recycling and adoption of related innovative methods may altogether give rise to the need of setting up of new industries that can contribute significantly to employment generation. Innovation in recycling process and manufacturing has the potential to create highly skilled jobs benefitting domestic industries and developing potential for export market. This may further prompt global companies to locate efficient design and/or manufacturing units here leading to increased skilled / unskilled labour demand. Working on improved recycling rates, it is estimated that 3 million direct jobs may be created in recycling facilities and conservatively, between 10 to 15 million indirect jobs in upstream related activities.</w:t>
      </w:r>
    </w:p>
    <w:p w14:paraId="7E037DF3" w14:textId="77777777" w:rsidR="00361E52" w:rsidRDefault="00361E52" w:rsidP="00361E52">
      <w:pPr>
        <w:spacing w:after="0" w:line="240" w:lineRule="auto"/>
        <w:ind w:right="26"/>
        <w:jc w:val="both"/>
        <w:rPr>
          <w:rFonts w:ascii="Times New Roman" w:hAnsi="Times New Roman"/>
          <w:b/>
          <w:sz w:val="20"/>
          <w:szCs w:val="20"/>
        </w:rPr>
      </w:pPr>
    </w:p>
    <w:p w14:paraId="6703CE75" w14:textId="77777777" w:rsidR="00361E52" w:rsidRPr="003E360E" w:rsidRDefault="00361E52" w:rsidP="00361E52">
      <w:pPr>
        <w:spacing w:after="0" w:line="240" w:lineRule="auto"/>
        <w:ind w:right="26"/>
        <w:jc w:val="both"/>
        <w:rPr>
          <w:rFonts w:ascii="Times New Roman" w:hAnsi="Times New Roman"/>
          <w:b/>
          <w:sz w:val="20"/>
          <w:szCs w:val="20"/>
        </w:rPr>
      </w:pPr>
      <w:r w:rsidRPr="003E360E">
        <w:rPr>
          <w:rFonts w:ascii="Times New Roman" w:hAnsi="Times New Roman"/>
          <w:b/>
          <w:sz w:val="20"/>
          <w:szCs w:val="20"/>
        </w:rPr>
        <w:t>Brass recycling</w:t>
      </w:r>
    </w:p>
    <w:p w14:paraId="18145006" w14:textId="77777777" w:rsidR="00361E52" w:rsidRDefault="00361E52" w:rsidP="00361E52">
      <w:pPr>
        <w:spacing w:after="0" w:line="240" w:lineRule="auto"/>
        <w:ind w:right="26"/>
        <w:jc w:val="both"/>
        <w:rPr>
          <w:rFonts w:ascii="Times New Roman" w:hAnsi="Times New Roman"/>
          <w:sz w:val="20"/>
          <w:szCs w:val="20"/>
        </w:rPr>
      </w:pPr>
    </w:p>
    <w:p w14:paraId="5E4EB0C6" w14:textId="77777777" w:rsidR="00361E52" w:rsidRDefault="00361E52" w:rsidP="00361E52">
      <w:pPr>
        <w:spacing w:after="0" w:line="240" w:lineRule="auto"/>
        <w:ind w:right="26"/>
        <w:jc w:val="both"/>
        <w:rPr>
          <w:rFonts w:ascii="Times New Roman" w:hAnsi="Times New Roman"/>
          <w:sz w:val="20"/>
          <w:szCs w:val="20"/>
        </w:rPr>
      </w:pPr>
      <w:r w:rsidRPr="003E360E">
        <w:rPr>
          <w:rFonts w:ascii="Times New Roman" w:hAnsi="Times New Roman"/>
          <w:sz w:val="20"/>
          <w:szCs w:val="20"/>
        </w:rPr>
        <w:t>Brass has the capacity to be recycled an infinite number of times which has significant environmental and economic advantages. Brass is a copper-based alloy that does not lose its chemical or physical proper</w:t>
      </w:r>
      <w:r>
        <w:rPr>
          <w:rFonts w:ascii="Times New Roman" w:hAnsi="Times New Roman"/>
          <w:sz w:val="20"/>
          <w:szCs w:val="20"/>
        </w:rPr>
        <w:t>ties in the recycling process.</w:t>
      </w:r>
      <w:r w:rsidRPr="003E360E">
        <w:t xml:space="preserve"> </w:t>
      </w:r>
      <w:r w:rsidRPr="003E360E">
        <w:rPr>
          <w:rFonts w:ascii="Times New Roman" w:hAnsi="Times New Roman"/>
          <w:sz w:val="20"/>
          <w:szCs w:val="20"/>
        </w:rPr>
        <w:t xml:space="preserve">Brass has the capacity to be recycled an infinite number of times which has significant environmental and economic advantages. Brass is a copper-based alloy that does not lose its chemical or physical properties in the recycling process.  </w:t>
      </w:r>
    </w:p>
    <w:p w14:paraId="0BE0776C" w14:textId="77777777" w:rsidR="00361E52" w:rsidRDefault="00361E52" w:rsidP="00361E52">
      <w:pPr>
        <w:spacing w:after="0" w:line="240" w:lineRule="auto"/>
        <w:ind w:right="26"/>
        <w:jc w:val="both"/>
        <w:rPr>
          <w:rFonts w:ascii="Times New Roman" w:hAnsi="Times New Roman"/>
          <w:sz w:val="20"/>
          <w:szCs w:val="20"/>
        </w:rPr>
      </w:pPr>
    </w:p>
    <w:p w14:paraId="3D521565" w14:textId="77777777" w:rsidR="00361E52" w:rsidRDefault="00361E52" w:rsidP="00361E52">
      <w:pPr>
        <w:spacing w:after="0" w:line="240" w:lineRule="auto"/>
        <w:ind w:right="26"/>
        <w:jc w:val="both"/>
        <w:rPr>
          <w:rFonts w:ascii="Times New Roman" w:hAnsi="Times New Roman"/>
          <w:sz w:val="20"/>
          <w:szCs w:val="20"/>
        </w:rPr>
      </w:pPr>
      <w:r w:rsidRPr="003E360E">
        <w:rPr>
          <w:rFonts w:ascii="Times New Roman" w:hAnsi="Times New Roman"/>
          <w:sz w:val="20"/>
          <w:szCs w:val="20"/>
        </w:rPr>
        <w:t>The entire economy of the brass industry is dependent on the economic recycling of any surplus products. There is a wide range of brass materials made for a large variety of applications. To use the most suitable and low cost feedstock for making components gives the most economic value. Brass for extrusion and hot forging is normally made from a basic melt of scrap of similar composition with minor adjustments. The use of brass scrap means that the cost of the fabricated brass is considerably less than it might otherwise be.</w:t>
      </w:r>
    </w:p>
    <w:p w14:paraId="110B8F26" w14:textId="77777777" w:rsidR="00361E52" w:rsidRDefault="00361E52" w:rsidP="00361E52">
      <w:pPr>
        <w:spacing w:after="0" w:line="240" w:lineRule="auto"/>
        <w:ind w:right="26"/>
        <w:jc w:val="both"/>
        <w:rPr>
          <w:rFonts w:ascii="Times New Roman" w:hAnsi="Times New Roman"/>
          <w:sz w:val="20"/>
          <w:szCs w:val="20"/>
        </w:rPr>
      </w:pPr>
    </w:p>
    <w:p w14:paraId="037F54EA" w14:textId="77777777" w:rsidR="00361E52" w:rsidRDefault="00361E52" w:rsidP="00361E52">
      <w:pPr>
        <w:spacing w:after="0" w:line="240" w:lineRule="auto"/>
        <w:ind w:right="26"/>
        <w:jc w:val="both"/>
        <w:rPr>
          <w:rFonts w:ascii="Times New Roman" w:hAnsi="Times New Roman"/>
          <w:sz w:val="20"/>
          <w:szCs w:val="20"/>
        </w:rPr>
      </w:pPr>
      <w:r w:rsidRPr="003E360E">
        <w:rPr>
          <w:rFonts w:ascii="Times New Roman" w:hAnsi="Times New Roman"/>
          <w:sz w:val="20"/>
          <w:szCs w:val="20"/>
        </w:rPr>
        <w:t>Superior recyclability also offsets the off-the-shelf price of brass which may sometimes be higher than alternative materials. Raw material cost is only part of the overall cost picture, and brass turnings can be reclaimed for 75-85% of the original value. The unmatched secondary value of brass scrap creates an advantageous net material cost for customers compared to alternative materials. The superior machinability of brass also means higher productivity and lower per-part cost. This, combined with the high value of scrap makes brass a cost-effective material choice. The numbers say it all. In terms of finished part cost, the example below demonstrates that free-cutting brass is 37% less ex</w:t>
      </w:r>
      <w:r>
        <w:rPr>
          <w:rFonts w:ascii="Times New Roman" w:hAnsi="Times New Roman"/>
          <w:sz w:val="20"/>
          <w:szCs w:val="20"/>
        </w:rPr>
        <w:t>pensive than 12L14 leaded steel.</w:t>
      </w:r>
    </w:p>
    <w:p w14:paraId="46E939A6" w14:textId="77777777" w:rsidR="00361E52" w:rsidRDefault="00361E52" w:rsidP="00361E52">
      <w:pPr>
        <w:spacing w:after="0" w:line="240" w:lineRule="auto"/>
        <w:ind w:right="26"/>
        <w:jc w:val="both"/>
        <w:rPr>
          <w:rFonts w:ascii="Times New Roman" w:hAnsi="Times New Roman"/>
          <w:sz w:val="20"/>
          <w:szCs w:val="20"/>
        </w:rPr>
      </w:pPr>
    </w:p>
    <w:p w14:paraId="7C556852" w14:textId="5E8830B5" w:rsidR="00361E52" w:rsidRPr="00600001" w:rsidRDefault="00361E52" w:rsidP="00361E52">
      <w:pPr>
        <w:spacing w:after="0" w:line="240" w:lineRule="auto"/>
        <w:ind w:right="26"/>
        <w:jc w:val="both"/>
        <w:rPr>
          <w:rFonts w:ascii="Times New Roman" w:hAnsi="Times New Roman"/>
          <w:i/>
          <w:sz w:val="20"/>
          <w:szCs w:val="20"/>
        </w:rPr>
      </w:pPr>
      <w:r>
        <w:rPr>
          <w:rFonts w:ascii="Times New Roman" w:hAnsi="Times New Roman"/>
          <w:i/>
          <w:sz w:val="20"/>
          <w:szCs w:val="20"/>
        </w:rPr>
        <w:t>(</w:t>
      </w:r>
      <w:r w:rsidRPr="00600001">
        <w:rPr>
          <w:rFonts w:ascii="Times New Roman" w:hAnsi="Times New Roman"/>
          <w:i/>
          <w:sz w:val="20"/>
          <w:szCs w:val="20"/>
        </w:rPr>
        <w:t xml:space="preserve">Source: </w:t>
      </w:r>
      <w:hyperlink r:id="rId57" w:history="1">
        <w:r w:rsidRPr="00241637">
          <w:rPr>
            <w:rStyle w:val="Hyperlink"/>
            <w:rFonts w:ascii="Times New Roman" w:hAnsi="Times New Roman"/>
            <w:i/>
            <w:sz w:val="20"/>
            <w:szCs w:val="20"/>
          </w:rPr>
          <w:t>https://copper.org/publications/pub_list/pdf/a7034-Brass-Recyclability.pdf</w:t>
        </w:r>
      </w:hyperlink>
      <w:r>
        <w:rPr>
          <w:rFonts w:ascii="Times New Roman" w:hAnsi="Times New Roman"/>
          <w:i/>
          <w:sz w:val="20"/>
          <w:szCs w:val="20"/>
        </w:rPr>
        <w:t>)</w:t>
      </w:r>
    </w:p>
    <w:p w14:paraId="7A8A7DF2" w14:textId="77777777" w:rsidR="00361E52" w:rsidRDefault="00361E52" w:rsidP="00361E52">
      <w:pPr>
        <w:spacing w:after="0" w:line="240" w:lineRule="auto"/>
        <w:ind w:right="26"/>
        <w:jc w:val="both"/>
        <w:rPr>
          <w:rFonts w:ascii="Times New Roman" w:hAnsi="Times New Roman"/>
          <w:sz w:val="20"/>
          <w:szCs w:val="20"/>
        </w:rPr>
      </w:pPr>
    </w:p>
    <w:p w14:paraId="2E0EACD1" w14:textId="77777777" w:rsidR="00361E52" w:rsidRDefault="00361E52" w:rsidP="00361E52">
      <w:pPr>
        <w:spacing w:after="0" w:line="240" w:lineRule="auto"/>
        <w:ind w:right="26"/>
        <w:jc w:val="both"/>
        <w:rPr>
          <w:rFonts w:ascii="Times New Roman" w:hAnsi="Times New Roman"/>
          <w:b/>
          <w:sz w:val="20"/>
          <w:szCs w:val="20"/>
        </w:rPr>
      </w:pPr>
      <w:r w:rsidRPr="007B18D4">
        <w:rPr>
          <w:rFonts w:ascii="Times New Roman" w:hAnsi="Times New Roman"/>
          <w:b/>
          <w:sz w:val="20"/>
          <w:szCs w:val="20"/>
        </w:rPr>
        <w:t>Government initiatives for Recycling</w:t>
      </w:r>
    </w:p>
    <w:p w14:paraId="0408AA2B" w14:textId="77777777" w:rsidR="00361E52" w:rsidRPr="007B18D4" w:rsidRDefault="00361E52" w:rsidP="00361E52">
      <w:pPr>
        <w:spacing w:after="0" w:line="240" w:lineRule="auto"/>
        <w:ind w:right="26"/>
        <w:jc w:val="both"/>
        <w:rPr>
          <w:rFonts w:ascii="Times New Roman" w:hAnsi="Times New Roman"/>
          <w:b/>
          <w:sz w:val="20"/>
          <w:szCs w:val="20"/>
        </w:rPr>
      </w:pPr>
    </w:p>
    <w:p w14:paraId="5B74D7BC" w14:textId="77777777" w:rsidR="00361E52" w:rsidRDefault="00361E52" w:rsidP="00361E52">
      <w:pPr>
        <w:spacing w:after="0" w:line="240" w:lineRule="auto"/>
        <w:ind w:right="26"/>
        <w:jc w:val="both"/>
        <w:rPr>
          <w:rFonts w:ascii="Times New Roman" w:hAnsi="Times New Roman"/>
          <w:sz w:val="20"/>
          <w:szCs w:val="20"/>
        </w:rPr>
      </w:pPr>
      <w:r w:rsidRPr="007B18D4">
        <w:rPr>
          <w:rFonts w:ascii="Times New Roman" w:hAnsi="Times New Roman"/>
          <w:sz w:val="20"/>
          <w:szCs w:val="20"/>
        </w:rPr>
        <w:t xml:space="preserve">Government initiatives for Recycling Ministry of Environment, Forest and Climate Change (MoEF&amp;CC) is in the process of formulating National Resource Efficiency Policy (NREP) which aims to mainstream resource efficiency across all sectors, wherein Aluminium sector has been considered as a priority sector. Ministry of Steel has brought out Steel Scrap Recycling Policy which envisages a framework to facilitate and promote establishment of metal scrap recycling centers in India. Such centers will ensure scientific processing &amp; recycling of ferrous scrap generated from various sources. The policy framework shall provide standard guidelines for collection, dismantling and shredding activities in an organized, safe and environmentally sound manner. Similarly, NITI Aayog is proposing a comprehensive “National Material Recycling Policy” to drive concerned and coordinated national and state level programs, plans and actions towards ramping up material recycling in India in a formal and organized manner. </w:t>
      </w:r>
    </w:p>
    <w:p w14:paraId="2C853644" w14:textId="77777777" w:rsidR="00361E52" w:rsidRDefault="00361E52" w:rsidP="00361E52">
      <w:pPr>
        <w:spacing w:after="0" w:line="240" w:lineRule="auto"/>
        <w:ind w:right="26"/>
        <w:jc w:val="both"/>
        <w:rPr>
          <w:rFonts w:ascii="Times New Roman" w:hAnsi="Times New Roman"/>
          <w:sz w:val="20"/>
          <w:szCs w:val="20"/>
        </w:rPr>
      </w:pPr>
    </w:p>
    <w:p w14:paraId="0D7FA8EC" w14:textId="04663376" w:rsidR="00361E52" w:rsidRPr="00370473" w:rsidRDefault="00361E52" w:rsidP="00361E52">
      <w:pPr>
        <w:spacing w:after="0" w:line="240" w:lineRule="auto"/>
        <w:ind w:right="26"/>
        <w:jc w:val="both"/>
        <w:rPr>
          <w:rFonts w:ascii="Times New Roman" w:hAnsi="Times New Roman"/>
          <w:i/>
          <w:sz w:val="20"/>
          <w:szCs w:val="20"/>
        </w:rPr>
      </w:pPr>
      <w:r w:rsidRPr="00370473">
        <w:rPr>
          <w:rFonts w:ascii="Times New Roman" w:hAnsi="Times New Roman"/>
          <w:i/>
          <w:sz w:val="20"/>
          <w:szCs w:val="20"/>
        </w:rPr>
        <w:t xml:space="preserve">(Source: </w:t>
      </w:r>
      <w:hyperlink r:id="rId58" w:history="1">
        <w:r w:rsidRPr="00241637">
          <w:rPr>
            <w:rStyle w:val="Hyperlink"/>
            <w:rFonts w:ascii="Times New Roman" w:hAnsi="Times New Roman"/>
            <w:i/>
            <w:sz w:val="20"/>
            <w:szCs w:val="20"/>
          </w:rPr>
          <w:t>https://mines.gov.in/writereaddata/UploadFile/NFMScrapRecyclingFramework3.pdf</w:t>
        </w:r>
      </w:hyperlink>
      <w:r w:rsidRPr="00370473">
        <w:rPr>
          <w:rFonts w:ascii="Times New Roman" w:hAnsi="Times New Roman"/>
          <w:i/>
          <w:sz w:val="20"/>
          <w:szCs w:val="20"/>
        </w:rPr>
        <w:t>)</w:t>
      </w:r>
    </w:p>
    <w:p w14:paraId="75800D85" w14:textId="77777777" w:rsidR="00361E52" w:rsidRDefault="00361E52" w:rsidP="00361E52">
      <w:pPr>
        <w:autoSpaceDE w:val="0"/>
        <w:autoSpaceDN w:val="0"/>
        <w:adjustRightInd w:val="0"/>
        <w:spacing w:after="0" w:line="240" w:lineRule="auto"/>
        <w:ind w:right="26"/>
        <w:rPr>
          <w:rFonts w:ascii="Times New Roman" w:hAnsi="Times New Roman"/>
          <w:sz w:val="20"/>
          <w:szCs w:val="20"/>
        </w:rPr>
      </w:pPr>
    </w:p>
    <w:p w14:paraId="4C939277" w14:textId="77777777" w:rsidR="00361E52" w:rsidRPr="00D96708" w:rsidRDefault="00361E52" w:rsidP="00361E52">
      <w:pPr>
        <w:spacing w:after="0" w:line="240" w:lineRule="auto"/>
        <w:ind w:right="26"/>
        <w:jc w:val="both"/>
        <w:rPr>
          <w:rFonts w:ascii="Times New Roman" w:hAnsi="Times New Roman"/>
          <w:b/>
          <w:sz w:val="20"/>
          <w:szCs w:val="20"/>
        </w:rPr>
      </w:pPr>
      <w:r>
        <w:rPr>
          <w:rFonts w:ascii="Times New Roman" w:hAnsi="Times New Roman"/>
          <w:b/>
          <w:sz w:val="20"/>
          <w:szCs w:val="20"/>
        </w:rPr>
        <w:t>Export Trends</w:t>
      </w:r>
    </w:p>
    <w:p w14:paraId="5466AF7A" w14:textId="77777777" w:rsidR="00361E52" w:rsidRDefault="00361E52" w:rsidP="00361E52">
      <w:pPr>
        <w:autoSpaceDE w:val="0"/>
        <w:autoSpaceDN w:val="0"/>
        <w:adjustRightInd w:val="0"/>
        <w:spacing w:after="0" w:line="240" w:lineRule="auto"/>
        <w:ind w:right="26"/>
        <w:rPr>
          <w:rFonts w:ascii="Times New Roman" w:hAnsi="Times New Roman"/>
          <w:sz w:val="20"/>
          <w:szCs w:val="20"/>
        </w:rPr>
      </w:pPr>
    </w:p>
    <w:p w14:paraId="0266C9C5" w14:textId="2E0B0AB4" w:rsidR="00361E52" w:rsidRDefault="00361E52" w:rsidP="00361E52">
      <w:pPr>
        <w:autoSpaceDE w:val="0"/>
        <w:autoSpaceDN w:val="0"/>
        <w:adjustRightInd w:val="0"/>
        <w:spacing w:after="0" w:line="240" w:lineRule="auto"/>
        <w:ind w:right="26"/>
        <w:jc w:val="both"/>
        <w:rPr>
          <w:rFonts w:ascii="Times New Roman" w:hAnsi="Times New Roman"/>
          <w:sz w:val="20"/>
          <w:szCs w:val="20"/>
        </w:rPr>
      </w:pPr>
      <w:r w:rsidRPr="00D96708">
        <w:rPr>
          <w:rFonts w:ascii="Times New Roman" w:hAnsi="Times New Roman"/>
          <w:sz w:val="20"/>
          <w:szCs w:val="20"/>
        </w:rPr>
        <w:t>Ferroalloys and copper &amp; allo</w:t>
      </w:r>
      <w:r>
        <w:rPr>
          <w:rFonts w:ascii="Times New Roman" w:hAnsi="Times New Roman"/>
          <w:sz w:val="20"/>
          <w:szCs w:val="20"/>
        </w:rPr>
        <w:t xml:space="preserve">ys (including brass &amp; bronze) </w:t>
      </w:r>
      <w:r w:rsidRPr="00D96708">
        <w:rPr>
          <w:rFonts w:ascii="Times New Roman" w:hAnsi="Times New Roman"/>
          <w:sz w:val="20"/>
          <w:szCs w:val="20"/>
        </w:rPr>
        <w:t>occupied t</w:t>
      </w:r>
      <w:r>
        <w:rPr>
          <w:rFonts w:ascii="Times New Roman" w:hAnsi="Times New Roman"/>
          <w:sz w:val="20"/>
          <w:szCs w:val="20"/>
        </w:rPr>
        <w:t xml:space="preserve">he third &amp; fourth place with a </w:t>
      </w:r>
      <w:r w:rsidRPr="00D96708">
        <w:rPr>
          <w:rFonts w:ascii="Times New Roman" w:hAnsi="Times New Roman"/>
          <w:sz w:val="20"/>
          <w:szCs w:val="20"/>
        </w:rPr>
        <w:t>contribution of 6.16% and 4.93%, respectively.</w:t>
      </w:r>
      <w:r>
        <w:rPr>
          <w:rFonts w:ascii="Times New Roman" w:hAnsi="Times New Roman"/>
          <w:sz w:val="20"/>
          <w:szCs w:val="20"/>
        </w:rPr>
        <w:t xml:space="preserve"> </w:t>
      </w:r>
      <w:r w:rsidRPr="007A0B5D">
        <w:rPr>
          <w:rFonts w:ascii="Times New Roman" w:hAnsi="Times New Roman"/>
          <w:sz w:val="20"/>
          <w:szCs w:val="20"/>
        </w:rPr>
        <w:t>The total exports of copper &amp; alloys (including brass &amp; bronze) were at 2,09,332 tonnes in 2020-21 as against 1,41,010 tonnes in 2019</w:t>
      </w:r>
      <w:r>
        <w:rPr>
          <w:rFonts w:ascii="Times New Roman" w:hAnsi="Times New Roman"/>
          <w:sz w:val="20"/>
          <w:szCs w:val="20"/>
        </w:rPr>
        <w:t>-</w:t>
      </w:r>
      <w:r w:rsidRPr="007A0B5D">
        <w:rPr>
          <w:rFonts w:ascii="Times New Roman" w:hAnsi="Times New Roman"/>
          <w:sz w:val="20"/>
          <w:szCs w:val="20"/>
        </w:rPr>
        <w:t>20.</w:t>
      </w:r>
    </w:p>
    <w:p w14:paraId="3C573401" w14:textId="77777777" w:rsidR="00361E52" w:rsidRDefault="00361E52" w:rsidP="00361E52">
      <w:pPr>
        <w:autoSpaceDE w:val="0"/>
        <w:autoSpaceDN w:val="0"/>
        <w:adjustRightInd w:val="0"/>
        <w:spacing w:after="0" w:line="240" w:lineRule="auto"/>
        <w:ind w:right="26"/>
        <w:rPr>
          <w:rFonts w:ascii="Times New Roman" w:hAnsi="Times New Roman"/>
          <w:sz w:val="20"/>
          <w:szCs w:val="20"/>
        </w:rPr>
      </w:pPr>
    </w:p>
    <w:p w14:paraId="7872CEFF" w14:textId="77777777" w:rsidR="00361E52" w:rsidRDefault="00361E52" w:rsidP="00361E52">
      <w:pPr>
        <w:autoSpaceDE w:val="0"/>
        <w:autoSpaceDN w:val="0"/>
        <w:adjustRightInd w:val="0"/>
        <w:spacing w:after="0" w:line="240" w:lineRule="auto"/>
        <w:ind w:right="26"/>
        <w:rPr>
          <w:rFonts w:ascii="Times New Roman" w:hAnsi="Times New Roman"/>
          <w:sz w:val="20"/>
          <w:szCs w:val="20"/>
        </w:rPr>
      </w:pPr>
    </w:p>
    <w:p w14:paraId="677C0C2A" w14:textId="77777777" w:rsidR="00361E52" w:rsidRDefault="00361E52" w:rsidP="00361E52">
      <w:pPr>
        <w:autoSpaceDE w:val="0"/>
        <w:autoSpaceDN w:val="0"/>
        <w:adjustRightInd w:val="0"/>
        <w:spacing w:after="0" w:line="240" w:lineRule="auto"/>
        <w:ind w:right="26"/>
        <w:jc w:val="center"/>
        <w:rPr>
          <w:rFonts w:ascii="Times New Roman" w:hAnsi="Times New Roman"/>
          <w:sz w:val="20"/>
          <w:szCs w:val="20"/>
        </w:rPr>
      </w:pPr>
      <w:r>
        <w:rPr>
          <w:noProof/>
          <w:lang w:val="en-IN" w:eastAsia="en-IN"/>
        </w:rPr>
        <w:drawing>
          <wp:inline distT="0" distB="0" distL="0" distR="0" wp14:anchorId="25808DE4" wp14:editId="4FD020E5">
            <wp:extent cx="6286500" cy="1409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0897" t="54775" r="15824" b="20506"/>
                    <a:stretch/>
                  </pic:blipFill>
                  <pic:spPr bwMode="auto">
                    <a:xfrm>
                      <a:off x="0" y="0"/>
                      <a:ext cx="6286500" cy="1409700"/>
                    </a:xfrm>
                    <a:prstGeom prst="rect">
                      <a:avLst/>
                    </a:prstGeom>
                    <a:ln>
                      <a:noFill/>
                    </a:ln>
                    <a:extLst>
                      <a:ext uri="{53640926-AAD7-44D8-BBD7-CCE9431645EC}">
                        <a14:shadowObscured xmlns:a14="http://schemas.microsoft.com/office/drawing/2010/main"/>
                      </a:ext>
                    </a:extLst>
                  </pic:spPr>
                </pic:pic>
              </a:graphicData>
            </a:graphic>
          </wp:inline>
        </w:drawing>
      </w:r>
    </w:p>
    <w:p w14:paraId="1CEB8718" w14:textId="77777777" w:rsidR="00361E52" w:rsidRDefault="00361E52" w:rsidP="00361E52">
      <w:pPr>
        <w:autoSpaceDE w:val="0"/>
        <w:autoSpaceDN w:val="0"/>
        <w:adjustRightInd w:val="0"/>
        <w:spacing w:after="0" w:line="240" w:lineRule="auto"/>
        <w:ind w:right="26"/>
        <w:rPr>
          <w:rFonts w:ascii="Times New Roman" w:hAnsi="Times New Roman"/>
          <w:sz w:val="20"/>
          <w:szCs w:val="20"/>
        </w:rPr>
      </w:pPr>
      <w:r>
        <w:rPr>
          <w:noProof/>
          <w:lang w:val="en-IN" w:eastAsia="en-IN"/>
        </w:rPr>
        <w:drawing>
          <wp:inline distT="0" distB="0" distL="0" distR="0" wp14:anchorId="7E8ACC73" wp14:editId="2DD2611F">
            <wp:extent cx="6286500" cy="68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0082" t="63403" r="15017" b="28066"/>
                    <a:stretch/>
                  </pic:blipFill>
                  <pic:spPr bwMode="auto">
                    <a:xfrm>
                      <a:off x="0" y="0"/>
                      <a:ext cx="6286500" cy="685800"/>
                    </a:xfrm>
                    <a:prstGeom prst="rect">
                      <a:avLst/>
                    </a:prstGeom>
                    <a:ln>
                      <a:noFill/>
                    </a:ln>
                    <a:extLst>
                      <a:ext uri="{53640926-AAD7-44D8-BBD7-CCE9431645EC}">
                        <a14:shadowObscured xmlns:a14="http://schemas.microsoft.com/office/drawing/2010/main"/>
                      </a:ext>
                    </a:extLst>
                  </pic:spPr>
                </pic:pic>
              </a:graphicData>
            </a:graphic>
          </wp:inline>
        </w:drawing>
      </w:r>
    </w:p>
    <w:p w14:paraId="7F16594E" w14:textId="20170442" w:rsidR="00361E52" w:rsidRPr="007A0B5D" w:rsidRDefault="00361E52" w:rsidP="00361E52">
      <w:pPr>
        <w:autoSpaceDE w:val="0"/>
        <w:autoSpaceDN w:val="0"/>
        <w:adjustRightInd w:val="0"/>
        <w:spacing w:after="0" w:line="240" w:lineRule="auto"/>
        <w:ind w:right="26"/>
        <w:rPr>
          <w:rFonts w:ascii="Times New Roman" w:hAnsi="Times New Roman"/>
          <w:i/>
          <w:sz w:val="20"/>
          <w:szCs w:val="20"/>
        </w:rPr>
      </w:pPr>
      <w:r>
        <w:rPr>
          <w:rFonts w:ascii="Times New Roman" w:hAnsi="Times New Roman"/>
          <w:i/>
          <w:sz w:val="20"/>
          <w:szCs w:val="20"/>
        </w:rPr>
        <w:t>(</w:t>
      </w:r>
      <w:r w:rsidRPr="007A0B5D">
        <w:rPr>
          <w:rFonts w:ascii="Times New Roman" w:hAnsi="Times New Roman"/>
          <w:i/>
          <w:sz w:val="20"/>
          <w:szCs w:val="20"/>
        </w:rPr>
        <w:t xml:space="preserve">Source: </w:t>
      </w:r>
      <w:hyperlink r:id="rId61" w:history="1">
        <w:r w:rsidRPr="00241637">
          <w:rPr>
            <w:rStyle w:val="Hyperlink"/>
            <w:rFonts w:ascii="Times New Roman" w:hAnsi="Times New Roman"/>
            <w:i/>
            <w:sz w:val="20"/>
            <w:szCs w:val="20"/>
          </w:rPr>
          <w:t>https://ibm.gov.in/writereaddata/files/01312023160034Foreign%20Trade_2021.pdf</w:t>
        </w:r>
      </w:hyperlink>
      <w:r>
        <w:rPr>
          <w:rFonts w:ascii="Times New Roman" w:hAnsi="Times New Roman"/>
          <w:i/>
          <w:sz w:val="20"/>
          <w:szCs w:val="20"/>
        </w:rPr>
        <w:t>)</w:t>
      </w:r>
    </w:p>
    <w:p w14:paraId="2158DFB4" w14:textId="32FA3EEF" w:rsidR="00B63F51" w:rsidRDefault="00B63F51">
      <w:pPr>
        <w:spacing w:after="160" w:line="259" w:lineRule="auto"/>
        <w:rPr>
          <w:rFonts w:ascii="Times New Roman" w:hAnsi="Times New Roman"/>
          <w:b/>
          <w:bCs/>
          <w:sz w:val="20"/>
          <w:szCs w:val="20"/>
          <w:u w:val="single"/>
        </w:rPr>
      </w:pPr>
    </w:p>
    <w:p w14:paraId="75C414CF" w14:textId="77777777" w:rsidR="00B63F51" w:rsidRDefault="00B63F51" w:rsidP="00B63F51">
      <w:pPr>
        <w:spacing w:after="0" w:line="240" w:lineRule="auto"/>
        <w:jc w:val="center"/>
        <w:rPr>
          <w:rFonts w:ascii="Times New Roman" w:hAnsi="Times New Roman"/>
          <w:b/>
          <w:bCs/>
          <w:sz w:val="20"/>
          <w:szCs w:val="20"/>
          <w:u w:val="single"/>
        </w:rPr>
      </w:pPr>
    </w:p>
    <w:p w14:paraId="0CEF7B58" w14:textId="77777777" w:rsidR="00B63F51" w:rsidRPr="00B63F51" w:rsidRDefault="00B63F51" w:rsidP="00B63F51">
      <w:pPr>
        <w:spacing w:after="0" w:line="240" w:lineRule="auto"/>
        <w:jc w:val="center"/>
        <w:rPr>
          <w:rFonts w:ascii="Times New Roman" w:hAnsi="Times New Roman"/>
          <w:b/>
          <w:bCs/>
          <w:vanish/>
          <w:sz w:val="20"/>
          <w:szCs w:val="20"/>
          <w:u w:val="single"/>
          <w:specVanish/>
        </w:rPr>
      </w:pPr>
    </w:p>
    <w:p w14:paraId="4E6B567C" w14:textId="77777777" w:rsidR="00B63F51" w:rsidRPr="00B63F51" w:rsidRDefault="00B63F51" w:rsidP="00B63F51">
      <w:pPr>
        <w:rPr>
          <w:rFonts w:ascii="Times New Roman" w:hAnsi="Times New Roman"/>
          <w:b/>
          <w:bCs/>
          <w:vanish/>
          <w:sz w:val="20"/>
          <w:szCs w:val="20"/>
          <w:u w:val="single"/>
          <w:specVanish/>
        </w:rPr>
      </w:pPr>
      <w:r>
        <w:rPr>
          <w:rFonts w:ascii="Times New Roman" w:hAnsi="Times New Roman"/>
          <w:b/>
          <w:bCs/>
          <w:sz w:val="20"/>
          <w:szCs w:val="20"/>
          <w:u w:val="single"/>
        </w:rPr>
        <w:t xml:space="preserve"> </w:t>
      </w:r>
    </w:p>
    <w:p w14:paraId="293F1E34" w14:textId="16EAE454" w:rsidR="00E35FCB" w:rsidRDefault="00B63F51" w:rsidP="00B63F51">
      <w:pPr>
        <w:rPr>
          <w:rFonts w:ascii="Times New Roman" w:hAnsi="Times New Roman"/>
          <w:b/>
          <w:bCs/>
          <w:sz w:val="20"/>
          <w:szCs w:val="20"/>
          <w:u w:val="single"/>
        </w:rPr>
      </w:pPr>
      <w:r>
        <w:rPr>
          <w:rFonts w:ascii="Times New Roman" w:hAnsi="Times New Roman"/>
          <w:b/>
          <w:bCs/>
          <w:sz w:val="20"/>
          <w:szCs w:val="20"/>
          <w:u w:val="single"/>
        </w:rPr>
        <w:t xml:space="preserve"> </w:t>
      </w:r>
    </w:p>
    <w:p w14:paraId="57B09ABD" w14:textId="77777777" w:rsidR="00F038BD" w:rsidRPr="00F038BD" w:rsidRDefault="00E35FCB" w:rsidP="00F038BD">
      <w:pPr>
        <w:spacing w:after="0" w:line="240" w:lineRule="auto"/>
        <w:ind w:right="27"/>
        <w:jc w:val="center"/>
        <w:rPr>
          <w:rFonts w:ascii="Times New Roman" w:hAnsi="Times New Roman"/>
          <w:b/>
          <w:bCs/>
          <w:sz w:val="20"/>
          <w:szCs w:val="20"/>
          <w:u w:val="single"/>
        </w:rPr>
      </w:pPr>
      <w:r>
        <w:rPr>
          <w:rFonts w:ascii="Times New Roman" w:hAnsi="Times New Roman"/>
          <w:b/>
          <w:bCs/>
          <w:sz w:val="20"/>
          <w:szCs w:val="20"/>
          <w:u w:val="single"/>
        </w:rPr>
        <w:br w:type="page"/>
      </w:r>
      <w:r w:rsidR="00F038BD" w:rsidRPr="00F038BD">
        <w:rPr>
          <w:rFonts w:ascii="Times New Roman" w:hAnsi="Times New Roman"/>
          <w:b/>
          <w:bCs/>
          <w:sz w:val="20"/>
          <w:szCs w:val="20"/>
          <w:u w:val="single"/>
        </w:rPr>
        <w:lastRenderedPageBreak/>
        <w:t>OUR BUSINESS</w:t>
      </w:r>
    </w:p>
    <w:p w14:paraId="2D2D2458" w14:textId="77777777" w:rsidR="00F038BD" w:rsidRPr="00F038BD" w:rsidRDefault="00F038BD" w:rsidP="00F038BD">
      <w:pPr>
        <w:spacing w:after="0" w:line="240" w:lineRule="auto"/>
        <w:ind w:right="27"/>
        <w:jc w:val="center"/>
        <w:rPr>
          <w:rFonts w:ascii="Times New Roman" w:hAnsi="Times New Roman"/>
          <w:b/>
          <w:bCs/>
          <w:sz w:val="20"/>
          <w:szCs w:val="20"/>
          <w:u w:val="single"/>
        </w:rPr>
      </w:pPr>
    </w:p>
    <w:p w14:paraId="37D81C16" w14:textId="77777777" w:rsidR="00F038BD" w:rsidRPr="00F038BD" w:rsidRDefault="00F038BD" w:rsidP="00F038BD">
      <w:pPr>
        <w:autoSpaceDE w:val="0"/>
        <w:autoSpaceDN w:val="0"/>
        <w:adjustRightInd w:val="0"/>
        <w:spacing w:after="0" w:line="240" w:lineRule="auto"/>
        <w:ind w:right="27"/>
        <w:jc w:val="both"/>
        <w:rPr>
          <w:rFonts w:ascii="Times New Roman" w:hAnsi="Times New Roman"/>
          <w:i/>
          <w:iCs/>
          <w:sz w:val="20"/>
          <w:szCs w:val="20"/>
        </w:rPr>
      </w:pPr>
      <w:r w:rsidRPr="00F038BD">
        <w:rPr>
          <w:rFonts w:ascii="Times New Roman" w:hAnsi="Times New Roman"/>
          <w:i/>
          <w:iCs/>
          <w:sz w:val="20"/>
          <w:szCs w:val="20"/>
        </w:rPr>
        <w:t>Some of the information contained in the following discussion, including information with respect to our plans and strategies, contain forward-looking statements that involve risks and uncertainties. You should read the section “Forward-Looking Statements” for a discussion of the risks and uncertainties related to those statements and also the section “Risk Factors” for a discussion of certain factors that may affect our business, financial condition, or results of operations. Our actual results may differ materially from those expressed in or implied by these forward-looking statements. Our fiscal year ends on March 31 of each year, so all references to a particular fiscal are to the Twelve-month period ended March 31 of that year. In this section, a reference to the“Company” or “we”, “us” or “our” means Siyaram Recycling Industries Limited.</w:t>
      </w:r>
    </w:p>
    <w:p w14:paraId="78BA42D8" w14:textId="77777777" w:rsidR="00F038BD" w:rsidRPr="00F038BD" w:rsidRDefault="00F038BD" w:rsidP="00F038BD">
      <w:pPr>
        <w:autoSpaceDE w:val="0"/>
        <w:autoSpaceDN w:val="0"/>
        <w:adjustRightInd w:val="0"/>
        <w:spacing w:after="0" w:line="240" w:lineRule="auto"/>
        <w:ind w:right="27"/>
        <w:jc w:val="both"/>
        <w:rPr>
          <w:rFonts w:ascii="Times New Roman" w:hAnsi="Times New Roman"/>
          <w:i/>
          <w:iCs/>
          <w:sz w:val="20"/>
          <w:szCs w:val="20"/>
        </w:rPr>
      </w:pPr>
    </w:p>
    <w:p w14:paraId="1CA343EB" w14:textId="77777777" w:rsidR="00F038BD" w:rsidRPr="00F038BD" w:rsidRDefault="00F038BD" w:rsidP="00F038BD">
      <w:pPr>
        <w:autoSpaceDE w:val="0"/>
        <w:autoSpaceDN w:val="0"/>
        <w:adjustRightInd w:val="0"/>
        <w:spacing w:after="0" w:line="240" w:lineRule="auto"/>
        <w:ind w:right="27"/>
        <w:jc w:val="both"/>
        <w:rPr>
          <w:rFonts w:ascii="Times New Roman" w:hAnsi="Times New Roman"/>
          <w:i/>
          <w:iCs/>
          <w:sz w:val="20"/>
          <w:szCs w:val="20"/>
        </w:rPr>
      </w:pPr>
      <w:r w:rsidRPr="00F038BD">
        <w:rPr>
          <w:rFonts w:ascii="Times New Roman" w:hAnsi="Times New Roman"/>
          <w:i/>
          <w:iCs/>
          <w:sz w:val="20"/>
          <w:szCs w:val="20"/>
        </w:rPr>
        <w:t xml:space="preserve">All financial information included herein is based on our </w:t>
      </w:r>
      <w:r w:rsidRPr="00F038BD">
        <w:rPr>
          <w:rFonts w:ascii="Times New Roman" w:hAnsi="Times New Roman"/>
          <w:bCs/>
          <w:iCs/>
          <w:sz w:val="20"/>
          <w:szCs w:val="20"/>
        </w:rPr>
        <w:t>“</w:t>
      </w:r>
      <w:r w:rsidRPr="00F038BD">
        <w:rPr>
          <w:rFonts w:ascii="Times New Roman" w:hAnsi="Times New Roman"/>
          <w:bCs/>
          <w:i/>
          <w:iCs/>
          <w:sz w:val="20"/>
          <w:szCs w:val="20"/>
        </w:rPr>
        <w:t>Financial information of the Company”</w:t>
      </w:r>
      <w:r w:rsidRPr="00F038BD">
        <w:rPr>
          <w:rFonts w:ascii="Times New Roman" w:hAnsi="Times New Roman"/>
          <w:i/>
          <w:iCs/>
          <w:sz w:val="20"/>
          <w:szCs w:val="20"/>
        </w:rPr>
        <w:t xml:space="preserve"> included on page 149 of this   Prospectus.</w:t>
      </w:r>
    </w:p>
    <w:p w14:paraId="3E715421" w14:textId="77777777" w:rsidR="00F038BD" w:rsidRPr="00F038BD" w:rsidRDefault="00F038BD" w:rsidP="00F038BD">
      <w:pPr>
        <w:autoSpaceDE w:val="0"/>
        <w:autoSpaceDN w:val="0"/>
        <w:adjustRightInd w:val="0"/>
        <w:spacing w:after="0" w:line="240" w:lineRule="auto"/>
        <w:jc w:val="both"/>
        <w:rPr>
          <w:rFonts w:ascii="Times New Roman" w:hAnsi="Times New Roman"/>
          <w:sz w:val="20"/>
          <w:szCs w:val="20"/>
        </w:rPr>
      </w:pPr>
    </w:p>
    <w:p w14:paraId="1CB553F3" w14:textId="6BA3913C" w:rsidR="00F038BD" w:rsidRPr="00113B44" w:rsidRDefault="00113B44" w:rsidP="00F038BD">
      <w:pPr>
        <w:spacing w:after="0" w:line="240" w:lineRule="auto"/>
        <w:jc w:val="both"/>
        <w:textAlignment w:val="baseline"/>
        <w:outlineLvl w:val="2"/>
        <w:rPr>
          <w:rFonts w:ascii="Times New Roman" w:hAnsi="Times New Roman"/>
          <w:b/>
          <w:bCs/>
          <w:sz w:val="20"/>
          <w:szCs w:val="20"/>
          <w:u w:val="single"/>
        </w:rPr>
      </w:pPr>
      <w:r>
        <w:rPr>
          <w:rFonts w:ascii="Times New Roman" w:hAnsi="Times New Roman"/>
          <w:b/>
          <w:bCs/>
          <w:sz w:val="20"/>
          <w:szCs w:val="20"/>
          <w:u w:val="single"/>
        </w:rPr>
        <w:t xml:space="preserve">BUSINESS </w:t>
      </w:r>
      <w:r w:rsidRPr="00113B44">
        <w:rPr>
          <w:rFonts w:ascii="Times New Roman" w:hAnsi="Times New Roman"/>
          <w:b/>
          <w:bCs/>
          <w:sz w:val="20"/>
          <w:szCs w:val="20"/>
          <w:u w:val="single"/>
        </w:rPr>
        <w:t>OVERVIEW</w:t>
      </w:r>
    </w:p>
    <w:p w14:paraId="73626292" w14:textId="77777777" w:rsidR="00F038BD" w:rsidRPr="00F038BD" w:rsidRDefault="00F038BD" w:rsidP="00F038BD">
      <w:pPr>
        <w:spacing w:after="0" w:line="240" w:lineRule="auto"/>
        <w:jc w:val="both"/>
        <w:textAlignment w:val="baseline"/>
        <w:outlineLvl w:val="2"/>
        <w:rPr>
          <w:rFonts w:ascii="Times New Roman" w:hAnsi="Times New Roman"/>
          <w:sz w:val="20"/>
          <w:szCs w:val="20"/>
        </w:rPr>
      </w:pPr>
    </w:p>
    <w:p w14:paraId="206C7E51" w14:textId="77777777" w:rsidR="00F038BD" w:rsidRPr="00F038BD" w:rsidRDefault="00F038BD" w:rsidP="00F038BD">
      <w:pPr>
        <w:spacing w:after="0" w:line="240" w:lineRule="auto"/>
        <w:jc w:val="both"/>
        <w:textAlignment w:val="baseline"/>
        <w:outlineLvl w:val="2"/>
        <w:rPr>
          <w:rFonts w:ascii="Times New Roman" w:hAnsi="Times New Roman"/>
          <w:sz w:val="20"/>
          <w:szCs w:val="20"/>
        </w:rPr>
      </w:pPr>
      <w:r w:rsidRPr="00F038BD">
        <w:rPr>
          <w:rFonts w:ascii="Times New Roman" w:hAnsi="Times New Roman"/>
          <w:sz w:val="20"/>
          <w:szCs w:val="20"/>
        </w:rPr>
        <w:t>Incorporated in 2007, we are primarily engaged in (i) segregation of brass scrap (ii) manufacturing of brass ingots, billets and brass rods and (iii) manufacturing of brass based components (plumbing and sanitary parts).</w:t>
      </w:r>
    </w:p>
    <w:p w14:paraId="7D36A5E4" w14:textId="77777777" w:rsidR="00F038BD" w:rsidRPr="00F038BD" w:rsidRDefault="00F038BD" w:rsidP="00F038BD">
      <w:pPr>
        <w:spacing w:after="0" w:line="240" w:lineRule="auto"/>
        <w:jc w:val="both"/>
        <w:textAlignment w:val="baseline"/>
        <w:outlineLvl w:val="2"/>
        <w:rPr>
          <w:rFonts w:ascii="Times New Roman" w:hAnsi="Times New Roman"/>
          <w:sz w:val="20"/>
          <w:szCs w:val="20"/>
        </w:rPr>
      </w:pPr>
    </w:p>
    <w:p w14:paraId="34870C12" w14:textId="21CF102B" w:rsidR="00F038BD" w:rsidRPr="00F038BD" w:rsidRDefault="00F038BD" w:rsidP="00F038BD">
      <w:pPr>
        <w:spacing w:after="0" w:line="240" w:lineRule="auto"/>
        <w:jc w:val="both"/>
        <w:textAlignment w:val="baseline"/>
        <w:outlineLvl w:val="2"/>
        <w:rPr>
          <w:rFonts w:ascii="Times New Roman" w:hAnsi="Times New Roman"/>
          <w:sz w:val="20"/>
          <w:szCs w:val="20"/>
        </w:rPr>
      </w:pPr>
      <w:r w:rsidRPr="00F038BD">
        <w:rPr>
          <w:rFonts w:ascii="Times New Roman" w:hAnsi="Times New Roman"/>
          <w:b/>
          <w:bCs/>
          <w:sz w:val="20"/>
          <w:szCs w:val="20"/>
        </w:rPr>
        <w:t>Manufacturing of brass based components (plumbing and sanitary parts)</w:t>
      </w:r>
      <w:r w:rsidR="00CB2D76">
        <w:rPr>
          <w:rFonts w:ascii="Times New Roman" w:hAnsi="Times New Roman"/>
          <w:b/>
          <w:bCs/>
          <w:sz w:val="20"/>
          <w:szCs w:val="20"/>
        </w:rPr>
        <w:t xml:space="preserve">- </w:t>
      </w:r>
      <w:r w:rsidRPr="00F038BD">
        <w:rPr>
          <w:rFonts w:ascii="Times New Roman" w:hAnsi="Times New Roman"/>
          <w:sz w:val="20"/>
          <w:szCs w:val="20"/>
        </w:rPr>
        <w:t>We manufacture various brass components (plumbing and sanitary parts) such as brass inserts, brass ceramic cartridges (brass spindles), brass valves, extension nipples etc. as per the customer’s requirements, from our two manufacturing units (Unit-I and Unit</w:t>
      </w:r>
      <w:r w:rsidR="00CB2D76">
        <w:rPr>
          <w:rFonts w:ascii="Times New Roman" w:hAnsi="Times New Roman"/>
          <w:sz w:val="20"/>
          <w:szCs w:val="20"/>
        </w:rPr>
        <w:t>-</w:t>
      </w:r>
      <w:r w:rsidRPr="00F038BD">
        <w:rPr>
          <w:rFonts w:ascii="Times New Roman" w:hAnsi="Times New Roman"/>
          <w:sz w:val="20"/>
          <w:szCs w:val="20"/>
        </w:rPr>
        <w:t xml:space="preserve">II) located at village Lakhabaval, district Jamnagar. Some of the renowned brands which are our customers include Hindware, ROCA, Eauset, Somany, Supreme, </w:t>
      </w:r>
      <w:bookmarkStart w:id="11" w:name="_Hlk143079469"/>
      <w:r w:rsidRPr="00F038BD">
        <w:rPr>
          <w:rFonts w:ascii="Times New Roman" w:hAnsi="Times New Roman"/>
          <w:sz w:val="20"/>
          <w:szCs w:val="20"/>
        </w:rPr>
        <w:t>AGI Greenpac (formerly known as HSIL)</w:t>
      </w:r>
      <w:bookmarkEnd w:id="11"/>
      <w:r w:rsidRPr="00F038BD">
        <w:rPr>
          <w:rFonts w:ascii="Times New Roman" w:hAnsi="Times New Roman"/>
          <w:sz w:val="20"/>
          <w:szCs w:val="20"/>
        </w:rPr>
        <w:t xml:space="preserve"> and Ashirvad Pipes. For Fiscal 2022 and 2023, our revenue from brass based components were </w:t>
      </w:r>
      <w:r w:rsidR="001706A2" w:rsidRPr="00712F3C">
        <w:rPr>
          <w:rFonts w:ascii="Times New Roman" w:eastAsia="MS Mincho" w:hAnsi="Times New Roman"/>
          <w:sz w:val="20"/>
          <w:szCs w:val="20"/>
        </w:rPr>
        <w:t>₹</w:t>
      </w:r>
      <w:r w:rsidRPr="00F038BD">
        <w:rPr>
          <w:rFonts w:ascii="Times New Roman" w:hAnsi="Times New Roman"/>
          <w:sz w:val="20"/>
          <w:szCs w:val="20"/>
        </w:rPr>
        <w:t xml:space="preserve"> 5</w:t>
      </w:r>
      <w:r w:rsidR="001706A2">
        <w:rPr>
          <w:rFonts w:ascii="Times New Roman" w:hAnsi="Times New Roman"/>
          <w:sz w:val="20"/>
          <w:szCs w:val="20"/>
        </w:rPr>
        <w:t>,</w:t>
      </w:r>
      <w:r w:rsidRPr="00F038BD">
        <w:rPr>
          <w:rFonts w:ascii="Times New Roman" w:hAnsi="Times New Roman"/>
          <w:sz w:val="20"/>
          <w:szCs w:val="20"/>
        </w:rPr>
        <w:t xml:space="preserve">985.54 lakhs and </w:t>
      </w:r>
      <w:r w:rsidR="001706A2" w:rsidRPr="00712F3C">
        <w:rPr>
          <w:rFonts w:ascii="Times New Roman" w:eastAsia="MS Mincho" w:hAnsi="Times New Roman"/>
          <w:sz w:val="20"/>
          <w:szCs w:val="20"/>
        </w:rPr>
        <w:t>₹</w:t>
      </w:r>
      <w:r w:rsidRPr="00F038BD">
        <w:rPr>
          <w:rFonts w:ascii="Times New Roman" w:hAnsi="Times New Roman"/>
          <w:sz w:val="20"/>
          <w:szCs w:val="20"/>
        </w:rPr>
        <w:t xml:space="preserve"> 4</w:t>
      </w:r>
      <w:r w:rsidR="001706A2">
        <w:rPr>
          <w:rFonts w:ascii="Times New Roman" w:hAnsi="Times New Roman"/>
          <w:sz w:val="20"/>
          <w:szCs w:val="20"/>
        </w:rPr>
        <w:t>,</w:t>
      </w:r>
      <w:r w:rsidRPr="00F038BD">
        <w:rPr>
          <w:rFonts w:ascii="Times New Roman" w:hAnsi="Times New Roman"/>
          <w:sz w:val="20"/>
          <w:szCs w:val="20"/>
        </w:rPr>
        <w:t xml:space="preserve">096.54 lakhs respectively, which contributed 14.14% and 8.31% respectively of our revenue from operations. </w:t>
      </w:r>
    </w:p>
    <w:p w14:paraId="3BE6EC46" w14:textId="77777777" w:rsidR="00F038BD" w:rsidRPr="00F038BD" w:rsidRDefault="00F038BD" w:rsidP="00F038BD">
      <w:pPr>
        <w:spacing w:after="0" w:line="240" w:lineRule="auto"/>
        <w:jc w:val="both"/>
        <w:textAlignment w:val="baseline"/>
        <w:outlineLvl w:val="2"/>
        <w:rPr>
          <w:rFonts w:ascii="Times New Roman" w:hAnsi="Times New Roman"/>
          <w:sz w:val="20"/>
          <w:szCs w:val="20"/>
        </w:rPr>
      </w:pPr>
    </w:p>
    <w:p w14:paraId="25031C30" w14:textId="65560FC8" w:rsidR="00F038BD" w:rsidRPr="00F038BD" w:rsidRDefault="00F038BD" w:rsidP="00F038BD">
      <w:pPr>
        <w:spacing w:after="0" w:line="240" w:lineRule="auto"/>
        <w:jc w:val="both"/>
        <w:textAlignment w:val="baseline"/>
        <w:outlineLvl w:val="2"/>
        <w:rPr>
          <w:rFonts w:ascii="Times New Roman" w:hAnsi="Times New Roman"/>
          <w:b/>
          <w:bCs/>
          <w:sz w:val="20"/>
          <w:szCs w:val="20"/>
        </w:rPr>
      </w:pPr>
      <w:r w:rsidRPr="00F038BD">
        <w:rPr>
          <w:rFonts w:ascii="Times New Roman" w:hAnsi="Times New Roman"/>
          <w:b/>
          <w:bCs/>
          <w:sz w:val="20"/>
          <w:szCs w:val="20"/>
        </w:rPr>
        <w:t>Manufacturing of brass ingots, billets and rods</w:t>
      </w:r>
      <w:r w:rsidRPr="00F038BD">
        <w:rPr>
          <w:rFonts w:ascii="Times New Roman" w:hAnsi="Times New Roman"/>
          <w:sz w:val="20"/>
          <w:szCs w:val="20"/>
        </w:rPr>
        <w:t xml:space="preserve"> – We manufacture brass ingots, billets and rods through brass scrap from our manufacturing unit-II located at Village Lakhabaval, District Jamnagar. We mainly export these products to China. Additionally, we supply brass ingots to esteemed customers in India such as Astral Limited, Kajaria Bathware and AGI Greenpac (formerly known as HSIL). For Fiscal 2022 and 2023, our revenue from sale of brass ingots, billets and rods were </w:t>
      </w:r>
      <w:r w:rsidR="001706A2" w:rsidRPr="00712F3C">
        <w:rPr>
          <w:rFonts w:ascii="Times New Roman" w:eastAsia="MS Mincho" w:hAnsi="Times New Roman"/>
          <w:sz w:val="20"/>
          <w:szCs w:val="20"/>
        </w:rPr>
        <w:t>₹</w:t>
      </w:r>
      <w:r w:rsidRPr="00F038BD">
        <w:rPr>
          <w:rFonts w:ascii="Times New Roman" w:hAnsi="Times New Roman"/>
          <w:sz w:val="20"/>
          <w:szCs w:val="20"/>
        </w:rPr>
        <w:t xml:space="preserve"> 12</w:t>
      </w:r>
      <w:r w:rsidR="001706A2">
        <w:rPr>
          <w:rFonts w:ascii="Times New Roman" w:hAnsi="Times New Roman"/>
          <w:sz w:val="20"/>
          <w:szCs w:val="20"/>
        </w:rPr>
        <w:t>,</w:t>
      </w:r>
      <w:r w:rsidRPr="00F038BD">
        <w:rPr>
          <w:rFonts w:ascii="Times New Roman" w:hAnsi="Times New Roman"/>
          <w:sz w:val="20"/>
          <w:szCs w:val="20"/>
        </w:rPr>
        <w:t xml:space="preserve">849.73 lakhs and </w:t>
      </w:r>
      <w:r w:rsidR="001706A2" w:rsidRPr="00712F3C">
        <w:rPr>
          <w:rFonts w:ascii="Times New Roman" w:eastAsia="MS Mincho" w:hAnsi="Times New Roman"/>
          <w:sz w:val="20"/>
          <w:szCs w:val="20"/>
        </w:rPr>
        <w:t>₹</w:t>
      </w:r>
      <w:r w:rsidRPr="00F038BD">
        <w:rPr>
          <w:rFonts w:ascii="Times New Roman" w:hAnsi="Times New Roman"/>
          <w:sz w:val="20"/>
          <w:szCs w:val="20"/>
        </w:rPr>
        <w:t xml:space="preserve"> 19</w:t>
      </w:r>
      <w:r w:rsidR="001706A2">
        <w:rPr>
          <w:rFonts w:ascii="Times New Roman" w:hAnsi="Times New Roman"/>
          <w:sz w:val="20"/>
          <w:szCs w:val="20"/>
        </w:rPr>
        <w:t>,</w:t>
      </w:r>
      <w:r w:rsidRPr="00F038BD">
        <w:rPr>
          <w:rFonts w:ascii="Times New Roman" w:hAnsi="Times New Roman"/>
          <w:sz w:val="20"/>
          <w:szCs w:val="20"/>
        </w:rPr>
        <w:t>836.99 respectively, which contributed 30.36% and 40.25% respectively of our revenue from operations.</w:t>
      </w:r>
    </w:p>
    <w:p w14:paraId="035D205A" w14:textId="77777777" w:rsidR="00F038BD" w:rsidRPr="00F038BD" w:rsidRDefault="00F038BD" w:rsidP="00F038BD">
      <w:pPr>
        <w:spacing w:after="0" w:line="240" w:lineRule="auto"/>
        <w:jc w:val="both"/>
        <w:textAlignment w:val="baseline"/>
        <w:outlineLvl w:val="2"/>
        <w:rPr>
          <w:rFonts w:ascii="Times New Roman" w:hAnsi="Times New Roman"/>
          <w:b/>
          <w:bCs/>
          <w:sz w:val="20"/>
          <w:szCs w:val="20"/>
        </w:rPr>
      </w:pPr>
    </w:p>
    <w:p w14:paraId="26AED80A" w14:textId="03F3EA29" w:rsidR="00F038BD" w:rsidRPr="00F038BD" w:rsidRDefault="00F038BD" w:rsidP="00F038BD">
      <w:pPr>
        <w:spacing w:after="0" w:line="240" w:lineRule="auto"/>
        <w:jc w:val="both"/>
        <w:textAlignment w:val="baseline"/>
        <w:outlineLvl w:val="2"/>
        <w:rPr>
          <w:rFonts w:ascii="Times New Roman" w:hAnsi="Times New Roman"/>
          <w:sz w:val="20"/>
          <w:szCs w:val="20"/>
        </w:rPr>
      </w:pPr>
      <w:r w:rsidRPr="00F038BD">
        <w:rPr>
          <w:rFonts w:ascii="Times New Roman" w:hAnsi="Times New Roman"/>
          <w:b/>
          <w:bCs/>
          <w:sz w:val="20"/>
          <w:szCs w:val="20"/>
        </w:rPr>
        <w:t xml:space="preserve">Segregation of brass scrap </w:t>
      </w:r>
      <w:r w:rsidRPr="00F038BD">
        <w:rPr>
          <w:rFonts w:ascii="Times New Roman" w:hAnsi="Times New Roman"/>
          <w:sz w:val="20"/>
          <w:szCs w:val="20"/>
        </w:rPr>
        <w:t xml:space="preserve">– We procure brass scrap mainly from international market such as USA, UK, Europe and Middle East. Post procurement, segregation of brass is done at our unit-III located at Village Lakhabaval, District Jamnagar. </w:t>
      </w:r>
      <w:bookmarkStart w:id="12" w:name="_Hlk143095793"/>
      <w:r w:rsidRPr="00F038BD">
        <w:rPr>
          <w:rFonts w:ascii="Times New Roman" w:hAnsi="Times New Roman"/>
          <w:sz w:val="20"/>
          <w:szCs w:val="20"/>
        </w:rPr>
        <w:t>Post segregation, the segregated brass is termed as Brass scrap honey.</w:t>
      </w:r>
      <w:bookmarkEnd w:id="12"/>
      <w:r w:rsidRPr="00F038BD">
        <w:rPr>
          <w:rFonts w:ascii="Times New Roman" w:hAnsi="Times New Roman"/>
          <w:sz w:val="20"/>
          <w:szCs w:val="20"/>
        </w:rPr>
        <w:t xml:space="preserve"> The brass scrap is mainly sold by us in Gujarat. For Fiscal 2022 and 2023, our revenue from sale of brass scrap were </w:t>
      </w:r>
      <w:r w:rsidR="001706A2" w:rsidRPr="00712F3C">
        <w:rPr>
          <w:rFonts w:ascii="Times New Roman" w:eastAsia="MS Mincho" w:hAnsi="Times New Roman"/>
          <w:sz w:val="20"/>
          <w:szCs w:val="20"/>
        </w:rPr>
        <w:t>₹</w:t>
      </w:r>
      <w:r w:rsidRPr="00F038BD">
        <w:rPr>
          <w:rFonts w:ascii="Times New Roman" w:hAnsi="Times New Roman"/>
          <w:sz w:val="20"/>
          <w:szCs w:val="20"/>
        </w:rPr>
        <w:t xml:space="preserve"> 23,442.30 lakhs and </w:t>
      </w:r>
      <w:r w:rsidR="001706A2" w:rsidRPr="00712F3C">
        <w:rPr>
          <w:rFonts w:ascii="Times New Roman" w:eastAsia="MS Mincho" w:hAnsi="Times New Roman"/>
          <w:sz w:val="20"/>
          <w:szCs w:val="20"/>
        </w:rPr>
        <w:t>₹</w:t>
      </w:r>
      <w:r w:rsidRPr="00F038BD">
        <w:rPr>
          <w:rFonts w:ascii="Times New Roman" w:hAnsi="Times New Roman"/>
          <w:sz w:val="20"/>
          <w:szCs w:val="20"/>
        </w:rPr>
        <w:t xml:space="preserve"> 2</w:t>
      </w:r>
      <w:r w:rsidR="001706A2">
        <w:rPr>
          <w:rFonts w:ascii="Times New Roman" w:hAnsi="Times New Roman"/>
          <w:sz w:val="20"/>
          <w:szCs w:val="20"/>
        </w:rPr>
        <w:t>,</w:t>
      </w:r>
      <w:r w:rsidRPr="00F038BD">
        <w:rPr>
          <w:rFonts w:ascii="Times New Roman" w:hAnsi="Times New Roman"/>
          <w:sz w:val="20"/>
          <w:szCs w:val="20"/>
        </w:rPr>
        <w:t xml:space="preserve">533.04 lakhs respectively, which contributed 55.39% and 51.39% respectively of our revenue from operations. </w:t>
      </w:r>
    </w:p>
    <w:p w14:paraId="1CA2CC14" w14:textId="77777777" w:rsidR="00F038BD" w:rsidRPr="00F038BD" w:rsidRDefault="00F038BD" w:rsidP="00F038BD">
      <w:pPr>
        <w:spacing w:after="0" w:line="240" w:lineRule="auto"/>
        <w:jc w:val="both"/>
        <w:textAlignment w:val="baseline"/>
        <w:outlineLvl w:val="2"/>
        <w:rPr>
          <w:rFonts w:ascii="Times New Roman" w:hAnsi="Times New Roman"/>
          <w:sz w:val="20"/>
          <w:szCs w:val="20"/>
        </w:rPr>
      </w:pPr>
    </w:p>
    <w:p w14:paraId="2C7BE9F1" w14:textId="77777777" w:rsidR="00F038BD" w:rsidRPr="00F038BD" w:rsidRDefault="00F038BD" w:rsidP="00F038BD">
      <w:pPr>
        <w:spacing w:after="0" w:line="240" w:lineRule="auto"/>
        <w:jc w:val="both"/>
        <w:textAlignment w:val="baseline"/>
        <w:outlineLvl w:val="2"/>
        <w:rPr>
          <w:rFonts w:ascii="Times New Roman" w:hAnsi="Times New Roman"/>
          <w:sz w:val="20"/>
          <w:szCs w:val="20"/>
        </w:rPr>
      </w:pPr>
      <w:r w:rsidRPr="00F038BD">
        <w:rPr>
          <w:rFonts w:ascii="Times New Roman" w:hAnsi="Times New Roman"/>
          <w:sz w:val="20"/>
          <w:szCs w:val="20"/>
        </w:rPr>
        <w:t xml:space="preserve">Brass is an alloy generally made from Copper and Zinc. Copper is a malleable and ductile metallic element that is an excellent conductor of heat and electricity as well as being corrosion resistant and antimicrobial. (Source: </w:t>
      </w:r>
      <w:hyperlink r:id="rId62" w:history="1">
        <w:r w:rsidRPr="00F038BD">
          <w:rPr>
            <w:rFonts w:ascii="Times New Roman" w:hAnsi="Times New Roman"/>
            <w:color w:val="0000FF"/>
            <w:sz w:val="20"/>
            <w:szCs w:val="20"/>
            <w:u w:val="single"/>
          </w:rPr>
          <w:t>https://mines.gov.in/webportal/copper</w:t>
        </w:r>
      </w:hyperlink>
      <w:r w:rsidRPr="00F038BD">
        <w:rPr>
          <w:rFonts w:ascii="Times New Roman" w:hAnsi="Times New Roman"/>
          <w:sz w:val="20"/>
          <w:szCs w:val="20"/>
        </w:rPr>
        <w:t xml:space="preserve">). The ability to conduct electricity and heat are two of the most important properties of copper. When alloyed with other metals, it acquires additional properties including increased hardness, tensile strength and improved corrosion resistance. Brass and Bronze are two of the most important alloys of copper. Copper and brass are the materials of choice for plumbing, taps, valves and fittings for their aesthetic appeals. (Source: </w:t>
      </w:r>
      <w:hyperlink r:id="rId63" w:history="1">
        <w:r w:rsidRPr="00F038BD">
          <w:rPr>
            <w:rFonts w:ascii="Times New Roman" w:hAnsi="Times New Roman"/>
            <w:color w:val="0000FF"/>
            <w:sz w:val="20"/>
            <w:szCs w:val="20"/>
            <w:u w:val="single"/>
          </w:rPr>
          <w:t>https://ibm.gov.in/writereaddata/files/07072014112340marketsurvey_copper.pdf</w:t>
        </w:r>
      </w:hyperlink>
      <w:r w:rsidRPr="00F038BD">
        <w:rPr>
          <w:rFonts w:ascii="Times New Roman" w:hAnsi="Times New Roman"/>
          <w:sz w:val="20"/>
          <w:szCs w:val="20"/>
        </w:rPr>
        <w:t xml:space="preserve">). Owing to its corrosion resistance in varied types of environment, zinc is used for protecting steel by way of galvanising. (Source: </w:t>
      </w:r>
      <w:hyperlink r:id="rId64" w:history="1">
        <w:r w:rsidRPr="00F038BD">
          <w:rPr>
            <w:rFonts w:ascii="Times New Roman" w:hAnsi="Times New Roman"/>
            <w:color w:val="0000FF"/>
            <w:sz w:val="20"/>
            <w:szCs w:val="20"/>
            <w:u w:val="single"/>
          </w:rPr>
          <w:t>https://mines.gov.in/webportal/internationalmineralscenario</w:t>
        </w:r>
      </w:hyperlink>
      <w:r w:rsidRPr="00F038BD">
        <w:rPr>
          <w:rFonts w:ascii="Times New Roman" w:hAnsi="Times New Roman"/>
          <w:sz w:val="20"/>
          <w:szCs w:val="20"/>
        </w:rPr>
        <w:t>).</w:t>
      </w:r>
    </w:p>
    <w:p w14:paraId="28CA91C0" w14:textId="77777777" w:rsidR="00F038BD" w:rsidRPr="00F038BD" w:rsidRDefault="00F038BD" w:rsidP="00F038BD">
      <w:pPr>
        <w:spacing w:after="0" w:line="240" w:lineRule="auto"/>
        <w:jc w:val="both"/>
        <w:textAlignment w:val="baseline"/>
        <w:outlineLvl w:val="2"/>
        <w:rPr>
          <w:rFonts w:ascii="Times New Roman" w:hAnsi="Times New Roman"/>
          <w:sz w:val="20"/>
          <w:szCs w:val="20"/>
        </w:rPr>
      </w:pPr>
    </w:p>
    <w:p w14:paraId="7E464C5C" w14:textId="77777777" w:rsidR="00F038BD" w:rsidRPr="00F038BD" w:rsidRDefault="00F038BD" w:rsidP="00F038BD">
      <w:pPr>
        <w:spacing w:line="240" w:lineRule="auto"/>
        <w:jc w:val="both"/>
        <w:outlineLvl w:val="2"/>
        <w:rPr>
          <w:rFonts w:ascii="Times New Roman" w:hAnsi="Times New Roman"/>
          <w:sz w:val="20"/>
          <w:szCs w:val="20"/>
        </w:rPr>
      </w:pPr>
      <w:r w:rsidRPr="00F038BD">
        <w:rPr>
          <w:rFonts w:ascii="Times New Roman" w:hAnsi="Times New Roman"/>
          <w:sz w:val="20"/>
          <w:szCs w:val="20"/>
        </w:rPr>
        <w:t>Recycling brass helps to conserve natural resources by reducing the need to mine and extract new metals. Recycling also reduces energy consumption, as it takes less energy to recycle brass than it does to produce new brass. Additionally, recycling brass helps to minimise the environmental impact of mining and processing new metals, as well as reducing waste in landfills. Brass is used in a wide range of applications which include:</w:t>
      </w:r>
    </w:p>
    <w:p w14:paraId="69EC6EEA" w14:textId="77777777" w:rsidR="00F038BD" w:rsidRPr="00F038BD" w:rsidRDefault="00F038BD" w:rsidP="00F038BD">
      <w:pPr>
        <w:spacing w:after="0" w:line="240" w:lineRule="auto"/>
        <w:jc w:val="both"/>
        <w:outlineLvl w:val="2"/>
        <w:rPr>
          <w:rFonts w:ascii="Times New Roman" w:hAnsi="Times New Roman"/>
          <w:sz w:val="20"/>
          <w:szCs w:val="20"/>
        </w:rPr>
      </w:pPr>
      <w:r w:rsidRPr="00F038BD">
        <w:rPr>
          <w:rFonts w:ascii="Times New Roman" w:hAnsi="Times New Roman"/>
          <w:sz w:val="20"/>
          <w:szCs w:val="20"/>
        </w:rPr>
        <w:t>- Plumbing fixtures and fittings such as valves, faucets, sanitary and other plumbing components;</w:t>
      </w:r>
    </w:p>
    <w:p w14:paraId="2E67ECD6" w14:textId="77777777" w:rsidR="00F038BD" w:rsidRPr="00F038BD" w:rsidRDefault="00F038BD" w:rsidP="00F038BD">
      <w:pPr>
        <w:spacing w:after="0" w:line="240" w:lineRule="auto"/>
        <w:jc w:val="both"/>
        <w:outlineLvl w:val="2"/>
        <w:rPr>
          <w:rFonts w:ascii="Times New Roman" w:hAnsi="Times New Roman"/>
          <w:sz w:val="20"/>
          <w:szCs w:val="20"/>
        </w:rPr>
      </w:pPr>
      <w:r w:rsidRPr="00F038BD">
        <w:rPr>
          <w:rFonts w:ascii="Times New Roman" w:hAnsi="Times New Roman"/>
          <w:sz w:val="20"/>
          <w:szCs w:val="20"/>
        </w:rPr>
        <w:t>- Electrical connectors and terminals such as electrical connectors, terminals, and switches;</w:t>
      </w:r>
    </w:p>
    <w:p w14:paraId="63F5A1CF" w14:textId="77777777" w:rsidR="00F038BD" w:rsidRPr="00F038BD" w:rsidRDefault="00F038BD" w:rsidP="00F038BD">
      <w:pPr>
        <w:spacing w:after="0" w:line="240" w:lineRule="auto"/>
        <w:jc w:val="both"/>
        <w:outlineLvl w:val="2"/>
        <w:rPr>
          <w:rFonts w:ascii="Times New Roman" w:hAnsi="Times New Roman"/>
          <w:sz w:val="20"/>
          <w:szCs w:val="20"/>
        </w:rPr>
      </w:pPr>
      <w:r w:rsidRPr="00F038BD">
        <w:rPr>
          <w:rFonts w:ascii="Times New Roman" w:hAnsi="Times New Roman"/>
          <w:sz w:val="20"/>
          <w:szCs w:val="20"/>
        </w:rPr>
        <w:t>- Decorative objects such as sculptures, ornaments and doorknobs; and</w:t>
      </w:r>
    </w:p>
    <w:p w14:paraId="614D7AC2" w14:textId="77777777" w:rsidR="00F038BD" w:rsidRPr="00F038BD" w:rsidRDefault="00F038BD" w:rsidP="00F038BD">
      <w:pPr>
        <w:spacing w:after="0" w:line="240" w:lineRule="auto"/>
        <w:jc w:val="both"/>
        <w:outlineLvl w:val="2"/>
        <w:rPr>
          <w:rFonts w:ascii="Times New Roman" w:hAnsi="Times New Roman"/>
          <w:sz w:val="20"/>
          <w:szCs w:val="20"/>
        </w:rPr>
      </w:pPr>
      <w:r w:rsidRPr="00F038BD">
        <w:rPr>
          <w:rFonts w:ascii="Times New Roman" w:hAnsi="Times New Roman"/>
          <w:sz w:val="20"/>
          <w:szCs w:val="20"/>
        </w:rPr>
        <w:t>- Mechanical components such as gears, bearings, and bushings</w:t>
      </w:r>
    </w:p>
    <w:p w14:paraId="52C0C9E5" w14:textId="77777777" w:rsidR="00F038BD" w:rsidRPr="00F038BD" w:rsidRDefault="00F038BD" w:rsidP="00F038BD">
      <w:pPr>
        <w:spacing w:after="0"/>
        <w:jc w:val="both"/>
        <w:outlineLvl w:val="2"/>
        <w:rPr>
          <w:rFonts w:ascii="Times New Roman" w:hAnsi="Times New Roman"/>
          <w:sz w:val="20"/>
          <w:szCs w:val="20"/>
        </w:rPr>
      </w:pPr>
    </w:p>
    <w:p w14:paraId="490E4B01" w14:textId="77777777" w:rsidR="00F038BD" w:rsidRPr="00F038BD" w:rsidRDefault="00F038BD" w:rsidP="00F038BD">
      <w:pPr>
        <w:spacing w:after="0" w:line="240" w:lineRule="auto"/>
        <w:jc w:val="both"/>
        <w:textAlignment w:val="baseline"/>
        <w:outlineLvl w:val="2"/>
        <w:rPr>
          <w:rFonts w:ascii="Times New Roman" w:hAnsi="Times New Roman"/>
          <w:sz w:val="20"/>
          <w:szCs w:val="20"/>
        </w:rPr>
      </w:pPr>
      <w:r w:rsidRPr="00AC0BFD">
        <w:rPr>
          <w:rFonts w:ascii="Times New Roman" w:hAnsi="Times New Roman"/>
          <w:sz w:val="20"/>
          <w:szCs w:val="20"/>
          <w:highlight w:val="yellow"/>
        </w:rPr>
        <w:t xml:space="preserve">We currently operate through 3 facilities, all of which are located in the district of Jamnagar, which is considered as a hub of brass components. Our unit-I is situated at land of 4970 sq. mtrs. and has an installed capacity of ____ for ________________. Our unit-II, situated at land of 3629 sq. mtrs. has an installed capacity of _______ for ___________________________. And, our Unit-III, situated at land of 3346 sq. mtrs. has an installed capacity of _________ for _________________________________. </w:t>
      </w:r>
      <w:r w:rsidRPr="00AC0BFD">
        <w:rPr>
          <w:rFonts w:ascii="Times New Roman" w:hAnsi="Times New Roman"/>
          <w:color w:val="000000"/>
          <w:sz w:val="20"/>
          <w:szCs w:val="20"/>
          <w:highlight w:val="yellow"/>
          <w:shd w:val="clear" w:color="auto" w:fill="FFFFFF"/>
        </w:rPr>
        <w:t>O</w:t>
      </w:r>
      <w:r w:rsidRPr="00AC0BFD">
        <w:rPr>
          <w:rFonts w:ascii="Times New Roman" w:hAnsi="Times New Roman"/>
          <w:sz w:val="20"/>
          <w:szCs w:val="20"/>
          <w:highlight w:val="yellow"/>
        </w:rPr>
        <w:t xml:space="preserve">ur units have </w:t>
      </w:r>
      <w:bookmarkStart w:id="13" w:name="_Hlk143113341"/>
      <w:r w:rsidRPr="00AC0BFD">
        <w:rPr>
          <w:rFonts w:ascii="Times New Roman" w:hAnsi="Times New Roman"/>
          <w:sz w:val="20"/>
          <w:szCs w:val="20"/>
          <w:highlight w:val="yellow"/>
        </w:rPr>
        <w:t>requisite testing equipments</w:t>
      </w:r>
      <w:bookmarkEnd w:id="13"/>
      <w:r w:rsidRPr="00AC0BFD">
        <w:rPr>
          <w:rFonts w:ascii="Times New Roman" w:hAnsi="Times New Roman"/>
          <w:sz w:val="20"/>
          <w:szCs w:val="20"/>
          <w:highlight w:val="yellow"/>
        </w:rPr>
        <w:t xml:space="preserve"> to ensure that the products conform with the pre-determined standards.</w:t>
      </w:r>
    </w:p>
    <w:p w14:paraId="3C6B13CB" w14:textId="67914ACB" w:rsidR="00F038BD" w:rsidRPr="00F038BD" w:rsidRDefault="00F038BD" w:rsidP="00F038BD">
      <w:pPr>
        <w:autoSpaceDE w:val="0"/>
        <w:autoSpaceDN w:val="0"/>
        <w:adjustRightInd w:val="0"/>
        <w:spacing w:after="0" w:line="240" w:lineRule="auto"/>
        <w:jc w:val="both"/>
        <w:rPr>
          <w:rFonts w:ascii="Times New Roman" w:hAnsi="Times New Roman"/>
          <w:sz w:val="20"/>
          <w:szCs w:val="20"/>
        </w:rPr>
      </w:pPr>
      <w:r w:rsidRPr="00F038BD">
        <w:rPr>
          <w:rFonts w:ascii="Times New Roman" w:hAnsi="Times New Roman"/>
          <w:sz w:val="20"/>
          <w:szCs w:val="20"/>
        </w:rPr>
        <w:lastRenderedPageBreak/>
        <w:t xml:space="preserve">Currently, we market our products to around 18 states &amp; Union Territories in India of which majority portion of the revenue comes from the state of Gujarat. We also export our products to countries such as China, Germany, Belgium and Oman. Our revenue from exports for fiscal 2023 and 2022 was </w:t>
      </w:r>
      <w:r w:rsidR="001706A2" w:rsidRPr="00712F3C">
        <w:rPr>
          <w:rFonts w:ascii="Times New Roman" w:eastAsia="MS Mincho" w:hAnsi="Times New Roman"/>
          <w:sz w:val="20"/>
          <w:szCs w:val="20"/>
        </w:rPr>
        <w:t>₹</w:t>
      </w:r>
      <w:r w:rsidRPr="00F038BD">
        <w:rPr>
          <w:rFonts w:ascii="Times New Roman" w:hAnsi="Times New Roman"/>
          <w:sz w:val="20"/>
          <w:szCs w:val="20"/>
        </w:rPr>
        <w:t xml:space="preserve"> 16235.87 lakhs and </w:t>
      </w:r>
      <w:r w:rsidR="001706A2" w:rsidRPr="00712F3C">
        <w:rPr>
          <w:rFonts w:ascii="Times New Roman" w:eastAsia="MS Mincho" w:hAnsi="Times New Roman"/>
          <w:sz w:val="20"/>
          <w:szCs w:val="20"/>
        </w:rPr>
        <w:t>₹</w:t>
      </w:r>
      <w:r w:rsidRPr="00F038BD">
        <w:rPr>
          <w:rFonts w:ascii="Times New Roman" w:hAnsi="Times New Roman"/>
          <w:sz w:val="20"/>
          <w:szCs w:val="20"/>
        </w:rPr>
        <w:t xml:space="preserve"> 11335.13 lakhs respectively which constituted 32.94% and 26.78% of our revenue from operations for the respective fiscal. </w:t>
      </w:r>
    </w:p>
    <w:p w14:paraId="72E334C0" w14:textId="77777777" w:rsidR="00F038BD" w:rsidRPr="00F038BD" w:rsidRDefault="00F038BD" w:rsidP="00F038BD">
      <w:pPr>
        <w:autoSpaceDE w:val="0"/>
        <w:autoSpaceDN w:val="0"/>
        <w:adjustRightInd w:val="0"/>
        <w:spacing w:after="0" w:line="240" w:lineRule="auto"/>
        <w:jc w:val="both"/>
        <w:rPr>
          <w:rFonts w:ascii="Times New Roman" w:hAnsi="Times New Roman"/>
          <w:sz w:val="20"/>
          <w:szCs w:val="20"/>
        </w:rPr>
      </w:pPr>
    </w:p>
    <w:p w14:paraId="116B9A12" w14:textId="0D5C16E7" w:rsidR="00F038BD" w:rsidRPr="00F038BD" w:rsidRDefault="00F038BD" w:rsidP="00F038BD">
      <w:pPr>
        <w:autoSpaceDE w:val="0"/>
        <w:autoSpaceDN w:val="0"/>
        <w:adjustRightInd w:val="0"/>
        <w:spacing w:after="0" w:line="240" w:lineRule="auto"/>
        <w:jc w:val="both"/>
        <w:rPr>
          <w:rFonts w:ascii="Times New Roman" w:eastAsia="MS Mincho" w:hAnsi="Times New Roman"/>
          <w:bCs/>
          <w:sz w:val="20"/>
          <w:szCs w:val="20"/>
        </w:rPr>
      </w:pPr>
      <w:r w:rsidRPr="00F038BD">
        <w:rPr>
          <w:rFonts w:ascii="Times New Roman" w:eastAsia="MS Mincho" w:hAnsi="Times New Roman"/>
          <w:bCs/>
          <w:sz w:val="20"/>
          <w:szCs w:val="20"/>
        </w:rPr>
        <w:t xml:space="preserve">Our existing Promoters, Mr. Ramgopal Ochhavlal Maheshwari and Mr. Bhavesh Ramgopal Maheshwari has more than </w:t>
      </w:r>
      <w:r w:rsidR="00AC0BFD">
        <w:rPr>
          <w:rFonts w:ascii="Times New Roman" w:eastAsia="MS Mincho" w:hAnsi="Times New Roman"/>
          <w:bCs/>
          <w:sz w:val="20"/>
          <w:szCs w:val="20"/>
        </w:rPr>
        <w:t>34</w:t>
      </w:r>
      <w:r w:rsidRPr="00F038BD">
        <w:rPr>
          <w:rFonts w:ascii="Times New Roman" w:eastAsia="MS Mincho" w:hAnsi="Times New Roman"/>
          <w:bCs/>
          <w:sz w:val="20"/>
          <w:szCs w:val="20"/>
        </w:rPr>
        <w:t xml:space="preserve"> years and 6 years of experience in the brass industry. We have benefited immensely from the vast experience of our promoters on account of their sound knowledge of the brass market, high contacts with clients and suppliers and better decision-making power.</w:t>
      </w:r>
    </w:p>
    <w:p w14:paraId="680262CD" w14:textId="77777777" w:rsidR="00F038BD" w:rsidRPr="00F038BD" w:rsidRDefault="00F038BD" w:rsidP="00F038BD">
      <w:pPr>
        <w:autoSpaceDE w:val="0"/>
        <w:autoSpaceDN w:val="0"/>
        <w:adjustRightInd w:val="0"/>
        <w:spacing w:after="0" w:line="240" w:lineRule="auto"/>
        <w:jc w:val="both"/>
        <w:rPr>
          <w:rFonts w:ascii="Times New Roman" w:eastAsia="MS Mincho" w:hAnsi="Times New Roman"/>
          <w:bCs/>
          <w:sz w:val="20"/>
          <w:szCs w:val="20"/>
        </w:rPr>
      </w:pPr>
    </w:p>
    <w:p w14:paraId="3E955081" w14:textId="77777777" w:rsidR="00F038BD" w:rsidRPr="00F038BD" w:rsidRDefault="00F038BD" w:rsidP="00F038BD">
      <w:pPr>
        <w:autoSpaceDE w:val="0"/>
        <w:autoSpaceDN w:val="0"/>
        <w:adjustRightInd w:val="0"/>
        <w:spacing w:after="0" w:line="240" w:lineRule="auto"/>
        <w:jc w:val="both"/>
        <w:rPr>
          <w:rFonts w:ascii="Times New Roman" w:eastAsia="MS Mincho" w:hAnsi="Times New Roman"/>
          <w:b/>
          <w:bCs/>
          <w:sz w:val="20"/>
          <w:szCs w:val="20"/>
        </w:rPr>
      </w:pPr>
      <w:r w:rsidRPr="00F038BD">
        <w:rPr>
          <w:rFonts w:ascii="Times New Roman" w:eastAsia="MS Mincho" w:hAnsi="Times New Roman"/>
          <w:b/>
          <w:bCs/>
          <w:sz w:val="20"/>
          <w:szCs w:val="20"/>
        </w:rPr>
        <w:t>Key performance indicators of our Company</w:t>
      </w:r>
    </w:p>
    <w:p w14:paraId="013E2C46" w14:textId="5C5E1F9A" w:rsidR="00F038BD" w:rsidRPr="00F038BD" w:rsidRDefault="00CB2D76" w:rsidP="00CB2D76">
      <w:pPr>
        <w:autoSpaceDE w:val="0"/>
        <w:autoSpaceDN w:val="0"/>
        <w:adjustRightInd w:val="0"/>
        <w:spacing w:after="0" w:line="240" w:lineRule="auto"/>
        <w:jc w:val="right"/>
        <w:rPr>
          <w:rFonts w:ascii="Times New Roman" w:eastAsia="MS Mincho" w:hAnsi="Times New Roman"/>
          <w:b/>
          <w:bCs/>
          <w:sz w:val="20"/>
          <w:szCs w:val="20"/>
        </w:rPr>
      </w:pPr>
      <w:r w:rsidRPr="00F038BD">
        <w:rPr>
          <w:rFonts w:ascii="Times New Roman" w:eastAsia="Calibri" w:hAnsi="Times New Roman"/>
          <w:b/>
          <w:bCs/>
          <w:sz w:val="20"/>
          <w:szCs w:val="20"/>
          <w:lang w:val="en-IN"/>
        </w:rPr>
        <w:t>(</w:t>
      </w:r>
      <w:r w:rsidRPr="00F038BD">
        <w:rPr>
          <w:rFonts w:ascii="Times New Roman" w:eastAsia="Calibri" w:hAnsi="Times New Roman"/>
          <w:b/>
          <w:i/>
          <w:sz w:val="20"/>
          <w:szCs w:val="20"/>
        </w:rPr>
        <w:t>₹</w:t>
      </w:r>
      <w:r w:rsidRPr="00F038BD">
        <w:rPr>
          <w:rFonts w:ascii="Times New Roman" w:eastAsia="Calibri" w:hAnsi="Times New Roman"/>
          <w:b/>
          <w:bCs/>
          <w:i/>
          <w:sz w:val="20"/>
          <w:szCs w:val="20"/>
          <w:lang w:val="en-IN"/>
        </w:rPr>
        <w:t xml:space="preserve"> In Lakhs except percentages and ratios)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4"/>
        <w:gridCol w:w="2614"/>
        <w:gridCol w:w="2614"/>
        <w:gridCol w:w="2614"/>
      </w:tblGrid>
      <w:tr w:rsidR="00F038BD" w:rsidRPr="00F038BD" w14:paraId="62313015" w14:textId="77777777" w:rsidTr="00CB2D76">
        <w:tc>
          <w:tcPr>
            <w:tcW w:w="2614" w:type="dxa"/>
            <w:shd w:val="clear" w:color="auto" w:fill="D0CECE" w:themeFill="background2" w:themeFillShade="E6"/>
          </w:tcPr>
          <w:p w14:paraId="493530E0" w14:textId="77777777" w:rsidR="00F038BD" w:rsidRPr="00F038BD" w:rsidRDefault="00F038BD" w:rsidP="00F038BD">
            <w:pPr>
              <w:autoSpaceDE w:val="0"/>
              <w:autoSpaceDN w:val="0"/>
              <w:adjustRightInd w:val="0"/>
              <w:spacing w:after="0" w:line="240" w:lineRule="auto"/>
              <w:jc w:val="center"/>
              <w:rPr>
                <w:rFonts w:ascii="Times New Roman" w:eastAsia="MS Mincho" w:hAnsi="Times New Roman"/>
                <w:b/>
                <w:bCs/>
                <w:sz w:val="20"/>
                <w:szCs w:val="20"/>
              </w:rPr>
            </w:pPr>
            <w:r w:rsidRPr="00F038BD">
              <w:rPr>
                <w:rFonts w:ascii="Times New Roman" w:eastAsia="MS Mincho" w:hAnsi="Times New Roman"/>
                <w:b/>
                <w:bCs/>
                <w:sz w:val="20"/>
                <w:szCs w:val="20"/>
              </w:rPr>
              <w:t>Key performace indicator</w:t>
            </w:r>
          </w:p>
        </w:tc>
        <w:tc>
          <w:tcPr>
            <w:tcW w:w="2614" w:type="dxa"/>
            <w:shd w:val="clear" w:color="auto" w:fill="D0CECE" w:themeFill="background2" w:themeFillShade="E6"/>
            <w:vAlign w:val="center"/>
          </w:tcPr>
          <w:p w14:paraId="18A0EB1A" w14:textId="77777777" w:rsidR="00F038BD" w:rsidRPr="00F038BD" w:rsidRDefault="00F038BD" w:rsidP="00F038BD">
            <w:pPr>
              <w:autoSpaceDE w:val="0"/>
              <w:autoSpaceDN w:val="0"/>
              <w:adjustRightInd w:val="0"/>
              <w:spacing w:after="0" w:line="240" w:lineRule="auto"/>
              <w:jc w:val="center"/>
              <w:rPr>
                <w:rFonts w:ascii="Times New Roman" w:eastAsia="MS Mincho" w:hAnsi="Times New Roman"/>
                <w:b/>
                <w:bCs/>
                <w:sz w:val="20"/>
                <w:szCs w:val="20"/>
              </w:rPr>
            </w:pPr>
            <w:r w:rsidRPr="00F038BD">
              <w:rPr>
                <w:rFonts w:ascii="Times New Roman" w:eastAsia="MS Mincho" w:hAnsi="Times New Roman"/>
                <w:b/>
                <w:bCs/>
                <w:sz w:val="20"/>
                <w:szCs w:val="20"/>
              </w:rPr>
              <w:t>F.Y. 2022-23</w:t>
            </w:r>
          </w:p>
        </w:tc>
        <w:tc>
          <w:tcPr>
            <w:tcW w:w="2614" w:type="dxa"/>
            <w:shd w:val="clear" w:color="auto" w:fill="D0CECE" w:themeFill="background2" w:themeFillShade="E6"/>
            <w:vAlign w:val="center"/>
          </w:tcPr>
          <w:p w14:paraId="70680EB2" w14:textId="77777777" w:rsidR="00F038BD" w:rsidRPr="00F038BD" w:rsidRDefault="00F038BD" w:rsidP="00F038BD">
            <w:pPr>
              <w:autoSpaceDE w:val="0"/>
              <w:autoSpaceDN w:val="0"/>
              <w:adjustRightInd w:val="0"/>
              <w:spacing w:after="0" w:line="240" w:lineRule="auto"/>
              <w:jc w:val="center"/>
              <w:rPr>
                <w:rFonts w:ascii="Times New Roman" w:eastAsia="MS Mincho" w:hAnsi="Times New Roman"/>
                <w:b/>
                <w:bCs/>
                <w:sz w:val="20"/>
                <w:szCs w:val="20"/>
              </w:rPr>
            </w:pPr>
            <w:r w:rsidRPr="00F038BD">
              <w:rPr>
                <w:rFonts w:ascii="Times New Roman" w:eastAsia="MS Mincho" w:hAnsi="Times New Roman"/>
                <w:b/>
                <w:bCs/>
                <w:sz w:val="20"/>
                <w:szCs w:val="20"/>
              </w:rPr>
              <w:t>F.Y. 2021-22</w:t>
            </w:r>
          </w:p>
        </w:tc>
        <w:tc>
          <w:tcPr>
            <w:tcW w:w="2614" w:type="dxa"/>
            <w:shd w:val="clear" w:color="auto" w:fill="D0CECE" w:themeFill="background2" w:themeFillShade="E6"/>
            <w:vAlign w:val="center"/>
          </w:tcPr>
          <w:p w14:paraId="6308C317" w14:textId="77777777" w:rsidR="00F038BD" w:rsidRPr="00F038BD" w:rsidRDefault="00F038BD" w:rsidP="00F038BD">
            <w:pPr>
              <w:autoSpaceDE w:val="0"/>
              <w:autoSpaceDN w:val="0"/>
              <w:adjustRightInd w:val="0"/>
              <w:spacing w:after="0" w:line="240" w:lineRule="auto"/>
              <w:jc w:val="center"/>
              <w:rPr>
                <w:rFonts w:ascii="Times New Roman" w:eastAsia="MS Mincho" w:hAnsi="Times New Roman"/>
                <w:b/>
                <w:bCs/>
                <w:sz w:val="20"/>
                <w:szCs w:val="20"/>
              </w:rPr>
            </w:pPr>
            <w:r w:rsidRPr="00F038BD">
              <w:rPr>
                <w:rFonts w:ascii="Times New Roman" w:eastAsia="MS Mincho" w:hAnsi="Times New Roman"/>
                <w:b/>
                <w:bCs/>
                <w:sz w:val="20"/>
                <w:szCs w:val="20"/>
              </w:rPr>
              <w:t>F.Y. 2020-21</w:t>
            </w:r>
          </w:p>
        </w:tc>
      </w:tr>
      <w:tr w:rsidR="00F038BD" w:rsidRPr="00F038BD" w14:paraId="1D633634" w14:textId="77777777" w:rsidTr="00716083">
        <w:tc>
          <w:tcPr>
            <w:tcW w:w="2614" w:type="dxa"/>
            <w:shd w:val="clear" w:color="auto" w:fill="auto"/>
            <w:vAlign w:val="center"/>
          </w:tcPr>
          <w:p w14:paraId="140E7098" w14:textId="77777777" w:rsidR="00F038BD" w:rsidRPr="00F038BD" w:rsidRDefault="00F038BD" w:rsidP="00F038BD">
            <w:pPr>
              <w:autoSpaceDE w:val="0"/>
              <w:autoSpaceDN w:val="0"/>
              <w:adjustRightInd w:val="0"/>
              <w:spacing w:after="0" w:line="240" w:lineRule="auto"/>
              <w:jc w:val="both"/>
              <w:rPr>
                <w:rFonts w:ascii="Times New Roman" w:eastAsia="MS Mincho" w:hAnsi="Times New Roman"/>
                <w:b/>
                <w:bCs/>
                <w:sz w:val="20"/>
                <w:szCs w:val="20"/>
              </w:rPr>
            </w:pPr>
            <w:r w:rsidRPr="00F038BD">
              <w:rPr>
                <w:rFonts w:ascii="Times New Roman" w:eastAsia="MS Mincho" w:hAnsi="Times New Roman"/>
                <w:bCs/>
                <w:sz w:val="20"/>
                <w:szCs w:val="20"/>
                <w:lang w:val="en-IN"/>
              </w:rPr>
              <w:t>Revenue from operations</w:t>
            </w:r>
            <w:r w:rsidRPr="00F038BD">
              <w:rPr>
                <w:rFonts w:ascii="Times New Roman" w:eastAsia="MS Mincho" w:hAnsi="Times New Roman"/>
                <w:bCs/>
                <w:sz w:val="20"/>
                <w:szCs w:val="20"/>
                <w:vertAlign w:val="superscript"/>
                <w:lang w:val="en-IN"/>
              </w:rPr>
              <w:t>(1)</w:t>
            </w:r>
          </w:p>
        </w:tc>
        <w:tc>
          <w:tcPr>
            <w:tcW w:w="2614" w:type="dxa"/>
            <w:shd w:val="clear" w:color="auto" w:fill="auto"/>
            <w:vAlign w:val="center"/>
          </w:tcPr>
          <w:p w14:paraId="09023E54" w14:textId="77777777" w:rsidR="00F038BD" w:rsidRPr="00F038BD" w:rsidRDefault="00F038BD" w:rsidP="00F038BD">
            <w:pPr>
              <w:autoSpaceDE w:val="0"/>
              <w:autoSpaceDN w:val="0"/>
              <w:adjustRightInd w:val="0"/>
              <w:spacing w:after="0" w:line="240" w:lineRule="auto"/>
              <w:jc w:val="center"/>
              <w:rPr>
                <w:rFonts w:ascii="Times New Roman" w:eastAsia="MS Mincho" w:hAnsi="Times New Roman"/>
                <w:b/>
                <w:bCs/>
                <w:sz w:val="20"/>
                <w:szCs w:val="20"/>
              </w:rPr>
            </w:pPr>
            <w:r w:rsidRPr="00F038BD">
              <w:rPr>
                <w:rFonts w:ascii="Times New Roman" w:hAnsi="Times New Roman"/>
              </w:rPr>
              <w:t>49,287.35</w:t>
            </w:r>
          </w:p>
        </w:tc>
        <w:tc>
          <w:tcPr>
            <w:tcW w:w="2614" w:type="dxa"/>
            <w:shd w:val="clear" w:color="auto" w:fill="auto"/>
            <w:vAlign w:val="center"/>
          </w:tcPr>
          <w:p w14:paraId="361DDE74" w14:textId="77777777" w:rsidR="00F038BD" w:rsidRPr="00F038BD" w:rsidRDefault="00F038BD" w:rsidP="00F038BD">
            <w:pPr>
              <w:autoSpaceDE w:val="0"/>
              <w:autoSpaceDN w:val="0"/>
              <w:adjustRightInd w:val="0"/>
              <w:spacing w:after="0" w:line="240" w:lineRule="auto"/>
              <w:jc w:val="center"/>
              <w:rPr>
                <w:rFonts w:ascii="Times New Roman" w:eastAsia="MS Mincho" w:hAnsi="Times New Roman"/>
                <w:b/>
                <w:bCs/>
                <w:sz w:val="20"/>
                <w:szCs w:val="20"/>
              </w:rPr>
            </w:pPr>
            <w:r w:rsidRPr="00F038BD">
              <w:rPr>
                <w:rFonts w:ascii="Times New Roman" w:hAnsi="Times New Roman"/>
              </w:rPr>
              <w:t>42,323.27</w:t>
            </w:r>
          </w:p>
        </w:tc>
        <w:tc>
          <w:tcPr>
            <w:tcW w:w="2614" w:type="dxa"/>
            <w:shd w:val="clear" w:color="auto" w:fill="auto"/>
            <w:vAlign w:val="center"/>
          </w:tcPr>
          <w:p w14:paraId="32EBDBFD" w14:textId="77777777" w:rsidR="00F038BD" w:rsidRPr="00F038BD" w:rsidRDefault="00F038BD" w:rsidP="00F038BD">
            <w:pPr>
              <w:autoSpaceDE w:val="0"/>
              <w:autoSpaceDN w:val="0"/>
              <w:adjustRightInd w:val="0"/>
              <w:spacing w:after="0" w:line="240" w:lineRule="auto"/>
              <w:jc w:val="center"/>
              <w:rPr>
                <w:rFonts w:ascii="Times New Roman" w:eastAsia="MS Mincho" w:hAnsi="Times New Roman"/>
                <w:b/>
                <w:bCs/>
                <w:sz w:val="20"/>
                <w:szCs w:val="20"/>
              </w:rPr>
            </w:pPr>
            <w:r w:rsidRPr="00F038BD">
              <w:rPr>
                <w:rFonts w:ascii="Times New Roman" w:hAnsi="Times New Roman"/>
              </w:rPr>
              <w:t>13,867.05</w:t>
            </w:r>
          </w:p>
        </w:tc>
      </w:tr>
      <w:tr w:rsidR="00F038BD" w:rsidRPr="00F038BD" w14:paraId="44D575B3" w14:textId="77777777" w:rsidTr="00716083">
        <w:tc>
          <w:tcPr>
            <w:tcW w:w="2614" w:type="dxa"/>
            <w:shd w:val="clear" w:color="auto" w:fill="auto"/>
            <w:vAlign w:val="center"/>
          </w:tcPr>
          <w:p w14:paraId="022332B3" w14:textId="77777777" w:rsidR="00F038BD" w:rsidRPr="00F038BD" w:rsidRDefault="00F038BD" w:rsidP="00F038BD">
            <w:pPr>
              <w:autoSpaceDE w:val="0"/>
              <w:autoSpaceDN w:val="0"/>
              <w:adjustRightInd w:val="0"/>
              <w:spacing w:after="0" w:line="240" w:lineRule="auto"/>
              <w:jc w:val="both"/>
              <w:rPr>
                <w:rFonts w:ascii="Times New Roman" w:eastAsia="MS Mincho" w:hAnsi="Times New Roman"/>
                <w:b/>
                <w:bCs/>
                <w:sz w:val="20"/>
                <w:szCs w:val="20"/>
              </w:rPr>
            </w:pPr>
            <w:r w:rsidRPr="00F038BD">
              <w:rPr>
                <w:rFonts w:ascii="Times New Roman" w:eastAsia="MS Mincho" w:hAnsi="Times New Roman"/>
                <w:bCs/>
                <w:sz w:val="20"/>
                <w:szCs w:val="20"/>
                <w:lang w:val="en-IN"/>
              </w:rPr>
              <w:t>EBITDA</w:t>
            </w:r>
            <w:r w:rsidRPr="00F038BD">
              <w:rPr>
                <w:rFonts w:ascii="Times New Roman" w:eastAsia="MS Mincho" w:hAnsi="Times New Roman"/>
                <w:bCs/>
                <w:sz w:val="20"/>
                <w:szCs w:val="20"/>
                <w:vertAlign w:val="superscript"/>
                <w:lang w:val="en-IN"/>
              </w:rPr>
              <w:t>(2)</w:t>
            </w:r>
          </w:p>
        </w:tc>
        <w:tc>
          <w:tcPr>
            <w:tcW w:w="2614" w:type="dxa"/>
            <w:shd w:val="clear" w:color="auto" w:fill="auto"/>
          </w:tcPr>
          <w:p w14:paraId="1B5CAD49" w14:textId="77777777" w:rsidR="00F038BD" w:rsidRPr="00F038BD" w:rsidRDefault="00F038BD" w:rsidP="00F038BD">
            <w:pPr>
              <w:autoSpaceDE w:val="0"/>
              <w:autoSpaceDN w:val="0"/>
              <w:adjustRightInd w:val="0"/>
              <w:spacing w:after="0" w:line="240" w:lineRule="auto"/>
              <w:jc w:val="center"/>
              <w:rPr>
                <w:rFonts w:ascii="Times New Roman" w:eastAsia="MS Mincho" w:hAnsi="Times New Roman"/>
                <w:b/>
                <w:bCs/>
                <w:sz w:val="20"/>
                <w:szCs w:val="20"/>
              </w:rPr>
            </w:pPr>
            <w:r w:rsidRPr="00F038BD">
              <w:rPr>
                <w:rFonts w:ascii="Times New Roman" w:hAnsi="Times New Roman"/>
              </w:rPr>
              <w:t>1,157.48</w:t>
            </w:r>
          </w:p>
        </w:tc>
        <w:tc>
          <w:tcPr>
            <w:tcW w:w="2614" w:type="dxa"/>
            <w:shd w:val="clear" w:color="auto" w:fill="auto"/>
          </w:tcPr>
          <w:p w14:paraId="4D707C19" w14:textId="77777777" w:rsidR="00F038BD" w:rsidRPr="00F038BD" w:rsidRDefault="00F038BD" w:rsidP="00F038BD">
            <w:pPr>
              <w:autoSpaceDE w:val="0"/>
              <w:autoSpaceDN w:val="0"/>
              <w:adjustRightInd w:val="0"/>
              <w:spacing w:after="0" w:line="240" w:lineRule="auto"/>
              <w:jc w:val="center"/>
              <w:rPr>
                <w:rFonts w:ascii="Times New Roman" w:eastAsia="MS Mincho" w:hAnsi="Times New Roman"/>
                <w:b/>
                <w:bCs/>
                <w:sz w:val="20"/>
                <w:szCs w:val="20"/>
              </w:rPr>
            </w:pPr>
            <w:r w:rsidRPr="00F038BD">
              <w:rPr>
                <w:rFonts w:ascii="Times New Roman" w:hAnsi="Times New Roman"/>
              </w:rPr>
              <w:t>513.94</w:t>
            </w:r>
          </w:p>
        </w:tc>
        <w:tc>
          <w:tcPr>
            <w:tcW w:w="2614" w:type="dxa"/>
            <w:shd w:val="clear" w:color="auto" w:fill="auto"/>
          </w:tcPr>
          <w:p w14:paraId="6F55ACDC" w14:textId="77777777" w:rsidR="00F038BD" w:rsidRPr="00F038BD" w:rsidRDefault="00F038BD" w:rsidP="00F038BD">
            <w:pPr>
              <w:autoSpaceDE w:val="0"/>
              <w:autoSpaceDN w:val="0"/>
              <w:adjustRightInd w:val="0"/>
              <w:spacing w:after="0" w:line="240" w:lineRule="auto"/>
              <w:jc w:val="center"/>
              <w:rPr>
                <w:rFonts w:ascii="Times New Roman" w:eastAsia="MS Mincho" w:hAnsi="Times New Roman"/>
                <w:b/>
                <w:bCs/>
                <w:sz w:val="20"/>
                <w:szCs w:val="20"/>
              </w:rPr>
            </w:pPr>
            <w:r w:rsidRPr="00F038BD">
              <w:rPr>
                <w:rFonts w:ascii="Times New Roman" w:hAnsi="Times New Roman"/>
              </w:rPr>
              <w:t>375.97</w:t>
            </w:r>
          </w:p>
        </w:tc>
      </w:tr>
      <w:tr w:rsidR="00F038BD" w:rsidRPr="00F038BD" w14:paraId="566373AA" w14:textId="77777777" w:rsidTr="00716083">
        <w:tc>
          <w:tcPr>
            <w:tcW w:w="2614" w:type="dxa"/>
            <w:shd w:val="clear" w:color="auto" w:fill="auto"/>
            <w:vAlign w:val="center"/>
          </w:tcPr>
          <w:p w14:paraId="4C111E95" w14:textId="77777777" w:rsidR="00F038BD" w:rsidRPr="00F038BD" w:rsidRDefault="00F038BD" w:rsidP="00F038BD">
            <w:pPr>
              <w:autoSpaceDE w:val="0"/>
              <w:autoSpaceDN w:val="0"/>
              <w:adjustRightInd w:val="0"/>
              <w:spacing w:after="0" w:line="240" w:lineRule="auto"/>
              <w:jc w:val="both"/>
              <w:rPr>
                <w:rFonts w:ascii="Times New Roman" w:eastAsia="MS Mincho" w:hAnsi="Times New Roman"/>
                <w:b/>
                <w:bCs/>
                <w:sz w:val="20"/>
                <w:szCs w:val="20"/>
              </w:rPr>
            </w:pPr>
            <w:r w:rsidRPr="00F038BD">
              <w:rPr>
                <w:rFonts w:ascii="Times New Roman" w:eastAsia="MS Mincho" w:hAnsi="Times New Roman"/>
                <w:bCs/>
                <w:sz w:val="20"/>
                <w:szCs w:val="20"/>
                <w:lang w:val="en-IN"/>
              </w:rPr>
              <w:t>EBITDA Margin</w:t>
            </w:r>
            <w:r w:rsidRPr="00F038BD">
              <w:rPr>
                <w:rFonts w:ascii="Times New Roman" w:eastAsia="MS Mincho" w:hAnsi="Times New Roman"/>
                <w:bCs/>
                <w:sz w:val="20"/>
                <w:szCs w:val="20"/>
                <w:vertAlign w:val="superscript"/>
                <w:lang w:val="en-IN"/>
              </w:rPr>
              <w:t>(3)</w:t>
            </w:r>
          </w:p>
        </w:tc>
        <w:tc>
          <w:tcPr>
            <w:tcW w:w="2614" w:type="dxa"/>
            <w:shd w:val="clear" w:color="auto" w:fill="auto"/>
            <w:vAlign w:val="center"/>
          </w:tcPr>
          <w:p w14:paraId="47CF09B4" w14:textId="77777777" w:rsidR="00F038BD" w:rsidRPr="00F038BD" w:rsidRDefault="00F038BD" w:rsidP="00F038BD">
            <w:pPr>
              <w:autoSpaceDE w:val="0"/>
              <w:autoSpaceDN w:val="0"/>
              <w:adjustRightInd w:val="0"/>
              <w:spacing w:after="0" w:line="240" w:lineRule="auto"/>
              <w:jc w:val="center"/>
              <w:rPr>
                <w:rFonts w:ascii="Times New Roman" w:eastAsia="MS Mincho" w:hAnsi="Times New Roman"/>
                <w:b/>
                <w:bCs/>
                <w:sz w:val="20"/>
                <w:szCs w:val="20"/>
              </w:rPr>
            </w:pPr>
            <w:r w:rsidRPr="00F038BD">
              <w:rPr>
                <w:rFonts w:ascii="Times New Roman" w:hAnsi="Times New Roman"/>
              </w:rPr>
              <w:t>2.35%</w:t>
            </w:r>
          </w:p>
        </w:tc>
        <w:tc>
          <w:tcPr>
            <w:tcW w:w="2614" w:type="dxa"/>
            <w:shd w:val="clear" w:color="auto" w:fill="auto"/>
            <w:vAlign w:val="center"/>
          </w:tcPr>
          <w:p w14:paraId="6CB4147B" w14:textId="77777777" w:rsidR="00F038BD" w:rsidRPr="00F038BD" w:rsidRDefault="00F038BD" w:rsidP="00F038BD">
            <w:pPr>
              <w:autoSpaceDE w:val="0"/>
              <w:autoSpaceDN w:val="0"/>
              <w:adjustRightInd w:val="0"/>
              <w:spacing w:after="0" w:line="240" w:lineRule="auto"/>
              <w:jc w:val="center"/>
              <w:rPr>
                <w:rFonts w:ascii="Times New Roman" w:eastAsia="MS Mincho" w:hAnsi="Times New Roman"/>
                <w:b/>
                <w:bCs/>
                <w:sz w:val="20"/>
                <w:szCs w:val="20"/>
              </w:rPr>
            </w:pPr>
            <w:r w:rsidRPr="00F038BD">
              <w:rPr>
                <w:rFonts w:ascii="Times New Roman" w:hAnsi="Times New Roman"/>
              </w:rPr>
              <w:t>1.21%</w:t>
            </w:r>
          </w:p>
        </w:tc>
        <w:tc>
          <w:tcPr>
            <w:tcW w:w="2614" w:type="dxa"/>
            <w:shd w:val="clear" w:color="auto" w:fill="auto"/>
            <w:vAlign w:val="center"/>
          </w:tcPr>
          <w:p w14:paraId="5382A792" w14:textId="77777777" w:rsidR="00F038BD" w:rsidRPr="00F038BD" w:rsidRDefault="00F038BD" w:rsidP="00F038BD">
            <w:pPr>
              <w:autoSpaceDE w:val="0"/>
              <w:autoSpaceDN w:val="0"/>
              <w:adjustRightInd w:val="0"/>
              <w:spacing w:after="0" w:line="240" w:lineRule="auto"/>
              <w:jc w:val="center"/>
              <w:rPr>
                <w:rFonts w:ascii="Times New Roman" w:eastAsia="MS Mincho" w:hAnsi="Times New Roman"/>
                <w:b/>
                <w:bCs/>
                <w:sz w:val="20"/>
                <w:szCs w:val="20"/>
              </w:rPr>
            </w:pPr>
            <w:r w:rsidRPr="00F038BD">
              <w:rPr>
                <w:rFonts w:ascii="Times New Roman" w:hAnsi="Times New Roman"/>
              </w:rPr>
              <w:t>2.71%</w:t>
            </w:r>
          </w:p>
        </w:tc>
      </w:tr>
      <w:tr w:rsidR="00F038BD" w:rsidRPr="00F038BD" w14:paraId="3FA09917" w14:textId="77777777" w:rsidTr="00716083">
        <w:tc>
          <w:tcPr>
            <w:tcW w:w="2614" w:type="dxa"/>
            <w:shd w:val="clear" w:color="auto" w:fill="auto"/>
            <w:vAlign w:val="center"/>
          </w:tcPr>
          <w:p w14:paraId="4059229D" w14:textId="77777777" w:rsidR="00F038BD" w:rsidRPr="00F038BD" w:rsidRDefault="00F038BD" w:rsidP="00F038BD">
            <w:pPr>
              <w:autoSpaceDE w:val="0"/>
              <w:autoSpaceDN w:val="0"/>
              <w:adjustRightInd w:val="0"/>
              <w:spacing w:after="0" w:line="240" w:lineRule="auto"/>
              <w:jc w:val="both"/>
              <w:rPr>
                <w:rFonts w:ascii="Times New Roman" w:eastAsia="MS Mincho" w:hAnsi="Times New Roman"/>
                <w:b/>
                <w:bCs/>
                <w:sz w:val="20"/>
                <w:szCs w:val="20"/>
              </w:rPr>
            </w:pPr>
            <w:r w:rsidRPr="00F038BD">
              <w:rPr>
                <w:rFonts w:ascii="Times New Roman" w:eastAsia="MS Mincho" w:hAnsi="Times New Roman"/>
                <w:bCs/>
                <w:sz w:val="20"/>
                <w:szCs w:val="20"/>
                <w:lang w:val="en-IN"/>
              </w:rPr>
              <w:t>PAT</w:t>
            </w:r>
            <w:r w:rsidRPr="00F038BD">
              <w:rPr>
                <w:rFonts w:ascii="Times New Roman" w:eastAsia="MS Mincho" w:hAnsi="Times New Roman"/>
                <w:bCs/>
                <w:sz w:val="20"/>
                <w:szCs w:val="20"/>
                <w:vertAlign w:val="superscript"/>
                <w:lang w:val="en-IN"/>
              </w:rPr>
              <w:t>(4)</w:t>
            </w:r>
          </w:p>
        </w:tc>
        <w:tc>
          <w:tcPr>
            <w:tcW w:w="2614" w:type="dxa"/>
            <w:shd w:val="clear" w:color="auto" w:fill="auto"/>
            <w:vAlign w:val="center"/>
          </w:tcPr>
          <w:p w14:paraId="3691C36B" w14:textId="77777777" w:rsidR="00F038BD" w:rsidRPr="00F038BD" w:rsidRDefault="00F038BD" w:rsidP="00F038BD">
            <w:pPr>
              <w:autoSpaceDE w:val="0"/>
              <w:autoSpaceDN w:val="0"/>
              <w:adjustRightInd w:val="0"/>
              <w:spacing w:after="0" w:line="240" w:lineRule="auto"/>
              <w:jc w:val="center"/>
              <w:rPr>
                <w:rFonts w:ascii="Times New Roman" w:eastAsia="MS Mincho" w:hAnsi="Times New Roman"/>
                <w:b/>
                <w:bCs/>
                <w:sz w:val="20"/>
                <w:szCs w:val="20"/>
              </w:rPr>
            </w:pPr>
            <w:r w:rsidRPr="00F038BD">
              <w:rPr>
                <w:rFonts w:ascii="Times New Roman" w:hAnsi="Times New Roman"/>
              </w:rPr>
              <w:t>765.42</w:t>
            </w:r>
          </w:p>
        </w:tc>
        <w:tc>
          <w:tcPr>
            <w:tcW w:w="2614" w:type="dxa"/>
            <w:shd w:val="clear" w:color="auto" w:fill="auto"/>
            <w:vAlign w:val="center"/>
          </w:tcPr>
          <w:p w14:paraId="1102A64F" w14:textId="77777777" w:rsidR="00F038BD" w:rsidRPr="00F038BD" w:rsidRDefault="00F038BD" w:rsidP="00F038BD">
            <w:pPr>
              <w:autoSpaceDE w:val="0"/>
              <w:autoSpaceDN w:val="0"/>
              <w:adjustRightInd w:val="0"/>
              <w:spacing w:after="0" w:line="240" w:lineRule="auto"/>
              <w:jc w:val="center"/>
              <w:rPr>
                <w:rFonts w:ascii="Times New Roman" w:eastAsia="MS Mincho" w:hAnsi="Times New Roman"/>
                <w:b/>
                <w:bCs/>
                <w:sz w:val="20"/>
                <w:szCs w:val="20"/>
              </w:rPr>
            </w:pPr>
            <w:r w:rsidRPr="00F038BD">
              <w:rPr>
                <w:rFonts w:ascii="Times New Roman" w:hAnsi="Times New Roman"/>
                <w:bCs/>
              </w:rPr>
              <w:t>322.47</w:t>
            </w:r>
          </w:p>
        </w:tc>
        <w:tc>
          <w:tcPr>
            <w:tcW w:w="2614" w:type="dxa"/>
            <w:shd w:val="clear" w:color="auto" w:fill="auto"/>
            <w:vAlign w:val="center"/>
          </w:tcPr>
          <w:p w14:paraId="2DB2CE49" w14:textId="77777777" w:rsidR="00F038BD" w:rsidRPr="00F038BD" w:rsidRDefault="00F038BD" w:rsidP="00F038BD">
            <w:pPr>
              <w:autoSpaceDE w:val="0"/>
              <w:autoSpaceDN w:val="0"/>
              <w:adjustRightInd w:val="0"/>
              <w:spacing w:after="0" w:line="240" w:lineRule="auto"/>
              <w:jc w:val="center"/>
              <w:rPr>
                <w:rFonts w:ascii="Times New Roman" w:eastAsia="MS Mincho" w:hAnsi="Times New Roman"/>
                <w:b/>
                <w:bCs/>
                <w:sz w:val="20"/>
                <w:szCs w:val="20"/>
              </w:rPr>
            </w:pPr>
            <w:r w:rsidRPr="00F038BD">
              <w:rPr>
                <w:rFonts w:ascii="Times New Roman" w:hAnsi="Times New Roman"/>
              </w:rPr>
              <w:t>142.28</w:t>
            </w:r>
          </w:p>
        </w:tc>
      </w:tr>
      <w:tr w:rsidR="00F038BD" w:rsidRPr="00F038BD" w14:paraId="269CA041" w14:textId="77777777" w:rsidTr="00716083">
        <w:tc>
          <w:tcPr>
            <w:tcW w:w="2614" w:type="dxa"/>
            <w:shd w:val="clear" w:color="auto" w:fill="auto"/>
            <w:vAlign w:val="center"/>
          </w:tcPr>
          <w:p w14:paraId="0F1DE7A4" w14:textId="77777777" w:rsidR="00F038BD" w:rsidRPr="00F038BD" w:rsidRDefault="00F038BD" w:rsidP="00F038BD">
            <w:pPr>
              <w:autoSpaceDE w:val="0"/>
              <w:autoSpaceDN w:val="0"/>
              <w:adjustRightInd w:val="0"/>
              <w:spacing w:after="0" w:line="240" w:lineRule="auto"/>
              <w:jc w:val="both"/>
              <w:rPr>
                <w:rFonts w:ascii="Times New Roman" w:eastAsia="MS Mincho" w:hAnsi="Times New Roman"/>
                <w:bCs/>
                <w:sz w:val="20"/>
                <w:szCs w:val="20"/>
                <w:lang w:val="en-IN"/>
              </w:rPr>
            </w:pPr>
            <w:r w:rsidRPr="00F038BD">
              <w:rPr>
                <w:rFonts w:ascii="Times New Roman" w:eastAsia="MS Mincho" w:hAnsi="Times New Roman"/>
                <w:bCs/>
                <w:sz w:val="20"/>
                <w:szCs w:val="20"/>
                <w:lang w:val="en-IN"/>
              </w:rPr>
              <w:t>PAT Margin</w:t>
            </w:r>
            <w:r w:rsidRPr="00F038BD">
              <w:rPr>
                <w:rFonts w:ascii="Times New Roman" w:eastAsia="MS Mincho" w:hAnsi="Times New Roman"/>
                <w:bCs/>
                <w:sz w:val="20"/>
                <w:szCs w:val="20"/>
                <w:vertAlign w:val="superscript"/>
                <w:lang w:val="en-IN"/>
              </w:rPr>
              <w:t>(5)</w:t>
            </w:r>
          </w:p>
        </w:tc>
        <w:tc>
          <w:tcPr>
            <w:tcW w:w="2614" w:type="dxa"/>
            <w:shd w:val="clear" w:color="auto" w:fill="auto"/>
            <w:vAlign w:val="center"/>
          </w:tcPr>
          <w:p w14:paraId="094C41B8" w14:textId="77777777" w:rsidR="00F038BD" w:rsidRPr="00F038BD" w:rsidRDefault="00F038BD" w:rsidP="00F038BD">
            <w:pPr>
              <w:autoSpaceDE w:val="0"/>
              <w:autoSpaceDN w:val="0"/>
              <w:adjustRightInd w:val="0"/>
              <w:spacing w:after="0" w:line="240" w:lineRule="auto"/>
              <w:jc w:val="center"/>
              <w:rPr>
                <w:rFonts w:ascii="Times New Roman" w:eastAsia="MS Mincho" w:hAnsi="Times New Roman"/>
                <w:bCs/>
                <w:sz w:val="20"/>
                <w:szCs w:val="20"/>
              </w:rPr>
            </w:pPr>
            <w:r w:rsidRPr="00F038BD">
              <w:rPr>
                <w:rFonts w:ascii="Times New Roman" w:hAnsi="Times New Roman"/>
              </w:rPr>
              <w:t>1.55%</w:t>
            </w:r>
          </w:p>
        </w:tc>
        <w:tc>
          <w:tcPr>
            <w:tcW w:w="2614" w:type="dxa"/>
            <w:shd w:val="clear" w:color="auto" w:fill="auto"/>
            <w:vAlign w:val="center"/>
          </w:tcPr>
          <w:p w14:paraId="4D81D9BA" w14:textId="77777777" w:rsidR="00F038BD" w:rsidRPr="00F038BD" w:rsidRDefault="00F038BD" w:rsidP="00F038BD">
            <w:pPr>
              <w:autoSpaceDE w:val="0"/>
              <w:autoSpaceDN w:val="0"/>
              <w:adjustRightInd w:val="0"/>
              <w:spacing w:after="0" w:line="240" w:lineRule="auto"/>
              <w:jc w:val="center"/>
              <w:rPr>
                <w:rFonts w:ascii="Times New Roman" w:eastAsia="MS Mincho" w:hAnsi="Times New Roman"/>
                <w:bCs/>
                <w:sz w:val="20"/>
                <w:szCs w:val="20"/>
              </w:rPr>
            </w:pPr>
            <w:r w:rsidRPr="00F038BD">
              <w:rPr>
                <w:rFonts w:ascii="Times New Roman" w:hAnsi="Times New Roman"/>
              </w:rPr>
              <w:t>0.76%</w:t>
            </w:r>
          </w:p>
        </w:tc>
        <w:tc>
          <w:tcPr>
            <w:tcW w:w="2614" w:type="dxa"/>
            <w:shd w:val="clear" w:color="auto" w:fill="auto"/>
            <w:vAlign w:val="center"/>
          </w:tcPr>
          <w:p w14:paraId="098AA305" w14:textId="77777777" w:rsidR="00F038BD" w:rsidRPr="00F038BD" w:rsidRDefault="00F038BD" w:rsidP="00F038BD">
            <w:pPr>
              <w:autoSpaceDE w:val="0"/>
              <w:autoSpaceDN w:val="0"/>
              <w:adjustRightInd w:val="0"/>
              <w:spacing w:after="0" w:line="240" w:lineRule="auto"/>
              <w:jc w:val="center"/>
              <w:rPr>
                <w:rFonts w:ascii="Times New Roman" w:eastAsia="MS Mincho" w:hAnsi="Times New Roman"/>
                <w:bCs/>
                <w:sz w:val="20"/>
                <w:szCs w:val="20"/>
              </w:rPr>
            </w:pPr>
            <w:r w:rsidRPr="00F038BD">
              <w:rPr>
                <w:rFonts w:ascii="Times New Roman" w:hAnsi="Times New Roman"/>
              </w:rPr>
              <w:t>1.03%</w:t>
            </w:r>
          </w:p>
        </w:tc>
      </w:tr>
      <w:tr w:rsidR="00F038BD" w:rsidRPr="00F038BD" w14:paraId="0DE7AAFB" w14:textId="77777777" w:rsidTr="00716083">
        <w:tc>
          <w:tcPr>
            <w:tcW w:w="2614" w:type="dxa"/>
            <w:shd w:val="clear" w:color="auto" w:fill="auto"/>
            <w:vAlign w:val="center"/>
          </w:tcPr>
          <w:p w14:paraId="61BCA23F" w14:textId="77777777" w:rsidR="00F038BD" w:rsidRPr="00F038BD" w:rsidRDefault="00F038BD" w:rsidP="00F038BD">
            <w:pPr>
              <w:autoSpaceDE w:val="0"/>
              <w:autoSpaceDN w:val="0"/>
              <w:adjustRightInd w:val="0"/>
              <w:spacing w:after="0" w:line="240" w:lineRule="auto"/>
              <w:jc w:val="both"/>
              <w:rPr>
                <w:rFonts w:ascii="Times New Roman" w:eastAsia="MS Mincho" w:hAnsi="Times New Roman"/>
                <w:bCs/>
                <w:sz w:val="20"/>
                <w:szCs w:val="20"/>
                <w:lang w:val="en-IN"/>
              </w:rPr>
            </w:pPr>
            <w:r w:rsidRPr="00F038BD">
              <w:rPr>
                <w:rFonts w:ascii="Times New Roman" w:eastAsia="MS Mincho" w:hAnsi="Times New Roman"/>
                <w:bCs/>
                <w:sz w:val="20"/>
                <w:szCs w:val="20"/>
                <w:lang w:val="en-IN"/>
              </w:rPr>
              <w:t>RoE(%)</w:t>
            </w:r>
            <w:r w:rsidRPr="00F038BD">
              <w:rPr>
                <w:rFonts w:ascii="Times New Roman" w:eastAsia="MS Mincho" w:hAnsi="Times New Roman"/>
                <w:bCs/>
                <w:sz w:val="20"/>
                <w:szCs w:val="20"/>
                <w:vertAlign w:val="superscript"/>
                <w:lang w:val="en-IN"/>
              </w:rPr>
              <w:t>(6)</w:t>
            </w:r>
          </w:p>
        </w:tc>
        <w:tc>
          <w:tcPr>
            <w:tcW w:w="2614" w:type="dxa"/>
            <w:shd w:val="clear" w:color="auto" w:fill="auto"/>
            <w:vAlign w:val="center"/>
          </w:tcPr>
          <w:p w14:paraId="1CA9336A" w14:textId="77777777" w:rsidR="00F038BD" w:rsidRPr="00F038BD" w:rsidRDefault="00F038BD" w:rsidP="00F038BD">
            <w:pPr>
              <w:autoSpaceDE w:val="0"/>
              <w:autoSpaceDN w:val="0"/>
              <w:adjustRightInd w:val="0"/>
              <w:spacing w:after="0" w:line="240" w:lineRule="auto"/>
              <w:jc w:val="center"/>
              <w:rPr>
                <w:rFonts w:ascii="Times New Roman" w:eastAsia="MS Mincho" w:hAnsi="Times New Roman"/>
                <w:bCs/>
                <w:sz w:val="20"/>
                <w:szCs w:val="20"/>
              </w:rPr>
            </w:pPr>
            <w:r w:rsidRPr="00F038BD">
              <w:rPr>
                <w:rFonts w:ascii="Times New Roman" w:hAnsi="Times New Roman"/>
                <w:bCs/>
              </w:rPr>
              <w:t>17.97%</w:t>
            </w:r>
          </w:p>
        </w:tc>
        <w:tc>
          <w:tcPr>
            <w:tcW w:w="2614" w:type="dxa"/>
            <w:shd w:val="clear" w:color="auto" w:fill="auto"/>
            <w:vAlign w:val="center"/>
          </w:tcPr>
          <w:p w14:paraId="22262BE5" w14:textId="77777777" w:rsidR="00F038BD" w:rsidRPr="00F038BD" w:rsidRDefault="00F038BD" w:rsidP="00F038BD">
            <w:pPr>
              <w:autoSpaceDE w:val="0"/>
              <w:autoSpaceDN w:val="0"/>
              <w:adjustRightInd w:val="0"/>
              <w:spacing w:after="0" w:line="240" w:lineRule="auto"/>
              <w:jc w:val="center"/>
              <w:rPr>
                <w:rFonts w:ascii="Times New Roman" w:eastAsia="MS Mincho" w:hAnsi="Times New Roman"/>
                <w:bCs/>
                <w:sz w:val="20"/>
                <w:szCs w:val="20"/>
              </w:rPr>
            </w:pPr>
            <w:r w:rsidRPr="00F038BD">
              <w:rPr>
                <w:rFonts w:ascii="Times New Roman" w:hAnsi="Times New Roman"/>
                <w:bCs/>
              </w:rPr>
              <w:t>8.68%</w:t>
            </w:r>
          </w:p>
        </w:tc>
        <w:tc>
          <w:tcPr>
            <w:tcW w:w="2614" w:type="dxa"/>
            <w:shd w:val="clear" w:color="auto" w:fill="auto"/>
            <w:vAlign w:val="center"/>
          </w:tcPr>
          <w:p w14:paraId="2D6EC77C" w14:textId="77777777" w:rsidR="00F038BD" w:rsidRPr="00F038BD" w:rsidRDefault="00F038BD" w:rsidP="00F038BD">
            <w:pPr>
              <w:autoSpaceDE w:val="0"/>
              <w:autoSpaceDN w:val="0"/>
              <w:adjustRightInd w:val="0"/>
              <w:spacing w:after="0" w:line="240" w:lineRule="auto"/>
              <w:jc w:val="center"/>
              <w:rPr>
                <w:rFonts w:ascii="Times New Roman" w:eastAsia="MS Mincho" w:hAnsi="Times New Roman"/>
                <w:bCs/>
                <w:sz w:val="20"/>
                <w:szCs w:val="20"/>
              </w:rPr>
            </w:pPr>
            <w:r w:rsidRPr="00F038BD">
              <w:rPr>
                <w:rFonts w:ascii="Times New Roman" w:hAnsi="Times New Roman"/>
                <w:bCs/>
              </w:rPr>
              <w:t>8.01%</w:t>
            </w:r>
          </w:p>
        </w:tc>
      </w:tr>
      <w:tr w:rsidR="00F038BD" w:rsidRPr="00F038BD" w14:paraId="1D31BDC7" w14:textId="77777777" w:rsidTr="00716083">
        <w:tc>
          <w:tcPr>
            <w:tcW w:w="2614" w:type="dxa"/>
            <w:shd w:val="clear" w:color="auto" w:fill="auto"/>
            <w:vAlign w:val="center"/>
          </w:tcPr>
          <w:p w14:paraId="0B9704E0" w14:textId="77777777" w:rsidR="00F038BD" w:rsidRPr="00F038BD" w:rsidRDefault="00F038BD" w:rsidP="00F038BD">
            <w:pPr>
              <w:autoSpaceDE w:val="0"/>
              <w:autoSpaceDN w:val="0"/>
              <w:adjustRightInd w:val="0"/>
              <w:spacing w:after="0" w:line="240" w:lineRule="auto"/>
              <w:jc w:val="both"/>
              <w:rPr>
                <w:rFonts w:ascii="Times New Roman" w:eastAsia="MS Mincho" w:hAnsi="Times New Roman"/>
                <w:bCs/>
                <w:sz w:val="20"/>
                <w:szCs w:val="20"/>
                <w:lang w:val="en-IN"/>
              </w:rPr>
            </w:pPr>
            <w:r w:rsidRPr="00F038BD">
              <w:rPr>
                <w:rFonts w:ascii="Times New Roman" w:eastAsia="MS Mincho" w:hAnsi="Times New Roman"/>
                <w:bCs/>
                <w:sz w:val="20"/>
                <w:szCs w:val="20"/>
                <w:lang w:val="en-IN"/>
              </w:rPr>
              <w:t>RoCE (%)</w:t>
            </w:r>
            <w:r w:rsidRPr="00F038BD">
              <w:rPr>
                <w:rFonts w:ascii="Times New Roman" w:eastAsia="MS Mincho" w:hAnsi="Times New Roman"/>
                <w:bCs/>
                <w:sz w:val="20"/>
                <w:szCs w:val="20"/>
                <w:vertAlign w:val="superscript"/>
                <w:lang w:val="en-IN"/>
              </w:rPr>
              <w:t>(7)</w:t>
            </w:r>
          </w:p>
        </w:tc>
        <w:tc>
          <w:tcPr>
            <w:tcW w:w="2614" w:type="dxa"/>
            <w:shd w:val="clear" w:color="auto" w:fill="auto"/>
          </w:tcPr>
          <w:p w14:paraId="3BA2C6DD" w14:textId="77777777" w:rsidR="00F038BD" w:rsidRPr="00F038BD" w:rsidRDefault="00F038BD" w:rsidP="00F038BD">
            <w:pPr>
              <w:autoSpaceDE w:val="0"/>
              <w:autoSpaceDN w:val="0"/>
              <w:adjustRightInd w:val="0"/>
              <w:spacing w:after="0" w:line="240" w:lineRule="auto"/>
              <w:jc w:val="center"/>
              <w:rPr>
                <w:rFonts w:ascii="Times New Roman" w:eastAsia="MS Mincho" w:hAnsi="Times New Roman"/>
                <w:bCs/>
                <w:sz w:val="20"/>
                <w:szCs w:val="20"/>
              </w:rPr>
            </w:pPr>
            <w:r w:rsidRPr="00F038BD">
              <w:rPr>
                <w:rFonts w:ascii="Times New Roman" w:hAnsi="Times New Roman"/>
                <w:bCs/>
              </w:rPr>
              <w:t>13.42%</w:t>
            </w:r>
          </w:p>
        </w:tc>
        <w:tc>
          <w:tcPr>
            <w:tcW w:w="2614" w:type="dxa"/>
            <w:shd w:val="clear" w:color="auto" w:fill="auto"/>
          </w:tcPr>
          <w:p w14:paraId="6EB3DCAE" w14:textId="77777777" w:rsidR="00F038BD" w:rsidRPr="00F038BD" w:rsidRDefault="00F038BD" w:rsidP="00F038BD">
            <w:pPr>
              <w:autoSpaceDE w:val="0"/>
              <w:autoSpaceDN w:val="0"/>
              <w:adjustRightInd w:val="0"/>
              <w:spacing w:after="0" w:line="240" w:lineRule="auto"/>
              <w:jc w:val="center"/>
              <w:rPr>
                <w:rFonts w:ascii="Times New Roman" w:eastAsia="MS Mincho" w:hAnsi="Times New Roman"/>
                <w:bCs/>
                <w:sz w:val="20"/>
                <w:szCs w:val="20"/>
              </w:rPr>
            </w:pPr>
            <w:r w:rsidRPr="00F038BD">
              <w:rPr>
                <w:rFonts w:ascii="Times New Roman" w:hAnsi="Times New Roman"/>
                <w:bCs/>
              </w:rPr>
              <w:t>10.38%</w:t>
            </w:r>
          </w:p>
        </w:tc>
        <w:tc>
          <w:tcPr>
            <w:tcW w:w="2614" w:type="dxa"/>
            <w:shd w:val="clear" w:color="auto" w:fill="auto"/>
          </w:tcPr>
          <w:p w14:paraId="0525FB99" w14:textId="77777777" w:rsidR="00F038BD" w:rsidRPr="00F038BD" w:rsidRDefault="00F038BD" w:rsidP="00F038BD">
            <w:pPr>
              <w:autoSpaceDE w:val="0"/>
              <w:autoSpaceDN w:val="0"/>
              <w:adjustRightInd w:val="0"/>
              <w:spacing w:after="0" w:line="240" w:lineRule="auto"/>
              <w:jc w:val="center"/>
              <w:rPr>
                <w:rFonts w:ascii="Times New Roman" w:eastAsia="MS Mincho" w:hAnsi="Times New Roman"/>
                <w:bCs/>
                <w:sz w:val="20"/>
                <w:szCs w:val="20"/>
              </w:rPr>
            </w:pPr>
            <w:r w:rsidRPr="00F038BD">
              <w:rPr>
                <w:rFonts w:ascii="Times New Roman" w:hAnsi="Times New Roman"/>
                <w:bCs/>
              </w:rPr>
              <w:t>5.39%</w:t>
            </w:r>
          </w:p>
        </w:tc>
      </w:tr>
    </w:tbl>
    <w:p w14:paraId="77A499E0" w14:textId="77777777" w:rsidR="0038521C" w:rsidRDefault="0038521C" w:rsidP="00F038BD">
      <w:pPr>
        <w:autoSpaceDE w:val="0"/>
        <w:autoSpaceDN w:val="0"/>
        <w:adjustRightInd w:val="0"/>
        <w:spacing w:after="0" w:line="240" w:lineRule="auto"/>
        <w:jc w:val="both"/>
        <w:rPr>
          <w:rFonts w:ascii="Times New Roman" w:eastAsia="MS Mincho" w:hAnsi="Times New Roman"/>
          <w:b/>
          <w:bCs/>
          <w:i/>
          <w:iCs/>
          <w:sz w:val="20"/>
          <w:szCs w:val="20"/>
          <w:lang w:val="en-IN"/>
        </w:rPr>
      </w:pPr>
    </w:p>
    <w:p w14:paraId="73A00E54" w14:textId="045979DC" w:rsidR="00F038BD" w:rsidRPr="00F038BD" w:rsidRDefault="00F038BD" w:rsidP="00F038BD">
      <w:pPr>
        <w:autoSpaceDE w:val="0"/>
        <w:autoSpaceDN w:val="0"/>
        <w:adjustRightInd w:val="0"/>
        <w:spacing w:after="0" w:line="240" w:lineRule="auto"/>
        <w:jc w:val="both"/>
        <w:rPr>
          <w:rFonts w:ascii="Times New Roman" w:eastAsia="MS Mincho" w:hAnsi="Times New Roman"/>
          <w:b/>
          <w:bCs/>
          <w:i/>
          <w:iCs/>
          <w:sz w:val="20"/>
          <w:szCs w:val="20"/>
          <w:lang w:val="en-IN"/>
        </w:rPr>
      </w:pPr>
      <w:r w:rsidRPr="00F038BD">
        <w:rPr>
          <w:rFonts w:ascii="Times New Roman" w:eastAsia="MS Mincho" w:hAnsi="Times New Roman"/>
          <w:b/>
          <w:bCs/>
          <w:i/>
          <w:iCs/>
          <w:sz w:val="20"/>
          <w:szCs w:val="20"/>
          <w:lang w:val="en-IN"/>
        </w:rPr>
        <w:t>Notes:</w:t>
      </w:r>
    </w:p>
    <w:p w14:paraId="5E52926B" w14:textId="77777777" w:rsidR="00F038BD" w:rsidRPr="00F038BD" w:rsidRDefault="00F038BD" w:rsidP="00F038BD">
      <w:pPr>
        <w:autoSpaceDE w:val="0"/>
        <w:autoSpaceDN w:val="0"/>
        <w:adjustRightInd w:val="0"/>
        <w:spacing w:after="0" w:line="240" w:lineRule="auto"/>
        <w:jc w:val="both"/>
        <w:rPr>
          <w:rFonts w:ascii="Times New Roman" w:eastAsia="MS Mincho" w:hAnsi="Times New Roman"/>
          <w:sz w:val="20"/>
          <w:szCs w:val="20"/>
          <w:lang w:val="en-IN"/>
        </w:rPr>
      </w:pPr>
      <w:r w:rsidRPr="00F038BD">
        <w:rPr>
          <w:rFonts w:ascii="Times New Roman" w:eastAsia="MS Mincho" w:hAnsi="Times New Roman"/>
          <w:sz w:val="20"/>
          <w:szCs w:val="20"/>
          <w:vertAlign w:val="superscript"/>
          <w:lang w:val="en-IN"/>
        </w:rPr>
        <w:t xml:space="preserve">(1) </w:t>
      </w:r>
      <w:r w:rsidRPr="00F038BD">
        <w:rPr>
          <w:rFonts w:ascii="Times New Roman" w:eastAsia="MS Mincho" w:hAnsi="Times New Roman"/>
          <w:sz w:val="20"/>
          <w:szCs w:val="20"/>
          <w:lang w:val="en-IN"/>
        </w:rPr>
        <w:t>Revenue from operation means revenue from sales, service and other operating revenues</w:t>
      </w:r>
    </w:p>
    <w:p w14:paraId="20C7EDE9" w14:textId="77777777" w:rsidR="00F038BD" w:rsidRPr="00F038BD" w:rsidRDefault="00F038BD" w:rsidP="00F038BD">
      <w:pPr>
        <w:autoSpaceDE w:val="0"/>
        <w:autoSpaceDN w:val="0"/>
        <w:adjustRightInd w:val="0"/>
        <w:spacing w:after="0" w:line="240" w:lineRule="auto"/>
        <w:jc w:val="both"/>
        <w:rPr>
          <w:rFonts w:ascii="Times New Roman" w:eastAsia="MS Mincho" w:hAnsi="Times New Roman"/>
          <w:sz w:val="20"/>
          <w:szCs w:val="20"/>
          <w:lang w:val="en-IN"/>
        </w:rPr>
      </w:pPr>
      <w:r w:rsidRPr="00F038BD">
        <w:rPr>
          <w:rFonts w:ascii="Times New Roman" w:eastAsia="MS Mincho" w:hAnsi="Times New Roman"/>
          <w:sz w:val="20"/>
          <w:szCs w:val="20"/>
          <w:vertAlign w:val="superscript"/>
          <w:lang w:val="en-IN"/>
        </w:rPr>
        <w:t xml:space="preserve">(2) </w:t>
      </w:r>
      <w:r w:rsidRPr="00F038BD">
        <w:rPr>
          <w:rFonts w:ascii="Times New Roman" w:eastAsia="MS Mincho" w:hAnsi="Times New Roman"/>
          <w:sz w:val="20"/>
          <w:szCs w:val="20"/>
          <w:lang w:val="en-IN"/>
        </w:rPr>
        <w:t>EBITDA is calculated as Profit before tax + Depreciation + Interest Expenses - Other Income</w:t>
      </w:r>
    </w:p>
    <w:p w14:paraId="30FED1B9" w14:textId="77777777" w:rsidR="00F038BD" w:rsidRPr="00F038BD" w:rsidRDefault="00F038BD" w:rsidP="00F038BD">
      <w:pPr>
        <w:autoSpaceDE w:val="0"/>
        <w:autoSpaceDN w:val="0"/>
        <w:adjustRightInd w:val="0"/>
        <w:spacing w:after="0" w:line="240" w:lineRule="auto"/>
        <w:jc w:val="both"/>
        <w:rPr>
          <w:rFonts w:ascii="Times New Roman" w:eastAsia="MS Mincho" w:hAnsi="Times New Roman"/>
          <w:sz w:val="20"/>
          <w:szCs w:val="20"/>
          <w:lang w:val="en-IN"/>
        </w:rPr>
      </w:pPr>
      <w:r w:rsidRPr="00F038BD">
        <w:rPr>
          <w:rFonts w:ascii="Times New Roman" w:eastAsia="MS Mincho" w:hAnsi="Times New Roman"/>
          <w:sz w:val="20"/>
          <w:szCs w:val="20"/>
          <w:vertAlign w:val="superscript"/>
          <w:lang w:val="en-IN"/>
        </w:rPr>
        <w:t xml:space="preserve">(3) </w:t>
      </w:r>
      <w:r w:rsidRPr="00F038BD">
        <w:rPr>
          <w:rFonts w:ascii="Times New Roman" w:eastAsia="MS Mincho" w:hAnsi="Times New Roman"/>
          <w:sz w:val="20"/>
          <w:szCs w:val="20"/>
          <w:lang w:val="en-IN"/>
        </w:rPr>
        <w:t>EBITDA Margin is calculated as EBITDA divided by Revenue from Operations</w:t>
      </w:r>
    </w:p>
    <w:p w14:paraId="3AC06406" w14:textId="77777777" w:rsidR="00F038BD" w:rsidRPr="00F038BD" w:rsidRDefault="00F038BD" w:rsidP="00F038BD">
      <w:pPr>
        <w:autoSpaceDE w:val="0"/>
        <w:autoSpaceDN w:val="0"/>
        <w:adjustRightInd w:val="0"/>
        <w:spacing w:after="0" w:line="240" w:lineRule="auto"/>
        <w:jc w:val="both"/>
        <w:rPr>
          <w:rFonts w:ascii="Times New Roman" w:eastAsia="MS Mincho" w:hAnsi="Times New Roman"/>
          <w:sz w:val="20"/>
          <w:szCs w:val="20"/>
          <w:lang w:val="en-IN"/>
        </w:rPr>
      </w:pPr>
      <w:r w:rsidRPr="00F038BD">
        <w:rPr>
          <w:rFonts w:ascii="Times New Roman" w:eastAsia="MS Mincho" w:hAnsi="Times New Roman"/>
          <w:sz w:val="20"/>
          <w:szCs w:val="20"/>
          <w:vertAlign w:val="superscript"/>
          <w:lang w:val="en-IN"/>
        </w:rPr>
        <w:t xml:space="preserve">(4) </w:t>
      </w:r>
      <w:r w:rsidRPr="00F038BD">
        <w:rPr>
          <w:rFonts w:ascii="Times New Roman" w:eastAsia="MS Mincho" w:hAnsi="Times New Roman"/>
          <w:sz w:val="20"/>
          <w:szCs w:val="20"/>
          <w:lang w:val="en-IN"/>
        </w:rPr>
        <w:t>PAT is calculated as Profit before tax – Tax Expenses</w:t>
      </w:r>
    </w:p>
    <w:p w14:paraId="01CA0E67" w14:textId="77777777" w:rsidR="00F038BD" w:rsidRPr="00F038BD" w:rsidRDefault="00F038BD" w:rsidP="00F038BD">
      <w:pPr>
        <w:autoSpaceDE w:val="0"/>
        <w:autoSpaceDN w:val="0"/>
        <w:adjustRightInd w:val="0"/>
        <w:spacing w:after="0" w:line="240" w:lineRule="auto"/>
        <w:jc w:val="both"/>
        <w:rPr>
          <w:rFonts w:ascii="Times New Roman" w:eastAsia="MS Mincho" w:hAnsi="Times New Roman"/>
          <w:sz w:val="20"/>
          <w:szCs w:val="20"/>
          <w:lang w:val="en-IN"/>
        </w:rPr>
      </w:pPr>
      <w:r w:rsidRPr="00F038BD">
        <w:rPr>
          <w:rFonts w:ascii="Times New Roman" w:eastAsia="MS Mincho" w:hAnsi="Times New Roman"/>
          <w:sz w:val="20"/>
          <w:szCs w:val="20"/>
          <w:vertAlign w:val="superscript"/>
          <w:lang w:val="en-IN"/>
        </w:rPr>
        <w:t>(5)</w:t>
      </w:r>
      <w:r w:rsidRPr="00F038BD">
        <w:rPr>
          <w:rFonts w:ascii="Times New Roman" w:eastAsia="MS Mincho" w:hAnsi="Times New Roman"/>
          <w:sz w:val="20"/>
          <w:szCs w:val="20"/>
          <w:lang w:val="en-IN"/>
        </w:rPr>
        <w:t xml:space="preserve"> PAT Margin is calculated as PAT for the period/year divided by revenue from operations.</w:t>
      </w:r>
    </w:p>
    <w:p w14:paraId="3F973F30" w14:textId="77777777" w:rsidR="00F038BD" w:rsidRPr="00F038BD" w:rsidRDefault="00F038BD" w:rsidP="00F038BD">
      <w:pPr>
        <w:autoSpaceDE w:val="0"/>
        <w:autoSpaceDN w:val="0"/>
        <w:adjustRightInd w:val="0"/>
        <w:spacing w:after="0" w:line="240" w:lineRule="auto"/>
        <w:jc w:val="both"/>
        <w:rPr>
          <w:rFonts w:ascii="Times New Roman" w:eastAsia="MS Mincho" w:hAnsi="Times New Roman"/>
          <w:sz w:val="20"/>
          <w:szCs w:val="20"/>
          <w:lang w:val="en-IN"/>
        </w:rPr>
      </w:pPr>
      <w:r w:rsidRPr="00F038BD">
        <w:rPr>
          <w:rFonts w:ascii="Times New Roman" w:eastAsia="MS Mincho" w:hAnsi="Times New Roman"/>
          <w:sz w:val="20"/>
          <w:szCs w:val="20"/>
          <w:vertAlign w:val="superscript"/>
          <w:lang w:val="en-IN"/>
        </w:rPr>
        <w:t>(6)</w:t>
      </w:r>
      <w:r w:rsidRPr="00F038BD">
        <w:rPr>
          <w:rFonts w:ascii="Times New Roman" w:eastAsia="MS Mincho" w:hAnsi="Times New Roman"/>
          <w:sz w:val="20"/>
          <w:szCs w:val="20"/>
          <w:lang w:val="en-IN"/>
        </w:rPr>
        <w:t xml:space="preserve"> Return on Equity is ratio of Profit after Tax and Average Shareholder Equity</w:t>
      </w:r>
    </w:p>
    <w:p w14:paraId="285FF001" w14:textId="77777777" w:rsidR="00F038BD" w:rsidRPr="00F038BD" w:rsidRDefault="00F038BD" w:rsidP="00F038BD">
      <w:pPr>
        <w:autoSpaceDE w:val="0"/>
        <w:autoSpaceDN w:val="0"/>
        <w:adjustRightInd w:val="0"/>
        <w:spacing w:after="0" w:line="240" w:lineRule="auto"/>
        <w:jc w:val="both"/>
        <w:rPr>
          <w:rFonts w:ascii="Times New Roman" w:eastAsia="MS Mincho" w:hAnsi="Times New Roman"/>
          <w:sz w:val="20"/>
          <w:szCs w:val="20"/>
        </w:rPr>
      </w:pPr>
      <w:r w:rsidRPr="00F038BD">
        <w:rPr>
          <w:rFonts w:ascii="Times New Roman" w:eastAsia="MS Mincho" w:hAnsi="Times New Roman"/>
          <w:sz w:val="20"/>
          <w:szCs w:val="20"/>
          <w:vertAlign w:val="superscript"/>
          <w:lang w:val="en-IN"/>
        </w:rPr>
        <w:t xml:space="preserve">(7) </w:t>
      </w:r>
      <w:r w:rsidRPr="00F038BD">
        <w:rPr>
          <w:rFonts w:ascii="Times New Roman" w:eastAsia="MS Mincho" w:hAnsi="Times New Roman"/>
          <w:sz w:val="20"/>
          <w:szCs w:val="20"/>
        </w:rPr>
        <w:t>Return on Capital Employed is calculated as EBIT divided by capital employed, which is defined as shareholders’ equity plus Long term borrowings and Short term borrowings.</w:t>
      </w:r>
    </w:p>
    <w:p w14:paraId="03871F7F" w14:textId="77777777" w:rsidR="00F038BD" w:rsidRPr="00F038BD" w:rsidRDefault="00F038BD" w:rsidP="00F038BD">
      <w:pPr>
        <w:autoSpaceDE w:val="0"/>
        <w:autoSpaceDN w:val="0"/>
        <w:adjustRightInd w:val="0"/>
        <w:spacing w:after="0" w:line="240" w:lineRule="auto"/>
        <w:jc w:val="both"/>
        <w:rPr>
          <w:rFonts w:ascii="Times New Roman" w:eastAsia="MS Mincho" w:hAnsi="Times New Roman"/>
          <w:bCs/>
          <w:sz w:val="20"/>
          <w:szCs w:val="20"/>
        </w:rPr>
      </w:pPr>
    </w:p>
    <w:p w14:paraId="71D00966" w14:textId="77777777" w:rsidR="00F038BD" w:rsidRPr="00F038BD" w:rsidRDefault="00F038BD" w:rsidP="00F038BD">
      <w:pPr>
        <w:spacing w:after="0" w:line="240" w:lineRule="auto"/>
        <w:jc w:val="both"/>
        <w:rPr>
          <w:rFonts w:ascii="Times New Roman" w:hAnsi="Times New Roman"/>
          <w:b/>
          <w:bCs/>
          <w:sz w:val="20"/>
          <w:szCs w:val="20"/>
          <w:u w:val="single"/>
        </w:rPr>
      </w:pPr>
      <w:r w:rsidRPr="00F038BD">
        <w:rPr>
          <w:rFonts w:ascii="Times New Roman" w:hAnsi="Times New Roman"/>
          <w:b/>
          <w:bCs/>
          <w:sz w:val="20"/>
          <w:szCs w:val="20"/>
          <w:u w:val="single"/>
        </w:rPr>
        <w:t>Our Competitive Strengths</w:t>
      </w:r>
    </w:p>
    <w:p w14:paraId="55058C15" w14:textId="77777777" w:rsidR="00F038BD" w:rsidRPr="00F038BD" w:rsidRDefault="00F038BD" w:rsidP="00F038BD">
      <w:pPr>
        <w:spacing w:after="0" w:line="240" w:lineRule="auto"/>
        <w:jc w:val="both"/>
        <w:rPr>
          <w:rFonts w:ascii="Times New Roman" w:hAnsi="Times New Roman"/>
          <w:bCs/>
          <w:sz w:val="20"/>
          <w:szCs w:val="20"/>
        </w:rPr>
      </w:pPr>
    </w:p>
    <w:p w14:paraId="50DBEF8C" w14:textId="77777777" w:rsidR="00F038BD" w:rsidRPr="00F038BD" w:rsidRDefault="00F038BD" w:rsidP="00F038BD">
      <w:pPr>
        <w:suppressAutoHyphens/>
        <w:autoSpaceDE w:val="0"/>
        <w:autoSpaceDN w:val="0"/>
        <w:adjustRightInd w:val="0"/>
        <w:spacing w:after="0" w:line="240" w:lineRule="auto"/>
        <w:ind w:left="90"/>
        <w:jc w:val="both"/>
        <w:textAlignment w:val="center"/>
        <w:rPr>
          <w:rFonts w:ascii="Times New Roman" w:hAnsi="Times New Roman"/>
          <w:i/>
          <w:color w:val="000000"/>
          <w:sz w:val="20"/>
          <w:szCs w:val="20"/>
          <w:lang w:val="x-none" w:eastAsia="x-none"/>
        </w:rPr>
      </w:pPr>
      <w:r w:rsidRPr="00F038BD">
        <w:rPr>
          <w:rFonts w:ascii="Times New Roman" w:hAnsi="Times New Roman"/>
          <w:b/>
          <w:bCs/>
          <w:i/>
          <w:color w:val="000000"/>
          <w:sz w:val="20"/>
          <w:szCs w:val="20"/>
          <w:lang w:eastAsia="x-none"/>
        </w:rPr>
        <w:t xml:space="preserve">Strategically located </w:t>
      </w:r>
      <w:r w:rsidRPr="00F038BD">
        <w:rPr>
          <w:rFonts w:ascii="Times New Roman" w:hAnsi="Times New Roman"/>
          <w:b/>
          <w:bCs/>
          <w:i/>
          <w:color w:val="000000"/>
          <w:sz w:val="20"/>
          <w:szCs w:val="20"/>
          <w:lang w:val="x-none" w:eastAsia="x-none"/>
        </w:rPr>
        <w:t>manufacturing facilit</w:t>
      </w:r>
      <w:r w:rsidRPr="00F038BD">
        <w:rPr>
          <w:rFonts w:ascii="Times New Roman" w:hAnsi="Times New Roman"/>
          <w:b/>
          <w:bCs/>
          <w:i/>
          <w:color w:val="000000"/>
          <w:sz w:val="20"/>
          <w:szCs w:val="20"/>
          <w:lang w:eastAsia="x-none"/>
        </w:rPr>
        <w:t>ies</w:t>
      </w:r>
    </w:p>
    <w:p w14:paraId="2081B99C" w14:textId="77777777" w:rsidR="00F038BD" w:rsidRPr="00F038BD" w:rsidRDefault="00F038BD" w:rsidP="00F038BD">
      <w:pPr>
        <w:spacing w:after="0" w:line="240" w:lineRule="auto"/>
        <w:jc w:val="both"/>
        <w:rPr>
          <w:rFonts w:ascii="Times New Roman" w:hAnsi="Times New Roman"/>
          <w:b/>
          <w:bCs/>
          <w:sz w:val="20"/>
          <w:szCs w:val="20"/>
        </w:rPr>
      </w:pPr>
    </w:p>
    <w:p w14:paraId="2BBA50CB" w14:textId="77777777" w:rsidR="00F038BD" w:rsidRPr="00F038BD" w:rsidRDefault="00F038BD" w:rsidP="00F038BD">
      <w:pPr>
        <w:spacing w:after="0" w:line="240" w:lineRule="auto"/>
        <w:jc w:val="both"/>
        <w:rPr>
          <w:rFonts w:ascii="Times New Roman" w:hAnsi="Times New Roman"/>
          <w:sz w:val="20"/>
          <w:szCs w:val="20"/>
        </w:rPr>
      </w:pPr>
      <w:r w:rsidRPr="00F038BD">
        <w:rPr>
          <w:rFonts w:ascii="Times New Roman" w:hAnsi="Times New Roman"/>
          <w:sz w:val="20"/>
          <w:szCs w:val="20"/>
        </w:rPr>
        <w:t xml:space="preserve">As on the date of this Draft Red Herring Prospectus, we have cumulative installed capacity of </w:t>
      </w:r>
      <w:r w:rsidRPr="00F038BD">
        <w:rPr>
          <w:rFonts w:ascii="Times New Roman" w:hAnsi="Times New Roman"/>
          <w:sz w:val="20"/>
          <w:szCs w:val="20"/>
          <w:highlight w:val="yellow"/>
        </w:rPr>
        <w:t>_________ of and ___ of and ____ of</w:t>
      </w:r>
      <w:r w:rsidRPr="00F038BD">
        <w:rPr>
          <w:rFonts w:ascii="Times New Roman" w:hAnsi="Times New Roman"/>
          <w:sz w:val="20"/>
          <w:szCs w:val="20"/>
        </w:rPr>
        <w:t>, which enables us to stream line inventory management and production process resulting into maintenance of high-quality production standards, minimizing production time and bringing cost effectiveness. Further, all three of our units are situated in the district of Jamnagar, Gujarat, which is known as hub of brass components. We believe that the strategic location of our manufacturing units allows us to cater to a larger consumer base of local brass scrap buyers, reduce logistic costs and achieve economies of scale. Further our units are situated at around 300 km away from Mundra Port, enabling us to import raw materials and export finished products at pace.</w:t>
      </w:r>
    </w:p>
    <w:p w14:paraId="25BA3B4A" w14:textId="77777777" w:rsidR="00F038BD" w:rsidRPr="00F038BD" w:rsidRDefault="00F038BD" w:rsidP="00F038BD">
      <w:pPr>
        <w:spacing w:after="0" w:line="240" w:lineRule="auto"/>
        <w:jc w:val="both"/>
        <w:rPr>
          <w:rFonts w:ascii="Times New Roman" w:hAnsi="Times New Roman"/>
          <w:sz w:val="20"/>
          <w:szCs w:val="20"/>
        </w:rPr>
      </w:pPr>
    </w:p>
    <w:p w14:paraId="74813A8E" w14:textId="77777777" w:rsidR="00F038BD" w:rsidRPr="00F038BD" w:rsidRDefault="00F038BD" w:rsidP="00F038BD">
      <w:pPr>
        <w:spacing w:after="0" w:line="240" w:lineRule="auto"/>
        <w:jc w:val="both"/>
        <w:rPr>
          <w:rFonts w:ascii="Times New Roman" w:hAnsi="Times New Roman"/>
          <w:sz w:val="20"/>
          <w:szCs w:val="20"/>
        </w:rPr>
      </w:pPr>
      <w:r w:rsidRPr="00F038BD">
        <w:rPr>
          <w:rFonts w:ascii="Times New Roman" w:eastAsia="MS Mincho" w:hAnsi="Times New Roman"/>
          <w:b/>
          <w:bCs/>
          <w:i/>
          <w:sz w:val="20"/>
          <w:szCs w:val="20"/>
          <w:lang w:val="en-GB"/>
        </w:rPr>
        <w:t>Stringent quality control mechanism ensuring standardized product quality</w:t>
      </w:r>
    </w:p>
    <w:p w14:paraId="1CB04E07" w14:textId="77777777" w:rsidR="00F038BD" w:rsidRPr="00F038BD" w:rsidRDefault="00F038BD" w:rsidP="00F038BD">
      <w:pPr>
        <w:spacing w:after="0" w:line="240" w:lineRule="auto"/>
        <w:jc w:val="both"/>
        <w:rPr>
          <w:rFonts w:ascii="Times New Roman" w:hAnsi="Times New Roman"/>
          <w:b/>
          <w:bCs/>
          <w:sz w:val="20"/>
          <w:szCs w:val="20"/>
        </w:rPr>
      </w:pPr>
    </w:p>
    <w:p w14:paraId="32AE2083" w14:textId="77777777" w:rsidR="00F038BD" w:rsidRPr="00F038BD" w:rsidRDefault="00F038BD" w:rsidP="00F038BD">
      <w:pPr>
        <w:autoSpaceDE w:val="0"/>
        <w:autoSpaceDN w:val="0"/>
        <w:adjustRightInd w:val="0"/>
        <w:spacing w:after="0" w:line="240" w:lineRule="auto"/>
        <w:jc w:val="both"/>
        <w:rPr>
          <w:rFonts w:ascii="Times New Roman" w:eastAsia="MS Mincho" w:hAnsi="Times New Roman"/>
          <w:bCs/>
          <w:sz w:val="20"/>
          <w:szCs w:val="20"/>
        </w:rPr>
      </w:pPr>
      <w:r w:rsidRPr="00F038BD">
        <w:rPr>
          <w:rFonts w:ascii="Times New Roman" w:eastAsia="MS Mincho" w:hAnsi="Times New Roman"/>
          <w:bCs/>
          <w:sz w:val="20"/>
          <w:szCs w:val="20"/>
        </w:rPr>
        <w:t xml:space="preserve">We employ an extensive and stringent quality control mechanism at each stage of the manufacturing as well as our recycling process including </w:t>
      </w:r>
      <w:r w:rsidRPr="00F038BD">
        <w:rPr>
          <w:rFonts w:ascii="Times New Roman" w:hAnsi="Times New Roman"/>
          <w:sz w:val="20"/>
          <w:szCs w:val="20"/>
        </w:rPr>
        <w:t>spectrometer analysis to analyze the composition of brass and hardness test to test material hardness,</w:t>
      </w:r>
      <w:r w:rsidRPr="00F038BD">
        <w:rPr>
          <w:rFonts w:ascii="Times New Roman" w:eastAsia="MS Mincho" w:hAnsi="Times New Roman"/>
          <w:bCs/>
          <w:sz w:val="20"/>
          <w:szCs w:val="20"/>
        </w:rPr>
        <w:t xml:space="preserve"> which are required to ensure that our finished product conforms with the exact requirement of our customers and successfully passes all validations and quality checks. Further, as a certification of the quality assurance, our Company has received ISO 9001:2015 for quality management systems. We believe that our focus on quality of products has enabled us to sustain and grow our business model to benefit our customers.</w:t>
      </w:r>
    </w:p>
    <w:p w14:paraId="5D21FD62" w14:textId="77777777" w:rsidR="00F038BD" w:rsidRPr="00F038BD" w:rsidRDefault="00F038BD" w:rsidP="00F038BD">
      <w:pPr>
        <w:spacing w:after="0" w:line="240" w:lineRule="auto"/>
        <w:jc w:val="both"/>
        <w:rPr>
          <w:rFonts w:ascii="Times New Roman" w:hAnsi="Times New Roman"/>
          <w:bCs/>
          <w:sz w:val="20"/>
          <w:szCs w:val="20"/>
        </w:rPr>
      </w:pPr>
    </w:p>
    <w:p w14:paraId="7C02707D" w14:textId="77777777" w:rsidR="00F038BD" w:rsidRPr="00F038BD" w:rsidRDefault="00F038BD" w:rsidP="00F038BD">
      <w:pPr>
        <w:spacing w:after="0" w:line="240" w:lineRule="auto"/>
        <w:jc w:val="both"/>
        <w:rPr>
          <w:rFonts w:ascii="Times New Roman" w:eastAsia="MS Mincho" w:hAnsi="Times New Roman"/>
          <w:b/>
          <w:bCs/>
          <w:i/>
          <w:sz w:val="20"/>
          <w:szCs w:val="20"/>
          <w:lang w:val="en-GB"/>
        </w:rPr>
      </w:pPr>
      <w:r w:rsidRPr="00F038BD">
        <w:rPr>
          <w:rFonts w:ascii="Times New Roman" w:eastAsia="MS Mincho" w:hAnsi="Times New Roman"/>
          <w:b/>
          <w:bCs/>
          <w:i/>
          <w:sz w:val="20"/>
          <w:szCs w:val="20"/>
          <w:lang w:val="en-GB"/>
        </w:rPr>
        <w:t>Diversified Client Base and long standing relationship with our customers</w:t>
      </w:r>
    </w:p>
    <w:p w14:paraId="04A26E17" w14:textId="77777777" w:rsidR="00F038BD" w:rsidRPr="00F038BD" w:rsidRDefault="00F038BD" w:rsidP="00F038BD">
      <w:pPr>
        <w:spacing w:after="0" w:line="240" w:lineRule="auto"/>
        <w:jc w:val="both"/>
        <w:rPr>
          <w:rFonts w:ascii="Times New Roman" w:eastAsia="MS Mincho" w:hAnsi="Times New Roman"/>
          <w:b/>
          <w:bCs/>
          <w:i/>
          <w:sz w:val="20"/>
          <w:szCs w:val="20"/>
          <w:lang w:val="en-GB"/>
        </w:rPr>
      </w:pPr>
    </w:p>
    <w:p w14:paraId="66661370" w14:textId="77777777" w:rsidR="00F038BD" w:rsidRPr="00F038BD" w:rsidRDefault="00F038BD" w:rsidP="00F038BD">
      <w:pPr>
        <w:spacing w:after="0" w:line="240" w:lineRule="auto"/>
        <w:jc w:val="both"/>
        <w:rPr>
          <w:rFonts w:ascii="Times New Roman" w:hAnsi="Times New Roman"/>
          <w:sz w:val="20"/>
          <w:szCs w:val="20"/>
        </w:rPr>
      </w:pPr>
      <w:bookmarkStart w:id="14" w:name="_Hlk143168578"/>
      <w:r w:rsidRPr="00F038BD">
        <w:rPr>
          <w:rFonts w:ascii="Times New Roman" w:hAnsi="Times New Roman"/>
          <w:sz w:val="20"/>
          <w:szCs w:val="20"/>
        </w:rPr>
        <w:t xml:space="preserve">We serve a diversified client base encompassing a wide array of industries such as manufacturers in the sanitary and bathware sector, pipes &amp; plumbing sector and electrical items. In addition, we also sell products to metal dealers and traders. </w:t>
      </w:r>
      <w:bookmarkEnd w:id="14"/>
      <w:r w:rsidRPr="00F038BD">
        <w:rPr>
          <w:rFonts w:ascii="Times New Roman" w:hAnsi="Times New Roman"/>
          <w:sz w:val="20"/>
          <w:szCs w:val="20"/>
        </w:rPr>
        <w:t>We generally do not enter into long term agreements with our customers, however, we have developed long-standing relationships with these customers some of whom have been with us for over five years. For instance, companies/entities such as the Supreme Industries Limited, AGI Greenpac (formerly known as HSIL), Prayag Polymers Pvt. Ltd. and Anurag Impex have been our customers for the last five fiscals. Maintaining strong relationships with our key customers is essential to our business strategy and to the growth of our business. Owing to strong customer relationships and service, we can retain a number of our customers for a long period of time ensuring uninterrupted supplies of our products to them.</w:t>
      </w:r>
    </w:p>
    <w:p w14:paraId="75049A88" w14:textId="77777777" w:rsidR="00F038BD" w:rsidRDefault="00F038BD" w:rsidP="00F038BD">
      <w:pPr>
        <w:spacing w:after="0" w:line="240" w:lineRule="auto"/>
        <w:jc w:val="both"/>
        <w:rPr>
          <w:rFonts w:ascii="Times New Roman" w:hAnsi="Times New Roman"/>
          <w:sz w:val="20"/>
          <w:szCs w:val="20"/>
        </w:rPr>
      </w:pPr>
    </w:p>
    <w:p w14:paraId="4CA9545B" w14:textId="77777777" w:rsidR="00F038BD" w:rsidRPr="00F038BD" w:rsidRDefault="00F038BD" w:rsidP="00F038BD">
      <w:pPr>
        <w:spacing w:after="0" w:line="240" w:lineRule="auto"/>
        <w:jc w:val="both"/>
        <w:rPr>
          <w:rFonts w:ascii="Times New Roman" w:eastAsia="MS Mincho" w:hAnsi="Times New Roman"/>
          <w:b/>
          <w:bCs/>
          <w:i/>
          <w:sz w:val="20"/>
          <w:szCs w:val="20"/>
          <w:lang w:val="en-GB"/>
        </w:rPr>
      </w:pPr>
      <w:r w:rsidRPr="00F038BD">
        <w:rPr>
          <w:rFonts w:ascii="Times New Roman" w:eastAsia="MS Mincho" w:hAnsi="Times New Roman"/>
          <w:b/>
          <w:bCs/>
          <w:i/>
          <w:sz w:val="20"/>
          <w:szCs w:val="20"/>
          <w:lang w:val="en-GB"/>
        </w:rPr>
        <w:lastRenderedPageBreak/>
        <w:t>Strong and diversified supplier base for sourcing raw material</w:t>
      </w:r>
    </w:p>
    <w:p w14:paraId="17161821" w14:textId="77777777" w:rsidR="00F038BD" w:rsidRPr="00F038BD" w:rsidRDefault="00F038BD" w:rsidP="00F038BD">
      <w:pPr>
        <w:spacing w:after="0" w:line="240" w:lineRule="auto"/>
        <w:jc w:val="both"/>
        <w:rPr>
          <w:rFonts w:ascii="Times New Roman" w:eastAsia="MS Mincho" w:hAnsi="Times New Roman"/>
          <w:b/>
          <w:bCs/>
          <w:i/>
          <w:sz w:val="20"/>
          <w:szCs w:val="20"/>
          <w:lang w:val="en-GB"/>
        </w:rPr>
      </w:pPr>
    </w:p>
    <w:p w14:paraId="45A86123" w14:textId="77777777" w:rsidR="00F038BD" w:rsidRPr="00F038BD" w:rsidRDefault="00F038BD" w:rsidP="00F038BD">
      <w:pPr>
        <w:spacing w:after="0" w:line="240" w:lineRule="auto"/>
        <w:jc w:val="both"/>
        <w:rPr>
          <w:rFonts w:ascii="Times New Roman" w:hAnsi="Times New Roman"/>
          <w:sz w:val="20"/>
          <w:szCs w:val="20"/>
        </w:rPr>
      </w:pPr>
      <w:r w:rsidRPr="00F038BD">
        <w:rPr>
          <w:rFonts w:ascii="Times New Roman" w:hAnsi="Times New Roman"/>
          <w:sz w:val="20"/>
          <w:szCs w:val="20"/>
        </w:rPr>
        <w:t xml:space="preserve">One of the critical factors to grow and develop in our business is the ability to source raw materials. </w:t>
      </w:r>
      <w:r w:rsidRPr="00F038BD">
        <w:rPr>
          <w:rFonts w:ascii="Times New Roman" w:hAnsi="Times New Roman"/>
          <w:bCs/>
          <w:sz w:val="20"/>
          <w:szCs w:val="20"/>
        </w:rPr>
        <w:t>The essential raw material used by our manufacturing facility for production of brass products is brass scrap</w:t>
      </w:r>
      <w:r w:rsidRPr="00F038BD">
        <w:rPr>
          <w:rFonts w:ascii="Times New Roman" w:hAnsi="Times New Roman"/>
          <w:sz w:val="20"/>
          <w:szCs w:val="20"/>
        </w:rPr>
        <w:t>, which are mostly imported by us. Our Company has been procuring brass scrap from various global suppliers located in USA, UK, Europe and Middle East, among others, as well as from certain domestic suppliers. Given that raw material expense constitutes a significant portion of our overall cost, we benefit majorly from a globally spread out and diversified supplier base. This enables us to negotiate favorable terms and even avail better discounts. Further, since metal scrap prices vary in international markets, a diverse base of suppliers allows us to selectively buy metal scrap and limit the adverse effects of the changing prices across metal scrap on account of the various global and domestic market conditions. We continually strive to maintain strong relationships with our suppliers in order to derive better insight into the markets for our raw materials, which helps us to manage our raw material supply chain, resulting in greater predictability of supply and, consequently, a greater ability to meet production schedules and achieve on time delivery for our customers.</w:t>
      </w:r>
    </w:p>
    <w:p w14:paraId="67A34990" w14:textId="77777777" w:rsidR="00F038BD" w:rsidRPr="00F038BD" w:rsidRDefault="00F038BD" w:rsidP="00F038BD">
      <w:pPr>
        <w:spacing w:after="0" w:line="240" w:lineRule="auto"/>
        <w:jc w:val="both"/>
        <w:rPr>
          <w:rFonts w:ascii="Times New Roman" w:hAnsi="Times New Roman"/>
          <w:sz w:val="20"/>
          <w:szCs w:val="20"/>
        </w:rPr>
      </w:pPr>
    </w:p>
    <w:p w14:paraId="7E4A0EF2" w14:textId="77777777" w:rsidR="00F038BD" w:rsidRPr="00F038BD" w:rsidRDefault="00F038BD" w:rsidP="00F038BD">
      <w:pPr>
        <w:spacing w:after="0" w:line="240" w:lineRule="auto"/>
        <w:jc w:val="both"/>
        <w:rPr>
          <w:rFonts w:ascii="Times New Roman" w:eastAsia="MS Mincho" w:hAnsi="Times New Roman"/>
          <w:b/>
          <w:bCs/>
          <w:i/>
          <w:sz w:val="20"/>
          <w:szCs w:val="20"/>
          <w:lang w:val="en-GB"/>
        </w:rPr>
      </w:pPr>
      <w:r w:rsidRPr="00F038BD">
        <w:rPr>
          <w:rFonts w:ascii="Times New Roman" w:eastAsia="MS Mincho" w:hAnsi="Times New Roman"/>
          <w:b/>
          <w:bCs/>
          <w:i/>
          <w:sz w:val="20"/>
          <w:szCs w:val="20"/>
          <w:lang w:val="en-GB"/>
        </w:rPr>
        <w:t xml:space="preserve">Experienced Promoters supported by dedicated Management team </w:t>
      </w:r>
    </w:p>
    <w:p w14:paraId="7A2C60DB" w14:textId="77777777" w:rsidR="00F038BD" w:rsidRPr="00F038BD" w:rsidRDefault="00F038BD" w:rsidP="00F038BD">
      <w:pPr>
        <w:suppressAutoHyphens/>
        <w:autoSpaceDE w:val="0"/>
        <w:autoSpaceDN w:val="0"/>
        <w:adjustRightInd w:val="0"/>
        <w:spacing w:after="0" w:line="240" w:lineRule="auto"/>
        <w:ind w:left="90"/>
        <w:jc w:val="both"/>
        <w:textAlignment w:val="center"/>
        <w:rPr>
          <w:rFonts w:ascii="Times New Roman" w:hAnsi="Times New Roman"/>
          <w:b/>
          <w:bCs/>
          <w:color w:val="000000"/>
          <w:sz w:val="12"/>
          <w:szCs w:val="20"/>
          <w:lang w:val="x-none" w:eastAsia="x-none"/>
        </w:rPr>
      </w:pPr>
    </w:p>
    <w:p w14:paraId="138CB702" w14:textId="5314BDD2" w:rsidR="00F038BD" w:rsidRPr="00F038BD" w:rsidRDefault="00F038BD" w:rsidP="00F038BD">
      <w:pPr>
        <w:autoSpaceDE w:val="0"/>
        <w:autoSpaceDN w:val="0"/>
        <w:adjustRightInd w:val="0"/>
        <w:spacing w:after="0" w:line="240" w:lineRule="auto"/>
        <w:jc w:val="both"/>
        <w:rPr>
          <w:rFonts w:ascii="Times New Roman" w:hAnsi="Times New Roman"/>
          <w:sz w:val="20"/>
          <w:szCs w:val="20"/>
        </w:rPr>
      </w:pPr>
      <w:r w:rsidRPr="00F038BD">
        <w:rPr>
          <w:rFonts w:ascii="Times New Roman" w:hAnsi="Times New Roman"/>
          <w:sz w:val="20"/>
          <w:szCs w:val="20"/>
        </w:rPr>
        <w:t xml:space="preserve">Our Promoter Director, Mr. </w:t>
      </w:r>
      <w:r w:rsidRPr="00F038BD">
        <w:rPr>
          <w:rFonts w:ascii="Times New Roman" w:hAnsi="Times New Roman"/>
          <w:bCs/>
          <w:sz w:val="20"/>
          <w:szCs w:val="20"/>
        </w:rPr>
        <w:t xml:space="preserve">Ramgopal Ochhavlal Maheshwari </w:t>
      </w:r>
      <w:r w:rsidRPr="00F038BD">
        <w:rPr>
          <w:rFonts w:ascii="Times New Roman" w:hAnsi="Times New Roman"/>
          <w:sz w:val="20"/>
          <w:szCs w:val="20"/>
        </w:rPr>
        <w:t xml:space="preserve">has been engaged in the brass industry for last </w:t>
      </w:r>
      <w:r w:rsidR="00AC0BFD">
        <w:rPr>
          <w:rFonts w:ascii="Times New Roman" w:hAnsi="Times New Roman"/>
          <w:sz w:val="20"/>
          <w:szCs w:val="20"/>
        </w:rPr>
        <w:t>34</w:t>
      </w:r>
      <w:r w:rsidRPr="00F038BD">
        <w:rPr>
          <w:rFonts w:ascii="Times New Roman" w:hAnsi="Times New Roman"/>
          <w:sz w:val="20"/>
          <w:szCs w:val="20"/>
        </w:rPr>
        <w:t xml:space="preserve"> years, which gives him an advantage of immense knowledge of the Industry, high contacts with clients and suppliers and better decision making power. Along</w:t>
      </w:r>
      <w:r w:rsidR="00AC0BFD">
        <w:rPr>
          <w:rFonts w:ascii="Times New Roman" w:hAnsi="Times New Roman"/>
          <w:sz w:val="20"/>
          <w:szCs w:val="20"/>
        </w:rPr>
        <w:t xml:space="preserve"> </w:t>
      </w:r>
      <w:r w:rsidRPr="00F038BD">
        <w:rPr>
          <w:rFonts w:ascii="Times New Roman" w:hAnsi="Times New Roman"/>
          <w:sz w:val="20"/>
          <w:szCs w:val="20"/>
        </w:rPr>
        <w:t xml:space="preserve">with him, Mr. </w:t>
      </w:r>
      <w:r w:rsidRPr="00F038BD">
        <w:rPr>
          <w:rFonts w:ascii="Times New Roman" w:eastAsia="MS Mincho" w:hAnsi="Times New Roman"/>
          <w:bCs/>
          <w:sz w:val="20"/>
          <w:szCs w:val="20"/>
        </w:rPr>
        <w:t xml:space="preserve">Bhavesh Ramgopal Maheshwari, </w:t>
      </w:r>
      <w:r w:rsidR="00AC0BFD">
        <w:rPr>
          <w:rFonts w:ascii="Times New Roman" w:eastAsia="MS Mincho" w:hAnsi="Times New Roman"/>
          <w:bCs/>
          <w:sz w:val="20"/>
          <w:szCs w:val="20"/>
        </w:rPr>
        <w:t xml:space="preserve">Managing </w:t>
      </w:r>
      <w:r w:rsidRPr="00F038BD">
        <w:rPr>
          <w:rFonts w:ascii="Times New Roman" w:eastAsia="MS Mincho" w:hAnsi="Times New Roman"/>
          <w:bCs/>
          <w:sz w:val="20"/>
          <w:szCs w:val="20"/>
        </w:rPr>
        <w:t xml:space="preserve">Director of the Company has an experience of over </w:t>
      </w:r>
      <w:r w:rsidR="00AC0BFD">
        <w:rPr>
          <w:rFonts w:ascii="Times New Roman" w:eastAsia="MS Mincho" w:hAnsi="Times New Roman"/>
          <w:bCs/>
          <w:sz w:val="20"/>
          <w:szCs w:val="20"/>
        </w:rPr>
        <w:t>6</w:t>
      </w:r>
      <w:r w:rsidRPr="00F038BD">
        <w:rPr>
          <w:rFonts w:ascii="Times New Roman" w:eastAsia="MS Mincho" w:hAnsi="Times New Roman"/>
          <w:bCs/>
          <w:sz w:val="20"/>
          <w:szCs w:val="20"/>
        </w:rPr>
        <w:t xml:space="preserve"> years in the </w:t>
      </w:r>
      <w:r w:rsidR="00AC0BFD">
        <w:rPr>
          <w:rFonts w:ascii="Times New Roman" w:eastAsia="MS Mincho" w:hAnsi="Times New Roman"/>
          <w:bCs/>
          <w:sz w:val="20"/>
          <w:szCs w:val="20"/>
        </w:rPr>
        <w:t>brass industry</w:t>
      </w:r>
      <w:r w:rsidRPr="00F038BD">
        <w:rPr>
          <w:rFonts w:ascii="Times New Roman" w:eastAsia="MS Mincho" w:hAnsi="Times New Roman"/>
          <w:bCs/>
          <w:sz w:val="20"/>
          <w:szCs w:val="20"/>
        </w:rPr>
        <w:t xml:space="preserve">. Both of them </w:t>
      </w:r>
      <w:r w:rsidRPr="00F038BD">
        <w:rPr>
          <w:rFonts w:ascii="Times New Roman" w:hAnsi="Times New Roman"/>
          <w:sz w:val="20"/>
          <w:szCs w:val="20"/>
        </w:rPr>
        <w:t>are involved in the day</w:t>
      </w:r>
      <w:r w:rsidR="00AC0BFD">
        <w:rPr>
          <w:rFonts w:ascii="Times New Roman" w:hAnsi="Times New Roman"/>
          <w:sz w:val="20"/>
          <w:szCs w:val="20"/>
        </w:rPr>
        <w:t>-</w:t>
      </w:r>
      <w:r w:rsidRPr="00F038BD">
        <w:rPr>
          <w:rFonts w:ascii="Times New Roman" w:hAnsi="Times New Roman"/>
          <w:sz w:val="20"/>
          <w:szCs w:val="20"/>
        </w:rPr>
        <w:t>to</w:t>
      </w:r>
      <w:r w:rsidR="00AC0BFD">
        <w:rPr>
          <w:rFonts w:ascii="Times New Roman" w:hAnsi="Times New Roman"/>
          <w:sz w:val="20"/>
          <w:szCs w:val="20"/>
        </w:rPr>
        <w:t>-</w:t>
      </w:r>
      <w:r w:rsidRPr="00F038BD">
        <w:rPr>
          <w:rFonts w:ascii="Times New Roman" w:hAnsi="Times New Roman"/>
          <w:sz w:val="20"/>
          <w:szCs w:val="20"/>
        </w:rPr>
        <w:t xml:space="preserve">day business and management of our Company. We believe that our management team’s experience and their understanding of the industry will enable us to continue to take advantage of both current and future market opportunities. For details regarding the Key Managerial Personnel, please refer to chapter titled </w:t>
      </w:r>
      <w:r w:rsidRPr="00F038BD">
        <w:rPr>
          <w:rFonts w:ascii="Times New Roman" w:hAnsi="Times New Roman"/>
          <w:b/>
          <w:i/>
          <w:sz w:val="20"/>
          <w:szCs w:val="20"/>
        </w:rPr>
        <w:t>"Our Management"</w:t>
      </w:r>
      <w:r w:rsidRPr="00F038BD">
        <w:rPr>
          <w:rFonts w:ascii="Times New Roman" w:hAnsi="Times New Roman"/>
          <w:sz w:val="20"/>
          <w:szCs w:val="20"/>
        </w:rPr>
        <w:t xml:space="preserve"> on page 129 of this Prospectus. </w:t>
      </w:r>
      <w:r w:rsidRPr="00F038BD">
        <w:rPr>
          <w:rFonts w:ascii="Times New Roman" w:hAnsi="Times New Roman"/>
          <w:sz w:val="20"/>
          <w:szCs w:val="20"/>
        </w:rPr>
        <w:cr/>
      </w:r>
    </w:p>
    <w:p w14:paraId="18558E89" w14:textId="77777777" w:rsidR="00F038BD" w:rsidRPr="00F038BD" w:rsidRDefault="00F038BD" w:rsidP="00F038BD">
      <w:pPr>
        <w:spacing w:after="0" w:line="240" w:lineRule="auto"/>
        <w:rPr>
          <w:rFonts w:ascii="Times New Roman" w:hAnsi="Times New Roman"/>
          <w:b/>
          <w:bCs/>
          <w:sz w:val="20"/>
          <w:szCs w:val="20"/>
          <w:u w:val="single"/>
        </w:rPr>
      </w:pPr>
      <w:r w:rsidRPr="00F038BD">
        <w:rPr>
          <w:rFonts w:ascii="Times New Roman" w:hAnsi="Times New Roman"/>
          <w:b/>
          <w:bCs/>
          <w:sz w:val="20"/>
          <w:szCs w:val="20"/>
          <w:u w:val="single"/>
        </w:rPr>
        <w:t>Our Business Strategies</w:t>
      </w:r>
    </w:p>
    <w:p w14:paraId="2549EA33" w14:textId="77777777" w:rsidR="00F038BD" w:rsidRPr="00F038BD" w:rsidRDefault="00F038BD" w:rsidP="00F038BD">
      <w:pPr>
        <w:spacing w:after="0" w:line="240" w:lineRule="auto"/>
        <w:rPr>
          <w:rFonts w:ascii="Times New Roman" w:hAnsi="Times New Roman"/>
          <w:b/>
          <w:bCs/>
          <w:sz w:val="20"/>
          <w:szCs w:val="20"/>
          <w:u w:val="single"/>
        </w:rPr>
      </w:pPr>
    </w:p>
    <w:p w14:paraId="1FAA647F" w14:textId="77777777" w:rsidR="00F038BD" w:rsidRPr="00F038BD" w:rsidRDefault="00F038BD" w:rsidP="00F038BD">
      <w:pPr>
        <w:autoSpaceDE w:val="0"/>
        <w:autoSpaceDN w:val="0"/>
        <w:adjustRightInd w:val="0"/>
        <w:spacing w:after="0" w:line="240" w:lineRule="auto"/>
        <w:jc w:val="both"/>
        <w:rPr>
          <w:rFonts w:ascii="Times New Roman" w:hAnsi="Times New Roman"/>
          <w:b/>
          <w:i/>
          <w:sz w:val="20"/>
          <w:szCs w:val="20"/>
        </w:rPr>
      </w:pPr>
      <w:r w:rsidRPr="00F038BD">
        <w:rPr>
          <w:rFonts w:ascii="Times New Roman" w:hAnsi="Times New Roman"/>
          <w:b/>
          <w:i/>
          <w:sz w:val="20"/>
          <w:szCs w:val="20"/>
        </w:rPr>
        <w:t>Expand our domestic and international presence</w:t>
      </w:r>
    </w:p>
    <w:p w14:paraId="66DE17ED" w14:textId="77777777" w:rsidR="00F038BD" w:rsidRPr="00F038BD" w:rsidRDefault="00F038BD" w:rsidP="00F038BD">
      <w:pPr>
        <w:autoSpaceDE w:val="0"/>
        <w:autoSpaceDN w:val="0"/>
        <w:adjustRightInd w:val="0"/>
        <w:spacing w:after="0" w:line="240" w:lineRule="auto"/>
        <w:jc w:val="both"/>
        <w:rPr>
          <w:rFonts w:ascii="Times New Roman" w:hAnsi="Times New Roman"/>
          <w:sz w:val="12"/>
          <w:szCs w:val="20"/>
        </w:rPr>
      </w:pPr>
    </w:p>
    <w:p w14:paraId="7148DD59" w14:textId="1040E5DB" w:rsidR="00F038BD" w:rsidRPr="00F038BD" w:rsidRDefault="00F038BD" w:rsidP="00F038BD">
      <w:pPr>
        <w:autoSpaceDE w:val="0"/>
        <w:autoSpaceDN w:val="0"/>
        <w:adjustRightInd w:val="0"/>
        <w:spacing w:after="0" w:line="240" w:lineRule="auto"/>
        <w:jc w:val="both"/>
        <w:rPr>
          <w:rFonts w:ascii="Times New Roman" w:hAnsi="Times New Roman"/>
          <w:sz w:val="20"/>
          <w:szCs w:val="20"/>
        </w:rPr>
      </w:pPr>
      <w:r w:rsidRPr="00F038BD">
        <w:rPr>
          <w:rFonts w:ascii="Times New Roman" w:hAnsi="Times New Roman"/>
          <w:sz w:val="20"/>
          <w:szCs w:val="20"/>
        </w:rPr>
        <w:t xml:space="preserve">For the Fiscal 2022, our revenue from operations were </w:t>
      </w:r>
      <w:r w:rsidR="001706A2" w:rsidRPr="00712F3C">
        <w:rPr>
          <w:rFonts w:ascii="Times New Roman" w:eastAsia="MS Mincho" w:hAnsi="Times New Roman"/>
          <w:sz w:val="20"/>
          <w:szCs w:val="20"/>
        </w:rPr>
        <w:t>₹</w:t>
      </w:r>
      <w:r w:rsidRPr="00F038BD">
        <w:rPr>
          <w:rFonts w:ascii="Times New Roman" w:hAnsi="Times New Roman"/>
          <w:sz w:val="20"/>
          <w:szCs w:val="20"/>
        </w:rPr>
        <w:t xml:space="preserve"> 423.23 crores of which approximately 73.22% of the revenue were from domestic markets and 26.78% from international markets. Likewise, for the Fiscal 2023, our revenue from operations was </w:t>
      </w:r>
      <w:r w:rsidR="001706A2" w:rsidRPr="00712F3C">
        <w:rPr>
          <w:rFonts w:ascii="Times New Roman" w:eastAsia="MS Mincho" w:hAnsi="Times New Roman"/>
          <w:sz w:val="20"/>
          <w:szCs w:val="20"/>
        </w:rPr>
        <w:t>₹</w:t>
      </w:r>
      <w:r w:rsidR="001706A2">
        <w:rPr>
          <w:rFonts w:ascii="Times New Roman" w:eastAsia="MS Mincho" w:hAnsi="Times New Roman"/>
          <w:sz w:val="20"/>
          <w:szCs w:val="20"/>
        </w:rPr>
        <w:t xml:space="preserve"> </w:t>
      </w:r>
      <w:r w:rsidRPr="00F038BD">
        <w:rPr>
          <w:rFonts w:ascii="Times New Roman" w:hAnsi="Times New Roman"/>
          <w:sz w:val="20"/>
          <w:szCs w:val="20"/>
        </w:rPr>
        <w:t xml:space="preserve">492.87 crores of which approximately 67.06% of the revenue were from domestic markets and 32.94% from international markets. Currently, we market our products to around 18 states &amp; Union Territories in India of which majority portion of the revenue comes from the state of Gujarat. In Fiscal 2023, Gujarat contributed 56.40% of revenue from operations, Madhya Pradesh contributed 5.25%, Punjab contributed 2.03% and Rajasthan contributed 1.41% of our revenue from operations. The other 15 states and Union territories such as Haryana, Delhi, Karnataka, Tamil Nadu, West Bengal, Telangana, Uttar Pradesh, Uttarakhand and Maharashtra contributed below 1% of revenue from operations. We also export our products mainly brass billets to China. We further seek to identify markets where we believe we can provide cost advantages to our clients and distinguish ourselves from other competitors. Going forward, we would like to continue to expand our domestic and international presence to enhance our visibility. </w:t>
      </w:r>
    </w:p>
    <w:p w14:paraId="1360A203" w14:textId="77777777" w:rsidR="00F038BD" w:rsidRPr="00F038BD" w:rsidRDefault="00F038BD" w:rsidP="00F038BD">
      <w:pPr>
        <w:autoSpaceDE w:val="0"/>
        <w:autoSpaceDN w:val="0"/>
        <w:adjustRightInd w:val="0"/>
        <w:spacing w:after="0" w:line="240" w:lineRule="auto"/>
        <w:jc w:val="both"/>
        <w:rPr>
          <w:rFonts w:ascii="Times New Roman" w:hAnsi="Times New Roman"/>
          <w:sz w:val="20"/>
          <w:szCs w:val="20"/>
        </w:rPr>
      </w:pPr>
    </w:p>
    <w:p w14:paraId="7D33F82C" w14:textId="77777777" w:rsidR="00F038BD" w:rsidRPr="00F038BD" w:rsidRDefault="00F038BD" w:rsidP="00F038BD">
      <w:pPr>
        <w:autoSpaceDE w:val="0"/>
        <w:autoSpaceDN w:val="0"/>
        <w:adjustRightInd w:val="0"/>
        <w:spacing w:after="0" w:line="240" w:lineRule="auto"/>
        <w:jc w:val="both"/>
        <w:rPr>
          <w:rFonts w:ascii="Times New Roman" w:hAnsi="Times New Roman"/>
          <w:b/>
          <w:i/>
          <w:sz w:val="20"/>
          <w:szCs w:val="20"/>
        </w:rPr>
      </w:pPr>
      <w:r w:rsidRPr="00F038BD">
        <w:rPr>
          <w:rFonts w:ascii="Times New Roman" w:hAnsi="Times New Roman"/>
          <w:b/>
          <w:i/>
          <w:sz w:val="20"/>
          <w:szCs w:val="20"/>
        </w:rPr>
        <w:t>Continue to strengthen our relationships with the customers</w:t>
      </w:r>
    </w:p>
    <w:p w14:paraId="4DC49AD5" w14:textId="77777777" w:rsidR="00F038BD" w:rsidRPr="00F038BD" w:rsidRDefault="00F038BD" w:rsidP="00F038BD">
      <w:pPr>
        <w:autoSpaceDE w:val="0"/>
        <w:autoSpaceDN w:val="0"/>
        <w:adjustRightInd w:val="0"/>
        <w:spacing w:after="0" w:line="240" w:lineRule="auto"/>
        <w:jc w:val="both"/>
        <w:rPr>
          <w:rFonts w:ascii="Times New Roman" w:hAnsi="Times New Roman"/>
          <w:b/>
          <w:i/>
          <w:sz w:val="20"/>
          <w:szCs w:val="20"/>
        </w:rPr>
      </w:pPr>
    </w:p>
    <w:p w14:paraId="0A74B81F" w14:textId="77777777" w:rsidR="00F038BD" w:rsidRPr="00F038BD" w:rsidRDefault="00F038BD" w:rsidP="00F038BD">
      <w:pPr>
        <w:autoSpaceDE w:val="0"/>
        <w:autoSpaceDN w:val="0"/>
        <w:adjustRightInd w:val="0"/>
        <w:spacing w:after="0" w:line="240" w:lineRule="auto"/>
        <w:jc w:val="both"/>
        <w:rPr>
          <w:rFonts w:ascii="Times New Roman" w:hAnsi="Times New Roman"/>
          <w:sz w:val="20"/>
          <w:szCs w:val="20"/>
        </w:rPr>
      </w:pPr>
      <w:r w:rsidRPr="00F038BD">
        <w:rPr>
          <w:rFonts w:ascii="Times New Roman" w:hAnsi="Times New Roman"/>
          <w:sz w:val="20"/>
          <w:szCs w:val="20"/>
        </w:rPr>
        <w:t>We have over the years established long-term relationships with our customers leading to recurrent business engagements with them. Some of our customers have been with us for the last five Fiscals. We believe that our customer retention levels reflect our ability to provide high quality products, and our consistent customer servicing standards have enabled us to increase our customer dependence on us. We strive to clearly understand our customers’ business needs and provide products that maximize their returns. We anticipate that our product offerings and the quality thereof will help us in increasing our share of business amongst our existing customers as well as increase our customer base.</w:t>
      </w:r>
    </w:p>
    <w:p w14:paraId="3AC82F77" w14:textId="77777777" w:rsidR="00F038BD" w:rsidRPr="00F038BD" w:rsidRDefault="00F038BD" w:rsidP="00F038BD">
      <w:pPr>
        <w:suppressAutoHyphens/>
        <w:autoSpaceDE w:val="0"/>
        <w:autoSpaceDN w:val="0"/>
        <w:adjustRightInd w:val="0"/>
        <w:spacing w:after="0" w:line="240" w:lineRule="auto"/>
        <w:jc w:val="both"/>
        <w:textAlignment w:val="center"/>
        <w:rPr>
          <w:rFonts w:ascii="Times New Roman" w:eastAsia="MS Mincho" w:hAnsi="Times New Roman"/>
          <w:b/>
          <w:bCs/>
          <w:i/>
          <w:color w:val="000000"/>
          <w:sz w:val="20"/>
          <w:szCs w:val="20"/>
          <w:lang w:val="en-GB" w:eastAsia="x-none"/>
        </w:rPr>
      </w:pPr>
    </w:p>
    <w:p w14:paraId="2CD1B688" w14:textId="77777777" w:rsidR="00F038BD" w:rsidRPr="00F038BD" w:rsidRDefault="00F038BD" w:rsidP="00F038BD">
      <w:pPr>
        <w:suppressAutoHyphens/>
        <w:autoSpaceDE w:val="0"/>
        <w:autoSpaceDN w:val="0"/>
        <w:adjustRightInd w:val="0"/>
        <w:spacing w:after="0" w:line="240" w:lineRule="auto"/>
        <w:jc w:val="both"/>
        <w:textAlignment w:val="center"/>
        <w:rPr>
          <w:rFonts w:ascii="Times New Roman" w:eastAsia="MS Mincho" w:hAnsi="Times New Roman"/>
          <w:b/>
          <w:bCs/>
          <w:i/>
          <w:color w:val="000000"/>
          <w:sz w:val="20"/>
          <w:szCs w:val="20"/>
          <w:lang w:val="en-GB" w:eastAsia="x-none"/>
        </w:rPr>
      </w:pPr>
      <w:r w:rsidRPr="00F038BD">
        <w:rPr>
          <w:rFonts w:ascii="Times New Roman" w:eastAsia="MS Mincho" w:hAnsi="Times New Roman"/>
          <w:b/>
          <w:bCs/>
          <w:i/>
          <w:color w:val="000000"/>
          <w:sz w:val="20"/>
          <w:szCs w:val="20"/>
          <w:lang w:val="en-GB" w:eastAsia="x-none"/>
        </w:rPr>
        <w:t xml:space="preserve">Focus on consistently meeting quality standards </w:t>
      </w:r>
    </w:p>
    <w:p w14:paraId="04545222" w14:textId="77777777" w:rsidR="00F038BD" w:rsidRPr="00F038BD" w:rsidRDefault="00F038BD" w:rsidP="00F038BD">
      <w:pPr>
        <w:suppressAutoHyphens/>
        <w:autoSpaceDE w:val="0"/>
        <w:autoSpaceDN w:val="0"/>
        <w:adjustRightInd w:val="0"/>
        <w:spacing w:after="0" w:line="240" w:lineRule="auto"/>
        <w:jc w:val="both"/>
        <w:textAlignment w:val="center"/>
        <w:rPr>
          <w:rFonts w:ascii="Times New Roman" w:eastAsia="MS Mincho" w:hAnsi="Times New Roman"/>
          <w:bCs/>
          <w:color w:val="000000"/>
          <w:sz w:val="12"/>
          <w:szCs w:val="20"/>
          <w:lang w:val="en-GB" w:eastAsia="x-none"/>
        </w:rPr>
      </w:pPr>
    </w:p>
    <w:p w14:paraId="31DF83D9" w14:textId="77777777" w:rsidR="00F038BD" w:rsidRPr="00F038BD" w:rsidRDefault="00F038BD" w:rsidP="00F038BD">
      <w:pPr>
        <w:autoSpaceDE w:val="0"/>
        <w:autoSpaceDN w:val="0"/>
        <w:adjustRightInd w:val="0"/>
        <w:spacing w:after="0" w:line="240" w:lineRule="auto"/>
        <w:jc w:val="both"/>
        <w:rPr>
          <w:rFonts w:ascii="Times New Roman" w:eastAsia="MS Mincho" w:hAnsi="Times New Roman"/>
          <w:bCs/>
          <w:color w:val="000000"/>
          <w:sz w:val="20"/>
          <w:szCs w:val="20"/>
          <w:lang w:eastAsia="x-none"/>
        </w:rPr>
      </w:pPr>
      <w:r w:rsidRPr="00F038BD">
        <w:rPr>
          <w:rFonts w:ascii="Times New Roman" w:eastAsia="MS Mincho" w:hAnsi="Times New Roman"/>
          <w:bCs/>
          <w:color w:val="000000"/>
          <w:sz w:val="20"/>
          <w:szCs w:val="20"/>
          <w:lang w:eastAsia="x-none"/>
        </w:rPr>
        <w:t>Our Company intends to focus on adhering to the quality standards of the products. Quality of the product is very important for the company from both customer and end user point of view. Continuous quality review of products and timely corrective measures in case of quality diversion are keys for maintaining quality standards of the products. Providing the desired and good quality products help us in enhancing customer trust and maintaining long term relationships with them.</w:t>
      </w:r>
    </w:p>
    <w:p w14:paraId="66D1D6B9" w14:textId="77777777" w:rsidR="00F038BD" w:rsidRPr="00F038BD" w:rsidRDefault="00F038BD" w:rsidP="00F038BD">
      <w:pPr>
        <w:autoSpaceDE w:val="0"/>
        <w:autoSpaceDN w:val="0"/>
        <w:adjustRightInd w:val="0"/>
        <w:spacing w:after="0" w:line="240" w:lineRule="auto"/>
        <w:rPr>
          <w:rFonts w:ascii="Times New Roman" w:eastAsia="MS Mincho" w:hAnsi="Times New Roman"/>
          <w:bCs/>
          <w:color w:val="000000"/>
          <w:sz w:val="20"/>
          <w:szCs w:val="20"/>
          <w:lang w:eastAsia="x-none"/>
        </w:rPr>
      </w:pPr>
    </w:p>
    <w:p w14:paraId="1B276E92" w14:textId="77777777" w:rsidR="00F038BD" w:rsidRPr="00F038BD" w:rsidRDefault="00F038BD" w:rsidP="00F038BD">
      <w:pPr>
        <w:suppressAutoHyphens/>
        <w:autoSpaceDE w:val="0"/>
        <w:autoSpaceDN w:val="0"/>
        <w:adjustRightInd w:val="0"/>
        <w:spacing w:after="0" w:line="240" w:lineRule="auto"/>
        <w:jc w:val="both"/>
        <w:textAlignment w:val="center"/>
        <w:rPr>
          <w:rFonts w:ascii="Times New Roman" w:eastAsia="MS Mincho" w:hAnsi="Times New Roman"/>
          <w:b/>
          <w:bCs/>
          <w:i/>
          <w:color w:val="000000"/>
          <w:sz w:val="20"/>
          <w:szCs w:val="20"/>
          <w:lang w:eastAsia="x-none"/>
        </w:rPr>
      </w:pPr>
      <w:r w:rsidRPr="00F038BD">
        <w:rPr>
          <w:rFonts w:ascii="Times New Roman" w:eastAsia="MS Mincho" w:hAnsi="Times New Roman"/>
          <w:b/>
          <w:bCs/>
          <w:i/>
          <w:color w:val="000000"/>
          <w:sz w:val="20"/>
          <w:szCs w:val="20"/>
          <w:lang w:eastAsia="x-none"/>
        </w:rPr>
        <w:t xml:space="preserve">Focus on increasing operational efficiencies </w:t>
      </w:r>
    </w:p>
    <w:p w14:paraId="52C99813" w14:textId="77777777" w:rsidR="00F038BD" w:rsidRPr="00F038BD" w:rsidRDefault="00F038BD" w:rsidP="00F038BD">
      <w:pPr>
        <w:suppressAutoHyphens/>
        <w:autoSpaceDE w:val="0"/>
        <w:autoSpaceDN w:val="0"/>
        <w:adjustRightInd w:val="0"/>
        <w:spacing w:after="0" w:line="240" w:lineRule="auto"/>
        <w:jc w:val="both"/>
        <w:textAlignment w:val="center"/>
        <w:rPr>
          <w:rFonts w:ascii="Times New Roman" w:eastAsia="MS Mincho" w:hAnsi="Times New Roman"/>
          <w:b/>
          <w:bCs/>
          <w:i/>
          <w:color w:val="000000"/>
          <w:sz w:val="20"/>
          <w:szCs w:val="20"/>
          <w:lang w:eastAsia="x-none"/>
        </w:rPr>
      </w:pPr>
    </w:p>
    <w:p w14:paraId="1ADC0438" w14:textId="77777777" w:rsidR="00F038BD" w:rsidRPr="00F038BD" w:rsidRDefault="00F038BD" w:rsidP="00F038BD">
      <w:pPr>
        <w:suppressAutoHyphens/>
        <w:autoSpaceDE w:val="0"/>
        <w:autoSpaceDN w:val="0"/>
        <w:adjustRightInd w:val="0"/>
        <w:spacing w:after="0" w:line="240" w:lineRule="auto"/>
        <w:jc w:val="both"/>
        <w:textAlignment w:val="center"/>
        <w:rPr>
          <w:rFonts w:ascii="Times New Roman" w:eastAsia="MS Mincho" w:hAnsi="Times New Roman"/>
          <w:iCs/>
          <w:color w:val="000000"/>
          <w:sz w:val="20"/>
          <w:szCs w:val="20"/>
          <w:lang w:eastAsia="x-none"/>
        </w:rPr>
      </w:pPr>
      <w:r w:rsidRPr="00F038BD">
        <w:rPr>
          <w:rFonts w:ascii="Times New Roman" w:eastAsia="MS Mincho" w:hAnsi="Times New Roman"/>
          <w:iCs/>
          <w:color w:val="000000"/>
          <w:sz w:val="20"/>
          <w:szCs w:val="20"/>
          <w:lang w:eastAsia="x-none"/>
        </w:rPr>
        <w:t xml:space="preserve">Offering quality products at attractive prices is a key aspect of maintaining and expanding our relationships with our customers. In order to achieve the same, we intend to use a variety of manufacturing strategies, material sourcing strategies and cost reduction strategies to continue to improve our operational efficiencies. For achieving the same, we have adopted several initiatives designed to improve our cost efficiency such as bulk purchase of raw material, sourcing the material from nearby sources to save on transportation etc. We continue to invest in operational excellence throughout the organization without any compromise on the quality. </w:t>
      </w:r>
    </w:p>
    <w:p w14:paraId="059AA0BA" w14:textId="77777777" w:rsidR="00F038BD" w:rsidRDefault="00F038BD" w:rsidP="00F038BD">
      <w:pPr>
        <w:suppressAutoHyphens/>
        <w:autoSpaceDE w:val="0"/>
        <w:autoSpaceDN w:val="0"/>
        <w:adjustRightInd w:val="0"/>
        <w:spacing w:after="0" w:line="240" w:lineRule="auto"/>
        <w:jc w:val="both"/>
        <w:textAlignment w:val="center"/>
        <w:rPr>
          <w:rFonts w:ascii="Times New Roman" w:eastAsia="MS Mincho" w:hAnsi="Times New Roman"/>
          <w:b/>
          <w:bCs/>
          <w:i/>
          <w:color w:val="000000"/>
          <w:sz w:val="20"/>
          <w:szCs w:val="20"/>
          <w:lang w:eastAsia="x-none"/>
        </w:rPr>
      </w:pPr>
    </w:p>
    <w:p w14:paraId="478FE414" w14:textId="77777777" w:rsidR="00CB2D76" w:rsidRDefault="00CB2D76" w:rsidP="00F038BD">
      <w:pPr>
        <w:suppressAutoHyphens/>
        <w:autoSpaceDE w:val="0"/>
        <w:autoSpaceDN w:val="0"/>
        <w:adjustRightInd w:val="0"/>
        <w:spacing w:after="0" w:line="240" w:lineRule="auto"/>
        <w:jc w:val="both"/>
        <w:textAlignment w:val="center"/>
        <w:rPr>
          <w:rFonts w:ascii="Times New Roman" w:eastAsia="MS Mincho" w:hAnsi="Times New Roman"/>
          <w:b/>
          <w:bCs/>
          <w:i/>
          <w:color w:val="000000"/>
          <w:sz w:val="20"/>
          <w:szCs w:val="20"/>
          <w:lang w:eastAsia="x-none"/>
        </w:rPr>
      </w:pPr>
    </w:p>
    <w:p w14:paraId="527349AD" w14:textId="77777777" w:rsidR="00CB2D76" w:rsidRPr="00F038BD" w:rsidRDefault="00CB2D76" w:rsidP="00F038BD">
      <w:pPr>
        <w:suppressAutoHyphens/>
        <w:autoSpaceDE w:val="0"/>
        <w:autoSpaceDN w:val="0"/>
        <w:adjustRightInd w:val="0"/>
        <w:spacing w:after="0" w:line="240" w:lineRule="auto"/>
        <w:jc w:val="both"/>
        <w:textAlignment w:val="center"/>
        <w:rPr>
          <w:rFonts w:ascii="Times New Roman" w:eastAsia="MS Mincho" w:hAnsi="Times New Roman"/>
          <w:b/>
          <w:bCs/>
          <w:i/>
          <w:color w:val="000000"/>
          <w:sz w:val="20"/>
          <w:szCs w:val="20"/>
          <w:lang w:eastAsia="x-none"/>
        </w:rPr>
      </w:pPr>
    </w:p>
    <w:p w14:paraId="1814C4E2" w14:textId="2BDE5953" w:rsidR="00F038BD" w:rsidRDefault="00F038BD" w:rsidP="00F038BD">
      <w:pPr>
        <w:autoSpaceDE w:val="0"/>
        <w:autoSpaceDN w:val="0"/>
        <w:adjustRightInd w:val="0"/>
        <w:spacing w:after="0" w:line="240" w:lineRule="auto"/>
        <w:rPr>
          <w:rFonts w:ascii="Times New Roman" w:hAnsi="Times New Roman"/>
          <w:b/>
          <w:sz w:val="20"/>
          <w:szCs w:val="20"/>
        </w:rPr>
      </w:pPr>
      <w:r w:rsidRPr="00F038BD">
        <w:rPr>
          <w:rFonts w:ascii="Times New Roman" w:hAnsi="Times New Roman"/>
          <w:b/>
          <w:sz w:val="20"/>
          <w:szCs w:val="20"/>
        </w:rPr>
        <w:lastRenderedPageBreak/>
        <w:t>Our Units at village Lakhabaval, district Jamnagar:</w:t>
      </w:r>
    </w:p>
    <w:p w14:paraId="339E322A" w14:textId="77777777" w:rsidR="00CB2D76" w:rsidRDefault="00CB2D76" w:rsidP="00F038BD">
      <w:pPr>
        <w:autoSpaceDE w:val="0"/>
        <w:autoSpaceDN w:val="0"/>
        <w:adjustRightInd w:val="0"/>
        <w:spacing w:after="0" w:line="240" w:lineRule="auto"/>
        <w:rPr>
          <w:rFonts w:ascii="Times New Roman" w:hAnsi="Times New Roman"/>
          <w:b/>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CB2D76" w14:paraId="1B7B235C" w14:textId="77777777" w:rsidTr="00CB2D76">
        <w:tc>
          <w:tcPr>
            <w:tcW w:w="5000" w:type="pct"/>
          </w:tcPr>
          <w:p w14:paraId="5F25A7A4" w14:textId="77777777" w:rsidR="00CB2D76" w:rsidRPr="00F038BD" w:rsidRDefault="00CB2D76" w:rsidP="00F37091">
            <w:pPr>
              <w:autoSpaceDE w:val="0"/>
              <w:autoSpaceDN w:val="0"/>
              <w:adjustRightInd w:val="0"/>
              <w:spacing w:after="0" w:line="240" w:lineRule="auto"/>
              <w:jc w:val="center"/>
              <w:rPr>
                <w:rFonts w:ascii="Times New Roman" w:hAnsi="Times New Roman"/>
                <w:b/>
                <w:noProof/>
              </w:rPr>
            </w:pPr>
            <w:r w:rsidRPr="00F038BD">
              <w:rPr>
                <w:rFonts w:ascii="Times New Roman" w:hAnsi="Times New Roman"/>
                <w:b/>
                <w:noProof/>
              </w:rPr>
              <w:t>Unit – I</w:t>
            </w:r>
            <w:r w:rsidRPr="00F038BD">
              <w:rPr>
                <w:rFonts w:ascii="Times New Roman" w:hAnsi="Times New Roman"/>
                <w:b/>
                <w:noProof/>
              </w:rPr>
              <w:tab/>
              <w:t>- Plot No. 6 &amp; 7, Village – Lakhabaval, Post - Khodiyar Colony, Jamnagar, Gujarat – 361006</w:t>
            </w:r>
          </w:p>
          <w:p w14:paraId="55F2E98A" w14:textId="429D2D8C" w:rsidR="00CB2D76" w:rsidRDefault="00CB2D76" w:rsidP="00F37091">
            <w:pPr>
              <w:autoSpaceDE w:val="0"/>
              <w:autoSpaceDN w:val="0"/>
              <w:adjustRightInd w:val="0"/>
              <w:spacing w:after="0" w:line="240" w:lineRule="auto"/>
              <w:jc w:val="center"/>
              <w:rPr>
                <w:rFonts w:ascii="Times New Roman" w:hAnsi="Times New Roman"/>
                <w:b/>
              </w:rPr>
            </w:pPr>
            <w:r w:rsidRPr="00F038BD">
              <w:rPr>
                <w:rFonts w:ascii="Times New Roman" w:hAnsi="Times New Roman"/>
                <w:b/>
                <w:noProof/>
              </w:rPr>
              <w:t>(Manufacturing of rods, billets, ingots and plumbing parts)</w:t>
            </w:r>
          </w:p>
        </w:tc>
      </w:tr>
      <w:tr w:rsidR="00CB2D76" w14:paraId="47155A5D" w14:textId="77777777" w:rsidTr="00CB2D76">
        <w:tc>
          <w:tcPr>
            <w:tcW w:w="5000" w:type="pct"/>
          </w:tcPr>
          <w:p w14:paraId="5E0850BE" w14:textId="03CF3400" w:rsidR="00CB2D76" w:rsidRDefault="00CB2D76" w:rsidP="00CB2D76">
            <w:pPr>
              <w:autoSpaceDE w:val="0"/>
              <w:autoSpaceDN w:val="0"/>
              <w:adjustRightInd w:val="0"/>
              <w:spacing w:after="0" w:line="240" w:lineRule="auto"/>
              <w:jc w:val="center"/>
              <w:rPr>
                <w:rFonts w:ascii="Times New Roman" w:hAnsi="Times New Roman"/>
                <w:b/>
              </w:rPr>
            </w:pPr>
            <w:r>
              <w:rPr>
                <w:rFonts w:ascii="Times New Roman" w:hAnsi="Times New Roman"/>
                <w:b/>
                <w:noProof/>
              </w:rPr>
              <w:drawing>
                <wp:inline distT="0" distB="0" distL="0" distR="0" wp14:anchorId="572FAA75" wp14:editId="5494A423">
                  <wp:extent cx="4530464" cy="2560320"/>
                  <wp:effectExtent l="0" t="0" r="3810" b="0"/>
                  <wp:docPr id="1913794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30464" cy="2560320"/>
                          </a:xfrm>
                          <a:prstGeom prst="rect">
                            <a:avLst/>
                          </a:prstGeom>
                          <a:noFill/>
                        </pic:spPr>
                      </pic:pic>
                    </a:graphicData>
                  </a:graphic>
                </wp:inline>
              </w:drawing>
            </w:r>
          </w:p>
        </w:tc>
      </w:tr>
      <w:tr w:rsidR="00CB2D76" w14:paraId="29F96C11" w14:textId="77777777" w:rsidTr="00CB2D76">
        <w:tc>
          <w:tcPr>
            <w:tcW w:w="5000" w:type="pct"/>
          </w:tcPr>
          <w:p w14:paraId="7D1F046B" w14:textId="77777777" w:rsidR="00CB2D76" w:rsidRDefault="00CB2D76" w:rsidP="00CB2D76">
            <w:pPr>
              <w:autoSpaceDE w:val="0"/>
              <w:autoSpaceDN w:val="0"/>
              <w:adjustRightInd w:val="0"/>
              <w:spacing w:after="0" w:line="240" w:lineRule="auto"/>
              <w:jc w:val="center"/>
              <w:rPr>
                <w:rFonts w:ascii="Times New Roman" w:hAnsi="Times New Roman"/>
                <w:b/>
                <w:noProof/>
              </w:rPr>
            </w:pPr>
          </w:p>
        </w:tc>
      </w:tr>
      <w:tr w:rsidR="00CB2D76" w14:paraId="1FC166F2" w14:textId="77777777" w:rsidTr="00CB2D76">
        <w:tc>
          <w:tcPr>
            <w:tcW w:w="5000" w:type="pct"/>
          </w:tcPr>
          <w:p w14:paraId="69B71E20" w14:textId="406AF53F" w:rsidR="00CB2D76" w:rsidRPr="00F038BD" w:rsidRDefault="00CB2D76" w:rsidP="00F37091">
            <w:pPr>
              <w:autoSpaceDE w:val="0"/>
              <w:autoSpaceDN w:val="0"/>
              <w:adjustRightInd w:val="0"/>
              <w:spacing w:after="0" w:line="240" w:lineRule="auto"/>
              <w:jc w:val="center"/>
              <w:rPr>
                <w:rFonts w:ascii="Times New Roman" w:hAnsi="Times New Roman"/>
                <w:b/>
                <w:noProof/>
              </w:rPr>
            </w:pPr>
            <w:r w:rsidRPr="00F038BD">
              <w:rPr>
                <w:rFonts w:ascii="Times New Roman" w:hAnsi="Times New Roman"/>
                <w:b/>
                <w:noProof/>
              </w:rPr>
              <w:t>Unit – II - Plot No. 12 &amp; 14, Village – Lakhabaval, Post - Khodiyar Colony, Jamnagar, Gujarat – 361006</w:t>
            </w:r>
          </w:p>
          <w:p w14:paraId="63CBE29C" w14:textId="310B955B" w:rsidR="00CB2D76" w:rsidRDefault="00CB2D76" w:rsidP="00F37091">
            <w:pPr>
              <w:autoSpaceDE w:val="0"/>
              <w:autoSpaceDN w:val="0"/>
              <w:adjustRightInd w:val="0"/>
              <w:spacing w:after="0" w:line="240" w:lineRule="auto"/>
              <w:jc w:val="center"/>
              <w:rPr>
                <w:rFonts w:ascii="Times New Roman" w:hAnsi="Times New Roman"/>
                <w:b/>
                <w:noProof/>
              </w:rPr>
            </w:pPr>
            <w:r w:rsidRPr="00F038BD">
              <w:rPr>
                <w:rFonts w:ascii="Times New Roman" w:hAnsi="Times New Roman"/>
                <w:b/>
                <w:noProof/>
              </w:rPr>
              <w:t>(Manufacturing of sanitary items)</w:t>
            </w:r>
          </w:p>
        </w:tc>
      </w:tr>
      <w:tr w:rsidR="00CB2D76" w14:paraId="472EA7F3" w14:textId="77777777" w:rsidTr="00CB2D76">
        <w:tc>
          <w:tcPr>
            <w:tcW w:w="5000" w:type="pct"/>
          </w:tcPr>
          <w:p w14:paraId="096A1EDD" w14:textId="6A76A246" w:rsidR="00CB2D76" w:rsidRPr="00F038BD" w:rsidRDefault="00CB2D76" w:rsidP="00CB2D76">
            <w:pPr>
              <w:autoSpaceDE w:val="0"/>
              <w:autoSpaceDN w:val="0"/>
              <w:adjustRightInd w:val="0"/>
              <w:spacing w:after="0" w:line="240" w:lineRule="auto"/>
              <w:jc w:val="center"/>
              <w:rPr>
                <w:rFonts w:ascii="Times New Roman" w:hAnsi="Times New Roman"/>
                <w:b/>
                <w:noProof/>
              </w:rPr>
            </w:pPr>
            <w:r>
              <w:rPr>
                <w:rFonts w:ascii="Times New Roman" w:hAnsi="Times New Roman"/>
                <w:b/>
                <w:noProof/>
              </w:rPr>
              <w:drawing>
                <wp:inline distT="0" distB="0" distL="0" distR="0" wp14:anchorId="3CA1850D" wp14:editId="06E35EB5">
                  <wp:extent cx="4658436" cy="2468880"/>
                  <wp:effectExtent l="0" t="0" r="8890" b="7620"/>
                  <wp:docPr id="5140989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58436" cy="2468880"/>
                          </a:xfrm>
                          <a:prstGeom prst="rect">
                            <a:avLst/>
                          </a:prstGeom>
                          <a:noFill/>
                        </pic:spPr>
                      </pic:pic>
                    </a:graphicData>
                  </a:graphic>
                </wp:inline>
              </w:drawing>
            </w:r>
          </w:p>
        </w:tc>
      </w:tr>
      <w:tr w:rsidR="00CB2D76" w14:paraId="29A57A8C" w14:textId="77777777" w:rsidTr="00CB2D76">
        <w:tc>
          <w:tcPr>
            <w:tcW w:w="5000" w:type="pct"/>
          </w:tcPr>
          <w:p w14:paraId="6573E1AC" w14:textId="77777777" w:rsidR="00CB2D76" w:rsidRDefault="00CB2D76" w:rsidP="00CB2D76">
            <w:pPr>
              <w:autoSpaceDE w:val="0"/>
              <w:autoSpaceDN w:val="0"/>
              <w:adjustRightInd w:val="0"/>
              <w:spacing w:after="0" w:line="240" w:lineRule="auto"/>
              <w:jc w:val="center"/>
              <w:rPr>
                <w:rFonts w:ascii="Times New Roman" w:hAnsi="Times New Roman"/>
                <w:b/>
                <w:noProof/>
              </w:rPr>
            </w:pPr>
          </w:p>
        </w:tc>
      </w:tr>
      <w:tr w:rsidR="00CB2D76" w14:paraId="2CFC154D" w14:textId="77777777" w:rsidTr="00CB2D76">
        <w:tc>
          <w:tcPr>
            <w:tcW w:w="5000" w:type="pct"/>
          </w:tcPr>
          <w:p w14:paraId="1EC93C1D" w14:textId="624F5B29" w:rsidR="00CB2D76" w:rsidRPr="00CB2D76" w:rsidRDefault="00CB2D76" w:rsidP="00F37091">
            <w:pPr>
              <w:autoSpaceDE w:val="0"/>
              <w:autoSpaceDN w:val="0"/>
              <w:adjustRightInd w:val="0"/>
              <w:spacing w:after="0" w:line="240" w:lineRule="auto"/>
              <w:jc w:val="center"/>
              <w:rPr>
                <w:rFonts w:ascii="Times New Roman" w:hAnsi="Times New Roman"/>
                <w:b/>
                <w:noProof/>
              </w:rPr>
            </w:pPr>
            <w:r w:rsidRPr="00CB2D76">
              <w:rPr>
                <w:rFonts w:ascii="Times New Roman" w:hAnsi="Times New Roman"/>
                <w:b/>
                <w:noProof/>
              </w:rPr>
              <w:t>Unit-III - Plot No. 10, Village – Lakhabaval, Post - Khodiyar Colony, Jamnagar, Gujarat – 361006</w:t>
            </w:r>
          </w:p>
          <w:p w14:paraId="5DC36B66" w14:textId="2913ED98" w:rsidR="00CB2D76" w:rsidRDefault="00CB2D76" w:rsidP="00F37091">
            <w:pPr>
              <w:autoSpaceDE w:val="0"/>
              <w:autoSpaceDN w:val="0"/>
              <w:adjustRightInd w:val="0"/>
              <w:spacing w:after="0" w:line="240" w:lineRule="auto"/>
              <w:jc w:val="center"/>
              <w:rPr>
                <w:rFonts w:ascii="Times New Roman" w:hAnsi="Times New Roman"/>
                <w:b/>
                <w:noProof/>
              </w:rPr>
            </w:pPr>
            <w:r w:rsidRPr="00CB2D76">
              <w:rPr>
                <w:rFonts w:ascii="Times New Roman" w:hAnsi="Times New Roman"/>
                <w:b/>
                <w:noProof/>
              </w:rPr>
              <w:t>(Segregation of scrap)</w:t>
            </w:r>
          </w:p>
        </w:tc>
      </w:tr>
      <w:tr w:rsidR="00CB2D76" w14:paraId="5F15B5D9" w14:textId="77777777" w:rsidTr="00CB2D76">
        <w:tc>
          <w:tcPr>
            <w:tcW w:w="5000" w:type="pct"/>
          </w:tcPr>
          <w:p w14:paraId="03D009D4" w14:textId="5364B90D" w:rsidR="00CB2D76" w:rsidRPr="00CB2D76" w:rsidRDefault="00CB2D76" w:rsidP="00CB2D76">
            <w:pPr>
              <w:autoSpaceDE w:val="0"/>
              <w:autoSpaceDN w:val="0"/>
              <w:adjustRightInd w:val="0"/>
              <w:spacing w:after="0" w:line="240" w:lineRule="auto"/>
              <w:jc w:val="center"/>
              <w:rPr>
                <w:rFonts w:ascii="Times New Roman" w:hAnsi="Times New Roman"/>
                <w:b/>
                <w:noProof/>
              </w:rPr>
            </w:pPr>
            <w:r>
              <w:rPr>
                <w:rFonts w:ascii="Times New Roman" w:hAnsi="Times New Roman"/>
                <w:b/>
                <w:noProof/>
              </w:rPr>
              <w:drawing>
                <wp:inline distT="0" distB="0" distL="0" distR="0" wp14:anchorId="71C029F4" wp14:editId="17589C8A">
                  <wp:extent cx="4636894" cy="2468880"/>
                  <wp:effectExtent l="0" t="0" r="0" b="7620"/>
                  <wp:docPr id="4087223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36894" cy="2468880"/>
                          </a:xfrm>
                          <a:prstGeom prst="rect">
                            <a:avLst/>
                          </a:prstGeom>
                          <a:noFill/>
                        </pic:spPr>
                      </pic:pic>
                    </a:graphicData>
                  </a:graphic>
                </wp:inline>
              </w:drawing>
            </w:r>
          </w:p>
        </w:tc>
      </w:tr>
    </w:tbl>
    <w:p w14:paraId="659D068A" w14:textId="77777777" w:rsidR="00CB2D76" w:rsidRPr="00F038BD" w:rsidRDefault="00CB2D76" w:rsidP="00F038BD">
      <w:pPr>
        <w:autoSpaceDE w:val="0"/>
        <w:autoSpaceDN w:val="0"/>
        <w:adjustRightInd w:val="0"/>
        <w:spacing w:after="0" w:line="240" w:lineRule="auto"/>
        <w:rPr>
          <w:rFonts w:ascii="Times New Roman" w:hAnsi="Times New Roman"/>
          <w:b/>
          <w:sz w:val="20"/>
          <w:szCs w:val="20"/>
        </w:rPr>
      </w:pPr>
    </w:p>
    <w:p w14:paraId="22210FEC" w14:textId="77777777" w:rsidR="00F37091" w:rsidRDefault="00F37091" w:rsidP="00F038BD">
      <w:pPr>
        <w:autoSpaceDE w:val="0"/>
        <w:autoSpaceDN w:val="0"/>
        <w:adjustRightInd w:val="0"/>
        <w:spacing w:after="0" w:line="240" w:lineRule="auto"/>
        <w:jc w:val="both"/>
        <w:rPr>
          <w:rFonts w:ascii="Times New Roman" w:hAnsi="Times New Roman"/>
          <w:b/>
          <w:bCs/>
          <w:sz w:val="20"/>
          <w:szCs w:val="20"/>
        </w:rPr>
      </w:pPr>
    </w:p>
    <w:p w14:paraId="1F1215F9" w14:textId="6D52F229" w:rsidR="00F038BD" w:rsidRPr="00F038BD" w:rsidRDefault="00F038BD" w:rsidP="00F038BD">
      <w:pPr>
        <w:autoSpaceDE w:val="0"/>
        <w:autoSpaceDN w:val="0"/>
        <w:adjustRightInd w:val="0"/>
        <w:spacing w:after="0" w:line="240" w:lineRule="auto"/>
        <w:jc w:val="both"/>
        <w:rPr>
          <w:rFonts w:ascii="Times New Roman" w:hAnsi="Times New Roman"/>
          <w:b/>
          <w:bCs/>
          <w:sz w:val="20"/>
          <w:szCs w:val="20"/>
        </w:rPr>
      </w:pPr>
      <w:r w:rsidRPr="00F038BD">
        <w:rPr>
          <w:rFonts w:ascii="Times New Roman" w:hAnsi="Times New Roman"/>
          <w:b/>
          <w:bCs/>
          <w:sz w:val="20"/>
          <w:szCs w:val="20"/>
        </w:rPr>
        <w:lastRenderedPageBreak/>
        <w:t>Product portfolio:</w:t>
      </w:r>
    </w:p>
    <w:p w14:paraId="13E1A948" w14:textId="77777777" w:rsidR="00F038BD" w:rsidRPr="00F038BD" w:rsidRDefault="00F038BD" w:rsidP="00F038BD">
      <w:pPr>
        <w:autoSpaceDE w:val="0"/>
        <w:autoSpaceDN w:val="0"/>
        <w:adjustRightInd w:val="0"/>
        <w:spacing w:after="0" w:line="240" w:lineRule="auto"/>
        <w:jc w:val="both"/>
        <w:rPr>
          <w:rFonts w:ascii="Times New Roman" w:hAnsi="Times New Roman"/>
          <w:b/>
          <w:bCs/>
          <w:sz w:val="20"/>
          <w:szCs w:val="20"/>
        </w:rPr>
      </w:pPr>
    </w:p>
    <w:tbl>
      <w:tblPr>
        <w:tblW w:w="0" w:type="auto"/>
        <w:tblLook w:val="04A0" w:firstRow="1" w:lastRow="0" w:firstColumn="1" w:lastColumn="0" w:noHBand="0" w:noVBand="1"/>
      </w:tblPr>
      <w:tblGrid>
        <w:gridCol w:w="4453"/>
        <w:gridCol w:w="3006"/>
        <w:gridCol w:w="3007"/>
      </w:tblGrid>
      <w:tr w:rsidR="00F038BD" w:rsidRPr="00F038BD" w14:paraId="1F403729" w14:textId="77777777" w:rsidTr="00F37091">
        <w:tc>
          <w:tcPr>
            <w:tcW w:w="4453" w:type="dxa"/>
            <w:shd w:val="clear" w:color="auto" w:fill="auto"/>
          </w:tcPr>
          <w:p w14:paraId="5327EEFF" w14:textId="77777777" w:rsidR="00F038BD" w:rsidRPr="00F038BD" w:rsidRDefault="00F038BD" w:rsidP="00F038BD">
            <w:pPr>
              <w:autoSpaceDE w:val="0"/>
              <w:autoSpaceDN w:val="0"/>
              <w:adjustRightInd w:val="0"/>
              <w:spacing w:after="0" w:line="240" w:lineRule="auto"/>
              <w:jc w:val="both"/>
              <w:rPr>
                <w:rFonts w:ascii="Times New Roman" w:eastAsia="Calibri" w:hAnsi="Times New Roman"/>
                <w:b/>
                <w:bCs/>
                <w:sz w:val="20"/>
                <w:szCs w:val="20"/>
              </w:rPr>
            </w:pPr>
            <w:r w:rsidRPr="00F038BD">
              <w:rPr>
                <w:rFonts w:ascii="Times New Roman" w:eastAsia="Calibri" w:hAnsi="Times New Roman"/>
                <w:b/>
                <w:bCs/>
                <w:sz w:val="20"/>
                <w:szCs w:val="20"/>
              </w:rPr>
              <w:t>Brass Billets</w:t>
            </w:r>
          </w:p>
          <w:p w14:paraId="3E087D2F" w14:textId="77777777" w:rsidR="00F038BD" w:rsidRPr="00F038BD" w:rsidRDefault="00F038BD" w:rsidP="00F038BD">
            <w:pPr>
              <w:autoSpaceDE w:val="0"/>
              <w:autoSpaceDN w:val="0"/>
              <w:adjustRightInd w:val="0"/>
              <w:spacing w:after="0" w:line="240" w:lineRule="auto"/>
              <w:jc w:val="both"/>
              <w:rPr>
                <w:rFonts w:ascii="Times New Roman" w:eastAsia="Calibri" w:hAnsi="Times New Roman"/>
                <w:b/>
                <w:bCs/>
                <w:sz w:val="20"/>
                <w:szCs w:val="20"/>
              </w:rPr>
            </w:pPr>
          </w:p>
          <w:p w14:paraId="66B75807" w14:textId="77777777" w:rsidR="00F038BD" w:rsidRPr="00F038BD" w:rsidRDefault="00F038BD" w:rsidP="00F038BD">
            <w:pPr>
              <w:autoSpaceDE w:val="0"/>
              <w:autoSpaceDN w:val="0"/>
              <w:adjustRightInd w:val="0"/>
              <w:spacing w:after="0" w:line="240" w:lineRule="auto"/>
              <w:jc w:val="both"/>
              <w:rPr>
                <w:rFonts w:ascii="Times New Roman" w:eastAsia="Calibri" w:hAnsi="Times New Roman"/>
                <w:sz w:val="20"/>
                <w:szCs w:val="20"/>
              </w:rPr>
            </w:pPr>
            <w:r w:rsidRPr="00F038BD">
              <w:rPr>
                <w:rFonts w:ascii="Times New Roman" w:eastAsia="Calibri" w:hAnsi="Times New Roman"/>
                <w:sz w:val="20"/>
                <w:szCs w:val="20"/>
              </w:rPr>
              <w:t>Brass Billets are solid round shaped metal primarily composed of copper and zinc. They are produced by melting and casting the alloy into cylindrical/round molds to create desired shape. Brass ingots serve as the raw material for various downstream manufacturing processes in industries such as construction, automotive, plumbing, electronics etc.</w:t>
            </w:r>
          </w:p>
          <w:p w14:paraId="22B8EA39" w14:textId="77777777" w:rsidR="00F038BD" w:rsidRPr="00F038BD" w:rsidRDefault="00F038BD" w:rsidP="00F038BD">
            <w:pPr>
              <w:autoSpaceDE w:val="0"/>
              <w:autoSpaceDN w:val="0"/>
              <w:adjustRightInd w:val="0"/>
              <w:spacing w:after="0" w:line="240" w:lineRule="auto"/>
              <w:jc w:val="both"/>
              <w:rPr>
                <w:rFonts w:ascii="Times New Roman" w:eastAsia="Calibri" w:hAnsi="Times New Roman"/>
                <w:b/>
                <w:bCs/>
                <w:sz w:val="20"/>
                <w:szCs w:val="20"/>
              </w:rPr>
            </w:pPr>
          </w:p>
        </w:tc>
        <w:tc>
          <w:tcPr>
            <w:tcW w:w="6013" w:type="dxa"/>
            <w:gridSpan w:val="2"/>
            <w:shd w:val="clear" w:color="auto" w:fill="auto"/>
            <w:vAlign w:val="center"/>
          </w:tcPr>
          <w:p w14:paraId="5D65A38D" w14:textId="3FF4B694" w:rsidR="00F038BD" w:rsidRPr="00F038BD" w:rsidRDefault="00F038BD" w:rsidP="00F038BD">
            <w:pPr>
              <w:autoSpaceDE w:val="0"/>
              <w:autoSpaceDN w:val="0"/>
              <w:adjustRightInd w:val="0"/>
              <w:spacing w:after="0" w:line="240" w:lineRule="auto"/>
              <w:jc w:val="center"/>
              <w:rPr>
                <w:rFonts w:ascii="Times New Roman" w:eastAsia="Calibri" w:hAnsi="Times New Roman"/>
                <w:b/>
                <w:bCs/>
                <w:sz w:val="20"/>
                <w:szCs w:val="20"/>
              </w:rPr>
            </w:pPr>
            <w:r w:rsidRPr="00F038BD">
              <w:rPr>
                <w:rFonts w:ascii="Times New Roman" w:eastAsia="Calibri" w:hAnsi="Times New Roman"/>
                <w:b/>
                <w:bCs/>
                <w:noProof/>
                <w:sz w:val="20"/>
                <w:szCs w:val="20"/>
              </w:rPr>
              <w:drawing>
                <wp:inline distT="0" distB="0" distL="0" distR="0" wp14:anchorId="0726A5F7" wp14:editId="5122D290">
                  <wp:extent cx="1935480" cy="1178560"/>
                  <wp:effectExtent l="0" t="0" r="7620" b="2540"/>
                  <wp:docPr id="311780010"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35480" cy="1178560"/>
                          </a:xfrm>
                          <a:prstGeom prst="rect">
                            <a:avLst/>
                          </a:prstGeom>
                          <a:noFill/>
                          <a:ln>
                            <a:noFill/>
                          </a:ln>
                        </pic:spPr>
                      </pic:pic>
                    </a:graphicData>
                  </a:graphic>
                </wp:inline>
              </w:drawing>
            </w:r>
          </w:p>
        </w:tc>
      </w:tr>
      <w:tr w:rsidR="00F038BD" w:rsidRPr="00F038BD" w14:paraId="584B0DA5" w14:textId="77777777" w:rsidTr="00F37091">
        <w:tc>
          <w:tcPr>
            <w:tcW w:w="4453" w:type="dxa"/>
            <w:shd w:val="clear" w:color="auto" w:fill="auto"/>
            <w:vAlign w:val="center"/>
          </w:tcPr>
          <w:p w14:paraId="7D90D8B0" w14:textId="77777777" w:rsidR="00F038BD" w:rsidRPr="00F038BD" w:rsidRDefault="00F038BD" w:rsidP="00F038BD">
            <w:pPr>
              <w:autoSpaceDE w:val="0"/>
              <w:autoSpaceDN w:val="0"/>
              <w:adjustRightInd w:val="0"/>
              <w:spacing w:after="0" w:line="240" w:lineRule="auto"/>
              <w:jc w:val="center"/>
              <w:rPr>
                <w:rFonts w:ascii="Times New Roman" w:eastAsia="Calibri" w:hAnsi="Times New Roman"/>
                <w:sz w:val="20"/>
                <w:szCs w:val="20"/>
              </w:rPr>
            </w:pPr>
          </w:p>
          <w:p w14:paraId="38D5CC01" w14:textId="7700495F" w:rsidR="00F038BD" w:rsidRPr="00F038BD" w:rsidRDefault="00F038BD" w:rsidP="00F038BD">
            <w:pPr>
              <w:autoSpaceDE w:val="0"/>
              <w:autoSpaceDN w:val="0"/>
              <w:adjustRightInd w:val="0"/>
              <w:spacing w:after="0" w:line="240" w:lineRule="auto"/>
              <w:jc w:val="center"/>
              <w:rPr>
                <w:rFonts w:ascii="Times New Roman" w:eastAsia="Calibri" w:hAnsi="Times New Roman"/>
                <w:b/>
                <w:bCs/>
                <w:sz w:val="20"/>
                <w:szCs w:val="20"/>
              </w:rPr>
            </w:pPr>
            <w:r w:rsidRPr="00F038BD">
              <w:rPr>
                <w:rFonts w:ascii="Times New Roman" w:eastAsia="Calibri" w:hAnsi="Times New Roman"/>
                <w:b/>
                <w:bCs/>
                <w:noProof/>
                <w:sz w:val="20"/>
                <w:szCs w:val="20"/>
              </w:rPr>
              <w:drawing>
                <wp:inline distT="0" distB="0" distL="0" distR="0" wp14:anchorId="70B9ADF9" wp14:editId="2EEA8BC1">
                  <wp:extent cx="2321560" cy="1158240"/>
                  <wp:effectExtent l="0" t="0" r="2540" b="3810"/>
                  <wp:docPr id="1872688436"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21560" cy="1158240"/>
                          </a:xfrm>
                          <a:prstGeom prst="rect">
                            <a:avLst/>
                          </a:prstGeom>
                          <a:noFill/>
                          <a:ln>
                            <a:noFill/>
                          </a:ln>
                        </pic:spPr>
                      </pic:pic>
                    </a:graphicData>
                  </a:graphic>
                </wp:inline>
              </w:drawing>
            </w:r>
          </w:p>
          <w:p w14:paraId="7D0003C6" w14:textId="77777777" w:rsidR="00F038BD" w:rsidRPr="00F038BD" w:rsidRDefault="00F038BD" w:rsidP="00F038BD">
            <w:pPr>
              <w:autoSpaceDE w:val="0"/>
              <w:autoSpaceDN w:val="0"/>
              <w:adjustRightInd w:val="0"/>
              <w:spacing w:after="0" w:line="240" w:lineRule="auto"/>
              <w:jc w:val="center"/>
              <w:rPr>
                <w:rFonts w:ascii="Times New Roman" w:eastAsia="Calibri" w:hAnsi="Times New Roman"/>
                <w:b/>
                <w:bCs/>
                <w:sz w:val="20"/>
                <w:szCs w:val="20"/>
              </w:rPr>
            </w:pPr>
          </w:p>
        </w:tc>
        <w:tc>
          <w:tcPr>
            <w:tcW w:w="6013" w:type="dxa"/>
            <w:gridSpan w:val="2"/>
            <w:shd w:val="clear" w:color="auto" w:fill="auto"/>
          </w:tcPr>
          <w:p w14:paraId="049DB2BA" w14:textId="77777777" w:rsidR="00F038BD" w:rsidRPr="00F038BD" w:rsidRDefault="00F038BD" w:rsidP="00F038BD">
            <w:pPr>
              <w:autoSpaceDE w:val="0"/>
              <w:autoSpaceDN w:val="0"/>
              <w:adjustRightInd w:val="0"/>
              <w:spacing w:after="0" w:line="240" w:lineRule="auto"/>
              <w:jc w:val="both"/>
              <w:rPr>
                <w:rFonts w:ascii="Times New Roman" w:eastAsia="Calibri" w:hAnsi="Times New Roman"/>
                <w:b/>
                <w:bCs/>
                <w:sz w:val="20"/>
                <w:szCs w:val="20"/>
              </w:rPr>
            </w:pPr>
            <w:r w:rsidRPr="00F038BD">
              <w:rPr>
                <w:rFonts w:ascii="Times New Roman" w:eastAsia="Calibri" w:hAnsi="Times New Roman"/>
                <w:b/>
                <w:bCs/>
                <w:sz w:val="20"/>
                <w:szCs w:val="20"/>
              </w:rPr>
              <w:t>Brass Ingots</w:t>
            </w:r>
          </w:p>
          <w:p w14:paraId="30DE3D59" w14:textId="77777777" w:rsidR="00F038BD" w:rsidRPr="00F038BD" w:rsidRDefault="00F038BD" w:rsidP="00F038BD">
            <w:pPr>
              <w:autoSpaceDE w:val="0"/>
              <w:autoSpaceDN w:val="0"/>
              <w:adjustRightInd w:val="0"/>
              <w:spacing w:after="0" w:line="240" w:lineRule="auto"/>
              <w:jc w:val="both"/>
              <w:rPr>
                <w:rFonts w:ascii="Times New Roman" w:eastAsia="Calibri" w:hAnsi="Times New Roman"/>
                <w:b/>
                <w:bCs/>
                <w:sz w:val="20"/>
                <w:szCs w:val="20"/>
              </w:rPr>
            </w:pPr>
          </w:p>
          <w:p w14:paraId="4871FEDC" w14:textId="696CA27B" w:rsidR="00F038BD" w:rsidRPr="00F37091" w:rsidRDefault="00F038BD" w:rsidP="00F038BD">
            <w:pPr>
              <w:autoSpaceDE w:val="0"/>
              <w:autoSpaceDN w:val="0"/>
              <w:adjustRightInd w:val="0"/>
              <w:spacing w:after="0" w:line="240" w:lineRule="auto"/>
              <w:jc w:val="both"/>
              <w:rPr>
                <w:rFonts w:ascii="Times New Roman" w:eastAsia="Calibri" w:hAnsi="Times New Roman"/>
                <w:sz w:val="20"/>
                <w:szCs w:val="20"/>
              </w:rPr>
            </w:pPr>
            <w:r w:rsidRPr="00F038BD">
              <w:rPr>
                <w:rFonts w:ascii="Times New Roman" w:eastAsia="Calibri" w:hAnsi="Times New Roman"/>
                <w:sz w:val="20"/>
                <w:szCs w:val="20"/>
              </w:rPr>
              <w:t>Brass ingots are solid blocks of metal primarily composed of copper and zinc. They are produced by melting and casting the alloy into molds to create solid rectangular shapes. Brass ingots serve as the raw material for various downstream manufacturing processes in industries such as construction, automotive, plumbing, electronics etc.</w:t>
            </w:r>
          </w:p>
        </w:tc>
      </w:tr>
      <w:tr w:rsidR="00F038BD" w:rsidRPr="00F038BD" w14:paraId="3BF3C009" w14:textId="77777777" w:rsidTr="00F37091">
        <w:tc>
          <w:tcPr>
            <w:tcW w:w="4453" w:type="dxa"/>
            <w:shd w:val="clear" w:color="auto" w:fill="auto"/>
          </w:tcPr>
          <w:p w14:paraId="525756F8" w14:textId="77777777" w:rsidR="00F038BD" w:rsidRPr="00F038BD" w:rsidRDefault="00F038BD" w:rsidP="00F038BD">
            <w:pPr>
              <w:autoSpaceDE w:val="0"/>
              <w:autoSpaceDN w:val="0"/>
              <w:adjustRightInd w:val="0"/>
              <w:spacing w:after="0" w:line="240" w:lineRule="auto"/>
              <w:jc w:val="both"/>
              <w:rPr>
                <w:rFonts w:ascii="Times New Roman" w:eastAsia="Calibri" w:hAnsi="Times New Roman"/>
                <w:b/>
                <w:bCs/>
                <w:sz w:val="20"/>
                <w:szCs w:val="20"/>
              </w:rPr>
            </w:pPr>
            <w:r w:rsidRPr="00F038BD">
              <w:rPr>
                <w:rFonts w:ascii="Times New Roman" w:eastAsia="Calibri" w:hAnsi="Times New Roman"/>
                <w:b/>
                <w:bCs/>
                <w:sz w:val="20"/>
                <w:szCs w:val="20"/>
              </w:rPr>
              <w:t>Brass rods</w:t>
            </w:r>
          </w:p>
          <w:p w14:paraId="7BB054BD" w14:textId="77777777" w:rsidR="00F038BD" w:rsidRPr="00F038BD" w:rsidRDefault="00F038BD" w:rsidP="00F038BD">
            <w:pPr>
              <w:autoSpaceDE w:val="0"/>
              <w:autoSpaceDN w:val="0"/>
              <w:adjustRightInd w:val="0"/>
              <w:spacing w:after="0" w:line="240" w:lineRule="auto"/>
              <w:jc w:val="both"/>
              <w:rPr>
                <w:rFonts w:ascii="Times New Roman" w:eastAsia="Calibri" w:hAnsi="Times New Roman"/>
                <w:b/>
                <w:bCs/>
                <w:sz w:val="20"/>
                <w:szCs w:val="20"/>
              </w:rPr>
            </w:pPr>
          </w:p>
          <w:p w14:paraId="36AFBF09" w14:textId="77777777" w:rsidR="00F038BD" w:rsidRPr="00F038BD" w:rsidRDefault="00F038BD" w:rsidP="00F038BD">
            <w:pPr>
              <w:autoSpaceDE w:val="0"/>
              <w:autoSpaceDN w:val="0"/>
              <w:adjustRightInd w:val="0"/>
              <w:spacing w:after="0" w:line="240" w:lineRule="auto"/>
              <w:jc w:val="both"/>
              <w:rPr>
                <w:rFonts w:ascii="Times New Roman" w:eastAsia="Calibri" w:hAnsi="Times New Roman"/>
                <w:sz w:val="20"/>
                <w:szCs w:val="20"/>
              </w:rPr>
            </w:pPr>
            <w:r w:rsidRPr="00F038BD">
              <w:rPr>
                <w:rFonts w:ascii="Times New Roman" w:eastAsia="Calibri" w:hAnsi="Times New Roman"/>
                <w:sz w:val="20"/>
                <w:szCs w:val="20"/>
              </w:rPr>
              <w:t>Brass rods are metal components produced through an extrusion process of Brass Billets. Brass billets are transferred to the extrusion press machine where they are extruded through a die to make it into the desired shape and size of a brass rod. We offer various type of brass rods such as free cutting brass rods, forging quality brass rods and lead-free brass rods in various standards. They find application in various industries such as construction, automotive, electrical, and plumbing</w:t>
            </w:r>
          </w:p>
        </w:tc>
        <w:tc>
          <w:tcPr>
            <w:tcW w:w="6013" w:type="dxa"/>
            <w:gridSpan w:val="2"/>
            <w:shd w:val="clear" w:color="auto" w:fill="auto"/>
          </w:tcPr>
          <w:p w14:paraId="0F409729" w14:textId="03B8B260" w:rsidR="00F038BD" w:rsidRPr="00F038BD" w:rsidRDefault="00F038BD" w:rsidP="00F038BD">
            <w:pPr>
              <w:autoSpaceDE w:val="0"/>
              <w:autoSpaceDN w:val="0"/>
              <w:adjustRightInd w:val="0"/>
              <w:spacing w:after="0" w:line="240" w:lineRule="auto"/>
              <w:jc w:val="center"/>
              <w:rPr>
                <w:rFonts w:ascii="Times New Roman" w:eastAsia="Calibri" w:hAnsi="Times New Roman"/>
                <w:sz w:val="20"/>
                <w:szCs w:val="20"/>
              </w:rPr>
            </w:pPr>
            <w:r w:rsidRPr="00F038BD">
              <w:rPr>
                <w:rFonts w:ascii="Times New Roman" w:eastAsia="Calibri" w:hAnsi="Times New Roman"/>
                <w:noProof/>
                <w:sz w:val="20"/>
                <w:szCs w:val="20"/>
              </w:rPr>
              <w:drawing>
                <wp:inline distT="0" distB="0" distL="0" distR="0" wp14:anchorId="1E5420F8" wp14:editId="27690A31">
                  <wp:extent cx="2037080" cy="1696720"/>
                  <wp:effectExtent l="0" t="0" r="1270" b="0"/>
                  <wp:docPr id="112593343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70" cstate="print">
                            <a:extLst>
                              <a:ext uri="{28A0092B-C50C-407E-A947-70E740481C1C}">
                                <a14:useLocalDpi xmlns:a14="http://schemas.microsoft.com/office/drawing/2010/main" val="0"/>
                              </a:ext>
                            </a:extLst>
                          </a:blip>
                          <a:srcRect b="16379"/>
                          <a:stretch>
                            <a:fillRect/>
                          </a:stretch>
                        </pic:blipFill>
                        <pic:spPr bwMode="auto">
                          <a:xfrm>
                            <a:off x="0" y="0"/>
                            <a:ext cx="2037080" cy="1696720"/>
                          </a:xfrm>
                          <a:prstGeom prst="rect">
                            <a:avLst/>
                          </a:prstGeom>
                          <a:noFill/>
                          <a:ln>
                            <a:noFill/>
                          </a:ln>
                        </pic:spPr>
                      </pic:pic>
                    </a:graphicData>
                  </a:graphic>
                </wp:inline>
              </w:drawing>
            </w:r>
          </w:p>
        </w:tc>
      </w:tr>
      <w:tr w:rsidR="00F038BD" w:rsidRPr="00F038BD" w14:paraId="747D4AEA" w14:textId="77777777" w:rsidTr="00F37091">
        <w:trPr>
          <w:trHeight w:val="2736"/>
        </w:trPr>
        <w:tc>
          <w:tcPr>
            <w:tcW w:w="4453" w:type="dxa"/>
            <w:shd w:val="clear" w:color="auto" w:fill="auto"/>
            <w:vAlign w:val="center"/>
          </w:tcPr>
          <w:p w14:paraId="0303259F" w14:textId="730D5519" w:rsidR="00F038BD" w:rsidRPr="00F37091" w:rsidRDefault="00F038BD" w:rsidP="00F37091">
            <w:pPr>
              <w:autoSpaceDE w:val="0"/>
              <w:autoSpaceDN w:val="0"/>
              <w:adjustRightInd w:val="0"/>
              <w:spacing w:after="0" w:line="240" w:lineRule="auto"/>
              <w:jc w:val="center"/>
              <w:rPr>
                <w:rFonts w:ascii="Times New Roman" w:eastAsia="Calibri" w:hAnsi="Times New Roman"/>
                <w:sz w:val="20"/>
                <w:szCs w:val="20"/>
              </w:rPr>
            </w:pPr>
            <w:r w:rsidRPr="00F038BD">
              <w:rPr>
                <w:rFonts w:ascii="Times New Roman" w:eastAsia="Calibri" w:hAnsi="Times New Roman"/>
                <w:noProof/>
                <w:sz w:val="20"/>
                <w:szCs w:val="20"/>
              </w:rPr>
              <w:drawing>
                <wp:inline distT="0" distB="0" distL="0" distR="0" wp14:anchorId="1C819925" wp14:editId="7446A1FE">
                  <wp:extent cx="2153920" cy="1615440"/>
                  <wp:effectExtent l="0" t="0" r="0" b="3810"/>
                  <wp:docPr id="687747497"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53920" cy="1615440"/>
                          </a:xfrm>
                          <a:prstGeom prst="rect">
                            <a:avLst/>
                          </a:prstGeom>
                          <a:noFill/>
                          <a:ln>
                            <a:noFill/>
                          </a:ln>
                        </pic:spPr>
                      </pic:pic>
                    </a:graphicData>
                  </a:graphic>
                </wp:inline>
              </w:drawing>
            </w:r>
          </w:p>
        </w:tc>
        <w:tc>
          <w:tcPr>
            <w:tcW w:w="6013" w:type="dxa"/>
            <w:gridSpan w:val="2"/>
            <w:shd w:val="clear" w:color="auto" w:fill="auto"/>
          </w:tcPr>
          <w:p w14:paraId="2AC6F325" w14:textId="77777777" w:rsidR="00F038BD" w:rsidRPr="00F038BD" w:rsidRDefault="00F038BD" w:rsidP="00F37091">
            <w:pPr>
              <w:autoSpaceDE w:val="0"/>
              <w:autoSpaceDN w:val="0"/>
              <w:adjustRightInd w:val="0"/>
              <w:spacing w:after="0" w:line="240" w:lineRule="auto"/>
              <w:rPr>
                <w:rFonts w:ascii="Times New Roman" w:eastAsia="Calibri" w:hAnsi="Times New Roman"/>
                <w:b/>
                <w:bCs/>
                <w:sz w:val="20"/>
                <w:szCs w:val="20"/>
              </w:rPr>
            </w:pPr>
            <w:r w:rsidRPr="00F038BD">
              <w:rPr>
                <w:rFonts w:ascii="Times New Roman" w:eastAsia="Calibri" w:hAnsi="Times New Roman"/>
                <w:b/>
                <w:bCs/>
                <w:sz w:val="20"/>
                <w:szCs w:val="20"/>
              </w:rPr>
              <w:t>Brass Scrap</w:t>
            </w:r>
          </w:p>
          <w:p w14:paraId="2D6A96A1" w14:textId="77777777" w:rsidR="00F038BD" w:rsidRPr="00F038BD" w:rsidRDefault="00F038BD" w:rsidP="00F038BD">
            <w:pPr>
              <w:autoSpaceDE w:val="0"/>
              <w:autoSpaceDN w:val="0"/>
              <w:adjustRightInd w:val="0"/>
              <w:spacing w:after="0" w:line="240" w:lineRule="auto"/>
              <w:jc w:val="center"/>
              <w:rPr>
                <w:rFonts w:ascii="Times New Roman" w:eastAsia="Calibri" w:hAnsi="Times New Roman"/>
                <w:b/>
                <w:bCs/>
                <w:sz w:val="20"/>
                <w:szCs w:val="20"/>
              </w:rPr>
            </w:pPr>
          </w:p>
          <w:p w14:paraId="6D217434" w14:textId="77777777" w:rsidR="00F038BD" w:rsidRPr="00F038BD" w:rsidRDefault="00F038BD" w:rsidP="00F038BD">
            <w:pPr>
              <w:autoSpaceDE w:val="0"/>
              <w:autoSpaceDN w:val="0"/>
              <w:adjustRightInd w:val="0"/>
              <w:spacing w:after="0" w:line="240" w:lineRule="auto"/>
              <w:jc w:val="both"/>
              <w:rPr>
                <w:rFonts w:ascii="Times New Roman" w:eastAsia="Calibri" w:hAnsi="Times New Roman"/>
                <w:sz w:val="20"/>
                <w:szCs w:val="20"/>
              </w:rPr>
            </w:pPr>
            <w:r w:rsidRPr="00F038BD">
              <w:rPr>
                <w:rFonts w:ascii="Times New Roman" w:eastAsia="Calibri" w:hAnsi="Times New Roman"/>
                <w:sz w:val="20"/>
                <w:szCs w:val="20"/>
              </w:rPr>
              <w:t xml:space="preserve">We sell various type of brass scrap such as brass scrap honey, copper scrap, red brass ebony and zinc scrap. The brass scrap, which is generally imported by us is segregated and sorted manually and mechanically at our unit, which is then sold to various dealers and manufacturers. </w:t>
            </w:r>
          </w:p>
          <w:p w14:paraId="3773E74D" w14:textId="77777777" w:rsidR="00F038BD" w:rsidRPr="00F038BD" w:rsidRDefault="00F038BD" w:rsidP="00F038BD">
            <w:pPr>
              <w:autoSpaceDE w:val="0"/>
              <w:autoSpaceDN w:val="0"/>
              <w:adjustRightInd w:val="0"/>
              <w:spacing w:after="0" w:line="240" w:lineRule="auto"/>
              <w:jc w:val="center"/>
              <w:rPr>
                <w:rFonts w:ascii="Times New Roman" w:eastAsia="Calibri" w:hAnsi="Times New Roman"/>
                <w:b/>
                <w:bCs/>
                <w:sz w:val="20"/>
                <w:szCs w:val="20"/>
              </w:rPr>
            </w:pPr>
          </w:p>
        </w:tc>
      </w:tr>
      <w:tr w:rsidR="00F37091" w:rsidRPr="00F038BD" w14:paraId="0EAC1C0D" w14:textId="77777777" w:rsidTr="00F37091">
        <w:trPr>
          <w:trHeight w:val="2874"/>
        </w:trPr>
        <w:tc>
          <w:tcPr>
            <w:tcW w:w="4453" w:type="dxa"/>
            <w:vMerge w:val="restart"/>
            <w:shd w:val="clear" w:color="auto" w:fill="auto"/>
            <w:vAlign w:val="center"/>
          </w:tcPr>
          <w:p w14:paraId="7BA3E447" w14:textId="77777777" w:rsidR="00F37091" w:rsidRPr="00F038BD" w:rsidRDefault="00F37091" w:rsidP="00F37091">
            <w:pPr>
              <w:autoSpaceDE w:val="0"/>
              <w:autoSpaceDN w:val="0"/>
              <w:adjustRightInd w:val="0"/>
              <w:spacing w:after="0" w:line="240" w:lineRule="auto"/>
              <w:jc w:val="both"/>
              <w:rPr>
                <w:rFonts w:ascii="Times New Roman" w:eastAsia="Calibri" w:hAnsi="Times New Roman"/>
                <w:b/>
                <w:bCs/>
                <w:sz w:val="20"/>
                <w:szCs w:val="20"/>
              </w:rPr>
            </w:pPr>
            <w:r w:rsidRPr="00F038BD">
              <w:rPr>
                <w:rFonts w:ascii="Times New Roman" w:eastAsia="Calibri" w:hAnsi="Times New Roman"/>
                <w:b/>
                <w:bCs/>
                <w:sz w:val="20"/>
                <w:szCs w:val="20"/>
              </w:rPr>
              <w:t>Brass Components (plumbing and sanitary parts)</w:t>
            </w:r>
          </w:p>
          <w:p w14:paraId="597971DA" w14:textId="77777777" w:rsidR="00F37091" w:rsidRPr="00F038BD" w:rsidRDefault="00F37091" w:rsidP="00F37091">
            <w:pPr>
              <w:autoSpaceDE w:val="0"/>
              <w:autoSpaceDN w:val="0"/>
              <w:adjustRightInd w:val="0"/>
              <w:spacing w:after="0" w:line="240" w:lineRule="auto"/>
              <w:jc w:val="both"/>
              <w:rPr>
                <w:rFonts w:ascii="Times New Roman" w:eastAsia="Calibri" w:hAnsi="Times New Roman"/>
                <w:b/>
                <w:bCs/>
                <w:sz w:val="20"/>
                <w:szCs w:val="20"/>
              </w:rPr>
            </w:pPr>
          </w:p>
          <w:p w14:paraId="23118DFE" w14:textId="77777777" w:rsidR="00F37091" w:rsidRPr="00F038BD" w:rsidRDefault="00F37091" w:rsidP="00F37091">
            <w:pPr>
              <w:autoSpaceDE w:val="0"/>
              <w:autoSpaceDN w:val="0"/>
              <w:adjustRightInd w:val="0"/>
              <w:spacing w:after="0" w:line="240" w:lineRule="auto"/>
              <w:jc w:val="both"/>
              <w:rPr>
                <w:rFonts w:ascii="Times New Roman" w:eastAsia="Calibri" w:hAnsi="Times New Roman"/>
                <w:sz w:val="20"/>
                <w:szCs w:val="20"/>
              </w:rPr>
            </w:pPr>
            <w:r w:rsidRPr="00F038BD">
              <w:rPr>
                <w:rFonts w:ascii="Times New Roman" w:eastAsia="Calibri" w:hAnsi="Times New Roman"/>
                <w:sz w:val="20"/>
                <w:szCs w:val="20"/>
              </w:rPr>
              <w:t>Our brass components consist mainly of Brass inserts, Brass ceramic cartridges (brass spindles), Brass valves and Extension nipples.</w:t>
            </w:r>
          </w:p>
          <w:p w14:paraId="7380FBEC" w14:textId="77777777" w:rsidR="00F37091" w:rsidRPr="00F038BD" w:rsidRDefault="00F37091" w:rsidP="00F37091">
            <w:pPr>
              <w:autoSpaceDE w:val="0"/>
              <w:autoSpaceDN w:val="0"/>
              <w:adjustRightInd w:val="0"/>
              <w:spacing w:after="0" w:line="240" w:lineRule="auto"/>
              <w:jc w:val="both"/>
              <w:rPr>
                <w:rFonts w:ascii="Times New Roman" w:eastAsia="Calibri" w:hAnsi="Times New Roman"/>
                <w:sz w:val="20"/>
                <w:szCs w:val="20"/>
              </w:rPr>
            </w:pPr>
          </w:p>
          <w:p w14:paraId="364D84D8" w14:textId="77777777" w:rsidR="00F37091" w:rsidRPr="00F038BD" w:rsidRDefault="00F37091" w:rsidP="00F37091">
            <w:pPr>
              <w:autoSpaceDE w:val="0"/>
              <w:autoSpaceDN w:val="0"/>
              <w:adjustRightInd w:val="0"/>
              <w:spacing w:after="0" w:line="240" w:lineRule="auto"/>
              <w:jc w:val="both"/>
              <w:rPr>
                <w:rFonts w:ascii="Times New Roman" w:eastAsia="Calibri" w:hAnsi="Times New Roman"/>
                <w:b/>
                <w:bCs/>
                <w:sz w:val="20"/>
                <w:szCs w:val="20"/>
              </w:rPr>
            </w:pPr>
            <w:r w:rsidRPr="00F038BD">
              <w:rPr>
                <w:rFonts w:ascii="Times New Roman" w:eastAsia="Calibri" w:hAnsi="Times New Roman"/>
                <w:b/>
                <w:bCs/>
                <w:sz w:val="20"/>
                <w:szCs w:val="20"/>
              </w:rPr>
              <w:t>Brass inserts</w:t>
            </w:r>
          </w:p>
          <w:p w14:paraId="56EE32E6" w14:textId="77777777" w:rsidR="00F37091" w:rsidRPr="00F038BD" w:rsidRDefault="00F37091" w:rsidP="00F37091">
            <w:pPr>
              <w:autoSpaceDE w:val="0"/>
              <w:autoSpaceDN w:val="0"/>
              <w:adjustRightInd w:val="0"/>
              <w:spacing w:after="0" w:line="240" w:lineRule="auto"/>
              <w:jc w:val="both"/>
              <w:rPr>
                <w:rFonts w:ascii="Times New Roman" w:eastAsia="Calibri" w:hAnsi="Times New Roman"/>
                <w:sz w:val="20"/>
                <w:szCs w:val="20"/>
              </w:rPr>
            </w:pPr>
            <w:r w:rsidRPr="00F038BD">
              <w:rPr>
                <w:rFonts w:ascii="Times New Roman" w:eastAsia="Calibri" w:hAnsi="Times New Roman"/>
                <w:sz w:val="20"/>
                <w:szCs w:val="20"/>
              </w:rPr>
              <w:t>-Available in round knurled, hexagonal and square shape</w:t>
            </w:r>
          </w:p>
          <w:p w14:paraId="0B2398FE" w14:textId="77777777" w:rsidR="00F37091" w:rsidRPr="00F038BD" w:rsidRDefault="00F37091" w:rsidP="00F37091">
            <w:pPr>
              <w:autoSpaceDE w:val="0"/>
              <w:autoSpaceDN w:val="0"/>
              <w:adjustRightInd w:val="0"/>
              <w:spacing w:after="0" w:line="240" w:lineRule="auto"/>
              <w:jc w:val="both"/>
              <w:rPr>
                <w:rFonts w:ascii="Times New Roman" w:eastAsia="Calibri" w:hAnsi="Times New Roman"/>
                <w:sz w:val="20"/>
                <w:szCs w:val="20"/>
              </w:rPr>
            </w:pPr>
            <w:r w:rsidRPr="00F038BD">
              <w:rPr>
                <w:rFonts w:ascii="Times New Roman" w:eastAsia="Calibri" w:hAnsi="Times New Roman"/>
                <w:sz w:val="20"/>
                <w:szCs w:val="20"/>
              </w:rPr>
              <w:t>-Used for PPR, CPVC, UPVC pipes</w:t>
            </w:r>
          </w:p>
          <w:p w14:paraId="6FB11047" w14:textId="77777777" w:rsidR="00F37091" w:rsidRPr="00F038BD" w:rsidRDefault="00F37091" w:rsidP="00F37091">
            <w:pPr>
              <w:autoSpaceDE w:val="0"/>
              <w:autoSpaceDN w:val="0"/>
              <w:adjustRightInd w:val="0"/>
              <w:spacing w:after="0" w:line="240" w:lineRule="auto"/>
              <w:jc w:val="both"/>
              <w:rPr>
                <w:rFonts w:ascii="Times New Roman" w:eastAsia="Calibri" w:hAnsi="Times New Roman"/>
                <w:sz w:val="20"/>
                <w:szCs w:val="20"/>
              </w:rPr>
            </w:pPr>
          </w:p>
          <w:p w14:paraId="76CA62FC" w14:textId="77777777" w:rsidR="00F37091" w:rsidRPr="00F038BD" w:rsidRDefault="00F37091" w:rsidP="00F37091">
            <w:pPr>
              <w:autoSpaceDE w:val="0"/>
              <w:autoSpaceDN w:val="0"/>
              <w:adjustRightInd w:val="0"/>
              <w:spacing w:after="0" w:line="240" w:lineRule="auto"/>
              <w:jc w:val="both"/>
              <w:rPr>
                <w:rFonts w:ascii="Times New Roman" w:eastAsia="Calibri" w:hAnsi="Times New Roman"/>
                <w:b/>
                <w:bCs/>
                <w:sz w:val="20"/>
                <w:szCs w:val="20"/>
              </w:rPr>
            </w:pPr>
            <w:r w:rsidRPr="00F038BD">
              <w:rPr>
                <w:rFonts w:ascii="Times New Roman" w:eastAsia="Calibri" w:hAnsi="Times New Roman"/>
                <w:b/>
                <w:bCs/>
                <w:sz w:val="20"/>
                <w:szCs w:val="20"/>
              </w:rPr>
              <w:t>Brass ceramic cartridges (Brass spindles)</w:t>
            </w:r>
          </w:p>
          <w:p w14:paraId="4D444CAA" w14:textId="77777777" w:rsidR="00F37091" w:rsidRPr="00F038BD" w:rsidRDefault="00F37091" w:rsidP="00F37091">
            <w:pPr>
              <w:autoSpaceDE w:val="0"/>
              <w:autoSpaceDN w:val="0"/>
              <w:adjustRightInd w:val="0"/>
              <w:spacing w:after="0" w:line="240" w:lineRule="auto"/>
              <w:jc w:val="both"/>
              <w:rPr>
                <w:rFonts w:ascii="Times New Roman" w:eastAsia="Calibri" w:hAnsi="Times New Roman"/>
                <w:sz w:val="20"/>
                <w:szCs w:val="20"/>
              </w:rPr>
            </w:pPr>
            <w:r w:rsidRPr="00F038BD">
              <w:rPr>
                <w:rFonts w:ascii="Times New Roman" w:eastAsia="Calibri" w:hAnsi="Times New Roman"/>
                <w:sz w:val="20"/>
                <w:szCs w:val="20"/>
              </w:rPr>
              <w:lastRenderedPageBreak/>
              <w:t>- Integral components in plumbing fixtures (faucets and taps), as they controls water flow and adjust water temperature</w:t>
            </w:r>
          </w:p>
          <w:p w14:paraId="503DFDFB" w14:textId="77777777" w:rsidR="00F37091" w:rsidRPr="00F038BD" w:rsidRDefault="00F37091" w:rsidP="00F37091">
            <w:pPr>
              <w:autoSpaceDE w:val="0"/>
              <w:autoSpaceDN w:val="0"/>
              <w:adjustRightInd w:val="0"/>
              <w:spacing w:after="0" w:line="240" w:lineRule="auto"/>
              <w:jc w:val="both"/>
              <w:rPr>
                <w:rFonts w:ascii="Times New Roman" w:eastAsia="Calibri" w:hAnsi="Times New Roman"/>
                <w:sz w:val="20"/>
                <w:szCs w:val="20"/>
              </w:rPr>
            </w:pPr>
            <w:r w:rsidRPr="00F038BD">
              <w:rPr>
                <w:rFonts w:ascii="Times New Roman" w:eastAsia="Calibri" w:hAnsi="Times New Roman"/>
                <w:sz w:val="20"/>
                <w:szCs w:val="20"/>
              </w:rPr>
              <w:t>- Available in various dimensions and shapes</w:t>
            </w:r>
          </w:p>
          <w:p w14:paraId="7545796C" w14:textId="77777777" w:rsidR="00F37091" w:rsidRPr="00F038BD" w:rsidRDefault="00F37091" w:rsidP="00F37091">
            <w:pPr>
              <w:autoSpaceDE w:val="0"/>
              <w:autoSpaceDN w:val="0"/>
              <w:adjustRightInd w:val="0"/>
              <w:spacing w:after="0" w:line="240" w:lineRule="auto"/>
              <w:jc w:val="both"/>
              <w:rPr>
                <w:rFonts w:ascii="Times New Roman" w:eastAsia="Calibri" w:hAnsi="Times New Roman"/>
                <w:sz w:val="20"/>
                <w:szCs w:val="20"/>
              </w:rPr>
            </w:pPr>
          </w:p>
          <w:p w14:paraId="05500C04" w14:textId="77777777" w:rsidR="00F37091" w:rsidRPr="00F038BD" w:rsidRDefault="00F37091" w:rsidP="00F37091">
            <w:pPr>
              <w:autoSpaceDE w:val="0"/>
              <w:autoSpaceDN w:val="0"/>
              <w:adjustRightInd w:val="0"/>
              <w:spacing w:after="0" w:line="240" w:lineRule="auto"/>
              <w:jc w:val="both"/>
              <w:rPr>
                <w:rFonts w:ascii="Times New Roman" w:eastAsia="Calibri" w:hAnsi="Times New Roman"/>
                <w:b/>
                <w:bCs/>
                <w:sz w:val="20"/>
                <w:szCs w:val="20"/>
              </w:rPr>
            </w:pPr>
            <w:r w:rsidRPr="00F038BD">
              <w:rPr>
                <w:rFonts w:ascii="Times New Roman" w:eastAsia="Calibri" w:hAnsi="Times New Roman"/>
                <w:b/>
                <w:bCs/>
                <w:sz w:val="20"/>
                <w:szCs w:val="20"/>
              </w:rPr>
              <w:t>Brass Angle Valves</w:t>
            </w:r>
          </w:p>
          <w:p w14:paraId="6AE99898" w14:textId="77777777" w:rsidR="00F37091" w:rsidRPr="00F038BD" w:rsidRDefault="00F37091" w:rsidP="00F37091">
            <w:pPr>
              <w:autoSpaceDE w:val="0"/>
              <w:autoSpaceDN w:val="0"/>
              <w:adjustRightInd w:val="0"/>
              <w:spacing w:after="0" w:line="240" w:lineRule="auto"/>
              <w:jc w:val="both"/>
              <w:rPr>
                <w:rFonts w:ascii="Times New Roman" w:eastAsia="Calibri" w:hAnsi="Times New Roman"/>
                <w:sz w:val="20"/>
                <w:szCs w:val="20"/>
              </w:rPr>
            </w:pPr>
            <w:r w:rsidRPr="00F038BD">
              <w:rPr>
                <w:rFonts w:ascii="Times New Roman" w:eastAsia="Calibri" w:hAnsi="Times New Roman"/>
                <w:b/>
                <w:bCs/>
                <w:sz w:val="20"/>
                <w:szCs w:val="20"/>
              </w:rPr>
              <w:t xml:space="preserve">- </w:t>
            </w:r>
            <w:r w:rsidRPr="00F038BD">
              <w:rPr>
                <w:rFonts w:ascii="Times New Roman" w:eastAsia="Calibri" w:hAnsi="Times New Roman"/>
                <w:sz w:val="20"/>
                <w:szCs w:val="20"/>
              </w:rPr>
              <w:t>Used in plumbing fixtures (faucets, showerheads, toilets, sinks, and water distribution systems) to regulate the flow of water</w:t>
            </w:r>
          </w:p>
          <w:p w14:paraId="1E8FE054" w14:textId="77777777" w:rsidR="00F37091" w:rsidRPr="00F038BD" w:rsidRDefault="00F37091" w:rsidP="00F37091">
            <w:pPr>
              <w:autoSpaceDE w:val="0"/>
              <w:autoSpaceDN w:val="0"/>
              <w:adjustRightInd w:val="0"/>
              <w:spacing w:after="0" w:line="240" w:lineRule="auto"/>
              <w:jc w:val="both"/>
              <w:rPr>
                <w:rFonts w:ascii="Times New Roman" w:eastAsia="Calibri" w:hAnsi="Times New Roman"/>
                <w:sz w:val="20"/>
                <w:szCs w:val="20"/>
              </w:rPr>
            </w:pPr>
            <w:r w:rsidRPr="00F038BD">
              <w:rPr>
                <w:rFonts w:ascii="Times New Roman" w:eastAsia="Calibri" w:hAnsi="Times New Roman"/>
                <w:sz w:val="20"/>
                <w:szCs w:val="20"/>
              </w:rPr>
              <w:t>- Available in various dimensions and shapes</w:t>
            </w:r>
          </w:p>
          <w:p w14:paraId="109DB994" w14:textId="77777777" w:rsidR="00F37091" w:rsidRPr="00F038BD" w:rsidRDefault="00F37091" w:rsidP="00F37091">
            <w:pPr>
              <w:autoSpaceDE w:val="0"/>
              <w:autoSpaceDN w:val="0"/>
              <w:adjustRightInd w:val="0"/>
              <w:spacing w:after="0" w:line="240" w:lineRule="auto"/>
              <w:jc w:val="both"/>
              <w:rPr>
                <w:rFonts w:ascii="Times New Roman" w:eastAsia="Calibri" w:hAnsi="Times New Roman"/>
                <w:b/>
                <w:bCs/>
                <w:sz w:val="20"/>
                <w:szCs w:val="20"/>
              </w:rPr>
            </w:pPr>
          </w:p>
          <w:p w14:paraId="0DE52C0D" w14:textId="77777777" w:rsidR="00F37091" w:rsidRPr="00F038BD" w:rsidRDefault="00F37091" w:rsidP="00F37091">
            <w:pPr>
              <w:autoSpaceDE w:val="0"/>
              <w:autoSpaceDN w:val="0"/>
              <w:adjustRightInd w:val="0"/>
              <w:spacing w:after="0" w:line="240" w:lineRule="auto"/>
              <w:jc w:val="both"/>
              <w:rPr>
                <w:rFonts w:ascii="Times New Roman" w:eastAsia="Calibri" w:hAnsi="Times New Roman"/>
                <w:b/>
                <w:bCs/>
                <w:sz w:val="20"/>
                <w:szCs w:val="20"/>
              </w:rPr>
            </w:pPr>
            <w:r w:rsidRPr="00F038BD">
              <w:rPr>
                <w:rFonts w:ascii="Times New Roman" w:eastAsia="Calibri" w:hAnsi="Times New Roman"/>
                <w:b/>
                <w:bCs/>
                <w:sz w:val="20"/>
                <w:szCs w:val="20"/>
              </w:rPr>
              <w:t>Extension Nipples</w:t>
            </w:r>
          </w:p>
          <w:p w14:paraId="2BD79490" w14:textId="77777777" w:rsidR="00F37091" w:rsidRPr="00F038BD" w:rsidRDefault="00F37091" w:rsidP="00F37091">
            <w:pPr>
              <w:autoSpaceDE w:val="0"/>
              <w:autoSpaceDN w:val="0"/>
              <w:adjustRightInd w:val="0"/>
              <w:spacing w:after="0" w:line="240" w:lineRule="auto"/>
              <w:jc w:val="both"/>
              <w:rPr>
                <w:rFonts w:ascii="Times New Roman" w:eastAsia="Calibri" w:hAnsi="Times New Roman"/>
                <w:sz w:val="20"/>
                <w:szCs w:val="20"/>
              </w:rPr>
            </w:pPr>
            <w:r w:rsidRPr="00F038BD">
              <w:rPr>
                <w:rFonts w:ascii="Times New Roman" w:eastAsia="Calibri" w:hAnsi="Times New Roman"/>
                <w:sz w:val="20"/>
                <w:szCs w:val="20"/>
              </w:rPr>
              <w:t>-Extension nipples are threaded fittings used to connect two plumbing fixtures</w:t>
            </w:r>
          </w:p>
          <w:p w14:paraId="1B1CF2E0" w14:textId="086B27BD" w:rsidR="00F37091" w:rsidRPr="00F038BD" w:rsidRDefault="00F37091" w:rsidP="00F37091">
            <w:pPr>
              <w:autoSpaceDE w:val="0"/>
              <w:autoSpaceDN w:val="0"/>
              <w:adjustRightInd w:val="0"/>
              <w:spacing w:after="0" w:line="240" w:lineRule="auto"/>
              <w:jc w:val="both"/>
              <w:rPr>
                <w:rFonts w:ascii="Times New Roman" w:eastAsia="Calibri" w:hAnsi="Times New Roman"/>
                <w:noProof/>
                <w:sz w:val="20"/>
                <w:szCs w:val="20"/>
              </w:rPr>
            </w:pPr>
            <w:r w:rsidRPr="00F038BD">
              <w:rPr>
                <w:rFonts w:ascii="Times New Roman" w:eastAsia="Calibri" w:hAnsi="Times New Roman"/>
                <w:sz w:val="20"/>
                <w:szCs w:val="20"/>
              </w:rPr>
              <w:t>- Available in various dimensions and shapes</w:t>
            </w:r>
          </w:p>
        </w:tc>
        <w:tc>
          <w:tcPr>
            <w:tcW w:w="3006" w:type="dxa"/>
            <w:shd w:val="clear" w:color="auto" w:fill="auto"/>
            <w:vAlign w:val="center"/>
          </w:tcPr>
          <w:p w14:paraId="07E88B0C" w14:textId="77777777" w:rsidR="00F37091" w:rsidRDefault="00F37091" w:rsidP="00F37091">
            <w:pPr>
              <w:autoSpaceDE w:val="0"/>
              <w:autoSpaceDN w:val="0"/>
              <w:adjustRightInd w:val="0"/>
              <w:spacing w:after="0" w:line="240" w:lineRule="auto"/>
              <w:jc w:val="center"/>
              <w:rPr>
                <w:rFonts w:ascii="Times New Roman" w:eastAsia="Calibri" w:hAnsi="Times New Roman"/>
                <w:b/>
                <w:bCs/>
                <w:sz w:val="20"/>
                <w:szCs w:val="20"/>
              </w:rPr>
            </w:pPr>
            <w:r>
              <w:rPr>
                <w:rFonts w:ascii="Times New Roman" w:eastAsia="Calibri" w:hAnsi="Times New Roman"/>
                <w:b/>
                <w:bCs/>
                <w:noProof/>
                <w:sz w:val="20"/>
                <w:szCs w:val="20"/>
              </w:rPr>
              <w:lastRenderedPageBreak/>
              <w:drawing>
                <wp:inline distT="0" distB="0" distL="0" distR="0" wp14:anchorId="2CBAC965" wp14:editId="7021261F">
                  <wp:extent cx="1767840" cy="1181100"/>
                  <wp:effectExtent l="0" t="0" r="3810" b="0"/>
                  <wp:docPr id="4282467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67840" cy="1181100"/>
                          </a:xfrm>
                          <a:prstGeom prst="rect">
                            <a:avLst/>
                          </a:prstGeom>
                          <a:noFill/>
                        </pic:spPr>
                      </pic:pic>
                    </a:graphicData>
                  </a:graphic>
                </wp:inline>
              </w:drawing>
            </w:r>
          </w:p>
          <w:p w14:paraId="2F1B907D" w14:textId="01F08D44" w:rsidR="00F37091" w:rsidRPr="00F038BD" w:rsidRDefault="00F37091" w:rsidP="00F37091">
            <w:pPr>
              <w:autoSpaceDE w:val="0"/>
              <w:autoSpaceDN w:val="0"/>
              <w:adjustRightInd w:val="0"/>
              <w:spacing w:after="0" w:line="240" w:lineRule="auto"/>
              <w:jc w:val="center"/>
              <w:rPr>
                <w:rFonts w:ascii="Times New Roman" w:eastAsia="Calibri" w:hAnsi="Times New Roman"/>
                <w:b/>
                <w:bCs/>
                <w:sz w:val="20"/>
                <w:szCs w:val="20"/>
              </w:rPr>
            </w:pPr>
            <w:r w:rsidRPr="00F038BD">
              <w:rPr>
                <w:rFonts w:ascii="Times New Roman" w:eastAsia="Calibri" w:hAnsi="Times New Roman"/>
                <w:b/>
                <w:bCs/>
                <w:sz w:val="20"/>
                <w:szCs w:val="20"/>
              </w:rPr>
              <w:t>Brass Insert</w:t>
            </w:r>
            <w:r>
              <w:rPr>
                <w:rFonts w:ascii="Times New Roman" w:eastAsia="Calibri" w:hAnsi="Times New Roman"/>
                <w:b/>
                <w:bCs/>
                <w:sz w:val="20"/>
                <w:szCs w:val="20"/>
              </w:rPr>
              <w:t>s</w:t>
            </w:r>
          </w:p>
        </w:tc>
        <w:tc>
          <w:tcPr>
            <w:tcW w:w="3007" w:type="dxa"/>
            <w:shd w:val="clear" w:color="auto" w:fill="auto"/>
            <w:vAlign w:val="center"/>
          </w:tcPr>
          <w:p w14:paraId="2C6C6C31" w14:textId="77777777" w:rsidR="00F37091" w:rsidRDefault="00F37091" w:rsidP="00F37091">
            <w:pPr>
              <w:autoSpaceDE w:val="0"/>
              <w:autoSpaceDN w:val="0"/>
              <w:adjustRightInd w:val="0"/>
              <w:spacing w:after="0" w:line="240" w:lineRule="auto"/>
              <w:jc w:val="center"/>
              <w:rPr>
                <w:rFonts w:ascii="Times New Roman" w:eastAsia="Calibri" w:hAnsi="Times New Roman"/>
                <w:b/>
                <w:bCs/>
                <w:sz w:val="20"/>
                <w:szCs w:val="20"/>
              </w:rPr>
            </w:pPr>
            <w:r>
              <w:rPr>
                <w:rFonts w:ascii="Times New Roman" w:eastAsia="Calibri" w:hAnsi="Times New Roman"/>
                <w:b/>
                <w:bCs/>
                <w:noProof/>
                <w:sz w:val="20"/>
                <w:szCs w:val="20"/>
              </w:rPr>
              <w:drawing>
                <wp:inline distT="0" distB="0" distL="0" distR="0" wp14:anchorId="24A9C9D9" wp14:editId="12ED7973">
                  <wp:extent cx="1648762" cy="1097280"/>
                  <wp:effectExtent l="0" t="0" r="8890" b="7620"/>
                  <wp:docPr id="2776341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48762" cy="1097280"/>
                          </a:xfrm>
                          <a:prstGeom prst="rect">
                            <a:avLst/>
                          </a:prstGeom>
                          <a:noFill/>
                        </pic:spPr>
                      </pic:pic>
                    </a:graphicData>
                  </a:graphic>
                </wp:inline>
              </w:drawing>
            </w:r>
          </w:p>
          <w:p w14:paraId="409E2988" w14:textId="6FE3522A" w:rsidR="00F37091" w:rsidRPr="00F038BD" w:rsidRDefault="00F37091" w:rsidP="00F37091">
            <w:pPr>
              <w:autoSpaceDE w:val="0"/>
              <w:autoSpaceDN w:val="0"/>
              <w:adjustRightInd w:val="0"/>
              <w:spacing w:after="0" w:line="240" w:lineRule="auto"/>
              <w:jc w:val="center"/>
              <w:rPr>
                <w:rFonts w:ascii="Times New Roman" w:eastAsia="Calibri" w:hAnsi="Times New Roman"/>
                <w:b/>
                <w:bCs/>
                <w:sz w:val="20"/>
                <w:szCs w:val="20"/>
              </w:rPr>
            </w:pPr>
            <w:r w:rsidRPr="00F038BD">
              <w:rPr>
                <w:rFonts w:ascii="Times New Roman" w:eastAsia="Calibri" w:hAnsi="Times New Roman"/>
                <w:b/>
                <w:bCs/>
                <w:sz w:val="20"/>
                <w:szCs w:val="20"/>
              </w:rPr>
              <w:t>Brass ceramic cartridges (Brass spindles)</w:t>
            </w:r>
          </w:p>
        </w:tc>
      </w:tr>
      <w:tr w:rsidR="00F37091" w:rsidRPr="00F038BD" w14:paraId="0DC368B9" w14:textId="77777777" w:rsidTr="00F37091">
        <w:trPr>
          <w:trHeight w:val="2874"/>
        </w:trPr>
        <w:tc>
          <w:tcPr>
            <w:tcW w:w="4453" w:type="dxa"/>
            <w:vMerge/>
            <w:shd w:val="clear" w:color="auto" w:fill="auto"/>
            <w:vAlign w:val="center"/>
          </w:tcPr>
          <w:p w14:paraId="46F28120" w14:textId="77777777" w:rsidR="00F37091" w:rsidRPr="00F038BD" w:rsidRDefault="00F37091" w:rsidP="00F37091">
            <w:pPr>
              <w:autoSpaceDE w:val="0"/>
              <w:autoSpaceDN w:val="0"/>
              <w:adjustRightInd w:val="0"/>
              <w:spacing w:after="0" w:line="240" w:lineRule="auto"/>
              <w:rPr>
                <w:rFonts w:ascii="Times New Roman" w:eastAsia="Calibri" w:hAnsi="Times New Roman"/>
                <w:b/>
                <w:bCs/>
                <w:sz w:val="20"/>
                <w:szCs w:val="20"/>
              </w:rPr>
            </w:pPr>
          </w:p>
        </w:tc>
        <w:tc>
          <w:tcPr>
            <w:tcW w:w="3006" w:type="dxa"/>
            <w:shd w:val="clear" w:color="auto" w:fill="auto"/>
            <w:vAlign w:val="center"/>
          </w:tcPr>
          <w:p w14:paraId="44DB2FB1" w14:textId="77777777" w:rsidR="00F37091" w:rsidRDefault="00F37091" w:rsidP="00F37091">
            <w:pPr>
              <w:autoSpaceDE w:val="0"/>
              <w:autoSpaceDN w:val="0"/>
              <w:adjustRightInd w:val="0"/>
              <w:spacing w:after="0" w:line="240" w:lineRule="auto"/>
              <w:jc w:val="center"/>
              <w:rPr>
                <w:rFonts w:ascii="Times New Roman" w:eastAsia="Calibri" w:hAnsi="Times New Roman"/>
                <w:b/>
                <w:bCs/>
                <w:sz w:val="20"/>
                <w:szCs w:val="20"/>
              </w:rPr>
            </w:pPr>
            <w:r w:rsidRPr="00F038BD">
              <w:rPr>
                <w:rFonts w:ascii="Times New Roman" w:eastAsia="Calibri" w:hAnsi="Times New Roman"/>
                <w:b/>
                <w:bCs/>
                <w:noProof/>
                <w:sz w:val="20"/>
                <w:szCs w:val="20"/>
              </w:rPr>
              <w:drawing>
                <wp:inline distT="0" distB="0" distL="0" distR="0" wp14:anchorId="0195FAE5" wp14:editId="1C7D62A5">
                  <wp:extent cx="1769364" cy="1179576"/>
                  <wp:effectExtent l="0" t="0" r="2540" b="1905"/>
                  <wp:docPr id="254526213" name="Picture 254526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69364" cy="1179576"/>
                          </a:xfrm>
                          <a:prstGeom prst="rect">
                            <a:avLst/>
                          </a:prstGeom>
                          <a:noFill/>
                          <a:ln w="19050" cmpd="sng">
                            <a:noFill/>
                            <a:miter lim="800000"/>
                            <a:headEnd/>
                            <a:tailEnd/>
                          </a:ln>
                          <a:effectLst/>
                        </pic:spPr>
                      </pic:pic>
                    </a:graphicData>
                  </a:graphic>
                </wp:inline>
              </w:drawing>
            </w:r>
          </w:p>
          <w:p w14:paraId="11AD3651" w14:textId="44B86EC0" w:rsidR="00F37091" w:rsidRPr="00F038BD" w:rsidRDefault="00F37091" w:rsidP="00F37091">
            <w:pPr>
              <w:autoSpaceDE w:val="0"/>
              <w:autoSpaceDN w:val="0"/>
              <w:adjustRightInd w:val="0"/>
              <w:spacing w:after="0" w:line="240" w:lineRule="auto"/>
              <w:jc w:val="center"/>
              <w:rPr>
                <w:rFonts w:ascii="Times New Roman" w:eastAsia="Calibri" w:hAnsi="Times New Roman"/>
                <w:b/>
                <w:bCs/>
                <w:sz w:val="20"/>
                <w:szCs w:val="20"/>
              </w:rPr>
            </w:pPr>
            <w:r w:rsidRPr="00F038BD">
              <w:rPr>
                <w:rFonts w:ascii="Times New Roman" w:eastAsia="Calibri" w:hAnsi="Times New Roman"/>
                <w:b/>
                <w:bCs/>
                <w:sz w:val="20"/>
                <w:szCs w:val="20"/>
              </w:rPr>
              <w:t>Brass Angle Valves</w:t>
            </w:r>
          </w:p>
        </w:tc>
        <w:tc>
          <w:tcPr>
            <w:tcW w:w="3007" w:type="dxa"/>
            <w:shd w:val="clear" w:color="auto" w:fill="auto"/>
            <w:vAlign w:val="center"/>
          </w:tcPr>
          <w:p w14:paraId="1F433D83" w14:textId="77777777" w:rsidR="00F37091" w:rsidRDefault="00F37091" w:rsidP="00F37091">
            <w:pPr>
              <w:autoSpaceDE w:val="0"/>
              <w:autoSpaceDN w:val="0"/>
              <w:adjustRightInd w:val="0"/>
              <w:spacing w:after="0" w:line="240" w:lineRule="auto"/>
              <w:jc w:val="center"/>
              <w:rPr>
                <w:rFonts w:ascii="Times New Roman" w:eastAsia="Calibri" w:hAnsi="Times New Roman"/>
                <w:b/>
                <w:bCs/>
                <w:sz w:val="20"/>
                <w:szCs w:val="20"/>
              </w:rPr>
            </w:pPr>
            <w:r w:rsidRPr="00F038BD">
              <w:rPr>
                <w:rFonts w:ascii="Times New Roman" w:eastAsia="Calibri" w:hAnsi="Times New Roman"/>
                <w:b/>
                <w:bCs/>
                <w:noProof/>
                <w:sz w:val="20"/>
                <w:szCs w:val="20"/>
              </w:rPr>
              <w:drawing>
                <wp:inline distT="0" distB="0" distL="0" distR="0" wp14:anchorId="1040366D" wp14:editId="2BC9DE43">
                  <wp:extent cx="1769364" cy="1179576"/>
                  <wp:effectExtent l="0" t="0" r="2540" b="1905"/>
                  <wp:docPr id="168063479" name="Picture 16806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69364" cy="1179576"/>
                          </a:xfrm>
                          <a:prstGeom prst="rect">
                            <a:avLst/>
                          </a:prstGeom>
                          <a:noFill/>
                          <a:ln w="19050" cmpd="sng">
                            <a:noFill/>
                            <a:miter lim="800000"/>
                            <a:headEnd/>
                            <a:tailEnd/>
                          </a:ln>
                          <a:effectLst/>
                        </pic:spPr>
                      </pic:pic>
                    </a:graphicData>
                  </a:graphic>
                </wp:inline>
              </w:drawing>
            </w:r>
          </w:p>
          <w:p w14:paraId="60509079" w14:textId="4FF1727A" w:rsidR="00F37091" w:rsidRPr="00F038BD" w:rsidRDefault="00F37091" w:rsidP="00F37091">
            <w:pPr>
              <w:autoSpaceDE w:val="0"/>
              <w:autoSpaceDN w:val="0"/>
              <w:adjustRightInd w:val="0"/>
              <w:spacing w:after="0" w:line="240" w:lineRule="auto"/>
              <w:jc w:val="center"/>
              <w:rPr>
                <w:rFonts w:ascii="Times New Roman" w:eastAsia="Calibri" w:hAnsi="Times New Roman"/>
                <w:b/>
                <w:bCs/>
                <w:sz w:val="20"/>
                <w:szCs w:val="20"/>
              </w:rPr>
            </w:pPr>
            <w:r w:rsidRPr="00F038BD">
              <w:rPr>
                <w:rFonts w:ascii="Times New Roman" w:eastAsia="Calibri" w:hAnsi="Times New Roman"/>
                <w:b/>
                <w:bCs/>
                <w:sz w:val="20"/>
                <w:szCs w:val="20"/>
              </w:rPr>
              <w:t>Extension Nipples</w:t>
            </w:r>
          </w:p>
        </w:tc>
      </w:tr>
    </w:tbl>
    <w:p w14:paraId="7A146E26" w14:textId="77777777" w:rsidR="00F038BD" w:rsidRPr="00F038BD" w:rsidRDefault="00F038BD" w:rsidP="00F038BD">
      <w:pPr>
        <w:spacing w:after="0" w:line="240" w:lineRule="auto"/>
        <w:jc w:val="both"/>
        <w:rPr>
          <w:rFonts w:ascii="Times New Roman" w:hAnsi="Times New Roman"/>
          <w:sz w:val="20"/>
          <w:szCs w:val="20"/>
        </w:rPr>
      </w:pPr>
    </w:p>
    <w:p w14:paraId="7CD29F76" w14:textId="77777777" w:rsidR="00F038BD" w:rsidRPr="00F038BD" w:rsidRDefault="00F038BD" w:rsidP="00F038BD">
      <w:pPr>
        <w:spacing w:after="0" w:line="240" w:lineRule="auto"/>
        <w:jc w:val="both"/>
        <w:rPr>
          <w:rFonts w:ascii="Times New Roman" w:hAnsi="Times New Roman"/>
          <w:sz w:val="20"/>
          <w:szCs w:val="20"/>
        </w:rPr>
      </w:pPr>
      <w:r w:rsidRPr="00F038BD">
        <w:rPr>
          <w:rFonts w:ascii="Times New Roman" w:hAnsi="Times New Roman"/>
          <w:sz w:val="20"/>
          <w:szCs w:val="20"/>
        </w:rPr>
        <w:t>The following table sets out the bifurcation of our sales turnover for the fiscals as indicated:</w:t>
      </w:r>
    </w:p>
    <w:p w14:paraId="373C7538" w14:textId="2B92E2ED" w:rsidR="00F038BD" w:rsidRPr="00F038BD" w:rsidRDefault="00F37091" w:rsidP="00F37091">
      <w:pPr>
        <w:spacing w:after="0" w:line="240" w:lineRule="auto"/>
        <w:jc w:val="right"/>
        <w:rPr>
          <w:rFonts w:ascii="Times New Roman" w:hAnsi="Times New Roman"/>
          <w:sz w:val="20"/>
          <w:szCs w:val="20"/>
        </w:rPr>
      </w:pPr>
      <w:r w:rsidRPr="00F038BD">
        <w:rPr>
          <w:rFonts w:ascii="Times New Roman" w:eastAsia="Calibri" w:hAnsi="Times New Roman"/>
          <w:b/>
          <w:bCs/>
          <w:sz w:val="20"/>
          <w:szCs w:val="20"/>
          <w:lang w:val="en-IN"/>
        </w:rPr>
        <w:t>(</w:t>
      </w:r>
      <w:r w:rsidRPr="00F038BD">
        <w:rPr>
          <w:rFonts w:ascii="Times New Roman" w:eastAsia="Calibri" w:hAnsi="Times New Roman"/>
          <w:b/>
          <w:i/>
          <w:sz w:val="20"/>
          <w:szCs w:val="20"/>
        </w:rPr>
        <w:t>₹</w:t>
      </w:r>
      <w:r w:rsidRPr="00F038BD">
        <w:rPr>
          <w:rFonts w:ascii="Times New Roman" w:eastAsia="Calibri" w:hAnsi="Times New Roman"/>
          <w:b/>
          <w:bCs/>
          <w:i/>
          <w:sz w:val="20"/>
          <w:szCs w:val="20"/>
          <w:lang w:val="en-IN"/>
        </w:rPr>
        <w:t xml:space="preserve"> In Lakhs</w:t>
      </w:r>
      <w:r w:rsidR="00F038BD" w:rsidRPr="00F37091">
        <w:rPr>
          <w:rFonts w:ascii="Times New Roman" w:hAnsi="Times New Roman"/>
          <w:b/>
          <w:bCs/>
          <w:i/>
          <w:iCs/>
          <w:sz w:val="20"/>
          <w:szCs w:val="20"/>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7"/>
        <w:gridCol w:w="1418"/>
        <w:gridCol w:w="974"/>
        <w:gridCol w:w="1501"/>
        <w:gridCol w:w="974"/>
        <w:gridCol w:w="1414"/>
        <w:gridCol w:w="968"/>
      </w:tblGrid>
      <w:tr w:rsidR="00F37091" w:rsidRPr="00F37091" w14:paraId="5275B295" w14:textId="77777777" w:rsidTr="00E45AD7">
        <w:trPr>
          <w:trHeight w:val="20"/>
        </w:trPr>
        <w:tc>
          <w:tcPr>
            <w:tcW w:w="1533" w:type="pct"/>
            <w:shd w:val="clear" w:color="auto" w:fill="D0CECE" w:themeFill="background2" w:themeFillShade="E6"/>
          </w:tcPr>
          <w:p w14:paraId="2569A8DB" w14:textId="77777777" w:rsidR="00F038BD" w:rsidRPr="00F37091" w:rsidRDefault="00F038BD" w:rsidP="00F038BD">
            <w:pPr>
              <w:widowControl w:val="0"/>
              <w:autoSpaceDE w:val="0"/>
              <w:autoSpaceDN w:val="0"/>
              <w:spacing w:after="0" w:line="240" w:lineRule="auto"/>
              <w:jc w:val="center"/>
              <w:rPr>
                <w:rFonts w:ascii="Times New Roman" w:hAnsi="Times New Roman"/>
                <w:b/>
                <w:sz w:val="20"/>
                <w:szCs w:val="20"/>
                <w:lang w:bidi="en-US"/>
              </w:rPr>
            </w:pPr>
            <w:r w:rsidRPr="00F37091">
              <w:rPr>
                <w:rFonts w:ascii="Times New Roman" w:hAnsi="Times New Roman"/>
                <w:b/>
                <w:sz w:val="20"/>
                <w:szCs w:val="20"/>
                <w:lang w:bidi="en-US"/>
              </w:rPr>
              <w:t xml:space="preserve">Particulars </w:t>
            </w:r>
          </w:p>
        </w:tc>
        <w:tc>
          <w:tcPr>
            <w:tcW w:w="678" w:type="pct"/>
            <w:shd w:val="clear" w:color="auto" w:fill="D0CECE" w:themeFill="background2" w:themeFillShade="E6"/>
          </w:tcPr>
          <w:p w14:paraId="617FA649" w14:textId="77777777" w:rsidR="00F038BD" w:rsidRPr="00F37091" w:rsidRDefault="00F038BD" w:rsidP="00F038BD">
            <w:pPr>
              <w:spacing w:after="0"/>
              <w:jc w:val="center"/>
              <w:rPr>
                <w:rFonts w:ascii="Times New Roman" w:hAnsi="Times New Roman"/>
                <w:b/>
                <w:sz w:val="20"/>
                <w:szCs w:val="20"/>
              </w:rPr>
            </w:pPr>
            <w:r w:rsidRPr="00F37091">
              <w:rPr>
                <w:rFonts w:ascii="Times New Roman" w:hAnsi="Times New Roman"/>
                <w:b/>
                <w:sz w:val="20"/>
                <w:szCs w:val="20"/>
              </w:rPr>
              <w:t>Fiscal year ended March 31, 2021</w:t>
            </w:r>
          </w:p>
        </w:tc>
        <w:tc>
          <w:tcPr>
            <w:tcW w:w="466" w:type="pct"/>
            <w:shd w:val="clear" w:color="auto" w:fill="D0CECE" w:themeFill="background2" w:themeFillShade="E6"/>
          </w:tcPr>
          <w:p w14:paraId="791B185B" w14:textId="77777777" w:rsidR="00F038BD" w:rsidRPr="00F37091" w:rsidRDefault="00F038BD" w:rsidP="00F038BD">
            <w:pPr>
              <w:spacing w:after="0"/>
              <w:jc w:val="center"/>
              <w:rPr>
                <w:rFonts w:ascii="Times New Roman" w:hAnsi="Times New Roman"/>
                <w:b/>
                <w:sz w:val="20"/>
                <w:szCs w:val="20"/>
              </w:rPr>
            </w:pPr>
            <w:r w:rsidRPr="00F37091">
              <w:rPr>
                <w:rFonts w:ascii="Times New Roman" w:hAnsi="Times New Roman"/>
                <w:b/>
                <w:sz w:val="20"/>
                <w:szCs w:val="20"/>
              </w:rPr>
              <w:t>% of Revenue</w:t>
            </w:r>
          </w:p>
        </w:tc>
        <w:tc>
          <w:tcPr>
            <w:tcW w:w="718" w:type="pct"/>
            <w:shd w:val="clear" w:color="auto" w:fill="D0CECE" w:themeFill="background2" w:themeFillShade="E6"/>
          </w:tcPr>
          <w:p w14:paraId="1F825319" w14:textId="77777777" w:rsidR="00F038BD" w:rsidRPr="00F37091" w:rsidRDefault="00F038BD" w:rsidP="00F038BD">
            <w:pPr>
              <w:spacing w:after="0"/>
              <w:jc w:val="center"/>
              <w:rPr>
                <w:rFonts w:ascii="Times New Roman" w:hAnsi="Times New Roman"/>
                <w:b/>
                <w:sz w:val="20"/>
                <w:szCs w:val="20"/>
              </w:rPr>
            </w:pPr>
            <w:r w:rsidRPr="00F37091">
              <w:rPr>
                <w:rFonts w:ascii="Times New Roman" w:hAnsi="Times New Roman"/>
                <w:b/>
                <w:sz w:val="20"/>
                <w:szCs w:val="20"/>
              </w:rPr>
              <w:t>Fiscal year ended March 31, 2022</w:t>
            </w:r>
          </w:p>
        </w:tc>
        <w:tc>
          <w:tcPr>
            <w:tcW w:w="466" w:type="pct"/>
            <w:shd w:val="clear" w:color="auto" w:fill="D0CECE" w:themeFill="background2" w:themeFillShade="E6"/>
          </w:tcPr>
          <w:p w14:paraId="65BA9942" w14:textId="77777777" w:rsidR="00F038BD" w:rsidRPr="00F37091" w:rsidRDefault="00F038BD" w:rsidP="00F038BD">
            <w:pPr>
              <w:spacing w:after="0"/>
              <w:jc w:val="center"/>
              <w:rPr>
                <w:rFonts w:ascii="Times New Roman" w:hAnsi="Times New Roman"/>
                <w:b/>
                <w:sz w:val="20"/>
                <w:szCs w:val="20"/>
              </w:rPr>
            </w:pPr>
            <w:r w:rsidRPr="00F37091">
              <w:rPr>
                <w:rFonts w:ascii="Times New Roman" w:hAnsi="Times New Roman"/>
                <w:b/>
                <w:sz w:val="20"/>
                <w:szCs w:val="20"/>
              </w:rPr>
              <w:t>% of Revenue</w:t>
            </w:r>
          </w:p>
        </w:tc>
        <w:tc>
          <w:tcPr>
            <w:tcW w:w="676" w:type="pct"/>
            <w:shd w:val="clear" w:color="auto" w:fill="D0CECE" w:themeFill="background2" w:themeFillShade="E6"/>
          </w:tcPr>
          <w:p w14:paraId="42965523" w14:textId="77777777" w:rsidR="00F038BD" w:rsidRPr="00F37091" w:rsidRDefault="00F038BD" w:rsidP="00F038BD">
            <w:pPr>
              <w:spacing w:after="0"/>
              <w:jc w:val="center"/>
              <w:rPr>
                <w:rFonts w:ascii="Times New Roman" w:hAnsi="Times New Roman"/>
                <w:b/>
                <w:sz w:val="20"/>
                <w:szCs w:val="20"/>
              </w:rPr>
            </w:pPr>
            <w:r w:rsidRPr="00F37091">
              <w:rPr>
                <w:rFonts w:ascii="Times New Roman" w:hAnsi="Times New Roman"/>
                <w:b/>
                <w:sz w:val="20"/>
                <w:szCs w:val="20"/>
              </w:rPr>
              <w:t>Fiscal year ended March 31, 2023</w:t>
            </w:r>
          </w:p>
        </w:tc>
        <w:tc>
          <w:tcPr>
            <w:tcW w:w="464" w:type="pct"/>
            <w:shd w:val="clear" w:color="auto" w:fill="D0CECE" w:themeFill="background2" w:themeFillShade="E6"/>
          </w:tcPr>
          <w:p w14:paraId="1C4D0997" w14:textId="77777777" w:rsidR="00F038BD" w:rsidRPr="00F37091" w:rsidRDefault="00F038BD" w:rsidP="00F038BD">
            <w:pPr>
              <w:spacing w:after="0"/>
              <w:jc w:val="center"/>
              <w:rPr>
                <w:rFonts w:ascii="Times New Roman" w:hAnsi="Times New Roman"/>
                <w:b/>
                <w:sz w:val="20"/>
                <w:szCs w:val="20"/>
              </w:rPr>
            </w:pPr>
            <w:r w:rsidRPr="00F37091">
              <w:rPr>
                <w:rFonts w:ascii="Times New Roman" w:hAnsi="Times New Roman"/>
                <w:b/>
                <w:sz w:val="20"/>
                <w:szCs w:val="20"/>
              </w:rPr>
              <w:t>% of Revenue</w:t>
            </w:r>
          </w:p>
        </w:tc>
      </w:tr>
      <w:tr w:rsidR="00F038BD" w:rsidRPr="00F038BD" w14:paraId="2F376CC0" w14:textId="77777777" w:rsidTr="00E45AD7">
        <w:tc>
          <w:tcPr>
            <w:tcW w:w="1533" w:type="pct"/>
            <w:vAlign w:val="bottom"/>
          </w:tcPr>
          <w:p w14:paraId="0850D7F9" w14:textId="77777777" w:rsidR="00F038BD" w:rsidRPr="00F038BD" w:rsidRDefault="00F038BD" w:rsidP="00F038BD">
            <w:pPr>
              <w:spacing w:after="0"/>
              <w:rPr>
                <w:rFonts w:ascii="Times New Roman" w:hAnsi="Times New Roman"/>
                <w:b/>
                <w:bCs/>
                <w:color w:val="000000"/>
                <w:sz w:val="20"/>
                <w:szCs w:val="20"/>
                <w:lang w:val="en-IN" w:eastAsia="en-IN"/>
              </w:rPr>
            </w:pPr>
            <w:r w:rsidRPr="00F038BD">
              <w:rPr>
                <w:rFonts w:ascii="Times New Roman" w:hAnsi="Times New Roman"/>
                <w:color w:val="000000"/>
                <w:sz w:val="20"/>
                <w:szCs w:val="20"/>
              </w:rPr>
              <w:t>Segregated scrap</w:t>
            </w:r>
          </w:p>
        </w:tc>
        <w:tc>
          <w:tcPr>
            <w:tcW w:w="678" w:type="pct"/>
            <w:vAlign w:val="center"/>
          </w:tcPr>
          <w:p w14:paraId="207A16C5" w14:textId="77777777" w:rsidR="00F038BD" w:rsidRPr="00F038BD" w:rsidRDefault="00F038BD" w:rsidP="00E45AD7">
            <w:pPr>
              <w:spacing w:after="0"/>
              <w:jc w:val="center"/>
              <w:rPr>
                <w:rFonts w:ascii="Times New Roman" w:hAnsi="Times New Roman"/>
                <w:sz w:val="20"/>
                <w:szCs w:val="20"/>
              </w:rPr>
            </w:pPr>
            <w:r w:rsidRPr="00F038BD">
              <w:rPr>
                <w:rFonts w:ascii="Times New Roman" w:hAnsi="Times New Roman"/>
                <w:color w:val="000000"/>
                <w:sz w:val="20"/>
                <w:szCs w:val="20"/>
              </w:rPr>
              <w:t>6,078.15</w:t>
            </w:r>
          </w:p>
        </w:tc>
        <w:tc>
          <w:tcPr>
            <w:tcW w:w="466" w:type="pct"/>
            <w:vAlign w:val="center"/>
          </w:tcPr>
          <w:p w14:paraId="06C83699" w14:textId="77777777" w:rsidR="00F038BD" w:rsidRPr="00F038BD" w:rsidRDefault="00F038BD" w:rsidP="00E45AD7">
            <w:pPr>
              <w:spacing w:after="0"/>
              <w:jc w:val="center"/>
              <w:rPr>
                <w:rFonts w:ascii="Times New Roman" w:hAnsi="Times New Roman"/>
                <w:sz w:val="20"/>
                <w:szCs w:val="20"/>
              </w:rPr>
            </w:pPr>
            <w:r w:rsidRPr="00F038BD">
              <w:rPr>
                <w:rFonts w:ascii="Times New Roman" w:hAnsi="Times New Roman"/>
                <w:color w:val="000000"/>
                <w:sz w:val="20"/>
                <w:szCs w:val="20"/>
              </w:rPr>
              <w:t>43.83%</w:t>
            </w:r>
          </w:p>
        </w:tc>
        <w:tc>
          <w:tcPr>
            <w:tcW w:w="718" w:type="pct"/>
            <w:vAlign w:val="center"/>
          </w:tcPr>
          <w:p w14:paraId="49E33372" w14:textId="77777777" w:rsidR="00F038BD" w:rsidRPr="00F038BD" w:rsidRDefault="00F038BD" w:rsidP="00E45AD7">
            <w:pPr>
              <w:spacing w:after="0"/>
              <w:jc w:val="center"/>
              <w:rPr>
                <w:rFonts w:ascii="Times New Roman" w:hAnsi="Times New Roman"/>
                <w:sz w:val="20"/>
                <w:szCs w:val="20"/>
              </w:rPr>
            </w:pPr>
            <w:r w:rsidRPr="00F038BD">
              <w:rPr>
                <w:rFonts w:ascii="Times New Roman" w:hAnsi="Times New Roman"/>
                <w:color w:val="000000"/>
                <w:sz w:val="20"/>
                <w:szCs w:val="20"/>
              </w:rPr>
              <w:t>23442.3</w:t>
            </w:r>
          </w:p>
        </w:tc>
        <w:tc>
          <w:tcPr>
            <w:tcW w:w="466" w:type="pct"/>
            <w:vAlign w:val="center"/>
          </w:tcPr>
          <w:p w14:paraId="2C39682B" w14:textId="77777777" w:rsidR="00F038BD" w:rsidRPr="00F038BD" w:rsidRDefault="00F038BD" w:rsidP="00E45AD7">
            <w:pPr>
              <w:spacing w:after="0"/>
              <w:jc w:val="center"/>
              <w:rPr>
                <w:rFonts w:ascii="Times New Roman" w:hAnsi="Times New Roman"/>
                <w:color w:val="000000"/>
                <w:sz w:val="20"/>
                <w:szCs w:val="20"/>
              </w:rPr>
            </w:pPr>
            <w:r w:rsidRPr="00F038BD">
              <w:rPr>
                <w:rFonts w:ascii="Times New Roman" w:hAnsi="Times New Roman"/>
                <w:color w:val="000000"/>
                <w:sz w:val="20"/>
                <w:szCs w:val="20"/>
              </w:rPr>
              <w:t>55.39%</w:t>
            </w:r>
          </w:p>
        </w:tc>
        <w:tc>
          <w:tcPr>
            <w:tcW w:w="676" w:type="pct"/>
            <w:vAlign w:val="center"/>
          </w:tcPr>
          <w:p w14:paraId="315E0599" w14:textId="77777777" w:rsidR="00F038BD" w:rsidRPr="00F038BD" w:rsidRDefault="00F038BD" w:rsidP="00E45AD7">
            <w:pPr>
              <w:spacing w:after="0"/>
              <w:jc w:val="center"/>
              <w:rPr>
                <w:rFonts w:ascii="Times New Roman" w:hAnsi="Times New Roman"/>
                <w:sz w:val="20"/>
                <w:szCs w:val="20"/>
              </w:rPr>
            </w:pPr>
            <w:r w:rsidRPr="00F038BD">
              <w:rPr>
                <w:rFonts w:ascii="Times New Roman" w:hAnsi="Times New Roman"/>
                <w:color w:val="000000"/>
                <w:sz w:val="20"/>
                <w:szCs w:val="20"/>
              </w:rPr>
              <w:t>25330.4</w:t>
            </w:r>
          </w:p>
        </w:tc>
        <w:tc>
          <w:tcPr>
            <w:tcW w:w="464" w:type="pct"/>
            <w:vAlign w:val="center"/>
          </w:tcPr>
          <w:p w14:paraId="7F099F76" w14:textId="77777777" w:rsidR="00F038BD" w:rsidRPr="00F038BD" w:rsidRDefault="00F038BD" w:rsidP="00E45AD7">
            <w:pPr>
              <w:spacing w:after="0"/>
              <w:jc w:val="center"/>
              <w:rPr>
                <w:rFonts w:ascii="Times New Roman" w:hAnsi="Times New Roman"/>
                <w:color w:val="000000"/>
                <w:sz w:val="20"/>
                <w:szCs w:val="20"/>
              </w:rPr>
            </w:pPr>
            <w:r w:rsidRPr="00F038BD">
              <w:rPr>
                <w:rFonts w:ascii="Times New Roman" w:hAnsi="Times New Roman"/>
                <w:color w:val="000000"/>
                <w:sz w:val="20"/>
                <w:szCs w:val="20"/>
              </w:rPr>
              <w:t>51.39%</w:t>
            </w:r>
          </w:p>
        </w:tc>
      </w:tr>
      <w:tr w:rsidR="00F038BD" w:rsidRPr="00F038BD" w14:paraId="0D737BEA" w14:textId="77777777" w:rsidTr="00E45AD7">
        <w:tc>
          <w:tcPr>
            <w:tcW w:w="1533" w:type="pct"/>
            <w:vAlign w:val="bottom"/>
          </w:tcPr>
          <w:p w14:paraId="7C53D764" w14:textId="77777777" w:rsidR="00F038BD" w:rsidRPr="00F038BD" w:rsidRDefault="00F038BD" w:rsidP="00F038BD">
            <w:pPr>
              <w:spacing w:after="0"/>
              <w:rPr>
                <w:rFonts w:ascii="Times New Roman" w:hAnsi="Times New Roman"/>
                <w:b/>
                <w:bCs/>
                <w:color w:val="000000"/>
                <w:sz w:val="20"/>
                <w:szCs w:val="20"/>
                <w:lang w:val="en-IN" w:eastAsia="en-IN"/>
              </w:rPr>
            </w:pPr>
            <w:r w:rsidRPr="00F038BD">
              <w:rPr>
                <w:rFonts w:ascii="Times New Roman" w:hAnsi="Times New Roman"/>
                <w:color w:val="000000"/>
                <w:sz w:val="20"/>
                <w:szCs w:val="20"/>
              </w:rPr>
              <w:t>Brass Rods</w:t>
            </w:r>
          </w:p>
        </w:tc>
        <w:tc>
          <w:tcPr>
            <w:tcW w:w="678" w:type="pct"/>
            <w:vAlign w:val="center"/>
          </w:tcPr>
          <w:p w14:paraId="377B08C5" w14:textId="77777777" w:rsidR="00F038BD" w:rsidRPr="00F038BD" w:rsidRDefault="00F038BD" w:rsidP="00E45AD7">
            <w:pPr>
              <w:spacing w:after="0"/>
              <w:jc w:val="center"/>
              <w:rPr>
                <w:rFonts w:ascii="Times New Roman" w:hAnsi="Times New Roman"/>
                <w:color w:val="000000"/>
                <w:sz w:val="20"/>
                <w:szCs w:val="20"/>
                <w:lang w:eastAsia="en-IN"/>
              </w:rPr>
            </w:pPr>
            <w:r w:rsidRPr="00F038BD">
              <w:rPr>
                <w:rFonts w:ascii="Times New Roman" w:hAnsi="Times New Roman"/>
                <w:color w:val="000000"/>
                <w:sz w:val="20"/>
                <w:szCs w:val="20"/>
              </w:rPr>
              <w:t>949.82</w:t>
            </w:r>
          </w:p>
        </w:tc>
        <w:tc>
          <w:tcPr>
            <w:tcW w:w="466" w:type="pct"/>
            <w:vAlign w:val="center"/>
          </w:tcPr>
          <w:p w14:paraId="060C47B6" w14:textId="77777777" w:rsidR="00F038BD" w:rsidRPr="00F038BD" w:rsidRDefault="00F038BD" w:rsidP="00E45AD7">
            <w:pPr>
              <w:spacing w:after="0"/>
              <w:jc w:val="center"/>
              <w:rPr>
                <w:rFonts w:ascii="Times New Roman" w:hAnsi="Times New Roman"/>
                <w:color w:val="000000"/>
                <w:sz w:val="20"/>
                <w:szCs w:val="20"/>
                <w:lang w:eastAsia="en-IN"/>
              </w:rPr>
            </w:pPr>
            <w:r w:rsidRPr="00F038BD">
              <w:rPr>
                <w:rFonts w:ascii="Times New Roman" w:hAnsi="Times New Roman"/>
                <w:color w:val="000000"/>
                <w:sz w:val="20"/>
                <w:szCs w:val="20"/>
              </w:rPr>
              <w:t>6.85%</w:t>
            </w:r>
          </w:p>
        </w:tc>
        <w:tc>
          <w:tcPr>
            <w:tcW w:w="718" w:type="pct"/>
            <w:vAlign w:val="center"/>
          </w:tcPr>
          <w:p w14:paraId="2027B1F0" w14:textId="77777777" w:rsidR="00F038BD" w:rsidRPr="00F038BD" w:rsidRDefault="00F038BD" w:rsidP="00E45AD7">
            <w:pPr>
              <w:spacing w:after="0"/>
              <w:jc w:val="center"/>
              <w:rPr>
                <w:rFonts w:ascii="Times New Roman" w:hAnsi="Times New Roman"/>
                <w:color w:val="000000"/>
                <w:sz w:val="20"/>
                <w:szCs w:val="20"/>
                <w:lang w:eastAsia="en-IN"/>
              </w:rPr>
            </w:pPr>
            <w:r w:rsidRPr="00F038BD">
              <w:rPr>
                <w:rFonts w:ascii="Times New Roman" w:hAnsi="Times New Roman"/>
                <w:color w:val="000000"/>
                <w:sz w:val="20"/>
                <w:szCs w:val="20"/>
              </w:rPr>
              <w:t>2069.61</w:t>
            </w:r>
          </w:p>
        </w:tc>
        <w:tc>
          <w:tcPr>
            <w:tcW w:w="466" w:type="pct"/>
            <w:vAlign w:val="center"/>
          </w:tcPr>
          <w:p w14:paraId="2DE20D18" w14:textId="77777777" w:rsidR="00F038BD" w:rsidRPr="00F038BD" w:rsidRDefault="00F038BD" w:rsidP="00E45AD7">
            <w:pPr>
              <w:spacing w:after="0"/>
              <w:jc w:val="center"/>
              <w:rPr>
                <w:rFonts w:ascii="Times New Roman" w:hAnsi="Times New Roman"/>
                <w:color w:val="000000"/>
                <w:sz w:val="20"/>
                <w:szCs w:val="20"/>
              </w:rPr>
            </w:pPr>
            <w:r w:rsidRPr="00F038BD">
              <w:rPr>
                <w:rFonts w:ascii="Times New Roman" w:hAnsi="Times New Roman"/>
                <w:color w:val="000000"/>
                <w:sz w:val="20"/>
                <w:szCs w:val="20"/>
              </w:rPr>
              <w:t>4.89%</w:t>
            </w:r>
          </w:p>
        </w:tc>
        <w:tc>
          <w:tcPr>
            <w:tcW w:w="676" w:type="pct"/>
            <w:vAlign w:val="center"/>
          </w:tcPr>
          <w:p w14:paraId="541D2171" w14:textId="77777777" w:rsidR="00F038BD" w:rsidRPr="00F038BD" w:rsidRDefault="00F038BD" w:rsidP="00E45AD7">
            <w:pPr>
              <w:spacing w:after="0"/>
              <w:jc w:val="center"/>
              <w:rPr>
                <w:rFonts w:ascii="Times New Roman" w:hAnsi="Times New Roman"/>
                <w:sz w:val="20"/>
                <w:szCs w:val="20"/>
              </w:rPr>
            </w:pPr>
            <w:r w:rsidRPr="00F038BD">
              <w:rPr>
                <w:rFonts w:ascii="Times New Roman" w:hAnsi="Times New Roman"/>
                <w:color w:val="000000"/>
                <w:sz w:val="20"/>
                <w:szCs w:val="20"/>
              </w:rPr>
              <w:t>2609.45</w:t>
            </w:r>
          </w:p>
        </w:tc>
        <w:tc>
          <w:tcPr>
            <w:tcW w:w="464" w:type="pct"/>
            <w:vAlign w:val="center"/>
          </w:tcPr>
          <w:p w14:paraId="7C98D014" w14:textId="77777777" w:rsidR="00F038BD" w:rsidRPr="00F038BD" w:rsidRDefault="00F038BD" w:rsidP="00E45AD7">
            <w:pPr>
              <w:spacing w:after="0"/>
              <w:jc w:val="center"/>
              <w:rPr>
                <w:rFonts w:ascii="Times New Roman" w:hAnsi="Times New Roman"/>
                <w:color w:val="000000"/>
                <w:sz w:val="20"/>
                <w:szCs w:val="20"/>
              </w:rPr>
            </w:pPr>
            <w:r w:rsidRPr="00F038BD">
              <w:rPr>
                <w:rFonts w:ascii="Times New Roman" w:hAnsi="Times New Roman"/>
                <w:color w:val="000000"/>
                <w:sz w:val="20"/>
                <w:szCs w:val="20"/>
              </w:rPr>
              <w:t>5.29%</w:t>
            </w:r>
          </w:p>
        </w:tc>
      </w:tr>
      <w:tr w:rsidR="00F038BD" w:rsidRPr="00F038BD" w14:paraId="0CE64F82" w14:textId="77777777" w:rsidTr="00E45AD7">
        <w:tc>
          <w:tcPr>
            <w:tcW w:w="1533" w:type="pct"/>
            <w:vAlign w:val="bottom"/>
          </w:tcPr>
          <w:p w14:paraId="2265822C" w14:textId="0E43965E" w:rsidR="00F038BD" w:rsidRPr="00F038BD" w:rsidRDefault="00F038BD" w:rsidP="00F038BD">
            <w:pPr>
              <w:spacing w:after="0"/>
              <w:jc w:val="both"/>
              <w:rPr>
                <w:rFonts w:ascii="Times New Roman" w:hAnsi="Times New Roman"/>
                <w:color w:val="000000"/>
                <w:sz w:val="20"/>
                <w:szCs w:val="20"/>
                <w:lang w:val="en-IN" w:eastAsia="en-IN"/>
              </w:rPr>
            </w:pPr>
            <w:r w:rsidRPr="00F038BD">
              <w:rPr>
                <w:rFonts w:ascii="Times New Roman" w:hAnsi="Times New Roman"/>
                <w:color w:val="000000"/>
                <w:sz w:val="20"/>
                <w:szCs w:val="20"/>
              </w:rPr>
              <w:t xml:space="preserve">Brass </w:t>
            </w:r>
            <w:r w:rsidR="00B04D14">
              <w:rPr>
                <w:rFonts w:ascii="Times New Roman" w:hAnsi="Times New Roman"/>
                <w:color w:val="000000"/>
                <w:sz w:val="20"/>
                <w:szCs w:val="20"/>
              </w:rPr>
              <w:t xml:space="preserve">Billet and </w:t>
            </w:r>
            <w:r w:rsidRPr="00F038BD">
              <w:rPr>
                <w:rFonts w:ascii="Times New Roman" w:hAnsi="Times New Roman"/>
                <w:color w:val="000000"/>
                <w:sz w:val="20"/>
                <w:szCs w:val="20"/>
              </w:rPr>
              <w:t>Ingot</w:t>
            </w:r>
            <w:r w:rsidR="00B04D14">
              <w:rPr>
                <w:rFonts w:ascii="Times New Roman" w:hAnsi="Times New Roman"/>
                <w:color w:val="000000"/>
                <w:sz w:val="20"/>
                <w:szCs w:val="20"/>
              </w:rPr>
              <w:t>s</w:t>
            </w:r>
          </w:p>
        </w:tc>
        <w:tc>
          <w:tcPr>
            <w:tcW w:w="678" w:type="pct"/>
            <w:vAlign w:val="center"/>
          </w:tcPr>
          <w:p w14:paraId="2B3F945F" w14:textId="77777777" w:rsidR="00F038BD" w:rsidRPr="00F038BD" w:rsidRDefault="00F038BD" w:rsidP="00E45AD7">
            <w:pPr>
              <w:spacing w:after="0"/>
              <w:jc w:val="center"/>
              <w:rPr>
                <w:rFonts w:ascii="Times New Roman" w:hAnsi="Times New Roman"/>
                <w:color w:val="000000"/>
                <w:sz w:val="20"/>
                <w:szCs w:val="20"/>
                <w:lang w:eastAsia="en-IN"/>
              </w:rPr>
            </w:pPr>
            <w:r w:rsidRPr="00F038BD">
              <w:rPr>
                <w:rFonts w:ascii="Times New Roman" w:hAnsi="Times New Roman"/>
                <w:color w:val="000000"/>
                <w:sz w:val="20"/>
                <w:szCs w:val="20"/>
              </w:rPr>
              <w:t>1,900.63</w:t>
            </w:r>
          </w:p>
        </w:tc>
        <w:tc>
          <w:tcPr>
            <w:tcW w:w="466" w:type="pct"/>
            <w:vAlign w:val="center"/>
          </w:tcPr>
          <w:p w14:paraId="412BD7CE" w14:textId="77777777" w:rsidR="00F038BD" w:rsidRPr="00F038BD" w:rsidRDefault="00F038BD" w:rsidP="00E45AD7">
            <w:pPr>
              <w:spacing w:after="0"/>
              <w:jc w:val="center"/>
              <w:rPr>
                <w:rFonts w:ascii="Times New Roman" w:hAnsi="Times New Roman"/>
                <w:color w:val="000000"/>
                <w:sz w:val="20"/>
                <w:szCs w:val="20"/>
              </w:rPr>
            </w:pPr>
            <w:r w:rsidRPr="00F038BD">
              <w:rPr>
                <w:rFonts w:ascii="Times New Roman" w:hAnsi="Times New Roman"/>
                <w:color w:val="000000"/>
                <w:sz w:val="20"/>
                <w:szCs w:val="20"/>
              </w:rPr>
              <w:t>13.71%</w:t>
            </w:r>
          </w:p>
        </w:tc>
        <w:tc>
          <w:tcPr>
            <w:tcW w:w="718" w:type="pct"/>
            <w:vAlign w:val="center"/>
          </w:tcPr>
          <w:p w14:paraId="4A02C4C4" w14:textId="77777777" w:rsidR="00F038BD" w:rsidRPr="00F038BD" w:rsidRDefault="00F038BD" w:rsidP="00E45AD7">
            <w:pPr>
              <w:spacing w:after="0"/>
              <w:jc w:val="center"/>
              <w:rPr>
                <w:rFonts w:ascii="Times New Roman" w:hAnsi="Times New Roman"/>
                <w:color w:val="000000"/>
                <w:sz w:val="20"/>
                <w:szCs w:val="20"/>
                <w:lang w:eastAsia="en-IN"/>
              </w:rPr>
            </w:pPr>
            <w:r w:rsidRPr="00F038BD">
              <w:rPr>
                <w:rFonts w:ascii="Times New Roman" w:hAnsi="Times New Roman"/>
                <w:color w:val="000000"/>
                <w:sz w:val="20"/>
                <w:szCs w:val="20"/>
              </w:rPr>
              <w:t>10780.13</w:t>
            </w:r>
          </w:p>
        </w:tc>
        <w:tc>
          <w:tcPr>
            <w:tcW w:w="466" w:type="pct"/>
            <w:vAlign w:val="center"/>
          </w:tcPr>
          <w:p w14:paraId="67435F41" w14:textId="77777777" w:rsidR="00F038BD" w:rsidRPr="00F038BD" w:rsidRDefault="00F038BD" w:rsidP="00E45AD7">
            <w:pPr>
              <w:spacing w:after="0"/>
              <w:jc w:val="center"/>
              <w:rPr>
                <w:rFonts w:ascii="Times New Roman" w:hAnsi="Times New Roman"/>
                <w:color w:val="000000"/>
                <w:sz w:val="20"/>
                <w:szCs w:val="20"/>
              </w:rPr>
            </w:pPr>
            <w:r w:rsidRPr="00F038BD">
              <w:rPr>
                <w:rFonts w:ascii="Times New Roman" w:hAnsi="Times New Roman"/>
                <w:color w:val="000000"/>
                <w:sz w:val="20"/>
                <w:szCs w:val="20"/>
              </w:rPr>
              <w:t>25.47%</w:t>
            </w:r>
          </w:p>
        </w:tc>
        <w:tc>
          <w:tcPr>
            <w:tcW w:w="676" w:type="pct"/>
            <w:vAlign w:val="center"/>
          </w:tcPr>
          <w:p w14:paraId="1EAA2877" w14:textId="77777777" w:rsidR="00F038BD" w:rsidRPr="00F038BD" w:rsidRDefault="00F038BD" w:rsidP="00E45AD7">
            <w:pPr>
              <w:spacing w:after="0"/>
              <w:jc w:val="center"/>
              <w:rPr>
                <w:rFonts w:ascii="Times New Roman" w:hAnsi="Times New Roman"/>
                <w:color w:val="000000"/>
                <w:sz w:val="20"/>
                <w:szCs w:val="20"/>
                <w:lang w:eastAsia="en-IN"/>
              </w:rPr>
            </w:pPr>
            <w:r w:rsidRPr="00F038BD">
              <w:rPr>
                <w:rFonts w:ascii="Times New Roman" w:hAnsi="Times New Roman"/>
                <w:color w:val="000000"/>
                <w:sz w:val="20"/>
                <w:szCs w:val="20"/>
              </w:rPr>
              <w:t>17227.54</w:t>
            </w:r>
          </w:p>
        </w:tc>
        <w:tc>
          <w:tcPr>
            <w:tcW w:w="464" w:type="pct"/>
            <w:vAlign w:val="center"/>
          </w:tcPr>
          <w:p w14:paraId="00DF2DA2" w14:textId="77777777" w:rsidR="00F038BD" w:rsidRPr="00F038BD" w:rsidRDefault="00F038BD" w:rsidP="00E45AD7">
            <w:pPr>
              <w:spacing w:after="0"/>
              <w:jc w:val="center"/>
              <w:rPr>
                <w:rFonts w:ascii="Times New Roman" w:hAnsi="Times New Roman"/>
                <w:color w:val="000000"/>
                <w:sz w:val="20"/>
                <w:szCs w:val="20"/>
                <w:lang w:eastAsia="en-IN"/>
              </w:rPr>
            </w:pPr>
            <w:r w:rsidRPr="00F038BD">
              <w:rPr>
                <w:rFonts w:ascii="Times New Roman" w:hAnsi="Times New Roman"/>
                <w:color w:val="000000"/>
                <w:sz w:val="20"/>
                <w:szCs w:val="20"/>
              </w:rPr>
              <w:t>34.95%</w:t>
            </w:r>
          </w:p>
        </w:tc>
      </w:tr>
      <w:tr w:rsidR="00E45AD7" w:rsidRPr="00E45AD7" w14:paraId="1C105D79" w14:textId="77777777" w:rsidTr="00E45AD7">
        <w:tc>
          <w:tcPr>
            <w:tcW w:w="1533" w:type="pct"/>
            <w:vAlign w:val="bottom"/>
          </w:tcPr>
          <w:p w14:paraId="7A84F5C8" w14:textId="38688C5B" w:rsidR="00E45AD7" w:rsidRPr="00E45AD7" w:rsidRDefault="00E45AD7" w:rsidP="00E45AD7">
            <w:pPr>
              <w:spacing w:after="0"/>
              <w:jc w:val="both"/>
              <w:rPr>
                <w:rFonts w:ascii="Times New Roman" w:hAnsi="Times New Roman"/>
                <w:color w:val="000000"/>
                <w:sz w:val="20"/>
                <w:szCs w:val="20"/>
              </w:rPr>
            </w:pPr>
            <w:r w:rsidRPr="00E45AD7">
              <w:rPr>
                <w:rFonts w:ascii="Times New Roman" w:hAnsi="Times New Roman"/>
                <w:color w:val="000000"/>
                <w:sz w:val="20"/>
                <w:szCs w:val="20"/>
              </w:rPr>
              <w:t>Brass Plumbing items and Sanitary items</w:t>
            </w:r>
          </w:p>
        </w:tc>
        <w:tc>
          <w:tcPr>
            <w:tcW w:w="678" w:type="pct"/>
            <w:vAlign w:val="center"/>
          </w:tcPr>
          <w:p w14:paraId="59D5F0E7" w14:textId="4C808591" w:rsidR="00E45AD7" w:rsidRPr="00F038BD" w:rsidRDefault="00E45AD7" w:rsidP="00E45AD7">
            <w:pPr>
              <w:spacing w:after="0"/>
              <w:jc w:val="center"/>
              <w:rPr>
                <w:rFonts w:ascii="Times New Roman" w:hAnsi="Times New Roman"/>
                <w:color w:val="000000"/>
                <w:sz w:val="20"/>
                <w:szCs w:val="20"/>
              </w:rPr>
            </w:pPr>
            <w:r w:rsidRPr="00E45AD7">
              <w:rPr>
                <w:rFonts w:ascii="Times New Roman" w:hAnsi="Times New Roman"/>
                <w:color w:val="000000"/>
                <w:sz w:val="20"/>
                <w:szCs w:val="20"/>
              </w:rPr>
              <w:t>4,925.96</w:t>
            </w:r>
          </w:p>
        </w:tc>
        <w:tc>
          <w:tcPr>
            <w:tcW w:w="466" w:type="pct"/>
            <w:vAlign w:val="center"/>
          </w:tcPr>
          <w:p w14:paraId="7F87BE15" w14:textId="47C19F1D" w:rsidR="00E45AD7" w:rsidRPr="00F038BD" w:rsidRDefault="00E45AD7" w:rsidP="00E45AD7">
            <w:pPr>
              <w:spacing w:after="0"/>
              <w:jc w:val="center"/>
              <w:rPr>
                <w:rFonts w:ascii="Times New Roman" w:hAnsi="Times New Roman"/>
                <w:color w:val="000000"/>
                <w:sz w:val="20"/>
                <w:szCs w:val="20"/>
              </w:rPr>
            </w:pPr>
            <w:r w:rsidRPr="00E45AD7">
              <w:rPr>
                <w:rFonts w:ascii="Times New Roman" w:hAnsi="Times New Roman"/>
                <w:color w:val="000000"/>
                <w:sz w:val="20"/>
                <w:szCs w:val="20"/>
              </w:rPr>
              <w:t>35.52%</w:t>
            </w:r>
          </w:p>
        </w:tc>
        <w:tc>
          <w:tcPr>
            <w:tcW w:w="718" w:type="pct"/>
            <w:vAlign w:val="center"/>
          </w:tcPr>
          <w:p w14:paraId="1594289D" w14:textId="6AA79918" w:rsidR="00E45AD7" w:rsidRPr="00F038BD" w:rsidRDefault="00E45AD7" w:rsidP="00E45AD7">
            <w:pPr>
              <w:spacing w:after="0"/>
              <w:jc w:val="center"/>
              <w:rPr>
                <w:rFonts w:ascii="Times New Roman" w:hAnsi="Times New Roman"/>
                <w:color w:val="000000"/>
                <w:sz w:val="20"/>
                <w:szCs w:val="20"/>
              </w:rPr>
            </w:pPr>
            <w:r w:rsidRPr="00E45AD7">
              <w:rPr>
                <w:rFonts w:ascii="Times New Roman" w:hAnsi="Times New Roman"/>
                <w:color w:val="000000"/>
                <w:sz w:val="20"/>
                <w:szCs w:val="20"/>
              </w:rPr>
              <w:t>5,985.54</w:t>
            </w:r>
          </w:p>
        </w:tc>
        <w:tc>
          <w:tcPr>
            <w:tcW w:w="466" w:type="pct"/>
            <w:vAlign w:val="center"/>
          </w:tcPr>
          <w:p w14:paraId="6FE6C19C" w14:textId="039EF316" w:rsidR="00E45AD7" w:rsidRPr="00F038BD" w:rsidRDefault="00E45AD7" w:rsidP="00E45AD7">
            <w:pPr>
              <w:spacing w:after="0"/>
              <w:jc w:val="center"/>
              <w:rPr>
                <w:rFonts w:ascii="Times New Roman" w:hAnsi="Times New Roman"/>
                <w:color w:val="000000"/>
                <w:sz w:val="20"/>
                <w:szCs w:val="20"/>
              </w:rPr>
            </w:pPr>
            <w:r w:rsidRPr="00E45AD7">
              <w:rPr>
                <w:rFonts w:ascii="Times New Roman" w:hAnsi="Times New Roman"/>
                <w:color w:val="000000"/>
                <w:sz w:val="20"/>
                <w:szCs w:val="20"/>
              </w:rPr>
              <w:t>14.14%</w:t>
            </w:r>
          </w:p>
        </w:tc>
        <w:tc>
          <w:tcPr>
            <w:tcW w:w="676" w:type="pct"/>
            <w:vAlign w:val="center"/>
          </w:tcPr>
          <w:p w14:paraId="029E6ED1" w14:textId="50801E4C" w:rsidR="00E45AD7" w:rsidRPr="00F038BD" w:rsidRDefault="00E45AD7" w:rsidP="00E45AD7">
            <w:pPr>
              <w:spacing w:after="0"/>
              <w:jc w:val="center"/>
              <w:rPr>
                <w:rFonts w:ascii="Times New Roman" w:hAnsi="Times New Roman"/>
                <w:color w:val="000000"/>
                <w:sz w:val="20"/>
                <w:szCs w:val="20"/>
              </w:rPr>
            </w:pPr>
            <w:r w:rsidRPr="00E45AD7">
              <w:rPr>
                <w:rFonts w:ascii="Times New Roman" w:hAnsi="Times New Roman"/>
                <w:color w:val="000000"/>
                <w:sz w:val="20"/>
                <w:szCs w:val="20"/>
              </w:rPr>
              <w:t>4,096.54</w:t>
            </w:r>
          </w:p>
        </w:tc>
        <w:tc>
          <w:tcPr>
            <w:tcW w:w="464" w:type="pct"/>
            <w:vAlign w:val="center"/>
          </w:tcPr>
          <w:p w14:paraId="130E0632" w14:textId="384A895D" w:rsidR="00E45AD7" w:rsidRPr="00F038BD" w:rsidRDefault="00E45AD7" w:rsidP="00E45AD7">
            <w:pPr>
              <w:spacing w:after="0"/>
              <w:jc w:val="center"/>
              <w:rPr>
                <w:rFonts w:ascii="Times New Roman" w:hAnsi="Times New Roman"/>
                <w:color w:val="000000"/>
                <w:sz w:val="20"/>
                <w:szCs w:val="20"/>
              </w:rPr>
            </w:pPr>
            <w:r w:rsidRPr="00E45AD7">
              <w:rPr>
                <w:rFonts w:ascii="Times New Roman" w:hAnsi="Times New Roman"/>
                <w:color w:val="000000"/>
                <w:sz w:val="20"/>
                <w:szCs w:val="20"/>
              </w:rPr>
              <w:t>8.31%</w:t>
            </w:r>
          </w:p>
        </w:tc>
      </w:tr>
      <w:tr w:rsidR="00F038BD" w:rsidRPr="00F038BD" w14:paraId="64D923DD" w14:textId="77777777" w:rsidTr="00E45AD7">
        <w:tc>
          <w:tcPr>
            <w:tcW w:w="1533" w:type="pct"/>
            <w:vAlign w:val="bottom"/>
          </w:tcPr>
          <w:p w14:paraId="1D7991A5" w14:textId="77777777" w:rsidR="00F038BD" w:rsidRPr="00F038BD" w:rsidRDefault="00F038BD" w:rsidP="00F038BD">
            <w:pPr>
              <w:spacing w:after="0"/>
              <w:jc w:val="both"/>
              <w:rPr>
                <w:rFonts w:ascii="Times New Roman" w:hAnsi="Times New Roman"/>
                <w:color w:val="000000"/>
                <w:sz w:val="20"/>
                <w:szCs w:val="20"/>
                <w:lang w:val="en-IN" w:eastAsia="en-IN"/>
              </w:rPr>
            </w:pPr>
            <w:r w:rsidRPr="00F038BD">
              <w:rPr>
                <w:rFonts w:ascii="Times New Roman" w:hAnsi="Times New Roman"/>
                <w:color w:val="000000"/>
                <w:sz w:val="20"/>
                <w:szCs w:val="20"/>
              </w:rPr>
              <w:t>Other items</w:t>
            </w:r>
          </w:p>
        </w:tc>
        <w:tc>
          <w:tcPr>
            <w:tcW w:w="678" w:type="pct"/>
            <w:vAlign w:val="center"/>
          </w:tcPr>
          <w:p w14:paraId="5BD525A8" w14:textId="77777777" w:rsidR="00F038BD" w:rsidRPr="00F038BD" w:rsidRDefault="00F038BD" w:rsidP="00E45AD7">
            <w:pPr>
              <w:spacing w:after="0"/>
              <w:jc w:val="center"/>
              <w:rPr>
                <w:rFonts w:ascii="Times New Roman" w:hAnsi="Times New Roman"/>
                <w:color w:val="000000"/>
                <w:sz w:val="20"/>
                <w:szCs w:val="20"/>
                <w:lang w:eastAsia="en-IN"/>
              </w:rPr>
            </w:pPr>
            <w:r w:rsidRPr="00F038BD">
              <w:rPr>
                <w:rFonts w:ascii="Times New Roman" w:hAnsi="Times New Roman"/>
                <w:color w:val="000000"/>
                <w:sz w:val="20"/>
                <w:szCs w:val="20"/>
              </w:rPr>
              <w:t>12.49</w:t>
            </w:r>
          </w:p>
        </w:tc>
        <w:tc>
          <w:tcPr>
            <w:tcW w:w="466" w:type="pct"/>
            <w:vAlign w:val="center"/>
          </w:tcPr>
          <w:p w14:paraId="1B127926" w14:textId="77777777" w:rsidR="00F038BD" w:rsidRPr="00F038BD" w:rsidRDefault="00F038BD" w:rsidP="00E45AD7">
            <w:pPr>
              <w:spacing w:after="0"/>
              <w:jc w:val="center"/>
              <w:rPr>
                <w:rFonts w:ascii="Times New Roman" w:hAnsi="Times New Roman"/>
                <w:color w:val="000000"/>
                <w:sz w:val="20"/>
                <w:szCs w:val="20"/>
              </w:rPr>
            </w:pPr>
            <w:r w:rsidRPr="00F038BD">
              <w:rPr>
                <w:rFonts w:ascii="Times New Roman" w:hAnsi="Times New Roman"/>
                <w:color w:val="000000"/>
                <w:sz w:val="20"/>
                <w:szCs w:val="20"/>
              </w:rPr>
              <w:t>0.09%</w:t>
            </w:r>
          </w:p>
        </w:tc>
        <w:tc>
          <w:tcPr>
            <w:tcW w:w="718" w:type="pct"/>
            <w:vAlign w:val="center"/>
          </w:tcPr>
          <w:p w14:paraId="2EBE557D" w14:textId="77777777" w:rsidR="00F038BD" w:rsidRPr="00F038BD" w:rsidRDefault="00F038BD" w:rsidP="00E45AD7">
            <w:pPr>
              <w:spacing w:after="0"/>
              <w:jc w:val="center"/>
              <w:rPr>
                <w:rFonts w:ascii="Times New Roman" w:hAnsi="Times New Roman"/>
                <w:color w:val="000000"/>
                <w:sz w:val="20"/>
                <w:szCs w:val="20"/>
                <w:lang w:eastAsia="en-IN"/>
              </w:rPr>
            </w:pPr>
            <w:r w:rsidRPr="00F038BD">
              <w:rPr>
                <w:rFonts w:ascii="Times New Roman" w:hAnsi="Times New Roman"/>
                <w:color w:val="000000"/>
                <w:sz w:val="20"/>
                <w:szCs w:val="20"/>
              </w:rPr>
              <w:t>45.69</w:t>
            </w:r>
          </w:p>
        </w:tc>
        <w:tc>
          <w:tcPr>
            <w:tcW w:w="466" w:type="pct"/>
            <w:vAlign w:val="center"/>
          </w:tcPr>
          <w:p w14:paraId="56E2561B" w14:textId="77777777" w:rsidR="00F038BD" w:rsidRPr="00F038BD" w:rsidRDefault="00F038BD" w:rsidP="00E45AD7">
            <w:pPr>
              <w:spacing w:after="0"/>
              <w:jc w:val="center"/>
              <w:rPr>
                <w:rFonts w:ascii="Times New Roman" w:hAnsi="Times New Roman"/>
                <w:color w:val="000000"/>
                <w:sz w:val="20"/>
                <w:szCs w:val="20"/>
              </w:rPr>
            </w:pPr>
            <w:r w:rsidRPr="00F038BD">
              <w:rPr>
                <w:rFonts w:ascii="Times New Roman" w:hAnsi="Times New Roman"/>
                <w:color w:val="000000"/>
                <w:sz w:val="20"/>
                <w:szCs w:val="20"/>
              </w:rPr>
              <w:t>0.11%</w:t>
            </w:r>
          </w:p>
        </w:tc>
        <w:tc>
          <w:tcPr>
            <w:tcW w:w="676" w:type="pct"/>
            <w:vAlign w:val="center"/>
          </w:tcPr>
          <w:p w14:paraId="440E1E67" w14:textId="77777777" w:rsidR="00F038BD" w:rsidRPr="00F038BD" w:rsidRDefault="00F038BD" w:rsidP="00E45AD7">
            <w:pPr>
              <w:spacing w:after="0"/>
              <w:jc w:val="center"/>
              <w:rPr>
                <w:rFonts w:ascii="Times New Roman" w:hAnsi="Times New Roman"/>
                <w:color w:val="000000"/>
                <w:sz w:val="20"/>
                <w:szCs w:val="20"/>
                <w:lang w:eastAsia="en-IN"/>
              </w:rPr>
            </w:pPr>
            <w:r w:rsidRPr="00F038BD">
              <w:rPr>
                <w:rFonts w:ascii="Times New Roman" w:hAnsi="Times New Roman"/>
                <w:color w:val="000000"/>
                <w:sz w:val="20"/>
                <w:szCs w:val="20"/>
              </w:rPr>
              <w:t>23.42</w:t>
            </w:r>
          </w:p>
        </w:tc>
        <w:tc>
          <w:tcPr>
            <w:tcW w:w="464" w:type="pct"/>
            <w:vAlign w:val="center"/>
          </w:tcPr>
          <w:p w14:paraId="6CB13207" w14:textId="77777777" w:rsidR="00F038BD" w:rsidRPr="00F038BD" w:rsidRDefault="00F038BD" w:rsidP="00E45AD7">
            <w:pPr>
              <w:spacing w:after="0"/>
              <w:jc w:val="center"/>
              <w:rPr>
                <w:rFonts w:ascii="Times New Roman" w:hAnsi="Times New Roman"/>
                <w:color w:val="000000"/>
                <w:sz w:val="20"/>
                <w:szCs w:val="20"/>
                <w:lang w:eastAsia="en-IN"/>
              </w:rPr>
            </w:pPr>
            <w:r w:rsidRPr="00F038BD">
              <w:rPr>
                <w:rFonts w:ascii="Times New Roman" w:hAnsi="Times New Roman"/>
                <w:color w:val="000000"/>
                <w:sz w:val="20"/>
                <w:szCs w:val="20"/>
              </w:rPr>
              <w:t>0.05%</w:t>
            </w:r>
          </w:p>
        </w:tc>
      </w:tr>
      <w:tr w:rsidR="00F038BD" w:rsidRPr="00F038BD" w14:paraId="18EEC21F" w14:textId="77777777" w:rsidTr="00E45AD7">
        <w:tc>
          <w:tcPr>
            <w:tcW w:w="1533" w:type="pct"/>
            <w:vAlign w:val="bottom"/>
          </w:tcPr>
          <w:p w14:paraId="7941AFB8" w14:textId="77777777" w:rsidR="00F038BD" w:rsidRPr="00F038BD" w:rsidRDefault="00F038BD" w:rsidP="00F038BD">
            <w:pPr>
              <w:spacing w:after="0"/>
              <w:rPr>
                <w:rFonts w:ascii="Times New Roman" w:hAnsi="Times New Roman"/>
                <w:b/>
                <w:color w:val="000000"/>
                <w:sz w:val="20"/>
                <w:szCs w:val="20"/>
                <w:lang w:eastAsia="en-IN"/>
              </w:rPr>
            </w:pPr>
            <w:r w:rsidRPr="00F038BD">
              <w:rPr>
                <w:rFonts w:ascii="Times New Roman" w:hAnsi="Times New Roman"/>
                <w:b/>
                <w:color w:val="000000"/>
                <w:sz w:val="20"/>
                <w:szCs w:val="20"/>
                <w:lang w:eastAsia="en-IN"/>
              </w:rPr>
              <w:t>Total Revenue from Operations</w:t>
            </w:r>
          </w:p>
        </w:tc>
        <w:tc>
          <w:tcPr>
            <w:tcW w:w="678" w:type="pct"/>
            <w:vAlign w:val="center"/>
          </w:tcPr>
          <w:p w14:paraId="67FF2F43" w14:textId="77777777" w:rsidR="00F038BD" w:rsidRPr="00F038BD" w:rsidRDefault="00F038BD" w:rsidP="00E45AD7">
            <w:pPr>
              <w:spacing w:after="0"/>
              <w:jc w:val="center"/>
              <w:rPr>
                <w:rFonts w:ascii="Times New Roman" w:hAnsi="Times New Roman"/>
                <w:b/>
                <w:bCs/>
                <w:sz w:val="20"/>
                <w:szCs w:val="20"/>
              </w:rPr>
            </w:pPr>
            <w:r w:rsidRPr="00F038BD">
              <w:rPr>
                <w:rFonts w:ascii="Times New Roman" w:hAnsi="Times New Roman"/>
                <w:b/>
                <w:bCs/>
                <w:color w:val="000000"/>
                <w:sz w:val="20"/>
                <w:szCs w:val="20"/>
              </w:rPr>
              <w:t>13,867.05</w:t>
            </w:r>
          </w:p>
        </w:tc>
        <w:tc>
          <w:tcPr>
            <w:tcW w:w="466" w:type="pct"/>
            <w:vAlign w:val="center"/>
          </w:tcPr>
          <w:p w14:paraId="43C4FC46" w14:textId="77777777" w:rsidR="00F038BD" w:rsidRPr="00F038BD" w:rsidRDefault="00F038BD" w:rsidP="00E45AD7">
            <w:pPr>
              <w:spacing w:after="0"/>
              <w:jc w:val="center"/>
              <w:rPr>
                <w:rFonts w:ascii="Times New Roman" w:hAnsi="Times New Roman"/>
                <w:b/>
                <w:bCs/>
                <w:color w:val="000000"/>
                <w:sz w:val="20"/>
                <w:szCs w:val="20"/>
              </w:rPr>
            </w:pPr>
            <w:r w:rsidRPr="00F038BD">
              <w:rPr>
                <w:rFonts w:ascii="Times New Roman" w:hAnsi="Times New Roman"/>
                <w:b/>
                <w:bCs/>
                <w:color w:val="000000"/>
                <w:sz w:val="20"/>
                <w:szCs w:val="20"/>
              </w:rPr>
              <w:t>100.00%</w:t>
            </w:r>
          </w:p>
        </w:tc>
        <w:tc>
          <w:tcPr>
            <w:tcW w:w="718" w:type="pct"/>
            <w:vAlign w:val="center"/>
          </w:tcPr>
          <w:p w14:paraId="770EE896" w14:textId="77777777" w:rsidR="00F038BD" w:rsidRPr="00F038BD" w:rsidRDefault="00F038BD" w:rsidP="00E45AD7">
            <w:pPr>
              <w:spacing w:after="0"/>
              <w:jc w:val="center"/>
              <w:rPr>
                <w:rFonts w:ascii="Times New Roman" w:hAnsi="Times New Roman"/>
                <w:b/>
                <w:bCs/>
                <w:sz w:val="20"/>
                <w:szCs w:val="20"/>
              </w:rPr>
            </w:pPr>
            <w:r w:rsidRPr="00F038BD">
              <w:rPr>
                <w:rFonts w:ascii="Times New Roman" w:hAnsi="Times New Roman"/>
                <w:b/>
                <w:bCs/>
                <w:color w:val="000000"/>
                <w:sz w:val="20"/>
                <w:szCs w:val="20"/>
              </w:rPr>
              <w:t>42323.27</w:t>
            </w:r>
          </w:p>
        </w:tc>
        <w:tc>
          <w:tcPr>
            <w:tcW w:w="466" w:type="pct"/>
            <w:vAlign w:val="center"/>
          </w:tcPr>
          <w:p w14:paraId="11FDB68F" w14:textId="77777777" w:rsidR="00F038BD" w:rsidRPr="00F038BD" w:rsidRDefault="00F038BD" w:rsidP="00E45AD7">
            <w:pPr>
              <w:spacing w:after="0"/>
              <w:jc w:val="center"/>
              <w:rPr>
                <w:rFonts w:ascii="Times New Roman" w:hAnsi="Times New Roman"/>
                <w:b/>
                <w:bCs/>
                <w:color w:val="000000"/>
                <w:sz w:val="20"/>
                <w:szCs w:val="20"/>
              </w:rPr>
            </w:pPr>
            <w:r w:rsidRPr="00F038BD">
              <w:rPr>
                <w:rFonts w:ascii="Times New Roman" w:hAnsi="Times New Roman"/>
                <w:b/>
                <w:bCs/>
                <w:color w:val="000000"/>
                <w:sz w:val="20"/>
                <w:szCs w:val="20"/>
              </w:rPr>
              <w:t>100.00%</w:t>
            </w:r>
          </w:p>
        </w:tc>
        <w:tc>
          <w:tcPr>
            <w:tcW w:w="676" w:type="pct"/>
            <w:vAlign w:val="center"/>
          </w:tcPr>
          <w:p w14:paraId="4D514D5C" w14:textId="77777777" w:rsidR="00F038BD" w:rsidRPr="00F038BD" w:rsidRDefault="00F038BD" w:rsidP="00E45AD7">
            <w:pPr>
              <w:spacing w:after="0"/>
              <w:jc w:val="center"/>
              <w:rPr>
                <w:rFonts w:ascii="Times New Roman" w:hAnsi="Times New Roman"/>
                <w:b/>
                <w:bCs/>
                <w:sz w:val="20"/>
                <w:szCs w:val="20"/>
              </w:rPr>
            </w:pPr>
            <w:r w:rsidRPr="00F038BD">
              <w:rPr>
                <w:rFonts w:ascii="Times New Roman" w:hAnsi="Times New Roman"/>
                <w:b/>
                <w:bCs/>
                <w:color w:val="000000"/>
                <w:sz w:val="20"/>
                <w:szCs w:val="20"/>
              </w:rPr>
              <w:t>49287.35</w:t>
            </w:r>
          </w:p>
        </w:tc>
        <w:tc>
          <w:tcPr>
            <w:tcW w:w="464" w:type="pct"/>
            <w:vAlign w:val="center"/>
          </w:tcPr>
          <w:p w14:paraId="4311B237" w14:textId="77777777" w:rsidR="00F038BD" w:rsidRPr="00F038BD" w:rsidRDefault="00F038BD" w:rsidP="00E45AD7">
            <w:pPr>
              <w:spacing w:after="0"/>
              <w:jc w:val="center"/>
              <w:rPr>
                <w:rFonts w:ascii="Times New Roman" w:hAnsi="Times New Roman"/>
                <w:b/>
                <w:bCs/>
                <w:color w:val="000000"/>
                <w:sz w:val="20"/>
                <w:szCs w:val="20"/>
              </w:rPr>
            </w:pPr>
            <w:r w:rsidRPr="00F038BD">
              <w:rPr>
                <w:rFonts w:ascii="Times New Roman" w:hAnsi="Times New Roman"/>
                <w:b/>
                <w:bCs/>
                <w:color w:val="000000"/>
                <w:sz w:val="20"/>
                <w:szCs w:val="20"/>
              </w:rPr>
              <w:t>100.00%</w:t>
            </w:r>
          </w:p>
        </w:tc>
      </w:tr>
    </w:tbl>
    <w:p w14:paraId="1A99E672" w14:textId="77777777" w:rsidR="00F038BD" w:rsidRPr="00F038BD" w:rsidRDefault="00F038BD" w:rsidP="00F038BD">
      <w:pPr>
        <w:spacing w:after="0" w:line="240" w:lineRule="auto"/>
        <w:jc w:val="both"/>
        <w:rPr>
          <w:rFonts w:ascii="Times New Roman" w:hAnsi="Times New Roman"/>
          <w:sz w:val="20"/>
          <w:szCs w:val="20"/>
        </w:rPr>
      </w:pPr>
      <w:r w:rsidRPr="00F038BD">
        <w:rPr>
          <w:rFonts w:ascii="Times New Roman" w:hAnsi="Times New Roman"/>
          <w:sz w:val="20"/>
          <w:szCs w:val="20"/>
        </w:rPr>
        <w:tab/>
      </w:r>
    </w:p>
    <w:p w14:paraId="7F8A5582" w14:textId="77777777" w:rsidR="00F038BD" w:rsidRDefault="00F038BD" w:rsidP="00F37091">
      <w:pPr>
        <w:spacing w:after="0" w:line="240" w:lineRule="auto"/>
        <w:jc w:val="both"/>
        <w:rPr>
          <w:rFonts w:ascii="Times New Roman" w:hAnsi="Times New Roman"/>
          <w:b/>
          <w:sz w:val="20"/>
          <w:szCs w:val="20"/>
        </w:rPr>
      </w:pPr>
      <w:r w:rsidRPr="00F038BD">
        <w:rPr>
          <w:rFonts w:ascii="Times New Roman" w:hAnsi="Times New Roman"/>
          <w:b/>
          <w:sz w:val="20"/>
          <w:szCs w:val="20"/>
        </w:rPr>
        <w:t>MANUFACTURING PROCESS:</w:t>
      </w:r>
    </w:p>
    <w:p w14:paraId="6EC00671" w14:textId="77777777" w:rsidR="00F37091" w:rsidRPr="00F038BD" w:rsidRDefault="00F37091" w:rsidP="00F37091">
      <w:pPr>
        <w:spacing w:after="0" w:line="240" w:lineRule="auto"/>
        <w:jc w:val="both"/>
        <w:rPr>
          <w:rFonts w:ascii="Times New Roman" w:hAnsi="Times New Roman"/>
          <w:b/>
          <w:sz w:val="20"/>
          <w:szCs w:val="20"/>
        </w:rPr>
      </w:pPr>
    </w:p>
    <w:p w14:paraId="78FF669E" w14:textId="77777777" w:rsidR="00F038BD" w:rsidRPr="00F038BD" w:rsidRDefault="00F038BD" w:rsidP="00F37091">
      <w:pPr>
        <w:spacing w:after="0" w:line="240" w:lineRule="auto"/>
        <w:jc w:val="both"/>
        <w:rPr>
          <w:rFonts w:ascii="Times New Roman" w:hAnsi="Times New Roman"/>
          <w:sz w:val="20"/>
          <w:szCs w:val="20"/>
        </w:rPr>
      </w:pPr>
      <w:r w:rsidRPr="00F038BD">
        <w:rPr>
          <w:rFonts w:ascii="Times New Roman" w:hAnsi="Times New Roman"/>
          <w:sz w:val="20"/>
          <w:szCs w:val="20"/>
        </w:rPr>
        <w:t>Set forth below is a brief description of the process carried out in our facilities to manufacture brass products:</w:t>
      </w:r>
    </w:p>
    <w:p w14:paraId="166A1D68" w14:textId="77777777" w:rsidR="00F37091" w:rsidRDefault="00F37091" w:rsidP="00F37091">
      <w:pPr>
        <w:spacing w:after="0" w:line="240" w:lineRule="auto"/>
        <w:jc w:val="both"/>
        <w:rPr>
          <w:rFonts w:ascii="Times New Roman" w:hAnsi="Times New Roman"/>
          <w:b/>
          <w:bCs/>
          <w:sz w:val="20"/>
          <w:szCs w:val="20"/>
        </w:rPr>
      </w:pPr>
    </w:p>
    <w:p w14:paraId="7910A81E" w14:textId="57C407BF" w:rsidR="00F038BD" w:rsidRPr="00F038BD" w:rsidRDefault="00F038BD" w:rsidP="00F37091">
      <w:pPr>
        <w:spacing w:after="0" w:line="240" w:lineRule="auto"/>
        <w:jc w:val="both"/>
        <w:rPr>
          <w:rFonts w:ascii="Times New Roman" w:hAnsi="Times New Roman"/>
          <w:b/>
          <w:bCs/>
          <w:sz w:val="20"/>
          <w:szCs w:val="20"/>
        </w:rPr>
      </w:pPr>
      <w:r w:rsidRPr="00F038BD">
        <w:rPr>
          <w:rFonts w:ascii="Times New Roman" w:hAnsi="Times New Roman"/>
          <w:b/>
          <w:bCs/>
          <w:sz w:val="20"/>
          <w:szCs w:val="20"/>
        </w:rPr>
        <w:t>Procuring of raw material</w:t>
      </w:r>
    </w:p>
    <w:p w14:paraId="39E1ABAD" w14:textId="77777777" w:rsidR="00F37091" w:rsidRDefault="00F37091" w:rsidP="00F37091">
      <w:pPr>
        <w:spacing w:after="0" w:line="240" w:lineRule="auto"/>
        <w:jc w:val="both"/>
        <w:rPr>
          <w:rFonts w:ascii="Times New Roman" w:hAnsi="Times New Roman"/>
          <w:sz w:val="20"/>
          <w:szCs w:val="20"/>
        </w:rPr>
      </w:pPr>
    </w:p>
    <w:p w14:paraId="0F0E7652" w14:textId="7FF6CB49" w:rsidR="00F038BD" w:rsidRPr="00F038BD" w:rsidRDefault="00F038BD" w:rsidP="00F37091">
      <w:pPr>
        <w:spacing w:after="0" w:line="240" w:lineRule="auto"/>
        <w:jc w:val="both"/>
        <w:rPr>
          <w:rFonts w:ascii="Times New Roman" w:hAnsi="Times New Roman"/>
          <w:sz w:val="20"/>
          <w:szCs w:val="20"/>
        </w:rPr>
      </w:pPr>
      <w:r w:rsidRPr="00F038BD">
        <w:rPr>
          <w:rFonts w:ascii="Times New Roman" w:hAnsi="Times New Roman"/>
          <w:sz w:val="20"/>
          <w:szCs w:val="20"/>
        </w:rPr>
        <w:t xml:space="preserve">Our manufacturing process is dependent on continuous supply of raw material i.e. brass scrap used for manufacturing of our brass products. The brass scrap is procured largely from international suppliers based in USA, UK, Europe and Middle East. </w:t>
      </w:r>
    </w:p>
    <w:p w14:paraId="5BF2A3E7" w14:textId="77777777" w:rsidR="00F37091" w:rsidRDefault="00F37091" w:rsidP="00F37091">
      <w:pPr>
        <w:spacing w:after="0" w:line="240" w:lineRule="auto"/>
        <w:jc w:val="both"/>
        <w:rPr>
          <w:rFonts w:ascii="Times New Roman" w:hAnsi="Times New Roman"/>
          <w:b/>
          <w:bCs/>
          <w:sz w:val="20"/>
          <w:szCs w:val="20"/>
        </w:rPr>
      </w:pPr>
    </w:p>
    <w:p w14:paraId="38DDDF29" w14:textId="2183E4F1" w:rsidR="00F038BD" w:rsidRPr="00F038BD" w:rsidRDefault="00F038BD" w:rsidP="00F37091">
      <w:pPr>
        <w:spacing w:after="0" w:line="240" w:lineRule="auto"/>
        <w:jc w:val="both"/>
        <w:rPr>
          <w:rFonts w:ascii="Times New Roman" w:hAnsi="Times New Roman"/>
          <w:b/>
          <w:bCs/>
          <w:sz w:val="20"/>
          <w:szCs w:val="20"/>
        </w:rPr>
      </w:pPr>
      <w:r w:rsidRPr="00F038BD">
        <w:rPr>
          <w:rFonts w:ascii="Times New Roman" w:hAnsi="Times New Roman"/>
          <w:b/>
          <w:bCs/>
          <w:sz w:val="20"/>
          <w:szCs w:val="20"/>
        </w:rPr>
        <w:t>Segregation of Scrap</w:t>
      </w:r>
    </w:p>
    <w:p w14:paraId="78471602" w14:textId="77777777" w:rsidR="00F37091" w:rsidRDefault="00F37091" w:rsidP="00F37091">
      <w:pPr>
        <w:spacing w:after="0" w:line="240" w:lineRule="auto"/>
        <w:jc w:val="both"/>
        <w:rPr>
          <w:rFonts w:ascii="Times New Roman" w:hAnsi="Times New Roman"/>
          <w:sz w:val="20"/>
          <w:szCs w:val="20"/>
        </w:rPr>
      </w:pPr>
    </w:p>
    <w:p w14:paraId="32C70AA7" w14:textId="0686B129" w:rsidR="00F038BD" w:rsidRPr="00F038BD" w:rsidRDefault="00F038BD" w:rsidP="00F37091">
      <w:pPr>
        <w:spacing w:after="0" w:line="240" w:lineRule="auto"/>
        <w:jc w:val="both"/>
        <w:rPr>
          <w:rFonts w:ascii="Times New Roman" w:hAnsi="Times New Roman"/>
          <w:sz w:val="20"/>
          <w:szCs w:val="20"/>
        </w:rPr>
      </w:pPr>
      <w:r w:rsidRPr="00F038BD">
        <w:rPr>
          <w:rFonts w:ascii="Times New Roman" w:hAnsi="Times New Roman"/>
          <w:sz w:val="20"/>
          <w:szCs w:val="20"/>
        </w:rPr>
        <w:t xml:space="preserve">The input raw material namely mixed metal brass scrap is not normal brass scarp, as it contains brass scrap with high impurities like copper, iron, steel, plastic, rubber etc. The process of segregation for physical removal of impurities from mixed brass scrap to produce segregated mixed brass scrap is first operation in the manufacturing process to manufacture brass items. The mixed scrap is sorted into brass scrap through physical handpicking as well as through machine, depending upon nature of scrap lot. </w:t>
      </w:r>
    </w:p>
    <w:p w14:paraId="3AC63BF4" w14:textId="77777777" w:rsidR="00F37091" w:rsidRDefault="00F37091" w:rsidP="00F37091">
      <w:pPr>
        <w:spacing w:after="0" w:line="240" w:lineRule="auto"/>
        <w:jc w:val="both"/>
        <w:rPr>
          <w:rFonts w:ascii="Times New Roman" w:hAnsi="Times New Roman"/>
          <w:b/>
          <w:bCs/>
          <w:sz w:val="20"/>
          <w:szCs w:val="20"/>
        </w:rPr>
      </w:pPr>
    </w:p>
    <w:p w14:paraId="18F06B95" w14:textId="5A2439B2" w:rsidR="00F038BD" w:rsidRPr="00F038BD" w:rsidRDefault="00F038BD" w:rsidP="00F37091">
      <w:pPr>
        <w:spacing w:after="0" w:line="240" w:lineRule="auto"/>
        <w:jc w:val="both"/>
        <w:rPr>
          <w:rFonts w:ascii="Times New Roman" w:hAnsi="Times New Roman"/>
          <w:b/>
          <w:bCs/>
          <w:sz w:val="20"/>
          <w:szCs w:val="20"/>
        </w:rPr>
      </w:pPr>
      <w:r w:rsidRPr="00F038BD">
        <w:rPr>
          <w:rFonts w:ascii="Times New Roman" w:hAnsi="Times New Roman"/>
          <w:b/>
          <w:bCs/>
          <w:sz w:val="20"/>
          <w:szCs w:val="20"/>
        </w:rPr>
        <w:t>Melting in induction furnace</w:t>
      </w:r>
    </w:p>
    <w:p w14:paraId="554CFD81" w14:textId="77777777" w:rsidR="00F37091" w:rsidRDefault="00F37091" w:rsidP="00F37091">
      <w:pPr>
        <w:spacing w:after="0" w:line="240" w:lineRule="auto"/>
        <w:jc w:val="both"/>
        <w:rPr>
          <w:rFonts w:ascii="Times New Roman" w:hAnsi="Times New Roman"/>
          <w:sz w:val="20"/>
          <w:szCs w:val="20"/>
        </w:rPr>
      </w:pPr>
    </w:p>
    <w:p w14:paraId="5A5BEE79" w14:textId="61F6D4C2" w:rsidR="00F038BD" w:rsidRPr="00F038BD" w:rsidRDefault="00F038BD" w:rsidP="00F37091">
      <w:pPr>
        <w:spacing w:after="0" w:line="240" w:lineRule="auto"/>
        <w:jc w:val="both"/>
        <w:rPr>
          <w:rFonts w:ascii="Times New Roman" w:hAnsi="Times New Roman"/>
          <w:sz w:val="20"/>
          <w:szCs w:val="20"/>
        </w:rPr>
      </w:pPr>
      <w:r w:rsidRPr="00F038BD">
        <w:rPr>
          <w:rFonts w:ascii="Times New Roman" w:hAnsi="Times New Roman"/>
          <w:sz w:val="20"/>
          <w:szCs w:val="20"/>
        </w:rPr>
        <w:t xml:space="preserve">The segregated brass scrap is charged into an electric furnace. The furnace is heated electrically to extremely high temperatures. The furnace surround the metal in a crucible by a coil through which an alternating electric current passes. The current induced in the metal causes heating and melting of raw material. We perform material quality check of Non-ferrous Scrap by using Material Spectro Analysis Machine after melting in Induction Furnace, in order to ensure that the produced brass contains requisite composition. If the desired specification are not met, content of copper/zinc is added in requisite proportion.  </w:t>
      </w:r>
    </w:p>
    <w:p w14:paraId="4E80D63A" w14:textId="77777777" w:rsidR="00F37091" w:rsidRDefault="00F37091" w:rsidP="00F37091">
      <w:pPr>
        <w:spacing w:after="0" w:line="240" w:lineRule="auto"/>
        <w:jc w:val="both"/>
        <w:rPr>
          <w:rFonts w:ascii="Times New Roman" w:hAnsi="Times New Roman"/>
          <w:b/>
          <w:bCs/>
          <w:sz w:val="20"/>
          <w:szCs w:val="20"/>
        </w:rPr>
      </w:pPr>
    </w:p>
    <w:p w14:paraId="13D86C67" w14:textId="05A60E57" w:rsidR="00F038BD" w:rsidRPr="00F038BD" w:rsidRDefault="00F038BD" w:rsidP="00F37091">
      <w:pPr>
        <w:spacing w:after="0" w:line="240" w:lineRule="auto"/>
        <w:jc w:val="both"/>
        <w:rPr>
          <w:rFonts w:ascii="Times New Roman" w:hAnsi="Times New Roman"/>
          <w:b/>
          <w:bCs/>
          <w:sz w:val="20"/>
          <w:szCs w:val="20"/>
        </w:rPr>
      </w:pPr>
      <w:r w:rsidRPr="00F038BD">
        <w:rPr>
          <w:rFonts w:ascii="Times New Roman" w:hAnsi="Times New Roman"/>
          <w:b/>
          <w:bCs/>
          <w:sz w:val="20"/>
          <w:szCs w:val="20"/>
        </w:rPr>
        <w:t>Casting</w:t>
      </w:r>
    </w:p>
    <w:p w14:paraId="120928C6" w14:textId="77777777" w:rsidR="00F37091" w:rsidRDefault="00F37091" w:rsidP="00F37091">
      <w:pPr>
        <w:spacing w:after="0" w:line="240" w:lineRule="auto"/>
        <w:jc w:val="both"/>
        <w:rPr>
          <w:rFonts w:ascii="Times New Roman" w:hAnsi="Times New Roman"/>
          <w:sz w:val="20"/>
          <w:szCs w:val="20"/>
        </w:rPr>
      </w:pPr>
    </w:p>
    <w:p w14:paraId="70C37A17" w14:textId="3FA758DF" w:rsidR="00F038BD" w:rsidRPr="00F038BD" w:rsidRDefault="00F038BD" w:rsidP="00F37091">
      <w:pPr>
        <w:spacing w:after="0" w:line="240" w:lineRule="auto"/>
        <w:jc w:val="both"/>
        <w:rPr>
          <w:rFonts w:ascii="Times New Roman" w:hAnsi="Times New Roman"/>
          <w:sz w:val="20"/>
          <w:szCs w:val="20"/>
        </w:rPr>
      </w:pPr>
      <w:r w:rsidRPr="00F038BD">
        <w:rPr>
          <w:rFonts w:ascii="Times New Roman" w:hAnsi="Times New Roman"/>
          <w:sz w:val="20"/>
          <w:szCs w:val="20"/>
        </w:rPr>
        <w:t>The molten metal is poured in the mould for casting in form of Ingots or Billets. Billets are then cut into the desired lengths and are then sent for extrusion for formation of brass rods. We also sell Ingots and Billets as finished product to certain customers.</w:t>
      </w:r>
    </w:p>
    <w:p w14:paraId="07F16B58" w14:textId="77777777" w:rsidR="00F37091" w:rsidRDefault="00F37091" w:rsidP="00F37091">
      <w:pPr>
        <w:spacing w:after="0" w:line="240" w:lineRule="auto"/>
        <w:jc w:val="both"/>
        <w:rPr>
          <w:rFonts w:ascii="Times New Roman" w:hAnsi="Times New Roman"/>
          <w:b/>
          <w:bCs/>
          <w:sz w:val="20"/>
          <w:szCs w:val="20"/>
        </w:rPr>
      </w:pPr>
    </w:p>
    <w:p w14:paraId="162FB9EC" w14:textId="046DEB88" w:rsidR="00F038BD" w:rsidRPr="00F038BD" w:rsidRDefault="00F038BD" w:rsidP="00F37091">
      <w:pPr>
        <w:spacing w:after="0" w:line="240" w:lineRule="auto"/>
        <w:jc w:val="both"/>
        <w:rPr>
          <w:rFonts w:ascii="Times New Roman" w:hAnsi="Times New Roman"/>
          <w:b/>
          <w:bCs/>
          <w:sz w:val="20"/>
          <w:szCs w:val="20"/>
        </w:rPr>
      </w:pPr>
      <w:r w:rsidRPr="00F038BD">
        <w:rPr>
          <w:rFonts w:ascii="Times New Roman" w:hAnsi="Times New Roman"/>
          <w:b/>
          <w:bCs/>
          <w:sz w:val="20"/>
          <w:szCs w:val="20"/>
        </w:rPr>
        <w:t>Extrusion Process</w:t>
      </w:r>
    </w:p>
    <w:p w14:paraId="19393BC9" w14:textId="77777777" w:rsidR="00F37091" w:rsidRDefault="00F37091" w:rsidP="00F37091">
      <w:pPr>
        <w:spacing w:after="0" w:line="240" w:lineRule="auto"/>
        <w:jc w:val="both"/>
        <w:rPr>
          <w:rFonts w:ascii="Times New Roman" w:hAnsi="Times New Roman"/>
          <w:sz w:val="20"/>
          <w:szCs w:val="20"/>
        </w:rPr>
      </w:pPr>
    </w:p>
    <w:p w14:paraId="3FFC4610" w14:textId="53AFC584" w:rsidR="00F038BD" w:rsidRPr="00F038BD" w:rsidRDefault="00F038BD" w:rsidP="00F37091">
      <w:pPr>
        <w:spacing w:after="0" w:line="240" w:lineRule="auto"/>
        <w:jc w:val="both"/>
        <w:rPr>
          <w:rFonts w:ascii="Times New Roman" w:hAnsi="Times New Roman"/>
          <w:sz w:val="20"/>
          <w:szCs w:val="20"/>
        </w:rPr>
      </w:pPr>
      <w:r w:rsidRPr="00F038BD">
        <w:rPr>
          <w:rFonts w:ascii="Times New Roman" w:hAnsi="Times New Roman"/>
          <w:sz w:val="20"/>
          <w:szCs w:val="20"/>
        </w:rPr>
        <w:lastRenderedPageBreak/>
        <w:t xml:space="preserve">Brass billets are loaded into the extrusion press machine. These billets are cylindrical in shape and are placed in the machine's chamber. The loaded brass billet is subjected to high pressure inside the extrusion press machine. The billet is forced through a specially designed die, which shapes the brass into a continuous rod of the desired diameter and length. </w:t>
      </w:r>
    </w:p>
    <w:p w14:paraId="6BB3F023" w14:textId="77777777" w:rsidR="00F37091" w:rsidRDefault="00F37091" w:rsidP="00F37091">
      <w:pPr>
        <w:spacing w:after="0" w:line="240" w:lineRule="auto"/>
        <w:jc w:val="both"/>
        <w:rPr>
          <w:rFonts w:ascii="Times New Roman" w:hAnsi="Times New Roman"/>
          <w:b/>
          <w:bCs/>
          <w:sz w:val="20"/>
          <w:szCs w:val="20"/>
        </w:rPr>
      </w:pPr>
    </w:p>
    <w:p w14:paraId="4C18978C" w14:textId="43B757E6" w:rsidR="00F038BD" w:rsidRPr="00F038BD" w:rsidRDefault="00F038BD" w:rsidP="00F37091">
      <w:pPr>
        <w:spacing w:after="0" w:line="240" w:lineRule="auto"/>
        <w:jc w:val="both"/>
        <w:rPr>
          <w:rFonts w:ascii="Times New Roman" w:hAnsi="Times New Roman"/>
          <w:b/>
          <w:bCs/>
          <w:sz w:val="20"/>
          <w:szCs w:val="20"/>
        </w:rPr>
      </w:pPr>
      <w:r w:rsidRPr="00F038BD">
        <w:rPr>
          <w:rFonts w:ascii="Times New Roman" w:hAnsi="Times New Roman"/>
          <w:b/>
          <w:bCs/>
          <w:sz w:val="20"/>
          <w:szCs w:val="20"/>
        </w:rPr>
        <w:t>Cutting &amp; Forging</w:t>
      </w:r>
    </w:p>
    <w:p w14:paraId="1DBB67B6" w14:textId="77777777" w:rsidR="00F37091" w:rsidRDefault="00F37091" w:rsidP="00F37091">
      <w:pPr>
        <w:spacing w:after="0" w:line="240" w:lineRule="auto"/>
        <w:jc w:val="both"/>
        <w:rPr>
          <w:rFonts w:ascii="Times New Roman" w:hAnsi="Times New Roman"/>
          <w:sz w:val="20"/>
          <w:szCs w:val="20"/>
        </w:rPr>
      </w:pPr>
    </w:p>
    <w:p w14:paraId="667AB77D" w14:textId="711069E5" w:rsidR="00F038BD" w:rsidRPr="00F038BD" w:rsidRDefault="00F038BD" w:rsidP="00F37091">
      <w:pPr>
        <w:spacing w:after="0" w:line="240" w:lineRule="auto"/>
        <w:jc w:val="both"/>
        <w:rPr>
          <w:rFonts w:ascii="Times New Roman" w:hAnsi="Times New Roman"/>
          <w:sz w:val="20"/>
          <w:szCs w:val="20"/>
        </w:rPr>
      </w:pPr>
      <w:r w:rsidRPr="00F038BD">
        <w:rPr>
          <w:rFonts w:ascii="Times New Roman" w:hAnsi="Times New Roman"/>
          <w:sz w:val="20"/>
          <w:szCs w:val="20"/>
        </w:rPr>
        <w:t xml:space="preserve">After completion of extrusion process, the rods are cut to smaller pieces according to the requirement and is then further shaped into the desired brass component through forging. </w:t>
      </w:r>
    </w:p>
    <w:p w14:paraId="74E1E079" w14:textId="77777777" w:rsidR="00F37091" w:rsidRDefault="00F37091" w:rsidP="00F37091">
      <w:pPr>
        <w:spacing w:after="0" w:line="240" w:lineRule="auto"/>
        <w:jc w:val="both"/>
        <w:rPr>
          <w:rFonts w:ascii="Times New Roman" w:hAnsi="Times New Roman"/>
          <w:b/>
          <w:bCs/>
          <w:sz w:val="20"/>
          <w:szCs w:val="20"/>
        </w:rPr>
      </w:pPr>
    </w:p>
    <w:p w14:paraId="0CDE2A41" w14:textId="39866BC9" w:rsidR="00F038BD" w:rsidRPr="00F038BD" w:rsidRDefault="00F038BD" w:rsidP="00F37091">
      <w:pPr>
        <w:spacing w:after="0" w:line="240" w:lineRule="auto"/>
        <w:jc w:val="both"/>
        <w:rPr>
          <w:rFonts w:ascii="Times New Roman" w:hAnsi="Times New Roman"/>
          <w:b/>
          <w:bCs/>
          <w:sz w:val="20"/>
          <w:szCs w:val="20"/>
        </w:rPr>
      </w:pPr>
      <w:r w:rsidRPr="00F038BD">
        <w:rPr>
          <w:rFonts w:ascii="Times New Roman" w:hAnsi="Times New Roman"/>
          <w:b/>
          <w:bCs/>
          <w:sz w:val="20"/>
          <w:szCs w:val="20"/>
        </w:rPr>
        <w:t>Visual Inspection</w:t>
      </w:r>
    </w:p>
    <w:p w14:paraId="3A4A061C" w14:textId="77777777" w:rsidR="00F37091" w:rsidRDefault="00F37091" w:rsidP="00F37091">
      <w:pPr>
        <w:spacing w:after="0" w:line="240" w:lineRule="auto"/>
        <w:jc w:val="both"/>
        <w:rPr>
          <w:rFonts w:ascii="Times New Roman" w:hAnsi="Times New Roman"/>
          <w:sz w:val="20"/>
          <w:szCs w:val="20"/>
        </w:rPr>
      </w:pPr>
    </w:p>
    <w:p w14:paraId="4207AC0C" w14:textId="186D75B9" w:rsidR="00F038BD" w:rsidRPr="00F038BD" w:rsidRDefault="00F038BD" w:rsidP="00F37091">
      <w:pPr>
        <w:spacing w:after="0" w:line="240" w:lineRule="auto"/>
        <w:jc w:val="both"/>
        <w:rPr>
          <w:rFonts w:ascii="Times New Roman" w:hAnsi="Times New Roman"/>
          <w:sz w:val="20"/>
          <w:szCs w:val="20"/>
        </w:rPr>
      </w:pPr>
      <w:r w:rsidRPr="00F038BD">
        <w:rPr>
          <w:rFonts w:ascii="Times New Roman" w:hAnsi="Times New Roman"/>
          <w:sz w:val="20"/>
          <w:szCs w:val="20"/>
        </w:rPr>
        <w:t>After completion of forging process, the goods are inspected visually on random basis. Deficient products are removed and added to brass scrap for melting. Goods which pass the visual inspection are forwarded for machining.</w:t>
      </w:r>
    </w:p>
    <w:p w14:paraId="5C9636A2" w14:textId="77777777" w:rsidR="00F37091" w:rsidRDefault="00F37091" w:rsidP="00F37091">
      <w:pPr>
        <w:spacing w:after="0" w:line="240" w:lineRule="auto"/>
        <w:jc w:val="both"/>
        <w:rPr>
          <w:rFonts w:ascii="Times New Roman" w:hAnsi="Times New Roman"/>
          <w:b/>
          <w:bCs/>
          <w:sz w:val="20"/>
          <w:szCs w:val="20"/>
        </w:rPr>
      </w:pPr>
    </w:p>
    <w:p w14:paraId="3B60172F" w14:textId="44D93A16" w:rsidR="00F038BD" w:rsidRPr="00F038BD" w:rsidRDefault="00F038BD" w:rsidP="00F37091">
      <w:pPr>
        <w:spacing w:after="0" w:line="240" w:lineRule="auto"/>
        <w:jc w:val="both"/>
        <w:rPr>
          <w:rFonts w:ascii="Times New Roman" w:hAnsi="Times New Roman"/>
          <w:b/>
          <w:bCs/>
          <w:sz w:val="20"/>
          <w:szCs w:val="20"/>
        </w:rPr>
      </w:pPr>
      <w:r w:rsidRPr="00F038BD">
        <w:rPr>
          <w:rFonts w:ascii="Times New Roman" w:hAnsi="Times New Roman"/>
          <w:b/>
          <w:bCs/>
          <w:sz w:val="20"/>
          <w:szCs w:val="20"/>
        </w:rPr>
        <w:t>Machining for manufacturing brass components</w:t>
      </w:r>
    </w:p>
    <w:p w14:paraId="5B8305DC" w14:textId="77777777" w:rsidR="00F37091" w:rsidRDefault="00F37091" w:rsidP="00F37091">
      <w:pPr>
        <w:spacing w:after="0" w:line="240" w:lineRule="auto"/>
        <w:jc w:val="both"/>
        <w:rPr>
          <w:rFonts w:ascii="Times New Roman" w:hAnsi="Times New Roman"/>
          <w:sz w:val="20"/>
          <w:szCs w:val="20"/>
        </w:rPr>
      </w:pPr>
    </w:p>
    <w:p w14:paraId="70664335" w14:textId="09BABA20" w:rsidR="00F038BD" w:rsidRPr="00F038BD" w:rsidRDefault="00F038BD" w:rsidP="00F37091">
      <w:pPr>
        <w:spacing w:after="0" w:line="240" w:lineRule="auto"/>
        <w:jc w:val="both"/>
        <w:rPr>
          <w:rFonts w:ascii="Times New Roman" w:hAnsi="Times New Roman"/>
          <w:sz w:val="20"/>
          <w:szCs w:val="20"/>
        </w:rPr>
      </w:pPr>
      <w:r w:rsidRPr="00F038BD">
        <w:rPr>
          <w:rFonts w:ascii="Times New Roman" w:hAnsi="Times New Roman"/>
          <w:sz w:val="20"/>
          <w:szCs w:val="20"/>
        </w:rPr>
        <w:t xml:space="preserve">After forging, the component is subjected to precision machining processes to achieve the final shape, dimensions and surface finish. This is done by us through CNC machining, lathe machining, drilling, threading, and grinding. </w:t>
      </w:r>
    </w:p>
    <w:p w14:paraId="1A8120B1" w14:textId="77777777" w:rsidR="00F37091" w:rsidRDefault="00F37091" w:rsidP="00F37091">
      <w:pPr>
        <w:spacing w:after="0" w:line="240" w:lineRule="auto"/>
        <w:jc w:val="both"/>
        <w:rPr>
          <w:rFonts w:ascii="Times New Roman" w:hAnsi="Times New Roman"/>
          <w:b/>
          <w:bCs/>
          <w:sz w:val="20"/>
          <w:szCs w:val="20"/>
        </w:rPr>
      </w:pPr>
    </w:p>
    <w:p w14:paraId="1E2D3FFE" w14:textId="4C84B784" w:rsidR="00F038BD" w:rsidRPr="00F038BD" w:rsidRDefault="00F038BD" w:rsidP="00F37091">
      <w:pPr>
        <w:spacing w:after="0" w:line="240" w:lineRule="auto"/>
        <w:jc w:val="both"/>
        <w:rPr>
          <w:rFonts w:ascii="Times New Roman" w:hAnsi="Times New Roman"/>
          <w:b/>
          <w:bCs/>
          <w:sz w:val="20"/>
          <w:szCs w:val="20"/>
        </w:rPr>
      </w:pPr>
      <w:r w:rsidRPr="00F038BD">
        <w:rPr>
          <w:rFonts w:ascii="Times New Roman" w:hAnsi="Times New Roman"/>
          <w:b/>
          <w:bCs/>
          <w:sz w:val="20"/>
          <w:szCs w:val="20"/>
        </w:rPr>
        <w:t xml:space="preserve">Polishing and Plating </w:t>
      </w:r>
    </w:p>
    <w:p w14:paraId="50388993" w14:textId="77777777" w:rsidR="00F37091" w:rsidRDefault="00F37091" w:rsidP="00F37091">
      <w:pPr>
        <w:spacing w:after="0" w:line="240" w:lineRule="auto"/>
        <w:jc w:val="both"/>
        <w:rPr>
          <w:rFonts w:ascii="Times New Roman" w:hAnsi="Times New Roman"/>
          <w:sz w:val="20"/>
          <w:szCs w:val="20"/>
        </w:rPr>
      </w:pPr>
    </w:p>
    <w:p w14:paraId="48FCB0F0" w14:textId="66CFE2B1" w:rsidR="00F038BD" w:rsidRPr="00F038BD" w:rsidRDefault="00F038BD" w:rsidP="00F37091">
      <w:pPr>
        <w:spacing w:after="0" w:line="240" w:lineRule="auto"/>
        <w:jc w:val="both"/>
        <w:rPr>
          <w:rFonts w:ascii="Times New Roman" w:hAnsi="Times New Roman"/>
          <w:sz w:val="20"/>
          <w:szCs w:val="20"/>
        </w:rPr>
      </w:pPr>
      <w:r w:rsidRPr="00F038BD">
        <w:rPr>
          <w:rFonts w:ascii="Times New Roman" w:hAnsi="Times New Roman"/>
          <w:sz w:val="20"/>
          <w:szCs w:val="20"/>
        </w:rPr>
        <w:t xml:space="preserve">After the machining process, the polishing and plating process is done on the brass components as per the requirement, with the help of polishing machine and plating machine. Post polishing and plating, brass components are sent for packing. </w:t>
      </w:r>
    </w:p>
    <w:p w14:paraId="15DE3C9E" w14:textId="77777777" w:rsidR="00F37091" w:rsidRDefault="00F37091" w:rsidP="00F37091">
      <w:pPr>
        <w:spacing w:after="0" w:line="240" w:lineRule="auto"/>
        <w:jc w:val="both"/>
        <w:rPr>
          <w:rFonts w:ascii="Times New Roman" w:hAnsi="Times New Roman"/>
          <w:b/>
          <w:bCs/>
          <w:sz w:val="20"/>
          <w:szCs w:val="20"/>
        </w:rPr>
      </w:pPr>
    </w:p>
    <w:p w14:paraId="211CD3D6" w14:textId="2402AE1C" w:rsidR="00F038BD" w:rsidRPr="00F038BD" w:rsidRDefault="00F038BD" w:rsidP="00F37091">
      <w:pPr>
        <w:spacing w:after="0" w:line="240" w:lineRule="auto"/>
        <w:jc w:val="both"/>
        <w:rPr>
          <w:rFonts w:ascii="Times New Roman" w:hAnsi="Times New Roman"/>
          <w:b/>
          <w:bCs/>
          <w:sz w:val="20"/>
          <w:szCs w:val="20"/>
        </w:rPr>
      </w:pPr>
      <w:r w:rsidRPr="00F038BD">
        <w:rPr>
          <w:rFonts w:ascii="Times New Roman" w:hAnsi="Times New Roman"/>
          <w:b/>
          <w:bCs/>
          <w:sz w:val="20"/>
          <w:szCs w:val="20"/>
        </w:rPr>
        <w:t>Packing and Dispatch</w:t>
      </w:r>
    </w:p>
    <w:p w14:paraId="6381D01A" w14:textId="77777777" w:rsidR="00F37091" w:rsidRDefault="00F37091" w:rsidP="00F37091">
      <w:pPr>
        <w:spacing w:after="0" w:line="240" w:lineRule="auto"/>
        <w:jc w:val="both"/>
        <w:rPr>
          <w:rFonts w:ascii="Times New Roman" w:hAnsi="Times New Roman"/>
          <w:sz w:val="20"/>
          <w:szCs w:val="20"/>
        </w:rPr>
      </w:pPr>
    </w:p>
    <w:p w14:paraId="69F77AC0" w14:textId="1BA1E231" w:rsidR="00F038BD" w:rsidRPr="00F038BD" w:rsidRDefault="00F038BD" w:rsidP="00F37091">
      <w:pPr>
        <w:spacing w:after="0" w:line="240" w:lineRule="auto"/>
        <w:jc w:val="both"/>
        <w:rPr>
          <w:rFonts w:ascii="Times New Roman" w:hAnsi="Times New Roman"/>
          <w:sz w:val="20"/>
          <w:szCs w:val="20"/>
        </w:rPr>
      </w:pPr>
      <w:r w:rsidRPr="00F038BD">
        <w:rPr>
          <w:rFonts w:ascii="Times New Roman" w:hAnsi="Times New Roman"/>
          <w:sz w:val="20"/>
          <w:szCs w:val="20"/>
        </w:rPr>
        <w:t xml:space="preserve">Finished Goods are packed in plastic packages and then into corrugated boxes in a set of such number of units as the </w:t>
      </w:r>
      <w:r w:rsidR="00F37091" w:rsidRPr="00F038BD">
        <w:rPr>
          <w:rFonts w:ascii="Times New Roman" w:hAnsi="Times New Roman"/>
          <w:sz w:val="20"/>
          <w:szCs w:val="20"/>
        </w:rPr>
        <w:t>client’s</w:t>
      </w:r>
      <w:r w:rsidRPr="00F038BD">
        <w:rPr>
          <w:rFonts w:ascii="Times New Roman" w:hAnsi="Times New Roman"/>
          <w:sz w:val="20"/>
          <w:szCs w:val="20"/>
        </w:rPr>
        <w:t xml:space="preserve"> specification. The box </w:t>
      </w:r>
      <w:r w:rsidR="00F37091" w:rsidRPr="00F038BD">
        <w:rPr>
          <w:rFonts w:ascii="Times New Roman" w:hAnsi="Times New Roman"/>
          <w:sz w:val="20"/>
          <w:szCs w:val="20"/>
        </w:rPr>
        <w:t>is</w:t>
      </w:r>
      <w:r w:rsidRPr="00F038BD">
        <w:rPr>
          <w:rFonts w:ascii="Times New Roman" w:hAnsi="Times New Roman"/>
          <w:sz w:val="20"/>
          <w:szCs w:val="20"/>
        </w:rPr>
        <w:t xml:space="preserve"> then dispatched to customer’s place by using third party transportation.</w:t>
      </w:r>
    </w:p>
    <w:p w14:paraId="562D18ED" w14:textId="77777777" w:rsidR="00F038BD" w:rsidRPr="00F038BD" w:rsidRDefault="00F038BD" w:rsidP="00F37091">
      <w:pPr>
        <w:spacing w:after="0" w:line="240" w:lineRule="auto"/>
        <w:jc w:val="both"/>
        <w:rPr>
          <w:rFonts w:ascii="Times New Roman" w:hAnsi="Times New Roman"/>
          <w:sz w:val="20"/>
          <w:szCs w:val="20"/>
        </w:rPr>
      </w:pPr>
    </w:p>
    <w:p w14:paraId="1B221BA2" w14:textId="77777777" w:rsidR="00F038BD" w:rsidRPr="00F038BD" w:rsidRDefault="00F038BD" w:rsidP="00F37091">
      <w:pPr>
        <w:spacing w:after="0" w:line="240" w:lineRule="auto"/>
        <w:jc w:val="both"/>
        <w:rPr>
          <w:rFonts w:ascii="Times New Roman" w:hAnsi="Times New Roman"/>
          <w:sz w:val="20"/>
          <w:szCs w:val="20"/>
        </w:rPr>
      </w:pPr>
      <w:r w:rsidRPr="00F038BD">
        <w:rPr>
          <w:rFonts w:ascii="Times New Roman" w:hAnsi="Times New Roman"/>
          <w:b/>
          <w:sz w:val="20"/>
          <w:szCs w:val="20"/>
          <w:u w:val="single"/>
        </w:rPr>
        <w:t>PLANT &amp; MACHINERY</w:t>
      </w:r>
    </w:p>
    <w:p w14:paraId="068AE009" w14:textId="77777777" w:rsidR="00F038BD" w:rsidRPr="00F038BD" w:rsidRDefault="00F038BD" w:rsidP="00F37091">
      <w:pPr>
        <w:spacing w:after="0" w:line="240" w:lineRule="auto"/>
        <w:jc w:val="both"/>
        <w:rPr>
          <w:rFonts w:ascii="Times New Roman" w:hAnsi="Times New Roman"/>
          <w:sz w:val="20"/>
          <w:szCs w:val="20"/>
        </w:rPr>
      </w:pPr>
    </w:p>
    <w:p w14:paraId="18C16601" w14:textId="77777777" w:rsidR="00F038BD" w:rsidRPr="00F038BD" w:rsidRDefault="00F038BD" w:rsidP="00F37091">
      <w:pPr>
        <w:spacing w:after="0" w:line="240" w:lineRule="auto"/>
        <w:jc w:val="both"/>
        <w:rPr>
          <w:rFonts w:ascii="Times New Roman" w:hAnsi="Times New Roman"/>
          <w:sz w:val="20"/>
          <w:szCs w:val="20"/>
        </w:rPr>
      </w:pPr>
      <w:r w:rsidRPr="00F038BD">
        <w:rPr>
          <w:rFonts w:ascii="Times New Roman" w:hAnsi="Times New Roman"/>
          <w:sz w:val="20"/>
          <w:szCs w:val="20"/>
        </w:rPr>
        <w:t>Some of the major plant &amp; machineries installed in our units include:</w:t>
      </w:r>
    </w:p>
    <w:p w14:paraId="4E72F8B3" w14:textId="77777777" w:rsidR="00F038BD" w:rsidRPr="00F038BD" w:rsidRDefault="00F038BD" w:rsidP="00F37091">
      <w:pPr>
        <w:spacing w:after="0" w:line="240" w:lineRule="auto"/>
        <w:jc w:val="both"/>
        <w:rPr>
          <w:rFonts w:ascii="Times New Roman" w:hAnsi="Times New Roman"/>
          <w:sz w:val="20"/>
          <w:szCs w:val="20"/>
        </w:rPr>
      </w:pPr>
    </w:p>
    <w:p w14:paraId="5B826115" w14:textId="2C6F2EDE" w:rsidR="00F038BD" w:rsidRPr="00F038BD" w:rsidRDefault="00F038BD" w:rsidP="00F038BD">
      <w:pPr>
        <w:spacing w:after="0" w:line="240" w:lineRule="auto"/>
        <w:jc w:val="both"/>
        <w:rPr>
          <w:rFonts w:ascii="Times New Roman" w:hAnsi="Times New Roman"/>
          <w:sz w:val="20"/>
          <w:szCs w:val="20"/>
        </w:rPr>
      </w:pPr>
      <w:r w:rsidRPr="00F038BD">
        <w:rPr>
          <w:rFonts w:ascii="Times New Roman" w:hAnsi="Times New Roman"/>
          <w:sz w:val="20"/>
          <w:szCs w:val="20"/>
        </w:rPr>
        <w:t>Spectro Analysis machine, Spindle life cycle testing machine, Hardness tester machine, lathe machine, vibrator, rod straightening machine, wire pointing machine, CNC Machines, Slotting Machine, Auto Drill machine, Auto punching machine, polishing machines, grinding machines, plating machines, AV leakage testing machine, plating thickness testing machine, laser marking machine, Pulverizer etc.</w:t>
      </w:r>
    </w:p>
    <w:p w14:paraId="33D3386C" w14:textId="77777777" w:rsidR="00F038BD" w:rsidRPr="00F038BD" w:rsidRDefault="00F038BD" w:rsidP="00F038BD">
      <w:pPr>
        <w:spacing w:after="0" w:line="240" w:lineRule="auto"/>
        <w:jc w:val="both"/>
        <w:rPr>
          <w:rFonts w:ascii="Times New Roman" w:hAnsi="Times New Roman"/>
          <w:b/>
          <w:sz w:val="20"/>
          <w:szCs w:val="20"/>
          <w:u w:val="single"/>
        </w:rPr>
      </w:pPr>
    </w:p>
    <w:p w14:paraId="49286040" w14:textId="4065D5E9" w:rsidR="00F038BD" w:rsidRPr="00F038BD" w:rsidRDefault="00F038BD" w:rsidP="00F038BD">
      <w:pPr>
        <w:spacing w:after="0" w:line="240" w:lineRule="auto"/>
        <w:jc w:val="both"/>
        <w:rPr>
          <w:rFonts w:ascii="Times New Roman" w:hAnsi="Times New Roman"/>
          <w:b/>
          <w:sz w:val="20"/>
          <w:szCs w:val="20"/>
          <w:u w:val="single"/>
        </w:rPr>
      </w:pPr>
      <w:r w:rsidRPr="00F038BD">
        <w:rPr>
          <w:rFonts w:ascii="Times New Roman" w:hAnsi="Times New Roman"/>
          <w:b/>
          <w:sz w:val="20"/>
          <w:szCs w:val="20"/>
          <w:u w:val="single"/>
        </w:rPr>
        <w:t>INSTALLED CAPACITY &amp; CAPACITY UTILISATION:</w:t>
      </w:r>
    </w:p>
    <w:p w14:paraId="2D014900" w14:textId="77777777" w:rsidR="00F038BD" w:rsidRPr="00F038BD" w:rsidRDefault="00F038BD" w:rsidP="00F038BD">
      <w:pPr>
        <w:spacing w:after="0" w:line="240" w:lineRule="auto"/>
        <w:jc w:val="both"/>
        <w:rPr>
          <w:rFonts w:ascii="Times New Roman" w:hAnsi="Times New Roman"/>
          <w:b/>
          <w:sz w:val="20"/>
          <w:szCs w:val="20"/>
          <w:u w:val="single"/>
        </w:rPr>
      </w:pPr>
    </w:p>
    <w:p w14:paraId="255A3EFF" w14:textId="77777777" w:rsidR="00F038BD" w:rsidRPr="00F038BD" w:rsidRDefault="00F038BD" w:rsidP="00F038BD">
      <w:pPr>
        <w:spacing w:after="0" w:line="240" w:lineRule="auto"/>
        <w:jc w:val="both"/>
        <w:rPr>
          <w:rFonts w:ascii="Times New Roman" w:hAnsi="Times New Roman"/>
          <w:b/>
          <w:sz w:val="20"/>
          <w:szCs w:val="20"/>
          <w:highlight w:val="yellow"/>
        </w:rPr>
      </w:pPr>
      <w:r w:rsidRPr="00F038BD">
        <w:rPr>
          <w:rFonts w:ascii="Times New Roman" w:hAnsi="Times New Roman"/>
          <w:b/>
          <w:sz w:val="20"/>
          <w:szCs w:val="20"/>
          <w:highlight w:val="yellow"/>
        </w:rPr>
        <w:t>Aluminum De-ox &amp; Aluminum Alloys</w:t>
      </w:r>
    </w:p>
    <w:tbl>
      <w:tblPr>
        <w:tblW w:w="506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1"/>
        <w:gridCol w:w="1984"/>
        <w:gridCol w:w="1981"/>
        <w:gridCol w:w="1981"/>
        <w:gridCol w:w="1979"/>
      </w:tblGrid>
      <w:tr w:rsidR="00F37091" w:rsidRPr="00F37091" w14:paraId="02FAB958" w14:textId="77777777" w:rsidTr="00F37091">
        <w:tc>
          <w:tcPr>
            <w:tcW w:w="1260" w:type="pct"/>
            <w:shd w:val="clear" w:color="auto" w:fill="D0CECE" w:themeFill="background2" w:themeFillShade="E6"/>
            <w:vAlign w:val="center"/>
          </w:tcPr>
          <w:p w14:paraId="122F86BE" w14:textId="77777777" w:rsidR="00F038BD" w:rsidRPr="00F37091" w:rsidRDefault="00F038BD" w:rsidP="00F038BD">
            <w:pPr>
              <w:spacing w:after="0" w:line="240" w:lineRule="auto"/>
              <w:jc w:val="center"/>
              <w:rPr>
                <w:rFonts w:ascii="Times New Roman" w:eastAsia="Calibri" w:hAnsi="Times New Roman"/>
                <w:b/>
                <w:sz w:val="20"/>
                <w:szCs w:val="20"/>
                <w:highlight w:val="yellow"/>
              </w:rPr>
            </w:pPr>
            <w:r w:rsidRPr="00F37091">
              <w:rPr>
                <w:rFonts w:ascii="Times New Roman" w:eastAsia="Calibri" w:hAnsi="Times New Roman"/>
                <w:b/>
                <w:sz w:val="20"/>
                <w:szCs w:val="20"/>
                <w:highlight w:val="yellow"/>
              </w:rPr>
              <w:t>Particulars</w:t>
            </w:r>
          </w:p>
        </w:tc>
        <w:tc>
          <w:tcPr>
            <w:tcW w:w="936" w:type="pct"/>
            <w:shd w:val="clear" w:color="auto" w:fill="D0CECE" w:themeFill="background2" w:themeFillShade="E6"/>
            <w:vAlign w:val="center"/>
          </w:tcPr>
          <w:p w14:paraId="4450F327" w14:textId="77777777" w:rsidR="00F038BD" w:rsidRPr="00F37091" w:rsidRDefault="00F038BD" w:rsidP="00F038BD">
            <w:pPr>
              <w:spacing w:after="0" w:line="240" w:lineRule="auto"/>
              <w:jc w:val="center"/>
              <w:rPr>
                <w:rFonts w:ascii="Times New Roman" w:eastAsia="Calibri" w:hAnsi="Times New Roman"/>
                <w:b/>
                <w:sz w:val="20"/>
                <w:szCs w:val="20"/>
                <w:highlight w:val="yellow"/>
              </w:rPr>
            </w:pPr>
            <w:r w:rsidRPr="00F37091">
              <w:rPr>
                <w:rFonts w:ascii="Times New Roman" w:eastAsia="Calibri" w:hAnsi="Times New Roman"/>
                <w:b/>
                <w:sz w:val="20"/>
                <w:szCs w:val="20"/>
                <w:highlight w:val="yellow"/>
              </w:rPr>
              <w:t>2019-20</w:t>
            </w:r>
          </w:p>
        </w:tc>
        <w:tc>
          <w:tcPr>
            <w:tcW w:w="935" w:type="pct"/>
            <w:shd w:val="clear" w:color="auto" w:fill="D0CECE" w:themeFill="background2" w:themeFillShade="E6"/>
            <w:vAlign w:val="center"/>
          </w:tcPr>
          <w:p w14:paraId="708CE79F" w14:textId="77777777" w:rsidR="00F038BD" w:rsidRPr="00F37091" w:rsidRDefault="00F038BD" w:rsidP="00F038BD">
            <w:pPr>
              <w:spacing w:after="0" w:line="240" w:lineRule="auto"/>
              <w:jc w:val="center"/>
              <w:rPr>
                <w:rFonts w:ascii="Times New Roman" w:eastAsia="Calibri" w:hAnsi="Times New Roman"/>
                <w:b/>
                <w:sz w:val="20"/>
                <w:szCs w:val="20"/>
                <w:highlight w:val="yellow"/>
              </w:rPr>
            </w:pPr>
            <w:r w:rsidRPr="00F37091">
              <w:rPr>
                <w:rFonts w:ascii="Times New Roman" w:eastAsia="Calibri" w:hAnsi="Times New Roman"/>
                <w:b/>
                <w:sz w:val="20"/>
                <w:szCs w:val="20"/>
                <w:highlight w:val="yellow"/>
              </w:rPr>
              <w:t>2020-21</w:t>
            </w:r>
          </w:p>
        </w:tc>
        <w:tc>
          <w:tcPr>
            <w:tcW w:w="935" w:type="pct"/>
            <w:shd w:val="clear" w:color="auto" w:fill="D0CECE" w:themeFill="background2" w:themeFillShade="E6"/>
            <w:vAlign w:val="center"/>
          </w:tcPr>
          <w:p w14:paraId="689EB166" w14:textId="77777777" w:rsidR="00F038BD" w:rsidRPr="00F37091" w:rsidRDefault="00F038BD" w:rsidP="00F038BD">
            <w:pPr>
              <w:spacing w:after="0" w:line="240" w:lineRule="auto"/>
              <w:jc w:val="center"/>
              <w:rPr>
                <w:rFonts w:ascii="Times New Roman" w:eastAsia="Calibri" w:hAnsi="Times New Roman"/>
                <w:b/>
                <w:sz w:val="20"/>
                <w:szCs w:val="20"/>
                <w:highlight w:val="yellow"/>
              </w:rPr>
            </w:pPr>
            <w:r w:rsidRPr="00F37091">
              <w:rPr>
                <w:rFonts w:ascii="Times New Roman" w:eastAsia="Calibri" w:hAnsi="Times New Roman"/>
                <w:b/>
                <w:sz w:val="20"/>
                <w:szCs w:val="20"/>
                <w:highlight w:val="yellow"/>
              </w:rPr>
              <w:t>2021-22</w:t>
            </w:r>
          </w:p>
        </w:tc>
        <w:tc>
          <w:tcPr>
            <w:tcW w:w="934" w:type="pct"/>
            <w:shd w:val="clear" w:color="auto" w:fill="D0CECE" w:themeFill="background2" w:themeFillShade="E6"/>
            <w:vAlign w:val="center"/>
          </w:tcPr>
          <w:p w14:paraId="2B0892F6" w14:textId="77777777" w:rsidR="00F038BD" w:rsidRPr="00F37091" w:rsidRDefault="00F038BD" w:rsidP="00F038BD">
            <w:pPr>
              <w:spacing w:after="0" w:line="240" w:lineRule="auto"/>
              <w:jc w:val="center"/>
              <w:rPr>
                <w:rFonts w:ascii="Times New Roman" w:eastAsia="Calibri" w:hAnsi="Times New Roman"/>
                <w:b/>
                <w:sz w:val="20"/>
                <w:szCs w:val="20"/>
                <w:highlight w:val="yellow"/>
              </w:rPr>
            </w:pPr>
            <w:r w:rsidRPr="00F37091">
              <w:rPr>
                <w:rFonts w:ascii="Times New Roman" w:eastAsia="Calibri" w:hAnsi="Times New Roman"/>
                <w:b/>
                <w:sz w:val="20"/>
                <w:szCs w:val="20"/>
                <w:highlight w:val="yellow"/>
              </w:rPr>
              <w:t>Existing Installed Capacity (p.a.)</w:t>
            </w:r>
          </w:p>
        </w:tc>
      </w:tr>
      <w:tr w:rsidR="00F038BD" w:rsidRPr="00F038BD" w14:paraId="48D55474" w14:textId="77777777" w:rsidTr="00716083">
        <w:tc>
          <w:tcPr>
            <w:tcW w:w="1260" w:type="pct"/>
            <w:shd w:val="clear" w:color="auto" w:fill="auto"/>
          </w:tcPr>
          <w:p w14:paraId="67A50D81" w14:textId="77777777" w:rsidR="00F038BD" w:rsidRPr="00F038BD" w:rsidRDefault="00F038BD" w:rsidP="00F038BD">
            <w:pPr>
              <w:spacing w:after="0" w:line="240" w:lineRule="auto"/>
              <w:jc w:val="both"/>
              <w:rPr>
                <w:rFonts w:ascii="Times New Roman" w:eastAsia="Calibri" w:hAnsi="Times New Roman"/>
                <w:sz w:val="20"/>
                <w:szCs w:val="20"/>
                <w:highlight w:val="yellow"/>
              </w:rPr>
            </w:pPr>
            <w:r w:rsidRPr="00F038BD">
              <w:rPr>
                <w:rFonts w:ascii="Times New Roman" w:eastAsia="Calibri" w:hAnsi="Times New Roman"/>
                <w:sz w:val="20"/>
                <w:szCs w:val="20"/>
                <w:highlight w:val="yellow"/>
              </w:rPr>
              <w:t>Installed Capacity (in Mt)</w:t>
            </w:r>
          </w:p>
        </w:tc>
        <w:tc>
          <w:tcPr>
            <w:tcW w:w="936" w:type="pct"/>
            <w:shd w:val="clear" w:color="auto" w:fill="auto"/>
          </w:tcPr>
          <w:p w14:paraId="4203F1F8" w14:textId="77777777" w:rsidR="00F038BD" w:rsidRPr="00F038BD" w:rsidRDefault="00F038BD" w:rsidP="00F038BD">
            <w:pPr>
              <w:spacing w:after="0"/>
              <w:jc w:val="center"/>
              <w:rPr>
                <w:rFonts w:ascii="Times New Roman" w:eastAsia="Calibri" w:hAnsi="Times New Roman"/>
                <w:b/>
                <w:sz w:val="20"/>
                <w:szCs w:val="20"/>
                <w:highlight w:val="yellow"/>
              </w:rPr>
            </w:pPr>
            <w:r w:rsidRPr="00F038BD">
              <w:rPr>
                <w:rFonts w:ascii="Times New Roman" w:eastAsia="Calibri" w:hAnsi="Times New Roman"/>
                <w:sz w:val="20"/>
                <w:szCs w:val="20"/>
                <w:highlight w:val="yellow"/>
              </w:rPr>
              <w:t>12,000</w:t>
            </w:r>
          </w:p>
        </w:tc>
        <w:tc>
          <w:tcPr>
            <w:tcW w:w="935" w:type="pct"/>
            <w:shd w:val="clear" w:color="auto" w:fill="auto"/>
          </w:tcPr>
          <w:p w14:paraId="2C669B59" w14:textId="77777777" w:rsidR="00F038BD" w:rsidRPr="00F038BD" w:rsidRDefault="00F038BD" w:rsidP="00F038BD">
            <w:pPr>
              <w:spacing w:after="0"/>
              <w:jc w:val="center"/>
              <w:rPr>
                <w:rFonts w:ascii="Times New Roman" w:eastAsia="Calibri" w:hAnsi="Times New Roman"/>
                <w:b/>
                <w:sz w:val="20"/>
                <w:szCs w:val="20"/>
                <w:highlight w:val="yellow"/>
              </w:rPr>
            </w:pPr>
            <w:r w:rsidRPr="00F038BD">
              <w:rPr>
                <w:rFonts w:ascii="Times New Roman" w:eastAsia="Calibri" w:hAnsi="Times New Roman"/>
                <w:sz w:val="20"/>
                <w:szCs w:val="20"/>
                <w:highlight w:val="yellow"/>
              </w:rPr>
              <w:t>12,000</w:t>
            </w:r>
          </w:p>
        </w:tc>
        <w:tc>
          <w:tcPr>
            <w:tcW w:w="935" w:type="pct"/>
            <w:shd w:val="clear" w:color="auto" w:fill="auto"/>
          </w:tcPr>
          <w:p w14:paraId="77628084" w14:textId="77777777" w:rsidR="00F038BD" w:rsidRPr="00F038BD" w:rsidRDefault="00F038BD" w:rsidP="00F038BD">
            <w:pPr>
              <w:spacing w:after="0"/>
              <w:jc w:val="center"/>
              <w:rPr>
                <w:rFonts w:ascii="Times New Roman" w:eastAsia="Calibri" w:hAnsi="Times New Roman"/>
                <w:b/>
                <w:sz w:val="20"/>
                <w:szCs w:val="20"/>
                <w:highlight w:val="yellow"/>
              </w:rPr>
            </w:pPr>
            <w:r w:rsidRPr="00F038BD">
              <w:rPr>
                <w:rFonts w:ascii="Times New Roman" w:eastAsia="Calibri" w:hAnsi="Times New Roman"/>
                <w:sz w:val="20"/>
                <w:szCs w:val="20"/>
                <w:highlight w:val="yellow"/>
              </w:rPr>
              <w:t>12,000</w:t>
            </w:r>
          </w:p>
        </w:tc>
        <w:tc>
          <w:tcPr>
            <w:tcW w:w="934" w:type="pct"/>
            <w:vMerge w:val="restart"/>
            <w:shd w:val="clear" w:color="auto" w:fill="auto"/>
            <w:vAlign w:val="center"/>
          </w:tcPr>
          <w:p w14:paraId="18E94A55" w14:textId="77777777" w:rsidR="00F038BD" w:rsidRPr="00F038BD" w:rsidRDefault="00F038BD" w:rsidP="00F038BD">
            <w:pPr>
              <w:spacing w:after="0" w:line="240" w:lineRule="auto"/>
              <w:jc w:val="center"/>
              <w:rPr>
                <w:rFonts w:ascii="Times New Roman" w:eastAsia="Calibri" w:hAnsi="Times New Roman"/>
                <w:sz w:val="20"/>
                <w:szCs w:val="20"/>
                <w:highlight w:val="yellow"/>
              </w:rPr>
            </w:pPr>
            <w:r w:rsidRPr="00F038BD">
              <w:rPr>
                <w:rFonts w:ascii="Times New Roman" w:eastAsia="Calibri" w:hAnsi="Times New Roman"/>
                <w:sz w:val="20"/>
                <w:szCs w:val="20"/>
                <w:highlight w:val="yellow"/>
              </w:rPr>
              <w:t>12,000</w:t>
            </w:r>
          </w:p>
        </w:tc>
      </w:tr>
      <w:tr w:rsidR="00F038BD" w:rsidRPr="00F038BD" w14:paraId="5F20E754" w14:textId="77777777" w:rsidTr="00716083">
        <w:tc>
          <w:tcPr>
            <w:tcW w:w="1260" w:type="pct"/>
            <w:shd w:val="clear" w:color="auto" w:fill="auto"/>
          </w:tcPr>
          <w:p w14:paraId="3B15BB1C" w14:textId="77777777" w:rsidR="00F038BD" w:rsidRPr="00F038BD" w:rsidRDefault="00F038BD" w:rsidP="00F038BD">
            <w:pPr>
              <w:spacing w:after="0" w:line="240" w:lineRule="auto"/>
              <w:jc w:val="both"/>
              <w:rPr>
                <w:rFonts w:ascii="Times New Roman" w:eastAsia="Calibri" w:hAnsi="Times New Roman"/>
                <w:sz w:val="20"/>
                <w:szCs w:val="20"/>
                <w:highlight w:val="yellow"/>
              </w:rPr>
            </w:pPr>
            <w:r w:rsidRPr="00F038BD">
              <w:rPr>
                <w:rFonts w:ascii="Times New Roman" w:eastAsia="Calibri" w:hAnsi="Times New Roman"/>
                <w:sz w:val="20"/>
                <w:szCs w:val="20"/>
                <w:highlight w:val="yellow"/>
              </w:rPr>
              <w:t>Actual Production (in Mt)</w:t>
            </w:r>
          </w:p>
        </w:tc>
        <w:tc>
          <w:tcPr>
            <w:tcW w:w="936" w:type="pct"/>
            <w:shd w:val="clear" w:color="auto" w:fill="auto"/>
            <w:vAlign w:val="center"/>
          </w:tcPr>
          <w:p w14:paraId="4BB7FA43" w14:textId="77777777" w:rsidR="00F038BD" w:rsidRPr="00F038BD" w:rsidRDefault="00F038BD" w:rsidP="00F038BD">
            <w:pPr>
              <w:spacing w:after="0"/>
              <w:jc w:val="center"/>
              <w:rPr>
                <w:rFonts w:ascii="Times New Roman" w:eastAsia="Calibri" w:hAnsi="Times New Roman"/>
                <w:sz w:val="20"/>
                <w:szCs w:val="20"/>
                <w:highlight w:val="yellow"/>
              </w:rPr>
            </w:pPr>
            <w:r w:rsidRPr="00F038BD">
              <w:rPr>
                <w:rFonts w:ascii="Times New Roman" w:eastAsia="Calibri" w:hAnsi="Times New Roman"/>
                <w:sz w:val="20"/>
                <w:szCs w:val="20"/>
                <w:highlight w:val="yellow"/>
              </w:rPr>
              <w:t>8287.67</w:t>
            </w:r>
          </w:p>
        </w:tc>
        <w:tc>
          <w:tcPr>
            <w:tcW w:w="935" w:type="pct"/>
            <w:shd w:val="clear" w:color="auto" w:fill="auto"/>
            <w:vAlign w:val="center"/>
          </w:tcPr>
          <w:p w14:paraId="6C08B50D" w14:textId="77777777" w:rsidR="00F038BD" w:rsidRPr="00F038BD" w:rsidRDefault="00F038BD" w:rsidP="00F038BD">
            <w:pPr>
              <w:spacing w:after="0"/>
              <w:jc w:val="center"/>
              <w:rPr>
                <w:rFonts w:ascii="Times New Roman" w:eastAsia="Calibri" w:hAnsi="Times New Roman"/>
                <w:sz w:val="20"/>
                <w:szCs w:val="20"/>
                <w:highlight w:val="yellow"/>
              </w:rPr>
            </w:pPr>
            <w:r w:rsidRPr="00F038BD">
              <w:rPr>
                <w:rFonts w:ascii="Times New Roman" w:eastAsia="Calibri" w:hAnsi="Times New Roman"/>
                <w:sz w:val="20"/>
                <w:szCs w:val="20"/>
                <w:highlight w:val="yellow"/>
              </w:rPr>
              <w:t>8124.99</w:t>
            </w:r>
          </w:p>
        </w:tc>
        <w:tc>
          <w:tcPr>
            <w:tcW w:w="935" w:type="pct"/>
            <w:shd w:val="clear" w:color="auto" w:fill="auto"/>
          </w:tcPr>
          <w:p w14:paraId="2516B653" w14:textId="77777777" w:rsidR="00F038BD" w:rsidRPr="00F038BD" w:rsidRDefault="00F038BD" w:rsidP="00F038BD">
            <w:pPr>
              <w:spacing w:after="0"/>
              <w:jc w:val="center"/>
              <w:rPr>
                <w:rFonts w:ascii="Times New Roman" w:eastAsia="Calibri" w:hAnsi="Times New Roman"/>
                <w:sz w:val="20"/>
                <w:szCs w:val="20"/>
                <w:highlight w:val="yellow"/>
              </w:rPr>
            </w:pPr>
            <w:r w:rsidRPr="00F038BD">
              <w:rPr>
                <w:rFonts w:ascii="Times New Roman" w:eastAsia="Calibri" w:hAnsi="Times New Roman"/>
                <w:sz w:val="20"/>
                <w:szCs w:val="20"/>
                <w:highlight w:val="yellow"/>
              </w:rPr>
              <w:t>11,053.23</w:t>
            </w:r>
          </w:p>
        </w:tc>
        <w:tc>
          <w:tcPr>
            <w:tcW w:w="934" w:type="pct"/>
            <w:vMerge/>
            <w:shd w:val="clear" w:color="auto" w:fill="auto"/>
          </w:tcPr>
          <w:p w14:paraId="735D58B4" w14:textId="77777777" w:rsidR="00F038BD" w:rsidRPr="00F038BD" w:rsidRDefault="00F038BD" w:rsidP="00F038BD">
            <w:pPr>
              <w:spacing w:after="0" w:line="240" w:lineRule="auto"/>
              <w:jc w:val="both"/>
              <w:rPr>
                <w:rFonts w:ascii="Times New Roman" w:eastAsia="Calibri" w:hAnsi="Times New Roman"/>
                <w:b/>
                <w:sz w:val="20"/>
                <w:szCs w:val="20"/>
                <w:highlight w:val="yellow"/>
              </w:rPr>
            </w:pPr>
          </w:p>
        </w:tc>
      </w:tr>
      <w:tr w:rsidR="00F038BD" w:rsidRPr="00F038BD" w14:paraId="10FFD0BF" w14:textId="77777777" w:rsidTr="00716083">
        <w:tc>
          <w:tcPr>
            <w:tcW w:w="1260" w:type="pct"/>
            <w:shd w:val="clear" w:color="auto" w:fill="auto"/>
          </w:tcPr>
          <w:p w14:paraId="0C5757C3" w14:textId="77777777" w:rsidR="00F038BD" w:rsidRPr="00F038BD" w:rsidRDefault="00F038BD" w:rsidP="00F038BD">
            <w:pPr>
              <w:spacing w:after="0" w:line="240" w:lineRule="auto"/>
              <w:jc w:val="both"/>
              <w:rPr>
                <w:rFonts w:ascii="Times New Roman" w:eastAsia="Calibri" w:hAnsi="Times New Roman"/>
                <w:sz w:val="20"/>
                <w:szCs w:val="20"/>
                <w:highlight w:val="yellow"/>
              </w:rPr>
            </w:pPr>
            <w:r w:rsidRPr="00F038BD">
              <w:rPr>
                <w:rFonts w:ascii="Times New Roman" w:eastAsia="Calibri" w:hAnsi="Times New Roman"/>
                <w:sz w:val="20"/>
                <w:szCs w:val="20"/>
                <w:highlight w:val="yellow"/>
              </w:rPr>
              <w:t>Capacity Utilization (in %)</w:t>
            </w:r>
          </w:p>
        </w:tc>
        <w:tc>
          <w:tcPr>
            <w:tcW w:w="936" w:type="pct"/>
            <w:shd w:val="clear" w:color="auto" w:fill="auto"/>
          </w:tcPr>
          <w:p w14:paraId="0DCE89F1" w14:textId="77777777" w:rsidR="00F038BD" w:rsidRPr="00F038BD" w:rsidRDefault="00F038BD" w:rsidP="00F038BD">
            <w:pPr>
              <w:spacing w:after="0"/>
              <w:jc w:val="center"/>
              <w:rPr>
                <w:rFonts w:ascii="Times New Roman" w:eastAsia="Calibri" w:hAnsi="Times New Roman"/>
                <w:sz w:val="20"/>
                <w:szCs w:val="20"/>
                <w:highlight w:val="yellow"/>
              </w:rPr>
            </w:pPr>
            <w:r w:rsidRPr="00F038BD">
              <w:rPr>
                <w:rFonts w:ascii="Times New Roman" w:eastAsia="Calibri" w:hAnsi="Times New Roman"/>
                <w:sz w:val="20"/>
                <w:szCs w:val="20"/>
                <w:highlight w:val="yellow"/>
              </w:rPr>
              <w:t>69.06%</w:t>
            </w:r>
          </w:p>
        </w:tc>
        <w:tc>
          <w:tcPr>
            <w:tcW w:w="935" w:type="pct"/>
            <w:shd w:val="clear" w:color="auto" w:fill="auto"/>
          </w:tcPr>
          <w:p w14:paraId="478E9B92" w14:textId="77777777" w:rsidR="00F038BD" w:rsidRPr="00F038BD" w:rsidRDefault="00F038BD" w:rsidP="00F038BD">
            <w:pPr>
              <w:spacing w:after="0"/>
              <w:jc w:val="center"/>
              <w:rPr>
                <w:rFonts w:ascii="Times New Roman" w:eastAsia="Calibri" w:hAnsi="Times New Roman"/>
                <w:sz w:val="20"/>
                <w:szCs w:val="20"/>
                <w:highlight w:val="yellow"/>
              </w:rPr>
            </w:pPr>
            <w:r w:rsidRPr="00F038BD">
              <w:rPr>
                <w:rFonts w:ascii="Times New Roman" w:eastAsia="Calibri" w:hAnsi="Times New Roman"/>
                <w:sz w:val="20"/>
                <w:szCs w:val="20"/>
                <w:highlight w:val="yellow"/>
              </w:rPr>
              <w:t>67.71%</w:t>
            </w:r>
          </w:p>
        </w:tc>
        <w:tc>
          <w:tcPr>
            <w:tcW w:w="935" w:type="pct"/>
            <w:shd w:val="clear" w:color="auto" w:fill="auto"/>
          </w:tcPr>
          <w:p w14:paraId="44F312A5" w14:textId="77777777" w:rsidR="00F038BD" w:rsidRPr="00F038BD" w:rsidRDefault="00F038BD" w:rsidP="00F038BD">
            <w:pPr>
              <w:spacing w:after="0"/>
              <w:jc w:val="center"/>
              <w:rPr>
                <w:rFonts w:ascii="Times New Roman" w:eastAsia="Calibri" w:hAnsi="Times New Roman"/>
                <w:sz w:val="20"/>
                <w:szCs w:val="20"/>
                <w:highlight w:val="yellow"/>
              </w:rPr>
            </w:pPr>
            <w:r w:rsidRPr="00F038BD">
              <w:rPr>
                <w:rFonts w:ascii="Times New Roman" w:eastAsia="Calibri" w:hAnsi="Times New Roman"/>
                <w:sz w:val="20"/>
                <w:szCs w:val="20"/>
                <w:highlight w:val="yellow"/>
              </w:rPr>
              <w:t>92.11%</w:t>
            </w:r>
          </w:p>
        </w:tc>
        <w:tc>
          <w:tcPr>
            <w:tcW w:w="934" w:type="pct"/>
            <w:vMerge/>
            <w:shd w:val="clear" w:color="auto" w:fill="auto"/>
          </w:tcPr>
          <w:p w14:paraId="3C1F1F48" w14:textId="77777777" w:rsidR="00F038BD" w:rsidRPr="00F038BD" w:rsidRDefault="00F038BD" w:rsidP="00F038BD">
            <w:pPr>
              <w:spacing w:after="0" w:line="240" w:lineRule="auto"/>
              <w:jc w:val="both"/>
              <w:rPr>
                <w:rFonts w:ascii="Times New Roman" w:eastAsia="Calibri" w:hAnsi="Times New Roman"/>
                <w:b/>
                <w:sz w:val="20"/>
                <w:szCs w:val="20"/>
                <w:highlight w:val="yellow"/>
              </w:rPr>
            </w:pPr>
          </w:p>
        </w:tc>
      </w:tr>
    </w:tbl>
    <w:p w14:paraId="40F7DCB8" w14:textId="77777777" w:rsidR="00F038BD" w:rsidRPr="00F038BD" w:rsidRDefault="00F038BD" w:rsidP="00F038BD">
      <w:pPr>
        <w:spacing w:after="0" w:line="240" w:lineRule="auto"/>
        <w:jc w:val="both"/>
        <w:rPr>
          <w:rFonts w:ascii="Times New Roman" w:hAnsi="Times New Roman"/>
          <w:bCs/>
          <w:sz w:val="20"/>
          <w:szCs w:val="20"/>
        </w:rPr>
      </w:pPr>
      <w:r w:rsidRPr="00F038BD">
        <w:rPr>
          <w:rFonts w:ascii="Times New Roman" w:hAnsi="Times New Roman"/>
          <w:bCs/>
          <w:sz w:val="20"/>
          <w:szCs w:val="20"/>
          <w:highlight w:val="yellow"/>
        </w:rPr>
        <w:t>Information relating to our production capacities and the historical capacity utilization of our production facilities included in this   Prospectus is based on certain assumptions and has been subjected to rounding off and future production and capacity utilization may vary. For details, please refer to Chapter titled “Risk factors” page 23 of this Prospectus.</w:t>
      </w:r>
    </w:p>
    <w:p w14:paraId="7FDB548F" w14:textId="77777777" w:rsidR="00F038BD" w:rsidRPr="00F038BD" w:rsidRDefault="00F038BD" w:rsidP="00F038BD">
      <w:pPr>
        <w:spacing w:after="0" w:line="240" w:lineRule="auto"/>
        <w:jc w:val="both"/>
        <w:rPr>
          <w:rFonts w:ascii="Times New Roman" w:hAnsi="Times New Roman"/>
          <w:b/>
          <w:bCs/>
          <w:sz w:val="20"/>
          <w:szCs w:val="20"/>
          <w:u w:val="single"/>
        </w:rPr>
      </w:pPr>
    </w:p>
    <w:p w14:paraId="1C47EA5D" w14:textId="1DCC2EA1" w:rsidR="00F038BD" w:rsidRPr="00F038BD" w:rsidRDefault="00F038BD" w:rsidP="00F038BD">
      <w:pPr>
        <w:spacing w:after="0" w:line="240" w:lineRule="auto"/>
        <w:jc w:val="both"/>
        <w:rPr>
          <w:rFonts w:ascii="Times New Roman" w:hAnsi="Times New Roman"/>
          <w:b/>
          <w:bCs/>
          <w:sz w:val="20"/>
          <w:szCs w:val="20"/>
          <w:u w:val="single"/>
        </w:rPr>
      </w:pPr>
      <w:r w:rsidRPr="00F038BD">
        <w:rPr>
          <w:rFonts w:ascii="Times New Roman" w:hAnsi="Times New Roman"/>
          <w:b/>
          <w:bCs/>
          <w:sz w:val="20"/>
          <w:szCs w:val="20"/>
          <w:u w:val="single"/>
        </w:rPr>
        <w:t>SALES AND MARKETING:</w:t>
      </w:r>
    </w:p>
    <w:p w14:paraId="0DF6A15E" w14:textId="77777777" w:rsidR="00F038BD" w:rsidRPr="00F038BD" w:rsidRDefault="00F038BD" w:rsidP="00F038BD">
      <w:pPr>
        <w:spacing w:after="0" w:line="240" w:lineRule="auto"/>
        <w:jc w:val="both"/>
        <w:rPr>
          <w:rFonts w:ascii="Times New Roman" w:hAnsi="Times New Roman"/>
          <w:b/>
          <w:bCs/>
          <w:sz w:val="20"/>
          <w:szCs w:val="20"/>
        </w:rPr>
      </w:pPr>
    </w:p>
    <w:p w14:paraId="499953BD" w14:textId="77777777" w:rsidR="00F038BD" w:rsidRPr="00F038BD" w:rsidRDefault="00F038BD" w:rsidP="00F038BD">
      <w:pPr>
        <w:autoSpaceDE w:val="0"/>
        <w:autoSpaceDN w:val="0"/>
        <w:adjustRightInd w:val="0"/>
        <w:spacing w:after="0" w:line="240" w:lineRule="auto"/>
        <w:jc w:val="both"/>
        <w:rPr>
          <w:rFonts w:ascii="Times New Roman" w:hAnsi="Times New Roman"/>
          <w:bCs/>
          <w:sz w:val="20"/>
          <w:szCs w:val="20"/>
        </w:rPr>
      </w:pPr>
      <w:r w:rsidRPr="00F038BD">
        <w:rPr>
          <w:rFonts w:ascii="Times New Roman" w:hAnsi="Times New Roman"/>
          <w:bCs/>
          <w:sz w:val="20"/>
          <w:szCs w:val="20"/>
        </w:rPr>
        <w:t>Our Sales and Marketing team keeps a track of new leads and stay in touch with our existing customers for procuring and execution of product orders. We undertake a detailed exercise periodically to identify existing and prospective clients with the potential to develop into a large clientele base. The senior management is actively involved in managing client relationships and business development through targeted interaction with multiple contacts at different levels. Our marketing team along with our Promoters through their experience and good rapport with customers owing to timely and quality delivery of service plays an instrumental role in creating and expanding the sales network of our Company. In order to maintain good relation with our customers, our Promoters and our marketing team regularly interacts with them and focuses on gaining an insight into the additional needs of our customers. Our prime consideration for customer selection is timely payments and consistency in purchases.</w:t>
      </w:r>
    </w:p>
    <w:p w14:paraId="1A2E432B" w14:textId="77777777" w:rsidR="00F038BD" w:rsidRPr="00F038BD" w:rsidRDefault="00F038BD" w:rsidP="00F038BD">
      <w:pPr>
        <w:spacing w:after="0" w:line="240" w:lineRule="auto"/>
        <w:jc w:val="both"/>
        <w:rPr>
          <w:rFonts w:ascii="Times New Roman" w:hAnsi="Times New Roman"/>
          <w:b/>
          <w:bCs/>
          <w:sz w:val="20"/>
          <w:szCs w:val="20"/>
        </w:rPr>
      </w:pPr>
    </w:p>
    <w:p w14:paraId="7BD3835D" w14:textId="3D2587F1" w:rsidR="00F038BD" w:rsidRPr="00F038BD" w:rsidRDefault="00F038BD" w:rsidP="00F038BD">
      <w:pPr>
        <w:spacing w:after="0" w:line="240" w:lineRule="auto"/>
        <w:jc w:val="both"/>
        <w:rPr>
          <w:rFonts w:ascii="Times New Roman" w:hAnsi="Times New Roman"/>
          <w:b/>
          <w:bCs/>
          <w:sz w:val="20"/>
          <w:szCs w:val="20"/>
          <w:u w:val="single"/>
        </w:rPr>
      </w:pPr>
      <w:r w:rsidRPr="00F038BD">
        <w:rPr>
          <w:rFonts w:ascii="Times New Roman" w:hAnsi="Times New Roman"/>
          <w:b/>
          <w:bCs/>
          <w:sz w:val="20"/>
          <w:szCs w:val="20"/>
          <w:u w:val="single"/>
        </w:rPr>
        <w:t>COMPETITION:</w:t>
      </w:r>
    </w:p>
    <w:p w14:paraId="7C637035" w14:textId="77777777" w:rsidR="00F038BD" w:rsidRPr="00F038BD" w:rsidRDefault="00F038BD" w:rsidP="00F038BD">
      <w:pPr>
        <w:spacing w:after="0" w:line="240" w:lineRule="auto"/>
        <w:jc w:val="both"/>
        <w:rPr>
          <w:rFonts w:ascii="Times New Roman" w:hAnsi="Times New Roman"/>
          <w:b/>
          <w:bCs/>
          <w:sz w:val="20"/>
          <w:szCs w:val="20"/>
        </w:rPr>
      </w:pPr>
    </w:p>
    <w:p w14:paraId="0DD490FA" w14:textId="77777777" w:rsidR="00F038BD" w:rsidRPr="00F038BD" w:rsidRDefault="00F038BD" w:rsidP="00F038BD">
      <w:pPr>
        <w:autoSpaceDE w:val="0"/>
        <w:autoSpaceDN w:val="0"/>
        <w:adjustRightInd w:val="0"/>
        <w:spacing w:after="0" w:line="240" w:lineRule="auto"/>
        <w:jc w:val="both"/>
        <w:rPr>
          <w:rFonts w:ascii="Times New Roman" w:hAnsi="Times New Roman"/>
          <w:sz w:val="20"/>
          <w:szCs w:val="20"/>
        </w:rPr>
      </w:pPr>
      <w:r w:rsidRPr="00F038BD">
        <w:rPr>
          <w:rFonts w:ascii="Times New Roman" w:hAnsi="Times New Roman"/>
          <w:sz w:val="20"/>
          <w:szCs w:val="20"/>
        </w:rPr>
        <w:lastRenderedPageBreak/>
        <w:t xml:space="preserve">The brass recycling industry is extremely competitive where the key factors of competition primarily comprise of product quality, cost, delivery, development and management. In this highly competitive industry, we compete with other brass products manufacturers and suppliers in the world and in India. Some of our competitors have better penetration in some of the geographical locations that we operate in. </w:t>
      </w:r>
      <w:r w:rsidRPr="00F038BD">
        <w:rPr>
          <w:rFonts w:ascii="Times New Roman" w:hAnsi="Times New Roman"/>
          <w:bCs/>
          <w:sz w:val="20"/>
          <w:szCs w:val="20"/>
        </w:rPr>
        <w:t xml:space="preserve">We believe that our cost effective and integrated facility, our focus on customer satisfaction and our reliability combined with our quality consciousness provides us with competitive advantage in many of our products. While these factors are key parameters the in-client’s decisions matrix in purchasing goods; product range, product quality and product price is often the deciding factor in most of the deals. </w:t>
      </w:r>
      <w:r w:rsidRPr="00F038BD">
        <w:rPr>
          <w:rFonts w:ascii="Times New Roman" w:hAnsi="Times New Roman"/>
          <w:sz w:val="20"/>
          <w:szCs w:val="20"/>
        </w:rPr>
        <w:t>Some of our significant competitors in the organized segment includes Poojawestern Metaliks Limited and Sprayking Agro Equipment Limited. We believe that the Competition in the brass manufacturing industry is likely to further intensify in view of the continuing globalization.</w:t>
      </w:r>
    </w:p>
    <w:p w14:paraId="2ECA73B4" w14:textId="77777777" w:rsidR="00F038BD" w:rsidRPr="00F038BD" w:rsidRDefault="00F038BD" w:rsidP="00F038BD">
      <w:pPr>
        <w:spacing w:after="0" w:line="240" w:lineRule="auto"/>
        <w:jc w:val="both"/>
        <w:rPr>
          <w:rFonts w:ascii="Times New Roman" w:hAnsi="Times New Roman"/>
          <w:b/>
          <w:bCs/>
          <w:sz w:val="20"/>
          <w:szCs w:val="20"/>
          <w:u w:val="single"/>
        </w:rPr>
      </w:pPr>
    </w:p>
    <w:p w14:paraId="27C592AA" w14:textId="77777777" w:rsidR="00F038BD" w:rsidRPr="00F038BD" w:rsidRDefault="00F038BD" w:rsidP="00F038BD">
      <w:pPr>
        <w:spacing w:after="0" w:line="240" w:lineRule="auto"/>
        <w:jc w:val="both"/>
        <w:rPr>
          <w:rFonts w:ascii="Times New Roman" w:hAnsi="Times New Roman"/>
          <w:b/>
          <w:bCs/>
          <w:sz w:val="20"/>
          <w:szCs w:val="20"/>
          <w:u w:val="single"/>
        </w:rPr>
      </w:pPr>
      <w:r w:rsidRPr="00F038BD">
        <w:rPr>
          <w:rFonts w:ascii="Times New Roman" w:hAnsi="Times New Roman"/>
          <w:b/>
          <w:bCs/>
          <w:sz w:val="20"/>
          <w:szCs w:val="20"/>
          <w:u w:val="single"/>
        </w:rPr>
        <w:t>Infrastructure &amp; Utilities:</w:t>
      </w:r>
    </w:p>
    <w:p w14:paraId="6198482A" w14:textId="77777777" w:rsidR="00F038BD" w:rsidRPr="00F038BD" w:rsidRDefault="00F038BD" w:rsidP="00F038BD">
      <w:pPr>
        <w:spacing w:after="0" w:line="240" w:lineRule="auto"/>
        <w:jc w:val="both"/>
        <w:rPr>
          <w:rFonts w:ascii="Times New Roman" w:hAnsi="Times New Roman"/>
          <w:b/>
          <w:bCs/>
          <w:sz w:val="20"/>
          <w:szCs w:val="20"/>
          <w:u w:val="single"/>
        </w:rPr>
      </w:pPr>
    </w:p>
    <w:p w14:paraId="2A156D3E" w14:textId="77777777" w:rsidR="00F038BD" w:rsidRPr="00F038BD" w:rsidRDefault="00F038BD" w:rsidP="00F038BD">
      <w:pPr>
        <w:spacing w:after="0" w:line="240" w:lineRule="auto"/>
        <w:jc w:val="both"/>
        <w:rPr>
          <w:rFonts w:ascii="Times New Roman" w:hAnsi="Times New Roman"/>
          <w:bCs/>
          <w:sz w:val="20"/>
          <w:szCs w:val="20"/>
        </w:rPr>
      </w:pPr>
      <w:r w:rsidRPr="00F038BD">
        <w:rPr>
          <w:rFonts w:ascii="Times New Roman" w:hAnsi="Times New Roman"/>
          <w:b/>
          <w:bCs/>
          <w:i/>
          <w:sz w:val="20"/>
          <w:szCs w:val="20"/>
        </w:rPr>
        <w:t xml:space="preserve">Raw Materials: </w:t>
      </w:r>
      <w:r w:rsidRPr="00F038BD">
        <w:rPr>
          <w:rFonts w:ascii="Times New Roman" w:hAnsi="Times New Roman"/>
          <w:bCs/>
          <w:sz w:val="20"/>
          <w:szCs w:val="20"/>
        </w:rPr>
        <w:t>The essential raw material used by our manufacturing facility for production of brass rods, ingots and billets is brass scrap. The major portion of brass scrap is imported by us from various countries such as USA, UK, Europe and Middle East.</w:t>
      </w:r>
    </w:p>
    <w:p w14:paraId="130CB247" w14:textId="77777777" w:rsidR="00F038BD" w:rsidRPr="00F038BD" w:rsidRDefault="00F038BD" w:rsidP="00F038BD">
      <w:pPr>
        <w:spacing w:after="0" w:line="240" w:lineRule="auto"/>
        <w:jc w:val="both"/>
        <w:rPr>
          <w:rFonts w:ascii="Times New Roman" w:hAnsi="Times New Roman"/>
          <w:b/>
          <w:bCs/>
          <w:sz w:val="20"/>
          <w:szCs w:val="20"/>
        </w:rPr>
      </w:pPr>
    </w:p>
    <w:p w14:paraId="691FFD98" w14:textId="77777777" w:rsidR="00F038BD" w:rsidRPr="00F038BD" w:rsidRDefault="00F038BD" w:rsidP="00F038BD">
      <w:pPr>
        <w:autoSpaceDE w:val="0"/>
        <w:autoSpaceDN w:val="0"/>
        <w:adjustRightInd w:val="0"/>
        <w:spacing w:after="0" w:line="240" w:lineRule="auto"/>
        <w:jc w:val="both"/>
        <w:rPr>
          <w:rFonts w:ascii="Times New Roman" w:hAnsi="Times New Roman"/>
          <w:bCs/>
          <w:sz w:val="20"/>
          <w:szCs w:val="20"/>
        </w:rPr>
      </w:pPr>
      <w:r w:rsidRPr="00F038BD">
        <w:rPr>
          <w:rFonts w:ascii="Times New Roman" w:hAnsi="Times New Roman"/>
          <w:b/>
          <w:bCs/>
          <w:i/>
          <w:sz w:val="20"/>
          <w:szCs w:val="20"/>
        </w:rPr>
        <w:t>Power</w:t>
      </w:r>
      <w:r w:rsidRPr="00F038BD">
        <w:rPr>
          <w:rFonts w:ascii="Times New Roman" w:hAnsi="Times New Roman"/>
          <w:b/>
          <w:bCs/>
          <w:sz w:val="20"/>
          <w:szCs w:val="20"/>
        </w:rPr>
        <w:t xml:space="preserve">: </w:t>
      </w:r>
      <w:r w:rsidRPr="00F038BD">
        <w:rPr>
          <w:rFonts w:ascii="Times New Roman" w:hAnsi="Times New Roman"/>
          <w:bCs/>
          <w:sz w:val="20"/>
          <w:szCs w:val="20"/>
        </w:rPr>
        <w:t>The requirement of power for our operations, like power for lighting and operating the plant/machinery/equipment is met through the state electricity board i.e. Paschim Gujarat Vij Company Ltd.</w:t>
      </w:r>
    </w:p>
    <w:p w14:paraId="0B50AC14" w14:textId="77777777" w:rsidR="00F038BD" w:rsidRPr="00F038BD" w:rsidRDefault="00F038BD" w:rsidP="00F038BD">
      <w:pPr>
        <w:spacing w:after="0" w:line="240" w:lineRule="auto"/>
        <w:jc w:val="both"/>
        <w:rPr>
          <w:rFonts w:ascii="Times New Roman" w:hAnsi="Times New Roman"/>
          <w:bCs/>
          <w:sz w:val="20"/>
          <w:szCs w:val="20"/>
          <w:lang w:val="en-IN"/>
        </w:rPr>
      </w:pPr>
    </w:p>
    <w:p w14:paraId="30E63869" w14:textId="77777777" w:rsidR="00F038BD" w:rsidRPr="00F038BD" w:rsidRDefault="00F038BD" w:rsidP="00F038BD">
      <w:pPr>
        <w:spacing w:after="0" w:line="240" w:lineRule="auto"/>
        <w:jc w:val="both"/>
        <w:rPr>
          <w:rFonts w:ascii="Times New Roman" w:hAnsi="Times New Roman"/>
          <w:bCs/>
          <w:sz w:val="20"/>
          <w:szCs w:val="20"/>
        </w:rPr>
      </w:pPr>
      <w:r w:rsidRPr="00F038BD">
        <w:rPr>
          <w:rFonts w:ascii="Times New Roman" w:hAnsi="Times New Roman"/>
          <w:b/>
          <w:bCs/>
          <w:i/>
          <w:sz w:val="20"/>
          <w:szCs w:val="20"/>
          <w:lang w:val="en-IN"/>
        </w:rPr>
        <w:t>Water:</w:t>
      </w:r>
      <w:r w:rsidRPr="00F038BD">
        <w:rPr>
          <w:rFonts w:ascii="Times New Roman" w:hAnsi="Times New Roman"/>
          <w:bCs/>
          <w:sz w:val="20"/>
          <w:szCs w:val="20"/>
          <w:lang w:val="en-IN"/>
        </w:rPr>
        <w:t xml:space="preserve"> The existing water requirement for our manufacturing units is met from external sources.</w:t>
      </w:r>
    </w:p>
    <w:p w14:paraId="0B0ED004" w14:textId="77777777" w:rsidR="00F038BD" w:rsidRPr="00F038BD" w:rsidRDefault="00F038BD" w:rsidP="00F038BD">
      <w:pPr>
        <w:spacing w:after="0" w:line="240" w:lineRule="auto"/>
        <w:jc w:val="both"/>
        <w:rPr>
          <w:rFonts w:ascii="Times New Roman" w:hAnsi="Times New Roman"/>
          <w:bCs/>
          <w:sz w:val="20"/>
          <w:szCs w:val="20"/>
          <w:lang w:val="en-IN"/>
        </w:rPr>
      </w:pPr>
    </w:p>
    <w:p w14:paraId="524EE1F3" w14:textId="77777777" w:rsidR="00F038BD" w:rsidRPr="00F038BD" w:rsidRDefault="00F038BD" w:rsidP="00F038BD">
      <w:pPr>
        <w:autoSpaceDE w:val="0"/>
        <w:autoSpaceDN w:val="0"/>
        <w:adjustRightInd w:val="0"/>
        <w:spacing w:after="0" w:line="240" w:lineRule="auto"/>
        <w:jc w:val="both"/>
        <w:rPr>
          <w:rFonts w:ascii="Times New Roman" w:hAnsi="Times New Roman"/>
          <w:sz w:val="20"/>
          <w:szCs w:val="20"/>
        </w:rPr>
      </w:pPr>
      <w:r w:rsidRPr="00F038BD">
        <w:rPr>
          <w:rFonts w:ascii="Times New Roman" w:hAnsi="Times New Roman"/>
          <w:b/>
          <w:bCs/>
          <w:i/>
          <w:iCs/>
          <w:sz w:val="20"/>
          <w:szCs w:val="20"/>
        </w:rPr>
        <w:t xml:space="preserve">Manpower: </w:t>
      </w:r>
      <w:r w:rsidRPr="00F038BD">
        <w:rPr>
          <w:rFonts w:ascii="Times New Roman" w:hAnsi="Times New Roman"/>
          <w:bCs/>
          <w:sz w:val="20"/>
          <w:szCs w:val="20"/>
        </w:rPr>
        <w:t xml:space="preserve">We believe that our employees are key contributors to our business success and thus we focus on attracting and retaining the best possible talent. We </w:t>
      </w:r>
      <w:r w:rsidRPr="00F038BD">
        <w:rPr>
          <w:rFonts w:ascii="Times New Roman" w:hAnsi="Times New Roman"/>
          <w:sz w:val="20"/>
          <w:szCs w:val="20"/>
        </w:rPr>
        <w:t>aim towards recruiting the talent that we need, facilitating the integration of our employees into the Company and encouraging the development of skills in order to support our performance and the growth of our operations.</w:t>
      </w:r>
      <w:r w:rsidRPr="00F038BD">
        <w:rPr>
          <w:rFonts w:ascii="Times New Roman" w:hAnsi="Times New Roman"/>
          <w:bCs/>
          <w:sz w:val="20"/>
          <w:szCs w:val="20"/>
        </w:rPr>
        <w:t xml:space="preserve"> As on August 31, 2023, our Company has employed around </w:t>
      </w:r>
      <w:r w:rsidRPr="00F038BD">
        <w:rPr>
          <w:rFonts w:ascii="Times New Roman" w:hAnsi="Times New Roman"/>
          <w:bCs/>
          <w:sz w:val="20"/>
          <w:szCs w:val="20"/>
          <w:highlight w:val="yellow"/>
        </w:rPr>
        <w:t>___</w:t>
      </w:r>
      <w:r w:rsidRPr="00F038BD">
        <w:rPr>
          <w:rFonts w:ascii="Times New Roman" w:hAnsi="Times New Roman"/>
          <w:bCs/>
          <w:sz w:val="20"/>
          <w:szCs w:val="20"/>
        </w:rPr>
        <w:t xml:space="preserve"> employees (including labour) at various levels of the Organization. </w:t>
      </w:r>
      <w:r w:rsidRPr="00F038BD">
        <w:rPr>
          <w:rFonts w:ascii="Times New Roman" w:hAnsi="Times New Roman"/>
          <w:bCs/>
          <w:sz w:val="20"/>
          <w:szCs w:val="20"/>
          <w:highlight w:val="yellow"/>
        </w:rPr>
        <w:t>We also employ manpower on contractual basis also.</w:t>
      </w:r>
    </w:p>
    <w:p w14:paraId="373EFF78" w14:textId="77777777" w:rsidR="00F038BD" w:rsidRPr="00F038BD" w:rsidRDefault="00F038BD" w:rsidP="00F038BD">
      <w:pPr>
        <w:spacing w:after="0" w:line="240" w:lineRule="auto"/>
        <w:jc w:val="both"/>
        <w:rPr>
          <w:rFonts w:ascii="Times New Roman" w:hAnsi="Times New Roman"/>
          <w:bCs/>
          <w:sz w:val="20"/>
          <w:szCs w:val="20"/>
        </w:rPr>
      </w:pPr>
    </w:p>
    <w:p w14:paraId="06DB706B" w14:textId="56C96FEC" w:rsidR="00F038BD" w:rsidRPr="00F038BD" w:rsidRDefault="00F038BD" w:rsidP="00F038BD">
      <w:pPr>
        <w:keepNext/>
        <w:keepLines/>
        <w:spacing w:after="0" w:line="240" w:lineRule="auto"/>
        <w:jc w:val="both"/>
        <w:rPr>
          <w:rFonts w:ascii="Times New Roman" w:hAnsi="Times New Roman"/>
          <w:b/>
          <w:sz w:val="20"/>
          <w:szCs w:val="20"/>
          <w:u w:val="single"/>
        </w:rPr>
      </w:pPr>
      <w:r w:rsidRPr="00F038BD">
        <w:rPr>
          <w:rFonts w:ascii="Times New Roman" w:hAnsi="Times New Roman"/>
          <w:b/>
          <w:sz w:val="20"/>
          <w:szCs w:val="20"/>
          <w:u w:val="single"/>
        </w:rPr>
        <w:t>PROPERTY:</w:t>
      </w:r>
    </w:p>
    <w:p w14:paraId="2B7479D6" w14:textId="77777777" w:rsidR="00F038BD" w:rsidRPr="00F038BD" w:rsidRDefault="00F038BD" w:rsidP="00F038BD">
      <w:pPr>
        <w:autoSpaceDE w:val="0"/>
        <w:autoSpaceDN w:val="0"/>
        <w:adjustRightInd w:val="0"/>
        <w:spacing w:after="0" w:line="240" w:lineRule="auto"/>
        <w:jc w:val="both"/>
        <w:rPr>
          <w:rFonts w:ascii="Times New Roman" w:hAnsi="Times New Roman"/>
          <w:b/>
          <w:bCs/>
          <w:iCs/>
          <w:sz w:val="20"/>
          <w:szCs w:val="20"/>
          <w:u w:val="single"/>
        </w:rPr>
      </w:pPr>
    </w:p>
    <w:p w14:paraId="2D6D9D0F" w14:textId="77777777" w:rsidR="00F038BD" w:rsidRPr="00F038BD" w:rsidRDefault="00F038BD" w:rsidP="00F038BD">
      <w:pPr>
        <w:spacing w:after="0" w:line="240" w:lineRule="auto"/>
        <w:jc w:val="both"/>
        <w:rPr>
          <w:rFonts w:ascii="Times New Roman" w:hAnsi="Times New Roman"/>
          <w:b/>
          <w:sz w:val="20"/>
          <w:szCs w:val="20"/>
          <w:u w:val="single"/>
        </w:rPr>
      </w:pPr>
      <w:r w:rsidRPr="00F038BD">
        <w:rPr>
          <w:rFonts w:ascii="Times New Roman" w:hAnsi="Times New Roman"/>
          <w:b/>
          <w:sz w:val="20"/>
          <w:szCs w:val="20"/>
          <w:u w:val="single"/>
        </w:rPr>
        <w:t>Immovable Properties:</w:t>
      </w:r>
    </w:p>
    <w:p w14:paraId="612F15A0" w14:textId="77777777" w:rsidR="00F038BD" w:rsidRPr="00F038BD" w:rsidRDefault="00F038BD" w:rsidP="00F038BD">
      <w:pPr>
        <w:spacing w:after="0" w:line="240" w:lineRule="auto"/>
        <w:jc w:val="both"/>
        <w:rPr>
          <w:rFonts w:ascii="Times New Roman" w:hAnsi="Times New Roman"/>
          <w:b/>
          <w:sz w:val="20"/>
          <w:szCs w:val="20"/>
          <w:u w:val="single"/>
        </w:rPr>
      </w:pPr>
    </w:p>
    <w:p w14:paraId="665D7869" w14:textId="5218362C" w:rsidR="00F038BD" w:rsidRPr="00F038BD" w:rsidRDefault="00F038BD" w:rsidP="00F038BD">
      <w:pPr>
        <w:spacing w:after="0" w:line="240" w:lineRule="auto"/>
        <w:jc w:val="both"/>
        <w:rPr>
          <w:rFonts w:ascii="Times New Roman" w:hAnsi="Times New Roman"/>
          <w:sz w:val="20"/>
          <w:szCs w:val="20"/>
        </w:rPr>
      </w:pPr>
      <w:r w:rsidRPr="00F038BD">
        <w:rPr>
          <w:rFonts w:ascii="Times New Roman" w:hAnsi="Times New Roman"/>
          <w:sz w:val="20"/>
          <w:szCs w:val="20"/>
        </w:rPr>
        <w:t>The following are the details of the material immovable properties owned /leased/rented by our Company:</w:t>
      </w:r>
    </w:p>
    <w:p w14:paraId="2AE13374" w14:textId="77777777" w:rsidR="00F038BD" w:rsidRPr="00F038BD" w:rsidRDefault="00F038BD" w:rsidP="00F038BD">
      <w:pPr>
        <w:spacing w:after="0" w:line="240" w:lineRule="auto"/>
        <w:jc w:val="both"/>
        <w:rPr>
          <w:rFonts w:ascii="Times New Roman" w:hAnsi="Times New Roman"/>
          <w:sz w:val="20"/>
          <w:szCs w:val="20"/>
        </w:rPr>
      </w:pPr>
    </w:p>
    <w:tbl>
      <w:tblPr>
        <w:tblW w:w="105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
        <w:gridCol w:w="1818"/>
        <w:gridCol w:w="3273"/>
        <w:gridCol w:w="4566"/>
      </w:tblGrid>
      <w:tr w:rsidR="00F37091" w:rsidRPr="00F37091" w14:paraId="500C8B57" w14:textId="77777777" w:rsidTr="00F37091">
        <w:trPr>
          <w:trHeight w:val="20"/>
        </w:trPr>
        <w:tc>
          <w:tcPr>
            <w:tcW w:w="934" w:type="dxa"/>
            <w:shd w:val="clear" w:color="auto" w:fill="D0CECE" w:themeFill="background2" w:themeFillShade="E6"/>
          </w:tcPr>
          <w:p w14:paraId="1C7FC4C8" w14:textId="77777777" w:rsidR="00F038BD" w:rsidRPr="00F37091" w:rsidRDefault="00F038BD" w:rsidP="00F37091">
            <w:pPr>
              <w:spacing w:after="0" w:line="240" w:lineRule="auto"/>
              <w:jc w:val="center"/>
              <w:rPr>
                <w:rFonts w:ascii="Times New Roman" w:hAnsi="Times New Roman"/>
                <w:b/>
                <w:sz w:val="20"/>
                <w:szCs w:val="20"/>
              </w:rPr>
            </w:pPr>
            <w:r w:rsidRPr="00F37091">
              <w:rPr>
                <w:rFonts w:ascii="Times New Roman" w:hAnsi="Times New Roman"/>
                <w:b/>
                <w:sz w:val="20"/>
                <w:szCs w:val="20"/>
              </w:rPr>
              <w:t>Sr. No.</w:t>
            </w:r>
          </w:p>
        </w:tc>
        <w:tc>
          <w:tcPr>
            <w:tcW w:w="1818" w:type="dxa"/>
            <w:shd w:val="clear" w:color="auto" w:fill="D0CECE" w:themeFill="background2" w:themeFillShade="E6"/>
          </w:tcPr>
          <w:p w14:paraId="6CACE5C0" w14:textId="77777777" w:rsidR="00F038BD" w:rsidRPr="00F37091" w:rsidRDefault="00F038BD" w:rsidP="00F37091">
            <w:pPr>
              <w:spacing w:after="0" w:line="240" w:lineRule="auto"/>
              <w:jc w:val="center"/>
              <w:rPr>
                <w:rFonts w:ascii="Times New Roman" w:hAnsi="Times New Roman"/>
                <w:b/>
                <w:sz w:val="20"/>
                <w:szCs w:val="20"/>
              </w:rPr>
            </w:pPr>
            <w:r w:rsidRPr="00F37091">
              <w:rPr>
                <w:rFonts w:ascii="Times New Roman" w:hAnsi="Times New Roman"/>
                <w:b/>
                <w:sz w:val="20"/>
                <w:szCs w:val="20"/>
              </w:rPr>
              <w:t>Usage</w:t>
            </w:r>
          </w:p>
        </w:tc>
        <w:tc>
          <w:tcPr>
            <w:tcW w:w="3273" w:type="dxa"/>
            <w:shd w:val="clear" w:color="auto" w:fill="D0CECE" w:themeFill="background2" w:themeFillShade="E6"/>
          </w:tcPr>
          <w:p w14:paraId="3FF6E053" w14:textId="77777777" w:rsidR="00F038BD" w:rsidRPr="00F37091" w:rsidRDefault="00F038BD" w:rsidP="00F37091">
            <w:pPr>
              <w:spacing w:after="0" w:line="240" w:lineRule="auto"/>
              <w:jc w:val="center"/>
              <w:rPr>
                <w:rFonts w:ascii="Times New Roman" w:hAnsi="Times New Roman"/>
                <w:b/>
                <w:sz w:val="20"/>
                <w:szCs w:val="20"/>
              </w:rPr>
            </w:pPr>
            <w:r w:rsidRPr="00F37091">
              <w:rPr>
                <w:rFonts w:ascii="Times New Roman" w:hAnsi="Times New Roman"/>
                <w:b/>
                <w:sz w:val="20"/>
                <w:szCs w:val="20"/>
              </w:rPr>
              <w:t>Address</w:t>
            </w:r>
          </w:p>
        </w:tc>
        <w:tc>
          <w:tcPr>
            <w:tcW w:w="4566" w:type="dxa"/>
            <w:shd w:val="clear" w:color="auto" w:fill="D0CECE" w:themeFill="background2" w:themeFillShade="E6"/>
          </w:tcPr>
          <w:p w14:paraId="7D08A771" w14:textId="2E54A302" w:rsidR="00F038BD" w:rsidRPr="00F37091" w:rsidRDefault="00F038BD" w:rsidP="00F37091">
            <w:pPr>
              <w:spacing w:after="0" w:line="240" w:lineRule="auto"/>
              <w:jc w:val="center"/>
              <w:rPr>
                <w:rFonts w:ascii="Times New Roman" w:hAnsi="Times New Roman"/>
                <w:b/>
                <w:sz w:val="20"/>
                <w:szCs w:val="20"/>
              </w:rPr>
            </w:pPr>
            <w:r w:rsidRPr="00F37091">
              <w:rPr>
                <w:rFonts w:ascii="Times New Roman" w:hAnsi="Times New Roman"/>
                <w:b/>
                <w:sz w:val="20"/>
                <w:szCs w:val="20"/>
              </w:rPr>
              <w:t>Owned/</w:t>
            </w:r>
            <w:r w:rsidR="00F37091">
              <w:rPr>
                <w:rFonts w:ascii="Times New Roman" w:hAnsi="Times New Roman"/>
                <w:b/>
                <w:sz w:val="20"/>
                <w:szCs w:val="20"/>
              </w:rPr>
              <w:t xml:space="preserve"> </w:t>
            </w:r>
            <w:r w:rsidRPr="00F37091">
              <w:rPr>
                <w:rFonts w:ascii="Times New Roman" w:hAnsi="Times New Roman"/>
                <w:b/>
                <w:sz w:val="20"/>
                <w:szCs w:val="20"/>
              </w:rPr>
              <w:t>Leased/</w:t>
            </w:r>
            <w:r w:rsidR="00F37091">
              <w:rPr>
                <w:rFonts w:ascii="Times New Roman" w:hAnsi="Times New Roman"/>
                <w:b/>
                <w:sz w:val="20"/>
                <w:szCs w:val="20"/>
              </w:rPr>
              <w:t xml:space="preserve"> </w:t>
            </w:r>
            <w:r w:rsidRPr="00F37091">
              <w:rPr>
                <w:rFonts w:ascii="Times New Roman" w:hAnsi="Times New Roman"/>
                <w:b/>
                <w:sz w:val="20"/>
                <w:szCs w:val="20"/>
              </w:rPr>
              <w:t>Rent</w:t>
            </w:r>
          </w:p>
        </w:tc>
      </w:tr>
      <w:tr w:rsidR="00F038BD" w:rsidRPr="00F038BD" w14:paraId="4BFE7CCC" w14:textId="77777777" w:rsidTr="00F37091">
        <w:trPr>
          <w:trHeight w:val="20"/>
        </w:trPr>
        <w:tc>
          <w:tcPr>
            <w:tcW w:w="934" w:type="dxa"/>
          </w:tcPr>
          <w:p w14:paraId="0C4A7B06" w14:textId="77777777" w:rsidR="00F038BD" w:rsidRPr="00F038BD" w:rsidRDefault="00F038BD">
            <w:pPr>
              <w:numPr>
                <w:ilvl w:val="0"/>
                <w:numId w:val="343"/>
              </w:numPr>
              <w:spacing w:after="0" w:line="240" w:lineRule="auto"/>
              <w:contextualSpacing/>
              <w:jc w:val="both"/>
              <w:rPr>
                <w:rFonts w:ascii="Times New Roman" w:hAnsi="Times New Roman"/>
                <w:color w:val="000000"/>
                <w:sz w:val="20"/>
                <w:szCs w:val="20"/>
                <w:lang w:val="x-none" w:eastAsia="x-none"/>
              </w:rPr>
            </w:pPr>
          </w:p>
        </w:tc>
        <w:tc>
          <w:tcPr>
            <w:tcW w:w="1818" w:type="dxa"/>
          </w:tcPr>
          <w:p w14:paraId="205E56AB" w14:textId="77777777" w:rsidR="00F038BD" w:rsidRPr="00F038BD" w:rsidRDefault="00F038BD" w:rsidP="00F37091">
            <w:pPr>
              <w:spacing w:after="0" w:line="240" w:lineRule="auto"/>
              <w:jc w:val="both"/>
              <w:rPr>
                <w:rFonts w:ascii="Times New Roman" w:hAnsi="Times New Roman"/>
                <w:sz w:val="20"/>
                <w:szCs w:val="20"/>
              </w:rPr>
            </w:pPr>
            <w:r w:rsidRPr="00F038BD">
              <w:rPr>
                <w:rFonts w:ascii="Times New Roman" w:hAnsi="Times New Roman"/>
                <w:sz w:val="20"/>
                <w:szCs w:val="20"/>
              </w:rPr>
              <w:t>Registered Office and Manufacturing facility (Unit -I)</w:t>
            </w:r>
          </w:p>
        </w:tc>
        <w:tc>
          <w:tcPr>
            <w:tcW w:w="3273" w:type="dxa"/>
          </w:tcPr>
          <w:p w14:paraId="5E2FAE85" w14:textId="77777777" w:rsidR="00F038BD" w:rsidRPr="00F038BD" w:rsidRDefault="00F038BD" w:rsidP="00F37091">
            <w:pPr>
              <w:spacing w:after="0" w:line="240" w:lineRule="auto"/>
              <w:jc w:val="both"/>
              <w:rPr>
                <w:rFonts w:ascii="Times New Roman" w:hAnsi="Times New Roman"/>
                <w:sz w:val="20"/>
                <w:szCs w:val="20"/>
              </w:rPr>
            </w:pPr>
            <w:r w:rsidRPr="00F038BD">
              <w:rPr>
                <w:rFonts w:ascii="Times New Roman" w:eastAsia="MS Mincho" w:hAnsi="Times New Roman"/>
                <w:sz w:val="20"/>
                <w:szCs w:val="20"/>
              </w:rPr>
              <w:t>Plot No. 6 &amp; 7, Village – Lakhabaval, Post - Khodiyar Colony, Jamnagar, Gujarat – 361006</w:t>
            </w:r>
          </w:p>
        </w:tc>
        <w:tc>
          <w:tcPr>
            <w:tcW w:w="4566" w:type="dxa"/>
          </w:tcPr>
          <w:p w14:paraId="6646FA55" w14:textId="21C96D8F" w:rsidR="00F038BD" w:rsidRPr="00F038BD" w:rsidRDefault="00F038BD" w:rsidP="00F37091">
            <w:pPr>
              <w:spacing w:after="0" w:line="240" w:lineRule="auto"/>
              <w:jc w:val="both"/>
              <w:rPr>
                <w:rFonts w:ascii="Times New Roman" w:hAnsi="Times New Roman"/>
                <w:sz w:val="20"/>
                <w:szCs w:val="20"/>
              </w:rPr>
            </w:pPr>
            <w:r w:rsidRPr="00F038BD">
              <w:rPr>
                <w:rFonts w:ascii="Times New Roman" w:hAnsi="Times New Roman"/>
                <w:sz w:val="20"/>
                <w:szCs w:val="20"/>
              </w:rPr>
              <w:t xml:space="preserve">The said property has been obtained on lease from Mrs. Madhu Ramgopal Maheshwari vide Lease deed dated June 23, 2017 for a period of 10 years at a rent of </w:t>
            </w:r>
            <w:r w:rsidR="001706A2" w:rsidRPr="00712F3C">
              <w:rPr>
                <w:rFonts w:ascii="Times New Roman" w:eastAsia="MS Mincho" w:hAnsi="Times New Roman"/>
                <w:sz w:val="20"/>
                <w:szCs w:val="20"/>
              </w:rPr>
              <w:t>₹</w:t>
            </w:r>
            <w:r w:rsidR="001706A2">
              <w:rPr>
                <w:rFonts w:ascii="Times New Roman" w:eastAsia="MS Mincho" w:hAnsi="Times New Roman"/>
                <w:sz w:val="20"/>
                <w:szCs w:val="20"/>
              </w:rPr>
              <w:t xml:space="preserve"> </w:t>
            </w:r>
            <w:r w:rsidRPr="00F038BD">
              <w:rPr>
                <w:rFonts w:ascii="Times New Roman" w:hAnsi="Times New Roman"/>
                <w:sz w:val="20"/>
                <w:szCs w:val="20"/>
              </w:rPr>
              <w:t>10,000 p.m. w.e.f. April 01, 2017.</w:t>
            </w:r>
          </w:p>
        </w:tc>
      </w:tr>
      <w:tr w:rsidR="00F038BD" w:rsidRPr="00F038BD" w14:paraId="2B315C1D" w14:textId="77777777" w:rsidTr="00F37091">
        <w:trPr>
          <w:trHeight w:val="20"/>
        </w:trPr>
        <w:tc>
          <w:tcPr>
            <w:tcW w:w="934" w:type="dxa"/>
          </w:tcPr>
          <w:p w14:paraId="7D0689DA" w14:textId="77777777" w:rsidR="00F038BD" w:rsidRPr="00F038BD" w:rsidRDefault="00F038BD">
            <w:pPr>
              <w:numPr>
                <w:ilvl w:val="0"/>
                <w:numId w:val="343"/>
              </w:numPr>
              <w:spacing w:after="0" w:line="240" w:lineRule="auto"/>
              <w:contextualSpacing/>
              <w:jc w:val="both"/>
              <w:rPr>
                <w:rFonts w:ascii="Times New Roman" w:hAnsi="Times New Roman"/>
                <w:color w:val="000000"/>
                <w:sz w:val="20"/>
                <w:szCs w:val="20"/>
                <w:lang w:val="x-none" w:eastAsia="x-none"/>
              </w:rPr>
            </w:pPr>
          </w:p>
        </w:tc>
        <w:tc>
          <w:tcPr>
            <w:tcW w:w="1818" w:type="dxa"/>
          </w:tcPr>
          <w:p w14:paraId="7EE37809" w14:textId="77777777" w:rsidR="00F038BD" w:rsidRPr="00F038BD" w:rsidRDefault="00F038BD" w:rsidP="00F37091">
            <w:pPr>
              <w:spacing w:after="0" w:line="240" w:lineRule="auto"/>
              <w:jc w:val="both"/>
              <w:rPr>
                <w:rFonts w:ascii="Times New Roman" w:hAnsi="Times New Roman"/>
                <w:sz w:val="20"/>
                <w:szCs w:val="20"/>
              </w:rPr>
            </w:pPr>
            <w:r w:rsidRPr="00F038BD">
              <w:rPr>
                <w:rFonts w:ascii="Times New Roman" w:hAnsi="Times New Roman"/>
                <w:sz w:val="20"/>
                <w:szCs w:val="20"/>
              </w:rPr>
              <w:t>Manufacturing Facility (Unit – II)</w:t>
            </w:r>
          </w:p>
        </w:tc>
        <w:tc>
          <w:tcPr>
            <w:tcW w:w="3273" w:type="dxa"/>
          </w:tcPr>
          <w:p w14:paraId="7780FD9B" w14:textId="77777777" w:rsidR="00F038BD" w:rsidRPr="00F038BD" w:rsidRDefault="00F038BD" w:rsidP="00F37091">
            <w:pPr>
              <w:spacing w:after="0" w:line="240" w:lineRule="auto"/>
              <w:jc w:val="both"/>
              <w:rPr>
                <w:rFonts w:ascii="Times New Roman" w:hAnsi="Times New Roman"/>
                <w:sz w:val="20"/>
                <w:szCs w:val="20"/>
              </w:rPr>
            </w:pPr>
            <w:r w:rsidRPr="00F038BD">
              <w:rPr>
                <w:rFonts w:ascii="Times New Roman" w:hAnsi="Times New Roman"/>
                <w:sz w:val="20"/>
                <w:szCs w:val="20"/>
              </w:rPr>
              <w:t>Plot No. 12 &amp; 14, Village – Lakhabaval, Post - Khodiyar Colony, Jamnagar, Gujarat – 361006</w:t>
            </w:r>
          </w:p>
        </w:tc>
        <w:tc>
          <w:tcPr>
            <w:tcW w:w="4566" w:type="dxa"/>
          </w:tcPr>
          <w:p w14:paraId="2A8E2BC1" w14:textId="2B20EF28" w:rsidR="00F038BD" w:rsidRPr="00F038BD" w:rsidRDefault="00F038BD" w:rsidP="00F37091">
            <w:pPr>
              <w:spacing w:after="0" w:line="240" w:lineRule="auto"/>
              <w:jc w:val="both"/>
              <w:rPr>
                <w:rFonts w:ascii="Times New Roman" w:hAnsi="Times New Roman"/>
                <w:sz w:val="20"/>
                <w:szCs w:val="20"/>
              </w:rPr>
            </w:pPr>
            <w:r w:rsidRPr="00F038BD">
              <w:rPr>
                <w:rFonts w:ascii="Times New Roman" w:hAnsi="Times New Roman"/>
                <w:sz w:val="20"/>
                <w:szCs w:val="20"/>
              </w:rPr>
              <w:t xml:space="preserve">The said property has been obtained on lease from Mr. Ramgopal O. Maheshwari vide Lease deed dated August 14, 2023 for a period of 10 years at a rent of </w:t>
            </w:r>
            <w:r w:rsidR="001706A2" w:rsidRPr="00712F3C">
              <w:rPr>
                <w:rFonts w:ascii="Times New Roman" w:eastAsia="MS Mincho" w:hAnsi="Times New Roman"/>
                <w:sz w:val="20"/>
                <w:szCs w:val="20"/>
              </w:rPr>
              <w:t>₹</w:t>
            </w:r>
            <w:r w:rsidRPr="00F038BD">
              <w:rPr>
                <w:rFonts w:ascii="Times New Roman" w:hAnsi="Times New Roman"/>
                <w:sz w:val="20"/>
                <w:szCs w:val="20"/>
              </w:rPr>
              <w:t xml:space="preserve"> 10,000 p.m. w.e.f. August 10, 2023.</w:t>
            </w:r>
          </w:p>
        </w:tc>
      </w:tr>
      <w:tr w:rsidR="00F038BD" w:rsidRPr="00F038BD" w14:paraId="52F483AD" w14:textId="77777777" w:rsidTr="00F37091">
        <w:trPr>
          <w:trHeight w:val="20"/>
        </w:trPr>
        <w:tc>
          <w:tcPr>
            <w:tcW w:w="934" w:type="dxa"/>
          </w:tcPr>
          <w:p w14:paraId="1FA78593" w14:textId="77777777" w:rsidR="00F038BD" w:rsidRPr="00F038BD" w:rsidRDefault="00F038BD" w:rsidP="00F37091">
            <w:pPr>
              <w:spacing w:after="0"/>
              <w:ind w:left="360"/>
              <w:jc w:val="both"/>
              <w:rPr>
                <w:rFonts w:ascii="Times New Roman" w:hAnsi="Times New Roman"/>
                <w:sz w:val="20"/>
                <w:szCs w:val="20"/>
              </w:rPr>
            </w:pPr>
            <w:r w:rsidRPr="00F038BD">
              <w:rPr>
                <w:rFonts w:ascii="Times New Roman" w:hAnsi="Times New Roman"/>
                <w:sz w:val="20"/>
                <w:szCs w:val="20"/>
              </w:rPr>
              <w:t>3.</w:t>
            </w:r>
          </w:p>
        </w:tc>
        <w:tc>
          <w:tcPr>
            <w:tcW w:w="1818" w:type="dxa"/>
          </w:tcPr>
          <w:p w14:paraId="78BC255A" w14:textId="77777777" w:rsidR="00F038BD" w:rsidRPr="00F038BD" w:rsidRDefault="00F038BD" w:rsidP="00F37091">
            <w:pPr>
              <w:spacing w:after="0" w:line="240" w:lineRule="auto"/>
              <w:jc w:val="both"/>
              <w:rPr>
                <w:rFonts w:ascii="Times New Roman" w:hAnsi="Times New Roman"/>
                <w:sz w:val="20"/>
                <w:szCs w:val="20"/>
              </w:rPr>
            </w:pPr>
            <w:r w:rsidRPr="00F038BD">
              <w:rPr>
                <w:rFonts w:ascii="Times New Roman" w:hAnsi="Times New Roman"/>
                <w:sz w:val="20"/>
                <w:szCs w:val="20"/>
              </w:rPr>
              <w:t>Scrap segregation unit (Unit-III)</w:t>
            </w:r>
          </w:p>
        </w:tc>
        <w:tc>
          <w:tcPr>
            <w:tcW w:w="3273" w:type="dxa"/>
          </w:tcPr>
          <w:p w14:paraId="64F1DC70" w14:textId="77777777" w:rsidR="00F038BD" w:rsidRPr="00F038BD" w:rsidRDefault="00F038BD" w:rsidP="00F37091">
            <w:pPr>
              <w:spacing w:after="0" w:line="240" w:lineRule="auto"/>
              <w:jc w:val="both"/>
              <w:rPr>
                <w:rFonts w:ascii="Times New Roman" w:hAnsi="Times New Roman"/>
                <w:sz w:val="20"/>
                <w:szCs w:val="20"/>
              </w:rPr>
            </w:pPr>
            <w:r w:rsidRPr="00F038BD">
              <w:rPr>
                <w:rFonts w:ascii="Times New Roman" w:hAnsi="Times New Roman"/>
                <w:sz w:val="20"/>
                <w:szCs w:val="20"/>
              </w:rPr>
              <w:t>Plot No. 10, Village – Lakhabaval, Post - Khodiyar Colony, Jamnagar, Gujarat – 361006</w:t>
            </w:r>
          </w:p>
        </w:tc>
        <w:tc>
          <w:tcPr>
            <w:tcW w:w="4566" w:type="dxa"/>
          </w:tcPr>
          <w:p w14:paraId="2DA2A083" w14:textId="688C6ED8" w:rsidR="00F038BD" w:rsidRPr="00F038BD" w:rsidRDefault="00F038BD" w:rsidP="00F37091">
            <w:pPr>
              <w:spacing w:after="0" w:line="240" w:lineRule="auto"/>
              <w:jc w:val="both"/>
              <w:rPr>
                <w:rFonts w:ascii="Times New Roman" w:hAnsi="Times New Roman"/>
                <w:sz w:val="20"/>
                <w:szCs w:val="20"/>
              </w:rPr>
            </w:pPr>
            <w:r w:rsidRPr="00F038BD">
              <w:rPr>
                <w:rFonts w:ascii="Times New Roman" w:hAnsi="Times New Roman"/>
                <w:sz w:val="20"/>
                <w:szCs w:val="20"/>
              </w:rPr>
              <w:t xml:space="preserve">The said property has been obtained on lease from Mrs. Madhu Ramgopal Maheshwari vide lease deed dated August 14, 2023 for a period of 10 years at a rent of </w:t>
            </w:r>
            <w:r w:rsidR="001706A2" w:rsidRPr="00712F3C">
              <w:rPr>
                <w:rFonts w:ascii="Times New Roman" w:eastAsia="MS Mincho" w:hAnsi="Times New Roman"/>
                <w:sz w:val="20"/>
                <w:szCs w:val="20"/>
              </w:rPr>
              <w:t>₹</w:t>
            </w:r>
            <w:r w:rsidR="001706A2">
              <w:rPr>
                <w:rFonts w:ascii="Times New Roman" w:hAnsi="Times New Roman"/>
                <w:sz w:val="20"/>
                <w:szCs w:val="20"/>
              </w:rPr>
              <w:t xml:space="preserve"> </w:t>
            </w:r>
            <w:r w:rsidRPr="00F038BD">
              <w:rPr>
                <w:rFonts w:ascii="Times New Roman" w:hAnsi="Times New Roman"/>
                <w:sz w:val="20"/>
                <w:szCs w:val="20"/>
              </w:rPr>
              <w:t>10,000 p.m. w.e.f. August 10, 2023.</w:t>
            </w:r>
          </w:p>
        </w:tc>
      </w:tr>
      <w:tr w:rsidR="00F038BD" w:rsidRPr="00F038BD" w14:paraId="3817C880" w14:textId="77777777" w:rsidTr="00F37091">
        <w:trPr>
          <w:trHeight w:val="20"/>
        </w:trPr>
        <w:tc>
          <w:tcPr>
            <w:tcW w:w="934" w:type="dxa"/>
          </w:tcPr>
          <w:p w14:paraId="096C65A2" w14:textId="77777777" w:rsidR="00F038BD" w:rsidRPr="00F038BD" w:rsidRDefault="00F038BD" w:rsidP="00F37091">
            <w:pPr>
              <w:spacing w:after="0"/>
              <w:ind w:left="360"/>
              <w:jc w:val="both"/>
              <w:rPr>
                <w:rFonts w:ascii="Times New Roman" w:hAnsi="Times New Roman"/>
                <w:sz w:val="20"/>
                <w:szCs w:val="20"/>
              </w:rPr>
            </w:pPr>
            <w:r w:rsidRPr="00F038BD">
              <w:rPr>
                <w:rFonts w:ascii="Times New Roman" w:hAnsi="Times New Roman"/>
                <w:sz w:val="20"/>
                <w:szCs w:val="20"/>
              </w:rPr>
              <w:t>4</w:t>
            </w:r>
          </w:p>
        </w:tc>
        <w:tc>
          <w:tcPr>
            <w:tcW w:w="1818" w:type="dxa"/>
          </w:tcPr>
          <w:p w14:paraId="1E83ACE7" w14:textId="77777777" w:rsidR="00F038BD" w:rsidRPr="00F038BD" w:rsidRDefault="00F038BD" w:rsidP="00F37091">
            <w:pPr>
              <w:spacing w:after="0" w:line="240" w:lineRule="auto"/>
              <w:jc w:val="both"/>
              <w:rPr>
                <w:rFonts w:ascii="Times New Roman" w:hAnsi="Times New Roman"/>
                <w:sz w:val="20"/>
                <w:szCs w:val="20"/>
              </w:rPr>
            </w:pPr>
            <w:r w:rsidRPr="00F038BD">
              <w:rPr>
                <w:rFonts w:ascii="Times New Roman" w:hAnsi="Times New Roman"/>
                <w:sz w:val="20"/>
                <w:szCs w:val="20"/>
              </w:rPr>
              <w:t>To be used in future for carrying any expansion</w:t>
            </w:r>
          </w:p>
        </w:tc>
        <w:tc>
          <w:tcPr>
            <w:tcW w:w="3273" w:type="dxa"/>
          </w:tcPr>
          <w:p w14:paraId="3C8CE479" w14:textId="77777777" w:rsidR="00F038BD" w:rsidRPr="00F038BD" w:rsidRDefault="00F038BD" w:rsidP="00F37091">
            <w:pPr>
              <w:spacing w:after="0" w:line="240" w:lineRule="auto"/>
              <w:jc w:val="both"/>
              <w:rPr>
                <w:rFonts w:ascii="Times New Roman" w:hAnsi="Times New Roman"/>
                <w:sz w:val="20"/>
                <w:szCs w:val="20"/>
              </w:rPr>
            </w:pPr>
            <w:r w:rsidRPr="00F038BD">
              <w:rPr>
                <w:rFonts w:ascii="Times New Roman" w:hAnsi="Times New Roman"/>
                <w:sz w:val="20"/>
                <w:szCs w:val="20"/>
              </w:rPr>
              <w:t>Plot No. 5, Village – Lakhabaval, Post - Khodiyar Colony, Jamnagar, Gujarat - 361006</w:t>
            </w:r>
          </w:p>
        </w:tc>
        <w:tc>
          <w:tcPr>
            <w:tcW w:w="4566" w:type="dxa"/>
          </w:tcPr>
          <w:p w14:paraId="0425C589" w14:textId="77777777" w:rsidR="00F038BD" w:rsidRPr="00F038BD" w:rsidRDefault="00F038BD" w:rsidP="00F37091">
            <w:pPr>
              <w:spacing w:after="0" w:line="240" w:lineRule="auto"/>
              <w:jc w:val="center"/>
              <w:rPr>
                <w:rFonts w:ascii="Times New Roman" w:hAnsi="Times New Roman"/>
                <w:sz w:val="20"/>
                <w:szCs w:val="20"/>
              </w:rPr>
            </w:pPr>
            <w:r w:rsidRPr="00F038BD">
              <w:rPr>
                <w:rFonts w:ascii="Times New Roman" w:hAnsi="Times New Roman"/>
                <w:sz w:val="20"/>
                <w:szCs w:val="20"/>
              </w:rPr>
              <w:t>Owned</w:t>
            </w:r>
          </w:p>
        </w:tc>
      </w:tr>
    </w:tbl>
    <w:p w14:paraId="0373A507" w14:textId="77777777" w:rsidR="00F038BD" w:rsidRPr="00F038BD" w:rsidRDefault="00F038BD" w:rsidP="00F038BD">
      <w:pPr>
        <w:spacing w:after="0" w:line="240" w:lineRule="auto"/>
        <w:jc w:val="both"/>
        <w:rPr>
          <w:rFonts w:ascii="Times New Roman" w:hAnsi="Times New Roman"/>
          <w:sz w:val="20"/>
          <w:szCs w:val="20"/>
        </w:rPr>
      </w:pPr>
    </w:p>
    <w:p w14:paraId="068EBECF" w14:textId="77777777" w:rsidR="00F038BD" w:rsidRPr="00F038BD" w:rsidRDefault="00F038BD" w:rsidP="00F038BD">
      <w:pPr>
        <w:spacing w:after="0" w:line="240" w:lineRule="auto"/>
        <w:jc w:val="both"/>
        <w:rPr>
          <w:rFonts w:ascii="Times New Roman" w:hAnsi="Times New Roman"/>
          <w:b/>
          <w:sz w:val="20"/>
          <w:szCs w:val="20"/>
          <w:u w:val="single"/>
        </w:rPr>
      </w:pPr>
      <w:r w:rsidRPr="00F038BD">
        <w:rPr>
          <w:rFonts w:ascii="Times New Roman" w:hAnsi="Times New Roman"/>
          <w:b/>
          <w:sz w:val="20"/>
          <w:szCs w:val="20"/>
          <w:u w:val="single"/>
        </w:rPr>
        <w:t xml:space="preserve">Insurance: </w:t>
      </w:r>
    </w:p>
    <w:p w14:paraId="2D3AC6B2" w14:textId="77777777" w:rsidR="00F038BD" w:rsidRPr="00F038BD" w:rsidRDefault="00F038BD" w:rsidP="00F038BD">
      <w:pPr>
        <w:spacing w:after="0" w:line="240" w:lineRule="auto"/>
        <w:jc w:val="both"/>
        <w:rPr>
          <w:rFonts w:ascii="Times New Roman" w:hAnsi="Times New Roman"/>
          <w:b/>
          <w:sz w:val="20"/>
          <w:szCs w:val="20"/>
          <w:u w:val="single"/>
        </w:rPr>
      </w:pPr>
    </w:p>
    <w:p w14:paraId="4C463059" w14:textId="57B969AD" w:rsidR="00E35FCB" w:rsidRDefault="00F038BD" w:rsidP="00F37091">
      <w:pPr>
        <w:spacing w:after="160" w:line="259" w:lineRule="auto"/>
        <w:jc w:val="both"/>
        <w:rPr>
          <w:rFonts w:ascii="Times New Roman" w:hAnsi="Times New Roman"/>
          <w:sz w:val="20"/>
          <w:szCs w:val="20"/>
        </w:rPr>
      </w:pPr>
      <w:r w:rsidRPr="00F038BD">
        <w:rPr>
          <w:rFonts w:ascii="Times New Roman" w:hAnsi="Times New Roman"/>
          <w:sz w:val="20"/>
          <w:szCs w:val="20"/>
        </w:rPr>
        <w:t>Our operations are subject to risks inherent in manufacturing facilities such as risk of equipment failure, work accidents, fire, earthquakes, flood and other force majeure events, acts of terrorism and explosions including hazards that may cause injury and loss of life, severe damage to and the destruction of property and equipment and environmental damage. We have obtained business guard laghu package policy for factory building, plant &amp; machinery and stock in process</w:t>
      </w:r>
      <w:r w:rsidR="00726B2B">
        <w:rPr>
          <w:rFonts w:ascii="Times New Roman" w:hAnsi="Times New Roman"/>
          <w:sz w:val="20"/>
          <w:szCs w:val="20"/>
        </w:rPr>
        <w:t xml:space="preserve"> and marine open policy</w:t>
      </w:r>
      <w:r w:rsidRPr="00F038BD">
        <w:rPr>
          <w:rFonts w:ascii="Times New Roman" w:hAnsi="Times New Roman"/>
          <w:sz w:val="20"/>
          <w:szCs w:val="20"/>
        </w:rPr>
        <w:t>. We’ve also obtained life insurance policies of our Directors, Mr. Bhavesh Maheshwari and Mr. Ramgopal Maheshwari. Our insurance policies may not be sufficient to cover our economic loss. For further details, kindly refer the section on “Risk Factors” beginning on page 23 of this   Prospectus. Our insurance coverage may not adequately protect us against all material hazards, which may affect our business, results of operations and financial condition.</w:t>
      </w:r>
    </w:p>
    <w:p w14:paraId="5955F801" w14:textId="77777777" w:rsidR="00F37091" w:rsidRDefault="00F37091">
      <w:pPr>
        <w:spacing w:after="160" w:line="259" w:lineRule="auto"/>
        <w:rPr>
          <w:rFonts w:ascii="Times New Roman" w:hAnsi="Times New Roman"/>
          <w:sz w:val="20"/>
          <w:szCs w:val="20"/>
        </w:rPr>
      </w:pPr>
      <w:r>
        <w:rPr>
          <w:rFonts w:ascii="Times New Roman" w:hAnsi="Times New Roman"/>
          <w:sz w:val="20"/>
          <w:szCs w:val="20"/>
        </w:rPr>
        <w:br w:type="page"/>
      </w:r>
    </w:p>
    <w:p w14:paraId="45883F22" w14:textId="7FFE497B" w:rsidR="00B63F51" w:rsidRDefault="00E35FCB" w:rsidP="00F37091">
      <w:pPr>
        <w:spacing w:after="0" w:line="240" w:lineRule="auto"/>
        <w:jc w:val="center"/>
        <w:rPr>
          <w:rFonts w:ascii="Times New Roman" w:hAnsi="Times New Roman"/>
          <w:b/>
          <w:bCs/>
          <w:sz w:val="20"/>
          <w:szCs w:val="20"/>
          <w:u w:val="single"/>
        </w:rPr>
      </w:pPr>
      <w:r w:rsidRPr="00E35FCB">
        <w:rPr>
          <w:rFonts w:ascii="Times New Roman" w:hAnsi="Times New Roman"/>
          <w:b/>
          <w:bCs/>
          <w:sz w:val="20"/>
          <w:szCs w:val="20"/>
          <w:u w:val="single"/>
        </w:rPr>
        <w:lastRenderedPageBreak/>
        <w:t>KEY INDUSTRY REGULATIONS AND POLICIES</w:t>
      </w:r>
    </w:p>
    <w:p w14:paraId="7CE9A8D2" w14:textId="77777777" w:rsidR="00E35FCB" w:rsidRDefault="00E35FCB" w:rsidP="00E35FCB">
      <w:pPr>
        <w:spacing w:after="0" w:line="240" w:lineRule="auto"/>
        <w:jc w:val="center"/>
        <w:rPr>
          <w:rFonts w:ascii="Times New Roman" w:hAnsi="Times New Roman"/>
          <w:b/>
          <w:bCs/>
          <w:sz w:val="20"/>
          <w:szCs w:val="20"/>
          <w:u w:val="single"/>
        </w:rPr>
      </w:pPr>
    </w:p>
    <w:p w14:paraId="3FA6BBE6" w14:textId="77777777" w:rsidR="00E35FCB" w:rsidRDefault="00E35FCB" w:rsidP="00E35FCB">
      <w:pPr>
        <w:pStyle w:val="ListParagraph"/>
        <w:spacing w:line="240" w:lineRule="auto"/>
        <w:ind w:left="0"/>
        <w:jc w:val="both"/>
        <w:rPr>
          <w:i/>
          <w:iCs/>
          <w:sz w:val="20"/>
          <w:szCs w:val="20"/>
        </w:rPr>
      </w:pPr>
      <w:r w:rsidRPr="004F610F">
        <w:rPr>
          <w:i/>
          <w:iCs/>
          <w:sz w:val="20"/>
          <w:szCs w:val="20"/>
        </w:rPr>
        <w:t>The following description is a summary of the relevant regulations and policies as prescribed by the Government of India, and the respective bye laws framed by the local bodies, and others incorporated under the laws of India. The information detailed in this Chapter has been obtained from the various legislations, including rules and regulations promulgated by the regulatory bodies and the bye laws of the respective local authorities that are available in the public domain. The statements produced below are based on the current provisions of Indian law, and the judicial and administrative interpretations thereof, which are subject to change or modification by subsequent legislative, regulatory, administrative or judicial decisions and may not be exhaustive, and are only intended to provide general information to investors and is neither designed nor intended to be a substitute for professional legal advice. We are subject to a number of Central and State legislations which regulate substantive and procedural aspects of the business. Additionally, the business activities of our Company require sanctions, approvals, licenses, registrations etc. from the concerned authorities, under the relevant Central and State legislations and local bye-laws.</w:t>
      </w:r>
    </w:p>
    <w:p w14:paraId="1587142E" w14:textId="77777777" w:rsidR="00E35FCB" w:rsidRDefault="00E35FCB" w:rsidP="00E35FCB">
      <w:pPr>
        <w:pStyle w:val="ListParagraph"/>
        <w:spacing w:line="240" w:lineRule="auto"/>
        <w:ind w:left="0"/>
        <w:jc w:val="both"/>
        <w:rPr>
          <w:i/>
          <w:iCs/>
          <w:sz w:val="20"/>
          <w:szCs w:val="20"/>
        </w:rPr>
      </w:pPr>
    </w:p>
    <w:p w14:paraId="1956F329" w14:textId="52C078C4" w:rsidR="00E35FCB" w:rsidRPr="004F610F" w:rsidRDefault="00E35FCB" w:rsidP="00E35FCB">
      <w:pPr>
        <w:pStyle w:val="ListParagraph"/>
        <w:spacing w:line="240" w:lineRule="auto"/>
        <w:ind w:left="0"/>
        <w:jc w:val="both"/>
        <w:rPr>
          <w:i/>
          <w:iCs/>
          <w:sz w:val="20"/>
          <w:szCs w:val="20"/>
        </w:rPr>
      </w:pPr>
      <w:r>
        <w:rPr>
          <w:i/>
          <w:iCs/>
          <w:sz w:val="20"/>
          <w:szCs w:val="20"/>
          <w:lang w:val="en-US"/>
        </w:rPr>
        <w:t>F</w:t>
      </w:r>
      <w:r w:rsidRPr="004F610F">
        <w:rPr>
          <w:i/>
          <w:iCs/>
          <w:sz w:val="20"/>
          <w:szCs w:val="20"/>
        </w:rPr>
        <w:t xml:space="preserve">or details of Government and Other Approvals obtained by the Company in compliance with these regulations, see section titled </w:t>
      </w:r>
      <w:r w:rsidRPr="00E35FCB">
        <w:rPr>
          <w:b/>
          <w:bCs/>
          <w:i/>
          <w:iCs/>
          <w:sz w:val="20"/>
          <w:szCs w:val="20"/>
        </w:rPr>
        <w:t>“Government and Other Approvals”</w:t>
      </w:r>
      <w:r w:rsidRPr="004F610F">
        <w:rPr>
          <w:i/>
          <w:iCs/>
          <w:sz w:val="20"/>
          <w:szCs w:val="20"/>
        </w:rPr>
        <w:t xml:space="preserve"> beginning on page </w:t>
      </w:r>
      <w:r>
        <w:rPr>
          <w:i/>
          <w:sz w:val="20"/>
          <w:szCs w:val="20"/>
          <w:lang w:val="en-US"/>
        </w:rPr>
        <w:t>…</w:t>
      </w:r>
      <w:r w:rsidRPr="004F610F">
        <w:rPr>
          <w:i/>
          <w:sz w:val="20"/>
          <w:szCs w:val="20"/>
        </w:rPr>
        <w:t xml:space="preserve"> </w:t>
      </w:r>
      <w:r w:rsidRPr="004F610F">
        <w:rPr>
          <w:i/>
          <w:iCs/>
          <w:sz w:val="20"/>
          <w:szCs w:val="20"/>
        </w:rPr>
        <w:t xml:space="preserve">of this Draft </w:t>
      </w:r>
      <w:r>
        <w:rPr>
          <w:i/>
          <w:iCs/>
          <w:sz w:val="20"/>
          <w:szCs w:val="20"/>
          <w:lang w:val="en-US"/>
        </w:rPr>
        <w:t xml:space="preserve">Red Herring </w:t>
      </w:r>
      <w:r w:rsidRPr="004F610F">
        <w:rPr>
          <w:i/>
          <w:iCs/>
          <w:sz w:val="20"/>
          <w:szCs w:val="20"/>
        </w:rPr>
        <w:t>Prospectus. The following is an overview of some of the important laws, policies and regulations which are pertinent to our business as a player in the field of Brass Product Manufacturing, Brass Ingots, Brass Sanitary, Brass Rods, Brass Spindles and Brass Inserts(CPVC/PPR) Pipe fittings for commercial purposes.</w:t>
      </w:r>
    </w:p>
    <w:p w14:paraId="37BB32A1" w14:textId="77777777" w:rsidR="00E35FCB" w:rsidRPr="004F610F" w:rsidRDefault="00E35FCB" w:rsidP="00E35FCB">
      <w:pPr>
        <w:pStyle w:val="ListParagraph"/>
        <w:spacing w:line="240" w:lineRule="auto"/>
        <w:ind w:left="0"/>
        <w:jc w:val="both"/>
        <w:rPr>
          <w:iCs/>
          <w:sz w:val="20"/>
          <w:szCs w:val="20"/>
        </w:rPr>
      </w:pPr>
    </w:p>
    <w:p w14:paraId="23920FF3" w14:textId="77777777" w:rsidR="00E35FCB" w:rsidRPr="004F610F" w:rsidRDefault="00E35FCB" w:rsidP="00E35FCB">
      <w:pPr>
        <w:spacing w:after="0" w:line="240" w:lineRule="auto"/>
        <w:jc w:val="both"/>
        <w:rPr>
          <w:rFonts w:ascii="Times New Roman" w:hAnsi="Times New Roman"/>
          <w:b/>
          <w:bCs/>
          <w:sz w:val="20"/>
          <w:szCs w:val="20"/>
        </w:rPr>
      </w:pPr>
      <w:r w:rsidRPr="004F610F">
        <w:rPr>
          <w:rFonts w:ascii="Times New Roman" w:hAnsi="Times New Roman"/>
          <w:b/>
          <w:bCs/>
          <w:sz w:val="20"/>
          <w:szCs w:val="20"/>
        </w:rPr>
        <w:t>INDUSTRY SPECIFIC REGULATIONS</w:t>
      </w:r>
    </w:p>
    <w:p w14:paraId="357A9F5D" w14:textId="77777777" w:rsidR="00E35FCB" w:rsidRPr="004F610F" w:rsidRDefault="00E35FCB" w:rsidP="00E35FCB">
      <w:pPr>
        <w:autoSpaceDE w:val="0"/>
        <w:autoSpaceDN w:val="0"/>
        <w:adjustRightInd w:val="0"/>
        <w:spacing w:after="0" w:line="240" w:lineRule="auto"/>
        <w:jc w:val="both"/>
        <w:rPr>
          <w:rFonts w:ascii="Times New Roman" w:hAnsi="Times New Roman"/>
          <w:bCs/>
          <w:sz w:val="20"/>
          <w:szCs w:val="20"/>
          <w:highlight w:val="yellow"/>
        </w:rPr>
      </w:pPr>
    </w:p>
    <w:p w14:paraId="3C409491" w14:textId="77777777" w:rsidR="00E35FCB" w:rsidRPr="004F610F" w:rsidRDefault="00E35FCB" w:rsidP="00E35FCB">
      <w:pPr>
        <w:autoSpaceDE w:val="0"/>
        <w:autoSpaceDN w:val="0"/>
        <w:adjustRightInd w:val="0"/>
        <w:spacing w:after="0" w:line="240" w:lineRule="auto"/>
        <w:jc w:val="both"/>
        <w:rPr>
          <w:rFonts w:ascii="Times New Roman" w:hAnsi="Times New Roman"/>
          <w:b/>
          <w:i/>
          <w:sz w:val="20"/>
          <w:szCs w:val="20"/>
        </w:rPr>
      </w:pPr>
      <w:r w:rsidRPr="004F610F">
        <w:rPr>
          <w:rFonts w:ascii="Times New Roman" w:hAnsi="Times New Roman"/>
          <w:b/>
          <w:i/>
          <w:sz w:val="20"/>
          <w:szCs w:val="20"/>
        </w:rPr>
        <w:t>The Bureau of Indian Standards Act, 2016 (“BIS Act”)</w:t>
      </w:r>
    </w:p>
    <w:p w14:paraId="14905A17" w14:textId="77777777" w:rsidR="00E35FCB" w:rsidRPr="004F610F" w:rsidRDefault="00E35FCB" w:rsidP="00E35FCB">
      <w:pPr>
        <w:autoSpaceDE w:val="0"/>
        <w:autoSpaceDN w:val="0"/>
        <w:adjustRightInd w:val="0"/>
        <w:spacing w:after="0" w:line="240" w:lineRule="auto"/>
        <w:jc w:val="both"/>
        <w:rPr>
          <w:rFonts w:ascii="Times New Roman" w:hAnsi="Times New Roman"/>
          <w:b/>
          <w:i/>
          <w:sz w:val="20"/>
          <w:szCs w:val="20"/>
        </w:rPr>
      </w:pPr>
    </w:p>
    <w:p w14:paraId="00DCEEEA"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rPr>
      </w:pPr>
      <w:r w:rsidRPr="004F610F">
        <w:rPr>
          <w:rFonts w:ascii="Times New Roman" w:hAnsi="Times New Roman"/>
          <w:sz w:val="20"/>
          <w:szCs w:val="20"/>
        </w:rPr>
        <w:t>The BIS Act provides for the establishment of the Bureau of Indian Standards (“BIS”) for the development of, inter alia, standardization, marking and quality certification of goods. Functions of the BIS include, inter-alia, (a) recognizing as an Indian standard, any standard established for any article or process by any other institution in India or elsewhere; (b) specifying a standard mark to be called the Bureau of Indian Standards Certification Mark which shall be of such design and contain such particulars as may be prescribed to represent a particular Indian standard; and (c) conducting such inspection and taking such samples of any material or substance as may be necessary to see whether any article or process in relation to which the standard mark has been used conforms to the Indian standard or whether the standard mark has been improperly used in relation to any article or process with or without a license.</w:t>
      </w:r>
    </w:p>
    <w:p w14:paraId="36C63038" w14:textId="77777777" w:rsidR="00E35FCB" w:rsidRPr="00223E07" w:rsidRDefault="00E35FCB" w:rsidP="00E35FCB">
      <w:pPr>
        <w:autoSpaceDE w:val="0"/>
        <w:autoSpaceDN w:val="0"/>
        <w:adjustRightInd w:val="0"/>
        <w:spacing w:after="0" w:line="240" w:lineRule="auto"/>
        <w:jc w:val="both"/>
        <w:rPr>
          <w:rFonts w:ascii="Times New Roman" w:hAnsi="Times New Roman"/>
          <w:sz w:val="20"/>
          <w:szCs w:val="20"/>
        </w:rPr>
      </w:pPr>
    </w:p>
    <w:p w14:paraId="6C34AA6F" w14:textId="77777777" w:rsidR="00E35FCB" w:rsidRPr="004F610F" w:rsidRDefault="00E35FCB" w:rsidP="00E35FCB">
      <w:pPr>
        <w:autoSpaceDE w:val="0"/>
        <w:autoSpaceDN w:val="0"/>
        <w:adjustRightInd w:val="0"/>
        <w:spacing w:after="0" w:line="240" w:lineRule="auto"/>
        <w:jc w:val="both"/>
        <w:rPr>
          <w:rFonts w:ascii="Times New Roman" w:hAnsi="Times New Roman"/>
          <w:b/>
          <w:i/>
          <w:sz w:val="20"/>
          <w:szCs w:val="20"/>
        </w:rPr>
      </w:pPr>
      <w:r w:rsidRPr="004F610F">
        <w:rPr>
          <w:rFonts w:ascii="Times New Roman" w:hAnsi="Times New Roman"/>
          <w:b/>
          <w:i/>
          <w:sz w:val="20"/>
          <w:szCs w:val="20"/>
        </w:rPr>
        <w:t>Bureau of Indian Standards Rules, 2018</w:t>
      </w:r>
    </w:p>
    <w:p w14:paraId="3B7B64AD" w14:textId="77777777" w:rsidR="00E35FCB" w:rsidRPr="004F610F" w:rsidRDefault="00E35FCB" w:rsidP="00E35FCB">
      <w:pPr>
        <w:autoSpaceDE w:val="0"/>
        <w:autoSpaceDN w:val="0"/>
        <w:adjustRightInd w:val="0"/>
        <w:spacing w:after="0" w:line="240" w:lineRule="auto"/>
        <w:jc w:val="both"/>
        <w:rPr>
          <w:rFonts w:ascii="Times New Roman" w:hAnsi="Times New Roman"/>
          <w:b/>
          <w:i/>
          <w:sz w:val="20"/>
          <w:szCs w:val="20"/>
        </w:rPr>
      </w:pPr>
    </w:p>
    <w:p w14:paraId="07D22089"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rPr>
      </w:pPr>
      <w:r w:rsidRPr="004F610F">
        <w:rPr>
          <w:rFonts w:ascii="Times New Roman" w:hAnsi="Times New Roman"/>
          <w:sz w:val="20"/>
          <w:szCs w:val="20"/>
        </w:rPr>
        <w:t>The Bureau of India Standards Rules, 2018 (the “Bureau of Indian Standards Rules”) have been notified, in supersession of the Bureau of Indian Standards Rules, 1987, in so far as they relate to Chapter IV A of the said rules relating to registration of the articles notified by the Central Government, and in supersession of the Bureau of Indian Standards Rules, 2017 except in relation to things done or omitted to be done before such supersession. Under the Bureau of Indian Standards Rules, the bureau is required to establish Indian standards in relation to any goods, article, process, system or service and shall reaffirm, amend, revise or withdraw Indian standards so established as may be necessary.</w:t>
      </w:r>
    </w:p>
    <w:p w14:paraId="2336D986"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rPr>
      </w:pPr>
    </w:p>
    <w:p w14:paraId="42C92F7B" w14:textId="77777777" w:rsidR="00E35FCB" w:rsidRPr="004F610F" w:rsidRDefault="00E35FCB" w:rsidP="00E35FCB">
      <w:pPr>
        <w:autoSpaceDE w:val="0"/>
        <w:autoSpaceDN w:val="0"/>
        <w:adjustRightInd w:val="0"/>
        <w:spacing w:after="0" w:line="240" w:lineRule="auto"/>
        <w:jc w:val="both"/>
        <w:rPr>
          <w:rFonts w:ascii="Times New Roman" w:hAnsi="Times New Roman"/>
          <w:b/>
          <w:bCs/>
          <w:i/>
          <w:iCs/>
          <w:sz w:val="20"/>
          <w:szCs w:val="20"/>
        </w:rPr>
      </w:pPr>
      <w:r w:rsidRPr="004F610F">
        <w:rPr>
          <w:rFonts w:ascii="Times New Roman" w:hAnsi="Times New Roman"/>
          <w:b/>
          <w:bCs/>
          <w:i/>
          <w:iCs/>
          <w:sz w:val="20"/>
          <w:szCs w:val="20"/>
        </w:rPr>
        <w:t>Public Liability Insurance Act, 1991 (“Public Liability Act”)</w:t>
      </w:r>
    </w:p>
    <w:p w14:paraId="3B2F5DD9"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rPr>
      </w:pPr>
    </w:p>
    <w:p w14:paraId="23301158"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rPr>
      </w:pPr>
      <w:r w:rsidRPr="004F610F">
        <w:rPr>
          <w:rFonts w:ascii="Times New Roman" w:hAnsi="Times New Roman"/>
          <w:sz w:val="20"/>
          <w:szCs w:val="20"/>
        </w:rPr>
        <w:t>The Public Liability Act, as amended, imposes liability on the owner or controller of hazardous substances for any damage arising out of an accident involving such hazardous substance. A list of hazardous substances covered by the Public Liability Act has been enumerated by the Government by way of a notification. The owner or handler is also required to take out an insurance policy insuring against liability under the legislation. The rules made under the Public Liability Act mandate that the employer has to contribute towards the environment relief fund, a sum equal to the premium paid on the insurance policies. This amount is payable to the insurer.</w:t>
      </w:r>
    </w:p>
    <w:p w14:paraId="061629B3"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rPr>
      </w:pPr>
    </w:p>
    <w:p w14:paraId="1B4A6B81" w14:textId="77777777" w:rsidR="00E35FCB" w:rsidRPr="004F610F" w:rsidRDefault="00E35FCB" w:rsidP="00E35FCB">
      <w:pPr>
        <w:autoSpaceDE w:val="0"/>
        <w:autoSpaceDN w:val="0"/>
        <w:adjustRightInd w:val="0"/>
        <w:spacing w:after="0" w:line="240" w:lineRule="auto"/>
        <w:jc w:val="both"/>
        <w:rPr>
          <w:rFonts w:ascii="Times New Roman" w:hAnsi="Times New Roman"/>
          <w:b/>
          <w:i/>
          <w:sz w:val="20"/>
          <w:szCs w:val="20"/>
        </w:rPr>
      </w:pPr>
      <w:r w:rsidRPr="004F610F">
        <w:rPr>
          <w:rFonts w:ascii="Times New Roman" w:hAnsi="Times New Roman"/>
          <w:b/>
          <w:i/>
          <w:sz w:val="20"/>
          <w:szCs w:val="20"/>
        </w:rPr>
        <w:t>Importer-Exporter Code</w:t>
      </w:r>
    </w:p>
    <w:p w14:paraId="110B058A"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rPr>
      </w:pPr>
    </w:p>
    <w:p w14:paraId="6EE03228"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rPr>
      </w:pPr>
      <w:r w:rsidRPr="004F610F">
        <w:rPr>
          <w:rFonts w:ascii="Times New Roman" w:hAnsi="Times New Roman"/>
          <w:sz w:val="20"/>
          <w:szCs w:val="20"/>
        </w:rPr>
        <w:t>Under the Indian Foreign Trade Policy, 2004, no export or import can be made by a person or company without an Importer Exporter Code number unless such person/company is specifically exempted. An application for an Importer Exporter Code number has to be made to the office of the Joint Director General of Foreign Trade, Ministry of Commerce. An Importer Exporter Code number allotted to an applicant is valid for all its branches/divisions/ units/factories.</w:t>
      </w:r>
    </w:p>
    <w:p w14:paraId="29F11D1F"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rPr>
      </w:pPr>
    </w:p>
    <w:p w14:paraId="21F6FA04"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rPr>
      </w:pPr>
      <w:r w:rsidRPr="004F610F">
        <w:rPr>
          <w:rFonts w:ascii="Times New Roman" w:hAnsi="Times New Roman"/>
          <w:b/>
          <w:i/>
          <w:sz w:val="20"/>
          <w:szCs w:val="20"/>
        </w:rPr>
        <w:t>Legal Metrology Act, 2009 (the “Metrology Act”)</w:t>
      </w:r>
    </w:p>
    <w:p w14:paraId="1AE2376F" w14:textId="77777777" w:rsidR="00E35FCB" w:rsidRPr="00223E07" w:rsidRDefault="00E35FCB" w:rsidP="00E35FCB">
      <w:pPr>
        <w:autoSpaceDE w:val="0"/>
        <w:autoSpaceDN w:val="0"/>
        <w:adjustRightInd w:val="0"/>
        <w:spacing w:after="0" w:line="240" w:lineRule="auto"/>
        <w:jc w:val="both"/>
        <w:rPr>
          <w:rFonts w:ascii="Times New Roman" w:hAnsi="Times New Roman"/>
          <w:sz w:val="20"/>
          <w:szCs w:val="20"/>
        </w:rPr>
      </w:pPr>
    </w:p>
    <w:p w14:paraId="737557D7"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rPr>
      </w:pPr>
      <w:r w:rsidRPr="004F610F">
        <w:rPr>
          <w:rFonts w:ascii="Times New Roman" w:hAnsi="Times New Roman"/>
          <w:sz w:val="20"/>
          <w:szCs w:val="20"/>
        </w:rPr>
        <w:t xml:space="preserve">The Legal Metrology Act, 2009, as amended was enacted with the objective to establish and enforce standards of weights and measures, regulate trade and commerce in weights, measures and other goods which are sold or distributed by weight, measure or number and for matters connected therewith or incidental thereto. The Metrology Act states that any transaction/contract relating to </w:t>
      </w:r>
      <w:r w:rsidRPr="004F610F">
        <w:rPr>
          <w:rFonts w:ascii="Times New Roman" w:hAnsi="Times New Roman"/>
          <w:sz w:val="20"/>
          <w:szCs w:val="20"/>
        </w:rPr>
        <w:lastRenderedPageBreak/>
        <w:t>goods/class of goods shall be as per the weight/measurement/numbers prescribed by the Metrology Act. The specifications with respect to the exact denomination of the weight of goods to be considered in transactions are contained in rules by each state.</w:t>
      </w:r>
    </w:p>
    <w:p w14:paraId="6166388D" w14:textId="77777777" w:rsidR="00E35FCB" w:rsidRPr="004F610F" w:rsidRDefault="00E35FCB" w:rsidP="00E35FCB">
      <w:pPr>
        <w:autoSpaceDE w:val="0"/>
        <w:autoSpaceDN w:val="0"/>
        <w:adjustRightInd w:val="0"/>
        <w:spacing w:after="0" w:line="240" w:lineRule="auto"/>
        <w:jc w:val="both"/>
        <w:rPr>
          <w:rFonts w:ascii="Times New Roman" w:hAnsi="Times New Roman"/>
          <w:b/>
          <w:i/>
          <w:sz w:val="20"/>
          <w:szCs w:val="20"/>
        </w:rPr>
      </w:pPr>
      <w:r w:rsidRPr="004F610F">
        <w:rPr>
          <w:rFonts w:ascii="Times New Roman" w:hAnsi="Times New Roman"/>
          <w:b/>
          <w:i/>
          <w:sz w:val="20"/>
          <w:szCs w:val="20"/>
        </w:rPr>
        <w:t>Standards of Weights and Measures Act, 1976</w:t>
      </w:r>
    </w:p>
    <w:p w14:paraId="29946ABE" w14:textId="77777777" w:rsidR="00E35FCB" w:rsidRPr="004F610F" w:rsidRDefault="00E35FCB" w:rsidP="00E35FCB">
      <w:pPr>
        <w:autoSpaceDE w:val="0"/>
        <w:autoSpaceDN w:val="0"/>
        <w:adjustRightInd w:val="0"/>
        <w:spacing w:after="0" w:line="240" w:lineRule="auto"/>
        <w:jc w:val="both"/>
        <w:rPr>
          <w:rFonts w:ascii="Times New Roman" w:hAnsi="Times New Roman"/>
          <w:b/>
          <w:i/>
          <w:sz w:val="20"/>
          <w:szCs w:val="20"/>
        </w:rPr>
      </w:pPr>
    </w:p>
    <w:p w14:paraId="3DCFB59E"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rPr>
      </w:pPr>
      <w:r w:rsidRPr="004F610F">
        <w:rPr>
          <w:rFonts w:ascii="Times New Roman" w:hAnsi="Times New Roman"/>
          <w:sz w:val="20"/>
          <w:szCs w:val="20"/>
        </w:rPr>
        <w:t>The Standards of Weights and Measures Act, 1976 (the “Act”) was enacted to regulate trade or commerce in weights, measures and other goods which are sold or distributed by weight, measure or number and to provide for such matters as may be connected thereto. The Act enumerates the specific base units to measure goods and products. Any offence under this Act is punishable with imprisonment or fine or with both based on the type of violation.</w:t>
      </w:r>
      <w:r w:rsidRPr="004F610F">
        <w:rPr>
          <w:rFonts w:ascii="Times New Roman" w:hAnsi="Times New Roman"/>
          <w:sz w:val="20"/>
          <w:szCs w:val="20"/>
        </w:rPr>
        <w:cr/>
      </w:r>
    </w:p>
    <w:p w14:paraId="647749E2" w14:textId="77777777" w:rsidR="00E35FCB" w:rsidRPr="004F610F" w:rsidRDefault="00E35FCB" w:rsidP="00E35FCB">
      <w:pPr>
        <w:autoSpaceDE w:val="0"/>
        <w:autoSpaceDN w:val="0"/>
        <w:adjustRightInd w:val="0"/>
        <w:spacing w:after="0" w:line="240" w:lineRule="auto"/>
        <w:jc w:val="both"/>
        <w:rPr>
          <w:rFonts w:ascii="Times New Roman" w:hAnsi="Times New Roman"/>
          <w:b/>
          <w:bCs/>
          <w:i/>
          <w:sz w:val="20"/>
          <w:szCs w:val="20"/>
        </w:rPr>
      </w:pPr>
      <w:r w:rsidRPr="004F610F">
        <w:rPr>
          <w:rFonts w:ascii="Times New Roman" w:hAnsi="Times New Roman"/>
          <w:b/>
          <w:bCs/>
          <w:i/>
          <w:sz w:val="20"/>
          <w:szCs w:val="20"/>
        </w:rPr>
        <w:t>Prevention of Black Marketing and Maintenance of Supplies Act, 1980</w:t>
      </w:r>
    </w:p>
    <w:p w14:paraId="4F5A5AFC"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rPr>
      </w:pPr>
    </w:p>
    <w:p w14:paraId="5861675D"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rPr>
      </w:pPr>
      <w:r w:rsidRPr="004F610F">
        <w:rPr>
          <w:rFonts w:ascii="Times New Roman" w:hAnsi="Times New Roman"/>
          <w:sz w:val="20"/>
          <w:szCs w:val="20"/>
        </w:rPr>
        <w:t>The Prevention of Black Marketing and Maintenance of Supplies Act is an Act for detention in certain cases for the purpose of prevention of black marketing and maintenance of supplies of commodities essential to the community and for matters concerned therewith.</w:t>
      </w:r>
    </w:p>
    <w:p w14:paraId="2BC73141"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rPr>
      </w:pPr>
    </w:p>
    <w:p w14:paraId="13B9559F" w14:textId="77777777" w:rsidR="00E35FCB" w:rsidRPr="004F610F" w:rsidRDefault="00E35FCB" w:rsidP="00E35FCB">
      <w:pPr>
        <w:autoSpaceDE w:val="0"/>
        <w:autoSpaceDN w:val="0"/>
        <w:adjustRightInd w:val="0"/>
        <w:spacing w:after="0" w:line="240" w:lineRule="auto"/>
        <w:jc w:val="both"/>
        <w:rPr>
          <w:rFonts w:ascii="Times New Roman" w:hAnsi="Times New Roman"/>
          <w:b/>
          <w:sz w:val="20"/>
          <w:szCs w:val="20"/>
        </w:rPr>
      </w:pPr>
      <w:r w:rsidRPr="004F610F">
        <w:rPr>
          <w:rFonts w:ascii="Times New Roman" w:hAnsi="Times New Roman"/>
          <w:b/>
          <w:sz w:val="20"/>
          <w:szCs w:val="20"/>
        </w:rPr>
        <w:t>LAWS RELATING TO SPECIFIC STATE WHERE THE ESTABLISHMENT IS SITUATED</w:t>
      </w:r>
    </w:p>
    <w:p w14:paraId="4816616B" w14:textId="77777777" w:rsidR="00E35FCB" w:rsidRPr="004F610F" w:rsidRDefault="00E35FCB" w:rsidP="00E35FCB">
      <w:pPr>
        <w:autoSpaceDE w:val="0"/>
        <w:autoSpaceDN w:val="0"/>
        <w:adjustRightInd w:val="0"/>
        <w:spacing w:after="0" w:line="240" w:lineRule="auto"/>
        <w:jc w:val="both"/>
        <w:rPr>
          <w:rFonts w:ascii="Times New Roman" w:hAnsi="Times New Roman"/>
          <w:b/>
          <w:sz w:val="20"/>
          <w:szCs w:val="20"/>
        </w:rPr>
      </w:pPr>
    </w:p>
    <w:p w14:paraId="1DA4299A" w14:textId="77777777" w:rsidR="00E35FCB" w:rsidRPr="004F610F" w:rsidRDefault="00E35FCB" w:rsidP="00E35FCB">
      <w:pPr>
        <w:autoSpaceDE w:val="0"/>
        <w:autoSpaceDN w:val="0"/>
        <w:adjustRightInd w:val="0"/>
        <w:spacing w:after="0" w:line="240" w:lineRule="auto"/>
        <w:jc w:val="both"/>
        <w:rPr>
          <w:rFonts w:ascii="Times New Roman" w:hAnsi="Times New Roman"/>
          <w:b/>
          <w:i/>
          <w:sz w:val="20"/>
          <w:szCs w:val="20"/>
        </w:rPr>
      </w:pPr>
      <w:r w:rsidRPr="004F610F">
        <w:rPr>
          <w:rFonts w:ascii="Times New Roman" w:hAnsi="Times New Roman"/>
          <w:b/>
          <w:i/>
          <w:sz w:val="20"/>
          <w:szCs w:val="20"/>
        </w:rPr>
        <w:t>Gujarat Industrial Policy 2020</w:t>
      </w:r>
    </w:p>
    <w:p w14:paraId="3DDCC9B8" w14:textId="77777777" w:rsidR="00E35FCB" w:rsidRPr="00223E07" w:rsidRDefault="00E35FCB" w:rsidP="00E35FCB">
      <w:pPr>
        <w:autoSpaceDE w:val="0"/>
        <w:autoSpaceDN w:val="0"/>
        <w:adjustRightInd w:val="0"/>
        <w:spacing w:after="0" w:line="240" w:lineRule="auto"/>
        <w:jc w:val="both"/>
        <w:rPr>
          <w:rFonts w:ascii="Times New Roman" w:hAnsi="Times New Roman"/>
          <w:b/>
          <w:sz w:val="20"/>
          <w:szCs w:val="20"/>
        </w:rPr>
      </w:pPr>
    </w:p>
    <w:p w14:paraId="5A336A57"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lang w:val="en-GB"/>
        </w:rPr>
      </w:pPr>
      <w:r w:rsidRPr="004F610F">
        <w:rPr>
          <w:rFonts w:ascii="Times New Roman" w:hAnsi="Times New Roman"/>
          <w:sz w:val="20"/>
          <w:szCs w:val="20"/>
          <w:lang w:val="en-GB"/>
        </w:rPr>
        <w:t>Gujarat is the most industrialized state in India and has been recognized nationally and globally for offering conducive business ecosystem that is supported by ease of doing business and state-of-the-art infrastructure. The state has witnessed unprecedented growth in terms of investments, both FDI and domestic. With a vision to give additional thrust to “Atmanirbhar Bharat”, the New Gujarat Industrial Policy 2020 is being introduced with added focus on key thrust sectors, strengthening integrated value chains, innovation and research. Besides this, the Gujarat Industrial Policy has provisions to promote industries focusing to adopt sustainable &amp; cleaner manufacturing and innovative Industry 4.0 practices. It also lays objective to encourage entrepreneurship and strengthen MSMEs and facilitate cluster development.</w:t>
      </w:r>
    </w:p>
    <w:p w14:paraId="018364ED"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lang w:val="en-GB"/>
        </w:rPr>
      </w:pPr>
    </w:p>
    <w:p w14:paraId="28C378FE"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lang w:val="en-GB"/>
        </w:rPr>
      </w:pPr>
      <w:r w:rsidRPr="004F610F">
        <w:rPr>
          <w:rFonts w:ascii="Times New Roman" w:hAnsi="Times New Roman"/>
          <w:sz w:val="20"/>
          <w:szCs w:val="20"/>
          <w:lang w:val="en-GB"/>
        </w:rPr>
        <w:t>‘Make in India’ initiative launched by Government of India aims at enhancing manufacturing through investment, innovation and best-in-class infrastructure. Gujarat has been successfully contributing to the initiative’s objective of transforming India into a global design and manufacturing hub supported by conducive infrastructure and ease of doing business. The State Government has also introduced notable reforms in order to create a conducive business environment in the state.</w:t>
      </w:r>
    </w:p>
    <w:p w14:paraId="6E057825"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lang w:val="en-GB"/>
        </w:rPr>
      </w:pPr>
    </w:p>
    <w:p w14:paraId="62DF20E8"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lang w:val="en-GB"/>
        </w:rPr>
      </w:pPr>
      <w:r w:rsidRPr="004F610F">
        <w:rPr>
          <w:rFonts w:ascii="Times New Roman" w:hAnsi="Times New Roman"/>
          <w:sz w:val="20"/>
          <w:szCs w:val="20"/>
          <w:lang w:val="en-GB"/>
        </w:rPr>
        <w:t>The initiative ZED (Zero Defect in Manufacturing and Zero Effect to Environment) was launched to enhance the quality of the manufactured goods with the end goal of positioning India as the “World’s Manufacturing Hub”. Gujarat’s manufacturing sector has imbibed ZED as a core pillar which has supported the Gujarat MSMEs carve a niche for themselves in the global supply chain.</w:t>
      </w:r>
    </w:p>
    <w:p w14:paraId="24FE5773"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lang w:val="en-GB"/>
        </w:rPr>
      </w:pPr>
    </w:p>
    <w:p w14:paraId="4C6D9139"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lang w:val="en-GB"/>
        </w:rPr>
      </w:pPr>
      <w:r w:rsidRPr="004F610F">
        <w:rPr>
          <w:rFonts w:ascii="Times New Roman" w:hAnsi="Times New Roman"/>
          <w:sz w:val="20"/>
          <w:szCs w:val="20"/>
          <w:lang w:val="en-GB"/>
        </w:rPr>
        <w:t>Gujarat Industrial Policy 2020 is offering land on lease, de-linking of incentives from tax structure and replacing it with capital subsidy without any upper ceiling will attract many a soul to take the entrepreneurial path. Gujarat Industrial Policy 2020 spearheads balanced regional development and is the torchbearer for inclusive growth.</w:t>
      </w:r>
    </w:p>
    <w:p w14:paraId="22690543" w14:textId="77777777" w:rsidR="00E35FCB" w:rsidRPr="00223E07" w:rsidRDefault="00E35FCB" w:rsidP="00E35FCB">
      <w:pPr>
        <w:autoSpaceDE w:val="0"/>
        <w:autoSpaceDN w:val="0"/>
        <w:adjustRightInd w:val="0"/>
        <w:spacing w:after="0" w:line="240" w:lineRule="auto"/>
        <w:jc w:val="both"/>
        <w:rPr>
          <w:rFonts w:ascii="Times New Roman" w:hAnsi="Times New Roman"/>
          <w:sz w:val="20"/>
          <w:szCs w:val="20"/>
          <w:lang w:val="en-GB"/>
        </w:rPr>
      </w:pPr>
    </w:p>
    <w:p w14:paraId="31FB8EBE" w14:textId="77777777" w:rsidR="00E35FCB" w:rsidRPr="004F610F" w:rsidRDefault="00E35FCB" w:rsidP="00E35FCB">
      <w:pPr>
        <w:autoSpaceDE w:val="0"/>
        <w:autoSpaceDN w:val="0"/>
        <w:adjustRightInd w:val="0"/>
        <w:spacing w:after="0" w:line="240" w:lineRule="auto"/>
        <w:jc w:val="both"/>
        <w:rPr>
          <w:rFonts w:ascii="Times New Roman" w:hAnsi="Times New Roman"/>
          <w:b/>
          <w:i/>
          <w:sz w:val="20"/>
          <w:szCs w:val="20"/>
        </w:rPr>
      </w:pPr>
      <w:r w:rsidRPr="004F610F">
        <w:rPr>
          <w:rFonts w:ascii="Times New Roman" w:hAnsi="Times New Roman"/>
          <w:b/>
          <w:i/>
          <w:sz w:val="20"/>
          <w:szCs w:val="20"/>
        </w:rPr>
        <w:t>Gujarat Shops and Establishments (Regulation of Employment and Conditions of Service) Act, 2019</w:t>
      </w:r>
      <w:r w:rsidRPr="004F610F">
        <w:rPr>
          <w:rFonts w:ascii="Times New Roman" w:hAnsi="Times New Roman"/>
          <w:b/>
          <w:i/>
          <w:sz w:val="20"/>
          <w:szCs w:val="20"/>
        </w:rPr>
        <w:cr/>
      </w:r>
    </w:p>
    <w:p w14:paraId="1A9FD9BB"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lang w:val="en-GB"/>
        </w:rPr>
      </w:pPr>
      <w:r w:rsidRPr="004F610F">
        <w:rPr>
          <w:rFonts w:ascii="Times New Roman" w:hAnsi="Times New Roman"/>
          <w:sz w:val="20"/>
          <w:szCs w:val="20"/>
          <w:lang w:val="en-GB"/>
        </w:rPr>
        <w:t>The Gujarat Shops &amp; Establishments Act 1948 (Old Act) stands repealed with the notification of the Gujarat Shops and Establishments (Regulation of Employment and Conditions of Service) Act 2019 (New Act) on 1 May 2019 (Effective Date) by the Government of Gujarat.</w:t>
      </w:r>
    </w:p>
    <w:p w14:paraId="01709216"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lang w:val="en-GB"/>
        </w:rPr>
      </w:pPr>
    </w:p>
    <w:p w14:paraId="56A0FD7A"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lang w:val="en-GB"/>
        </w:rPr>
      </w:pPr>
      <w:r w:rsidRPr="004F610F">
        <w:rPr>
          <w:rFonts w:ascii="Times New Roman" w:hAnsi="Times New Roman"/>
          <w:sz w:val="20"/>
          <w:szCs w:val="20"/>
          <w:lang w:val="en-GB"/>
        </w:rPr>
        <w:t>The Gujarat Shops and Establishments (Regulation of Employment and Conditions of Service) Act is an act that regulates the working conditions of employees in shops and commercial establishments in the Indian state of Gujarat. The act provides guidelines and regulations for payment of wages, terms of service, work hours, leave, holidays, and more to ensure the protection of employee rights. The act also prohibits hawking before and after closing hours of shops and allows commercial establishments to operate for 24 hours in a day. The act has undergone reforms in the past, and a new version called the Gujarat Shops and Establishments (Regulation of Employment and Conditions of Service) Act, 2019 was introduced to bring about further changes and reforms.</w:t>
      </w:r>
    </w:p>
    <w:p w14:paraId="792926F5" w14:textId="77777777" w:rsidR="00E35FCB" w:rsidRPr="00223E07" w:rsidRDefault="00E35FCB" w:rsidP="00E35FCB">
      <w:pPr>
        <w:autoSpaceDE w:val="0"/>
        <w:autoSpaceDN w:val="0"/>
        <w:adjustRightInd w:val="0"/>
        <w:spacing w:after="0" w:line="240" w:lineRule="auto"/>
        <w:jc w:val="both"/>
        <w:rPr>
          <w:rFonts w:ascii="Times New Roman" w:hAnsi="Times New Roman"/>
          <w:sz w:val="20"/>
          <w:szCs w:val="20"/>
          <w:lang w:val="en-GB"/>
        </w:rPr>
      </w:pPr>
    </w:p>
    <w:p w14:paraId="3AC8710D" w14:textId="77777777" w:rsidR="00E35FCB" w:rsidRPr="004F610F" w:rsidRDefault="00E35FCB" w:rsidP="00E35FCB">
      <w:pPr>
        <w:autoSpaceDE w:val="0"/>
        <w:autoSpaceDN w:val="0"/>
        <w:adjustRightInd w:val="0"/>
        <w:spacing w:after="0" w:line="240" w:lineRule="auto"/>
        <w:jc w:val="both"/>
        <w:rPr>
          <w:rFonts w:ascii="Times New Roman" w:hAnsi="Times New Roman"/>
          <w:b/>
          <w:i/>
          <w:sz w:val="20"/>
          <w:szCs w:val="20"/>
        </w:rPr>
      </w:pPr>
      <w:r w:rsidRPr="004F610F">
        <w:rPr>
          <w:rFonts w:ascii="Times New Roman" w:hAnsi="Times New Roman"/>
          <w:b/>
          <w:i/>
          <w:sz w:val="20"/>
          <w:szCs w:val="20"/>
        </w:rPr>
        <w:t>The Gujarat State Tax on Professions, Traders, Callings and Employments Rules, 1976</w:t>
      </w:r>
    </w:p>
    <w:p w14:paraId="36A5D6DD" w14:textId="77777777" w:rsidR="00E35FCB" w:rsidRPr="004F610F" w:rsidRDefault="00E35FCB" w:rsidP="00E35FCB">
      <w:pPr>
        <w:autoSpaceDE w:val="0"/>
        <w:autoSpaceDN w:val="0"/>
        <w:adjustRightInd w:val="0"/>
        <w:spacing w:after="0" w:line="240" w:lineRule="auto"/>
        <w:jc w:val="both"/>
        <w:rPr>
          <w:rFonts w:ascii="Times New Roman" w:hAnsi="Times New Roman"/>
          <w:b/>
          <w:i/>
          <w:sz w:val="20"/>
          <w:szCs w:val="20"/>
        </w:rPr>
      </w:pPr>
    </w:p>
    <w:p w14:paraId="1330BFA5"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rPr>
      </w:pPr>
      <w:r w:rsidRPr="004F610F">
        <w:rPr>
          <w:rFonts w:ascii="Times New Roman" w:hAnsi="Times New Roman"/>
          <w:sz w:val="20"/>
          <w:szCs w:val="20"/>
        </w:rPr>
        <w:t xml:space="preserve">The professional tax slabs in India are applicable to those citizens of India who are either involved in any profession or trade. The State Government of Gujarat promulgated this law to structure and formulate the respective professional tax criteria and to collect funds through professional tax. The professional tax is charged on the income of individuals, profits of business or gains in vocations. The professional tax is charged as per the List II of the Constitution. The tax payable under the State Acts by any person earning a salary or wage shall be deducted by his employer from the salary or wages payable to such person before such salary or wages is paid to him, and such employer shall, irrespective of whether such deduction has been made or not when the salary and wage is paid to such persons, be liable to pay tax on behalf of such person and employer has to obtain the registration from the assessing authority </w:t>
      </w:r>
      <w:r w:rsidRPr="004F610F">
        <w:rPr>
          <w:rFonts w:ascii="Times New Roman" w:hAnsi="Times New Roman"/>
          <w:sz w:val="20"/>
          <w:szCs w:val="20"/>
        </w:rPr>
        <w:lastRenderedPageBreak/>
        <w:t>in the prescribed manner. Every person liable to pay tax under this Act (other than a person earning salary or wages, in respect of whom the tax is payable by the employer), shall obtain a certificate of enrolment from the assessing authority.</w:t>
      </w:r>
    </w:p>
    <w:p w14:paraId="5034CADF"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rPr>
      </w:pPr>
    </w:p>
    <w:p w14:paraId="1457B41E"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rPr>
      </w:pPr>
      <w:r w:rsidRPr="004F610F">
        <w:rPr>
          <w:rFonts w:ascii="Times New Roman" w:hAnsi="Times New Roman"/>
          <w:b/>
          <w:i/>
          <w:sz w:val="20"/>
          <w:szCs w:val="20"/>
        </w:rPr>
        <w:t>Gujarat Fire Prevention and Life Safety Measures Act, 2013</w:t>
      </w:r>
      <w:r w:rsidRPr="004F610F">
        <w:rPr>
          <w:rFonts w:ascii="Times New Roman" w:hAnsi="Times New Roman"/>
          <w:sz w:val="20"/>
          <w:szCs w:val="20"/>
        </w:rPr>
        <w:cr/>
      </w:r>
    </w:p>
    <w:p w14:paraId="03A593FB"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rPr>
      </w:pPr>
      <w:r w:rsidRPr="004F610F">
        <w:rPr>
          <w:rFonts w:ascii="Times New Roman" w:hAnsi="Times New Roman"/>
          <w:sz w:val="20"/>
          <w:szCs w:val="20"/>
        </w:rPr>
        <w:t>The state legislatures have also enacted fire control and safety rules and regulations such as the Gujarat Fire Prevention and Life Safety Measures Act, 2013 and its Rules and Regulation, which is applicable to our manufacturing units. The legislation includes provisions in relation to provision of fire safety and life saving measures by occupiers of buildings, licensing provisions and penalties for non-compliance.</w:t>
      </w:r>
    </w:p>
    <w:p w14:paraId="022AB6B0"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rPr>
      </w:pPr>
    </w:p>
    <w:p w14:paraId="3BAF41C0" w14:textId="77777777" w:rsidR="00E35FCB" w:rsidRPr="004F610F" w:rsidRDefault="00E35FCB" w:rsidP="00E35FCB">
      <w:pPr>
        <w:spacing w:after="0" w:line="240" w:lineRule="auto"/>
        <w:jc w:val="both"/>
        <w:rPr>
          <w:rFonts w:ascii="Times New Roman" w:hAnsi="Times New Roman"/>
          <w:b/>
          <w:sz w:val="20"/>
          <w:szCs w:val="20"/>
        </w:rPr>
      </w:pPr>
      <w:r w:rsidRPr="004F610F">
        <w:rPr>
          <w:rFonts w:ascii="Times New Roman" w:hAnsi="Times New Roman"/>
          <w:b/>
          <w:sz w:val="20"/>
          <w:szCs w:val="20"/>
        </w:rPr>
        <w:t>LABOUR RELATED LEGISLATIONS</w:t>
      </w:r>
    </w:p>
    <w:p w14:paraId="4D7A24FD" w14:textId="77777777" w:rsidR="00E35FCB" w:rsidRPr="004F610F" w:rsidRDefault="00E35FCB" w:rsidP="00E35FCB">
      <w:pPr>
        <w:spacing w:after="0" w:line="240" w:lineRule="auto"/>
        <w:jc w:val="both"/>
        <w:rPr>
          <w:rFonts w:ascii="Times New Roman" w:hAnsi="Times New Roman"/>
          <w:sz w:val="20"/>
          <w:szCs w:val="20"/>
        </w:rPr>
      </w:pPr>
    </w:p>
    <w:p w14:paraId="61E9DE44" w14:textId="77777777" w:rsidR="00E35FCB" w:rsidRPr="004F610F" w:rsidRDefault="00E35FCB" w:rsidP="00E35FCB">
      <w:pPr>
        <w:spacing w:after="0" w:line="240" w:lineRule="auto"/>
        <w:jc w:val="both"/>
        <w:rPr>
          <w:rFonts w:ascii="Times New Roman" w:hAnsi="Times New Roman"/>
          <w:b/>
          <w:i/>
          <w:sz w:val="20"/>
          <w:szCs w:val="20"/>
        </w:rPr>
      </w:pPr>
      <w:r w:rsidRPr="004F610F">
        <w:rPr>
          <w:rFonts w:ascii="Times New Roman" w:hAnsi="Times New Roman"/>
          <w:b/>
          <w:i/>
          <w:sz w:val="20"/>
          <w:szCs w:val="20"/>
        </w:rPr>
        <w:t>Payment of Bonus Act, 1965</w:t>
      </w:r>
    </w:p>
    <w:p w14:paraId="6400C72B" w14:textId="77777777" w:rsidR="00E35FCB" w:rsidRPr="004F610F" w:rsidRDefault="00E35FCB" w:rsidP="00E35FCB">
      <w:pPr>
        <w:spacing w:after="0" w:line="240" w:lineRule="auto"/>
        <w:jc w:val="both"/>
        <w:rPr>
          <w:rFonts w:ascii="Times New Roman" w:hAnsi="Times New Roman"/>
          <w:sz w:val="20"/>
          <w:szCs w:val="20"/>
        </w:rPr>
      </w:pPr>
    </w:p>
    <w:p w14:paraId="0CE5AF1D" w14:textId="77777777" w:rsidR="00E35FCB" w:rsidRPr="004F610F" w:rsidRDefault="00E35FCB" w:rsidP="00E35FCB">
      <w:pPr>
        <w:spacing w:after="0" w:line="240" w:lineRule="auto"/>
        <w:jc w:val="both"/>
        <w:rPr>
          <w:rFonts w:ascii="Times New Roman" w:hAnsi="Times New Roman"/>
          <w:sz w:val="20"/>
          <w:szCs w:val="20"/>
        </w:rPr>
      </w:pPr>
      <w:r w:rsidRPr="004F610F">
        <w:rPr>
          <w:rFonts w:ascii="Times New Roman" w:hAnsi="Times New Roman"/>
          <w:sz w:val="20"/>
          <w:szCs w:val="20"/>
        </w:rPr>
        <w:t>The Payment of Bonus Act, 1965 imposes statutory liability upon the employers of every establishment covered under this Act to pay bonus to their employees. It further provides for payment of minimum and maximum bonus and linking the payment of bonus with the production and productivity.</w:t>
      </w:r>
    </w:p>
    <w:p w14:paraId="627BB3FD" w14:textId="77777777" w:rsidR="00E35FCB" w:rsidRPr="004F610F" w:rsidRDefault="00E35FCB" w:rsidP="00E35FCB">
      <w:pPr>
        <w:spacing w:after="0" w:line="240" w:lineRule="auto"/>
        <w:jc w:val="both"/>
        <w:rPr>
          <w:rFonts w:ascii="Times New Roman" w:hAnsi="Times New Roman"/>
          <w:b/>
          <w:sz w:val="20"/>
          <w:szCs w:val="20"/>
        </w:rPr>
      </w:pPr>
    </w:p>
    <w:p w14:paraId="3EB4E38D" w14:textId="77777777" w:rsidR="00E35FCB" w:rsidRPr="004F610F" w:rsidRDefault="00E35FCB" w:rsidP="00E35FCB">
      <w:pPr>
        <w:spacing w:after="0" w:line="240" w:lineRule="auto"/>
        <w:jc w:val="both"/>
        <w:rPr>
          <w:rFonts w:ascii="Times New Roman" w:hAnsi="Times New Roman"/>
          <w:b/>
          <w:bCs/>
          <w:i/>
          <w:sz w:val="20"/>
          <w:szCs w:val="20"/>
        </w:rPr>
      </w:pPr>
      <w:r w:rsidRPr="004F610F">
        <w:rPr>
          <w:rFonts w:ascii="Times New Roman" w:hAnsi="Times New Roman"/>
          <w:b/>
          <w:bCs/>
          <w:i/>
          <w:sz w:val="20"/>
          <w:szCs w:val="20"/>
        </w:rPr>
        <w:t>Payment of Gratuity Act, 1972</w:t>
      </w:r>
    </w:p>
    <w:p w14:paraId="3C8A6E9E" w14:textId="77777777" w:rsidR="00E35FCB" w:rsidRPr="004F610F" w:rsidRDefault="00E35FCB" w:rsidP="00E35FCB">
      <w:pPr>
        <w:spacing w:after="0" w:line="240" w:lineRule="auto"/>
        <w:jc w:val="both"/>
        <w:rPr>
          <w:rFonts w:ascii="Times New Roman" w:hAnsi="Times New Roman"/>
          <w:bCs/>
          <w:sz w:val="20"/>
          <w:szCs w:val="20"/>
        </w:rPr>
      </w:pPr>
    </w:p>
    <w:p w14:paraId="25C2676F" w14:textId="77777777" w:rsidR="00E35FCB" w:rsidRPr="004F610F" w:rsidRDefault="00E35FCB" w:rsidP="00E35FCB">
      <w:pPr>
        <w:spacing w:after="0" w:line="240" w:lineRule="auto"/>
        <w:jc w:val="both"/>
        <w:rPr>
          <w:rFonts w:ascii="Times New Roman" w:hAnsi="Times New Roman"/>
          <w:bCs/>
          <w:sz w:val="20"/>
          <w:szCs w:val="20"/>
        </w:rPr>
      </w:pPr>
      <w:r w:rsidRPr="004F610F">
        <w:rPr>
          <w:rFonts w:ascii="Times New Roman" w:hAnsi="Times New Roman"/>
          <w:bCs/>
          <w:sz w:val="20"/>
          <w:szCs w:val="20"/>
        </w:rPr>
        <w:t xml:space="preserve">The Payment of Gratuity Act, 1972 (“PG Act”) applies to every factory and shop or establishment in which ten or more employees are employed. Gratuity is payable to an employee on the termination of his employment after he has rendered continuous service for not less than 5 (five) years: </w:t>
      </w:r>
    </w:p>
    <w:p w14:paraId="2E06E478" w14:textId="77777777" w:rsidR="00E35FCB" w:rsidRPr="004F610F" w:rsidRDefault="00E35FCB" w:rsidP="00E35FCB">
      <w:pPr>
        <w:spacing w:after="0" w:line="240" w:lineRule="auto"/>
        <w:jc w:val="both"/>
        <w:rPr>
          <w:rFonts w:ascii="Times New Roman" w:hAnsi="Times New Roman"/>
          <w:bCs/>
          <w:sz w:val="20"/>
          <w:szCs w:val="20"/>
        </w:rPr>
      </w:pPr>
      <w:r w:rsidRPr="004F610F">
        <w:rPr>
          <w:rFonts w:ascii="Times New Roman" w:hAnsi="Times New Roman"/>
          <w:bCs/>
          <w:sz w:val="20"/>
          <w:szCs w:val="20"/>
        </w:rPr>
        <w:t xml:space="preserve">a) On his/her superannuation; </w:t>
      </w:r>
    </w:p>
    <w:p w14:paraId="59778C96" w14:textId="77777777" w:rsidR="00E35FCB" w:rsidRPr="004F610F" w:rsidRDefault="00E35FCB" w:rsidP="00E35FCB">
      <w:pPr>
        <w:spacing w:after="0" w:line="240" w:lineRule="auto"/>
        <w:jc w:val="both"/>
        <w:rPr>
          <w:rFonts w:ascii="Times New Roman" w:hAnsi="Times New Roman"/>
          <w:bCs/>
          <w:sz w:val="20"/>
          <w:szCs w:val="20"/>
        </w:rPr>
      </w:pPr>
      <w:r w:rsidRPr="004F610F">
        <w:rPr>
          <w:rFonts w:ascii="Times New Roman" w:hAnsi="Times New Roman"/>
          <w:bCs/>
          <w:sz w:val="20"/>
          <w:szCs w:val="20"/>
        </w:rPr>
        <w:t xml:space="preserve">b) On his/her retirement or resignation; </w:t>
      </w:r>
    </w:p>
    <w:p w14:paraId="5A592AC9" w14:textId="77777777" w:rsidR="00E35FCB" w:rsidRPr="004F610F" w:rsidRDefault="00E35FCB" w:rsidP="00E35FCB">
      <w:pPr>
        <w:spacing w:after="0" w:line="240" w:lineRule="auto"/>
        <w:jc w:val="both"/>
        <w:rPr>
          <w:rFonts w:ascii="Times New Roman" w:hAnsi="Times New Roman"/>
          <w:bCs/>
          <w:sz w:val="20"/>
          <w:szCs w:val="20"/>
        </w:rPr>
      </w:pPr>
      <w:r w:rsidRPr="004F610F">
        <w:rPr>
          <w:rFonts w:ascii="Times New Roman" w:hAnsi="Times New Roman"/>
          <w:bCs/>
          <w:sz w:val="20"/>
          <w:szCs w:val="20"/>
        </w:rPr>
        <w:t>c) On his/her death or disablement due to accident or disease (in this case the minimum requirement of 5 (five) years does not apply). Gratuity is payable to the employee at the rate of 15 (fifteen) days’ wages for every completed year of service or part thereof in excess of 6 (six) months.</w:t>
      </w:r>
    </w:p>
    <w:p w14:paraId="29CB481F" w14:textId="77777777" w:rsidR="00E35FCB" w:rsidRPr="004F610F" w:rsidRDefault="00E35FCB" w:rsidP="00E35FCB">
      <w:pPr>
        <w:spacing w:after="0" w:line="240" w:lineRule="auto"/>
        <w:jc w:val="both"/>
        <w:rPr>
          <w:rFonts w:ascii="Times New Roman" w:hAnsi="Times New Roman"/>
          <w:bCs/>
          <w:sz w:val="20"/>
          <w:szCs w:val="20"/>
        </w:rPr>
      </w:pPr>
    </w:p>
    <w:p w14:paraId="769AA4B3" w14:textId="77777777" w:rsidR="00E35FCB" w:rsidRPr="004F610F" w:rsidRDefault="00E35FCB" w:rsidP="00E35FCB">
      <w:pPr>
        <w:spacing w:after="0" w:line="240" w:lineRule="auto"/>
        <w:jc w:val="both"/>
        <w:rPr>
          <w:rFonts w:ascii="Times New Roman" w:hAnsi="Times New Roman"/>
          <w:b/>
          <w:bCs/>
          <w:i/>
          <w:sz w:val="20"/>
          <w:szCs w:val="20"/>
        </w:rPr>
      </w:pPr>
      <w:r w:rsidRPr="004F610F">
        <w:rPr>
          <w:rFonts w:ascii="Times New Roman" w:hAnsi="Times New Roman"/>
          <w:b/>
          <w:bCs/>
          <w:i/>
          <w:sz w:val="20"/>
          <w:szCs w:val="20"/>
        </w:rPr>
        <w:t>Workmen’s Compensation Act, 1923 (“WCA”)</w:t>
      </w:r>
    </w:p>
    <w:p w14:paraId="25AD6642" w14:textId="77777777" w:rsidR="00E35FCB" w:rsidRPr="004F610F" w:rsidRDefault="00E35FCB" w:rsidP="00E35FCB">
      <w:pPr>
        <w:spacing w:after="0" w:line="240" w:lineRule="auto"/>
        <w:jc w:val="both"/>
        <w:rPr>
          <w:rFonts w:ascii="Times New Roman" w:hAnsi="Times New Roman"/>
          <w:b/>
          <w:bCs/>
          <w:i/>
          <w:sz w:val="20"/>
          <w:szCs w:val="20"/>
        </w:rPr>
      </w:pPr>
    </w:p>
    <w:p w14:paraId="0838B5F1" w14:textId="77777777" w:rsidR="00E35FCB" w:rsidRPr="004F610F" w:rsidRDefault="00E35FCB" w:rsidP="00E35FCB">
      <w:pPr>
        <w:spacing w:after="0" w:line="240" w:lineRule="auto"/>
        <w:jc w:val="both"/>
        <w:rPr>
          <w:rFonts w:ascii="Times New Roman" w:hAnsi="Times New Roman"/>
          <w:sz w:val="20"/>
          <w:szCs w:val="20"/>
        </w:rPr>
      </w:pPr>
      <w:r w:rsidRPr="004F610F">
        <w:rPr>
          <w:rFonts w:ascii="Times New Roman" w:hAnsi="Times New Roman"/>
          <w:sz w:val="20"/>
          <w:szCs w:val="20"/>
        </w:rPr>
        <w:t>Workmen’s Compensation Act, 1923 has been enacted with the objective to provide for the payment of compensation to workmen by employers for injuries by accident arising out of and in the course of employment, and for occupational diseases resulting in death or disablement. The WCA makes every employer liable to pay compensation in accordance with the WCA if a personal injury/disablement/loss of life is caused to a workman (including those employed through a contractor) by accident arising out of and in the course of his employment. In case the employer fails to pay compensation due under the WCA within one month from the date it falls due, the commissioner appointed under the WCA may direct the employer to pay the compensation amount along with interest and may also impose a penalty.</w:t>
      </w:r>
    </w:p>
    <w:p w14:paraId="02A8885D" w14:textId="77777777" w:rsidR="00E35FCB" w:rsidRPr="004F610F" w:rsidRDefault="00E35FCB" w:rsidP="00E35FCB">
      <w:pPr>
        <w:spacing w:after="0" w:line="240" w:lineRule="auto"/>
        <w:jc w:val="both"/>
        <w:rPr>
          <w:rFonts w:ascii="Times New Roman" w:hAnsi="Times New Roman"/>
          <w:b/>
          <w:bCs/>
          <w:i/>
          <w:sz w:val="20"/>
          <w:szCs w:val="20"/>
        </w:rPr>
      </w:pPr>
    </w:p>
    <w:p w14:paraId="168418E7" w14:textId="77777777" w:rsidR="00E35FCB" w:rsidRPr="004F610F" w:rsidRDefault="00E35FCB" w:rsidP="00E35FCB">
      <w:pPr>
        <w:spacing w:after="0" w:line="240" w:lineRule="auto"/>
        <w:jc w:val="both"/>
        <w:rPr>
          <w:rFonts w:ascii="Times New Roman" w:hAnsi="Times New Roman"/>
          <w:b/>
          <w:bCs/>
          <w:i/>
          <w:sz w:val="20"/>
          <w:szCs w:val="20"/>
        </w:rPr>
      </w:pPr>
      <w:r w:rsidRPr="004F610F">
        <w:rPr>
          <w:rFonts w:ascii="Times New Roman" w:hAnsi="Times New Roman"/>
          <w:b/>
          <w:bCs/>
          <w:i/>
          <w:sz w:val="20"/>
          <w:szCs w:val="20"/>
        </w:rPr>
        <w:t>Maternity Benefit Act, 1961</w:t>
      </w:r>
    </w:p>
    <w:p w14:paraId="64BC037A" w14:textId="77777777" w:rsidR="00E35FCB" w:rsidRPr="004F610F" w:rsidRDefault="00E35FCB" w:rsidP="00E35FCB">
      <w:pPr>
        <w:spacing w:after="0" w:line="240" w:lineRule="auto"/>
        <w:jc w:val="both"/>
        <w:rPr>
          <w:rFonts w:ascii="Times New Roman" w:hAnsi="Times New Roman"/>
          <w:b/>
          <w:bCs/>
          <w:sz w:val="20"/>
          <w:szCs w:val="20"/>
        </w:rPr>
      </w:pPr>
    </w:p>
    <w:p w14:paraId="1BDE3A96" w14:textId="77777777" w:rsidR="00E35FCB" w:rsidRPr="004F610F" w:rsidRDefault="00E35FCB" w:rsidP="00E35FCB">
      <w:pPr>
        <w:spacing w:after="0" w:line="240" w:lineRule="auto"/>
        <w:jc w:val="both"/>
        <w:rPr>
          <w:rFonts w:ascii="Times New Roman" w:hAnsi="Times New Roman"/>
          <w:sz w:val="20"/>
          <w:szCs w:val="20"/>
        </w:rPr>
      </w:pPr>
      <w:r w:rsidRPr="004F610F">
        <w:rPr>
          <w:rFonts w:ascii="Times New Roman" w:hAnsi="Times New Roman"/>
          <w:sz w:val="20"/>
          <w:szCs w:val="20"/>
        </w:rPr>
        <w:t>The Maternity Benefit Act, 1961, as amended, regulates the employment of pregnant women and ensures that they get paid leave for a specified period during and after their pregnancy. The Maternity Benefit Act is applicable to establishments in which 10 or more employees are employed, or were employed on any day of the preceding 12 months. Under the Maternity Benefit Act, a mandatory period of leave and benefits should be granted to female employees who have worked in the establishment for a minimum period of 80 days in the preceding 12 months from the date of her expected delivery. Such benefits essentially include payment of average daily wage for the period of actual absence of the female employee. The maximum period for which any woman shall be entitled to maternity benefit shall be 12 weeks, of which not more than six weeks shall precede the date of her expected delivery. Entitlement of six weeks of paid leave is also applicable in case of miscarriage or medical termination of pregnancy.</w:t>
      </w:r>
    </w:p>
    <w:p w14:paraId="377A491C" w14:textId="77777777" w:rsidR="00E35FCB" w:rsidRPr="004F610F" w:rsidRDefault="00E35FCB" w:rsidP="00E35FCB">
      <w:pPr>
        <w:spacing w:after="0" w:line="240" w:lineRule="auto"/>
        <w:jc w:val="both"/>
        <w:rPr>
          <w:rFonts w:ascii="Times New Roman" w:hAnsi="Times New Roman"/>
          <w:bCs/>
          <w:sz w:val="20"/>
          <w:szCs w:val="20"/>
        </w:rPr>
      </w:pPr>
    </w:p>
    <w:p w14:paraId="69538EFC" w14:textId="77777777" w:rsidR="00E35FCB" w:rsidRPr="004F610F" w:rsidRDefault="00E35FCB" w:rsidP="00E35FCB">
      <w:pPr>
        <w:spacing w:after="0" w:line="240" w:lineRule="auto"/>
        <w:jc w:val="both"/>
        <w:rPr>
          <w:rFonts w:ascii="Times New Roman" w:hAnsi="Times New Roman"/>
          <w:b/>
          <w:bCs/>
          <w:i/>
          <w:sz w:val="20"/>
          <w:szCs w:val="20"/>
        </w:rPr>
      </w:pPr>
      <w:r w:rsidRPr="004F610F">
        <w:rPr>
          <w:rFonts w:ascii="Times New Roman" w:hAnsi="Times New Roman"/>
          <w:b/>
          <w:bCs/>
          <w:i/>
          <w:sz w:val="20"/>
          <w:szCs w:val="20"/>
        </w:rPr>
        <w:t>Minimum Wages Act, 1948</w:t>
      </w:r>
    </w:p>
    <w:p w14:paraId="45A15541" w14:textId="77777777" w:rsidR="00E35FCB" w:rsidRPr="004F610F" w:rsidRDefault="00E35FCB" w:rsidP="00E35FCB">
      <w:pPr>
        <w:spacing w:after="0" w:line="240" w:lineRule="auto"/>
        <w:jc w:val="both"/>
        <w:rPr>
          <w:rFonts w:ascii="Times New Roman" w:hAnsi="Times New Roman"/>
          <w:b/>
          <w:bCs/>
          <w:sz w:val="20"/>
          <w:szCs w:val="20"/>
        </w:rPr>
      </w:pPr>
    </w:p>
    <w:p w14:paraId="5950742E" w14:textId="77777777" w:rsidR="00E35FCB" w:rsidRPr="004F610F" w:rsidRDefault="00E35FCB" w:rsidP="00E35FCB">
      <w:pPr>
        <w:spacing w:after="0" w:line="240" w:lineRule="auto"/>
        <w:jc w:val="both"/>
        <w:rPr>
          <w:rFonts w:ascii="Times New Roman" w:hAnsi="Times New Roman"/>
          <w:sz w:val="20"/>
          <w:szCs w:val="20"/>
        </w:rPr>
      </w:pPr>
      <w:r w:rsidRPr="004F610F">
        <w:rPr>
          <w:rFonts w:ascii="Times New Roman" w:hAnsi="Times New Roman"/>
          <w:sz w:val="20"/>
          <w:szCs w:val="20"/>
        </w:rPr>
        <w:t>The Minimum Wages Act, 1948 came into force with an objective to provide for the fixation of a minimum wage payable by the employer to the employee. Every employer is mandated to pay the minimum wages to all employees engaged to do any work skilled, unskilled, and manual or clerical (including out-workers) in any employment listed in the schedule to this Act, in respect of which minimum rates of wages have been fixed or revised under the Act.</w:t>
      </w:r>
    </w:p>
    <w:p w14:paraId="7E85F32E" w14:textId="77777777" w:rsidR="00E35FCB" w:rsidRPr="004F610F" w:rsidRDefault="00E35FCB" w:rsidP="00E35FCB">
      <w:pPr>
        <w:spacing w:after="0" w:line="240" w:lineRule="auto"/>
        <w:jc w:val="both"/>
        <w:rPr>
          <w:rFonts w:ascii="Times New Roman" w:hAnsi="Times New Roman"/>
          <w:bCs/>
          <w:sz w:val="20"/>
          <w:szCs w:val="20"/>
        </w:rPr>
      </w:pPr>
    </w:p>
    <w:p w14:paraId="73CF302E" w14:textId="77777777" w:rsidR="00E35FCB" w:rsidRPr="004F610F" w:rsidRDefault="00E35FCB" w:rsidP="00E35FCB">
      <w:pPr>
        <w:spacing w:after="0" w:line="240" w:lineRule="auto"/>
        <w:jc w:val="both"/>
        <w:rPr>
          <w:rFonts w:ascii="Times New Roman" w:hAnsi="Times New Roman"/>
          <w:b/>
          <w:i/>
          <w:sz w:val="20"/>
          <w:szCs w:val="20"/>
        </w:rPr>
      </w:pPr>
      <w:r w:rsidRPr="004F610F">
        <w:rPr>
          <w:rFonts w:ascii="Times New Roman" w:hAnsi="Times New Roman"/>
          <w:b/>
          <w:i/>
          <w:sz w:val="20"/>
          <w:szCs w:val="20"/>
        </w:rPr>
        <w:t xml:space="preserve">Contract Labour (Regulation and Abolition) Act, 1970, as amended (the “CLRA Act”) </w:t>
      </w:r>
    </w:p>
    <w:p w14:paraId="6E785A4E" w14:textId="77777777" w:rsidR="00E35FCB" w:rsidRPr="004F610F" w:rsidRDefault="00E35FCB" w:rsidP="00E35FCB">
      <w:pPr>
        <w:spacing w:after="0" w:line="240" w:lineRule="auto"/>
        <w:jc w:val="both"/>
        <w:rPr>
          <w:rFonts w:ascii="Times New Roman" w:hAnsi="Times New Roman"/>
          <w:b/>
          <w:sz w:val="20"/>
          <w:szCs w:val="20"/>
        </w:rPr>
      </w:pPr>
    </w:p>
    <w:p w14:paraId="1A2D5D72" w14:textId="77777777" w:rsidR="00E35FCB" w:rsidRPr="00223E07" w:rsidRDefault="00E35FCB" w:rsidP="00E35FCB">
      <w:pPr>
        <w:spacing w:after="0" w:line="240" w:lineRule="auto"/>
        <w:jc w:val="both"/>
        <w:rPr>
          <w:rFonts w:ascii="Times New Roman" w:hAnsi="Times New Roman"/>
          <w:sz w:val="20"/>
          <w:szCs w:val="20"/>
        </w:rPr>
      </w:pPr>
      <w:r w:rsidRPr="004F610F">
        <w:rPr>
          <w:rFonts w:ascii="Times New Roman" w:hAnsi="Times New Roman"/>
          <w:color w:val="000000"/>
          <w:sz w:val="20"/>
          <w:szCs w:val="20"/>
          <w:lang w:eastAsia="en-IN"/>
        </w:rPr>
        <w:t xml:space="preserve">The Contract Labour (Regulation and Abolition) Act, of 1970 (the “CLRA Act”) requires a company to be registered as a principal employer and prescribes certain obligations with respect to the welfare and health of contract labourers. The CLRA vests responsibility in the principal employer of an establishment, to which the CLRA applies, to make an application to the concerned officer for registration of the concerned establishment. In the absence of such registration, contract labour cannot be employed in </w:t>
      </w:r>
      <w:r w:rsidRPr="004F610F">
        <w:rPr>
          <w:rFonts w:ascii="Times New Roman" w:hAnsi="Times New Roman"/>
          <w:color w:val="000000"/>
          <w:sz w:val="20"/>
          <w:szCs w:val="20"/>
          <w:lang w:eastAsia="en-IN"/>
        </w:rPr>
        <w:lastRenderedPageBreak/>
        <w:t>the concerned establishment. Likewise, every contractor, to whom the CLRA applies, is required to obtain a license and may not undertake or execute any work through contract labour except under and in accordance with the license issued. To ensure the welfare and health of the contract labour, the CLRA imposes certain obligations on the contractor in relation to the establishment of canteens, restrooms, drinking water, washing facilities, first aid, other facilities and payment of wages. However, in the event the contractor fails to provide these amenities, the principal employer is under an obligation to provide these facilities within a prescribed time period. Penalties, including both fines and imprisonment, may be levied for contravention of the provisions of the CLRA.</w:t>
      </w:r>
    </w:p>
    <w:p w14:paraId="5966A2AC" w14:textId="77777777" w:rsidR="00E35FCB" w:rsidRPr="004F610F" w:rsidRDefault="00E35FCB" w:rsidP="00E35FCB">
      <w:pPr>
        <w:spacing w:after="0" w:line="240" w:lineRule="auto"/>
        <w:jc w:val="both"/>
        <w:rPr>
          <w:rFonts w:ascii="Times New Roman" w:hAnsi="Times New Roman"/>
          <w:bCs/>
          <w:sz w:val="20"/>
          <w:szCs w:val="20"/>
        </w:rPr>
      </w:pPr>
    </w:p>
    <w:p w14:paraId="517B8C88" w14:textId="77777777" w:rsidR="00E35FCB" w:rsidRPr="004F610F" w:rsidRDefault="00E35FCB" w:rsidP="00E35FCB">
      <w:pPr>
        <w:spacing w:after="0" w:line="240" w:lineRule="auto"/>
        <w:jc w:val="both"/>
        <w:rPr>
          <w:rFonts w:ascii="Times New Roman" w:hAnsi="Times New Roman"/>
          <w:b/>
          <w:bCs/>
          <w:i/>
          <w:sz w:val="20"/>
          <w:szCs w:val="20"/>
        </w:rPr>
      </w:pPr>
      <w:r w:rsidRPr="004F610F">
        <w:rPr>
          <w:rFonts w:ascii="Times New Roman" w:hAnsi="Times New Roman"/>
          <w:b/>
          <w:bCs/>
          <w:i/>
          <w:sz w:val="20"/>
          <w:szCs w:val="20"/>
        </w:rPr>
        <w:t>Employees’ State Insurance Act, 1948</w:t>
      </w:r>
    </w:p>
    <w:p w14:paraId="0BCB1467" w14:textId="77777777" w:rsidR="00E35FCB" w:rsidRPr="004F610F" w:rsidRDefault="00E35FCB" w:rsidP="00E35FCB">
      <w:pPr>
        <w:spacing w:after="0" w:line="240" w:lineRule="auto"/>
        <w:jc w:val="both"/>
        <w:rPr>
          <w:rFonts w:ascii="Times New Roman" w:hAnsi="Times New Roman"/>
          <w:b/>
          <w:bCs/>
          <w:sz w:val="20"/>
          <w:szCs w:val="20"/>
        </w:rPr>
      </w:pPr>
    </w:p>
    <w:p w14:paraId="08DA627A" w14:textId="77777777" w:rsidR="00E35FCB" w:rsidRPr="004F610F" w:rsidRDefault="00E35FCB" w:rsidP="00E35FCB">
      <w:pPr>
        <w:spacing w:after="0" w:line="240" w:lineRule="auto"/>
        <w:jc w:val="both"/>
        <w:rPr>
          <w:rFonts w:ascii="Times New Roman" w:hAnsi="Times New Roman"/>
          <w:sz w:val="20"/>
          <w:szCs w:val="20"/>
        </w:rPr>
      </w:pPr>
      <w:r w:rsidRPr="004F610F">
        <w:rPr>
          <w:rFonts w:ascii="Times New Roman" w:hAnsi="Times New Roman"/>
          <w:sz w:val="20"/>
          <w:szCs w:val="20"/>
        </w:rPr>
        <w:t xml:space="preserve">It </w:t>
      </w:r>
      <w:r w:rsidRPr="004F610F">
        <w:rPr>
          <w:rFonts w:ascii="Times New Roman" w:hAnsi="Times New Roman"/>
          <w:bCs/>
          <w:sz w:val="20"/>
          <w:szCs w:val="20"/>
        </w:rPr>
        <w:t>Employees’ State Insurance Act</w:t>
      </w:r>
      <w:r w:rsidRPr="004F610F">
        <w:rPr>
          <w:rFonts w:ascii="Times New Roman" w:hAnsi="Times New Roman"/>
          <w:sz w:val="20"/>
          <w:szCs w:val="20"/>
        </w:rPr>
        <w:t xml:space="preserve"> to provide for certain benefits to employees in case of sickness, maternity and employment injury and to make provision for certain other matters in relation thereto. Whereas it is expedient to provide for certain benefits to employees in case of sickness, maternity and employment injury and to make provision for certain other matters in relation thereto; this Act requires all the employees of the establishment to which this act applies to be insured to the manner provided there under. The Employer and Employees both are required to make contribution to the fund. The return of the contribution made is required to be filed with the Employee State Insurance department.</w:t>
      </w:r>
    </w:p>
    <w:p w14:paraId="3D00987E" w14:textId="77777777" w:rsidR="00E35FCB" w:rsidRPr="004F610F" w:rsidRDefault="00E35FCB" w:rsidP="00E35FCB">
      <w:pPr>
        <w:spacing w:after="0" w:line="240" w:lineRule="auto"/>
        <w:jc w:val="both"/>
        <w:rPr>
          <w:rFonts w:ascii="Times New Roman" w:hAnsi="Times New Roman"/>
          <w:bCs/>
          <w:sz w:val="20"/>
          <w:szCs w:val="20"/>
        </w:rPr>
      </w:pPr>
    </w:p>
    <w:p w14:paraId="5AE70020" w14:textId="77777777" w:rsidR="00E35FCB" w:rsidRPr="004F610F" w:rsidRDefault="00E35FCB" w:rsidP="00E35FCB">
      <w:pPr>
        <w:spacing w:after="0" w:line="240" w:lineRule="auto"/>
        <w:jc w:val="both"/>
        <w:rPr>
          <w:rFonts w:ascii="Times New Roman" w:hAnsi="Times New Roman"/>
          <w:b/>
          <w:i/>
          <w:sz w:val="20"/>
          <w:szCs w:val="20"/>
        </w:rPr>
      </w:pPr>
      <w:r w:rsidRPr="004F610F">
        <w:rPr>
          <w:rFonts w:ascii="Times New Roman" w:hAnsi="Times New Roman"/>
          <w:b/>
          <w:i/>
          <w:sz w:val="20"/>
          <w:szCs w:val="20"/>
        </w:rPr>
        <w:t>Employees’ Provident Funds and Miscellaneous Provisions Act, 1952(“EPF Act”)</w:t>
      </w:r>
    </w:p>
    <w:p w14:paraId="6AFCAA1B" w14:textId="77777777" w:rsidR="00E35FCB" w:rsidRPr="004F610F" w:rsidRDefault="00E35FCB" w:rsidP="00E35FCB">
      <w:pPr>
        <w:spacing w:after="0" w:line="240" w:lineRule="auto"/>
        <w:jc w:val="both"/>
        <w:rPr>
          <w:rFonts w:ascii="Times New Roman" w:hAnsi="Times New Roman"/>
          <w:sz w:val="20"/>
          <w:szCs w:val="20"/>
        </w:rPr>
      </w:pPr>
    </w:p>
    <w:p w14:paraId="7A16CFE2" w14:textId="77777777" w:rsidR="00E35FCB" w:rsidRPr="004F610F" w:rsidRDefault="00E35FCB" w:rsidP="00E35FCB">
      <w:pPr>
        <w:spacing w:after="0" w:line="240" w:lineRule="auto"/>
        <w:jc w:val="both"/>
        <w:rPr>
          <w:rFonts w:ascii="Times New Roman" w:hAnsi="Times New Roman"/>
          <w:sz w:val="20"/>
          <w:szCs w:val="20"/>
        </w:rPr>
      </w:pPr>
      <w:r w:rsidRPr="004F610F">
        <w:rPr>
          <w:rFonts w:ascii="Times New Roman" w:hAnsi="Times New Roman"/>
          <w:sz w:val="20"/>
          <w:szCs w:val="20"/>
        </w:rPr>
        <w:t>The EPF Act applies to factories employing over 20 employees and such other establishments and industrial undertakings as notified by the Government of India from time to time. It requires all such establishments to be registered with the State provident fund commissioner and requires such employers and their employees to contribute in equal proportion to the employees’ provident fund the prescribed percentage of basic wages and dearness and other allowances payable to employees. The EPF Act also requires the employer to maintain registers and submit a monthly return to the State provident fund commissioner.</w:t>
      </w:r>
    </w:p>
    <w:p w14:paraId="5831F787" w14:textId="77777777" w:rsidR="00E35FCB" w:rsidRPr="004F610F" w:rsidRDefault="00E35FCB" w:rsidP="00E35FCB">
      <w:pPr>
        <w:spacing w:after="0" w:line="240" w:lineRule="auto"/>
        <w:jc w:val="both"/>
        <w:rPr>
          <w:rFonts w:ascii="Times New Roman" w:hAnsi="Times New Roman"/>
          <w:sz w:val="20"/>
          <w:szCs w:val="20"/>
        </w:rPr>
      </w:pPr>
    </w:p>
    <w:p w14:paraId="0FF1DB93" w14:textId="77777777" w:rsidR="00E35FCB" w:rsidRPr="004F610F" w:rsidRDefault="00E35FCB" w:rsidP="00E35FCB">
      <w:pPr>
        <w:spacing w:after="0" w:line="240" w:lineRule="auto"/>
        <w:jc w:val="both"/>
        <w:rPr>
          <w:rFonts w:ascii="Times New Roman" w:hAnsi="Times New Roman"/>
          <w:b/>
          <w:bCs/>
          <w:i/>
          <w:sz w:val="20"/>
          <w:szCs w:val="20"/>
        </w:rPr>
      </w:pPr>
      <w:r w:rsidRPr="004F610F">
        <w:rPr>
          <w:rFonts w:ascii="Times New Roman" w:hAnsi="Times New Roman"/>
          <w:b/>
          <w:bCs/>
          <w:i/>
          <w:sz w:val="20"/>
          <w:szCs w:val="20"/>
        </w:rPr>
        <w:t>Payment of Wages Act, 1936</w:t>
      </w:r>
    </w:p>
    <w:p w14:paraId="4C814E99" w14:textId="77777777" w:rsidR="00E35FCB" w:rsidRPr="004F610F" w:rsidRDefault="00E35FCB" w:rsidP="00E35FCB">
      <w:pPr>
        <w:spacing w:after="0" w:line="240" w:lineRule="auto"/>
        <w:jc w:val="both"/>
        <w:rPr>
          <w:rFonts w:ascii="Times New Roman" w:hAnsi="Times New Roman"/>
          <w:b/>
          <w:bCs/>
          <w:sz w:val="20"/>
          <w:szCs w:val="20"/>
        </w:rPr>
      </w:pPr>
    </w:p>
    <w:p w14:paraId="17B12644" w14:textId="2BFC4A8B" w:rsidR="00E35FCB" w:rsidRPr="004F610F" w:rsidRDefault="00E35FCB" w:rsidP="00E35FCB">
      <w:pPr>
        <w:spacing w:after="0" w:line="240" w:lineRule="auto"/>
        <w:jc w:val="both"/>
        <w:rPr>
          <w:rFonts w:ascii="Times New Roman" w:hAnsi="Times New Roman"/>
          <w:sz w:val="20"/>
          <w:szCs w:val="20"/>
        </w:rPr>
      </w:pPr>
      <w:r w:rsidRPr="004F610F">
        <w:rPr>
          <w:rFonts w:ascii="Times New Roman" w:hAnsi="Times New Roman"/>
          <w:sz w:val="20"/>
          <w:szCs w:val="20"/>
        </w:rPr>
        <w:t>The Payment of Wages Act, 1936 as amended (the Payment of Wages Act) has been enacted to regulate the payment of wages in a particular form at regular intervals without unauthorized deductions and to ensure a speedy and effective remedy to employees against illegal deductions and / or unjustified delay caused in paying wages. It applies to the persons employed in a factory, industrial or other establishment, whether directly or indirectly, through a sub-contractor and provides for the imposition of fines and deductions and lays down wage periods. The Payment of Wages Act is applicable to factories and industrial or other establishments where the monthly wages payable</w:t>
      </w:r>
      <w:r w:rsidR="001706A2">
        <w:rPr>
          <w:rFonts w:ascii="Times New Roman" w:hAnsi="Times New Roman"/>
          <w:sz w:val="20"/>
          <w:szCs w:val="20"/>
        </w:rPr>
        <w:t>s</w:t>
      </w:r>
      <w:r w:rsidRPr="004F610F">
        <w:rPr>
          <w:rFonts w:ascii="Times New Roman" w:hAnsi="Times New Roman"/>
          <w:sz w:val="20"/>
          <w:szCs w:val="20"/>
        </w:rPr>
        <w:t xml:space="preserve"> are less than </w:t>
      </w:r>
      <w:r w:rsidR="001706A2" w:rsidRPr="00712F3C">
        <w:rPr>
          <w:rFonts w:ascii="Times New Roman" w:eastAsia="MS Mincho" w:hAnsi="Times New Roman"/>
          <w:sz w:val="20"/>
          <w:szCs w:val="20"/>
        </w:rPr>
        <w:t>₹</w:t>
      </w:r>
      <w:r w:rsidRPr="004F610F">
        <w:rPr>
          <w:rFonts w:ascii="Times New Roman" w:hAnsi="Times New Roman"/>
          <w:sz w:val="20"/>
          <w:szCs w:val="20"/>
        </w:rPr>
        <w:t xml:space="preserve"> 6,500 per month.</w:t>
      </w:r>
    </w:p>
    <w:p w14:paraId="0215BAA6" w14:textId="77777777" w:rsidR="00E35FCB" w:rsidRPr="004F610F" w:rsidRDefault="00E35FCB" w:rsidP="00E35FCB">
      <w:pPr>
        <w:spacing w:after="0" w:line="240" w:lineRule="auto"/>
        <w:jc w:val="both"/>
        <w:rPr>
          <w:rFonts w:ascii="Times New Roman" w:hAnsi="Times New Roman"/>
          <w:sz w:val="20"/>
          <w:szCs w:val="20"/>
        </w:rPr>
      </w:pPr>
    </w:p>
    <w:p w14:paraId="16A631C6" w14:textId="77777777" w:rsidR="00E35FCB" w:rsidRPr="004F610F" w:rsidRDefault="00E35FCB" w:rsidP="00E35FCB">
      <w:pPr>
        <w:pStyle w:val="Default"/>
        <w:jc w:val="both"/>
        <w:rPr>
          <w:b/>
          <w:i/>
          <w:sz w:val="20"/>
          <w:szCs w:val="20"/>
        </w:rPr>
      </w:pPr>
      <w:r w:rsidRPr="004F610F">
        <w:rPr>
          <w:b/>
          <w:i/>
          <w:sz w:val="20"/>
          <w:szCs w:val="20"/>
        </w:rPr>
        <w:t>Industrial Disputes Act, 1947</w:t>
      </w:r>
    </w:p>
    <w:p w14:paraId="00D026A4" w14:textId="77777777" w:rsidR="00E35FCB" w:rsidRPr="004F610F" w:rsidRDefault="00E35FCB" w:rsidP="00E35FCB">
      <w:pPr>
        <w:pStyle w:val="Default"/>
        <w:jc w:val="both"/>
        <w:rPr>
          <w:b/>
          <w:sz w:val="20"/>
          <w:szCs w:val="20"/>
        </w:rPr>
      </w:pPr>
    </w:p>
    <w:p w14:paraId="4C67246A" w14:textId="77777777" w:rsidR="00E35FCB" w:rsidRPr="004F610F" w:rsidRDefault="00E35FCB" w:rsidP="00E35FCB">
      <w:pPr>
        <w:pStyle w:val="Default"/>
        <w:jc w:val="both"/>
        <w:rPr>
          <w:sz w:val="20"/>
          <w:szCs w:val="20"/>
        </w:rPr>
      </w:pPr>
      <w:r w:rsidRPr="004F610F">
        <w:rPr>
          <w:sz w:val="20"/>
          <w:szCs w:val="20"/>
        </w:rPr>
        <w:t>The Industrial Disputes Act, 1947 (Industrial Disputes Act) provides for mechanism and procedure to secure industrial peace and harmony by investigation and settlement of industrial disputes by negotiations. The Industrial Disputes Act extends to whole of India and applies to every industrial establishment carrying on any business, trade, manufacture or distribution of goods and services irrespective of the number of workmen employed therein. Every person employed in an establishment for hire or reward including contract labour, apprentices and part time employees to do any manual, clerical, skilled, unskilled, technical, operational or supervisory work, is covered by the Act. The Act also provides for (a) the provision for payment of compensation to the Workman on account of closure or layoff or retrenchment. (b) the procedure for prior permission of appropriate Government for laying off or retrenching the workers or closing down industrial establishments (c) restriction on unfair labour practices on part of an employer or a trade union or workers.</w:t>
      </w:r>
    </w:p>
    <w:p w14:paraId="2BECD140" w14:textId="77777777" w:rsidR="00E35FCB" w:rsidRPr="004F610F" w:rsidRDefault="00E35FCB" w:rsidP="00E35FCB">
      <w:pPr>
        <w:spacing w:after="0" w:line="240" w:lineRule="auto"/>
        <w:jc w:val="both"/>
        <w:rPr>
          <w:rFonts w:ascii="Times New Roman" w:hAnsi="Times New Roman"/>
          <w:sz w:val="20"/>
          <w:szCs w:val="20"/>
        </w:rPr>
      </w:pPr>
    </w:p>
    <w:p w14:paraId="05019AA8" w14:textId="77777777" w:rsidR="00E35FCB" w:rsidRPr="004F610F" w:rsidRDefault="00E35FCB" w:rsidP="00E35FCB">
      <w:pPr>
        <w:spacing w:after="0" w:line="240" w:lineRule="auto"/>
        <w:jc w:val="both"/>
        <w:rPr>
          <w:rFonts w:ascii="Times New Roman" w:hAnsi="Times New Roman"/>
          <w:b/>
          <w:i/>
          <w:sz w:val="20"/>
          <w:szCs w:val="20"/>
        </w:rPr>
      </w:pPr>
      <w:r w:rsidRPr="004F610F">
        <w:rPr>
          <w:rFonts w:ascii="Times New Roman" w:hAnsi="Times New Roman"/>
          <w:b/>
          <w:i/>
          <w:sz w:val="20"/>
          <w:szCs w:val="20"/>
        </w:rPr>
        <w:t>Sexual Harassment at Workplace (Prevention, Prohibition and Redressal) Act, 2013</w:t>
      </w:r>
    </w:p>
    <w:p w14:paraId="2996E10B" w14:textId="77777777" w:rsidR="00E35FCB" w:rsidRPr="004F610F" w:rsidRDefault="00E35FCB" w:rsidP="00E35FCB">
      <w:pPr>
        <w:spacing w:after="0" w:line="240" w:lineRule="auto"/>
        <w:jc w:val="both"/>
        <w:rPr>
          <w:rFonts w:ascii="Times New Roman" w:hAnsi="Times New Roman"/>
          <w:sz w:val="20"/>
          <w:szCs w:val="20"/>
        </w:rPr>
      </w:pPr>
    </w:p>
    <w:p w14:paraId="1C443DD0" w14:textId="77777777" w:rsidR="00E35FCB" w:rsidRPr="004F610F" w:rsidRDefault="00E35FCB" w:rsidP="00E35FCB">
      <w:pPr>
        <w:spacing w:after="0" w:line="240" w:lineRule="auto"/>
        <w:jc w:val="both"/>
        <w:rPr>
          <w:rFonts w:ascii="Times New Roman" w:hAnsi="Times New Roman"/>
          <w:sz w:val="20"/>
          <w:szCs w:val="20"/>
        </w:rPr>
      </w:pPr>
      <w:r w:rsidRPr="004F610F">
        <w:rPr>
          <w:rFonts w:ascii="Times New Roman" w:hAnsi="Times New Roman"/>
          <w:sz w:val="20"/>
          <w:szCs w:val="20"/>
        </w:rPr>
        <w:t>The Sexual Harassment at Workplace (Prevention, Prohibition and Redressal) Act, 2013 (SHWPPR Act) provides for protection against sexual harassment at the workplace to women and prevention and redressal of complaints of sexual harassment. The SHWPPR Act defines-Sexual Harassment to include any unwelcome sexually determined behaviour (whether directly or by implication). Workplace under the SHWPPR Act has been defined widely to include government bodies, private and public sector organizations, non-governmental organizations, organizations carrying on commercial, vocational, educational, entertainment, industrial, financial activities, hospitals and nursing homes, educational institutes, sports institutions and stadiums used for training individuals. The SHWPPR Act requires an employer to set up an Internal Complaints Committee at each office or branch, of an organization employing at least 10 employees. The Government in turn is required to set up a Local Complaint Committee at the district level to investigate complaints regarding sexual harassment from establishments where our internal complaints committee has not been constituted.</w:t>
      </w:r>
    </w:p>
    <w:p w14:paraId="01040DBD" w14:textId="77777777" w:rsidR="00E35FCB" w:rsidRPr="004F610F" w:rsidRDefault="00E35FCB" w:rsidP="00E35FCB">
      <w:pPr>
        <w:spacing w:after="0" w:line="240" w:lineRule="auto"/>
        <w:jc w:val="both"/>
        <w:rPr>
          <w:rFonts w:ascii="Times New Roman" w:hAnsi="Times New Roman"/>
          <w:b/>
          <w:bCs/>
          <w:sz w:val="20"/>
          <w:szCs w:val="20"/>
        </w:rPr>
      </w:pPr>
    </w:p>
    <w:p w14:paraId="138FAF7B" w14:textId="77777777" w:rsidR="00E35FCB" w:rsidRPr="004F610F" w:rsidRDefault="00E35FCB" w:rsidP="00E35FCB">
      <w:pPr>
        <w:spacing w:after="0" w:line="240" w:lineRule="auto"/>
        <w:jc w:val="both"/>
        <w:rPr>
          <w:rFonts w:ascii="Times New Roman" w:hAnsi="Times New Roman"/>
          <w:b/>
          <w:bCs/>
          <w:i/>
          <w:sz w:val="20"/>
          <w:szCs w:val="20"/>
        </w:rPr>
      </w:pPr>
      <w:r w:rsidRPr="004F610F">
        <w:rPr>
          <w:rFonts w:ascii="Times New Roman" w:hAnsi="Times New Roman"/>
          <w:b/>
          <w:bCs/>
          <w:i/>
          <w:sz w:val="20"/>
          <w:szCs w:val="20"/>
        </w:rPr>
        <w:t>Apprentices Act, 1961</w:t>
      </w:r>
    </w:p>
    <w:p w14:paraId="0A4BAE6C" w14:textId="77777777" w:rsidR="00E35FCB" w:rsidRPr="004F610F" w:rsidRDefault="00E35FCB" w:rsidP="00E35FCB">
      <w:pPr>
        <w:spacing w:after="0" w:line="240" w:lineRule="auto"/>
        <w:jc w:val="both"/>
        <w:rPr>
          <w:rFonts w:ascii="Times New Roman" w:hAnsi="Times New Roman"/>
          <w:b/>
          <w:bCs/>
          <w:sz w:val="20"/>
          <w:szCs w:val="20"/>
        </w:rPr>
      </w:pPr>
    </w:p>
    <w:p w14:paraId="146F0EB6" w14:textId="77777777" w:rsidR="00E35FCB" w:rsidRPr="004F610F" w:rsidRDefault="00E35FCB" w:rsidP="00E35FCB">
      <w:pPr>
        <w:spacing w:after="0" w:line="240" w:lineRule="auto"/>
        <w:jc w:val="both"/>
        <w:rPr>
          <w:rFonts w:ascii="Times New Roman" w:hAnsi="Times New Roman"/>
          <w:sz w:val="20"/>
          <w:szCs w:val="20"/>
        </w:rPr>
      </w:pPr>
      <w:r w:rsidRPr="004F610F">
        <w:rPr>
          <w:rFonts w:ascii="Times New Roman" w:hAnsi="Times New Roman"/>
          <w:sz w:val="20"/>
          <w:szCs w:val="20"/>
        </w:rPr>
        <w:t xml:space="preserve">The Apprentices Act, 1961, as amended (the Apprentices Act) regulates and controls the programme of training of apprentices and matters connected there with. The term </w:t>
      </w:r>
      <w:r w:rsidRPr="004F610F">
        <w:rPr>
          <w:rFonts w:ascii="Times New Roman" w:hAnsi="Times New Roman"/>
          <w:iCs/>
          <w:sz w:val="20"/>
          <w:szCs w:val="20"/>
        </w:rPr>
        <w:t xml:space="preserve">Apprentice </w:t>
      </w:r>
      <w:r w:rsidRPr="004F610F">
        <w:rPr>
          <w:rFonts w:ascii="Times New Roman" w:hAnsi="Times New Roman"/>
          <w:sz w:val="20"/>
          <w:szCs w:val="20"/>
        </w:rPr>
        <w:t xml:space="preserve">means a person who is undergoing apprenticeship training in pursuance of a contract of apprenticeship. </w:t>
      </w:r>
      <w:r w:rsidRPr="004F610F">
        <w:rPr>
          <w:rFonts w:ascii="Times New Roman" w:hAnsi="Times New Roman"/>
          <w:iCs/>
          <w:sz w:val="20"/>
          <w:szCs w:val="20"/>
        </w:rPr>
        <w:t xml:space="preserve">Apprenticeship Training </w:t>
      </w:r>
      <w:r w:rsidRPr="004F610F">
        <w:rPr>
          <w:rFonts w:ascii="Times New Roman" w:hAnsi="Times New Roman"/>
          <w:sz w:val="20"/>
          <w:szCs w:val="20"/>
        </w:rPr>
        <w:t xml:space="preserve">means a course of training in any industry or establishment undergone in </w:t>
      </w:r>
      <w:r w:rsidRPr="004F610F">
        <w:rPr>
          <w:rFonts w:ascii="Times New Roman" w:hAnsi="Times New Roman"/>
          <w:sz w:val="20"/>
          <w:szCs w:val="20"/>
        </w:rPr>
        <w:lastRenderedPageBreak/>
        <w:t>pursuance of a contract of apprenticeship and under prescribed terms and conditions which may be different for different categories of apprentices. Every person engaging as an apprentice is required to enter into a contract of apprenticeship with the employer which is reviewed and registered by the apprenticeship advisor.</w:t>
      </w:r>
    </w:p>
    <w:p w14:paraId="0394110F" w14:textId="77777777" w:rsidR="00E35FCB" w:rsidRDefault="00E35FCB" w:rsidP="00E35FCB">
      <w:pPr>
        <w:spacing w:after="0" w:line="240" w:lineRule="auto"/>
        <w:jc w:val="both"/>
        <w:rPr>
          <w:rFonts w:ascii="Times New Roman" w:hAnsi="Times New Roman"/>
          <w:sz w:val="20"/>
          <w:szCs w:val="20"/>
        </w:rPr>
      </w:pPr>
    </w:p>
    <w:p w14:paraId="260E0D42" w14:textId="77777777" w:rsidR="00E35FCB" w:rsidRPr="004F610F" w:rsidRDefault="00E35FCB" w:rsidP="00E35FCB">
      <w:pPr>
        <w:spacing w:after="0" w:line="240" w:lineRule="auto"/>
        <w:jc w:val="both"/>
        <w:rPr>
          <w:rFonts w:ascii="Times New Roman" w:hAnsi="Times New Roman"/>
          <w:sz w:val="20"/>
          <w:szCs w:val="20"/>
        </w:rPr>
      </w:pPr>
    </w:p>
    <w:p w14:paraId="625F195E" w14:textId="77777777" w:rsidR="00E35FCB" w:rsidRPr="004F610F" w:rsidRDefault="00E35FCB" w:rsidP="00E35FCB">
      <w:pPr>
        <w:spacing w:after="0" w:line="240" w:lineRule="auto"/>
        <w:jc w:val="both"/>
        <w:rPr>
          <w:rFonts w:ascii="Times New Roman" w:hAnsi="Times New Roman"/>
          <w:b/>
          <w:bCs/>
          <w:i/>
          <w:sz w:val="20"/>
          <w:szCs w:val="20"/>
        </w:rPr>
      </w:pPr>
      <w:r w:rsidRPr="004F610F">
        <w:rPr>
          <w:rFonts w:ascii="Times New Roman" w:hAnsi="Times New Roman"/>
          <w:b/>
          <w:bCs/>
          <w:i/>
          <w:sz w:val="20"/>
          <w:szCs w:val="20"/>
        </w:rPr>
        <w:t>Equal Remuneration Act, 1976</w:t>
      </w:r>
    </w:p>
    <w:p w14:paraId="755D1415" w14:textId="77777777" w:rsidR="00E35FCB" w:rsidRPr="004F610F" w:rsidRDefault="00E35FCB" w:rsidP="00E35FCB">
      <w:pPr>
        <w:spacing w:after="0" w:line="240" w:lineRule="auto"/>
        <w:jc w:val="both"/>
        <w:rPr>
          <w:rFonts w:ascii="Times New Roman" w:hAnsi="Times New Roman"/>
          <w:b/>
          <w:bCs/>
          <w:sz w:val="20"/>
          <w:szCs w:val="20"/>
        </w:rPr>
      </w:pPr>
    </w:p>
    <w:p w14:paraId="0ED86590" w14:textId="77777777" w:rsidR="00E35FCB" w:rsidRPr="004F610F" w:rsidRDefault="00E35FCB" w:rsidP="00E35FCB">
      <w:pPr>
        <w:spacing w:after="0" w:line="240" w:lineRule="auto"/>
        <w:jc w:val="both"/>
        <w:rPr>
          <w:rFonts w:ascii="Times New Roman" w:hAnsi="Times New Roman"/>
          <w:sz w:val="20"/>
          <w:szCs w:val="20"/>
        </w:rPr>
      </w:pPr>
      <w:r w:rsidRPr="004F610F">
        <w:rPr>
          <w:rFonts w:ascii="Times New Roman" w:hAnsi="Times New Roman"/>
          <w:sz w:val="20"/>
          <w:szCs w:val="20"/>
        </w:rPr>
        <w:t>The Equal Remuneration Act, 1976, as amended (ER Act) provides for the payment of equal remuneration to men and women workers for same or similar nature of work and prevention of discrimination, on the ground of sex, against women in the matter of employment and for matters connected therewith or incidental thereto. Under the ER Act, no discrimination is permissible in recruitment and service conditions, except where employment of women is prohibited or restricted by law. It also provides that every employer should maintain such registers and other documents in relation to the workers employed by him/ her in the prescribed manner.</w:t>
      </w:r>
    </w:p>
    <w:p w14:paraId="1EBD0993" w14:textId="77777777" w:rsidR="00E35FCB" w:rsidRPr="004F610F" w:rsidRDefault="00E35FCB" w:rsidP="00E35FCB">
      <w:pPr>
        <w:spacing w:after="0" w:line="240" w:lineRule="auto"/>
        <w:jc w:val="both"/>
        <w:rPr>
          <w:rFonts w:ascii="Times New Roman" w:hAnsi="Times New Roman"/>
          <w:sz w:val="20"/>
          <w:szCs w:val="20"/>
        </w:rPr>
      </w:pPr>
    </w:p>
    <w:p w14:paraId="55251216" w14:textId="77777777" w:rsidR="00E35FCB" w:rsidRPr="004F610F" w:rsidRDefault="00E35FCB" w:rsidP="00E35FCB">
      <w:pPr>
        <w:pStyle w:val="Default"/>
        <w:jc w:val="both"/>
        <w:rPr>
          <w:b/>
          <w:i/>
          <w:sz w:val="20"/>
          <w:szCs w:val="20"/>
        </w:rPr>
      </w:pPr>
      <w:r w:rsidRPr="004F610F">
        <w:rPr>
          <w:b/>
          <w:i/>
          <w:sz w:val="20"/>
          <w:szCs w:val="20"/>
        </w:rPr>
        <w:t>Inter-State Migrant Workmen (Regulation of Employment and Conditions of Service) Act, 1979</w:t>
      </w:r>
    </w:p>
    <w:p w14:paraId="0A33ACFD" w14:textId="77777777" w:rsidR="00E35FCB" w:rsidRPr="004F610F" w:rsidRDefault="00E35FCB" w:rsidP="00E35FCB">
      <w:pPr>
        <w:pStyle w:val="Default"/>
        <w:jc w:val="both"/>
        <w:rPr>
          <w:sz w:val="20"/>
          <w:szCs w:val="20"/>
        </w:rPr>
      </w:pPr>
    </w:p>
    <w:p w14:paraId="7B8014F6" w14:textId="3C1450BF" w:rsidR="00E35FCB" w:rsidRPr="004F610F" w:rsidRDefault="00E35FCB" w:rsidP="00E35FCB">
      <w:pPr>
        <w:spacing w:after="0" w:line="240" w:lineRule="auto"/>
        <w:jc w:val="both"/>
        <w:rPr>
          <w:rFonts w:ascii="Times New Roman" w:hAnsi="Times New Roman"/>
          <w:sz w:val="20"/>
          <w:szCs w:val="20"/>
        </w:rPr>
      </w:pPr>
      <w:r w:rsidRPr="004F610F">
        <w:rPr>
          <w:rFonts w:ascii="Times New Roman" w:hAnsi="Times New Roman"/>
          <w:sz w:val="20"/>
          <w:szCs w:val="20"/>
        </w:rPr>
        <w:t xml:space="preserve">Inter-State Migrant Workmen Act is an act enacted by the Parliament of India to regulate the employment of inter-state migrant workmen and to provide for their conditions of service. This Act is applicable to every establishment and contractor who has employed five or more inter-state of Pass-Book to every inter-state migrant workman with full details, payment of displacement allowance equivalent to 50% of monthly wages of </w:t>
      </w:r>
      <w:r w:rsidR="001706A2" w:rsidRPr="00712F3C">
        <w:rPr>
          <w:rFonts w:ascii="Times New Roman" w:eastAsia="MS Mincho" w:hAnsi="Times New Roman"/>
          <w:sz w:val="20"/>
          <w:szCs w:val="20"/>
        </w:rPr>
        <w:t>₹</w:t>
      </w:r>
      <w:r w:rsidRPr="004F610F">
        <w:rPr>
          <w:rFonts w:ascii="Times New Roman" w:hAnsi="Times New Roman"/>
          <w:sz w:val="20"/>
          <w:szCs w:val="20"/>
        </w:rPr>
        <w:t xml:space="preserve"> 75/-, whichever is higher, payment of journey allowance including payment of wage during the period of the journey, suitable residential accommodation, medical facilities and protective clothing, payment of wages, equal pay for equal work irrespective of sex, etc. The main responsibility for the enforcement of the provisions of the Inter-State Migrant Workmen Act lies with the Central Government and the State Governments/Union Territories in the establishments falling in the Central and State sphere, respectively.</w:t>
      </w:r>
    </w:p>
    <w:p w14:paraId="7BB12443" w14:textId="77777777" w:rsidR="00E35FCB" w:rsidRPr="004F610F" w:rsidRDefault="00E35FCB" w:rsidP="00E35FCB">
      <w:pPr>
        <w:spacing w:after="0" w:line="240" w:lineRule="auto"/>
        <w:jc w:val="both"/>
        <w:rPr>
          <w:rFonts w:ascii="Times New Roman" w:hAnsi="Times New Roman"/>
          <w:sz w:val="20"/>
          <w:szCs w:val="20"/>
        </w:rPr>
      </w:pPr>
    </w:p>
    <w:p w14:paraId="55C92B21" w14:textId="77777777" w:rsidR="00E35FCB" w:rsidRPr="004F610F" w:rsidRDefault="00E35FCB" w:rsidP="00E35FCB">
      <w:pPr>
        <w:spacing w:after="0" w:line="240" w:lineRule="auto"/>
        <w:jc w:val="both"/>
        <w:rPr>
          <w:rFonts w:ascii="Times New Roman" w:hAnsi="Times New Roman"/>
          <w:b/>
          <w:i/>
          <w:sz w:val="20"/>
          <w:szCs w:val="20"/>
        </w:rPr>
      </w:pPr>
      <w:r w:rsidRPr="004F610F">
        <w:rPr>
          <w:rFonts w:ascii="Times New Roman" w:hAnsi="Times New Roman"/>
          <w:b/>
          <w:i/>
          <w:sz w:val="20"/>
          <w:szCs w:val="20"/>
        </w:rPr>
        <w:t xml:space="preserve">Industrial Employment Standing Orders Act, 1946 </w:t>
      </w:r>
    </w:p>
    <w:p w14:paraId="21887685" w14:textId="77777777" w:rsidR="00E35FCB" w:rsidRPr="004F610F" w:rsidRDefault="00E35FCB" w:rsidP="00E35FCB">
      <w:pPr>
        <w:spacing w:after="0" w:line="240" w:lineRule="auto"/>
        <w:jc w:val="both"/>
        <w:rPr>
          <w:rFonts w:ascii="Times New Roman" w:hAnsi="Times New Roman"/>
          <w:i/>
          <w:sz w:val="20"/>
          <w:szCs w:val="20"/>
        </w:rPr>
      </w:pPr>
    </w:p>
    <w:p w14:paraId="0B378484" w14:textId="77777777" w:rsidR="00E35FCB" w:rsidRPr="004F610F" w:rsidRDefault="00E35FCB" w:rsidP="00E35FCB">
      <w:pPr>
        <w:spacing w:after="0" w:line="240" w:lineRule="auto"/>
        <w:jc w:val="both"/>
        <w:rPr>
          <w:rFonts w:ascii="Times New Roman" w:hAnsi="Times New Roman"/>
          <w:sz w:val="20"/>
          <w:szCs w:val="20"/>
        </w:rPr>
      </w:pPr>
      <w:r w:rsidRPr="004F610F">
        <w:rPr>
          <w:rFonts w:ascii="Times New Roman" w:hAnsi="Times New Roman"/>
          <w:sz w:val="20"/>
          <w:szCs w:val="20"/>
        </w:rPr>
        <w:t>The Industrial Employment Standing Orders Act, 1946 aims to provide for the fixation of minimum rates of wages, hours of work, holidays with pay and leave with pay in factories, workshops and other establishments or undertakings which employ ten or more workers.</w:t>
      </w:r>
    </w:p>
    <w:p w14:paraId="6BE37845" w14:textId="77777777" w:rsidR="00E35FCB" w:rsidRPr="004F610F" w:rsidRDefault="00E35FCB" w:rsidP="00E35FCB">
      <w:pPr>
        <w:spacing w:after="0" w:line="240" w:lineRule="auto"/>
        <w:jc w:val="both"/>
        <w:rPr>
          <w:rFonts w:ascii="Times New Roman" w:hAnsi="Times New Roman"/>
          <w:sz w:val="20"/>
          <w:szCs w:val="20"/>
        </w:rPr>
      </w:pPr>
      <w:r w:rsidRPr="004F610F">
        <w:rPr>
          <w:rFonts w:ascii="Times New Roman" w:hAnsi="Times New Roman"/>
          <w:sz w:val="20"/>
          <w:szCs w:val="20"/>
        </w:rPr>
        <w:t>It also provides for the regulation of facilities like medical aid and welfare schemes to be extended by employers to their employees. It was enacted to monitor and regulate the terms and conditions of industrial employment in India. It made provisions for the security of employment and payment of wages by cash or through cheque etc. The Act also provides for machinery for adjudicating disputes regarding violation of such terms and conditions. A Standing Order is a document setting out terms and conditions of employment for workers in an industry.</w:t>
      </w:r>
    </w:p>
    <w:p w14:paraId="1089D160" w14:textId="77777777" w:rsidR="00E35FCB" w:rsidRPr="004F610F" w:rsidRDefault="00E35FCB" w:rsidP="00E35FCB">
      <w:pPr>
        <w:spacing w:after="0" w:line="240" w:lineRule="auto"/>
        <w:jc w:val="both"/>
        <w:rPr>
          <w:rFonts w:ascii="Times New Roman" w:hAnsi="Times New Roman"/>
          <w:sz w:val="20"/>
          <w:szCs w:val="20"/>
        </w:rPr>
      </w:pPr>
    </w:p>
    <w:p w14:paraId="12320F58" w14:textId="77777777" w:rsidR="00E35FCB" w:rsidRPr="004F610F" w:rsidRDefault="00E35FCB" w:rsidP="00E35FCB">
      <w:pPr>
        <w:spacing w:after="0" w:line="240" w:lineRule="auto"/>
        <w:jc w:val="both"/>
        <w:rPr>
          <w:rFonts w:ascii="Times New Roman" w:hAnsi="Times New Roman"/>
          <w:b/>
          <w:bCs/>
          <w:i/>
          <w:sz w:val="20"/>
          <w:szCs w:val="20"/>
        </w:rPr>
      </w:pPr>
      <w:r w:rsidRPr="004F610F">
        <w:rPr>
          <w:rFonts w:ascii="Times New Roman" w:hAnsi="Times New Roman"/>
          <w:b/>
          <w:bCs/>
          <w:i/>
          <w:sz w:val="20"/>
          <w:szCs w:val="20"/>
        </w:rPr>
        <w:t>Child Labour (Prohibition and Regulation) Act, 1986</w:t>
      </w:r>
    </w:p>
    <w:p w14:paraId="258350AD" w14:textId="77777777" w:rsidR="00E35FCB" w:rsidRPr="004F610F" w:rsidRDefault="00E35FCB" w:rsidP="00E35FCB">
      <w:pPr>
        <w:spacing w:after="0" w:line="240" w:lineRule="auto"/>
        <w:jc w:val="both"/>
        <w:rPr>
          <w:rFonts w:ascii="Times New Roman" w:hAnsi="Times New Roman"/>
          <w:b/>
          <w:bCs/>
          <w:sz w:val="20"/>
          <w:szCs w:val="20"/>
        </w:rPr>
      </w:pPr>
    </w:p>
    <w:p w14:paraId="39BACF0B" w14:textId="77777777" w:rsidR="00E35FCB" w:rsidRPr="004F610F" w:rsidRDefault="00E35FCB" w:rsidP="00E35FCB">
      <w:pPr>
        <w:spacing w:after="0" w:line="240" w:lineRule="auto"/>
        <w:jc w:val="both"/>
        <w:rPr>
          <w:rFonts w:ascii="Times New Roman" w:hAnsi="Times New Roman"/>
          <w:sz w:val="20"/>
          <w:szCs w:val="20"/>
        </w:rPr>
      </w:pPr>
      <w:r w:rsidRPr="004F610F">
        <w:rPr>
          <w:rFonts w:ascii="Times New Roman" w:hAnsi="Times New Roman"/>
          <w:sz w:val="20"/>
          <w:szCs w:val="20"/>
        </w:rPr>
        <w:t>This statute prohibits employment of children below 14 years of age in certain occupations and processes and provides for regulation of employment of children in all other occupations and processes. Under this Act the employment of child labour in the building and construction industry is prohibited.</w:t>
      </w:r>
    </w:p>
    <w:p w14:paraId="4EA5BCCD" w14:textId="77777777" w:rsidR="00E35FCB" w:rsidRPr="004F610F" w:rsidRDefault="00E35FCB" w:rsidP="00E35FCB">
      <w:pPr>
        <w:spacing w:after="0" w:line="240" w:lineRule="auto"/>
        <w:jc w:val="both"/>
        <w:rPr>
          <w:rFonts w:ascii="Times New Roman" w:hAnsi="Times New Roman"/>
          <w:b/>
          <w:bCs/>
          <w:sz w:val="20"/>
          <w:szCs w:val="20"/>
          <w:lang w:bidi="en-US"/>
        </w:rPr>
      </w:pPr>
    </w:p>
    <w:p w14:paraId="4748DC37" w14:textId="77777777" w:rsidR="00E35FCB" w:rsidRPr="004F610F" w:rsidRDefault="00E35FCB" w:rsidP="00E35FCB">
      <w:pPr>
        <w:autoSpaceDE w:val="0"/>
        <w:autoSpaceDN w:val="0"/>
        <w:adjustRightInd w:val="0"/>
        <w:spacing w:after="0" w:line="240" w:lineRule="auto"/>
        <w:jc w:val="both"/>
        <w:rPr>
          <w:rFonts w:ascii="Times New Roman" w:hAnsi="Times New Roman"/>
          <w:b/>
          <w:i/>
          <w:iCs/>
          <w:sz w:val="20"/>
          <w:szCs w:val="20"/>
          <w:lang w:val="en-GB"/>
        </w:rPr>
      </w:pPr>
      <w:r w:rsidRPr="004F610F">
        <w:rPr>
          <w:rFonts w:ascii="Times New Roman" w:hAnsi="Times New Roman"/>
          <w:b/>
          <w:i/>
          <w:iCs/>
          <w:sz w:val="20"/>
          <w:szCs w:val="20"/>
          <w:lang w:val="en-GB"/>
        </w:rPr>
        <w:t>Trade Union Act, 1926 and Trade Union (Amendment) Act, 2001</w:t>
      </w:r>
    </w:p>
    <w:p w14:paraId="5134F85B" w14:textId="77777777" w:rsidR="00E35FCB" w:rsidRPr="004F610F" w:rsidRDefault="00E35FCB" w:rsidP="00E35FCB">
      <w:pPr>
        <w:autoSpaceDE w:val="0"/>
        <w:autoSpaceDN w:val="0"/>
        <w:adjustRightInd w:val="0"/>
        <w:spacing w:after="0" w:line="240" w:lineRule="auto"/>
        <w:jc w:val="both"/>
        <w:rPr>
          <w:rFonts w:ascii="Times New Roman" w:hAnsi="Times New Roman"/>
          <w:b/>
          <w:iCs/>
          <w:sz w:val="20"/>
          <w:szCs w:val="20"/>
          <w:u w:val="single"/>
          <w:lang w:val="en-GB"/>
        </w:rPr>
      </w:pPr>
    </w:p>
    <w:p w14:paraId="782894BF"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lang w:val="en-GB"/>
        </w:rPr>
      </w:pPr>
      <w:r w:rsidRPr="004F610F">
        <w:rPr>
          <w:rFonts w:ascii="Times New Roman" w:hAnsi="Times New Roman"/>
          <w:sz w:val="20"/>
          <w:szCs w:val="20"/>
          <w:lang w:val="en-GB"/>
        </w:rPr>
        <w:t>Provisions of the Trade Union Act, 1926 provides that any dispute between employers and workmen or between workmen and workmen, or between employers and employers which is connected with the employment, or non- employment, or the terms of employment or the conditions of labour, of any person shall be treated as trade dispute. For every trade dispute a trade union has to be formed. For the purpose of Trade Union Act, 1926, Trade Union means combination, whether temporary or permanent, formed primarily for the purpose of regulating the relations between workmen and employers or between workmen and workmen, or between employers and employers, or for imposing restrictive condition on the conduct of any trade or business etc.</w:t>
      </w:r>
    </w:p>
    <w:p w14:paraId="47DF4D7C"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lang w:val="en-GB"/>
        </w:rPr>
      </w:pPr>
    </w:p>
    <w:p w14:paraId="5CAC6FAD" w14:textId="77777777" w:rsidR="00E35FCB" w:rsidRPr="004F610F" w:rsidRDefault="00E35FCB" w:rsidP="00E35FCB">
      <w:pPr>
        <w:autoSpaceDE w:val="0"/>
        <w:autoSpaceDN w:val="0"/>
        <w:adjustRightInd w:val="0"/>
        <w:spacing w:after="0" w:line="240" w:lineRule="auto"/>
        <w:jc w:val="both"/>
        <w:rPr>
          <w:rFonts w:ascii="Times New Roman" w:hAnsi="Times New Roman"/>
          <w:b/>
          <w:i/>
          <w:iCs/>
          <w:sz w:val="20"/>
          <w:szCs w:val="20"/>
          <w:lang w:val="en-GB"/>
        </w:rPr>
      </w:pPr>
      <w:r w:rsidRPr="004F610F">
        <w:rPr>
          <w:rFonts w:ascii="Times New Roman" w:hAnsi="Times New Roman"/>
          <w:b/>
          <w:i/>
          <w:iCs/>
          <w:sz w:val="20"/>
          <w:szCs w:val="20"/>
          <w:lang w:val="en-GB"/>
        </w:rPr>
        <w:t>The Code on Social Security, 2020</w:t>
      </w:r>
    </w:p>
    <w:p w14:paraId="5E4533AF"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lang w:val="en-GB"/>
        </w:rPr>
      </w:pPr>
    </w:p>
    <w:p w14:paraId="1FDCB9BC"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lang w:val="en-GB"/>
        </w:rPr>
      </w:pPr>
      <w:r w:rsidRPr="004F610F">
        <w:rPr>
          <w:rFonts w:ascii="Times New Roman" w:hAnsi="Times New Roman"/>
          <w:sz w:val="20"/>
          <w:szCs w:val="20"/>
          <w:lang w:val="en-GB"/>
        </w:rPr>
        <w:t>The  Code  on Social  Security, 2020 received the  assent of the  President of India  on September 28, 2020 and it proposes to subsume certain  existing  legislations  including  the  Employee’s  Compensation  Act,  1923,  the  Employees’  State  Insurance  Act,  1948,  the Employees’ Provident Funds and Miscellaneous Provisions Act, 1952, the Maternity Benefit Act, 1961, the Payment of Gratuity Act, 1972, the Building and Other Construction Workers’ Welfare Cess Act, 1996 and the Unorganised Workers’ Social Security Act, 2008. The provisions of this code will be brought into force on a date to be notified by the Central Government.</w:t>
      </w:r>
    </w:p>
    <w:p w14:paraId="71CE301E"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lang w:val="en-GB"/>
        </w:rPr>
      </w:pPr>
    </w:p>
    <w:p w14:paraId="0E18F267"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lang w:val="en-GB"/>
        </w:rPr>
      </w:pPr>
      <w:r w:rsidRPr="004F610F">
        <w:rPr>
          <w:rFonts w:ascii="Times New Roman" w:hAnsi="Times New Roman"/>
          <w:sz w:val="20"/>
          <w:szCs w:val="20"/>
          <w:lang w:val="en-GB"/>
        </w:rPr>
        <w:t>In addition to above, we are subject to wide variety of generally applicable labour laws concerning condition of working, benefit and welfare of our labourers and employees such as the Sexual Harassment of Women at Workplace (Prevention, Prohibition and Redressal) Act, 2013 and the Employees (Provident Fund and Miscellaneous Provision) Act, 1952.</w:t>
      </w:r>
    </w:p>
    <w:p w14:paraId="6E180480"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lang w:val="en-GB"/>
        </w:rPr>
      </w:pPr>
    </w:p>
    <w:p w14:paraId="2A718D59" w14:textId="77777777" w:rsidR="00E35FCB" w:rsidRPr="004F610F" w:rsidRDefault="00E35FCB" w:rsidP="00E35FCB">
      <w:pPr>
        <w:spacing w:after="0" w:line="240" w:lineRule="auto"/>
        <w:jc w:val="both"/>
        <w:rPr>
          <w:rFonts w:ascii="Times New Roman" w:hAnsi="Times New Roman"/>
          <w:sz w:val="20"/>
          <w:szCs w:val="20"/>
        </w:rPr>
      </w:pPr>
      <w:r w:rsidRPr="004F610F">
        <w:rPr>
          <w:rFonts w:ascii="Times New Roman" w:hAnsi="Times New Roman"/>
          <w:b/>
          <w:bCs/>
          <w:sz w:val="20"/>
          <w:szCs w:val="20"/>
        </w:rPr>
        <w:lastRenderedPageBreak/>
        <w:t>TAX RELATED LEGISLATIONS</w:t>
      </w:r>
    </w:p>
    <w:p w14:paraId="61486A12" w14:textId="77777777" w:rsidR="00E35FCB" w:rsidRPr="004F610F" w:rsidRDefault="00E35FCB" w:rsidP="00E35FCB">
      <w:pPr>
        <w:spacing w:after="0" w:line="240" w:lineRule="auto"/>
        <w:jc w:val="both"/>
        <w:rPr>
          <w:rFonts w:ascii="Times New Roman" w:hAnsi="Times New Roman"/>
          <w:b/>
          <w:bCs/>
          <w:sz w:val="20"/>
          <w:szCs w:val="20"/>
        </w:rPr>
      </w:pPr>
    </w:p>
    <w:p w14:paraId="321A0D1B" w14:textId="77777777" w:rsidR="00E35FCB" w:rsidRPr="004F610F" w:rsidRDefault="00E35FCB" w:rsidP="00E35FCB">
      <w:pPr>
        <w:spacing w:after="0" w:line="240" w:lineRule="auto"/>
        <w:jc w:val="both"/>
        <w:rPr>
          <w:rFonts w:ascii="Times New Roman" w:hAnsi="Times New Roman"/>
          <w:b/>
          <w:bCs/>
          <w:i/>
          <w:sz w:val="20"/>
          <w:szCs w:val="20"/>
        </w:rPr>
      </w:pPr>
      <w:r w:rsidRPr="004F610F">
        <w:rPr>
          <w:rFonts w:ascii="Times New Roman" w:hAnsi="Times New Roman"/>
          <w:b/>
          <w:bCs/>
          <w:i/>
          <w:sz w:val="20"/>
          <w:szCs w:val="20"/>
        </w:rPr>
        <w:t>Income Tax Act, 1961</w:t>
      </w:r>
    </w:p>
    <w:p w14:paraId="2C75931C" w14:textId="77777777" w:rsidR="00E35FCB" w:rsidRPr="004F610F" w:rsidRDefault="00E35FCB" w:rsidP="00E35FCB">
      <w:pPr>
        <w:spacing w:after="0" w:line="240" w:lineRule="auto"/>
        <w:jc w:val="both"/>
        <w:rPr>
          <w:rFonts w:ascii="Times New Roman" w:hAnsi="Times New Roman"/>
          <w:b/>
          <w:bCs/>
          <w:sz w:val="20"/>
          <w:szCs w:val="20"/>
        </w:rPr>
      </w:pPr>
    </w:p>
    <w:p w14:paraId="35996BE5" w14:textId="77777777" w:rsidR="00E35FCB" w:rsidRPr="004F610F" w:rsidRDefault="00E35FCB" w:rsidP="00E35FCB">
      <w:pPr>
        <w:spacing w:after="0" w:line="240" w:lineRule="auto"/>
        <w:jc w:val="both"/>
        <w:rPr>
          <w:rFonts w:ascii="Times New Roman" w:hAnsi="Times New Roman"/>
          <w:sz w:val="20"/>
          <w:szCs w:val="20"/>
        </w:rPr>
      </w:pPr>
      <w:r w:rsidRPr="004F610F">
        <w:rPr>
          <w:rFonts w:ascii="Times New Roman" w:hAnsi="Times New Roman"/>
          <w:sz w:val="20"/>
          <w:szCs w:val="20"/>
        </w:rPr>
        <w:t>Income Tax Act, 1961 is applicable to every Domestic / Foreign Company whose income is taxable under the provisions of this Act or Rules made under it depending upon its Residential Status and-Type of Income involved. U/s 139(1) every Company is required to file its Income tax return for every Previous Year by 30th September of the Assessment Year. Other compliances like those relating to Tax Deduction at Source, Fringe Benefit Tax, Advance Tax, and Minimum Alternative Tax like are also required to be complied by every Company.</w:t>
      </w:r>
    </w:p>
    <w:p w14:paraId="59CCF80C" w14:textId="77777777" w:rsidR="00E35FCB" w:rsidRPr="004F610F" w:rsidRDefault="00E35FCB" w:rsidP="00E35FCB">
      <w:pPr>
        <w:spacing w:after="0" w:line="240" w:lineRule="auto"/>
        <w:jc w:val="both"/>
        <w:rPr>
          <w:rFonts w:ascii="Times New Roman" w:hAnsi="Times New Roman"/>
          <w:sz w:val="20"/>
          <w:szCs w:val="20"/>
        </w:rPr>
      </w:pPr>
    </w:p>
    <w:p w14:paraId="2754C59E" w14:textId="77777777" w:rsidR="00E35FCB" w:rsidRPr="004F610F" w:rsidRDefault="00E35FCB" w:rsidP="00E35FCB">
      <w:pPr>
        <w:spacing w:after="0" w:line="240" w:lineRule="auto"/>
        <w:jc w:val="both"/>
        <w:rPr>
          <w:rFonts w:ascii="Times New Roman" w:hAnsi="Times New Roman"/>
          <w:b/>
          <w:bCs/>
          <w:i/>
          <w:sz w:val="20"/>
          <w:szCs w:val="20"/>
        </w:rPr>
      </w:pPr>
      <w:r w:rsidRPr="004F610F">
        <w:rPr>
          <w:rFonts w:ascii="Times New Roman" w:hAnsi="Times New Roman"/>
          <w:b/>
          <w:bCs/>
          <w:i/>
          <w:sz w:val="20"/>
          <w:szCs w:val="20"/>
        </w:rPr>
        <w:t>Goods and Service Tax (GST)</w:t>
      </w:r>
    </w:p>
    <w:p w14:paraId="7A2E0F65" w14:textId="77777777" w:rsidR="00E35FCB" w:rsidRPr="004F610F" w:rsidRDefault="00E35FCB" w:rsidP="00E35FCB">
      <w:pPr>
        <w:spacing w:after="0" w:line="240" w:lineRule="auto"/>
        <w:jc w:val="both"/>
        <w:rPr>
          <w:rFonts w:ascii="Times New Roman" w:hAnsi="Times New Roman"/>
          <w:b/>
          <w:bCs/>
          <w:sz w:val="20"/>
          <w:szCs w:val="20"/>
        </w:rPr>
      </w:pPr>
    </w:p>
    <w:p w14:paraId="54117D17" w14:textId="599B87E5" w:rsidR="00E35FCB" w:rsidRPr="004F610F" w:rsidRDefault="00E35FCB" w:rsidP="00E35FCB">
      <w:pPr>
        <w:spacing w:after="0" w:line="240" w:lineRule="auto"/>
        <w:jc w:val="both"/>
        <w:rPr>
          <w:rFonts w:ascii="Times New Roman" w:hAnsi="Times New Roman"/>
          <w:sz w:val="20"/>
          <w:szCs w:val="20"/>
        </w:rPr>
      </w:pPr>
      <w:r w:rsidRPr="004F610F">
        <w:rPr>
          <w:rFonts w:ascii="Times New Roman" w:hAnsi="Times New Roman"/>
          <w:sz w:val="20"/>
          <w:szCs w:val="20"/>
        </w:rPr>
        <w:t xml:space="preserve">Goods and Services Tax (GST) is levied on supply of goods or services or both jointly by the Central and State Governments. It was introduced as The Constitution (One Hundred and First Amendment) Act 2017 and is governed by the GST Council. GST provides for imposition of tax on the supply of goods or services and will be levied by central on intra-state supply of goods or services and by the States including Union territories with legislature/ Union Territories without legislature respectively. A destination-based consumption tax GST would be a dual GST with the central and states simultaneously levying tax with a common base. The GST law is enforced by various acts viz. Central Goods and Services Act, 2017 (CGST), State Goods and Services Tax Act, 2017 (SGST), Union Territory Goods and Services Tax Act, 2017 (UTGST), Integrated Goods and Services Tax Act, 2017 (IGST) and Goods and Services Tax (Compensation to States) Act, 2017 and various rules made thereunder. </w:t>
      </w:r>
    </w:p>
    <w:p w14:paraId="3DF8CEAC" w14:textId="77777777" w:rsidR="00E35FCB" w:rsidRPr="004F610F" w:rsidRDefault="00E35FCB" w:rsidP="00E35FCB">
      <w:pPr>
        <w:spacing w:after="0" w:line="240" w:lineRule="auto"/>
        <w:jc w:val="both"/>
        <w:rPr>
          <w:rFonts w:ascii="Times New Roman" w:hAnsi="Times New Roman"/>
          <w:sz w:val="20"/>
          <w:szCs w:val="20"/>
        </w:rPr>
      </w:pPr>
    </w:p>
    <w:p w14:paraId="0D1D64DE" w14:textId="61A2AADA" w:rsidR="00E35FCB" w:rsidRPr="004F610F" w:rsidRDefault="00E35FCB" w:rsidP="00E35FCB">
      <w:pPr>
        <w:spacing w:after="0" w:line="240" w:lineRule="auto"/>
        <w:jc w:val="both"/>
        <w:rPr>
          <w:rFonts w:ascii="Times New Roman" w:hAnsi="Times New Roman"/>
          <w:sz w:val="20"/>
          <w:szCs w:val="20"/>
        </w:rPr>
      </w:pPr>
      <w:r w:rsidRPr="004F610F">
        <w:rPr>
          <w:rFonts w:ascii="Times New Roman" w:hAnsi="Times New Roman"/>
          <w:sz w:val="20"/>
          <w:szCs w:val="20"/>
        </w:rPr>
        <w:t>Every person liable to take registration under these Acts shall do so within a period of 30 days from the date on which he becomes liable to registration. The Central/State authority shall issue the registration certificate upon receipt of application. The Certificate shall contain fifteen-digit registration numbers known as Goods and Service Tax Identification Number (GSTIN). In case a person has multiple business verticals in multiple locations in a state, a separate application will be made for registration of each and every location. The registered assesse is then required to pay GST as per the rules applicable thereon and file the appropriate returns as applicable thereon. GST has replaced following indirect taxes and duties at the central and state levels.</w:t>
      </w:r>
    </w:p>
    <w:p w14:paraId="3BB35DF5" w14:textId="77777777" w:rsidR="00E35FCB" w:rsidRPr="004F610F" w:rsidRDefault="00E35FCB" w:rsidP="00E35FCB">
      <w:pPr>
        <w:spacing w:after="0" w:line="240" w:lineRule="auto"/>
        <w:jc w:val="both"/>
        <w:rPr>
          <w:rFonts w:ascii="Times New Roman" w:hAnsi="Times New Roman"/>
          <w:sz w:val="20"/>
          <w:szCs w:val="20"/>
        </w:rPr>
      </w:pPr>
    </w:p>
    <w:p w14:paraId="6B285A84" w14:textId="77777777" w:rsidR="00E35FCB" w:rsidRPr="004F610F" w:rsidRDefault="00E35FCB" w:rsidP="00E35FCB">
      <w:pPr>
        <w:autoSpaceDE w:val="0"/>
        <w:autoSpaceDN w:val="0"/>
        <w:adjustRightInd w:val="0"/>
        <w:spacing w:after="0" w:line="240" w:lineRule="auto"/>
        <w:jc w:val="both"/>
        <w:rPr>
          <w:rFonts w:ascii="Times New Roman" w:hAnsi="Times New Roman"/>
          <w:b/>
          <w:bCs/>
          <w:i/>
          <w:sz w:val="20"/>
          <w:szCs w:val="20"/>
        </w:rPr>
      </w:pPr>
      <w:r w:rsidRPr="004F610F">
        <w:rPr>
          <w:rFonts w:ascii="Times New Roman" w:hAnsi="Times New Roman"/>
          <w:b/>
          <w:bCs/>
          <w:i/>
          <w:sz w:val="20"/>
          <w:szCs w:val="20"/>
        </w:rPr>
        <w:t>Central Excise Act, 1944</w:t>
      </w:r>
    </w:p>
    <w:p w14:paraId="062563FB" w14:textId="77777777" w:rsidR="00E35FCB" w:rsidRPr="004F610F" w:rsidRDefault="00E35FCB" w:rsidP="00E35FCB">
      <w:pPr>
        <w:autoSpaceDE w:val="0"/>
        <w:autoSpaceDN w:val="0"/>
        <w:adjustRightInd w:val="0"/>
        <w:spacing w:after="0" w:line="240" w:lineRule="auto"/>
        <w:jc w:val="both"/>
        <w:rPr>
          <w:rFonts w:ascii="Times New Roman" w:hAnsi="Times New Roman"/>
          <w:b/>
          <w:bCs/>
          <w:sz w:val="20"/>
          <w:szCs w:val="20"/>
        </w:rPr>
      </w:pPr>
    </w:p>
    <w:p w14:paraId="6379488E"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rPr>
      </w:pPr>
      <w:r w:rsidRPr="004F610F">
        <w:rPr>
          <w:rFonts w:ascii="Times New Roman" w:hAnsi="Times New Roman"/>
          <w:sz w:val="20"/>
          <w:szCs w:val="20"/>
        </w:rPr>
        <w:t>Excise duty is levied on production of goods but the liability of excise duty arises only on removal of goods from the place of storage, i.e., factory or warehouse. Unless specifically exempted, excise duty is levied even if the duty was paid on the raw material used in production.</w:t>
      </w:r>
    </w:p>
    <w:p w14:paraId="3EE16E84" w14:textId="77777777" w:rsidR="00E35FCB" w:rsidRPr="004F610F" w:rsidRDefault="00E35FCB" w:rsidP="00E35FCB">
      <w:pPr>
        <w:autoSpaceDE w:val="0"/>
        <w:autoSpaceDN w:val="0"/>
        <w:adjustRightInd w:val="0"/>
        <w:spacing w:after="0" w:line="240" w:lineRule="auto"/>
        <w:jc w:val="both"/>
        <w:rPr>
          <w:rFonts w:ascii="Times New Roman" w:hAnsi="Times New Roman"/>
          <w:b/>
          <w:bCs/>
          <w:sz w:val="20"/>
          <w:szCs w:val="20"/>
        </w:rPr>
      </w:pPr>
    </w:p>
    <w:p w14:paraId="69598C40" w14:textId="77777777" w:rsidR="00E35FCB" w:rsidRPr="004F610F" w:rsidRDefault="00E35FCB" w:rsidP="00E35FCB">
      <w:pPr>
        <w:autoSpaceDE w:val="0"/>
        <w:autoSpaceDN w:val="0"/>
        <w:adjustRightInd w:val="0"/>
        <w:spacing w:after="0" w:line="240" w:lineRule="auto"/>
        <w:jc w:val="both"/>
        <w:rPr>
          <w:rFonts w:ascii="Times New Roman" w:hAnsi="Times New Roman"/>
          <w:b/>
          <w:bCs/>
          <w:i/>
          <w:sz w:val="20"/>
          <w:szCs w:val="20"/>
        </w:rPr>
      </w:pPr>
      <w:r w:rsidRPr="004F610F">
        <w:rPr>
          <w:rFonts w:ascii="Times New Roman" w:hAnsi="Times New Roman"/>
          <w:b/>
          <w:bCs/>
          <w:i/>
          <w:sz w:val="20"/>
          <w:szCs w:val="20"/>
        </w:rPr>
        <w:t>Customs Regulations</w:t>
      </w:r>
    </w:p>
    <w:p w14:paraId="2B666C56" w14:textId="77777777" w:rsidR="00E35FCB" w:rsidRPr="004F610F" w:rsidRDefault="00E35FCB" w:rsidP="00E35FCB">
      <w:pPr>
        <w:autoSpaceDE w:val="0"/>
        <w:autoSpaceDN w:val="0"/>
        <w:adjustRightInd w:val="0"/>
        <w:spacing w:after="0" w:line="240" w:lineRule="auto"/>
        <w:jc w:val="both"/>
        <w:rPr>
          <w:rFonts w:ascii="Times New Roman" w:hAnsi="Times New Roman"/>
          <w:b/>
          <w:bCs/>
          <w:sz w:val="20"/>
          <w:szCs w:val="20"/>
        </w:rPr>
      </w:pPr>
    </w:p>
    <w:p w14:paraId="1356E71A"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rPr>
      </w:pPr>
      <w:r w:rsidRPr="004F610F">
        <w:rPr>
          <w:rFonts w:ascii="Times New Roman" w:hAnsi="Times New Roman"/>
          <w:sz w:val="20"/>
          <w:szCs w:val="20"/>
        </w:rPr>
        <w:t>All imports into India are subject to duties under the Customs Act, 1962 at the rates specified under the Customs Tariff Act, 1975. However, the Indian Government has the power to exempt certain specified goods from excise duty by notification.</w:t>
      </w:r>
    </w:p>
    <w:p w14:paraId="07EC8B58"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rPr>
      </w:pPr>
    </w:p>
    <w:p w14:paraId="18AA599B" w14:textId="77777777" w:rsidR="00E35FCB" w:rsidRPr="004F610F" w:rsidRDefault="00E35FCB" w:rsidP="00E35FCB">
      <w:pPr>
        <w:spacing w:after="0" w:line="240" w:lineRule="auto"/>
        <w:jc w:val="both"/>
        <w:rPr>
          <w:rFonts w:ascii="Times New Roman" w:hAnsi="Times New Roman"/>
          <w:b/>
          <w:sz w:val="20"/>
          <w:szCs w:val="20"/>
        </w:rPr>
      </w:pPr>
      <w:r w:rsidRPr="004F610F">
        <w:rPr>
          <w:rFonts w:ascii="Times New Roman" w:hAnsi="Times New Roman"/>
          <w:b/>
          <w:sz w:val="20"/>
          <w:szCs w:val="20"/>
        </w:rPr>
        <w:t>ENVIRONMENTAL LAWS AND REGULATIONS</w:t>
      </w:r>
    </w:p>
    <w:p w14:paraId="5A3C5058" w14:textId="77777777" w:rsidR="00E35FCB" w:rsidRPr="004F610F" w:rsidRDefault="00E35FCB" w:rsidP="00E35FCB">
      <w:pPr>
        <w:spacing w:after="0" w:line="240" w:lineRule="auto"/>
        <w:jc w:val="both"/>
        <w:rPr>
          <w:rFonts w:ascii="Times New Roman" w:hAnsi="Times New Roman"/>
          <w:sz w:val="20"/>
          <w:szCs w:val="20"/>
        </w:rPr>
      </w:pPr>
    </w:p>
    <w:p w14:paraId="56E33348" w14:textId="77777777" w:rsidR="00E35FCB" w:rsidRPr="004F610F" w:rsidRDefault="00E35FCB" w:rsidP="00E35FCB">
      <w:pPr>
        <w:spacing w:after="0" w:line="240" w:lineRule="auto"/>
        <w:jc w:val="both"/>
        <w:rPr>
          <w:rFonts w:ascii="Times New Roman" w:hAnsi="Times New Roman"/>
          <w:b/>
          <w:i/>
          <w:sz w:val="20"/>
          <w:szCs w:val="20"/>
        </w:rPr>
      </w:pPr>
      <w:r w:rsidRPr="004F610F">
        <w:rPr>
          <w:rFonts w:ascii="Times New Roman" w:hAnsi="Times New Roman"/>
          <w:b/>
          <w:i/>
          <w:sz w:val="20"/>
          <w:szCs w:val="20"/>
        </w:rPr>
        <w:t>Environmental Regulations</w:t>
      </w:r>
    </w:p>
    <w:p w14:paraId="65333FE6" w14:textId="77777777" w:rsidR="00E35FCB" w:rsidRPr="004F610F" w:rsidRDefault="00E35FCB" w:rsidP="00E35FCB">
      <w:pPr>
        <w:spacing w:after="0" w:line="240" w:lineRule="auto"/>
        <w:jc w:val="both"/>
        <w:rPr>
          <w:rFonts w:ascii="Times New Roman" w:hAnsi="Times New Roman"/>
          <w:b/>
          <w:i/>
          <w:sz w:val="20"/>
          <w:szCs w:val="20"/>
        </w:rPr>
      </w:pPr>
    </w:p>
    <w:p w14:paraId="7A274639" w14:textId="77777777" w:rsidR="00E35FCB" w:rsidRPr="004F610F" w:rsidRDefault="00E35FCB" w:rsidP="00E35FCB">
      <w:pPr>
        <w:spacing w:after="0" w:line="240" w:lineRule="auto"/>
        <w:jc w:val="both"/>
        <w:rPr>
          <w:rFonts w:ascii="Times New Roman" w:hAnsi="Times New Roman"/>
          <w:sz w:val="20"/>
          <w:szCs w:val="20"/>
        </w:rPr>
      </w:pPr>
      <w:r w:rsidRPr="004F610F">
        <w:rPr>
          <w:rFonts w:ascii="Times New Roman" w:hAnsi="Times New Roman"/>
          <w:sz w:val="20"/>
          <w:szCs w:val="20"/>
        </w:rPr>
        <w:t xml:space="preserve">The </w:t>
      </w:r>
      <w:r w:rsidRPr="004F610F">
        <w:rPr>
          <w:rFonts w:ascii="Times New Roman" w:hAnsi="Times New Roman"/>
          <w:b/>
          <w:sz w:val="20"/>
          <w:szCs w:val="20"/>
        </w:rPr>
        <w:t>Environmental Protection Act, 1986 (“Environment Protection Act”)</w:t>
      </w:r>
      <w:r w:rsidRPr="004F610F">
        <w:rPr>
          <w:rFonts w:ascii="Times New Roman" w:hAnsi="Times New Roman"/>
          <w:sz w:val="20"/>
          <w:szCs w:val="20"/>
        </w:rPr>
        <w:t xml:space="preserve">, </w:t>
      </w:r>
      <w:r w:rsidRPr="004F610F">
        <w:rPr>
          <w:rFonts w:ascii="Times New Roman" w:hAnsi="Times New Roman"/>
          <w:b/>
          <w:sz w:val="20"/>
          <w:szCs w:val="20"/>
        </w:rPr>
        <w:t>Water (Prevention and Control of Pollution) Act, 1974 (“Water Act”)</w:t>
      </w:r>
      <w:r w:rsidRPr="004F610F">
        <w:rPr>
          <w:rFonts w:ascii="Times New Roman" w:hAnsi="Times New Roman"/>
          <w:sz w:val="20"/>
          <w:szCs w:val="20"/>
        </w:rPr>
        <w:t xml:space="preserve"> and the </w:t>
      </w:r>
      <w:r w:rsidRPr="004F610F">
        <w:rPr>
          <w:rFonts w:ascii="Times New Roman" w:hAnsi="Times New Roman"/>
          <w:b/>
          <w:sz w:val="20"/>
          <w:szCs w:val="20"/>
        </w:rPr>
        <w:t>Air (Prevention and Control of Pollution) Act, 1981 (“Air Act”)</w:t>
      </w:r>
      <w:r w:rsidRPr="004F610F">
        <w:rPr>
          <w:rFonts w:ascii="Times New Roman" w:hAnsi="Times New Roman"/>
          <w:sz w:val="20"/>
          <w:szCs w:val="20"/>
        </w:rPr>
        <w:t xml:space="preserve"> provide for the prevention, control and abatement of pollution. Pollution Control Boards (“PCBs”) have been constituted in all the States in India to exercise the authority provided under these statutes for the purpose of preventing and controlling pollution. Companies are required to obtain approvals of the relevant State PCBs for emissions and discharge of effluents into the environment. </w:t>
      </w:r>
      <w:r w:rsidRPr="004F610F">
        <w:rPr>
          <w:rFonts w:ascii="Times New Roman" w:hAnsi="Times New Roman"/>
          <w:b/>
          <w:sz w:val="20"/>
          <w:szCs w:val="20"/>
        </w:rPr>
        <w:t>The Hazardous Wastes (Management, Handling and Transboundary Movement) Rules, 2008(“Hazardous Waste Rules”)</w:t>
      </w:r>
      <w:r w:rsidRPr="004F610F">
        <w:rPr>
          <w:rFonts w:ascii="Times New Roman" w:hAnsi="Times New Roman"/>
          <w:sz w:val="20"/>
          <w:szCs w:val="20"/>
        </w:rPr>
        <w:t xml:space="preserve"> impose an obligation on every occupier and operator of a facility generating hazardous waste to dispose of such hazardous wastes properly including proper collection, treatment, storage and disposal. Every occupier and operator of the facility generating hazardous waste is required to obtain an approval from the PCB for collecting, storing and treating the hazardous waste.</w:t>
      </w:r>
    </w:p>
    <w:p w14:paraId="4FBDF995" w14:textId="77777777" w:rsidR="00E35FCB" w:rsidRPr="004F610F" w:rsidRDefault="00E35FCB" w:rsidP="00E35FCB">
      <w:pPr>
        <w:spacing w:after="0" w:line="240" w:lineRule="auto"/>
        <w:jc w:val="both"/>
        <w:rPr>
          <w:rFonts w:ascii="Times New Roman" w:hAnsi="Times New Roman"/>
          <w:sz w:val="20"/>
          <w:szCs w:val="20"/>
        </w:rPr>
      </w:pPr>
    </w:p>
    <w:p w14:paraId="461CB327" w14:textId="77777777" w:rsidR="00E35FCB" w:rsidRPr="004F610F" w:rsidRDefault="00E35FCB" w:rsidP="00E35FCB">
      <w:pPr>
        <w:spacing w:after="0" w:line="240" w:lineRule="auto"/>
        <w:jc w:val="both"/>
        <w:rPr>
          <w:rFonts w:ascii="Times New Roman" w:hAnsi="Times New Roman"/>
          <w:b/>
          <w:bCs/>
          <w:i/>
          <w:sz w:val="20"/>
          <w:szCs w:val="20"/>
        </w:rPr>
      </w:pPr>
      <w:r w:rsidRPr="004F610F">
        <w:rPr>
          <w:rFonts w:ascii="Times New Roman" w:hAnsi="Times New Roman"/>
          <w:b/>
          <w:bCs/>
          <w:i/>
          <w:sz w:val="20"/>
          <w:szCs w:val="20"/>
        </w:rPr>
        <w:t>The Noise Pollution (Regulation and Control) Rules, 2000</w:t>
      </w:r>
    </w:p>
    <w:p w14:paraId="5611B9D5" w14:textId="77777777" w:rsidR="00E35FCB" w:rsidRPr="004F610F" w:rsidRDefault="00E35FCB" w:rsidP="00E35FCB">
      <w:pPr>
        <w:spacing w:after="0" w:line="240" w:lineRule="auto"/>
        <w:jc w:val="both"/>
        <w:rPr>
          <w:rFonts w:ascii="Times New Roman" w:hAnsi="Times New Roman"/>
          <w:sz w:val="20"/>
          <w:szCs w:val="20"/>
        </w:rPr>
      </w:pPr>
    </w:p>
    <w:p w14:paraId="0112F1FB" w14:textId="77777777" w:rsidR="00E35FCB" w:rsidRPr="004F610F" w:rsidRDefault="00E35FCB" w:rsidP="00E35FCB">
      <w:pPr>
        <w:spacing w:after="0" w:line="240" w:lineRule="auto"/>
        <w:jc w:val="both"/>
        <w:rPr>
          <w:rFonts w:ascii="Times New Roman" w:hAnsi="Times New Roman"/>
          <w:sz w:val="20"/>
          <w:szCs w:val="20"/>
        </w:rPr>
      </w:pPr>
      <w:r w:rsidRPr="004F610F">
        <w:rPr>
          <w:rFonts w:ascii="Times New Roman" w:hAnsi="Times New Roman"/>
          <w:sz w:val="20"/>
          <w:szCs w:val="20"/>
        </w:rPr>
        <w:t>These Noise Pollution (Regulation and Control) Rules, 2000 (“Noise Pollution Rules”) were constituted to regulate and control noise producing and generating sources with the objective of maintaining the ambient air quality standards in respect of noise and were considered necessary as increasing ambient noise levels in public places from various sources, inter-alia, industrial activity, construction activity, (fire crackers, sound producing instruments), generator sets, loud speakers, public address systems, music systems, vehicular horns and other mechanical devices have deleterious effects on human health and psychological well-being of the people. The Noise Pollution Rules provide ambient air quality criteria with respect of noise for different areas/zones.</w:t>
      </w:r>
    </w:p>
    <w:p w14:paraId="4ED9D63E" w14:textId="77777777" w:rsidR="00E35FCB" w:rsidRPr="004F610F" w:rsidRDefault="00E35FCB" w:rsidP="00E35FCB">
      <w:pPr>
        <w:spacing w:after="0" w:line="240" w:lineRule="auto"/>
        <w:jc w:val="both"/>
        <w:rPr>
          <w:rFonts w:ascii="Times New Roman" w:hAnsi="Times New Roman"/>
          <w:sz w:val="20"/>
          <w:szCs w:val="20"/>
        </w:rPr>
      </w:pPr>
    </w:p>
    <w:p w14:paraId="15FCDAE0" w14:textId="77777777" w:rsidR="00E35FCB" w:rsidRPr="004F610F" w:rsidRDefault="00E35FCB" w:rsidP="00E35FCB">
      <w:pPr>
        <w:spacing w:after="0" w:line="240" w:lineRule="auto"/>
        <w:jc w:val="both"/>
        <w:rPr>
          <w:rFonts w:ascii="Times New Roman" w:hAnsi="Times New Roman"/>
          <w:b/>
          <w:bCs/>
          <w:i/>
          <w:sz w:val="20"/>
          <w:szCs w:val="20"/>
        </w:rPr>
      </w:pPr>
      <w:r w:rsidRPr="004F610F">
        <w:rPr>
          <w:rFonts w:ascii="Times New Roman" w:hAnsi="Times New Roman"/>
          <w:b/>
          <w:bCs/>
          <w:i/>
          <w:sz w:val="20"/>
          <w:szCs w:val="20"/>
        </w:rPr>
        <w:t>National Environmental Policy, 2006</w:t>
      </w:r>
    </w:p>
    <w:p w14:paraId="206573DB" w14:textId="77777777" w:rsidR="00E35FCB" w:rsidRPr="004F610F" w:rsidRDefault="00E35FCB" w:rsidP="00E35FCB">
      <w:pPr>
        <w:spacing w:after="0" w:line="240" w:lineRule="auto"/>
        <w:jc w:val="both"/>
        <w:rPr>
          <w:rFonts w:ascii="Times New Roman" w:hAnsi="Times New Roman"/>
          <w:b/>
          <w:bCs/>
          <w:sz w:val="20"/>
          <w:szCs w:val="20"/>
        </w:rPr>
      </w:pPr>
    </w:p>
    <w:p w14:paraId="6F1A600A" w14:textId="77777777" w:rsidR="00E35FCB" w:rsidRPr="004F610F" w:rsidRDefault="00E35FCB" w:rsidP="00E35FCB">
      <w:pPr>
        <w:spacing w:after="0" w:line="240" w:lineRule="auto"/>
        <w:jc w:val="both"/>
        <w:rPr>
          <w:rFonts w:ascii="Times New Roman" w:hAnsi="Times New Roman"/>
          <w:sz w:val="20"/>
          <w:szCs w:val="20"/>
        </w:rPr>
      </w:pPr>
      <w:r w:rsidRPr="004F610F">
        <w:rPr>
          <w:rFonts w:ascii="Times New Roman" w:hAnsi="Times New Roman"/>
          <w:sz w:val="20"/>
          <w:szCs w:val="20"/>
        </w:rPr>
        <w:t>This Policy seeks to extend the coverage, and fill in gaps that still exist, in light of present knowledge and accumulated experience. This policy was prepared through an intensive process of consultation within the Government and inputs from experts. It does not displace, but builds on the earlier policies. It is a statement of India's commitment to making a positive contribution to international efforts. This is a response to our national commitment to a clean environment, mandated in the Constitution in Articles 48 A and 51 A (g), strengthened by judicial interpretation of Article 21. The dominant theme of this policy is that while conservation of environmental resources is necessary to secure livelihoods and well-being of all, the most secure basis for conservation is to ensure that people dependent on particular resources obtain better livelihoods from the fact of conservation, than from degradation of the resource. Following are the objectives of the National Environmental Policy:</w:t>
      </w:r>
    </w:p>
    <w:p w14:paraId="61E34469" w14:textId="77777777" w:rsidR="00E35FCB" w:rsidRPr="004F610F" w:rsidRDefault="00E35FCB" w:rsidP="00E35FCB">
      <w:pPr>
        <w:spacing w:after="0" w:line="240" w:lineRule="auto"/>
        <w:jc w:val="both"/>
        <w:rPr>
          <w:rFonts w:ascii="Times New Roman" w:hAnsi="Times New Roman"/>
          <w:sz w:val="20"/>
          <w:szCs w:val="20"/>
        </w:rPr>
      </w:pPr>
    </w:p>
    <w:p w14:paraId="66C455D2" w14:textId="77777777" w:rsidR="00E35FCB" w:rsidRPr="004F610F" w:rsidRDefault="00E35FCB">
      <w:pPr>
        <w:pStyle w:val="ListParagraph"/>
        <w:numPr>
          <w:ilvl w:val="0"/>
          <w:numId w:val="320"/>
        </w:numPr>
        <w:suppressAutoHyphens w:val="0"/>
        <w:autoSpaceDE/>
        <w:autoSpaceDN/>
        <w:adjustRightInd/>
        <w:spacing w:line="240" w:lineRule="auto"/>
        <w:ind w:left="450"/>
        <w:contextualSpacing/>
        <w:jc w:val="both"/>
        <w:textAlignment w:val="auto"/>
        <w:rPr>
          <w:sz w:val="20"/>
          <w:szCs w:val="20"/>
        </w:rPr>
      </w:pPr>
      <w:r w:rsidRPr="004F610F">
        <w:rPr>
          <w:sz w:val="20"/>
          <w:szCs w:val="20"/>
        </w:rPr>
        <w:t>Conservation of Critical Environmental Resources</w:t>
      </w:r>
    </w:p>
    <w:p w14:paraId="151D45CA" w14:textId="77777777" w:rsidR="00E35FCB" w:rsidRPr="004F610F" w:rsidRDefault="00E35FCB">
      <w:pPr>
        <w:pStyle w:val="ListParagraph"/>
        <w:numPr>
          <w:ilvl w:val="0"/>
          <w:numId w:val="320"/>
        </w:numPr>
        <w:suppressAutoHyphens w:val="0"/>
        <w:autoSpaceDE/>
        <w:autoSpaceDN/>
        <w:adjustRightInd/>
        <w:spacing w:line="240" w:lineRule="auto"/>
        <w:ind w:left="450"/>
        <w:contextualSpacing/>
        <w:jc w:val="both"/>
        <w:textAlignment w:val="auto"/>
        <w:rPr>
          <w:sz w:val="20"/>
          <w:szCs w:val="20"/>
        </w:rPr>
      </w:pPr>
      <w:r w:rsidRPr="004F610F">
        <w:rPr>
          <w:sz w:val="20"/>
          <w:szCs w:val="20"/>
        </w:rPr>
        <w:t>Intra-generational Equity: Livelihood Security for the Poor</w:t>
      </w:r>
    </w:p>
    <w:p w14:paraId="1F0B0A76" w14:textId="77777777" w:rsidR="00E35FCB" w:rsidRPr="004F610F" w:rsidRDefault="00E35FCB">
      <w:pPr>
        <w:pStyle w:val="ListParagraph"/>
        <w:numPr>
          <w:ilvl w:val="0"/>
          <w:numId w:val="320"/>
        </w:numPr>
        <w:suppressAutoHyphens w:val="0"/>
        <w:autoSpaceDE/>
        <w:autoSpaceDN/>
        <w:adjustRightInd/>
        <w:spacing w:line="240" w:lineRule="auto"/>
        <w:ind w:left="450"/>
        <w:contextualSpacing/>
        <w:jc w:val="both"/>
        <w:textAlignment w:val="auto"/>
        <w:rPr>
          <w:sz w:val="20"/>
          <w:szCs w:val="20"/>
        </w:rPr>
      </w:pPr>
      <w:r w:rsidRPr="004F610F">
        <w:rPr>
          <w:sz w:val="20"/>
          <w:szCs w:val="20"/>
        </w:rPr>
        <w:t>Inter-generational Equity</w:t>
      </w:r>
    </w:p>
    <w:p w14:paraId="059D0D90" w14:textId="77777777" w:rsidR="00E35FCB" w:rsidRPr="004F610F" w:rsidRDefault="00E35FCB">
      <w:pPr>
        <w:pStyle w:val="ListParagraph"/>
        <w:numPr>
          <w:ilvl w:val="0"/>
          <w:numId w:val="320"/>
        </w:numPr>
        <w:suppressAutoHyphens w:val="0"/>
        <w:autoSpaceDE/>
        <w:autoSpaceDN/>
        <w:adjustRightInd/>
        <w:spacing w:line="240" w:lineRule="auto"/>
        <w:ind w:left="450"/>
        <w:contextualSpacing/>
        <w:jc w:val="both"/>
        <w:textAlignment w:val="auto"/>
        <w:rPr>
          <w:sz w:val="20"/>
          <w:szCs w:val="20"/>
        </w:rPr>
      </w:pPr>
      <w:r w:rsidRPr="004F610F">
        <w:rPr>
          <w:sz w:val="20"/>
          <w:szCs w:val="20"/>
        </w:rPr>
        <w:t>Integration of Environmental Concerns in Economic and Social Development</w:t>
      </w:r>
    </w:p>
    <w:p w14:paraId="751E05BB" w14:textId="77777777" w:rsidR="00E35FCB" w:rsidRPr="004F610F" w:rsidRDefault="00E35FCB">
      <w:pPr>
        <w:pStyle w:val="ListParagraph"/>
        <w:numPr>
          <w:ilvl w:val="0"/>
          <w:numId w:val="320"/>
        </w:numPr>
        <w:suppressAutoHyphens w:val="0"/>
        <w:autoSpaceDE/>
        <w:autoSpaceDN/>
        <w:adjustRightInd/>
        <w:spacing w:line="240" w:lineRule="auto"/>
        <w:ind w:left="450"/>
        <w:contextualSpacing/>
        <w:jc w:val="both"/>
        <w:textAlignment w:val="auto"/>
        <w:rPr>
          <w:sz w:val="20"/>
          <w:szCs w:val="20"/>
        </w:rPr>
      </w:pPr>
      <w:r w:rsidRPr="004F610F">
        <w:rPr>
          <w:sz w:val="20"/>
          <w:szCs w:val="20"/>
        </w:rPr>
        <w:t>Efficiency in Environmental Resource Use</w:t>
      </w:r>
    </w:p>
    <w:p w14:paraId="1BCECE86" w14:textId="77777777" w:rsidR="00E35FCB" w:rsidRPr="004F610F" w:rsidRDefault="00E35FCB">
      <w:pPr>
        <w:pStyle w:val="ListParagraph"/>
        <w:numPr>
          <w:ilvl w:val="0"/>
          <w:numId w:val="320"/>
        </w:numPr>
        <w:suppressAutoHyphens w:val="0"/>
        <w:autoSpaceDE/>
        <w:autoSpaceDN/>
        <w:adjustRightInd/>
        <w:spacing w:line="240" w:lineRule="auto"/>
        <w:ind w:left="450"/>
        <w:contextualSpacing/>
        <w:jc w:val="both"/>
        <w:textAlignment w:val="auto"/>
        <w:rPr>
          <w:sz w:val="20"/>
          <w:szCs w:val="20"/>
        </w:rPr>
      </w:pPr>
      <w:r w:rsidRPr="004F610F">
        <w:rPr>
          <w:sz w:val="20"/>
          <w:szCs w:val="20"/>
        </w:rPr>
        <w:t>Environmental Governance</w:t>
      </w:r>
    </w:p>
    <w:p w14:paraId="67D59A42" w14:textId="77777777" w:rsidR="00E35FCB" w:rsidRPr="004F610F" w:rsidRDefault="00E35FCB">
      <w:pPr>
        <w:pStyle w:val="ListParagraph"/>
        <w:numPr>
          <w:ilvl w:val="0"/>
          <w:numId w:val="320"/>
        </w:numPr>
        <w:suppressAutoHyphens w:val="0"/>
        <w:autoSpaceDE/>
        <w:autoSpaceDN/>
        <w:adjustRightInd/>
        <w:spacing w:line="240" w:lineRule="auto"/>
        <w:ind w:left="450"/>
        <w:contextualSpacing/>
        <w:jc w:val="both"/>
        <w:textAlignment w:val="auto"/>
        <w:rPr>
          <w:sz w:val="20"/>
          <w:szCs w:val="20"/>
        </w:rPr>
      </w:pPr>
      <w:r w:rsidRPr="004F610F">
        <w:rPr>
          <w:sz w:val="20"/>
          <w:szCs w:val="20"/>
        </w:rPr>
        <w:t>Enhancement of resources for Environmental Conservation</w:t>
      </w:r>
    </w:p>
    <w:p w14:paraId="088BBCEF" w14:textId="77777777" w:rsidR="00E35FCB" w:rsidRPr="004F610F" w:rsidRDefault="00E35FCB" w:rsidP="00E35FCB">
      <w:pPr>
        <w:spacing w:after="0" w:line="240" w:lineRule="auto"/>
        <w:jc w:val="both"/>
        <w:rPr>
          <w:rFonts w:ascii="Times New Roman" w:hAnsi="Times New Roman"/>
          <w:sz w:val="20"/>
          <w:szCs w:val="20"/>
        </w:rPr>
      </w:pPr>
    </w:p>
    <w:p w14:paraId="506047D6" w14:textId="77777777" w:rsidR="00E35FCB" w:rsidRPr="004F610F" w:rsidRDefault="00E35FCB" w:rsidP="00E35FCB">
      <w:pPr>
        <w:autoSpaceDE w:val="0"/>
        <w:autoSpaceDN w:val="0"/>
        <w:adjustRightInd w:val="0"/>
        <w:spacing w:after="0" w:line="240" w:lineRule="auto"/>
        <w:jc w:val="both"/>
        <w:rPr>
          <w:rFonts w:ascii="Times New Roman" w:hAnsi="Times New Roman"/>
          <w:b/>
          <w:bCs/>
          <w:sz w:val="20"/>
          <w:szCs w:val="20"/>
        </w:rPr>
      </w:pPr>
      <w:r w:rsidRPr="004F610F">
        <w:rPr>
          <w:rFonts w:ascii="Times New Roman" w:hAnsi="Times New Roman"/>
          <w:b/>
          <w:bCs/>
          <w:sz w:val="20"/>
          <w:szCs w:val="20"/>
        </w:rPr>
        <w:t>FDI POLICY</w:t>
      </w:r>
    </w:p>
    <w:p w14:paraId="18B0C62B" w14:textId="77777777" w:rsidR="00E35FCB" w:rsidRPr="004F610F" w:rsidRDefault="00E35FCB" w:rsidP="00E35FCB">
      <w:pPr>
        <w:autoSpaceDE w:val="0"/>
        <w:autoSpaceDN w:val="0"/>
        <w:adjustRightInd w:val="0"/>
        <w:spacing w:after="0" w:line="240" w:lineRule="auto"/>
        <w:jc w:val="both"/>
        <w:rPr>
          <w:rFonts w:ascii="Times New Roman" w:hAnsi="Times New Roman"/>
          <w:b/>
          <w:bCs/>
          <w:sz w:val="20"/>
          <w:szCs w:val="20"/>
        </w:rPr>
      </w:pPr>
    </w:p>
    <w:p w14:paraId="50AF28E6" w14:textId="77777777" w:rsidR="00E35FCB" w:rsidRPr="004F610F" w:rsidRDefault="00E35FCB" w:rsidP="00E35FCB">
      <w:pPr>
        <w:autoSpaceDE w:val="0"/>
        <w:autoSpaceDN w:val="0"/>
        <w:adjustRightInd w:val="0"/>
        <w:spacing w:after="0" w:line="240" w:lineRule="auto"/>
        <w:jc w:val="both"/>
        <w:rPr>
          <w:rFonts w:ascii="Times New Roman" w:hAnsi="Times New Roman"/>
          <w:b/>
          <w:bCs/>
          <w:i/>
          <w:sz w:val="20"/>
          <w:szCs w:val="20"/>
        </w:rPr>
      </w:pPr>
      <w:r w:rsidRPr="004F610F">
        <w:rPr>
          <w:rFonts w:ascii="Times New Roman" w:hAnsi="Times New Roman"/>
          <w:b/>
          <w:bCs/>
          <w:i/>
          <w:sz w:val="20"/>
          <w:szCs w:val="20"/>
        </w:rPr>
        <w:t>Foreign Trade (Development and Regulation) Act, 1992</w:t>
      </w:r>
    </w:p>
    <w:p w14:paraId="6AC0F21E" w14:textId="77777777" w:rsidR="00E35FCB" w:rsidRPr="004F610F" w:rsidRDefault="00E35FCB" w:rsidP="00E35FCB">
      <w:pPr>
        <w:autoSpaceDE w:val="0"/>
        <w:autoSpaceDN w:val="0"/>
        <w:adjustRightInd w:val="0"/>
        <w:spacing w:after="0" w:line="240" w:lineRule="auto"/>
        <w:jc w:val="both"/>
        <w:rPr>
          <w:rFonts w:ascii="Times New Roman" w:hAnsi="Times New Roman"/>
          <w:b/>
          <w:bCs/>
          <w:sz w:val="20"/>
          <w:szCs w:val="20"/>
        </w:rPr>
      </w:pPr>
    </w:p>
    <w:p w14:paraId="07155EB1"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rPr>
      </w:pPr>
      <w:r w:rsidRPr="004F610F">
        <w:rPr>
          <w:rFonts w:ascii="Times New Roman" w:hAnsi="Times New Roman"/>
          <w:sz w:val="20"/>
          <w:szCs w:val="20"/>
        </w:rPr>
        <w:t>Foreign Trade Act empowers the Government of India to, among other things, (a) make provisions for development and regulation of foreign trade; (b) prohibit, restrict or otherwise regulate exports and imports; (c) formulate an EXIM policy; and (d) appoint a Director General of Foreign Trade for the purpose of administering foreign trade and advising the Central Government in formulating EXIM policy and implementing the same. Every importer and exporter is required to obtain an ‘Importer Exporter Code’ from the Director General of Foreign Trade or from any other duly authorized officer.</w:t>
      </w:r>
    </w:p>
    <w:p w14:paraId="59DE4E18" w14:textId="77777777" w:rsidR="00E35FCB" w:rsidRPr="004F610F" w:rsidRDefault="00E35FCB" w:rsidP="00E35FCB">
      <w:pPr>
        <w:autoSpaceDE w:val="0"/>
        <w:autoSpaceDN w:val="0"/>
        <w:adjustRightInd w:val="0"/>
        <w:spacing w:after="0" w:line="240" w:lineRule="auto"/>
        <w:jc w:val="both"/>
        <w:rPr>
          <w:rFonts w:ascii="Times New Roman" w:hAnsi="Times New Roman"/>
          <w:b/>
          <w:bCs/>
          <w:sz w:val="20"/>
          <w:szCs w:val="20"/>
        </w:rPr>
      </w:pPr>
    </w:p>
    <w:p w14:paraId="4066C57C" w14:textId="77777777" w:rsidR="00E35FCB" w:rsidRPr="004F610F" w:rsidRDefault="00E35FCB" w:rsidP="00E35FCB">
      <w:pPr>
        <w:autoSpaceDE w:val="0"/>
        <w:autoSpaceDN w:val="0"/>
        <w:adjustRightInd w:val="0"/>
        <w:spacing w:after="0" w:line="240" w:lineRule="auto"/>
        <w:jc w:val="both"/>
        <w:rPr>
          <w:rFonts w:ascii="Times New Roman" w:hAnsi="Times New Roman"/>
          <w:b/>
          <w:bCs/>
          <w:i/>
          <w:sz w:val="20"/>
          <w:szCs w:val="20"/>
        </w:rPr>
      </w:pPr>
      <w:r w:rsidRPr="004F610F">
        <w:rPr>
          <w:rFonts w:ascii="Times New Roman" w:hAnsi="Times New Roman"/>
          <w:b/>
          <w:bCs/>
          <w:i/>
          <w:sz w:val="20"/>
          <w:szCs w:val="20"/>
        </w:rPr>
        <w:t>Foreign Trade Policy</w:t>
      </w:r>
    </w:p>
    <w:p w14:paraId="41B30CEC" w14:textId="77777777" w:rsidR="00E35FCB" w:rsidRPr="004F610F" w:rsidRDefault="00E35FCB" w:rsidP="00E35FCB">
      <w:pPr>
        <w:autoSpaceDE w:val="0"/>
        <w:autoSpaceDN w:val="0"/>
        <w:adjustRightInd w:val="0"/>
        <w:spacing w:after="0" w:line="240" w:lineRule="auto"/>
        <w:jc w:val="both"/>
        <w:rPr>
          <w:rFonts w:ascii="Times New Roman" w:hAnsi="Times New Roman"/>
          <w:b/>
          <w:bCs/>
          <w:sz w:val="20"/>
          <w:szCs w:val="20"/>
        </w:rPr>
      </w:pPr>
    </w:p>
    <w:p w14:paraId="0D03A2A3"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rPr>
      </w:pPr>
      <w:r w:rsidRPr="004F610F">
        <w:rPr>
          <w:rFonts w:ascii="Times New Roman" w:hAnsi="Times New Roman"/>
          <w:sz w:val="20"/>
          <w:szCs w:val="20"/>
        </w:rPr>
        <w:t>The Foreign Trade Policy provides that no export or import can be made by a person without an IEC unless such person is specifically exempted. The policy provides for all exports and imports made shall be governed by the Foreign Trade Policy, unless otherwise specified. FTP provides for handbook of procedures laying down the procedure to be followed by an exporter or importer or by any Licensing/Regional Authority or by any other authority for purposes of implementing provisions of FT (D&amp;R) Act, the Rules and the Orders made there under and provisions of FTP.</w:t>
      </w:r>
    </w:p>
    <w:p w14:paraId="5F830614" w14:textId="77777777" w:rsidR="00E35FCB" w:rsidRPr="004F610F" w:rsidRDefault="00E35FCB" w:rsidP="00E35FCB">
      <w:pPr>
        <w:autoSpaceDE w:val="0"/>
        <w:autoSpaceDN w:val="0"/>
        <w:adjustRightInd w:val="0"/>
        <w:spacing w:after="0" w:line="240" w:lineRule="auto"/>
        <w:jc w:val="both"/>
        <w:rPr>
          <w:rFonts w:ascii="Times New Roman" w:hAnsi="Times New Roman"/>
          <w:b/>
          <w:bCs/>
          <w:sz w:val="20"/>
          <w:szCs w:val="20"/>
        </w:rPr>
      </w:pPr>
    </w:p>
    <w:p w14:paraId="408D1651" w14:textId="77777777" w:rsidR="00E35FCB" w:rsidRPr="004F610F" w:rsidRDefault="00E35FCB" w:rsidP="00E35FCB">
      <w:pPr>
        <w:autoSpaceDE w:val="0"/>
        <w:autoSpaceDN w:val="0"/>
        <w:adjustRightInd w:val="0"/>
        <w:spacing w:after="0" w:line="240" w:lineRule="auto"/>
        <w:jc w:val="both"/>
        <w:rPr>
          <w:rFonts w:ascii="Times New Roman" w:hAnsi="Times New Roman"/>
          <w:b/>
          <w:bCs/>
          <w:i/>
          <w:sz w:val="20"/>
          <w:szCs w:val="20"/>
        </w:rPr>
      </w:pPr>
      <w:r w:rsidRPr="004F610F">
        <w:rPr>
          <w:rFonts w:ascii="Times New Roman" w:hAnsi="Times New Roman"/>
          <w:b/>
          <w:bCs/>
          <w:i/>
          <w:sz w:val="20"/>
          <w:szCs w:val="20"/>
        </w:rPr>
        <w:t>Foreign Exchange Management Act, 1999 (“FEMA”) and Regulations Framed Thereunder.</w:t>
      </w:r>
    </w:p>
    <w:p w14:paraId="7F9DEE39" w14:textId="77777777" w:rsidR="00E35FCB" w:rsidRPr="004F610F" w:rsidRDefault="00E35FCB" w:rsidP="00E35FCB">
      <w:pPr>
        <w:autoSpaceDE w:val="0"/>
        <w:autoSpaceDN w:val="0"/>
        <w:adjustRightInd w:val="0"/>
        <w:spacing w:after="0" w:line="240" w:lineRule="auto"/>
        <w:jc w:val="both"/>
        <w:rPr>
          <w:rFonts w:ascii="Times New Roman" w:hAnsi="Times New Roman"/>
          <w:b/>
          <w:bCs/>
          <w:i/>
          <w:sz w:val="20"/>
          <w:szCs w:val="20"/>
        </w:rPr>
      </w:pPr>
    </w:p>
    <w:p w14:paraId="68C907E0"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rPr>
      </w:pPr>
      <w:r w:rsidRPr="004F610F">
        <w:rPr>
          <w:rFonts w:ascii="Times New Roman" w:hAnsi="Times New Roman"/>
          <w:sz w:val="20"/>
          <w:szCs w:val="20"/>
        </w:rPr>
        <w:t>Foreign investment in India is governed primarily by the provisions of the FEMA which relates to regulation primarily by the RBI and the rules, regulations and notifications there under, and the policy prescribed by the Department of Promotion of Industry and Internal Trade. As laid down by the FEMA Regulations no prior consents and approvals are required from the Reserve Bank of India, for Foreign Direct Investment under the ‘automatic route’ within the specified sectoral caps. In respect of all industries not specified as FDI under the automatic route, and in respect of investment in excess of the specified sectoral limits under the automatic route, approval may be required from the FIPB and/or the RBI. The RBI, in exercise of its power under the FEMA, has notified the Foreign Exchange Management (Transfer or Issue of Security by a Person Resident Outside India) Regulations, 2000 (“FEMA Regulations”), as amended from time to time to prohibit, restrict or regulate, transfer by or issue security to a person resident outside India and Foreign Exchange Management (Export of Goods and Services) Regulations, 2000 for regulation on exports of goods and services.</w:t>
      </w:r>
    </w:p>
    <w:p w14:paraId="0340104B"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rPr>
      </w:pPr>
    </w:p>
    <w:p w14:paraId="4BBDC0A6" w14:textId="77777777" w:rsidR="00E35FCB" w:rsidRPr="004F610F" w:rsidRDefault="00E35FCB" w:rsidP="00E35FCB">
      <w:pPr>
        <w:pStyle w:val="ListParagraph"/>
        <w:spacing w:line="240" w:lineRule="auto"/>
        <w:ind w:left="0"/>
        <w:jc w:val="both"/>
        <w:rPr>
          <w:b/>
          <w:bCs/>
          <w:sz w:val="20"/>
          <w:szCs w:val="20"/>
        </w:rPr>
      </w:pPr>
      <w:r w:rsidRPr="004F610F">
        <w:rPr>
          <w:b/>
          <w:bCs/>
          <w:sz w:val="20"/>
          <w:szCs w:val="20"/>
        </w:rPr>
        <w:t>GENERAL STATUTORY LEGISLATIONS</w:t>
      </w:r>
    </w:p>
    <w:p w14:paraId="49946B03" w14:textId="77777777" w:rsidR="00E35FCB" w:rsidRPr="004F610F" w:rsidRDefault="00E35FCB" w:rsidP="00E35FCB">
      <w:pPr>
        <w:pStyle w:val="ListParagraph"/>
        <w:spacing w:line="240" w:lineRule="auto"/>
        <w:ind w:left="0"/>
        <w:jc w:val="both"/>
        <w:rPr>
          <w:b/>
          <w:bCs/>
          <w:sz w:val="20"/>
          <w:szCs w:val="20"/>
        </w:rPr>
      </w:pPr>
    </w:p>
    <w:p w14:paraId="5DDA203D" w14:textId="77777777" w:rsidR="00E35FCB" w:rsidRPr="004F610F" w:rsidRDefault="00E35FCB" w:rsidP="00E35FCB">
      <w:pPr>
        <w:pStyle w:val="ListParagraph"/>
        <w:spacing w:line="240" w:lineRule="auto"/>
        <w:ind w:left="0"/>
        <w:jc w:val="both"/>
        <w:rPr>
          <w:b/>
          <w:bCs/>
          <w:i/>
          <w:sz w:val="20"/>
          <w:szCs w:val="20"/>
        </w:rPr>
      </w:pPr>
      <w:r w:rsidRPr="004F610F">
        <w:rPr>
          <w:b/>
          <w:bCs/>
          <w:i/>
          <w:sz w:val="20"/>
          <w:szCs w:val="20"/>
        </w:rPr>
        <w:t xml:space="preserve">Micro, Small and Medium Enterprises Development Act, 2006 and Industries (Development and Regulation) Act, 1951 </w:t>
      </w:r>
    </w:p>
    <w:p w14:paraId="1413AF50" w14:textId="77777777" w:rsidR="00E35FCB" w:rsidRPr="004F610F" w:rsidRDefault="00E35FCB" w:rsidP="00E35FCB">
      <w:pPr>
        <w:pStyle w:val="ListParagraph"/>
        <w:spacing w:line="240" w:lineRule="auto"/>
        <w:ind w:left="0"/>
        <w:jc w:val="both"/>
        <w:rPr>
          <w:b/>
          <w:bCs/>
          <w:i/>
          <w:sz w:val="20"/>
          <w:szCs w:val="20"/>
        </w:rPr>
      </w:pPr>
    </w:p>
    <w:p w14:paraId="523939CC" w14:textId="77777777" w:rsidR="00E35FCB" w:rsidRPr="004F610F" w:rsidRDefault="00E35FCB" w:rsidP="00E35FCB">
      <w:pPr>
        <w:pStyle w:val="ListParagraph"/>
        <w:spacing w:line="240" w:lineRule="auto"/>
        <w:ind w:left="0"/>
        <w:jc w:val="both"/>
        <w:rPr>
          <w:bCs/>
          <w:sz w:val="20"/>
          <w:szCs w:val="20"/>
        </w:rPr>
      </w:pPr>
      <w:r w:rsidRPr="004F610F">
        <w:rPr>
          <w:bCs/>
          <w:sz w:val="20"/>
          <w:szCs w:val="20"/>
        </w:rPr>
        <w:t xml:space="preserve">The Micro, Small and Medium Enterprises Development Act, 2006 and Industries (Development and Regulation) Act, 1951 (“MSMED Act”) inter-alia seeks to provide for facilitating the promotion and development and enhancing the competitiveness of micro, small and medium enterprises. The MSMED Act inter-alia empowers the Central Government to classify by notification, any class of enterprises including inter-alia, a company, a partnership, firm or undertaking by whatever name called, engaged in the manufacture or production of goods pertaining to any industry specified in the First Schedule to the Industries (Development and Regulation) Act, 1951 as: </w:t>
      </w:r>
    </w:p>
    <w:p w14:paraId="786B279D" w14:textId="77777777" w:rsidR="00E35FCB" w:rsidRPr="004F610F" w:rsidRDefault="00E35FCB">
      <w:pPr>
        <w:pStyle w:val="ListParagraph"/>
        <w:numPr>
          <w:ilvl w:val="0"/>
          <w:numId w:val="322"/>
        </w:numPr>
        <w:suppressAutoHyphens w:val="0"/>
        <w:autoSpaceDE/>
        <w:autoSpaceDN/>
        <w:adjustRightInd/>
        <w:spacing w:after="160" w:line="240" w:lineRule="auto"/>
        <w:ind w:left="720"/>
        <w:contextualSpacing/>
        <w:jc w:val="both"/>
        <w:textAlignment w:val="auto"/>
        <w:rPr>
          <w:bCs/>
          <w:sz w:val="20"/>
          <w:szCs w:val="20"/>
        </w:rPr>
      </w:pPr>
      <w:r w:rsidRPr="004F610F">
        <w:rPr>
          <w:bCs/>
          <w:sz w:val="20"/>
          <w:szCs w:val="20"/>
        </w:rPr>
        <w:t xml:space="preserve">a micro enterprise, where the investment in plant and machinery does not exceed ₹ 25,00,000/- (Rupees Twenty- Five Lakhs Only); </w:t>
      </w:r>
    </w:p>
    <w:p w14:paraId="41DBB070" w14:textId="77777777" w:rsidR="00E35FCB" w:rsidRPr="004F610F" w:rsidRDefault="00E35FCB">
      <w:pPr>
        <w:pStyle w:val="ListParagraph"/>
        <w:numPr>
          <w:ilvl w:val="0"/>
          <w:numId w:val="322"/>
        </w:numPr>
        <w:suppressAutoHyphens w:val="0"/>
        <w:autoSpaceDE/>
        <w:autoSpaceDN/>
        <w:adjustRightInd/>
        <w:spacing w:after="160" w:line="240" w:lineRule="auto"/>
        <w:ind w:left="720"/>
        <w:contextualSpacing/>
        <w:jc w:val="both"/>
        <w:textAlignment w:val="auto"/>
        <w:rPr>
          <w:bCs/>
          <w:sz w:val="20"/>
          <w:szCs w:val="20"/>
        </w:rPr>
      </w:pPr>
      <w:r w:rsidRPr="004F610F">
        <w:rPr>
          <w:bCs/>
          <w:sz w:val="20"/>
          <w:szCs w:val="20"/>
        </w:rPr>
        <w:t xml:space="preserve">a small enterprise, where the investment in plant and machinery is more than ₹ 25,00,000/- (Rupees Twenty -Five Lakh Only) but does not exceed ₹ 5,00,00,000/- (Rupees Five Crores Only); or </w:t>
      </w:r>
    </w:p>
    <w:p w14:paraId="240CA303" w14:textId="77777777" w:rsidR="00E35FCB" w:rsidRPr="004F610F" w:rsidRDefault="00E35FCB">
      <w:pPr>
        <w:pStyle w:val="ListParagraph"/>
        <w:numPr>
          <w:ilvl w:val="0"/>
          <w:numId w:val="322"/>
        </w:numPr>
        <w:suppressAutoHyphens w:val="0"/>
        <w:autoSpaceDE/>
        <w:autoSpaceDN/>
        <w:adjustRightInd/>
        <w:spacing w:after="160" w:line="240" w:lineRule="auto"/>
        <w:ind w:left="720"/>
        <w:contextualSpacing/>
        <w:jc w:val="both"/>
        <w:textAlignment w:val="auto"/>
        <w:rPr>
          <w:bCs/>
          <w:sz w:val="20"/>
          <w:szCs w:val="20"/>
        </w:rPr>
      </w:pPr>
      <w:r w:rsidRPr="004F610F">
        <w:rPr>
          <w:bCs/>
          <w:sz w:val="20"/>
          <w:szCs w:val="20"/>
        </w:rPr>
        <w:lastRenderedPageBreak/>
        <w:t xml:space="preserve">a medium enterprise, where the investment in plant and machinery is more than ₹ 5,00,00,000/- (Rupees Five Crores Only) but does not exceed ₹ 10,00,00,000/- (Rupees Ten Crores Only). </w:t>
      </w:r>
    </w:p>
    <w:p w14:paraId="13D67A44" w14:textId="77777777" w:rsidR="00E35FCB" w:rsidRPr="00E35FCB" w:rsidRDefault="00E35FCB" w:rsidP="00E35FCB">
      <w:pPr>
        <w:spacing w:after="0" w:line="240" w:lineRule="auto"/>
        <w:jc w:val="both"/>
        <w:rPr>
          <w:rFonts w:ascii="Times New Roman" w:hAnsi="Times New Roman"/>
          <w:bCs/>
          <w:sz w:val="20"/>
          <w:szCs w:val="20"/>
        </w:rPr>
      </w:pPr>
      <w:r w:rsidRPr="00E35FCB">
        <w:rPr>
          <w:rFonts w:ascii="Times New Roman" w:hAnsi="Times New Roman"/>
          <w:bCs/>
          <w:sz w:val="20"/>
          <w:szCs w:val="20"/>
        </w:rPr>
        <w:t xml:space="preserve">In case of enterprises engaged in providing or rendering of services, the enterprise may be classified as: </w:t>
      </w:r>
    </w:p>
    <w:p w14:paraId="261D43D1" w14:textId="30A4B31F" w:rsidR="00E35FCB" w:rsidRPr="004F610F" w:rsidRDefault="00E35FCB">
      <w:pPr>
        <w:pStyle w:val="ListParagraph"/>
        <w:numPr>
          <w:ilvl w:val="0"/>
          <w:numId w:val="323"/>
        </w:numPr>
        <w:suppressAutoHyphens w:val="0"/>
        <w:autoSpaceDE/>
        <w:autoSpaceDN/>
        <w:adjustRightInd/>
        <w:spacing w:after="160" w:line="240" w:lineRule="auto"/>
        <w:ind w:left="720"/>
        <w:contextualSpacing/>
        <w:jc w:val="both"/>
        <w:textAlignment w:val="auto"/>
        <w:rPr>
          <w:bCs/>
          <w:sz w:val="20"/>
          <w:szCs w:val="20"/>
        </w:rPr>
      </w:pPr>
      <w:r w:rsidRPr="004F610F">
        <w:rPr>
          <w:bCs/>
          <w:sz w:val="20"/>
          <w:szCs w:val="20"/>
        </w:rPr>
        <w:t>a micro enterprise, where the investment in equipment does not exceed ₹ 10,00,000/- (Rupees Ten Lakhs Only);</w:t>
      </w:r>
    </w:p>
    <w:p w14:paraId="4BBF7CD8" w14:textId="77777777" w:rsidR="00E35FCB" w:rsidRPr="004F610F" w:rsidRDefault="00E35FCB">
      <w:pPr>
        <w:pStyle w:val="ListParagraph"/>
        <w:numPr>
          <w:ilvl w:val="0"/>
          <w:numId w:val="323"/>
        </w:numPr>
        <w:suppressAutoHyphens w:val="0"/>
        <w:autoSpaceDE/>
        <w:autoSpaceDN/>
        <w:adjustRightInd/>
        <w:spacing w:after="160" w:line="240" w:lineRule="auto"/>
        <w:ind w:left="720"/>
        <w:contextualSpacing/>
        <w:jc w:val="both"/>
        <w:textAlignment w:val="auto"/>
        <w:rPr>
          <w:bCs/>
          <w:sz w:val="20"/>
          <w:szCs w:val="20"/>
        </w:rPr>
      </w:pPr>
      <w:r w:rsidRPr="004F610F">
        <w:rPr>
          <w:bCs/>
          <w:sz w:val="20"/>
          <w:szCs w:val="20"/>
        </w:rPr>
        <w:t xml:space="preserve">a small enterprise, where the investment in equipment is more than ₹ 10,00,000/- (Rupees Ten Lakhs Only) but does not exceed ₹ 2,00,00,000/- (Rupees Two Crores Only); or (iii) a medium enterprise, where the investment in equipment is more than ₹ 2,00,00,000/- (Rupees Two Crores Only) but does not exceed ₹ 5,00,00,000/- (Rupees Five Crores Only). </w:t>
      </w:r>
    </w:p>
    <w:p w14:paraId="0F3E3F68" w14:textId="77777777" w:rsidR="00E35FCB" w:rsidRPr="004F610F" w:rsidRDefault="00E35FCB" w:rsidP="00E35FCB">
      <w:pPr>
        <w:pStyle w:val="ListParagraph"/>
        <w:spacing w:line="240" w:lineRule="auto"/>
        <w:ind w:left="0"/>
        <w:jc w:val="both"/>
        <w:rPr>
          <w:bCs/>
          <w:sz w:val="20"/>
          <w:szCs w:val="20"/>
        </w:rPr>
      </w:pPr>
      <w:r w:rsidRPr="004F610F">
        <w:rPr>
          <w:bCs/>
          <w:sz w:val="20"/>
          <w:szCs w:val="20"/>
        </w:rPr>
        <w:t>The MSMED Act also inter-alia stipulates that any person who intends to establish, a micro or small enterprise or a medium enterprise engaged in rendering of services, may at his discretion and a medium enterprise engaged in the manufacture or production of goods as specified hereinabove, file a memorandum of micro, small or medium enterprise, as the case may be, with the prescribed authority.</w:t>
      </w:r>
    </w:p>
    <w:p w14:paraId="62132968" w14:textId="77777777" w:rsidR="00E35FCB" w:rsidRPr="004F610F" w:rsidRDefault="00E35FCB" w:rsidP="00E35FCB">
      <w:pPr>
        <w:pStyle w:val="ListParagraph"/>
        <w:spacing w:line="240" w:lineRule="auto"/>
        <w:ind w:left="0"/>
        <w:jc w:val="both"/>
        <w:rPr>
          <w:b/>
          <w:bCs/>
          <w:sz w:val="20"/>
          <w:szCs w:val="20"/>
        </w:rPr>
      </w:pPr>
    </w:p>
    <w:p w14:paraId="14287691" w14:textId="77777777" w:rsidR="00E35FCB" w:rsidRPr="004F610F" w:rsidRDefault="00E35FCB" w:rsidP="00E35FCB">
      <w:pPr>
        <w:pStyle w:val="ListParagraph"/>
        <w:spacing w:line="240" w:lineRule="auto"/>
        <w:ind w:left="0"/>
        <w:jc w:val="both"/>
        <w:rPr>
          <w:b/>
          <w:bCs/>
          <w:sz w:val="20"/>
          <w:szCs w:val="20"/>
        </w:rPr>
      </w:pPr>
      <w:r w:rsidRPr="004F610F">
        <w:rPr>
          <w:b/>
          <w:i/>
          <w:sz w:val="20"/>
          <w:szCs w:val="20"/>
        </w:rPr>
        <w:t xml:space="preserve">Companies Act, 2013 (“Companies Act”) </w:t>
      </w:r>
    </w:p>
    <w:p w14:paraId="5E0B6A1F" w14:textId="77777777" w:rsidR="00E35FCB" w:rsidRDefault="00E35FCB" w:rsidP="00E35FCB">
      <w:pPr>
        <w:spacing w:after="0" w:line="240" w:lineRule="auto"/>
        <w:jc w:val="both"/>
        <w:rPr>
          <w:rFonts w:ascii="Times New Roman" w:hAnsi="Times New Roman"/>
          <w:sz w:val="20"/>
          <w:szCs w:val="20"/>
        </w:rPr>
      </w:pPr>
    </w:p>
    <w:p w14:paraId="6F594ED9" w14:textId="44280D17" w:rsidR="00E35FCB" w:rsidRPr="004F610F" w:rsidRDefault="00E35FCB" w:rsidP="00E35FCB">
      <w:pPr>
        <w:spacing w:after="0" w:line="240" w:lineRule="auto"/>
        <w:jc w:val="both"/>
        <w:rPr>
          <w:rFonts w:ascii="Times New Roman" w:hAnsi="Times New Roman"/>
          <w:sz w:val="20"/>
          <w:szCs w:val="20"/>
        </w:rPr>
      </w:pPr>
      <w:r w:rsidRPr="004F610F">
        <w:rPr>
          <w:rFonts w:ascii="Times New Roman" w:hAnsi="Times New Roman"/>
          <w:sz w:val="20"/>
          <w:szCs w:val="20"/>
        </w:rPr>
        <w:t>The Companies Act, 2013, has replaced the Companies Act, 1956 in a phased manner. The Act received the assent of President of</w:t>
      </w:r>
      <w:r>
        <w:rPr>
          <w:rFonts w:ascii="Times New Roman" w:hAnsi="Times New Roman"/>
          <w:sz w:val="20"/>
          <w:szCs w:val="20"/>
        </w:rPr>
        <w:t xml:space="preserve"> I</w:t>
      </w:r>
      <w:r w:rsidRPr="004F610F">
        <w:rPr>
          <w:rFonts w:ascii="Times New Roman" w:hAnsi="Times New Roman"/>
          <w:sz w:val="20"/>
          <w:szCs w:val="20"/>
        </w:rPr>
        <w:t>ndia on 29</w:t>
      </w:r>
      <w:r w:rsidRPr="004F610F">
        <w:rPr>
          <w:rFonts w:ascii="Times New Roman" w:hAnsi="Times New Roman"/>
          <w:sz w:val="20"/>
          <w:szCs w:val="20"/>
          <w:vertAlign w:val="superscript"/>
        </w:rPr>
        <w:t>th</w:t>
      </w:r>
      <w:r w:rsidRPr="004F610F">
        <w:rPr>
          <w:rFonts w:ascii="Times New Roman" w:hAnsi="Times New Roman"/>
          <w:sz w:val="20"/>
          <w:szCs w:val="20"/>
        </w:rPr>
        <w:t xml:space="preserve"> August 2013. The Companies Act deals with incorporation of companies and the procedure for incorporation and post incorporation. The conversion of private company into public company and vice versa is also laid down under the Companies Act, 2013. The procedure related to appointment of Directors. The procedure relating to winding up, voluntary winding up, appointment of liquidator also forms part of the Act. Further, Schedule V (read with sections 196 and 197), Part I lays down the conditions to be fulfilled for the appointment of a managing or whole-time director or manager. It provides the list of Acts under which if a person is prosecuted, he cannot be appointed as the director or Managing Director or Manager of a Company. The provisions relating to remuneration of the director’s payable by the companies is under Part II of the said schedule.</w:t>
      </w:r>
    </w:p>
    <w:p w14:paraId="5032C12F" w14:textId="77777777" w:rsidR="00E35FCB" w:rsidRPr="004F610F" w:rsidRDefault="00E35FCB" w:rsidP="00E35FCB">
      <w:pPr>
        <w:spacing w:after="0" w:line="240" w:lineRule="auto"/>
        <w:jc w:val="both"/>
        <w:rPr>
          <w:rFonts w:ascii="Times New Roman" w:hAnsi="Times New Roman"/>
          <w:sz w:val="20"/>
          <w:szCs w:val="20"/>
        </w:rPr>
      </w:pPr>
    </w:p>
    <w:p w14:paraId="462A06B5" w14:textId="77777777" w:rsidR="00E35FCB" w:rsidRPr="004F610F" w:rsidRDefault="00E35FCB" w:rsidP="00E35FCB">
      <w:pPr>
        <w:spacing w:after="0" w:line="240" w:lineRule="auto"/>
        <w:jc w:val="both"/>
        <w:rPr>
          <w:rFonts w:ascii="Times New Roman" w:hAnsi="Times New Roman"/>
          <w:b/>
          <w:bCs/>
          <w:i/>
          <w:sz w:val="20"/>
          <w:szCs w:val="20"/>
        </w:rPr>
      </w:pPr>
      <w:r w:rsidRPr="004F610F">
        <w:rPr>
          <w:rFonts w:ascii="Times New Roman" w:hAnsi="Times New Roman"/>
          <w:b/>
          <w:bCs/>
          <w:i/>
          <w:sz w:val="20"/>
          <w:szCs w:val="20"/>
        </w:rPr>
        <w:t>Competition Act, 2002</w:t>
      </w:r>
    </w:p>
    <w:p w14:paraId="55503767" w14:textId="77777777" w:rsidR="00E35FCB" w:rsidRPr="004F610F" w:rsidRDefault="00E35FCB" w:rsidP="00E35FCB">
      <w:pPr>
        <w:spacing w:after="0" w:line="240" w:lineRule="auto"/>
        <w:jc w:val="both"/>
        <w:rPr>
          <w:rFonts w:ascii="Times New Roman" w:hAnsi="Times New Roman"/>
          <w:b/>
          <w:bCs/>
          <w:sz w:val="20"/>
          <w:szCs w:val="20"/>
        </w:rPr>
      </w:pPr>
    </w:p>
    <w:p w14:paraId="016A489B" w14:textId="77777777" w:rsidR="00E35FCB" w:rsidRPr="004F610F" w:rsidRDefault="00E35FCB" w:rsidP="00E35FCB">
      <w:pPr>
        <w:spacing w:after="0" w:line="240" w:lineRule="auto"/>
        <w:jc w:val="both"/>
        <w:rPr>
          <w:rFonts w:ascii="Times New Roman" w:hAnsi="Times New Roman"/>
          <w:sz w:val="20"/>
          <w:szCs w:val="20"/>
        </w:rPr>
      </w:pPr>
      <w:r w:rsidRPr="004F610F">
        <w:rPr>
          <w:rFonts w:ascii="Times New Roman" w:hAnsi="Times New Roman"/>
          <w:sz w:val="20"/>
          <w:szCs w:val="20"/>
        </w:rPr>
        <w:t>The Competition Act, 2002 prohibits anti-competitive agreements, abuse of dominant positions by enterprises and regulates combinations in India. The Competition Act also established the Competition Commission of India (the ―CCI) as the authority mandated to implement the Competition Act. The provisions of the Competition Act relating to combinations were notified recently on March 4, 2011 and came into effect on June 1, 2011. Combinations which are Likely to cause an appreciable adverse effect on competition in a relevant market in India are void under the Competition Act. A combination is defined under Section 5 of the Competition Act as an acquisition, merger or amalgamation of enterprise(s) that meets certain asset or turnover thresholds. There are also different thresholds for those categorized as Individuals and Group. The CCI may enquire into all combinations, even if taking place outside India, or between parties outside India, if such combination is Likely to have an appreciable adverse effect on competition in India. Effective June 1, 2011, all combinations have to be notified to the CCI within 30 days of the execution of any agreement or other document for any acquisition of assets, shares, voting rights or control of an enterprise under Section 5(a) and (b) of the Competition Act (including any binding document conveying an agreement or decision to acquire control, shares, voting rights or assets of an enterprise); or the board of directors of a company (or an equivalent authority in case of other entities approving a proposal for a merger or amalgamation under Section 5(c) of the Competition Act. The obligation to notify a combination to the CCI falls upon the acquirer in case of an acquisition, and on all parties to the combination jointly in case of a merger or amalgamation.</w:t>
      </w:r>
    </w:p>
    <w:p w14:paraId="65702225" w14:textId="77777777" w:rsidR="00E35FCB" w:rsidRPr="004F610F" w:rsidRDefault="00E35FCB" w:rsidP="00E35FCB">
      <w:pPr>
        <w:spacing w:after="0" w:line="240" w:lineRule="auto"/>
        <w:jc w:val="both"/>
        <w:rPr>
          <w:rFonts w:ascii="Times New Roman" w:hAnsi="Times New Roman"/>
          <w:sz w:val="20"/>
          <w:szCs w:val="20"/>
        </w:rPr>
      </w:pPr>
    </w:p>
    <w:p w14:paraId="19DADC5B" w14:textId="77777777" w:rsidR="00E35FCB" w:rsidRPr="004F610F" w:rsidRDefault="00E35FCB" w:rsidP="00E35FCB">
      <w:pPr>
        <w:autoSpaceDE w:val="0"/>
        <w:autoSpaceDN w:val="0"/>
        <w:adjustRightInd w:val="0"/>
        <w:spacing w:after="0" w:line="240" w:lineRule="auto"/>
        <w:jc w:val="both"/>
        <w:rPr>
          <w:rFonts w:ascii="Times New Roman" w:hAnsi="Times New Roman"/>
          <w:b/>
          <w:i/>
          <w:sz w:val="20"/>
          <w:szCs w:val="20"/>
        </w:rPr>
      </w:pPr>
      <w:r w:rsidRPr="004F610F">
        <w:rPr>
          <w:rFonts w:ascii="Times New Roman" w:hAnsi="Times New Roman"/>
          <w:b/>
          <w:i/>
          <w:sz w:val="20"/>
          <w:szCs w:val="20"/>
        </w:rPr>
        <w:t>Indian Contract Act, 1872</w:t>
      </w:r>
    </w:p>
    <w:p w14:paraId="7C44581C" w14:textId="77777777" w:rsidR="00E35FCB" w:rsidRPr="004F610F" w:rsidRDefault="00E35FCB" w:rsidP="00E35FCB">
      <w:pPr>
        <w:autoSpaceDE w:val="0"/>
        <w:autoSpaceDN w:val="0"/>
        <w:adjustRightInd w:val="0"/>
        <w:spacing w:after="0" w:line="240" w:lineRule="auto"/>
        <w:jc w:val="both"/>
        <w:rPr>
          <w:rFonts w:ascii="Times New Roman" w:hAnsi="Times New Roman"/>
          <w:b/>
          <w:sz w:val="20"/>
          <w:szCs w:val="20"/>
        </w:rPr>
      </w:pPr>
    </w:p>
    <w:p w14:paraId="64F52E32"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rPr>
      </w:pPr>
      <w:r w:rsidRPr="004F610F">
        <w:rPr>
          <w:rFonts w:ascii="Times New Roman" w:hAnsi="Times New Roman"/>
          <w:sz w:val="20"/>
          <w:szCs w:val="20"/>
        </w:rPr>
        <w:t>The Contract Act is the legislation which lays down the general principles relating to formation, performance and enforceability of contracts.  The rights and duties of parties and the specific terms of agreement are decided by the contracting parties themselves, under the general principles set forth in the Contract Act. The Contract Act also provides for circumstances under which contracts will be considered as ‘void’ or ‘voidable’.  The Contract Act contains provisions governing certain special contracts, including indemnity, guarantee, bailment, pledge, and agency.</w:t>
      </w:r>
    </w:p>
    <w:p w14:paraId="2CFA101A"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rPr>
      </w:pPr>
    </w:p>
    <w:p w14:paraId="10488A6B" w14:textId="77777777" w:rsidR="00E35FCB" w:rsidRPr="004F610F" w:rsidRDefault="00E35FCB" w:rsidP="00E35FCB">
      <w:pPr>
        <w:spacing w:after="0" w:line="240" w:lineRule="auto"/>
        <w:jc w:val="both"/>
        <w:rPr>
          <w:rFonts w:ascii="Times New Roman" w:hAnsi="Times New Roman"/>
          <w:b/>
          <w:bCs/>
          <w:i/>
          <w:sz w:val="20"/>
          <w:szCs w:val="20"/>
        </w:rPr>
      </w:pPr>
      <w:r w:rsidRPr="004F610F">
        <w:rPr>
          <w:rFonts w:ascii="Times New Roman" w:hAnsi="Times New Roman"/>
          <w:b/>
          <w:bCs/>
          <w:i/>
          <w:sz w:val="20"/>
          <w:szCs w:val="20"/>
        </w:rPr>
        <w:t>Specific Relief Act, 1963</w:t>
      </w:r>
    </w:p>
    <w:p w14:paraId="49F2DD99" w14:textId="77777777" w:rsidR="00E35FCB" w:rsidRPr="004F610F" w:rsidRDefault="00E35FCB" w:rsidP="00E35FCB">
      <w:pPr>
        <w:spacing w:after="0" w:line="240" w:lineRule="auto"/>
        <w:jc w:val="both"/>
        <w:rPr>
          <w:rFonts w:ascii="Times New Roman" w:hAnsi="Times New Roman"/>
          <w:b/>
          <w:bCs/>
          <w:sz w:val="20"/>
          <w:szCs w:val="20"/>
        </w:rPr>
      </w:pPr>
    </w:p>
    <w:p w14:paraId="052C0F4D" w14:textId="77777777" w:rsidR="00E35FCB" w:rsidRPr="004F610F" w:rsidRDefault="00E35FCB" w:rsidP="00E35FCB">
      <w:pPr>
        <w:spacing w:after="0" w:line="240" w:lineRule="auto"/>
        <w:jc w:val="both"/>
        <w:rPr>
          <w:rFonts w:ascii="Times New Roman" w:hAnsi="Times New Roman"/>
          <w:sz w:val="20"/>
          <w:szCs w:val="20"/>
        </w:rPr>
      </w:pPr>
      <w:r w:rsidRPr="004F610F">
        <w:rPr>
          <w:rFonts w:ascii="Times New Roman" w:hAnsi="Times New Roman"/>
          <w:sz w:val="20"/>
          <w:szCs w:val="20"/>
        </w:rPr>
        <w:t>The Specific Relief Act, 1963 is complimentary to the provisions of the Contract Act and the Transfer of Property Act, as the Act applies both to movable property and immovable property. The Act applies in cases where the Court can order specific performance of a contract. Specific relief can be granted only for purpose of enforcing individual civil rights and not for the mere purpose of enforcing a civil law. Specific performance‖ means Court will order the party to perform his part of agreement, instead of imposing on him any monetary liability to pay damages to other party.</w:t>
      </w:r>
    </w:p>
    <w:p w14:paraId="0653B2DA" w14:textId="77777777" w:rsidR="00E35FCB" w:rsidRPr="004F610F" w:rsidRDefault="00E35FCB" w:rsidP="00E35FCB">
      <w:pPr>
        <w:spacing w:after="0" w:line="240" w:lineRule="auto"/>
        <w:jc w:val="both"/>
        <w:rPr>
          <w:rFonts w:ascii="Times New Roman" w:hAnsi="Times New Roman"/>
          <w:sz w:val="20"/>
          <w:szCs w:val="20"/>
        </w:rPr>
      </w:pPr>
    </w:p>
    <w:p w14:paraId="5400F94F" w14:textId="77777777" w:rsidR="00E35FCB" w:rsidRPr="004F610F" w:rsidRDefault="00E35FCB" w:rsidP="00E35FCB">
      <w:pPr>
        <w:spacing w:after="0" w:line="240" w:lineRule="auto"/>
        <w:jc w:val="both"/>
        <w:rPr>
          <w:rFonts w:ascii="Times New Roman" w:hAnsi="Times New Roman"/>
          <w:b/>
          <w:bCs/>
          <w:i/>
          <w:sz w:val="20"/>
          <w:szCs w:val="20"/>
        </w:rPr>
      </w:pPr>
      <w:r w:rsidRPr="004F610F">
        <w:rPr>
          <w:rFonts w:ascii="Times New Roman" w:hAnsi="Times New Roman"/>
          <w:b/>
          <w:bCs/>
          <w:i/>
          <w:sz w:val="20"/>
          <w:szCs w:val="20"/>
        </w:rPr>
        <w:t>Sale of Goods Act, 1930</w:t>
      </w:r>
    </w:p>
    <w:p w14:paraId="44693AAB" w14:textId="77777777" w:rsidR="00E35FCB" w:rsidRPr="004F610F" w:rsidRDefault="00E35FCB" w:rsidP="00E35FCB">
      <w:pPr>
        <w:spacing w:after="0" w:line="240" w:lineRule="auto"/>
        <w:jc w:val="both"/>
        <w:rPr>
          <w:rFonts w:ascii="Times New Roman" w:hAnsi="Times New Roman"/>
          <w:b/>
          <w:bCs/>
          <w:i/>
          <w:sz w:val="20"/>
          <w:szCs w:val="20"/>
        </w:rPr>
      </w:pPr>
    </w:p>
    <w:p w14:paraId="13FC8C56" w14:textId="77777777" w:rsidR="00E35FCB" w:rsidRPr="004F610F" w:rsidRDefault="00E35FCB" w:rsidP="00E35FCB">
      <w:pPr>
        <w:spacing w:after="0" w:line="240" w:lineRule="auto"/>
        <w:jc w:val="both"/>
        <w:rPr>
          <w:rFonts w:ascii="Times New Roman" w:hAnsi="Times New Roman"/>
          <w:sz w:val="20"/>
          <w:szCs w:val="20"/>
        </w:rPr>
      </w:pPr>
      <w:r w:rsidRPr="004F610F">
        <w:rPr>
          <w:rFonts w:ascii="Times New Roman" w:hAnsi="Times New Roman"/>
          <w:sz w:val="20"/>
          <w:szCs w:val="20"/>
        </w:rPr>
        <w:t>The law relating to the sale of goods is codified in the Sale of Goods Act, 1930. It defines sale and agreement to sell as a contract whereby the seller transfers or agrees to transfer the property in goods to the buyer for a price and provides that there may be a contract of sale between part owner and another and that the contract of sale may be absolute or conditional.</w:t>
      </w:r>
    </w:p>
    <w:p w14:paraId="5AA08D64" w14:textId="77777777" w:rsidR="00E35FCB" w:rsidRPr="004F610F" w:rsidRDefault="00E35FCB" w:rsidP="00E35FCB">
      <w:pPr>
        <w:spacing w:after="0" w:line="240" w:lineRule="auto"/>
        <w:jc w:val="both"/>
        <w:rPr>
          <w:rFonts w:ascii="Times New Roman" w:hAnsi="Times New Roman"/>
          <w:sz w:val="20"/>
          <w:szCs w:val="20"/>
        </w:rPr>
      </w:pPr>
    </w:p>
    <w:p w14:paraId="5C5D2079" w14:textId="77777777" w:rsidR="00E35FCB" w:rsidRPr="004F610F" w:rsidRDefault="00E35FCB" w:rsidP="00E35FCB">
      <w:pPr>
        <w:spacing w:after="0" w:line="240" w:lineRule="auto"/>
        <w:jc w:val="both"/>
        <w:rPr>
          <w:rFonts w:ascii="Times New Roman" w:hAnsi="Times New Roman"/>
          <w:b/>
          <w:i/>
          <w:sz w:val="20"/>
          <w:szCs w:val="20"/>
        </w:rPr>
      </w:pPr>
      <w:r w:rsidRPr="004F610F">
        <w:rPr>
          <w:rFonts w:ascii="Times New Roman" w:hAnsi="Times New Roman"/>
          <w:b/>
          <w:i/>
          <w:sz w:val="20"/>
          <w:szCs w:val="20"/>
        </w:rPr>
        <w:lastRenderedPageBreak/>
        <w:t>Consumer Protection Act, 2019 (“Consumer Protection Act”) and rules made thereunder</w:t>
      </w:r>
    </w:p>
    <w:p w14:paraId="7BB3B86A" w14:textId="77777777" w:rsidR="00E35FCB" w:rsidRPr="004F610F" w:rsidRDefault="00E35FCB" w:rsidP="00E35FCB">
      <w:pPr>
        <w:spacing w:after="0" w:line="240" w:lineRule="auto"/>
        <w:jc w:val="both"/>
        <w:rPr>
          <w:rFonts w:ascii="Times New Roman" w:hAnsi="Times New Roman"/>
          <w:b/>
          <w:sz w:val="20"/>
          <w:szCs w:val="20"/>
        </w:rPr>
      </w:pPr>
    </w:p>
    <w:p w14:paraId="38B6C161" w14:textId="77777777" w:rsidR="00E35FCB" w:rsidRPr="004F610F" w:rsidRDefault="00E35FCB" w:rsidP="00E35FCB">
      <w:pPr>
        <w:spacing w:after="0" w:line="240" w:lineRule="auto"/>
        <w:jc w:val="both"/>
        <w:rPr>
          <w:rFonts w:ascii="Times New Roman" w:hAnsi="Times New Roman"/>
          <w:sz w:val="20"/>
          <w:szCs w:val="20"/>
        </w:rPr>
      </w:pPr>
      <w:r w:rsidRPr="004F610F">
        <w:rPr>
          <w:rFonts w:ascii="Times New Roman" w:hAnsi="Times New Roman"/>
          <w:sz w:val="20"/>
          <w:szCs w:val="20"/>
        </w:rPr>
        <w:t>The Consumer Protection Act was designed and enacted to provide simpler and quicker access to redress consumer grievances. It seeks, amongst other things, to promote and protects the interests of consumers against deficiencies and defects in goods or services and secure the rights of a consumer against unfair trade practices, which may be practiced by manufacturers, service providers and traders. The definition of “consumer” under the Consumer Protection Act includes persons engaged in offline or online transactions through electronic means or by tele-shopping or direct-selling or multi-level marketing. It provides for the establishment of consumer disputes redressal forums and commissions for the purposes of redressal of consumer grievances. In addition to awarding compensation and/or passing corrective orders, the forums and commissions under the Consumer Protection Act, in cases of misleading and false advertisements, are empowered to impose imprisonment for a term which may extend to two years and fine which may extend to ten lakhs.</w:t>
      </w:r>
    </w:p>
    <w:p w14:paraId="56257E47" w14:textId="77777777" w:rsidR="00E35FCB" w:rsidRPr="004F610F" w:rsidRDefault="00E35FCB" w:rsidP="00E35FCB">
      <w:pPr>
        <w:spacing w:after="0" w:line="240" w:lineRule="auto"/>
        <w:jc w:val="both"/>
        <w:rPr>
          <w:rFonts w:ascii="Times New Roman" w:hAnsi="Times New Roman"/>
          <w:sz w:val="20"/>
          <w:szCs w:val="20"/>
        </w:rPr>
      </w:pPr>
    </w:p>
    <w:p w14:paraId="776A540A" w14:textId="77777777" w:rsidR="00E35FCB" w:rsidRPr="004F610F" w:rsidRDefault="00E35FCB" w:rsidP="00E35FCB">
      <w:pPr>
        <w:spacing w:after="0" w:line="240" w:lineRule="auto"/>
        <w:jc w:val="both"/>
        <w:rPr>
          <w:rFonts w:ascii="Times New Roman" w:hAnsi="Times New Roman"/>
          <w:sz w:val="20"/>
          <w:szCs w:val="20"/>
        </w:rPr>
      </w:pPr>
      <w:r w:rsidRPr="004F610F">
        <w:rPr>
          <w:rFonts w:ascii="Times New Roman" w:hAnsi="Times New Roman"/>
          <w:sz w:val="20"/>
          <w:szCs w:val="20"/>
        </w:rPr>
        <w:t>In line with the Consumer Protection Act, the Ministry of Consumer Affairs, Food and Public Distribution, Government of India (“Ministry of Consumer Affairs”) has also notified the Consumer Protection (E-Commerce) Rules, 2020 (“E-Commerce Rules”) on July 23, 2020, which provide a framework to regulate the marketing, sale and purchase of goods and services online. The E-Commerce Rules govern e-commerce entities which own, operate, or manage, a digital or electronic facility or platform for electronic commerce, but does not include a seller offering his goods or services for sale on a marketplace e-commerce entity. The Ministry of Consumer Affairs has also released draft amendments to the E-Commerce Rules for public comments. The aforesaid draft amendments require e-commerce entities to, amongst other things, register themselves with the Department for Promotion of Industry and Internal Trade, and appoint a chief compliance officer, a nodal contact person and a resident grievance officer. Additionally, the draft amendments prohibit e-commerce entities from misleading users by manipulating search results, prohibit flash sales and abuse of dominant position, and mandate e-commerce entities to identify sponsored listings of products and services with clear and prominent disclosures.</w:t>
      </w:r>
    </w:p>
    <w:p w14:paraId="4526F333" w14:textId="77777777" w:rsidR="00E35FCB" w:rsidRPr="004F610F" w:rsidRDefault="00E35FCB" w:rsidP="00E35FCB">
      <w:pPr>
        <w:spacing w:after="0" w:line="240" w:lineRule="auto"/>
        <w:jc w:val="both"/>
        <w:rPr>
          <w:rFonts w:ascii="Times New Roman" w:hAnsi="Times New Roman"/>
          <w:sz w:val="20"/>
          <w:szCs w:val="20"/>
        </w:rPr>
      </w:pPr>
    </w:p>
    <w:p w14:paraId="024CD734" w14:textId="77777777" w:rsidR="00E35FCB" w:rsidRPr="004F610F" w:rsidRDefault="00E35FCB" w:rsidP="00E35FCB">
      <w:pPr>
        <w:spacing w:after="0" w:line="240" w:lineRule="auto"/>
        <w:jc w:val="both"/>
        <w:rPr>
          <w:rFonts w:ascii="Times New Roman" w:hAnsi="Times New Roman"/>
          <w:sz w:val="20"/>
          <w:szCs w:val="20"/>
        </w:rPr>
      </w:pPr>
      <w:r w:rsidRPr="004F610F">
        <w:rPr>
          <w:rFonts w:ascii="Times New Roman" w:hAnsi="Times New Roman"/>
          <w:b/>
          <w:i/>
          <w:sz w:val="20"/>
          <w:szCs w:val="20"/>
        </w:rPr>
        <w:t>The Information Technology Act, 2000</w:t>
      </w:r>
      <w:r w:rsidRPr="004F610F">
        <w:rPr>
          <w:rFonts w:ascii="Times New Roman" w:hAnsi="Times New Roman"/>
          <w:sz w:val="20"/>
          <w:szCs w:val="20"/>
        </w:rPr>
        <w:t>:</w:t>
      </w:r>
    </w:p>
    <w:p w14:paraId="58E89A0A" w14:textId="77777777" w:rsidR="00E35FCB" w:rsidRPr="004F610F" w:rsidRDefault="00E35FCB" w:rsidP="00E35FCB">
      <w:pPr>
        <w:spacing w:after="0" w:line="240" w:lineRule="auto"/>
        <w:jc w:val="both"/>
        <w:rPr>
          <w:rFonts w:ascii="Times New Roman" w:hAnsi="Times New Roman"/>
          <w:sz w:val="20"/>
          <w:szCs w:val="20"/>
        </w:rPr>
      </w:pPr>
    </w:p>
    <w:p w14:paraId="6E6A5BA8" w14:textId="77777777" w:rsidR="00E35FCB" w:rsidRPr="004F610F" w:rsidRDefault="00E35FCB" w:rsidP="00E35FCB">
      <w:pPr>
        <w:spacing w:after="0" w:line="240" w:lineRule="auto"/>
        <w:jc w:val="both"/>
        <w:rPr>
          <w:rFonts w:ascii="Times New Roman" w:hAnsi="Times New Roman"/>
          <w:sz w:val="20"/>
          <w:szCs w:val="20"/>
        </w:rPr>
      </w:pPr>
      <w:r w:rsidRPr="004F610F">
        <w:rPr>
          <w:rFonts w:ascii="Times New Roman" w:hAnsi="Times New Roman"/>
          <w:sz w:val="20"/>
          <w:szCs w:val="20"/>
        </w:rPr>
        <w:t>The Information Technology Act, 2000 was notified on October 17, 2000. It is the law that deals with cybercrime and electronic commerce in India. The Information Technology Act, 2000 provides legal recognition to the transaction done via an electronic exchange of data and other electronic means of communication or electronic commerce transactions.</w:t>
      </w:r>
    </w:p>
    <w:p w14:paraId="014B2DB4" w14:textId="77777777" w:rsidR="00E35FCB" w:rsidRPr="004F610F" w:rsidRDefault="00E35FCB" w:rsidP="00E35FCB">
      <w:pPr>
        <w:spacing w:after="0" w:line="240" w:lineRule="auto"/>
        <w:jc w:val="both"/>
        <w:rPr>
          <w:rFonts w:ascii="Times New Roman" w:hAnsi="Times New Roman"/>
          <w:sz w:val="20"/>
          <w:szCs w:val="20"/>
        </w:rPr>
      </w:pPr>
    </w:p>
    <w:p w14:paraId="3C24F4A2" w14:textId="77777777" w:rsidR="00E35FCB" w:rsidRPr="004F610F" w:rsidRDefault="00E35FCB" w:rsidP="00E35FCB">
      <w:pPr>
        <w:spacing w:after="0" w:line="240" w:lineRule="auto"/>
        <w:jc w:val="both"/>
        <w:rPr>
          <w:rFonts w:ascii="Times New Roman" w:hAnsi="Times New Roman"/>
          <w:b/>
          <w:i/>
          <w:sz w:val="20"/>
          <w:szCs w:val="20"/>
        </w:rPr>
      </w:pPr>
      <w:r w:rsidRPr="004F610F">
        <w:rPr>
          <w:rFonts w:ascii="Times New Roman" w:hAnsi="Times New Roman"/>
          <w:b/>
          <w:i/>
          <w:sz w:val="20"/>
          <w:szCs w:val="20"/>
        </w:rPr>
        <w:t>Limitation Act, 1963:</w:t>
      </w:r>
    </w:p>
    <w:p w14:paraId="70C9C510" w14:textId="77777777" w:rsidR="00E35FCB" w:rsidRPr="004F610F" w:rsidRDefault="00E35FCB" w:rsidP="00E35FCB">
      <w:pPr>
        <w:spacing w:after="0" w:line="240" w:lineRule="auto"/>
        <w:jc w:val="both"/>
        <w:rPr>
          <w:rFonts w:ascii="Times New Roman" w:hAnsi="Times New Roman"/>
          <w:sz w:val="20"/>
          <w:szCs w:val="20"/>
        </w:rPr>
      </w:pPr>
    </w:p>
    <w:p w14:paraId="0799F6CB" w14:textId="77777777" w:rsidR="00E35FCB" w:rsidRPr="004F610F" w:rsidRDefault="00E35FCB" w:rsidP="00E35FCB">
      <w:pPr>
        <w:spacing w:after="0" w:line="240" w:lineRule="auto"/>
        <w:jc w:val="both"/>
        <w:rPr>
          <w:rFonts w:ascii="Times New Roman" w:hAnsi="Times New Roman"/>
          <w:sz w:val="20"/>
          <w:szCs w:val="20"/>
        </w:rPr>
      </w:pPr>
      <w:r w:rsidRPr="004F610F">
        <w:rPr>
          <w:rFonts w:ascii="Times New Roman" w:hAnsi="Times New Roman"/>
          <w:sz w:val="20"/>
          <w:szCs w:val="20"/>
        </w:rPr>
        <w:t>The law relating to Law of Limitation to India is the Limitation Act, 1859 and subsequently Limitation Act, 1963 which was enacted on 5th of October, 1963 and which came into force from 1st of January, 1964 for the purpose of consolidating and amending the legal principles relating to limitation of suits and other legal proceedings. The basic concept of limitation is relating to fixing or prescribing of the time period for barring legal actions. According to Section 2 (j) of the Limitation Act, 1963, ‘period of limitation’ means the period of limitation prescribed for any suit, appeal or application by the Schedule, and ‘prescribed period’ means the period of limitation computed in accordance with the provisions of this Act.</w:t>
      </w:r>
    </w:p>
    <w:p w14:paraId="389D8684" w14:textId="77777777" w:rsidR="00E35FCB" w:rsidRPr="004F610F" w:rsidRDefault="00E35FCB" w:rsidP="00E35FCB">
      <w:pPr>
        <w:spacing w:after="0" w:line="240" w:lineRule="auto"/>
        <w:jc w:val="both"/>
        <w:rPr>
          <w:rFonts w:ascii="Times New Roman" w:hAnsi="Times New Roman"/>
          <w:sz w:val="20"/>
          <w:szCs w:val="20"/>
        </w:rPr>
      </w:pPr>
    </w:p>
    <w:p w14:paraId="0E3E3559" w14:textId="77777777" w:rsidR="00E35FCB" w:rsidRPr="004F610F" w:rsidRDefault="00E35FCB" w:rsidP="00E35FCB">
      <w:pPr>
        <w:autoSpaceDE w:val="0"/>
        <w:autoSpaceDN w:val="0"/>
        <w:adjustRightInd w:val="0"/>
        <w:spacing w:after="0" w:line="240" w:lineRule="auto"/>
        <w:jc w:val="both"/>
        <w:rPr>
          <w:rFonts w:ascii="Times New Roman" w:hAnsi="Times New Roman"/>
          <w:b/>
          <w:i/>
          <w:sz w:val="20"/>
          <w:szCs w:val="20"/>
        </w:rPr>
      </w:pPr>
      <w:r w:rsidRPr="004F610F">
        <w:rPr>
          <w:rFonts w:ascii="Times New Roman" w:hAnsi="Times New Roman"/>
          <w:b/>
          <w:i/>
          <w:sz w:val="20"/>
          <w:szCs w:val="20"/>
        </w:rPr>
        <w:t>Code of Civil Procedure, 1908</w:t>
      </w:r>
    </w:p>
    <w:p w14:paraId="03913E13" w14:textId="77777777" w:rsidR="00E35FCB" w:rsidRPr="004F610F" w:rsidRDefault="00E35FCB" w:rsidP="00E35FCB">
      <w:pPr>
        <w:autoSpaceDE w:val="0"/>
        <w:autoSpaceDN w:val="0"/>
        <w:adjustRightInd w:val="0"/>
        <w:spacing w:after="0" w:line="240" w:lineRule="auto"/>
        <w:jc w:val="both"/>
        <w:rPr>
          <w:rFonts w:ascii="Times New Roman" w:hAnsi="Times New Roman"/>
          <w:b/>
          <w:sz w:val="20"/>
          <w:szCs w:val="20"/>
        </w:rPr>
      </w:pPr>
    </w:p>
    <w:p w14:paraId="76070EDA"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rPr>
      </w:pPr>
      <w:r w:rsidRPr="004F610F">
        <w:rPr>
          <w:rFonts w:ascii="Times New Roman" w:hAnsi="Times New Roman"/>
          <w:sz w:val="20"/>
          <w:szCs w:val="20"/>
        </w:rPr>
        <w:t>The Code of Civil Procedure, 1908 is a procedural law related to the administration of civil proceedings in India. The Civil Procedure Code consolidates and amends the law relating to the procedure of the Courts of Civil jurisdiction.  The Code of Civil Procedure is an adjective law it neither creates nor takes away any right. It is intended to regulate the procedure to be followed by Civil Courts. The Civil Procedure Code consists of two parts. 158 Sections form the first part and the rules and orders contained in Schedule I form the second part. The object of the Code generally is to create jurisdiction while the rules indicate the mode in which the jurisdiction should be exercised.</w:t>
      </w:r>
    </w:p>
    <w:p w14:paraId="07D1CAFE"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rPr>
      </w:pPr>
    </w:p>
    <w:p w14:paraId="16652740"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rPr>
      </w:pPr>
      <w:r w:rsidRPr="004F610F">
        <w:rPr>
          <w:rFonts w:ascii="Times New Roman" w:hAnsi="Times New Roman"/>
          <w:sz w:val="20"/>
          <w:szCs w:val="20"/>
        </w:rPr>
        <w:t>The Code does not affect any special or local laws nor does it supersede any special jurisdiction or power conferred or any special form of procedure prescribed by or under any other law for the time being in force. The Code is the general law so that in case of conflict between the Code and the special law the latter prevails over the former. Where the special law is silent on a particular matter the Code applies, but consistent with the special enactment.</w:t>
      </w:r>
    </w:p>
    <w:p w14:paraId="419F85D6"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rPr>
      </w:pPr>
    </w:p>
    <w:p w14:paraId="1FDE3670" w14:textId="77777777" w:rsidR="00E35FCB" w:rsidRPr="004F610F" w:rsidRDefault="00E35FCB" w:rsidP="00E35FCB">
      <w:pPr>
        <w:spacing w:after="0" w:line="240" w:lineRule="auto"/>
        <w:jc w:val="both"/>
        <w:rPr>
          <w:rFonts w:ascii="Times New Roman" w:hAnsi="Times New Roman"/>
          <w:b/>
          <w:i/>
          <w:sz w:val="20"/>
          <w:szCs w:val="20"/>
        </w:rPr>
      </w:pPr>
      <w:r w:rsidRPr="004F610F">
        <w:rPr>
          <w:rFonts w:ascii="Times New Roman" w:hAnsi="Times New Roman"/>
          <w:b/>
          <w:i/>
          <w:sz w:val="20"/>
          <w:szCs w:val="20"/>
        </w:rPr>
        <w:t>Code of Criminal Procedure Code, 1973</w:t>
      </w:r>
    </w:p>
    <w:p w14:paraId="2ADB3C68" w14:textId="77777777" w:rsidR="00E35FCB" w:rsidRPr="004F610F" w:rsidRDefault="00E35FCB" w:rsidP="00E35FCB">
      <w:pPr>
        <w:spacing w:after="0" w:line="240" w:lineRule="auto"/>
        <w:jc w:val="both"/>
        <w:rPr>
          <w:rFonts w:ascii="Times New Roman" w:hAnsi="Times New Roman"/>
          <w:b/>
          <w:sz w:val="20"/>
          <w:szCs w:val="20"/>
        </w:rPr>
      </w:pPr>
    </w:p>
    <w:p w14:paraId="37A933D4" w14:textId="77777777" w:rsidR="00E35FCB" w:rsidRPr="004F610F" w:rsidRDefault="00E35FCB" w:rsidP="00E35FCB">
      <w:pPr>
        <w:spacing w:after="0" w:line="240" w:lineRule="auto"/>
        <w:jc w:val="both"/>
        <w:rPr>
          <w:rFonts w:ascii="Times New Roman" w:hAnsi="Times New Roman"/>
          <w:sz w:val="20"/>
          <w:szCs w:val="20"/>
        </w:rPr>
      </w:pPr>
      <w:r w:rsidRPr="004F610F">
        <w:rPr>
          <w:rFonts w:ascii="Times New Roman" w:hAnsi="Times New Roman"/>
          <w:sz w:val="20"/>
          <w:szCs w:val="20"/>
        </w:rPr>
        <w:t>It is the main legislation on procedure for administration of substantive criminal law in India. It was enacted in 1973 and came into force on 1</w:t>
      </w:r>
      <w:r w:rsidRPr="004F610F">
        <w:rPr>
          <w:rFonts w:ascii="Times New Roman" w:hAnsi="Times New Roman"/>
          <w:sz w:val="20"/>
          <w:szCs w:val="20"/>
          <w:vertAlign w:val="superscript"/>
        </w:rPr>
        <w:t>st</w:t>
      </w:r>
      <w:r w:rsidRPr="004F610F">
        <w:rPr>
          <w:rFonts w:ascii="Times New Roman" w:hAnsi="Times New Roman"/>
          <w:sz w:val="20"/>
          <w:szCs w:val="20"/>
        </w:rPr>
        <w:t xml:space="preserve"> April, 1974. It provides the machinery for the investigation of crime, apprehension of suspected criminals, collection of evidence, determination of guilt or innocence of the accused person and the determination of punishment of the guilty.</w:t>
      </w:r>
    </w:p>
    <w:p w14:paraId="713621E1" w14:textId="77777777" w:rsidR="00E35FCB" w:rsidRPr="004F610F" w:rsidRDefault="00E35FCB" w:rsidP="00E35FCB">
      <w:pPr>
        <w:spacing w:after="0" w:line="240" w:lineRule="auto"/>
        <w:jc w:val="both"/>
        <w:rPr>
          <w:rFonts w:ascii="Times New Roman" w:hAnsi="Times New Roman"/>
          <w:sz w:val="20"/>
          <w:szCs w:val="20"/>
        </w:rPr>
      </w:pPr>
    </w:p>
    <w:p w14:paraId="44BEBB16" w14:textId="77777777" w:rsidR="00E35FCB" w:rsidRPr="004F610F" w:rsidRDefault="00E35FCB" w:rsidP="00E35FCB">
      <w:pPr>
        <w:spacing w:after="0" w:line="240" w:lineRule="auto"/>
        <w:jc w:val="both"/>
        <w:rPr>
          <w:rFonts w:ascii="Times New Roman" w:hAnsi="Times New Roman"/>
          <w:sz w:val="20"/>
          <w:szCs w:val="20"/>
        </w:rPr>
      </w:pPr>
      <w:r w:rsidRPr="004F610F">
        <w:rPr>
          <w:rFonts w:ascii="Times New Roman" w:hAnsi="Times New Roman"/>
          <w:sz w:val="20"/>
          <w:szCs w:val="20"/>
        </w:rPr>
        <w:t xml:space="preserve">Criminal law occupies a pre-dominant place among the agencies of social control and is regarded as a formidable weapon that society has forged to protect itself against anti-social behaviour. The law of criminal procedure is meant to be complimentary to criminal law. It is intended to provide a mechanism for the enforcement of criminal law. The Code of Criminal Procedure creates the necessary machinery for apprehending the criminals, investigating the criminal cases, their trials before the criminal courts and </w:t>
      </w:r>
      <w:r w:rsidRPr="004F610F">
        <w:rPr>
          <w:rFonts w:ascii="Times New Roman" w:hAnsi="Times New Roman"/>
          <w:sz w:val="20"/>
          <w:szCs w:val="20"/>
        </w:rPr>
        <w:lastRenderedPageBreak/>
        <w:t>imposition of proper punishment on the guilty person. The Code enumerates the hierarchy of criminal courts in which different offences can be tried and then it spells out the limits of sentences which such Courts are authorized to pass.</w:t>
      </w:r>
    </w:p>
    <w:p w14:paraId="641C08B1" w14:textId="77777777" w:rsidR="00E35FCB" w:rsidRPr="004F610F" w:rsidRDefault="00E35FCB" w:rsidP="00E35FCB">
      <w:pPr>
        <w:spacing w:after="0" w:line="240" w:lineRule="auto"/>
        <w:jc w:val="both"/>
        <w:rPr>
          <w:rFonts w:ascii="Times New Roman" w:hAnsi="Times New Roman"/>
          <w:sz w:val="20"/>
          <w:szCs w:val="20"/>
        </w:rPr>
      </w:pPr>
    </w:p>
    <w:p w14:paraId="22865601" w14:textId="77777777" w:rsidR="00E35FCB" w:rsidRPr="004F610F" w:rsidRDefault="00E35FCB" w:rsidP="00E35FCB">
      <w:pPr>
        <w:spacing w:after="0" w:line="240" w:lineRule="auto"/>
        <w:jc w:val="both"/>
        <w:rPr>
          <w:rFonts w:ascii="Times New Roman" w:hAnsi="Times New Roman"/>
          <w:sz w:val="20"/>
          <w:szCs w:val="20"/>
        </w:rPr>
      </w:pPr>
      <w:r w:rsidRPr="004F610F">
        <w:rPr>
          <w:rFonts w:ascii="Times New Roman" w:hAnsi="Times New Roman"/>
          <w:sz w:val="20"/>
          <w:szCs w:val="20"/>
        </w:rPr>
        <w:t>The law of criminal procedure is intended to provide a mechanism for the enforcement of criminal law. Without the proper procedural law the substantive criminal law which defines offences and provides punishment for them would be almost worthless.</w:t>
      </w:r>
    </w:p>
    <w:p w14:paraId="169E26D4" w14:textId="77777777" w:rsidR="00E35FCB" w:rsidRDefault="00E35FCB" w:rsidP="00E35FCB">
      <w:pPr>
        <w:spacing w:after="0" w:line="240" w:lineRule="auto"/>
        <w:jc w:val="both"/>
        <w:rPr>
          <w:rFonts w:ascii="Times New Roman" w:hAnsi="Times New Roman"/>
          <w:b/>
          <w:sz w:val="20"/>
          <w:szCs w:val="20"/>
        </w:rPr>
      </w:pPr>
    </w:p>
    <w:p w14:paraId="4C444AE9" w14:textId="77777777" w:rsidR="00E35FCB" w:rsidRPr="004F610F" w:rsidRDefault="00E35FCB" w:rsidP="00E35FCB">
      <w:pPr>
        <w:spacing w:after="0" w:line="240" w:lineRule="auto"/>
        <w:jc w:val="both"/>
        <w:rPr>
          <w:rFonts w:ascii="Times New Roman" w:hAnsi="Times New Roman"/>
          <w:b/>
          <w:i/>
          <w:sz w:val="20"/>
          <w:szCs w:val="20"/>
        </w:rPr>
      </w:pPr>
      <w:r w:rsidRPr="004F610F">
        <w:rPr>
          <w:rFonts w:ascii="Times New Roman" w:hAnsi="Times New Roman"/>
          <w:b/>
          <w:i/>
          <w:sz w:val="20"/>
          <w:szCs w:val="20"/>
        </w:rPr>
        <w:t>Arbitration &amp; Conciliation Act, 1996</w:t>
      </w:r>
    </w:p>
    <w:p w14:paraId="72FAB9D0" w14:textId="77777777" w:rsidR="00E35FCB" w:rsidRPr="004F610F" w:rsidRDefault="00E35FCB" w:rsidP="00E35FCB">
      <w:pPr>
        <w:spacing w:after="0" w:line="240" w:lineRule="auto"/>
        <w:jc w:val="both"/>
        <w:rPr>
          <w:rFonts w:ascii="Times New Roman" w:hAnsi="Times New Roman"/>
          <w:b/>
          <w:sz w:val="20"/>
          <w:szCs w:val="20"/>
        </w:rPr>
      </w:pPr>
    </w:p>
    <w:p w14:paraId="17B7535B" w14:textId="77777777" w:rsidR="00E35FCB" w:rsidRPr="004F610F" w:rsidRDefault="00E35FCB" w:rsidP="00E35FCB">
      <w:pPr>
        <w:spacing w:after="0" w:line="240" w:lineRule="auto"/>
        <w:jc w:val="both"/>
        <w:rPr>
          <w:rFonts w:ascii="Times New Roman" w:hAnsi="Times New Roman"/>
          <w:sz w:val="20"/>
          <w:szCs w:val="20"/>
        </w:rPr>
      </w:pPr>
      <w:r w:rsidRPr="004F610F">
        <w:rPr>
          <w:rFonts w:ascii="Times New Roman" w:hAnsi="Times New Roman"/>
          <w:sz w:val="20"/>
          <w:szCs w:val="20"/>
        </w:rPr>
        <w:t>The Arbitration and Conciliation Act, 1996 is an act to consolidate and amend the law relating to domestic arbitration, international commercial arbitration and enforcement of foreign arbitral awards as also to define the law relating to conciliation and for matters connected therewith or incidental thereto. It aims at streamlining the process of arbitration and facilitating conciliation in business matters. The Act recognizes the autonomy of parties in the conduct of arbitral proceedings by the arbitral tribunal and abolishes the scope of judicial review of the award and minimizes the supervisory role of Courts. A significant feature of the Act is the appointment of arbitrators by the Chief Justice of India or Chief Justice of High Court. The Chief Justice may either appoint the arbitrator himself or nominate a person or Institution to nominate the arbitrator. The autonomy of the arbitral tribunal has further been strengthened by empowering them to decide on jurisdiction and to consider objections regarding the existence or validity of the arbitration agreement.</w:t>
      </w:r>
    </w:p>
    <w:p w14:paraId="6F058806"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rPr>
      </w:pPr>
    </w:p>
    <w:p w14:paraId="42403056" w14:textId="77777777" w:rsidR="00E35FCB" w:rsidRPr="004F610F" w:rsidRDefault="00E35FCB" w:rsidP="00E35FCB">
      <w:pPr>
        <w:spacing w:after="0" w:line="240" w:lineRule="auto"/>
        <w:jc w:val="both"/>
        <w:rPr>
          <w:rFonts w:ascii="Times New Roman" w:hAnsi="Times New Roman"/>
          <w:b/>
          <w:bCs/>
          <w:i/>
          <w:sz w:val="20"/>
          <w:szCs w:val="20"/>
        </w:rPr>
      </w:pPr>
      <w:r w:rsidRPr="004F610F">
        <w:rPr>
          <w:rFonts w:ascii="Times New Roman" w:hAnsi="Times New Roman"/>
          <w:b/>
          <w:bCs/>
          <w:i/>
          <w:sz w:val="20"/>
          <w:szCs w:val="20"/>
        </w:rPr>
        <w:t>Negotiable Instruments Act, 1881</w:t>
      </w:r>
    </w:p>
    <w:p w14:paraId="338B2B49" w14:textId="77777777" w:rsidR="00E35FCB" w:rsidRPr="004F610F" w:rsidRDefault="00E35FCB" w:rsidP="00E35FCB">
      <w:pPr>
        <w:spacing w:after="0" w:line="240" w:lineRule="auto"/>
        <w:jc w:val="both"/>
        <w:rPr>
          <w:rFonts w:ascii="Times New Roman" w:hAnsi="Times New Roman"/>
          <w:b/>
          <w:bCs/>
          <w:sz w:val="20"/>
          <w:szCs w:val="20"/>
        </w:rPr>
      </w:pPr>
    </w:p>
    <w:p w14:paraId="7D085367" w14:textId="77777777" w:rsidR="00E35FCB" w:rsidRPr="004F610F" w:rsidRDefault="00E35FCB" w:rsidP="00E35FCB">
      <w:pPr>
        <w:spacing w:after="0" w:line="240" w:lineRule="auto"/>
        <w:jc w:val="both"/>
        <w:rPr>
          <w:rFonts w:ascii="Times New Roman" w:hAnsi="Times New Roman"/>
          <w:sz w:val="20"/>
          <w:szCs w:val="20"/>
        </w:rPr>
      </w:pPr>
      <w:r w:rsidRPr="004F610F">
        <w:rPr>
          <w:rFonts w:ascii="Times New Roman" w:hAnsi="Times New Roman"/>
          <w:sz w:val="20"/>
          <w:szCs w:val="20"/>
        </w:rPr>
        <w:t>In India, cheques are governed by the Negotiable Instruments Act, 1881, which is largely a codification of the English Law on the subject. The Act provides effective legal provision to restrain people from issuing cheques without having sufficient funds in their account or any stringent provision to punish them in the event of such cheque not being honoured by their bankers and returned unpaid. Section 138 of the Act, creates statutory offence in the matter of dishonour of cheques on the ground of insufficiency of funds in the account maintained by a person with the banker which is punishable with imprisonment for a term which may extend to two year, or with fine which may extend to twice the amount of the cheque, or with both.</w:t>
      </w:r>
    </w:p>
    <w:p w14:paraId="437485FC" w14:textId="77777777" w:rsidR="00E35FCB" w:rsidRPr="004F610F" w:rsidRDefault="00E35FCB" w:rsidP="00E35FCB">
      <w:pPr>
        <w:spacing w:after="0" w:line="240" w:lineRule="auto"/>
        <w:jc w:val="both"/>
        <w:rPr>
          <w:rFonts w:ascii="Times New Roman" w:hAnsi="Times New Roman"/>
          <w:sz w:val="20"/>
          <w:szCs w:val="20"/>
        </w:rPr>
      </w:pPr>
    </w:p>
    <w:p w14:paraId="68450037" w14:textId="77777777" w:rsidR="00E35FCB" w:rsidRPr="004F610F" w:rsidRDefault="00E35FCB" w:rsidP="00E35FCB">
      <w:pPr>
        <w:autoSpaceDE w:val="0"/>
        <w:autoSpaceDN w:val="0"/>
        <w:adjustRightInd w:val="0"/>
        <w:spacing w:after="0" w:line="240" w:lineRule="auto"/>
        <w:jc w:val="both"/>
        <w:rPr>
          <w:rFonts w:ascii="Times New Roman" w:hAnsi="Times New Roman"/>
          <w:b/>
          <w:bCs/>
          <w:i/>
          <w:sz w:val="20"/>
          <w:szCs w:val="20"/>
        </w:rPr>
      </w:pPr>
      <w:r w:rsidRPr="004F610F">
        <w:rPr>
          <w:rFonts w:ascii="Times New Roman" w:hAnsi="Times New Roman"/>
          <w:b/>
          <w:bCs/>
          <w:i/>
          <w:sz w:val="20"/>
          <w:szCs w:val="20"/>
        </w:rPr>
        <w:t>Indian Stamp Act, 1899</w:t>
      </w:r>
    </w:p>
    <w:p w14:paraId="3A263EDC" w14:textId="77777777" w:rsidR="00E35FCB" w:rsidRPr="004F610F" w:rsidRDefault="00E35FCB" w:rsidP="00E35FCB">
      <w:pPr>
        <w:autoSpaceDE w:val="0"/>
        <w:autoSpaceDN w:val="0"/>
        <w:adjustRightInd w:val="0"/>
        <w:spacing w:after="0" w:line="240" w:lineRule="auto"/>
        <w:jc w:val="both"/>
        <w:rPr>
          <w:rFonts w:ascii="Times New Roman" w:hAnsi="Times New Roman"/>
          <w:b/>
          <w:bCs/>
          <w:sz w:val="20"/>
          <w:szCs w:val="20"/>
        </w:rPr>
      </w:pPr>
    </w:p>
    <w:p w14:paraId="68464194"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rPr>
      </w:pPr>
      <w:r w:rsidRPr="004F610F">
        <w:rPr>
          <w:rFonts w:ascii="Times New Roman" w:hAnsi="Times New Roman"/>
          <w:sz w:val="20"/>
          <w:szCs w:val="20"/>
        </w:rPr>
        <w:t>Under the Indian Stamp Act, 1899 (the “</w:t>
      </w:r>
      <w:r w:rsidRPr="004F610F">
        <w:rPr>
          <w:rFonts w:ascii="Times New Roman" w:hAnsi="Times New Roman"/>
          <w:bCs/>
          <w:sz w:val="20"/>
          <w:szCs w:val="20"/>
        </w:rPr>
        <w:t>Stamp Act</w:t>
      </w:r>
      <w:r w:rsidRPr="004F610F">
        <w:rPr>
          <w:rFonts w:ascii="Times New Roman" w:hAnsi="Times New Roman"/>
          <w:sz w:val="20"/>
          <w:szCs w:val="20"/>
        </w:rPr>
        <w:t>”) stamp duty is payable on instruments evidencing a transfer or creation or extinguishment of any right, title or interest in immovable property. Stamp duty must be paid on all instruments specified under the Stamp Act at the rates specified in the schedules to the Stamp Act. The applicable rates for stamp duty on instruments chargeable with duty vary from state to state. Instruments chargeable to duty under the Stamp Act, which are not duly stamped are incapable of being admitted in court as evidence of the transaction contained therein and it also provides for impounding of instruments that are not sufficiently stamped or not stamped at all.</w:t>
      </w:r>
    </w:p>
    <w:p w14:paraId="6A4ECBCA"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rPr>
      </w:pPr>
    </w:p>
    <w:p w14:paraId="6BECFC57" w14:textId="77777777" w:rsidR="00E35FCB" w:rsidRPr="004F610F" w:rsidRDefault="00E35FCB" w:rsidP="00E35FCB">
      <w:pPr>
        <w:autoSpaceDE w:val="0"/>
        <w:autoSpaceDN w:val="0"/>
        <w:adjustRightInd w:val="0"/>
        <w:spacing w:after="0" w:line="240" w:lineRule="auto"/>
        <w:jc w:val="both"/>
        <w:rPr>
          <w:rFonts w:ascii="Times New Roman" w:hAnsi="Times New Roman"/>
          <w:b/>
          <w:bCs/>
          <w:sz w:val="20"/>
          <w:szCs w:val="20"/>
        </w:rPr>
      </w:pPr>
      <w:r w:rsidRPr="004F610F">
        <w:rPr>
          <w:rFonts w:ascii="Times New Roman" w:hAnsi="Times New Roman"/>
          <w:b/>
          <w:bCs/>
          <w:i/>
          <w:sz w:val="20"/>
          <w:szCs w:val="20"/>
        </w:rPr>
        <w:t>The Energy Conservation (Amendment) Act, 2022</w:t>
      </w:r>
    </w:p>
    <w:p w14:paraId="7D998E63" w14:textId="77777777" w:rsidR="00E35FCB" w:rsidRPr="004F610F" w:rsidRDefault="00E35FCB" w:rsidP="00E35FCB">
      <w:pPr>
        <w:autoSpaceDE w:val="0"/>
        <w:autoSpaceDN w:val="0"/>
        <w:adjustRightInd w:val="0"/>
        <w:spacing w:after="0" w:line="240" w:lineRule="auto"/>
        <w:jc w:val="both"/>
        <w:rPr>
          <w:rFonts w:ascii="Times New Roman" w:hAnsi="Times New Roman"/>
          <w:b/>
          <w:bCs/>
          <w:sz w:val="20"/>
          <w:szCs w:val="20"/>
        </w:rPr>
      </w:pPr>
    </w:p>
    <w:p w14:paraId="06F864AE" w14:textId="1DE3F7CD" w:rsidR="00E35FCB" w:rsidRPr="004F610F" w:rsidRDefault="00E35FCB" w:rsidP="00E35FCB">
      <w:pPr>
        <w:autoSpaceDE w:val="0"/>
        <w:autoSpaceDN w:val="0"/>
        <w:adjustRightInd w:val="0"/>
        <w:spacing w:after="0" w:line="240" w:lineRule="auto"/>
        <w:jc w:val="both"/>
        <w:rPr>
          <w:rFonts w:ascii="Times New Roman" w:hAnsi="Times New Roman"/>
          <w:sz w:val="20"/>
          <w:szCs w:val="20"/>
        </w:rPr>
      </w:pPr>
      <w:r w:rsidRPr="004F610F">
        <w:rPr>
          <w:rFonts w:ascii="Times New Roman" w:hAnsi="Times New Roman"/>
          <w:sz w:val="20"/>
          <w:szCs w:val="20"/>
        </w:rPr>
        <w:t>The Energy Conservation Act, 2001 was enacted to provide for efficient use of energy, its conservation and for matters connected therewith and/ or incidental thereto. The amended Act provides for regulation of energy consumption by equipment, appliances, vehicles, vessels, industrial units, buildings or establishments that consume, generate, transmit or supply energy. With special focus on promotion of new and renewable energy and the National Green Hydrogen Mission, the amendment seeks to (i) facilitate the achievement of “Panchamrit”</w:t>
      </w:r>
      <w:r>
        <w:rPr>
          <w:rFonts w:ascii="Times New Roman" w:hAnsi="Times New Roman"/>
          <w:sz w:val="20"/>
          <w:szCs w:val="20"/>
        </w:rPr>
        <w:t>-</w:t>
      </w:r>
      <w:r w:rsidRPr="004F610F">
        <w:rPr>
          <w:rFonts w:ascii="Times New Roman" w:hAnsi="Times New Roman"/>
          <w:sz w:val="20"/>
          <w:szCs w:val="20"/>
        </w:rPr>
        <w:t xml:space="preserve"> the five nectar elements presented by India in COP-26 (Conference of Parties -26) in Glasgow 2021.</w:t>
      </w:r>
    </w:p>
    <w:p w14:paraId="023B0C4E"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rPr>
      </w:pPr>
    </w:p>
    <w:p w14:paraId="2E53BC71"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rPr>
      </w:pPr>
      <w:r w:rsidRPr="004F610F">
        <w:rPr>
          <w:rFonts w:ascii="Times New Roman" w:hAnsi="Times New Roman"/>
          <w:sz w:val="20"/>
          <w:szCs w:val="20"/>
        </w:rPr>
        <w:t>In addition to facilitating the achievement of ‘Panchamrit’, the amended Act aims to promote renewable energy and develop the domestic carbon market to combat climate change and introduce new concepts such as carbon trading and mandate the use of non-fossil sources to ensure faster decarbonisation and help achieve sustainable development goals in line with the Paris Agreement and various other actions related to climate change.</w:t>
      </w:r>
    </w:p>
    <w:p w14:paraId="5D71060E"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rPr>
      </w:pPr>
    </w:p>
    <w:p w14:paraId="5402311C" w14:textId="77777777" w:rsidR="00E35FCB" w:rsidRPr="004F610F" w:rsidRDefault="00E35FCB" w:rsidP="00E35FCB">
      <w:pPr>
        <w:spacing w:after="0" w:line="240" w:lineRule="auto"/>
        <w:jc w:val="both"/>
        <w:rPr>
          <w:rFonts w:ascii="Times New Roman" w:hAnsi="Times New Roman"/>
          <w:b/>
          <w:bCs/>
          <w:sz w:val="20"/>
          <w:szCs w:val="20"/>
          <w:lang w:bidi="en-US"/>
        </w:rPr>
      </w:pPr>
      <w:r w:rsidRPr="004F610F">
        <w:rPr>
          <w:rFonts w:ascii="Times New Roman" w:hAnsi="Times New Roman"/>
          <w:b/>
          <w:bCs/>
          <w:sz w:val="20"/>
          <w:szCs w:val="20"/>
          <w:lang w:bidi="en-US"/>
        </w:rPr>
        <w:t>INTELLECTUAL PROPERTY RELATED LEGISLATIONS</w:t>
      </w:r>
    </w:p>
    <w:p w14:paraId="7322D9D5" w14:textId="77777777" w:rsidR="00E35FCB" w:rsidRPr="004F610F" w:rsidRDefault="00E35FCB" w:rsidP="00E35FCB">
      <w:pPr>
        <w:spacing w:after="0" w:line="240" w:lineRule="auto"/>
        <w:jc w:val="both"/>
        <w:rPr>
          <w:rFonts w:ascii="Times New Roman" w:hAnsi="Times New Roman"/>
          <w:sz w:val="20"/>
          <w:szCs w:val="20"/>
        </w:rPr>
      </w:pPr>
    </w:p>
    <w:p w14:paraId="1B0BB857" w14:textId="77777777" w:rsidR="00E35FCB" w:rsidRPr="004F610F" w:rsidRDefault="00E35FCB" w:rsidP="00E35FCB">
      <w:pPr>
        <w:spacing w:after="0" w:line="240" w:lineRule="auto"/>
        <w:jc w:val="both"/>
        <w:rPr>
          <w:rFonts w:ascii="Times New Roman" w:hAnsi="Times New Roman"/>
          <w:sz w:val="20"/>
          <w:szCs w:val="20"/>
        </w:rPr>
      </w:pPr>
      <w:r w:rsidRPr="004F610F">
        <w:rPr>
          <w:rFonts w:ascii="Times New Roman" w:hAnsi="Times New Roman"/>
          <w:sz w:val="20"/>
          <w:szCs w:val="20"/>
        </w:rPr>
        <w:t>In general, the Intellectual Property Rights include but are not limited to the following enactments:</w:t>
      </w:r>
    </w:p>
    <w:p w14:paraId="2BABB41A" w14:textId="77777777" w:rsidR="00E35FCB" w:rsidRPr="004F610F" w:rsidRDefault="00E35FCB">
      <w:pPr>
        <w:numPr>
          <w:ilvl w:val="0"/>
          <w:numId w:val="321"/>
        </w:numPr>
        <w:spacing w:after="0" w:line="240" w:lineRule="auto"/>
        <w:ind w:left="810"/>
        <w:jc w:val="both"/>
        <w:rPr>
          <w:rFonts w:ascii="Times New Roman" w:hAnsi="Times New Roman"/>
          <w:sz w:val="20"/>
          <w:szCs w:val="20"/>
        </w:rPr>
      </w:pPr>
      <w:r w:rsidRPr="004F610F">
        <w:rPr>
          <w:rFonts w:ascii="Times New Roman" w:hAnsi="Times New Roman"/>
          <w:sz w:val="20"/>
          <w:szCs w:val="20"/>
        </w:rPr>
        <w:t>Trademarks Act, 1999</w:t>
      </w:r>
    </w:p>
    <w:p w14:paraId="752922C2" w14:textId="77777777" w:rsidR="00E35FCB" w:rsidRPr="004F610F" w:rsidRDefault="00E35FCB">
      <w:pPr>
        <w:numPr>
          <w:ilvl w:val="0"/>
          <w:numId w:val="321"/>
        </w:numPr>
        <w:spacing w:after="0" w:line="240" w:lineRule="auto"/>
        <w:ind w:left="810"/>
        <w:jc w:val="both"/>
        <w:rPr>
          <w:rFonts w:ascii="Times New Roman" w:hAnsi="Times New Roman"/>
          <w:sz w:val="20"/>
          <w:szCs w:val="20"/>
        </w:rPr>
      </w:pPr>
      <w:r w:rsidRPr="004F610F">
        <w:rPr>
          <w:rFonts w:ascii="Times New Roman" w:hAnsi="Times New Roman"/>
          <w:sz w:val="20"/>
          <w:szCs w:val="20"/>
        </w:rPr>
        <w:t>Indian Copyright Act, 1957</w:t>
      </w:r>
    </w:p>
    <w:p w14:paraId="46275A19" w14:textId="77777777" w:rsidR="00E35FCB" w:rsidRPr="004F610F" w:rsidRDefault="00E35FCB">
      <w:pPr>
        <w:numPr>
          <w:ilvl w:val="0"/>
          <w:numId w:val="321"/>
        </w:numPr>
        <w:spacing w:after="0" w:line="240" w:lineRule="auto"/>
        <w:ind w:left="810"/>
        <w:jc w:val="both"/>
        <w:rPr>
          <w:rFonts w:ascii="Times New Roman" w:hAnsi="Times New Roman"/>
          <w:sz w:val="20"/>
          <w:szCs w:val="20"/>
        </w:rPr>
      </w:pPr>
      <w:r w:rsidRPr="004F610F">
        <w:rPr>
          <w:rFonts w:ascii="Times New Roman" w:hAnsi="Times New Roman"/>
          <w:sz w:val="20"/>
          <w:szCs w:val="20"/>
        </w:rPr>
        <w:t>Design Act, 2000 (“Design Act”)</w:t>
      </w:r>
    </w:p>
    <w:p w14:paraId="6EB84107" w14:textId="77777777" w:rsidR="00E35FCB" w:rsidRPr="004F610F" w:rsidRDefault="00E35FCB" w:rsidP="00E35FCB">
      <w:pPr>
        <w:spacing w:after="0" w:line="240" w:lineRule="auto"/>
        <w:jc w:val="both"/>
        <w:rPr>
          <w:rFonts w:ascii="Times New Roman" w:hAnsi="Times New Roman"/>
          <w:b/>
          <w:sz w:val="20"/>
          <w:szCs w:val="20"/>
        </w:rPr>
      </w:pPr>
    </w:p>
    <w:p w14:paraId="2DA3A27B" w14:textId="77777777" w:rsidR="00E35FCB" w:rsidRPr="004F610F" w:rsidRDefault="00E35FCB" w:rsidP="00E35FCB">
      <w:pPr>
        <w:spacing w:after="0" w:line="240" w:lineRule="auto"/>
        <w:jc w:val="both"/>
        <w:rPr>
          <w:rFonts w:ascii="Times New Roman" w:hAnsi="Times New Roman"/>
          <w:b/>
          <w:bCs/>
          <w:i/>
          <w:iCs/>
          <w:sz w:val="20"/>
          <w:szCs w:val="20"/>
        </w:rPr>
      </w:pPr>
      <w:r w:rsidRPr="004F610F">
        <w:rPr>
          <w:rFonts w:ascii="Times New Roman" w:hAnsi="Times New Roman"/>
          <w:b/>
          <w:bCs/>
          <w:i/>
          <w:iCs/>
          <w:sz w:val="20"/>
          <w:szCs w:val="20"/>
        </w:rPr>
        <w:t>Trade Marks Act, 1999 (“Trade Marks Act”)</w:t>
      </w:r>
    </w:p>
    <w:p w14:paraId="799D02C0" w14:textId="77777777" w:rsidR="00E35FCB" w:rsidRPr="004F610F" w:rsidRDefault="00E35FCB" w:rsidP="00E35FCB">
      <w:pPr>
        <w:spacing w:after="0" w:line="240" w:lineRule="auto"/>
        <w:jc w:val="both"/>
        <w:rPr>
          <w:rFonts w:ascii="Times New Roman" w:hAnsi="Times New Roman"/>
          <w:b/>
          <w:bCs/>
          <w:iCs/>
          <w:sz w:val="20"/>
          <w:szCs w:val="20"/>
        </w:rPr>
      </w:pPr>
    </w:p>
    <w:p w14:paraId="177F7730" w14:textId="77777777" w:rsidR="00E35FCB" w:rsidRPr="004F610F" w:rsidRDefault="00E35FCB" w:rsidP="00E35FCB">
      <w:pPr>
        <w:spacing w:after="0" w:line="240" w:lineRule="auto"/>
        <w:jc w:val="both"/>
        <w:rPr>
          <w:rFonts w:ascii="Times New Roman" w:hAnsi="Times New Roman"/>
          <w:iCs/>
          <w:sz w:val="20"/>
          <w:szCs w:val="20"/>
        </w:rPr>
      </w:pPr>
      <w:r w:rsidRPr="004F610F">
        <w:rPr>
          <w:rFonts w:ascii="Times New Roman" w:hAnsi="Times New Roman"/>
          <w:iCs/>
          <w:sz w:val="20"/>
          <w:szCs w:val="20"/>
        </w:rPr>
        <w:t xml:space="preserve">The Trade Marks Act governs the statutory protection of trademarks and prevention of the use of fraudulent marks in India. It provides for the application and registration of trademarks in India. It also provides for exclusive rights to marks such as brand, label, and heading and to obtain relief in case of infringement for commercial purposes as a trade description. Under the provisions of the Trade Marks Act, an application for trade mark registration may be made with the Controller General of Patents, Designs and Trademarks by any person or persons claiming to be the proprietor of a trade mark, whether individually or as joint applicants, and </w:t>
      </w:r>
      <w:r w:rsidRPr="004F610F">
        <w:rPr>
          <w:rFonts w:ascii="Times New Roman" w:hAnsi="Times New Roman"/>
          <w:iCs/>
          <w:sz w:val="20"/>
          <w:szCs w:val="20"/>
        </w:rPr>
        <w:lastRenderedPageBreak/>
        <w:t>can be made on the basis of either actual use or intention to use a trade mark in the future. Once granted, a trade mark registration is valid for 10 years unless cancelled, subsequent to which, it can be renewed. If not renewed, the mark lapses and the registration is required to be restored to gain protection under the provisions of the Trade Marks Act. The Trade Marks Act prohibits registration of deceptively similar trademarks and provides penalties for infringement, falsifying or falsely applying for trademarks. Further, pursuant to the notification of the Trade Marks (Amendment) Act, 2010, simultaneous protection of trade mark in India and other countries has been made available to owners of Indian and foreign trade marks. It also seeks to simplify the law relating to the transfer of ownership of trade marks by assignment or transmission and to bring the law in line with international practices.</w:t>
      </w:r>
    </w:p>
    <w:p w14:paraId="3F4A81FC" w14:textId="77777777" w:rsidR="00E35FCB" w:rsidRPr="004F610F" w:rsidRDefault="00E35FCB" w:rsidP="00E35FCB">
      <w:pPr>
        <w:spacing w:after="0" w:line="240" w:lineRule="auto"/>
        <w:jc w:val="both"/>
        <w:rPr>
          <w:rFonts w:ascii="Times New Roman" w:hAnsi="Times New Roman"/>
          <w:b/>
          <w:bCs/>
          <w:i/>
          <w:iCs/>
          <w:sz w:val="20"/>
          <w:szCs w:val="20"/>
        </w:rPr>
      </w:pPr>
      <w:r w:rsidRPr="004F610F">
        <w:rPr>
          <w:rFonts w:ascii="Times New Roman" w:hAnsi="Times New Roman"/>
          <w:b/>
          <w:bCs/>
          <w:i/>
          <w:iCs/>
          <w:sz w:val="20"/>
          <w:szCs w:val="20"/>
        </w:rPr>
        <w:t>Copyright Act, 1957</w:t>
      </w:r>
    </w:p>
    <w:p w14:paraId="2869876D" w14:textId="77777777" w:rsidR="00E35FCB" w:rsidRPr="004F610F" w:rsidRDefault="00E35FCB" w:rsidP="00E35FCB">
      <w:pPr>
        <w:spacing w:after="0" w:line="240" w:lineRule="auto"/>
        <w:jc w:val="both"/>
        <w:rPr>
          <w:rFonts w:ascii="Times New Roman" w:hAnsi="Times New Roman"/>
          <w:iCs/>
          <w:sz w:val="20"/>
          <w:szCs w:val="20"/>
        </w:rPr>
      </w:pPr>
    </w:p>
    <w:p w14:paraId="737D2322" w14:textId="77777777" w:rsidR="00E35FCB" w:rsidRPr="004F610F" w:rsidRDefault="00E35FCB" w:rsidP="00E35FCB">
      <w:pPr>
        <w:spacing w:after="0" w:line="240" w:lineRule="auto"/>
        <w:jc w:val="both"/>
        <w:rPr>
          <w:rFonts w:ascii="Times New Roman" w:hAnsi="Times New Roman"/>
          <w:iCs/>
          <w:sz w:val="20"/>
          <w:szCs w:val="20"/>
        </w:rPr>
      </w:pPr>
      <w:r w:rsidRPr="004F610F">
        <w:rPr>
          <w:rFonts w:ascii="Times New Roman" w:hAnsi="Times New Roman"/>
          <w:iCs/>
          <w:sz w:val="20"/>
          <w:szCs w:val="20"/>
        </w:rPr>
        <w:t>Copyright is a right given by the law to creators of literary, dramatic, musical and artistic works and producers of cinematograph films and sound recordings. In fact, it is a bundle of rights including, inter alia, and rights of reproduction, communication to the public, adaptation and translation of the work. There could be slight variations in the composition of the rights depending on the work.</w:t>
      </w:r>
    </w:p>
    <w:p w14:paraId="22B9B495" w14:textId="77777777" w:rsidR="00E35FCB" w:rsidRPr="004F610F" w:rsidRDefault="00E35FCB" w:rsidP="00E35FCB">
      <w:pPr>
        <w:spacing w:after="0" w:line="240" w:lineRule="auto"/>
        <w:jc w:val="both"/>
        <w:rPr>
          <w:rFonts w:ascii="Times New Roman" w:hAnsi="Times New Roman"/>
          <w:iCs/>
          <w:sz w:val="20"/>
          <w:szCs w:val="20"/>
        </w:rPr>
      </w:pPr>
    </w:p>
    <w:p w14:paraId="49517AE4" w14:textId="77777777" w:rsidR="00E35FCB" w:rsidRPr="004F610F" w:rsidRDefault="00E35FCB" w:rsidP="00E35FCB">
      <w:pPr>
        <w:spacing w:after="0" w:line="240" w:lineRule="auto"/>
        <w:jc w:val="both"/>
        <w:rPr>
          <w:rFonts w:ascii="Times New Roman" w:hAnsi="Times New Roman"/>
          <w:b/>
          <w:bCs/>
          <w:i/>
          <w:iCs/>
          <w:sz w:val="20"/>
          <w:szCs w:val="20"/>
        </w:rPr>
      </w:pPr>
      <w:r w:rsidRPr="004F610F">
        <w:rPr>
          <w:rFonts w:ascii="Times New Roman" w:hAnsi="Times New Roman"/>
          <w:b/>
          <w:bCs/>
          <w:i/>
          <w:iCs/>
          <w:sz w:val="20"/>
          <w:szCs w:val="20"/>
        </w:rPr>
        <w:t>Design Act, 2000 (“Design Act”)</w:t>
      </w:r>
    </w:p>
    <w:p w14:paraId="55E45099" w14:textId="77777777" w:rsidR="00E35FCB" w:rsidRPr="004F610F" w:rsidRDefault="00E35FCB" w:rsidP="00E35FCB">
      <w:pPr>
        <w:spacing w:after="0" w:line="240" w:lineRule="auto"/>
        <w:jc w:val="both"/>
        <w:rPr>
          <w:rFonts w:ascii="Times New Roman" w:hAnsi="Times New Roman"/>
          <w:b/>
          <w:bCs/>
          <w:i/>
          <w:iCs/>
          <w:sz w:val="20"/>
          <w:szCs w:val="20"/>
        </w:rPr>
      </w:pPr>
    </w:p>
    <w:p w14:paraId="32F4DA45" w14:textId="77777777" w:rsidR="00E35FCB" w:rsidRPr="004F610F" w:rsidRDefault="00E35FCB" w:rsidP="00E35FCB">
      <w:pPr>
        <w:spacing w:after="0" w:line="240" w:lineRule="auto"/>
        <w:jc w:val="both"/>
        <w:rPr>
          <w:rFonts w:ascii="Times New Roman" w:hAnsi="Times New Roman"/>
          <w:iCs/>
          <w:sz w:val="20"/>
          <w:szCs w:val="20"/>
        </w:rPr>
      </w:pPr>
      <w:r w:rsidRPr="004F610F">
        <w:rPr>
          <w:rFonts w:ascii="Times New Roman" w:hAnsi="Times New Roman"/>
          <w:iCs/>
          <w:sz w:val="20"/>
          <w:szCs w:val="20"/>
        </w:rPr>
        <w:t>The Design Act, which came into force in May 2001, along with the rules made thereunder consolidate and amend the law relating to protection of designs. A design refers to the features of shape, configuration, pattern, ornamentation or composition of lines or colours applied to any article, in two or three dimensional or both forms, by an industrial process or means, whether manual, mechanical or chemical, separate or combined, which in the finished article appeal to and are judged solely by the eye. In order to register a design, it must be new or original and must not be disclosed to the public anywhere in India or any other country by publication in tangible form or by use or in any other way prior to the filing date. A design should be significantly distinguishable from known designs or combination of known designs in order for it to be registered. A registered design is valid for a period of 10 years after which the same can be renewed for a second period of five years, before the expiration of the original period of 10 years. After such period, the design is made available to the public by placing it in the public domain.</w:t>
      </w:r>
    </w:p>
    <w:p w14:paraId="766656FD" w14:textId="77777777" w:rsidR="00E35FCB" w:rsidRPr="004F610F" w:rsidRDefault="00E35FCB" w:rsidP="00E35FCB">
      <w:pPr>
        <w:autoSpaceDE w:val="0"/>
        <w:autoSpaceDN w:val="0"/>
        <w:adjustRightInd w:val="0"/>
        <w:spacing w:after="0" w:line="240" w:lineRule="auto"/>
        <w:jc w:val="both"/>
        <w:rPr>
          <w:rFonts w:ascii="Times New Roman" w:hAnsi="Times New Roman"/>
          <w:sz w:val="20"/>
          <w:szCs w:val="20"/>
        </w:rPr>
      </w:pPr>
    </w:p>
    <w:p w14:paraId="4F242484" w14:textId="77777777" w:rsidR="00E35FCB" w:rsidRPr="004F610F" w:rsidRDefault="00E35FCB" w:rsidP="00E35FCB">
      <w:pPr>
        <w:spacing w:after="0" w:line="240" w:lineRule="auto"/>
        <w:jc w:val="both"/>
        <w:rPr>
          <w:rFonts w:ascii="Times New Roman" w:hAnsi="Times New Roman"/>
          <w:b/>
          <w:bCs/>
          <w:sz w:val="20"/>
          <w:szCs w:val="20"/>
          <w:lang w:bidi="en-US"/>
        </w:rPr>
      </w:pPr>
      <w:r w:rsidRPr="004F610F">
        <w:rPr>
          <w:rFonts w:ascii="Times New Roman" w:hAnsi="Times New Roman"/>
          <w:b/>
          <w:bCs/>
          <w:sz w:val="20"/>
          <w:szCs w:val="20"/>
          <w:lang w:bidi="en-US"/>
        </w:rPr>
        <w:t>OTHER LAWS</w:t>
      </w:r>
    </w:p>
    <w:p w14:paraId="3899B87E" w14:textId="77777777" w:rsidR="00E35FCB" w:rsidRPr="004F610F" w:rsidRDefault="00E35FCB" w:rsidP="00E35FCB">
      <w:pPr>
        <w:spacing w:after="0" w:line="240" w:lineRule="auto"/>
        <w:jc w:val="both"/>
        <w:rPr>
          <w:rFonts w:ascii="Times New Roman" w:hAnsi="Times New Roman"/>
          <w:sz w:val="20"/>
          <w:szCs w:val="20"/>
        </w:rPr>
      </w:pPr>
    </w:p>
    <w:p w14:paraId="7C4779C2" w14:textId="77777777" w:rsidR="00E35FCB" w:rsidRPr="004F610F" w:rsidRDefault="00E35FCB" w:rsidP="00E35FCB">
      <w:pPr>
        <w:spacing w:after="0" w:line="240" w:lineRule="auto"/>
        <w:jc w:val="both"/>
        <w:rPr>
          <w:rFonts w:ascii="Times New Roman" w:hAnsi="Times New Roman"/>
          <w:b/>
          <w:i/>
          <w:sz w:val="20"/>
          <w:szCs w:val="20"/>
        </w:rPr>
      </w:pPr>
      <w:r w:rsidRPr="004F610F">
        <w:rPr>
          <w:rFonts w:ascii="Times New Roman" w:hAnsi="Times New Roman"/>
          <w:b/>
          <w:i/>
          <w:sz w:val="20"/>
          <w:szCs w:val="20"/>
        </w:rPr>
        <w:t>Municipality Laws</w:t>
      </w:r>
    </w:p>
    <w:p w14:paraId="5D170C53" w14:textId="77777777" w:rsidR="00E35FCB" w:rsidRPr="004F610F" w:rsidRDefault="00E35FCB" w:rsidP="00E35FCB">
      <w:pPr>
        <w:spacing w:after="0" w:line="240" w:lineRule="auto"/>
        <w:jc w:val="both"/>
        <w:rPr>
          <w:rFonts w:ascii="Times New Roman" w:hAnsi="Times New Roman"/>
          <w:b/>
          <w:i/>
          <w:sz w:val="20"/>
          <w:szCs w:val="20"/>
        </w:rPr>
      </w:pPr>
    </w:p>
    <w:p w14:paraId="5840A7F0" w14:textId="77777777" w:rsidR="00E35FCB" w:rsidRPr="004F610F" w:rsidRDefault="00E35FCB" w:rsidP="00E35FCB">
      <w:pPr>
        <w:spacing w:after="0" w:line="240" w:lineRule="auto"/>
        <w:jc w:val="both"/>
        <w:rPr>
          <w:rFonts w:ascii="Times New Roman" w:hAnsi="Times New Roman"/>
          <w:sz w:val="20"/>
          <w:szCs w:val="20"/>
        </w:rPr>
      </w:pPr>
      <w:r w:rsidRPr="004F610F">
        <w:rPr>
          <w:rFonts w:ascii="Times New Roman" w:hAnsi="Times New Roman"/>
          <w:sz w:val="20"/>
          <w:szCs w:val="20"/>
        </w:rPr>
        <w:t>Pursuant to the Seventy Fourth Amendment Act, 1992, the respective State Legislatures in India have the power to endow the Municipalities (as defined under Article 243Q of the Constitution of India) with the power to implement schemes and perform functions in relation to matters listed in the Twelfth Schedule to the Constitution of India which includes regulation of public health. The respective States of India have enacted laws empowering the Municipalities to regulate public health including the issuance of a health trade license for operating eating outlets and implementation of regulations relating to such license along with prescribing penalties for non-compliance.</w:t>
      </w:r>
    </w:p>
    <w:p w14:paraId="43778F95" w14:textId="77777777" w:rsidR="00E35FCB" w:rsidRPr="004F610F" w:rsidRDefault="00E35FCB" w:rsidP="00E35FCB">
      <w:pPr>
        <w:spacing w:after="0" w:line="240" w:lineRule="auto"/>
        <w:jc w:val="both"/>
        <w:rPr>
          <w:rFonts w:ascii="Times New Roman" w:hAnsi="Times New Roman"/>
          <w:b/>
          <w:sz w:val="20"/>
          <w:szCs w:val="20"/>
        </w:rPr>
      </w:pPr>
    </w:p>
    <w:p w14:paraId="5CCC2876" w14:textId="77777777" w:rsidR="00E35FCB" w:rsidRPr="004F610F" w:rsidRDefault="00E35FCB" w:rsidP="00E35FCB">
      <w:pPr>
        <w:spacing w:after="0" w:line="240" w:lineRule="auto"/>
        <w:jc w:val="both"/>
        <w:rPr>
          <w:rFonts w:ascii="Times New Roman" w:hAnsi="Times New Roman"/>
          <w:b/>
          <w:i/>
          <w:sz w:val="20"/>
          <w:szCs w:val="20"/>
        </w:rPr>
      </w:pPr>
      <w:r w:rsidRPr="004F610F">
        <w:rPr>
          <w:rFonts w:ascii="Times New Roman" w:hAnsi="Times New Roman"/>
          <w:b/>
          <w:i/>
          <w:sz w:val="20"/>
          <w:szCs w:val="20"/>
        </w:rPr>
        <w:t>Police Laws</w:t>
      </w:r>
    </w:p>
    <w:p w14:paraId="1F390ED6" w14:textId="77777777" w:rsidR="00E35FCB" w:rsidRPr="004F610F" w:rsidRDefault="00E35FCB" w:rsidP="00E35FCB">
      <w:pPr>
        <w:spacing w:after="0" w:line="240" w:lineRule="auto"/>
        <w:jc w:val="both"/>
        <w:rPr>
          <w:rFonts w:ascii="Times New Roman" w:hAnsi="Times New Roman"/>
          <w:b/>
          <w:sz w:val="20"/>
          <w:szCs w:val="20"/>
        </w:rPr>
      </w:pPr>
    </w:p>
    <w:p w14:paraId="6AFAE4A8" w14:textId="77777777" w:rsidR="00E35FCB" w:rsidRPr="004F610F" w:rsidRDefault="00E35FCB" w:rsidP="00E35FCB">
      <w:pPr>
        <w:spacing w:after="0" w:line="240" w:lineRule="auto"/>
        <w:jc w:val="both"/>
        <w:rPr>
          <w:rFonts w:ascii="Times New Roman" w:hAnsi="Times New Roman"/>
          <w:sz w:val="20"/>
          <w:szCs w:val="20"/>
        </w:rPr>
      </w:pPr>
      <w:r w:rsidRPr="004F610F">
        <w:rPr>
          <w:rFonts w:ascii="Times New Roman" w:hAnsi="Times New Roman"/>
          <w:sz w:val="20"/>
          <w:szCs w:val="20"/>
        </w:rPr>
        <w:t>The State Legislatures in India are empowered to enact laws in relation to public order and police under Entries 1 and 2 of the State List (List II) to the Constitution of India. Pursuant to the same the respective States of India have enacted laws regulating the same along with prescribing penalties for non-compliance.</w:t>
      </w:r>
    </w:p>
    <w:p w14:paraId="3622F4B9" w14:textId="77777777" w:rsidR="00E35FCB" w:rsidRPr="004F610F" w:rsidRDefault="00E35FCB" w:rsidP="00E35FCB">
      <w:pPr>
        <w:spacing w:after="0" w:line="240" w:lineRule="auto"/>
        <w:jc w:val="both"/>
        <w:rPr>
          <w:rFonts w:ascii="Times New Roman" w:hAnsi="Times New Roman"/>
          <w:b/>
          <w:sz w:val="20"/>
          <w:szCs w:val="20"/>
        </w:rPr>
      </w:pPr>
    </w:p>
    <w:p w14:paraId="76132210" w14:textId="77777777" w:rsidR="00E35FCB" w:rsidRPr="004F610F" w:rsidRDefault="00E35FCB" w:rsidP="00E35FCB">
      <w:pPr>
        <w:spacing w:after="0" w:line="240" w:lineRule="auto"/>
        <w:jc w:val="both"/>
        <w:rPr>
          <w:rFonts w:ascii="Times New Roman" w:hAnsi="Times New Roman"/>
          <w:b/>
          <w:i/>
          <w:sz w:val="20"/>
          <w:szCs w:val="20"/>
        </w:rPr>
      </w:pPr>
      <w:r w:rsidRPr="004F610F">
        <w:rPr>
          <w:rFonts w:ascii="Times New Roman" w:hAnsi="Times New Roman"/>
          <w:b/>
          <w:i/>
          <w:sz w:val="20"/>
          <w:szCs w:val="20"/>
        </w:rPr>
        <w:t>Approvals from Local Authorities</w:t>
      </w:r>
    </w:p>
    <w:p w14:paraId="570EBD3E" w14:textId="77777777" w:rsidR="00E35FCB" w:rsidRPr="004F610F" w:rsidRDefault="00E35FCB" w:rsidP="00E35FCB">
      <w:pPr>
        <w:spacing w:after="0" w:line="240" w:lineRule="auto"/>
        <w:jc w:val="both"/>
        <w:rPr>
          <w:rFonts w:ascii="Times New Roman" w:hAnsi="Times New Roman"/>
          <w:b/>
          <w:sz w:val="20"/>
          <w:szCs w:val="20"/>
        </w:rPr>
      </w:pPr>
    </w:p>
    <w:p w14:paraId="0226A16B" w14:textId="0627B466" w:rsidR="00E35FCB" w:rsidRDefault="00E35FCB" w:rsidP="00E35FCB">
      <w:pPr>
        <w:spacing w:after="0" w:line="240" w:lineRule="auto"/>
        <w:jc w:val="both"/>
        <w:rPr>
          <w:rFonts w:ascii="Times New Roman" w:hAnsi="Times New Roman"/>
          <w:sz w:val="20"/>
          <w:szCs w:val="20"/>
        </w:rPr>
      </w:pPr>
      <w:r w:rsidRPr="004F610F">
        <w:rPr>
          <w:rFonts w:ascii="Times New Roman" w:hAnsi="Times New Roman"/>
          <w:sz w:val="20"/>
          <w:szCs w:val="20"/>
        </w:rPr>
        <w:t>Setting up of a Factory or Manufacturing/Housing unit/Establishments entails the requisite Planning approvals to be obtained from the relevant Local Panchayat(s) outside the city limits and appropriate Metropolitan Development Authority within the city limits. Consents from the state Pollution Control Board(s), the relevant state Electricity Board(s), the State Excise Authorities, Sales Tax, are required to be obtained before commencing the building of a factory or the start of manufacturing oper</w:t>
      </w:r>
      <w:r>
        <w:rPr>
          <w:rFonts w:ascii="Times New Roman" w:hAnsi="Times New Roman"/>
          <w:sz w:val="20"/>
          <w:szCs w:val="20"/>
        </w:rPr>
        <w:t>ations.</w:t>
      </w:r>
    </w:p>
    <w:p w14:paraId="3C405657" w14:textId="77777777" w:rsidR="00E35FCB" w:rsidRDefault="00E35FCB">
      <w:pPr>
        <w:spacing w:after="160" w:line="259" w:lineRule="auto"/>
        <w:rPr>
          <w:rFonts w:ascii="Times New Roman" w:hAnsi="Times New Roman"/>
          <w:sz w:val="20"/>
          <w:szCs w:val="20"/>
        </w:rPr>
      </w:pPr>
      <w:r>
        <w:rPr>
          <w:rFonts w:ascii="Times New Roman" w:hAnsi="Times New Roman"/>
          <w:sz w:val="20"/>
          <w:szCs w:val="20"/>
        </w:rPr>
        <w:br w:type="page"/>
      </w:r>
    </w:p>
    <w:p w14:paraId="7C57C4D2" w14:textId="77777777" w:rsidR="006E559F" w:rsidRPr="006E559F" w:rsidRDefault="006E559F" w:rsidP="006E559F">
      <w:pPr>
        <w:pBdr>
          <w:top w:val="nil"/>
          <w:left w:val="nil"/>
          <w:bottom w:val="nil"/>
          <w:right w:val="nil"/>
          <w:between w:val="nil"/>
        </w:pBdr>
        <w:spacing w:after="0" w:line="240" w:lineRule="auto"/>
        <w:jc w:val="center"/>
        <w:rPr>
          <w:rFonts w:ascii="Times New Roman" w:hAnsi="Times New Roman"/>
          <w:b/>
          <w:color w:val="000000"/>
          <w:sz w:val="20"/>
          <w:szCs w:val="20"/>
          <w:u w:val="single"/>
        </w:rPr>
      </w:pPr>
      <w:r w:rsidRPr="006E559F">
        <w:rPr>
          <w:rFonts w:ascii="Times New Roman" w:hAnsi="Times New Roman"/>
          <w:b/>
          <w:color w:val="000000"/>
          <w:sz w:val="20"/>
          <w:szCs w:val="20"/>
          <w:u w:val="single"/>
        </w:rPr>
        <w:lastRenderedPageBreak/>
        <w:t>HISTORY AND CORPORATE STRUCTURE</w:t>
      </w:r>
    </w:p>
    <w:p w14:paraId="4E269710" w14:textId="77777777" w:rsidR="006E559F" w:rsidRPr="006E559F" w:rsidRDefault="006E559F" w:rsidP="006E559F">
      <w:pPr>
        <w:spacing w:after="0" w:line="240" w:lineRule="auto"/>
        <w:ind w:left="-90"/>
        <w:jc w:val="both"/>
        <w:rPr>
          <w:rFonts w:ascii="Times New Roman" w:hAnsi="Times New Roman"/>
          <w:b/>
          <w:color w:val="000000"/>
          <w:sz w:val="20"/>
          <w:szCs w:val="20"/>
        </w:rPr>
      </w:pPr>
    </w:p>
    <w:p w14:paraId="397E1482" w14:textId="77777777" w:rsidR="006E559F" w:rsidRPr="006E559F" w:rsidRDefault="006E559F" w:rsidP="006E559F">
      <w:pPr>
        <w:spacing w:after="0" w:line="240" w:lineRule="auto"/>
        <w:jc w:val="both"/>
        <w:rPr>
          <w:rFonts w:ascii="Times New Roman" w:hAnsi="Times New Roman"/>
          <w:b/>
          <w:color w:val="000000"/>
          <w:sz w:val="20"/>
          <w:szCs w:val="20"/>
        </w:rPr>
      </w:pPr>
      <w:r w:rsidRPr="006E559F">
        <w:rPr>
          <w:rFonts w:ascii="Times New Roman" w:hAnsi="Times New Roman"/>
          <w:b/>
          <w:color w:val="000000"/>
          <w:sz w:val="20"/>
          <w:szCs w:val="20"/>
        </w:rPr>
        <w:t>Brief history of our Company</w:t>
      </w:r>
    </w:p>
    <w:p w14:paraId="34E594F2" w14:textId="77777777" w:rsidR="006E559F" w:rsidRPr="006E559F" w:rsidRDefault="006E559F" w:rsidP="006E559F">
      <w:pPr>
        <w:spacing w:after="0" w:line="240" w:lineRule="auto"/>
        <w:jc w:val="both"/>
        <w:rPr>
          <w:rFonts w:ascii="Times New Roman" w:hAnsi="Times New Roman"/>
          <w:b/>
          <w:sz w:val="20"/>
          <w:szCs w:val="20"/>
        </w:rPr>
      </w:pPr>
    </w:p>
    <w:p w14:paraId="668FD9F5" w14:textId="77777777" w:rsidR="006E559F" w:rsidRPr="006E559F" w:rsidRDefault="006E559F" w:rsidP="006E559F">
      <w:pPr>
        <w:widowControl w:val="0"/>
        <w:spacing w:after="0" w:line="240" w:lineRule="auto"/>
        <w:ind w:right="-64"/>
        <w:jc w:val="both"/>
        <w:rPr>
          <w:rFonts w:ascii="Times New Roman" w:hAnsi="Times New Roman"/>
          <w:sz w:val="20"/>
          <w:szCs w:val="20"/>
        </w:rPr>
      </w:pPr>
      <w:bookmarkStart w:id="15" w:name="_Hlk132293765"/>
      <w:r w:rsidRPr="006E559F">
        <w:rPr>
          <w:rFonts w:ascii="Times New Roman" w:hAnsi="Times New Roman"/>
          <w:sz w:val="20"/>
          <w:szCs w:val="20"/>
        </w:rPr>
        <w:t>Our Company was originally incorporated as a private limited Company under the name of “Siyaram Impex Private Limited” on February 12, 2007 under the provisions of the Companies Act, 1956 with the Registrar of Companies, Gujarat, Dadra and Nagar Havelli, bearing registration number as 049999. Further, pursuant to Special Resolution passed by the shareholders at the Extra Ordinary General Meeting held on July 24, 2023, the name of our Company was changed from “Siyaram Impex Private Limited” to “Siyaram Recycling Industries Private Limited” and a fresh certificate of incorporation pursuant to change of name was issued by the Registrar of Companies, Ahmedabad vide certificate dated July 27, 2023. Subsequently, pursuant to Special Resolution passed by the Shareholders at the Extra Ordinary General Meeting, held on August 05, 2023 our Company was converted into a Public Limited Company and consequently the name of our Company was changed from “Siyaram Recycling Industries Private Limited” to “Siyaram Recycling Industries Limited” vide a fresh certificate of incorporation consequent upon conversion from private company to public company dated August 24, 2023 issued by the Registrar of Companies, Ahmedabad bearing CIN U27106GJ2007PLC049999.</w:t>
      </w:r>
    </w:p>
    <w:bookmarkEnd w:id="15"/>
    <w:p w14:paraId="37A9883C" w14:textId="77777777" w:rsidR="006E559F" w:rsidRPr="006E559F" w:rsidRDefault="006E559F" w:rsidP="006E559F">
      <w:pPr>
        <w:widowControl w:val="0"/>
        <w:spacing w:after="0" w:line="240" w:lineRule="auto"/>
        <w:ind w:right="-64"/>
        <w:jc w:val="both"/>
        <w:rPr>
          <w:rFonts w:ascii="Times New Roman" w:hAnsi="Times New Roman"/>
          <w:sz w:val="20"/>
          <w:szCs w:val="20"/>
        </w:rPr>
      </w:pPr>
    </w:p>
    <w:p w14:paraId="7DDC45C7" w14:textId="77777777" w:rsidR="006E559F" w:rsidRPr="006E559F" w:rsidRDefault="006E559F" w:rsidP="006E559F">
      <w:pPr>
        <w:spacing w:after="0" w:line="240" w:lineRule="auto"/>
        <w:ind w:right="-64"/>
        <w:jc w:val="both"/>
        <w:rPr>
          <w:rFonts w:ascii="Times New Roman" w:hAnsi="Times New Roman"/>
          <w:sz w:val="20"/>
          <w:szCs w:val="20"/>
        </w:rPr>
      </w:pPr>
      <w:r w:rsidRPr="006E559F">
        <w:rPr>
          <w:rFonts w:ascii="Times New Roman" w:hAnsi="Times New Roman"/>
          <w:color w:val="000000"/>
          <w:sz w:val="20"/>
          <w:szCs w:val="20"/>
        </w:rPr>
        <w:t xml:space="preserve">Ramgopal Ochhavlal Maheshwari and Dhaval Jinesh Shah </w:t>
      </w:r>
      <w:r w:rsidRPr="006E559F">
        <w:rPr>
          <w:rFonts w:ascii="Times New Roman" w:hAnsi="Times New Roman"/>
          <w:sz w:val="20"/>
          <w:szCs w:val="20"/>
        </w:rPr>
        <w:t xml:space="preserve">were the initial subscribers to the Memorandum of Association of our Company.  </w:t>
      </w:r>
    </w:p>
    <w:p w14:paraId="066DD749" w14:textId="77777777" w:rsidR="006E559F" w:rsidRPr="006E559F" w:rsidRDefault="006E559F" w:rsidP="006E559F">
      <w:pPr>
        <w:spacing w:after="0" w:line="240" w:lineRule="auto"/>
        <w:ind w:right="-64"/>
        <w:jc w:val="both"/>
        <w:rPr>
          <w:rFonts w:ascii="Times New Roman" w:hAnsi="Times New Roman"/>
          <w:sz w:val="20"/>
          <w:szCs w:val="20"/>
        </w:rPr>
      </w:pPr>
    </w:p>
    <w:p w14:paraId="3EE8C5E4" w14:textId="77777777" w:rsidR="006E559F" w:rsidRPr="006E559F" w:rsidRDefault="006E559F" w:rsidP="006E559F">
      <w:pPr>
        <w:spacing w:after="0" w:line="240" w:lineRule="auto"/>
        <w:jc w:val="both"/>
        <w:rPr>
          <w:rFonts w:ascii="Times New Roman" w:hAnsi="Times New Roman"/>
          <w:b/>
          <w:color w:val="000000"/>
          <w:sz w:val="20"/>
          <w:szCs w:val="20"/>
        </w:rPr>
      </w:pPr>
      <w:r w:rsidRPr="006E559F">
        <w:rPr>
          <w:rFonts w:ascii="Times New Roman" w:hAnsi="Times New Roman"/>
          <w:b/>
          <w:color w:val="000000"/>
          <w:sz w:val="20"/>
          <w:szCs w:val="20"/>
        </w:rPr>
        <w:t>Address of the Registered Office:</w:t>
      </w:r>
    </w:p>
    <w:p w14:paraId="02FC826A" w14:textId="77777777" w:rsidR="006E559F" w:rsidRPr="006E559F" w:rsidRDefault="006E559F" w:rsidP="006E559F">
      <w:pPr>
        <w:spacing w:after="0" w:line="240" w:lineRule="auto"/>
        <w:jc w:val="both"/>
        <w:rPr>
          <w:rFonts w:ascii="Times New Roman" w:hAnsi="Times New Roman"/>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55"/>
        <w:gridCol w:w="8701"/>
      </w:tblGrid>
      <w:tr w:rsidR="006E559F" w:rsidRPr="006E559F" w14:paraId="4A5E52D5" w14:textId="77777777" w:rsidTr="00716083">
        <w:tc>
          <w:tcPr>
            <w:tcW w:w="839" w:type="pct"/>
            <w:shd w:val="clear" w:color="auto" w:fill="D0CECE" w:themeFill="background2" w:themeFillShade="E6"/>
            <w:vAlign w:val="center"/>
          </w:tcPr>
          <w:p w14:paraId="2C23D408" w14:textId="77777777" w:rsidR="006E559F" w:rsidRPr="006E559F" w:rsidRDefault="006E559F" w:rsidP="006E559F">
            <w:pPr>
              <w:spacing w:after="0" w:line="240" w:lineRule="auto"/>
              <w:jc w:val="both"/>
              <w:rPr>
                <w:rFonts w:ascii="Times New Roman" w:hAnsi="Times New Roman"/>
                <w:b/>
                <w:sz w:val="20"/>
                <w:szCs w:val="20"/>
              </w:rPr>
            </w:pPr>
            <w:r w:rsidRPr="006E559F">
              <w:rPr>
                <w:rFonts w:ascii="Times New Roman" w:hAnsi="Times New Roman"/>
                <w:b/>
                <w:sz w:val="20"/>
                <w:szCs w:val="20"/>
              </w:rPr>
              <w:t>Registered Office</w:t>
            </w:r>
          </w:p>
        </w:tc>
        <w:tc>
          <w:tcPr>
            <w:tcW w:w="4161" w:type="pct"/>
            <w:shd w:val="clear" w:color="auto" w:fill="auto"/>
            <w:vAlign w:val="center"/>
          </w:tcPr>
          <w:p w14:paraId="758A013C" w14:textId="77777777" w:rsidR="006E559F" w:rsidRPr="006E559F" w:rsidRDefault="006E559F" w:rsidP="006E559F">
            <w:pPr>
              <w:spacing w:after="0" w:line="240" w:lineRule="auto"/>
              <w:ind w:right="-90"/>
              <w:jc w:val="both"/>
              <w:rPr>
                <w:rFonts w:ascii="Times New Roman" w:hAnsi="Times New Roman"/>
                <w:sz w:val="20"/>
                <w:szCs w:val="20"/>
              </w:rPr>
            </w:pPr>
            <w:r w:rsidRPr="006E559F">
              <w:rPr>
                <w:rFonts w:ascii="Times New Roman" w:hAnsi="Times New Roman"/>
                <w:sz w:val="20"/>
                <w:szCs w:val="20"/>
              </w:rPr>
              <w:t>Plot No. 6 &amp; 7, Village: Lakhabaval Post: Khodiyar Colony Jamnagar-361006 Gujarat India</w:t>
            </w:r>
          </w:p>
        </w:tc>
      </w:tr>
    </w:tbl>
    <w:p w14:paraId="1F9C8EEC" w14:textId="77777777" w:rsidR="006E559F" w:rsidRPr="006E559F" w:rsidRDefault="006E559F" w:rsidP="006E559F">
      <w:pPr>
        <w:spacing w:after="0" w:line="240" w:lineRule="auto"/>
        <w:jc w:val="both"/>
        <w:rPr>
          <w:rFonts w:ascii="Times New Roman" w:hAnsi="Times New Roman"/>
          <w:sz w:val="20"/>
          <w:szCs w:val="20"/>
        </w:rPr>
      </w:pPr>
    </w:p>
    <w:p w14:paraId="5423A988" w14:textId="77777777" w:rsidR="006E559F" w:rsidRPr="006E559F" w:rsidRDefault="006E559F" w:rsidP="006E559F">
      <w:pPr>
        <w:spacing w:after="0" w:line="240" w:lineRule="auto"/>
        <w:jc w:val="both"/>
        <w:rPr>
          <w:rFonts w:ascii="Times New Roman" w:hAnsi="Times New Roman"/>
          <w:b/>
          <w:color w:val="000000"/>
          <w:sz w:val="20"/>
          <w:szCs w:val="20"/>
        </w:rPr>
      </w:pPr>
      <w:r w:rsidRPr="006E559F">
        <w:rPr>
          <w:rFonts w:ascii="Times New Roman" w:hAnsi="Times New Roman"/>
          <w:b/>
          <w:color w:val="000000"/>
          <w:sz w:val="20"/>
          <w:szCs w:val="20"/>
        </w:rPr>
        <w:t>Changes in Registered Office of the Company:</w:t>
      </w:r>
    </w:p>
    <w:p w14:paraId="772BB047" w14:textId="77777777" w:rsidR="006E559F" w:rsidRPr="006E559F" w:rsidRDefault="006E559F" w:rsidP="006E559F">
      <w:pPr>
        <w:spacing w:after="0" w:line="240" w:lineRule="auto"/>
        <w:jc w:val="both"/>
        <w:rPr>
          <w:rFonts w:ascii="Times New Roman" w:hAnsi="Times New Roman"/>
          <w:b/>
          <w:color w:val="000000"/>
          <w:sz w:val="20"/>
          <w:szCs w:val="20"/>
        </w:rPr>
      </w:pPr>
    </w:p>
    <w:p w14:paraId="621686E2" w14:textId="77777777" w:rsidR="006E559F" w:rsidRPr="006E559F" w:rsidRDefault="006E559F" w:rsidP="006E559F">
      <w:pPr>
        <w:spacing w:after="0" w:line="240" w:lineRule="auto"/>
        <w:jc w:val="both"/>
        <w:rPr>
          <w:rFonts w:ascii="Times New Roman" w:hAnsi="Times New Roman"/>
          <w:bCs/>
          <w:color w:val="000000"/>
          <w:sz w:val="20"/>
          <w:szCs w:val="20"/>
        </w:rPr>
      </w:pPr>
      <w:r w:rsidRPr="006E559F">
        <w:rPr>
          <w:rFonts w:ascii="Times New Roman" w:hAnsi="Times New Roman"/>
          <w:bCs/>
          <w:color w:val="000000"/>
          <w:sz w:val="20"/>
          <w:szCs w:val="20"/>
        </w:rPr>
        <w:t>There has not been any change in our Registered Office since incorporation till the date of this Draft Red Herring Prospectus</w:t>
      </w:r>
      <w:r w:rsidRPr="006E559F">
        <w:rPr>
          <w:rFonts w:ascii="Times New Roman" w:hAnsi="Times New Roman"/>
          <w:bCs/>
          <w:sz w:val="20"/>
          <w:szCs w:val="20"/>
        </w:rPr>
        <w:t>.</w:t>
      </w:r>
    </w:p>
    <w:p w14:paraId="154165F2" w14:textId="77777777" w:rsidR="006E559F" w:rsidRPr="006E559F" w:rsidRDefault="006E559F" w:rsidP="006E559F">
      <w:pPr>
        <w:spacing w:after="0" w:line="240" w:lineRule="auto"/>
        <w:ind w:left="-90" w:right="-64"/>
        <w:jc w:val="both"/>
        <w:rPr>
          <w:rFonts w:ascii="Times New Roman" w:hAnsi="Times New Roman"/>
          <w:b/>
          <w:sz w:val="20"/>
          <w:szCs w:val="20"/>
        </w:rPr>
      </w:pPr>
    </w:p>
    <w:p w14:paraId="08F0A03A" w14:textId="77777777" w:rsidR="006E559F" w:rsidRPr="006E559F" w:rsidRDefault="006E559F" w:rsidP="006E559F">
      <w:pPr>
        <w:spacing w:after="0" w:line="240" w:lineRule="auto"/>
        <w:jc w:val="both"/>
        <w:rPr>
          <w:rFonts w:ascii="Times New Roman" w:hAnsi="Times New Roman"/>
          <w:b/>
          <w:color w:val="000000"/>
          <w:sz w:val="20"/>
          <w:szCs w:val="20"/>
        </w:rPr>
      </w:pPr>
      <w:r w:rsidRPr="006E559F">
        <w:rPr>
          <w:rFonts w:ascii="Times New Roman" w:hAnsi="Times New Roman"/>
          <w:b/>
          <w:color w:val="000000"/>
          <w:sz w:val="20"/>
          <w:szCs w:val="20"/>
        </w:rPr>
        <w:t>Main Objects of Memorandum of Association:</w:t>
      </w:r>
    </w:p>
    <w:p w14:paraId="123F8419" w14:textId="77777777" w:rsidR="006E559F" w:rsidRPr="006E559F" w:rsidRDefault="006E559F" w:rsidP="006E559F">
      <w:pPr>
        <w:spacing w:after="0" w:line="240" w:lineRule="auto"/>
        <w:jc w:val="both"/>
        <w:rPr>
          <w:rFonts w:ascii="Times New Roman" w:hAnsi="Times New Roman"/>
          <w:b/>
          <w:color w:val="000000"/>
          <w:sz w:val="20"/>
          <w:szCs w:val="20"/>
        </w:rPr>
      </w:pPr>
    </w:p>
    <w:p w14:paraId="29BB814F" w14:textId="77777777" w:rsidR="006E559F" w:rsidRPr="006E559F" w:rsidRDefault="006E559F" w:rsidP="006E559F">
      <w:pPr>
        <w:spacing w:after="0" w:line="240" w:lineRule="auto"/>
        <w:jc w:val="both"/>
        <w:rPr>
          <w:rFonts w:ascii="Times New Roman" w:hAnsi="Times New Roman"/>
          <w:color w:val="000000"/>
          <w:sz w:val="20"/>
          <w:szCs w:val="20"/>
        </w:rPr>
      </w:pPr>
      <w:r w:rsidRPr="006E559F">
        <w:rPr>
          <w:rFonts w:ascii="Times New Roman" w:hAnsi="Times New Roman"/>
          <w:color w:val="000000"/>
          <w:sz w:val="20"/>
          <w:szCs w:val="20"/>
        </w:rPr>
        <w:t>The main objects of our Company as contained in our Clause III(A) of Memorandum of Association of our Company are as follows:</w:t>
      </w:r>
    </w:p>
    <w:p w14:paraId="195C7F74" w14:textId="77777777" w:rsidR="006E559F" w:rsidRPr="006E559F" w:rsidRDefault="006E559F" w:rsidP="006E559F">
      <w:pPr>
        <w:spacing w:after="0" w:line="240" w:lineRule="auto"/>
        <w:ind w:left="-90" w:right="-64"/>
        <w:jc w:val="both"/>
        <w:rPr>
          <w:rFonts w:ascii="Times New Roman" w:hAnsi="Times New Roman"/>
          <w:b/>
          <w:color w:val="000000"/>
          <w:sz w:val="20"/>
          <w:szCs w:val="20"/>
        </w:rPr>
      </w:pPr>
    </w:p>
    <w:p w14:paraId="0C92511F" w14:textId="77777777" w:rsidR="006E559F" w:rsidRPr="006E559F" w:rsidRDefault="006E559F">
      <w:pPr>
        <w:numPr>
          <w:ilvl w:val="0"/>
          <w:numId w:val="344"/>
        </w:numPr>
        <w:pBdr>
          <w:top w:val="nil"/>
          <w:left w:val="nil"/>
          <w:bottom w:val="nil"/>
          <w:right w:val="nil"/>
          <w:between w:val="nil"/>
        </w:pBdr>
        <w:spacing w:after="0" w:line="240" w:lineRule="auto"/>
        <w:ind w:left="360"/>
        <w:jc w:val="both"/>
        <w:rPr>
          <w:rFonts w:ascii="Times New Roman" w:hAnsi="Times New Roman"/>
          <w:color w:val="000000"/>
          <w:sz w:val="20"/>
          <w:szCs w:val="20"/>
        </w:rPr>
      </w:pPr>
      <w:r w:rsidRPr="006E559F">
        <w:rPr>
          <w:rFonts w:ascii="Times New Roman" w:hAnsi="Times New Roman"/>
          <w:color w:val="000000"/>
          <w:sz w:val="20"/>
          <w:szCs w:val="20"/>
        </w:rPr>
        <w:t>To carry on the business to import, export, manufacturing, processing, trading and to mix, manipulate, prepare, sell, resale, search, explore resources of metals, research, pack, repack, purchase, supply, distribute, recycler, acquire, commercialize, develop and to act as agent, dealer, sub dealer, stockiest, job worker and otherwise to deal in all kinds and types, varieties, strengths, specifications, descriptions, dimensions, and shapes of ferrous and nonferrous metal parts, ingots, billets and all types of materials made there from, rods, metal , scraps and other allied metals, perforated, printed embossed of all types including angles, tubes pipes, reverts, buckles, bolts, nuts, screws, and all product mix related to this main object.</w:t>
      </w:r>
    </w:p>
    <w:p w14:paraId="643ECCC7" w14:textId="77777777" w:rsidR="006E559F" w:rsidRPr="006E559F" w:rsidRDefault="006E559F" w:rsidP="006E559F">
      <w:pPr>
        <w:pBdr>
          <w:top w:val="nil"/>
          <w:left w:val="nil"/>
          <w:bottom w:val="nil"/>
          <w:right w:val="nil"/>
          <w:between w:val="nil"/>
        </w:pBdr>
        <w:spacing w:after="0" w:line="240" w:lineRule="auto"/>
        <w:ind w:left="720"/>
        <w:jc w:val="both"/>
        <w:rPr>
          <w:rFonts w:ascii="Times New Roman" w:hAnsi="Times New Roman"/>
          <w:b/>
          <w:color w:val="000000"/>
          <w:sz w:val="20"/>
          <w:szCs w:val="20"/>
        </w:rPr>
      </w:pPr>
    </w:p>
    <w:p w14:paraId="5842E92D" w14:textId="77777777" w:rsidR="006E559F" w:rsidRPr="006E559F" w:rsidRDefault="006E559F" w:rsidP="006E559F">
      <w:pPr>
        <w:spacing w:after="0" w:line="240" w:lineRule="auto"/>
        <w:jc w:val="both"/>
        <w:rPr>
          <w:rFonts w:ascii="Times New Roman" w:hAnsi="Times New Roman"/>
          <w:b/>
          <w:color w:val="000000"/>
          <w:sz w:val="20"/>
          <w:szCs w:val="20"/>
        </w:rPr>
      </w:pPr>
      <w:r w:rsidRPr="006E559F">
        <w:rPr>
          <w:rFonts w:ascii="Times New Roman" w:hAnsi="Times New Roman"/>
          <w:b/>
          <w:color w:val="000000"/>
          <w:sz w:val="20"/>
          <w:szCs w:val="20"/>
        </w:rPr>
        <w:t>Amendments to the Memorandum of Association</w:t>
      </w:r>
    </w:p>
    <w:p w14:paraId="19F838FE" w14:textId="77777777" w:rsidR="006E559F" w:rsidRPr="006E559F" w:rsidRDefault="006E559F" w:rsidP="006E559F">
      <w:pPr>
        <w:spacing w:after="0" w:line="240" w:lineRule="auto"/>
        <w:jc w:val="both"/>
        <w:rPr>
          <w:rFonts w:ascii="Times New Roman" w:hAnsi="Times New Roman"/>
          <w:b/>
          <w:color w:val="000000"/>
          <w:sz w:val="20"/>
          <w:szCs w:val="20"/>
        </w:rPr>
      </w:pPr>
    </w:p>
    <w:p w14:paraId="62AF335A" w14:textId="77777777" w:rsidR="006E559F" w:rsidRPr="006E559F" w:rsidRDefault="006E559F" w:rsidP="006E559F">
      <w:pPr>
        <w:spacing w:after="0" w:line="240" w:lineRule="auto"/>
        <w:jc w:val="both"/>
        <w:rPr>
          <w:rFonts w:ascii="Times New Roman" w:hAnsi="Times New Roman"/>
          <w:color w:val="000000"/>
          <w:sz w:val="20"/>
          <w:szCs w:val="20"/>
        </w:rPr>
      </w:pPr>
      <w:r w:rsidRPr="006E559F">
        <w:rPr>
          <w:rFonts w:ascii="Times New Roman" w:hAnsi="Times New Roman"/>
          <w:color w:val="000000"/>
          <w:sz w:val="20"/>
          <w:szCs w:val="20"/>
        </w:rPr>
        <w:t>Except as stated below, there has been no change in the Memorandum of Association of our Company since its incorporation:</w:t>
      </w:r>
    </w:p>
    <w:p w14:paraId="7651DDAE" w14:textId="77777777" w:rsidR="006E559F" w:rsidRPr="006E559F" w:rsidRDefault="006E559F" w:rsidP="006E559F">
      <w:pPr>
        <w:widowControl w:val="0"/>
        <w:spacing w:after="0" w:line="240" w:lineRule="auto"/>
        <w:ind w:left="-90" w:right="-64"/>
        <w:jc w:val="both"/>
        <w:rPr>
          <w:rFonts w:ascii="Times New Roman" w:hAnsi="Times New Roman"/>
          <w:color w:val="000000"/>
          <w:sz w:val="20"/>
          <w:szCs w:val="20"/>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6"/>
        <w:gridCol w:w="960"/>
        <w:gridCol w:w="7940"/>
      </w:tblGrid>
      <w:tr w:rsidR="006E559F" w:rsidRPr="006E559F" w14:paraId="042DF970" w14:textId="77777777" w:rsidTr="00716083">
        <w:trPr>
          <w:trHeight w:val="20"/>
          <w:tblHeader/>
        </w:trPr>
        <w:tc>
          <w:tcPr>
            <w:tcW w:w="1556"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3DB2622F" w14:textId="77777777" w:rsidR="006E559F" w:rsidRPr="006E559F" w:rsidRDefault="006E559F" w:rsidP="006E559F">
            <w:pPr>
              <w:spacing w:after="0" w:line="240" w:lineRule="auto"/>
              <w:jc w:val="both"/>
              <w:rPr>
                <w:rFonts w:ascii="Times New Roman" w:hAnsi="Times New Roman"/>
                <w:b/>
                <w:sz w:val="20"/>
                <w:szCs w:val="20"/>
              </w:rPr>
            </w:pPr>
            <w:r w:rsidRPr="006E559F">
              <w:rPr>
                <w:rFonts w:ascii="Times New Roman" w:hAnsi="Times New Roman"/>
                <w:b/>
                <w:sz w:val="20"/>
                <w:szCs w:val="20"/>
              </w:rPr>
              <w:t>Date of Meeting</w:t>
            </w:r>
          </w:p>
        </w:tc>
        <w:tc>
          <w:tcPr>
            <w:tcW w:w="960"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7F6D7638" w14:textId="77777777" w:rsidR="006E559F" w:rsidRPr="006E559F" w:rsidRDefault="006E559F" w:rsidP="006E559F">
            <w:pPr>
              <w:spacing w:after="0" w:line="240" w:lineRule="auto"/>
              <w:jc w:val="both"/>
              <w:rPr>
                <w:rFonts w:ascii="Times New Roman" w:hAnsi="Times New Roman"/>
                <w:b/>
                <w:sz w:val="20"/>
                <w:szCs w:val="20"/>
              </w:rPr>
            </w:pPr>
            <w:r w:rsidRPr="006E559F">
              <w:rPr>
                <w:rFonts w:ascii="Times New Roman" w:hAnsi="Times New Roman"/>
                <w:b/>
                <w:sz w:val="20"/>
                <w:szCs w:val="20"/>
              </w:rPr>
              <w:t>Type of Meeting</w:t>
            </w:r>
          </w:p>
        </w:tc>
        <w:tc>
          <w:tcPr>
            <w:tcW w:w="7940"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255D37AF" w14:textId="77777777" w:rsidR="006E559F" w:rsidRPr="006E559F" w:rsidRDefault="006E559F" w:rsidP="006E559F">
            <w:pPr>
              <w:spacing w:after="0" w:line="240" w:lineRule="auto"/>
              <w:jc w:val="both"/>
              <w:rPr>
                <w:rFonts w:ascii="Times New Roman" w:hAnsi="Times New Roman"/>
                <w:b/>
                <w:sz w:val="20"/>
                <w:szCs w:val="20"/>
              </w:rPr>
            </w:pPr>
            <w:r w:rsidRPr="006E559F">
              <w:rPr>
                <w:rFonts w:ascii="Times New Roman" w:hAnsi="Times New Roman"/>
                <w:b/>
                <w:color w:val="000000"/>
                <w:sz w:val="20"/>
                <w:szCs w:val="20"/>
              </w:rPr>
              <w:t>Amendments</w:t>
            </w:r>
          </w:p>
        </w:tc>
      </w:tr>
      <w:tr w:rsidR="006E559F" w:rsidRPr="006E559F" w14:paraId="441209CA" w14:textId="77777777" w:rsidTr="00716083">
        <w:trPr>
          <w:trHeight w:val="20"/>
        </w:trPr>
        <w:tc>
          <w:tcPr>
            <w:tcW w:w="1556" w:type="dxa"/>
            <w:tcBorders>
              <w:top w:val="single" w:sz="4" w:space="0" w:color="000000"/>
              <w:left w:val="single" w:sz="4" w:space="0" w:color="000000"/>
              <w:bottom w:val="single" w:sz="4" w:space="0" w:color="000000"/>
              <w:right w:val="single" w:sz="4" w:space="0" w:color="000000"/>
            </w:tcBorders>
            <w:vAlign w:val="center"/>
          </w:tcPr>
          <w:p w14:paraId="72C6EE63" w14:textId="77777777" w:rsidR="006E559F" w:rsidRPr="006E559F" w:rsidRDefault="006E559F" w:rsidP="006E559F">
            <w:pPr>
              <w:spacing w:after="0" w:line="240" w:lineRule="auto"/>
              <w:jc w:val="both"/>
              <w:rPr>
                <w:rFonts w:ascii="Times New Roman" w:hAnsi="Times New Roman"/>
                <w:color w:val="000000"/>
                <w:sz w:val="20"/>
                <w:szCs w:val="20"/>
              </w:rPr>
            </w:pPr>
            <w:r w:rsidRPr="006E559F">
              <w:rPr>
                <w:rFonts w:ascii="Times New Roman" w:hAnsi="Times New Roman"/>
                <w:color w:val="000000"/>
                <w:sz w:val="20"/>
                <w:szCs w:val="20"/>
              </w:rPr>
              <w:t>July 14, 2012</w:t>
            </w:r>
          </w:p>
        </w:tc>
        <w:tc>
          <w:tcPr>
            <w:tcW w:w="960" w:type="dxa"/>
            <w:tcBorders>
              <w:top w:val="single" w:sz="4" w:space="0" w:color="000000"/>
              <w:left w:val="single" w:sz="4" w:space="0" w:color="000000"/>
              <w:bottom w:val="single" w:sz="4" w:space="0" w:color="000000"/>
              <w:right w:val="single" w:sz="4" w:space="0" w:color="000000"/>
            </w:tcBorders>
            <w:vAlign w:val="center"/>
          </w:tcPr>
          <w:p w14:paraId="54B44EB7" w14:textId="77777777" w:rsidR="006E559F" w:rsidRPr="006E559F" w:rsidRDefault="006E559F" w:rsidP="006E559F">
            <w:pPr>
              <w:spacing w:after="0" w:line="240" w:lineRule="auto"/>
              <w:jc w:val="both"/>
              <w:rPr>
                <w:rFonts w:ascii="Times New Roman" w:hAnsi="Times New Roman"/>
                <w:color w:val="000000"/>
                <w:sz w:val="20"/>
                <w:szCs w:val="20"/>
              </w:rPr>
            </w:pPr>
            <w:r w:rsidRPr="006E559F">
              <w:rPr>
                <w:rFonts w:ascii="Times New Roman" w:hAnsi="Times New Roman"/>
                <w:color w:val="000000"/>
                <w:sz w:val="20"/>
                <w:szCs w:val="20"/>
              </w:rPr>
              <w:t>EGM</w:t>
            </w:r>
          </w:p>
        </w:tc>
        <w:tc>
          <w:tcPr>
            <w:tcW w:w="7940" w:type="dxa"/>
            <w:tcBorders>
              <w:top w:val="single" w:sz="4" w:space="0" w:color="000000"/>
              <w:left w:val="single" w:sz="4" w:space="0" w:color="000000"/>
              <w:bottom w:val="single" w:sz="4" w:space="0" w:color="000000"/>
              <w:right w:val="single" w:sz="4" w:space="0" w:color="000000"/>
            </w:tcBorders>
          </w:tcPr>
          <w:p w14:paraId="243C9AF9" w14:textId="77777777" w:rsidR="006E559F" w:rsidRPr="006E559F" w:rsidRDefault="006E559F" w:rsidP="006E559F">
            <w:pPr>
              <w:spacing w:after="0" w:line="240" w:lineRule="auto"/>
              <w:jc w:val="both"/>
              <w:rPr>
                <w:rFonts w:ascii="Times New Roman" w:hAnsi="Times New Roman"/>
                <w:color w:val="000000"/>
                <w:sz w:val="20"/>
                <w:szCs w:val="20"/>
              </w:rPr>
            </w:pPr>
            <w:r w:rsidRPr="006E559F">
              <w:rPr>
                <w:rFonts w:ascii="Times New Roman" w:hAnsi="Times New Roman"/>
                <w:color w:val="000000"/>
                <w:sz w:val="20"/>
                <w:szCs w:val="20"/>
              </w:rPr>
              <w:t>Clause V of the Memorandum of Association was amended to reflect increase in the authorized share capital of the Company from ₹100 Lakh divided into 10,00,000 Equity Shares of ₹ 10/- each to ₹150 Lakhs divided into 15,00,000 Equity Shares of ₹10/- each.</w:t>
            </w:r>
          </w:p>
        </w:tc>
      </w:tr>
      <w:tr w:rsidR="006E559F" w:rsidRPr="006E559F" w14:paraId="66D0479B" w14:textId="77777777" w:rsidTr="00716083">
        <w:trPr>
          <w:trHeight w:val="20"/>
        </w:trPr>
        <w:tc>
          <w:tcPr>
            <w:tcW w:w="1556" w:type="dxa"/>
            <w:tcBorders>
              <w:top w:val="single" w:sz="4" w:space="0" w:color="000000"/>
              <w:left w:val="single" w:sz="4" w:space="0" w:color="000000"/>
              <w:bottom w:val="single" w:sz="4" w:space="0" w:color="000000"/>
              <w:right w:val="single" w:sz="4" w:space="0" w:color="000000"/>
            </w:tcBorders>
            <w:vAlign w:val="center"/>
          </w:tcPr>
          <w:p w14:paraId="030E613B" w14:textId="77777777" w:rsidR="006E559F" w:rsidRPr="006E559F" w:rsidRDefault="006E559F" w:rsidP="006E559F">
            <w:pPr>
              <w:spacing w:after="0" w:line="240" w:lineRule="auto"/>
              <w:jc w:val="both"/>
              <w:rPr>
                <w:rFonts w:ascii="Times New Roman" w:hAnsi="Times New Roman"/>
                <w:color w:val="000000"/>
                <w:sz w:val="20"/>
                <w:szCs w:val="20"/>
              </w:rPr>
            </w:pPr>
            <w:r w:rsidRPr="006E559F">
              <w:rPr>
                <w:rFonts w:ascii="Times New Roman" w:hAnsi="Times New Roman"/>
                <w:color w:val="000000"/>
                <w:sz w:val="20"/>
                <w:szCs w:val="20"/>
              </w:rPr>
              <w:t>December 29, 2016</w:t>
            </w:r>
          </w:p>
        </w:tc>
        <w:tc>
          <w:tcPr>
            <w:tcW w:w="960" w:type="dxa"/>
            <w:tcBorders>
              <w:top w:val="single" w:sz="4" w:space="0" w:color="000000"/>
              <w:left w:val="single" w:sz="4" w:space="0" w:color="000000"/>
              <w:bottom w:val="single" w:sz="4" w:space="0" w:color="000000"/>
              <w:right w:val="single" w:sz="4" w:space="0" w:color="000000"/>
            </w:tcBorders>
            <w:vAlign w:val="center"/>
          </w:tcPr>
          <w:p w14:paraId="59B4B58D" w14:textId="77777777" w:rsidR="006E559F" w:rsidRPr="006E559F" w:rsidRDefault="006E559F" w:rsidP="006E559F">
            <w:pPr>
              <w:spacing w:after="0" w:line="240" w:lineRule="auto"/>
              <w:jc w:val="both"/>
              <w:rPr>
                <w:rFonts w:ascii="Times New Roman" w:hAnsi="Times New Roman"/>
                <w:color w:val="000000"/>
                <w:sz w:val="20"/>
                <w:szCs w:val="20"/>
              </w:rPr>
            </w:pPr>
            <w:r w:rsidRPr="006E559F">
              <w:rPr>
                <w:rFonts w:ascii="Times New Roman" w:hAnsi="Times New Roman"/>
                <w:color w:val="000000"/>
                <w:sz w:val="20"/>
                <w:szCs w:val="20"/>
              </w:rPr>
              <w:t>EGM</w:t>
            </w:r>
          </w:p>
        </w:tc>
        <w:tc>
          <w:tcPr>
            <w:tcW w:w="7940" w:type="dxa"/>
            <w:tcBorders>
              <w:top w:val="single" w:sz="4" w:space="0" w:color="000000"/>
              <w:left w:val="single" w:sz="4" w:space="0" w:color="000000"/>
              <w:bottom w:val="single" w:sz="4" w:space="0" w:color="000000"/>
              <w:right w:val="single" w:sz="4" w:space="0" w:color="000000"/>
            </w:tcBorders>
          </w:tcPr>
          <w:p w14:paraId="04A5C702" w14:textId="77777777" w:rsidR="006E559F" w:rsidRPr="006E559F" w:rsidRDefault="006E559F" w:rsidP="006E559F">
            <w:pPr>
              <w:spacing w:after="0" w:line="240" w:lineRule="auto"/>
              <w:jc w:val="both"/>
              <w:rPr>
                <w:rFonts w:ascii="Times New Roman" w:hAnsi="Times New Roman"/>
                <w:color w:val="000000"/>
                <w:sz w:val="20"/>
                <w:szCs w:val="20"/>
              </w:rPr>
            </w:pPr>
            <w:r w:rsidRPr="006E559F">
              <w:rPr>
                <w:rFonts w:ascii="Times New Roman" w:hAnsi="Times New Roman"/>
                <w:color w:val="000000"/>
                <w:sz w:val="20"/>
                <w:szCs w:val="20"/>
              </w:rPr>
              <w:t>Clause V of the Memorandum of Association was amended to reflect increase in the authorized share capital of the Company from ₹150 Lakhs divided into 15,00,000 Equity Shares of ₹10/- each to ₹1,400 Lakhs divided into 1,40,00,000 Equity Shares of ₹10/- each.</w:t>
            </w:r>
          </w:p>
        </w:tc>
      </w:tr>
      <w:tr w:rsidR="006E559F" w:rsidRPr="006E559F" w14:paraId="419738A3" w14:textId="77777777" w:rsidTr="00716083">
        <w:trPr>
          <w:trHeight w:val="20"/>
        </w:trPr>
        <w:tc>
          <w:tcPr>
            <w:tcW w:w="1556" w:type="dxa"/>
            <w:vMerge w:val="restart"/>
            <w:tcBorders>
              <w:left w:val="single" w:sz="4" w:space="0" w:color="000000"/>
              <w:right w:val="single" w:sz="4" w:space="0" w:color="000000"/>
            </w:tcBorders>
            <w:vAlign w:val="center"/>
          </w:tcPr>
          <w:p w14:paraId="5F57E1C5" w14:textId="77777777" w:rsidR="006E559F" w:rsidRPr="006E559F" w:rsidRDefault="006E559F" w:rsidP="006E559F">
            <w:pPr>
              <w:spacing w:after="0" w:line="240" w:lineRule="auto"/>
              <w:jc w:val="both"/>
              <w:rPr>
                <w:rFonts w:ascii="Times New Roman" w:hAnsi="Times New Roman"/>
                <w:color w:val="000000"/>
                <w:sz w:val="20"/>
                <w:szCs w:val="20"/>
              </w:rPr>
            </w:pPr>
            <w:r w:rsidRPr="006E559F">
              <w:rPr>
                <w:rFonts w:ascii="Times New Roman" w:hAnsi="Times New Roman"/>
                <w:color w:val="000000"/>
                <w:sz w:val="20"/>
                <w:szCs w:val="20"/>
              </w:rPr>
              <w:t>July 15, 2023</w:t>
            </w:r>
          </w:p>
        </w:tc>
        <w:tc>
          <w:tcPr>
            <w:tcW w:w="960" w:type="dxa"/>
            <w:vMerge w:val="restart"/>
            <w:tcBorders>
              <w:left w:val="single" w:sz="4" w:space="0" w:color="000000"/>
              <w:right w:val="single" w:sz="4" w:space="0" w:color="000000"/>
            </w:tcBorders>
            <w:vAlign w:val="center"/>
          </w:tcPr>
          <w:p w14:paraId="497D21F3" w14:textId="77777777" w:rsidR="006E559F" w:rsidRPr="006E559F" w:rsidRDefault="006E559F" w:rsidP="006E559F">
            <w:pPr>
              <w:spacing w:after="0" w:line="240" w:lineRule="auto"/>
              <w:jc w:val="both"/>
              <w:rPr>
                <w:rFonts w:ascii="Times New Roman" w:hAnsi="Times New Roman"/>
                <w:color w:val="000000"/>
                <w:sz w:val="20"/>
                <w:szCs w:val="20"/>
              </w:rPr>
            </w:pPr>
            <w:r w:rsidRPr="006E559F">
              <w:rPr>
                <w:rFonts w:ascii="Times New Roman" w:hAnsi="Times New Roman"/>
                <w:color w:val="000000"/>
                <w:sz w:val="20"/>
                <w:szCs w:val="20"/>
              </w:rPr>
              <w:t>EGM</w:t>
            </w:r>
          </w:p>
        </w:tc>
        <w:tc>
          <w:tcPr>
            <w:tcW w:w="7940" w:type="dxa"/>
            <w:tcBorders>
              <w:top w:val="single" w:sz="4" w:space="0" w:color="000000"/>
              <w:left w:val="single" w:sz="4" w:space="0" w:color="000000"/>
              <w:bottom w:val="single" w:sz="4" w:space="0" w:color="000000"/>
              <w:right w:val="single" w:sz="4" w:space="0" w:color="000000"/>
            </w:tcBorders>
          </w:tcPr>
          <w:p w14:paraId="608C49E2" w14:textId="77777777" w:rsidR="006E559F" w:rsidRPr="006E559F" w:rsidRDefault="006E559F" w:rsidP="006E559F">
            <w:pPr>
              <w:spacing w:after="0" w:line="240" w:lineRule="auto"/>
              <w:jc w:val="both"/>
              <w:rPr>
                <w:rFonts w:ascii="Times New Roman" w:hAnsi="Times New Roman"/>
                <w:color w:val="000000"/>
                <w:sz w:val="20"/>
                <w:szCs w:val="20"/>
              </w:rPr>
            </w:pPr>
            <w:r w:rsidRPr="006E559F">
              <w:rPr>
                <w:rFonts w:ascii="Times New Roman" w:hAnsi="Times New Roman"/>
                <w:color w:val="000000"/>
                <w:sz w:val="20"/>
                <w:szCs w:val="20"/>
              </w:rPr>
              <w:t>Clause IV of the Memorandum of Association was amended as per Companies Act, 2013:</w:t>
            </w:r>
          </w:p>
          <w:p w14:paraId="00FB3E71" w14:textId="77777777" w:rsidR="006E559F" w:rsidRPr="006E559F" w:rsidRDefault="006E559F" w:rsidP="006E559F">
            <w:pPr>
              <w:spacing w:after="0" w:line="240" w:lineRule="auto"/>
              <w:jc w:val="both"/>
              <w:rPr>
                <w:rFonts w:ascii="Times New Roman" w:hAnsi="Times New Roman"/>
                <w:color w:val="000000"/>
                <w:sz w:val="20"/>
                <w:szCs w:val="20"/>
              </w:rPr>
            </w:pPr>
            <w:r w:rsidRPr="006E559F">
              <w:rPr>
                <w:rFonts w:ascii="Times New Roman" w:hAnsi="Times New Roman"/>
                <w:color w:val="000000"/>
                <w:sz w:val="20"/>
                <w:szCs w:val="20"/>
              </w:rPr>
              <w:t>The liability of the member(s) is limited and this liability is limited to the amount unpaid; if any, on the shares held by them.</w:t>
            </w:r>
          </w:p>
        </w:tc>
      </w:tr>
      <w:tr w:rsidR="006E559F" w:rsidRPr="006E559F" w14:paraId="5B34C63E" w14:textId="77777777" w:rsidTr="00716083">
        <w:trPr>
          <w:trHeight w:val="20"/>
        </w:trPr>
        <w:tc>
          <w:tcPr>
            <w:tcW w:w="1556" w:type="dxa"/>
            <w:vMerge/>
            <w:tcBorders>
              <w:left w:val="single" w:sz="4" w:space="0" w:color="000000"/>
              <w:right w:val="single" w:sz="4" w:space="0" w:color="000000"/>
            </w:tcBorders>
            <w:vAlign w:val="center"/>
          </w:tcPr>
          <w:p w14:paraId="616498E9" w14:textId="77777777" w:rsidR="006E559F" w:rsidRPr="006E559F" w:rsidRDefault="006E559F" w:rsidP="006E559F">
            <w:pPr>
              <w:spacing w:after="0" w:line="240" w:lineRule="auto"/>
              <w:jc w:val="both"/>
              <w:rPr>
                <w:rFonts w:ascii="Times New Roman" w:hAnsi="Times New Roman"/>
                <w:color w:val="000000"/>
                <w:sz w:val="20"/>
                <w:szCs w:val="20"/>
              </w:rPr>
            </w:pPr>
          </w:p>
        </w:tc>
        <w:tc>
          <w:tcPr>
            <w:tcW w:w="960" w:type="dxa"/>
            <w:vMerge/>
            <w:tcBorders>
              <w:left w:val="single" w:sz="4" w:space="0" w:color="000000"/>
              <w:right w:val="single" w:sz="4" w:space="0" w:color="000000"/>
            </w:tcBorders>
            <w:vAlign w:val="center"/>
          </w:tcPr>
          <w:p w14:paraId="6B4B03D3" w14:textId="77777777" w:rsidR="006E559F" w:rsidRPr="006E559F" w:rsidRDefault="006E559F" w:rsidP="006E559F">
            <w:pPr>
              <w:spacing w:after="0" w:line="240" w:lineRule="auto"/>
              <w:jc w:val="both"/>
              <w:rPr>
                <w:rFonts w:ascii="Times New Roman" w:hAnsi="Times New Roman"/>
                <w:color w:val="000000"/>
                <w:sz w:val="20"/>
                <w:szCs w:val="20"/>
              </w:rPr>
            </w:pPr>
          </w:p>
        </w:tc>
        <w:tc>
          <w:tcPr>
            <w:tcW w:w="7940" w:type="dxa"/>
            <w:tcBorders>
              <w:top w:val="single" w:sz="4" w:space="0" w:color="000000"/>
              <w:left w:val="single" w:sz="4" w:space="0" w:color="000000"/>
              <w:bottom w:val="single" w:sz="4" w:space="0" w:color="000000"/>
              <w:right w:val="single" w:sz="4" w:space="0" w:color="000000"/>
            </w:tcBorders>
          </w:tcPr>
          <w:p w14:paraId="37DEA60C" w14:textId="77777777" w:rsidR="006E559F" w:rsidRPr="006E559F" w:rsidRDefault="006E559F" w:rsidP="006E559F">
            <w:pPr>
              <w:spacing w:after="0" w:line="240" w:lineRule="auto"/>
              <w:jc w:val="both"/>
              <w:rPr>
                <w:rFonts w:ascii="Times New Roman" w:hAnsi="Times New Roman"/>
                <w:color w:val="000000"/>
                <w:sz w:val="20"/>
                <w:szCs w:val="20"/>
              </w:rPr>
            </w:pPr>
            <w:r w:rsidRPr="006E559F">
              <w:rPr>
                <w:rFonts w:ascii="Times New Roman" w:hAnsi="Times New Roman"/>
                <w:color w:val="000000"/>
                <w:sz w:val="20"/>
                <w:szCs w:val="20"/>
              </w:rPr>
              <w:t>Clause III of the Memorandum of Association was amended as per Companies Act, 2013, by deleting Clause III (c) and renumbering Clause III (a) and III (b) as:</w:t>
            </w:r>
          </w:p>
          <w:p w14:paraId="7394DF84" w14:textId="77777777" w:rsidR="006E559F" w:rsidRPr="006E559F" w:rsidRDefault="006E559F" w:rsidP="006E559F">
            <w:pPr>
              <w:spacing w:after="0" w:line="240" w:lineRule="auto"/>
              <w:jc w:val="both"/>
              <w:rPr>
                <w:rFonts w:ascii="Times New Roman" w:hAnsi="Times New Roman"/>
                <w:color w:val="000000"/>
                <w:sz w:val="20"/>
                <w:szCs w:val="20"/>
              </w:rPr>
            </w:pPr>
            <w:r w:rsidRPr="006E559F">
              <w:rPr>
                <w:rFonts w:ascii="Times New Roman" w:hAnsi="Times New Roman"/>
                <w:color w:val="000000"/>
                <w:sz w:val="20"/>
                <w:szCs w:val="20"/>
              </w:rPr>
              <w:t>III (a) The objects to be pursued by the company on its incorporation</w:t>
            </w:r>
          </w:p>
          <w:p w14:paraId="314FBDE5" w14:textId="77777777" w:rsidR="006E559F" w:rsidRPr="006E559F" w:rsidRDefault="006E559F" w:rsidP="006E559F">
            <w:pPr>
              <w:spacing w:after="0" w:line="240" w:lineRule="auto"/>
              <w:jc w:val="both"/>
              <w:rPr>
                <w:rFonts w:ascii="Times New Roman" w:hAnsi="Times New Roman"/>
                <w:color w:val="000000"/>
                <w:sz w:val="20"/>
                <w:szCs w:val="20"/>
              </w:rPr>
            </w:pPr>
            <w:r w:rsidRPr="006E559F">
              <w:rPr>
                <w:rFonts w:ascii="Times New Roman" w:hAnsi="Times New Roman"/>
                <w:color w:val="000000"/>
                <w:sz w:val="20"/>
                <w:szCs w:val="20"/>
              </w:rPr>
              <w:t>III (b) Matters which are necessary for furtherance of the objects specified in clause III (a)</w:t>
            </w:r>
          </w:p>
        </w:tc>
      </w:tr>
      <w:tr w:rsidR="006E559F" w:rsidRPr="006E559F" w14:paraId="34EA09A0" w14:textId="77777777" w:rsidTr="00716083">
        <w:trPr>
          <w:trHeight w:val="20"/>
        </w:trPr>
        <w:tc>
          <w:tcPr>
            <w:tcW w:w="1556" w:type="dxa"/>
            <w:vMerge w:val="restart"/>
            <w:tcBorders>
              <w:left w:val="single" w:sz="4" w:space="0" w:color="000000"/>
              <w:right w:val="single" w:sz="4" w:space="0" w:color="000000"/>
            </w:tcBorders>
            <w:vAlign w:val="center"/>
          </w:tcPr>
          <w:p w14:paraId="12A62061" w14:textId="77777777" w:rsidR="006E559F" w:rsidRPr="006E559F" w:rsidRDefault="006E559F" w:rsidP="006E559F">
            <w:pPr>
              <w:spacing w:after="0" w:line="240" w:lineRule="auto"/>
              <w:jc w:val="both"/>
              <w:rPr>
                <w:rFonts w:ascii="Times New Roman" w:hAnsi="Times New Roman"/>
                <w:color w:val="000000"/>
                <w:sz w:val="20"/>
                <w:szCs w:val="20"/>
              </w:rPr>
            </w:pPr>
            <w:r w:rsidRPr="006E559F">
              <w:rPr>
                <w:rFonts w:ascii="Times New Roman" w:hAnsi="Times New Roman"/>
                <w:color w:val="000000"/>
                <w:sz w:val="20"/>
                <w:szCs w:val="20"/>
              </w:rPr>
              <w:t>July 24, 2023</w:t>
            </w:r>
          </w:p>
        </w:tc>
        <w:tc>
          <w:tcPr>
            <w:tcW w:w="960" w:type="dxa"/>
            <w:vMerge w:val="restart"/>
            <w:tcBorders>
              <w:left w:val="single" w:sz="4" w:space="0" w:color="000000"/>
              <w:right w:val="single" w:sz="4" w:space="0" w:color="000000"/>
            </w:tcBorders>
            <w:vAlign w:val="center"/>
          </w:tcPr>
          <w:p w14:paraId="0A34D347" w14:textId="77777777" w:rsidR="006E559F" w:rsidRPr="006E559F" w:rsidRDefault="006E559F" w:rsidP="006E559F">
            <w:pPr>
              <w:spacing w:after="0" w:line="240" w:lineRule="auto"/>
              <w:jc w:val="both"/>
              <w:rPr>
                <w:rFonts w:ascii="Times New Roman" w:hAnsi="Times New Roman"/>
                <w:color w:val="000000"/>
                <w:sz w:val="20"/>
                <w:szCs w:val="20"/>
              </w:rPr>
            </w:pPr>
            <w:r w:rsidRPr="006E559F">
              <w:rPr>
                <w:rFonts w:ascii="Times New Roman" w:hAnsi="Times New Roman"/>
                <w:color w:val="000000"/>
                <w:sz w:val="20"/>
                <w:szCs w:val="20"/>
              </w:rPr>
              <w:t>EGM</w:t>
            </w:r>
          </w:p>
        </w:tc>
        <w:tc>
          <w:tcPr>
            <w:tcW w:w="7940" w:type="dxa"/>
            <w:tcBorders>
              <w:top w:val="single" w:sz="4" w:space="0" w:color="000000"/>
              <w:left w:val="single" w:sz="4" w:space="0" w:color="000000"/>
              <w:bottom w:val="single" w:sz="4" w:space="0" w:color="000000"/>
              <w:right w:val="single" w:sz="4" w:space="0" w:color="000000"/>
            </w:tcBorders>
          </w:tcPr>
          <w:p w14:paraId="2799FA73" w14:textId="77777777" w:rsidR="006E559F" w:rsidRPr="006E559F" w:rsidRDefault="006E559F" w:rsidP="006E559F">
            <w:pPr>
              <w:spacing w:after="0" w:line="240" w:lineRule="auto"/>
              <w:jc w:val="both"/>
              <w:rPr>
                <w:rFonts w:ascii="Times New Roman" w:hAnsi="Times New Roman"/>
                <w:color w:val="000000"/>
                <w:sz w:val="20"/>
                <w:szCs w:val="20"/>
              </w:rPr>
            </w:pPr>
            <w:r w:rsidRPr="006E559F">
              <w:rPr>
                <w:rFonts w:ascii="Times New Roman" w:hAnsi="Times New Roman"/>
                <w:color w:val="000000"/>
                <w:sz w:val="20"/>
                <w:szCs w:val="20"/>
              </w:rPr>
              <w:t>Clause I of the Memorandum of Association was amended consequent to the change in name from ‘Siyaram Impex Private Limited’ to ‘Siyaram Recycling Industries Private Limited’ and accordingly Clause was amended as:</w:t>
            </w:r>
          </w:p>
          <w:p w14:paraId="5929D555" w14:textId="77777777" w:rsidR="006E559F" w:rsidRPr="006E559F" w:rsidRDefault="006E559F">
            <w:pPr>
              <w:numPr>
                <w:ilvl w:val="0"/>
                <w:numId w:val="345"/>
              </w:numPr>
              <w:spacing w:after="0" w:line="240" w:lineRule="auto"/>
              <w:ind w:left="342" w:hanging="360"/>
              <w:contextualSpacing/>
              <w:jc w:val="both"/>
              <w:rPr>
                <w:rFonts w:ascii="Times New Roman" w:hAnsi="Times New Roman"/>
                <w:color w:val="000000"/>
                <w:sz w:val="20"/>
                <w:szCs w:val="20"/>
              </w:rPr>
            </w:pPr>
            <w:r w:rsidRPr="006E559F">
              <w:rPr>
                <w:rFonts w:ascii="Times New Roman" w:hAnsi="Times New Roman"/>
                <w:color w:val="000000"/>
                <w:sz w:val="20"/>
                <w:szCs w:val="20"/>
              </w:rPr>
              <w:t>The name of the company is Siyaram Recycling Industries Private Limited.</w:t>
            </w:r>
          </w:p>
        </w:tc>
      </w:tr>
      <w:tr w:rsidR="006E559F" w:rsidRPr="006E559F" w14:paraId="5A6CC0DB" w14:textId="77777777" w:rsidTr="00716083">
        <w:trPr>
          <w:trHeight w:val="20"/>
        </w:trPr>
        <w:tc>
          <w:tcPr>
            <w:tcW w:w="1556" w:type="dxa"/>
            <w:vMerge/>
            <w:tcBorders>
              <w:left w:val="single" w:sz="4" w:space="0" w:color="000000"/>
              <w:right w:val="single" w:sz="4" w:space="0" w:color="000000"/>
            </w:tcBorders>
            <w:vAlign w:val="center"/>
          </w:tcPr>
          <w:p w14:paraId="1180209C" w14:textId="77777777" w:rsidR="006E559F" w:rsidRPr="006E559F" w:rsidRDefault="006E559F" w:rsidP="006E559F">
            <w:pPr>
              <w:spacing w:after="0" w:line="240" w:lineRule="auto"/>
              <w:jc w:val="both"/>
              <w:rPr>
                <w:rFonts w:ascii="Times New Roman" w:hAnsi="Times New Roman"/>
                <w:color w:val="000000"/>
                <w:sz w:val="20"/>
                <w:szCs w:val="20"/>
              </w:rPr>
            </w:pPr>
          </w:p>
        </w:tc>
        <w:tc>
          <w:tcPr>
            <w:tcW w:w="960" w:type="dxa"/>
            <w:vMerge/>
            <w:tcBorders>
              <w:left w:val="single" w:sz="4" w:space="0" w:color="000000"/>
              <w:right w:val="single" w:sz="4" w:space="0" w:color="000000"/>
            </w:tcBorders>
            <w:vAlign w:val="center"/>
          </w:tcPr>
          <w:p w14:paraId="7B6FC035" w14:textId="77777777" w:rsidR="006E559F" w:rsidRPr="006E559F" w:rsidRDefault="006E559F" w:rsidP="006E559F">
            <w:pPr>
              <w:spacing w:after="0" w:line="240" w:lineRule="auto"/>
              <w:jc w:val="both"/>
              <w:rPr>
                <w:rFonts w:ascii="Times New Roman" w:hAnsi="Times New Roman"/>
                <w:color w:val="000000"/>
                <w:sz w:val="20"/>
                <w:szCs w:val="20"/>
              </w:rPr>
            </w:pPr>
          </w:p>
        </w:tc>
        <w:tc>
          <w:tcPr>
            <w:tcW w:w="7940" w:type="dxa"/>
            <w:tcBorders>
              <w:top w:val="single" w:sz="4" w:space="0" w:color="000000"/>
              <w:left w:val="single" w:sz="4" w:space="0" w:color="000000"/>
              <w:bottom w:val="single" w:sz="4" w:space="0" w:color="000000"/>
              <w:right w:val="single" w:sz="4" w:space="0" w:color="000000"/>
            </w:tcBorders>
          </w:tcPr>
          <w:p w14:paraId="092DB2A9" w14:textId="77777777" w:rsidR="006E559F" w:rsidRPr="006E559F" w:rsidRDefault="006E559F" w:rsidP="006E559F">
            <w:pPr>
              <w:spacing w:after="0" w:line="240" w:lineRule="auto"/>
              <w:jc w:val="both"/>
              <w:rPr>
                <w:rFonts w:ascii="Times New Roman" w:hAnsi="Times New Roman"/>
                <w:color w:val="000000"/>
                <w:sz w:val="20"/>
                <w:szCs w:val="20"/>
              </w:rPr>
            </w:pPr>
            <w:r w:rsidRPr="006E559F">
              <w:rPr>
                <w:rFonts w:ascii="Times New Roman" w:hAnsi="Times New Roman"/>
                <w:color w:val="000000"/>
                <w:sz w:val="20"/>
                <w:szCs w:val="20"/>
              </w:rPr>
              <w:t>Clause III(a) of the Memorandum of Association was amended to reflect the amendment in existing main object of the company:</w:t>
            </w:r>
          </w:p>
          <w:p w14:paraId="392BA52F" w14:textId="77777777" w:rsidR="006E559F" w:rsidRPr="006E559F" w:rsidRDefault="006E559F">
            <w:pPr>
              <w:numPr>
                <w:ilvl w:val="3"/>
                <w:numId w:val="344"/>
              </w:numPr>
              <w:spacing w:after="0" w:line="240" w:lineRule="auto"/>
              <w:ind w:left="342"/>
              <w:contextualSpacing/>
              <w:jc w:val="both"/>
              <w:rPr>
                <w:rFonts w:ascii="Times New Roman" w:hAnsi="Times New Roman"/>
                <w:color w:val="000000"/>
                <w:sz w:val="20"/>
                <w:szCs w:val="20"/>
              </w:rPr>
            </w:pPr>
            <w:r w:rsidRPr="006E559F">
              <w:rPr>
                <w:rFonts w:ascii="Times New Roman" w:hAnsi="Times New Roman"/>
                <w:color w:val="000000"/>
                <w:sz w:val="20"/>
                <w:szCs w:val="20"/>
              </w:rPr>
              <w:lastRenderedPageBreak/>
              <w:t>To carry on the business to import, export, manufacturing, processing, trading and to mix, manipulate, prepare, sell, resale, search, explore resources of metals, research, pack, repack, purchase, supply, distribute, recycler, acquire, commercialize, develop and to act as agent, dealer, sub dealer, stockiest, job worker and otherwise to deal in all kinds and types, varieties, strengths, specifications, descriptions, dimensions, and shapes of ferrous and nonferrous metal parts, ingots, billets and all types of materials made there from, rods, metal , scraps and other allied metals, perforated, printed embossed of all types including angles, tubes pipes, reverts, buckles, bolts, nuts, screws, and all product mix related to this main object</w:t>
            </w:r>
          </w:p>
        </w:tc>
      </w:tr>
      <w:tr w:rsidR="006E559F" w:rsidRPr="006E559F" w14:paraId="18F3B20D" w14:textId="77777777" w:rsidTr="00716083">
        <w:trPr>
          <w:trHeight w:val="20"/>
        </w:trPr>
        <w:tc>
          <w:tcPr>
            <w:tcW w:w="1556" w:type="dxa"/>
            <w:vMerge/>
            <w:tcBorders>
              <w:left w:val="single" w:sz="4" w:space="0" w:color="000000"/>
              <w:right w:val="single" w:sz="4" w:space="0" w:color="000000"/>
            </w:tcBorders>
            <w:vAlign w:val="center"/>
          </w:tcPr>
          <w:p w14:paraId="192F8806" w14:textId="77777777" w:rsidR="006E559F" w:rsidRPr="006E559F" w:rsidRDefault="006E559F" w:rsidP="006E559F">
            <w:pPr>
              <w:spacing w:after="0" w:line="240" w:lineRule="auto"/>
              <w:jc w:val="both"/>
              <w:rPr>
                <w:rFonts w:ascii="Times New Roman" w:hAnsi="Times New Roman"/>
                <w:color w:val="000000"/>
                <w:sz w:val="20"/>
                <w:szCs w:val="20"/>
              </w:rPr>
            </w:pPr>
          </w:p>
        </w:tc>
        <w:tc>
          <w:tcPr>
            <w:tcW w:w="960" w:type="dxa"/>
            <w:vMerge/>
            <w:tcBorders>
              <w:left w:val="single" w:sz="4" w:space="0" w:color="000000"/>
              <w:right w:val="single" w:sz="4" w:space="0" w:color="000000"/>
            </w:tcBorders>
            <w:vAlign w:val="center"/>
          </w:tcPr>
          <w:p w14:paraId="4F820853" w14:textId="77777777" w:rsidR="006E559F" w:rsidRPr="006E559F" w:rsidRDefault="006E559F" w:rsidP="006E559F">
            <w:pPr>
              <w:spacing w:after="0" w:line="240" w:lineRule="auto"/>
              <w:jc w:val="both"/>
              <w:rPr>
                <w:rFonts w:ascii="Times New Roman" w:hAnsi="Times New Roman"/>
                <w:color w:val="000000"/>
                <w:sz w:val="20"/>
                <w:szCs w:val="20"/>
              </w:rPr>
            </w:pPr>
          </w:p>
        </w:tc>
        <w:tc>
          <w:tcPr>
            <w:tcW w:w="7940" w:type="dxa"/>
            <w:tcBorders>
              <w:top w:val="single" w:sz="4" w:space="0" w:color="000000"/>
              <w:left w:val="single" w:sz="4" w:space="0" w:color="000000"/>
              <w:bottom w:val="single" w:sz="4" w:space="0" w:color="000000"/>
              <w:right w:val="single" w:sz="4" w:space="0" w:color="000000"/>
            </w:tcBorders>
          </w:tcPr>
          <w:p w14:paraId="4A863031" w14:textId="77777777" w:rsidR="006E559F" w:rsidRPr="006E559F" w:rsidRDefault="006E559F" w:rsidP="006E559F">
            <w:pPr>
              <w:spacing w:after="0" w:line="240" w:lineRule="auto"/>
              <w:jc w:val="both"/>
              <w:rPr>
                <w:rFonts w:ascii="Times New Roman" w:hAnsi="Times New Roman"/>
                <w:color w:val="000000"/>
                <w:sz w:val="20"/>
                <w:szCs w:val="20"/>
              </w:rPr>
            </w:pPr>
            <w:r w:rsidRPr="006E559F">
              <w:rPr>
                <w:rFonts w:ascii="Times New Roman" w:hAnsi="Times New Roman"/>
                <w:color w:val="000000"/>
                <w:sz w:val="20"/>
                <w:szCs w:val="20"/>
              </w:rPr>
              <w:t>Clause V of the Memorandum of Association was amended to reflect increase in the authorized share capital of the Company from ₹1,400 Lakhs divided into 1,40,00,000 Equity Shares of ₹10/- each to ₹2,000 Lakhs divided into 2,00,00,000 Equity Shares of ₹10/- each.</w:t>
            </w:r>
          </w:p>
        </w:tc>
      </w:tr>
      <w:tr w:rsidR="006E559F" w:rsidRPr="006E559F" w14:paraId="175C7F7A" w14:textId="77777777" w:rsidTr="00716083">
        <w:trPr>
          <w:trHeight w:val="20"/>
        </w:trPr>
        <w:tc>
          <w:tcPr>
            <w:tcW w:w="1556" w:type="dxa"/>
            <w:tcBorders>
              <w:left w:val="single" w:sz="4" w:space="0" w:color="000000"/>
              <w:right w:val="single" w:sz="4" w:space="0" w:color="000000"/>
            </w:tcBorders>
            <w:vAlign w:val="center"/>
          </w:tcPr>
          <w:p w14:paraId="580265ED" w14:textId="77777777" w:rsidR="006E559F" w:rsidRPr="006E559F" w:rsidRDefault="006E559F" w:rsidP="006E559F">
            <w:pPr>
              <w:spacing w:after="0" w:line="240" w:lineRule="auto"/>
              <w:jc w:val="both"/>
              <w:rPr>
                <w:rFonts w:ascii="Times New Roman" w:hAnsi="Times New Roman"/>
                <w:color w:val="000000"/>
                <w:sz w:val="20"/>
                <w:szCs w:val="20"/>
              </w:rPr>
            </w:pPr>
            <w:r w:rsidRPr="006E559F">
              <w:rPr>
                <w:rFonts w:ascii="Times New Roman" w:hAnsi="Times New Roman"/>
                <w:color w:val="000000"/>
                <w:sz w:val="20"/>
                <w:szCs w:val="20"/>
              </w:rPr>
              <w:t>August 05, 2023</w:t>
            </w:r>
          </w:p>
        </w:tc>
        <w:tc>
          <w:tcPr>
            <w:tcW w:w="960" w:type="dxa"/>
            <w:tcBorders>
              <w:left w:val="single" w:sz="4" w:space="0" w:color="000000"/>
              <w:right w:val="single" w:sz="4" w:space="0" w:color="000000"/>
            </w:tcBorders>
            <w:vAlign w:val="center"/>
          </w:tcPr>
          <w:p w14:paraId="6F0D20B1" w14:textId="77777777" w:rsidR="006E559F" w:rsidRPr="006E559F" w:rsidRDefault="006E559F" w:rsidP="006E559F">
            <w:pPr>
              <w:spacing w:after="0" w:line="240" w:lineRule="auto"/>
              <w:jc w:val="both"/>
              <w:rPr>
                <w:rFonts w:ascii="Times New Roman" w:hAnsi="Times New Roman"/>
                <w:color w:val="000000"/>
                <w:sz w:val="20"/>
                <w:szCs w:val="20"/>
              </w:rPr>
            </w:pPr>
            <w:r w:rsidRPr="006E559F">
              <w:rPr>
                <w:rFonts w:ascii="Times New Roman" w:hAnsi="Times New Roman"/>
                <w:color w:val="000000"/>
                <w:sz w:val="20"/>
                <w:szCs w:val="20"/>
              </w:rPr>
              <w:t>EGM</w:t>
            </w:r>
          </w:p>
        </w:tc>
        <w:tc>
          <w:tcPr>
            <w:tcW w:w="7940" w:type="dxa"/>
            <w:tcBorders>
              <w:top w:val="single" w:sz="4" w:space="0" w:color="000000"/>
              <w:left w:val="single" w:sz="4" w:space="0" w:color="000000"/>
              <w:bottom w:val="single" w:sz="4" w:space="0" w:color="000000"/>
              <w:right w:val="single" w:sz="4" w:space="0" w:color="000000"/>
            </w:tcBorders>
          </w:tcPr>
          <w:p w14:paraId="65AC2035" w14:textId="77777777" w:rsidR="006E559F" w:rsidRPr="006E559F" w:rsidRDefault="006E559F" w:rsidP="006E559F">
            <w:pPr>
              <w:spacing w:after="0" w:line="240" w:lineRule="auto"/>
              <w:jc w:val="both"/>
              <w:rPr>
                <w:rFonts w:ascii="Times New Roman" w:hAnsi="Times New Roman"/>
                <w:color w:val="000000"/>
                <w:sz w:val="20"/>
                <w:szCs w:val="20"/>
              </w:rPr>
            </w:pPr>
            <w:r w:rsidRPr="006E559F">
              <w:rPr>
                <w:rFonts w:ascii="Times New Roman" w:hAnsi="Times New Roman"/>
                <w:color w:val="000000"/>
                <w:sz w:val="20"/>
                <w:szCs w:val="20"/>
              </w:rPr>
              <w:t>Conversion of our Company from Private Limited to Public Limited Company. Consequently, name of the Company has been changed from ‘Siyaram Recycling Industries Private Limited</w:t>
            </w:r>
            <w:r w:rsidRPr="006E559F">
              <w:rPr>
                <w:rFonts w:ascii="Times New Roman" w:hAnsi="Times New Roman"/>
                <w:sz w:val="20"/>
                <w:szCs w:val="20"/>
              </w:rPr>
              <w:t>’</w:t>
            </w:r>
            <w:r w:rsidRPr="006E559F">
              <w:rPr>
                <w:rFonts w:ascii="Times New Roman" w:hAnsi="Times New Roman"/>
                <w:color w:val="000000"/>
                <w:sz w:val="20"/>
                <w:szCs w:val="20"/>
              </w:rPr>
              <w:t xml:space="preserve"> to ‘Siyaram Recycling Industries Limited</w:t>
            </w:r>
            <w:r w:rsidRPr="006E559F">
              <w:rPr>
                <w:rFonts w:ascii="Times New Roman" w:hAnsi="Times New Roman"/>
                <w:sz w:val="20"/>
                <w:szCs w:val="20"/>
              </w:rPr>
              <w:t>’</w:t>
            </w:r>
            <w:r w:rsidRPr="006E559F">
              <w:rPr>
                <w:rFonts w:ascii="Times New Roman" w:hAnsi="Times New Roman"/>
                <w:color w:val="000000"/>
                <w:sz w:val="20"/>
                <w:szCs w:val="20"/>
              </w:rPr>
              <w:t xml:space="preserve"> and fresh Certificate of Incorporation Consequent upon conversion to Public Limited Company issued dated</w:t>
            </w:r>
            <w:r w:rsidRPr="006E559F">
              <w:rPr>
                <w:rFonts w:ascii="Times New Roman" w:hAnsi="Times New Roman"/>
                <w:sz w:val="20"/>
                <w:szCs w:val="20"/>
              </w:rPr>
              <w:t xml:space="preserve"> August 24, 2023 </w:t>
            </w:r>
            <w:r w:rsidRPr="006E559F">
              <w:rPr>
                <w:rFonts w:ascii="Times New Roman" w:hAnsi="Times New Roman"/>
                <w:color w:val="000000"/>
                <w:sz w:val="20"/>
                <w:szCs w:val="20"/>
              </w:rPr>
              <w:t xml:space="preserve">bearing CIN U27106GJ2007PTC049999 was issued by Registrar of Companies, </w:t>
            </w:r>
            <w:r w:rsidRPr="006E559F">
              <w:rPr>
                <w:rFonts w:ascii="Times New Roman" w:hAnsi="Times New Roman"/>
                <w:sz w:val="20"/>
                <w:szCs w:val="20"/>
              </w:rPr>
              <w:t>Ahmedabad</w:t>
            </w:r>
          </w:p>
        </w:tc>
      </w:tr>
    </w:tbl>
    <w:p w14:paraId="52932637" w14:textId="77777777" w:rsidR="006E559F" w:rsidRPr="006E559F" w:rsidRDefault="006E559F" w:rsidP="006E559F">
      <w:pPr>
        <w:pBdr>
          <w:top w:val="nil"/>
          <w:left w:val="nil"/>
          <w:bottom w:val="nil"/>
          <w:right w:val="nil"/>
          <w:between w:val="nil"/>
        </w:pBdr>
        <w:spacing w:after="0" w:line="240" w:lineRule="auto"/>
        <w:jc w:val="both"/>
        <w:rPr>
          <w:rFonts w:ascii="Times New Roman" w:hAnsi="Times New Roman"/>
          <w:b/>
          <w:color w:val="000000"/>
          <w:sz w:val="20"/>
          <w:szCs w:val="20"/>
        </w:rPr>
      </w:pPr>
    </w:p>
    <w:p w14:paraId="722DDCFA" w14:textId="77777777" w:rsidR="006E559F" w:rsidRPr="006E559F" w:rsidRDefault="006E559F" w:rsidP="006E559F">
      <w:pPr>
        <w:pBdr>
          <w:top w:val="nil"/>
          <w:left w:val="nil"/>
          <w:bottom w:val="nil"/>
          <w:right w:val="nil"/>
          <w:between w:val="nil"/>
        </w:pBdr>
        <w:spacing w:after="0" w:line="240" w:lineRule="auto"/>
        <w:jc w:val="both"/>
        <w:rPr>
          <w:rFonts w:ascii="Times New Roman" w:hAnsi="Times New Roman"/>
          <w:b/>
          <w:color w:val="000000"/>
          <w:sz w:val="20"/>
          <w:szCs w:val="20"/>
        </w:rPr>
      </w:pPr>
      <w:r w:rsidRPr="006E559F">
        <w:rPr>
          <w:rFonts w:ascii="Times New Roman" w:hAnsi="Times New Roman"/>
          <w:b/>
          <w:color w:val="000000"/>
          <w:sz w:val="20"/>
          <w:szCs w:val="20"/>
        </w:rPr>
        <w:t>Adoption of new set of Articles of Association of the Company:</w:t>
      </w:r>
    </w:p>
    <w:p w14:paraId="64834A38" w14:textId="77777777" w:rsidR="006E559F" w:rsidRPr="006E559F" w:rsidRDefault="006E559F" w:rsidP="006E559F">
      <w:pPr>
        <w:pBdr>
          <w:top w:val="nil"/>
          <w:left w:val="nil"/>
          <w:bottom w:val="nil"/>
          <w:right w:val="nil"/>
          <w:between w:val="nil"/>
        </w:pBdr>
        <w:spacing w:after="0" w:line="240" w:lineRule="auto"/>
        <w:jc w:val="both"/>
        <w:rPr>
          <w:rFonts w:ascii="Times New Roman" w:hAnsi="Times New Roman"/>
          <w:b/>
          <w:color w:val="000000"/>
          <w:sz w:val="20"/>
          <w:szCs w:val="20"/>
        </w:rPr>
      </w:pPr>
    </w:p>
    <w:p w14:paraId="1BC339A9" w14:textId="77777777" w:rsidR="006E559F" w:rsidRPr="006E559F" w:rsidRDefault="006E559F" w:rsidP="006E559F">
      <w:pPr>
        <w:pBdr>
          <w:top w:val="nil"/>
          <w:left w:val="nil"/>
          <w:bottom w:val="nil"/>
          <w:right w:val="nil"/>
          <w:between w:val="nil"/>
        </w:pBdr>
        <w:spacing w:after="0" w:line="240" w:lineRule="auto"/>
        <w:jc w:val="both"/>
        <w:rPr>
          <w:rFonts w:ascii="Times New Roman" w:hAnsi="Times New Roman"/>
          <w:bCs/>
          <w:color w:val="000000"/>
          <w:sz w:val="20"/>
          <w:szCs w:val="20"/>
        </w:rPr>
      </w:pPr>
      <w:r w:rsidRPr="006E559F">
        <w:rPr>
          <w:rFonts w:ascii="Times New Roman" w:hAnsi="Times New Roman"/>
          <w:bCs/>
          <w:color w:val="000000"/>
          <w:sz w:val="20"/>
          <w:szCs w:val="20"/>
        </w:rPr>
        <w:t xml:space="preserve">Our Company has adopted a new set of Articles of Association in accordance with the applicable provisions of the Companies Act, 2013, at the Extraordinary General Meeting of the Company held on </w:t>
      </w:r>
      <w:r w:rsidRPr="006E559F">
        <w:rPr>
          <w:rFonts w:ascii="Times New Roman" w:hAnsi="Times New Roman"/>
          <w:color w:val="000000"/>
          <w:sz w:val="20"/>
          <w:szCs w:val="20"/>
        </w:rPr>
        <w:t>July 15, 2023</w:t>
      </w:r>
      <w:r w:rsidRPr="006E559F">
        <w:rPr>
          <w:rFonts w:ascii="Times New Roman" w:hAnsi="Times New Roman"/>
          <w:bCs/>
          <w:color w:val="000000"/>
          <w:sz w:val="20"/>
          <w:szCs w:val="20"/>
        </w:rPr>
        <w:t>.</w:t>
      </w:r>
    </w:p>
    <w:p w14:paraId="2B87D0C7" w14:textId="77777777" w:rsidR="006E559F" w:rsidRPr="006E559F" w:rsidRDefault="006E559F" w:rsidP="006E559F">
      <w:pPr>
        <w:pBdr>
          <w:top w:val="nil"/>
          <w:left w:val="nil"/>
          <w:bottom w:val="nil"/>
          <w:right w:val="nil"/>
          <w:between w:val="nil"/>
        </w:pBdr>
        <w:spacing w:after="0" w:line="240" w:lineRule="auto"/>
        <w:jc w:val="both"/>
        <w:rPr>
          <w:rFonts w:ascii="Times New Roman" w:hAnsi="Times New Roman"/>
          <w:b/>
          <w:color w:val="000000"/>
          <w:sz w:val="20"/>
          <w:szCs w:val="20"/>
        </w:rPr>
      </w:pPr>
    </w:p>
    <w:p w14:paraId="1461279B" w14:textId="77777777" w:rsidR="006E559F" w:rsidRPr="006E559F" w:rsidRDefault="006E559F" w:rsidP="006E559F">
      <w:pPr>
        <w:spacing w:after="0" w:line="240" w:lineRule="auto"/>
        <w:jc w:val="both"/>
        <w:rPr>
          <w:rFonts w:ascii="Times New Roman" w:hAnsi="Times New Roman"/>
          <w:b/>
          <w:color w:val="000000"/>
          <w:sz w:val="20"/>
          <w:szCs w:val="20"/>
        </w:rPr>
      </w:pPr>
      <w:r w:rsidRPr="006E559F">
        <w:rPr>
          <w:rFonts w:ascii="Times New Roman" w:hAnsi="Times New Roman"/>
          <w:b/>
          <w:color w:val="000000"/>
          <w:sz w:val="20"/>
          <w:szCs w:val="20"/>
        </w:rPr>
        <w:t>Major events and milestones of our Company:</w:t>
      </w:r>
    </w:p>
    <w:p w14:paraId="6E391975" w14:textId="77777777" w:rsidR="006E559F" w:rsidRPr="006E559F" w:rsidRDefault="006E559F" w:rsidP="006E559F">
      <w:pPr>
        <w:spacing w:after="0" w:line="240" w:lineRule="auto"/>
        <w:jc w:val="both"/>
        <w:rPr>
          <w:rFonts w:ascii="Times New Roman" w:hAnsi="Times New Roman"/>
          <w:b/>
          <w:color w:val="000000"/>
          <w:sz w:val="20"/>
          <w:szCs w:val="20"/>
        </w:rPr>
      </w:pPr>
    </w:p>
    <w:p w14:paraId="1F928788" w14:textId="77777777" w:rsidR="006E559F" w:rsidRPr="006E559F" w:rsidRDefault="006E559F" w:rsidP="006E559F">
      <w:pPr>
        <w:spacing w:after="0" w:line="240" w:lineRule="auto"/>
        <w:jc w:val="both"/>
        <w:rPr>
          <w:rFonts w:ascii="Times New Roman" w:hAnsi="Times New Roman"/>
          <w:color w:val="000000"/>
          <w:sz w:val="20"/>
          <w:szCs w:val="20"/>
        </w:rPr>
      </w:pPr>
      <w:r w:rsidRPr="006E559F">
        <w:rPr>
          <w:rFonts w:ascii="Times New Roman" w:hAnsi="Times New Roman"/>
          <w:color w:val="000000"/>
          <w:sz w:val="20"/>
          <w:szCs w:val="20"/>
        </w:rPr>
        <w:t xml:space="preserve">The table below sets forth some of the major events in the history of our company: </w:t>
      </w:r>
    </w:p>
    <w:p w14:paraId="536620C8" w14:textId="77777777" w:rsidR="006E559F" w:rsidRPr="006E559F" w:rsidRDefault="006E559F" w:rsidP="006E559F">
      <w:pPr>
        <w:spacing w:after="0" w:line="240" w:lineRule="auto"/>
        <w:jc w:val="both"/>
        <w:rPr>
          <w:rFonts w:ascii="Times New Roman" w:hAnsi="Times New Roman"/>
          <w:sz w:val="20"/>
          <w:szCs w:val="20"/>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6"/>
        <w:gridCol w:w="9270"/>
      </w:tblGrid>
      <w:tr w:rsidR="006E559F" w:rsidRPr="006E559F" w14:paraId="46EE2D73" w14:textId="77777777" w:rsidTr="00716083">
        <w:trPr>
          <w:tblHeader/>
        </w:trPr>
        <w:tc>
          <w:tcPr>
            <w:tcW w:w="1186" w:type="dxa"/>
            <w:tcBorders>
              <w:top w:val="single" w:sz="4" w:space="0" w:color="000000"/>
              <w:left w:val="single" w:sz="4" w:space="0" w:color="000000"/>
              <w:bottom w:val="single" w:sz="4" w:space="0" w:color="000000"/>
              <w:right w:val="single" w:sz="4" w:space="0" w:color="000000"/>
            </w:tcBorders>
            <w:shd w:val="clear" w:color="auto" w:fill="D0CECE"/>
          </w:tcPr>
          <w:p w14:paraId="1004713A" w14:textId="77777777" w:rsidR="006E559F" w:rsidRPr="006E559F" w:rsidRDefault="006E559F" w:rsidP="006E559F">
            <w:pPr>
              <w:spacing w:after="0" w:line="240" w:lineRule="auto"/>
              <w:jc w:val="both"/>
              <w:rPr>
                <w:rFonts w:ascii="Times New Roman" w:hAnsi="Times New Roman"/>
                <w:b/>
                <w:sz w:val="20"/>
                <w:szCs w:val="20"/>
              </w:rPr>
            </w:pPr>
            <w:r w:rsidRPr="006E559F">
              <w:rPr>
                <w:rFonts w:ascii="Times New Roman" w:hAnsi="Times New Roman"/>
                <w:b/>
                <w:sz w:val="20"/>
                <w:szCs w:val="20"/>
              </w:rPr>
              <w:t>Year/ F.Y.</w:t>
            </w:r>
          </w:p>
        </w:tc>
        <w:tc>
          <w:tcPr>
            <w:tcW w:w="9270" w:type="dxa"/>
            <w:tcBorders>
              <w:top w:val="single" w:sz="4" w:space="0" w:color="000000"/>
              <w:left w:val="single" w:sz="4" w:space="0" w:color="000000"/>
              <w:bottom w:val="single" w:sz="4" w:space="0" w:color="000000"/>
              <w:right w:val="single" w:sz="4" w:space="0" w:color="000000"/>
            </w:tcBorders>
            <w:shd w:val="clear" w:color="auto" w:fill="D0CECE"/>
          </w:tcPr>
          <w:p w14:paraId="15786603" w14:textId="77777777" w:rsidR="006E559F" w:rsidRPr="006E559F" w:rsidRDefault="006E559F" w:rsidP="006E559F">
            <w:pPr>
              <w:spacing w:after="0" w:line="240" w:lineRule="auto"/>
              <w:jc w:val="both"/>
              <w:rPr>
                <w:rFonts w:ascii="Times New Roman" w:hAnsi="Times New Roman"/>
                <w:b/>
                <w:sz w:val="20"/>
                <w:szCs w:val="20"/>
              </w:rPr>
            </w:pPr>
            <w:r w:rsidRPr="006E559F">
              <w:rPr>
                <w:rFonts w:ascii="Times New Roman" w:hAnsi="Times New Roman"/>
                <w:b/>
                <w:sz w:val="20"/>
                <w:szCs w:val="20"/>
              </w:rPr>
              <w:t>Key Events/ Milestone/ Achievements</w:t>
            </w:r>
          </w:p>
        </w:tc>
      </w:tr>
      <w:tr w:rsidR="006E559F" w:rsidRPr="006E559F" w14:paraId="3816C72C" w14:textId="77777777" w:rsidTr="00716083">
        <w:trPr>
          <w:trHeight w:val="224"/>
        </w:trPr>
        <w:tc>
          <w:tcPr>
            <w:tcW w:w="1186" w:type="dxa"/>
            <w:tcBorders>
              <w:top w:val="single" w:sz="4" w:space="0" w:color="000000"/>
              <w:left w:val="single" w:sz="4" w:space="0" w:color="000000"/>
              <w:bottom w:val="single" w:sz="4" w:space="0" w:color="000000"/>
              <w:right w:val="single" w:sz="4" w:space="0" w:color="000000"/>
            </w:tcBorders>
          </w:tcPr>
          <w:p w14:paraId="3A525CA2" w14:textId="77777777" w:rsidR="006E559F" w:rsidRPr="006E559F" w:rsidRDefault="006E559F" w:rsidP="006E559F">
            <w:pPr>
              <w:spacing w:after="0" w:line="240" w:lineRule="auto"/>
              <w:jc w:val="center"/>
              <w:rPr>
                <w:rFonts w:ascii="Times New Roman" w:hAnsi="Times New Roman"/>
                <w:sz w:val="20"/>
                <w:szCs w:val="20"/>
              </w:rPr>
            </w:pPr>
            <w:r w:rsidRPr="006E559F">
              <w:rPr>
                <w:rFonts w:ascii="Times New Roman" w:hAnsi="Times New Roman"/>
                <w:sz w:val="20"/>
                <w:szCs w:val="20"/>
              </w:rPr>
              <w:t>2020</w:t>
            </w:r>
          </w:p>
        </w:tc>
        <w:tc>
          <w:tcPr>
            <w:tcW w:w="9270" w:type="dxa"/>
            <w:tcBorders>
              <w:top w:val="single" w:sz="4" w:space="0" w:color="000000"/>
              <w:left w:val="single" w:sz="4" w:space="0" w:color="000000"/>
              <w:bottom w:val="single" w:sz="4" w:space="0" w:color="000000"/>
              <w:right w:val="single" w:sz="4" w:space="0" w:color="000000"/>
            </w:tcBorders>
          </w:tcPr>
          <w:p w14:paraId="04B8941D" w14:textId="77777777" w:rsidR="006E559F" w:rsidRPr="006E559F" w:rsidRDefault="006E559F" w:rsidP="006E559F">
            <w:pPr>
              <w:spacing w:after="0" w:line="240" w:lineRule="auto"/>
              <w:jc w:val="both"/>
              <w:rPr>
                <w:rFonts w:ascii="Times New Roman" w:hAnsi="Times New Roman"/>
                <w:sz w:val="20"/>
                <w:szCs w:val="20"/>
              </w:rPr>
            </w:pPr>
            <w:r w:rsidRPr="006E559F">
              <w:rPr>
                <w:rFonts w:ascii="Times New Roman" w:hAnsi="Times New Roman"/>
                <w:sz w:val="20"/>
                <w:szCs w:val="20"/>
              </w:rPr>
              <w:t>Received award for “FT High-Growth Companies Asia-Pacific 2020” by The Financial Times and Statista</w:t>
            </w:r>
          </w:p>
        </w:tc>
      </w:tr>
      <w:tr w:rsidR="006E559F" w:rsidRPr="006E559F" w14:paraId="526DABBB" w14:textId="77777777" w:rsidTr="00716083">
        <w:trPr>
          <w:trHeight w:val="224"/>
        </w:trPr>
        <w:tc>
          <w:tcPr>
            <w:tcW w:w="1186" w:type="dxa"/>
            <w:tcBorders>
              <w:top w:val="single" w:sz="4" w:space="0" w:color="000000"/>
              <w:left w:val="single" w:sz="4" w:space="0" w:color="000000"/>
              <w:bottom w:val="single" w:sz="4" w:space="0" w:color="000000"/>
              <w:right w:val="single" w:sz="4" w:space="0" w:color="000000"/>
            </w:tcBorders>
          </w:tcPr>
          <w:p w14:paraId="5CE3A405" w14:textId="77777777" w:rsidR="006E559F" w:rsidRPr="006E559F" w:rsidRDefault="006E559F" w:rsidP="006E559F">
            <w:pPr>
              <w:spacing w:after="0" w:line="240" w:lineRule="auto"/>
              <w:jc w:val="center"/>
              <w:rPr>
                <w:rFonts w:ascii="Times New Roman" w:hAnsi="Times New Roman"/>
                <w:sz w:val="20"/>
                <w:szCs w:val="20"/>
              </w:rPr>
            </w:pPr>
            <w:r w:rsidRPr="006E559F">
              <w:rPr>
                <w:rFonts w:ascii="Times New Roman" w:hAnsi="Times New Roman"/>
                <w:sz w:val="20"/>
                <w:szCs w:val="20"/>
              </w:rPr>
              <w:t>2020-21</w:t>
            </w:r>
          </w:p>
        </w:tc>
        <w:tc>
          <w:tcPr>
            <w:tcW w:w="9270" w:type="dxa"/>
            <w:tcBorders>
              <w:top w:val="single" w:sz="4" w:space="0" w:color="000000"/>
              <w:left w:val="single" w:sz="4" w:space="0" w:color="000000"/>
              <w:bottom w:val="single" w:sz="4" w:space="0" w:color="000000"/>
              <w:right w:val="single" w:sz="4" w:space="0" w:color="000000"/>
            </w:tcBorders>
          </w:tcPr>
          <w:p w14:paraId="24184722" w14:textId="77777777" w:rsidR="006E559F" w:rsidRPr="006E559F" w:rsidRDefault="006E559F" w:rsidP="006E559F">
            <w:pPr>
              <w:spacing w:after="0" w:line="240" w:lineRule="auto"/>
              <w:jc w:val="both"/>
              <w:rPr>
                <w:rFonts w:ascii="Times New Roman" w:hAnsi="Times New Roman"/>
                <w:sz w:val="20"/>
                <w:szCs w:val="20"/>
              </w:rPr>
            </w:pPr>
            <w:r w:rsidRPr="006E559F">
              <w:rPr>
                <w:rFonts w:ascii="Times New Roman" w:hAnsi="Times New Roman"/>
                <w:sz w:val="20"/>
                <w:szCs w:val="20"/>
              </w:rPr>
              <w:t>Crossed ₹ 100 crores revenue mark in Financial Year 2020-21</w:t>
            </w:r>
          </w:p>
        </w:tc>
      </w:tr>
      <w:tr w:rsidR="006E559F" w:rsidRPr="006E559F" w14:paraId="690E364F" w14:textId="77777777" w:rsidTr="00716083">
        <w:trPr>
          <w:trHeight w:val="224"/>
        </w:trPr>
        <w:tc>
          <w:tcPr>
            <w:tcW w:w="1186" w:type="dxa"/>
            <w:tcBorders>
              <w:top w:val="single" w:sz="4" w:space="0" w:color="000000"/>
              <w:left w:val="single" w:sz="4" w:space="0" w:color="000000"/>
              <w:bottom w:val="single" w:sz="4" w:space="0" w:color="000000"/>
              <w:right w:val="single" w:sz="4" w:space="0" w:color="000000"/>
            </w:tcBorders>
          </w:tcPr>
          <w:p w14:paraId="5462109B" w14:textId="77777777" w:rsidR="006E559F" w:rsidRPr="006E559F" w:rsidRDefault="006E559F" w:rsidP="006E559F">
            <w:pPr>
              <w:spacing w:after="0" w:line="240" w:lineRule="auto"/>
              <w:jc w:val="center"/>
              <w:rPr>
                <w:rFonts w:ascii="Times New Roman" w:hAnsi="Times New Roman"/>
                <w:sz w:val="20"/>
                <w:szCs w:val="20"/>
              </w:rPr>
            </w:pPr>
            <w:r w:rsidRPr="006E559F">
              <w:rPr>
                <w:rFonts w:ascii="Times New Roman" w:hAnsi="Times New Roman"/>
                <w:sz w:val="20"/>
                <w:szCs w:val="20"/>
              </w:rPr>
              <w:t>2021-22</w:t>
            </w:r>
          </w:p>
        </w:tc>
        <w:tc>
          <w:tcPr>
            <w:tcW w:w="9270" w:type="dxa"/>
            <w:tcBorders>
              <w:top w:val="single" w:sz="4" w:space="0" w:color="000000"/>
              <w:left w:val="single" w:sz="4" w:space="0" w:color="000000"/>
              <w:bottom w:val="single" w:sz="4" w:space="0" w:color="000000"/>
              <w:right w:val="single" w:sz="4" w:space="0" w:color="000000"/>
            </w:tcBorders>
          </w:tcPr>
          <w:p w14:paraId="5123E4D2" w14:textId="77777777" w:rsidR="006E559F" w:rsidRPr="006E559F" w:rsidRDefault="006E559F" w:rsidP="006E559F">
            <w:pPr>
              <w:spacing w:after="0" w:line="240" w:lineRule="auto"/>
              <w:jc w:val="both"/>
              <w:rPr>
                <w:rFonts w:ascii="Times New Roman" w:hAnsi="Times New Roman"/>
                <w:sz w:val="20"/>
                <w:szCs w:val="20"/>
              </w:rPr>
            </w:pPr>
            <w:r w:rsidRPr="006E559F">
              <w:rPr>
                <w:rFonts w:ascii="Times New Roman" w:hAnsi="Times New Roman"/>
                <w:sz w:val="20"/>
                <w:szCs w:val="20"/>
              </w:rPr>
              <w:t>Crossed ₹ 400 crores revenue mark in Financial Year 2021-22</w:t>
            </w:r>
          </w:p>
        </w:tc>
      </w:tr>
      <w:tr w:rsidR="006E559F" w:rsidRPr="006E559F" w14:paraId="1A8E6E58" w14:textId="77777777" w:rsidTr="00716083">
        <w:trPr>
          <w:trHeight w:val="224"/>
        </w:trPr>
        <w:tc>
          <w:tcPr>
            <w:tcW w:w="1186" w:type="dxa"/>
            <w:tcBorders>
              <w:top w:val="single" w:sz="4" w:space="0" w:color="000000"/>
              <w:left w:val="single" w:sz="4" w:space="0" w:color="000000"/>
              <w:bottom w:val="single" w:sz="4" w:space="0" w:color="000000"/>
              <w:right w:val="single" w:sz="4" w:space="0" w:color="000000"/>
            </w:tcBorders>
          </w:tcPr>
          <w:p w14:paraId="614675B9" w14:textId="77777777" w:rsidR="006E559F" w:rsidRPr="006E559F" w:rsidRDefault="006E559F" w:rsidP="006E559F">
            <w:pPr>
              <w:spacing w:after="0" w:line="240" w:lineRule="auto"/>
              <w:jc w:val="center"/>
              <w:rPr>
                <w:rFonts w:ascii="Times New Roman" w:hAnsi="Times New Roman"/>
                <w:sz w:val="20"/>
                <w:szCs w:val="20"/>
              </w:rPr>
            </w:pPr>
            <w:r w:rsidRPr="006E559F">
              <w:rPr>
                <w:rFonts w:ascii="Times New Roman" w:hAnsi="Times New Roman"/>
                <w:sz w:val="20"/>
                <w:szCs w:val="20"/>
              </w:rPr>
              <w:t>2023-24</w:t>
            </w:r>
          </w:p>
          <w:p w14:paraId="671F322A" w14:textId="77777777" w:rsidR="006E559F" w:rsidRPr="006E559F" w:rsidRDefault="006E559F" w:rsidP="006E559F">
            <w:pPr>
              <w:spacing w:after="0" w:line="240" w:lineRule="auto"/>
              <w:jc w:val="center"/>
              <w:rPr>
                <w:rFonts w:ascii="Times New Roman" w:hAnsi="Times New Roman"/>
                <w:sz w:val="20"/>
                <w:szCs w:val="20"/>
              </w:rPr>
            </w:pPr>
          </w:p>
        </w:tc>
        <w:tc>
          <w:tcPr>
            <w:tcW w:w="9270" w:type="dxa"/>
            <w:tcBorders>
              <w:top w:val="single" w:sz="4" w:space="0" w:color="000000"/>
              <w:left w:val="single" w:sz="4" w:space="0" w:color="000000"/>
              <w:bottom w:val="single" w:sz="4" w:space="0" w:color="000000"/>
              <w:right w:val="single" w:sz="4" w:space="0" w:color="000000"/>
            </w:tcBorders>
          </w:tcPr>
          <w:p w14:paraId="32D46E0B" w14:textId="77777777" w:rsidR="006E559F" w:rsidRPr="006E559F" w:rsidRDefault="006E559F" w:rsidP="006E559F">
            <w:pPr>
              <w:spacing w:after="0" w:line="240" w:lineRule="auto"/>
              <w:jc w:val="both"/>
              <w:rPr>
                <w:rFonts w:ascii="Times New Roman" w:hAnsi="Times New Roman"/>
                <w:sz w:val="20"/>
                <w:szCs w:val="20"/>
              </w:rPr>
            </w:pPr>
            <w:r w:rsidRPr="006E559F">
              <w:rPr>
                <w:rFonts w:ascii="Times New Roman" w:hAnsi="Times New Roman"/>
                <w:color w:val="000000"/>
                <w:sz w:val="20"/>
                <w:szCs w:val="20"/>
              </w:rPr>
              <w:t>Change in the name of our Company from ‘Siyaram Impex Private Limited’ to ‘Siyaram Recycling Industries Private Limited’</w:t>
            </w:r>
            <w:r w:rsidRPr="006E559F">
              <w:rPr>
                <w:rFonts w:ascii="Times New Roman" w:hAnsi="Times New Roman"/>
                <w:sz w:val="20"/>
                <w:szCs w:val="20"/>
              </w:rPr>
              <w:t>.</w:t>
            </w:r>
          </w:p>
        </w:tc>
      </w:tr>
      <w:tr w:rsidR="006E559F" w:rsidRPr="006E559F" w14:paraId="04976482" w14:textId="77777777" w:rsidTr="00716083">
        <w:trPr>
          <w:trHeight w:val="224"/>
        </w:trPr>
        <w:tc>
          <w:tcPr>
            <w:tcW w:w="1186" w:type="dxa"/>
            <w:tcBorders>
              <w:top w:val="single" w:sz="4" w:space="0" w:color="000000"/>
              <w:left w:val="single" w:sz="4" w:space="0" w:color="000000"/>
              <w:bottom w:val="single" w:sz="4" w:space="0" w:color="000000"/>
              <w:right w:val="single" w:sz="4" w:space="0" w:color="000000"/>
            </w:tcBorders>
          </w:tcPr>
          <w:p w14:paraId="652BF158" w14:textId="77777777" w:rsidR="006E559F" w:rsidRPr="006E559F" w:rsidRDefault="006E559F" w:rsidP="006E559F">
            <w:pPr>
              <w:spacing w:after="0" w:line="240" w:lineRule="auto"/>
              <w:jc w:val="center"/>
              <w:rPr>
                <w:rFonts w:ascii="Times New Roman" w:hAnsi="Times New Roman"/>
                <w:sz w:val="20"/>
                <w:szCs w:val="20"/>
              </w:rPr>
            </w:pPr>
            <w:r w:rsidRPr="006E559F">
              <w:rPr>
                <w:rFonts w:ascii="Times New Roman" w:hAnsi="Times New Roman"/>
                <w:sz w:val="20"/>
                <w:szCs w:val="20"/>
              </w:rPr>
              <w:t>2023-24</w:t>
            </w:r>
          </w:p>
        </w:tc>
        <w:tc>
          <w:tcPr>
            <w:tcW w:w="9270" w:type="dxa"/>
            <w:tcBorders>
              <w:top w:val="single" w:sz="4" w:space="0" w:color="000000"/>
              <w:left w:val="single" w:sz="4" w:space="0" w:color="000000"/>
              <w:bottom w:val="single" w:sz="4" w:space="0" w:color="000000"/>
              <w:right w:val="single" w:sz="4" w:space="0" w:color="000000"/>
            </w:tcBorders>
          </w:tcPr>
          <w:p w14:paraId="61D6B2D4" w14:textId="77777777" w:rsidR="006E559F" w:rsidRPr="006E559F" w:rsidRDefault="006E559F" w:rsidP="006E559F">
            <w:pPr>
              <w:spacing w:after="0" w:line="240" w:lineRule="auto"/>
              <w:jc w:val="both"/>
              <w:rPr>
                <w:rFonts w:ascii="Times New Roman" w:hAnsi="Times New Roman"/>
                <w:color w:val="000000"/>
                <w:sz w:val="20"/>
                <w:szCs w:val="20"/>
              </w:rPr>
            </w:pPr>
            <w:r w:rsidRPr="006E559F">
              <w:rPr>
                <w:rFonts w:ascii="Times New Roman" w:hAnsi="Times New Roman"/>
                <w:color w:val="000000"/>
                <w:sz w:val="20"/>
                <w:szCs w:val="20"/>
              </w:rPr>
              <w:t>Conversion of Private Company to Public Limited Company</w:t>
            </w:r>
          </w:p>
        </w:tc>
      </w:tr>
    </w:tbl>
    <w:p w14:paraId="3EF77B82" w14:textId="77777777" w:rsidR="006E559F" w:rsidRPr="006E559F" w:rsidRDefault="006E559F" w:rsidP="006E559F">
      <w:pPr>
        <w:spacing w:after="0" w:line="240" w:lineRule="auto"/>
        <w:jc w:val="both"/>
        <w:rPr>
          <w:rFonts w:ascii="Times New Roman" w:hAnsi="Times New Roman"/>
          <w:b/>
          <w:sz w:val="20"/>
          <w:szCs w:val="20"/>
        </w:rPr>
      </w:pPr>
    </w:p>
    <w:p w14:paraId="374A117B" w14:textId="77777777" w:rsidR="006E559F" w:rsidRPr="006E559F" w:rsidRDefault="006E559F" w:rsidP="006E559F">
      <w:pPr>
        <w:spacing w:after="0" w:line="240" w:lineRule="auto"/>
        <w:ind w:right="-154"/>
        <w:jc w:val="both"/>
        <w:rPr>
          <w:rFonts w:ascii="Times New Roman" w:hAnsi="Times New Roman"/>
          <w:b/>
          <w:color w:val="000000"/>
          <w:sz w:val="20"/>
          <w:szCs w:val="20"/>
        </w:rPr>
      </w:pPr>
      <w:r w:rsidRPr="006E559F">
        <w:rPr>
          <w:rFonts w:ascii="Times New Roman" w:hAnsi="Times New Roman"/>
          <w:b/>
          <w:color w:val="000000"/>
          <w:sz w:val="20"/>
          <w:szCs w:val="20"/>
        </w:rPr>
        <w:t>Our Holding Company:</w:t>
      </w:r>
    </w:p>
    <w:p w14:paraId="2F8D5AB3" w14:textId="77777777" w:rsidR="006E559F" w:rsidRPr="006E559F" w:rsidRDefault="006E559F" w:rsidP="006E559F">
      <w:pPr>
        <w:spacing w:after="0" w:line="240" w:lineRule="auto"/>
        <w:ind w:right="-154"/>
        <w:jc w:val="both"/>
        <w:rPr>
          <w:rFonts w:ascii="Times New Roman" w:hAnsi="Times New Roman"/>
          <w:b/>
          <w:color w:val="000000"/>
          <w:sz w:val="20"/>
          <w:szCs w:val="20"/>
        </w:rPr>
      </w:pPr>
    </w:p>
    <w:p w14:paraId="5CDD55A6" w14:textId="77777777" w:rsidR="006E559F" w:rsidRPr="006E559F" w:rsidRDefault="006E559F" w:rsidP="006E559F">
      <w:pPr>
        <w:spacing w:after="0" w:line="240" w:lineRule="auto"/>
        <w:ind w:right="-154"/>
        <w:jc w:val="both"/>
        <w:rPr>
          <w:rFonts w:ascii="Times New Roman" w:hAnsi="Times New Roman"/>
          <w:sz w:val="20"/>
          <w:szCs w:val="20"/>
        </w:rPr>
      </w:pPr>
      <w:r w:rsidRPr="006E559F">
        <w:rPr>
          <w:rFonts w:ascii="Times New Roman" w:hAnsi="Times New Roman"/>
          <w:color w:val="000000"/>
          <w:sz w:val="20"/>
          <w:szCs w:val="20"/>
        </w:rPr>
        <w:t xml:space="preserve">As on the date of this Draft </w:t>
      </w:r>
      <w:r w:rsidRPr="006E559F">
        <w:rPr>
          <w:rFonts w:ascii="Times New Roman" w:hAnsi="Times New Roman"/>
          <w:sz w:val="20"/>
          <w:szCs w:val="20"/>
        </w:rPr>
        <w:t xml:space="preserve">Red Herring </w:t>
      </w:r>
      <w:r w:rsidRPr="006E559F">
        <w:rPr>
          <w:rFonts w:ascii="Times New Roman" w:hAnsi="Times New Roman"/>
          <w:color w:val="000000"/>
          <w:sz w:val="20"/>
          <w:szCs w:val="20"/>
        </w:rPr>
        <w:t xml:space="preserve">Prospectus, </w:t>
      </w:r>
      <w:r w:rsidRPr="006E559F">
        <w:rPr>
          <w:rFonts w:ascii="Times New Roman" w:hAnsi="Times New Roman"/>
          <w:sz w:val="20"/>
          <w:szCs w:val="20"/>
        </w:rPr>
        <w:t xml:space="preserve">Dwarkadhish Venture Private Limited </w:t>
      </w:r>
      <w:r w:rsidRPr="006E559F">
        <w:rPr>
          <w:rFonts w:ascii="Times New Roman" w:hAnsi="Times New Roman"/>
          <w:i/>
          <w:iCs/>
          <w:sz w:val="20"/>
          <w:szCs w:val="20"/>
        </w:rPr>
        <w:t xml:space="preserve">(formerly known as Siyaram Metals Private Limited), </w:t>
      </w:r>
      <w:r w:rsidRPr="006E559F">
        <w:rPr>
          <w:rFonts w:ascii="Times New Roman" w:hAnsi="Times New Roman"/>
          <w:sz w:val="20"/>
          <w:szCs w:val="20"/>
        </w:rPr>
        <w:t xml:space="preserve">our promoter is the </w:t>
      </w:r>
      <w:r w:rsidRPr="00F37091">
        <w:rPr>
          <w:rFonts w:ascii="Times New Roman" w:hAnsi="Times New Roman"/>
          <w:sz w:val="20"/>
          <w:szCs w:val="20"/>
        </w:rPr>
        <w:t xml:space="preserve">holding company of our company. For details, see </w:t>
      </w:r>
      <w:r w:rsidRPr="00F37091">
        <w:rPr>
          <w:rFonts w:ascii="Times New Roman" w:hAnsi="Times New Roman"/>
          <w:b/>
          <w:bCs/>
          <w:i/>
          <w:iCs/>
          <w:sz w:val="20"/>
          <w:szCs w:val="20"/>
        </w:rPr>
        <w:t>“Our Promoters and Promoter Group”</w:t>
      </w:r>
      <w:r w:rsidRPr="00F37091">
        <w:rPr>
          <w:rFonts w:ascii="Times New Roman" w:hAnsi="Times New Roman"/>
          <w:sz w:val="20"/>
          <w:szCs w:val="20"/>
        </w:rPr>
        <w:t xml:space="preserve"> on page 19 of this Draft Red Herring Prospectus</w:t>
      </w:r>
      <w:r w:rsidRPr="006E559F">
        <w:rPr>
          <w:rFonts w:ascii="Times New Roman" w:hAnsi="Times New Roman"/>
          <w:sz w:val="20"/>
          <w:szCs w:val="20"/>
        </w:rPr>
        <w:t>.</w:t>
      </w:r>
    </w:p>
    <w:p w14:paraId="322BAC3B" w14:textId="77777777" w:rsidR="006E559F" w:rsidRPr="006E559F" w:rsidRDefault="006E559F" w:rsidP="006E559F">
      <w:pPr>
        <w:spacing w:after="0" w:line="240" w:lineRule="auto"/>
        <w:ind w:right="-154"/>
        <w:jc w:val="both"/>
        <w:rPr>
          <w:rFonts w:ascii="Times New Roman" w:hAnsi="Times New Roman"/>
          <w:sz w:val="20"/>
          <w:szCs w:val="20"/>
        </w:rPr>
      </w:pPr>
    </w:p>
    <w:p w14:paraId="507B0EA0" w14:textId="77777777" w:rsidR="006E559F" w:rsidRPr="006E559F" w:rsidRDefault="006E559F" w:rsidP="006E559F">
      <w:pPr>
        <w:spacing w:after="0" w:line="240" w:lineRule="auto"/>
        <w:ind w:right="-154"/>
        <w:jc w:val="both"/>
        <w:rPr>
          <w:rFonts w:ascii="Times New Roman" w:hAnsi="Times New Roman"/>
          <w:b/>
          <w:sz w:val="20"/>
          <w:szCs w:val="20"/>
        </w:rPr>
      </w:pPr>
      <w:r w:rsidRPr="006E559F">
        <w:rPr>
          <w:rFonts w:ascii="Times New Roman" w:hAnsi="Times New Roman"/>
          <w:b/>
          <w:sz w:val="20"/>
          <w:szCs w:val="20"/>
        </w:rPr>
        <w:t>Our Subsidiaries, Joint Ventures or Associates:</w:t>
      </w:r>
    </w:p>
    <w:p w14:paraId="1BECFD00" w14:textId="77777777" w:rsidR="006E559F" w:rsidRPr="006E559F" w:rsidRDefault="006E559F" w:rsidP="006E559F">
      <w:pPr>
        <w:spacing w:after="0" w:line="240" w:lineRule="auto"/>
        <w:ind w:right="-154"/>
        <w:jc w:val="both"/>
        <w:rPr>
          <w:rFonts w:ascii="Times New Roman" w:hAnsi="Times New Roman"/>
          <w:sz w:val="20"/>
          <w:szCs w:val="20"/>
        </w:rPr>
      </w:pPr>
    </w:p>
    <w:p w14:paraId="6DB2998D" w14:textId="77777777" w:rsidR="006E559F" w:rsidRPr="006E559F" w:rsidRDefault="006E559F" w:rsidP="006E559F">
      <w:pPr>
        <w:spacing w:after="0" w:line="240" w:lineRule="auto"/>
        <w:ind w:right="-154"/>
        <w:jc w:val="both"/>
        <w:rPr>
          <w:rFonts w:ascii="Times New Roman" w:hAnsi="Times New Roman"/>
          <w:sz w:val="20"/>
          <w:szCs w:val="20"/>
        </w:rPr>
      </w:pPr>
      <w:r w:rsidRPr="006E559F">
        <w:rPr>
          <w:rFonts w:ascii="Times New Roman" w:hAnsi="Times New Roman"/>
          <w:sz w:val="20"/>
          <w:szCs w:val="20"/>
        </w:rPr>
        <w:t>As on date of this Draft Red Herring Prospectus, our Company does not have any Subsidiaries, Joint Ventures or Associates.</w:t>
      </w:r>
    </w:p>
    <w:p w14:paraId="77B9AB08" w14:textId="77777777" w:rsidR="006E559F" w:rsidRPr="006E559F" w:rsidRDefault="006E559F" w:rsidP="006E559F">
      <w:pPr>
        <w:spacing w:after="0" w:line="240" w:lineRule="auto"/>
        <w:ind w:right="-154"/>
        <w:jc w:val="both"/>
        <w:rPr>
          <w:rFonts w:ascii="Times New Roman" w:hAnsi="Times New Roman"/>
          <w:sz w:val="20"/>
          <w:szCs w:val="20"/>
        </w:rPr>
      </w:pPr>
    </w:p>
    <w:p w14:paraId="28E35901" w14:textId="77777777" w:rsidR="006E559F" w:rsidRPr="006E559F" w:rsidRDefault="006E559F" w:rsidP="006E559F">
      <w:pPr>
        <w:spacing w:after="0" w:line="240" w:lineRule="auto"/>
        <w:ind w:right="-154"/>
        <w:jc w:val="both"/>
        <w:rPr>
          <w:rFonts w:ascii="Times New Roman" w:hAnsi="Times New Roman"/>
          <w:b/>
          <w:color w:val="000000"/>
          <w:sz w:val="20"/>
          <w:szCs w:val="20"/>
        </w:rPr>
      </w:pPr>
      <w:r w:rsidRPr="006E559F">
        <w:rPr>
          <w:rFonts w:ascii="Times New Roman" w:hAnsi="Times New Roman"/>
          <w:b/>
          <w:color w:val="000000"/>
          <w:sz w:val="20"/>
          <w:szCs w:val="20"/>
        </w:rPr>
        <w:t>Accumulated profits or losses:</w:t>
      </w:r>
    </w:p>
    <w:p w14:paraId="34DA4206" w14:textId="77777777" w:rsidR="006E559F" w:rsidRPr="006E559F" w:rsidRDefault="006E559F" w:rsidP="006E559F">
      <w:pPr>
        <w:spacing w:after="0" w:line="240" w:lineRule="auto"/>
        <w:ind w:right="-154"/>
        <w:jc w:val="both"/>
        <w:rPr>
          <w:rFonts w:ascii="Times New Roman" w:hAnsi="Times New Roman"/>
          <w:b/>
          <w:color w:val="000000"/>
          <w:sz w:val="20"/>
          <w:szCs w:val="20"/>
        </w:rPr>
      </w:pPr>
    </w:p>
    <w:p w14:paraId="34239EAC" w14:textId="77777777" w:rsidR="006E559F" w:rsidRPr="006E559F" w:rsidRDefault="006E559F" w:rsidP="006E559F">
      <w:pPr>
        <w:spacing w:after="0" w:line="240" w:lineRule="auto"/>
        <w:ind w:right="-154"/>
        <w:jc w:val="both"/>
        <w:rPr>
          <w:rFonts w:ascii="Times New Roman" w:hAnsi="Times New Roman"/>
          <w:color w:val="000000"/>
          <w:sz w:val="20"/>
          <w:szCs w:val="20"/>
        </w:rPr>
      </w:pPr>
      <w:r w:rsidRPr="006E559F">
        <w:rPr>
          <w:rFonts w:ascii="Times New Roman" w:hAnsi="Times New Roman"/>
          <w:color w:val="000000"/>
          <w:sz w:val="20"/>
          <w:szCs w:val="20"/>
        </w:rPr>
        <w:t xml:space="preserve">As on the date of this Draft </w:t>
      </w:r>
      <w:r w:rsidRPr="006E559F">
        <w:rPr>
          <w:rFonts w:ascii="Times New Roman" w:hAnsi="Times New Roman"/>
          <w:sz w:val="20"/>
          <w:szCs w:val="20"/>
        </w:rPr>
        <w:t xml:space="preserve">Red Herring </w:t>
      </w:r>
      <w:r w:rsidRPr="006E559F">
        <w:rPr>
          <w:rFonts w:ascii="Times New Roman" w:hAnsi="Times New Roman"/>
          <w:color w:val="000000"/>
          <w:sz w:val="20"/>
          <w:szCs w:val="20"/>
        </w:rPr>
        <w:t>Prospectus, there are no accumulated profits or losses of the firm that have not been accounted for or consolidated by our Company.</w:t>
      </w:r>
    </w:p>
    <w:p w14:paraId="558AF2B1" w14:textId="77777777" w:rsidR="006E559F" w:rsidRPr="006E559F" w:rsidRDefault="006E559F" w:rsidP="006E559F">
      <w:pPr>
        <w:spacing w:after="0" w:line="240" w:lineRule="auto"/>
        <w:ind w:right="-154"/>
        <w:jc w:val="both"/>
        <w:rPr>
          <w:rFonts w:ascii="Times New Roman" w:hAnsi="Times New Roman"/>
          <w:b/>
          <w:color w:val="000000"/>
          <w:sz w:val="20"/>
          <w:szCs w:val="20"/>
        </w:rPr>
      </w:pPr>
    </w:p>
    <w:p w14:paraId="4E8D51B5" w14:textId="77777777" w:rsidR="006E559F" w:rsidRPr="006E559F" w:rsidRDefault="006E559F" w:rsidP="006E559F">
      <w:pPr>
        <w:spacing w:after="0" w:line="240" w:lineRule="auto"/>
        <w:ind w:right="-154"/>
        <w:jc w:val="both"/>
        <w:rPr>
          <w:rFonts w:ascii="Times New Roman" w:hAnsi="Times New Roman"/>
          <w:b/>
          <w:sz w:val="20"/>
          <w:szCs w:val="20"/>
        </w:rPr>
      </w:pPr>
      <w:r w:rsidRPr="006E559F">
        <w:rPr>
          <w:rFonts w:ascii="Times New Roman" w:hAnsi="Times New Roman"/>
          <w:b/>
          <w:sz w:val="20"/>
          <w:szCs w:val="20"/>
        </w:rPr>
        <w:t>Strategic or Financial Partnerships:</w:t>
      </w:r>
    </w:p>
    <w:p w14:paraId="1E846BB1" w14:textId="77777777" w:rsidR="006E559F" w:rsidRPr="006E559F" w:rsidRDefault="006E559F" w:rsidP="006E559F">
      <w:pPr>
        <w:spacing w:after="0" w:line="240" w:lineRule="auto"/>
        <w:ind w:right="-154"/>
        <w:jc w:val="both"/>
        <w:rPr>
          <w:rFonts w:ascii="Times New Roman" w:hAnsi="Times New Roman"/>
          <w:b/>
          <w:sz w:val="20"/>
          <w:szCs w:val="20"/>
        </w:rPr>
      </w:pPr>
    </w:p>
    <w:p w14:paraId="59241E18" w14:textId="77777777" w:rsidR="006E559F" w:rsidRPr="006E559F" w:rsidRDefault="006E559F" w:rsidP="006E559F">
      <w:pPr>
        <w:spacing w:after="0" w:line="240" w:lineRule="auto"/>
        <w:ind w:right="-154"/>
        <w:jc w:val="both"/>
        <w:rPr>
          <w:rFonts w:ascii="Times New Roman" w:hAnsi="Times New Roman"/>
          <w:sz w:val="20"/>
          <w:szCs w:val="20"/>
        </w:rPr>
      </w:pPr>
      <w:r w:rsidRPr="006E559F">
        <w:rPr>
          <w:rFonts w:ascii="Times New Roman" w:hAnsi="Times New Roman"/>
          <w:sz w:val="20"/>
          <w:szCs w:val="20"/>
        </w:rPr>
        <w:t>As on the date of this Draft Red Herring Prospectus, Our Company does not have any strategic or financial partnerships.</w:t>
      </w:r>
    </w:p>
    <w:p w14:paraId="59A372C8" w14:textId="77777777" w:rsidR="006E559F" w:rsidRPr="006E559F" w:rsidRDefault="006E559F" w:rsidP="006E559F">
      <w:pPr>
        <w:spacing w:after="0" w:line="240" w:lineRule="auto"/>
        <w:ind w:right="-154"/>
        <w:jc w:val="both"/>
        <w:rPr>
          <w:rFonts w:ascii="Times New Roman" w:hAnsi="Times New Roman"/>
          <w:sz w:val="20"/>
          <w:szCs w:val="20"/>
        </w:rPr>
      </w:pPr>
      <w:r w:rsidRPr="006E559F">
        <w:rPr>
          <w:rFonts w:ascii="Times New Roman" w:hAnsi="Times New Roman"/>
          <w:sz w:val="20"/>
          <w:szCs w:val="20"/>
        </w:rPr>
        <w:tab/>
      </w:r>
    </w:p>
    <w:p w14:paraId="6E774A5B" w14:textId="77777777" w:rsidR="006E559F" w:rsidRPr="006E559F" w:rsidRDefault="006E559F" w:rsidP="006E559F">
      <w:pPr>
        <w:spacing w:after="0" w:line="240" w:lineRule="auto"/>
        <w:ind w:right="-154"/>
        <w:jc w:val="both"/>
        <w:rPr>
          <w:rFonts w:ascii="Times New Roman" w:hAnsi="Times New Roman"/>
          <w:b/>
          <w:sz w:val="20"/>
          <w:szCs w:val="20"/>
        </w:rPr>
      </w:pPr>
      <w:r w:rsidRPr="006E559F">
        <w:rPr>
          <w:rFonts w:ascii="Times New Roman" w:hAnsi="Times New Roman"/>
          <w:b/>
          <w:sz w:val="20"/>
          <w:szCs w:val="20"/>
        </w:rPr>
        <w:t>Time and Cost Overruns in Setting up Projects:</w:t>
      </w:r>
    </w:p>
    <w:p w14:paraId="716C6DE1" w14:textId="77777777" w:rsidR="006E559F" w:rsidRPr="006E559F" w:rsidRDefault="006E559F" w:rsidP="006E559F">
      <w:pPr>
        <w:spacing w:after="0" w:line="240" w:lineRule="auto"/>
        <w:ind w:right="-154"/>
        <w:jc w:val="both"/>
        <w:rPr>
          <w:rFonts w:ascii="Times New Roman" w:hAnsi="Times New Roman"/>
          <w:sz w:val="20"/>
          <w:szCs w:val="20"/>
        </w:rPr>
      </w:pPr>
    </w:p>
    <w:p w14:paraId="67C0556F" w14:textId="77777777" w:rsidR="006E559F" w:rsidRPr="006E559F" w:rsidRDefault="006E559F" w:rsidP="006E559F">
      <w:pPr>
        <w:spacing w:after="0" w:line="240" w:lineRule="auto"/>
        <w:ind w:right="-154"/>
        <w:jc w:val="both"/>
        <w:rPr>
          <w:rFonts w:ascii="Times New Roman" w:hAnsi="Times New Roman"/>
          <w:sz w:val="20"/>
          <w:szCs w:val="20"/>
        </w:rPr>
      </w:pPr>
      <w:r w:rsidRPr="006E559F">
        <w:rPr>
          <w:rFonts w:ascii="Times New Roman" w:hAnsi="Times New Roman"/>
          <w:sz w:val="20"/>
          <w:szCs w:val="20"/>
        </w:rPr>
        <w:t>There has been no time/ cost overrun in setting up projects by our Company.</w:t>
      </w:r>
    </w:p>
    <w:p w14:paraId="589A7789" w14:textId="77777777" w:rsidR="006E559F" w:rsidRPr="006E559F" w:rsidRDefault="006E559F" w:rsidP="006E559F">
      <w:pPr>
        <w:spacing w:after="0" w:line="240" w:lineRule="auto"/>
        <w:ind w:right="-154"/>
        <w:jc w:val="both"/>
        <w:rPr>
          <w:rFonts w:ascii="Times New Roman" w:hAnsi="Times New Roman"/>
          <w:b/>
          <w:color w:val="000000"/>
          <w:sz w:val="20"/>
          <w:szCs w:val="20"/>
        </w:rPr>
      </w:pPr>
    </w:p>
    <w:p w14:paraId="38E8B868" w14:textId="77777777" w:rsidR="006E559F" w:rsidRPr="006E559F" w:rsidRDefault="006E559F" w:rsidP="006E559F">
      <w:pPr>
        <w:spacing w:after="0" w:line="240" w:lineRule="auto"/>
        <w:ind w:right="-154"/>
        <w:jc w:val="both"/>
        <w:rPr>
          <w:rFonts w:ascii="Times New Roman" w:hAnsi="Times New Roman"/>
          <w:b/>
          <w:color w:val="000000"/>
          <w:sz w:val="20"/>
          <w:szCs w:val="20"/>
        </w:rPr>
      </w:pPr>
      <w:r w:rsidRPr="006E559F">
        <w:rPr>
          <w:rFonts w:ascii="Times New Roman" w:hAnsi="Times New Roman"/>
          <w:b/>
          <w:color w:val="000000"/>
          <w:sz w:val="20"/>
          <w:szCs w:val="20"/>
        </w:rPr>
        <w:t>Other details about our Company:</w:t>
      </w:r>
    </w:p>
    <w:p w14:paraId="52F74E5D" w14:textId="77777777" w:rsidR="006E559F" w:rsidRPr="006E559F" w:rsidRDefault="006E559F" w:rsidP="006E559F">
      <w:pPr>
        <w:spacing w:after="0" w:line="240" w:lineRule="auto"/>
        <w:ind w:right="-154"/>
        <w:jc w:val="both"/>
        <w:rPr>
          <w:rFonts w:ascii="Times New Roman" w:hAnsi="Times New Roman"/>
          <w:b/>
          <w:sz w:val="20"/>
          <w:szCs w:val="20"/>
        </w:rPr>
      </w:pPr>
    </w:p>
    <w:p w14:paraId="748624CB" w14:textId="77777777" w:rsidR="006E559F" w:rsidRPr="006E559F" w:rsidRDefault="006E559F" w:rsidP="006E559F">
      <w:pPr>
        <w:spacing w:after="0" w:line="240" w:lineRule="auto"/>
        <w:ind w:right="-154"/>
        <w:jc w:val="both"/>
        <w:rPr>
          <w:rFonts w:ascii="Times New Roman" w:hAnsi="Times New Roman"/>
          <w:sz w:val="20"/>
          <w:szCs w:val="20"/>
        </w:rPr>
      </w:pPr>
      <w:r w:rsidRPr="006E559F">
        <w:rPr>
          <w:rFonts w:ascii="Times New Roman" w:hAnsi="Times New Roman"/>
          <w:sz w:val="20"/>
          <w:szCs w:val="20"/>
        </w:rPr>
        <w:t xml:space="preserve">For details of our Company’s activities, products, growth, awards &amp; recognitions, capacity, location of plants, technology, marketing strategy, competition and our customers, please refer section titled </w:t>
      </w:r>
      <w:r w:rsidRPr="006E559F">
        <w:rPr>
          <w:rFonts w:ascii="Times New Roman" w:hAnsi="Times New Roman"/>
          <w:b/>
          <w:i/>
          <w:sz w:val="20"/>
          <w:szCs w:val="20"/>
        </w:rPr>
        <w:t xml:space="preserve">“Our Business”, “Management’s Discussion and Analysis of </w:t>
      </w:r>
      <w:r w:rsidRPr="006E559F">
        <w:rPr>
          <w:rFonts w:ascii="Times New Roman" w:hAnsi="Times New Roman"/>
          <w:b/>
          <w:i/>
          <w:sz w:val="20"/>
          <w:szCs w:val="20"/>
        </w:rPr>
        <w:lastRenderedPageBreak/>
        <w:t>Financial Conditions and Results of Operations” and “Basis for Issue Price”</w:t>
      </w:r>
      <w:r w:rsidRPr="006E559F">
        <w:rPr>
          <w:rFonts w:ascii="Times New Roman" w:hAnsi="Times New Roman"/>
          <w:sz w:val="20"/>
          <w:szCs w:val="20"/>
        </w:rPr>
        <w:t xml:space="preserve"> on pages 91, 177 and 74 respectively of this Draft </w:t>
      </w:r>
      <w:r w:rsidRPr="006E559F">
        <w:rPr>
          <w:rFonts w:ascii="Times New Roman" w:eastAsia="Calibri" w:hAnsi="Times New Roman"/>
          <w:bCs/>
          <w:sz w:val="20"/>
          <w:szCs w:val="20"/>
          <w:lang w:bidi="en-US"/>
        </w:rPr>
        <w:t xml:space="preserve">Red Herring </w:t>
      </w:r>
      <w:r w:rsidRPr="006E559F">
        <w:rPr>
          <w:rFonts w:ascii="Times New Roman" w:hAnsi="Times New Roman"/>
          <w:sz w:val="20"/>
          <w:szCs w:val="20"/>
        </w:rPr>
        <w:t xml:space="preserve">Prospectus. For details of our management and managerial competence and for details of shareholding of our Promoters, please refer to sections titled </w:t>
      </w:r>
      <w:r w:rsidRPr="006E559F">
        <w:rPr>
          <w:rFonts w:ascii="Times New Roman" w:hAnsi="Times New Roman"/>
          <w:b/>
          <w:i/>
          <w:sz w:val="20"/>
          <w:szCs w:val="20"/>
        </w:rPr>
        <w:t xml:space="preserve">“Our Management” </w:t>
      </w:r>
      <w:r w:rsidRPr="006E559F">
        <w:rPr>
          <w:rFonts w:ascii="Times New Roman" w:hAnsi="Times New Roman"/>
          <w:sz w:val="20"/>
          <w:szCs w:val="20"/>
        </w:rPr>
        <w:t xml:space="preserve">and </w:t>
      </w:r>
      <w:r w:rsidRPr="006E559F">
        <w:rPr>
          <w:rFonts w:ascii="Times New Roman" w:hAnsi="Times New Roman"/>
          <w:b/>
          <w:i/>
          <w:sz w:val="20"/>
          <w:szCs w:val="20"/>
        </w:rPr>
        <w:t>“Capital Structure”</w:t>
      </w:r>
      <w:r w:rsidRPr="006E559F">
        <w:rPr>
          <w:rFonts w:ascii="Times New Roman" w:hAnsi="Times New Roman"/>
          <w:sz w:val="20"/>
          <w:szCs w:val="20"/>
        </w:rPr>
        <w:t xml:space="preserve"> beginning on page 111 and 57 of the Draft Red Herring Prospectus respectively.</w:t>
      </w:r>
    </w:p>
    <w:p w14:paraId="593E65DF" w14:textId="77777777" w:rsidR="006E559F" w:rsidRPr="006E559F" w:rsidRDefault="006E559F" w:rsidP="006E559F">
      <w:pPr>
        <w:spacing w:after="0" w:line="240" w:lineRule="auto"/>
        <w:ind w:right="-154"/>
        <w:jc w:val="both"/>
        <w:rPr>
          <w:rFonts w:ascii="Times New Roman" w:hAnsi="Times New Roman"/>
          <w:b/>
          <w:color w:val="000000"/>
          <w:sz w:val="20"/>
          <w:szCs w:val="20"/>
        </w:rPr>
      </w:pPr>
    </w:p>
    <w:p w14:paraId="49D70C07" w14:textId="77777777" w:rsidR="006E559F" w:rsidRPr="006E559F" w:rsidRDefault="006E559F" w:rsidP="006E559F">
      <w:pPr>
        <w:spacing w:after="0" w:line="240" w:lineRule="auto"/>
        <w:ind w:right="-154"/>
        <w:jc w:val="both"/>
        <w:rPr>
          <w:rFonts w:ascii="Times New Roman" w:hAnsi="Times New Roman"/>
          <w:b/>
          <w:sz w:val="20"/>
          <w:szCs w:val="20"/>
        </w:rPr>
      </w:pPr>
      <w:r w:rsidRPr="006E559F">
        <w:rPr>
          <w:rFonts w:ascii="Times New Roman" w:hAnsi="Times New Roman"/>
          <w:b/>
          <w:sz w:val="20"/>
          <w:szCs w:val="20"/>
        </w:rPr>
        <w:t>Defaults or Rescheduling of Borrowings with Financial Institutions/ Banks:</w:t>
      </w:r>
    </w:p>
    <w:p w14:paraId="59F55796" w14:textId="77777777" w:rsidR="006E559F" w:rsidRPr="006E559F" w:rsidRDefault="006E559F" w:rsidP="006E559F">
      <w:pPr>
        <w:spacing w:after="0" w:line="240" w:lineRule="auto"/>
        <w:ind w:right="-154"/>
        <w:jc w:val="both"/>
        <w:rPr>
          <w:rFonts w:ascii="Times New Roman" w:hAnsi="Times New Roman"/>
          <w:sz w:val="20"/>
          <w:szCs w:val="20"/>
        </w:rPr>
      </w:pPr>
    </w:p>
    <w:p w14:paraId="342DF6AD" w14:textId="77777777" w:rsidR="006E559F" w:rsidRPr="006E559F" w:rsidRDefault="006E559F" w:rsidP="006E559F">
      <w:pPr>
        <w:spacing w:after="0" w:line="240" w:lineRule="auto"/>
        <w:ind w:right="-154"/>
        <w:jc w:val="both"/>
        <w:rPr>
          <w:rFonts w:ascii="Times New Roman" w:hAnsi="Times New Roman"/>
          <w:sz w:val="20"/>
          <w:szCs w:val="20"/>
        </w:rPr>
      </w:pPr>
      <w:r w:rsidRPr="006E559F">
        <w:rPr>
          <w:rFonts w:ascii="Times New Roman" w:hAnsi="Times New Roman"/>
          <w:sz w:val="20"/>
          <w:szCs w:val="20"/>
        </w:rPr>
        <w:t>There have been no defaults or rescheduling of borrowings with any financial institutions/banks as on the date of the Draft Red Herring Prospectus.</w:t>
      </w:r>
    </w:p>
    <w:p w14:paraId="625D14E0" w14:textId="77777777" w:rsidR="006E559F" w:rsidRPr="006E559F" w:rsidRDefault="006E559F" w:rsidP="006E559F">
      <w:pPr>
        <w:spacing w:after="0" w:line="240" w:lineRule="auto"/>
        <w:ind w:right="-154"/>
        <w:jc w:val="both"/>
        <w:rPr>
          <w:rFonts w:ascii="Times New Roman" w:hAnsi="Times New Roman"/>
          <w:b/>
          <w:color w:val="000000"/>
          <w:sz w:val="20"/>
          <w:szCs w:val="20"/>
        </w:rPr>
      </w:pPr>
    </w:p>
    <w:p w14:paraId="27F6C0E6" w14:textId="77777777" w:rsidR="006E559F" w:rsidRPr="006E559F" w:rsidRDefault="006E559F" w:rsidP="006E559F">
      <w:pPr>
        <w:pBdr>
          <w:top w:val="nil"/>
          <w:left w:val="nil"/>
          <w:bottom w:val="nil"/>
          <w:right w:val="nil"/>
          <w:between w:val="nil"/>
        </w:pBdr>
        <w:spacing w:after="0" w:line="240" w:lineRule="auto"/>
        <w:ind w:right="-154"/>
        <w:jc w:val="both"/>
        <w:rPr>
          <w:rFonts w:ascii="Times New Roman" w:hAnsi="Times New Roman"/>
          <w:b/>
          <w:color w:val="000000"/>
          <w:sz w:val="20"/>
          <w:szCs w:val="20"/>
        </w:rPr>
      </w:pPr>
      <w:r w:rsidRPr="006E559F">
        <w:rPr>
          <w:rFonts w:ascii="Times New Roman" w:hAnsi="Times New Roman"/>
          <w:b/>
          <w:color w:val="000000"/>
          <w:sz w:val="20"/>
          <w:szCs w:val="20"/>
        </w:rPr>
        <w:t>Details regarding material acquisitions or divestments of business/ undertakings, mergers, amalgamation, any revaluation of assets, etc.:</w:t>
      </w:r>
    </w:p>
    <w:p w14:paraId="40530422" w14:textId="77777777" w:rsidR="006E559F" w:rsidRPr="006E559F" w:rsidRDefault="006E559F" w:rsidP="006E559F">
      <w:pPr>
        <w:pBdr>
          <w:top w:val="nil"/>
          <w:left w:val="nil"/>
          <w:bottom w:val="nil"/>
          <w:right w:val="nil"/>
          <w:between w:val="nil"/>
        </w:pBdr>
        <w:spacing w:after="0" w:line="240" w:lineRule="auto"/>
        <w:ind w:right="-154"/>
        <w:jc w:val="both"/>
        <w:rPr>
          <w:rFonts w:ascii="Times New Roman" w:hAnsi="Times New Roman"/>
          <w:color w:val="000000"/>
          <w:sz w:val="20"/>
          <w:szCs w:val="20"/>
        </w:rPr>
      </w:pPr>
    </w:p>
    <w:p w14:paraId="4BD25841" w14:textId="77777777" w:rsidR="006E559F" w:rsidRPr="006E559F" w:rsidRDefault="006E559F" w:rsidP="006E559F">
      <w:pPr>
        <w:pBdr>
          <w:top w:val="nil"/>
          <w:left w:val="nil"/>
          <w:bottom w:val="nil"/>
          <w:right w:val="nil"/>
          <w:between w:val="nil"/>
        </w:pBdr>
        <w:spacing w:after="0" w:line="240" w:lineRule="auto"/>
        <w:ind w:right="-154"/>
        <w:jc w:val="both"/>
        <w:rPr>
          <w:rFonts w:ascii="Times New Roman" w:hAnsi="Times New Roman"/>
          <w:color w:val="000000"/>
          <w:sz w:val="20"/>
          <w:szCs w:val="20"/>
        </w:rPr>
      </w:pPr>
      <w:r w:rsidRPr="006E559F">
        <w:rPr>
          <w:rFonts w:ascii="Times New Roman" w:hAnsi="Times New Roman"/>
          <w:color w:val="000000"/>
          <w:sz w:val="20"/>
          <w:szCs w:val="20"/>
        </w:rPr>
        <w:t xml:space="preserve">Our Company has not made any material acquisitions or divestments of business/ undertakings, mergers, amalgamation, any revaluation of assets, etc. in the last 10 years preceding the date of this Draft </w:t>
      </w:r>
      <w:r w:rsidRPr="006E559F">
        <w:rPr>
          <w:rFonts w:ascii="Times New Roman" w:hAnsi="Times New Roman"/>
          <w:sz w:val="20"/>
          <w:szCs w:val="20"/>
        </w:rPr>
        <w:t xml:space="preserve">Red Herring </w:t>
      </w:r>
      <w:r w:rsidRPr="006E559F">
        <w:rPr>
          <w:rFonts w:ascii="Times New Roman" w:hAnsi="Times New Roman"/>
          <w:color w:val="000000"/>
          <w:sz w:val="20"/>
          <w:szCs w:val="20"/>
        </w:rPr>
        <w:t xml:space="preserve">Prospectus. </w:t>
      </w:r>
    </w:p>
    <w:p w14:paraId="5F908F87" w14:textId="77777777" w:rsidR="006E559F" w:rsidRPr="006E559F" w:rsidRDefault="006E559F" w:rsidP="006E559F">
      <w:pPr>
        <w:pBdr>
          <w:top w:val="nil"/>
          <w:left w:val="nil"/>
          <w:bottom w:val="nil"/>
          <w:right w:val="nil"/>
          <w:between w:val="nil"/>
        </w:pBdr>
        <w:spacing w:after="0" w:line="240" w:lineRule="auto"/>
        <w:ind w:right="-154"/>
        <w:jc w:val="both"/>
        <w:rPr>
          <w:rFonts w:ascii="Times New Roman" w:hAnsi="Times New Roman"/>
          <w:color w:val="000000"/>
          <w:sz w:val="20"/>
          <w:szCs w:val="20"/>
        </w:rPr>
      </w:pPr>
    </w:p>
    <w:p w14:paraId="47DF06AF" w14:textId="77777777" w:rsidR="006E559F" w:rsidRPr="006E559F" w:rsidRDefault="006E559F" w:rsidP="006E559F">
      <w:pPr>
        <w:widowControl w:val="0"/>
        <w:spacing w:after="0" w:line="240" w:lineRule="auto"/>
        <w:ind w:right="-154"/>
        <w:jc w:val="both"/>
        <w:rPr>
          <w:rFonts w:ascii="Times New Roman" w:hAnsi="Times New Roman"/>
          <w:b/>
          <w:sz w:val="20"/>
          <w:szCs w:val="20"/>
        </w:rPr>
      </w:pPr>
      <w:r w:rsidRPr="006E559F">
        <w:rPr>
          <w:rFonts w:ascii="Times New Roman" w:hAnsi="Times New Roman"/>
          <w:b/>
          <w:sz w:val="20"/>
          <w:szCs w:val="20"/>
        </w:rPr>
        <w:t>Shareholders Agreements:</w:t>
      </w:r>
    </w:p>
    <w:p w14:paraId="52103CD8" w14:textId="77777777" w:rsidR="006E559F" w:rsidRPr="006E559F" w:rsidRDefault="006E559F" w:rsidP="006E559F">
      <w:pPr>
        <w:widowControl w:val="0"/>
        <w:spacing w:after="0" w:line="240" w:lineRule="auto"/>
        <w:ind w:right="-154"/>
        <w:jc w:val="both"/>
        <w:rPr>
          <w:rFonts w:ascii="Times New Roman" w:hAnsi="Times New Roman"/>
          <w:b/>
          <w:sz w:val="20"/>
          <w:szCs w:val="20"/>
        </w:rPr>
      </w:pPr>
    </w:p>
    <w:p w14:paraId="53FAF911" w14:textId="77777777" w:rsidR="006E559F" w:rsidRPr="006E559F" w:rsidRDefault="006E559F" w:rsidP="006E559F">
      <w:pPr>
        <w:spacing w:after="0" w:line="240" w:lineRule="auto"/>
        <w:ind w:right="-154"/>
        <w:jc w:val="both"/>
        <w:rPr>
          <w:rFonts w:ascii="Times New Roman" w:hAnsi="Times New Roman"/>
          <w:sz w:val="20"/>
          <w:szCs w:val="20"/>
        </w:rPr>
      </w:pPr>
      <w:r w:rsidRPr="006E559F">
        <w:rPr>
          <w:rFonts w:ascii="Times New Roman" w:hAnsi="Times New Roman"/>
          <w:sz w:val="20"/>
          <w:szCs w:val="20"/>
        </w:rPr>
        <w:t>There are no subsisting shareholder’s agreements among our shareholders in relation to our Company, to which our Company is a party or otherwise has notice of the same as on the date of the Draft Red Herring Prospectus.</w:t>
      </w:r>
    </w:p>
    <w:p w14:paraId="5E31EFC5" w14:textId="77777777" w:rsidR="006E559F" w:rsidRPr="006E559F" w:rsidRDefault="006E559F" w:rsidP="006E559F">
      <w:pPr>
        <w:spacing w:after="0" w:line="240" w:lineRule="auto"/>
        <w:ind w:right="-154"/>
        <w:jc w:val="both"/>
        <w:rPr>
          <w:rFonts w:ascii="Times New Roman" w:hAnsi="Times New Roman"/>
          <w:sz w:val="20"/>
          <w:szCs w:val="20"/>
        </w:rPr>
      </w:pPr>
    </w:p>
    <w:p w14:paraId="3CC8364D" w14:textId="77777777" w:rsidR="006E559F" w:rsidRPr="006E559F" w:rsidRDefault="006E559F" w:rsidP="006E559F">
      <w:pPr>
        <w:widowControl w:val="0"/>
        <w:spacing w:after="0" w:line="240" w:lineRule="auto"/>
        <w:ind w:right="-154"/>
        <w:jc w:val="both"/>
        <w:rPr>
          <w:rFonts w:ascii="Times New Roman" w:hAnsi="Times New Roman"/>
          <w:b/>
          <w:sz w:val="20"/>
          <w:szCs w:val="20"/>
        </w:rPr>
      </w:pPr>
      <w:r w:rsidRPr="006E559F">
        <w:rPr>
          <w:rFonts w:ascii="Times New Roman" w:hAnsi="Times New Roman"/>
          <w:b/>
          <w:sz w:val="20"/>
          <w:szCs w:val="20"/>
        </w:rPr>
        <w:t>Agreement with key managerial personnel or Directors or Promoters or any other employee of the Company:</w:t>
      </w:r>
    </w:p>
    <w:p w14:paraId="67D80ABA" w14:textId="77777777" w:rsidR="006E559F" w:rsidRPr="006E559F" w:rsidRDefault="006E559F" w:rsidP="006E559F">
      <w:pPr>
        <w:widowControl w:val="0"/>
        <w:spacing w:after="0" w:line="240" w:lineRule="auto"/>
        <w:ind w:right="-154"/>
        <w:jc w:val="both"/>
        <w:rPr>
          <w:rFonts w:ascii="Times New Roman" w:hAnsi="Times New Roman"/>
          <w:sz w:val="20"/>
          <w:szCs w:val="20"/>
        </w:rPr>
      </w:pPr>
    </w:p>
    <w:p w14:paraId="66206AD8" w14:textId="77777777" w:rsidR="006E559F" w:rsidRPr="006E559F" w:rsidRDefault="006E559F" w:rsidP="006E559F">
      <w:pPr>
        <w:widowControl w:val="0"/>
        <w:spacing w:after="0" w:line="240" w:lineRule="auto"/>
        <w:ind w:right="-154"/>
        <w:jc w:val="both"/>
        <w:rPr>
          <w:rFonts w:ascii="Times New Roman" w:hAnsi="Times New Roman"/>
          <w:sz w:val="20"/>
          <w:szCs w:val="20"/>
        </w:rPr>
      </w:pPr>
      <w:r w:rsidRPr="006E559F">
        <w:rPr>
          <w:rFonts w:ascii="Times New Roman" w:hAnsi="Times New Roman"/>
          <w:sz w:val="20"/>
          <w:szCs w:val="20"/>
        </w:rPr>
        <w:t xml:space="preserve">There are no agreements entered into by key managerial personnel or Directors or Promoters or any other employee, either by themselves or on behalf of any other person, with any shareholder or any other third party with regard to compensation or profit sharing in connection with dealings in the securities of the Company. </w:t>
      </w:r>
    </w:p>
    <w:p w14:paraId="04AFC22E" w14:textId="77777777" w:rsidR="006E559F" w:rsidRPr="006E559F" w:rsidRDefault="006E559F" w:rsidP="006E559F">
      <w:pPr>
        <w:widowControl w:val="0"/>
        <w:spacing w:after="0" w:line="240" w:lineRule="auto"/>
        <w:ind w:right="-154"/>
        <w:jc w:val="both"/>
        <w:rPr>
          <w:rFonts w:ascii="Times New Roman" w:hAnsi="Times New Roman"/>
          <w:b/>
          <w:sz w:val="20"/>
          <w:szCs w:val="20"/>
        </w:rPr>
      </w:pPr>
    </w:p>
    <w:p w14:paraId="65B90CCA" w14:textId="77777777" w:rsidR="006E559F" w:rsidRPr="006E559F" w:rsidRDefault="006E559F" w:rsidP="006E559F">
      <w:pPr>
        <w:widowControl w:val="0"/>
        <w:spacing w:after="0" w:line="240" w:lineRule="auto"/>
        <w:ind w:right="-154"/>
        <w:jc w:val="both"/>
        <w:rPr>
          <w:rFonts w:ascii="Times New Roman" w:hAnsi="Times New Roman"/>
          <w:b/>
          <w:sz w:val="20"/>
          <w:szCs w:val="20"/>
        </w:rPr>
      </w:pPr>
      <w:r w:rsidRPr="006E559F">
        <w:rPr>
          <w:rFonts w:ascii="Times New Roman" w:hAnsi="Times New Roman"/>
          <w:b/>
          <w:sz w:val="20"/>
          <w:szCs w:val="20"/>
        </w:rPr>
        <w:t>Other Material Agreements:</w:t>
      </w:r>
    </w:p>
    <w:p w14:paraId="072C966D" w14:textId="77777777" w:rsidR="006E559F" w:rsidRPr="006E559F" w:rsidRDefault="006E559F" w:rsidP="006E559F">
      <w:pPr>
        <w:spacing w:after="0" w:line="240" w:lineRule="auto"/>
        <w:ind w:right="-154"/>
        <w:jc w:val="both"/>
        <w:rPr>
          <w:rFonts w:ascii="Times New Roman" w:hAnsi="Times New Roman"/>
          <w:sz w:val="20"/>
          <w:szCs w:val="20"/>
        </w:rPr>
      </w:pPr>
    </w:p>
    <w:p w14:paraId="54937C6F" w14:textId="77777777" w:rsidR="006E559F" w:rsidRPr="006E559F" w:rsidRDefault="006E559F" w:rsidP="006E559F">
      <w:pPr>
        <w:spacing w:after="0" w:line="240" w:lineRule="auto"/>
        <w:jc w:val="both"/>
        <w:rPr>
          <w:sz w:val="20"/>
          <w:szCs w:val="20"/>
        </w:rPr>
      </w:pPr>
      <w:r w:rsidRPr="006E559F">
        <w:rPr>
          <w:rFonts w:ascii="Times New Roman" w:hAnsi="Times New Roman"/>
          <w:sz w:val="20"/>
          <w:szCs w:val="20"/>
        </w:rPr>
        <w:t>Our Company has not entered into any subsisting material agreements including with strategic partners, joint venture partners and/or financial partners, entered into, other than in the ordinary course of business of the Company.</w:t>
      </w:r>
    </w:p>
    <w:p w14:paraId="1A48D468" w14:textId="7709489C" w:rsidR="00E35FCB" w:rsidRDefault="00E35FCB">
      <w:pPr>
        <w:spacing w:after="160" w:line="259" w:lineRule="auto"/>
        <w:rPr>
          <w:rFonts w:ascii="Times New Roman" w:hAnsi="Times New Roman"/>
          <w:b/>
          <w:bCs/>
          <w:sz w:val="20"/>
          <w:szCs w:val="20"/>
          <w:u w:val="single"/>
        </w:rPr>
      </w:pPr>
      <w:r>
        <w:rPr>
          <w:rFonts w:ascii="Times New Roman" w:hAnsi="Times New Roman"/>
          <w:b/>
          <w:bCs/>
          <w:sz w:val="20"/>
          <w:szCs w:val="20"/>
          <w:u w:val="single"/>
        </w:rPr>
        <w:br w:type="page"/>
      </w:r>
    </w:p>
    <w:p w14:paraId="3A3376AB" w14:textId="4E49485F" w:rsidR="00E35FCB" w:rsidRDefault="00E35FCB" w:rsidP="00E35FCB">
      <w:pPr>
        <w:spacing w:after="0" w:line="240" w:lineRule="auto"/>
        <w:jc w:val="center"/>
        <w:rPr>
          <w:rFonts w:ascii="Times New Roman" w:hAnsi="Times New Roman"/>
          <w:b/>
          <w:bCs/>
          <w:sz w:val="20"/>
          <w:szCs w:val="20"/>
          <w:u w:val="single"/>
        </w:rPr>
      </w:pPr>
      <w:r w:rsidRPr="00E35FCB">
        <w:rPr>
          <w:rFonts w:ascii="Times New Roman" w:hAnsi="Times New Roman"/>
          <w:b/>
          <w:bCs/>
          <w:sz w:val="20"/>
          <w:szCs w:val="20"/>
          <w:u w:val="single"/>
        </w:rPr>
        <w:lastRenderedPageBreak/>
        <w:t>OUR MANAGEMENT</w:t>
      </w:r>
    </w:p>
    <w:p w14:paraId="41B06256" w14:textId="77777777" w:rsidR="00E35FCB" w:rsidRDefault="00E35FCB" w:rsidP="00E35FCB">
      <w:pPr>
        <w:spacing w:after="0" w:line="240" w:lineRule="auto"/>
        <w:jc w:val="center"/>
        <w:rPr>
          <w:rFonts w:ascii="Times New Roman" w:hAnsi="Times New Roman"/>
          <w:b/>
          <w:bCs/>
          <w:sz w:val="20"/>
          <w:szCs w:val="20"/>
          <w:u w:val="single"/>
        </w:rPr>
      </w:pPr>
    </w:p>
    <w:p w14:paraId="1D0D2816" w14:textId="77777777" w:rsidR="00E35FCB" w:rsidRPr="00712F3C" w:rsidRDefault="00E35FCB" w:rsidP="00E35FCB">
      <w:pPr>
        <w:widowControl w:val="0"/>
        <w:autoSpaceDE w:val="0"/>
        <w:autoSpaceDN w:val="0"/>
        <w:adjustRightInd w:val="0"/>
        <w:spacing w:after="0" w:line="240" w:lineRule="auto"/>
        <w:jc w:val="both"/>
        <w:rPr>
          <w:rFonts w:ascii="Times New Roman" w:eastAsia="MS Mincho" w:hAnsi="Times New Roman"/>
          <w:b/>
          <w:bCs/>
          <w:sz w:val="20"/>
          <w:szCs w:val="20"/>
          <w:lang w:val="en-GB"/>
        </w:rPr>
      </w:pPr>
      <w:r w:rsidRPr="00712F3C">
        <w:rPr>
          <w:rFonts w:ascii="Times New Roman" w:eastAsia="MS Mincho" w:hAnsi="Times New Roman"/>
          <w:b/>
          <w:bCs/>
          <w:sz w:val="20"/>
          <w:szCs w:val="20"/>
          <w:lang w:val="en-GB"/>
        </w:rPr>
        <w:t>Board of Directors:</w:t>
      </w:r>
    </w:p>
    <w:p w14:paraId="1CC79D0D" w14:textId="77777777" w:rsidR="00E35FCB" w:rsidRPr="00712F3C" w:rsidRDefault="00E35FCB" w:rsidP="00E35FCB">
      <w:pPr>
        <w:widowControl w:val="0"/>
        <w:autoSpaceDE w:val="0"/>
        <w:autoSpaceDN w:val="0"/>
        <w:adjustRightInd w:val="0"/>
        <w:spacing w:after="0" w:line="240" w:lineRule="auto"/>
        <w:jc w:val="both"/>
        <w:rPr>
          <w:rFonts w:ascii="Times New Roman" w:eastAsia="MS Mincho" w:hAnsi="Times New Roman"/>
          <w:sz w:val="20"/>
          <w:szCs w:val="20"/>
          <w:lang w:val="en-GB"/>
        </w:rPr>
      </w:pPr>
    </w:p>
    <w:p w14:paraId="30E0B305" w14:textId="77777777" w:rsidR="00E35FCB" w:rsidRPr="00712F3C" w:rsidRDefault="00E35FCB" w:rsidP="00E35FCB">
      <w:pPr>
        <w:spacing w:after="0" w:line="240" w:lineRule="auto"/>
        <w:jc w:val="both"/>
        <w:rPr>
          <w:rFonts w:ascii="Times New Roman" w:eastAsia="MS Mincho" w:hAnsi="Times New Roman"/>
          <w:sz w:val="20"/>
          <w:szCs w:val="20"/>
          <w:lang w:val="en-GB"/>
        </w:rPr>
      </w:pPr>
      <w:r w:rsidRPr="00712F3C">
        <w:rPr>
          <w:rFonts w:ascii="Times New Roman" w:eastAsia="MS Mincho" w:hAnsi="Times New Roman"/>
          <w:sz w:val="20"/>
          <w:szCs w:val="20"/>
          <w:lang w:val="en-GB"/>
        </w:rPr>
        <w:t xml:space="preserve">The following table sets forth the details regarding the Board of Directors of our Company as on the date of filing of this Draft </w:t>
      </w:r>
      <w:r w:rsidRPr="00712F3C">
        <w:rPr>
          <w:rFonts w:ascii="Times New Roman" w:hAnsi="Times New Roman"/>
          <w:sz w:val="20"/>
          <w:szCs w:val="20"/>
        </w:rPr>
        <w:t xml:space="preserve">Red Herring </w:t>
      </w:r>
      <w:r w:rsidRPr="00712F3C">
        <w:rPr>
          <w:rFonts w:ascii="Times New Roman" w:eastAsia="MS Mincho" w:hAnsi="Times New Roman"/>
          <w:sz w:val="20"/>
          <w:szCs w:val="20"/>
          <w:lang w:val="en-GB"/>
        </w:rPr>
        <w:t>Prospectus:</w:t>
      </w:r>
    </w:p>
    <w:p w14:paraId="3740A29B" w14:textId="77777777" w:rsidR="00E35FCB" w:rsidRPr="00712F3C" w:rsidRDefault="00E35FCB" w:rsidP="00E35FCB">
      <w:pPr>
        <w:spacing w:after="0" w:line="240" w:lineRule="auto"/>
        <w:jc w:val="both"/>
        <w:rPr>
          <w:rFonts w:ascii="Times New Roman" w:eastAsia="MS Mincho" w:hAnsi="Times New Roman"/>
          <w:sz w:val="20"/>
          <w:szCs w:val="20"/>
          <w:lang w:val="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07"/>
        <w:gridCol w:w="2949"/>
      </w:tblGrid>
      <w:tr w:rsidR="00E35FCB" w:rsidRPr="00712F3C" w14:paraId="082BC428" w14:textId="77777777" w:rsidTr="00250DAC">
        <w:trPr>
          <w:tblHeader/>
        </w:trPr>
        <w:tc>
          <w:tcPr>
            <w:tcW w:w="3590" w:type="pct"/>
            <w:shd w:val="clear" w:color="auto" w:fill="D0CECE" w:themeFill="background2" w:themeFillShade="E6"/>
            <w:vAlign w:val="center"/>
          </w:tcPr>
          <w:p w14:paraId="45AADB57" w14:textId="77777777" w:rsidR="00E35FCB" w:rsidRPr="00712F3C" w:rsidRDefault="00E35FCB" w:rsidP="00250DAC">
            <w:pPr>
              <w:spacing w:after="0" w:line="240" w:lineRule="auto"/>
              <w:jc w:val="both"/>
              <w:rPr>
                <w:rFonts w:ascii="Times New Roman" w:eastAsia="MS Mincho" w:hAnsi="Times New Roman"/>
                <w:b/>
                <w:sz w:val="20"/>
                <w:szCs w:val="20"/>
                <w:lang w:val="en-GB"/>
              </w:rPr>
            </w:pPr>
            <w:bookmarkStart w:id="16" w:name="_Hlk131009403"/>
            <w:r w:rsidRPr="00712F3C">
              <w:rPr>
                <w:rFonts w:ascii="Times New Roman" w:eastAsia="MS Mincho" w:hAnsi="Times New Roman"/>
                <w:b/>
                <w:sz w:val="20"/>
                <w:szCs w:val="20"/>
                <w:lang w:val="en-GB"/>
              </w:rPr>
              <w:t>Name, designation, age, date of birth, address, experience, occupation, qualification, current term, date of appointment and DIN</w:t>
            </w:r>
          </w:p>
        </w:tc>
        <w:tc>
          <w:tcPr>
            <w:tcW w:w="1410" w:type="pct"/>
            <w:shd w:val="clear" w:color="auto" w:fill="D0CECE" w:themeFill="background2" w:themeFillShade="E6"/>
            <w:vAlign w:val="center"/>
          </w:tcPr>
          <w:p w14:paraId="46AD79F0" w14:textId="77777777" w:rsidR="00E35FCB" w:rsidRPr="00712F3C" w:rsidRDefault="00E35FCB" w:rsidP="00250DAC">
            <w:pPr>
              <w:spacing w:after="0" w:line="240" w:lineRule="auto"/>
              <w:jc w:val="center"/>
              <w:rPr>
                <w:rFonts w:ascii="Times New Roman" w:eastAsia="MS Mincho" w:hAnsi="Times New Roman"/>
                <w:b/>
                <w:sz w:val="20"/>
                <w:szCs w:val="20"/>
                <w:lang w:val="en-GB"/>
              </w:rPr>
            </w:pPr>
            <w:r w:rsidRPr="00712F3C">
              <w:rPr>
                <w:rFonts w:ascii="Times New Roman" w:eastAsia="MS Mincho" w:hAnsi="Times New Roman"/>
                <w:b/>
                <w:sz w:val="20"/>
                <w:szCs w:val="20"/>
                <w:lang w:val="en-GB"/>
              </w:rPr>
              <w:t>Other directorships</w:t>
            </w:r>
          </w:p>
        </w:tc>
      </w:tr>
      <w:tr w:rsidR="00E35FCB" w:rsidRPr="00712F3C" w14:paraId="0E9953C1" w14:textId="77777777" w:rsidTr="00250DAC">
        <w:tc>
          <w:tcPr>
            <w:tcW w:w="3590" w:type="pct"/>
            <w:shd w:val="clear" w:color="auto" w:fill="auto"/>
          </w:tcPr>
          <w:p w14:paraId="1210EF73" w14:textId="77777777" w:rsidR="00E35FCB" w:rsidRPr="00712F3C" w:rsidRDefault="00E35FCB" w:rsidP="00250DAC">
            <w:pPr>
              <w:spacing w:after="0" w:line="240" w:lineRule="auto"/>
              <w:jc w:val="both"/>
              <w:rPr>
                <w:rFonts w:ascii="Times New Roman" w:eastAsia="MS Mincho" w:hAnsi="Times New Roman"/>
                <w:b/>
                <w:sz w:val="20"/>
                <w:szCs w:val="20"/>
                <w:lang w:val="en-GB"/>
              </w:rPr>
            </w:pPr>
            <w:r w:rsidRPr="00E075A6">
              <w:rPr>
                <w:rFonts w:ascii="Times New Roman" w:eastAsia="MS Mincho" w:hAnsi="Times New Roman"/>
                <w:b/>
                <w:sz w:val="20"/>
                <w:szCs w:val="20"/>
                <w:lang w:val="en-GB"/>
              </w:rPr>
              <w:t>Ramgopal Ochhavlal Maheshwari</w:t>
            </w:r>
            <w:r w:rsidRPr="00712F3C">
              <w:rPr>
                <w:rFonts w:ascii="Times New Roman" w:eastAsia="MS Mincho" w:hAnsi="Times New Roman"/>
                <w:b/>
                <w:sz w:val="20"/>
                <w:szCs w:val="20"/>
                <w:lang w:val="en-GB"/>
              </w:rPr>
              <w:tab/>
            </w:r>
          </w:p>
          <w:p w14:paraId="2EBEDC1B" w14:textId="77777777" w:rsidR="00E35FCB" w:rsidRPr="00712F3C" w:rsidRDefault="00E35FCB" w:rsidP="00250DAC">
            <w:pPr>
              <w:spacing w:after="0" w:line="240" w:lineRule="auto"/>
              <w:jc w:val="both"/>
              <w:rPr>
                <w:rFonts w:ascii="Times New Roman" w:eastAsia="Calibri" w:hAnsi="Times New Roman"/>
                <w:b/>
                <w:sz w:val="20"/>
                <w:szCs w:val="20"/>
              </w:rPr>
            </w:pPr>
          </w:p>
          <w:p w14:paraId="6B0EBCAA" w14:textId="77777777" w:rsidR="00E35FCB" w:rsidRPr="00712F3C" w:rsidRDefault="00E35FCB" w:rsidP="00250DAC">
            <w:pPr>
              <w:spacing w:after="0" w:line="240" w:lineRule="auto"/>
              <w:jc w:val="both"/>
              <w:rPr>
                <w:rFonts w:ascii="Times New Roman" w:eastAsia="Calibri" w:hAnsi="Times New Roman"/>
                <w:sz w:val="20"/>
                <w:szCs w:val="20"/>
              </w:rPr>
            </w:pPr>
            <w:r w:rsidRPr="00712F3C">
              <w:rPr>
                <w:rFonts w:ascii="Times New Roman" w:eastAsia="Calibri" w:hAnsi="Times New Roman"/>
                <w:b/>
                <w:sz w:val="20"/>
                <w:szCs w:val="20"/>
              </w:rPr>
              <w:t xml:space="preserve">Designation: </w:t>
            </w:r>
            <w:r w:rsidRPr="00712F3C">
              <w:rPr>
                <w:rFonts w:ascii="Times New Roman" w:eastAsia="Calibri" w:hAnsi="Times New Roman"/>
                <w:sz w:val="20"/>
                <w:szCs w:val="20"/>
              </w:rPr>
              <w:t xml:space="preserve">Chairman &amp; </w:t>
            </w:r>
            <w:r>
              <w:rPr>
                <w:rFonts w:ascii="Times New Roman" w:eastAsia="Calibri" w:hAnsi="Times New Roman"/>
                <w:sz w:val="20"/>
                <w:szCs w:val="20"/>
              </w:rPr>
              <w:t>Wholetime</w:t>
            </w:r>
            <w:r w:rsidRPr="00712F3C">
              <w:rPr>
                <w:rFonts w:ascii="Times New Roman" w:eastAsia="Calibri" w:hAnsi="Times New Roman"/>
                <w:sz w:val="20"/>
                <w:szCs w:val="20"/>
              </w:rPr>
              <w:t xml:space="preserve"> Director</w:t>
            </w:r>
          </w:p>
          <w:p w14:paraId="2F68C330" w14:textId="77777777" w:rsidR="00E35FCB" w:rsidRPr="00712F3C" w:rsidRDefault="00E35FCB" w:rsidP="00250DAC">
            <w:pPr>
              <w:spacing w:after="0" w:line="240" w:lineRule="auto"/>
              <w:jc w:val="both"/>
              <w:rPr>
                <w:rFonts w:ascii="Times New Roman" w:eastAsia="Calibri" w:hAnsi="Times New Roman"/>
                <w:b/>
                <w:sz w:val="20"/>
                <w:szCs w:val="20"/>
              </w:rPr>
            </w:pPr>
          </w:p>
          <w:p w14:paraId="6114E4F9" w14:textId="77777777" w:rsidR="00E35FCB" w:rsidRPr="00712F3C" w:rsidRDefault="00E35FCB" w:rsidP="00250DAC">
            <w:pPr>
              <w:spacing w:after="0" w:line="240" w:lineRule="auto"/>
              <w:jc w:val="both"/>
              <w:rPr>
                <w:rFonts w:ascii="Times New Roman" w:eastAsia="Calibri" w:hAnsi="Times New Roman"/>
                <w:sz w:val="20"/>
                <w:szCs w:val="20"/>
              </w:rPr>
            </w:pPr>
            <w:r w:rsidRPr="00712F3C">
              <w:rPr>
                <w:rFonts w:ascii="Times New Roman" w:eastAsia="Calibri" w:hAnsi="Times New Roman"/>
                <w:b/>
                <w:sz w:val="20"/>
                <w:szCs w:val="20"/>
              </w:rPr>
              <w:t xml:space="preserve">Age: </w:t>
            </w:r>
            <w:r w:rsidRPr="00712F3C">
              <w:rPr>
                <w:rFonts w:ascii="Times New Roman" w:eastAsia="Calibri" w:hAnsi="Times New Roman"/>
                <w:sz w:val="20"/>
                <w:szCs w:val="20"/>
              </w:rPr>
              <w:t>5</w:t>
            </w:r>
            <w:r>
              <w:rPr>
                <w:rFonts w:ascii="Times New Roman" w:eastAsia="Calibri" w:hAnsi="Times New Roman"/>
                <w:sz w:val="20"/>
                <w:szCs w:val="20"/>
              </w:rPr>
              <w:t>9</w:t>
            </w:r>
            <w:r w:rsidRPr="00712F3C">
              <w:rPr>
                <w:rFonts w:ascii="Times New Roman" w:eastAsia="Calibri" w:hAnsi="Times New Roman"/>
                <w:sz w:val="20"/>
                <w:szCs w:val="20"/>
              </w:rPr>
              <w:t xml:space="preserve"> years</w:t>
            </w:r>
          </w:p>
          <w:p w14:paraId="79A10ACE" w14:textId="77777777" w:rsidR="00E35FCB" w:rsidRPr="00712F3C" w:rsidRDefault="00E35FCB" w:rsidP="00250DAC">
            <w:pPr>
              <w:spacing w:after="0" w:line="240" w:lineRule="auto"/>
              <w:jc w:val="both"/>
              <w:rPr>
                <w:rFonts w:ascii="Times New Roman" w:eastAsia="Calibri" w:hAnsi="Times New Roman"/>
                <w:sz w:val="20"/>
                <w:szCs w:val="20"/>
              </w:rPr>
            </w:pPr>
          </w:p>
          <w:p w14:paraId="322885AF" w14:textId="77777777" w:rsidR="00E35FCB" w:rsidRPr="00712F3C" w:rsidRDefault="00E35FCB" w:rsidP="00250DAC">
            <w:pPr>
              <w:spacing w:after="0" w:line="240" w:lineRule="auto"/>
              <w:jc w:val="both"/>
              <w:rPr>
                <w:rFonts w:ascii="Times New Roman" w:eastAsia="Calibri" w:hAnsi="Times New Roman"/>
                <w:sz w:val="20"/>
                <w:szCs w:val="20"/>
              </w:rPr>
            </w:pPr>
            <w:r w:rsidRPr="00712F3C">
              <w:rPr>
                <w:rFonts w:ascii="Times New Roman" w:eastAsia="Calibri" w:hAnsi="Times New Roman"/>
                <w:b/>
                <w:sz w:val="20"/>
                <w:szCs w:val="20"/>
              </w:rPr>
              <w:t xml:space="preserve">Date of Birth: </w:t>
            </w:r>
            <w:r>
              <w:rPr>
                <w:rFonts w:ascii="Times New Roman" w:eastAsia="Calibri" w:hAnsi="Times New Roman"/>
                <w:sz w:val="20"/>
                <w:szCs w:val="20"/>
              </w:rPr>
              <w:t>January 07, 1964</w:t>
            </w:r>
          </w:p>
          <w:p w14:paraId="579D665C" w14:textId="77777777" w:rsidR="00E35FCB" w:rsidRPr="00712F3C" w:rsidRDefault="00E35FCB" w:rsidP="00250DAC">
            <w:pPr>
              <w:spacing w:after="0" w:line="240" w:lineRule="auto"/>
              <w:jc w:val="both"/>
              <w:rPr>
                <w:rFonts w:ascii="Times New Roman" w:eastAsia="Calibri" w:hAnsi="Times New Roman"/>
                <w:b/>
                <w:sz w:val="20"/>
                <w:szCs w:val="20"/>
              </w:rPr>
            </w:pPr>
          </w:p>
          <w:p w14:paraId="4C6CC4D1" w14:textId="77777777" w:rsidR="00E35FCB" w:rsidRDefault="00E35FCB" w:rsidP="00250DAC">
            <w:pPr>
              <w:spacing w:after="0" w:line="240" w:lineRule="auto"/>
              <w:jc w:val="both"/>
              <w:rPr>
                <w:rFonts w:ascii="Times New Roman" w:eastAsia="Calibri" w:hAnsi="Times New Roman"/>
                <w:sz w:val="20"/>
                <w:szCs w:val="20"/>
              </w:rPr>
            </w:pPr>
            <w:r w:rsidRPr="00712F3C">
              <w:rPr>
                <w:rFonts w:ascii="Times New Roman" w:eastAsia="Calibri" w:hAnsi="Times New Roman"/>
                <w:b/>
                <w:sz w:val="20"/>
                <w:szCs w:val="20"/>
              </w:rPr>
              <w:t xml:space="preserve">Address: </w:t>
            </w:r>
            <w:r w:rsidRPr="0010353B">
              <w:rPr>
                <w:rFonts w:ascii="Times New Roman" w:eastAsia="Calibri" w:hAnsi="Times New Roman"/>
                <w:sz w:val="20"/>
                <w:szCs w:val="20"/>
              </w:rPr>
              <w:t>Kanchan Palace, 2, Oswal Colony, Jamnagar-361005, Gujarat, India</w:t>
            </w:r>
          </w:p>
          <w:p w14:paraId="03C76743" w14:textId="77777777" w:rsidR="00E35FCB" w:rsidRPr="001B4469" w:rsidRDefault="00E35FCB" w:rsidP="00250DAC">
            <w:pPr>
              <w:spacing w:after="0" w:line="240" w:lineRule="auto"/>
              <w:jc w:val="both"/>
              <w:rPr>
                <w:rFonts w:ascii="Times New Roman" w:eastAsia="Calibri" w:hAnsi="Times New Roman"/>
                <w:sz w:val="20"/>
                <w:szCs w:val="20"/>
              </w:rPr>
            </w:pPr>
          </w:p>
          <w:p w14:paraId="13D126F2" w14:textId="0A375DF0" w:rsidR="00E35FCB" w:rsidRPr="00712F3C" w:rsidRDefault="00E35FCB" w:rsidP="00250DAC">
            <w:pPr>
              <w:spacing w:after="0" w:line="240" w:lineRule="auto"/>
              <w:jc w:val="both"/>
              <w:rPr>
                <w:rFonts w:ascii="Times New Roman" w:eastAsia="Calibri" w:hAnsi="Times New Roman"/>
                <w:sz w:val="20"/>
                <w:szCs w:val="20"/>
              </w:rPr>
            </w:pPr>
            <w:r w:rsidRPr="00712F3C">
              <w:rPr>
                <w:rFonts w:ascii="Times New Roman" w:eastAsia="Calibri" w:hAnsi="Times New Roman"/>
                <w:b/>
                <w:sz w:val="20"/>
                <w:szCs w:val="20"/>
              </w:rPr>
              <w:t xml:space="preserve">Experience: </w:t>
            </w:r>
            <w:r w:rsidR="001B70BE" w:rsidRPr="001B70BE">
              <w:rPr>
                <w:rFonts w:ascii="Times New Roman" w:eastAsia="Calibri" w:hAnsi="Times New Roman"/>
                <w:bCs/>
                <w:sz w:val="20"/>
                <w:szCs w:val="20"/>
              </w:rPr>
              <w:t>34 years</w:t>
            </w:r>
            <w:r w:rsidR="001B70BE">
              <w:rPr>
                <w:rFonts w:ascii="Times New Roman" w:eastAsia="Calibri" w:hAnsi="Times New Roman"/>
                <w:b/>
                <w:sz w:val="20"/>
                <w:szCs w:val="20"/>
              </w:rPr>
              <w:t xml:space="preserve"> </w:t>
            </w:r>
          </w:p>
          <w:p w14:paraId="59CFCED4" w14:textId="77777777" w:rsidR="00E35FCB" w:rsidRPr="00712F3C" w:rsidRDefault="00E35FCB" w:rsidP="00250DAC">
            <w:pPr>
              <w:spacing w:after="0" w:line="240" w:lineRule="auto"/>
              <w:jc w:val="both"/>
              <w:rPr>
                <w:rFonts w:ascii="Times New Roman" w:eastAsia="Calibri" w:hAnsi="Times New Roman"/>
                <w:sz w:val="20"/>
                <w:szCs w:val="20"/>
              </w:rPr>
            </w:pPr>
          </w:p>
          <w:p w14:paraId="143E8EB5" w14:textId="77777777" w:rsidR="00E35FCB" w:rsidRPr="00223E07" w:rsidRDefault="00E35FCB" w:rsidP="00250DAC">
            <w:pPr>
              <w:spacing w:after="0" w:line="240" w:lineRule="auto"/>
              <w:jc w:val="both"/>
              <w:rPr>
                <w:rFonts w:ascii="Times New Roman" w:eastAsia="SimSun" w:hAnsi="Times New Roman"/>
                <w:sz w:val="20"/>
                <w:szCs w:val="20"/>
              </w:rPr>
            </w:pPr>
            <w:r w:rsidRPr="00223E07">
              <w:rPr>
                <w:rFonts w:ascii="Times New Roman" w:eastAsia="SimSun" w:hAnsi="Times New Roman"/>
                <w:b/>
                <w:sz w:val="20"/>
                <w:szCs w:val="20"/>
              </w:rPr>
              <w:t>Occupation:</w:t>
            </w:r>
            <w:r w:rsidRPr="00223E07">
              <w:rPr>
                <w:rFonts w:ascii="Times New Roman" w:eastAsia="SimSun" w:hAnsi="Times New Roman"/>
                <w:sz w:val="20"/>
                <w:szCs w:val="20"/>
              </w:rPr>
              <w:t xml:space="preserve"> Business </w:t>
            </w:r>
          </w:p>
          <w:p w14:paraId="3EF57A9D" w14:textId="77777777" w:rsidR="00E35FCB" w:rsidRPr="00223E07" w:rsidRDefault="00E35FCB" w:rsidP="00250DAC">
            <w:pPr>
              <w:spacing w:after="0" w:line="240" w:lineRule="auto"/>
              <w:jc w:val="both"/>
              <w:rPr>
                <w:rFonts w:ascii="Times New Roman" w:eastAsia="SimSun" w:hAnsi="Times New Roman"/>
                <w:sz w:val="20"/>
                <w:szCs w:val="20"/>
              </w:rPr>
            </w:pPr>
          </w:p>
          <w:p w14:paraId="6A6DB019" w14:textId="77777777" w:rsidR="00E35FCB" w:rsidRPr="00223E07" w:rsidRDefault="00E35FCB" w:rsidP="00250DAC">
            <w:pPr>
              <w:spacing w:after="0" w:line="240" w:lineRule="auto"/>
              <w:jc w:val="both"/>
              <w:rPr>
                <w:rFonts w:ascii="Times New Roman" w:eastAsia="Calibri" w:hAnsi="Times New Roman"/>
                <w:sz w:val="20"/>
                <w:szCs w:val="20"/>
              </w:rPr>
            </w:pPr>
            <w:r w:rsidRPr="00223E07">
              <w:rPr>
                <w:rFonts w:ascii="Times New Roman" w:eastAsia="Calibri" w:hAnsi="Times New Roman"/>
                <w:b/>
                <w:sz w:val="20"/>
                <w:szCs w:val="20"/>
              </w:rPr>
              <w:t xml:space="preserve">Qualification: </w:t>
            </w:r>
            <w:r w:rsidRPr="00223E07">
              <w:rPr>
                <w:rFonts w:ascii="Times New Roman" w:eastAsia="Calibri" w:hAnsi="Times New Roman"/>
                <w:sz w:val="20"/>
                <w:szCs w:val="20"/>
              </w:rPr>
              <w:t xml:space="preserve">Bachelor of Commerce </w:t>
            </w:r>
          </w:p>
          <w:p w14:paraId="0D09B1D6" w14:textId="77777777" w:rsidR="00E35FCB" w:rsidRPr="00223E07" w:rsidRDefault="00E35FCB" w:rsidP="00250DAC">
            <w:pPr>
              <w:spacing w:after="0" w:line="240" w:lineRule="auto"/>
              <w:jc w:val="both"/>
              <w:rPr>
                <w:rFonts w:ascii="Times New Roman" w:eastAsia="Calibri" w:hAnsi="Times New Roman"/>
                <w:sz w:val="20"/>
                <w:szCs w:val="20"/>
              </w:rPr>
            </w:pPr>
          </w:p>
          <w:p w14:paraId="47F810CB" w14:textId="77777777" w:rsidR="00E35FCB" w:rsidRPr="00223E07" w:rsidRDefault="00E35FCB" w:rsidP="00250DAC">
            <w:pPr>
              <w:spacing w:after="0" w:line="240" w:lineRule="auto"/>
              <w:jc w:val="both"/>
              <w:rPr>
                <w:rFonts w:ascii="Times New Roman" w:eastAsia="Calibri" w:hAnsi="Times New Roman"/>
                <w:sz w:val="20"/>
                <w:szCs w:val="20"/>
              </w:rPr>
            </w:pPr>
            <w:r w:rsidRPr="00223E07">
              <w:rPr>
                <w:rFonts w:ascii="Times New Roman" w:eastAsia="Calibri" w:hAnsi="Times New Roman"/>
                <w:b/>
                <w:sz w:val="20"/>
                <w:szCs w:val="20"/>
              </w:rPr>
              <w:t xml:space="preserve">Current Term: </w:t>
            </w:r>
            <w:r w:rsidRPr="00223E07">
              <w:rPr>
                <w:rFonts w:ascii="Times New Roman" w:eastAsia="Calibri" w:hAnsi="Times New Roman"/>
                <w:sz w:val="20"/>
                <w:szCs w:val="20"/>
              </w:rPr>
              <w:t>For a period of three years with effect from August 25, 2023; liable to retire by rotation</w:t>
            </w:r>
          </w:p>
          <w:p w14:paraId="12A9227A" w14:textId="77777777" w:rsidR="00E35FCB" w:rsidRPr="00223E07" w:rsidRDefault="00E35FCB" w:rsidP="00250DAC">
            <w:pPr>
              <w:spacing w:after="0" w:line="240" w:lineRule="auto"/>
              <w:jc w:val="both"/>
              <w:rPr>
                <w:rFonts w:ascii="Times New Roman" w:eastAsia="Calibri" w:hAnsi="Times New Roman"/>
                <w:sz w:val="20"/>
                <w:szCs w:val="20"/>
              </w:rPr>
            </w:pPr>
          </w:p>
          <w:p w14:paraId="7D9C56EB" w14:textId="77777777" w:rsidR="00E35FCB" w:rsidRPr="00712F3C" w:rsidRDefault="00E35FCB" w:rsidP="00250DAC">
            <w:pPr>
              <w:spacing w:after="0" w:line="240" w:lineRule="auto"/>
              <w:jc w:val="both"/>
              <w:rPr>
                <w:rFonts w:ascii="Times New Roman" w:eastAsia="Calibri" w:hAnsi="Times New Roman"/>
                <w:b/>
                <w:sz w:val="20"/>
                <w:szCs w:val="20"/>
              </w:rPr>
            </w:pPr>
            <w:r w:rsidRPr="00223E07">
              <w:rPr>
                <w:rFonts w:ascii="Times New Roman" w:eastAsia="Calibri" w:hAnsi="Times New Roman"/>
                <w:b/>
                <w:sz w:val="20"/>
                <w:szCs w:val="20"/>
              </w:rPr>
              <w:t xml:space="preserve">Period of Directorship: </w:t>
            </w:r>
            <w:r w:rsidRPr="00223E07">
              <w:rPr>
                <w:rFonts w:ascii="Times New Roman" w:eastAsia="Calibri" w:hAnsi="Times New Roman"/>
                <w:bCs/>
                <w:sz w:val="20"/>
                <w:szCs w:val="20"/>
              </w:rPr>
              <w:t>Originally appointed as First Director and later on resigned from the directorship on November 25, 2017. Re-appointed as Executive Director w.e.f. June 16, 2021</w:t>
            </w:r>
          </w:p>
          <w:p w14:paraId="71BF62D7" w14:textId="77777777" w:rsidR="00E35FCB" w:rsidRPr="00712F3C" w:rsidRDefault="00E35FCB" w:rsidP="00250DAC">
            <w:pPr>
              <w:spacing w:after="0" w:line="240" w:lineRule="auto"/>
              <w:jc w:val="both"/>
              <w:rPr>
                <w:rFonts w:ascii="Times New Roman" w:eastAsia="Calibri" w:hAnsi="Times New Roman"/>
                <w:sz w:val="20"/>
                <w:szCs w:val="20"/>
              </w:rPr>
            </w:pPr>
          </w:p>
          <w:p w14:paraId="563FBA7B" w14:textId="77777777" w:rsidR="00E35FCB" w:rsidRPr="00A1034B" w:rsidRDefault="00E35FCB" w:rsidP="00250DAC">
            <w:pPr>
              <w:spacing w:after="0" w:line="240" w:lineRule="auto"/>
              <w:jc w:val="both"/>
              <w:rPr>
                <w:rFonts w:ascii="Times New Roman" w:eastAsia="MS Mincho" w:hAnsi="Times New Roman"/>
                <w:bCs/>
                <w:iCs/>
                <w:sz w:val="20"/>
                <w:szCs w:val="20"/>
              </w:rPr>
            </w:pPr>
            <w:r w:rsidRPr="00712F3C">
              <w:rPr>
                <w:rFonts w:ascii="Times New Roman" w:eastAsia="Calibri" w:hAnsi="Times New Roman"/>
                <w:b/>
                <w:sz w:val="20"/>
                <w:szCs w:val="20"/>
              </w:rPr>
              <w:t xml:space="preserve">DIN: </w:t>
            </w:r>
            <w:r w:rsidRPr="00A1034B">
              <w:rPr>
                <w:rFonts w:ascii="Times New Roman" w:eastAsia="MS Mincho" w:hAnsi="Times New Roman"/>
                <w:bCs/>
                <w:iCs/>
                <w:sz w:val="20"/>
                <w:szCs w:val="20"/>
              </w:rPr>
              <w:t>00553232</w:t>
            </w:r>
          </w:p>
          <w:p w14:paraId="65E1DB92" w14:textId="77777777" w:rsidR="00E35FCB" w:rsidRPr="00712F3C" w:rsidRDefault="00E35FCB" w:rsidP="00250DAC">
            <w:pPr>
              <w:spacing w:after="0" w:line="240" w:lineRule="auto"/>
              <w:jc w:val="both"/>
              <w:rPr>
                <w:rFonts w:ascii="Times New Roman" w:eastAsia="MS Mincho" w:hAnsi="Times New Roman"/>
                <w:b/>
                <w:sz w:val="20"/>
                <w:szCs w:val="20"/>
                <w:lang w:val="en-GB"/>
              </w:rPr>
            </w:pPr>
          </w:p>
        </w:tc>
        <w:tc>
          <w:tcPr>
            <w:tcW w:w="1410" w:type="pct"/>
            <w:shd w:val="clear" w:color="auto" w:fill="auto"/>
            <w:vAlign w:val="center"/>
          </w:tcPr>
          <w:p w14:paraId="24B1568B" w14:textId="77777777" w:rsidR="00E35FCB" w:rsidRPr="00712F3C" w:rsidRDefault="00E35FCB" w:rsidP="00250DAC">
            <w:pPr>
              <w:spacing w:after="0" w:line="240" w:lineRule="auto"/>
              <w:rPr>
                <w:rFonts w:ascii="Times New Roman" w:eastAsia="MS Mincho" w:hAnsi="Times New Roman"/>
                <w:b/>
                <w:sz w:val="20"/>
                <w:szCs w:val="20"/>
                <w:lang w:val="en-GB"/>
              </w:rPr>
            </w:pPr>
            <w:r w:rsidRPr="00712F3C">
              <w:rPr>
                <w:rFonts w:ascii="Times New Roman" w:eastAsia="MS Mincho" w:hAnsi="Times New Roman"/>
                <w:b/>
                <w:sz w:val="20"/>
                <w:szCs w:val="20"/>
                <w:lang w:val="en-GB"/>
              </w:rPr>
              <w:t xml:space="preserve">Companies: </w:t>
            </w:r>
          </w:p>
          <w:p w14:paraId="4251D88E" w14:textId="77777777" w:rsidR="00E35FCB" w:rsidRDefault="00E35FCB">
            <w:pPr>
              <w:pStyle w:val="ListParagraph"/>
              <w:numPr>
                <w:ilvl w:val="0"/>
                <w:numId w:val="177"/>
              </w:numPr>
              <w:spacing w:line="240" w:lineRule="auto"/>
              <w:ind w:left="318"/>
              <w:jc w:val="both"/>
              <w:rPr>
                <w:rFonts w:eastAsia="MS Mincho"/>
                <w:sz w:val="20"/>
                <w:szCs w:val="20"/>
                <w:lang w:val="en-GB"/>
              </w:rPr>
            </w:pPr>
            <w:r>
              <w:rPr>
                <w:sz w:val="20"/>
                <w:szCs w:val="20"/>
              </w:rPr>
              <w:t xml:space="preserve">Dwarkadhish Venture Private Limited </w:t>
            </w:r>
            <w:r w:rsidRPr="00792E9D">
              <w:rPr>
                <w:i/>
                <w:iCs/>
                <w:sz w:val="20"/>
                <w:szCs w:val="20"/>
              </w:rPr>
              <w:t>(formerly known as Siyaram Metals Private Limited)</w:t>
            </w:r>
          </w:p>
          <w:p w14:paraId="58ED930E" w14:textId="77777777" w:rsidR="00E35FCB" w:rsidRDefault="00E35FCB">
            <w:pPr>
              <w:pStyle w:val="ListParagraph"/>
              <w:numPr>
                <w:ilvl w:val="0"/>
                <w:numId w:val="177"/>
              </w:numPr>
              <w:spacing w:line="240" w:lineRule="auto"/>
              <w:ind w:left="318"/>
              <w:jc w:val="both"/>
              <w:rPr>
                <w:rFonts w:eastAsia="MS Mincho"/>
                <w:sz w:val="20"/>
                <w:szCs w:val="20"/>
                <w:lang w:val="en-GB"/>
              </w:rPr>
            </w:pPr>
            <w:bookmarkStart w:id="17" w:name="_Hlk142490282"/>
            <w:r w:rsidRPr="00957C3F">
              <w:rPr>
                <w:rFonts w:eastAsia="MS Mincho"/>
                <w:sz w:val="20"/>
                <w:szCs w:val="20"/>
                <w:lang w:val="en-GB"/>
              </w:rPr>
              <w:t>Prakash Impexp Private Limited</w:t>
            </w:r>
          </w:p>
          <w:bookmarkEnd w:id="17"/>
          <w:p w14:paraId="2D2F6743" w14:textId="77777777" w:rsidR="00E35FCB" w:rsidRPr="00712F3C" w:rsidRDefault="00E35FCB" w:rsidP="00250DAC">
            <w:pPr>
              <w:pStyle w:val="ListParagraph"/>
              <w:spacing w:line="240" w:lineRule="auto"/>
              <w:ind w:left="318"/>
              <w:jc w:val="both"/>
              <w:rPr>
                <w:rFonts w:eastAsia="MS Mincho"/>
                <w:sz w:val="20"/>
                <w:szCs w:val="20"/>
                <w:lang w:val="en-GB"/>
              </w:rPr>
            </w:pPr>
          </w:p>
        </w:tc>
      </w:tr>
      <w:tr w:rsidR="00E35FCB" w:rsidRPr="00712F3C" w14:paraId="3FFD0D54" w14:textId="77777777" w:rsidTr="00250DAC">
        <w:tc>
          <w:tcPr>
            <w:tcW w:w="3590" w:type="pct"/>
            <w:shd w:val="clear" w:color="auto" w:fill="auto"/>
          </w:tcPr>
          <w:p w14:paraId="2B2EC17F" w14:textId="77777777" w:rsidR="00E35FCB" w:rsidRDefault="00E35FCB" w:rsidP="00250DAC">
            <w:pPr>
              <w:spacing w:after="0" w:line="240" w:lineRule="auto"/>
              <w:jc w:val="both"/>
              <w:rPr>
                <w:rFonts w:ascii="Times New Roman" w:eastAsia="MS Mincho" w:hAnsi="Times New Roman"/>
                <w:b/>
                <w:sz w:val="20"/>
                <w:szCs w:val="20"/>
                <w:lang w:val="en-GB"/>
              </w:rPr>
            </w:pPr>
            <w:r w:rsidRPr="00957C3F">
              <w:rPr>
                <w:rFonts w:ascii="Times New Roman" w:eastAsia="MS Mincho" w:hAnsi="Times New Roman"/>
                <w:b/>
                <w:sz w:val="20"/>
                <w:szCs w:val="20"/>
                <w:lang w:val="en-GB"/>
              </w:rPr>
              <w:t>Bhavesh Ramgopal Maheshwari</w:t>
            </w:r>
          </w:p>
          <w:p w14:paraId="3BC1E952" w14:textId="77777777" w:rsidR="00E35FCB" w:rsidRPr="00712F3C" w:rsidRDefault="00E35FCB" w:rsidP="00250DAC">
            <w:pPr>
              <w:spacing w:after="0" w:line="240" w:lineRule="auto"/>
              <w:jc w:val="both"/>
              <w:rPr>
                <w:rFonts w:ascii="Times New Roman" w:eastAsia="Calibri" w:hAnsi="Times New Roman"/>
                <w:b/>
                <w:sz w:val="20"/>
                <w:szCs w:val="20"/>
              </w:rPr>
            </w:pPr>
          </w:p>
          <w:p w14:paraId="1920D3DF" w14:textId="77777777" w:rsidR="00E35FCB" w:rsidRPr="00712F3C" w:rsidRDefault="00E35FCB" w:rsidP="00250DAC">
            <w:pPr>
              <w:spacing w:after="0" w:line="240" w:lineRule="auto"/>
              <w:jc w:val="both"/>
              <w:rPr>
                <w:rFonts w:ascii="Times New Roman" w:eastAsia="Calibri" w:hAnsi="Times New Roman"/>
                <w:sz w:val="20"/>
                <w:szCs w:val="20"/>
              </w:rPr>
            </w:pPr>
            <w:r w:rsidRPr="00712F3C">
              <w:rPr>
                <w:rFonts w:ascii="Times New Roman" w:eastAsia="Calibri" w:hAnsi="Times New Roman"/>
                <w:b/>
                <w:sz w:val="20"/>
                <w:szCs w:val="20"/>
              </w:rPr>
              <w:t xml:space="preserve">Designation: </w:t>
            </w:r>
            <w:r>
              <w:rPr>
                <w:rFonts w:ascii="Times New Roman" w:eastAsia="Calibri" w:hAnsi="Times New Roman"/>
                <w:sz w:val="20"/>
                <w:szCs w:val="20"/>
              </w:rPr>
              <w:t>Managing</w:t>
            </w:r>
            <w:r w:rsidRPr="00712F3C">
              <w:rPr>
                <w:rFonts w:ascii="Times New Roman" w:eastAsia="Calibri" w:hAnsi="Times New Roman"/>
                <w:sz w:val="20"/>
                <w:szCs w:val="20"/>
              </w:rPr>
              <w:t xml:space="preserve"> Director </w:t>
            </w:r>
          </w:p>
          <w:p w14:paraId="1B6CC6C4" w14:textId="77777777" w:rsidR="00E35FCB" w:rsidRPr="00712F3C" w:rsidRDefault="00E35FCB" w:rsidP="00250DAC">
            <w:pPr>
              <w:spacing w:after="0" w:line="240" w:lineRule="auto"/>
              <w:jc w:val="both"/>
              <w:rPr>
                <w:rFonts w:ascii="Times New Roman" w:eastAsia="Calibri" w:hAnsi="Times New Roman"/>
                <w:sz w:val="20"/>
                <w:szCs w:val="20"/>
              </w:rPr>
            </w:pPr>
          </w:p>
          <w:p w14:paraId="3711FBE2" w14:textId="77777777" w:rsidR="00E35FCB" w:rsidRPr="00712F3C" w:rsidRDefault="00E35FCB" w:rsidP="00250DAC">
            <w:pPr>
              <w:spacing w:after="0" w:line="240" w:lineRule="auto"/>
              <w:jc w:val="both"/>
              <w:rPr>
                <w:rFonts w:ascii="Times New Roman" w:eastAsia="Calibri" w:hAnsi="Times New Roman"/>
                <w:sz w:val="20"/>
                <w:szCs w:val="20"/>
              </w:rPr>
            </w:pPr>
            <w:r w:rsidRPr="00712F3C">
              <w:rPr>
                <w:rFonts w:ascii="Times New Roman" w:eastAsia="Calibri" w:hAnsi="Times New Roman"/>
                <w:b/>
                <w:sz w:val="20"/>
                <w:szCs w:val="20"/>
              </w:rPr>
              <w:t xml:space="preserve">Age: </w:t>
            </w:r>
            <w:r>
              <w:rPr>
                <w:rFonts w:ascii="Times New Roman" w:eastAsia="Calibri" w:hAnsi="Times New Roman"/>
                <w:sz w:val="20"/>
                <w:szCs w:val="20"/>
              </w:rPr>
              <w:t>30</w:t>
            </w:r>
            <w:r w:rsidRPr="00712F3C">
              <w:rPr>
                <w:rFonts w:ascii="Times New Roman" w:eastAsia="Calibri" w:hAnsi="Times New Roman"/>
                <w:sz w:val="20"/>
                <w:szCs w:val="20"/>
              </w:rPr>
              <w:t xml:space="preserve"> years</w:t>
            </w:r>
          </w:p>
          <w:p w14:paraId="47F8ED29" w14:textId="77777777" w:rsidR="00E35FCB" w:rsidRPr="00712F3C" w:rsidRDefault="00E35FCB" w:rsidP="00250DAC">
            <w:pPr>
              <w:spacing w:after="0" w:line="240" w:lineRule="auto"/>
              <w:jc w:val="both"/>
              <w:rPr>
                <w:rFonts w:ascii="Times New Roman" w:eastAsia="Calibri" w:hAnsi="Times New Roman"/>
                <w:sz w:val="20"/>
                <w:szCs w:val="20"/>
              </w:rPr>
            </w:pPr>
          </w:p>
          <w:p w14:paraId="33AF127D" w14:textId="77777777" w:rsidR="00E35FCB" w:rsidRPr="00712F3C" w:rsidRDefault="00E35FCB" w:rsidP="00250DAC">
            <w:pPr>
              <w:spacing w:after="0" w:line="240" w:lineRule="auto"/>
              <w:jc w:val="both"/>
              <w:rPr>
                <w:rFonts w:ascii="Times New Roman" w:eastAsia="Calibri" w:hAnsi="Times New Roman"/>
                <w:sz w:val="20"/>
                <w:szCs w:val="20"/>
              </w:rPr>
            </w:pPr>
            <w:r w:rsidRPr="00712F3C">
              <w:rPr>
                <w:rFonts w:ascii="Times New Roman" w:eastAsia="Calibri" w:hAnsi="Times New Roman"/>
                <w:b/>
                <w:sz w:val="20"/>
                <w:szCs w:val="20"/>
              </w:rPr>
              <w:t xml:space="preserve">Date of Birth: </w:t>
            </w:r>
            <w:r>
              <w:rPr>
                <w:rFonts w:ascii="Times New Roman" w:eastAsia="Calibri" w:hAnsi="Times New Roman"/>
                <w:sz w:val="20"/>
                <w:szCs w:val="20"/>
              </w:rPr>
              <w:t>September 23, 1993</w:t>
            </w:r>
          </w:p>
          <w:p w14:paraId="5E652205" w14:textId="77777777" w:rsidR="00E35FCB" w:rsidRPr="00712F3C" w:rsidRDefault="00E35FCB" w:rsidP="00250DAC">
            <w:pPr>
              <w:spacing w:after="0" w:line="240" w:lineRule="auto"/>
              <w:jc w:val="both"/>
              <w:rPr>
                <w:rFonts w:ascii="Times New Roman" w:eastAsia="Calibri" w:hAnsi="Times New Roman"/>
                <w:b/>
                <w:sz w:val="20"/>
                <w:szCs w:val="20"/>
              </w:rPr>
            </w:pPr>
          </w:p>
          <w:p w14:paraId="68D70722" w14:textId="77777777" w:rsidR="00E35FCB" w:rsidRPr="0010353B" w:rsidRDefault="00E35FCB" w:rsidP="00250DAC">
            <w:pPr>
              <w:spacing w:after="0" w:line="240" w:lineRule="auto"/>
              <w:jc w:val="both"/>
              <w:rPr>
                <w:rFonts w:ascii="Times New Roman" w:eastAsia="Calibri" w:hAnsi="Times New Roman"/>
                <w:sz w:val="20"/>
                <w:szCs w:val="20"/>
              </w:rPr>
            </w:pPr>
            <w:r w:rsidRPr="00712F3C">
              <w:rPr>
                <w:rFonts w:ascii="Times New Roman" w:eastAsia="Calibri" w:hAnsi="Times New Roman"/>
                <w:b/>
                <w:sz w:val="20"/>
                <w:szCs w:val="20"/>
              </w:rPr>
              <w:t xml:space="preserve">Address: </w:t>
            </w:r>
            <w:r w:rsidRPr="0010353B">
              <w:rPr>
                <w:rFonts w:ascii="Times New Roman" w:eastAsia="Calibri" w:hAnsi="Times New Roman"/>
                <w:sz w:val="20"/>
                <w:szCs w:val="20"/>
              </w:rPr>
              <w:t>Kanchan Palace, 2, Oswal Colony, Jamnagar-361005, Gujarat, India</w:t>
            </w:r>
          </w:p>
          <w:p w14:paraId="1C39A415" w14:textId="77777777" w:rsidR="00E35FCB" w:rsidRPr="00712F3C" w:rsidRDefault="00E35FCB" w:rsidP="00250DAC">
            <w:pPr>
              <w:spacing w:after="0" w:line="240" w:lineRule="auto"/>
              <w:jc w:val="both"/>
              <w:rPr>
                <w:rFonts w:ascii="Times New Roman" w:eastAsia="Calibri" w:hAnsi="Times New Roman"/>
                <w:sz w:val="20"/>
                <w:szCs w:val="20"/>
              </w:rPr>
            </w:pPr>
          </w:p>
          <w:p w14:paraId="6A586F5A" w14:textId="77777777" w:rsidR="00E35FCB" w:rsidRPr="00712F3C" w:rsidRDefault="00E35FCB" w:rsidP="00250DAC">
            <w:pPr>
              <w:spacing w:after="0" w:line="240" w:lineRule="auto"/>
              <w:jc w:val="both"/>
              <w:rPr>
                <w:rFonts w:ascii="Times New Roman" w:eastAsia="Calibri" w:hAnsi="Times New Roman"/>
                <w:sz w:val="20"/>
                <w:szCs w:val="20"/>
              </w:rPr>
            </w:pPr>
            <w:r w:rsidRPr="00712F3C">
              <w:rPr>
                <w:rFonts w:ascii="Times New Roman" w:eastAsia="Calibri" w:hAnsi="Times New Roman"/>
                <w:b/>
                <w:sz w:val="20"/>
                <w:szCs w:val="20"/>
              </w:rPr>
              <w:t xml:space="preserve">Experience: </w:t>
            </w:r>
            <w:r w:rsidRPr="00CE2555">
              <w:rPr>
                <w:rFonts w:ascii="Times New Roman" w:eastAsia="Calibri" w:hAnsi="Times New Roman"/>
                <w:sz w:val="20"/>
                <w:szCs w:val="20"/>
              </w:rPr>
              <w:t>6</w:t>
            </w:r>
            <w:r w:rsidRPr="00712F3C">
              <w:rPr>
                <w:rFonts w:ascii="Times New Roman" w:eastAsia="Calibri" w:hAnsi="Times New Roman"/>
                <w:sz w:val="20"/>
                <w:szCs w:val="20"/>
              </w:rPr>
              <w:t xml:space="preserve"> Years</w:t>
            </w:r>
          </w:p>
          <w:p w14:paraId="5DB4B299" w14:textId="77777777" w:rsidR="00E35FCB" w:rsidRPr="00712F3C" w:rsidRDefault="00E35FCB" w:rsidP="00250DAC">
            <w:pPr>
              <w:spacing w:after="0" w:line="240" w:lineRule="auto"/>
              <w:jc w:val="both"/>
              <w:rPr>
                <w:rFonts w:ascii="Times New Roman" w:eastAsia="Calibri" w:hAnsi="Times New Roman"/>
                <w:sz w:val="20"/>
                <w:szCs w:val="20"/>
              </w:rPr>
            </w:pPr>
          </w:p>
          <w:p w14:paraId="78348ECA" w14:textId="77777777" w:rsidR="00E35FCB" w:rsidRPr="00712F3C" w:rsidRDefault="00E35FCB" w:rsidP="00250DAC">
            <w:pPr>
              <w:spacing w:after="0" w:line="240" w:lineRule="auto"/>
              <w:jc w:val="both"/>
              <w:rPr>
                <w:rFonts w:ascii="Times New Roman" w:eastAsia="SimSun" w:hAnsi="Times New Roman"/>
                <w:sz w:val="20"/>
                <w:szCs w:val="20"/>
              </w:rPr>
            </w:pPr>
            <w:r w:rsidRPr="00712F3C">
              <w:rPr>
                <w:rFonts w:ascii="Times New Roman" w:eastAsia="SimSun" w:hAnsi="Times New Roman"/>
                <w:b/>
                <w:sz w:val="20"/>
                <w:szCs w:val="20"/>
              </w:rPr>
              <w:t>Occupation:</w:t>
            </w:r>
            <w:r w:rsidRPr="00712F3C">
              <w:rPr>
                <w:rFonts w:ascii="Times New Roman" w:eastAsia="SimSun" w:hAnsi="Times New Roman"/>
                <w:sz w:val="20"/>
                <w:szCs w:val="20"/>
              </w:rPr>
              <w:t xml:space="preserve"> Business </w:t>
            </w:r>
          </w:p>
          <w:p w14:paraId="1356DB37" w14:textId="77777777" w:rsidR="00E35FCB" w:rsidRPr="00712F3C" w:rsidRDefault="00E35FCB" w:rsidP="00250DAC">
            <w:pPr>
              <w:spacing w:after="0" w:line="240" w:lineRule="auto"/>
              <w:jc w:val="both"/>
              <w:rPr>
                <w:rFonts w:ascii="Times New Roman" w:eastAsia="SimSun" w:hAnsi="Times New Roman"/>
                <w:sz w:val="20"/>
                <w:szCs w:val="20"/>
              </w:rPr>
            </w:pPr>
          </w:p>
          <w:p w14:paraId="06247BF7" w14:textId="77777777" w:rsidR="00E35FCB" w:rsidRPr="00C5350F" w:rsidRDefault="00E35FCB" w:rsidP="00250DAC">
            <w:pPr>
              <w:spacing w:after="0" w:line="240" w:lineRule="auto"/>
              <w:jc w:val="both"/>
              <w:rPr>
                <w:rFonts w:ascii="Times New Roman" w:eastAsia="Calibri" w:hAnsi="Times New Roman"/>
                <w:sz w:val="20"/>
                <w:szCs w:val="20"/>
              </w:rPr>
            </w:pPr>
            <w:r w:rsidRPr="00C5350F">
              <w:rPr>
                <w:rFonts w:ascii="Times New Roman" w:eastAsia="Calibri" w:hAnsi="Times New Roman"/>
                <w:b/>
                <w:sz w:val="20"/>
                <w:szCs w:val="20"/>
              </w:rPr>
              <w:t xml:space="preserve">Qualification: </w:t>
            </w:r>
            <w:r w:rsidRPr="00C5350F">
              <w:rPr>
                <w:rFonts w:ascii="Times New Roman" w:eastAsia="Calibri" w:hAnsi="Times New Roman"/>
                <w:sz w:val="20"/>
                <w:szCs w:val="20"/>
              </w:rPr>
              <w:t xml:space="preserve">Bachelor of Commerce </w:t>
            </w:r>
          </w:p>
          <w:p w14:paraId="40B461F0" w14:textId="77777777" w:rsidR="00E35FCB" w:rsidRPr="00C5350F" w:rsidRDefault="00E35FCB" w:rsidP="00250DAC">
            <w:pPr>
              <w:spacing w:after="0" w:line="240" w:lineRule="auto"/>
              <w:jc w:val="both"/>
              <w:rPr>
                <w:rFonts w:ascii="Times New Roman" w:eastAsia="Calibri" w:hAnsi="Times New Roman"/>
                <w:sz w:val="20"/>
                <w:szCs w:val="20"/>
              </w:rPr>
            </w:pPr>
          </w:p>
          <w:p w14:paraId="631DF84C" w14:textId="77777777" w:rsidR="00E35FCB" w:rsidRPr="00712F3C" w:rsidRDefault="00E35FCB" w:rsidP="00250DAC">
            <w:pPr>
              <w:spacing w:after="0" w:line="240" w:lineRule="auto"/>
              <w:jc w:val="both"/>
              <w:rPr>
                <w:rFonts w:ascii="Times New Roman" w:eastAsia="Calibri" w:hAnsi="Times New Roman"/>
                <w:b/>
                <w:sz w:val="20"/>
                <w:szCs w:val="20"/>
              </w:rPr>
            </w:pPr>
            <w:r w:rsidRPr="00C5350F">
              <w:rPr>
                <w:rFonts w:ascii="Times New Roman" w:eastAsia="Calibri" w:hAnsi="Times New Roman"/>
                <w:b/>
                <w:sz w:val="20"/>
                <w:szCs w:val="20"/>
              </w:rPr>
              <w:t xml:space="preserve">Current Term: </w:t>
            </w:r>
            <w:r w:rsidRPr="00C5350F">
              <w:rPr>
                <w:rFonts w:ascii="Times New Roman" w:eastAsia="Calibri" w:hAnsi="Times New Roman"/>
                <w:sz w:val="20"/>
                <w:szCs w:val="20"/>
              </w:rPr>
              <w:t>For a period of three years with effect from August 25, 2023; liable</w:t>
            </w:r>
            <w:r w:rsidRPr="00712F3C">
              <w:rPr>
                <w:rFonts w:ascii="Times New Roman" w:eastAsia="Calibri" w:hAnsi="Times New Roman"/>
                <w:sz w:val="20"/>
                <w:szCs w:val="20"/>
              </w:rPr>
              <w:t xml:space="preserve"> to retire by rotation</w:t>
            </w:r>
          </w:p>
          <w:p w14:paraId="0FCB59B9" w14:textId="77777777" w:rsidR="00E35FCB" w:rsidRPr="00712F3C" w:rsidRDefault="00E35FCB" w:rsidP="00250DAC">
            <w:pPr>
              <w:spacing w:after="0" w:line="240" w:lineRule="auto"/>
              <w:jc w:val="both"/>
              <w:rPr>
                <w:rFonts w:ascii="Times New Roman" w:eastAsia="Calibri" w:hAnsi="Times New Roman"/>
                <w:b/>
                <w:sz w:val="20"/>
                <w:szCs w:val="20"/>
              </w:rPr>
            </w:pPr>
          </w:p>
          <w:p w14:paraId="073DC715" w14:textId="77777777" w:rsidR="00E35FCB" w:rsidRPr="00712F3C" w:rsidRDefault="00E35FCB" w:rsidP="00250DAC">
            <w:pPr>
              <w:spacing w:after="0" w:line="240" w:lineRule="auto"/>
              <w:jc w:val="both"/>
              <w:rPr>
                <w:rFonts w:ascii="Times New Roman" w:eastAsia="Calibri" w:hAnsi="Times New Roman"/>
                <w:b/>
                <w:sz w:val="20"/>
                <w:szCs w:val="20"/>
              </w:rPr>
            </w:pPr>
            <w:r w:rsidRPr="00712F3C">
              <w:rPr>
                <w:rFonts w:ascii="Times New Roman" w:eastAsia="Calibri" w:hAnsi="Times New Roman"/>
                <w:b/>
                <w:sz w:val="20"/>
                <w:szCs w:val="20"/>
              </w:rPr>
              <w:t xml:space="preserve">Period of Directorship: </w:t>
            </w:r>
            <w:r>
              <w:rPr>
                <w:rFonts w:ascii="Times New Roman" w:eastAsia="Calibri" w:hAnsi="Times New Roman"/>
                <w:sz w:val="20"/>
                <w:szCs w:val="20"/>
              </w:rPr>
              <w:t>From May 24, 2017</w:t>
            </w:r>
          </w:p>
          <w:p w14:paraId="680B1EEF" w14:textId="77777777" w:rsidR="00E35FCB" w:rsidRPr="00712F3C" w:rsidRDefault="00E35FCB" w:rsidP="00250DAC">
            <w:pPr>
              <w:spacing w:after="0" w:line="240" w:lineRule="auto"/>
              <w:jc w:val="both"/>
              <w:rPr>
                <w:rFonts w:ascii="Times New Roman" w:eastAsia="Calibri" w:hAnsi="Times New Roman"/>
                <w:sz w:val="20"/>
                <w:szCs w:val="20"/>
              </w:rPr>
            </w:pPr>
          </w:p>
          <w:p w14:paraId="0DAE9A68" w14:textId="77777777" w:rsidR="00E35FCB" w:rsidRPr="00712F3C" w:rsidRDefault="00E35FCB" w:rsidP="00250DAC">
            <w:pPr>
              <w:spacing w:after="0" w:line="240" w:lineRule="auto"/>
              <w:jc w:val="both"/>
              <w:rPr>
                <w:rFonts w:ascii="Times New Roman" w:eastAsia="MS Mincho" w:hAnsi="Times New Roman"/>
                <w:bCs/>
                <w:iCs/>
                <w:sz w:val="20"/>
                <w:szCs w:val="20"/>
                <w:lang w:val="pt-BR"/>
              </w:rPr>
            </w:pPr>
            <w:r w:rsidRPr="00712F3C">
              <w:rPr>
                <w:rFonts w:ascii="Times New Roman" w:eastAsia="Calibri" w:hAnsi="Times New Roman"/>
                <w:b/>
                <w:sz w:val="20"/>
                <w:szCs w:val="20"/>
              </w:rPr>
              <w:t xml:space="preserve">DIN: </w:t>
            </w:r>
            <w:r>
              <w:rPr>
                <w:rFonts w:ascii="Times New Roman" w:eastAsia="MS Mincho" w:hAnsi="Times New Roman"/>
                <w:bCs/>
                <w:iCs/>
                <w:sz w:val="20"/>
                <w:szCs w:val="20"/>
                <w:lang w:val="pt-BR"/>
              </w:rPr>
              <w:t>06573087</w:t>
            </w:r>
          </w:p>
          <w:p w14:paraId="7E664A9D" w14:textId="77777777" w:rsidR="00E35FCB" w:rsidRPr="00712F3C" w:rsidRDefault="00E35FCB" w:rsidP="00250DAC">
            <w:pPr>
              <w:spacing w:after="0" w:line="240" w:lineRule="auto"/>
              <w:jc w:val="both"/>
              <w:rPr>
                <w:rFonts w:ascii="Times New Roman" w:eastAsia="MS Mincho" w:hAnsi="Times New Roman"/>
                <w:bCs/>
                <w:iCs/>
                <w:sz w:val="20"/>
                <w:szCs w:val="20"/>
                <w:lang w:val="pt-BR"/>
              </w:rPr>
            </w:pPr>
          </w:p>
        </w:tc>
        <w:tc>
          <w:tcPr>
            <w:tcW w:w="1410" w:type="pct"/>
            <w:shd w:val="clear" w:color="auto" w:fill="auto"/>
            <w:vAlign w:val="center"/>
          </w:tcPr>
          <w:p w14:paraId="35496A23" w14:textId="77777777" w:rsidR="00E35FCB" w:rsidRPr="00712F3C" w:rsidRDefault="00E35FCB" w:rsidP="00250DAC">
            <w:pPr>
              <w:spacing w:after="0" w:line="240" w:lineRule="auto"/>
              <w:rPr>
                <w:rFonts w:ascii="Times New Roman" w:eastAsia="MS Mincho" w:hAnsi="Times New Roman"/>
                <w:b/>
                <w:sz w:val="20"/>
                <w:szCs w:val="20"/>
                <w:lang w:val="en-GB"/>
              </w:rPr>
            </w:pPr>
            <w:r w:rsidRPr="00712F3C">
              <w:rPr>
                <w:rFonts w:ascii="Times New Roman" w:eastAsia="MS Mincho" w:hAnsi="Times New Roman"/>
                <w:b/>
                <w:sz w:val="20"/>
                <w:szCs w:val="20"/>
                <w:lang w:val="en-GB"/>
              </w:rPr>
              <w:t xml:space="preserve">Companies: </w:t>
            </w:r>
          </w:p>
          <w:p w14:paraId="5C79995B" w14:textId="77777777" w:rsidR="00E35FCB" w:rsidRPr="00712F3C" w:rsidRDefault="00E35FCB">
            <w:pPr>
              <w:pStyle w:val="ListParagraph"/>
              <w:numPr>
                <w:ilvl w:val="0"/>
                <w:numId w:val="178"/>
              </w:numPr>
              <w:spacing w:line="240" w:lineRule="auto"/>
              <w:ind w:left="318"/>
              <w:jc w:val="both"/>
              <w:rPr>
                <w:rFonts w:eastAsia="MS Mincho"/>
                <w:sz w:val="20"/>
                <w:szCs w:val="20"/>
                <w:lang w:val="en-GB"/>
              </w:rPr>
            </w:pPr>
            <w:r>
              <w:rPr>
                <w:sz w:val="20"/>
                <w:szCs w:val="20"/>
              </w:rPr>
              <w:t xml:space="preserve">Dwarkadhish Venture Private Limited </w:t>
            </w:r>
            <w:r w:rsidRPr="00792E9D">
              <w:rPr>
                <w:i/>
                <w:iCs/>
                <w:sz w:val="20"/>
                <w:szCs w:val="20"/>
              </w:rPr>
              <w:t>(formerly known as Siyaram Metals Private Limited)</w:t>
            </w:r>
          </w:p>
        </w:tc>
      </w:tr>
      <w:tr w:rsidR="00E35FCB" w:rsidRPr="00712F3C" w14:paraId="7ED85BF3" w14:textId="77777777" w:rsidTr="00250DAC">
        <w:tc>
          <w:tcPr>
            <w:tcW w:w="3590" w:type="pct"/>
            <w:shd w:val="clear" w:color="auto" w:fill="auto"/>
          </w:tcPr>
          <w:p w14:paraId="69F51E1D" w14:textId="77777777" w:rsidR="00E35FCB" w:rsidRDefault="00E35FCB" w:rsidP="00250DAC">
            <w:pPr>
              <w:spacing w:after="0" w:line="240" w:lineRule="auto"/>
              <w:jc w:val="both"/>
              <w:rPr>
                <w:rFonts w:ascii="Times New Roman" w:eastAsia="MS Mincho" w:hAnsi="Times New Roman"/>
                <w:b/>
                <w:sz w:val="20"/>
                <w:szCs w:val="20"/>
                <w:lang w:val="en-GB"/>
              </w:rPr>
            </w:pPr>
            <w:r w:rsidRPr="00CE2555">
              <w:rPr>
                <w:rFonts w:ascii="Times New Roman" w:eastAsia="MS Mincho" w:hAnsi="Times New Roman"/>
                <w:b/>
                <w:sz w:val="20"/>
                <w:szCs w:val="20"/>
                <w:lang w:val="en-GB"/>
              </w:rPr>
              <w:t>Madhu Ramgopal Maheshwari</w:t>
            </w:r>
          </w:p>
          <w:p w14:paraId="7B912D20" w14:textId="77777777" w:rsidR="00E35FCB" w:rsidRPr="00712F3C" w:rsidRDefault="00E35FCB" w:rsidP="00250DAC">
            <w:pPr>
              <w:spacing w:after="0" w:line="240" w:lineRule="auto"/>
              <w:jc w:val="both"/>
              <w:rPr>
                <w:rFonts w:ascii="Times New Roman" w:eastAsia="MS Mincho" w:hAnsi="Times New Roman"/>
                <w:b/>
                <w:sz w:val="20"/>
                <w:szCs w:val="20"/>
                <w:lang w:val="en-GB"/>
              </w:rPr>
            </w:pPr>
          </w:p>
          <w:p w14:paraId="0B7D28BA" w14:textId="77777777" w:rsidR="00E35FCB" w:rsidRPr="00712F3C" w:rsidRDefault="00E35FCB" w:rsidP="00250DAC">
            <w:pPr>
              <w:spacing w:after="0" w:line="240" w:lineRule="auto"/>
              <w:jc w:val="both"/>
              <w:rPr>
                <w:rFonts w:ascii="Times New Roman" w:eastAsia="Calibri" w:hAnsi="Times New Roman"/>
                <w:sz w:val="20"/>
                <w:szCs w:val="20"/>
              </w:rPr>
            </w:pPr>
            <w:r w:rsidRPr="00712F3C">
              <w:rPr>
                <w:rFonts w:ascii="Times New Roman" w:eastAsia="Calibri" w:hAnsi="Times New Roman"/>
                <w:b/>
                <w:sz w:val="20"/>
                <w:szCs w:val="20"/>
              </w:rPr>
              <w:t xml:space="preserve">Designation: </w:t>
            </w:r>
            <w:r>
              <w:rPr>
                <w:rFonts w:ascii="Times New Roman" w:eastAsia="Calibri" w:hAnsi="Times New Roman"/>
                <w:sz w:val="20"/>
                <w:szCs w:val="20"/>
              </w:rPr>
              <w:t>Non-Executive</w:t>
            </w:r>
            <w:r w:rsidRPr="00712F3C">
              <w:rPr>
                <w:rFonts w:ascii="Times New Roman" w:eastAsia="Calibri" w:hAnsi="Times New Roman"/>
                <w:sz w:val="20"/>
                <w:szCs w:val="20"/>
              </w:rPr>
              <w:t xml:space="preserve"> Director</w:t>
            </w:r>
          </w:p>
          <w:p w14:paraId="5B902409" w14:textId="77777777" w:rsidR="00E35FCB" w:rsidRPr="00712F3C" w:rsidRDefault="00E35FCB" w:rsidP="00250DAC">
            <w:pPr>
              <w:spacing w:after="0" w:line="240" w:lineRule="auto"/>
              <w:rPr>
                <w:rFonts w:ascii="Times New Roman" w:eastAsia="Calibri" w:hAnsi="Times New Roman"/>
                <w:sz w:val="20"/>
                <w:szCs w:val="20"/>
              </w:rPr>
            </w:pPr>
          </w:p>
          <w:p w14:paraId="43C35D83" w14:textId="77777777" w:rsidR="00E35FCB" w:rsidRPr="00712F3C" w:rsidRDefault="00E35FCB" w:rsidP="00250DAC">
            <w:pPr>
              <w:spacing w:after="0" w:line="240" w:lineRule="auto"/>
              <w:jc w:val="both"/>
              <w:rPr>
                <w:rFonts w:ascii="Times New Roman" w:eastAsia="Calibri" w:hAnsi="Times New Roman"/>
                <w:sz w:val="20"/>
                <w:szCs w:val="20"/>
              </w:rPr>
            </w:pPr>
            <w:r w:rsidRPr="00712F3C">
              <w:rPr>
                <w:rFonts w:ascii="Times New Roman" w:eastAsia="Calibri" w:hAnsi="Times New Roman"/>
                <w:b/>
                <w:sz w:val="20"/>
                <w:szCs w:val="20"/>
              </w:rPr>
              <w:t xml:space="preserve">Age: </w:t>
            </w:r>
            <w:r>
              <w:rPr>
                <w:rFonts w:ascii="Times New Roman" w:eastAsia="Calibri" w:hAnsi="Times New Roman"/>
                <w:sz w:val="20"/>
                <w:szCs w:val="20"/>
              </w:rPr>
              <w:t>56</w:t>
            </w:r>
            <w:r w:rsidRPr="00712F3C">
              <w:rPr>
                <w:rFonts w:ascii="Times New Roman" w:eastAsia="Calibri" w:hAnsi="Times New Roman"/>
                <w:sz w:val="20"/>
                <w:szCs w:val="20"/>
              </w:rPr>
              <w:t xml:space="preserve"> years</w:t>
            </w:r>
          </w:p>
          <w:p w14:paraId="38E7482D" w14:textId="77777777" w:rsidR="00E35FCB" w:rsidRPr="00712F3C" w:rsidRDefault="00E35FCB" w:rsidP="00250DAC">
            <w:pPr>
              <w:spacing w:after="0" w:line="240" w:lineRule="auto"/>
              <w:ind w:firstLine="720"/>
              <w:jc w:val="both"/>
              <w:rPr>
                <w:rFonts w:ascii="Times New Roman" w:eastAsia="Calibri" w:hAnsi="Times New Roman"/>
                <w:sz w:val="20"/>
                <w:szCs w:val="20"/>
              </w:rPr>
            </w:pPr>
          </w:p>
          <w:p w14:paraId="1BC8BB2B" w14:textId="77777777" w:rsidR="00E35FCB" w:rsidRPr="00712F3C" w:rsidRDefault="00E35FCB" w:rsidP="00250DAC">
            <w:pPr>
              <w:spacing w:after="0" w:line="240" w:lineRule="auto"/>
              <w:jc w:val="both"/>
              <w:rPr>
                <w:rFonts w:ascii="Times New Roman" w:eastAsia="Calibri" w:hAnsi="Times New Roman"/>
                <w:sz w:val="20"/>
                <w:szCs w:val="20"/>
              </w:rPr>
            </w:pPr>
            <w:r w:rsidRPr="00712F3C">
              <w:rPr>
                <w:rFonts w:ascii="Times New Roman" w:eastAsia="Calibri" w:hAnsi="Times New Roman"/>
                <w:b/>
                <w:sz w:val="20"/>
                <w:szCs w:val="20"/>
              </w:rPr>
              <w:lastRenderedPageBreak/>
              <w:t xml:space="preserve">Date of Birth: </w:t>
            </w:r>
            <w:r>
              <w:rPr>
                <w:rFonts w:ascii="Times New Roman" w:eastAsia="Calibri" w:hAnsi="Times New Roman"/>
                <w:sz w:val="20"/>
                <w:szCs w:val="20"/>
              </w:rPr>
              <w:t>April 15, 1967</w:t>
            </w:r>
          </w:p>
          <w:p w14:paraId="7EC12BC5" w14:textId="77777777" w:rsidR="00E35FCB" w:rsidRPr="00712F3C" w:rsidRDefault="00E35FCB" w:rsidP="00250DAC">
            <w:pPr>
              <w:spacing w:after="0" w:line="240" w:lineRule="auto"/>
              <w:jc w:val="both"/>
              <w:rPr>
                <w:rFonts w:ascii="Times New Roman" w:eastAsia="Calibri" w:hAnsi="Times New Roman"/>
                <w:sz w:val="20"/>
                <w:szCs w:val="20"/>
              </w:rPr>
            </w:pPr>
          </w:p>
          <w:p w14:paraId="53B92BE3" w14:textId="77777777" w:rsidR="00E35FCB" w:rsidRPr="00712F3C" w:rsidRDefault="00E35FCB" w:rsidP="00250DAC">
            <w:pPr>
              <w:spacing w:after="0" w:line="240" w:lineRule="auto"/>
              <w:jc w:val="both"/>
              <w:rPr>
                <w:rFonts w:ascii="Times New Roman" w:eastAsia="MS Mincho" w:hAnsi="Times New Roman"/>
                <w:sz w:val="20"/>
                <w:szCs w:val="20"/>
                <w:lang w:val="en-GB"/>
              </w:rPr>
            </w:pPr>
            <w:r w:rsidRPr="00712F3C">
              <w:rPr>
                <w:rFonts w:ascii="Times New Roman" w:eastAsia="Calibri" w:hAnsi="Times New Roman"/>
                <w:b/>
                <w:sz w:val="20"/>
                <w:szCs w:val="20"/>
              </w:rPr>
              <w:t xml:space="preserve">Address: </w:t>
            </w:r>
            <w:r w:rsidRPr="0010353B">
              <w:rPr>
                <w:rFonts w:ascii="Times New Roman" w:eastAsia="Calibri" w:hAnsi="Times New Roman"/>
                <w:sz w:val="20"/>
                <w:szCs w:val="20"/>
              </w:rPr>
              <w:t>Kanchan Palace, 2, Oswal Colony, Jamnagar-361005, Gujarat, India</w:t>
            </w:r>
          </w:p>
          <w:p w14:paraId="01D57F1B" w14:textId="77777777" w:rsidR="00E35FCB" w:rsidRPr="00712F3C" w:rsidRDefault="00E35FCB" w:rsidP="00250DAC">
            <w:pPr>
              <w:spacing w:after="0" w:line="240" w:lineRule="auto"/>
              <w:jc w:val="both"/>
              <w:rPr>
                <w:rFonts w:ascii="Times New Roman" w:eastAsia="Calibri" w:hAnsi="Times New Roman"/>
                <w:b/>
                <w:sz w:val="20"/>
                <w:szCs w:val="20"/>
              </w:rPr>
            </w:pPr>
          </w:p>
          <w:p w14:paraId="7679E7E7" w14:textId="77777777" w:rsidR="00E35FCB" w:rsidRPr="00712F3C" w:rsidRDefault="00E35FCB" w:rsidP="00250DAC">
            <w:pPr>
              <w:spacing w:after="0" w:line="240" w:lineRule="auto"/>
              <w:jc w:val="both"/>
              <w:rPr>
                <w:rFonts w:ascii="Times New Roman" w:eastAsia="Calibri" w:hAnsi="Times New Roman"/>
                <w:sz w:val="20"/>
                <w:szCs w:val="20"/>
              </w:rPr>
            </w:pPr>
            <w:r w:rsidRPr="00712F3C">
              <w:rPr>
                <w:rFonts w:ascii="Times New Roman" w:eastAsia="Calibri" w:hAnsi="Times New Roman"/>
                <w:b/>
                <w:sz w:val="20"/>
                <w:szCs w:val="20"/>
              </w:rPr>
              <w:t xml:space="preserve">Experience: </w:t>
            </w:r>
            <w:r>
              <w:rPr>
                <w:rFonts w:ascii="Times New Roman" w:eastAsia="Calibri" w:hAnsi="Times New Roman"/>
                <w:bCs/>
                <w:sz w:val="20"/>
                <w:szCs w:val="20"/>
              </w:rPr>
              <w:t>22</w:t>
            </w:r>
            <w:r w:rsidRPr="00712F3C">
              <w:rPr>
                <w:rFonts w:ascii="Times New Roman" w:eastAsia="Calibri" w:hAnsi="Times New Roman"/>
                <w:sz w:val="20"/>
                <w:szCs w:val="20"/>
              </w:rPr>
              <w:t xml:space="preserve"> Years</w:t>
            </w:r>
          </w:p>
          <w:p w14:paraId="3DC2727F" w14:textId="77777777" w:rsidR="00E35FCB" w:rsidRPr="00712F3C" w:rsidRDefault="00E35FCB" w:rsidP="00250DAC">
            <w:pPr>
              <w:spacing w:after="0" w:line="240" w:lineRule="auto"/>
              <w:jc w:val="both"/>
              <w:rPr>
                <w:rFonts w:ascii="Times New Roman" w:eastAsia="Calibri" w:hAnsi="Times New Roman"/>
                <w:sz w:val="20"/>
                <w:szCs w:val="20"/>
              </w:rPr>
            </w:pPr>
          </w:p>
          <w:p w14:paraId="67AF39FE" w14:textId="77777777" w:rsidR="00E35FCB" w:rsidRPr="00712F3C" w:rsidRDefault="00E35FCB" w:rsidP="00250DAC">
            <w:pPr>
              <w:spacing w:after="0" w:line="240" w:lineRule="auto"/>
              <w:jc w:val="both"/>
              <w:rPr>
                <w:rFonts w:ascii="Times New Roman" w:eastAsia="SimSun" w:hAnsi="Times New Roman"/>
                <w:sz w:val="20"/>
                <w:szCs w:val="20"/>
              </w:rPr>
            </w:pPr>
            <w:r w:rsidRPr="00712F3C">
              <w:rPr>
                <w:rFonts w:ascii="Times New Roman" w:eastAsia="SimSun" w:hAnsi="Times New Roman"/>
                <w:b/>
                <w:sz w:val="20"/>
                <w:szCs w:val="20"/>
              </w:rPr>
              <w:t>Occupation:</w:t>
            </w:r>
            <w:r w:rsidRPr="00712F3C">
              <w:rPr>
                <w:rFonts w:ascii="Times New Roman" w:eastAsia="SimSun" w:hAnsi="Times New Roman"/>
                <w:sz w:val="20"/>
                <w:szCs w:val="20"/>
              </w:rPr>
              <w:t xml:space="preserve"> Business </w:t>
            </w:r>
          </w:p>
          <w:p w14:paraId="4850A688" w14:textId="77777777" w:rsidR="00E35FCB" w:rsidRPr="00712F3C" w:rsidRDefault="00E35FCB" w:rsidP="00250DAC">
            <w:pPr>
              <w:spacing w:after="0" w:line="240" w:lineRule="auto"/>
              <w:jc w:val="both"/>
              <w:rPr>
                <w:rFonts w:ascii="Times New Roman" w:eastAsia="SimSun" w:hAnsi="Times New Roman"/>
                <w:sz w:val="20"/>
                <w:szCs w:val="20"/>
              </w:rPr>
            </w:pPr>
          </w:p>
          <w:p w14:paraId="59118067" w14:textId="77777777" w:rsidR="00E35FCB" w:rsidRPr="00712F3C" w:rsidRDefault="00E35FCB" w:rsidP="00250DAC">
            <w:pPr>
              <w:spacing w:after="0" w:line="240" w:lineRule="auto"/>
              <w:jc w:val="both"/>
              <w:rPr>
                <w:rFonts w:ascii="Times New Roman" w:eastAsia="Calibri" w:hAnsi="Times New Roman"/>
                <w:sz w:val="20"/>
                <w:szCs w:val="20"/>
              </w:rPr>
            </w:pPr>
            <w:r w:rsidRPr="00712F3C">
              <w:rPr>
                <w:rFonts w:ascii="Times New Roman" w:eastAsia="Calibri" w:hAnsi="Times New Roman"/>
                <w:b/>
                <w:sz w:val="20"/>
                <w:szCs w:val="20"/>
              </w:rPr>
              <w:t xml:space="preserve">Qualifications: </w:t>
            </w:r>
            <w:r>
              <w:rPr>
                <w:rFonts w:ascii="Times New Roman" w:eastAsia="Calibri" w:hAnsi="Times New Roman"/>
                <w:sz w:val="20"/>
                <w:szCs w:val="20"/>
              </w:rPr>
              <w:t>Secondary education</w:t>
            </w:r>
          </w:p>
          <w:p w14:paraId="0F77D6D3" w14:textId="77777777" w:rsidR="00E35FCB" w:rsidRPr="00712F3C" w:rsidRDefault="00E35FCB" w:rsidP="00250DAC">
            <w:pPr>
              <w:spacing w:after="0" w:line="240" w:lineRule="auto"/>
              <w:jc w:val="both"/>
              <w:rPr>
                <w:rFonts w:ascii="Times New Roman" w:eastAsia="SimSun" w:hAnsi="Times New Roman"/>
                <w:sz w:val="20"/>
                <w:szCs w:val="20"/>
              </w:rPr>
            </w:pPr>
          </w:p>
          <w:p w14:paraId="0379033F" w14:textId="77777777" w:rsidR="00E35FCB" w:rsidRPr="00671BE9" w:rsidRDefault="00E35FCB" w:rsidP="00250DAC">
            <w:pPr>
              <w:spacing w:after="0" w:line="240" w:lineRule="auto"/>
              <w:jc w:val="both"/>
              <w:rPr>
                <w:rFonts w:ascii="Times New Roman" w:eastAsia="Calibri" w:hAnsi="Times New Roman"/>
                <w:b/>
                <w:sz w:val="20"/>
                <w:szCs w:val="20"/>
              </w:rPr>
            </w:pPr>
            <w:r w:rsidRPr="00712F3C">
              <w:rPr>
                <w:rFonts w:ascii="Times New Roman" w:eastAsia="Calibri" w:hAnsi="Times New Roman"/>
                <w:b/>
                <w:sz w:val="20"/>
                <w:szCs w:val="20"/>
              </w:rPr>
              <w:t xml:space="preserve">Current Term: </w:t>
            </w:r>
            <w:r>
              <w:rPr>
                <w:rFonts w:ascii="Times New Roman" w:eastAsia="Calibri" w:hAnsi="Times New Roman"/>
                <w:sz w:val="20"/>
                <w:szCs w:val="20"/>
              </w:rPr>
              <w:t>Re-designated</w:t>
            </w:r>
            <w:r w:rsidRPr="000969E9">
              <w:rPr>
                <w:rFonts w:ascii="Times New Roman" w:eastAsia="Calibri" w:hAnsi="Times New Roman"/>
                <w:sz w:val="20"/>
                <w:szCs w:val="20"/>
              </w:rPr>
              <w:t xml:space="preserve"> with effect from </w:t>
            </w:r>
            <w:r>
              <w:rPr>
                <w:rFonts w:ascii="Times New Roman" w:eastAsia="Calibri" w:hAnsi="Times New Roman"/>
                <w:bCs/>
                <w:sz w:val="20"/>
                <w:szCs w:val="20"/>
              </w:rPr>
              <w:t>June 16, 2021</w:t>
            </w:r>
            <w:r w:rsidRPr="000969E9">
              <w:rPr>
                <w:rFonts w:ascii="Times New Roman" w:eastAsia="Calibri" w:hAnsi="Times New Roman"/>
                <w:sz w:val="20"/>
                <w:szCs w:val="20"/>
              </w:rPr>
              <w:t xml:space="preserve">, </w:t>
            </w:r>
            <w:r w:rsidRPr="00712F3C">
              <w:rPr>
                <w:rFonts w:ascii="Times New Roman" w:eastAsia="Calibri" w:hAnsi="Times New Roman"/>
                <w:sz w:val="20"/>
                <w:szCs w:val="20"/>
              </w:rPr>
              <w:t>liable to retire by rotation</w:t>
            </w:r>
          </w:p>
          <w:p w14:paraId="547E29E7" w14:textId="77777777" w:rsidR="00E35FCB" w:rsidRPr="00712F3C" w:rsidRDefault="00E35FCB" w:rsidP="00250DAC">
            <w:pPr>
              <w:spacing w:after="0" w:line="240" w:lineRule="auto"/>
              <w:jc w:val="both"/>
              <w:rPr>
                <w:rFonts w:ascii="Times New Roman" w:eastAsia="Calibri" w:hAnsi="Times New Roman"/>
                <w:sz w:val="20"/>
                <w:szCs w:val="20"/>
              </w:rPr>
            </w:pPr>
          </w:p>
          <w:p w14:paraId="071A6E98" w14:textId="77777777" w:rsidR="00E35FCB" w:rsidRPr="00712F3C" w:rsidRDefault="00E35FCB" w:rsidP="00250DAC">
            <w:pPr>
              <w:spacing w:after="0" w:line="240" w:lineRule="auto"/>
              <w:jc w:val="both"/>
              <w:rPr>
                <w:rFonts w:ascii="Times New Roman" w:eastAsia="Calibri" w:hAnsi="Times New Roman"/>
                <w:bCs/>
                <w:sz w:val="20"/>
                <w:szCs w:val="20"/>
              </w:rPr>
            </w:pPr>
            <w:r w:rsidRPr="00712F3C">
              <w:rPr>
                <w:rFonts w:ascii="Times New Roman" w:eastAsia="Calibri" w:hAnsi="Times New Roman"/>
                <w:b/>
                <w:sz w:val="20"/>
                <w:szCs w:val="20"/>
              </w:rPr>
              <w:t xml:space="preserve">Period of Directorship: </w:t>
            </w:r>
            <w:r w:rsidRPr="00712F3C">
              <w:rPr>
                <w:rFonts w:ascii="Times New Roman" w:eastAsia="Calibri" w:hAnsi="Times New Roman"/>
                <w:bCs/>
                <w:sz w:val="20"/>
                <w:szCs w:val="20"/>
              </w:rPr>
              <w:t xml:space="preserve">Originally appointed on </w:t>
            </w:r>
            <w:r>
              <w:rPr>
                <w:rFonts w:ascii="Times New Roman" w:eastAsia="Calibri" w:hAnsi="Times New Roman"/>
                <w:bCs/>
                <w:sz w:val="20"/>
                <w:szCs w:val="20"/>
              </w:rPr>
              <w:t>August 27, 2011</w:t>
            </w:r>
            <w:r w:rsidRPr="00712F3C">
              <w:rPr>
                <w:rFonts w:ascii="Times New Roman" w:eastAsia="Calibri" w:hAnsi="Times New Roman"/>
                <w:bCs/>
                <w:sz w:val="20"/>
                <w:szCs w:val="20"/>
              </w:rPr>
              <w:t xml:space="preserve"> and later on resigned from the directorship on </w:t>
            </w:r>
            <w:r>
              <w:rPr>
                <w:rFonts w:ascii="Times New Roman" w:eastAsia="Calibri" w:hAnsi="Times New Roman"/>
                <w:bCs/>
                <w:sz w:val="20"/>
                <w:szCs w:val="20"/>
              </w:rPr>
              <w:t>November 25, 2017</w:t>
            </w:r>
            <w:r w:rsidRPr="00712F3C">
              <w:rPr>
                <w:rFonts w:ascii="Times New Roman" w:eastAsia="Calibri" w:hAnsi="Times New Roman"/>
                <w:bCs/>
                <w:sz w:val="20"/>
                <w:szCs w:val="20"/>
              </w:rPr>
              <w:t xml:space="preserve">. Re-appointed </w:t>
            </w:r>
            <w:r>
              <w:rPr>
                <w:rFonts w:ascii="Times New Roman" w:eastAsia="Calibri" w:hAnsi="Times New Roman"/>
                <w:bCs/>
                <w:sz w:val="20"/>
                <w:szCs w:val="20"/>
              </w:rPr>
              <w:t>as Non-E</w:t>
            </w:r>
            <w:r w:rsidRPr="00712F3C">
              <w:rPr>
                <w:rFonts w:ascii="Times New Roman" w:eastAsia="Calibri" w:hAnsi="Times New Roman"/>
                <w:bCs/>
                <w:sz w:val="20"/>
                <w:szCs w:val="20"/>
              </w:rPr>
              <w:t xml:space="preserve">xecutive Director w.e.f. </w:t>
            </w:r>
            <w:r>
              <w:rPr>
                <w:rFonts w:ascii="Times New Roman" w:eastAsia="Calibri" w:hAnsi="Times New Roman"/>
                <w:bCs/>
                <w:sz w:val="20"/>
                <w:szCs w:val="20"/>
              </w:rPr>
              <w:t>June 16, 2021</w:t>
            </w:r>
          </w:p>
          <w:p w14:paraId="1C11715F" w14:textId="77777777" w:rsidR="00E35FCB" w:rsidRPr="00712F3C" w:rsidRDefault="00E35FCB" w:rsidP="00250DAC">
            <w:pPr>
              <w:spacing w:after="0" w:line="240" w:lineRule="auto"/>
              <w:jc w:val="both"/>
              <w:rPr>
                <w:rFonts w:ascii="Times New Roman" w:eastAsia="Calibri" w:hAnsi="Times New Roman"/>
                <w:sz w:val="20"/>
                <w:szCs w:val="20"/>
              </w:rPr>
            </w:pPr>
          </w:p>
          <w:p w14:paraId="64370D2C" w14:textId="77777777" w:rsidR="00E35FCB" w:rsidRPr="00A1034B" w:rsidRDefault="00E35FCB" w:rsidP="00250DAC">
            <w:pPr>
              <w:spacing w:after="0" w:line="240" w:lineRule="auto"/>
              <w:jc w:val="both"/>
              <w:rPr>
                <w:rFonts w:ascii="Times New Roman" w:eastAsia="MS Mincho" w:hAnsi="Times New Roman"/>
                <w:bCs/>
                <w:iCs/>
                <w:sz w:val="20"/>
                <w:szCs w:val="20"/>
              </w:rPr>
            </w:pPr>
            <w:r w:rsidRPr="00712F3C">
              <w:rPr>
                <w:rFonts w:ascii="Times New Roman" w:eastAsia="Calibri" w:hAnsi="Times New Roman"/>
                <w:b/>
                <w:sz w:val="20"/>
                <w:szCs w:val="20"/>
              </w:rPr>
              <w:t xml:space="preserve">DIN: </w:t>
            </w:r>
            <w:r w:rsidRPr="00DC3309">
              <w:rPr>
                <w:rFonts w:ascii="Times New Roman" w:eastAsia="MS Mincho" w:hAnsi="Times New Roman"/>
                <w:bCs/>
                <w:iCs/>
                <w:sz w:val="20"/>
                <w:szCs w:val="20"/>
              </w:rPr>
              <w:t>00486584</w:t>
            </w:r>
          </w:p>
          <w:p w14:paraId="2F012BA6" w14:textId="77777777" w:rsidR="00E35FCB" w:rsidRPr="00712F3C" w:rsidRDefault="00E35FCB" w:rsidP="00250DAC">
            <w:pPr>
              <w:spacing w:after="0" w:line="240" w:lineRule="auto"/>
              <w:jc w:val="both"/>
              <w:rPr>
                <w:rFonts w:ascii="Times New Roman" w:eastAsia="MS Mincho" w:hAnsi="Times New Roman"/>
                <w:b/>
                <w:sz w:val="20"/>
                <w:szCs w:val="20"/>
                <w:lang w:val="en-GB"/>
              </w:rPr>
            </w:pPr>
          </w:p>
        </w:tc>
        <w:tc>
          <w:tcPr>
            <w:tcW w:w="1410" w:type="pct"/>
            <w:shd w:val="clear" w:color="auto" w:fill="auto"/>
            <w:vAlign w:val="center"/>
          </w:tcPr>
          <w:p w14:paraId="5AF450E6" w14:textId="77777777" w:rsidR="00E35FCB" w:rsidRPr="00712F3C" w:rsidRDefault="00E35FCB" w:rsidP="00250DAC">
            <w:pPr>
              <w:spacing w:after="0" w:line="240" w:lineRule="auto"/>
              <w:rPr>
                <w:rFonts w:ascii="Times New Roman" w:eastAsia="MS Mincho" w:hAnsi="Times New Roman"/>
                <w:b/>
                <w:sz w:val="20"/>
                <w:szCs w:val="20"/>
                <w:lang w:val="en-GB"/>
              </w:rPr>
            </w:pPr>
            <w:r w:rsidRPr="00712F3C">
              <w:rPr>
                <w:rFonts w:ascii="Times New Roman" w:eastAsia="MS Mincho" w:hAnsi="Times New Roman"/>
                <w:b/>
                <w:sz w:val="20"/>
                <w:szCs w:val="20"/>
                <w:lang w:val="en-GB"/>
              </w:rPr>
              <w:lastRenderedPageBreak/>
              <w:t>Companies:</w:t>
            </w:r>
          </w:p>
          <w:p w14:paraId="69D08056" w14:textId="77777777" w:rsidR="00E35FCB" w:rsidRPr="00712F3C" w:rsidRDefault="00E35FCB">
            <w:pPr>
              <w:pStyle w:val="ListParagraph"/>
              <w:numPr>
                <w:ilvl w:val="0"/>
                <w:numId w:val="325"/>
              </w:numPr>
              <w:spacing w:line="240" w:lineRule="auto"/>
              <w:ind w:left="296"/>
              <w:jc w:val="both"/>
              <w:rPr>
                <w:rFonts w:eastAsia="MS Mincho"/>
                <w:sz w:val="20"/>
                <w:szCs w:val="20"/>
                <w:lang w:val="en-GB"/>
              </w:rPr>
            </w:pPr>
            <w:r w:rsidRPr="00671BE9">
              <w:rPr>
                <w:rFonts w:eastAsia="MS Mincho"/>
                <w:sz w:val="20"/>
                <w:szCs w:val="20"/>
                <w:lang w:val="en-GB"/>
              </w:rPr>
              <w:t>Prakash Impexp Private Limite</w:t>
            </w:r>
            <w:r>
              <w:rPr>
                <w:rFonts w:eastAsia="MS Mincho"/>
                <w:sz w:val="20"/>
                <w:szCs w:val="20"/>
                <w:lang w:val="en-GB"/>
              </w:rPr>
              <w:t>d</w:t>
            </w:r>
          </w:p>
        </w:tc>
      </w:tr>
      <w:tr w:rsidR="00E35FCB" w:rsidRPr="00712F3C" w14:paraId="282DE22E" w14:textId="77777777" w:rsidTr="00250DAC">
        <w:tc>
          <w:tcPr>
            <w:tcW w:w="3590" w:type="pct"/>
            <w:shd w:val="clear" w:color="auto" w:fill="auto"/>
          </w:tcPr>
          <w:p w14:paraId="4D4C6B05" w14:textId="77777777" w:rsidR="00E35FCB" w:rsidRPr="00A1034B" w:rsidRDefault="00E35FCB" w:rsidP="00250DAC">
            <w:pPr>
              <w:spacing w:after="0" w:line="240" w:lineRule="auto"/>
              <w:jc w:val="both"/>
              <w:rPr>
                <w:rFonts w:ascii="Times New Roman" w:eastAsia="Calibri" w:hAnsi="Times New Roman"/>
                <w:b/>
                <w:iCs/>
                <w:sz w:val="20"/>
                <w:szCs w:val="20"/>
              </w:rPr>
            </w:pPr>
            <w:r w:rsidRPr="00A1034B">
              <w:rPr>
                <w:rFonts w:ascii="Times New Roman" w:eastAsia="Calibri" w:hAnsi="Times New Roman"/>
                <w:b/>
                <w:iCs/>
                <w:sz w:val="20"/>
                <w:szCs w:val="20"/>
              </w:rPr>
              <w:t>Jaimish Govindbhai Patel</w:t>
            </w:r>
          </w:p>
          <w:p w14:paraId="07B26E78" w14:textId="77777777" w:rsidR="00E35FCB" w:rsidRPr="00A1034B" w:rsidRDefault="00E35FCB" w:rsidP="00250DAC">
            <w:pPr>
              <w:spacing w:after="0" w:line="240" w:lineRule="auto"/>
              <w:jc w:val="both"/>
              <w:rPr>
                <w:rFonts w:ascii="Times New Roman" w:eastAsia="Calibri" w:hAnsi="Times New Roman"/>
                <w:b/>
                <w:iCs/>
                <w:sz w:val="20"/>
                <w:szCs w:val="20"/>
              </w:rPr>
            </w:pPr>
          </w:p>
          <w:p w14:paraId="6344A84A" w14:textId="77777777" w:rsidR="00E35FCB" w:rsidRPr="00A1034B" w:rsidRDefault="00E35FCB" w:rsidP="00250DAC">
            <w:pPr>
              <w:spacing w:after="0" w:line="240" w:lineRule="auto"/>
              <w:jc w:val="both"/>
              <w:rPr>
                <w:rFonts w:ascii="Times New Roman" w:eastAsia="Calibri" w:hAnsi="Times New Roman"/>
                <w:sz w:val="20"/>
                <w:szCs w:val="20"/>
              </w:rPr>
            </w:pPr>
            <w:r w:rsidRPr="00A1034B">
              <w:rPr>
                <w:rFonts w:ascii="Times New Roman" w:eastAsia="Calibri" w:hAnsi="Times New Roman"/>
                <w:b/>
                <w:sz w:val="20"/>
                <w:szCs w:val="20"/>
              </w:rPr>
              <w:t xml:space="preserve">Designation: </w:t>
            </w:r>
            <w:r w:rsidRPr="00A1034B">
              <w:rPr>
                <w:rFonts w:ascii="Times New Roman" w:eastAsia="Calibri" w:hAnsi="Times New Roman"/>
                <w:sz w:val="20"/>
                <w:szCs w:val="20"/>
              </w:rPr>
              <w:t>Independent Director</w:t>
            </w:r>
          </w:p>
          <w:p w14:paraId="5BF90FA6" w14:textId="77777777" w:rsidR="00E35FCB" w:rsidRPr="00A1034B" w:rsidRDefault="00E35FCB" w:rsidP="00250DAC">
            <w:pPr>
              <w:spacing w:after="0" w:line="240" w:lineRule="auto"/>
              <w:jc w:val="both"/>
              <w:rPr>
                <w:rFonts w:ascii="Times New Roman" w:eastAsia="Calibri" w:hAnsi="Times New Roman"/>
                <w:sz w:val="20"/>
                <w:szCs w:val="20"/>
              </w:rPr>
            </w:pPr>
          </w:p>
          <w:p w14:paraId="7CDA3B4D" w14:textId="77777777" w:rsidR="00E35FCB" w:rsidRPr="00A1034B" w:rsidRDefault="00E35FCB" w:rsidP="00250DAC">
            <w:pPr>
              <w:spacing w:after="0" w:line="240" w:lineRule="auto"/>
              <w:jc w:val="both"/>
              <w:rPr>
                <w:rFonts w:ascii="Times New Roman" w:eastAsia="Calibri" w:hAnsi="Times New Roman"/>
                <w:sz w:val="20"/>
                <w:szCs w:val="20"/>
              </w:rPr>
            </w:pPr>
            <w:r w:rsidRPr="00A1034B">
              <w:rPr>
                <w:rFonts w:ascii="Times New Roman" w:eastAsia="Calibri" w:hAnsi="Times New Roman"/>
                <w:b/>
                <w:sz w:val="20"/>
                <w:szCs w:val="20"/>
              </w:rPr>
              <w:t xml:space="preserve">Age: </w:t>
            </w:r>
            <w:r w:rsidRPr="00A1034B">
              <w:rPr>
                <w:rFonts w:ascii="Times New Roman" w:eastAsia="Calibri" w:hAnsi="Times New Roman"/>
                <w:sz w:val="20"/>
                <w:szCs w:val="20"/>
              </w:rPr>
              <w:t>34 years</w:t>
            </w:r>
          </w:p>
          <w:p w14:paraId="5B21FDAB" w14:textId="77777777" w:rsidR="00E35FCB" w:rsidRPr="00A1034B" w:rsidRDefault="00E35FCB" w:rsidP="00250DAC">
            <w:pPr>
              <w:spacing w:after="0" w:line="240" w:lineRule="auto"/>
              <w:jc w:val="both"/>
              <w:rPr>
                <w:rFonts w:ascii="Times New Roman" w:eastAsia="Calibri" w:hAnsi="Times New Roman"/>
                <w:sz w:val="20"/>
                <w:szCs w:val="20"/>
              </w:rPr>
            </w:pPr>
          </w:p>
          <w:p w14:paraId="420D7D56" w14:textId="77777777" w:rsidR="00E35FCB" w:rsidRPr="00A1034B" w:rsidRDefault="00E35FCB" w:rsidP="00250DAC">
            <w:pPr>
              <w:spacing w:after="0" w:line="240" w:lineRule="auto"/>
              <w:jc w:val="both"/>
              <w:rPr>
                <w:rFonts w:ascii="Times New Roman" w:eastAsia="Calibri" w:hAnsi="Times New Roman"/>
                <w:sz w:val="20"/>
                <w:szCs w:val="20"/>
              </w:rPr>
            </w:pPr>
            <w:r w:rsidRPr="00A1034B">
              <w:rPr>
                <w:rFonts w:ascii="Times New Roman" w:eastAsia="Calibri" w:hAnsi="Times New Roman"/>
                <w:b/>
                <w:sz w:val="20"/>
                <w:szCs w:val="20"/>
              </w:rPr>
              <w:t xml:space="preserve">Date of Birth: </w:t>
            </w:r>
            <w:r w:rsidRPr="00A1034B">
              <w:rPr>
                <w:rFonts w:ascii="Times New Roman" w:eastAsia="Calibri" w:hAnsi="Times New Roman"/>
                <w:sz w:val="20"/>
                <w:szCs w:val="20"/>
              </w:rPr>
              <w:t>February 05, 1989</w:t>
            </w:r>
          </w:p>
          <w:p w14:paraId="1A8E1B85" w14:textId="77777777" w:rsidR="00E35FCB" w:rsidRPr="00A1034B" w:rsidRDefault="00E35FCB" w:rsidP="00250DAC">
            <w:pPr>
              <w:spacing w:after="0" w:line="240" w:lineRule="auto"/>
              <w:jc w:val="both"/>
              <w:rPr>
                <w:rFonts w:ascii="Times New Roman" w:eastAsia="Calibri" w:hAnsi="Times New Roman"/>
                <w:sz w:val="20"/>
                <w:szCs w:val="20"/>
              </w:rPr>
            </w:pPr>
          </w:p>
          <w:p w14:paraId="58C27789" w14:textId="77777777" w:rsidR="00E35FCB" w:rsidRPr="00A1034B" w:rsidRDefault="00E35FCB" w:rsidP="00250DAC">
            <w:pPr>
              <w:spacing w:after="0" w:line="240" w:lineRule="auto"/>
              <w:jc w:val="both"/>
              <w:rPr>
                <w:rFonts w:ascii="Times New Roman" w:eastAsia="Calibri" w:hAnsi="Times New Roman"/>
                <w:sz w:val="20"/>
                <w:szCs w:val="20"/>
              </w:rPr>
            </w:pPr>
            <w:r w:rsidRPr="00A1034B">
              <w:rPr>
                <w:rFonts w:ascii="Times New Roman" w:eastAsia="Calibri" w:hAnsi="Times New Roman"/>
                <w:b/>
                <w:sz w:val="20"/>
                <w:szCs w:val="20"/>
              </w:rPr>
              <w:t xml:space="preserve">Address: </w:t>
            </w:r>
            <w:r w:rsidRPr="00A1034B">
              <w:rPr>
                <w:rFonts w:ascii="Times New Roman" w:eastAsia="Calibri" w:hAnsi="Times New Roman"/>
                <w:sz w:val="20"/>
                <w:szCs w:val="20"/>
              </w:rPr>
              <w:t>412-2306, Gujrat Housing Board Nr, Navarang Flat, Bapunagar, Ahmedabad, Gujarat – 380 024, India.</w:t>
            </w:r>
          </w:p>
          <w:p w14:paraId="3770A1C8" w14:textId="77777777" w:rsidR="00E35FCB" w:rsidRPr="00A1034B" w:rsidRDefault="00E35FCB" w:rsidP="00250DAC">
            <w:pPr>
              <w:spacing w:after="0" w:line="240" w:lineRule="auto"/>
              <w:jc w:val="both"/>
              <w:rPr>
                <w:rFonts w:ascii="Times New Roman" w:eastAsia="Calibri" w:hAnsi="Times New Roman"/>
                <w:sz w:val="20"/>
                <w:szCs w:val="20"/>
              </w:rPr>
            </w:pPr>
          </w:p>
          <w:p w14:paraId="76FB356B" w14:textId="77777777" w:rsidR="00E35FCB" w:rsidRPr="00A1034B" w:rsidRDefault="00E35FCB" w:rsidP="00250DAC">
            <w:pPr>
              <w:spacing w:after="0" w:line="240" w:lineRule="auto"/>
              <w:jc w:val="both"/>
              <w:rPr>
                <w:rFonts w:ascii="Times New Roman" w:eastAsia="Calibri" w:hAnsi="Times New Roman"/>
                <w:sz w:val="20"/>
                <w:szCs w:val="20"/>
              </w:rPr>
            </w:pPr>
            <w:r w:rsidRPr="00A1034B">
              <w:rPr>
                <w:rFonts w:ascii="Times New Roman" w:eastAsia="Calibri" w:hAnsi="Times New Roman"/>
                <w:b/>
                <w:sz w:val="20"/>
                <w:szCs w:val="20"/>
              </w:rPr>
              <w:t xml:space="preserve">Experience: </w:t>
            </w:r>
            <w:r w:rsidRPr="00A1034B">
              <w:rPr>
                <w:rFonts w:ascii="Times New Roman" w:eastAsia="Calibri" w:hAnsi="Times New Roman"/>
                <w:sz w:val="20"/>
                <w:szCs w:val="20"/>
              </w:rPr>
              <w:t>9 Years</w:t>
            </w:r>
          </w:p>
          <w:p w14:paraId="1E3D39D1" w14:textId="77777777" w:rsidR="00E35FCB" w:rsidRPr="00A1034B" w:rsidRDefault="00E35FCB" w:rsidP="00250DAC">
            <w:pPr>
              <w:spacing w:after="0" w:line="240" w:lineRule="auto"/>
              <w:jc w:val="both"/>
              <w:rPr>
                <w:rFonts w:ascii="Times New Roman" w:eastAsia="Calibri" w:hAnsi="Times New Roman"/>
                <w:sz w:val="20"/>
                <w:szCs w:val="20"/>
              </w:rPr>
            </w:pPr>
          </w:p>
          <w:p w14:paraId="2DDFC8CA" w14:textId="77777777" w:rsidR="00E35FCB" w:rsidRPr="00A1034B" w:rsidRDefault="00E35FCB" w:rsidP="00250DAC">
            <w:pPr>
              <w:spacing w:after="0" w:line="240" w:lineRule="auto"/>
              <w:jc w:val="both"/>
              <w:rPr>
                <w:rFonts w:ascii="Times New Roman" w:eastAsia="SimSun" w:hAnsi="Times New Roman"/>
                <w:sz w:val="20"/>
                <w:szCs w:val="20"/>
              </w:rPr>
            </w:pPr>
            <w:r w:rsidRPr="00A1034B">
              <w:rPr>
                <w:rFonts w:ascii="Times New Roman" w:eastAsia="SimSun" w:hAnsi="Times New Roman"/>
                <w:b/>
                <w:sz w:val="20"/>
                <w:szCs w:val="20"/>
              </w:rPr>
              <w:t>Occupation:</w:t>
            </w:r>
            <w:r w:rsidRPr="00A1034B">
              <w:rPr>
                <w:rFonts w:ascii="Times New Roman" w:eastAsia="SimSun" w:hAnsi="Times New Roman"/>
                <w:sz w:val="20"/>
                <w:szCs w:val="20"/>
              </w:rPr>
              <w:t xml:space="preserve"> Employment</w:t>
            </w:r>
          </w:p>
          <w:p w14:paraId="7D26BA41" w14:textId="77777777" w:rsidR="00E35FCB" w:rsidRPr="00A1034B" w:rsidRDefault="00E35FCB" w:rsidP="00250DAC">
            <w:pPr>
              <w:spacing w:after="0" w:line="240" w:lineRule="auto"/>
              <w:jc w:val="both"/>
              <w:rPr>
                <w:rFonts w:ascii="Times New Roman" w:eastAsia="SimSun" w:hAnsi="Times New Roman"/>
                <w:sz w:val="20"/>
                <w:szCs w:val="20"/>
              </w:rPr>
            </w:pPr>
          </w:p>
          <w:p w14:paraId="51C45DC0" w14:textId="77777777" w:rsidR="00E35FCB" w:rsidRPr="00A1034B" w:rsidRDefault="00E35FCB" w:rsidP="00250DAC">
            <w:pPr>
              <w:autoSpaceDE w:val="0"/>
              <w:autoSpaceDN w:val="0"/>
              <w:adjustRightInd w:val="0"/>
              <w:spacing w:after="0" w:line="240" w:lineRule="auto"/>
              <w:rPr>
                <w:rFonts w:ascii="Times New Roman" w:hAnsi="Times New Roman"/>
                <w:color w:val="000000"/>
                <w:sz w:val="20"/>
                <w:szCs w:val="20"/>
                <w:lang w:val="en-IN" w:eastAsia="en-IN"/>
              </w:rPr>
            </w:pPr>
            <w:r w:rsidRPr="00A1034B">
              <w:rPr>
                <w:rFonts w:ascii="Times New Roman" w:hAnsi="Times New Roman"/>
                <w:b/>
                <w:color w:val="000000"/>
                <w:sz w:val="20"/>
                <w:szCs w:val="20"/>
                <w:lang w:val="en-IN" w:eastAsia="en-IN"/>
              </w:rPr>
              <w:t xml:space="preserve">Qualification: </w:t>
            </w:r>
            <w:r w:rsidRPr="00A1034B">
              <w:rPr>
                <w:rFonts w:ascii="Times New Roman" w:hAnsi="Times New Roman"/>
                <w:color w:val="000000"/>
                <w:sz w:val="20"/>
                <w:szCs w:val="20"/>
                <w:lang w:val="en-IN" w:eastAsia="en-IN"/>
              </w:rPr>
              <w:t>Company Secretary</w:t>
            </w:r>
          </w:p>
          <w:p w14:paraId="754D7E9D" w14:textId="77777777" w:rsidR="00E35FCB" w:rsidRPr="00A1034B" w:rsidRDefault="00E35FCB" w:rsidP="00250DAC">
            <w:pPr>
              <w:autoSpaceDE w:val="0"/>
              <w:autoSpaceDN w:val="0"/>
              <w:adjustRightInd w:val="0"/>
              <w:spacing w:after="0" w:line="240" w:lineRule="auto"/>
              <w:rPr>
                <w:rFonts w:ascii="Times New Roman" w:hAnsi="Times New Roman"/>
                <w:color w:val="000000"/>
                <w:sz w:val="20"/>
                <w:szCs w:val="20"/>
                <w:lang w:val="en-IN" w:eastAsia="en-IN"/>
              </w:rPr>
            </w:pPr>
          </w:p>
          <w:p w14:paraId="38FF5482" w14:textId="77777777" w:rsidR="00E35FCB" w:rsidRPr="00DC3309" w:rsidRDefault="00E35FCB" w:rsidP="00250DAC">
            <w:pPr>
              <w:spacing w:after="0" w:line="240" w:lineRule="auto"/>
              <w:jc w:val="both"/>
              <w:rPr>
                <w:rFonts w:ascii="Times New Roman" w:eastAsia="Calibri" w:hAnsi="Times New Roman"/>
                <w:sz w:val="20"/>
                <w:szCs w:val="20"/>
              </w:rPr>
            </w:pPr>
            <w:r w:rsidRPr="00A1034B">
              <w:rPr>
                <w:rFonts w:ascii="Times New Roman" w:eastAsia="Calibri" w:hAnsi="Times New Roman"/>
                <w:b/>
                <w:sz w:val="20"/>
                <w:szCs w:val="20"/>
              </w:rPr>
              <w:t xml:space="preserve">Current </w:t>
            </w:r>
            <w:r w:rsidRPr="00DC3309">
              <w:rPr>
                <w:rFonts w:ascii="Times New Roman" w:eastAsia="Calibri" w:hAnsi="Times New Roman"/>
                <w:b/>
                <w:sz w:val="20"/>
                <w:szCs w:val="20"/>
              </w:rPr>
              <w:t xml:space="preserve">Term: </w:t>
            </w:r>
            <w:r w:rsidRPr="00DC3309">
              <w:rPr>
                <w:rFonts w:ascii="Times New Roman" w:eastAsia="Calibri" w:hAnsi="Times New Roman"/>
                <w:sz w:val="20"/>
                <w:szCs w:val="20"/>
              </w:rPr>
              <w:t xml:space="preserve">Appointed for a term </w:t>
            </w:r>
            <w:r>
              <w:rPr>
                <w:rFonts w:ascii="Times New Roman" w:eastAsia="Calibri" w:hAnsi="Times New Roman"/>
                <w:sz w:val="20"/>
                <w:szCs w:val="20"/>
              </w:rPr>
              <w:t>of</w:t>
            </w:r>
            <w:r w:rsidRPr="00DC3309">
              <w:rPr>
                <w:rFonts w:ascii="Times New Roman" w:eastAsia="Calibri" w:hAnsi="Times New Roman"/>
                <w:sz w:val="20"/>
                <w:szCs w:val="20"/>
              </w:rPr>
              <w:t xml:space="preserve"> 5 years commencing from August 05, 2023</w:t>
            </w:r>
          </w:p>
          <w:p w14:paraId="3659C24A" w14:textId="77777777" w:rsidR="00E35FCB" w:rsidRPr="00DC3309" w:rsidRDefault="00E35FCB" w:rsidP="00250DAC">
            <w:pPr>
              <w:spacing w:after="0" w:line="240" w:lineRule="auto"/>
              <w:jc w:val="both"/>
              <w:rPr>
                <w:rFonts w:ascii="Times New Roman" w:eastAsia="Calibri" w:hAnsi="Times New Roman"/>
                <w:sz w:val="20"/>
                <w:szCs w:val="20"/>
              </w:rPr>
            </w:pPr>
          </w:p>
          <w:p w14:paraId="2C7F5A2A" w14:textId="77777777" w:rsidR="00E35FCB" w:rsidRPr="00A1034B" w:rsidRDefault="00E35FCB" w:rsidP="00250DAC">
            <w:pPr>
              <w:spacing w:after="0" w:line="240" w:lineRule="auto"/>
              <w:jc w:val="both"/>
              <w:rPr>
                <w:rFonts w:ascii="Times New Roman" w:eastAsia="Calibri" w:hAnsi="Times New Roman"/>
                <w:b/>
                <w:sz w:val="20"/>
                <w:szCs w:val="20"/>
              </w:rPr>
            </w:pPr>
            <w:r w:rsidRPr="00DC3309">
              <w:rPr>
                <w:rFonts w:ascii="Times New Roman" w:eastAsia="Calibri" w:hAnsi="Times New Roman"/>
                <w:b/>
                <w:sz w:val="20"/>
                <w:szCs w:val="20"/>
              </w:rPr>
              <w:t xml:space="preserve">Period of Directorship: </w:t>
            </w:r>
            <w:r w:rsidRPr="00DC3309">
              <w:rPr>
                <w:rFonts w:ascii="Times New Roman" w:eastAsia="Calibri" w:hAnsi="Times New Roman"/>
                <w:sz w:val="20"/>
                <w:szCs w:val="20"/>
              </w:rPr>
              <w:t>From August 05, 2023</w:t>
            </w:r>
          </w:p>
          <w:p w14:paraId="2CB2C976" w14:textId="77777777" w:rsidR="00E35FCB" w:rsidRPr="00A1034B" w:rsidRDefault="00E35FCB" w:rsidP="00250DAC">
            <w:pPr>
              <w:spacing w:after="0" w:line="240" w:lineRule="auto"/>
              <w:jc w:val="both"/>
              <w:rPr>
                <w:rFonts w:ascii="Times New Roman" w:eastAsia="Calibri" w:hAnsi="Times New Roman"/>
                <w:sz w:val="20"/>
                <w:szCs w:val="20"/>
              </w:rPr>
            </w:pPr>
          </w:p>
          <w:p w14:paraId="61E7834A" w14:textId="77777777" w:rsidR="00E35FCB" w:rsidRPr="00A1034B" w:rsidRDefault="00E35FCB" w:rsidP="00250DAC">
            <w:pPr>
              <w:spacing w:after="0" w:line="240" w:lineRule="auto"/>
              <w:jc w:val="both"/>
              <w:rPr>
                <w:rFonts w:ascii="Times New Roman" w:eastAsia="Calibri" w:hAnsi="Times New Roman"/>
                <w:sz w:val="20"/>
                <w:szCs w:val="20"/>
              </w:rPr>
            </w:pPr>
            <w:r w:rsidRPr="00A1034B">
              <w:rPr>
                <w:rFonts w:ascii="Times New Roman" w:eastAsia="Calibri" w:hAnsi="Times New Roman"/>
                <w:b/>
                <w:sz w:val="20"/>
                <w:szCs w:val="20"/>
              </w:rPr>
              <w:t xml:space="preserve">DIN: </w:t>
            </w:r>
            <w:r w:rsidRPr="00A1034B">
              <w:rPr>
                <w:rFonts w:ascii="Times New Roman" w:eastAsia="Calibri" w:hAnsi="Times New Roman"/>
                <w:sz w:val="20"/>
                <w:szCs w:val="20"/>
              </w:rPr>
              <w:t>09647742</w:t>
            </w:r>
          </w:p>
        </w:tc>
        <w:tc>
          <w:tcPr>
            <w:tcW w:w="1410" w:type="pct"/>
            <w:shd w:val="clear" w:color="auto" w:fill="auto"/>
            <w:vAlign w:val="center"/>
          </w:tcPr>
          <w:p w14:paraId="09A49C68" w14:textId="77777777" w:rsidR="00E35FCB" w:rsidRPr="002F215B" w:rsidRDefault="00E35FCB" w:rsidP="00250DAC">
            <w:pPr>
              <w:spacing w:after="0" w:line="240" w:lineRule="auto"/>
              <w:jc w:val="both"/>
              <w:rPr>
                <w:rFonts w:ascii="Times New Roman" w:eastAsia="MS Mincho" w:hAnsi="Times New Roman"/>
                <w:b/>
                <w:bCs/>
                <w:sz w:val="20"/>
                <w:szCs w:val="20"/>
                <w:lang w:val="en-GB"/>
              </w:rPr>
            </w:pPr>
            <w:r w:rsidRPr="002F215B">
              <w:rPr>
                <w:rFonts w:ascii="Times New Roman" w:eastAsia="MS Mincho" w:hAnsi="Times New Roman"/>
                <w:b/>
                <w:bCs/>
                <w:sz w:val="20"/>
                <w:szCs w:val="20"/>
                <w:lang w:val="en-GB"/>
              </w:rPr>
              <w:t>Companies:</w:t>
            </w:r>
          </w:p>
          <w:p w14:paraId="0B10F230" w14:textId="77777777" w:rsidR="00E35FCB" w:rsidRDefault="00E35FCB">
            <w:pPr>
              <w:pStyle w:val="ListParagraph"/>
              <w:numPr>
                <w:ilvl w:val="0"/>
                <w:numId w:val="324"/>
              </w:numPr>
              <w:spacing w:line="240" w:lineRule="auto"/>
              <w:ind w:left="300"/>
              <w:rPr>
                <w:rFonts w:eastAsia="MS Mincho"/>
                <w:sz w:val="20"/>
                <w:szCs w:val="20"/>
                <w:lang w:val="en-GB"/>
              </w:rPr>
            </w:pPr>
            <w:r>
              <w:rPr>
                <w:rFonts w:eastAsia="MS Mincho"/>
                <w:sz w:val="20"/>
                <w:szCs w:val="20"/>
                <w:lang w:val="en-GB"/>
              </w:rPr>
              <w:t>Kaka Industries Limited</w:t>
            </w:r>
          </w:p>
          <w:p w14:paraId="2427DBF4" w14:textId="77777777" w:rsidR="00E35FCB" w:rsidRPr="002F215B" w:rsidRDefault="00E35FCB">
            <w:pPr>
              <w:pStyle w:val="ListParagraph"/>
              <w:numPr>
                <w:ilvl w:val="0"/>
                <w:numId w:val="324"/>
              </w:numPr>
              <w:spacing w:line="240" w:lineRule="auto"/>
              <w:ind w:left="300"/>
              <w:rPr>
                <w:rFonts w:eastAsia="MS Mincho"/>
                <w:sz w:val="20"/>
                <w:szCs w:val="20"/>
                <w:lang w:val="en-GB"/>
              </w:rPr>
            </w:pPr>
            <w:r w:rsidRPr="002F215B">
              <w:rPr>
                <w:rFonts w:eastAsia="MS Mincho"/>
                <w:sz w:val="20"/>
                <w:szCs w:val="20"/>
                <w:lang w:val="en-GB"/>
              </w:rPr>
              <w:t>Baheti Recycling Industries Limited</w:t>
            </w:r>
          </w:p>
        </w:tc>
      </w:tr>
      <w:tr w:rsidR="00E35FCB" w:rsidRPr="00712F3C" w14:paraId="2CEBE8A6" w14:textId="77777777" w:rsidTr="00250DAC">
        <w:tc>
          <w:tcPr>
            <w:tcW w:w="3590" w:type="pct"/>
            <w:shd w:val="clear" w:color="auto" w:fill="auto"/>
          </w:tcPr>
          <w:p w14:paraId="034ABD94" w14:textId="77777777" w:rsidR="00E35FCB" w:rsidRPr="00377478" w:rsidRDefault="00E35FCB" w:rsidP="00250DAC">
            <w:pPr>
              <w:spacing w:after="0" w:line="240" w:lineRule="auto"/>
              <w:jc w:val="both"/>
              <w:rPr>
                <w:rFonts w:ascii="Times New Roman" w:eastAsia="Calibri" w:hAnsi="Times New Roman"/>
                <w:b/>
                <w:iCs/>
                <w:sz w:val="20"/>
                <w:szCs w:val="20"/>
              </w:rPr>
            </w:pPr>
            <w:r w:rsidRPr="00377478">
              <w:rPr>
                <w:rFonts w:ascii="Times New Roman" w:eastAsia="Calibri" w:hAnsi="Times New Roman"/>
                <w:b/>
                <w:iCs/>
                <w:sz w:val="20"/>
                <w:szCs w:val="20"/>
              </w:rPr>
              <w:t xml:space="preserve">Raimeen Bhanubhai Maradiya </w:t>
            </w:r>
          </w:p>
          <w:p w14:paraId="65579973" w14:textId="77777777" w:rsidR="00E35FCB" w:rsidRPr="00377478" w:rsidRDefault="00E35FCB" w:rsidP="00250DAC">
            <w:pPr>
              <w:spacing w:after="0" w:line="240" w:lineRule="auto"/>
              <w:jc w:val="both"/>
              <w:rPr>
                <w:rFonts w:ascii="Times New Roman" w:eastAsia="Calibri" w:hAnsi="Times New Roman"/>
                <w:b/>
                <w:iCs/>
                <w:sz w:val="20"/>
                <w:szCs w:val="20"/>
              </w:rPr>
            </w:pPr>
          </w:p>
          <w:p w14:paraId="6CA6C3F1" w14:textId="77777777" w:rsidR="00E35FCB" w:rsidRPr="00377478" w:rsidRDefault="00E35FCB" w:rsidP="00250DAC">
            <w:pPr>
              <w:spacing w:after="0" w:line="240" w:lineRule="auto"/>
              <w:jc w:val="both"/>
              <w:rPr>
                <w:rFonts w:ascii="Times New Roman" w:eastAsia="Calibri" w:hAnsi="Times New Roman"/>
                <w:sz w:val="20"/>
                <w:szCs w:val="20"/>
              </w:rPr>
            </w:pPr>
            <w:r w:rsidRPr="00377478">
              <w:rPr>
                <w:rFonts w:ascii="Times New Roman" w:eastAsia="Calibri" w:hAnsi="Times New Roman"/>
                <w:b/>
                <w:sz w:val="20"/>
                <w:szCs w:val="20"/>
              </w:rPr>
              <w:t xml:space="preserve">Designation: </w:t>
            </w:r>
            <w:r w:rsidRPr="00377478">
              <w:rPr>
                <w:rFonts w:ascii="Times New Roman" w:eastAsia="Calibri" w:hAnsi="Times New Roman"/>
                <w:sz w:val="20"/>
                <w:szCs w:val="20"/>
              </w:rPr>
              <w:t>Independent Director</w:t>
            </w:r>
          </w:p>
          <w:p w14:paraId="54B7EC5C" w14:textId="77777777" w:rsidR="00E35FCB" w:rsidRPr="00377478" w:rsidRDefault="00E35FCB" w:rsidP="00250DAC">
            <w:pPr>
              <w:spacing w:after="0" w:line="240" w:lineRule="auto"/>
              <w:jc w:val="both"/>
              <w:rPr>
                <w:rFonts w:ascii="Times New Roman" w:eastAsia="Calibri" w:hAnsi="Times New Roman"/>
                <w:sz w:val="20"/>
                <w:szCs w:val="20"/>
              </w:rPr>
            </w:pPr>
          </w:p>
          <w:p w14:paraId="2EF37059" w14:textId="77777777" w:rsidR="00E35FCB" w:rsidRPr="00377478" w:rsidRDefault="00E35FCB" w:rsidP="00250DAC">
            <w:pPr>
              <w:spacing w:after="0" w:line="240" w:lineRule="auto"/>
              <w:jc w:val="both"/>
              <w:rPr>
                <w:rFonts w:ascii="Times New Roman" w:eastAsia="Calibri" w:hAnsi="Times New Roman"/>
                <w:sz w:val="20"/>
                <w:szCs w:val="20"/>
              </w:rPr>
            </w:pPr>
            <w:r w:rsidRPr="00377478">
              <w:rPr>
                <w:rFonts w:ascii="Times New Roman" w:eastAsia="Calibri" w:hAnsi="Times New Roman"/>
                <w:b/>
                <w:sz w:val="20"/>
                <w:szCs w:val="20"/>
              </w:rPr>
              <w:t>Age:</w:t>
            </w:r>
            <w:r w:rsidRPr="00377478">
              <w:rPr>
                <w:rFonts w:ascii="Times New Roman" w:eastAsia="Calibri" w:hAnsi="Times New Roman"/>
                <w:bCs/>
                <w:sz w:val="20"/>
                <w:szCs w:val="20"/>
              </w:rPr>
              <w:t xml:space="preserve"> 30</w:t>
            </w:r>
            <w:r w:rsidRPr="00377478">
              <w:rPr>
                <w:rFonts w:ascii="Times New Roman" w:eastAsia="Calibri" w:hAnsi="Times New Roman"/>
                <w:sz w:val="20"/>
                <w:szCs w:val="20"/>
              </w:rPr>
              <w:t xml:space="preserve"> years</w:t>
            </w:r>
          </w:p>
          <w:p w14:paraId="4C29C186" w14:textId="77777777" w:rsidR="00E35FCB" w:rsidRPr="00377478" w:rsidRDefault="00E35FCB" w:rsidP="00250DAC">
            <w:pPr>
              <w:spacing w:after="0" w:line="240" w:lineRule="auto"/>
              <w:jc w:val="both"/>
              <w:rPr>
                <w:rFonts w:ascii="Times New Roman" w:eastAsia="Calibri" w:hAnsi="Times New Roman"/>
                <w:sz w:val="20"/>
                <w:szCs w:val="20"/>
              </w:rPr>
            </w:pPr>
          </w:p>
          <w:p w14:paraId="78F21E8C" w14:textId="77777777" w:rsidR="00E35FCB" w:rsidRPr="00377478" w:rsidRDefault="00E35FCB" w:rsidP="00250DAC">
            <w:pPr>
              <w:spacing w:after="0" w:line="240" w:lineRule="auto"/>
              <w:jc w:val="both"/>
              <w:rPr>
                <w:rFonts w:ascii="Times New Roman" w:eastAsia="Calibri" w:hAnsi="Times New Roman"/>
                <w:sz w:val="20"/>
                <w:szCs w:val="20"/>
              </w:rPr>
            </w:pPr>
            <w:r w:rsidRPr="00377478">
              <w:rPr>
                <w:rFonts w:ascii="Times New Roman" w:eastAsia="Calibri" w:hAnsi="Times New Roman"/>
                <w:b/>
                <w:sz w:val="20"/>
                <w:szCs w:val="20"/>
              </w:rPr>
              <w:t xml:space="preserve">Date of Birth: </w:t>
            </w:r>
            <w:r w:rsidRPr="00377478">
              <w:rPr>
                <w:rFonts w:ascii="Times New Roman" w:eastAsia="Calibri" w:hAnsi="Times New Roman"/>
                <w:sz w:val="20"/>
                <w:szCs w:val="20"/>
              </w:rPr>
              <w:t>September 02, 1992</w:t>
            </w:r>
          </w:p>
          <w:p w14:paraId="7B8ADE23" w14:textId="77777777" w:rsidR="00E35FCB" w:rsidRPr="00377478" w:rsidRDefault="00E35FCB" w:rsidP="00250DAC">
            <w:pPr>
              <w:spacing w:after="0" w:line="240" w:lineRule="auto"/>
              <w:jc w:val="both"/>
              <w:rPr>
                <w:rFonts w:ascii="Times New Roman" w:eastAsia="Calibri" w:hAnsi="Times New Roman"/>
                <w:sz w:val="20"/>
                <w:szCs w:val="20"/>
              </w:rPr>
            </w:pPr>
          </w:p>
          <w:p w14:paraId="1978D988" w14:textId="77777777" w:rsidR="00E35FCB" w:rsidRPr="00377478" w:rsidRDefault="00E35FCB" w:rsidP="00250DAC">
            <w:pPr>
              <w:spacing w:after="0" w:line="240" w:lineRule="auto"/>
              <w:jc w:val="both"/>
              <w:rPr>
                <w:rFonts w:ascii="Times New Roman" w:eastAsia="Calibri" w:hAnsi="Times New Roman"/>
                <w:sz w:val="20"/>
                <w:szCs w:val="20"/>
                <w:lang w:val="pt-BR"/>
              </w:rPr>
            </w:pPr>
            <w:r w:rsidRPr="00377478">
              <w:rPr>
                <w:rFonts w:ascii="Times New Roman" w:eastAsia="Calibri" w:hAnsi="Times New Roman"/>
                <w:b/>
                <w:sz w:val="20"/>
                <w:szCs w:val="20"/>
                <w:lang w:val="pt-BR"/>
              </w:rPr>
              <w:t xml:space="preserve">Address: </w:t>
            </w:r>
            <w:r w:rsidRPr="00A732F4">
              <w:rPr>
                <w:rFonts w:ascii="Times New Roman" w:eastAsia="Calibri" w:hAnsi="Times New Roman"/>
                <w:sz w:val="20"/>
                <w:szCs w:val="20"/>
                <w:lang w:val="pt-BR"/>
              </w:rPr>
              <w:t>Piplavalo Delo, Ganjivada, Visavadar, Junagadh-362130 Gujarat, India</w:t>
            </w:r>
          </w:p>
          <w:p w14:paraId="4C3DF0C6" w14:textId="77777777" w:rsidR="00E35FCB" w:rsidRPr="00377478" w:rsidRDefault="00E35FCB" w:rsidP="00250DAC">
            <w:pPr>
              <w:spacing w:after="0" w:line="240" w:lineRule="auto"/>
              <w:jc w:val="both"/>
              <w:rPr>
                <w:rFonts w:ascii="Times New Roman" w:eastAsia="Calibri" w:hAnsi="Times New Roman"/>
                <w:sz w:val="20"/>
                <w:szCs w:val="20"/>
                <w:lang w:val="pt-BR"/>
              </w:rPr>
            </w:pPr>
          </w:p>
          <w:p w14:paraId="7F4AC8DF" w14:textId="77777777" w:rsidR="00E35FCB" w:rsidRPr="00377478" w:rsidRDefault="00E35FCB" w:rsidP="00250DAC">
            <w:pPr>
              <w:spacing w:after="0" w:line="240" w:lineRule="auto"/>
              <w:jc w:val="both"/>
              <w:rPr>
                <w:rFonts w:ascii="Times New Roman" w:eastAsia="Calibri" w:hAnsi="Times New Roman"/>
                <w:sz w:val="20"/>
                <w:szCs w:val="20"/>
              </w:rPr>
            </w:pPr>
            <w:r w:rsidRPr="00377478">
              <w:rPr>
                <w:rFonts w:ascii="Times New Roman" w:eastAsia="Calibri" w:hAnsi="Times New Roman"/>
                <w:b/>
                <w:sz w:val="20"/>
                <w:szCs w:val="20"/>
              </w:rPr>
              <w:t xml:space="preserve">Experience: </w:t>
            </w:r>
            <w:r w:rsidRPr="00377478">
              <w:rPr>
                <w:rFonts w:ascii="Times New Roman" w:eastAsia="Calibri" w:hAnsi="Times New Roman"/>
                <w:bCs/>
                <w:sz w:val="20"/>
                <w:szCs w:val="20"/>
              </w:rPr>
              <w:t>9</w:t>
            </w:r>
            <w:r w:rsidRPr="00377478">
              <w:rPr>
                <w:rFonts w:ascii="Times New Roman" w:eastAsia="Calibri" w:hAnsi="Times New Roman"/>
                <w:sz w:val="20"/>
                <w:szCs w:val="20"/>
              </w:rPr>
              <w:t xml:space="preserve"> years</w:t>
            </w:r>
          </w:p>
          <w:p w14:paraId="73091742" w14:textId="77777777" w:rsidR="00E35FCB" w:rsidRPr="00377478" w:rsidRDefault="00E35FCB" w:rsidP="00250DAC">
            <w:pPr>
              <w:spacing w:after="0" w:line="240" w:lineRule="auto"/>
              <w:jc w:val="both"/>
              <w:rPr>
                <w:rFonts w:ascii="Times New Roman" w:eastAsia="Calibri" w:hAnsi="Times New Roman"/>
                <w:sz w:val="20"/>
                <w:szCs w:val="20"/>
              </w:rPr>
            </w:pPr>
          </w:p>
          <w:p w14:paraId="3ECE2FBE" w14:textId="77777777" w:rsidR="00E35FCB" w:rsidRPr="00377478" w:rsidRDefault="00E35FCB" w:rsidP="00250DAC">
            <w:pPr>
              <w:spacing w:after="0" w:line="240" w:lineRule="auto"/>
              <w:jc w:val="both"/>
              <w:rPr>
                <w:rFonts w:ascii="Times New Roman" w:eastAsia="SimSun" w:hAnsi="Times New Roman"/>
                <w:sz w:val="20"/>
                <w:szCs w:val="20"/>
              </w:rPr>
            </w:pPr>
            <w:r w:rsidRPr="00377478">
              <w:rPr>
                <w:rFonts w:ascii="Times New Roman" w:eastAsia="SimSun" w:hAnsi="Times New Roman"/>
                <w:b/>
                <w:sz w:val="20"/>
                <w:szCs w:val="20"/>
              </w:rPr>
              <w:t>Occupation:</w:t>
            </w:r>
            <w:r w:rsidRPr="00377478">
              <w:rPr>
                <w:rFonts w:ascii="Times New Roman" w:eastAsia="SimSun" w:hAnsi="Times New Roman"/>
                <w:sz w:val="20"/>
                <w:szCs w:val="20"/>
              </w:rPr>
              <w:t xml:space="preserve"> Professional</w:t>
            </w:r>
          </w:p>
          <w:p w14:paraId="070A741A" w14:textId="77777777" w:rsidR="00E35FCB" w:rsidRPr="00377478" w:rsidRDefault="00E35FCB" w:rsidP="00250DAC">
            <w:pPr>
              <w:spacing w:after="0" w:line="240" w:lineRule="auto"/>
              <w:jc w:val="both"/>
              <w:rPr>
                <w:rFonts w:ascii="Times New Roman" w:eastAsia="SimSun" w:hAnsi="Times New Roman"/>
                <w:sz w:val="20"/>
                <w:szCs w:val="20"/>
              </w:rPr>
            </w:pPr>
          </w:p>
          <w:p w14:paraId="3714C863" w14:textId="77777777" w:rsidR="00E35FCB" w:rsidRPr="00377478" w:rsidRDefault="00E35FCB" w:rsidP="00250DAC">
            <w:pPr>
              <w:pStyle w:val="Default"/>
              <w:rPr>
                <w:rFonts w:eastAsia="Times New Roman"/>
                <w:sz w:val="20"/>
                <w:szCs w:val="20"/>
              </w:rPr>
            </w:pPr>
            <w:r w:rsidRPr="00377478">
              <w:rPr>
                <w:rFonts w:eastAsia="Times New Roman"/>
                <w:b/>
                <w:sz w:val="20"/>
                <w:szCs w:val="20"/>
              </w:rPr>
              <w:t xml:space="preserve">Qualification: </w:t>
            </w:r>
            <w:r w:rsidRPr="00377478">
              <w:rPr>
                <w:rFonts w:eastAsia="Times New Roman"/>
                <w:sz w:val="20"/>
                <w:szCs w:val="20"/>
              </w:rPr>
              <w:t>Company Secretary</w:t>
            </w:r>
          </w:p>
          <w:p w14:paraId="3358479F" w14:textId="77777777" w:rsidR="00E35FCB" w:rsidRPr="00377478" w:rsidRDefault="00E35FCB" w:rsidP="00250DAC">
            <w:pPr>
              <w:pStyle w:val="Default"/>
              <w:rPr>
                <w:rFonts w:eastAsia="Times New Roman"/>
                <w:sz w:val="20"/>
                <w:szCs w:val="20"/>
              </w:rPr>
            </w:pPr>
          </w:p>
          <w:p w14:paraId="5CC06771" w14:textId="77777777" w:rsidR="00E35FCB" w:rsidRPr="00377478" w:rsidRDefault="00E35FCB" w:rsidP="00250DAC">
            <w:pPr>
              <w:spacing w:after="0" w:line="240" w:lineRule="auto"/>
              <w:jc w:val="both"/>
              <w:rPr>
                <w:rFonts w:ascii="Times New Roman" w:eastAsia="Calibri" w:hAnsi="Times New Roman"/>
                <w:sz w:val="20"/>
                <w:szCs w:val="20"/>
              </w:rPr>
            </w:pPr>
            <w:r w:rsidRPr="00377478">
              <w:rPr>
                <w:rFonts w:ascii="Times New Roman" w:eastAsia="Calibri" w:hAnsi="Times New Roman"/>
                <w:b/>
                <w:sz w:val="20"/>
                <w:szCs w:val="20"/>
              </w:rPr>
              <w:t xml:space="preserve">Current Term: </w:t>
            </w:r>
            <w:r w:rsidRPr="00377478">
              <w:rPr>
                <w:rFonts w:ascii="Times New Roman" w:eastAsia="Calibri" w:hAnsi="Times New Roman"/>
                <w:sz w:val="20"/>
                <w:szCs w:val="20"/>
              </w:rPr>
              <w:t xml:space="preserve">Appointed for a term </w:t>
            </w:r>
            <w:r>
              <w:rPr>
                <w:rFonts w:ascii="Times New Roman" w:eastAsia="Calibri" w:hAnsi="Times New Roman"/>
                <w:sz w:val="20"/>
                <w:szCs w:val="20"/>
              </w:rPr>
              <w:t>of</w:t>
            </w:r>
            <w:r w:rsidRPr="00377478">
              <w:rPr>
                <w:rFonts w:ascii="Times New Roman" w:eastAsia="Calibri" w:hAnsi="Times New Roman"/>
                <w:sz w:val="20"/>
                <w:szCs w:val="20"/>
              </w:rPr>
              <w:t xml:space="preserve"> 5 years commencing from August 05, 2023</w:t>
            </w:r>
          </w:p>
          <w:p w14:paraId="5C4D3B3B" w14:textId="77777777" w:rsidR="00E35FCB" w:rsidRPr="00377478" w:rsidRDefault="00E35FCB" w:rsidP="00250DAC">
            <w:pPr>
              <w:spacing w:after="0" w:line="240" w:lineRule="auto"/>
              <w:jc w:val="both"/>
              <w:rPr>
                <w:rFonts w:ascii="Times New Roman" w:eastAsia="Calibri" w:hAnsi="Times New Roman"/>
                <w:sz w:val="20"/>
                <w:szCs w:val="20"/>
              </w:rPr>
            </w:pPr>
          </w:p>
          <w:p w14:paraId="19E636D4" w14:textId="77777777" w:rsidR="00E35FCB" w:rsidRPr="00377478" w:rsidRDefault="00E35FCB" w:rsidP="00250DAC">
            <w:pPr>
              <w:spacing w:after="0" w:line="240" w:lineRule="auto"/>
              <w:jc w:val="both"/>
              <w:rPr>
                <w:rFonts w:ascii="Times New Roman" w:eastAsia="Calibri" w:hAnsi="Times New Roman"/>
                <w:b/>
                <w:sz w:val="20"/>
                <w:szCs w:val="20"/>
              </w:rPr>
            </w:pPr>
            <w:r w:rsidRPr="00377478">
              <w:rPr>
                <w:rFonts w:ascii="Times New Roman" w:eastAsia="Calibri" w:hAnsi="Times New Roman"/>
                <w:b/>
                <w:sz w:val="20"/>
                <w:szCs w:val="20"/>
              </w:rPr>
              <w:t xml:space="preserve">Period of Directorship: </w:t>
            </w:r>
            <w:r w:rsidRPr="00377478">
              <w:rPr>
                <w:rFonts w:ascii="Times New Roman" w:eastAsia="Calibri" w:hAnsi="Times New Roman"/>
                <w:sz w:val="20"/>
                <w:szCs w:val="20"/>
              </w:rPr>
              <w:t>From August 05, 2023</w:t>
            </w:r>
          </w:p>
          <w:p w14:paraId="2FD2282D" w14:textId="77777777" w:rsidR="00E35FCB" w:rsidRPr="00377478" w:rsidRDefault="00E35FCB" w:rsidP="00250DAC">
            <w:pPr>
              <w:spacing w:after="0" w:line="240" w:lineRule="auto"/>
              <w:jc w:val="both"/>
              <w:rPr>
                <w:rFonts w:ascii="Times New Roman" w:eastAsia="Calibri" w:hAnsi="Times New Roman"/>
                <w:b/>
                <w:sz w:val="20"/>
                <w:szCs w:val="20"/>
              </w:rPr>
            </w:pPr>
          </w:p>
          <w:p w14:paraId="2C5C12ED" w14:textId="77777777" w:rsidR="00E35FCB" w:rsidRPr="00377478" w:rsidRDefault="00E35FCB" w:rsidP="00250DAC">
            <w:pPr>
              <w:spacing w:after="0" w:line="240" w:lineRule="auto"/>
              <w:jc w:val="both"/>
              <w:rPr>
                <w:rFonts w:ascii="Times New Roman" w:eastAsia="Calibri" w:hAnsi="Times New Roman"/>
                <w:sz w:val="20"/>
                <w:szCs w:val="20"/>
              </w:rPr>
            </w:pPr>
            <w:r w:rsidRPr="00377478">
              <w:rPr>
                <w:rFonts w:ascii="Times New Roman" w:eastAsia="Calibri" w:hAnsi="Times New Roman"/>
                <w:b/>
                <w:sz w:val="20"/>
                <w:szCs w:val="20"/>
              </w:rPr>
              <w:t xml:space="preserve">DIN: </w:t>
            </w:r>
            <w:r w:rsidRPr="00377478">
              <w:rPr>
                <w:rFonts w:ascii="Times New Roman" w:eastAsia="Calibri" w:hAnsi="Times New Roman"/>
                <w:sz w:val="20"/>
                <w:szCs w:val="20"/>
              </w:rPr>
              <w:t>09680179</w:t>
            </w:r>
          </w:p>
        </w:tc>
        <w:tc>
          <w:tcPr>
            <w:tcW w:w="1410" w:type="pct"/>
            <w:shd w:val="clear" w:color="auto" w:fill="auto"/>
            <w:vAlign w:val="center"/>
          </w:tcPr>
          <w:p w14:paraId="634EDA00" w14:textId="77777777" w:rsidR="00E35FCB" w:rsidRPr="00377478" w:rsidRDefault="00E35FCB" w:rsidP="00250DAC">
            <w:pPr>
              <w:spacing w:after="0" w:line="240" w:lineRule="auto"/>
              <w:jc w:val="both"/>
              <w:rPr>
                <w:rFonts w:ascii="Times New Roman" w:eastAsia="MS Mincho" w:hAnsi="Times New Roman"/>
                <w:sz w:val="20"/>
                <w:szCs w:val="20"/>
                <w:lang w:val="en-GB"/>
              </w:rPr>
            </w:pPr>
            <w:r w:rsidRPr="00377478">
              <w:rPr>
                <w:rFonts w:ascii="Times New Roman" w:eastAsia="MS Mincho" w:hAnsi="Times New Roman"/>
                <w:b/>
                <w:sz w:val="20"/>
                <w:szCs w:val="20"/>
                <w:lang w:val="en-GB"/>
              </w:rPr>
              <w:t>Companies:</w:t>
            </w:r>
          </w:p>
          <w:p w14:paraId="630E0BEA" w14:textId="77777777" w:rsidR="00E35FCB" w:rsidRPr="00377478" w:rsidRDefault="00E35FCB">
            <w:pPr>
              <w:pStyle w:val="ListParagraph"/>
              <w:numPr>
                <w:ilvl w:val="0"/>
                <w:numId w:val="182"/>
              </w:numPr>
              <w:spacing w:line="240" w:lineRule="auto"/>
              <w:ind w:left="318"/>
              <w:jc w:val="both"/>
              <w:rPr>
                <w:rFonts w:eastAsia="MS Mincho"/>
                <w:sz w:val="20"/>
                <w:szCs w:val="20"/>
                <w:lang w:val="en-GB"/>
              </w:rPr>
            </w:pPr>
            <w:r w:rsidRPr="00377478">
              <w:rPr>
                <w:rFonts w:eastAsia="MS Mincho"/>
                <w:sz w:val="20"/>
                <w:szCs w:val="20"/>
                <w:lang w:val="en-GB"/>
              </w:rPr>
              <w:t>Assorted Corpcon Private Limited</w:t>
            </w:r>
          </w:p>
        </w:tc>
      </w:tr>
    </w:tbl>
    <w:bookmarkEnd w:id="16"/>
    <w:p w14:paraId="1834BF01" w14:textId="77777777" w:rsidR="00E35FCB" w:rsidRPr="00712F3C" w:rsidRDefault="00E35FCB" w:rsidP="00E35FCB">
      <w:pPr>
        <w:spacing w:after="0" w:line="240" w:lineRule="auto"/>
        <w:jc w:val="both"/>
        <w:rPr>
          <w:rFonts w:ascii="Times New Roman" w:eastAsia="MS Mincho" w:hAnsi="Times New Roman"/>
          <w:b/>
          <w:color w:val="000000"/>
          <w:sz w:val="20"/>
          <w:szCs w:val="20"/>
          <w:u w:val="single"/>
          <w:lang w:val="en-GB"/>
        </w:rPr>
      </w:pPr>
      <w:r w:rsidRPr="00712F3C">
        <w:rPr>
          <w:rFonts w:ascii="Times New Roman" w:hAnsi="Times New Roman"/>
          <w:b/>
          <w:bCs/>
          <w:sz w:val="20"/>
          <w:szCs w:val="20"/>
          <w:u w:val="single"/>
        </w:rPr>
        <w:lastRenderedPageBreak/>
        <w:t>Brief Profile of Directors:</w:t>
      </w:r>
    </w:p>
    <w:p w14:paraId="3A9051AB" w14:textId="77777777" w:rsidR="00E35FCB" w:rsidRPr="00712F3C" w:rsidRDefault="00E35FCB" w:rsidP="00E35FCB">
      <w:pPr>
        <w:spacing w:after="0" w:line="240" w:lineRule="auto"/>
        <w:jc w:val="both"/>
        <w:rPr>
          <w:rFonts w:ascii="Times New Roman" w:eastAsia="MS Mincho" w:hAnsi="Times New Roman"/>
          <w:b/>
          <w:color w:val="000000"/>
          <w:sz w:val="20"/>
          <w:szCs w:val="20"/>
          <w:lang w:val="en-GB"/>
        </w:rPr>
      </w:pPr>
    </w:p>
    <w:p w14:paraId="4D99F1D3" w14:textId="1D7DFBB9" w:rsidR="00E35FCB" w:rsidRPr="00712F3C" w:rsidRDefault="00E35FCB">
      <w:pPr>
        <w:pStyle w:val="NoSpacing"/>
        <w:numPr>
          <w:ilvl w:val="0"/>
          <w:numId w:val="181"/>
        </w:numPr>
        <w:spacing w:line="240" w:lineRule="auto"/>
        <w:ind w:left="426"/>
        <w:contextualSpacing/>
        <w:jc w:val="both"/>
        <w:rPr>
          <w:rFonts w:eastAsia="MS Mincho"/>
          <w:lang w:val="en-GB"/>
        </w:rPr>
      </w:pPr>
      <w:r w:rsidRPr="001B7FC9">
        <w:rPr>
          <w:rFonts w:eastAsia="MS Mincho"/>
          <w:b/>
          <w:lang w:val="en-GB"/>
        </w:rPr>
        <w:t>Ramgopal Ochhavlal Maheshwari</w:t>
      </w:r>
      <w:r>
        <w:rPr>
          <w:rFonts w:eastAsia="MS Mincho"/>
          <w:b/>
          <w:lang w:val="en-GB"/>
        </w:rPr>
        <w:t xml:space="preserve"> </w:t>
      </w:r>
      <w:r w:rsidRPr="00712F3C">
        <w:rPr>
          <w:rFonts w:eastAsia="MS Mincho"/>
          <w:lang w:val="en-GB"/>
        </w:rPr>
        <w:t xml:space="preserve">is the Chairman &amp; </w:t>
      </w:r>
      <w:r w:rsidRPr="00B85DB5">
        <w:rPr>
          <w:rFonts w:eastAsia="MS Mincho"/>
          <w:lang w:val="en-GB"/>
        </w:rPr>
        <w:t>Wholetime</w:t>
      </w:r>
      <w:r w:rsidRPr="00712F3C">
        <w:rPr>
          <w:rFonts w:eastAsia="MS Mincho"/>
          <w:lang w:val="en-GB"/>
        </w:rPr>
        <w:t xml:space="preserve"> Director of our Company. He is a visionary entrepreneur and has played a pivotal role in </w:t>
      </w:r>
      <w:r>
        <w:rPr>
          <w:rFonts w:eastAsia="MS Mincho"/>
          <w:lang w:val="en-GB"/>
        </w:rPr>
        <w:t xml:space="preserve">setting up and </w:t>
      </w:r>
      <w:r w:rsidRPr="00712F3C">
        <w:rPr>
          <w:rFonts w:eastAsia="MS Mincho"/>
          <w:lang w:val="en-GB"/>
        </w:rPr>
        <w:t xml:space="preserve">expanding business operations of our Company. He has a work experience of over </w:t>
      </w:r>
      <w:r w:rsidR="001B70BE">
        <w:rPr>
          <w:rFonts w:eastAsia="MS Mincho"/>
          <w:lang w:val="en-GB"/>
        </w:rPr>
        <w:t xml:space="preserve">34 </w:t>
      </w:r>
      <w:r w:rsidRPr="00712F3C">
        <w:rPr>
          <w:rFonts w:eastAsia="MS Mincho"/>
          <w:lang w:val="en-GB"/>
        </w:rPr>
        <w:t xml:space="preserve">years in the </w:t>
      </w:r>
      <w:r>
        <w:rPr>
          <w:rFonts w:eastAsia="MS Mincho"/>
          <w:lang w:val="en-GB"/>
        </w:rPr>
        <w:t>brass industry. He</w:t>
      </w:r>
      <w:r w:rsidRPr="00712F3C">
        <w:rPr>
          <w:rFonts w:eastAsia="MS Mincho"/>
          <w:lang w:val="en-GB"/>
        </w:rPr>
        <w:t xml:space="preserve"> has completed his </w:t>
      </w:r>
      <w:r w:rsidRPr="001B7FC9">
        <w:rPr>
          <w:rFonts w:eastAsia="Adobe Garamond Pro"/>
          <w:iCs/>
        </w:rPr>
        <w:t>Bachelor in Commerce</w:t>
      </w:r>
      <w:r w:rsidRPr="00712F3C">
        <w:rPr>
          <w:rFonts w:eastAsia="Adobe Garamond Pro"/>
          <w:iCs/>
          <w:lang w:val="en-US"/>
        </w:rPr>
        <w:t xml:space="preserve"> </w:t>
      </w:r>
      <w:r w:rsidRPr="00712F3C">
        <w:rPr>
          <w:rFonts w:eastAsia="MS Mincho"/>
          <w:lang w:val="en-GB"/>
        </w:rPr>
        <w:t xml:space="preserve">from </w:t>
      </w:r>
      <w:r>
        <w:rPr>
          <w:rFonts w:eastAsia="MS Mincho"/>
          <w:lang w:val="en-GB"/>
        </w:rPr>
        <w:t xml:space="preserve">Vikram University, Ujjain. </w:t>
      </w:r>
      <w:r w:rsidRPr="00712F3C">
        <w:rPr>
          <w:rFonts w:eastAsia="MS Mincho"/>
          <w:lang w:val="en-GB"/>
        </w:rPr>
        <w:t>He currently looks after the overall management of the Company. Under his guidance, our Company has witnessed continuous growth.</w:t>
      </w:r>
    </w:p>
    <w:p w14:paraId="25DF0A4A" w14:textId="77777777" w:rsidR="00E35FCB" w:rsidRPr="00712F3C" w:rsidRDefault="00E35FCB" w:rsidP="00E35FCB">
      <w:pPr>
        <w:pStyle w:val="NoSpacing"/>
        <w:spacing w:line="240" w:lineRule="auto"/>
        <w:ind w:left="426"/>
        <w:contextualSpacing/>
        <w:jc w:val="both"/>
        <w:rPr>
          <w:rFonts w:eastAsia="MS Mincho"/>
          <w:lang w:val="en-GB"/>
        </w:rPr>
      </w:pPr>
    </w:p>
    <w:p w14:paraId="789A7C2A" w14:textId="77777777" w:rsidR="00E35FCB" w:rsidRPr="00712F3C" w:rsidRDefault="00E35FCB">
      <w:pPr>
        <w:pStyle w:val="NoSpacing"/>
        <w:numPr>
          <w:ilvl w:val="0"/>
          <w:numId w:val="181"/>
        </w:numPr>
        <w:spacing w:line="240" w:lineRule="auto"/>
        <w:ind w:left="426"/>
        <w:contextualSpacing/>
        <w:jc w:val="both"/>
        <w:rPr>
          <w:rFonts w:eastAsia="MS Mincho"/>
          <w:lang w:val="en-GB"/>
        </w:rPr>
      </w:pPr>
      <w:r>
        <w:rPr>
          <w:rFonts w:eastAsia="MS Mincho"/>
          <w:b/>
          <w:lang w:val="en-GB"/>
        </w:rPr>
        <w:t>Bhavesh Ramgopal Maheshwari</w:t>
      </w:r>
      <w:r w:rsidRPr="00712F3C">
        <w:rPr>
          <w:rFonts w:eastAsia="MS Mincho"/>
          <w:lang w:val="en-GB"/>
        </w:rPr>
        <w:t xml:space="preserve"> is the </w:t>
      </w:r>
      <w:r>
        <w:rPr>
          <w:rFonts w:eastAsia="MS Mincho"/>
          <w:lang w:val="en-GB"/>
        </w:rPr>
        <w:t>Managing</w:t>
      </w:r>
      <w:r w:rsidRPr="00712F3C">
        <w:rPr>
          <w:rFonts w:eastAsia="MS Mincho"/>
          <w:lang w:val="en-GB"/>
        </w:rPr>
        <w:t xml:space="preserve"> Director of our Company. He has completed his </w:t>
      </w:r>
      <w:r>
        <w:rPr>
          <w:rFonts w:eastAsia="Calibri"/>
          <w:lang w:val="en-US"/>
        </w:rPr>
        <w:t xml:space="preserve">Bachelor of Commerce </w:t>
      </w:r>
      <w:r w:rsidRPr="00712F3C">
        <w:rPr>
          <w:rFonts w:eastAsia="Adobe Garamond Pro"/>
          <w:iCs/>
          <w:lang w:val="en-US"/>
        </w:rPr>
        <w:t>in 201</w:t>
      </w:r>
      <w:r>
        <w:rPr>
          <w:rFonts w:eastAsia="Adobe Garamond Pro"/>
          <w:iCs/>
          <w:lang w:val="en-US"/>
        </w:rPr>
        <w:t>4</w:t>
      </w:r>
      <w:r w:rsidRPr="00712F3C">
        <w:rPr>
          <w:rFonts w:eastAsia="Adobe Garamond Pro"/>
          <w:iCs/>
          <w:lang w:val="en-US"/>
        </w:rPr>
        <w:t xml:space="preserve"> from </w:t>
      </w:r>
      <w:r>
        <w:rPr>
          <w:rFonts w:eastAsia="Adobe Garamond Pro"/>
          <w:iCs/>
          <w:lang w:val="en-US"/>
        </w:rPr>
        <w:t>Ahmedabad University</w:t>
      </w:r>
      <w:r w:rsidRPr="00712F3C">
        <w:rPr>
          <w:rFonts w:eastAsia="Adobe Garamond Pro"/>
          <w:iCs/>
          <w:lang w:val="en-US"/>
        </w:rPr>
        <w:t xml:space="preserve">. </w:t>
      </w:r>
      <w:r w:rsidRPr="00712F3C">
        <w:rPr>
          <w:rFonts w:eastAsia="MS Mincho"/>
          <w:lang w:val="en-GB"/>
        </w:rPr>
        <w:t xml:space="preserve">He has an experience of around </w:t>
      </w:r>
      <w:r>
        <w:rPr>
          <w:rFonts w:eastAsia="MS Mincho"/>
          <w:lang w:val="en-GB"/>
        </w:rPr>
        <w:t>6</w:t>
      </w:r>
      <w:r w:rsidRPr="00712F3C">
        <w:rPr>
          <w:rFonts w:eastAsia="MS Mincho"/>
          <w:lang w:val="en-GB"/>
        </w:rPr>
        <w:t xml:space="preserve"> years in the </w:t>
      </w:r>
      <w:r>
        <w:rPr>
          <w:rFonts w:eastAsia="MS Mincho"/>
          <w:lang w:val="en-GB"/>
        </w:rPr>
        <w:t>brass industry</w:t>
      </w:r>
      <w:r w:rsidRPr="00712F3C">
        <w:rPr>
          <w:rFonts w:eastAsia="MS Mincho"/>
          <w:lang w:val="en-GB"/>
        </w:rPr>
        <w:t xml:space="preserve">. He is currently looking after the </w:t>
      </w:r>
      <w:r>
        <w:rPr>
          <w:rFonts w:eastAsia="MS Mincho"/>
          <w:lang w:val="en-GB"/>
        </w:rPr>
        <w:t xml:space="preserve">production and </w:t>
      </w:r>
      <w:r w:rsidRPr="00712F3C">
        <w:rPr>
          <w:rFonts w:eastAsia="MS Mincho"/>
          <w:lang w:val="en-GB"/>
        </w:rPr>
        <w:t>sales and marketing function of our Company.</w:t>
      </w:r>
      <w:r>
        <w:rPr>
          <w:rFonts w:eastAsia="MS Mincho"/>
          <w:lang w:val="en-GB"/>
        </w:rPr>
        <w:t xml:space="preserve"> He has been awarded with Indian Achievers Award by Indian Acheivers Forum for Business Excellence in 2019 and for Business Leadership in 2022.</w:t>
      </w:r>
    </w:p>
    <w:p w14:paraId="599A5BCE" w14:textId="77777777" w:rsidR="00E35FCB" w:rsidRPr="00712F3C" w:rsidRDefault="00E35FCB" w:rsidP="00E35FCB">
      <w:pPr>
        <w:pStyle w:val="NoSpacing"/>
        <w:spacing w:line="240" w:lineRule="auto"/>
        <w:ind w:left="426"/>
        <w:contextualSpacing/>
        <w:jc w:val="both"/>
        <w:rPr>
          <w:rFonts w:eastAsia="MS Mincho"/>
          <w:lang w:val="en-GB"/>
        </w:rPr>
      </w:pPr>
    </w:p>
    <w:p w14:paraId="11C0D41E" w14:textId="77777777" w:rsidR="00E35FCB" w:rsidRPr="007C4339" w:rsidRDefault="00E35FCB">
      <w:pPr>
        <w:pStyle w:val="NoSpacing"/>
        <w:numPr>
          <w:ilvl w:val="0"/>
          <w:numId w:val="181"/>
        </w:numPr>
        <w:spacing w:line="240" w:lineRule="auto"/>
        <w:ind w:left="426"/>
        <w:contextualSpacing/>
        <w:jc w:val="both"/>
        <w:rPr>
          <w:rFonts w:eastAsia="MS Mincho"/>
          <w:lang w:val="en-GB"/>
        </w:rPr>
      </w:pPr>
      <w:r w:rsidRPr="007C4339">
        <w:rPr>
          <w:rFonts w:eastAsia="MS Mincho"/>
          <w:b/>
          <w:bCs/>
          <w:lang w:val="en-GB"/>
        </w:rPr>
        <w:t>Madhu</w:t>
      </w:r>
      <w:r w:rsidRPr="000969E9">
        <w:rPr>
          <w:rFonts w:eastAsia="MS Mincho"/>
          <w:b/>
          <w:lang w:val="en-GB"/>
        </w:rPr>
        <w:t xml:space="preserve"> Ramgopal Maheshwari</w:t>
      </w:r>
      <w:r w:rsidRPr="00712F3C">
        <w:rPr>
          <w:rFonts w:eastAsia="MS Mincho"/>
          <w:lang w:val="en-GB"/>
        </w:rPr>
        <w:t xml:space="preserve"> </w:t>
      </w:r>
      <w:r w:rsidRPr="007C4339">
        <w:rPr>
          <w:rFonts w:eastAsia="MS Mincho"/>
          <w:lang w:val="en-GB"/>
        </w:rPr>
        <w:t xml:space="preserve">is the Non-Executive Director of our Company. She has an experience of around </w:t>
      </w:r>
      <w:r>
        <w:rPr>
          <w:rFonts w:eastAsia="MS Mincho"/>
          <w:lang w:val="en-GB"/>
        </w:rPr>
        <w:t>22</w:t>
      </w:r>
      <w:r w:rsidRPr="007C4339">
        <w:rPr>
          <w:rFonts w:eastAsia="MS Mincho"/>
          <w:lang w:val="en-GB"/>
        </w:rPr>
        <w:t xml:space="preserve"> years</w:t>
      </w:r>
      <w:r>
        <w:rPr>
          <w:rFonts w:eastAsia="MS Mincho"/>
          <w:lang w:val="en-GB"/>
        </w:rPr>
        <w:t xml:space="preserve"> </w:t>
      </w:r>
      <w:r w:rsidRPr="007C4339">
        <w:rPr>
          <w:rFonts w:eastAsia="MS Mincho"/>
          <w:lang w:val="en-GB"/>
        </w:rPr>
        <w:t>in the administration field. She has completed her Secondary School from Mayon High School</w:t>
      </w:r>
      <w:r>
        <w:rPr>
          <w:rFonts w:eastAsia="MS Mincho"/>
          <w:lang w:val="en-GB"/>
        </w:rPr>
        <w:t xml:space="preserve">, </w:t>
      </w:r>
      <w:r w:rsidRPr="007C4339">
        <w:rPr>
          <w:rFonts w:eastAsia="MS Mincho"/>
          <w:lang w:val="en-GB"/>
        </w:rPr>
        <w:t>Himmatnagar,</w:t>
      </w:r>
      <w:r>
        <w:rPr>
          <w:rFonts w:eastAsia="MS Mincho"/>
          <w:lang w:val="en-GB"/>
        </w:rPr>
        <w:t xml:space="preserve"> </w:t>
      </w:r>
      <w:r w:rsidRPr="007C4339">
        <w:rPr>
          <w:rFonts w:eastAsia="MS Mincho"/>
          <w:lang w:val="en-GB"/>
        </w:rPr>
        <w:t xml:space="preserve">Gujarat in year </w:t>
      </w:r>
      <w:r>
        <w:rPr>
          <w:rFonts w:eastAsia="MS Mincho"/>
          <w:lang w:val="en-GB"/>
        </w:rPr>
        <w:t>1983.</w:t>
      </w:r>
    </w:p>
    <w:p w14:paraId="2D96340E" w14:textId="77777777" w:rsidR="00E35FCB" w:rsidRPr="00712F3C" w:rsidRDefault="00E35FCB" w:rsidP="00E35FCB">
      <w:pPr>
        <w:pStyle w:val="NoSpacing"/>
        <w:spacing w:line="240" w:lineRule="auto"/>
        <w:ind w:left="426"/>
        <w:contextualSpacing/>
        <w:jc w:val="both"/>
        <w:rPr>
          <w:rFonts w:eastAsia="MS Mincho"/>
          <w:lang w:val="en-GB"/>
        </w:rPr>
      </w:pPr>
    </w:p>
    <w:p w14:paraId="7657B68E" w14:textId="77777777" w:rsidR="00E35FCB" w:rsidRPr="00712F3C" w:rsidRDefault="00E35FCB">
      <w:pPr>
        <w:pStyle w:val="NoSpacing"/>
        <w:numPr>
          <w:ilvl w:val="0"/>
          <w:numId w:val="181"/>
        </w:numPr>
        <w:spacing w:line="240" w:lineRule="auto"/>
        <w:ind w:left="426"/>
        <w:contextualSpacing/>
        <w:jc w:val="both"/>
        <w:rPr>
          <w:rFonts w:eastAsia="MS Mincho"/>
          <w:b/>
          <w:lang w:val="en-GB"/>
        </w:rPr>
      </w:pPr>
      <w:r w:rsidRPr="00712F3C">
        <w:rPr>
          <w:rFonts w:eastAsia="MS Mincho"/>
          <w:b/>
          <w:lang w:val="en-GB"/>
        </w:rPr>
        <w:t xml:space="preserve">Jaimish Govindbhai Patel </w:t>
      </w:r>
      <w:r w:rsidRPr="00712F3C">
        <w:rPr>
          <w:rFonts w:eastAsia="MS Mincho"/>
          <w:bCs/>
          <w:lang w:val="en-GB"/>
        </w:rPr>
        <w:t>is the Independent Director of our Company. He h</w:t>
      </w:r>
      <w:r>
        <w:rPr>
          <w:rFonts w:eastAsia="MS Mincho"/>
          <w:bCs/>
          <w:lang w:val="en-GB"/>
        </w:rPr>
        <w:t>as a work experience of around 9</w:t>
      </w:r>
      <w:r w:rsidRPr="00712F3C">
        <w:rPr>
          <w:rFonts w:eastAsia="MS Mincho"/>
          <w:bCs/>
          <w:lang w:val="en-GB"/>
        </w:rPr>
        <w:t xml:space="preserve"> years in Corporate Laws and Financial Management. He is a Qualified Member of Institute of Company Secretaries of India. </w:t>
      </w:r>
    </w:p>
    <w:p w14:paraId="1E034BA4" w14:textId="77777777" w:rsidR="00E35FCB" w:rsidRPr="00712F3C" w:rsidRDefault="00E35FCB" w:rsidP="00E35FCB">
      <w:pPr>
        <w:pStyle w:val="NoSpacing"/>
        <w:spacing w:line="240" w:lineRule="auto"/>
        <w:ind w:left="426"/>
        <w:contextualSpacing/>
        <w:jc w:val="both"/>
        <w:rPr>
          <w:rFonts w:eastAsia="MS Mincho"/>
          <w:lang w:val="en-GB"/>
        </w:rPr>
      </w:pPr>
    </w:p>
    <w:p w14:paraId="7F799556" w14:textId="77777777" w:rsidR="00E35FCB" w:rsidRPr="00712F3C" w:rsidRDefault="00E35FCB">
      <w:pPr>
        <w:pStyle w:val="NoSpacing"/>
        <w:numPr>
          <w:ilvl w:val="0"/>
          <w:numId w:val="181"/>
        </w:numPr>
        <w:spacing w:line="240" w:lineRule="auto"/>
        <w:ind w:left="426"/>
        <w:contextualSpacing/>
        <w:jc w:val="both"/>
        <w:rPr>
          <w:rFonts w:eastAsia="MS Mincho"/>
          <w:b/>
          <w:lang w:val="en-GB"/>
        </w:rPr>
      </w:pPr>
      <w:r w:rsidRPr="007C4339">
        <w:rPr>
          <w:rFonts w:eastAsia="MS Mincho"/>
          <w:b/>
          <w:lang w:val="en-GB"/>
        </w:rPr>
        <w:t xml:space="preserve">Raimeen Bhanubhai Maradiya </w:t>
      </w:r>
      <w:r w:rsidRPr="00712F3C">
        <w:rPr>
          <w:rFonts w:eastAsia="MS Mincho"/>
          <w:lang w:val="en-GB"/>
        </w:rPr>
        <w:t xml:space="preserve">is the Independent Director of our Company. He has a work experience of around </w:t>
      </w:r>
      <w:r>
        <w:rPr>
          <w:rFonts w:eastAsia="MS Mincho"/>
          <w:lang w:val="en-GB"/>
        </w:rPr>
        <w:t xml:space="preserve">9 </w:t>
      </w:r>
      <w:r w:rsidRPr="00712F3C">
        <w:rPr>
          <w:rFonts w:eastAsia="MS Mincho"/>
          <w:lang w:val="en-GB"/>
        </w:rPr>
        <w:t xml:space="preserve">years in </w:t>
      </w:r>
      <w:r>
        <w:rPr>
          <w:rFonts w:eastAsia="MS Mincho"/>
          <w:lang w:val="en-GB"/>
        </w:rPr>
        <w:t xml:space="preserve">the field of </w:t>
      </w:r>
      <w:r w:rsidRPr="00712F3C">
        <w:rPr>
          <w:rFonts w:eastAsia="MS Mincho"/>
          <w:bCs/>
          <w:lang w:val="en-GB"/>
        </w:rPr>
        <w:t>Corporate Laws and</w:t>
      </w:r>
      <w:r>
        <w:rPr>
          <w:rFonts w:eastAsia="MS Mincho"/>
          <w:bCs/>
          <w:lang w:val="en-GB"/>
        </w:rPr>
        <w:t xml:space="preserve"> </w:t>
      </w:r>
      <w:r w:rsidRPr="007C4339">
        <w:rPr>
          <w:rFonts w:eastAsia="MS Mincho"/>
          <w:bCs/>
          <w:lang w:val="en-GB"/>
        </w:rPr>
        <w:t>Corporate Restructuring</w:t>
      </w:r>
      <w:r w:rsidRPr="00712F3C">
        <w:rPr>
          <w:rFonts w:eastAsia="MS Mincho"/>
          <w:lang w:val="en-GB"/>
        </w:rPr>
        <w:t>.</w:t>
      </w:r>
      <w:r>
        <w:rPr>
          <w:rFonts w:eastAsia="MS Mincho"/>
          <w:lang w:val="en-GB"/>
        </w:rPr>
        <w:t xml:space="preserve"> </w:t>
      </w:r>
      <w:r w:rsidRPr="00712F3C">
        <w:rPr>
          <w:rFonts w:eastAsia="MS Mincho"/>
          <w:bCs/>
          <w:lang w:val="en-GB"/>
        </w:rPr>
        <w:t>He is a Qualified Member of Institute of Company Secretaries of India</w:t>
      </w:r>
      <w:r>
        <w:rPr>
          <w:rFonts w:eastAsia="MS Mincho"/>
          <w:bCs/>
          <w:lang w:val="en-GB"/>
        </w:rPr>
        <w:t>.</w:t>
      </w:r>
    </w:p>
    <w:p w14:paraId="7662FE5F" w14:textId="77777777" w:rsidR="00E35FCB" w:rsidRPr="00712F3C" w:rsidRDefault="00E35FCB" w:rsidP="00E35FCB">
      <w:pPr>
        <w:autoSpaceDE w:val="0"/>
        <w:autoSpaceDN w:val="0"/>
        <w:adjustRightInd w:val="0"/>
        <w:spacing w:after="0" w:line="240" w:lineRule="auto"/>
        <w:jc w:val="both"/>
        <w:rPr>
          <w:rFonts w:ascii="Times New Roman" w:hAnsi="Times New Roman"/>
          <w:b/>
          <w:bCs/>
          <w:sz w:val="20"/>
          <w:szCs w:val="20"/>
          <w:u w:val="single"/>
        </w:rPr>
      </w:pPr>
    </w:p>
    <w:p w14:paraId="4EC585B6" w14:textId="77777777" w:rsidR="00E35FCB" w:rsidRPr="00712F3C" w:rsidRDefault="00E35FCB" w:rsidP="00E35FCB">
      <w:pPr>
        <w:autoSpaceDE w:val="0"/>
        <w:autoSpaceDN w:val="0"/>
        <w:adjustRightInd w:val="0"/>
        <w:spacing w:after="0" w:line="240" w:lineRule="auto"/>
        <w:jc w:val="both"/>
        <w:rPr>
          <w:rFonts w:ascii="Times New Roman" w:hAnsi="Times New Roman"/>
          <w:b/>
          <w:bCs/>
          <w:sz w:val="20"/>
          <w:szCs w:val="20"/>
        </w:rPr>
      </w:pPr>
      <w:r w:rsidRPr="00712F3C">
        <w:rPr>
          <w:rFonts w:ascii="Times New Roman" w:hAnsi="Times New Roman"/>
          <w:b/>
          <w:bCs/>
          <w:sz w:val="20"/>
          <w:szCs w:val="20"/>
        </w:rPr>
        <w:t xml:space="preserve">Confirmations: </w:t>
      </w:r>
    </w:p>
    <w:p w14:paraId="0AA7730F" w14:textId="77777777" w:rsidR="00E35FCB" w:rsidRPr="00712F3C" w:rsidRDefault="00E35FCB" w:rsidP="00E35FCB">
      <w:pPr>
        <w:autoSpaceDE w:val="0"/>
        <w:autoSpaceDN w:val="0"/>
        <w:adjustRightInd w:val="0"/>
        <w:spacing w:after="0" w:line="240" w:lineRule="auto"/>
        <w:jc w:val="both"/>
        <w:rPr>
          <w:rFonts w:ascii="Times New Roman" w:hAnsi="Times New Roman"/>
          <w:b/>
          <w:bCs/>
          <w:sz w:val="20"/>
          <w:szCs w:val="20"/>
          <w:u w:val="single"/>
        </w:rPr>
      </w:pPr>
    </w:p>
    <w:p w14:paraId="54F5B50E" w14:textId="77777777" w:rsidR="00E35FCB" w:rsidRPr="00712F3C" w:rsidRDefault="00E35FCB" w:rsidP="00E35FCB">
      <w:pPr>
        <w:autoSpaceDE w:val="0"/>
        <w:autoSpaceDN w:val="0"/>
        <w:adjustRightInd w:val="0"/>
        <w:spacing w:after="0" w:line="240" w:lineRule="auto"/>
        <w:rPr>
          <w:rFonts w:ascii="Times New Roman" w:hAnsi="Times New Roman"/>
          <w:sz w:val="20"/>
          <w:szCs w:val="20"/>
        </w:rPr>
      </w:pPr>
      <w:r w:rsidRPr="00712F3C">
        <w:rPr>
          <w:rFonts w:ascii="Times New Roman" w:hAnsi="Times New Roman"/>
          <w:sz w:val="20"/>
          <w:szCs w:val="20"/>
        </w:rPr>
        <w:t>As on the date of this Draft Red Herring Prospectus:</w:t>
      </w:r>
    </w:p>
    <w:p w14:paraId="712FB32C" w14:textId="77777777" w:rsidR="00E35FCB" w:rsidRPr="00712F3C" w:rsidRDefault="00E35FCB" w:rsidP="00E35FCB">
      <w:pPr>
        <w:autoSpaceDE w:val="0"/>
        <w:autoSpaceDN w:val="0"/>
        <w:adjustRightInd w:val="0"/>
        <w:spacing w:after="0" w:line="240" w:lineRule="auto"/>
        <w:rPr>
          <w:rFonts w:ascii="Times New Roman" w:hAnsi="Times New Roman"/>
          <w:sz w:val="20"/>
          <w:szCs w:val="20"/>
        </w:rPr>
      </w:pPr>
    </w:p>
    <w:p w14:paraId="4DF99E10" w14:textId="77777777" w:rsidR="00E35FCB" w:rsidRPr="00712F3C" w:rsidRDefault="00E35FCB">
      <w:pPr>
        <w:pStyle w:val="ListParagraph"/>
        <w:numPr>
          <w:ilvl w:val="0"/>
          <w:numId w:val="175"/>
        </w:numPr>
        <w:spacing w:line="240" w:lineRule="auto"/>
        <w:ind w:left="360"/>
        <w:jc w:val="both"/>
        <w:rPr>
          <w:sz w:val="20"/>
          <w:szCs w:val="20"/>
        </w:rPr>
      </w:pPr>
      <w:r w:rsidRPr="00712F3C">
        <w:rPr>
          <w:sz w:val="20"/>
          <w:szCs w:val="20"/>
        </w:rPr>
        <w:t xml:space="preserve">None of our Directors is or was a director of any listed company during the last five years preceding the date of this </w:t>
      </w:r>
      <w:r w:rsidRPr="00712F3C">
        <w:rPr>
          <w:sz w:val="20"/>
          <w:szCs w:val="20"/>
          <w:lang w:val="en-US"/>
        </w:rPr>
        <w:t>Draft</w:t>
      </w:r>
      <w:r w:rsidRPr="00712F3C">
        <w:rPr>
          <w:sz w:val="20"/>
          <w:szCs w:val="20"/>
        </w:rPr>
        <w:t xml:space="preserve"> </w:t>
      </w:r>
      <w:r w:rsidRPr="00712F3C">
        <w:rPr>
          <w:rFonts w:eastAsia="Calibri"/>
          <w:bCs/>
          <w:sz w:val="20"/>
          <w:szCs w:val="20"/>
          <w:lang w:bidi="en-US"/>
        </w:rPr>
        <w:t xml:space="preserve">Red Herring </w:t>
      </w:r>
      <w:r w:rsidRPr="00712F3C">
        <w:rPr>
          <w:sz w:val="20"/>
          <w:szCs w:val="20"/>
        </w:rPr>
        <w:t>Prospectus, whose shares has been or were suspended from being traded on the BSE or the NSE, during the term of their directorship in such company.</w:t>
      </w:r>
    </w:p>
    <w:p w14:paraId="7C31A80C" w14:textId="77777777" w:rsidR="00E35FCB" w:rsidRPr="00114808" w:rsidRDefault="00E35FCB" w:rsidP="00E35FCB">
      <w:pPr>
        <w:autoSpaceDE w:val="0"/>
        <w:autoSpaceDN w:val="0"/>
        <w:adjustRightInd w:val="0"/>
        <w:spacing w:after="0" w:line="240" w:lineRule="auto"/>
        <w:jc w:val="both"/>
        <w:rPr>
          <w:rFonts w:ascii="Times New Roman" w:hAnsi="Times New Roman"/>
          <w:sz w:val="12"/>
          <w:szCs w:val="12"/>
        </w:rPr>
      </w:pPr>
    </w:p>
    <w:p w14:paraId="1808C534" w14:textId="77777777" w:rsidR="00E35FCB" w:rsidRPr="00712F3C" w:rsidRDefault="00E35FCB">
      <w:pPr>
        <w:pStyle w:val="ListParagraph"/>
        <w:numPr>
          <w:ilvl w:val="0"/>
          <w:numId w:val="175"/>
        </w:numPr>
        <w:spacing w:line="240" w:lineRule="auto"/>
        <w:ind w:left="360"/>
        <w:jc w:val="both"/>
        <w:rPr>
          <w:sz w:val="20"/>
          <w:szCs w:val="20"/>
        </w:rPr>
      </w:pPr>
      <w:r w:rsidRPr="00712F3C">
        <w:rPr>
          <w:sz w:val="20"/>
          <w:szCs w:val="20"/>
        </w:rPr>
        <w:t>None of our Directors is or was a director of any listed company which has been or was delisted from any stock exchange during the tenure of their directorship in such company.</w:t>
      </w:r>
    </w:p>
    <w:p w14:paraId="238224A6" w14:textId="77777777" w:rsidR="00E35FCB" w:rsidRPr="00114808" w:rsidRDefault="00E35FCB" w:rsidP="00E35FCB">
      <w:pPr>
        <w:pStyle w:val="ListParagraph"/>
        <w:spacing w:line="240" w:lineRule="auto"/>
        <w:ind w:left="360"/>
        <w:jc w:val="both"/>
        <w:rPr>
          <w:sz w:val="12"/>
          <w:szCs w:val="12"/>
        </w:rPr>
      </w:pPr>
    </w:p>
    <w:p w14:paraId="52C4B617" w14:textId="77777777" w:rsidR="00E35FCB" w:rsidRPr="00712F3C" w:rsidRDefault="00E35FCB">
      <w:pPr>
        <w:pStyle w:val="ListParagraph"/>
        <w:numPr>
          <w:ilvl w:val="0"/>
          <w:numId w:val="175"/>
        </w:numPr>
        <w:spacing w:line="240" w:lineRule="auto"/>
        <w:ind w:left="360"/>
        <w:jc w:val="both"/>
        <w:rPr>
          <w:sz w:val="20"/>
          <w:szCs w:val="20"/>
        </w:rPr>
      </w:pPr>
      <w:r w:rsidRPr="00712F3C">
        <w:rPr>
          <w:sz w:val="20"/>
          <w:szCs w:val="20"/>
        </w:rPr>
        <w:t xml:space="preserve">None of the Directors are categorized as a </w:t>
      </w:r>
      <w:r>
        <w:rPr>
          <w:sz w:val="20"/>
          <w:szCs w:val="20"/>
          <w:lang w:val="en-US"/>
        </w:rPr>
        <w:t>willful</w:t>
      </w:r>
      <w:r w:rsidRPr="00712F3C">
        <w:rPr>
          <w:sz w:val="20"/>
          <w:szCs w:val="20"/>
        </w:rPr>
        <w:t xml:space="preserve"> defaulter or a fraudulent borrower, as defined under Regulation 2(1)(lll) of SEBI (ICDR) Regulations.</w:t>
      </w:r>
    </w:p>
    <w:p w14:paraId="5F8A7CA0" w14:textId="77777777" w:rsidR="00E35FCB" w:rsidRPr="00114808" w:rsidRDefault="00E35FCB" w:rsidP="00E35FCB">
      <w:pPr>
        <w:autoSpaceDE w:val="0"/>
        <w:autoSpaceDN w:val="0"/>
        <w:adjustRightInd w:val="0"/>
        <w:spacing w:after="0" w:line="240" w:lineRule="auto"/>
        <w:jc w:val="both"/>
        <w:rPr>
          <w:rFonts w:ascii="Times New Roman" w:hAnsi="Times New Roman"/>
          <w:sz w:val="12"/>
          <w:szCs w:val="12"/>
        </w:rPr>
      </w:pPr>
    </w:p>
    <w:p w14:paraId="5EDBF205" w14:textId="77777777" w:rsidR="00E35FCB" w:rsidRPr="00712F3C" w:rsidRDefault="00E35FCB">
      <w:pPr>
        <w:pStyle w:val="ListParagraph"/>
        <w:numPr>
          <w:ilvl w:val="0"/>
          <w:numId w:val="175"/>
        </w:numPr>
        <w:spacing w:line="240" w:lineRule="auto"/>
        <w:ind w:left="360"/>
        <w:jc w:val="both"/>
        <w:rPr>
          <w:sz w:val="20"/>
          <w:szCs w:val="20"/>
        </w:rPr>
      </w:pPr>
      <w:r w:rsidRPr="00712F3C">
        <w:rPr>
          <w:sz w:val="20"/>
          <w:szCs w:val="20"/>
        </w:rPr>
        <w:t>None of our Directors is declared as fugitive economic offender under section 12 of the Fugitive Economic Offenders Act, 2018.</w:t>
      </w:r>
    </w:p>
    <w:p w14:paraId="36E0993C" w14:textId="77777777" w:rsidR="00E35FCB" w:rsidRPr="00712F3C" w:rsidRDefault="00E35FCB" w:rsidP="00E35FCB">
      <w:pPr>
        <w:pStyle w:val="ListParagraph"/>
        <w:spacing w:line="240" w:lineRule="auto"/>
        <w:ind w:left="360"/>
        <w:jc w:val="both"/>
        <w:rPr>
          <w:sz w:val="20"/>
          <w:szCs w:val="20"/>
        </w:rPr>
      </w:pPr>
    </w:p>
    <w:p w14:paraId="61637075" w14:textId="77777777" w:rsidR="00E35FCB" w:rsidRPr="00712F3C" w:rsidRDefault="00E35FCB" w:rsidP="00E35FCB">
      <w:pPr>
        <w:pStyle w:val="ListParagraph"/>
        <w:spacing w:line="240" w:lineRule="auto"/>
        <w:ind w:left="0"/>
        <w:jc w:val="both"/>
        <w:rPr>
          <w:b/>
          <w:bCs/>
          <w:sz w:val="20"/>
          <w:szCs w:val="20"/>
        </w:rPr>
      </w:pPr>
      <w:r w:rsidRPr="00712F3C">
        <w:rPr>
          <w:b/>
          <w:sz w:val="20"/>
          <w:szCs w:val="20"/>
        </w:rPr>
        <w:t>Arrangements with major Shareholders, Customers, Suppliers or Others:</w:t>
      </w:r>
    </w:p>
    <w:p w14:paraId="3EDE144B" w14:textId="77777777" w:rsidR="00E35FCB" w:rsidRPr="00712F3C" w:rsidRDefault="00E35FCB" w:rsidP="00E35FCB">
      <w:pPr>
        <w:autoSpaceDE w:val="0"/>
        <w:autoSpaceDN w:val="0"/>
        <w:adjustRightInd w:val="0"/>
        <w:spacing w:after="0" w:line="240" w:lineRule="auto"/>
        <w:rPr>
          <w:rFonts w:ascii="Times New Roman" w:hAnsi="Times New Roman"/>
          <w:sz w:val="20"/>
          <w:szCs w:val="20"/>
        </w:rPr>
      </w:pPr>
    </w:p>
    <w:p w14:paraId="68BD4847" w14:textId="210EB802" w:rsidR="00E35FCB" w:rsidRPr="00712F3C" w:rsidRDefault="00E35FCB" w:rsidP="00E35FCB">
      <w:pPr>
        <w:autoSpaceDE w:val="0"/>
        <w:autoSpaceDN w:val="0"/>
        <w:adjustRightInd w:val="0"/>
        <w:spacing w:after="0" w:line="240" w:lineRule="auto"/>
        <w:jc w:val="both"/>
        <w:rPr>
          <w:rFonts w:ascii="Times New Roman" w:hAnsi="Times New Roman"/>
          <w:sz w:val="20"/>
          <w:szCs w:val="20"/>
        </w:rPr>
      </w:pPr>
      <w:r w:rsidRPr="00712F3C">
        <w:rPr>
          <w:rFonts w:ascii="Times New Roman" w:hAnsi="Times New Roman"/>
          <w:sz w:val="20"/>
          <w:szCs w:val="20"/>
        </w:rPr>
        <w:t xml:space="preserve">We have not entered into any arrangement or understanding with our major shareholders, customers, suppliers or others, pursuant to which any of our </w:t>
      </w:r>
      <w:r>
        <w:rPr>
          <w:rFonts w:ascii="Times New Roman" w:hAnsi="Times New Roman"/>
          <w:sz w:val="20"/>
          <w:szCs w:val="20"/>
        </w:rPr>
        <w:t>d</w:t>
      </w:r>
      <w:r w:rsidRPr="00712F3C">
        <w:rPr>
          <w:rFonts w:ascii="Times New Roman" w:hAnsi="Times New Roman"/>
          <w:sz w:val="20"/>
          <w:szCs w:val="20"/>
        </w:rPr>
        <w:t>irectors were selected as Directors or members of the senior management.</w:t>
      </w:r>
    </w:p>
    <w:p w14:paraId="408AAD20" w14:textId="77777777" w:rsidR="00E35FCB" w:rsidRPr="00712F3C" w:rsidRDefault="00E35FCB" w:rsidP="00E35FCB">
      <w:pPr>
        <w:widowControl w:val="0"/>
        <w:autoSpaceDE w:val="0"/>
        <w:autoSpaceDN w:val="0"/>
        <w:adjustRightInd w:val="0"/>
        <w:spacing w:after="0" w:line="240" w:lineRule="auto"/>
        <w:jc w:val="both"/>
        <w:rPr>
          <w:rFonts w:ascii="Times New Roman" w:eastAsia="MS Mincho" w:hAnsi="Times New Roman"/>
          <w:sz w:val="20"/>
          <w:szCs w:val="20"/>
          <w:lang w:val="en-GB"/>
        </w:rPr>
      </w:pPr>
    </w:p>
    <w:p w14:paraId="23207C98" w14:textId="77777777" w:rsidR="00E35FCB" w:rsidRPr="00712F3C" w:rsidRDefault="00E35FCB" w:rsidP="00E35FCB">
      <w:pPr>
        <w:pStyle w:val="ListParagraph"/>
        <w:spacing w:line="240" w:lineRule="auto"/>
        <w:ind w:left="0"/>
        <w:jc w:val="both"/>
        <w:rPr>
          <w:b/>
          <w:sz w:val="20"/>
          <w:szCs w:val="20"/>
        </w:rPr>
      </w:pPr>
      <w:r w:rsidRPr="00712F3C">
        <w:rPr>
          <w:b/>
          <w:sz w:val="20"/>
          <w:szCs w:val="20"/>
        </w:rPr>
        <w:t>Service Contracts:</w:t>
      </w:r>
    </w:p>
    <w:p w14:paraId="30589023" w14:textId="77777777" w:rsidR="00E35FCB" w:rsidRPr="00712F3C" w:rsidRDefault="00E35FCB" w:rsidP="00E35FCB">
      <w:pPr>
        <w:autoSpaceDE w:val="0"/>
        <w:autoSpaceDN w:val="0"/>
        <w:adjustRightInd w:val="0"/>
        <w:spacing w:after="0" w:line="240" w:lineRule="auto"/>
        <w:rPr>
          <w:rFonts w:ascii="Times New Roman" w:hAnsi="Times New Roman"/>
          <w:sz w:val="20"/>
          <w:szCs w:val="20"/>
        </w:rPr>
      </w:pPr>
    </w:p>
    <w:p w14:paraId="509E5C0A" w14:textId="77777777" w:rsidR="00E35FCB" w:rsidRPr="00712F3C" w:rsidRDefault="00E35FCB" w:rsidP="00E35FCB">
      <w:pPr>
        <w:autoSpaceDE w:val="0"/>
        <w:autoSpaceDN w:val="0"/>
        <w:adjustRightInd w:val="0"/>
        <w:spacing w:after="0" w:line="240" w:lineRule="auto"/>
        <w:jc w:val="both"/>
        <w:rPr>
          <w:rFonts w:ascii="Times New Roman" w:hAnsi="Times New Roman"/>
          <w:sz w:val="20"/>
          <w:szCs w:val="20"/>
        </w:rPr>
      </w:pPr>
      <w:r w:rsidRPr="00712F3C">
        <w:rPr>
          <w:rFonts w:ascii="Times New Roman" w:hAnsi="Times New Roman"/>
          <w:sz w:val="20"/>
          <w:szCs w:val="20"/>
        </w:rPr>
        <w:t>The Directors of our Company have not entered into any service contracts with our company which provides for benefits upon termination of their employment.</w:t>
      </w:r>
    </w:p>
    <w:p w14:paraId="663DD6DA" w14:textId="77777777" w:rsidR="00E35FCB" w:rsidRDefault="00E35FCB" w:rsidP="00E35FCB">
      <w:pPr>
        <w:widowControl w:val="0"/>
        <w:autoSpaceDE w:val="0"/>
        <w:autoSpaceDN w:val="0"/>
        <w:adjustRightInd w:val="0"/>
        <w:spacing w:after="0" w:line="240" w:lineRule="auto"/>
        <w:jc w:val="both"/>
        <w:rPr>
          <w:rFonts w:ascii="Times New Roman" w:eastAsia="MS Mincho" w:hAnsi="Times New Roman"/>
          <w:sz w:val="20"/>
          <w:szCs w:val="20"/>
          <w:lang w:val="en-GB"/>
        </w:rPr>
      </w:pPr>
    </w:p>
    <w:p w14:paraId="6D68669F" w14:textId="77777777" w:rsidR="00E35FCB" w:rsidRPr="00712F3C" w:rsidRDefault="00E35FCB" w:rsidP="00E35FCB">
      <w:pPr>
        <w:keepNext/>
        <w:keepLines/>
        <w:spacing w:after="0" w:line="240" w:lineRule="auto"/>
        <w:jc w:val="both"/>
        <w:rPr>
          <w:rFonts w:ascii="Times New Roman" w:hAnsi="Times New Roman"/>
          <w:b/>
          <w:sz w:val="20"/>
          <w:szCs w:val="20"/>
        </w:rPr>
      </w:pPr>
      <w:r w:rsidRPr="00712F3C">
        <w:rPr>
          <w:rFonts w:ascii="Times New Roman" w:hAnsi="Times New Roman"/>
          <w:b/>
          <w:sz w:val="20"/>
          <w:szCs w:val="20"/>
        </w:rPr>
        <w:t xml:space="preserve">Details of Borrowing Powers of Directors: </w:t>
      </w:r>
    </w:p>
    <w:p w14:paraId="5935E483" w14:textId="77777777" w:rsidR="00E35FCB" w:rsidRPr="00712F3C" w:rsidRDefault="00E35FCB" w:rsidP="00E35FCB">
      <w:pPr>
        <w:spacing w:after="0" w:line="240" w:lineRule="auto"/>
        <w:jc w:val="both"/>
        <w:rPr>
          <w:rFonts w:ascii="Times New Roman" w:eastAsia="MS Mincho" w:hAnsi="Times New Roman"/>
          <w:sz w:val="20"/>
          <w:szCs w:val="20"/>
          <w:lang w:val="en-GB"/>
        </w:rPr>
      </w:pPr>
    </w:p>
    <w:p w14:paraId="038C4E16" w14:textId="77777777" w:rsidR="00E35FCB" w:rsidRPr="00712F3C" w:rsidRDefault="00E35FCB" w:rsidP="00E35FCB">
      <w:pPr>
        <w:spacing w:after="0" w:line="240" w:lineRule="auto"/>
        <w:jc w:val="both"/>
        <w:rPr>
          <w:rFonts w:ascii="Times New Roman" w:eastAsia="MS Mincho" w:hAnsi="Times New Roman"/>
          <w:sz w:val="20"/>
          <w:szCs w:val="20"/>
          <w:lang w:val="en-GB"/>
        </w:rPr>
      </w:pPr>
      <w:r w:rsidRPr="00712F3C">
        <w:rPr>
          <w:rFonts w:ascii="Times New Roman" w:eastAsia="MS Mincho" w:hAnsi="Times New Roman"/>
          <w:sz w:val="20"/>
          <w:szCs w:val="20"/>
          <w:lang w:val="en-GB"/>
        </w:rPr>
        <w:t xml:space="preserve">Pursuant to a special resolution passed at an Extra-ordinary General Meeting of our </w:t>
      </w:r>
      <w:r w:rsidRPr="00740D5C">
        <w:rPr>
          <w:rFonts w:ascii="Times New Roman" w:eastAsia="MS Mincho" w:hAnsi="Times New Roman"/>
          <w:sz w:val="20"/>
          <w:szCs w:val="20"/>
          <w:lang w:val="en-GB"/>
        </w:rPr>
        <w:t>Company held on August 25, 2023 and pursuant</w:t>
      </w:r>
      <w:r w:rsidRPr="00712F3C">
        <w:rPr>
          <w:rFonts w:ascii="Times New Roman" w:eastAsia="MS Mincho" w:hAnsi="Times New Roman"/>
          <w:sz w:val="20"/>
          <w:szCs w:val="20"/>
          <w:lang w:val="en-GB"/>
        </w:rPr>
        <w:t xml:space="preserve"> to provisions of Section 180(1)(c) and other applicable provisions, if any, of the Companies Act, 2013 and rules made thereunder, the Board of Directors of the Company have authorized to borrow monies from time to time, any sum or sums of money on such security and on such terms and conditions as the Board may deem fit, notwithstanding that the money to be borrowed together with the money already borrowed by our Company may exceed in the aggregate, its paid up capital and free reserves and security premium (apart from temporary loans obtained / to be obtained from bankers in the ordinary course of business), provided that the outstanding principal amount of such borrowing at any point of time shall not exceed in the aggregate of ₹ </w:t>
      </w:r>
      <w:r>
        <w:rPr>
          <w:rFonts w:ascii="Times New Roman" w:eastAsia="MS Mincho" w:hAnsi="Times New Roman"/>
          <w:sz w:val="20"/>
          <w:szCs w:val="20"/>
          <w:lang w:val="en-GB"/>
        </w:rPr>
        <w:t>200</w:t>
      </w:r>
      <w:r w:rsidRPr="00712F3C">
        <w:rPr>
          <w:rFonts w:ascii="Times New Roman" w:eastAsia="MS Mincho" w:hAnsi="Times New Roman"/>
          <w:sz w:val="20"/>
          <w:szCs w:val="20"/>
          <w:lang w:val="en-GB"/>
        </w:rPr>
        <w:t>.00 Crore.</w:t>
      </w:r>
    </w:p>
    <w:p w14:paraId="389C42F6" w14:textId="77777777" w:rsidR="00E35FCB" w:rsidRPr="00712F3C" w:rsidRDefault="00E35FCB" w:rsidP="00E35FCB">
      <w:pPr>
        <w:spacing w:after="0" w:line="240" w:lineRule="auto"/>
        <w:jc w:val="both"/>
        <w:rPr>
          <w:rFonts w:ascii="Times New Roman" w:eastAsia="MS Mincho" w:hAnsi="Times New Roman"/>
          <w:sz w:val="20"/>
          <w:szCs w:val="20"/>
          <w:lang w:val="en-GB"/>
        </w:rPr>
      </w:pPr>
    </w:p>
    <w:p w14:paraId="5DC1AE35" w14:textId="77777777" w:rsidR="00E35FCB" w:rsidRPr="00712F3C" w:rsidRDefault="00E35FCB" w:rsidP="00E35FCB">
      <w:pPr>
        <w:spacing w:after="0" w:line="240" w:lineRule="auto"/>
        <w:jc w:val="both"/>
        <w:rPr>
          <w:rFonts w:ascii="Times New Roman" w:eastAsia="MS Mincho" w:hAnsi="Times New Roman"/>
          <w:b/>
          <w:sz w:val="20"/>
          <w:szCs w:val="20"/>
          <w:lang w:val="en-GB"/>
        </w:rPr>
      </w:pPr>
      <w:r w:rsidRPr="00712F3C">
        <w:rPr>
          <w:rFonts w:ascii="Times New Roman" w:eastAsia="MS Mincho" w:hAnsi="Times New Roman"/>
          <w:b/>
          <w:sz w:val="20"/>
          <w:szCs w:val="20"/>
          <w:lang w:val="en-GB"/>
        </w:rPr>
        <w:t>Compensation of our Managing Director &amp; Whole-time Director:</w:t>
      </w:r>
    </w:p>
    <w:p w14:paraId="6A451519" w14:textId="77777777" w:rsidR="00E35FCB" w:rsidRPr="00712F3C" w:rsidRDefault="00E35FCB" w:rsidP="00E35FCB">
      <w:pPr>
        <w:spacing w:after="0" w:line="240" w:lineRule="auto"/>
        <w:jc w:val="both"/>
        <w:rPr>
          <w:rFonts w:ascii="Times New Roman" w:eastAsia="MS Mincho" w:hAnsi="Times New Roman"/>
          <w:sz w:val="20"/>
          <w:szCs w:val="20"/>
          <w:lang w:val="en-GB"/>
        </w:rPr>
      </w:pPr>
    </w:p>
    <w:p w14:paraId="774744DC" w14:textId="77777777" w:rsidR="00E35FCB" w:rsidRPr="00712F3C" w:rsidRDefault="00E35FCB" w:rsidP="00E35FCB">
      <w:pPr>
        <w:spacing w:after="0" w:line="240" w:lineRule="auto"/>
        <w:jc w:val="both"/>
        <w:rPr>
          <w:rFonts w:ascii="Times New Roman" w:hAnsi="Times New Roman"/>
          <w:sz w:val="20"/>
          <w:szCs w:val="20"/>
        </w:rPr>
      </w:pPr>
      <w:r w:rsidRPr="00712F3C">
        <w:rPr>
          <w:rFonts w:ascii="Times New Roman" w:hAnsi="Times New Roman"/>
          <w:sz w:val="20"/>
          <w:szCs w:val="20"/>
        </w:rPr>
        <w:t xml:space="preserve">The compensation payable to our Managing Director and Whole-time Director will be governed as per the terms of their appointment and shall be subject to the provisions of Sections 2(54), 2(94), 188, 196, 197, 198 and 203 and any other applicable provisions, if </w:t>
      </w:r>
      <w:r w:rsidRPr="00712F3C">
        <w:rPr>
          <w:rFonts w:ascii="Times New Roman" w:hAnsi="Times New Roman"/>
          <w:sz w:val="20"/>
          <w:szCs w:val="20"/>
        </w:rPr>
        <w:lastRenderedPageBreak/>
        <w:t xml:space="preserve">any of the Companies Act, 2013 read with Schedule V to the Companies Act, 2013 and the rules made there under (including any statutory modification(s) or re-enactment thereof or any of the provisions of the Companies Act, 1956, for the time being in force). </w:t>
      </w:r>
    </w:p>
    <w:p w14:paraId="04299187" w14:textId="77777777" w:rsidR="00E35FCB" w:rsidRPr="00712F3C" w:rsidRDefault="00E35FCB" w:rsidP="00E35FCB">
      <w:pPr>
        <w:pStyle w:val="xl119"/>
        <w:tabs>
          <w:tab w:val="left" w:pos="5535"/>
        </w:tabs>
        <w:autoSpaceDE w:val="0"/>
        <w:autoSpaceDN w:val="0"/>
        <w:adjustRightInd w:val="0"/>
        <w:spacing w:before="0" w:beforeAutospacing="0" w:after="0" w:afterAutospacing="0"/>
        <w:jc w:val="left"/>
        <w:outlineLvl w:val="2"/>
        <w:rPr>
          <w:rFonts w:ascii="Times New Roman" w:hAnsi="Times New Roman"/>
          <w:sz w:val="20"/>
          <w:szCs w:val="20"/>
        </w:rPr>
      </w:pPr>
    </w:p>
    <w:p w14:paraId="49C0A735" w14:textId="77777777" w:rsidR="00E35FCB" w:rsidRPr="00712F3C" w:rsidRDefault="00E35FCB" w:rsidP="00E35FCB">
      <w:pPr>
        <w:pStyle w:val="xl119"/>
        <w:tabs>
          <w:tab w:val="left" w:pos="5535"/>
        </w:tabs>
        <w:autoSpaceDE w:val="0"/>
        <w:autoSpaceDN w:val="0"/>
        <w:adjustRightInd w:val="0"/>
        <w:spacing w:before="0" w:beforeAutospacing="0" w:after="0" w:afterAutospacing="0"/>
        <w:jc w:val="left"/>
        <w:outlineLvl w:val="2"/>
        <w:rPr>
          <w:rFonts w:ascii="Times New Roman" w:hAnsi="Times New Roman"/>
          <w:sz w:val="20"/>
          <w:szCs w:val="20"/>
        </w:rPr>
      </w:pPr>
      <w:r w:rsidRPr="00712F3C">
        <w:rPr>
          <w:rFonts w:ascii="Times New Roman" w:hAnsi="Times New Roman"/>
          <w:sz w:val="20"/>
          <w:szCs w:val="20"/>
        </w:rPr>
        <w:t>The following compensation has been approved for Managing Director &amp; Whole time Director:</w:t>
      </w:r>
    </w:p>
    <w:p w14:paraId="7EDB7ACF" w14:textId="77777777" w:rsidR="00E35FCB" w:rsidRPr="00712F3C" w:rsidRDefault="00E35FCB" w:rsidP="00E35FCB">
      <w:pPr>
        <w:pStyle w:val="xl119"/>
        <w:tabs>
          <w:tab w:val="left" w:pos="5535"/>
        </w:tabs>
        <w:autoSpaceDE w:val="0"/>
        <w:autoSpaceDN w:val="0"/>
        <w:adjustRightInd w:val="0"/>
        <w:spacing w:before="0" w:beforeAutospacing="0" w:after="0" w:afterAutospacing="0"/>
        <w:jc w:val="left"/>
        <w:outlineLvl w:val="2"/>
        <w:rPr>
          <w:rFonts w:ascii="Times New Roman" w:hAnsi="Times New Roman"/>
          <w:sz w:val="20"/>
          <w:szCs w:val="20"/>
        </w:rPr>
      </w:pPr>
    </w:p>
    <w:p w14:paraId="4503603E" w14:textId="77777777" w:rsidR="00E35FCB" w:rsidRPr="00712F3C" w:rsidRDefault="00E35FCB">
      <w:pPr>
        <w:numPr>
          <w:ilvl w:val="0"/>
          <w:numId w:val="176"/>
        </w:numPr>
        <w:autoSpaceDE w:val="0"/>
        <w:autoSpaceDN w:val="0"/>
        <w:adjustRightInd w:val="0"/>
        <w:spacing w:after="0" w:line="240" w:lineRule="auto"/>
        <w:rPr>
          <w:rFonts w:ascii="Times New Roman" w:hAnsi="Times New Roman"/>
          <w:b/>
          <w:bCs/>
          <w:sz w:val="20"/>
          <w:szCs w:val="20"/>
        </w:rPr>
      </w:pPr>
      <w:r w:rsidRPr="007C4339">
        <w:rPr>
          <w:rFonts w:ascii="Times New Roman" w:hAnsi="Times New Roman"/>
          <w:b/>
          <w:bCs/>
          <w:sz w:val="20"/>
          <w:szCs w:val="20"/>
        </w:rPr>
        <w:t>Ramgopal Ochhavlal Maheshwari</w:t>
      </w:r>
      <w:r w:rsidRPr="00712F3C">
        <w:rPr>
          <w:rFonts w:ascii="Times New Roman" w:hAnsi="Times New Roman"/>
          <w:b/>
          <w:bCs/>
          <w:sz w:val="20"/>
          <w:szCs w:val="20"/>
        </w:rPr>
        <w:t xml:space="preserve">: Chairman &amp; </w:t>
      </w:r>
      <w:r>
        <w:rPr>
          <w:rFonts w:ascii="Times New Roman" w:hAnsi="Times New Roman"/>
          <w:b/>
          <w:bCs/>
          <w:sz w:val="20"/>
          <w:szCs w:val="20"/>
        </w:rPr>
        <w:t>Wholetime</w:t>
      </w:r>
      <w:r w:rsidRPr="00712F3C">
        <w:rPr>
          <w:rFonts w:ascii="Times New Roman" w:hAnsi="Times New Roman"/>
          <w:b/>
          <w:bCs/>
          <w:sz w:val="20"/>
          <w:szCs w:val="20"/>
        </w:rPr>
        <w:t xml:space="preserve"> Director</w:t>
      </w:r>
    </w:p>
    <w:p w14:paraId="2D900CE8" w14:textId="77777777" w:rsidR="00E35FCB" w:rsidRPr="00712F3C" w:rsidRDefault="00E35FCB" w:rsidP="00E35FCB">
      <w:pPr>
        <w:pStyle w:val="xl119"/>
        <w:tabs>
          <w:tab w:val="left" w:pos="5535"/>
        </w:tabs>
        <w:autoSpaceDE w:val="0"/>
        <w:autoSpaceDN w:val="0"/>
        <w:adjustRightInd w:val="0"/>
        <w:spacing w:before="0" w:beforeAutospacing="0" w:after="0" w:afterAutospacing="0"/>
        <w:ind w:left="720"/>
        <w:jc w:val="left"/>
        <w:outlineLvl w:val="2"/>
        <w:rPr>
          <w:rFonts w:ascii="Times New Roman" w:hAnsi="Times New Roman"/>
          <w:b w:val="0"/>
          <w:sz w:val="20"/>
          <w:szCs w:val="20"/>
        </w:rPr>
      </w:pPr>
    </w:p>
    <w:p w14:paraId="0A4BE6B8" w14:textId="77777777" w:rsidR="00E35FCB" w:rsidRPr="00712F3C" w:rsidRDefault="00E35FCB" w:rsidP="00E35FCB">
      <w:pPr>
        <w:pStyle w:val="xl119"/>
        <w:tabs>
          <w:tab w:val="left" w:pos="5535"/>
        </w:tabs>
        <w:autoSpaceDE w:val="0"/>
        <w:autoSpaceDN w:val="0"/>
        <w:adjustRightInd w:val="0"/>
        <w:spacing w:before="0" w:beforeAutospacing="0" w:after="0" w:afterAutospacing="0"/>
        <w:outlineLvl w:val="2"/>
        <w:rPr>
          <w:rFonts w:ascii="Times New Roman" w:hAnsi="Times New Roman"/>
          <w:b w:val="0"/>
          <w:sz w:val="20"/>
          <w:szCs w:val="20"/>
        </w:rPr>
      </w:pPr>
      <w:r w:rsidRPr="00740D5C">
        <w:rPr>
          <w:rFonts w:ascii="Times New Roman" w:hAnsi="Times New Roman"/>
          <w:b w:val="0"/>
          <w:sz w:val="20"/>
          <w:szCs w:val="20"/>
        </w:rPr>
        <w:t xml:space="preserve">Pursuant to the resolutions passed by our Shareholders on August 25, 2023, Ramgopal Ochhavlal Maheshwari was </w:t>
      </w:r>
      <w:r>
        <w:rPr>
          <w:rFonts w:ascii="Times New Roman" w:hAnsi="Times New Roman"/>
          <w:b w:val="0"/>
          <w:sz w:val="20"/>
          <w:szCs w:val="20"/>
        </w:rPr>
        <w:t xml:space="preserve">re-designated </w:t>
      </w:r>
      <w:r w:rsidRPr="00740D5C">
        <w:rPr>
          <w:rFonts w:ascii="Times New Roman" w:hAnsi="Times New Roman"/>
          <w:b w:val="0"/>
          <w:sz w:val="20"/>
          <w:szCs w:val="20"/>
        </w:rPr>
        <w:t>as Chairman &amp; Wholetime Director for a period of three years with effect from August 25, 2023</w:t>
      </w:r>
      <w:r>
        <w:rPr>
          <w:rFonts w:ascii="Times New Roman" w:hAnsi="Times New Roman"/>
          <w:b w:val="0"/>
          <w:sz w:val="20"/>
          <w:szCs w:val="20"/>
        </w:rPr>
        <w:t xml:space="preserve"> </w:t>
      </w:r>
      <w:r w:rsidRPr="00740D5C">
        <w:rPr>
          <w:rFonts w:ascii="Times New Roman" w:hAnsi="Times New Roman"/>
          <w:b w:val="0"/>
          <w:sz w:val="20"/>
          <w:szCs w:val="20"/>
        </w:rPr>
        <w:t>at a remuneration, which is to be given by way of salary, dearness allowance, perquisites</w:t>
      </w:r>
      <w:r w:rsidRPr="00712F3C">
        <w:rPr>
          <w:rFonts w:ascii="Times New Roman" w:hAnsi="Times New Roman"/>
          <w:b w:val="0"/>
          <w:sz w:val="20"/>
          <w:szCs w:val="20"/>
        </w:rPr>
        <w:t xml:space="preserve"> and other allowances or any other combination thereof which shall not </w:t>
      </w:r>
      <w:r w:rsidRPr="005E13B9">
        <w:rPr>
          <w:rFonts w:ascii="Times New Roman" w:hAnsi="Times New Roman"/>
          <w:b w:val="0"/>
          <w:sz w:val="20"/>
          <w:szCs w:val="20"/>
        </w:rPr>
        <w:t xml:space="preserve">exceed </w:t>
      </w:r>
      <w:r w:rsidRPr="005E13B9">
        <w:rPr>
          <w:rFonts w:ascii="Times New Roman" w:eastAsia="MS Mincho" w:hAnsi="Times New Roman"/>
          <w:b w:val="0"/>
          <w:sz w:val="20"/>
          <w:szCs w:val="20"/>
          <w:lang w:val="en-GB"/>
        </w:rPr>
        <w:t>₹ 120 lakhs p.a.</w:t>
      </w:r>
    </w:p>
    <w:p w14:paraId="1CDECA6E" w14:textId="77777777" w:rsidR="00E35FCB" w:rsidRPr="00712F3C" w:rsidRDefault="00E35FCB" w:rsidP="00E35FCB">
      <w:pPr>
        <w:pStyle w:val="xl119"/>
        <w:tabs>
          <w:tab w:val="left" w:pos="5535"/>
        </w:tabs>
        <w:autoSpaceDE w:val="0"/>
        <w:autoSpaceDN w:val="0"/>
        <w:adjustRightInd w:val="0"/>
        <w:spacing w:before="0" w:beforeAutospacing="0" w:after="0" w:afterAutospacing="0"/>
        <w:outlineLvl w:val="2"/>
        <w:rPr>
          <w:rFonts w:ascii="Times New Roman" w:hAnsi="Times New Roman"/>
          <w:b w:val="0"/>
          <w:sz w:val="20"/>
          <w:szCs w:val="20"/>
        </w:rPr>
      </w:pPr>
    </w:p>
    <w:p w14:paraId="2A08B089" w14:textId="77777777" w:rsidR="00E35FCB" w:rsidRPr="00712F3C" w:rsidRDefault="00E35FCB">
      <w:pPr>
        <w:numPr>
          <w:ilvl w:val="0"/>
          <w:numId w:val="176"/>
        </w:numPr>
        <w:autoSpaceDE w:val="0"/>
        <w:autoSpaceDN w:val="0"/>
        <w:adjustRightInd w:val="0"/>
        <w:spacing w:after="0" w:line="240" w:lineRule="auto"/>
        <w:rPr>
          <w:rFonts w:ascii="Times New Roman" w:hAnsi="Times New Roman"/>
          <w:b/>
          <w:bCs/>
          <w:sz w:val="20"/>
          <w:szCs w:val="20"/>
        </w:rPr>
      </w:pPr>
      <w:r w:rsidRPr="007C4339">
        <w:rPr>
          <w:rFonts w:ascii="Times New Roman" w:eastAsia="MS Mincho" w:hAnsi="Times New Roman"/>
          <w:b/>
          <w:sz w:val="20"/>
          <w:szCs w:val="20"/>
          <w:lang w:val="en-GB"/>
        </w:rPr>
        <w:t>Bhavesh Ramgopal Maheshwari</w:t>
      </w:r>
      <w:r w:rsidRPr="00712F3C">
        <w:rPr>
          <w:rFonts w:ascii="Times New Roman" w:hAnsi="Times New Roman"/>
          <w:b/>
          <w:bCs/>
          <w:sz w:val="20"/>
          <w:szCs w:val="20"/>
        </w:rPr>
        <w:t xml:space="preserve">: </w:t>
      </w:r>
      <w:r>
        <w:rPr>
          <w:rFonts w:ascii="Times New Roman" w:hAnsi="Times New Roman"/>
          <w:b/>
          <w:bCs/>
          <w:sz w:val="20"/>
          <w:szCs w:val="20"/>
        </w:rPr>
        <w:t>Managing</w:t>
      </w:r>
      <w:r w:rsidRPr="00712F3C">
        <w:rPr>
          <w:rFonts w:ascii="Times New Roman" w:hAnsi="Times New Roman"/>
          <w:b/>
          <w:bCs/>
          <w:sz w:val="20"/>
          <w:szCs w:val="20"/>
        </w:rPr>
        <w:t xml:space="preserve"> Director</w:t>
      </w:r>
    </w:p>
    <w:p w14:paraId="2A6931B1" w14:textId="77777777" w:rsidR="00E35FCB" w:rsidRPr="00712F3C" w:rsidRDefault="00E35FCB" w:rsidP="00E35FCB">
      <w:pPr>
        <w:pStyle w:val="xl119"/>
        <w:tabs>
          <w:tab w:val="left" w:pos="5535"/>
        </w:tabs>
        <w:autoSpaceDE w:val="0"/>
        <w:autoSpaceDN w:val="0"/>
        <w:adjustRightInd w:val="0"/>
        <w:spacing w:before="0" w:beforeAutospacing="0" w:after="0" w:afterAutospacing="0"/>
        <w:ind w:left="720"/>
        <w:outlineLvl w:val="2"/>
        <w:rPr>
          <w:rFonts w:ascii="Times New Roman" w:hAnsi="Times New Roman"/>
          <w:sz w:val="20"/>
          <w:szCs w:val="20"/>
        </w:rPr>
      </w:pPr>
    </w:p>
    <w:p w14:paraId="20A41670" w14:textId="77777777" w:rsidR="00E35FCB" w:rsidRPr="00712F3C" w:rsidRDefault="00E35FCB" w:rsidP="00E35FCB">
      <w:pPr>
        <w:pStyle w:val="xl119"/>
        <w:tabs>
          <w:tab w:val="left" w:pos="5535"/>
        </w:tabs>
        <w:autoSpaceDE w:val="0"/>
        <w:autoSpaceDN w:val="0"/>
        <w:adjustRightInd w:val="0"/>
        <w:spacing w:before="0" w:beforeAutospacing="0" w:after="0" w:afterAutospacing="0"/>
        <w:outlineLvl w:val="2"/>
        <w:rPr>
          <w:rFonts w:ascii="Times New Roman" w:hAnsi="Times New Roman"/>
          <w:b w:val="0"/>
          <w:sz w:val="20"/>
          <w:szCs w:val="20"/>
        </w:rPr>
      </w:pPr>
      <w:r w:rsidRPr="00740D5C">
        <w:rPr>
          <w:rFonts w:ascii="Times New Roman" w:hAnsi="Times New Roman"/>
          <w:b w:val="0"/>
          <w:sz w:val="20"/>
          <w:szCs w:val="20"/>
        </w:rPr>
        <w:t xml:space="preserve">Pursuant to the resolutions passed by our Shareholders on August 25, 2023, </w:t>
      </w:r>
      <w:r w:rsidRPr="00740D5C">
        <w:rPr>
          <w:rFonts w:ascii="Times New Roman" w:eastAsia="MS Mincho" w:hAnsi="Times New Roman"/>
          <w:b w:val="0"/>
          <w:sz w:val="20"/>
          <w:szCs w:val="20"/>
          <w:lang w:val="en-GB"/>
        </w:rPr>
        <w:t xml:space="preserve">Bhavesh Ramgopal Maheshwari </w:t>
      </w:r>
      <w:r w:rsidRPr="00740D5C">
        <w:rPr>
          <w:rFonts w:ascii="Times New Roman" w:hAnsi="Times New Roman"/>
          <w:b w:val="0"/>
          <w:sz w:val="20"/>
          <w:szCs w:val="20"/>
        </w:rPr>
        <w:t>was re-designated as Managing Director for a period of three years with effect from August 25, 2023 at a remuneration, which is to be given by way of salary, dearness allowance, perquisites and other allowances or any other combination thereof which</w:t>
      </w:r>
      <w:r w:rsidRPr="005E13B9">
        <w:rPr>
          <w:rFonts w:ascii="Times New Roman" w:hAnsi="Times New Roman"/>
          <w:b w:val="0"/>
          <w:sz w:val="20"/>
          <w:szCs w:val="20"/>
        </w:rPr>
        <w:t xml:space="preserve"> shall not exceed </w:t>
      </w:r>
      <w:r w:rsidRPr="005E13B9">
        <w:rPr>
          <w:rFonts w:ascii="Times New Roman" w:hAnsi="Times New Roman"/>
          <w:b w:val="0"/>
          <w:sz w:val="20"/>
          <w:szCs w:val="20"/>
          <w:lang w:val="en-GB"/>
        </w:rPr>
        <w:t>₹ 120 lakhs p.a.</w:t>
      </w:r>
    </w:p>
    <w:p w14:paraId="51FD96EF" w14:textId="77777777" w:rsidR="00E35FCB" w:rsidRDefault="00E35FCB" w:rsidP="00E35FCB">
      <w:pPr>
        <w:pStyle w:val="xl119"/>
        <w:tabs>
          <w:tab w:val="left" w:pos="5535"/>
        </w:tabs>
        <w:autoSpaceDE w:val="0"/>
        <w:autoSpaceDN w:val="0"/>
        <w:adjustRightInd w:val="0"/>
        <w:spacing w:before="0" w:beforeAutospacing="0" w:after="0" w:afterAutospacing="0"/>
        <w:outlineLvl w:val="2"/>
        <w:rPr>
          <w:rFonts w:ascii="Times New Roman" w:hAnsi="Times New Roman"/>
          <w:b w:val="0"/>
          <w:sz w:val="20"/>
          <w:szCs w:val="20"/>
        </w:rPr>
      </w:pPr>
    </w:p>
    <w:p w14:paraId="08943D46" w14:textId="77777777" w:rsidR="00E35FCB" w:rsidRPr="00712F3C" w:rsidRDefault="00E35FCB" w:rsidP="00E35FCB">
      <w:pPr>
        <w:autoSpaceDE w:val="0"/>
        <w:autoSpaceDN w:val="0"/>
        <w:adjustRightInd w:val="0"/>
        <w:spacing w:after="0" w:line="240" w:lineRule="auto"/>
        <w:rPr>
          <w:rFonts w:ascii="Times New Roman" w:hAnsi="Times New Roman"/>
          <w:b/>
          <w:bCs/>
          <w:sz w:val="20"/>
          <w:szCs w:val="20"/>
        </w:rPr>
      </w:pPr>
      <w:r w:rsidRPr="00712F3C">
        <w:rPr>
          <w:rFonts w:ascii="Times New Roman" w:hAnsi="Times New Roman"/>
          <w:b/>
          <w:bCs/>
          <w:sz w:val="20"/>
          <w:szCs w:val="20"/>
        </w:rPr>
        <w:t>Payments or benefits to Directors:</w:t>
      </w:r>
    </w:p>
    <w:p w14:paraId="39FF4FDE" w14:textId="77777777" w:rsidR="00E35FCB" w:rsidRPr="00712F3C" w:rsidRDefault="00E35FCB" w:rsidP="00E35FCB">
      <w:pPr>
        <w:autoSpaceDE w:val="0"/>
        <w:autoSpaceDN w:val="0"/>
        <w:adjustRightInd w:val="0"/>
        <w:spacing w:after="0" w:line="240" w:lineRule="auto"/>
        <w:rPr>
          <w:rFonts w:ascii="Times New Roman" w:hAnsi="Times New Roman"/>
          <w:b/>
          <w:bCs/>
          <w:sz w:val="20"/>
          <w:szCs w:val="20"/>
        </w:rPr>
      </w:pPr>
    </w:p>
    <w:p w14:paraId="12A7BC49" w14:textId="77777777" w:rsidR="00E35FCB" w:rsidRPr="00712F3C" w:rsidRDefault="00E35FCB" w:rsidP="00E35FCB">
      <w:pPr>
        <w:autoSpaceDE w:val="0"/>
        <w:autoSpaceDN w:val="0"/>
        <w:adjustRightInd w:val="0"/>
        <w:spacing w:after="0" w:line="240" w:lineRule="auto"/>
        <w:rPr>
          <w:rFonts w:ascii="Times New Roman" w:hAnsi="Times New Roman"/>
          <w:b/>
          <w:bCs/>
          <w:sz w:val="20"/>
          <w:szCs w:val="20"/>
        </w:rPr>
      </w:pPr>
      <w:r w:rsidRPr="00712F3C">
        <w:rPr>
          <w:rFonts w:ascii="Times New Roman" w:hAnsi="Times New Roman"/>
          <w:b/>
          <w:bCs/>
          <w:sz w:val="20"/>
          <w:szCs w:val="20"/>
        </w:rPr>
        <w:t xml:space="preserve">The remuneration paid to our Directors in Fiscal </w:t>
      </w:r>
      <w:r>
        <w:rPr>
          <w:rFonts w:ascii="Times New Roman" w:hAnsi="Times New Roman"/>
          <w:b/>
          <w:bCs/>
          <w:sz w:val="20"/>
          <w:szCs w:val="20"/>
        </w:rPr>
        <w:t>2023</w:t>
      </w:r>
      <w:r w:rsidRPr="00712F3C">
        <w:rPr>
          <w:rFonts w:ascii="Times New Roman" w:hAnsi="Times New Roman"/>
          <w:b/>
          <w:bCs/>
          <w:sz w:val="20"/>
          <w:szCs w:val="20"/>
        </w:rPr>
        <w:t xml:space="preserve"> is as follows:</w:t>
      </w:r>
    </w:p>
    <w:p w14:paraId="47EEFEAE" w14:textId="77777777" w:rsidR="00E35FCB" w:rsidRPr="00712F3C" w:rsidRDefault="00E35FCB" w:rsidP="00E35FCB">
      <w:pPr>
        <w:autoSpaceDE w:val="0"/>
        <w:autoSpaceDN w:val="0"/>
        <w:adjustRightInd w:val="0"/>
        <w:spacing w:after="0" w:line="240" w:lineRule="auto"/>
        <w:rPr>
          <w:rFonts w:ascii="Times New Roman" w:hAnsi="Times New Roman"/>
          <w:b/>
          <w:bC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3"/>
        <w:gridCol w:w="4677"/>
      </w:tblGrid>
      <w:tr w:rsidR="00E35FCB" w:rsidRPr="00712F3C" w14:paraId="32F18B53" w14:textId="77777777" w:rsidTr="00250DAC">
        <w:trPr>
          <w:tblHeader/>
        </w:trPr>
        <w:tc>
          <w:tcPr>
            <w:tcW w:w="3823" w:type="dxa"/>
            <w:shd w:val="clear" w:color="auto" w:fill="D0CECE" w:themeFill="background2" w:themeFillShade="E6"/>
          </w:tcPr>
          <w:p w14:paraId="36AD41F6" w14:textId="77777777" w:rsidR="00E35FCB" w:rsidRPr="00712F3C" w:rsidRDefault="00E35FCB" w:rsidP="00250DAC">
            <w:pPr>
              <w:autoSpaceDE w:val="0"/>
              <w:autoSpaceDN w:val="0"/>
              <w:adjustRightInd w:val="0"/>
              <w:spacing w:after="0" w:line="240" w:lineRule="auto"/>
              <w:rPr>
                <w:rFonts w:ascii="Times New Roman" w:eastAsia="Calibri" w:hAnsi="Times New Roman"/>
                <w:b/>
                <w:bCs/>
                <w:sz w:val="20"/>
                <w:szCs w:val="20"/>
              </w:rPr>
            </w:pPr>
            <w:r w:rsidRPr="00712F3C">
              <w:rPr>
                <w:rFonts w:ascii="Times New Roman" w:eastAsia="Calibri" w:hAnsi="Times New Roman"/>
                <w:b/>
                <w:bCs/>
                <w:sz w:val="20"/>
                <w:szCs w:val="20"/>
              </w:rPr>
              <w:t>Name of Director</w:t>
            </w:r>
          </w:p>
        </w:tc>
        <w:tc>
          <w:tcPr>
            <w:tcW w:w="4677" w:type="dxa"/>
            <w:shd w:val="clear" w:color="auto" w:fill="D0CECE" w:themeFill="background2" w:themeFillShade="E6"/>
          </w:tcPr>
          <w:p w14:paraId="2FC851A9" w14:textId="77777777" w:rsidR="00E35FCB" w:rsidRPr="00712F3C" w:rsidRDefault="00E35FCB" w:rsidP="00250DAC">
            <w:pPr>
              <w:autoSpaceDE w:val="0"/>
              <w:autoSpaceDN w:val="0"/>
              <w:adjustRightInd w:val="0"/>
              <w:spacing w:after="0" w:line="240" w:lineRule="auto"/>
              <w:rPr>
                <w:rFonts w:ascii="Times New Roman" w:eastAsia="Calibri" w:hAnsi="Times New Roman"/>
                <w:b/>
                <w:bCs/>
                <w:sz w:val="20"/>
                <w:szCs w:val="20"/>
              </w:rPr>
            </w:pPr>
            <w:r w:rsidRPr="00712F3C">
              <w:rPr>
                <w:rFonts w:ascii="Times New Roman" w:eastAsia="Calibri" w:hAnsi="Times New Roman"/>
                <w:b/>
                <w:bCs/>
                <w:sz w:val="20"/>
                <w:szCs w:val="20"/>
              </w:rPr>
              <w:t>Remuneration paid in F.Y. 202</w:t>
            </w:r>
            <w:r>
              <w:rPr>
                <w:rFonts w:ascii="Times New Roman" w:eastAsia="Calibri" w:hAnsi="Times New Roman"/>
                <w:b/>
                <w:bCs/>
                <w:sz w:val="20"/>
                <w:szCs w:val="20"/>
              </w:rPr>
              <w:t>2-23</w:t>
            </w:r>
            <w:r w:rsidRPr="00712F3C">
              <w:rPr>
                <w:rFonts w:ascii="Times New Roman" w:eastAsia="Calibri" w:hAnsi="Times New Roman"/>
                <w:b/>
                <w:bCs/>
                <w:sz w:val="20"/>
                <w:szCs w:val="20"/>
              </w:rPr>
              <w:t xml:space="preserve"> (₹ in lakhs)</w:t>
            </w:r>
          </w:p>
        </w:tc>
      </w:tr>
      <w:tr w:rsidR="00E35FCB" w:rsidRPr="00712F3C" w14:paraId="7485C692" w14:textId="77777777" w:rsidTr="00250DAC">
        <w:tc>
          <w:tcPr>
            <w:tcW w:w="3823" w:type="dxa"/>
          </w:tcPr>
          <w:p w14:paraId="777ABB34" w14:textId="77777777" w:rsidR="00E35FCB" w:rsidRPr="00712F3C" w:rsidRDefault="00E35FCB" w:rsidP="00250DAC">
            <w:pPr>
              <w:autoSpaceDE w:val="0"/>
              <w:autoSpaceDN w:val="0"/>
              <w:adjustRightInd w:val="0"/>
              <w:spacing w:after="0" w:line="240" w:lineRule="auto"/>
              <w:rPr>
                <w:rFonts w:ascii="Times New Roman" w:eastAsia="Calibri" w:hAnsi="Times New Roman"/>
                <w:bCs/>
                <w:sz w:val="20"/>
                <w:szCs w:val="20"/>
              </w:rPr>
            </w:pPr>
            <w:r w:rsidRPr="007C4339">
              <w:rPr>
                <w:rFonts w:ascii="Times New Roman" w:hAnsi="Times New Roman"/>
                <w:sz w:val="20"/>
                <w:szCs w:val="20"/>
              </w:rPr>
              <w:t>Ramgopal Ochhavlal Maheshwari</w:t>
            </w:r>
          </w:p>
        </w:tc>
        <w:tc>
          <w:tcPr>
            <w:tcW w:w="4677" w:type="dxa"/>
          </w:tcPr>
          <w:p w14:paraId="3A6CA1BE" w14:textId="77777777" w:rsidR="00E35FCB" w:rsidRPr="00712F3C" w:rsidRDefault="00E35FCB" w:rsidP="00250DAC">
            <w:pPr>
              <w:autoSpaceDE w:val="0"/>
              <w:autoSpaceDN w:val="0"/>
              <w:adjustRightInd w:val="0"/>
              <w:spacing w:after="0" w:line="240" w:lineRule="auto"/>
              <w:jc w:val="center"/>
              <w:rPr>
                <w:rFonts w:ascii="Times New Roman" w:eastAsia="Calibri" w:hAnsi="Times New Roman"/>
                <w:bCs/>
                <w:sz w:val="20"/>
                <w:szCs w:val="20"/>
              </w:rPr>
            </w:pPr>
            <w:r>
              <w:rPr>
                <w:rFonts w:ascii="Times New Roman" w:eastAsia="Calibri" w:hAnsi="Times New Roman"/>
                <w:bCs/>
                <w:sz w:val="20"/>
                <w:szCs w:val="20"/>
              </w:rPr>
              <w:t>42</w:t>
            </w:r>
            <w:r w:rsidRPr="00712F3C">
              <w:rPr>
                <w:rFonts w:ascii="Times New Roman" w:eastAsia="Calibri" w:hAnsi="Times New Roman"/>
                <w:bCs/>
                <w:sz w:val="20"/>
                <w:szCs w:val="20"/>
              </w:rPr>
              <w:t>.00</w:t>
            </w:r>
          </w:p>
        </w:tc>
      </w:tr>
      <w:tr w:rsidR="00E35FCB" w:rsidRPr="00712F3C" w14:paraId="3D64D984" w14:textId="77777777" w:rsidTr="00250DAC">
        <w:tc>
          <w:tcPr>
            <w:tcW w:w="3823" w:type="dxa"/>
          </w:tcPr>
          <w:p w14:paraId="4B1FB2FE" w14:textId="77777777" w:rsidR="00E35FCB" w:rsidRPr="00712F3C" w:rsidRDefault="00E35FCB" w:rsidP="00250DAC">
            <w:pPr>
              <w:autoSpaceDE w:val="0"/>
              <w:autoSpaceDN w:val="0"/>
              <w:adjustRightInd w:val="0"/>
              <w:spacing w:after="0" w:line="240" w:lineRule="auto"/>
              <w:rPr>
                <w:rFonts w:ascii="Times New Roman" w:eastAsia="Calibri" w:hAnsi="Times New Roman"/>
                <w:bCs/>
                <w:sz w:val="20"/>
                <w:szCs w:val="20"/>
              </w:rPr>
            </w:pPr>
            <w:r w:rsidRPr="007C4339">
              <w:rPr>
                <w:rFonts w:ascii="Times New Roman" w:eastAsia="MS Mincho" w:hAnsi="Times New Roman"/>
                <w:sz w:val="20"/>
                <w:szCs w:val="20"/>
                <w:lang w:val="en-GB"/>
              </w:rPr>
              <w:t>Bhavesh Ramgopal Maheshwari</w:t>
            </w:r>
          </w:p>
        </w:tc>
        <w:tc>
          <w:tcPr>
            <w:tcW w:w="4677" w:type="dxa"/>
          </w:tcPr>
          <w:p w14:paraId="1A22A01B" w14:textId="77777777" w:rsidR="00E35FCB" w:rsidRPr="00712F3C" w:rsidRDefault="00E35FCB" w:rsidP="00250DAC">
            <w:pPr>
              <w:autoSpaceDE w:val="0"/>
              <w:autoSpaceDN w:val="0"/>
              <w:adjustRightInd w:val="0"/>
              <w:spacing w:after="0" w:line="240" w:lineRule="auto"/>
              <w:jc w:val="center"/>
              <w:rPr>
                <w:rFonts w:ascii="Times New Roman" w:eastAsia="Calibri" w:hAnsi="Times New Roman"/>
                <w:bCs/>
                <w:sz w:val="20"/>
                <w:szCs w:val="20"/>
              </w:rPr>
            </w:pPr>
            <w:r>
              <w:rPr>
                <w:rFonts w:ascii="Times New Roman" w:eastAsia="Calibri" w:hAnsi="Times New Roman"/>
                <w:bCs/>
                <w:sz w:val="20"/>
                <w:szCs w:val="20"/>
              </w:rPr>
              <w:t>42</w:t>
            </w:r>
            <w:r w:rsidRPr="00712F3C">
              <w:rPr>
                <w:rFonts w:ascii="Times New Roman" w:eastAsia="Calibri" w:hAnsi="Times New Roman"/>
                <w:bCs/>
                <w:sz w:val="20"/>
                <w:szCs w:val="20"/>
              </w:rPr>
              <w:t>.00</w:t>
            </w:r>
          </w:p>
        </w:tc>
      </w:tr>
      <w:tr w:rsidR="00E35FCB" w:rsidRPr="00712F3C" w14:paraId="4ECD806A" w14:textId="77777777" w:rsidTr="00250DAC">
        <w:tc>
          <w:tcPr>
            <w:tcW w:w="3823" w:type="dxa"/>
          </w:tcPr>
          <w:p w14:paraId="60F96F26" w14:textId="77777777" w:rsidR="00E35FCB" w:rsidRPr="002A1472" w:rsidRDefault="00E35FCB" w:rsidP="00250DAC">
            <w:pPr>
              <w:autoSpaceDE w:val="0"/>
              <w:autoSpaceDN w:val="0"/>
              <w:adjustRightInd w:val="0"/>
              <w:spacing w:after="0" w:line="240" w:lineRule="auto"/>
              <w:rPr>
                <w:rFonts w:ascii="Times New Roman" w:eastAsia="MS Mincho" w:hAnsi="Times New Roman"/>
                <w:sz w:val="20"/>
                <w:szCs w:val="20"/>
                <w:lang w:val="en-GB"/>
              </w:rPr>
            </w:pPr>
            <w:r>
              <w:rPr>
                <w:rFonts w:ascii="Times New Roman" w:eastAsia="MS Mincho" w:hAnsi="Times New Roman"/>
                <w:sz w:val="20"/>
                <w:szCs w:val="20"/>
                <w:lang w:val="en-GB"/>
              </w:rPr>
              <w:t>Madhu Ramgopal Maheshwari</w:t>
            </w:r>
          </w:p>
        </w:tc>
        <w:tc>
          <w:tcPr>
            <w:tcW w:w="4677" w:type="dxa"/>
          </w:tcPr>
          <w:p w14:paraId="5C29E89C" w14:textId="77777777" w:rsidR="00E35FCB" w:rsidRDefault="00E35FCB" w:rsidP="00250DAC">
            <w:pPr>
              <w:autoSpaceDE w:val="0"/>
              <w:autoSpaceDN w:val="0"/>
              <w:adjustRightInd w:val="0"/>
              <w:spacing w:after="0" w:line="240" w:lineRule="auto"/>
              <w:jc w:val="center"/>
              <w:rPr>
                <w:rFonts w:ascii="Times New Roman" w:eastAsia="Calibri" w:hAnsi="Times New Roman"/>
                <w:bCs/>
                <w:sz w:val="20"/>
                <w:szCs w:val="20"/>
              </w:rPr>
            </w:pPr>
            <w:r>
              <w:rPr>
                <w:rFonts w:ascii="Times New Roman" w:eastAsia="Calibri" w:hAnsi="Times New Roman"/>
                <w:bCs/>
                <w:sz w:val="20"/>
                <w:szCs w:val="20"/>
              </w:rPr>
              <w:t>25.20</w:t>
            </w:r>
          </w:p>
        </w:tc>
      </w:tr>
    </w:tbl>
    <w:p w14:paraId="3CC430E2" w14:textId="77777777" w:rsidR="00E35FCB" w:rsidRPr="00712F3C" w:rsidRDefault="00E35FCB" w:rsidP="00E35FCB">
      <w:pPr>
        <w:autoSpaceDE w:val="0"/>
        <w:autoSpaceDN w:val="0"/>
        <w:adjustRightInd w:val="0"/>
        <w:spacing w:after="0" w:line="240" w:lineRule="auto"/>
        <w:rPr>
          <w:rFonts w:ascii="Times New Roman" w:hAnsi="Times New Roman"/>
          <w:b/>
          <w:bCs/>
          <w:sz w:val="20"/>
          <w:szCs w:val="20"/>
        </w:rPr>
      </w:pPr>
    </w:p>
    <w:p w14:paraId="4D9427CA" w14:textId="77777777" w:rsidR="00E35FCB" w:rsidRPr="00712F3C" w:rsidRDefault="00E35FCB" w:rsidP="00E35FCB">
      <w:pPr>
        <w:autoSpaceDE w:val="0"/>
        <w:autoSpaceDN w:val="0"/>
        <w:adjustRightInd w:val="0"/>
        <w:spacing w:after="0" w:line="240" w:lineRule="auto"/>
        <w:rPr>
          <w:rFonts w:ascii="Times New Roman" w:hAnsi="Times New Roman"/>
          <w:b/>
          <w:bCs/>
          <w:sz w:val="20"/>
          <w:szCs w:val="20"/>
        </w:rPr>
      </w:pPr>
      <w:r w:rsidRPr="00712F3C">
        <w:rPr>
          <w:rFonts w:ascii="Times New Roman" w:hAnsi="Times New Roman"/>
          <w:b/>
          <w:bCs/>
          <w:sz w:val="20"/>
          <w:szCs w:val="20"/>
        </w:rPr>
        <w:t>Bonus or Profit</w:t>
      </w:r>
      <w:r>
        <w:rPr>
          <w:rFonts w:ascii="Times New Roman" w:hAnsi="Times New Roman"/>
          <w:b/>
          <w:bCs/>
          <w:sz w:val="20"/>
          <w:szCs w:val="20"/>
        </w:rPr>
        <w:t>-</w:t>
      </w:r>
      <w:r w:rsidRPr="00712F3C">
        <w:rPr>
          <w:rFonts w:ascii="Times New Roman" w:hAnsi="Times New Roman"/>
          <w:b/>
          <w:bCs/>
          <w:sz w:val="20"/>
          <w:szCs w:val="20"/>
        </w:rPr>
        <w:t>Sharing Plan for our Directors:</w:t>
      </w:r>
    </w:p>
    <w:p w14:paraId="47C75A7B" w14:textId="77777777" w:rsidR="00E35FCB" w:rsidRPr="00712F3C" w:rsidRDefault="00E35FCB" w:rsidP="00E35FCB">
      <w:pPr>
        <w:autoSpaceDE w:val="0"/>
        <w:autoSpaceDN w:val="0"/>
        <w:adjustRightInd w:val="0"/>
        <w:spacing w:after="0" w:line="240" w:lineRule="auto"/>
        <w:rPr>
          <w:rFonts w:ascii="Times New Roman" w:hAnsi="Times New Roman"/>
          <w:b/>
          <w:bCs/>
          <w:sz w:val="20"/>
          <w:szCs w:val="20"/>
        </w:rPr>
      </w:pPr>
    </w:p>
    <w:p w14:paraId="45E70251" w14:textId="77777777" w:rsidR="00E35FCB" w:rsidRPr="00712F3C" w:rsidRDefault="00E35FCB" w:rsidP="00E35FCB">
      <w:pPr>
        <w:autoSpaceDE w:val="0"/>
        <w:autoSpaceDN w:val="0"/>
        <w:adjustRightInd w:val="0"/>
        <w:spacing w:after="0" w:line="240" w:lineRule="auto"/>
        <w:jc w:val="both"/>
        <w:rPr>
          <w:rFonts w:ascii="Times New Roman" w:hAnsi="Times New Roman"/>
          <w:sz w:val="20"/>
          <w:szCs w:val="20"/>
        </w:rPr>
      </w:pPr>
      <w:r w:rsidRPr="00712F3C">
        <w:rPr>
          <w:rFonts w:ascii="Times New Roman" w:hAnsi="Times New Roman"/>
          <w:sz w:val="20"/>
          <w:szCs w:val="20"/>
        </w:rPr>
        <w:t>We have no bonus or profit</w:t>
      </w:r>
      <w:r>
        <w:rPr>
          <w:rFonts w:ascii="Times New Roman" w:hAnsi="Times New Roman"/>
          <w:sz w:val="20"/>
          <w:szCs w:val="20"/>
        </w:rPr>
        <w:t>-</w:t>
      </w:r>
      <w:r w:rsidRPr="00712F3C">
        <w:rPr>
          <w:rFonts w:ascii="Times New Roman" w:hAnsi="Times New Roman"/>
          <w:sz w:val="20"/>
          <w:szCs w:val="20"/>
        </w:rPr>
        <w:t>sharing plan for our directors.</w:t>
      </w:r>
    </w:p>
    <w:p w14:paraId="4A50AAE7" w14:textId="77777777" w:rsidR="00E35FCB" w:rsidRPr="00712F3C" w:rsidRDefault="00E35FCB" w:rsidP="00E35FCB">
      <w:pPr>
        <w:autoSpaceDE w:val="0"/>
        <w:autoSpaceDN w:val="0"/>
        <w:adjustRightInd w:val="0"/>
        <w:spacing w:after="0" w:line="240" w:lineRule="auto"/>
        <w:jc w:val="both"/>
        <w:rPr>
          <w:rFonts w:ascii="Times New Roman" w:eastAsia="MS Mincho" w:hAnsi="Times New Roman"/>
          <w:b/>
          <w:bCs/>
          <w:i/>
          <w:sz w:val="20"/>
          <w:szCs w:val="20"/>
          <w:lang w:val="en-GB"/>
        </w:rPr>
      </w:pPr>
    </w:p>
    <w:p w14:paraId="13B932B7" w14:textId="77777777" w:rsidR="00E35FCB" w:rsidRPr="00712F3C" w:rsidRDefault="00E35FCB" w:rsidP="00E35FCB">
      <w:pPr>
        <w:widowControl w:val="0"/>
        <w:autoSpaceDE w:val="0"/>
        <w:autoSpaceDN w:val="0"/>
        <w:adjustRightInd w:val="0"/>
        <w:spacing w:after="0" w:line="240" w:lineRule="auto"/>
        <w:jc w:val="both"/>
        <w:rPr>
          <w:rFonts w:ascii="Times New Roman" w:eastAsia="MS Mincho" w:hAnsi="Times New Roman"/>
          <w:b/>
          <w:bCs/>
          <w:sz w:val="20"/>
          <w:szCs w:val="20"/>
          <w:lang w:val="en-GB"/>
        </w:rPr>
      </w:pPr>
      <w:r w:rsidRPr="00712F3C">
        <w:rPr>
          <w:rFonts w:ascii="Times New Roman" w:eastAsia="MS Mincho" w:hAnsi="Times New Roman"/>
          <w:b/>
          <w:bCs/>
          <w:sz w:val="20"/>
          <w:szCs w:val="20"/>
          <w:lang w:val="en-GB"/>
        </w:rPr>
        <w:t>Sitting Fees:</w:t>
      </w:r>
    </w:p>
    <w:p w14:paraId="42DB654E" w14:textId="77777777" w:rsidR="00E35FCB" w:rsidRPr="00712F3C" w:rsidRDefault="00E35FCB" w:rsidP="00E35FCB">
      <w:pPr>
        <w:widowControl w:val="0"/>
        <w:autoSpaceDE w:val="0"/>
        <w:autoSpaceDN w:val="0"/>
        <w:adjustRightInd w:val="0"/>
        <w:spacing w:after="0" w:line="240" w:lineRule="auto"/>
        <w:jc w:val="both"/>
        <w:rPr>
          <w:rFonts w:ascii="Times New Roman" w:eastAsia="MS Mincho" w:hAnsi="Times New Roman"/>
          <w:b/>
          <w:bCs/>
          <w:sz w:val="20"/>
          <w:szCs w:val="20"/>
          <w:lang w:val="en-GB"/>
        </w:rPr>
      </w:pPr>
    </w:p>
    <w:p w14:paraId="75CA3E78" w14:textId="77777777" w:rsidR="00E35FCB" w:rsidRPr="00712F3C" w:rsidRDefault="00E35FCB" w:rsidP="00E35FCB">
      <w:pPr>
        <w:widowControl w:val="0"/>
        <w:autoSpaceDE w:val="0"/>
        <w:autoSpaceDN w:val="0"/>
        <w:adjustRightInd w:val="0"/>
        <w:spacing w:after="0" w:line="240" w:lineRule="auto"/>
        <w:jc w:val="both"/>
        <w:rPr>
          <w:rFonts w:ascii="Times New Roman" w:hAnsi="Times New Roman"/>
          <w:sz w:val="20"/>
          <w:szCs w:val="20"/>
        </w:rPr>
      </w:pPr>
      <w:r w:rsidRPr="00740D5C">
        <w:rPr>
          <w:rFonts w:ascii="Times New Roman" w:hAnsi="Times New Roman"/>
          <w:sz w:val="20"/>
          <w:szCs w:val="20"/>
        </w:rPr>
        <w:t>Our Board of Directors have resolved in their meeting dated August 24, 2023 for payment</w:t>
      </w:r>
      <w:r w:rsidRPr="00712F3C">
        <w:rPr>
          <w:rFonts w:ascii="Times New Roman" w:hAnsi="Times New Roman"/>
          <w:sz w:val="20"/>
          <w:szCs w:val="20"/>
        </w:rPr>
        <w:t xml:space="preserve"> of sitting fees to Directors (including independent directors) of the Company, such sum as may be decided by the Board of D</w:t>
      </w:r>
      <w:r>
        <w:rPr>
          <w:rFonts w:ascii="Times New Roman" w:hAnsi="Times New Roman"/>
          <w:sz w:val="20"/>
          <w:szCs w:val="20"/>
        </w:rPr>
        <w:t>irectors which shall not exceed</w:t>
      </w:r>
      <w:r w:rsidRPr="00712F3C">
        <w:rPr>
          <w:rFonts w:ascii="Times New Roman" w:hAnsi="Times New Roman"/>
          <w:sz w:val="20"/>
          <w:szCs w:val="20"/>
        </w:rPr>
        <w:t xml:space="preserve"> ₹ 1,00,000/- (Rupees One Lakh Only) per meeting of the Board or Committee thereof, attended by such director. </w:t>
      </w:r>
    </w:p>
    <w:p w14:paraId="6ACB7954" w14:textId="77777777" w:rsidR="00E35FCB" w:rsidRPr="00712F3C" w:rsidRDefault="00E35FCB" w:rsidP="00E35FCB">
      <w:pPr>
        <w:autoSpaceDE w:val="0"/>
        <w:autoSpaceDN w:val="0"/>
        <w:adjustRightInd w:val="0"/>
        <w:spacing w:after="0" w:line="240" w:lineRule="auto"/>
        <w:jc w:val="both"/>
        <w:rPr>
          <w:rFonts w:ascii="Times New Roman" w:eastAsia="MS Mincho" w:hAnsi="Times New Roman"/>
          <w:b/>
          <w:bCs/>
          <w:i/>
          <w:sz w:val="20"/>
          <w:szCs w:val="20"/>
          <w:lang w:val="en-GB"/>
        </w:rPr>
      </w:pPr>
    </w:p>
    <w:p w14:paraId="1AFA6F8C" w14:textId="77777777" w:rsidR="00E35FCB" w:rsidRPr="00712F3C" w:rsidRDefault="00E35FCB" w:rsidP="00E35FCB">
      <w:pPr>
        <w:widowControl w:val="0"/>
        <w:autoSpaceDE w:val="0"/>
        <w:autoSpaceDN w:val="0"/>
        <w:adjustRightInd w:val="0"/>
        <w:spacing w:after="0" w:line="240" w:lineRule="auto"/>
        <w:jc w:val="both"/>
        <w:rPr>
          <w:rFonts w:ascii="Times New Roman" w:eastAsia="MS Mincho" w:hAnsi="Times New Roman"/>
          <w:b/>
          <w:bCs/>
          <w:sz w:val="20"/>
          <w:szCs w:val="20"/>
          <w:lang w:val="en-GB"/>
        </w:rPr>
      </w:pPr>
      <w:r w:rsidRPr="00712F3C">
        <w:rPr>
          <w:rFonts w:ascii="Times New Roman" w:eastAsia="MS Mincho" w:hAnsi="Times New Roman"/>
          <w:b/>
          <w:bCs/>
          <w:sz w:val="20"/>
          <w:szCs w:val="20"/>
          <w:lang w:val="en-GB"/>
        </w:rPr>
        <w:t>Shareholding of our Directors as on the date of this Draft Red Herring Prospectus:</w:t>
      </w:r>
    </w:p>
    <w:p w14:paraId="14961438" w14:textId="77777777" w:rsidR="00E35FCB" w:rsidRPr="00712F3C" w:rsidRDefault="00E35FCB" w:rsidP="00E35FCB">
      <w:pPr>
        <w:autoSpaceDE w:val="0"/>
        <w:autoSpaceDN w:val="0"/>
        <w:adjustRightInd w:val="0"/>
        <w:spacing w:after="0" w:line="240" w:lineRule="auto"/>
        <w:jc w:val="both"/>
        <w:rPr>
          <w:rFonts w:ascii="Times New Roman" w:eastAsia="MS Mincho" w:hAnsi="Times New Roman"/>
          <w:b/>
          <w:bCs/>
          <w:sz w:val="20"/>
          <w:szCs w:val="20"/>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85"/>
        <w:gridCol w:w="5389"/>
        <w:gridCol w:w="1842"/>
        <w:gridCol w:w="2240"/>
      </w:tblGrid>
      <w:tr w:rsidR="00E35FCB" w:rsidRPr="00712F3C" w14:paraId="1854360C" w14:textId="77777777" w:rsidTr="00250DAC">
        <w:trPr>
          <w:trHeight w:val="20"/>
          <w:tblHeader/>
        </w:trPr>
        <w:tc>
          <w:tcPr>
            <w:tcW w:w="471" w:type="pct"/>
            <w:shd w:val="clear" w:color="auto" w:fill="D0CECE" w:themeFill="background2" w:themeFillShade="E6"/>
            <w:vAlign w:val="center"/>
          </w:tcPr>
          <w:p w14:paraId="5C927153" w14:textId="77777777" w:rsidR="00E35FCB" w:rsidRPr="00712F3C" w:rsidRDefault="00E35FCB" w:rsidP="00250DAC">
            <w:pPr>
              <w:spacing w:after="0" w:line="240" w:lineRule="auto"/>
              <w:ind w:right="46"/>
              <w:jc w:val="center"/>
              <w:rPr>
                <w:rFonts w:ascii="Times New Roman" w:eastAsia="MS Mincho" w:hAnsi="Times New Roman"/>
                <w:b/>
                <w:sz w:val="20"/>
                <w:szCs w:val="20"/>
                <w:lang w:val="en-GB"/>
              </w:rPr>
            </w:pPr>
            <w:r w:rsidRPr="00712F3C">
              <w:rPr>
                <w:rFonts w:ascii="Times New Roman" w:hAnsi="Times New Roman"/>
                <w:b/>
                <w:bCs/>
                <w:sz w:val="20"/>
                <w:szCs w:val="20"/>
                <w:lang w:val="en-GB"/>
              </w:rPr>
              <w:t>Sr. No.</w:t>
            </w:r>
          </w:p>
        </w:tc>
        <w:tc>
          <w:tcPr>
            <w:tcW w:w="2577" w:type="pct"/>
            <w:shd w:val="clear" w:color="auto" w:fill="D0CECE" w:themeFill="background2" w:themeFillShade="E6"/>
            <w:vAlign w:val="center"/>
          </w:tcPr>
          <w:p w14:paraId="791253D7" w14:textId="77777777" w:rsidR="00E35FCB" w:rsidRPr="00712F3C" w:rsidRDefault="00E35FCB" w:rsidP="00250DAC">
            <w:pPr>
              <w:widowControl w:val="0"/>
              <w:autoSpaceDE w:val="0"/>
              <w:autoSpaceDN w:val="0"/>
              <w:adjustRightInd w:val="0"/>
              <w:spacing w:after="0" w:line="240" w:lineRule="auto"/>
              <w:ind w:firstLine="98"/>
              <w:jc w:val="both"/>
              <w:rPr>
                <w:rFonts w:ascii="Times New Roman" w:eastAsia="MS Mincho" w:hAnsi="Times New Roman"/>
                <w:b/>
                <w:sz w:val="20"/>
                <w:szCs w:val="20"/>
                <w:lang w:val="en-GB"/>
              </w:rPr>
            </w:pPr>
            <w:r w:rsidRPr="00712F3C">
              <w:rPr>
                <w:rFonts w:ascii="Times New Roman" w:eastAsia="MS Mincho" w:hAnsi="Times New Roman"/>
                <w:b/>
                <w:sz w:val="20"/>
                <w:szCs w:val="20"/>
                <w:lang w:val="en-GB"/>
              </w:rPr>
              <w:t>Name of the Directors</w:t>
            </w:r>
          </w:p>
        </w:tc>
        <w:tc>
          <w:tcPr>
            <w:tcW w:w="881" w:type="pct"/>
            <w:shd w:val="clear" w:color="auto" w:fill="D0CECE" w:themeFill="background2" w:themeFillShade="E6"/>
            <w:vAlign w:val="center"/>
          </w:tcPr>
          <w:p w14:paraId="4F276560" w14:textId="77777777" w:rsidR="00E35FCB" w:rsidRPr="005E13B9" w:rsidRDefault="00E35FCB" w:rsidP="00250DAC">
            <w:pPr>
              <w:spacing w:after="0" w:line="240" w:lineRule="auto"/>
              <w:ind w:right="46"/>
              <w:jc w:val="center"/>
              <w:rPr>
                <w:rFonts w:ascii="Times New Roman" w:eastAsia="MS Mincho" w:hAnsi="Times New Roman"/>
                <w:b/>
                <w:sz w:val="20"/>
                <w:szCs w:val="20"/>
                <w:lang w:val="en-GB"/>
              </w:rPr>
            </w:pPr>
            <w:r w:rsidRPr="005E13B9">
              <w:rPr>
                <w:rFonts w:ascii="Times New Roman" w:eastAsia="MS Mincho" w:hAnsi="Times New Roman"/>
                <w:b/>
                <w:sz w:val="20"/>
                <w:szCs w:val="20"/>
                <w:lang w:val="en-GB"/>
              </w:rPr>
              <w:t>No. of Shares Held</w:t>
            </w:r>
          </w:p>
        </w:tc>
        <w:tc>
          <w:tcPr>
            <w:tcW w:w="1071" w:type="pct"/>
            <w:shd w:val="clear" w:color="auto" w:fill="D0CECE" w:themeFill="background2" w:themeFillShade="E6"/>
            <w:vAlign w:val="center"/>
          </w:tcPr>
          <w:p w14:paraId="356900E6" w14:textId="77777777" w:rsidR="00E35FCB" w:rsidRPr="005E13B9" w:rsidRDefault="00E35FCB" w:rsidP="00250DAC">
            <w:pPr>
              <w:spacing w:after="0" w:line="240" w:lineRule="auto"/>
              <w:ind w:right="46"/>
              <w:jc w:val="center"/>
              <w:rPr>
                <w:rFonts w:ascii="Times New Roman" w:eastAsia="MS Mincho" w:hAnsi="Times New Roman"/>
                <w:b/>
                <w:sz w:val="20"/>
                <w:szCs w:val="20"/>
                <w:lang w:val="en-GB"/>
              </w:rPr>
            </w:pPr>
            <w:r w:rsidRPr="005E13B9">
              <w:rPr>
                <w:rFonts w:ascii="Times New Roman" w:eastAsia="MS Mincho" w:hAnsi="Times New Roman"/>
                <w:b/>
                <w:bCs/>
                <w:sz w:val="20"/>
                <w:szCs w:val="20"/>
                <w:lang w:val="en-GB"/>
              </w:rPr>
              <w:t>Holding in % (pre-issue)</w:t>
            </w:r>
          </w:p>
        </w:tc>
      </w:tr>
      <w:tr w:rsidR="00E35FCB" w:rsidRPr="00712F3C" w14:paraId="0D0A16A9" w14:textId="77777777" w:rsidTr="00250DAC">
        <w:trPr>
          <w:trHeight w:val="20"/>
        </w:trPr>
        <w:tc>
          <w:tcPr>
            <w:tcW w:w="471" w:type="pct"/>
            <w:vAlign w:val="center"/>
          </w:tcPr>
          <w:p w14:paraId="71AA3091" w14:textId="77777777" w:rsidR="00E35FCB" w:rsidRPr="00712F3C" w:rsidRDefault="00E35FCB">
            <w:pPr>
              <w:pStyle w:val="ListParagraph"/>
              <w:numPr>
                <w:ilvl w:val="0"/>
                <w:numId w:val="172"/>
              </w:numPr>
              <w:suppressAutoHyphens w:val="0"/>
              <w:autoSpaceDE/>
              <w:autoSpaceDN/>
              <w:adjustRightInd/>
              <w:spacing w:line="240" w:lineRule="auto"/>
              <w:ind w:left="119" w:right="46" w:firstLine="0"/>
              <w:jc w:val="center"/>
              <w:textAlignment w:val="auto"/>
              <w:outlineLvl w:val="0"/>
              <w:rPr>
                <w:iCs/>
                <w:sz w:val="20"/>
                <w:szCs w:val="20"/>
              </w:rPr>
            </w:pPr>
          </w:p>
        </w:tc>
        <w:tc>
          <w:tcPr>
            <w:tcW w:w="2577" w:type="pct"/>
            <w:shd w:val="clear" w:color="auto" w:fill="auto"/>
          </w:tcPr>
          <w:p w14:paraId="29160C16" w14:textId="77777777" w:rsidR="00E35FCB" w:rsidRPr="00712F3C" w:rsidRDefault="00E35FCB" w:rsidP="00250DAC">
            <w:pPr>
              <w:autoSpaceDE w:val="0"/>
              <w:autoSpaceDN w:val="0"/>
              <w:adjustRightInd w:val="0"/>
              <w:spacing w:after="0" w:line="240" w:lineRule="auto"/>
              <w:ind w:left="144"/>
              <w:rPr>
                <w:rFonts w:ascii="Times New Roman" w:eastAsia="Calibri" w:hAnsi="Times New Roman"/>
                <w:bCs/>
                <w:sz w:val="20"/>
                <w:szCs w:val="20"/>
              </w:rPr>
            </w:pPr>
            <w:r w:rsidRPr="007C4339">
              <w:rPr>
                <w:rFonts w:ascii="Times New Roman" w:hAnsi="Times New Roman"/>
                <w:sz w:val="20"/>
                <w:szCs w:val="20"/>
              </w:rPr>
              <w:t>Ramgopal Ochhavlal Maheshwari</w:t>
            </w:r>
          </w:p>
        </w:tc>
        <w:tc>
          <w:tcPr>
            <w:tcW w:w="881" w:type="pct"/>
            <w:shd w:val="clear" w:color="auto" w:fill="auto"/>
            <w:vAlign w:val="center"/>
          </w:tcPr>
          <w:p w14:paraId="4DDA6090" w14:textId="77777777" w:rsidR="00E35FCB" w:rsidRPr="005E13B9" w:rsidRDefault="00E35FCB" w:rsidP="00250DAC">
            <w:pPr>
              <w:spacing w:after="0" w:line="240" w:lineRule="auto"/>
              <w:ind w:right="46"/>
              <w:jc w:val="center"/>
              <w:rPr>
                <w:rFonts w:ascii="Times New Roman" w:eastAsia="MS Mincho" w:hAnsi="Times New Roman"/>
                <w:color w:val="000000"/>
                <w:sz w:val="20"/>
                <w:szCs w:val="20"/>
                <w:lang w:val="en-GB"/>
              </w:rPr>
            </w:pPr>
            <w:r w:rsidRPr="005E13B9">
              <w:rPr>
                <w:rFonts w:ascii="Times New Roman" w:eastAsia="MS Mincho" w:hAnsi="Times New Roman"/>
                <w:color w:val="000000"/>
                <w:sz w:val="20"/>
                <w:szCs w:val="20"/>
                <w:lang w:val="en-GB"/>
              </w:rPr>
              <w:t>4,50,000</w:t>
            </w:r>
          </w:p>
        </w:tc>
        <w:tc>
          <w:tcPr>
            <w:tcW w:w="1071" w:type="pct"/>
            <w:shd w:val="clear" w:color="auto" w:fill="auto"/>
            <w:vAlign w:val="center"/>
          </w:tcPr>
          <w:p w14:paraId="4DB75379" w14:textId="77777777" w:rsidR="00E35FCB" w:rsidRPr="005E13B9" w:rsidRDefault="00E35FCB" w:rsidP="00250DAC">
            <w:pPr>
              <w:spacing w:after="0" w:line="240" w:lineRule="auto"/>
              <w:ind w:right="46"/>
              <w:jc w:val="center"/>
              <w:rPr>
                <w:rFonts w:ascii="Times New Roman" w:eastAsia="MS Mincho" w:hAnsi="Times New Roman"/>
                <w:color w:val="000000"/>
                <w:sz w:val="20"/>
                <w:szCs w:val="20"/>
                <w:lang w:val="en-GB"/>
              </w:rPr>
            </w:pPr>
            <w:r w:rsidRPr="005E13B9">
              <w:rPr>
                <w:rFonts w:ascii="Times New Roman" w:eastAsia="MS Mincho" w:hAnsi="Times New Roman"/>
                <w:color w:val="000000"/>
                <w:sz w:val="20"/>
                <w:szCs w:val="20"/>
                <w:lang w:val="en-GB"/>
              </w:rPr>
              <w:t>3.26</w:t>
            </w:r>
          </w:p>
        </w:tc>
      </w:tr>
      <w:tr w:rsidR="00E35FCB" w:rsidRPr="00712F3C" w14:paraId="033DA506" w14:textId="77777777" w:rsidTr="00250DAC">
        <w:trPr>
          <w:trHeight w:val="20"/>
        </w:trPr>
        <w:tc>
          <w:tcPr>
            <w:tcW w:w="471" w:type="pct"/>
            <w:vAlign w:val="center"/>
          </w:tcPr>
          <w:p w14:paraId="571412BB" w14:textId="77777777" w:rsidR="00E35FCB" w:rsidRPr="00712F3C" w:rsidRDefault="00E35FCB">
            <w:pPr>
              <w:pStyle w:val="ListParagraph"/>
              <w:numPr>
                <w:ilvl w:val="0"/>
                <w:numId w:val="172"/>
              </w:numPr>
              <w:suppressAutoHyphens w:val="0"/>
              <w:autoSpaceDE/>
              <w:autoSpaceDN/>
              <w:adjustRightInd/>
              <w:spacing w:line="240" w:lineRule="auto"/>
              <w:ind w:left="119" w:right="46" w:firstLine="0"/>
              <w:jc w:val="center"/>
              <w:textAlignment w:val="auto"/>
              <w:outlineLvl w:val="0"/>
              <w:rPr>
                <w:iCs/>
                <w:sz w:val="20"/>
                <w:szCs w:val="20"/>
              </w:rPr>
            </w:pPr>
          </w:p>
        </w:tc>
        <w:tc>
          <w:tcPr>
            <w:tcW w:w="2577" w:type="pct"/>
            <w:shd w:val="clear" w:color="auto" w:fill="auto"/>
          </w:tcPr>
          <w:p w14:paraId="381F78C2" w14:textId="77777777" w:rsidR="00E35FCB" w:rsidRPr="00712F3C" w:rsidRDefault="00E35FCB" w:rsidP="00250DAC">
            <w:pPr>
              <w:autoSpaceDE w:val="0"/>
              <w:autoSpaceDN w:val="0"/>
              <w:adjustRightInd w:val="0"/>
              <w:spacing w:after="0" w:line="240" w:lineRule="auto"/>
              <w:ind w:left="144"/>
              <w:rPr>
                <w:rFonts w:ascii="Times New Roman" w:eastAsia="Calibri" w:hAnsi="Times New Roman"/>
                <w:bCs/>
                <w:sz w:val="20"/>
                <w:szCs w:val="20"/>
              </w:rPr>
            </w:pPr>
            <w:r w:rsidRPr="007C4339">
              <w:rPr>
                <w:rFonts w:ascii="Times New Roman" w:eastAsia="MS Mincho" w:hAnsi="Times New Roman"/>
                <w:sz w:val="20"/>
                <w:szCs w:val="20"/>
                <w:lang w:val="en-GB"/>
              </w:rPr>
              <w:t>Bhavesh Ramgopal Maheshwari</w:t>
            </w:r>
          </w:p>
        </w:tc>
        <w:tc>
          <w:tcPr>
            <w:tcW w:w="881" w:type="pct"/>
            <w:shd w:val="clear" w:color="auto" w:fill="auto"/>
            <w:vAlign w:val="center"/>
          </w:tcPr>
          <w:p w14:paraId="2A6888BD" w14:textId="77777777" w:rsidR="00E35FCB" w:rsidRPr="005E13B9" w:rsidRDefault="00E35FCB" w:rsidP="00250DAC">
            <w:pPr>
              <w:spacing w:after="0" w:line="240" w:lineRule="auto"/>
              <w:ind w:right="46"/>
              <w:jc w:val="center"/>
              <w:rPr>
                <w:rFonts w:ascii="Times New Roman" w:eastAsia="MS Mincho" w:hAnsi="Times New Roman"/>
                <w:color w:val="000000"/>
                <w:sz w:val="20"/>
                <w:szCs w:val="20"/>
                <w:lang w:val="en-GB"/>
              </w:rPr>
            </w:pPr>
            <w:r w:rsidRPr="005E13B9">
              <w:rPr>
                <w:rFonts w:ascii="Times New Roman" w:eastAsia="MS Mincho" w:hAnsi="Times New Roman"/>
                <w:color w:val="000000"/>
                <w:sz w:val="20"/>
                <w:szCs w:val="20"/>
                <w:lang w:val="en-GB"/>
              </w:rPr>
              <w:t>2,10,000</w:t>
            </w:r>
          </w:p>
        </w:tc>
        <w:tc>
          <w:tcPr>
            <w:tcW w:w="1071" w:type="pct"/>
            <w:shd w:val="clear" w:color="auto" w:fill="auto"/>
          </w:tcPr>
          <w:p w14:paraId="07528179" w14:textId="77777777" w:rsidR="00E35FCB" w:rsidRPr="005E13B9" w:rsidRDefault="00E35FCB" w:rsidP="00250DAC">
            <w:pPr>
              <w:spacing w:after="0" w:line="240" w:lineRule="auto"/>
              <w:ind w:right="46"/>
              <w:jc w:val="center"/>
              <w:rPr>
                <w:rFonts w:ascii="Times New Roman" w:eastAsia="MS Mincho" w:hAnsi="Times New Roman"/>
                <w:color w:val="000000"/>
                <w:sz w:val="20"/>
                <w:szCs w:val="20"/>
                <w:lang w:val="en-GB"/>
              </w:rPr>
            </w:pPr>
            <w:r w:rsidRPr="005E13B9">
              <w:rPr>
                <w:rFonts w:ascii="Times New Roman" w:eastAsia="MS Mincho" w:hAnsi="Times New Roman"/>
                <w:color w:val="000000"/>
                <w:sz w:val="20"/>
                <w:szCs w:val="20"/>
                <w:lang w:val="en-GB"/>
              </w:rPr>
              <w:t>1.52</w:t>
            </w:r>
          </w:p>
        </w:tc>
      </w:tr>
      <w:tr w:rsidR="00E35FCB" w:rsidRPr="00712F3C" w14:paraId="302C47D7" w14:textId="77777777" w:rsidTr="00250DAC">
        <w:trPr>
          <w:trHeight w:val="20"/>
        </w:trPr>
        <w:tc>
          <w:tcPr>
            <w:tcW w:w="471" w:type="pct"/>
            <w:vAlign w:val="center"/>
          </w:tcPr>
          <w:p w14:paraId="6EF09525" w14:textId="77777777" w:rsidR="00E35FCB" w:rsidRPr="00712F3C" w:rsidRDefault="00E35FCB">
            <w:pPr>
              <w:pStyle w:val="ListParagraph"/>
              <w:numPr>
                <w:ilvl w:val="0"/>
                <w:numId w:val="172"/>
              </w:numPr>
              <w:suppressAutoHyphens w:val="0"/>
              <w:autoSpaceDE/>
              <w:autoSpaceDN/>
              <w:adjustRightInd/>
              <w:spacing w:line="240" w:lineRule="auto"/>
              <w:ind w:left="119" w:right="46" w:firstLine="0"/>
              <w:jc w:val="center"/>
              <w:textAlignment w:val="auto"/>
              <w:outlineLvl w:val="0"/>
              <w:rPr>
                <w:iCs/>
                <w:sz w:val="20"/>
                <w:szCs w:val="20"/>
              </w:rPr>
            </w:pPr>
          </w:p>
        </w:tc>
        <w:tc>
          <w:tcPr>
            <w:tcW w:w="2577" w:type="pct"/>
            <w:shd w:val="clear" w:color="auto" w:fill="auto"/>
          </w:tcPr>
          <w:p w14:paraId="1E968E9A" w14:textId="77777777" w:rsidR="00E35FCB" w:rsidRPr="00712F3C" w:rsidRDefault="00E35FCB" w:rsidP="00250DAC">
            <w:pPr>
              <w:autoSpaceDE w:val="0"/>
              <w:autoSpaceDN w:val="0"/>
              <w:adjustRightInd w:val="0"/>
              <w:spacing w:after="0" w:line="240" w:lineRule="auto"/>
              <w:ind w:left="144"/>
              <w:rPr>
                <w:rFonts w:ascii="Times New Roman" w:hAnsi="Times New Roman"/>
                <w:sz w:val="20"/>
                <w:szCs w:val="20"/>
              </w:rPr>
            </w:pPr>
            <w:r>
              <w:rPr>
                <w:rFonts w:ascii="Times New Roman" w:eastAsia="MS Mincho" w:hAnsi="Times New Roman"/>
                <w:sz w:val="20"/>
                <w:szCs w:val="20"/>
                <w:lang w:val="en-GB"/>
              </w:rPr>
              <w:t>Madhu Ramgopal Maheshwari</w:t>
            </w:r>
          </w:p>
        </w:tc>
        <w:tc>
          <w:tcPr>
            <w:tcW w:w="881" w:type="pct"/>
            <w:shd w:val="clear" w:color="auto" w:fill="auto"/>
            <w:vAlign w:val="center"/>
          </w:tcPr>
          <w:p w14:paraId="10E9728E" w14:textId="77777777" w:rsidR="00E35FCB" w:rsidRPr="005E13B9" w:rsidRDefault="00E35FCB" w:rsidP="00250DAC">
            <w:pPr>
              <w:spacing w:after="0" w:line="240" w:lineRule="auto"/>
              <w:ind w:right="46"/>
              <w:jc w:val="center"/>
              <w:rPr>
                <w:rFonts w:ascii="Times New Roman" w:eastAsia="MS Mincho" w:hAnsi="Times New Roman"/>
                <w:color w:val="000000"/>
                <w:sz w:val="20"/>
                <w:szCs w:val="20"/>
                <w:lang w:val="en-GB"/>
              </w:rPr>
            </w:pPr>
            <w:r w:rsidRPr="005E13B9">
              <w:rPr>
                <w:rFonts w:ascii="Times New Roman" w:eastAsia="MS Mincho" w:hAnsi="Times New Roman"/>
                <w:color w:val="000000"/>
                <w:sz w:val="20"/>
                <w:szCs w:val="20"/>
                <w:lang w:val="en-GB"/>
              </w:rPr>
              <w:t>40,000</w:t>
            </w:r>
          </w:p>
        </w:tc>
        <w:tc>
          <w:tcPr>
            <w:tcW w:w="1071" w:type="pct"/>
            <w:shd w:val="clear" w:color="auto" w:fill="auto"/>
          </w:tcPr>
          <w:p w14:paraId="66DC656F" w14:textId="77777777" w:rsidR="00E35FCB" w:rsidRPr="005E13B9" w:rsidRDefault="00E35FCB" w:rsidP="00250DAC">
            <w:pPr>
              <w:spacing w:after="0" w:line="240" w:lineRule="auto"/>
              <w:ind w:right="46"/>
              <w:jc w:val="center"/>
              <w:rPr>
                <w:rFonts w:ascii="Times New Roman" w:eastAsia="MS Mincho" w:hAnsi="Times New Roman"/>
                <w:color w:val="000000"/>
                <w:sz w:val="20"/>
                <w:szCs w:val="20"/>
                <w:lang w:val="en-GB"/>
              </w:rPr>
            </w:pPr>
            <w:r w:rsidRPr="005E13B9">
              <w:rPr>
                <w:rFonts w:ascii="Times New Roman" w:eastAsia="MS Mincho" w:hAnsi="Times New Roman"/>
                <w:color w:val="000000"/>
                <w:sz w:val="20"/>
                <w:szCs w:val="20"/>
                <w:lang w:val="en-GB"/>
              </w:rPr>
              <w:t>0.29</w:t>
            </w:r>
          </w:p>
        </w:tc>
      </w:tr>
      <w:tr w:rsidR="00E35FCB" w:rsidRPr="00712F3C" w14:paraId="722DA794" w14:textId="77777777" w:rsidTr="00250DAC">
        <w:trPr>
          <w:trHeight w:val="20"/>
        </w:trPr>
        <w:tc>
          <w:tcPr>
            <w:tcW w:w="471" w:type="pct"/>
            <w:vAlign w:val="center"/>
          </w:tcPr>
          <w:p w14:paraId="2DCCC7E4" w14:textId="77777777" w:rsidR="00E35FCB" w:rsidRPr="00712F3C" w:rsidRDefault="00E35FCB" w:rsidP="00250DAC">
            <w:pPr>
              <w:keepNext/>
              <w:tabs>
                <w:tab w:val="left" w:pos="-90"/>
                <w:tab w:val="left" w:pos="360"/>
              </w:tabs>
              <w:suppressAutoHyphens/>
              <w:spacing w:after="0" w:line="240" w:lineRule="auto"/>
              <w:ind w:left="119" w:right="46"/>
              <w:jc w:val="center"/>
              <w:outlineLvl w:val="0"/>
              <w:rPr>
                <w:rFonts w:ascii="Times New Roman" w:hAnsi="Times New Roman"/>
                <w:b/>
                <w:bCs/>
                <w:color w:val="000000"/>
                <w:sz w:val="20"/>
                <w:szCs w:val="20"/>
                <w:lang w:val="en-GB"/>
              </w:rPr>
            </w:pPr>
          </w:p>
        </w:tc>
        <w:tc>
          <w:tcPr>
            <w:tcW w:w="2577" w:type="pct"/>
            <w:shd w:val="clear" w:color="auto" w:fill="auto"/>
            <w:vAlign w:val="center"/>
          </w:tcPr>
          <w:p w14:paraId="241D45EE" w14:textId="77777777" w:rsidR="00E35FCB" w:rsidRPr="00712F3C" w:rsidRDefault="00E35FCB" w:rsidP="00250DAC">
            <w:pPr>
              <w:spacing w:after="0" w:line="240" w:lineRule="auto"/>
              <w:ind w:right="46"/>
              <w:jc w:val="center"/>
              <w:rPr>
                <w:rFonts w:ascii="Times New Roman" w:hAnsi="Times New Roman"/>
                <w:b/>
                <w:bCs/>
                <w:color w:val="000000"/>
                <w:sz w:val="20"/>
                <w:szCs w:val="20"/>
                <w:lang w:val="en-GB"/>
              </w:rPr>
            </w:pPr>
            <w:r w:rsidRPr="00712F3C">
              <w:rPr>
                <w:rFonts w:ascii="Times New Roman" w:hAnsi="Times New Roman"/>
                <w:b/>
                <w:bCs/>
                <w:color w:val="000000"/>
                <w:sz w:val="20"/>
                <w:szCs w:val="20"/>
                <w:lang w:val="en-GB"/>
              </w:rPr>
              <w:t>Total</w:t>
            </w:r>
          </w:p>
        </w:tc>
        <w:tc>
          <w:tcPr>
            <w:tcW w:w="881" w:type="pct"/>
            <w:shd w:val="clear" w:color="auto" w:fill="auto"/>
            <w:vAlign w:val="center"/>
          </w:tcPr>
          <w:p w14:paraId="1210759C" w14:textId="77777777" w:rsidR="00E35FCB" w:rsidRPr="005E13B9" w:rsidRDefault="00E35FCB" w:rsidP="00250DAC">
            <w:pPr>
              <w:spacing w:after="0" w:line="240" w:lineRule="auto"/>
              <w:ind w:right="46"/>
              <w:jc w:val="center"/>
              <w:rPr>
                <w:rFonts w:ascii="Times New Roman" w:eastAsia="MS Mincho" w:hAnsi="Times New Roman"/>
                <w:b/>
                <w:bCs/>
                <w:color w:val="000000"/>
                <w:sz w:val="20"/>
                <w:szCs w:val="20"/>
                <w:lang w:val="en-GB"/>
              </w:rPr>
            </w:pPr>
            <w:r w:rsidRPr="005E13B9">
              <w:rPr>
                <w:rFonts w:ascii="Times New Roman" w:eastAsia="MS Mincho" w:hAnsi="Times New Roman"/>
                <w:b/>
                <w:bCs/>
                <w:color w:val="000000"/>
                <w:sz w:val="20"/>
                <w:szCs w:val="20"/>
                <w:lang w:val="en-GB"/>
              </w:rPr>
              <w:t>7,00,000</w:t>
            </w:r>
          </w:p>
        </w:tc>
        <w:tc>
          <w:tcPr>
            <w:tcW w:w="1071" w:type="pct"/>
            <w:shd w:val="clear" w:color="auto" w:fill="auto"/>
            <w:vAlign w:val="center"/>
          </w:tcPr>
          <w:p w14:paraId="1C7C935A" w14:textId="77777777" w:rsidR="00E35FCB" w:rsidRPr="005E13B9" w:rsidRDefault="00E35FCB" w:rsidP="00250DAC">
            <w:pPr>
              <w:spacing w:after="0" w:line="240" w:lineRule="auto"/>
              <w:ind w:right="46"/>
              <w:jc w:val="center"/>
              <w:rPr>
                <w:rFonts w:ascii="Times New Roman" w:eastAsia="MS Mincho" w:hAnsi="Times New Roman"/>
                <w:b/>
                <w:color w:val="000000"/>
                <w:sz w:val="20"/>
                <w:szCs w:val="20"/>
                <w:lang w:val="en-GB"/>
              </w:rPr>
            </w:pPr>
            <w:r w:rsidRPr="005E13B9">
              <w:rPr>
                <w:rFonts w:ascii="Times New Roman" w:eastAsia="MS Mincho" w:hAnsi="Times New Roman"/>
                <w:b/>
                <w:color w:val="000000"/>
                <w:sz w:val="20"/>
                <w:szCs w:val="20"/>
                <w:lang w:val="en-GB"/>
              </w:rPr>
              <w:t>5.07</w:t>
            </w:r>
          </w:p>
        </w:tc>
      </w:tr>
    </w:tbl>
    <w:p w14:paraId="5C82C855" w14:textId="77777777" w:rsidR="00E35FCB" w:rsidRPr="00712F3C" w:rsidRDefault="00E35FCB" w:rsidP="00E35FCB">
      <w:pPr>
        <w:autoSpaceDE w:val="0"/>
        <w:autoSpaceDN w:val="0"/>
        <w:adjustRightInd w:val="0"/>
        <w:spacing w:after="0" w:line="240" w:lineRule="auto"/>
        <w:jc w:val="both"/>
        <w:rPr>
          <w:rFonts w:ascii="Times New Roman" w:eastAsia="MS Mincho" w:hAnsi="Times New Roman"/>
          <w:bCs/>
          <w:i/>
          <w:sz w:val="20"/>
          <w:szCs w:val="20"/>
          <w:lang w:val="en-GB"/>
        </w:rPr>
      </w:pPr>
      <w:r w:rsidRPr="00712F3C">
        <w:rPr>
          <w:rFonts w:ascii="Times New Roman" w:eastAsia="MS Mincho" w:hAnsi="Times New Roman"/>
          <w:bCs/>
          <w:i/>
          <w:sz w:val="20"/>
          <w:szCs w:val="20"/>
          <w:lang w:val="en-GB"/>
        </w:rPr>
        <w:t>None of the Independent Directors of the Company holds any Equity Shares of Company as on the date of this Draft Red Herring Prospectus.</w:t>
      </w:r>
    </w:p>
    <w:p w14:paraId="204C508E" w14:textId="77777777" w:rsidR="00E35FCB" w:rsidRPr="00712F3C" w:rsidRDefault="00E35FCB" w:rsidP="00E35FCB">
      <w:pPr>
        <w:autoSpaceDE w:val="0"/>
        <w:autoSpaceDN w:val="0"/>
        <w:adjustRightInd w:val="0"/>
        <w:spacing w:after="0" w:line="240" w:lineRule="auto"/>
        <w:jc w:val="both"/>
        <w:rPr>
          <w:rFonts w:ascii="Times New Roman" w:eastAsia="MS Mincho" w:hAnsi="Times New Roman"/>
          <w:bCs/>
          <w:i/>
          <w:sz w:val="20"/>
          <w:szCs w:val="20"/>
          <w:lang w:val="en-GB"/>
        </w:rPr>
      </w:pPr>
    </w:p>
    <w:p w14:paraId="2ABB0BBD" w14:textId="77777777" w:rsidR="00E35FCB" w:rsidRPr="00712F3C" w:rsidRDefault="00E35FCB" w:rsidP="00E35FCB">
      <w:pPr>
        <w:autoSpaceDE w:val="0"/>
        <w:autoSpaceDN w:val="0"/>
        <w:adjustRightInd w:val="0"/>
        <w:spacing w:after="0" w:line="240" w:lineRule="auto"/>
        <w:jc w:val="both"/>
        <w:rPr>
          <w:rFonts w:ascii="Times New Roman" w:hAnsi="Times New Roman"/>
          <w:bCs/>
          <w:sz w:val="20"/>
          <w:szCs w:val="20"/>
        </w:rPr>
      </w:pPr>
      <w:r w:rsidRPr="00712F3C">
        <w:rPr>
          <w:rFonts w:ascii="Times New Roman" w:hAnsi="Times New Roman"/>
          <w:bCs/>
          <w:sz w:val="20"/>
          <w:szCs w:val="20"/>
        </w:rPr>
        <w:t xml:space="preserve">We do not have any Subsidiary Company as defined under Section 2(6) of the Companies Act, 2013. </w:t>
      </w:r>
    </w:p>
    <w:p w14:paraId="64BE1552" w14:textId="77777777" w:rsidR="00E35FCB" w:rsidRPr="00712F3C" w:rsidRDefault="00E35FCB" w:rsidP="00E35FCB">
      <w:pPr>
        <w:autoSpaceDE w:val="0"/>
        <w:autoSpaceDN w:val="0"/>
        <w:adjustRightInd w:val="0"/>
        <w:spacing w:after="0" w:line="240" w:lineRule="auto"/>
        <w:jc w:val="both"/>
        <w:rPr>
          <w:rFonts w:ascii="Times New Roman" w:eastAsia="MS Mincho" w:hAnsi="Times New Roman"/>
          <w:b/>
          <w:bCs/>
          <w:sz w:val="20"/>
          <w:szCs w:val="20"/>
          <w:lang w:val="en-GB"/>
        </w:rPr>
      </w:pPr>
    </w:p>
    <w:p w14:paraId="6B44C573" w14:textId="77777777" w:rsidR="00E35FCB" w:rsidRDefault="00E35FCB" w:rsidP="00E35FCB">
      <w:pPr>
        <w:autoSpaceDE w:val="0"/>
        <w:autoSpaceDN w:val="0"/>
        <w:adjustRightInd w:val="0"/>
        <w:spacing w:after="0" w:line="240" w:lineRule="auto"/>
        <w:rPr>
          <w:rFonts w:ascii="Times New Roman" w:hAnsi="Times New Roman"/>
          <w:sz w:val="20"/>
          <w:szCs w:val="20"/>
        </w:rPr>
      </w:pPr>
      <w:r w:rsidRPr="00712F3C">
        <w:rPr>
          <w:rFonts w:ascii="Times New Roman" w:hAnsi="Times New Roman"/>
          <w:sz w:val="20"/>
          <w:szCs w:val="20"/>
        </w:rPr>
        <w:t>Our Articles of Association do not require our directors to hold any qualification Equity Shares in the Company.</w:t>
      </w:r>
    </w:p>
    <w:p w14:paraId="5ADEED2B" w14:textId="77777777" w:rsidR="00E35FCB" w:rsidRPr="00712F3C" w:rsidRDefault="00E35FCB" w:rsidP="00E35FCB">
      <w:pPr>
        <w:autoSpaceDE w:val="0"/>
        <w:autoSpaceDN w:val="0"/>
        <w:adjustRightInd w:val="0"/>
        <w:spacing w:after="0" w:line="240" w:lineRule="auto"/>
        <w:rPr>
          <w:rFonts w:ascii="Times New Roman" w:hAnsi="Times New Roman"/>
          <w:sz w:val="20"/>
          <w:szCs w:val="20"/>
        </w:rPr>
      </w:pPr>
    </w:p>
    <w:p w14:paraId="4857C4BD" w14:textId="77777777" w:rsidR="00E35FCB" w:rsidRPr="00712F3C" w:rsidRDefault="00E35FCB" w:rsidP="00E35FCB">
      <w:pPr>
        <w:autoSpaceDE w:val="0"/>
        <w:autoSpaceDN w:val="0"/>
        <w:adjustRightInd w:val="0"/>
        <w:spacing w:after="0" w:line="240" w:lineRule="auto"/>
        <w:jc w:val="both"/>
        <w:rPr>
          <w:rFonts w:ascii="Times New Roman" w:eastAsia="MS Mincho" w:hAnsi="Times New Roman"/>
          <w:b/>
          <w:bCs/>
          <w:sz w:val="20"/>
          <w:szCs w:val="20"/>
          <w:lang w:val="en-GB"/>
        </w:rPr>
      </w:pPr>
      <w:r w:rsidRPr="00712F3C">
        <w:rPr>
          <w:rFonts w:ascii="Times New Roman" w:eastAsia="MS Mincho" w:hAnsi="Times New Roman"/>
          <w:b/>
          <w:bCs/>
          <w:sz w:val="20"/>
          <w:szCs w:val="20"/>
          <w:lang w:val="en-GB"/>
        </w:rPr>
        <w:t>INTEREST OF DIRECTORS</w:t>
      </w:r>
    </w:p>
    <w:p w14:paraId="6A235927" w14:textId="77777777" w:rsidR="00E35FCB" w:rsidRPr="00712F3C" w:rsidRDefault="00E35FCB" w:rsidP="00E35FCB">
      <w:pPr>
        <w:autoSpaceDE w:val="0"/>
        <w:autoSpaceDN w:val="0"/>
        <w:adjustRightInd w:val="0"/>
        <w:spacing w:after="0" w:line="240" w:lineRule="auto"/>
        <w:jc w:val="both"/>
        <w:rPr>
          <w:rFonts w:ascii="Times New Roman" w:eastAsia="MS Mincho" w:hAnsi="Times New Roman"/>
          <w:color w:val="000000"/>
          <w:sz w:val="20"/>
          <w:szCs w:val="20"/>
          <w:lang w:val="en-GB"/>
        </w:rPr>
      </w:pPr>
    </w:p>
    <w:p w14:paraId="69202CD8" w14:textId="77777777" w:rsidR="00E35FCB" w:rsidRPr="00712F3C" w:rsidRDefault="00E35FCB" w:rsidP="00E35FCB">
      <w:pPr>
        <w:widowControl w:val="0"/>
        <w:autoSpaceDE w:val="0"/>
        <w:autoSpaceDN w:val="0"/>
        <w:adjustRightInd w:val="0"/>
        <w:spacing w:after="0" w:line="240" w:lineRule="auto"/>
        <w:jc w:val="both"/>
        <w:rPr>
          <w:rFonts w:ascii="Times New Roman" w:hAnsi="Times New Roman"/>
          <w:sz w:val="20"/>
          <w:szCs w:val="20"/>
        </w:rPr>
      </w:pPr>
      <w:r w:rsidRPr="00712F3C">
        <w:rPr>
          <w:rFonts w:ascii="Times New Roman" w:hAnsi="Times New Roman"/>
          <w:sz w:val="20"/>
          <w:szCs w:val="20"/>
        </w:rPr>
        <w:t xml:space="preserve">All the Directors may be deemed to be interested to the extent of remuneration and reimbursement of expenses payable to them under the Articles, and to the extent of remuneration paid to them for services rendered as an officer or employee of the Company. For further details, please refer to Chapter titled </w:t>
      </w:r>
      <w:r w:rsidRPr="00712F3C">
        <w:rPr>
          <w:rFonts w:ascii="Times New Roman" w:hAnsi="Times New Roman"/>
          <w:b/>
          <w:i/>
          <w:sz w:val="20"/>
          <w:szCs w:val="20"/>
        </w:rPr>
        <w:t xml:space="preserve">“Our Management” </w:t>
      </w:r>
      <w:r w:rsidRPr="00712F3C">
        <w:rPr>
          <w:rFonts w:ascii="Times New Roman" w:hAnsi="Times New Roman"/>
          <w:sz w:val="20"/>
          <w:szCs w:val="20"/>
        </w:rPr>
        <w:t xml:space="preserve">beginning on page </w:t>
      </w:r>
      <w:r>
        <w:rPr>
          <w:rFonts w:ascii="Times New Roman" w:hAnsi="Times New Roman"/>
          <w:sz w:val="20"/>
          <w:szCs w:val="20"/>
        </w:rPr>
        <w:t>111</w:t>
      </w:r>
      <w:r w:rsidRPr="00712F3C">
        <w:rPr>
          <w:rFonts w:ascii="Times New Roman" w:hAnsi="Times New Roman"/>
          <w:sz w:val="20"/>
          <w:szCs w:val="20"/>
        </w:rPr>
        <w:t xml:space="preserve"> of this Draft Red Herring Prospectus.</w:t>
      </w:r>
    </w:p>
    <w:p w14:paraId="12654818" w14:textId="77777777" w:rsidR="00E35FCB" w:rsidRPr="00712F3C" w:rsidRDefault="00E35FCB" w:rsidP="00E35FCB">
      <w:pPr>
        <w:widowControl w:val="0"/>
        <w:autoSpaceDE w:val="0"/>
        <w:autoSpaceDN w:val="0"/>
        <w:adjustRightInd w:val="0"/>
        <w:spacing w:after="0" w:line="240" w:lineRule="auto"/>
        <w:jc w:val="both"/>
        <w:rPr>
          <w:rFonts w:ascii="Times New Roman" w:eastAsia="MS Mincho" w:hAnsi="Times New Roman"/>
          <w:sz w:val="20"/>
          <w:szCs w:val="20"/>
          <w:lang w:val="en-GB"/>
        </w:rPr>
      </w:pPr>
    </w:p>
    <w:p w14:paraId="528B6A3A" w14:textId="77777777" w:rsidR="00E35FCB" w:rsidRPr="00712F3C" w:rsidRDefault="00E35FCB" w:rsidP="00E35FCB">
      <w:pPr>
        <w:widowControl w:val="0"/>
        <w:autoSpaceDE w:val="0"/>
        <w:autoSpaceDN w:val="0"/>
        <w:adjustRightInd w:val="0"/>
        <w:spacing w:after="0" w:line="240" w:lineRule="auto"/>
        <w:jc w:val="both"/>
        <w:rPr>
          <w:rFonts w:ascii="Times New Roman" w:hAnsi="Times New Roman"/>
          <w:sz w:val="20"/>
          <w:szCs w:val="20"/>
        </w:rPr>
      </w:pPr>
      <w:r w:rsidRPr="00712F3C">
        <w:rPr>
          <w:rFonts w:ascii="Times New Roman" w:hAnsi="Times New Roman"/>
          <w:sz w:val="20"/>
          <w:szCs w:val="20"/>
        </w:rPr>
        <w:t>Our directors may also be regarded as interested to the extent of their shareholding and dividend payable thereon, if any, and to the extent of Equity Shares, if any held by them in our Company or held by their relatives. Further our director</w:t>
      </w:r>
      <w:r>
        <w:rPr>
          <w:rFonts w:ascii="Times New Roman" w:hAnsi="Times New Roman"/>
          <w:sz w:val="20"/>
          <w:szCs w:val="20"/>
        </w:rPr>
        <w:t>s</w:t>
      </w:r>
      <w:r w:rsidRPr="00712F3C">
        <w:rPr>
          <w:rFonts w:ascii="Times New Roman" w:hAnsi="Times New Roman"/>
          <w:sz w:val="20"/>
          <w:szCs w:val="20"/>
        </w:rPr>
        <w:t xml:space="preserve"> are also interested to the extent of unsecured loans, if any, given by them to our Company or by their relatives or by the companies/ firms in which they are interested as directors/ Members/ Partners. Further our directors are also interested to the extent of loans, if any, taken by them or their relatives or taken by the companies/ firms in which they are interested as Directors/ Members/ Partners and for the details </w:t>
      </w:r>
      <w:r w:rsidRPr="00712F3C">
        <w:rPr>
          <w:rFonts w:ascii="Times New Roman" w:hAnsi="Times New Roman"/>
          <w:sz w:val="20"/>
          <w:szCs w:val="20"/>
        </w:rPr>
        <w:lastRenderedPageBreak/>
        <w:t xml:space="preserve">of Personal Guarantee given by Directors towards Financial facilities of our Company please refer to </w:t>
      </w:r>
      <w:r w:rsidRPr="00712F3C">
        <w:rPr>
          <w:rFonts w:ascii="Times New Roman" w:hAnsi="Times New Roman"/>
          <w:b/>
          <w:i/>
          <w:sz w:val="20"/>
          <w:szCs w:val="20"/>
        </w:rPr>
        <w:t xml:space="preserve">“Statement of Financial Indebtedness” </w:t>
      </w:r>
      <w:r w:rsidRPr="00712F3C">
        <w:rPr>
          <w:rFonts w:ascii="Times New Roman" w:hAnsi="Times New Roman"/>
          <w:sz w:val="20"/>
          <w:szCs w:val="20"/>
        </w:rPr>
        <w:t xml:space="preserve">on page </w:t>
      </w:r>
      <w:r>
        <w:rPr>
          <w:rFonts w:ascii="Times New Roman" w:hAnsi="Times New Roman"/>
          <w:sz w:val="20"/>
          <w:szCs w:val="20"/>
        </w:rPr>
        <w:t>170</w:t>
      </w:r>
      <w:r w:rsidRPr="00712F3C">
        <w:rPr>
          <w:rFonts w:ascii="Times New Roman" w:hAnsi="Times New Roman"/>
          <w:sz w:val="20"/>
          <w:szCs w:val="20"/>
        </w:rPr>
        <w:t xml:space="preserve"> of this Draft Red Herring Prospectus.</w:t>
      </w:r>
    </w:p>
    <w:p w14:paraId="49772509" w14:textId="77777777" w:rsidR="00E35FCB" w:rsidRPr="00712F3C" w:rsidRDefault="00E35FCB" w:rsidP="00E35FCB">
      <w:pPr>
        <w:widowControl w:val="0"/>
        <w:autoSpaceDE w:val="0"/>
        <w:autoSpaceDN w:val="0"/>
        <w:adjustRightInd w:val="0"/>
        <w:spacing w:after="0" w:line="240" w:lineRule="auto"/>
        <w:jc w:val="both"/>
        <w:rPr>
          <w:rFonts w:ascii="Times New Roman" w:hAnsi="Times New Roman"/>
          <w:sz w:val="20"/>
          <w:szCs w:val="20"/>
        </w:rPr>
      </w:pPr>
    </w:p>
    <w:p w14:paraId="7AD4AEAC" w14:textId="77777777" w:rsidR="00E35FCB" w:rsidRPr="00712F3C" w:rsidRDefault="00E35FCB" w:rsidP="00E35FCB">
      <w:pPr>
        <w:widowControl w:val="0"/>
        <w:autoSpaceDE w:val="0"/>
        <w:autoSpaceDN w:val="0"/>
        <w:adjustRightInd w:val="0"/>
        <w:spacing w:after="0" w:line="240" w:lineRule="auto"/>
        <w:jc w:val="both"/>
        <w:rPr>
          <w:rFonts w:ascii="Times New Roman" w:eastAsia="MS Mincho" w:hAnsi="Times New Roman"/>
          <w:sz w:val="20"/>
          <w:szCs w:val="20"/>
          <w:lang w:val="en-GB"/>
        </w:rPr>
      </w:pPr>
      <w:r w:rsidRPr="00712F3C">
        <w:rPr>
          <w:rFonts w:ascii="Times New Roman" w:eastAsia="MS Mincho" w:hAnsi="Times New Roman"/>
          <w:sz w:val="20"/>
          <w:szCs w:val="20"/>
          <w:lang w:val="en-GB"/>
        </w:rPr>
        <w:t xml:space="preserve">Except as stated otherwise in this Draft </w:t>
      </w:r>
      <w:r w:rsidRPr="00712F3C">
        <w:rPr>
          <w:rFonts w:ascii="Times New Roman" w:hAnsi="Times New Roman"/>
          <w:sz w:val="20"/>
          <w:szCs w:val="20"/>
        </w:rPr>
        <w:t xml:space="preserve">Red Herring </w:t>
      </w:r>
      <w:r w:rsidRPr="00712F3C">
        <w:rPr>
          <w:rFonts w:ascii="Times New Roman" w:eastAsia="MS Mincho" w:hAnsi="Times New Roman"/>
          <w:sz w:val="20"/>
          <w:szCs w:val="20"/>
          <w:lang w:val="en-GB"/>
        </w:rPr>
        <w:t xml:space="preserve">Prospectus, our Company has not entered into any Contract, Agreements or Arrangements during the preceding two years from the date of the Draft </w:t>
      </w:r>
      <w:r w:rsidRPr="00712F3C">
        <w:rPr>
          <w:rFonts w:ascii="Times New Roman" w:hAnsi="Times New Roman"/>
          <w:sz w:val="20"/>
          <w:szCs w:val="20"/>
        </w:rPr>
        <w:t xml:space="preserve">Red Herring </w:t>
      </w:r>
      <w:r w:rsidRPr="00712F3C">
        <w:rPr>
          <w:rFonts w:ascii="Times New Roman" w:eastAsia="MS Mincho" w:hAnsi="Times New Roman"/>
          <w:sz w:val="20"/>
          <w:szCs w:val="20"/>
          <w:lang w:val="en-GB"/>
        </w:rPr>
        <w:t>Prospectus in which the Directors are interested directly or indirectly and no payments have been made to them in respect of the contracts, agreements or arrangements which are proposed to be entered into with them.</w:t>
      </w:r>
    </w:p>
    <w:p w14:paraId="4C3DE59C" w14:textId="77777777" w:rsidR="00E35FCB" w:rsidRPr="00712F3C" w:rsidRDefault="00E35FCB" w:rsidP="00E35FCB">
      <w:pPr>
        <w:widowControl w:val="0"/>
        <w:autoSpaceDE w:val="0"/>
        <w:autoSpaceDN w:val="0"/>
        <w:adjustRightInd w:val="0"/>
        <w:spacing w:after="0" w:line="240" w:lineRule="auto"/>
        <w:jc w:val="both"/>
        <w:rPr>
          <w:rFonts w:ascii="Times New Roman" w:eastAsia="MS Mincho" w:hAnsi="Times New Roman"/>
          <w:sz w:val="20"/>
          <w:szCs w:val="20"/>
          <w:lang w:val="en-GB"/>
        </w:rPr>
      </w:pPr>
    </w:p>
    <w:p w14:paraId="7D9E6583" w14:textId="77777777" w:rsidR="00E35FCB" w:rsidRPr="00712F3C" w:rsidRDefault="00E35FCB" w:rsidP="00E35FCB">
      <w:pPr>
        <w:spacing w:after="0" w:line="240" w:lineRule="auto"/>
        <w:jc w:val="both"/>
        <w:rPr>
          <w:rFonts w:ascii="Times New Roman" w:hAnsi="Times New Roman"/>
          <w:b/>
          <w:bCs/>
          <w:sz w:val="20"/>
          <w:szCs w:val="20"/>
        </w:rPr>
      </w:pPr>
      <w:r w:rsidRPr="00712F3C">
        <w:rPr>
          <w:rFonts w:ascii="Times New Roman" w:hAnsi="Times New Roman"/>
          <w:b/>
          <w:bCs/>
          <w:sz w:val="20"/>
          <w:szCs w:val="20"/>
        </w:rPr>
        <w:t xml:space="preserve">Interest of Directors </w:t>
      </w:r>
      <w:r>
        <w:rPr>
          <w:rFonts w:ascii="Times New Roman" w:hAnsi="Times New Roman"/>
          <w:b/>
          <w:bCs/>
          <w:sz w:val="20"/>
          <w:szCs w:val="20"/>
        </w:rPr>
        <w:t xml:space="preserve">&amp; KMP </w:t>
      </w:r>
      <w:r w:rsidRPr="00712F3C">
        <w:rPr>
          <w:rFonts w:ascii="Times New Roman" w:hAnsi="Times New Roman"/>
          <w:b/>
          <w:bCs/>
          <w:sz w:val="20"/>
          <w:szCs w:val="20"/>
        </w:rPr>
        <w:t>in the property of Our Company:</w:t>
      </w:r>
    </w:p>
    <w:p w14:paraId="40A95C9C" w14:textId="77777777" w:rsidR="00E35FCB" w:rsidRPr="00712F3C" w:rsidRDefault="00E35FCB" w:rsidP="00E35FCB">
      <w:pPr>
        <w:autoSpaceDE w:val="0"/>
        <w:autoSpaceDN w:val="0"/>
        <w:adjustRightInd w:val="0"/>
        <w:spacing w:after="0" w:line="240" w:lineRule="auto"/>
        <w:jc w:val="both"/>
        <w:rPr>
          <w:rFonts w:ascii="Times New Roman" w:eastAsia="Arial Unicode MS" w:hAnsi="Times New Roman"/>
          <w:sz w:val="20"/>
          <w:szCs w:val="20"/>
          <w:u w:val="single"/>
          <w:lang w:val="en-GB"/>
        </w:rPr>
      </w:pPr>
    </w:p>
    <w:p w14:paraId="3C5296A0" w14:textId="77777777" w:rsidR="00E35FCB" w:rsidRPr="00712F3C" w:rsidRDefault="00E35FCB" w:rsidP="00E35FCB">
      <w:pPr>
        <w:shd w:val="clear" w:color="auto" w:fill="FFFFFF"/>
        <w:spacing w:after="0" w:line="240" w:lineRule="auto"/>
        <w:jc w:val="both"/>
        <w:rPr>
          <w:rFonts w:ascii="Times New Roman" w:hAnsi="Times New Roman"/>
          <w:bCs/>
          <w:sz w:val="20"/>
          <w:szCs w:val="20"/>
        </w:rPr>
      </w:pPr>
      <w:r w:rsidRPr="00712F3C">
        <w:rPr>
          <w:rFonts w:ascii="Times New Roman" w:hAnsi="Times New Roman"/>
          <w:bCs/>
          <w:sz w:val="20"/>
          <w:szCs w:val="20"/>
        </w:rPr>
        <w:t xml:space="preserve">Except as disclosed below, our directors and KMP’s do not have any interest in any property acquired by our Company in a period of two years before filing of this </w:t>
      </w:r>
      <w:r w:rsidRPr="00712F3C">
        <w:rPr>
          <w:rFonts w:ascii="Times New Roman" w:eastAsia="MS Mincho" w:hAnsi="Times New Roman"/>
          <w:bCs/>
          <w:color w:val="000000"/>
          <w:sz w:val="20"/>
          <w:szCs w:val="20"/>
          <w:lang w:val="en-GB"/>
        </w:rPr>
        <w:t xml:space="preserve">Draft </w:t>
      </w:r>
      <w:r w:rsidRPr="00712F3C">
        <w:rPr>
          <w:rFonts w:ascii="Times New Roman" w:hAnsi="Times New Roman"/>
          <w:sz w:val="20"/>
          <w:szCs w:val="20"/>
        </w:rPr>
        <w:t>Red Herring Prospectus</w:t>
      </w:r>
      <w:r w:rsidRPr="00712F3C">
        <w:rPr>
          <w:rFonts w:ascii="Times New Roman" w:eastAsia="MS Mincho" w:hAnsi="Times New Roman"/>
          <w:bCs/>
          <w:color w:val="000000"/>
          <w:sz w:val="20"/>
          <w:szCs w:val="20"/>
          <w:lang w:val="en-GB"/>
        </w:rPr>
        <w:t xml:space="preserve"> </w:t>
      </w:r>
      <w:r w:rsidRPr="00712F3C">
        <w:rPr>
          <w:rFonts w:ascii="Times New Roman" w:hAnsi="Times New Roman"/>
          <w:bCs/>
          <w:sz w:val="20"/>
          <w:szCs w:val="20"/>
        </w:rPr>
        <w:t xml:space="preserve">or proposed to be acquired by us as on date of filing the Draft </w:t>
      </w:r>
      <w:r w:rsidRPr="00712F3C">
        <w:rPr>
          <w:rFonts w:ascii="Times New Roman" w:hAnsi="Times New Roman"/>
          <w:sz w:val="20"/>
          <w:szCs w:val="20"/>
        </w:rPr>
        <w:t xml:space="preserve">Red Herring </w:t>
      </w:r>
      <w:r w:rsidRPr="00712F3C">
        <w:rPr>
          <w:rFonts w:ascii="Times New Roman" w:hAnsi="Times New Roman"/>
          <w:bCs/>
          <w:sz w:val="20"/>
          <w:szCs w:val="20"/>
        </w:rPr>
        <w:t>Prospectus with RoC:</w:t>
      </w:r>
    </w:p>
    <w:p w14:paraId="47695CAE" w14:textId="77777777" w:rsidR="00E35FCB" w:rsidRPr="00712F3C" w:rsidRDefault="00E35FCB" w:rsidP="00E35FCB">
      <w:pPr>
        <w:shd w:val="clear" w:color="auto" w:fill="FFFFFF"/>
        <w:spacing w:after="0" w:line="240" w:lineRule="auto"/>
        <w:jc w:val="both"/>
        <w:rPr>
          <w:rFonts w:ascii="Times New Roman" w:hAnsi="Times New Roman"/>
          <w:bCs/>
          <w:sz w:val="20"/>
          <w:szCs w:val="20"/>
        </w:rPr>
      </w:pPr>
    </w:p>
    <w:tbl>
      <w:tblPr>
        <w:tblW w:w="10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9"/>
        <w:gridCol w:w="1405"/>
        <w:gridCol w:w="2921"/>
        <w:gridCol w:w="5499"/>
      </w:tblGrid>
      <w:tr w:rsidR="00E35FCB" w:rsidRPr="005E13B9" w14:paraId="300F9A72" w14:textId="77777777" w:rsidTr="00114808">
        <w:trPr>
          <w:trHeight w:val="20"/>
          <w:tblHeader/>
        </w:trPr>
        <w:tc>
          <w:tcPr>
            <w:tcW w:w="799" w:type="dxa"/>
            <w:tcBorders>
              <w:top w:val="single" w:sz="4" w:space="0" w:color="000000"/>
              <w:left w:val="single" w:sz="4" w:space="0" w:color="000000"/>
              <w:bottom w:val="single" w:sz="4" w:space="0" w:color="000000"/>
              <w:right w:val="single" w:sz="4" w:space="0" w:color="000000"/>
            </w:tcBorders>
            <w:shd w:val="clear" w:color="auto" w:fill="D0CECE"/>
          </w:tcPr>
          <w:p w14:paraId="30154FE9" w14:textId="77777777" w:rsidR="00E35FCB" w:rsidRPr="005E13B9" w:rsidRDefault="00E35FCB" w:rsidP="00250DAC">
            <w:pPr>
              <w:spacing w:after="0" w:line="240" w:lineRule="auto"/>
              <w:jc w:val="both"/>
              <w:rPr>
                <w:rFonts w:ascii="Times New Roman" w:hAnsi="Times New Roman"/>
                <w:b/>
                <w:sz w:val="20"/>
                <w:szCs w:val="20"/>
              </w:rPr>
            </w:pPr>
            <w:r w:rsidRPr="005E13B9">
              <w:rPr>
                <w:rFonts w:ascii="Times New Roman" w:hAnsi="Times New Roman"/>
                <w:b/>
                <w:sz w:val="20"/>
                <w:szCs w:val="20"/>
              </w:rPr>
              <w:t>Sr. No.</w:t>
            </w:r>
          </w:p>
        </w:tc>
        <w:tc>
          <w:tcPr>
            <w:tcW w:w="1405" w:type="dxa"/>
            <w:tcBorders>
              <w:top w:val="single" w:sz="4" w:space="0" w:color="000000"/>
              <w:left w:val="single" w:sz="4" w:space="0" w:color="000000"/>
              <w:bottom w:val="single" w:sz="4" w:space="0" w:color="000000"/>
              <w:right w:val="single" w:sz="4" w:space="0" w:color="000000"/>
            </w:tcBorders>
            <w:shd w:val="clear" w:color="auto" w:fill="D0CECE"/>
          </w:tcPr>
          <w:p w14:paraId="3CA7692C" w14:textId="77777777" w:rsidR="00E35FCB" w:rsidRPr="005E13B9" w:rsidRDefault="00E35FCB" w:rsidP="00250DAC">
            <w:pPr>
              <w:spacing w:after="0" w:line="240" w:lineRule="auto"/>
              <w:jc w:val="both"/>
              <w:rPr>
                <w:rFonts w:ascii="Times New Roman" w:hAnsi="Times New Roman"/>
                <w:b/>
                <w:sz w:val="20"/>
                <w:szCs w:val="20"/>
              </w:rPr>
            </w:pPr>
            <w:r w:rsidRPr="005E13B9">
              <w:rPr>
                <w:rFonts w:ascii="Times New Roman" w:hAnsi="Times New Roman"/>
                <w:b/>
                <w:sz w:val="20"/>
                <w:szCs w:val="20"/>
              </w:rPr>
              <w:t>Usage</w:t>
            </w:r>
          </w:p>
        </w:tc>
        <w:tc>
          <w:tcPr>
            <w:tcW w:w="2921" w:type="dxa"/>
            <w:tcBorders>
              <w:top w:val="single" w:sz="4" w:space="0" w:color="000000"/>
              <w:left w:val="single" w:sz="4" w:space="0" w:color="000000"/>
              <w:bottom w:val="single" w:sz="4" w:space="0" w:color="000000"/>
              <w:right w:val="single" w:sz="4" w:space="0" w:color="000000"/>
            </w:tcBorders>
            <w:shd w:val="clear" w:color="auto" w:fill="D0CECE"/>
          </w:tcPr>
          <w:p w14:paraId="7D7A9A6B" w14:textId="77777777" w:rsidR="00E35FCB" w:rsidRPr="005E13B9" w:rsidRDefault="00E35FCB" w:rsidP="00250DAC">
            <w:pPr>
              <w:spacing w:after="0" w:line="240" w:lineRule="auto"/>
              <w:jc w:val="both"/>
              <w:rPr>
                <w:rFonts w:ascii="Times New Roman" w:hAnsi="Times New Roman"/>
                <w:b/>
                <w:sz w:val="20"/>
                <w:szCs w:val="20"/>
              </w:rPr>
            </w:pPr>
            <w:r w:rsidRPr="005E13B9">
              <w:rPr>
                <w:rFonts w:ascii="Times New Roman" w:hAnsi="Times New Roman"/>
                <w:b/>
                <w:sz w:val="20"/>
                <w:szCs w:val="20"/>
              </w:rPr>
              <w:t>Address</w:t>
            </w:r>
          </w:p>
        </w:tc>
        <w:tc>
          <w:tcPr>
            <w:tcW w:w="5499" w:type="dxa"/>
            <w:tcBorders>
              <w:top w:val="single" w:sz="4" w:space="0" w:color="000000"/>
              <w:left w:val="single" w:sz="4" w:space="0" w:color="000000"/>
              <w:bottom w:val="single" w:sz="4" w:space="0" w:color="000000"/>
              <w:right w:val="single" w:sz="4" w:space="0" w:color="000000"/>
            </w:tcBorders>
            <w:shd w:val="clear" w:color="auto" w:fill="D0CECE"/>
          </w:tcPr>
          <w:p w14:paraId="6382E81D" w14:textId="77777777" w:rsidR="00E35FCB" w:rsidRPr="005E13B9" w:rsidRDefault="00E35FCB" w:rsidP="00250DAC">
            <w:pPr>
              <w:spacing w:after="0" w:line="240" w:lineRule="auto"/>
              <w:jc w:val="both"/>
              <w:rPr>
                <w:rFonts w:ascii="Times New Roman" w:hAnsi="Times New Roman"/>
                <w:b/>
                <w:sz w:val="20"/>
                <w:szCs w:val="20"/>
              </w:rPr>
            </w:pPr>
            <w:r w:rsidRPr="005E13B9">
              <w:rPr>
                <w:rFonts w:ascii="Times New Roman" w:hAnsi="Times New Roman"/>
                <w:b/>
                <w:sz w:val="20"/>
                <w:szCs w:val="20"/>
              </w:rPr>
              <w:t>Nature of Interest</w:t>
            </w:r>
          </w:p>
        </w:tc>
      </w:tr>
      <w:tr w:rsidR="00E35FCB" w:rsidRPr="005E13B9" w14:paraId="51C69BD6" w14:textId="77777777" w:rsidTr="00114808">
        <w:trPr>
          <w:trHeight w:val="20"/>
        </w:trPr>
        <w:tc>
          <w:tcPr>
            <w:tcW w:w="799" w:type="dxa"/>
          </w:tcPr>
          <w:p w14:paraId="61A4CF32" w14:textId="77777777" w:rsidR="00E35FCB" w:rsidRPr="005E13B9" w:rsidRDefault="00E35FCB" w:rsidP="00250DAC">
            <w:pPr>
              <w:spacing w:after="0" w:line="240" w:lineRule="auto"/>
              <w:jc w:val="both"/>
              <w:rPr>
                <w:rFonts w:ascii="Times New Roman" w:hAnsi="Times New Roman"/>
                <w:sz w:val="20"/>
                <w:szCs w:val="20"/>
              </w:rPr>
            </w:pPr>
            <w:r w:rsidRPr="005E13B9">
              <w:rPr>
                <w:rFonts w:ascii="Times New Roman" w:hAnsi="Times New Roman"/>
                <w:sz w:val="20"/>
                <w:szCs w:val="20"/>
              </w:rPr>
              <w:t>1.</w:t>
            </w:r>
          </w:p>
        </w:tc>
        <w:tc>
          <w:tcPr>
            <w:tcW w:w="1405" w:type="dxa"/>
          </w:tcPr>
          <w:p w14:paraId="0AAD8B75" w14:textId="77777777" w:rsidR="00E35FCB" w:rsidRPr="005E13B9" w:rsidRDefault="00E35FCB" w:rsidP="00250DAC">
            <w:pPr>
              <w:spacing w:after="0" w:line="240" w:lineRule="auto"/>
              <w:jc w:val="both"/>
              <w:rPr>
                <w:rFonts w:ascii="Times New Roman" w:hAnsi="Times New Roman"/>
                <w:sz w:val="20"/>
                <w:szCs w:val="20"/>
              </w:rPr>
            </w:pPr>
            <w:r w:rsidRPr="005E13B9">
              <w:rPr>
                <w:rFonts w:ascii="Times New Roman" w:eastAsia="Calibri" w:hAnsi="Times New Roman"/>
                <w:kern w:val="2"/>
                <w:sz w:val="20"/>
                <w:szCs w:val="20"/>
                <w14:ligatures w14:val="standardContextual"/>
              </w:rPr>
              <w:t>Manufacturing Unit</w:t>
            </w:r>
          </w:p>
        </w:tc>
        <w:tc>
          <w:tcPr>
            <w:tcW w:w="2921" w:type="dxa"/>
          </w:tcPr>
          <w:p w14:paraId="3ECBB642" w14:textId="77777777" w:rsidR="00E35FCB" w:rsidRPr="005E13B9" w:rsidRDefault="00E35FCB" w:rsidP="00250DAC">
            <w:pPr>
              <w:spacing w:after="0" w:line="240" w:lineRule="auto"/>
              <w:jc w:val="both"/>
              <w:rPr>
                <w:rFonts w:ascii="Times New Roman" w:hAnsi="Times New Roman"/>
                <w:sz w:val="20"/>
                <w:szCs w:val="20"/>
              </w:rPr>
            </w:pPr>
            <w:r w:rsidRPr="005E13B9">
              <w:rPr>
                <w:rFonts w:ascii="Times New Roman" w:hAnsi="Times New Roman"/>
                <w:sz w:val="20"/>
              </w:rPr>
              <w:t>Plot No. 12 &amp; 14, Vill Lakhabaval, Post Khodiyar Colony, Jamnagar-</w:t>
            </w:r>
            <w:r w:rsidRPr="005E13B9">
              <w:t xml:space="preserve"> </w:t>
            </w:r>
            <w:r w:rsidRPr="005E13B9">
              <w:rPr>
                <w:rFonts w:ascii="Times New Roman" w:hAnsi="Times New Roman"/>
                <w:sz w:val="20"/>
              </w:rPr>
              <w:t>361006 Gujarat</w:t>
            </w:r>
          </w:p>
        </w:tc>
        <w:tc>
          <w:tcPr>
            <w:tcW w:w="5499" w:type="dxa"/>
          </w:tcPr>
          <w:p w14:paraId="281BE901" w14:textId="77777777" w:rsidR="00E35FCB" w:rsidRPr="005E13B9" w:rsidRDefault="00E35FCB" w:rsidP="00250DAC">
            <w:pPr>
              <w:spacing w:after="0" w:line="240" w:lineRule="auto"/>
              <w:jc w:val="both"/>
              <w:rPr>
                <w:rFonts w:ascii="Times New Roman" w:hAnsi="Times New Roman"/>
                <w:sz w:val="20"/>
                <w:szCs w:val="20"/>
              </w:rPr>
            </w:pPr>
            <w:r w:rsidRPr="005E13B9">
              <w:rPr>
                <w:rFonts w:ascii="Times New Roman" w:eastAsia="Calibri" w:hAnsi="Times New Roman"/>
                <w:kern w:val="2"/>
                <w:sz w:val="20"/>
                <w:szCs w:val="20"/>
                <w14:ligatures w14:val="standardContextual"/>
              </w:rPr>
              <w:t xml:space="preserve">Obtained on lease from Ramgopal Ochhavlal Maheshwari for a period of 7 years starting from June 02, 2023 through an </w:t>
            </w:r>
            <w:r w:rsidRPr="005E13B9">
              <w:rPr>
                <w:rFonts w:ascii="Times New Roman" w:hAnsi="Times New Roman"/>
                <w:sz w:val="20"/>
              </w:rPr>
              <w:t xml:space="preserve">Agreement for Leave &amp; License </w:t>
            </w:r>
            <w:r w:rsidRPr="005E13B9">
              <w:rPr>
                <w:rFonts w:ascii="Times New Roman" w:eastAsia="Calibri" w:hAnsi="Times New Roman"/>
                <w:kern w:val="2"/>
                <w:sz w:val="20"/>
                <w:szCs w:val="20"/>
                <w14:ligatures w14:val="standardContextual"/>
              </w:rPr>
              <w:t>dated June 02, 2023, at a monthly lease of ₹ 15,000/-</w:t>
            </w:r>
          </w:p>
        </w:tc>
      </w:tr>
      <w:tr w:rsidR="00E35FCB" w:rsidRPr="005E13B9" w14:paraId="16FE6AD8" w14:textId="77777777" w:rsidTr="00114808">
        <w:trPr>
          <w:trHeight w:val="20"/>
        </w:trPr>
        <w:tc>
          <w:tcPr>
            <w:tcW w:w="799" w:type="dxa"/>
          </w:tcPr>
          <w:p w14:paraId="4B553DBA" w14:textId="77777777" w:rsidR="00E35FCB" w:rsidRPr="005E13B9" w:rsidRDefault="00E35FCB" w:rsidP="00250DAC">
            <w:pPr>
              <w:spacing w:after="0" w:line="240" w:lineRule="auto"/>
              <w:jc w:val="both"/>
              <w:rPr>
                <w:rFonts w:ascii="Times New Roman" w:hAnsi="Times New Roman"/>
                <w:sz w:val="20"/>
                <w:szCs w:val="20"/>
              </w:rPr>
            </w:pPr>
            <w:r w:rsidRPr="005E13B9">
              <w:rPr>
                <w:rFonts w:ascii="Times New Roman" w:hAnsi="Times New Roman"/>
                <w:sz w:val="20"/>
                <w:szCs w:val="20"/>
              </w:rPr>
              <w:t>2.</w:t>
            </w:r>
          </w:p>
        </w:tc>
        <w:tc>
          <w:tcPr>
            <w:tcW w:w="1405" w:type="dxa"/>
          </w:tcPr>
          <w:p w14:paraId="202DF25F" w14:textId="77777777" w:rsidR="00E35FCB" w:rsidRPr="005E13B9" w:rsidRDefault="00E35FCB" w:rsidP="00250DAC">
            <w:pPr>
              <w:spacing w:after="0" w:line="240" w:lineRule="auto"/>
              <w:jc w:val="both"/>
              <w:rPr>
                <w:rFonts w:ascii="Times New Roman" w:hAnsi="Times New Roman"/>
                <w:sz w:val="20"/>
                <w:szCs w:val="20"/>
              </w:rPr>
            </w:pPr>
            <w:r w:rsidRPr="005E13B9">
              <w:rPr>
                <w:rFonts w:ascii="Times New Roman" w:eastAsia="Calibri" w:hAnsi="Times New Roman"/>
                <w:kern w:val="2"/>
                <w:sz w:val="20"/>
                <w:szCs w:val="20"/>
                <w14:ligatures w14:val="standardContextual"/>
              </w:rPr>
              <w:t>Manufacturing Unit</w:t>
            </w:r>
          </w:p>
        </w:tc>
        <w:tc>
          <w:tcPr>
            <w:tcW w:w="2921" w:type="dxa"/>
          </w:tcPr>
          <w:p w14:paraId="1DB7EC46" w14:textId="77777777" w:rsidR="00E35FCB" w:rsidRPr="005E13B9" w:rsidRDefault="00E35FCB" w:rsidP="00250DAC">
            <w:pPr>
              <w:spacing w:after="0" w:line="240" w:lineRule="auto"/>
              <w:jc w:val="both"/>
              <w:rPr>
                <w:rFonts w:ascii="Times New Roman" w:hAnsi="Times New Roman"/>
                <w:sz w:val="20"/>
                <w:szCs w:val="20"/>
              </w:rPr>
            </w:pPr>
            <w:r w:rsidRPr="005E13B9">
              <w:rPr>
                <w:rFonts w:ascii="Times New Roman" w:hAnsi="Times New Roman"/>
                <w:sz w:val="20"/>
              </w:rPr>
              <w:t>Plot No. 10, Lakhabaval Post Khodiyar Colony, Jamnagar-361006 Gujarat</w:t>
            </w:r>
          </w:p>
        </w:tc>
        <w:tc>
          <w:tcPr>
            <w:tcW w:w="5499" w:type="dxa"/>
          </w:tcPr>
          <w:p w14:paraId="33EFF107" w14:textId="77777777" w:rsidR="00E35FCB" w:rsidRPr="005E13B9" w:rsidRDefault="00E35FCB" w:rsidP="00250DAC">
            <w:pPr>
              <w:spacing w:after="0" w:line="240" w:lineRule="auto"/>
              <w:jc w:val="both"/>
              <w:rPr>
                <w:rFonts w:ascii="Times New Roman" w:hAnsi="Times New Roman"/>
                <w:sz w:val="20"/>
                <w:szCs w:val="20"/>
                <w:lang w:val="en-IN"/>
              </w:rPr>
            </w:pPr>
            <w:r w:rsidRPr="005E13B9">
              <w:rPr>
                <w:rFonts w:ascii="Times New Roman" w:eastAsia="Calibri" w:hAnsi="Times New Roman"/>
                <w:kern w:val="2"/>
                <w:sz w:val="20"/>
                <w:szCs w:val="20"/>
                <w14:ligatures w14:val="standardContextual"/>
              </w:rPr>
              <w:t xml:space="preserve">Obtained on lease from Ramgopal Ochhavlal Maheshwari for a period of 5 years starting from November 07, 2020 through an </w:t>
            </w:r>
            <w:r w:rsidRPr="005E13B9">
              <w:rPr>
                <w:rFonts w:ascii="Times New Roman" w:hAnsi="Times New Roman"/>
                <w:sz w:val="20"/>
              </w:rPr>
              <w:t xml:space="preserve">Agreement for Leave &amp; License </w:t>
            </w:r>
            <w:r w:rsidRPr="005E13B9">
              <w:rPr>
                <w:rFonts w:ascii="Times New Roman" w:eastAsia="Calibri" w:hAnsi="Times New Roman"/>
                <w:kern w:val="2"/>
                <w:sz w:val="20"/>
                <w:szCs w:val="20"/>
                <w14:ligatures w14:val="standardContextual"/>
              </w:rPr>
              <w:t>dated November 07, 2020, at a monthly lease of ₹ 1,25,000/-</w:t>
            </w:r>
          </w:p>
        </w:tc>
      </w:tr>
      <w:tr w:rsidR="00E35FCB" w:rsidRPr="00712F3C" w14:paraId="14BAF366" w14:textId="77777777" w:rsidTr="00114808">
        <w:trPr>
          <w:trHeight w:val="20"/>
        </w:trPr>
        <w:tc>
          <w:tcPr>
            <w:tcW w:w="799" w:type="dxa"/>
          </w:tcPr>
          <w:p w14:paraId="39559704" w14:textId="77777777" w:rsidR="00E35FCB" w:rsidRPr="005E13B9" w:rsidRDefault="00E35FCB" w:rsidP="00250DAC">
            <w:pPr>
              <w:spacing w:after="0" w:line="240" w:lineRule="auto"/>
              <w:jc w:val="both"/>
              <w:rPr>
                <w:rFonts w:ascii="Times New Roman" w:hAnsi="Times New Roman"/>
                <w:sz w:val="20"/>
                <w:szCs w:val="20"/>
              </w:rPr>
            </w:pPr>
            <w:r w:rsidRPr="005E13B9">
              <w:rPr>
                <w:rFonts w:ascii="Times New Roman" w:hAnsi="Times New Roman"/>
                <w:sz w:val="20"/>
                <w:szCs w:val="20"/>
              </w:rPr>
              <w:t>3.</w:t>
            </w:r>
          </w:p>
        </w:tc>
        <w:tc>
          <w:tcPr>
            <w:tcW w:w="1405" w:type="dxa"/>
          </w:tcPr>
          <w:p w14:paraId="238F5749" w14:textId="77777777" w:rsidR="00E35FCB" w:rsidRPr="005E13B9" w:rsidRDefault="00E35FCB" w:rsidP="00250DAC">
            <w:pPr>
              <w:spacing w:after="0" w:line="240" w:lineRule="auto"/>
              <w:jc w:val="both"/>
              <w:rPr>
                <w:rFonts w:ascii="Times New Roman" w:hAnsi="Times New Roman"/>
                <w:sz w:val="20"/>
                <w:szCs w:val="20"/>
              </w:rPr>
            </w:pPr>
            <w:r w:rsidRPr="005E13B9">
              <w:rPr>
                <w:rFonts w:ascii="Times New Roman" w:eastAsia="Calibri" w:hAnsi="Times New Roman"/>
                <w:kern w:val="2"/>
                <w:sz w:val="20"/>
                <w:szCs w:val="20"/>
                <w14:ligatures w14:val="standardContextual"/>
              </w:rPr>
              <w:t>Manufacturing Unit</w:t>
            </w:r>
          </w:p>
        </w:tc>
        <w:tc>
          <w:tcPr>
            <w:tcW w:w="2921" w:type="dxa"/>
          </w:tcPr>
          <w:p w14:paraId="4D145566" w14:textId="77777777" w:rsidR="00E35FCB" w:rsidRPr="005E13B9" w:rsidRDefault="00E35FCB" w:rsidP="00250DAC">
            <w:pPr>
              <w:spacing w:after="0" w:line="240" w:lineRule="auto"/>
              <w:jc w:val="both"/>
              <w:rPr>
                <w:rFonts w:ascii="Times New Roman" w:hAnsi="Times New Roman"/>
                <w:sz w:val="20"/>
                <w:szCs w:val="20"/>
              </w:rPr>
            </w:pPr>
            <w:r w:rsidRPr="005E13B9">
              <w:rPr>
                <w:rFonts w:ascii="Times New Roman" w:hAnsi="Times New Roman"/>
                <w:sz w:val="20"/>
              </w:rPr>
              <w:t>Plot No. 12 &amp; 14, Vill Lakhabaval, Post Khodiyar Colony, Jamnagar-</w:t>
            </w:r>
            <w:r w:rsidRPr="005E13B9">
              <w:t xml:space="preserve"> </w:t>
            </w:r>
            <w:r w:rsidRPr="005E13B9">
              <w:rPr>
                <w:rFonts w:ascii="Times New Roman" w:hAnsi="Times New Roman"/>
                <w:sz w:val="20"/>
              </w:rPr>
              <w:t>361006 Gujarat</w:t>
            </w:r>
          </w:p>
        </w:tc>
        <w:tc>
          <w:tcPr>
            <w:tcW w:w="5499" w:type="dxa"/>
          </w:tcPr>
          <w:p w14:paraId="201D07A4" w14:textId="77777777" w:rsidR="00E35FCB" w:rsidRPr="00712F3C" w:rsidRDefault="00E35FCB" w:rsidP="00250DAC">
            <w:pPr>
              <w:spacing w:after="0" w:line="240" w:lineRule="auto"/>
              <w:jc w:val="both"/>
              <w:rPr>
                <w:rFonts w:ascii="Times New Roman" w:hAnsi="Times New Roman"/>
                <w:sz w:val="20"/>
                <w:szCs w:val="20"/>
                <w:lang w:val="en-IN"/>
              </w:rPr>
            </w:pPr>
            <w:r w:rsidRPr="005E13B9">
              <w:rPr>
                <w:rFonts w:ascii="Times New Roman" w:eastAsia="Calibri" w:hAnsi="Times New Roman"/>
                <w:kern w:val="2"/>
                <w:sz w:val="20"/>
                <w:szCs w:val="20"/>
                <w14:ligatures w14:val="standardContextual"/>
              </w:rPr>
              <w:t xml:space="preserve">Obtained on lease from Ramgopal Ochhavlal Maheshwari for a period of 7 years starting from June 02, 2023 through an </w:t>
            </w:r>
            <w:r w:rsidRPr="005E13B9">
              <w:rPr>
                <w:rFonts w:ascii="Times New Roman" w:hAnsi="Times New Roman"/>
                <w:sz w:val="20"/>
              </w:rPr>
              <w:t xml:space="preserve">Agreement for Leave &amp; License </w:t>
            </w:r>
            <w:r w:rsidRPr="005E13B9">
              <w:rPr>
                <w:rFonts w:ascii="Times New Roman" w:eastAsia="Calibri" w:hAnsi="Times New Roman"/>
                <w:kern w:val="2"/>
                <w:sz w:val="20"/>
                <w:szCs w:val="20"/>
                <w14:ligatures w14:val="standardContextual"/>
              </w:rPr>
              <w:t>dated June 02, 2023, at a monthly lease of ₹ 15,000/-</w:t>
            </w:r>
          </w:p>
        </w:tc>
      </w:tr>
    </w:tbl>
    <w:p w14:paraId="63185B35" w14:textId="77777777" w:rsidR="00E35FCB" w:rsidRPr="00712F3C" w:rsidRDefault="00E35FCB" w:rsidP="00E35FCB">
      <w:pPr>
        <w:widowControl w:val="0"/>
        <w:autoSpaceDE w:val="0"/>
        <w:autoSpaceDN w:val="0"/>
        <w:adjustRightInd w:val="0"/>
        <w:spacing w:after="0" w:line="240" w:lineRule="auto"/>
        <w:jc w:val="both"/>
        <w:rPr>
          <w:rFonts w:ascii="Times New Roman" w:eastAsia="MS Mincho" w:hAnsi="Times New Roman"/>
          <w:sz w:val="20"/>
          <w:szCs w:val="20"/>
          <w:lang w:val="en-GB"/>
        </w:rPr>
      </w:pPr>
    </w:p>
    <w:p w14:paraId="386FE136" w14:textId="77777777" w:rsidR="00E35FCB" w:rsidRPr="00712F3C" w:rsidRDefault="00E35FCB" w:rsidP="00E35FCB">
      <w:pPr>
        <w:widowControl w:val="0"/>
        <w:spacing w:after="0" w:line="240" w:lineRule="auto"/>
        <w:jc w:val="both"/>
        <w:rPr>
          <w:rFonts w:ascii="Times New Roman" w:eastAsia="Arial Unicode MS" w:hAnsi="Times New Roman"/>
          <w:sz w:val="20"/>
          <w:szCs w:val="20"/>
          <w:lang w:val="en-GB"/>
        </w:rPr>
      </w:pPr>
      <w:r w:rsidRPr="00712F3C">
        <w:rPr>
          <w:rFonts w:ascii="Times New Roman" w:eastAsia="Arial Unicode MS" w:hAnsi="Times New Roman"/>
          <w:sz w:val="20"/>
          <w:szCs w:val="20"/>
          <w:lang w:val="en-GB"/>
        </w:rPr>
        <w:t xml:space="preserve">Except as stated in this section </w:t>
      </w:r>
      <w:r w:rsidRPr="00712F3C">
        <w:rPr>
          <w:rFonts w:ascii="Times New Roman" w:eastAsia="Arial Unicode MS" w:hAnsi="Times New Roman"/>
          <w:b/>
          <w:i/>
          <w:sz w:val="20"/>
          <w:szCs w:val="20"/>
          <w:lang w:val="en-GB"/>
        </w:rPr>
        <w:t>“Our Management”</w:t>
      </w:r>
      <w:r w:rsidRPr="00712F3C">
        <w:rPr>
          <w:rFonts w:ascii="Times New Roman" w:eastAsia="Arial Unicode MS" w:hAnsi="Times New Roman"/>
          <w:sz w:val="20"/>
          <w:szCs w:val="20"/>
          <w:lang w:val="en-GB"/>
        </w:rPr>
        <w:t xml:space="preserve"> or the section titled </w:t>
      </w:r>
      <w:r w:rsidRPr="00712F3C">
        <w:rPr>
          <w:rFonts w:ascii="Times New Roman" w:eastAsia="Arial Unicode MS" w:hAnsi="Times New Roman"/>
          <w:b/>
          <w:i/>
          <w:sz w:val="20"/>
          <w:szCs w:val="20"/>
          <w:lang w:val="en-GB"/>
        </w:rPr>
        <w:t xml:space="preserve">“Financial information of the Company –Note 24 - Related Party Disclosure” </w:t>
      </w:r>
      <w:r w:rsidRPr="00712F3C">
        <w:rPr>
          <w:rFonts w:ascii="Times New Roman" w:eastAsia="Arial Unicode MS" w:hAnsi="Times New Roman"/>
          <w:sz w:val="20"/>
          <w:szCs w:val="20"/>
          <w:lang w:val="en-GB"/>
        </w:rPr>
        <w:t xml:space="preserve">beginning on page </w:t>
      </w:r>
      <w:r>
        <w:rPr>
          <w:rFonts w:ascii="Times New Roman" w:eastAsia="Arial Unicode MS" w:hAnsi="Times New Roman"/>
          <w:sz w:val="20"/>
          <w:szCs w:val="20"/>
          <w:lang w:val="en-GB"/>
        </w:rPr>
        <w:t>111</w:t>
      </w:r>
      <w:r w:rsidRPr="00712F3C">
        <w:rPr>
          <w:rFonts w:ascii="Times New Roman" w:eastAsia="Arial Unicode MS" w:hAnsi="Times New Roman"/>
          <w:sz w:val="20"/>
          <w:szCs w:val="20"/>
          <w:lang w:val="en-GB"/>
        </w:rPr>
        <w:t xml:space="preserve"> and </w:t>
      </w:r>
      <w:r>
        <w:rPr>
          <w:rFonts w:ascii="Times New Roman" w:eastAsia="Arial Unicode MS" w:hAnsi="Times New Roman"/>
          <w:sz w:val="20"/>
          <w:szCs w:val="20"/>
          <w:lang w:val="en-GB"/>
        </w:rPr>
        <w:t>161</w:t>
      </w:r>
      <w:r w:rsidRPr="00712F3C">
        <w:rPr>
          <w:rFonts w:ascii="Times New Roman" w:eastAsia="Arial Unicode MS" w:hAnsi="Times New Roman"/>
          <w:sz w:val="20"/>
          <w:szCs w:val="20"/>
          <w:lang w:val="en-GB"/>
        </w:rPr>
        <w:t xml:space="preserve"> respectively of this Draft </w:t>
      </w:r>
      <w:r w:rsidRPr="00712F3C">
        <w:rPr>
          <w:rFonts w:ascii="Times New Roman" w:hAnsi="Times New Roman"/>
          <w:sz w:val="20"/>
          <w:szCs w:val="20"/>
        </w:rPr>
        <w:t xml:space="preserve">Red Herring </w:t>
      </w:r>
      <w:r w:rsidRPr="00712F3C">
        <w:rPr>
          <w:rFonts w:ascii="Times New Roman" w:eastAsia="Arial Unicode MS" w:hAnsi="Times New Roman"/>
          <w:sz w:val="20"/>
          <w:szCs w:val="20"/>
          <w:lang w:val="en-GB"/>
        </w:rPr>
        <w:t>Prospectus, and except to the extent of shareholding in our Company, our Directors do not have any other interest in our business.</w:t>
      </w:r>
    </w:p>
    <w:p w14:paraId="371FB01B" w14:textId="77777777" w:rsidR="00E35FCB" w:rsidRPr="00712F3C" w:rsidRDefault="00E35FCB" w:rsidP="00E35FCB">
      <w:pPr>
        <w:widowControl w:val="0"/>
        <w:spacing w:after="0" w:line="240" w:lineRule="auto"/>
        <w:jc w:val="both"/>
        <w:rPr>
          <w:rFonts w:ascii="Times New Roman" w:eastAsia="Arial Unicode MS" w:hAnsi="Times New Roman"/>
          <w:sz w:val="20"/>
          <w:szCs w:val="20"/>
          <w:lang w:val="en-GB"/>
        </w:rPr>
      </w:pPr>
    </w:p>
    <w:p w14:paraId="55B3CD54" w14:textId="77777777" w:rsidR="00E35FCB" w:rsidRPr="00712F3C" w:rsidRDefault="00E35FCB" w:rsidP="00E35FCB">
      <w:pPr>
        <w:widowControl w:val="0"/>
        <w:autoSpaceDE w:val="0"/>
        <w:autoSpaceDN w:val="0"/>
        <w:adjustRightInd w:val="0"/>
        <w:spacing w:after="0" w:line="240" w:lineRule="auto"/>
        <w:jc w:val="both"/>
        <w:rPr>
          <w:rFonts w:ascii="Times New Roman" w:eastAsia="MS Mincho" w:hAnsi="Times New Roman"/>
          <w:b/>
          <w:bCs/>
          <w:color w:val="000000"/>
          <w:sz w:val="20"/>
          <w:szCs w:val="20"/>
          <w:lang w:val="en-GB"/>
        </w:rPr>
      </w:pPr>
      <w:r w:rsidRPr="00712F3C">
        <w:rPr>
          <w:rFonts w:ascii="Times New Roman" w:eastAsia="MS Mincho" w:hAnsi="Times New Roman"/>
          <w:b/>
          <w:bCs/>
          <w:color w:val="000000"/>
          <w:sz w:val="20"/>
          <w:szCs w:val="20"/>
          <w:lang w:val="en-GB"/>
        </w:rPr>
        <w:t xml:space="preserve">Changes in Board of Directors in Last 3 Years: </w:t>
      </w:r>
    </w:p>
    <w:p w14:paraId="6DD90154" w14:textId="77777777" w:rsidR="00E35FCB" w:rsidRPr="00712F3C" w:rsidRDefault="00E35FCB" w:rsidP="00E35FCB">
      <w:pPr>
        <w:widowControl w:val="0"/>
        <w:autoSpaceDE w:val="0"/>
        <w:autoSpaceDN w:val="0"/>
        <w:adjustRightInd w:val="0"/>
        <w:spacing w:after="0" w:line="240" w:lineRule="auto"/>
        <w:jc w:val="both"/>
        <w:rPr>
          <w:rFonts w:ascii="Times New Roman" w:eastAsia="MS Mincho" w:hAnsi="Times New Roman"/>
          <w:b/>
          <w:bCs/>
          <w:color w:val="000000"/>
          <w:sz w:val="20"/>
          <w:szCs w:val="20"/>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9"/>
        <w:gridCol w:w="3545"/>
        <w:gridCol w:w="2127"/>
        <w:gridCol w:w="1955"/>
      </w:tblGrid>
      <w:tr w:rsidR="00E35FCB" w:rsidRPr="00712F3C" w14:paraId="17D6D476" w14:textId="77777777" w:rsidTr="00250DAC">
        <w:trPr>
          <w:tblHeader/>
        </w:trPr>
        <w:tc>
          <w:tcPr>
            <w:tcW w:w="1353" w:type="pct"/>
            <w:shd w:val="clear" w:color="auto" w:fill="D0CECE" w:themeFill="background2" w:themeFillShade="E6"/>
            <w:vAlign w:val="center"/>
          </w:tcPr>
          <w:p w14:paraId="3914F059" w14:textId="77777777" w:rsidR="00E35FCB" w:rsidRPr="00712F3C" w:rsidRDefault="00E35FCB" w:rsidP="00250DAC">
            <w:pPr>
              <w:spacing w:after="0" w:line="240" w:lineRule="auto"/>
              <w:jc w:val="center"/>
              <w:rPr>
                <w:rFonts w:ascii="Times New Roman" w:eastAsia="Calibri" w:hAnsi="Times New Roman"/>
                <w:bCs/>
                <w:sz w:val="20"/>
                <w:szCs w:val="20"/>
              </w:rPr>
            </w:pPr>
            <w:r w:rsidRPr="00712F3C">
              <w:rPr>
                <w:rFonts w:ascii="Times New Roman" w:eastAsia="Calibri" w:hAnsi="Times New Roman"/>
                <w:b/>
                <w:bCs/>
                <w:sz w:val="20"/>
                <w:szCs w:val="20"/>
              </w:rPr>
              <w:t>Name</w:t>
            </w:r>
          </w:p>
        </w:tc>
        <w:tc>
          <w:tcPr>
            <w:tcW w:w="1695" w:type="pct"/>
            <w:shd w:val="clear" w:color="auto" w:fill="D0CECE" w:themeFill="background2" w:themeFillShade="E6"/>
            <w:vAlign w:val="center"/>
          </w:tcPr>
          <w:p w14:paraId="7355517B" w14:textId="77777777" w:rsidR="00E35FCB" w:rsidRPr="00712F3C" w:rsidRDefault="00E35FCB" w:rsidP="00250DAC">
            <w:pPr>
              <w:spacing w:after="0" w:line="240" w:lineRule="auto"/>
              <w:jc w:val="both"/>
              <w:rPr>
                <w:rFonts w:ascii="Times New Roman" w:eastAsia="Calibri" w:hAnsi="Times New Roman"/>
                <w:bCs/>
                <w:sz w:val="20"/>
                <w:szCs w:val="20"/>
              </w:rPr>
            </w:pPr>
            <w:r w:rsidRPr="00712F3C">
              <w:rPr>
                <w:rFonts w:ascii="Times New Roman" w:eastAsia="Calibri" w:hAnsi="Times New Roman"/>
                <w:b/>
                <w:bCs/>
                <w:sz w:val="20"/>
                <w:szCs w:val="20"/>
              </w:rPr>
              <w:t>Designation (at the time of appointment/ Change in designation / Cessation)</w:t>
            </w:r>
          </w:p>
        </w:tc>
        <w:tc>
          <w:tcPr>
            <w:tcW w:w="1017" w:type="pct"/>
            <w:shd w:val="clear" w:color="auto" w:fill="D0CECE" w:themeFill="background2" w:themeFillShade="E6"/>
            <w:vAlign w:val="center"/>
          </w:tcPr>
          <w:p w14:paraId="2B23E301" w14:textId="77777777" w:rsidR="00E35FCB" w:rsidRPr="00712F3C" w:rsidRDefault="00E35FCB" w:rsidP="00250DAC">
            <w:pPr>
              <w:spacing w:after="0" w:line="240" w:lineRule="auto"/>
              <w:jc w:val="both"/>
              <w:rPr>
                <w:rFonts w:ascii="Times New Roman" w:eastAsia="Calibri" w:hAnsi="Times New Roman"/>
                <w:bCs/>
                <w:sz w:val="20"/>
                <w:szCs w:val="20"/>
              </w:rPr>
            </w:pPr>
            <w:r w:rsidRPr="00712F3C">
              <w:rPr>
                <w:rFonts w:ascii="Times New Roman" w:eastAsia="Calibri" w:hAnsi="Times New Roman"/>
                <w:b/>
                <w:bCs/>
                <w:sz w:val="20"/>
                <w:szCs w:val="20"/>
              </w:rPr>
              <w:t>Date of Appointment/ Change in designation/ Cessation</w:t>
            </w:r>
          </w:p>
        </w:tc>
        <w:tc>
          <w:tcPr>
            <w:tcW w:w="935" w:type="pct"/>
            <w:shd w:val="clear" w:color="auto" w:fill="D0CECE" w:themeFill="background2" w:themeFillShade="E6"/>
            <w:vAlign w:val="center"/>
          </w:tcPr>
          <w:p w14:paraId="1AC87901" w14:textId="77777777" w:rsidR="00E35FCB" w:rsidRPr="00712F3C" w:rsidRDefault="00E35FCB" w:rsidP="00250DAC">
            <w:pPr>
              <w:spacing w:after="0" w:line="240" w:lineRule="auto"/>
              <w:jc w:val="center"/>
              <w:rPr>
                <w:rFonts w:ascii="Times New Roman" w:eastAsia="Calibri" w:hAnsi="Times New Roman"/>
                <w:bCs/>
                <w:sz w:val="20"/>
                <w:szCs w:val="20"/>
              </w:rPr>
            </w:pPr>
            <w:r w:rsidRPr="00712F3C">
              <w:rPr>
                <w:rFonts w:ascii="Times New Roman" w:eastAsia="Calibri" w:hAnsi="Times New Roman"/>
                <w:b/>
                <w:bCs/>
                <w:sz w:val="20"/>
                <w:szCs w:val="20"/>
              </w:rPr>
              <w:t>Reason</w:t>
            </w:r>
          </w:p>
        </w:tc>
      </w:tr>
      <w:tr w:rsidR="00E35FCB" w:rsidRPr="00712F3C" w14:paraId="1239CFE8" w14:textId="77777777" w:rsidTr="00250DAC">
        <w:tc>
          <w:tcPr>
            <w:tcW w:w="1353" w:type="pct"/>
            <w:shd w:val="clear" w:color="auto" w:fill="auto"/>
          </w:tcPr>
          <w:p w14:paraId="27A17614" w14:textId="77777777" w:rsidR="00E35FCB" w:rsidRPr="002A1472" w:rsidRDefault="00E35FCB" w:rsidP="00250DAC">
            <w:pPr>
              <w:spacing w:after="0" w:line="240" w:lineRule="auto"/>
              <w:jc w:val="both"/>
              <w:rPr>
                <w:rFonts w:ascii="Times New Roman" w:eastAsia="Calibri" w:hAnsi="Times New Roman"/>
                <w:bCs/>
                <w:iCs/>
                <w:sz w:val="20"/>
                <w:szCs w:val="20"/>
              </w:rPr>
            </w:pPr>
            <w:r w:rsidRPr="002A1472">
              <w:rPr>
                <w:rFonts w:ascii="Times New Roman" w:eastAsia="Calibri" w:hAnsi="Times New Roman"/>
                <w:bCs/>
                <w:iCs/>
                <w:sz w:val="20"/>
                <w:szCs w:val="20"/>
              </w:rPr>
              <w:t>Jaimish Govindbhai Patel</w:t>
            </w:r>
          </w:p>
        </w:tc>
        <w:tc>
          <w:tcPr>
            <w:tcW w:w="1695" w:type="pct"/>
            <w:shd w:val="clear" w:color="auto" w:fill="auto"/>
          </w:tcPr>
          <w:p w14:paraId="783BB47B" w14:textId="77777777" w:rsidR="00E35FCB" w:rsidRPr="00712F3C" w:rsidRDefault="00E35FC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Appointed as an Independent Director</w:t>
            </w:r>
          </w:p>
        </w:tc>
        <w:tc>
          <w:tcPr>
            <w:tcW w:w="1017" w:type="pct"/>
            <w:shd w:val="clear" w:color="auto" w:fill="auto"/>
          </w:tcPr>
          <w:p w14:paraId="2587BD02" w14:textId="77777777" w:rsidR="00E35FCB" w:rsidRPr="00712F3C" w:rsidRDefault="00E35FCB" w:rsidP="00250DAC">
            <w:pPr>
              <w:spacing w:after="0" w:line="240" w:lineRule="auto"/>
              <w:jc w:val="both"/>
              <w:rPr>
                <w:rFonts w:ascii="Times New Roman" w:hAnsi="Times New Roman"/>
                <w:color w:val="000000"/>
                <w:sz w:val="20"/>
                <w:szCs w:val="20"/>
              </w:rPr>
            </w:pPr>
            <w:r>
              <w:rPr>
                <w:rFonts w:ascii="Times New Roman" w:hAnsi="Times New Roman"/>
                <w:color w:val="000000"/>
                <w:sz w:val="20"/>
                <w:szCs w:val="20"/>
              </w:rPr>
              <w:t>August 05, 2023</w:t>
            </w:r>
          </w:p>
        </w:tc>
        <w:tc>
          <w:tcPr>
            <w:tcW w:w="935" w:type="pct"/>
            <w:vMerge w:val="restart"/>
            <w:shd w:val="clear" w:color="auto" w:fill="auto"/>
            <w:vAlign w:val="center"/>
          </w:tcPr>
          <w:p w14:paraId="636AC5F9" w14:textId="77777777" w:rsidR="00E35FCB" w:rsidRPr="00712F3C" w:rsidRDefault="00E35FCB" w:rsidP="00250DAC">
            <w:pPr>
              <w:spacing w:after="0" w:line="240" w:lineRule="auto"/>
              <w:jc w:val="both"/>
              <w:rPr>
                <w:rFonts w:ascii="Times New Roman" w:hAnsi="Times New Roman"/>
                <w:sz w:val="20"/>
                <w:szCs w:val="20"/>
              </w:rPr>
            </w:pPr>
            <w:r w:rsidRPr="00712F3C">
              <w:rPr>
                <w:rFonts w:ascii="Times New Roman" w:hAnsi="Times New Roman"/>
                <w:sz w:val="20"/>
                <w:szCs w:val="20"/>
              </w:rPr>
              <w:t>To ensure better Corporate Governance and compliance with Companies Act, 2013.</w:t>
            </w:r>
          </w:p>
        </w:tc>
      </w:tr>
      <w:tr w:rsidR="00E35FCB" w:rsidRPr="00712F3C" w14:paraId="01DEE983" w14:textId="77777777" w:rsidTr="00250DAC">
        <w:tc>
          <w:tcPr>
            <w:tcW w:w="1353" w:type="pct"/>
            <w:shd w:val="clear" w:color="auto" w:fill="auto"/>
          </w:tcPr>
          <w:p w14:paraId="4EE9A0B7" w14:textId="77777777" w:rsidR="00E35FCB" w:rsidRPr="002A1472" w:rsidRDefault="00E35FCB" w:rsidP="00250DAC">
            <w:pPr>
              <w:spacing w:after="0" w:line="240" w:lineRule="auto"/>
              <w:jc w:val="both"/>
              <w:rPr>
                <w:rFonts w:ascii="Times New Roman" w:hAnsi="Times New Roman"/>
                <w:color w:val="000000"/>
                <w:sz w:val="20"/>
                <w:szCs w:val="20"/>
              </w:rPr>
            </w:pPr>
            <w:r w:rsidRPr="002A1472">
              <w:rPr>
                <w:rFonts w:ascii="Times New Roman" w:hAnsi="Times New Roman"/>
                <w:color w:val="000000"/>
                <w:sz w:val="20"/>
                <w:szCs w:val="20"/>
              </w:rPr>
              <w:t>Raimeen Bhanubhai Maradiya</w:t>
            </w:r>
          </w:p>
        </w:tc>
        <w:tc>
          <w:tcPr>
            <w:tcW w:w="1695" w:type="pct"/>
            <w:shd w:val="clear" w:color="auto" w:fill="auto"/>
          </w:tcPr>
          <w:p w14:paraId="73C7777A" w14:textId="77777777" w:rsidR="00E35FCB" w:rsidRPr="00712F3C" w:rsidRDefault="00E35FC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Appointed as an Independent Director</w:t>
            </w:r>
          </w:p>
        </w:tc>
        <w:tc>
          <w:tcPr>
            <w:tcW w:w="1017" w:type="pct"/>
            <w:shd w:val="clear" w:color="auto" w:fill="auto"/>
          </w:tcPr>
          <w:p w14:paraId="463F6BD8" w14:textId="77777777" w:rsidR="00E35FCB" w:rsidRPr="00712F3C" w:rsidRDefault="00E35FCB" w:rsidP="00250DAC">
            <w:pPr>
              <w:spacing w:after="0" w:line="240" w:lineRule="auto"/>
              <w:jc w:val="both"/>
              <w:rPr>
                <w:rFonts w:ascii="Times New Roman" w:hAnsi="Times New Roman"/>
                <w:color w:val="000000"/>
                <w:sz w:val="20"/>
                <w:szCs w:val="20"/>
              </w:rPr>
            </w:pPr>
            <w:r>
              <w:rPr>
                <w:rFonts w:ascii="Times New Roman" w:hAnsi="Times New Roman"/>
                <w:color w:val="000000"/>
                <w:sz w:val="20"/>
                <w:szCs w:val="20"/>
              </w:rPr>
              <w:t>August 05, 2023</w:t>
            </w:r>
          </w:p>
        </w:tc>
        <w:tc>
          <w:tcPr>
            <w:tcW w:w="935" w:type="pct"/>
            <w:vMerge/>
            <w:shd w:val="clear" w:color="auto" w:fill="auto"/>
            <w:vAlign w:val="center"/>
          </w:tcPr>
          <w:p w14:paraId="0A19264C" w14:textId="77777777" w:rsidR="00E35FCB" w:rsidRPr="00712F3C" w:rsidRDefault="00E35FCB" w:rsidP="00250DAC">
            <w:pPr>
              <w:spacing w:after="0" w:line="240" w:lineRule="auto"/>
              <w:jc w:val="both"/>
              <w:rPr>
                <w:rFonts w:ascii="Times New Roman" w:hAnsi="Times New Roman"/>
                <w:sz w:val="20"/>
                <w:szCs w:val="20"/>
              </w:rPr>
            </w:pPr>
          </w:p>
        </w:tc>
      </w:tr>
      <w:tr w:rsidR="00E35FCB" w:rsidRPr="00712F3C" w14:paraId="01E89A4A" w14:textId="77777777" w:rsidTr="00250DAC">
        <w:trPr>
          <w:trHeight w:val="454"/>
        </w:trPr>
        <w:tc>
          <w:tcPr>
            <w:tcW w:w="1353" w:type="pct"/>
            <w:shd w:val="clear" w:color="auto" w:fill="auto"/>
          </w:tcPr>
          <w:p w14:paraId="5FB0E708" w14:textId="77777777" w:rsidR="00E35FCB" w:rsidRPr="00712F3C" w:rsidRDefault="00E35FCB" w:rsidP="00250DAC">
            <w:pPr>
              <w:spacing w:after="0" w:line="240" w:lineRule="auto"/>
              <w:jc w:val="both"/>
              <w:rPr>
                <w:rFonts w:ascii="Times New Roman" w:hAnsi="Times New Roman"/>
                <w:color w:val="000000"/>
                <w:sz w:val="20"/>
                <w:szCs w:val="20"/>
              </w:rPr>
            </w:pPr>
            <w:r w:rsidRPr="002A1472">
              <w:rPr>
                <w:rFonts w:ascii="Times New Roman" w:hAnsi="Times New Roman"/>
                <w:color w:val="000000"/>
                <w:sz w:val="20"/>
                <w:szCs w:val="20"/>
              </w:rPr>
              <w:t>Bhavesh Ramgopal Maheshwari</w:t>
            </w:r>
          </w:p>
        </w:tc>
        <w:tc>
          <w:tcPr>
            <w:tcW w:w="1695" w:type="pct"/>
            <w:shd w:val="clear" w:color="auto" w:fill="auto"/>
          </w:tcPr>
          <w:p w14:paraId="209C10B3" w14:textId="77777777" w:rsidR="00E35FCB" w:rsidRPr="00712F3C" w:rsidRDefault="00E35FC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Change in Designation as Managing Director</w:t>
            </w:r>
          </w:p>
        </w:tc>
        <w:tc>
          <w:tcPr>
            <w:tcW w:w="1017" w:type="pct"/>
            <w:shd w:val="clear" w:color="auto" w:fill="auto"/>
          </w:tcPr>
          <w:p w14:paraId="1E397800" w14:textId="77777777" w:rsidR="00E35FCB" w:rsidRPr="00712F3C" w:rsidRDefault="00E35FCB" w:rsidP="00250DAC">
            <w:pPr>
              <w:spacing w:after="0" w:line="240" w:lineRule="auto"/>
              <w:jc w:val="both"/>
              <w:rPr>
                <w:rFonts w:ascii="Times New Roman" w:hAnsi="Times New Roman"/>
                <w:color w:val="000000"/>
                <w:sz w:val="20"/>
                <w:szCs w:val="20"/>
              </w:rPr>
            </w:pPr>
            <w:r>
              <w:rPr>
                <w:rFonts w:ascii="Times New Roman" w:hAnsi="Times New Roman"/>
                <w:color w:val="000000"/>
                <w:sz w:val="20"/>
                <w:szCs w:val="20"/>
              </w:rPr>
              <w:t>August 25, 2023</w:t>
            </w:r>
          </w:p>
        </w:tc>
        <w:tc>
          <w:tcPr>
            <w:tcW w:w="935" w:type="pct"/>
            <w:vMerge/>
            <w:shd w:val="clear" w:color="auto" w:fill="auto"/>
            <w:vAlign w:val="center"/>
          </w:tcPr>
          <w:p w14:paraId="1DBD4ABB" w14:textId="77777777" w:rsidR="00E35FCB" w:rsidRPr="00712F3C" w:rsidRDefault="00E35FCB" w:rsidP="00250DAC">
            <w:pPr>
              <w:spacing w:after="0" w:line="240" w:lineRule="auto"/>
              <w:jc w:val="both"/>
              <w:rPr>
                <w:rFonts w:ascii="Times New Roman" w:hAnsi="Times New Roman"/>
                <w:sz w:val="20"/>
                <w:szCs w:val="20"/>
              </w:rPr>
            </w:pPr>
          </w:p>
        </w:tc>
      </w:tr>
      <w:tr w:rsidR="00E35FCB" w:rsidRPr="00712F3C" w14:paraId="3EA60220" w14:textId="77777777" w:rsidTr="00250DAC">
        <w:trPr>
          <w:trHeight w:val="283"/>
        </w:trPr>
        <w:tc>
          <w:tcPr>
            <w:tcW w:w="1353" w:type="pct"/>
            <w:shd w:val="clear" w:color="auto" w:fill="auto"/>
          </w:tcPr>
          <w:p w14:paraId="5373BEC1" w14:textId="77777777" w:rsidR="00E35FCB" w:rsidRPr="00712F3C" w:rsidRDefault="00E35FCB" w:rsidP="00250DAC">
            <w:pPr>
              <w:spacing w:after="0" w:line="240" w:lineRule="auto"/>
              <w:jc w:val="both"/>
              <w:rPr>
                <w:rFonts w:ascii="Times New Roman" w:hAnsi="Times New Roman"/>
                <w:color w:val="000000"/>
                <w:sz w:val="20"/>
                <w:szCs w:val="20"/>
              </w:rPr>
            </w:pPr>
            <w:r w:rsidRPr="002A1472">
              <w:rPr>
                <w:rFonts w:ascii="Times New Roman" w:hAnsi="Times New Roman"/>
                <w:color w:val="000000"/>
                <w:sz w:val="20"/>
                <w:szCs w:val="20"/>
              </w:rPr>
              <w:t>Ramgopal Ochhavlal Maheshwari</w:t>
            </w:r>
          </w:p>
        </w:tc>
        <w:tc>
          <w:tcPr>
            <w:tcW w:w="1695" w:type="pct"/>
            <w:shd w:val="clear" w:color="auto" w:fill="auto"/>
          </w:tcPr>
          <w:p w14:paraId="1A69E2F6" w14:textId="77777777" w:rsidR="00E35FCB" w:rsidRPr="00712F3C" w:rsidRDefault="00E35FC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 xml:space="preserve">Change in Designation as </w:t>
            </w:r>
            <w:r>
              <w:rPr>
                <w:rFonts w:ascii="Times New Roman" w:hAnsi="Times New Roman"/>
                <w:color w:val="000000"/>
                <w:sz w:val="20"/>
                <w:szCs w:val="20"/>
              </w:rPr>
              <w:t xml:space="preserve">Chairman &amp; </w:t>
            </w:r>
            <w:r w:rsidRPr="00712F3C">
              <w:rPr>
                <w:rFonts w:ascii="Times New Roman" w:hAnsi="Times New Roman"/>
                <w:color w:val="000000"/>
                <w:sz w:val="20"/>
                <w:szCs w:val="20"/>
              </w:rPr>
              <w:t>Whole-time Director</w:t>
            </w:r>
          </w:p>
        </w:tc>
        <w:tc>
          <w:tcPr>
            <w:tcW w:w="1017" w:type="pct"/>
            <w:shd w:val="clear" w:color="auto" w:fill="auto"/>
          </w:tcPr>
          <w:p w14:paraId="6B34B09C" w14:textId="77777777" w:rsidR="00E35FCB" w:rsidRPr="00712F3C" w:rsidRDefault="00E35FCB" w:rsidP="00250DAC">
            <w:pPr>
              <w:spacing w:after="0" w:line="240" w:lineRule="auto"/>
              <w:jc w:val="both"/>
              <w:rPr>
                <w:rFonts w:ascii="Times New Roman" w:hAnsi="Times New Roman"/>
                <w:color w:val="000000"/>
                <w:sz w:val="20"/>
                <w:szCs w:val="20"/>
              </w:rPr>
            </w:pPr>
            <w:r>
              <w:rPr>
                <w:rFonts w:ascii="Times New Roman" w:hAnsi="Times New Roman"/>
                <w:color w:val="000000"/>
                <w:sz w:val="20"/>
                <w:szCs w:val="20"/>
              </w:rPr>
              <w:t>August 25, 2023</w:t>
            </w:r>
          </w:p>
        </w:tc>
        <w:tc>
          <w:tcPr>
            <w:tcW w:w="935" w:type="pct"/>
            <w:vMerge/>
            <w:shd w:val="clear" w:color="auto" w:fill="auto"/>
            <w:vAlign w:val="center"/>
          </w:tcPr>
          <w:p w14:paraId="5F68482E" w14:textId="77777777" w:rsidR="00E35FCB" w:rsidRPr="00712F3C" w:rsidRDefault="00E35FCB" w:rsidP="00250DAC">
            <w:pPr>
              <w:spacing w:after="0" w:line="240" w:lineRule="auto"/>
              <w:jc w:val="both"/>
              <w:rPr>
                <w:rFonts w:ascii="Times New Roman" w:hAnsi="Times New Roman"/>
                <w:sz w:val="20"/>
                <w:szCs w:val="20"/>
              </w:rPr>
            </w:pPr>
          </w:p>
        </w:tc>
      </w:tr>
    </w:tbl>
    <w:p w14:paraId="4AB7E258" w14:textId="77777777" w:rsidR="00E35FCB" w:rsidRDefault="00E35FCB" w:rsidP="00E35FCB">
      <w:pPr>
        <w:spacing w:after="0" w:line="240" w:lineRule="auto"/>
        <w:rPr>
          <w:rFonts w:ascii="Times New Roman" w:hAnsi="Times New Roman"/>
          <w:b/>
          <w:sz w:val="20"/>
          <w:szCs w:val="20"/>
          <w:u w:val="single"/>
        </w:rPr>
      </w:pPr>
    </w:p>
    <w:p w14:paraId="267D71CF" w14:textId="77777777" w:rsidR="00E35FCB" w:rsidRDefault="00E35FCB" w:rsidP="00E35FCB">
      <w:pPr>
        <w:spacing w:after="0" w:line="240" w:lineRule="auto"/>
        <w:rPr>
          <w:rFonts w:ascii="Times New Roman" w:hAnsi="Times New Roman"/>
          <w:b/>
          <w:sz w:val="20"/>
          <w:szCs w:val="20"/>
          <w:u w:val="single"/>
        </w:rPr>
      </w:pPr>
      <w:r w:rsidRPr="00712F3C">
        <w:rPr>
          <w:rFonts w:ascii="Times New Roman" w:hAnsi="Times New Roman"/>
          <w:b/>
          <w:sz w:val="20"/>
          <w:szCs w:val="20"/>
          <w:u w:val="single"/>
        </w:rPr>
        <w:t>MANAGEMENT ORGANISATION STRUCTURE</w:t>
      </w:r>
    </w:p>
    <w:p w14:paraId="6910C44C" w14:textId="5C2A8B60" w:rsidR="00E35FCB" w:rsidRDefault="00E35FCB" w:rsidP="00E35FCB">
      <w:pPr>
        <w:spacing w:after="0" w:line="240" w:lineRule="auto"/>
        <w:rPr>
          <w:rFonts w:ascii="Times New Roman" w:hAnsi="Times New Roman"/>
          <w:sz w:val="20"/>
          <w:szCs w:val="20"/>
        </w:rPr>
      </w:pPr>
      <w:r w:rsidRPr="00712F3C">
        <w:rPr>
          <w:rFonts w:ascii="Times New Roman" w:hAnsi="Times New Roman"/>
          <w:sz w:val="20"/>
          <w:szCs w:val="20"/>
        </w:rPr>
        <w:t>The following chart depicts our Management Organization Structure:</w:t>
      </w:r>
    </w:p>
    <w:p w14:paraId="1BE95BF0" w14:textId="77777777" w:rsidR="00114808" w:rsidRPr="00114808" w:rsidRDefault="00114808" w:rsidP="00E35FCB">
      <w:pPr>
        <w:spacing w:after="0" w:line="240" w:lineRule="auto"/>
        <w:rPr>
          <w:rFonts w:ascii="Times New Roman" w:hAnsi="Times New Roman"/>
          <w:sz w:val="14"/>
          <w:szCs w:val="14"/>
        </w:rPr>
      </w:pPr>
    </w:p>
    <w:p w14:paraId="1C1AE5D3" w14:textId="1A9F8337" w:rsidR="00E35FCB" w:rsidRPr="00E35FCB" w:rsidRDefault="00114808" w:rsidP="00E35FCB">
      <w:pPr>
        <w:spacing w:after="0" w:line="240" w:lineRule="auto"/>
        <w:rPr>
          <w:rFonts w:ascii="Times New Roman" w:hAnsi="Times New Roman"/>
          <w:b/>
          <w:sz w:val="20"/>
          <w:szCs w:val="20"/>
          <w:u w:val="single"/>
        </w:rPr>
      </w:pPr>
      <w:r w:rsidRPr="00712F3C">
        <w:rPr>
          <w:rFonts w:ascii="Times New Roman" w:hAnsi="Times New Roman"/>
          <w:b/>
          <w:bCs/>
          <w:noProof/>
          <w:sz w:val="20"/>
          <w:szCs w:val="20"/>
          <w:lang w:val="en-IN" w:eastAsia="en-IN"/>
        </w:rPr>
        <w:drawing>
          <wp:inline distT="0" distB="0" distL="0" distR="0" wp14:anchorId="2C2D7D05" wp14:editId="3249365B">
            <wp:extent cx="6383867" cy="2302510"/>
            <wp:effectExtent l="0" t="0" r="0" b="21590"/>
            <wp:docPr id="1835524067" name="Diagram 18355240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663E5BEC" w14:textId="77777777" w:rsidR="00E35FCB" w:rsidRPr="00712F3C" w:rsidRDefault="00E35FCB" w:rsidP="00E35FCB">
      <w:pPr>
        <w:autoSpaceDE w:val="0"/>
        <w:autoSpaceDN w:val="0"/>
        <w:adjustRightInd w:val="0"/>
        <w:spacing w:after="0" w:line="240" w:lineRule="auto"/>
        <w:jc w:val="both"/>
        <w:rPr>
          <w:rFonts w:ascii="Times New Roman" w:hAnsi="Times New Roman"/>
          <w:b/>
          <w:bCs/>
          <w:sz w:val="20"/>
          <w:szCs w:val="20"/>
          <w:u w:val="single"/>
        </w:rPr>
      </w:pPr>
      <w:r>
        <w:rPr>
          <w:rFonts w:ascii="Times New Roman" w:hAnsi="Times New Roman"/>
          <w:b/>
          <w:bCs/>
          <w:sz w:val="20"/>
          <w:szCs w:val="20"/>
          <w:u w:val="single"/>
        </w:rPr>
        <w:lastRenderedPageBreak/>
        <w:t>C</w:t>
      </w:r>
      <w:r w:rsidRPr="00712F3C">
        <w:rPr>
          <w:rFonts w:ascii="Times New Roman" w:hAnsi="Times New Roman"/>
          <w:b/>
          <w:bCs/>
          <w:sz w:val="20"/>
          <w:szCs w:val="20"/>
          <w:u w:val="single"/>
        </w:rPr>
        <w:t>OMPLIANCE WITH CORPORATE GOVERNANCE</w:t>
      </w:r>
    </w:p>
    <w:p w14:paraId="015956FD" w14:textId="77777777" w:rsidR="00E35FCB" w:rsidRPr="00712F3C" w:rsidRDefault="00E35FCB" w:rsidP="00E35FCB">
      <w:pPr>
        <w:autoSpaceDE w:val="0"/>
        <w:autoSpaceDN w:val="0"/>
        <w:adjustRightInd w:val="0"/>
        <w:spacing w:after="0" w:line="240" w:lineRule="auto"/>
        <w:jc w:val="both"/>
        <w:rPr>
          <w:rFonts w:ascii="Times New Roman" w:hAnsi="Times New Roman"/>
          <w:color w:val="000000"/>
          <w:sz w:val="20"/>
          <w:szCs w:val="20"/>
        </w:rPr>
      </w:pPr>
    </w:p>
    <w:p w14:paraId="5B6ACAC0" w14:textId="77777777" w:rsidR="00E35FCB" w:rsidRPr="00712F3C" w:rsidRDefault="00E35FCB" w:rsidP="00E35FCB">
      <w:pPr>
        <w:autoSpaceDE w:val="0"/>
        <w:autoSpaceDN w:val="0"/>
        <w:adjustRightInd w:val="0"/>
        <w:spacing w:after="0" w:line="240" w:lineRule="auto"/>
        <w:ind w:right="54"/>
        <w:jc w:val="both"/>
        <w:rPr>
          <w:rFonts w:ascii="Times New Roman" w:hAnsi="Times New Roman"/>
          <w:color w:val="000000"/>
          <w:sz w:val="20"/>
          <w:szCs w:val="20"/>
        </w:rPr>
      </w:pPr>
      <w:r w:rsidRPr="00712F3C">
        <w:rPr>
          <w:rFonts w:ascii="Times New Roman" w:hAnsi="Times New Roman"/>
          <w:color w:val="000000"/>
          <w:sz w:val="20"/>
          <w:szCs w:val="20"/>
        </w:rPr>
        <w:t xml:space="preserve">In addition to the applicable provisions of the Companies Act, 2013, provisions of the SEBI (Listing Obligations and Disclosure Requirements) Regulations, 2015 and </w:t>
      </w:r>
      <w:r w:rsidRPr="00712F3C">
        <w:rPr>
          <w:rFonts w:ascii="Times New Roman" w:hAnsi="Times New Roman"/>
          <w:color w:val="221F1F"/>
          <w:sz w:val="20"/>
          <w:szCs w:val="20"/>
        </w:rPr>
        <w:t xml:space="preserve">SEBI (ICDR) Regulations, 2018 </w:t>
      </w:r>
      <w:r w:rsidRPr="00712F3C">
        <w:rPr>
          <w:rFonts w:ascii="Times New Roman" w:hAnsi="Times New Roman"/>
          <w:color w:val="000000"/>
          <w:sz w:val="20"/>
          <w:szCs w:val="20"/>
        </w:rPr>
        <w:t xml:space="preserve">will be applicable to our Company immediately upon the listing of our Company’s Equity Shares on the </w:t>
      </w:r>
      <w:r w:rsidRPr="00712F3C">
        <w:rPr>
          <w:rFonts w:ascii="Times New Roman" w:hAnsi="Times New Roman"/>
          <w:sz w:val="20"/>
          <w:szCs w:val="20"/>
        </w:rPr>
        <w:t xml:space="preserve">SME platform of BSE (BSE SME). </w:t>
      </w:r>
      <w:r w:rsidRPr="00712F3C">
        <w:rPr>
          <w:rFonts w:ascii="Times New Roman" w:hAnsi="Times New Roman"/>
          <w:color w:val="000000"/>
          <w:sz w:val="20"/>
          <w:szCs w:val="20"/>
        </w:rPr>
        <w:t xml:space="preserve">The requirements pertaining to the composition of the Board of Directors and the constitution of the committees such as the Audit Committee, </w:t>
      </w:r>
      <w:r w:rsidRPr="00712F3C">
        <w:rPr>
          <w:rFonts w:ascii="Times New Roman" w:hAnsi="Times New Roman"/>
          <w:bCs/>
          <w:color w:val="000000"/>
          <w:sz w:val="20"/>
          <w:szCs w:val="20"/>
        </w:rPr>
        <w:t xml:space="preserve">Stakeholders Relationship Committee, </w:t>
      </w:r>
      <w:r w:rsidRPr="00712F3C">
        <w:rPr>
          <w:rFonts w:ascii="Times New Roman" w:hAnsi="Times New Roman"/>
          <w:color w:val="000000"/>
          <w:sz w:val="20"/>
          <w:szCs w:val="20"/>
        </w:rPr>
        <w:t xml:space="preserve">Nomination &amp; Remuneration Committee and Corporate Social Responsibility Committee as applicable on us, have been complied with. </w:t>
      </w:r>
    </w:p>
    <w:p w14:paraId="2AF1135A" w14:textId="77777777" w:rsidR="00E35FCB" w:rsidRPr="00712F3C" w:rsidRDefault="00E35FCB" w:rsidP="00E35FCB">
      <w:pPr>
        <w:autoSpaceDE w:val="0"/>
        <w:autoSpaceDN w:val="0"/>
        <w:adjustRightInd w:val="0"/>
        <w:spacing w:after="0" w:line="240" w:lineRule="auto"/>
        <w:ind w:right="54"/>
        <w:jc w:val="both"/>
        <w:rPr>
          <w:rFonts w:ascii="Times New Roman" w:hAnsi="Times New Roman"/>
          <w:color w:val="000000"/>
          <w:sz w:val="20"/>
          <w:szCs w:val="20"/>
        </w:rPr>
      </w:pPr>
    </w:p>
    <w:p w14:paraId="7D801C56" w14:textId="77777777" w:rsidR="00E35FCB" w:rsidRPr="00712F3C" w:rsidRDefault="00E35FCB" w:rsidP="00E35FCB">
      <w:pPr>
        <w:autoSpaceDE w:val="0"/>
        <w:autoSpaceDN w:val="0"/>
        <w:adjustRightInd w:val="0"/>
        <w:spacing w:after="0" w:line="240" w:lineRule="auto"/>
        <w:jc w:val="both"/>
        <w:rPr>
          <w:rFonts w:ascii="Times New Roman" w:hAnsi="Times New Roman"/>
          <w:sz w:val="20"/>
          <w:szCs w:val="20"/>
        </w:rPr>
      </w:pPr>
      <w:r w:rsidRPr="00712F3C">
        <w:rPr>
          <w:rFonts w:ascii="Times New Roman" w:hAnsi="Times New Roman"/>
          <w:sz w:val="20"/>
          <w:szCs w:val="20"/>
        </w:rPr>
        <w:t>Our Board has been constituted in compliance with the Companies Act, 2013 and in accordance with the best practices in corporate governance. Our Board functions either as a full board or through various committees constituted to oversee specific operational areas. The executive management provides our Board detailed reports on its performance periodically.</w:t>
      </w:r>
    </w:p>
    <w:p w14:paraId="36CC1BBC" w14:textId="77777777" w:rsidR="00E35FCB" w:rsidRPr="00712F3C" w:rsidRDefault="00E35FCB" w:rsidP="00E35FCB">
      <w:pPr>
        <w:autoSpaceDE w:val="0"/>
        <w:autoSpaceDN w:val="0"/>
        <w:adjustRightInd w:val="0"/>
        <w:spacing w:after="0" w:line="240" w:lineRule="auto"/>
        <w:ind w:right="54"/>
        <w:jc w:val="both"/>
        <w:rPr>
          <w:rFonts w:ascii="Times New Roman" w:hAnsi="Times New Roman"/>
          <w:color w:val="000000"/>
          <w:sz w:val="20"/>
          <w:szCs w:val="20"/>
        </w:rPr>
      </w:pPr>
    </w:p>
    <w:p w14:paraId="4F50C4F3" w14:textId="77777777" w:rsidR="00E35FCB" w:rsidRPr="00712F3C" w:rsidRDefault="00E35FCB" w:rsidP="00E35FCB">
      <w:pPr>
        <w:autoSpaceDE w:val="0"/>
        <w:autoSpaceDN w:val="0"/>
        <w:adjustRightInd w:val="0"/>
        <w:spacing w:after="0" w:line="240" w:lineRule="auto"/>
        <w:ind w:right="54"/>
        <w:jc w:val="both"/>
        <w:rPr>
          <w:rFonts w:ascii="Times New Roman" w:hAnsi="Times New Roman"/>
          <w:color w:val="000000"/>
          <w:sz w:val="20"/>
          <w:szCs w:val="20"/>
        </w:rPr>
      </w:pPr>
      <w:r w:rsidRPr="00712F3C">
        <w:rPr>
          <w:rFonts w:ascii="Times New Roman" w:hAnsi="Times New Roman"/>
          <w:color w:val="000000"/>
          <w:sz w:val="20"/>
          <w:szCs w:val="20"/>
        </w:rPr>
        <w:t>Our Board of Directors consist of five (</w:t>
      </w:r>
      <w:r>
        <w:rPr>
          <w:rFonts w:ascii="Times New Roman" w:hAnsi="Times New Roman"/>
          <w:color w:val="000000"/>
          <w:sz w:val="20"/>
          <w:szCs w:val="20"/>
        </w:rPr>
        <w:t>6</w:t>
      </w:r>
      <w:r w:rsidRPr="00712F3C">
        <w:rPr>
          <w:rFonts w:ascii="Times New Roman" w:hAnsi="Times New Roman"/>
          <w:color w:val="000000"/>
          <w:sz w:val="20"/>
          <w:szCs w:val="20"/>
        </w:rPr>
        <w:t xml:space="preserve">) directors of which two (2) are </w:t>
      </w:r>
      <w:r w:rsidRPr="00712F3C">
        <w:rPr>
          <w:rFonts w:ascii="Times New Roman" w:hAnsi="Times New Roman"/>
          <w:sz w:val="20"/>
          <w:szCs w:val="20"/>
        </w:rPr>
        <w:t>Independent</w:t>
      </w:r>
      <w:r w:rsidRPr="00712F3C">
        <w:rPr>
          <w:rFonts w:ascii="Times New Roman" w:hAnsi="Times New Roman"/>
          <w:color w:val="000000"/>
          <w:sz w:val="20"/>
          <w:szCs w:val="20"/>
        </w:rPr>
        <w:t xml:space="preserve"> Directors, and we have </w:t>
      </w:r>
      <w:r>
        <w:rPr>
          <w:rFonts w:ascii="Times New Roman" w:hAnsi="Times New Roman"/>
          <w:color w:val="000000"/>
          <w:sz w:val="20"/>
          <w:szCs w:val="20"/>
        </w:rPr>
        <w:t xml:space="preserve">two </w:t>
      </w:r>
      <w:r w:rsidRPr="00712F3C">
        <w:rPr>
          <w:rFonts w:ascii="Times New Roman" w:hAnsi="Times New Roman"/>
          <w:color w:val="000000"/>
          <w:sz w:val="20"/>
          <w:szCs w:val="20"/>
        </w:rPr>
        <w:t>women director</w:t>
      </w:r>
      <w:r>
        <w:rPr>
          <w:rFonts w:ascii="Times New Roman" w:hAnsi="Times New Roman"/>
          <w:color w:val="000000"/>
          <w:sz w:val="20"/>
          <w:szCs w:val="20"/>
        </w:rPr>
        <w:t xml:space="preserve">s </w:t>
      </w:r>
      <w:r w:rsidRPr="00712F3C">
        <w:rPr>
          <w:rFonts w:ascii="Times New Roman" w:hAnsi="Times New Roman"/>
          <w:color w:val="000000"/>
          <w:sz w:val="20"/>
          <w:szCs w:val="20"/>
        </w:rPr>
        <w:t xml:space="preserve">on the Board. The constitution of our Board is in compliance with Section 149 of the Companies Act, 2013. </w:t>
      </w:r>
    </w:p>
    <w:p w14:paraId="68A08D52" w14:textId="77777777" w:rsidR="00E35FCB" w:rsidRPr="00712F3C" w:rsidRDefault="00E35FCB" w:rsidP="00E35FCB">
      <w:pPr>
        <w:autoSpaceDE w:val="0"/>
        <w:autoSpaceDN w:val="0"/>
        <w:adjustRightInd w:val="0"/>
        <w:spacing w:after="0" w:line="240" w:lineRule="auto"/>
        <w:ind w:right="54"/>
        <w:jc w:val="both"/>
        <w:rPr>
          <w:rFonts w:ascii="Times New Roman" w:hAnsi="Times New Roman"/>
          <w:color w:val="000000"/>
          <w:sz w:val="20"/>
          <w:szCs w:val="20"/>
        </w:rPr>
      </w:pPr>
    </w:p>
    <w:p w14:paraId="725A63F8" w14:textId="77777777" w:rsidR="00E35FCB" w:rsidRPr="00712F3C" w:rsidRDefault="00E35FCB" w:rsidP="00E35FCB">
      <w:pPr>
        <w:autoSpaceDE w:val="0"/>
        <w:autoSpaceDN w:val="0"/>
        <w:adjustRightInd w:val="0"/>
        <w:spacing w:after="0" w:line="240" w:lineRule="auto"/>
        <w:ind w:right="54"/>
        <w:jc w:val="both"/>
        <w:rPr>
          <w:rFonts w:ascii="Times New Roman" w:hAnsi="Times New Roman"/>
          <w:color w:val="000000"/>
          <w:sz w:val="20"/>
          <w:szCs w:val="20"/>
        </w:rPr>
      </w:pPr>
      <w:r w:rsidRPr="00712F3C">
        <w:rPr>
          <w:rFonts w:ascii="Times New Roman" w:hAnsi="Times New Roman"/>
          <w:color w:val="000000"/>
          <w:sz w:val="20"/>
          <w:szCs w:val="20"/>
        </w:rPr>
        <w:t xml:space="preserve">Our Company has constituted the following committees: </w:t>
      </w:r>
    </w:p>
    <w:p w14:paraId="10BA117D" w14:textId="77777777" w:rsidR="00E35FCB" w:rsidRPr="00712F3C" w:rsidRDefault="00E35FCB" w:rsidP="00E35FCB">
      <w:pPr>
        <w:autoSpaceDE w:val="0"/>
        <w:autoSpaceDN w:val="0"/>
        <w:adjustRightInd w:val="0"/>
        <w:spacing w:after="0" w:line="240" w:lineRule="auto"/>
        <w:jc w:val="both"/>
        <w:rPr>
          <w:rFonts w:ascii="Times New Roman" w:hAnsi="Times New Roman"/>
          <w:color w:val="000000"/>
          <w:sz w:val="20"/>
          <w:szCs w:val="20"/>
        </w:rPr>
      </w:pPr>
    </w:p>
    <w:p w14:paraId="4D3DAD92" w14:textId="77777777" w:rsidR="00E35FCB" w:rsidRPr="00712F3C" w:rsidRDefault="00E35FCB" w:rsidP="00E35FCB">
      <w:pPr>
        <w:pStyle w:val="ListParagraph"/>
        <w:widowControl w:val="0"/>
        <w:numPr>
          <w:ilvl w:val="1"/>
          <w:numId w:val="77"/>
        </w:numPr>
        <w:suppressAutoHyphens w:val="0"/>
        <w:spacing w:line="240" w:lineRule="auto"/>
        <w:ind w:left="360"/>
        <w:contextualSpacing/>
        <w:jc w:val="both"/>
        <w:textAlignment w:val="auto"/>
        <w:rPr>
          <w:b/>
          <w:bCs/>
          <w:sz w:val="20"/>
          <w:szCs w:val="20"/>
        </w:rPr>
      </w:pPr>
      <w:r w:rsidRPr="00712F3C">
        <w:rPr>
          <w:b/>
          <w:bCs/>
          <w:sz w:val="20"/>
          <w:szCs w:val="20"/>
        </w:rPr>
        <w:t>Audit Committee</w:t>
      </w:r>
    </w:p>
    <w:p w14:paraId="5238869D" w14:textId="77777777" w:rsidR="00E35FCB" w:rsidRPr="00712F3C" w:rsidRDefault="00E35FCB" w:rsidP="00E35FCB">
      <w:pPr>
        <w:pStyle w:val="ListParagraph"/>
        <w:widowControl w:val="0"/>
        <w:spacing w:line="240" w:lineRule="auto"/>
        <w:ind w:left="360"/>
        <w:jc w:val="both"/>
        <w:rPr>
          <w:b/>
          <w:bCs/>
          <w:sz w:val="20"/>
          <w:szCs w:val="20"/>
        </w:rPr>
      </w:pPr>
    </w:p>
    <w:p w14:paraId="5D91274D" w14:textId="77777777" w:rsidR="00E35FCB" w:rsidRPr="00712F3C" w:rsidRDefault="00E35FCB" w:rsidP="00E35FCB">
      <w:pPr>
        <w:autoSpaceDE w:val="0"/>
        <w:autoSpaceDN w:val="0"/>
        <w:adjustRightInd w:val="0"/>
        <w:spacing w:after="0" w:line="240" w:lineRule="auto"/>
        <w:ind w:right="54"/>
        <w:jc w:val="both"/>
        <w:rPr>
          <w:rFonts w:ascii="Times New Roman" w:hAnsi="Times New Roman"/>
          <w:color w:val="000000"/>
          <w:sz w:val="20"/>
          <w:szCs w:val="20"/>
        </w:rPr>
      </w:pPr>
      <w:r w:rsidRPr="00712F3C">
        <w:rPr>
          <w:rFonts w:ascii="Times New Roman" w:hAnsi="Times New Roman"/>
          <w:color w:val="000000"/>
          <w:sz w:val="20"/>
          <w:szCs w:val="20"/>
        </w:rPr>
        <w:t xml:space="preserve">Our Company has formed an Audit Committee, vide Board Resolution dated </w:t>
      </w:r>
      <w:r w:rsidRPr="00740D5C">
        <w:rPr>
          <w:rFonts w:ascii="Times New Roman" w:hAnsi="Times New Roman"/>
          <w:color w:val="000000"/>
          <w:sz w:val="20"/>
          <w:szCs w:val="20"/>
        </w:rPr>
        <w:t>August 24, 2023</w:t>
      </w:r>
      <w:r w:rsidRPr="00712F3C">
        <w:rPr>
          <w:rFonts w:ascii="Times New Roman" w:hAnsi="Times New Roman"/>
          <w:color w:val="000000"/>
          <w:sz w:val="20"/>
          <w:szCs w:val="20"/>
        </w:rPr>
        <w:t xml:space="preserve"> as per the applicable provisions of the Section 177 of the Companies Act, 2013 read with rule 6 of the companies (Meeting of board and its power) Rules, 2014 and Regulation 18 of SEBI Listing Regulations. The Audit Committee comprises following members: </w:t>
      </w:r>
    </w:p>
    <w:p w14:paraId="249D8EE3" w14:textId="77777777" w:rsidR="00E35FCB" w:rsidRPr="00712F3C" w:rsidRDefault="00E35FCB" w:rsidP="00E35FCB">
      <w:pPr>
        <w:autoSpaceDE w:val="0"/>
        <w:autoSpaceDN w:val="0"/>
        <w:adjustRightInd w:val="0"/>
        <w:spacing w:after="0" w:line="240" w:lineRule="auto"/>
        <w:ind w:right="54"/>
        <w:jc w:val="both"/>
        <w:rPr>
          <w:rFonts w:ascii="Times New Roman" w:hAnsi="Times New Roman"/>
          <w:color w:val="000000"/>
          <w:sz w:val="20"/>
          <w:szCs w:val="20"/>
        </w:rPr>
      </w:pP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972"/>
        <w:gridCol w:w="2319"/>
        <w:gridCol w:w="4063"/>
      </w:tblGrid>
      <w:tr w:rsidR="00E35FCB" w:rsidRPr="00712F3C" w14:paraId="320C6DF5" w14:textId="77777777" w:rsidTr="00250DAC">
        <w:trPr>
          <w:trHeight w:val="20"/>
        </w:trPr>
        <w:tc>
          <w:tcPr>
            <w:tcW w:w="1918" w:type="pct"/>
            <w:shd w:val="clear" w:color="auto" w:fill="D0CECE" w:themeFill="background2" w:themeFillShade="E6"/>
            <w:vAlign w:val="center"/>
          </w:tcPr>
          <w:p w14:paraId="4B7F731B" w14:textId="77777777" w:rsidR="00E35FCB" w:rsidRPr="00712F3C" w:rsidRDefault="00E35FCB" w:rsidP="00250DAC">
            <w:pPr>
              <w:widowControl w:val="0"/>
              <w:autoSpaceDE w:val="0"/>
              <w:autoSpaceDN w:val="0"/>
              <w:adjustRightInd w:val="0"/>
              <w:spacing w:after="0" w:line="240" w:lineRule="auto"/>
              <w:ind w:firstLine="95"/>
              <w:rPr>
                <w:rFonts w:ascii="Times New Roman" w:hAnsi="Times New Roman"/>
                <w:sz w:val="20"/>
                <w:szCs w:val="20"/>
              </w:rPr>
            </w:pPr>
            <w:r w:rsidRPr="00712F3C">
              <w:rPr>
                <w:rFonts w:ascii="Times New Roman" w:hAnsi="Times New Roman"/>
                <w:b/>
                <w:bCs/>
                <w:sz w:val="20"/>
                <w:szCs w:val="20"/>
              </w:rPr>
              <w:t>Name of the Director</w:t>
            </w:r>
          </w:p>
        </w:tc>
        <w:tc>
          <w:tcPr>
            <w:tcW w:w="1120" w:type="pct"/>
            <w:shd w:val="clear" w:color="auto" w:fill="D0CECE" w:themeFill="background2" w:themeFillShade="E6"/>
            <w:vAlign w:val="center"/>
          </w:tcPr>
          <w:p w14:paraId="736FA813" w14:textId="77777777" w:rsidR="00E35FCB" w:rsidRPr="00712F3C" w:rsidRDefault="00E35FCB" w:rsidP="00250DAC">
            <w:pPr>
              <w:widowControl w:val="0"/>
              <w:autoSpaceDE w:val="0"/>
              <w:autoSpaceDN w:val="0"/>
              <w:adjustRightInd w:val="0"/>
              <w:spacing w:after="0" w:line="240" w:lineRule="auto"/>
              <w:ind w:left="73"/>
              <w:jc w:val="center"/>
              <w:rPr>
                <w:rFonts w:ascii="Times New Roman" w:hAnsi="Times New Roman"/>
                <w:sz w:val="20"/>
                <w:szCs w:val="20"/>
              </w:rPr>
            </w:pPr>
            <w:r w:rsidRPr="00712F3C">
              <w:rPr>
                <w:rFonts w:ascii="Times New Roman" w:hAnsi="Times New Roman"/>
                <w:b/>
                <w:bCs/>
                <w:sz w:val="20"/>
                <w:szCs w:val="20"/>
              </w:rPr>
              <w:t>Status in Committee</w:t>
            </w:r>
          </w:p>
        </w:tc>
        <w:tc>
          <w:tcPr>
            <w:tcW w:w="1962" w:type="pct"/>
            <w:shd w:val="clear" w:color="auto" w:fill="D0CECE" w:themeFill="background2" w:themeFillShade="E6"/>
            <w:vAlign w:val="center"/>
          </w:tcPr>
          <w:p w14:paraId="1D8FD5DE" w14:textId="77777777" w:rsidR="00E35FCB" w:rsidRPr="00712F3C" w:rsidRDefault="00E35FCB" w:rsidP="00250DAC">
            <w:pPr>
              <w:widowControl w:val="0"/>
              <w:autoSpaceDE w:val="0"/>
              <w:autoSpaceDN w:val="0"/>
              <w:adjustRightInd w:val="0"/>
              <w:spacing w:after="0" w:line="240" w:lineRule="auto"/>
              <w:ind w:left="74"/>
              <w:jc w:val="center"/>
              <w:rPr>
                <w:rFonts w:ascii="Times New Roman" w:hAnsi="Times New Roman"/>
                <w:sz w:val="20"/>
                <w:szCs w:val="20"/>
              </w:rPr>
            </w:pPr>
            <w:r w:rsidRPr="00712F3C">
              <w:rPr>
                <w:rFonts w:ascii="Times New Roman" w:hAnsi="Times New Roman"/>
                <w:b/>
                <w:bCs/>
                <w:sz w:val="20"/>
                <w:szCs w:val="20"/>
              </w:rPr>
              <w:t>Nature of Directorship</w:t>
            </w:r>
          </w:p>
        </w:tc>
      </w:tr>
      <w:tr w:rsidR="00E35FCB" w:rsidRPr="00712F3C" w14:paraId="5AEED267" w14:textId="77777777" w:rsidTr="00250DAC">
        <w:trPr>
          <w:trHeight w:val="20"/>
        </w:trPr>
        <w:tc>
          <w:tcPr>
            <w:tcW w:w="1918" w:type="pct"/>
            <w:shd w:val="clear" w:color="auto" w:fill="auto"/>
          </w:tcPr>
          <w:p w14:paraId="21E30E59" w14:textId="77777777" w:rsidR="00E35FCB" w:rsidRPr="00712F3C" w:rsidRDefault="00E35FCB" w:rsidP="00250DAC">
            <w:pPr>
              <w:spacing w:after="0" w:line="240" w:lineRule="auto"/>
              <w:ind w:firstLine="95"/>
              <w:jc w:val="both"/>
              <w:rPr>
                <w:rFonts w:ascii="Times New Roman" w:hAnsi="Times New Roman"/>
                <w:sz w:val="20"/>
                <w:szCs w:val="20"/>
              </w:rPr>
            </w:pPr>
            <w:r w:rsidRPr="00777FDC">
              <w:rPr>
                <w:rFonts w:ascii="Times New Roman" w:eastAsia="MS Mincho" w:hAnsi="Times New Roman"/>
                <w:sz w:val="20"/>
                <w:szCs w:val="20"/>
                <w:lang w:val="en-GB"/>
              </w:rPr>
              <w:t xml:space="preserve">Raimeen Bhanubhai Maradiya </w:t>
            </w:r>
          </w:p>
        </w:tc>
        <w:tc>
          <w:tcPr>
            <w:tcW w:w="1120" w:type="pct"/>
            <w:shd w:val="clear" w:color="auto" w:fill="auto"/>
            <w:vAlign w:val="center"/>
          </w:tcPr>
          <w:p w14:paraId="1EAA249B" w14:textId="77777777" w:rsidR="00E35FCB" w:rsidRPr="00712F3C" w:rsidRDefault="00E35FCB" w:rsidP="00250DAC">
            <w:pPr>
              <w:pStyle w:val="NoSpacing"/>
              <w:spacing w:line="240" w:lineRule="auto"/>
              <w:ind w:left="95"/>
              <w:contextualSpacing/>
              <w:jc w:val="center"/>
              <w:rPr>
                <w:color w:val="auto"/>
              </w:rPr>
            </w:pPr>
            <w:r w:rsidRPr="00712F3C">
              <w:rPr>
                <w:color w:val="auto"/>
              </w:rPr>
              <w:t>Chairman</w:t>
            </w:r>
          </w:p>
        </w:tc>
        <w:tc>
          <w:tcPr>
            <w:tcW w:w="1962" w:type="pct"/>
            <w:shd w:val="clear" w:color="auto" w:fill="auto"/>
            <w:vAlign w:val="center"/>
          </w:tcPr>
          <w:p w14:paraId="004B1199" w14:textId="77777777" w:rsidR="00E35FCB" w:rsidRPr="00712F3C" w:rsidRDefault="00E35FCB" w:rsidP="00250DAC">
            <w:pPr>
              <w:pStyle w:val="NoSpacing"/>
              <w:spacing w:line="240" w:lineRule="auto"/>
              <w:ind w:left="95"/>
              <w:contextualSpacing/>
              <w:jc w:val="center"/>
              <w:rPr>
                <w:color w:val="auto"/>
                <w:lang w:val="en-GB"/>
              </w:rPr>
            </w:pPr>
            <w:r w:rsidRPr="00712F3C">
              <w:rPr>
                <w:color w:val="auto"/>
              </w:rPr>
              <w:t>Independent Director</w:t>
            </w:r>
          </w:p>
        </w:tc>
      </w:tr>
      <w:tr w:rsidR="00E35FCB" w:rsidRPr="00712F3C" w14:paraId="58D2C85A" w14:textId="77777777" w:rsidTr="00250DAC">
        <w:trPr>
          <w:trHeight w:val="20"/>
        </w:trPr>
        <w:tc>
          <w:tcPr>
            <w:tcW w:w="1918" w:type="pct"/>
            <w:shd w:val="clear" w:color="auto" w:fill="auto"/>
          </w:tcPr>
          <w:p w14:paraId="170A9FA0" w14:textId="77777777" w:rsidR="00E35FCB" w:rsidRPr="00712F3C" w:rsidRDefault="00E35FCB" w:rsidP="00250DAC">
            <w:pPr>
              <w:spacing w:after="0" w:line="240" w:lineRule="auto"/>
              <w:ind w:firstLine="95"/>
              <w:jc w:val="both"/>
              <w:rPr>
                <w:rFonts w:ascii="Times New Roman" w:hAnsi="Times New Roman"/>
                <w:sz w:val="20"/>
                <w:szCs w:val="20"/>
              </w:rPr>
            </w:pPr>
            <w:r w:rsidRPr="00777FDC">
              <w:rPr>
                <w:rFonts w:ascii="Times New Roman" w:eastAsia="MS Mincho" w:hAnsi="Times New Roman"/>
                <w:sz w:val="20"/>
                <w:szCs w:val="20"/>
                <w:lang w:val="en-GB"/>
              </w:rPr>
              <w:t>Jaimish Govindbhai Patel</w:t>
            </w:r>
          </w:p>
        </w:tc>
        <w:tc>
          <w:tcPr>
            <w:tcW w:w="1120" w:type="pct"/>
            <w:shd w:val="clear" w:color="auto" w:fill="auto"/>
            <w:vAlign w:val="center"/>
          </w:tcPr>
          <w:p w14:paraId="0D9A75B3" w14:textId="77777777" w:rsidR="00E35FCB" w:rsidRPr="00712F3C" w:rsidRDefault="00E35FCB" w:rsidP="00250DAC">
            <w:pPr>
              <w:pStyle w:val="NoSpacing"/>
              <w:spacing w:line="240" w:lineRule="auto"/>
              <w:ind w:left="95"/>
              <w:contextualSpacing/>
              <w:jc w:val="center"/>
              <w:rPr>
                <w:color w:val="auto"/>
              </w:rPr>
            </w:pPr>
            <w:r w:rsidRPr="00712F3C">
              <w:rPr>
                <w:color w:val="auto"/>
              </w:rPr>
              <w:t>Member</w:t>
            </w:r>
          </w:p>
        </w:tc>
        <w:tc>
          <w:tcPr>
            <w:tcW w:w="1962" w:type="pct"/>
            <w:shd w:val="clear" w:color="auto" w:fill="auto"/>
            <w:vAlign w:val="center"/>
          </w:tcPr>
          <w:p w14:paraId="79A20CD2" w14:textId="77777777" w:rsidR="00E35FCB" w:rsidRPr="00712F3C" w:rsidRDefault="00E35FCB" w:rsidP="00250DAC">
            <w:pPr>
              <w:pStyle w:val="NoSpacing"/>
              <w:spacing w:line="240" w:lineRule="auto"/>
              <w:ind w:left="95"/>
              <w:contextualSpacing/>
              <w:jc w:val="center"/>
              <w:rPr>
                <w:color w:val="auto"/>
                <w:lang w:val="en-GB"/>
              </w:rPr>
            </w:pPr>
            <w:r w:rsidRPr="00712F3C">
              <w:rPr>
                <w:color w:val="auto"/>
              </w:rPr>
              <w:t>Independent Director</w:t>
            </w:r>
          </w:p>
        </w:tc>
      </w:tr>
      <w:tr w:rsidR="00E35FCB" w:rsidRPr="00712F3C" w14:paraId="68368210" w14:textId="77777777" w:rsidTr="00250DAC">
        <w:trPr>
          <w:trHeight w:val="20"/>
        </w:trPr>
        <w:tc>
          <w:tcPr>
            <w:tcW w:w="1918" w:type="pct"/>
            <w:shd w:val="clear" w:color="auto" w:fill="auto"/>
          </w:tcPr>
          <w:p w14:paraId="295D0C79" w14:textId="77777777" w:rsidR="00E35FCB" w:rsidRPr="00712F3C" w:rsidRDefault="00E35FCB" w:rsidP="00250DAC">
            <w:pPr>
              <w:spacing w:after="0" w:line="240" w:lineRule="auto"/>
              <w:ind w:firstLine="95"/>
              <w:jc w:val="both"/>
              <w:rPr>
                <w:rFonts w:ascii="Times New Roman" w:hAnsi="Times New Roman"/>
                <w:sz w:val="20"/>
                <w:szCs w:val="20"/>
              </w:rPr>
            </w:pPr>
            <w:r>
              <w:rPr>
                <w:rFonts w:ascii="Times New Roman" w:hAnsi="Times New Roman"/>
                <w:color w:val="000000"/>
                <w:sz w:val="20"/>
                <w:szCs w:val="20"/>
              </w:rPr>
              <w:t>Bhavesh Ramgopal Maheshwari</w:t>
            </w:r>
          </w:p>
        </w:tc>
        <w:tc>
          <w:tcPr>
            <w:tcW w:w="1120" w:type="pct"/>
            <w:shd w:val="clear" w:color="auto" w:fill="auto"/>
            <w:vAlign w:val="center"/>
          </w:tcPr>
          <w:p w14:paraId="71B44762" w14:textId="77777777" w:rsidR="00E35FCB" w:rsidRPr="00712F3C" w:rsidRDefault="00E35FCB" w:rsidP="00250DAC">
            <w:pPr>
              <w:pStyle w:val="NoSpacing"/>
              <w:spacing w:line="240" w:lineRule="auto"/>
              <w:ind w:left="95"/>
              <w:contextualSpacing/>
              <w:jc w:val="center"/>
              <w:rPr>
                <w:color w:val="auto"/>
              </w:rPr>
            </w:pPr>
            <w:r w:rsidRPr="00712F3C">
              <w:rPr>
                <w:color w:val="auto"/>
              </w:rPr>
              <w:t>Member</w:t>
            </w:r>
          </w:p>
        </w:tc>
        <w:tc>
          <w:tcPr>
            <w:tcW w:w="1962" w:type="pct"/>
            <w:shd w:val="clear" w:color="auto" w:fill="auto"/>
            <w:vAlign w:val="center"/>
          </w:tcPr>
          <w:p w14:paraId="2C237B1B" w14:textId="77777777" w:rsidR="00E35FCB" w:rsidRPr="005E13B9" w:rsidRDefault="00E35FCB" w:rsidP="00250DAC">
            <w:pPr>
              <w:pStyle w:val="NoSpacing"/>
              <w:spacing w:line="240" w:lineRule="auto"/>
              <w:ind w:left="95"/>
              <w:contextualSpacing/>
              <w:jc w:val="center"/>
              <w:rPr>
                <w:color w:val="auto"/>
                <w:lang w:val="en-US"/>
              </w:rPr>
            </w:pPr>
            <w:r>
              <w:rPr>
                <w:color w:val="auto"/>
                <w:lang w:val="en-US"/>
              </w:rPr>
              <w:t>Managing Director</w:t>
            </w:r>
          </w:p>
        </w:tc>
      </w:tr>
    </w:tbl>
    <w:p w14:paraId="0E28960D" w14:textId="77777777" w:rsidR="00E35FCB" w:rsidRPr="00712F3C" w:rsidRDefault="00E35FCB" w:rsidP="00E35FCB">
      <w:pPr>
        <w:autoSpaceDE w:val="0"/>
        <w:autoSpaceDN w:val="0"/>
        <w:adjustRightInd w:val="0"/>
        <w:spacing w:after="0" w:line="240" w:lineRule="auto"/>
        <w:ind w:right="54"/>
        <w:jc w:val="both"/>
        <w:rPr>
          <w:rFonts w:ascii="Times New Roman" w:hAnsi="Times New Roman"/>
          <w:color w:val="000000"/>
          <w:sz w:val="20"/>
          <w:szCs w:val="20"/>
        </w:rPr>
      </w:pPr>
    </w:p>
    <w:p w14:paraId="46113C53" w14:textId="77777777" w:rsidR="00E35FCB" w:rsidRPr="00712F3C" w:rsidRDefault="00E35FCB" w:rsidP="00E35FCB">
      <w:pPr>
        <w:autoSpaceDE w:val="0"/>
        <w:autoSpaceDN w:val="0"/>
        <w:adjustRightInd w:val="0"/>
        <w:spacing w:after="0" w:line="240" w:lineRule="auto"/>
        <w:ind w:right="54"/>
        <w:jc w:val="both"/>
        <w:rPr>
          <w:rFonts w:ascii="Times New Roman" w:hAnsi="Times New Roman"/>
          <w:color w:val="000000"/>
          <w:sz w:val="20"/>
          <w:szCs w:val="20"/>
        </w:rPr>
      </w:pPr>
      <w:r w:rsidRPr="00712F3C">
        <w:rPr>
          <w:rFonts w:ascii="Times New Roman" w:hAnsi="Times New Roman"/>
          <w:color w:val="000000"/>
          <w:sz w:val="20"/>
          <w:szCs w:val="20"/>
        </w:rPr>
        <w:t>The Company Secretary of our Company shall act as a Secretary to the Audit Committee. The scope and function of the Audit Committee and its terms of reference shall include the following:</w:t>
      </w:r>
    </w:p>
    <w:p w14:paraId="1E44208F" w14:textId="77777777" w:rsidR="00E35FCB" w:rsidRPr="00712F3C" w:rsidRDefault="00E35FCB" w:rsidP="00E35FCB">
      <w:pPr>
        <w:autoSpaceDE w:val="0"/>
        <w:autoSpaceDN w:val="0"/>
        <w:adjustRightInd w:val="0"/>
        <w:spacing w:after="0" w:line="240" w:lineRule="auto"/>
        <w:ind w:right="54"/>
        <w:jc w:val="both"/>
        <w:rPr>
          <w:rFonts w:ascii="Times New Roman" w:hAnsi="Times New Roman"/>
          <w:color w:val="000000"/>
          <w:sz w:val="20"/>
          <w:szCs w:val="20"/>
        </w:rPr>
      </w:pPr>
    </w:p>
    <w:p w14:paraId="36A1D0B6" w14:textId="77777777" w:rsidR="00E35FCB" w:rsidRPr="00712F3C" w:rsidRDefault="00E35FCB">
      <w:pPr>
        <w:pStyle w:val="ListParagraph"/>
        <w:numPr>
          <w:ilvl w:val="0"/>
          <w:numId w:val="179"/>
        </w:numPr>
        <w:spacing w:line="240" w:lineRule="auto"/>
        <w:ind w:left="426" w:right="54"/>
        <w:jc w:val="both"/>
        <w:rPr>
          <w:b/>
          <w:sz w:val="20"/>
          <w:szCs w:val="20"/>
        </w:rPr>
      </w:pPr>
      <w:r w:rsidRPr="00712F3C">
        <w:rPr>
          <w:b/>
          <w:sz w:val="20"/>
          <w:szCs w:val="20"/>
        </w:rPr>
        <w:t xml:space="preserve">Tenure of the committee: </w:t>
      </w:r>
    </w:p>
    <w:p w14:paraId="78D0A9E2" w14:textId="77777777" w:rsidR="00E35FCB" w:rsidRPr="00712F3C" w:rsidRDefault="00E35FCB" w:rsidP="00E35FCB">
      <w:pPr>
        <w:pStyle w:val="ListParagraph"/>
        <w:spacing w:line="240" w:lineRule="auto"/>
        <w:ind w:left="426" w:right="54"/>
        <w:jc w:val="both"/>
        <w:rPr>
          <w:b/>
          <w:sz w:val="20"/>
          <w:szCs w:val="20"/>
        </w:rPr>
      </w:pPr>
      <w:r w:rsidRPr="00712F3C">
        <w:rPr>
          <w:sz w:val="20"/>
          <w:szCs w:val="20"/>
        </w:rPr>
        <w:t>The Audit Committee shall continue to be in function as a committee of the Board until otherwise resolved by the Board, to carry out the functions of the Audit Committee as approved by the Board.</w:t>
      </w:r>
    </w:p>
    <w:p w14:paraId="78124626" w14:textId="77777777" w:rsidR="00E35FCB" w:rsidRPr="00712F3C" w:rsidRDefault="00E35FCB" w:rsidP="00E35FCB">
      <w:pPr>
        <w:autoSpaceDE w:val="0"/>
        <w:autoSpaceDN w:val="0"/>
        <w:adjustRightInd w:val="0"/>
        <w:spacing w:after="0" w:line="240" w:lineRule="auto"/>
        <w:ind w:right="54"/>
        <w:jc w:val="both"/>
        <w:rPr>
          <w:rFonts w:ascii="Times New Roman" w:hAnsi="Times New Roman"/>
          <w:b/>
          <w:color w:val="000000"/>
          <w:sz w:val="20"/>
          <w:szCs w:val="20"/>
        </w:rPr>
      </w:pPr>
    </w:p>
    <w:p w14:paraId="701A142A" w14:textId="77777777" w:rsidR="00E35FCB" w:rsidRPr="00712F3C" w:rsidRDefault="00E35FCB">
      <w:pPr>
        <w:pStyle w:val="ListParagraph"/>
        <w:numPr>
          <w:ilvl w:val="0"/>
          <w:numId w:val="179"/>
        </w:numPr>
        <w:spacing w:line="240" w:lineRule="auto"/>
        <w:ind w:left="426" w:right="54"/>
        <w:jc w:val="both"/>
        <w:rPr>
          <w:sz w:val="20"/>
          <w:szCs w:val="20"/>
        </w:rPr>
      </w:pPr>
      <w:r w:rsidRPr="00712F3C">
        <w:rPr>
          <w:b/>
          <w:sz w:val="20"/>
          <w:szCs w:val="20"/>
        </w:rPr>
        <w:t xml:space="preserve">Meetings of the Committee: </w:t>
      </w:r>
    </w:p>
    <w:p w14:paraId="338492E8" w14:textId="77777777" w:rsidR="00E35FCB" w:rsidRPr="00712F3C" w:rsidRDefault="00E35FCB" w:rsidP="00E35FCB">
      <w:pPr>
        <w:pStyle w:val="ListParagraph"/>
        <w:spacing w:line="240" w:lineRule="auto"/>
        <w:ind w:left="426" w:right="54"/>
        <w:jc w:val="both"/>
        <w:rPr>
          <w:sz w:val="20"/>
          <w:szCs w:val="20"/>
        </w:rPr>
      </w:pPr>
      <w:r w:rsidRPr="00712F3C">
        <w:rPr>
          <w:sz w:val="20"/>
          <w:szCs w:val="20"/>
        </w:rPr>
        <w:t>The committee shall meet at least four times in a year and not more than four months shall elapse between any two meetings. The quorum for the meeting shall be either two members or one third of the members of the committee, whichever is higher but there shall be presence of minimum two Independent members at each meeting. The Chairman of the Audit Committee shall attend the Annual General Meeting of our Company to answer shareholder queries</w:t>
      </w:r>
      <w:r w:rsidRPr="00712F3C">
        <w:rPr>
          <w:sz w:val="20"/>
          <w:szCs w:val="20"/>
          <w:lang w:val="en-US"/>
        </w:rPr>
        <w:t>.</w:t>
      </w:r>
    </w:p>
    <w:p w14:paraId="0004ADAB" w14:textId="77777777" w:rsidR="00E35FCB" w:rsidRPr="00712F3C" w:rsidRDefault="00E35FCB" w:rsidP="00E35FCB">
      <w:pPr>
        <w:autoSpaceDE w:val="0"/>
        <w:autoSpaceDN w:val="0"/>
        <w:adjustRightInd w:val="0"/>
        <w:spacing w:after="0" w:line="240" w:lineRule="auto"/>
        <w:ind w:right="54"/>
        <w:jc w:val="both"/>
        <w:rPr>
          <w:rFonts w:ascii="Times New Roman" w:hAnsi="Times New Roman"/>
          <w:color w:val="000000"/>
          <w:sz w:val="20"/>
          <w:szCs w:val="20"/>
        </w:rPr>
      </w:pPr>
    </w:p>
    <w:p w14:paraId="4E87355D" w14:textId="77777777" w:rsidR="00E35FCB" w:rsidRPr="00712F3C" w:rsidRDefault="00E35FCB">
      <w:pPr>
        <w:pStyle w:val="ListParagraph"/>
        <w:numPr>
          <w:ilvl w:val="0"/>
          <w:numId w:val="179"/>
        </w:numPr>
        <w:spacing w:line="240" w:lineRule="auto"/>
        <w:ind w:left="426" w:right="54"/>
        <w:jc w:val="both"/>
        <w:rPr>
          <w:b/>
          <w:sz w:val="20"/>
          <w:szCs w:val="20"/>
        </w:rPr>
      </w:pPr>
      <w:r w:rsidRPr="00712F3C">
        <w:rPr>
          <w:b/>
          <w:sz w:val="20"/>
          <w:szCs w:val="20"/>
        </w:rPr>
        <w:t xml:space="preserve">Power of the Committee: </w:t>
      </w:r>
    </w:p>
    <w:p w14:paraId="34170C20" w14:textId="77777777" w:rsidR="00E35FCB" w:rsidRPr="00712F3C" w:rsidRDefault="00E35FCB" w:rsidP="00E35FCB">
      <w:pPr>
        <w:autoSpaceDE w:val="0"/>
        <w:autoSpaceDN w:val="0"/>
        <w:adjustRightInd w:val="0"/>
        <w:spacing w:after="0" w:line="240" w:lineRule="auto"/>
        <w:ind w:right="54" w:firstLine="360"/>
        <w:jc w:val="both"/>
        <w:rPr>
          <w:rFonts w:ascii="Times New Roman" w:hAnsi="Times New Roman"/>
          <w:color w:val="000000"/>
          <w:sz w:val="20"/>
          <w:szCs w:val="20"/>
        </w:rPr>
      </w:pPr>
      <w:r w:rsidRPr="00712F3C">
        <w:rPr>
          <w:rFonts w:ascii="Times New Roman" w:hAnsi="Times New Roman"/>
          <w:color w:val="000000"/>
          <w:sz w:val="20"/>
          <w:szCs w:val="20"/>
        </w:rPr>
        <w:t xml:space="preserve">The Audit Committee shall have powers, including the following: </w:t>
      </w:r>
    </w:p>
    <w:p w14:paraId="7338F912" w14:textId="77777777" w:rsidR="00E35FCB" w:rsidRPr="00712F3C" w:rsidRDefault="00E35FCB" w:rsidP="00E35FCB">
      <w:pPr>
        <w:suppressAutoHyphens/>
        <w:autoSpaceDE w:val="0"/>
        <w:autoSpaceDN w:val="0"/>
        <w:adjustRightInd w:val="0"/>
        <w:spacing w:after="0" w:line="240" w:lineRule="auto"/>
        <w:ind w:left="720" w:right="54"/>
        <w:jc w:val="both"/>
        <w:textAlignment w:val="center"/>
        <w:rPr>
          <w:rFonts w:ascii="Times New Roman" w:hAnsi="Times New Roman"/>
          <w:sz w:val="20"/>
          <w:szCs w:val="20"/>
        </w:rPr>
      </w:pPr>
    </w:p>
    <w:p w14:paraId="6BB81262" w14:textId="77777777" w:rsidR="00E35FCB" w:rsidRPr="00712F3C" w:rsidRDefault="00E35FCB">
      <w:pPr>
        <w:numPr>
          <w:ilvl w:val="0"/>
          <w:numId w:val="188"/>
        </w:numPr>
        <w:suppressAutoHyphens/>
        <w:autoSpaceDE w:val="0"/>
        <w:autoSpaceDN w:val="0"/>
        <w:adjustRightInd w:val="0"/>
        <w:spacing w:after="0" w:line="240" w:lineRule="auto"/>
        <w:ind w:right="54"/>
        <w:jc w:val="both"/>
        <w:textAlignment w:val="center"/>
        <w:rPr>
          <w:rFonts w:ascii="Times New Roman" w:hAnsi="Times New Roman"/>
          <w:sz w:val="20"/>
          <w:szCs w:val="20"/>
        </w:rPr>
      </w:pPr>
      <w:r w:rsidRPr="00712F3C">
        <w:rPr>
          <w:rFonts w:ascii="Times New Roman" w:hAnsi="Times New Roman"/>
          <w:sz w:val="20"/>
          <w:szCs w:val="20"/>
        </w:rPr>
        <w:t xml:space="preserve">to investigate any activity within its terms of reference; </w:t>
      </w:r>
    </w:p>
    <w:p w14:paraId="0FA63AB5" w14:textId="77777777" w:rsidR="00E35FCB" w:rsidRPr="00712F3C" w:rsidRDefault="00E35FCB">
      <w:pPr>
        <w:numPr>
          <w:ilvl w:val="0"/>
          <w:numId w:val="188"/>
        </w:numPr>
        <w:suppressAutoHyphens/>
        <w:autoSpaceDE w:val="0"/>
        <w:autoSpaceDN w:val="0"/>
        <w:adjustRightInd w:val="0"/>
        <w:spacing w:after="0" w:line="240" w:lineRule="auto"/>
        <w:ind w:right="54"/>
        <w:jc w:val="both"/>
        <w:textAlignment w:val="center"/>
        <w:rPr>
          <w:rFonts w:ascii="Times New Roman" w:hAnsi="Times New Roman"/>
          <w:sz w:val="20"/>
          <w:szCs w:val="20"/>
        </w:rPr>
      </w:pPr>
      <w:r w:rsidRPr="00712F3C">
        <w:rPr>
          <w:rFonts w:ascii="Times New Roman" w:hAnsi="Times New Roman"/>
          <w:sz w:val="20"/>
          <w:szCs w:val="20"/>
        </w:rPr>
        <w:t xml:space="preserve">to seek information from any employee; </w:t>
      </w:r>
    </w:p>
    <w:p w14:paraId="7726E407" w14:textId="77777777" w:rsidR="00E35FCB" w:rsidRPr="00712F3C" w:rsidRDefault="00E35FCB">
      <w:pPr>
        <w:numPr>
          <w:ilvl w:val="0"/>
          <w:numId w:val="188"/>
        </w:numPr>
        <w:suppressAutoHyphens/>
        <w:autoSpaceDE w:val="0"/>
        <w:autoSpaceDN w:val="0"/>
        <w:adjustRightInd w:val="0"/>
        <w:spacing w:after="0" w:line="240" w:lineRule="auto"/>
        <w:ind w:right="54"/>
        <w:jc w:val="both"/>
        <w:textAlignment w:val="center"/>
        <w:rPr>
          <w:rFonts w:ascii="Times New Roman" w:hAnsi="Times New Roman"/>
          <w:sz w:val="20"/>
          <w:szCs w:val="20"/>
        </w:rPr>
      </w:pPr>
      <w:r w:rsidRPr="00712F3C">
        <w:rPr>
          <w:rFonts w:ascii="Times New Roman" w:hAnsi="Times New Roman"/>
          <w:sz w:val="20"/>
          <w:szCs w:val="20"/>
        </w:rPr>
        <w:t xml:space="preserve">to obtain outside legal or other professional advice; </w:t>
      </w:r>
    </w:p>
    <w:p w14:paraId="2A06DC2D" w14:textId="77777777" w:rsidR="00E35FCB" w:rsidRPr="00712F3C" w:rsidRDefault="00E35FCB">
      <w:pPr>
        <w:numPr>
          <w:ilvl w:val="0"/>
          <w:numId w:val="188"/>
        </w:numPr>
        <w:suppressAutoHyphens/>
        <w:autoSpaceDE w:val="0"/>
        <w:autoSpaceDN w:val="0"/>
        <w:adjustRightInd w:val="0"/>
        <w:spacing w:after="0" w:line="240" w:lineRule="auto"/>
        <w:ind w:right="54"/>
        <w:jc w:val="both"/>
        <w:textAlignment w:val="center"/>
        <w:rPr>
          <w:rFonts w:ascii="Times New Roman" w:hAnsi="Times New Roman"/>
          <w:sz w:val="20"/>
          <w:szCs w:val="20"/>
        </w:rPr>
      </w:pPr>
      <w:r w:rsidRPr="00712F3C">
        <w:rPr>
          <w:rFonts w:ascii="Times New Roman" w:hAnsi="Times New Roman"/>
          <w:sz w:val="20"/>
          <w:szCs w:val="20"/>
        </w:rPr>
        <w:t xml:space="preserve">to secure attendance of outsiders with relevant expertise, if it considers necessary as may be prescribed under the Companies Act, 2013 (together with the rules thereunder) and SEBI Listing Regulations; and </w:t>
      </w:r>
    </w:p>
    <w:p w14:paraId="64397918" w14:textId="77777777" w:rsidR="00E35FCB" w:rsidRPr="00712F3C" w:rsidRDefault="00E35FCB">
      <w:pPr>
        <w:numPr>
          <w:ilvl w:val="0"/>
          <w:numId w:val="188"/>
        </w:numPr>
        <w:suppressAutoHyphens/>
        <w:autoSpaceDE w:val="0"/>
        <w:autoSpaceDN w:val="0"/>
        <w:adjustRightInd w:val="0"/>
        <w:spacing w:after="0" w:line="240" w:lineRule="auto"/>
        <w:ind w:right="54"/>
        <w:jc w:val="both"/>
        <w:textAlignment w:val="center"/>
        <w:rPr>
          <w:rFonts w:ascii="Times New Roman" w:hAnsi="Times New Roman"/>
          <w:sz w:val="20"/>
          <w:szCs w:val="20"/>
        </w:rPr>
      </w:pPr>
      <w:r w:rsidRPr="00712F3C">
        <w:rPr>
          <w:rFonts w:ascii="Times New Roman" w:hAnsi="Times New Roman"/>
          <w:sz w:val="20"/>
          <w:szCs w:val="20"/>
        </w:rPr>
        <w:t>To have full access to information contained in records of Company.</w:t>
      </w:r>
    </w:p>
    <w:p w14:paraId="0BE78A41" w14:textId="77777777" w:rsidR="00E35FCB" w:rsidRPr="00712F3C" w:rsidRDefault="00E35FCB" w:rsidP="00E35FCB">
      <w:pPr>
        <w:pStyle w:val="ListParagraph"/>
        <w:spacing w:line="240" w:lineRule="auto"/>
        <w:ind w:left="426" w:right="54"/>
        <w:jc w:val="both"/>
        <w:rPr>
          <w:sz w:val="20"/>
          <w:szCs w:val="20"/>
        </w:rPr>
      </w:pPr>
    </w:p>
    <w:p w14:paraId="4CAF8EBE" w14:textId="77777777" w:rsidR="00E35FCB" w:rsidRPr="00712F3C" w:rsidRDefault="00E35FCB">
      <w:pPr>
        <w:pStyle w:val="ListParagraph"/>
        <w:numPr>
          <w:ilvl w:val="0"/>
          <w:numId w:val="179"/>
        </w:numPr>
        <w:spacing w:line="240" w:lineRule="auto"/>
        <w:ind w:left="426" w:right="54"/>
        <w:jc w:val="both"/>
        <w:rPr>
          <w:sz w:val="20"/>
          <w:szCs w:val="20"/>
        </w:rPr>
      </w:pPr>
      <w:r w:rsidRPr="00712F3C">
        <w:rPr>
          <w:b/>
          <w:sz w:val="20"/>
          <w:szCs w:val="20"/>
        </w:rPr>
        <w:t xml:space="preserve">Role of the Committee: </w:t>
      </w:r>
    </w:p>
    <w:p w14:paraId="0603F288" w14:textId="77777777" w:rsidR="00E35FCB" w:rsidRPr="00712F3C" w:rsidRDefault="00E35FCB" w:rsidP="00E35FCB">
      <w:pPr>
        <w:pStyle w:val="ListParagraph"/>
        <w:spacing w:line="240" w:lineRule="auto"/>
        <w:ind w:left="426" w:right="54"/>
        <w:jc w:val="both"/>
        <w:rPr>
          <w:sz w:val="20"/>
          <w:szCs w:val="20"/>
        </w:rPr>
      </w:pPr>
      <w:r w:rsidRPr="00712F3C">
        <w:rPr>
          <w:sz w:val="20"/>
          <w:szCs w:val="20"/>
        </w:rPr>
        <w:t>The Role of Audit Committee together with its powers as per Part C of Schedule II of SEBI Listing Regulation and Companies Act, 2013 shall be as under:</w:t>
      </w:r>
    </w:p>
    <w:p w14:paraId="607C0746" w14:textId="77777777" w:rsidR="00E35FCB" w:rsidRPr="00712F3C" w:rsidRDefault="00E35FCB" w:rsidP="00E35FCB">
      <w:pPr>
        <w:autoSpaceDE w:val="0"/>
        <w:autoSpaceDN w:val="0"/>
        <w:adjustRightInd w:val="0"/>
        <w:spacing w:after="0" w:line="240" w:lineRule="auto"/>
        <w:ind w:right="54"/>
        <w:jc w:val="both"/>
        <w:rPr>
          <w:rFonts w:ascii="Times New Roman" w:hAnsi="Times New Roman"/>
          <w:color w:val="000000"/>
          <w:sz w:val="20"/>
          <w:szCs w:val="20"/>
        </w:rPr>
      </w:pPr>
    </w:p>
    <w:p w14:paraId="112FE74B" w14:textId="77777777" w:rsidR="00E35FCB" w:rsidRPr="00712F3C" w:rsidRDefault="00E35FCB">
      <w:pPr>
        <w:numPr>
          <w:ilvl w:val="0"/>
          <w:numId w:val="183"/>
        </w:numPr>
        <w:autoSpaceDE w:val="0"/>
        <w:autoSpaceDN w:val="0"/>
        <w:adjustRightInd w:val="0"/>
        <w:spacing w:after="0" w:line="240" w:lineRule="auto"/>
        <w:ind w:right="54"/>
        <w:jc w:val="both"/>
        <w:rPr>
          <w:rFonts w:ascii="Times New Roman" w:hAnsi="Times New Roman"/>
          <w:color w:val="000000"/>
          <w:sz w:val="20"/>
          <w:szCs w:val="20"/>
        </w:rPr>
      </w:pPr>
      <w:r w:rsidRPr="00712F3C">
        <w:rPr>
          <w:rFonts w:ascii="Times New Roman" w:hAnsi="Times New Roman"/>
          <w:color w:val="000000"/>
          <w:sz w:val="20"/>
          <w:szCs w:val="20"/>
        </w:rPr>
        <w:t xml:space="preserve">Overseeing the Company’s financial reporting process and disclosure of its financial information to ensure that its financial statements are correct, sufficient and credible; </w:t>
      </w:r>
    </w:p>
    <w:p w14:paraId="75C8DA12" w14:textId="77777777" w:rsidR="00E35FCB" w:rsidRPr="00712F3C" w:rsidRDefault="00E35FCB">
      <w:pPr>
        <w:numPr>
          <w:ilvl w:val="0"/>
          <w:numId w:val="183"/>
        </w:numPr>
        <w:autoSpaceDE w:val="0"/>
        <w:autoSpaceDN w:val="0"/>
        <w:adjustRightInd w:val="0"/>
        <w:spacing w:after="0" w:line="240" w:lineRule="auto"/>
        <w:ind w:right="54"/>
        <w:jc w:val="both"/>
        <w:rPr>
          <w:rFonts w:ascii="Times New Roman" w:hAnsi="Times New Roman"/>
          <w:color w:val="000000"/>
          <w:sz w:val="20"/>
          <w:szCs w:val="20"/>
        </w:rPr>
      </w:pPr>
      <w:r w:rsidRPr="00712F3C">
        <w:rPr>
          <w:rFonts w:ascii="Times New Roman" w:hAnsi="Times New Roman"/>
          <w:color w:val="000000"/>
          <w:sz w:val="20"/>
          <w:szCs w:val="20"/>
        </w:rPr>
        <w:t xml:space="preserve">Recommending to the Board for the appointment, re-appointment, replacement, remuneration and terms of appointment of the statutory auditors of the Company; </w:t>
      </w:r>
    </w:p>
    <w:p w14:paraId="3562DCBA" w14:textId="77777777" w:rsidR="00E35FCB" w:rsidRPr="00712F3C" w:rsidRDefault="00E35FCB">
      <w:pPr>
        <w:numPr>
          <w:ilvl w:val="0"/>
          <w:numId w:val="183"/>
        </w:numPr>
        <w:autoSpaceDE w:val="0"/>
        <w:autoSpaceDN w:val="0"/>
        <w:adjustRightInd w:val="0"/>
        <w:spacing w:after="0" w:line="240" w:lineRule="auto"/>
        <w:ind w:right="54"/>
        <w:jc w:val="both"/>
        <w:rPr>
          <w:rFonts w:ascii="Times New Roman" w:hAnsi="Times New Roman"/>
          <w:color w:val="000000"/>
          <w:sz w:val="20"/>
          <w:szCs w:val="20"/>
        </w:rPr>
      </w:pPr>
      <w:r w:rsidRPr="00712F3C">
        <w:rPr>
          <w:rFonts w:ascii="Times New Roman" w:hAnsi="Times New Roman"/>
          <w:color w:val="000000"/>
          <w:sz w:val="20"/>
          <w:szCs w:val="20"/>
        </w:rPr>
        <w:t xml:space="preserve">Reviewing and monitoring the statutory auditor’s independence and performance, and effectiveness of audit process; </w:t>
      </w:r>
    </w:p>
    <w:p w14:paraId="2CBA8C89" w14:textId="77777777" w:rsidR="00E35FCB" w:rsidRPr="00712F3C" w:rsidRDefault="00E35FCB">
      <w:pPr>
        <w:numPr>
          <w:ilvl w:val="0"/>
          <w:numId w:val="183"/>
        </w:numPr>
        <w:autoSpaceDE w:val="0"/>
        <w:autoSpaceDN w:val="0"/>
        <w:adjustRightInd w:val="0"/>
        <w:spacing w:after="0" w:line="240" w:lineRule="auto"/>
        <w:ind w:right="54"/>
        <w:jc w:val="both"/>
        <w:rPr>
          <w:rFonts w:ascii="Times New Roman" w:hAnsi="Times New Roman"/>
          <w:color w:val="000000"/>
          <w:sz w:val="20"/>
          <w:szCs w:val="20"/>
        </w:rPr>
      </w:pPr>
      <w:r w:rsidRPr="00712F3C">
        <w:rPr>
          <w:rFonts w:ascii="Times New Roman" w:hAnsi="Times New Roman"/>
          <w:color w:val="000000"/>
          <w:sz w:val="20"/>
          <w:szCs w:val="20"/>
        </w:rPr>
        <w:t xml:space="preserve">Approving payments to the statutory auditors for any other services rendered by the statutory auditors; </w:t>
      </w:r>
    </w:p>
    <w:p w14:paraId="0BAE29C2" w14:textId="77777777" w:rsidR="00E35FCB" w:rsidRPr="00712F3C" w:rsidRDefault="00E35FCB">
      <w:pPr>
        <w:numPr>
          <w:ilvl w:val="0"/>
          <w:numId w:val="183"/>
        </w:numPr>
        <w:autoSpaceDE w:val="0"/>
        <w:autoSpaceDN w:val="0"/>
        <w:adjustRightInd w:val="0"/>
        <w:spacing w:after="0" w:line="240" w:lineRule="auto"/>
        <w:ind w:right="54"/>
        <w:jc w:val="both"/>
        <w:rPr>
          <w:rFonts w:ascii="Times New Roman" w:hAnsi="Times New Roman"/>
          <w:color w:val="000000"/>
          <w:sz w:val="20"/>
          <w:szCs w:val="20"/>
        </w:rPr>
      </w:pPr>
      <w:r w:rsidRPr="00712F3C">
        <w:rPr>
          <w:rFonts w:ascii="Times New Roman" w:hAnsi="Times New Roman"/>
          <w:color w:val="000000"/>
          <w:sz w:val="20"/>
          <w:szCs w:val="20"/>
        </w:rPr>
        <w:lastRenderedPageBreak/>
        <w:t xml:space="preserve">Reviewing, with the management, the annual financial statements and auditor’s report thereon before submission to the Board for approval, with particular reference to: </w:t>
      </w:r>
    </w:p>
    <w:p w14:paraId="33849D9E" w14:textId="77777777" w:rsidR="00E35FCB" w:rsidRPr="00712F3C" w:rsidRDefault="00E35FCB">
      <w:pPr>
        <w:numPr>
          <w:ilvl w:val="1"/>
          <w:numId w:val="183"/>
        </w:numPr>
        <w:autoSpaceDE w:val="0"/>
        <w:autoSpaceDN w:val="0"/>
        <w:adjustRightInd w:val="0"/>
        <w:spacing w:after="0" w:line="240" w:lineRule="auto"/>
        <w:ind w:right="54"/>
        <w:jc w:val="both"/>
        <w:rPr>
          <w:rFonts w:ascii="Times New Roman" w:hAnsi="Times New Roman"/>
          <w:color w:val="000000"/>
          <w:sz w:val="20"/>
          <w:szCs w:val="20"/>
        </w:rPr>
      </w:pPr>
      <w:r w:rsidRPr="00712F3C">
        <w:rPr>
          <w:rFonts w:ascii="Times New Roman" w:hAnsi="Times New Roman"/>
          <w:color w:val="000000"/>
          <w:sz w:val="20"/>
          <w:szCs w:val="20"/>
        </w:rPr>
        <w:t xml:space="preserve">Matters required to be included in the Director’s Responsibility Statement to be included in the Board’s report in terms of clause (c) of sub-section 3 of Section 134 of the Companies Act; </w:t>
      </w:r>
    </w:p>
    <w:p w14:paraId="019F7B56" w14:textId="77777777" w:rsidR="00E35FCB" w:rsidRPr="00712F3C" w:rsidRDefault="00E35FCB">
      <w:pPr>
        <w:numPr>
          <w:ilvl w:val="1"/>
          <w:numId w:val="183"/>
        </w:numPr>
        <w:autoSpaceDE w:val="0"/>
        <w:autoSpaceDN w:val="0"/>
        <w:adjustRightInd w:val="0"/>
        <w:spacing w:after="0" w:line="240" w:lineRule="auto"/>
        <w:ind w:right="54"/>
        <w:jc w:val="both"/>
        <w:rPr>
          <w:rFonts w:ascii="Times New Roman" w:hAnsi="Times New Roman"/>
          <w:color w:val="000000"/>
          <w:sz w:val="20"/>
          <w:szCs w:val="20"/>
        </w:rPr>
      </w:pPr>
      <w:r w:rsidRPr="00712F3C">
        <w:rPr>
          <w:rFonts w:ascii="Times New Roman" w:hAnsi="Times New Roman"/>
          <w:color w:val="000000"/>
          <w:sz w:val="20"/>
          <w:szCs w:val="20"/>
        </w:rPr>
        <w:t xml:space="preserve">Changes, if any, in accounting policies and practices and reasons for the same; </w:t>
      </w:r>
    </w:p>
    <w:p w14:paraId="5E4B49EA" w14:textId="77777777" w:rsidR="00E35FCB" w:rsidRPr="00712F3C" w:rsidRDefault="00E35FCB">
      <w:pPr>
        <w:numPr>
          <w:ilvl w:val="1"/>
          <w:numId w:val="183"/>
        </w:numPr>
        <w:autoSpaceDE w:val="0"/>
        <w:autoSpaceDN w:val="0"/>
        <w:adjustRightInd w:val="0"/>
        <w:spacing w:after="0" w:line="240" w:lineRule="auto"/>
        <w:ind w:right="54"/>
        <w:jc w:val="both"/>
        <w:rPr>
          <w:rFonts w:ascii="Times New Roman" w:hAnsi="Times New Roman"/>
          <w:color w:val="000000"/>
          <w:sz w:val="20"/>
          <w:szCs w:val="20"/>
        </w:rPr>
      </w:pPr>
      <w:r w:rsidRPr="00712F3C">
        <w:rPr>
          <w:rFonts w:ascii="Times New Roman" w:hAnsi="Times New Roman"/>
          <w:color w:val="000000"/>
          <w:sz w:val="20"/>
          <w:szCs w:val="20"/>
        </w:rPr>
        <w:t xml:space="preserve">Major accounting entries involving estimates based on the exercise of judgment by management; </w:t>
      </w:r>
    </w:p>
    <w:p w14:paraId="095F6E47" w14:textId="77777777" w:rsidR="00E35FCB" w:rsidRPr="00712F3C" w:rsidRDefault="00E35FCB">
      <w:pPr>
        <w:numPr>
          <w:ilvl w:val="1"/>
          <w:numId w:val="183"/>
        </w:numPr>
        <w:autoSpaceDE w:val="0"/>
        <w:autoSpaceDN w:val="0"/>
        <w:adjustRightInd w:val="0"/>
        <w:spacing w:after="0" w:line="240" w:lineRule="auto"/>
        <w:ind w:right="54"/>
        <w:jc w:val="both"/>
        <w:rPr>
          <w:rFonts w:ascii="Times New Roman" w:hAnsi="Times New Roman"/>
          <w:color w:val="000000"/>
          <w:sz w:val="20"/>
          <w:szCs w:val="20"/>
        </w:rPr>
      </w:pPr>
      <w:r w:rsidRPr="00712F3C">
        <w:rPr>
          <w:rFonts w:ascii="Times New Roman" w:hAnsi="Times New Roman"/>
          <w:color w:val="000000"/>
          <w:sz w:val="20"/>
          <w:szCs w:val="20"/>
        </w:rPr>
        <w:t xml:space="preserve">Significant adjustments made in the financial statements arising out of audit findings; </w:t>
      </w:r>
    </w:p>
    <w:p w14:paraId="2D1657AF" w14:textId="77777777" w:rsidR="00E35FCB" w:rsidRPr="00712F3C" w:rsidRDefault="00E35FCB">
      <w:pPr>
        <w:numPr>
          <w:ilvl w:val="1"/>
          <w:numId w:val="183"/>
        </w:numPr>
        <w:autoSpaceDE w:val="0"/>
        <w:autoSpaceDN w:val="0"/>
        <w:adjustRightInd w:val="0"/>
        <w:spacing w:after="0" w:line="240" w:lineRule="auto"/>
        <w:ind w:right="54"/>
        <w:jc w:val="both"/>
        <w:rPr>
          <w:rFonts w:ascii="Times New Roman" w:hAnsi="Times New Roman"/>
          <w:color w:val="000000"/>
          <w:sz w:val="20"/>
          <w:szCs w:val="20"/>
        </w:rPr>
      </w:pPr>
      <w:r w:rsidRPr="00712F3C">
        <w:rPr>
          <w:rFonts w:ascii="Times New Roman" w:hAnsi="Times New Roman"/>
          <w:color w:val="000000"/>
          <w:sz w:val="20"/>
          <w:szCs w:val="20"/>
        </w:rPr>
        <w:t xml:space="preserve">Compliance with listing and other legal requirements relating to financial statements; </w:t>
      </w:r>
    </w:p>
    <w:p w14:paraId="4D2EAFC3" w14:textId="77777777" w:rsidR="00E35FCB" w:rsidRPr="00712F3C" w:rsidRDefault="00E35FCB">
      <w:pPr>
        <w:numPr>
          <w:ilvl w:val="1"/>
          <w:numId w:val="183"/>
        </w:numPr>
        <w:autoSpaceDE w:val="0"/>
        <w:autoSpaceDN w:val="0"/>
        <w:adjustRightInd w:val="0"/>
        <w:spacing w:after="0" w:line="240" w:lineRule="auto"/>
        <w:ind w:right="54"/>
        <w:jc w:val="both"/>
        <w:rPr>
          <w:rFonts w:ascii="Times New Roman" w:hAnsi="Times New Roman"/>
          <w:color w:val="000000"/>
          <w:sz w:val="20"/>
          <w:szCs w:val="20"/>
        </w:rPr>
      </w:pPr>
      <w:r w:rsidRPr="00712F3C">
        <w:rPr>
          <w:rFonts w:ascii="Times New Roman" w:hAnsi="Times New Roman"/>
          <w:color w:val="000000"/>
          <w:sz w:val="20"/>
          <w:szCs w:val="20"/>
        </w:rPr>
        <w:t xml:space="preserve">Disclosure of any related party transactions; and </w:t>
      </w:r>
    </w:p>
    <w:p w14:paraId="1319A7DB" w14:textId="77777777" w:rsidR="00E35FCB" w:rsidRPr="00712F3C" w:rsidRDefault="00E35FCB">
      <w:pPr>
        <w:numPr>
          <w:ilvl w:val="1"/>
          <w:numId w:val="183"/>
        </w:numPr>
        <w:autoSpaceDE w:val="0"/>
        <w:autoSpaceDN w:val="0"/>
        <w:adjustRightInd w:val="0"/>
        <w:spacing w:after="0" w:line="240" w:lineRule="auto"/>
        <w:ind w:right="54"/>
        <w:jc w:val="both"/>
        <w:rPr>
          <w:rFonts w:ascii="Times New Roman" w:hAnsi="Times New Roman"/>
          <w:color w:val="000000"/>
          <w:sz w:val="20"/>
          <w:szCs w:val="20"/>
        </w:rPr>
      </w:pPr>
      <w:r w:rsidRPr="00712F3C">
        <w:rPr>
          <w:rFonts w:ascii="Times New Roman" w:hAnsi="Times New Roman"/>
          <w:color w:val="000000"/>
          <w:sz w:val="20"/>
          <w:szCs w:val="20"/>
        </w:rPr>
        <w:t xml:space="preserve">Qualifications and modified opinions in the draft audit report. </w:t>
      </w:r>
    </w:p>
    <w:p w14:paraId="5A493222" w14:textId="77777777" w:rsidR="00E35FCB" w:rsidRPr="00712F3C" w:rsidRDefault="00E35FCB">
      <w:pPr>
        <w:numPr>
          <w:ilvl w:val="0"/>
          <w:numId w:val="183"/>
        </w:numPr>
        <w:autoSpaceDE w:val="0"/>
        <w:autoSpaceDN w:val="0"/>
        <w:adjustRightInd w:val="0"/>
        <w:spacing w:after="0" w:line="240" w:lineRule="auto"/>
        <w:ind w:right="54"/>
        <w:jc w:val="both"/>
        <w:rPr>
          <w:rFonts w:ascii="Times New Roman" w:hAnsi="Times New Roman"/>
          <w:color w:val="000000"/>
          <w:sz w:val="20"/>
          <w:szCs w:val="20"/>
        </w:rPr>
      </w:pPr>
      <w:r w:rsidRPr="00712F3C">
        <w:rPr>
          <w:rFonts w:ascii="Times New Roman" w:hAnsi="Times New Roman"/>
          <w:color w:val="000000"/>
          <w:sz w:val="20"/>
          <w:szCs w:val="20"/>
        </w:rPr>
        <w:t xml:space="preserve">Reviewing, with the management, the quarterly, half-yearly and annual financial statements before submission to the Board for approval; </w:t>
      </w:r>
    </w:p>
    <w:p w14:paraId="45151752" w14:textId="77777777" w:rsidR="00E35FCB" w:rsidRPr="00712F3C" w:rsidRDefault="00E35FCB">
      <w:pPr>
        <w:numPr>
          <w:ilvl w:val="0"/>
          <w:numId w:val="183"/>
        </w:numPr>
        <w:autoSpaceDE w:val="0"/>
        <w:autoSpaceDN w:val="0"/>
        <w:adjustRightInd w:val="0"/>
        <w:spacing w:after="0" w:line="240" w:lineRule="auto"/>
        <w:ind w:right="54"/>
        <w:jc w:val="both"/>
        <w:rPr>
          <w:rFonts w:ascii="Times New Roman" w:hAnsi="Times New Roman"/>
          <w:color w:val="000000"/>
          <w:sz w:val="20"/>
          <w:szCs w:val="20"/>
        </w:rPr>
      </w:pPr>
      <w:r w:rsidRPr="00712F3C">
        <w:rPr>
          <w:rFonts w:ascii="Times New Roman" w:hAnsi="Times New Roman"/>
          <w:color w:val="000000"/>
          <w:sz w:val="20"/>
          <w:szCs w:val="20"/>
        </w:rPr>
        <w:t xml:space="preserve">Reviewing, with the management, the statement of uses/ application of funds raised through an issue (public issue, rights issue, preferential issue, etc.), the statement of funds utilized for purposes other than those stated in the offer document/ prospectus/ notice and the report submitted by the monitoring agency monitoring the utilization of proceeds of a public or rights issue, and making appropriate recommendations to the Board to take up steps in this matter. This also includes monitoring the use/application of the funds raised through the proposed initial public offer by the Company; </w:t>
      </w:r>
    </w:p>
    <w:p w14:paraId="552C7DE1" w14:textId="77777777" w:rsidR="00E35FCB" w:rsidRPr="00712F3C" w:rsidRDefault="00E35FCB">
      <w:pPr>
        <w:numPr>
          <w:ilvl w:val="0"/>
          <w:numId w:val="183"/>
        </w:numPr>
        <w:autoSpaceDE w:val="0"/>
        <w:autoSpaceDN w:val="0"/>
        <w:adjustRightInd w:val="0"/>
        <w:spacing w:after="0" w:line="240" w:lineRule="auto"/>
        <w:ind w:right="54"/>
        <w:jc w:val="both"/>
        <w:rPr>
          <w:rFonts w:ascii="Times New Roman" w:hAnsi="Times New Roman"/>
          <w:color w:val="000000"/>
          <w:sz w:val="20"/>
          <w:szCs w:val="20"/>
        </w:rPr>
      </w:pPr>
      <w:r w:rsidRPr="00712F3C">
        <w:rPr>
          <w:rFonts w:ascii="Times New Roman" w:hAnsi="Times New Roman"/>
          <w:color w:val="000000"/>
          <w:sz w:val="20"/>
          <w:szCs w:val="20"/>
        </w:rPr>
        <w:t xml:space="preserve">Approval or any subsequent modifications of transactions of the Company with related parties and omnibus approval for related party transactions proposed to be entered into by the Company subject to such conditions as may be prescribed; </w:t>
      </w:r>
    </w:p>
    <w:p w14:paraId="26E5F975" w14:textId="77777777" w:rsidR="00E35FCB" w:rsidRPr="00712F3C" w:rsidRDefault="00E35FCB">
      <w:pPr>
        <w:numPr>
          <w:ilvl w:val="0"/>
          <w:numId w:val="183"/>
        </w:numPr>
        <w:autoSpaceDE w:val="0"/>
        <w:autoSpaceDN w:val="0"/>
        <w:adjustRightInd w:val="0"/>
        <w:spacing w:after="0" w:line="240" w:lineRule="auto"/>
        <w:ind w:right="54"/>
        <w:jc w:val="both"/>
        <w:rPr>
          <w:rFonts w:ascii="Times New Roman" w:hAnsi="Times New Roman"/>
          <w:color w:val="000000"/>
          <w:sz w:val="20"/>
          <w:szCs w:val="20"/>
        </w:rPr>
      </w:pPr>
      <w:r w:rsidRPr="00712F3C">
        <w:rPr>
          <w:rFonts w:ascii="Times New Roman" w:hAnsi="Times New Roman"/>
          <w:color w:val="000000"/>
          <w:sz w:val="20"/>
          <w:szCs w:val="20"/>
        </w:rPr>
        <w:t xml:space="preserve">Scrutiny of inter-corporate loans and investments; </w:t>
      </w:r>
    </w:p>
    <w:p w14:paraId="5F9FB360" w14:textId="77777777" w:rsidR="00E35FCB" w:rsidRPr="00712F3C" w:rsidRDefault="00E35FCB">
      <w:pPr>
        <w:numPr>
          <w:ilvl w:val="0"/>
          <w:numId w:val="183"/>
        </w:numPr>
        <w:autoSpaceDE w:val="0"/>
        <w:autoSpaceDN w:val="0"/>
        <w:adjustRightInd w:val="0"/>
        <w:spacing w:after="0" w:line="240" w:lineRule="auto"/>
        <w:ind w:right="54"/>
        <w:jc w:val="both"/>
        <w:rPr>
          <w:rFonts w:ascii="Times New Roman" w:hAnsi="Times New Roman"/>
          <w:color w:val="000000"/>
          <w:sz w:val="20"/>
          <w:szCs w:val="20"/>
        </w:rPr>
      </w:pPr>
      <w:r w:rsidRPr="00712F3C">
        <w:rPr>
          <w:rFonts w:ascii="Times New Roman" w:hAnsi="Times New Roman"/>
          <w:color w:val="000000"/>
          <w:sz w:val="20"/>
          <w:szCs w:val="20"/>
        </w:rPr>
        <w:t xml:space="preserve">Valuation of undertakings or assets of the Company, wherever it is necessary; </w:t>
      </w:r>
    </w:p>
    <w:p w14:paraId="0CB15AB8" w14:textId="77777777" w:rsidR="00E35FCB" w:rsidRPr="00712F3C" w:rsidRDefault="00E35FCB">
      <w:pPr>
        <w:numPr>
          <w:ilvl w:val="0"/>
          <w:numId w:val="183"/>
        </w:numPr>
        <w:autoSpaceDE w:val="0"/>
        <w:autoSpaceDN w:val="0"/>
        <w:adjustRightInd w:val="0"/>
        <w:spacing w:after="0" w:line="240" w:lineRule="auto"/>
        <w:ind w:right="54"/>
        <w:jc w:val="both"/>
        <w:rPr>
          <w:rFonts w:ascii="Times New Roman" w:hAnsi="Times New Roman"/>
          <w:color w:val="000000"/>
          <w:sz w:val="20"/>
          <w:szCs w:val="20"/>
        </w:rPr>
      </w:pPr>
      <w:r w:rsidRPr="00712F3C">
        <w:rPr>
          <w:rFonts w:ascii="Times New Roman" w:hAnsi="Times New Roman"/>
          <w:color w:val="000000"/>
          <w:sz w:val="20"/>
          <w:szCs w:val="20"/>
        </w:rPr>
        <w:t xml:space="preserve">Evaluation of internal financial controls and risk management systems; </w:t>
      </w:r>
    </w:p>
    <w:p w14:paraId="0AF20D74" w14:textId="77777777" w:rsidR="00E35FCB" w:rsidRPr="00712F3C" w:rsidRDefault="00E35FCB">
      <w:pPr>
        <w:numPr>
          <w:ilvl w:val="0"/>
          <w:numId w:val="183"/>
        </w:numPr>
        <w:autoSpaceDE w:val="0"/>
        <w:autoSpaceDN w:val="0"/>
        <w:adjustRightInd w:val="0"/>
        <w:spacing w:after="0" w:line="240" w:lineRule="auto"/>
        <w:ind w:right="54"/>
        <w:jc w:val="both"/>
        <w:rPr>
          <w:rFonts w:ascii="Times New Roman" w:hAnsi="Times New Roman"/>
          <w:color w:val="000000"/>
          <w:sz w:val="20"/>
          <w:szCs w:val="20"/>
        </w:rPr>
      </w:pPr>
      <w:r w:rsidRPr="00712F3C">
        <w:rPr>
          <w:rFonts w:ascii="Times New Roman" w:hAnsi="Times New Roman"/>
          <w:color w:val="000000"/>
          <w:sz w:val="20"/>
          <w:szCs w:val="20"/>
        </w:rPr>
        <w:t xml:space="preserve">Establishing a vigil mechanism for directors and employees to report their genuine concerns or grievances; </w:t>
      </w:r>
    </w:p>
    <w:p w14:paraId="02FACEFF" w14:textId="77777777" w:rsidR="00E35FCB" w:rsidRPr="00712F3C" w:rsidRDefault="00E35FCB">
      <w:pPr>
        <w:numPr>
          <w:ilvl w:val="0"/>
          <w:numId w:val="183"/>
        </w:numPr>
        <w:autoSpaceDE w:val="0"/>
        <w:autoSpaceDN w:val="0"/>
        <w:adjustRightInd w:val="0"/>
        <w:spacing w:after="0" w:line="240" w:lineRule="auto"/>
        <w:ind w:right="54"/>
        <w:jc w:val="both"/>
        <w:rPr>
          <w:rFonts w:ascii="Times New Roman" w:hAnsi="Times New Roman"/>
          <w:color w:val="000000"/>
          <w:sz w:val="20"/>
          <w:szCs w:val="20"/>
        </w:rPr>
      </w:pPr>
      <w:r w:rsidRPr="00712F3C">
        <w:rPr>
          <w:rFonts w:ascii="Times New Roman" w:hAnsi="Times New Roman"/>
          <w:color w:val="000000"/>
          <w:sz w:val="20"/>
          <w:szCs w:val="20"/>
        </w:rPr>
        <w:t xml:space="preserve">Reviewing, with the management, the performance of statutory and internal auditors, and adequacy of the internal control systems; </w:t>
      </w:r>
    </w:p>
    <w:p w14:paraId="6AE3B46C" w14:textId="77777777" w:rsidR="00E35FCB" w:rsidRPr="00712F3C" w:rsidRDefault="00E35FCB">
      <w:pPr>
        <w:numPr>
          <w:ilvl w:val="0"/>
          <w:numId w:val="183"/>
        </w:numPr>
        <w:autoSpaceDE w:val="0"/>
        <w:autoSpaceDN w:val="0"/>
        <w:adjustRightInd w:val="0"/>
        <w:spacing w:after="0" w:line="240" w:lineRule="auto"/>
        <w:ind w:right="54"/>
        <w:jc w:val="both"/>
        <w:rPr>
          <w:rFonts w:ascii="Times New Roman" w:hAnsi="Times New Roman"/>
          <w:color w:val="000000"/>
          <w:sz w:val="20"/>
          <w:szCs w:val="20"/>
        </w:rPr>
      </w:pPr>
      <w:r w:rsidRPr="00712F3C">
        <w:rPr>
          <w:rFonts w:ascii="Times New Roman" w:hAnsi="Times New Roman"/>
          <w:color w:val="000000"/>
          <w:sz w:val="20"/>
          <w:szCs w:val="20"/>
        </w:rPr>
        <w:t xml:space="preserve">Reviewing the adequacy of internal audit function if any, including the structure of the internal audit department, staffing and seniority of the official heading the department, reporting structure coverage and frequency of internal audit; </w:t>
      </w:r>
    </w:p>
    <w:p w14:paraId="3C8D7E62" w14:textId="77777777" w:rsidR="00E35FCB" w:rsidRPr="00712F3C" w:rsidRDefault="00E35FCB">
      <w:pPr>
        <w:numPr>
          <w:ilvl w:val="0"/>
          <w:numId w:val="183"/>
        </w:numPr>
        <w:autoSpaceDE w:val="0"/>
        <w:autoSpaceDN w:val="0"/>
        <w:adjustRightInd w:val="0"/>
        <w:spacing w:after="0" w:line="240" w:lineRule="auto"/>
        <w:ind w:right="54"/>
        <w:jc w:val="both"/>
        <w:rPr>
          <w:rFonts w:ascii="Times New Roman" w:hAnsi="Times New Roman"/>
          <w:color w:val="000000"/>
          <w:sz w:val="20"/>
          <w:szCs w:val="20"/>
        </w:rPr>
      </w:pPr>
      <w:r w:rsidRPr="00712F3C">
        <w:rPr>
          <w:rFonts w:ascii="Times New Roman" w:hAnsi="Times New Roman"/>
          <w:color w:val="000000"/>
          <w:sz w:val="20"/>
          <w:szCs w:val="20"/>
        </w:rPr>
        <w:t xml:space="preserve">Discussing with internal auditors on any significant findings and follow up thereon; </w:t>
      </w:r>
    </w:p>
    <w:p w14:paraId="1B365CC8" w14:textId="77777777" w:rsidR="00E35FCB" w:rsidRPr="00712F3C" w:rsidRDefault="00E35FCB">
      <w:pPr>
        <w:numPr>
          <w:ilvl w:val="0"/>
          <w:numId w:val="183"/>
        </w:numPr>
        <w:autoSpaceDE w:val="0"/>
        <w:autoSpaceDN w:val="0"/>
        <w:adjustRightInd w:val="0"/>
        <w:spacing w:after="0" w:line="240" w:lineRule="auto"/>
        <w:ind w:right="54"/>
        <w:jc w:val="both"/>
        <w:rPr>
          <w:rFonts w:ascii="Times New Roman" w:hAnsi="Times New Roman"/>
          <w:color w:val="000000"/>
          <w:sz w:val="20"/>
          <w:szCs w:val="20"/>
        </w:rPr>
      </w:pPr>
      <w:r w:rsidRPr="00712F3C">
        <w:rPr>
          <w:rFonts w:ascii="Times New Roman" w:hAnsi="Times New Roman"/>
          <w:color w:val="000000"/>
          <w:sz w:val="20"/>
          <w:szCs w:val="20"/>
        </w:rPr>
        <w:t xml:space="preserve">Reviewing the findings of any internal investigations by the internal auditors into matters where there is suspected fraud or irregularity or a failure of internal control systems of a material nature and reporting the matter to the Board; </w:t>
      </w:r>
    </w:p>
    <w:p w14:paraId="0F921CB5" w14:textId="77777777" w:rsidR="00E35FCB" w:rsidRPr="00712F3C" w:rsidRDefault="00E35FCB">
      <w:pPr>
        <w:numPr>
          <w:ilvl w:val="0"/>
          <w:numId w:val="183"/>
        </w:numPr>
        <w:autoSpaceDE w:val="0"/>
        <w:autoSpaceDN w:val="0"/>
        <w:adjustRightInd w:val="0"/>
        <w:spacing w:after="0" w:line="240" w:lineRule="auto"/>
        <w:ind w:right="54"/>
        <w:jc w:val="both"/>
        <w:rPr>
          <w:rFonts w:ascii="Times New Roman" w:hAnsi="Times New Roman"/>
          <w:color w:val="000000"/>
          <w:sz w:val="20"/>
          <w:szCs w:val="20"/>
        </w:rPr>
      </w:pPr>
      <w:r w:rsidRPr="00712F3C">
        <w:rPr>
          <w:rFonts w:ascii="Times New Roman" w:hAnsi="Times New Roman"/>
          <w:color w:val="000000"/>
          <w:sz w:val="20"/>
          <w:szCs w:val="20"/>
        </w:rPr>
        <w:t xml:space="preserve">Discussing with statutory auditors before the audit commences, about the nature and scope of audit as well as post-audit discussion to ascertain any area of concern; </w:t>
      </w:r>
    </w:p>
    <w:p w14:paraId="7363FA22" w14:textId="77777777" w:rsidR="00E35FCB" w:rsidRPr="00712F3C" w:rsidRDefault="00E35FCB">
      <w:pPr>
        <w:numPr>
          <w:ilvl w:val="0"/>
          <w:numId w:val="183"/>
        </w:numPr>
        <w:autoSpaceDE w:val="0"/>
        <w:autoSpaceDN w:val="0"/>
        <w:adjustRightInd w:val="0"/>
        <w:spacing w:after="0" w:line="240" w:lineRule="auto"/>
        <w:ind w:right="54"/>
        <w:jc w:val="both"/>
        <w:rPr>
          <w:rFonts w:ascii="Times New Roman" w:hAnsi="Times New Roman"/>
          <w:color w:val="000000"/>
          <w:sz w:val="20"/>
          <w:szCs w:val="20"/>
        </w:rPr>
      </w:pPr>
      <w:r w:rsidRPr="00712F3C">
        <w:rPr>
          <w:rFonts w:ascii="Times New Roman" w:hAnsi="Times New Roman"/>
          <w:color w:val="000000"/>
          <w:sz w:val="20"/>
          <w:szCs w:val="20"/>
        </w:rPr>
        <w:t xml:space="preserve">Looking into the reasons for substantial defaults in the payment to the depositors, debenture holders, shareholders (in case of non-payment of declared dividends) and creditors; </w:t>
      </w:r>
    </w:p>
    <w:p w14:paraId="5D7FD4E6" w14:textId="77777777" w:rsidR="00E35FCB" w:rsidRPr="00712F3C" w:rsidRDefault="00E35FCB">
      <w:pPr>
        <w:numPr>
          <w:ilvl w:val="0"/>
          <w:numId w:val="183"/>
        </w:numPr>
        <w:autoSpaceDE w:val="0"/>
        <w:autoSpaceDN w:val="0"/>
        <w:adjustRightInd w:val="0"/>
        <w:spacing w:after="0" w:line="240" w:lineRule="auto"/>
        <w:ind w:right="54"/>
        <w:jc w:val="both"/>
        <w:rPr>
          <w:rFonts w:ascii="Times New Roman" w:hAnsi="Times New Roman"/>
          <w:color w:val="000000"/>
          <w:sz w:val="20"/>
          <w:szCs w:val="20"/>
        </w:rPr>
      </w:pPr>
      <w:r w:rsidRPr="00712F3C">
        <w:rPr>
          <w:rFonts w:ascii="Times New Roman" w:hAnsi="Times New Roman"/>
          <w:color w:val="000000"/>
          <w:sz w:val="20"/>
          <w:szCs w:val="20"/>
        </w:rPr>
        <w:t xml:space="preserve">Reviewing the functioning of the whistle blower mechanism; </w:t>
      </w:r>
    </w:p>
    <w:p w14:paraId="0C1760C9" w14:textId="77777777" w:rsidR="00E35FCB" w:rsidRPr="00712F3C" w:rsidRDefault="00E35FCB">
      <w:pPr>
        <w:numPr>
          <w:ilvl w:val="0"/>
          <w:numId w:val="183"/>
        </w:numPr>
        <w:autoSpaceDE w:val="0"/>
        <w:autoSpaceDN w:val="0"/>
        <w:adjustRightInd w:val="0"/>
        <w:spacing w:after="0" w:line="240" w:lineRule="auto"/>
        <w:ind w:right="54"/>
        <w:jc w:val="both"/>
        <w:rPr>
          <w:rFonts w:ascii="Times New Roman" w:hAnsi="Times New Roman"/>
          <w:color w:val="000000"/>
          <w:sz w:val="20"/>
          <w:szCs w:val="20"/>
        </w:rPr>
      </w:pPr>
      <w:r w:rsidRPr="00712F3C">
        <w:rPr>
          <w:rFonts w:ascii="Times New Roman" w:hAnsi="Times New Roman"/>
          <w:color w:val="000000"/>
          <w:sz w:val="20"/>
          <w:szCs w:val="20"/>
        </w:rPr>
        <w:t xml:space="preserve">Approving the appointment of the chief financial officer or any other person heading the finance function or discharging that function after assessing the qualifications, experience and background, etc. of the candidate; </w:t>
      </w:r>
    </w:p>
    <w:p w14:paraId="77E8C1B4" w14:textId="77777777" w:rsidR="00E35FCB" w:rsidRPr="00712F3C" w:rsidRDefault="00E35FCB">
      <w:pPr>
        <w:numPr>
          <w:ilvl w:val="0"/>
          <w:numId w:val="183"/>
        </w:numPr>
        <w:autoSpaceDE w:val="0"/>
        <w:autoSpaceDN w:val="0"/>
        <w:adjustRightInd w:val="0"/>
        <w:spacing w:after="0" w:line="240" w:lineRule="auto"/>
        <w:ind w:right="54"/>
        <w:jc w:val="both"/>
        <w:rPr>
          <w:rFonts w:ascii="Times New Roman" w:hAnsi="Times New Roman"/>
          <w:color w:val="000000"/>
          <w:sz w:val="20"/>
          <w:szCs w:val="20"/>
        </w:rPr>
      </w:pPr>
      <w:r w:rsidRPr="00712F3C">
        <w:rPr>
          <w:rFonts w:ascii="Times New Roman" w:hAnsi="Times New Roman"/>
          <w:color w:val="000000"/>
          <w:sz w:val="20"/>
          <w:szCs w:val="20"/>
        </w:rPr>
        <w:t xml:space="preserve">Reviewing the utilization of loans and/ or advances from/investment by the holding company in any subsidiary exceeding ₹1,000 million or 10% of the asset size of the subsidiary, whichever is lower including existing loans / advances / investments; </w:t>
      </w:r>
    </w:p>
    <w:p w14:paraId="375C098E" w14:textId="77777777" w:rsidR="00E35FCB" w:rsidRPr="00712F3C" w:rsidRDefault="00E35FCB">
      <w:pPr>
        <w:numPr>
          <w:ilvl w:val="0"/>
          <w:numId w:val="183"/>
        </w:numPr>
        <w:autoSpaceDE w:val="0"/>
        <w:autoSpaceDN w:val="0"/>
        <w:adjustRightInd w:val="0"/>
        <w:spacing w:after="0" w:line="240" w:lineRule="auto"/>
        <w:ind w:right="54"/>
        <w:jc w:val="both"/>
        <w:rPr>
          <w:rFonts w:ascii="Times New Roman" w:hAnsi="Times New Roman"/>
          <w:color w:val="000000"/>
          <w:sz w:val="20"/>
          <w:szCs w:val="20"/>
        </w:rPr>
      </w:pPr>
      <w:r w:rsidRPr="00712F3C">
        <w:rPr>
          <w:rFonts w:ascii="Times New Roman" w:hAnsi="Times New Roman"/>
          <w:color w:val="000000"/>
          <w:sz w:val="20"/>
          <w:szCs w:val="20"/>
        </w:rPr>
        <w:t xml:space="preserve">Considering and commenting on the rationale, cost-benefits and impact of schemes involving merger, demerger, amalgamation etc., on the Company and its shareholders;  </w:t>
      </w:r>
    </w:p>
    <w:p w14:paraId="60E76D77" w14:textId="77777777" w:rsidR="00E35FCB" w:rsidRPr="00712F3C" w:rsidRDefault="00E35FCB">
      <w:pPr>
        <w:numPr>
          <w:ilvl w:val="0"/>
          <w:numId w:val="183"/>
        </w:numPr>
        <w:autoSpaceDE w:val="0"/>
        <w:autoSpaceDN w:val="0"/>
        <w:adjustRightInd w:val="0"/>
        <w:spacing w:after="0" w:line="240" w:lineRule="auto"/>
        <w:ind w:right="54"/>
        <w:jc w:val="both"/>
        <w:rPr>
          <w:rFonts w:ascii="Times New Roman" w:hAnsi="Times New Roman"/>
          <w:color w:val="000000"/>
          <w:sz w:val="20"/>
          <w:szCs w:val="20"/>
        </w:rPr>
      </w:pPr>
      <w:r w:rsidRPr="00712F3C">
        <w:rPr>
          <w:rFonts w:ascii="Times New Roman" w:hAnsi="Times New Roman"/>
          <w:color w:val="000000"/>
          <w:sz w:val="20"/>
          <w:szCs w:val="20"/>
        </w:rPr>
        <w:t>Such roles as may be delegated by the Board and/or prescribed under the Companies Act, 2013 and SEBI Listing Regulations or other applicable law.</w:t>
      </w:r>
    </w:p>
    <w:p w14:paraId="295F691D" w14:textId="77777777" w:rsidR="00E35FCB" w:rsidRPr="00712F3C" w:rsidRDefault="00E35FCB" w:rsidP="00E35FCB">
      <w:pPr>
        <w:tabs>
          <w:tab w:val="left" w:pos="0"/>
        </w:tabs>
        <w:autoSpaceDE w:val="0"/>
        <w:autoSpaceDN w:val="0"/>
        <w:adjustRightInd w:val="0"/>
        <w:spacing w:after="0" w:line="240" w:lineRule="auto"/>
        <w:ind w:right="54"/>
        <w:jc w:val="both"/>
        <w:rPr>
          <w:rFonts w:ascii="Times New Roman" w:hAnsi="Times New Roman"/>
          <w:color w:val="000000"/>
          <w:sz w:val="20"/>
          <w:szCs w:val="20"/>
        </w:rPr>
      </w:pPr>
    </w:p>
    <w:p w14:paraId="4C50532E" w14:textId="77777777" w:rsidR="00E35FCB" w:rsidRPr="00712F3C" w:rsidRDefault="00E35FCB" w:rsidP="00E35FCB">
      <w:pPr>
        <w:tabs>
          <w:tab w:val="left" w:pos="0"/>
        </w:tabs>
        <w:autoSpaceDE w:val="0"/>
        <w:autoSpaceDN w:val="0"/>
        <w:adjustRightInd w:val="0"/>
        <w:spacing w:after="0" w:line="240" w:lineRule="auto"/>
        <w:ind w:right="54"/>
        <w:jc w:val="both"/>
        <w:rPr>
          <w:rFonts w:ascii="Times New Roman" w:hAnsi="Times New Roman"/>
          <w:color w:val="000000"/>
          <w:sz w:val="20"/>
          <w:szCs w:val="20"/>
        </w:rPr>
      </w:pPr>
      <w:r w:rsidRPr="00712F3C">
        <w:rPr>
          <w:rFonts w:ascii="Times New Roman" w:hAnsi="Times New Roman"/>
          <w:color w:val="000000"/>
          <w:sz w:val="20"/>
          <w:szCs w:val="20"/>
        </w:rPr>
        <w:t>Further, the Audit Committee shall mandatorily review the following:</w:t>
      </w:r>
    </w:p>
    <w:p w14:paraId="4093D6CA" w14:textId="77777777" w:rsidR="00E35FCB" w:rsidRPr="00712F3C" w:rsidRDefault="00E35FCB">
      <w:pPr>
        <w:numPr>
          <w:ilvl w:val="0"/>
          <w:numId w:val="184"/>
        </w:numPr>
        <w:tabs>
          <w:tab w:val="left" w:pos="0"/>
        </w:tabs>
        <w:autoSpaceDE w:val="0"/>
        <w:autoSpaceDN w:val="0"/>
        <w:adjustRightInd w:val="0"/>
        <w:spacing w:after="0" w:line="240" w:lineRule="auto"/>
        <w:ind w:right="54"/>
        <w:jc w:val="both"/>
        <w:rPr>
          <w:rFonts w:ascii="Times New Roman" w:hAnsi="Times New Roman"/>
          <w:color w:val="000000"/>
          <w:sz w:val="20"/>
          <w:szCs w:val="20"/>
        </w:rPr>
      </w:pPr>
      <w:r w:rsidRPr="00712F3C">
        <w:rPr>
          <w:rFonts w:ascii="Times New Roman" w:hAnsi="Times New Roman"/>
          <w:color w:val="000000"/>
          <w:sz w:val="20"/>
          <w:szCs w:val="20"/>
        </w:rPr>
        <w:t xml:space="preserve">management discussion and analysis of financial condition and results of operations; </w:t>
      </w:r>
    </w:p>
    <w:p w14:paraId="02A3DD60" w14:textId="77777777" w:rsidR="00E35FCB" w:rsidRPr="00712F3C" w:rsidRDefault="00E35FCB">
      <w:pPr>
        <w:numPr>
          <w:ilvl w:val="0"/>
          <w:numId w:val="184"/>
        </w:numPr>
        <w:tabs>
          <w:tab w:val="left" w:pos="0"/>
        </w:tabs>
        <w:autoSpaceDE w:val="0"/>
        <w:autoSpaceDN w:val="0"/>
        <w:adjustRightInd w:val="0"/>
        <w:spacing w:after="0" w:line="240" w:lineRule="auto"/>
        <w:ind w:right="54"/>
        <w:jc w:val="both"/>
        <w:rPr>
          <w:rFonts w:ascii="Times New Roman" w:hAnsi="Times New Roman"/>
          <w:color w:val="000000"/>
          <w:sz w:val="20"/>
          <w:szCs w:val="20"/>
        </w:rPr>
      </w:pPr>
      <w:r w:rsidRPr="00712F3C">
        <w:rPr>
          <w:rFonts w:ascii="Times New Roman" w:hAnsi="Times New Roman"/>
          <w:color w:val="000000"/>
          <w:sz w:val="20"/>
          <w:szCs w:val="20"/>
        </w:rPr>
        <w:t xml:space="preserve">statement of significant related party transactions (as defined by the audit committee), submitted by management; </w:t>
      </w:r>
    </w:p>
    <w:p w14:paraId="6370651E" w14:textId="77777777" w:rsidR="00E35FCB" w:rsidRPr="00712F3C" w:rsidRDefault="00E35FCB">
      <w:pPr>
        <w:numPr>
          <w:ilvl w:val="0"/>
          <w:numId w:val="184"/>
        </w:numPr>
        <w:tabs>
          <w:tab w:val="left" w:pos="0"/>
        </w:tabs>
        <w:autoSpaceDE w:val="0"/>
        <w:autoSpaceDN w:val="0"/>
        <w:adjustRightInd w:val="0"/>
        <w:spacing w:after="0" w:line="240" w:lineRule="auto"/>
        <w:ind w:right="54"/>
        <w:jc w:val="both"/>
        <w:rPr>
          <w:rFonts w:ascii="Times New Roman" w:hAnsi="Times New Roman"/>
          <w:color w:val="000000"/>
          <w:sz w:val="20"/>
          <w:szCs w:val="20"/>
        </w:rPr>
      </w:pPr>
      <w:r w:rsidRPr="00712F3C">
        <w:rPr>
          <w:rFonts w:ascii="Times New Roman" w:hAnsi="Times New Roman"/>
          <w:color w:val="000000"/>
          <w:sz w:val="20"/>
          <w:szCs w:val="20"/>
        </w:rPr>
        <w:t xml:space="preserve">management letters / letters of internal control weaknesses issued by the statutory auditors; </w:t>
      </w:r>
    </w:p>
    <w:p w14:paraId="69E42769" w14:textId="77777777" w:rsidR="00E35FCB" w:rsidRPr="00712F3C" w:rsidRDefault="00E35FCB">
      <w:pPr>
        <w:numPr>
          <w:ilvl w:val="0"/>
          <w:numId w:val="184"/>
        </w:numPr>
        <w:tabs>
          <w:tab w:val="left" w:pos="0"/>
        </w:tabs>
        <w:autoSpaceDE w:val="0"/>
        <w:autoSpaceDN w:val="0"/>
        <w:adjustRightInd w:val="0"/>
        <w:spacing w:after="0" w:line="240" w:lineRule="auto"/>
        <w:ind w:right="54"/>
        <w:jc w:val="both"/>
        <w:rPr>
          <w:rFonts w:ascii="Times New Roman" w:hAnsi="Times New Roman"/>
          <w:color w:val="000000"/>
          <w:sz w:val="20"/>
          <w:szCs w:val="20"/>
        </w:rPr>
      </w:pPr>
      <w:r w:rsidRPr="00712F3C">
        <w:rPr>
          <w:rFonts w:ascii="Times New Roman" w:hAnsi="Times New Roman"/>
          <w:color w:val="000000"/>
          <w:sz w:val="20"/>
          <w:szCs w:val="20"/>
        </w:rPr>
        <w:t xml:space="preserve">internal audit reports relating to internal control weaknesses;  </w:t>
      </w:r>
    </w:p>
    <w:p w14:paraId="70C8CD1F" w14:textId="77777777" w:rsidR="00E35FCB" w:rsidRPr="00712F3C" w:rsidRDefault="00E35FCB">
      <w:pPr>
        <w:numPr>
          <w:ilvl w:val="0"/>
          <w:numId w:val="184"/>
        </w:numPr>
        <w:tabs>
          <w:tab w:val="left" w:pos="0"/>
        </w:tabs>
        <w:autoSpaceDE w:val="0"/>
        <w:autoSpaceDN w:val="0"/>
        <w:adjustRightInd w:val="0"/>
        <w:spacing w:after="0" w:line="240" w:lineRule="auto"/>
        <w:ind w:right="54"/>
        <w:jc w:val="both"/>
        <w:rPr>
          <w:rFonts w:ascii="Times New Roman" w:hAnsi="Times New Roman"/>
          <w:color w:val="000000"/>
          <w:sz w:val="20"/>
          <w:szCs w:val="20"/>
        </w:rPr>
      </w:pPr>
      <w:r w:rsidRPr="00712F3C">
        <w:rPr>
          <w:rFonts w:ascii="Times New Roman" w:hAnsi="Times New Roman"/>
          <w:color w:val="000000"/>
          <w:sz w:val="20"/>
          <w:szCs w:val="20"/>
        </w:rPr>
        <w:t>the appointment, removal and terms of remuneration of the chief internal auditor shall be subject to review by the audit committee; and</w:t>
      </w:r>
    </w:p>
    <w:p w14:paraId="62720044" w14:textId="77777777" w:rsidR="00E35FCB" w:rsidRPr="00712F3C" w:rsidRDefault="00E35FCB">
      <w:pPr>
        <w:numPr>
          <w:ilvl w:val="0"/>
          <w:numId w:val="184"/>
        </w:numPr>
        <w:tabs>
          <w:tab w:val="left" w:pos="0"/>
        </w:tabs>
        <w:autoSpaceDE w:val="0"/>
        <w:autoSpaceDN w:val="0"/>
        <w:adjustRightInd w:val="0"/>
        <w:spacing w:after="0" w:line="240" w:lineRule="auto"/>
        <w:ind w:right="54"/>
        <w:jc w:val="both"/>
        <w:rPr>
          <w:rFonts w:ascii="Times New Roman" w:hAnsi="Times New Roman"/>
          <w:color w:val="000000"/>
          <w:sz w:val="20"/>
          <w:szCs w:val="20"/>
        </w:rPr>
      </w:pPr>
      <w:r w:rsidRPr="00712F3C">
        <w:rPr>
          <w:rFonts w:ascii="Times New Roman" w:hAnsi="Times New Roman"/>
          <w:color w:val="000000"/>
          <w:sz w:val="20"/>
          <w:szCs w:val="20"/>
        </w:rPr>
        <w:t xml:space="preserve">statement of deviations: </w:t>
      </w:r>
    </w:p>
    <w:p w14:paraId="4A812105" w14:textId="77777777" w:rsidR="00E35FCB" w:rsidRPr="00712F3C" w:rsidRDefault="00E35FCB">
      <w:pPr>
        <w:numPr>
          <w:ilvl w:val="1"/>
          <w:numId w:val="184"/>
        </w:numPr>
        <w:tabs>
          <w:tab w:val="left" w:pos="0"/>
        </w:tabs>
        <w:autoSpaceDE w:val="0"/>
        <w:autoSpaceDN w:val="0"/>
        <w:adjustRightInd w:val="0"/>
        <w:spacing w:after="0" w:line="240" w:lineRule="auto"/>
        <w:ind w:right="54"/>
        <w:jc w:val="both"/>
        <w:rPr>
          <w:rFonts w:ascii="Times New Roman" w:hAnsi="Times New Roman"/>
          <w:color w:val="000000"/>
          <w:sz w:val="20"/>
          <w:szCs w:val="20"/>
        </w:rPr>
      </w:pPr>
      <w:r w:rsidRPr="00712F3C">
        <w:rPr>
          <w:rFonts w:ascii="Times New Roman" w:hAnsi="Times New Roman"/>
          <w:color w:val="000000"/>
          <w:sz w:val="20"/>
          <w:szCs w:val="20"/>
        </w:rPr>
        <w:t>quarterly statement of deviation(s) including report of monitoring agency, if applicable, submitted to stock exchange(s) in terms of Regulation 32(1) of the SEBI ICDR Regulations;</w:t>
      </w:r>
    </w:p>
    <w:p w14:paraId="56DCA15E" w14:textId="77777777" w:rsidR="00E35FCB" w:rsidRPr="00712F3C" w:rsidRDefault="00E35FCB">
      <w:pPr>
        <w:numPr>
          <w:ilvl w:val="1"/>
          <w:numId w:val="184"/>
        </w:numPr>
        <w:tabs>
          <w:tab w:val="left" w:pos="0"/>
        </w:tabs>
        <w:autoSpaceDE w:val="0"/>
        <w:autoSpaceDN w:val="0"/>
        <w:adjustRightInd w:val="0"/>
        <w:spacing w:after="0" w:line="240" w:lineRule="auto"/>
        <w:ind w:right="54"/>
        <w:jc w:val="both"/>
        <w:rPr>
          <w:rFonts w:ascii="Times New Roman" w:hAnsi="Times New Roman"/>
          <w:color w:val="000000"/>
          <w:sz w:val="20"/>
          <w:szCs w:val="20"/>
        </w:rPr>
      </w:pPr>
      <w:r w:rsidRPr="00712F3C">
        <w:rPr>
          <w:rFonts w:ascii="Times New Roman" w:hAnsi="Times New Roman"/>
          <w:color w:val="000000"/>
          <w:sz w:val="20"/>
          <w:szCs w:val="20"/>
        </w:rPr>
        <w:t>Annual statement of funds utilized for purposes other than those stated in the offer document/prospectus/notice in terms of Regulation 32(7) of the SEBI ICDR Regulations.</w:t>
      </w:r>
    </w:p>
    <w:p w14:paraId="69278A35" w14:textId="77777777" w:rsidR="00E35FCB" w:rsidRPr="00712F3C" w:rsidRDefault="00E35FCB" w:rsidP="00E35FCB">
      <w:pPr>
        <w:autoSpaceDE w:val="0"/>
        <w:autoSpaceDN w:val="0"/>
        <w:adjustRightInd w:val="0"/>
        <w:spacing w:after="0" w:line="240" w:lineRule="auto"/>
        <w:ind w:right="54"/>
        <w:jc w:val="both"/>
        <w:rPr>
          <w:rFonts w:ascii="Times New Roman" w:hAnsi="Times New Roman"/>
          <w:b/>
          <w:bCs/>
          <w:color w:val="000000"/>
          <w:sz w:val="20"/>
          <w:szCs w:val="20"/>
        </w:rPr>
      </w:pPr>
    </w:p>
    <w:p w14:paraId="2CEE0525" w14:textId="77777777" w:rsidR="00E35FCB" w:rsidRPr="00712F3C" w:rsidRDefault="00E35FCB" w:rsidP="00E35FCB">
      <w:pPr>
        <w:pStyle w:val="ListParagraph"/>
        <w:numPr>
          <w:ilvl w:val="1"/>
          <w:numId w:val="77"/>
        </w:numPr>
        <w:suppressAutoHyphens w:val="0"/>
        <w:autoSpaceDE/>
        <w:autoSpaceDN/>
        <w:adjustRightInd/>
        <w:spacing w:line="240" w:lineRule="auto"/>
        <w:ind w:left="360"/>
        <w:contextualSpacing/>
        <w:textAlignment w:val="auto"/>
        <w:rPr>
          <w:b/>
          <w:bCs/>
          <w:sz w:val="20"/>
          <w:szCs w:val="20"/>
        </w:rPr>
      </w:pPr>
      <w:r w:rsidRPr="00712F3C">
        <w:rPr>
          <w:b/>
          <w:bCs/>
          <w:sz w:val="20"/>
          <w:szCs w:val="20"/>
        </w:rPr>
        <w:t>Stakeholders Relationship Committee</w:t>
      </w:r>
    </w:p>
    <w:p w14:paraId="424839E1" w14:textId="77777777" w:rsidR="00E35FCB" w:rsidRPr="00712F3C" w:rsidRDefault="00E35FCB" w:rsidP="00E35FCB">
      <w:pPr>
        <w:pStyle w:val="ListParagraph"/>
        <w:widowControl w:val="0"/>
        <w:spacing w:line="240" w:lineRule="auto"/>
        <w:ind w:left="360"/>
        <w:jc w:val="both"/>
        <w:rPr>
          <w:b/>
          <w:bCs/>
          <w:sz w:val="20"/>
          <w:szCs w:val="20"/>
        </w:rPr>
      </w:pPr>
    </w:p>
    <w:p w14:paraId="67E1339E" w14:textId="77777777" w:rsidR="00E35FCB" w:rsidRPr="00712F3C" w:rsidRDefault="00E35FCB" w:rsidP="00E35FCB">
      <w:pPr>
        <w:pStyle w:val="ListParagraph"/>
        <w:spacing w:line="240" w:lineRule="auto"/>
        <w:ind w:left="0"/>
        <w:jc w:val="both"/>
        <w:rPr>
          <w:bCs/>
          <w:sz w:val="20"/>
          <w:szCs w:val="20"/>
        </w:rPr>
      </w:pPr>
      <w:r w:rsidRPr="00712F3C">
        <w:rPr>
          <w:bCs/>
          <w:sz w:val="20"/>
          <w:szCs w:val="20"/>
        </w:rPr>
        <w:t>Our Company has formed an Stakeholders Relationship Committee vide Board Resolution dated</w:t>
      </w:r>
      <w:r w:rsidRPr="00712F3C">
        <w:rPr>
          <w:bCs/>
          <w:sz w:val="20"/>
          <w:szCs w:val="20"/>
          <w:lang w:val="en-US"/>
        </w:rPr>
        <w:t xml:space="preserve"> </w:t>
      </w:r>
      <w:r w:rsidRPr="00740D5C">
        <w:rPr>
          <w:sz w:val="20"/>
          <w:szCs w:val="20"/>
        </w:rPr>
        <w:t>August 24, 2023</w:t>
      </w:r>
      <w:r w:rsidRPr="00712F3C">
        <w:rPr>
          <w:sz w:val="20"/>
          <w:szCs w:val="20"/>
        </w:rPr>
        <w:t xml:space="preserve"> </w:t>
      </w:r>
      <w:r w:rsidRPr="00712F3C">
        <w:rPr>
          <w:bCs/>
          <w:sz w:val="20"/>
          <w:szCs w:val="20"/>
        </w:rPr>
        <w:t xml:space="preserve">as per the applicable provisions of the Section 178(5) of the Companies Act, 2013 read with rule 6 of the companies (Meeting of board and </w:t>
      </w:r>
      <w:r w:rsidRPr="00712F3C">
        <w:rPr>
          <w:bCs/>
          <w:sz w:val="20"/>
          <w:szCs w:val="20"/>
        </w:rPr>
        <w:lastRenderedPageBreak/>
        <w:t>its power) rules, 2014 and Regulation 20 of SEBI Listing Regulations. The Stakeholders Relationship Committee comprises following members:</w:t>
      </w:r>
    </w:p>
    <w:p w14:paraId="45862E28" w14:textId="77777777" w:rsidR="00E35FCB" w:rsidRPr="00712F3C" w:rsidRDefault="00E35FCB" w:rsidP="00E35FCB">
      <w:pPr>
        <w:pStyle w:val="ListParagraph"/>
        <w:spacing w:line="240" w:lineRule="auto"/>
        <w:ind w:left="0"/>
        <w:jc w:val="both"/>
        <w:rPr>
          <w:bCs/>
          <w:sz w:val="20"/>
          <w:szCs w:val="20"/>
        </w:rPr>
      </w:pPr>
    </w:p>
    <w:tbl>
      <w:tblPr>
        <w:tblW w:w="499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965"/>
        <w:gridCol w:w="2318"/>
        <w:gridCol w:w="4167"/>
      </w:tblGrid>
      <w:tr w:rsidR="00E35FCB" w:rsidRPr="00712F3C" w14:paraId="7846DCB0" w14:textId="77777777" w:rsidTr="00250DAC">
        <w:trPr>
          <w:trHeight w:val="20"/>
        </w:trPr>
        <w:tc>
          <w:tcPr>
            <w:tcW w:w="1897" w:type="pct"/>
            <w:shd w:val="clear" w:color="auto" w:fill="D0CECE" w:themeFill="background2" w:themeFillShade="E6"/>
          </w:tcPr>
          <w:p w14:paraId="47A594BD" w14:textId="77777777" w:rsidR="00E35FCB" w:rsidRPr="00712F3C" w:rsidRDefault="00E35FCB" w:rsidP="00250DAC">
            <w:pPr>
              <w:widowControl w:val="0"/>
              <w:autoSpaceDE w:val="0"/>
              <w:autoSpaceDN w:val="0"/>
              <w:adjustRightInd w:val="0"/>
              <w:spacing w:after="0" w:line="240" w:lineRule="auto"/>
              <w:ind w:left="95"/>
              <w:rPr>
                <w:rFonts w:ascii="Times New Roman" w:hAnsi="Times New Roman"/>
                <w:sz w:val="20"/>
                <w:szCs w:val="20"/>
              </w:rPr>
            </w:pPr>
            <w:r w:rsidRPr="00712F3C">
              <w:rPr>
                <w:rFonts w:ascii="Times New Roman" w:hAnsi="Times New Roman"/>
                <w:b/>
                <w:bCs/>
                <w:sz w:val="20"/>
                <w:szCs w:val="20"/>
              </w:rPr>
              <w:t xml:space="preserve"> Name of the Director</w:t>
            </w:r>
          </w:p>
        </w:tc>
        <w:tc>
          <w:tcPr>
            <w:tcW w:w="1109" w:type="pct"/>
            <w:shd w:val="clear" w:color="auto" w:fill="D0CECE" w:themeFill="background2" w:themeFillShade="E6"/>
            <w:vAlign w:val="center"/>
          </w:tcPr>
          <w:p w14:paraId="3647F931" w14:textId="77777777" w:rsidR="00E35FCB" w:rsidRPr="00712F3C" w:rsidRDefault="00E35FCB" w:rsidP="00250DAC">
            <w:pPr>
              <w:widowControl w:val="0"/>
              <w:autoSpaceDE w:val="0"/>
              <w:autoSpaceDN w:val="0"/>
              <w:adjustRightInd w:val="0"/>
              <w:spacing w:after="0" w:line="240" w:lineRule="auto"/>
              <w:ind w:left="73"/>
              <w:jc w:val="center"/>
              <w:rPr>
                <w:rFonts w:ascii="Times New Roman" w:hAnsi="Times New Roman"/>
                <w:sz w:val="20"/>
                <w:szCs w:val="20"/>
              </w:rPr>
            </w:pPr>
            <w:r w:rsidRPr="00712F3C">
              <w:rPr>
                <w:rFonts w:ascii="Times New Roman" w:hAnsi="Times New Roman"/>
                <w:b/>
                <w:bCs/>
                <w:sz w:val="20"/>
                <w:szCs w:val="20"/>
              </w:rPr>
              <w:t>Status in Committee</w:t>
            </w:r>
          </w:p>
        </w:tc>
        <w:tc>
          <w:tcPr>
            <w:tcW w:w="1994" w:type="pct"/>
            <w:shd w:val="clear" w:color="auto" w:fill="D0CECE" w:themeFill="background2" w:themeFillShade="E6"/>
            <w:vAlign w:val="center"/>
          </w:tcPr>
          <w:p w14:paraId="022FA12D" w14:textId="77777777" w:rsidR="00E35FCB" w:rsidRPr="00712F3C" w:rsidRDefault="00E35FCB" w:rsidP="00250DAC">
            <w:pPr>
              <w:widowControl w:val="0"/>
              <w:autoSpaceDE w:val="0"/>
              <w:autoSpaceDN w:val="0"/>
              <w:adjustRightInd w:val="0"/>
              <w:spacing w:after="0" w:line="240" w:lineRule="auto"/>
              <w:ind w:left="74"/>
              <w:jc w:val="center"/>
              <w:rPr>
                <w:rFonts w:ascii="Times New Roman" w:hAnsi="Times New Roman"/>
                <w:sz w:val="20"/>
                <w:szCs w:val="20"/>
              </w:rPr>
            </w:pPr>
            <w:r w:rsidRPr="00712F3C">
              <w:rPr>
                <w:rFonts w:ascii="Times New Roman" w:hAnsi="Times New Roman"/>
                <w:b/>
                <w:bCs/>
                <w:sz w:val="20"/>
                <w:szCs w:val="20"/>
              </w:rPr>
              <w:t>Nature of Directorship</w:t>
            </w:r>
          </w:p>
        </w:tc>
      </w:tr>
      <w:tr w:rsidR="00E35FCB" w:rsidRPr="00712F3C" w14:paraId="50DFFCFC" w14:textId="77777777" w:rsidTr="00250DAC">
        <w:trPr>
          <w:trHeight w:val="20"/>
        </w:trPr>
        <w:tc>
          <w:tcPr>
            <w:tcW w:w="1897" w:type="pct"/>
            <w:shd w:val="clear" w:color="auto" w:fill="FFFFFF"/>
          </w:tcPr>
          <w:p w14:paraId="518D459F" w14:textId="77777777" w:rsidR="00E35FCB" w:rsidRPr="00712F3C" w:rsidRDefault="00E35FCB" w:rsidP="00250DAC">
            <w:pPr>
              <w:spacing w:after="0" w:line="240" w:lineRule="auto"/>
              <w:ind w:firstLine="95"/>
              <w:jc w:val="both"/>
              <w:rPr>
                <w:rFonts w:ascii="Times New Roman" w:hAnsi="Times New Roman"/>
                <w:sz w:val="20"/>
                <w:szCs w:val="20"/>
              </w:rPr>
            </w:pPr>
            <w:r w:rsidRPr="00777FDC">
              <w:rPr>
                <w:rFonts w:ascii="Times New Roman" w:eastAsia="MS Mincho" w:hAnsi="Times New Roman"/>
                <w:sz w:val="20"/>
                <w:szCs w:val="20"/>
                <w:lang w:val="en-GB"/>
              </w:rPr>
              <w:t xml:space="preserve">Raimeen Bhanubhai Maradiya </w:t>
            </w:r>
          </w:p>
        </w:tc>
        <w:tc>
          <w:tcPr>
            <w:tcW w:w="1109" w:type="pct"/>
            <w:shd w:val="clear" w:color="auto" w:fill="FFFFFF"/>
            <w:vAlign w:val="center"/>
          </w:tcPr>
          <w:p w14:paraId="33B4D515" w14:textId="77777777" w:rsidR="00E35FCB" w:rsidRPr="00712F3C" w:rsidRDefault="00E35FCB" w:rsidP="00250DAC">
            <w:pPr>
              <w:pStyle w:val="NoSpacing"/>
              <w:spacing w:line="240" w:lineRule="auto"/>
              <w:ind w:left="95"/>
              <w:contextualSpacing/>
              <w:jc w:val="center"/>
              <w:rPr>
                <w:color w:val="auto"/>
              </w:rPr>
            </w:pPr>
            <w:r w:rsidRPr="00712F3C">
              <w:rPr>
                <w:color w:val="auto"/>
              </w:rPr>
              <w:t>Chairman</w:t>
            </w:r>
          </w:p>
        </w:tc>
        <w:tc>
          <w:tcPr>
            <w:tcW w:w="1994" w:type="pct"/>
            <w:shd w:val="clear" w:color="auto" w:fill="FFFFFF"/>
            <w:vAlign w:val="center"/>
          </w:tcPr>
          <w:p w14:paraId="3B5F44D2" w14:textId="77777777" w:rsidR="00E35FCB" w:rsidRPr="00712F3C" w:rsidRDefault="00E35FCB" w:rsidP="00250DAC">
            <w:pPr>
              <w:pStyle w:val="NoSpacing"/>
              <w:spacing w:line="240" w:lineRule="auto"/>
              <w:ind w:left="95"/>
              <w:contextualSpacing/>
              <w:jc w:val="center"/>
              <w:rPr>
                <w:color w:val="auto"/>
              </w:rPr>
            </w:pPr>
            <w:r w:rsidRPr="00712F3C">
              <w:rPr>
                <w:color w:val="auto"/>
              </w:rPr>
              <w:t>Independent Director</w:t>
            </w:r>
          </w:p>
        </w:tc>
      </w:tr>
      <w:tr w:rsidR="00E35FCB" w:rsidRPr="00712F3C" w14:paraId="0DA9F3A0" w14:textId="77777777" w:rsidTr="00250DAC">
        <w:trPr>
          <w:trHeight w:val="20"/>
        </w:trPr>
        <w:tc>
          <w:tcPr>
            <w:tcW w:w="1897" w:type="pct"/>
            <w:shd w:val="clear" w:color="auto" w:fill="FFFFFF"/>
          </w:tcPr>
          <w:p w14:paraId="3BF94170" w14:textId="77777777" w:rsidR="00E35FCB" w:rsidRPr="00712F3C" w:rsidRDefault="00E35FCB" w:rsidP="00250DAC">
            <w:pPr>
              <w:spacing w:after="0" w:line="240" w:lineRule="auto"/>
              <w:ind w:firstLine="95"/>
              <w:jc w:val="both"/>
              <w:rPr>
                <w:rFonts w:ascii="Times New Roman" w:hAnsi="Times New Roman"/>
                <w:sz w:val="20"/>
                <w:szCs w:val="20"/>
              </w:rPr>
            </w:pPr>
            <w:r w:rsidRPr="00777FDC">
              <w:rPr>
                <w:rFonts w:ascii="Times New Roman" w:eastAsia="MS Mincho" w:hAnsi="Times New Roman"/>
                <w:sz w:val="20"/>
                <w:szCs w:val="20"/>
                <w:lang w:val="en-GB"/>
              </w:rPr>
              <w:t>Jaimish Govindbhai Patel</w:t>
            </w:r>
          </w:p>
        </w:tc>
        <w:tc>
          <w:tcPr>
            <w:tcW w:w="1109" w:type="pct"/>
            <w:shd w:val="clear" w:color="auto" w:fill="FFFFFF"/>
            <w:vAlign w:val="center"/>
          </w:tcPr>
          <w:p w14:paraId="6450431F" w14:textId="77777777" w:rsidR="00E35FCB" w:rsidRPr="00712F3C" w:rsidRDefault="00E35FCB" w:rsidP="00250DAC">
            <w:pPr>
              <w:pStyle w:val="NoSpacing"/>
              <w:spacing w:line="240" w:lineRule="auto"/>
              <w:ind w:left="95"/>
              <w:contextualSpacing/>
              <w:jc w:val="center"/>
              <w:rPr>
                <w:color w:val="auto"/>
              </w:rPr>
            </w:pPr>
            <w:r w:rsidRPr="00712F3C">
              <w:rPr>
                <w:color w:val="auto"/>
              </w:rPr>
              <w:t>Member</w:t>
            </w:r>
          </w:p>
        </w:tc>
        <w:tc>
          <w:tcPr>
            <w:tcW w:w="1994" w:type="pct"/>
            <w:shd w:val="clear" w:color="auto" w:fill="FFFFFF"/>
            <w:vAlign w:val="center"/>
          </w:tcPr>
          <w:p w14:paraId="762BE981" w14:textId="77777777" w:rsidR="00E35FCB" w:rsidRPr="00712F3C" w:rsidRDefault="00E35FCB" w:rsidP="00250DAC">
            <w:pPr>
              <w:pStyle w:val="NoSpacing"/>
              <w:spacing w:line="240" w:lineRule="auto"/>
              <w:ind w:left="95"/>
              <w:contextualSpacing/>
              <w:jc w:val="center"/>
              <w:rPr>
                <w:color w:val="auto"/>
              </w:rPr>
            </w:pPr>
            <w:r w:rsidRPr="00712F3C">
              <w:rPr>
                <w:color w:val="auto"/>
                <w:lang w:val="en-US"/>
              </w:rPr>
              <w:t>Independent Director</w:t>
            </w:r>
          </w:p>
        </w:tc>
      </w:tr>
      <w:tr w:rsidR="00E35FCB" w:rsidRPr="00712F3C" w14:paraId="579A440B" w14:textId="77777777" w:rsidTr="00250DAC">
        <w:trPr>
          <w:trHeight w:val="20"/>
        </w:trPr>
        <w:tc>
          <w:tcPr>
            <w:tcW w:w="1897" w:type="pct"/>
            <w:shd w:val="clear" w:color="auto" w:fill="FFFFFF"/>
          </w:tcPr>
          <w:p w14:paraId="4BF3FB0B" w14:textId="77777777" w:rsidR="00E35FCB" w:rsidRPr="00712F3C" w:rsidRDefault="00E35FCB" w:rsidP="00250DAC">
            <w:pPr>
              <w:pStyle w:val="NoSpacing"/>
              <w:spacing w:line="240" w:lineRule="auto"/>
              <w:ind w:firstLine="95"/>
              <w:contextualSpacing/>
              <w:rPr>
                <w:color w:val="auto"/>
                <w:lang w:val="en-GB"/>
              </w:rPr>
            </w:pPr>
            <w:r w:rsidRPr="00777FDC">
              <w:rPr>
                <w:lang w:val="en-US"/>
              </w:rPr>
              <w:t>Madhu Ramgopal Maheshwari</w:t>
            </w:r>
          </w:p>
        </w:tc>
        <w:tc>
          <w:tcPr>
            <w:tcW w:w="1109" w:type="pct"/>
            <w:shd w:val="clear" w:color="auto" w:fill="FFFFFF"/>
            <w:vAlign w:val="center"/>
          </w:tcPr>
          <w:p w14:paraId="69F2BE7E" w14:textId="77777777" w:rsidR="00E35FCB" w:rsidRPr="00712F3C" w:rsidRDefault="00E35FCB" w:rsidP="00250DAC">
            <w:pPr>
              <w:pStyle w:val="NoSpacing"/>
              <w:spacing w:line="240" w:lineRule="auto"/>
              <w:ind w:left="95"/>
              <w:contextualSpacing/>
              <w:jc w:val="center"/>
              <w:rPr>
                <w:color w:val="auto"/>
              </w:rPr>
            </w:pPr>
            <w:r w:rsidRPr="00712F3C">
              <w:rPr>
                <w:color w:val="auto"/>
              </w:rPr>
              <w:t>Member</w:t>
            </w:r>
          </w:p>
        </w:tc>
        <w:tc>
          <w:tcPr>
            <w:tcW w:w="1994" w:type="pct"/>
            <w:shd w:val="clear" w:color="auto" w:fill="FFFFFF"/>
            <w:vAlign w:val="center"/>
          </w:tcPr>
          <w:p w14:paraId="2082DE63" w14:textId="77777777" w:rsidR="00E35FCB" w:rsidRPr="00712F3C" w:rsidRDefault="00E35FCB" w:rsidP="00250DAC">
            <w:pPr>
              <w:pStyle w:val="NoSpacing"/>
              <w:spacing w:line="240" w:lineRule="auto"/>
              <w:ind w:left="95"/>
              <w:contextualSpacing/>
              <w:jc w:val="center"/>
              <w:rPr>
                <w:color w:val="auto"/>
                <w:lang w:val="en-US"/>
              </w:rPr>
            </w:pPr>
            <w:r w:rsidRPr="00712F3C">
              <w:rPr>
                <w:color w:val="auto"/>
                <w:lang w:val="en-US"/>
              </w:rPr>
              <w:t>Non-Executive Director</w:t>
            </w:r>
          </w:p>
        </w:tc>
      </w:tr>
    </w:tbl>
    <w:p w14:paraId="54315028" w14:textId="77777777" w:rsidR="00E35FCB" w:rsidRPr="00712F3C" w:rsidRDefault="00E35FCB" w:rsidP="00E35FCB">
      <w:pPr>
        <w:autoSpaceDE w:val="0"/>
        <w:autoSpaceDN w:val="0"/>
        <w:adjustRightInd w:val="0"/>
        <w:spacing w:after="0" w:line="240" w:lineRule="auto"/>
        <w:ind w:right="54"/>
        <w:jc w:val="both"/>
        <w:rPr>
          <w:rFonts w:ascii="Times New Roman" w:hAnsi="Times New Roman"/>
          <w:color w:val="000000"/>
          <w:sz w:val="20"/>
          <w:szCs w:val="20"/>
        </w:rPr>
      </w:pPr>
    </w:p>
    <w:p w14:paraId="02DCF988" w14:textId="77777777" w:rsidR="00E35FCB" w:rsidRPr="00712F3C" w:rsidRDefault="00E35FCB" w:rsidP="00E35FCB">
      <w:pPr>
        <w:autoSpaceDE w:val="0"/>
        <w:autoSpaceDN w:val="0"/>
        <w:adjustRightInd w:val="0"/>
        <w:spacing w:after="0" w:line="240" w:lineRule="auto"/>
        <w:ind w:right="54"/>
        <w:jc w:val="both"/>
        <w:rPr>
          <w:rFonts w:ascii="Times New Roman" w:hAnsi="Times New Roman"/>
          <w:color w:val="000000"/>
          <w:sz w:val="20"/>
          <w:szCs w:val="20"/>
        </w:rPr>
      </w:pPr>
      <w:r w:rsidRPr="00712F3C">
        <w:rPr>
          <w:rFonts w:ascii="Times New Roman" w:hAnsi="Times New Roman"/>
          <w:color w:val="000000"/>
          <w:sz w:val="20"/>
          <w:szCs w:val="20"/>
        </w:rPr>
        <w:t xml:space="preserve">The scope and function of the </w:t>
      </w:r>
      <w:r w:rsidRPr="00712F3C">
        <w:rPr>
          <w:rFonts w:ascii="Times New Roman" w:hAnsi="Times New Roman"/>
          <w:bCs/>
          <w:color w:val="000000"/>
          <w:sz w:val="20"/>
          <w:szCs w:val="20"/>
        </w:rPr>
        <w:t xml:space="preserve">Committee </w:t>
      </w:r>
      <w:r w:rsidRPr="00712F3C">
        <w:rPr>
          <w:rFonts w:ascii="Times New Roman" w:hAnsi="Times New Roman"/>
          <w:color w:val="000000"/>
          <w:sz w:val="20"/>
          <w:szCs w:val="20"/>
        </w:rPr>
        <w:t>and its terms of reference shall include the following:</w:t>
      </w:r>
    </w:p>
    <w:p w14:paraId="725D9891" w14:textId="77777777" w:rsidR="00E35FCB" w:rsidRPr="00712F3C" w:rsidRDefault="00E35FCB" w:rsidP="00E35FCB">
      <w:pPr>
        <w:autoSpaceDE w:val="0"/>
        <w:autoSpaceDN w:val="0"/>
        <w:adjustRightInd w:val="0"/>
        <w:spacing w:after="0" w:line="240" w:lineRule="auto"/>
        <w:ind w:right="54"/>
        <w:jc w:val="both"/>
        <w:rPr>
          <w:rFonts w:ascii="Times New Roman" w:hAnsi="Times New Roman"/>
          <w:color w:val="000000"/>
          <w:sz w:val="20"/>
          <w:szCs w:val="20"/>
        </w:rPr>
      </w:pPr>
    </w:p>
    <w:p w14:paraId="0BB2DB6E" w14:textId="77777777" w:rsidR="00E35FCB" w:rsidRPr="00712F3C" w:rsidRDefault="00E35FCB">
      <w:pPr>
        <w:pStyle w:val="ListParagraph"/>
        <w:numPr>
          <w:ilvl w:val="0"/>
          <w:numId w:val="174"/>
        </w:numPr>
        <w:suppressAutoHyphens w:val="0"/>
        <w:adjustRightInd/>
        <w:spacing w:line="240" w:lineRule="auto"/>
        <w:ind w:left="426" w:right="54"/>
        <w:contextualSpacing/>
        <w:jc w:val="both"/>
        <w:textAlignment w:val="auto"/>
        <w:rPr>
          <w:b/>
          <w:bCs/>
          <w:sz w:val="20"/>
          <w:szCs w:val="20"/>
        </w:rPr>
      </w:pPr>
      <w:r w:rsidRPr="00712F3C">
        <w:rPr>
          <w:b/>
          <w:sz w:val="20"/>
          <w:szCs w:val="20"/>
        </w:rPr>
        <w:t>Tenure of the committee</w:t>
      </w:r>
      <w:r w:rsidRPr="00712F3C">
        <w:rPr>
          <w:b/>
          <w:bCs/>
          <w:sz w:val="20"/>
          <w:szCs w:val="20"/>
        </w:rPr>
        <w:t xml:space="preserve">: </w:t>
      </w:r>
    </w:p>
    <w:p w14:paraId="6798D2F7" w14:textId="77777777" w:rsidR="00E35FCB" w:rsidRPr="00712F3C" w:rsidRDefault="00E35FCB" w:rsidP="00E35FCB">
      <w:pPr>
        <w:pStyle w:val="ListParagraph"/>
        <w:suppressAutoHyphens w:val="0"/>
        <w:adjustRightInd/>
        <w:spacing w:line="240" w:lineRule="auto"/>
        <w:ind w:left="426" w:right="54"/>
        <w:contextualSpacing/>
        <w:jc w:val="both"/>
        <w:textAlignment w:val="auto"/>
        <w:rPr>
          <w:b/>
          <w:bCs/>
          <w:sz w:val="20"/>
          <w:szCs w:val="20"/>
        </w:rPr>
      </w:pPr>
      <w:r w:rsidRPr="00712F3C">
        <w:rPr>
          <w:sz w:val="20"/>
          <w:szCs w:val="20"/>
        </w:rPr>
        <w:t xml:space="preserve">The </w:t>
      </w:r>
      <w:r w:rsidRPr="00712F3C">
        <w:rPr>
          <w:bCs/>
          <w:sz w:val="20"/>
          <w:szCs w:val="20"/>
        </w:rPr>
        <w:t>Stakeholders Relationship Committee</w:t>
      </w:r>
      <w:r w:rsidRPr="00712F3C">
        <w:rPr>
          <w:bCs/>
          <w:sz w:val="20"/>
          <w:szCs w:val="20"/>
          <w:lang w:val="en-GB"/>
        </w:rPr>
        <w:t xml:space="preserve"> </w:t>
      </w:r>
      <w:r w:rsidRPr="00712F3C">
        <w:rPr>
          <w:sz w:val="20"/>
          <w:szCs w:val="20"/>
        </w:rPr>
        <w:t xml:space="preserve">shall continue to be in function as a committee of the Board until otherwise resolved by the Board, to carry out the functions of the </w:t>
      </w:r>
      <w:r w:rsidRPr="00712F3C">
        <w:rPr>
          <w:bCs/>
          <w:sz w:val="20"/>
          <w:szCs w:val="20"/>
        </w:rPr>
        <w:t>Stakeholders Relationship Committee</w:t>
      </w:r>
      <w:r w:rsidRPr="00712F3C">
        <w:rPr>
          <w:sz w:val="20"/>
          <w:szCs w:val="20"/>
        </w:rPr>
        <w:t xml:space="preserve"> as approved by the Board.</w:t>
      </w:r>
    </w:p>
    <w:p w14:paraId="6CE23CEC" w14:textId="77777777" w:rsidR="00E35FCB" w:rsidRPr="00712F3C" w:rsidRDefault="00E35FCB" w:rsidP="00E35FCB">
      <w:pPr>
        <w:pStyle w:val="ListParagraph"/>
        <w:spacing w:line="240" w:lineRule="auto"/>
        <w:ind w:right="54"/>
        <w:jc w:val="both"/>
        <w:rPr>
          <w:b/>
          <w:bCs/>
          <w:sz w:val="20"/>
          <w:szCs w:val="20"/>
        </w:rPr>
      </w:pPr>
    </w:p>
    <w:p w14:paraId="3E4818DA" w14:textId="77777777" w:rsidR="00E35FCB" w:rsidRPr="00712F3C" w:rsidRDefault="00E35FCB">
      <w:pPr>
        <w:pStyle w:val="ListParagraph"/>
        <w:numPr>
          <w:ilvl w:val="0"/>
          <w:numId w:val="174"/>
        </w:numPr>
        <w:suppressAutoHyphens w:val="0"/>
        <w:adjustRightInd/>
        <w:spacing w:line="240" w:lineRule="auto"/>
        <w:ind w:left="426" w:right="54"/>
        <w:contextualSpacing/>
        <w:jc w:val="both"/>
        <w:textAlignment w:val="auto"/>
        <w:rPr>
          <w:sz w:val="20"/>
          <w:szCs w:val="20"/>
        </w:rPr>
      </w:pPr>
      <w:r w:rsidRPr="00712F3C">
        <w:rPr>
          <w:b/>
          <w:sz w:val="20"/>
          <w:szCs w:val="20"/>
        </w:rPr>
        <w:t>Meetings of the committee</w:t>
      </w:r>
      <w:r w:rsidRPr="00712F3C">
        <w:rPr>
          <w:b/>
          <w:bCs/>
          <w:sz w:val="20"/>
          <w:szCs w:val="20"/>
        </w:rPr>
        <w:t xml:space="preserve">: </w:t>
      </w:r>
    </w:p>
    <w:p w14:paraId="6EEE4B6B" w14:textId="77777777" w:rsidR="00E35FCB" w:rsidRPr="00712F3C" w:rsidRDefault="00E35FCB" w:rsidP="00E35FCB">
      <w:pPr>
        <w:pStyle w:val="ListParagraph"/>
        <w:suppressAutoHyphens w:val="0"/>
        <w:adjustRightInd/>
        <w:spacing w:line="240" w:lineRule="auto"/>
        <w:ind w:left="426" w:right="54"/>
        <w:contextualSpacing/>
        <w:jc w:val="both"/>
        <w:textAlignment w:val="auto"/>
        <w:rPr>
          <w:sz w:val="20"/>
          <w:szCs w:val="20"/>
          <w:lang w:val="en-US"/>
        </w:rPr>
      </w:pPr>
      <w:r w:rsidRPr="00712F3C">
        <w:rPr>
          <w:sz w:val="20"/>
          <w:szCs w:val="20"/>
        </w:rPr>
        <w:t xml:space="preserve">The </w:t>
      </w:r>
      <w:r w:rsidRPr="00712F3C">
        <w:rPr>
          <w:bCs/>
          <w:sz w:val="20"/>
          <w:szCs w:val="20"/>
        </w:rPr>
        <w:t>Stakeholders Relationship Committee</w:t>
      </w:r>
      <w:r w:rsidRPr="00712F3C">
        <w:rPr>
          <w:sz w:val="20"/>
          <w:szCs w:val="20"/>
        </w:rPr>
        <w:t xml:space="preserve"> shall meet at least once a year and shall report to the Board on a quarterly basis regarding the status of redressal of complaints received from the shareholders of the Company.</w:t>
      </w:r>
      <w:r w:rsidRPr="00712F3C">
        <w:rPr>
          <w:sz w:val="20"/>
          <w:szCs w:val="20"/>
          <w:lang w:val="en-US"/>
        </w:rPr>
        <w:t xml:space="preserve"> The Chairman of the Stakeholders Relationship Committee shall be present at the Annual General Meeting to answer queries of the securities holders. The Quorum shall be two members present. </w:t>
      </w:r>
    </w:p>
    <w:p w14:paraId="46D03B1C" w14:textId="77777777" w:rsidR="00E35FCB" w:rsidRPr="00712F3C" w:rsidRDefault="00E35FCB" w:rsidP="00E35FCB">
      <w:pPr>
        <w:pStyle w:val="ListParagraph"/>
        <w:spacing w:line="240" w:lineRule="auto"/>
        <w:ind w:right="54"/>
        <w:jc w:val="both"/>
        <w:rPr>
          <w:sz w:val="20"/>
          <w:szCs w:val="20"/>
        </w:rPr>
      </w:pPr>
    </w:p>
    <w:p w14:paraId="3D788919" w14:textId="77777777" w:rsidR="00E35FCB" w:rsidRPr="00712F3C" w:rsidRDefault="00E35FCB">
      <w:pPr>
        <w:pStyle w:val="ListParagraph"/>
        <w:numPr>
          <w:ilvl w:val="0"/>
          <w:numId w:val="174"/>
        </w:numPr>
        <w:suppressAutoHyphens w:val="0"/>
        <w:adjustRightInd/>
        <w:spacing w:line="240" w:lineRule="auto"/>
        <w:ind w:left="426" w:right="54"/>
        <w:contextualSpacing/>
        <w:jc w:val="both"/>
        <w:textAlignment w:val="auto"/>
        <w:rPr>
          <w:sz w:val="20"/>
          <w:szCs w:val="20"/>
        </w:rPr>
      </w:pPr>
      <w:r w:rsidRPr="00712F3C">
        <w:rPr>
          <w:b/>
          <w:sz w:val="20"/>
          <w:szCs w:val="20"/>
        </w:rPr>
        <w:t>Terms</w:t>
      </w:r>
      <w:r w:rsidRPr="00712F3C">
        <w:rPr>
          <w:b/>
          <w:bCs/>
          <w:sz w:val="20"/>
          <w:szCs w:val="20"/>
        </w:rPr>
        <w:t xml:space="preserve"> of Reference: </w:t>
      </w:r>
    </w:p>
    <w:p w14:paraId="54305B73" w14:textId="77777777" w:rsidR="00E35FCB" w:rsidRPr="00712F3C" w:rsidRDefault="00E35FCB" w:rsidP="00E35FCB">
      <w:pPr>
        <w:pStyle w:val="ListParagraph"/>
        <w:suppressAutoHyphens w:val="0"/>
        <w:adjustRightInd/>
        <w:spacing w:line="240" w:lineRule="auto"/>
        <w:ind w:left="426" w:right="54"/>
        <w:contextualSpacing/>
        <w:jc w:val="both"/>
        <w:textAlignment w:val="auto"/>
        <w:rPr>
          <w:sz w:val="20"/>
          <w:szCs w:val="20"/>
        </w:rPr>
      </w:pPr>
      <w:r w:rsidRPr="00712F3C">
        <w:rPr>
          <w:sz w:val="20"/>
          <w:szCs w:val="20"/>
        </w:rPr>
        <w:t xml:space="preserve">The </w:t>
      </w:r>
      <w:r w:rsidRPr="00712F3C">
        <w:rPr>
          <w:sz w:val="20"/>
          <w:szCs w:val="20"/>
          <w:lang w:val="en-IN"/>
        </w:rPr>
        <w:t xml:space="preserve">role </w:t>
      </w:r>
      <w:r w:rsidRPr="00712F3C">
        <w:rPr>
          <w:sz w:val="20"/>
          <w:szCs w:val="20"/>
        </w:rPr>
        <w:t xml:space="preserve">of the Stakeholders Relationship Committee as per </w:t>
      </w:r>
      <w:r w:rsidRPr="00712F3C">
        <w:rPr>
          <w:sz w:val="20"/>
          <w:szCs w:val="20"/>
          <w:lang w:val="en-IN"/>
        </w:rPr>
        <w:t xml:space="preserve">Part D of Schedule II of the </w:t>
      </w:r>
      <w:r w:rsidRPr="00712F3C">
        <w:rPr>
          <w:sz w:val="20"/>
          <w:szCs w:val="20"/>
        </w:rPr>
        <w:t>SEBI Listing Regulations</w:t>
      </w:r>
      <w:r w:rsidRPr="00712F3C">
        <w:rPr>
          <w:sz w:val="20"/>
          <w:szCs w:val="20"/>
          <w:lang w:val="en-IN"/>
        </w:rPr>
        <w:t xml:space="preserve"> and </w:t>
      </w:r>
      <w:r w:rsidRPr="00712F3C">
        <w:rPr>
          <w:sz w:val="20"/>
          <w:szCs w:val="20"/>
        </w:rPr>
        <w:t>Companies Act, 2013 shall be as under:</w:t>
      </w:r>
    </w:p>
    <w:p w14:paraId="5E311CAC" w14:textId="77777777" w:rsidR="00E35FCB" w:rsidRPr="00712F3C" w:rsidRDefault="00E35FCB" w:rsidP="00E35FCB">
      <w:pPr>
        <w:spacing w:after="0" w:line="240" w:lineRule="auto"/>
        <w:jc w:val="both"/>
        <w:rPr>
          <w:rFonts w:ascii="Times New Roman" w:hAnsi="Times New Roman"/>
          <w:sz w:val="20"/>
          <w:szCs w:val="20"/>
        </w:rPr>
      </w:pPr>
    </w:p>
    <w:p w14:paraId="1D25E0C8" w14:textId="77777777" w:rsidR="00E35FCB" w:rsidRPr="00712F3C" w:rsidRDefault="00E35FCB">
      <w:pPr>
        <w:numPr>
          <w:ilvl w:val="0"/>
          <w:numId w:val="185"/>
        </w:numPr>
        <w:spacing w:after="0" w:line="240" w:lineRule="auto"/>
        <w:jc w:val="both"/>
        <w:rPr>
          <w:rFonts w:ascii="Times New Roman" w:hAnsi="Times New Roman"/>
          <w:bCs/>
          <w:sz w:val="20"/>
          <w:szCs w:val="20"/>
        </w:rPr>
      </w:pPr>
      <w:r w:rsidRPr="00712F3C">
        <w:rPr>
          <w:rFonts w:ascii="Times New Roman" w:hAnsi="Times New Roman"/>
          <w:bCs/>
          <w:sz w:val="20"/>
          <w:szCs w:val="20"/>
        </w:rPr>
        <w:t>Resolving the grievances of the security holders of the listed entity including complaints related to transfer/</w:t>
      </w:r>
      <w:r>
        <w:rPr>
          <w:rFonts w:ascii="Times New Roman" w:hAnsi="Times New Roman"/>
          <w:bCs/>
          <w:sz w:val="20"/>
          <w:szCs w:val="20"/>
        </w:rPr>
        <w:t xml:space="preserve"> </w:t>
      </w:r>
      <w:r w:rsidRPr="00712F3C">
        <w:rPr>
          <w:rFonts w:ascii="Times New Roman" w:hAnsi="Times New Roman"/>
          <w:bCs/>
          <w:sz w:val="20"/>
          <w:szCs w:val="20"/>
        </w:rPr>
        <w:t>transmission of shares, non-receipt of annual report, non-receipt of declared dividends, issue of new/duplicate certificates, general meetings etc.;</w:t>
      </w:r>
    </w:p>
    <w:p w14:paraId="512D1A84" w14:textId="77777777" w:rsidR="00E35FCB" w:rsidRPr="00712F3C" w:rsidRDefault="00E35FCB">
      <w:pPr>
        <w:numPr>
          <w:ilvl w:val="0"/>
          <w:numId w:val="185"/>
        </w:numPr>
        <w:spacing w:after="0" w:line="240" w:lineRule="auto"/>
        <w:jc w:val="both"/>
        <w:rPr>
          <w:rFonts w:ascii="Times New Roman" w:hAnsi="Times New Roman"/>
          <w:bCs/>
          <w:sz w:val="20"/>
          <w:szCs w:val="20"/>
        </w:rPr>
      </w:pPr>
      <w:r w:rsidRPr="00712F3C">
        <w:rPr>
          <w:rFonts w:ascii="Times New Roman" w:hAnsi="Times New Roman"/>
          <w:bCs/>
          <w:sz w:val="20"/>
          <w:szCs w:val="20"/>
        </w:rPr>
        <w:t>Review of measures taken for effective exercise of voting rights by shareholders;</w:t>
      </w:r>
    </w:p>
    <w:p w14:paraId="4A5F2D31" w14:textId="77777777" w:rsidR="00E35FCB" w:rsidRPr="00712F3C" w:rsidRDefault="00E35FCB">
      <w:pPr>
        <w:numPr>
          <w:ilvl w:val="0"/>
          <w:numId w:val="185"/>
        </w:numPr>
        <w:spacing w:after="0" w:line="240" w:lineRule="auto"/>
        <w:jc w:val="both"/>
        <w:rPr>
          <w:rFonts w:ascii="Times New Roman" w:hAnsi="Times New Roman"/>
          <w:bCs/>
          <w:sz w:val="20"/>
          <w:szCs w:val="20"/>
        </w:rPr>
      </w:pPr>
      <w:r w:rsidRPr="00712F3C">
        <w:rPr>
          <w:rFonts w:ascii="Times New Roman" w:hAnsi="Times New Roman"/>
          <w:bCs/>
          <w:sz w:val="20"/>
          <w:szCs w:val="20"/>
        </w:rPr>
        <w:t>Review of adherence to the service standards adopted by the listed entity in respect of various services being rendered by the Registrar &amp; Share Transfer Agent;</w:t>
      </w:r>
    </w:p>
    <w:p w14:paraId="40559894" w14:textId="77777777" w:rsidR="00E35FCB" w:rsidRPr="00712F3C" w:rsidRDefault="00E35FCB">
      <w:pPr>
        <w:numPr>
          <w:ilvl w:val="0"/>
          <w:numId w:val="185"/>
        </w:numPr>
        <w:spacing w:after="0" w:line="240" w:lineRule="auto"/>
        <w:jc w:val="both"/>
        <w:rPr>
          <w:rFonts w:ascii="Times New Roman" w:hAnsi="Times New Roman"/>
          <w:bCs/>
          <w:sz w:val="20"/>
          <w:szCs w:val="20"/>
        </w:rPr>
      </w:pPr>
      <w:r w:rsidRPr="00712F3C">
        <w:rPr>
          <w:rFonts w:ascii="Times New Roman" w:hAnsi="Times New Roman"/>
          <w:bCs/>
          <w:sz w:val="20"/>
          <w:szCs w:val="20"/>
        </w:rPr>
        <w:t>Review of the various measures and initiatives taken by the listed entity for reducing the quantum of unclaimed dividends and ensuring timely receipt of dividend warrants/ annual reports/ statutory notices by the shareholders of the company;</w:t>
      </w:r>
    </w:p>
    <w:p w14:paraId="2ECB2F32" w14:textId="77777777" w:rsidR="00E35FCB" w:rsidRPr="00712F3C" w:rsidRDefault="00E35FCB">
      <w:pPr>
        <w:numPr>
          <w:ilvl w:val="0"/>
          <w:numId w:val="185"/>
        </w:numPr>
        <w:spacing w:after="0" w:line="240" w:lineRule="auto"/>
        <w:jc w:val="both"/>
        <w:rPr>
          <w:rFonts w:ascii="Times New Roman" w:hAnsi="Times New Roman"/>
          <w:bCs/>
          <w:sz w:val="20"/>
          <w:szCs w:val="20"/>
        </w:rPr>
      </w:pPr>
      <w:r w:rsidRPr="00712F3C">
        <w:rPr>
          <w:rFonts w:ascii="Times New Roman" w:hAnsi="Times New Roman"/>
          <w:bCs/>
          <w:sz w:val="20"/>
          <w:szCs w:val="20"/>
        </w:rPr>
        <w:t>Allotment, transfer of shares including transmission, splitting of shares, changing joint holding into single holding and vice versa, issue of duplicate shares in lieu of those torn, destroyed, lost or defaced or where the space at back for recording transfers have been fully utilized;</w:t>
      </w:r>
    </w:p>
    <w:p w14:paraId="43DE6B4E" w14:textId="77777777" w:rsidR="00E35FCB" w:rsidRPr="00712F3C" w:rsidRDefault="00E35FCB">
      <w:pPr>
        <w:numPr>
          <w:ilvl w:val="0"/>
          <w:numId w:val="185"/>
        </w:numPr>
        <w:spacing w:after="0" w:line="240" w:lineRule="auto"/>
        <w:jc w:val="both"/>
        <w:rPr>
          <w:rFonts w:ascii="Times New Roman" w:hAnsi="Times New Roman"/>
          <w:bCs/>
          <w:sz w:val="20"/>
          <w:szCs w:val="20"/>
        </w:rPr>
      </w:pPr>
      <w:r w:rsidRPr="00712F3C">
        <w:rPr>
          <w:rFonts w:ascii="Times New Roman" w:hAnsi="Times New Roman"/>
          <w:bCs/>
          <w:sz w:val="20"/>
          <w:szCs w:val="20"/>
        </w:rPr>
        <w:t>Formulation of procedures in line with the statutory guidelines to ensure speedy disposal of various requests received from shareholders from time to time;</w:t>
      </w:r>
    </w:p>
    <w:p w14:paraId="46C75685" w14:textId="77777777" w:rsidR="00E35FCB" w:rsidRPr="00712F3C" w:rsidRDefault="00E35FCB">
      <w:pPr>
        <w:numPr>
          <w:ilvl w:val="0"/>
          <w:numId w:val="185"/>
        </w:numPr>
        <w:spacing w:after="0" w:line="240" w:lineRule="auto"/>
        <w:jc w:val="both"/>
        <w:rPr>
          <w:rFonts w:ascii="Times New Roman" w:hAnsi="Times New Roman"/>
          <w:bCs/>
          <w:sz w:val="20"/>
          <w:szCs w:val="20"/>
        </w:rPr>
      </w:pPr>
      <w:r w:rsidRPr="00712F3C">
        <w:rPr>
          <w:rFonts w:ascii="Times New Roman" w:hAnsi="Times New Roman"/>
          <w:bCs/>
          <w:sz w:val="20"/>
          <w:szCs w:val="20"/>
        </w:rPr>
        <w:t>To issue duplicate share or other security(ies) certificate(s) in lieu of the original share/security(ies) certificate(s) of the Company;</w:t>
      </w:r>
    </w:p>
    <w:p w14:paraId="684EF538" w14:textId="77777777" w:rsidR="00E35FCB" w:rsidRPr="00712F3C" w:rsidRDefault="00E35FCB">
      <w:pPr>
        <w:numPr>
          <w:ilvl w:val="0"/>
          <w:numId w:val="185"/>
        </w:numPr>
        <w:spacing w:after="0" w:line="240" w:lineRule="auto"/>
        <w:jc w:val="both"/>
        <w:rPr>
          <w:rFonts w:ascii="Times New Roman" w:hAnsi="Times New Roman"/>
          <w:bCs/>
          <w:sz w:val="20"/>
          <w:szCs w:val="20"/>
        </w:rPr>
      </w:pPr>
      <w:r w:rsidRPr="00712F3C">
        <w:rPr>
          <w:rFonts w:ascii="Times New Roman" w:hAnsi="Times New Roman"/>
          <w:bCs/>
          <w:sz w:val="20"/>
          <w:szCs w:val="20"/>
        </w:rPr>
        <w:t>Non-receipt of share certificate(s), non-receipt of declared dividends, non-receipt of interest/ dividend warrants, non-receipt of annual report and any other grievance/ complaints with Company or any officer of the Company arising out in discharge of his duties;</w:t>
      </w:r>
    </w:p>
    <w:p w14:paraId="38225B6E" w14:textId="77777777" w:rsidR="00E35FCB" w:rsidRPr="00712F3C" w:rsidRDefault="00E35FCB">
      <w:pPr>
        <w:numPr>
          <w:ilvl w:val="0"/>
          <w:numId w:val="185"/>
        </w:numPr>
        <w:spacing w:after="0" w:line="240" w:lineRule="auto"/>
        <w:jc w:val="both"/>
        <w:rPr>
          <w:rFonts w:ascii="Times New Roman" w:hAnsi="Times New Roman"/>
          <w:bCs/>
          <w:sz w:val="20"/>
          <w:szCs w:val="20"/>
        </w:rPr>
      </w:pPr>
      <w:r w:rsidRPr="00712F3C">
        <w:rPr>
          <w:rFonts w:ascii="Times New Roman" w:hAnsi="Times New Roman"/>
          <w:bCs/>
          <w:sz w:val="20"/>
          <w:szCs w:val="20"/>
        </w:rPr>
        <w:t>Oversee the performance of the Registrar &amp; Share Transfer Agent and also review and take note of complaints directly received and resolved them;</w:t>
      </w:r>
    </w:p>
    <w:p w14:paraId="191A6EFE" w14:textId="77777777" w:rsidR="00E35FCB" w:rsidRPr="00712F3C" w:rsidRDefault="00E35FCB">
      <w:pPr>
        <w:numPr>
          <w:ilvl w:val="0"/>
          <w:numId w:val="185"/>
        </w:numPr>
        <w:spacing w:after="0" w:line="240" w:lineRule="auto"/>
        <w:jc w:val="both"/>
        <w:rPr>
          <w:rFonts w:ascii="Times New Roman" w:hAnsi="Times New Roman"/>
          <w:bCs/>
          <w:sz w:val="20"/>
          <w:szCs w:val="20"/>
        </w:rPr>
      </w:pPr>
      <w:r w:rsidRPr="00712F3C">
        <w:rPr>
          <w:rFonts w:ascii="Times New Roman" w:hAnsi="Times New Roman"/>
          <w:bCs/>
          <w:sz w:val="20"/>
          <w:szCs w:val="20"/>
        </w:rPr>
        <w:t>Oversee the implementation and compliance of the Code of Conduct adopted by the Company for prevention of Insider Trading for Listed Companies as specified in the Securities &amp; Exchange Board of India (Prohibition of insider Trading) Regulations, 2015 as amended from time to time;</w:t>
      </w:r>
    </w:p>
    <w:p w14:paraId="2620CC8F" w14:textId="77777777" w:rsidR="00E35FCB" w:rsidRPr="00712F3C" w:rsidRDefault="00E35FCB">
      <w:pPr>
        <w:numPr>
          <w:ilvl w:val="0"/>
          <w:numId w:val="185"/>
        </w:numPr>
        <w:spacing w:after="0" w:line="240" w:lineRule="auto"/>
        <w:jc w:val="both"/>
        <w:rPr>
          <w:rFonts w:ascii="Times New Roman" w:hAnsi="Times New Roman"/>
          <w:bCs/>
          <w:sz w:val="20"/>
          <w:szCs w:val="20"/>
        </w:rPr>
      </w:pPr>
      <w:r w:rsidRPr="00712F3C">
        <w:rPr>
          <w:rFonts w:ascii="Times New Roman" w:hAnsi="Times New Roman"/>
          <w:bCs/>
          <w:sz w:val="20"/>
          <w:szCs w:val="20"/>
        </w:rPr>
        <w:t>Any other power specifically assigned by the Board of Directors of the Company from time to time by way of resolution passed by it in a duly conducted Meeting; and</w:t>
      </w:r>
    </w:p>
    <w:p w14:paraId="53544BF6" w14:textId="77777777" w:rsidR="00E35FCB" w:rsidRPr="00712F3C" w:rsidRDefault="00E35FCB">
      <w:pPr>
        <w:numPr>
          <w:ilvl w:val="0"/>
          <w:numId w:val="185"/>
        </w:numPr>
        <w:spacing w:after="0" w:line="240" w:lineRule="auto"/>
        <w:jc w:val="both"/>
        <w:rPr>
          <w:rFonts w:ascii="Times New Roman" w:hAnsi="Times New Roman"/>
          <w:bCs/>
          <w:sz w:val="20"/>
          <w:szCs w:val="20"/>
        </w:rPr>
      </w:pPr>
      <w:r w:rsidRPr="00712F3C">
        <w:rPr>
          <w:rFonts w:ascii="Times New Roman" w:hAnsi="Times New Roman"/>
          <w:bCs/>
          <w:sz w:val="20"/>
          <w:szCs w:val="20"/>
        </w:rPr>
        <w:t>Such roles as may be delegated by the Board and/ or prescribed under the Companies Act, 2013 and SEBI Listing Regulations or other applicable law.</w:t>
      </w:r>
    </w:p>
    <w:p w14:paraId="63F2F72E" w14:textId="77777777" w:rsidR="00E35FCB" w:rsidRPr="00712F3C" w:rsidRDefault="00E35FCB" w:rsidP="00E35FCB">
      <w:pPr>
        <w:pStyle w:val="ListParagraph"/>
        <w:widowControl w:val="0"/>
        <w:spacing w:line="240" w:lineRule="auto"/>
        <w:ind w:left="360"/>
        <w:jc w:val="both"/>
        <w:rPr>
          <w:sz w:val="20"/>
          <w:szCs w:val="20"/>
          <w:lang w:val="en-US"/>
        </w:rPr>
      </w:pPr>
    </w:p>
    <w:p w14:paraId="7B017F3E" w14:textId="77777777" w:rsidR="00E35FCB" w:rsidRPr="00712F3C" w:rsidRDefault="00E35FCB" w:rsidP="00E35FCB">
      <w:pPr>
        <w:pStyle w:val="ListParagraph"/>
        <w:widowControl w:val="0"/>
        <w:numPr>
          <w:ilvl w:val="1"/>
          <w:numId w:val="77"/>
        </w:numPr>
        <w:suppressAutoHyphens w:val="0"/>
        <w:spacing w:line="240" w:lineRule="auto"/>
        <w:ind w:left="360"/>
        <w:contextualSpacing/>
        <w:jc w:val="both"/>
        <w:textAlignment w:val="auto"/>
        <w:rPr>
          <w:b/>
          <w:bCs/>
          <w:sz w:val="20"/>
          <w:szCs w:val="20"/>
        </w:rPr>
      </w:pPr>
      <w:r w:rsidRPr="00712F3C">
        <w:rPr>
          <w:b/>
          <w:bCs/>
          <w:sz w:val="20"/>
          <w:szCs w:val="20"/>
        </w:rPr>
        <w:t>Nomination and Remuneration Committee</w:t>
      </w:r>
    </w:p>
    <w:p w14:paraId="037B5E12" w14:textId="77777777" w:rsidR="00E35FCB" w:rsidRPr="00712F3C" w:rsidRDefault="00E35FCB" w:rsidP="00E35FCB">
      <w:pPr>
        <w:pStyle w:val="ListParagraph"/>
        <w:widowControl w:val="0"/>
        <w:spacing w:line="240" w:lineRule="auto"/>
        <w:ind w:left="360"/>
        <w:jc w:val="both"/>
        <w:rPr>
          <w:b/>
          <w:bCs/>
          <w:sz w:val="20"/>
          <w:szCs w:val="20"/>
        </w:rPr>
      </w:pPr>
    </w:p>
    <w:p w14:paraId="2ED4856C" w14:textId="77777777" w:rsidR="00E35FCB" w:rsidRPr="00712F3C" w:rsidRDefault="00E35FCB" w:rsidP="00E35FCB">
      <w:pPr>
        <w:widowControl w:val="0"/>
        <w:autoSpaceDE w:val="0"/>
        <w:autoSpaceDN w:val="0"/>
        <w:adjustRightInd w:val="0"/>
        <w:spacing w:after="0" w:line="240" w:lineRule="auto"/>
        <w:jc w:val="both"/>
        <w:rPr>
          <w:rFonts w:ascii="Times New Roman" w:hAnsi="Times New Roman"/>
          <w:sz w:val="20"/>
          <w:szCs w:val="20"/>
        </w:rPr>
      </w:pPr>
      <w:r w:rsidRPr="00712F3C">
        <w:rPr>
          <w:rFonts w:ascii="Times New Roman" w:hAnsi="Times New Roman"/>
          <w:sz w:val="20"/>
          <w:szCs w:val="20"/>
        </w:rPr>
        <w:t xml:space="preserve">Our Company has formed a Nomination and Remuneration Committee vide Board Resolution dated </w:t>
      </w:r>
      <w:r w:rsidRPr="00740D5C">
        <w:rPr>
          <w:rFonts w:ascii="Times New Roman" w:hAnsi="Times New Roman"/>
          <w:color w:val="000000"/>
          <w:sz w:val="20"/>
          <w:szCs w:val="20"/>
        </w:rPr>
        <w:t>August 24, 2023</w:t>
      </w:r>
      <w:r w:rsidRPr="00712F3C">
        <w:rPr>
          <w:rFonts w:ascii="Times New Roman" w:hAnsi="Times New Roman"/>
          <w:color w:val="000000"/>
          <w:sz w:val="20"/>
          <w:szCs w:val="20"/>
        </w:rPr>
        <w:t xml:space="preserve"> </w:t>
      </w:r>
      <w:r w:rsidRPr="00712F3C">
        <w:rPr>
          <w:rFonts w:ascii="Times New Roman" w:hAnsi="Times New Roman"/>
          <w:sz w:val="20"/>
          <w:szCs w:val="20"/>
        </w:rPr>
        <w:t xml:space="preserve">as per the applicable provisions of the Schedule V and other applicable provisions of the Companies Act, 2013 read with rule 6 of the companies (Meeting of board and its power) rules, 2014 and Regulation 19 of SEBI Listing Regulations. The Nomination and Remuneration Committee comprises following members:      </w:t>
      </w:r>
    </w:p>
    <w:p w14:paraId="2A0F5282" w14:textId="77777777" w:rsidR="00E35FCB" w:rsidRPr="00712F3C" w:rsidRDefault="00E35FCB" w:rsidP="00E35FCB">
      <w:pPr>
        <w:widowControl w:val="0"/>
        <w:autoSpaceDE w:val="0"/>
        <w:autoSpaceDN w:val="0"/>
        <w:adjustRightInd w:val="0"/>
        <w:spacing w:after="0" w:line="240" w:lineRule="auto"/>
        <w:jc w:val="both"/>
        <w:rPr>
          <w:rFonts w:ascii="Times New Roman" w:hAnsi="Times New Roman"/>
          <w:sz w:val="20"/>
          <w:szCs w:val="20"/>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067"/>
        <w:gridCol w:w="2222"/>
        <w:gridCol w:w="4161"/>
      </w:tblGrid>
      <w:tr w:rsidR="00E35FCB" w:rsidRPr="00712F3C" w14:paraId="1A8584F2" w14:textId="77777777" w:rsidTr="00250DAC">
        <w:trPr>
          <w:trHeight w:val="20"/>
          <w:tblHeader/>
        </w:trPr>
        <w:tc>
          <w:tcPr>
            <w:tcW w:w="1946" w:type="pct"/>
            <w:shd w:val="clear" w:color="auto" w:fill="D0CECE" w:themeFill="background2" w:themeFillShade="E6"/>
            <w:vAlign w:val="center"/>
          </w:tcPr>
          <w:p w14:paraId="28DD09A3" w14:textId="77777777" w:rsidR="00E35FCB" w:rsidRPr="00712F3C" w:rsidRDefault="00E35FCB" w:rsidP="00250DAC">
            <w:pPr>
              <w:widowControl w:val="0"/>
              <w:autoSpaceDE w:val="0"/>
              <w:autoSpaceDN w:val="0"/>
              <w:adjustRightInd w:val="0"/>
              <w:spacing w:after="0" w:line="240" w:lineRule="auto"/>
              <w:ind w:left="95"/>
              <w:rPr>
                <w:rFonts w:ascii="Times New Roman" w:hAnsi="Times New Roman"/>
                <w:sz w:val="20"/>
                <w:szCs w:val="20"/>
              </w:rPr>
            </w:pPr>
            <w:r w:rsidRPr="00712F3C">
              <w:rPr>
                <w:rFonts w:ascii="Times New Roman" w:hAnsi="Times New Roman"/>
                <w:b/>
                <w:bCs/>
                <w:sz w:val="20"/>
                <w:szCs w:val="20"/>
              </w:rPr>
              <w:t>Name of the Director</w:t>
            </w:r>
          </w:p>
        </w:tc>
        <w:tc>
          <w:tcPr>
            <w:tcW w:w="1063" w:type="pct"/>
            <w:shd w:val="clear" w:color="auto" w:fill="D0CECE" w:themeFill="background2" w:themeFillShade="E6"/>
            <w:vAlign w:val="center"/>
          </w:tcPr>
          <w:p w14:paraId="42C785D6" w14:textId="77777777" w:rsidR="00E35FCB" w:rsidRPr="00712F3C" w:rsidRDefault="00E35FCB" w:rsidP="00250DAC">
            <w:pPr>
              <w:widowControl w:val="0"/>
              <w:autoSpaceDE w:val="0"/>
              <w:autoSpaceDN w:val="0"/>
              <w:adjustRightInd w:val="0"/>
              <w:spacing w:after="0" w:line="240" w:lineRule="auto"/>
              <w:ind w:left="73"/>
              <w:jc w:val="center"/>
              <w:rPr>
                <w:rFonts w:ascii="Times New Roman" w:hAnsi="Times New Roman"/>
                <w:sz w:val="20"/>
                <w:szCs w:val="20"/>
              </w:rPr>
            </w:pPr>
            <w:r w:rsidRPr="00712F3C">
              <w:rPr>
                <w:rFonts w:ascii="Times New Roman" w:hAnsi="Times New Roman"/>
                <w:b/>
                <w:bCs/>
                <w:sz w:val="20"/>
                <w:szCs w:val="20"/>
              </w:rPr>
              <w:t>Status in Committee</w:t>
            </w:r>
          </w:p>
        </w:tc>
        <w:tc>
          <w:tcPr>
            <w:tcW w:w="1991" w:type="pct"/>
            <w:shd w:val="clear" w:color="auto" w:fill="D0CECE" w:themeFill="background2" w:themeFillShade="E6"/>
            <w:vAlign w:val="center"/>
          </w:tcPr>
          <w:p w14:paraId="7B66317D" w14:textId="77777777" w:rsidR="00E35FCB" w:rsidRPr="00712F3C" w:rsidRDefault="00E35FCB" w:rsidP="00250DAC">
            <w:pPr>
              <w:widowControl w:val="0"/>
              <w:autoSpaceDE w:val="0"/>
              <w:autoSpaceDN w:val="0"/>
              <w:adjustRightInd w:val="0"/>
              <w:spacing w:after="0" w:line="240" w:lineRule="auto"/>
              <w:ind w:left="74"/>
              <w:jc w:val="center"/>
              <w:rPr>
                <w:rFonts w:ascii="Times New Roman" w:hAnsi="Times New Roman"/>
                <w:sz w:val="20"/>
                <w:szCs w:val="20"/>
              </w:rPr>
            </w:pPr>
            <w:r w:rsidRPr="00712F3C">
              <w:rPr>
                <w:rFonts w:ascii="Times New Roman" w:hAnsi="Times New Roman"/>
                <w:b/>
                <w:bCs/>
                <w:sz w:val="20"/>
                <w:szCs w:val="20"/>
              </w:rPr>
              <w:t>Nature of Directorship</w:t>
            </w:r>
          </w:p>
        </w:tc>
      </w:tr>
      <w:tr w:rsidR="00E35FCB" w:rsidRPr="00712F3C" w14:paraId="5D3F6932" w14:textId="77777777" w:rsidTr="00250DAC">
        <w:trPr>
          <w:trHeight w:val="20"/>
        </w:trPr>
        <w:tc>
          <w:tcPr>
            <w:tcW w:w="1946" w:type="pct"/>
            <w:shd w:val="clear" w:color="auto" w:fill="FFFFFF"/>
          </w:tcPr>
          <w:p w14:paraId="0F49E732" w14:textId="77777777" w:rsidR="00E35FCB" w:rsidRPr="00712F3C" w:rsidRDefault="00E35FCB" w:rsidP="00250DAC">
            <w:pPr>
              <w:spacing w:after="0" w:line="240" w:lineRule="auto"/>
              <w:ind w:firstLine="95"/>
              <w:jc w:val="both"/>
              <w:rPr>
                <w:rFonts w:ascii="Times New Roman" w:hAnsi="Times New Roman"/>
                <w:sz w:val="20"/>
                <w:szCs w:val="20"/>
              </w:rPr>
            </w:pPr>
            <w:r w:rsidRPr="00777FDC">
              <w:rPr>
                <w:rFonts w:ascii="Times New Roman" w:eastAsia="MS Mincho" w:hAnsi="Times New Roman"/>
                <w:sz w:val="20"/>
                <w:szCs w:val="20"/>
                <w:lang w:val="en-GB"/>
              </w:rPr>
              <w:t>Jaimish Govindbhai Patel</w:t>
            </w:r>
          </w:p>
        </w:tc>
        <w:tc>
          <w:tcPr>
            <w:tcW w:w="1063" w:type="pct"/>
            <w:shd w:val="clear" w:color="auto" w:fill="FFFFFF"/>
            <w:vAlign w:val="center"/>
          </w:tcPr>
          <w:p w14:paraId="2137343F" w14:textId="77777777" w:rsidR="00E35FCB" w:rsidRPr="00712F3C" w:rsidRDefault="00E35FCB" w:rsidP="00250DAC">
            <w:pPr>
              <w:pStyle w:val="NoSpacing"/>
              <w:spacing w:line="240" w:lineRule="auto"/>
              <w:ind w:left="95"/>
              <w:contextualSpacing/>
              <w:jc w:val="center"/>
              <w:rPr>
                <w:color w:val="auto"/>
              </w:rPr>
            </w:pPr>
            <w:r w:rsidRPr="00712F3C">
              <w:rPr>
                <w:color w:val="auto"/>
              </w:rPr>
              <w:t>Chairman</w:t>
            </w:r>
          </w:p>
        </w:tc>
        <w:tc>
          <w:tcPr>
            <w:tcW w:w="1991" w:type="pct"/>
            <w:shd w:val="clear" w:color="auto" w:fill="FFFFFF"/>
            <w:vAlign w:val="center"/>
          </w:tcPr>
          <w:p w14:paraId="5DDC0883" w14:textId="77777777" w:rsidR="00E35FCB" w:rsidRPr="00712F3C" w:rsidRDefault="00E35FCB" w:rsidP="00250DAC">
            <w:pPr>
              <w:pStyle w:val="NoSpacing"/>
              <w:spacing w:line="240" w:lineRule="auto"/>
              <w:ind w:left="95"/>
              <w:contextualSpacing/>
              <w:jc w:val="center"/>
              <w:rPr>
                <w:color w:val="auto"/>
              </w:rPr>
            </w:pPr>
            <w:r w:rsidRPr="00712F3C">
              <w:rPr>
                <w:color w:val="auto"/>
              </w:rPr>
              <w:t>Independent Director</w:t>
            </w:r>
          </w:p>
        </w:tc>
      </w:tr>
      <w:tr w:rsidR="00E35FCB" w:rsidRPr="00712F3C" w14:paraId="353684EB" w14:textId="77777777" w:rsidTr="00250DAC">
        <w:trPr>
          <w:trHeight w:val="20"/>
        </w:trPr>
        <w:tc>
          <w:tcPr>
            <w:tcW w:w="1946" w:type="pct"/>
            <w:shd w:val="clear" w:color="auto" w:fill="FFFFFF"/>
          </w:tcPr>
          <w:p w14:paraId="64B39AAC" w14:textId="77777777" w:rsidR="00E35FCB" w:rsidRPr="00712F3C" w:rsidRDefault="00E35FCB" w:rsidP="00250DAC">
            <w:pPr>
              <w:spacing w:after="0" w:line="240" w:lineRule="auto"/>
              <w:ind w:firstLine="95"/>
              <w:jc w:val="both"/>
              <w:rPr>
                <w:rFonts w:ascii="Times New Roman" w:hAnsi="Times New Roman"/>
                <w:sz w:val="20"/>
                <w:szCs w:val="20"/>
              </w:rPr>
            </w:pPr>
            <w:r w:rsidRPr="00777FDC">
              <w:rPr>
                <w:rFonts w:ascii="Times New Roman" w:eastAsia="MS Mincho" w:hAnsi="Times New Roman"/>
                <w:sz w:val="20"/>
                <w:szCs w:val="20"/>
                <w:lang w:val="en-GB"/>
              </w:rPr>
              <w:t>Raimeen Bhanubhai Maradiya</w:t>
            </w:r>
          </w:p>
        </w:tc>
        <w:tc>
          <w:tcPr>
            <w:tcW w:w="1063" w:type="pct"/>
            <w:shd w:val="clear" w:color="auto" w:fill="FFFFFF"/>
            <w:vAlign w:val="center"/>
          </w:tcPr>
          <w:p w14:paraId="5941ADD2" w14:textId="77777777" w:rsidR="00E35FCB" w:rsidRPr="00712F3C" w:rsidRDefault="00E35FCB" w:rsidP="00250DAC">
            <w:pPr>
              <w:pStyle w:val="NoSpacing"/>
              <w:spacing w:line="240" w:lineRule="auto"/>
              <w:ind w:left="95"/>
              <w:contextualSpacing/>
              <w:jc w:val="center"/>
              <w:rPr>
                <w:color w:val="auto"/>
              </w:rPr>
            </w:pPr>
            <w:r w:rsidRPr="00712F3C">
              <w:rPr>
                <w:color w:val="auto"/>
              </w:rPr>
              <w:t>Member</w:t>
            </w:r>
          </w:p>
        </w:tc>
        <w:tc>
          <w:tcPr>
            <w:tcW w:w="1991" w:type="pct"/>
            <w:shd w:val="clear" w:color="auto" w:fill="FFFFFF"/>
            <w:vAlign w:val="center"/>
          </w:tcPr>
          <w:p w14:paraId="47B63C5D" w14:textId="77777777" w:rsidR="00E35FCB" w:rsidRPr="00712F3C" w:rsidRDefault="00E35FCB" w:rsidP="00250DAC">
            <w:pPr>
              <w:pStyle w:val="NoSpacing"/>
              <w:spacing w:line="240" w:lineRule="auto"/>
              <w:ind w:left="95"/>
              <w:contextualSpacing/>
              <w:jc w:val="center"/>
              <w:rPr>
                <w:color w:val="auto"/>
              </w:rPr>
            </w:pPr>
            <w:r w:rsidRPr="00712F3C">
              <w:rPr>
                <w:color w:val="auto"/>
              </w:rPr>
              <w:t>Independent Director</w:t>
            </w:r>
          </w:p>
        </w:tc>
      </w:tr>
      <w:tr w:rsidR="00E35FCB" w:rsidRPr="00712F3C" w14:paraId="45FC3B09" w14:textId="77777777" w:rsidTr="00250DAC">
        <w:trPr>
          <w:trHeight w:val="20"/>
        </w:trPr>
        <w:tc>
          <w:tcPr>
            <w:tcW w:w="1946" w:type="pct"/>
            <w:shd w:val="clear" w:color="auto" w:fill="FFFFFF"/>
          </w:tcPr>
          <w:p w14:paraId="0795E9A4" w14:textId="77777777" w:rsidR="00E35FCB" w:rsidRPr="00712F3C" w:rsidRDefault="00E35FCB" w:rsidP="00250DAC">
            <w:pPr>
              <w:pStyle w:val="NoSpacing"/>
              <w:spacing w:line="240" w:lineRule="auto"/>
              <w:ind w:firstLine="95"/>
              <w:contextualSpacing/>
              <w:rPr>
                <w:color w:val="auto"/>
                <w:lang w:val="en-GB"/>
              </w:rPr>
            </w:pPr>
            <w:r w:rsidRPr="00777FDC">
              <w:rPr>
                <w:lang w:val="en-US"/>
              </w:rPr>
              <w:t>Madhu Ramgopal Maheshwari</w:t>
            </w:r>
          </w:p>
        </w:tc>
        <w:tc>
          <w:tcPr>
            <w:tcW w:w="1063" w:type="pct"/>
            <w:shd w:val="clear" w:color="auto" w:fill="FFFFFF"/>
            <w:vAlign w:val="center"/>
          </w:tcPr>
          <w:p w14:paraId="1D30E9E2" w14:textId="77777777" w:rsidR="00E35FCB" w:rsidRPr="00712F3C" w:rsidRDefault="00E35FCB" w:rsidP="00250DAC">
            <w:pPr>
              <w:pStyle w:val="NoSpacing"/>
              <w:spacing w:line="240" w:lineRule="auto"/>
              <w:ind w:left="95"/>
              <w:contextualSpacing/>
              <w:jc w:val="center"/>
              <w:rPr>
                <w:color w:val="auto"/>
              </w:rPr>
            </w:pPr>
            <w:r w:rsidRPr="00712F3C">
              <w:rPr>
                <w:color w:val="auto"/>
              </w:rPr>
              <w:t>Member</w:t>
            </w:r>
          </w:p>
        </w:tc>
        <w:tc>
          <w:tcPr>
            <w:tcW w:w="1991" w:type="pct"/>
            <w:shd w:val="clear" w:color="auto" w:fill="FFFFFF"/>
            <w:vAlign w:val="center"/>
          </w:tcPr>
          <w:p w14:paraId="78894A81" w14:textId="77777777" w:rsidR="00E35FCB" w:rsidRPr="00712F3C" w:rsidRDefault="00E35FCB" w:rsidP="00250DAC">
            <w:pPr>
              <w:pStyle w:val="NoSpacing"/>
              <w:spacing w:line="240" w:lineRule="auto"/>
              <w:ind w:left="95"/>
              <w:contextualSpacing/>
              <w:jc w:val="center"/>
              <w:rPr>
                <w:color w:val="auto"/>
              </w:rPr>
            </w:pPr>
            <w:r w:rsidRPr="00712F3C">
              <w:rPr>
                <w:color w:val="auto"/>
              </w:rPr>
              <w:t>Non-Executive Director</w:t>
            </w:r>
          </w:p>
        </w:tc>
      </w:tr>
    </w:tbl>
    <w:p w14:paraId="7871B1FD" w14:textId="77777777" w:rsidR="00E35FCB" w:rsidRPr="00712F3C" w:rsidRDefault="00E35FCB" w:rsidP="00E35FCB">
      <w:pPr>
        <w:autoSpaceDE w:val="0"/>
        <w:autoSpaceDN w:val="0"/>
        <w:adjustRightInd w:val="0"/>
        <w:spacing w:after="0" w:line="240" w:lineRule="auto"/>
        <w:ind w:right="54"/>
        <w:jc w:val="both"/>
        <w:rPr>
          <w:rFonts w:ascii="Times New Roman" w:hAnsi="Times New Roman"/>
          <w:color w:val="000000"/>
          <w:sz w:val="20"/>
          <w:szCs w:val="20"/>
        </w:rPr>
      </w:pPr>
    </w:p>
    <w:p w14:paraId="3CC6426D" w14:textId="77777777" w:rsidR="00E35FCB" w:rsidRPr="00712F3C" w:rsidRDefault="00E35FCB" w:rsidP="00E35FCB">
      <w:pPr>
        <w:autoSpaceDE w:val="0"/>
        <w:autoSpaceDN w:val="0"/>
        <w:adjustRightInd w:val="0"/>
        <w:spacing w:after="0" w:line="240" w:lineRule="auto"/>
        <w:ind w:right="54"/>
        <w:jc w:val="both"/>
        <w:rPr>
          <w:rFonts w:ascii="Times New Roman" w:hAnsi="Times New Roman"/>
          <w:color w:val="000000"/>
          <w:sz w:val="20"/>
          <w:szCs w:val="20"/>
        </w:rPr>
      </w:pPr>
      <w:r w:rsidRPr="00712F3C">
        <w:rPr>
          <w:rFonts w:ascii="Times New Roman" w:hAnsi="Times New Roman"/>
          <w:color w:val="000000"/>
          <w:sz w:val="20"/>
          <w:szCs w:val="20"/>
        </w:rPr>
        <w:t>The scope and function of the Committee and its terms of reference shall include the following:</w:t>
      </w:r>
    </w:p>
    <w:p w14:paraId="1F5770E1" w14:textId="77777777" w:rsidR="00E35FCB" w:rsidRPr="00712F3C" w:rsidRDefault="00E35FCB">
      <w:pPr>
        <w:pStyle w:val="ListParagraph"/>
        <w:widowControl w:val="0"/>
        <w:numPr>
          <w:ilvl w:val="2"/>
          <w:numId w:val="180"/>
        </w:numPr>
        <w:spacing w:line="240" w:lineRule="auto"/>
        <w:ind w:left="284" w:hanging="317"/>
        <w:jc w:val="both"/>
        <w:rPr>
          <w:sz w:val="20"/>
          <w:szCs w:val="20"/>
        </w:rPr>
      </w:pPr>
      <w:r w:rsidRPr="00712F3C">
        <w:rPr>
          <w:b/>
          <w:sz w:val="20"/>
          <w:szCs w:val="20"/>
        </w:rPr>
        <w:t xml:space="preserve">Tenure of the committee: </w:t>
      </w:r>
    </w:p>
    <w:p w14:paraId="78921990" w14:textId="77777777" w:rsidR="00E35FCB" w:rsidRPr="00712F3C" w:rsidRDefault="00E35FCB" w:rsidP="00E35FCB">
      <w:pPr>
        <w:pStyle w:val="ListParagraph"/>
        <w:widowControl w:val="0"/>
        <w:spacing w:line="240" w:lineRule="auto"/>
        <w:ind w:left="284"/>
        <w:jc w:val="both"/>
        <w:rPr>
          <w:sz w:val="20"/>
          <w:szCs w:val="20"/>
        </w:rPr>
      </w:pPr>
      <w:r w:rsidRPr="00712F3C">
        <w:rPr>
          <w:sz w:val="20"/>
          <w:szCs w:val="20"/>
        </w:rPr>
        <w:t>The Nomination and Remuneration Committee shall continue to be in function as a committee of the Board until otherwise resolved by the Board.</w:t>
      </w:r>
    </w:p>
    <w:p w14:paraId="17EBA180" w14:textId="77777777" w:rsidR="00E35FCB" w:rsidRPr="00712F3C" w:rsidRDefault="00E35FCB" w:rsidP="00E35FCB">
      <w:pPr>
        <w:widowControl w:val="0"/>
        <w:autoSpaceDE w:val="0"/>
        <w:autoSpaceDN w:val="0"/>
        <w:adjustRightInd w:val="0"/>
        <w:spacing w:after="0" w:line="240" w:lineRule="auto"/>
        <w:jc w:val="both"/>
        <w:rPr>
          <w:rFonts w:ascii="Times New Roman" w:hAnsi="Times New Roman"/>
          <w:sz w:val="20"/>
          <w:szCs w:val="20"/>
        </w:rPr>
      </w:pPr>
    </w:p>
    <w:p w14:paraId="459F6C76" w14:textId="77777777" w:rsidR="00E35FCB" w:rsidRPr="00712F3C" w:rsidRDefault="00E35FCB">
      <w:pPr>
        <w:pStyle w:val="ListParagraph"/>
        <w:widowControl w:val="0"/>
        <w:numPr>
          <w:ilvl w:val="2"/>
          <w:numId w:val="180"/>
        </w:numPr>
        <w:spacing w:line="240" w:lineRule="auto"/>
        <w:ind w:left="284" w:hanging="317"/>
        <w:jc w:val="both"/>
        <w:rPr>
          <w:sz w:val="20"/>
          <w:szCs w:val="20"/>
        </w:rPr>
      </w:pPr>
      <w:r w:rsidRPr="00712F3C">
        <w:rPr>
          <w:b/>
          <w:sz w:val="20"/>
          <w:szCs w:val="20"/>
        </w:rPr>
        <w:t>Meetings</w:t>
      </w:r>
      <w:r w:rsidRPr="00712F3C">
        <w:rPr>
          <w:b/>
          <w:sz w:val="20"/>
          <w:szCs w:val="20"/>
          <w:lang w:val="en-GB"/>
        </w:rPr>
        <w:t xml:space="preserve"> </w:t>
      </w:r>
      <w:r w:rsidRPr="00712F3C">
        <w:rPr>
          <w:b/>
          <w:sz w:val="20"/>
          <w:szCs w:val="20"/>
        </w:rPr>
        <w:t xml:space="preserve">of the committee: </w:t>
      </w:r>
    </w:p>
    <w:p w14:paraId="1010D737" w14:textId="77777777" w:rsidR="00E35FCB" w:rsidRPr="00712F3C" w:rsidRDefault="00E35FCB" w:rsidP="00E35FCB">
      <w:pPr>
        <w:pStyle w:val="ListParagraph"/>
        <w:widowControl w:val="0"/>
        <w:spacing w:line="240" w:lineRule="auto"/>
        <w:ind w:left="284"/>
        <w:jc w:val="both"/>
        <w:rPr>
          <w:sz w:val="20"/>
          <w:szCs w:val="20"/>
        </w:rPr>
      </w:pPr>
      <w:r w:rsidRPr="00712F3C">
        <w:rPr>
          <w:sz w:val="20"/>
          <w:szCs w:val="20"/>
        </w:rPr>
        <w:t xml:space="preserve">The committee shall meet as and when the need arises, subject to at least once in a year. The quorum for a meeting of the Nomination and Remuneration Committee shall be either two members or one third of the members of the committee, whichever is greater, including at least one independent director in attendance. The Chairman of the Nomination and Remuneration Committee is entitled to attend the general Meeting of the company to furnish clarifications to the shareholders on any matter relating to remuneration.     </w:t>
      </w:r>
    </w:p>
    <w:p w14:paraId="711D257B" w14:textId="77777777" w:rsidR="00E35FCB" w:rsidRPr="00712F3C" w:rsidRDefault="00E35FCB" w:rsidP="00E35FCB">
      <w:pPr>
        <w:widowControl w:val="0"/>
        <w:autoSpaceDE w:val="0"/>
        <w:autoSpaceDN w:val="0"/>
        <w:adjustRightInd w:val="0"/>
        <w:spacing w:after="0" w:line="240" w:lineRule="auto"/>
        <w:jc w:val="both"/>
        <w:rPr>
          <w:rFonts w:ascii="Times New Roman" w:hAnsi="Times New Roman"/>
          <w:b/>
          <w:sz w:val="20"/>
          <w:szCs w:val="20"/>
        </w:rPr>
      </w:pPr>
    </w:p>
    <w:p w14:paraId="0633CAFC" w14:textId="77777777" w:rsidR="00E35FCB" w:rsidRPr="00712F3C" w:rsidRDefault="00E35FCB">
      <w:pPr>
        <w:pStyle w:val="ListParagraph"/>
        <w:widowControl w:val="0"/>
        <w:numPr>
          <w:ilvl w:val="2"/>
          <w:numId w:val="180"/>
        </w:numPr>
        <w:spacing w:line="240" w:lineRule="auto"/>
        <w:ind w:left="284" w:hanging="317"/>
        <w:jc w:val="both"/>
        <w:rPr>
          <w:b/>
          <w:sz w:val="20"/>
          <w:szCs w:val="20"/>
        </w:rPr>
      </w:pPr>
      <w:r w:rsidRPr="00712F3C">
        <w:rPr>
          <w:b/>
          <w:sz w:val="20"/>
          <w:szCs w:val="20"/>
        </w:rPr>
        <w:t>Role of Terms of Reference:</w:t>
      </w:r>
    </w:p>
    <w:p w14:paraId="0BFEDD39" w14:textId="77777777" w:rsidR="00E35FCB" w:rsidRPr="00712F3C" w:rsidRDefault="00E35FCB" w:rsidP="00E35FCB">
      <w:pPr>
        <w:widowControl w:val="0"/>
        <w:autoSpaceDE w:val="0"/>
        <w:autoSpaceDN w:val="0"/>
        <w:adjustRightInd w:val="0"/>
        <w:spacing w:after="0" w:line="240" w:lineRule="auto"/>
        <w:ind w:left="284"/>
        <w:jc w:val="both"/>
        <w:rPr>
          <w:rFonts w:ascii="Times New Roman" w:hAnsi="Times New Roman"/>
          <w:sz w:val="20"/>
          <w:szCs w:val="20"/>
        </w:rPr>
      </w:pPr>
      <w:r w:rsidRPr="00712F3C">
        <w:rPr>
          <w:rFonts w:ascii="Times New Roman" w:hAnsi="Times New Roman"/>
          <w:sz w:val="20"/>
          <w:szCs w:val="20"/>
        </w:rPr>
        <w:t xml:space="preserve">The </w:t>
      </w:r>
      <w:r w:rsidRPr="00712F3C">
        <w:rPr>
          <w:rFonts w:ascii="Times New Roman" w:hAnsi="Times New Roman"/>
          <w:sz w:val="20"/>
          <w:szCs w:val="20"/>
          <w:lang w:val="en-IN"/>
        </w:rPr>
        <w:t xml:space="preserve">role </w:t>
      </w:r>
      <w:r w:rsidRPr="00712F3C">
        <w:rPr>
          <w:rFonts w:ascii="Times New Roman" w:hAnsi="Times New Roman"/>
          <w:sz w:val="20"/>
          <w:szCs w:val="20"/>
        </w:rPr>
        <w:t xml:space="preserve">of the Nomination and Remuneration Committee as per </w:t>
      </w:r>
      <w:r w:rsidRPr="00712F3C">
        <w:rPr>
          <w:rFonts w:ascii="Times New Roman" w:hAnsi="Times New Roman"/>
          <w:sz w:val="20"/>
          <w:szCs w:val="20"/>
          <w:lang w:val="en-IN"/>
        </w:rPr>
        <w:t xml:space="preserve">Part D of Schedule II of the </w:t>
      </w:r>
      <w:r w:rsidRPr="00712F3C">
        <w:rPr>
          <w:rFonts w:ascii="Times New Roman" w:hAnsi="Times New Roman"/>
          <w:sz w:val="20"/>
          <w:szCs w:val="20"/>
        </w:rPr>
        <w:t>SEBI Listing Regulations</w:t>
      </w:r>
      <w:r w:rsidRPr="00712F3C">
        <w:rPr>
          <w:rFonts w:ascii="Times New Roman" w:hAnsi="Times New Roman"/>
          <w:sz w:val="20"/>
          <w:szCs w:val="20"/>
          <w:lang w:val="en-IN"/>
        </w:rPr>
        <w:t xml:space="preserve"> and </w:t>
      </w:r>
      <w:r w:rsidRPr="00712F3C">
        <w:rPr>
          <w:rFonts w:ascii="Times New Roman" w:hAnsi="Times New Roman"/>
          <w:sz w:val="20"/>
          <w:szCs w:val="20"/>
        </w:rPr>
        <w:t>Companies Act, 2013 shall be as under:</w:t>
      </w:r>
    </w:p>
    <w:p w14:paraId="4B79859C" w14:textId="77777777" w:rsidR="00E35FCB" w:rsidRPr="00712F3C" w:rsidRDefault="00E35FCB" w:rsidP="00E35FCB">
      <w:pPr>
        <w:widowControl w:val="0"/>
        <w:autoSpaceDE w:val="0"/>
        <w:autoSpaceDN w:val="0"/>
        <w:adjustRightInd w:val="0"/>
        <w:spacing w:after="0" w:line="240" w:lineRule="auto"/>
        <w:ind w:left="284"/>
        <w:jc w:val="both"/>
        <w:rPr>
          <w:rFonts w:ascii="Times New Roman" w:hAnsi="Times New Roman"/>
          <w:b/>
          <w:sz w:val="20"/>
          <w:szCs w:val="20"/>
        </w:rPr>
      </w:pPr>
    </w:p>
    <w:p w14:paraId="10078A77" w14:textId="77777777" w:rsidR="00E35FCB" w:rsidRPr="00712F3C" w:rsidRDefault="00E35FCB">
      <w:pPr>
        <w:widowControl w:val="0"/>
        <w:numPr>
          <w:ilvl w:val="0"/>
          <w:numId w:val="186"/>
        </w:numPr>
        <w:autoSpaceDE w:val="0"/>
        <w:autoSpaceDN w:val="0"/>
        <w:adjustRightInd w:val="0"/>
        <w:spacing w:after="0" w:line="240" w:lineRule="auto"/>
        <w:jc w:val="both"/>
        <w:rPr>
          <w:rFonts w:ascii="Times New Roman" w:hAnsi="Times New Roman"/>
          <w:bCs/>
          <w:sz w:val="20"/>
          <w:szCs w:val="20"/>
        </w:rPr>
      </w:pPr>
      <w:r w:rsidRPr="00712F3C">
        <w:rPr>
          <w:rFonts w:ascii="Times New Roman" w:hAnsi="Times New Roman"/>
          <w:bCs/>
          <w:sz w:val="20"/>
          <w:szCs w:val="20"/>
        </w:rPr>
        <w:t xml:space="preserve">formulating the criteria for determining qualifications, positive attributes and independence of a director and recommend to the Board a policy relating to the remuneration of the directors, key managerial personnel and other employees; </w:t>
      </w:r>
    </w:p>
    <w:p w14:paraId="0C57B413" w14:textId="77777777" w:rsidR="00E35FCB" w:rsidRPr="00712F3C" w:rsidRDefault="00E35FCB">
      <w:pPr>
        <w:widowControl w:val="0"/>
        <w:numPr>
          <w:ilvl w:val="0"/>
          <w:numId w:val="186"/>
        </w:numPr>
        <w:autoSpaceDE w:val="0"/>
        <w:autoSpaceDN w:val="0"/>
        <w:adjustRightInd w:val="0"/>
        <w:spacing w:after="0" w:line="240" w:lineRule="auto"/>
        <w:jc w:val="both"/>
        <w:rPr>
          <w:rFonts w:ascii="Times New Roman" w:hAnsi="Times New Roman"/>
          <w:bCs/>
          <w:sz w:val="20"/>
          <w:szCs w:val="20"/>
        </w:rPr>
      </w:pPr>
      <w:r w:rsidRPr="00712F3C">
        <w:rPr>
          <w:rFonts w:ascii="Times New Roman" w:hAnsi="Times New Roman"/>
          <w:bCs/>
          <w:sz w:val="20"/>
          <w:szCs w:val="20"/>
        </w:rPr>
        <w:t xml:space="preserve">For the appointment of an independent director, the committee shall evaluate the balance of skills, knowledge and experience on the Board and on the basis of such evaluation, prepare a description of the role and capabilities required of an independent director. The person recommended to the board of directors of the Company for appointment as an independent director shall have the capabilities identified in such description. For the purpose of identifying suitable candidates, the Committee may: </w:t>
      </w:r>
    </w:p>
    <w:p w14:paraId="1BA40343" w14:textId="77777777" w:rsidR="00E35FCB" w:rsidRPr="00712F3C" w:rsidRDefault="00E35FCB">
      <w:pPr>
        <w:widowControl w:val="0"/>
        <w:numPr>
          <w:ilvl w:val="1"/>
          <w:numId w:val="186"/>
        </w:numPr>
        <w:autoSpaceDE w:val="0"/>
        <w:autoSpaceDN w:val="0"/>
        <w:adjustRightInd w:val="0"/>
        <w:spacing w:after="0" w:line="240" w:lineRule="auto"/>
        <w:jc w:val="both"/>
        <w:rPr>
          <w:rFonts w:ascii="Times New Roman" w:hAnsi="Times New Roman"/>
          <w:bCs/>
          <w:sz w:val="20"/>
          <w:szCs w:val="20"/>
        </w:rPr>
      </w:pPr>
      <w:r w:rsidRPr="00712F3C">
        <w:rPr>
          <w:rFonts w:ascii="Times New Roman" w:hAnsi="Times New Roman"/>
          <w:bCs/>
          <w:sz w:val="20"/>
          <w:szCs w:val="20"/>
        </w:rPr>
        <w:t xml:space="preserve">use the services of external agencies, if required; </w:t>
      </w:r>
    </w:p>
    <w:p w14:paraId="7E1DEA51" w14:textId="77777777" w:rsidR="00E35FCB" w:rsidRPr="00712F3C" w:rsidRDefault="00E35FCB">
      <w:pPr>
        <w:widowControl w:val="0"/>
        <w:numPr>
          <w:ilvl w:val="1"/>
          <w:numId w:val="186"/>
        </w:numPr>
        <w:autoSpaceDE w:val="0"/>
        <w:autoSpaceDN w:val="0"/>
        <w:adjustRightInd w:val="0"/>
        <w:spacing w:after="0" w:line="240" w:lineRule="auto"/>
        <w:jc w:val="both"/>
        <w:rPr>
          <w:rFonts w:ascii="Times New Roman" w:hAnsi="Times New Roman"/>
          <w:bCs/>
          <w:sz w:val="20"/>
          <w:szCs w:val="20"/>
        </w:rPr>
      </w:pPr>
      <w:r w:rsidRPr="00712F3C">
        <w:rPr>
          <w:rFonts w:ascii="Times New Roman" w:hAnsi="Times New Roman"/>
          <w:bCs/>
          <w:sz w:val="20"/>
          <w:szCs w:val="20"/>
        </w:rPr>
        <w:t xml:space="preserve">consider candidates from a wide range of backgrounds, having due regard to diversity; and </w:t>
      </w:r>
    </w:p>
    <w:p w14:paraId="5CB3227B" w14:textId="77777777" w:rsidR="00E35FCB" w:rsidRPr="00712F3C" w:rsidRDefault="00E35FCB">
      <w:pPr>
        <w:widowControl w:val="0"/>
        <w:numPr>
          <w:ilvl w:val="1"/>
          <w:numId w:val="186"/>
        </w:numPr>
        <w:autoSpaceDE w:val="0"/>
        <w:autoSpaceDN w:val="0"/>
        <w:adjustRightInd w:val="0"/>
        <w:spacing w:after="0" w:line="240" w:lineRule="auto"/>
        <w:jc w:val="both"/>
        <w:rPr>
          <w:rFonts w:ascii="Times New Roman" w:hAnsi="Times New Roman"/>
          <w:bCs/>
          <w:sz w:val="20"/>
          <w:szCs w:val="20"/>
        </w:rPr>
      </w:pPr>
      <w:r w:rsidRPr="00712F3C">
        <w:rPr>
          <w:rFonts w:ascii="Times New Roman" w:hAnsi="Times New Roman"/>
          <w:bCs/>
          <w:sz w:val="20"/>
          <w:szCs w:val="20"/>
        </w:rPr>
        <w:t xml:space="preserve">Consider the time commitments of the candidates. </w:t>
      </w:r>
    </w:p>
    <w:p w14:paraId="5F3EA8AA" w14:textId="77777777" w:rsidR="00E35FCB" w:rsidRPr="00712F3C" w:rsidRDefault="00E35FCB">
      <w:pPr>
        <w:widowControl w:val="0"/>
        <w:numPr>
          <w:ilvl w:val="0"/>
          <w:numId w:val="186"/>
        </w:numPr>
        <w:autoSpaceDE w:val="0"/>
        <w:autoSpaceDN w:val="0"/>
        <w:adjustRightInd w:val="0"/>
        <w:spacing w:after="0" w:line="240" w:lineRule="auto"/>
        <w:jc w:val="both"/>
        <w:rPr>
          <w:rFonts w:ascii="Times New Roman" w:hAnsi="Times New Roman"/>
          <w:bCs/>
          <w:sz w:val="20"/>
          <w:szCs w:val="20"/>
        </w:rPr>
      </w:pPr>
      <w:r w:rsidRPr="00712F3C">
        <w:rPr>
          <w:rFonts w:ascii="Times New Roman" w:hAnsi="Times New Roman"/>
          <w:bCs/>
          <w:sz w:val="20"/>
          <w:szCs w:val="20"/>
        </w:rPr>
        <w:t xml:space="preserve">formulation of criteria for evaluation of the performance of independent directors and the Board; </w:t>
      </w:r>
    </w:p>
    <w:p w14:paraId="01D975C0" w14:textId="77777777" w:rsidR="00E35FCB" w:rsidRPr="00712F3C" w:rsidRDefault="00E35FCB">
      <w:pPr>
        <w:widowControl w:val="0"/>
        <w:numPr>
          <w:ilvl w:val="0"/>
          <w:numId w:val="186"/>
        </w:numPr>
        <w:autoSpaceDE w:val="0"/>
        <w:autoSpaceDN w:val="0"/>
        <w:adjustRightInd w:val="0"/>
        <w:spacing w:after="0" w:line="240" w:lineRule="auto"/>
        <w:jc w:val="both"/>
        <w:rPr>
          <w:rFonts w:ascii="Times New Roman" w:hAnsi="Times New Roman"/>
          <w:bCs/>
          <w:sz w:val="20"/>
          <w:szCs w:val="20"/>
        </w:rPr>
      </w:pPr>
      <w:r w:rsidRPr="00712F3C">
        <w:rPr>
          <w:rFonts w:ascii="Times New Roman" w:hAnsi="Times New Roman"/>
          <w:bCs/>
          <w:sz w:val="20"/>
          <w:szCs w:val="20"/>
        </w:rPr>
        <w:t xml:space="preserve">devising a policy on diversity of our Board; </w:t>
      </w:r>
    </w:p>
    <w:p w14:paraId="0E87011F" w14:textId="77777777" w:rsidR="00E35FCB" w:rsidRPr="00712F3C" w:rsidRDefault="00E35FCB">
      <w:pPr>
        <w:widowControl w:val="0"/>
        <w:numPr>
          <w:ilvl w:val="0"/>
          <w:numId w:val="186"/>
        </w:numPr>
        <w:autoSpaceDE w:val="0"/>
        <w:autoSpaceDN w:val="0"/>
        <w:adjustRightInd w:val="0"/>
        <w:spacing w:after="0" w:line="240" w:lineRule="auto"/>
        <w:jc w:val="both"/>
        <w:rPr>
          <w:rFonts w:ascii="Times New Roman" w:hAnsi="Times New Roman"/>
          <w:bCs/>
          <w:sz w:val="20"/>
          <w:szCs w:val="20"/>
        </w:rPr>
      </w:pPr>
      <w:r w:rsidRPr="00712F3C">
        <w:rPr>
          <w:rFonts w:ascii="Times New Roman" w:hAnsi="Times New Roman"/>
          <w:bCs/>
          <w:sz w:val="20"/>
          <w:szCs w:val="20"/>
        </w:rPr>
        <w:t xml:space="preserve">identifying persons, who are qualified to become directors or who may be appointed in senior management in accordance with the criteria laid down, recommending to the Board their appointment and removal and carrying out evaluation of every director’s performance; </w:t>
      </w:r>
    </w:p>
    <w:p w14:paraId="6C42C8D8" w14:textId="77777777" w:rsidR="00E35FCB" w:rsidRPr="00712F3C" w:rsidRDefault="00E35FCB">
      <w:pPr>
        <w:widowControl w:val="0"/>
        <w:numPr>
          <w:ilvl w:val="0"/>
          <w:numId w:val="186"/>
        </w:numPr>
        <w:autoSpaceDE w:val="0"/>
        <w:autoSpaceDN w:val="0"/>
        <w:adjustRightInd w:val="0"/>
        <w:spacing w:after="0" w:line="240" w:lineRule="auto"/>
        <w:jc w:val="both"/>
        <w:rPr>
          <w:rFonts w:ascii="Times New Roman" w:hAnsi="Times New Roman"/>
          <w:bCs/>
          <w:sz w:val="20"/>
          <w:szCs w:val="20"/>
        </w:rPr>
      </w:pPr>
      <w:r w:rsidRPr="00712F3C">
        <w:rPr>
          <w:rFonts w:ascii="Times New Roman" w:hAnsi="Times New Roman"/>
          <w:bCs/>
          <w:sz w:val="20"/>
          <w:szCs w:val="20"/>
        </w:rPr>
        <w:t xml:space="preserve">determining whether to extend or continue the term of appointment of the independent director, on the basis of the report of performance evaluation of independent directors; </w:t>
      </w:r>
    </w:p>
    <w:p w14:paraId="591FFB5B" w14:textId="77777777" w:rsidR="00E35FCB" w:rsidRPr="00712F3C" w:rsidRDefault="00E35FCB">
      <w:pPr>
        <w:widowControl w:val="0"/>
        <w:numPr>
          <w:ilvl w:val="0"/>
          <w:numId w:val="186"/>
        </w:numPr>
        <w:autoSpaceDE w:val="0"/>
        <w:autoSpaceDN w:val="0"/>
        <w:adjustRightInd w:val="0"/>
        <w:spacing w:after="0" w:line="240" w:lineRule="auto"/>
        <w:jc w:val="both"/>
        <w:rPr>
          <w:rFonts w:ascii="Times New Roman" w:hAnsi="Times New Roman"/>
          <w:bCs/>
          <w:sz w:val="20"/>
          <w:szCs w:val="20"/>
        </w:rPr>
      </w:pPr>
      <w:r w:rsidRPr="00712F3C">
        <w:rPr>
          <w:rFonts w:ascii="Times New Roman" w:hAnsi="Times New Roman"/>
          <w:bCs/>
          <w:sz w:val="20"/>
          <w:szCs w:val="20"/>
        </w:rPr>
        <w:t xml:space="preserve">recommending remuneration of executive directors and any increase therein from time to time within the limit approved by the members of our Company; </w:t>
      </w:r>
    </w:p>
    <w:p w14:paraId="3AFAB9AF" w14:textId="77777777" w:rsidR="00E35FCB" w:rsidRPr="00712F3C" w:rsidRDefault="00E35FCB">
      <w:pPr>
        <w:widowControl w:val="0"/>
        <w:numPr>
          <w:ilvl w:val="0"/>
          <w:numId w:val="186"/>
        </w:numPr>
        <w:autoSpaceDE w:val="0"/>
        <w:autoSpaceDN w:val="0"/>
        <w:adjustRightInd w:val="0"/>
        <w:spacing w:after="0" w:line="240" w:lineRule="auto"/>
        <w:jc w:val="both"/>
        <w:rPr>
          <w:rFonts w:ascii="Times New Roman" w:hAnsi="Times New Roman"/>
          <w:bCs/>
          <w:sz w:val="20"/>
          <w:szCs w:val="20"/>
        </w:rPr>
      </w:pPr>
      <w:r w:rsidRPr="00712F3C">
        <w:rPr>
          <w:rFonts w:ascii="Times New Roman" w:hAnsi="Times New Roman"/>
          <w:bCs/>
          <w:sz w:val="20"/>
          <w:szCs w:val="20"/>
        </w:rPr>
        <w:t xml:space="preserve">recommending remuneration to non-executive directors in the form of sitting fees for attending meetings of the Board and its committees, remuneration for other services, commission on profits; </w:t>
      </w:r>
    </w:p>
    <w:p w14:paraId="3FB2506E" w14:textId="77777777" w:rsidR="00E35FCB" w:rsidRPr="00712F3C" w:rsidRDefault="00E35FCB">
      <w:pPr>
        <w:widowControl w:val="0"/>
        <w:numPr>
          <w:ilvl w:val="0"/>
          <w:numId w:val="186"/>
        </w:numPr>
        <w:autoSpaceDE w:val="0"/>
        <w:autoSpaceDN w:val="0"/>
        <w:adjustRightInd w:val="0"/>
        <w:spacing w:after="0" w:line="240" w:lineRule="auto"/>
        <w:jc w:val="both"/>
        <w:rPr>
          <w:rFonts w:ascii="Times New Roman" w:hAnsi="Times New Roman"/>
          <w:bCs/>
          <w:sz w:val="20"/>
          <w:szCs w:val="20"/>
        </w:rPr>
      </w:pPr>
      <w:r w:rsidRPr="00712F3C">
        <w:rPr>
          <w:rFonts w:ascii="Times New Roman" w:hAnsi="Times New Roman"/>
          <w:bCs/>
          <w:sz w:val="20"/>
          <w:szCs w:val="20"/>
        </w:rPr>
        <w:t xml:space="preserve">recommending to the Board, all remuneration, in whatever form, payable to senior management; </w:t>
      </w:r>
    </w:p>
    <w:p w14:paraId="36C46E58" w14:textId="77777777" w:rsidR="00E35FCB" w:rsidRPr="00712F3C" w:rsidRDefault="00E35FCB">
      <w:pPr>
        <w:widowControl w:val="0"/>
        <w:numPr>
          <w:ilvl w:val="0"/>
          <w:numId w:val="186"/>
        </w:numPr>
        <w:autoSpaceDE w:val="0"/>
        <w:autoSpaceDN w:val="0"/>
        <w:adjustRightInd w:val="0"/>
        <w:spacing w:after="0" w:line="240" w:lineRule="auto"/>
        <w:jc w:val="both"/>
        <w:rPr>
          <w:rFonts w:ascii="Times New Roman" w:hAnsi="Times New Roman"/>
          <w:bCs/>
          <w:sz w:val="20"/>
          <w:szCs w:val="20"/>
        </w:rPr>
      </w:pPr>
      <w:r w:rsidRPr="00712F3C">
        <w:rPr>
          <w:rFonts w:ascii="Times New Roman" w:hAnsi="Times New Roman"/>
          <w:bCs/>
          <w:sz w:val="20"/>
          <w:szCs w:val="20"/>
        </w:rPr>
        <w:t xml:space="preserve">performing such functions as are required to be performed by the compensation committee under the SEBI (Share Based Employee Benefits and Sweat Equity) Regulations, 2021, as amended; </w:t>
      </w:r>
    </w:p>
    <w:p w14:paraId="28C9EC67" w14:textId="77777777" w:rsidR="00E35FCB" w:rsidRPr="00712F3C" w:rsidRDefault="00E35FCB">
      <w:pPr>
        <w:widowControl w:val="0"/>
        <w:numPr>
          <w:ilvl w:val="0"/>
          <w:numId w:val="186"/>
        </w:numPr>
        <w:autoSpaceDE w:val="0"/>
        <w:autoSpaceDN w:val="0"/>
        <w:adjustRightInd w:val="0"/>
        <w:spacing w:after="0" w:line="240" w:lineRule="auto"/>
        <w:jc w:val="both"/>
        <w:rPr>
          <w:rFonts w:ascii="Times New Roman" w:hAnsi="Times New Roman"/>
          <w:bCs/>
          <w:sz w:val="20"/>
          <w:szCs w:val="20"/>
        </w:rPr>
      </w:pPr>
      <w:r w:rsidRPr="00712F3C">
        <w:rPr>
          <w:rFonts w:ascii="Times New Roman" w:hAnsi="Times New Roman"/>
          <w:bCs/>
          <w:sz w:val="20"/>
          <w:szCs w:val="20"/>
        </w:rPr>
        <w:t xml:space="preserve">engaging the services of any consultant/professional or other agency for the purpose of recommending compensation structure/policy; </w:t>
      </w:r>
    </w:p>
    <w:p w14:paraId="657EFB5D" w14:textId="77777777" w:rsidR="00E35FCB" w:rsidRPr="00712F3C" w:rsidRDefault="00E35FCB">
      <w:pPr>
        <w:widowControl w:val="0"/>
        <w:numPr>
          <w:ilvl w:val="0"/>
          <w:numId w:val="186"/>
        </w:numPr>
        <w:autoSpaceDE w:val="0"/>
        <w:autoSpaceDN w:val="0"/>
        <w:adjustRightInd w:val="0"/>
        <w:spacing w:after="0" w:line="240" w:lineRule="auto"/>
        <w:jc w:val="both"/>
        <w:rPr>
          <w:rFonts w:ascii="Times New Roman" w:hAnsi="Times New Roman"/>
          <w:bCs/>
          <w:sz w:val="20"/>
          <w:szCs w:val="20"/>
        </w:rPr>
      </w:pPr>
      <w:r w:rsidRPr="00712F3C">
        <w:rPr>
          <w:rFonts w:ascii="Times New Roman" w:hAnsi="Times New Roman"/>
          <w:bCs/>
          <w:sz w:val="20"/>
          <w:szCs w:val="20"/>
        </w:rPr>
        <w:t xml:space="preserve">analyzing, monitoring and reviewing various human resource and compensation matters; </w:t>
      </w:r>
    </w:p>
    <w:p w14:paraId="537E17B8" w14:textId="77777777" w:rsidR="00E35FCB" w:rsidRPr="00712F3C" w:rsidRDefault="00E35FCB">
      <w:pPr>
        <w:widowControl w:val="0"/>
        <w:numPr>
          <w:ilvl w:val="0"/>
          <w:numId w:val="186"/>
        </w:numPr>
        <w:autoSpaceDE w:val="0"/>
        <w:autoSpaceDN w:val="0"/>
        <w:adjustRightInd w:val="0"/>
        <w:spacing w:after="0" w:line="240" w:lineRule="auto"/>
        <w:jc w:val="both"/>
        <w:rPr>
          <w:rFonts w:ascii="Times New Roman" w:hAnsi="Times New Roman"/>
          <w:bCs/>
          <w:sz w:val="20"/>
          <w:szCs w:val="20"/>
        </w:rPr>
      </w:pPr>
      <w:r w:rsidRPr="00712F3C">
        <w:rPr>
          <w:rFonts w:ascii="Times New Roman" w:hAnsi="Times New Roman"/>
          <w:bCs/>
          <w:sz w:val="20"/>
          <w:szCs w:val="20"/>
        </w:rPr>
        <w:t xml:space="preserve">reviewing and approving compensation strategy from time to time in the context of the then current Indian market in accordance with applicable laws; </w:t>
      </w:r>
    </w:p>
    <w:p w14:paraId="2760CE21" w14:textId="77777777" w:rsidR="00E35FCB" w:rsidRPr="00712F3C" w:rsidRDefault="00E35FCB">
      <w:pPr>
        <w:widowControl w:val="0"/>
        <w:numPr>
          <w:ilvl w:val="0"/>
          <w:numId w:val="186"/>
        </w:numPr>
        <w:autoSpaceDE w:val="0"/>
        <w:autoSpaceDN w:val="0"/>
        <w:adjustRightInd w:val="0"/>
        <w:spacing w:after="0" w:line="240" w:lineRule="auto"/>
        <w:jc w:val="both"/>
        <w:rPr>
          <w:rFonts w:ascii="Times New Roman" w:hAnsi="Times New Roman"/>
          <w:bCs/>
          <w:sz w:val="20"/>
          <w:szCs w:val="20"/>
        </w:rPr>
      </w:pPr>
      <w:r w:rsidRPr="00712F3C">
        <w:rPr>
          <w:rFonts w:ascii="Times New Roman" w:hAnsi="Times New Roman"/>
          <w:bCs/>
          <w:sz w:val="20"/>
          <w:szCs w:val="20"/>
        </w:rPr>
        <w:t xml:space="preserve">framing suitable policies and systems to ensure that there is no violation, by an employee of any applicable laws in India or overseas, including: </w:t>
      </w:r>
    </w:p>
    <w:p w14:paraId="47D08B20" w14:textId="77777777" w:rsidR="00E35FCB" w:rsidRPr="00712F3C" w:rsidRDefault="00E35FCB">
      <w:pPr>
        <w:widowControl w:val="0"/>
        <w:numPr>
          <w:ilvl w:val="1"/>
          <w:numId w:val="186"/>
        </w:numPr>
        <w:autoSpaceDE w:val="0"/>
        <w:autoSpaceDN w:val="0"/>
        <w:adjustRightInd w:val="0"/>
        <w:spacing w:after="0" w:line="240" w:lineRule="auto"/>
        <w:jc w:val="both"/>
        <w:rPr>
          <w:rFonts w:ascii="Times New Roman" w:hAnsi="Times New Roman"/>
          <w:bCs/>
          <w:sz w:val="20"/>
          <w:szCs w:val="20"/>
        </w:rPr>
      </w:pPr>
      <w:r w:rsidRPr="00712F3C">
        <w:rPr>
          <w:rFonts w:ascii="Times New Roman" w:hAnsi="Times New Roman"/>
          <w:bCs/>
          <w:sz w:val="20"/>
          <w:szCs w:val="20"/>
        </w:rPr>
        <w:t xml:space="preserve">The SEBI (Prohibition of Insider Trading) Regulations, 2015, as amended; or </w:t>
      </w:r>
    </w:p>
    <w:p w14:paraId="26761AE0" w14:textId="77777777" w:rsidR="00E35FCB" w:rsidRPr="00712F3C" w:rsidRDefault="00E35FCB">
      <w:pPr>
        <w:widowControl w:val="0"/>
        <w:numPr>
          <w:ilvl w:val="1"/>
          <w:numId w:val="186"/>
        </w:numPr>
        <w:autoSpaceDE w:val="0"/>
        <w:autoSpaceDN w:val="0"/>
        <w:adjustRightInd w:val="0"/>
        <w:spacing w:after="0" w:line="240" w:lineRule="auto"/>
        <w:jc w:val="both"/>
        <w:rPr>
          <w:rFonts w:ascii="Times New Roman" w:hAnsi="Times New Roman"/>
          <w:bCs/>
          <w:sz w:val="20"/>
          <w:szCs w:val="20"/>
        </w:rPr>
      </w:pPr>
      <w:r w:rsidRPr="00712F3C">
        <w:rPr>
          <w:rFonts w:ascii="Times New Roman" w:hAnsi="Times New Roman"/>
          <w:bCs/>
          <w:sz w:val="20"/>
          <w:szCs w:val="20"/>
        </w:rPr>
        <w:t xml:space="preserve">The SEBI (Prohibition of Fraudulent and Unfair Trade Practices relating to the Securities Market) Regulations, 2003, as amended; and </w:t>
      </w:r>
    </w:p>
    <w:p w14:paraId="1BF1CB75" w14:textId="77777777" w:rsidR="00E35FCB" w:rsidRPr="00712F3C" w:rsidRDefault="00E35FCB">
      <w:pPr>
        <w:widowControl w:val="0"/>
        <w:numPr>
          <w:ilvl w:val="0"/>
          <w:numId w:val="186"/>
        </w:numPr>
        <w:autoSpaceDE w:val="0"/>
        <w:autoSpaceDN w:val="0"/>
        <w:adjustRightInd w:val="0"/>
        <w:spacing w:after="0" w:line="240" w:lineRule="auto"/>
        <w:jc w:val="both"/>
        <w:rPr>
          <w:rFonts w:ascii="Times New Roman" w:hAnsi="Times New Roman"/>
          <w:bCs/>
          <w:sz w:val="20"/>
          <w:szCs w:val="20"/>
        </w:rPr>
      </w:pPr>
      <w:r w:rsidRPr="00712F3C">
        <w:rPr>
          <w:rFonts w:ascii="Times New Roman" w:hAnsi="Times New Roman"/>
          <w:bCs/>
          <w:sz w:val="20"/>
          <w:szCs w:val="20"/>
        </w:rPr>
        <w:t xml:space="preserve">Performing such other functions as may be delegated by the Board and/or prescribed under the SEBI Listing Regulations, Companies Act, each as amended or other applicable law. </w:t>
      </w:r>
    </w:p>
    <w:p w14:paraId="2617174E" w14:textId="77777777" w:rsidR="00E35FCB" w:rsidRPr="00712F3C" w:rsidRDefault="00E35FCB" w:rsidP="00E35FCB">
      <w:pPr>
        <w:spacing w:after="0" w:line="240" w:lineRule="auto"/>
        <w:contextualSpacing/>
        <w:jc w:val="both"/>
        <w:rPr>
          <w:rFonts w:ascii="Times New Roman" w:hAnsi="Times New Roman"/>
          <w:sz w:val="20"/>
          <w:szCs w:val="20"/>
        </w:rPr>
      </w:pPr>
    </w:p>
    <w:p w14:paraId="5EE5CFF8" w14:textId="77777777" w:rsidR="00E35FCB" w:rsidRPr="00712F3C" w:rsidRDefault="00E35FCB" w:rsidP="00E35FCB">
      <w:pPr>
        <w:pStyle w:val="ListParagraph"/>
        <w:widowControl w:val="0"/>
        <w:numPr>
          <w:ilvl w:val="1"/>
          <w:numId w:val="77"/>
        </w:numPr>
        <w:suppressAutoHyphens w:val="0"/>
        <w:spacing w:line="240" w:lineRule="auto"/>
        <w:ind w:left="360"/>
        <w:contextualSpacing/>
        <w:jc w:val="both"/>
        <w:textAlignment w:val="auto"/>
        <w:rPr>
          <w:b/>
          <w:bCs/>
          <w:sz w:val="20"/>
          <w:szCs w:val="20"/>
        </w:rPr>
      </w:pPr>
      <w:bookmarkStart w:id="18" w:name="_Hlk143864504"/>
      <w:r w:rsidRPr="00712F3C">
        <w:rPr>
          <w:b/>
          <w:bCs/>
          <w:sz w:val="20"/>
          <w:szCs w:val="20"/>
        </w:rPr>
        <w:t>Corporate Social Responsibility Committee</w:t>
      </w:r>
    </w:p>
    <w:p w14:paraId="3168459F" w14:textId="77777777" w:rsidR="00E35FCB" w:rsidRPr="00712F3C" w:rsidRDefault="00E35FCB" w:rsidP="00E35FCB">
      <w:pPr>
        <w:spacing w:after="0" w:line="240" w:lineRule="auto"/>
        <w:contextualSpacing/>
        <w:jc w:val="both"/>
        <w:rPr>
          <w:rFonts w:ascii="Times New Roman" w:hAnsi="Times New Roman"/>
          <w:b/>
          <w:bCs/>
          <w:sz w:val="20"/>
          <w:szCs w:val="20"/>
          <w:lang w:val="x-none"/>
        </w:rPr>
      </w:pPr>
    </w:p>
    <w:p w14:paraId="0843A727" w14:textId="77777777" w:rsidR="00E35FCB" w:rsidRPr="00712F3C" w:rsidRDefault="00E35FCB" w:rsidP="00E35FCB">
      <w:pPr>
        <w:spacing w:after="0" w:line="240" w:lineRule="auto"/>
        <w:contextualSpacing/>
        <w:jc w:val="both"/>
        <w:rPr>
          <w:rFonts w:ascii="Times New Roman" w:hAnsi="Times New Roman"/>
          <w:sz w:val="20"/>
          <w:szCs w:val="20"/>
        </w:rPr>
      </w:pPr>
      <w:r w:rsidRPr="00712F3C">
        <w:rPr>
          <w:rFonts w:ascii="Times New Roman" w:hAnsi="Times New Roman"/>
          <w:sz w:val="20"/>
          <w:szCs w:val="20"/>
        </w:rPr>
        <w:t xml:space="preserve">Our Company has </w:t>
      </w:r>
      <w:r w:rsidRPr="005E13B9">
        <w:rPr>
          <w:rFonts w:ascii="Times New Roman" w:hAnsi="Times New Roman"/>
          <w:sz w:val="20"/>
          <w:szCs w:val="20"/>
        </w:rPr>
        <w:t>constituted</w:t>
      </w:r>
      <w:r w:rsidRPr="00712F3C">
        <w:rPr>
          <w:rFonts w:ascii="Times New Roman" w:hAnsi="Times New Roman"/>
          <w:sz w:val="20"/>
          <w:szCs w:val="20"/>
        </w:rPr>
        <w:t xml:space="preserve"> the Corporate Social Responsibility Committee pursuant to the provisions of Section 135 of the Companies Act, 2013 read with the Companies (Corporate Social Responsibility Policy) Rules, 2014 vide Board resolution dated </w:t>
      </w:r>
      <w:r w:rsidRPr="00740D5C">
        <w:rPr>
          <w:rFonts w:ascii="Times New Roman" w:hAnsi="Times New Roman"/>
          <w:color w:val="000000"/>
          <w:sz w:val="20"/>
          <w:szCs w:val="20"/>
        </w:rPr>
        <w:t>August 24, 2023</w:t>
      </w:r>
      <w:r w:rsidRPr="00712F3C">
        <w:rPr>
          <w:rFonts w:ascii="Times New Roman" w:hAnsi="Times New Roman"/>
          <w:sz w:val="20"/>
          <w:szCs w:val="20"/>
        </w:rPr>
        <w:t>. The Corporate Social Responsibility Committee comprises the following:</w:t>
      </w:r>
    </w:p>
    <w:p w14:paraId="26703419" w14:textId="77777777" w:rsidR="00E35FCB" w:rsidRPr="00712F3C" w:rsidRDefault="00E35FCB" w:rsidP="00E35FCB">
      <w:pPr>
        <w:spacing w:after="0" w:line="240" w:lineRule="auto"/>
        <w:contextualSpacing/>
        <w:jc w:val="both"/>
        <w:rPr>
          <w:rFonts w:ascii="Times New Roman" w:hAnsi="Times New Roman"/>
          <w:sz w:val="20"/>
          <w:szCs w:val="20"/>
        </w:rPr>
      </w:pP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972"/>
        <w:gridCol w:w="2319"/>
        <w:gridCol w:w="4063"/>
      </w:tblGrid>
      <w:tr w:rsidR="00E35FCB" w:rsidRPr="00712F3C" w14:paraId="65B0B3DB" w14:textId="77777777" w:rsidTr="00F37091">
        <w:trPr>
          <w:trHeight w:val="20"/>
          <w:tblHeader/>
        </w:trPr>
        <w:tc>
          <w:tcPr>
            <w:tcW w:w="1918" w:type="pct"/>
            <w:shd w:val="clear" w:color="auto" w:fill="D0CECE" w:themeFill="background2" w:themeFillShade="E6"/>
            <w:vAlign w:val="center"/>
          </w:tcPr>
          <w:p w14:paraId="398B6E03" w14:textId="77777777" w:rsidR="00E35FCB" w:rsidRPr="00712F3C" w:rsidRDefault="00E35FCB" w:rsidP="00250DAC">
            <w:pPr>
              <w:spacing w:after="0" w:line="240" w:lineRule="auto"/>
              <w:contextualSpacing/>
              <w:jc w:val="center"/>
              <w:rPr>
                <w:rFonts w:ascii="Times New Roman" w:hAnsi="Times New Roman"/>
                <w:sz w:val="20"/>
                <w:szCs w:val="20"/>
              </w:rPr>
            </w:pPr>
            <w:r w:rsidRPr="00712F3C">
              <w:rPr>
                <w:rFonts w:ascii="Times New Roman" w:hAnsi="Times New Roman"/>
                <w:b/>
                <w:bCs/>
                <w:sz w:val="20"/>
                <w:szCs w:val="20"/>
              </w:rPr>
              <w:t>Name of the Director</w:t>
            </w:r>
          </w:p>
        </w:tc>
        <w:tc>
          <w:tcPr>
            <w:tcW w:w="1120" w:type="pct"/>
            <w:shd w:val="clear" w:color="auto" w:fill="D0CECE" w:themeFill="background2" w:themeFillShade="E6"/>
            <w:vAlign w:val="center"/>
          </w:tcPr>
          <w:p w14:paraId="35083525" w14:textId="77777777" w:rsidR="00E35FCB" w:rsidRPr="00712F3C" w:rsidRDefault="00E35FCB" w:rsidP="00250DAC">
            <w:pPr>
              <w:spacing w:after="0" w:line="240" w:lineRule="auto"/>
              <w:contextualSpacing/>
              <w:jc w:val="center"/>
              <w:rPr>
                <w:rFonts w:ascii="Times New Roman" w:hAnsi="Times New Roman"/>
                <w:sz w:val="20"/>
                <w:szCs w:val="20"/>
              </w:rPr>
            </w:pPr>
            <w:r w:rsidRPr="00712F3C">
              <w:rPr>
                <w:rFonts w:ascii="Times New Roman" w:hAnsi="Times New Roman"/>
                <w:b/>
                <w:bCs/>
                <w:sz w:val="20"/>
                <w:szCs w:val="20"/>
              </w:rPr>
              <w:t>Status in Committee</w:t>
            </w:r>
          </w:p>
        </w:tc>
        <w:tc>
          <w:tcPr>
            <w:tcW w:w="1962" w:type="pct"/>
            <w:shd w:val="clear" w:color="auto" w:fill="D0CECE" w:themeFill="background2" w:themeFillShade="E6"/>
            <w:vAlign w:val="center"/>
          </w:tcPr>
          <w:p w14:paraId="16EB8DEE" w14:textId="77777777" w:rsidR="00E35FCB" w:rsidRPr="00712F3C" w:rsidRDefault="00E35FCB" w:rsidP="00250DAC">
            <w:pPr>
              <w:spacing w:after="0" w:line="240" w:lineRule="auto"/>
              <w:contextualSpacing/>
              <w:jc w:val="center"/>
              <w:rPr>
                <w:rFonts w:ascii="Times New Roman" w:hAnsi="Times New Roman"/>
                <w:sz w:val="20"/>
                <w:szCs w:val="20"/>
              </w:rPr>
            </w:pPr>
            <w:r w:rsidRPr="00712F3C">
              <w:rPr>
                <w:rFonts w:ascii="Times New Roman" w:hAnsi="Times New Roman"/>
                <w:b/>
                <w:bCs/>
                <w:sz w:val="20"/>
                <w:szCs w:val="20"/>
              </w:rPr>
              <w:t>Nature of Directorship</w:t>
            </w:r>
          </w:p>
        </w:tc>
      </w:tr>
      <w:tr w:rsidR="00E35FCB" w:rsidRPr="00712F3C" w14:paraId="06BED512" w14:textId="77777777" w:rsidTr="00250DAC">
        <w:trPr>
          <w:trHeight w:val="20"/>
        </w:trPr>
        <w:tc>
          <w:tcPr>
            <w:tcW w:w="1918" w:type="pct"/>
            <w:shd w:val="clear" w:color="auto" w:fill="auto"/>
          </w:tcPr>
          <w:p w14:paraId="46F0D4F1" w14:textId="77777777" w:rsidR="00E35FCB" w:rsidRPr="00712F3C" w:rsidRDefault="00E35FCB" w:rsidP="00250DAC">
            <w:pPr>
              <w:spacing w:after="0" w:line="240" w:lineRule="auto"/>
              <w:ind w:firstLine="95"/>
              <w:jc w:val="both"/>
              <w:rPr>
                <w:rFonts w:ascii="Times New Roman" w:hAnsi="Times New Roman"/>
                <w:sz w:val="20"/>
                <w:szCs w:val="20"/>
                <w:lang w:val="en-GB"/>
              </w:rPr>
            </w:pPr>
            <w:r w:rsidRPr="00777FDC">
              <w:rPr>
                <w:rFonts w:ascii="Times New Roman" w:hAnsi="Times New Roman"/>
                <w:sz w:val="20"/>
                <w:szCs w:val="20"/>
                <w:lang w:val="en-GB"/>
              </w:rPr>
              <w:t>Bhavesh Ramgopal Maheshwari</w:t>
            </w:r>
          </w:p>
        </w:tc>
        <w:tc>
          <w:tcPr>
            <w:tcW w:w="1120" w:type="pct"/>
            <w:shd w:val="clear" w:color="auto" w:fill="auto"/>
            <w:vAlign w:val="center"/>
          </w:tcPr>
          <w:p w14:paraId="2025E91C" w14:textId="77777777" w:rsidR="00E35FCB" w:rsidRPr="00712F3C" w:rsidRDefault="00E35FCB" w:rsidP="00250DAC">
            <w:pPr>
              <w:spacing w:after="0" w:line="240" w:lineRule="auto"/>
              <w:contextualSpacing/>
              <w:jc w:val="center"/>
              <w:rPr>
                <w:rFonts w:ascii="Times New Roman" w:hAnsi="Times New Roman"/>
                <w:sz w:val="20"/>
                <w:szCs w:val="20"/>
                <w:lang w:val="x-none"/>
              </w:rPr>
            </w:pPr>
            <w:r w:rsidRPr="00712F3C">
              <w:rPr>
                <w:rFonts w:ascii="Times New Roman" w:hAnsi="Times New Roman"/>
                <w:sz w:val="20"/>
                <w:szCs w:val="20"/>
              </w:rPr>
              <w:t>Chairman</w:t>
            </w:r>
          </w:p>
        </w:tc>
        <w:tc>
          <w:tcPr>
            <w:tcW w:w="1962" w:type="pct"/>
            <w:vAlign w:val="center"/>
          </w:tcPr>
          <w:p w14:paraId="696C9C8E" w14:textId="77777777" w:rsidR="00E35FCB" w:rsidRPr="00712F3C" w:rsidRDefault="00E35FCB" w:rsidP="00250DAC">
            <w:pPr>
              <w:spacing w:after="0" w:line="240" w:lineRule="auto"/>
              <w:contextualSpacing/>
              <w:jc w:val="center"/>
              <w:rPr>
                <w:rFonts w:ascii="Times New Roman" w:hAnsi="Times New Roman"/>
                <w:sz w:val="20"/>
                <w:szCs w:val="20"/>
                <w:lang w:val="en-GB"/>
              </w:rPr>
            </w:pPr>
            <w:r>
              <w:rPr>
                <w:rFonts w:ascii="Times New Roman" w:hAnsi="Times New Roman"/>
                <w:sz w:val="20"/>
                <w:szCs w:val="20"/>
              </w:rPr>
              <w:t xml:space="preserve">Managing </w:t>
            </w:r>
            <w:r w:rsidRPr="00712F3C">
              <w:rPr>
                <w:rFonts w:ascii="Times New Roman" w:hAnsi="Times New Roman"/>
                <w:sz w:val="20"/>
                <w:szCs w:val="20"/>
              </w:rPr>
              <w:t>Director</w:t>
            </w:r>
          </w:p>
        </w:tc>
      </w:tr>
      <w:tr w:rsidR="00E35FCB" w:rsidRPr="00712F3C" w14:paraId="26F6AF53" w14:textId="77777777" w:rsidTr="00250DAC">
        <w:trPr>
          <w:trHeight w:val="20"/>
        </w:trPr>
        <w:tc>
          <w:tcPr>
            <w:tcW w:w="1918" w:type="pct"/>
            <w:shd w:val="clear" w:color="auto" w:fill="auto"/>
          </w:tcPr>
          <w:p w14:paraId="6200D314" w14:textId="77777777" w:rsidR="00E35FCB" w:rsidRPr="00712F3C" w:rsidRDefault="00E35FCB" w:rsidP="00250DAC">
            <w:pPr>
              <w:spacing w:after="0" w:line="240" w:lineRule="auto"/>
              <w:ind w:firstLine="95"/>
              <w:jc w:val="both"/>
              <w:rPr>
                <w:rFonts w:ascii="Times New Roman" w:hAnsi="Times New Roman"/>
                <w:sz w:val="20"/>
                <w:szCs w:val="20"/>
                <w:lang w:val="en-GB"/>
              </w:rPr>
            </w:pPr>
            <w:r w:rsidRPr="00777FDC">
              <w:rPr>
                <w:rFonts w:ascii="Times New Roman" w:hAnsi="Times New Roman"/>
                <w:sz w:val="20"/>
                <w:szCs w:val="20"/>
                <w:lang w:val="en-GB"/>
              </w:rPr>
              <w:t>Jaimish Govindbhai Patel</w:t>
            </w:r>
          </w:p>
        </w:tc>
        <w:tc>
          <w:tcPr>
            <w:tcW w:w="1120" w:type="pct"/>
            <w:shd w:val="clear" w:color="auto" w:fill="auto"/>
            <w:vAlign w:val="center"/>
          </w:tcPr>
          <w:p w14:paraId="54AE814D" w14:textId="77777777" w:rsidR="00E35FCB" w:rsidRPr="00712F3C" w:rsidRDefault="00E35FCB" w:rsidP="00250DAC">
            <w:pPr>
              <w:spacing w:after="0" w:line="240" w:lineRule="auto"/>
              <w:contextualSpacing/>
              <w:jc w:val="center"/>
              <w:rPr>
                <w:rFonts w:ascii="Times New Roman" w:hAnsi="Times New Roman"/>
                <w:sz w:val="20"/>
                <w:szCs w:val="20"/>
                <w:lang w:val="x-none"/>
              </w:rPr>
            </w:pPr>
            <w:r w:rsidRPr="00712F3C">
              <w:rPr>
                <w:rFonts w:ascii="Times New Roman" w:hAnsi="Times New Roman"/>
                <w:sz w:val="20"/>
                <w:szCs w:val="20"/>
              </w:rPr>
              <w:t>Member</w:t>
            </w:r>
          </w:p>
        </w:tc>
        <w:tc>
          <w:tcPr>
            <w:tcW w:w="1962" w:type="pct"/>
            <w:vAlign w:val="center"/>
          </w:tcPr>
          <w:p w14:paraId="45A35B69" w14:textId="77777777" w:rsidR="00E35FCB" w:rsidRPr="00712F3C" w:rsidRDefault="00E35FCB" w:rsidP="00250DAC">
            <w:pPr>
              <w:spacing w:after="0" w:line="240" w:lineRule="auto"/>
              <w:contextualSpacing/>
              <w:jc w:val="center"/>
              <w:rPr>
                <w:rFonts w:ascii="Times New Roman" w:hAnsi="Times New Roman"/>
                <w:sz w:val="20"/>
                <w:szCs w:val="20"/>
                <w:lang w:val="en-GB"/>
              </w:rPr>
            </w:pPr>
            <w:r w:rsidRPr="00712F3C">
              <w:rPr>
                <w:rFonts w:ascii="Times New Roman" w:hAnsi="Times New Roman"/>
                <w:sz w:val="20"/>
                <w:szCs w:val="20"/>
              </w:rPr>
              <w:t>Independent Director</w:t>
            </w:r>
          </w:p>
        </w:tc>
      </w:tr>
      <w:tr w:rsidR="00E35FCB" w:rsidRPr="00712F3C" w14:paraId="7C467D80" w14:textId="77777777" w:rsidTr="00250DAC">
        <w:trPr>
          <w:trHeight w:val="20"/>
        </w:trPr>
        <w:tc>
          <w:tcPr>
            <w:tcW w:w="1918" w:type="pct"/>
            <w:shd w:val="clear" w:color="auto" w:fill="auto"/>
          </w:tcPr>
          <w:p w14:paraId="60B0D75F" w14:textId="77777777" w:rsidR="00E35FCB" w:rsidRPr="00712F3C" w:rsidRDefault="00E35FCB" w:rsidP="00250DAC">
            <w:pPr>
              <w:spacing w:after="0" w:line="240" w:lineRule="auto"/>
              <w:ind w:firstLine="95"/>
              <w:jc w:val="both"/>
              <w:rPr>
                <w:rFonts w:ascii="Times New Roman" w:hAnsi="Times New Roman"/>
                <w:sz w:val="20"/>
                <w:szCs w:val="20"/>
                <w:lang w:val="en-GB"/>
              </w:rPr>
            </w:pPr>
            <w:r w:rsidRPr="00777FDC">
              <w:rPr>
                <w:rFonts w:ascii="Times New Roman" w:hAnsi="Times New Roman"/>
                <w:sz w:val="20"/>
                <w:szCs w:val="20"/>
                <w:lang w:val="en-GB"/>
              </w:rPr>
              <w:lastRenderedPageBreak/>
              <w:t>Ramgopal Ochhavlal Maheshwari</w:t>
            </w:r>
          </w:p>
        </w:tc>
        <w:tc>
          <w:tcPr>
            <w:tcW w:w="1120" w:type="pct"/>
            <w:shd w:val="clear" w:color="auto" w:fill="auto"/>
            <w:vAlign w:val="center"/>
          </w:tcPr>
          <w:p w14:paraId="7B4337A4" w14:textId="77777777" w:rsidR="00E35FCB" w:rsidRPr="00712F3C" w:rsidRDefault="00E35FCB" w:rsidP="00250DAC">
            <w:pPr>
              <w:spacing w:after="0" w:line="240" w:lineRule="auto"/>
              <w:contextualSpacing/>
              <w:jc w:val="center"/>
              <w:rPr>
                <w:rFonts w:ascii="Times New Roman" w:hAnsi="Times New Roman"/>
                <w:sz w:val="20"/>
                <w:szCs w:val="20"/>
                <w:lang w:val="x-none"/>
              </w:rPr>
            </w:pPr>
            <w:r w:rsidRPr="00712F3C">
              <w:rPr>
                <w:rFonts w:ascii="Times New Roman" w:hAnsi="Times New Roman"/>
                <w:sz w:val="20"/>
                <w:szCs w:val="20"/>
              </w:rPr>
              <w:t>Member</w:t>
            </w:r>
          </w:p>
        </w:tc>
        <w:tc>
          <w:tcPr>
            <w:tcW w:w="1962" w:type="pct"/>
            <w:vAlign w:val="center"/>
          </w:tcPr>
          <w:p w14:paraId="5CBA9081" w14:textId="77777777" w:rsidR="00E35FCB" w:rsidRPr="00712F3C" w:rsidRDefault="00E35FCB" w:rsidP="00250DAC">
            <w:pPr>
              <w:spacing w:after="0" w:line="240" w:lineRule="auto"/>
              <w:contextualSpacing/>
              <w:jc w:val="center"/>
              <w:rPr>
                <w:rFonts w:ascii="Times New Roman" w:hAnsi="Times New Roman"/>
                <w:sz w:val="20"/>
                <w:szCs w:val="20"/>
                <w:lang w:val="x-none"/>
              </w:rPr>
            </w:pPr>
            <w:r w:rsidRPr="00712F3C">
              <w:rPr>
                <w:rFonts w:ascii="Times New Roman" w:hAnsi="Times New Roman"/>
                <w:sz w:val="20"/>
                <w:szCs w:val="20"/>
              </w:rPr>
              <w:t>Whole Time Director</w:t>
            </w:r>
          </w:p>
        </w:tc>
      </w:tr>
    </w:tbl>
    <w:p w14:paraId="37499322" w14:textId="77777777" w:rsidR="00E35FCB" w:rsidRPr="00712F3C" w:rsidRDefault="00E35FCB" w:rsidP="00E35FCB">
      <w:pPr>
        <w:spacing w:after="0" w:line="240" w:lineRule="auto"/>
        <w:contextualSpacing/>
        <w:jc w:val="both"/>
        <w:rPr>
          <w:rFonts w:ascii="Times New Roman" w:hAnsi="Times New Roman"/>
          <w:sz w:val="20"/>
          <w:szCs w:val="20"/>
        </w:rPr>
      </w:pPr>
    </w:p>
    <w:p w14:paraId="1C9E4E1B" w14:textId="77777777" w:rsidR="00E35FCB" w:rsidRPr="00712F3C" w:rsidRDefault="00E35FCB" w:rsidP="00E35FCB">
      <w:pPr>
        <w:spacing w:after="0" w:line="240" w:lineRule="auto"/>
        <w:contextualSpacing/>
        <w:jc w:val="both"/>
        <w:rPr>
          <w:rFonts w:ascii="Times New Roman" w:hAnsi="Times New Roman"/>
          <w:sz w:val="20"/>
          <w:szCs w:val="20"/>
        </w:rPr>
      </w:pPr>
      <w:r w:rsidRPr="00712F3C">
        <w:rPr>
          <w:rFonts w:ascii="Times New Roman" w:hAnsi="Times New Roman"/>
          <w:sz w:val="20"/>
          <w:szCs w:val="20"/>
        </w:rPr>
        <w:t xml:space="preserve">The Committee shall act in accordance with the provisions of Companies Act, 2013 and the tenure, meeting and terms of reference specified hereunder: </w:t>
      </w:r>
    </w:p>
    <w:p w14:paraId="0027119E" w14:textId="77777777" w:rsidR="00E35FCB" w:rsidRPr="00712F3C" w:rsidRDefault="00E35FCB" w:rsidP="00E35FCB">
      <w:pPr>
        <w:spacing w:after="0" w:line="240" w:lineRule="auto"/>
        <w:contextualSpacing/>
        <w:jc w:val="both"/>
        <w:rPr>
          <w:rFonts w:ascii="Times New Roman" w:hAnsi="Times New Roman"/>
          <w:sz w:val="20"/>
          <w:szCs w:val="20"/>
        </w:rPr>
      </w:pPr>
    </w:p>
    <w:p w14:paraId="75DB8986" w14:textId="77777777" w:rsidR="00E35FCB" w:rsidRPr="00712F3C" w:rsidRDefault="00E35FCB">
      <w:pPr>
        <w:numPr>
          <w:ilvl w:val="0"/>
          <w:numId w:val="187"/>
        </w:numPr>
        <w:spacing w:after="0" w:line="240" w:lineRule="auto"/>
        <w:contextualSpacing/>
        <w:jc w:val="both"/>
        <w:rPr>
          <w:rFonts w:ascii="Times New Roman" w:hAnsi="Times New Roman"/>
          <w:sz w:val="20"/>
          <w:szCs w:val="20"/>
        </w:rPr>
      </w:pPr>
      <w:r w:rsidRPr="00712F3C">
        <w:rPr>
          <w:rFonts w:ascii="Times New Roman" w:hAnsi="Times New Roman"/>
          <w:sz w:val="20"/>
          <w:szCs w:val="20"/>
        </w:rPr>
        <w:t>To formulate and recommend to the Board, a CSR policy which shall indicate the activities to be undertaken by the Company as specified in Schedule VII of the Companies Act, 2013;</w:t>
      </w:r>
    </w:p>
    <w:p w14:paraId="0237E38E" w14:textId="77777777" w:rsidR="00E35FCB" w:rsidRPr="00712F3C" w:rsidRDefault="00E35FCB">
      <w:pPr>
        <w:numPr>
          <w:ilvl w:val="0"/>
          <w:numId w:val="187"/>
        </w:numPr>
        <w:spacing w:after="0" w:line="240" w:lineRule="auto"/>
        <w:contextualSpacing/>
        <w:jc w:val="both"/>
        <w:rPr>
          <w:rFonts w:ascii="Times New Roman" w:hAnsi="Times New Roman"/>
          <w:sz w:val="20"/>
          <w:szCs w:val="20"/>
        </w:rPr>
      </w:pPr>
      <w:r w:rsidRPr="00712F3C">
        <w:rPr>
          <w:rFonts w:ascii="Times New Roman" w:hAnsi="Times New Roman"/>
          <w:sz w:val="20"/>
          <w:szCs w:val="20"/>
        </w:rPr>
        <w:t>To review and recommend the amount of expenditure to be incurred on activities referred to in Section 135(a) of the Companies Act, 2013;</w:t>
      </w:r>
    </w:p>
    <w:p w14:paraId="3521627A" w14:textId="77777777" w:rsidR="00E35FCB" w:rsidRPr="00712F3C" w:rsidRDefault="00E35FCB">
      <w:pPr>
        <w:numPr>
          <w:ilvl w:val="0"/>
          <w:numId w:val="187"/>
        </w:numPr>
        <w:spacing w:after="0" w:line="240" w:lineRule="auto"/>
        <w:contextualSpacing/>
        <w:jc w:val="both"/>
        <w:rPr>
          <w:rFonts w:ascii="Times New Roman" w:hAnsi="Times New Roman"/>
          <w:sz w:val="20"/>
          <w:szCs w:val="20"/>
        </w:rPr>
      </w:pPr>
      <w:r w:rsidRPr="00712F3C">
        <w:rPr>
          <w:rFonts w:ascii="Times New Roman" w:hAnsi="Times New Roman"/>
          <w:sz w:val="20"/>
          <w:szCs w:val="20"/>
        </w:rPr>
        <w:t>To institute a transparent monitoring mechanism for the implementation of the CSR projects, programs and activities undertaken the Company from time to time;</w:t>
      </w:r>
    </w:p>
    <w:p w14:paraId="5CCBBC63" w14:textId="77777777" w:rsidR="00E35FCB" w:rsidRPr="00712F3C" w:rsidRDefault="00E35FCB">
      <w:pPr>
        <w:numPr>
          <w:ilvl w:val="0"/>
          <w:numId w:val="187"/>
        </w:numPr>
        <w:spacing w:after="0" w:line="240" w:lineRule="auto"/>
        <w:contextualSpacing/>
        <w:jc w:val="both"/>
        <w:rPr>
          <w:rFonts w:ascii="Times New Roman" w:hAnsi="Times New Roman"/>
          <w:sz w:val="20"/>
          <w:szCs w:val="20"/>
        </w:rPr>
      </w:pPr>
      <w:r w:rsidRPr="00712F3C">
        <w:rPr>
          <w:rFonts w:ascii="Times New Roman" w:hAnsi="Times New Roman"/>
          <w:sz w:val="20"/>
          <w:szCs w:val="20"/>
        </w:rPr>
        <w:t>To Monitor the Corporate Social Responsibility policy of the Company from time to time; and</w:t>
      </w:r>
    </w:p>
    <w:p w14:paraId="0F06F92F" w14:textId="77777777" w:rsidR="00E35FCB" w:rsidRPr="00712F3C" w:rsidRDefault="00E35FCB">
      <w:pPr>
        <w:numPr>
          <w:ilvl w:val="0"/>
          <w:numId w:val="187"/>
        </w:numPr>
        <w:spacing w:after="0" w:line="240" w:lineRule="auto"/>
        <w:contextualSpacing/>
        <w:jc w:val="both"/>
        <w:rPr>
          <w:rFonts w:ascii="Times New Roman" w:hAnsi="Times New Roman"/>
          <w:sz w:val="20"/>
          <w:szCs w:val="20"/>
        </w:rPr>
      </w:pPr>
      <w:r w:rsidRPr="00712F3C">
        <w:rPr>
          <w:rFonts w:ascii="Times New Roman" w:hAnsi="Times New Roman"/>
          <w:sz w:val="20"/>
          <w:szCs w:val="20"/>
        </w:rPr>
        <w:t>Any other matter of CSR Committee may deem appropriate after approval of the Board of Directors or as may be delegated by the Board and/ or prescribed under the Companies Act, 2013 or other applicable law.</w:t>
      </w:r>
    </w:p>
    <w:bookmarkEnd w:id="18"/>
    <w:p w14:paraId="19924409" w14:textId="77777777" w:rsidR="00E35FCB" w:rsidRPr="00712F3C" w:rsidRDefault="00E35FCB" w:rsidP="00E35FCB">
      <w:pPr>
        <w:spacing w:after="0" w:line="240" w:lineRule="auto"/>
        <w:contextualSpacing/>
        <w:jc w:val="both"/>
        <w:rPr>
          <w:rFonts w:ascii="Times New Roman" w:hAnsi="Times New Roman"/>
          <w:sz w:val="20"/>
          <w:szCs w:val="20"/>
        </w:rPr>
      </w:pPr>
    </w:p>
    <w:p w14:paraId="1B48DD72" w14:textId="77777777" w:rsidR="00E35FCB" w:rsidRPr="00712F3C" w:rsidRDefault="00E35FCB" w:rsidP="00E35FCB">
      <w:pPr>
        <w:spacing w:after="0" w:line="240" w:lineRule="auto"/>
        <w:jc w:val="both"/>
        <w:rPr>
          <w:rFonts w:ascii="Times New Roman" w:eastAsia="MS Mincho" w:hAnsi="Times New Roman"/>
          <w:b/>
          <w:color w:val="000000"/>
          <w:sz w:val="20"/>
          <w:szCs w:val="20"/>
          <w:lang w:val="en-GB"/>
        </w:rPr>
      </w:pPr>
      <w:r w:rsidRPr="00712F3C">
        <w:rPr>
          <w:rFonts w:ascii="Times New Roman" w:eastAsia="MS Mincho" w:hAnsi="Times New Roman"/>
          <w:b/>
          <w:color w:val="000000"/>
          <w:sz w:val="20"/>
          <w:szCs w:val="20"/>
          <w:lang w:val="en-GB"/>
        </w:rPr>
        <w:t>KEY MANAGERIAL PERSONNEL</w:t>
      </w:r>
    </w:p>
    <w:p w14:paraId="55641F87" w14:textId="77777777" w:rsidR="00E35FCB" w:rsidRPr="00712F3C" w:rsidRDefault="00E35FCB" w:rsidP="00E35FCB">
      <w:pPr>
        <w:spacing w:after="0" w:line="240" w:lineRule="auto"/>
        <w:jc w:val="both"/>
        <w:rPr>
          <w:rFonts w:ascii="Times New Roman" w:eastAsia="MS Mincho" w:hAnsi="Times New Roman"/>
          <w:color w:val="000000"/>
          <w:sz w:val="20"/>
          <w:szCs w:val="20"/>
          <w:lang w:val="en-GB"/>
        </w:rPr>
      </w:pPr>
    </w:p>
    <w:p w14:paraId="7D1A51F6" w14:textId="77777777" w:rsidR="00E35FCB" w:rsidRPr="00712F3C" w:rsidRDefault="00E35FCB" w:rsidP="00E35FCB">
      <w:pPr>
        <w:spacing w:after="0" w:line="240" w:lineRule="auto"/>
        <w:jc w:val="both"/>
        <w:rPr>
          <w:rFonts w:ascii="Times New Roman" w:eastAsia="MS Mincho" w:hAnsi="Times New Roman"/>
          <w:sz w:val="20"/>
          <w:szCs w:val="20"/>
          <w:lang w:val="en-GB"/>
        </w:rPr>
      </w:pPr>
      <w:r w:rsidRPr="00712F3C">
        <w:rPr>
          <w:rFonts w:ascii="Times New Roman" w:eastAsia="MS Mincho" w:hAnsi="Times New Roman"/>
          <w:sz w:val="20"/>
          <w:szCs w:val="20"/>
          <w:lang w:val="en-GB"/>
        </w:rPr>
        <w:t xml:space="preserve">Our Company is supported by a team of professionals having exposure to various operational aspects of our business. A brief detail about the Key Managerial Personnel of our Company is provided below: </w:t>
      </w:r>
    </w:p>
    <w:p w14:paraId="75C734FD" w14:textId="77777777" w:rsidR="00E35FCB" w:rsidRPr="00712F3C" w:rsidRDefault="00E35FCB" w:rsidP="00E35FCB">
      <w:pPr>
        <w:spacing w:after="0" w:line="240" w:lineRule="auto"/>
        <w:jc w:val="both"/>
        <w:rPr>
          <w:rFonts w:ascii="Times New Roman" w:eastAsia="MS Mincho" w:hAnsi="Times New Roman"/>
          <w:sz w:val="20"/>
          <w:szCs w:val="20"/>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5"/>
        <w:gridCol w:w="850"/>
        <w:gridCol w:w="993"/>
        <w:gridCol w:w="1560"/>
        <w:gridCol w:w="1133"/>
        <w:gridCol w:w="1955"/>
      </w:tblGrid>
      <w:tr w:rsidR="00E35FCB" w:rsidRPr="00712F3C" w14:paraId="2FB5B7EC" w14:textId="77777777" w:rsidTr="00250DAC">
        <w:trPr>
          <w:trHeight w:val="20"/>
          <w:tblHeader/>
        </w:trPr>
        <w:tc>
          <w:tcPr>
            <w:tcW w:w="1896" w:type="pct"/>
            <w:shd w:val="clear" w:color="auto" w:fill="D0CECE" w:themeFill="background2" w:themeFillShade="E6"/>
            <w:hideMark/>
          </w:tcPr>
          <w:p w14:paraId="7648BA07" w14:textId="77777777" w:rsidR="00E35FCB" w:rsidRPr="00712F3C" w:rsidRDefault="00E35FCB" w:rsidP="00250DAC">
            <w:pPr>
              <w:spacing w:after="0" w:line="240" w:lineRule="auto"/>
              <w:jc w:val="both"/>
              <w:rPr>
                <w:rFonts w:ascii="Times New Roman" w:hAnsi="Times New Roman"/>
                <w:b/>
                <w:bCs/>
                <w:sz w:val="20"/>
                <w:szCs w:val="20"/>
                <w:lang w:val="en-GB"/>
              </w:rPr>
            </w:pPr>
            <w:r w:rsidRPr="00712F3C">
              <w:rPr>
                <w:rFonts w:ascii="Times New Roman" w:eastAsia="MS Mincho" w:hAnsi="Times New Roman"/>
                <w:b/>
                <w:sz w:val="20"/>
                <w:szCs w:val="20"/>
                <w:lang w:val="en-GB"/>
              </w:rPr>
              <w:t>Name, Designation &amp; Educational Qualification</w:t>
            </w:r>
          </w:p>
        </w:tc>
        <w:tc>
          <w:tcPr>
            <w:tcW w:w="406" w:type="pct"/>
            <w:shd w:val="clear" w:color="auto" w:fill="D0CECE" w:themeFill="background2" w:themeFillShade="E6"/>
            <w:hideMark/>
          </w:tcPr>
          <w:p w14:paraId="5F15A2F1" w14:textId="77777777" w:rsidR="00E35FCB" w:rsidRPr="00712F3C" w:rsidRDefault="00E35FCB" w:rsidP="00250DAC">
            <w:pPr>
              <w:spacing w:after="0" w:line="240" w:lineRule="auto"/>
              <w:jc w:val="center"/>
              <w:rPr>
                <w:rFonts w:ascii="Times New Roman" w:eastAsia="MS Mincho" w:hAnsi="Times New Roman"/>
                <w:b/>
                <w:sz w:val="20"/>
                <w:szCs w:val="20"/>
                <w:lang w:val="en-GB"/>
              </w:rPr>
            </w:pPr>
            <w:r w:rsidRPr="00712F3C">
              <w:rPr>
                <w:rFonts w:ascii="Times New Roman" w:eastAsia="MS Mincho" w:hAnsi="Times New Roman"/>
                <w:b/>
                <w:sz w:val="20"/>
                <w:szCs w:val="20"/>
                <w:lang w:val="en-GB"/>
              </w:rPr>
              <w:t>Age</w:t>
            </w:r>
          </w:p>
          <w:p w14:paraId="5C18CFE4" w14:textId="77777777" w:rsidR="00E35FCB" w:rsidRPr="00712F3C" w:rsidRDefault="00E35FCB" w:rsidP="00250DAC">
            <w:pPr>
              <w:spacing w:after="0" w:line="240" w:lineRule="auto"/>
              <w:jc w:val="center"/>
              <w:rPr>
                <w:rFonts w:ascii="Times New Roman" w:hAnsi="Times New Roman"/>
                <w:b/>
                <w:bCs/>
                <w:sz w:val="20"/>
                <w:szCs w:val="20"/>
                <w:lang w:val="en-GB"/>
              </w:rPr>
            </w:pPr>
            <w:r w:rsidRPr="00712F3C">
              <w:rPr>
                <w:rFonts w:ascii="Times New Roman" w:eastAsia="MS Mincho" w:hAnsi="Times New Roman"/>
                <w:b/>
                <w:sz w:val="20"/>
                <w:szCs w:val="20"/>
                <w:lang w:val="en-GB"/>
              </w:rPr>
              <w:t>(Years)</w:t>
            </w:r>
          </w:p>
        </w:tc>
        <w:tc>
          <w:tcPr>
            <w:tcW w:w="475" w:type="pct"/>
            <w:shd w:val="clear" w:color="auto" w:fill="D0CECE" w:themeFill="background2" w:themeFillShade="E6"/>
            <w:hideMark/>
          </w:tcPr>
          <w:p w14:paraId="3EEC3D96" w14:textId="77777777" w:rsidR="00E35FCB" w:rsidRPr="00712F3C" w:rsidRDefault="00E35FCB" w:rsidP="00250DAC">
            <w:pPr>
              <w:spacing w:after="0" w:line="240" w:lineRule="auto"/>
              <w:jc w:val="center"/>
              <w:rPr>
                <w:rFonts w:ascii="Times New Roman" w:hAnsi="Times New Roman"/>
                <w:b/>
                <w:bCs/>
                <w:sz w:val="20"/>
                <w:szCs w:val="20"/>
                <w:lang w:val="en-GB"/>
              </w:rPr>
            </w:pPr>
            <w:r w:rsidRPr="00712F3C">
              <w:rPr>
                <w:rFonts w:ascii="Times New Roman" w:hAnsi="Times New Roman"/>
                <w:b/>
                <w:bCs/>
                <w:sz w:val="20"/>
                <w:szCs w:val="20"/>
                <w:lang w:val="en-GB"/>
              </w:rPr>
              <w:t xml:space="preserve">Year of Joining </w:t>
            </w:r>
          </w:p>
        </w:tc>
        <w:tc>
          <w:tcPr>
            <w:tcW w:w="746" w:type="pct"/>
            <w:shd w:val="clear" w:color="auto" w:fill="D0CECE" w:themeFill="background2" w:themeFillShade="E6"/>
            <w:hideMark/>
          </w:tcPr>
          <w:p w14:paraId="08038294" w14:textId="77777777" w:rsidR="00E35FCB" w:rsidRPr="00712F3C" w:rsidRDefault="00E35FCB" w:rsidP="00250DAC">
            <w:pPr>
              <w:spacing w:after="0" w:line="240" w:lineRule="auto"/>
              <w:jc w:val="center"/>
              <w:rPr>
                <w:rFonts w:ascii="Times New Roman" w:eastAsia="MS Mincho" w:hAnsi="Times New Roman"/>
                <w:b/>
                <w:sz w:val="20"/>
                <w:szCs w:val="20"/>
                <w:lang w:val="en-GB"/>
              </w:rPr>
            </w:pPr>
            <w:r w:rsidRPr="00712F3C">
              <w:rPr>
                <w:rFonts w:ascii="Times New Roman" w:eastAsia="MS Mincho" w:hAnsi="Times New Roman"/>
                <w:b/>
                <w:sz w:val="20"/>
                <w:szCs w:val="20"/>
                <w:lang w:val="en-GB"/>
              </w:rPr>
              <w:t>Remuneration paid for F.Y. ended 2021-22</w:t>
            </w:r>
          </w:p>
          <w:p w14:paraId="09B52E80" w14:textId="77777777" w:rsidR="00E35FCB" w:rsidRPr="00712F3C" w:rsidRDefault="00E35FCB" w:rsidP="00250DAC">
            <w:pPr>
              <w:spacing w:after="0" w:line="240" w:lineRule="auto"/>
              <w:jc w:val="center"/>
              <w:rPr>
                <w:rFonts w:ascii="Times New Roman" w:hAnsi="Times New Roman"/>
                <w:b/>
                <w:bCs/>
                <w:sz w:val="20"/>
                <w:szCs w:val="20"/>
                <w:lang w:val="en-GB"/>
              </w:rPr>
            </w:pPr>
            <w:r w:rsidRPr="00712F3C">
              <w:rPr>
                <w:rFonts w:ascii="Times New Roman" w:eastAsia="MS Mincho" w:hAnsi="Times New Roman"/>
                <w:b/>
                <w:sz w:val="20"/>
                <w:szCs w:val="20"/>
                <w:lang w:val="en-GB"/>
              </w:rPr>
              <w:t>(in ₹ Lakhs)</w:t>
            </w:r>
          </w:p>
        </w:tc>
        <w:tc>
          <w:tcPr>
            <w:tcW w:w="542" w:type="pct"/>
            <w:shd w:val="clear" w:color="auto" w:fill="D0CECE" w:themeFill="background2" w:themeFillShade="E6"/>
            <w:hideMark/>
          </w:tcPr>
          <w:p w14:paraId="06C5A9F6" w14:textId="77777777" w:rsidR="00E35FCB" w:rsidRPr="00712F3C" w:rsidRDefault="00E35FCB" w:rsidP="00250DAC">
            <w:pPr>
              <w:spacing w:after="0" w:line="240" w:lineRule="auto"/>
              <w:jc w:val="center"/>
              <w:rPr>
                <w:rFonts w:ascii="Times New Roman" w:eastAsia="MS Mincho" w:hAnsi="Times New Roman"/>
                <w:b/>
                <w:sz w:val="20"/>
                <w:szCs w:val="20"/>
                <w:lang w:val="en-GB"/>
              </w:rPr>
            </w:pPr>
            <w:r w:rsidRPr="00712F3C">
              <w:rPr>
                <w:rFonts w:ascii="Times New Roman" w:eastAsia="MS Mincho" w:hAnsi="Times New Roman"/>
                <w:b/>
                <w:sz w:val="20"/>
                <w:szCs w:val="20"/>
                <w:lang w:val="en-GB"/>
              </w:rPr>
              <w:t>Overall experience (in years)</w:t>
            </w:r>
          </w:p>
        </w:tc>
        <w:tc>
          <w:tcPr>
            <w:tcW w:w="935" w:type="pct"/>
            <w:shd w:val="clear" w:color="auto" w:fill="D0CECE" w:themeFill="background2" w:themeFillShade="E6"/>
            <w:hideMark/>
          </w:tcPr>
          <w:p w14:paraId="68160474" w14:textId="77777777" w:rsidR="00E35FCB" w:rsidRPr="00712F3C" w:rsidRDefault="00E35FCB" w:rsidP="00250DAC">
            <w:pPr>
              <w:spacing w:after="0" w:line="240" w:lineRule="auto"/>
              <w:jc w:val="center"/>
              <w:rPr>
                <w:rFonts w:ascii="Times New Roman" w:hAnsi="Times New Roman"/>
                <w:b/>
                <w:bCs/>
                <w:sz w:val="20"/>
                <w:szCs w:val="20"/>
                <w:lang w:val="en-GB"/>
              </w:rPr>
            </w:pPr>
            <w:r w:rsidRPr="00712F3C">
              <w:rPr>
                <w:rFonts w:ascii="Times New Roman" w:eastAsia="MS Mincho" w:hAnsi="Times New Roman"/>
                <w:b/>
                <w:sz w:val="20"/>
                <w:szCs w:val="20"/>
                <w:lang w:val="en-GB"/>
              </w:rPr>
              <w:t>Previous employment</w:t>
            </w:r>
          </w:p>
        </w:tc>
      </w:tr>
      <w:tr w:rsidR="00E35FCB" w:rsidRPr="00712F3C" w14:paraId="225DF4A1" w14:textId="77777777" w:rsidTr="00250DAC">
        <w:trPr>
          <w:trHeight w:val="899"/>
        </w:trPr>
        <w:tc>
          <w:tcPr>
            <w:tcW w:w="1896" w:type="pct"/>
            <w:shd w:val="clear" w:color="auto" w:fill="FFFFFF"/>
            <w:hideMark/>
          </w:tcPr>
          <w:p w14:paraId="695DB425" w14:textId="77777777" w:rsidR="00E35FCB" w:rsidRPr="00712F3C" w:rsidRDefault="00E35FCB" w:rsidP="00250DAC">
            <w:pPr>
              <w:spacing w:after="0" w:line="240" w:lineRule="auto"/>
              <w:jc w:val="both"/>
              <w:rPr>
                <w:rFonts w:ascii="Times New Roman" w:hAnsi="Times New Roman"/>
                <w:color w:val="000000"/>
                <w:sz w:val="20"/>
                <w:szCs w:val="20"/>
                <w:lang w:val="en-GB"/>
              </w:rPr>
            </w:pPr>
            <w:r w:rsidRPr="00E075A6">
              <w:rPr>
                <w:rFonts w:ascii="Times New Roman" w:eastAsia="MS Mincho" w:hAnsi="Times New Roman"/>
                <w:b/>
                <w:sz w:val="20"/>
                <w:szCs w:val="20"/>
                <w:lang w:val="en-GB"/>
              </w:rPr>
              <w:t>Ramgopal Ochhavlal Maheshwari</w:t>
            </w:r>
            <w:r w:rsidRPr="00712F3C">
              <w:rPr>
                <w:rFonts w:ascii="Times New Roman" w:hAnsi="Times New Roman"/>
                <w:b/>
                <w:color w:val="000000"/>
                <w:sz w:val="20"/>
                <w:szCs w:val="20"/>
                <w:lang w:val="en-GB"/>
              </w:rPr>
              <w:t xml:space="preserve"> Designation: </w:t>
            </w:r>
            <w:r w:rsidRPr="00712F3C">
              <w:rPr>
                <w:rFonts w:ascii="Times New Roman" w:hAnsi="Times New Roman"/>
                <w:color w:val="000000"/>
                <w:sz w:val="20"/>
                <w:szCs w:val="20"/>
                <w:lang w:val="en-GB"/>
              </w:rPr>
              <w:t xml:space="preserve">Chairman &amp; </w:t>
            </w:r>
            <w:r>
              <w:rPr>
                <w:rFonts w:ascii="Times New Roman" w:hAnsi="Times New Roman"/>
                <w:color w:val="000000"/>
                <w:sz w:val="20"/>
                <w:szCs w:val="20"/>
                <w:lang w:val="en-GB"/>
              </w:rPr>
              <w:t>Wholetime</w:t>
            </w:r>
            <w:r w:rsidRPr="00712F3C">
              <w:rPr>
                <w:rFonts w:ascii="Times New Roman" w:hAnsi="Times New Roman"/>
                <w:color w:val="000000"/>
                <w:sz w:val="20"/>
                <w:szCs w:val="20"/>
                <w:lang w:val="en-GB"/>
              </w:rPr>
              <w:t xml:space="preserve"> Director</w:t>
            </w:r>
          </w:p>
          <w:p w14:paraId="4AD4E05C" w14:textId="77777777" w:rsidR="00E35FCB" w:rsidRDefault="00E35FCB" w:rsidP="00250DAC">
            <w:pPr>
              <w:spacing w:after="0" w:line="240" w:lineRule="auto"/>
              <w:jc w:val="both"/>
              <w:rPr>
                <w:rFonts w:ascii="Times New Roman" w:hAnsi="Times New Roman"/>
                <w:b/>
                <w:sz w:val="20"/>
                <w:szCs w:val="20"/>
              </w:rPr>
            </w:pPr>
            <w:r w:rsidRPr="00712F3C">
              <w:rPr>
                <w:rFonts w:ascii="Times New Roman" w:hAnsi="Times New Roman"/>
                <w:b/>
                <w:color w:val="000000"/>
                <w:sz w:val="20"/>
                <w:szCs w:val="20"/>
                <w:lang w:val="en-GB"/>
              </w:rPr>
              <w:t xml:space="preserve">Educational Qualification: </w:t>
            </w:r>
            <w:r>
              <w:rPr>
                <w:rFonts w:ascii="Times New Roman" w:eastAsia="Adobe Garamond Pro" w:hAnsi="Times New Roman"/>
                <w:iCs/>
                <w:sz w:val="20"/>
                <w:szCs w:val="20"/>
              </w:rPr>
              <w:t>Bachelor in Commerce</w:t>
            </w:r>
            <w:r w:rsidRPr="00712F3C">
              <w:rPr>
                <w:rFonts w:ascii="Times New Roman" w:hAnsi="Times New Roman"/>
                <w:b/>
                <w:sz w:val="20"/>
                <w:szCs w:val="20"/>
              </w:rPr>
              <w:t xml:space="preserve"> </w:t>
            </w:r>
          </w:p>
          <w:p w14:paraId="63AFF8FE" w14:textId="77777777" w:rsidR="00E35FCB" w:rsidRPr="00712F3C" w:rsidRDefault="00E35FCB" w:rsidP="00250DAC">
            <w:pPr>
              <w:spacing w:after="0" w:line="240" w:lineRule="auto"/>
              <w:jc w:val="both"/>
              <w:rPr>
                <w:rFonts w:ascii="Times New Roman" w:hAnsi="Times New Roman"/>
                <w:b/>
                <w:sz w:val="20"/>
                <w:szCs w:val="20"/>
              </w:rPr>
            </w:pPr>
            <w:r w:rsidRPr="00712F3C">
              <w:rPr>
                <w:rFonts w:ascii="Times New Roman" w:hAnsi="Times New Roman"/>
                <w:b/>
                <w:sz w:val="20"/>
                <w:szCs w:val="20"/>
              </w:rPr>
              <w:t xml:space="preserve">Term of office: </w:t>
            </w:r>
            <w:r w:rsidRPr="00712F3C">
              <w:rPr>
                <w:rFonts w:ascii="Times New Roman" w:hAnsi="Times New Roman"/>
                <w:sz w:val="20"/>
                <w:szCs w:val="20"/>
              </w:rPr>
              <w:t xml:space="preserve">For a period of three years with effect from </w:t>
            </w:r>
            <w:r>
              <w:rPr>
                <w:rFonts w:ascii="Times New Roman" w:hAnsi="Times New Roman"/>
                <w:sz w:val="20"/>
                <w:szCs w:val="20"/>
              </w:rPr>
              <w:t>August 25, 2023,</w:t>
            </w:r>
            <w:r w:rsidRPr="00712F3C">
              <w:rPr>
                <w:rFonts w:ascii="Times New Roman" w:hAnsi="Times New Roman"/>
                <w:sz w:val="20"/>
                <w:szCs w:val="20"/>
              </w:rPr>
              <w:t xml:space="preserve"> liable to retire by rotation</w:t>
            </w:r>
          </w:p>
        </w:tc>
        <w:tc>
          <w:tcPr>
            <w:tcW w:w="406" w:type="pct"/>
            <w:shd w:val="clear" w:color="auto" w:fill="FFFFFF"/>
            <w:vAlign w:val="center"/>
            <w:hideMark/>
          </w:tcPr>
          <w:p w14:paraId="70F024BA" w14:textId="77777777" w:rsidR="00E35FCB" w:rsidRPr="00712F3C" w:rsidRDefault="00E35FCB" w:rsidP="00250DAC">
            <w:pPr>
              <w:spacing w:after="0" w:line="240" w:lineRule="auto"/>
              <w:jc w:val="center"/>
              <w:rPr>
                <w:rFonts w:ascii="Times New Roman" w:hAnsi="Times New Roman"/>
                <w:color w:val="000000"/>
                <w:sz w:val="20"/>
                <w:szCs w:val="20"/>
                <w:lang w:val="en-GB"/>
              </w:rPr>
            </w:pPr>
            <w:r>
              <w:rPr>
                <w:rFonts w:ascii="Times New Roman" w:hAnsi="Times New Roman"/>
                <w:color w:val="000000"/>
                <w:sz w:val="20"/>
                <w:szCs w:val="20"/>
                <w:lang w:val="en-GB"/>
              </w:rPr>
              <w:t>59</w:t>
            </w:r>
          </w:p>
        </w:tc>
        <w:tc>
          <w:tcPr>
            <w:tcW w:w="475" w:type="pct"/>
            <w:shd w:val="clear" w:color="auto" w:fill="FFFFFF"/>
            <w:vAlign w:val="center"/>
          </w:tcPr>
          <w:p w14:paraId="47BDE875" w14:textId="77777777" w:rsidR="00E35FCB" w:rsidRPr="00712F3C" w:rsidRDefault="00E35FCB" w:rsidP="00250DAC">
            <w:pPr>
              <w:spacing w:after="0" w:line="240" w:lineRule="auto"/>
              <w:jc w:val="center"/>
              <w:rPr>
                <w:rFonts w:ascii="Times New Roman" w:hAnsi="Times New Roman"/>
                <w:color w:val="000000"/>
                <w:sz w:val="20"/>
                <w:szCs w:val="20"/>
                <w:lang w:val="en-GB"/>
              </w:rPr>
            </w:pPr>
            <w:r>
              <w:rPr>
                <w:rFonts w:ascii="Times New Roman" w:hAnsi="Times New Roman"/>
                <w:color w:val="000000"/>
                <w:sz w:val="20"/>
                <w:szCs w:val="20"/>
                <w:lang w:val="en-GB"/>
              </w:rPr>
              <w:t>2017*</w:t>
            </w:r>
          </w:p>
        </w:tc>
        <w:tc>
          <w:tcPr>
            <w:tcW w:w="746" w:type="pct"/>
            <w:shd w:val="clear" w:color="auto" w:fill="auto"/>
            <w:vAlign w:val="center"/>
            <w:hideMark/>
          </w:tcPr>
          <w:p w14:paraId="5B8BB821" w14:textId="77777777" w:rsidR="00E35FCB" w:rsidRPr="00712F3C" w:rsidRDefault="00E35FCB" w:rsidP="00250DAC">
            <w:pPr>
              <w:spacing w:after="0" w:line="240" w:lineRule="auto"/>
              <w:jc w:val="center"/>
              <w:rPr>
                <w:rFonts w:ascii="Times New Roman" w:hAnsi="Times New Roman"/>
                <w:color w:val="000000"/>
                <w:sz w:val="20"/>
                <w:szCs w:val="20"/>
                <w:lang w:val="en-GB"/>
              </w:rPr>
            </w:pPr>
            <w:r>
              <w:rPr>
                <w:rFonts w:ascii="Times New Roman" w:hAnsi="Times New Roman"/>
                <w:color w:val="000000"/>
                <w:sz w:val="20"/>
                <w:szCs w:val="20"/>
                <w:lang w:val="en-GB"/>
              </w:rPr>
              <w:t>42.00</w:t>
            </w:r>
          </w:p>
        </w:tc>
        <w:tc>
          <w:tcPr>
            <w:tcW w:w="542" w:type="pct"/>
            <w:shd w:val="clear" w:color="auto" w:fill="FFFFFF"/>
            <w:vAlign w:val="center"/>
          </w:tcPr>
          <w:p w14:paraId="1A23ABD9" w14:textId="77777777" w:rsidR="00E35FCB" w:rsidRPr="00712F3C" w:rsidRDefault="00E35FCB" w:rsidP="00250DAC">
            <w:pPr>
              <w:spacing w:after="0" w:line="240" w:lineRule="auto"/>
              <w:jc w:val="center"/>
              <w:rPr>
                <w:rFonts w:ascii="Times New Roman" w:hAnsi="Times New Roman"/>
                <w:color w:val="000000"/>
                <w:sz w:val="20"/>
                <w:szCs w:val="20"/>
                <w:highlight w:val="yellow"/>
                <w:lang w:val="en-GB"/>
              </w:rPr>
            </w:pPr>
            <w:r>
              <w:rPr>
                <w:rFonts w:ascii="Times New Roman" w:hAnsi="Times New Roman"/>
                <w:color w:val="000000"/>
                <w:sz w:val="20"/>
                <w:szCs w:val="20"/>
                <w:lang w:val="en-GB"/>
              </w:rPr>
              <w:t>43</w:t>
            </w:r>
          </w:p>
        </w:tc>
        <w:tc>
          <w:tcPr>
            <w:tcW w:w="935" w:type="pct"/>
            <w:shd w:val="clear" w:color="auto" w:fill="FFFFFF"/>
            <w:vAlign w:val="center"/>
            <w:hideMark/>
          </w:tcPr>
          <w:p w14:paraId="65845FD9" w14:textId="77777777" w:rsidR="00E35FCB" w:rsidRPr="00712F3C" w:rsidRDefault="00E35FCB" w:rsidP="00250DAC">
            <w:pPr>
              <w:spacing w:after="0" w:line="240" w:lineRule="auto"/>
              <w:jc w:val="center"/>
              <w:rPr>
                <w:rFonts w:ascii="Times New Roman" w:hAnsi="Times New Roman"/>
                <w:color w:val="000000"/>
                <w:sz w:val="20"/>
                <w:szCs w:val="20"/>
                <w:lang w:val="en-GB"/>
              </w:rPr>
            </w:pPr>
            <w:r w:rsidRPr="00712F3C">
              <w:rPr>
                <w:rFonts w:ascii="Times New Roman" w:hAnsi="Times New Roman"/>
                <w:color w:val="000000"/>
                <w:sz w:val="20"/>
                <w:szCs w:val="20"/>
                <w:lang w:val="en-GB"/>
              </w:rPr>
              <w:t>Nil</w:t>
            </w:r>
          </w:p>
        </w:tc>
      </w:tr>
      <w:tr w:rsidR="00E35FCB" w:rsidRPr="00712F3C" w14:paraId="423A14F0" w14:textId="77777777" w:rsidTr="00250DAC">
        <w:trPr>
          <w:trHeight w:val="620"/>
        </w:trPr>
        <w:tc>
          <w:tcPr>
            <w:tcW w:w="1896" w:type="pct"/>
            <w:shd w:val="clear" w:color="auto" w:fill="FFFFFF"/>
            <w:hideMark/>
          </w:tcPr>
          <w:p w14:paraId="097E9471" w14:textId="77777777" w:rsidR="00E35FCB" w:rsidRDefault="00E35FCB" w:rsidP="00250DAC">
            <w:pPr>
              <w:spacing w:after="0" w:line="240" w:lineRule="auto"/>
              <w:jc w:val="both"/>
              <w:rPr>
                <w:rFonts w:ascii="Times New Roman" w:eastAsia="MS Mincho" w:hAnsi="Times New Roman"/>
                <w:b/>
                <w:sz w:val="20"/>
                <w:szCs w:val="20"/>
                <w:lang w:val="en-GB"/>
              </w:rPr>
            </w:pPr>
            <w:r w:rsidRPr="00957C3F">
              <w:rPr>
                <w:rFonts w:ascii="Times New Roman" w:eastAsia="MS Mincho" w:hAnsi="Times New Roman"/>
                <w:b/>
                <w:sz w:val="20"/>
                <w:szCs w:val="20"/>
                <w:lang w:val="en-GB"/>
              </w:rPr>
              <w:t>Bhavesh Ramgopal Maheshwari</w:t>
            </w:r>
          </w:p>
          <w:p w14:paraId="58115F42" w14:textId="77777777" w:rsidR="00E35FCB" w:rsidRPr="00712F3C" w:rsidRDefault="00E35FCB" w:rsidP="00250DAC">
            <w:pPr>
              <w:spacing w:after="0" w:line="240" w:lineRule="auto"/>
              <w:jc w:val="both"/>
              <w:rPr>
                <w:rFonts w:ascii="Times New Roman" w:hAnsi="Times New Roman"/>
                <w:color w:val="000000"/>
                <w:sz w:val="20"/>
                <w:szCs w:val="20"/>
                <w:lang w:val="en-GB"/>
              </w:rPr>
            </w:pPr>
            <w:r w:rsidRPr="00712F3C">
              <w:rPr>
                <w:rFonts w:ascii="Times New Roman" w:hAnsi="Times New Roman"/>
                <w:b/>
                <w:color w:val="000000"/>
                <w:sz w:val="20"/>
                <w:szCs w:val="20"/>
                <w:lang w:val="en-GB"/>
              </w:rPr>
              <w:t xml:space="preserve">Designation: </w:t>
            </w:r>
            <w:r>
              <w:rPr>
                <w:rFonts w:ascii="Times New Roman" w:hAnsi="Times New Roman"/>
                <w:color w:val="000000"/>
                <w:sz w:val="20"/>
                <w:szCs w:val="20"/>
                <w:lang w:val="en-GB"/>
              </w:rPr>
              <w:t>Managing</w:t>
            </w:r>
            <w:r w:rsidRPr="00712F3C">
              <w:rPr>
                <w:rFonts w:ascii="Times New Roman" w:hAnsi="Times New Roman"/>
                <w:color w:val="000000"/>
                <w:sz w:val="20"/>
                <w:szCs w:val="20"/>
                <w:lang w:val="en-GB"/>
              </w:rPr>
              <w:t xml:space="preserve"> Director </w:t>
            </w:r>
          </w:p>
          <w:p w14:paraId="2D804743" w14:textId="77777777" w:rsidR="00E35FCB" w:rsidRDefault="00E35FCB" w:rsidP="00250DAC">
            <w:pPr>
              <w:spacing w:after="0" w:line="240" w:lineRule="auto"/>
              <w:jc w:val="both"/>
              <w:rPr>
                <w:rFonts w:ascii="Times New Roman" w:hAnsi="Times New Roman"/>
                <w:b/>
                <w:sz w:val="20"/>
                <w:szCs w:val="20"/>
              </w:rPr>
            </w:pPr>
            <w:r w:rsidRPr="00712F3C">
              <w:rPr>
                <w:rFonts w:ascii="Times New Roman" w:hAnsi="Times New Roman"/>
                <w:b/>
                <w:color w:val="000000"/>
                <w:sz w:val="20"/>
                <w:szCs w:val="20"/>
                <w:lang w:val="en-GB"/>
              </w:rPr>
              <w:t xml:space="preserve">Educational Qualification: </w:t>
            </w:r>
            <w:r>
              <w:rPr>
                <w:rFonts w:ascii="Times New Roman" w:eastAsia="Adobe Garamond Pro" w:hAnsi="Times New Roman"/>
                <w:iCs/>
                <w:sz w:val="20"/>
                <w:szCs w:val="20"/>
              </w:rPr>
              <w:t>Bachelor in Commerce</w:t>
            </w:r>
            <w:r w:rsidRPr="00712F3C">
              <w:rPr>
                <w:rFonts w:ascii="Times New Roman" w:hAnsi="Times New Roman"/>
                <w:b/>
                <w:sz w:val="20"/>
                <w:szCs w:val="20"/>
              </w:rPr>
              <w:t xml:space="preserve"> </w:t>
            </w:r>
          </w:p>
          <w:p w14:paraId="2D3A987A" w14:textId="77777777" w:rsidR="00E35FCB" w:rsidRPr="00712F3C" w:rsidRDefault="00E35FCB" w:rsidP="00250DAC">
            <w:pPr>
              <w:spacing w:after="0" w:line="240" w:lineRule="auto"/>
              <w:jc w:val="both"/>
              <w:rPr>
                <w:rFonts w:ascii="Times New Roman" w:hAnsi="Times New Roman"/>
                <w:b/>
                <w:bCs/>
                <w:color w:val="000000"/>
                <w:sz w:val="20"/>
                <w:szCs w:val="20"/>
                <w:lang w:val="en-GB" w:bidi="en-US"/>
              </w:rPr>
            </w:pPr>
            <w:r w:rsidRPr="00712F3C">
              <w:rPr>
                <w:rFonts w:ascii="Times New Roman" w:hAnsi="Times New Roman"/>
                <w:b/>
                <w:sz w:val="20"/>
                <w:szCs w:val="20"/>
              </w:rPr>
              <w:t xml:space="preserve">Term of office: </w:t>
            </w:r>
            <w:r w:rsidRPr="00712F3C">
              <w:rPr>
                <w:rFonts w:ascii="Times New Roman" w:hAnsi="Times New Roman"/>
                <w:sz w:val="20"/>
                <w:szCs w:val="20"/>
              </w:rPr>
              <w:t xml:space="preserve">For a period of three years with effect from </w:t>
            </w:r>
            <w:r>
              <w:rPr>
                <w:rFonts w:ascii="Times New Roman" w:hAnsi="Times New Roman"/>
                <w:sz w:val="20"/>
                <w:szCs w:val="20"/>
              </w:rPr>
              <w:t xml:space="preserve">August 25, 2023, </w:t>
            </w:r>
            <w:r w:rsidRPr="00712F3C">
              <w:rPr>
                <w:rFonts w:ascii="Times New Roman" w:hAnsi="Times New Roman"/>
                <w:sz w:val="20"/>
                <w:szCs w:val="20"/>
              </w:rPr>
              <w:t>liable to retire by rotation</w:t>
            </w:r>
          </w:p>
        </w:tc>
        <w:tc>
          <w:tcPr>
            <w:tcW w:w="406" w:type="pct"/>
            <w:shd w:val="clear" w:color="auto" w:fill="FFFFFF"/>
            <w:vAlign w:val="center"/>
            <w:hideMark/>
          </w:tcPr>
          <w:p w14:paraId="3BF85092" w14:textId="77777777" w:rsidR="00E35FCB" w:rsidRPr="00712F3C" w:rsidRDefault="00E35FCB" w:rsidP="00250DAC">
            <w:pPr>
              <w:spacing w:after="0" w:line="240" w:lineRule="auto"/>
              <w:jc w:val="center"/>
              <w:rPr>
                <w:rFonts w:ascii="Times New Roman" w:hAnsi="Times New Roman"/>
                <w:color w:val="000000"/>
                <w:sz w:val="20"/>
                <w:szCs w:val="20"/>
                <w:lang w:val="en-GB"/>
              </w:rPr>
            </w:pPr>
            <w:r>
              <w:rPr>
                <w:rFonts w:ascii="Times New Roman" w:hAnsi="Times New Roman"/>
                <w:color w:val="000000"/>
                <w:sz w:val="20"/>
                <w:szCs w:val="20"/>
                <w:lang w:val="en-GB"/>
              </w:rPr>
              <w:t>30</w:t>
            </w:r>
          </w:p>
        </w:tc>
        <w:tc>
          <w:tcPr>
            <w:tcW w:w="475" w:type="pct"/>
            <w:shd w:val="clear" w:color="auto" w:fill="FFFFFF"/>
            <w:vAlign w:val="center"/>
          </w:tcPr>
          <w:p w14:paraId="4037B91F" w14:textId="77777777" w:rsidR="00E35FCB" w:rsidRPr="00712F3C" w:rsidRDefault="00E35FCB" w:rsidP="00250DAC">
            <w:pPr>
              <w:spacing w:after="0" w:line="240" w:lineRule="auto"/>
              <w:jc w:val="center"/>
              <w:rPr>
                <w:rFonts w:ascii="Times New Roman" w:hAnsi="Times New Roman"/>
                <w:color w:val="000000"/>
                <w:sz w:val="20"/>
                <w:szCs w:val="20"/>
                <w:lang w:val="en-GB"/>
              </w:rPr>
            </w:pPr>
            <w:r>
              <w:rPr>
                <w:rFonts w:ascii="Times New Roman" w:hAnsi="Times New Roman"/>
                <w:color w:val="000000"/>
                <w:sz w:val="20"/>
                <w:szCs w:val="20"/>
                <w:lang w:val="en-GB"/>
              </w:rPr>
              <w:t>2017</w:t>
            </w:r>
          </w:p>
        </w:tc>
        <w:tc>
          <w:tcPr>
            <w:tcW w:w="746" w:type="pct"/>
            <w:shd w:val="clear" w:color="auto" w:fill="auto"/>
            <w:vAlign w:val="center"/>
            <w:hideMark/>
          </w:tcPr>
          <w:p w14:paraId="34C5AA10" w14:textId="77777777" w:rsidR="00E35FCB" w:rsidRPr="00712F3C" w:rsidRDefault="00E35FCB" w:rsidP="00250DAC">
            <w:pPr>
              <w:spacing w:after="0" w:line="240" w:lineRule="auto"/>
              <w:jc w:val="center"/>
              <w:rPr>
                <w:rFonts w:ascii="Times New Roman" w:hAnsi="Times New Roman"/>
                <w:color w:val="000000"/>
                <w:sz w:val="20"/>
                <w:szCs w:val="20"/>
                <w:lang w:val="en-GB"/>
              </w:rPr>
            </w:pPr>
            <w:r>
              <w:rPr>
                <w:rFonts w:ascii="Times New Roman" w:hAnsi="Times New Roman"/>
                <w:color w:val="000000"/>
                <w:sz w:val="20"/>
                <w:szCs w:val="20"/>
                <w:lang w:val="en-GB"/>
              </w:rPr>
              <w:t>42.00</w:t>
            </w:r>
          </w:p>
        </w:tc>
        <w:tc>
          <w:tcPr>
            <w:tcW w:w="542" w:type="pct"/>
            <w:shd w:val="clear" w:color="auto" w:fill="FFFFFF"/>
            <w:vAlign w:val="center"/>
          </w:tcPr>
          <w:p w14:paraId="1E19EC73" w14:textId="77777777" w:rsidR="00E35FCB" w:rsidRPr="00712F3C" w:rsidRDefault="00E35FCB" w:rsidP="00250DAC">
            <w:pPr>
              <w:spacing w:after="0" w:line="240" w:lineRule="auto"/>
              <w:jc w:val="center"/>
              <w:rPr>
                <w:rFonts w:ascii="Times New Roman" w:hAnsi="Times New Roman"/>
                <w:color w:val="000000"/>
                <w:sz w:val="20"/>
                <w:szCs w:val="20"/>
                <w:highlight w:val="yellow"/>
                <w:lang w:val="en-GB"/>
              </w:rPr>
            </w:pPr>
            <w:r>
              <w:rPr>
                <w:rFonts w:ascii="Times New Roman" w:hAnsi="Times New Roman"/>
                <w:color w:val="000000"/>
                <w:sz w:val="20"/>
                <w:szCs w:val="20"/>
                <w:lang w:val="en-GB"/>
              </w:rPr>
              <w:t>6</w:t>
            </w:r>
          </w:p>
        </w:tc>
        <w:tc>
          <w:tcPr>
            <w:tcW w:w="935" w:type="pct"/>
            <w:shd w:val="clear" w:color="auto" w:fill="FFFFFF"/>
            <w:vAlign w:val="center"/>
            <w:hideMark/>
          </w:tcPr>
          <w:p w14:paraId="6390B9F0" w14:textId="77777777" w:rsidR="00E35FCB" w:rsidRPr="00712F3C" w:rsidRDefault="00E35FCB" w:rsidP="00250DAC">
            <w:pPr>
              <w:spacing w:after="0" w:line="240" w:lineRule="auto"/>
              <w:jc w:val="center"/>
              <w:rPr>
                <w:rFonts w:ascii="Times New Roman" w:hAnsi="Times New Roman"/>
                <w:color w:val="000000"/>
                <w:sz w:val="20"/>
                <w:szCs w:val="20"/>
                <w:lang w:val="en-GB"/>
              </w:rPr>
            </w:pPr>
            <w:r w:rsidRPr="00712F3C">
              <w:rPr>
                <w:rFonts w:ascii="Times New Roman" w:hAnsi="Times New Roman"/>
                <w:color w:val="000000"/>
                <w:sz w:val="20"/>
                <w:szCs w:val="20"/>
                <w:lang w:val="en-GB"/>
              </w:rPr>
              <w:t>Nil</w:t>
            </w:r>
          </w:p>
        </w:tc>
      </w:tr>
      <w:tr w:rsidR="00E35FCB" w:rsidRPr="00712F3C" w14:paraId="2E7060B4" w14:textId="77777777" w:rsidTr="00250DAC">
        <w:trPr>
          <w:trHeight w:val="620"/>
        </w:trPr>
        <w:tc>
          <w:tcPr>
            <w:tcW w:w="1896" w:type="pct"/>
            <w:shd w:val="clear" w:color="auto" w:fill="FFFFFF"/>
          </w:tcPr>
          <w:p w14:paraId="4942127B" w14:textId="77777777" w:rsidR="00E35FCB" w:rsidRDefault="00E35FCB" w:rsidP="00250DAC">
            <w:pPr>
              <w:spacing w:after="0" w:line="240" w:lineRule="auto"/>
              <w:jc w:val="both"/>
              <w:rPr>
                <w:rFonts w:ascii="Times New Roman" w:eastAsia="MS Mincho" w:hAnsi="Times New Roman"/>
                <w:b/>
                <w:sz w:val="20"/>
                <w:szCs w:val="20"/>
                <w:lang w:val="en-GB"/>
              </w:rPr>
            </w:pPr>
            <w:r w:rsidRPr="00354EDA">
              <w:rPr>
                <w:rFonts w:ascii="Times New Roman" w:eastAsia="MS Mincho" w:hAnsi="Times New Roman"/>
                <w:b/>
                <w:sz w:val="20"/>
                <w:szCs w:val="20"/>
                <w:lang w:val="en-GB"/>
              </w:rPr>
              <w:t>Megha Bhavesh Maheshwari</w:t>
            </w:r>
          </w:p>
          <w:p w14:paraId="06CBC39E" w14:textId="77777777" w:rsidR="00E35FCB" w:rsidRPr="00712F3C" w:rsidRDefault="00E35FCB" w:rsidP="00250DAC">
            <w:pPr>
              <w:spacing w:after="0" w:line="240" w:lineRule="auto"/>
              <w:jc w:val="both"/>
              <w:rPr>
                <w:rFonts w:ascii="Times New Roman" w:hAnsi="Times New Roman"/>
                <w:color w:val="000000"/>
                <w:sz w:val="20"/>
                <w:szCs w:val="20"/>
                <w:lang w:val="en-GB"/>
              </w:rPr>
            </w:pPr>
            <w:r w:rsidRPr="00712F3C">
              <w:rPr>
                <w:rFonts w:ascii="Times New Roman" w:hAnsi="Times New Roman"/>
                <w:b/>
                <w:color w:val="000000"/>
                <w:sz w:val="20"/>
                <w:szCs w:val="20"/>
                <w:lang w:val="en-GB"/>
              </w:rPr>
              <w:t xml:space="preserve">Designation: </w:t>
            </w:r>
            <w:r w:rsidRPr="00712F3C">
              <w:rPr>
                <w:rFonts w:ascii="Times New Roman" w:hAnsi="Times New Roman"/>
                <w:color w:val="000000"/>
                <w:sz w:val="20"/>
                <w:szCs w:val="20"/>
                <w:lang w:val="en-GB"/>
              </w:rPr>
              <w:t xml:space="preserve">Chief Financial Officer  </w:t>
            </w:r>
          </w:p>
          <w:p w14:paraId="521C2A16" w14:textId="77777777" w:rsidR="00E35FCB" w:rsidRPr="00712F3C" w:rsidRDefault="00E35FCB" w:rsidP="00250DAC">
            <w:pPr>
              <w:spacing w:after="0" w:line="240" w:lineRule="auto"/>
              <w:jc w:val="both"/>
              <w:rPr>
                <w:rFonts w:ascii="Times New Roman" w:hAnsi="Times New Roman"/>
                <w:sz w:val="20"/>
                <w:szCs w:val="20"/>
              </w:rPr>
            </w:pPr>
            <w:r w:rsidRPr="00712F3C">
              <w:rPr>
                <w:rFonts w:ascii="Times New Roman" w:hAnsi="Times New Roman"/>
                <w:b/>
                <w:color w:val="000000"/>
                <w:sz w:val="20"/>
                <w:szCs w:val="20"/>
                <w:lang w:val="en-GB"/>
              </w:rPr>
              <w:t xml:space="preserve">Educational Qualification: </w:t>
            </w:r>
            <w:r w:rsidRPr="00712F3C">
              <w:rPr>
                <w:rFonts w:ascii="Times New Roman" w:hAnsi="Times New Roman"/>
                <w:sz w:val="20"/>
                <w:szCs w:val="20"/>
              </w:rPr>
              <w:t xml:space="preserve">Chartered Accountant, B. Com </w:t>
            </w:r>
          </w:p>
        </w:tc>
        <w:tc>
          <w:tcPr>
            <w:tcW w:w="406" w:type="pct"/>
            <w:shd w:val="clear" w:color="auto" w:fill="FFFFFF"/>
            <w:vAlign w:val="center"/>
          </w:tcPr>
          <w:p w14:paraId="1D8775D8" w14:textId="77777777" w:rsidR="00E35FCB" w:rsidRPr="00712F3C" w:rsidRDefault="00E35FCB" w:rsidP="00250DAC">
            <w:pPr>
              <w:spacing w:after="0" w:line="240" w:lineRule="auto"/>
              <w:jc w:val="center"/>
              <w:rPr>
                <w:rFonts w:ascii="Times New Roman" w:hAnsi="Times New Roman"/>
                <w:color w:val="000000"/>
                <w:sz w:val="20"/>
                <w:szCs w:val="20"/>
                <w:lang w:val="en-GB"/>
              </w:rPr>
            </w:pPr>
            <w:r>
              <w:rPr>
                <w:rFonts w:ascii="Times New Roman" w:hAnsi="Times New Roman"/>
                <w:color w:val="000000"/>
                <w:sz w:val="20"/>
                <w:szCs w:val="20"/>
                <w:lang w:val="en-GB"/>
              </w:rPr>
              <w:t>56</w:t>
            </w:r>
          </w:p>
        </w:tc>
        <w:tc>
          <w:tcPr>
            <w:tcW w:w="475" w:type="pct"/>
            <w:shd w:val="clear" w:color="auto" w:fill="FFFFFF"/>
            <w:vAlign w:val="center"/>
          </w:tcPr>
          <w:p w14:paraId="70C0AFDD" w14:textId="77777777" w:rsidR="00E35FCB" w:rsidRPr="00712F3C" w:rsidRDefault="00E35FCB" w:rsidP="00250DAC">
            <w:pPr>
              <w:spacing w:after="0" w:line="240" w:lineRule="auto"/>
              <w:jc w:val="center"/>
              <w:rPr>
                <w:rFonts w:ascii="Times New Roman" w:hAnsi="Times New Roman"/>
                <w:color w:val="000000"/>
                <w:sz w:val="20"/>
                <w:szCs w:val="20"/>
                <w:lang w:val="en-GB"/>
              </w:rPr>
            </w:pPr>
            <w:r>
              <w:rPr>
                <w:rFonts w:ascii="Times New Roman" w:hAnsi="Times New Roman"/>
                <w:color w:val="000000"/>
                <w:sz w:val="20"/>
                <w:szCs w:val="20"/>
                <w:lang w:val="en-GB"/>
              </w:rPr>
              <w:t>2023</w:t>
            </w:r>
          </w:p>
        </w:tc>
        <w:tc>
          <w:tcPr>
            <w:tcW w:w="746" w:type="pct"/>
            <w:shd w:val="clear" w:color="auto" w:fill="auto"/>
            <w:vAlign w:val="center"/>
          </w:tcPr>
          <w:p w14:paraId="2B27ADAB" w14:textId="77777777" w:rsidR="00E35FCB" w:rsidRPr="00712F3C" w:rsidRDefault="00E35FCB" w:rsidP="00250DAC">
            <w:pPr>
              <w:spacing w:after="0" w:line="240" w:lineRule="auto"/>
              <w:jc w:val="center"/>
              <w:rPr>
                <w:rFonts w:ascii="Times New Roman" w:hAnsi="Times New Roman"/>
                <w:color w:val="000000"/>
                <w:sz w:val="20"/>
                <w:szCs w:val="20"/>
                <w:lang w:val="en-GB"/>
              </w:rPr>
            </w:pPr>
            <w:r>
              <w:rPr>
                <w:rFonts w:ascii="Times New Roman" w:hAnsi="Times New Roman"/>
                <w:color w:val="000000"/>
                <w:sz w:val="20"/>
                <w:szCs w:val="20"/>
                <w:lang w:val="en-GB"/>
              </w:rPr>
              <w:t>25.20</w:t>
            </w:r>
          </w:p>
        </w:tc>
        <w:tc>
          <w:tcPr>
            <w:tcW w:w="542" w:type="pct"/>
            <w:shd w:val="clear" w:color="auto" w:fill="FFFFFF"/>
            <w:vAlign w:val="center"/>
          </w:tcPr>
          <w:p w14:paraId="2C3E40AE" w14:textId="77777777" w:rsidR="00E35FCB" w:rsidRPr="00354EDA" w:rsidRDefault="00E35FCB" w:rsidP="00250DAC">
            <w:pPr>
              <w:spacing w:after="0" w:line="240" w:lineRule="auto"/>
              <w:jc w:val="center"/>
              <w:rPr>
                <w:rFonts w:ascii="Times New Roman" w:hAnsi="Times New Roman"/>
                <w:color w:val="000000"/>
                <w:sz w:val="20"/>
                <w:szCs w:val="20"/>
                <w:highlight w:val="yellow"/>
                <w:lang w:val="en-GB"/>
              </w:rPr>
            </w:pPr>
            <w:r w:rsidRPr="007217FA">
              <w:rPr>
                <w:rFonts w:ascii="Times New Roman" w:hAnsi="Times New Roman"/>
                <w:color w:val="000000"/>
                <w:sz w:val="20"/>
                <w:szCs w:val="20"/>
                <w:lang w:val="en-GB"/>
              </w:rPr>
              <w:t>2</w:t>
            </w:r>
          </w:p>
        </w:tc>
        <w:tc>
          <w:tcPr>
            <w:tcW w:w="935" w:type="pct"/>
            <w:shd w:val="clear" w:color="auto" w:fill="FFFFFF"/>
            <w:vAlign w:val="center"/>
          </w:tcPr>
          <w:p w14:paraId="6B441898" w14:textId="77777777" w:rsidR="00E35FCB" w:rsidRPr="00354EDA" w:rsidRDefault="00E35FCB" w:rsidP="00F37091">
            <w:pPr>
              <w:spacing w:after="0" w:line="240" w:lineRule="auto"/>
              <w:jc w:val="both"/>
              <w:rPr>
                <w:rFonts w:ascii="Times New Roman" w:hAnsi="Times New Roman"/>
                <w:color w:val="000000"/>
                <w:sz w:val="20"/>
                <w:szCs w:val="20"/>
                <w:highlight w:val="yellow"/>
                <w:lang w:val="en-GB"/>
              </w:rPr>
            </w:pPr>
            <w:r w:rsidRPr="007217FA">
              <w:rPr>
                <w:rFonts w:ascii="Times New Roman" w:hAnsi="Times New Roman"/>
                <w:color w:val="000000"/>
                <w:sz w:val="20"/>
                <w:szCs w:val="20"/>
                <w:lang w:val="en-GB"/>
              </w:rPr>
              <w:t>JB Marble Pvt Ltd</w:t>
            </w:r>
          </w:p>
        </w:tc>
      </w:tr>
      <w:tr w:rsidR="00E35FCB" w:rsidRPr="00712F3C" w14:paraId="36B4BA58" w14:textId="77777777" w:rsidTr="00250DAC">
        <w:trPr>
          <w:trHeight w:val="908"/>
        </w:trPr>
        <w:tc>
          <w:tcPr>
            <w:tcW w:w="1896" w:type="pct"/>
            <w:shd w:val="clear" w:color="auto" w:fill="FFFFFF"/>
            <w:hideMark/>
          </w:tcPr>
          <w:p w14:paraId="283A9902" w14:textId="77777777" w:rsidR="00E35FCB" w:rsidRPr="003A4EB9" w:rsidRDefault="00E35FCB" w:rsidP="00250DAC">
            <w:pPr>
              <w:spacing w:after="0" w:line="240" w:lineRule="auto"/>
              <w:jc w:val="both"/>
              <w:rPr>
                <w:rFonts w:ascii="Times New Roman" w:hAnsi="Times New Roman"/>
                <w:b/>
                <w:bCs/>
                <w:sz w:val="20"/>
                <w:szCs w:val="20"/>
                <w:lang w:val="en-GB"/>
              </w:rPr>
            </w:pPr>
            <w:r w:rsidRPr="003A4EB9">
              <w:rPr>
                <w:rFonts w:ascii="Times New Roman" w:hAnsi="Times New Roman"/>
                <w:b/>
                <w:bCs/>
                <w:sz w:val="20"/>
                <w:szCs w:val="20"/>
              </w:rPr>
              <w:t xml:space="preserve">Kiran </w:t>
            </w:r>
            <w:r w:rsidRPr="00A22C27">
              <w:rPr>
                <w:rFonts w:ascii="Times New Roman" w:eastAsiaTheme="minorHAnsi" w:hAnsi="Times New Roman"/>
                <w:b/>
                <w:bCs/>
                <w:sz w:val="20"/>
                <w:szCs w:val="20"/>
              </w:rPr>
              <w:t>Parmanand</w:t>
            </w:r>
            <w:r>
              <w:rPr>
                <w:rFonts w:ascii="Helvetica" w:eastAsiaTheme="minorHAnsi" w:hAnsi="Helvetica" w:cs="Helvetica"/>
                <w:sz w:val="20"/>
                <w:szCs w:val="20"/>
              </w:rPr>
              <w:t xml:space="preserve"> </w:t>
            </w:r>
            <w:r w:rsidRPr="003A4EB9">
              <w:rPr>
                <w:rFonts w:ascii="Times New Roman" w:hAnsi="Times New Roman"/>
                <w:b/>
                <w:bCs/>
                <w:sz w:val="20"/>
                <w:szCs w:val="20"/>
              </w:rPr>
              <w:t>Goklani</w:t>
            </w:r>
          </w:p>
          <w:p w14:paraId="6B0C9D5E" w14:textId="77777777" w:rsidR="00E35FCB" w:rsidRPr="003A4EB9" w:rsidRDefault="00E35FCB" w:rsidP="00250DAC">
            <w:pPr>
              <w:spacing w:after="0" w:line="240" w:lineRule="auto"/>
              <w:jc w:val="both"/>
              <w:rPr>
                <w:rFonts w:ascii="Times New Roman" w:hAnsi="Times New Roman"/>
                <w:color w:val="000000"/>
                <w:sz w:val="20"/>
                <w:szCs w:val="20"/>
                <w:lang w:val="en-GB"/>
              </w:rPr>
            </w:pPr>
            <w:r w:rsidRPr="003A4EB9">
              <w:rPr>
                <w:rFonts w:ascii="Times New Roman" w:hAnsi="Times New Roman"/>
                <w:b/>
                <w:color w:val="000000"/>
                <w:sz w:val="20"/>
                <w:szCs w:val="20"/>
                <w:lang w:val="en-GB"/>
              </w:rPr>
              <w:t>Designation:</w:t>
            </w:r>
            <w:r w:rsidRPr="003A4EB9">
              <w:rPr>
                <w:rFonts w:ascii="Times New Roman" w:hAnsi="Times New Roman"/>
                <w:color w:val="000000"/>
                <w:sz w:val="20"/>
                <w:szCs w:val="20"/>
                <w:lang w:val="en-GB"/>
              </w:rPr>
              <w:t xml:space="preserve"> Company Secretary and Compliance Officer</w:t>
            </w:r>
          </w:p>
          <w:p w14:paraId="5DFE0F77" w14:textId="77777777" w:rsidR="00E35FCB" w:rsidRPr="00354EDA" w:rsidRDefault="00E35FCB" w:rsidP="00250DAC">
            <w:pPr>
              <w:spacing w:after="0" w:line="240" w:lineRule="auto"/>
              <w:jc w:val="both"/>
              <w:rPr>
                <w:rFonts w:ascii="Times New Roman" w:hAnsi="Times New Roman"/>
                <w:color w:val="000000"/>
                <w:sz w:val="20"/>
                <w:szCs w:val="20"/>
                <w:highlight w:val="yellow"/>
                <w:lang w:val="en-GB"/>
              </w:rPr>
            </w:pPr>
            <w:r w:rsidRPr="003A4EB9">
              <w:rPr>
                <w:rFonts w:ascii="Times New Roman" w:hAnsi="Times New Roman"/>
                <w:b/>
                <w:color w:val="000000"/>
                <w:sz w:val="20"/>
                <w:szCs w:val="20"/>
                <w:lang w:val="en-GB"/>
              </w:rPr>
              <w:t>Educational Qualification:</w:t>
            </w:r>
            <w:r w:rsidRPr="003A4EB9">
              <w:rPr>
                <w:rFonts w:ascii="Times New Roman" w:hAnsi="Times New Roman"/>
                <w:color w:val="000000"/>
                <w:sz w:val="20"/>
                <w:szCs w:val="20"/>
                <w:lang w:val="en-GB"/>
              </w:rPr>
              <w:t xml:space="preserve"> Company Secretary </w:t>
            </w:r>
          </w:p>
        </w:tc>
        <w:tc>
          <w:tcPr>
            <w:tcW w:w="406" w:type="pct"/>
            <w:shd w:val="clear" w:color="auto" w:fill="FFFFFF"/>
            <w:vAlign w:val="center"/>
          </w:tcPr>
          <w:p w14:paraId="76A42CDB" w14:textId="77777777" w:rsidR="00E35FCB" w:rsidRPr="00354EDA" w:rsidRDefault="00E35FCB" w:rsidP="00250DAC">
            <w:pPr>
              <w:spacing w:after="0" w:line="240" w:lineRule="auto"/>
              <w:jc w:val="center"/>
              <w:rPr>
                <w:rFonts w:ascii="Times New Roman" w:hAnsi="Times New Roman"/>
                <w:color w:val="000000"/>
                <w:sz w:val="20"/>
                <w:szCs w:val="20"/>
                <w:highlight w:val="yellow"/>
                <w:lang w:val="en-GB"/>
              </w:rPr>
            </w:pPr>
            <w:r w:rsidRPr="00A22C27">
              <w:rPr>
                <w:rFonts w:ascii="Times New Roman" w:hAnsi="Times New Roman"/>
                <w:color w:val="000000"/>
                <w:sz w:val="20"/>
                <w:szCs w:val="20"/>
                <w:lang w:val="en-GB"/>
              </w:rPr>
              <w:t>30</w:t>
            </w:r>
          </w:p>
        </w:tc>
        <w:tc>
          <w:tcPr>
            <w:tcW w:w="475" w:type="pct"/>
            <w:shd w:val="clear" w:color="auto" w:fill="FFFFFF"/>
            <w:vAlign w:val="center"/>
          </w:tcPr>
          <w:p w14:paraId="1359CB97" w14:textId="77777777" w:rsidR="00E35FCB" w:rsidRPr="005E13B9" w:rsidRDefault="00E35FCB" w:rsidP="00250DAC">
            <w:pPr>
              <w:spacing w:after="0" w:line="240" w:lineRule="auto"/>
              <w:jc w:val="center"/>
              <w:rPr>
                <w:rFonts w:ascii="Times New Roman" w:hAnsi="Times New Roman"/>
                <w:color w:val="000000"/>
                <w:sz w:val="20"/>
                <w:szCs w:val="20"/>
                <w:lang w:val="en-GB"/>
              </w:rPr>
            </w:pPr>
            <w:r w:rsidRPr="005E13B9">
              <w:rPr>
                <w:rFonts w:ascii="Times New Roman" w:hAnsi="Times New Roman"/>
                <w:color w:val="000000"/>
                <w:sz w:val="20"/>
                <w:szCs w:val="20"/>
                <w:lang w:val="en-GB"/>
              </w:rPr>
              <w:t>2023</w:t>
            </w:r>
          </w:p>
        </w:tc>
        <w:tc>
          <w:tcPr>
            <w:tcW w:w="746" w:type="pct"/>
            <w:shd w:val="clear" w:color="auto" w:fill="auto"/>
            <w:vAlign w:val="center"/>
            <w:hideMark/>
          </w:tcPr>
          <w:p w14:paraId="76E42769" w14:textId="77777777" w:rsidR="00E35FCB" w:rsidRPr="005E13B9" w:rsidRDefault="00E35FCB" w:rsidP="00250DAC">
            <w:pPr>
              <w:spacing w:after="0" w:line="240" w:lineRule="auto"/>
              <w:jc w:val="center"/>
              <w:rPr>
                <w:rFonts w:ascii="Times New Roman" w:hAnsi="Times New Roman"/>
                <w:color w:val="000000"/>
                <w:sz w:val="20"/>
                <w:szCs w:val="20"/>
                <w:lang w:val="en-GB"/>
              </w:rPr>
            </w:pPr>
            <w:r w:rsidRPr="005E13B9">
              <w:rPr>
                <w:rFonts w:ascii="Times New Roman" w:hAnsi="Times New Roman"/>
                <w:color w:val="000000"/>
                <w:sz w:val="20"/>
                <w:szCs w:val="20"/>
                <w:lang w:val="en-GB"/>
              </w:rPr>
              <w:t>Nil</w:t>
            </w:r>
          </w:p>
        </w:tc>
        <w:tc>
          <w:tcPr>
            <w:tcW w:w="542" w:type="pct"/>
            <w:shd w:val="clear" w:color="auto" w:fill="FFFFFF"/>
            <w:vAlign w:val="center"/>
          </w:tcPr>
          <w:p w14:paraId="29C8D2E5" w14:textId="77777777" w:rsidR="00E35FCB" w:rsidRPr="005E13B9" w:rsidRDefault="00E35FCB" w:rsidP="00250DAC">
            <w:pPr>
              <w:spacing w:after="0" w:line="240" w:lineRule="auto"/>
              <w:jc w:val="center"/>
              <w:rPr>
                <w:rFonts w:ascii="Times New Roman" w:hAnsi="Times New Roman"/>
                <w:color w:val="000000"/>
                <w:sz w:val="20"/>
                <w:szCs w:val="20"/>
                <w:lang w:val="en-GB"/>
              </w:rPr>
            </w:pPr>
            <w:r w:rsidRPr="005E13B9">
              <w:rPr>
                <w:rFonts w:ascii="Times New Roman" w:hAnsi="Times New Roman"/>
                <w:color w:val="000000"/>
                <w:sz w:val="20"/>
                <w:szCs w:val="20"/>
                <w:lang w:val="en-GB"/>
              </w:rPr>
              <w:t>6</w:t>
            </w:r>
          </w:p>
        </w:tc>
        <w:tc>
          <w:tcPr>
            <w:tcW w:w="935" w:type="pct"/>
            <w:shd w:val="clear" w:color="auto" w:fill="FFFFFF"/>
            <w:vAlign w:val="center"/>
            <w:hideMark/>
          </w:tcPr>
          <w:p w14:paraId="184F5676" w14:textId="77777777" w:rsidR="00E35FCB" w:rsidRPr="005E13B9" w:rsidRDefault="00E35FCB" w:rsidP="00250DAC">
            <w:pPr>
              <w:spacing w:after="0" w:line="240" w:lineRule="auto"/>
              <w:jc w:val="both"/>
              <w:rPr>
                <w:rFonts w:ascii="Times New Roman" w:hAnsi="Times New Roman"/>
                <w:color w:val="000000"/>
                <w:sz w:val="20"/>
                <w:szCs w:val="20"/>
                <w:lang w:val="en-GB"/>
              </w:rPr>
            </w:pPr>
            <w:r w:rsidRPr="005E13B9">
              <w:rPr>
                <w:rFonts w:ascii="Times New Roman" w:hAnsi="Times New Roman"/>
                <w:color w:val="000000"/>
                <w:sz w:val="20"/>
                <w:szCs w:val="20"/>
                <w:lang w:val="en-GB"/>
              </w:rPr>
              <w:t>Dhiwise Private Limited</w:t>
            </w:r>
          </w:p>
        </w:tc>
      </w:tr>
    </w:tbl>
    <w:p w14:paraId="4E5D94C4" w14:textId="77777777" w:rsidR="00E35FCB" w:rsidRPr="00712F3C" w:rsidRDefault="00E35FCB" w:rsidP="00E35FCB">
      <w:pPr>
        <w:spacing w:after="0" w:line="240" w:lineRule="auto"/>
        <w:jc w:val="both"/>
        <w:rPr>
          <w:rFonts w:ascii="Times New Roman" w:eastAsia="MS Mincho" w:hAnsi="Times New Roman"/>
          <w:bCs/>
          <w:color w:val="000000"/>
          <w:sz w:val="20"/>
          <w:szCs w:val="20"/>
          <w:lang w:val="en-GB"/>
        </w:rPr>
      </w:pPr>
    </w:p>
    <w:p w14:paraId="7720F206" w14:textId="77777777" w:rsidR="00E35FCB" w:rsidRPr="00712F3C" w:rsidRDefault="00E35FCB" w:rsidP="00E35FCB">
      <w:pPr>
        <w:spacing w:after="0" w:line="240" w:lineRule="auto"/>
        <w:jc w:val="both"/>
        <w:rPr>
          <w:rFonts w:ascii="Times New Roman" w:eastAsia="MS Mincho" w:hAnsi="Times New Roman"/>
          <w:b/>
          <w:bCs/>
          <w:color w:val="000000"/>
          <w:sz w:val="20"/>
          <w:szCs w:val="20"/>
          <w:lang w:val="en-GB"/>
        </w:rPr>
      </w:pPr>
      <w:r w:rsidRPr="00712F3C">
        <w:rPr>
          <w:rFonts w:ascii="Times New Roman" w:eastAsia="MS Mincho" w:hAnsi="Times New Roman"/>
          <w:b/>
          <w:bCs/>
          <w:color w:val="000000"/>
          <w:sz w:val="20"/>
          <w:szCs w:val="20"/>
          <w:lang w:val="en-GB"/>
        </w:rPr>
        <w:t xml:space="preserve">BRIEF PROFILE OF KEY MANAGERIAL PERSONNEL </w:t>
      </w:r>
    </w:p>
    <w:p w14:paraId="45F1D3AE" w14:textId="77777777" w:rsidR="00E35FCB" w:rsidRPr="00712F3C" w:rsidRDefault="00E35FCB" w:rsidP="00E35FCB">
      <w:pPr>
        <w:spacing w:after="0" w:line="240" w:lineRule="auto"/>
        <w:jc w:val="both"/>
        <w:rPr>
          <w:rFonts w:ascii="Times New Roman" w:eastAsia="MS Mincho" w:hAnsi="Times New Roman"/>
          <w:b/>
          <w:bCs/>
          <w:color w:val="000000"/>
          <w:sz w:val="20"/>
          <w:szCs w:val="20"/>
          <w:lang w:val="en-GB"/>
        </w:rPr>
      </w:pPr>
    </w:p>
    <w:p w14:paraId="69528BA8" w14:textId="77777777" w:rsidR="00E35FCB" w:rsidRPr="00712F3C" w:rsidRDefault="00E35FCB" w:rsidP="00E35FCB">
      <w:pPr>
        <w:spacing w:after="0" w:line="240" w:lineRule="auto"/>
        <w:jc w:val="both"/>
        <w:rPr>
          <w:rFonts w:ascii="Times New Roman" w:eastAsia="MS Mincho" w:hAnsi="Times New Roman"/>
          <w:b/>
          <w:bCs/>
          <w:color w:val="000000"/>
          <w:sz w:val="20"/>
          <w:szCs w:val="20"/>
          <w:lang w:val="en-GB"/>
        </w:rPr>
      </w:pPr>
      <w:r w:rsidRPr="00E075A6">
        <w:rPr>
          <w:rFonts w:ascii="Times New Roman" w:eastAsia="MS Mincho" w:hAnsi="Times New Roman"/>
          <w:b/>
          <w:sz w:val="20"/>
          <w:szCs w:val="20"/>
          <w:lang w:val="en-GB"/>
        </w:rPr>
        <w:t>Ramgopal Ochhavlal Maheshwari</w:t>
      </w:r>
      <w:r w:rsidRPr="00712F3C">
        <w:rPr>
          <w:rFonts w:ascii="Times New Roman" w:hAnsi="Times New Roman"/>
          <w:b/>
          <w:color w:val="000000"/>
          <w:sz w:val="20"/>
          <w:szCs w:val="20"/>
          <w:lang w:val="en-GB"/>
        </w:rPr>
        <w:t xml:space="preserve"> </w:t>
      </w:r>
      <w:r w:rsidRPr="00712F3C">
        <w:rPr>
          <w:rFonts w:ascii="Times New Roman" w:eastAsia="MS Mincho" w:hAnsi="Times New Roman"/>
          <w:b/>
          <w:bCs/>
          <w:color w:val="000000"/>
          <w:sz w:val="20"/>
          <w:szCs w:val="20"/>
          <w:lang w:val="en-GB"/>
        </w:rPr>
        <w:t xml:space="preserve">- </w:t>
      </w:r>
      <w:r w:rsidRPr="00712F3C">
        <w:rPr>
          <w:rFonts w:ascii="Times New Roman" w:eastAsia="MS Mincho" w:hAnsi="Times New Roman"/>
          <w:bCs/>
          <w:color w:val="000000"/>
          <w:sz w:val="20"/>
          <w:szCs w:val="20"/>
          <w:lang w:val="en-GB"/>
        </w:rPr>
        <w:t xml:space="preserve">Please refer to section </w:t>
      </w:r>
      <w:r w:rsidRPr="00712F3C">
        <w:rPr>
          <w:rFonts w:ascii="Times New Roman" w:eastAsia="MS Mincho" w:hAnsi="Times New Roman"/>
          <w:b/>
          <w:bCs/>
          <w:color w:val="000000"/>
          <w:sz w:val="20"/>
          <w:szCs w:val="20"/>
          <w:lang w:val="en-GB"/>
        </w:rPr>
        <w:t>“Brief Profile of our Directors”</w:t>
      </w:r>
      <w:r w:rsidRPr="00712F3C">
        <w:rPr>
          <w:rFonts w:ascii="Times New Roman" w:eastAsia="MS Mincho" w:hAnsi="Times New Roman"/>
          <w:bCs/>
          <w:color w:val="000000"/>
          <w:sz w:val="20"/>
          <w:szCs w:val="20"/>
          <w:lang w:val="en-GB"/>
        </w:rPr>
        <w:t xml:space="preserve"> beginning on page </w:t>
      </w:r>
      <w:r>
        <w:rPr>
          <w:rFonts w:ascii="Times New Roman" w:eastAsia="MS Mincho" w:hAnsi="Times New Roman"/>
          <w:bCs/>
          <w:color w:val="000000"/>
          <w:sz w:val="20"/>
          <w:szCs w:val="20"/>
          <w:lang w:val="en-GB"/>
        </w:rPr>
        <w:t>111</w:t>
      </w:r>
      <w:r w:rsidRPr="00712F3C">
        <w:rPr>
          <w:rFonts w:ascii="Times New Roman" w:eastAsia="MS Mincho" w:hAnsi="Times New Roman"/>
          <w:bCs/>
          <w:color w:val="000000"/>
          <w:sz w:val="20"/>
          <w:szCs w:val="20"/>
          <w:lang w:val="en-GB"/>
        </w:rPr>
        <w:t xml:space="preserve"> of this Draft </w:t>
      </w:r>
      <w:r w:rsidRPr="00712F3C">
        <w:rPr>
          <w:rFonts w:ascii="Times New Roman" w:hAnsi="Times New Roman"/>
          <w:sz w:val="20"/>
          <w:szCs w:val="20"/>
        </w:rPr>
        <w:t>Red Herring Prospectus</w:t>
      </w:r>
      <w:r w:rsidRPr="00712F3C">
        <w:rPr>
          <w:rFonts w:ascii="Times New Roman" w:eastAsia="MS Mincho" w:hAnsi="Times New Roman"/>
          <w:bCs/>
          <w:color w:val="000000"/>
          <w:sz w:val="20"/>
          <w:szCs w:val="20"/>
          <w:lang w:val="en-GB"/>
        </w:rPr>
        <w:t xml:space="preserve"> for details.</w:t>
      </w:r>
    </w:p>
    <w:p w14:paraId="1EC496E2" w14:textId="77777777" w:rsidR="00E35FCB" w:rsidRPr="00712F3C" w:rsidRDefault="00E35FCB" w:rsidP="00E35FCB">
      <w:pPr>
        <w:spacing w:after="0" w:line="240" w:lineRule="auto"/>
        <w:jc w:val="both"/>
        <w:rPr>
          <w:rFonts w:ascii="Times New Roman" w:eastAsia="MS Mincho" w:hAnsi="Times New Roman"/>
          <w:b/>
          <w:bCs/>
          <w:color w:val="000000"/>
          <w:sz w:val="20"/>
          <w:szCs w:val="20"/>
          <w:lang w:val="en-GB"/>
        </w:rPr>
      </w:pPr>
    </w:p>
    <w:p w14:paraId="76DD1053" w14:textId="77777777" w:rsidR="00E35FCB" w:rsidRPr="00354EDA" w:rsidRDefault="00E35FCB" w:rsidP="00E35FCB">
      <w:pPr>
        <w:spacing w:after="0" w:line="240" w:lineRule="auto"/>
        <w:jc w:val="both"/>
        <w:rPr>
          <w:rFonts w:ascii="Times New Roman" w:eastAsia="MS Mincho" w:hAnsi="Times New Roman"/>
          <w:b/>
          <w:sz w:val="20"/>
          <w:szCs w:val="20"/>
          <w:lang w:val="en-GB"/>
        </w:rPr>
      </w:pPr>
      <w:r w:rsidRPr="00957C3F">
        <w:rPr>
          <w:rFonts w:ascii="Times New Roman" w:eastAsia="MS Mincho" w:hAnsi="Times New Roman"/>
          <w:b/>
          <w:sz w:val="20"/>
          <w:szCs w:val="20"/>
          <w:lang w:val="en-GB"/>
        </w:rPr>
        <w:t>Bhavesh Ramgopal Maheshwari</w:t>
      </w:r>
      <w:r w:rsidRPr="00712F3C">
        <w:rPr>
          <w:rFonts w:ascii="Times New Roman" w:hAnsi="Times New Roman"/>
          <w:b/>
          <w:bCs/>
          <w:iCs/>
          <w:sz w:val="20"/>
          <w:szCs w:val="20"/>
        </w:rPr>
        <w:t xml:space="preserve">- </w:t>
      </w:r>
      <w:r w:rsidRPr="00712F3C">
        <w:rPr>
          <w:rFonts w:ascii="Times New Roman" w:eastAsia="MS Mincho" w:hAnsi="Times New Roman"/>
          <w:bCs/>
          <w:color w:val="000000"/>
          <w:sz w:val="20"/>
          <w:szCs w:val="20"/>
          <w:lang w:val="en-GB"/>
        </w:rPr>
        <w:t xml:space="preserve">Please refer to section </w:t>
      </w:r>
      <w:r w:rsidRPr="00712F3C">
        <w:rPr>
          <w:rFonts w:ascii="Times New Roman" w:eastAsia="MS Mincho" w:hAnsi="Times New Roman"/>
          <w:b/>
          <w:bCs/>
          <w:color w:val="000000"/>
          <w:sz w:val="20"/>
          <w:szCs w:val="20"/>
          <w:lang w:val="en-GB"/>
        </w:rPr>
        <w:t>“Brief Profile of our Directors”</w:t>
      </w:r>
      <w:r w:rsidRPr="00712F3C">
        <w:rPr>
          <w:rFonts w:ascii="Times New Roman" w:eastAsia="MS Mincho" w:hAnsi="Times New Roman"/>
          <w:bCs/>
          <w:color w:val="000000"/>
          <w:sz w:val="20"/>
          <w:szCs w:val="20"/>
          <w:lang w:val="en-GB"/>
        </w:rPr>
        <w:t xml:space="preserve"> beginning on page </w:t>
      </w:r>
      <w:r>
        <w:rPr>
          <w:rFonts w:ascii="Times New Roman" w:eastAsia="MS Mincho" w:hAnsi="Times New Roman"/>
          <w:bCs/>
          <w:color w:val="000000"/>
          <w:sz w:val="20"/>
          <w:szCs w:val="20"/>
          <w:lang w:val="en-GB"/>
        </w:rPr>
        <w:t>111</w:t>
      </w:r>
      <w:r w:rsidRPr="00712F3C">
        <w:rPr>
          <w:rFonts w:ascii="Times New Roman" w:eastAsia="MS Mincho" w:hAnsi="Times New Roman"/>
          <w:bCs/>
          <w:color w:val="000000"/>
          <w:sz w:val="20"/>
          <w:szCs w:val="20"/>
          <w:lang w:val="en-GB"/>
        </w:rPr>
        <w:t xml:space="preserve"> of this Draft </w:t>
      </w:r>
      <w:r w:rsidRPr="00712F3C">
        <w:rPr>
          <w:rFonts w:ascii="Times New Roman" w:hAnsi="Times New Roman"/>
          <w:sz w:val="20"/>
          <w:szCs w:val="20"/>
        </w:rPr>
        <w:t>Red Herring Prospectus</w:t>
      </w:r>
      <w:r w:rsidRPr="00712F3C">
        <w:rPr>
          <w:rFonts w:ascii="Times New Roman" w:eastAsia="MS Mincho" w:hAnsi="Times New Roman"/>
          <w:bCs/>
          <w:color w:val="000000"/>
          <w:sz w:val="20"/>
          <w:szCs w:val="20"/>
          <w:lang w:val="en-GB"/>
        </w:rPr>
        <w:t xml:space="preserve"> for details.</w:t>
      </w:r>
    </w:p>
    <w:p w14:paraId="19C83126" w14:textId="77777777" w:rsidR="00E35FCB" w:rsidRPr="00626D45" w:rsidRDefault="00E35FCB" w:rsidP="00E35FCB">
      <w:pPr>
        <w:spacing w:after="0" w:line="240" w:lineRule="auto"/>
        <w:jc w:val="both"/>
        <w:rPr>
          <w:rFonts w:ascii="Times New Roman" w:hAnsi="Times New Roman"/>
          <w:bCs/>
          <w:sz w:val="20"/>
          <w:szCs w:val="20"/>
        </w:rPr>
      </w:pPr>
    </w:p>
    <w:p w14:paraId="30122EFC" w14:textId="77777777" w:rsidR="00E35FCB" w:rsidRDefault="00E35FCB" w:rsidP="00E35FCB">
      <w:pPr>
        <w:spacing w:after="0" w:line="240" w:lineRule="auto"/>
        <w:jc w:val="both"/>
        <w:rPr>
          <w:rFonts w:ascii="Times New Roman" w:eastAsia="MS Mincho" w:hAnsi="Times New Roman"/>
          <w:bCs/>
          <w:sz w:val="20"/>
          <w:szCs w:val="20"/>
          <w:lang w:val="en-GB"/>
        </w:rPr>
      </w:pPr>
      <w:r w:rsidRPr="00354EDA">
        <w:rPr>
          <w:rFonts w:ascii="Times New Roman" w:eastAsia="MS Mincho" w:hAnsi="Times New Roman"/>
          <w:b/>
          <w:sz w:val="20"/>
          <w:szCs w:val="20"/>
          <w:lang w:val="en-GB"/>
        </w:rPr>
        <w:t>Megha Bhavesh Maheshwari</w:t>
      </w:r>
      <w:r w:rsidRPr="00626D45">
        <w:rPr>
          <w:rFonts w:ascii="Times New Roman" w:eastAsia="MS Mincho" w:hAnsi="Times New Roman"/>
          <w:bCs/>
          <w:sz w:val="20"/>
          <w:szCs w:val="20"/>
          <w:lang w:val="en-GB"/>
        </w:rPr>
        <w:t xml:space="preserve"> is the Chief Financial Officer of our Company. </w:t>
      </w:r>
      <w:r>
        <w:rPr>
          <w:rFonts w:ascii="Times New Roman" w:eastAsia="MS Mincho" w:hAnsi="Times New Roman"/>
          <w:bCs/>
          <w:sz w:val="20"/>
          <w:szCs w:val="20"/>
          <w:lang w:val="en-GB"/>
        </w:rPr>
        <w:t>She</w:t>
      </w:r>
      <w:r w:rsidRPr="00626D45">
        <w:rPr>
          <w:rFonts w:ascii="Times New Roman" w:eastAsia="MS Mincho" w:hAnsi="Times New Roman"/>
          <w:bCs/>
          <w:sz w:val="20"/>
          <w:szCs w:val="20"/>
          <w:lang w:val="en-GB"/>
        </w:rPr>
        <w:t xml:space="preserve"> has completed </w:t>
      </w:r>
      <w:r>
        <w:rPr>
          <w:rFonts w:ascii="Times New Roman" w:eastAsia="MS Mincho" w:hAnsi="Times New Roman"/>
          <w:bCs/>
          <w:sz w:val="20"/>
          <w:szCs w:val="20"/>
          <w:lang w:val="en-GB"/>
        </w:rPr>
        <w:t xml:space="preserve">her Master of Business Administration (Entrepreneurship and Family Business) </w:t>
      </w:r>
      <w:r w:rsidRPr="00626D45">
        <w:rPr>
          <w:rFonts w:ascii="Times New Roman" w:eastAsia="MS Mincho" w:hAnsi="Times New Roman"/>
          <w:bCs/>
          <w:sz w:val="20"/>
          <w:szCs w:val="20"/>
          <w:lang w:val="en-GB"/>
        </w:rPr>
        <w:t xml:space="preserve">from </w:t>
      </w:r>
      <w:r>
        <w:rPr>
          <w:rFonts w:ascii="Times New Roman" w:eastAsia="MS Mincho" w:hAnsi="Times New Roman"/>
          <w:bCs/>
          <w:sz w:val="20"/>
          <w:szCs w:val="20"/>
          <w:lang w:val="en-GB"/>
        </w:rPr>
        <w:t xml:space="preserve">SVKM’s Narsee Monjee Institute of Management University, Mumbai Studies </w:t>
      </w:r>
      <w:r w:rsidRPr="00626D45">
        <w:rPr>
          <w:rFonts w:ascii="Times New Roman" w:eastAsia="MS Mincho" w:hAnsi="Times New Roman"/>
          <w:bCs/>
          <w:sz w:val="20"/>
          <w:szCs w:val="20"/>
          <w:lang w:val="en-GB"/>
        </w:rPr>
        <w:t xml:space="preserve">in </w:t>
      </w:r>
      <w:r>
        <w:rPr>
          <w:rFonts w:ascii="Times New Roman" w:eastAsia="MS Mincho" w:hAnsi="Times New Roman"/>
          <w:bCs/>
          <w:sz w:val="20"/>
          <w:szCs w:val="20"/>
          <w:lang w:val="en-GB"/>
        </w:rPr>
        <w:t>year 2019</w:t>
      </w:r>
      <w:r w:rsidRPr="00626D45">
        <w:rPr>
          <w:rFonts w:ascii="Times New Roman" w:eastAsia="MS Mincho" w:hAnsi="Times New Roman"/>
          <w:bCs/>
          <w:sz w:val="20"/>
          <w:szCs w:val="20"/>
          <w:lang w:val="en-GB"/>
        </w:rPr>
        <w:t xml:space="preserve"> and is associated with our Company since </w:t>
      </w:r>
      <w:r>
        <w:rPr>
          <w:rFonts w:ascii="Times New Roman" w:eastAsia="MS Mincho" w:hAnsi="Times New Roman"/>
          <w:bCs/>
          <w:sz w:val="20"/>
          <w:szCs w:val="20"/>
          <w:lang w:val="en-GB"/>
        </w:rPr>
        <w:t>2023</w:t>
      </w:r>
      <w:r w:rsidRPr="00626D45">
        <w:rPr>
          <w:rFonts w:ascii="Times New Roman" w:eastAsia="MS Mincho" w:hAnsi="Times New Roman"/>
          <w:bCs/>
          <w:sz w:val="20"/>
          <w:szCs w:val="20"/>
          <w:lang w:val="en-GB"/>
        </w:rPr>
        <w:t xml:space="preserve">. </w:t>
      </w:r>
      <w:r>
        <w:rPr>
          <w:rFonts w:ascii="Times New Roman" w:eastAsia="MS Mincho" w:hAnsi="Times New Roman"/>
          <w:bCs/>
          <w:sz w:val="20"/>
          <w:szCs w:val="20"/>
          <w:lang w:val="en-GB"/>
        </w:rPr>
        <w:t xml:space="preserve">She </w:t>
      </w:r>
      <w:r w:rsidRPr="00626D45">
        <w:rPr>
          <w:rFonts w:ascii="Times New Roman" w:eastAsia="MS Mincho" w:hAnsi="Times New Roman"/>
          <w:bCs/>
          <w:sz w:val="20"/>
          <w:szCs w:val="20"/>
          <w:lang w:val="en-GB"/>
        </w:rPr>
        <w:t xml:space="preserve">has over </w:t>
      </w:r>
      <w:r>
        <w:rPr>
          <w:rFonts w:ascii="Times New Roman" w:eastAsia="MS Mincho" w:hAnsi="Times New Roman"/>
          <w:bCs/>
          <w:sz w:val="20"/>
          <w:szCs w:val="20"/>
          <w:lang w:val="en-GB"/>
        </w:rPr>
        <w:t>2</w:t>
      </w:r>
      <w:r w:rsidRPr="00626D45">
        <w:rPr>
          <w:rFonts w:ascii="Times New Roman" w:eastAsia="MS Mincho" w:hAnsi="Times New Roman"/>
          <w:bCs/>
          <w:sz w:val="20"/>
          <w:szCs w:val="20"/>
          <w:lang w:val="en-GB"/>
        </w:rPr>
        <w:t xml:space="preserve"> years of experience </w:t>
      </w:r>
      <w:r>
        <w:rPr>
          <w:rFonts w:ascii="Times New Roman" w:eastAsia="MS Mincho" w:hAnsi="Times New Roman"/>
          <w:bCs/>
          <w:sz w:val="20"/>
          <w:szCs w:val="20"/>
          <w:lang w:val="en-GB"/>
        </w:rPr>
        <w:t xml:space="preserve">in finance field. She </w:t>
      </w:r>
      <w:r w:rsidRPr="00626D45">
        <w:rPr>
          <w:rFonts w:ascii="Times New Roman" w:eastAsia="MS Mincho" w:hAnsi="Times New Roman"/>
          <w:bCs/>
          <w:sz w:val="20"/>
          <w:szCs w:val="20"/>
          <w:lang w:val="en-GB"/>
        </w:rPr>
        <w:t>is currently responsible for the Accounting, Financial and Taxation of the Company.</w:t>
      </w:r>
    </w:p>
    <w:p w14:paraId="44A14B85" w14:textId="77777777" w:rsidR="00E35FCB" w:rsidRPr="00354EDA" w:rsidRDefault="00E35FCB" w:rsidP="00E35FCB">
      <w:pPr>
        <w:spacing w:after="0" w:line="240" w:lineRule="auto"/>
        <w:jc w:val="both"/>
        <w:rPr>
          <w:rFonts w:ascii="Times New Roman" w:hAnsi="Times New Roman"/>
          <w:b/>
          <w:sz w:val="20"/>
          <w:szCs w:val="20"/>
          <w:lang w:val="en-GB"/>
        </w:rPr>
      </w:pPr>
    </w:p>
    <w:p w14:paraId="7ADAFC36" w14:textId="77777777" w:rsidR="00E35FCB" w:rsidRPr="00712F3C" w:rsidRDefault="00E35FCB" w:rsidP="00E35FCB">
      <w:pPr>
        <w:spacing w:after="0" w:line="240" w:lineRule="auto"/>
        <w:jc w:val="both"/>
        <w:rPr>
          <w:rFonts w:ascii="Times New Roman" w:hAnsi="Times New Roman"/>
          <w:color w:val="000000"/>
          <w:sz w:val="20"/>
          <w:szCs w:val="20"/>
        </w:rPr>
      </w:pPr>
      <w:r w:rsidRPr="00626D45">
        <w:rPr>
          <w:rFonts w:ascii="Times New Roman" w:hAnsi="Times New Roman"/>
          <w:b/>
          <w:color w:val="000000"/>
          <w:sz w:val="20"/>
          <w:szCs w:val="20"/>
        </w:rPr>
        <w:lastRenderedPageBreak/>
        <w:t xml:space="preserve">Kiran </w:t>
      </w:r>
      <w:r w:rsidRPr="00A22C27">
        <w:rPr>
          <w:rFonts w:ascii="Times New Roman" w:eastAsiaTheme="minorHAnsi" w:hAnsi="Times New Roman"/>
          <w:b/>
          <w:bCs/>
          <w:sz w:val="20"/>
          <w:szCs w:val="20"/>
        </w:rPr>
        <w:t>Parmanand</w:t>
      </w:r>
      <w:r>
        <w:rPr>
          <w:rFonts w:ascii="Helvetica" w:eastAsiaTheme="minorHAnsi" w:hAnsi="Helvetica" w:cs="Helvetica"/>
          <w:sz w:val="20"/>
          <w:szCs w:val="20"/>
        </w:rPr>
        <w:t xml:space="preserve"> </w:t>
      </w:r>
      <w:r w:rsidRPr="00626D45">
        <w:rPr>
          <w:rFonts w:ascii="Times New Roman" w:hAnsi="Times New Roman"/>
          <w:b/>
          <w:color w:val="000000"/>
          <w:sz w:val="20"/>
          <w:szCs w:val="20"/>
        </w:rPr>
        <w:t xml:space="preserve">Goklani </w:t>
      </w:r>
      <w:r w:rsidRPr="00626D45">
        <w:rPr>
          <w:rFonts w:ascii="Times New Roman" w:hAnsi="Times New Roman"/>
          <w:color w:val="000000"/>
          <w:sz w:val="20"/>
          <w:szCs w:val="20"/>
        </w:rPr>
        <w:t xml:space="preserve">is the Company Secretary and Compliance officer of our Company. She is the member of Institute of Company Secretaries of India since 2016. </w:t>
      </w:r>
      <w:r w:rsidRPr="00CF7149">
        <w:rPr>
          <w:rFonts w:ascii="Times New Roman" w:hAnsi="Times New Roman"/>
          <w:color w:val="000000"/>
          <w:sz w:val="20"/>
          <w:szCs w:val="20"/>
        </w:rPr>
        <w:t xml:space="preserve">She has an experience of over 6 years in the secretarial matters. She looks after the overall corporate governance and secretarial matters of our Company. </w:t>
      </w:r>
      <w:r w:rsidRPr="00CF7149">
        <w:rPr>
          <w:rFonts w:ascii="Times New Roman" w:hAnsi="Times New Roman"/>
          <w:color w:val="000000"/>
          <w:sz w:val="20"/>
          <w:szCs w:val="20"/>
          <w:lang w:val="en-GB"/>
        </w:rPr>
        <w:t>She has been appointed as Company Secretary and Compliance Officer of our Company with effect from August 24, 2023.</w:t>
      </w:r>
    </w:p>
    <w:p w14:paraId="3AC54F3E" w14:textId="77777777" w:rsidR="00E35FCB" w:rsidRPr="00712F3C" w:rsidRDefault="00E35FCB" w:rsidP="00E35FCB">
      <w:pPr>
        <w:spacing w:after="0" w:line="240" w:lineRule="auto"/>
        <w:jc w:val="both"/>
        <w:rPr>
          <w:rFonts w:ascii="Times New Roman" w:eastAsia="MS Mincho" w:hAnsi="Times New Roman"/>
          <w:b/>
          <w:sz w:val="20"/>
          <w:szCs w:val="20"/>
          <w:lang w:val="en-GB"/>
        </w:rPr>
      </w:pPr>
      <w:r w:rsidRPr="00712F3C">
        <w:rPr>
          <w:rFonts w:ascii="Times New Roman" w:eastAsia="MS Mincho" w:hAnsi="Times New Roman"/>
          <w:b/>
          <w:sz w:val="20"/>
          <w:szCs w:val="20"/>
          <w:lang w:val="en-GB"/>
        </w:rPr>
        <w:t>We confirm that:</w:t>
      </w:r>
    </w:p>
    <w:p w14:paraId="3E7DE1C7" w14:textId="77777777" w:rsidR="00E35FCB" w:rsidRPr="00712F3C" w:rsidRDefault="00E35FCB" w:rsidP="00E35FCB">
      <w:pPr>
        <w:spacing w:after="0" w:line="240" w:lineRule="auto"/>
        <w:jc w:val="both"/>
        <w:rPr>
          <w:rFonts w:ascii="Times New Roman" w:eastAsia="MS Mincho" w:hAnsi="Times New Roman"/>
          <w:sz w:val="20"/>
          <w:szCs w:val="20"/>
          <w:lang w:val="en-GB"/>
        </w:rPr>
      </w:pPr>
    </w:p>
    <w:p w14:paraId="7E4B6A7A" w14:textId="77777777" w:rsidR="00E35FCB" w:rsidRPr="00712F3C" w:rsidRDefault="00E35FCB">
      <w:pPr>
        <w:widowControl w:val="0"/>
        <w:numPr>
          <w:ilvl w:val="1"/>
          <w:numId w:val="173"/>
        </w:numPr>
        <w:autoSpaceDE w:val="0"/>
        <w:autoSpaceDN w:val="0"/>
        <w:adjustRightInd w:val="0"/>
        <w:spacing w:after="0" w:line="240" w:lineRule="auto"/>
        <w:ind w:left="720"/>
        <w:jc w:val="both"/>
        <w:rPr>
          <w:rFonts w:ascii="Times New Roman" w:eastAsia="MS Mincho" w:hAnsi="Times New Roman"/>
          <w:sz w:val="20"/>
          <w:szCs w:val="20"/>
          <w:lang w:val="en-GB"/>
        </w:rPr>
      </w:pPr>
      <w:r w:rsidRPr="00712F3C">
        <w:rPr>
          <w:rFonts w:ascii="Times New Roman" w:eastAsia="MS Mincho" w:hAnsi="Times New Roman"/>
          <w:sz w:val="20"/>
          <w:szCs w:val="20"/>
          <w:lang w:val="en-GB"/>
        </w:rPr>
        <w:t>All the persons named as our Key Managerial Personnel above are the permanent employees of our Company.</w:t>
      </w:r>
    </w:p>
    <w:p w14:paraId="2E40CCB2" w14:textId="77777777" w:rsidR="00E35FCB" w:rsidRPr="00712F3C" w:rsidRDefault="00E35FCB">
      <w:pPr>
        <w:widowControl w:val="0"/>
        <w:numPr>
          <w:ilvl w:val="1"/>
          <w:numId w:val="173"/>
        </w:numPr>
        <w:autoSpaceDE w:val="0"/>
        <w:autoSpaceDN w:val="0"/>
        <w:adjustRightInd w:val="0"/>
        <w:spacing w:after="0" w:line="240" w:lineRule="auto"/>
        <w:ind w:left="720"/>
        <w:jc w:val="both"/>
        <w:rPr>
          <w:rFonts w:ascii="Times New Roman" w:eastAsia="MS Mincho" w:hAnsi="Times New Roman"/>
          <w:sz w:val="20"/>
          <w:szCs w:val="20"/>
          <w:lang w:val="en-GB"/>
        </w:rPr>
      </w:pPr>
      <w:r w:rsidRPr="00712F3C">
        <w:rPr>
          <w:rFonts w:ascii="Times New Roman" w:eastAsia="MS Mincho" w:hAnsi="Times New Roman"/>
          <w:sz w:val="20"/>
          <w:szCs w:val="20"/>
          <w:lang w:val="en-GB"/>
        </w:rPr>
        <w:t>There is no understanding with major shareholders, customers, suppliers or any others pursuant to which any of the above</w:t>
      </w:r>
      <w:r>
        <w:rPr>
          <w:rFonts w:ascii="Times New Roman" w:eastAsia="MS Mincho" w:hAnsi="Times New Roman"/>
          <w:sz w:val="20"/>
          <w:szCs w:val="20"/>
          <w:lang w:val="en-GB"/>
        </w:rPr>
        <w:t>-</w:t>
      </w:r>
      <w:r w:rsidRPr="00712F3C">
        <w:rPr>
          <w:rFonts w:ascii="Times New Roman" w:eastAsia="MS Mincho" w:hAnsi="Times New Roman"/>
          <w:sz w:val="20"/>
          <w:szCs w:val="20"/>
          <w:lang w:val="en-GB"/>
        </w:rPr>
        <w:t>mentioned Key Managerial Personnel have been recruited.</w:t>
      </w:r>
    </w:p>
    <w:p w14:paraId="06F9A49B" w14:textId="77777777" w:rsidR="00E35FCB" w:rsidRPr="00712F3C" w:rsidRDefault="00E35FCB">
      <w:pPr>
        <w:widowControl w:val="0"/>
        <w:numPr>
          <w:ilvl w:val="1"/>
          <w:numId w:val="173"/>
        </w:numPr>
        <w:autoSpaceDE w:val="0"/>
        <w:autoSpaceDN w:val="0"/>
        <w:adjustRightInd w:val="0"/>
        <w:spacing w:after="0" w:line="240" w:lineRule="auto"/>
        <w:ind w:left="720"/>
        <w:jc w:val="both"/>
        <w:rPr>
          <w:rFonts w:ascii="Times New Roman" w:eastAsia="MS Mincho" w:hAnsi="Times New Roman"/>
          <w:sz w:val="20"/>
          <w:szCs w:val="20"/>
          <w:lang w:val="en-GB"/>
        </w:rPr>
      </w:pPr>
      <w:r w:rsidRPr="00712F3C">
        <w:rPr>
          <w:rFonts w:ascii="Times New Roman" w:eastAsia="MS Mincho" w:hAnsi="Times New Roman"/>
          <w:sz w:val="20"/>
          <w:szCs w:val="20"/>
          <w:lang w:val="en-GB"/>
        </w:rPr>
        <w:t xml:space="preserve">None of our KMPs except </w:t>
      </w:r>
      <w:r w:rsidRPr="00354EDA">
        <w:rPr>
          <w:rFonts w:ascii="Times New Roman" w:eastAsia="MS Mincho" w:hAnsi="Times New Roman"/>
          <w:sz w:val="20"/>
          <w:szCs w:val="20"/>
          <w:lang w:val="en-GB"/>
        </w:rPr>
        <w:t>Ramgopal Ochhavlal Maheshwari</w:t>
      </w:r>
      <w:r>
        <w:rPr>
          <w:rFonts w:ascii="Times New Roman" w:eastAsia="MS Mincho" w:hAnsi="Times New Roman"/>
          <w:sz w:val="20"/>
          <w:szCs w:val="20"/>
          <w:lang w:val="en-GB"/>
        </w:rPr>
        <w:t xml:space="preserve">, </w:t>
      </w:r>
      <w:r w:rsidRPr="00354EDA">
        <w:rPr>
          <w:rFonts w:ascii="Times New Roman" w:eastAsia="MS Mincho" w:hAnsi="Times New Roman"/>
          <w:sz w:val="20"/>
          <w:szCs w:val="20"/>
          <w:lang w:val="en-GB"/>
        </w:rPr>
        <w:t xml:space="preserve">Bhavesh Ramgopal Maheshwari </w:t>
      </w:r>
      <w:r w:rsidRPr="00712F3C">
        <w:rPr>
          <w:rFonts w:ascii="Times New Roman" w:eastAsia="MS Mincho" w:hAnsi="Times New Roman"/>
          <w:sz w:val="20"/>
          <w:szCs w:val="20"/>
          <w:lang w:val="en-GB"/>
        </w:rPr>
        <w:t xml:space="preserve">and </w:t>
      </w:r>
      <w:r w:rsidRPr="00354EDA">
        <w:rPr>
          <w:rFonts w:ascii="Times New Roman" w:eastAsia="MS Mincho" w:hAnsi="Times New Roman"/>
          <w:sz w:val="20"/>
          <w:szCs w:val="20"/>
          <w:lang w:val="en-GB"/>
        </w:rPr>
        <w:t xml:space="preserve">Megha Bhavesh Maheshwari </w:t>
      </w:r>
      <w:r w:rsidRPr="00712F3C">
        <w:rPr>
          <w:rFonts w:ascii="Times New Roman" w:eastAsia="MS Mincho" w:hAnsi="Times New Roman"/>
          <w:sz w:val="20"/>
          <w:szCs w:val="20"/>
          <w:lang w:val="en-GB"/>
        </w:rPr>
        <w:t>are also part of the Board of Directors.</w:t>
      </w:r>
    </w:p>
    <w:p w14:paraId="322C7CEA" w14:textId="77777777" w:rsidR="00E35FCB" w:rsidRPr="00712F3C" w:rsidRDefault="00E35FCB">
      <w:pPr>
        <w:widowControl w:val="0"/>
        <w:numPr>
          <w:ilvl w:val="1"/>
          <w:numId w:val="173"/>
        </w:numPr>
        <w:autoSpaceDE w:val="0"/>
        <w:autoSpaceDN w:val="0"/>
        <w:adjustRightInd w:val="0"/>
        <w:spacing w:after="0" w:line="240" w:lineRule="auto"/>
        <w:ind w:left="720"/>
        <w:jc w:val="both"/>
        <w:rPr>
          <w:rFonts w:ascii="Times New Roman" w:eastAsia="MS Mincho" w:hAnsi="Times New Roman"/>
          <w:sz w:val="20"/>
          <w:szCs w:val="20"/>
          <w:lang w:val="en-GB"/>
        </w:rPr>
      </w:pPr>
      <w:r w:rsidRPr="00712F3C">
        <w:rPr>
          <w:rFonts w:ascii="Times New Roman" w:eastAsia="MS Mincho" w:hAnsi="Times New Roman"/>
          <w:sz w:val="20"/>
          <w:szCs w:val="20"/>
          <w:lang w:val="en-GB"/>
        </w:rPr>
        <w:t xml:space="preserve">In respect of all above mentioned Key Managerial Personnel there has been no contingent or deferred compensation accrued for the </w:t>
      </w:r>
      <w:r>
        <w:rPr>
          <w:rFonts w:ascii="Times New Roman" w:eastAsia="MS Mincho" w:hAnsi="Times New Roman"/>
          <w:sz w:val="20"/>
          <w:szCs w:val="20"/>
          <w:lang w:val="en-GB"/>
        </w:rPr>
        <w:t>financial year March 31, 2023</w:t>
      </w:r>
      <w:r w:rsidRPr="00712F3C">
        <w:rPr>
          <w:rFonts w:ascii="Times New Roman" w:eastAsia="MS Mincho" w:hAnsi="Times New Roman"/>
          <w:sz w:val="20"/>
          <w:szCs w:val="20"/>
          <w:lang w:val="en-GB"/>
        </w:rPr>
        <w:t>.</w:t>
      </w:r>
    </w:p>
    <w:p w14:paraId="6FC0F618" w14:textId="77777777" w:rsidR="00E35FCB" w:rsidRPr="00712F3C" w:rsidRDefault="00E35FCB">
      <w:pPr>
        <w:widowControl w:val="0"/>
        <w:numPr>
          <w:ilvl w:val="1"/>
          <w:numId w:val="173"/>
        </w:numPr>
        <w:autoSpaceDE w:val="0"/>
        <w:autoSpaceDN w:val="0"/>
        <w:adjustRightInd w:val="0"/>
        <w:spacing w:after="0" w:line="240" w:lineRule="auto"/>
        <w:ind w:left="720"/>
        <w:jc w:val="both"/>
        <w:rPr>
          <w:rFonts w:ascii="Times New Roman" w:eastAsia="MS Mincho" w:hAnsi="Times New Roman"/>
          <w:sz w:val="20"/>
          <w:szCs w:val="20"/>
          <w:lang w:val="en-GB"/>
        </w:rPr>
      </w:pPr>
      <w:r w:rsidRPr="00712F3C">
        <w:rPr>
          <w:rFonts w:ascii="Times New Roman" w:eastAsia="MS Mincho" w:hAnsi="Times New Roman"/>
          <w:sz w:val="20"/>
          <w:szCs w:val="20"/>
          <w:lang w:val="en-GB"/>
        </w:rPr>
        <w:t>Except for the terms set forth in the appointment letters, the Key Managerial Personnel have not entered into any other contractual arrangements or service contracts (including retirement and termination benefits) with the issuer.</w:t>
      </w:r>
    </w:p>
    <w:p w14:paraId="58ADF5CC" w14:textId="77777777" w:rsidR="00E35FCB" w:rsidRPr="00712F3C" w:rsidRDefault="00E35FCB">
      <w:pPr>
        <w:widowControl w:val="0"/>
        <w:numPr>
          <w:ilvl w:val="1"/>
          <w:numId w:val="173"/>
        </w:numPr>
        <w:autoSpaceDE w:val="0"/>
        <w:autoSpaceDN w:val="0"/>
        <w:adjustRightInd w:val="0"/>
        <w:spacing w:after="0" w:line="240" w:lineRule="auto"/>
        <w:ind w:left="360" w:firstLine="0"/>
        <w:jc w:val="both"/>
        <w:rPr>
          <w:rFonts w:ascii="Times New Roman" w:eastAsia="MS Mincho" w:hAnsi="Times New Roman"/>
          <w:sz w:val="20"/>
          <w:szCs w:val="20"/>
          <w:lang w:val="en-GB"/>
        </w:rPr>
      </w:pPr>
      <w:r w:rsidRPr="00712F3C">
        <w:rPr>
          <w:rFonts w:ascii="Times New Roman" w:eastAsia="MS Mincho" w:hAnsi="Times New Roman"/>
          <w:sz w:val="20"/>
          <w:szCs w:val="20"/>
          <w:lang w:val="en-GB"/>
        </w:rPr>
        <w:t>Our Company does not have any bonus/ profit sharing plan for any of the Key Managerial Personnel.</w:t>
      </w:r>
    </w:p>
    <w:p w14:paraId="24BB6F59" w14:textId="77777777" w:rsidR="00E35FCB" w:rsidRPr="00712F3C" w:rsidRDefault="00E35FCB">
      <w:pPr>
        <w:widowControl w:val="0"/>
        <w:numPr>
          <w:ilvl w:val="1"/>
          <w:numId w:val="173"/>
        </w:numPr>
        <w:autoSpaceDE w:val="0"/>
        <w:autoSpaceDN w:val="0"/>
        <w:adjustRightInd w:val="0"/>
        <w:spacing w:after="0" w:line="240" w:lineRule="auto"/>
        <w:ind w:left="720"/>
        <w:jc w:val="both"/>
        <w:rPr>
          <w:rFonts w:ascii="Times New Roman" w:eastAsia="MS Mincho" w:hAnsi="Times New Roman"/>
          <w:sz w:val="20"/>
          <w:szCs w:val="20"/>
          <w:lang w:val="en-GB"/>
        </w:rPr>
      </w:pPr>
      <w:r w:rsidRPr="00712F3C">
        <w:rPr>
          <w:rFonts w:ascii="Times New Roman" w:eastAsia="MS Mincho" w:hAnsi="Times New Roman"/>
          <w:sz w:val="20"/>
          <w:szCs w:val="20"/>
          <w:lang w:val="en-GB"/>
        </w:rPr>
        <w:t>None of the Key Managerial Personnel in our Company hold any shares of our Company as o</w:t>
      </w:r>
      <w:r>
        <w:rPr>
          <w:rFonts w:ascii="Times New Roman" w:eastAsia="MS Mincho" w:hAnsi="Times New Roman"/>
          <w:sz w:val="20"/>
          <w:szCs w:val="20"/>
          <w:lang w:val="en-GB"/>
        </w:rPr>
        <w:t xml:space="preserve">n the date of filing of this </w:t>
      </w:r>
      <w:r w:rsidRPr="00712F3C">
        <w:rPr>
          <w:rFonts w:ascii="Times New Roman" w:eastAsia="MS Mincho" w:hAnsi="Times New Roman"/>
          <w:bCs/>
          <w:color w:val="000000"/>
          <w:sz w:val="20"/>
          <w:szCs w:val="20"/>
          <w:lang w:val="en-GB"/>
        </w:rPr>
        <w:t xml:space="preserve">Draft </w:t>
      </w:r>
      <w:r w:rsidRPr="00712F3C">
        <w:rPr>
          <w:rFonts w:ascii="Times New Roman" w:hAnsi="Times New Roman"/>
          <w:sz w:val="20"/>
          <w:szCs w:val="20"/>
        </w:rPr>
        <w:t>Red Herring Prospectus</w:t>
      </w:r>
      <w:r w:rsidRPr="00712F3C">
        <w:rPr>
          <w:rFonts w:ascii="Times New Roman" w:eastAsia="MS Mincho" w:hAnsi="Times New Roman"/>
          <w:bCs/>
          <w:color w:val="000000"/>
          <w:sz w:val="20"/>
          <w:szCs w:val="20"/>
          <w:lang w:val="en-GB"/>
        </w:rPr>
        <w:t xml:space="preserve"> </w:t>
      </w:r>
      <w:r w:rsidRPr="00712F3C">
        <w:rPr>
          <w:rFonts w:ascii="Times New Roman" w:eastAsia="MS Mincho" w:hAnsi="Times New Roman"/>
          <w:sz w:val="20"/>
          <w:szCs w:val="20"/>
          <w:lang w:val="en-GB"/>
        </w:rPr>
        <w:t>except:</w:t>
      </w:r>
    </w:p>
    <w:p w14:paraId="45AB73D0" w14:textId="77777777" w:rsidR="00E35FCB" w:rsidRPr="00712F3C" w:rsidRDefault="00E35FCB" w:rsidP="00E35FCB">
      <w:pPr>
        <w:widowControl w:val="0"/>
        <w:autoSpaceDE w:val="0"/>
        <w:autoSpaceDN w:val="0"/>
        <w:adjustRightInd w:val="0"/>
        <w:spacing w:after="0" w:line="240" w:lineRule="auto"/>
        <w:ind w:left="720"/>
        <w:jc w:val="both"/>
        <w:rPr>
          <w:rFonts w:ascii="Times New Roman" w:eastAsia="MS Mincho" w:hAnsi="Times New Roman"/>
          <w:sz w:val="20"/>
          <w:szCs w:val="20"/>
          <w:lang w:val="en-GB"/>
        </w:rPr>
      </w:pPr>
    </w:p>
    <w:tbl>
      <w:tblPr>
        <w:tblW w:w="4598"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6379"/>
        <w:gridCol w:w="2085"/>
      </w:tblGrid>
      <w:tr w:rsidR="00E35FCB" w:rsidRPr="00712F3C" w14:paraId="4FD4A2FA" w14:textId="77777777" w:rsidTr="00250DAC">
        <w:trPr>
          <w:trHeight w:val="20"/>
        </w:trPr>
        <w:tc>
          <w:tcPr>
            <w:tcW w:w="599" w:type="pct"/>
            <w:shd w:val="clear" w:color="auto" w:fill="D0CECE" w:themeFill="background2" w:themeFillShade="E6"/>
            <w:vAlign w:val="center"/>
          </w:tcPr>
          <w:p w14:paraId="5D86BB2B" w14:textId="77777777" w:rsidR="00E35FCB" w:rsidRPr="00712F3C" w:rsidRDefault="00E35FCB" w:rsidP="00250DAC">
            <w:pPr>
              <w:spacing w:after="0" w:line="240" w:lineRule="auto"/>
              <w:ind w:left="91" w:right="46"/>
              <w:jc w:val="both"/>
              <w:rPr>
                <w:rFonts w:ascii="Times New Roman" w:eastAsia="MS Mincho" w:hAnsi="Times New Roman"/>
                <w:b/>
                <w:sz w:val="20"/>
                <w:szCs w:val="20"/>
                <w:lang w:val="en-GB"/>
              </w:rPr>
            </w:pPr>
            <w:r w:rsidRPr="00712F3C">
              <w:rPr>
                <w:rFonts w:ascii="Times New Roman" w:hAnsi="Times New Roman"/>
                <w:b/>
                <w:bCs/>
                <w:sz w:val="20"/>
                <w:szCs w:val="20"/>
                <w:lang w:val="en-GB"/>
              </w:rPr>
              <w:t>Sr. No.</w:t>
            </w:r>
          </w:p>
        </w:tc>
        <w:tc>
          <w:tcPr>
            <w:tcW w:w="3317" w:type="pct"/>
            <w:shd w:val="clear" w:color="auto" w:fill="D0CECE" w:themeFill="background2" w:themeFillShade="E6"/>
            <w:vAlign w:val="center"/>
          </w:tcPr>
          <w:p w14:paraId="14C73AD6" w14:textId="77777777" w:rsidR="00E35FCB" w:rsidRPr="00712F3C" w:rsidRDefault="00E35FCB" w:rsidP="00250DAC">
            <w:pPr>
              <w:spacing w:after="0" w:line="240" w:lineRule="auto"/>
              <w:ind w:right="46"/>
              <w:jc w:val="both"/>
              <w:rPr>
                <w:rFonts w:ascii="Times New Roman" w:eastAsia="MS Mincho" w:hAnsi="Times New Roman"/>
                <w:b/>
                <w:sz w:val="20"/>
                <w:szCs w:val="20"/>
                <w:lang w:val="en-GB"/>
              </w:rPr>
            </w:pPr>
            <w:r w:rsidRPr="00712F3C">
              <w:rPr>
                <w:rFonts w:ascii="Times New Roman" w:eastAsia="MS Mincho" w:hAnsi="Times New Roman"/>
                <w:b/>
                <w:sz w:val="20"/>
                <w:szCs w:val="20"/>
                <w:lang w:val="en-GB"/>
              </w:rPr>
              <w:t>Name of the KMP’s</w:t>
            </w:r>
          </w:p>
        </w:tc>
        <w:tc>
          <w:tcPr>
            <w:tcW w:w="1084" w:type="pct"/>
            <w:shd w:val="clear" w:color="auto" w:fill="D0CECE" w:themeFill="background2" w:themeFillShade="E6"/>
            <w:vAlign w:val="center"/>
          </w:tcPr>
          <w:p w14:paraId="3A28F1E5" w14:textId="77777777" w:rsidR="00E35FCB" w:rsidRPr="00712F3C" w:rsidRDefault="00E35FCB" w:rsidP="00250DAC">
            <w:pPr>
              <w:spacing w:after="0" w:line="240" w:lineRule="auto"/>
              <w:ind w:left="91" w:right="46"/>
              <w:jc w:val="center"/>
              <w:rPr>
                <w:rFonts w:ascii="Times New Roman" w:eastAsia="MS Mincho" w:hAnsi="Times New Roman"/>
                <w:b/>
                <w:sz w:val="20"/>
                <w:szCs w:val="20"/>
                <w:lang w:val="en-GB"/>
              </w:rPr>
            </w:pPr>
            <w:r w:rsidRPr="00712F3C">
              <w:rPr>
                <w:rFonts w:ascii="Times New Roman" w:eastAsia="MS Mincho" w:hAnsi="Times New Roman"/>
                <w:b/>
                <w:sz w:val="20"/>
                <w:szCs w:val="20"/>
                <w:lang w:val="en-GB"/>
              </w:rPr>
              <w:t>No. of Shares held</w:t>
            </w:r>
          </w:p>
        </w:tc>
      </w:tr>
      <w:tr w:rsidR="00E35FCB" w:rsidRPr="00712F3C" w14:paraId="617D5E9D" w14:textId="77777777" w:rsidTr="00250DAC">
        <w:trPr>
          <w:trHeight w:val="20"/>
        </w:trPr>
        <w:tc>
          <w:tcPr>
            <w:tcW w:w="599" w:type="pct"/>
            <w:shd w:val="clear" w:color="auto" w:fill="auto"/>
            <w:vAlign w:val="center"/>
          </w:tcPr>
          <w:p w14:paraId="2B7D20EC" w14:textId="77777777" w:rsidR="00E35FCB" w:rsidRPr="00712F3C" w:rsidRDefault="00E35FCB" w:rsidP="00250DAC">
            <w:pPr>
              <w:spacing w:after="0" w:line="240" w:lineRule="auto"/>
              <w:ind w:left="91" w:right="46"/>
              <w:jc w:val="center"/>
              <w:rPr>
                <w:rFonts w:ascii="Times New Roman" w:eastAsia="MS Mincho" w:hAnsi="Times New Roman"/>
                <w:color w:val="000000"/>
                <w:sz w:val="20"/>
                <w:szCs w:val="20"/>
                <w:lang w:val="en-GB"/>
              </w:rPr>
            </w:pPr>
            <w:r w:rsidRPr="00712F3C">
              <w:rPr>
                <w:rFonts w:ascii="Times New Roman" w:hAnsi="Times New Roman"/>
                <w:sz w:val="20"/>
                <w:szCs w:val="20"/>
              </w:rPr>
              <w:t>1</w:t>
            </w:r>
          </w:p>
        </w:tc>
        <w:tc>
          <w:tcPr>
            <w:tcW w:w="3317" w:type="pct"/>
            <w:shd w:val="clear" w:color="auto" w:fill="auto"/>
          </w:tcPr>
          <w:p w14:paraId="7A64B7E0" w14:textId="77777777" w:rsidR="00E35FCB" w:rsidRPr="00712F3C" w:rsidRDefault="00E35FCB" w:rsidP="00250DAC">
            <w:pPr>
              <w:widowControl w:val="0"/>
              <w:autoSpaceDE w:val="0"/>
              <w:autoSpaceDN w:val="0"/>
              <w:adjustRightInd w:val="0"/>
              <w:spacing w:after="0" w:line="240" w:lineRule="auto"/>
              <w:rPr>
                <w:rFonts w:ascii="Times New Roman" w:eastAsia="MS Mincho" w:hAnsi="Times New Roman"/>
                <w:sz w:val="20"/>
                <w:szCs w:val="20"/>
                <w:lang w:val="en-GB"/>
              </w:rPr>
            </w:pPr>
            <w:r w:rsidRPr="007C4339">
              <w:rPr>
                <w:rFonts w:ascii="Times New Roman" w:hAnsi="Times New Roman"/>
                <w:sz w:val="20"/>
                <w:szCs w:val="20"/>
              </w:rPr>
              <w:t>Ramgopal Ochhavlal Maheshwari</w:t>
            </w:r>
          </w:p>
        </w:tc>
        <w:tc>
          <w:tcPr>
            <w:tcW w:w="1084" w:type="pct"/>
            <w:shd w:val="clear" w:color="auto" w:fill="auto"/>
            <w:vAlign w:val="center"/>
          </w:tcPr>
          <w:p w14:paraId="04EF0AC8" w14:textId="77777777" w:rsidR="00E35FCB" w:rsidRPr="00712F3C" w:rsidRDefault="00E35FCB" w:rsidP="00250DAC">
            <w:pPr>
              <w:spacing w:after="0" w:line="240" w:lineRule="auto"/>
              <w:ind w:left="91" w:right="46"/>
              <w:jc w:val="center"/>
              <w:rPr>
                <w:rFonts w:ascii="Times New Roman" w:eastAsia="MS Mincho" w:hAnsi="Times New Roman"/>
                <w:color w:val="000000"/>
                <w:sz w:val="20"/>
                <w:szCs w:val="20"/>
                <w:lang w:val="en-GB"/>
              </w:rPr>
            </w:pPr>
            <w:r>
              <w:rPr>
                <w:rFonts w:ascii="Times New Roman" w:eastAsia="MS Mincho" w:hAnsi="Times New Roman"/>
                <w:color w:val="000000"/>
                <w:sz w:val="20"/>
                <w:szCs w:val="20"/>
                <w:lang w:val="en-GB"/>
              </w:rPr>
              <w:t>4,50,000</w:t>
            </w:r>
          </w:p>
        </w:tc>
      </w:tr>
      <w:tr w:rsidR="00E35FCB" w:rsidRPr="00712F3C" w14:paraId="5989DBA2" w14:textId="77777777" w:rsidTr="00250DAC">
        <w:trPr>
          <w:trHeight w:val="20"/>
        </w:trPr>
        <w:tc>
          <w:tcPr>
            <w:tcW w:w="599" w:type="pct"/>
            <w:shd w:val="clear" w:color="auto" w:fill="auto"/>
            <w:vAlign w:val="center"/>
          </w:tcPr>
          <w:p w14:paraId="21A3A393" w14:textId="77777777" w:rsidR="00E35FCB" w:rsidRPr="00712F3C" w:rsidRDefault="00E35FCB" w:rsidP="00250DAC">
            <w:pPr>
              <w:spacing w:after="0" w:line="240" w:lineRule="auto"/>
              <w:ind w:left="91" w:right="46"/>
              <w:jc w:val="center"/>
              <w:rPr>
                <w:rFonts w:ascii="Times New Roman" w:hAnsi="Times New Roman"/>
                <w:sz w:val="20"/>
                <w:szCs w:val="20"/>
              </w:rPr>
            </w:pPr>
            <w:r w:rsidRPr="00712F3C">
              <w:rPr>
                <w:rFonts w:ascii="Times New Roman" w:hAnsi="Times New Roman"/>
                <w:sz w:val="20"/>
                <w:szCs w:val="20"/>
              </w:rPr>
              <w:t>2</w:t>
            </w:r>
          </w:p>
        </w:tc>
        <w:tc>
          <w:tcPr>
            <w:tcW w:w="3317" w:type="pct"/>
            <w:shd w:val="clear" w:color="auto" w:fill="auto"/>
          </w:tcPr>
          <w:p w14:paraId="1DC6FF84" w14:textId="77777777" w:rsidR="00E35FCB" w:rsidRPr="00712F3C" w:rsidRDefault="00E35FCB" w:rsidP="00250DAC">
            <w:pPr>
              <w:autoSpaceDE w:val="0"/>
              <w:autoSpaceDN w:val="0"/>
              <w:adjustRightInd w:val="0"/>
              <w:spacing w:after="0" w:line="240" w:lineRule="auto"/>
              <w:rPr>
                <w:rFonts w:ascii="Times New Roman" w:eastAsia="MS Mincho" w:hAnsi="Times New Roman"/>
                <w:sz w:val="20"/>
                <w:szCs w:val="20"/>
                <w:lang w:val="en-GB"/>
              </w:rPr>
            </w:pPr>
            <w:r w:rsidRPr="007C4339">
              <w:rPr>
                <w:rFonts w:ascii="Times New Roman" w:eastAsia="MS Mincho" w:hAnsi="Times New Roman"/>
                <w:sz w:val="20"/>
                <w:szCs w:val="20"/>
                <w:lang w:val="en-GB"/>
              </w:rPr>
              <w:t>Bhavesh Ramgopal Maheshwari</w:t>
            </w:r>
          </w:p>
        </w:tc>
        <w:tc>
          <w:tcPr>
            <w:tcW w:w="1084" w:type="pct"/>
            <w:shd w:val="clear" w:color="auto" w:fill="auto"/>
            <w:vAlign w:val="center"/>
          </w:tcPr>
          <w:p w14:paraId="76453EDF" w14:textId="77777777" w:rsidR="00E35FCB" w:rsidRPr="00712F3C" w:rsidRDefault="00E35FCB" w:rsidP="00250DAC">
            <w:pPr>
              <w:spacing w:after="0" w:line="240" w:lineRule="auto"/>
              <w:ind w:left="91" w:right="46"/>
              <w:jc w:val="center"/>
              <w:rPr>
                <w:rFonts w:ascii="Times New Roman" w:eastAsia="MS Mincho" w:hAnsi="Times New Roman"/>
                <w:color w:val="000000"/>
                <w:sz w:val="20"/>
                <w:szCs w:val="20"/>
                <w:lang w:val="en-GB"/>
              </w:rPr>
            </w:pPr>
            <w:r>
              <w:rPr>
                <w:rFonts w:ascii="Times New Roman" w:eastAsia="MS Mincho" w:hAnsi="Times New Roman"/>
                <w:color w:val="000000"/>
                <w:sz w:val="20"/>
                <w:szCs w:val="20"/>
                <w:lang w:val="en-GB"/>
              </w:rPr>
              <w:t>2,10,000</w:t>
            </w:r>
          </w:p>
        </w:tc>
      </w:tr>
      <w:tr w:rsidR="00E35FCB" w:rsidRPr="00712F3C" w14:paraId="32B9639C" w14:textId="77777777" w:rsidTr="00250DAC">
        <w:trPr>
          <w:trHeight w:val="20"/>
        </w:trPr>
        <w:tc>
          <w:tcPr>
            <w:tcW w:w="599" w:type="pct"/>
            <w:shd w:val="clear" w:color="auto" w:fill="auto"/>
            <w:vAlign w:val="center"/>
          </w:tcPr>
          <w:p w14:paraId="18BBC1FA" w14:textId="77777777" w:rsidR="00E35FCB" w:rsidRPr="00712F3C" w:rsidRDefault="00E35FCB" w:rsidP="00250DAC">
            <w:pPr>
              <w:spacing w:after="0" w:line="240" w:lineRule="auto"/>
              <w:ind w:left="91" w:right="46"/>
              <w:jc w:val="center"/>
              <w:rPr>
                <w:rFonts w:ascii="Times New Roman" w:hAnsi="Times New Roman"/>
                <w:sz w:val="20"/>
                <w:szCs w:val="20"/>
              </w:rPr>
            </w:pPr>
            <w:r w:rsidRPr="00712F3C">
              <w:rPr>
                <w:rFonts w:ascii="Times New Roman" w:hAnsi="Times New Roman"/>
                <w:sz w:val="20"/>
                <w:szCs w:val="20"/>
              </w:rPr>
              <w:t>3.</w:t>
            </w:r>
          </w:p>
        </w:tc>
        <w:tc>
          <w:tcPr>
            <w:tcW w:w="3317" w:type="pct"/>
            <w:shd w:val="clear" w:color="auto" w:fill="auto"/>
          </w:tcPr>
          <w:p w14:paraId="760D4B6A" w14:textId="77777777" w:rsidR="00E35FCB" w:rsidRPr="00712F3C" w:rsidRDefault="00E35FCB" w:rsidP="00250DAC">
            <w:pPr>
              <w:autoSpaceDE w:val="0"/>
              <w:autoSpaceDN w:val="0"/>
              <w:adjustRightInd w:val="0"/>
              <w:spacing w:after="0" w:line="240" w:lineRule="auto"/>
              <w:rPr>
                <w:rFonts w:ascii="Times New Roman" w:eastAsia="MS Mincho" w:hAnsi="Times New Roman"/>
                <w:sz w:val="20"/>
                <w:szCs w:val="20"/>
                <w:lang w:val="en-GB"/>
              </w:rPr>
            </w:pPr>
            <w:r w:rsidRPr="002A1472">
              <w:rPr>
                <w:rFonts w:ascii="Times New Roman" w:eastAsia="MS Mincho" w:hAnsi="Times New Roman"/>
                <w:sz w:val="20"/>
                <w:szCs w:val="20"/>
                <w:lang w:val="en-GB"/>
              </w:rPr>
              <w:t>Megha Bhavesh Maheshwar</w:t>
            </w:r>
            <w:r w:rsidRPr="007C4339">
              <w:rPr>
                <w:rFonts w:ascii="Times New Roman" w:eastAsia="MS Mincho" w:hAnsi="Times New Roman"/>
                <w:sz w:val="20"/>
                <w:szCs w:val="20"/>
                <w:lang w:val="en-GB"/>
              </w:rPr>
              <w:t>i</w:t>
            </w:r>
          </w:p>
        </w:tc>
        <w:tc>
          <w:tcPr>
            <w:tcW w:w="1084" w:type="pct"/>
            <w:shd w:val="clear" w:color="auto" w:fill="auto"/>
            <w:vAlign w:val="center"/>
          </w:tcPr>
          <w:p w14:paraId="7713192A" w14:textId="77777777" w:rsidR="00E35FCB" w:rsidRPr="00712F3C" w:rsidRDefault="00E35FCB" w:rsidP="00250DAC">
            <w:pPr>
              <w:spacing w:after="0" w:line="240" w:lineRule="auto"/>
              <w:ind w:left="91" w:right="46"/>
              <w:jc w:val="center"/>
              <w:rPr>
                <w:rFonts w:ascii="Times New Roman" w:eastAsia="MS Mincho" w:hAnsi="Times New Roman"/>
                <w:color w:val="000000"/>
                <w:sz w:val="20"/>
                <w:szCs w:val="20"/>
                <w:lang w:val="en-GB"/>
              </w:rPr>
            </w:pPr>
            <w:r>
              <w:rPr>
                <w:rFonts w:ascii="Times New Roman" w:eastAsia="MS Mincho" w:hAnsi="Times New Roman"/>
                <w:color w:val="000000"/>
                <w:sz w:val="20"/>
                <w:szCs w:val="20"/>
                <w:lang w:val="en-GB"/>
              </w:rPr>
              <w:t>40,000</w:t>
            </w:r>
          </w:p>
        </w:tc>
      </w:tr>
      <w:tr w:rsidR="00E35FCB" w:rsidRPr="00712F3C" w14:paraId="12EB2EBD" w14:textId="77777777" w:rsidTr="00250DAC">
        <w:trPr>
          <w:trHeight w:val="20"/>
        </w:trPr>
        <w:tc>
          <w:tcPr>
            <w:tcW w:w="599" w:type="pct"/>
            <w:shd w:val="clear" w:color="auto" w:fill="auto"/>
            <w:vAlign w:val="center"/>
          </w:tcPr>
          <w:p w14:paraId="0D2F1B30" w14:textId="77777777" w:rsidR="00E35FCB" w:rsidRPr="00712F3C" w:rsidRDefault="00E35FCB" w:rsidP="00250DAC">
            <w:pPr>
              <w:suppressAutoHyphens/>
              <w:autoSpaceDE w:val="0"/>
              <w:autoSpaceDN w:val="0"/>
              <w:adjustRightInd w:val="0"/>
              <w:spacing w:after="0" w:line="240" w:lineRule="auto"/>
              <w:ind w:right="46"/>
              <w:textAlignment w:val="center"/>
              <w:outlineLvl w:val="0"/>
              <w:rPr>
                <w:rFonts w:ascii="Times New Roman" w:hAnsi="Times New Roman"/>
                <w:sz w:val="20"/>
                <w:szCs w:val="20"/>
              </w:rPr>
            </w:pPr>
          </w:p>
        </w:tc>
        <w:tc>
          <w:tcPr>
            <w:tcW w:w="3317" w:type="pct"/>
            <w:shd w:val="clear" w:color="auto" w:fill="auto"/>
            <w:vAlign w:val="center"/>
          </w:tcPr>
          <w:p w14:paraId="6332A6CD" w14:textId="77777777" w:rsidR="00E35FCB" w:rsidRPr="00712F3C" w:rsidRDefault="00E35FCB" w:rsidP="00250DAC">
            <w:pPr>
              <w:spacing w:after="0" w:line="240" w:lineRule="auto"/>
              <w:ind w:left="91" w:right="46"/>
              <w:jc w:val="center"/>
              <w:rPr>
                <w:rFonts w:ascii="Times New Roman" w:hAnsi="Times New Roman"/>
                <w:b/>
                <w:bCs/>
                <w:color w:val="000000"/>
                <w:sz w:val="20"/>
                <w:szCs w:val="20"/>
                <w:lang w:val="en-GB"/>
              </w:rPr>
            </w:pPr>
            <w:r w:rsidRPr="00712F3C">
              <w:rPr>
                <w:rFonts w:ascii="Times New Roman" w:hAnsi="Times New Roman"/>
                <w:b/>
                <w:bCs/>
                <w:color w:val="000000"/>
                <w:sz w:val="20"/>
                <w:szCs w:val="20"/>
                <w:lang w:val="en-GB"/>
              </w:rPr>
              <w:t>Total</w:t>
            </w:r>
          </w:p>
        </w:tc>
        <w:tc>
          <w:tcPr>
            <w:tcW w:w="1084" w:type="pct"/>
            <w:shd w:val="clear" w:color="auto" w:fill="auto"/>
            <w:vAlign w:val="center"/>
          </w:tcPr>
          <w:p w14:paraId="2935E050" w14:textId="77777777" w:rsidR="00E35FCB" w:rsidRPr="00712F3C" w:rsidRDefault="00E35FCB" w:rsidP="00250DAC">
            <w:pPr>
              <w:spacing w:after="0" w:line="240" w:lineRule="auto"/>
              <w:ind w:left="91" w:right="46"/>
              <w:jc w:val="center"/>
              <w:rPr>
                <w:rFonts w:ascii="Times New Roman" w:eastAsia="MS Mincho" w:hAnsi="Times New Roman"/>
                <w:b/>
                <w:bCs/>
                <w:color w:val="000000"/>
                <w:sz w:val="20"/>
                <w:szCs w:val="20"/>
                <w:lang w:val="en-GB"/>
              </w:rPr>
            </w:pPr>
            <w:r>
              <w:rPr>
                <w:rFonts w:ascii="Times New Roman" w:eastAsia="MS Mincho" w:hAnsi="Times New Roman"/>
                <w:b/>
                <w:bCs/>
                <w:color w:val="000000"/>
                <w:sz w:val="20"/>
                <w:szCs w:val="20"/>
                <w:lang w:val="en-GB"/>
              </w:rPr>
              <w:t>7,00,000</w:t>
            </w:r>
          </w:p>
        </w:tc>
      </w:tr>
    </w:tbl>
    <w:p w14:paraId="636CBBAF" w14:textId="77777777" w:rsidR="00E35FCB" w:rsidRPr="00712F3C" w:rsidRDefault="00E35FCB" w:rsidP="00E35FCB">
      <w:pPr>
        <w:widowControl w:val="0"/>
        <w:autoSpaceDE w:val="0"/>
        <w:autoSpaceDN w:val="0"/>
        <w:adjustRightInd w:val="0"/>
        <w:spacing w:after="0" w:line="240" w:lineRule="auto"/>
        <w:ind w:left="360"/>
        <w:jc w:val="both"/>
        <w:rPr>
          <w:rFonts w:ascii="Times New Roman" w:eastAsia="MS Mincho" w:hAnsi="Times New Roman"/>
          <w:bCs/>
          <w:sz w:val="20"/>
          <w:szCs w:val="20"/>
          <w:lang w:val="en-GB"/>
        </w:rPr>
      </w:pPr>
    </w:p>
    <w:p w14:paraId="5D691D29" w14:textId="77777777" w:rsidR="00E35FCB" w:rsidRPr="00712F3C" w:rsidRDefault="00E35FCB" w:rsidP="00E35FCB">
      <w:pPr>
        <w:pStyle w:val="ListParagraph"/>
        <w:spacing w:line="240" w:lineRule="auto"/>
        <w:ind w:left="0"/>
        <w:jc w:val="both"/>
        <w:rPr>
          <w:sz w:val="20"/>
          <w:szCs w:val="20"/>
        </w:rPr>
      </w:pPr>
      <w:r w:rsidRPr="00712F3C">
        <w:rPr>
          <w:b/>
          <w:sz w:val="20"/>
          <w:szCs w:val="20"/>
        </w:rPr>
        <w:t>Nature of any family relationship between our Directors and Key Managerial Personnel</w:t>
      </w:r>
      <w:r w:rsidRPr="00712F3C">
        <w:rPr>
          <w:b/>
          <w:sz w:val="20"/>
          <w:szCs w:val="20"/>
          <w:lang w:val="en-GB"/>
        </w:rPr>
        <w:t xml:space="preserve"> </w:t>
      </w:r>
      <w:r w:rsidRPr="00712F3C">
        <w:rPr>
          <w:b/>
          <w:sz w:val="20"/>
          <w:szCs w:val="20"/>
        </w:rPr>
        <w:t>(KMP)</w:t>
      </w:r>
    </w:p>
    <w:p w14:paraId="2490A003" w14:textId="77777777" w:rsidR="00E35FCB" w:rsidRPr="00712F3C" w:rsidRDefault="00E35FCB" w:rsidP="00E35FCB">
      <w:pPr>
        <w:spacing w:after="0" w:line="240" w:lineRule="auto"/>
        <w:jc w:val="both"/>
        <w:rPr>
          <w:rFonts w:ascii="Times New Roman" w:eastAsia="MS Mincho" w:hAnsi="Times New Roman"/>
          <w:sz w:val="20"/>
          <w:szCs w:val="20"/>
          <w:lang w:val="en-GB"/>
        </w:rPr>
      </w:pPr>
    </w:p>
    <w:p w14:paraId="5B575F11" w14:textId="77777777" w:rsidR="00E35FCB" w:rsidRPr="00712F3C" w:rsidRDefault="00E35FCB" w:rsidP="00E35FCB">
      <w:pPr>
        <w:autoSpaceDE w:val="0"/>
        <w:autoSpaceDN w:val="0"/>
        <w:adjustRightInd w:val="0"/>
        <w:spacing w:after="0" w:line="240" w:lineRule="auto"/>
        <w:jc w:val="both"/>
        <w:rPr>
          <w:rFonts w:ascii="Times New Roman" w:eastAsiaTheme="minorHAnsi" w:hAnsi="Times New Roman"/>
          <w:sz w:val="20"/>
          <w:szCs w:val="20"/>
          <w:lang w:val="en-IN"/>
        </w:rPr>
      </w:pPr>
      <w:r w:rsidRPr="00712F3C">
        <w:rPr>
          <w:rFonts w:ascii="Times New Roman" w:eastAsiaTheme="minorHAnsi" w:hAnsi="Times New Roman"/>
          <w:sz w:val="20"/>
          <w:szCs w:val="20"/>
          <w:lang w:val="en-IN"/>
        </w:rPr>
        <w:t>The Directors and KMPs of the Company are related to each other within the meaning of section 2 (77) of the Companies Act,</w:t>
      </w:r>
    </w:p>
    <w:p w14:paraId="7A0056BC" w14:textId="6278B551" w:rsidR="00E35FCB" w:rsidRDefault="00E35FCB" w:rsidP="00E35FCB">
      <w:pPr>
        <w:autoSpaceDE w:val="0"/>
        <w:autoSpaceDN w:val="0"/>
        <w:adjustRightInd w:val="0"/>
        <w:spacing w:after="0" w:line="240" w:lineRule="auto"/>
        <w:jc w:val="both"/>
        <w:rPr>
          <w:rFonts w:ascii="Times New Roman" w:eastAsia="Calibri" w:hAnsi="Times New Roman"/>
          <w:sz w:val="20"/>
          <w:szCs w:val="20"/>
        </w:rPr>
      </w:pPr>
      <w:r w:rsidRPr="00712F3C">
        <w:rPr>
          <w:rFonts w:ascii="Times New Roman" w:eastAsiaTheme="minorHAnsi" w:hAnsi="Times New Roman"/>
          <w:sz w:val="20"/>
          <w:szCs w:val="20"/>
          <w:lang w:val="en-IN"/>
        </w:rPr>
        <w:t>2013. Details of which are as follows</w:t>
      </w:r>
      <w:r w:rsidRPr="00712F3C">
        <w:rPr>
          <w:rFonts w:ascii="Times New Roman" w:eastAsia="Calibri" w:hAnsi="Times New Roman"/>
          <w:sz w:val="20"/>
          <w:szCs w:val="20"/>
        </w:rPr>
        <w:t>:</w:t>
      </w:r>
    </w:p>
    <w:p w14:paraId="7A0C5BBC" w14:textId="77777777" w:rsidR="00E35FCB" w:rsidRPr="00712F3C" w:rsidRDefault="00E35FCB" w:rsidP="00E35FCB">
      <w:pPr>
        <w:autoSpaceDE w:val="0"/>
        <w:autoSpaceDN w:val="0"/>
        <w:adjustRightInd w:val="0"/>
        <w:spacing w:after="0" w:line="240" w:lineRule="auto"/>
        <w:jc w:val="both"/>
        <w:rPr>
          <w:rFonts w:ascii="Times New Roman" w:eastAsia="Calibri" w:hAnsi="Times New Roman"/>
          <w:sz w:val="20"/>
          <w:szCs w:val="20"/>
        </w:rPr>
      </w:pPr>
    </w:p>
    <w:tbl>
      <w:tblPr>
        <w:tblStyle w:val="TableGrid"/>
        <w:tblW w:w="0" w:type="auto"/>
        <w:tblLook w:val="04A0" w:firstRow="1" w:lastRow="0" w:firstColumn="1" w:lastColumn="0" w:noHBand="0" w:noVBand="1"/>
      </w:tblPr>
      <w:tblGrid>
        <w:gridCol w:w="846"/>
        <w:gridCol w:w="2693"/>
        <w:gridCol w:w="6917"/>
      </w:tblGrid>
      <w:tr w:rsidR="00E35FCB" w:rsidRPr="00712F3C" w14:paraId="2E6A0FF4" w14:textId="77777777" w:rsidTr="00250DAC">
        <w:trPr>
          <w:trHeight w:val="134"/>
        </w:trPr>
        <w:tc>
          <w:tcPr>
            <w:tcW w:w="846" w:type="dxa"/>
            <w:shd w:val="clear" w:color="auto" w:fill="D0CECE" w:themeFill="background2" w:themeFillShade="E6"/>
          </w:tcPr>
          <w:p w14:paraId="47283BCC" w14:textId="77777777" w:rsidR="00E35FCB" w:rsidRPr="00712F3C" w:rsidRDefault="00E35FCB" w:rsidP="00250DAC">
            <w:pPr>
              <w:autoSpaceDE w:val="0"/>
              <w:autoSpaceDN w:val="0"/>
              <w:adjustRightInd w:val="0"/>
              <w:spacing w:after="0" w:line="240" w:lineRule="auto"/>
              <w:jc w:val="both"/>
              <w:rPr>
                <w:rFonts w:ascii="Times New Roman" w:eastAsia="Calibri" w:hAnsi="Times New Roman"/>
                <w:b/>
              </w:rPr>
            </w:pPr>
            <w:r w:rsidRPr="00712F3C">
              <w:rPr>
                <w:rFonts w:ascii="Times New Roman" w:eastAsia="Calibri" w:hAnsi="Times New Roman"/>
                <w:b/>
              </w:rPr>
              <w:t>Sr. No.</w:t>
            </w:r>
          </w:p>
        </w:tc>
        <w:tc>
          <w:tcPr>
            <w:tcW w:w="2693" w:type="dxa"/>
            <w:shd w:val="clear" w:color="auto" w:fill="D0CECE" w:themeFill="background2" w:themeFillShade="E6"/>
          </w:tcPr>
          <w:p w14:paraId="6D8AEEBA" w14:textId="77777777" w:rsidR="00E35FCB" w:rsidRPr="00712F3C" w:rsidRDefault="00E35FCB" w:rsidP="00250DAC">
            <w:pPr>
              <w:autoSpaceDE w:val="0"/>
              <w:autoSpaceDN w:val="0"/>
              <w:adjustRightInd w:val="0"/>
              <w:spacing w:after="0" w:line="240" w:lineRule="auto"/>
              <w:jc w:val="both"/>
              <w:rPr>
                <w:rFonts w:ascii="Times New Roman" w:eastAsia="Calibri" w:hAnsi="Times New Roman"/>
                <w:b/>
              </w:rPr>
            </w:pPr>
            <w:r w:rsidRPr="00712F3C">
              <w:rPr>
                <w:rFonts w:ascii="Times New Roman" w:eastAsia="Calibri" w:hAnsi="Times New Roman"/>
                <w:b/>
              </w:rPr>
              <w:t>Name of the Director/ KMP</w:t>
            </w:r>
          </w:p>
        </w:tc>
        <w:tc>
          <w:tcPr>
            <w:tcW w:w="6917" w:type="dxa"/>
            <w:shd w:val="clear" w:color="auto" w:fill="D0CECE" w:themeFill="background2" w:themeFillShade="E6"/>
          </w:tcPr>
          <w:p w14:paraId="05F54BD0" w14:textId="77777777" w:rsidR="00E35FCB" w:rsidRPr="00712F3C" w:rsidRDefault="00E35FCB" w:rsidP="00250DAC">
            <w:pPr>
              <w:autoSpaceDE w:val="0"/>
              <w:autoSpaceDN w:val="0"/>
              <w:adjustRightInd w:val="0"/>
              <w:spacing w:after="0" w:line="240" w:lineRule="auto"/>
              <w:jc w:val="both"/>
              <w:rPr>
                <w:rFonts w:ascii="Times New Roman" w:eastAsia="Calibri" w:hAnsi="Times New Roman"/>
                <w:b/>
              </w:rPr>
            </w:pPr>
            <w:r w:rsidRPr="00712F3C">
              <w:rPr>
                <w:rFonts w:ascii="Times New Roman" w:eastAsia="Calibri" w:hAnsi="Times New Roman"/>
                <w:b/>
              </w:rPr>
              <w:t>Relationship with other Directors/ KMP’s</w:t>
            </w:r>
          </w:p>
        </w:tc>
      </w:tr>
      <w:tr w:rsidR="00E35FCB" w:rsidRPr="00712F3C" w14:paraId="0F2EB17E" w14:textId="77777777" w:rsidTr="00250DAC">
        <w:tc>
          <w:tcPr>
            <w:tcW w:w="846" w:type="dxa"/>
          </w:tcPr>
          <w:p w14:paraId="35F2CF9E" w14:textId="77777777" w:rsidR="00E35FCB" w:rsidRPr="00712F3C" w:rsidRDefault="00E35FCB" w:rsidP="00250DAC">
            <w:pPr>
              <w:autoSpaceDE w:val="0"/>
              <w:autoSpaceDN w:val="0"/>
              <w:adjustRightInd w:val="0"/>
              <w:spacing w:after="0" w:line="240" w:lineRule="auto"/>
              <w:jc w:val="center"/>
              <w:rPr>
                <w:rFonts w:ascii="Times New Roman" w:eastAsia="Calibri" w:hAnsi="Times New Roman"/>
              </w:rPr>
            </w:pPr>
            <w:r w:rsidRPr="00712F3C">
              <w:rPr>
                <w:rFonts w:ascii="Times New Roman" w:eastAsia="Calibri" w:hAnsi="Times New Roman"/>
              </w:rPr>
              <w:t>1.</w:t>
            </w:r>
          </w:p>
        </w:tc>
        <w:tc>
          <w:tcPr>
            <w:tcW w:w="2693" w:type="dxa"/>
            <w:vAlign w:val="center"/>
          </w:tcPr>
          <w:p w14:paraId="3F13C148" w14:textId="77777777" w:rsidR="00E35FCB" w:rsidRPr="00712F3C" w:rsidRDefault="00E35FCB" w:rsidP="00250DAC">
            <w:pPr>
              <w:widowControl w:val="0"/>
              <w:autoSpaceDE w:val="0"/>
              <w:autoSpaceDN w:val="0"/>
              <w:adjustRightInd w:val="0"/>
              <w:spacing w:after="0" w:line="240" w:lineRule="auto"/>
              <w:jc w:val="both"/>
              <w:rPr>
                <w:rFonts w:ascii="Times New Roman" w:eastAsia="MS Mincho" w:hAnsi="Times New Roman"/>
                <w:lang w:val="en-GB"/>
              </w:rPr>
            </w:pPr>
            <w:r w:rsidRPr="007C4339">
              <w:rPr>
                <w:rFonts w:ascii="Times New Roman" w:hAnsi="Times New Roman"/>
              </w:rPr>
              <w:t>Ramgopal Ochhavlal Maheshwari</w:t>
            </w:r>
          </w:p>
        </w:tc>
        <w:tc>
          <w:tcPr>
            <w:tcW w:w="6917" w:type="dxa"/>
          </w:tcPr>
          <w:p w14:paraId="73EABBAC" w14:textId="77777777" w:rsidR="00E35FCB" w:rsidRPr="00712F3C" w:rsidRDefault="00E35FCB" w:rsidP="00250DAC">
            <w:pPr>
              <w:autoSpaceDE w:val="0"/>
              <w:autoSpaceDN w:val="0"/>
              <w:adjustRightInd w:val="0"/>
              <w:spacing w:after="0" w:line="240" w:lineRule="auto"/>
              <w:jc w:val="both"/>
              <w:rPr>
                <w:rFonts w:ascii="Times New Roman" w:eastAsia="Calibri" w:hAnsi="Times New Roman"/>
              </w:rPr>
            </w:pPr>
            <w:r>
              <w:rPr>
                <w:rFonts w:ascii="Times New Roman" w:eastAsia="Calibri" w:hAnsi="Times New Roman"/>
              </w:rPr>
              <w:t>Husband of Madhu Ramgopal Maheshwari, Father of Bhavesh Ramgopal Maheshwari and Father-in-law of Megha Bhavesh Maheshwari</w:t>
            </w:r>
          </w:p>
        </w:tc>
      </w:tr>
      <w:tr w:rsidR="00E35FCB" w:rsidRPr="00712F3C" w14:paraId="6EADA6EC" w14:textId="77777777" w:rsidTr="00250DAC">
        <w:tc>
          <w:tcPr>
            <w:tcW w:w="846" w:type="dxa"/>
          </w:tcPr>
          <w:p w14:paraId="0D5BF9EE" w14:textId="77777777" w:rsidR="00E35FCB" w:rsidRPr="00712F3C" w:rsidRDefault="00E35FCB" w:rsidP="00250DAC">
            <w:pPr>
              <w:autoSpaceDE w:val="0"/>
              <w:autoSpaceDN w:val="0"/>
              <w:adjustRightInd w:val="0"/>
              <w:spacing w:after="0" w:line="240" w:lineRule="auto"/>
              <w:jc w:val="center"/>
              <w:rPr>
                <w:rFonts w:ascii="Times New Roman" w:eastAsia="Calibri" w:hAnsi="Times New Roman"/>
              </w:rPr>
            </w:pPr>
            <w:r w:rsidRPr="00712F3C">
              <w:rPr>
                <w:rFonts w:ascii="Times New Roman" w:eastAsia="Calibri" w:hAnsi="Times New Roman"/>
              </w:rPr>
              <w:t>2.</w:t>
            </w:r>
          </w:p>
        </w:tc>
        <w:tc>
          <w:tcPr>
            <w:tcW w:w="2693" w:type="dxa"/>
            <w:vAlign w:val="center"/>
          </w:tcPr>
          <w:p w14:paraId="1C8FDA0F" w14:textId="77777777" w:rsidR="00E35FCB" w:rsidRPr="00712F3C" w:rsidRDefault="00E35FCB" w:rsidP="00250DAC">
            <w:pPr>
              <w:autoSpaceDE w:val="0"/>
              <w:autoSpaceDN w:val="0"/>
              <w:adjustRightInd w:val="0"/>
              <w:spacing w:after="0" w:line="240" w:lineRule="auto"/>
              <w:jc w:val="both"/>
              <w:rPr>
                <w:rFonts w:ascii="Times New Roman" w:eastAsia="MS Mincho" w:hAnsi="Times New Roman"/>
                <w:lang w:val="en-GB"/>
              </w:rPr>
            </w:pPr>
            <w:r>
              <w:rPr>
                <w:rFonts w:ascii="Times New Roman" w:eastAsia="Calibri" w:hAnsi="Times New Roman"/>
              </w:rPr>
              <w:t>Madhu Ramgopal Maheshwari</w:t>
            </w:r>
          </w:p>
        </w:tc>
        <w:tc>
          <w:tcPr>
            <w:tcW w:w="6917" w:type="dxa"/>
          </w:tcPr>
          <w:p w14:paraId="55AD2693" w14:textId="77777777" w:rsidR="00E35FCB" w:rsidRPr="00712F3C" w:rsidRDefault="00E35FCB" w:rsidP="00250DAC">
            <w:pPr>
              <w:autoSpaceDE w:val="0"/>
              <w:autoSpaceDN w:val="0"/>
              <w:adjustRightInd w:val="0"/>
              <w:spacing w:after="0" w:line="240" w:lineRule="auto"/>
              <w:jc w:val="both"/>
              <w:rPr>
                <w:rFonts w:ascii="Times New Roman" w:eastAsia="Calibri" w:hAnsi="Times New Roman"/>
              </w:rPr>
            </w:pPr>
            <w:r>
              <w:rPr>
                <w:rFonts w:ascii="Times New Roman" w:eastAsia="Calibri" w:hAnsi="Times New Roman"/>
              </w:rPr>
              <w:t>Wife of Ramgopal Ochhavlal Maheshwari, Mother of Bhavesh Ramgopal Maheshwari and Mother-in-law of Megha Bhavesh Maheshwari</w:t>
            </w:r>
          </w:p>
        </w:tc>
      </w:tr>
      <w:tr w:rsidR="00E35FCB" w:rsidRPr="00712F3C" w14:paraId="42EB5A3F" w14:textId="77777777" w:rsidTr="00250DAC">
        <w:tc>
          <w:tcPr>
            <w:tcW w:w="846" w:type="dxa"/>
          </w:tcPr>
          <w:p w14:paraId="16E99D8E" w14:textId="77777777" w:rsidR="00E35FCB" w:rsidRPr="00712F3C" w:rsidRDefault="00E35FCB" w:rsidP="00250DAC">
            <w:pPr>
              <w:autoSpaceDE w:val="0"/>
              <w:autoSpaceDN w:val="0"/>
              <w:adjustRightInd w:val="0"/>
              <w:spacing w:after="0" w:line="240" w:lineRule="auto"/>
              <w:jc w:val="center"/>
              <w:rPr>
                <w:rFonts w:ascii="Times New Roman" w:eastAsia="Calibri" w:hAnsi="Times New Roman"/>
              </w:rPr>
            </w:pPr>
            <w:r w:rsidRPr="00712F3C">
              <w:rPr>
                <w:rFonts w:ascii="Times New Roman" w:eastAsia="Calibri" w:hAnsi="Times New Roman"/>
              </w:rPr>
              <w:t>3.</w:t>
            </w:r>
          </w:p>
        </w:tc>
        <w:tc>
          <w:tcPr>
            <w:tcW w:w="2693" w:type="dxa"/>
            <w:vAlign w:val="center"/>
          </w:tcPr>
          <w:p w14:paraId="1B4E00C4" w14:textId="77777777" w:rsidR="00E35FCB" w:rsidRPr="00712F3C" w:rsidRDefault="00E35FCB" w:rsidP="00250DAC">
            <w:pPr>
              <w:autoSpaceDE w:val="0"/>
              <w:autoSpaceDN w:val="0"/>
              <w:adjustRightInd w:val="0"/>
              <w:spacing w:after="0" w:line="240" w:lineRule="auto"/>
              <w:jc w:val="both"/>
              <w:rPr>
                <w:rFonts w:ascii="Times New Roman" w:eastAsia="MS Mincho" w:hAnsi="Times New Roman"/>
                <w:lang w:val="en-GB"/>
              </w:rPr>
            </w:pPr>
            <w:r w:rsidRPr="007C4339">
              <w:rPr>
                <w:rFonts w:ascii="Times New Roman" w:eastAsia="MS Mincho" w:hAnsi="Times New Roman"/>
                <w:lang w:val="en-GB"/>
              </w:rPr>
              <w:t>Bhavesh Ramgopal Maheshwari</w:t>
            </w:r>
          </w:p>
        </w:tc>
        <w:tc>
          <w:tcPr>
            <w:tcW w:w="6917" w:type="dxa"/>
          </w:tcPr>
          <w:p w14:paraId="1A80312D" w14:textId="77777777" w:rsidR="00E35FCB" w:rsidRPr="00712F3C" w:rsidRDefault="00E35FCB" w:rsidP="00250DAC">
            <w:pPr>
              <w:autoSpaceDE w:val="0"/>
              <w:autoSpaceDN w:val="0"/>
              <w:adjustRightInd w:val="0"/>
              <w:spacing w:after="0" w:line="240" w:lineRule="auto"/>
              <w:jc w:val="both"/>
              <w:rPr>
                <w:rFonts w:ascii="Times New Roman" w:eastAsia="Calibri" w:hAnsi="Times New Roman"/>
              </w:rPr>
            </w:pPr>
            <w:r>
              <w:rPr>
                <w:rFonts w:ascii="Times New Roman" w:eastAsia="Calibri" w:hAnsi="Times New Roman"/>
              </w:rPr>
              <w:t xml:space="preserve">Son of </w:t>
            </w:r>
            <w:r w:rsidRPr="007C4339">
              <w:rPr>
                <w:rFonts w:ascii="Times New Roman" w:hAnsi="Times New Roman"/>
              </w:rPr>
              <w:t>Ramgopal Ochhavlal Maheshwari</w:t>
            </w:r>
            <w:r>
              <w:rPr>
                <w:rFonts w:ascii="Times New Roman" w:hAnsi="Times New Roman"/>
              </w:rPr>
              <w:t xml:space="preserve"> &amp; </w:t>
            </w:r>
            <w:r>
              <w:rPr>
                <w:rFonts w:ascii="Times New Roman" w:eastAsia="Calibri" w:hAnsi="Times New Roman"/>
              </w:rPr>
              <w:t>Madhu Ramgopal Maheshwari and Husband of Megha Bhavesh Maheshwari</w:t>
            </w:r>
          </w:p>
        </w:tc>
      </w:tr>
      <w:tr w:rsidR="00E35FCB" w:rsidRPr="00712F3C" w14:paraId="6E7D6702" w14:textId="77777777" w:rsidTr="00250DAC">
        <w:tc>
          <w:tcPr>
            <w:tcW w:w="846" w:type="dxa"/>
          </w:tcPr>
          <w:p w14:paraId="59F206FD" w14:textId="77777777" w:rsidR="00E35FCB" w:rsidRPr="00712F3C" w:rsidRDefault="00E35FCB" w:rsidP="00250DAC">
            <w:pPr>
              <w:autoSpaceDE w:val="0"/>
              <w:autoSpaceDN w:val="0"/>
              <w:adjustRightInd w:val="0"/>
              <w:spacing w:after="0" w:line="240" w:lineRule="auto"/>
              <w:jc w:val="center"/>
              <w:rPr>
                <w:rFonts w:ascii="Times New Roman" w:eastAsia="Calibri" w:hAnsi="Times New Roman"/>
              </w:rPr>
            </w:pPr>
            <w:r>
              <w:rPr>
                <w:rFonts w:ascii="Times New Roman" w:eastAsia="Calibri" w:hAnsi="Times New Roman"/>
              </w:rPr>
              <w:t>4.</w:t>
            </w:r>
          </w:p>
        </w:tc>
        <w:tc>
          <w:tcPr>
            <w:tcW w:w="2693" w:type="dxa"/>
            <w:vAlign w:val="center"/>
          </w:tcPr>
          <w:p w14:paraId="35030B87" w14:textId="77777777" w:rsidR="00E35FCB" w:rsidRPr="007C4339" w:rsidRDefault="00E35FCB" w:rsidP="00250DAC">
            <w:pPr>
              <w:autoSpaceDE w:val="0"/>
              <w:autoSpaceDN w:val="0"/>
              <w:adjustRightInd w:val="0"/>
              <w:spacing w:after="0" w:line="240" w:lineRule="auto"/>
              <w:jc w:val="both"/>
              <w:rPr>
                <w:rFonts w:ascii="Times New Roman" w:eastAsia="MS Mincho" w:hAnsi="Times New Roman"/>
                <w:lang w:val="en-GB"/>
              </w:rPr>
            </w:pPr>
            <w:r>
              <w:rPr>
                <w:rFonts w:ascii="Times New Roman" w:eastAsia="Calibri" w:hAnsi="Times New Roman"/>
              </w:rPr>
              <w:t>Megha Bhavesh Maheshwari</w:t>
            </w:r>
          </w:p>
        </w:tc>
        <w:tc>
          <w:tcPr>
            <w:tcW w:w="6917" w:type="dxa"/>
          </w:tcPr>
          <w:p w14:paraId="50DDF7EF" w14:textId="77777777" w:rsidR="00E35FCB" w:rsidRDefault="00E35FCB" w:rsidP="00250DAC">
            <w:pPr>
              <w:autoSpaceDE w:val="0"/>
              <w:autoSpaceDN w:val="0"/>
              <w:adjustRightInd w:val="0"/>
              <w:spacing w:after="0" w:line="240" w:lineRule="auto"/>
              <w:jc w:val="both"/>
              <w:rPr>
                <w:rFonts w:ascii="Times New Roman" w:eastAsia="Calibri" w:hAnsi="Times New Roman"/>
              </w:rPr>
            </w:pPr>
            <w:r>
              <w:rPr>
                <w:rFonts w:ascii="Times New Roman" w:eastAsia="Calibri" w:hAnsi="Times New Roman"/>
              </w:rPr>
              <w:t xml:space="preserve">Daughter-in-law of </w:t>
            </w:r>
            <w:r w:rsidRPr="007C4339">
              <w:rPr>
                <w:rFonts w:ascii="Times New Roman" w:hAnsi="Times New Roman"/>
              </w:rPr>
              <w:t>Ramgopal Ochhavlal Maheshwari</w:t>
            </w:r>
            <w:r>
              <w:rPr>
                <w:rFonts w:ascii="Times New Roman" w:hAnsi="Times New Roman"/>
              </w:rPr>
              <w:t xml:space="preserve"> &amp; </w:t>
            </w:r>
            <w:r>
              <w:rPr>
                <w:rFonts w:ascii="Times New Roman" w:eastAsia="Calibri" w:hAnsi="Times New Roman"/>
              </w:rPr>
              <w:t xml:space="preserve">Madhu Ramgopal Maheshwari and wife of </w:t>
            </w:r>
            <w:r w:rsidRPr="007C4339">
              <w:rPr>
                <w:rFonts w:ascii="Times New Roman" w:eastAsia="MS Mincho" w:hAnsi="Times New Roman"/>
                <w:lang w:val="en-GB"/>
              </w:rPr>
              <w:t>Bhavesh Ramgopal Maheshwari</w:t>
            </w:r>
          </w:p>
        </w:tc>
      </w:tr>
    </w:tbl>
    <w:p w14:paraId="5BE5BA1A" w14:textId="77777777" w:rsidR="00E35FCB" w:rsidRPr="00712F3C" w:rsidRDefault="00E35FCB" w:rsidP="00E35FCB">
      <w:pPr>
        <w:autoSpaceDE w:val="0"/>
        <w:autoSpaceDN w:val="0"/>
        <w:adjustRightInd w:val="0"/>
        <w:spacing w:after="0" w:line="240" w:lineRule="auto"/>
        <w:jc w:val="both"/>
        <w:rPr>
          <w:rFonts w:ascii="Times New Roman" w:eastAsia="Calibri" w:hAnsi="Times New Roman"/>
          <w:sz w:val="20"/>
          <w:szCs w:val="20"/>
        </w:rPr>
      </w:pPr>
    </w:p>
    <w:p w14:paraId="17215363" w14:textId="77777777" w:rsidR="00E35FCB" w:rsidRPr="00712F3C" w:rsidRDefault="00E35FCB" w:rsidP="00E35FCB">
      <w:pPr>
        <w:autoSpaceDE w:val="0"/>
        <w:autoSpaceDN w:val="0"/>
        <w:adjustRightInd w:val="0"/>
        <w:spacing w:after="0" w:line="240" w:lineRule="auto"/>
        <w:jc w:val="both"/>
        <w:rPr>
          <w:rFonts w:ascii="Times New Roman" w:hAnsi="Times New Roman"/>
          <w:b/>
          <w:sz w:val="20"/>
          <w:szCs w:val="20"/>
        </w:rPr>
      </w:pPr>
      <w:r w:rsidRPr="00712F3C">
        <w:rPr>
          <w:rFonts w:ascii="Times New Roman" w:hAnsi="Times New Roman"/>
          <w:b/>
          <w:sz w:val="20"/>
          <w:szCs w:val="20"/>
        </w:rPr>
        <w:t>Payment of benefits to officers of Our Company (</w:t>
      </w:r>
      <w:r w:rsidRPr="00712F3C">
        <w:rPr>
          <w:rFonts w:ascii="Times New Roman" w:hAnsi="Times New Roman"/>
          <w:b/>
          <w:i/>
          <w:sz w:val="20"/>
          <w:szCs w:val="20"/>
        </w:rPr>
        <w:t>non-salary related</w:t>
      </w:r>
      <w:r w:rsidRPr="00712F3C">
        <w:rPr>
          <w:rFonts w:ascii="Times New Roman" w:hAnsi="Times New Roman"/>
          <w:b/>
          <w:sz w:val="20"/>
          <w:szCs w:val="20"/>
        </w:rPr>
        <w:t xml:space="preserve">) </w:t>
      </w:r>
    </w:p>
    <w:p w14:paraId="7488AB91" w14:textId="77777777" w:rsidR="00E35FCB" w:rsidRPr="00712F3C" w:rsidRDefault="00E35FCB" w:rsidP="00E35FCB">
      <w:pPr>
        <w:autoSpaceDE w:val="0"/>
        <w:autoSpaceDN w:val="0"/>
        <w:adjustRightInd w:val="0"/>
        <w:spacing w:after="0" w:line="240" w:lineRule="auto"/>
        <w:jc w:val="both"/>
        <w:rPr>
          <w:rFonts w:ascii="Times New Roman" w:hAnsi="Times New Roman"/>
          <w:b/>
          <w:sz w:val="20"/>
          <w:szCs w:val="20"/>
        </w:rPr>
      </w:pPr>
    </w:p>
    <w:p w14:paraId="3A2AD921" w14:textId="77777777" w:rsidR="00E35FCB" w:rsidRPr="00712F3C" w:rsidRDefault="00E35FCB" w:rsidP="00E35FCB">
      <w:pPr>
        <w:spacing w:after="0" w:line="240" w:lineRule="auto"/>
        <w:jc w:val="both"/>
        <w:rPr>
          <w:rFonts w:ascii="Times New Roman" w:hAnsi="Times New Roman"/>
          <w:sz w:val="20"/>
          <w:szCs w:val="20"/>
        </w:rPr>
      </w:pPr>
      <w:r w:rsidRPr="00712F3C">
        <w:rPr>
          <w:rFonts w:ascii="Times New Roman" w:hAnsi="Times New Roman"/>
          <w:sz w:val="20"/>
          <w:szCs w:val="20"/>
        </w:rPr>
        <w:t xml:space="preserve">Except as disclosed in this </w:t>
      </w:r>
      <w:r w:rsidRPr="00712F3C">
        <w:rPr>
          <w:rFonts w:ascii="Times New Roman" w:eastAsia="MS Mincho" w:hAnsi="Times New Roman"/>
          <w:bCs/>
          <w:color w:val="000000"/>
          <w:sz w:val="20"/>
          <w:szCs w:val="20"/>
          <w:lang w:val="en-GB"/>
        </w:rPr>
        <w:t xml:space="preserve">Draft </w:t>
      </w:r>
      <w:r w:rsidRPr="00712F3C">
        <w:rPr>
          <w:rFonts w:ascii="Times New Roman" w:hAnsi="Times New Roman"/>
          <w:sz w:val="20"/>
          <w:szCs w:val="20"/>
        </w:rPr>
        <w:t>Red Herring Prospectus</w:t>
      </w:r>
      <w:r w:rsidRPr="00712F3C">
        <w:rPr>
          <w:rFonts w:ascii="Times New Roman" w:eastAsia="MS Mincho" w:hAnsi="Times New Roman"/>
          <w:bCs/>
          <w:color w:val="000000"/>
          <w:sz w:val="20"/>
          <w:szCs w:val="20"/>
          <w:lang w:val="en-GB"/>
        </w:rPr>
        <w:t xml:space="preserve"> </w:t>
      </w:r>
      <w:r w:rsidRPr="00712F3C">
        <w:rPr>
          <w:rFonts w:ascii="Times New Roman" w:hAnsi="Times New Roman"/>
          <w:sz w:val="20"/>
          <w:szCs w:val="20"/>
        </w:rPr>
        <w:t xml:space="preserve">and any statutory payments made by our Company to its officers, our Company has not paid any sum, any non-salary related amount or benefit to any of its officers or to its employees including amounts towards super-annuation, ex-gratia/ rewards. </w:t>
      </w:r>
    </w:p>
    <w:p w14:paraId="18D89FC8" w14:textId="77777777" w:rsidR="00E35FCB" w:rsidRPr="00712F3C" w:rsidRDefault="00E35FCB" w:rsidP="00E35FCB">
      <w:pPr>
        <w:spacing w:after="0" w:line="240" w:lineRule="auto"/>
        <w:jc w:val="both"/>
        <w:rPr>
          <w:rFonts w:ascii="Times New Roman" w:hAnsi="Times New Roman"/>
          <w:sz w:val="20"/>
          <w:szCs w:val="20"/>
        </w:rPr>
      </w:pPr>
    </w:p>
    <w:p w14:paraId="4976787F" w14:textId="77777777" w:rsidR="00E35FCB" w:rsidRPr="00712F3C" w:rsidRDefault="00E35FCB" w:rsidP="00E35FCB">
      <w:pPr>
        <w:widowControl w:val="0"/>
        <w:autoSpaceDE w:val="0"/>
        <w:autoSpaceDN w:val="0"/>
        <w:adjustRightInd w:val="0"/>
        <w:spacing w:after="0" w:line="240" w:lineRule="auto"/>
        <w:jc w:val="both"/>
        <w:rPr>
          <w:rFonts w:ascii="Times New Roman" w:eastAsia="MS Mincho" w:hAnsi="Times New Roman"/>
          <w:bCs/>
          <w:sz w:val="20"/>
          <w:szCs w:val="20"/>
          <w:lang w:val="en-GB"/>
        </w:rPr>
      </w:pPr>
      <w:r w:rsidRPr="00712F3C">
        <w:rPr>
          <w:rFonts w:ascii="Times New Roman" w:hAnsi="Times New Roman"/>
          <w:sz w:val="20"/>
          <w:szCs w:val="20"/>
        </w:rPr>
        <w:t>Except statutory benefits upon termination of employment in our Company or superannuation, no officer of our Company is entitled to any benefit upon termination of such officer’s employment in our Company or superannuation. Contributions are made by our Company towards provident fund, gratuity fund and employee state insurance.</w:t>
      </w:r>
    </w:p>
    <w:p w14:paraId="60F98CDB" w14:textId="77777777" w:rsidR="00E35FCB" w:rsidRPr="00712F3C" w:rsidRDefault="00E35FCB" w:rsidP="00E35FCB">
      <w:pPr>
        <w:spacing w:after="0" w:line="240" w:lineRule="auto"/>
        <w:jc w:val="both"/>
        <w:rPr>
          <w:rFonts w:ascii="Times New Roman" w:eastAsia="MS Mincho" w:hAnsi="Times New Roman"/>
          <w:b/>
          <w:color w:val="000000"/>
          <w:sz w:val="20"/>
          <w:szCs w:val="20"/>
          <w:lang w:val="en-GB"/>
        </w:rPr>
      </w:pPr>
    </w:p>
    <w:p w14:paraId="609D9CE6" w14:textId="77777777" w:rsidR="00E35FCB" w:rsidRPr="00712F3C" w:rsidRDefault="00E35FCB" w:rsidP="00E35FCB">
      <w:pPr>
        <w:spacing w:after="0" w:line="240" w:lineRule="auto"/>
        <w:jc w:val="both"/>
        <w:rPr>
          <w:rFonts w:ascii="Times New Roman" w:eastAsia="MS Mincho" w:hAnsi="Times New Roman"/>
          <w:b/>
          <w:color w:val="000000"/>
          <w:sz w:val="20"/>
          <w:szCs w:val="20"/>
          <w:lang w:val="en-GB"/>
        </w:rPr>
      </w:pPr>
      <w:r w:rsidRPr="00712F3C">
        <w:rPr>
          <w:rFonts w:ascii="Times New Roman" w:eastAsia="MS Mincho" w:hAnsi="Times New Roman"/>
          <w:b/>
          <w:color w:val="000000"/>
          <w:sz w:val="20"/>
          <w:szCs w:val="20"/>
          <w:lang w:val="en-GB"/>
        </w:rPr>
        <w:t>Changes in the Key Managerial Personnel in last three years:</w:t>
      </w:r>
    </w:p>
    <w:p w14:paraId="1999209D" w14:textId="77777777" w:rsidR="00E35FCB" w:rsidRPr="00712F3C" w:rsidRDefault="00E35FCB" w:rsidP="00E35FCB">
      <w:pPr>
        <w:spacing w:after="0" w:line="240" w:lineRule="auto"/>
        <w:jc w:val="both"/>
        <w:rPr>
          <w:rFonts w:ascii="Times New Roman" w:eastAsia="MS Mincho" w:hAnsi="Times New Roman"/>
          <w:color w:val="000000"/>
          <w:sz w:val="20"/>
          <w:szCs w:val="20"/>
          <w:lang w:val="en-GB"/>
        </w:rPr>
      </w:pPr>
    </w:p>
    <w:p w14:paraId="2284E095" w14:textId="77777777" w:rsidR="00E35FCB" w:rsidRPr="00712F3C" w:rsidRDefault="00E35FCB" w:rsidP="00E35FCB">
      <w:pPr>
        <w:spacing w:after="0" w:line="240" w:lineRule="auto"/>
        <w:jc w:val="both"/>
        <w:rPr>
          <w:rFonts w:ascii="Times New Roman" w:eastAsia="MS Mincho" w:hAnsi="Times New Roman"/>
          <w:color w:val="000000"/>
          <w:sz w:val="20"/>
          <w:szCs w:val="20"/>
          <w:lang w:val="en-GB"/>
        </w:rPr>
      </w:pPr>
      <w:r w:rsidRPr="00712F3C">
        <w:rPr>
          <w:rFonts w:ascii="Times New Roman" w:eastAsia="MS Mincho" w:hAnsi="Times New Roman"/>
          <w:color w:val="000000"/>
          <w:sz w:val="20"/>
          <w:szCs w:val="20"/>
          <w:lang w:val="en-GB"/>
        </w:rPr>
        <w:t>There have been no changes in the Key Managerial Personnel of our Company during the last 3 (three) year except as stated below:</w:t>
      </w:r>
    </w:p>
    <w:p w14:paraId="5EA87AC9" w14:textId="77777777" w:rsidR="00E35FCB" w:rsidRPr="00712F3C" w:rsidRDefault="00E35FCB" w:rsidP="00E35FCB">
      <w:pPr>
        <w:spacing w:after="0" w:line="240" w:lineRule="auto"/>
        <w:jc w:val="both"/>
        <w:rPr>
          <w:rFonts w:ascii="Times New Roman" w:eastAsia="MS Mincho" w:hAnsi="Times New Roman"/>
          <w:color w:val="000000"/>
          <w:sz w:val="20"/>
          <w:szCs w:val="20"/>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6"/>
        <w:gridCol w:w="2990"/>
        <w:gridCol w:w="2160"/>
        <w:gridCol w:w="2900"/>
      </w:tblGrid>
      <w:tr w:rsidR="00E35FCB" w:rsidRPr="00712F3C" w14:paraId="59AFD7BC" w14:textId="77777777" w:rsidTr="00250DAC">
        <w:trPr>
          <w:trHeight w:val="20"/>
          <w:tblHeader/>
        </w:trPr>
        <w:tc>
          <w:tcPr>
            <w:tcW w:w="1150" w:type="pct"/>
            <w:shd w:val="clear" w:color="auto" w:fill="D0CECE" w:themeFill="background2" w:themeFillShade="E6"/>
            <w:vAlign w:val="center"/>
            <w:hideMark/>
          </w:tcPr>
          <w:p w14:paraId="007B55E1" w14:textId="77777777" w:rsidR="00E35FCB" w:rsidRPr="00712F3C" w:rsidRDefault="00E35FCB" w:rsidP="00250DAC">
            <w:pPr>
              <w:spacing w:after="0" w:line="240" w:lineRule="auto"/>
              <w:jc w:val="both"/>
              <w:rPr>
                <w:rFonts w:ascii="Times New Roman" w:eastAsia="Calibri" w:hAnsi="Times New Roman"/>
                <w:bCs/>
                <w:sz w:val="20"/>
                <w:szCs w:val="20"/>
              </w:rPr>
            </w:pPr>
            <w:r w:rsidRPr="00712F3C">
              <w:rPr>
                <w:rFonts w:ascii="Times New Roman" w:eastAsia="Calibri" w:hAnsi="Times New Roman"/>
                <w:b/>
                <w:bCs/>
                <w:sz w:val="20"/>
                <w:szCs w:val="20"/>
              </w:rPr>
              <w:t>Name</w:t>
            </w:r>
          </w:p>
        </w:tc>
        <w:tc>
          <w:tcPr>
            <w:tcW w:w="1430" w:type="pct"/>
            <w:shd w:val="clear" w:color="auto" w:fill="D0CECE" w:themeFill="background2" w:themeFillShade="E6"/>
            <w:vAlign w:val="center"/>
            <w:hideMark/>
          </w:tcPr>
          <w:p w14:paraId="169A3896" w14:textId="77777777" w:rsidR="00E35FCB" w:rsidRPr="00712F3C" w:rsidRDefault="00E35FCB" w:rsidP="00250DAC">
            <w:pPr>
              <w:spacing w:after="0" w:line="240" w:lineRule="auto"/>
              <w:jc w:val="both"/>
              <w:rPr>
                <w:rFonts w:ascii="Times New Roman" w:eastAsia="Calibri" w:hAnsi="Times New Roman"/>
                <w:bCs/>
                <w:sz w:val="20"/>
                <w:szCs w:val="20"/>
              </w:rPr>
            </w:pPr>
            <w:r w:rsidRPr="00712F3C">
              <w:rPr>
                <w:rFonts w:ascii="Times New Roman" w:eastAsia="Calibri" w:hAnsi="Times New Roman"/>
                <w:b/>
                <w:bCs/>
                <w:sz w:val="20"/>
                <w:szCs w:val="20"/>
              </w:rPr>
              <w:t>Designation (at the time of appointment/ Change in designation/ Cessation)</w:t>
            </w:r>
          </w:p>
        </w:tc>
        <w:tc>
          <w:tcPr>
            <w:tcW w:w="1033" w:type="pct"/>
            <w:shd w:val="clear" w:color="auto" w:fill="D0CECE" w:themeFill="background2" w:themeFillShade="E6"/>
            <w:vAlign w:val="center"/>
            <w:hideMark/>
          </w:tcPr>
          <w:p w14:paraId="35798D8A" w14:textId="77777777" w:rsidR="00E35FCB" w:rsidRPr="00712F3C" w:rsidRDefault="00E35FCB" w:rsidP="00250DAC">
            <w:pPr>
              <w:spacing w:after="0" w:line="240" w:lineRule="auto"/>
              <w:jc w:val="both"/>
              <w:rPr>
                <w:rFonts w:ascii="Times New Roman" w:eastAsia="Calibri" w:hAnsi="Times New Roman"/>
                <w:bCs/>
                <w:sz w:val="20"/>
                <w:szCs w:val="20"/>
              </w:rPr>
            </w:pPr>
            <w:r w:rsidRPr="00712F3C">
              <w:rPr>
                <w:rFonts w:ascii="Times New Roman" w:eastAsia="Calibri" w:hAnsi="Times New Roman"/>
                <w:b/>
                <w:bCs/>
                <w:sz w:val="20"/>
                <w:szCs w:val="20"/>
              </w:rPr>
              <w:t>Date of Appointment/ Change in designation/ Cessation</w:t>
            </w:r>
          </w:p>
        </w:tc>
        <w:tc>
          <w:tcPr>
            <w:tcW w:w="1387" w:type="pct"/>
            <w:shd w:val="clear" w:color="auto" w:fill="D0CECE" w:themeFill="background2" w:themeFillShade="E6"/>
            <w:vAlign w:val="center"/>
            <w:hideMark/>
          </w:tcPr>
          <w:p w14:paraId="1337AB35" w14:textId="77777777" w:rsidR="00E35FCB" w:rsidRPr="00712F3C" w:rsidRDefault="00E35FCB" w:rsidP="00250DAC">
            <w:pPr>
              <w:spacing w:after="0" w:line="240" w:lineRule="auto"/>
              <w:jc w:val="both"/>
              <w:rPr>
                <w:rFonts w:ascii="Times New Roman" w:eastAsia="Calibri" w:hAnsi="Times New Roman"/>
                <w:bCs/>
                <w:sz w:val="20"/>
                <w:szCs w:val="20"/>
              </w:rPr>
            </w:pPr>
            <w:r w:rsidRPr="00712F3C">
              <w:rPr>
                <w:rFonts w:ascii="Times New Roman" w:eastAsia="Calibri" w:hAnsi="Times New Roman"/>
                <w:b/>
                <w:bCs/>
                <w:sz w:val="20"/>
                <w:szCs w:val="20"/>
              </w:rPr>
              <w:t>Reason</w:t>
            </w:r>
          </w:p>
        </w:tc>
      </w:tr>
      <w:tr w:rsidR="00E35FCB" w:rsidRPr="00712F3C" w14:paraId="7F93454B" w14:textId="77777777" w:rsidTr="00250DAC">
        <w:trPr>
          <w:trHeight w:val="20"/>
        </w:trPr>
        <w:tc>
          <w:tcPr>
            <w:tcW w:w="1150" w:type="pct"/>
            <w:shd w:val="clear" w:color="auto" w:fill="auto"/>
            <w:noWrap/>
            <w:vAlign w:val="center"/>
          </w:tcPr>
          <w:p w14:paraId="49F42C13" w14:textId="77777777" w:rsidR="00E35FCB" w:rsidRDefault="00E35FCB" w:rsidP="00250DAC">
            <w:pPr>
              <w:widowControl w:val="0"/>
              <w:autoSpaceDE w:val="0"/>
              <w:autoSpaceDN w:val="0"/>
              <w:adjustRightInd w:val="0"/>
              <w:spacing w:after="0" w:line="240" w:lineRule="auto"/>
              <w:jc w:val="both"/>
              <w:rPr>
                <w:rFonts w:ascii="Times New Roman" w:eastAsia="MS Mincho" w:hAnsi="Times New Roman"/>
                <w:sz w:val="20"/>
                <w:szCs w:val="20"/>
                <w:lang w:val="en-GB"/>
              </w:rPr>
            </w:pPr>
            <w:r>
              <w:rPr>
                <w:rFonts w:ascii="Times New Roman" w:eastAsia="MS Mincho" w:hAnsi="Times New Roman"/>
                <w:sz w:val="20"/>
                <w:szCs w:val="20"/>
                <w:lang w:val="en-GB"/>
              </w:rPr>
              <w:t xml:space="preserve">Megha </w:t>
            </w:r>
            <w:r w:rsidRPr="00585B0D">
              <w:rPr>
                <w:rFonts w:ascii="Times New Roman" w:eastAsia="MS Mincho" w:hAnsi="Times New Roman"/>
                <w:sz w:val="20"/>
                <w:szCs w:val="20"/>
                <w:lang w:val="en-GB"/>
              </w:rPr>
              <w:t>Dilipkumar Madani</w:t>
            </w:r>
          </w:p>
        </w:tc>
        <w:tc>
          <w:tcPr>
            <w:tcW w:w="1430" w:type="pct"/>
            <w:shd w:val="clear" w:color="auto" w:fill="auto"/>
            <w:noWrap/>
            <w:vAlign w:val="center"/>
          </w:tcPr>
          <w:p w14:paraId="374BBA82" w14:textId="77777777" w:rsidR="00E35FCB" w:rsidRDefault="00E35FCB" w:rsidP="00250DAC">
            <w:pPr>
              <w:spacing w:after="0" w:line="240" w:lineRule="auto"/>
              <w:jc w:val="both"/>
              <w:rPr>
                <w:rFonts w:ascii="Times New Roman" w:hAnsi="Times New Roman"/>
                <w:sz w:val="20"/>
                <w:szCs w:val="20"/>
              </w:rPr>
            </w:pPr>
            <w:r w:rsidRPr="00712F3C">
              <w:rPr>
                <w:rFonts w:ascii="Times New Roman" w:hAnsi="Times New Roman"/>
                <w:color w:val="000000"/>
                <w:sz w:val="20"/>
                <w:szCs w:val="20"/>
              </w:rPr>
              <w:t xml:space="preserve">Appointed as </w:t>
            </w:r>
            <w:r>
              <w:rPr>
                <w:rFonts w:ascii="Times New Roman" w:hAnsi="Times New Roman"/>
                <w:color w:val="000000"/>
                <w:sz w:val="20"/>
                <w:szCs w:val="20"/>
              </w:rPr>
              <w:t xml:space="preserve">Company Secretary </w:t>
            </w:r>
          </w:p>
        </w:tc>
        <w:tc>
          <w:tcPr>
            <w:tcW w:w="1033" w:type="pct"/>
            <w:shd w:val="clear" w:color="auto" w:fill="auto"/>
            <w:noWrap/>
            <w:vAlign w:val="center"/>
          </w:tcPr>
          <w:p w14:paraId="6F3ECC63" w14:textId="77777777" w:rsidR="00E35FCB" w:rsidRDefault="00E35FCB" w:rsidP="00250DAC">
            <w:pPr>
              <w:spacing w:after="0" w:line="240" w:lineRule="auto"/>
              <w:jc w:val="center"/>
              <w:rPr>
                <w:rFonts w:ascii="Times New Roman" w:hAnsi="Times New Roman"/>
                <w:bCs/>
                <w:sz w:val="20"/>
                <w:szCs w:val="20"/>
              </w:rPr>
            </w:pPr>
            <w:r>
              <w:rPr>
                <w:rFonts w:ascii="Times New Roman" w:hAnsi="Times New Roman"/>
                <w:bCs/>
                <w:sz w:val="20"/>
                <w:szCs w:val="20"/>
              </w:rPr>
              <w:t>June 14, 2021</w:t>
            </w:r>
          </w:p>
        </w:tc>
        <w:tc>
          <w:tcPr>
            <w:tcW w:w="1387" w:type="pct"/>
            <w:shd w:val="clear" w:color="auto" w:fill="auto"/>
            <w:vAlign w:val="center"/>
          </w:tcPr>
          <w:p w14:paraId="5733F6E3" w14:textId="77777777" w:rsidR="00E35FCB" w:rsidRDefault="00E35FCB" w:rsidP="00250DAC">
            <w:pPr>
              <w:spacing w:after="0" w:line="240" w:lineRule="auto"/>
              <w:jc w:val="both"/>
              <w:rPr>
                <w:rFonts w:ascii="Times New Roman" w:hAnsi="Times New Roman"/>
                <w:sz w:val="20"/>
                <w:szCs w:val="20"/>
              </w:rPr>
            </w:pPr>
            <w:r w:rsidRPr="00712F3C">
              <w:rPr>
                <w:rFonts w:ascii="Times New Roman" w:hAnsi="Times New Roman"/>
                <w:sz w:val="20"/>
                <w:szCs w:val="20"/>
              </w:rPr>
              <w:t>To ensure better Corporate Governance and compliance with Companies Act, 2013.</w:t>
            </w:r>
          </w:p>
        </w:tc>
      </w:tr>
      <w:tr w:rsidR="00E35FCB" w:rsidRPr="00712F3C" w14:paraId="5A800E65" w14:textId="77777777" w:rsidTr="00250DAC">
        <w:trPr>
          <w:trHeight w:val="20"/>
        </w:trPr>
        <w:tc>
          <w:tcPr>
            <w:tcW w:w="1150" w:type="pct"/>
            <w:shd w:val="clear" w:color="auto" w:fill="auto"/>
            <w:noWrap/>
            <w:vAlign w:val="center"/>
          </w:tcPr>
          <w:p w14:paraId="4FD63E7D" w14:textId="77777777" w:rsidR="00E35FCB" w:rsidRPr="00712F3C" w:rsidRDefault="00E35FCB" w:rsidP="00250DAC">
            <w:pPr>
              <w:widowControl w:val="0"/>
              <w:autoSpaceDE w:val="0"/>
              <w:autoSpaceDN w:val="0"/>
              <w:adjustRightInd w:val="0"/>
              <w:spacing w:after="0" w:line="240" w:lineRule="auto"/>
              <w:jc w:val="both"/>
              <w:rPr>
                <w:rFonts w:ascii="Times New Roman" w:eastAsia="MS Mincho" w:hAnsi="Times New Roman"/>
                <w:sz w:val="20"/>
                <w:szCs w:val="20"/>
                <w:lang w:val="en-GB"/>
              </w:rPr>
            </w:pPr>
            <w:r>
              <w:rPr>
                <w:rFonts w:ascii="Times New Roman" w:eastAsia="MS Mincho" w:hAnsi="Times New Roman"/>
                <w:sz w:val="20"/>
                <w:szCs w:val="20"/>
                <w:lang w:val="en-GB"/>
              </w:rPr>
              <w:t xml:space="preserve">Megha </w:t>
            </w:r>
            <w:r w:rsidRPr="00585B0D">
              <w:rPr>
                <w:rFonts w:ascii="Times New Roman" w:eastAsia="MS Mincho" w:hAnsi="Times New Roman"/>
                <w:sz w:val="20"/>
                <w:szCs w:val="20"/>
                <w:lang w:val="en-GB"/>
              </w:rPr>
              <w:t>Dilipkumar Madani</w:t>
            </w:r>
          </w:p>
        </w:tc>
        <w:tc>
          <w:tcPr>
            <w:tcW w:w="1430" w:type="pct"/>
            <w:shd w:val="clear" w:color="auto" w:fill="auto"/>
            <w:noWrap/>
            <w:vAlign w:val="center"/>
          </w:tcPr>
          <w:p w14:paraId="69281F25" w14:textId="77777777" w:rsidR="00E35FCB" w:rsidRPr="00712F3C" w:rsidRDefault="00E35FCB" w:rsidP="00250DAC">
            <w:pPr>
              <w:spacing w:after="0" w:line="240" w:lineRule="auto"/>
              <w:jc w:val="both"/>
              <w:rPr>
                <w:rFonts w:ascii="Times New Roman" w:hAnsi="Times New Roman"/>
                <w:color w:val="000000"/>
                <w:sz w:val="20"/>
                <w:szCs w:val="20"/>
              </w:rPr>
            </w:pPr>
            <w:r>
              <w:rPr>
                <w:rFonts w:ascii="Times New Roman" w:hAnsi="Times New Roman"/>
                <w:sz w:val="20"/>
                <w:szCs w:val="20"/>
              </w:rPr>
              <w:t xml:space="preserve">Cessation as </w:t>
            </w:r>
            <w:r w:rsidRPr="00712F3C">
              <w:rPr>
                <w:rFonts w:ascii="Times New Roman" w:hAnsi="Times New Roman"/>
                <w:color w:val="000000"/>
                <w:sz w:val="20"/>
                <w:szCs w:val="20"/>
                <w:lang w:val="en-GB"/>
              </w:rPr>
              <w:t>Company Secretary</w:t>
            </w:r>
          </w:p>
        </w:tc>
        <w:tc>
          <w:tcPr>
            <w:tcW w:w="1033" w:type="pct"/>
            <w:shd w:val="clear" w:color="auto" w:fill="auto"/>
            <w:noWrap/>
            <w:vAlign w:val="center"/>
          </w:tcPr>
          <w:p w14:paraId="433FB132" w14:textId="77777777" w:rsidR="00E35FCB" w:rsidRPr="00712F3C" w:rsidRDefault="00E35FCB" w:rsidP="00250DAC">
            <w:pPr>
              <w:spacing w:after="0" w:line="240" w:lineRule="auto"/>
              <w:jc w:val="center"/>
              <w:rPr>
                <w:rFonts w:ascii="Times New Roman" w:hAnsi="Times New Roman"/>
                <w:color w:val="000000"/>
                <w:sz w:val="20"/>
                <w:szCs w:val="20"/>
              </w:rPr>
            </w:pPr>
            <w:r>
              <w:rPr>
                <w:rFonts w:ascii="Times New Roman" w:hAnsi="Times New Roman"/>
                <w:bCs/>
                <w:sz w:val="20"/>
                <w:szCs w:val="20"/>
              </w:rPr>
              <w:t>May 31, 2023</w:t>
            </w:r>
          </w:p>
        </w:tc>
        <w:tc>
          <w:tcPr>
            <w:tcW w:w="1387" w:type="pct"/>
            <w:shd w:val="clear" w:color="auto" w:fill="auto"/>
            <w:vAlign w:val="center"/>
          </w:tcPr>
          <w:p w14:paraId="7D7DB46F" w14:textId="77777777" w:rsidR="00E35FCB" w:rsidRPr="00712F3C" w:rsidRDefault="00E35FCB" w:rsidP="00250DAC">
            <w:pPr>
              <w:spacing w:after="0" w:line="240" w:lineRule="auto"/>
              <w:jc w:val="both"/>
              <w:rPr>
                <w:rFonts w:ascii="Times New Roman" w:hAnsi="Times New Roman"/>
                <w:sz w:val="20"/>
                <w:szCs w:val="20"/>
              </w:rPr>
            </w:pPr>
            <w:r>
              <w:rPr>
                <w:rFonts w:ascii="Times New Roman" w:hAnsi="Times New Roman"/>
                <w:sz w:val="20"/>
                <w:szCs w:val="20"/>
              </w:rPr>
              <w:t>Due to personal reasons.</w:t>
            </w:r>
          </w:p>
        </w:tc>
      </w:tr>
      <w:tr w:rsidR="00E35FCB" w:rsidRPr="00712F3C" w14:paraId="6FED68F1" w14:textId="77777777" w:rsidTr="00250DAC">
        <w:trPr>
          <w:trHeight w:val="20"/>
        </w:trPr>
        <w:tc>
          <w:tcPr>
            <w:tcW w:w="1150" w:type="pct"/>
            <w:shd w:val="clear" w:color="auto" w:fill="auto"/>
            <w:noWrap/>
            <w:vAlign w:val="center"/>
          </w:tcPr>
          <w:p w14:paraId="7DB50D22" w14:textId="77777777" w:rsidR="00E35FCB" w:rsidRPr="00712F3C" w:rsidRDefault="00E35FCB" w:rsidP="00250DAC">
            <w:pPr>
              <w:autoSpaceDE w:val="0"/>
              <w:autoSpaceDN w:val="0"/>
              <w:adjustRightInd w:val="0"/>
              <w:spacing w:after="0" w:line="240" w:lineRule="auto"/>
              <w:jc w:val="both"/>
              <w:rPr>
                <w:rFonts w:ascii="Times New Roman" w:eastAsia="MS Mincho" w:hAnsi="Times New Roman"/>
                <w:sz w:val="20"/>
                <w:szCs w:val="20"/>
                <w:lang w:val="en-GB"/>
              </w:rPr>
            </w:pPr>
            <w:r w:rsidRPr="002A1472">
              <w:rPr>
                <w:rFonts w:ascii="Times New Roman" w:hAnsi="Times New Roman"/>
                <w:color w:val="000000"/>
                <w:sz w:val="20"/>
                <w:szCs w:val="20"/>
              </w:rPr>
              <w:t>Megha Bhavesh Maheshwari</w:t>
            </w:r>
          </w:p>
        </w:tc>
        <w:tc>
          <w:tcPr>
            <w:tcW w:w="1430" w:type="pct"/>
            <w:shd w:val="clear" w:color="auto" w:fill="auto"/>
            <w:noWrap/>
            <w:vAlign w:val="center"/>
          </w:tcPr>
          <w:p w14:paraId="25C5C664" w14:textId="77777777" w:rsidR="00E35FCB" w:rsidRPr="00712F3C" w:rsidRDefault="00E35FCB" w:rsidP="00250DAC">
            <w:pPr>
              <w:spacing w:after="0" w:line="240" w:lineRule="auto"/>
              <w:jc w:val="both"/>
              <w:rPr>
                <w:rFonts w:ascii="Times New Roman" w:eastAsia="MS Mincho" w:hAnsi="Times New Roman"/>
                <w:b/>
                <w:bCs/>
                <w:sz w:val="20"/>
                <w:szCs w:val="20"/>
                <w:lang w:val="en-GB"/>
              </w:rPr>
            </w:pPr>
            <w:r w:rsidRPr="00712F3C">
              <w:rPr>
                <w:rFonts w:ascii="Times New Roman" w:hAnsi="Times New Roman"/>
                <w:color w:val="000000"/>
                <w:sz w:val="20"/>
                <w:szCs w:val="20"/>
              </w:rPr>
              <w:t xml:space="preserve">Appointed as </w:t>
            </w:r>
            <w:r>
              <w:rPr>
                <w:rFonts w:ascii="Times New Roman" w:hAnsi="Times New Roman"/>
                <w:color w:val="000000"/>
                <w:sz w:val="20"/>
                <w:szCs w:val="20"/>
              </w:rPr>
              <w:t>Chief Financial Officer</w:t>
            </w:r>
          </w:p>
        </w:tc>
        <w:tc>
          <w:tcPr>
            <w:tcW w:w="1033" w:type="pct"/>
            <w:shd w:val="clear" w:color="auto" w:fill="auto"/>
            <w:noWrap/>
            <w:vAlign w:val="center"/>
          </w:tcPr>
          <w:p w14:paraId="2F58B9AE" w14:textId="77777777" w:rsidR="00E35FCB" w:rsidRPr="00712F3C" w:rsidRDefault="00E35FCB" w:rsidP="00250DAC">
            <w:pPr>
              <w:spacing w:after="0" w:line="240" w:lineRule="auto"/>
              <w:jc w:val="center"/>
              <w:rPr>
                <w:rFonts w:ascii="Times New Roman" w:hAnsi="Times New Roman"/>
                <w:bCs/>
                <w:sz w:val="20"/>
                <w:szCs w:val="20"/>
              </w:rPr>
            </w:pPr>
            <w:r>
              <w:rPr>
                <w:rFonts w:ascii="Times New Roman" w:hAnsi="Times New Roman"/>
                <w:bCs/>
                <w:sz w:val="20"/>
                <w:szCs w:val="20"/>
              </w:rPr>
              <w:t>August 24, 2023</w:t>
            </w:r>
          </w:p>
        </w:tc>
        <w:tc>
          <w:tcPr>
            <w:tcW w:w="1387" w:type="pct"/>
            <w:vMerge w:val="restart"/>
            <w:shd w:val="clear" w:color="auto" w:fill="auto"/>
            <w:vAlign w:val="center"/>
          </w:tcPr>
          <w:p w14:paraId="79D80965" w14:textId="77777777" w:rsidR="00E35FCB" w:rsidRPr="00712F3C" w:rsidRDefault="00E35FCB" w:rsidP="00250DAC">
            <w:pPr>
              <w:spacing w:after="0" w:line="240" w:lineRule="auto"/>
              <w:jc w:val="both"/>
              <w:rPr>
                <w:rFonts w:ascii="Times New Roman" w:hAnsi="Times New Roman"/>
                <w:sz w:val="20"/>
                <w:szCs w:val="20"/>
              </w:rPr>
            </w:pPr>
            <w:r w:rsidRPr="00712F3C">
              <w:rPr>
                <w:rFonts w:ascii="Times New Roman" w:hAnsi="Times New Roman"/>
                <w:sz w:val="20"/>
                <w:szCs w:val="20"/>
              </w:rPr>
              <w:t>To ensure better Corporate Governance and compliance with Companies Act, 2013.</w:t>
            </w:r>
          </w:p>
        </w:tc>
      </w:tr>
      <w:tr w:rsidR="00E35FCB" w:rsidRPr="00712F3C" w14:paraId="1A0E5F2D" w14:textId="77777777" w:rsidTr="00250DAC">
        <w:trPr>
          <w:trHeight w:val="20"/>
        </w:trPr>
        <w:tc>
          <w:tcPr>
            <w:tcW w:w="1150" w:type="pct"/>
            <w:shd w:val="clear" w:color="auto" w:fill="auto"/>
            <w:noWrap/>
            <w:vAlign w:val="center"/>
          </w:tcPr>
          <w:p w14:paraId="01DFCC22" w14:textId="77777777" w:rsidR="00E35FCB" w:rsidRPr="00712F3C" w:rsidRDefault="00E35FCB" w:rsidP="00250DAC">
            <w:pPr>
              <w:spacing w:after="0" w:line="240" w:lineRule="auto"/>
              <w:jc w:val="both"/>
              <w:rPr>
                <w:rFonts w:ascii="Times New Roman" w:eastAsia="MS Mincho" w:hAnsi="Times New Roman"/>
                <w:sz w:val="20"/>
                <w:szCs w:val="20"/>
                <w:highlight w:val="yellow"/>
                <w:lang w:val="en-GB"/>
              </w:rPr>
            </w:pPr>
            <w:r w:rsidRPr="00420013">
              <w:rPr>
                <w:rFonts w:ascii="Times New Roman" w:hAnsi="Times New Roman"/>
                <w:color w:val="000000"/>
                <w:sz w:val="20"/>
                <w:szCs w:val="20"/>
              </w:rPr>
              <w:lastRenderedPageBreak/>
              <w:t>Kiran Parmanand Goklani</w:t>
            </w:r>
          </w:p>
        </w:tc>
        <w:tc>
          <w:tcPr>
            <w:tcW w:w="1430" w:type="pct"/>
            <w:shd w:val="clear" w:color="auto" w:fill="auto"/>
            <w:noWrap/>
            <w:vAlign w:val="center"/>
          </w:tcPr>
          <w:p w14:paraId="01A6DB18" w14:textId="77777777" w:rsidR="00E35FCB" w:rsidRPr="00712F3C" w:rsidRDefault="00E35FCB" w:rsidP="00250DAC">
            <w:pPr>
              <w:spacing w:after="0" w:line="240" w:lineRule="auto"/>
              <w:jc w:val="both"/>
              <w:rPr>
                <w:rFonts w:ascii="Times New Roman" w:hAnsi="Times New Roman"/>
                <w:color w:val="000000"/>
                <w:sz w:val="20"/>
                <w:szCs w:val="20"/>
                <w:lang w:val="en-GB"/>
              </w:rPr>
            </w:pPr>
            <w:r w:rsidRPr="00712F3C">
              <w:rPr>
                <w:rFonts w:ascii="Times New Roman" w:hAnsi="Times New Roman"/>
                <w:color w:val="000000"/>
                <w:sz w:val="20"/>
                <w:szCs w:val="20"/>
              </w:rPr>
              <w:t xml:space="preserve">Appointed as </w:t>
            </w:r>
            <w:r>
              <w:rPr>
                <w:rFonts w:ascii="Times New Roman" w:hAnsi="Times New Roman"/>
                <w:color w:val="000000"/>
                <w:sz w:val="20"/>
                <w:szCs w:val="20"/>
              </w:rPr>
              <w:t>Company Secretary &amp; Compliance Officer</w:t>
            </w:r>
          </w:p>
        </w:tc>
        <w:tc>
          <w:tcPr>
            <w:tcW w:w="1033" w:type="pct"/>
            <w:shd w:val="clear" w:color="auto" w:fill="auto"/>
            <w:noWrap/>
            <w:vAlign w:val="center"/>
          </w:tcPr>
          <w:p w14:paraId="792FD7AC" w14:textId="77777777" w:rsidR="00E35FCB" w:rsidRPr="00712F3C" w:rsidRDefault="00E35FCB" w:rsidP="00250DAC">
            <w:pPr>
              <w:spacing w:after="0" w:line="240" w:lineRule="auto"/>
              <w:jc w:val="center"/>
              <w:rPr>
                <w:rFonts w:ascii="Times New Roman" w:hAnsi="Times New Roman"/>
                <w:bCs/>
                <w:sz w:val="20"/>
                <w:szCs w:val="20"/>
                <w:highlight w:val="yellow"/>
              </w:rPr>
            </w:pPr>
            <w:r>
              <w:rPr>
                <w:rFonts w:ascii="Times New Roman" w:hAnsi="Times New Roman"/>
                <w:bCs/>
                <w:sz w:val="20"/>
                <w:szCs w:val="20"/>
              </w:rPr>
              <w:t>August 24, 2023</w:t>
            </w:r>
          </w:p>
        </w:tc>
        <w:tc>
          <w:tcPr>
            <w:tcW w:w="1387" w:type="pct"/>
            <w:vMerge/>
            <w:shd w:val="clear" w:color="auto" w:fill="auto"/>
            <w:vAlign w:val="center"/>
          </w:tcPr>
          <w:p w14:paraId="3B71DBE9" w14:textId="77777777" w:rsidR="00E35FCB" w:rsidRPr="00712F3C" w:rsidRDefault="00E35FCB" w:rsidP="00250DAC">
            <w:pPr>
              <w:spacing w:after="0" w:line="240" w:lineRule="auto"/>
              <w:jc w:val="both"/>
              <w:rPr>
                <w:rFonts w:ascii="Times New Roman" w:eastAsia="MS Mincho" w:hAnsi="Times New Roman"/>
                <w:sz w:val="20"/>
                <w:szCs w:val="20"/>
              </w:rPr>
            </w:pPr>
          </w:p>
        </w:tc>
      </w:tr>
      <w:tr w:rsidR="00E35FCB" w:rsidRPr="00712F3C" w14:paraId="5A871434" w14:textId="77777777" w:rsidTr="00250DAC">
        <w:trPr>
          <w:trHeight w:val="20"/>
        </w:trPr>
        <w:tc>
          <w:tcPr>
            <w:tcW w:w="1150" w:type="pct"/>
            <w:shd w:val="clear" w:color="auto" w:fill="auto"/>
            <w:noWrap/>
            <w:vAlign w:val="center"/>
          </w:tcPr>
          <w:p w14:paraId="3465F98B" w14:textId="77777777" w:rsidR="00E35FCB" w:rsidRPr="00712F3C" w:rsidRDefault="00E35FCB" w:rsidP="00250DAC">
            <w:pPr>
              <w:spacing w:after="0" w:line="240" w:lineRule="auto"/>
              <w:jc w:val="both"/>
              <w:rPr>
                <w:rFonts w:ascii="Times New Roman" w:eastAsia="MS Mincho" w:hAnsi="Times New Roman"/>
                <w:sz w:val="20"/>
                <w:szCs w:val="20"/>
                <w:lang w:val="en-GB"/>
              </w:rPr>
            </w:pPr>
            <w:r w:rsidRPr="002A1472">
              <w:rPr>
                <w:rFonts w:ascii="Times New Roman" w:hAnsi="Times New Roman"/>
                <w:color w:val="000000"/>
                <w:sz w:val="20"/>
                <w:szCs w:val="20"/>
              </w:rPr>
              <w:t>Bhavesh Ramgopal Maheshwari</w:t>
            </w:r>
          </w:p>
        </w:tc>
        <w:tc>
          <w:tcPr>
            <w:tcW w:w="1430" w:type="pct"/>
            <w:shd w:val="clear" w:color="auto" w:fill="auto"/>
            <w:noWrap/>
            <w:vAlign w:val="center"/>
          </w:tcPr>
          <w:p w14:paraId="47232C2D" w14:textId="77777777" w:rsidR="00E35FCB" w:rsidRPr="00712F3C" w:rsidRDefault="00E35FCB" w:rsidP="00250DAC">
            <w:pPr>
              <w:spacing w:after="0" w:line="240" w:lineRule="auto"/>
              <w:jc w:val="both"/>
              <w:rPr>
                <w:rFonts w:ascii="Times New Roman" w:hAnsi="Times New Roman"/>
                <w:color w:val="000000"/>
                <w:sz w:val="20"/>
                <w:szCs w:val="20"/>
                <w:lang w:val="en-GB"/>
              </w:rPr>
            </w:pPr>
            <w:r w:rsidRPr="00712F3C">
              <w:rPr>
                <w:rFonts w:ascii="Times New Roman" w:hAnsi="Times New Roman"/>
                <w:color w:val="000000"/>
                <w:sz w:val="20"/>
                <w:szCs w:val="20"/>
              </w:rPr>
              <w:t>Change in Designation as Managing Director</w:t>
            </w:r>
          </w:p>
        </w:tc>
        <w:tc>
          <w:tcPr>
            <w:tcW w:w="1033" w:type="pct"/>
            <w:shd w:val="clear" w:color="auto" w:fill="auto"/>
            <w:noWrap/>
            <w:vAlign w:val="center"/>
          </w:tcPr>
          <w:p w14:paraId="2B629CA8" w14:textId="77777777" w:rsidR="00E35FCB" w:rsidRPr="00712F3C" w:rsidRDefault="00E35FCB" w:rsidP="00250DAC">
            <w:pPr>
              <w:spacing w:after="0" w:line="240" w:lineRule="auto"/>
              <w:jc w:val="center"/>
              <w:rPr>
                <w:rFonts w:ascii="Times New Roman" w:eastAsia="MS Mincho" w:hAnsi="Times New Roman"/>
                <w:sz w:val="20"/>
                <w:szCs w:val="20"/>
                <w:lang w:val="en-GB"/>
              </w:rPr>
            </w:pPr>
            <w:r>
              <w:rPr>
                <w:rFonts w:ascii="Times New Roman" w:hAnsi="Times New Roman"/>
                <w:bCs/>
                <w:sz w:val="20"/>
                <w:szCs w:val="20"/>
              </w:rPr>
              <w:t>August 25, 2023</w:t>
            </w:r>
          </w:p>
        </w:tc>
        <w:tc>
          <w:tcPr>
            <w:tcW w:w="1387" w:type="pct"/>
            <w:vMerge/>
            <w:shd w:val="clear" w:color="auto" w:fill="auto"/>
            <w:vAlign w:val="center"/>
          </w:tcPr>
          <w:p w14:paraId="01209880" w14:textId="77777777" w:rsidR="00E35FCB" w:rsidRPr="00712F3C" w:rsidRDefault="00E35FCB" w:rsidP="00250DAC">
            <w:pPr>
              <w:spacing w:after="0" w:line="240" w:lineRule="auto"/>
              <w:jc w:val="both"/>
              <w:rPr>
                <w:rFonts w:ascii="Times New Roman" w:eastAsia="MS Mincho" w:hAnsi="Times New Roman"/>
                <w:sz w:val="20"/>
                <w:szCs w:val="20"/>
              </w:rPr>
            </w:pPr>
          </w:p>
        </w:tc>
      </w:tr>
      <w:tr w:rsidR="00E35FCB" w:rsidRPr="00712F3C" w14:paraId="374868AE" w14:textId="77777777" w:rsidTr="00250DAC">
        <w:trPr>
          <w:trHeight w:val="20"/>
        </w:trPr>
        <w:tc>
          <w:tcPr>
            <w:tcW w:w="1150" w:type="pct"/>
            <w:shd w:val="clear" w:color="auto" w:fill="auto"/>
            <w:noWrap/>
            <w:vAlign w:val="center"/>
          </w:tcPr>
          <w:p w14:paraId="0B1F0774" w14:textId="77777777" w:rsidR="00E35FCB" w:rsidRPr="002A1472" w:rsidRDefault="00E35FCB" w:rsidP="00250DAC">
            <w:pPr>
              <w:spacing w:after="0" w:line="240" w:lineRule="auto"/>
              <w:jc w:val="both"/>
              <w:rPr>
                <w:rFonts w:ascii="Times New Roman" w:hAnsi="Times New Roman"/>
                <w:color w:val="000000"/>
                <w:sz w:val="20"/>
                <w:szCs w:val="20"/>
              </w:rPr>
            </w:pPr>
            <w:r w:rsidRPr="002A1472">
              <w:rPr>
                <w:rFonts w:ascii="Times New Roman" w:hAnsi="Times New Roman"/>
                <w:color w:val="000000"/>
                <w:sz w:val="20"/>
                <w:szCs w:val="20"/>
              </w:rPr>
              <w:t>Ramgopal Ochhavlal Maheshwari</w:t>
            </w:r>
          </w:p>
        </w:tc>
        <w:tc>
          <w:tcPr>
            <w:tcW w:w="1430" w:type="pct"/>
            <w:shd w:val="clear" w:color="auto" w:fill="auto"/>
            <w:noWrap/>
            <w:vAlign w:val="center"/>
          </w:tcPr>
          <w:p w14:paraId="406DB60C" w14:textId="77777777" w:rsidR="00E35FCB" w:rsidRPr="00712F3C" w:rsidRDefault="00E35FCB" w:rsidP="00250DAC">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 xml:space="preserve">Change in Designation as </w:t>
            </w:r>
            <w:r>
              <w:rPr>
                <w:rFonts w:ascii="Times New Roman" w:hAnsi="Times New Roman"/>
                <w:color w:val="000000"/>
                <w:sz w:val="20"/>
                <w:szCs w:val="20"/>
              </w:rPr>
              <w:t xml:space="preserve">Chairman &amp; </w:t>
            </w:r>
            <w:r w:rsidRPr="00712F3C">
              <w:rPr>
                <w:rFonts w:ascii="Times New Roman" w:hAnsi="Times New Roman"/>
                <w:color w:val="000000"/>
                <w:sz w:val="20"/>
                <w:szCs w:val="20"/>
              </w:rPr>
              <w:t>Whole-time Director</w:t>
            </w:r>
          </w:p>
        </w:tc>
        <w:tc>
          <w:tcPr>
            <w:tcW w:w="1033" w:type="pct"/>
            <w:shd w:val="clear" w:color="auto" w:fill="auto"/>
            <w:noWrap/>
            <w:vAlign w:val="center"/>
          </w:tcPr>
          <w:p w14:paraId="4BEDBA15" w14:textId="77777777" w:rsidR="00E35FCB" w:rsidRPr="00712F3C" w:rsidRDefault="00E35FCB" w:rsidP="00250DAC">
            <w:pPr>
              <w:spacing w:after="0" w:line="240" w:lineRule="auto"/>
              <w:jc w:val="center"/>
              <w:rPr>
                <w:rFonts w:ascii="Times New Roman" w:eastAsia="MS Mincho" w:hAnsi="Times New Roman"/>
                <w:sz w:val="20"/>
                <w:szCs w:val="20"/>
                <w:lang w:val="en-GB"/>
              </w:rPr>
            </w:pPr>
            <w:r>
              <w:rPr>
                <w:rFonts w:ascii="Times New Roman" w:hAnsi="Times New Roman"/>
                <w:bCs/>
                <w:sz w:val="20"/>
                <w:szCs w:val="20"/>
              </w:rPr>
              <w:t>August 25, 2023</w:t>
            </w:r>
          </w:p>
        </w:tc>
        <w:tc>
          <w:tcPr>
            <w:tcW w:w="1387" w:type="pct"/>
            <w:vMerge/>
            <w:shd w:val="clear" w:color="auto" w:fill="auto"/>
            <w:vAlign w:val="center"/>
          </w:tcPr>
          <w:p w14:paraId="7A089BA8" w14:textId="77777777" w:rsidR="00E35FCB" w:rsidRPr="00712F3C" w:rsidRDefault="00E35FCB" w:rsidP="00250DAC">
            <w:pPr>
              <w:spacing w:after="0" w:line="240" w:lineRule="auto"/>
              <w:jc w:val="both"/>
              <w:rPr>
                <w:rFonts w:ascii="Times New Roman" w:eastAsia="MS Mincho" w:hAnsi="Times New Roman"/>
                <w:sz w:val="20"/>
                <w:szCs w:val="20"/>
              </w:rPr>
            </w:pPr>
          </w:p>
        </w:tc>
      </w:tr>
    </w:tbl>
    <w:p w14:paraId="6FE49D5F" w14:textId="77777777" w:rsidR="00E35FCB" w:rsidRDefault="00E35FCB" w:rsidP="00E35FCB">
      <w:pPr>
        <w:spacing w:after="0" w:line="240" w:lineRule="auto"/>
        <w:jc w:val="both"/>
        <w:rPr>
          <w:rFonts w:ascii="Times New Roman" w:eastAsia="MS Mincho" w:hAnsi="Times New Roman"/>
          <w:b/>
          <w:bCs/>
          <w:color w:val="000000"/>
          <w:sz w:val="20"/>
          <w:szCs w:val="20"/>
          <w:lang w:val="en-GB"/>
        </w:rPr>
      </w:pPr>
    </w:p>
    <w:p w14:paraId="30762E43" w14:textId="77777777" w:rsidR="00E35FCB" w:rsidRPr="00712F3C" w:rsidRDefault="00E35FCB" w:rsidP="00E35FCB">
      <w:pPr>
        <w:spacing w:after="0" w:line="240" w:lineRule="auto"/>
        <w:jc w:val="both"/>
        <w:rPr>
          <w:rFonts w:ascii="Times New Roman" w:eastAsia="MS Mincho" w:hAnsi="Times New Roman"/>
          <w:b/>
          <w:bCs/>
          <w:color w:val="000000"/>
          <w:sz w:val="20"/>
          <w:szCs w:val="20"/>
          <w:lang w:val="en-GB"/>
        </w:rPr>
      </w:pPr>
      <w:r w:rsidRPr="00712F3C">
        <w:rPr>
          <w:rFonts w:ascii="Times New Roman" w:eastAsia="MS Mincho" w:hAnsi="Times New Roman"/>
          <w:b/>
          <w:bCs/>
          <w:color w:val="000000"/>
          <w:sz w:val="20"/>
          <w:szCs w:val="20"/>
          <w:lang w:val="en-GB"/>
        </w:rPr>
        <w:t>Interest of Our Key Managerial Persons</w:t>
      </w:r>
    </w:p>
    <w:p w14:paraId="40D997C8" w14:textId="77777777" w:rsidR="00E35FCB" w:rsidRPr="00712F3C" w:rsidRDefault="00E35FCB" w:rsidP="00E35FCB">
      <w:pPr>
        <w:widowControl w:val="0"/>
        <w:autoSpaceDE w:val="0"/>
        <w:autoSpaceDN w:val="0"/>
        <w:adjustRightInd w:val="0"/>
        <w:spacing w:after="0" w:line="240" w:lineRule="auto"/>
        <w:jc w:val="both"/>
        <w:rPr>
          <w:rFonts w:ascii="Times New Roman" w:hAnsi="Times New Roman"/>
          <w:sz w:val="20"/>
          <w:szCs w:val="20"/>
        </w:rPr>
      </w:pPr>
    </w:p>
    <w:p w14:paraId="76A0AC85" w14:textId="77777777" w:rsidR="00E35FCB" w:rsidRPr="00712F3C" w:rsidRDefault="00E35FCB" w:rsidP="00E35FCB">
      <w:pPr>
        <w:widowControl w:val="0"/>
        <w:autoSpaceDE w:val="0"/>
        <w:autoSpaceDN w:val="0"/>
        <w:adjustRightInd w:val="0"/>
        <w:spacing w:after="0" w:line="240" w:lineRule="auto"/>
        <w:jc w:val="both"/>
        <w:rPr>
          <w:rFonts w:ascii="Times New Roman" w:hAnsi="Times New Roman"/>
          <w:sz w:val="20"/>
          <w:szCs w:val="20"/>
        </w:rPr>
      </w:pPr>
      <w:r w:rsidRPr="00712F3C">
        <w:rPr>
          <w:rFonts w:ascii="Times New Roman" w:hAnsi="Times New Roman"/>
          <w:sz w:val="20"/>
          <w:szCs w:val="20"/>
        </w:rPr>
        <w:t>Apart from the shares held in the Company and to extent of remuneration allowed and reimbursement of expenses incurred by them for or on behalf of the Company and to the extent of loans and advances made to or borrowe</w:t>
      </w:r>
      <w:r>
        <w:rPr>
          <w:rFonts w:ascii="Times New Roman" w:hAnsi="Times New Roman"/>
          <w:sz w:val="20"/>
          <w:szCs w:val="20"/>
        </w:rPr>
        <w:t>d from the Company, none of our</w:t>
      </w:r>
      <w:r w:rsidRPr="00712F3C">
        <w:rPr>
          <w:rFonts w:ascii="Times New Roman" w:hAnsi="Times New Roman"/>
          <w:sz w:val="20"/>
          <w:szCs w:val="20"/>
        </w:rPr>
        <w:t xml:space="preserve"> key managerial personal are interested in our Company. For details, please refer </w:t>
      </w:r>
      <w:r w:rsidRPr="00712F3C">
        <w:rPr>
          <w:rFonts w:ascii="Times New Roman" w:hAnsi="Times New Roman"/>
          <w:sz w:val="20"/>
          <w:szCs w:val="20"/>
          <w:lang w:val="en-GB"/>
        </w:rPr>
        <w:t xml:space="preserve">section titled </w:t>
      </w:r>
      <w:r w:rsidRPr="00712F3C">
        <w:rPr>
          <w:rFonts w:ascii="Times New Roman" w:hAnsi="Times New Roman"/>
          <w:b/>
          <w:i/>
          <w:sz w:val="20"/>
          <w:szCs w:val="20"/>
          <w:lang w:val="en-GB"/>
        </w:rPr>
        <w:t xml:space="preserve">“Financial information of the Company – Note 24- Related Party Disclosures” </w:t>
      </w:r>
      <w:r w:rsidRPr="00712F3C">
        <w:rPr>
          <w:rFonts w:ascii="Times New Roman" w:hAnsi="Times New Roman"/>
          <w:sz w:val="20"/>
          <w:szCs w:val="20"/>
          <w:lang w:val="en-GB"/>
        </w:rPr>
        <w:t xml:space="preserve">beginning on page </w:t>
      </w:r>
      <w:r>
        <w:rPr>
          <w:rFonts w:ascii="Times New Roman" w:hAnsi="Times New Roman"/>
          <w:sz w:val="20"/>
          <w:szCs w:val="20"/>
          <w:lang w:val="en-GB"/>
        </w:rPr>
        <w:t>161</w:t>
      </w:r>
      <w:r w:rsidRPr="00712F3C">
        <w:rPr>
          <w:rFonts w:ascii="Times New Roman" w:hAnsi="Times New Roman"/>
          <w:sz w:val="20"/>
          <w:szCs w:val="20"/>
          <w:lang w:val="en-GB"/>
        </w:rPr>
        <w:t xml:space="preserve"> of this </w:t>
      </w:r>
      <w:r w:rsidRPr="00712F3C">
        <w:rPr>
          <w:rFonts w:ascii="Times New Roman" w:eastAsia="MS Mincho" w:hAnsi="Times New Roman"/>
          <w:bCs/>
          <w:color w:val="000000"/>
          <w:sz w:val="20"/>
          <w:szCs w:val="20"/>
          <w:lang w:val="en-GB"/>
        </w:rPr>
        <w:t xml:space="preserve">Draft </w:t>
      </w:r>
      <w:r w:rsidRPr="00712F3C">
        <w:rPr>
          <w:rFonts w:ascii="Times New Roman" w:hAnsi="Times New Roman"/>
          <w:sz w:val="20"/>
          <w:szCs w:val="20"/>
        </w:rPr>
        <w:t>Red Herring Prospectus</w:t>
      </w:r>
      <w:r w:rsidRPr="00712F3C">
        <w:rPr>
          <w:rFonts w:ascii="Times New Roman" w:hAnsi="Times New Roman"/>
          <w:sz w:val="20"/>
          <w:szCs w:val="20"/>
          <w:lang w:val="en-GB"/>
        </w:rPr>
        <w:t>.</w:t>
      </w:r>
    </w:p>
    <w:p w14:paraId="0D07547E" w14:textId="77777777" w:rsidR="00E35FCB" w:rsidRPr="00712F3C" w:rsidRDefault="00E35FCB" w:rsidP="00E35FCB">
      <w:pPr>
        <w:widowControl w:val="0"/>
        <w:spacing w:after="0" w:line="240" w:lineRule="auto"/>
        <w:jc w:val="both"/>
        <w:rPr>
          <w:rFonts w:ascii="Times New Roman" w:eastAsia="Arial Unicode MS" w:hAnsi="Times New Roman"/>
          <w:sz w:val="20"/>
          <w:szCs w:val="20"/>
          <w:lang w:val="en-GB"/>
        </w:rPr>
      </w:pPr>
    </w:p>
    <w:p w14:paraId="6D412815" w14:textId="77777777" w:rsidR="00E35FCB" w:rsidRPr="00712F3C" w:rsidRDefault="00E35FCB" w:rsidP="00E35FCB">
      <w:pPr>
        <w:autoSpaceDE w:val="0"/>
        <w:autoSpaceDN w:val="0"/>
        <w:adjustRightInd w:val="0"/>
        <w:spacing w:after="0" w:line="240" w:lineRule="auto"/>
        <w:rPr>
          <w:rFonts w:ascii="Times New Roman" w:hAnsi="Times New Roman"/>
          <w:b/>
          <w:sz w:val="20"/>
          <w:szCs w:val="20"/>
        </w:rPr>
      </w:pPr>
      <w:r w:rsidRPr="00712F3C">
        <w:rPr>
          <w:rFonts w:ascii="Times New Roman" w:hAnsi="Times New Roman"/>
          <w:b/>
          <w:sz w:val="20"/>
          <w:szCs w:val="20"/>
        </w:rPr>
        <w:t xml:space="preserve">Details of Service Contracts of the Key Managerial Personnel </w:t>
      </w:r>
    </w:p>
    <w:p w14:paraId="77ABA450" w14:textId="77777777" w:rsidR="00E35FCB" w:rsidRPr="00712F3C" w:rsidRDefault="00E35FCB" w:rsidP="00E35FCB">
      <w:pPr>
        <w:autoSpaceDE w:val="0"/>
        <w:autoSpaceDN w:val="0"/>
        <w:adjustRightInd w:val="0"/>
        <w:spacing w:after="0" w:line="240" w:lineRule="auto"/>
        <w:rPr>
          <w:rFonts w:ascii="Times New Roman" w:hAnsi="Times New Roman"/>
          <w:b/>
          <w:sz w:val="20"/>
          <w:szCs w:val="20"/>
        </w:rPr>
      </w:pPr>
    </w:p>
    <w:p w14:paraId="0ECB867A" w14:textId="77777777" w:rsidR="00E35FCB" w:rsidRPr="00712F3C" w:rsidRDefault="00E35FCB" w:rsidP="00E35FCB">
      <w:pPr>
        <w:spacing w:after="0" w:line="240" w:lineRule="auto"/>
        <w:jc w:val="both"/>
        <w:rPr>
          <w:rFonts w:ascii="Times New Roman" w:eastAsia="Arial Unicode MS" w:hAnsi="Times New Roman"/>
          <w:sz w:val="20"/>
          <w:szCs w:val="20"/>
        </w:rPr>
      </w:pPr>
      <w:r w:rsidRPr="00712F3C">
        <w:rPr>
          <w:rFonts w:ascii="Times New Roman" w:eastAsia="Arial Unicode MS" w:hAnsi="Times New Roman"/>
          <w:sz w:val="20"/>
          <w:szCs w:val="20"/>
        </w:rPr>
        <w:t>Except for the terms set forth in the appointment letters, the Key Managerial Personnel have not entered into any other contractual arrangements with our Company for provision of benefits or payments of any amount upon termination of employment.</w:t>
      </w:r>
    </w:p>
    <w:p w14:paraId="30F2C213" w14:textId="77777777" w:rsidR="00E35FCB" w:rsidRPr="00712F3C" w:rsidRDefault="00E35FCB" w:rsidP="00E35FCB">
      <w:pPr>
        <w:tabs>
          <w:tab w:val="left" w:pos="5948"/>
        </w:tabs>
        <w:spacing w:after="0" w:line="240" w:lineRule="auto"/>
        <w:rPr>
          <w:rFonts w:ascii="Times New Roman" w:eastAsia="Arial Unicode MS" w:hAnsi="Times New Roman"/>
          <w:sz w:val="20"/>
          <w:szCs w:val="20"/>
        </w:rPr>
      </w:pPr>
    </w:p>
    <w:p w14:paraId="6C0C1EE1" w14:textId="77777777" w:rsidR="00E35FCB" w:rsidRPr="00712F3C" w:rsidRDefault="00E35FCB" w:rsidP="00E35FCB">
      <w:pPr>
        <w:widowControl w:val="0"/>
        <w:autoSpaceDE w:val="0"/>
        <w:autoSpaceDN w:val="0"/>
        <w:adjustRightInd w:val="0"/>
        <w:spacing w:after="0" w:line="240" w:lineRule="auto"/>
        <w:jc w:val="both"/>
        <w:rPr>
          <w:rFonts w:ascii="Times New Roman" w:hAnsi="Times New Roman"/>
          <w:b/>
          <w:bCs/>
          <w:sz w:val="20"/>
          <w:szCs w:val="20"/>
        </w:rPr>
      </w:pPr>
      <w:r w:rsidRPr="00712F3C">
        <w:rPr>
          <w:rFonts w:ascii="Times New Roman" w:hAnsi="Times New Roman"/>
          <w:b/>
          <w:bCs/>
          <w:sz w:val="20"/>
          <w:szCs w:val="20"/>
        </w:rPr>
        <w:t>Loans given/ availed by Directors/ Key Managerial Personnel of Our Company</w:t>
      </w:r>
    </w:p>
    <w:p w14:paraId="28097E9F" w14:textId="77777777" w:rsidR="00E35FCB" w:rsidRPr="00712F3C" w:rsidRDefault="00E35FCB" w:rsidP="00E35FCB">
      <w:pPr>
        <w:widowControl w:val="0"/>
        <w:autoSpaceDE w:val="0"/>
        <w:autoSpaceDN w:val="0"/>
        <w:adjustRightInd w:val="0"/>
        <w:spacing w:after="0" w:line="240" w:lineRule="auto"/>
        <w:jc w:val="both"/>
        <w:rPr>
          <w:rFonts w:ascii="Times New Roman" w:hAnsi="Times New Roman"/>
          <w:sz w:val="20"/>
          <w:szCs w:val="20"/>
          <w:shd w:val="clear" w:color="auto" w:fill="FFFFFF"/>
        </w:rPr>
      </w:pPr>
    </w:p>
    <w:p w14:paraId="0F4B6E5C" w14:textId="77777777" w:rsidR="00E35FCB" w:rsidRPr="00712F3C" w:rsidRDefault="00E35FCB" w:rsidP="00E35FCB">
      <w:pPr>
        <w:widowControl w:val="0"/>
        <w:autoSpaceDE w:val="0"/>
        <w:autoSpaceDN w:val="0"/>
        <w:adjustRightInd w:val="0"/>
        <w:spacing w:after="0" w:line="240" w:lineRule="auto"/>
        <w:jc w:val="both"/>
        <w:rPr>
          <w:rFonts w:ascii="Times New Roman" w:hAnsi="Times New Roman"/>
          <w:sz w:val="20"/>
          <w:szCs w:val="20"/>
        </w:rPr>
      </w:pPr>
      <w:r w:rsidRPr="00712F3C">
        <w:rPr>
          <w:rFonts w:ascii="Times New Roman" w:hAnsi="Times New Roman"/>
          <w:sz w:val="20"/>
          <w:szCs w:val="20"/>
          <w:shd w:val="clear" w:color="auto" w:fill="FFFFFF"/>
        </w:rPr>
        <w:t xml:space="preserve">For details of unsecured loan taken from or given to our Directors/ KMPs and for details of transaction entered by them in the past please refer to </w:t>
      </w:r>
      <w:r w:rsidRPr="00712F3C">
        <w:rPr>
          <w:rFonts w:ascii="Times New Roman" w:hAnsi="Times New Roman"/>
          <w:b/>
          <w:i/>
          <w:sz w:val="20"/>
          <w:szCs w:val="20"/>
          <w:shd w:val="clear" w:color="auto" w:fill="FFFFFF"/>
        </w:rPr>
        <w:t>“Note 24 – Related Party Disclosures</w:t>
      </w:r>
      <w:r w:rsidRPr="00712F3C">
        <w:rPr>
          <w:rFonts w:ascii="Times New Roman" w:hAnsi="Times New Roman"/>
          <w:b/>
          <w:sz w:val="20"/>
          <w:szCs w:val="20"/>
          <w:shd w:val="clear" w:color="auto" w:fill="FFFFFF"/>
        </w:rPr>
        <w:t xml:space="preserve">” </w:t>
      </w:r>
      <w:r w:rsidRPr="00712F3C">
        <w:rPr>
          <w:rFonts w:ascii="Times New Roman" w:hAnsi="Times New Roman"/>
          <w:sz w:val="20"/>
          <w:szCs w:val="20"/>
          <w:shd w:val="clear" w:color="auto" w:fill="FFFFFF"/>
        </w:rPr>
        <w:t xml:space="preserve">page </w:t>
      </w:r>
      <w:r>
        <w:rPr>
          <w:rFonts w:ascii="Times New Roman" w:hAnsi="Times New Roman"/>
          <w:sz w:val="20"/>
          <w:szCs w:val="20"/>
          <w:shd w:val="clear" w:color="auto" w:fill="FFFFFF"/>
        </w:rPr>
        <w:t>161</w:t>
      </w:r>
      <w:r w:rsidRPr="00712F3C">
        <w:rPr>
          <w:rFonts w:ascii="Times New Roman" w:hAnsi="Times New Roman"/>
          <w:sz w:val="20"/>
          <w:szCs w:val="20"/>
          <w:shd w:val="clear" w:color="auto" w:fill="FFFFFF"/>
        </w:rPr>
        <w:t xml:space="preserve"> of this </w:t>
      </w:r>
      <w:r w:rsidRPr="00712F3C">
        <w:rPr>
          <w:rFonts w:ascii="Times New Roman" w:eastAsia="MS Mincho" w:hAnsi="Times New Roman"/>
          <w:bCs/>
          <w:color w:val="000000"/>
          <w:sz w:val="20"/>
          <w:szCs w:val="20"/>
          <w:lang w:val="en-GB"/>
        </w:rPr>
        <w:t xml:space="preserve">Draft </w:t>
      </w:r>
      <w:r w:rsidRPr="00712F3C">
        <w:rPr>
          <w:rFonts w:ascii="Times New Roman" w:hAnsi="Times New Roman"/>
          <w:sz w:val="20"/>
          <w:szCs w:val="20"/>
        </w:rPr>
        <w:t>Red Herring Prospectus</w:t>
      </w:r>
      <w:r w:rsidRPr="00712F3C">
        <w:rPr>
          <w:rFonts w:ascii="Times New Roman" w:hAnsi="Times New Roman"/>
          <w:sz w:val="20"/>
          <w:szCs w:val="20"/>
          <w:shd w:val="clear" w:color="auto" w:fill="FFFFFF"/>
        </w:rPr>
        <w:t>.</w:t>
      </w:r>
    </w:p>
    <w:p w14:paraId="5BD575AB" w14:textId="77777777" w:rsidR="00E35FCB" w:rsidRPr="00712F3C" w:rsidRDefault="00E35FCB" w:rsidP="00E35FCB">
      <w:pPr>
        <w:spacing w:after="0" w:line="240" w:lineRule="auto"/>
        <w:jc w:val="both"/>
        <w:rPr>
          <w:rFonts w:ascii="Times New Roman" w:hAnsi="Times New Roman"/>
          <w:sz w:val="20"/>
          <w:szCs w:val="20"/>
        </w:rPr>
      </w:pPr>
    </w:p>
    <w:p w14:paraId="27100E71" w14:textId="77777777" w:rsidR="00E35FCB" w:rsidRPr="00712F3C" w:rsidRDefault="00E35FCB" w:rsidP="00E35FCB">
      <w:pPr>
        <w:autoSpaceDE w:val="0"/>
        <w:autoSpaceDN w:val="0"/>
        <w:adjustRightInd w:val="0"/>
        <w:spacing w:after="0" w:line="240" w:lineRule="auto"/>
        <w:rPr>
          <w:rFonts w:ascii="Times New Roman" w:hAnsi="Times New Roman"/>
          <w:b/>
          <w:bCs/>
          <w:sz w:val="20"/>
          <w:szCs w:val="20"/>
        </w:rPr>
      </w:pPr>
      <w:r w:rsidRPr="00712F3C">
        <w:rPr>
          <w:rFonts w:ascii="Times New Roman" w:hAnsi="Times New Roman"/>
          <w:b/>
          <w:sz w:val="20"/>
          <w:szCs w:val="20"/>
        </w:rPr>
        <w:t>ESOP/ ESPS SCHEME TO EMPLOYEES</w:t>
      </w:r>
    </w:p>
    <w:p w14:paraId="2E06DF6A" w14:textId="77777777" w:rsidR="00E35FCB" w:rsidRPr="00712F3C" w:rsidRDefault="00E35FCB" w:rsidP="00E35FCB">
      <w:pPr>
        <w:autoSpaceDE w:val="0"/>
        <w:autoSpaceDN w:val="0"/>
        <w:adjustRightInd w:val="0"/>
        <w:spacing w:after="0" w:line="240" w:lineRule="auto"/>
        <w:rPr>
          <w:rFonts w:ascii="Times New Roman" w:hAnsi="Times New Roman"/>
          <w:b/>
          <w:bCs/>
          <w:sz w:val="20"/>
          <w:szCs w:val="20"/>
        </w:rPr>
      </w:pPr>
    </w:p>
    <w:p w14:paraId="2CF8AD34" w14:textId="617962B9" w:rsidR="005B5953" w:rsidRDefault="00E35FCB" w:rsidP="00E35FCB">
      <w:pPr>
        <w:spacing w:after="0" w:line="240" w:lineRule="auto"/>
        <w:rPr>
          <w:rFonts w:ascii="Times New Roman" w:hAnsi="Times New Roman"/>
          <w:sz w:val="20"/>
          <w:szCs w:val="20"/>
        </w:rPr>
      </w:pPr>
      <w:r w:rsidRPr="00712F3C">
        <w:rPr>
          <w:rFonts w:ascii="Times New Roman" w:hAnsi="Times New Roman"/>
          <w:sz w:val="20"/>
          <w:szCs w:val="20"/>
        </w:rPr>
        <w:t>Presently, we do not have any ESOP/ ESPS Scheme for our</w:t>
      </w:r>
      <w:r>
        <w:rPr>
          <w:rFonts w:ascii="Times New Roman" w:hAnsi="Times New Roman"/>
          <w:sz w:val="20"/>
          <w:szCs w:val="20"/>
        </w:rPr>
        <w:t xml:space="preserve"> employees.</w:t>
      </w:r>
    </w:p>
    <w:p w14:paraId="08CD4A7F" w14:textId="77777777" w:rsidR="005B5953" w:rsidRDefault="005B5953">
      <w:pPr>
        <w:spacing w:after="160" w:line="259" w:lineRule="auto"/>
        <w:rPr>
          <w:rFonts w:ascii="Times New Roman" w:hAnsi="Times New Roman"/>
          <w:sz w:val="20"/>
          <w:szCs w:val="20"/>
        </w:rPr>
      </w:pPr>
      <w:r>
        <w:rPr>
          <w:rFonts w:ascii="Times New Roman" w:hAnsi="Times New Roman"/>
          <w:sz w:val="20"/>
          <w:szCs w:val="20"/>
        </w:rPr>
        <w:br w:type="page"/>
      </w:r>
    </w:p>
    <w:p w14:paraId="20EA8EEA" w14:textId="084F1DD6" w:rsidR="005B5953" w:rsidRDefault="005B5953" w:rsidP="005B5953">
      <w:pPr>
        <w:spacing w:after="0" w:line="240" w:lineRule="auto"/>
        <w:jc w:val="center"/>
        <w:rPr>
          <w:rFonts w:ascii="Times New Roman" w:hAnsi="Times New Roman"/>
          <w:b/>
          <w:bCs/>
          <w:sz w:val="20"/>
          <w:szCs w:val="20"/>
          <w:u w:val="single"/>
        </w:rPr>
      </w:pPr>
      <w:r w:rsidRPr="005B5953">
        <w:rPr>
          <w:rFonts w:ascii="Times New Roman" w:hAnsi="Times New Roman"/>
          <w:b/>
          <w:bCs/>
          <w:sz w:val="20"/>
          <w:szCs w:val="20"/>
          <w:u w:val="single"/>
        </w:rPr>
        <w:lastRenderedPageBreak/>
        <w:t>OUR PROMOTERS &amp; PROMOTER GROUP</w:t>
      </w:r>
    </w:p>
    <w:p w14:paraId="69AC0BD7" w14:textId="4BB18334" w:rsidR="00E35FCB" w:rsidRDefault="00E35FCB" w:rsidP="005B5953">
      <w:pPr>
        <w:spacing w:after="0" w:line="259" w:lineRule="auto"/>
        <w:rPr>
          <w:rFonts w:ascii="Times New Roman" w:hAnsi="Times New Roman"/>
          <w:b/>
          <w:bCs/>
          <w:sz w:val="20"/>
          <w:szCs w:val="20"/>
          <w:u w:val="single"/>
        </w:rPr>
      </w:pPr>
    </w:p>
    <w:p w14:paraId="53137317" w14:textId="77777777" w:rsidR="005B5953" w:rsidRPr="00712F3C" w:rsidRDefault="005B5953" w:rsidP="005B5953">
      <w:pPr>
        <w:spacing w:after="0" w:line="240" w:lineRule="auto"/>
        <w:rPr>
          <w:rFonts w:ascii="Times New Roman" w:hAnsi="Times New Roman"/>
          <w:b/>
          <w:color w:val="000000"/>
          <w:sz w:val="20"/>
          <w:szCs w:val="20"/>
          <w:u w:val="single"/>
        </w:rPr>
      </w:pPr>
      <w:r w:rsidRPr="00712F3C">
        <w:rPr>
          <w:rFonts w:ascii="Times New Roman" w:hAnsi="Times New Roman"/>
          <w:b/>
          <w:color w:val="000000"/>
          <w:sz w:val="20"/>
          <w:szCs w:val="20"/>
          <w:u w:val="single"/>
        </w:rPr>
        <w:t>Our Promoters:</w:t>
      </w:r>
    </w:p>
    <w:p w14:paraId="2C330855" w14:textId="77777777" w:rsidR="005B5953" w:rsidRPr="00712F3C" w:rsidRDefault="005B5953" w:rsidP="005B5953">
      <w:pPr>
        <w:spacing w:after="0" w:line="240" w:lineRule="auto"/>
        <w:jc w:val="both"/>
        <w:rPr>
          <w:rFonts w:ascii="Times New Roman" w:hAnsi="Times New Roman"/>
          <w:b/>
          <w:color w:val="000000"/>
          <w:sz w:val="20"/>
          <w:szCs w:val="20"/>
        </w:rPr>
      </w:pPr>
    </w:p>
    <w:p w14:paraId="3CD36997" w14:textId="77777777" w:rsidR="005B5953" w:rsidRPr="00712F3C" w:rsidRDefault="005B5953" w:rsidP="005B5953">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 xml:space="preserve">The promoters of our Company are </w:t>
      </w:r>
      <w:r>
        <w:rPr>
          <w:rFonts w:ascii="Times New Roman" w:hAnsi="Times New Roman"/>
          <w:color w:val="000000"/>
          <w:sz w:val="20"/>
          <w:szCs w:val="20"/>
        </w:rPr>
        <w:t xml:space="preserve">Dwarkadhish Venture Private Limited </w:t>
      </w:r>
      <w:r w:rsidRPr="00792E9D">
        <w:rPr>
          <w:rFonts w:ascii="Times New Roman" w:hAnsi="Times New Roman"/>
          <w:i/>
          <w:iCs/>
          <w:color w:val="000000"/>
          <w:sz w:val="20"/>
          <w:szCs w:val="20"/>
        </w:rPr>
        <w:t>(formerly known as Siyaram Metals Private Limited)</w:t>
      </w:r>
      <w:r w:rsidRPr="00712F3C">
        <w:rPr>
          <w:rFonts w:ascii="Times New Roman" w:hAnsi="Times New Roman"/>
          <w:color w:val="000000"/>
          <w:sz w:val="20"/>
          <w:szCs w:val="20"/>
        </w:rPr>
        <w:t xml:space="preserve">, </w:t>
      </w:r>
      <w:r w:rsidRPr="00792E9D">
        <w:rPr>
          <w:rFonts w:ascii="Times New Roman" w:hAnsi="Times New Roman"/>
          <w:color w:val="000000"/>
          <w:sz w:val="20"/>
          <w:szCs w:val="20"/>
        </w:rPr>
        <w:t xml:space="preserve">Ramgopal Ochhavlal Maheshwari </w:t>
      </w:r>
      <w:r w:rsidRPr="00712F3C">
        <w:rPr>
          <w:rFonts w:ascii="Times New Roman" w:hAnsi="Times New Roman"/>
          <w:color w:val="000000"/>
          <w:sz w:val="20"/>
          <w:szCs w:val="20"/>
        </w:rPr>
        <w:t>and</w:t>
      </w:r>
      <w:r>
        <w:rPr>
          <w:rFonts w:ascii="Times New Roman" w:hAnsi="Times New Roman"/>
          <w:color w:val="000000"/>
          <w:sz w:val="20"/>
          <w:szCs w:val="20"/>
        </w:rPr>
        <w:t xml:space="preserve"> </w:t>
      </w:r>
      <w:r w:rsidRPr="00792E9D">
        <w:rPr>
          <w:rFonts w:ascii="Times New Roman" w:hAnsi="Times New Roman"/>
          <w:color w:val="000000"/>
          <w:sz w:val="20"/>
          <w:szCs w:val="20"/>
        </w:rPr>
        <w:t>Bhavesh Ramgopal Maheshwari</w:t>
      </w:r>
      <w:r w:rsidRPr="00712F3C">
        <w:rPr>
          <w:rFonts w:ascii="Times New Roman" w:hAnsi="Times New Roman"/>
          <w:color w:val="000000"/>
          <w:sz w:val="20"/>
          <w:szCs w:val="20"/>
        </w:rPr>
        <w:t>.</w:t>
      </w:r>
    </w:p>
    <w:p w14:paraId="15868EFD" w14:textId="77777777" w:rsidR="005B5953" w:rsidRPr="00712F3C" w:rsidRDefault="005B5953" w:rsidP="005B5953">
      <w:pPr>
        <w:spacing w:after="0" w:line="240" w:lineRule="auto"/>
        <w:jc w:val="both"/>
        <w:rPr>
          <w:rFonts w:ascii="Times New Roman" w:hAnsi="Times New Roman"/>
          <w:color w:val="000000"/>
          <w:sz w:val="20"/>
          <w:szCs w:val="20"/>
        </w:rPr>
      </w:pPr>
    </w:p>
    <w:p w14:paraId="66283E2C" w14:textId="77777777" w:rsidR="005B5953" w:rsidRPr="00712F3C" w:rsidRDefault="005B5953" w:rsidP="005B5953">
      <w:pPr>
        <w:spacing w:after="0" w:line="240" w:lineRule="auto"/>
        <w:jc w:val="both"/>
        <w:rPr>
          <w:rFonts w:ascii="Times New Roman" w:hAnsi="Times New Roman"/>
          <w:color w:val="000000"/>
          <w:sz w:val="20"/>
          <w:szCs w:val="20"/>
        </w:rPr>
      </w:pPr>
      <w:r w:rsidRPr="00712F3C">
        <w:rPr>
          <w:rFonts w:ascii="Times New Roman" w:hAnsi="Times New Roman"/>
          <w:color w:val="000000"/>
          <w:sz w:val="20"/>
          <w:szCs w:val="20"/>
        </w:rPr>
        <w:t xml:space="preserve">As on date of this Draft </w:t>
      </w:r>
      <w:r w:rsidRPr="00712F3C">
        <w:rPr>
          <w:rFonts w:ascii="Times New Roman" w:hAnsi="Times New Roman"/>
          <w:sz w:val="20"/>
          <w:szCs w:val="20"/>
        </w:rPr>
        <w:t xml:space="preserve">Red Herring </w:t>
      </w:r>
      <w:r w:rsidRPr="00712F3C">
        <w:rPr>
          <w:rFonts w:ascii="Times New Roman" w:hAnsi="Times New Roman"/>
          <w:color w:val="000000"/>
          <w:sz w:val="20"/>
          <w:szCs w:val="20"/>
        </w:rPr>
        <w:t xml:space="preserve">Prospectus, the Promoters, in aggregate, hold </w:t>
      </w:r>
      <w:r>
        <w:rPr>
          <w:rFonts w:ascii="Times New Roman" w:hAnsi="Times New Roman"/>
          <w:color w:val="000000"/>
          <w:sz w:val="20"/>
          <w:szCs w:val="20"/>
        </w:rPr>
        <w:t>1,37,05,500</w:t>
      </w:r>
      <w:r w:rsidRPr="00712F3C">
        <w:rPr>
          <w:rFonts w:ascii="Times New Roman" w:hAnsi="Times New Roman"/>
          <w:color w:val="000000"/>
          <w:sz w:val="20"/>
          <w:szCs w:val="20"/>
        </w:rPr>
        <w:t xml:space="preserve"> Equity shares of our Company,</w:t>
      </w:r>
      <w:r>
        <w:rPr>
          <w:rFonts w:ascii="Times New Roman" w:hAnsi="Times New Roman"/>
          <w:color w:val="000000"/>
          <w:sz w:val="20"/>
          <w:szCs w:val="20"/>
        </w:rPr>
        <w:t xml:space="preserve"> </w:t>
      </w:r>
      <w:r w:rsidRPr="00712F3C">
        <w:rPr>
          <w:rFonts w:ascii="Times New Roman" w:hAnsi="Times New Roman"/>
          <w:color w:val="000000"/>
          <w:sz w:val="20"/>
          <w:szCs w:val="20"/>
        </w:rPr>
        <w:t xml:space="preserve">representing </w:t>
      </w:r>
      <w:r>
        <w:rPr>
          <w:rFonts w:ascii="Times New Roman" w:hAnsi="Times New Roman"/>
          <w:color w:val="000000"/>
          <w:sz w:val="20"/>
          <w:szCs w:val="20"/>
        </w:rPr>
        <w:t>99.28</w:t>
      </w:r>
      <w:r w:rsidRPr="00712F3C">
        <w:rPr>
          <w:rFonts w:ascii="Times New Roman" w:hAnsi="Times New Roman"/>
          <w:color w:val="000000"/>
          <w:sz w:val="20"/>
          <w:szCs w:val="20"/>
        </w:rPr>
        <w:t xml:space="preserve">% of the pre-issue paid-up Equity Share capital of our Company. For details of the build-up of the Promoter’s shareholding in our Company, see </w:t>
      </w:r>
      <w:r w:rsidRPr="00712F3C">
        <w:rPr>
          <w:rFonts w:ascii="Times New Roman" w:hAnsi="Times New Roman"/>
          <w:b/>
          <w:i/>
          <w:color w:val="000000"/>
          <w:sz w:val="20"/>
          <w:szCs w:val="20"/>
        </w:rPr>
        <w:t>“Capital Structure-Capital Build-up in respect of Shareholding of our Promoters”</w:t>
      </w:r>
      <w:r w:rsidRPr="00712F3C">
        <w:rPr>
          <w:rFonts w:ascii="Times New Roman" w:hAnsi="Times New Roman"/>
          <w:color w:val="000000"/>
          <w:sz w:val="20"/>
          <w:szCs w:val="20"/>
        </w:rPr>
        <w:t xml:space="preserve">, on page </w:t>
      </w:r>
      <w:r>
        <w:rPr>
          <w:rFonts w:ascii="Times New Roman" w:hAnsi="Times New Roman"/>
          <w:color w:val="000000"/>
          <w:sz w:val="20"/>
          <w:szCs w:val="20"/>
        </w:rPr>
        <w:t>62</w:t>
      </w:r>
      <w:r w:rsidRPr="00712F3C">
        <w:rPr>
          <w:rFonts w:ascii="Times New Roman" w:hAnsi="Times New Roman"/>
          <w:color w:val="000000"/>
          <w:sz w:val="20"/>
          <w:szCs w:val="20"/>
        </w:rPr>
        <w:t xml:space="preserve"> of this Draft </w:t>
      </w:r>
      <w:r w:rsidRPr="00712F3C">
        <w:rPr>
          <w:rFonts w:ascii="Times New Roman" w:hAnsi="Times New Roman"/>
          <w:sz w:val="20"/>
          <w:szCs w:val="20"/>
        </w:rPr>
        <w:t xml:space="preserve">Red Herring </w:t>
      </w:r>
      <w:r w:rsidRPr="00712F3C">
        <w:rPr>
          <w:rFonts w:ascii="Times New Roman" w:hAnsi="Times New Roman"/>
          <w:color w:val="000000"/>
          <w:sz w:val="20"/>
          <w:szCs w:val="20"/>
        </w:rPr>
        <w:t>Prospectus.</w:t>
      </w:r>
    </w:p>
    <w:p w14:paraId="30E61C04" w14:textId="77777777" w:rsidR="005B5953" w:rsidRPr="00712F3C" w:rsidRDefault="005B5953" w:rsidP="005B5953">
      <w:pPr>
        <w:spacing w:after="0" w:line="240" w:lineRule="auto"/>
        <w:jc w:val="both"/>
        <w:rPr>
          <w:rFonts w:ascii="Times New Roman" w:hAnsi="Times New Roman"/>
          <w:b/>
          <w:color w:val="000000"/>
          <w:sz w:val="20"/>
          <w:szCs w:val="20"/>
        </w:rPr>
      </w:pPr>
    </w:p>
    <w:p w14:paraId="06CD8CDD" w14:textId="77777777" w:rsidR="005B5953" w:rsidRPr="00DB40E2" w:rsidRDefault="005B5953" w:rsidP="005B5953">
      <w:pPr>
        <w:spacing w:after="0" w:line="240" w:lineRule="auto"/>
        <w:contextualSpacing/>
        <w:jc w:val="both"/>
        <w:rPr>
          <w:rFonts w:ascii="Times New Roman" w:hAnsi="Times New Roman"/>
          <w:b/>
          <w:sz w:val="20"/>
          <w:szCs w:val="20"/>
          <w:u w:val="single"/>
        </w:rPr>
      </w:pPr>
      <w:r w:rsidRPr="00DB40E2">
        <w:rPr>
          <w:rFonts w:ascii="Times New Roman" w:hAnsi="Times New Roman"/>
          <w:b/>
          <w:sz w:val="20"/>
          <w:szCs w:val="20"/>
          <w:u w:val="single"/>
        </w:rPr>
        <w:t>Details of our Promoters:</w:t>
      </w:r>
    </w:p>
    <w:p w14:paraId="16A1B1BC" w14:textId="77777777" w:rsidR="005B5953" w:rsidRPr="0094678C" w:rsidRDefault="005B5953" w:rsidP="005B5953">
      <w:pPr>
        <w:spacing w:after="0" w:line="240" w:lineRule="auto"/>
        <w:contextualSpacing/>
        <w:jc w:val="both"/>
        <w:rPr>
          <w:rFonts w:ascii="Times New Roman" w:hAnsi="Times New Roman"/>
          <w:b/>
          <w:sz w:val="20"/>
          <w:szCs w:val="20"/>
        </w:rPr>
      </w:pPr>
    </w:p>
    <w:p w14:paraId="542C3CA8" w14:textId="77777777" w:rsidR="005B5953" w:rsidRDefault="005B5953">
      <w:pPr>
        <w:pStyle w:val="ListParagraph"/>
        <w:numPr>
          <w:ilvl w:val="0"/>
          <w:numId w:val="326"/>
        </w:numPr>
        <w:suppressAutoHyphens w:val="0"/>
        <w:autoSpaceDE/>
        <w:autoSpaceDN/>
        <w:adjustRightInd/>
        <w:spacing w:line="240" w:lineRule="auto"/>
        <w:ind w:left="450"/>
        <w:contextualSpacing/>
        <w:jc w:val="both"/>
        <w:textAlignment w:val="auto"/>
        <w:rPr>
          <w:b/>
          <w:sz w:val="20"/>
          <w:szCs w:val="20"/>
        </w:rPr>
      </w:pPr>
      <w:r w:rsidRPr="0094678C">
        <w:rPr>
          <w:b/>
          <w:sz w:val="20"/>
          <w:szCs w:val="20"/>
        </w:rPr>
        <w:t>Individual Promoters:</w:t>
      </w:r>
    </w:p>
    <w:p w14:paraId="401FDE2F" w14:textId="77777777" w:rsidR="005B5953" w:rsidRPr="0094678C" w:rsidRDefault="005B5953" w:rsidP="005B5953">
      <w:pPr>
        <w:pStyle w:val="ListParagraph"/>
        <w:suppressAutoHyphens w:val="0"/>
        <w:autoSpaceDE/>
        <w:autoSpaceDN/>
        <w:adjustRightInd/>
        <w:spacing w:line="240" w:lineRule="auto"/>
        <w:ind w:left="450"/>
        <w:contextualSpacing/>
        <w:jc w:val="both"/>
        <w:textAlignment w:val="auto"/>
        <w:rPr>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2411"/>
        <w:gridCol w:w="4364"/>
      </w:tblGrid>
      <w:tr w:rsidR="005B5953" w:rsidRPr="00712F3C" w14:paraId="64663879" w14:textId="77777777" w:rsidTr="00250DAC">
        <w:trPr>
          <w:cantSplit/>
          <w:trHeight w:val="20"/>
        </w:trPr>
        <w:tc>
          <w:tcPr>
            <w:tcW w:w="1760" w:type="pct"/>
            <w:vMerge w:val="restart"/>
            <w:tcBorders>
              <w:top w:val="single" w:sz="4" w:space="0" w:color="auto"/>
              <w:left w:val="single" w:sz="4" w:space="0" w:color="auto"/>
              <w:bottom w:val="single" w:sz="4" w:space="0" w:color="auto"/>
              <w:right w:val="single" w:sz="4" w:space="0" w:color="auto"/>
            </w:tcBorders>
            <w:vAlign w:val="center"/>
            <w:hideMark/>
          </w:tcPr>
          <w:p w14:paraId="219B9328" w14:textId="77777777" w:rsidR="005B5953" w:rsidRPr="00712F3C" w:rsidRDefault="005B5953" w:rsidP="00250DAC">
            <w:pPr>
              <w:spacing w:after="0" w:line="240" w:lineRule="auto"/>
              <w:rPr>
                <w:rFonts w:ascii="Times New Roman" w:hAnsi="Times New Roman"/>
                <w:b/>
                <w:noProof/>
                <w:sz w:val="20"/>
                <w:szCs w:val="20"/>
                <w:lang w:val="en-IN" w:eastAsia="en-IN"/>
              </w:rPr>
            </w:pPr>
            <w:bookmarkStart w:id="19" w:name="_Hlk130923624"/>
          </w:p>
          <w:p w14:paraId="68693674" w14:textId="77777777" w:rsidR="005B5953" w:rsidRPr="00712F3C" w:rsidRDefault="005B5953" w:rsidP="00250DAC">
            <w:pPr>
              <w:spacing w:after="0" w:line="240" w:lineRule="auto"/>
              <w:jc w:val="center"/>
              <w:rPr>
                <w:rFonts w:ascii="Times New Roman" w:hAnsi="Times New Roman"/>
                <w:sz w:val="20"/>
                <w:szCs w:val="20"/>
              </w:rPr>
            </w:pPr>
            <w:r>
              <w:rPr>
                <w:rFonts w:ascii="Times New Roman" w:hAnsi="Times New Roman"/>
                <w:noProof/>
                <w:sz w:val="20"/>
                <w:szCs w:val="20"/>
                <w14:ligatures w14:val="standardContextual"/>
              </w:rPr>
              <w:drawing>
                <wp:inline distT="0" distB="0" distL="0" distR="0" wp14:anchorId="2153267E" wp14:editId="0258601C">
                  <wp:extent cx="2200275" cy="1466850"/>
                  <wp:effectExtent l="0" t="0" r="9525" b="0"/>
                  <wp:docPr id="1036451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451821" name="Picture 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200275" cy="1466850"/>
                          </a:xfrm>
                          <a:prstGeom prst="rect">
                            <a:avLst/>
                          </a:prstGeom>
                          <a:ln w="19050">
                            <a:noFill/>
                          </a:ln>
                        </pic:spPr>
                      </pic:pic>
                    </a:graphicData>
                  </a:graphic>
                </wp:inline>
              </w:drawing>
            </w:r>
          </w:p>
        </w:tc>
        <w:tc>
          <w:tcPr>
            <w:tcW w:w="3240"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5AE093" w14:textId="77777777" w:rsidR="005B5953" w:rsidRPr="00712F3C" w:rsidRDefault="005B5953" w:rsidP="00250DAC">
            <w:pPr>
              <w:spacing w:after="0" w:line="240" w:lineRule="auto"/>
              <w:rPr>
                <w:rFonts w:ascii="Times New Roman" w:hAnsi="Times New Roman"/>
                <w:b/>
                <w:sz w:val="20"/>
                <w:szCs w:val="20"/>
              </w:rPr>
            </w:pPr>
            <w:r w:rsidRPr="00A2461E">
              <w:rPr>
                <w:rFonts w:ascii="Times New Roman" w:hAnsi="Times New Roman"/>
                <w:b/>
                <w:iCs/>
                <w:sz w:val="20"/>
                <w:szCs w:val="20"/>
              </w:rPr>
              <w:t xml:space="preserve">Ramgopal Ochhavlal Maheshwari </w:t>
            </w:r>
            <w:r w:rsidRPr="00712F3C">
              <w:rPr>
                <w:rFonts w:ascii="Times New Roman" w:hAnsi="Times New Roman"/>
                <w:b/>
                <w:bCs/>
                <w:sz w:val="20"/>
                <w:szCs w:val="20"/>
              </w:rPr>
              <w:t xml:space="preserve">– Chairman and </w:t>
            </w:r>
            <w:r>
              <w:rPr>
                <w:rFonts w:ascii="Times New Roman" w:hAnsi="Times New Roman"/>
                <w:b/>
                <w:bCs/>
                <w:sz w:val="20"/>
                <w:szCs w:val="20"/>
              </w:rPr>
              <w:t>Wholetime</w:t>
            </w:r>
            <w:r w:rsidRPr="00712F3C">
              <w:rPr>
                <w:rFonts w:ascii="Times New Roman" w:hAnsi="Times New Roman"/>
                <w:b/>
                <w:bCs/>
                <w:sz w:val="20"/>
                <w:szCs w:val="20"/>
              </w:rPr>
              <w:t xml:space="preserve"> Director</w:t>
            </w:r>
          </w:p>
        </w:tc>
      </w:tr>
      <w:tr w:rsidR="005B5953" w:rsidRPr="00712F3C" w14:paraId="4B4D1624" w14:textId="77777777" w:rsidTr="00250DAC">
        <w:trPr>
          <w:cantSplit/>
          <w:trHeight w:val="20"/>
        </w:trPr>
        <w:tc>
          <w:tcPr>
            <w:tcW w:w="1760" w:type="pct"/>
            <w:vMerge/>
            <w:tcBorders>
              <w:top w:val="single" w:sz="4" w:space="0" w:color="auto"/>
              <w:left w:val="single" w:sz="4" w:space="0" w:color="auto"/>
              <w:bottom w:val="single" w:sz="4" w:space="0" w:color="auto"/>
              <w:right w:val="single" w:sz="4" w:space="0" w:color="auto"/>
            </w:tcBorders>
            <w:vAlign w:val="center"/>
            <w:hideMark/>
          </w:tcPr>
          <w:p w14:paraId="40916854" w14:textId="77777777" w:rsidR="005B5953" w:rsidRPr="00712F3C" w:rsidRDefault="005B5953" w:rsidP="00250DAC">
            <w:pPr>
              <w:spacing w:after="0" w:line="240" w:lineRule="auto"/>
              <w:rPr>
                <w:rFonts w:ascii="Times New Roman" w:hAnsi="Times New Roman"/>
                <w:sz w:val="20"/>
                <w:szCs w:val="20"/>
              </w:rPr>
            </w:pPr>
          </w:p>
        </w:tc>
        <w:tc>
          <w:tcPr>
            <w:tcW w:w="1153" w:type="pct"/>
            <w:tcBorders>
              <w:top w:val="single" w:sz="4" w:space="0" w:color="auto"/>
              <w:left w:val="single" w:sz="4" w:space="0" w:color="auto"/>
              <w:bottom w:val="single" w:sz="4" w:space="0" w:color="auto"/>
              <w:right w:val="single" w:sz="4" w:space="0" w:color="auto"/>
            </w:tcBorders>
            <w:hideMark/>
          </w:tcPr>
          <w:p w14:paraId="255C2759" w14:textId="77777777" w:rsidR="005B5953" w:rsidRPr="00712F3C" w:rsidRDefault="005B5953" w:rsidP="00250DAC">
            <w:pPr>
              <w:spacing w:after="0" w:line="240" w:lineRule="auto"/>
              <w:rPr>
                <w:rFonts w:ascii="Times New Roman" w:hAnsi="Times New Roman"/>
                <w:b/>
                <w:bCs/>
                <w:sz w:val="20"/>
                <w:szCs w:val="20"/>
              </w:rPr>
            </w:pPr>
            <w:r w:rsidRPr="00712F3C">
              <w:rPr>
                <w:rFonts w:ascii="Times New Roman" w:hAnsi="Times New Roman"/>
                <w:b/>
                <w:bCs/>
                <w:sz w:val="20"/>
                <w:szCs w:val="20"/>
              </w:rPr>
              <w:t>Qualification</w:t>
            </w:r>
          </w:p>
        </w:tc>
        <w:tc>
          <w:tcPr>
            <w:tcW w:w="2087" w:type="pct"/>
            <w:tcBorders>
              <w:top w:val="single" w:sz="4" w:space="0" w:color="auto"/>
              <w:left w:val="single" w:sz="4" w:space="0" w:color="auto"/>
              <w:bottom w:val="single" w:sz="4" w:space="0" w:color="auto"/>
              <w:right w:val="single" w:sz="4" w:space="0" w:color="auto"/>
            </w:tcBorders>
            <w:shd w:val="clear" w:color="auto" w:fill="auto"/>
            <w:hideMark/>
          </w:tcPr>
          <w:p w14:paraId="5B5E4A16" w14:textId="77777777" w:rsidR="005B5953" w:rsidRPr="00712F3C" w:rsidRDefault="005B5953" w:rsidP="00250DAC">
            <w:pPr>
              <w:spacing w:after="0" w:line="240" w:lineRule="auto"/>
              <w:jc w:val="both"/>
              <w:rPr>
                <w:rFonts w:ascii="Times New Roman" w:hAnsi="Times New Roman"/>
                <w:sz w:val="20"/>
                <w:szCs w:val="20"/>
              </w:rPr>
            </w:pPr>
            <w:r>
              <w:rPr>
                <w:rFonts w:ascii="Times New Roman" w:eastAsia="Adobe Garamond Pro" w:hAnsi="Times New Roman"/>
                <w:iCs/>
                <w:sz w:val="20"/>
                <w:szCs w:val="20"/>
              </w:rPr>
              <w:t>Bachelors of Commerce</w:t>
            </w:r>
          </w:p>
        </w:tc>
      </w:tr>
      <w:tr w:rsidR="005B5953" w:rsidRPr="00712F3C" w14:paraId="677F1612" w14:textId="77777777" w:rsidTr="00250DAC">
        <w:trPr>
          <w:cantSplit/>
          <w:trHeight w:val="20"/>
        </w:trPr>
        <w:tc>
          <w:tcPr>
            <w:tcW w:w="1760" w:type="pct"/>
            <w:vMerge/>
            <w:tcBorders>
              <w:top w:val="single" w:sz="4" w:space="0" w:color="auto"/>
              <w:left w:val="single" w:sz="4" w:space="0" w:color="auto"/>
              <w:bottom w:val="single" w:sz="4" w:space="0" w:color="auto"/>
              <w:right w:val="single" w:sz="4" w:space="0" w:color="auto"/>
            </w:tcBorders>
            <w:vAlign w:val="center"/>
            <w:hideMark/>
          </w:tcPr>
          <w:p w14:paraId="67574F59" w14:textId="77777777" w:rsidR="005B5953" w:rsidRPr="00712F3C" w:rsidRDefault="005B5953" w:rsidP="00250DAC">
            <w:pPr>
              <w:spacing w:after="0" w:line="240" w:lineRule="auto"/>
              <w:rPr>
                <w:rFonts w:ascii="Times New Roman" w:hAnsi="Times New Roman"/>
                <w:sz w:val="20"/>
                <w:szCs w:val="20"/>
              </w:rPr>
            </w:pPr>
          </w:p>
        </w:tc>
        <w:tc>
          <w:tcPr>
            <w:tcW w:w="1153" w:type="pct"/>
            <w:tcBorders>
              <w:top w:val="single" w:sz="4" w:space="0" w:color="auto"/>
              <w:left w:val="single" w:sz="4" w:space="0" w:color="auto"/>
              <w:bottom w:val="single" w:sz="4" w:space="0" w:color="auto"/>
              <w:right w:val="single" w:sz="4" w:space="0" w:color="auto"/>
            </w:tcBorders>
            <w:hideMark/>
          </w:tcPr>
          <w:p w14:paraId="1B8BF53B" w14:textId="77777777" w:rsidR="005B5953" w:rsidRPr="00712F3C" w:rsidRDefault="005B5953" w:rsidP="00250DAC">
            <w:pPr>
              <w:spacing w:after="0" w:line="240" w:lineRule="auto"/>
              <w:rPr>
                <w:rFonts w:ascii="Times New Roman" w:hAnsi="Times New Roman"/>
                <w:b/>
                <w:bCs/>
                <w:sz w:val="20"/>
                <w:szCs w:val="20"/>
              </w:rPr>
            </w:pPr>
            <w:r w:rsidRPr="00712F3C">
              <w:rPr>
                <w:rFonts w:ascii="Times New Roman" w:hAnsi="Times New Roman"/>
                <w:b/>
                <w:bCs/>
                <w:sz w:val="20"/>
                <w:szCs w:val="20"/>
              </w:rPr>
              <w:t>Age</w:t>
            </w:r>
          </w:p>
        </w:tc>
        <w:tc>
          <w:tcPr>
            <w:tcW w:w="2087" w:type="pct"/>
            <w:tcBorders>
              <w:top w:val="single" w:sz="4" w:space="0" w:color="auto"/>
              <w:left w:val="single" w:sz="4" w:space="0" w:color="auto"/>
              <w:bottom w:val="single" w:sz="4" w:space="0" w:color="auto"/>
              <w:right w:val="single" w:sz="4" w:space="0" w:color="auto"/>
            </w:tcBorders>
            <w:hideMark/>
          </w:tcPr>
          <w:p w14:paraId="634BA17D" w14:textId="77777777" w:rsidR="005B5953" w:rsidRPr="00712F3C" w:rsidRDefault="005B5953" w:rsidP="00250DAC">
            <w:pPr>
              <w:spacing w:after="0" w:line="240" w:lineRule="auto"/>
              <w:jc w:val="both"/>
              <w:rPr>
                <w:rFonts w:ascii="Times New Roman" w:hAnsi="Times New Roman"/>
                <w:sz w:val="20"/>
                <w:szCs w:val="20"/>
              </w:rPr>
            </w:pPr>
            <w:r>
              <w:rPr>
                <w:rFonts w:ascii="Times New Roman" w:hAnsi="Times New Roman"/>
                <w:iCs/>
                <w:sz w:val="20"/>
                <w:szCs w:val="20"/>
              </w:rPr>
              <w:t>59</w:t>
            </w:r>
            <w:r w:rsidRPr="00712F3C">
              <w:rPr>
                <w:rFonts w:ascii="Times New Roman" w:hAnsi="Times New Roman"/>
                <w:iCs/>
                <w:sz w:val="20"/>
                <w:szCs w:val="20"/>
              </w:rPr>
              <w:t xml:space="preserve"> years</w:t>
            </w:r>
          </w:p>
        </w:tc>
      </w:tr>
      <w:tr w:rsidR="005B5953" w:rsidRPr="00712F3C" w14:paraId="7974DCC3" w14:textId="77777777" w:rsidTr="00250DAC">
        <w:trPr>
          <w:cantSplit/>
          <w:trHeight w:val="20"/>
        </w:trPr>
        <w:tc>
          <w:tcPr>
            <w:tcW w:w="1760" w:type="pct"/>
            <w:vMerge/>
            <w:tcBorders>
              <w:top w:val="single" w:sz="4" w:space="0" w:color="auto"/>
              <w:left w:val="single" w:sz="4" w:space="0" w:color="auto"/>
              <w:bottom w:val="single" w:sz="4" w:space="0" w:color="auto"/>
              <w:right w:val="single" w:sz="4" w:space="0" w:color="auto"/>
            </w:tcBorders>
            <w:vAlign w:val="center"/>
            <w:hideMark/>
          </w:tcPr>
          <w:p w14:paraId="117E8C54" w14:textId="77777777" w:rsidR="005B5953" w:rsidRPr="00712F3C" w:rsidRDefault="005B5953" w:rsidP="00250DAC">
            <w:pPr>
              <w:spacing w:after="0" w:line="240" w:lineRule="auto"/>
              <w:rPr>
                <w:rFonts w:ascii="Times New Roman" w:hAnsi="Times New Roman"/>
                <w:sz w:val="20"/>
                <w:szCs w:val="20"/>
              </w:rPr>
            </w:pPr>
          </w:p>
        </w:tc>
        <w:tc>
          <w:tcPr>
            <w:tcW w:w="1153" w:type="pct"/>
            <w:tcBorders>
              <w:top w:val="single" w:sz="4" w:space="0" w:color="auto"/>
              <w:left w:val="single" w:sz="4" w:space="0" w:color="auto"/>
              <w:bottom w:val="single" w:sz="4" w:space="0" w:color="auto"/>
              <w:right w:val="single" w:sz="4" w:space="0" w:color="auto"/>
            </w:tcBorders>
            <w:hideMark/>
          </w:tcPr>
          <w:p w14:paraId="3EDA398C" w14:textId="77777777" w:rsidR="005B5953" w:rsidRPr="00712F3C" w:rsidRDefault="005B5953" w:rsidP="00250DAC">
            <w:pPr>
              <w:spacing w:after="0" w:line="240" w:lineRule="auto"/>
              <w:rPr>
                <w:rFonts w:ascii="Times New Roman" w:hAnsi="Times New Roman"/>
                <w:b/>
                <w:bCs/>
                <w:sz w:val="20"/>
                <w:szCs w:val="20"/>
              </w:rPr>
            </w:pPr>
            <w:r w:rsidRPr="00712F3C">
              <w:rPr>
                <w:rFonts w:ascii="Times New Roman" w:hAnsi="Times New Roman"/>
                <w:b/>
                <w:bCs/>
                <w:sz w:val="20"/>
                <w:szCs w:val="20"/>
              </w:rPr>
              <w:t>Date of Birth</w:t>
            </w:r>
          </w:p>
        </w:tc>
        <w:tc>
          <w:tcPr>
            <w:tcW w:w="2087" w:type="pct"/>
            <w:tcBorders>
              <w:top w:val="single" w:sz="4" w:space="0" w:color="auto"/>
              <w:left w:val="single" w:sz="4" w:space="0" w:color="auto"/>
              <w:bottom w:val="single" w:sz="4" w:space="0" w:color="auto"/>
              <w:right w:val="single" w:sz="4" w:space="0" w:color="auto"/>
            </w:tcBorders>
            <w:hideMark/>
          </w:tcPr>
          <w:p w14:paraId="54DE9131" w14:textId="77777777" w:rsidR="005B5953" w:rsidRPr="00712F3C" w:rsidRDefault="005B5953" w:rsidP="00250DAC">
            <w:pPr>
              <w:spacing w:after="0" w:line="240" w:lineRule="auto"/>
              <w:jc w:val="both"/>
              <w:rPr>
                <w:rFonts w:ascii="Times New Roman" w:hAnsi="Times New Roman"/>
                <w:iCs/>
                <w:sz w:val="20"/>
                <w:szCs w:val="20"/>
              </w:rPr>
            </w:pPr>
            <w:r>
              <w:rPr>
                <w:rFonts w:ascii="Times New Roman" w:eastAsia="Calibri" w:hAnsi="Times New Roman"/>
                <w:sz w:val="20"/>
                <w:szCs w:val="20"/>
              </w:rPr>
              <w:t>January 07, 1964</w:t>
            </w:r>
          </w:p>
        </w:tc>
      </w:tr>
      <w:tr w:rsidR="005B5953" w:rsidRPr="00712F3C" w14:paraId="1D637042" w14:textId="77777777" w:rsidTr="00250DAC">
        <w:trPr>
          <w:cantSplit/>
          <w:trHeight w:val="20"/>
        </w:trPr>
        <w:tc>
          <w:tcPr>
            <w:tcW w:w="1760" w:type="pct"/>
            <w:vMerge/>
            <w:tcBorders>
              <w:top w:val="single" w:sz="4" w:space="0" w:color="auto"/>
              <w:left w:val="single" w:sz="4" w:space="0" w:color="auto"/>
              <w:bottom w:val="single" w:sz="4" w:space="0" w:color="auto"/>
              <w:right w:val="single" w:sz="4" w:space="0" w:color="auto"/>
            </w:tcBorders>
            <w:vAlign w:val="center"/>
            <w:hideMark/>
          </w:tcPr>
          <w:p w14:paraId="13462E7C" w14:textId="77777777" w:rsidR="005B5953" w:rsidRPr="00712F3C" w:rsidRDefault="005B5953" w:rsidP="00250DAC">
            <w:pPr>
              <w:spacing w:after="0" w:line="240" w:lineRule="auto"/>
              <w:rPr>
                <w:rFonts w:ascii="Times New Roman" w:hAnsi="Times New Roman"/>
                <w:sz w:val="20"/>
                <w:szCs w:val="20"/>
              </w:rPr>
            </w:pPr>
          </w:p>
        </w:tc>
        <w:tc>
          <w:tcPr>
            <w:tcW w:w="1153" w:type="pct"/>
            <w:tcBorders>
              <w:top w:val="single" w:sz="4" w:space="0" w:color="auto"/>
              <w:left w:val="single" w:sz="4" w:space="0" w:color="auto"/>
              <w:bottom w:val="single" w:sz="4" w:space="0" w:color="auto"/>
              <w:right w:val="single" w:sz="4" w:space="0" w:color="auto"/>
            </w:tcBorders>
            <w:hideMark/>
          </w:tcPr>
          <w:p w14:paraId="06721874" w14:textId="77777777" w:rsidR="005B5953" w:rsidRPr="00712F3C" w:rsidRDefault="005B5953" w:rsidP="00250DAC">
            <w:pPr>
              <w:spacing w:after="0" w:line="240" w:lineRule="auto"/>
              <w:rPr>
                <w:rFonts w:ascii="Times New Roman" w:hAnsi="Times New Roman"/>
                <w:b/>
                <w:bCs/>
                <w:sz w:val="20"/>
                <w:szCs w:val="20"/>
              </w:rPr>
            </w:pPr>
            <w:r w:rsidRPr="00712F3C">
              <w:rPr>
                <w:rFonts w:ascii="Times New Roman" w:hAnsi="Times New Roman"/>
                <w:b/>
                <w:bCs/>
                <w:sz w:val="20"/>
                <w:szCs w:val="20"/>
              </w:rPr>
              <w:t>Address</w:t>
            </w:r>
          </w:p>
        </w:tc>
        <w:tc>
          <w:tcPr>
            <w:tcW w:w="2087" w:type="pct"/>
            <w:tcBorders>
              <w:top w:val="single" w:sz="4" w:space="0" w:color="auto"/>
              <w:left w:val="single" w:sz="4" w:space="0" w:color="auto"/>
              <w:bottom w:val="single" w:sz="4" w:space="0" w:color="auto"/>
              <w:right w:val="single" w:sz="4" w:space="0" w:color="auto"/>
            </w:tcBorders>
            <w:vAlign w:val="center"/>
            <w:hideMark/>
          </w:tcPr>
          <w:p w14:paraId="6220BF9A" w14:textId="77777777" w:rsidR="005B5953" w:rsidRPr="00712F3C" w:rsidRDefault="005B5953" w:rsidP="00250DAC">
            <w:pPr>
              <w:spacing w:after="0" w:line="240" w:lineRule="auto"/>
              <w:jc w:val="both"/>
              <w:rPr>
                <w:rFonts w:ascii="Times New Roman" w:eastAsia="MS Mincho" w:hAnsi="Times New Roman"/>
                <w:sz w:val="20"/>
                <w:szCs w:val="20"/>
                <w:lang w:val="en-GB"/>
              </w:rPr>
            </w:pPr>
            <w:r>
              <w:rPr>
                <w:rFonts w:ascii="Times New Roman" w:eastAsia="Calibri" w:hAnsi="Times New Roman"/>
                <w:sz w:val="20"/>
                <w:szCs w:val="20"/>
              </w:rPr>
              <w:t xml:space="preserve">Kanchan Palace, </w:t>
            </w:r>
            <w:r w:rsidRPr="00E075A6">
              <w:rPr>
                <w:rFonts w:ascii="Times New Roman" w:eastAsia="Calibri" w:hAnsi="Times New Roman"/>
                <w:sz w:val="20"/>
                <w:szCs w:val="20"/>
              </w:rPr>
              <w:t>2</w:t>
            </w:r>
            <w:r>
              <w:rPr>
                <w:rFonts w:ascii="Times New Roman" w:eastAsia="Calibri" w:hAnsi="Times New Roman"/>
                <w:sz w:val="20"/>
                <w:szCs w:val="20"/>
              </w:rPr>
              <w:t>,</w:t>
            </w:r>
            <w:r w:rsidRPr="00E075A6">
              <w:rPr>
                <w:rFonts w:ascii="Times New Roman" w:eastAsia="Calibri" w:hAnsi="Times New Roman"/>
                <w:sz w:val="20"/>
                <w:szCs w:val="20"/>
              </w:rPr>
              <w:t xml:space="preserve"> Oswal Colon</w:t>
            </w:r>
            <w:r>
              <w:rPr>
                <w:rFonts w:ascii="Times New Roman" w:eastAsia="Calibri" w:hAnsi="Times New Roman"/>
                <w:sz w:val="20"/>
                <w:szCs w:val="20"/>
              </w:rPr>
              <w:t>y, Jamnagar-</w:t>
            </w:r>
            <w:r w:rsidRPr="00E075A6">
              <w:rPr>
                <w:rFonts w:ascii="Times New Roman" w:eastAsia="Calibri" w:hAnsi="Times New Roman"/>
                <w:sz w:val="20"/>
                <w:szCs w:val="20"/>
              </w:rPr>
              <w:t xml:space="preserve">361005, Gujarat, </w:t>
            </w:r>
            <w:r w:rsidRPr="00712F3C">
              <w:rPr>
                <w:rFonts w:ascii="Times New Roman" w:eastAsia="Calibri" w:hAnsi="Times New Roman"/>
                <w:sz w:val="20"/>
                <w:szCs w:val="20"/>
              </w:rPr>
              <w:t>India</w:t>
            </w:r>
          </w:p>
        </w:tc>
      </w:tr>
      <w:tr w:rsidR="005B5953" w:rsidRPr="00712F3C" w14:paraId="496B78C6" w14:textId="77777777" w:rsidTr="00250DAC">
        <w:trPr>
          <w:cantSplit/>
          <w:trHeight w:val="20"/>
        </w:trPr>
        <w:tc>
          <w:tcPr>
            <w:tcW w:w="1760" w:type="pct"/>
            <w:vMerge/>
            <w:tcBorders>
              <w:top w:val="single" w:sz="4" w:space="0" w:color="auto"/>
              <w:left w:val="single" w:sz="4" w:space="0" w:color="auto"/>
              <w:bottom w:val="single" w:sz="4" w:space="0" w:color="auto"/>
              <w:right w:val="single" w:sz="4" w:space="0" w:color="auto"/>
            </w:tcBorders>
            <w:vAlign w:val="center"/>
            <w:hideMark/>
          </w:tcPr>
          <w:p w14:paraId="0AD64A61" w14:textId="77777777" w:rsidR="005B5953" w:rsidRPr="00712F3C" w:rsidRDefault="005B5953" w:rsidP="00250DAC">
            <w:pPr>
              <w:spacing w:after="0" w:line="240" w:lineRule="auto"/>
              <w:rPr>
                <w:rFonts w:ascii="Times New Roman" w:hAnsi="Times New Roman"/>
                <w:sz w:val="20"/>
                <w:szCs w:val="20"/>
              </w:rPr>
            </w:pPr>
          </w:p>
        </w:tc>
        <w:tc>
          <w:tcPr>
            <w:tcW w:w="1153" w:type="pct"/>
            <w:tcBorders>
              <w:top w:val="single" w:sz="4" w:space="0" w:color="auto"/>
              <w:left w:val="single" w:sz="4" w:space="0" w:color="auto"/>
              <w:bottom w:val="single" w:sz="4" w:space="0" w:color="auto"/>
              <w:right w:val="single" w:sz="4" w:space="0" w:color="auto"/>
            </w:tcBorders>
            <w:hideMark/>
          </w:tcPr>
          <w:p w14:paraId="59F019C4" w14:textId="77777777" w:rsidR="005B5953" w:rsidRPr="00712F3C" w:rsidRDefault="005B5953" w:rsidP="00250DAC">
            <w:pPr>
              <w:spacing w:after="0" w:line="240" w:lineRule="auto"/>
              <w:rPr>
                <w:rFonts w:ascii="Times New Roman" w:hAnsi="Times New Roman"/>
                <w:b/>
                <w:bCs/>
                <w:sz w:val="20"/>
                <w:szCs w:val="20"/>
              </w:rPr>
            </w:pPr>
            <w:r w:rsidRPr="00712F3C">
              <w:rPr>
                <w:rFonts w:ascii="Times New Roman" w:hAnsi="Times New Roman"/>
                <w:b/>
                <w:bCs/>
                <w:sz w:val="20"/>
                <w:szCs w:val="20"/>
              </w:rPr>
              <w:t>Experience</w:t>
            </w:r>
          </w:p>
        </w:tc>
        <w:tc>
          <w:tcPr>
            <w:tcW w:w="2087" w:type="pct"/>
            <w:tcBorders>
              <w:top w:val="single" w:sz="4" w:space="0" w:color="auto"/>
              <w:left w:val="single" w:sz="4" w:space="0" w:color="auto"/>
              <w:bottom w:val="single" w:sz="4" w:space="0" w:color="auto"/>
              <w:right w:val="single" w:sz="4" w:space="0" w:color="auto"/>
            </w:tcBorders>
          </w:tcPr>
          <w:p w14:paraId="6B196CAF" w14:textId="694B92B8" w:rsidR="005B5953" w:rsidRPr="00712F3C" w:rsidRDefault="001B70BE" w:rsidP="00250DAC">
            <w:pPr>
              <w:spacing w:after="0" w:line="240" w:lineRule="auto"/>
              <w:jc w:val="both"/>
              <w:rPr>
                <w:rFonts w:ascii="Times New Roman" w:hAnsi="Times New Roman"/>
                <w:sz w:val="20"/>
                <w:szCs w:val="20"/>
              </w:rPr>
            </w:pPr>
            <w:r w:rsidRPr="001B70BE">
              <w:rPr>
                <w:rFonts w:ascii="Times New Roman" w:hAnsi="Times New Roman"/>
                <w:sz w:val="20"/>
                <w:szCs w:val="20"/>
              </w:rPr>
              <w:t>34 years</w:t>
            </w:r>
          </w:p>
        </w:tc>
      </w:tr>
      <w:tr w:rsidR="005B5953" w:rsidRPr="00712F3C" w14:paraId="1E407E21" w14:textId="77777777" w:rsidTr="00250DAC">
        <w:trPr>
          <w:cantSplit/>
          <w:trHeight w:val="20"/>
        </w:trPr>
        <w:tc>
          <w:tcPr>
            <w:tcW w:w="1760" w:type="pct"/>
            <w:vMerge/>
            <w:tcBorders>
              <w:top w:val="single" w:sz="4" w:space="0" w:color="auto"/>
              <w:left w:val="single" w:sz="4" w:space="0" w:color="auto"/>
              <w:bottom w:val="single" w:sz="4" w:space="0" w:color="auto"/>
              <w:right w:val="single" w:sz="4" w:space="0" w:color="auto"/>
            </w:tcBorders>
            <w:vAlign w:val="center"/>
            <w:hideMark/>
          </w:tcPr>
          <w:p w14:paraId="3B051FDE" w14:textId="77777777" w:rsidR="005B5953" w:rsidRPr="00712F3C" w:rsidRDefault="005B5953" w:rsidP="00250DAC">
            <w:pPr>
              <w:spacing w:after="0" w:line="240" w:lineRule="auto"/>
              <w:rPr>
                <w:rFonts w:ascii="Times New Roman" w:hAnsi="Times New Roman"/>
                <w:sz w:val="20"/>
                <w:szCs w:val="20"/>
              </w:rPr>
            </w:pPr>
          </w:p>
        </w:tc>
        <w:tc>
          <w:tcPr>
            <w:tcW w:w="1153" w:type="pct"/>
            <w:tcBorders>
              <w:top w:val="single" w:sz="4" w:space="0" w:color="auto"/>
              <w:left w:val="single" w:sz="4" w:space="0" w:color="auto"/>
              <w:bottom w:val="single" w:sz="4" w:space="0" w:color="auto"/>
              <w:right w:val="single" w:sz="4" w:space="0" w:color="auto"/>
            </w:tcBorders>
            <w:hideMark/>
          </w:tcPr>
          <w:p w14:paraId="4EA45C9E" w14:textId="77777777" w:rsidR="005B5953" w:rsidRPr="00712F3C" w:rsidRDefault="005B5953" w:rsidP="00250DAC">
            <w:pPr>
              <w:spacing w:after="0" w:line="240" w:lineRule="auto"/>
              <w:rPr>
                <w:rFonts w:ascii="Times New Roman" w:hAnsi="Times New Roman"/>
                <w:b/>
                <w:bCs/>
                <w:sz w:val="20"/>
                <w:szCs w:val="20"/>
              </w:rPr>
            </w:pPr>
            <w:r w:rsidRPr="00712F3C">
              <w:rPr>
                <w:rFonts w:ascii="Times New Roman" w:hAnsi="Times New Roman"/>
                <w:b/>
                <w:bCs/>
                <w:sz w:val="20"/>
                <w:szCs w:val="20"/>
              </w:rPr>
              <w:t>Occupation</w:t>
            </w:r>
          </w:p>
        </w:tc>
        <w:tc>
          <w:tcPr>
            <w:tcW w:w="2087" w:type="pct"/>
            <w:tcBorders>
              <w:top w:val="single" w:sz="4" w:space="0" w:color="auto"/>
              <w:left w:val="single" w:sz="4" w:space="0" w:color="auto"/>
              <w:bottom w:val="single" w:sz="4" w:space="0" w:color="auto"/>
              <w:right w:val="single" w:sz="4" w:space="0" w:color="auto"/>
            </w:tcBorders>
          </w:tcPr>
          <w:p w14:paraId="1281F27E" w14:textId="77777777" w:rsidR="005B5953" w:rsidRPr="00712F3C" w:rsidRDefault="005B5953" w:rsidP="00250DAC">
            <w:pPr>
              <w:spacing w:after="0" w:line="240" w:lineRule="auto"/>
              <w:jc w:val="both"/>
              <w:rPr>
                <w:rFonts w:ascii="Times New Roman" w:hAnsi="Times New Roman"/>
                <w:sz w:val="20"/>
                <w:szCs w:val="20"/>
              </w:rPr>
            </w:pPr>
            <w:r w:rsidRPr="00712F3C">
              <w:rPr>
                <w:rFonts w:ascii="Times New Roman" w:hAnsi="Times New Roman"/>
                <w:sz w:val="20"/>
                <w:szCs w:val="20"/>
              </w:rPr>
              <w:t>Business</w:t>
            </w:r>
          </w:p>
        </w:tc>
      </w:tr>
      <w:tr w:rsidR="005B5953" w:rsidRPr="00712F3C" w14:paraId="6AC2537C" w14:textId="77777777" w:rsidTr="00250DAC">
        <w:trPr>
          <w:cantSplit/>
          <w:trHeight w:val="20"/>
        </w:trPr>
        <w:tc>
          <w:tcPr>
            <w:tcW w:w="1760" w:type="pct"/>
            <w:vMerge/>
            <w:tcBorders>
              <w:top w:val="single" w:sz="4" w:space="0" w:color="auto"/>
              <w:left w:val="single" w:sz="4" w:space="0" w:color="auto"/>
              <w:bottom w:val="single" w:sz="4" w:space="0" w:color="auto"/>
              <w:right w:val="single" w:sz="4" w:space="0" w:color="auto"/>
            </w:tcBorders>
            <w:vAlign w:val="center"/>
            <w:hideMark/>
          </w:tcPr>
          <w:p w14:paraId="2B336DDD" w14:textId="77777777" w:rsidR="005B5953" w:rsidRPr="00712F3C" w:rsidRDefault="005B5953" w:rsidP="00250DAC">
            <w:pPr>
              <w:spacing w:after="0" w:line="240" w:lineRule="auto"/>
              <w:rPr>
                <w:rFonts w:ascii="Times New Roman" w:hAnsi="Times New Roman"/>
                <w:sz w:val="20"/>
                <w:szCs w:val="20"/>
              </w:rPr>
            </w:pPr>
          </w:p>
        </w:tc>
        <w:tc>
          <w:tcPr>
            <w:tcW w:w="1153" w:type="pct"/>
            <w:tcBorders>
              <w:top w:val="single" w:sz="4" w:space="0" w:color="auto"/>
              <w:left w:val="single" w:sz="4" w:space="0" w:color="auto"/>
              <w:bottom w:val="single" w:sz="4" w:space="0" w:color="auto"/>
              <w:right w:val="single" w:sz="4" w:space="0" w:color="auto"/>
            </w:tcBorders>
            <w:hideMark/>
          </w:tcPr>
          <w:p w14:paraId="6F0A81C3" w14:textId="77777777" w:rsidR="005B5953" w:rsidRPr="00712F3C" w:rsidRDefault="005B5953" w:rsidP="00250DAC">
            <w:pPr>
              <w:spacing w:after="0" w:line="240" w:lineRule="auto"/>
              <w:rPr>
                <w:rFonts w:ascii="Times New Roman" w:hAnsi="Times New Roman"/>
                <w:b/>
                <w:bCs/>
                <w:sz w:val="20"/>
                <w:szCs w:val="20"/>
              </w:rPr>
            </w:pPr>
            <w:r w:rsidRPr="00712F3C">
              <w:rPr>
                <w:rFonts w:ascii="Times New Roman" w:hAnsi="Times New Roman"/>
                <w:b/>
                <w:bCs/>
                <w:sz w:val="20"/>
                <w:szCs w:val="20"/>
              </w:rPr>
              <w:t>PAN</w:t>
            </w:r>
          </w:p>
        </w:tc>
        <w:tc>
          <w:tcPr>
            <w:tcW w:w="2087" w:type="pct"/>
            <w:tcBorders>
              <w:top w:val="single" w:sz="4" w:space="0" w:color="auto"/>
              <w:left w:val="single" w:sz="4" w:space="0" w:color="auto"/>
              <w:bottom w:val="single" w:sz="4" w:space="0" w:color="auto"/>
              <w:right w:val="single" w:sz="4" w:space="0" w:color="auto"/>
            </w:tcBorders>
            <w:hideMark/>
          </w:tcPr>
          <w:p w14:paraId="012104D0" w14:textId="77777777" w:rsidR="005B5953" w:rsidRPr="00712F3C" w:rsidRDefault="005B5953" w:rsidP="00250DAC">
            <w:pPr>
              <w:spacing w:after="0" w:line="240" w:lineRule="auto"/>
              <w:jc w:val="both"/>
              <w:rPr>
                <w:rFonts w:ascii="Times New Roman" w:hAnsi="Times New Roman"/>
                <w:bCs/>
                <w:sz w:val="20"/>
                <w:szCs w:val="20"/>
              </w:rPr>
            </w:pPr>
            <w:r>
              <w:rPr>
                <w:rFonts w:ascii="Times New Roman" w:hAnsi="Times New Roman"/>
                <w:bCs/>
                <w:sz w:val="20"/>
                <w:szCs w:val="20"/>
              </w:rPr>
              <w:t>ABIPM7169H</w:t>
            </w:r>
          </w:p>
        </w:tc>
      </w:tr>
      <w:tr w:rsidR="005B5953" w:rsidRPr="00712F3C" w14:paraId="5E7D7559" w14:textId="77777777" w:rsidTr="00250DAC">
        <w:trPr>
          <w:cantSplit/>
          <w:trHeight w:val="20"/>
        </w:trPr>
        <w:tc>
          <w:tcPr>
            <w:tcW w:w="1760" w:type="pct"/>
            <w:vMerge/>
            <w:tcBorders>
              <w:top w:val="single" w:sz="4" w:space="0" w:color="auto"/>
              <w:left w:val="single" w:sz="4" w:space="0" w:color="auto"/>
              <w:bottom w:val="single" w:sz="4" w:space="0" w:color="auto"/>
              <w:right w:val="single" w:sz="4" w:space="0" w:color="auto"/>
            </w:tcBorders>
            <w:vAlign w:val="center"/>
            <w:hideMark/>
          </w:tcPr>
          <w:p w14:paraId="3C09B788" w14:textId="77777777" w:rsidR="005B5953" w:rsidRPr="00712F3C" w:rsidRDefault="005B5953" w:rsidP="00250DAC">
            <w:pPr>
              <w:spacing w:after="0" w:line="240" w:lineRule="auto"/>
              <w:rPr>
                <w:rFonts w:ascii="Times New Roman" w:hAnsi="Times New Roman"/>
                <w:sz w:val="20"/>
                <w:szCs w:val="20"/>
              </w:rPr>
            </w:pPr>
          </w:p>
        </w:tc>
        <w:tc>
          <w:tcPr>
            <w:tcW w:w="1153" w:type="pct"/>
            <w:tcBorders>
              <w:top w:val="single" w:sz="4" w:space="0" w:color="auto"/>
              <w:left w:val="single" w:sz="4" w:space="0" w:color="auto"/>
              <w:bottom w:val="single" w:sz="4" w:space="0" w:color="auto"/>
              <w:right w:val="single" w:sz="4" w:space="0" w:color="auto"/>
            </w:tcBorders>
            <w:hideMark/>
          </w:tcPr>
          <w:p w14:paraId="5BD2A888" w14:textId="77777777" w:rsidR="005B5953" w:rsidRPr="00712F3C" w:rsidRDefault="005B5953" w:rsidP="00250DAC">
            <w:pPr>
              <w:spacing w:after="0" w:line="240" w:lineRule="auto"/>
              <w:jc w:val="both"/>
              <w:rPr>
                <w:rFonts w:ascii="Times New Roman" w:hAnsi="Times New Roman"/>
                <w:b/>
                <w:bCs/>
                <w:sz w:val="20"/>
                <w:szCs w:val="20"/>
              </w:rPr>
            </w:pPr>
            <w:r w:rsidRPr="00712F3C">
              <w:rPr>
                <w:rFonts w:ascii="Times New Roman" w:eastAsia="MS Mincho" w:hAnsi="Times New Roman"/>
                <w:b/>
                <w:bCs/>
                <w:sz w:val="20"/>
                <w:szCs w:val="20"/>
              </w:rPr>
              <w:t>No. of Equity Shares &amp;% of Shareholding (Pre</w:t>
            </w:r>
            <w:r>
              <w:rPr>
                <w:rFonts w:ascii="Times New Roman" w:eastAsia="MS Mincho" w:hAnsi="Times New Roman"/>
                <w:b/>
                <w:bCs/>
                <w:sz w:val="20"/>
                <w:szCs w:val="20"/>
              </w:rPr>
              <w:t>-</w:t>
            </w:r>
            <w:r w:rsidRPr="00712F3C">
              <w:rPr>
                <w:rFonts w:ascii="Times New Roman" w:eastAsia="MS Mincho" w:hAnsi="Times New Roman"/>
                <w:b/>
                <w:bCs/>
                <w:sz w:val="20"/>
                <w:szCs w:val="20"/>
              </w:rPr>
              <w:t>Issu</w:t>
            </w:r>
            <w:r>
              <w:rPr>
                <w:rFonts w:ascii="Times New Roman" w:eastAsia="MS Mincho" w:hAnsi="Times New Roman"/>
                <w:b/>
                <w:bCs/>
                <w:sz w:val="20"/>
                <w:szCs w:val="20"/>
              </w:rPr>
              <w:t>e</w:t>
            </w:r>
            <w:r w:rsidRPr="00712F3C">
              <w:rPr>
                <w:rFonts w:ascii="Times New Roman" w:eastAsia="MS Mincho" w:hAnsi="Times New Roman"/>
                <w:b/>
                <w:bCs/>
                <w:sz w:val="20"/>
                <w:szCs w:val="20"/>
              </w:rPr>
              <w:t>)</w:t>
            </w:r>
          </w:p>
        </w:tc>
        <w:tc>
          <w:tcPr>
            <w:tcW w:w="2087" w:type="pct"/>
            <w:tcBorders>
              <w:top w:val="single" w:sz="4" w:space="0" w:color="auto"/>
              <w:left w:val="single" w:sz="4" w:space="0" w:color="auto"/>
              <w:bottom w:val="single" w:sz="4" w:space="0" w:color="auto"/>
              <w:right w:val="single" w:sz="4" w:space="0" w:color="auto"/>
            </w:tcBorders>
            <w:hideMark/>
          </w:tcPr>
          <w:p w14:paraId="3B98583A" w14:textId="77777777" w:rsidR="005B5953" w:rsidRPr="00712F3C" w:rsidRDefault="005B5953" w:rsidP="00250DAC">
            <w:pPr>
              <w:spacing w:after="0" w:line="240" w:lineRule="auto"/>
              <w:jc w:val="both"/>
              <w:rPr>
                <w:rFonts w:ascii="Times New Roman" w:hAnsi="Times New Roman"/>
                <w:sz w:val="20"/>
                <w:szCs w:val="20"/>
              </w:rPr>
            </w:pPr>
            <w:r>
              <w:rPr>
                <w:rFonts w:ascii="Times New Roman" w:hAnsi="Times New Roman"/>
                <w:sz w:val="20"/>
                <w:szCs w:val="20"/>
              </w:rPr>
              <w:t>4,50</w:t>
            </w:r>
            <w:r w:rsidRPr="00712F3C">
              <w:rPr>
                <w:rFonts w:ascii="Times New Roman" w:hAnsi="Times New Roman"/>
                <w:sz w:val="20"/>
                <w:szCs w:val="20"/>
              </w:rPr>
              <w:t xml:space="preserve">,000 Equity Shares aggregating to </w:t>
            </w:r>
            <w:r>
              <w:rPr>
                <w:rFonts w:ascii="Times New Roman" w:hAnsi="Times New Roman"/>
                <w:sz w:val="20"/>
                <w:szCs w:val="20"/>
              </w:rPr>
              <w:t>3.26</w:t>
            </w:r>
            <w:r w:rsidRPr="00712F3C">
              <w:rPr>
                <w:rFonts w:ascii="Times New Roman" w:hAnsi="Times New Roman"/>
                <w:sz w:val="20"/>
                <w:szCs w:val="20"/>
              </w:rPr>
              <w:t>% of Pre</w:t>
            </w:r>
            <w:r>
              <w:rPr>
                <w:rFonts w:ascii="Times New Roman" w:hAnsi="Times New Roman"/>
                <w:sz w:val="20"/>
                <w:szCs w:val="20"/>
              </w:rPr>
              <w:t>-</w:t>
            </w:r>
            <w:r w:rsidRPr="00712F3C">
              <w:rPr>
                <w:rFonts w:ascii="Times New Roman" w:hAnsi="Times New Roman"/>
                <w:sz w:val="20"/>
                <w:szCs w:val="20"/>
              </w:rPr>
              <w:t>Issue Paid up Share Capital</w:t>
            </w:r>
          </w:p>
        </w:tc>
      </w:tr>
      <w:tr w:rsidR="005B5953" w:rsidRPr="00712F3C" w14:paraId="1A6AD631" w14:textId="77777777" w:rsidTr="00250DAC">
        <w:trPr>
          <w:cantSplit/>
          <w:trHeight w:val="20"/>
        </w:trPr>
        <w:tc>
          <w:tcPr>
            <w:tcW w:w="1760" w:type="pct"/>
            <w:vMerge/>
            <w:tcBorders>
              <w:top w:val="single" w:sz="4" w:space="0" w:color="auto"/>
              <w:left w:val="single" w:sz="4" w:space="0" w:color="auto"/>
              <w:bottom w:val="single" w:sz="4" w:space="0" w:color="auto"/>
              <w:right w:val="single" w:sz="4" w:space="0" w:color="auto"/>
            </w:tcBorders>
            <w:vAlign w:val="center"/>
            <w:hideMark/>
          </w:tcPr>
          <w:p w14:paraId="0E0BADBA" w14:textId="77777777" w:rsidR="005B5953" w:rsidRPr="00712F3C" w:rsidRDefault="005B5953" w:rsidP="00250DAC">
            <w:pPr>
              <w:spacing w:after="0" w:line="240" w:lineRule="auto"/>
              <w:rPr>
                <w:rFonts w:ascii="Times New Roman" w:hAnsi="Times New Roman"/>
                <w:sz w:val="20"/>
                <w:szCs w:val="20"/>
              </w:rPr>
            </w:pPr>
          </w:p>
        </w:tc>
        <w:tc>
          <w:tcPr>
            <w:tcW w:w="1153" w:type="pct"/>
            <w:tcBorders>
              <w:top w:val="single" w:sz="4" w:space="0" w:color="auto"/>
              <w:left w:val="single" w:sz="4" w:space="0" w:color="auto"/>
              <w:bottom w:val="single" w:sz="4" w:space="0" w:color="auto"/>
              <w:right w:val="single" w:sz="4" w:space="0" w:color="auto"/>
            </w:tcBorders>
            <w:hideMark/>
          </w:tcPr>
          <w:p w14:paraId="71147C9A" w14:textId="77777777" w:rsidR="005B5953" w:rsidRPr="00712F3C" w:rsidRDefault="005B5953" w:rsidP="00250DAC">
            <w:pPr>
              <w:spacing w:after="0" w:line="240" w:lineRule="auto"/>
              <w:rPr>
                <w:rFonts w:ascii="Times New Roman" w:hAnsi="Times New Roman"/>
                <w:b/>
                <w:bCs/>
                <w:sz w:val="20"/>
                <w:szCs w:val="20"/>
              </w:rPr>
            </w:pPr>
            <w:r w:rsidRPr="00712F3C">
              <w:rPr>
                <w:rFonts w:ascii="Times New Roman" w:hAnsi="Times New Roman"/>
                <w:b/>
                <w:bCs/>
                <w:sz w:val="20"/>
                <w:szCs w:val="20"/>
              </w:rPr>
              <w:t>Other Ventures</w:t>
            </w:r>
          </w:p>
        </w:tc>
        <w:tc>
          <w:tcPr>
            <w:tcW w:w="2087" w:type="pct"/>
            <w:tcBorders>
              <w:top w:val="single" w:sz="4" w:space="0" w:color="auto"/>
              <w:left w:val="single" w:sz="4" w:space="0" w:color="auto"/>
              <w:bottom w:val="single" w:sz="4" w:space="0" w:color="auto"/>
              <w:right w:val="single" w:sz="4" w:space="0" w:color="auto"/>
            </w:tcBorders>
          </w:tcPr>
          <w:p w14:paraId="39FD1D73" w14:textId="77777777" w:rsidR="005B5953" w:rsidRPr="00712F3C" w:rsidRDefault="005B5953" w:rsidP="00250DAC">
            <w:pPr>
              <w:suppressAutoHyphens/>
              <w:autoSpaceDE w:val="0"/>
              <w:autoSpaceDN w:val="0"/>
              <w:adjustRightInd w:val="0"/>
              <w:spacing w:after="0" w:line="240" w:lineRule="auto"/>
              <w:jc w:val="both"/>
              <w:textAlignment w:val="center"/>
              <w:rPr>
                <w:rFonts w:ascii="Times New Roman" w:hAnsi="Times New Roman"/>
                <w:b/>
                <w:color w:val="000000"/>
                <w:sz w:val="20"/>
                <w:szCs w:val="20"/>
              </w:rPr>
            </w:pPr>
            <w:r w:rsidRPr="00712F3C">
              <w:rPr>
                <w:rFonts w:ascii="Times New Roman" w:hAnsi="Times New Roman"/>
                <w:b/>
                <w:color w:val="000000"/>
                <w:sz w:val="20"/>
                <w:szCs w:val="20"/>
              </w:rPr>
              <w:t xml:space="preserve">Directorships in other Companies: </w:t>
            </w:r>
          </w:p>
          <w:p w14:paraId="3E5FA835" w14:textId="77777777" w:rsidR="005B5953" w:rsidRDefault="005B5953">
            <w:pPr>
              <w:pStyle w:val="ListParagraph"/>
              <w:numPr>
                <w:ilvl w:val="0"/>
                <w:numId w:val="190"/>
              </w:numPr>
              <w:spacing w:line="240" w:lineRule="auto"/>
              <w:ind w:left="364"/>
              <w:jc w:val="both"/>
              <w:rPr>
                <w:rFonts w:eastAsia="MS Mincho"/>
                <w:sz w:val="20"/>
                <w:szCs w:val="20"/>
                <w:lang w:val="en-GB"/>
              </w:rPr>
            </w:pPr>
            <w:r>
              <w:rPr>
                <w:sz w:val="20"/>
                <w:szCs w:val="20"/>
              </w:rPr>
              <w:t xml:space="preserve">Dwarkadhish Venture Private Limited </w:t>
            </w:r>
            <w:r w:rsidRPr="00792E9D">
              <w:rPr>
                <w:i/>
                <w:iCs/>
                <w:sz w:val="20"/>
                <w:szCs w:val="20"/>
              </w:rPr>
              <w:t>(formerly known as Siyaram Metals Private Limited)</w:t>
            </w:r>
          </w:p>
          <w:p w14:paraId="76C4D483" w14:textId="77777777" w:rsidR="005B5953" w:rsidRDefault="005B5953">
            <w:pPr>
              <w:pStyle w:val="ListParagraph"/>
              <w:numPr>
                <w:ilvl w:val="0"/>
                <w:numId w:val="190"/>
              </w:numPr>
              <w:spacing w:line="240" w:lineRule="auto"/>
              <w:ind w:left="364"/>
              <w:jc w:val="both"/>
              <w:rPr>
                <w:rFonts w:eastAsia="MS Mincho"/>
                <w:sz w:val="20"/>
                <w:szCs w:val="20"/>
                <w:lang w:val="en-GB"/>
              </w:rPr>
            </w:pPr>
            <w:r w:rsidRPr="00957C3F">
              <w:rPr>
                <w:rFonts w:eastAsia="MS Mincho"/>
                <w:sz w:val="20"/>
                <w:szCs w:val="20"/>
                <w:lang w:val="en-GB"/>
              </w:rPr>
              <w:t>Prakash Impexp Private Limited</w:t>
            </w:r>
          </w:p>
          <w:p w14:paraId="7819AEEE" w14:textId="77777777" w:rsidR="005B5953" w:rsidRPr="00712F3C" w:rsidRDefault="005B5953" w:rsidP="00250DAC">
            <w:pPr>
              <w:pStyle w:val="ListParagraph"/>
              <w:spacing w:line="240" w:lineRule="auto"/>
              <w:ind w:left="225"/>
              <w:jc w:val="both"/>
              <w:rPr>
                <w:sz w:val="20"/>
                <w:szCs w:val="20"/>
              </w:rPr>
            </w:pPr>
          </w:p>
          <w:p w14:paraId="0C58DEB8" w14:textId="77777777" w:rsidR="005B5953" w:rsidRPr="00712F3C" w:rsidRDefault="005B5953" w:rsidP="00250DAC">
            <w:pPr>
              <w:suppressAutoHyphens/>
              <w:autoSpaceDE w:val="0"/>
              <w:autoSpaceDN w:val="0"/>
              <w:adjustRightInd w:val="0"/>
              <w:spacing w:after="0" w:line="240" w:lineRule="auto"/>
              <w:jc w:val="both"/>
              <w:textAlignment w:val="center"/>
              <w:rPr>
                <w:rFonts w:ascii="Times New Roman" w:hAnsi="Times New Roman"/>
                <w:b/>
                <w:color w:val="000000"/>
                <w:sz w:val="20"/>
                <w:szCs w:val="20"/>
              </w:rPr>
            </w:pPr>
            <w:r w:rsidRPr="00712F3C">
              <w:rPr>
                <w:rFonts w:ascii="Times New Roman" w:hAnsi="Times New Roman"/>
                <w:b/>
                <w:color w:val="000000"/>
                <w:sz w:val="20"/>
                <w:szCs w:val="20"/>
              </w:rPr>
              <w:t>HUF’s</w:t>
            </w:r>
          </w:p>
          <w:p w14:paraId="4864EEDE" w14:textId="77777777" w:rsidR="005B5953" w:rsidRPr="00A2461E" w:rsidRDefault="005B5953">
            <w:pPr>
              <w:pStyle w:val="ListParagraph"/>
              <w:numPr>
                <w:ilvl w:val="0"/>
                <w:numId w:val="190"/>
              </w:numPr>
              <w:spacing w:line="240" w:lineRule="auto"/>
              <w:ind w:left="367"/>
              <w:jc w:val="both"/>
              <w:rPr>
                <w:sz w:val="20"/>
                <w:szCs w:val="20"/>
              </w:rPr>
            </w:pPr>
            <w:r w:rsidRPr="00E238CE">
              <w:rPr>
                <w:sz w:val="20"/>
                <w:szCs w:val="20"/>
                <w:lang w:val="en-US"/>
              </w:rPr>
              <w:t xml:space="preserve">Maheshwari Ramgopal Ochhavlal </w:t>
            </w:r>
            <w:r>
              <w:rPr>
                <w:sz w:val="20"/>
                <w:szCs w:val="20"/>
                <w:lang w:val="en-US"/>
              </w:rPr>
              <w:t>(</w:t>
            </w:r>
            <w:r w:rsidRPr="00E238CE">
              <w:rPr>
                <w:sz w:val="20"/>
                <w:szCs w:val="20"/>
                <w:lang w:val="en-US"/>
              </w:rPr>
              <w:t>HUF</w:t>
            </w:r>
            <w:r>
              <w:rPr>
                <w:sz w:val="20"/>
                <w:szCs w:val="20"/>
                <w:lang w:val="en-US"/>
              </w:rPr>
              <w:t>)</w:t>
            </w:r>
            <w:r w:rsidRPr="00E238CE">
              <w:rPr>
                <w:sz w:val="20"/>
                <w:szCs w:val="20"/>
                <w:lang w:val="en-US"/>
              </w:rPr>
              <w:t xml:space="preserve"> </w:t>
            </w:r>
            <w:r>
              <w:rPr>
                <w:sz w:val="20"/>
                <w:szCs w:val="20"/>
                <w:lang w:val="pt-BR"/>
              </w:rPr>
              <w:t>(as karta)</w:t>
            </w:r>
          </w:p>
          <w:p w14:paraId="632C9310" w14:textId="77777777" w:rsidR="005B5953" w:rsidRPr="00A2461E" w:rsidRDefault="005B5953" w:rsidP="00250DAC">
            <w:pPr>
              <w:pStyle w:val="ListParagraph"/>
              <w:spacing w:line="240" w:lineRule="auto"/>
              <w:ind w:left="367"/>
              <w:jc w:val="both"/>
              <w:rPr>
                <w:sz w:val="20"/>
                <w:szCs w:val="20"/>
              </w:rPr>
            </w:pPr>
          </w:p>
          <w:p w14:paraId="4012B38A" w14:textId="77777777" w:rsidR="005B5953" w:rsidRPr="00712F3C" w:rsidRDefault="005B5953" w:rsidP="00250DAC">
            <w:pPr>
              <w:suppressAutoHyphens/>
              <w:autoSpaceDE w:val="0"/>
              <w:autoSpaceDN w:val="0"/>
              <w:adjustRightInd w:val="0"/>
              <w:spacing w:after="0" w:line="240" w:lineRule="auto"/>
              <w:jc w:val="both"/>
              <w:textAlignment w:val="center"/>
              <w:rPr>
                <w:rFonts w:ascii="Times New Roman" w:hAnsi="Times New Roman"/>
                <w:b/>
                <w:color w:val="000000"/>
                <w:sz w:val="20"/>
                <w:szCs w:val="20"/>
              </w:rPr>
            </w:pPr>
            <w:r w:rsidRPr="00712F3C">
              <w:rPr>
                <w:rFonts w:ascii="Times New Roman" w:hAnsi="Times New Roman"/>
                <w:b/>
                <w:color w:val="000000"/>
                <w:sz w:val="20"/>
                <w:szCs w:val="20"/>
              </w:rPr>
              <w:t>Sole Proprietorship</w:t>
            </w:r>
          </w:p>
          <w:p w14:paraId="287E9019" w14:textId="77777777" w:rsidR="005B5953" w:rsidRPr="00712F3C" w:rsidRDefault="005B5953">
            <w:pPr>
              <w:pStyle w:val="ListParagraph"/>
              <w:numPr>
                <w:ilvl w:val="0"/>
                <w:numId w:val="190"/>
              </w:numPr>
              <w:spacing w:line="240" w:lineRule="auto"/>
              <w:ind w:left="364"/>
              <w:jc w:val="both"/>
              <w:rPr>
                <w:sz w:val="20"/>
                <w:szCs w:val="20"/>
              </w:rPr>
            </w:pPr>
            <w:r w:rsidRPr="00A2461E">
              <w:rPr>
                <w:sz w:val="20"/>
                <w:szCs w:val="20"/>
                <w:lang w:val="pt-BR"/>
              </w:rPr>
              <w:t>Gurukrupa Metal</w:t>
            </w:r>
            <w:r>
              <w:rPr>
                <w:sz w:val="20"/>
                <w:szCs w:val="20"/>
                <w:lang w:val="pt-BR"/>
              </w:rPr>
              <w:t>s</w:t>
            </w:r>
          </w:p>
        </w:tc>
      </w:tr>
      <w:tr w:rsidR="005B5953" w:rsidRPr="00712F3C" w14:paraId="3239D585" w14:textId="77777777" w:rsidTr="00250DAC">
        <w:trPr>
          <w:cantSplit/>
          <w:trHeight w:val="20"/>
        </w:trPr>
        <w:tc>
          <w:tcPr>
            <w:tcW w:w="17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A7D7BE" w14:textId="77777777" w:rsidR="005B5953" w:rsidRPr="00712F3C" w:rsidRDefault="005B5953" w:rsidP="00250DAC">
            <w:pPr>
              <w:spacing w:after="0" w:line="240" w:lineRule="auto"/>
              <w:jc w:val="center"/>
              <w:rPr>
                <w:rFonts w:ascii="Times New Roman" w:hAnsi="Times New Roman"/>
                <w:noProof/>
                <w:sz w:val="20"/>
                <w:szCs w:val="20"/>
              </w:rPr>
            </w:pPr>
            <w:r>
              <w:rPr>
                <w:rFonts w:ascii="Times New Roman" w:hAnsi="Times New Roman"/>
                <w:noProof/>
                <w:sz w:val="20"/>
                <w:szCs w:val="20"/>
                <w14:ligatures w14:val="standardContextual"/>
              </w:rPr>
              <w:drawing>
                <wp:inline distT="0" distB="0" distL="0" distR="0" wp14:anchorId="10AD75C4" wp14:editId="7D572A9C">
                  <wp:extent cx="2135038" cy="1707947"/>
                  <wp:effectExtent l="0" t="0" r="0" b="6985"/>
                  <wp:docPr id="11822327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32716" name="Picture 1182232716"/>
                          <pic:cNvPicPr/>
                        </pic:nvPicPr>
                        <pic:blipFill rotWithShape="1">
                          <a:blip r:embed="rId82" cstate="print">
                            <a:extLst>
                              <a:ext uri="{28A0092B-C50C-407E-A947-70E740481C1C}">
                                <a14:useLocalDpi xmlns:a14="http://schemas.microsoft.com/office/drawing/2010/main" val="0"/>
                              </a:ext>
                            </a:extLst>
                          </a:blip>
                          <a:srcRect l="16662"/>
                          <a:stretch/>
                        </pic:blipFill>
                        <pic:spPr bwMode="auto">
                          <a:xfrm>
                            <a:off x="0" y="0"/>
                            <a:ext cx="2149925" cy="1719856"/>
                          </a:xfrm>
                          <a:prstGeom prst="rect">
                            <a:avLst/>
                          </a:prstGeom>
                          <a:ln w="19050">
                            <a:noFill/>
                          </a:ln>
                          <a:extLst>
                            <a:ext uri="{53640926-AAD7-44D8-BBD7-CCE9431645EC}">
                              <a14:shadowObscured xmlns:a14="http://schemas.microsoft.com/office/drawing/2010/main"/>
                            </a:ext>
                          </a:extLst>
                        </pic:spPr>
                      </pic:pic>
                    </a:graphicData>
                  </a:graphic>
                </wp:inline>
              </w:drawing>
            </w:r>
          </w:p>
        </w:tc>
        <w:tc>
          <w:tcPr>
            <w:tcW w:w="3240"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0C4182" w14:textId="77777777" w:rsidR="005B5953" w:rsidRPr="00712F3C" w:rsidRDefault="005B5953" w:rsidP="00250DAC">
            <w:pPr>
              <w:spacing w:after="0" w:line="240" w:lineRule="auto"/>
              <w:rPr>
                <w:rFonts w:ascii="Times New Roman" w:hAnsi="Times New Roman"/>
                <w:b/>
                <w:noProof/>
                <w:sz w:val="20"/>
                <w:szCs w:val="20"/>
              </w:rPr>
            </w:pPr>
            <w:r w:rsidRPr="0094678C">
              <w:rPr>
                <w:rFonts w:ascii="Times New Roman" w:hAnsi="Times New Roman"/>
                <w:b/>
                <w:noProof/>
                <w:sz w:val="20"/>
                <w:szCs w:val="20"/>
              </w:rPr>
              <w:t xml:space="preserve">Bhavesh Ramgopal Maheshwari </w:t>
            </w:r>
            <w:r w:rsidRPr="00712F3C">
              <w:rPr>
                <w:rFonts w:ascii="Times New Roman" w:hAnsi="Times New Roman"/>
                <w:b/>
                <w:noProof/>
                <w:sz w:val="20"/>
                <w:szCs w:val="20"/>
              </w:rPr>
              <w:t xml:space="preserve">– </w:t>
            </w:r>
            <w:r>
              <w:rPr>
                <w:rFonts w:ascii="Times New Roman" w:hAnsi="Times New Roman"/>
                <w:b/>
                <w:noProof/>
                <w:sz w:val="20"/>
                <w:szCs w:val="20"/>
              </w:rPr>
              <w:t>Managing</w:t>
            </w:r>
            <w:r w:rsidRPr="00712F3C">
              <w:rPr>
                <w:rFonts w:ascii="Times New Roman" w:hAnsi="Times New Roman"/>
                <w:b/>
                <w:noProof/>
                <w:sz w:val="20"/>
                <w:szCs w:val="20"/>
              </w:rPr>
              <w:t xml:space="preserve"> Director </w:t>
            </w:r>
          </w:p>
        </w:tc>
      </w:tr>
      <w:tr w:rsidR="005B5953" w:rsidRPr="00712F3C" w14:paraId="77473DFD" w14:textId="77777777" w:rsidTr="00250DAC">
        <w:trPr>
          <w:cantSplit/>
          <w:trHeight w:val="20"/>
        </w:trPr>
        <w:tc>
          <w:tcPr>
            <w:tcW w:w="1760" w:type="pct"/>
            <w:vMerge/>
            <w:tcBorders>
              <w:top w:val="single" w:sz="4" w:space="0" w:color="auto"/>
              <w:left w:val="single" w:sz="4" w:space="0" w:color="auto"/>
              <w:bottom w:val="single" w:sz="4" w:space="0" w:color="auto"/>
              <w:right w:val="single" w:sz="4" w:space="0" w:color="auto"/>
            </w:tcBorders>
            <w:vAlign w:val="center"/>
            <w:hideMark/>
          </w:tcPr>
          <w:p w14:paraId="6FC1191E" w14:textId="77777777" w:rsidR="005B5953" w:rsidRPr="00712F3C" w:rsidRDefault="005B5953" w:rsidP="00250DAC">
            <w:pPr>
              <w:spacing w:after="0" w:line="240" w:lineRule="auto"/>
              <w:jc w:val="center"/>
              <w:rPr>
                <w:rFonts w:ascii="Times New Roman" w:hAnsi="Times New Roman"/>
                <w:noProof/>
                <w:sz w:val="20"/>
                <w:szCs w:val="20"/>
              </w:rPr>
            </w:pPr>
          </w:p>
        </w:tc>
        <w:tc>
          <w:tcPr>
            <w:tcW w:w="1153" w:type="pct"/>
            <w:tcBorders>
              <w:top w:val="single" w:sz="4" w:space="0" w:color="auto"/>
              <w:left w:val="single" w:sz="4" w:space="0" w:color="auto"/>
              <w:bottom w:val="single" w:sz="4" w:space="0" w:color="auto"/>
              <w:right w:val="single" w:sz="4" w:space="0" w:color="auto"/>
            </w:tcBorders>
            <w:hideMark/>
          </w:tcPr>
          <w:p w14:paraId="5DED90E1" w14:textId="77777777" w:rsidR="005B5953" w:rsidRPr="00712F3C" w:rsidRDefault="005B5953" w:rsidP="00250DAC">
            <w:pPr>
              <w:spacing w:after="0" w:line="240" w:lineRule="auto"/>
              <w:rPr>
                <w:rFonts w:ascii="Times New Roman" w:hAnsi="Times New Roman"/>
                <w:b/>
                <w:noProof/>
                <w:sz w:val="20"/>
                <w:szCs w:val="20"/>
              </w:rPr>
            </w:pPr>
            <w:r w:rsidRPr="00712F3C">
              <w:rPr>
                <w:rFonts w:ascii="Times New Roman" w:hAnsi="Times New Roman"/>
                <w:b/>
                <w:noProof/>
                <w:sz w:val="20"/>
                <w:szCs w:val="20"/>
              </w:rPr>
              <w:t>Qualification</w:t>
            </w:r>
          </w:p>
        </w:tc>
        <w:tc>
          <w:tcPr>
            <w:tcW w:w="2087" w:type="pct"/>
            <w:tcBorders>
              <w:top w:val="single" w:sz="4" w:space="0" w:color="auto"/>
              <w:left w:val="single" w:sz="4" w:space="0" w:color="auto"/>
              <w:bottom w:val="single" w:sz="4" w:space="0" w:color="auto"/>
              <w:right w:val="single" w:sz="4" w:space="0" w:color="auto"/>
            </w:tcBorders>
            <w:hideMark/>
          </w:tcPr>
          <w:p w14:paraId="7DDBE0AD" w14:textId="77777777" w:rsidR="005B5953" w:rsidRPr="00712F3C" w:rsidRDefault="005B5953" w:rsidP="00250DAC">
            <w:pPr>
              <w:spacing w:after="0" w:line="240" w:lineRule="auto"/>
              <w:jc w:val="both"/>
              <w:rPr>
                <w:rFonts w:ascii="Times New Roman" w:hAnsi="Times New Roman"/>
                <w:noProof/>
                <w:sz w:val="20"/>
                <w:szCs w:val="20"/>
              </w:rPr>
            </w:pPr>
            <w:r w:rsidRPr="00DC3309">
              <w:rPr>
                <w:rFonts w:ascii="Times New Roman" w:eastAsia="Calibri" w:hAnsi="Times New Roman"/>
                <w:sz w:val="20"/>
                <w:szCs w:val="20"/>
              </w:rPr>
              <w:t>Bachelor</w:t>
            </w:r>
            <w:r>
              <w:rPr>
                <w:rFonts w:ascii="Times New Roman" w:eastAsia="Calibri" w:hAnsi="Times New Roman"/>
                <w:sz w:val="20"/>
                <w:szCs w:val="20"/>
              </w:rPr>
              <w:t>s</w:t>
            </w:r>
            <w:r w:rsidRPr="00DC3309">
              <w:rPr>
                <w:rFonts w:ascii="Times New Roman" w:eastAsia="Calibri" w:hAnsi="Times New Roman"/>
                <w:sz w:val="20"/>
                <w:szCs w:val="20"/>
              </w:rPr>
              <w:t xml:space="preserve"> of Commerce</w:t>
            </w:r>
          </w:p>
        </w:tc>
      </w:tr>
      <w:tr w:rsidR="005B5953" w:rsidRPr="00712F3C" w14:paraId="52407971" w14:textId="77777777" w:rsidTr="00250DAC">
        <w:trPr>
          <w:cantSplit/>
          <w:trHeight w:val="20"/>
        </w:trPr>
        <w:tc>
          <w:tcPr>
            <w:tcW w:w="1760" w:type="pct"/>
            <w:vMerge/>
            <w:tcBorders>
              <w:top w:val="single" w:sz="4" w:space="0" w:color="auto"/>
              <w:left w:val="single" w:sz="4" w:space="0" w:color="auto"/>
              <w:bottom w:val="single" w:sz="4" w:space="0" w:color="auto"/>
              <w:right w:val="single" w:sz="4" w:space="0" w:color="auto"/>
            </w:tcBorders>
            <w:vAlign w:val="center"/>
            <w:hideMark/>
          </w:tcPr>
          <w:p w14:paraId="0321F78B" w14:textId="77777777" w:rsidR="005B5953" w:rsidRPr="00712F3C" w:rsidRDefault="005B5953" w:rsidP="00250DAC">
            <w:pPr>
              <w:spacing w:after="0" w:line="240" w:lineRule="auto"/>
              <w:jc w:val="center"/>
              <w:rPr>
                <w:rFonts w:ascii="Times New Roman" w:hAnsi="Times New Roman"/>
                <w:noProof/>
                <w:sz w:val="20"/>
                <w:szCs w:val="20"/>
              </w:rPr>
            </w:pPr>
          </w:p>
        </w:tc>
        <w:tc>
          <w:tcPr>
            <w:tcW w:w="1153" w:type="pct"/>
            <w:tcBorders>
              <w:top w:val="single" w:sz="4" w:space="0" w:color="auto"/>
              <w:left w:val="single" w:sz="4" w:space="0" w:color="auto"/>
              <w:bottom w:val="single" w:sz="4" w:space="0" w:color="auto"/>
              <w:right w:val="single" w:sz="4" w:space="0" w:color="auto"/>
            </w:tcBorders>
            <w:hideMark/>
          </w:tcPr>
          <w:p w14:paraId="492240E0" w14:textId="77777777" w:rsidR="005B5953" w:rsidRPr="00712F3C" w:rsidRDefault="005B5953" w:rsidP="00250DAC">
            <w:pPr>
              <w:spacing w:after="0" w:line="240" w:lineRule="auto"/>
              <w:rPr>
                <w:rFonts w:ascii="Times New Roman" w:hAnsi="Times New Roman"/>
                <w:b/>
                <w:noProof/>
                <w:sz w:val="20"/>
                <w:szCs w:val="20"/>
              </w:rPr>
            </w:pPr>
            <w:r w:rsidRPr="00712F3C">
              <w:rPr>
                <w:rFonts w:ascii="Times New Roman" w:hAnsi="Times New Roman"/>
                <w:b/>
                <w:noProof/>
                <w:sz w:val="20"/>
                <w:szCs w:val="20"/>
              </w:rPr>
              <w:t>Age</w:t>
            </w:r>
          </w:p>
        </w:tc>
        <w:tc>
          <w:tcPr>
            <w:tcW w:w="2087" w:type="pct"/>
            <w:tcBorders>
              <w:top w:val="single" w:sz="4" w:space="0" w:color="auto"/>
              <w:left w:val="single" w:sz="4" w:space="0" w:color="auto"/>
              <w:bottom w:val="single" w:sz="4" w:space="0" w:color="auto"/>
              <w:right w:val="single" w:sz="4" w:space="0" w:color="auto"/>
            </w:tcBorders>
            <w:hideMark/>
          </w:tcPr>
          <w:p w14:paraId="421F9FC1" w14:textId="77777777" w:rsidR="005B5953" w:rsidRPr="00712F3C" w:rsidRDefault="005B5953" w:rsidP="00250DAC">
            <w:pPr>
              <w:spacing w:after="0" w:line="240" w:lineRule="auto"/>
              <w:jc w:val="both"/>
              <w:rPr>
                <w:rFonts w:ascii="Times New Roman" w:hAnsi="Times New Roman"/>
                <w:noProof/>
                <w:sz w:val="20"/>
                <w:szCs w:val="20"/>
              </w:rPr>
            </w:pPr>
            <w:r>
              <w:rPr>
                <w:rFonts w:ascii="Times New Roman" w:hAnsi="Times New Roman"/>
                <w:noProof/>
                <w:sz w:val="20"/>
                <w:szCs w:val="20"/>
              </w:rPr>
              <w:t>30</w:t>
            </w:r>
            <w:r w:rsidRPr="00712F3C">
              <w:rPr>
                <w:rFonts w:ascii="Times New Roman" w:hAnsi="Times New Roman"/>
                <w:noProof/>
                <w:sz w:val="20"/>
                <w:szCs w:val="20"/>
              </w:rPr>
              <w:t xml:space="preserve"> years</w:t>
            </w:r>
          </w:p>
        </w:tc>
      </w:tr>
      <w:tr w:rsidR="005B5953" w:rsidRPr="00712F3C" w14:paraId="5A902484" w14:textId="77777777" w:rsidTr="00250DAC">
        <w:trPr>
          <w:cantSplit/>
          <w:trHeight w:val="20"/>
        </w:trPr>
        <w:tc>
          <w:tcPr>
            <w:tcW w:w="1760" w:type="pct"/>
            <w:vMerge/>
            <w:tcBorders>
              <w:top w:val="single" w:sz="4" w:space="0" w:color="auto"/>
              <w:left w:val="single" w:sz="4" w:space="0" w:color="auto"/>
              <w:bottom w:val="single" w:sz="4" w:space="0" w:color="auto"/>
              <w:right w:val="single" w:sz="4" w:space="0" w:color="auto"/>
            </w:tcBorders>
            <w:vAlign w:val="center"/>
            <w:hideMark/>
          </w:tcPr>
          <w:p w14:paraId="0E7FC516" w14:textId="77777777" w:rsidR="005B5953" w:rsidRPr="00712F3C" w:rsidRDefault="005B5953" w:rsidP="00250DAC">
            <w:pPr>
              <w:spacing w:after="0" w:line="240" w:lineRule="auto"/>
              <w:jc w:val="center"/>
              <w:rPr>
                <w:rFonts w:ascii="Times New Roman" w:hAnsi="Times New Roman"/>
                <w:noProof/>
                <w:sz w:val="20"/>
                <w:szCs w:val="20"/>
              </w:rPr>
            </w:pPr>
          </w:p>
        </w:tc>
        <w:tc>
          <w:tcPr>
            <w:tcW w:w="1153" w:type="pct"/>
            <w:tcBorders>
              <w:top w:val="single" w:sz="4" w:space="0" w:color="auto"/>
              <w:left w:val="single" w:sz="4" w:space="0" w:color="auto"/>
              <w:bottom w:val="single" w:sz="4" w:space="0" w:color="auto"/>
              <w:right w:val="single" w:sz="4" w:space="0" w:color="auto"/>
            </w:tcBorders>
            <w:hideMark/>
          </w:tcPr>
          <w:p w14:paraId="56B89915" w14:textId="77777777" w:rsidR="005B5953" w:rsidRPr="00712F3C" w:rsidRDefault="005B5953" w:rsidP="00250DAC">
            <w:pPr>
              <w:spacing w:after="0" w:line="240" w:lineRule="auto"/>
              <w:rPr>
                <w:rFonts w:ascii="Times New Roman" w:hAnsi="Times New Roman"/>
                <w:b/>
                <w:noProof/>
                <w:sz w:val="20"/>
                <w:szCs w:val="20"/>
              </w:rPr>
            </w:pPr>
            <w:r w:rsidRPr="00712F3C">
              <w:rPr>
                <w:rFonts w:ascii="Times New Roman" w:hAnsi="Times New Roman"/>
                <w:b/>
                <w:noProof/>
                <w:sz w:val="20"/>
                <w:szCs w:val="20"/>
              </w:rPr>
              <w:t>Date of Birth</w:t>
            </w:r>
          </w:p>
        </w:tc>
        <w:tc>
          <w:tcPr>
            <w:tcW w:w="2087" w:type="pct"/>
            <w:tcBorders>
              <w:top w:val="single" w:sz="4" w:space="0" w:color="auto"/>
              <w:left w:val="single" w:sz="4" w:space="0" w:color="auto"/>
              <w:bottom w:val="single" w:sz="4" w:space="0" w:color="auto"/>
              <w:right w:val="single" w:sz="4" w:space="0" w:color="auto"/>
            </w:tcBorders>
            <w:hideMark/>
          </w:tcPr>
          <w:p w14:paraId="02D5AE66" w14:textId="77777777" w:rsidR="005B5953" w:rsidRPr="00712F3C" w:rsidRDefault="005B5953" w:rsidP="00250DAC">
            <w:pPr>
              <w:spacing w:after="0" w:line="240" w:lineRule="auto"/>
              <w:jc w:val="both"/>
              <w:rPr>
                <w:rFonts w:ascii="Times New Roman" w:hAnsi="Times New Roman"/>
                <w:noProof/>
                <w:sz w:val="20"/>
                <w:szCs w:val="20"/>
              </w:rPr>
            </w:pPr>
            <w:r>
              <w:rPr>
                <w:rFonts w:ascii="Times New Roman" w:eastAsia="Calibri" w:hAnsi="Times New Roman"/>
                <w:sz w:val="20"/>
                <w:szCs w:val="20"/>
              </w:rPr>
              <w:t>September 23, 1993</w:t>
            </w:r>
          </w:p>
        </w:tc>
      </w:tr>
      <w:tr w:rsidR="005B5953" w:rsidRPr="00712F3C" w14:paraId="5055F229" w14:textId="77777777" w:rsidTr="00250DAC">
        <w:trPr>
          <w:cantSplit/>
          <w:trHeight w:val="20"/>
        </w:trPr>
        <w:tc>
          <w:tcPr>
            <w:tcW w:w="1760" w:type="pct"/>
            <w:vMerge/>
            <w:tcBorders>
              <w:top w:val="single" w:sz="4" w:space="0" w:color="auto"/>
              <w:left w:val="single" w:sz="4" w:space="0" w:color="auto"/>
              <w:bottom w:val="single" w:sz="4" w:space="0" w:color="auto"/>
              <w:right w:val="single" w:sz="4" w:space="0" w:color="auto"/>
            </w:tcBorders>
            <w:vAlign w:val="center"/>
            <w:hideMark/>
          </w:tcPr>
          <w:p w14:paraId="66D5D543" w14:textId="77777777" w:rsidR="005B5953" w:rsidRPr="00712F3C" w:rsidRDefault="005B5953" w:rsidP="00250DAC">
            <w:pPr>
              <w:spacing w:after="0" w:line="240" w:lineRule="auto"/>
              <w:jc w:val="center"/>
              <w:rPr>
                <w:rFonts w:ascii="Times New Roman" w:hAnsi="Times New Roman"/>
                <w:noProof/>
                <w:sz w:val="20"/>
                <w:szCs w:val="20"/>
              </w:rPr>
            </w:pPr>
          </w:p>
        </w:tc>
        <w:tc>
          <w:tcPr>
            <w:tcW w:w="1153" w:type="pct"/>
            <w:tcBorders>
              <w:top w:val="single" w:sz="4" w:space="0" w:color="auto"/>
              <w:left w:val="single" w:sz="4" w:space="0" w:color="auto"/>
              <w:bottom w:val="single" w:sz="4" w:space="0" w:color="auto"/>
              <w:right w:val="single" w:sz="4" w:space="0" w:color="auto"/>
            </w:tcBorders>
            <w:hideMark/>
          </w:tcPr>
          <w:p w14:paraId="34635F1B" w14:textId="77777777" w:rsidR="005B5953" w:rsidRPr="00712F3C" w:rsidRDefault="005B5953" w:rsidP="00250DAC">
            <w:pPr>
              <w:spacing w:after="0" w:line="240" w:lineRule="auto"/>
              <w:rPr>
                <w:rFonts w:ascii="Times New Roman" w:hAnsi="Times New Roman"/>
                <w:b/>
                <w:noProof/>
                <w:sz w:val="20"/>
                <w:szCs w:val="20"/>
              </w:rPr>
            </w:pPr>
            <w:r w:rsidRPr="00712F3C">
              <w:rPr>
                <w:rFonts w:ascii="Times New Roman" w:hAnsi="Times New Roman"/>
                <w:b/>
                <w:noProof/>
                <w:sz w:val="20"/>
                <w:szCs w:val="20"/>
              </w:rPr>
              <w:t>Address</w:t>
            </w:r>
          </w:p>
        </w:tc>
        <w:tc>
          <w:tcPr>
            <w:tcW w:w="2087" w:type="pct"/>
            <w:tcBorders>
              <w:top w:val="single" w:sz="4" w:space="0" w:color="auto"/>
              <w:left w:val="single" w:sz="4" w:space="0" w:color="auto"/>
              <w:bottom w:val="single" w:sz="4" w:space="0" w:color="auto"/>
              <w:right w:val="single" w:sz="4" w:space="0" w:color="auto"/>
            </w:tcBorders>
            <w:vAlign w:val="center"/>
            <w:hideMark/>
          </w:tcPr>
          <w:p w14:paraId="63445AA2" w14:textId="77777777" w:rsidR="005B5953" w:rsidRPr="00712F3C" w:rsidRDefault="005B5953" w:rsidP="00250DAC">
            <w:pPr>
              <w:spacing w:after="0" w:line="240" w:lineRule="auto"/>
              <w:jc w:val="both"/>
              <w:rPr>
                <w:rFonts w:ascii="Times New Roman" w:hAnsi="Times New Roman"/>
                <w:noProof/>
                <w:sz w:val="20"/>
                <w:szCs w:val="20"/>
              </w:rPr>
            </w:pPr>
            <w:r>
              <w:rPr>
                <w:rFonts w:ascii="Times New Roman" w:eastAsia="Calibri" w:hAnsi="Times New Roman"/>
                <w:sz w:val="20"/>
                <w:szCs w:val="20"/>
              </w:rPr>
              <w:t xml:space="preserve">Kanchan Palace, </w:t>
            </w:r>
            <w:r w:rsidRPr="00E075A6">
              <w:rPr>
                <w:rFonts w:ascii="Times New Roman" w:eastAsia="Calibri" w:hAnsi="Times New Roman"/>
                <w:sz w:val="20"/>
                <w:szCs w:val="20"/>
              </w:rPr>
              <w:t>2</w:t>
            </w:r>
            <w:r>
              <w:rPr>
                <w:rFonts w:ascii="Times New Roman" w:eastAsia="Calibri" w:hAnsi="Times New Roman"/>
                <w:sz w:val="20"/>
                <w:szCs w:val="20"/>
              </w:rPr>
              <w:t>,</w:t>
            </w:r>
            <w:r w:rsidRPr="00E075A6">
              <w:rPr>
                <w:rFonts w:ascii="Times New Roman" w:eastAsia="Calibri" w:hAnsi="Times New Roman"/>
                <w:sz w:val="20"/>
                <w:szCs w:val="20"/>
              </w:rPr>
              <w:t xml:space="preserve"> Oswal Colon</w:t>
            </w:r>
            <w:r>
              <w:rPr>
                <w:rFonts w:ascii="Times New Roman" w:eastAsia="Calibri" w:hAnsi="Times New Roman"/>
                <w:sz w:val="20"/>
                <w:szCs w:val="20"/>
              </w:rPr>
              <w:t>y, Jamnagar-</w:t>
            </w:r>
            <w:r w:rsidRPr="00E075A6">
              <w:rPr>
                <w:rFonts w:ascii="Times New Roman" w:eastAsia="Calibri" w:hAnsi="Times New Roman"/>
                <w:sz w:val="20"/>
                <w:szCs w:val="20"/>
              </w:rPr>
              <w:t xml:space="preserve">361005, Gujarat, </w:t>
            </w:r>
            <w:r w:rsidRPr="00712F3C">
              <w:rPr>
                <w:rFonts w:ascii="Times New Roman" w:eastAsia="Calibri" w:hAnsi="Times New Roman"/>
                <w:sz w:val="20"/>
                <w:szCs w:val="20"/>
              </w:rPr>
              <w:t>India</w:t>
            </w:r>
          </w:p>
        </w:tc>
      </w:tr>
      <w:tr w:rsidR="005B5953" w:rsidRPr="00712F3C" w14:paraId="64ABDF2E" w14:textId="77777777" w:rsidTr="00250DAC">
        <w:trPr>
          <w:cantSplit/>
          <w:trHeight w:val="20"/>
        </w:trPr>
        <w:tc>
          <w:tcPr>
            <w:tcW w:w="1760" w:type="pct"/>
            <w:vMerge/>
            <w:tcBorders>
              <w:top w:val="single" w:sz="4" w:space="0" w:color="auto"/>
              <w:left w:val="single" w:sz="4" w:space="0" w:color="auto"/>
              <w:bottom w:val="single" w:sz="4" w:space="0" w:color="auto"/>
              <w:right w:val="single" w:sz="4" w:space="0" w:color="auto"/>
            </w:tcBorders>
            <w:vAlign w:val="center"/>
            <w:hideMark/>
          </w:tcPr>
          <w:p w14:paraId="0C37EBA9" w14:textId="77777777" w:rsidR="005B5953" w:rsidRPr="00712F3C" w:rsidRDefault="005B5953" w:rsidP="00250DAC">
            <w:pPr>
              <w:spacing w:after="0" w:line="240" w:lineRule="auto"/>
              <w:jc w:val="center"/>
              <w:rPr>
                <w:rFonts w:ascii="Times New Roman" w:hAnsi="Times New Roman"/>
                <w:noProof/>
                <w:sz w:val="20"/>
                <w:szCs w:val="20"/>
              </w:rPr>
            </w:pPr>
          </w:p>
        </w:tc>
        <w:tc>
          <w:tcPr>
            <w:tcW w:w="1153" w:type="pct"/>
            <w:tcBorders>
              <w:top w:val="single" w:sz="4" w:space="0" w:color="auto"/>
              <w:left w:val="single" w:sz="4" w:space="0" w:color="auto"/>
              <w:bottom w:val="single" w:sz="4" w:space="0" w:color="auto"/>
              <w:right w:val="single" w:sz="4" w:space="0" w:color="auto"/>
            </w:tcBorders>
            <w:hideMark/>
          </w:tcPr>
          <w:p w14:paraId="585860ED" w14:textId="77777777" w:rsidR="005B5953" w:rsidRPr="00712F3C" w:rsidRDefault="005B5953" w:rsidP="00250DAC">
            <w:pPr>
              <w:spacing w:after="0" w:line="240" w:lineRule="auto"/>
              <w:rPr>
                <w:rFonts w:ascii="Times New Roman" w:hAnsi="Times New Roman"/>
                <w:b/>
                <w:noProof/>
                <w:sz w:val="20"/>
                <w:szCs w:val="20"/>
              </w:rPr>
            </w:pPr>
            <w:r w:rsidRPr="00712F3C">
              <w:rPr>
                <w:rFonts w:ascii="Times New Roman" w:hAnsi="Times New Roman"/>
                <w:b/>
                <w:noProof/>
                <w:sz w:val="20"/>
                <w:szCs w:val="20"/>
              </w:rPr>
              <w:t>Experience</w:t>
            </w:r>
          </w:p>
        </w:tc>
        <w:tc>
          <w:tcPr>
            <w:tcW w:w="2087" w:type="pct"/>
            <w:tcBorders>
              <w:top w:val="single" w:sz="4" w:space="0" w:color="auto"/>
              <w:left w:val="single" w:sz="4" w:space="0" w:color="auto"/>
              <w:bottom w:val="single" w:sz="4" w:space="0" w:color="auto"/>
              <w:right w:val="single" w:sz="4" w:space="0" w:color="auto"/>
            </w:tcBorders>
          </w:tcPr>
          <w:p w14:paraId="518B3638" w14:textId="77777777" w:rsidR="005B5953" w:rsidRPr="00712F3C" w:rsidRDefault="005B5953" w:rsidP="00250DAC">
            <w:pPr>
              <w:spacing w:after="0" w:line="240" w:lineRule="auto"/>
              <w:jc w:val="both"/>
              <w:rPr>
                <w:rFonts w:ascii="Times New Roman" w:hAnsi="Times New Roman"/>
                <w:noProof/>
                <w:sz w:val="20"/>
                <w:szCs w:val="20"/>
              </w:rPr>
            </w:pPr>
            <w:r>
              <w:rPr>
                <w:rFonts w:ascii="Times New Roman" w:hAnsi="Times New Roman"/>
                <w:noProof/>
                <w:sz w:val="20"/>
                <w:szCs w:val="20"/>
              </w:rPr>
              <w:t>6</w:t>
            </w:r>
            <w:r w:rsidRPr="00712F3C">
              <w:rPr>
                <w:rFonts w:ascii="Times New Roman" w:hAnsi="Times New Roman"/>
                <w:noProof/>
                <w:sz w:val="20"/>
                <w:szCs w:val="20"/>
              </w:rPr>
              <w:t xml:space="preserve"> years</w:t>
            </w:r>
          </w:p>
        </w:tc>
      </w:tr>
      <w:tr w:rsidR="005B5953" w:rsidRPr="00712F3C" w14:paraId="04BBA0D5" w14:textId="77777777" w:rsidTr="00250DAC">
        <w:trPr>
          <w:cantSplit/>
          <w:trHeight w:val="20"/>
        </w:trPr>
        <w:tc>
          <w:tcPr>
            <w:tcW w:w="1760" w:type="pct"/>
            <w:vMerge/>
            <w:tcBorders>
              <w:top w:val="single" w:sz="4" w:space="0" w:color="auto"/>
              <w:left w:val="single" w:sz="4" w:space="0" w:color="auto"/>
              <w:bottom w:val="single" w:sz="4" w:space="0" w:color="auto"/>
              <w:right w:val="single" w:sz="4" w:space="0" w:color="auto"/>
            </w:tcBorders>
            <w:vAlign w:val="center"/>
            <w:hideMark/>
          </w:tcPr>
          <w:p w14:paraId="309DC393" w14:textId="77777777" w:rsidR="005B5953" w:rsidRPr="00712F3C" w:rsidRDefault="005B5953" w:rsidP="00250DAC">
            <w:pPr>
              <w:spacing w:after="0" w:line="240" w:lineRule="auto"/>
              <w:jc w:val="center"/>
              <w:rPr>
                <w:rFonts w:ascii="Times New Roman" w:hAnsi="Times New Roman"/>
                <w:noProof/>
                <w:sz w:val="20"/>
                <w:szCs w:val="20"/>
              </w:rPr>
            </w:pPr>
          </w:p>
        </w:tc>
        <w:tc>
          <w:tcPr>
            <w:tcW w:w="1153" w:type="pct"/>
            <w:tcBorders>
              <w:top w:val="single" w:sz="4" w:space="0" w:color="auto"/>
              <w:left w:val="single" w:sz="4" w:space="0" w:color="auto"/>
              <w:bottom w:val="single" w:sz="4" w:space="0" w:color="auto"/>
              <w:right w:val="single" w:sz="4" w:space="0" w:color="auto"/>
            </w:tcBorders>
            <w:hideMark/>
          </w:tcPr>
          <w:p w14:paraId="2F64AC67" w14:textId="77777777" w:rsidR="005B5953" w:rsidRPr="00712F3C" w:rsidRDefault="005B5953" w:rsidP="00250DAC">
            <w:pPr>
              <w:spacing w:after="0" w:line="240" w:lineRule="auto"/>
              <w:rPr>
                <w:rFonts w:ascii="Times New Roman" w:hAnsi="Times New Roman"/>
                <w:b/>
                <w:noProof/>
                <w:sz w:val="20"/>
                <w:szCs w:val="20"/>
              </w:rPr>
            </w:pPr>
            <w:r w:rsidRPr="00712F3C">
              <w:rPr>
                <w:rFonts w:ascii="Times New Roman" w:hAnsi="Times New Roman"/>
                <w:b/>
                <w:noProof/>
                <w:sz w:val="20"/>
                <w:szCs w:val="20"/>
              </w:rPr>
              <w:t>Occupation</w:t>
            </w:r>
          </w:p>
        </w:tc>
        <w:tc>
          <w:tcPr>
            <w:tcW w:w="2087" w:type="pct"/>
            <w:tcBorders>
              <w:top w:val="single" w:sz="4" w:space="0" w:color="auto"/>
              <w:left w:val="single" w:sz="4" w:space="0" w:color="auto"/>
              <w:bottom w:val="single" w:sz="4" w:space="0" w:color="auto"/>
              <w:right w:val="single" w:sz="4" w:space="0" w:color="auto"/>
            </w:tcBorders>
          </w:tcPr>
          <w:p w14:paraId="4436C8A1" w14:textId="77777777" w:rsidR="005B5953" w:rsidRPr="00712F3C" w:rsidRDefault="005B5953" w:rsidP="00250DAC">
            <w:pPr>
              <w:spacing w:after="0" w:line="240" w:lineRule="auto"/>
              <w:jc w:val="both"/>
              <w:rPr>
                <w:rFonts w:ascii="Times New Roman" w:hAnsi="Times New Roman"/>
                <w:noProof/>
                <w:sz w:val="20"/>
                <w:szCs w:val="20"/>
              </w:rPr>
            </w:pPr>
            <w:r w:rsidRPr="00712F3C">
              <w:rPr>
                <w:rFonts w:ascii="Times New Roman" w:hAnsi="Times New Roman"/>
                <w:noProof/>
                <w:sz w:val="20"/>
                <w:szCs w:val="20"/>
              </w:rPr>
              <w:t>Business</w:t>
            </w:r>
          </w:p>
        </w:tc>
      </w:tr>
      <w:tr w:rsidR="005B5953" w:rsidRPr="00712F3C" w14:paraId="4BC2CDE5" w14:textId="77777777" w:rsidTr="00250DAC">
        <w:trPr>
          <w:cantSplit/>
          <w:trHeight w:val="20"/>
        </w:trPr>
        <w:tc>
          <w:tcPr>
            <w:tcW w:w="1760" w:type="pct"/>
            <w:vMerge/>
            <w:tcBorders>
              <w:top w:val="single" w:sz="4" w:space="0" w:color="auto"/>
              <w:left w:val="single" w:sz="4" w:space="0" w:color="auto"/>
              <w:bottom w:val="single" w:sz="4" w:space="0" w:color="auto"/>
              <w:right w:val="single" w:sz="4" w:space="0" w:color="auto"/>
            </w:tcBorders>
            <w:vAlign w:val="center"/>
            <w:hideMark/>
          </w:tcPr>
          <w:p w14:paraId="2D15C4C7" w14:textId="77777777" w:rsidR="005B5953" w:rsidRPr="00712F3C" w:rsidRDefault="005B5953" w:rsidP="00250DAC">
            <w:pPr>
              <w:spacing w:after="0" w:line="240" w:lineRule="auto"/>
              <w:jc w:val="center"/>
              <w:rPr>
                <w:rFonts w:ascii="Times New Roman" w:hAnsi="Times New Roman"/>
                <w:noProof/>
                <w:sz w:val="20"/>
                <w:szCs w:val="20"/>
              </w:rPr>
            </w:pPr>
          </w:p>
        </w:tc>
        <w:tc>
          <w:tcPr>
            <w:tcW w:w="1153" w:type="pct"/>
            <w:tcBorders>
              <w:top w:val="single" w:sz="4" w:space="0" w:color="auto"/>
              <w:left w:val="single" w:sz="4" w:space="0" w:color="auto"/>
              <w:bottom w:val="single" w:sz="4" w:space="0" w:color="auto"/>
              <w:right w:val="single" w:sz="4" w:space="0" w:color="auto"/>
            </w:tcBorders>
            <w:hideMark/>
          </w:tcPr>
          <w:p w14:paraId="372ABF04" w14:textId="77777777" w:rsidR="005B5953" w:rsidRPr="00712F3C" w:rsidRDefault="005B5953" w:rsidP="00250DAC">
            <w:pPr>
              <w:spacing w:after="0" w:line="240" w:lineRule="auto"/>
              <w:rPr>
                <w:rFonts w:ascii="Times New Roman" w:hAnsi="Times New Roman"/>
                <w:b/>
                <w:noProof/>
                <w:sz w:val="20"/>
                <w:szCs w:val="20"/>
              </w:rPr>
            </w:pPr>
            <w:r w:rsidRPr="00712F3C">
              <w:rPr>
                <w:rFonts w:ascii="Times New Roman" w:hAnsi="Times New Roman"/>
                <w:b/>
                <w:noProof/>
                <w:sz w:val="20"/>
                <w:szCs w:val="20"/>
              </w:rPr>
              <w:t>PAN</w:t>
            </w:r>
          </w:p>
        </w:tc>
        <w:tc>
          <w:tcPr>
            <w:tcW w:w="2087" w:type="pct"/>
            <w:tcBorders>
              <w:top w:val="single" w:sz="4" w:space="0" w:color="auto"/>
              <w:left w:val="single" w:sz="4" w:space="0" w:color="auto"/>
              <w:bottom w:val="single" w:sz="4" w:space="0" w:color="auto"/>
              <w:right w:val="single" w:sz="4" w:space="0" w:color="auto"/>
            </w:tcBorders>
            <w:hideMark/>
          </w:tcPr>
          <w:p w14:paraId="7DEEC32F" w14:textId="77777777" w:rsidR="005B5953" w:rsidRPr="00712F3C" w:rsidRDefault="005B5953" w:rsidP="00250DAC">
            <w:pPr>
              <w:spacing w:after="0" w:line="240" w:lineRule="auto"/>
              <w:jc w:val="both"/>
              <w:rPr>
                <w:rFonts w:ascii="Times New Roman" w:hAnsi="Times New Roman"/>
                <w:noProof/>
                <w:sz w:val="20"/>
                <w:szCs w:val="20"/>
              </w:rPr>
            </w:pPr>
            <w:r>
              <w:rPr>
                <w:rFonts w:ascii="Times New Roman" w:hAnsi="Times New Roman"/>
                <w:noProof/>
                <w:sz w:val="20"/>
                <w:szCs w:val="20"/>
              </w:rPr>
              <w:t>AYDPM8143P</w:t>
            </w:r>
          </w:p>
        </w:tc>
      </w:tr>
      <w:tr w:rsidR="005B5953" w:rsidRPr="00712F3C" w14:paraId="7041177F" w14:textId="77777777" w:rsidTr="00250DAC">
        <w:trPr>
          <w:cantSplit/>
          <w:trHeight w:val="20"/>
        </w:trPr>
        <w:tc>
          <w:tcPr>
            <w:tcW w:w="1760" w:type="pct"/>
            <w:vMerge/>
            <w:tcBorders>
              <w:top w:val="single" w:sz="4" w:space="0" w:color="auto"/>
              <w:left w:val="single" w:sz="4" w:space="0" w:color="auto"/>
              <w:bottom w:val="single" w:sz="4" w:space="0" w:color="auto"/>
              <w:right w:val="single" w:sz="4" w:space="0" w:color="auto"/>
            </w:tcBorders>
            <w:vAlign w:val="center"/>
            <w:hideMark/>
          </w:tcPr>
          <w:p w14:paraId="0B61B2B8" w14:textId="77777777" w:rsidR="005B5953" w:rsidRPr="00712F3C" w:rsidRDefault="005B5953" w:rsidP="00250DAC">
            <w:pPr>
              <w:spacing w:after="0" w:line="240" w:lineRule="auto"/>
              <w:jc w:val="center"/>
              <w:rPr>
                <w:rFonts w:ascii="Times New Roman" w:hAnsi="Times New Roman"/>
                <w:noProof/>
                <w:sz w:val="20"/>
                <w:szCs w:val="20"/>
              </w:rPr>
            </w:pPr>
          </w:p>
        </w:tc>
        <w:tc>
          <w:tcPr>
            <w:tcW w:w="1153" w:type="pct"/>
            <w:tcBorders>
              <w:top w:val="single" w:sz="4" w:space="0" w:color="auto"/>
              <w:left w:val="single" w:sz="4" w:space="0" w:color="auto"/>
              <w:bottom w:val="single" w:sz="4" w:space="0" w:color="auto"/>
              <w:right w:val="single" w:sz="4" w:space="0" w:color="auto"/>
            </w:tcBorders>
            <w:hideMark/>
          </w:tcPr>
          <w:p w14:paraId="3E11FF3B" w14:textId="77777777" w:rsidR="005B5953" w:rsidRPr="00712F3C" w:rsidRDefault="005B5953" w:rsidP="00250DAC">
            <w:pPr>
              <w:spacing w:after="0" w:line="240" w:lineRule="auto"/>
              <w:jc w:val="both"/>
              <w:rPr>
                <w:rFonts w:ascii="Times New Roman" w:hAnsi="Times New Roman"/>
                <w:b/>
                <w:noProof/>
                <w:sz w:val="20"/>
                <w:szCs w:val="20"/>
              </w:rPr>
            </w:pPr>
            <w:r w:rsidRPr="00712F3C">
              <w:rPr>
                <w:rFonts w:ascii="Times New Roman" w:hAnsi="Times New Roman"/>
                <w:b/>
                <w:noProof/>
                <w:sz w:val="20"/>
                <w:szCs w:val="20"/>
              </w:rPr>
              <w:t>No. of Equity Shares &amp;% of Shareholding (Pre</w:t>
            </w:r>
            <w:r>
              <w:rPr>
                <w:rFonts w:ascii="Times New Roman" w:hAnsi="Times New Roman"/>
                <w:b/>
                <w:noProof/>
                <w:sz w:val="20"/>
                <w:szCs w:val="20"/>
              </w:rPr>
              <w:t>-</w:t>
            </w:r>
            <w:r w:rsidRPr="00712F3C">
              <w:rPr>
                <w:rFonts w:ascii="Times New Roman" w:hAnsi="Times New Roman"/>
                <w:b/>
                <w:noProof/>
                <w:sz w:val="20"/>
                <w:szCs w:val="20"/>
              </w:rPr>
              <w:t>Issue)</w:t>
            </w:r>
          </w:p>
        </w:tc>
        <w:tc>
          <w:tcPr>
            <w:tcW w:w="2087" w:type="pct"/>
            <w:tcBorders>
              <w:top w:val="single" w:sz="4" w:space="0" w:color="auto"/>
              <w:left w:val="single" w:sz="4" w:space="0" w:color="auto"/>
              <w:bottom w:val="single" w:sz="4" w:space="0" w:color="auto"/>
              <w:right w:val="single" w:sz="4" w:space="0" w:color="auto"/>
            </w:tcBorders>
            <w:hideMark/>
          </w:tcPr>
          <w:p w14:paraId="537951B9" w14:textId="77777777" w:rsidR="005B5953" w:rsidRPr="00712F3C" w:rsidRDefault="005B5953" w:rsidP="00250DAC">
            <w:pPr>
              <w:spacing w:after="0" w:line="240" w:lineRule="auto"/>
              <w:jc w:val="both"/>
              <w:rPr>
                <w:rFonts w:ascii="Times New Roman" w:hAnsi="Times New Roman"/>
                <w:noProof/>
                <w:sz w:val="20"/>
                <w:szCs w:val="20"/>
              </w:rPr>
            </w:pPr>
            <w:r>
              <w:rPr>
                <w:rFonts w:ascii="Times New Roman" w:hAnsi="Times New Roman"/>
                <w:noProof/>
                <w:sz w:val="20"/>
                <w:szCs w:val="20"/>
              </w:rPr>
              <w:t>2,10,000</w:t>
            </w:r>
            <w:r w:rsidRPr="00712F3C">
              <w:rPr>
                <w:rFonts w:ascii="Times New Roman" w:hAnsi="Times New Roman"/>
                <w:noProof/>
                <w:sz w:val="20"/>
                <w:szCs w:val="20"/>
              </w:rPr>
              <w:t xml:space="preserve"> Equity Shares aggregating to </w:t>
            </w:r>
            <w:r>
              <w:rPr>
                <w:rFonts w:ascii="Times New Roman" w:hAnsi="Times New Roman"/>
                <w:noProof/>
                <w:sz w:val="20"/>
                <w:szCs w:val="20"/>
              </w:rPr>
              <w:t>1.52</w:t>
            </w:r>
            <w:r w:rsidRPr="00712F3C">
              <w:rPr>
                <w:rFonts w:ascii="Times New Roman" w:hAnsi="Times New Roman"/>
                <w:noProof/>
                <w:sz w:val="20"/>
                <w:szCs w:val="20"/>
              </w:rPr>
              <w:t>% of Pre</w:t>
            </w:r>
            <w:r>
              <w:rPr>
                <w:rFonts w:ascii="Times New Roman" w:hAnsi="Times New Roman"/>
                <w:noProof/>
                <w:sz w:val="20"/>
                <w:szCs w:val="20"/>
              </w:rPr>
              <w:t>-</w:t>
            </w:r>
            <w:r w:rsidRPr="00712F3C">
              <w:rPr>
                <w:rFonts w:ascii="Times New Roman" w:hAnsi="Times New Roman"/>
                <w:noProof/>
                <w:sz w:val="20"/>
                <w:szCs w:val="20"/>
              </w:rPr>
              <w:t>Issue Paid up Share Capital</w:t>
            </w:r>
          </w:p>
        </w:tc>
      </w:tr>
      <w:tr w:rsidR="005B5953" w:rsidRPr="0094678C" w14:paraId="74D3FFA1" w14:textId="77777777" w:rsidTr="00250DAC">
        <w:trPr>
          <w:cantSplit/>
          <w:trHeight w:val="20"/>
        </w:trPr>
        <w:tc>
          <w:tcPr>
            <w:tcW w:w="1760" w:type="pct"/>
            <w:vMerge/>
            <w:tcBorders>
              <w:top w:val="single" w:sz="4" w:space="0" w:color="auto"/>
              <w:left w:val="single" w:sz="4" w:space="0" w:color="auto"/>
              <w:bottom w:val="single" w:sz="4" w:space="0" w:color="auto"/>
              <w:right w:val="single" w:sz="4" w:space="0" w:color="auto"/>
            </w:tcBorders>
            <w:vAlign w:val="center"/>
            <w:hideMark/>
          </w:tcPr>
          <w:p w14:paraId="0C2F558E" w14:textId="77777777" w:rsidR="005B5953" w:rsidRPr="00712F3C" w:rsidRDefault="005B5953" w:rsidP="00250DAC">
            <w:pPr>
              <w:spacing w:after="0" w:line="240" w:lineRule="auto"/>
              <w:jc w:val="center"/>
              <w:rPr>
                <w:rFonts w:ascii="Times New Roman" w:hAnsi="Times New Roman"/>
                <w:noProof/>
                <w:sz w:val="20"/>
                <w:szCs w:val="20"/>
              </w:rPr>
            </w:pPr>
          </w:p>
        </w:tc>
        <w:tc>
          <w:tcPr>
            <w:tcW w:w="1153" w:type="pct"/>
            <w:tcBorders>
              <w:top w:val="single" w:sz="4" w:space="0" w:color="auto"/>
              <w:left w:val="single" w:sz="4" w:space="0" w:color="auto"/>
              <w:bottom w:val="single" w:sz="4" w:space="0" w:color="auto"/>
              <w:right w:val="single" w:sz="4" w:space="0" w:color="auto"/>
            </w:tcBorders>
            <w:hideMark/>
          </w:tcPr>
          <w:p w14:paraId="0EF1EA27" w14:textId="77777777" w:rsidR="005B5953" w:rsidRPr="00712F3C" w:rsidRDefault="005B5953" w:rsidP="00250DAC">
            <w:pPr>
              <w:spacing w:after="0" w:line="240" w:lineRule="auto"/>
              <w:rPr>
                <w:rFonts w:ascii="Times New Roman" w:hAnsi="Times New Roman"/>
                <w:b/>
                <w:noProof/>
                <w:sz w:val="20"/>
                <w:szCs w:val="20"/>
              </w:rPr>
            </w:pPr>
            <w:r w:rsidRPr="00712F3C">
              <w:rPr>
                <w:rFonts w:ascii="Times New Roman" w:hAnsi="Times New Roman"/>
                <w:b/>
                <w:noProof/>
                <w:sz w:val="20"/>
                <w:szCs w:val="20"/>
              </w:rPr>
              <w:t>Other Ventures</w:t>
            </w:r>
          </w:p>
        </w:tc>
        <w:tc>
          <w:tcPr>
            <w:tcW w:w="2087" w:type="pct"/>
            <w:tcBorders>
              <w:top w:val="single" w:sz="4" w:space="0" w:color="auto"/>
              <w:left w:val="single" w:sz="4" w:space="0" w:color="auto"/>
              <w:bottom w:val="single" w:sz="4" w:space="0" w:color="auto"/>
              <w:right w:val="single" w:sz="4" w:space="0" w:color="auto"/>
            </w:tcBorders>
          </w:tcPr>
          <w:p w14:paraId="71B08B2B" w14:textId="77777777" w:rsidR="005B5953" w:rsidRPr="00712F3C" w:rsidRDefault="005B5953" w:rsidP="00250DAC">
            <w:pPr>
              <w:suppressAutoHyphens/>
              <w:adjustRightInd w:val="0"/>
              <w:spacing w:after="0" w:line="240" w:lineRule="auto"/>
              <w:jc w:val="both"/>
              <w:textAlignment w:val="center"/>
              <w:rPr>
                <w:rFonts w:ascii="Times New Roman" w:hAnsi="Times New Roman"/>
                <w:b/>
                <w:noProof/>
                <w:sz w:val="20"/>
                <w:szCs w:val="20"/>
              </w:rPr>
            </w:pPr>
            <w:r w:rsidRPr="00712F3C">
              <w:rPr>
                <w:rFonts w:ascii="Times New Roman" w:hAnsi="Times New Roman"/>
                <w:b/>
                <w:noProof/>
                <w:sz w:val="20"/>
                <w:szCs w:val="20"/>
              </w:rPr>
              <w:t xml:space="preserve">Directorships in other Companies: </w:t>
            </w:r>
          </w:p>
          <w:p w14:paraId="1CD7E8E2" w14:textId="77777777" w:rsidR="005B5953" w:rsidRPr="00712F3C" w:rsidRDefault="005B5953">
            <w:pPr>
              <w:pStyle w:val="ListParagraph"/>
              <w:numPr>
                <w:ilvl w:val="0"/>
                <w:numId w:val="191"/>
              </w:numPr>
              <w:spacing w:line="240" w:lineRule="auto"/>
              <w:ind w:left="367"/>
              <w:jc w:val="both"/>
              <w:rPr>
                <w:noProof/>
                <w:sz w:val="20"/>
                <w:szCs w:val="20"/>
              </w:rPr>
            </w:pPr>
            <w:r>
              <w:rPr>
                <w:sz w:val="20"/>
                <w:szCs w:val="20"/>
              </w:rPr>
              <w:t xml:space="preserve">Dwarkadhish Venture Private Limited </w:t>
            </w:r>
            <w:r w:rsidRPr="00792E9D">
              <w:rPr>
                <w:i/>
                <w:iCs/>
                <w:sz w:val="20"/>
                <w:szCs w:val="20"/>
              </w:rPr>
              <w:t>(formerly known as Siyaram Metals Private Limited)</w:t>
            </w:r>
          </w:p>
          <w:p w14:paraId="220DEE1C" w14:textId="77777777" w:rsidR="005B5953" w:rsidRPr="00712F3C" w:rsidRDefault="005B5953" w:rsidP="00250DAC">
            <w:pPr>
              <w:suppressAutoHyphens/>
              <w:adjustRightInd w:val="0"/>
              <w:spacing w:after="0" w:line="240" w:lineRule="auto"/>
              <w:jc w:val="both"/>
              <w:textAlignment w:val="center"/>
              <w:rPr>
                <w:rFonts w:ascii="Times New Roman" w:hAnsi="Times New Roman"/>
                <w:noProof/>
                <w:sz w:val="20"/>
                <w:szCs w:val="20"/>
              </w:rPr>
            </w:pPr>
          </w:p>
          <w:p w14:paraId="0B747101" w14:textId="77777777" w:rsidR="005B5953" w:rsidRPr="00712F3C" w:rsidRDefault="005B5953" w:rsidP="00250DAC">
            <w:pPr>
              <w:suppressAutoHyphens/>
              <w:autoSpaceDE w:val="0"/>
              <w:autoSpaceDN w:val="0"/>
              <w:adjustRightInd w:val="0"/>
              <w:spacing w:after="0" w:line="240" w:lineRule="auto"/>
              <w:jc w:val="both"/>
              <w:textAlignment w:val="center"/>
              <w:rPr>
                <w:rFonts w:ascii="Times New Roman" w:hAnsi="Times New Roman"/>
                <w:b/>
                <w:color w:val="000000"/>
                <w:sz w:val="20"/>
                <w:szCs w:val="20"/>
              </w:rPr>
            </w:pPr>
            <w:r w:rsidRPr="00712F3C">
              <w:rPr>
                <w:rFonts w:ascii="Times New Roman" w:hAnsi="Times New Roman"/>
                <w:b/>
                <w:color w:val="000000"/>
                <w:sz w:val="20"/>
                <w:szCs w:val="20"/>
              </w:rPr>
              <w:t>HUF’s</w:t>
            </w:r>
          </w:p>
          <w:p w14:paraId="0D1FFC1F" w14:textId="77777777" w:rsidR="005B5953" w:rsidRPr="00FD5597" w:rsidRDefault="005B5953">
            <w:pPr>
              <w:pStyle w:val="ListParagraph"/>
              <w:numPr>
                <w:ilvl w:val="0"/>
                <w:numId w:val="191"/>
              </w:numPr>
              <w:spacing w:line="240" w:lineRule="auto"/>
              <w:ind w:left="367"/>
              <w:jc w:val="both"/>
              <w:rPr>
                <w:sz w:val="20"/>
                <w:szCs w:val="20"/>
              </w:rPr>
            </w:pPr>
            <w:r w:rsidRPr="0048049E">
              <w:rPr>
                <w:sz w:val="20"/>
                <w:szCs w:val="20"/>
              </w:rPr>
              <w:t>Bhavesh</w:t>
            </w:r>
            <w:r>
              <w:rPr>
                <w:sz w:val="20"/>
                <w:szCs w:val="20"/>
                <w:lang w:val="en-US"/>
              </w:rPr>
              <w:t xml:space="preserve"> </w:t>
            </w:r>
            <w:r w:rsidRPr="00A2461E">
              <w:rPr>
                <w:sz w:val="20"/>
                <w:szCs w:val="20"/>
              </w:rPr>
              <w:t xml:space="preserve">Ramgopal Maheshwari </w:t>
            </w:r>
            <w:r w:rsidRPr="0048049E">
              <w:rPr>
                <w:sz w:val="20"/>
                <w:szCs w:val="20"/>
                <w:lang w:val="en-US"/>
              </w:rPr>
              <w:t>(</w:t>
            </w:r>
            <w:r w:rsidRPr="00A2461E">
              <w:rPr>
                <w:sz w:val="20"/>
                <w:szCs w:val="20"/>
              </w:rPr>
              <w:t>HUF</w:t>
            </w:r>
            <w:r w:rsidRPr="0048049E">
              <w:rPr>
                <w:sz w:val="20"/>
                <w:szCs w:val="20"/>
                <w:lang w:val="en-US"/>
              </w:rPr>
              <w:t xml:space="preserve">) </w:t>
            </w:r>
          </w:p>
          <w:p w14:paraId="1F17F30D" w14:textId="77777777" w:rsidR="005B5953" w:rsidRPr="00A51F69" w:rsidRDefault="005B5953">
            <w:pPr>
              <w:pStyle w:val="ListParagraph"/>
              <w:numPr>
                <w:ilvl w:val="0"/>
                <w:numId w:val="191"/>
              </w:numPr>
              <w:spacing w:line="240" w:lineRule="auto"/>
              <w:ind w:left="362"/>
              <w:jc w:val="both"/>
              <w:rPr>
                <w:sz w:val="20"/>
                <w:szCs w:val="20"/>
              </w:rPr>
            </w:pPr>
            <w:r w:rsidRPr="00E238CE">
              <w:rPr>
                <w:sz w:val="20"/>
                <w:szCs w:val="20"/>
                <w:lang w:val="en-US"/>
              </w:rPr>
              <w:t xml:space="preserve">Maheshwari </w:t>
            </w:r>
            <w:r w:rsidRPr="00A2461E">
              <w:rPr>
                <w:sz w:val="20"/>
                <w:szCs w:val="20"/>
              </w:rPr>
              <w:t xml:space="preserve">Ramgopal Ochhavlal </w:t>
            </w:r>
            <w:r w:rsidRPr="005B5953">
              <w:rPr>
                <w:sz w:val="20"/>
                <w:szCs w:val="20"/>
                <w:lang w:val="en-US"/>
              </w:rPr>
              <w:t>(</w:t>
            </w:r>
            <w:r w:rsidRPr="00A2461E">
              <w:rPr>
                <w:sz w:val="20"/>
                <w:szCs w:val="20"/>
              </w:rPr>
              <w:t>HUF</w:t>
            </w:r>
            <w:r w:rsidRPr="005B5953">
              <w:rPr>
                <w:sz w:val="20"/>
                <w:szCs w:val="20"/>
                <w:lang w:val="en-US"/>
              </w:rPr>
              <w:t>) (as member)</w:t>
            </w:r>
          </w:p>
        </w:tc>
      </w:tr>
    </w:tbl>
    <w:bookmarkEnd w:id="19"/>
    <w:p w14:paraId="3FFEC77A" w14:textId="77777777" w:rsidR="005B5953" w:rsidRPr="00712F3C" w:rsidRDefault="005B5953" w:rsidP="005B5953">
      <w:pPr>
        <w:autoSpaceDE w:val="0"/>
        <w:autoSpaceDN w:val="0"/>
        <w:adjustRightInd w:val="0"/>
        <w:spacing w:after="0" w:line="240" w:lineRule="auto"/>
        <w:jc w:val="both"/>
        <w:rPr>
          <w:rFonts w:ascii="Times New Roman" w:hAnsi="Times New Roman"/>
          <w:i/>
          <w:sz w:val="20"/>
          <w:szCs w:val="20"/>
        </w:rPr>
      </w:pPr>
      <w:r w:rsidRPr="00712F3C">
        <w:rPr>
          <w:rFonts w:ascii="Times New Roman" w:hAnsi="Times New Roman"/>
          <w:i/>
          <w:sz w:val="20"/>
          <w:szCs w:val="20"/>
        </w:rPr>
        <w:lastRenderedPageBreak/>
        <w:t xml:space="preserve">For brief biography of our Individual Promoters, please refer to Chapter titled </w:t>
      </w:r>
      <w:r w:rsidRPr="00712F3C">
        <w:rPr>
          <w:rFonts w:ascii="Times New Roman" w:hAnsi="Times New Roman"/>
          <w:b/>
          <w:i/>
          <w:sz w:val="20"/>
          <w:szCs w:val="20"/>
        </w:rPr>
        <w:t>“Our Management”</w:t>
      </w:r>
      <w:r w:rsidRPr="00712F3C">
        <w:rPr>
          <w:rFonts w:ascii="Times New Roman" w:hAnsi="Times New Roman"/>
          <w:i/>
          <w:sz w:val="20"/>
          <w:szCs w:val="20"/>
        </w:rPr>
        <w:t xml:space="preserve"> beginning on page </w:t>
      </w:r>
      <w:r>
        <w:rPr>
          <w:rFonts w:ascii="Times New Roman" w:hAnsi="Times New Roman"/>
          <w:i/>
          <w:sz w:val="20"/>
          <w:szCs w:val="20"/>
        </w:rPr>
        <w:t>111</w:t>
      </w:r>
      <w:r w:rsidRPr="00712F3C">
        <w:rPr>
          <w:rFonts w:ascii="Times New Roman" w:hAnsi="Times New Roman"/>
          <w:i/>
          <w:sz w:val="20"/>
          <w:szCs w:val="20"/>
        </w:rPr>
        <w:t xml:space="preserve"> of this Draft Red Herring Prospectus. </w:t>
      </w:r>
    </w:p>
    <w:p w14:paraId="65B40BF1" w14:textId="77777777" w:rsidR="005B5953" w:rsidRPr="00712F3C" w:rsidRDefault="005B5953">
      <w:pPr>
        <w:pStyle w:val="ListParagraph"/>
        <w:numPr>
          <w:ilvl w:val="0"/>
          <w:numId w:val="326"/>
        </w:numPr>
        <w:suppressAutoHyphens w:val="0"/>
        <w:autoSpaceDE/>
        <w:autoSpaceDN/>
        <w:adjustRightInd/>
        <w:spacing w:line="240" w:lineRule="auto"/>
        <w:ind w:left="450"/>
        <w:contextualSpacing/>
        <w:jc w:val="both"/>
        <w:textAlignment w:val="auto"/>
        <w:rPr>
          <w:b/>
          <w:sz w:val="20"/>
          <w:szCs w:val="20"/>
          <w:u w:val="single"/>
        </w:rPr>
      </w:pPr>
      <w:r>
        <w:rPr>
          <w:b/>
          <w:sz w:val="20"/>
          <w:szCs w:val="20"/>
          <w:lang w:val="en-US"/>
        </w:rPr>
        <w:t>Corporate Promoter:</w:t>
      </w:r>
    </w:p>
    <w:p w14:paraId="473B1C01" w14:textId="77777777" w:rsidR="005B5953" w:rsidRDefault="005B5953" w:rsidP="005B5953">
      <w:pPr>
        <w:spacing w:after="0" w:line="240" w:lineRule="auto"/>
        <w:contextualSpacing/>
        <w:jc w:val="both"/>
        <w:rPr>
          <w:rFonts w:ascii="Times New Roman" w:hAnsi="Times New Roman"/>
          <w:b/>
          <w:sz w:val="20"/>
          <w:szCs w:val="20"/>
        </w:rPr>
      </w:pPr>
    </w:p>
    <w:p w14:paraId="41AE2B14" w14:textId="77777777" w:rsidR="005B5953" w:rsidRPr="0094678C" w:rsidRDefault="005B5953" w:rsidP="005B5953">
      <w:pPr>
        <w:spacing w:after="0" w:line="240" w:lineRule="auto"/>
        <w:contextualSpacing/>
        <w:jc w:val="both"/>
        <w:rPr>
          <w:rFonts w:ascii="Times New Roman" w:hAnsi="Times New Roman"/>
          <w:sz w:val="20"/>
          <w:szCs w:val="20"/>
          <w:lang w:val="x-none"/>
        </w:rPr>
      </w:pPr>
      <w:r w:rsidRPr="0094678C">
        <w:rPr>
          <w:rFonts w:ascii="Times New Roman" w:hAnsi="Times New Roman"/>
          <w:b/>
          <w:sz w:val="20"/>
          <w:szCs w:val="20"/>
        </w:rPr>
        <w:t xml:space="preserve">Dwarkadhish Venture Private Limited </w:t>
      </w:r>
      <w:r w:rsidRPr="0094678C">
        <w:rPr>
          <w:rFonts w:ascii="Times New Roman" w:hAnsi="Times New Roman"/>
          <w:bCs/>
          <w:i/>
          <w:iCs/>
          <w:sz w:val="20"/>
          <w:szCs w:val="20"/>
        </w:rPr>
        <w:t>(formerly known as Siyaram Metals Private Limited)</w:t>
      </w:r>
    </w:p>
    <w:p w14:paraId="51B77A80" w14:textId="77777777" w:rsidR="005B5953" w:rsidRDefault="005B5953" w:rsidP="005B5953">
      <w:pPr>
        <w:spacing w:after="0" w:line="240" w:lineRule="auto"/>
        <w:contextualSpacing/>
        <w:jc w:val="both"/>
        <w:rPr>
          <w:rFonts w:ascii="Times New Roman" w:hAnsi="Times New Roman"/>
          <w:sz w:val="20"/>
          <w:szCs w:val="20"/>
        </w:rPr>
      </w:pPr>
    </w:p>
    <w:p w14:paraId="06E37159" w14:textId="77777777" w:rsidR="005B5953" w:rsidRPr="0094678C" w:rsidRDefault="005B5953" w:rsidP="005B5953">
      <w:pPr>
        <w:autoSpaceDE w:val="0"/>
        <w:autoSpaceDN w:val="0"/>
        <w:adjustRightInd w:val="0"/>
        <w:spacing w:after="0" w:line="240" w:lineRule="auto"/>
        <w:rPr>
          <w:rFonts w:ascii="Times New Roman" w:hAnsi="Times New Roman"/>
          <w:b/>
          <w:bCs/>
          <w:i/>
          <w:iCs/>
          <w:sz w:val="20"/>
          <w:szCs w:val="20"/>
        </w:rPr>
      </w:pPr>
      <w:r w:rsidRPr="0094678C">
        <w:rPr>
          <w:rFonts w:ascii="Times New Roman" w:hAnsi="Times New Roman"/>
          <w:b/>
          <w:bCs/>
          <w:i/>
          <w:iCs/>
          <w:sz w:val="20"/>
          <w:szCs w:val="20"/>
        </w:rPr>
        <w:t>Corporate Information:</w:t>
      </w:r>
    </w:p>
    <w:p w14:paraId="5E800593" w14:textId="77777777" w:rsidR="005B5953" w:rsidRDefault="005B5953" w:rsidP="005B5953">
      <w:pPr>
        <w:autoSpaceDE w:val="0"/>
        <w:autoSpaceDN w:val="0"/>
        <w:adjustRightInd w:val="0"/>
        <w:spacing w:after="0" w:line="240" w:lineRule="auto"/>
        <w:rPr>
          <w:rFonts w:ascii="Times New Roman" w:hAnsi="Times New Roman"/>
          <w:sz w:val="20"/>
          <w:szCs w:val="20"/>
        </w:rPr>
      </w:pPr>
    </w:p>
    <w:p w14:paraId="7062B29D" w14:textId="77777777" w:rsidR="005B5953" w:rsidRDefault="005B5953" w:rsidP="005B5953">
      <w:pPr>
        <w:autoSpaceDE w:val="0"/>
        <w:autoSpaceDN w:val="0"/>
        <w:adjustRightInd w:val="0"/>
        <w:spacing w:after="0" w:line="240" w:lineRule="auto"/>
        <w:jc w:val="both"/>
        <w:rPr>
          <w:rFonts w:ascii="Times New Roman" w:hAnsi="Times New Roman"/>
          <w:sz w:val="20"/>
          <w:szCs w:val="20"/>
        </w:rPr>
      </w:pPr>
      <w:bookmarkStart w:id="20" w:name="_Hlk143081305"/>
      <w:r w:rsidRPr="0094678C">
        <w:rPr>
          <w:rFonts w:ascii="Times New Roman" w:hAnsi="Times New Roman"/>
          <w:sz w:val="20"/>
          <w:szCs w:val="20"/>
        </w:rPr>
        <w:t xml:space="preserve">Dwarkadhish Venture Private Limited </w:t>
      </w:r>
      <w:r w:rsidRPr="0094678C">
        <w:rPr>
          <w:rFonts w:ascii="Times New Roman" w:hAnsi="Times New Roman"/>
          <w:i/>
          <w:iCs/>
          <w:sz w:val="20"/>
          <w:szCs w:val="20"/>
        </w:rPr>
        <w:t>(formerly known as Siyaram Metals Private Limited)</w:t>
      </w:r>
      <w:bookmarkEnd w:id="20"/>
      <w:r>
        <w:rPr>
          <w:rFonts w:ascii="Times New Roman" w:hAnsi="Times New Roman"/>
          <w:sz w:val="20"/>
          <w:szCs w:val="20"/>
        </w:rPr>
        <w:t xml:space="preserve"> (“DVPL”)</w:t>
      </w:r>
      <w:r w:rsidRPr="0094678C">
        <w:rPr>
          <w:rFonts w:ascii="Times New Roman" w:hAnsi="Times New Roman"/>
          <w:sz w:val="20"/>
          <w:szCs w:val="20"/>
        </w:rPr>
        <w:t xml:space="preserve"> was registered as a </w:t>
      </w:r>
      <w:r>
        <w:rPr>
          <w:rFonts w:ascii="Times New Roman" w:hAnsi="Times New Roman"/>
          <w:sz w:val="20"/>
          <w:szCs w:val="20"/>
        </w:rPr>
        <w:t xml:space="preserve">Private </w:t>
      </w:r>
      <w:r w:rsidRPr="0094678C">
        <w:rPr>
          <w:rFonts w:ascii="Times New Roman" w:hAnsi="Times New Roman"/>
          <w:sz w:val="20"/>
          <w:szCs w:val="20"/>
        </w:rPr>
        <w:t xml:space="preserve">Limited </w:t>
      </w:r>
      <w:r>
        <w:rPr>
          <w:rFonts w:ascii="Times New Roman" w:hAnsi="Times New Roman"/>
          <w:sz w:val="20"/>
          <w:szCs w:val="20"/>
        </w:rPr>
        <w:t xml:space="preserve">Company </w:t>
      </w:r>
      <w:r w:rsidRPr="0094678C">
        <w:rPr>
          <w:rFonts w:ascii="Times New Roman" w:hAnsi="Times New Roman"/>
          <w:sz w:val="20"/>
          <w:szCs w:val="20"/>
        </w:rPr>
        <w:t xml:space="preserve">under the </w:t>
      </w:r>
      <w:r>
        <w:rPr>
          <w:rFonts w:ascii="Times New Roman" w:hAnsi="Times New Roman"/>
          <w:sz w:val="20"/>
          <w:szCs w:val="20"/>
        </w:rPr>
        <w:t>Companies Act</w:t>
      </w:r>
      <w:r w:rsidRPr="0094678C">
        <w:rPr>
          <w:rFonts w:ascii="Times New Roman" w:hAnsi="Times New Roman"/>
          <w:sz w:val="20"/>
          <w:szCs w:val="20"/>
        </w:rPr>
        <w:t xml:space="preserve">, </w:t>
      </w:r>
      <w:r>
        <w:rPr>
          <w:rFonts w:ascii="Times New Roman" w:hAnsi="Times New Roman"/>
          <w:sz w:val="20"/>
          <w:szCs w:val="20"/>
        </w:rPr>
        <w:t>1956</w:t>
      </w:r>
      <w:r w:rsidRPr="0094678C">
        <w:rPr>
          <w:rFonts w:ascii="Times New Roman" w:hAnsi="Times New Roman"/>
          <w:sz w:val="20"/>
          <w:szCs w:val="20"/>
        </w:rPr>
        <w:t xml:space="preserve"> in the name and style of </w:t>
      </w:r>
      <w:r w:rsidRPr="00645F7F">
        <w:rPr>
          <w:rFonts w:ascii="Times New Roman" w:hAnsi="Times New Roman"/>
          <w:sz w:val="20"/>
          <w:szCs w:val="20"/>
        </w:rPr>
        <w:t xml:space="preserve">Siyaram Metals Private Limited </w:t>
      </w:r>
      <w:r w:rsidRPr="0094678C">
        <w:rPr>
          <w:rFonts w:ascii="Times New Roman" w:hAnsi="Times New Roman"/>
          <w:sz w:val="20"/>
          <w:szCs w:val="20"/>
        </w:rPr>
        <w:t>(</w:t>
      </w:r>
      <w:r>
        <w:rPr>
          <w:rFonts w:ascii="Times New Roman" w:hAnsi="Times New Roman"/>
          <w:sz w:val="20"/>
          <w:szCs w:val="20"/>
        </w:rPr>
        <w:t>CIN</w:t>
      </w:r>
      <w:r w:rsidRPr="0094678C">
        <w:rPr>
          <w:rFonts w:ascii="Times New Roman" w:hAnsi="Times New Roman"/>
          <w:sz w:val="20"/>
          <w:szCs w:val="20"/>
        </w:rPr>
        <w:t xml:space="preserve">: </w:t>
      </w:r>
      <w:r w:rsidRPr="00645F7F">
        <w:rPr>
          <w:rFonts w:ascii="Times New Roman" w:hAnsi="Times New Roman"/>
          <w:sz w:val="20"/>
          <w:szCs w:val="20"/>
        </w:rPr>
        <w:t>U27209GJ2000PTC037229</w:t>
      </w:r>
      <w:r w:rsidRPr="0094678C">
        <w:rPr>
          <w:rFonts w:ascii="Times New Roman" w:hAnsi="Times New Roman"/>
          <w:sz w:val="20"/>
          <w:szCs w:val="20"/>
        </w:rPr>
        <w:t>)</w:t>
      </w:r>
      <w:r>
        <w:rPr>
          <w:rFonts w:ascii="Times New Roman" w:hAnsi="Times New Roman"/>
          <w:sz w:val="20"/>
          <w:szCs w:val="20"/>
        </w:rPr>
        <w:t xml:space="preserve"> </w:t>
      </w:r>
      <w:r w:rsidRPr="00DB40E2">
        <w:rPr>
          <w:rFonts w:ascii="Times New Roman" w:hAnsi="Times New Roman"/>
          <w:sz w:val="20"/>
          <w:szCs w:val="20"/>
        </w:rPr>
        <w:t xml:space="preserve">with Registrar of Companies, </w:t>
      </w:r>
      <w:r>
        <w:rPr>
          <w:rFonts w:ascii="Times New Roman" w:hAnsi="Times New Roman"/>
          <w:sz w:val="20"/>
          <w:szCs w:val="20"/>
        </w:rPr>
        <w:t xml:space="preserve">Gujarat Dadra &amp; Nagar Haveli. Further on </w:t>
      </w:r>
      <w:r w:rsidRPr="00E87417">
        <w:rPr>
          <w:rFonts w:ascii="Times New Roman" w:hAnsi="Times New Roman"/>
          <w:sz w:val="20"/>
          <w:szCs w:val="20"/>
        </w:rPr>
        <w:t>August 07, 2023</w:t>
      </w:r>
      <w:r w:rsidRPr="00A512E3">
        <w:rPr>
          <w:rFonts w:ascii="Times New Roman" w:hAnsi="Times New Roman"/>
          <w:color w:val="FF0000"/>
          <w:sz w:val="20"/>
          <w:szCs w:val="20"/>
        </w:rPr>
        <w:t xml:space="preserve"> </w:t>
      </w:r>
      <w:r>
        <w:rPr>
          <w:rFonts w:ascii="Times New Roman" w:hAnsi="Times New Roman"/>
          <w:sz w:val="20"/>
          <w:szCs w:val="20"/>
        </w:rPr>
        <w:t>after taking requisite approval of the members of the company at the extra ordinary general meeting the name of the company was changed from “</w:t>
      </w:r>
      <w:r w:rsidRPr="00645F7F">
        <w:rPr>
          <w:rFonts w:ascii="Times New Roman" w:hAnsi="Times New Roman"/>
          <w:sz w:val="20"/>
          <w:szCs w:val="20"/>
        </w:rPr>
        <w:t>Siyaram Metals Private Limited</w:t>
      </w:r>
      <w:r>
        <w:rPr>
          <w:rFonts w:ascii="Times New Roman" w:hAnsi="Times New Roman"/>
          <w:sz w:val="20"/>
          <w:szCs w:val="20"/>
        </w:rPr>
        <w:t>” to “</w:t>
      </w:r>
      <w:r w:rsidRPr="0094678C">
        <w:rPr>
          <w:rFonts w:ascii="Times New Roman" w:hAnsi="Times New Roman"/>
          <w:sz w:val="20"/>
          <w:szCs w:val="20"/>
        </w:rPr>
        <w:t>Dwarkadhish Venture Private Limited</w:t>
      </w:r>
      <w:r>
        <w:rPr>
          <w:rFonts w:ascii="Times New Roman" w:hAnsi="Times New Roman"/>
          <w:sz w:val="20"/>
          <w:szCs w:val="20"/>
        </w:rPr>
        <w:t xml:space="preserve">” pursuant to certificate of incorporation dated August 10, 2023 issued by ROC, Ahmedabad. </w:t>
      </w:r>
      <w:r>
        <w:rPr>
          <w:rFonts w:ascii="Times New Roman" w:hAnsi="Times New Roman"/>
          <w:sz w:val="20"/>
          <w:szCs w:val="20"/>
        </w:rPr>
        <w:tab/>
      </w:r>
    </w:p>
    <w:p w14:paraId="156B258D" w14:textId="77777777" w:rsidR="005B5953" w:rsidRDefault="005B5953" w:rsidP="005B5953">
      <w:pPr>
        <w:autoSpaceDE w:val="0"/>
        <w:autoSpaceDN w:val="0"/>
        <w:adjustRightInd w:val="0"/>
        <w:spacing w:after="0" w:line="240" w:lineRule="auto"/>
        <w:jc w:val="both"/>
        <w:rPr>
          <w:rFonts w:ascii="Times New Roman" w:hAnsi="Times New Roman"/>
          <w:sz w:val="20"/>
          <w:szCs w:val="20"/>
        </w:rPr>
      </w:pPr>
    </w:p>
    <w:p w14:paraId="4A8C5715" w14:textId="77777777" w:rsidR="005B5953" w:rsidRDefault="005B5953" w:rsidP="005B5953">
      <w:pPr>
        <w:autoSpaceDE w:val="0"/>
        <w:autoSpaceDN w:val="0"/>
        <w:adjustRightInd w:val="0"/>
        <w:spacing w:after="0" w:line="240" w:lineRule="auto"/>
        <w:jc w:val="both"/>
        <w:rPr>
          <w:rFonts w:ascii="Times New Roman" w:hAnsi="Times New Roman"/>
          <w:sz w:val="20"/>
          <w:szCs w:val="20"/>
        </w:rPr>
      </w:pPr>
      <w:r w:rsidRPr="00E968B2">
        <w:rPr>
          <w:rFonts w:ascii="Times New Roman" w:hAnsi="Times New Roman"/>
          <w:sz w:val="20"/>
          <w:szCs w:val="20"/>
        </w:rPr>
        <w:t>DVPL has not earned any revenue from operations</w:t>
      </w:r>
      <w:r>
        <w:rPr>
          <w:rFonts w:ascii="Times New Roman" w:hAnsi="Times New Roman"/>
          <w:sz w:val="20"/>
          <w:szCs w:val="20"/>
        </w:rPr>
        <w:t xml:space="preserve"> in last three years.</w:t>
      </w:r>
    </w:p>
    <w:p w14:paraId="04F597B3" w14:textId="77777777" w:rsidR="005B5953" w:rsidRDefault="005B5953" w:rsidP="005B5953">
      <w:pPr>
        <w:autoSpaceDE w:val="0"/>
        <w:autoSpaceDN w:val="0"/>
        <w:adjustRightInd w:val="0"/>
        <w:spacing w:after="0" w:line="240" w:lineRule="auto"/>
        <w:jc w:val="both"/>
        <w:rPr>
          <w:rFonts w:ascii="Times New Roman" w:hAnsi="Times New Roman"/>
          <w:sz w:val="20"/>
          <w:szCs w:val="20"/>
        </w:rPr>
      </w:pPr>
    </w:p>
    <w:tbl>
      <w:tblPr>
        <w:tblStyle w:val="TableGrid"/>
        <w:tblW w:w="0" w:type="auto"/>
        <w:tblLook w:val="04A0" w:firstRow="1" w:lastRow="0" w:firstColumn="1" w:lastColumn="0" w:noHBand="0" w:noVBand="1"/>
      </w:tblPr>
      <w:tblGrid>
        <w:gridCol w:w="1705"/>
        <w:gridCol w:w="8751"/>
      </w:tblGrid>
      <w:tr w:rsidR="005B5953" w14:paraId="46876871" w14:textId="77777777" w:rsidTr="00250DAC">
        <w:tc>
          <w:tcPr>
            <w:tcW w:w="1705" w:type="dxa"/>
            <w:shd w:val="clear" w:color="auto" w:fill="D0CECE" w:themeFill="background2" w:themeFillShade="E6"/>
          </w:tcPr>
          <w:p w14:paraId="5CC9640D" w14:textId="77777777" w:rsidR="005B5953" w:rsidRPr="00874F1F" w:rsidRDefault="005B5953" w:rsidP="00250DAC">
            <w:pPr>
              <w:autoSpaceDE w:val="0"/>
              <w:autoSpaceDN w:val="0"/>
              <w:adjustRightInd w:val="0"/>
              <w:spacing w:after="0" w:line="240" w:lineRule="auto"/>
              <w:jc w:val="both"/>
              <w:rPr>
                <w:rFonts w:ascii="Times New Roman" w:hAnsi="Times New Roman"/>
                <w:b/>
                <w:bCs/>
              </w:rPr>
            </w:pPr>
            <w:r w:rsidRPr="00874F1F">
              <w:rPr>
                <w:rFonts w:ascii="Times New Roman" w:hAnsi="Times New Roman"/>
                <w:b/>
                <w:bCs/>
              </w:rPr>
              <w:t>PAN</w:t>
            </w:r>
          </w:p>
        </w:tc>
        <w:tc>
          <w:tcPr>
            <w:tcW w:w="8751" w:type="dxa"/>
          </w:tcPr>
          <w:p w14:paraId="35101F24" w14:textId="77777777" w:rsidR="005B5953" w:rsidRDefault="005B5953" w:rsidP="00250DAC">
            <w:pPr>
              <w:autoSpaceDE w:val="0"/>
              <w:autoSpaceDN w:val="0"/>
              <w:adjustRightInd w:val="0"/>
              <w:spacing w:after="0" w:line="240" w:lineRule="auto"/>
              <w:jc w:val="both"/>
              <w:rPr>
                <w:rFonts w:ascii="Times New Roman" w:hAnsi="Times New Roman"/>
              </w:rPr>
            </w:pPr>
            <w:r>
              <w:rPr>
                <w:rFonts w:ascii="Times New Roman" w:hAnsi="Times New Roman"/>
              </w:rPr>
              <w:t>AAECS2779P</w:t>
            </w:r>
          </w:p>
        </w:tc>
      </w:tr>
      <w:tr w:rsidR="005B5953" w14:paraId="4BA8D840" w14:textId="77777777" w:rsidTr="00250DAC">
        <w:tc>
          <w:tcPr>
            <w:tcW w:w="1705" w:type="dxa"/>
            <w:shd w:val="clear" w:color="auto" w:fill="D0CECE" w:themeFill="background2" w:themeFillShade="E6"/>
          </w:tcPr>
          <w:p w14:paraId="53BE9203" w14:textId="77777777" w:rsidR="005B5953" w:rsidRPr="00874F1F" w:rsidRDefault="005B5953" w:rsidP="00250DAC">
            <w:pPr>
              <w:autoSpaceDE w:val="0"/>
              <w:autoSpaceDN w:val="0"/>
              <w:adjustRightInd w:val="0"/>
              <w:spacing w:after="0" w:line="240" w:lineRule="auto"/>
              <w:jc w:val="both"/>
              <w:rPr>
                <w:rFonts w:ascii="Times New Roman" w:hAnsi="Times New Roman"/>
                <w:b/>
                <w:bCs/>
              </w:rPr>
            </w:pPr>
            <w:r>
              <w:rPr>
                <w:rFonts w:ascii="Times New Roman" w:hAnsi="Times New Roman"/>
                <w:b/>
                <w:bCs/>
              </w:rPr>
              <w:t>CIN</w:t>
            </w:r>
          </w:p>
        </w:tc>
        <w:tc>
          <w:tcPr>
            <w:tcW w:w="8751" w:type="dxa"/>
          </w:tcPr>
          <w:p w14:paraId="50F46A8F" w14:textId="77777777" w:rsidR="005B5953" w:rsidRDefault="005B5953" w:rsidP="00250DAC">
            <w:pPr>
              <w:autoSpaceDE w:val="0"/>
              <w:autoSpaceDN w:val="0"/>
              <w:adjustRightInd w:val="0"/>
              <w:spacing w:after="0" w:line="240" w:lineRule="auto"/>
              <w:jc w:val="both"/>
              <w:rPr>
                <w:rFonts w:ascii="Times New Roman" w:hAnsi="Times New Roman"/>
              </w:rPr>
            </w:pPr>
            <w:r w:rsidRPr="00D4332E">
              <w:rPr>
                <w:rFonts w:ascii="Times New Roman" w:hAnsi="Times New Roman"/>
              </w:rPr>
              <w:t>U27209GJ2000PTC037229</w:t>
            </w:r>
          </w:p>
        </w:tc>
      </w:tr>
      <w:tr w:rsidR="005B5953" w14:paraId="742573AD" w14:textId="77777777" w:rsidTr="00250DAC">
        <w:tc>
          <w:tcPr>
            <w:tcW w:w="1705" w:type="dxa"/>
            <w:shd w:val="clear" w:color="auto" w:fill="D0CECE" w:themeFill="background2" w:themeFillShade="E6"/>
          </w:tcPr>
          <w:p w14:paraId="277CE319" w14:textId="77777777" w:rsidR="005B5953" w:rsidRPr="00874F1F" w:rsidRDefault="005B5953" w:rsidP="00250DAC">
            <w:pPr>
              <w:autoSpaceDE w:val="0"/>
              <w:autoSpaceDN w:val="0"/>
              <w:adjustRightInd w:val="0"/>
              <w:spacing w:after="0" w:line="240" w:lineRule="auto"/>
              <w:jc w:val="both"/>
              <w:rPr>
                <w:rFonts w:ascii="Times New Roman" w:hAnsi="Times New Roman"/>
                <w:b/>
                <w:bCs/>
              </w:rPr>
            </w:pPr>
            <w:r w:rsidRPr="00874F1F">
              <w:rPr>
                <w:rFonts w:ascii="Times New Roman" w:hAnsi="Times New Roman"/>
                <w:b/>
                <w:bCs/>
              </w:rPr>
              <w:t>Registered Office</w:t>
            </w:r>
          </w:p>
        </w:tc>
        <w:tc>
          <w:tcPr>
            <w:tcW w:w="8751" w:type="dxa"/>
          </w:tcPr>
          <w:p w14:paraId="7D20F35F" w14:textId="77777777" w:rsidR="005B5953" w:rsidRDefault="005B5953" w:rsidP="00250DAC">
            <w:pPr>
              <w:autoSpaceDE w:val="0"/>
              <w:autoSpaceDN w:val="0"/>
              <w:adjustRightInd w:val="0"/>
              <w:spacing w:after="0" w:line="240" w:lineRule="auto"/>
              <w:jc w:val="both"/>
              <w:rPr>
                <w:rFonts w:ascii="Times New Roman" w:hAnsi="Times New Roman"/>
              </w:rPr>
            </w:pPr>
            <w:r w:rsidRPr="00645F7F">
              <w:rPr>
                <w:rFonts w:ascii="Times New Roman" w:hAnsi="Times New Roman"/>
              </w:rPr>
              <w:t>Plot No 12/14</w:t>
            </w:r>
            <w:r>
              <w:rPr>
                <w:rFonts w:ascii="Times New Roman" w:hAnsi="Times New Roman"/>
              </w:rPr>
              <w:t>,</w:t>
            </w:r>
            <w:r w:rsidRPr="00645F7F">
              <w:rPr>
                <w:rFonts w:ascii="Times New Roman" w:hAnsi="Times New Roman"/>
              </w:rPr>
              <w:t xml:space="preserve"> Naghedi</w:t>
            </w:r>
            <w:r>
              <w:rPr>
                <w:rFonts w:ascii="Times New Roman" w:hAnsi="Times New Roman"/>
              </w:rPr>
              <w:t xml:space="preserve"> </w:t>
            </w:r>
            <w:r w:rsidRPr="00645F7F">
              <w:rPr>
                <w:rFonts w:ascii="Times New Roman" w:hAnsi="Times New Roman"/>
              </w:rPr>
              <w:t>Industrial Area</w:t>
            </w:r>
            <w:r>
              <w:rPr>
                <w:rFonts w:ascii="Times New Roman" w:hAnsi="Times New Roman"/>
              </w:rPr>
              <w:t>,</w:t>
            </w:r>
            <w:r w:rsidRPr="00645F7F">
              <w:rPr>
                <w:rFonts w:ascii="Times New Roman" w:hAnsi="Times New Roman"/>
              </w:rPr>
              <w:t xml:space="preserve"> Village Naghedi</w:t>
            </w:r>
            <w:r>
              <w:rPr>
                <w:rFonts w:ascii="Times New Roman" w:hAnsi="Times New Roman"/>
              </w:rPr>
              <w:t>,</w:t>
            </w:r>
            <w:r w:rsidRPr="00645F7F">
              <w:rPr>
                <w:rFonts w:ascii="Times New Roman" w:hAnsi="Times New Roman"/>
              </w:rPr>
              <w:t xml:space="preserve"> Post Office Khodiar</w:t>
            </w:r>
            <w:r>
              <w:rPr>
                <w:rFonts w:ascii="Times New Roman" w:hAnsi="Times New Roman"/>
              </w:rPr>
              <w:t>,</w:t>
            </w:r>
            <w:r w:rsidRPr="00645F7F">
              <w:rPr>
                <w:rFonts w:ascii="Times New Roman" w:hAnsi="Times New Roman"/>
              </w:rPr>
              <w:t xml:space="preserve"> Jamnagar</w:t>
            </w:r>
            <w:r>
              <w:rPr>
                <w:rFonts w:ascii="Times New Roman" w:hAnsi="Times New Roman"/>
              </w:rPr>
              <w:t>-</w:t>
            </w:r>
            <w:r w:rsidRPr="00645F7F">
              <w:rPr>
                <w:rFonts w:ascii="Times New Roman" w:hAnsi="Times New Roman"/>
              </w:rPr>
              <w:t xml:space="preserve">361006 </w:t>
            </w:r>
            <w:r>
              <w:rPr>
                <w:rFonts w:ascii="Times New Roman" w:hAnsi="Times New Roman"/>
              </w:rPr>
              <w:t>Gujarat India</w:t>
            </w:r>
          </w:p>
        </w:tc>
      </w:tr>
    </w:tbl>
    <w:p w14:paraId="5BD3B0E7" w14:textId="77777777" w:rsidR="005B5953" w:rsidRDefault="005B5953" w:rsidP="005B5953">
      <w:pPr>
        <w:autoSpaceDE w:val="0"/>
        <w:autoSpaceDN w:val="0"/>
        <w:adjustRightInd w:val="0"/>
        <w:spacing w:after="0" w:line="240" w:lineRule="auto"/>
        <w:jc w:val="both"/>
        <w:rPr>
          <w:rFonts w:ascii="Times New Roman" w:hAnsi="Times New Roman"/>
          <w:sz w:val="20"/>
          <w:szCs w:val="20"/>
        </w:rPr>
      </w:pPr>
    </w:p>
    <w:p w14:paraId="63366DE6" w14:textId="77777777" w:rsidR="005B5953" w:rsidRPr="00645F7F" w:rsidRDefault="005B5953" w:rsidP="005B5953">
      <w:pPr>
        <w:autoSpaceDE w:val="0"/>
        <w:autoSpaceDN w:val="0"/>
        <w:adjustRightInd w:val="0"/>
        <w:spacing w:after="0" w:line="240" w:lineRule="auto"/>
        <w:rPr>
          <w:rFonts w:ascii="Times New Roman" w:hAnsi="Times New Roman"/>
          <w:b/>
          <w:bCs/>
          <w:sz w:val="20"/>
          <w:szCs w:val="20"/>
        </w:rPr>
      </w:pPr>
      <w:r w:rsidRPr="00645F7F">
        <w:rPr>
          <w:rFonts w:ascii="Times New Roman" w:hAnsi="Times New Roman"/>
          <w:b/>
          <w:bCs/>
          <w:sz w:val="20"/>
          <w:szCs w:val="20"/>
        </w:rPr>
        <w:t>Change in control</w:t>
      </w:r>
      <w:r>
        <w:rPr>
          <w:rFonts w:ascii="Times New Roman" w:hAnsi="Times New Roman"/>
          <w:b/>
          <w:bCs/>
          <w:sz w:val="20"/>
          <w:szCs w:val="20"/>
        </w:rPr>
        <w:t xml:space="preserve"> of our promoter</w:t>
      </w:r>
    </w:p>
    <w:p w14:paraId="3A23048B" w14:textId="77777777" w:rsidR="005B5953" w:rsidRDefault="005B5953" w:rsidP="005B5953">
      <w:pPr>
        <w:autoSpaceDE w:val="0"/>
        <w:autoSpaceDN w:val="0"/>
        <w:adjustRightInd w:val="0"/>
        <w:spacing w:after="0" w:line="240" w:lineRule="auto"/>
        <w:rPr>
          <w:rFonts w:ascii="Times New Roman" w:hAnsi="Times New Roman"/>
          <w:sz w:val="20"/>
          <w:szCs w:val="20"/>
        </w:rPr>
      </w:pPr>
    </w:p>
    <w:p w14:paraId="6C72293A" w14:textId="77777777" w:rsidR="005B5953" w:rsidRDefault="005B5953" w:rsidP="005B5953">
      <w:pPr>
        <w:autoSpaceDE w:val="0"/>
        <w:autoSpaceDN w:val="0"/>
        <w:adjustRightInd w:val="0"/>
        <w:spacing w:after="0" w:line="240" w:lineRule="auto"/>
        <w:jc w:val="both"/>
        <w:rPr>
          <w:rFonts w:ascii="Times New Roman" w:hAnsi="Times New Roman"/>
          <w:sz w:val="20"/>
          <w:szCs w:val="20"/>
        </w:rPr>
      </w:pPr>
      <w:r w:rsidRPr="00645F7F">
        <w:rPr>
          <w:rFonts w:ascii="Times New Roman" w:hAnsi="Times New Roman"/>
          <w:sz w:val="20"/>
          <w:szCs w:val="20"/>
        </w:rPr>
        <w:t xml:space="preserve">There has been no change in the control of </w:t>
      </w:r>
      <w:r>
        <w:rPr>
          <w:rFonts w:ascii="Times New Roman" w:hAnsi="Times New Roman"/>
          <w:sz w:val="20"/>
          <w:szCs w:val="20"/>
        </w:rPr>
        <w:t xml:space="preserve">our promoter </w:t>
      </w:r>
      <w:r w:rsidRPr="00645F7F">
        <w:rPr>
          <w:rFonts w:ascii="Times New Roman" w:hAnsi="Times New Roman"/>
          <w:sz w:val="20"/>
          <w:szCs w:val="20"/>
        </w:rPr>
        <w:t>in the last three years from the date of this Draft</w:t>
      </w:r>
      <w:r>
        <w:rPr>
          <w:rFonts w:ascii="Times New Roman" w:hAnsi="Times New Roman"/>
          <w:sz w:val="20"/>
          <w:szCs w:val="20"/>
        </w:rPr>
        <w:t xml:space="preserve"> Red Herring </w:t>
      </w:r>
      <w:r w:rsidRPr="00645F7F">
        <w:rPr>
          <w:rFonts w:ascii="Times New Roman" w:hAnsi="Times New Roman"/>
          <w:sz w:val="20"/>
          <w:szCs w:val="20"/>
        </w:rPr>
        <w:t>Prospectus.</w:t>
      </w:r>
    </w:p>
    <w:p w14:paraId="72A48303" w14:textId="77777777" w:rsidR="005B5953" w:rsidRDefault="005B5953" w:rsidP="005B5953">
      <w:pPr>
        <w:autoSpaceDE w:val="0"/>
        <w:autoSpaceDN w:val="0"/>
        <w:adjustRightInd w:val="0"/>
        <w:spacing w:after="0" w:line="240" w:lineRule="auto"/>
        <w:jc w:val="both"/>
        <w:rPr>
          <w:rFonts w:ascii="Times New Roman" w:hAnsi="Times New Roman"/>
          <w:sz w:val="20"/>
          <w:szCs w:val="20"/>
        </w:rPr>
      </w:pPr>
    </w:p>
    <w:p w14:paraId="2C430E7D" w14:textId="77777777" w:rsidR="005B5953" w:rsidRPr="00874F1F" w:rsidRDefault="005B5953" w:rsidP="005B5953">
      <w:pPr>
        <w:autoSpaceDE w:val="0"/>
        <w:autoSpaceDN w:val="0"/>
        <w:adjustRightInd w:val="0"/>
        <w:spacing w:after="0" w:line="240" w:lineRule="auto"/>
        <w:jc w:val="both"/>
        <w:rPr>
          <w:rFonts w:ascii="Times New Roman" w:hAnsi="Times New Roman"/>
          <w:b/>
          <w:bCs/>
          <w:sz w:val="20"/>
          <w:szCs w:val="20"/>
        </w:rPr>
      </w:pPr>
      <w:r w:rsidRPr="00874F1F">
        <w:rPr>
          <w:rFonts w:ascii="Times New Roman" w:hAnsi="Times New Roman"/>
          <w:b/>
          <w:bCs/>
          <w:sz w:val="20"/>
          <w:szCs w:val="20"/>
        </w:rPr>
        <w:t>Directors as on the date of the Draft Red Herring Prospectus is as follows:</w:t>
      </w:r>
    </w:p>
    <w:p w14:paraId="238FA9C1" w14:textId="77777777" w:rsidR="005B5953" w:rsidRDefault="005B5953" w:rsidP="005B5953">
      <w:pPr>
        <w:autoSpaceDE w:val="0"/>
        <w:autoSpaceDN w:val="0"/>
        <w:adjustRightInd w:val="0"/>
        <w:spacing w:after="0" w:line="240" w:lineRule="auto"/>
        <w:jc w:val="both"/>
        <w:rPr>
          <w:rFonts w:ascii="Times New Roman" w:hAnsi="Times New Roman"/>
          <w:sz w:val="20"/>
          <w:szCs w:val="20"/>
        </w:rPr>
      </w:pPr>
    </w:p>
    <w:tbl>
      <w:tblPr>
        <w:tblStyle w:val="TableGrid"/>
        <w:tblW w:w="0" w:type="auto"/>
        <w:tblLook w:val="04A0" w:firstRow="1" w:lastRow="0" w:firstColumn="1" w:lastColumn="0" w:noHBand="0" w:noVBand="1"/>
      </w:tblPr>
      <w:tblGrid>
        <w:gridCol w:w="715"/>
        <w:gridCol w:w="4513"/>
        <w:gridCol w:w="2614"/>
        <w:gridCol w:w="2614"/>
      </w:tblGrid>
      <w:tr w:rsidR="005B5953" w:rsidRPr="00874F1F" w14:paraId="48A34520" w14:textId="77777777" w:rsidTr="00250DAC">
        <w:tc>
          <w:tcPr>
            <w:tcW w:w="715" w:type="dxa"/>
            <w:shd w:val="clear" w:color="auto" w:fill="D0CECE" w:themeFill="background2" w:themeFillShade="E6"/>
          </w:tcPr>
          <w:p w14:paraId="59700A82" w14:textId="77777777" w:rsidR="005B5953" w:rsidRPr="00874F1F" w:rsidRDefault="005B5953" w:rsidP="00250DAC">
            <w:pPr>
              <w:autoSpaceDE w:val="0"/>
              <w:autoSpaceDN w:val="0"/>
              <w:adjustRightInd w:val="0"/>
              <w:spacing w:after="0" w:line="240" w:lineRule="auto"/>
              <w:jc w:val="both"/>
              <w:rPr>
                <w:rFonts w:ascii="Times New Roman" w:hAnsi="Times New Roman"/>
                <w:b/>
                <w:bCs/>
              </w:rPr>
            </w:pPr>
            <w:r w:rsidRPr="00874F1F">
              <w:rPr>
                <w:rFonts w:ascii="Times New Roman" w:hAnsi="Times New Roman"/>
                <w:b/>
                <w:bCs/>
              </w:rPr>
              <w:t>S. No.</w:t>
            </w:r>
          </w:p>
        </w:tc>
        <w:tc>
          <w:tcPr>
            <w:tcW w:w="4513" w:type="dxa"/>
            <w:shd w:val="clear" w:color="auto" w:fill="D0CECE" w:themeFill="background2" w:themeFillShade="E6"/>
          </w:tcPr>
          <w:p w14:paraId="3A4FFC50" w14:textId="77777777" w:rsidR="005B5953" w:rsidRPr="00874F1F" w:rsidRDefault="005B5953" w:rsidP="00250DAC">
            <w:pPr>
              <w:autoSpaceDE w:val="0"/>
              <w:autoSpaceDN w:val="0"/>
              <w:adjustRightInd w:val="0"/>
              <w:spacing w:after="0" w:line="240" w:lineRule="auto"/>
              <w:jc w:val="both"/>
              <w:rPr>
                <w:rFonts w:ascii="Times New Roman" w:hAnsi="Times New Roman"/>
                <w:b/>
                <w:bCs/>
              </w:rPr>
            </w:pPr>
            <w:r w:rsidRPr="00874F1F">
              <w:rPr>
                <w:rFonts w:ascii="Times New Roman" w:hAnsi="Times New Roman"/>
                <w:b/>
                <w:bCs/>
              </w:rPr>
              <w:t>Name of Director</w:t>
            </w:r>
          </w:p>
        </w:tc>
        <w:tc>
          <w:tcPr>
            <w:tcW w:w="2614" w:type="dxa"/>
            <w:shd w:val="clear" w:color="auto" w:fill="D0CECE" w:themeFill="background2" w:themeFillShade="E6"/>
          </w:tcPr>
          <w:p w14:paraId="298F4FCC" w14:textId="77777777" w:rsidR="005B5953" w:rsidRPr="00874F1F" w:rsidRDefault="005B5953" w:rsidP="00250DAC">
            <w:pPr>
              <w:autoSpaceDE w:val="0"/>
              <w:autoSpaceDN w:val="0"/>
              <w:adjustRightInd w:val="0"/>
              <w:spacing w:after="0" w:line="240" w:lineRule="auto"/>
              <w:jc w:val="both"/>
              <w:rPr>
                <w:rFonts w:ascii="Times New Roman" w:hAnsi="Times New Roman"/>
                <w:b/>
                <w:bCs/>
              </w:rPr>
            </w:pPr>
            <w:r w:rsidRPr="00874F1F">
              <w:rPr>
                <w:rFonts w:ascii="Times New Roman" w:hAnsi="Times New Roman"/>
                <w:b/>
                <w:bCs/>
              </w:rPr>
              <w:t xml:space="preserve">Designation </w:t>
            </w:r>
          </w:p>
        </w:tc>
        <w:tc>
          <w:tcPr>
            <w:tcW w:w="2614" w:type="dxa"/>
            <w:shd w:val="clear" w:color="auto" w:fill="D0CECE" w:themeFill="background2" w:themeFillShade="E6"/>
          </w:tcPr>
          <w:p w14:paraId="79F50A91" w14:textId="77777777" w:rsidR="005B5953" w:rsidRPr="00874F1F" w:rsidRDefault="005B5953" w:rsidP="00250DAC">
            <w:pPr>
              <w:autoSpaceDE w:val="0"/>
              <w:autoSpaceDN w:val="0"/>
              <w:adjustRightInd w:val="0"/>
              <w:spacing w:after="0" w:line="240" w:lineRule="auto"/>
              <w:jc w:val="both"/>
              <w:rPr>
                <w:rFonts w:ascii="Times New Roman" w:hAnsi="Times New Roman"/>
                <w:b/>
                <w:bCs/>
              </w:rPr>
            </w:pPr>
            <w:r w:rsidRPr="00874F1F">
              <w:rPr>
                <w:rFonts w:ascii="Times New Roman" w:hAnsi="Times New Roman"/>
                <w:b/>
                <w:bCs/>
              </w:rPr>
              <w:t>DIN</w:t>
            </w:r>
          </w:p>
        </w:tc>
      </w:tr>
      <w:tr w:rsidR="005B5953" w14:paraId="3D5D02B4" w14:textId="77777777" w:rsidTr="00250DAC">
        <w:tc>
          <w:tcPr>
            <w:tcW w:w="715" w:type="dxa"/>
          </w:tcPr>
          <w:p w14:paraId="3A9FBE8F" w14:textId="77777777" w:rsidR="005B5953" w:rsidRDefault="005B5953" w:rsidP="00250DAC">
            <w:pPr>
              <w:autoSpaceDE w:val="0"/>
              <w:autoSpaceDN w:val="0"/>
              <w:adjustRightInd w:val="0"/>
              <w:spacing w:after="0" w:line="240" w:lineRule="auto"/>
              <w:jc w:val="center"/>
              <w:rPr>
                <w:rFonts w:ascii="Times New Roman" w:hAnsi="Times New Roman"/>
              </w:rPr>
            </w:pPr>
            <w:r>
              <w:rPr>
                <w:rFonts w:ascii="Times New Roman" w:hAnsi="Times New Roman"/>
              </w:rPr>
              <w:t>1.</w:t>
            </w:r>
          </w:p>
        </w:tc>
        <w:tc>
          <w:tcPr>
            <w:tcW w:w="4513" w:type="dxa"/>
          </w:tcPr>
          <w:p w14:paraId="1D5E36F0" w14:textId="77777777" w:rsidR="005B5953" w:rsidRDefault="005B5953" w:rsidP="00250DAC">
            <w:pPr>
              <w:autoSpaceDE w:val="0"/>
              <w:autoSpaceDN w:val="0"/>
              <w:adjustRightInd w:val="0"/>
              <w:spacing w:after="0" w:line="240" w:lineRule="auto"/>
              <w:jc w:val="both"/>
              <w:rPr>
                <w:rFonts w:ascii="Times New Roman" w:hAnsi="Times New Roman"/>
              </w:rPr>
            </w:pPr>
            <w:r w:rsidRPr="00874F1F">
              <w:rPr>
                <w:rFonts w:ascii="Times New Roman" w:hAnsi="Times New Roman"/>
              </w:rPr>
              <w:t>Ramgopal Ochhavlal Maheshwari</w:t>
            </w:r>
          </w:p>
        </w:tc>
        <w:tc>
          <w:tcPr>
            <w:tcW w:w="2614" w:type="dxa"/>
          </w:tcPr>
          <w:p w14:paraId="426E5780" w14:textId="77777777" w:rsidR="005B5953" w:rsidRDefault="005B5953" w:rsidP="00250DAC">
            <w:pPr>
              <w:autoSpaceDE w:val="0"/>
              <w:autoSpaceDN w:val="0"/>
              <w:adjustRightInd w:val="0"/>
              <w:spacing w:after="0" w:line="240" w:lineRule="auto"/>
              <w:jc w:val="both"/>
              <w:rPr>
                <w:rFonts w:ascii="Times New Roman" w:hAnsi="Times New Roman"/>
              </w:rPr>
            </w:pPr>
            <w:r>
              <w:rPr>
                <w:rFonts w:ascii="Times New Roman" w:hAnsi="Times New Roman"/>
              </w:rPr>
              <w:t>Director</w:t>
            </w:r>
          </w:p>
        </w:tc>
        <w:tc>
          <w:tcPr>
            <w:tcW w:w="2614" w:type="dxa"/>
          </w:tcPr>
          <w:p w14:paraId="1E1F99D3" w14:textId="77777777" w:rsidR="005B5953" w:rsidRDefault="005B5953" w:rsidP="00250DAC">
            <w:pPr>
              <w:autoSpaceDE w:val="0"/>
              <w:autoSpaceDN w:val="0"/>
              <w:adjustRightInd w:val="0"/>
              <w:spacing w:after="0" w:line="240" w:lineRule="auto"/>
              <w:jc w:val="both"/>
              <w:rPr>
                <w:rFonts w:ascii="Times New Roman" w:hAnsi="Times New Roman"/>
              </w:rPr>
            </w:pPr>
            <w:r w:rsidRPr="00874F1F">
              <w:rPr>
                <w:rFonts w:ascii="Times New Roman" w:hAnsi="Times New Roman"/>
              </w:rPr>
              <w:t>00553232</w:t>
            </w:r>
          </w:p>
        </w:tc>
      </w:tr>
      <w:tr w:rsidR="005B5953" w14:paraId="7288581F" w14:textId="77777777" w:rsidTr="00250DAC">
        <w:tc>
          <w:tcPr>
            <w:tcW w:w="715" w:type="dxa"/>
          </w:tcPr>
          <w:p w14:paraId="343D7F12" w14:textId="77777777" w:rsidR="005B5953" w:rsidRDefault="005B5953" w:rsidP="00250DAC">
            <w:pPr>
              <w:autoSpaceDE w:val="0"/>
              <w:autoSpaceDN w:val="0"/>
              <w:adjustRightInd w:val="0"/>
              <w:spacing w:after="0" w:line="240" w:lineRule="auto"/>
              <w:jc w:val="center"/>
              <w:rPr>
                <w:rFonts w:ascii="Times New Roman" w:hAnsi="Times New Roman"/>
              </w:rPr>
            </w:pPr>
            <w:r>
              <w:rPr>
                <w:rFonts w:ascii="Times New Roman" w:hAnsi="Times New Roman"/>
              </w:rPr>
              <w:t>2.</w:t>
            </w:r>
          </w:p>
        </w:tc>
        <w:tc>
          <w:tcPr>
            <w:tcW w:w="4513" w:type="dxa"/>
          </w:tcPr>
          <w:p w14:paraId="36409A8D" w14:textId="77777777" w:rsidR="005B5953" w:rsidRDefault="005B5953" w:rsidP="00250DAC">
            <w:pPr>
              <w:autoSpaceDE w:val="0"/>
              <w:autoSpaceDN w:val="0"/>
              <w:adjustRightInd w:val="0"/>
              <w:spacing w:after="0" w:line="240" w:lineRule="auto"/>
              <w:jc w:val="both"/>
              <w:rPr>
                <w:rFonts w:ascii="Times New Roman" w:hAnsi="Times New Roman"/>
              </w:rPr>
            </w:pPr>
            <w:r w:rsidRPr="00874F1F">
              <w:rPr>
                <w:rFonts w:ascii="Times New Roman" w:hAnsi="Times New Roman"/>
              </w:rPr>
              <w:t>Bhavesh Ramgopal Maheshwari</w:t>
            </w:r>
          </w:p>
        </w:tc>
        <w:tc>
          <w:tcPr>
            <w:tcW w:w="2614" w:type="dxa"/>
          </w:tcPr>
          <w:p w14:paraId="6775D1DC" w14:textId="77777777" w:rsidR="005B5953" w:rsidRDefault="005B5953" w:rsidP="00250DAC">
            <w:pPr>
              <w:autoSpaceDE w:val="0"/>
              <w:autoSpaceDN w:val="0"/>
              <w:adjustRightInd w:val="0"/>
              <w:spacing w:after="0" w:line="240" w:lineRule="auto"/>
              <w:jc w:val="both"/>
              <w:rPr>
                <w:rFonts w:ascii="Times New Roman" w:hAnsi="Times New Roman"/>
              </w:rPr>
            </w:pPr>
            <w:r>
              <w:rPr>
                <w:rFonts w:ascii="Times New Roman" w:hAnsi="Times New Roman"/>
              </w:rPr>
              <w:t>Director</w:t>
            </w:r>
          </w:p>
        </w:tc>
        <w:tc>
          <w:tcPr>
            <w:tcW w:w="2614" w:type="dxa"/>
          </w:tcPr>
          <w:p w14:paraId="2E00DF6E" w14:textId="77777777" w:rsidR="005B5953" w:rsidRDefault="005B5953" w:rsidP="00250DAC">
            <w:pPr>
              <w:autoSpaceDE w:val="0"/>
              <w:autoSpaceDN w:val="0"/>
              <w:adjustRightInd w:val="0"/>
              <w:spacing w:after="0" w:line="240" w:lineRule="auto"/>
              <w:jc w:val="both"/>
              <w:rPr>
                <w:rFonts w:ascii="Times New Roman" w:hAnsi="Times New Roman"/>
              </w:rPr>
            </w:pPr>
            <w:r w:rsidRPr="00874F1F">
              <w:rPr>
                <w:rFonts w:ascii="Times New Roman" w:hAnsi="Times New Roman"/>
              </w:rPr>
              <w:t>06573087</w:t>
            </w:r>
          </w:p>
        </w:tc>
      </w:tr>
    </w:tbl>
    <w:p w14:paraId="73A9A34E" w14:textId="77777777" w:rsidR="005B5953" w:rsidRDefault="005B5953" w:rsidP="005B5953">
      <w:pPr>
        <w:autoSpaceDE w:val="0"/>
        <w:autoSpaceDN w:val="0"/>
        <w:adjustRightInd w:val="0"/>
        <w:spacing w:after="0" w:line="240" w:lineRule="auto"/>
        <w:jc w:val="both"/>
        <w:rPr>
          <w:rFonts w:ascii="Times New Roman" w:hAnsi="Times New Roman"/>
          <w:sz w:val="20"/>
          <w:szCs w:val="20"/>
        </w:rPr>
      </w:pPr>
    </w:p>
    <w:p w14:paraId="4DEAE5E4" w14:textId="77777777" w:rsidR="005B5953" w:rsidRDefault="005B5953" w:rsidP="005B5953">
      <w:pPr>
        <w:autoSpaceDE w:val="0"/>
        <w:autoSpaceDN w:val="0"/>
        <w:adjustRightInd w:val="0"/>
        <w:spacing w:after="0" w:line="240" w:lineRule="auto"/>
        <w:rPr>
          <w:rFonts w:ascii="Times New Roman" w:hAnsi="Times New Roman"/>
          <w:b/>
          <w:sz w:val="20"/>
          <w:szCs w:val="20"/>
        </w:rPr>
      </w:pPr>
      <w:r w:rsidRPr="00874F1F">
        <w:rPr>
          <w:rFonts w:ascii="Times New Roman" w:hAnsi="Times New Roman"/>
          <w:b/>
          <w:sz w:val="20"/>
          <w:szCs w:val="20"/>
        </w:rPr>
        <w:t xml:space="preserve">Shareholding as on the date of the Draft </w:t>
      </w:r>
      <w:r w:rsidRPr="00874F1F">
        <w:rPr>
          <w:rFonts w:ascii="Times New Roman" w:hAnsi="Times New Roman"/>
          <w:b/>
          <w:bCs/>
          <w:sz w:val="20"/>
          <w:szCs w:val="20"/>
        </w:rPr>
        <w:t xml:space="preserve">Red Herring </w:t>
      </w:r>
      <w:r w:rsidRPr="00874F1F">
        <w:rPr>
          <w:rFonts w:ascii="Times New Roman" w:hAnsi="Times New Roman"/>
          <w:b/>
          <w:sz w:val="20"/>
          <w:szCs w:val="20"/>
        </w:rPr>
        <w:t>Prospectus is as follows:</w:t>
      </w:r>
    </w:p>
    <w:p w14:paraId="47822DBA" w14:textId="77777777" w:rsidR="005B5953" w:rsidRDefault="005B5953" w:rsidP="005B5953">
      <w:pPr>
        <w:autoSpaceDE w:val="0"/>
        <w:autoSpaceDN w:val="0"/>
        <w:adjustRightInd w:val="0"/>
        <w:spacing w:after="0" w:line="240" w:lineRule="auto"/>
        <w:rPr>
          <w:rFonts w:ascii="Times New Roman" w:hAnsi="Times New Roman"/>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4043"/>
        <w:gridCol w:w="2854"/>
        <w:gridCol w:w="1464"/>
        <w:gridCol w:w="1372"/>
      </w:tblGrid>
      <w:tr w:rsidR="005B5953" w:rsidRPr="00874F1F" w14:paraId="2264A593" w14:textId="77777777" w:rsidTr="00250DAC">
        <w:trPr>
          <w:trHeight w:val="20"/>
          <w:jc w:val="center"/>
        </w:trPr>
        <w:tc>
          <w:tcPr>
            <w:tcW w:w="345" w:type="pct"/>
            <w:shd w:val="clear" w:color="auto" w:fill="D0CECE" w:themeFill="background2" w:themeFillShade="E6"/>
            <w:noWrap/>
            <w:vAlign w:val="bottom"/>
          </w:tcPr>
          <w:p w14:paraId="68210080" w14:textId="77777777" w:rsidR="005B5953" w:rsidRPr="00874F1F" w:rsidRDefault="005B5953" w:rsidP="00250DAC">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S. No.</w:t>
            </w:r>
          </w:p>
        </w:tc>
        <w:tc>
          <w:tcPr>
            <w:tcW w:w="1933" w:type="pct"/>
            <w:shd w:val="clear" w:color="auto" w:fill="D0CECE" w:themeFill="background2" w:themeFillShade="E6"/>
            <w:vAlign w:val="bottom"/>
          </w:tcPr>
          <w:p w14:paraId="551D16B9" w14:textId="77777777" w:rsidR="005B5953" w:rsidRPr="00874F1F" w:rsidRDefault="005B5953" w:rsidP="00250DAC">
            <w:pPr>
              <w:spacing w:after="0" w:line="240" w:lineRule="auto"/>
              <w:rPr>
                <w:rFonts w:ascii="Times New Roman" w:hAnsi="Times New Roman"/>
                <w:b/>
                <w:bCs/>
                <w:color w:val="000000"/>
                <w:sz w:val="20"/>
                <w:szCs w:val="20"/>
              </w:rPr>
            </w:pPr>
            <w:r w:rsidRPr="00874F1F">
              <w:rPr>
                <w:rFonts w:ascii="Times New Roman" w:hAnsi="Times New Roman"/>
                <w:b/>
                <w:bCs/>
                <w:color w:val="000000"/>
                <w:sz w:val="20"/>
                <w:szCs w:val="20"/>
              </w:rPr>
              <w:t>Name of Shareholders</w:t>
            </w:r>
          </w:p>
        </w:tc>
        <w:tc>
          <w:tcPr>
            <w:tcW w:w="1365" w:type="pct"/>
            <w:shd w:val="clear" w:color="auto" w:fill="D0CECE" w:themeFill="background2" w:themeFillShade="E6"/>
          </w:tcPr>
          <w:p w14:paraId="57FDAA72" w14:textId="34D76093" w:rsidR="005B5953" w:rsidRPr="00874F1F" w:rsidRDefault="005B5953" w:rsidP="00250DAC">
            <w:pPr>
              <w:spacing w:after="0" w:line="240" w:lineRule="auto"/>
              <w:rPr>
                <w:rFonts w:ascii="Times New Roman" w:hAnsi="Times New Roman"/>
                <w:b/>
                <w:bCs/>
                <w:color w:val="000000"/>
                <w:sz w:val="20"/>
                <w:szCs w:val="20"/>
              </w:rPr>
            </w:pPr>
            <w:r>
              <w:rPr>
                <w:rFonts w:ascii="Times New Roman" w:hAnsi="Times New Roman"/>
                <w:b/>
                <w:bCs/>
                <w:color w:val="000000"/>
                <w:sz w:val="20"/>
                <w:szCs w:val="20"/>
              </w:rPr>
              <w:t>Nominal Value per share (</w:t>
            </w:r>
            <w:r w:rsidR="001706A2" w:rsidRPr="001706A2">
              <w:rPr>
                <w:rFonts w:ascii="Times New Roman" w:hAnsi="Times New Roman"/>
                <w:b/>
                <w:bCs/>
                <w:color w:val="000000"/>
                <w:sz w:val="20"/>
                <w:szCs w:val="20"/>
              </w:rPr>
              <w:t>₹</w:t>
            </w:r>
            <w:r>
              <w:rPr>
                <w:rFonts w:ascii="Times New Roman" w:hAnsi="Times New Roman"/>
                <w:b/>
                <w:bCs/>
                <w:color w:val="000000"/>
                <w:sz w:val="20"/>
                <w:szCs w:val="20"/>
              </w:rPr>
              <w:t>)</w:t>
            </w:r>
          </w:p>
        </w:tc>
        <w:tc>
          <w:tcPr>
            <w:tcW w:w="700" w:type="pct"/>
            <w:shd w:val="clear" w:color="auto" w:fill="D0CECE" w:themeFill="background2" w:themeFillShade="E6"/>
            <w:noWrap/>
            <w:vAlign w:val="bottom"/>
            <w:hideMark/>
          </w:tcPr>
          <w:p w14:paraId="3980BF31" w14:textId="77777777" w:rsidR="005B5953" w:rsidRPr="00874F1F" w:rsidRDefault="005B5953" w:rsidP="00250DAC">
            <w:pPr>
              <w:spacing w:after="0" w:line="240" w:lineRule="auto"/>
              <w:rPr>
                <w:rFonts w:ascii="Times New Roman" w:hAnsi="Times New Roman"/>
                <w:b/>
                <w:bCs/>
                <w:color w:val="000000"/>
                <w:sz w:val="20"/>
                <w:szCs w:val="20"/>
              </w:rPr>
            </w:pPr>
            <w:r w:rsidRPr="00874F1F">
              <w:rPr>
                <w:rFonts w:ascii="Times New Roman" w:hAnsi="Times New Roman"/>
                <w:b/>
                <w:bCs/>
                <w:color w:val="000000"/>
                <w:sz w:val="20"/>
                <w:szCs w:val="20"/>
              </w:rPr>
              <w:t>No. of Shares</w:t>
            </w:r>
          </w:p>
        </w:tc>
        <w:tc>
          <w:tcPr>
            <w:tcW w:w="656" w:type="pct"/>
            <w:shd w:val="clear" w:color="auto" w:fill="D0CECE" w:themeFill="background2" w:themeFillShade="E6"/>
            <w:noWrap/>
            <w:vAlign w:val="bottom"/>
            <w:hideMark/>
          </w:tcPr>
          <w:p w14:paraId="1B33843C" w14:textId="77777777" w:rsidR="005B5953" w:rsidRPr="00874F1F" w:rsidRDefault="005B5953" w:rsidP="00250DAC">
            <w:pPr>
              <w:spacing w:after="0" w:line="240" w:lineRule="auto"/>
              <w:rPr>
                <w:rFonts w:ascii="Times New Roman" w:hAnsi="Times New Roman"/>
                <w:b/>
                <w:bCs/>
                <w:color w:val="000000"/>
                <w:sz w:val="20"/>
                <w:szCs w:val="20"/>
              </w:rPr>
            </w:pPr>
            <w:r w:rsidRPr="00874F1F">
              <w:rPr>
                <w:rFonts w:ascii="Times New Roman" w:hAnsi="Times New Roman"/>
                <w:b/>
                <w:bCs/>
                <w:color w:val="000000"/>
                <w:sz w:val="20"/>
                <w:szCs w:val="20"/>
              </w:rPr>
              <w:t xml:space="preserve">% of Holding </w:t>
            </w:r>
          </w:p>
        </w:tc>
      </w:tr>
      <w:tr w:rsidR="005B5953" w:rsidRPr="00874F1F" w14:paraId="5FA10CB3" w14:textId="77777777" w:rsidTr="00250DAC">
        <w:trPr>
          <w:trHeight w:val="20"/>
          <w:jc w:val="center"/>
        </w:trPr>
        <w:tc>
          <w:tcPr>
            <w:tcW w:w="345" w:type="pct"/>
            <w:shd w:val="clear" w:color="auto" w:fill="auto"/>
            <w:noWrap/>
            <w:vAlign w:val="bottom"/>
          </w:tcPr>
          <w:p w14:paraId="0A30BF96" w14:textId="77777777" w:rsidR="005B5953" w:rsidRPr="00874F1F" w:rsidRDefault="005B5953" w:rsidP="00250DAC">
            <w:pPr>
              <w:spacing w:after="0" w:line="240" w:lineRule="auto"/>
              <w:rPr>
                <w:rFonts w:ascii="Times New Roman" w:hAnsi="Times New Roman"/>
                <w:color w:val="000000"/>
                <w:sz w:val="20"/>
                <w:szCs w:val="20"/>
              </w:rPr>
            </w:pPr>
            <w:r>
              <w:rPr>
                <w:rFonts w:ascii="Times New Roman" w:hAnsi="Times New Roman"/>
                <w:color w:val="000000"/>
                <w:sz w:val="20"/>
                <w:szCs w:val="20"/>
              </w:rPr>
              <w:t>1.</w:t>
            </w:r>
          </w:p>
        </w:tc>
        <w:tc>
          <w:tcPr>
            <w:tcW w:w="1933" w:type="pct"/>
            <w:vAlign w:val="bottom"/>
          </w:tcPr>
          <w:p w14:paraId="0B32A667" w14:textId="77777777" w:rsidR="005B5953" w:rsidRPr="00874F1F" w:rsidRDefault="005B5953" w:rsidP="00250DAC">
            <w:pPr>
              <w:spacing w:after="0" w:line="240" w:lineRule="auto"/>
              <w:jc w:val="both"/>
              <w:rPr>
                <w:rFonts w:ascii="Times New Roman" w:hAnsi="Times New Roman"/>
                <w:color w:val="000000"/>
                <w:sz w:val="20"/>
                <w:szCs w:val="20"/>
              </w:rPr>
            </w:pPr>
            <w:r w:rsidRPr="00874F1F">
              <w:rPr>
                <w:rFonts w:ascii="Times New Roman" w:hAnsi="Times New Roman"/>
                <w:sz w:val="20"/>
                <w:szCs w:val="20"/>
              </w:rPr>
              <w:t>Ramgopal Ochhavlal Maheshwari</w:t>
            </w:r>
          </w:p>
        </w:tc>
        <w:tc>
          <w:tcPr>
            <w:tcW w:w="1365" w:type="pct"/>
          </w:tcPr>
          <w:p w14:paraId="312666C8" w14:textId="77777777" w:rsidR="005B5953" w:rsidRPr="00874F1F" w:rsidRDefault="005B5953" w:rsidP="00250DA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w:t>
            </w:r>
          </w:p>
        </w:tc>
        <w:tc>
          <w:tcPr>
            <w:tcW w:w="700" w:type="pct"/>
            <w:shd w:val="clear" w:color="auto" w:fill="auto"/>
            <w:noWrap/>
            <w:vAlign w:val="bottom"/>
          </w:tcPr>
          <w:p w14:paraId="2941C453" w14:textId="77777777" w:rsidR="005B5953" w:rsidRPr="00874F1F" w:rsidRDefault="005B5953" w:rsidP="00250DAC">
            <w:pPr>
              <w:spacing w:after="0" w:line="240" w:lineRule="auto"/>
              <w:jc w:val="center"/>
              <w:rPr>
                <w:rFonts w:ascii="Times New Roman" w:hAnsi="Times New Roman"/>
                <w:color w:val="000000"/>
                <w:sz w:val="20"/>
                <w:szCs w:val="20"/>
              </w:rPr>
            </w:pPr>
            <w:r w:rsidRPr="00874F1F">
              <w:rPr>
                <w:rFonts w:ascii="Times New Roman" w:hAnsi="Times New Roman"/>
                <w:color w:val="000000"/>
                <w:sz w:val="20"/>
                <w:szCs w:val="20"/>
              </w:rPr>
              <w:t>3</w:t>
            </w:r>
            <w:r>
              <w:rPr>
                <w:rFonts w:ascii="Times New Roman" w:hAnsi="Times New Roman"/>
                <w:color w:val="000000"/>
                <w:sz w:val="20"/>
                <w:szCs w:val="20"/>
              </w:rPr>
              <w:t>,</w:t>
            </w:r>
            <w:r w:rsidRPr="00874F1F">
              <w:rPr>
                <w:rFonts w:ascii="Times New Roman" w:hAnsi="Times New Roman"/>
                <w:color w:val="000000"/>
                <w:sz w:val="20"/>
                <w:szCs w:val="20"/>
              </w:rPr>
              <w:t>91</w:t>
            </w:r>
            <w:r>
              <w:rPr>
                <w:rFonts w:ascii="Times New Roman" w:hAnsi="Times New Roman"/>
                <w:color w:val="000000"/>
                <w:sz w:val="20"/>
                <w:szCs w:val="20"/>
              </w:rPr>
              <w:t>,</w:t>
            </w:r>
            <w:r w:rsidRPr="00874F1F">
              <w:rPr>
                <w:rFonts w:ascii="Times New Roman" w:hAnsi="Times New Roman"/>
                <w:color w:val="000000"/>
                <w:sz w:val="20"/>
                <w:szCs w:val="20"/>
              </w:rPr>
              <w:t>000</w:t>
            </w:r>
          </w:p>
        </w:tc>
        <w:tc>
          <w:tcPr>
            <w:tcW w:w="656" w:type="pct"/>
            <w:shd w:val="clear" w:color="auto" w:fill="auto"/>
            <w:noWrap/>
            <w:vAlign w:val="bottom"/>
          </w:tcPr>
          <w:p w14:paraId="5B156A6F" w14:textId="77777777" w:rsidR="005B5953" w:rsidRPr="00874F1F" w:rsidRDefault="005B5953" w:rsidP="00250DAC">
            <w:pPr>
              <w:spacing w:after="0" w:line="240" w:lineRule="auto"/>
              <w:jc w:val="center"/>
              <w:rPr>
                <w:rFonts w:ascii="Times New Roman" w:hAnsi="Times New Roman"/>
                <w:color w:val="000000"/>
                <w:sz w:val="20"/>
                <w:szCs w:val="20"/>
              </w:rPr>
            </w:pPr>
            <w:r w:rsidRPr="00874F1F">
              <w:rPr>
                <w:rFonts w:ascii="Times New Roman" w:hAnsi="Times New Roman"/>
                <w:color w:val="000000"/>
                <w:sz w:val="20"/>
                <w:szCs w:val="20"/>
              </w:rPr>
              <w:t>33.27</w:t>
            </w:r>
          </w:p>
        </w:tc>
      </w:tr>
      <w:tr w:rsidR="005B5953" w:rsidRPr="00874F1F" w14:paraId="1A9C782F" w14:textId="77777777" w:rsidTr="00250DAC">
        <w:trPr>
          <w:trHeight w:val="20"/>
          <w:jc w:val="center"/>
        </w:trPr>
        <w:tc>
          <w:tcPr>
            <w:tcW w:w="345" w:type="pct"/>
            <w:shd w:val="clear" w:color="auto" w:fill="auto"/>
            <w:noWrap/>
            <w:vAlign w:val="bottom"/>
          </w:tcPr>
          <w:p w14:paraId="407109D7" w14:textId="77777777" w:rsidR="005B5953" w:rsidRDefault="005B5953" w:rsidP="00250DAC">
            <w:pPr>
              <w:spacing w:after="0" w:line="240" w:lineRule="auto"/>
              <w:rPr>
                <w:rFonts w:ascii="Times New Roman" w:hAnsi="Times New Roman"/>
                <w:color w:val="000000"/>
                <w:sz w:val="20"/>
                <w:szCs w:val="20"/>
              </w:rPr>
            </w:pPr>
            <w:r>
              <w:rPr>
                <w:rFonts w:ascii="Times New Roman" w:hAnsi="Times New Roman"/>
                <w:color w:val="000000"/>
                <w:sz w:val="20"/>
                <w:szCs w:val="20"/>
              </w:rPr>
              <w:t>2.</w:t>
            </w:r>
          </w:p>
        </w:tc>
        <w:tc>
          <w:tcPr>
            <w:tcW w:w="1933" w:type="pct"/>
            <w:vAlign w:val="bottom"/>
          </w:tcPr>
          <w:p w14:paraId="4B935CA3" w14:textId="77777777" w:rsidR="005B5953" w:rsidRPr="00874F1F" w:rsidRDefault="005B5953" w:rsidP="00250DAC">
            <w:pPr>
              <w:spacing w:after="0" w:line="240" w:lineRule="auto"/>
              <w:jc w:val="both"/>
              <w:rPr>
                <w:rFonts w:ascii="Times New Roman" w:hAnsi="Times New Roman"/>
                <w:sz w:val="20"/>
                <w:szCs w:val="20"/>
              </w:rPr>
            </w:pPr>
            <w:r w:rsidRPr="00874F1F">
              <w:rPr>
                <w:rFonts w:ascii="Times New Roman" w:hAnsi="Times New Roman"/>
                <w:color w:val="000000"/>
                <w:sz w:val="20"/>
                <w:szCs w:val="20"/>
              </w:rPr>
              <w:t>Bhavesh</w:t>
            </w:r>
            <w:r w:rsidRPr="00874F1F">
              <w:rPr>
                <w:rFonts w:ascii="Times New Roman" w:hAnsi="Times New Roman"/>
                <w:sz w:val="20"/>
                <w:szCs w:val="20"/>
              </w:rPr>
              <w:t xml:space="preserve"> Ramgopal Maheshwari</w:t>
            </w:r>
          </w:p>
        </w:tc>
        <w:tc>
          <w:tcPr>
            <w:tcW w:w="1365" w:type="pct"/>
          </w:tcPr>
          <w:p w14:paraId="6F55C9C1" w14:textId="77777777" w:rsidR="005B5953" w:rsidRPr="00874F1F" w:rsidRDefault="005B5953" w:rsidP="00250DA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w:t>
            </w:r>
          </w:p>
        </w:tc>
        <w:tc>
          <w:tcPr>
            <w:tcW w:w="700" w:type="pct"/>
            <w:shd w:val="clear" w:color="auto" w:fill="auto"/>
            <w:noWrap/>
            <w:vAlign w:val="bottom"/>
          </w:tcPr>
          <w:p w14:paraId="4929EA92" w14:textId="77777777" w:rsidR="005B5953" w:rsidRPr="00874F1F" w:rsidRDefault="005B5953" w:rsidP="00250DAC">
            <w:pPr>
              <w:spacing w:after="0" w:line="240" w:lineRule="auto"/>
              <w:jc w:val="center"/>
              <w:rPr>
                <w:rFonts w:ascii="Times New Roman" w:hAnsi="Times New Roman"/>
                <w:color w:val="000000"/>
                <w:sz w:val="20"/>
                <w:szCs w:val="20"/>
              </w:rPr>
            </w:pPr>
            <w:r w:rsidRPr="00874F1F">
              <w:rPr>
                <w:rFonts w:ascii="Times New Roman" w:hAnsi="Times New Roman"/>
                <w:color w:val="000000"/>
                <w:sz w:val="20"/>
                <w:szCs w:val="20"/>
              </w:rPr>
              <w:t>3</w:t>
            </w:r>
            <w:r>
              <w:rPr>
                <w:rFonts w:ascii="Times New Roman" w:hAnsi="Times New Roman"/>
                <w:color w:val="000000"/>
                <w:sz w:val="20"/>
                <w:szCs w:val="20"/>
              </w:rPr>
              <w:t>,</w:t>
            </w:r>
            <w:r w:rsidRPr="00874F1F">
              <w:rPr>
                <w:rFonts w:ascii="Times New Roman" w:hAnsi="Times New Roman"/>
                <w:color w:val="000000"/>
                <w:sz w:val="20"/>
                <w:szCs w:val="20"/>
              </w:rPr>
              <w:t>06</w:t>
            </w:r>
            <w:r>
              <w:rPr>
                <w:rFonts w:ascii="Times New Roman" w:hAnsi="Times New Roman"/>
                <w:color w:val="000000"/>
                <w:sz w:val="20"/>
                <w:szCs w:val="20"/>
              </w:rPr>
              <w:t>,</w:t>
            </w:r>
            <w:r w:rsidRPr="00874F1F">
              <w:rPr>
                <w:rFonts w:ascii="Times New Roman" w:hAnsi="Times New Roman"/>
                <w:color w:val="000000"/>
                <w:sz w:val="20"/>
                <w:szCs w:val="20"/>
              </w:rPr>
              <w:t>900</w:t>
            </w:r>
          </w:p>
        </w:tc>
        <w:tc>
          <w:tcPr>
            <w:tcW w:w="656" w:type="pct"/>
            <w:shd w:val="clear" w:color="auto" w:fill="auto"/>
            <w:noWrap/>
            <w:vAlign w:val="bottom"/>
          </w:tcPr>
          <w:p w14:paraId="6818CDCF" w14:textId="77777777" w:rsidR="005B5953" w:rsidRPr="00874F1F" w:rsidRDefault="005B5953" w:rsidP="00250DAC">
            <w:pPr>
              <w:spacing w:after="0" w:line="240" w:lineRule="auto"/>
              <w:jc w:val="center"/>
              <w:rPr>
                <w:rFonts w:ascii="Times New Roman" w:hAnsi="Times New Roman"/>
                <w:color w:val="000000"/>
                <w:sz w:val="20"/>
                <w:szCs w:val="20"/>
              </w:rPr>
            </w:pPr>
            <w:r w:rsidRPr="00874F1F">
              <w:rPr>
                <w:rFonts w:ascii="Times New Roman" w:hAnsi="Times New Roman"/>
                <w:color w:val="000000"/>
                <w:sz w:val="20"/>
                <w:szCs w:val="20"/>
              </w:rPr>
              <w:t>26.35</w:t>
            </w:r>
          </w:p>
        </w:tc>
      </w:tr>
      <w:tr w:rsidR="005B5953" w:rsidRPr="00874F1F" w14:paraId="4A3063E4" w14:textId="77777777" w:rsidTr="00250DAC">
        <w:trPr>
          <w:trHeight w:val="20"/>
          <w:jc w:val="center"/>
        </w:trPr>
        <w:tc>
          <w:tcPr>
            <w:tcW w:w="345" w:type="pct"/>
            <w:shd w:val="clear" w:color="auto" w:fill="auto"/>
            <w:noWrap/>
            <w:vAlign w:val="bottom"/>
          </w:tcPr>
          <w:p w14:paraId="7FBB71D2" w14:textId="77777777" w:rsidR="005B5953" w:rsidRPr="00874F1F" w:rsidRDefault="005B5953" w:rsidP="00250DAC">
            <w:pPr>
              <w:spacing w:after="0" w:line="240" w:lineRule="auto"/>
              <w:rPr>
                <w:rFonts w:ascii="Times New Roman" w:hAnsi="Times New Roman"/>
                <w:color w:val="000000"/>
                <w:sz w:val="20"/>
                <w:szCs w:val="20"/>
              </w:rPr>
            </w:pPr>
            <w:r>
              <w:rPr>
                <w:rFonts w:ascii="Times New Roman" w:hAnsi="Times New Roman"/>
                <w:color w:val="000000"/>
                <w:sz w:val="20"/>
                <w:szCs w:val="20"/>
              </w:rPr>
              <w:t>3.</w:t>
            </w:r>
          </w:p>
        </w:tc>
        <w:tc>
          <w:tcPr>
            <w:tcW w:w="1933" w:type="pct"/>
            <w:vAlign w:val="bottom"/>
          </w:tcPr>
          <w:p w14:paraId="550A81D2" w14:textId="77777777" w:rsidR="005B5953" w:rsidRPr="00874F1F" w:rsidRDefault="005B5953" w:rsidP="00250DAC">
            <w:pPr>
              <w:spacing w:after="0" w:line="240" w:lineRule="auto"/>
              <w:jc w:val="both"/>
              <w:rPr>
                <w:rFonts w:ascii="Times New Roman" w:hAnsi="Times New Roman"/>
                <w:color w:val="000000"/>
                <w:sz w:val="20"/>
                <w:szCs w:val="20"/>
              </w:rPr>
            </w:pPr>
            <w:r w:rsidRPr="00874F1F">
              <w:rPr>
                <w:rFonts w:ascii="Times New Roman" w:hAnsi="Times New Roman"/>
                <w:color w:val="000000"/>
                <w:sz w:val="20"/>
                <w:szCs w:val="20"/>
              </w:rPr>
              <w:t xml:space="preserve">Madhu </w:t>
            </w:r>
            <w:r w:rsidRPr="00874F1F">
              <w:rPr>
                <w:rFonts w:ascii="Times New Roman" w:hAnsi="Times New Roman"/>
                <w:sz w:val="20"/>
                <w:szCs w:val="20"/>
              </w:rPr>
              <w:t xml:space="preserve">Ramgopal </w:t>
            </w:r>
            <w:r w:rsidRPr="00874F1F">
              <w:rPr>
                <w:rFonts w:ascii="Times New Roman" w:hAnsi="Times New Roman"/>
                <w:color w:val="000000"/>
                <w:sz w:val="20"/>
                <w:szCs w:val="20"/>
              </w:rPr>
              <w:t>Maheshwari</w:t>
            </w:r>
          </w:p>
        </w:tc>
        <w:tc>
          <w:tcPr>
            <w:tcW w:w="1365" w:type="pct"/>
          </w:tcPr>
          <w:p w14:paraId="0F232AEF" w14:textId="77777777" w:rsidR="005B5953" w:rsidRPr="00874F1F" w:rsidRDefault="005B5953" w:rsidP="00250DA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w:t>
            </w:r>
          </w:p>
        </w:tc>
        <w:tc>
          <w:tcPr>
            <w:tcW w:w="700" w:type="pct"/>
            <w:shd w:val="clear" w:color="auto" w:fill="auto"/>
            <w:noWrap/>
            <w:vAlign w:val="bottom"/>
          </w:tcPr>
          <w:p w14:paraId="5332DDE7" w14:textId="77777777" w:rsidR="005B5953" w:rsidRPr="00874F1F" w:rsidRDefault="005B5953" w:rsidP="00250DAC">
            <w:pPr>
              <w:spacing w:after="0" w:line="240" w:lineRule="auto"/>
              <w:jc w:val="center"/>
              <w:rPr>
                <w:rFonts w:ascii="Times New Roman" w:hAnsi="Times New Roman"/>
                <w:color w:val="000000"/>
                <w:sz w:val="20"/>
                <w:szCs w:val="20"/>
              </w:rPr>
            </w:pPr>
            <w:r w:rsidRPr="00874F1F">
              <w:rPr>
                <w:rFonts w:ascii="Times New Roman" w:hAnsi="Times New Roman"/>
                <w:color w:val="000000"/>
                <w:sz w:val="20"/>
                <w:szCs w:val="20"/>
              </w:rPr>
              <w:t>3</w:t>
            </w:r>
            <w:r>
              <w:rPr>
                <w:rFonts w:ascii="Times New Roman" w:hAnsi="Times New Roman"/>
                <w:color w:val="000000"/>
                <w:sz w:val="20"/>
                <w:szCs w:val="20"/>
              </w:rPr>
              <w:t>,</w:t>
            </w:r>
            <w:r w:rsidRPr="00874F1F">
              <w:rPr>
                <w:rFonts w:ascii="Times New Roman" w:hAnsi="Times New Roman"/>
                <w:color w:val="000000"/>
                <w:sz w:val="20"/>
                <w:szCs w:val="20"/>
              </w:rPr>
              <w:t>00</w:t>
            </w:r>
            <w:r>
              <w:rPr>
                <w:rFonts w:ascii="Times New Roman" w:hAnsi="Times New Roman"/>
                <w:color w:val="000000"/>
                <w:sz w:val="20"/>
                <w:szCs w:val="20"/>
              </w:rPr>
              <w:t>,</w:t>
            </w:r>
            <w:r w:rsidRPr="00874F1F">
              <w:rPr>
                <w:rFonts w:ascii="Times New Roman" w:hAnsi="Times New Roman"/>
                <w:color w:val="000000"/>
                <w:sz w:val="20"/>
                <w:szCs w:val="20"/>
              </w:rPr>
              <w:t>000</w:t>
            </w:r>
          </w:p>
        </w:tc>
        <w:tc>
          <w:tcPr>
            <w:tcW w:w="656" w:type="pct"/>
            <w:shd w:val="clear" w:color="auto" w:fill="auto"/>
            <w:noWrap/>
            <w:vAlign w:val="bottom"/>
          </w:tcPr>
          <w:p w14:paraId="6177C0E8" w14:textId="77777777" w:rsidR="005B5953" w:rsidRPr="00874F1F" w:rsidRDefault="005B5953" w:rsidP="00250DAC">
            <w:pPr>
              <w:spacing w:after="0" w:line="240" w:lineRule="auto"/>
              <w:jc w:val="center"/>
              <w:rPr>
                <w:rFonts w:ascii="Times New Roman" w:hAnsi="Times New Roman"/>
                <w:color w:val="000000"/>
                <w:sz w:val="20"/>
                <w:szCs w:val="20"/>
              </w:rPr>
            </w:pPr>
            <w:r w:rsidRPr="00874F1F">
              <w:rPr>
                <w:rFonts w:ascii="Times New Roman" w:hAnsi="Times New Roman"/>
                <w:color w:val="000000"/>
                <w:sz w:val="20"/>
                <w:szCs w:val="20"/>
              </w:rPr>
              <w:t>25.76</w:t>
            </w:r>
          </w:p>
        </w:tc>
      </w:tr>
      <w:tr w:rsidR="005B5953" w:rsidRPr="00874F1F" w14:paraId="565E352A" w14:textId="77777777" w:rsidTr="00250DAC">
        <w:trPr>
          <w:trHeight w:val="20"/>
          <w:jc w:val="center"/>
        </w:trPr>
        <w:tc>
          <w:tcPr>
            <w:tcW w:w="345" w:type="pct"/>
            <w:shd w:val="clear" w:color="auto" w:fill="auto"/>
            <w:noWrap/>
            <w:vAlign w:val="bottom"/>
          </w:tcPr>
          <w:p w14:paraId="3D74F2FA" w14:textId="77777777" w:rsidR="005B5953" w:rsidRPr="00874F1F" w:rsidRDefault="005B5953" w:rsidP="00250DAC">
            <w:pPr>
              <w:spacing w:after="0" w:line="240" w:lineRule="auto"/>
              <w:rPr>
                <w:rFonts w:ascii="Times New Roman" w:hAnsi="Times New Roman"/>
                <w:color w:val="000000"/>
                <w:sz w:val="20"/>
                <w:szCs w:val="20"/>
              </w:rPr>
            </w:pPr>
            <w:r>
              <w:rPr>
                <w:rFonts w:ascii="Times New Roman" w:hAnsi="Times New Roman"/>
                <w:color w:val="000000"/>
                <w:sz w:val="20"/>
                <w:szCs w:val="20"/>
              </w:rPr>
              <w:t>4.</w:t>
            </w:r>
          </w:p>
        </w:tc>
        <w:tc>
          <w:tcPr>
            <w:tcW w:w="1933" w:type="pct"/>
            <w:vAlign w:val="bottom"/>
          </w:tcPr>
          <w:p w14:paraId="4A9A2FCB" w14:textId="77777777" w:rsidR="005B5953" w:rsidRPr="00874F1F" w:rsidRDefault="005B5953" w:rsidP="00250DAC">
            <w:pPr>
              <w:spacing w:after="0" w:line="240" w:lineRule="auto"/>
              <w:jc w:val="both"/>
              <w:rPr>
                <w:rFonts w:ascii="Times New Roman" w:hAnsi="Times New Roman"/>
                <w:color w:val="000000"/>
                <w:sz w:val="20"/>
                <w:szCs w:val="20"/>
              </w:rPr>
            </w:pPr>
            <w:r w:rsidRPr="00874F1F">
              <w:rPr>
                <w:rFonts w:ascii="Times New Roman" w:hAnsi="Times New Roman"/>
                <w:color w:val="000000"/>
                <w:sz w:val="20"/>
                <w:szCs w:val="20"/>
              </w:rPr>
              <w:t xml:space="preserve">Megha </w:t>
            </w:r>
            <w:r w:rsidRPr="00874F1F">
              <w:rPr>
                <w:rFonts w:ascii="Times New Roman" w:hAnsi="Times New Roman"/>
                <w:sz w:val="20"/>
                <w:szCs w:val="20"/>
              </w:rPr>
              <w:t>Maheshwari</w:t>
            </w:r>
          </w:p>
        </w:tc>
        <w:tc>
          <w:tcPr>
            <w:tcW w:w="1365" w:type="pct"/>
          </w:tcPr>
          <w:p w14:paraId="182869D2" w14:textId="77777777" w:rsidR="005B5953" w:rsidRPr="00874F1F" w:rsidRDefault="005B5953" w:rsidP="00250DA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w:t>
            </w:r>
          </w:p>
        </w:tc>
        <w:tc>
          <w:tcPr>
            <w:tcW w:w="700" w:type="pct"/>
            <w:shd w:val="clear" w:color="auto" w:fill="auto"/>
            <w:noWrap/>
            <w:vAlign w:val="bottom"/>
          </w:tcPr>
          <w:p w14:paraId="6170666B" w14:textId="77777777" w:rsidR="005B5953" w:rsidRPr="00874F1F" w:rsidRDefault="005B5953" w:rsidP="00250DAC">
            <w:pPr>
              <w:spacing w:after="0" w:line="240" w:lineRule="auto"/>
              <w:jc w:val="center"/>
              <w:rPr>
                <w:rFonts w:ascii="Times New Roman" w:hAnsi="Times New Roman"/>
                <w:color w:val="000000"/>
                <w:sz w:val="20"/>
                <w:szCs w:val="20"/>
              </w:rPr>
            </w:pPr>
            <w:r w:rsidRPr="00874F1F">
              <w:rPr>
                <w:rFonts w:ascii="Times New Roman" w:hAnsi="Times New Roman"/>
                <w:color w:val="000000"/>
                <w:sz w:val="20"/>
                <w:szCs w:val="20"/>
              </w:rPr>
              <w:t>1</w:t>
            </w:r>
            <w:r>
              <w:rPr>
                <w:rFonts w:ascii="Times New Roman" w:hAnsi="Times New Roman"/>
                <w:color w:val="000000"/>
                <w:sz w:val="20"/>
                <w:szCs w:val="20"/>
              </w:rPr>
              <w:t>,</w:t>
            </w:r>
            <w:r w:rsidRPr="00874F1F">
              <w:rPr>
                <w:rFonts w:ascii="Times New Roman" w:hAnsi="Times New Roman"/>
                <w:color w:val="000000"/>
                <w:sz w:val="20"/>
                <w:szCs w:val="20"/>
              </w:rPr>
              <w:t>06</w:t>
            </w:r>
            <w:r>
              <w:rPr>
                <w:rFonts w:ascii="Times New Roman" w:hAnsi="Times New Roman"/>
                <w:color w:val="000000"/>
                <w:sz w:val="20"/>
                <w:szCs w:val="20"/>
              </w:rPr>
              <w:t>,</w:t>
            </w:r>
            <w:r w:rsidRPr="00874F1F">
              <w:rPr>
                <w:rFonts w:ascii="Times New Roman" w:hAnsi="Times New Roman"/>
                <w:color w:val="000000"/>
                <w:sz w:val="20"/>
                <w:szCs w:val="20"/>
              </w:rPr>
              <w:t>650</w:t>
            </w:r>
          </w:p>
        </w:tc>
        <w:tc>
          <w:tcPr>
            <w:tcW w:w="656" w:type="pct"/>
            <w:shd w:val="clear" w:color="auto" w:fill="auto"/>
            <w:noWrap/>
            <w:vAlign w:val="bottom"/>
          </w:tcPr>
          <w:p w14:paraId="3015FB80" w14:textId="77777777" w:rsidR="005B5953" w:rsidRPr="00874F1F" w:rsidRDefault="005B5953" w:rsidP="00250DAC">
            <w:pPr>
              <w:spacing w:after="0" w:line="240" w:lineRule="auto"/>
              <w:jc w:val="center"/>
              <w:rPr>
                <w:rFonts w:ascii="Times New Roman" w:hAnsi="Times New Roman"/>
                <w:color w:val="000000"/>
                <w:sz w:val="20"/>
                <w:szCs w:val="20"/>
              </w:rPr>
            </w:pPr>
            <w:r w:rsidRPr="00874F1F">
              <w:rPr>
                <w:rFonts w:ascii="Times New Roman" w:hAnsi="Times New Roman"/>
                <w:color w:val="000000"/>
                <w:sz w:val="20"/>
                <w:szCs w:val="20"/>
              </w:rPr>
              <w:t>9.15</w:t>
            </w:r>
          </w:p>
        </w:tc>
      </w:tr>
      <w:tr w:rsidR="005B5953" w:rsidRPr="00874F1F" w14:paraId="4ADC1B01" w14:textId="77777777" w:rsidTr="00250DAC">
        <w:trPr>
          <w:trHeight w:val="20"/>
          <w:jc w:val="center"/>
        </w:trPr>
        <w:tc>
          <w:tcPr>
            <w:tcW w:w="345" w:type="pct"/>
            <w:shd w:val="clear" w:color="auto" w:fill="auto"/>
            <w:noWrap/>
            <w:vAlign w:val="bottom"/>
          </w:tcPr>
          <w:p w14:paraId="772A7A06" w14:textId="77777777" w:rsidR="005B5953" w:rsidRPr="00874F1F" w:rsidRDefault="005B5953" w:rsidP="00250DAC">
            <w:pPr>
              <w:spacing w:after="0" w:line="240" w:lineRule="auto"/>
              <w:rPr>
                <w:rFonts w:ascii="Times New Roman" w:hAnsi="Times New Roman"/>
                <w:color w:val="000000"/>
                <w:sz w:val="20"/>
                <w:szCs w:val="20"/>
              </w:rPr>
            </w:pPr>
            <w:r>
              <w:rPr>
                <w:rFonts w:ascii="Times New Roman" w:hAnsi="Times New Roman"/>
                <w:color w:val="000000"/>
                <w:sz w:val="20"/>
                <w:szCs w:val="20"/>
              </w:rPr>
              <w:t>5.</w:t>
            </w:r>
          </w:p>
        </w:tc>
        <w:tc>
          <w:tcPr>
            <w:tcW w:w="1933" w:type="pct"/>
            <w:vAlign w:val="bottom"/>
          </w:tcPr>
          <w:p w14:paraId="33983C5B" w14:textId="77777777" w:rsidR="005B5953" w:rsidRPr="00874F1F" w:rsidRDefault="005B5953" w:rsidP="00250DAC">
            <w:pPr>
              <w:spacing w:after="0" w:line="240" w:lineRule="auto"/>
              <w:jc w:val="both"/>
              <w:rPr>
                <w:rFonts w:ascii="Times New Roman" w:hAnsi="Times New Roman"/>
                <w:color w:val="000000"/>
                <w:sz w:val="20"/>
                <w:szCs w:val="20"/>
              </w:rPr>
            </w:pPr>
            <w:r w:rsidRPr="00874F1F">
              <w:rPr>
                <w:rFonts w:ascii="Times New Roman" w:hAnsi="Times New Roman"/>
                <w:color w:val="000000"/>
                <w:sz w:val="20"/>
                <w:szCs w:val="20"/>
              </w:rPr>
              <w:t>Priya Kabra</w:t>
            </w:r>
          </w:p>
        </w:tc>
        <w:tc>
          <w:tcPr>
            <w:tcW w:w="1365" w:type="pct"/>
          </w:tcPr>
          <w:p w14:paraId="7250326B" w14:textId="77777777" w:rsidR="005B5953" w:rsidRPr="00874F1F" w:rsidRDefault="005B5953" w:rsidP="00250DA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w:t>
            </w:r>
          </w:p>
        </w:tc>
        <w:tc>
          <w:tcPr>
            <w:tcW w:w="700" w:type="pct"/>
            <w:shd w:val="clear" w:color="auto" w:fill="auto"/>
            <w:noWrap/>
            <w:vAlign w:val="bottom"/>
          </w:tcPr>
          <w:p w14:paraId="09AB1807" w14:textId="77777777" w:rsidR="005B5953" w:rsidRPr="00874F1F" w:rsidRDefault="005B5953" w:rsidP="00250DAC">
            <w:pPr>
              <w:spacing w:after="0" w:line="240" w:lineRule="auto"/>
              <w:jc w:val="center"/>
              <w:rPr>
                <w:rFonts w:ascii="Times New Roman" w:hAnsi="Times New Roman"/>
                <w:color w:val="000000"/>
                <w:sz w:val="20"/>
                <w:szCs w:val="20"/>
              </w:rPr>
            </w:pPr>
            <w:r w:rsidRPr="00874F1F">
              <w:rPr>
                <w:rFonts w:ascii="Times New Roman" w:hAnsi="Times New Roman"/>
                <w:color w:val="000000"/>
                <w:sz w:val="20"/>
                <w:szCs w:val="20"/>
              </w:rPr>
              <w:t>60</w:t>
            </w:r>
            <w:r>
              <w:rPr>
                <w:rFonts w:ascii="Times New Roman" w:hAnsi="Times New Roman"/>
                <w:color w:val="000000"/>
                <w:sz w:val="20"/>
                <w:szCs w:val="20"/>
              </w:rPr>
              <w:t>,</w:t>
            </w:r>
            <w:r w:rsidRPr="00874F1F">
              <w:rPr>
                <w:rFonts w:ascii="Times New Roman" w:hAnsi="Times New Roman"/>
                <w:color w:val="000000"/>
                <w:sz w:val="20"/>
                <w:szCs w:val="20"/>
              </w:rPr>
              <w:t>000</w:t>
            </w:r>
          </w:p>
        </w:tc>
        <w:tc>
          <w:tcPr>
            <w:tcW w:w="656" w:type="pct"/>
            <w:shd w:val="clear" w:color="auto" w:fill="auto"/>
            <w:noWrap/>
            <w:vAlign w:val="bottom"/>
          </w:tcPr>
          <w:p w14:paraId="03C5806A" w14:textId="77777777" w:rsidR="005B5953" w:rsidRPr="00874F1F" w:rsidRDefault="005B5953" w:rsidP="00250DAC">
            <w:pPr>
              <w:spacing w:after="0" w:line="240" w:lineRule="auto"/>
              <w:jc w:val="center"/>
              <w:rPr>
                <w:rFonts w:ascii="Times New Roman" w:hAnsi="Times New Roman"/>
                <w:color w:val="000000"/>
                <w:sz w:val="20"/>
                <w:szCs w:val="20"/>
              </w:rPr>
            </w:pPr>
            <w:r w:rsidRPr="00874F1F">
              <w:rPr>
                <w:rFonts w:ascii="Times New Roman" w:hAnsi="Times New Roman"/>
                <w:color w:val="000000"/>
                <w:sz w:val="20"/>
                <w:szCs w:val="20"/>
              </w:rPr>
              <w:t>5.15</w:t>
            </w:r>
          </w:p>
        </w:tc>
      </w:tr>
      <w:tr w:rsidR="005B5953" w:rsidRPr="00874F1F" w14:paraId="3F883834" w14:textId="77777777" w:rsidTr="00250DAC">
        <w:trPr>
          <w:trHeight w:val="20"/>
          <w:jc w:val="center"/>
        </w:trPr>
        <w:tc>
          <w:tcPr>
            <w:tcW w:w="345" w:type="pct"/>
            <w:shd w:val="clear" w:color="auto" w:fill="auto"/>
            <w:noWrap/>
            <w:vAlign w:val="center"/>
          </w:tcPr>
          <w:p w14:paraId="7904CD8D" w14:textId="77777777" w:rsidR="005B5953" w:rsidRPr="00874F1F" w:rsidRDefault="005B5953" w:rsidP="00250DAC">
            <w:pPr>
              <w:spacing w:after="0" w:line="240" w:lineRule="auto"/>
              <w:rPr>
                <w:rFonts w:ascii="Times New Roman" w:hAnsi="Times New Roman"/>
                <w:color w:val="000000"/>
                <w:sz w:val="20"/>
                <w:szCs w:val="20"/>
              </w:rPr>
            </w:pPr>
          </w:p>
        </w:tc>
        <w:tc>
          <w:tcPr>
            <w:tcW w:w="1933" w:type="pct"/>
            <w:vAlign w:val="center"/>
          </w:tcPr>
          <w:p w14:paraId="484E9268" w14:textId="77777777" w:rsidR="005B5953" w:rsidRPr="00DB40E2" w:rsidRDefault="005B5953" w:rsidP="00250DAC">
            <w:pPr>
              <w:spacing w:after="0" w:line="240" w:lineRule="auto"/>
              <w:jc w:val="center"/>
              <w:rPr>
                <w:rFonts w:ascii="Times New Roman" w:hAnsi="Times New Roman"/>
                <w:b/>
                <w:bCs/>
                <w:color w:val="000000"/>
                <w:sz w:val="20"/>
                <w:szCs w:val="20"/>
              </w:rPr>
            </w:pPr>
            <w:r w:rsidRPr="00DB40E2">
              <w:rPr>
                <w:rFonts w:ascii="Times New Roman" w:hAnsi="Times New Roman"/>
                <w:b/>
                <w:bCs/>
                <w:color w:val="000000"/>
                <w:sz w:val="20"/>
                <w:szCs w:val="20"/>
              </w:rPr>
              <w:t>Total</w:t>
            </w:r>
          </w:p>
        </w:tc>
        <w:tc>
          <w:tcPr>
            <w:tcW w:w="1365" w:type="pct"/>
          </w:tcPr>
          <w:p w14:paraId="0953871C" w14:textId="77777777" w:rsidR="005B5953" w:rsidRPr="00874F1F" w:rsidRDefault="005B5953" w:rsidP="00250DAC">
            <w:pPr>
              <w:spacing w:after="0" w:line="240" w:lineRule="auto"/>
              <w:jc w:val="center"/>
              <w:rPr>
                <w:rFonts w:ascii="Times New Roman" w:hAnsi="Times New Roman"/>
                <w:b/>
                <w:color w:val="000000"/>
                <w:sz w:val="20"/>
                <w:szCs w:val="20"/>
              </w:rPr>
            </w:pPr>
          </w:p>
        </w:tc>
        <w:tc>
          <w:tcPr>
            <w:tcW w:w="700" w:type="pct"/>
            <w:shd w:val="clear" w:color="auto" w:fill="auto"/>
            <w:noWrap/>
            <w:vAlign w:val="bottom"/>
          </w:tcPr>
          <w:p w14:paraId="64730327" w14:textId="77777777" w:rsidR="005B5953" w:rsidRPr="00874F1F" w:rsidRDefault="005B5953" w:rsidP="00250DAC">
            <w:pPr>
              <w:spacing w:after="0" w:line="240" w:lineRule="auto"/>
              <w:jc w:val="center"/>
              <w:rPr>
                <w:rFonts w:ascii="Times New Roman" w:hAnsi="Times New Roman"/>
                <w:b/>
                <w:color w:val="000000"/>
                <w:sz w:val="20"/>
                <w:szCs w:val="20"/>
              </w:rPr>
            </w:pPr>
            <w:r w:rsidRPr="00874F1F">
              <w:rPr>
                <w:rFonts w:ascii="Times New Roman" w:hAnsi="Times New Roman"/>
                <w:b/>
                <w:color w:val="000000"/>
                <w:sz w:val="20"/>
                <w:szCs w:val="20"/>
              </w:rPr>
              <w:t>11</w:t>
            </w:r>
            <w:r>
              <w:rPr>
                <w:rFonts w:ascii="Times New Roman" w:hAnsi="Times New Roman"/>
                <w:b/>
                <w:color w:val="000000"/>
                <w:sz w:val="20"/>
                <w:szCs w:val="20"/>
              </w:rPr>
              <w:t>,</w:t>
            </w:r>
            <w:r w:rsidRPr="00874F1F">
              <w:rPr>
                <w:rFonts w:ascii="Times New Roman" w:hAnsi="Times New Roman"/>
                <w:b/>
                <w:color w:val="000000"/>
                <w:sz w:val="20"/>
                <w:szCs w:val="20"/>
              </w:rPr>
              <w:t>64</w:t>
            </w:r>
            <w:r>
              <w:rPr>
                <w:rFonts w:ascii="Times New Roman" w:hAnsi="Times New Roman"/>
                <w:b/>
                <w:color w:val="000000"/>
                <w:sz w:val="20"/>
                <w:szCs w:val="20"/>
              </w:rPr>
              <w:t>,</w:t>
            </w:r>
            <w:r w:rsidRPr="00874F1F">
              <w:rPr>
                <w:rFonts w:ascii="Times New Roman" w:hAnsi="Times New Roman"/>
                <w:b/>
                <w:color w:val="000000"/>
                <w:sz w:val="20"/>
                <w:szCs w:val="20"/>
              </w:rPr>
              <w:t>550</w:t>
            </w:r>
          </w:p>
        </w:tc>
        <w:tc>
          <w:tcPr>
            <w:tcW w:w="656" w:type="pct"/>
            <w:shd w:val="clear" w:color="auto" w:fill="auto"/>
            <w:noWrap/>
            <w:vAlign w:val="center"/>
          </w:tcPr>
          <w:p w14:paraId="2B4CE209" w14:textId="77777777" w:rsidR="005B5953" w:rsidRPr="00874F1F" w:rsidRDefault="005B5953" w:rsidP="00250DAC">
            <w:pPr>
              <w:spacing w:after="0" w:line="240" w:lineRule="auto"/>
              <w:jc w:val="center"/>
              <w:rPr>
                <w:rFonts w:ascii="Times New Roman" w:hAnsi="Times New Roman"/>
                <w:b/>
                <w:color w:val="000000"/>
                <w:sz w:val="20"/>
                <w:szCs w:val="20"/>
              </w:rPr>
            </w:pPr>
            <w:r w:rsidRPr="00874F1F">
              <w:rPr>
                <w:rFonts w:ascii="Times New Roman" w:hAnsi="Times New Roman"/>
                <w:b/>
                <w:color w:val="000000"/>
                <w:sz w:val="20"/>
                <w:szCs w:val="20"/>
              </w:rPr>
              <w:t>100%</w:t>
            </w:r>
          </w:p>
        </w:tc>
      </w:tr>
    </w:tbl>
    <w:p w14:paraId="67E100EC" w14:textId="77777777" w:rsidR="005B5953" w:rsidRPr="00712F3C" w:rsidRDefault="005B5953" w:rsidP="005B5953">
      <w:pPr>
        <w:autoSpaceDE w:val="0"/>
        <w:autoSpaceDN w:val="0"/>
        <w:adjustRightInd w:val="0"/>
        <w:spacing w:after="0" w:line="240" w:lineRule="auto"/>
        <w:rPr>
          <w:rFonts w:ascii="Times New Roman" w:hAnsi="Times New Roman"/>
          <w:b/>
          <w:sz w:val="20"/>
          <w:szCs w:val="20"/>
          <w:u w:val="single"/>
        </w:rPr>
      </w:pPr>
    </w:p>
    <w:p w14:paraId="3DED5C5D" w14:textId="77777777" w:rsidR="005B5953" w:rsidRPr="00712F3C" w:rsidRDefault="005B5953" w:rsidP="005B5953">
      <w:pPr>
        <w:autoSpaceDE w:val="0"/>
        <w:autoSpaceDN w:val="0"/>
        <w:adjustRightInd w:val="0"/>
        <w:spacing w:after="0" w:line="240" w:lineRule="auto"/>
        <w:rPr>
          <w:rFonts w:ascii="Times New Roman" w:hAnsi="Times New Roman"/>
          <w:b/>
          <w:sz w:val="20"/>
          <w:szCs w:val="20"/>
          <w:u w:val="single"/>
        </w:rPr>
      </w:pPr>
      <w:r w:rsidRPr="00712F3C">
        <w:rPr>
          <w:rFonts w:ascii="Times New Roman" w:hAnsi="Times New Roman"/>
          <w:b/>
          <w:sz w:val="20"/>
          <w:szCs w:val="20"/>
          <w:u w:val="single"/>
        </w:rPr>
        <w:t>Confirmations/ Declarations:</w:t>
      </w:r>
    </w:p>
    <w:p w14:paraId="55FD3493" w14:textId="77777777" w:rsidR="005B5953" w:rsidRPr="00712F3C" w:rsidRDefault="005B5953" w:rsidP="005B5953">
      <w:pPr>
        <w:autoSpaceDE w:val="0"/>
        <w:autoSpaceDN w:val="0"/>
        <w:adjustRightInd w:val="0"/>
        <w:spacing w:after="0" w:line="240" w:lineRule="auto"/>
        <w:rPr>
          <w:rFonts w:ascii="Times New Roman" w:hAnsi="Times New Roman"/>
          <w:sz w:val="20"/>
          <w:szCs w:val="20"/>
        </w:rPr>
      </w:pPr>
    </w:p>
    <w:p w14:paraId="6DD6CE9B" w14:textId="77777777" w:rsidR="005B5953" w:rsidRPr="00712F3C" w:rsidRDefault="005B5953" w:rsidP="005B5953">
      <w:pPr>
        <w:autoSpaceDE w:val="0"/>
        <w:autoSpaceDN w:val="0"/>
        <w:adjustRightInd w:val="0"/>
        <w:spacing w:after="0" w:line="240" w:lineRule="auto"/>
        <w:jc w:val="both"/>
        <w:rPr>
          <w:rFonts w:ascii="Times New Roman" w:hAnsi="Times New Roman"/>
          <w:sz w:val="20"/>
          <w:szCs w:val="20"/>
        </w:rPr>
      </w:pPr>
      <w:r w:rsidRPr="00712F3C">
        <w:rPr>
          <w:rFonts w:ascii="Times New Roman" w:hAnsi="Times New Roman"/>
          <w:sz w:val="20"/>
          <w:szCs w:val="20"/>
        </w:rPr>
        <w:t xml:space="preserve">In relation to our individual Promoters, our Company confirms that the PAN, bank account number, passport number, </w:t>
      </w:r>
      <w:r>
        <w:rPr>
          <w:rFonts w:ascii="Times New Roman" w:hAnsi="Times New Roman"/>
          <w:sz w:val="20"/>
          <w:szCs w:val="20"/>
        </w:rPr>
        <w:t>a</w:t>
      </w:r>
      <w:r w:rsidRPr="00712F3C">
        <w:rPr>
          <w:rFonts w:ascii="Times New Roman" w:hAnsi="Times New Roman"/>
          <w:sz w:val="20"/>
          <w:szCs w:val="20"/>
        </w:rPr>
        <w:t xml:space="preserve">adhaar card number and driving license number shall be submitted to BSE at the time of filing of this Draft Red Herring Prospectus. And, in relation to our </w:t>
      </w:r>
      <w:r>
        <w:rPr>
          <w:rFonts w:ascii="Times New Roman" w:hAnsi="Times New Roman"/>
          <w:sz w:val="20"/>
          <w:szCs w:val="20"/>
        </w:rPr>
        <w:t>c</w:t>
      </w:r>
      <w:r w:rsidRPr="00874F1F">
        <w:rPr>
          <w:rFonts w:ascii="Times New Roman" w:hAnsi="Times New Roman"/>
          <w:sz w:val="20"/>
          <w:szCs w:val="20"/>
        </w:rPr>
        <w:t>orporate</w:t>
      </w:r>
      <w:r>
        <w:rPr>
          <w:rFonts w:ascii="Times New Roman" w:hAnsi="Times New Roman"/>
          <w:sz w:val="20"/>
          <w:szCs w:val="20"/>
        </w:rPr>
        <w:t xml:space="preserve"> </w:t>
      </w:r>
      <w:r w:rsidRPr="00712F3C">
        <w:rPr>
          <w:rFonts w:ascii="Times New Roman" w:hAnsi="Times New Roman"/>
          <w:sz w:val="20"/>
          <w:szCs w:val="20"/>
        </w:rPr>
        <w:t>promoter, our Company confirms that the PAN</w:t>
      </w:r>
      <w:r>
        <w:rPr>
          <w:rFonts w:ascii="Times New Roman" w:hAnsi="Times New Roman"/>
          <w:sz w:val="20"/>
          <w:szCs w:val="20"/>
        </w:rPr>
        <w:t xml:space="preserve">, </w:t>
      </w:r>
      <w:r w:rsidRPr="00712F3C">
        <w:rPr>
          <w:rFonts w:ascii="Times New Roman" w:hAnsi="Times New Roman"/>
          <w:sz w:val="20"/>
          <w:szCs w:val="20"/>
        </w:rPr>
        <w:t xml:space="preserve">bank account number </w:t>
      </w:r>
      <w:r>
        <w:rPr>
          <w:rFonts w:ascii="Times New Roman" w:hAnsi="Times New Roman"/>
          <w:sz w:val="20"/>
          <w:szCs w:val="20"/>
        </w:rPr>
        <w:t xml:space="preserve">and </w:t>
      </w:r>
      <w:r w:rsidRPr="0041232E">
        <w:rPr>
          <w:rFonts w:ascii="Times New Roman" w:hAnsi="Times New Roman"/>
          <w:sz w:val="20"/>
          <w:szCs w:val="20"/>
        </w:rPr>
        <w:t>the company registration</w:t>
      </w:r>
      <w:r>
        <w:rPr>
          <w:rFonts w:ascii="Times New Roman" w:hAnsi="Times New Roman"/>
          <w:sz w:val="20"/>
          <w:szCs w:val="20"/>
        </w:rPr>
        <w:t xml:space="preserve"> </w:t>
      </w:r>
      <w:r w:rsidRPr="0041232E">
        <w:rPr>
          <w:rFonts w:ascii="Times New Roman" w:hAnsi="Times New Roman"/>
          <w:sz w:val="20"/>
          <w:szCs w:val="20"/>
        </w:rPr>
        <w:t>numbers and addresses of the registrar of companies where our Corporate Promoters are registered</w:t>
      </w:r>
      <w:r>
        <w:rPr>
          <w:rFonts w:ascii="Times New Roman" w:hAnsi="Times New Roman"/>
          <w:sz w:val="20"/>
          <w:szCs w:val="20"/>
        </w:rPr>
        <w:t xml:space="preserve"> </w:t>
      </w:r>
      <w:r w:rsidRPr="00712F3C">
        <w:rPr>
          <w:rFonts w:ascii="Times New Roman" w:hAnsi="Times New Roman"/>
          <w:sz w:val="20"/>
          <w:szCs w:val="20"/>
        </w:rPr>
        <w:t xml:space="preserve">shall be submitted to BSE at the time of filing of this Draft Red Herring Prospectus. </w:t>
      </w:r>
    </w:p>
    <w:p w14:paraId="64C0FD07" w14:textId="77777777" w:rsidR="005B5953" w:rsidRPr="00712F3C" w:rsidRDefault="005B5953" w:rsidP="005B5953">
      <w:pPr>
        <w:autoSpaceDE w:val="0"/>
        <w:autoSpaceDN w:val="0"/>
        <w:adjustRightInd w:val="0"/>
        <w:spacing w:after="0" w:line="240" w:lineRule="auto"/>
        <w:jc w:val="both"/>
        <w:rPr>
          <w:rFonts w:ascii="Times New Roman" w:hAnsi="Times New Roman"/>
          <w:sz w:val="20"/>
          <w:szCs w:val="20"/>
        </w:rPr>
      </w:pPr>
    </w:p>
    <w:p w14:paraId="5AB7E4F6" w14:textId="77777777" w:rsidR="005B5953" w:rsidRPr="00712F3C" w:rsidRDefault="005B5953" w:rsidP="005B5953">
      <w:pPr>
        <w:autoSpaceDE w:val="0"/>
        <w:autoSpaceDN w:val="0"/>
        <w:adjustRightInd w:val="0"/>
        <w:spacing w:after="0" w:line="240" w:lineRule="auto"/>
        <w:rPr>
          <w:rFonts w:ascii="Times New Roman" w:hAnsi="Times New Roman"/>
          <w:b/>
          <w:sz w:val="20"/>
          <w:szCs w:val="20"/>
          <w:u w:val="single"/>
        </w:rPr>
      </w:pPr>
      <w:r w:rsidRPr="00712F3C">
        <w:rPr>
          <w:rFonts w:ascii="Times New Roman" w:hAnsi="Times New Roman"/>
          <w:b/>
          <w:sz w:val="20"/>
          <w:szCs w:val="20"/>
          <w:u w:val="single"/>
        </w:rPr>
        <w:t>Undertaking/ Confirmations:</w:t>
      </w:r>
    </w:p>
    <w:p w14:paraId="5BD78F07" w14:textId="77777777" w:rsidR="005B5953" w:rsidRPr="00712F3C" w:rsidRDefault="005B5953" w:rsidP="005B5953">
      <w:pPr>
        <w:autoSpaceDE w:val="0"/>
        <w:autoSpaceDN w:val="0"/>
        <w:adjustRightInd w:val="0"/>
        <w:spacing w:after="0" w:line="240" w:lineRule="auto"/>
        <w:rPr>
          <w:rFonts w:ascii="Times New Roman" w:hAnsi="Times New Roman"/>
          <w:b/>
          <w:sz w:val="20"/>
          <w:szCs w:val="20"/>
          <w:u w:val="single"/>
        </w:rPr>
      </w:pPr>
    </w:p>
    <w:p w14:paraId="7796DB54" w14:textId="77777777" w:rsidR="005B5953" w:rsidRPr="00712F3C" w:rsidRDefault="005B5953" w:rsidP="005B5953">
      <w:pPr>
        <w:autoSpaceDE w:val="0"/>
        <w:autoSpaceDN w:val="0"/>
        <w:adjustRightInd w:val="0"/>
        <w:spacing w:after="0" w:line="240" w:lineRule="auto"/>
        <w:jc w:val="both"/>
        <w:rPr>
          <w:rFonts w:ascii="Times New Roman" w:hAnsi="Times New Roman"/>
          <w:sz w:val="20"/>
          <w:szCs w:val="20"/>
        </w:rPr>
      </w:pPr>
      <w:r w:rsidRPr="00712F3C">
        <w:rPr>
          <w:rFonts w:ascii="Times New Roman" w:hAnsi="Times New Roman"/>
          <w:sz w:val="20"/>
          <w:szCs w:val="20"/>
        </w:rPr>
        <w:t>None of our Promoters or Promoter Group or Group Company or person in control of our Company has been:</w:t>
      </w:r>
    </w:p>
    <w:p w14:paraId="716912E9" w14:textId="77777777" w:rsidR="005B5953" w:rsidRPr="00712F3C" w:rsidRDefault="005B5953" w:rsidP="005B5953">
      <w:pPr>
        <w:autoSpaceDE w:val="0"/>
        <w:autoSpaceDN w:val="0"/>
        <w:adjustRightInd w:val="0"/>
        <w:spacing w:after="0" w:line="240" w:lineRule="auto"/>
        <w:jc w:val="both"/>
        <w:rPr>
          <w:rFonts w:ascii="Times New Roman" w:hAnsi="Times New Roman"/>
          <w:sz w:val="20"/>
          <w:szCs w:val="20"/>
        </w:rPr>
      </w:pPr>
    </w:p>
    <w:p w14:paraId="670755F9" w14:textId="77777777" w:rsidR="005B5953" w:rsidRPr="00712F3C" w:rsidRDefault="005B5953">
      <w:pPr>
        <w:pStyle w:val="ListParagraph"/>
        <w:numPr>
          <w:ilvl w:val="0"/>
          <w:numId w:val="189"/>
        </w:numPr>
        <w:spacing w:line="240" w:lineRule="auto"/>
        <w:jc w:val="both"/>
        <w:rPr>
          <w:sz w:val="20"/>
          <w:szCs w:val="20"/>
        </w:rPr>
      </w:pPr>
      <w:r w:rsidRPr="00712F3C">
        <w:rPr>
          <w:sz w:val="20"/>
          <w:szCs w:val="20"/>
        </w:rPr>
        <w:t>Prohibited or debarred from accessing or operating in the capital market or restrained from buying, selling or dealing in securities under any order or direction passed by SEBI or any other authority or</w:t>
      </w:r>
    </w:p>
    <w:p w14:paraId="1F7A2FDD" w14:textId="77777777" w:rsidR="005B5953" w:rsidRPr="00712F3C" w:rsidRDefault="005B5953">
      <w:pPr>
        <w:pStyle w:val="ListParagraph"/>
        <w:numPr>
          <w:ilvl w:val="0"/>
          <w:numId w:val="189"/>
        </w:numPr>
        <w:spacing w:line="240" w:lineRule="auto"/>
        <w:jc w:val="both"/>
        <w:rPr>
          <w:sz w:val="20"/>
          <w:szCs w:val="20"/>
        </w:rPr>
      </w:pPr>
      <w:r w:rsidRPr="00712F3C">
        <w:rPr>
          <w:sz w:val="20"/>
          <w:szCs w:val="20"/>
        </w:rPr>
        <w:t>Refused listing of any of the securities issued by such entity by any stock exchange, in India or abroad.</w:t>
      </w:r>
    </w:p>
    <w:p w14:paraId="2D8AF52C" w14:textId="77777777" w:rsidR="005B5953" w:rsidRPr="00712F3C" w:rsidRDefault="005B5953">
      <w:pPr>
        <w:pStyle w:val="ListParagraph"/>
        <w:numPr>
          <w:ilvl w:val="0"/>
          <w:numId w:val="189"/>
        </w:numPr>
        <w:spacing w:line="240" w:lineRule="auto"/>
        <w:jc w:val="both"/>
        <w:rPr>
          <w:sz w:val="20"/>
          <w:szCs w:val="20"/>
        </w:rPr>
      </w:pPr>
      <w:r w:rsidRPr="00712F3C">
        <w:rPr>
          <w:sz w:val="20"/>
          <w:szCs w:val="20"/>
        </w:rPr>
        <w:t>No material regulatory or disciplinary action is taken by any stock exchange or regulatory authority in the past one year in respect of our Promoters, Group Company and Company promoted by the promoters of our company.</w:t>
      </w:r>
    </w:p>
    <w:p w14:paraId="46EC6230" w14:textId="77777777" w:rsidR="005B5953" w:rsidRPr="00712F3C" w:rsidRDefault="005B5953">
      <w:pPr>
        <w:pStyle w:val="ListParagraph"/>
        <w:numPr>
          <w:ilvl w:val="0"/>
          <w:numId w:val="189"/>
        </w:numPr>
        <w:spacing w:line="240" w:lineRule="auto"/>
        <w:jc w:val="both"/>
        <w:rPr>
          <w:sz w:val="20"/>
          <w:szCs w:val="20"/>
        </w:rPr>
      </w:pPr>
      <w:r w:rsidRPr="00712F3C">
        <w:rPr>
          <w:sz w:val="20"/>
          <w:szCs w:val="20"/>
        </w:rPr>
        <w:t>There are no defaults in respect of payment of interest and principal to the debenture/ bond/ fixed deposit holders, banks, FIs by our Company, our Promoters, Group Company and Company promoted by the promoters during the past three years.</w:t>
      </w:r>
    </w:p>
    <w:p w14:paraId="757FB708" w14:textId="77777777" w:rsidR="005B5953" w:rsidRPr="00712F3C" w:rsidRDefault="005B5953">
      <w:pPr>
        <w:pStyle w:val="ListParagraph"/>
        <w:numPr>
          <w:ilvl w:val="0"/>
          <w:numId w:val="189"/>
        </w:numPr>
        <w:spacing w:line="240" w:lineRule="auto"/>
        <w:jc w:val="both"/>
        <w:rPr>
          <w:sz w:val="20"/>
          <w:szCs w:val="20"/>
        </w:rPr>
      </w:pPr>
      <w:r w:rsidRPr="00712F3C">
        <w:rPr>
          <w:sz w:val="20"/>
          <w:szCs w:val="20"/>
        </w:rPr>
        <w:lastRenderedPageBreak/>
        <w:t xml:space="preserve">The litigation record, the nature of litigation, and status of litigation of our Company, Promoters, Group company and Company promoted by the Promoters are disclosed in chapter titled </w:t>
      </w:r>
      <w:r w:rsidRPr="00874F1F">
        <w:rPr>
          <w:b/>
          <w:i/>
          <w:iCs/>
          <w:sz w:val="20"/>
          <w:szCs w:val="20"/>
        </w:rPr>
        <w:t xml:space="preserve">“Outstanding Litigations and Material Developments” </w:t>
      </w:r>
      <w:r w:rsidRPr="00712F3C">
        <w:rPr>
          <w:sz w:val="20"/>
          <w:szCs w:val="20"/>
        </w:rPr>
        <w:t xml:space="preserve">beginning on page </w:t>
      </w:r>
      <w:r>
        <w:rPr>
          <w:sz w:val="20"/>
          <w:szCs w:val="20"/>
          <w:lang w:val="en-IN"/>
        </w:rPr>
        <w:t>185</w:t>
      </w:r>
      <w:r w:rsidRPr="00712F3C">
        <w:rPr>
          <w:sz w:val="20"/>
          <w:szCs w:val="20"/>
        </w:rPr>
        <w:t xml:space="preserve"> of this Draft Red Herring Prospectus.</w:t>
      </w:r>
    </w:p>
    <w:p w14:paraId="3F9DA7D1" w14:textId="77777777" w:rsidR="005B5953" w:rsidRPr="00712F3C" w:rsidRDefault="005B5953">
      <w:pPr>
        <w:pStyle w:val="ListParagraph"/>
        <w:numPr>
          <w:ilvl w:val="0"/>
          <w:numId w:val="189"/>
        </w:numPr>
        <w:spacing w:line="240" w:lineRule="auto"/>
        <w:jc w:val="both"/>
        <w:rPr>
          <w:sz w:val="20"/>
          <w:szCs w:val="20"/>
        </w:rPr>
      </w:pPr>
      <w:r w:rsidRPr="00712F3C">
        <w:rPr>
          <w:sz w:val="20"/>
          <w:szCs w:val="20"/>
        </w:rPr>
        <w:t>None of our Promoters, person in control of our Company are or have ever been a promoter, director or person in control of any other company which is debarred from accessing the capital markets under any order or direction passed by the SEBI or any other authority.</w:t>
      </w:r>
    </w:p>
    <w:p w14:paraId="1E3BC4C9" w14:textId="77777777" w:rsidR="005B5953" w:rsidRPr="00712F3C" w:rsidRDefault="005B5953" w:rsidP="005B5953">
      <w:pPr>
        <w:spacing w:after="0" w:line="240" w:lineRule="auto"/>
        <w:jc w:val="both"/>
        <w:rPr>
          <w:rFonts w:ascii="Times New Roman" w:hAnsi="Times New Roman"/>
          <w:sz w:val="20"/>
          <w:szCs w:val="20"/>
        </w:rPr>
      </w:pPr>
    </w:p>
    <w:p w14:paraId="75F90DE9" w14:textId="77777777" w:rsidR="005B5953" w:rsidRPr="00712F3C" w:rsidRDefault="005B5953" w:rsidP="005B5953">
      <w:pPr>
        <w:shd w:val="clear" w:color="auto" w:fill="FFFFFF"/>
        <w:spacing w:after="0" w:line="240" w:lineRule="auto"/>
        <w:rPr>
          <w:rFonts w:ascii="Times New Roman" w:hAnsi="Times New Roman"/>
          <w:b/>
          <w:bCs/>
          <w:sz w:val="20"/>
          <w:szCs w:val="20"/>
          <w:u w:val="single"/>
        </w:rPr>
      </w:pPr>
      <w:r w:rsidRPr="00712F3C">
        <w:rPr>
          <w:rFonts w:ascii="Times New Roman" w:hAnsi="Times New Roman"/>
          <w:b/>
          <w:bCs/>
          <w:sz w:val="20"/>
          <w:szCs w:val="20"/>
          <w:u w:val="single"/>
          <w:shd w:val="clear" w:color="auto" w:fill="FFFFFF"/>
        </w:rPr>
        <w:t>Interest of our Promo</w:t>
      </w:r>
      <w:r w:rsidRPr="00712F3C">
        <w:rPr>
          <w:rFonts w:ascii="Times New Roman" w:hAnsi="Times New Roman"/>
          <w:b/>
          <w:bCs/>
          <w:sz w:val="20"/>
          <w:szCs w:val="20"/>
          <w:u w:val="single"/>
        </w:rPr>
        <w:t>ters:</w:t>
      </w:r>
    </w:p>
    <w:p w14:paraId="6E979B01" w14:textId="77777777" w:rsidR="005B5953" w:rsidRPr="00712F3C" w:rsidRDefault="005B5953" w:rsidP="005B5953">
      <w:pPr>
        <w:shd w:val="clear" w:color="auto" w:fill="FFFFFF"/>
        <w:spacing w:after="0" w:line="240" w:lineRule="auto"/>
        <w:rPr>
          <w:rFonts w:ascii="Times New Roman" w:hAnsi="Times New Roman"/>
          <w:b/>
          <w:bCs/>
          <w:sz w:val="20"/>
          <w:szCs w:val="20"/>
          <w:u w:val="single"/>
        </w:rPr>
      </w:pPr>
    </w:p>
    <w:p w14:paraId="49225CD7" w14:textId="77777777" w:rsidR="005B5953" w:rsidRPr="00712F3C" w:rsidRDefault="005B5953">
      <w:pPr>
        <w:pStyle w:val="ListParagraph"/>
        <w:numPr>
          <w:ilvl w:val="0"/>
          <w:numId w:val="192"/>
        </w:numPr>
        <w:shd w:val="clear" w:color="auto" w:fill="FFFFFF"/>
        <w:spacing w:line="240" w:lineRule="auto"/>
        <w:ind w:left="426"/>
        <w:rPr>
          <w:b/>
          <w:bCs/>
          <w:i/>
          <w:sz w:val="20"/>
          <w:szCs w:val="20"/>
        </w:rPr>
      </w:pPr>
      <w:r w:rsidRPr="00712F3C">
        <w:rPr>
          <w:b/>
          <w:bCs/>
          <w:i/>
          <w:sz w:val="20"/>
          <w:szCs w:val="20"/>
        </w:rPr>
        <w:t>Interest in promotion and shareholding of Our Company:</w:t>
      </w:r>
    </w:p>
    <w:p w14:paraId="4650781A" w14:textId="77777777" w:rsidR="005B5953" w:rsidRPr="00712F3C" w:rsidRDefault="005B5953" w:rsidP="005B5953">
      <w:pPr>
        <w:shd w:val="clear" w:color="auto" w:fill="FFFFFF"/>
        <w:spacing w:after="0" w:line="240" w:lineRule="auto"/>
        <w:rPr>
          <w:rFonts w:ascii="Times New Roman" w:hAnsi="Times New Roman"/>
          <w:b/>
          <w:bCs/>
          <w:sz w:val="20"/>
          <w:szCs w:val="20"/>
        </w:rPr>
      </w:pPr>
    </w:p>
    <w:p w14:paraId="181C48AD" w14:textId="77777777" w:rsidR="005B5953" w:rsidRPr="00712F3C" w:rsidRDefault="005B5953" w:rsidP="005B5953">
      <w:pPr>
        <w:shd w:val="clear" w:color="auto" w:fill="FFFFFF"/>
        <w:spacing w:after="0" w:line="240" w:lineRule="auto"/>
        <w:ind w:left="426"/>
        <w:jc w:val="both"/>
        <w:rPr>
          <w:rFonts w:ascii="Times New Roman" w:hAnsi="Times New Roman"/>
          <w:bCs/>
          <w:color w:val="FF0000"/>
          <w:sz w:val="20"/>
          <w:szCs w:val="20"/>
        </w:rPr>
      </w:pPr>
      <w:r w:rsidRPr="00712F3C">
        <w:rPr>
          <w:rFonts w:ascii="Times New Roman" w:eastAsia="Calibri" w:hAnsi="Times New Roman"/>
          <w:bCs/>
          <w:sz w:val="20"/>
          <w:szCs w:val="20"/>
          <w:lang w:bidi="en-US"/>
        </w:rPr>
        <w:t xml:space="preserve">Our Promoters are interested in the promotion of our Company and also to the extent of their shareholding and shareholding of their relatives, from time to time, for which they are entitled to receive dividend payable, if any, and other distribution in respect of the Equity Shares held by him and his relatives. As on the date of this Draft </w:t>
      </w:r>
      <w:r w:rsidRPr="00712F3C">
        <w:rPr>
          <w:rFonts w:ascii="Times New Roman" w:hAnsi="Times New Roman"/>
          <w:sz w:val="20"/>
          <w:szCs w:val="20"/>
        </w:rPr>
        <w:t xml:space="preserve">Red Herring </w:t>
      </w:r>
      <w:r w:rsidRPr="00712F3C">
        <w:rPr>
          <w:rFonts w:ascii="Times New Roman" w:eastAsia="Calibri" w:hAnsi="Times New Roman"/>
          <w:bCs/>
          <w:sz w:val="20"/>
          <w:szCs w:val="20"/>
          <w:lang w:bidi="en-US"/>
        </w:rPr>
        <w:t xml:space="preserve">Prospectus, our </w:t>
      </w:r>
      <w:r w:rsidRPr="00712F3C">
        <w:rPr>
          <w:rFonts w:ascii="Times New Roman" w:eastAsia="Calibri" w:hAnsi="Times New Roman"/>
          <w:bCs/>
          <w:color w:val="000000"/>
          <w:sz w:val="20"/>
          <w:szCs w:val="20"/>
          <w:lang w:bidi="en-US"/>
        </w:rPr>
        <w:t>Promoters</w:t>
      </w:r>
      <w:r w:rsidRPr="00712F3C">
        <w:rPr>
          <w:rFonts w:ascii="Times New Roman" w:eastAsia="Calibri" w:hAnsi="Times New Roman"/>
          <w:bCs/>
          <w:sz w:val="20"/>
          <w:szCs w:val="20"/>
          <w:lang w:bidi="en-US"/>
        </w:rPr>
        <w:t xml:space="preserve">, </w:t>
      </w:r>
      <w:r>
        <w:rPr>
          <w:rFonts w:ascii="Times New Roman" w:hAnsi="Times New Roman"/>
          <w:color w:val="000000"/>
          <w:sz w:val="20"/>
          <w:szCs w:val="20"/>
        </w:rPr>
        <w:t xml:space="preserve">Dwarkadhish Venture Private Limited </w:t>
      </w:r>
      <w:r w:rsidRPr="00792E9D">
        <w:rPr>
          <w:rFonts w:ascii="Times New Roman" w:hAnsi="Times New Roman"/>
          <w:i/>
          <w:iCs/>
          <w:color w:val="000000"/>
          <w:sz w:val="20"/>
          <w:szCs w:val="20"/>
        </w:rPr>
        <w:t>(formerly known as Siyaram Metals Private Limited)</w:t>
      </w:r>
      <w:r w:rsidRPr="00712F3C">
        <w:rPr>
          <w:rFonts w:ascii="Times New Roman" w:hAnsi="Times New Roman"/>
          <w:color w:val="000000"/>
          <w:sz w:val="20"/>
          <w:szCs w:val="20"/>
        </w:rPr>
        <w:t xml:space="preserve">, </w:t>
      </w:r>
      <w:r w:rsidRPr="00792E9D">
        <w:rPr>
          <w:rFonts w:ascii="Times New Roman" w:hAnsi="Times New Roman"/>
          <w:color w:val="000000"/>
          <w:sz w:val="20"/>
          <w:szCs w:val="20"/>
        </w:rPr>
        <w:t xml:space="preserve">Ramgopal Ochhavlal Maheshwari </w:t>
      </w:r>
      <w:r w:rsidRPr="00712F3C">
        <w:rPr>
          <w:rFonts w:ascii="Times New Roman" w:hAnsi="Times New Roman"/>
          <w:color w:val="000000"/>
          <w:sz w:val="20"/>
          <w:szCs w:val="20"/>
        </w:rPr>
        <w:t>and</w:t>
      </w:r>
      <w:r>
        <w:rPr>
          <w:rFonts w:ascii="Times New Roman" w:hAnsi="Times New Roman"/>
          <w:color w:val="000000"/>
          <w:sz w:val="20"/>
          <w:szCs w:val="20"/>
        </w:rPr>
        <w:t xml:space="preserve"> </w:t>
      </w:r>
      <w:r w:rsidRPr="00792E9D">
        <w:rPr>
          <w:rFonts w:ascii="Times New Roman" w:hAnsi="Times New Roman"/>
          <w:color w:val="000000"/>
          <w:sz w:val="20"/>
          <w:szCs w:val="20"/>
        </w:rPr>
        <w:t>Bhavesh Ramgopal Maheshwari</w:t>
      </w:r>
      <w:r>
        <w:rPr>
          <w:rFonts w:ascii="Times New Roman" w:hAnsi="Times New Roman"/>
          <w:color w:val="000000"/>
          <w:sz w:val="20"/>
          <w:szCs w:val="20"/>
        </w:rPr>
        <w:t xml:space="preserve"> </w:t>
      </w:r>
      <w:r w:rsidRPr="00874F1F">
        <w:rPr>
          <w:rFonts w:ascii="Times New Roman" w:hAnsi="Times New Roman"/>
          <w:color w:val="000000"/>
          <w:sz w:val="20"/>
          <w:szCs w:val="20"/>
        </w:rPr>
        <w:t>collectively</w:t>
      </w:r>
      <w:r>
        <w:rPr>
          <w:rFonts w:ascii="Times New Roman" w:hAnsi="Times New Roman"/>
          <w:color w:val="000000"/>
          <w:sz w:val="20"/>
          <w:szCs w:val="20"/>
        </w:rPr>
        <w:t xml:space="preserve"> holds 1,37,05,500</w:t>
      </w:r>
      <w:r w:rsidRPr="00712F3C">
        <w:rPr>
          <w:rFonts w:ascii="Times New Roman" w:hAnsi="Times New Roman"/>
          <w:color w:val="000000"/>
          <w:sz w:val="20"/>
          <w:szCs w:val="20"/>
        </w:rPr>
        <w:t xml:space="preserve"> </w:t>
      </w:r>
      <w:r w:rsidRPr="00712F3C">
        <w:rPr>
          <w:rFonts w:ascii="Times New Roman" w:eastAsia="Calibri" w:hAnsi="Times New Roman"/>
          <w:bCs/>
          <w:color w:val="000000"/>
          <w:sz w:val="20"/>
          <w:szCs w:val="20"/>
          <w:lang w:bidi="en-US"/>
        </w:rPr>
        <w:t>Equity Shares in our Company i.e.</w:t>
      </w:r>
      <w:r>
        <w:rPr>
          <w:rFonts w:ascii="Times New Roman" w:eastAsia="Calibri" w:hAnsi="Times New Roman"/>
          <w:bCs/>
          <w:color w:val="000000"/>
          <w:sz w:val="20"/>
          <w:szCs w:val="20"/>
          <w:lang w:bidi="en-US"/>
        </w:rPr>
        <w:t>,</w:t>
      </w:r>
      <w:r w:rsidRPr="00712F3C">
        <w:rPr>
          <w:rFonts w:ascii="Times New Roman" w:eastAsia="Calibri" w:hAnsi="Times New Roman"/>
          <w:bCs/>
          <w:color w:val="000000"/>
          <w:sz w:val="20"/>
          <w:szCs w:val="20"/>
          <w:lang w:bidi="en-US"/>
        </w:rPr>
        <w:t xml:space="preserve"> </w:t>
      </w:r>
      <w:r>
        <w:rPr>
          <w:rFonts w:ascii="Times New Roman" w:eastAsia="Calibri" w:hAnsi="Times New Roman"/>
          <w:bCs/>
          <w:color w:val="000000"/>
          <w:sz w:val="20"/>
          <w:szCs w:val="20"/>
          <w:lang w:bidi="en-US"/>
        </w:rPr>
        <w:t>99.28</w:t>
      </w:r>
      <w:r w:rsidRPr="00712F3C">
        <w:rPr>
          <w:rFonts w:ascii="Times New Roman" w:eastAsia="Calibri" w:hAnsi="Times New Roman"/>
          <w:bCs/>
          <w:color w:val="000000"/>
          <w:sz w:val="20"/>
          <w:szCs w:val="20"/>
          <w:lang w:bidi="en-US"/>
        </w:rPr>
        <w:t xml:space="preserve">% </w:t>
      </w:r>
      <w:r w:rsidRPr="00712F3C">
        <w:rPr>
          <w:rFonts w:ascii="Times New Roman" w:eastAsia="Calibri" w:hAnsi="Times New Roman"/>
          <w:bCs/>
          <w:sz w:val="20"/>
          <w:szCs w:val="20"/>
          <w:lang w:bidi="en-US"/>
        </w:rPr>
        <w:t>of the pre issue paid up Equity Share Capital of our Company</w:t>
      </w:r>
      <w:r w:rsidRPr="00712F3C">
        <w:rPr>
          <w:rFonts w:ascii="Times New Roman" w:eastAsia="Calibri" w:hAnsi="Times New Roman"/>
          <w:bCs/>
          <w:color w:val="000000"/>
          <w:sz w:val="20"/>
          <w:szCs w:val="20"/>
          <w:lang w:bidi="en-US"/>
        </w:rPr>
        <w:t>.</w:t>
      </w:r>
      <w:r w:rsidRPr="00712F3C">
        <w:rPr>
          <w:rFonts w:ascii="Times New Roman" w:hAnsi="Times New Roman"/>
          <w:bCs/>
          <w:color w:val="000000"/>
          <w:sz w:val="20"/>
          <w:szCs w:val="20"/>
        </w:rPr>
        <w:t xml:space="preserve"> Our Promoters may also be deemed to be interested to the extent of the remuneration, as per the terms of their appointment and reimbursement of expenses payable to them for the rent, purchase and sale transactions. For details, please refer to Note 24 – </w:t>
      </w:r>
      <w:r w:rsidRPr="00712F3C">
        <w:rPr>
          <w:rFonts w:ascii="Times New Roman" w:hAnsi="Times New Roman"/>
          <w:b/>
          <w:bCs/>
          <w:i/>
          <w:color w:val="000000"/>
          <w:sz w:val="20"/>
          <w:szCs w:val="20"/>
        </w:rPr>
        <w:t>“Related Party Transactions”</w:t>
      </w:r>
      <w:r w:rsidRPr="00712F3C">
        <w:rPr>
          <w:rFonts w:ascii="Times New Roman" w:hAnsi="Times New Roman"/>
          <w:bCs/>
          <w:color w:val="000000"/>
          <w:sz w:val="20"/>
          <w:szCs w:val="20"/>
        </w:rPr>
        <w:t xml:space="preserve"> beginning on page </w:t>
      </w:r>
      <w:r>
        <w:rPr>
          <w:rFonts w:ascii="Times New Roman" w:hAnsi="Times New Roman"/>
          <w:bCs/>
          <w:color w:val="000000"/>
          <w:sz w:val="20"/>
          <w:szCs w:val="20"/>
        </w:rPr>
        <w:t>161</w:t>
      </w:r>
      <w:r w:rsidRPr="00712F3C">
        <w:rPr>
          <w:rFonts w:ascii="Times New Roman" w:hAnsi="Times New Roman"/>
          <w:bCs/>
          <w:color w:val="000000"/>
          <w:sz w:val="20"/>
          <w:szCs w:val="20"/>
        </w:rPr>
        <w:t xml:space="preserve"> of this Draft </w:t>
      </w:r>
      <w:r w:rsidRPr="00712F3C">
        <w:rPr>
          <w:rFonts w:ascii="Times New Roman" w:hAnsi="Times New Roman"/>
          <w:sz w:val="20"/>
          <w:szCs w:val="20"/>
        </w:rPr>
        <w:t xml:space="preserve">Red Herring </w:t>
      </w:r>
      <w:r w:rsidRPr="00712F3C">
        <w:rPr>
          <w:rFonts w:ascii="Times New Roman" w:hAnsi="Times New Roman"/>
          <w:bCs/>
          <w:color w:val="000000"/>
          <w:sz w:val="20"/>
          <w:szCs w:val="20"/>
        </w:rPr>
        <w:t xml:space="preserve">Prospectus. </w:t>
      </w:r>
    </w:p>
    <w:p w14:paraId="101CD66A" w14:textId="77777777" w:rsidR="005B5953" w:rsidRPr="00712F3C" w:rsidRDefault="005B5953" w:rsidP="005B5953">
      <w:pPr>
        <w:shd w:val="clear" w:color="auto" w:fill="FFFFFF"/>
        <w:spacing w:after="0" w:line="240" w:lineRule="auto"/>
        <w:jc w:val="both"/>
        <w:rPr>
          <w:rFonts w:ascii="Times New Roman" w:eastAsia="Calibri" w:hAnsi="Times New Roman"/>
          <w:bCs/>
          <w:sz w:val="20"/>
          <w:szCs w:val="20"/>
          <w:lang w:bidi="en-US"/>
        </w:rPr>
      </w:pPr>
    </w:p>
    <w:p w14:paraId="3D5A5183" w14:textId="77777777" w:rsidR="005B5953" w:rsidRPr="00712F3C" w:rsidRDefault="005B5953" w:rsidP="005B5953">
      <w:pPr>
        <w:shd w:val="clear" w:color="auto" w:fill="FFFFFF"/>
        <w:spacing w:after="0" w:line="240" w:lineRule="auto"/>
        <w:ind w:left="426"/>
        <w:jc w:val="both"/>
        <w:rPr>
          <w:rFonts w:ascii="Times New Roman" w:hAnsi="Times New Roman"/>
          <w:bCs/>
          <w:sz w:val="20"/>
          <w:szCs w:val="20"/>
        </w:rPr>
      </w:pPr>
      <w:r w:rsidRPr="00712F3C">
        <w:rPr>
          <w:rFonts w:ascii="Times New Roman" w:hAnsi="Times New Roman"/>
          <w:bCs/>
          <w:sz w:val="20"/>
          <w:szCs w:val="20"/>
        </w:rPr>
        <w:t xml:space="preserve">For details regarding the shareholding of our Promoter in our Company, please see </w:t>
      </w:r>
      <w:r w:rsidRPr="00712F3C">
        <w:rPr>
          <w:rFonts w:ascii="Times New Roman" w:hAnsi="Times New Roman"/>
          <w:b/>
          <w:bCs/>
          <w:i/>
          <w:sz w:val="20"/>
          <w:szCs w:val="20"/>
        </w:rPr>
        <w:t xml:space="preserve">“Capital Structure” </w:t>
      </w:r>
      <w:r w:rsidRPr="00712F3C">
        <w:rPr>
          <w:rFonts w:ascii="Times New Roman" w:hAnsi="Times New Roman"/>
          <w:bCs/>
          <w:sz w:val="20"/>
          <w:szCs w:val="20"/>
        </w:rPr>
        <w:t xml:space="preserve">on page </w:t>
      </w:r>
      <w:r>
        <w:rPr>
          <w:rFonts w:ascii="Times New Roman" w:hAnsi="Times New Roman"/>
          <w:bCs/>
          <w:sz w:val="20"/>
          <w:szCs w:val="20"/>
        </w:rPr>
        <w:t>57</w:t>
      </w:r>
      <w:r w:rsidRPr="00712F3C">
        <w:rPr>
          <w:rFonts w:ascii="Times New Roman" w:hAnsi="Times New Roman"/>
          <w:bCs/>
          <w:sz w:val="20"/>
          <w:szCs w:val="20"/>
        </w:rPr>
        <w:t xml:space="preserve"> of this Draft </w:t>
      </w:r>
      <w:r w:rsidRPr="00712F3C">
        <w:rPr>
          <w:rFonts w:ascii="Times New Roman" w:hAnsi="Times New Roman"/>
          <w:sz w:val="20"/>
          <w:szCs w:val="20"/>
        </w:rPr>
        <w:t xml:space="preserve">Red Herring </w:t>
      </w:r>
      <w:r w:rsidRPr="00712F3C">
        <w:rPr>
          <w:rFonts w:ascii="Times New Roman" w:hAnsi="Times New Roman"/>
          <w:bCs/>
          <w:sz w:val="20"/>
          <w:szCs w:val="20"/>
        </w:rPr>
        <w:t>Prospectus.</w:t>
      </w:r>
    </w:p>
    <w:p w14:paraId="4CF5E07C" w14:textId="77777777" w:rsidR="005B5953" w:rsidRPr="00712F3C" w:rsidRDefault="005B5953" w:rsidP="005B5953">
      <w:pPr>
        <w:shd w:val="clear" w:color="auto" w:fill="FFFFFF"/>
        <w:spacing w:after="0" w:line="240" w:lineRule="auto"/>
        <w:jc w:val="both"/>
        <w:rPr>
          <w:rFonts w:ascii="Times New Roman" w:hAnsi="Times New Roman"/>
          <w:bCs/>
          <w:sz w:val="20"/>
          <w:szCs w:val="20"/>
        </w:rPr>
      </w:pPr>
    </w:p>
    <w:p w14:paraId="0FB1E358" w14:textId="77777777" w:rsidR="005B5953" w:rsidRPr="00712F3C" w:rsidRDefault="005B5953">
      <w:pPr>
        <w:pStyle w:val="ListParagraph"/>
        <w:numPr>
          <w:ilvl w:val="0"/>
          <w:numId w:val="192"/>
        </w:numPr>
        <w:shd w:val="clear" w:color="auto" w:fill="FFFFFF"/>
        <w:spacing w:line="240" w:lineRule="auto"/>
        <w:ind w:left="426"/>
        <w:rPr>
          <w:b/>
          <w:bCs/>
          <w:i/>
          <w:sz w:val="20"/>
          <w:szCs w:val="20"/>
        </w:rPr>
      </w:pPr>
      <w:r w:rsidRPr="00712F3C">
        <w:rPr>
          <w:b/>
          <w:bCs/>
          <w:i/>
          <w:sz w:val="20"/>
          <w:szCs w:val="20"/>
        </w:rPr>
        <w:t>Interest in the property of Our Company:</w:t>
      </w:r>
    </w:p>
    <w:p w14:paraId="366B68D5" w14:textId="77777777" w:rsidR="005B5953" w:rsidRPr="00712F3C" w:rsidRDefault="005B5953" w:rsidP="005B5953">
      <w:pPr>
        <w:shd w:val="clear" w:color="auto" w:fill="FFFFFF"/>
        <w:spacing w:after="0" w:line="240" w:lineRule="auto"/>
        <w:jc w:val="both"/>
        <w:rPr>
          <w:rFonts w:ascii="Times New Roman" w:hAnsi="Times New Roman"/>
          <w:b/>
          <w:bCs/>
          <w:i/>
          <w:sz w:val="20"/>
          <w:szCs w:val="20"/>
        </w:rPr>
      </w:pPr>
    </w:p>
    <w:p w14:paraId="51A18041" w14:textId="77777777" w:rsidR="005B5953" w:rsidRPr="00712F3C" w:rsidRDefault="005B5953" w:rsidP="005B5953">
      <w:pPr>
        <w:shd w:val="clear" w:color="auto" w:fill="FFFFFF"/>
        <w:spacing w:after="0" w:line="240" w:lineRule="auto"/>
        <w:ind w:left="426"/>
        <w:jc w:val="both"/>
        <w:rPr>
          <w:rFonts w:ascii="Times New Roman" w:hAnsi="Times New Roman"/>
          <w:bCs/>
          <w:sz w:val="20"/>
          <w:szCs w:val="20"/>
        </w:rPr>
      </w:pPr>
      <w:r w:rsidRPr="00712F3C">
        <w:rPr>
          <w:rFonts w:ascii="Times New Roman" w:hAnsi="Times New Roman"/>
          <w:bCs/>
          <w:sz w:val="20"/>
          <w:szCs w:val="20"/>
        </w:rPr>
        <w:t xml:space="preserve">Except as disclosed below, our Promoters do not have any other interest in any property acquired by our Company in a period of two years before filing of this Draft </w:t>
      </w:r>
      <w:r w:rsidRPr="00712F3C">
        <w:rPr>
          <w:rFonts w:ascii="Times New Roman" w:hAnsi="Times New Roman"/>
          <w:sz w:val="20"/>
          <w:szCs w:val="20"/>
        </w:rPr>
        <w:t xml:space="preserve">Red Herring </w:t>
      </w:r>
      <w:r w:rsidRPr="00712F3C">
        <w:rPr>
          <w:rFonts w:ascii="Times New Roman" w:hAnsi="Times New Roman"/>
          <w:bCs/>
          <w:sz w:val="20"/>
          <w:szCs w:val="20"/>
        </w:rPr>
        <w:t xml:space="preserve">Prospectus or proposed to be acquired by us as on date of this Draft </w:t>
      </w:r>
      <w:r w:rsidRPr="00712F3C">
        <w:rPr>
          <w:rFonts w:ascii="Times New Roman" w:hAnsi="Times New Roman"/>
          <w:sz w:val="20"/>
          <w:szCs w:val="20"/>
        </w:rPr>
        <w:t xml:space="preserve">Red Herring </w:t>
      </w:r>
      <w:r w:rsidRPr="00712F3C">
        <w:rPr>
          <w:rFonts w:ascii="Times New Roman" w:hAnsi="Times New Roman"/>
          <w:bCs/>
          <w:sz w:val="20"/>
          <w:szCs w:val="20"/>
        </w:rPr>
        <w:t>Prospectus:</w:t>
      </w:r>
    </w:p>
    <w:p w14:paraId="3BC22564" w14:textId="77777777" w:rsidR="005B5953" w:rsidRPr="00712F3C" w:rsidRDefault="005B5953" w:rsidP="005B5953">
      <w:pPr>
        <w:shd w:val="clear" w:color="auto" w:fill="FFFFFF"/>
        <w:spacing w:after="0" w:line="240" w:lineRule="auto"/>
        <w:ind w:left="426"/>
        <w:jc w:val="both"/>
        <w:rPr>
          <w:rFonts w:ascii="Times New Roman" w:hAnsi="Times New Roman"/>
          <w:bCs/>
          <w:sz w:val="20"/>
          <w:szCs w:val="20"/>
        </w:rPr>
      </w:pPr>
    </w:p>
    <w:tbl>
      <w:tblPr>
        <w:tblW w:w="4830" w:type="pct"/>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9"/>
        <w:gridCol w:w="1406"/>
        <w:gridCol w:w="2737"/>
        <w:gridCol w:w="5058"/>
      </w:tblGrid>
      <w:tr w:rsidR="005B5953" w:rsidRPr="00712F3C" w14:paraId="386F37BC" w14:textId="77777777" w:rsidTr="00250DAC">
        <w:trPr>
          <w:trHeight w:val="20"/>
          <w:tblHeader/>
        </w:trPr>
        <w:tc>
          <w:tcPr>
            <w:tcW w:w="445" w:type="pct"/>
            <w:shd w:val="clear" w:color="auto" w:fill="D0CECE"/>
          </w:tcPr>
          <w:p w14:paraId="222136C3" w14:textId="77777777" w:rsidR="005B5953" w:rsidRPr="00712F3C" w:rsidRDefault="005B5953" w:rsidP="00250DAC">
            <w:pPr>
              <w:spacing w:after="0" w:line="259" w:lineRule="auto"/>
              <w:rPr>
                <w:rFonts w:ascii="Times New Roman" w:eastAsia="Calibri" w:hAnsi="Times New Roman"/>
                <w:b/>
                <w:kern w:val="2"/>
                <w:sz w:val="20"/>
                <w:szCs w:val="20"/>
                <w14:ligatures w14:val="standardContextual"/>
              </w:rPr>
            </w:pPr>
            <w:r w:rsidRPr="00712F3C">
              <w:rPr>
                <w:rFonts w:ascii="Times New Roman" w:eastAsia="Calibri" w:hAnsi="Times New Roman"/>
                <w:b/>
                <w:kern w:val="2"/>
                <w:sz w:val="20"/>
                <w:szCs w:val="20"/>
                <w14:ligatures w14:val="standardContextual"/>
              </w:rPr>
              <w:t>Sr. No.</w:t>
            </w:r>
          </w:p>
        </w:tc>
        <w:tc>
          <w:tcPr>
            <w:tcW w:w="696" w:type="pct"/>
            <w:shd w:val="clear" w:color="auto" w:fill="D0CECE"/>
          </w:tcPr>
          <w:p w14:paraId="6F3E8A9D" w14:textId="77777777" w:rsidR="005B5953" w:rsidRPr="00712F3C" w:rsidRDefault="005B5953" w:rsidP="00250DAC">
            <w:pPr>
              <w:spacing w:after="0" w:line="259" w:lineRule="auto"/>
              <w:rPr>
                <w:rFonts w:ascii="Times New Roman" w:eastAsia="Calibri" w:hAnsi="Times New Roman"/>
                <w:b/>
                <w:kern w:val="2"/>
                <w:sz w:val="20"/>
                <w:szCs w:val="20"/>
                <w14:ligatures w14:val="standardContextual"/>
              </w:rPr>
            </w:pPr>
            <w:r w:rsidRPr="00712F3C">
              <w:rPr>
                <w:rFonts w:ascii="Times New Roman" w:eastAsia="Calibri" w:hAnsi="Times New Roman"/>
                <w:b/>
                <w:kern w:val="2"/>
                <w:sz w:val="20"/>
                <w:szCs w:val="20"/>
                <w14:ligatures w14:val="standardContextual"/>
              </w:rPr>
              <w:t>Usage</w:t>
            </w:r>
          </w:p>
        </w:tc>
        <w:tc>
          <w:tcPr>
            <w:tcW w:w="1355" w:type="pct"/>
            <w:shd w:val="clear" w:color="auto" w:fill="D0CECE"/>
          </w:tcPr>
          <w:p w14:paraId="4D589694" w14:textId="77777777" w:rsidR="005B5953" w:rsidRPr="00712F3C" w:rsidRDefault="005B5953" w:rsidP="00250DAC">
            <w:pPr>
              <w:spacing w:after="0" w:line="259" w:lineRule="auto"/>
              <w:rPr>
                <w:rFonts w:ascii="Times New Roman" w:eastAsia="Calibri" w:hAnsi="Times New Roman"/>
                <w:b/>
                <w:kern w:val="2"/>
                <w:sz w:val="20"/>
                <w:szCs w:val="20"/>
                <w14:ligatures w14:val="standardContextual"/>
              </w:rPr>
            </w:pPr>
            <w:r w:rsidRPr="00712F3C">
              <w:rPr>
                <w:rFonts w:ascii="Times New Roman" w:eastAsia="Calibri" w:hAnsi="Times New Roman"/>
                <w:b/>
                <w:kern w:val="2"/>
                <w:sz w:val="20"/>
                <w:szCs w:val="20"/>
                <w14:ligatures w14:val="standardContextual"/>
              </w:rPr>
              <w:t>Address</w:t>
            </w:r>
          </w:p>
        </w:tc>
        <w:tc>
          <w:tcPr>
            <w:tcW w:w="2504" w:type="pct"/>
            <w:shd w:val="clear" w:color="auto" w:fill="D0CECE"/>
          </w:tcPr>
          <w:p w14:paraId="5A959B2F" w14:textId="77777777" w:rsidR="005B5953" w:rsidRPr="00712F3C" w:rsidRDefault="005B5953" w:rsidP="00250DAC">
            <w:pPr>
              <w:spacing w:after="0" w:line="259" w:lineRule="auto"/>
              <w:jc w:val="center"/>
              <w:rPr>
                <w:rFonts w:ascii="Times New Roman" w:eastAsia="Calibri" w:hAnsi="Times New Roman"/>
                <w:b/>
                <w:kern w:val="2"/>
                <w:sz w:val="20"/>
                <w:szCs w:val="20"/>
                <w14:ligatures w14:val="standardContextual"/>
              </w:rPr>
            </w:pPr>
            <w:r w:rsidRPr="00712F3C">
              <w:rPr>
                <w:rFonts w:ascii="Times New Roman" w:eastAsia="Calibri" w:hAnsi="Times New Roman"/>
                <w:b/>
                <w:kern w:val="2"/>
                <w:sz w:val="20"/>
                <w:szCs w:val="20"/>
                <w14:ligatures w14:val="standardContextual"/>
              </w:rPr>
              <w:t>Nature of Interest</w:t>
            </w:r>
          </w:p>
        </w:tc>
      </w:tr>
      <w:tr w:rsidR="005B5953" w:rsidRPr="00712F3C" w14:paraId="65DA30DD" w14:textId="77777777" w:rsidTr="00250DAC">
        <w:trPr>
          <w:trHeight w:val="20"/>
        </w:trPr>
        <w:tc>
          <w:tcPr>
            <w:tcW w:w="445" w:type="pct"/>
          </w:tcPr>
          <w:p w14:paraId="1DBA0316" w14:textId="77777777" w:rsidR="005B5953" w:rsidRPr="00712F3C" w:rsidRDefault="005B5953" w:rsidP="00250DAC">
            <w:pPr>
              <w:spacing w:after="0" w:line="259" w:lineRule="auto"/>
              <w:rPr>
                <w:rFonts w:ascii="Times New Roman" w:eastAsia="Calibri" w:hAnsi="Times New Roman"/>
                <w:kern w:val="2"/>
                <w:sz w:val="20"/>
                <w:szCs w:val="20"/>
                <w14:ligatures w14:val="standardContextual"/>
              </w:rPr>
            </w:pPr>
            <w:r w:rsidRPr="00712F3C">
              <w:rPr>
                <w:rFonts w:ascii="Times New Roman" w:hAnsi="Times New Roman"/>
                <w:sz w:val="20"/>
                <w:szCs w:val="20"/>
              </w:rPr>
              <w:t>1.</w:t>
            </w:r>
          </w:p>
        </w:tc>
        <w:tc>
          <w:tcPr>
            <w:tcW w:w="696" w:type="pct"/>
          </w:tcPr>
          <w:p w14:paraId="04152A07" w14:textId="77777777" w:rsidR="005B5953" w:rsidRPr="00712F3C" w:rsidRDefault="005B5953" w:rsidP="00250DAC">
            <w:pPr>
              <w:spacing w:after="0" w:line="259" w:lineRule="auto"/>
              <w:jc w:val="both"/>
              <w:rPr>
                <w:rFonts w:ascii="Times New Roman" w:eastAsia="Calibri" w:hAnsi="Times New Roman"/>
                <w:kern w:val="2"/>
                <w:sz w:val="20"/>
                <w:szCs w:val="20"/>
                <w14:ligatures w14:val="standardContextual"/>
              </w:rPr>
            </w:pPr>
            <w:r>
              <w:rPr>
                <w:rFonts w:ascii="Times New Roman" w:eastAsia="Calibri" w:hAnsi="Times New Roman"/>
                <w:kern w:val="2"/>
                <w:sz w:val="20"/>
                <w:szCs w:val="20"/>
                <w14:ligatures w14:val="standardContextual"/>
              </w:rPr>
              <w:t>Manufacturing Unit</w:t>
            </w:r>
          </w:p>
        </w:tc>
        <w:tc>
          <w:tcPr>
            <w:tcW w:w="1355" w:type="pct"/>
          </w:tcPr>
          <w:p w14:paraId="3AFA0983" w14:textId="77777777" w:rsidR="005B5953" w:rsidRPr="00712F3C" w:rsidRDefault="005B5953" w:rsidP="00250DAC">
            <w:pPr>
              <w:spacing w:after="0" w:line="259" w:lineRule="auto"/>
              <w:jc w:val="both"/>
              <w:rPr>
                <w:rFonts w:ascii="Times New Roman" w:eastAsia="Calibri" w:hAnsi="Times New Roman"/>
                <w:kern w:val="2"/>
                <w:sz w:val="20"/>
                <w:szCs w:val="20"/>
                <w14:ligatures w14:val="standardContextual"/>
              </w:rPr>
            </w:pPr>
            <w:r>
              <w:rPr>
                <w:rFonts w:ascii="Times New Roman" w:hAnsi="Times New Roman"/>
                <w:sz w:val="20"/>
              </w:rPr>
              <w:t>Plot No. 12 &amp; 14, Vill Lakhabaval, Post Khodiyar Colony, Jamnagar-</w:t>
            </w:r>
            <w:r>
              <w:t xml:space="preserve"> </w:t>
            </w:r>
            <w:r w:rsidRPr="001A1335">
              <w:rPr>
                <w:rFonts w:ascii="Times New Roman" w:hAnsi="Times New Roman"/>
                <w:sz w:val="20"/>
              </w:rPr>
              <w:t>361006</w:t>
            </w:r>
            <w:r>
              <w:rPr>
                <w:rFonts w:ascii="Times New Roman" w:hAnsi="Times New Roman"/>
                <w:sz w:val="20"/>
              </w:rPr>
              <w:t xml:space="preserve"> Gujarat</w:t>
            </w:r>
          </w:p>
        </w:tc>
        <w:tc>
          <w:tcPr>
            <w:tcW w:w="2504" w:type="pct"/>
          </w:tcPr>
          <w:p w14:paraId="254BBE8F" w14:textId="649039D4" w:rsidR="005B5953" w:rsidRPr="00712F3C" w:rsidRDefault="005B5953" w:rsidP="00250DAC">
            <w:pPr>
              <w:spacing w:after="0" w:line="259" w:lineRule="auto"/>
              <w:jc w:val="both"/>
              <w:rPr>
                <w:rFonts w:ascii="Times New Roman" w:eastAsia="Calibri" w:hAnsi="Times New Roman"/>
                <w:kern w:val="2"/>
                <w:sz w:val="20"/>
                <w:szCs w:val="20"/>
                <w14:ligatures w14:val="standardContextual"/>
              </w:rPr>
            </w:pPr>
            <w:r w:rsidRPr="00E968B2">
              <w:rPr>
                <w:rFonts w:ascii="Times New Roman" w:eastAsia="Calibri" w:hAnsi="Times New Roman"/>
                <w:kern w:val="2"/>
                <w:sz w:val="20"/>
                <w:szCs w:val="20"/>
                <w14:ligatures w14:val="standardContextual"/>
              </w:rPr>
              <w:t xml:space="preserve">The said property has been obtained on lease from Mr. Ramgopal O. Maheshwari vide Lease deed dated August 14, 2023 for a period of 10 years at a rent of </w:t>
            </w:r>
            <w:r w:rsidR="001706A2" w:rsidRPr="00712F3C">
              <w:rPr>
                <w:rFonts w:ascii="Times New Roman" w:eastAsia="MS Mincho" w:hAnsi="Times New Roman"/>
                <w:sz w:val="20"/>
                <w:szCs w:val="20"/>
              </w:rPr>
              <w:t>₹</w:t>
            </w:r>
            <w:r w:rsidRPr="00E968B2">
              <w:rPr>
                <w:rFonts w:ascii="Times New Roman" w:eastAsia="Calibri" w:hAnsi="Times New Roman"/>
                <w:kern w:val="2"/>
                <w:sz w:val="20"/>
                <w:szCs w:val="20"/>
                <w14:ligatures w14:val="standardContextual"/>
              </w:rPr>
              <w:t xml:space="preserve"> 10,000 p.m. w.e.f. August 10, 2023.</w:t>
            </w:r>
          </w:p>
        </w:tc>
      </w:tr>
    </w:tbl>
    <w:p w14:paraId="7E9181F9" w14:textId="77777777" w:rsidR="005B5953" w:rsidRPr="00712F3C" w:rsidRDefault="005B5953" w:rsidP="005B5953">
      <w:pPr>
        <w:shd w:val="clear" w:color="auto" w:fill="FFFFFF"/>
        <w:spacing w:after="0" w:line="240" w:lineRule="auto"/>
        <w:ind w:left="426"/>
        <w:jc w:val="both"/>
        <w:rPr>
          <w:rFonts w:ascii="Times New Roman" w:hAnsi="Times New Roman"/>
          <w:bCs/>
          <w:sz w:val="20"/>
          <w:szCs w:val="20"/>
        </w:rPr>
      </w:pPr>
    </w:p>
    <w:p w14:paraId="2F3418AE" w14:textId="77777777" w:rsidR="005B5953" w:rsidRPr="00712F3C" w:rsidRDefault="005B5953">
      <w:pPr>
        <w:pStyle w:val="ListParagraph"/>
        <w:numPr>
          <w:ilvl w:val="0"/>
          <w:numId w:val="192"/>
        </w:numPr>
        <w:shd w:val="clear" w:color="auto" w:fill="FFFFFF"/>
        <w:spacing w:line="240" w:lineRule="auto"/>
        <w:ind w:left="426"/>
        <w:rPr>
          <w:bCs/>
          <w:sz w:val="20"/>
          <w:szCs w:val="20"/>
        </w:rPr>
      </w:pPr>
      <w:r w:rsidRPr="00712F3C">
        <w:rPr>
          <w:b/>
          <w:bCs/>
          <w:i/>
          <w:iCs/>
          <w:sz w:val="20"/>
          <w:szCs w:val="20"/>
        </w:rPr>
        <w:t>In transactions for acquisition of land, construction of building and supply of machinery:</w:t>
      </w:r>
    </w:p>
    <w:p w14:paraId="7CA3A259" w14:textId="77777777" w:rsidR="005B5953" w:rsidRPr="00712F3C" w:rsidRDefault="005B5953" w:rsidP="005B5953">
      <w:pPr>
        <w:shd w:val="clear" w:color="auto" w:fill="FFFFFF"/>
        <w:spacing w:after="0" w:line="240" w:lineRule="auto"/>
        <w:rPr>
          <w:rFonts w:ascii="Times New Roman" w:hAnsi="Times New Roman"/>
          <w:bCs/>
          <w:sz w:val="20"/>
          <w:szCs w:val="20"/>
        </w:rPr>
      </w:pPr>
    </w:p>
    <w:p w14:paraId="2C983A0D" w14:textId="77777777" w:rsidR="005B5953" w:rsidRPr="00712F3C" w:rsidRDefault="005B5953" w:rsidP="005B5953">
      <w:pPr>
        <w:autoSpaceDE w:val="0"/>
        <w:autoSpaceDN w:val="0"/>
        <w:adjustRightInd w:val="0"/>
        <w:spacing w:after="0" w:line="240" w:lineRule="auto"/>
        <w:ind w:left="426"/>
        <w:jc w:val="both"/>
        <w:rPr>
          <w:rFonts w:ascii="Times New Roman" w:hAnsi="Times New Roman"/>
          <w:sz w:val="20"/>
          <w:szCs w:val="20"/>
        </w:rPr>
      </w:pPr>
      <w:r w:rsidRPr="00712F3C">
        <w:rPr>
          <w:rFonts w:ascii="Times New Roman" w:hAnsi="Times New Roman"/>
          <w:sz w:val="20"/>
          <w:szCs w:val="20"/>
        </w:rPr>
        <w:t>Except as mentioned in point (ii) above, none of our promoters or directors is interested in any transaction for the acquisition of land, construction of building or supply of machinery.</w:t>
      </w:r>
    </w:p>
    <w:p w14:paraId="66F7D92A" w14:textId="77777777" w:rsidR="005B5953" w:rsidRPr="00712F3C" w:rsidRDefault="005B5953" w:rsidP="005B5953">
      <w:pPr>
        <w:autoSpaceDE w:val="0"/>
        <w:autoSpaceDN w:val="0"/>
        <w:adjustRightInd w:val="0"/>
        <w:spacing w:after="0" w:line="240" w:lineRule="auto"/>
        <w:jc w:val="both"/>
        <w:rPr>
          <w:rFonts w:ascii="Times New Roman" w:hAnsi="Times New Roman"/>
          <w:b/>
          <w:i/>
          <w:color w:val="000000"/>
          <w:sz w:val="20"/>
          <w:szCs w:val="20"/>
        </w:rPr>
      </w:pPr>
    </w:p>
    <w:p w14:paraId="4D53154C" w14:textId="77777777" w:rsidR="005B5953" w:rsidRPr="00712F3C" w:rsidRDefault="005B5953">
      <w:pPr>
        <w:pStyle w:val="ListParagraph"/>
        <w:numPr>
          <w:ilvl w:val="0"/>
          <w:numId w:val="192"/>
        </w:numPr>
        <w:shd w:val="clear" w:color="auto" w:fill="FFFFFF"/>
        <w:spacing w:line="240" w:lineRule="auto"/>
        <w:ind w:left="426"/>
        <w:rPr>
          <w:b/>
          <w:i/>
          <w:sz w:val="20"/>
          <w:szCs w:val="20"/>
        </w:rPr>
      </w:pPr>
      <w:r w:rsidRPr="00712F3C">
        <w:rPr>
          <w:b/>
          <w:i/>
          <w:sz w:val="20"/>
          <w:szCs w:val="20"/>
        </w:rPr>
        <w:t>Other Interests in our Company:</w:t>
      </w:r>
    </w:p>
    <w:p w14:paraId="0764D3D0" w14:textId="77777777" w:rsidR="005B5953" w:rsidRPr="00712F3C" w:rsidRDefault="005B5953" w:rsidP="005B5953">
      <w:pPr>
        <w:shd w:val="clear" w:color="auto" w:fill="FFFFFF"/>
        <w:spacing w:after="0" w:line="240" w:lineRule="auto"/>
        <w:jc w:val="both"/>
        <w:rPr>
          <w:rFonts w:ascii="Times New Roman" w:hAnsi="Times New Roman"/>
          <w:bCs/>
          <w:i/>
          <w:sz w:val="20"/>
          <w:szCs w:val="20"/>
        </w:rPr>
      </w:pPr>
    </w:p>
    <w:p w14:paraId="421E85D0" w14:textId="77777777" w:rsidR="005B5953" w:rsidRPr="00B01CCA" w:rsidRDefault="005B5953" w:rsidP="005B5953">
      <w:pPr>
        <w:shd w:val="clear" w:color="auto" w:fill="FFFFFF"/>
        <w:spacing w:after="0" w:line="240" w:lineRule="auto"/>
        <w:ind w:left="426"/>
        <w:jc w:val="both"/>
        <w:rPr>
          <w:rFonts w:ascii="Times New Roman" w:hAnsi="Times New Roman"/>
          <w:bCs/>
          <w:i/>
          <w:sz w:val="20"/>
          <w:szCs w:val="20"/>
        </w:rPr>
      </w:pPr>
      <w:r w:rsidRPr="00712F3C">
        <w:rPr>
          <w:rFonts w:ascii="Times New Roman" w:hAnsi="Times New Roman"/>
          <w:bCs/>
          <w:i/>
          <w:sz w:val="20"/>
          <w:szCs w:val="20"/>
        </w:rPr>
        <w:t xml:space="preserve">For transactions in respect of loans and other monetary transactions entered in past please refer </w:t>
      </w:r>
      <w:r w:rsidRPr="00712F3C">
        <w:rPr>
          <w:rFonts w:ascii="Times New Roman" w:hAnsi="Times New Roman"/>
          <w:b/>
          <w:bCs/>
          <w:i/>
          <w:sz w:val="20"/>
          <w:szCs w:val="20"/>
        </w:rPr>
        <w:t xml:space="preserve">Note 24 </w:t>
      </w:r>
      <w:r w:rsidRPr="00712F3C">
        <w:rPr>
          <w:rFonts w:ascii="Times New Roman" w:hAnsi="Times New Roman"/>
          <w:bCs/>
          <w:i/>
          <w:sz w:val="20"/>
          <w:szCs w:val="20"/>
        </w:rPr>
        <w:t xml:space="preserve">on </w:t>
      </w:r>
      <w:r w:rsidRPr="00712F3C">
        <w:rPr>
          <w:rFonts w:ascii="Times New Roman" w:hAnsi="Times New Roman"/>
          <w:b/>
          <w:bCs/>
          <w:i/>
          <w:sz w:val="20"/>
          <w:szCs w:val="20"/>
        </w:rPr>
        <w:t xml:space="preserve">“Related Party Transactions” </w:t>
      </w:r>
      <w:r w:rsidRPr="00B01CCA">
        <w:rPr>
          <w:rFonts w:ascii="Times New Roman" w:hAnsi="Times New Roman"/>
          <w:bCs/>
          <w:i/>
          <w:sz w:val="20"/>
          <w:szCs w:val="20"/>
        </w:rPr>
        <w:t>on page 161 forming part of</w:t>
      </w:r>
      <w:r w:rsidRPr="00B01CCA">
        <w:rPr>
          <w:rFonts w:ascii="Times New Roman" w:hAnsi="Times New Roman"/>
          <w:b/>
          <w:bCs/>
          <w:i/>
          <w:sz w:val="20"/>
          <w:szCs w:val="20"/>
        </w:rPr>
        <w:t xml:space="preserve"> “Financial Information of the Company” </w:t>
      </w:r>
      <w:r w:rsidRPr="00B01CCA">
        <w:rPr>
          <w:rFonts w:ascii="Times New Roman" w:hAnsi="Times New Roman"/>
          <w:bCs/>
          <w:i/>
          <w:sz w:val="20"/>
          <w:szCs w:val="20"/>
        </w:rPr>
        <w:t xml:space="preserve">of this Draft Red Herring Prospectus. </w:t>
      </w:r>
    </w:p>
    <w:p w14:paraId="28005FB2" w14:textId="77777777" w:rsidR="005B5953" w:rsidRPr="00B01CCA" w:rsidRDefault="005B5953" w:rsidP="005B5953">
      <w:pPr>
        <w:shd w:val="clear" w:color="auto" w:fill="FFFFFF"/>
        <w:spacing w:after="0" w:line="240" w:lineRule="auto"/>
        <w:jc w:val="both"/>
        <w:rPr>
          <w:rFonts w:ascii="Times New Roman" w:hAnsi="Times New Roman"/>
          <w:bCs/>
          <w:sz w:val="20"/>
          <w:szCs w:val="20"/>
        </w:rPr>
      </w:pPr>
    </w:p>
    <w:p w14:paraId="3163EF0E" w14:textId="77777777" w:rsidR="005B5953" w:rsidRPr="00712F3C" w:rsidRDefault="005B5953" w:rsidP="005B5953">
      <w:pPr>
        <w:widowControl w:val="0"/>
        <w:autoSpaceDE w:val="0"/>
        <w:autoSpaceDN w:val="0"/>
        <w:adjustRightInd w:val="0"/>
        <w:spacing w:after="0" w:line="240" w:lineRule="auto"/>
        <w:ind w:left="426"/>
        <w:jc w:val="both"/>
        <w:rPr>
          <w:rFonts w:ascii="Times New Roman" w:hAnsi="Times New Roman"/>
          <w:sz w:val="20"/>
          <w:szCs w:val="20"/>
        </w:rPr>
      </w:pPr>
      <w:r w:rsidRPr="00B01CCA">
        <w:rPr>
          <w:rFonts w:ascii="Times New Roman" w:hAnsi="Times New Roman"/>
          <w:sz w:val="20"/>
          <w:szCs w:val="20"/>
        </w:rPr>
        <w:t xml:space="preserve">Further, our promoter may be interested to the extent of personal guarantees given by them in favour of the Company, for the details of Personal Guarantee given by </w:t>
      </w:r>
      <w:r w:rsidRPr="00B01CCA">
        <w:rPr>
          <w:rFonts w:ascii="Times New Roman" w:hAnsi="Times New Roman"/>
          <w:sz w:val="20"/>
          <w:szCs w:val="20"/>
          <w:shd w:val="clear" w:color="auto" w:fill="FFFFFF"/>
        </w:rPr>
        <w:t xml:space="preserve">Promoters </w:t>
      </w:r>
      <w:r w:rsidRPr="00B01CCA">
        <w:rPr>
          <w:rFonts w:ascii="Times New Roman" w:hAnsi="Times New Roman"/>
          <w:sz w:val="20"/>
          <w:szCs w:val="20"/>
        </w:rPr>
        <w:t>towards Financial facilities of our Company please refer to</w:t>
      </w:r>
      <w:r w:rsidRPr="00B01CCA">
        <w:rPr>
          <w:rFonts w:ascii="Times New Roman" w:hAnsi="Times New Roman"/>
          <w:b/>
          <w:i/>
          <w:sz w:val="20"/>
          <w:szCs w:val="20"/>
        </w:rPr>
        <w:t xml:space="preserve"> “Statement of Financial Indebtedness” </w:t>
      </w:r>
      <w:r w:rsidRPr="00B01CCA">
        <w:rPr>
          <w:rFonts w:ascii="Times New Roman" w:hAnsi="Times New Roman"/>
          <w:sz w:val="20"/>
          <w:szCs w:val="20"/>
        </w:rPr>
        <w:t xml:space="preserve">and </w:t>
      </w:r>
      <w:r w:rsidRPr="00B01CCA">
        <w:rPr>
          <w:rFonts w:ascii="Times New Roman" w:hAnsi="Times New Roman"/>
          <w:b/>
          <w:i/>
          <w:sz w:val="20"/>
          <w:szCs w:val="20"/>
        </w:rPr>
        <w:t>“Financial Information of Our Company”</w:t>
      </w:r>
      <w:r w:rsidRPr="00B01CCA">
        <w:rPr>
          <w:rFonts w:ascii="Times New Roman" w:hAnsi="Times New Roman"/>
          <w:sz w:val="20"/>
          <w:szCs w:val="20"/>
        </w:rPr>
        <w:t xml:space="preserve"> on page 170 and 130 respectively of this Draft Red Herring Prospectus.</w:t>
      </w:r>
    </w:p>
    <w:p w14:paraId="61D6B92F" w14:textId="77777777" w:rsidR="005B5953" w:rsidRPr="00712F3C" w:rsidRDefault="005B5953" w:rsidP="005B5953">
      <w:pPr>
        <w:widowControl w:val="0"/>
        <w:autoSpaceDE w:val="0"/>
        <w:autoSpaceDN w:val="0"/>
        <w:adjustRightInd w:val="0"/>
        <w:spacing w:after="0" w:line="240" w:lineRule="auto"/>
        <w:jc w:val="both"/>
        <w:rPr>
          <w:rFonts w:ascii="Times New Roman" w:hAnsi="Times New Roman"/>
          <w:sz w:val="20"/>
          <w:szCs w:val="20"/>
        </w:rPr>
      </w:pPr>
    </w:p>
    <w:p w14:paraId="058B3CC2" w14:textId="77777777" w:rsidR="005B5953" w:rsidRPr="00712F3C" w:rsidRDefault="005B5953" w:rsidP="005B5953">
      <w:pPr>
        <w:spacing w:after="0" w:line="240" w:lineRule="auto"/>
        <w:rPr>
          <w:rFonts w:ascii="Times New Roman" w:hAnsi="Times New Roman"/>
          <w:sz w:val="20"/>
          <w:szCs w:val="20"/>
        </w:rPr>
      </w:pPr>
      <w:r w:rsidRPr="00712F3C">
        <w:rPr>
          <w:rFonts w:ascii="Times New Roman" w:hAnsi="Times New Roman"/>
          <w:b/>
          <w:bCs/>
          <w:sz w:val="20"/>
          <w:szCs w:val="20"/>
          <w:u w:val="single"/>
        </w:rPr>
        <w:t>Payment or Benefits to our Promoter and Promoter Group during the last 2 years:</w:t>
      </w:r>
      <w:r w:rsidRPr="00712F3C">
        <w:rPr>
          <w:rFonts w:ascii="Times New Roman" w:hAnsi="Times New Roman"/>
          <w:b/>
          <w:bCs/>
          <w:sz w:val="20"/>
          <w:szCs w:val="20"/>
          <w:u w:val="single"/>
        </w:rPr>
        <w:br/>
      </w:r>
    </w:p>
    <w:p w14:paraId="49A69B8B" w14:textId="77777777" w:rsidR="005B5953" w:rsidRPr="00712F3C" w:rsidRDefault="005B5953" w:rsidP="005B5953">
      <w:pPr>
        <w:autoSpaceDE w:val="0"/>
        <w:autoSpaceDN w:val="0"/>
        <w:adjustRightInd w:val="0"/>
        <w:spacing w:after="0" w:line="240" w:lineRule="auto"/>
        <w:jc w:val="both"/>
        <w:rPr>
          <w:rFonts w:ascii="Times New Roman" w:hAnsi="Times New Roman"/>
          <w:sz w:val="20"/>
          <w:szCs w:val="20"/>
        </w:rPr>
      </w:pPr>
      <w:r w:rsidRPr="00712F3C">
        <w:rPr>
          <w:rFonts w:ascii="Times New Roman" w:hAnsi="Times New Roman"/>
          <w:sz w:val="20"/>
          <w:szCs w:val="20"/>
        </w:rPr>
        <w:t xml:space="preserve">For details of payments or benefits paid to our Promoters and Promoter Group, please refer to the paragraph </w:t>
      </w:r>
      <w:r w:rsidRPr="00712F3C">
        <w:rPr>
          <w:rFonts w:ascii="Times New Roman" w:hAnsi="Times New Roman"/>
          <w:b/>
          <w:i/>
          <w:sz w:val="20"/>
          <w:szCs w:val="20"/>
        </w:rPr>
        <w:t>“Compensation of our Chairman”</w:t>
      </w:r>
      <w:r w:rsidRPr="00712F3C">
        <w:rPr>
          <w:rFonts w:ascii="Times New Roman" w:hAnsi="Times New Roman"/>
          <w:sz w:val="20"/>
          <w:szCs w:val="20"/>
        </w:rPr>
        <w:t xml:space="preserve"> in the chapter titled</w:t>
      </w:r>
      <w:r w:rsidRPr="00712F3C">
        <w:rPr>
          <w:rFonts w:ascii="Times New Roman" w:hAnsi="Times New Roman"/>
          <w:b/>
          <w:i/>
          <w:sz w:val="20"/>
          <w:szCs w:val="20"/>
        </w:rPr>
        <w:t xml:space="preserve"> “Our Management” </w:t>
      </w:r>
      <w:r w:rsidRPr="00712F3C">
        <w:rPr>
          <w:rFonts w:ascii="Times New Roman" w:hAnsi="Times New Roman"/>
          <w:sz w:val="20"/>
          <w:szCs w:val="20"/>
        </w:rPr>
        <w:t xml:space="preserve">beginning on page </w:t>
      </w:r>
      <w:r>
        <w:rPr>
          <w:rFonts w:ascii="Times New Roman" w:hAnsi="Times New Roman"/>
          <w:sz w:val="20"/>
          <w:szCs w:val="20"/>
        </w:rPr>
        <w:t>111</w:t>
      </w:r>
      <w:r w:rsidRPr="00712F3C">
        <w:rPr>
          <w:rFonts w:ascii="Times New Roman" w:hAnsi="Times New Roman"/>
          <w:sz w:val="20"/>
          <w:szCs w:val="20"/>
        </w:rPr>
        <w:t xml:space="preserve"> also refer </w:t>
      </w:r>
      <w:r w:rsidRPr="00712F3C">
        <w:rPr>
          <w:rFonts w:ascii="Times New Roman" w:hAnsi="Times New Roman"/>
          <w:i/>
          <w:sz w:val="20"/>
          <w:szCs w:val="20"/>
        </w:rPr>
        <w:t>Note 24 on</w:t>
      </w:r>
      <w:r w:rsidRPr="00712F3C">
        <w:rPr>
          <w:rFonts w:ascii="Times New Roman" w:hAnsi="Times New Roman"/>
          <w:sz w:val="20"/>
          <w:szCs w:val="20"/>
        </w:rPr>
        <w:t xml:space="preserve"> </w:t>
      </w:r>
      <w:r w:rsidRPr="00712F3C">
        <w:rPr>
          <w:rFonts w:ascii="Times New Roman" w:hAnsi="Times New Roman"/>
          <w:b/>
          <w:i/>
          <w:sz w:val="20"/>
          <w:szCs w:val="20"/>
        </w:rPr>
        <w:t>“Related Party Transactions”</w:t>
      </w:r>
      <w:r w:rsidRPr="00712F3C">
        <w:rPr>
          <w:rFonts w:ascii="Times New Roman" w:hAnsi="Times New Roman"/>
          <w:sz w:val="20"/>
          <w:szCs w:val="20"/>
        </w:rPr>
        <w:t xml:space="preserve"> on page </w:t>
      </w:r>
      <w:r>
        <w:rPr>
          <w:rFonts w:ascii="Times New Roman" w:hAnsi="Times New Roman"/>
          <w:sz w:val="20"/>
          <w:szCs w:val="20"/>
        </w:rPr>
        <w:t>161</w:t>
      </w:r>
      <w:r w:rsidRPr="00712F3C">
        <w:rPr>
          <w:rFonts w:ascii="Times New Roman" w:hAnsi="Times New Roman"/>
          <w:sz w:val="20"/>
          <w:szCs w:val="20"/>
        </w:rPr>
        <w:t xml:space="preserve"> forming part of “</w:t>
      </w:r>
      <w:r w:rsidRPr="00712F3C">
        <w:rPr>
          <w:rFonts w:ascii="Times New Roman" w:hAnsi="Times New Roman"/>
          <w:b/>
          <w:i/>
          <w:sz w:val="20"/>
          <w:szCs w:val="20"/>
        </w:rPr>
        <w:t>Financial Information of the Company”</w:t>
      </w:r>
      <w:r w:rsidRPr="00712F3C">
        <w:rPr>
          <w:rFonts w:ascii="Times New Roman" w:hAnsi="Times New Roman"/>
          <w:sz w:val="20"/>
          <w:szCs w:val="20"/>
        </w:rPr>
        <w:t xml:space="preserve"> and Paragraph on </w:t>
      </w:r>
      <w:r w:rsidRPr="00712F3C">
        <w:rPr>
          <w:rFonts w:ascii="Times New Roman" w:hAnsi="Times New Roman"/>
          <w:b/>
          <w:i/>
          <w:sz w:val="20"/>
          <w:szCs w:val="20"/>
        </w:rPr>
        <w:t>“Interest of Promoters”</w:t>
      </w:r>
      <w:r w:rsidRPr="00712F3C">
        <w:rPr>
          <w:rFonts w:ascii="Times New Roman" w:hAnsi="Times New Roman"/>
          <w:sz w:val="20"/>
          <w:szCs w:val="20"/>
        </w:rPr>
        <w:t xml:space="preserve"> in chapter titled “</w:t>
      </w:r>
      <w:r w:rsidRPr="00712F3C">
        <w:rPr>
          <w:rFonts w:ascii="Times New Roman" w:hAnsi="Times New Roman"/>
          <w:b/>
          <w:i/>
          <w:sz w:val="20"/>
          <w:szCs w:val="20"/>
        </w:rPr>
        <w:t>Our Promoter and Promoter Group</w:t>
      </w:r>
      <w:r w:rsidRPr="00712F3C">
        <w:rPr>
          <w:rFonts w:ascii="Times New Roman" w:hAnsi="Times New Roman"/>
          <w:sz w:val="20"/>
          <w:szCs w:val="20"/>
        </w:rPr>
        <w:t xml:space="preserve">” on page </w:t>
      </w:r>
      <w:r>
        <w:rPr>
          <w:rFonts w:ascii="Times New Roman" w:hAnsi="Times New Roman"/>
          <w:sz w:val="20"/>
          <w:szCs w:val="20"/>
        </w:rPr>
        <w:t>124</w:t>
      </w:r>
      <w:r w:rsidRPr="00712F3C">
        <w:rPr>
          <w:rFonts w:ascii="Times New Roman" w:hAnsi="Times New Roman"/>
          <w:sz w:val="20"/>
          <w:szCs w:val="20"/>
        </w:rPr>
        <w:t xml:space="preserve"> of this Draft Red Herring Prospectus.</w:t>
      </w:r>
    </w:p>
    <w:p w14:paraId="17A9FEC3" w14:textId="77777777" w:rsidR="005B5953" w:rsidRPr="00712F3C" w:rsidRDefault="005B5953" w:rsidP="005B5953">
      <w:pPr>
        <w:spacing w:after="0" w:line="240" w:lineRule="auto"/>
        <w:jc w:val="both"/>
        <w:rPr>
          <w:rFonts w:ascii="Times New Roman" w:eastAsia="Calibri" w:hAnsi="Times New Roman"/>
          <w:b/>
          <w:bCs/>
          <w:sz w:val="20"/>
          <w:szCs w:val="20"/>
          <w:u w:val="single"/>
        </w:rPr>
      </w:pPr>
    </w:p>
    <w:p w14:paraId="6F9F3B74" w14:textId="77777777" w:rsidR="005B5953" w:rsidRPr="00712F3C" w:rsidRDefault="005B5953" w:rsidP="005B5953">
      <w:pPr>
        <w:spacing w:after="0" w:line="240" w:lineRule="auto"/>
        <w:jc w:val="both"/>
        <w:rPr>
          <w:rFonts w:ascii="Times New Roman" w:eastAsia="Calibri" w:hAnsi="Times New Roman"/>
          <w:b/>
          <w:bCs/>
          <w:sz w:val="20"/>
          <w:szCs w:val="20"/>
          <w:u w:val="single"/>
        </w:rPr>
      </w:pPr>
      <w:r w:rsidRPr="00712F3C">
        <w:rPr>
          <w:rFonts w:ascii="Times New Roman" w:eastAsia="Calibri" w:hAnsi="Times New Roman"/>
          <w:b/>
          <w:bCs/>
          <w:sz w:val="20"/>
          <w:szCs w:val="20"/>
          <w:u w:val="single"/>
        </w:rPr>
        <w:t>Companies/ Firms with which our Promoters have disassociated in the last (3) three years</w:t>
      </w:r>
    </w:p>
    <w:p w14:paraId="4AB8CF52" w14:textId="77777777" w:rsidR="005B5953" w:rsidRPr="00712F3C" w:rsidRDefault="005B5953" w:rsidP="005B5953">
      <w:pPr>
        <w:spacing w:after="0" w:line="240" w:lineRule="auto"/>
        <w:jc w:val="both"/>
        <w:rPr>
          <w:rFonts w:ascii="Times New Roman" w:eastAsia="Calibri" w:hAnsi="Times New Roman"/>
          <w:b/>
          <w:bCs/>
          <w:sz w:val="20"/>
          <w:szCs w:val="20"/>
          <w:u w:val="single"/>
        </w:rPr>
      </w:pPr>
    </w:p>
    <w:p w14:paraId="78592EA2" w14:textId="14528BA4" w:rsidR="005B5953" w:rsidRDefault="005B5953" w:rsidP="005B5953">
      <w:pPr>
        <w:spacing w:after="0" w:line="240" w:lineRule="auto"/>
        <w:jc w:val="both"/>
        <w:rPr>
          <w:rFonts w:ascii="Times New Roman" w:eastAsia="Calibri" w:hAnsi="Times New Roman"/>
          <w:sz w:val="20"/>
          <w:szCs w:val="20"/>
        </w:rPr>
      </w:pPr>
      <w:r w:rsidRPr="00712F3C">
        <w:rPr>
          <w:rFonts w:ascii="Times New Roman" w:hAnsi="Times New Roman"/>
          <w:sz w:val="20"/>
          <w:szCs w:val="20"/>
        </w:rPr>
        <w:t>Except as disclosed below, our promoters have not disassociated themselves from any of the Company, Firms or other entities during the last three years preceding the date of this Draft Red Herring Prospectus</w:t>
      </w:r>
      <w:r w:rsidRPr="00712F3C">
        <w:rPr>
          <w:rFonts w:ascii="Times New Roman" w:eastAsia="Calibri" w:hAnsi="Times New Roman"/>
          <w:sz w:val="20"/>
          <w:szCs w:val="20"/>
        </w:rPr>
        <w:t>:</w:t>
      </w:r>
    </w:p>
    <w:p w14:paraId="27EAEABA" w14:textId="6E643775" w:rsidR="005B5953" w:rsidRDefault="005B5953">
      <w:pPr>
        <w:spacing w:after="160" w:line="259" w:lineRule="auto"/>
        <w:rPr>
          <w:rFonts w:ascii="Times New Roman" w:eastAsia="Calibri" w:hAnsi="Times New Roman"/>
          <w:sz w:val="20"/>
          <w:szCs w:val="20"/>
        </w:rPr>
      </w:pPr>
      <w:r>
        <w:rPr>
          <w:rFonts w:ascii="Times New Roman" w:eastAsia="Calibri" w:hAnsi="Times New Roman"/>
          <w:sz w:val="20"/>
          <w:szCs w:val="20"/>
        </w:rPr>
        <w:br w:type="page"/>
      </w:r>
    </w:p>
    <w:p w14:paraId="15B08150" w14:textId="77777777" w:rsidR="005B5953" w:rsidRPr="00712F3C" w:rsidRDefault="005B5953" w:rsidP="005B5953">
      <w:pPr>
        <w:spacing w:after="0" w:line="240" w:lineRule="auto"/>
        <w:jc w:val="both"/>
        <w:rPr>
          <w:rFonts w:ascii="Times New Roman" w:eastAsia="Calibri" w:hAnsi="Times New Roman"/>
          <w:sz w:val="20"/>
          <w:szCs w:val="20"/>
        </w:rPr>
      </w:pPr>
    </w:p>
    <w:tbl>
      <w:tblPr>
        <w:tblStyle w:val="TableGrid"/>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10"/>
        <w:gridCol w:w="3130"/>
        <w:gridCol w:w="2701"/>
        <w:gridCol w:w="1619"/>
      </w:tblGrid>
      <w:tr w:rsidR="005B5953" w:rsidRPr="00712F3C" w14:paraId="2BC66A0F" w14:textId="77777777" w:rsidTr="00250DAC">
        <w:tc>
          <w:tcPr>
            <w:tcW w:w="1439" w:type="pct"/>
            <w:shd w:val="clear" w:color="auto" w:fill="D0CECE" w:themeFill="background2" w:themeFillShade="E6"/>
            <w:vAlign w:val="center"/>
          </w:tcPr>
          <w:p w14:paraId="01D19CD9" w14:textId="77777777" w:rsidR="005B5953" w:rsidRPr="00712F3C" w:rsidRDefault="005B5953" w:rsidP="00250DAC">
            <w:pPr>
              <w:spacing w:after="0" w:line="240" w:lineRule="auto"/>
              <w:contextualSpacing/>
              <w:jc w:val="center"/>
              <w:rPr>
                <w:rFonts w:ascii="Times New Roman" w:hAnsi="Times New Roman"/>
                <w:b/>
              </w:rPr>
            </w:pPr>
            <w:r w:rsidRPr="00712F3C">
              <w:rPr>
                <w:rFonts w:ascii="Times New Roman" w:hAnsi="Times New Roman"/>
                <w:b/>
              </w:rPr>
              <w:t>Name of Promoter</w:t>
            </w:r>
          </w:p>
        </w:tc>
        <w:tc>
          <w:tcPr>
            <w:tcW w:w="1496" w:type="pct"/>
            <w:shd w:val="clear" w:color="auto" w:fill="D0CECE" w:themeFill="background2" w:themeFillShade="E6"/>
            <w:vAlign w:val="center"/>
          </w:tcPr>
          <w:p w14:paraId="617AE894" w14:textId="77777777" w:rsidR="005B5953" w:rsidRPr="00712F3C" w:rsidRDefault="005B5953" w:rsidP="00250DAC">
            <w:pPr>
              <w:spacing w:after="0" w:line="240" w:lineRule="auto"/>
              <w:contextualSpacing/>
              <w:jc w:val="center"/>
              <w:rPr>
                <w:rFonts w:ascii="Times New Roman" w:hAnsi="Times New Roman"/>
                <w:b/>
              </w:rPr>
            </w:pPr>
            <w:r w:rsidRPr="00712F3C">
              <w:rPr>
                <w:rFonts w:ascii="Times New Roman" w:hAnsi="Times New Roman"/>
                <w:b/>
              </w:rPr>
              <w:t>Companies or firms with which</w:t>
            </w:r>
          </w:p>
          <w:p w14:paraId="43395501" w14:textId="77777777" w:rsidR="005B5953" w:rsidRPr="00712F3C" w:rsidRDefault="005B5953" w:rsidP="00250DAC">
            <w:pPr>
              <w:spacing w:after="0" w:line="240" w:lineRule="auto"/>
              <w:contextualSpacing/>
              <w:jc w:val="center"/>
              <w:rPr>
                <w:rFonts w:ascii="Times New Roman" w:hAnsi="Times New Roman"/>
                <w:b/>
              </w:rPr>
            </w:pPr>
            <w:r w:rsidRPr="00712F3C">
              <w:rPr>
                <w:rFonts w:ascii="Times New Roman" w:hAnsi="Times New Roman"/>
                <w:b/>
              </w:rPr>
              <w:t>Promoter(s) have disassociated</w:t>
            </w:r>
          </w:p>
        </w:tc>
        <w:tc>
          <w:tcPr>
            <w:tcW w:w="1291" w:type="pct"/>
            <w:shd w:val="clear" w:color="auto" w:fill="D0CECE" w:themeFill="background2" w:themeFillShade="E6"/>
            <w:vAlign w:val="center"/>
          </w:tcPr>
          <w:p w14:paraId="097ECCAD" w14:textId="77777777" w:rsidR="005B5953" w:rsidRPr="00712F3C" w:rsidRDefault="005B5953" w:rsidP="00250DAC">
            <w:pPr>
              <w:autoSpaceDE w:val="0"/>
              <w:autoSpaceDN w:val="0"/>
              <w:adjustRightInd w:val="0"/>
              <w:spacing w:after="0" w:line="240" w:lineRule="auto"/>
              <w:jc w:val="center"/>
              <w:rPr>
                <w:rFonts w:ascii="Times New Roman" w:eastAsiaTheme="minorHAnsi" w:hAnsi="Times New Roman"/>
                <w:b/>
                <w:bCs/>
              </w:rPr>
            </w:pPr>
            <w:r w:rsidRPr="00712F3C">
              <w:rPr>
                <w:rFonts w:ascii="Times New Roman" w:eastAsiaTheme="minorHAnsi" w:hAnsi="Times New Roman"/>
                <w:b/>
                <w:bCs/>
              </w:rPr>
              <w:t>Reasons and circumstances</w:t>
            </w:r>
          </w:p>
          <w:p w14:paraId="607EBCFF" w14:textId="77777777" w:rsidR="005B5953" w:rsidRPr="00712F3C" w:rsidRDefault="005B5953" w:rsidP="00250DAC">
            <w:pPr>
              <w:spacing w:after="0" w:line="240" w:lineRule="auto"/>
              <w:contextualSpacing/>
              <w:jc w:val="center"/>
              <w:rPr>
                <w:rFonts w:ascii="Times New Roman" w:hAnsi="Times New Roman"/>
                <w:b/>
              </w:rPr>
            </w:pPr>
            <w:r w:rsidRPr="00712F3C">
              <w:rPr>
                <w:rFonts w:ascii="Times New Roman" w:eastAsiaTheme="minorHAnsi" w:hAnsi="Times New Roman"/>
                <w:b/>
                <w:bCs/>
              </w:rPr>
              <w:t>of disassociation</w:t>
            </w:r>
          </w:p>
        </w:tc>
        <w:tc>
          <w:tcPr>
            <w:tcW w:w="774" w:type="pct"/>
            <w:shd w:val="clear" w:color="auto" w:fill="D0CECE" w:themeFill="background2" w:themeFillShade="E6"/>
            <w:vAlign w:val="center"/>
          </w:tcPr>
          <w:p w14:paraId="79256CA8" w14:textId="77777777" w:rsidR="005B5953" w:rsidRPr="00712F3C" w:rsidRDefault="005B5953" w:rsidP="00250DAC">
            <w:pPr>
              <w:spacing w:after="0" w:line="240" w:lineRule="auto"/>
              <w:contextualSpacing/>
              <w:jc w:val="center"/>
              <w:rPr>
                <w:rFonts w:ascii="Times New Roman" w:hAnsi="Times New Roman"/>
                <w:b/>
              </w:rPr>
            </w:pPr>
            <w:r w:rsidRPr="00712F3C">
              <w:rPr>
                <w:rFonts w:ascii="Times New Roman" w:eastAsiaTheme="minorHAnsi" w:hAnsi="Times New Roman"/>
                <w:b/>
                <w:bCs/>
              </w:rPr>
              <w:t>Date of Disassociation</w:t>
            </w:r>
          </w:p>
        </w:tc>
      </w:tr>
      <w:tr w:rsidR="005B5953" w:rsidRPr="00712F3C" w14:paraId="624ED40A" w14:textId="77777777" w:rsidTr="00250DAC">
        <w:tc>
          <w:tcPr>
            <w:tcW w:w="1439" w:type="pct"/>
            <w:vAlign w:val="center"/>
          </w:tcPr>
          <w:p w14:paraId="75DF9331" w14:textId="77777777" w:rsidR="005B5953" w:rsidRPr="00712F3C" w:rsidRDefault="005B5953" w:rsidP="00250DAC">
            <w:pPr>
              <w:spacing w:after="0" w:line="240" w:lineRule="auto"/>
              <w:contextualSpacing/>
              <w:rPr>
                <w:rFonts w:ascii="Times New Roman" w:hAnsi="Times New Roman"/>
              </w:rPr>
            </w:pPr>
            <w:r w:rsidRPr="00792E9D">
              <w:rPr>
                <w:rFonts w:ascii="Times New Roman" w:hAnsi="Times New Roman"/>
                <w:color w:val="000000"/>
              </w:rPr>
              <w:t>Ramgopal Ochhavlal Maheshwari</w:t>
            </w:r>
          </w:p>
        </w:tc>
        <w:tc>
          <w:tcPr>
            <w:tcW w:w="1496" w:type="pct"/>
            <w:vAlign w:val="center"/>
          </w:tcPr>
          <w:p w14:paraId="1D1EC586" w14:textId="77777777" w:rsidR="005B5953" w:rsidRPr="00712F3C" w:rsidRDefault="005B5953" w:rsidP="00250DAC">
            <w:pPr>
              <w:spacing w:after="0" w:line="240" w:lineRule="auto"/>
              <w:contextualSpacing/>
              <w:jc w:val="both"/>
              <w:rPr>
                <w:rFonts w:ascii="Times New Roman" w:hAnsi="Times New Roman"/>
                <w:color w:val="000000" w:themeColor="text1"/>
              </w:rPr>
            </w:pPr>
            <w:r w:rsidRPr="0041232E">
              <w:rPr>
                <w:rFonts w:ascii="Times New Roman" w:eastAsia="MS Mincho" w:hAnsi="Times New Roman"/>
                <w:color w:val="000000" w:themeColor="text1"/>
                <w:lang w:val="en-GB"/>
              </w:rPr>
              <w:t>Charbhuja Metal Udhyog Private Limited</w:t>
            </w:r>
            <w:r w:rsidRPr="002319D7">
              <w:rPr>
                <w:rFonts w:ascii="Times New Roman" w:eastAsia="MS Mincho" w:hAnsi="Times New Roman"/>
                <w:color w:val="000000" w:themeColor="text1"/>
                <w:lang w:val="en-GB"/>
              </w:rPr>
              <w:t xml:space="preserve"> </w:t>
            </w:r>
            <w:r w:rsidRPr="0041232E">
              <w:rPr>
                <w:rFonts w:ascii="Times New Roman" w:eastAsia="MS Mincho" w:hAnsi="Times New Roman"/>
                <w:i/>
                <w:iCs/>
                <w:color w:val="000000" w:themeColor="text1"/>
                <w:lang w:val="en-GB"/>
              </w:rPr>
              <w:t>(formerly known as Siyaram Metal Udyog Private Limited)</w:t>
            </w:r>
          </w:p>
        </w:tc>
        <w:tc>
          <w:tcPr>
            <w:tcW w:w="1291" w:type="pct"/>
            <w:vAlign w:val="center"/>
          </w:tcPr>
          <w:p w14:paraId="408C6FEF" w14:textId="77777777" w:rsidR="005B5953" w:rsidRPr="00712F3C" w:rsidRDefault="005B5953" w:rsidP="00250DAC">
            <w:pPr>
              <w:spacing w:after="0" w:line="240" w:lineRule="auto"/>
              <w:contextualSpacing/>
              <w:jc w:val="both"/>
              <w:rPr>
                <w:rFonts w:ascii="Times New Roman" w:hAnsi="Times New Roman"/>
              </w:rPr>
            </w:pPr>
            <w:r w:rsidRPr="001743A3">
              <w:rPr>
                <w:rFonts w:ascii="Times New Roman" w:hAnsi="Times New Roman"/>
              </w:rPr>
              <w:t>Voluntarily Resignation</w:t>
            </w:r>
            <w:r w:rsidRPr="00712F3C">
              <w:rPr>
                <w:rFonts w:ascii="Times New Roman" w:hAnsi="Times New Roman"/>
              </w:rPr>
              <w:t xml:space="preserve"> </w:t>
            </w:r>
          </w:p>
        </w:tc>
        <w:tc>
          <w:tcPr>
            <w:tcW w:w="774" w:type="pct"/>
            <w:vAlign w:val="center"/>
          </w:tcPr>
          <w:p w14:paraId="66AEFDE3" w14:textId="77777777" w:rsidR="005B5953" w:rsidRPr="00712F3C" w:rsidRDefault="005B5953" w:rsidP="00250DAC">
            <w:pPr>
              <w:spacing w:after="0" w:line="240" w:lineRule="auto"/>
              <w:contextualSpacing/>
              <w:jc w:val="both"/>
              <w:rPr>
                <w:rFonts w:ascii="Times New Roman" w:hAnsi="Times New Roman"/>
              </w:rPr>
            </w:pPr>
            <w:r>
              <w:rPr>
                <w:rFonts w:ascii="Times New Roman" w:hAnsi="Times New Roman"/>
              </w:rPr>
              <w:t>March 25, 2023</w:t>
            </w:r>
          </w:p>
        </w:tc>
      </w:tr>
    </w:tbl>
    <w:p w14:paraId="05297707" w14:textId="77777777" w:rsidR="005B5953" w:rsidRDefault="005B5953" w:rsidP="005B5953">
      <w:pPr>
        <w:spacing w:after="0" w:line="240" w:lineRule="auto"/>
        <w:rPr>
          <w:rFonts w:ascii="Times New Roman" w:hAnsi="Times New Roman"/>
          <w:b/>
          <w:sz w:val="20"/>
          <w:szCs w:val="20"/>
          <w:u w:val="single"/>
        </w:rPr>
      </w:pPr>
    </w:p>
    <w:p w14:paraId="22C7F088" w14:textId="77777777" w:rsidR="005B5953" w:rsidRPr="00712F3C" w:rsidRDefault="005B5953" w:rsidP="005B5953">
      <w:pPr>
        <w:spacing w:after="0" w:line="240" w:lineRule="auto"/>
        <w:rPr>
          <w:rFonts w:ascii="Times New Roman" w:hAnsi="Times New Roman"/>
          <w:b/>
          <w:sz w:val="20"/>
          <w:szCs w:val="20"/>
          <w:u w:val="single"/>
        </w:rPr>
      </w:pPr>
      <w:r w:rsidRPr="00712F3C">
        <w:rPr>
          <w:rFonts w:ascii="Times New Roman" w:hAnsi="Times New Roman"/>
          <w:b/>
          <w:sz w:val="20"/>
          <w:szCs w:val="20"/>
          <w:u w:val="single"/>
        </w:rPr>
        <w:t>Other ventures of our Promoters</w:t>
      </w:r>
    </w:p>
    <w:p w14:paraId="6B635297" w14:textId="77777777" w:rsidR="005B5953" w:rsidRPr="00712F3C" w:rsidRDefault="005B5953" w:rsidP="005B5953">
      <w:pPr>
        <w:spacing w:after="0" w:line="240" w:lineRule="auto"/>
        <w:jc w:val="both"/>
        <w:rPr>
          <w:rFonts w:ascii="Times New Roman" w:hAnsi="Times New Roman"/>
          <w:sz w:val="20"/>
          <w:szCs w:val="20"/>
        </w:rPr>
      </w:pPr>
    </w:p>
    <w:p w14:paraId="5C646C1B" w14:textId="77777777" w:rsidR="005B5953" w:rsidRPr="00712F3C" w:rsidRDefault="005B5953" w:rsidP="005B5953">
      <w:pPr>
        <w:spacing w:after="0" w:line="240" w:lineRule="auto"/>
        <w:jc w:val="both"/>
        <w:rPr>
          <w:rFonts w:ascii="Times New Roman" w:hAnsi="Times New Roman"/>
          <w:sz w:val="20"/>
          <w:szCs w:val="20"/>
        </w:rPr>
      </w:pPr>
      <w:r w:rsidRPr="00712F3C">
        <w:rPr>
          <w:rFonts w:ascii="Times New Roman" w:hAnsi="Times New Roman"/>
          <w:sz w:val="20"/>
          <w:szCs w:val="20"/>
        </w:rPr>
        <w:t xml:space="preserve">Save and except as disclosed in this section titled </w:t>
      </w:r>
      <w:r w:rsidRPr="00712F3C">
        <w:rPr>
          <w:rFonts w:ascii="Times New Roman" w:hAnsi="Times New Roman"/>
          <w:b/>
          <w:i/>
          <w:sz w:val="20"/>
          <w:szCs w:val="20"/>
        </w:rPr>
        <w:t>“Our Promoters &amp; Promoter Group”</w:t>
      </w:r>
      <w:r w:rsidRPr="00712F3C">
        <w:rPr>
          <w:rFonts w:ascii="Times New Roman" w:hAnsi="Times New Roman"/>
          <w:sz w:val="20"/>
          <w:szCs w:val="20"/>
        </w:rPr>
        <w:t xml:space="preserve"> beginning on page </w:t>
      </w:r>
      <w:r>
        <w:rPr>
          <w:rFonts w:ascii="Times New Roman" w:hAnsi="Times New Roman"/>
          <w:sz w:val="20"/>
          <w:szCs w:val="20"/>
        </w:rPr>
        <w:t>124</w:t>
      </w:r>
      <w:r w:rsidRPr="00712F3C">
        <w:rPr>
          <w:rFonts w:ascii="Times New Roman" w:hAnsi="Times New Roman"/>
          <w:sz w:val="20"/>
          <w:szCs w:val="20"/>
        </w:rPr>
        <w:t xml:space="preserve"> of this Draft Red Herring Prospectus, there are no ventures promoted by our Promoters in which they have any business interests/ other interests.</w:t>
      </w:r>
    </w:p>
    <w:p w14:paraId="13942E63" w14:textId="77777777" w:rsidR="005B5953" w:rsidRPr="00712F3C" w:rsidRDefault="005B5953" w:rsidP="005B5953">
      <w:pPr>
        <w:spacing w:after="0" w:line="240" w:lineRule="auto"/>
        <w:rPr>
          <w:rFonts w:ascii="Times New Roman" w:hAnsi="Times New Roman"/>
          <w:sz w:val="20"/>
          <w:szCs w:val="20"/>
        </w:rPr>
      </w:pPr>
    </w:p>
    <w:p w14:paraId="36C458FE" w14:textId="77777777" w:rsidR="005B5953" w:rsidRPr="00712F3C" w:rsidRDefault="005B5953" w:rsidP="005B5953">
      <w:pPr>
        <w:spacing w:after="0" w:line="240" w:lineRule="auto"/>
        <w:rPr>
          <w:rFonts w:ascii="Times New Roman" w:hAnsi="Times New Roman"/>
          <w:b/>
          <w:sz w:val="20"/>
          <w:szCs w:val="20"/>
          <w:u w:val="single"/>
        </w:rPr>
      </w:pPr>
      <w:r w:rsidRPr="00712F3C">
        <w:rPr>
          <w:rFonts w:ascii="Times New Roman" w:hAnsi="Times New Roman"/>
          <w:b/>
          <w:sz w:val="20"/>
          <w:szCs w:val="20"/>
          <w:u w:val="single"/>
        </w:rPr>
        <w:t>Litigation details pertaining to our Promoters</w:t>
      </w:r>
    </w:p>
    <w:p w14:paraId="2596D7A0" w14:textId="77777777" w:rsidR="005B5953" w:rsidRPr="00712F3C" w:rsidRDefault="005B5953" w:rsidP="005B5953">
      <w:pPr>
        <w:spacing w:after="0" w:line="240" w:lineRule="auto"/>
        <w:rPr>
          <w:rFonts w:ascii="Times New Roman" w:hAnsi="Times New Roman"/>
          <w:sz w:val="20"/>
          <w:szCs w:val="20"/>
        </w:rPr>
      </w:pPr>
    </w:p>
    <w:p w14:paraId="26DAD651" w14:textId="77777777" w:rsidR="005B5953" w:rsidRPr="00712F3C" w:rsidRDefault="005B5953" w:rsidP="005B5953">
      <w:pPr>
        <w:spacing w:after="0" w:line="240" w:lineRule="auto"/>
        <w:jc w:val="both"/>
        <w:rPr>
          <w:rFonts w:ascii="Times New Roman" w:hAnsi="Times New Roman"/>
          <w:sz w:val="20"/>
          <w:szCs w:val="20"/>
        </w:rPr>
      </w:pPr>
      <w:r w:rsidRPr="00712F3C">
        <w:rPr>
          <w:rFonts w:ascii="Times New Roman" w:hAnsi="Times New Roman"/>
          <w:sz w:val="20"/>
          <w:szCs w:val="20"/>
        </w:rPr>
        <w:t xml:space="preserve">For details on litigations and disputes pending against the Promoters and defaults made by the Promoters please refer to the section titled </w:t>
      </w:r>
      <w:r w:rsidRPr="00712F3C">
        <w:rPr>
          <w:rFonts w:ascii="Times New Roman" w:hAnsi="Times New Roman"/>
          <w:b/>
          <w:sz w:val="20"/>
          <w:szCs w:val="20"/>
        </w:rPr>
        <w:t>“</w:t>
      </w:r>
      <w:r w:rsidRPr="00712F3C">
        <w:rPr>
          <w:rFonts w:ascii="Times New Roman" w:hAnsi="Times New Roman"/>
          <w:b/>
          <w:i/>
          <w:sz w:val="20"/>
          <w:szCs w:val="20"/>
        </w:rPr>
        <w:t>Outstanding Litigations and Material Developments</w:t>
      </w:r>
      <w:r w:rsidRPr="00712F3C">
        <w:rPr>
          <w:rFonts w:ascii="Times New Roman" w:hAnsi="Times New Roman"/>
          <w:b/>
          <w:sz w:val="20"/>
          <w:szCs w:val="20"/>
        </w:rPr>
        <w:t>”</w:t>
      </w:r>
      <w:r w:rsidRPr="00712F3C">
        <w:rPr>
          <w:rFonts w:ascii="Times New Roman" w:hAnsi="Times New Roman"/>
          <w:sz w:val="20"/>
          <w:szCs w:val="20"/>
        </w:rPr>
        <w:t xml:space="preserve"> beginning on page </w:t>
      </w:r>
      <w:r>
        <w:rPr>
          <w:rFonts w:ascii="Times New Roman" w:hAnsi="Times New Roman"/>
          <w:sz w:val="20"/>
          <w:szCs w:val="20"/>
        </w:rPr>
        <w:t>185</w:t>
      </w:r>
      <w:r w:rsidRPr="00712F3C">
        <w:rPr>
          <w:rFonts w:ascii="Times New Roman" w:hAnsi="Times New Roman"/>
          <w:sz w:val="20"/>
          <w:szCs w:val="20"/>
        </w:rPr>
        <w:t xml:space="preserve"> of this Draft Red Herring Prospectus.</w:t>
      </w:r>
    </w:p>
    <w:p w14:paraId="345C95F4" w14:textId="77777777" w:rsidR="005B5953" w:rsidRPr="00712F3C" w:rsidRDefault="005B5953" w:rsidP="005B5953">
      <w:pPr>
        <w:spacing w:after="0" w:line="240" w:lineRule="auto"/>
        <w:jc w:val="both"/>
        <w:rPr>
          <w:rFonts w:ascii="Times New Roman" w:hAnsi="Times New Roman"/>
          <w:sz w:val="20"/>
          <w:szCs w:val="20"/>
        </w:rPr>
      </w:pPr>
    </w:p>
    <w:p w14:paraId="5EF171C7" w14:textId="77777777" w:rsidR="005B5953" w:rsidRPr="00712F3C" w:rsidRDefault="005B5953" w:rsidP="005B5953">
      <w:pPr>
        <w:spacing w:after="0" w:line="240" w:lineRule="auto"/>
        <w:rPr>
          <w:rFonts w:ascii="Times New Roman" w:eastAsia="Calibri" w:hAnsi="Times New Roman"/>
          <w:b/>
          <w:bCs/>
          <w:sz w:val="20"/>
          <w:szCs w:val="20"/>
          <w:u w:val="single"/>
          <w:lang w:bidi="en-US"/>
        </w:rPr>
      </w:pPr>
      <w:r w:rsidRPr="00712F3C">
        <w:rPr>
          <w:rFonts w:ascii="Times New Roman" w:eastAsia="Calibri" w:hAnsi="Times New Roman"/>
          <w:b/>
          <w:bCs/>
          <w:sz w:val="20"/>
          <w:szCs w:val="20"/>
          <w:u w:val="single"/>
          <w:lang w:bidi="en-US"/>
        </w:rPr>
        <w:t>Experience of Promoters in the line of business</w:t>
      </w:r>
    </w:p>
    <w:p w14:paraId="6FA6CBB6" w14:textId="77777777" w:rsidR="005B5953" w:rsidRPr="00712F3C" w:rsidRDefault="005B5953" w:rsidP="005B5953">
      <w:pPr>
        <w:spacing w:after="0" w:line="240" w:lineRule="auto"/>
        <w:rPr>
          <w:rFonts w:ascii="Times New Roman" w:eastAsia="Calibri" w:hAnsi="Times New Roman"/>
          <w:b/>
          <w:bCs/>
          <w:sz w:val="20"/>
          <w:szCs w:val="20"/>
          <w:lang w:bidi="en-US"/>
        </w:rPr>
      </w:pPr>
    </w:p>
    <w:p w14:paraId="6CE1FEF3" w14:textId="77777777" w:rsidR="005B5953" w:rsidRPr="00712F3C" w:rsidRDefault="005B5953" w:rsidP="005B5953">
      <w:pPr>
        <w:spacing w:after="0" w:line="240" w:lineRule="auto"/>
        <w:jc w:val="both"/>
        <w:rPr>
          <w:rFonts w:ascii="Times New Roman" w:hAnsi="Times New Roman"/>
          <w:sz w:val="20"/>
          <w:szCs w:val="20"/>
        </w:rPr>
      </w:pPr>
      <w:r w:rsidRPr="00712F3C">
        <w:rPr>
          <w:rFonts w:ascii="Times New Roman" w:eastAsia="Calibri" w:hAnsi="Times New Roman"/>
          <w:sz w:val="20"/>
          <w:szCs w:val="20"/>
          <w:lang w:bidi="en-US"/>
        </w:rPr>
        <w:t xml:space="preserve">Our Promoters, </w:t>
      </w:r>
      <w:r w:rsidRPr="00792E9D">
        <w:rPr>
          <w:rFonts w:ascii="Times New Roman" w:hAnsi="Times New Roman"/>
          <w:color w:val="000000"/>
          <w:sz w:val="20"/>
          <w:szCs w:val="20"/>
        </w:rPr>
        <w:t>Ramgopal Ochhavlal Maheshwari</w:t>
      </w:r>
      <w:r>
        <w:rPr>
          <w:rFonts w:ascii="Times New Roman" w:hAnsi="Times New Roman"/>
          <w:color w:val="000000"/>
          <w:sz w:val="20"/>
          <w:szCs w:val="20"/>
        </w:rPr>
        <w:t xml:space="preserve"> has an overall experience of almost 43 years while </w:t>
      </w:r>
      <w:r w:rsidRPr="00792E9D">
        <w:rPr>
          <w:rFonts w:ascii="Times New Roman" w:hAnsi="Times New Roman"/>
          <w:color w:val="000000"/>
          <w:sz w:val="20"/>
          <w:szCs w:val="20"/>
        </w:rPr>
        <w:t>Bhavesh Ramgopal Maheshwari</w:t>
      </w:r>
      <w:r>
        <w:rPr>
          <w:rFonts w:ascii="Times New Roman" w:hAnsi="Times New Roman"/>
          <w:color w:val="000000"/>
          <w:sz w:val="20"/>
          <w:szCs w:val="20"/>
        </w:rPr>
        <w:t xml:space="preserve"> has a</w:t>
      </w:r>
      <w:r w:rsidRPr="00712F3C">
        <w:rPr>
          <w:rFonts w:ascii="Times New Roman" w:hAnsi="Times New Roman"/>
          <w:color w:val="000000"/>
          <w:sz w:val="20"/>
          <w:szCs w:val="20"/>
        </w:rPr>
        <w:t xml:space="preserve">n experience of around </w:t>
      </w:r>
      <w:r>
        <w:rPr>
          <w:rFonts w:ascii="Times New Roman" w:hAnsi="Times New Roman"/>
          <w:color w:val="000000"/>
          <w:sz w:val="20"/>
          <w:szCs w:val="20"/>
        </w:rPr>
        <w:t>6</w:t>
      </w:r>
      <w:r w:rsidRPr="00712F3C">
        <w:rPr>
          <w:rFonts w:ascii="Times New Roman" w:hAnsi="Times New Roman"/>
          <w:color w:val="000000"/>
          <w:sz w:val="20"/>
          <w:szCs w:val="20"/>
        </w:rPr>
        <w:t xml:space="preserve"> years respectively </w:t>
      </w:r>
      <w:r w:rsidRPr="00712F3C">
        <w:rPr>
          <w:rFonts w:ascii="Times New Roman" w:hAnsi="Times New Roman"/>
          <w:sz w:val="20"/>
          <w:szCs w:val="20"/>
        </w:rPr>
        <w:t xml:space="preserve">in </w:t>
      </w:r>
      <w:r w:rsidRPr="00734F23">
        <w:rPr>
          <w:rFonts w:ascii="Times New Roman" w:hAnsi="Times New Roman"/>
          <w:sz w:val="20"/>
          <w:szCs w:val="20"/>
        </w:rPr>
        <w:t>plumbing &amp; sanitation industry</w:t>
      </w:r>
      <w:r w:rsidRPr="00712F3C">
        <w:rPr>
          <w:rFonts w:ascii="Times New Roman" w:hAnsi="Times New Roman"/>
          <w:sz w:val="20"/>
          <w:szCs w:val="20"/>
        </w:rPr>
        <w:t xml:space="preserve">. </w:t>
      </w:r>
      <w:r w:rsidRPr="00712F3C">
        <w:rPr>
          <w:rFonts w:ascii="Times New Roman" w:eastAsia="Calibri" w:hAnsi="Times New Roman"/>
          <w:sz w:val="20"/>
          <w:szCs w:val="20"/>
          <w:lang w:bidi="en-US"/>
        </w:rPr>
        <w:t>The Company shall also endeavor to ensure that relevant professional help is sought as and when required in the future.</w:t>
      </w:r>
    </w:p>
    <w:p w14:paraId="34FE979B" w14:textId="77777777" w:rsidR="005B5953" w:rsidRPr="00712F3C" w:rsidRDefault="005B5953" w:rsidP="005B5953">
      <w:pPr>
        <w:spacing w:after="0" w:line="240" w:lineRule="auto"/>
        <w:rPr>
          <w:rFonts w:ascii="Times New Roman" w:hAnsi="Times New Roman"/>
          <w:sz w:val="20"/>
          <w:szCs w:val="20"/>
        </w:rPr>
      </w:pPr>
    </w:p>
    <w:p w14:paraId="260ADB5E" w14:textId="77777777" w:rsidR="005B5953" w:rsidRPr="00712F3C" w:rsidRDefault="005B5953" w:rsidP="005B5953">
      <w:pPr>
        <w:spacing w:after="0" w:line="240" w:lineRule="auto"/>
        <w:rPr>
          <w:rFonts w:ascii="Times New Roman" w:hAnsi="Times New Roman"/>
          <w:b/>
          <w:sz w:val="20"/>
          <w:szCs w:val="20"/>
          <w:u w:val="single"/>
        </w:rPr>
      </w:pPr>
      <w:r w:rsidRPr="00712F3C">
        <w:rPr>
          <w:rFonts w:ascii="Times New Roman" w:hAnsi="Times New Roman"/>
          <w:b/>
          <w:sz w:val="20"/>
          <w:szCs w:val="20"/>
          <w:u w:val="single"/>
        </w:rPr>
        <w:t>Related Party Transactions</w:t>
      </w:r>
    </w:p>
    <w:p w14:paraId="098E789F" w14:textId="77777777" w:rsidR="005B5953" w:rsidRPr="00712F3C" w:rsidRDefault="005B5953" w:rsidP="005B5953">
      <w:pPr>
        <w:spacing w:after="0" w:line="240" w:lineRule="auto"/>
        <w:rPr>
          <w:rFonts w:ascii="Times New Roman" w:hAnsi="Times New Roman"/>
          <w:sz w:val="20"/>
          <w:szCs w:val="20"/>
        </w:rPr>
      </w:pPr>
    </w:p>
    <w:p w14:paraId="39B62C93" w14:textId="77777777" w:rsidR="005B5953" w:rsidRPr="00712F3C" w:rsidRDefault="005B5953" w:rsidP="005B5953">
      <w:pPr>
        <w:spacing w:after="0" w:line="240" w:lineRule="auto"/>
        <w:jc w:val="both"/>
        <w:rPr>
          <w:rFonts w:ascii="Times New Roman" w:hAnsi="Times New Roman"/>
          <w:sz w:val="20"/>
          <w:szCs w:val="20"/>
        </w:rPr>
      </w:pPr>
      <w:r w:rsidRPr="00712F3C">
        <w:rPr>
          <w:rFonts w:ascii="Times New Roman" w:hAnsi="Times New Roman"/>
          <w:sz w:val="20"/>
          <w:szCs w:val="20"/>
        </w:rPr>
        <w:t xml:space="preserve">For the transactions with our Promoter Group entities please refer to section titled </w:t>
      </w:r>
      <w:r w:rsidRPr="00A512E3">
        <w:rPr>
          <w:rFonts w:ascii="Times New Roman" w:hAnsi="Times New Roman"/>
          <w:b/>
          <w:bCs/>
          <w:i/>
          <w:iCs/>
          <w:sz w:val="20"/>
          <w:szCs w:val="20"/>
        </w:rPr>
        <w:t>“</w:t>
      </w:r>
      <w:r w:rsidRPr="00712F3C">
        <w:rPr>
          <w:rFonts w:ascii="Times New Roman" w:hAnsi="Times New Roman"/>
          <w:b/>
          <w:i/>
          <w:sz w:val="20"/>
          <w:szCs w:val="20"/>
        </w:rPr>
        <w:t>Note 24 - Related Party Transactions</w:t>
      </w:r>
      <w:r w:rsidRPr="00A512E3">
        <w:rPr>
          <w:rFonts w:ascii="Times New Roman" w:hAnsi="Times New Roman"/>
          <w:b/>
          <w:bCs/>
          <w:i/>
          <w:iCs/>
          <w:sz w:val="20"/>
          <w:szCs w:val="20"/>
        </w:rPr>
        <w:t>”</w:t>
      </w:r>
      <w:r w:rsidRPr="00712F3C">
        <w:rPr>
          <w:rFonts w:ascii="Times New Roman" w:hAnsi="Times New Roman"/>
          <w:sz w:val="20"/>
          <w:szCs w:val="20"/>
        </w:rPr>
        <w:t xml:space="preserve"> on page </w:t>
      </w:r>
      <w:r>
        <w:rPr>
          <w:rFonts w:ascii="Times New Roman" w:hAnsi="Times New Roman"/>
          <w:sz w:val="20"/>
          <w:szCs w:val="20"/>
        </w:rPr>
        <w:t>161</w:t>
      </w:r>
      <w:r w:rsidRPr="00712F3C">
        <w:rPr>
          <w:rFonts w:ascii="Times New Roman" w:hAnsi="Times New Roman"/>
          <w:sz w:val="20"/>
          <w:szCs w:val="20"/>
        </w:rPr>
        <w:t xml:space="preserve"> of this Draft Red Herring Prospectus.</w:t>
      </w:r>
    </w:p>
    <w:p w14:paraId="1CD8E1D1" w14:textId="77777777" w:rsidR="005B5953" w:rsidRPr="00734F23" w:rsidRDefault="005B5953" w:rsidP="005B5953">
      <w:pPr>
        <w:spacing w:after="0" w:line="240" w:lineRule="auto"/>
        <w:rPr>
          <w:rFonts w:ascii="Times New Roman" w:hAnsi="Times New Roman"/>
          <w:sz w:val="20"/>
          <w:szCs w:val="24"/>
        </w:rPr>
      </w:pPr>
    </w:p>
    <w:p w14:paraId="475BBD4E" w14:textId="77777777" w:rsidR="005B5953" w:rsidRDefault="005B5953" w:rsidP="005B5953">
      <w:pPr>
        <w:spacing w:after="0" w:line="240" w:lineRule="auto"/>
        <w:jc w:val="both"/>
        <w:rPr>
          <w:rFonts w:ascii="Times New Roman" w:hAnsi="Times New Roman"/>
          <w:sz w:val="20"/>
          <w:szCs w:val="20"/>
        </w:rPr>
      </w:pPr>
      <w:r w:rsidRPr="00712F3C">
        <w:rPr>
          <w:rFonts w:ascii="Times New Roman" w:hAnsi="Times New Roman"/>
          <w:sz w:val="20"/>
          <w:szCs w:val="20"/>
        </w:rPr>
        <w:t xml:space="preserve">Except as stated in </w:t>
      </w:r>
      <w:r w:rsidRPr="00712F3C">
        <w:rPr>
          <w:rFonts w:ascii="Times New Roman" w:hAnsi="Times New Roman"/>
          <w:b/>
          <w:sz w:val="20"/>
          <w:szCs w:val="20"/>
        </w:rPr>
        <w:t>“</w:t>
      </w:r>
      <w:r w:rsidRPr="00712F3C">
        <w:rPr>
          <w:rFonts w:ascii="Times New Roman" w:hAnsi="Times New Roman"/>
          <w:b/>
          <w:i/>
          <w:sz w:val="20"/>
          <w:szCs w:val="20"/>
        </w:rPr>
        <w:t>Note 24 - Related Party Transactions</w:t>
      </w:r>
      <w:r w:rsidRPr="00A512E3">
        <w:rPr>
          <w:rFonts w:ascii="Times New Roman" w:hAnsi="Times New Roman"/>
          <w:b/>
          <w:bCs/>
          <w:i/>
          <w:iCs/>
          <w:sz w:val="20"/>
          <w:szCs w:val="20"/>
        </w:rPr>
        <w:t>”</w:t>
      </w:r>
      <w:r w:rsidRPr="00712F3C">
        <w:rPr>
          <w:rFonts w:ascii="Times New Roman" w:hAnsi="Times New Roman"/>
          <w:sz w:val="20"/>
          <w:szCs w:val="20"/>
        </w:rPr>
        <w:t xml:space="preserve"> beginning on page </w:t>
      </w:r>
      <w:r>
        <w:rPr>
          <w:rFonts w:ascii="Times New Roman" w:hAnsi="Times New Roman"/>
          <w:sz w:val="20"/>
          <w:szCs w:val="20"/>
        </w:rPr>
        <w:t>161</w:t>
      </w:r>
      <w:r w:rsidRPr="00712F3C">
        <w:rPr>
          <w:rFonts w:ascii="Times New Roman" w:hAnsi="Times New Roman"/>
          <w:sz w:val="20"/>
          <w:szCs w:val="20"/>
        </w:rPr>
        <w:t xml:space="preserve"> of this Draft Red Herring Prospectus, and as stated therein, our Promoters or any of the Promoter Group Entities do not have any other interest in our business. </w:t>
      </w:r>
    </w:p>
    <w:p w14:paraId="257A43E3" w14:textId="77777777" w:rsidR="005B5953" w:rsidRPr="00734F23" w:rsidRDefault="005B5953" w:rsidP="005B5953">
      <w:pPr>
        <w:spacing w:after="0" w:line="240" w:lineRule="auto"/>
        <w:jc w:val="both"/>
        <w:rPr>
          <w:rFonts w:ascii="Times New Roman" w:hAnsi="Times New Roman"/>
          <w:sz w:val="20"/>
          <w:szCs w:val="20"/>
        </w:rPr>
      </w:pPr>
    </w:p>
    <w:p w14:paraId="5E8B1A2E" w14:textId="77777777" w:rsidR="005B5953" w:rsidRPr="00712F3C" w:rsidRDefault="005B5953" w:rsidP="005B5953">
      <w:pPr>
        <w:spacing w:after="0" w:line="240" w:lineRule="auto"/>
        <w:rPr>
          <w:rFonts w:ascii="Times New Roman" w:hAnsi="Times New Roman"/>
          <w:b/>
          <w:sz w:val="20"/>
          <w:szCs w:val="20"/>
          <w:u w:val="single"/>
        </w:rPr>
      </w:pPr>
      <w:r w:rsidRPr="00712F3C">
        <w:rPr>
          <w:rFonts w:ascii="Times New Roman" w:hAnsi="Times New Roman"/>
          <w:b/>
          <w:sz w:val="20"/>
          <w:szCs w:val="20"/>
          <w:u w:val="single"/>
        </w:rPr>
        <w:t>OUR PROMOTER GROUP:</w:t>
      </w:r>
    </w:p>
    <w:p w14:paraId="197831D4" w14:textId="77777777" w:rsidR="005B5953" w:rsidRPr="00712F3C" w:rsidRDefault="005B5953" w:rsidP="005B5953">
      <w:pPr>
        <w:spacing w:after="0" w:line="240" w:lineRule="auto"/>
        <w:jc w:val="center"/>
        <w:rPr>
          <w:rFonts w:ascii="Times New Roman" w:hAnsi="Times New Roman"/>
          <w:b/>
          <w:sz w:val="20"/>
          <w:szCs w:val="20"/>
          <w:u w:val="single"/>
        </w:rPr>
      </w:pPr>
    </w:p>
    <w:p w14:paraId="331C40B2" w14:textId="77777777" w:rsidR="005B5953" w:rsidRPr="00712F3C" w:rsidRDefault="005B5953" w:rsidP="005B5953">
      <w:pPr>
        <w:spacing w:after="0" w:line="240" w:lineRule="auto"/>
        <w:jc w:val="both"/>
        <w:rPr>
          <w:rFonts w:ascii="Times New Roman" w:hAnsi="Times New Roman"/>
          <w:sz w:val="20"/>
          <w:szCs w:val="20"/>
        </w:rPr>
      </w:pPr>
      <w:r w:rsidRPr="00712F3C">
        <w:rPr>
          <w:rFonts w:ascii="Times New Roman" w:eastAsia="Calibri" w:hAnsi="Times New Roman"/>
          <w:sz w:val="20"/>
          <w:szCs w:val="20"/>
        </w:rPr>
        <w:t>In addition to the Promoters, the following individual and entities are part of our Promoter Group:</w:t>
      </w:r>
    </w:p>
    <w:p w14:paraId="5DEACCB8" w14:textId="77777777" w:rsidR="005B5953" w:rsidRPr="00712F3C" w:rsidRDefault="005B5953" w:rsidP="005B5953">
      <w:pPr>
        <w:spacing w:after="0" w:line="240" w:lineRule="auto"/>
        <w:jc w:val="both"/>
        <w:rPr>
          <w:rFonts w:ascii="Times New Roman" w:hAnsi="Times New Roman"/>
          <w:sz w:val="20"/>
          <w:szCs w:val="20"/>
        </w:rPr>
      </w:pPr>
    </w:p>
    <w:p w14:paraId="13BCA9CE" w14:textId="77777777" w:rsidR="005B5953" w:rsidRPr="00712F3C" w:rsidRDefault="005B5953">
      <w:pPr>
        <w:pStyle w:val="ListParagraph"/>
        <w:numPr>
          <w:ilvl w:val="0"/>
          <w:numId w:val="193"/>
        </w:numPr>
        <w:spacing w:line="240" w:lineRule="auto"/>
        <w:ind w:left="426"/>
        <w:jc w:val="both"/>
        <w:rPr>
          <w:rFonts w:eastAsia="Calibri"/>
          <w:b/>
          <w:bCs/>
          <w:sz w:val="20"/>
          <w:szCs w:val="20"/>
        </w:rPr>
      </w:pPr>
      <w:r w:rsidRPr="00712F3C">
        <w:rPr>
          <w:rFonts w:eastAsia="Calibri"/>
          <w:b/>
          <w:bCs/>
          <w:sz w:val="20"/>
          <w:szCs w:val="20"/>
        </w:rPr>
        <w:t>Natural Persons who are part of the Promoter Group</w:t>
      </w:r>
    </w:p>
    <w:p w14:paraId="47CAFA15" w14:textId="77777777" w:rsidR="005B5953" w:rsidRPr="00712F3C" w:rsidRDefault="005B5953" w:rsidP="005B5953">
      <w:pPr>
        <w:spacing w:after="0" w:line="240" w:lineRule="auto"/>
        <w:jc w:val="both"/>
        <w:rPr>
          <w:rFonts w:ascii="Times New Roman" w:hAnsi="Times New Roman"/>
          <w:sz w:val="20"/>
          <w:szCs w:val="20"/>
        </w:rPr>
      </w:pPr>
    </w:p>
    <w:p w14:paraId="50E8E4F3" w14:textId="77777777" w:rsidR="005B5953" w:rsidRPr="00712F3C" w:rsidRDefault="005B5953" w:rsidP="005B5953">
      <w:pPr>
        <w:autoSpaceDE w:val="0"/>
        <w:autoSpaceDN w:val="0"/>
        <w:adjustRightInd w:val="0"/>
        <w:spacing w:after="0" w:line="240" w:lineRule="auto"/>
        <w:jc w:val="both"/>
        <w:rPr>
          <w:rFonts w:ascii="Times New Roman" w:eastAsia="Calibri" w:hAnsi="Times New Roman"/>
          <w:sz w:val="20"/>
          <w:szCs w:val="20"/>
        </w:rPr>
      </w:pPr>
      <w:r w:rsidRPr="00712F3C">
        <w:rPr>
          <w:rFonts w:ascii="Times New Roman" w:eastAsia="Calibri" w:hAnsi="Times New Roman"/>
          <w:sz w:val="20"/>
          <w:szCs w:val="20"/>
        </w:rPr>
        <w:t>As per Regulation 2(1)(pp)(ii) of the SEBI (ICDR) Regulations, 2018, the Natural persons who are part of the Promoter Group (due to their relationship with the Promoters) are as follows:</w:t>
      </w:r>
    </w:p>
    <w:p w14:paraId="11A418A5" w14:textId="77777777" w:rsidR="005B5953" w:rsidRPr="00712F3C" w:rsidRDefault="005B5953" w:rsidP="005B5953">
      <w:pPr>
        <w:spacing w:after="0" w:line="240" w:lineRule="auto"/>
        <w:rPr>
          <w:rFonts w:ascii="Times New Roman" w:eastAsia="Calibri" w:hAnsi="Times New Roman"/>
          <w:b/>
          <w:bCs/>
          <w:sz w:val="12"/>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3969"/>
        <w:gridCol w:w="3798"/>
      </w:tblGrid>
      <w:tr w:rsidR="005B5953" w:rsidRPr="00712F3C" w14:paraId="4109559B" w14:textId="77777777" w:rsidTr="00250DAC">
        <w:trPr>
          <w:trHeight w:val="24"/>
        </w:trPr>
        <w:tc>
          <w:tcPr>
            <w:tcW w:w="1286" w:type="pct"/>
            <w:vMerge w:val="restart"/>
            <w:tcBorders>
              <w:top w:val="single" w:sz="4" w:space="0" w:color="auto"/>
              <w:left w:val="single" w:sz="4" w:space="0" w:color="auto"/>
              <w:right w:val="single" w:sz="4" w:space="0" w:color="auto"/>
            </w:tcBorders>
            <w:shd w:val="clear" w:color="auto" w:fill="D0CECE" w:themeFill="background2" w:themeFillShade="E6"/>
            <w:vAlign w:val="center"/>
          </w:tcPr>
          <w:p w14:paraId="5F5227AA" w14:textId="77777777" w:rsidR="005B5953" w:rsidRPr="00712F3C" w:rsidRDefault="005B5953" w:rsidP="00250DAC">
            <w:pPr>
              <w:spacing w:after="0" w:line="240" w:lineRule="auto"/>
              <w:rPr>
                <w:rFonts w:ascii="Times New Roman" w:hAnsi="Times New Roman"/>
                <w:b/>
                <w:bCs/>
                <w:sz w:val="20"/>
                <w:szCs w:val="20"/>
              </w:rPr>
            </w:pPr>
            <w:r w:rsidRPr="00712F3C">
              <w:rPr>
                <w:rFonts w:ascii="Times New Roman" w:hAnsi="Times New Roman"/>
                <w:b/>
                <w:bCs/>
                <w:sz w:val="20"/>
                <w:szCs w:val="20"/>
              </w:rPr>
              <w:t xml:space="preserve">Relationship with Promoters </w:t>
            </w:r>
          </w:p>
        </w:tc>
        <w:tc>
          <w:tcPr>
            <w:tcW w:w="3714" w:type="pct"/>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DC887A9" w14:textId="77777777" w:rsidR="005B5953" w:rsidRPr="00712F3C" w:rsidRDefault="005B5953" w:rsidP="00250DAC">
            <w:pPr>
              <w:spacing w:after="0" w:line="240" w:lineRule="auto"/>
              <w:jc w:val="center"/>
              <w:rPr>
                <w:rFonts w:ascii="Times New Roman" w:eastAsia="Calibri" w:hAnsi="Times New Roman"/>
                <w:b/>
                <w:sz w:val="20"/>
                <w:szCs w:val="20"/>
                <w:lang w:bidi="en-US"/>
              </w:rPr>
            </w:pPr>
            <w:r w:rsidRPr="00712F3C">
              <w:rPr>
                <w:rFonts w:ascii="Times New Roman" w:eastAsia="Calibri" w:hAnsi="Times New Roman"/>
                <w:b/>
                <w:sz w:val="20"/>
                <w:szCs w:val="20"/>
                <w:lang w:bidi="en-US"/>
              </w:rPr>
              <w:t>Name of the Relatives</w:t>
            </w:r>
          </w:p>
        </w:tc>
      </w:tr>
      <w:tr w:rsidR="005B5953" w:rsidRPr="00712F3C" w14:paraId="5D917488" w14:textId="77777777" w:rsidTr="00250DAC">
        <w:trPr>
          <w:trHeight w:val="24"/>
        </w:trPr>
        <w:tc>
          <w:tcPr>
            <w:tcW w:w="1286" w:type="pct"/>
            <w:vMerge/>
            <w:tcBorders>
              <w:left w:val="single" w:sz="4" w:space="0" w:color="auto"/>
              <w:bottom w:val="single" w:sz="4" w:space="0" w:color="auto"/>
              <w:right w:val="single" w:sz="4" w:space="0" w:color="auto"/>
            </w:tcBorders>
            <w:shd w:val="clear" w:color="auto" w:fill="D0CECE" w:themeFill="background2" w:themeFillShade="E6"/>
          </w:tcPr>
          <w:p w14:paraId="1E25F4DA" w14:textId="77777777" w:rsidR="005B5953" w:rsidRPr="00712F3C" w:rsidRDefault="005B5953" w:rsidP="00250DAC">
            <w:pPr>
              <w:spacing w:after="0" w:line="240" w:lineRule="auto"/>
              <w:rPr>
                <w:rFonts w:ascii="Times New Roman" w:hAnsi="Times New Roman"/>
                <w:b/>
                <w:bCs/>
                <w:sz w:val="20"/>
                <w:szCs w:val="20"/>
              </w:rPr>
            </w:pPr>
          </w:p>
        </w:tc>
        <w:tc>
          <w:tcPr>
            <w:tcW w:w="1898"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12F04FF" w14:textId="77777777" w:rsidR="005B5953" w:rsidRPr="00712F3C" w:rsidRDefault="005B5953" w:rsidP="00250DAC">
            <w:pPr>
              <w:spacing w:after="0" w:line="240" w:lineRule="auto"/>
              <w:jc w:val="center"/>
              <w:rPr>
                <w:rFonts w:ascii="Times New Roman" w:hAnsi="Times New Roman"/>
                <w:b/>
                <w:bCs/>
                <w:color w:val="000000"/>
                <w:sz w:val="20"/>
                <w:szCs w:val="20"/>
              </w:rPr>
            </w:pPr>
            <w:r w:rsidRPr="00734F23">
              <w:rPr>
                <w:rFonts w:ascii="Times New Roman" w:eastAsia="Calibri" w:hAnsi="Times New Roman"/>
                <w:b/>
                <w:sz w:val="20"/>
                <w:szCs w:val="20"/>
                <w:lang w:bidi="en-US"/>
              </w:rPr>
              <w:t>Ramgopal Ochhavlal Maheshwari</w:t>
            </w:r>
          </w:p>
        </w:tc>
        <w:tc>
          <w:tcPr>
            <w:tcW w:w="1816"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3DF6E25" w14:textId="77777777" w:rsidR="005B5953" w:rsidRPr="00712F3C" w:rsidRDefault="005B5953" w:rsidP="00250DAC">
            <w:pPr>
              <w:spacing w:after="0" w:line="240" w:lineRule="auto"/>
              <w:jc w:val="center"/>
              <w:rPr>
                <w:rFonts w:ascii="Times New Roman" w:eastAsia="Calibri" w:hAnsi="Times New Roman"/>
                <w:b/>
                <w:sz w:val="20"/>
                <w:szCs w:val="20"/>
                <w:lang w:bidi="en-US"/>
              </w:rPr>
            </w:pPr>
            <w:r w:rsidRPr="00734F23">
              <w:rPr>
                <w:rFonts w:ascii="Times New Roman" w:eastAsia="Calibri" w:hAnsi="Times New Roman"/>
                <w:b/>
                <w:sz w:val="20"/>
                <w:szCs w:val="20"/>
                <w:lang w:bidi="en-US"/>
              </w:rPr>
              <w:t>Bhavesh Ramgopal Maheshwari</w:t>
            </w:r>
          </w:p>
        </w:tc>
      </w:tr>
      <w:tr w:rsidR="005B5953" w:rsidRPr="00712F3C" w14:paraId="06754FD6" w14:textId="77777777" w:rsidTr="00250DAC">
        <w:trPr>
          <w:trHeight w:val="24"/>
        </w:trPr>
        <w:tc>
          <w:tcPr>
            <w:tcW w:w="1286" w:type="pct"/>
            <w:tcBorders>
              <w:top w:val="single" w:sz="4" w:space="0" w:color="auto"/>
              <w:left w:val="single" w:sz="4" w:space="0" w:color="auto"/>
              <w:bottom w:val="single" w:sz="4" w:space="0" w:color="auto"/>
              <w:right w:val="single" w:sz="4" w:space="0" w:color="auto"/>
            </w:tcBorders>
            <w:vAlign w:val="center"/>
            <w:hideMark/>
          </w:tcPr>
          <w:p w14:paraId="30305F3F" w14:textId="77777777" w:rsidR="005B5953" w:rsidRPr="00712F3C" w:rsidRDefault="005B5953" w:rsidP="00250DAC">
            <w:pPr>
              <w:spacing w:after="0" w:line="240" w:lineRule="auto"/>
              <w:jc w:val="both"/>
              <w:rPr>
                <w:rFonts w:ascii="Times New Roman" w:hAnsi="Times New Roman"/>
                <w:bCs/>
                <w:sz w:val="20"/>
                <w:szCs w:val="20"/>
              </w:rPr>
            </w:pPr>
            <w:r w:rsidRPr="00712F3C">
              <w:rPr>
                <w:rFonts w:ascii="Times New Roman" w:hAnsi="Times New Roman"/>
                <w:bCs/>
                <w:sz w:val="20"/>
                <w:szCs w:val="20"/>
              </w:rPr>
              <w:t>Father</w:t>
            </w:r>
          </w:p>
        </w:tc>
        <w:tc>
          <w:tcPr>
            <w:tcW w:w="1898" w:type="pct"/>
            <w:tcBorders>
              <w:top w:val="single" w:sz="4" w:space="0" w:color="auto"/>
              <w:left w:val="single" w:sz="4" w:space="0" w:color="auto"/>
              <w:bottom w:val="single" w:sz="4" w:space="0" w:color="auto"/>
              <w:right w:val="single" w:sz="4" w:space="0" w:color="auto"/>
            </w:tcBorders>
            <w:vAlign w:val="bottom"/>
            <w:hideMark/>
          </w:tcPr>
          <w:p w14:paraId="4AC2C58F" w14:textId="77777777" w:rsidR="005B5953" w:rsidRPr="00712F3C" w:rsidRDefault="005B5953" w:rsidP="00250DAC">
            <w:pPr>
              <w:spacing w:after="0" w:line="240" w:lineRule="auto"/>
              <w:rPr>
                <w:rFonts w:ascii="Times New Roman" w:hAnsi="Times New Roman"/>
                <w:color w:val="000000"/>
                <w:sz w:val="20"/>
                <w:szCs w:val="20"/>
                <w:lang w:val="en-IN"/>
              </w:rPr>
            </w:pPr>
            <w:r w:rsidRPr="00712F3C">
              <w:rPr>
                <w:rFonts w:ascii="Times New Roman" w:hAnsi="Times New Roman"/>
                <w:color w:val="000000"/>
                <w:sz w:val="20"/>
                <w:szCs w:val="20"/>
              </w:rPr>
              <w:t xml:space="preserve">Late </w:t>
            </w:r>
            <w:r w:rsidRPr="00734F23">
              <w:rPr>
                <w:rFonts w:ascii="Times New Roman" w:hAnsi="Times New Roman"/>
                <w:color w:val="000000"/>
                <w:sz w:val="20"/>
                <w:szCs w:val="20"/>
              </w:rPr>
              <w:t>Ochhavlal Maheshwari</w:t>
            </w:r>
          </w:p>
        </w:tc>
        <w:tc>
          <w:tcPr>
            <w:tcW w:w="1816" w:type="pct"/>
            <w:tcBorders>
              <w:top w:val="single" w:sz="4" w:space="0" w:color="auto"/>
              <w:left w:val="single" w:sz="4" w:space="0" w:color="auto"/>
              <w:bottom w:val="single" w:sz="4" w:space="0" w:color="auto"/>
              <w:right w:val="single" w:sz="4" w:space="0" w:color="auto"/>
            </w:tcBorders>
          </w:tcPr>
          <w:p w14:paraId="2D21D857" w14:textId="77777777" w:rsidR="005B5953" w:rsidRPr="00734F23" w:rsidRDefault="005B5953" w:rsidP="00250DAC">
            <w:pPr>
              <w:spacing w:after="0" w:line="240" w:lineRule="auto"/>
              <w:rPr>
                <w:rFonts w:ascii="Times New Roman" w:hAnsi="Times New Roman"/>
                <w:bCs/>
                <w:color w:val="000000"/>
                <w:sz w:val="20"/>
                <w:szCs w:val="20"/>
              </w:rPr>
            </w:pPr>
            <w:r w:rsidRPr="00734F23">
              <w:rPr>
                <w:rFonts w:ascii="Times New Roman" w:eastAsia="Calibri" w:hAnsi="Times New Roman"/>
                <w:bCs/>
                <w:sz w:val="20"/>
                <w:szCs w:val="20"/>
                <w:lang w:bidi="en-US"/>
              </w:rPr>
              <w:t>Ramgopal Ochhavlal Maheshwari</w:t>
            </w:r>
          </w:p>
        </w:tc>
      </w:tr>
      <w:tr w:rsidR="005B5953" w:rsidRPr="00712F3C" w14:paraId="71CC6E92" w14:textId="77777777" w:rsidTr="00250DAC">
        <w:trPr>
          <w:trHeight w:val="24"/>
        </w:trPr>
        <w:tc>
          <w:tcPr>
            <w:tcW w:w="1286" w:type="pct"/>
            <w:tcBorders>
              <w:top w:val="single" w:sz="4" w:space="0" w:color="auto"/>
              <w:left w:val="single" w:sz="4" w:space="0" w:color="auto"/>
              <w:bottom w:val="single" w:sz="4" w:space="0" w:color="auto"/>
              <w:right w:val="single" w:sz="4" w:space="0" w:color="auto"/>
            </w:tcBorders>
            <w:vAlign w:val="center"/>
            <w:hideMark/>
          </w:tcPr>
          <w:p w14:paraId="5D846A21" w14:textId="77777777" w:rsidR="005B5953" w:rsidRPr="00712F3C" w:rsidRDefault="005B5953" w:rsidP="00250DAC">
            <w:pPr>
              <w:spacing w:after="0" w:line="240" w:lineRule="auto"/>
              <w:jc w:val="both"/>
              <w:rPr>
                <w:rFonts w:ascii="Times New Roman" w:hAnsi="Times New Roman"/>
                <w:bCs/>
                <w:sz w:val="20"/>
                <w:szCs w:val="20"/>
              </w:rPr>
            </w:pPr>
            <w:r w:rsidRPr="00712F3C">
              <w:rPr>
                <w:rFonts w:ascii="Times New Roman" w:hAnsi="Times New Roman"/>
                <w:bCs/>
                <w:sz w:val="20"/>
                <w:szCs w:val="20"/>
              </w:rPr>
              <w:t>Mother</w:t>
            </w:r>
          </w:p>
        </w:tc>
        <w:tc>
          <w:tcPr>
            <w:tcW w:w="1898" w:type="pct"/>
            <w:tcBorders>
              <w:top w:val="single" w:sz="4" w:space="0" w:color="auto"/>
              <w:left w:val="single" w:sz="4" w:space="0" w:color="auto"/>
              <w:bottom w:val="single" w:sz="4" w:space="0" w:color="auto"/>
              <w:right w:val="single" w:sz="4" w:space="0" w:color="auto"/>
            </w:tcBorders>
            <w:vAlign w:val="bottom"/>
            <w:hideMark/>
          </w:tcPr>
          <w:p w14:paraId="3BE86654" w14:textId="77777777" w:rsidR="005B5953" w:rsidRPr="00712F3C" w:rsidRDefault="005B5953" w:rsidP="00250DAC">
            <w:pPr>
              <w:spacing w:after="0" w:line="240" w:lineRule="auto"/>
              <w:rPr>
                <w:rFonts w:ascii="Times New Roman" w:hAnsi="Times New Roman"/>
                <w:bCs/>
                <w:color w:val="000000" w:themeColor="text1"/>
                <w:sz w:val="20"/>
                <w:szCs w:val="20"/>
              </w:rPr>
            </w:pPr>
            <w:r w:rsidRPr="00712F3C">
              <w:rPr>
                <w:rFonts w:ascii="Times New Roman" w:hAnsi="Times New Roman"/>
                <w:color w:val="000000"/>
                <w:sz w:val="20"/>
                <w:szCs w:val="20"/>
              </w:rPr>
              <w:t xml:space="preserve">Late </w:t>
            </w:r>
            <w:r w:rsidRPr="00734F23">
              <w:rPr>
                <w:rFonts w:ascii="Times New Roman" w:hAnsi="Times New Roman"/>
                <w:bCs/>
                <w:color w:val="000000" w:themeColor="text1"/>
                <w:sz w:val="20"/>
                <w:szCs w:val="20"/>
              </w:rPr>
              <w:t xml:space="preserve">Kanchanben </w:t>
            </w:r>
            <w:r w:rsidRPr="00734F23">
              <w:rPr>
                <w:rFonts w:ascii="Times New Roman" w:hAnsi="Times New Roman"/>
                <w:color w:val="000000"/>
                <w:sz w:val="20"/>
                <w:szCs w:val="20"/>
              </w:rPr>
              <w:t xml:space="preserve">Ochhavlal </w:t>
            </w:r>
            <w:r w:rsidRPr="00734F23">
              <w:rPr>
                <w:rFonts w:ascii="Times New Roman" w:hAnsi="Times New Roman"/>
                <w:bCs/>
                <w:color w:val="000000" w:themeColor="text1"/>
                <w:sz w:val="20"/>
                <w:szCs w:val="20"/>
              </w:rPr>
              <w:t>Maheshwari</w:t>
            </w:r>
          </w:p>
        </w:tc>
        <w:tc>
          <w:tcPr>
            <w:tcW w:w="1816" w:type="pct"/>
            <w:tcBorders>
              <w:top w:val="single" w:sz="4" w:space="0" w:color="auto"/>
              <w:left w:val="single" w:sz="4" w:space="0" w:color="auto"/>
              <w:bottom w:val="single" w:sz="4" w:space="0" w:color="auto"/>
              <w:right w:val="single" w:sz="4" w:space="0" w:color="auto"/>
            </w:tcBorders>
          </w:tcPr>
          <w:p w14:paraId="5DAA8565" w14:textId="77777777" w:rsidR="005B5953" w:rsidRPr="00712F3C" w:rsidRDefault="005B5953" w:rsidP="00250DAC">
            <w:pPr>
              <w:spacing w:after="0" w:line="240" w:lineRule="auto"/>
              <w:rPr>
                <w:rFonts w:ascii="Times New Roman" w:hAnsi="Times New Roman"/>
                <w:color w:val="000000"/>
                <w:sz w:val="20"/>
                <w:szCs w:val="20"/>
              </w:rPr>
            </w:pPr>
            <w:r>
              <w:rPr>
                <w:rFonts w:ascii="Times New Roman" w:hAnsi="Times New Roman"/>
                <w:color w:val="000000"/>
                <w:sz w:val="20"/>
                <w:szCs w:val="20"/>
              </w:rPr>
              <w:t>Madhu</w:t>
            </w:r>
            <w:r w:rsidRPr="00712F3C">
              <w:rPr>
                <w:rFonts w:ascii="Times New Roman" w:hAnsi="Times New Roman"/>
                <w:color w:val="000000"/>
                <w:sz w:val="20"/>
                <w:szCs w:val="20"/>
              </w:rPr>
              <w:t xml:space="preserve"> </w:t>
            </w:r>
            <w:r w:rsidRPr="00734F23">
              <w:rPr>
                <w:rFonts w:ascii="Times New Roman" w:eastAsia="Calibri" w:hAnsi="Times New Roman"/>
                <w:bCs/>
                <w:sz w:val="20"/>
                <w:szCs w:val="20"/>
                <w:lang w:bidi="en-US"/>
              </w:rPr>
              <w:t>Ramgopal Maheshwari</w:t>
            </w:r>
          </w:p>
        </w:tc>
      </w:tr>
      <w:tr w:rsidR="005B5953" w:rsidRPr="00712F3C" w14:paraId="49AABE7F" w14:textId="77777777" w:rsidTr="00250DAC">
        <w:trPr>
          <w:trHeight w:val="24"/>
        </w:trPr>
        <w:tc>
          <w:tcPr>
            <w:tcW w:w="1286" w:type="pct"/>
            <w:tcBorders>
              <w:top w:val="single" w:sz="4" w:space="0" w:color="auto"/>
              <w:left w:val="single" w:sz="4" w:space="0" w:color="auto"/>
              <w:bottom w:val="single" w:sz="4" w:space="0" w:color="auto"/>
              <w:right w:val="single" w:sz="4" w:space="0" w:color="auto"/>
            </w:tcBorders>
            <w:vAlign w:val="center"/>
            <w:hideMark/>
          </w:tcPr>
          <w:p w14:paraId="4ABAD30C" w14:textId="77777777" w:rsidR="005B5953" w:rsidRPr="00712F3C" w:rsidRDefault="005B5953" w:rsidP="00250DAC">
            <w:pPr>
              <w:spacing w:after="0" w:line="240" w:lineRule="auto"/>
              <w:jc w:val="both"/>
              <w:rPr>
                <w:rFonts w:ascii="Times New Roman" w:hAnsi="Times New Roman"/>
                <w:bCs/>
                <w:sz w:val="20"/>
                <w:szCs w:val="20"/>
              </w:rPr>
            </w:pPr>
            <w:r w:rsidRPr="00712F3C">
              <w:rPr>
                <w:rFonts w:ascii="Times New Roman" w:hAnsi="Times New Roman"/>
                <w:bCs/>
                <w:sz w:val="20"/>
                <w:szCs w:val="20"/>
              </w:rPr>
              <w:t>Spouse</w:t>
            </w:r>
          </w:p>
        </w:tc>
        <w:tc>
          <w:tcPr>
            <w:tcW w:w="1898" w:type="pct"/>
            <w:tcBorders>
              <w:top w:val="single" w:sz="4" w:space="0" w:color="auto"/>
              <w:left w:val="single" w:sz="4" w:space="0" w:color="auto"/>
              <w:bottom w:val="single" w:sz="4" w:space="0" w:color="auto"/>
              <w:right w:val="single" w:sz="4" w:space="0" w:color="auto"/>
            </w:tcBorders>
            <w:vAlign w:val="bottom"/>
            <w:hideMark/>
          </w:tcPr>
          <w:p w14:paraId="7C3F3E82" w14:textId="77777777" w:rsidR="005B5953" w:rsidRPr="00712F3C" w:rsidRDefault="005B5953" w:rsidP="00250DAC">
            <w:pPr>
              <w:spacing w:after="0" w:line="240" w:lineRule="auto"/>
              <w:rPr>
                <w:rFonts w:ascii="Times New Roman" w:hAnsi="Times New Roman"/>
                <w:color w:val="000000"/>
                <w:sz w:val="20"/>
                <w:szCs w:val="20"/>
              </w:rPr>
            </w:pPr>
            <w:r>
              <w:rPr>
                <w:rFonts w:ascii="Times New Roman" w:hAnsi="Times New Roman"/>
                <w:color w:val="000000"/>
                <w:sz w:val="20"/>
                <w:szCs w:val="20"/>
              </w:rPr>
              <w:t>Madhu</w:t>
            </w:r>
            <w:r w:rsidRPr="00712F3C">
              <w:rPr>
                <w:rFonts w:ascii="Times New Roman" w:hAnsi="Times New Roman"/>
                <w:color w:val="000000"/>
                <w:sz w:val="20"/>
                <w:szCs w:val="20"/>
              </w:rPr>
              <w:t xml:space="preserve"> </w:t>
            </w:r>
            <w:r w:rsidRPr="00734F23">
              <w:rPr>
                <w:rFonts w:ascii="Times New Roman" w:eastAsia="Calibri" w:hAnsi="Times New Roman"/>
                <w:bCs/>
                <w:sz w:val="20"/>
                <w:szCs w:val="20"/>
                <w:lang w:bidi="en-US"/>
              </w:rPr>
              <w:t>Ramgopal Maheshwari</w:t>
            </w:r>
          </w:p>
        </w:tc>
        <w:tc>
          <w:tcPr>
            <w:tcW w:w="1816" w:type="pct"/>
            <w:tcBorders>
              <w:top w:val="single" w:sz="4" w:space="0" w:color="auto"/>
              <w:left w:val="single" w:sz="4" w:space="0" w:color="auto"/>
              <w:bottom w:val="single" w:sz="4" w:space="0" w:color="auto"/>
              <w:right w:val="single" w:sz="4" w:space="0" w:color="auto"/>
            </w:tcBorders>
          </w:tcPr>
          <w:p w14:paraId="214E088D" w14:textId="77777777" w:rsidR="005B5953" w:rsidRPr="00712F3C" w:rsidRDefault="005B5953" w:rsidP="00250DAC">
            <w:pPr>
              <w:spacing w:after="0" w:line="240" w:lineRule="auto"/>
              <w:rPr>
                <w:rFonts w:ascii="Times New Roman" w:hAnsi="Times New Roman"/>
                <w:color w:val="000000"/>
                <w:sz w:val="20"/>
                <w:szCs w:val="20"/>
              </w:rPr>
            </w:pPr>
            <w:r>
              <w:rPr>
                <w:rFonts w:ascii="Times New Roman" w:hAnsi="Times New Roman"/>
                <w:color w:val="000000"/>
                <w:sz w:val="20"/>
                <w:szCs w:val="20"/>
              </w:rPr>
              <w:t>Megha Bhavesh Maheshwari</w:t>
            </w:r>
          </w:p>
        </w:tc>
      </w:tr>
      <w:tr w:rsidR="005B5953" w:rsidRPr="00712F3C" w14:paraId="4D9892B1" w14:textId="77777777" w:rsidTr="00250DAC">
        <w:trPr>
          <w:trHeight w:val="24"/>
        </w:trPr>
        <w:tc>
          <w:tcPr>
            <w:tcW w:w="1286" w:type="pct"/>
            <w:vMerge w:val="restart"/>
            <w:tcBorders>
              <w:top w:val="single" w:sz="4" w:space="0" w:color="auto"/>
              <w:left w:val="single" w:sz="4" w:space="0" w:color="auto"/>
              <w:right w:val="single" w:sz="4" w:space="0" w:color="auto"/>
            </w:tcBorders>
            <w:vAlign w:val="center"/>
            <w:hideMark/>
          </w:tcPr>
          <w:p w14:paraId="365AED99" w14:textId="77777777" w:rsidR="005B5953" w:rsidRPr="00712F3C" w:rsidRDefault="005B5953" w:rsidP="00250DAC">
            <w:pPr>
              <w:spacing w:after="0" w:line="240" w:lineRule="auto"/>
              <w:jc w:val="both"/>
              <w:rPr>
                <w:rFonts w:ascii="Times New Roman" w:hAnsi="Times New Roman"/>
                <w:bCs/>
                <w:sz w:val="20"/>
                <w:szCs w:val="20"/>
              </w:rPr>
            </w:pPr>
            <w:r w:rsidRPr="00712F3C">
              <w:rPr>
                <w:rFonts w:ascii="Times New Roman" w:hAnsi="Times New Roman"/>
                <w:bCs/>
                <w:sz w:val="20"/>
                <w:szCs w:val="20"/>
              </w:rPr>
              <w:t>Brother</w:t>
            </w:r>
          </w:p>
        </w:tc>
        <w:tc>
          <w:tcPr>
            <w:tcW w:w="1898" w:type="pct"/>
            <w:tcBorders>
              <w:top w:val="single" w:sz="4" w:space="0" w:color="auto"/>
              <w:left w:val="single" w:sz="4" w:space="0" w:color="auto"/>
              <w:bottom w:val="single" w:sz="4" w:space="0" w:color="auto"/>
              <w:right w:val="single" w:sz="4" w:space="0" w:color="auto"/>
            </w:tcBorders>
            <w:vAlign w:val="bottom"/>
          </w:tcPr>
          <w:p w14:paraId="5959C9CB" w14:textId="77777777" w:rsidR="005B5953" w:rsidRPr="00734F23" w:rsidRDefault="005B5953" w:rsidP="00250DAC">
            <w:pPr>
              <w:spacing w:after="0" w:line="240" w:lineRule="auto"/>
              <w:rPr>
                <w:rFonts w:ascii="Times New Roman" w:hAnsi="Times New Roman"/>
                <w:bCs/>
                <w:color w:val="000000" w:themeColor="text1"/>
                <w:sz w:val="20"/>
                <w:szCs w:val="20"/>
                <w:highlight w:val="yellow"/>
              </w:rPr>
            </w:pPr>
            <w:r w:rsidRPr="00FB689E">
              <w:rPr>
                <w:rFonts w:ascii="Times New Roman" w:hAnsi="Times New Roman"/>
                <w:bCs/>
                <w:color w:val="000000" w:themeColor="text1"/>
                <w:sz w:val="20"/>
                <w:szCs w:val="20"/>
              </w:rPr>
              <w:t>Om Prakash Maheshwari</w:t>
            </w:r>
          </w:p>
        </w:tc>
        <w:tc>
          <w:tcPr>
            <w:tcW w:w="1816" w:type="pct"/>
            <w:vMerge w:val="restart"/>
            <w:tcBorders>
              <w:top w:val="single" w:sz="4" w:space="0" w:color="auto"/>
              <w:left w:val="single" w:sz="4" w:space="0" w:color="auto"/>
              <w:right w:val="single" w:sz="4" w:space="0" w:color="auto"/>
            </w:tcBorders>
            <w:vAlign w:val="center"/>
          </w:tcPr>
          <w:p w14:paraId="649F47F6" w14:textId="77777777" w:rsidR="005B5953" w:rsidRPr="00712F3C" w:rsidRDefault="005B5953" w:rsidP="00250DAC">
            <w:pPr>
              <w:spacing w:after="0" w:line="240" w:lineRule="auto"/>
              <w:rPr>
                <w:rFonts w:ascii="Times New Roman" w:hAnsi="Times New Roman"/>
                <w:color w:val="000000"/>
                <w:sz w:val="20"/>
                <w:szCs w:val="20"/>
              </w:rPr>
            </w:pPr>
            <w:r w:rsidRPr="00712F3C">
              <w:rPr>
                <w:rFonts w:ascii="Times New Roman" w:hAnsi="Times New Roman"/>
                <w:color w:val="000000"/>
                <w:sz w:val="20"/>
                <w:szCs w:val="20"/>
              </w:rPr>
              <w:t>-</w:t>
            </w:r>
          </w:p>
        </w:tc>
      </w:tr>
      <w:tr w:rsidR="005B5953" w:rsidRPr="00712F3C" w14:paraId="6195E404" w14:textId="77777777" w:rsidTr="00250DAC">
        <w:trPr>
          <w:trHeight w:val="24"/>
        </w:trPr>
        <w:tc>
          <w:tcPr>
            <w:tcW w:w="1286" w:type="pct"/>
            <w:vMerge/>
            <w:tcBorders>
              <w:left w:val="single" w:sz="4" w:space="0" w:color="auto"/>
              <w:right w:val="single" w:sz="4" w:space="0" w:color="auto"/>
            </w:tcBorders>
            <w:vAlign w:val="center"/>
          </w:tcPr>
          <w:p w14:paraId="71406079" w14:textId="77777777" w:rsidR="005B5953" w:rsidRPr="00712F3C" w:rsidRDefault="005B5953" w:rsidP="00250DAC">
            <w:pPr>
              <w:spacing w:after="0" w:line="240" w:lineRule="auto"/>
              <w:jc w:val="both"/>
              <w:rPr>
                <w:rFonts w:ascii="Times New Roman" w:hAnsi="Times New Roman"/>
                <w:bCs/>
                <w:sz w:val="20"/>
                <w:szCs w:val="20"/>
              </w:rPr>
            </w:pPr>
          </w:p>
        </w:tc>
        <w:tc>
          <w:tcPr>
            <w:tcW w:w="1898" w:type="pct"/>
            <w:tcBorders>
              <w:top w:val="single" w:sz="4" w:space="0" w:color="auto"/>
              <w:left w:val="single" w:sz="4" w:space="0" w:color="auto"/>
              <w:bottom w:val="single" w:sz="4" w:space="0" w:color="auto"/>
              <w:right w:val="single" w:sz="4" w:space="0" w:color="auto"/>
            </w:tcBorders>
            <w:vAlign w:val="bottom"/>
          </w:tcPr>
          <w:p w14:paraId="4DC1E96F" w14:textId="77777777" w:rsidR="005B5953" w:rsidRPr="00734F23" w:rsidRDefault="005B5953" w:rsidP="00250DAC">
            <w:pPr>
              <w:spacing w:after="0" w:line="240" w:lineRule="auto"/>
              <w:rPr>
                <w:rFonts w:ascii="Times New Roman" w:hAnsi="Times New Roman"/>
                <w:bCs/>
                <w:color w:val="000000" w:themeColor="text1"/>
                <w:sz w:val="20"/>
                <w:szCs w:val="20"/>
                <w:highlight w:val="yellow"/>
              </w:rPr>
            </w:pPr>
            <w:r w:rsidRPr="00FB689E">
              <w:rPr>
                <w:rFonts w:ascii="Times New Roman" w:hAnsi="Times New Roman"/>
                <w:bCs/>
                <w:color w:val="000000" w:themeColor="text1"/>
                <w:sz w:val="20"/>
                <w:szCs w:val="20"/>
              </w:rPr>
              <w:t>Raj Kumar Maheshwari</w:t>
            </w:r>
          </w:p>
        </w:tc>
        <w:tc>
          <w:tcPr>
            <w:tcW w:w="1816" w:type="pct"/>
            <w:vMerge/>
            <w:tcBorders>
              <w:left w:val="single" w:sz="4" w:space="0" w:color="auto"/>
              <w:right w:val="single" w:sz="4" w:space="0" w:color="auto"/>
            </w:tcBorders>
            <w:vAlign w:val="center"/>
          </w:tcPr>
          <w:p w14:paraId="23251B52" w14:textId="77777777" w:rsidR="005B5953" w:rsidRPr="00712F3C" w:rsidRDefault="005B5953" w:rsidP="00250DAC">
            <w:pPr>
              <w:spacing w:after="0" w:line="240" w:lineRule="auto"/>
              <w:rPr>
                <w:rFonts w:ascii="Times New Roman" w:hAnsi="Times New Roman"/>
                <w:color w:val="000000"/>
                <w:sz w:val="20"/>
                <w:szCs w:val="20"/>
              </w:rPr>
            </w:pPr>
          </w:p>
        </w:tc>
      </w:tr>
      <w:tr w:rsidR="005B5953" w:rsidRPr="00712F3C" w14:paraId="507A1E2F" w14:textId="77777777" w:rsidTr="00250DAC">
        <w:trPr>
          <w:trHeight w:val="24"/>
        </w:trPr>
        <w:tc>
          <w:tcPr>
            <w:tcW w:w="1286" w:type="pct"/>
            <w:tcBorders>
              <w:top w:val="single" w:sz="4" w:space="0" w:color="auto"/>
              <w:left w:val="single" w:sz="4" w:space="0" w:color="auto"/>
              <w:bottom w:val="single" w:sz="4" w:space="0" w:color="auto"/>
              <w:right w:val="single" w:sz="4" w:space="0" w:color="auto"/>
            </w:tcBorders>
            <w:vAlign w:val="center"/>
            <w:hideMark/>
          </w:tcPr>
          <w:p w14:paraId="4E595561" w14:textId="77777777" w:rsidR="005B5953" w:rsidRPr="00712F3C" w:rsidRDefault="005B5953" w:rsidP="00250DAC">
            <w:pPr>
              <w:spacing w:after="0" w:line="240" w:lineRule="auto"/>
              <w:jc w:val="both"/>
              <w:rPr>
                <w:rFonts w:ascii="Times New Roman" w:hAnsi="Times New Roman"/>
                <w:bCs/>
                <w:sz w:val="20"/>
                <w:szCs w:val="20"/>
              </w:rPr>
            </w:pPr>
            <w:r w:rsidRPr="00712F3C">
              <w:rPr>
                <w:rFonts w:ascii="Times New Roman" w:hAnsi="Times New Roman"/>
                <w:bCs/>
                <w:sz w:val="20"/>
                <w:szCs w:val="20"/>
              </w:rPr>
              <w:t>Sister</w:t>
            </w:r>
          </w:p>
        </w:tc>
        <w:tc>
          <w:tcPr>
            <w:tcW w:w="1898" w:type="pct"/>
            <w:tcBorders>
              <w:top w:val="single" w:sz="4" w:space="0" w:color="auto"/>
              <w:left w:val="single" w:sz="4" w:space="0" w:color="auto"/>
              <w:bottom w:val="single" w:sz="4" w:space="0" w:color="auto"/>
              <w:right w:val="single" w:sz="4" w:space="0" w:color="auto"/>
            </w:tcBorders>
            <w:vAlign w:val="bottom"/>
          </w:tcPr>
          <w:p w14:paraId="542D419B" w14:textId="77777777" w:rsidR="005B5953" w:rsidRPr="00734F23" w:rsidRDefault="005B5953" w:rsidP="00250DAC">
            <w:pPr>
              <w:spacing w:after="0" w:line="240" w:lineRule="auto"/>
              <w:rPr>
                <w:rFonts w:ascii="Times New Roman" w:hAnsi="Times New Roman"/>
                <w:color w:val="000000"/>
                <w:sz w:val="20"/>
                <w:szCs w:val="20"/>
                <w:highlight w:val="yellow"/>
              </w:rPr>
            </w:pPr>
            <w:r w:rsidRPr="00FB689E">
              <w:rPr>
                <w:rFonts w:ascii="Times New Roman" w:hAnsi="Times New Roman"/>
                <w:color w:val="000000"/>
                <w:sz w:val="20"/>
                <w:szCs w:val="20"/>
              </w:rPr>
              <w:t>Rekha Maheshwari</w:t>
            </w:r>
          </w:p>
        </w:tc>
        <w:tc>
          <w:tcPr>
            <w:tcW w:w="1816" w:type="pct"/>
            <w:tcBorders>
              <w:top w:val="single" w:sz="4" w:space="0" w:color="auto"/>
              <w:left w:val="single" w:sz="4" w:space="0" w:color="auto"/>
              <w:bottom w:val="single" w:sz="4" w:space="0" w:color="auto"/>
              <w:right w:val="single" w:sz="4" w:space="0" w:color="auto"/>
            </w:tcBorders>
          </w:tcPr>
          <w:p w14:paraId="673AA934" w14:textId="77777777" w:rsidR="005B5953" w:rsidRPr="00734F23" w:rsidRDefault="005B5953" w:rsidP="00250DAC">
            <w:pPr>
              <w:spacing w:after="0" w:line="240" w:lineRule="auto"/>
              <w:rPr>
                <w:rFonts w:ascii="Times New Roman" w:hAnsi="Times New Roman"/>
                <w:color w:val="000000"/>
                <w:sz w:val="20"/>
                <w:szCs w:val="20"/>
                <w:highlight w:val="yellow"/>
              </w:rPr>
            </w:pPr>
            <w:r w:rsidRPr="00FB689E">
              <w:rPr>
                <w:rFonts w:ascii="Times New Roman" w:hAnsi="Times New Roman"/>
                <w:color w:val="000000"/>
                <w:sz w:val="20"/>
                <w:szCs w:val="20"/>
              </w:rPr>
              <w:t>Priya Kabra</w:t>
            </w:r>
          </w:p>
        </w:tc>
      </w:tr>
      <w:tr w:rsidR="005B5953" w:rsidRPr="00712F3C" w14:paraId="1C4BE8D8" w14:textId="77777777" w:rsidTr="00250DAC">
        <w:trPr>
          <w:trHeight w:val="24"/>
        </w:trPr>
        <w:tc>
          <w:tcPr>
            <w:tcW w:w="1286" w:type="pct"/>
            <w:tcBorders>
              <w:top w:val="single" w:sz="4" w:space="0" w:color="auto"/>
              <w:left w:val="single" w:sz="4" w:space="0" w:color="auto"/>
              <w:bottom w:val="single" w:sz="4" w:space="0" w:color="auto"/>
              <w:right w:val="single" w:sz="4" w:space="0" w:color="auto"/>
            </w:tcBorders>
            <w:vAlign w:val="center"/>
            <w:hideMark/>
          </w:tcPr>
          <w:p w14:paraId="77E4D94C" w14:textId="77777777" w:rsidR="005B5953" w:rsidRPr="00712F3C" w:rsidRDefault="005B5953" w:rsidP="00250DAC">
            <w:pPr>
              <w:spacing w:after="0" w:line="240" w:lineRule="auto"/>
              <w:jc w:val="both"/>
              <w:rPr>
                <w:rFonts w:ascii="Times New Roman" w:hAnsi="Times New Roman"/>
                <w:bCs/>
                <w:sz w:val="20"/>
                <w:szCs w:val="20"/>
              </w:rPr>
            </w:pPr>
            <w:r w:rsidRPr="00712F3C">
              <w:rPr>
                <w:rFonts w:ascii="Times New Roman" w:hAnsi="Times New Roman"/>
                <w:bCs/>
                <w:sz w:val="20"/>
                <w:szCs w:val="20"/>
              </w:rPr>
              <w:t>Son</w:t>
            </w:r>
          </w:p>
        </w:tc>
        <w:tc>
          <w:tcPr>
            <w:tcW w:w="1898" w:type="pct"/>
            <w:tcBorders>
              <w:top w:val="single" w:sz="4" w:space="0" w:color="auto"/>
              <w:left w:val="single" w:sz="4" w:space="0" w:color="auto"/>
              <w:bottom w:val="single" w:sz="4" w:space="0" w:color="auto"/>
              <w:right w:val="single" w:sz="4" w:space="0" w:color="auto"/>
            </w:tcBorders>
            <w:vAlign w:val="bottom"/>
            <w:hideMark/>
          </w:tcPr>
          <w:p w14:paraId="21712BDA" w14:textId="77777777" w:rsidR="005B5953" w:rsidRPr="00712F3C" w:rsidRDefault="005B5953" w:rsidP="00250DAC">
            <w:pPr>
              <w:spacing w:after="0" w:line="240" w:lineRule="auto"/>
              <w:rPr>
                <w:rFonts w:ascii="Times New Roman" w:hAnsi="Times New Roman"/>
                <w:color w:val="000000"/>
                <w:sz w:val="20"/>
                <w:szCs w:val="20"/>
              </w:rPr>
            </w:pPr>
            <w:r w:rsidRPr="00734F23">
              <w:rPr>
                <w:rFonts w:ascii="Times New Roman" w:hAnsi="Times New Roman"/>
                <w:color w:val="000000"/>
                <w:sz w:val="20"/>
                <w:szCs w:val="20"/>
              </w:rPr>
              <w:t>Bhavesh Ramgopal Maheshwari</w:t>
            </w:r>
          </w:p>
        </w:tc>
        <w:tc>
          <w:tcPr>
            <w:tcW w:w="1816" w:type="pct"/>
            <w:tcBorders>
              <w:top w:val="single" w:sz="4" w:space="0" w:color="auto"/>
              <w:left w:val="single" w:sz="4" w:space="0" w:color="auto"/>
              <w:bottom w:val="single" w:sz="4" w:space="0" w:color="auto"/>
              <w:right w:val="single" w:sz="4" w:space="0" w:color="auto"/>
            </w:tcBorders>
          </w:tcPr>
          <w:p w14:paraId="0DAC0BC3" w14:textId="77777777" w:rsidR="005B5953" w:rsidRPr="00FB689E" w:rsidRDefault="005B5953" w:rsidP="00250DAC">
            <w:pPr>
              <w:spacing w:after="0" w:line="240" w:lineRule="auto"/>
              <w:rPr>
                <w:rFonts w:ascii="Times New Roman" w:hAnsi="Times New Roman"/>
                <w:color w:val="000000"/>
                <w:sz w:val="20"/>
                <w:szCs w:val="20"/>
              </w:rPr>
            </w:pPr>
            <w:r w:rsidRPr="00FB689E">
              <w:rPr>
                <w:rFonts w:ascii="Times New Roman" w:hAnsi="Times New Roman"/>
                <w:color w:val="000000"/>
                <w:sz w:val="20"/>
                <w:szCs w:val="20"/>
              </w:rPr>
              <w:t>-</w:t>
            </w:r>
          </w:p>
        </w:tc>
      </w:tr>
      <w:tr w:rsidR="005B5953" w:rsidRPr="00712F3C" w14:paraId="15E13FA7" w14:textId="77777777" w:rsidTr="00250DAC">
        <w:trPr>
          <w:trHeight w:val="24"/>
        </w:trPr>
        <w:tc>
          <w:tcPr>
            <w:tcW w:w="1286" w:type="pct"/>
            <w:tcBorders>
              <w:top w:val="single" w:sz="4" w:space="0" w:color="auto"/>
              <w:left w:val="single" w:sz="4" w:space="0" w:color="auto"/>
              <w:bottom w:val="single" w:sz="4" w:space="0" w:color="auto"/>
              <w:right w:val="single" w:sz="4" w:space="0" w:color="auto"/>
            </w:tcBorders>
            <w:vAlign w:val="center"/>
            <w:hideMark/>
          </w:tcPr>
          <w:p w14:paraId="2730785E" w14:textId="77777777" w:rsidR="005B5953" w:rsidRPr="00712F3C" w:rsidRDefault="005B5953" w:rsidP="00250DAC">
            <w:pPr>
              <w:spacing w:after="0" w:line="240" w:lineRule="auto"/>
              <w:jc w:val="both"/>
              <w:rPr>
                <w:rFonts w:ascii="Times New Roman" w:hAnsi="Times New Roman"/>
                <w:bCs/>
                <w:sz w:val="20"/>
                <w:szCs w:val="20"/>
              </w:rPr>
            </w:pPr>
            <w:r w:rsidRPr="00712F3C">
              <w:rPr>
                <w:rFonts w:ascii="Times New Roman" w:hAnsi="Times New Roman"/>
                <w:bCs/>
                <w:sz w:val="20"/>
                <w:szCs w:val="20"/>
              </w:rPr>
              <w:t>Daughter</w:t>
            </w:r>
          </w:p>
        </w:tc>
        <w:tc>
          <w:tcPr>
            <w:tcW w:w="1898" w:type="pct"/>
            <w:tcBorders>
              <w:top w:val="single" w:sz="4" w:space="0" w:color="auto"/>
              <w:left w:val="single" w:sz="4" w:space="0" w:color="auto"/>
              <w:bottom w:val="single" w:sz="4" w:space="0" w:color="auto"/>
              <w:right w:val="single" w:sz="4" w:space="0" w:color="auto"/>
            </w:tcBorders>
            <w:vAlign w:val="bottom"/>
            <w:hideMark/>
          </w:tcPr>
          <w:p w14:paraId="09867615" w14:textId="77777777" w:rsidR="005B5953" w:rsidRPr="00712F3C" w:rsidRDefault="005B5953" w:rsidP="00250DAC">
            <w:pPr>
              <w:spacing w:after="0" w:line="240" w:lineRule="auto"/>
              <w:rPr>
                <w:rFonts w:ascii="Times New Roman" w:hAnsi="Times New Roman"/>
                <w:color w:val="000000"/>
                <w:sz w:val="20"/>
                <w:szCs w:val="20"/>
              </w:rPr>
            </w:pPr>
            <w:r w:rsidRPr="00FB689E">
              <w:rPr>
                <w:rFonts w:ascii="Times New Roman" w:hAnsi="Times New Roman"/>
                <w:color w:val="000000"/>
                <w:sz w:val="20"/>
                <w:szCs w:val="20"/>
              </w:rPr>
              <w:t>Priya Kabra</w:t>
            </w:r>
          </w:p>
        </w:tc>
        <w:tc>
          <w:tcPr>
            <w:tcW w:w="1816" w:type="pct"/>
            <w:tcBorders>
              <w:top w:val="single" w:sz="4" w:space="0" w:color="auto"/>
              <w:left w:val="single" w:sz="4" w:space="0" w:color="auto"/>
              <w:bottom w:val="single" w:sz="4" w:space="0" w:color="auto"/>
              <w:right w:val="single" w:sz="4" w:space="0" w:color="auto"/>
            </w:tcBorders>
          </w:tcPr>
          <w:p w14:paraId="066CC57F" w14:textId="77777777" w:rsidR="005B5953" w:rsidRPr="00FB689E" w:rsidRDefault="005B5953" w:rsidP="00250DAC">
            <w:pPr>
              <w:spacing w:after="0" w:line="240" w:lineRule="auto"/>
              <w:rPr>
                <w:rFonts w:ascii="Times New Roman" w:hAnsi="Times New Roman"/>
                <w:color w:val="000000"/>
                <w:sz w:val="20"/>
                <w:szCs w:val="20"/>
              </w:rPr>
            </w:pPr>
            <w:r w:rsidRPr="00FB689E">
              <w:rPr>
                <w:rFonts w:ascii="Times New Roman" w:hAnsi="Times New Roman"/>
                <w:color w:val="000000"/>
                <w:sz w:val="20"/>
                <w:szCs w:val="20"/>
              </w:rPr>
              <w:t>Yashvi Bhavesh Maheshwari</w:t>
            </w:r>
          </w:p>
        </w:tc>
      </w:tr>
      <w:tr w:rsidR="005B5953" w:rsidRPr="00712F3C" w14:paraId="42857B0A" w14:textId="77777777" w:rsidTr="00250DAC">
        <w:trPr>
          <w:trHeight w:val="24"/>
        </w:trPr>
        <w:tc>
          <w:tcPr>
            <w:tcW w:w="1286" w:type="pct"/>
            <w:tcBorders>
              <w:top w:val="single" w:sz="4" w:space="0" w:color="auto"/>
              <w:left w:val="single" w:sz="4" w:space="0" w:color="auto"/>
              <w:bottom w:val="single" w:sz="4" w:space="0" w:color="auto"/>
              <w:right w:val="single" w:sz="4" w:space="0" w:color="auto"/>
            </w:tcBorders>
            <w:vAlign w:val="center"/>
            <w:hideMark/>
          </w:tcPr>
          <w:p w14:paraId="7D53AB14" w14:textId="77777777" w:rsidR="005B5953" w:rsidRPr="00712F3C" w:rsidRDefault="005B5953" w:rsidP="00250DAC">
            <w:pPr>
              <w:spacing w:after="0" w:line="240" w:lineRule="auto"/>
              <w:jc w:val="both"/>
              <w:rPr>
                <w:rFonts w:ascii="Times New Roman" w:hAnsi="Times New Roman"/>
                <w:bCs/>
                <w:sz w:val="20"/>
                <w:szCs w:val="20"/>
              </w:rPr>
            </w:pPr>
            <w:r w:rsidRPr="00712F3C">
              <w:rPr>
                <w:rFonts w:ascii="Times New Roman" w:hAnsi="Times New Roman"/>
                <w:bCs/>
                <w:sz w:val="20"/>
                <w:szCs w:val="20"/>
              </w:rPr>
              <w:t>Spouse’s Father</w:t>
            </w:r>
          </w:p>
        </w:tc>
        <w:tc>
          <w:tcPr>
            <w:tcW w:w="1898" w:type="pct"/>
            <w:tcBorders>
              <w:top w:val="single" w:sz="4" w:space="0" w:color="auto"/>
              <w:left w:val="single" w:sz="4" w:space="0" w:color="auto"/>
              <w:bottom w:val="single" w:sz="4" w:space="0" w:color="auto"/>
              <w:right w:val="single" w:sz="4" w:space="0" w:color="auto"/>
            </w:tcBorders>
            <w:vAlign w:val="bottom"/>
            <w:hideMark/>
          </w:tcPr>
          <w:p w14:paraId="0DD70E10" w14:textId="77777777" w:rsidR="005B5953" w:rsidRPr="00712F3C" w:rsidRDefault="005B5953" w:rsidP="00250DAC">
            <w:pPr>
              <w:spacing w:after="0" w:line="240" w:lineRule="auto"/>
              <w:rPr>
                <w:rFonts w:ascii="Times New Roman" w:hAnsi="Times New Roman"/>
                <w:color w:val="000000"/>
                <w:sz w:val="20"/>
                <w:szCs w:val="20"/>
              </w:rPr>
            </w:pPr>
            <w:r w:rsidRPr="00712F3C">
              <w:rPr>
                <w:rFonts w:ascii="Times New Roman" w:hAnsi="Times New Roman"/>
                <w:color w:val="000000"/>
                <w:sz w:val="20"/>
                <w:szCs w:val="20"/>
              </w:rPr>
              <w:t xml:space="preserve">Late </w:t>
            </w:r>
            <w:r w:rsidRPr="00734F23">
              <w:rPr>
                <w:rFonts w:ascii="Times New Roman" w:hAnsi="Times New Roman"/>
                <w:bCs/>
                <w:color w:val="000000" w:themeColor="text1"/>
                <w:sz w:val="20"/>
                <w:szCs w:val="20"/>
              </w:rPr>
              <w:t>Ram Sahay Dudani</w:t>
            </w:r>
          </w:p>
        </w:tc>
        <w:tc>
          <w:tcPr>
            <w:tcW w:w="1816" w:type="pct"/>
            <w:tcBorders>
              <w:top w:val="single" w:sz="4" w:space="0" w:color="auto"/>
              <w:left w:val="single" w:sz="4" w:space="0" w:color="auto"/>
              <w:bottom w:val="single" w:sz="4" w:space="0" w:color="auto"/>
              <w:right w:val="single" w:sz="4" w:space="0" w:color="auto"/>
            </w:tcBorders>
          </w:tcPr>
          <w:p w14:paraId="0E432F97" w14:textId="77777777" w:rsidR="005B5953" w:rsidRPr="00FB689E" w:rsidRDefault="005B5953" w:rsidP="00250DAC">
            <w:pPr>
              <w:spacing w:after="0" w:line="240" w:lineRule="auto"/>
              <w:rPr>
                <w:rFonts w:ascii="Times New Roman" w:hAnsi="Times New Roman"/>
                <w:color w:val="000000"/>
                <w:sz w:val="20"/>
                <w:szCs w:val="20"/>
              </w:rPr>
            </w:pPr>
            <w:r w:rsidRPr="00FB689E">
              <w:rPr>
                <w:rFonts w:ascii="Times New Roman" w:hAnsi="Times New Roman"/>
                <w:color w:val="000000"/>
                <w:sz w:val="20"/>
                <w:szCs w:val="20"/>
              </w:rPr>
              <w:t>Rajesh Somani</w:t>
            </w:r>
          </w:p>
        </w:tc>
      </w:tr>
      <w:tr w:rsidR="005B5953" w:rsidRPr="00712F3C" w14:paraId="782E2023" w14:textId="77777777" w:rsidTr="00250DAC">
        <w:trPr>
          <w:trHeight w:val="24"/>
        </w:trPr>
        <w:tc>
          <w:tcPr>
            <w:tcW w:w="1286" w:type="pct"/>
            <w:tcBorders>
              <w:top w:val="single" w:sz="4" w:space="0" w:color="auto"/>
              <w:left w:val="single" w:sz="4" w:space="0" w:color="auto"/>
              <w:bottom w:val="single" w:sz="4" w:space="0" w:color="auto"/>
              <w:right w:val="single" w:sz="4" w:space="0" w:color="auto"/>
            </w:tcBorders>
            <w:vAlign w:val="center"/>
            <w:hideMark/>
          </w:tcPr>
          <w:p w14:paraId="15CDF78A" w14:textId="77777777" w:rsidR="005B5953" w:rsidRPr="00712F3C" w:rsidRDefault="005B5953" w:rsidP="00250DAC">
            <w:pPr>
              <w:spacing w:after="0" w:line="240" w:lineRule="auto"/>
              <w:jc w:val="both"/>
              <w:rPr>
                <w:rFonts w:ascii="Times New Roman" w:hAnsi="Times New Roman"/>
                <w:bCs/>
                <w:sz w:val="20"/>
                <w:szCs w:val="20"/>
              </w:rPr>
            </w:pPr>
            <w:r w:rsidRPr="00712F3C">
              <w:rPr>
                <w:rFonts w:ascii="Times New Roman" w:hAnsi="Times New Roman"/>
                <w:bCs/>
                <w:sz w:val="20"/>
                <w:szCs w:val="20"/>
              </w:rPr>
              <w:t>Spouse’s Mother</w:t>
            </w:r>
          </w:p>
        </w:tc>
        <w:tc>
          <w:tcPr>
            <w:tcW w:w="1898" w:type="pct"/>
            <w:tcBorders>
              <w:top w:val="single" w:sz="4" w:space="0" w:color="auto"/>
              <w:left w:val="single" w:sz="4" w:space="0" w:color="auto"/>
              <w:bottom w:val="single" w:sz="4" w:space="0" w:color="auto"/>
              <w:right w:val="single" w:sz="4" w:space="0" w:color="auto"/>
            </w:tcBorders>
            <w:vAlign w:val="bottom"/>
            <w:hideMark/>
          </w:tcPr>
          <w:p w14:paraId="199E38DC" w14:textId="77777777" w:rsidR="005B5953" w:rsidRPr="00734F23" w:rsidRDefault="005B5953" w:rsidP="00250DAC">
            <w:pPr>
              <w:spacing w:after="0" w:line="240" w:lineRule="auto"/>
              <w:rPr>
                <w:rFonts w:ascii="Times New Roman" w:hAnsi="Times New Roman"/>
                <w:color w:val="000000"/>
                <w:sz w:val="20"/>
                <w:szCs w:val="20"/>
                <w:highlight w:val="yellow"/>
              </w:rPr>
            </w:pPr>
            <w:r w:rsidRPr="00FB689E">
              <w:rPr>
                <w:rFonts w:ascii="Times New Roman" w:hAnsi="Times New Roman"/>
                <w:bCs/>
                <w:color w:val="000000" w:themeColor="text1"/>
                <w:sz w:val="20"/>
                <w:szCs w:val="20"/>
              </w:rPr>
              <w:t>Sitadevi Ramsahay Shah</w:t>
            </w:r>
          </w:p>
        </w:tc>
        <w:tc>
          <w:tcPr>
            <w:tcW w:w="1816" w:type="pct"/>
            <w:tcBorders>
              <w:top w:val="single" w:sz="4" w:space="0" w:color="auto"/>
              <w:left w:val="single" w:sz="4" w:space="0" w:color="auto"/>
              <w:bottom w:val="single" w:sz="4" w:space="0" w:color="auto"/>
              <w:right w:val="single" w:sz="4" w:space="0" w:color="auto"/>
            </w:tcBorders>
          </w:tcPr>
          <w:p w14:paraId="65F80D96" w14:textId="77777777" w:rsidR="005B5953" w:rsidRPr="00FB689E" w:rsidRDefault="005B5953" w:rsidP="00250DAC">
            <w:pPr>
              <w:spacing w:after="0" w:line="240" w:lineRule="auto"/>
              <w:rPr>
                <w:rFonts w:ascii="Times New Roman" w:hAnsi="Times New Roman"/>
                <w:color w:val="000000"/>
                <w:sz w:val="20"/>
                <w:szCs w:val="20"/>
              </w:rPr>
            </w:pPr>
            <w:r w:rsidRPr="00FB689E">
              <w:rPr>
                <w:rFonts w:ascii="Times New Roman" w:hAnsi="Times New Roman"/>
                <w:color w:val="000000"/>
                <w:sz w:val="20"/>
                <w:szCs w:val="20"/>
              </w:rPr>
              <w:t>Asha Somani</w:t>
            </w:r>
          </w:p>
        </w:tc>
      </w:tr>
      <w:tr w:rsidR="005B5953" w:rsidRPr="00712F3C" w14:paraId="0063F79B" w14:textId="77777777" w:rsidTr="00250DAC">
        <w:trPr>
          <w:trHeight w:val="24"/>
        </w:trPr>
        <w:tc>
          <w:tcPr>
            <w:tcW w:w="1286" w:type="pct"/>
            <w:tcBorders>
              <w:top w:val="single" w:sz="4" w:space="0" w:color="auto"/>
              <w:left w:val="single" w:sz="4" w:space="0" w:color="auto"/>
              <w:right w:val="single" w:sz="4" w:space="0" w:color="auto"/>
            </w:tcBorders>
            <w:vAlign w:val="center"/>
            <w:hideMark/>
          </w:tcPr>
          <w:p w14:paraId="1C93C718" w14:textId="77777777" w:rsidR="005B5953" w:rsidRPr="00712F3C" w:rsidRDefault="005B5953" w:rsidP="00250DAC">
            <w:pPr>
              <w:spacing w:after="0" w:line="240" w:lineRule="auto"/>
              <w:jc w:val="both"/>
              <w:rPr>
                <w:rFonts w:ascii="Times New Roman" w:hAnsi="Times New Roman"/>
                <w:bCs/>
                <w:sz w:val="20"/>
                <w:szCs w:val="20"/>
              </w:rPr>
            </w:pPr>
            <w:r w:rsidRPr="00712F3C">
              <w:rPr>
                <w:rFonts w:ascii="Times New Roman" w:hAnsi="Times New Roman"/>
                <w:bCs/>
                <w:sz w:val="20"/>
                <w:szCs w:val="20"/>
              </w:rPr>
              <w:t>Spouse’s Brother</w:t>
            </w:r>
          </w:p>
        </w:tc>
        <w:tc>
          <w:tcPr>
            <w:tcW w:w="1898" w:type="pct"/>
            <w:tcBorders>
              <w:top w:val="single" w:sz="4" w:space="0" w:color="auto"/>
              <w:left w:val="single" w:sz="4" w:space="0" w:color="auto"/>
              <w:bottom w:val="single" w:sz="4" w:space="0" w:color="auto"/>
              <w:right w:val="single" w:sz="4" w:space="0" w:color="auto"/>
            </w:tcBorders>
            <w:vAlign w:val="bottom"/>
            <w:hideMark/>
          </w:tcPr>
          <w:p w14:paraId="6C49983E" w14:textId="77777777" w:rsidR="005B5953" w:rsidRPr="00734F23" w:rsidRDefault="005B5953" w:rsidP="00250DAC">
            <w:pPr>
              <w:spacing w:after="0" w:line="240" w:lineRule="auto"/>
              <w:rPr>
                <w:rFonts w:ascii="Times New Roman" w:hAnsi="Times New Roman"/>
                <w:color w:val="000000"/>
                <w:sz w:val="20"/>
                <w:szCs w:val="20"/>
                <w:highlight w:val="yellow"/>
              </w:rPr>
            </w:pPr>
            <w:r w:rsidRPr="00FB689E">
              <w:rPr>
                <w:rFonts w:ascii="Times New Roman" w:hAnsi="Times New Roman"/>
                <w:bCs/>
                <w:color w:val="000000" w:themeColor="text1"/>
                <w:sz w:val="20"/>
                <w:szCs w:val="20"/>
              </w:rPr>
              <w:t>Sureshchandra R Dudani</w:t>
            </w:r>
          </w:p>
        </w:tc>
        <w:tc>
          <w:tcPr>
            <w:tcW w:w="1816" w:type="pct"/>
            <w:tcBorders>
              <w:top w:val="single" w:sz="4" w:space="0" w:color="auto"/>
              <w:left w:val="single" w:sz="4" w:space="0" w:color="auto"/>
              <w:right w:val="single" w:sz="4" w:space="0" w:color="auto"/>
            </w:tcBorders>
            <w:vAlign w:val="center"/>
          </w:tcPr>
          <w:p w14:paraId="5E626906" w14:textId="77777777" w:rsidR="005B5953" w:rsidRPr="00734F23" w:rsidRDefault="005B5953" w:rsidP="00250DAC">
            <w:pPr>
              <w:spacing w:after="0" w:line="240" w:lineRule="auto"/>
              <w:rPr>
                <w:rFonts w:ascii="Times New Roman" w:hAnsi="Times New Roman"/>
                <w:color w:val="000000"/>
                <w:sz w:val="20"/>
                <w:szCs w:val="20"/>
                <w:highlight w:val="yellow"/>
              </w:rPr>
            </w:pPr>
            <w:r w:rsidRPr="00FB689E">
              <w:rPr>
                <w:rFonts w:ascii="Times New Roman" w:hAnsi="Times New Roman"/>
                <w:color w:val="000000"/>
                <w:sz w:val="20"/>
                <w:szCs w:val="20"/>
              </w:rPr>
              <w:t>Raghav Somani</w:t>
            </w:r>
          </w:p>
        </w:tc>
      </w:tr>
      <w:tr w:rsidR="005B5953" w:rsidRPr="00712F3C" w14:paraId="2C1F1D83" w14:textId="77777777" w:rsidTr="00250DAC">
        <w:trPr>
          <w:trHeight w:val="24"/>
        </w:trPr>
        <w:tc>
          <w:tcPr>
            <w:tcW w:w="1286" w:type="pct"/>
            <w:vMerge w:val="restart"/>
            <w:tcBorders>
              <w:top w:val="single" w:sz="4" w:space="0" w:color="auto"/>
              <w:left w:val="single" w:sz="4" w:space="0" w:color="auto"/>
              <w:right w:val="single" w:sz="4" w:space="0" w:color="auto"/>
            </w:tcBorders>
            <w:vAlign w:val="center"/>
            <w:hideMark/>
          </w:tcPr>
          <w:p w14:paraId="161EA26B" w14:textId="77777777" w:rsidR="005B5953" w:rsidRPr="00712F3C" w:rsidRDefault="005B5953" w:rsidP="00250DAC">
            <w:pPr>
              <w:spacing w:after="0" w:line="240" w:lineRule="auto"/>
              <w:jc w:val="both"/>
              <w:rPr>
                <w:rFonts w:ascii="Times New Roman" w:hAnsi="Times New Roman"/>
                <w:bCs/>
                <w:sz w:val="20"/>
                <w:szCs w:val="20"/>
              </w:rPr>
            </w:pPr>
            <w:r w:rsidRPr="00712F3C">
              <w:rPr>
                <w:rFonts w:ascii="Times New Roman" w:hAnsi="Times New Roman"/>
                <w:bCs/>
                <w:sz w:val="20"/>
                <w:szCs w:val="20"/>
              </w:rPr>
              <w:t>Spouse’s Sister</w:t>
            </w:r>
          </w:p>
        </w:tc>
        <w:tc>
          <w:tcPr>
            <w:tcW w:w="1898" w:type="pct"/>
            <w:tcBorders>
              <w:top w:val="single" w:sz="4" w:space="0" w:color="auto"/>
              <w:left w:val="single" w:sz="4" w:space="0" w:color="auto"/>
              <w:bottom w:val="single" w:sz="4" w:space="0" w:color="auto"/>
              <w:right w:val="single" w:sz="4" w:space="0" w:color="auto"/>
            </w:tcBorders>
            <w:vAlign w:val="bottom"/>
            <w:hideMark/>
          </w:tcPr>
          <w:p w14:paraId="3049A3B0" w14:textId="77777777" w:rsidR="005B5953" w:rsidRPr="00734F23" w:rsidRDefault="005B5953" w:rsidP="00250DAC">
            <w:pPr>
              <w:spacing w:after="0" w:line="240" w:lineRule="auto"/>
              <w:rPr>
                <w:rFonts w:ascii="Times New Roman" w:hAnsi="Times New Roman"/>
                <w:color w:val="000000"/>
                <w:sz w:val="20"/>
                <w:szCs w:val="20"/>
                <w:highlight w:val="yellow"/>
              </w:rPr>
            </w:pPr>
            <w:r w:rsidRPr="00FB689E">
              <w:rPr>
                <w:rFonts w:ascii="Times New Roman" w:hAnsi="Times New Roman"/>
                <w:bCs/>
                <w:color w:val="000000" w:themeColor="text1"/>
                <w:sz w:val="20"/>
                <w:szCs w:val="20"/>
              </w:rPr>
              <w:t>Shakuntalaben Rajmal Shah</w:t>
            </w:r>
          </w:p>
        </w:tc>
        <w:tc>
          <w:tcPr>
            <w:tcW w:w="1816" w:type="pct"/>
            <w:vMerge w:val="restart"/>
            <w:tcBorders>
              <w:top w:val="single" w:sz="4" w:space="0" w:color="auto"/>
              <w:left w:val="single" w:sz="4" w:space="0" w:color="auto"/>
              <w:right w:val="single" w:sz="4" w:space="0" w:color="auto"/>
            </w:tcBorders>
            <w:vAlign w:val="center"/>
          </w:tcPr>
          <w:p w14:paraId="14195D5B" w14:textId="77777777" w:rsidR="005B5953" w:rsidRPr="00712F3C" w:rsidRDefault="005B5953" w:rsidP="00250DAC">
            <w:pPr>
              <w:spacing w:after="0" w:line="240" w:lineRule="auto"/>
              <w:rPr>
                <w:rFonts w:ascii="Times New Roman" w:hAnsi="Times New Roman"/>
                <w:color w:val="000000"/>
                <w:sz w:val="20"/>
                <w:szCs w:val="20"/>
              </w:rPr>
            </w:pPr>
            <w:r w:rsidRPr="00712F3C">
              <w:rPr>
                <w:rFonts w:ascii="Times New Roman" w:hAnsi="Times New Roman"/>
                <w:color w:val="000000"/>
                <w:sz w:val="20"/>
                <w:szCs w:val="20"/>
              </w:rPr>
              <w:t>-</w:t>
            </w:r>
          </w:p>
        </w:tc>
      </w:tr>
      <w:tr w:rsidR="005B5953" w:rsidRPr="00712F3C" w14:paraId="06167596" w14:textId="77777777" w:rsidTr="00250DAC">
        <w:trPr>
          <w:trHeight w:val="24"/>
        </w:trPr>
        <w:tc>
          <w:tcPr>
            <w:tcW w:w="1286" w:type="pct"/>
            <w:vMerge/>
            <w:tcBorders>
              <w:left w:val="single" w:sz="4" w:space="0" w:color="auto"/>
              <w:right w:val="single" w:sz="4" w:space="0" w:color="auto"/>
            </w:tcBorders>
            <w:vAlign w:val="center"/>
          </w:tcPr>
          <w:p w14:paraId="40BBFFEF" w14:textId="77777777" w:rsidR="005B5953" w:rsidRPr="00712F3C" w:rsidRDefault="005B5953" w:rsidP="00250DAC">
            <w:pPr>
              <w:spacing w:after="0" w:line="240" w:lineRule="auto"/>
              <w:jc w:val="both"/>
              <w:rPr>
                <w:rFonts w:ascii="Times New Roman" w:hAnsi="Times New Roman"/>
                <w:bCs/>
                <w:sz w:val="20"/>
                <w:szCs w:val="20"/>
              </w:rPr>
            </w:pPr>
          </w:p>
        </w:tc>
        <w:tc>
          <w:tcPr>
            <w:tcW w:w="1898" w:type="pct"/>
            <w:tcBorders>
              <w:top w:val="single" w:sz="4" w:space="0" w:color="auto"/>
              <w:left w:val="single" w:sz="4" w:space="0" w:color="auto"/>
              <w:bottom w:val="single" w:sz="4" w:space="0" w:color="auto"/>
              <w:right w:val="single" w:sz="4" w:space="0" w:color="auto"/>
            </w:tcBorders>
            <w:vAlign w:val="bottom"/>
          </w:tcPr>
          <w:p w14:paraId="07564965" w14:textId="77777777" w:rsidR="005B5953" w:rsidRPr="00734F23" w:rsidRDefault="005B5953" w:rsidP="00250DAC">
            <w:pPr>
              <w:spacing w:after="0" w:line="240" w:lineRule="auto"/>
              <w:rPr>
                <w:rFonts w:ascii="Times New Roman" w:hAnsi="Times New Roman"/>
                <w:bCs/>
                <w:color w:val="000000" w:themeColor="text1"/>
                <w:sz w:val="20"/>
                <w:szCs w:val="20"/>
                <w:highlight w:val="yellow"/>
              </w:rPr>
            </w:pPr>
            <w:r w:rsidRPr="00FB689E">
              <w:rPr>
                <w:rFonts w:ascii="Times New Roman" w:hAnsi="Times New Roman"/>
                <w:bCs/>
                <w:color w:val="000000" w:themeColor="text1"/>
                <w:sz w:val="20"/>
                <w:szCs w:val="20"/>
              </w:rPr>
              <w:t>Manjuben Suresh Chandra Inani</w:t>
            </w:r>
          </w:p>
        </w:tc>
        <w:tc>
          <w:tcPr>
            <w:tcW w:w="1816" w:type="pct"/>
            <w:vMerge/>
            <w:tcBorders>
              <w:left w:val="single" w:sz="4" w:space="0" w:color="auto"/>
              <w:right w:val="single" w:sz="4" w:space="0" w:color="auto"/>
            </w:tcBorders>
            <w:vAlign w:val="center"/>
          </w:tcPr>
          <w:p w14:paraId="144A6BCE" w14:textId="77777777" w:rsidR="005B5953" w:rsidRPr="00712F3C" w:rsidRDefault="005B5953" w:rsidP="00250DAC">
            <w:pPr>
              <w:spacing w:after="0" w:line="240" w:lineRule="auto"/>
              <w:rPr>
                <w:rFonts w:ascii="Times New Roman" w:hAnsi="Times New Roman"/>
                <w:color w:val="000000"/>
                <w:sz w:val="20"/>
                <w:szCs w:val="20"/>
              </w:rPr>
            </w:pPr>
          </w:p>
        </w:tc>
      </w:tr>
      <w:tr w:rsidR="005B5953" w:rsidRPr="00712F3C" w14:paraId="6C0DF50A" w14:textId="77777777" w:rsidTr="00250DAC">
        <w:trPr>
          <w:trHeight w:val="24"/>
        </w:trPr>
        <w:tc>
          <w:tcPr>
            <w:tcW w:w="1286" w:type="pct"/>
            <w:vMerge/>
            <w:tcBorders>
              <w:left w:val="single" w:sz="4" w:space="0" w:color="auto"/>
              <w:right w:val="single" w:sz="4" w:space="0" w:color="auto"/>
            </w:tcBorders>
            <w:vAlign w:val="center"/>
          </w:tcPr>
          <w:p w14:paraId="26A9B45D" w14:textId="77777777" w:rsidR="005B5953" w:rsidRPr="00712F3C" w:rsidRDefault="005B5953" w:rsidP="00250DAC">
            <w:pPr>
              <w:spacing w:after="0" w:line="240" w:lineRule="auto"/>
              <w:jc w:val="both"/>
              <w:rPr>
                <w:rFonts w:ascii="Times New Roman" w:hAnsi="Times New Roman"/>
                <w:bCs/>
                <w:sz w:val="20"/>
                <w:szCs w:val="20"/>
              </w:rPr>
            </w:pPr>
          </w:p>
        </w:tc>
        <w:tc>
          <w:tcPr>
            <w:tcW w:w="1898" w:type="pct"/>
            <w:tcBorders>
              <w:top w:val="single" w:sz="4" w:space="0" w:color="auto"/>
              <w:left w:val="single" w:sz="4" w:space="0" w:color="auto"/>
              <w:bottom w:val="single" w:sz="4" w:space="0" w:color="auto"/>
              <w:right w:val="single" w:sz="4" w:space="0" w:color="auto"/>
            </w:tcBorders>
            <w:vAlign w:val="bottom"/>
          </w:tcPr>
          <w:p w14:paraId="57792874" w14:textId="77777777" w:rsidR="005B5953" w:rsidRPr="00734F23" w:rsidRDefault="005B5953" w:rsidP="00250DAC">
            <w:pPr>
              <w:spacing w:after="0" w:line="240" w:lineRule="auto"/>
              <w:rPr>
                <w:rFonts w:ascii="Times New Roman" w:hAnsi="Times New Roman"/>
                <w:bCs/>
                <w:color w:val="000000" w:themeColor="text1"/>
                <w:sz w:val="20"/>
                <w:szCs w:val="20"/>
                <w:highlight w:val="yellow"/>
              </w:rPr>
            </w:pPr>
            <w:r w:rsidRPr="00FB689E">
              <w:rPr>
                <w:rFonts w:ascii="Times New Roman" w:hAnsi="Times New Roman"/>
                <w:bCs/>
                <w:color w:val="000000" w:themeColor="text1"/>
                <w:sz w:val="20"/>
                <w:szCs w:val="20"/>
              </w:rPr>
              <w:t>Sunita Rakesh Rathi</w:t>
            </w:r>
          </w:p>
        </w:tc>
        <w:tc>
          <w:tcPr>
            <w:tcW w:w="1816" w:type="pct"/>
            <w:vMerge/>
            <w:tcBorders>
              <w:left w:val="single" w:sz="4" w:space="0" w:color="auto"/>
              <w:right w:val="single" w:sz="4" w:space="0" w:color="auto"/>
            </w:tcBorders>
            <w:vAlign w:val="center"/>
          </w:tcPr>
          <w:p w14:paraId="5E11CDB8" w14:textId="77777777" w:rsidR="005B5953" w:rsidRPr="00712F3C" w:rsidRDefault="005B5953" w:rsidP="00250DAC">
            <w:pPr>
              <w:spacing w:after="0" w:line="240" w:lineRule="auto"/>
              <w:rPr>
                <w:rFonts w:ascii="Times New Roman" w:hAnsi="Times New Roman"/>
                <w:color w:val="000000"/>
                <w:sz w:val="20"/>
                <w:szCs w:val="20"/>
              </w:rPr>
            </w:pPr>
          </w:p>
        </w:tc>
      </w:tr>
    </w:tbl>
    <w:p w14:paraId="6E7E81BB" w14:textId="77777777" w:rsidR="005B5953" w:rsidRPr="00712F3C" w:rsidRDefault="005B5953" w:rsidP="005B5953">
      <w:pPr>
        <w:spacing w:after="0" w:line="240" w:lineRule="auto"/>
        <w:rPr>
          <w:rFonts w:ascii="Times New Roman" w:eastAsia="Calibri" w:hAnsi="Times New Roman"/>
          <w:b/>
          <w:bCs/>
          <w:sz w:val="20"/>
          <w:szCs w:val="20"/>
        </w:rPr>
      </w:pPr>
    </w:p>
    <w:p w14:paraId="0643E1F1" w14:textId="77777777" w:rsidR="005B5953" w:rsidRPr="00DB03C6" w:rsidRDefault="005B5953">
      <w:pPr>
        <w:pStyle w:val="ListParagraph"/>
        <w:numPr>
          <w:ilvl w:val="0"/>
          <w:numId w:val="193"/>
        </w:numPr>
        <w:spacing w:line="240" w:lineRule="auto"/>
        <w:ind w:left="426"/>
        <w:jc w:val="both"/>
        <w:rPr>
          <w:rFonts w:eastAsia="Calibri"/>
          <w:b/>
          <w:bCs/>
          <w:sz w:val="20"/>
          <w:szCs w:val="20"/>
        </w:rPr>
      </w:pPr>
      <w:r w:rsidRPr="00DB03C6">
        <w:rPr>
          <w:rFonts w:eastAsia="Calibri"/>
          <w:b/>
          <w:bCs/>
          <w:sz w:val="20"/>
          <w:szCs w:val="20"/>
        </w:rPr>
        <w:t>Corporate Entities or Firms forming part of the Promoter Group</w:t>
      </w:r>
    </w:p>
    <w:p w14:paraId="753F8987" w14:textId="77777777" w:rsidR="005B5953" w:rsidRPr="00DB03C6" w:rsidRDefault="005B5953" w:rsidP="005B5953">
      <w:pPr>
        <w:spacing w:after="0" w:line="240" w:lineRule="auto"/>
        <w:rPr>
          <w:rFonts w:ascii="Times New Roman" w:eastAsia="Calibri" w:hAnsi="Times New Roman"/>
          <w:b/>
          <w:bCs/>
          <w:sz w:val="14"/>
          <w:szCs w:val="20"/>
        </w:rPr>
      </w:pPr>
    </w:p>
    <w:p w14:paraId="218BFBFA" w14:textId="77777777" w:rsidR="005B5953" w:rsidRPr="00DB03C6" w:rsidRDefault="005B5953" w:rsidP="005B5953">
      <w:pPr>
        <w:spacing w:after="0" w:line="240" w:lineRule="auto"/>
        <w:jc w:val="both"/>
        <w:rPr>
          <w:rFonts w:ascii="Times New Roman" w:eastAsia="Calibri" w:hAnsi="Times New Roman"/>
          <w:sz w:val="20"/>
          <w:szCs w:val="20"/>
        </w:rPr>
      </w:pPr>
      <w:r w:rsidRPr="00DB03C6">
        <w:rPr>
          <w:rFonts w:ascii="Times New Roman" w:eastAsia="Calibri" w:hAnsi="Times New Roman"/>
          <w:sz w:val="20"/>
          <w:szCs w:val="20"/>
        </w:rPr>
        <w:t>As per Regulation 2(1)(pp)(iv) of the SEBI (ICDR) Regulations, 2018, the following entities forms part of our Promoter Group:</w:t>
      </w:r>
    </w:p>
    <w:p w14:paraId="124E6A15" w14:textId="77777777" w:rsidR="005B5953" w:rsidRPr="00DB03C6" w:rsidRDefault="005B5953" w:rsidP="005B5953">
      <w:pPr>
        <w:spacing w:after="0" w:line="240" w:lineRule="auto"/>
        <w:jc w:val="both"/>
        <w:rPr>
          <w:rFonts w:ascii="Times New Roman" w:eastAsia="Calibri" w:hAnsi="Times New Roman"/>
          <w:b/>
          <w:sz w:val="10"/>
          <w:szCs w:val="20"/>
        </w:rPr>
      </w:pPr>
    </w:p>
    <w:p w14:paraId="65486D4F" w14:textId="77777777" w:rsidR="005B5953" w:rsidRPr="00BC6DD5" w:rsidRDefault="005B5953">
      <w:pPr>
        <w:pStyle w:val="ListParagraph"/>
        <w:numPr>
          <w:ilvl w:val="0"/>
          <w:numId w:val="194"/>
        </w:numPr>
        <w:spacing w:line="240" w:lineRule="auto"/>
        <w:rPr>
          <w:rFonts w:eastAsia="Calibri"/>
          <w:color w:val="auto"/>
          <w:sz w:val="20"/>
          <w:szCs w:val="20"/>
          <w:lang w:eastAsia="en-US"/>
        </w:rPr>
      </w:pPr>
      <w:r w:rsidRPr="00DB03C6">
        <w:rPr>
          <w:rFonts w:eastAsia="Calibri"/>
          <w:color w:val="auto"/>
          <w:sz w:val="20"/>
          <w:szCs w:val="20"/>
          <w:lang w:eastAsia="en-US"/>
        </w:rPr>
        <w:t>Prakash Impexp Private Limited</w:t>
      </w:r>
      <w:r w:rsidRPr="00DB03C6">
        <w:rPr>
          <w:rFonts w:eastAsia="Calibri"/>
          <w:sz w:val="20"/>
          <w:szCs w:val="20"/>
          <w:lang w:val="en-IN"/>
        </w:rPr>
        <w:t xml:space="preserve">; </w:t>
      </w:r>
    </w:p>
    <w:p w14:paraId="26966D0E" w14:textId="77777777" w:rsidR="005B5953" w:rsidRPr="00EA0DF0" w:rsidRDefault="005B5953">
      <w:pPr>
        <w:pStyle w:val="ListParagraph"/>
        <w:numPr>
          <w:ilvl w:val="0"/>
          <w:numId w:val="194"/>
        </w:numPr>
        <w:spacing w:line="240" w:lineRule="auto"/>
        <w:rPr>
          <w:rFonts w:eastAsia="Calibri"/>
          <w:color w:val="auto"/>
          <w:sz w:val="20"/>
          <w:szCs w:val="20"/>
          <w:lang w:eastAsia="en-US"/>
        </w:rPr>
      </w:pPr>
      <w:r w:rsidRPr="00EA0DF0">
        <w:rPr>
          <w:rFonts w:eastAsia="Calibri"/>
          <w:color w:val="auto"/>
          <w:sz w:val="20"/>
          <w:szCs w:val="20"/>
          <w:lang w:eastAsia="en-US"/>
        </w:rPr>
        <w:t>Apex Devcon Private Limited</w:t>
      </w:r>
      <w:r>
        <w:rPr>
          <w:rFonts w:eastAsia="Calibri"/>
          <w:color w:val="auto"/>
          <w:sz w:val="20"/>
          <w:szCs w:val="20"/>
          <w:lang w:val="en-US" w:eastAsia="en-US"/>
        </w:rPr>
        <w:t>;</w:t>
      </w:r>
    </w:p>
    <w:p w14:paraId="73E28780" w14:textId="77777777" w:rsidR="005B5953" w:rsidRPr="00EA0DF0" w:rsidRDefault="005B5953">
      <w:pPr>
        <w:pStyle w:val="ListParagraph"/>
        <w:numPr>
          <w:ilvl w:val="0"/>
          <w:numId w:val="194"/>
        </w:numPr>
        <w:spacing w:line="240" w:lineRule="auto"/>
        <w:rPr>
          <w:rFonts w:eastAsia="Calibri"/>
          <w:color w:val="auto"/>
          <w:sz w:val="20"/>
          <w:szCs w:val="20"/>
          <w:lang w:eastAsia="en-US"/>
        </w:rPr>
      </w:pPr>
      <w:r w:rsidRPr="00EA0DF0">
        <w:rPr>
          <w:rFonts w:eastAsia="Calibri"/>
          <w:color w:val="auto"/>
          <w:sz w:val="20"/>
          <w:szCs w:val="20"/>
          <w:lang w:eastAsia="en-US"/>
        </w:rPr>
        <w:t>Dwarkesh Alloys Private Limited</w:t>
      </w:r>
      <w:r>
        <w:rPr>
          <w:rFonts w:eastAsia="Calibri"/>
          <w:color w:val="auto"/>
          <w:sz w:val="20"/>
          <w:szCs w:val="20"/>
          <w:lang w:val="en-US" w:eastAsia="en-US"/>
        </w:rPr>
        <w:t>;</w:t>
      </w:r>
    </w:p>
    <w:p w14:paraId="54753C66" w14:textId="77777777" w:rsidR="005B5953" w:rsidRPr="002E349C" w:rsidRDefault="005B5953">
      <w:pPr>
        <w:pStyle w:val="ListParagraph"/>
        <w:numPr>
          <w:ilvl w:val="0"/>
          <w:numId w:val="194"/>
        </w:numPr>
        <w:spacing w:line="240" w:lineRule="auto"/>
        <w:rPr>
          <w:rFonts w:eastAsia="Calibri"/>
          <w:color w:val="auto"/>
          <w:sz w:val="20"/>
          <w:szCs w:val="20"/>
          <w:lang w:eastAsia="en-US"/>
        </w:rPr>
      </w:pPr>
      <w:r w:rsidRPr="00EA0DF0">
        <w:rPr>
          <w:rFonts w:eastAsia="Calibri"/>
          <w:color w:val="auto"/>
          <w:sz w:val="20"/>
          <w:szCs w:val="20"/>
          <w:lang w:eastAsia="en-US"/>
        </w:rPr>
        <w:lastRenderedPageBreak/>
        <w:t>Simpex Overseas Private Limited</w:t>
      </w:r>
      <w:r>
        <w:rPr>
          <w:rFonts w:eastAsia="Calibri"/>
          <w:color w:val="auto"/>
          <w:sz w:val="20"/>
          <w:szCs w:val="20"/>
          <w:lang w:val="en-US" w:eastAsia="en-US"/>
        </w:rPr>
        <w:t>;</w:t>
      </w:r>
    </w:p>
    <w:p w14:paraId="309AFB7C" w14:textId="77777777" w:rsidR="005B5953" w:rsidRPr="002E349C" w:rsidRDefault="005B5953">
      <w:pPr>
        <w:pStyle w:val="ListParagraph"/>
        <w:numPr>
          <w:ilvl w:val="0"/>
          <w:numId w:val="194"/>
        </w:numPr>
        <w:spacing w:line="240" w:lineRule="auto"/>
        <w:rPr>
          <w:rFonts w:eastAsia="Calibri"/>
          <w:color w:val="auto"/>
          <w:sz w:val="20"/>
          <w:szCs w:val="20"/>
          <w:lang w:eastAsia="en-US"/>
        </w:rPr>
      </w:pPr>
      <w:r w:rsidRPr="002E349C">
        <w:rPr>
          <w:rFonts w:eastAsia="Calibri"/>
          <w:color w:val="auto"/>
          <w:sz w:val="20"/>
          <w:szCs w:val="20"/>
          <w:lang w:eastAsia="en-US"/>
        </w:rPr>
        <w:t>J B Tiles Pvt Ltd</w:t>
      </w:r>
      <w:r>
        <w:rPr>
          <w:rFonts w:eastAsia="Calibri"/>
          <w:color w:val="auto"/>
          <w:sz w:val="20"/>
          <w:szCs w:val="20"/>
          <w:lang w:val="en-US" w:eastAsia="en-US"/>
        </w:rPr>
        <w:t>;</w:t>
      </w:r>
    </w:p>
    <w:p w14:paraId="44AE8323" w14:textId="77777777" w:rsidR="005B5953" w:rsidRPr="002E349C" w:rsidRDefault="005B5953">
      <w:pPr>
        <w:pStyle w:val="ListParagraph"/>
        <w:numPr>
          <w:ilvl w:val="0"/>
          <w:numId w:val="194"/>
        </w:numPr>
        <w:spacing w:line="240" w:lineRule="auto"/>
        <w:rPr>
          <w:rFonts w:eastAsia="Calibri"/>
          <w:color w:val="auto"/>
          <w:sz w:val="20"/>
          <w:szCs w:val="20"/>
          <w:lang w:eastAsia="en-US"/>
        </w:rPr>
      </w:pPr>
      <w:r w:rsidRPr="002E349C">
        <w:rPr>
          <w:rFonts w:eastAsia="Calibri"/>
          <w:color w:val="auto"/>
          <w:sz w:val="20"/>
          <w:szCs w:val="20"/>
          <w:lang w:eastAsia="en-US"/>
        </w:rPr>
        <w:t>Dariba Investments Private Limited</w:t>
      </w:r>
      <w:r>
        <w:rPr>
          <w:rFonts w:eastAsia="Calibri"/>
          <w:color w:val="auto"/>
          <w:sz w:val="20"/>
          <w:szCs w:val="20"/>
          <w:lang w:val="en-US" w:eastAsia="en-US"/>
        </w:rPr>
        <w:t>;</w:t>
      </w:r>
    </w:p>
    <w:p w14:paraId="75E9AD4E" w14:textId="77777777" w:rsidR="005B5953" w:rsidRPr="002E349C" w:rsidRDefault="005B5953">
      <w:pPr>
        <w:pStyle w:val="ListParagraph"/>
        <w:numPr>
          <w:ilvl w:val="0"/>
          <w:numId w:val="194"/>
        </w:numPr>
        <w:spacing w:line="240" w:lineRule="auto"/>
        <w:rPr>
          <w:rFonts w:eastAsia="Calibri"/>
          <w:color w:val="auto"/>
          <w:sz w:val="20"/>
          <w:szCs w:val="20"/>
          <w:lang w:eastAsia="en-US"/>
        </w:rPr>
      </w:pPr>
      <w:r w:rsidRPr="002E349C">
        <w:rPr>
          <w:rFonts w:eastAsia="Calibri"/>
          <w:color w:val="auto"/>
          <w:sz w:val="20"/>
          <w:szCs w:val="20"/>
          <w:lang w:eastAsia="en-US"/>
        </w:rPr>
        <w:t>CA Info Systems Private Limited</w:t>
      </w:r>
      <w:r>
        <w:rPr>
          <w:rFonts w:eastAsia="Calibri"/>
          <w:color w:val="auto"/>
          <w:sz w:val="20"/>
          <w:szCs w:val="20"/>
          <w:lang w:val="en-US" w:eastAsia="en-US"/>
        </w:rPr>
        <w:t>;</w:t>
      </w:r>
    </w:p>
    <w:p w14:paraId="20AA7024" w14:textId="77777777" w:rsidR="005B5953" w:rsidRPr="00DB03C6" w:rsidRDefault="005B5953">
      <w:pPr>
        <w:pStyle w:val="ListParagraph"/>
        <w:numPr>
          <w:ilvl w:val="0"/>
          <w:numId w:val="194"/>
        </w:numPr>
        <w:spacing w:line="240" w:lineRule="auto"/>
        <w:rPr>
          <w:rFonts w:eastAsia="Calibri"/>
          <w:color w:val="auto"/>
          <w:sz w:val="20"/>
          <w:szCs w:val="20"/>
          <w:lang w:eastAsia="en-US"/>
        </w:rPr>
      </w:pPr>
      <w:r w:rsidRPr="002E349C">
        <w:rPr>
          <w:rFonts w:eastAsia="Calibri"/>
          <w:color w:val="auto"/>
          <w:sz w:val="20"/>
          <w:szCs w:val="20"/>
          <w:lang w:eastAsia="en-US"/>
        </w:rPr>
        <w:t>Disha Financial Consultancy Private Limited</w:t>
      </w:r>
      <w:r>
        <w:rPr>
          <w:rFonts w:eastAsia="Calibri"/>
          <w:color w:val="auto"/>
          <w:sz w:val="20"/>
          <w:szCs w:val="20"/>
          <w:lang w:val="en-US" w:eastAsia="en-US"/>
        </w:rPr>
        <w:t>;</w:t>
      </w:r>
    </w:p>
    <w:p w14:paraId="459CD0A5" w14:textId="77777777" w:rsidR="005B5953" w:rsidRPr="007A7677" w:rsidRDefault="005B5953">
      <w:pPr>
        <w:pStyle w:val="ListParagraph"/>
        <w:numPr>
          <w:ilvl w:val="0"/>
          <w:numId w:val="194"/>
        </w:numPr>
        <w:spacing w:line="240" w:lineRule="auto"/>
        <w:rPr>
          <w:rFonts w:eastAsia="Calibri"/>
          <w:color w:val="auto"/>
          <w:sz w:val="20"/>
          <w:szCs w:val="20"/>
          <w:lang w:eastAsia="en-US"/>
        </w:rPr>
      </w:pPr>
      <w:r w:rsidRPr="00400EA7">
        <w:rPr>
          <w:rFonts w:eastAsia="Calibri"/>
          <w:color w:val="auto"/>
          <w:sz w:val="20"/>
          <w:szCs w:val="20"/>
          <w:lang w:eastAsia="en-US"/>
        </w:rPr>
        <w:t>Gurukrupa</w:t>
      </w:r>
      <w:r w:rsidRPr="007A7677">
        <w:rPr>
          <w:rFonts w:eastAsia="Calibri"/>
          <w:color w:val="auto"/>
          <w:sz w:val="20"/>
          <w:szCs w:val="20"/>
          <w:lang w:eastAsia="en-US"/>
        </w:rPr>
        <w:t xml:space="preserve"> Metals</w:t>
      </w:r>
      <w:r>
        <w:rPr>
          <w:rFonts w:eastAsia="Calibri"/>
          <w:color w:val="auto"/>
          <w:sz w:val="20"/>
          <w:szCs w:val="20"/>
          <w:lang w:val="en-US" w:eastAsia="en-US"/>
        </w:rPr>
        <w:t>;</w:t>
      </w:r>
    </w:p>
    <w:p w14:paraId="2BFD334B" w14:textId="77777777" w:rsidR="005B5953" w:rsidRDefault="005B5953">
      <w:pPr>
        <w:pStyle w:val="ListParagraph"/>
        <w:numPr>
          <w:ilvl w:val="0"/>
          <w:numId w:val="194"/>
        </w:numPr>
        <w:spacing w:line="240" w:lineRule="auto"/>
        <w:rPr>
          <w:rFonts w:eastAsia="Calibri"/>
          <w:color w:val="auto"/>
          <w:sz w:val="20"/>
          <w:szCs w:val="20"/>
          <w:lang w:eastAsia="en-US"/>
        </w:rPr>
      </w:pPr>
      <w:r w:rsidRPr="00400EA7">
        <w:rPr>
          <w:rFonts w:eastAsia="Calibri"/>
          <w:color w:val="auto"/>
          <w:sz w:val="20"/>
          <w:szCs w:val="20"/>
          <w:lang w:eastAsia="en-US"/>
        </w:rPr>
        <w:t>Maheshwari</w:t>
      </w:r>
      <w:r w:rsidRPr="007A7677">
        <w:rPr>
          <w:rFonts w:eastAsia="Calibri"/>
          <w:color w:val="auto"/>
          <w:sz w:val="20"/>
          <w:szCs w:val="20"/>
          <w:lang w:eastAsia="en-US"/>
        </w:rPr>
        <w:t xml:space="preserve"> Ramgopal Ochha</w:t>
      </w:r>
      <w:r>
        <w:rPr>
          <w:rFonts w:eastAsia="Calibri"/>
          <w:color w:val="auto"/>
          <w:sz w:val="20"/>
          <w:szCs w:val="20"/>
          <w:lang w:val="en-US" w:eastAsia="en-US"/>
        </w:rPr>
        <w:t>v</w:t>
      </w:r>
      <w:r w:rsidRPr="007A7677">
        <w:rPr>
          <w:rFonts w:eastAsia="Calibri"/>
          <w:color w:val="auto"/>
          <w:sz w:val="20"/>
          <w:szCs w:val="20"/>
          <w:lang w:eastAsia="en-US"/>
        </w:rPr>
        <w:t>lal (HUF)</w:t>
      </w:r>
      <w:r>
        <w:rPr>
          <w:rFonts w:eastAsia="Calibri"/>
          <w:color w:val="auto"/>
          <w:sz w:val="20"/>
          <w:szCs w:val="20"/>
          <w:lang w:val="en-US" w:eastAsia="en-US"/>
        </w:rPr>
        <w:t>;</w:t>
      </w:r>
    </w:p>
    <w:p w14:paraId="2BA5868F" w14:textId="77777777" w:rsidR="005B5953" w:rsidRPr="007A7677" w:rsidRDefault="005B5953">
      <w:pPr>
        <w:pStyle w:val="ListParagraph"/>
        <w:numPr>
          <w:ilvl w:val="0"/>
          <w:numId w:val="194"/>
        </w:numPr>
        <w:spacing w:line="240" w:lineRule="auto"/>
        <w:rPr>
          <w:rFonts w:eastAsia="Calibri"/>
          <w:color w:val="auto"/>
          <w:sz w:val="20"/>
          <w:szCs w:val="20"/>
          <w:lang w:eastAsia="en-US"/>
        </w:rPr>
      </w:pPr>
      <w:r>
        <w:rPr>
          <w:rFonts w:eastAsia="Calibri"/>
          <w:color w:val="auto"/>
          <w:sz w:val="20"/>
          <w:szCs w:val="20"/>
          <w:lang w:val="en-US" w:eastAsia="en-US"/>
        </w:rPr>
        <w:t>Bhavesh Ramgopal Maheshwari (HUF)</w:t>
      </w:r>
    </w:p>
    <w:p w14:paraId="0827EC47" w14:textId="77777777" w:rsidR="005B5953" w:rsidRPr="00712F3C" w:rsidRDefault="005B5953" w:rsidP="005B5953">
      <w:pPr>
        <w:spacing w:after="0" w:line="240" w:lineRule="auto"/>
        <w:jc w:val="both"/>
        <w:rPr>
          <w:rFonts w:ascii="Times New Roman" w:eastAsia="Calibri" w:hAnsi="Times New Roman"/>
          <w:sz w:val="14"/>
          <w:szCs w:val="20"/>
        </w:rPr>
      </w:pPr>
    </w:p>
    <w:p w14:paraId="7EA0087A" w14:textId="77777777" w:rsidR="005B5953" w:rsidRPr="00712F3C" w:rsidRDefault="005B5953">
      <w:pPr>
        <w:pStyle w:val="ListParagraph"/>
        <w:numPr>
          <w:ilvl w:val="0"/>
          <w:numId w:val="193"/>
        </w:numPr>
        <w:spacing w:line="240" w:lineRule="auto"/>
        <w:ind w:left="426"/>
        <w:jc w:val="both"/>
        <w:rPr>
          <w:rFonts w:eastAsia="Calibri"/>
          <w:b/>
          <w:bCs/>
          <w:sz w:val="20"/>
          <w:szCs w:val="20"/>
        </w:rPr>
      </w:pPr>
      <w:r w:rsidRPr="00712F3C">
        <w:rPr>
          <w:rFonts w:eastAsia="Calibri"/>
          <w:b/>
          <w:bCs/>
          <w:sz w:val="20"/>
          <w:szCs w:val="20"/>
        </w:rPr>
        <w:t>Other Persons included in Promoter Group:</w:t>
      </w:r>
    </w:p>
    <w:p w14:paraId="5C72225C" w14:textId="77777777" w:rsidR="005B5953" w:rsidRPr="00712F3C" w:rsidRDefault="005B5953" w:rsidP="005B5953">
      <w:pPr>
        <w:pStyle w:val="ListParagraph"/>
        <w:spacing w:line="240" w:lineRule="auto"/>
        <w:ind w:left="426"/>
        <w:jc w:val="both"/>
        <w:rPr>
          <w:rFonts w:eastAsia="Calibri"/>
          <w:b/>
          <w:bCs/>
          <w:sz w:val="12"/>
          <w:szCs w:val="20"/>
        </w:rPr>
      </w:pPr>
    </w:p>
    <w:p w14:paraId="3A3150F4" w14:textId="3870998A" w:rsidR="005B5953" w:rsidRDefault="005B5953" w:rsidP="005B5953">
      <w:pPr>
        <w:spacing w:after="160" w:line="259" w:lineRule="auto"/>
        <w:rPr>
          <w:rFonts w:ascii="Times New Roman" w:eastAsia="Calibri" w:hAnsi="Times New Roman"/>
          <w:bCs/>
          <w:sz w:val="20"/>
          <w:szCs w:val="20"/>
        </w:rPr>
      </w:pPr>
      <w:r>
        <w:rPr>
          <w:rFonts w:ascii="Times New Roman" w:eastAsia="Calibri" w:hAnsi="Times New Roman"/>
          <w:bCs/>
          <w:sz w:val="20"/>
          <w:szCs w:val="20"/>
        </w:rPr>
        <w:t>N</w:t>
      </w:r>
      <w:r w:rsidRPr="00712F3C">
        <w:rPr>
          <w:rFonts w:ascii="Times New Roman" w:eastAsia="Calibri" w:hAnsi="Times New Roman"/>
          <w:bCs/>
          <w:sz w:val="20"/>
          <w:szCs w:val="20"/>
        </w:rPr>
        <w:t>one of the other persons forms part of promoter group for the purpose of shareholding of the Promoter Group under Regulation 2(1) (pp)(v) of SEBI (ICDR) Regulations</w:t>
      </w:r>
      <w:r>
        <w:rPr>
          <w:rFonts w:ascii="Times New Roman" w:eastAsia="Calibri" w:hAnsi="Times New Roman"/>
          <w:bCs/>
          <w:sz w:val="20"/>
          <w:szCs w:val="20"/>
        </w:rPr>
        <w:t>, 2018.</w:t>
      </w:r>
    </w:p>
    <w:p w14:paraId="52BF0CDD" w14:textId="77777777" w:rsidR="005B5953" w:rsidRDefault="005B5953">
      <w:pPr>
        <w:spacing w:after="160" w:line="259" w:lineRule="auto"/>
        <w:rPr>
          <w:rFonts w:ascii="Times New Roman" w:eastAsia="Calibri" w:hAnsi="Times New Roman"/>
          <w:bCs/>
          <w:sz w:val="20"/>
          <w:szCs w:val="20"/>
        </w:rPr>
      </w:pPr>
      <w:r>
        <w:rPr>
          <w:rFonts w:ascii="Times New Roman" w:eastAsia="Calibri" w:hAnsi="Times New Roman"/>
          <w:bCs/>
          <w:sz w:val="20"/>
          <w:szCs w:val="20"/>
        </w:rPr>
        <w:br w:type="page"/>
      </w:r>
    </w:p>
    <w:p w14:paraId="32E93A5C" w14:textId="06C56C40" w:rsidR="005B5953" w:rsidRDefault="005B5953" w:rsidP="005B5953">
      <w:pPr>
        <w:spacing w:after="0" w:line="259" w:lineRule="auto"/>
        <w:jc w:val="center"/>
        <w:rPr>
          <w:rFonts w:ascii="Times New Roman" w:hAnsi="Times New Roman"/>
          <w:b/>
          <w:bCs/>
          <w:sz w:val="20"/>
          <w:szCs w:val="20"/>
          <w:u w:val="single"/>
        </w:rPr>
      </w:pPr>
      <w:r w:rsidRPr="005B5953">
        <w:rPr>
          <w:rFonts w:ascii="Times New Roman" w:hAnsi="Times New Roman"/>
          <w:b/>
          <w:bCs/>
          <w:sz w:val="20"/>
          <w:szCs w:val="20"/>
          <w:u w:val="single"/>
        </w:rPr>
        <w:lastRenderedPageBreak/>
        <w:t>DIVIDEND POLICY</w:t>
      </w:r>
    </w:p>
    <w:p w14:paraId="4CF58122" w14:textId="77777777" w:rsidR="005B5953" w:rsidRDefault="005B5953" w:rsidP="005B5953">
      <w:pPr>
        <w:spacing w:after="0" w:line="259" w:lineRule="auto"/>
        <w:jc w:val="center"/>
        <w:rPr>
          <w:rFonts w:ascii="Times New Roman" w:hAnsi="Times New Roman"/>
          <w:b/>
          <w:bCs/>
          <w:sz w:val="20"/>
          <w:szCs w:val="20"/>
          <w:u w:val="single"/>
        </w:rPr>
      </w:pPr>
    </w:p>
    <w:p w14:paraId="0C197940" w14:textId="03E29B90" w:rsidR="005B5953" w:rsidRDefault="005B5953" w:rsidP="005B5953">
      <w:pPr>
        <w:spacing w:after="0" w:line="259" w:lineRule="auto"/>
        <w:jc w:val="both"/>
        <w:rPr>
          <w:rFonts w:ascii="Times New Roman" w:hAnsi="Times New Roman"/>
          <w:sz w:val="20"/>
          <w:szCs w:val="20"/>
        </w:rPr>
      </w:pPr>
      <w:r w:rsidRPr="005B5953">
        <w:rPr>
          <w:rFonts w:ascii="Times New Roman" w:hAnsi="Times New Roman"/>
          <w:sz w:val="20"/>
          <w:szCs w:val="20"/>
        </w:rPr>
        <w:t>Under the Companies Act, our Company can pay dividends upon a recommendation by our Board of Directors and approval by the</w:t>
      </w:r>
      <w:r>
        <w:rPr>
          <w:rFonts w:ascii="Times New Roman" w:hAnsi="Times New Roman"/>
          <w:sz w:val="20"/>
          <w:szCs w:val="20"/>
        </w:rPr>
        <w:t xml:space="preserve"> </w:t>
      </w:r>
      <w:r w:rsidRPr="005B5953">
        <w:rPr>
          <w:rFonts w:ascii="Times New Roman" w:hAnsi="Times New Roman"/>
          <w:sz w:val="20"/>
          <w:szCs w:val="20"/>
        </w:rPr>
        <w:t>shareholders at the general meeting of our Company. The Articles of Association of our Company give our shareholders, the right</w:t>
      </w:r>
      <w:r>
        <w:rPr>
          <w:rFonts w:ascii="Times New Roman" w:hAnsi="Times New Roman"/>
          <w:sz w:val="20"/>
          <w:szCs w:val="20"/>
        </w:rPr>
        <w:t xml:space="preserve"> </w:t>
      </w:r>
      <w:r w:rsidRPr="005B5953">
        <w:rPr>
          <w:rFonts w:ascii="Times New Roman" w:hAnsi="Times New Roman"/>
          <w:sz w:val="20"/>
          <w:szCs w:val="20"/>
        </w:rPr>
        <w:t>to decrease, and not to increase, the amount of dividend recommended by the Board of Directors.</w:t>
      </w:r>
    </w:p>
    <w:p w14:paraId="31EA2E29" w14:textId="77777777" w:rsidR="005B5953" w:rsidRPr="005B5953" w:rsidRDefault="005B5953" w:rsidP="005B5953">
      <w:pPr>
        <w:spacing w:after="0" w:line="259" w:lineRule="auto"/>
        <w:jc w:val="both"/>
        <w:rPr>
          <w:rFonts w:ascii="Times New Roman" w:hAnsi="Times New Roman"/>
          <w:sz w:val="20"/>
          <w:szCs w:val="20"/>
        </w:rPr>
      </w:pPr>
    </w:p>
    <w:p w14:paraId="2CBB9E97" w14:textId="7B062479" w:rsidR="005B5953" w:rsidRPr="005B5953" w:rsidRDefault="005B5953" w:rsidP="005B5953">
      <w:pPr>
        <w:spacing w:after="0" w:line="259" w:lineRule="auto"/>
        <w:jc w:val="both"/>
        <w:rPr>
          <w:rFonts w:ascii="Times New Roman" w:hAnsi="Times New Roman"/>
          <w:sz w:val="20"/>
          <w:szCs w:val="20"/>
        </w:rPr>
      </w:pPr>
      <w:r w:rsidRPr="005B5953">
        <w:rPr>
          <w:rFonts w:ascii="Times New Roman" w:hAnsi="Times New Roman"/>
          <w:sz w:val="20"/>
          <w:szCs w:val="20"/>
        </w:rPr>
        <w:t>The Articles of Association of our Company also gives the discretion to our Board of Directors to declare and pay interim dividends.</w:t>
      </w:r>
      <w:r>
        <w:rPr>
          <w:rFonts w:ascii="Times New Roman" w:hAnsi="Times New Roman"/>
          <w:sz w:val="20"/>
          <w:szCs w:val="20"/>
        </w:rPr>
        <w:t xml:space="preserve"> </w:t>
      </w:r>
      <w:r w:rsidRPr="005B5953">
        <w:rPr>
          <w:rFonts w:ascii="Times New Roman" w:hAnsi="Times New Roman"/>
          <w:sz w:val="20"/>
          <w:szCs w:val="20"/>
        </w:rPr>
        <w:t>No dividend shall be payable for any financial except out of profits of our Company for that year or that of any previous financial</w:t>
      </w:r>
      <w:r>
        <w:rPr>
          <w:rFonts w:ascii="Times New Roman" w:hAnsi="Times New Roman"/>
          <w:sz w:val="20"/>
          <w:szCs w:val="20"/>
        </w:rPr>
        <w:t xml:space="preserve"> </w:t>
      </w:r>
      <w:r w:rsidRPr="005B5953">
        <w:rPr>
          <w:rFonts w:ascii="Times New Roman" w:hAnsi="Times New Roman"/>
          <w:sz w:val="20"/>
          <w:szCs w:val="20"/>
        </w:rPr>
        <w:t>year or years, which shall be arrived at after providing for depreciation in accordance with the provisions of Companies Act, 2013.</w:t>
      </w:r>
    </w:p>
    <w:p w14:paraId="71AFC76F" w14:textId="77777777" w:rsidR="005B5953" w:rsidRDefault="005B5953" w:rsidP="005B5953">
      <w:pPr>
        <w:spacing w:after="0" w:line="259" w:lineRule="auto"/>
        <w:jc w:val="both"/>
        <w:rPr>
          <w:rFonts w:ascii="Times New Roman" w:hAnsi="Times New Roman"/>
          <w:sz w:val="20"/>
          <w:szCs w:val="20"/>
        </w:rPr>
      </w:pPr>
    </w:p>
    <w:p w14:paraId="34BFC7D2" w14:textId="1A2DFF81" w:rsidR="005B5953" w:rsidRPr="005B5953" w:rsidRDefault="005B5953" w:rsidP="005B5953">
      <w:pPr>
        <w:spacing w:after="0" w:line="259" w:lineRule="auto"/>
        <w:jc w:val="both"/>
        <w:rPr>
          <w:rFonts w:ascii="Times New Roman" w:hAnsi="Times New Roman"/>
          <w:sz w:val="20"/>
          <w:szCs w:val="20"/>
        </w:rPr>
      </w:pPr>
      <w:r w:rsidRPr="005B5953">
        <w:rPr>
          <w:rFonts w:ascii="Times New Roman" w:hAnsi="Times New Roman"/>
          <w:sz w:val="20"/>
          <w:szCs w:val="20"/>
        </w:rPr>
        <w:t>Our Company does not have any formal dividend policy for declaration of dividend in respect of the Equity Shares. The declaration</w:t>
      </w:r>
    </w:p>
    <w:p w14:paraId="6B0B0F82" w14:textId="33E0C1BC" w:rsidR="005B5953" w:rsidRPr="005B5953" w:rsidRDefault="005B5953" w:rsidP="005B5953">
      <w:pPr>
        <w:spacing w:after="0" w:line="259" w:lineRule="auto"/>
        <w:jc w:val="both"/>
        <w:rPr>
          <w:rFonts w:ascii="Times New Roman" w:hAnsi="Times New Roman"/>
          <w:sz w:val="20"/>
          <w:szCs w:val="20"/>
        </w:rPr>
      </w:pPr>
      <w:r w:rsidRPr="005B5953">
        <w:rPr>
          <w:rFonts w:ascii="Times New Roman" w:hAnsi="Times New Roman"/>
          <w:sz w:val="20"/>
          <w:szCs w:val="20"/>
        </w:rPr>
        <w:t>and payment of dividend will be recommended by our Board of Directors and approved by the shareholders of our Compan</w:t>
      </w:r>
      <w:r>
        <w:rPr>
          <w:rFonts w:ascii="Times New Roman" w:hAnsi="Times New Roman"/>
          <w:sz w:val="20"/>
          <w:szCs w:val="20"/>
        </w:rPr>
        <w:t>’s</w:t>
      </w:r>
      <w:r w:rsidRPr="005B5953">
        <w:rPr>
          <w:rFonts w:ascii="Times New Roman" w:hAnsi="Times New Roman"/>
          <w:sz w:val="20"/>
          <w:szCs w:val="20"/>
        </w:rPr>
        <w:t>y at their</w:t>
      </w:r>
      <w:r>
        <w:rPr>
          <w:rFonts w:ascii="Times New Roman" w:hAnsi="Times New Roman"/>
          <w:sz w:val="20"/>
          <w:szCs w:val="20"/>
        </w:rPr>
        <w:t xml:space="preserve"> </w:t>
      </w:r>
      <w:r w:rsidRPr="005B5953">
        <w:rPr>
          <w:rFonts w:ascii="Times New Roman" w:hAnsi="Times New Roman"/>
          <w:sz w:val="20"/>
          <w:szCs w:val="20"/>
        </w:rPr>
        <w:t>discretion and may depend on a number of factors, including the results of operations, earnings, Company's future expansion plans,</w:t>
      </w:r>
      <w:r>
        <w:rPr>
          <w:rFonts w:ascii="Times New Roman" w:hAnsi="Times New Roman"/>
          <w:sz w:val="20"/>
          <w:szCs w:val="20"/>
        </w:rPr>
        <w:t xml:space="preserve"> </w:t>
      </w:r>
      <w:r w:rsidRPr="005B5953">
        <w:rPr>
          <w:rFonts w:ascii="Times New Roman" w:hAnsi="Times New Roman"/>
          <w:sz w:val="20"/>
          <w:szCs w:val="20"/>
        </w:rPr>
        <w:t>capital requirements and surplus, general financial condition, contractual restrictions, applicable Indian legal restrictions and other</w:t>
      </w:r>
      <w:r>
        <w:rPr>
          <w:rFonts w:ascii="Times New Roman" w:hAnsi="Times New Roman"/>
          <w:sz w:val="20"/>
          <w:szCs w:val="20"/>
        </w:rPr>
        <w:t xml:space="preserve"> </w:t>
      </w:r>
      <w:r w:rsidRPr="005B5953">
        <w:rPr>
          <w:rFonts w:ascii="Times New Roman" w:hAnsi="Times New Roman"/>
          <w:sz w:val="20"/>
          <w:szCs w:val="20"/>
        </w:rPr>
        <w:t>factors considered relevant by our Board of Directors.</w:t>
      </w:r>
    </w:p>
    <w:p w14:paraId="2810738F" w14:textId="77777777" w:rsidR="005B5953" w:rsidRDefault="005B5953" w:rsidP="005B5953">
      <w:pPr>
        <w:spacing w:after="0" w:line="259" w:lineRule="auto"/>
        <w:jc w:val="both"/>
        <w:rPr>
          <w:rFonts w:ascii="Times New Roman" w:hAnsi="Times New Roman"/>
          <w:sz w:val="20"/>
          <w:szCs w:val="20"/>
        </w:rPr>
      </w:pPr>
    </w:p>
    <w:p w14:paraId="07E30CB3" w14:textId="28884FAB" w:rsidR="005B5953" w:rsidRDefault="005B5953" w:rsidP="005B5953">
      <w:pPr>
        <w:spacing w:after="0" w:line="259" w:lineRule="auto"/>
        <w:jc w:val="both"/>
        <w:rPr>
          <w:rFonts w:ascii="Times New Roman" w:hAnsi="Times New Roman"/>
          <w:sz w:val="20"/>
          <w:szCs w:val="20"/>
        </w:rPr>
      </w:pPr>
      <w:r w:rsidRPr="005B5953">
        <w:rPr>
          <w:rFonts w:ascii="Times New Roman" w:hAnsi="Times New Roman"/>
          <w:sz w:val="20"/>
          <w:szCs w:val="20"/>
        </w:rPr>
        <w:t>Our Company has not paid/ declared any dividend in last three years from date of this Prospectus. Our Company’s corporate actions</w:t>
      </w:r>
      <w:r>
        <w:rPr>
          <w:rFonts w:ascii="Times New Roman" w:hAnsi="Times New Roman"/>
          <w:sz w:val="20"/>
          <w:szCs w:val="20"/>
        </w:rPr>
        <w:t xml:space="preserve"> </w:t>
      </w:r>
      <w:r w:rsidRPr="005B5953">
        <w:rPr>
          <w:rFonts w:ascii="Times New Roman" w:hAnsi="Times New Roman"/>
          <w:sz w:val="20"/>
          <w:szCs w:val="20"/>
        </w:rPr>
        <w:t>pertaining to payment of dividends in the past are not to be taken as being indicative of the payment of dividends by our Company</w:t>
      </w:r>
      <w:r>
        <w:rPr>
          <w:rFonts w:ascii="Times New Roman" w:hAnsi="Times New Roman"/>
          <w:sz w:val="20"/>
          <w:szCs w:val="20"/>
        </w:rPr>
        <w:t xml:space="preserve"> </w:t>
      </w:r>
      <w:r w:rsidRPr="005B5953">
        <w:rPr>
          <w:rFonts w:ascii="Times New Roman" w:hAnsi="Times New Roman"/>
          <w:sz w:val="20"/>
          <w:szCs w:val="20"/>
        </w:rPr>
        <w:t>in the future.</w:t>
      </w:r>
    </w:p>
    <w:p w14:paraId="106509D2" w14:textId="77777777" w:rsidR="005B5953" w:rsidRDefault="005B5953">
      <w:pPr>
        <w:spacing w:after="160" w:line="259" w:lineRule="auto"/>
        <w:rPr>
          <w:rFonts w:ascii="Times New Roman" w:hAnsi="Times New Roman"/>
          <w:sz w:val="20"/>
          <w:szCs w:val="20"/>
        </w:rPr>
      </w:pPr>
      <w:r>
        <w:rPr>
          <w:rFonts w:ascii="Times New Roman" w:hAnsi="Times New Roman"/>
          <w:sz w:val="20"/>
          <w:szCs w:val="20"/>
        </w:rPr>
        <w:br w:type="page"/>
      </w:r>
    </w:p>
    <w:p w14:paraId="4D76931F" w14:textId="77777777" w:rsidR="005B5953" w:rsidRPr="007269C2" w:rsidRDefault="005B5953" w:rsidP="005B5953">
      <w:pPr>
        <w:spacing w:after="0"/>
        <w:jc w:val="center"/>
        <w:rPr>
          <w:rFonts w:ascii="Times New Roman" w:hAnsi="Times New Roman"/>
          <w:b/>
          <w:bCs/>
          <w:sz w:val="20"/>
          <w:szCs w:val="20"/>
          <w:u w:val="single"/>
        </w:rPr>
      </w:pPr>
      <w:r w:rsidRPr="007269C2">
        <w:rPr>
          <w:rFonts w:ascii="Times New Roman" w:hAnsi="Times New Roman"/>
          <w:b/>
          <w:bCs/>
          <w:sz w:val="20"/>
          <w:szCs w:val="20"/>
          <w:u w:val="single"/>
        </w:rPr>
        <w:lastRenderedPageBreak/>
        <w:t>SECTION VI FINANCIAL INFORMATION OF THE COMPANY</w:t>
      </w:r>
    </w:p>
    <w:p w14:paraId="58F6DE75" w14:textId="77777777" w:rsidR="005B5953" w:rsidRPr="007269C2" w:rsidRDefault="005B5953" w:rsidP="005B5953">
      <w:pPr>
        <w:spacing w:after="0"/>
        <w:jc w:val="center"/>
        <w:rPr>
          <w:rFonts w:ascii="Times New Roman" w:hAnsi="Times New Roman"/>
          <w:b/>
          <w:bCs/>
          <w:sz w:val="20"/>
          <w:szCs w:val="20"/>
          <w:u w:val="single"/>
        </w:rPr>
      </w:pPr>
    </w:p>
    <w:p w14:paraId="11C11250" w14:textId="77777777" w:rsidR="005B5953" w:rsidRPr="007269C2" w:rsidRDefault="005B5953" w:rsidP="005B5953">
      <w:pPr>
        <w:spacing w:after="0"/>
        <w:jc w:val="center"/>
        <w:rPr>
          <w:rFonts w:ascii="Times New Roman" w:hAnsi="Times New Roman"/>
          <w:b/>
          <w:bCs/>
          <w:sz w:val="20"/>
          <w:szCs w:val="20"/>
          <w:u w:val="single"/>
        </w:rPr>
      </w:pPr>
      <w:r w:rsidRPr="007269C2">
        <w:rPr>
          <w:rFonts w:ascii="Times New Roman" w:hAnsi="Times New Roman"/>
          <w:b/>
          <w:bCs/>
          <w:sz w:val="20"/>
          <w:szCs w:val="20"/>
          <w:u w:val="single"/>
        </w:rPr>
        <w:t>RESTATED FINANCIAL STATEMENTS</w:t>
      </w:r>
    </w:p>
    <w:p w14:paraId="36E83871" w14:textId="77777777" w:rsidR="005B5953" w:rsidRPr="005B12AE" w:rsidRDefault="005B5953" w:rsidP="005B5953">
      <w:pPr>
        <w:spacing w:after="0"/>
        <w:jc w:val="center"/>
        <w:rPr>
          <w:rFonts w:ascii="Times New Roman" w:hAnsi="Times New Roman"/>
          <w:b/>
          <w:bCs/>
          <w:sz w:val="20"/>
          <w:szCs w:val="20"/>
        </w:rPr>
      </w:pPr>
    </w:p>
    <w:p w14:paraId="05CA156E" w14:textId="77777777" w:rsidR="005B5953" w:rsidRPr="005B12AE" w:rsidRDefault="005B5953" w:rsidP="005B5953">
      <w:pPr>
        <w:spacing w:after="0"/>
        <w:jc w:val="center"/>
        <w:rPr>
          <w:rFonts w:ascii="Times New Roman" w:hAnsi="Times New Roman"/>
          <w:b/>
          <w:bCs/>
          <w:sz w:val="20"/>
          <w:szCs w:val="20"/>
        </w:rPr>
      </w:pPr>
      <w:r w:rsidRPr="005B12AE">
        <w:rPr>
          <w:rFonts w:ascii="Times New Roman" w:hAnsi="Times New Roman"/>
          <w:b/>
          <w:bCs/>
          <w:sz w:val="20"/>
          <w:szCs w:val="20"/>
        </w:rPr>
        <w:t>INDEPENDENT AUDITOR’S REPORT ON RESTATED FINANCIAL INFORMATION</w:t>
      </w:r>
    </w:p>
    <w:p w14:paraId="34A4D04A" w14:textId="77777777" w:rsidR="005B5953" w:rsidRPr="005B12AE" w:rsidRDefault="005B5953" w:rsidP="005B5953">
      <w:pPr>
        <w:spacing w:after="0"/>
        <w:jc w:val="center"/>
        <w:rPr>
          <w:rFonts w:ascii="Times New Roman" w:hAnsi="Times New Roman"/>
          <w:b/>
          <w:bCs/>
          <w:sz w:val="20"/>
          <w:szCs w:val="20"/>
        </w:rPr>
      </w:pPr>
    </w:p>
    <w:p w14:paraId="31D76A9F" w14:textId="77777777" w:rsidR="005B5953" w:rsidRPr="005B12AE" w:rsidRDefault="005B5953" w:rsidP="005B5953">
      <w:pPr>
        <w:spacing w:after="0" w:line="240" w:lineRule="auto"/>
        <w:rPr>
          <w:rFonts w:ascii="Times New Roman" w:hAnsi="Times New Roman"/>
          <w:sz w:val="20"/>
          <w:szCs w:val="20"/>
        </w:rPr>
      </w:pPr>
      <w:r w:rsidRPr="005B12AE">
        <w:rPr>
          <w:rFonts w:ascii="Times New Roman" w:hAnsi="Times New Roman"/>
          <w:sz w:val="20"/>
          <w:szCs w:val="20"/>
        </w:rPr>
        <w:t>To,</w:t>
      </w:r>
    </w:p>
    <w:p w14:paraId="30221108" w14:textId="77777777" w:rsidR="005B5953" w:rsidRPr="005B12AE" w:rsidRDefault="005B5953" w:rsidP="005B5953">
      <w:pPr>
        <w:spacing w:after="0" w:line="240" w:lineRule="auto"/>
        <w:rPr>
          <w:rFonts w:ascii="Times New Roman" w:hAnsi="Times New Roman"/>
          <w:sz w:val="20"/>
          <w:szCs w:val="20"/>
        </w:rPr>
      </w:pPr>
      <w:r w:rsidRPr="005B12AE">
        <w:rPr>
          <w:rFonts w:ascii="Times New Roman" w:hAnsi="Times New Roman"/>
          <w:sz w:val="20"/>
          <w:szCs w:val="20"/>
        </w:rPr>
        <w:t>The Members of</w:t>
      </w:r>
    </w:p>
    <w:p w14:paraId="25F42D62" w14:textId="77777777" w:rsidR="005B5953" w:rsidRPr="005B12AE" w:rsidRDefault="005B5953" w:rsidP="005B5953">
      <w:pPr>
        <w:spacing w:after="0" w:line="240" w:lineRule="auto"/>
        <w:rPr>
          <w:rFonts w:ascii="Times New Roman" w:hAnsi="Times New Roman"/>
          <w:b/>
          <w:bCs/>
          <w:sz w:val="20"/>
          <w:szCs w:val="20"/>
          <w:lang w:bidi="hi-IN"/>
        </w:rPr>
      </w:pPr>
      <w:r w:rsidRPr="005B12AE">
        <w:rPr>
          <w:rFonts w:ascii="Times New Roman" w:hAnsi="Times New Roman"/>
          <w:b/>
          <w:bCs/>
          <w:sz w:val="20"/>
          <w:szCs w:val="20"/>
          <w:lang w:bidi="hi-IN"/>
        </w:rPr>
        <w:t xml:space="preserve">Siyaram Recycling Industries Limited </w:t>
      </w:r>
    </w:p>
    <w:p w14:paraId="237DDB66" w14:textId="77777777" w:rsidR="005B5953" w:rsidRPr="005B12AE" w:rsidRDefault="005B5953" w:rsidP="005B5953">
      <w:pPr>
        <w:spacing w:after="0" w:line="240" w:lineRule="auto"/>
        <w:rPr>
          <w:rFonts w:ascii="Times New Roman" w:hAnsi="Times New Roman"/>
          <w:sz w:val="20"/>
          <w:szCs w:val="20"/>
          <w:lang w:bidi="hi-IN"/>
        </w:rPr>
      </w:pPr>
      <w:r w:rsidRPr="005B12AE">
        <w:rPr>
          <w:rFonts w:ascii="Times New Roman" w:hAnsi="Times New Roman"/>
          <w:sz w:val="20"/>
          <w:szCs w:val="20"/>
          <w:lang w:bidi="hi-IN"/>
        </w:rPr>
        <w:t>(Erstwhile known as Siyaram Impex Private Limited)</w:t>
      </w:r>
    </w:p>
    <w:p w14:paraId="2E56A6E1" w14:textId="77777777" w:rsidR="005B5953" w:rsidRPr="005B12AE" w:rsidRDefault="005B5953" w:rsidP="005B5953">
      <w:pPr>
        <w:pStyle w:val="Default"/>
        <w:jc w:val="both"/>
        <w:rPr>
          <w:b/>
          <w:sz w:val="20"/>
          <w:szCs w:val="20"/>
        </w:rPr>
      </w:pPr>
      <w:r w:rsidRPr="005B12AE">
        <w:rPr>
          <w:b/>
          <w:sz w:val="20"/>
          <w:szCs w:val="20"/>
        </w:rPr>
        <w:t xml:space="preserve">Plot No. 6 &amp; 7, Village: Lakhabaval </w:t>
      </w:r>
    </w:p>
    <w:p w14:paraId="4D4CE2E0" w14:textId="77777777" w:rsidR="005B5953" w:rsidRPr="005B12AE" w:rsidRDefault="005B5953" w:rsidP="005B5953">
      <w:pPr>
        <w:pStyle w:val="Default"/>
        <w:jc w:val="both"/>
        <w:rPr>
          <w:b/>
          <w:sz w:val="20"/>
          <w:szCs w:val="20"/>
        </w:rPr>
      </w:pPr>
      <w:r w:rsidRPr="005B12AE">
        <w:rPr>
          <w:b/>
          <w:sz w:val="20"/>
          <w:szCs w:val="20"/>
        </w:rPr>
        <w:t>Post: Khodiyar Colony, Jamnagar, Gujarat 361006</w:t>
      </w:r>
    </w:p>
    <w:p w14:paraId="19A87CC0" w14:textId="77777777" w:rsidR="005B5953" w:rsidRPr="005B12AE" w:rsidRDefault="005B5953" w:rsidP="005B5953">
      <w:pPr>
        <w:pStyle w:val="Default"/>
        <w:jc w:val="both"/>
        <w:rPr>
          <w:b/>
          <w:sz w:val="20"/>
          <w:szCs w:val="20"/>
        </w:rPr>
      </w:pPr>
    </w:p>
    <w:p w14:paraId="6FC68F43" w14:textId="77777777" w:rsidR="005B5953" w:rsidRPr="005B12AE" w:rsidRDefault="005B5953" w:rsidP="005B5953">
      <w:pPr>
        <w:spacing w:after="0" w:line="240" w:lineRule="auto"/>
        <w:jc w:val="both"/>
        <w:rPr>
          <w:rFonts w:ascii="Times New Roman" w:hAnsi="Times New Roman"/>
          <w:sz w:val="20"/>
          <w:szCs w:val="20"/>
        </w:rPr>
      </w:pPr>
      <w:r w:rsidRPr="005B12AE">
        <w:rPr>
          <w:rFonts w:ascii="Times New Roman" w:hAnsi="Times New Roman"/>
          <w:sz w:val="20"/>
          <w:szCs w:val="20"/>
        </w:rPr>
        <w:t>Dear Sir,</w:t>
      </w:r>
    </w:p>
    <w:p w14:paraId="2F73026A" w14:textId="77777777" w:rsidR="005B5953" w:rsidRPr="005B12AE" w:rsidRDefault="005B5953" w:rsidP="005B5953">
      <w:pPr>
        <w:spacing w:after="0" w:line="240" w:lineRule="auto"/>
        <w:jc w:val="both"/>
        <w:rPr>
          <w:rFonts w:ascii="Times New Roman" w:hAnsi="Times New Roman"/>
          <w:sz w:val="20"/>
          <w:szCs w:val="20"/>
        </w:rPr>
      </w:pPr>
    </w:p>
    <w:p w14:paraId="6A3066C2" w14:textId="77777777" w:rsidR="005B5953" w:rsidRPr="005B12AE" w:rsidRDefault="005B5953">
      <w:pPr>
        <w:pStyle w:val="ListParagraph"/>
        <w:numPr>
          <w:ilvl w:val="0"/>
          <w:numId w:val="335"/>
        </w:numPr>
        <w:spacing w:line="240" w:lineRule="auto"/>
        <w:ind w:left="450"/>
        <w:jc w:val="both"/>
        <w:rPr>
          <w:sz w:val="20"/>
          <w:szCs w:val="20"/>
        </w:rPr>
      </w:pPr>
      <w:r w:rsidRPr="005B12AE">
        <w:rPr>
          <w:sz w:val="20"/>
          <w:szCs w:val="20"/>
        </w:rPr>
        <w:t xml:space="preserve">We have examined the attached Restated Financial Statements of </w:t>
      </w:r>
      <w:r w:rsidRPr="005B12AE">
        <w:rPr>
          <w:b/>
          <w:bCs/>
          <w:sz w:val="20"/>
          <w:szCs w:val="20"/>
          <w:lang w:bidi="hi-IN"/>
        </w:rPr>
        <w:t xml:space="preserve">SIYARAM RECYCLING INDUSTRIES LIMITED </w:t>
      </w:r>
      <w:r w:rsidRPr="005B12AE">
        <w:rPr>
          <w:sz w:val="20"/>
          <w:szCs w:val="20"/>
          <w:lang w:bidi="hi-IN"/>
        </w:rPr>
        <w:t xml:space="preserve">(ERSTWHILE KNOWN AS SIYARAM IMPEX PRIVATE LIMITED) </w:t>
      </w:r>
      <w:r w:rsidRPr="005B12AE">
        <w:rPr>
          <w:b/>
          <w:bCs/>
          <w:sz w:val="20"/>
          <w:szCs w:val="20"/>
        </w:rPr>
        <w:t>(“the Company”)</w:t>
      </w:r>
      <w:r w:rsidRPr="005B12AE">
        <w:rPr>
          <w:sz w:val="20"/>
          <w:szCs w:val="20"/>
        </w:rPr>
        <w:t>, comprising the Restated Statement of Assets and Liabilities as at March 31, 2023, March 31, 2022 and March 31, 2021, the Restated Statements of Profit and Loss, the Restated Cash Flow Statement for the years ended March 31, 2023, March 31, 2022 and March 31, 2021, the Summary Statement of Significant Accounting Policies, the Notes and Annexures as forming part of these Restated Financial Statements (collectively, the “Restated Financial Information”), as approved by the Board of Directors of the Company at their meeting held on 12</w:t>
      </w:r>
      <w:r w:rsidRPr="005B12AE">
        <w:rPr>
          <w:sz w:val="20"/>
          <w:szCs w:val="20"/>
          <w:vertAlign w:val="superscript"/>
        </w:rPr>
        <w:t>th</w:t>
      </w:r>
      <w:r w:rsidRPr="005B12AE">
        <w:rPr>
          <w:sz w:val="20"/>
          <w:szCs w:val="20"/>
        </w:rPr>
        <w:t xml:space="preserve"> September, 2023 for the purpose of inclusion in the Draft Offer Document/ Offer Document prepared by the Company in connection with its proposed SME Initial Public Offer of equity shares (“SME IPO”) prepared in terms of the requirements of:</w:t>
      </w:r>
    </w:p>
    <w:p w14:paraId="5DE320E7" w14:textId="77777777" w:rsidR="005B5953" w:rsidRPr="005B12AE" w:rsidRDefault="005B5953" w:rsidP="005B5953">
      <w:pPr>
        <w:pStyle w:val="ListParagraph"/>
        <w:spacing w:line="240" w:lineRule="auto"/>
        <w:jc w:val="both"/>
        <w:rPr>
          <w:sz w:val="20"/>
          <w:szCs w:val="20"/>
        </w:rPr>
      </w:pPr>
    </w:p>
    <w:p w14:paraId="6D72247E" w14:textId="77777777" w:rsidR="005B5953" w:rsidRPr="005B12AE" w:rsidRDefault="005B5953" w:rsidP="005B5953">
      <w:pPr>
        <w:pStyle w:val="ListParagraph"/>
        <w:spacing w:line="240" w:lineRule="auto"/>
        <w:jc w:val="both"/>
        <w:rPr>
          <w:sz w:val="20"/>
          <w:szCs w:val="20"/>
        </w:rPr>
      </w:pPr>
      <w:r w:rsidRPr="005B12AE">
        <w:rPr>
          <w:sz w:val="20"/>
          <w:szCs w:val="20"/>
        </w:rPr>
        <w:t>a) Section 26 of Part I of Chapter III of the Companies Act, 2013 (the “Act");</w:t>
      </w:r>
    </w:p>
    <w:p w14:paraId="4EEEE92A" w14:textId="77777777" w:rsidR="005B5953" w:rsidRPr="005B12AE" w:rsidRDefault="005B5953" w:rsidP="005B5953">
      <w:pPr>
        <w:pStyle w:val="ListParagraph"/>
        <w:spacing w:line="240" w:lineRule="auto"/>
        <w:jc w:val="both"/>
        <w:rPr>
          <w:sz w:val="20"/>
          <w:szCs w:val="20"/>
        </w:rPr>
      </w:pPr>
    </w:p>
    <w:p w14:paraId="3E73BF9B" w14:textId="77777777" w:rsidR="005B5953" w:rsidRPr="005B12AE" w:rsidRDefault="005B5953" w:rsidP="005B5953">
      <w:pPr>
        <w:pStyle w:val="ListParagraph"/>
        <w:spacing w:line="240" w:lineRule="auto"/>
        <w:jc w:val="both"/>
        <w:rPr>
          <w:sz w:val="20"/>
          <w:szCs w:val="20"/>
        </w:rPr>
      </w:pPr>
      <w:r w:rsidRPr="005B12AE">
        <w:rPr>
          <w:sz w:val="20"/>
          <w:szCs w:val="20"/>
        </w:rPr>
        <w:t>b) The Securities and Exchange Board of India (Issue of Capital and Disclosure Requirements) Regulations, 2018, as amended ("ICDR Regulations"); and</w:t>
      </w:r>
    </w:p>
    <w:p w14:paraId="798A84DB" w14:textId="77777777" w:rsidR="005B5953" w:rsidRPr="005B12AE" w:rsidRDefault="005B5953" w:rsidP="005B5953">
      <w:pPr>
        <w:pStyle w:val="ListParagraph"/>
        <w:spacing w:line="240" w:lineRule="auto"/>
        <w:jc w:val="both"/>
        <w:rPr>
          <w:sz w:val="20"/>
          <w:szCs w:val="20"/>
        </w:rPr>
      </w:pPr>
    </w:p>
    <w:p w14:paraId="5217C6CF" w14:textId="77777777" w:rsidR="005B5953" w:rsidRPr="005B12AE" w:rsidRDefault="005B5953" w:rsidP="005B5953">
      <w:pPr>
        <w:pStyle w:val="ListParagraph"/>
        <w:spacing w:line="240" w:lineRule="auto"/>
        <w:jc w:val="both"/>
        <w:rPr>
          <w:sz w:val="20"/>
          <w:szCs w:val="20"/>
        </w:rPr>
      </w:pPr>
      <w:r w:rsidRPr="005B12AE">
        <w:rPr>
          <w:sz w:val="20"/>
          <w:szCs w:val="20"/>
        </w:rPr>
        <w:t>c) The Guidance Note on Reports in Company Prospectuses (Revised 2019) issued by the Institute of Chartered Accountants of India (“ICAI”), as amended from time to time (the “Guidance Note”).</w:t>
      </w:r>
    </w:p>
    <w:p w14:paraId="7532D9C6" w14:textId="77777777" w:rsidR="005B5953" w:rsidRPr="005B12AE" w:rsidRDefault="005B5953" w:rsidP="005B5953">
      <w:pPr>
        <w:pStyle w:val="ListParagraph"/>
        <w:spacing w:line="240" w:lineRule="auto"/>
        <w:jc w:val="both"/>
        <w:rPr>
          <w:sz w:val="20"/>
          <w:szCs w:val="20"/>
        </w:rPr>
      </w:pPr>
    </w:p>
    <w:p w14:paraId="3AD97452" w14:textId="77777777" w:rsidR="005B5953" w:rsidRPr="005B12AE" w:rsidRDefault="005B5953">
      <w:pPr>
        <w:pStyle w:val="ListParagraph"/>
        <w:numPr>
          <w:ilvl w:val="0"/>
          <w:numId w:val="335"/>
        </w:numPr>
        <w:spacing w:line="240" w:lineRule="auto"/>
        <w:ind w:left="450"/>
        <w:jc w:val="both"/>
        <w:rPr>
          <w:sz w:val="20"/>
          <w:szCs w:val="20"/>
        </w:rPr>
      </w:pPr>
      <w:r w:rsidRPr="005B12AE">
        <w:rPr>
          <w:sz w:val="20"/>
          <w:szCs w:val="20"/>
        </w:rPr>
        <w:t xml:space="preserve">The Company’s Board of Directors is responsible for the preparation of the Restated Financial Information for the purpose of inclusion in the Draft Offer Document/Offer Document to be filed with Securities and Exchange Board of India, relevant stock exchange and Registrar of Companies, Ahmedabad in connection with the proposed SME IPO. The Restated Financial Information has been prepared by the management of the Company on the basis of preparation stated in Annexure IV of the Restated Financial Information. </w:t>
      </w:r>
      <w:r w:rsidRPr="005B12AE">
        <w:rPr>
          <w:rFonts w:eastAsia="Verdana"/>
          <w:sz w:val="20"/>
          <w:szCs w:val="20"/>
        </w:rPr>
        <w:t>The Board of Directors responsibility includes designing, implementing and maintaining adequate internal control relevant to the preparation and presentation of the Restated Financial Information. The Board of Directors is also responsible for identifying and ensuring that the Company complies with the Companies Act, (ICDR) Regulations and the Guidance Note.</w:t>
      </w:r>
    </w:p>
    <w:p w14:paraId="43503D23" w14:textId="77777777" w:rsidR="005B5953" w:rsidRPr="005B12AE" w:rsidRDefault="005B5953" w:rsidP="005B5953">
      <w:pPr>
        <w:pStyle w:val="ListParagraph"/>
        <w:spacing w:line="240" w:lineRule="auto"/>
        <w:jc w:val="both"/>
        <w:rPr>
          <w:sz w:val="20"/>
          <w:szCs w:val="20"/>
        </w:rPr>
      </w:pPr>
    </w:p>
    <w:p w14:paraId="3C5BBE97" w14:textId="77777777" w:rsidR="005B5953" w:rsidRPr="005B12AE" w:rsidRDefault="005B5953">
      <w:pPr>
        <w:pStyle w:val="ListParagraph"/>
        <w:numPr>
          <w:ilvl w:val="0"/>
          <w:numId w:val="335"/>
        </w:numPr>
        <w:spacing w:line="240" w:lineRule="auto"/>
        <w:ind w:left="450"/>
        <w:jc w:val="both"/>
        <w:rPr>
          <w:sz w:val="20"/>
          <w:szCs w:val="20"/>
        </w:rPr>
      </w:pPr>
      <w:r w:rsidRPr="005B12AE">
        <w:rPr>
          <w:sz w:val="20"/>
          <w:szCs w:val="20"/>
        </w:rPr>
        <w:t>We,</w:t>
      </w:r>
      <w:r w:rsidRPr="005B12AE">
        <w:rPr>
          <w:b/>
          <w:sz w:val="20"/>
          <w:szCs w:val="20"/>
        </w:rPr>
        <w:t xml:space="preserve"> M/s Kamlesh Rathod &amp; Associates</w:t>
      </w:r>
      <w:r w:rsidRPr="005B12AE">
        <w:rPr>
          <w:sz w:val="20"/>
          <w:szCs w:val="20"/>
        </w:rPr>
        <w:t xml:space="preserve"> </w:t>
      </w:r>
      <w:r w:rsidRPr="005B12AE">
        <w:rPr>
          <w:b/>
          <w:bCs/>
          <w:sz w:val="20"/>
          <w:szCs w:val="20"/>
        </w:rPr>
        <w:t>Chartered Accountants</w:t>
      </w:r>
      <w:r w:rsidRPr="005B12AE">
        <w:rPr>
          <w:sz w:val="20"/>
          <w:szCs w:val="20"/>
        </w:rPr>
        <w:t xml:space="preserve"> have been subjected to the peer review process of the Institute of Chartered Accountants of India (“</w:t>
      </w:r>
      <w:r w:rsidRPr="005B12AE">
        <w:rPr>
          <w:b/>
          <w:bCs/>
          <w:sz w:val="20"/>
          <w:szCs w:val="20"/>
        </w:rPr>
        <w:t>ICAI</w:t>
      </w:r>
      <w:r w:rsidRPr="005B12AE">
        <w:rPr>
          <w:sz w:val="20"/>
          <w:szCs w:val="20"/>
        </w:rPr>
        <w:t xml:space="preserve">”) and holds the peer review certificate dated 15.07.2021 valid till 31.07.2024. We confirm that there is no express refusal by the peer review board of ICAI to renew the certificate and the process to renew the peer review certificate has been initiated by us. </w:t>
      </w:r>
    </w:p>
    <w:p w14:paraId="26AB8D6F" w14:textId="77777777" w:rsidR="005B5953" w:rsidRPr="005B12AE" w:rsidRDefault="005B5953" w:rsidP="005B5953">
      <w:pPr>
        <w:pStyle w:val="ListParagraph"/>
        <w:spacing w:line="240" w:lineRule="auto"/>
        <w:jc w:val="both"/>
        <w:rPr>
          <w:sz w:val="20"/>
          <w:szCs w:val="20"/>
        </w:rPr>
      </w:pPr>
    </w:p>
    <w:p w14:paraId="1E5DA85A" w14:textId="77777777" w:rsidR="005B5953" w:rsidRPr="005B12AE" w:rsidRDefault="005B5953">
      <w:pPr>
        <w:pStyle w:val="ListParagraph"/>
        <w:numPr>
          <w:ilvl w:val="0"/>
          <w:numId w:val="335"/>
        </w:numPr>
        <w:spacing w:line="240" w:lineRule="auto"/>
        <w:ind w:left="450"/>
        <w:jc w:val="both"/>
        <w:rPr>
          <w:sz w:val="20"/>
          <w:szCs w:val="20"/>
        </w:rPr>
      </w:pPr>
      <w:r w:rsidRPr="005B12AE">
        <w:rPr>
          <w:sz w:val="20"/>
          <w:szCs w:val="20"/>
        </w:rPr>
        <w:t>We have examined such Restated Financial Information taking into consideration:</w:t>
      </w:r>
    </w:p>
    <w:p w14:paraId="0A10540C" w14:textId="77777777" w:rsidR="005B5953" w:rsidRPr="005B12AE" w:rsidRDefault="005B5953" w:rsidP="005B5953">
      <w:pPr>
        <w:spacing w:after="0" w:line="240" w:lineRule="auto"/>
        <w:ind w:left="720"/>
        <w:jc w:val="both"/>
        <w:rPr>
          <w:rFonts w:ascii="Times New Roman" w:hAnsi="Times New Roman"/>
          <w:color w:val="000000"/>
          <w:sz w:val="20"/>
          <w:szCs w:val="20"/>
        </w:rPr>
      </w:pPr>
    </w:p>
    <w:p w14:paraId="2F75118C" w14:textId="77777777" w:rsidR="005B5953" w:rsidRPr="005B12AE" w:rsidRDefault="005B5953">
      <w:pPr>
        <w:numPr>
          <w:ilvl w:val="4"/>
          <w:numId w:val="336"/>
        </w:numPr>
        <w:spacing w:after="0" w:line="240" w:lineRule="auto"/>
        <w:ind w:left="900" w:hanging="360"/>
        <w:jc w:val="both"/>
        <w:rPr>
          <w:rFonts w:ascii="Times New Roman" w:eastAsia="Verdana" w:hAnsi="Times New Roman"/>
          <w:sz w:val="20"/>
          <w:szCs w:val="20"/>
        </w:rPr>
      </w:pPr>
      <w:r w:rsidRPr="005B12AE">
        <w:rPr>
          <w:rFonts w:ascii="Times New Roman" w:eastAsia="Verdana" w:hAnsi="Times New Roman"/>
          <w:sz w:val="20"/>
          <w:szCs w:val="20"/>
        </w:rPr>
        <w:t>The terms of reference and terms of our engagement agreed upon with you in accordance with our engagement letter dated 02</w:t>
      </w:r>
      <w:r w:rsidRPr="005B12AE">
        <w:rPr>
          <w:rFonts w:ascii="Times New Roman" w:eastAsia="Verdana" w:hAnsi="Times New Roman"/>
          <w:sz w:val="20"/>
          <w:szCs w:val="20"/>
          <w:vertAlign w:val="superscript"/>
        </w:rPr>
        <w:t>nd</w:t>
      </w:r>
      <w:r w:rsidRPr="005B12AE">
        <w:rPr>
          <w:rFonts w:ascii="Times New Roman" w:eastAsia="Verdana" w:hAnsi="Times New Roman"/>
          <w:sz w:val="20"/>
          <w:szCs w:val="20"/>
        </w:rPr>
        <w:t xml:space="preserve"> July, 2023 in connection with the proposed IPO of the Company;</w:t>
      </w:r>
    </w:p>
    <w:p w14:paraId="392F02C0" w14:textId="77777777" w:rsidR="005B5953" w:rsidRPr="005B12AE" w:rsidRDefault="005B5953" w:rsidP="005B5953">
      <w:pPr>
        <w:spacing w:after="0" w:line="240" w:lineRule="auto"/>
        <w:ind w:left="900"/>
        <w:jc w:val="both"/>
        <w:rPr>
          <w:rFonts w:ascii="Times New Roman" w:eastAsia="Verdana" w:hAnsi="Times New Roman"/>
          <w:sz w:val="20"/>
          <w:szCs w:val="20"/>
        </w:rPr>
      </w:pPr>
    </w:p>
    <w:p w14:paraId="5B893FE3" w14:textId="77777777" w:rsidR="005B5953" w:rsidRPr="005B12AE" w:rsidRDefault="005B5953">
      <w:pPr>
        <w:numPr>
          <w:ilvl w:val="4"/>
          <w:numId w:val="336"/>
        </w:numPr>
        <w:spacing w:after="0" w:line="240" w:lineRule="auto"/>
        <w:ind w:left="900" w:hanging="360"/>
        <w:jc w:val="both"/>
        <w:rPr>
          <w:rFonts w:ascii="Times New Roman" w:eastAsia="Verdana" w:hAnsi="Times New Roman"/>
          <w:sz w:val="20"/>
          <w:szCs w:val="20"/>
        </w:rPr>
      </w:pPr>
      <w:r w:rsidRPr="005B12AE">
        <w:rPr>
          <w:rFonts w:ascii="Times New Roman" w:eastAsia="Verdana" w:hAnsi="Times New Roman"/>
          <w:sz w:val="20"/>
          <w:szCs w:val="20"/>
        </w:rPr>
        <w:t xml:space="preserve">The Guidance Note. </w:t>
      </w:r>
      <w:r w:rsidRPr="005B12AE">
        <w:rPr>
          <w:rFonts w:ascii="Times New Roman" w:hAnsi="Times New Roman"/>
          <w:sz w:val="20"/>
          <w:szCs w:val="20"/>
        </w:rPr>
        <w:t>The Guidance Note also requires that we comply with the ethical requirements of the Code of Ethics issued by the ICAI;</w:t>
      </w:r>
    </w:p>
    <w:p w14:paraId="3B64D3E3" w14:textId="77777777" w:rsidR="005B5953" w:rsidRPr="005B12AE" w:rsidRDefault="005B5953" w:rsidP="005B5953">
      <w:pPr>
        <w:spacing w:after="0" w:line="240" w:lineRule="auto"/>
        <w:ind w:left="900"/>
        <w:jc w:val="both"/>
        <w:rPr>
          <w:rFonts w:ascii="Times New Roman" w:eastAsia="Verdana" w:hAnsi="Times New Roman"/>
          <w:sz w:val="20"/>
          <w:szCs w:val="20"/>
        </w:rPr>
      </w:pPr>
    </w:p>
    <w:p w14:paraId="26217EF0" w14:textId="77777777" w:rsidR="005B5953" w:rsidRPr="005B12AE" w:rsidRDefault="005B5953">
      <w:pPr>
        <w:numPr>
          <w:ilvl w:val="4"/>
          <w:numId w:val="336"/>
        </w:numPr>
        <w:spacing w:after="0" w:line="240" w:lineRule="auto"/>
        <w:ind w:left="900" w:hanging="360"/>
        <w:jc w:val="both"/>
        <w:rPr>
          <w:rFonts w:ascii="Times New Roman" w:eastAsia="Verdana" w:hAnsi="Times New Roman"/>
          <w:sz w:val="20"/>
          <w:szCs w:val="20"/>
        </w:rPr>
      </w:pPr>
      <w:r w:rsidRPr="005B12AE">
        <w:rPr>
          <w:rFonts w:ascii="Times New Roman" w:hAnsi="Times New Roman"/>
          <w:sz w:val="20"/>
          <w:szCs w:val="20"/>
        </w:rPr>
        <w:t>Concepts of test checks and materiality to obtain reasonable assurance based on verification of evidence supporting the Restated Financial Information; and</w:t>
      </w:r>
    </w:p>
    <w:p w14:paraId="6E0F7DFF" w14:textId="77777777" w:rsidR="005B5953" w:rsidRPr="005B12AE" w:rsidRDefault="005B5953" w:rsidP="005B5953">
      <w:pPr>
        <w:spacing w:after="0" w:line="240" w:lineRule="auto"/>
        <w:ind w:left="900"/>
        <w:jc w:val="both"/>
        <w:rPr>
          <w:rFonts w:ascii="Times New Roman" w:eastAsia="Verdana" w:hAnsi="Times New Roman"/>
          <w:sz w:val="20"/>
          <w:szCs w:val="20"/>
        </w:rPr>
      </w:pPr>
    </w:p>
    <w:p w14:paraId="6361A468" w14:textId="77777777" w:rsidR="005B5953" w:rsidRPr="005B12AE" w:rsidRDefault="005B5953">
      <w:pPr>
        <w:numPr>
          <w:ilvl w:val="4"/>
          <w:numId w:val="336"/>
        </w:numPr>
        <w:spacing w:after="0" w:line="240" w:lineRule="auto"/>
        <w:ind w:left="900" w:hanging="360"/>
        <w:jc w:val="both"/>
        <w:rPr>
          <w:rFonts w:ascii="Times New Roman" w:eastAsia="Verdana" w:hAnsi="Times New Roman"/>
          <w:sz w:val="20"/>
          <w:szCs w:val="20"/>
        </w:rPr>
      </w:pPr>
      <w:r w:rsidRPr="005B12AE">
        <w:rPr>
          <w:rFonts w:ascii="Times New Roman" w:hAnsi="Times New Roman"/>
          <w:sz w:val="20"/>
          <w:szCs w:val="20"/>
        </w:rPr>
        <w:t>The requirements of Section 26 of the Act and the ICDR Regulations. Our work was performed solely to assist you in meeting your responsibilities in relation to your compliance with the Act, the ICDR Regulations and the Guidance Note in connection with the IPO.</w:t>
      </w:r>
    </w:p>
    <w:p w14:paraId="33ED24E4" w14:textId="77777777" w:rsidR="005B5953" w:rsidRPr="005B12AE" w:rsidRDefault="005B5953" w:rsidP="005B5953">
      <w:pPr>
        <w:pStyle w:val="ListParagraph"/>
        <w:spacing w:line="240" w:lineRule="auto"/>
        <w:jc w:val="both"/>
        <w:rPr>
          <w:sz w:val="20"/>
          <w:szCs w:val="20"/>
        </w:rPr>
      </w:pPr>
    </w:p>
    <w:p w14:paraId="2BAD0304" w14:textId="77777777" w:rsidR="005B5953" w:rsidRPr="005B12AE" w:rsidRDefault="005B5953">
      <w:pPr>
        <w:pStyle w:val="ListParagraph"/>
        <w:numPr>
          <w:ilvl w:val="0"/>
          <w:numId w:val="335"/>
        </w:numPr>
        <w:spacing w:line="240" w:lineRule="auto"/>
        <w:ind w:left="450"/>
        <w:jc w:val="both"/>
        <w:rPr>
          <w:sz w:val="20"/>
          <w:szCs w:val="20"/>
        </w:rPr>
      </w:pPr>
      <w:r w:rsidRPr="005B12AE">
        <w:rPr>
          <w:sz w:val="20"/>
          <w:szCs w:val="20"/>
        </w:rPr>
        <w:lastRenderedPageBreak/>
        <w:t>These Restated Financial Information have been compiled by the management from the Audited Financial Statements of the Company for the period ended 31st March 2023, 31st March 2022 and 31st March 2021 which has been approved by the Board of Directors. The financial statements of the Company for the year ended March 31, 2023 March 31, 2022 and March 31, 2021 has been audited by us.</w:t>
      </w:r>
    </w:p>
    <w:p w14:paraId="27596F2C" w14:textId="77777777" w:rsidR="005B5953" w:rsidRPr="005B12AE" w:rsidRDefault="005B5953" w:rsidP="005B5953">
      <w:pPr>
        <w:suppressAutoHyphens/>
        <w:autoSpaceDE w:val="0"/>
        <w:autoSpaceDN w:val="0"/>
        <w:adjustRightInd w:val="0"/>
        <w:spacing w:after="0" w:line="240" w:lineRule="auto"/>
        <w:ind w:left="90"/>
        <w:jc w:val="both"/>
        <w:textAlignment w:val="center"/>
        <w:rPr>
          <w:rFonts w:ascii="Times New Roman" w:hAnsi="Times New Roman"/>
          <w:color w:val="000000"/>
          <w:sz w:val="20"/>
          <w:szCs w:val="20"/>
        </w:rPr>
      </w:pPr>
    </w:p>
    <w:p w14:paraId="2D0A9FBC" w14:textId="77777777" w:rsidR="005B5953" w:rsidRPr="005B12AE" w:rsidRDefault="005B5953">
      <w:pPr>
        <w:pStyle w:val="ListParagraph"/>
        <w:numPr>
          <w:ilvl w:val="0"/>
          <w:numId w:val="335"/>
        </w:numPr>
        <w:spacing w:line="240" w:lineRule="auto"/>
        <w:ind w:left="450"/>
        <w:jc w:val="both"/>
        <w:rPr>
          <w:sz w:val="20"/>
          <w:szCs w:val="20"/>
        </w:rPr>
      </w:pPr>
      <w:r w:rsidRPr="005B12AE">
        <w:rPr>
          <w:sz w:val="20"/>
          <w:szCs w:val="20"/>
        </w:rPr>
        <w:t>For the purpose of our examination, we have relied on:</w:t>
      </w:r>
    </w:p>
    <w:p w14:paraId="0B9EC458" w14:textId="77777777" w:rsidR="005B5953" w:rsidRPr="005B12AE" w:rsidRDefault="005B5953" w:rsidP="005B5953">
      <w:pPr>
        <w:pStyle w:val="ListParagraph"/>
        <w:spacing w:line="240" w:lineRule="auto"/>
        <w:ind w:left="450"/>
        <w:jc w:val="both"/>
        <w:rPr>
          <w:sz w:val="20"/>
          <w:szCs w:val="20"/>
        </w:rPr>
      </w:pPr>
    </w:p>
    <w:p w14:paraId="64DF1DA9" w14:textId="77777777" w:rsidR="005B5953" w:rsidRPr="005B12AE" w:rsidRDefault="005B5953">
      <w:pPr>
        <w:pStyle w:val="ListParagraph"/>
        <w:numPr>
          <w:ilvl w:val="8"/>
          <w:numId w:val="336"/>
        </w:numPr>
        <w:spacing w:line="240" w:lineRule="auto"/>
        <w:ind w:left="810" w:hanging="270"/>
        <w:jc w:val="both"/>
        <w:rPr>
          <w:sz w:val="20"/>
          <w:szCs w:val="20"/>
        </w:rPr>
      </w:pPr>
      <w:r w:rsidRPr="005B12AE">
        <w:rPr>
          <w:sz w:val="20"/>
          <w:szCs w:val="20"/>
        </w:rPr>
        <w:t xml:space="preserve">Auditors’ reports issued by us dated 05th September, 2023, 02nd September, 2022, and 19th November, 2021, on the financial statements of the Company as at and for the period ended 31st March 2023, 31st March 2022 and 31st March 2021 respectively as referred in Paragraph 5 above; </w:t>
      </w:r>
    </w:p>
    <w:p w14:paraId="5E81D75A" w14:textId="77777777" w:rsidR="005B5953" w:rsidRPr="005B12AE" w:rsidRDefault="005B5953" w:rsidP="005B5953">
      <w:pPr>
        <w:pStyle w:val="ListParagraph"/>
        <w:spacing w:line="240" w:lineRule="auto"/>
        <w:ind w:left="450"/>
        <w:jc w:val="both"/>
        <w:rPr>
          <w:sz w:val="20"/>
          <w:szCs w:val="20"/>
        </w:rPr>
      </w:pPr>
    </w:p>
    <w:p w14:paraId="362F744F" w14:textId="77777777" w:rsidR="005B5953" w:rsidRPr="005B12AE" w:rsidRDefault="005B5953">
      <w:pPr>
        <w:pStyle w:val="ListParagraph"/>
        <w:numPr>
          <w:ilvl w:val="0"/>
          <w:numId w:val="335"/>
        </w:numPr>
        <w:spacing w:line="240" w:lineRule="auto"/>
        <w:ind w:left="450"/>
        <w:jc w:val="both"/>
        <w:rPr>
          <w:sz w:val="20"/>
          <w:szCs w:val="20"/>
        </w:rPr>
      </w:pPr>
      <w:r w:rsidRPr="005B12AE">
        <w:rPr>
          <w:sz w:val="20"/>
          <w:szCs w:val="20"/>
        </w:rPr>
        <w:t xml:space="preserve">Based on our examination and according to the information and explanations given to us, we report that the Restated Financial Information have been prepared: </w:t>
      </w:r>
    </w:p>
    <w:p w14:paraId="558DC1A8" w14:textId="77777777" w:rsidR="005B5953" w:rsidRPr="005B12AE" w:rsidRDefault="005B5953" w:rsidP="005B5953">
      <w:pPr>
        <w:spacing w:after="0" w:line="240" w:lineRule="auto"/>
        <w:ind w:left="720"/>
        <w:jc w:val="both"/>
        <w:rPr>
          <w:rFonts w:ascii="Times New Roman" w:hAnsi="Times New Roman"/>
          <w:color w:val="000000"/>
          <w:sz w:val="20"/>
          <w:szCs w:val="20"/>
        </w:rPr>
      </w:pPr>
    </w:p>
    <w:p w14:paraId="3A4B2465" w14:textId="77777777" w:rsidR="005B5953" w:rsidRPr="005B12AE" w:rsidRDefault="005B5953">
      <w:pPr>
        <w:pStyle w:val="ListParagraph"/>
        <w:numPr>
          <w:ilvl w:val="0"/>
          <w:numId w:val="338"/>
        </w:numPr>
        <w:spacing w:line="240" w:lineRule="auto"/>
        <w:ind w:left="900" w:hanging="270"/>
        <w:jc w:val="both"/>
        <w:rPr>
          <w:sz w:val="20"/>
          <w:szCs w:val="20"/>
        </w:rPr>
      </w:pPr>
      <w:r w:rsidRPr="005B12AE">
        <w:rPr>
          <w:sz w:val="20"/>
          <w:szCs w:val="20"/>
        </w:rPr>
        <w:t xml:space="preserve">after incorporating adjustments for the changes in accounting policies and regrouping/reclassifications retrospectively, if any in the financial years/period ended March 31, 2023, March 31, 2022 and March 31, 2021 to reflect the same accounting treatment as per the accounting policies and grouping/classifications; and </w:t>
      </w:r>
    </w:p>
    <w:p w14:paraId="6FC012C7" w14:textId="77777777" w:rsidR="005B5953" w:rsidRPr="005B12AE" w:rsidRDefault="005B5953" w:rsidP="005B5953">
      <w:pPr>
        <w:pStyle w:val="ListParagraph"/>
        <w:spacing w:line="240" w:lineRule="auto"/>
        <w:ind w:left="810"/>
        <w:jc w:val="both"/>
        <w:rPr>
          <w:sz w:val="20"/>
          <w:szCs w:val="20"/>
        </w:rPr>
      </w:pPr>
    </w:p>
    <w:p w14:paraId="369D3F33" w14:textId="77777777" w:rsidR="005B5953" w:rsidRPr="005B12AE" w:rsidRDefault="005B5953">
      <w:pPr>
        <w:pStyle w:val="ListParagraph"/>
        <w:numPr>
          <w:ilvl w:val="0"/>
          <w:numId w:val="338"/>
        </w:numPr>
        <w:spacing w:line="240" w:lineRule="auto"/>
        <w:ind w:left="900" w:hanging="270"/>
        <w:jc w:val="both"/>
        <w:rPr>
          <w:sz w:val="20"/>
          <w:szCs w:val="20"/>
        </w:rPr>
      </w:pPr>
      <w:r w:rsidRPr="005B12AE">
        <w:rPr>
          <w:sz w:val="20"/>
          <w:szCs w:val="20"/>
        </w:rPr>
        <w:t>in accordance with the Act, ICDR Regulations and the Guidance Note.</w:t>
      </w:r>
    </w:p>
    <w:p w14:paraId="498E5860" w14:textId="77777777" w:rsidR="005B5953" w:rsidRPr="005B12AE" w:rsidRDefault="005B5953" w:rsidP="005B5953">
      <w:pPr>
        <w:pStyle w:val="ListParagraph"/>
        <w:spacing w:line="240" w:lineRule="auto"/>
        <w:jc w:val="both"/>
        <w:rPr>
          <w:sz w:val="20"/>
          <w:szCs w:val="20"/>
        </w:rPr>
      </w:pPr>
    </w:p>
    <w:p w14:paraId="74E13456" w14:textId="77777777" w:rsidR="005B5953" w:rsidRPr="005B12AE" w:rsidRDefault="005B5953">
      <w:pPr>
        <w:pStyle w:val="ListParagraph"/>
        <w:numPr>
          <w:ilvl w:val="0"/>
          <w:numId w:val="335"/>
        </w:numPr>
        <w:spacing w:line="240" w:lineRule="auto"/>
        <w:ind w:left="450"/>
        <w:jc w:val="both"/>
        <w:rPr>
          <w:rFonts w:eastAsia="Verdana"/>
          <w:sz w:val="20"/>
          <w:szCs w:val="20"/>
        </w:rPr>
      </w:pPr>
      <w:r w:rsidRPr="005B12AE">
        <w:rPr>
          <w:rFonts w:eastAsia="Verdana"/>
          <w:sz w:val="20"/>
          <w:szCs w:val="20"/>
        </w:rPr>
        <w:t xml:space="preserve">We have also examined the following Notes to the Restated financial information of the Company set out in the Annexure V, </w:t>
      </w:r>
      <w:r w:rsidRPr="005B12AE">
        <w:rPr>
          <w:sz w:val="20"/>
          <w:szCs w:val="20"/>
        </w:rPr>
        <w:t>prepared</w:t>
      </w:r>
      <w:r w:rsidRPr="005B12AE">
        <w:rPr>
          <w:rFonts w:eastAsia="Verdana"/>
          <w:sz w:val="20"/>
          <w:szCs w:val="20"/>
        </w:rPr>
        <w:t xml:space="preserve"> by the management and approved by the Board of Directors on 12</w:t>
      </w:r>
      <w:r w:rsidRPr="005B12AE">
        <w:rPr>
          <w:rFonts w:eastAsia="Verdana"/>
          <w:sz w:val="20"/>
          <w:szCs w:val="20"/>
          <w:vertAlign w:val="superscript"/>
        </w:rPr>
        <w:t>th</w:t>
      </w:r>
      <w:r w:rsidRPr="005B12AE">
        <w:rPr>
          <w:rFonts w:eastAsia="Verdana"/>
          <w:sz w:val="20"/>
          <w:szCs w:val="20"/>
        </w:rPr>
        <w:t xml:space="preserve"> September, 2023 for the years/period ended March 31, 2023, March 31, 2022 and March 31, 2021.</w:t>
      </w:r>
    </w:p>
    <w:p w14:paraId="7EA1C2CC" w14:textId="77777777" w:rsidR="005B5953" w:rsidRPr="005B12AE" w:rsidRDefault="005B5953" w:rsidP="005B5953">
      <w:pPr>
        <w:spacing w:after="0" w:line="240" w:lineRule="auto"/>
        <w:jc w:val="both"/>
        <w:rPr>
          <w:rFonts w:ascii="Times New Roman" w:eastAsia="Verdana" w:hAnsi="Times New Roman"/>
          <w:sz w:val="20"/>
          <w:szCs w:val="20"/>
        </w:rPr>
      </w:pPr>
    </w:p>
    <w:p w14:paraId="1EBAFA2E" w14:textId="77777777" w:rsidR="005B5953" w:rsidRPr="005B12AE" w:rsidRDefault="005B5953" w:rsidP="005B5953">
      <w:pPr>
        <w:spacing w:after="0" w:line="240" w:lineRule="auto"/>
        <w:ind w:firstLine="360"/>
        <w:jc w:val="both"/>
        <w:rPr>
          <w:rFonts w:ascii="Times New Roman" w:hAnsi="Times New Roman"/>
          <w:sz w:val="20"/>
          <w:szCs w:val="20"/>
        </w:rPr>
      </w:pPr>
      <w:r w:rsidRPr="005B12AE">
        <w:rPr>
          <w:rFonts w:ascii="Times New Roman" w:hAnsi="Times New Roman"/>
          <w:sz w:val="20"/>
          <w:szCs w:val="20"/>
        </w:rPr>
        <w:t xml:space="preserve">Annexure V - Notes to the Restated Summary Financial Information; </w:t>
      </w:r>
    </w:p>
    <w:p w14:paraId="061C8A1C" w14:textId="77777777" w:rsidR="005B5953" w:rsidRPr="005B12AE" w:rsidRDefault="005B5953" w:rsidP="005B5953">
      <w:pPr>
        <w:spacing w:after="0" w:line="240" w:lineRule="auto"/>
        <w:ind w:left="1440"/>
        <w:jc w:val="both"/>
        <w:rPr>
          <w:rFonts w:ascii="Times New Roman" w:hAnsi="Times New Roman"/>
          <w:sz w:val="20"/>
          <w:szCs w:val="20"/>
        </w:rPr>
      </w:pPr>
    </w:p>
    <w:p w14:paraId="0FEB0E05" w14:textId="77777777" w:rsidR="005B5953" w:rsidRPr="005B12AE" w:rsidRDefault="005B5953">
      <w:pPr>
        <w:pStyle w:val="ListParagraph"/>
        <w:numPr>
          <w:ilvl w:val="0"/>
          <w:numId w:val="337"/>
        </w:numPr>
        <w:spacing w:line="240" w:lineRule="auto"/>
        <w:jc w:val="both"/>
        <w:rPr>
          <w:sz w:val="20"/>
          <w:szCs w:val="20"/>
        </w:rPr>
      </w:pPr>
      <w:r w:rsidRPr="005B12AE">
        <w:rPr>
          <w:sz w:val="20"/>
          <w:szCs w:val="20"/>
        </w:rPr>
        <w:t>Restated Statement of Share Capital, Reserves and Surplus as appearing in Note A to this report;</w:t>
      </w:r>
    </w:p>
    <w:p w14:paraId="478591FC" w14:textId="77777777" w:rsidR="005B5953" w:rsidRPr="005B12AE" w:rsidRDefault="005B5953">
      <w:pPr>
        <w:pStyle w:val="ListParagraph"/>
        <w:numPr>
          <w:ilvl w:val="0"/>
          <w:numId w:val="337"/>
        </w:numPr>
        <w:spacing w:line="240" w:lineRule="auto"/>
        <w:jc w:val="both"/>
        <w:rPr>
          <w:sz w:val="20"/>
          <w:szCs w:val="20"/>
        </w:rPr>
      </w:pPr>
      <w:r w:rsidRPr="005B12AE">
        <w:rPr>
          <w:sz w:val="20"/>
          <w:szCs w:val="20"/>
        </w:rPr>
        <w:t xml:space="preserve">Restated Statement of Long Term Borrowings as appearing in Note B to this report; </w:t>
      </w:r>
    </w:p>
    <w:p w14:paraId="6A3E44EA" w14:textId="77777777" w:rsidR="005B5953" w:rsidRPr="005B12AE" w:rsidRDefault="005B5953">
      <w:pPr>
        <w:pStyle w:val="ListParagraph"/>
        <w:numPr>
          <w:ilvl w:val="0"/>
          <w:numId w:val="337"/>
        </w:numPr>
        <w:spacing w:line="240" w:lineRule="auto"/>
        <w:jc w:val="both"/>
        <w:rPr>
          <w:sz w:val="20"/>
          <w:szCs w:val="20"/>
        </w:rPr>
      </w:pPr>
      <w:r w:rsidRPr="005B12AE">
        <w:rPr>
          <w:sz w:val="20"/>
          <w:szCs w:val="20"/>
        </w:rPr>
        <w:t>Restated Statement of principal terms of Secured Loans and Assets charged as security as appearing in Note B(A) to this report;</w:t>
      </w:r>
    </w:p>
    <w:p w14:paraId="71E6B313" w14:textId="77777777" w:rsidR="005B5953" w:rsidRPr="005B12AE" w:rsidRDefault="005B5953">
      <w:pPr>
        <w:pStyle w:val="ListParagraph"/>
        <w:numPr>
          <w:ilvl w:val="0"/>
          <w:numId w:val="337"/>
        </w:numPr>
        <w:spacing w:line="240" w:lineRule="auto"/>
        <w:jc w:val="both"/>
        <w:rPr>
          <w:sz w:val="20"/>
          <w:szCs w:val="20"/>
        </w:rPr>
      </w:pPr>
      <w:r w:rsidRPr="005B12AE">
        <w:rPr>
          <w:sz w:val="20"/>
          <w:szCs w:val="20"/>
        </w:rPr>
        <w:t>Statement of terms &amp; conditions of unsecured loans as appearing In Note B(B) to this report;</w:t>
      </w:r>
    </w:p>
    <w:p w14:paraId="3A70D996" w14:textId="77777777" w:rsidR="005B5953" w:rsidRPr="005B12AE" w:rsidRDefault="005B5953">
      <w:pPr>
        <w:pStyle w:val="ListParagraph"/>
        <w:numPr>
          <w:ilvl w:val="0"/>
          <w:numId w:val="337"/>
        </w:numPr>
        <w:spacing w:line="240" w:lineRule="auto"/>
        <w:jc w:val="both"/>
        <w:rPr>
          <w:sz w:val="20"/>
          <w:szCs w:val="20"/>
        </w:rPr>
      </w:pPr>
      <w:r w:rsidRPr="005B12AE">
        <w:rPr>
          <w:sz w:val="20"/>
          <w:szCs w:val="20"/>
        </w:rPr>
        <w:t>Restated Statement of Deferred Tax (Assets) / Liabilities as appearing in Note C to this report;</w:t>
      </w:r>
    </w:p>
    <w:p w14:paraId="165828BC" w14:textId="77777777" w:rsidR="005B5953" w:rsidRPr="005B12AE" w:rsidRDefault="005B5953">
      <w:pPr>
        <w:pStyle w:val="ListParagraph"/>
        <w:numPr>
          <w:ilvl w:val="0"/>
          <w:numId w:val="337"/>
        </w:numPr>
        <w:spacing w:line="240" w:lineRule="auto"/>
        <w:jc w:val="both"/>
        <w:rPr>
          <w:sz w:val="20"/>
          <w:szCs w:val="20"/>
        </w:rPr>
      </w:pPr>
      <w:r w:rsidRPr="005B12AE">
        <w:rPr>
          <w:sz w:val="20"/>
          <w:szCs w:val="20"/>
        </w:rPr>
        <w:t>Restated Statement of Long term provisions as appearing in Note C1 to this report;</w:t>
      </w:r>
    </w:p>
    <w:p w14:paraId="4F1F7496" w14:textId="77777777" w:rsidR="005B5953" w:rsidRPr="005B12AE" w:rsidRDefault="005B5953">
      <w:pPr>
        <w:pStyle w:val="ListParagraph"/>
        <w:numPr>
          <w:ilvl w:val="0"/>
          <w:numId w:val="337"/>
        </w:numPr>
        <w:spacing w:line="240" w:lineRule="auto"/>
        <w:jc w:val="both"/>
        <w:rPr>
          <w:sz w:val="20"/>
          <w:szCs w:val="20"/>
        </w:rPr>
      </w:pPr>
      <w:r w:rsidRPr="005B12AE">
        <w:rPr>
          <w:sz w:val="20"/>
          <w:szCs w:val="20"/>
        </w:rPr>
        <w:t>Restated Statement of Short-term borrowings as appearing in Note D to this report;</w:t>
      </w:r>
    </w:p>
    <w:p w14:paraId="04C8727E" w14:textId="77777777" w:rsidR="005B5953" w:rsidRPr="005B12AE" w:rsidRDefault="005B5953">
      <w:pPr>
        <w:pStyle w:val="ListParagraph"/>
        <w:numPr>
          <w:ilvl w:val="0"/>
          <w:numId w:val="337"/>
        </w:numPr>
        <w:spacing w:line="240" w:lineRule="auto"/>
        <w:jc w:val="both"/>
        <w:rPr>
          <w:sz w:val="20"/>
          <w:szCs w:val="20"/>
        </w:rPr>
      </w:pPr>
      <w:r w:rsidRPr="005B12AE">
        <w:rPr>
          <w:sz w:val="20"/>
          <w:szCs w:val="20"/>
        </w:rPr>
        <w:t>Restated Statement of Trade Payables as appearing in Note E to this report;</w:t>
      </w:r>
    </w:p>
    <w:p w14:paraId="18DCF0A4" w14:textId="77777777" w:rsidR="005B5953" w:rsidRPr="005B12AE" w:rsidRDefault="005B5953">
      <w:pPr>
        <w:pStyle w:val="ListParagraph"/>
        <w:numPr>
          <w:ilvl w:val="0"/>
          <w:numId w:val="337"/>
        </w:numPr>
        <w:spacing w:line="240" w:lineRule="auto"/>
        <w:jc w:val="both"/>
        <w:rPr>
          <w:sz w:val="20"/>
          <w:szCs w:val="20"/>
        </w:rPr>
      </w:pPr>
      <w:r w:rsidRPr="005B12AE">
        <w:rPr>
          <w:sz w:val="20"/>
          <w:szCs w:val="20"/>
        </w:rPr>
        <w:t>Restated Statement of Other Current Liabilities as appearing in Note F to this report;</w:t>
      </w:r>
    </w:p>
    <w:p w14:paraId="6F088523" w14:textId="77777777" w:rsidR="005B5953" w:rsidRPr="005B12AE" w:rsidRDefault="005B5953">
      <w:pPr>
        <w:pStyle w:val="ListParagraph"/>
        <w:numPr>
          <w:ilvl w:val="0"/>
          <w:numId w:val="337"/>
        </w:numPr>
        <w:spacing w:line="240" w:lineRule="auto"/>
        <w:jc w:val="both"/>
        <w:rPr>
          <w:sz w:val="20"/>
          <w:szCs w:val="20"/>
        </w:rPr>
      </w:pPr>
      <w:r w:rsidRPr="005B12AE">
        <w:rPr>
          <w:sz w:val="20"/>
          <w:szCs w:val="20"/>
        </w:rPr>
        <w:t>Restated Statement of Short-Term Provisions as appearing in Note G to this report;</w:t>
      </w:r>
    </w:p>
    <w:p w14:paraId="34E88D72" w14:textId="77777777" w:rsidR="005B5953" w:rsidRPr="005B12AE" w:rsidRDefault="005B5953">
      <w:pPr>
        <w:pStyle w:val="ListParagraph"/>
        <w:numPr>
          <w:ilvl w:val="0"/>
          <w:numId w:val="337"/>
        </w:numPr>
        <w:spacing w:line="240" w:lineRule="auto"/>
        <w:jc w:val="both"/>
        <w:rPr>
          <w:sz w:val="20"/>
          <w:szCs w:val="20"/>
        </w:rPr>
      </w:pPr>
      <w:r w:rsidRPr="005B12AE">
        <w:rPr>
          <w:sz w:val="20"/>
          <w:szCs w:val="20"/>
        </w:rPr>
        <w:t>Restated Statement of Fixed Assets as appearing in Note H to this report;</w:t>
      </w:r>
    </w:p>
    <w:p w14:paraId="58872076" w14:textId="77777777" w:rsidR="005B5953" w:rsidRPr="005B12AE" w:rsidRDefault="005B5953">
      <w:pPr>
        <w:pStyle w:val="ListParagraph"/>
        <w:numPr>
          <w:ilvl w:val="0"/>
          <w:numId w:val="337"/>
        </w:numPr>
        <w:spacing w:line="240" w:lineRule="auto"/>
        <w:jc w:val="both"/>
        <w:rPr>
          <w:sz w:val="20"/>
          <w:szCs w:val="20"/>
        </w:rPr>
      </w:pPr>
      <w:r w:rsidRPr="005B12AE">
        <w:rPr>
          <w:sz w:val="20"/>
          <w:szCs w:val="20"/>
        </w:rPr>
        <w:t>Restated Statement of Trade Receivables as appearing in Note I to this report;</w:t>
      </w:r>
    </w:p>
    <w:p w14:paraId="52F524BC" w14:textId="77777777" w:rsidR="005B5953" w:rsidRPr="005B12AE" w:rsidRDefault="005B5953">
      <w:pPr>
        <w:pStyle w:val="ListParagraph"/>
        <w:numPr>
          <w:ilvl w:val="0"/>
          <w:numId w:val="337"/>
        </w:numPr>
        <w:spacing w:line="240" w:lineRule="auto"/>
        <w:jc w:val="both"/>
        <w:rPr>
          <w:sz w:val="20"/>
          <w:szCs w:val="20"/>
        </w:rPr>
      </w:pPr>
      <w:r w:rsidRPr="005B12AE">
        <w:rPr>
          <w:sz w:val="20"/>
          <w:szCs w:val="20"/>
        </w:rPr>
        <w:t>Restated Statement of Cash and Cash Equivalents as appearing in Note J to this report;</w:t>
      </w:r>
    </w:p>
    <w:p w14:paraId="218F2048" w14:textId="77777777" w:rsidR="005B5953" w:rsidRPr="005B12AE" w:rsidRDefault="005B5953">
      <w:pPr>
        <w:pStyle w:val="ListParagraph"/>
        <w:numPr>
          <w:ilvl w:val="0"/>
          <w:numId w:val="337"/>
        </w:numPr>
        <w:spacing w:line="240" w:lineRule="auto"/>
        <w:jc w:val="both"/>
        <w:rPr>
          <w:sz w:val="20"/>
          <w:szCs w:val="20"/>
        </w:rPr>
      </w:pPr>
      <w:r w:rsidRPr="005B12AE">
        <w:rPr>
          <w:sz w:val="20"/>
          <w:szCs w:val="20"/>
        </w:rPr>
        <w:t>Restated Statement of Inventories as appearing in Note K to this report;</w:t>
      </w:r>
    </w:p>
    <w:p w14:paraId="0AD637C9" w14:textId="77777777" w:rsidR="005B5953" w:rsidRPr="005B12AE" w:rsidRDefault="005B5953">
      <w:pPr>
        <w:pStyle w:val="ListParagraph"/>
        <w:numPr>
          <w:ilvl w:val="0"/>
          <w:numId w:val="337"/>
        </w:numPr>
        <w:spacing w:line="240" w:lineRule="auto"/>
        <w:jc w:val="both"/>
        <w:rPr>
          <w:sz w:val="20"/>
          <w:szCs w:val="20"/>
        </w:rPr>
      </w:pPr>
      <w:r w:rsidRPr="005B12AE">
        <w:rPr>
          <w:sz w:val="20"/>
          <w:szCs w:val="20"/>
        </w:rPr>
        <w:t>Restated Statement of Short term Loans and Advances as restated as appearing in Note L to this report;</w:t>
      </w:r>
    </w:p>
    <w:p w14:paraId="5726D463" w14:textId="77777777" w:rsidR="005B5953" w:rsidRPr="005B12AE" w:rsidRDefault="005B5953">
      <w:pPr>
        <w:pStyle w:val="ListParagraph"/>
        <w:numPr>
          <w:ilvl w:val="0"/>
          <w:numId w:val="337"/>
        </w:numPr>
        <w:spacing w:line="240" w:lineRule="auto"/>
        <w:jc w:val="both"/>
        <w:rPr>
          <w:sz w:val="20"/>
          <w:szCs w:val="20"/>
        </w:rPr>
      </w:pPr>
      <w:r w:rsidRPr="005B12AE">
        <w:rPr>
          <w:sz w:val="20"/>
          <w:szCs w:val="20"/>
        </w:rPr>
        <w:t>Restated Statement of Other Current Assets as appearing in Note M to this report;</w:t>
      </w:r>
    </w:p>
    <w:p w14:paraId="07AEC6EA" w14:textId="77777777" w:rsidR="005B5953" w:rsidRPr="005B12AE" w:rsidRDefault="005B5953">
      <w:pPr>
        <w:pStyle w:val="ListParagraph"/>
        <w:numPr>
          <w:ilvl w:val="0"/>
          <w:numId w:val="337"/>
        </w:numPr>
        <w:spacing w:line="240" w:lineRule="auto"/>
        <w:jc w:val="both"/>
        <w:rPr>
          <w:sz w:val="20"/>
          <w:szCs w:val="20"/>
        </w:rPr>
      </w:pPr>
      <w:r w:rsidRPr="005B12AE">
        <w:rPr>
          <w:sz w:val="20"/>
          <w:szCs w:val="20"/>
        </w:rPr>
        <w:t>Restated Statement of Revenue from Operations as appearing in Note N to this report;</w:t>
      </w:r>
    </w:p>
    <w:p w14:paraId="5711B687" w14:textId="77777777" w:rsidR="005B5953" w:rsidRPr="005B12AE" w:rsidRDefault="005B5953">
      <w:pPr>
        <w:pStyle w:val="ListParagraph"/>
        <w:numPr>
          <w:ilvl w:val="0"/>
          <w:numId w:val="337"/>
        </w:numPr>
        <w:spacing w:line="240" w:lineRule="auto"/>
        <w:jc w:val="both"/>
        <w:rPr>
          <w:sz w:val="20"/>
          <w:szCs w:val="20"/>
        </w:rPr>
      </w:pPr>
      <w:r w:rsidRPr="005B12AE">
        <w:rPr>
          <w:sz w:val="20"/>
          <w:szCs w:val="20"/>
        </w:rPr>
        <w:t>Restated Statement of Other Income as appearing in Note O to this report;</w:t>
      </w:r>
    </w:p>
    <w:p w14:paraId="5D9449BC" w14:textId="77777777" w:rsidR="005B5953" w:rsidRPr="005B12AE" w:rsidRDefault="005B5953">
      <w:pPr>
        <w:pStyle w:val="ListParagraph"/>
        <w:numPr>
          <w:ilvl w:val="0"/>
          <w:numId w:val="337"/>
        </w:numPr>
        <w:spacing w:line="240" w:lineRule="auto"/>
        <w:jc w:val="both"/>
        <w:rPr>
          <w:sz w:val="20"/>
          <w:szCs w:val="20"/>
        </w:rPr>
      </w:pPr>
      <w:r w:rsidRPr="005B12AE">
        <w:rPr>
          <w:sz w:val="20"/>
          <w:szCs w:val="20"/>
        </w:rPr>
        <w:t>Restated Statement of raw material consumption as appearing in Note P to this report;</w:t>
      </w:r>
    </w:p>
    <w:p w14:paraId="1CDD9255" w14:textId="77777777" w:rsidR="005B5953" w:rsidRPr="005B12AE" w:rsidRDefault="005B5953">
      <w:pPr>
        <w:pStyle w:val="ListParagraph"/>
        <w:numPr>
          <w:ilvl w:val="0"/>
          <w:numId w:val="337"/>
        </w:numPr>
        <w:spacing w:line="240" w:lineRule="auto"/>
        <w:jc w:val="both"/>
        <w:rPr>
          <w:sz w:val="20"/>
          <w:szCs w:val="20"/>
        </w:rPr>
      </w:pPr>
      <w:r w:rsidRPr="005B12AE">
        <w:rPr>
          <w:sz w:val="20"/>
          <w:szCs w:val="20"/>
        </w:rPr>
        <w:t>Restated Statement of Change in Inventories as appearing in Note Q to this report;</w:t>
      </w:r>
    </w:p>
    <w:p w14:paraId="7B4382F8" w14:textId="77777777" w:rsidR="005B5953" w:rsidRPr="005B12AE" w:rsidRDefault="005B5953">
      <w:pPr>
        <w:pStyle w:val="ListParagraph"/>
        <w:numPr>
          <w:ilvl w:val="0"/>
          <w:numId w:val="337"/>
        </w:numPr>
        <w:spacing w:line="240" w:lineRule="auto"/>
        <w:jc w:val="both"/>
        <w:rPr>
          <w:sz w:val="20"/>
          <w:szCs w:val="20"/>
        </w:rPr>
      </w:pPr>
      <w:r w:rsidRPr="005B12AE">
        <w:rPr>
          <w:sz w:val="20"/>
          <w:szCs w:val="20"/>
        </w:rPr>
        <w:t>Restated Statement of Employee Benefit Expenses as appearing in Note R to this report;</w:t>
      </w:r>
    </w:p>
    <w:p w14:paraId="680457DB" w14:textId="77777777" w:rsidR="005B5953" w:rsidRPr="005B12AE" w:rsidRDefault="005B5953">
      <w:pPr>
        <w:pStyle w:val="ListParagraph"/>
        <w:numPr>
          <w:ilvl w:val="0"/>
          <w:numId w:val="337"/>
        </w:numPr>
        <w:spacing w:line="240" w:lineRule="auto"/>
        <w:jc w:val="both"/>
        <w:rPr>
          <w:sz w:val="20"/>
          <w:szCs w:val="20"/>
        </w:rPr>
      </w:pPr>
      <w:r w:rsidRPr="005B12AE">
        <w:rPr>
          <w:sz w:val="20"/>
          <w:szCs w:val="20"/>
        </w:rPr>
        <w:t>Restated Statement of Finance Cost as appearing in Note S to this report;</w:t>
      </w:r>
    </w:p>
    <w:p w14:paraId="09AB5ED4" w14:textId="77777777" w:rsidR="005B5953" w:rsidRPr="005B12AE" w:rsidRDefault="005B5953">
      <w:pPr>
        <w:pStyle w:val="ListParagraph"/>
        <w:numPr>
          <w:ilvl w:val="0"/>
          <w:numId w:val="337"/>
        </w:numPr>
        <w:spacing w:line="240" w:lineRule="auto"/>
        <w:jc w:val="both"/>
        <w:rPr>
          <w:sz w:val="20"/>
          <w:szCs w:val="20"/>
        </w:rPr>
      </w:pPr>
      <w:r w:rsidRPr="005B12AE">
        <w:rPr>
          <w:sz w:val="20"/>
          <w:szCs w:val="20"/>
        </w:rPr>
        <w:t>Restated Statement of Depreciation &amp; Amortization as appearing in Note T to this report;</w:t>
      </w:r>
    </w:p>
    <w:p w14:paraId="0E619E92" w14:textId="77777777" w:rsidR="005B5953" w:rsidRPr="005B12AE" w:rsidRDefault="005B5953">
      <w:pPr>
        <w:pStyle w:val="ListParagraph"/>
        <w:numPr>
          <w:ilvl w:val="0"/>
          <w:numId w:val="337"/>
        </w:numPr>
        <w:spacing w:line="240" w:lineRule="auto"/>
        <w:jc w:val="both"/>
        <w:rPr>
          <w:sz w:val="20"/>
          <w:szCs w:val="20"/>
        </w:rPr>
      </w:pPr>
      <w:r w:rsidRPr="005B12AE">
        <w:rPr>
          <w:sz w:val="20"/>
          <w:szCs w:val="20"/>
        </w:rPr>
        <w:t>Restated Statement of Other Expenses as appearing in Note U to this report;</w:t>
      </w:r>
    </w:p>
    <w:p w14:paraId="520CF951" w14:textId="77777777" w:rsidR="005B5953" w:rsidRPr="005B12AE" w:rsidRDefault="005B5953">
      <w:pPr>
        <w:pStyle w:val="ListParagraph"/>
        <w:numPr>
          <w:ilvl w:val="0"/>
          <w:numId w:val="337"/>
        </w:numPr>
        <w:spacing w:line="240" w:lineRule="auto"/>
        <w:jc w:val="both"/>
        <w:rPr>
          <w:sz w:val="20"/>
          <w:szCs w:val="20"/>
        </w:rPr>
      </w:pPr>
      <w:r w:rsidRPr="005B12AE">
        <w:rPr>
          <w:sz w:val="20"/>
          <w:szCs w:val="20"/>
        </w:rPr>
        <w:t>Restated Statement of Contingent Liabilities as appearing in Note V to this report;</w:t>
      </w:r>
    </w:p>
    <w:p w14:paraId="56C56DB1" w14:textId="77777777" w:rsidR="005B5953" w:rsidRPr="005B12AE" w:rsidRDefault="005B5953">
      <w:pPr>
        <w:pStyle w:val="ListParagraph"/>
        <w:numPr>
          <w:ilvl w:val="0"/>
          <w:numId w:val="337"/>
        </w:numPr>
        <w:spacing w:line="240" w:lineRule="auto"/>
        <w:jc w:val="both"/>
        <w:rPr>
          <w:sz w:val="20"/>
          <w:szCs w:val="20"/>
        </w:rPr>
      </w:pPr>
      <w:r w:rsidRPr="005B12AE">
        <w:rPr>
          <w:sz w:val="20"/>
          <w:szCs w:val="20"/>
        </w:rPr>
        <w:t>Restated Statement of Related Party Transactions as appearing in Note W to this report;</w:t>
      </w:r>
    </w:p>
    <w:p w14:paraId="6F0E1443" w14:textId="77777777" w:rsidR="005B5953" w:rsidRPr="005B12AE" w:rsidRDefault="005B5953">
      <w:pPr>
        <w:pStyle w:val="ListParagraph"/>
        <w:numPr>
          <w:ilvl w:val="0"/>
          <w:numId w:val="337"/>
        </w:numPr>
        <w:spacing w:line="240" w:lineRule="auto"/>
        <w:jc w:val="both"/>
        <w:rPr>
          <w:sz w:val="20"/>
          <w:szCs w:val="20"/>
        </w:rPr>
      </w:pPr>
      <w:r w:rsidRPr="005B12AE">
        <w:rPr>
          <w:sz w:val="20"/>
          <w:szCs w:val="20"/>
        </w:rPr>
        <w:t>Restated Statement of Tax Shelter as appearing in Note X to this report;</w:t>
      </w:r>
    </w:p>
    <w:p w14:paraId="0A2C3CF0" w14:textId="77777777" w:rsidR="005B5953" w:rsidRPr="005B12AE" w:rsidRDefault="005B5953">
      <w:pPr>
        <w:pStyle w:val="ListParagraph"/>
        <w:numPr>
          <w:ilvl w:val="0"/>
          <w:numId w:val="337"/>
        </w:numPr>
        <w:spacing w:line="240" w:lineRule="auto"/>
        <w:jc w:val="both"/>
        <w:rPr>
          <w:sz w:val="20"/>
          <w:szCs w:val="20"/>
        </w:rPr>
      </w:pPr>
      <w:r w:rsidRPr="005B12AE">
        <w:rPr>
          <w:sz w:val="20"/>
          <w:szCs w:val="20"/>
        </w:rPr>
        <w:t>Capitalization Statement as appearing in Note Y to this report;</w:t>
      </w:r>
    </w:p>
    <w:p w14:paraId="5E2A7A8F" w14:textId="77777777" w:rsidR="005B5953" w:rsidRPr="005B12AE" w:rsidRDefault="005B5953">
      <w:pPr>
        <w:pStyle w:val="ListParagraph"/>
        <w:numPr>
          <w:ilvl w:val="0"/>
          <w:numId w:val="337"/>
        </w:numPr>
        <w:spacing w:line="240" w:lineRule="auto"/>
        <w:jc w:val="both"/>
        <w:rPr>
          <w:sz w:val="20"/>
          <w:szCs w:val="20"/>
        </w:rPr>
      </w:pPr>
      <w:r w:rsidRPr="005B12AE">
        <w:rPr>
          <w:sz w:val="20"/>
          <w:szCs w:val="20"/>
        </w:rPr>
        <w:t>Restated Statement of Mandatory Accounting Ratios as appearing in Note Z to this report;</w:t>
      </w:r>
    </w:p>
    <w:p w14:paraId="1EACA2B5" w14:textId="77777777" w:rsidR="005B5953" w:rsidRPr="005B12AE" w:rsidRDefault="005B5953" w:rsidP="005B5953">
      <w:pPr>
        <w:spacing w:after="0" w:line="240" w:lineRule="auto"/>
        <w:jc w:val="both"/>
        <w:rPr>
          <w:rFonts w:ascii="Times New Roman" w:hAnsi="Times New Roman"/>
          <w:sz w:val="20"/>
          <w:szCs w:val="20"/>
        </w:rPr>
      </w:pPr>
    </w:p>
    <w:p w14:paraId="5FEABCAA" w14:textId="77777777" w:rsidR="005B5953" w:rsidRPr="005B12AE" w:rsidRDefault="005B5953">
      <w:pPr>
        <w:numPr>
          <w:ilvl w:val="0"/>
          <w:numId w:val="335"/>
        </w:numPr>
        <w:spacing w:after="0" w:line="240" w:lineRule="auto"/>
        <w:jc w:val="both"/>
        <w:rPr>
          <w:rFonts w:ascii="Times New Roman" w:hAnsi="Times New Roman"/>
          <w:color w:val="000000"/>
          <w:sz w:val="20"/>
          <w:szCs w:val="20"/>
        </w:rPr>
      </w:pPr>
      <w:r w:rsidRPr="005B12AE">
        <w:rPr>
          <w:rFonts w:ascii="Times New Roman" w:hAnsi="Times New Roman"/>
          <w:color w:val="000000"/>
          <w:sz w:val="20"/>
          <w:szCs w:val="20"/>
        </w:rPr>
        <w:t xml:space="preserve">The Restated Financial Information do not reflect the effects of events that occurred subsequent to the respective dates of the reports on the audited financial statements mentioned in paragraph 4 above. </w:t>
      </w:r>
    </w:p>
    <w:p w14:paraId="4B54A777" w14:textId="77777777" w:rsidR="005B5953" w:rsidRPr="005B12AE" w:rsidRDefault="005B5953" w:rsidP="005B5953">
      <w:pPr>
        <w:autoSpaceDE w:val="0"/>
        <w:autoSpaceDN w:val="0"/>
        <w:adjustRightInd w:val="0"/>
        <w:spacing w:after="0" w:line="240" w:lineRule="auto"/>
        <w:rPr>
          <w:rFonts w:ascii="Times New Roman" w:hAnsi="Times New Roman"/>
          <w:color w:val="000000"/>
          <w:sz w:val="20"/>
          <w:szCs w:val="20"/>
        </w:rPr>
      </w:pPr>
    </w:p>
    <w:p w14:paraId="09A954AE" w14:textId="77777777" w:rsidR="005B5953" w:rsidRPr="005B12AE" w:rsidRDefault="005B5953">
      <w:pPr>
        <w:numPr>
          <w:ilvl w:val="0"/>
          <w:numId w:val="335"/>
        </w:numPr>
        <w:spacing w:after="0" w:line="240" w:lineRule="auto"/>
        <w:jc w:val="both"/>
        <w:rPr>
          <w:rFonts w:ascii="Times New Roman" w:hAnsi="Times New Roman"/>
          <w:color w:val="000000"/>
          <w:sz w:val="20"/>
          <w:szCs w:val="20"/>
        </w:rPr>
      </w:pPr>
      <w:r w:rsidRPr="005B12AE">
        <w:rPr>
          <w:rFonts w:ascii="Times New Roman" w:hAnsi="Times New Roman"/>
          <w:color w:val="000000"/>
          <w:sz w:val="20"/>
          <w:szCs w:val="20"/>
        </w:rPr>
        <w:t xml:space="preserve">This report should not in any way be construed as a reissuance or re-dating of any of the previous audit reports issued by us, nor should this report be construed as a new opinion on any of the financial statements referred to herein. </w:t>
      </w:r>
    </w:p>
    <w:p w14:paraId="40223F86" w14:textId="77777777" w:rsidR="005B5953" w:rsidRPr="005B12AE" w:rsidRDefault="005B5953" w:rsidP="005B5953">
      <w:pPr>
        <w:pStyle w:val="ListParagraph"/>
        <w:spacing w:line="240" w:lineRule="auto"/>
        <w:rPr>
          <w:sz w:val="20"/>
          <w:szCs w:val="20"/>
        </w:rPr>
      </w:pPr>
    </w:p>
    <w:p w14:paraId="7CEBC6E0" w14:textId="77777777" w:rsidR="005B5953" w:rsidRPr="005B12AE" w:rsidRDefault="005B5953">
      <w:pPr>
        <w:numPr>
          <w:ilvl w:val="0"/>
          <w:numId w:val="335"/>
        </w:numPr>
        <w:spacing w:after="0" w:line="240" w:lineRule="auto"/>
        <w:jc w:val="both"/>
        <w:rPr>
          <w:rFonts w:ascii="Times New Roman" w:hAnsi="Times New Roman"/>
          <w:sz w:val="20"/>
          <w:szCs w:val="20"/>
        </w:rPr>
      </w:pPr>
      <w:r w:rsidRPr="005B12AE">
        <w:rPr>
          <w:rFonts w:ascii="Times New Roman" w:hAnsi="Times New Roman"/>
          <w:color w:val="000000"/>
          <w:sz w:val="20"/>
          <w:szCs w:val="20"/>
        </w:rPr>
        <w:lastRenderedPageBreak/>
        <w:t xml:space="preserve">We have no responsibility to update our report for events and circumstances occurring after the date of the report. </w:t>
      </w:r>
    </w:p>
    <w:p w14:paraId="7C397F59" w14:textId="77777777" w:rsidR="005B5953" w:rsidRPr="005B12AE" w:rsidRDefault="005B5953" w:rsidP="005B5953">
      <w:pPr>
        <w:spacing w:after="0" w:line="240" w:lineRule="auto"/>
        <w:ind w:left="720"/>
        <w:jc w:val="both"/>
        <w:rPr>
          <w:rFonts w:ascii="Times New Roman" w:hAnsi="Times New Roman"/>
          <w:sz w:val="20"/>
          <w:szCs w:val="20"/>
        </w:rPr>
      </w:pPr>
    </w:p>
    <w:p w14:paraId="44D782D3" w14:textId="77777777" w:rsidR="005B5953" w:rsidRPr="005B12AE" w:rsidRDefault="005B5953">
      <w:pPr>
        <w:numPr>
          <w:ilvl w:val="0"/>
          <w:numId w:val="335"/>
        </w:numPr>
        <w:spacing w:after="0" w:line="240" w:lineRule="auto"/>
        <w:jc w:val="both"/>
        <w:rPr>
          <w:rFonts w:ascii="Times New Roman" w:hAnsi="Times New Roman"/>
          <w:color w:val="000000"/>
          <w:sz w:val="20"/>
          <w:szCs w:val="20"/>
        </w:rPr>
      </w:pPr>
      <w:r w:rsidRPr="005B12AE">
        <w:rPr>
          <w:rFonts w:ascii="Times New Roman" w:hAnsi="Times New Roman"/>
          <w:color w:val="000000"/>
          <w:sz w:val="20"/>
          <w:szCs w:val="20"/>
        </w:rPr>
        <w:t xml:space="preserve">Our report is intended solely for use of the Board of Directors for inclusion in the Draft Offer document/Offer document to be filed with Securities and Exchange Board of India, relevant stock exchange and Registrar of Companies, Ahmedabad in connection with the proposed IPO. Our report should not be used, referred to, or distributed for any other purpose except with our prior consent in writing. Accordingly, we do not accept or assume any liability or any duty of care for any other purpose or to any other person to whom this report is shown or into whose hands it may come without our prior consent in writing. </w:t>
      </w:r>
    </w:p>
    <w:p w14:paraId="1AC2BE7C" w14:textId="77777777" w:rsidR="005B5953" w:rsidRPr="005B12AE" w:rsidRDefault="005B5953" w:rsidP="005B5953">
      <w:pPr>
        <w:pStyle w:val="ListParagraph"/>
        <w:spacing w:line="240" w:lineRule="auto"/>
        <w:jc w:val="both"/>
        <w:rPr>
          <w:sz w:val="20"/>
          <w:szCs w:val="20"/>
        </w:rPr>
      </w:pPr>
    </w:p>
    <w:p w14:paraId="3C1248C1" w14:textId="77777777" w:rsidR="005B5953" w:rsidRPr="005B12AE" w:rsidRDefault="005B5953">
      <w:pPr>
        <w:numPr>
          <w:ilvl w:val="0"/>
          <w:numId w:val="335"/>
        </w:numPr>
        <w:spacing w:after="0" w:line="240" w:lineRule="auto"/>
        <w:jc w:val="both"/>
        <w:rPr>
          <w:rFonts w:ascii="Times New Roman" w:hAnsi="Times New Roman"/>
          <w:color w:val="000000"/>
          <w:sz w:val="20"/>
          <w:szCs w:val="20"/>
        </w:rPr>
      </w:pPr>
      <w:r w:rsidRPr="005B12AE">
        <w:rPr>
          <w:rFonts w:ascii="Times New Roman" w:hAnsi="Times New Roman"/>
          <w:color w:val="000000"/>
          <w:sz w:val="20"/>
          <w:szCs w:val="20"/>
        </w:rPr>
        <w:t>In our opinion, the above financial information contained in Annexure I to Annexure V of this report read with the respective Significant Accounting Polices and Notes to Accounts as set out in Annexure IV are prepared after making adjustments and regrouping as considered appropriate and have been prepared in accordance with the Act, ICDR Regulations, Engagement Letter and Guidance Note and give a true and fair view in conformity with the accounting principles generally accepted in India, to the extent applicable.</w:t>
      </w:r>
    </w:p>
    <w:p w14:paraId="247DE650" w14:textId="77777777" w:rsidR="005B5953" w:rsidRPr="005B12AE" w:rsidRDefault="005B5953" w:rsidP="005B5953">
      <w:pPr>
        <w:spacing w:after="0" w:line="240" w:lineRule="auto"/>
        <w:rPr>
          <w:rFonts w:ascii="Times New Roman" w:hAnsi="Times New Roman"/>
          <w:b/>
          <w:bCs/>
          <w:sz w:val="20"/>
          <w:szCs w:val="20"/>
        </w:rPr>
      </w:pPr>
    </w:p>
    <w:p w14:paraId="0CF94882" w14:textId="77777777" w:rsidR="005B5953" w:rsidRPr="005B12AE" w:rsidRDefault="005B5953" w:rsidP="005B5953">
      <w:pPr>
        <w:spacing w:after="0" w:line="240" w:lineRule="auto"/>
        <w:rPr>
          <w:rFonts w:ascii="Times New Roman" w:hAnsi="Times New Roman"/>
          <w:b/>
          <w:bCs/>
          <w:sz w:val="20"/>
          <w:szCs w:val="20"/>
        </w:rPr>
      </w:pPr>
      <w:r w:rsidRPr="005B12AE">
        <w:rPr>
          <w:rFonts w:ascii="Times New Roman" w:hAnsi="Times New Roman"/>
          <w:b/>
          <w:bCs/>
          <w:sz w:val="20"/>
          <w:szCs w:val="20"/>
        </w:rPr>
        <w:t xml:space="preserve">For M/s Kamlesh Rathod &amp; Associates </w:t>
      </w:r>
    </w:p>
    <w:p w14:paraId="525F549B" w14:textId="77777777" w:rsidR="005B5953" w:rsidRPr="005B12AE" w:rsidRDefault="005B5953" w:rsidP="005B5953">
      <w:pPr>
        <w:spacing w:after="0" w:line="240" w:lineRule="auto"/>
        <w:rPr>
          <w:rFonts w:ascii="Times New Roman" w:hAnsi="Times New Roman"/>
          <w:b/>
          <w:bCs/>
          <w:sz w:val="20"/>
          <w:szCs w:val="20"/>
        </w:rPr>
      </w:pPr>
      <w:r w:rsidRPr="005B12AE">
        <w:rPr>
          <w:rFonts w:ascii="Times New Roman" w:hAnsi="Times New Roman"/>
          <w:b/>
          <w:bCs/>
          <w:sz w:val="20"/>
          <w:szCs w:val="20"/>
        </w:rPr>
        <w:t>Chartered Accountants</w:t>
      </w:r>
    </w:p>
    <w:p w14:paraId="2E3D8CAF" w14:textId="77777777" w:rsidR="005B5953" w:rsidRPr="005B12AE" w:rsidRDefault="005B5953" w:rsidP="005B5953">
      <w:pPr>
        <w:spacing w:after="0" w:line="240" w:lineRule="auto"/>
        <w:rPr>
          <w:rFonts w:ascii="Times New Roman" w:hAnsi="Times New Roman"/>
          <w:b/>
          <w:bCs/>
          <w:sz w:val="20"/>
          <w:szCs w:val="20"/>
        </w:rPr>
      </w:pPr>
      <w:r w:rsidRPr="005B12AE">
        <w:rPr>
          <w:rFonts w:ascii="Times New Roman" w:hAnsi="Times New Roman"/>
          <w:b/>
          <w:bCs/>
          <w:sz w:val="20"/>
          <w:szCs w:val="20"/>
        </w:rPr>
        <w:t xml:space="preserve">FRN No. 117930W </w:t>
      </w:r>
    </w:p>
    <w:p w14:paraId="0A4AEF44" w14:textId="77777777" w:rsidR="005B5953" w:rsidRPr="005B12AE" w:rsidRDefault="005B5953" w:rsidP="005B5953">
      <w:pPr>
        <w:spacing w:after="0" w:line="240" w:lineRule="auto"/>
        <w:rPr>
          <w:rFonts w:ascii="Times New Roman" w:hAnsi="Times New Roman"/>
          <w:b/>
          <w:bCs/>
          <w:sz w:val="20"/>
          <w:szCs w:val="20"/>
        </w:rPr>
      </w:pPr>
      <w:r w:rsidRPr="005B12AE">
        <w:rPr>
          <w:rFonts w:ascii="Times New Roman" w:hAnsi="Times New Roman"/>
          <w:b/>
          <w:bCs/>
          <w:sz w:val="20"/>
          <w:szCs w:val="20"/>
        </w:rPr>
        <w:t>UDIN: 23131261BGUTKS2867</w:t>
      </w:r>
    </w:p>
    <w:p w14:paraId="77C9C76F" w14:textId="77777777" w:rsidR="005B5953" w:rsidRPr="005B12AE" w:rsidRDefault="005B5953" w:rsidP="005B5953">
      <w:pPr>
        <w:spacing w:after="0" w:line="240" w:lineRule="auto"/>
        <w:rPr>
          <w:rFonts w:ascii="Times New Roman" w:hAnsi="Times New Roman"/>
          <w:bCs/>
          <w:sz w:val="20"/>
          <w:szCs w:val="20"/>
        </w:rPr>
      </w:pPr>
    </w:p>
    <w:p w14:paraId="12F4F552" w14:textId="77777777" w:rsidR="005B5953" w:rsidRPr="005B12AE" w:rsidRDefault="005B5953" w:rsidP="005B5953">
      <w:pPr>
        <w:spacing w:after="0" w:line="240" w:lineRule="auto"/>
        <w:rPr>
          <w:rFonts w:ascii="Times New Roman" w:hAnsi="Times New Roman"/>
          <w:b/>
          <w:sz w:val="20"/>
          <w:szCs w:val="20"/>
        </w:rPr>
      </w:pPr>
      <w:r w:rsidRPr="005B12AE">
        <w:rPr>
          <w:rFonts w:ascii="Times New Roman" w:hAnsi="Times New Roman"/>
          <w:b/>
          <w:sz w:val="20"/>
          <w:szCs w:val="20"/>
        </w:rPr>
        <w:t>Sd/-</w:t>
      </w:r>
    </w:p>
    <w:p w14:paraId="5A741857" w14:textId="77777777" w:rsidR="005B5953" w:rsidRPr="005B12AE" w:rsidRDefault="005B5953" w:rsidP="005B5953">
      <w:pPr>
        <w:spacing w:after="0" w:line="240" w:lineRule="auto"/>
        <w:jc w:val="both"/>
        <w:rPr>
          <w:rFonts w:ascii="Times New Roman" w:hAnsi="Times New Roman"/>
          <w:b/>
          <w:bCs/>
          <w:sz w:val="20"/>
          <w:szCs w:val="20"/>
        </w:rPr>
      </w:pPr>
      <w:r w:rsidRPr="005B12AE">
        <w:rPr>
          <w:rFonts w:ascii="Times New Roman" w:hAnsi="Times New Roman"/>
          <w:b/>
          <w:bCs/>
          <w:sz w:val="20"/>
          <w:szCs w:val="20"/>
        </w:rPr>
        <w:t>(Sagar D Shah)</w:t>
      </w:r>
    </w:p>
    <w:p w14:paraId="32D69B5F" w14:textId="77777777" w:rsidR="005B5953" w:rsidRPr="005B12AE" w:rsidRDefault="005B5953" w:rsidP="005B5953">
      <w:pPr>
        <w:spacing w:after="0" w:line="240" w:lineRule="auto"/>
        <w:jc w:val="both"/>
        <w:rPr>
          <w:rFonts w:ascii="Times New Roman" w:hAnsi="Times New Roman"/>
          <w:b/>
          <w:bCs/>
          <w:sz w:val="20"/>
          <w:szCs w:val="20"/>
        </w:rPr>
      </w:pPr>
      <w:r w:rsidRPr="005B12AE">
        <w:rPr>
          <w:rFonts w:ascii="Times New Roman" w:hAnsi="Times New Roman"/>
          <w:b/>
          <w:bCs/>
          <w:sz w:val="20"/>
          <w:szCs w:val="20"/>
        </w:rPr>
        <w:t>Partner</w:t>
      </w:r>
    </w:p>
    <w:p w14:paraId="6E135636" w14:textId="77777777" w:rsidR="005B5953" w:rsidRPr="005B12AE" w:rsidRDefault="005B5953" w:rsidP="005B5953">
      <w:pPr>
        <w:spacing w:after="0" w:line="240" w:lineRule="auto"/>
        <w:rPr>
          <w:rFonts w:ascii="Times New Roman" w:hAnsi="Times New Roman"/>
          <w:b/>
          <w:bCs/>
          <w:sz w:val="20"/>
          <w:szCs w:val="20"/>
        </w:rPr>
      </w:pPr>
      <w:r w:rsidRPr="005B12AE">
        <w:rPr>
          <w:rFonts w:ascii="Times New Roman" w:hAnsi="Times New Roman"/>
          <w:b/>
          <w:bCs/>
          <w:sz w:val="20"/>
          <w:szCs w:val="20"/>
        </w:rPr>
        <w:t>M. No. 131261</w:t>
      </w:r>
    </w:p>
    <w:p w14:paraId="76DF597D" w14:textId="77777777" w:rsidR="005B5953" w:rsidRPr="005B12AE" w:rsidRDefault="005B5953" w:rsidP="005B5953">
      <w:pPr>
        <w:spacing w:after="0" w:line="240" w:lineRule="auto"/>
        <w:rPr>
          <w:rFonts w:ascii="Times New Roman" w:hAnsi="Times New Roman"/>
          <w:b/>
          <w:bCs/>
          <w:sz w:val="20"/>
          <w:szCs w:val="20"/>
        </w:rPr>
      </w:pPr>
      <w:r w:rsidRPr="005B12AE">
        <w:rPr>
          <w:rFonts w:ascii="Times New Roman" w:hAnsi="Times New Roman"/>
          <w:b/>
          <w:bCs/>
          <w:sz w:val="20"/>
          <w:szCs w:val="20"/>
        </w:rPr>
        <w:t>Place: Jamnagar</w:t>
      </w:r>
    </w:p>
    <w:p w14:paraId="7179049F" w14:textId="77777777" w:rsidR="005B5953" w:rsidRPr="005B12AE" w:rsidRDefault="005B5953" w:rsidP="005B5953">
      <w:pPr>
        <w:spacing w:after="0" w:line="240" w:lineRule="auto"/>
        <w:rPr>
          <w:rFonts w:ascii="Times New Roman" w:hAnsi="Times New Roman"/>
          <w:b/>
          <w:bCs/>
          <w:sz w:val="20"/>
          <w:szCs w:val="20"/>
        </w:rPr>
      </w:pPr>
      <w:r w:rsidRPr="005B12AE">
        <w:rPr>
          <w:rFonts w:ascii="Times New Roman" w:hAnsi="Times New Roman"/>
          <w:b/>
          <w:bCs/>
          <w:sz w:val="20"/>
          <w:szCs w:val="20"/>
        </w:rPr>
        <w:t>Date: 12</w:t>
      </w:r>
      <w:r w:rsidRPr="005B12AE">
        <w:rPr>
          <w:rFonts w:ascii="Times New Roman" w:hAnsi="Times New Roman"/>
          <w:b/>
          <w:bCs/>
          <w:sz w:val="20"/>
          <w:szCs w:val="20"/>
          <w:vertAlign w:val="superscript"/>
        </w:rPr>
        <w:t>th</w:t>
      </w:r>
      <w:r w:rsidRPr="005B12AE">
        <w:rPr>
          <w:rFonts w:ascii="Times New Roman" w:hAnsi="Times New Roman"/>
          <w:b/>
          <w:bCs/>
          <w:sz w:val="20"/>
          <w:szCs w:val="20"/>
        </w:rPr>
        <w:t xml:space="preserve"> September, 2023.</w:t>
      </w:r>
    </w:p>
    <w:p w14:paraId="4AB33D79" w14:textId="77777777" w:rsidR="005B5953" w:rsidRPr="005B12AE" w:rsidRDefault="005B5953" w:rsidP="005B5953">
      <w:pPr>
        <w:spacing w:after="0" w:line="240" w:lineRule="auto"/>
        <w:rPr>
          <w:rFonts w:ascii="Times New Roman" w:hAnsi="Times New Roman"/>
          <w:b/>
          <w:bCs/>
          <w:sz w:val="20"/>
          <w:szCs w:val="20"/>
        </w:rPr>
      </w:pPr>
      <w:r w:rsidRPr="005B12AE">
        <w:rPr>
          <w:rFonts w:ascii="Times New Roman" w:hAnsi="Times New Roman"/>
          <w:b/>
          <w:bCs/>
          <w:sz w:val="20"/>
          <w:szCs w:val="20"/>
        </w:rPr>
        <w:br w:type="page"/>
      </w:r>
    </w:p>
    <w:p w14:paraId="594A3295" w14:textId="77777777" w:rsidR="005B5953" w:rsidRPr="005B12AE" w:rsidRDefault="005B5953" w:rsidP="005B5953">
      <w:pPr>
        <w:spacing w:after="0"/>
        <w:jc w:val="center"/>
        <w:rPr>
          <w:rFonts w:ascii="Times New Roman" w:hAnsi="Times New Roman"/>
          <w:b/>
          <w:bCs/>
          <w:sz w:val="20"/>
          <w:szCs w:val="20"/>
        </w:rPr>
      </w:pPr>
      <w:r w:rsidRPr="005B12AE">
        <w:rPr>
          <w:rFonts w:ascii="Times New Roman" w:hAnsi="Times New Roman"/>
          <w:b/>
          <w:bCs/>
          <w:sz w:val="20"/>
          <w:szCs w:val="20"/>
        </w:rPr>
        <w:lastRenderedPageBreak/>
        <w:t>ANNEXURE – I</w:t>
      </w:r>
    </w:p>
    <w:p w14:paraId="0E835FFD" w14:textId="77777777" w:rsidR="005B5953" w:rsidRPr="005B12AE" w:rsidRDefault="005B5953" w:rsidP="005B5953">
      <w:pPr>
        <w:spacing w:after="0"/>
        <w:jc w:val="center"/>
        <w:rPr>
          <w:rFonts w:ascii="Times New Roman" w:hAnsi="Times New Roman"/>
          <w:b/>
          <w:bCs/>
          <w:sz w:val="20"/>
          <w:szCs w:val="20"/>
        </w:rPr>
      </w:pPr>
    </w:p>
    <w:p w14:paraId="610628ED" w14:textId="77777777" w:rsidR="005B5953" w:rsidRPr="005B12AE" w:rsidRDefault="005B5953" w:rsidP="005B5953">
      <w:pPr>
        <w:spacing w:after="0"/>
        <w:jc w:val="center"/>
        <w:rPr>
          <w:rFonts w:ascii="Times New Roman" w:hAnsi="Times New Roman"/>
          <w:b/>
          <w:bCs/>
          <w:sz w:val="20"/>
          <w:szCs w:val="20"/>
        </w:rPr>
      </w:pPr>
      <w:r w:rsidRPr="005B12AE">
        <w:rPr>
          <w:rFonts w:ascii="Times New Roman" w:hAnsi="Times New Roman"/>
          <w:b/>
          <w:bCs/>
          <w:sz w:val="20"/>
          <w:szCs w:val="20"/>
        </w:rPr>
        <w:t>RESTATED STATEMENT OF ASSETS AND LIABILITIES</w:t>
      </w:r>
    </w:p>
    <w:p w14:paraId="445CF8E5" w14:textId="77777777" w:rsidR="005B5953" w:rsidRPr="005B12AE" w:rsidRDefault="005B5953" w:rsidP="005B5953">
      <w:pPr>
        <w:spacing w:after="0"/>
        <w:jc w:val="center"/>
        <w:rPr>
          <w:rFonts w:ascii="Times New Roman" w:hAnsi="Times New Roman"/>
          <w:b/>
          <w:bCs/>
          <w:sz w:val="20"/>
          <w:szCs w:val="20"/>
        </w:rPr>
      </w:pPr>
    </w:p>
    <w:p w14:paraId="3DC53924" w14:textId="77777777" w:rsidR="005B5953" w:rsidRPr="005B12AE" w:rsidRDefault="005B5953" w:rsidP="005B5953">
      <w:pPr>
        <w:spacing w:after="0"/>
        <w:jc w:val="right"/>
        <w:rPr>
          <w:rFonts w:ascii="Times New Roman" w:hAnsi="Times New Roman"/>
          <w:b/>
          <w:bCs/>
          <w:sz w:val="20"/>
          <w:szCs w:val="20"/>
        </w:rPr>
      </w:pPr>
      <w:r w:rsidRPr="005B12AE">
        <w:rPr>
          <w:rFonts w:ascii="Times New Roman" w:hAnsi="Times New Roman"/>
          <w:b/>
          <w:bCs/>
          <w:sz w:val="20"/>
          <w:szCs w:val="20"/>
        </w:rPr>
        <w:t>(₹ in Lakhs)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535"/>
        <w:gridCol w:w="3865"/>
        <w:gridCol w:w="694"/>
        <w:gridCol w:w="1650"/>
        <w:gridCol w:w="1631"/>
        <w:gridCol w:w="1631"/>
      </w:tblGrid>
      <w:tr w:rsidR="005B5953" w:rsidRPr="005B12AE" w14:paraId="26693386" w14:textId="77777777" w:rsidTr="00250DAC">
        <w:trPr>
          <w:trHeight w:val="20"/>
        </w:trPr>
        <w:tc>
          <w:tcPr>
            <w:tcW w:w="2319" w:type="pct"/>
            <w:gridSpan w:val="3"/>
            <w:vMerge w:val="restart"/>
            <w:shd w:val="clear" w:color="auto" w:fill="D0CECE" w:themeFill="background2" w:themeFillShade="E6"/>
            <w:vAlign w:val="center"/>
          </w:tcPr>
          <w:p w14:paraId="522DECA6"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Particulars</w:t>
            </w:r>
          </w:p>
        </w:tc>
        <w:tc>
          <w:tcPr>
            <w:tcW w:w="332" w:type="pct"/>
            <w:vMerge w:val="restart"/>
            <w:shd w:val="clear" w:color="auto" w:fill="D0CECE" w:themeFill="background2" w:themeFillShade="E6"/>
            <w:noWrap/>
            <w:vAlign w:val="center"/>
            <w:hideMark/>
          </w:tcPr>
          <w:p w14:paraId="46DC7C96"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Notes</w:t>
            </w:r>
          </w:p>
        </w:tc>
        <w:tc>
          <w:tcPr>
            <w:tcW w:w="2349" w:type="pct"/>
            <w:gridSpan w:val="3"/>
            <w:shd w:val="clear" w:color="auto" w:fill="D0CECE" w:themeFill="background2" w:themeFillShade="E6"/>
            <w:noWrap/>
            <w:vAlign w:val="bottom"/>
            <w:hideMark/>
          </w:tcPr>
          <w:p w14:paraId="13A46FFF"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As at</w:t>
            </w:r>
          </w:p>
        </w:tc>
      </w:tr>
      <w:tr w:rsidR="005B5953" w:rsidRPr="005B12AE" w14:paraId="3F727C75" w14:textId="77777777" w:rsidTr="00250DAC">
        <w:trPr>
          <w:trHeight w:val="20"/>
        </w:trPr>
        <w:tc>
          <w:tcPr>
            <w:tcW w:w="2319" w:type="pct"/>
            <w:gridSpan w:val="3"/>
            <w:vMerge/>
            <w:shd w:val="clear" w:color="auto" w:fill="D0CECE" w:themeFill="background2" w:themeFillShade="E6"/>
            <w:vAlign w:val="center"/>
          </w:tcPr>
          <w:p w14:paraId="2CEA63C3" w14:textId="77777777" w:rsidR="005B5953" w:rsidRPr="005B12AE" w:rsidRDefault="005B5953" w:rsidP="00250DAC">
            <w:pPr>
              <w:spacing w:after="0" w:line="240" w:lineRule="auto"/>
              <w:rPr>
                <w:rFonts w:ascii="Times New Roman" w:hAnsi="Times New Roman"/>
                <w:b/>
                <w:bCs/>
                <w:sz w:val="20"/>
                <w:szCs w:val="20"/>
              </w:rPr>
            </w:pPr>
          </w:p>
        </w:tc>
        <w:tc>
          <w:tcPr>
            <w:tcW w:w="332" w:type="pct"/>
            <w:vMerge/>
            <w:shd w:val="clear" w:color="auto" w:fill="D0CECE" w:themeFill="background2" w:themeFillShade="E6"/>
            <w:vAlign w:val="center"/>
            <w:hideMark/>
          </w:tcPr>
          <w:p w14:paraId="3701FFA4" w14:textId="77777777" w:rsidR="005B5953" w:rsidRPr="005B12AE" w:rsidRDefault="005B5953" w:rsidP="00250DAC">
            <w:pPr>
              <w:spacing w:after="0" w:line="240" w:lineRule="auto"/>
              <w:rPr>
                <w:rFonts w:ascii="Times New Roman" w:hAnsi="Times New Roman"/>
                <w:b/>
                <w:bCs/>
                <w:sz w:val="20"/>
                <w:szCs w:val="20"/>
              </w:rPr>
            </w:pPr>
          </w:p>
        </w:tc>
        <w:tc>
          <w:tcPr>
            <w:tcW w:w="789" w:type="pct"/>
            <w:shd w:val="clear" w:color="auto" w:fill="D0CECE" w:themeFill="background2" w:themeFillShade="E6"/>
            <w:noWrap/>
            <w:vAlign w:val="bottom"/>
            <w:hideMark/>
          </w:tcPr>
          <w:p w14:paraId="62B8FB36"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31/03/2023</w:t>
            </w:r>
          </w:p>
        </w:tc>
        <w:tc>
          <w:tcPr>
            <w:tcW w:w="780" w:type="pct"/>
            <w:shd w:val="clear" w:color="auto" w:fill="D0CECE" w:themeFill="background2" w:themeFillShade="E6"/>
            <w:noWrap/>
            <w:vAlign w:val="bottom"/>
            <w:hideMark/>
          </w:tcPr>
          <w:p w14:paraId="6D8A2F2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31/03/2022</w:t>
            </w:r>
          </w:p>
        </w:tc>
        <w:tc>
          <w:tcPr>
            <w:tcW w:w="780" w:type="pct"/>
            <w:shd w:val="clear" w:color="auto" w:fill="D0CECE" w:themeFill="background2" w:themeFillShade="E6"/>
            <w:noWrap/>
            <w:vAlign w:val="bottom"/>
            <w:hideMark/>
          </w:tcPr>
          <w:p w14:paraId="693F60D3"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31/03/2021</w:t>
            </w:r>
          </w:p>
        </w:tc>
      </w:tr>
      <w:tr w:rsidR="005B5953" w:rsidRPr="005B12AE" w14:paraId="704DD6AA" w14:textId="77777777" w:rsidTr="00250DAC">
        <w:trPr>
          <w:trHeight w:val="20"/>
        </w:trPr>
        <w:tc>
          <w:tcPr>
            <w:tcW w:w="215" w:type="pct"/>
            <w:shd w:val="clear" w:color="auto" w:fill="auto"/>
            <w:noWrap/>
            <w:vAlign w:val="bottom"/>
            <w:hideMark/>
          </w:tcPr>
          <w:p w14:paraId="261D6D5F"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A)</w:t>
            </w:r>
          </w:p>
        </w:tc>
        <w:tc>
          <w:tcPr>
            <w:tcW w:w="2104" w:type="pct"/>
            <w:gridSpan w:val="2"/>
            <w:shd w:val="clear" w:color="auto" w:fill="auto"/>
            <w:noWrap/>
            <w:vAlign w:val="bottom"/>
            <w:hideMark/>
          </w:tcPr>
          <w:p w14:paraId="51F99952"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EQUITY AND LIABILITIES</w:t>
            </w:r>
          </w:p>
        </w:tc>
        <w:tc>
          <w:tcPr>
            <w:tcW w:w="332" w:type="pct"/>
            <w:shd w:val="clear" w:color="auto" w:fill="auto"/>
            <w:noWrap/>
            <w:vAlign w:val="bottom"/>
            <w:hideMark/>
          </w:tcPr>
          <w:p w14:paraId="6F7BC763"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789" w:type="pct"/>
            <w:shd w:val="clear" w:color="auto" w:fill="auto"/>
            <w:noWrap/>
            <w:vAlign w:val="bottom"/>
            <w:hideMark/>
          </w:tcPr>
          <w:p w14:paraId="7A9D10AE" w14:textId="77777777" w:rsidR="005B5953" w:rsidRPr="005B12AE" w:rsidRDefault="005B5953" w:rsidP="00250DAC">
            <w:pPr>
              <w:spacing w:after="0" w:line="240" w:lineRule="auto"/>
              <w:jc w:val="center"/>
              <w:rPr>
                <w:rFonts w:ascii="Times New Roman" w:hAnsi="Times New Roman"/>
                <w:sz w:val="20"/>
                <w:szCs w:val="20"/>
              </w:rPr>
            </w:pPr>
          </w:p>
        </w:tc>
        <w:tc>
          <w:tcPr>
            <w:tcW w:w="780" w:type="pct"/>
            <w:shd w:val="clear" w:color="auto" w:fill="auto"/>
            <w:noWrap/>
            <w:vAlign w:val="bottom"/>
            <w:hideMark/>
          </w:tcPr>
          <w:p w14:paraId="7695DCD1" w14:textId="77777777" w:rsidR="005B5953" w:rsidRPr="005B12AE" w:rsidRDefault="005B5953" w:rsidP="00250DAC">
            <w:pPr>
              <w:spacing w:after="0" w:line="240" w:lineRule="auto"/>
              <w:jc w:val="center"/>
              <w:rPr>
                <w:rFonts w:ascii="Times New Roman" w:hAnsi="Times New Roman"/>
                <w:sz w:val="20"/>
                <w:szCs w:val="20"/>
              </w:rPr>
            </w:pPr>
          </w:p>
        </w:tc>
        <w:tc>
          <w:tcPr>
            <w:tcW w:w="780" w:type="pct"/>
            <w:shd w:val="clear" w:color="auto" w:fill="auto"/>
            <w:noWrap/>
            <w:vAlign w:val="bottom"/>
            <w:hideMark/>
          </w:tcPr>
          <w:p w14:paraId="6E4536A2"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60A9C306" w14:textId="77777777" w:rsidTr="00250DAC">
        <w:trPr>
          <w:trHeight w:val="20"/>
        </w:trPr>
        <w:tc>
          <w:tcPr>
            <w:tcW w:w="215" w:type="pct"/>
            <w:shd w:val="clear" w:color="auto" w:fill="auto"/>
            <w:noWrap/>
            <w:vAlign w:val="bottom"/>
            <w:hideMark/>
          </w:tcPr>
          <w:p w14:paraId="753134A9"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1.</w:t>
            </w:r>
          </w:p>
        </w:tc>
        <w:tc>
          <w:tcPr>
            <w:tcW w:w="2104" w:type="pct"/>
            <w:gridSpan w:val="2"/>
            <w:shd w:val="clear" w:color="auto" w:fill="auto"/>
            <w:noWrap/>
            <w:vAlign w:val="bottom"/>
            <w:hideMark/>
          </w:tcPr>
          <w:p w14:paraId="7BBE2FCD"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Shareholders' Funds </w:t>
            </w:r>
          </w:p>
        </w:tc>
        <w:tc>
          <w:tcPr>
            <w:tcW w:w="332" w:type="pct"/>
            <w:shd w:val="clear" w:color="auto" w:fill="auto"/>
            <w:noWrap/>
            <w:vAlign w:val="bottom"/>
            <w:hideMark/>
          </w:tcPr>
          <w:p w14:paraId="4A3CC7C7"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789" w:type="pct"/>
            <w:shd w:val="clear" w:color="auto" w:fill="auto"/>
            <w:noWrap/>
            <w:vAlign w:val="bottom"/>
            <w:hideMark/>
          </w:tcPr>
          <w:p w14:paraId="18C90452" w14:textId="77777777" w:rsidR="005B5953" w:rsidRPr="005B12AE" w:rsidRDefault="005B5953" w:rsidP="00250DAC">
            <w:pPr>
              <w:spacing w:after="0" w:line="240" w:lineRule="auto"/>
              <w:jc w:val="center"/>
              <w:rPr>
                <w:rFonts w:ascii="Times New Roman" w:hAnsi="Times New Roman"/>
                <w:sz w:val="20"/>
                <w:szCs w:val="20"/>
              </w:rPr>
            </w:pPr>
          </w:p>
        </w:tc>
        <w:tc>
          <w:tcPr>
            <w:tcW w:w="780" w:type="pct"/>
            <w:shd w:val="clear" w:color="auto" w:fill="auto"/>
            <w:noWrap/>
            <w:vAlign w:val="bottom"/>
            <w:hideMark/>
          </w:tcPr>
          <w:p w14:paraId="72B78E42" w14:textId="77777777" w:rsidR="005B5953" w:rsidRPr="005B12AE" w:rsidRDefault="005B5953" w:rsidP="00250DAC">
            <w:pPr>
              <w:spacing w:after="0" w:line="240" w:lineRule="auto"/>
              <w:jc w:val="center"/>
              <w:rPr>
                <w:rFonts w:ascii="Times New Roman" w:hAnsi="Times New Roman"/>
                <w:sz w:val="20"/>
                <w:szCs w:val="20"/>
              </w:rPr>
            </w:pPr>
          </w:p>
        </w:tc>
        <w:tc>
          <w:tcPr>
            <w:tcW w:w="780" w:type="pct"/>
            <w:shd w:val="clear" w:color="auto" w:fill="auto"/>
            <w:noWrap/>
            <w:vAlign w:val="bottom"/>
            <w:hideMark/>
          </w:tcPr>
          <w:p w14:paraId="06D97D54"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756076EF" w14:textId="77777777" w:rsidTr="00250DAC">
        <w:trPr>
          <w:trHeight w:val="20"/>
        </w:trPr>
        <w:tc>
          <w:tcPr>
            <w:tcW w:w="215" w:type="pct"/>
            <w:shd w:val="clear" w:color="auto" w:fill="auto"/>
            <w:noWrap/>
            <w:vAlign w:val="bottom"/>
            <w:hideMark/>
          </w:tcPr>
          <w:p w14:paraId="6BABB044"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(a)</w:t>
            </w:r>
          </w:p>
        </w:tc>
        <w:tc>
          <w:tcPr>
            <w:tcW w:w="2104" w:type="pct"/>
            <w:gridSpan w:val="2"/>
            <w:shd w:val="clear" w:color="auto" w:fill="auto"/>
            <w:noWrap/>
            <w:vAlign w:val="bottom"/>
            <w:hideMark/>
          </w:tcPr>
          <w:p w14:paraId="349620E8"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Share Capital</w:t>
            </w:r>
          </w:p>
        </w:tc>
        <w:tc>
          <w:tcPr>
            <w:tcW w:w="332" w:type="pct"/>
            <w:shd w:val="clear" w:color="auto" w:fill="auto"/>
            <w:noWrap/>
            <w:vAlign w:val="bottom"/>
            <w:hideMark/>
          </w:tcPr>
          <w:p w14:paraId="7E793606"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A</w:t>
            </w:r>
          </w:p>
        </w:tc>
        <w:tc>
          <w:tcPr>
            <w:tcW w:w="789" w:type="pct"/>
            <w:shd w:val="clear" w:color="auto" w:fill="auto"/>
            <w:noWrap/>
            <w:vAlign w:val="bottom"/>
            <w:hideMark/>
          </w:tcPr>
          <w:p w14:paraId="0B1A8AE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1,380.55</w:t>
            </w:r>
          </w:p>
        </w:tc>
        <w:tc>
          <w:tcPr>
            <w:tcW w:w="780" w:type="pct"/>
            <w:shd w:val="clear" w:color="auto" w:fill="auto"/>
            <w:noWrap/>
            <w:vAlign w:val="bottom"/>
            <w:hideMark/>
          </w:tcPr>
          <w:p w14:paraId="144F8A2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1,380.55</w:t>
            </w:r>
          </w:p>
        </w:tc>
        <w:tc>
          <w:tcPr>
            <w:tcW w:w="780" w:type="pct"/>
            <w:shd w:val="clear" w:color="auto" w:fill="auto"/>
            <w:noWrap/>
            <w:vAlign w:val="bottom"/>
            <w:hideMark/>
          </w:tcPr>
          <w:p w14:paraId="4A74940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1,380.55</w:t>
            </w:r>
          </w:p>
        </w:tc>
      </w:tr>
      <w:tr w:rsidR="005B5953" w:rsidRPr="005B12AE" w14:paraId="58877584" w14:textId="77777777" w:rsidTr="00250DAC">
        <w:trPr>
          <w:trHeight w:val="20"/>
        </w:trPr>
        <w:tc>
          <w:tcPr>
            <w:tcW w:w="215" w:type="pct"/>
            <w:shd w:val="clear" w:color="auto" w:fill="auto"/>
            <w:noWrap/>
            <w:vAlign w:val="bottom"/>
            <w:hideMark/>
          </w:tcPr>
          <w:p w14:paraId="10BFA238"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(b)</w:t>
            </w:r>
          </w:p>
        </w:tc>
        <w:tc>
          <w:tcPr>
            <w:tcW w:w="2104" w:type="pct"/>
            <w:gridSpan w:val="2"/>
            <w:shd w:val="clear" w:color="auto" w:fill="auto"/>
            <w:noWrap/>
            <w:vAlign w:val="bottom"/>
            <w:hideMark/>
          </w:tcPr>
          <w:p w14:paraId="22BEE755"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Reserves &amp; Surplus</w:t>
            </w:r>
          </w:p>
        </w:tc>
        <w:tc>
          <w:tcPr>
            <w:tcW w:w="332" w:type="pct"/>
            <w:shd w:val="clear" w:color="auto" w:fill="auto"/>
            <w:noWrap/>
            <w:vAlign w:val="bottom"/>
            <w:hideMark/>
          </w:tcPr>
          <w:p w14:paraId="10BD691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A</w:t>
            </w:r>
          </w:p>
        </w:tc>
        <w:tc>
          <w:tcPr>
            <w:tcW w:w="789" w:type="pct"/>
            <w:shd w:val="clear" w:color="auto" w:fill="auto"/>
            <w:noWrap/>
            <w:vAlign w:val="bottom"/>
            <w:hideMark/>
          </w:tcPr>
          <w:p w14:paraId="4D748C1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3,261.57</w:t>
            </w:r>
          </w:p>
        </w:tc>
        <w:tc>
          <w:tcPr>
            <w:tcW w:w="780" w:type="pct"/>
            <w:shd w:val="clear" w:color="auto" w:fill="auto"/>
            <w:noWrap/>
            <w:vAlign w:val="bottom"/>
            <w:hideMark/>
          </w:tcPr>
          <w:p w14:paraId="0B2E285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2,496.16</w:t>
            </w:r>
          </w:p>
        </w:tc>
        <w:tc>
          <w:tcPr>
            <w:tcW w:w="780" w:type="pct"/>
            <w:shd w:val="clear" w:color="auto" w:fill="auto"/>
            <w:noWrap/>
            <w:vAlign w:val="bottom"/>
            <w:hideMark/>
          </w:tcPr>
          <w:p w14:paraId="04CD717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2,173.68</w:t>
            </w:r>
          </w:p>
        </w:tc>
      </w:tr>
      <w:tr w:rsidR="005B5953" w:rsidRPr="005B12AE" w14:paraId="4C96D96F" w14:textId="77777777" w:rsidTr="00250DAC">
        <w:trPr>
          <w:trHeight w:val="20"/>
        </w:trPr>
        <w:tc>
          <w:tcPr>
            <w:tcW w:w="215" w:type="pct"/>
            <w:shd w:val="clear" w:color="auto" w:fill="auto"/>
            <w:noWrap/>
            <w:vAlign w:val="bottom"/>
            <w:hideMark/>
          </w:tcPr>
          <w:p w14:paraId="5FB43021"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(c)</w:t>
            </w:r>
          </w:p>
        </w:tc>
        <w:tc>
          <w:tcPr>
            <w:tcW w:w="2104" w:type="pct"/>
            <w:gridSpan w:val="2"/>
            <w:shd w:val="clear" w:color="auto" w:fill="auto"/>
            <w:noWrap/>
            <w:vAlign w:val="bottom"/>
            <w:hideMark/>
          </w:tcPr>
          <w:p w14:paraId="1EA74066"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Share Application Money</w:t>
            </w:r>
          </w:p>
        </w:tc>
        <w:tc>
          <w:tcPr>
            <w:tcW w:w="332" w:type="pct"/>
            <w:shd w:val="clear" w:color="auto" w:fill="auto"/>
            <w:noWrap/>
            <w:vAlign w:val="bottom"/>
            <w:hideMark/>
          </w:tcPr>
          <w:p w14:paraId="115E5DCD"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789" w:type="pct"/>
            <w:shd w:val="clear" w:color="auto" w:fill="auto"/>
            <w:noWrap/>
            <w:vAlign w:val="bottom"/>
            <w:hideMark/>
          </w:tcPr>
          <w:p w14:paraId="6C4145A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80" w:type="pct"/>
            <w:shd w:val="clear" w:color="auto" w:fill="auto"/>
            <w:noWrap/>
            <w:vAlign w:val="bottom"/>
            <w:hideMark/>
          </w:tcPr>
          <w:p w14:paraId="1F1A231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80" w:type="pct"/>
            <w:shd w:val="clear" w:color="auto" w:fill="auto"/>
            <w:noWrap/>
            <w:vAlign w:val="bottom"/>
            <w:hideMark/>
          </w:tcPr>
          <w:p w14:paraId="48C1C45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0C0419AD" w14:textId="77777777" w:rsidTr="00250DAC">
        <w:trPr>
          <w:trHeight w:val="20"/>
        </w:trPr>
        <w:tc>
          <w:tcPr>
            <w:tcW w:w="215" w:type="pct"/>
            <w:shd w:val="clear" w:color="auto" w:fill="auto"/>
            <w:noWrap/>
            <w:vAlign w:val="bottom"/>
            <w:hideMark/>
          </w:tcPr>
          <w:p w14:paraId="52205343" w14:textId="77777777" w:rsidR="005B5953" w:rsidRPr="005B12AE" w:rsidRDefault="005B5953" w:rsidP="00250DAC">
            <w:pPr>
              <w:spacing w:after="0" w:line="240" w:lineRule="auto"/>
              <w:rPr>
                <w:rFonts w:ascii="Times New Roman" w:hAnsi="Times New Roman"/>
                <w:sz w:val="20"/>
                <w:szCs w:val="20"/>
              </w:rPr>
            </w:pPr>
          </w:p>
        </w:tc>
        <w:tc>
          <w:tcPr>
            <w:tcW w:w="2104" w:type="pct"/>
            <w:gridSpan w:val="2"/>
            <w:shd w:val="clear" w:color="auto" w:fill="auto"/>
            <w:noWrap/>
            <w:vAlign w:val="bottom"/>
            <w:hideMark/>
          </w:tcPr>
          <w:p w14:paraId="3D27064F" w14:textId="77777777" w:rsidR="005B5953" w:rsidRPr="005B12AE" w:rsidRDefault="005B5953" w:rsidP="00250DAC">
            <w:pPr>
              <w:spacing w:after="0" w:line="240" w:lineRule="auto"/>
              <w:rPr>
                <w:rFonts w:ascii="Times New Roman" w:hAnsi="Times New Roman"/>
                <w:sz w:val="20"/>
                <w:szCs w:val="20"/>
              </w:rPr>
            </w:pPr>
          </w:p>
        </w:tc>
        <w:tc>
          <w:tcPr>
            <w:tcW w:w="332" w:type="pct"/>
            <w:shd w:val="clear" w:color="auto" w:fill="auto"/>
            <w:noWrap/>
            <w:vAlign w:val="bottom"/>
            <w:hideMark/>
          </w:tcPr>
          <w:p w14:paraId="1D29DDCB"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789" w:type="pct"/>
            <w:shd w:val="clear" w:color="auto" w:fill="auto"/>
            <w:noWrap/>
            <w:vAlign w:val="bottom"/>
            <w:hideMark/>
          </w:tcPr>
          <w:p w14:paraId="6A2E6718"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4,642.12</w:t>
            </w:r>
          </w:p>
        </w:tc>
        <w:tc>
          <w:tcPr>
            <w:tcW w:w="780" w:type="pct"/>
            <w:shd w:val="clear" w:color="auto" w:fill="auto"/>
            <w:noWrap/>
            <w:vAlign w:val="bottom"/>
            <w:hideMark/>
          </w:tcPr>
          <w:p w14:paraId="1136065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3,876.71</w:t>
            </w:r>
          </w:p>
        </w:tc>
        <w:tc>
          <w:tcPr>
            <w:tcW w:w="780" w:type="pct"/>
            <w:shd w:val="clear" w:color="auto" w:fill="auto"/>
            <w:noWrap/>
            <w:vAlign w:val="bottom"/>
            <w:hideMark/>
          </w:tcPr>
          <w:p w14:paraId="609D424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3,554.23</w:t>
            </w:r>
          </w:p>
        </w:tc>
      </w:tr>
      <w:tr w:rsidR="005B5953" w:rsidRPr="005B12AE" w14:paraId="4B6FEE1F" w14:textId="77777777" w:rsidTr="00250DAC">
        <w:trPr>
          <w:trHeight w:val="20"/>
        </w:trPr>
        <w:tc>
          <w:tcPr>
            <w:tcW w:w="215" w:type="pct"/>
            <w:shd w:val="clear" w:color="auto" w:fill="auto"/>
            <w:noWrap/>
            <w:vAlign w:val="bottom"/>
            <w:hideMark/>
          </w:tcPr>
          <w:p w14:paraId="1459B5B3"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2.</w:t>
            </w:r>
          </w:p>
        </w:tc>
        <w:tc>
          <w:tcPr>
            <w:tcW w:w="2104" w:type="pct"/>
            <w:gridSpan w:val="2"/>
            <w:shd w:val="clear" w:color="auto" w:fill="auto"/>
            <w:noWrap/>
            <w:vAlign w:val="bottom"/>
            <w:hideMark/>
          </w:tcPr>
          <w:p w14:paraId="509C622D"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Non-Current Liabilities </w:t>
            </w:r>
          </w:p>
        </w:tc>
        <w:tc>
          <w:tcPr>
            <w:tcW w:w="332" w:type="pct"/>
            <w:shd w:val="clear" w:color="auto" w:fill="auto"/>
            <w:noWrap/>
            <w:vAlign w:val="bottom"/>
            <w:hideMark/>
          </w:tcPr>
          <w:p w14:paraId="1A6F437F"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789" w:type="pct"/>
            <w:shd w:val="clear" w:color="auto" w:fill="auto"/>
            <w:noWrap/>
            <w:vAlign w:val="bottom"/>
            <w:hideMark/>
          </w:tcPr>
          <w:p w14:paraId="397D2F3C" w14:textId="77777777" w:rsidR="005B5953" w:rsidRPr="005B12AE" w:rsidRDefault="005B5953" w:rsidP="00250DAC">
            <w:pPr>
              <w:spacing w:after="0" w:line="240" w:lineRule="auto"/>
              <w:jc w:val="center"/>
              <w:rPr>
                <w:rFonts w:ascii="Times New Roman" w:hAnsi="Times New Roman"/>
                <w:sz w:val="20"/>
                <w:szCs w:val="20"/>
              </w:rPr>
            </w:pPr>
          </w:p>
        </w:tc>
        <w:tc>
          <w:tcPr>
            <w:tcW w:w="780" w:type="pct"/>
            <w:shd w:val="clear" w:color="auto" w:fill="auto"/>
            <w:noWrap/>
            <w:vAlign w:val="bottom"/>
            <w:hideMark/>
          </w:tcPr>
          <w:p w14:paraId="1289F14F" w14:textId="77777777" w:rsidR="005B5953" w:rsidRPr="005B12AE" w:rsidRDefault="005B5953" w:rsidP="00250DAC">
            <w:pPr>
              <w:spacing w:after="0" w:line="240" w:lineRule="auto"/>
              <w:jc w:val="center"/>
              <w:rPr>
                <w:rFonts w:ascii="Times New Roman" w:hAnsi="Times New Roman"/>
                <w:sz w:val="20"/>
                <w:szCs w:val="20"/>
              </w:rPr>
            </w:pPr>
          </w:p>
        </w:tc>
        <w:tc>
          <w:tcPr>
            <w:tcW w:w="780" w:type="pct"/>
            <w:shd w:val="clear" w:color="auto" w:fill="auto"/>
            <w:noWrap/>
            <w:vAlign w:val="bottom"/>
            <w:hideMark/>
          </w:tcPr>
          <w:p w14:paraId="50FB1560"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73BE14DA" w14:textId="77777777" w:rsidTr="00250DAC">
        <w:trPr>
          <w:trHeight w:val="20"/>
        </w:trPr>
        <w:tc>
          <w:tcPr>
            <w:tcW w:w="215" w:type="pct"/>
            <w:shd w:val="clear" w:color="auto" w:fill="auto"/>
            <w:noWrap/>
            <w:vAlign w:val="bottom"/>
            <w:hideMark/>
          </w:tcPr>
          <w:p w14:paraId="200F0AD5"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(a)</w:t>
            </w:r>
          </w:p>
        </w:tc>
        <w:tc>
          <w:tcPr>
            <w:tcW w:w="2104" w:type="pct"/>
            <w:gridSpan w:val="2"/>
            <w:shd w:val="clear" w:color="auto" w:fill="auto"/>
            <w:noWrap/>
            <w:vAlign w:val="bottom"/>
            <w:hideMark/>
          </w:tcPr>
          <w:p w14:paraId="7C1F529C"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Long Term Borrowings</w:t>
            </w:r>
          </w:p>
        </w:tc>
        <w:tc>
          <w:tcPr>
            <w:tcW w:w="332" w:type="pct"/>
            <w:shd w:val="clear" w:color="auto" w:fill="auto"/>
            <w:noWrap/>
            <w:vAlign w:val="bottom"/>
            <w:hideMark/>
          </w:tcPr>
          <w:p w14:paraId="58B1249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B</w:t>
            </w:r>
          </w:p>
        </w:tc>
        <w:tc>
          <w:tcPr>
            <w:tcW w:w="789" w:type="pct"/>
            <w:shd w:val="clear" w:color="auto" w:fill="auto"/>
            <w:noWrap/>
            <w:vAlign w:val="bottom"/>
            <w:hideMark/>
          </w:tcPr>
          <w:p w14:paraId="1ED52FF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702.81</w:t>
            </w:r>
          </w:p>
        </w:tc>
        <w:tc>
          <w:tcPr>
            <w:tcW w:w="780" w:type="pct"/>
            <w:shd w:val="clear" w:color="auto" w:fill="auto"/>
            <w:noWrap/>
            <w:vAlign w:val="bottom"/>
            <w:hideMark/>
          </w:tcPr>
          <w:p w14:paraId="739EB7C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269.05</w:t>
            </w:r>
          </w:p>
        </w:tc>
        <w:tc>
          <w:tcPr>
            <w:tcW w:w="780" w:type="pct"/>
            <w:shd w:val="clear" w:color="auto" w:fill="auto"/>
            <w:noWrap/>
            <w:vAlign w:val="bottom"/>
            <w:hideMark/>
          </w:tcPr>
          <w:p w14:paraId="2AFE2AD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1,585.38</w:t>
            </w:r>
          </w:p>
        </w:tc>
      </w:tr>
      <w:tr w:rsidR="005B5953" w:rsidRPr="005B12AE" w14:paraId="5C2C66E5" w14:textId="77777777" w:rsidTr="00250DAC">
        <w:trPr>
          <w:trHeight w:val="20"/>
        </w:trPr>
        <w:tc>
          <w:tcPr>
            <w:tcW w:w="215" w:type="pct"/>
            <w:shd w:val="clear" w:color="auto" w:fill="auto"/>
            <w:noWrap/>
            <w:vAlign w:val="bottom"/>
            <w:hideMark/>
          </w:tcPr>
          <w:p w14:paraId="5E32E97A"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(b)</w:t>
            </w:r>
          </w:p>
        </w:tc>
        <w:tc>
          <w:tcPr>
            <w:tcW w:w="2104" w:type="pct"/>
            <w:gridSpan w:val="2"/>
            <w:shd w:val="clear" w:color="auto" w:fill="auto"/>
            <w:noWrap/>
            <w:vAlign w:val="bottom"/>
            <w:hideMark/>
          </w:tcPr>
          <w:p w14:paraId="6233D7F1"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Deferred Tax Liabilities (Net)</w:t>
            </w:r>
          </w:p>
        </w:tc>
        <w:tc>
          <w:tcPr>
            <w:tcW w:w="332" w:type="pct"/>
            <w:shd w:val="clear" w:color="auto" w:fill="auto"/>
            <w:noWrap/>
            <w:vAlign w:val="bottom"/>
            <w:hideMark/>
          </w:tcPr>
          <w:p w14:paraId="79F02498"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C</w:t>
            </w:r>
          </w:p>
        </w:tc>
        <w:tc>
          <w:tcPr>
            <w:tcW w:w="789" w:type="pct"/>
            <w:shd w:val="clear" w:color="auto" w:fill="auto"/>
            <w:noWrap/>
            <w:vAlign w:val="bottom"/>
            <w:hideMark/>
          </w:tcPr>
          <w:p w14:paraId="0CB8D89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80" w:type="pct"/>
            <w:shd w:val="clear" w:color="auto" w:fill="auto"/>
            <w:noWrap/>
            <w:vAlign w:val="bottom"/>
            <w:hideMark/>
          </w:tcPr>
          <w:p w14:paraId="2A5954E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80" w:type="pct"/>
            <w:shd w:val="clear" w:color="auto" w:fill="auto"/>
            <w:noWrap/>
            <w:vAlign w:val="bottom"/>
            <w:hideMark/>
          </w:tcPr>
          <w:p w14:paraId="401AB8B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5B196473" w14:textId="77777777" w:rsidTr="00250DAC">
        <w:trPr>
          <w:trHeight w:val="20"/>
        </w:trPr>
        <w:tc>
          <w:tcPr>
            <w:tcW w:w="215" w:type="pct"/>
            <w:shd w:val="clear" w:color="auto" w:fill="auto"/>
            <w:noWrap/>
            <w:vAlign w:val="bottom"/>
            <w:hideMark/>
          </w:tcPr>
          <w:p w14:paraId="2E743E0D"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(c)</w:t>
            </w:r>
          </w:p>
        </w:tc>
        <w:tc>
          <w:tcPr>
            <w:tcW w:w="2104" w:type="pct"/>
            <w:gridSpan w:val="2"/>
            <w:shd w:val="clear" w:color="auto" w:fill="auto"/>
            <w:noWrap/>
            <w:vAlign w:val="bottom"/>
            <w:hideMark/>
          </w:tcPr>
          <w:p w14:paraId="3C7D50EA"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Long Term Provisions</w:t>
            </w:r>
          </w:p>
        </w:tc>
        <w:tc>
          <w:tcPr>
            <w:tcW w:w="332" w:type="pct"/>
            <w:shd w:val="clear" w:color="auto" w:fill="auto"/>
            <w:noWrap/>
            <w:vAlign w:val="bottom"/>
            <w:hideMark/>
          </w:tcPr>
          <w:p w14:paraId="2E95F2D5"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C1</w:t>
            </w:r>
          </w:p>
        </w:tc>
        <w:tc>
          <w:tcPr>
            <w:tcW w:w="789" w:type="pct"/>
            <w:shd w:val="clear" w:color="auto" w:fill="auto"/>
            <w:noWrap/>
            <w:vAlign w:val="bottom"/>
            <w:hideMark/>
          </w:tcPr>
          <w:p w14:paraId="4991965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20.21</w:t>
            </w:r>
          </w:p>
        </w:tc>
        <w:tc>
          <w:tcPr>
            <w:tcW w:w="780" w:type="pct"/>
            <w:shd w:val="clear" w:color="auto" w:fill="auto"/>
            <w:noWrap/>
            <w:vAlign w:val="bottom"/>
            <w:hideMark/>
          </w:tcPr>
          <w:p w14:paraId="714173F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17.34</w:t>
            </w:r>
          </w:p>
        </w:tc>
        <w:tc>
          <w:tcPr>
            <w:tcW w:w="780" w:type="pct"/>
            <w:shd w:val="clear" w:color="auto" w:fill="auto"/>
            <w:noWrap/>
            <w:vAlign w:val="bottom"/>
            <w:hideMark/>
          </w:tcPr>
          <w:p w14:paraId="770A242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15.68</w:t>
            </w:r>
          </w:p>
        </w:tc>
      </w:tr>
      <w:tr w:rsidR="005B5953" w:rsidRPr="005B12AE" w14:paraId="53834FD8" w14:textId="77777777" w:rsidTr="00250DAC">
        <w:trPr>
          <w:trHeight w:val="20"/>
        </w:trPr>
        <w:tc>
          <w:tcPr>
            <w:tcW w:w="215" w:type="pct"/>
            <w:shd w:val="clear" w:color="auto" w:fill="auto"/>
            <w:noWrap/>
            <w:vAlign w:val="bottom"/>
            <w:hideMark/>
          </w:tcPr>
          <w:p w14:paraId="782F74DA" w14:textId="77777777" w:rsidR="005B5953" w:rsidRPr="005B12AE" w:rsidRDefault="005B5953" w:rsidP="00250DAC">
            <w:pPr>
              <w:spacing w:after="0" w:line="240" w:lineRule="auto"/>
              <w:rPr>
                <w:rFonts w:ascii="Times New Roman" w:hAnsi="Times New Roman"/>
                <w:sz w:val="20"/>
                <w:szCs w:val="20"/>
              </w:rPr>
            </w:pPr>
          </w:p>
        </w:tc>
        <w:tc>
          <w:tcPr>
            <w:tcW w:w="2104" w:type="pct"/>
            <w:gridSpan w:val="2"/>
            <w:shd w:val="clear" w:color="auto" w:fill="auto"/>
            <w:noWrap/>
            <w:vAlign w:val="bottom"/>
            <w:hideMark/>
          </w:tcPr>
          <w:p w14:paraId="4FA2D0AC" w14:textId="77777777" w:rsidR="005B5953" w:rsidRPr="005B12AE" w:rsidRDefault="005B5953" w:rsidP="00250DAC">
            <w:pPr>
              <w:spacing w:after="0" w:line="240" w:lineRule="auto"/>
              <w:rPr>
                <w:rFonts w:ascii="Times New Roman" w:hAnsi="Times New Roman"/>
                <w:sz w:val="20"/>
                <w:szCs w:val="20"/>
              </w:rPr>
            </w:pPr>
          </w:p>
        </w:tc>
        <w:tc>
          <w:tcPr>
            <w:tcW w:w="332" w:type="pct"/>
            <w:shd w:val="clear" w:color="auto" w:fill="auto"/>
            <w:noWrap/>
            <w:vAlign w:val="bottom"/>
            <w:hideMark/>
          </w:tcPr>
          <w:p w14:paraId="342C2B87"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789" w:type="pct"/>
            <w:shd w:val="clear" w:color="auto" w:fill="auto"/>
            <w:noWrap/>
            <w:vAlign w:val="bottom"/>
            <w:hideMark/>
          </w:tcPr>
          <w:p w14:paraId="1D8EBA1A"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723.02</w:t>
            </w:r>
          </w:p>
        </w:tc>
        <w:tc>
          <w:tcPr>
            <w:tcW w:w="780" w:type="pct"/>
            <w:shd w:val="clear" w:color="auto" w:fill="auto"/>
            <w:noWrap/>
            <w:vAlign w:val="bottom"/>
            <w:hideMark/>
          </w:tcPr>
          <w:p w14:paraId="07864C0B"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286.38</w:t>
            </w:r>
          </w:p>
        </w:tc>
        <w:tc>
          <w:tcPr>
            <w:tcW w:w="780" w:type="pct"/>
            <w:shd w:val="clear" w:color="auto" w:fill="auto"/>
            <w:noWrap/>
            <w:vAlign w:val="bottom"/>
            <w:hideMark/>
          </w:tcPr>
          <w:p w14:paraId="461FF83E"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1,601.06</w:t>
            </w:r>
          </w:p>
        </w:tc>
      </w:tr>
      <w:tr w:rsidR="005B5953" w:rsidRPr="005B12AE" w14:paraId="09614B6A" w14:textId="77777777" w:rsidTr="00250DAC">
        <w:trPr>
          <w:trHeight w:val="20"/>
        </w:trPr>
        <w:tc>
          <w:tcPr>
            <w:tcW w:w="215" w:type="pct"/>
            <w:shd w:val="clear" w:color="auto" w:fill="auto"/>
            <w:noWrap/>
            <w:vAlign w:val="bottom"/>
            <w:hideMark/>
          </w:tcPr>
          <w:p w14:paraId="6F9AEBD4"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3.</w:t>
            </w:r>
          </w:p>
        </w:tc>
        <w:tc>
          <w:tcPr>
            <w:tcW w:w="2104" w:type="pct"/>
            <w:gridSpan w:val="2"/>
            <w:shd w:val="clear" w:color="auto" w:fill="auto"/>
            <w:noWrap/>
            <w:vAlign w:val="bottom"/>
            <w:hideMark/>
          </w:tcPr>
          <w:p w14:paraId="25562678"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Current Liabilities </w:t>
            </w:r>
          </w:p>
        </w:tc>
        <w:tc>
          <w:tcPr>
            <w:tcW w:w="332" w:type="pct"/>
            <w:shd w:val="clear" w:color="auto" w:fill="auto"/>
            <w:noWrap/>
            <w:vAlign w:val="bottom"/>
            <w:hideMark/>
          </w:tcPr>
          <w:p w14:paraId="750E8635"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789" w:type="pct"/>
            <w:shd w:val="clear" w:color="auto" w:fill="auto"/>
            <w:noWrap/>
            <w:vAlign w:val="bottom"/>
            <w:hideMark/>
          </w:tcPr>
          <w:p w14:paraId="493F9D6F" w14:textId="77777777" w:rsidR="005B5953" w:rsidRPr="005B12AE" w:rsidRDefault="005B5953" w:rsidP="00250DAC">
            <w:pPr>
              <w:spacing w:after="0" w:line="240" w:lineRule="auto"/>
              <w:jc w:val="center"/>
              <w:rPr>
                <w:rFonts w:ascii="Times New Roman" w:hAnsi="Times New Roman"/>
                <w:sz w:val="20"/>
                <w:szCs w:val="20"/>
              </w:rPr>
            </w:pPr>
          </w:p>
        </w:tc>
        <w:tc>
          <w:tcPr>
            <w:tcW w:w="780" w:type="pct"/>
            <w:shd w:val="clear" w:color="auto" w:fill="auto"/>
            <w:noWrap/>
            <w:vAlign w:val="bottom"/>
            <w:hideMark/>
          </w:tcPr>
          <w:p w14:paraId="288780AB" w14:textId="77777777" w:rsidR="005B5953" w:rsidRPr="005B12AE" w:rsidRDefault="005B5953" w:rsidP="00250DAC">
            <w:pPr>
              <w:spacing w:after="0" w:line="240" w:lineRule="auto"/>
              <w:jc w:val="center"/>
              <w:rPr>
                <w:rFonts w:ascii="Times New Roman" w:hAnsi="Times New Roman"/>
                <w:sz w:val="20"/>
                <w:szCs w:val="20"/>
              </w:rPr>
            </w:pPr>
          </w:p>
        </w:tc>
        <w:tc>
          <w:tcPr>
            <w:tcW w:w="780" w:type="pct"/>
            <w:shd w:val="clear" w:color="auto" w:fill="auto"/>
            <w:noWrap/>
            <w:vAlign w:val="bottom"/>
            <w:hideMark/>
          </w:tcPr>
          <w:p w14:paraId="715FF5B0"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753A1DCF" w14:textId="77777777" w:rsidTr="00250DAC">
        <w:trPr>
          <w:trHeight w:val="20"/>
        </w:trPr>
        <w:tc>
          <w:tcPr>
            <w:tcW w:w="215" w:type="pct"/>
            <w:shd w:val="clear" w:color="auto" w:fill="auto"/>
            <w:noWrap/>
            <w:vAlign w:val="bottom"/>
            <w:hideMark/>
          </w:tcPr>
          <w:p w14:paraId="7496D954"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(a)</w:t>
            </w:r>
          </w:p>
        </w:tc>
        <w:tc>
          <w:tcPr>
            <w:tcW w:w="2104" w:type="pct"/>
            <w:gridSpan w:val="2"/>
            <w:shd w:val="clear" w:color="auto" w:fill="auto"/>
            <w:noWrap/>
            <w:vAlign w:val="bottom"/>
            <w:hideMark/>
          </w:tcPr>
          <w:p w14:paraId="5A1C51B7"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Short Term Borrowings</w:t>
            </w:r>
          </w:p>
        </w:tc>
        <w:tc>
          <w:tcPr>
            <w:tcW w:w="332" w:type="pct"/>
            <w:shd w:val="clear" w:color="auto" w:fill="auto"/>
            <w:noWrap/>
            <w:vAlign w:val="bottom"/>
            <w:hideMark/>
          </w:tcPr>
          <w:p w14:paraId="0B77D065"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D</w:t>
            </w:r>
          </w:p>
        </w:tc>
        <w:tc>
          <w:tcPr>
            <w:tcW w:w="789" w:type="pct"/>
            <w:shd w:val="clear" w:color="auto" w:fill="auto"/>
            <w:noWrap/>
            <w:vAlign w:val="bottom"/>
            <w:hideMark/>
          </w:tcPr>
          <w:p w14:paraId="0E82704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6,004.14</w:t>
            </w:r>
          </w:p>
        </w:tc>
        <w:tc>
          <w:tcPr>
            <w:tcW w:w="780" w:type="pct"/>
            <w:shd w:val="clear" w:color="auto" w:fill="auto"/>
            <w:noWrap/>
            <w:vAlign w:val="bottom"/>
            <w:hideMark/>
          </w:tcPr>
          <w:p w14:paraId="3D1A5FD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2,551.97</w:t>
            </w:r>
          </w:p>
        </w:tc>
        <w:tc>
          <w:tcPr>
            <w:tcW w:w="780" w:type="pct"/>
            <w:shd w:val="clear" w:color="auto" w:fill="auto"/>
            <w:noWrap/>
            <w:vAlign w:val="bottom"/>
            <w:hideMark/>
          </w:tcPr>
          <w:p w14:paraId="37DB5AE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1,346.33</w:t>
            </w:r>
          </w:p>
        </w:tc>
      </w:tr>
      <w:tr w:rsidR="005B5953" w:rsidRPr="005B12AE" w14:paraId="3A82791E" w14:textId="77777777" w:rsidTr="00250DAC">
        <w:trPr>
          <w:trHeight w:val="20"/>
        </w:trPr>
        <w:tc>
          <w:tcPr>
            <w:tcW w:w="215" w:type="pct"/>
            <w:shd w:val="clear" w:color="auto" w:fill="auto"/>
            <w:noWrap/>
            <w:vAlign w:val="bottom"/>
            <w:hideMark/>
          </w:tcPr>
          <w:p w14:paraId="5196979E"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(b)</w:t>
            </w:r>
          </w:p>
        </w:tc>
        <w:tc>
          <w:tcPr>
            <w:tcW w:w="2104" w:type="pct"/>
            <w:gridSpan w:val="2"/>
            <w:shd w:val="clear" w:color="auto" w:fill="auto"/>
            <w:noWrap/>
            <w:vAlign w:val="bottom"/>
            <w:hideMark/>
          </w:tcPr>
          <w:p w14:paraId="19436756"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Trade Payables</w:t>
            </w:r>
          </w:p>
        </w:tc>
        <w:tc>
          <w:tcPr>
            <w:tcW w:w="332" w:type="pct"/>
            <w:shd w:val="clear" w:color="auto" w:fill="auto"/>
            <w:noWrap/>
            <w:vAlign w:val="bottom"/>
            <w:hideMark/>
          </w:tcPr>
          <w:p w14:paraId="49E0070A"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E</w:t>
            </w:r>
          </w:p>
        </w:tc>
        <w:tc>
          <w:tcPr>
            <w:tcW w:w="789" w:type="pct"/>
            <w:shd w:val="clear" w:color="auto" w:fill="auto"/>
            <w:noWrap/>
            <w:vAlign w:val="bottom"/>
            <w:hideMark/>
          </w:tcPr>
          <w:p w14:paraId="327AD856" w14:textId="77777777" w:rsidR="005B5953" w:rsidRPr="005B12AE" w:rsidRDefault="005B5953" w:rsidP="00250DAC">
            <w:pPr>
              <w:spacing w:after="0" w:line="240" w:lineRule="auto"/>
              <w:jc w:val="center"/>
              <w:rPr>
                <w:rFonts w:ascii="Times New Roman" w:hAnsi="Times New Roman"/>
                <w:sz w:val="20"/>
                <w:szCs w:val="20"/>
              </w:rPr>
            </w:pPr>
          </w:p>
        </w:tc>
        <w:tc>
          <w:tcPr>
            <w:tcW w:w="780" w:type="pct"/>
            <w:shd w:val="clear" w:color="auto" w:fill="auto"/>
            <w:noWrap/>
            <w:vAlign w:val="bottom"/>
            <w:hideMark/>
          </w:tcPr>
          <w:p w14:paraId="2DCA1C95" w14:textId="77777777" w:rsidR="005B5953" w:rsidRPr="005B12AE" w:rsidRDefault="005B5953" w:rsidP="00250DAC">
            <w:pPr>
              <w:spacing w:after="0" w:line="240" w:lineRule="auto"/>
              <w:jc w:val="center"/>
              <w:rPr>
                <w:rFonts w:ascii="Times New Roman" w:hAnsi="Times New Roman"/>
                <w:sz w:val="20"/>
                <w:szCs w:val="20"/>
              </w:rPr>
            </w:pPr>
          </w:p>
        </w:tc>
        <w:tc>
          <w:tcPr>
            <w:tcW w:w="780" w:type="pct"/>
            <w:shd w:val="clear" w:color="auto" w:fill="auto"/>
            <w:noWrap/>
            <w:vAlign w:val="bottom"/>
            <w:hideMark/>
          </w:tcPr>
          <w:p w14:paraId="3DB74297"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09D74E72" w14:textId="77777777" w:rsidTr="00250DAC">
        <w:trPr>
          <w:trHeight w:val="20"/>
        </w:trPr>
        <w:tc>
          <w:tcPr>
            <w:tcW w:w="215" w:type="pct"/>
            <w:shd w:val="clear" w:color="auto" w:fill="auto"/>
            <w:noWrap/>
            <w:vAlign w:val="bottom"/>
            <w:hideMark/>
          </w:tcPr>
          <w:p w14:paraId="3A6D3AB5" w14:textId="77777777" w:rsidR="005B5953" w:rsidRPr="005B12AE" w:rsidRDefault="005B5953" w:rsidP="00250DAC">
            <w:pPr>
              <w:spacing w:after="0" w:line="240" w:lineRule="auto"/>
              <w:rPr>
                <w:rFonts w:ascii="Times New Roman" w:hAnsi="Times New Roman"/>
                <w:sz w:val="20"/>
                <w:szCs w:val="20"/>
              </w:rPr>
            </w:pPr>
          </w:p>
        </w:tc>
        <w:tc>
          <w:tcPr>
            <w:tcW w:w="256" w:type="pct"/>
            <w:shd w:val="clear" w:color="auto" w:fill="auto"/>
            <w:noWrap/>
            <w:vAlign w:val="center"/>
            <w:hideMark/>
          </w:tcPr>
          <w:p w14:paraId="0B71FE2F"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(A)</w:t>
            </w:r>
          </w:p>
        </w:tc>
        <w:tc>
          <w:tcPr>
            <w:tcW w:w="1848" w:type="pct"/>
            <w:shd w:val="clear" w:color="auto" w:fill="auto"/>
            <w:vAlign w:val="bottom"/>
            <w:hideMark/>
          </w:tcPr>
          <w:p w14:paraId="2F310F0B"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outstanding dues of micro enterprises and small enterprises; and</w:t>
            </w:r>
          </w:p>
        </w:tc>
        <w:tc>
          <w:tcPr>
            <w:tcW w:w="332" w:type="pct"/>
            <w:shd w:val="clear" w:color="auto" w:fill="auto"/>
            <w:noWrap/>
            <w:vAlign w:val="bottom"/>
            <w:hideMark/>
          </w:tcPr>
          <w:p w14:paraId="081AD4CB"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 </w:t>
            </w:r>
          </w:p>
        </w:tc>
        <w:tc>
          <w:tcPr>
            <w:tcW w:w="789" w:type="pct"/>
            <w:shd w:val="clear" w:color="auto" w:fill="auto"/>
            <w:noWrap/>
            <w:vAlign w:val="bottom"/>
            <w:hideMark/>
          </w:tcPr>
          <w:p w14:paraId="0862214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80" w:type="pct"/>
            <w:shd w:val="clear" w:color="auto" w:fill="auto"/>
            <w:noWrap/>
            <w:vAlign w:val="bottom"/>
            <w:hideMark/>
          </w:tcPr>
          <w:p w14:paraId="37A356B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80" w:type="pct"/>
            <w:shd w:val="clear" w:color="auto" w:fill="auto"/>
            <w:noWrap/>
            <w:vAlign w:val="bottom"/>
            <w:hideMark/>
          </w:tcPr>
          <w:p w14:paraId="1043887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1613DDA4" w14:textId="77777777" w:rsidTr="00250DAC">
        <w:trPr>
          <w:trHeight w:val="20"/>
        </w:trPr>
        <w:tc>
          <w:tcPr>
            <w:tcW w:w="215" w:type="pct"/>
            <w:shd w:val="clear" w:color="auto" w:fill="auto"/>
            <w:noWrap/>
            <w:vAlign w:val="bottom"/>
            <w:hideMark/>
          </w:tcPr>
          <w:p w14:paraId="23E91FA4" w14:textId="77777777" w:rsidR="005B5953" w:rsidRPr="005B12AE" w:rsidRDefault="005B5953" w:rsidP="00250DAC">
            <w:pPr>
              <w:spacing w:after="0" w:line="240" w:lineRule="auto"/>
              <w:rPr>
                <w:rFonts w:ascii="Times New Roman" w:hAnsi="Times New Roman"/>
                <w:sz w:val="20"/>
                <w:szCs w:val="20"/>
              </w:rPr>
            </w:pPr>
          </w:p>
        </w:tc>
        <w:tc>
          <w:tcPr>
            <w:tcW w:w="256" w:type="pct"/>
            <w:shd w:val="clear" w:color="auto" w:fill="auto"/>
            <w:noWrap/>
            <w:vAlign w:val="center"/>
            <w:hideMark/>
          </w:tcPr>
          <w:p w14:paraId="416FA135"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(B)</w:t>
            </w:r>
          </w:p>
        </w:tc>
        <w:tc>
          <w:tcPr>
            <w:tcW w:w="1848" w:type="pct"/>
            <w:shd w:val="clear" w:color="auto" w:fill="auto"/>
            <w:vAlign w:val="bottom"/>
            <w:hideMark/>
          </w:tcPr>
          <w:p w14:paraId="728844CB"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total outstanding dues of creditors other than micro enterprises and small enterprises.</w:t>
            </w:r>
          </w:p>
        </w:tc>
        <w:tc>
          <w:tcPr>
            <w:tcW w:w="332" w:type="pct"/>
            <w:shd w:val="clear" w:color="auto" w:fill="auto"/>
            <w:noWrap/>
            <w:vAlign w:val="bottom"/>
            <w:hideMark/>
          </w:tcPr>
          <w:p w14:paraId="70C4181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 </w:t>
            </w:r>
          </w:p>
        </w:tc>
        <w:tc>
          <w:tcPr>
            <w:tcW w:w="789" w:type="pct"/>
            <w:shd w:val="clear" w:color="auto" w:fill="auto"/>
            <w:noWrap/>
            <w:vAlign w:val="bottom"/>
            <w:hideMark/>
          </w:tcPr>
          <w:p w14:paraId="2DDCACA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2,717.35</w:t>
            </w:r>
          </w:p>
        </w:tc>
        <w:tc>
          <w:tcPr>
            <w:tcW w:w="780" w:type="pct"/>
            <w:shd w:val="clear" w:color="auto" w:fill="auto"/>
            <w:noWrap/>
            <w:vAlign w:val="bottom"/>
            <w:hideMark/>
          </w:tcPr>
          <w:p w14:paraId="05D95AF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2,726.34</w:t>
            </w:r>
          </w:p>
        </w:tc>
        <w:tc>
          <w:tcPr>
            <w:tcW w:w="780" w:type="pct"/>
            <w:shd w:val="clear" w:color="auto" w:fill="auto"/>
            <w:noWrap/>
            <w:vAlign w:val="bottom"/>
            <w:hideMark/>
          </w:tcPr>
          <w:p w14:paraId="7E8381B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2,931.03</w:t>
            </w:r>
          </w:p>
        </w:tc>
      </w:tr>
      <w:tr w:rsidR="005B5953" w:rsidRPr="005B12AE" w14:paraId="77A2CEBE" w14:textId="77777777" w:rsidTr="00250DAC">
        <w:trPr>
          <w:trHeight w:val="20"/>
        </w:trPr>
        <w:tc>
          <w:tcPr>
            <w:tcW w:w="215" w:type="pct"/>
            <w:shd w:val="clear" w:color="auto" w:fill="auto"/>
            <w:noWrap/>
            <w:vAlign w:val="bottom"/>
            <w:hideMark/>
          </w:tcPr>
          <w:p w14:paraId="132A8AD0"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(c)</w:t>
            </w:r>
          </w:p>
        </w:tc>
        <w:tc>
          <w:tcPr>
            <w:tcW w:w="2104" w:type="pct"/>
            <w:gridSpan w:val="2"/>
            <w:shd w:val="clear" w:color="auto" w:fill="auto"/>
            <w:noWrap/>
            <w:vAlign w:val="bottom"/>
            <w:hideMark/>
          </w:tcPr>
          <w:p w14:paraId="621C03CF"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Other Current Liabilities</w:t>
            </w:r>
          </w:p>
        </w:tc>
        <w:tc>
          <w:tcPr>
            <w:tcW w:w="332" w:type="pct"/>
            <w:shd w:val="clear" w:color="auto" w:fill="auto"/>
            <w:noWrap/>
            <w:vAlign w:val="bottom"/>
            <w:hideMark/>
          </w:tcPr>
          <w:p w14:paraId="67CB098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F</w:t>
            </w:r>
          </w:p>
        </w:tc>
        <w:tc>
          <w:tcPr>
            <w:tcW w:w="789" w:type="pct"/>
            <w:shd w:val="clear" w:color="auto" w:fill="auto"/>
            <w:noWrap/>
            <w:vAlign w:val="bottom"/>
            <w:hideMark/>
          </w:tcPr>
          <w:p w14:paraId="73390DA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734.35</w:t>
            </w:r>
          </w:p>
        </w:tc>
        <w:tc>
          <w:tcPr>
            <w:tcW w:w="780" w:type="pct"/>
            <w:shd w:val="clear" w:color="auto" w:fill="auto"/>
            <w:noWrap/>
            <w:vAlign w:val="bottom"/>
            <w:hideMark/>
          </w:tcPr>
          <w:p w14:paraId="6ECEA84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250.07</w:t>
            </w:r>
          </w:p>
        </w:tc>
        <w:tc>
          <w:tcPr>
            <w:tcW w:w="780" w:type="pct"/>
            <w:shd w:val="clear" w:color="auto" w:fill="auto"/>
            <w:noWrap/>
            <w:vAlign w:val="bottom"/>
            <w:hideMark/>
          </w:tcPr>
          <w:p w14:paraId="091B4E9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330.55</w:t>
            </w:r>
          </w:p>
        </w:tc>
      </w:tr>
      <w:tr w:rsidR="005B5953" w:rsidRPr="005B12AE" w14:paraId="2AB34A6A" w14:textId="77777777" w:rsidTr="00250DAC">
        <w:trPr>
          <w:trHeight w:val="20"/>
        </w:trPr>
        <w:tc>
          <w:tcPr>
            <w:tcW w:w="215" w:type="pct"/>
            <w:shd w:val="clear" w:color="auto" w:fill="auto"/>
            <w:noWrap/>
            <w:vAlign w:val="bottom"/>
            <w:hideMark/>
          </w:tcPr>
          <w:p w14:paraId="3BE251B3"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(d)</w:t>
            </w:r>
          </w:p>
        </w:tc>
        <w:tc>
          <w:tcPr>
            <w:tcW w:w="2104" w:type="pct"/>
            <w:gridSpan w:val="2"/>
            <w:shd w:val="clear" w:color="auto" w:fill="auto"/>
            <w:noWrap/>
            <w:vAlign w:val="bottom"/>
            <w:hideMark/>
          </w:tcPr>
          <w:p w14:paraId="74651179"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Short Term Provisions</w:t>
            </w:r>
          </w:p>
        </w:tc>
        <w:tc>
          <w:tcPr>
            <w:tcW w:w="332" w:type="pct"/>
            <w:shd w:val="clear" w:color="auto" w:fill="auto"/>
            <w:noWrap/>
            <w:vAlign w:val="bottom"/>
            <w:hideMark/>
          </w:tcPr>
          <w:p w14:paraId="645C39CE"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G</w:t>
            </w:r>
          </w:p>
        </w:tc>
        <w:tc>
          <w:tcPr>
            <w:tcW w:w="789" w:type="pct"/>
            <w:shd w:val="clear" w:color="auto" w:fill="auto"/>
            <w:noWrap/>
            <w:vAlign w:val="bottom"/>
            <w:hideMark/>
          </w:tcPr>
          <w:p w14:paraId="41226E9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315.33</w:t>
            </w:r>
          </w:p>
        </w:tc>
        <w:tc>
          <w:tcPr>
            <w:tcW w:w="780" w:type="pct"/>
            <w:shd w:val="clear" w:color="auto" w:fill="auto"/>
            <w:noWrap/>
            <w:vAlign w:val="bottom"/>
            <w:hideMark/>
          </w:tcPr>
          <w:p w14:paraId="60F8D5F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159.89</w:t>
            </w:r>
          </w:p>
        </w:tc>
        <w:tc>
          <w:tcPr>
            <w:tcW w:w="780" w:type="pct"/>
            <w:shd w:val="clear" w:color="auto" w:fill="auto"/>
            <w:noWrap/>
            <w:vAlign w:val="bottom"/>
            <w:hideMark/>
          </w:tcPr>
          <w:p w14:paraId="4535596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60.38</w:t>
            </w:r>
          </w:p>
        </w:tc>
      </w:tr>
      <w:tr w:rsidR="005B5953" w:rsidRPr="005B12AE" w14:paraId="61FDA9DE" w14:textId="77777777" w:rsidTr="00250DAC">
        <w:trPr>
          <w:trHeight w:val="20"/>
        </w:trPr>
        <w:tc>
          <w:tcPr>
            <w:tcW w:w="215" w:type="pct"/>
            <w:shd w:val="clear" w:color="auto" w:fill="auto"/>
            <w:noWrap/>
            <w:vAlign w:val="bottom"/>
            <w:hideMark/>
          </w:tcPr>
          <w:p w14:paraId="3B3A8C5D" w14:textId="77777777" w:rsidR="005B5953" w:rsidRPr="005B12AE" w:rsidRDefault="005B5953" w:rsidP="00250DAC">
            <w:pPr>
              <w:spacing w:after="0" w:line="240" w:lineRule="auto"/>
              <w:rPr>
                <w:rFonts w:ascii="Times New Roman" w:hAnsi="Times New Roman"/>
                <w:sz w:val="20"/>
                <w:szCs w:val="20"/>
              </w:rPr>
            </w:pPr>
          </w:p>
        </w:tc>
        <w:tc>
          <w:tcPr>
            <w:tcW w:w="2104" w:type="pct"/>
            <w:gridSpan w:val="2"/>
            <w:shd w:val="clear" w:color="auto" w:fill="auto"/>
            <w:noWrap/>
            <w:vAlign w:val="bottom"/>
            <w:hideMark/>
          </w:tcPr>
          <w:p w14:paraId="5027AD0B" w14:textId="77777777" w:rsidR="005B5953" w:rsidRPr="005B12AE" w:rsidRDefault="005B5953" w:rsidP="00250DAC">
            <w:pPr>
              <w:spacing w:after="0" w:line="240" w:lineRule="auto"/>
              <w:rPr>
                <w:rFonts w:ascii="Times New Roman" w:hAnsi="Times New Roman"/>
                <w:sz w:val="20"/>
                <w:szCs w:val="20"/>
              </w:rPr>
            </w:pPr>
          </w:p>
        </w:tc>
        <w:tc>
          <w:tcPr>
            <w:tcW w:w="332" w:type="pct"/>
            <w:shd w:val="clear" w:color="auto" w:fill="auto"/>
            <w:noWrap/>
            <w:vAlign w:val="bottom"/>
            <w:hideMark/>
          </w:tcPr>
          <w:p w14:paraId="1D264FFF"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789" w:type="pct"/>
            <w:shd w:val="clear" w:color="auto" w:fill="auto"/>
            <w:noWrap/>
            <w:vAlign w:val="bottom"/>
            <w:hideMark/>
          </w:tcPr>
          <w:p w14:paraId="61D7AAAC"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9,771.17</w:t>
            </w:r>
          </w:p>
        </w:tc>
        <w:tc>
          <w:tcPr>
            <w:tcW w:w="780" w:type="pct"/>
            <w:shd w:val="clear" w:color="auto" w:fill="auto"/>
            <w:noWrap/>
            <w:vAlign w:val="bottom"/>
            <w:hideMark/>
          </w:tcPr>
          <w:p w14:paraId="29BB7BCD"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5,688.26</w:t>
            </w:r>
          </w:p>
        </w:tc>
        <w:tc>
          <w:tcPr>
            <w:tcW w:w="780" w:type="pct"/>
            <w:shd w:val="clear" w:color="auto" w:fill="auto"/>
            <w:noWrap/>
            <w:vAlign w:val="bottom"/>
            <w:hideMark/>
          </w:tcPr>
          <w:p w14:paraId="18892FDB"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4,668.29</w:t>
            </w:r>
          </w:p>
        </w:tc>
      </w:tr>
      <w:tr w:rsidR="005B5953" w:rsidRPr="005B12AE" w14:paraId="63BB30D7" w14:textId="77777777" w:rsidTr="00250DAC">
        <w:trPr>
          <w:trHeight w:val="20"/>
        </w:trPr>
        <w:tc>
          <w:tcPr>
            <w:tcW w:w="215" w:type="pct"/>
            <w:shd w:val="clear" w:color="auto" w:fill="auto"/>
            <w:noWrap/>
            <w:vAlign w:val="bottom"/>
            <w:hideMark/>
          </w:tcPr>
          <w:p w14:paraId="5B6A8429"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2104" w:type="pct"/>
            <w:gridSpan w:val="2"/>
            <w:shd w:val="clear" w:color="auto" w:fill="auto"/>
            <w:noWrap/>
            <w:vAlign w:val="bottom"/>
            <w:hideMark/>
          </w:tcPr>
          <w:p w14:paraId="205D02EC"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b/>
                <w:bCs/>
                <w:sz w:val="20"/>
                <w:szCs w:val="20"/>
              </w:rPr>
              <w:t>Total</w:t>
            </w:r>
          </w:p>
        </w:tc>
        <w:tc>
          <w:tcPr>
            <w:tcW w:w="332" w:type="pct"/>
            <w:shd w:val="clear" w:color="auto" w:fill="auto"/>
            <w:noWrap/>
            <w:vAlign w:val="bottom"/>
            <w:hideMark/>
          </w:tcPr>
          <w:p w14:paraId="2B45CC09"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789" w:type="pct"/>
            <w:shd w:val="clear" w:color="auto" w:fill="auto"/>
            <w:noWrap/>
            <w:vAlign w:val="bottom"/>
            <w:hideMark/>
          </w:tcPr>
          <w:p w14:paraId="2FB146DE"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15,136.31</w:t>
            </w:r>
          </w:p>
        </w:tc>
        <w:tc>
          <w:tcPr>
            <w:tcW w:w="780" w:type="pct"/>
            <w:shd w:val="clear" w:color="auto" w:fill="auto"/>
            <w:noWrap/>
            <w:vAlign w:val="bottom"/>
            <w:hideMark/>
          </w:tcPr>
          <w:p w14:paraId="3EF8851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9,851.36</w:t>
            </w:r>
          </w:p>
        </w:tc>
        <w:tc>
          <w:tcPr>
            <w:tcW w:w="780" w:type="pct"/>
            <w:shd w:val="clear" w:color="auto" w:fill="auto"/>
            <w:noWrap/>
            <w:vAlign w:val="bottom"/>
            <w:hideMark/>
          </w:tcPr>
          <w:p w14:paraId="5F15D5E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9,823.59</w:t>
            </w:r>
          </w:p>
        </w:tc>
      </w:tr>
      <w:tr w:rsidR="005B5953" w:rsidRPr="005B12AE" w14:paraId="5096CCE3" w14:textId="77777777" w:rsidTr="00250DAC">
        <w:trPr>
          <w:trHeight w:val="20"/>
        </w:trPr>
        <w:tc>
          <w:tcPr>
            <w:tcW w:w="215" w:type="pct"/>
            <w:shd w:val="clear" w:color="auto" w:fill="auto"/>
            <w:noWrap/>
            <w:vAlign w:val="bottom"/>
            <w:hideMark/>
          </w:tcPr>
          <w:p w14:paraId="1F4D9DF8"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B)</w:t>
            </w:r>
          </w:p>
        </w:tc>
        <w:tc>
          <w:tcPr>
            <w:tcW w:w="2104" w:type="pct"/>
            <w:gridSpan w:val="2"/>
            <w:shd w:val="clear" w:color="auto" w:fill="auto"/>
            <w:noWrap/>
            <w:vAlign w:val="bottom"/>
            <w:hideMark/>
          </w:tcPr>
          <w:p w14:paraId="7FB20237"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ASSETS</w:t>
            </w:r>
          </w:p>
        </w:tc>
        <w:tc>
          <w:tcPr>
            <w:tcW w:w="332" w:type="pct"/>
            <w:shd w:val="clear" w:color="auto" w:fill="auto"/>
            <w:noWrap/>
            <w:vAlign w:val="bottom"/>
            <w:hideMark/>
          </w:tcPr>
          <w:p w14:paraId="6B0BF0FD"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789" w:type="pct"/>
            <w:shd w:val="clear" w:color="auto" w:fill="auto"/>
            <w:noWrap/>
            <w:vAlign w:val="bottom"/>
            <w:hideMark/>
          </w:tcPr>
          <w:p w14:paraId="4429013D" w14:textId="77777777" w:rsidR="005B5953" w:rsidRPr="005B12AE" w:rsidRDefault="005B5953" w:rsidP="00250DAC">
            <w:pPr>
              <w:spacing w:after="0" w:line="240" w:lineRule="auto"/>
              <w:jc w:val="center"/>
              <w:rPr>
                <w:rFonts w:ascii="Times New Roman" w:hAnsi="Times New Roman"/>
                <w:sz w:val="20"/>
                <w:szCs w:val="20"/>
              </w:rPr>
            </w:pPr>
          </w:p>
        </w:tc>
        <w:tc>
          <w:tcPr>
            <w:tcW w:w="780" w:type="pct"/>
            <w:shd w:val="clear" w:color="auto" w:fill="auto"/>
            <w:noWrap/>
            <w:vAlign w:val="bottom"/>
            <w:hideMark/>
          </w:tcPr>
          <w:p w14:paraId="74214737" w14:textId="77777777" w:rsidR="005B5953" w:rsidRPr="005B12AE" w:rsidRDefault="005B5953" w:rsidP="00250DAC">
            <w:pPr>
              <w:spacing w:after="0" w:line="240" w:lineRule="auto"/>
              <w:jc w:val="center"/>
              <w:rPr>
                <w:rFonts w:ascii="Times New Roman" w:hAnsi="Times New Roman"/>
                <w:sz w:val="20"/>
                <w:szCs w:val="20"/>
              </w:rPr>
            </w:pPr>
          </w:p>
        </w:tc>
        <w:tc>
          <w:tcPr>
            <w:tcW w:w="780" w:type="pct"/>
            <w:shd w:val="clear" w:color="auto" w:fill="auto"/>
            <w:noWrap/>
            <w:vAlign w:val="bottom"/>
            <w:hideMark/>
          </w:tcPr>
          <w:p w14:paraId="3BB602D1"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74E44003" w14:textId="77777777" w:rsidTr="00250DAC">
        <w:trPr>
          <w:trHeight w:val="20"/>
        </w:trPr>
        <w:tc>
          <w:tcPr>
            <w:tcW w:w="215" w:type="pct"/>
            <w:shd w:val="clear" w:color="auto" w:fill="auto"/>
            <w:noWrap/>
            <w:vAlign w:val="bottom"/>
            <w:hideMark/>
          </w:tcPr>
          <w:p w14:paraId="443F0CD0"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1.</w:t>
            </w:r>
          </w:p>
        </w:tc>
        <w:tc>
          <w:tcPr>
            <w:tcW w:w="2104" w:type="pct"/>
            <w:gridSpan w:val="2"/>
            <w:shd w:val="clear" w:color="auto" w:fill="auto"/>
            <w:noWrap/>
            <w:vAlign w:val="bottom"/>
            <w:hideMark/>
          </w:tcPr>
          <w:p w14:paraId="41DB5411"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Non-Current Assets</w:t>
            </w:r>
          </w:p>
        </w:tc>
        <w:tc>
          <w:tcPr>
            <w:tcW w:w="332" w:type="pct"/>
            <w:shd w:val="clear" w:color="auto" w:fill="auto"/>
            <w:noWrap/>
            <w:vAlign w:val="bottom"/>
            <w:hideMark/>
          </w:tcPr>
          <w:p w14:paraId="1634D51D"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789" w:type="pct"/>
            <w:shd w:val="clear" w:color="auto" w:fill="auto"/>
            <w:noWrap/>
            <w:vAlign w:val="bottom"/>
            <w:hideMark/>
          </w:tcPr>
          <w:p w14:paraId="03E07136" w14:textId="77777777" w:rsidR="005B5953" w:rsidRPr="005B12AE" w:rsidRDefault="005B5953" w:rsidP="00250DAC">
            <w:pPr>
              <w:spacing w:after="0" w:line="240" w:lineRule="auto"/>
              <w:jc w:val="center"/>
              <w:rPr>
                <w:rFonts w:ascii="Times New Roman" w:hAnsi="Times New Roman"/>
                <w:sz w:val="20"/>
                <w:szCs w:val="20"/>
              </w:rPr>
            </w:pPr>
          </w:p>
        </w:tc>
        <w:tc>
          <w:tcPr>
            <w:tcW w:w="780" w:type="pct"/>
            <w:shd w:val="clear" w:color="auto" w:fill="auto"/>
            <w:noWrap/>
            <w:vAlign w:val="bottom"/>
            <w:hideMark/>
          </w:tcPr>
          <w:p w14:paraId="5463D685" w14:textId="77777777" w:rsidR="005B5953" w:rsidRPr="005B12AE" w:rsidRDefault="005B5953" w:rsidP="00250DAC">
            <w:pPr>
              <w:spacing w:after="0" w:line="240" w:lineRule="auto"/>
              <w:jc w:val="center"/>
              <w:rPr>
                <w:rFonts w:ascii="Times New Roman" w:hAnsi="Times New Roman"/>
                <w:sz w:val="20"/>
                <w:szCs w:val="20"/>
              </w:rPr>
            </w:pPr>
          </w:p>
        </w:tc>
        <w:tc>
          <w:tcPr>
            <w:tcW w:w="780" w:type="pct"/>
            <w:shd w:val="clear" w:color="auto" w:fill="auto"/>
            <w:noWrap/>
            <w:vAlign w:val="bottom"/>
            <w:hideMark/>
          </w:tcPr>
          <w:p w14:paraId="1529851C"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3F80BCE4" w14:textId="77777777" w:rsidTr="00250DAC">
        <w:trPr>
          <w:trHeight w:val="20"/>
        </w:trPr>
        <w:tc>
          <w:tcPr>
            <w:tcW w:w="215" w:type="pct"/>
            <w:shd w:val="clear" w:color="auto" w:fill="auto"/>
            <w:noWrap/>
            <w:vAlign w:val="bottom"/>
            <w:hideMark/>
          </w:tcPr>
          <w:p w14:paraId="73789FCF"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(a)</w:t>
            </w:r>
          </w:p>
        </w:tc>
        <w:tc>
          <w:tcPr>
            <w:tcW w:w="2104" w:type="pct"/>
            <w:gridSpan w:val="2"/>
            <w:shd w:val="clear" w:color="auto" w:fill="auto"/>
            <w:noWrap/>
            <w:vAlign w:val="bottom"/>
            <w:hideMark/>
          </w:tcPr>
          <w:p w14:paraId="7597B79D"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Property, Plant and Equipment and Intangible assets</w:t>
            </w:r>
          </w:p>
        </w:tc>
        <w:tc>
          <w:tcPr>
            <w:tcW w:w="332" w:type="pct"/>
            <w:shd w:val="clear" w:color="auto" w:fill="auto"/>
            <w:noWrap/>
            <w:vAlign w:val="bottom"/>
            <w:hideMark/>
          </w:tcPr>
          <w:p w14:paraId="586C062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H</w:t>
            </w:r>
          </w:p>
        </w:tc>
        <w:tc>
          <w:tcPr>
            <w:tcW w:w="789" w:type="pct"/>
            <w:shd w:val="clear" w:color="auto" w:fill="auto"/>
            <w:noWrap/>
            <w:vAlign w:val="bottom"/>
            <w:hideMark/>
          </w:tcPr>
          <w:p w14:paraId="4334292F" w14:textId="77777777" w:rsidR="005B5953" w:rsidRPr="005B12AE" w:rsidRDefault="005B5953" w:rsidP="00250DAC">
            <w:pPr>
              <w:spacing w:after="0" w:line="240" w:lineRule="auto"/>
              <w:jc w:val="center"/>
              <w:rPr>
                <w:rFonts w:ascii="Times New Roman" w:hAnsi="Times New Roman"/>
                <w:sz w:val="20"/>
                <w:szCs w:val="20"/>
              </w:rPr>
            </w:pPr>
          </w:p>
        </w:tc>
        <w:tc>
          <w:tcPr>
            <w:tcW w:w="780" w:type="pct"/>
            <w:shd w:val="clear" w:color="auto" w:fill="auto"/>
            <w:noWrap/>
            <w:vAlign w:val="bottom"/>
            <w:hideMark/>
          </w:tcPr>
          <w:p w14:paraId="431CB9F4" w14:textId="77777777" w:rsidR="005B5953" w:rsidRPr="005B12AE" w:rsidRDefault="005B5953" w:rsidP="00250DAC">
            <w:pPr>
              <w:spacing w:after="0" w:line="240" w:lineRule="auto"/>
              <w:jc w:val="center"/>
              <w:rPr>
                <w:rFonts w:ascii="Times New Roman" w:hAnsi="Times New Roman"/>
                <w:sz w:val="20"/>
                <w:szCs w:val="20"/>
              </w:rPr>
            </w:pPr>
          </w:p>
        </w:tc>
        <w:tc>
          <w:tcPr>
            <w:tcW w:w="780" w:type="pct"/>
            <w:shd w:val="clear" w:color="auto" w:fill="auto"/>
            <w:noWrap/>
            <w:vAlign w:val="bottom"/>
            <w:hideMark/>
          </w:tcPr>
          <w:p w14:paraId="4016A33A"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42522B81" w14:textId="77777777" w:rsidTr="00250DAC">
        <w:trPr>
          <w:trHeight w:val="20"/>
        </w:trPr>
        <w:tc>
          <w:tcPr>
            <w:tcW w:w="215" w:type="pct"/>
            <w:shd w:val="clear" w:color="auto" w:fill="auto"/>
            <w:noWrap/>
            <w:vAlign w:val="bottom"/>
            <w:hideMark/>
          </w:tcPr>
          <w:p w14:paraId="48DB41FB" w14:textId="77777777" w:rsidR="005B5953" w:rsidRPr="005B12AE" w:rsidRDefault="005B5953" w:rsidP="00250DAC">
            <w:pPr>
              <w:spacing w:after="0" w:line="240" w:lineRule="auto"/>
              <w:rPr>
                <w:rFonts w:ascii="Times New Roman" w:hAnsi="Times New Roman"/>
                <w:sz w:val="20"/>
                <w:szCs w:val="20"/>
              </w:rPr>
            </w:pPr>
          </w:p>
        </w:tc>
        <w:tc>
          <w:tcPr>
            <w:tcW w:w="256" w:type="pct"/>
            <w:shd w:val="clear" w:color="auto" w:fill="auto"/>
            <w:noWrap/>
            <w:vAlign w:val="bottom"/>
            <w:hideMark/>
          </w:tcPr>
          <w:p w14:paraId="1E7F1B25"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I)</w:t>
            </w:r>
          </w:p>
        </w:tc>
        <w:tc>
          <w:tcPr>
            <w:tcW w:w="1848" w:type="pct"/>
            <w:shd w:val="clear" w:color="auto" w:fill="auto"/>
            <w:noWrap/>
            <w:vAlign w:val="bottom"/>
            <w:hideMark/>
          </w:tcPr>
          <w:p w14:paraId="0D410F92"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Property, Plant and Equipment</w:t>
            </w:r>
          </w:p>
        </w:tc>
        <w:tc>
          <w:tcPr>
            <w:tcW w:w="332" w:type="pct"/>
            <w:shd w:val="clear" w:color="auto" w:fill="auto"/>
            <w:noWrap/>
            <w:vAlign w:val="bottom"/>
            <w:hideMark/>
          </w:tcPr>
          <w:p w14:paraId="13FEFF33"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789" w:type="pct"/>
            <w:shd w:val="clear" w:color="auto" w:fill="auto"/>
            <w:noWrap/>
            <w:vAlign w:val="bottom"/>
            <w:hideMark/>
          </w:tcPr>
          <w:p w14:paraId="389112FB" w14:textId="77777777" w:rsidR="005B5953" w:rsidRPr="005B12AE" w:rsidRDefault="005B5953" w:rsidP="00250DAC">
            <w:pPr>
              <w:spacing w:after="0" w:line="240" w:lineRule="auto"/>
              <w:jc w:val="center"/>
              <w:rPr>
                <w:rFonts w:ascii="Times New Roman" w:hAnsi="Times New Roman"/>
                <w:sz w:val="20"/>
                <w:szCs w:val="20"/>
              </w:rPr>
            </w:pPr>
          </w:p>
        </w:tc>
        <w:tc>
          <w:tcPr>
            <w:tcW w:w="780" w:type="pct"/>
            <w:shd w:val="clear" w:color="auto" w:fill="auto"/>
            <w:noWrap/>
            <w:vAlign w:val="bottom"/>
            <w:hideMark/>
          </w:tcPr>
          <w:p w14:paraId="3091FDA7" w14:textId="77777777" w:rsidR="005B5953" w:rsidRPr="005B12AE" w:rsidRDefault="005B5953" w:rsidP="00250DAC">
            <w:pPr>
              <w:spacing w:after="0" w:line="240" w:lineRule="auto"/>
              <w:jc w:val="center"/>
              <w:rPr>
                <w:rFonts w:ascii="Times New Roman" w:hAnsi="Times New Roman"/>
                <w:sz w:val="20"/>
                <w:szCs w:val="20"/>
              </w:rPr>
            </w:pPr>
          </w:p>
        </w:tc>
        <w:tc>
          <w:tcPr>
            <w:tcW w:w="780" w:type="pct"/>
            <w:shd w:val="clear" w:color="auto" w:fill="auto"/>
            <w:noWrap/>
            <w:vAlign w:val="bottom"/>
            <w:hideMark/>
          </w:tcPr>
          <w:p w14:paraId="6BBCBAAB"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6E237336" w14:textId="77777777" w:rsidTr="00250DAC">
        <w:trPr>
          <w:trHeight w:val="20"/>
        </w:trPr>
        <w:tc>
          <w:tcPr>
            <w:tcW w:w="215" w:type="pct"/>
            <w:shd w:val="clear" w:color="auto" w:fill="auto"/>
            <w:noWrap/>
            <w:vAlign w:val="bottom"/>
            <w:hideMark/>
          </w:tcPr>
          <w:p w14:paraId="655BD797" w14:textId="77777777" w:rsidR="005B5953" w:rsidRPr="005B12AE" w:rsidRDefault="005B5953" w:rsidP="00250DAC">
            <w:pPr>
              <w:spacing w:after="0" w:line="240" w:lineRule="auto"/>
              <w:rPr>
                <w:rFonts w:ascii="Times New Roman" w:hAnsi="Times New Roman"/>
                <w:sz w:val="20"/>
                <w:szCs w:val="20"/>
              </w:rPr>
            </w:pPr>
          </w:p>
        </w:tc>
        <w:tc>
          <w:tcPr>
            <w:tcW w:w="2104" w:type="pct"/>
            <w:gridSpan w:val="2"/>
            <w:shd w:val="clear" w:color="auto" w:fill="auto"/>
            <w:noWrap/>
            <w:vAlign w:val="bottom"/>
            <w:hideMark/>
          </w:tcPr>
          <w:p w14:paraId="0F6AB2FF"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(i) Gross Block</w:t>
            </w:r>
          </w:p>
        </w:tc>
        <w:tc>
          <w:tcPr>
            <w:tcW w:w="332" w:type="pct"/>
            <w:shd w:val="clear" w:color="auto" w:fill="auto"/>
            <w:noWrap/>
            <w:vAlign w:val="bottom"/>
            <w:hideMark/>
          </w:tcPr>
          <w:p w14:paraId="0B618CC6"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789" w:type="pct"/>
            <w:shd w:val="clear" w:color="auto" w:fill="auto"/>
            <w:noWrap/>
            <w:vAlign w:val="bottom"/>
            <w:hideMark/>
          </w:tcPr>
          <w:p w14:paraId="38623AE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2,087.24</w:t>
            </w:r>
          </w:p>
        </w:tc>
        <w:tc>
          <w:tcPr>
            <w:tcW w:w="780" w:type="pct"/>
            <w:shd w:val="clear" w:color="auto" w:fill="auto"/>
            <w:noWrap/>
            <w:vAlign w:val="bottom"/>
            <w:hideMark/>
          </w:tcPr>
          <w:p w14:paraId="2B79B75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2,050.96</w:t>
            </w:r>
          </w:p>
        </w:tc>
        <w:tc>
          <w:tcPr>
            <w:tcW w:w="780" w:type="pct"/>
            <w:shd w:val="clear" w:color="auto" w:fill="auto"/>
            <w:noWrap/>
            <w:vAlign w:val="bottom"/>
            <w:hideMark/>
          </w:tcPr>
          <w:p w14:paraId="777C144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1,821.55</w:t>
            </w:r>
          </w:p>
        </w:tc>
      </w:tr>
      <w:tr w:rsidR="005B5953" w:rsidRPr="005B12AE" w14:paraId="4895F0F2" w14:textId="77777777" w:rsidTr="00250DAC">
        <w:trPr>
          <w:trHeight w:val="20"/>
        </w:trPr>
        <w:tc>
          <w:tcPr>
            <w:tcW w:w="215" w:type="pct"/>
            <w:shd w:val="clear" w:color="auto" w:fill="auto"/>
            <w:noWrap/>
            <w:vAlign w:val="bottom"/>
            <w:hideMark/>
          </w:tcPr>
          <w:p w14:paraId="6107C318" w14:textId="77777777" w:rsidR="005B5953" w:rsidRPr="005B12AE" w:rsidRDefault="005B5953" w:rsidP="00250DAC">
            <w:pPr>
              <w:spacing w:after="0" w:line="240" w:lineRule="auto"/>
              <w:rPr>
                <w:rFonts w:ascii="Times New Roman" w:hAnsi="Times New Roman"/>
                <w:sz w:val="20"/>
                <w:szCs w:val="20"/>
              </w:rPr>
            </w:pPr>
          </w:p>
        </w:tc>
        <w:tc>
          <w:tcPr>
            <w:tcW w:w="2104" w:type="pct"/>
            <w:gridSpan w:val="2"/>
            <w:shd w:val="clear" w:color="auto" w:fill="auto"/>
            <w:noWrap/>
            <w:vAlign w:val="bottom"/>
            <w:hideMark/>
          </w:tcPr>
          <w:p w14:paraId="01D45FE4"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(ii) Depreciation </w:t>
            </w:r>
          </w:p>
        </w:tc>
        <w:tc>
          <w:tcPr>
            <w:tcW w:w="332" w:type="pct"/>
            <w:shd w:val="clear" w:color="auto" w:fill="auto"/>
            <w:noWrap/>
            <w:vAlign w:val="bottom"/>
            <w:hideMark/>
          </w:tcPr>
          <w:p w14:paraId="4B6F5E15"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789" w:type="pct"/>
            <w:shd w:val="clear" w:color="auto" w:fill="auto"/>
            <w:noWrap/>
            <w:vAlign w:val="bottom"/>
            <w:hideMark/>
          </w:tcPr>
          <w:p w14:paraId="0A79249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1,391.71</w:t>
            </w:r>
          </w:p>
        </w:tc>
        <w:tc>
          <w:tcPr>
            <w:tcW w:w="780" w:type="pct"/>
            <w:shd w:val="clear" w:color="auto" w:fill="auto"/>
            <w:noWrap/>
            <w:vAlign w:val="bottom"/>
            <w:hideMark/>
          </w:tcPr>
          <w:p w14:paraId="647CD6D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1,295.01</w:t>
            </w:r>
          </w:p>
        </w:tc>
        <w:tc>
          <w:tcPr>
            <w:tcW w:w="780" w:type="pct"/>
            <w:shd w:val="clear" w:color="auto" w:fill="auto"/>
            <w:noWrap/>
            <w:vAlign w:val="bottom"/>
            <w:hideMark/>
          </w:tcPr>
          <w:p w14:paraId="244A11B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1,117.33</w:t>
            </w:r>
          </w:p>
        </w:tc>
      </w:tr>
      <w:tr w:rsidR="005B5953" w:rsidRPr="005B12AE" w14:paraId="58529AEE" w14:textId="77777777" w:rsidTr="00250DAC">
        <w:trPr>
          <w:trHeight w:val="20"/>
        </w:trPr>
        <w:tc>
          <w:tcPr>
            <w:tcW w:w="215" w:type="pct"/>
            <w:shd w:val="clear" w:color="auto" w:fill="auto"/>
            <w:noWrap/>
            <w:vAlign w:val="bottom"/>
            <w:hideMark/>
          </w:tcPr>
          <w:p w14:paraId="3B49437D" w14:textId="77777777" w:rsidR="005B5953" w:rsidRPr="005B12AE" w:rsidRDefault="005B5953" w:rsidP="00250DAC">
            <w:pPr>
              <w:spacing w:after="0" w:line="240" w:lineRule="auto"/>
              <w:rPr>
                <w:rFonts w:ascii="Times New Roman" w:hAnsi="Times New Roman"/>
                <w:sz w:val="20"/>
                <w:szCs w:val="20"/>
              </w:rPr>
            </w:pPr>
          </w:p>
        </w:tc>
        <w:tc>
          <w:tcPr>
            <w:tcW w:w="2104" w:type="pct"/>
            <w:gridSpan w:val="2"/>
            <w:shd w:val="clear" w:color="auto" w:fill="auto"/>
            <w:noWrap/>
            <w:vAlign w:val="bottom"/>
            <w:hideMark/>
          </w:tcPr>
          <w:p w14:paraId="04AEE882"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(iii) Net Block</w:t>
            </w:r>
          </w:p>
        </w:tc>
        <w:tc>
          <w:tcPr>
            <w:tcW w:w="332" w:type="pct"/>
            <w:shd w:val="clear" w:color="auto" w:fill="auto"/>
            <w:noWrap/>
            <w:vAlign w:val="bottom"/>
            <w:hideMark/>
          </w:tcPr>
          <w:p w14:paraId="451A6B63"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789" w:type="pct"/>
            <w:shd w:val="clear" w:color="auto" w:fill="auto"/>
            <w:noWrap/>
            <w:vAlign w:val="bottom"/>
            <w:hideMark/>
          </w:tcPr>
          <w:p w14:paraId="21969C9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695.53</w:t>
            </w:r>
          </w:p>
        </w:tc>
        <w:tc>
          <w:tcPr>
            <w:tcW w:w="780" w:type="pct"/>
            <w:shd w:val="clear" w:color="auto" w:fill="auto"/>
            <w:noWrap/>
            <w:vAlign w:val="bottom"/>
            <w:hideMark/>
          </w:tcPr>
          <w:p w14:paraId="2A022EB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755.95</w:t>
            </w:r>
          </w:p>
        </w:tc>
        <w:tc>
          <w:tcPr>
            <w:tcW w:w="780" w:type="pct"/>
            <w:shd w:val="clear" w:color="auto" w:fill="auto"/>
            <w:noWrap/>
            <w:vAlign w:val="bottom"/>
            <w:hideMark/>
          </w:tcPr>
          <w:p w14:paraId="30C6DE8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704.22</w:t>
            </w:r>
          </w:p>
        </w:tc>
      </w:tr>
      <w:tr w:rsidR="005B5953" w:rsidRPr="005B12AE" w14:paraId="53D3B0AF" w14:textId="77777777" w:rsidTr="00250DAC">
        <w:trPr>
          <w:trHeight w:val="20"/>
        </w:trPr>
        <w:tc>
          <w:tcPr>
            <w:tcW w:w="215" w:type="pct"/>
            <w:shd w:val="clear" w:color="auto" w:fill="auto"/>
            <w:noWrap/>
            <w:vAlign w:val="bottom"/>
            <w:hideMark/>
          </w:tcPr>
          <w:p w14:paraId="740E92C5" w14:textId="77777777" w:rsidR="005B5953" w:rsidRPr="005B12AE" w:rsidRDefault="005B5953" w:rsidP="00250DAC">
            <w:pPr>
              <w:spacing w:after="0" w:line="240" w:lineRule="auto"/>
              <w:rPr>
                <w:rFonts w:ascii="Times New Roman" w:hAnsi="Times New Roman"/>
                <w:sz w:val="20"/>
                <w:szCs w:val="20"/>
              </w:rPr>
            </w:pPr>
          </w:p>
        </w:tc>
        <w:tc>
          <w:tcPr>
            <w:tcW w:w="256" w:type="pct"/>
            <w:shd w:val="clear" w:color="auto" w:fill="auto"/>
            <w:noWrap/>
            <w:vAlign w:val="bottom"/>
            <w:hideMark/>
          </w:tcPr>
          <w:p w14:paraId="6E218880"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II)</w:t>
            </w:r>
          </w:p>
        </w:tc>
        <w:tc>
          <w:tcPr>
            <w:tcW w:w="1848" w:type="pct"/>
            <w:shd w:val="clear" w:color="auto" w:fill="auto"/>
            <w:noWrap/>
            <w:vAlign w:val="bottom"/>
            <w:hideMark/>
          </w:tcPr>
          <w:p w14:paraId="177E76EF"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Intangible Assets</w:t>
            </w:r>
          </w:p>
        </w:tc>
        <w:tc>
          <w:tcPr>
            <w:tcW w:w="332" w:type="pct"/>
            <w:shd w:val="clear" w:color="auto" w:fill="auto"/>
            <w:noWrap/>
            <w:vAlign w:val="bottom"/>
            <w:hideMark/>
          </w:tcPr>
          <w:p w14:paraId="69A57FF8"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789" w:type="pct"/>
            <w:shd w:val="clear" w:color="auto" w:fill="auto"/>
            <w:noWrap/>
            <w:vAlign w:val="bottom"/>
            <w:hideMark/>
          </w:tcPr>
          <w:p w14:paraId="0D2B426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80" w:type="pct"/>
            <w:shd w:val="clear" w:color="auto" w:fill="auto"/>
            <w:noWrap/>
            <w:vAlign w:val="bottom"/>
            <w:hideMark/>
          </w:tcPr>
          <w:p w14:paraId="4FA0610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80" w:type="pct"/>
            <w:shd w:val="clear" w:color="auto" w:fill="auto"/>
            <w:noWrap/>
            <w:vAlign w:val="bottom"/>
            <w:hideMark/>
          </w:tcPr>
          <w:p w14:paraId="56B75F6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1E6996FB" w14:textId="77777777" w:rsidTr="00250DAC">
        <w:trPr>
          <w:trHeight w:val="20"/>
        </w:trPr>
        <w:tc>
          <w:tcPr>
            <w:tcW w:w="215" w:type="pct"/>
            <w:shd w:val="clear" w:color="auto" w:fill="auto"/>
            <w:noWrap/>
            <w:vAlign w:val="bottom"/>
            <w:hideMark/>
          </w:tcPr>
          <w:p w14:paraId="7B2E013D" w14:textId="77777777" w:rsidR="005B5953" w:rsidRPr="005B12AE" w:rsidRDefault="005B5953" w:rsidP="00250DAC">
            <w:pPr>
              <w:spacing w:after="0" w:line="240" w:lineRule="auto"/>
              <w:rPr>
                <w:rFonts w:ascii="Times New Roman" w:hAnsi="Times New Roman"/>
                <w:sz w:val="20"/>
                <w:szCs w:val="20"/>
              </w:rPr>
            </w:pPr>
          </w:p>
        </w:tc>
        <w:tc>
          <w:tcPr>
            <w:tcW w:w="256" w:type="pct"/>
            <w:shd w:val="clear" w:color="auto" w:fill="auto"/>
            <w:noWrap/>
            <w:vAlign w:val="bottom"/>
            <w:hideMark/>
          </w:tcPr>
          <w:p w14:paraId="2EF26EEE"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III)</w:t>
            </w:r>
          </w:p>
        </w:tc>
        <w:tc>
          <w:tcPr>
            <w:tcW w:w="1848" w:type="pct"/>
            <w:shd w:val="clear" w:color="auto" w:fill="auto"/>
            <w:noWrap/>
            <w:vAlign w:val="bottom"/>
            <w:hideMark/>
          </w:tcPr>
          <w:p w14:paraId="25967E59"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Capital Work-in-Progress</w:t>
            </w:r>
          </w:p>
        </w:tc>
        <w:tc>
          <w:tcPr>
            <w:tcW w:w="332" w:type="pct"/>
            <w:shd w:val="clear" w:color="auto" w:fill="auto"/>
            <w:noWrap/>
            <w:vAlign w:val="bottom"/>
            <w:hideMark/>
          </w:tcPr>
          <w:p w14:paraId="1979E6AA"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789" w:type="pct"/>
            <w:shd w:val="clear" w:color="auto" w:fill="auto"/>
            <w:noWrap/>
            <w:vAlign w:val="bottom"/>
            <w:hideMark/>
          </w:tcPr>
          <w:p w14:paraId="7492C26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80" w:type="pct"/>
            <w:shd w:val="clear" w:color="auto" w:fill="auto"/>
            <w:noWrap/>
            <w:vAlign w:val="bottom"/>
            <w:hideMark/>
          </w:tcPr>
          <w:p w14:paraId="3D39B20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80" w:type="pct"/>
            <w:shd w:val="clear" w:color="auto" w:fill="auto"/>
            <w:noWrap/>
            <w:vAlign w:val="bottom"/>
            <w:hideMark/>
          </w:tcPr>
          <w:p w14:paraId="697090A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4367B9EF" w14:textId="77777777" w:rsidTr="00250DAC">
        <w:trPr>
          <w:trHeight w:val="20"/>
        </w:trPr>
        <w:tc>
          <w:tcPr>
            <w:tcW w:w="215" w:type="pct"/>
            <w:shd w:val="clear" w:color="auto" w:fill="auto"/>
            <w:noWrap/>
            <w:vAlign w:val="bottom"/>
            <w:hideMark/>
          </w:tcPr>
          <w:p w14:paraId="53D1E5E3" w14:textId="77777777" w:rsidR="005B5953" w:rsidRPr="005B12AE" w:rsidRDefault="005B5953" w:rsidP="00250DAC">
            <w:pPr>
              <w:spacing w:after="0" w:line="240" w:lineRule="auto"/>
              <w:rPr>
                <w:rFonts w:ascii="Times New Roman" w:hAnsi="Times New Roman"/>
                <w:sz w:val="20"/>
                <w:szCs w:val="20"/>
              </w:rPr>
            </w:pPr>
          </w:p>
        </w:tc>
        <w:tc>
          <w:tcPr>
            <w:tcW w:w="256" w:type="pct"/>
            <w:shd w:val="clear" w:color="auto" w:fill="auto"/>
            <w:noWrap/>
            <w:vAlign w:val="bottom"/>
            <w:hideMark/>
          </w:tcPr>
          <w:p w14:paraId="366D12FA"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IV)</w:t>
            </w:r>
          </w:p>
        </w:tc>
        <w:tc>
          <w:tcPr>
            <w:tcW w:w="1848" w:type="pct"/>
            <w:shd w:val="clear" w:color="auto" w:fill="auto"/>
            <w:noWrap/>
            <w:vAlign w:val="bottom"/>
            <w:hideMark/>
          </w:tcPr>
          <w:p w14:paraId="117DCEAD"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Intangible assets under development</w:t>
            </w:r>
          </w:p>
        </w:tc>
        <w:tc>
          <w:tcPr>
            <w:tcW w:w="332" w:type="pct"/>
            <w:shd w:val="clear" w:color="auto" w:fill="auto"/>
            <w:noWrap/>
            <w:vAlign w:val="bottom"/>
            <w:hideMark/>
          </w:tcPr>
          <w:p w14:paraId="226E6BC3"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789" w:type="pct"/>
            <w:shd w:val="clear" w:color="auto" w:fill="auto"/>
            <w:noWrap/>
            <w:vAlign w:val="bottom"/>
            <w:hideMark/>
          </w:tcPr>
          <w:p w14:paraId="0128D21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80" w:type="pct"/>
            <w:shd w:val="clear" w:color="auto" w:fill="auto"/>
            <w:noWrap/>
            <w:vAlign w:val="bottom"/>
            <w:hideMark/>
          </w:tcPr>
          <w:p w14:paraId="160F687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80" w:type="pct"/>
            <w:shd w:val="clear" w:color="auto" w:fill="auto"/>
            <w:noWrap/>
            <w:vAlign w:val="bottom"/>
            <w:hideMark/>
          </w:tcPr>
          <w:p w14:paraId="682736A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017E839B" w14:textId="77777777" w:rsidTr="00250DAC">
        <w:trPr>
          <w:trHeight w:val="20"/>
        </w:trPr>
        <w:tc>
          <w:tcPr>
            <w:tcW w:w="215" w:type="pct"/>
            <w:shd w:val="clear" w:color="auto" w:fill="auto"/>
            <w:noWrap/>
            <w:vAlign w:val="bottom"/>
            <w:hideMark/>
          </w:tcPr>
          <w:p w14:paraId="7D54D625" w14:textId="77777777" w:rsidR="005B5953" w:rsidRPr="005B12AE" w:rsidRDefault="005B5953" w:rsidP="00250DAC">
            <w:pPr>
              <w:spacing w:after="0" w:line="240" w:lineRule="auto"/>
              <w:rPr>
                <w:rFonts w:ascii="Times New Roman" w:hAnsi="Times New Roman"/>
                <w:sz w:val="20"/>
                <w:szCs w:val="20"/>
              </w:rPr>
            </w:pPr>
          </w:p>
        </w:tc>
        <w:tc>
          <w:tcPr>
            <w:tcW w:w="2104" w:type="pct"/>
            <w:gridSpan w:val="2"/>
            <w:shd w:val="clear" w:color="auto" w:fill="auto"/>
            <w:noWrap/>
            <w:vAlign w:val="bottom"/>
            <w:hideMark/>
          </w:tcPr>
          <w:p w14:paraId="3AA83EDB" w14:textId="77777777" w:rsidR="005B5953" w:rsidRPr="005B12AE" w:rsidRDefault="005B5953" w:rsidP="00250DAC">
            <w:pPr>
              <w:spacing w:after="0" w:line="240" w:lineRule="auto"/>
              <w:rPr>
                <w:rFonts w:ascii="Times New Roman" w:hAnsi="Times New Roman"/>
                <w:sz w:val="20"/>
                <w:szCs w:val="20"/>
              </w:rPr>
            </w:pPr>
          </w:p>
        </w:tc>
        <w:tc>
          <w:tcPr>
            <w:tcW w:w="332" w:type="pct"/>
            <w:shd w:val="clear" w:color="auto" w:fill="auto"/>
            <w:noWrap/>
            <w:vAlign w:val="bottom"/>
            <w:hideMark/>
          </w:tcPr>
          <w:p w14:paraId="6380234F"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789" w:type="pct"/>
            <w:shd w:val="clear" w:color="auto" w:fill="auto"/>
            <w:noWrap/>
            <w:vAlign w:val="bottom"/>
            <w:hideMark/>
          </w:tcPr>
          <w:p w14:paraId="45D7800A"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695.53</w:t>
            </w:r>
          </w:p>
        </w:tc>
        <w:tc>
          <w:tcPr>
            <w:tcW w:w="780" w:type="pct"/>
            <w:shd w:val="clear" w:color="auto" w:fill="auto"/>
            <w:noWrap/>
            <w:vAlign w:val="bottom"/>
            <w:hideMark/>
          </w:tcPr>
          <w:p w14:paraId="7757E083"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755.95</w:t>
            </w:r>
          </w:p>
        </w:tc>
        <w:tc>
          <w:tcPr>
            <w:tcW w:w="780" w:type="pct"/>
            <w:shd w:val="clear" w:color="auto" w:fill="auto"/>
            <w:noWrap/>
            <w:vAlign w:val="bottom"/>
            <w:hideMark/>
          </w:tcPr>
          <w:p w14:paraId="014CFC7A"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704.22</w:t>
            </w:r>
          </w:p>
        </w:tc>
      </w:tr>
      <w:tr w:rsidR="005B5953" w:rsidRPr="005B12AE" w14:paraId="258AB4FD" w14:textId="77777777" w:rsidTr="00250DAC">
        <w:trPr>
          <w:trHeight w:val="20"/>
        </w:trPr>
        <w:tc>
          <w:tcPr>
            <w:tcW w:w="215" w:type="pct"/>
            <w:shd w:val="clear" w:color="auto" w:fill="auto"/>
            <w:noWrap/>
            <w:vAlign w:val="bottom"/>
            <w:hideMark/>
          </w:tcPr>
          <w:p w14:paraId="6D8B7606"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(b)</w:t>
            </w:r>
          </w:p>
        </w:tc>
        <w:tc>
          <w:tcPr>
            <w:tcW w:w="2104" w:type="pct"/>
            <w:gridSpan w:val="2"/>
            <w:shd w:val="clear" w:color="auto" w:fill="auto"/>
            <w:noWrap/>
            <w:vAlign w:val="bottom"/>
            <w:hideMark/>
          </w:tcPr>
          <w:p w14:paraId="1A3BA9AC"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Non-Current Investment</w:t>
            </w:r>
          </w:p>
        </w:tc>
        <w:tc>
          <w:tcPr>
            <w:tcW w:w="332" w:type="pct"/>
            <w:shd w:val="clear" w:color="auto" w:fill="auto"/>
            <w:noWrap/>
            <w:vAlign w:val="bottom"/>
            <w:hideMark/>
          </w:tcPr>
          <w:p w14:paraId="7DE8DC69"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789" w:type="pct"/>
            <w:shd w:val="clear" w:color="auto" w:fill="auto"/>
            <w:noWrap/>
            <w:vAlign w:val="bottom"/>
            <w:hideMark/>
          </w:tcPr>
          <w:p w14:paraId="695C996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80" w:type="pct"/>
            <w:shd w:val="clear" w:color="auto" w:fill="auto"/>
            <w:noWrap/>
            <w:vAlign w:val="bottom"/>
            <w:hideMark/>
          </w:tcPr>
          <w:p w14:paraId="207729B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80" w:type="pct"/>
            <w:shd w:val="clear" w:color="auto" w:fill="auto"/>
            <w:noWrap/>
            <w:vAlign w:val="bottom"/>
            <w:hideMark/>
          </w:tcPr>
          <w:p w14:paraId="16891F8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10A50C03" w14:textId="77777777" w:rsidTr="00250DAC">
        <w:trPr>
          <w:trHeight w:val="20"/>
        </w:trPr>
        <w:tc>
          <w:tcPr>
            <w:tcW w:w="215" w:type="pct"/>
            <w:shd w:val="clear" w:color="auto" w:fill="auto"/>
            <w:noWrap/>
            <w:vAlign w:val="bottom"/>
            <w:hideMark/>
          </w:tcPr>
          <w:p w14:paraId="554E23ED"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(c)</w:t>
            </w:r>
          </w:p>
        </w:tc>
        <w:tc>
          <w:tcPr>
            <w:tcW w:w="2104" w:type="pct"/>
            <w:gridSpan w:val="2"/>
            <w:shd w:val="clear" w:color="auto" w:fill="auto"/>
            <w:noWrap/>
            <w:vAlign w:val="bottom"/>
            <w:hideMark/>
          </w:tcPr>
          <w:p w14:paraId="31C52905"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Deferred Tax Assets (Net)</w:t>
            </w:r>
          </w:p>
        </w:tc>
        <w:tc>
          <w:tcPr>
            <w:tcW w:w="332" w:type="pct"/>
            <w:shd w:val="clear" w:color="auto" w:fill="auto"/>
            <w:noWrap/>
            <w:vAlign w:val="bottom"/>
            <w:hideMark/>
          </w:tcPr>
          <w:p w14:paraId="73C36A32"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789" w:type="pct"/>
            <w:shd w:val="clear" w:color="auto" w:fill="auto"/>
            <w:noWrap/>
            <w:vAlign w:val="bottom"/>
            <w:hideMark/>
          </w:tcPr>
          <w:p w14:paraId="2ACE080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22.64</w:t>
            </w:r>
          </w:p>
        </w:tc>
        <w:tc>
          <w:tcPr>
            <w:tcW w:w="780" w:type="pct"/>
            <w:shd w:val="clear" w:color="auto" w:fill="auto"/>
            <w:noWrap/>
            <w:vAlign w:val="bottom"/>
            <w:hideMark/>
          </w:tcPr>
          <w:p w14:paraId="3D161AB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23.70</w:t>
            </w:r>
          </w:p>
        </w:tc>
        <w:tc>
          <w:tcPr>
            <w:tcW w:w="780" w:type="pct"/>
            <w:shd w:val="clear" w:color="auto" w:fill="auto"/>
            <w:noWrap/>
            <w:vAlign w:val="bottom"/>
            <w:hideMark/>
          </w:tcPr>
          <w:p w14:paraId="140B4D6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9.40</w:t>
            </w:r>
          </w:p>
        </w:tc>
      </w:tr>
      <w:tr w:rsidR="005B5953" w:rsidRPr="005B12AE" w14:paraId="219BEE7F" w14:textId="77777777" w:rsidTr="00250DAC">
        <w:trPr>
          <w:trHeight w:val="20"/>
        </w:trPr>
        <w:tc>
          <w:tcPr>
            <w:tcW w:w="215" w:type="pct"/>
            <w:shd w:val="clear" w:color="auto" w:fill="auto"/>
            <w:noWrap/>
            <w:vAlign w:val="bottom"/>
            <w:hideMark/>
          </w:tcPr>
          <w:p w14:paraId="26CA8D48"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(d)</w:t>
            </w:r>
          </w:p>
        </w:tc>
        <w:tc>
          <w:tcPr>
            <w:tcW w:w="2104" w:type="pct"/>
            <w:gridSpan w:val="2"/>
            <w:shd w:val="clear" w:color="auto" w:fill="auto"/>
            <w:noWrap/>
            <w:vAlign w:val="bottom"/>
            <w:hideMark/>
          </w:tcPr>
          <w:p w14:paraId="439AD3DB"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Long Term Loans and Advances</w:t>
            </w:r>
          </w:p>
        </w:tc>
        <w:tc>
          <w:tcPr>
            <w:tcW w:w="332" w:type="pct"/>
            <w:shd w:val="clear" w:color="auto" w:fill="auto"/>
            <w:noWrap/>
            <w:vAlign w:val="bottom"/>
            <w:hideMark/>
          </w:tcPr>
          <w:p w14:paraId="25BE4417"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789" w:type="pct"/>
            <w:shd w:val="clear" w:color="auto" w:fill="auto"/>
            <w:noWrap/>
            <w:vAlign w:val="bottom"/>
            <w:hideMark/>
          </w:tcPr>
          <w:p w14:paraId="0F46DD6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115.36</w:t>
            </w:r>
          </w:p>
        </w:tc>
        <w:tc>
          <w:tcPr>
            <w:tcW w:w="780" w:type="pct"/>
            <w:shd w:val="clear" w:color="auto" w:fill="auto"/>
            <w:noWrap/>
            <w:vAlign w:val="bottom"/>
            <w:hideMark/>
          </w:tcPr>
          <w:p w14:paraId="2CA98BD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96.14</w:t>
            </w:r>
          </w:p>
        </w:tc>
        <w:tc>
          <w:tcPr>
            <w:tcW w:w="780" w:type="pct"/>
            <w:shd w:val="clear" w:color="auto" w:fill="auto"/>
            <w:noWrap/>
            <w:vAlign w:val="bottom"/>
            <w:hideMark/>
          </w:tcPr>
          <w:p w14:paraId="7F66B0D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89.89</w:t>
            </w:r>
          </w:p>
        </w:tc>
      </w:tr>
      <w:tr w:rsidR="005B5953" w:rsidRPr="005B12AE" w14:paraId="61D2313B" w14:textId="77777777" w:rsidTr="00250DAC">
        <w:trPr>
          <w:trHeight w:val="20"/>
        </w:trPr>
        <w:tc>
          <w:tcPr>
            <w:tcW w:w="215" w:type="pct"/>
            <w:shd w:val="clear" w:color="auto" w:fill="auto"/>
            <w:noWrap/>
            <w:vAlign w:val="bottom"/>
            <w:hideMark/>
          </w:tcPr>
          <w:p w14:paraId="76193A4D"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(e)</w:t>
            </w:r>
          </w:p>
        </w:tc>
        <w:tc>
          <w:tcPr>
            <w:tcW w:w="2104" w:type="pct"/>
            <w:gridSpan w:val="2"/>
            <w:shd w:val="clear" w:color="auto" w:fill="auto"/>
            <w:noWrap/>
            <w:vAlign w:val="bottom"/>
            <w:hideMark/>
          </w:tcPr>
          <w:p w14:paraId="40DE96B5"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Other Non-Current Assets</w:t>
            </w:r>
          </w:p>
        </w:tc>
        <w:tc>
          <w:tcPr>
            <w:tcW w:w="332" w:type="pct"/>
            <w:shd w:val="clear" w:color="auto" w:fill="auto"/>
            <w:noWrap/>
            <w:vAlign w:val="bottom"/>
            <w:hideMark/>
          </w:tcPr>
          <w:p w14:paraId="3648659C"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789" w:type="pct"/>
            <w:shd w:val="clear" w:color="auto" w:fill="auto"/>
            <w:noWrap/>
            <w:vAlign w:val="bottom"/>
            <w:hideMark/>
          </w:tcPr>
          <w:p w14:paraId="126EF2E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80" w:type="pct"/>
            <w:shd w:val="clear" w:color="auto" w:fill="auto"/>
            <w:noWrap/>
            <w:vAlign w:val="bottom"/>
            <w:hideMark/>
          </w:tcPr>
          <w:p w14:paraId="456A657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80" w:type="pct"/>
            <w:shd w:val="clear" w:color="auto" w:fill="auto"/>
            <w:noWrap/>
            <w:vAlign w:val="bottom"/>
            <w:hideMark/>
          </w:tcPr>
          <w:p w14:paraId="1DC320E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47991211" w14:textId="77777777" w:rsidTr="00250DAC">
        <w:trPr>
          <w:trHeight w:val="20"/>
        </w:trPr>
        <w:tc>
          <w:tcPr>
            <w:tcW w:w="215" w:type="pct"/>
            <w:shd w:val="clear" w:color="auto" w:fill="auto"/>
            <w:noWrap/>
            <w:vAlign w:val="bottom"/>
            <w:hideMark/>
          </w:tcPr>
          <w:p w14:paraId="57B7932D" w14:textId="77777777" w:rsidR="005B5953" w:rsidRPr="005B12AE" w:rsidRDefault="005B5953" w:rsidP="00250DAC">
            <w:pPr>
              <w:spacing w:after="0" w:line="240" w:lineRule="auto"/>
              <w:rPr>
                <w:rFonts w:ascii="Times New Roman" w:hAnsi="Times New Roman"/>
                <w:sz w:val="20"/>
                <w:szCs w:val="20"/>
              </w:rPr>
            </w:pPr>
          </w:p>
        </w:tc>
        <w:tc>
          <w:tcPr>
            <w:tcW w:w="2104" w:type="pct"/>
            <w:gridSpan w:val="2"/>
            <w:shd w:val="clear" w:color="auto" w:fill="auto"/>
            <w:noWrap/>
            <w:vAlign w:val="bottom"/>
            <w:hideMark/>
          </w:tcPr>
          <w:p w14:paraId="38961105" w14:textId="77777777" w:rsidR="005B5953" w:rsidRPr="005B12AE" w:rsidRDefault="005B5953" w:rsidP="00250DAC">
            <w:pPr>
              <w:spacing w:after="0" w:line="240" w:lineRule="auto"/>
              <w:rPr>
                <w:rFonts w:ascii="Times New Roman" w:hAnsi="Times New Roman"/>
                <w:sz w:val="20"/>
                <w:szCs w:val="20"/>
              </w:rPr>
            </w:pPr>
          </w:p>
        </w:tc>
        <w:tc>
          <w:tcPr>
            <w:tcW w:w="332" w:type="pct"/>
            <w:shd w:val="clear" w:color="auto" w:fill="auto"/>
            <w:noWrap/>
            <w:vAlign w:val="bottom"/>
            <w:hideMark/>
          </w:tcPr>
          <w:p w14:paraId="7017C754"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789" w:type="pct"/>
            <w:shd w:val="clear" w:color="auto" w:fill="auto"/>
            <w:noWrap/>
            <w:vAlign w:val="bottom"/>
            <w:hideMark/>
          </w:tcPr>
          <w:p w14:paraId="5B46CB8A"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138.00</w:t>
            </w:r>
          </w:p>
        </w:tc>
        <w:tc>
          <w:tcPr>
            <w:tcW w:w="780" w:type="pct"/>
            <w:shd w:val="clear" w:color="auto" w:fill="auto"/>
            <w:noWrap/>
            <w:vAlign w:val="bottom"/>
            <w:hideMark/>
          </w:tcPr>
          <w:p w14:paraId="45FB47DF"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119.84</w:t>
            </w:r>
          </w:p>
        </w:tc>
        <w:tc>
          <w:tcPr>
            <w:tcW w:w="780" w:type="pct"/>
            <w:shd w:val="clear" w:color="auto" w:fill="auto"/>
            <w:noWrap/>
            <w:vAlign w:val="bottom"/>
            <w:hideMark/>
          </w:tcPr>
          <w:p w14:paraId="54010E93"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99.29</w:t>
            </w:r>
          </w:p>
        </w:tc>
      </w:tr>
      <w:tr w:rsidR="005B5953" w:rsidRPr="005B12AE" w14:paraId="72B469F6" w14:textId="77777777" w:rsidTr="00250DAC">
        <w:trPr>
          <w:trHeight w:val="20"/>
        </w:trPr>
        <w:tc>
          <w:tcPr>
            <w:tcW w:w="215" w:type="pct"/>
            <w:shd w:val="clear" w:color="auto" w:fill="auto"/>
            <w:noWrap/>
            <w:vAlign w:val="bottom"/>
            <w:hideMark/>
          </w:tcPr>
          <w:p w14:paraId="5656E8E5"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2.</w:t>
            </w:r>
          </w:p>
        </w:tc>
        <w:tc>
          <w:tcPr>
            <w:tcW w:w="2104" w:type="pct"/>
            <w:gridSpan w:val="2"/>
            <w:shd w:val="clear" w:color="auto" w:fill="auto"/>
            <w:noWrap/>
            <w:vAlign w:val="bottom"/>
            <w:hideMark/>
          </w:tcPr>
          <w:p w14:paraId="5F318769"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Current Assets</w:t>
            </w:r>
          </w:p>
        </w:tc>
        <w:tc>
          <w:tcPr>
            <w:tcW w:w="332" w:type="pct"/>
            <w:shd w:val="clear" w:color="auto" w:fill="auto"/>
            <w:noWrap/>
            <w:vAlign w:val="bottom"/>
            <w:hideMark/>
          </w:tcPr>
          <w:p w14:paraId="0A24A868"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789" w:type="pct"/>
            <w:shd w:val="clear" w:color="auto" w:fill="auto"/>
            <w:noWrap/>
            <w:vAlign w:val="bottom"/>
            <w:hideMark/>
          </w:tcPr>
          <w:p w14:paraId="3B5D486B" w14:textId="77777777" w:rsidR="005B5953" w:rsidRPr="005B12AE" w:rsidRDefault="005B5953" w:rsidP="00250DAC">
            <w:pPr>
              <w:spacing w:after="0" w:line="240" w:lineRule="auto"/>
              <w:jc w:val="center"/>
              <w:rPr>
                <w:rFonts w:ascii="Times New Roman" w:hAnsi="Times New Roman"/>
                <w:sz w:val="20"/>
                <w:szCs w:val="20"/>
              </w:rPr>
            </w:pPr>
          </w:p>
        </w:tc>
        <w:tc>
          <w:tcPr>
            <w:tcW w:w="780" w:type="pct"/>
            <w:shd w:val="clear" w:color="auto" w:fill="auto"/>
            <w:noWrap/>
            <w:vAlign w:val="bottom"/>
            <w:hideMark/>
          </w:tcPr>
          <w:p w14:paraId="04AFF1EA" w14:textId="77777777" w:rsidR="005B5953" w:rsidRPr="005B12AE" w:rsidRDefault="005B5953" w:rsidP="00250DAC">
            <w:pPr>
              <w:spacing w:after="0" w:line="240" w:lineRule="auto"/>
              <w:jc w:val="center"/>
              <w:rPr>
                <w:rFonts w:ascii="Times New Roman" w:hAnsi="Times New Roman"/>
                <w:sz w:val="20"/>
                <w:szCs w:val="20"/>
              </w:rPr>
            </w:pPr>
          </w:p>
        </w:tc>
        <w:tc>
          <w:tcPr>
            <w:tcW w:w="780" w:type="pct"/>
            <w:shd w:val="clear" w:color="auto" w:fill="auto"/>
            <w:noWrap/>
            <w:vAlign w:val="bottom"/>
            <w:hideMark/>
          </w:tcPr>
          <w:p w14:paraId="6CE04498"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6AB8A1CD" w14:textId="77777777" w:rsidTr="00250DAC">
        <w:trPr>
          <w:trHeight w:val="20"/>
        </w:trPr>
        <w:tc>
          <w:tcPr>
            <w:tcW w:w="215" w:type="pct"/>
            <w:shd w:val="clear" w:color="auto" w:fill="auto"/>
            <w:noWrap/>
            <w:vAlign w:val="bottom"/>
            <w:hideMark/>
          </w:tcPr>
          <w:p w14:paraId="0E51EE31"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(a)</w:t>
            </w:r>
          </w:p>
        </w:tc>
        <w:tc>
          <w:tcPr>
            <w:tcW w:w="2104" w:type="pct"/>
            <w:gridSpan w:val="2"/>
            <w:shd w:val="clear" w:color="auto" w:fill="auto"/>
            <w:noWrap/>
            <w:vAlign w:val="bottom"/>
            <w:hideMark/>
          </w:tcPr>
          <w:p w14:paraId="782B8FF6"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Trade Receivables</w:t>
            </w:r>
          </w:p>
        </w:tc>
        <w:tc>
          <w:tcPr>
            <w:tcW w:w="332" w:type="pct"/>
            <w:shd w:val="clear" w:color="auto" w:fill="auto"/>
            <w:noWrap/>
            <w:vAlign w:val="bottom"/>
            <w:hideMark/>
          </w:tcPr>
          <w:p w14:paraId="3A3EB91E"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I</w:t>
            </w:r>
          </w:p>
        </w:tc>
        <w:tc>
          <w:tcPr>
            <w:tcW w:w="789" w:type="pct"/>
            <w:shd w:val="clear" w:color="auto" w:fill="auto"/>
            <w:noWrap/>
            <w:vAlign w:val="bottom"/>
            <w:hideMark/>
          </w:tcPr>
          <w:p w14:paraId="13508B5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3,461.45</w:t>
            </w:r>
          </w:p>
        </w:tc>
        <w:tc>
          <w:tcPr>
            <w:tcW w:w="780" w:type="pct"/>
            <w:shd w:val="clear" w:color="auto" w:fill="auto"/>
            <w:noWrap/>
            <w:vAlign w:val="bottom"/>
            <w:hideMark/>
          </w:tcPr>
          <w:p w14:paraId="13FE617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3,359.60</w:t>
            </w:r>
          </w:p>
        </w:tc>
        <w:tc>
          <w:tcPr>
            <w:tcW w:w="780" w:type="pct"/>
            <w:shd w:val="clear" w:color="auto" w:fill="auto"/>
            <w:noWrap/>
            <w:vAlign w:val="bottom"/>
            <w:hideMark/>
          </w:tcPr>
          <w:p w14:paraId="20EE22C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4,269.97</w:t>
            </w:r>
          </w:p>
        </w:tc>
      </w:tr>
      <w:tr w:rsidR="005B5953" w:rsidRPr="005B12AE" w14:paraId="1C04B429" w14:textId="77777777" w:rsidTr="00250DAC">
        <w:trPr>
          <w:trHeight w:val="20"/>
        </w:trPr>
        <w:tc>
          <w:tcPr>
            <w:tcW w:w="215" w:type="pct"/>
            <w:shd w:val="clear" w:color="auto" w:fill="auto"/>
            <w:noWrap/>
            <w:vAlign w:val="bottom"/>
            <w:hideMark/>
          </w:tcPr>
          <w:p w14:paraId="48242531"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(b)</w:t>
            </w:r>
          </w:p>
        </w:tc>
        <w:tc>
          <w:tcPr>
            <w:tcW w:w="2104" w:type="pct"/>
            <w:gridSpan w:val="2"/>
            <w:shd w:val="clear" w:color="auto" w:fill="auto"/>
            <w:noWrap/>
            <w:vAlign w:val="bottom"/>
            <w:hideMark/>
          </w:tcPr>
          <w:p w14:paraId="2DB39BF9"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Cash and Cash equivalents </w:t>
            </w:r>
          </w:p>
        </w:tc>
        <w:tc>
          <w:tcPr>
            <w:tcW w:w="332" w:type="pct"/>
            <w:shd w:val="clear" w:color="auto" w:fill="auto"/>
            <w:noWrap/>
            <w:vAlign w:val="bottom"/>
            <w:hideMark/>
          </w:tcPr>
          <w:p w14:paraId="5E736AC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J</w:t>
            </w:r>
          </w:p>
        </w:tc>
        <w:tc>
          <w:tcPr>
            <w:tcW w:w="789" w:type="pct"/>
            <w:shd w:val="clear" w:color="auto" w:fill="auto"/>
            <w:noWrap/>
            <w:vAlign w:val="bottom"/>
            <w:hideMark/>
          </w:tcPr>
          <w:p w14:paraId="0CD3836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72.31</w:t>
            </w:r>
          </w:p>
        </w:tc>
        <w:tc>
          <w:tcPr>
            <w:tcW w:w="780" w:type="pct"/>
            <w:shd w:val="clear" w:color="auto" w:fill="auto"/>
            <w:noWrap/>
            <w:vAlign w:val="bottom"/>
            <w:hideMark/>
          </w:tcPr>
          <w:p w14:paraId="2963A6C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209.65</w:t>
            </w:r>
          </w:p>
        </w:tc>
        <w:tc>
          <w:tcPr>
            <w:tcW w:w="780" w:type="pct"/>
            <w:shd w:val="clear" w:color="auto" w:fill="auto"/>
            <w:noWrap/>
            <w:vAlign w:val="bottom"/>
            <w:hideMark/>
          </w:tcPr>
          <w:p w14:paraId="6F0132B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38.24</w:t>
            </w:r>
          </w:p>
        </w:tc>
      </w:tr>
      <w:tr w:rsidR="005B5953" w:rsidRPr="005B12AE" w14:paraId="3A9BDFF1" w14:textId="77777777" w:rsidTr="00250DAC">
        <w:trPr>
          <w:trHeight w:val="20"/>
        </w:trPr>
        <w:tc>
          <w:tcPr>
            <w:tcW w:w="215" w:type="pct"/>
            <w:shd w:val="clear" w:color="auto" w:fill="auto"/>
            <w:noWrap/>
            <w:vAlign w:val="bottom"/>
            <w:hideMark/>
          </w:tcPr>
          <w:p w14:paraId="7B805C96"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(c)</w:t>
            </w:r>
          </w:p>
        </w:tc>
        <w:tc>
          <w:tcPr>
            <w:tcW w:w="2104" w:type="pct"/>
            <w:gridSpan w:val="2"/>
            <w:shd w:val="clear" w:color="auto" w:fill="auto"/>
            <w:noWrap/>
            <w:vAlign w:val="bottom"/>
            <w:hideMark/>
          </w:tcPr>
          <w:p w14:paraId="066CE294"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Inventories</w:t>
            </w:r>
          </w:p>
        </w:tc>
        <w:tc>
          <w:tcPr>
            <w:tcW w:w="332" w:type="pct"/>
            <w:shd w:val="clear" w:color="auto" w:fill="auto"/>
            <w:noWrap/>
            <w:vAlign w:val="bottom"/>
            <w:hideMark/>
          </w:tcPr>
          <w:p w14:paraId="1A3CF37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K</w:t>
            </w:r>
          </w:p>
        </w:tc>
        <w:tc>
          <w:tcPr>
            <w:tcW w:w="789" w:type="pct"/>
            <w:shd w:val="clear" w:color="auto" w:fill="auto"/>
            <w:noWrap/>
            <w:vAlign w:val="bottom"/>
            <w:hideMark/>
          </w:tcPr>
          <w:p w14:paraId="2F5458A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7,755.17</w:t>
            </w:r>
          </w:p>
        </w:tc>
        <w:tc>
          <w:tcPr>
            <w:tcW w:w="780" w:type="pct"/>
            <w:shd w:val="clear" w:color="auto" w:fill="auto"/>
            <w:noWrap/>
            <w:vAlign w:val="bottom"/>
            <w:hideMark/>
          </w:tcPr>
          <w:p w14:paraId="51D991E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4,943.40</w:t>
            </w:r>
          </w:p>
        </w:tc>
        <w:tc>
          <w:tcPr>
            <w:tcW w:w="780" w:type="pct"/>
            <w:shd w:val="clear" w:color="auto" w:fill="auto"/>
            <w:noWrap/>
            <w:vAlign w:val="bottom"/>
            <w:hideMark/>
          </w:tcPr>
          <w:p w14:paraId="22BFFEB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4,041.90</w:t>
            </w:r>
          </w:p>
        </w:tc>
      </w:tr>
      <w:tr w:rsidR="005B5953" w:rsidRPr="005B12AE" w14:paraId="2C55D451" w14:textId="77777777" w:rsidTr="00250DAC">
        <w:trPr>
          <w:trHeight w:val="20"/>
        </w:trPr>
        <w:tc>
          <w:tcPr>
            <w:tcW w:w="215" w:type="pct"/>
            <w:shd w:val="clear" w:color="auto" w:fill="auto"/>
            <w:noWrap/>
            <w:vAlign w:val="bottom"/>
            <w:hideMark/>
          </w:tcPr>
          <w:p w14:paraId="08EAE723"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(d)</w:t>
            </w:r>
          </w:p>
        </w:tc>
        <w:tc>
          <w:tcPr>
            <w:tcW w:w="2104" w:type="pct"/>
            <w:gridSpan w:val="2"/>
            <w:shd w:val="clear" w:color="auto" w:fill="auto"/>
            <w:noWrap/>
            <w:vAlign w:val="bottom"/>
            <w:hideMark/>
          </w:tcPr>
          <w:p w14:paraId="36B1E13D"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Short-Term Loans and Advances</w:t>
            </w:r>
          </w:p>
        </w:tc>
        <w:tc>
          <w:tcPr>
            <w:tcW w:w="332" w:type="pct"/>
            <w:shd w:val="clear" w:color="auto" w:fill="auto"/>
            <w:noWrap/>
            <w:vAlign w:val="bottom"/>
            <w:hideMark/>
          </w:tcPr>
          <w:p w14:paraId="611AAB7D"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L</w:t>
            </w:r>
          </w:p>
        </w:tc>
        <w:tc>
          <w:tcPr>
            <w:tcW w:w="789" w:type="pct"/>
            <w:shd w:val="clear" w:color="auto" w:fill="auto"/>
            <w:noWrap/>
            <w:vAlign w:val="bottom"/>
            <w:hideMark/>
          </w:tcPr>
          <w:p w14:paraId="5731BB7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2,542.91</w:t>
            </w:r>
          </w:p>
        </w:tc>
        <w:tc>
          <w:tcPr>
            <w:tcW w:w="780" w:type="pct"/>
            <w:shd w:val="clear" w:color="auto" w:fill="auto"/>
            <w:noWrap/>
            <w:vAlign w:val="bottom"/>
            <w:hideMark/>
          </w:tcPr>
          <w:p w14:paraId="29F0C08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31.79</w:t>
            </w:r>
          </w:p>
        </w:tc>
        <w:tc>
          <w:tcPr>
            <w:tcW w:w="780" w:type="pct"/>
            <w:shd w:val="clear" w:color="auto" w:fill="auto"/>
            <w:noWrap/>
            <w:vAlign w:val="bottom"/>
            <w:hideMark/>
          </w:tcPr>
          <w:p w14:paraId="141608A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185.63</w:t>
            </w:r>
          </w:p>
        </w:tc>
      </w:tr>
      <w:tr w:rsidR="005B5953" w:rsidRPr="005B12AE" w14:paraId="3CB751B0" w14:textId="77777777" w:rsidTr="00250DAC">
        <w:trPr>
          <w:trHeight w:val="20"/>
        </w:trPr>
        <w:tc>
          <w:tcPr>
            <w:tcW w:w="215" w:type="pct"/>
            <w:shd w:val="clear" w:color="auto" w:fill="auto"/>
            <w:noWrap/>
            <w:vAlign w:val="bottom"/>
            <w:hideMark/>
          </w:tcPr>
          <w:p w14:paraId="73BEFA5E"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(e)</w:t>
            </w:r>
          </w:p>
        </w:tc>
        <w:tc>
          <w:tcPr>
            <w:tcW w:w="2104" w:type="pct"/>
            <w:gridSpan w:val="2"/>
            <w:shd w:val="clear" w:color="auto" w:fill="auto"/>
            <w:noWrap/>
            <w:vAlign w:val="bottom"/>
            <w:hideMark/>
          </w:tcPr>
          <w:p w14:paraId="0097EB47"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Other Current Assets </w:t>
            </w:r>
          </w:p>
        </w:tc>
        <w:tc>
          <w:tcPr>
            <w:tcW w:w="332" w:type="pct"/>
            <w:shd w:val="clear" w:color="auto" w:fill="auto"/>
            <w:noWrap/>
            <w:vAlign w:val="bottom"/>
            <w:hideMark/>
          </w:tcPr>
          <w:p w14:paraId="5F29B179"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M</w:t>
            </w:r>
          </w:p>
        </w:tc>
        <w:tc>
          <w:tcPr>
            <w:tcW w:w="789" w:type="pct"/>
            <w:shd w:val="clear" w:color="auto" w:fill="auto"/>
            <w:noWrap/>
            <w:vAlign w:val="bottom"/>
            <w:hideMark/>
          </w:tcPr>
          <w:p w14:paraId="5D8A4F0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470.93</w:t>
            </w:r>
          </w:p>
        </w:tc>
        <w:tc>
          <w:tcPr>
            <w:tcW w:w="780" w:type="pct"/>
            <w:shd w:val="clear" w:color="auto" w:fill="auto"/>
            <w:noWrap/>
            <w:vAlign w:val="bottom"/>
            <w:hideMark/>
          </w:tcPr>
          <w:p w14:paraId="1E062C8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431.13</w:t>
            </w:r>
          </w:p>
        </w:tc>
        <w:tc>
          <w:tcPr>
            <w:tcW w:w="780" w:type="pct"/>
            <w:shd w:val="clear" w:color="auto" w:fill="auto"/>
            <w:noWrap/>
            <w:vAlign w:val="bottom"/>
            <w:hideMark/>
          </w:tcPr>
          <w:p w14:paraId="6DE6722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484.35</w:t>
            </w:r>
          </w:p>
        </w:tc>
      </w:tr>
      <w:tr w:rsidR="005B5953" w:rsidRPr="005B12AE" w14:paraId="2E97DAC2" w14:textId="77777777" w:rsidTr="00250DAC">
        <w:trPr>
          <w:trHeight w:val="20"/>
        </w:trPr>
        <w:tc>
          <w:tcPr>
            <w:tcW w:w="215" w:type="pct"/>
            <w:shd w:val="clear" w:color="auto" w:fill="auto"/>
            <w:noWrap/>
            <w:vAlign w:val="bottom"/>
            <w:hideMark/>
          </w:tcPr>
          <w:p w14:paraId="5FC593E5" w14:textId="77777777" w:rsidR="005B5953" w:rsidRPr="005B12AE" w:rsidRDefault="005B5953" w:rsidP="00250DAC">
            <w:pPr>
              <w:spacing w:after="0" w:line="240" w:lineRule="auto"/>
              <w:rPr>
                <w:rFonts w:ascii="Times New Roman" w:hAnsi="Times New Roman"/>
                <w:sz w:val="20"/>
                <w:szCs w:val="20"/>
              </w:rPr>
            </w:pPr>
          </w:p>
        </w:tc>
        <w:tc>
          <w:tcPr>
            <w:tcW w:w="2104" w:type="pct"/>
            <w:gridSpan w:val="2"/>
            <w:shd w:val="clear" w:color="auto" w:fill="auto"/>
            <w:noWrap/>
            <w:vAlign w:val="bottom"/>
            <w:hideMark/>
          </w:tcPr>
          <w:p w14:paraId="39C7928E" w14:textId="77777777" w:rsidR="005B5953" w:rsidRPr="005B12AE" w:rsidRDefault="005B5953" w:rsidP="00250DAC">
            <w:pPr>
              <w:spacing w:after="0" w:line="240" w:lineRule="auto"/>
              <w:rPr>
                <w:rFonts w:ascii="Times New Roman" w:hAnsi="Times New Roman"/>
                <w:sz w:val="20"/>
                <w:szCs w:val="20"/>
              </w:rPr>
            </w:pPr>
          </w:p>
        </w:tc>
        <w:tc>
          <w:tcPr>
            <w:tcW w:w="332" w:type="pct"/>
            <w:shd w:val="clear" w:color="auto" w:fill="auto"/>
            <w:noWrap/>
            <w:vAlign w:val="bottom"/>
            <w:hideMark/>
          </w:tcPr>
          <w:p w14:paraId="384E2DAC"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789" w:type="pct"/>
            <w:shd w:val="clear" w:color="auto" w:fill="auto"/>
            <w:noWrap/>
            <w:vAlign w:val="bottom"/>
            <w:hideMark/>
          </w:tcPr>
          <w:p w14:paraId="2A3B026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14,302.78</w:t>
            </w:r>
          </w:p>
        </w:tc>
        <w:tc>
          <w:tcPr>
            <w:tcW w:w="780" w:type="pct"/>
            <w:shd w:val="clear" w:color="auto" w:fill="auto"/>
            <w:noWrap/>
            <w:vAlign w:val="bottom"/>
            <w:hideMark/>
          </w:tcPr>
          <w:p w14:paraId="34D7872D"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8,975.56</w:t>
            </w:r>
          </w:p>
        </w:tc>
        <w:tc>
          <w:tcPr>
            <w:tcW w:w="780" w:type="pct"/>
            <w:shd w:val="clear" w:color="auto" w:fill="auto"/>
            <w:noWrap/>
            <w:vAlign w:val="bottom"/>
            <w:hideMark/>
          </w:tcPr>
          <w:p w14:paraId="4B69A2D0"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9,020.08</w:t>
            </w:r>
          </w:p>
        </w:tc>
      </w:tr>
      <w:tr w:rsidR="005B5953" w:rsidRPr="005B12AE" w14:paraId="0F0A68B3" w14:textId="77777777" w:rsidTr="00250DAC">
        <w:trPr>
          <w:trHeight w:val="20"/>
        </w:trPr>
        <w:tc>
          <w:tcPr>
            <w:tcW w:w="215" w:type="pct"/>
            <w:shd w:val="clear" w:color="auto" w:fill="auto"/>
            <w:noWrap/>
            <w:vAlign w:val="bottom"/>
            <w:hideMark/>
          </w:tcPr>
          <w:p w14:paraId="12B00C1C"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2104" w:type="pct"/>
            <w:gridSpan w:val="2"/>
            <w:shd w:val="clear" w:color="auto" w:fill="auto"/>
            <w:noWrap/>
            <w:vAlign w:val="bottom"/>
            <w:hideMark/>
          </w:tcPr>
          <w:p w14:paraId="06CD5A87"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Total</w:t>
            </w:r>
          </w:p>
        </w:tc>
        <w:tc>
          <w:tcPr>
            <w:tcW w:w="332" w:type="pct"/>
            <w:shd w:val="clear" w:color="auto" w:fill="auto"/>
            <w:noWrap/>
            <w:vAlign w:val="bottom"/>
            <w:hideMark/>
          </w:tcPr>
          <w:p w14:paraId="0F16A40B"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789" w:type="pct"/>
            <w:shd w:val="clear" w:color="auto" w:fill="auto"/>
            <w:noWrap/>
            <w:vAlign w:val="bottom"/>
            <w:hideMark/>
          </w:tcPr>
          <w:p w14:paraId="729FF9E8"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15,136.31</w:t>
            </w:r>
          </w:p>
        </w:tc>
        <w:tc>
          <w:tcPr>
            <w:tcW w:w="780" w:type="pct"/>
            <w:shd w:val="clear" w:color="auto" w:fill="auto"/>
            <w:noWrap/>
            <w:vAlign w:val="bottom"/>
            <w:hideMark/>
          </w:tcPr>
          <w:p w14:paraId="7E433728"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9,851.35</w:t>
            </w:r>
          </w:p>
        </w:tc>
        <w:tc>
          <w:tcPr>
            <w:tcW w:w="780" w:type="pct"/>
            <w:shd w:val="clear" w:color="auto" w:fill="auto"/>
            <w:noWrap/>
            <w:vAlign w:val="bottom"/>
            <w:hideMark/>
          </w:tcPr>
          <w:p w14:paraId="73A7FFBA"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9,823.59</w:t>
            </w:r>
          </w:p>
        </w:tc>
      </w:tr>
    </w:tbl>
    <w:p w14:paraId="1D5F64AF" w14:textId="77777777" w:rsidR="005B5953" w:rsidRPr="005B12AE" w:rsidRDefault="005B5953" w:rsidP="005B5953">
      <w:pPr>
        <w:spacing w:after="0"/>
        <w:rPr>
          <w:rFonts w:ascii="Times New Roman" w:hAnsi="Times New Roman"/>
          <w:b/>
          <w:bCs/>
          <w:sz w:val="20"/>
          <w:szCs w:val="20"/>
        </w:rPr>
      </w:pPr>
    </w:p>
    <w:p w14:paraId="6FA65641" w14:textId="77777777" w:rsidR="005B5953" w:rsidRPr="005B12AE" w:rsidRDefault="005B5953" w:rsidP="005B5953">
      <w:pPr>
        <w:rPr>
          <w:rFonts w:ascii="Times New Roman" w:hAnsi="Times New Roman"/>
          <w:b/>
          <w:bCs/>
          <w:sz w:val="20"/>
          <w:szCs w:val="20"/>
        </w:rPr>
      </w:pPr>
      <w:r w:rsidRPr="005B12AE">
        <w:rPr>
          <w:rFonts w:ascii="Times New Roman" w:hAnsi="Times New Roman"/>
          <w:b/>
          <w:bCs/>
          <w:sz w:val="20"/>
          <w:szCs w:val="20"/>
        </w:rPr>
        <w:br w:type="page"/>
      </w:r>
    </w:p>
    <w:p w14:paraId="5B47DCCB" w14:textId="77777777" w:rsidR="005B5953" w:rsidRPr="005B12AE" w:rsidRDefault="005B5953" w:rsidP="005B5953">
      <w:pPr>
        <w:spacing w:after="0"/>
        <w:jc w:val="center"/>
        <w:rPr>
          <w:rFonts w:ascii="Times New Roman" w:hAnsi="Times New Roman"/>
          <w:b/>
          <w:bCs/>
          <w:sz w:val="20"/>
          <w:szCs w:val="20"/>
        </w:rPr>
      </w:pPr>
      <w:r w:rsidRPr="005B12AE">
        <w:rPr>
          <w:rFonts w:ascii="Times New Roman" w:hAnsi="Times New Roman"/>
          <w:b/>
          <w:bCs/>
          <w:sz w:val="20"/>
          <w:szCs w:val="20"/>
        </w:rPr>
        <w:lastRenderedPageBreak/>
        <w:t>ANNEXURE – II</w:t>
      </w:r>
    </w:p>
    <w:p w14:paraId="6EEE4836" w14:textId="77777777" w:rsidR="005B5953" w:rsidRPr="005B12AE" w:rsidRDefault="005B5953" w:rsidP="005B5953">
      <w:pPr>
        <w:spacing w:after="0"/>
        <w:jc w:val="center"/>
        <w:rPr>
          <w:rFonts w:ascii="Times New Roman" w:hAnsi="Times New Roman"/>
          <w:b/>
          <w:bCs/>
          <w:sz w:val="20"/>
          <w:szCs w:val="20"/>
        </w:rPr>
      </w:pPr>
    </w:p>
    <w:p w14:paraId="4655321C" w14:textId="77777777" w:rsidR="005B5953" w:rsidRPr="005B12AE" w:rsidRDefault="005B5953" w:rsidP="005B5953">
      <w:pPr>
        <w:spacing w:after="0"/>
        <w:jc w:val="center"/>
        <w:rPr>
          <w:rFonts w:ascii="Times New Roman" w:hAnsi="Times New Roman"/>
          <w:b/>
          <w:bCs/>
          <w:sz w:val="20"/>
          <w:szCs w:val="20"/>
        </w:rPr>
      </w:pPr>
      <w:r w:rsidRPr="005B12AE">
        <w:rPr>
          <w:rFonts w:ascii="Times New Roman" w:hAnsi="Times New Roman"/>
          <w:b/>
          <w:bCs/>
          <w:sz w:val="20"/>
          <w:szCs w:val="20"/>
        </w:rPr>
        <w:t>RESTATED STATEMENT OF PROFIT AND LOSS</w:t>
      </w:r>
    </w:p>
    <w:p w14:paraId="4D7024A1" w14:textId="77777777" w:rsidR="005B5953" w:rsidRPr="005B12AE" w:rsidRDefault="005B5953" w:rsidP="005B5953">
      <w:pPr>
        <w:spacing w:after="0"/>
        <w:jc w:val="center"/>
        <w:rPr>
          <w:rFonts w:ascii="Times New Roman" w:hAnsi="Times New Roman"/>
          <w:b/>
          <w:bCs/>
          <w:sz w:val="20"/>
          <w:szCs w:val="20"/>
        </w:rPr>
      </w:pPr>
    </w:p>
    <w:p w14:paraId="623A00C3" w14:textId="77777777" w:rsidR="005B5953" w:rsidRPr="005B12AE" w:rsidRDefault="005B5953" w:rsidP="005B5953">
      <w:pPr>
        <w:spacing w:after="0"/>
        <w:jc w:val="right"/>
        <w:rPr>
          <w:rFonts w:ascii="Times New Roman" w:hAnsi="Times New Roman"/>
          <w:b/>
          <w:bCs/>
          <w:sz w:val="20"/>
          <w:szCs w:val="20"/>
        </w:rPr>
      </w:pPr>
      <w:r w:rsidRPr="005B12AE">
        <w:rPr>
          <w:rFonts w:ascii="Times New Roman" w:hAnsi="Times New Roman"/>
          <w:b/>
          <w:bCs/>
          <w:sz w:val="20"/>
          <w:szCs w:val="20"/>
        </w:rPr>
        <w:t>(₹ in Lakhs)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4320"/>
        <w:gridCol w:w="630"/>
        <w:gridCol w:w="1710"/>
        <w:gridCol w:w="1620"/>
        <w:gridCol w:w="1641"/>
      </w:tblGrid>
      <w:tr w:rsidR="005B5953" w:rsidRPr="005B12AE" w14:paraId="5245877D" w14:textId="77777777" w:rsidTr="00250DAC">
        <w:trPr>
          <w:trHeight w:val="20"/>
        </w:trPr>
        <w:tc>
          <w:tcPr>
            <w:tcW w:w="4855" w:type="dxa"/>
            <w:gridSpan w:val="2"/>
            <w:vMerge w:val="restart"/>
            <w:shd w:val="clear" w:color="auto" w:fill="D0CECE" w:themeFill="background2" w:themeFillShade="E6"/>
            <w:vAlign w:val="center"/>
          </w:tcPr>
          <w:p w14:paraId="663C3598"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Particulars</w:t>
            </w:r>
          </w:p>
        </w:tc>
        <w:tc>
          <w:tcPr>
            <w:tcW w:w="630" w:type="dxa"/>
            <w:vMerge w:val="restart"/>
            <w:shd w:val="clear" w:color="auto" w:fill="D0CECE" w:themeFill="background2" w:themeFillShade="E6"/>
            <w:noWrap/>
            <w:vAlign w:val="center"/>
            <w:hideMark/>
          </w:tcPr>
          <w:p w14:paraId="2EE0F29E"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Note</w:t>
            </w:r>
          </w:p>
        </w:tc>
        <w:tc>
          <w:tcPr>
            <w:tcW w:w="4971" w:type="dxa"/>
            <w:gridSpan w:val="3"/>
            <w:shd w:val="clear" w:color="auto" w:fill="D0CECE" w:themeFill="background2" w:themeFillShade="E6"/>
            <w:noWrap/>
            <w:vAlign w:val="center"/>
            <w:hideMark/>
          </w:tcPr>
          <w:p w14:paraId="06C86E8B"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For the Year ended</w:t>
            </w:r>
          </w:p>
        </w:tc>
      </w:tr>
      <w:tr w:rsidR="005B5953" w:rsidRPr="005B12AE" w14:paraId="189EF92E" w14:textId="77777777" w:rsidTr="00250DAC">
        <w:trPr>
          <w:trHeight w:val="20"/>
        </w:trPr>
        <w:tc>
          <w:tcPr>
            <w:tcW w:w="4855" w:type="dxa"/>
            <w:gridSpan w:val="2"/>
            <w:vMerge/>
            <w:shd w:val="clear" w:color="auto" w:fill="D0CECE" w:themeFill="background2" w:themeFillShade="E6"/>
            <w:vAlign w:val="center"/>
          </w:tcPr>
          <w:p w14:paraId="506B9AB4" w14:textId="77777777" w:rsidR="005B5953" w:rsidRPr="005B12AE" w:rsidRDefault="005B5953" w:rsidP="00250DAC">
            <w:pPr>
              <w:spacing w:after="0" w:line="240" w:lineRule="auto"/>
              <w:rPr>
                <w:rFonts w:ascii="Times New Roman" w:hAnsi="Times New Roman"/>
                <w:b/>
                <w:bCs/>
                <w:sz w:val="20"/>
                <w:szCs w:val="20"/>
              </w:rPr>
            </w:pPr>
          </w:p>
        </w:tc>
        <w:tc>
          <w:tcPr>
            <w:tcW w:w="630" w:type="dxa"/>
            <w:vMerge/>
            <w:shd w:val="clear" w:color="auto" w:fill="D0CECE" w:themeFill="background2" w:themeFillShade="E6"/>
            <w:vAlign w:val="center"/>
            <w:hideMark/>
          </w:tcPr>
          <w:p w14:paraId="4B1AD27E" w14:textId="77777777" w:rsidR="005B5953" w:rsidRPr="005B12AE" w:rsidRDefault="005B5953" w:rsidP="00250DAC">
            <w:pPr>
              <w:spacing w:after="0" w:line="240" w:lineRule="auto"/>
              <w:rPr>
                <w:rFonts w:ascii="Times New Roman" w:hAnsi="Times New Roman"/>
                <w:b/>
                <w:bCs/>
                <w:sz w:val="20"/>
                <w:szCs w:val="20"/>
              </w:rPr>
            </w:pPr>
          </w:p>
        </w:tc>
        <w:tc>
          <w:tcPr>
            <w:tcW w:w="1710" w:type="dxa"/>
            <w:shd w:val="clear" w:color="auto" w:fill="D0CECE" w:themeFill="background2" w:themeFillShade="E6"/>
            <w:noWrap/>
            <w:vAlign w:val="bottom"/>
            <w:hideMark/>
          </w:tcPr>
          <w:p w14:paraId="5F0A0337"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31/03/2023</w:t>
            </w:r>
          </w:p>
        </w:tc>
        <w:tc>
          <w:tcPr>
            <w:tcW w:w="1620" w:type="dxa"/>
            <w:shd w:val="clear" w:color="auto" w:fill="D0CECE" w:themeFill="background2" w:themeFillShade="E6"/>
            <w:noWrap/>
            <w:vAlign w:val="bottom"/>
            <w:hideMark/>
          </w:tcPr>
          <w:p w14:paraId="1E2A2DD9"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31/03/2022</w:t>
            </w:r>
          </w:p>
        </w:tc>
        <w:tc>
          <w:tcPr>
            <w:tcW w:w="1641" w:type="dxa"/>
            <w:shd w:val="clear" w:color="auto" w:fill="D0CECE" w:themeFill="background2" w:themeFillShade="E6"/>
            <w:noWrap/>
            <w:vAlign w:val="bottom"/>
            <w:hideMark/>
          </w:tcPr>
          <w:p w14:paraId="532DA1A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31/03/2021</w:t>
            </w:r>
          </w:p>
        </w:tc>
      </w:tr>
      <w:tr w:rsidR="005B5953" w:rsidRPr="005B12AE" w14:paraId="04E07F0A" w14:textId="77777777" w:rsidTr="00250DAC">
        <w:trPr>
          <w:trHeight w:val="20"/>
        </w:trPr>
        <w:tc>
          <w:tcPr>
            <w:tcW w:w="535" w:type="dxa"/>
            <w:shd w:val="clear" w:color="auto" w:fill="auto"/>
            <w:noWrap/>
            <w:vAlign w:val="bottom"/>
            <w:hideMark/>
          </w:tcPr>
          <w:p w14:paraId="25CA2311"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1</w:t>
            </w:r>
          </w:p>
        </w:tc>
        <w:tc>
          <w:tcPr>
            <w:tcW w:w="4320" w:type="dxa"/>
            <w:shd w:val="clear" w:color="auto" w:fill="auto"/>
            <w:noWrap/>
            <w:vAlign w:val="bottom"/>
            <w:hideMark/>
          </w:tcPr>
          <w:p w14:paraId="56B01658"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Revenue From Operations</w:t>
            </w:r>
          </w:p>
        </w:tc>
        <w:tc>
          <w:tcPr>
            <w:tcW w:w="630" w:type="dxa"/>
            <w:shd w:val="clear" w:color="auto" w:fill="auto"/>
            <w:noWrap/>
            <w:vAlign w:val="bottom"/>
            <w:hideMark/>
          </w:tcPr>
          <w:p w14:paraId="3C561FA3"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N</w:t>
            </w:r>
          </w:p>
        </w:tc>
        <w:tc>
          <w:tcPr>
            <w:tcW w:w="1710" w:type="dxa"/>
            <w:shd w:val="clear" w:color="auto" w:fill="auto"/>
            <w:noWrap/>
            <w:vAlign w:val="bottom"/>
            <w:hideMark/>
          </w:tcPr>
          <w:p w14:paraId="4F0878B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49,287.35</w:t>
            </w:r>
          </w:p>
        </w:tc>
        <w:tc>
          <w:tcPr>
            <w:tcW w:w="1620" w:type="dxa"/>
            <w:shd w:val="clear" w:color="auto" w:fill="auto"/>
            <w:noWrap/>
            <w:vAlign w:val="bottom"/>
            <w:hideMark/>
          </w:tcPr>
          <w:p w14:paraId="130D0AA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42,323.27</w:t>
            </w:r>
          </w:p>
        </w:tc>
        <w:tc>
          <w:tcPr>
            <w:tcW w:w="1641" w:type="dxa"/>
            <w:shd w:val="clear" w:color="auto" w:fill="auto"/>
            <w:noWrap/>
            <w:vAlign w:val="bottom"/>
            <w:hideMark/>
          </w:tcPr>
          <w:p w14:paraId="765DBB1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13,867.05</w:t>
            </w:r>
          </w:p>
        </w:tc>
      </w:tr>
      <w:tr w:rsidR="005B5953" w:rsidRPr="005B12AE" w14:paraId="783EA450" w14:textId="77777777" w:rsidTr="00250DAC">
        <w:trPr>
          <w:trHeight w:val="20"/>
        </w:trPr>
        <w:tc>
          <w:tcPr>
            <w:tcW w:w="535" w:type="dxa"/>
            <w:shd w:val="clear" w:color="auto" w:fill="auto"/>
            <w:noWrap/>
            <w:vAlign w:val="bottom"/>
            <w:hideMark/>
          </w:tcPr>
          <w:p w14:paraId="33764FF7"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2</w:t>
            </w:r>
          </w:p>
        </w:tc>
        <w:tc>
          <w:tcPr>
            <w:tcW w:w="4320" w:type="dxa"/>
            <w:shd w:val="clear" w:color="auto" w:fill="auto"/>
            <w:noWrap/>
            <w:vAlign w:val="bottom"/>
            <w:hideMark/>
          </w:tcPr>
          <w:p w14:paraId="5CE68C72"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Other Income</w:t>
            </w:r>
          </w:p>
        </w:tc>
        <w:tc>
          <w:tcPr>
            <w:tcW w:w="630" w:type="dxa"/>
            <w:shd w:val="clear" w:color="auto" w:fill="auto"/>
            <w:noWrap/>
            <w:vAlign w:val="bottom"/>
            <w:hideMark/>
          </w:tcPr>
          <w:p w14:paraId="13A6E9D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O</w:t>
            </w:r>
          </w:p>
        </w:tc>
        <w:tc>
          <w:tcPr>
            <w:tcW w:w="1710" w:type="dxa"/>
            <w:shd w:val="clear" w:color="auto" w:fill="auto"/>
            <w:noWrap/>
            <w:vAlign w:val="bottom"/>
            <w:hideMark/>
          </w:tcPr>
          <w:p w14:paraId="0565198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498.91</w:t>
            </w:r>
          </w:p>
        </w:tc>
        <w:tc>
          <w:tcPr>
            <w:tcW w:w="1620" w:type="dxa"/>
            <w:shd w:val="clear" w:color="auto" w:fill="auto"/>
            <w:noWrap/>
            <w:vAlign w:val="bottom"/>
            <w:hideMark/>
          </w:tcPr>
          <w:p w14:paraId="1290E34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321.07</w:t>
            </w:r>
          </w:p>
        </w:tc>
        <w:tc>
          <w:tcPr>
            <w:tcW w:w="1641" w:type="dxa"/>
            <w:shd w:val="clear" w:color="auto" w:fill="auto"/>
            <w:noWrap/>
            <w:vAlign w:val="bottom"/>
            <w:hideMark/>
          </w:tcPr>
          <w:p w14:paraId="5B6CCE9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105.88</w:t>
            </w:r>
          </w:p>
        </w:tc>
      </w:tr>
      <w:tr w:rsidR="005B5953" w:rsidRPr="005B12AE" w14:paraId="16161602" w14:textId="77777777" w:rsidTr="00250DAC">
        <w:trPr>
          <w:trHeight w:val="20"/>
        </w:trPr>
        <w:tc>
          <w:tcPr>
            <w:tcW w:w="535" w:type="dxa"/>
            <w:shd w:val="clear" w:color="auto" w:fill="auto"/>
            <w:noWrap/>
            <w:vAlign w:val="bottom"/>
            <w:hideMark/>
          </w:tcPr>
          <w:p w14:paraId="16327E03" w14:textId="77777777" w:rsidR="005B5953" w:rsidRPr="005B12AE" w:rsidRDefault="005B5953" w:rsidP="00250DAC">
            <w:pPr>
              <w:spacing w:after="0" w:line="240" w:lineRule="auto"/>
              <w:rPr>
                <w:rFonts w:ascii="Times New Roman" w:hAnsi="Times New Roman"/>
                <w:b/>
                <w:bCs/>
                <w:sz w:val="20"/>
                <w:szCs w:val="20"/>
              </w:rPr>
            </w:pPr>
          </w:p>
        </w:tc>
        <w:tc>
          <w:tcPr>
            <w:tcW w:w="4320" w:type="dxa"/>
            <w:shd w:val="clear" w:color="auto" w:fill="auto"/>
            <w:noWrap/>
            <w:vAlign w:val="bottom"/>
            <w:hideMark/>
          </w:tcPr>
          <w:p w14:paraId="2A18F0C3"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Total Income                                                  (1+2)</w:t>
            </w:r>
          </w:p>
        </w:tc>
        <w:tc>
          <w:tcPr>
            <w:tcW w:w="630" w:type="dxa"/>
            <w:shd w:val="clear" w:color="auto" w:fill="auto"/>
            <w:noWrap/>
            <w:vAlign w:val="bottom"/>
            <w:hideMark/>
          </w:tcPr>
          <w:p w14:paraId="19D9411C"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 </w:t>
            </w:r>
          </w:p>
        </w:tc>
        <w:tc>
          <w:tcPr>
            <w:tcW w:w="1710" w:type="dxa"/>
            <w:shd w:val="clear" w:color="auto" w:fill="auto"/>
            <w:noWrap/>
            <w:vAlign w:val="bottom"/>
            <w:hideMark/>
          </w:tcPr>
          <w:p w14:paraId="3EA38199"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49,786.27</w:t>
            </w:r>
          </w:p>
        </w:tc>
        <w:tc>
          <w:tcPr>
            <w:tcW w:w="1620" w:type="dxa"/>
            <w:shd w:val="clear" w:color="auto" w:fill="auto"/>
            <w:noWrap/>
            <w:vAlign w:val="bottom"/>
            <w:hideMark/>
          </w:tcPr>
          <w:p w14:paraId="21AFADCA"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42,644.34</w:t>
            </w:r>
          </w:p>
        </w:tc>
        <w:tc>
          <w:tcPr>
            <w:tcW w:w="1641" w:type="dxa"/>
            <w:shd w:val="clear" w:color="auto" w:fill="auto"/>
            <w:noWrap/>
            <w:vAlign w:val="bottom"/>
            <w:hideMark/>
          </w:tcPr>
          <w:p w14:paraId="6BAAE4BD"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13,972.93</w:t>
            </w:r>
          </w:p>
        </w:tc>
      </w:tr>
      <w:tr w:rsidR="005B5953" w:rsidRPr="005B12AE" w14:paraId="4234CF3D" w14:textId="77777777" w:rsidTr="00250DAC">
        <w:trPr>
          <w:trHeight w:val="20"/>
        </w:trPr>
        <w:tc>
          <w:tcPr>
            <w:tcW w:w="535" w:type="dxa"/>
            <w:shd w:val="clear" w:color="auto" w:fill="auto"/>
            <w:noWrap/>
            <w:vAlign w:val="bottom"/>
            <w:hideMark/>
          </w:tcPr>
          <w:p w14:paraId="6856FB34"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3</w:t>
            </w:r>
          </w:p>
        </w:tc>
        <w:tc>
          <w:tcPr>
            <w:tcW w:w="4320" w:type="dxa"/>
            <w:shd w:val="clear" w:color="auto" w:fill="auto"/>
            <w:noWrap/>
            <w:vAlign w:val="bottom"/>
            <w:hideMark/>
          </w:tcPr>
          <w:p w14:paraId="6BEFE7BC"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Expenditure</w:t>
            </w:r>
          </w:p>
        </w:tc>
        <w:tc>
          <w:tcPr>
            <w:tcW w:w="630" w:type="dxa"/>
            <w:shd w:val="clear" w:color="auto" w:fill="auto"/>
            <w:noWrap/>
            <w:vAlign w:val="bottom"/>
            <w:hideMark/>
          </w:tcPr>
          <w:p w14:paraId="6D99FC13"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 </w:t>
            </w:r>
          </w:p>
        </w:tc>
        <w:tc>
          <w:tcPr>
            <w:tcW w:w="1710" w:type="dxa"/>
            <w:shd w:val="clear" w:color="auto" w:fill="auto"/>
            <w:noWrap/>
            <w:vAlign w:val="bottom"/>
            <w:hideMark/>
          </w:tcPr>
          <w:p w14:paraId="47684A94" w14:textId="77777777" w:rsidR="005B5953" w:rsidRPr="005B12AE" w:rsidRDefault="005B5953" w:rsidP="00250DAC">
            <w:pPr>
              <w:spacing w:after="0" w:line="240" w:lineRule="auto"/>
              <w:jc w:val="center"/>
              <w:rPr>
                <w:rFonts w:ascii="Times New Roman" w:hAnsi="Times New Roman"/>
                <w:sz w:val="20"/>
                <w:szCs w:val="20"/>
              </w:rPr>
            </w:pPr>
          </w:p>
        </w:tc>
        <w:tc>
          <w:tcPr>
            <w:tcW w:w="1620" w:type="dxa"/>
            <w:shd w:val="clear" w:color="auto" w:fill="auto"/>
            <w:noWrap/>
            <w:vAlign w:val="bottom"/>
            <w:hideMark/>
          </w:tcPr>
          <w:p w14:paraId="0701FC57" w14:textId="77777777" w:rsidR="005B5953" w:rsidRPr="005B12AE" w:rsidRDefault="005B5953" w:rsidP="00250DAC">
            <w:pPr>
              <w:spacing w:after="0" w:line="240" w:lineRule="auto"/>
              <w:jc w:val="center"/>
              <w:rPr>
                <w:rFonts w:ascii="Times New Roman" w:hAnsi="Times New Roman"/>
                <w:sz w:val="20"/>
                <w:szCs w:val="20"/>
              </w:rPr>
            </w:pPr>
          </w:p>
        </w:tc>
        <w:tc>
          <w:tcPr>
            <w:tcW w:w="1641" w:type="dxa"/>
            <w:shd w:val="clear" w:color="auto" w:fill="auto"/>
            <w:noWrap/>
            <w:vAlign w:val="bottom"/>
            <w:hideMark/>
          </w:tcPr>
          <w:p w14:paraId="723A50A5"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0AA96AFB" w14:textId="77777777" w:rsidTr="00250DAC">
        <w:trPr>
          <w:trHeight w:val="20"/>
        </w:trPr>
        <w:tc>
          <w:tcPr>
            <w:tcW w:w="535" w:type="dxa"/>
            <w:shd w:val="clear" w:color="auto" w:fill="auto"/>
            <w:noWrap/>
            <w:hideMark/>
          </w:tcPr>
          <w:p w14:paraId="7EFF3664"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(a)</w:t>
            </w:r>
          </w:p>
        </w:tc>
        <w:tc>
          <w:tcPr>
            <w:tcW w:w="4320" w:type="dxa"/>
            <w:shd w:val="clear" w:color="auto" w:fill="auto"/>
            <w:noWrap/>
            <w:vAlign w:val="bottom"/>
            <w:hideMark/>
          </w:tcPr>
          <w:p w14:paraId="1FD6955D"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Raw Material Consumption</w:t>
            </w:r>
          </w:p>
        </w:tc>
        <w:tc>
          <w:tcPr>
            <w:tcW w:w="630" w:type="dxa"/>
            <w:shd w:val="clear" w:color="auto" w:fill="auto"/>
            <w:noWrap/>
            <w:vAlign w:val="bottom"/>
            <w:hideMark/>
          </w:tcPr>
          <w:p w14:paraId="062CCE28"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P</w:t>
            </w:r>
          </w:p>
        </w:tc>
        <w:tc>
          <w:tcPr>
            <w:tcW w:w="1710" w:type="dxa"/>
            <w:shd w:val="clear" w:color="auto" w:fill="auto"/>
            <w:noWrap/>
            <w:vAlign w:val="bottom"/>
            <w:hideMark/>
          </w:tcPr>
          <w:p w14:paraId="7FED7EF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45,130.06</w:t>
            </w:r>
          </w:p>
        </w:tc>
        <w:tc>
          <w:tcPr>
            <w:tcW w:w="1620" w:type="dxa"/>
            <w:shd w:val="clear" w:color="auto" w:fill="auto"/>
            <w:noWrap/>
            <w:vAlign w:val="bottom"/>
            <w:hideMark/>
          </w:tcPr>
          <w:p w14:paraId="552BB60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37,024.95</w:t>
            </w:r>
          </w:p>
        </w:tc>
        <w:tc>
          <w:tcPr>
            <w:tcW w:w="1641" w:type="dxa"/>
            <w:shd w:val="clear" w:color="auto" w:fill="auto"/>
            <w:noWrap/>
            <w:vAlign w:val="bottom"/>
            <w:hideMark/>
          </w:tcPr>
          <w:p w14:paraId="08F3C3C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11,961.74</w:t>
            </w:r>
          </w:p>
        </w:tc>
      </w:tr>
      <w:tr w:rsidR="005B5953" w:rsidRPr="005B12AE" w14:paraId="10BE1DEB" w14:textId="77777777" w:rsidTr="00250DAC">
        <w:trPr>
          <w:trHeight w:val="20"/>
        </w:trPr>
        <w:tc>
          <w:tcPr>
            <w:tcW w:w="535" w:type="dxa"/>
            <w:shd w:val="clear" w:color="auto" w:fill="auto"/>
            <w:noWrap/>
            <w:hideMark/>
          </w:tcPr>
          <w:p w14:paraId="2079C493"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(b)</w:t>
            </w:r>
          </w:p>
        </w:tc>
        <w:tc>
          <w:tcPr>
            <w:tcW w:w="4320" w:type="dxa"/>
            <w:shd w:val="clear" w:color="auto" w:fill="auto"/>
            <w:noWrap/>
            <w:vAlign w:val="bottom"/>
            <w:hideMark/>
          </w:tcPr>
          <w:p w14:paraId="7A770760"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Change in inventories of finished goods, work in progress and stock in trade</w:t>
            </w:r>
          </w:p>
        </w:tc>
        <w:tc>
          <w:tcPr>
            <w:tcW w:w="630" w:type="dxa"/>
            <w:shd w:val="clear" w:color="auto" w:fill="auto"/>
            <w:noWrap/>
            <w:vAlign w:val="bottom"/>
            <w:hideMark/>
          </w:tcPr>
          <w:p w14:paraId="4362F51F"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Q</w:t>
            </w:r>
          </w:p>
        </w:tc>
        <w:tc>
          <w:tcPr>
            <w:tcW w:w="1710" w:type="dxa"/>
            <w:shd w:val="clear" w:color="auto" w:fill="auto"/>
            <w:noWrap/>
            <w:vAlign w:val="bottom"/>
            <w:hideMark/>
          </w:tcPr>
          <w:p w14:paraId="46627AD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(0.20)</w:t>
            </w:r>
          </w:p>
        </w:tc>
        <w:tc>
          <w:tcPr>
            <w:tcW w:w="1620" w:type="dxa"/>
            <w:shd w:val="clear" w:color="auto" w:fill="auto"/>
            <w:noWrap/>
            <w:vAlign w:val="bottom"/>
            <w:hideMark/>
          </w:tcPr>
          <w:p w14:paraId="4B10002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592.26</w:t>
            </w:r>
          </w:p>
        </w:tc>
        <w:tc>
          <w:tcPr>
            <w:tcW w:w="1641" w:type="dxa"/>
            <w:shd w:val="clear" w:color="auto" w:fill="auto"/>
            <w:noWrap/>
            <w:vAlign w:val="bottom"/>
            <w:hideMark/>
          </w:tcPr>
          <w:p w14:paraId="3FE35EF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450.75</w:t>
            </w:r>
          </w:p>
        </w:tc>
      </w:tr>
      <w:tr w:rsidR="005B5953" w:rsidRPr="005B12AE" w14:paraId="28082D13" w14:textId="77777777" w:rsidTr="00250DAC">
        <w:trPr>
          <w:trHeight w:val="20"/>
        </w:trPr>
        <w:tc>
          <w:tcPr>
            <w:tcW w:w="535" w:type="dxa"/>
            <w:shd w:val="clear" w:color="auto" w:fill="auto"/>
            <w:noWrap/>
            <w:hideMark/>
          </w:tcPr>
          <w:p w14:paraId="688E7618"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(c)</w:t>
            </w:r>
          </w:p>
        </w:tc>
        <w:tc>
          <w:tcPr>
            <w:tcW w:w="4320" w:type="dxa"/>
            <w:shd w:val="clear" w:color="auto" w:fill="auto"/>
            <w:noWrap/>
            <w:vAlign w:val="bottom"/>
            <w:hideMark/>
          </w:tcPr>
          <w:p w14:paraId="3C5559A0"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Employee Benefit Expenses</w:t>
            </w:r>
          </w:p>
        </w:tc>
        <w:tc>
          <w:tcPr>
            <w:tcW w:w="630" w:type="dxa"/>
            <w:shd w:val="clear" w:color="auto" w:fill="auto"/>
            <w:noWrap/>
            <w:vAlign w:val="bottom"/>
            <w:hideMark/>
          </w:tcPr>
          <w:p w14:paraId="315C1FF9"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R</w:t>
            </w:r>
          </w:p>
        </w:tc>
        <w:tc>
          <w:tcPr>
            <w:tcW w:w="1710" w:type="dxa"/>
            <w:shd w:val="clear" w:color="auto" w:fill="auto"/>
            <w:noWrap/>
            <w:vAlign w:val="bottom"/>
            <w:hideMark/>
          </w:tcPr>
          <w:p w14:paraId="36436CE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342.03</w:t>
            </w:r>
          </w:p>
        </w:tc>
        <w:tc>
          <w:tcPr>
            <w:tcW w:w="1620" w:type="dxa"/>
            <w:shd w:val="clear" w:color="auto" w:fill="auto"/>
            <w:noWrap/>
            <w:vAlign w:val="bottom"/>
            <w:hideMark/>
          </w:tcPr>
          <w:p w14:paraId="53B66EE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325.32</w:t>
            </w:r>
          </w:p>
        </w:tc>
        <w:tc>
          <w:tcPr>
            <w:tcW w:w="1641" w:type="dxa"/>
            <w:shd w:val="clear" w:color="auto" w:fill="auto"/>
            <w:noWrap/>
            <w:vAlign w:val="bottom"/>
            <w:hideMark/>
          </w:tcPr>
          <w:p w14:paraId="18CA681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352.02</w:t>
            </w:r>
          </w:p>
        </w:tc>
      </w:tr>
      <w:tr w:rsidR="005B5953" w:rsidRPr="005B12AE" w14:paraId="142F45B9" w14:textId="77777777" w:rsidTr="00250DAC">
        <w:trPr>
          <w:trHeight w:val="20"/>
        </w:trPr>
        <w:tc>
          <w:tcPr>
            <w:tcW w:w="535" w:type="dxa"/>
            <w:shd w:val="clear" w:color="auto" w:fill="auto"/>
            <w:noWrap/>
            <w:hideMark/>
          </w:tcPr>
          <w:p w14:paraId="5CB5E8E6"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(d)</w:t>
            </w:r>
          </w:p>
        </w:tc>
        <w:tc>
          <w:tcPr>
            <w:tcW w:w="4320" w:type="dxa"/>
            <w:shd w:val="clear" w:color="auto" w:fill="auto"/>
            <w:noWrap/>
            <w:vAlign w:val="bottom"/>
            <w:hideMark/>
          </w:tcPr>
          <w:p w14:paraId="49B4A5D5"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Finance Cost</w:t>
            </w:r>
          </w:p>
        </w:tc>
        <w:tc>
          <w:tcPr>
            <w:tcW w:w="630" w:type="dxa"/>
            <w:shd w:val="clear" w:color="auto" w:fill="auto"/>
            <w:noWrap/>
            <w:vAlign w:val="bottom"/>
            <w:hideMark/>
          </w:tcPr>
          <w:p w14:paraId="324AB3E5"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S</w:t>
            </w:r>
          </w:p>
        </w:tc>
        <w:tc>
          <w:tcPr>
            <w:tcW w:w="1710" w:type="dxa"/>
            <w:shd w:val="clear" w:color="auto" w:fill="auto"/>
            <w:noWrap/>
            <w:vAlign w:val="bottom"/>
            <w:hideMark/>
          </w:tcPr>
          <w:p w14:paraId="76E4380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442.82</w:t>
            </w:r>
          </w:p>
        </w:tc>
        <w:tc>
          <w:tcPr>
            <w:tcW w:w="1620" w:type="dxa"/>
            <w:shd w:val="clear" w:color="auto" w:fill="auto"/>
            <w:noWrap/>
            <w:vAlign w:val="bottom"/>
            <w:hideMark/>
          </w:tcPr>
          <w:p w14:paraId="2C46243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245.24</w:t>
            </w:r>
          </w:p>
        </w:tc>
        <w:tc>
          <w:tcPr>
            <w:tcW w:w="1641" w:type="dxa"/>
            <w:shd w:val="clear" w:color="auto" w:fill="auto"/>
            <w:noWrap/>
            <w:vAlign w:val="bottom"/>
            <w:hideMark/>
          </w:tcPr>
          <w:p w14:paraId="19E8D49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153.89</w:t>
            </w:r>
          </w:p>
        </w:tc>
      </w:tr>
      <w:tr w:rsidR="005B5953" w:rsidRPr="005B12AE" w14:paraId="193F0435" w14:textId="77777777" w:rsidTr="00250DAC">
        <w:trPr>
          <w:trHeight w:val="20"/>
        </w:trPr>
        <w:tc>
          <w:tcPr>
            <w:tcW w:w="535" w:type="dxa"/>
            <w:shd w:val="clear" w:color="auto" w:fill="auto"/>
            <w:noWrap/>
            <w:hideMark/>
          </w:tcPr>
          <w:p w14:paraId="74928087"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(e)</w:t>
            </w:r>
          </w:p>
        </w:tc>
        <w:tc>
          <w:tcPr>
            <w:tcW w:w="4320" w:type="dxa"/>
            <w:shd w:val="clear" w:color="auto" w:fill="auto"/>
            <w:noWrap/>
            <w:vAlign w:val="bottom"/>
            <w:hideMark/>
          </w:tcPr>
          <w:p w14:paraId="3359AF55"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Depreciation and Amortisation Expenses</w:t>
            </w:r>
          </w:p>
        </w:tc>
        <w:tc>
          <w:tcPr>
            <w:tcW w:w="630" w:type="dxa"/>
            <w:shd w:val="clear" w:color="auto" w:fill="auto"/>
            <w:noWrap/>
            <w:vAlign w:val="bottom"/>
            <w:hideMark/>
          </w:tcPr>
          <w:p w14:paraId="12A82620"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T</w:t>
            </w:r>
          </w:p>
        </w:tc>
        <w:tc>
          <w:tcPr>
            <w:tcW w:w="1710" w:type="dxa"/>
            <w:shd w:val="clear" w:color="auto" w:fill="auto"/>
            <w:noWrap/>
            <w:vAlign w:val="bottom"/>
            <w:hideMark/>
          </w:tcPr>
          <w:p w14:paraId="57CB4FB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169.07</w:t>
            </w:r>
          </w:p>
        </w:tc>
        <w:tc>
          <w:tcPr>
            <w:tcW w:w="1620" w:type="dxa"/>
            <w:shd w:val="clear" w:color="auto" w:fill="auto"/>
            <w:noWrap/>
            <w:vAlign w:val="bottom"/>
            <w:hideMark/>
          </w:tcPr>
          <w:p w14:paraId="2DBE4B9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177.68</w:t>
            </w:r>
          </w:p>
        </w:tc>
        <w:tc>
          <w:tcPr>
            <w:tcW w:w="1641" w:type="dxa"/>
            <w:shd w:val="clear" w:color="auto" w:fill="auto"/>
            <w:noWrap/>
            <w:vAlign w:val="bottom"/>
            <w:hideMark/>
          </w:tcPr>
          <w:p w14:paraId="7866C27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135.74</w:t>
            </w:r>
          </w:p>
        </w:tc>
      </w:tr>
      <w:tr w:rsidR="005B5953" w:rsidRPr="005B12AE" w14:paraId="0DBF8406" w14:textId="77777777" w:rsidTr="00250DAC">
        <w:trPr>
          <w:trHeight w:val="20"/>
        </w:trPr>
        <w:tc>
          <w:tcPr>
            <w:tcW w:w="535" w:type="dxa"/>
            <w:shd w:val="clear" w:color="auto" w:fill="auto"/>
            <w:noWrap/>
            <w:hideMark/>
          </w:tcPr>
          <w:p w14:paraId="219128EB"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(f)</w:t>
            </w:r>
          </w:p>
        </w:tc>
        <w:tc>
          <w:tcPr>
            <w:tcW w:w="4320" w:type="dxa"/>
            <w:shd w:val="clear" w:color="auto" w:fill="auto"/>
            <w:noWrap/>
            <w:vAlign w:val="bottom"/>
            <w:hideMark/>
          </w:tcPr>
          <w:p w14:paraId="58DB73AB"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Other Expenses</w:t>
            </w:r>
          </w:p>
        </w:tc>
        <w:tc>
          <w:tcPr>
            <w:tcW w:w="630" w:type="dxa"/>
            <w:shd w:val="clear" w:color="auto" w:fill="auto"/>
            <w:noWrap/>
            <w:vAlign w:val="bottom"/>
            <w:hideMark/>
          </w:tcPr>
          <w:p w14:paraId="75F15F1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U</w:t>
            </w:r>
          </w:p>
        </w:tc>
        <w:tc>
          <w:tcPr>
            <w:tcW w:w="1710" w:type="dxa"/>
            <w:shd w:val="clear" w:color="auto" w:fill="auto"/>
            <w:noWrap/>
            <w:vAlign w:val="bottom"/>
            <w:hideMark/>
          </w:tcPr>
          <w:p w14:paraId="47D97B0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2,621.92</w:t>
            </w:r>
          </w:p>
        </w:tc>
        <w:tc>
          <w:tcPr>
            <w:tcW w:w="1620" w:type="dxa"/>
            <w:shd w:val="clear" w:color="auto" w:fill="auto"/>
            <w:noWrap/>
            <w:vAlign w:val="bottom"/>
            <w:hideMark/>
          </w:tcPr>
          <w:p w14:paraId="7D52741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3,829.13</w:t>
            </w:r>
          </w:p>
        </w:tc>
        <w:tc>
          <w:tcPr>
            <w:tcW w:w="1641" w:type="dxa"/>
            <w:shd w:val="clear" w:color="auto" w:fill="auto"/>
            <w:noWrap/>
            <w:vAlign w:val="bottom"/>
            <w:hideMark/>
          </w:tcPr>
          <w:p w14:paraId="5F3BA1E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723.35</w:t>
            </w:r>
          </w:p>
        </w:tc>
      </w:tr>
      <w:tr w:rsidR="005B5953" w:rsidRPr="005B12AE" w14:paraId="7835A44A" w14:textId="77777777" w:rsidTr="00250DAC">
        <w:trPr>
          <w:trHeight w:val="20"/>
        </w:trPr>
        <w:tc>
          <w:tcPr>
            <w:tcW w:w="535" w:type="dxa"/>
            <w:shd w:val="clear" w:color="auto" w:fill="auto"/>
            <w:noWrap/>
            <w:vAlign w:val="bottom"/>
            <w:hideMark/>
          </w:tcPr>
          <w:p w14:paraId="073890E2"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4</w:t>
            </w:r>
          </w:p>
        </w:tc>
        <w:tc>
          <w:tcPr>
            <w:tcW w:w="4320" w:type="dxa"/>
            <w:shd w:val="clear" w:color="auto" w:fill="auto"/>
            <w:noWrap/>
            <w:vAlign w:val="bottom"/>
            <w:hideMark/>
          </w:tcPr>
          <w:p w14:paraId="201AD225" w14:textId="77777777" w:rsidR="005B5953" w:rsidRPr="005B12AE" w:rsidRDefault="005B5953" w:rsidP="00250DAC">
            <w:pPr>
              <w:spacing w:after="0" w:line="240" w:lineRule="auto"/>
              <w:jc w:val="both"/>
              <w:rPr>
                <w:rFonts w:ascii="Times New Roman" w:hAnsi="Times New Roman"/>
                <w:b/>
                <w:bCs/>
                <w:sz w:val="20"/>
                <w:szCs w:val="20"/>
              </w:rPr>
            </w:pPr>
            <w:r w:rsidRPr="005B12AE">
              <w:rPr>
                <w:rFonts w:ascii="Times New Roman" w:hAnsi="Times New Roman"/>
                <w:b/>
                <w:bCs/>
                <w:sz w:val="20"/>
                <w:szCs w:val="20"/>
              </w:rPr>
              <w:t>Total Expenditure                               3(a) to 3(f)</w:t>
            </w:r>
          </w:p>
        </w:tc>
        <w:tc>
          <w:tcPr>
            <w:tcW w:w="630" w:type="dxa"/>
            <w:shd w:val="clear" w:color="auto" w:fill="auto"/>
            <w:noWrap/>
            <w:vAlign w:val="bottom"/>
            <w:hideMark/>
          </w:tcPr>
          <w:p w14:paraId="3FFC9714"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 </w:t>
            </w:r>
          </w:p>
        </w:tc>
        <w:tc>
          <w:tcPr>
            <w:tcW w:w="1710" w:type="dxa"/>
            <w:shd w:val="clear" w:color="auto" w:fill="auto"/>
            <w:noWrap/>
            <w:vAlign w:val="bottom"/>
            <w:hideMark/>
          </w:tcPr>
          <w:p w14:paraId="583CB899"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48,705.71</w:t>
            </w:r>
          </w:p>
        </w:tc>
        <w:tc>
          <w:tcPr>
            <w:tcW w:w="1620" w:type="dxa"/>
            <w:shd w:val="clear" w:color="auto" w:fill="auto"/>
            <w:noWrap/>
            <w:vAlign w:val="bottom"/>
            <w:hideMark/>
          </w:tcPr>
          <w:p w14:paraId="2C82B9B9"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42,194.59</w:t>
            </w:r>
          </w:p>
        </w:tc>
        <w:tc>
          <w:tcPr>
            <w:tcW w:w="1641" w:type="dxa"/>
            <w:shd w:val="clear" w:color="auto" w:fill="auto"/>
            <w:noWrap/>
            <w:vAlign w:val="bottom"/>
            <w:hideMark/>
          </w:tcPr>
          <w:p w14:paraId="2E1BB68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13,777.48</w:t>
            </w:r>
          </w:p>
        </w:tc>
      </w:tr>
      <w:tr w:rsidR="005B5953" w:rsidRPr="005B12AE" w14:paraId="61F5EA2F" w14:textId="77777777" w:rsidTr="00250DAC">
        <w:trPr>
          <w:trHeight w:val="20"/>
        </w:trPr>
        <w:tc>
          <w:tcPr>
            <w:tcW w:w="535" w:type="dxa"/>
            <w:shd w:val="clear" w:color="auto" w:fill="auto"/>
            <w:noWrap/>
            <w:vAlign w:val="bottom"/>
            <w:hideMark/>
          </w:tcPr>
          <w:p w14:paraId="3CECAFE2"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5</w:t>
            </w:r>
          </w:p>
        </w:tc>
        <w:tc>
          <w:tcPr>
            <w:tcW w:w="4320" w:type="dxa"/>
            <w:shd w:val="clear" w:color="auto" w:fill="auto"/>
            <w:vAlign w:val="bottom"/>
            <w:hideMark/>
          </w:tcPr>
          <w:p w14:paraId="5F243476" w14:textId="77777777" w:rsidR="005B5953" w:rsidRPr="005B12AE" w:rsidRDefault="005B5953" w:rsidP="00250DAC">
            <w:pPr>
              <w:spacing w:after="0" w:line="240" w:lineRule="auto"/>
              <w:jc w:val="both"/>
              <w:rPr>
                <w:rFonts w:ascii="Times New Roman" w:hAnsi="Times New Roman"/>
                <w:b/>
                <w:bCs/>
                <w:sz w:val="20"/>
                <w:szCs w:val="20"/>
              </w:rPr>
            </w:pPr>
            <w:r w:rsidRPr="005B12AE">
              <w:rPr>
                <w:rFonts w:ascii="Times New Roman" w:hAnsi="Times New Roman"/>
                <w:b/>
                <w:bCs/>
                <w:sz w:val="20"/>
                <w:szCs w:val="20"/>
              </w:rPr>
              <w:t>Profit/(Loss) Before Exceptional &amp; extraordinary items &amp; Tax                           (2-4)</w:t>
            </w:r>
          </w:p>
        </w:tc>
        <w:tc>
          <w:tcPr>
            <w:tcW w:w="630" w:type="dxa"/>
            <w:shd w:val="clear" w:color="auto" w:fill="auto"/>
            <w:vAlign w:val="bottom"/>
            <w:hideMark/>
          </w:tcPr>
          <w:p w14:paraId="0AFD7806"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 </w:t>
            </w:r>
          </w:p>
        </w:tc>
        <w:tc>
          <w:tcPr>
            <w:tcW w:w="1710" w:type="dxa"/>
            <w:shd w:val="clear" w:color="auto" w:fill="auto"/>
            <w:noWrap/>
            <w:vAlign w:val="bottom"/>
            <w:hideMark/>
          </w:tcPr>
          <w:p w14:paraId="38F239E6"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1,080.56</w:t>
            </w:r>
          </w:p>
        </w:tc>
        <w:tc>
          <w:tcPr>
            <w:tcW w:w="1620" w:type="dxa"/>
            <w:shd w:val="clear" w:color="auto" w:fill="auto"/>
            <w:noWrap/>
            <w:vAlign w:val="bottom"/>
            <w:hideMark/>
          </w:tcPr>
          <w:p w14:paraId="3FA3FD7A"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449.75</w:t>
            </w:r>
          </w:p>
        </w:tc>
        <w:tc>
          <w:tcPr>
            <w:tcW w:w="1641" w:type="dxa"/>
            <w:shd w:val="clear" w:color="auto" w:fill="auto"/>
            <w:noWrap/>
            <w:vAlign w:val="bottom"/>
            <w:hideMark/>
          </w:tcPr>
          <w:p w14:paraId="114011C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195.45</w:t>
            </w:r>
          </w:p>
        </w:tc>
      </w:tr>
      <w:tr w:rsidR="005B5953" w:rsidRPr="005B12AE" w14:paraId="0C38AFA0" w14:textId="77777777" w:rsidTr="00250DAC">
        <w:trPr>
          <w:trHeight w:val="20"/>
        </w:trPr>
        <w:tc>
          <w:tcPr>
            <w:tcW w:w="535" w:type="dxa"/>
            <w:shd w:val="clear" w:color="auto" w:fill="auto"/>
            <w:noWrap/>
            <w:vAlign w:val="bottom"/>
            <w:hideMark/>
          </w:tcPr>
          <w:p w14:paraId="3225FB72"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6</w:t>
            </w:r>
          </w:p>
        </w:tc>
        <w:tc>
          <w:tcPr>
            <w:tcW w:w="4320" w:type="dxa"/>
            <w:shd w:val="clear" w:color="auto" w:fill="auto"/>
            <w:noWrap/>
            <w:vAlign w:val="bottom"/>
            <w:hideMark/>
          </w:tcPr>
          <w:p w14:paraId="762C0D3E"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Exceptional and Extra-ordinary items</w:t>
            </w:r>
          </w:p>
        </w:tc>
        <w:tc>
          <w:tcPr>
            <w:tcW w:w="630" w:type="dxa"/>
            <w:shd w:val="clear" w:color="auto" w:fill="auto"/>
            <w:noWrap/>
            <w:vAlign w:val="bottom"/>
            <w:hideMark/>
          </w:tcPr>
          <w:p w14:paraId="1304F2A5"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 </w:t>
            </w:r>
          </w:p>
        </w:tc>
        <w:tc>
          <w:tcPr>
            <w:tcW w:w="1710" w:type="dxa"/>
            <w:shd w:val="clear" w:color="auto" w:fill="auto"/>
            <w:noWrap/>
            <w:vAlign w:val="bottom"/>
            <w:hideMark/>
          </w:tcPr>
          <w:p w14:paraId="3FDD65CE"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1620" w:type="dxa"/>
            <w:shd w:val="clear" w:color="auto" w:fill="auto"/>
            <w:noWrap/>
            <w:vAlign w:val="bottom"/>
            <w:hideMark/>
          </w:tcPr>
          <w:p w14:paraId="2B975CB7"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1641" w:type="dxa"/>
            <w:shd w:val="clear" w:color="auto" w:fill="auto"/>
            <w:noWrap/>
            <w:vAlign w:val="bottom"/>
            <w:hideMark/>
          </w:tcPr>
          <w:p w14:paraId="68CC99E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r>
      <w:tr w:rsidR="005B5953" w:rsidRPr="005B12AE" w14:paraId="03FF76D9" w14:textId="77777777" w:rsidTr="00250DAC">
        <w:trPr>
          <w:trHeight w:val="20"/>
        </w:trPr>
        <w:tc>
          <w:tcPr>
            <w:tcW w:w="535" w:type="dxa"/>
            <w:shd w:val="clear" w:color="auto" w:fill="auto"/>
            <w:noWrap/>
            <w:vAlign w:val="bottom"/>
            <w:hideMark/>
          </w:tcPr>
          <w:p w14:paraId="75B640E6"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7</w:t>
            </w:r>
          </w:p>
        </w:tc>
        <w:tc>
          <w:tcPr>
            <w:tcW w:w="4320" w:type="dxa"/>
            <w:shd w:val="clear" w:color="auto" w:fill="auto"/>
            <w:noWrap/>
            <w:vAlign w:val="bottom"/>
            <w:hideMark/>
          </w:tcPr>
          <w:p w14:paraId="6BE4A519" w14:textId="77777777" w:rsidR="005B5953" w:rsidRPr="005B12AE" w:rsidRDefault="005B5953" w:rsidP="00250DAC">
            <w:pPr>
              <w:spacing w:after="0" w:line="240" w:lineRule="auto"/>
              <w:jc w:val="both"/>
              <w:rPr>
                <w:rFonts w:ascii="Times New Roman" w:hAnsi="Times New Roman"/>
                <w:b/>
                <w:bCs/>
                <w:sz w:val="20"/>
                <w:szCs w:val="20"/>
              </w:rPr>
            </w:pPr>
            <w:r w:rsidRPr="005B12AE">
              <w:rPr>
                <w:rFonts w:ascii="Times New Roman" w:hAnsi="Times New Roman"/>
                <w:b/>
                <w:bCs/>
                <w:sz w:val="20"/>
                <w:szCs w:val="20"/>
              </w:rPr>
              <w:t>Profit/(Loss) Before Tax                                (5-6)</w:t>
            </w:r>
          </w:p>
        </w:tc>
        <w:tc>
          <w:tcPr>
            <w:tcW w:w="630" w:type="dxa"/>
            <w:shd w:val="clear" w:color="auto" w:fill="auto"/>
            <w:noWrap/>
            <w:vAlign w:val="bottom"/>
            <w:hideMark/>
          </w:tcPr>
          <w:p w14:paraId="3D9E9F80"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 </w:t>
            </w:r>
          </w:p>
        </w:tc>
        <w:tc>
          <w:tcPr>
            <w:tcW w:w="1710" w:type="dxa"/>
            <w:shd w:val="clear" w:color="auto" w:fill="auto"/>
            <w:noWrap/>
            <w:vAlign w:val="bottom"/>
            <w:hideMark/>
          </w:tcPr>
          <w:p w14:paraId="0959CF3D"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1,080.56</w:t>
            </w:r>
          </w:p>
        </w:tc>
        <w:tc>
          <w:tcPr>
            <w:tcW w:w="1620" w:type="dxa"/>
            <w:shd w:val="clear" w:color="auto" w:fill="auto"/>
            <w:noWrap/>
            <w:vAlign w:val="bottom"/>
            <w:hideMark/>
          </w:tcPr>
          <w:p w14:paraId="5570138D"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449.75</w:t>
            </w:r>
          </w:p>
        </w:tc>
        <w:tc>
          <w:tcPr>
            <w:tcW w:w="1641" w:type="dxa"/>
            <w:shd w:val="clear" w:color="auto" w:fill="auto"/>
            <w:noWrap/>
            <w:vAlign w:val="bottom"/>
            <w:hideMark/>
          </w:tcPr>
          <w:p w14:paraId="47AAF17F"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195.45</w:t>
            </w:r>
          </w:p>
        </w:tc>
      </w:tr>
      <w:tr w:rsidR="005B5953" w:rsidRPr="005B12AE" w14:paraId="6591D213" w14:textId="77777777" w:rsidTr="00250DAC">
        <w:trPr>
          <w:trHeight w:val="20"/>
        </w:trPr>
        <w:tc>
          <w:tcPr>
            <w:tcW w:w="535" w:type="dxa"/>
            <w:shd w:val="clear" w:color="auto" w:fill="auto"/>
            <w:noWrap/>
            <w:vAlign w:val="bottom"/>
            <w:hideMark/>
          </w:tcPr>
          <w:p w14:paraId="7A7F10E9"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8</w:t>
            </w:r>
          </w:p>
        </w:tc>
        <w:tc>
          <w:tcPr>
            <w:tcW w:w="4320" w:type="dxa"/>
            <w:shd w:val="clear" w:color="auto" w:fill="auto"/>
            <w:noWrap/>
            <w:vAlign w:val="bottom"/>
            <w:hideMark/>
          </w:tcPr>
          <w:p w14:paraId="77B8AFAE" w14:textId="77777777" w:rsidR="005B5953" w:rsidRPr="005B12AE" w:rsidRDefault="005B5953" w:rsidP="00250DAC">
            <w:pPr>
              <w:spacing w:after="0" w:line="240" w:lineRule="auto"/>
              <w:jc w:val="both"/>
              <w:rPr>
                <w:rFonts w:ascii="Times New Roman" w:hAnsi="Times New Roman"/>
                <w:b/>
                <w:bCs/>
                <w:sz w:val="20"/>
                <w:szCs w:val="20"/>
              </w:rPr>
            </w:pPr>
            <w:r w:rsidRPr="005B12AE">
              <w:rPr>
                <w:rFonts w:ascii="Times New Roman" w:hAnsi="Times New Roman"/>
                <w:b/>
                <w:bCs/>
                <w:sz w:val="20"/>
                <w:szCs w:val="20"/>
              </w:rPr>
              <w:t>Tax Expense:</w:t>
            </w:r>
          </w:p>
        </w:tc>
        <w:tc>
          <w:tcPr>
            <w:tcW w:w="630" w:type="dxa"/>
            <w:shd w:val="clear" w:color="auto" w:fill="auto"/>
            <w:noWrap/>
            <w:vAlign w:val="bottom"/>
            <w:hideMark/>
          </w:tcPr>
          <w:p w14:paraId="03389BED"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 </w:t>
            </w:r>
          </w:p>
        </w:tc>
        <w:tc>
          <w:tcPr>
            <w:tcW w:w="1710" w:type="dxa"/>
            <w:shd w:val="clear" w:color="auto" w:fill="auto"/>
            <w:noWrap/>
            <w:vAlign w:val="bottom"/>
            <w:hideMark/>
          </w:tcPr>
          <w:p w14:paraId="2DC2945D" w14:textId="77777777" w:rsidR="005B5953" w:rsidRPr="005B12AE" w:rsidRDefault="005B5953" w:rsidP="00250DAC">
            <w:pPr>
              <w:spacing w:after="0" w:line="240" w:lineRule="auto"/>
              <w:jc w:val="center"/>
              <w:rPr>
                <w:rFonts w:ascii="Times New Roman" w:hAnsi="Times New Roman"/>
                <w:b/>
                <w:bCs/>
                <w:sz w:val="20"/>
                <w:szCs w:val="20"/>
              </w:rPr>
            </w:pPr>
          </w:p>
        </w:tc>
        <w:tc>
          <w:tcPr>
            <w:tcW w:w="1620" w:type="dxa"/>
            <w:shd w:val="clear" w:color="auto" w:fill="auto"/>
            <w:noWrap/>
            <w:vAlign w:val="bottom"/>
            <w:hideMark/>
          </w:tcPr>
          <w:p w14:paraId="1CC26F48" w14:textId="77777777" w:rsidR="005B5953" w:rsidRPr="005B12AE" w:rsidRDefault="005B5953" w:rsidP="00250DAC">
            <w:pPr>
              <w:spacing w:after="0" w:line="240" w:lineRule="auto"/>
              <w:jc w:val="center"/>
              <w:rPr>
                <w:rFonts w:ascii="Times New Roman" w:hAnsi="Times New Roman"/>
                <w:b/>
                <w:bCs/>
                <w:sz w:val="20"/>
                <w:szCs w:val="20"/>
              </w:rPr>
            </w:pPr>
          </w:p>
        </w:tc>
        <w:tc>
          <w:tcPr>
            <w:tcW w:w="1641" w:type="dxa"/>
            <w:shd w:val="clear" w:color="auto" w:fill="auto"/>
            <w:noWrap/>
            <w:vAlign w:val="bottom"/>
            <w:hideMark/>
          </w:tcPr>
          <w:p w14:paraId="6A33F02D" w14:textId="77777777" w:rsidR="005B5953" w:rsidRPr="005B12AE" w:rsidRDefault="005B5953" w:rsidP="00250DAC">
            <w:pPr>
              <w:spacing w:after="0" w:line="240" w:lineRule="auto"/>
              <w:jc w:val="center"/>
              <w:rPr>
                <w:rFonts w:ascii="Times New Roman" w:hAnsi="Times New Roman"/>
                <w:b/>
                <w:bCs/>
                <w:sz w:val="20"/>
                <w:szCs w:val="20"/>
              </w:rPr>
            </w:pPr>
          </w:p>
        </w:tc>
      </w:tr>
      <w:tr w:rsidR="005B5953" w:rsidRPr="005B12AE" w14:paraId="27C19332" w14:textId="77777777" w:rsidTr="00250DAC">
        <w:trPr>
          <w:trHeight w:val="20"/>
        </w:trPr>
        <w:tc>
          <w:tcPr>
            <w:tcW w:w="535" w:type="dxa"/>
            <w:shd w:val="clear" w:color="auto" w:fill="auto"/>
            <w:noWrap/>
            <w:vAlign w:val="bottom"/>
            <w:hideMark/>
          </w:tcPr>
          <w:p w14:paraId="26351A0A"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(a)</w:t>
            </w:r>
          </w:p>
        </w:tc>
        <w:tc>
          <w:tcPr>
            <w:tcW w:w="4320" w:type="dxa"/>
            <w:shd w:val="clear" w:color="auto" w:fill="auto"/>
            <w:noWrap/>
            <w:vAlign w:val="bottom"/>
            <w:hideMark/>
          </w:tcPr>
          <w:p w14:paraId="5E34C421"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Tax Expense for Current Year</w:t>
            </w:r>
          </w:p>
        </w:tc>
        <w:tc>
          <w:tcPr>
            <w:tcW w:w="630" w:type="dxa"/>
            <w:shd w:val="clear" w:color="auto" w:fill="auto"/>
            <w:noWrap/>
            <w:vAlign w:val="bottom"/>
            <w:hideMark/>
          </w:tcPr>
          <w:p w14:paraId="2954FF4E"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 </w:t>
            </w:r>
          </w:p>
        </w:tc>
        <w:tc>
          <w:tcPr>
            <w:tcW w:w="1710" w:type="dxa"/>
            <w:shd w:val="clear" w:color="auto" w:fill="auto"/>
            <w:noWrap/>
            <w:vAlign w:val="bottom"/>
            <w:hideMark/>
          </w:tcPr>
          <w:p w14:paraId="3CD31A9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314.08</w:t>
            </w:r>
          </w:p>
        </w:tc>
        <w:tc>
          <w:tcPr>
            <w:tcW w:w="1620" w:type="dxa"/>
            <w:shd w:val="clear" w:color="auto" w:fill="auto"/>
            <w:noWrap/>
            <w:vAlign w:val="bottom"/>
            <w:hideMark/>
          </w:tcPr>
          <w:p w14:paraId="09B0091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152.97</w:t>
            </w:r>
          </w:p>
        </w:tc>
        <w:tc>
          <w:tcPr>
            <w:tcW w:w="1641" w:type="dxa"/>
            <w:shd w:val="clear" w:color="auto" w:fill="auto"/>
            <w:noWrap/>
            <w:vAlign w:val="bottom"/>
            <w:hideMark/>
          </w:tcPr>
          <w:p w14:paraId="4159A95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67.88</w:t>
            </w:r>
          </w:p>
        </w:tc>
      </w:tr>
      <w:tr w:rsidR="005B5953" w:rsidRPr="005B12AE" w14:paraId="471C4FC5" w14:textId="77777777" w:rsidTr="00250DAC">
        <w:trPr>
          <w:trHeight w:val="20"/>
        </w:trPr>
        <w:tc>
          <w:tcPr>
            <w:tcW w:w="535" w:type="dxa"/>
            <w:shd w:val="clear" w:color="auto" w:fill="auto"/>
            <w:noWrap/>
            <w:vAlign w:val="bottom"/>
            <w:hideMark/>
          </w:tcPr>
          <w:p w14:paraId="4838A7ED" w14:textId="77777777" w:rsidR="005B5953" w:rsidRPr="005B12AE" w:rsidRDefault="005B5953" w:rsidP="00250DAC">
            <w:pPr>
              <w:spacing w:after="0" w:line="240" w:lineRule="auto"/>
              <w:rPr>
                <w:rFonts w:ascii="Times New Roman" w:hAnsi="Times New Roman"/>
                <w:b/>
                <w:bCs/>
                <w:sz w:val="20"/>
                <w:szCs w:val="20"/>
              </w:rPr>
            </w:pPr>
          </w:p>
        </w:tc>
        <w:tc>
          <w:tcPr>
            <w:tcW w:w="4320" w:type="dxa"/>
            <w:shd w:val="clear" w:color="auto" w:fill="auto"/>
            <w:noWrap/>
            <w:vAlign w:val="bottom"/>
            <w:hideMark/>
          </w:tcPr>
          <w:p w14:paraId="408F02DE"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Less: MAT Credit entitlement</w:t>
            </w:r>
          </w:p>
        </w:tc>
        <w:tc>
          <w:tcPr>
            <w:tcW w:w="630" w:type="dxa"/>
            <w:shd w:val="clear" w:color="auto" w:fill="auto"/>
            <w:noWrap/>
            <w:vAlign w:val="bottom"/>
            <w:hideMark/>
          </w:tcPr>
          <w:p w14:paraId="496DDB56"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 </w:t>
            </w:r>
          </w:p>
        </w:tc>
        <w:tc>
          <w:tcPr>
            <w:tcW w:w="1710" w:type="dxa"/>
            <w:shd w:val="clear" w:color="auto" w:fill="auto"/>
            <w:noWrap/>
            <w:vAlign w:val="bottom"/>
            <w:hideMark/>
          </w:tcPr>
          <w:p w14:paraId="1684402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620" w:type="dxa"/>
            <w:shd w:val="clear" w:color="auto" w:fill="auto"/>
            <w:noWrap/>
            <w:vAlign w:val="bottom"/>
            <w:hideMark/>
          </w:tcPr>
          <w:p w14:paraId="6A9E87D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(11.40)</w:t>
            </w:r>
          </w:p>
        </w:tc>
        <w:tc>
          <w:tcPr>
            <w:tcW w:w="1641" w:type="dxa"/>
            <w:shd w:val="clear" w:color="auto" w:fill="auto"/>
            <w:noWrap/>
            <w:vAlign w:val="bottom"/>
            <w:hideMark/>
          </w:tcPr>
          <w:p w14:paraId="5ECF05B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(22.73)</w:t>
            </w:r>
          </w:p>
        </w:tc>
      </w:tr>
      <w:tr w:rsidR="005B5953" w:rsidRPr="005B12AE" w14:paraId="0A4AC6E2" w14:textId="77777777" w:rsidTr="00250DAC">
        <w:trPr>
          <w:trHeight w:val="20"/>
        </w:trPr>
        <w:tc>
          <w:tcPr>
            <w:tcW w:w="535" w:type="dxa"/>
            <w:shd w:val="clear" w:color="auto" w:fill="auto"/>
            <w:noWrap/>
            <w:vAlign w:val="bottom"/>
            <w:hideMark/>
          </w:tcPr>
          <w:p w14:paraId="242D1B2D"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(b)</w:t>
            </w:r>
          </w:p>
        </w:tc>
        <w:tc>
          <w:tcPr>
            <w:tcW w:w="4320" w:type="dxa"/>
            <w:shd w:val="clear" w:color="auto" w:fill="auto"/>
            <w:noWrap/>
            <w:vAlign w:val="bottom"/>
            <w:hideMark/>
          </w:tcPr>
          <w:p w14:paraId="71784252"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Deferred Tax</w:t>
            </w:r>
          </w:p>
        </w:tc>
        <w:tc>
          <w:tcPr>
            <w:tcW w:w="630" w:type="dxa"/>
            <w:shd w:val="clear" w:color="auto" w:fill="auto"/>
            <w:noWrap/>
            <w:vAlign w:val="bottom"/>
            <w:hideMark/>
          </w:tcPr>
          <w:p w14:paraId="2D952DBD"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 </w:t>
            </w:r>
          </w:p>
        </w:tc>
        <w:tc>
          <w:tcPr>
            <w:tcW w:w="1710" w:type="dxa"/>
            <w:shd w:val="clear" w:color="auto" w:fill="auto"/>
            <w:noWrap/>
            <w:vAlign w:val="bottom"/>
            <w:hideMark/>
          </w:tcPr>
          <w:p w14:paraId="4F087F8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1.06</w:t>
            </w:r>
          </w:p>
        </w:tc>
        <w:tc>
          <w:tcPr>
            <w:tcW w:w="1620" w:type="dxa"/>
            <w:shd w:val="clear" w:color="auto" w:fill="auto"/>
            <w:noWrap/>
            <w:vAlign w:val="bottom"/>
            <w:hideMark/>
          </w:tcPr>
          <w:p w14:paraId="14105B8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(14.30)</w:t>
            </w:r>
          </w:p>
        </w:tc>
        <w:tc>
          <w:tcPr>
            <w:tcW w:w="1641" w:type="dxa"/>
            <w:shd w:val="clear" w:color="auto" w:fill="auto"/>
            <w:noWrap/>
            <w:vAlign w:val="bottom"/>
            <w:hideMark/>
          </w:tcPr>
          <w:p w14:paraId="5293C71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8.02</w:t>
            </w:r>
          </w:p>
        </w:tc>
      </w:tr>
      <w:tr w:rsidR="005B5953" w:rsidRPr="005B12AE" w14:paraId="6F106A95" w14:textId="77777777" w:rsidTr="00250DAC">
        <w:trPr>
          <w:trHeight w:val="20"/>
        </w:trPr>
        <w:tc>
          <w:tcPr>
            <w:tcW w:w="535" w:type="dxa"/>
            <w:shd w:val="clear" w:color="auto" w:fill="auto"/>
            <w:noWrap/>
            <w:vAlign w:val="bottom"/>
            <w:hideMark/>
          </w:tcPr>
          <w:p w14:paraId="71BC7EAD" w14:textId="77777777" w:rsidR="005B5953" w:rsidRPr="005B12AE" w:rsidRDefault="005B5953" w:rsidP="00250DAC">
            <w:pPr>
              <w:spacing w:after="0" w:line="240" w:lineRule="auto"/>
              <w:rPr>
                <w:rFonts w:ascii="Times New Roman" w:hAnsi="Times New Roman"/>
                <w:b/>
                <w:bCs/>
                <w:sz w:val="20"/>
                <w:szCs w:val="20"/>
              </w:rPr>
            </w:pPr>
          </w:p>
        </w:tc>
        <w:tc>
          <w:tcPr>
            <w:tcW w:w="4320" w:type="dxa"/>
            <w:shd w:val="clear" w:color="auto" w:fill="auto"/>
            <w:noWrap/>
            <w:vAlign w:val="bottom"/>
            <w:hideMark/>
          </w:tcPr>
          <w:p w14:paraId="6754A3FD"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Net Current Tax Expenses</w:t>
            </w:r>
          </w:p>
        </w:tc>
        <w:tc>
          <w:tcPr>
            <w:tcW w:w="630" w:type="dxa"/>
            <w:shd w:val="clear" w:color="auto" w:fill="auto"/>
            <w:noWrap/>
            <w:vAlign w:val="bottom"/>
            <w:hideMark/>
          </w:tcPr>
          <w:p w14:paraId="3524058A"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 </w:t>
            </w:r>
          </w:p>
        </w:tc>
        <w:tc>
          <w:tcPr>
            <w:tcW w:w="1710" w:type="dxa"/>
            <w:shd w:val="clear" w:color="auto" w:fill="auto"/>
            <w:noWrap/>
            <w:vAlign w:val="bottom"/>
            <w:hideMark/>
          </w:tcPr>
          <w:p w14:paraId="41F556C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315.14</w:t>
            </w:r>
          </w:p>
        </w:tc>
        <w:tc>
          <w:tcPr>
            <w:tcW w:w="1620" w:type="dxa"/>
            <w:shd w:val="clear" w:color="auto" w:fill="auto"/>
            <w:noWrap/>
            <w:vAlign w:val="bottom"/>
            <w:hideMark/>
          </w:tcPr>
          <w:p w14:paraId="7C0FBDE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127.28</w:t>
            </w:r>
          </w:p>
        </w:tc>
        <w:tc>
          <w:tcPr>
            <w:tcW w:w="1641" w:type="dxa"/>
            <w:shd w:val="clear" w:color="auto" w:fill="auto"/>
            <w:noWrap/>
            <w:vAlign w:val="bottom"/>
            <w:hideMark/>
          </w:tcPr>
          <w:p w14:paraId="02F43E8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53.17</w:t>
            </w:r>
          </w:p>
        </w:tc>
      </w:tr>
      <w:tr w:rsidR="005B5953" w:rsidRPr="005B12AE" w14:paraId="4AC8A4F9" w14:textId="77777777" w:rsidTr="00250DAC">
        <w:trPr>
          <w:trHeight w:val="20"/>
        </w:trPr>
        <w:tc>
          <w:tcPr>
            <w:tcW w:w="535" w:type="dxa"/>
            <w:shd w:val="clear" w:color="auto" w:fill="auto"/>
            <w:noWrap/>
            <w:vAlign w:val="bottom"/>
            <w:hideMark/>
          </w:tcPr>
          <w:p w14:paraId="63D5BB48"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9</w:t>
            </w:r>
          </w:p>
        </w:tc>
        <w:tc>
          <w:tcPr>
            <w:tcW w:w="4320" w:type="dxa"/>
            <w:shd w:val="clear" w:color="auto" w:fill="auto"/>
            <w:noWrap/>
            <w:vAlign w:val="bottom"/>
            <w:hideMark/>
          </w:tcPr>
          <w:p w14:paraId="197EB251" w14:textId="77777777" w:rsidR="005B5953" w:rsidRPr="005B12AE" w:rsidRDefault="005B5953" w:rsidP="00250DAC">
            <w:pPr>
              <w:spacing w:after="0" w:line="240" w:lineRule="auto"/>
              <w:jc w:val="both"/>
              <w:rPr>
                <w:rFonts w:ascii="Times New Roman" w:hAnsi="Times New Roman"/>
                <w:b/>
                <w:bCs/>
                <w:sz w:val="20"/>
                <w:szCs w:val="20"/>
              </w:rPr>
            </w:pPr>
            <w:r w:rsidRPr="005B12AE">
              <w:rPr>
                <w:rFonts w:ascii="Times New Roman" w:hAnsi="Times New Roman"/>
                <w:b/>
                <w:bCs/>
                <w:sz w:val="20"/>
                <w:szCs w:val="20"/>
              </w:rPr>
              <w:t>Profit/(Loss) for the Year                            (7-8)</w:t>
            </w:r>
          </w:p>
        </w:tc>
        <w:tc>
          <w:tcPr>
            <w:tcW w:w="630" w:type="dxa"/>
            <w:shd w:val="clear" w:color="auto" w:fill="auto"/>
            <w:noWrap/>
            <w:vAlign w:val="bottom"/>
            <w:hideMark/>
          </w:tcPr>
          <w:p w14:paraId="2C8B9C40"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 </w:t>
            </w:r>
          </w:p>
        </w:tc>
        <w:tc>
          <w:tcPr>
            <w:tcW w:w="1710" w:type="dxa"/>
            <w:shd w:val="clear" w:color="auto" w:fill="auto"/>
            <w:noWrap/>
            <w:vAlign w:val="bottom"/>
            <w:hideMark/>
          </w:tcPr>
          <w:p w14:paraId="02F6206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765.42</w:t>
            </w:r>
          </w:p>
        </w:tc>
        <w:tc>
          <w:tcPr>
            <w:tcW w:w="1620" w:type="dxa"/>
            <w:shd w:val="clear" w:color="auto" w:fill="auto"/>
            <w:noWrap/>
            <w:vAlign w:val="bottom"/>
            <w:hideMark/>
          </w:tcPr>
          <w:p w14:paraId="37454756"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322.47</w:t>
            </w:r>
          </w:p>
        </w:tc>
        <w:tc>
          <w:tcPr>
            <w:tcW w:w="1641" w:type="dxa"/>
            <w:shd w:val="clear" w:color="auto" w:fill="auto"/>
            <w:noWrap/>
            <w:vAlign w:val="bottom"/>
            <w:hideMark/>
          </w:tcPr>
          <w:p w14:paraId="77CE921F"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142.28</w:t>
            </w:r>
          </w:p>
        </w:tc>
      </w:tr>
      <w:tr w:rsidR="005B5953" w:rsidRPr="005B12AE" w14:paraId="2BEE8791" w14:textId="77777777" w:rsidTr="00250DAC">
        <w:trPr>
          <w:trHeight w:val="368"/>
        </w:trPr>
        <w:tc>
          <w:tcPr>
            <w:tcW w:w="535" w:type="dxa"/>
            <w:shd w:val="clear" w:color="auto" w:fill="auto"/>
            <w:noWrap/>
            <w:vAlign w:val="bottom"/>
            <w:hideMark/>
          </w:tcPr>
          <w:p w14:paraId="0E6DCC16" w14:textId="77777777" w:rsidR="005B5953" w:rsidRPr="005B12AE" w:rsidRDefault="005B5953" w:rsidP="00250DAC">
            <w:pPr>
              <w:spacing w:after="0" w:line="240" w:lineRule="auto"/>
              <w:rPr>
                <w:rFonts w:ascii="Times New Roman" w:hAnsi="Times New Roman"/>
                <w:b/>
                <w:bCs/>
                <w:sz w:val="20"/>
                <w:szCs w:val="20"/>
              </w:rPr>
            </w:pPr>
          </w:p>
        </w:tc>
        <w:tc>
          <w:tcPr>
            <w:tcW w:w="4320" w:type="dxa"/>
            <w:shd w:val="clear" w:color="auto" w:fill="auto"/>
            <w:noWrap/>
            <w:vAlign w:val="bottom"/>
            <w:hideMark/>
          </w:tcPr>
          <w:p w14:paraId="253B237D" w14:textId="77777777" w:rsidR="005B5953" w:rsidRPr="005B12AE" w:rsidRDefault="005B5953" w:rsidP="00250DAC">
            <w:pPr>
              <w:spacing w:after="0" w:line="240" w:lineRule="auto"/>
              <w:jc w:val="both"/>
              <w:rPr>
                <w:rFonts w:ascii="Times New Roman" w:hAnsi="Times New Roman"/>
                <w:b/>
                <w:bCs/>
                <w:sz w:val="20"/>
                <w:szCs w:val="20"/>
              </w:rPr>
            </w:pPr>
            <w:r w:rsidRPr="005B12AE">
              <w:rPr>
                <w:rFonts w:ascii="Times New Roman" w:hAnsi="Times New Roman"/>
                <w:b/>
                <w:bCs/>
                <w:sz w:val="20"/>
                <w:szCs w:val="20"/>
              </w:rPr>
              <w:t>Basic, computed on the basis of Restated Profit/(loss) attributable to equity holders</w:t>
            </w:r>
          </w:p>
          <w:p w14:paraId="68CD2E6D" w14:textId="77777777" w:rsidR="005B5953" w:rsidRPr="005B12AE" w:rsidRDefault="005B5953" w:rsidP="00250DAC">
            <w:pPr>
              <w:spacing w:after="0" w:line="240" w:lineRule="auto"/>
              <w:jc w:val="both"/>
              <w:rPr>
                <w:rFonts w:ascii="Times New Roman" w:hAnsi="Times New Roman"/>
                <w:b/>
                <w:bCs/>
                <w:sz w:val="20"/>
                <w:szCs w:val="20"/>
              </w:rPr>
            </w:pPr>
            <w:r w:rsidRPr="005B12AE">
              <w:rPr>
                <w:rFonts w:ascii="Times New Roman" w:hAnsi="Times New Roman"/>
                <w:sz w:val="20"/>
                <w:szCs w:val="20"/>
              </w:rPr>
              <w:t>Equity shares, Nominal value of Rs 10 each</w:t>
            </w:r>
          </w:p>
        </w:tc>
        <w:tc>
          <w:tcPr>
            <w:tcW w:w="630" w:type="dxa"/>
            <w:shd w:val="clear" w:color="auto" w:fill="auto"/>
            <w:noWrap/>
            <w:vAlign w:val="bottom"/>
            <w:hideMark/>
          </w:tcPr>
          <w:p w14:paraId="227AF865"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 </w:t>
            </w:r>
          </w:p>
        </w:tc>
        <w:tc>
          <w:tcPr>
            <w:tcW w:w="1710" w:type="dxa"/>
            <w:shd w:val="clear" w:color="auto" w:fill="auto"/>
            <w:noWrap/>
            <w:vAlign w:val="center"/>
            <w:hideMark/>
          </w:tcPr>
          <w:p w14:paraId="62980AA3"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5.54</w:t>
            </w:r>
          </w:p>
        </w:tc>
        <w:tc>
          <w:tcPr>
            <w:tcW w:w="1620" w:type="dxa"/>
            <w:shd w:val="clear" w:color="auto" w:fill="auto"/>
            <w:noWrap/>
            <w:vAlign w:val="center"/>
            <w:hideMark/>
          </w:tcPr>
          <w:p w14:paraId="7DDD0825"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2.34</w:t>
            </w:r>
          </w:p>
        </w:tc>
        <w:tc>
          <w:tcPr>
            <w:tcW w:w="1641" w:type="dxa"/>
            <w:shd w:val="clear" w:color="auto" w:fill="auto"/>
            <w:noWrap/>
            <w:vAlign w:val="center"/>
            <w:hideMark/>
          </w:tcPr>
          <w:p w14:paraId="238E7A17"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1.03</w:t>
            </w:r>
          </w:p>
        </w:tc>
      </w:tr>
      <w:tr w:rsidR="005B5953" w:rsidRPr="005B12AE" w14:paraId="21B2F2B5" w14:textId="77777777" w:rsidTr="00250DAC">
        <w:trPr>
          <w:trHeight w:val="690"/>
        </w:trPr>
        <w:tc>
          <w:tcPr>
            <w:tcW w:w="535" w:type="dxa"/>
            <w:shd w:val="clear" w:color="auto" w:fill="auto"/>
            <w:noWrap/>
            <w:vAlign w:val="bottom"/>
            <w:hideMark/>
          </w:tcPr>
          <w:p w14:paraId="78D39CE4" w14:textId="77777777" w:rsidR="005B5953" w:rsidRPr="005B12AE" w:rsidRDefault="005B5953" w:rsidP="00250DAC">
            <w:pPr>
              <w:spacing w:after="0" w:line="240" w:lineRule="auto"/>
              <w:rPr>
                <w:rFonts w:ascii="Times New Roman" w:hAnsi="Times New Roman"/>
                <w:b/>
                <w:bCs/>
                <w:sz w:val="20"/>
                <w:szCs w:val="20"/>
              </w:rPr>
            </w:pPr>
          </w:p>
        </w:tc>
        <w:tc>
          <w:tcPr>
            <w:tcW w:w="4320" w:type="dxa"/>
            <w:shd w:val="clear" w:color="000000" w:fill="FFFFFF"/>
            <w:hideMark/>
          </w:tcPr>
          <w:p w14:paraId="6936C126" w14:textId="77777777" w:rsidR="005B5953" w:rsidRPr="005B12AE" w:rsidRDefault="005B5953" w:rsidP="00250DAC">
            <w:pPr>
              <w:spacing w:after="0" w:line="240" w:lineRule="auto"/>
              <w:jc w:val="both"/>
              <w:rPr>
                <w:rFonts w:ascii="Times New Roman" w:hAnsi="Times New Roman"/>
                <w:b/>
                <w:bCs/>
                <w:sz w:val="20"/>
                <w:szCs w:val="20"/>
              </w:rPr>
            </w:pPr>
            <w:r w:rsidRPr="005B12AE">
              <w:rPr>
                <w:rFonts w:ascii="Times New Roman" w:hAnsi="Times New Roman"/>
                <w:b/>
                <w:bCs/>
                <w:sz w:val="20"/>
                <w:szCs w:val="20"/>
              </w:rPr>
              <w:t>Diluted, computed on the basis of Restated Profit/(loss) attributable to equity holders</w:t>
            </w:r>
          </w:p>
          <w:p w14:paraId="749CC56A" w14:textId="77777777" w:rsidR="005B5953" w:rsidRPr="005B12AE" w:rsidRDefault="005B5953" w:rsidP="00250DAC">
            <w:pPr>
              <w:spacing w:after="0" w:line="240" w:lineRule="auto"/>
              <w:jc w:val="both"/>
              <w:rPr>
                <w:rFonts w:ascii="Times New Roman" w:hAnsi="Times New Roman"/>
                <w:b/>
                <w:bCs/>
                <w:sz w:val="20"/>
                <w:szCs w:val="20"/>
              </w:rPr>
            </w:pPr>
            <w:r w:rsidRPr="005B12AE">
              <w:rPr>
                <w:rFonts w:ascii="Times New Roman" w:hAnsi="Times New Roman"/>
                <w:sz w:val="20"/>
                <w:szCs w:val="20"/>
              </w:rPr>
              <w:t>Equity shares, Nominal value of Rs 10 each</w:t>
            </w:r>
          </w:p>
        </w:tc>
        <w:tc>
          <w:tcPr>
            <w:tcW w:w="630" w:type="dxa"/>
            <w:shd w:val="clear" w:color="auto" w:fill="auto"/>
            <w:noWrap/>
            <w:vAlign w:val="bottom"/>
            <w:hideMark/>
          </w:tcPr>
          <w:p w14:paraId="3D4E61F4"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 </w:t>
            </w:r>
          </w:p>
          <w:p w14:paraId="03109D98"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 </w:t>
            </w:r>
          </w:p>
        </w:tc>
        <w:tc>
          <w:tcPr>
            <w:tcW w:w="1710" w:type="dxa"/>
            <w:shd w:val="clear" w:color="auto" w:fill="auto"/>
            <w:noWrap/>
            <w:vAlign w:val="center"/>
            <w:hideMark/>
          </w:tcPr>
          <w:p w14:paraId="2F7A7C6E"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5.54</w:t>
            </w:r>
          </w:p>
        </w:tc>
        <w:tc>
          <w:tcPr>
            <w:tcW w:w="1620" w:type="dxa"/>
            <w:shd w:val="clear" w:color="auto" w:fill="auto"/>
            <w:noWrap/>
            <w:vAlign w:val="center"/>
            <w:hideMark/>
          </w:tcPr>
          <w:p w14:paraId="090441E3"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2.34</w:t>
            </w:r>
          </w:p>
        </w:tc>
        <w:tc>
          <w:tcPr>
            <w:tcW w:w="1641" w:type="dxa"/>
            <w:shd w:val="clear" w:color="auto" w:fill="auto"/>
            <w:noWrap/>
            <w:vAlign w:val="center"/>
            <w:hideMark/>
          </w:tcPr>
          <w:p w14:paraId="0360553F"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1.03</w:t>
            </w:r>
          </w:p>
        </w:tc>
      </w:tr>
    </w:tbl>
    <w:p w14:paraId="6915D2A8" w14:textId="77777777" w:rsidR="005B5953" w:rsidRPr="005B12AE" w:rsidRDefault="005B5953" w:rsidP="005B5953">
      <w:pPr>
        <w:spacing w:after="0"/>
        <w:rPr>
          <w:rFonts w:ascii="Times New Roman" w:hAnsi="Times New Roman"/>
          <w:sz w:val="20"/>
          <w:szCs w:val="20"/>
        </w:rPr>
      </w:pPr>
      <w:r w:rsidRPr="005B12AE">
        <w:rPr>
          <w:rFonts w:ascii="Times New Roman" w:hAnsi="Times New Roman"/>
          <w:sz w:val="20"/>
          <w:szCs w:val="20"/>
        </w:rPr>
        <w:t>The above statement should be read with Annexure IV to the Restated Summary Statements</w:t>
      </w:r>
    </w:p>
    <w:p w14:paraId="053F6D1F" w14:textId="77777777" w:rsidR="005B5953" w:rsidRPr="005B12AE" w:rsidRDefault="005B5953" w:rsidP="005B5953">
      <w:pPr>
        <w:rPr>
          <w:rFonts w:ascii="Times New Roman" w:hAnsi="Times New Roman"/>
          <w:sz w:val="20"/>
          <w:szCs w:val="20"/>
        </w:rPr>
      </w:pPr>
      <w:r w:rsidRPr="005B12AE">
        <w:rPr>
          <w:rFonts w:ascii="Times New Roman" w:hAnsi="Times New Roman"/>
          <w:sz w:val="20"/>
          <w:szCs w:val="20"/>
        </w:rPr>
        <w:br w:type="page"/>
      </w:r>
    </w:p>
    <w:p w14:paraId="6D49FBED" w14:textId="77777777" w:rsidR="005B5953" w:rsidRPr="005B12AE" w:rsidRDefault="005B5953" w:rsidP="005B5953">
      <w:pPr>
        <w:spacing w:after="0"/>
        <w:jc w:val="center"/>
        <w:rPr>
          <w:rFonts w:ascii="Times New Roman" w:hAnsi="Times New Roman"/>
          <w:b/>
          <w:bCs/>
          <w:sz w:val="20"/>
          <w:szCs w:val="20"/>
        </w:rPr>
      </w:pPr>
      <w:r w:rsidRPr="005B12AE">
        <w:rPr>
          <w:rFonts w:ascii="Times New Roman" w:hAnsi="Times New Roman"/>
          <w:b/>
          <w:bCs/>
          <w:sz w:val="20"/>
          <w:szCs w:val="20"/>
        </w:rPr>
        <w:lastRenderedPageBreak/>
        <w:t>ANNEXURE III</w:t>
      </w:r>
    </w:p>
    <w:p w14:paraId="4A529FBE" w14:textId="77777777" w:rsidR="005B5953" w:rsidRPr="005B12AE" w:rsidRDefault="005B5953" w:rsidP="005B5953">
      <w:pPr>
        <w:spacing w:after="0"/>
        <w:jc w:val="center"/>
        <w:rPr>
          <w:rFonts w:ascii="Times New Roman" w:hAnsi="Times New Roman"/>
          <w:b/>
          <w:bCs/>
          <w:sz w:val="20"/>
          <w:szCs w:val="20"/>
        </w:rPr>
      </w:pPr>
    </w:p>
    <w:p w14:paraId="5EC7248C" w14:textId="77777777" w:rsidR="005B5953" w:rsidRPr="005B12AE" w:rsidRDefault="005B5953" w:rsidP="005B5953">
      <w:pPr>
        <w:spacing w:after="0"/>
        <w:jc w:val="center"/>
        <w:rPr>
          <w:rFonts w:ascii="Times New Roman" w:hAnsi="Times New Roman"/>
          <w:b/>
          <w:bCs/>
          <w:sz w:val="20"/>
          <w:szCs w:val="20"/>
        </w:rPr>
      </w:pPr>
      <w:r w:rsidRPr="005B12AE">
        <w:rPr>
          <w:rFonts w:ascii="Times New Roman" w:hAnsi="Times New Roman"/>
          <w:b/>
          <w:bCs/>
          <w:sz w:val="20"/>
          <w:szCs w:val="20"/>
        </w:rPr>
        <w:t>RESTATED CASH FLOW STATEMENT</w:t>
      </w:r>
    </w:p>
    <w:p w14:paraId="18D1F79D" w14:textId="77777777" w:rsidR="005B5953" w:rsidRPr="005B12AE" w:rsidRDefault="005B5953" w:rsidP="005B5953">
      <w:pPr>
        <w:spacing w:after="0"/>
        <w:jc w:val="center"/>
        <w:rPr>
          <w:rFonts w:ascii="Times New Roman" w:hAnsi="Times New Roman"/>
          <w:b/>
          <w:bCs/>
          <w:sz w:val="20"/>
          <w:szCs w:val="20"/>
        </w:rPr>
      </w:pPr>
    </w:p>
    <w:p w14:paraId="4A14F2F7" w14:textId="77777777" w:rsidR="005B5953" w:rsidRPr="005B12AE" w:rsidRDefault="005B5953" w:rsidP="005B5953">
      <w:pPr>
        <w:spacing w:after="0"/>
        <w:jc w:val="right"/>
        <w:rPr>
          <w:rFonts w:ascii="Times New Roman" w:hAnsi="Times New Roman"/>
          <w:b/>
          <w:bCs/>
          <w:sz w:val="20"/>
          <w:szCs w:val="20"/>
        </w:rPr>
      </w:pPr>
      <w:r w:rsidRPr="005B12AE">
        <w:rPr>
          <w:rFonts w:ascii="Times New Roman" w:hAnsi="Times New Roman"/>
          <w:b/>
          <w:bCs/>
          <w:sz w:val="20"/>
          <w:szCs w:val="20"/>
        </w:rPr>
        <w:t>(₹ in Lakhs)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7"/>
        <w:gridCol w:w="1616"/>
        <w:gridCol w:w="1667"/>
        <w:gridCol w:w="1566"/>
      </w:tblGrid>
      <w:tr w:rsidR="005B5953" w:rsidRPr="005B12AE" w14:paraId="373AB844" w14:textId="77777777" w:rsidTr="00250DAC">
        <w:trPr>
          <w:trHeight w:val="20"/>
        </w:trPr>
        <w:tc>
          <w:tcPr>
            <w:tcW w:w="2681" w:type="pct"/>
            <w:vMerge w:val="restart"/>
            <w:shd w:val="clear" w:color="auto" w:fill="D0CECE" w:themeFill="background2" w:themeFillShade="E6"/>
            <w:noWrap/>
            <w:vAlign w:val="center"/>
            <w:hideMark/>
          </w:tcPr>
          <w:p w14:paraId="20B9B8A9"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 xml:space="preserve">Particulars </w:t>
            </w:r>
          </w:p>
        </w:tc>
        <w:tc>
          <w:tcPr>
            <w:tcW w:w="2319" w:type="pct"/>
            <w:gridSpan w:val="3"/>
            <w:shd w:val="clear" w:color="auto" w:fill="D0CECE" w:themeFill="background2" w:themeFillShade="E6"/>
            <w:noWrap/>
            <w:vAlign w:val="center"/>
            <w:hideMark/>
          </w:tcPr>
          <w:p w14:paraId="0FEDF773"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For The Year Ended</w:t>
            </w:r>
          </w:p>
        </w:tc>
      </w:tr>
      <w:tr w:rsidR="005B5953" w:rsidRPr="005B12AE" w14:paraId="2F942EB0" w14:textId="77777777" w:rsidTr="00250DAC">
        <w:trPr>
          <w:trHeight w:val="20"/>
        </w:trPr>
        <w:tc>
          <w:tcPr>
            <w:tcW w:w="2681" w:type="pct"/>
            <w:vMerge/>
            <w:shd w:val="clear" w:color="auto" w:fill="D0CECE" w:themeFill="background2" w:themeFillShade="E6"/>
            <w:vAlign w:val="center"/>
            <w:hideMark/>
          </w:tcPr>
          <w:p w14:paraId="62BBD919" w14:textId="77777777" w:rsidR="005B5953" w:rsidRPr="005B12AE" w:rsidRDefault="005B5953" w:rsidP="00250DAC">
            <w:pPr>
              <w:spacing w:after="0" w:line="240" w:lineRule="auto"/>
              <w:rPr>
                <w:rFonts w:ascii="Times New Roman" w:hAnsi="Times New Roman"/>
                <w:b/>
                <w:bCs/>
                <w:sz w:val="20"/>
                <w:szCs w:val="20"/>
              </w:rPr>
            </w:pPr>
          </w:p>
        </w:tc>
        <w:tc>
          <w:tcPr>
            <w:tcW w:w="773" w:type="pct"/>
            <w:shd w:val="clear" w:color="auto" w:fill="D0CECE" w:themeFill="background2" w:themeFillShade="E6"/>
            <w:noWrap/>
            <w:vAlign w:val="bottom"/>
            <w:hideMark/>
          </w:tcPr>
          <w:p w14:paraId="5B849076"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31/03/2023</w:t>
            </w:r>
          </w:p>
        </w:tc>
        <w:tc>
          <w:tcPr>
            <w:tcW w:w="797" w:type="pct"/>
            <w:shd w:val="clear" w:color="auto" w:fill="D0CECE" w:themeFill="background2" w:themeFillShade="E6"/>
            <w:noWrap/>
            <w:vAlign w:val="bottom"/>
            <w:hideMark/>
          </w:tcPr>
          <w:p w14:paraId="07A6ECCA"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31/03/2022</w:t>
            </w:r>
          </w:p>
        </w:tc>
        <w:tc>
          <w:tcPr>
            <w:tcW w:w="749" w:type="pct"/>
            <w:shd w:val="clear" w:color="auto" w:fill="D0CECE" w:themeFill="background2" w:themeFillShade="E6"/>
            <w:noWrap/>
            <w:vAlign w:val="bottom"/>
            <w:hideMark/>
          </w:tcPr>
          <w:p w14:paraId="29D6C6C5"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31/03/2021</w:t>
            </w:r>
          </w:p>
        </w:tc>
      </w:tr>
      <w:tr w:rsidR="005B5953" w:rsidRPr="005B12AE" w14:paraId="6368D6A5" w14:textId="77777777" w:rsidTr="00250DAC">
        <w:trPr>
          <w:trHeight w:val="20"/>
        </w:trPr>
        <w:tc>
          <w:tcPr>
            <w:tcW w:w="2681" w:type="pct"/>
            <w:shd w:val="clear" w:color="auto" w:fill="auto"/>
            <w:noWrap/>
            <w:vAlign w:val="bottom"/>
            <w:hideMark/>
          </w:tcPr>
          <w:p w14:paraId="62CFD57A"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A) Cash Flow From Operating Activities: </w:t>
            </w:r>
          </w:p>
        </w:tc>
        <w:tc>
          <w:tcPr>
            <w:tcW w:w="773" w:type="pct"/>
            <w:shd w:val="clear" w:color="auto" w:fill="auto"/>
            <w:noWrap/>
            <w:vAlign w:val="bottom"/>
            <w:hideMark/>
          </w:tcPr>
          <w:p w14:paraId="5A3D845B" w14:textId="77777777" w:rsidR="005B5953" w:rsidRPr="005B12AE" w:rsidRDefault="005B5953" w:rsidP="00250DAC">
            <w:pPr>
              <w:spacing w:after="0" w:line="240" w:lineRule="auto"/>
              <w:jc w:val="center"/>
              <w:rPr>
                <w:rFonts w:ascii="Times New Roman" w:hAnsi="Times New Roman"/>
                <w:sz w:val="20"/>
                <w:szCs w:val="20"/>
              </w:rPr>
            </w:pPr>
          </w:p>
        </w:tc>
        <w:tc>
          <w:tcPr>
            <w:tcW w:w="797" w:type="pct"/>
            <w:shd w:val="clear" w:color="auto" w:fill="auto"/>
            <w:noWrap/>
            <w:vAlign w:val="bottom"/>
            <w:hideMark/>
          </w:tcPr>
          <w:p w14:paraId="050B8B80" w14:textId="77777777" w:rsidR="005B5953" w:rsidRPr="005B12AE" w:rsidRDefault="005B5953" w:rsidP="00250DAC">
            <w:pPr>
              <w:spacing w:after="0" w:line="240" w:lineRule="auto"/>
              <w:jc w:val="center"/>
              <w:rPr>
                <w:rFonts w:ascii="Times New Roman" w:hAnsi="Times New Roman"/>
                <w:sz w:val="20"/>
                <w:szCs w:val="20"/>
              </w:rPr>
            </w:pPr>
          </w:p>
        </w:tc>
        <w:tc>
          <w:tcPr>
            <w:tcW w:w="749" w:type="pct"/>
            <w:shd w:val="clear" w:color="auto" w:fill="auto"/>
            <w:noWrap/>
            <w:vAlign w:val="bottom"/>
            <w:hideMark/>
          </w:tcPr>
          <w:p w14:paraId="26F36B51"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2B7435FA" w14:textId="77777777" w:rsidTr="00250DAC">
        <w:trPr>
          <w:trHeight w:val="20"/>
        </w:trPr>
        <w:tc>
          <w:tcPr>
            <w:tcW w:w="2681" w:type="pct"/>
            <w:shd w:val="clear" w:color="auto" w:fill="auto"/>
            <w:noWrap/>
            <w:vAlign w:val="bottom"/>
            <w:hideMark/>
          </w:tcPr>
          <w:p w14:paraId="47FF5813"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Net Profit before tax </w:t>
            </w:r>
          </w:p>
        </w:tc>
        <w:tc>
          <w:tcPr>
            <w:tcW w:w="773" w:type="pct"/>
            <w:shd w:val="clear" w:color="auto" w:fill="auto"/>
            <w:noWrap/>
            <w:vAlign w:val="bottom"/>
            <w:hideMark/>
          </w:tcPr>
          <w:p w14:paraId="29E2AC7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1,080.56</w:t>
            </w:r>
          </w:p>
        </w:tc>
        <w:tc>
          <w:tcPr>
            <w:tcW w:w="797" w:type="pct"/>
            <w:shd w:val="clear" w:color="auto" w:fill="auto"/>
            <w:noWrap/>
            <w:vAlign w:val="bottom"/>
            <w:hideMark/>
          </w:tcPr>
          <w:p w14:paraId="77FF29B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449.75</w:t>
            </w:r>
          </w:p>
        </w:tc>
        <w:tc>
          <w:tcPr>
            <w:tcW w:w="749" w:type="pct"/>
            <w:shd w:val="clear" w:color="auto" w:fill="auto"/>
            <w:noWrap/>
            <w:vAlign w:val="bottom"/>
            <w:hideMark/>
          </w:tcPr>
          <w:p w14:paraId="12F0658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195.45</w:t>
            </w:r>
          </w:p>
        </w:tc>
      </w:tr>
      <w:tr w:rsidR="005B5953" w:rsidRPr="005B12AE" w14:paraId="140F1B45" w14:textId="77777777" w:rsidTr="00250DAC">
        <w:trPr>
          <w:trHeight w:val="20"/>
        </w:trPr>
        <w:tc>
          <w:tcPr>
            <w:tcW w:w="2681" w:type="pct"/>
            <w:shd w:val="clear" w:color="auto" w:fill="auto"/>
            <w:noWrap/>
            <w:vAlign w:val="bottom"/>
            <w:hideMark/>
          </w:tcPr>
          <w:p w14:paraId="24477F4E"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Adjustment for: </w:t>
            </w:r>
          </w:p>
        </w:tc>
        <w:tc>
          <w:tcPr>
            <w:tcW w:w="773" w:type="pct"/>
            <w:shd w:val="clear" w:color="auto" w:fill="auto"/>
            <w:noWrap/>
            <w:vAlign w:val="bottom"/>
            <w:hideMark/>
          </w:tcPr>
          <w:p w14:paraId="65EB91C0" w14:textId="77777777" w:rsidR="005B5953" w:rsidRPr="005B12AE" w:rsidRDefault="005B5953" w:rsidP="00250DAC">
            <w:pPr>
              <w:spacing w:after="0" w:line="240" w:lineRule="auto"/>
              <w:jc w:val="center"/>
              <w:rPr>
                <w:rFonts w:ascii="Times New Roman" w:hAnsi="Times New Roman"/>
                <w:sz w:val="20"/>
                <w:szCs w:val="20"/>
              </w:rPr>
            </w:pPr>
          </w:p>
        </w:tc>
        <w:tc>
          <w:tcPr>
            <w:tcW w:w="797" w:type="pct"/>
            <w:shd w:val="clear" w:color="auto" w:fill="auto"/>
            <w:noWrap/>
            <w:vAlign w:val="bottom"/>
            <w:hideMark/>
          </w:tcPr>
          <w:p w14:paraId="1943585B" w14:textId="77777777" w:rsidR="005B5953" w:rsidRPr="005B12AE" w:rsidRDefault="005B5953" w:rsidP="00250DAC">
            <w:pPr>
              <w:spacing w:after="0" w:line="240" w:lineRule="auto"/>
              <w:jc w:val="center"/>
              <w:rPr>
                <w:rFonts w:ascii="Times New Roman" w:hAnsi="Times New Roman"/>
                <w:sz w:val="20"/>
                <w:szCs w:val="20"/>
              </w:rPr>
            </w:pPr>
          </w:p>
        </w:tc>
        <w:tc>
          <w:tcPr>
            <w:tcW w:w="749" w:type="pct"/>
            <w:shd w:val="clear" w:color="auto" w:fill="auto"/>
            <w:noWrap/>
            <w:vAlign w:val="bottom"/>
            <w:hideMark/>
          </w:tcPr>
          <w:p w14:paraId="47A15A39"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3437FBAB" w14:textId="77777777" w:rsidTr="00250DAC">
        <w:trPr>
          <w:trHeight w:val="20"/>
        </w:trPr>
        <w:tc>
          <w:tcPr>
            <w:tcW w:w="2681" w:type="pct"/>
            <w:shd w:val="clear" w:color="auto" w:fill="auto"/>
            <w:noWrap/>
            <w:vAlign w:val="bottom"/>
            <w:hideMark/>
          </w:tcPr>
          <w:p w14:paraId="2295E263" w14:textId="77777777" w:rsidR="005B5953" w:rsidRPr="005B12AE" w:rsidRDefault="005B5953" w:rsidP="00250DAC">
            <w:pPr>
              <w:spacing w:after="0" w:line="240" w:lineRule="auto"/>
              <w:ind w:left="162"/>
              <w:rPr>
                <w:rFonts w:ascii="Times New Roman" w:hAnsi="Times New Roman"/>
                <w:sz w:val="20"/>
                <w:szCs w:val="20"/>
              </w:rPr>
            </w:pPr>
            <w:r w:rsidRPr="005B12AE">
              <w:rPr>
                <w:rFonts w:ascii="Times New Roman" w:hAnsi="Times New Roman"/>
                <w:sz w:val="20"/>
                <w:szCs w:val="20"/>
              </w:rPr>
              <w:t xml:space="preserve"> Depreciation and amortization  </w:t>
            </w:r>
          </w:p>
        </w:tc>
        <w:tc>
          <w:tcPr>
            <w:tcW w:w="773" w:type="pct"/>
            <w:shd w:val="clear" w:color="auto" w:fill="auto"/>
            <w:noWrap/>
            <w:vAlign w:val="bottom"/>
            <w:hideMark/>
          </w:tcPr>
          <w:p w14:paraId="6B1AABE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169.07</w:t>
            </w:r>
          </w:p>
        </w:tc>
        <w:tc>
          <w:tcPr>
            <w:tcW w:w="797" w:type="pct"/>
            <w:shd w:val="clear" w:color="auto" w:fill="auto"/>
            <w:noWrap/>
            <w:vAlign w:val="bottom"/>
            <w:hideMark/>
          </w:tcPr>
          <w:p w14:paraId="7941C91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177.68</w:t>
            </w:r>
          </w:p>
        </w:tc>
        <w:tc>
          <w:tcPr>
            <w:tcW w:w="749" w:type="pct"/>
            <w:shd w:val="clear" w:color="auto" w:fill="auto"/>
            <w:noWrap/>
            <w:vAlign w:val="bottom"/>
            <w:hideMark/>
          </w:tcPr>
          <w:p w14:paraId="6BCD0B5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135.74</w:t>
            </w:r>
          </w:p>
        </w:tc>
      </w:tr>
      <w:tr w:rsidR="005B5953" w:rsidRPr="005B12AE" w14:paraId="50193013" w14:textId="77777777" w:rsidTr="00250DAC">
        <w:trPr>
          <w:trHeight w:val="20"/>
        </w:trPr>
        <w:tc>
          <w:tcPr>
            <w:tcW w:w="2681" w:type="pct"/>
            <w:shd w:val="clear" w:color="auto" w:fill="auto"/>
            <w:noWrap/>
            <w:vAlign w:val="bottom"/>
            <w:hideMark/>
          </w:tcPr>
          <w:p w14:paraId="62BE8F7C" w14:textId="77777777" w:rsidR="005B5953" w:rsidRPr="005B12AE" w:rsidRDefault="005B5953" w:rsidP="00250DAC">
            <w:pPr>
              <w:spacing w:after="0" w:line="240" w:lineRule="auto"/>
              <w:ind w:left="162"/>
              <w:rPr>
                <w:rFonts w:ascii="Times New Roman" w:hAnsi="Times New Roman"/>
                <w:sz w:val="20"/>
                <w:szCs w:val="20"/>
              </w:rPr>
            </w:pPr>
            <w:r w:rsidRPr="005B12AE">
              <w:rPr>
                <w:rFonts w:ascii="Times New Roman" w:hAnsi="Times New Roman"/>
                <w:sz w:val="20"/>
                <w:szCs w:val="20"/>
              </w:rPr>
              <w:t xml:space="preserve"> Interest Paid </w:t>
            </w:r>
          </w:p>
        </w:tc>
        <w:tc>
          <w:tcPr>
            <w:tcW w:w="773" w:type="pct"/>
            <w:shd w:val="clear" w:color="auto" w:fill="auto"/>
            <w:noWrap/>
            <w:vAlign w:val="bottom"/>
            <w:hideMark/>
          </w:tcPr>
          <w:p w14:paraId="4393630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442.82</w:t>
            </w:r>
          </w:p>
        </w:tc>
        <w:tc>
          <w:tcPr>
            <w:tcW w:w="797" w:type="pct"/>
            <w:shd w:val="clear" w:color="auto" w:fill="auto"/>
            <w:noWrap/>
            <w:vAlign w:val="bottom"/>
            <w:hideMark/>
          </w:tcPr>
          <w:p w14:paraId="084A313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245.24</w:t>
            </w:r>
          </w:p>
        </w:tc>
        <w:tc>
          <w:tcPr>
            <w:tcW w:w="749" w:type="pct"/>
            <w:shd w:val="clear" w:color="auto" w:fill="auto"/>
            <w:noWrap/>
            <w:vAlign w:val="bottom"/>
            <w:hideMark/>
          </w:tcPr>
          <w:p w14:paraId="214E337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153.89</w:t>
            </w:r>
          </w:p>
        </w:tc>
      </w:tr>
      <w:tr w:rsidR="005B5953" w:rsidRPr="005B12AE" w14:paraId="28F5BD0C" w14:textId="77777777" w:rsidTr="00250DAC">
        <w:trPr>
          <w:trHeight w:val="20"/>
        </w:trPr>
        <w:tc>
          <w:tcPr>
            <w:tcW w:w="2681" w:type="pct"/>
            <w:shd w:val="clear" w:color="auto" w:fill="auto"/>
            <w:noWrap/>
            <w:vAlign w:val="bottom"/>
            <w:hideMark/>
          </w:tcPr>
          <w:p w14:paraId="71562C8E" w14:textId="77777777" w:rsidR="005B5953" w:rsidRPr="005B12AE" w:rsidRDefault="005B5953" w:rsidP="00250DAC">
            <w:pPr>
              <w:spacing w:after="0" w:line="240" w:lineRule="auto"/>
              <w:ind w:left="162"/>
              <w:rPr>
                <w:rFonts w:ascii="Times New Roman" w:hAnsi="Times New Roman"/>
                <w:sz w:val="20"/>
                <w:szCs w:val="20"/>
              </w:rPr>
            </w:pPr>
            <w:r w:rsidRPr="005B12AE">
              <w:rPr>
                <w:rFonts w:ascii="Times New Roman" w:hAnsi="Times New Roman"/>
                <w:sz w:val="20"/>
                <w:szCs w:val="20"/>
              </w:rPr>
              <w:t xml:space="preserve"> Interest Income </w:t>
            </w:r>
          </w:p>
        </w:tc>
        <w:tc>
          <w:tcPr>
            <w:tcW w:w="773" w:type="pct"/>
            <w:shd w:val="clear" w:color="auto" w:fill="auto"/>
            <w:noWrap/>
            <w:vAlign w:val="bottom"/>
            <w:hideMark/>
          </w:tcPr>
          <w:p w14:paraId="11F833C2" w14:textId="77777777" w:rsidR="005B5953" w:rsidRPr="005B12AE" w:rsidRDefault="005B5953" w:rsidP="00250DAC">
            <w:pPr>
              <w:spacing w:after="0" w:line="240" w:lineRule="auto"/>
              <w:jc w:val="center"/>
              <w:rPr>
                <w:rFonts w:ascii="Times New Roman" w:hAnsi="Times New Roman"/>
                <w:sz w:val="20"/>
                <w:szCs w:val="20"/>
              </w:rPr>
            </w:pPr>
          </w:p>
        </w:tc>
        <w:tc>
          <w:tcPr>
            <w:tcW w:w="797" w:type="pct"/>
            <w:shd w:val="clear" w:color="auto" w:fill="auto"/>
            <w:noWrap/>
            <w:vAlign w:val="bottom"/>
            <w:hideMark/>
          </w:tcPr>
          <w:p w14:paraId="79E649CD" w14:textId="77777777" w:rsidR="005B5953" w:rsidRPr="005B12AE" w:rsidRDefault="005B5953" w:rsidP="00250DAC">
            <w:pPr>
              <w:spacing w:after="0" w:line="240" w:lineRule="auto"/>
              <w:jc w:val="center"/>
              <w:rPr>
                <w:rFonts w:ascii="Times New Roman" w:hAnsi="Times New Roman"/>
                <w:sz w:val="20"/>
                <w:szCs w:val="20"/>
              </w:rPr>
            </w:pPr>
          </w:p>
        </w:tc>
        <w:tc>
          <w:tcPr>
            <w:tcW w:w="749" w:type="pct"/>
            <w:shd w:val="clear" w:color="auto" w:fill="auto"/>
            <w:noWrap/>
            <w:vAlign w:val="bottom"/>
            <w:hideMark/>
          </w:tcPr>
          <w:p w14:paraId="12AA43BF"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1747D48B" w14:textId="77777777" w:rsidTr="00250DAC">
        <w:trPr>
          <w:trHeight w:val="20"/>
        </w:trPr>
        <w:tc>
          <w:tcPr>
            <w:tcW w:w="2681" w:type="pct"/>
            <w:shd w:val="clear" w:color="auto" w:fill="auto"/>
            <w:noWrap/>
            <w:vAlign w:val="bottom"/>
            <w:hideMark/>
          </w:tcPr>
          <w:p w14:paraId="766233D9" w14:textId="77777777" w:rsidR="005B5953" w:rsidRPr="005B12AE" w:rsidRDefault="005B5953" w:rsidP="00250DAC">
            <w:pPr>
              <w:spacing w:after="0" w:line="240" w:lineRule="auto"/>
              <w:ind w:left="162"/>
              <w:rPr>
                <w:rFonts w:ascii="Times New Roman" w:hAnsi="Times New Roman"/>
                <w:sz w:val="20"/>
                <w:szCs w:val="20"/>
              </w:rPr>
            </w:pPr>
            <w:r w:rsidRPr="005B12AE">
              <w:rPr>
                <w:rFonts w:ascii="Times New Roman" w:hAnsi="Times New Roman"/>
                <w:sz w:val="20"/>
                <w:szCs w:val="20"/>
              </w:rPr>
              <w:t xml:space="preserve"> Long term provision </w:t>
            </w:r>
          </w:p>
        </w:tc>
        <w:tc>
          <w:tcPr>
            <w:tcW w:w="773" w:type="pct"/>
            <w:shd w:val="clear" w:color="auto" w:fill="auto"/>
            <w:noWrap/>
            <w:vAlign w:val="bottom"/>
            <w:hideMark/>
          </w:tcPr>
          <w:p w14:paraId="306BF86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2.87</w:t>
            </w:r>
          </w:p>
        </w:tc>
        <w:tc>
          <w:tcPr>
            <w:tcW w:w="797" w:type="pct"/>
            <w:shd w:val="clear" w:color="auto" w:fill="auto"/>
            <w:noWrap/>
            <w:vAlign w:val="bottom"/>
            <w:hideMark/>
          </w:tcPr>
          <w:p w14:paraId="392568E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1.66</w:t>
            </w:r>
          </w:p>
        </w:tc>
        <w:tc>
          <w:tcPr>
            <w:tcW w:w="749" w:type="pct"/>
            <w:shd w:val="clear" w:color="auto" w:fill="auto"/>
            <w:noWrap/>
            <w:vAlign w:val="bottom"/>
            <w:hideMark/>
          </w:tcPr>
          <w:p w14:paraId="6B36257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15.68</w:t>
            </w:r>
          </w:p>
        </w:tc>
      </w:tr>
      <w:tr w:rsidR="005B5953" w:rsidRPr="005B12AE" w14:paraId="34E72338" w14:textId="77777777" w:rsidTr="00250DAC">
        <w:trPr>
          <w:trHeight w:val="20"/>
        </w:trPr>
        <w:tc>
          <w:tcPr>
            <w:tcW w:w="2681" w:type="pct"/>
            <w:shd w:val="clear" w:color="auto" w:fill="auto"/>
            <w:noWrap/>
            <w:vAlign w:val="bottom"/>
            <w:hideMark/>
          </w:tcPr>
          <w:p w14:paraId="39B1A6A6" w14:textId="77777777" w:rsidR="005B5953" w:rsidRPr="005B12AE" w:rsidRDefault="005B5953" w:rsidP="00250DAC">
            <w:pPr>
              <w:spacing w:after="0" w:line="240" w:lineRule="auto"/>
              <w:ind w:left="162"/>
              <w:rPr>
                <w:rFonts w:ascii="Times New Roman" w:hAnsi="Times New Roman"/>
                <w:sz w:val="20"/>
                <w:szCs w:val="20"/>
              </w:rPr>
            </w:pPr>
            <w:r w:rsidRPr="005B12AE">
              <w:rPr>
                <w:rFonts w:ascii="Times New Roman" w:hAnsi="Times New Roman"/>
                <w:sz w:val="20"/>
                <w:szCs w:val="20"/>
              </w:rPr>
              <w:t xml:space="preserve"> Short/ Excess provision Written off </w:t>
            </w:r>
          </w:p>
        </w:tc>
        <w:tc>
          <w:tcPr>
            <w:tcW w:w="773" w:type="pct"/>
            <w:shd w:val="clear" w:color="auto" w:fill="auto"/>
            <w:noWrap/>
            <w:vAlign w:val="bottom"/>
            <w:hideMark/>
          </w:tcPr>
          <w:p w14:paraId="6F52F31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97" w:type="pct"/>
            <w:shd w:val="clear" w:color="auto" w:fill="auto"/>
            <w:noWrap/>
            <w:vAlign w:val="bottom"/>
            <w:hideMark/>
          </w:tcPr>
          <w:p w14:paraId="5C44897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49" w:type="pct"/>
            <w:shd w:val="clear" w:color="auto" w:fill="auto"/>
            <w:noWrap/>
            <w:vAlign w:val="bottom"/>
            <w:hideMark/>
          </w:tcPr>
          <w:p w14:paraId="4C5A07B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0D1B9EA9" w14:textId="77777777" w:rsidTr="00250DAC">
        <w:trPr>
          <w:trHeight w:val="20"/>
        </w:trPr>
        <w:tc>
          <w:tcPr>
            <w:tcW w:w="2681" w:type="pct"/>
            <w:shd w:val="clear" w:color="auto" w:fill="auto"/>
            <w:noWrap/>
            <w:vAlign w:val="bottom"/>
            <w:hideMark/>
          </w:tcPr>
          <w:p w14:paraId="223EDB1C" w14:textId="77777777" w:rsidR="005B5953" w:rsidRPr="005B12AE" w:rsidRDefault="005B5953" w:rsidP="00250DAC">
            <w:pPr>
              <w:spacing w:after="0" w:line="240" w:lineRule="auto"/>
              <w:ind w:left="162"/>
              <w:rPr>
                <w:rFonts w:ascii="Times New Roman" w:hAnsi="Times New Roman"/>
                <w:sz w:val="20"/>
                <w:szCs w:val="20"/>
              </w:rPr>
            </w:pPr>
            <w:r w:rsidRPr="005B12AE">
              <w:rPr>
                <w:rFonts w:ascii="Times New Roman" w:hAnsi="Times New Roman"/>
                <w:sz w:val="20"/>
                <w:szCs w:val="20"/>
              </w:rPr>
              <w:t xml:space="preserve"> Deferred Tax Liabilities (Net) </w:t>
            </w:r>
          </w:p>
        </w:tc>
        <w:tc>
          <w:tcPr>
            <w:tcW w:w="773" w:type="pct"/>
            <w:shd w:val="clear" w:color="auto" w:fill="auto"/>
            <w:noWrap/>
            <w:vAlign w:val="bottom"/>
            <w:hideMark/>
          </w:tcPr>
          <w:p w14:paraId="60688AC0" w14:textId="77777777" w:rsidR="005B5953" w:rsidRPr="005B12AE" w:rsidRDefault="005B5953" w:rsidP="00250DAC">
            <w:pPr>
              <w:spacing w:after="0" w:line="240" w:lineRule="auto"/>
              <w:jc w:val="center"/>
              <w:rPr>
                <w:rFonts w:ascii="Times New Roman" w:hAnsi="Times New Roman"/>
                <w:sz w:val="20"/>
                <w:szCs w:val="20"/>
              </w:rPr>
            </w:pPr>
          </w:p>
        </w:tc>
        <w:tc>
          <w:tcPr>
            <w:tcW w:w="797" w:type="pct"/>
            <w:shd w:val="clear" w:color="auto" w:fill="auto"/>
            <w:noWrap/>
            <w:vAlign w:val="bottom"/>
            <w:hideMark/>
          </w:tcPr>
          <w:p w14:paraId="259FCFD4" w14:textId="77777777" w:rsidR="005B5953" w:rsidRPr="005B12AE" w:rsidRDefault="005B5953" w:rsidP="00250DAC">
            <w:pPr>
              <w:spacing w:after="0" w:line="240" w:lineRule="auto"/>
              <w:jc w:val="center"/>
              <w:rPr>
                <w:rFonts w:ascii="Times New Roman" w:hAnsi="Times New Roman"/>
                <w:sz w:val="20"/>
                <w:szCs w:val="20"/>
              </w:rPr>
            </w:pPr>
          </w:p>
        </w:tc>
        <w:tc>
          <w:tcPr>
            <w:tcW w:w="749" w:type="pct"/>
            <w:shd w:val="clear" w:color="auto" w:fill="auto"/>
            <w:noWrap/>
            <w:vAlign w:val="bottom"/>
            <w:hideMark/>
          </w:tcPr>
          <w:p w14:paraId="7EF4B6F4"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5018AA55" w14:textId="77777777" w:rsidTr="00250DAC">
        <w:trPr>
          <w:trHeight w:val="20"/>
        </w:trPr>
        <w:tc>
          <w:tcPr>
            <w:tcW w:w="2681" w:type="pct"/>
            <w:shd w:val="clear" w:color="auto" w:fill="auto"/>
            <w:noWrap/>
            <w:vAlign w:val="bottom"/>
            <w:hideMark/>
          </w:tcPr>
          <w:p w14:paraId="77A28226" w14:textId="77777777" w:rsidR="005B5953" w:rsidRPr="005B12AE" w:rsidRDefault="005B5953" w:rsidP="00250DAC">
            <w:pPr>
              <w:spacing w:after="0" w:line="240" w:lineRule="auto"/>
              <w:ind w:left="162"/>
              <w:rPr>
                <w:rFonts w:ascii="Times New Roman" w:hAnsi="Times New Roman"/>
                <w:sz w:val="20"/>
                <w:szCs w:val="20"/>
              </w:rPr>
            </w:pPr>
            <w:r w:rsidRPr="005B12AE">
              <w:rPr>
                <w:rFonts w:ascii="Times New Roman" w:hAnsi="Times New Roman"/>
                <w:sz w:val="20"/>
                <w:szCs w:val="20"/>
              </w:rPr>
              <w:t xml:space="preserve"> Profit on sale of Car </w:t>
            </w:r>
          </w:p>
        </w:tc>
        <w:tc>
          <w:tcPr>
            <w:tcW w:w="773" w:type="pct"/>
            <w:shd w:val="clear" w:color="auto" w:fill="auto"/>
            <w:noWrap/>
            <w:vAlign w:val="bottom"/>
            <w:hideMark/>
          </w:tcPr>
          <w:p w14:paraId="3067D3F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97" w:type="pct"/>
            <w:shd w:val="clear" w:color="auto" w:fill="auto"/>
            <w:noWrap/>
            <w:vAlign w:val="bottom"/>
            <w:hideMark/>
          </w:tcPr>
          <w:p w14:paraId="1A3B241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49" w:type="pct"/>
            <w:shd w:val="clear" w:color="auto" w:fill="auto"/>
            <w:noWrap/>
            <w:vAlign w:val="bottom"/>
            <w:hideMark/>
          </w:tcPr>
          <w:p w14:paraId="69E34D48"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62DD166C" w14:textId="77777777" w:rsidTr="00250DAC">
        <w:trPr>
          <w:trHeight w:val="20"/>
        </w:trPr>
        <w:tc>
          <w:tcPr>
            <w:tcW w:w="2681" w:type="pct"/>
            <w:shd w:val="clear" w:color="auto" w:fill="auto"/>
            <w:noWrap/>
            <w:vAlign w:val="bottom"/>
            <w:hideMark/>
          </w:tcPr>
          <w:p w14:paraId="5D4B5D49" w14:textId="77777777" w:rsidR="005B5953" w:rsidRPr="005B12AE" w:rsidRDefault="005B5953" w:rsidP="00250DAC">
            <w:pPr>
              <w:spacing w:after="0" w:line="240" w:lineRule="auto"/>
              <w:ind w:left="162"/>
              <w:rPr>
                <w:rFonts w:ascii="Times New Roman" w:hAnsi="Times New Roman"/>
                <w:sz w:val="20"/>
                <w:szCs w:val="20"/>
              </w:rPr>
            </w:pPr>
            <w:r w:rsidRPr="005B12AE">
              <w:rPr>
                <w:rFonts w:ascii="Times New Roman" w:hAnsi="Times New Roman"/>
                <w:sz w:val="20"/>
                <w:szCs w:val="20"/>
              </w:rPr>
              <w:t xml:space="preserve"> Income Tax Provision </w:t>
            </w:r>
          </w:p>
        </w:tc>
        <w:tc>
          <w:tcPr>
            <w:tcW w:w="773" w:type="pct"/>
            <w:shd w:val="clear" w:color="auto" w:fill="auto"/>
            <w:noWrap/>
            <w:vAlign w:val="bottom"/>
            <w:hideMark/>
          </w:tcPr>
          <w:p w14:paraId="2F46B4A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314.08</w:t>
            </w:r>
          </w:p>
        </w:tc>
        <w:tc>
          <w:tcPr>
            <w:tcW w:w="797" w:type="pct"/>
            <w:shd w:val="clear" w:color="auto" w:fill="auto"/>
            <w:noWrap/>
            <w:vAlign w:val="bottom"/>
            <w:hideMark/>
          </w:tcPr>
          <w:p w14:paraId="468C48A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152.97</w:t>
            </w:r>
          </w:p>
        </w:tc>
        <w:tc>
          <w:tcPr>
            <w:tcW w:w="749" w:type="pct"/>
            <w:shd w:val="clear" w:color="auto" w:fill="auto"/>
            <w:noWrap/>
            <w:vAlign w:val="bottom"/>
            <w:hideMark/>
          </w:tcPr>
          <w:p w14:paraId="0ECCD39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55DD9F85" w14:textId="77777777" w:rsidTr="00250DAC">
        <w:trPr>
          <w:trHeight w:val="20"/>
        </w:trPr>
        <w:tc>
          <w:tcPr>
            <w:tcW w:w="2681" w:type="pct"/>
            <w:shd w:val="clear" w:color="auto" w:fill="auto"/>
            <w:noWrap/>
            <w:vAlign w:val="bottom"/>
            <w:hideMark/>
          </w:tcPr>
          <w:p w14:paraId="56B228A4"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 xml:space="preserve">Operating profit before working capital changes </w:t>
            </w:r>
          </w:p>
        </w:tc>
        <w:tc>
          <w:tcPr>
            <w:tcW w:w="773" w:type="pct"/>
            <w:shd w:val="clear" w:color="auto" w:fill="auto"/>
            <w:noWrap/>
            <w:vAlign w:val="bottom"/>
            <w:hideMark/>
          </w:tcPr>
          <w:p w14:paraId="0BCDFBA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2,009.41</w:t>
            </w:r>
          </w:p>
        </w:tc>
        <w:tc>
          <w:tcPr>
            <w:tcW w:w="797" w:type="pct"/>
            <w:shd w:val="clear" w:color="auto" w:fill="auto"/>
            <w:noWrap/>
            <w:vAlign w:val="bottom"/>
            <w:hideMark/>
          </w:tcPr>
          <w:p w14:paraId="783B70CE"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1,027.31</w:t>
            </w:r>
          </w:p>
        </w:tc>
        <w:tc>
          <w:tcPr>
            <w:tcW w:w="749" w:type="pct"/>
            <w:shd w:val="clear" w:color="auto" w:fill="auto"/>
            <w:noWrap/>
            <w:vAlign w:val="bottom"/>
            <w:hideMark/>
          </w:tcPr>
          <w:p w14:paraId="1B6391D0"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500.76</w:t>
            </w:r>
          </w:p>
        </w:tc>
      </w:tr>
      <w:tr w:rsidR="005B5953" w:rsidRPr="005B12AE" w14:paraId="4EF5E5F0" w14:textId="77777777" w:rsidTr="00250DAC">
        <w:trPr>
          <w:trHeight w:val="20"/>
        </w:trPr>
        <w:tc>
          <w:tcPr>
            <w:tcW w:w="2681" w:type="pct"/>
            <w:shd w:val="clear" w:color="auto" w:fill="auto"/>
            <w:noWrap/>
            <w:vAlign w:val="bottom"/>
            <w:hideMark/>
          </w:tcPr>
          <w:p w14:paraId="323D8BAE"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Changes in Working Capital </w:t>
            </w:r>
          </w:p>
        </w:tc>
        <w:tc>
          <w:tcPr>
            <w:tcW w:w="773" w:type="pct"/>
            <w:shd w:val="clear" w:color="auto" w:fill="auto"/>
            <w:noWrap/>
            <w:vAlign w:val="bottom"/>
            <w:hideMark/>
          </w:tcPr>
          <w:p w14:paraId="7E246E4B" w14:textId="77777777" w:rsidR="005B5953" w:rsidRPr="005B12AE" w:rsidRDefault="005B5953" w:rsidP="00250DAC">
            <w:pPr>
              <w:spacing w:after="0" w:line="240" w:lineRule="auto"/>
              <w:jc w:val="center"/>
              <w:rPr>
                <w:rFonts w:ascii="Times New Roman" w:hAnsi="Times New Roman"/>
                <w:sz w:val="20"/>
                <w:szCs w:val="20"/>
              </w:rPr>
            </w:pPr>
          </w:p>
        </w:tc>
        <w:tc>
          <w:tcPr>
            <w:tcW w:w="797" w:type="pct"/>
            <w:shd w:val="clear" w:color="auto" w:fill="auto"/>
            <w:noWrap/>
            <w:vAlign w:val="bottom"/>
            <w:hideMark/>
          </w:tcPr>
          <w:p w14:paraId="56A83C83" w14:textId="77777777" w:rsidR="005B5953" w:rsidRPr="005B12AE" w:rsidRDefault="005B5953" w:rsidP="00250DAC">
            <w:pPr>
              <w:spacing w:after="0" w:line="240" w:lineRule="auto"/>
              <w:jc w:val="center"/>
              <w:rPr>
                <w:rFonts w:ascii="Times New Roman" w:hAnsi="Times New Roman"/>
                <w:sz w:val="20"/>
                <w:szCs w:val="20"/>
              </w:rPr>
            </w:pPr>
          </w:p>
        </w:tc>
        <w:tc>
          <w:tcPr>
            <w:tcW w:w="749" w:type="pct"/>
            <w:shd w:val="clear" w:color="auto" w:fill="auto"/>
            <w:noWrap/>
            <w:vAlign w:val="bottom"/>
            <w:hideMark/>
          </w:tcPr>
          <w:p w14:paraId="0F2664CE"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7C859E88" w14:textId="77777777" w:rsidTr="00250DAC">
        <w:trPr>
          <w:trHeight w:val="20"/>
        </w:trPr>
        <w:tc>
          <w:tcPr>
            <w:tcW w:w="2681" w:type="pct"/>
            <w:shd w:val="clear" w:color="auto" w:fill="auto"/>
            <w:noWrap/>
            <w:vAlign w:val="bottom"/>
            <w:hideMark/>
          </w:tcPr>
          <w:p w14:paraId="4A82FD61"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(Increase)/Decrease in Trade Receivables </w:t>
            </w:r>
          </w:p>
        </w:tc>
        <w:tc>
          <w:tcPr>
            <w:tcW w:w="773" w:type="pct"/>
            <w:shd w:val="clear" w:color="auto" w:fill="auto"/>
            <w:noWrap/>
            <w:vAlign w:val="bottom"/>
            <w:hideMark/>
          </w:tcPr>
          <w:p w14:paraId="1E3F603C"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(101.85)</w:t>
            </w:r>
          </w:p>
        </w:tc>
        <w:tc>
          <w:tcPr>
            <w:tcW w:w="797" w:type="pct"/>
            <w:shd w:val="clear" w:color="auto" w:fill="auto"/>
            <w:noWrap/>
            <w:vAlign w:val="bottom"/>
            <w:hideMark/>
          </w:tcPr>
          <w:p w14:paraId="005BAA27"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910.37</w:t>
            </w:r>
          </w:p>
        </w:tc>
        <w:tc>
          <w:tcPr>
            <w:tcW w:w="749" w:type="pct"/>
            <w:shd w:val="clear" w:color="auto" w:fill="auto"/>
            <w:noWrap/>
            <w:vAlign w:val="bottom"/>
            <w:hideMark/>
          </w:tcPr>
          <w:p w14:paraId="579B512A"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(845.84)</w:t>
            </w:r>
          </w:p>
        </w:tc>
      </w:tr>
      <w:tr w:rsidR="005B5953" w:rsidRPr="005B12AE" w14:paraId="4D3D7B77" w14:textId="77777777" w:rsidTr="00250DAC">
        <w:trPr>
          <w:trHeight w:val="20"/>
        </w:trPr>
        <w:tc>
          <w:tcPr>
            <w:tcW w:w="2681" w:type="pct"/>
            <w:shd w:val="clear" w:color="auto" w:fill="auto"/>
            <w:noWrap/>
            <w:vAlign w:val="bottom"/>
            <w:hideMark/>
          </w:tcPr>
          <w:p w14:paraId="2D1FD3AC"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(Increase)/Decrease in Inventory </w:t>
            </w:r>
          </w:p>
        </w:tc>
        <w:tc>
          <w:tcPr>
            <w:tcW w:w="773" w:type="pct"/>
            <w:shd w:val="clear" w:color="auto" w:fill="auto"/>
            <w:noWrap/>
            <w:vAlign w:val="bottom"/>
            <w:hideMark/>
          </w:tcPr>
          <w:p w14:paraId="39084886"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(2,811.77)</w:t>
            </w:r>
          </w:p>
        </w:tc>
        <w:tc>
          <w:tcPr>
            <w:tcW w:w="797" w:type="pct"/>
            <w:shd w:val="clear" w:color="auto" w:fill="auto"/>
            <w:noWrap/>
            <w:vAlign w:val="bottom"/>
            <w:hideMark/>
          </w:tcPr>
          <w:p w14:paraId="0DD30AC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(901.50)</w:t>
            </w:r>
          </w:p>
        </w:tc>
        <w:tc>
          <w:tcPr>
            <w:tcW w:w="749" w:type="pct"/>
            <w:shd w:val="clear" w:color="auto" w:fill="auto"/>
            <w:noWrap/>
            <w:vAlign w:val="bottom"/>
            <w:hideMark/>
          </w:tcPr>
          <w:p w14:paraId="7450724A"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(210.17)</w:t>
            </w:r>
          </w:p>
        </w:tc>
      </w:tr>
      <w:tr w:rsidR="005B5953" w:rsidRPr="005B12AE" w14:paraId="27170464" w14:textId="77777777" w:rsidTr="00250DAC">
        <w:trPr>
          <w:trHeight w:val="20"/>
        </w:trPr>
        <w:tc>
          <w:tcPr>
            <w:tcW w:w="2681" w:type="pct"/>
            <w:shd w:val="clear" w:color="auto" w:fill="auto"/>
            <w:noWrap/>
            <w:vAlign w:val="bottom"/>
            <w:hideMark/>
          </w:tcPr>
          <w:p w14:paraId="4AB6645D"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(Increase)/Decrease in Short Term Loans &amp; Advances </w:t>
            </w:r>
          </w:p>
        </w:tc>
        <w:tc>
          <w:tcPr>
            <w:tcW w:w="773" w:type="pct"/>
            <w:shd w:val="clear" w:color="auto" w:fill="auto"/>
            <w:noWrap/>
            <w:vAlign w:val="bottom"/>
            <w:hideMark/>
          </w:tcPr>
          <w:p w14:paraId="52351F59"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(2,511.12)</w:t>
            </w:r>
          </w:p>
        </w:tc>
        <w:tc>
          <w:tcPr>
            <w:tcW w:w="797" w:type="pct"/>
            <w:shd w:val="clear" w:color="auto" w:fill="auto"/>
            <w:noWrap/>
            <w:vAlign w:val="bottom"/>
            <w:hideMark/>
          </w:tcPr>
          <w:p w14:paraId="5B0071D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153.84</w:t>
            </w:r>
          </w:p>
        </w:tc>
        <w:tc>
          <w:tcPr>
            <w:tcW w:w="749" w:type="pct"/>
            <w:shd w:val="clear" w:color="auto" w:fill="auto"/>
            <w:noWrap/>
            <w:vAlign w:val="bottom"/>
            <w:hideMark/>
          </w:tcPr>
          <w:p w14:paraId="3B1B72FC"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105.84</w:t>
            </w:r>
          </w:p>
        </w:tc>
      </w:tr>
      <w:tr w:rsidR="005B5953" w:rsidRPr="005B12AE" w14:paraId="4F6A0B66" w14:textId="77777777" w:rsidTr="00250DAC">
        <w:trPr>
          <w:trHeight w:val="20"/>
        </w:trPr>
        <w:tc>
          <w:tcPr>
            <w:tcW w:w="2681" w:type="pct"/>
            <w:shd w:val="clear" w:color="auto" w:fill="auto"/>
            <w:noWrap/>
            <w:vAlign w:val="bottom"/>
            <w:hideMark/>
          </w:tcPr>
          <w:p w14:paraId="391037CF"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(Increase)/Decrease in Other Current Assets  </w:t>
            </w:r>
          </w:p>
        </w:tc>
        <w:tc>
          <w:tcPr>
            <w:tcW w:w="773" w:type="pct"/>
            <w:shd w:val="clear" w:color="auto" w:fill="auto"/>
            <w:noWrap/>
            <w:vAlign w:val="bottom"/>
            <w:hideMark/>
          </w:tcPr>
          <w:p w14:paraId="3E39E4FA"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(39.80)</w:t>
            </w:r>
          </w:p>
        </w:tc>
        <w:tc>
          <w:tcPr>
            <w:tcW w:w="797" w:type="pct"/>
            <w:shd w:val="clear" w:color="auto" w:fill="auto"/>
            <w:noWrap/>
            <w:vAlign w:val="bottom"/>
            <w:hideMark/>
          </w:tcPr>
          <w:p w14:paraId="4E12306C"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53.21</w:t>
            </w:r>
          </w:p>
        </w:tc>
        <w:tc>
          <w:tcPr>
            <w:tcW w:w="749" w:type="pct"/>
            <w:shd w:val="clear" w:color="auto" w:fill="auto"/>
            <w:noWrap/>
            <w:vAlign w:val="bottom"/>
            <w:hideMark/>
          </w:tcPr>
          <w:p w14:paraId="2AD884C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0.37</w:t>
            </w:r>
          </w:p>
        </w:tc>
      </w:tr>
      <w:tr w:rsidR="005B5953" w:rsidRPr="005B12AE" w14:paraId="48DD4311" w14:textId="77777777" w:rsidTr="00250DAC">
        <w:trPr>
          <w:trHeight w:val="20"/>
        </w:trPr>
        <w:tc>
          <w:tcPr>
            <w:tcW w:w="2681" w:type="pct"/>
            <w:shd w:val="clear" w:color="auto" w:fill="auto"/>
            <w:noWrap/>
            <w:vAlign w:val="bottom"/>
            <w:hideMark/>
          </w:tcPr>
          <w:p w14:paraId="32442ABD"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Increase/(Decrease) in Trade Payables </w:t>
            </w:r>
          </w:p>
        </w:tc>
        <w:tc>
          <w:tcPr>
            <w:tcW w:w="773" w:type="pct"/>
            <w:shd w:val="clear" w:color="auto" w:fill="auto"/>
            <w:noWrap/>
            <w:vAlign w:val="bottom"/>
            <w:hideMark/>
          </w:tcPr>
          <w:p w14:paraId="7C285099"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(8.99)</w:t>
            </w:r>
          </w:p>
        </w:tc>
        <w:tc>
          <w:tcPr>
            <w:tcW w:w="797" w:type="pct"/>
            <w:shd w:val="clear" w:color="auto" w:fill="auto"/>
            <w:noWrap/>
            <w:vAlign w:val="bottom"/>
            <w:hideMark/>
          </w:tcPr>
          <w:p w14:paraId="31A909C6"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(204.69)</w:t>
            </w:r>
          </w:p>
        </w:tc>
        <w:tc>
          <w:tcPr>
            <w:tcW w:w="749" w:type="pct"/>
            <w:shd w:val="clear" w:color="auto" w:fill="auto"/>
            <w:noWrap/>
            <w:vAlign w:val="bottom"/>
            <w:hideMark/>
          </w:tcPr>
          <w:p w14:paraId="3CE8C51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904.39</w:t>
            </w:r>
          </w:p>
        </w:tc>
      </w:tr>
      <w:tr w:rsidR="005B5953" w:rsidRPr="005B12AE" w14:paraId="0D7ED9C0" w14:textId="77777777" w:rsidTr="00250DAC">
        <w:trPr>
          <w:trHeight w:val="20"/>
        </w:trPr>
        <w:tc>
          <w:tcPr>
            <w:tcW w:w="2681" w:type="pct"/>
            <w:shd w:val="clear" w:color="auto" w:fill="auto"/>
            <w:noWrap/>
            <w:vAlign w:val="bottom"/>
            <w:hideMark/>
          </w:tcPr>
          <w:p w14:paraId="6B62C2DB"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Increase/(Decrease) in Other Current Liabilities </w:t>
            </w:r>
          </w:p>
        </w:tc>
        <w:tc>
          <w:tcPr>
            <w:tcW w:w="773" w:type="pct"/>
            <w:shd w:val="clear" w:color="auto" w:fill="auto"/>
            <w:noWrap/>
            <w:vAlign w:val="bottom"/>
            <w:hideMark/>
          </w:tcPr>
          <w:p w14:paraId="46DA4A0A"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484.28</w:t>
            </w:r>
          </w:p>
        </w:tc>
        <w:tc>
          <w:tcPr>
            <w:tcW w:w="797" w:type="pct"/>
            <w:shd w:val="clear" w:color="auto" w:fill="auto"/>
            <w:noWrap/>
            <w:vAlign w:val="bottom"/>
            <w:hideMark/>
          </w:tcPr>
          <w:p w14:paraId="3F572C7D"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(80.49)</w:t>
            </w:r>
          </w:p>
        </w:tc>
        <w:tc>
          <w:tcPr>
            <w:tcW w:w="749" w:type="pct"/>
            <w:shd w:val="clear" w:color="auto" w:fill="auto"/>
            <w:noWrap/>
            <w:vAlign w:val="bottom"/>
            <w:hideMark/>
          </w:tcPr>
          <w:p w14:paraId="0E527C7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193.36</w:t>
            </w:r>
          </w:p>
        </w:tc>
      </w:tr>
      <w:tr w:rsidR="005B5953" w:rsidRPr="005B12AE" w14:paraId="70B34CB5" w14:textId="77777777" w:rsidTr="00250DAC">
        <w:trPr>
          <w:trHeight w:val="20"/>
        </w:trPr>
        <w:tc>
          <w:tcPr>
            <w:tcW w:w="2681" w:type="pct"/>
            <w:shd w:val="clear" w:color="auto" w:fill="auto"/>
            <w:noWrap/>
            <w:vAlign w:val="bottom"/>
            <w:hideMark/>
          </w:tcPr>
          <w:p w14:paraId="56744469"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Increase/(Decrease) in Short Term Provisions, etc </w:t>
            </w:r>
          </w:p>
        </w:tc>
        <w:tc>
          <w:tcPr>
            <w:tcW w:w="773" w:type="pct"/>
            <w:shd w:val="clear" w:color="auto" w:fill="auto"/>
            <w:noWrap/>
            <w:vAlign w:val="bottom"/>
            <w:hideMark/>
          </w:tcPr>
          <w:p w14:paraId="457149AF"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155.44</w:t>
            </w:r>
          </w:p>
        </w:tc>
        <w:tc>
          <w:tcPr>
            <w:tcW w:w="797" w:type="pct"/>
            <w:shd w:val="clear" w:color="auto" w:fill="auto"/>
            <w:noWrap/>
            <w:vAlign w:val="bottom"/>
            <w:hideMark/>
          </w:tcPr>
          <w:p w14:paraId="26249ABD"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99.51</w:t>
            </w:r>
          </w:p>
        </w:tc>
        <w:tc>
          <w:tcPr>
            <w:tcW w:w="749" w:type="pct"/>
            <w:shd w:val="clear" w:color="auto" w:fill="auto"/>
            <w:noWrap/>
            <w:vAlign w:val="bottom"/>
            <w:hideMark/>
          </w:tcPr>
          <w:p w14:paraId="6551082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0F3164AA" w14:textId="77777777" w:rsidTr="00250DAC">
        <w:trPr>
          <w:trHeight w:val="20"/>
        </w:trPr>
        <w:tc>
          <w:tcPr>
            <w:tcW w:w="2681" w:type="pct"/>
            <w:shd w:val="clear" w:color="auto" w:fill="auto"/>
            <w:noWrap/>
            <w:vAlign w:val="bottom"/>
            <w:hideMark/>
          </w:tcPr>
          <w:p w14:paraId="2992BBF5"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b/>
                <w:bCs/>
                <w:sz w:val="20"/>
                <w:szCs w:val="20"/>
              </w:rPr>
              <w:t xml:space="preserve"> Cash generated from operations </w:t>
            </w:r>
          </w:p>
        </w:tc>
        <w:tc>
          <w:tcPr>
            <w:tcW w:w="773" w:type="pct"/>
            <w:shd w:val="clear" w:color="auto" w:fill="auto"/>
            <w:noWrap/>
            <w:vAlign w:val="bottom"/>
            <w:hideMark/>
          </w:tcPr>
          <w:p w14:paraId="7D4177BF"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(2,824.41)</w:t>
            </w:r>
          </w:p>
        </w:tc>
        <w:tc>
          <w:tcPr>
            <w:tcW w:w="797" w:type="pct"/>
            <w:shd w:val="clear" w:color="auto" w:fill="auto"/>
            <w:noWrap/>
            <w:vAlign w:val="bottom"/>
            <w:hideMark/>
          </w:tcPr>
          <w:p w14:paraId="539BE11B"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1,057.56</w:t>
            </w:r>
          </w:p>
        </w:tc>
        <w:tc>
          <w:tcPr>
            <w:tcW w:w="749" w:type="pct"/>
            <w:shd w:val="clear" w:color="auto" w:fill="auto"/>
            <w:noWrap/>
            <w:vAlign w:val="bottom"/>
            <w:hideMark/>
          </w:tcPr>
          <w:p w14:paraId="1E17B96E"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648.72</w:t>
            </w:r>
          </w:p>
        </w:tc>
      </w:tr>
      <w:tr w:rsidR="005B5953" w:rsidRPr="005B12AE" w14:paraId="412AF969" w14:textId="77777777" w:rsidTr="00250DAC">
        <w:trPr>
          <w:trHeight w:val="20"/>
        </w:trPr>
        <w:tc>
          <w:tcPr>
            <w:tcW w:w="2681" w:type="pct"/>
            <w:shd w:val="clear" w:color="auto" w:fill="auto"/>
            <w:noWrap/>
            <w:vAlign w:val="bottom"/>
            <w:hideMark/>
          </w:tcPr>
          <w:p w14:paraId="74EF8DF8"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Net cash flow from operating activities                                    </w:t>
            </w:r>
            <w:r w:rsidRPr="005B12AE">
              <w:rPr>
                <w:rFonts w:ascii="Times New Roman" w:hAnsi="Times New Roman"/>
                <w:b/>
                <w:bCs/>
                <w:sz w:val="20"/>
                <w:szCs w:val="20"/>
              </w:rPr>
              <w:t xml:space="preserve"> A</w:t>
            </w:r>
            <w:r w:rsidRPr="005B12AE">
              <w:rPr>
                <w:rFonts w:ascii="Times New Roman" w:hAnsi="Times New Roman"/>
                <w:sz w:val="20"/>
                <w:szCs w:val="20"/>
              </w:rPr>
              <w:t xml:space="preserve"> </w:t>
            </w:r>
          </w:p>
        </w:tc>
        <w:tc>
          <w:tcPr>
            <w:tcW w:w="773" w:type="pct"/>
            <w:shd w:val="clear" w:color="auto" w:fill="auto"/>
            <w:noWrap/>
            <w:vAlign w:val="bottom"/>
            <w:hideMark/>
          </w:tcPr>
          <w:p w14:paraId="2526567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(2,824.41)</w:t>
            </w:r>
          </w:p>
        </w:tc>
        <w:tc>
          <w:tcPr>
            <w:tcW w:w="797" w:type="pct"/>
            <w:shd w:val="clear" w:color="auto" w:fill="auto"/>
            <w:noWrap/>
            <w:vAlign w:val="bottom"/>
            <w:hideMark/>
          </w:tcPr>
          <w:p w14:paraId="4AD0A26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1,057.56</w:t>
            </w:r>
          </w:p>
        </w:tc>
        <w:tc>
          <w:tcPr>
            <w:tcW w:w="749" w:type="pct"/>
            <w:shd w:val="clear" w:color="auto" w:fill="auto"/>
            <w:noWrap/>
            <w:vAlign w:val="bottom"/>
            <w:hideMark/>
          </w:tcPr>
          <w:p w14:paraId="40F2E43E"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648.72</w:t>
            </w:r>
          </w:p>
        </w:tc>
      </w:tr>
      <w:tr w:rsidR="005B5953" w:rsidRPr="005B12AE" w14:paraId="2255D7DF" w14:textId="77777777" w:rsidTr="00250DAC">
        <w:trPr>
          <w:trHeight w:val="20"/>
        </w:trPr>
        <w:tc>
          <w:tcPr>
            <w:tcW w:w="2681" w:type="pct"/>
            <w:shd w:val="clear" w:color="auto" w:fill="auto"/>
            <w:noWrap/>
            <w:vAlign w:val="bottom"/>
            <w:hideMark/>
          </w:tcPr>
          <w:p w14:paraId="28AF17A6"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B) Cash Flow From Investing Activities: </w:t>
            </w:r>
          </w:p>
        </w:tc>
        <w:tc>
          <w:tcPr>
            <w:tcW w:w="773" w:type="pct"/>
            <w:shd w:val="clear" w:color="auto" w:fill="auto"/>
            <w:noWrap/>
            <w:vAlign w:val="bottom"/>
            <w:hideMark/>
          </w:tcPr>
          <w:p w14:paraId="602B015C" w14:textId="77777777" w:rsidR="005B5953" w:rsidRPr="005B12AE" w:rsidRDefault="005B5953" w:rsidP="00250DAC">
            <w:pPr>
              <w:spacing w:after="0" w:line="240" w:lineRule="auto"/>
              <w:jc w:val="center"/>
              <w:rPr>
                <w:rFonts w:ascii="Times New Roman" w:hAnsi="Times New Roman"/>
                <w:sz w:val="20"/>
                <w:szCs w:val="20"/>
              </w:rPr>
            </w:pPr>
          </w:p>
        </w:tc>
        <w:tc>
          <w:tcPr>
            <w:tcW w:w="797" w:type="pct"/>
            <w:shd w:val="clear" w:color="auto" w:fill="auto"/>
            <w:noWrap/>
            <w:vAlign w:val="bottom"/>
            <w:hideMark/>
          </w:tcPr>
          <w:p w14:paraId="6CE02041" w14:textId="77777777" w:rsidR="005B5953" w:rsidRPr="005B12AE" w:rsidRDefault="005B5953" w:rsidP="00250DAC">
            <w:pPr>
              <w:spacing w:after="0" w:line="240" w:lineRule="auto"/>
              <w:jc w:val="center"/>
              <w:rPr>
                <w:rFonts w:ascii="Times New Roman" w:hAnsi="Times New Roman"/>
                <w:sz w:val="20"/>
                <w:szCs w:val="20"/>
              </w:rPr>
            </w:pPr>
          </w:p>
        </w:tc>
        <w:tc>
          <w:tcPr>
            <w:tcW w:w="749" w:type="pct"/>
            <w:shd w:val="clear" w:color="auto" w:fill="auto"/>
            <w:noWrap/>
            <w:vAlign w:val="bottom"/>
            <w:hideMark/>
          </w:tcPr>
          <w:p w14:paraId="6D4244C9"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47116858" w14:textId="77777777" w:rsidTr="00250DAC">
        <w:trPr>
          <w:trHeight w:val="20"/>
        </w:trPr>
        <w:tc>
          <w:tcPr>
            <w:tcW w:w="2681" w:type="pct"/>
            <w:shd w:val="clear" w:color="auto" w:fill="auto"/>
            <w:noWrap/>
            <w:vAlign w:val="bottom"/>
            <w:hideMark/>
          </w:tcPr>
          <w:p w14:paraId="52473B6F"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Purchase of Fixed Assets including of CWIP  </w:t>
            </w:r>
          </w:p>
        </w:tc>
        <w:tc>
          <w:tcPr>
            <w:tcW w:w="773" w:type="pct"/>
            <w:shd w:val="clear" w:color="auto" w:fill="auto"/>
            <w:noWrap/>
            <w:vAlign w:val="bottom"/>
            <w:hideMark/>
          </w:tcPr>
          <w:p w14:paraId="11BFFEB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(139.28)</w:t>
            </w:r>
          </w:p>
        </w:tc>
        <w:tc>
          <w:tcPr>
            <w:tcW w:w="797" w:type="pct"/>
            <w:shd w:val="clear" w:color="auto" w:fill="auto"/>
            <w:noWrap/>
            <w:vAlign w:val="bottom"/>
            <w:hideMark/>
          </w:tcPr>
          <w:p w14:paraId="0D9BBA2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(235.71)</w:t>
            </w:r>
          </w:p>
        </w:tc>
        <w:tc>
          <w:tcPr>
            <w:tcW w:w="749" w:type="pct"/>
            <w:shd w:val="clear" w:color="auto" w:fill="auto"/>
            <w:noWrap/>
            <w:vAlign w:val="bottom"/>
            <w:hideMark/>
          </w:tcPr>
          <w:p w14:paraId="2A42285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(160.65)</w:t>
            </w:r>
          </w:p>
        </w:tc>
      </w:tr>
      <w:tr w:rsidR="005B5953" w:rsidRPr="005B12AE" w14:paraId="37EBDB5F" w14:textId="77777777" w:rsidTr="00250DAC">
        <w:trPr>
          <w:trHeight w:val="20"/>
        </w:trPr>
        <w:tc>
          <w:tcPr>
            <w:tcW w:w="2681" w:type="pct"/>
            <w:shd w:val="clear" w:color="auto" w:fill="auto"/>
            <w:noWrap/>
            <w:vAlign w:val="bottom"/>
            <w:hideMark/>
          </w:tcPr>
          <w:p w14:paraId="01DCC54D"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Sale of Fixed Assets  </w:t>
            </w:r>
          </w:p>
        </w:tc>
        <w:tc>
          <w:tcPr>
            <w:tcW w:w="773" w:type="pct"/>
            <w:shd w:val="clear" w:color="auto" w:fill="auto"/>
            <w:noWrap/>
            <w:vAlign w:val="bottom"/>
            <w:hideMark/>
          </w:tcPr>
          <w:p w14:paraId="0D89B97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30.63</w:t>
            </w:r>
          </w:p>
        </w:tc>
        <w:tc>
          <w:tcPr>
            <w:tcW w:w="797" w:type="pct"/>
            <w:shd w:val="clear" w:color="auto" w:fill="auto"/>
            <w:noWrap/>
            <w:vAlign w:val="bottom"/>
            <w:hideMark/>
          </w:tcPr>
          <w:p w14:paraId="779D07A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6.30</w:t>
            </w:r>
          </w:p>
        </w:tc>
        <w:tc>
          <w:tcPr>
            <w:tcW w:w="749" w:type="pct"/>
            <w:shd w:val="clear" w:color="auto" w:fill="auto"/>
            <w:noWrap/>
            <w:vAlign w:val="bottom"/>
            <w:hideMark/>
          </w:tcPr>
          <w:p w14:paraId="5E3BD1C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0.61</w:t>
            </w:r>
          </w:p>
        </w:tc>
      </w:tr>
      <w:tr w:rsidR="005B5953" w:rsidRPr="005B12AE" w14:paraId="4D6F24AA" w14:textId="77777777" w:rsidTr="00250DAC">
        <w:trPr>
          <w:trHeight w:val="20"/>
        </w:trPr>
        <w:tc>
          <w:tcPr>
            <w:tcW w:w="2681" w:type="pct"/>
            <w:shd w:val="clear" w:color="auto" w:fill="auto"/>
            <w:noWrap/>
            <w:vAlign w:val="bottom"/>
            <w:hideMark/>
          </w:tcPr>
          <w:p w14:paraId="6E4B8CB2"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Investment made/Sold during the year </w:t>
            </w:r>
          </w:p>
        </w:tc>
        <w:tc>
          <w:tcPr>
            <w:tcW w:w="773" w:type="pct"/>
            <w:shd w:val="clear" w:color="auto" w:fill="auto"/>
            <w:noWrap/>
            <w:vAlign w:val="bottom"/>
            <w:hideMark/>
          </w:tcPr>
          <w:p w14:paraId="636189EA"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(19.22)</w:t>
            </w:r>
          </w:p>
        </w:tc>
        <w:tc>
          <w:tcPr>
            <w:tcW w:w="797" w:type="pct"/>
            <w:shd w:val="clear" w:color="auto" w:fill="auto"/>
            <w:noWrap/>
            <w:vAlign w:val="bottom"/>
            <w:hideMark/>
          </w:tcPr>
          <w:p w14:paraId="2FF4BC96"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(6.25)</w:t>
            </w:r>
          </w:p>
        </w:tc>
        <w:tc>
          <w:tcPr>
            <w:tcW w:w="749" w:type="pct"/>
            <w:shd w:val="clear" w:color="auto" w:fill="auto"/>
            <w:noWrap/>
            <w:vAlign w:val="bottom"/>
            <w:hideMark/>
          </w:tcPr>
          <w:p w14:paraId="5AF3938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512F6622" w14:textId="77777777" w:rsidTr="00250DAC">
        <w:trPr>
          <w:trHeight w:val="20"/>
        </w:trPr>
        <w:tc>
          <w:tcPr>
            <w:tcW w:w="2681" w:type="pct"/>
            <w:shd w:val="clear" w:color="auto" w:fill="auto"/>
            <w:noWrap/>
            <w:vAlign w:val="bottom"/>
            <w:hideMark/>
          </w:tcPr>
          <w:p w14:paraId="3BDE754F"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Dividend Income </w:t>
            </w:r>
          </w:p>
        </w:tc>
        <w:tc>
          <w:tcPr>
            <w:tcW w:w="773" w:type="pct"/>
            <w:shd w:val="clear" w:color="auto" w:fill="auto"/>
            <w:noWrap/>
            <w:vAlign w:val="bottom"/>
            <w:hideMark/>
          </w:tcPr>
          <w:p w14:paraId="6047329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97" w:type="pct"/>
            <w:shd w:val="clear" w:color="auto" w:fill="auto"/>
            <w:noWrap/>
            <w:vAlign w:val="bottom"/>
            <w:hideMark/>
          </w:tcPr>
          <w:p w14:paraId="266C8AF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49" w:type="pct"/>
            <w:shd w:val="clear" w:color="auto" w:fill="auto"/>
            <w:noWrap/>
            <w:vAlign w:val="bottom"/>
            <w:hideMark/>
          </w:tcPr>
          <w:p w14:paraId="2D1D1EB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50AECD41" w14:textId="77777777" w:rsidTr="00250DAC">
        <w:trPr>
          <w:trHeight w:val="20"/>
        </w:trPr>
        <w:tc>
          <w:tcPr>
            <w:tcW w:w="2681" w:type="pct"/>
            <w:shd w:val="clear" w:color="auto" w:fill="auto"/>
            <w:noWrap/>
            <w:vAlign w:val="bottom"/>
            <w:hideMark/>
          </w:tcPr>
          <w:p w14:paraId="226E0D88"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Interest Income </w:t>
            </w:r>
          </w:p>
        </w:tc>
        <w:tc>
          <w:tcPr>
            <w:tcW w:w="773" w:type="pct"/>
            <w:shd w:val="clear" w:color="auto" w:fill="auto"/>
            <w:noWrap/>
            <w:vAlign w:val="bottom"/>
            <w:hideMark/>
          </w:tcPr>
          <w:p w14:paraId="7309D27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97" w:type="pct"/>
            <w:shd w:val="clear" w:color="auto" w:fill="auto"/>
            <w:noWrap/>
            <w:vAlign w:val="bottom"/>
            <w:hideMark/>
          </w:tcPr>
          <w:p w14:paraId="5ADB80E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49" w:type="pct"/>
            <w:shd w:val="clear" w:color="auto" w:fill="auto"/>
            <w:noWrap/>
            <w:vAlign w:val="bottom"/>
            <w:hideMark/>
          </w:tcPr>
          <w:p w14:paraId="31EC48B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47B57161" w14:textId="77777777" w:rsidTr="00250DAC">
        <w:trPr>
          <w:trHeight w:val="20"/>
        </w:trPr>
        <w:tc>
          <w:tcPr>
            <w:tcW w:w="2681" w:type="pct"/>
            <w:shd w:val="clear" w:color="auto" w:fill="auto"/>
            <w:noWrap/>
            <w:vAlign w:val="bottom"/>
            <w:hideMark/>
          </w:tcPr>
          <w:p w14:paraId="5D050D9B"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Net cash flow from investing activities                                     </w:t>
            </w:r>
            <w:r w:rsidRPr="005B12AE">
              <w:rPr>
                <w:rFonts w:ascii="Times New Roman" w:hAnsi="Times New Roman"/>
                <w:b/>
                <w:bCs/>
                <w:sz w:val="20"/>
                <w:szCs w:val="20"/>
              </w:rPr>
              <w:t xml:space="preserve"> B</w:t>
            </w:r>
            <w:r w:rsidRPr="005B12AE">
              <w:rPr>
                <w:rFonts w:ascii="Times New Roman" w:hAnsi="Times New Roman"/>
                <w:sz w:val="20"/>
                <w:szCs w:val="20"/>
              </w:rPr>
              <w:t xml:space="preserve"> </w:t>
            </w:r>
          </w:p>
        </w:tc>
        <w:tc>
          <w:tcPr>
            <w:tcW w:w="773" w:type="pct"/>
            <w:shd w:val="clear" w:color="auto" w:fill="auto"/>
            <w:noWrap/>
            <w:vAlign w:val="bottom"/>
            <w:hideMark/>
          </w:tcPr>
          <w:p w14:paraId="25E7C8BB"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(127.88)</w:t>
            </w:r>
          </w:p>
        </w:tc>
        <w:tc>
          <w:tcPr>
            <w:tcW w:w="797" w:type="pct"/>
            <w:shd w:val="clear" w:color="auto" w:fill="auto"/>
            <w:noWrap/>
            <w:vAlign w:val="bottom"/>
            <w:hideMark/>
          </w:tcPr>
          <w:p w14:paraId="480C641B"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(235.67)</w:t>
            </w:r>
          </w:p>
        </w:tc>
        <w:tc>
          <w:tcPr>
            <w:tcW w:w="749" w:type="pct"/>
            <w:shd w:val="clear" w:color="auto" w:fill="auto"/>
            <w:noWrap/>
            <w:vAlign w:val="bottom"/>
            <w:hideMark/>
          </w:tcPr>
          <w:p w14:paraId="1E69462A"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(160.05)</w:t>
            </w:r>
          </w:p>
        </w:tc>
      </w:tr>
      <w:tr w:rsidR="005B5953" w:rsidRPr="005B12AE" w14:paraId="28B7E341" w14:textId="77777777" w:rsidTr="00250DAC">
        <w:trPr>
          <w:trHeight w:val="20"/>
        </w:trPr>
        <w:tc>
          <w:tcPr>
            <w:tcW w:w="2681" w:type="pct"/>
            <w:shd w:val="clear" w:color="auto" w:fill="auto"/>
            <w:noWrap/>
            <w:vAlign w:val="bottom"/>
            <w:hideMark/>
          </w:tcPr>
          <w:p w14:paraId="16CB71F4"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C) Cash Flow From Financing Activities: </w:t>
            </w:r>
          </w:p>
        </w:tc>
        <w:tc>
          <w:tcPr>
            <w:tcW w:w="773" w:type="pct"/>
            <w:shd w:val="clear" w:color="auto" w:fill="auto"/>
            <w:noWrap/>
            <w:vAlign w:val="bottom"/>
            <w:hideMark/>
          </w:tcPr>
          <w:p w14:paraId="15DF5DB5" w14:textId="77777777" w:rsidR="005B5953" w:rsidRPr="005B12AE" w:rsidRDefault="005B5953" w:rsidP="00250DAC">
            <w:pPr>
              <w:spacing w:after="0" w:line="240" w:lineRule="auto"/>
              <w:jc w:val="center"/>
              <w:rPr>
                <w:rFonts w:ascii="Times New Roman" w:hAnsi="Times New Roman"/>
                <w:sz w:val="20"/>
                <w:szCs w:val="20"/>
              </w:rPr>
            </w:pPr>
          </w:p>
        </w:tc>
        <w:tc>
          <w:tcPr>
            <w:tcW w:w="797" w:type="pct"/>
            <w:shd w:val="clear" w:color="auto" w:fill="auto"/>
            <w:noWrap/>
            <w:vAlign w:val="bottom"/>
            <w:hideMark/>
          </w:tcPr>
          <w:p w14:paraId="351AA7D8" w14:textId="77777777" w:rsidR="005B5953" w:rsidRPr="005B12AE" w:rsidRDefault="005B5953" w:rsidP="00250DAC">
            <w:pPr>
              <w:spacing w:after="0" w:line="240" w:lineRule="auto"/>
              <w:jc w:val="center"/>
              <w:rPr>
                <w:rFonts w:ascii="Times New Roman" w:hAnsi="Times New Roman"/>
                <w:sz w:val="20"/>
                <w:szCs w:val="20"/>
              </w:rPr>
            </w:pPr>
          </w:p>
        </w:tc>
        <w:tc>
          <w:tcPr>
            <w:tcW w:w="749" w:type="pct"/>
            <w:shd w:val="clear" w:color="auto" w:fill="auto"/>
            <w:noWrap/>
            <w:vAlign w:val="bottom"/>
            <w:hideMark/>
          </w:tcPr>
          <w:p w14:paraId="5AA5E10F"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6E52E653" w14:textId="77777777" w:rsidTr="00250DAC">
        <w:trPr>
          <w:trHeight w:val="20"/>
        </w:trPr>
        <w:tc>
          <w:tcPr>
            <w:tcW w:w="2681" w:type="pct"/>
            <w:shd w:val="clear" w:color="auto" w:fill="auto"/>
            <w:noWrap/>
            <w:vAlign w:val="bottom"/>
            <w:hideMark/>
          </w:tcPr>
          <w:p w14:paraId="3195F02F"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Proceeds from Issue of Share Capital </w:t>
            </w:r>
          </w:p>
        </w:tc>
        <w:tc>
          <w:tcPr>
            <w:tcW w:w="773" w:type="pct"/>
            <w:shd w:val="clear" w:color="auto" w:fill="auto"/>
            <w:noWrap/>
            <w:vAlign w:val="bottom"/>
            <w:hideMark/>
          </w:tcPr>
          <w:p w14:paraId="602BFE0F" w14:textId="77777777" w:rsidR="005B5953" w:rsidRPr="005B12AE" w:rsidRDefault="005B5953" w:rsidP="00250DAC">
            <w:pPr>
              <w:spacing w:after="0" w:line="240" w:lineRule="auto"/>
              <w:jc w:val="center"/>
              <w:rPr>
                <w:rFonts w:ascii="Times New Roman" w:hAnsi="Times New Roman"/>
                <w:sz w:val="20"/>
                <w:szCs w:val="20"/>
              </w:rPr>
            </w:pPr>
          </w:p>
        </w:tc>
        <w:tc>
          <w:tcPr>
            <w:tcW w:w="797" w:type="pct"/>
            <w:shd w:val="clear" w:color="auto" w:fill="auto"/>
            <w:noWrap/>
            <w:vAlign w:val="bottom"/>
            <w:hideMark/>
          </w:tcPr>
          <w:p w14:paraId="12BE6E21" w14:textId="77777777" w:rsidR="005B5953" w:rsidRPr="005B12AE" w:rsidRDefault="005B5953" w:rsidP="00250DAC">
            <w:pPr>
              <w:spacing w:after="0" w:line="240" w:lineRule="auto"/>
              <w:jc w:val="center"/>
              <w:rPr>
                <w:rFonts w:ascii="Times New Roman" w:hAnsi="Times New Roman"/>
                <w:sz w:val="20"/>
                <w:szCs w:val="20"/>
              </w:rPr>
            </w:pPr>
          </w:p>
        </w:tc>
        <w:tc>
          <w:tcPr>
            <w:tcW w:w="749" w:type="pct"/>
            <w:shd w:val="clear" w:color="auto" w:fill="auto"/>
            <w:noWrap/>
            <w:vAlign w:val="bottom"/>
            <w:hideMark/>
          </w:tcPr>
          <w:p w14:paraId="2E9391F3"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24F49D8C" w14:textId="77777777" w:rsidTr="00250DAC">
        <w:trPr>
          <w:trHeight w:val="20"/>
        </w:trPr>
        <w:tc>
          <w:tcPr>
            <w:tcW w:w="2681" w:type="pct"/>
            <w:shd w:val="clear" w:color="auto" w:fill="auto"/>
            <w:noWrap/>
            <w:vAlign w:val="bottom"/>
            <w:hideMark/>
          </w:tcPr>
          <w:p w14:paraId="7D5AF031"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Increase/(Decrease) in Short Term Borrowings </w:t>
            </w:r>
          </w:p>
        </w:tc>
        <w:tc>
          <w:tcPr>
            <w:tcW w:w="773" w:type="pct"/>
            <w:shd w:val="clear" w:color="auto" w:fill="auto"/>
            <w:noWrap/>
            <w:vAlign w:val="bottom"/>
            <w:hideMark/>
          </w:tcPr>
          <w:p w14:paraId="24BD735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3,452.17</w:t>
            </w:r>
          </w:p>
        </w:tc>
        <w:tc>
          <w:tcPr>
            <w:tcW w:w="797" w:type="pct"/>
            <w:shd w:val="clear" w:color="auto" w:fill="auto"/>
            <w:noWrap/>
            <w:vAlign w:val="bottom"/>
            <w:hideMark/>
          </w:tcPr>
          <w:p w14:paraId="12FE03C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1,205.64</w:t>
            </w:r>
          </w:p>
        </w:tc>
        <w:tc>
          <w:tcPr>
            <w:tcW w:w="749" w:type="pct"/>
            <w:shd w:val="clear" w:color="auto" w:fill="auto"/>
            <w:noWrap/>
            <w:vAlign w:val="bottom"/>
            <w:hideMark/>
          </w:tcPr>
          <w:p w14:paraId="35E4C8B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224.76</w:t>
            </w:r>
          </w:p>
        </w:tc>
      </w:tr>
      <w:tr w:rsidR="005B5953" w:rsidRPr="005B12AE" w14:paraId="623F11C6" w14:textId="77777777" w:rsidTr="00250DAC">
        <w:trPr>
          <w:trHeight w:val="20"/>
        </w:trPr>
        <w:tc>
          <w:tcPr>
            <w:tcW w:w="2681" w:type="pct"/>
            <w:shd w:val="clear" w:color="auto" w:fill="auto"/>
            <w:noWrap/>
            <w:vAlign w:val="bottom"/>
            <w:hideMark/>
          </w:tcPr>
          <w:p w14:paraId="574CDCE0"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Increase/(Decrease) in Long Term Borrowings </w:t>
            </w:r>
          </w:p>
        </w:tc>
        <w:tc>
          <w:tcPr>
            <w:tcW w:w="773" w:type="pct"/>
            <w:shd w:val="clear" w:color="auto" w:fill="auto"/>
            <w:noWrap/>
            <w:vAlign w:val="bottom"/>
            <w:hideMark/>
          </w:tcPr>
          <w:p w14:paraId="3AC24F1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433.76</w:t>
            </w:r>
          </w:p>
        </w:tc>
        <w:tc>
          <w:tcPr>
            <w:tcW w:w="797" w:type="pct"/>
            <w:shd w:val="clear" w:color="auto" w:fill="auto"/>
            <w:noWrap/>
            <w:vAlign w:val="bottom"/>
            <w:hideMark/>
          </w:tcPr>
          <w:p w14:paraId="4B62389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(1,316.34)</w:t>
            </w:r>
          </w:p>
        </w:tc>
        <w:tc>
          <w:tcPr>
            <w:tcW w:w="749" w:type="pct"/>
            <w:shd w:val="clear" w:color="auto" w:fill="auto"/>
            <w:noWrap/>
            <w:vAlign w:val="bottom"/>
            <w:hideMark/>
          </w:tcPr>
          <w:p w14:paraId="1222F5D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(322.57)</w:t>
            </w:r>
          </w:p>
        </w:tc>
      </w:tr>
      <w:tr w:rsidR="005B5953" w:rsidRPr="005B12AE" w14:paraId="0FC813DA" w14:textId="77777777" w:rsidTr="00250DAC">
        <w:trPr>
          <w:trHeight w:val="20"/>
        </w:trPr>
        <w:tc>
          <w:tcPr>
            <w:tcW w:w="2681" w:type="pct"/>
            <w:shd w:val="clear" w:color="auto" w:fill="auto"/>
            <w:noWrap/>
            <w:vAlign w:val="bottom"/>
            <w:hideMark/>
          </w:tcPr>
          <w:p w14:paraId="2899C7C0"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Interest Paid </w:t>
            </w:r>
          </w:p>
        </w:tc>
        <w:tc>
          <w:tcPr>
            <w:tcW w:w="773" w:type="pct"/>
            <w:shd w:val="clear" w:color="auto" w:fill="auto"/>
            <w:noWrap/>
            <w:vAlign w:val="bottom"/>
            <w:hideMark/>
          </w:tcPr>
          <w:p w14:paraId="2E90DD0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(442.82)</w:t>
            </w:r>
          </w:p>
        </w:tc>
        <w:tc>
          <w:tcPr>
            <w:tcW w:w="797" w:type="pct"/>
            <w:shd w:val="clear" w:color="auto" w:fill="auto"/>
            <w:noWrap/>
            <w:vAlign w:val="bottom"/>
            <w:hideMark/>
          </w:tcPr>
          <w:p w14:paraId="067C2BF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(245.24)</w:t>
            </w:r>
          </w:p>
        </w:tc>
        <w:tc>
          <w:tcPr>
            <w:tcW w:w="749" w:type="pct"/>
            <w:shd w:val="clear" w:color="auto" w:fill="auto"/>
            <w:noWrap/>
            <w:vAlign w:val="bottom"/>
            <w:hideMark/>
          </w:tcPr>
          <w:p w14:paraId="64AE5A3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(153.89)</w:t>
            </w:r>
          </w:p>
        </w:tc>
      </w:tr>
      <w:tr w:rsidR="005B5953" w:rsidRPr="005B12AE" w14:paraId="1AEE3BFC" w14:textId="77777777" w:rsidTr="00250DAC">
        <w:trPr>
          <w:trHeight w:val="20"/>
        </w:trPr>
        <w:tc>
          <w:tcPr>
            <w:tcW w:w="2681" w:type="pct"/>
            <w:shd w:val="clear" w:color="auto" w:fill="auto"/>
            <w:noWrap/>
            <w:vAlign w:val="bottom"/>
            <w:hideMark/>
          </w:tcPr>
          <w:p w14:paraId="09AE4F31"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Income tax expenses </w:t>
            </w:r>
          </w:p>
        </w:tc>
        <w:tc>
          <w:tcPr>
            <w:tcW w:w="773" w:type="pct"/>
            <w:shd w:val="clear" w:color="auto" w:fill="auto"/>
            <w:noWrap/>
            <w:vAlign w:val="bottom"/>
            <w:hideMark/>
          </w:tcPr>
          <w:p w14:paraId="7F20B8B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(628.16)</w:t>
            </w:r>
          </w:p>
        </w:tc>
        <w:tc>
          <w:tcPr>
            <w:tcW w:w="797" w:type="pct"/>
            <w:shd w:val="clear" w:color="auto" w:fill="auto"/>
            <w:noWrap/>
            <w:vAlign w:val="bottom"/>
            <w:hideMark/>
          </w:tcPr>
          <w:p w14:paraId="255BC50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(294.55)</w:t>
            </w:r>
          </w:p>
        </w:tc>
        <w:tc>
          <w:tcPr>
            <w:tcW w:w="749" w:type="pct"/>
            <w:shd w:val="clear" w:color="auto" w:fill="auto"/>
            <w:noWrap/>
            <w:vAlign w:val="bottom"/>
            <w:hideMark/>
          </w:tcPr>
          <w:p w14:paraId="4CA2C1B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(48.56)</w:t>
            </w:r>
          </w:p>
        </w:tc>
      </w:tr>
      <w:tr w:rsidR="005B5953" w:rsidRPr="005B12AE" w14:paraId="3702EA0A" w14:textId="77777777" w:rsidTr="00250DAC">
        <w:trPr>
          <w:trHeight w:val="20"/>
        </w:trPr>
        <w:tc>
          <w:tcPr>
            <w:tcW w:w="2681" w:type="pct"/>
            <w:shd w:val="clear" w:color="auto" w:fill="auto"/>
            <w:noWrap/>
            <w:vAlign w:val="bottom"/>
            <w:hideMark/>
          </w:tcPr>
          <w:p w14:paraId="407FF65B"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Increase/(Decrease) in Long Term Loans and Advances  </w:t>
            </w:r>
          </w:p>
        </w:tc>
        <w:tc>
          <w:tcPr>
            <w:tcW w:w="773" w:type="pct"/>
            <w:shd w:val="clear" w:color="auto" w:fill="auto"/>
            <w:noWrap/>
            <w:vAlign w:val="bottom"/>
            <w:hideMark/>
          </w:tcPr>
          <w:p w14:paraId="081AE9A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97" w:type="pct"/>
            <w:shd w:val="clear" w:color="auto" w:fill="auto"/>
            <w:noWrap/>
            <w:vAlign w:val="bottom"/>
            <w:hideMark/>
          </w:tcPr>
          <w:p w14:paraId="0B82C1C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49" w:type="pct"/>
            <w:shd w:val="clear" w:color="auto" w:fill="auto"/>
            <w:noWrap/>
            <w:vAlign w:val="bottom"/>
            <w:hideMark/>
          </w:tcPr>
          <w:p w14:paraId="324FB5E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(282.00)</w:t>
            </w:r>
          </w:p>
        </w:tc>
      </w:tr>
      <w:tr w:rsidR="005B5953" w:rsidRPr="005B12AE" w14:paraId="631914FC" w14:textId="77777777" w:rsidTr="00250DAC">
        <w:trPr>
          <w:trHeight w:val="20"/>
        </w:trPr>
        <w:tc>
          <w:tcPr>
            <w:tcW w:w="2681" w:type="pct"/>
            <w:shd w:val="clear" w:color="auto" w:fill="auto"/>
            <w:noWrap/>
            <w:vAlign w:val="bottom"/>
            <w:hideMark/>
          </w:tcPr>
          <w:p w14:paraId="05D94A2B"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Net cash flow from financing activities                                     </w:t>
            </w:r>
            <w:r w:rsidRPr="005B12AE">
              <w:rPr>
                <w:rFonts w:ascii="Times New Roman" w:hAnsi="Times New Roman"/>
                <w:b/>
                <w:bCs/>
                <w:sz w:val="20"/>
                <w:szCs w:val="20"/>
              </w:rPr>
              <w:t>C</w:t>
            </w:r>
            <w:r w:rsidRPr="005B12AE">
              <w:rPr>
                <w:rFonts w:ascii="Times New Roman" w:hAnsi="Times New Roman"/>
                <w:sz w:val="20"/>
                <w:szCs w:val="20"/>
              </w:rPr>
              <w:t xml:space="preserve"> </w:t>
            </w:r>
          </w:p>
        </w:tc>
        <w:tc>
          <w:tcPr>
            <w:tcW w:w="773" w:type="pct"/>
            <w:shd w:val="clear" w:color="auto" w:fill="auto"/>
            <w:noWrap/>
            <w:vAlign w:val="bottom"/>
            <w:hideMark/>
          </w:tcPr>
          <w:p w14:paraId="7BFF0080"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2,814.94</w:t>
            </w:r>
          </w:p>
        </w:tc>
        <w:tc>
          <w:tcPr>
            <w:tcW w:w="797" w:type="pct"/>
            <w:shd w:val="clear" w:color="auto" w:fill="auto"/>
            <w:noWrap/>
            <w:vAlign w:val="bottom"/>
            <w:hideMark/>
          </w:tcPr>
          <w:p w14:paraId="00C3272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(650.49)</w:t>
            </w:r>
          </w:p>
        </w:tc>
        <w:tc>
          <w:tcPr>
            <w:tcW w:w="749" w:type="pct"/>
            <w:shd w:val="clear" w:color="auto" w:fill="auto"/>
            <w:noWrap/>
            <w:vAlign w:val="bottom"/>
            <w:hideMark/>
          </w:tcPr>
          <w:p w14:paraId="59C12E46"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(582.26)</w:t>
            </w:r>
          </w:p>
        </w:tc>
      </w:tr>
      <w:tr w:rsidR="005B5953" w:rsidRPr="005B12AE" w14:paraId="22778CB5" w14:textId="77777777" w:rsidTr="00250DAC">
        <w:trPr>
          <w:trHeight w:val="20"/>
        </w:trPr>
        <w:tc>
          <w:tcPr>
            <w:tcW w:w="2681" w:type="pct"/>
            <w:shd w:val="clear" w:color="auto" w:fill="auto"/>
            <w:noWrap/>
            <w:vAlign w:val="bottom"/>
            <w:hideMark/>
          </w:tcPr>
          <w:p w14:paraId="5446FFE1"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Net Increase/(Decrease) In Cash &amp; Cash Equivalents      </w:t>
            </w:r>
            <w:r w:rsidRPr="005B12AE">
              <w:rPr>
                <w:rFonts w:ascii="Times New Roman" w:hAnsi="Times New Roman"/>
                <w:b/>
                <w:bCs/>
                <w:sz w:val="20"/>
                <w:szCs w:val="20"/>
              </w:rPr>
              <w:t>(A+B+C)</w:t>
            </w:r>
            <w:r w:rsidRPr="005B12AE">
              <w:rPr>
                <w:rFonts w:ascii="Times New Roman" w:hAnsi="Times New Roman"/>
                <w:sz w:val="20"/>
                <w:szCs w:val="20"/>
              </w:rPr>
              <w:t xml:space="preserve"> </w:t>
            </w:r>
          </w:p>
        </w:tc>
        <w:tc>
          <w:tcPr>
            <w:tcW w:w="773" w:type="pct"/>
            <w:shd w:val="clear" w:color="auto" w:fill="auto"/>
            <w:noWrap/>
            <w:vAlign w:val="bottom"/>
            <w:hideMark/>
          </w:tcPr>
          <w:p w14:paraId="42D3500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(137.32)</w:t>
            </w:r>
          </w:p>
        </w:tc>
        <w:tc>
          <w:tcPr>
            <w:tcW w:w="797" w:type="pct"/>
            <w:shd w:val="clear" w:color="auto" w:fill="auto"/>
            <w:noWrap/>
            <w:vAlign w:val="bottom"/>
            <w:hideMark/>
          </w:tcPr>
          <w:p w14:paraId="3FB0F41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171.42</w:t>
            </w:r>
          </w:p>
        </w:tc>
        <w:tc>
          <w:tcPr>
            <w:tcW w:w="749" w:type="pct"/>
            <w:shd w:val="clear" w:color="auto" w:fill="auto"/>
            <w:noWrap/>
            <w:vAlign w:val="bottom"/>
            <w:hideMark/>
          </w:tcPr>
          <w:p w14:paraId="02917D1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(93.59)</w:t>
            </w:r>
          </w:p>
        </w:tc>
      </w:tr>
      <w:tr w:rsidR="005B5953" w:rsidRPr="005B12AE" w14:paraId="26046DC2" w14:textId="77777777" w:rsidTr="00250DAC">
        <w:trPr>
          <w:trHeight w:val="20"/>
        </w:trPr>
        <w:tc>
          <w:tcPr>
            <w:tcW w:w="2681" w:type="pct"/>
            <w:shd w:val="clear" w:color="auto" w:fill="auto"/>
            <w:noWrap/>
            <w:vAlign w:val="bottom"/>
            <w:hideMark/>
          </w:tcPr>
          <w:p w14:paraId="5F5DB094"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Cash equivalents at the beginning of the year </w:t>
            </w:r>
          </w:p>
        </w:tc>
        <w:tc>
          <w:tcPr>
            <w:tcW w:w="773" w:type="pct"/>
            <w:shd w:val="clear" w:color="auto" w:fill="auto"/>
            <w:noWrap/>
            <w:vAlign w:val="bottom"/>
            <w:hideMark/>
          </w:tcPr>
          <w:p w14:paraId="284C10C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209.65</w:t>
            </w:r>
          </w:p>
        </w:tc>
        <w:tc>
          <w:tcPr>
            <w:tcW w:w="797" w:type="pct"/>
            <w:shd w:val="clear" w:color="auto" w:fill="auto"/>
            <w:noWrap/>
            <w:vAlign w:val="bottom"/>
            <w:hideMark/>
          </w:tcPr>
          <w:p w14:paraId="092C9B8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38.24</w:t>
            </w:r>
          </w:p>
        </w:tc>
        <w:tc>
          <w:tcPr>
            <w:tcW w:w="749" w:type="pct"/>
            <w:shd w:val="clear" w:color="auto" w:fill="auto"/>
            <w:noWrap/>
            <w:vAlign w:val="bottom"/>
            <w:hideMark/>
          </w:tcPr>
          <w:p w14:paraId="0F575FD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102.45</w:t>
            </w:r>
          </w:p>
        </w:tc>
      </w:tr>
      <w:tr w:rsidR="005B5953" w:rsidRPr="005B12AE" w14:paraId="328CE0FA" w14:textId="77777777" w:rsidTr="00250DAC">
        <w:trPr>
          <w:trHeight w:val="20"/>
        </w:trPr>
        <w:tc>
          <w:tcPr>
            <w:tcW w:w="2681" w:type="pct"/>
            <w:shd w:val="clear" w:color="auto" w:fill="auto"/>
            <w:noWrap/>
            <w:vAlign w:val="bottom"/>
            <w:hideMark/>
          </w:tcPr>
          <w:p w14:paraId="12F37D3A"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 xml:space="preserve"> Cash equivalents at the end of the year </w:t>
            </w:r>
          </w:p>
        </w:tc>
        <w:tc>
          <w:tcPr>
            <w:tcW w:w="773" w:type="pct"/>
            <w:shd w:val="clear" w:color="auto" w:fill="auto"/>
            <w:noWrap/>
            <w:vAlign w:val="bottom"/>
            <w:hideMark/>
          </w:tcPr>
          <w:p w14:paraId="2217D411"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72.32</w:t>
            </w:r>
          </w:p>
        </w:tc>
        <w:tc>
          <w:tcPr>
            <w:tcW w:w="797" w:type="pct"/>
            <w:shd w:val="clear" w:color="auto" w:fill="auto"/>
            <w:noWrap/>
            <w:vAlign w:val="bottom"/>
            <w:hideMark/>
          </w:tcPr>
          <w:p w14:paraId="072F5A49"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209.65</w:t>
            </w:r>
          </w:p>
        </w:tc>
        <w:tc>
          <w:tcPr>
            <w:tcW w:w="749" w:type="pct"/>
            <w:shd w:val="clear" w:color="auto" w:fill="auto"/>
            <w:noWrap/>
            <w:vAlign w:val="bottom"/>
            <w:hideMark/>
          </w:tcPr>
          <w:p w14:paraId="3EA74849"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8.86</w:t>
            </w:r>
          </w:p>
        </w:tc>
      </w:tr>
    </w:tbl>
    <w:p w14:paraId="619FA318" w14:textId="77777777" w:rsidR="005B5953" w:rsidRPr="005B12AE" w:rsidRDefault="005B5953" w:rsidP="005B5953">
      <w:pPr>
        <w:spacing w:after="0"/>
        <w:rPr>
          <w:rFonts w:ascii="Times New Roman" w:hAnsi="Times New Roman"/>
          <w:b/>
          <w:bCs/>
          <w:sz w:val="20"/>
          <w:szCs w:val="20"/>
        </w:rPr>
      </w:pPr>
      <w:r w:rsidRPr="005B12AE">
        <w:rPr>
          <w:rFonts w:ascii="Times New Roman" w:hAnsi="Times New Roman"/>
          <w:b/>
          <w:bCs/>
          <w:sz w:val="20"/>
          <w:szCs w:val="20"/>
        </w:rPr>
        <w:t>Notes:-</w:t>
      </w:r>
    </w:p>
    <w:tbl>
      <w:tblPr>
        <w:tblW w:w="10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5043"/>
        <w:gridCol w:w="1619"/>
        <w:gridCol w:w="1709"/>
        <w:gridCol w:w="1612"/>
      </w:tblGrid>
      <w:tr w:rsidR="005B5953" w:rsidRPr="005B12AE" w14:paraId="4F7F4F65" w14:textId="77777777" w:rsidTr="00250DAC">
        <w:trPr>
          <w:trHeight w:val="21"/>
        </w:trPr>
        <w:tc>
          <w:tcPr>
            <w:tcW w:w="5578" w:type="dxa"/>
            <w:gridSpan w:val="2"/>
            <w:shd w:val="clear" w:color="auto" w:fill="auto"/>
            <w:noWrap/>
            <w:vAlign w:val="bottom"/>
          </w:tcPr>
          <w:p w14:paraId="4440CC79"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1.</w:t>
            </w:r>
          </w:p>
        </w:tc>
        <w:tc>
          <w:tcPr>
            <w:tcW w:w="1619" w:type="dxa"/>
            <w:shd w:val="clear" w:color="auto" w:fill="auto"/>
            <w:noWrap/>
            <w:vAlign w:val="bottom"/>
            <w:hideMark/>
          </w:tcPr>
          <w:p w14:paraId="04F1285C"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31-03-23</w:t>
            </w:r>
          </w:p>
        </w:tc>
        <w:tc>
          <w:tcPr>
            <w:tcW w:w="1709" w:type="dxa"/>
            <w:shd w:val="clear" w:color="auto" w:fill="auto"/>
            <w:noWrap/>
            <w:vAlign w:val="bottom"/>
            <w:hideMark/>
          </w:tcPr>
          <w:p w14:paraId="32A6023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31-03-22</w:t>
            </w:r>
          </w:p>
        </w:tc>
        <w:tc>
          <w:tcPr>
            <w:tcW w:w="1612" w:type="dxa"/>
            <w:shd w:val="clear" w:color="auto" w:fill="auto"/>
            <w:noWrap/>
            <w:vAlign w:val="bottom"/>
            <w:hideMark/>
          </w:tcPr>
          <w:p w14:paraId="25AF41E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31-03-21</w:t>
            </w:r>
          </w:p>
        </w:tc>
      </w:tr>
      <w:tr w:rsidR="005B5953" w:rsidRPr="005B12AE" w14:paraId="3F5EBAE0" w14:textId="77777777" w:rsidTr="00250DAC">
        <w:trPr>
          <w:trHeight w:val="21"/>
        </w:trPr>
        <w:tc>
          <w:tcPr>
            <w:tcW w:w="535" w:type="dxa"/>
            <w:vMerge w:val="restart"/>
            <w:shd w:val="clear" w:color="auto" w:fill="auto"/>
            <w:noWrap/>
            <w:vAlign w:val="bottom"/>
            <w:hideMark/>
          </w:tcPr>
          <w:p w14:paraId="6215BCCA"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p w14:paraId="76F88F2F"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p w14:paraId="3899FD4E"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p w14:paraId="06975D4D"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5043" w:type="dxa"/>
            <w:shd w:val="clear" w:color="auto" w:fill="auto"/>
            <w:vAlign w:val="bottom"/>
          </w:tcPr>
          <w:p w14:paraId="77E2FCC8"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Component of Cash and Cash equivalents</w:t>
            </w:r>
          </w:p>
        </w:tc>
        <w:tc>
          <w:tcPr>
            <w:tcW w:w="1619" w:type="dxa"/>
            <w:shd w:val="clear" w:color="auto" w:fill="auto"/>
            <w:noWrap/>
            <w:vAlign w:val="bottom"/>
            <w:hideMark/>
          </w:tcPr>
          <w:p w14:paraId="5A086C22" w14:textId="77777777" w:rsidR="005B5953" w:rsidRPr="005B12AE" w:rsidRDefault="005B5953" w:rsidP="00250DAC">
            <w:pPr>
              <w:spacing w:after="0" w:line="240" w:lineRule="auto"/>
              <w:jc w:val="center"/>
              <w:rPr>
                <w:rFonts w:ascii="Times New Roman" w:hAnsi="Times New Roman"/>
                <w:sz w:val="20"/>
                <w:szCs w:val="20"/>
              </w:rPr>
            </w:pPr>
          </w:p>
        </w:tc>
        <w:tc>
          <w:tcPr>
            <w:tcW w:w="1709" w:type="dxa"/>
            <w:shd w:val="clear" w:color="auto" w:fill="auto"/>
            <w:noWrap/>
            <w:vAlign w:val="bottom"/>
            <w:hideMark/>
          </w:tcPr>
          <w:p w14:paraId="10292859" w14:textId="77777777" w:rsidR="005B5953" w:rsidRPr="005B12AE" w:rsidRDefault="005B5953" w:rsidP="00250DAC">
            <w:pPr>
              <w:spacing w:after="0" w:line="240" w:lineRule="auto"/>
              <w:jc w:val="center"/>
              <w:rPr>
                <w:rFonts w:ascii="Times New Roman" w:hAnsi="Times New Roman"/>
                <w:sz w:val="20"/>
                <w:szCs w:val="20"/>
              </w:rPr>
            </w:pPr>
          </w:p>
        </w:tc>
        <w:tc>
          <w:tcPr>
            <w:tcW w:w="1612" w:type="dxa"/>
            <w:shd w:val="clear" w:color="auto" w:fill="auto"/>
            <w:noWrap/>
            <w:vAlign w:val="bottom"/>
            <w:hideMark/>
          </w:tcPr>
          <w:p w14:paraId="15FDA990"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68A52502" w14:textId="77777777" w:rsidTr="00250DAC">
        <w:trPr>
          <w:trHeight w:val="21"/>
        </w:trPr>
        <w:tc>
          <w:tcPr>
            <w:tcW w:w="535" w:type="dxa"/>
            <w:vMerge/>
            <w:shd w:val="clear" w:color="auto" w:fill="auto"/>
            <w:noWrap/>
            <w:vAlign w:val="bottom"/>
            <w:hideMark/>
          </w:tcPr>
          <w:p w14:paraId="3033FABE" w14:textId="77777777" w:rsidR="005B5953" w:rsidRPr="005B12AE" w:rsidRDefault="005B5953" w:rsidP="00250DAC">
            <w:pPr>
              <w:spacing w:after="0" w:line="240" w:lineRule="auto"/>
              <w:rPr>
                <w:rFonts w:ascii="Times New Roman" w:hAnsi="Times New Roman"/>
                <w:sz w:val="20"/>
                <w:szCs w:val="20"/>
              </w:rPr>
            </w:pPr>
          </w:p>
        </w:tc>
        <w:tc>
          <w:tcPr>
            <w:tcW w:w="5043" w:type="dxa"/>
            <w:shd w:val="clear" w:color="auto" w:fill="auto"/>
            <w:noWrap/>
            <w:vAlign w:val="bottom"/>
            <w:hideMark/>
          </w:tcPr>
          <w:p w14:paraId="55271CEB"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Cash on hand </w:t>
            </w:r>
          </w:p>
        </w:tc>
        <w:tc>
          <w:tcPr>
            <w:tcW w:w="1619" w:type="dxa"/>
            <w:shd w:val="clear" w:color="auto" w:fill="auto"/>
            <w:noWrap/>
            <w:vAlign w:val="bottom"/>
            <w:hideMark/>
          </w:tcPr>
          <w:p w14:paraId="588D51A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5.31</w:t>
            </w:r>
          </w:p>
        </w:tc>
        <w:tc>
          <w:tcPr>
            <w:tcW w:w="1709" w:type="dxa"/>
            <w:shd w:val="clear" w:color="auto" w:fill="auto"/>
            <w:noWrap/>
            <w:vAlign w:val="bottom"/>
            <w:hideMark/>
          </w:tcPr>
          <w:p w14:paraId="4082CEF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12.09</w:t>
            </w:r>
          </w:p>
        </w:tc>
        <w:tc>
          <w:tcPr>
            <w:tcW w:w="1612" w:type="dxa"/>
            <w:shd w:val="clear" w:color="auto" w:fill="auto"/>
            <w:noWrap/>
            <w:vAlign w:val="bottom"/>
            <w:hideMark/>
          </w:tcPr>
          <w:p w14:paraId="754B666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38.15</w:t>
            </w:r>
          </w:p>
        </w:tc>
      </w:tr>
      <w:tr w:rsidR="005B5953" w:rsidRPr="005B12AE" w14:paraId="5D0A98BC" w14:textId="77777777" w:rsidTr="00250DAC">
        <w:trPr>
          <w:trHeight w:val="21"/>
        </w:trPr>
        <w:tc>
          <w:tcPr>
            <w:tcW w:w="535" w:type="dxa"/>
            <w:vMerge/>
            <w:shd w:val="clear" w:color="auto" w:fill="auto"/>
            <w:noWrap/>
            <w:vAlign w:val="bottom"/>
            <w:hideMark/>
          </w:tcPr>
          <w:p w14:paraId="2289AD99" w14:textId="77777777" w:rsidR="005B5953" w:rsidRPr="005B12AE" w:rsidRDefault="005B5953" w:rsidP="00250DAC">
            <w:pPr>
              <w:spacing w:after="0" w:line="240" w:lineRule="auto"/>
              <w:rPr>
                <w:rFonts w:ascii="Times New Roman" w:hAnsi="Times New Roman"/>
                <w:sz w:val="20"/>
                <w:szCs w:val="20"/>
              </w:rPr>
            </w:pPr>
          </w:p>
        </w:tc>
        <w:tc>
          <w:tcPr>
            <w:tcW w:w="5043" w:type="dxa"/>
            <w:shd w:val="clear" w:color="auto" w:fill="auto"/>
            <w:noWrap/>
            <w:vAlign w:val="bottom"/>
            <w:hideMark/>
          </w:tcPr>
          <w:p w14:paraId="16D58154"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Balance With banks </w:t>
            </w:r>
          </w:p>
        </w:tc>
        <w:tc>
          <w:tcPr>
            <w:tcW w:w="1619" w:type="dxa"/>
            <w:shd w:val="clear" w:color="auto" w:fill="auto"/>
            <w:noWrap/>
            <w:vAlign w:val="bottom"/>
            <w:hideMark/>
          </w:tcPr>
          <w:p w14:paraId="17CF369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67.01</w:t>
            </w:r>
          </w:p>
        </w:tc>
        <w:tc>
          <w:tcPr>
            <w:tcW w:w="1709" w:type="dxa"/>
            <w:shd w:val="clear" w:color="auto" w:fill="auto"/>
            <w:noWrap/>
            <w:vAlign w:val="bottom"/>
            <w:hideMark/>
          </w:tcPr>
          <w:p w14:paraId="036D950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197.56</w:t>
            </w:r>
          </w:p>
        </w:tc>
        <w:tc>
          <w:tcPr>
            <w:tcW w:w="1612" w:type="dxa"/>
            <w:shd w:val="clear" w:color="auto" w:fill="auto"/>
            <w:noWrap/>
            <w:vAlign w:val="bottom"/>
            <w:hideMark/>
          </w:tcPr>
          <w:p w14:paraId="1DFBB99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0.09</w:t>
            </w:r>
          </w:p>
        </w:tc>
      </w:tr>
      <w:tr w:rsidR="005B5953" w:rsidRPr="005B12AE" w14:paraId="7009B1BB" w14:textId="77777777" w:rsidTr="00250DAC">
        <w:trPr>
          <w:trHeight w:val="21"/>
        </w:trPr>
        <w:tc>
          <w:tcPr>
            <w:tcW w:w="535" w:type="dxa"/>
            <w:vMerge/>
            <w:shd w:val="clear" w:color="auto" w:fill="auto"/>
            <w:noWrap/>
            <w:vAlign w:val="bottom"/>
            <w:hideMark/>
          </w:tcPr>
          <w:p w14:paraId="7A9252D0" w14:textId="77777777" w:rsidR="005B5953" w:rsidRPr="005B12AE" w:rsidRDefault="005B5953" w:rsidP="00250DAC">
            <w:pPr>
              <w:spacing w:after="0" w:line="240" w:lineRule="auto"/>
              <w:rPr>
                <w:rFonts w:ascii="Times New Roman" w:hAnsi="Times New Roman"/>
                <w:sz w:val="20"/>
                <w:szCs w:val="20"/>
              </w:rPr>
            </w:pPr>
          </w:p>
        </w:tc>
        <w:tc>
          <w:tcPr>
            <w:tcW w:w="5043" w:type="dxa"/>
            <w:shd w:val="clear" w:color="auto" w:fill="auto"/>
            <w:noWrap/>
            <w:vAlign w:val="bottom"/>
            <w:hideMark/>
          </w:tcPr>
          <w:p w14:paraId="5A7FF2B1"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Other Bank Balance </w:t>
            </w:r>
          </w:p>
        </w:tc>
        <w:tc>
          <w:tcPr>
            <w:tcW w:w="1619" w:type="dxa"/>
            <w:shd w:val="clear" w:color="auto" w:fill="auto"/>
            <w:noWrap/>
            <w:vAlign w:val="bottom"/>
            <w:hideMark/>
          </w:tcPr>
          <w:p w14:paraId="798E575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709" w:type="dxa"/>
            <w:shd w:val="clear" w:color="auto" w:fill="auto"/>
            <w:noWrap/>
            <w:vAlign w:val="bottom"/>
            <w:hideMark/>
          </w:tcPr>
          <w:p w14:paraId="64B901F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612" w:type="dxa"/>
            <w:shd w:val="clear" w:color="auto" w:fill="auto"/>
            <w:noWrap/>
            <w:vAlign w:val="bottom"/>
            <w:hideMark/>
          </w:tcPr>
          <w:p w14:paraId="288E240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1706AD25" w14:textId="77777777" w:rsidTr="00250DAC">
        <w:trPr>
          <w:trHeight w:val="21"/>
        </w:trPr>
        <w:tc>
          <w:tcPr>
            <w:tcW w:w="535" w:type="dxa"/>
            <w:vMerge/>
            <w:shd w:val="clear" w:color="auto" w:fill="auto"/>
            <w:noWrap/>
            <w:vAlign w:val="bottom"/>
            <w:hideMark/>
          </w:tcPr>
          <w:p w14:paraId="3EF436D0" w14:textId="77777777" w:rsidR="005B5953" w:rsidRPr="005B12AE" w:rsidRDefault="005B5953" w:rsidP="00250DAC">
            <w:pPr>
              <w:spacing w:after="0" w:line="240" w:lineRule="auto"/>
              <w:rPr>
                <w:rFonts w:ascii="Times New Roman" w:hAnsi="Times New Roman"/>
                <w:sz w:val="20"/>
                <w:szCs w:val="20"/>
              </w:rPr>
            </w:pPr>
          </w:p>
        </w:tc>
        <w:tc>
          <w:tcPr>
            <w:tcW w:w="5043" w:type="dxa"/>
            <w:shd w:val="clear" w:color="auto" w:fill="auto"/>
            <w:noWrap/>
            <w:vAlign w:val="bottom"/>
            <w:hideMark/>
          </w:tcPr>
          <w:p w14:paraId="39E7A859"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b/>
                <w:bCs/>
                <w:sz w:val="20"/>
                <w:szCs w:val="20"/>
              </w:rPr>
              <w:t xml:space="preserve"> Total </w:t>
            </w:r>
          </w:p>
        </w:tc>
        <w:tc>
          <w:tcPr>
            <w:tcW w:w="1619" w:type="dxa"/>
            <w:shd w:val="clear" w:color="auto" w:fill="auto"/>
            <w:noWrap/>
            <w:vAlign w:val="bottom"/>
            <w:hideMark/>
          </w:tcPr>
          <w:p w14:paraId="07322F8F"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72.32</w:t>
            </w:r>
          </w:p>
        </w:tc>
        <w:tc>
          <w:tcPr>
            <w:tcW w:w="1709" w:type="dxa"/>
            <w:shd w:val="clear" w:color="auto" w:fill="auto"/>
            <w:noWrap/>
            <w:vAlign w:val="bottom"/>
            <w:hideMark/>
          </w:tcPr>
          <w:p w14:paraId="2B573088"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209.65</w:t>
            </w:r>
          </w:p>
        </w:tc>
        <w:tc>
          <w:tcPr>
            <w:tcW w:w="1612" w:type="dxa"/>
            <w:shd w:val="clear" w:color="auto" w:fill="auto"/>
            <w:noWrap/>
            <w:vAlign w:val="bottom"/>
            <w:hideMark/>
          </w:tcPr>
          <w:p w14:paraId="4AED91FE"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38.24</w:t>
            </w:r>
          </w:p>
        </w:tc>
      </w:tr>
      <w:tr w:rsidR="005B5953" w:rsidRPr="005B12AE" w14:paraId="5A5C8EBA" w14:textId="77777777" w:rsidTr="00250DAC">
        <w:trPr>
          <w:trHeight w:val="21"/>
        </w:trPr>
        <w:tc>
          <w:tcPr>
            <w:tcW w:w="535" w:type="dxa"/>
            <w:shd w:val="clear" w:color="auto" w:fill="auto"/>
            <w:noWrap/>
            <w:vAlign w:val="center"/>
          </w:tcPr>
          <w:p w14:paraId="762D1F2F"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2.</w:t>
            </w:r>
          </w:p>
        </w:tc>
        <w:tc>
          <w:tcPr>
            <w:tcW w:w="9983" w:type="dxa"/>
            <w:gridSpan w:val="4"/>
            <w:shd w:val="clear" w:color="auto" w:fill="auto"/>
            <w:noWrap/>
            <w:vAlign w:val="bottom"/>
          </w:tcPr>
          <w:p w14:paraId="3C123780"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Cash flows are reported using the indirect method, whereby profit before tax is adjusted for the effects of transactions of a non-cash nature and any deferrals or accruals of past or future cash receipts or payments. The cash flows from regular revenue generating, financing and investing activities of the company are segregated.</w:t>
            </w:r>
          </w:p>
          <w:p w14:paraId="21E7F2DB"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The accompanying summary of significant accounting policies, restated notes to accounts and notes on adjustments for restated summary financial information (Annexure IV) are an integral part of this statement.</w:t>
            </w:r>
          </w:p>
        </w:tc>
      </w:tr>
    </w:tbl>
    <w:p w14:paraId="417157B1" w14:textId="77777777" w:rsidR="005B5953" w:rsidRPr="005B12AE" w:rsidRDefault="005B5953" w:rsidP="005B5953">
      <w:pPr>
        <w:rPr>
          <w:rFonts w:ascii="Times New Roman" w:hAnsi="Times New Roman"/>
          <w:b/>
          <w:bCs/>
          <w:sz w:val="20"/>
          <w:szCs w:val="20"/>
        </w:rPr>
      </w:pPr>
      <w:r w:rsidRPr="005B12AE">
        <w:rPr>
          <w:rFonts w:ascii="Times New Roman" w:hAnsi="Times New Roman"/>
          <w:b/>
          <w:bCs/>
          <w:sz w:val="20"/>
          <w:szCs w:val="20"/>
        </w:rPr>
        <w:br w:type="page"/>
      </w:r>
    </w:p>
    <w:p w14:paraId="343DF48C" w14:textId="77777777" w:rsidR="005B5953" w:rsidRPr="005B12AE" w:rsidRDefault="005B5953" w:rsidP="005B5953">
      <w:pPr>
        <w:spacing w:after="0"/>
        <w:jc w:val="center"/>
        <w:rPr>
          <w:rFonts w:ascii="Times New Roman" w:hAnsi="Times New Roman"/>
          <w:b/>
          <w:bCs/>
          <w:sz w:val="20"/>
          <w:szCs w:val="20"/>
        </w:rPr>
      </w:pPr>
      <w:r w:rsidRPr="005B12AE">
        <w:rPr>
          <w:rFonts w:ascii="Times New Roman" w:hAnsi="Times New Roman"/>
          <w:b/>
          <w:bCs/>
          <w:sz w:val="20"/>
          <w:szCs w:val="20"/>
        </w:rPr>
        <w:lastRenderedPageBreak/>
        <w:t>ANNEXURE – IV</w:t>
      </w:r>
    </w:p>
    <w:p w14:paraId="47DB7121" w14:textId="77777777" w:rsidR="005B5953" w:rsidRPr="005B12AE" w:rsidRDefault="005B5953" w:rsidP="005B5953">
      <w:pPr>
        <w:spacing w:after="0"/>
        <w:jc w:val="center"/>
        <w:rPr>
          <w:rFonts w:ascii="Times New Roman" w:hAnsi="Times New Roman"/>
          <w:b/>
          <w:bCs/>
          <w:sz w:val="20"/>
          <w:szCs w:val="20"/>
        </w:rPr>
      </w:pPr>
    </w:p>
    <w:p w14:paraId="488FE9C3" w14:textId="77777777" w:rsidR="005B5953" w:rsidRPr="005B12AE" w:rsidRDefault="005B5953" w:rsidP="005B5953">
      <w:pPr>
        <w:spacing w:after="0"/>
        <w:jc w:val="center"/>
        <w:rPr>
          <w:rFonts w:ascii="Times New Roman" w:hAnsi="Times New Roman"/>
          <w:b/>
          <w:bCs/>
          <w:sz w:val="20"/>
          <w:szCs w:val="20"/>
        </w:rPr>
      </w:pPr>
      <w:r w:rsidRPr="005B12AE">
        <w:rPr>
          <w:rFonts w:ascii="Times New Roman" w:hAnsi="Times New Roman"/>
          <w:b/>
          <w:bCs/>
          <w:sz w:val="20"/>
          <w:szCs w:val="20"/>
        </w:rPr>
        <w:t>STATEMENT OF SIGNIFICANT ACCOUNTING POLICIES &amp; NOTES TO RESTATED FINANCIAL STATEMENTS</w:t>
      </w:r>
    </w:p>
    <w:p w14:paraId="5407B175" w14:textId="77777777" w:rsidR="005B5953" w:rsidRPr="005B12AE" w:rsidRDefault="005B5953" w:rsidP="005B5953">
      <w:pPr>
        <w:spacing w:after="0"/>
        <w:jc w:val="center"/>
        <w:rPr>
          <w:rFonts w:ascii="Times New Roman" w:hAnsi="Times New Roman"/>
          <w:b/>
          <w:bCs/>
          <w:sz w:val="20"/>
          <w:szCs w:val="20"/>
        </w:rPr>
      </w:pPr>
    </w:p>
    <w:p w14:paraId="462FCA9E" w14:textId="77777777" w:rsidR="005B5953" w:rsidRPr="005B12AE" w:rsidRDefault="005B5953" w:rsidP="005B5953">
      <w:pPr>
        <w:pStyle w:val="NoSpacing"/>
        <w:suppressAutoHyphens w:val="0"/>
        <w:autoSpaceDE/>
        <w:autoSpaceDN/>
        <w:adjustRightInd/>
        <w:spacing w:line="240" w:lineRule="auto"/>
        <w:jc w:val="both"/>
        <w:textAlignment w:val="auto"/>
        <w:rPr>
          <w:b/>
        </w:rPr>
      </w:pPr>
      <w:r w:rsidRPr="005B12AE">
        <w:rPr>
          <w:b/>
        </w:rPr>
        <w:t>COMPANY OVERVIEW</w:t>
      </w:r>
    </w:p>
    <w:p w14:paraId="327CE591" w14:textId="77777777" w:rsidR="005B5953" w:rsidRPr="005B12AE" w:rsidRDefault="005B5953" w:rsidP="005B5953">
      <w:pPr>
        <w:pStyle w:val="NoSpacing"/>
        <w:spacing w:line="240" w:lineRule="auto"/>
        <w:jc w:val="both"/>
      </w:pPr>
    </w:p>
    <w:p w14:paraId="7C7FC12A" w14:textId="77777777" w:rsidR="005B5953" w:rsidRPr="005B12AE" w:rsidRDefault="005B5953" w:rsidP="005B5953">
      <w:pPr>
        <w:spacing w:after="0" w:line="240" w:lineRule="auto"/>
        <w:jc w:val="both"/>
        <w:rPr>
          <w:rFonts w:ascii="Times New Roman" w:hAnsi="Times New Roman"/>
          <w:color w:val="000000"/>
          <w:sz w:val="20"/>
          <w:szCs w:val="20"/>
        </w:rPr>
      </w:pPr>
      <w:bookmarkStart w:id="21" w:name="_Hlk69048307"/>
      <w:r w:rsidRPr="005B12AE">
        <w:rPr>
          <w:rFonts w:ascii="Times New Roman" w:hAnsi="Times New Roman"/>
          <w:color w:val="000000"/>
          <w:sz w:val="20"/>
          <w:szCs w:val="20"/>
        </w:rPr>
        <w:t xml:space="preserve">SIYARAM RECYCLING INDUSTRIES LIMITED (ERSTWHILE KNOWN AS SIYARAM IMPEX PRIVATE LIMITED) (the </w:t>
      </w:r>
      <w:r w:rsidRPr="005B12AE">
        <w:rPr>
          <w:rFonts w:ascii="Times New Roman" w:hAnsi="Times New Roman"/>
          <w:b/>
          <w:color w:val="000000"/>
          <w:sz w:val="20"/>
          <w:szCs w:val="20"/>
        </w:rPr>
        <w:t>“Company”</w:t>
      </w:r>
      <w:r w:rsidRPr="005B12AE">
        <w:rPr>
          <w:rFonts w:ascii="Times New Roman" w:hAnsi="Times New Roman"/>
          <w:color w:val="000000"/>
          <w:sz w:val="20"/>
          <w:szCs w:val="20"/>
        </w:rPr>
        <w:t xml:space="preserve">) was incorporated on </w:t>
      </w:r>
      <w:r w:rsidRPr="005B12AE">
        <w:rPr>
          <w:rFonts w:ascii="Times New Roman" w:hAnsi="Times New Roman"/>
          <w:bCs/>
          <w:sz w:val="20"/>
          <w:szCs w:val="20"/>
          <w:lang w:val="en-GB"/>
        </w:rPr>
        <w:t xml:space="preserve">February 12, 2007 </w:t>
      </w:r>
      <w:r w:rsidRPr="005B12AE">
        <w:rPr>
          <w:rFonts w:ascii="Times New Roman" w:hAnsi="Times New Roman"/>
          <w:sz w:val="20"/>
          <w:szCs w:val="20"/>
          <w:lang w:val="en-IN"/>
        </w:rPr>
        <w:t>under</w:t>
      </w:r>
      <w:r w:rsidRPr="005B12AE">
        <w:rPr>
          <w:rFonts w:ascii="Times New Roman" w:hAnsi="Times New Roman"/>
          <w:sz w:val="20"/>
          <w:szCs w:val="20"/>
        </w:rPr>
        <w:t xml:space="preserve"> the provisions of the Companies Act, 1956 with</w:t>
      </w:r>
      <w:r w:rsidRPr="005B12AE">
        <w:rPr>
          <w:rFonts w:ascii="Times New Roman" w:hAnsi="Times New Roman"/>
          <w:sz w:val="20"/>
          <w:szCs w:val="20"/>
          <w:lang w:val="en-IN"/>
        </w:rPr>
        <w:t xml:space="preserve"> the Registrar of Companies, Ahmedabad. The Company’s </w:t>
      </w:r>
      <w:r w:rsidRPr="005B12AE">
        <w:rPr>
          <w:rFonts w:ascii="Times New Roman" w:hAnsi="Times New Roman"/>
          <w:color w:val="000000"/>
          <w:sz w:val="20"/>
          <w:szCs w:val="20"/>
        </w:rPr>
        <w:t xml:space="preserve">registered office is situated at </w:t>
      </w:r>
      <w:r w:rsidRPr="005B12AE">
        <w:rPr>
          <w:rFonts w:ascii="Times New Roman" w:hAnsi="Times New Roman"/>
          <w:b/>
          <w:bCs/>
          <w:color w:val="000000"/>
          <w:sz w:val="20"/>
          <w:szCs w:val="20"/>
        </w:rPr>
        <w:t>Plot No. 6 &amp; 7, Village: Lakhabaval Post: Khodiyar Colony, Jamnagar Gujarat - 361006</w:t>
      </w:r>
      <w:r w:rsidRPr="005B12AE">
        <w:rPr>
          <w:rFonts w:ascii="Times New Roman" w:hAnsi="Times New Roman"/>
          <w:color w:val="000000"/>
          <w:sz w:val="20"/>
          <w:szCs w:val="20"/>
        </w:rPr>
        <w:t>. (i) segregation of brass scrap (ii) manufacturing of brass ingots, billets and brass rods and (iii) manufacturing of brass based components (plumbing and sanitary parts).</w:t>
      </w:r>
    </w:p>
    <w:bookmarkEnd w:id="21"/>
    <w:p w14:paraId="4C227220" w14:textId="77777777" w:rsidR="005B5953" w:rsidRPr="005B12AE" w:rsidRDefault="005B5953" w:rsidP="005B5953">
      <w:pPr>
        <w:pStyle w:val="NoSpacing"/>
        <w:spacing w:line="240" w:lineRule="auto"/>
        <w:jc w:val="both"/>
      </w:pPr>
    </w:p>
    <w:p w14:paraId="608117DB" w14:textId="77777777" w:rsidR="005B5953" w:rsidRPr="005B12AE" w:rsidRDefault="005B5953">
      <w:pPr>
        <w:pStyle w:val="NoSpacing"/>
        <w:numPr>
          <w:ilvl w:val="0"/>
          <w:numId w:val="332"/>
        </w:numPr>
        <w:suppressAutoHyphens w:val="0"/>
        <w:autoSpaceDE/>
        <w:autoSpaceDN/>
        <w:adjustRightInd/>
        <w:spacing w:line="240" w:lineRule="auto"/>
        <w:ind w:left="630" w:hanging="450"/>
        <w:jc w:val="both"/>
        <w:textAlignment w:val="auto"/>
        <w:rPr>
          <w:b/>
          <w:u w:val="single"/>
        </w:rPr>
      </w:pPr>
      <w:r w:rsidRPr="005B12AE">
        <w:rPr>
          <w:b/>
          <w:u w:val="single"/>
        </w:rPr>
        <w:t>SIGNIFICANT ACCOUNTING POLICIES</w:t>
      </w:r>
    </w:p>
    <w:p w14:paraId="537D0B6B" w14:textId="77777777" w:rsidR="005B5953" w:rsidRPr="005B12AE" w:rsidRDefault="005B5953" w:rsidP="005B5953">
      <w:pPr>
        <w:pStyle w:val="NoSpacing"/>
        <w:spacing w:line="240" w:lineRule="auto"/>
        <w:jc w:val="both"/>
        <w:rPr>
          <w:b/>
        </w:rPr>
      </w:pPr>
    </w:p>
    <w:p w14:paraId="7F2BE00F" w14:textId="77777777" w:rsidR="005B5953" w:rsidRPr="005B12AE" w:rsidRDefault="005B5953">
      <w:pPr>
        <w:pStyle w:val="NoSpacing"/>
        <w:numPr>
          <w:ilvl w:val="0"/>
          <w:numId w:val="331"/>
        </w:numPr>
        <w:suppressAutoHyphens w:val="0"/>
        <w:autoSpaceDE/>
        <w:autoSpaceDN/>
        <w:adjustRightInd/>
        <w:spacing w:line="240" w:lineRule="auto"/>
        <w:ind w:left="426" w:hanging="426"/>
        <w:jc w:val="both"/>
        <w:textAlignment w:val="auto"/>
      </w:pPr>
      <w:r w:rsidRPr="005B12AE">
        <w:rPr>
          <w:b/>
        </w:rPr>
        <w:t>BASIS OF PREPARATION OF FINANCIAL STATEMENT</w:t>
      </w:r>
    </w:p>
    <w:p w14:paraId="513F97A2" w14:textId="77777777" w:rsidR="005B5953" w:rsidRPr="005B12AE" w:rsidRDefault="005B5953" w:rsidP="005B5953">
      <w:pPr>
        <w:pStyle w:val="NoSpacing"/>
        <w:spacing w:line="240" w:lineRule="auto"/>
        <w:jc w:val="both"/>
      </w:pPr>
    </w:p>
    <w:p w14:paraId="0FA9092E" w14:textId="77777777" w:rsidR="005B5953" w:rsidRPr="005B12AE" w:rsidRDefault="005B5953" w:rsidP="005B5953">
      <w:pPr>
        <w:pStyle w:val="NoSpacing"/>
        <w:spacing w:line="240" w:lineRule="auto"/>
        <w:jc w:val="both"/>
      </w:pPr>
      <w:r w:rsidRPr="005B12AE">
        <w:t xml:space="preserve">The Restated Statement of Assets and Liabilities (Annexure I) of the company as at March 31, 2023, March 31, 2022 and March 31, 2021 , the Restated Statements of Profit and Loss (Annexure II), the Restated Cash Flow Statement (Annexure III) for the financial year ended March 31, 2023, March 31, 2022 and March 31, 2021 (hereinafter collectively referred to as </w:t>
      </w:r>
      <w:r w:rsidRPr="005B12AE">
        <w:rPr>
          <w:b/>
        </w:rPr>
        <w:t>“Restated Financial Information”</w:t>
      </w:r>
      <w:r w:rsidRPr="005B12AE">
        <w:t>) have been extracted by the management from the audited financial statements for the March 31, 2023, 2022, and 2021, approved by the respective Board of Directors of the companies.</w:t>
      </w:r>
    </w:p>
    <w:p w14:paraId="62D1EFB1" w14:textId="77777777" w:rsidR="005B5953" w:rsidRPr="005B12AE" w:rsidRDefault="005B5953" w:rsidP="005B5953">
      <w:pPr>
        <w:pStyle w:val="NoSpacing"/>
        <w:spacing w:line="240" w:lineRule="auto"/>
        <w:jc w:val="both"/>
      </w:pPr>
    </w:p>
    <w:p w14:paraId="2AE54C2B" w14:textId="77777777" w:rsidR="005B5953" w:rsidRPr="005B12AE" w:rsidRDefault="005B5953" w:rsidP="005B5953">
      <w:pPr>
        <w:pStyle w:val="NoSpacing"/>
        <w:spacing w:line="240" w:lineRule="auto"/>
        <w:jc w:val="both"/>
      </w:pPr>
      <w:r w:rsidRPr="005B12AE">
        <w:t>These financial statements are prepared in accordance with Indian Generally Accepted Accounting Principles (GAAP) under the historical cost convention on the accrual basis. GAAP comprises mandatory accounting standards as prescribed under Section 133 of the Companies Act, 2013 (‘the Act’) read with Rule 7 of the Companies (Accounts) Rules, 2014, the provisions of the Act. The accounting policies adopted in the preparation of financial statements have been consistently applied. All assets and liabilities have been classified as current or non-current as per the company’s normal operating cycle and other criteria set out in the Schedule III to the Companies Act, 2013. Based on the nature of operations and time difference between the provision of services and realization of cash and cash equivalents, the company has ascertained its operating cycle as 12 months for the purpose of current and non-current classification of assets and liabilities.</w:t>
      </w:r>
    </w:p>
    <w:p w14:paraId="39A7D28E" w14:textId="77777777" w:rsidR="005B5953" w:rsidRPr="005B12AE" w:rsidRDefault="005B5953" w:rsidP="005B5953">
      <w:pPr>
        <w:pStyle w:val="NoSpacing"/>
        <w:spacing w:line="240" w:lineRule="auto"/>
        <w:jc w:val="both"/>
      </w:pPr>
    </w:p>
    <w:p w14:paraId="76456F9E" w14:textId="77777777" w:rsidR="005B5953" w:rsidRPr="005B12AE" w:rsidRDefault="005B5953">
      <w:pPr>
        <w:pStyle w:val="NoSpacing"/>
        <w:numPr>
          <w:ilvl w:val="0"/>
          <w:numId w:val="331"/>
        </w:numPr>
        <w:suppressAutoHyphens w:val="0"/>
        <w:autoSpaceDE/>
        <w:autoSpaceDN/>
        <w:adjustRightInd/>
        <w:spacing w:line="240" w:lineRule="auto"/>
        <w:ind w:left="426" w:hanging="426"/>
        <w:jc w:val="both"/>
        <w:textAlignment w:val="auto"/>
        <w:rPr>
          <w:b/>
        </w:rPr>
      </w:pPr>
      <w:r w:rsidRPr="005B12AE">
        <w:rPr>
          <w:b/>
        </w:rPr>
        <w:t>USE OF ESTIMATES</w:t>
      </w:r>
    </w:p>
    <w:p w14:paraId="60D7FF07" w14:textId="77777777" w:rsidR="005B5953" w:rsidRPr="005B12AE" w:rsidRDefault="005B5953" w:rsidP="005B5953">
      <w:pPr>
        <w:pStyle w:val="NoSpacing"/>
        <w:spacing w:line="240" w:lineRule="auto"/>
        <w:jc w:val="both"/>
      </w:pPr>
    </w:p>
    <w:p w14:paraId="595F887B" w14:textId="77777777" w:rsidR="005B5953" w:rsidRPr="005B12AE" w:rsidRDefault="005B5953" w:rsidP="005B5953">
      <w:pPr>
        <w:pStyle w:val="NoSpacing"/>
        <w:spacing w:line="240" w:lineRule="auto"/>
        <w:jc w:val="both"/>
      </w:pPr>
      <w:r w:rsidRPr="005B12AE">
        <w:t>The preparation of financial statements is in conformity with Indian GAAP requires judgments, estimates and assumptions to be made that affect the reported amount of assets and liabilities, disclosure of contingent liabilities on the date of the financial statements and the reported amount of revenues and expenses during the reporting period. Difference between the actual results and estimates are recognized in the period in which the results are known / materialized.</w:t>
      </w:r>
    </w:p>
    <w:p w14:paraId="4103C7D3" w14:textId="77777777" w:rsidR="005B5953" w:rsidRPr="005B12AE" w:rsidRDefault="005B5953" w:rsidP="005B5953">
      <w:pPr>
        <w:pStyle w:val="NoSpacing"/>
        <w:spacing w:line="240" w:lineRule="auto"/>
        <w:jc w:val="both"/>
      </w:pPr>
    </w:p>
    <w:p w14:paraId="4915CE22" w14:textId="77777777" w:rsidR="005B5953" w:rsidRPr="005B12AE" w:rsidRDefault="005B5953" w:rsidP="005B5953">
      <w:pPr>
        <w:pStyle w:val="NoSpacing"/>
        <w:spacing w:line="240" w:lineRule="auto"/>
        <w:jc w:val="both"/>
        <w:rPr>
          <w:b/>
        </w:rPr>
      </w:pPr>
      <w:r w:rsidRPr="005B12AE">
        <w:rPr>
          <w:b/>
        </w:rPr>
        <w:t>C) ACCOUNTING CONVENTION</w:t>
      </w:r>
    </w:p>
    <w:p w14:paraId="6491B814" w14:textId="77777777" w:rsidR="005B5953" w:rsidRPr="005B12AE" w:rsidRDefault="005B5953" w:rsidP="005B5953">
      <w:pPr>
        <w:pStyle w:val="NoSpacing"/>
        <w:spacing w:line="240" w:lineRule="auto"/>
        <w:jc w:val="both"/>
      </w:pPr>
    </w:p>
    <w:p w14:paraId="454FCD47" w14:textId="77777777" w:rsidR="005B5953" w:rsidRPr="005B12AE" w:rsidRDefault="005B5953" w:rsidP="005B5953">
      <w:pPr>
        <w:pStyle w:val="NoSpacing"/>
        <w:spacing w:line="240" w:lineRule="auto"/>
        <w:jc w:val="both"/>
      </w:pPr>
      <w:r w:rsidRPr="005B12AE">
        <w:t>The group follows the mercantile system of accounting, recognizing income and expenditure on accrual basis. The accounts are prepared on historical cost basis and as a going concern. Accounting policies not referred to specifically otherwise, are consistent with the generally accepted accounting principles.</w:t>
      </w:r>
    </w:p>
    <w:p w14:paraId="2182F9DB" w14:textId="77777777" w:rsidR="005B5953" w:rsidRPr="005B12AE" w:rsidRDefault="005B5953" w:rsidP="005B5953">
      <w:pPr>
        <w:pStyle w:val="NoSpacing"/>
        <w:spacing w:line="240" w:lineRule="auto"/>
        <w:jc w:val="both"/>
      </w:pPr>
    </w:p>
    <w:p w14:paraId="38B810F7" w14:textId="77777777" w:rsidR="005B5953" w:rsidRPr="005B12AE" w:rsidRDefault="005B5953" w:rsidP="005B5953">
      <w:pPr>
        <w:pStyle w:val="NoSpacing"/>
        <w:spacing w:line="240" w:lineRule="auto"/>
        <w:jc w:val="both"/>
      </w:pPr>
      <w:r w:rsidRPr="005B12AE">
        <w:t>The following significant accounting policies are adopted in the preparation and presentation of these financial statements:</w:t>
      </w:r>
    </w:p>
    <w:p w14:paraId="086F955F" w14:textId="77777777" w:rsidR="005B5953" w:rsidRPr="005B12AE" w:rsidRDefault="005B5953" w:rsidP="005B5953">
      <w:pPr>
        <w:pStyle w:val="NoSpacing"/>
        <w:spacing w:line="240" w:lineRule="auto"/>
        <w:jc w:val="both"/>
      </w:pPr>
    </w:p>
    <w:p w14:paraId="3BC2157C" w14:textId="77777777" w:rsidR="005B5953" w:rsidRPr="005B12AE" w:rsidRDefault="005B5953" w:rsidP="005B5953">
      <w:pPr>
        <w:pStyle w:val="NoSpacing"/>
        <w:spacing w:line="240" w:lineRule="auto"/>
        <w:jc w:val="both"/>
        <w:rPr>
          <w:b/>
        </w:rPr>
      </w:pPr>
      <w:r w:rsidRPr="005B12AE">
        <w:rPr>
          <w:b/>
        </w:rPr>
        <w:t>1. Revenue recognition</w:t>
      </w:r>
    </w:p>
    <w:p w14:paraId="1FBF03D3" w14:textId="77777777" w:rsidR="005B5953" w:rsidRPr="005B12AE" w:rsidRDefault="005B5953" w:rsidP="005B5953">
      <w:pPr>
        <w:pStyle w:val="NoSpacing"/>
        <w:spacing w:line="240" w:lineRule="auto"/>
        <w:jc w:val="both"/>
      </w:pPr>
    </w:p>
    <w:p w14:paraId="7E027DF4" w14:textId="77777777" w:rsidR="005B5953" w:rsidRPr="005B12AE" w:rsidRDefault="005B5953" w:rsidP="005B5953">
      <w:pPr>
        <w:pStyle w:val="NoSpacing"/>
        <w:spacing w:line="240" w:lineRule="auto"/>
        <w:jc w:val="both"/>
      </w:pPr>
      <w:r w:rsidRPr="005B12AE">
        <w:t>Revenue is recognized to the extent that it is probable that the economic benefits will flow to the Company and the revenue can be reliably measured.</w:t>
      </w:r>
    </w:p>
    <w:p w14:paraId="40A704B5" w14:textId="77777777" w:rsidR="005B5953" w:rsidRPr="005B12AE" w:rsidRDefault="005B5953" w:rsidP="005B5953">
      <w:pPr>
        <w:pStyle w:val="NoSpacing"/>
        <w:spacing w:line="240" w:lineRule="auto"/>
        <w:jc w:val="both"/>
        <w:rPr>
          <w:b/>
        </w:rPr>
      </w:pPr>
    </w:p>
    <w:p w14:paraId="626C7263" w14:textId="77777777" w:rsidR="005B5953" w:rsidRPr="005B12AE" w:rsidRDefault="005B5953" w:rsidP="005B5953">
      <w:pPr>
        <w:pStyle w:val="NoSpacing"/>
        <w:spacing w:line="240" w:lineRule="auto"/>
        <w:jc w:val="both"/>
        <w:rPr>
          <w:b/>
        </w:rPr>
      </w:pPr>
      <w:r w:rsidRPr="005B12AE">
        <w:rPr>
          <w:b/>
        </w:rPr>
        <w:t>Sale of goods</w:t>
      </w:r>
    </w:p>
    <w:p w14:paraId="756D299C" w14:textId="77777777" w:rsidR="005B5953" w:rsidRPr="005B12AE" w:rsidRDefault="005B5953" w:rsidP="005B5953">
      <w:pPr>
        <w:pStyle w:val="NoSpacing"/>
        <w:spacing w:line="240" w:lineRule="auto"/>
        <w:jc w:val="both"/>
        <w:rPr>
          <w:b/>
        </w:rPr>
      </w:pPr>
    </w:p>
    <w:p w14:paraId="77E24A38" w14:textId="77777777" w:rsidR="005B5953" w:rsidRPr="005B12AE" w:rsidRDefault="005B5953" w:rsidP="005B5953">
      <w:pPr>
        <w:pStyle w:val="NoSpacing"/>
        <w:spacing w:line="240" w:lineRule="auto"/>
        <w:jc w:val="both"/>
      </w:pPr>
      <w:r w:rsidRPr="005B12AE">
        <w:t xml:space="preserve">Revenue is recognized when the significant risks and rewards of ownership of the goods have been passed to the buyer. Sales are disclosed net of GST, trade discounts and returns, as applicable. </w:t>
      </w:r>
    </w:p>
    <w:p w14:paraId="3F462C9F" w14:textId="77777777" w:rsidR="005B5953" w:rsidRPr="005B12AE" w:rsidRDefault="005B5953" w:rsidP="005B5953">
      <w:pPr>
        <w:pStyle w:val="NoSpacing"/>
        <w:spacing w:line="240" w:lineRule="auto"/>
        <w:jc w:val="both"/>
        <w:rPr>
          <w:b/>
        </w:rPr>
      </w:pPr>
    </w:p>
    <w:p w14:paraId="022AA75B" w14:textId="77777777" w:rsidR="005B5953" w:rsidRPr="005B12AE" w:rsidRDefault="005B5953" w:rsidP="005B5953">
      <w:pPr>
        <w:pStyle w:val="NoSpacing"/>
        <w:spacing w:line="240" w:lineRule="auto"/>
        <w:jc w:val="both"/>
        <w:rPr>
          <w:b/>
        </w:rPr>
      </w:pPr>
      <w:r w:rsidRPr="005B12AE">
        <w:rPr>
          <w:b/>
        </w:rPr>
        <w:t>Income from services</w:t>
      </w:r>
    </w:p>
    <w:p w14:paraId="39630E7F" w14:textId="77777777" w:rsidR="005B5953" w:rsidRPr="005B12AE" w:rsidRDefault="005B5953" w:rsidP="005B5953">
      <w:pPr>
        <w:pStyle w:val="NoSpacing"/>
        <w:spacing w:line="240" w:lineRule="auto"/>
        <w:jc w:val="both"/>
        <w:rPr>
          <w:b/>
        </w:rPr>
      </w:pPr>
    </w:p>
    <w:p w14:paraId="28300012" w14:textId="77777777" w:rsidR="005B5953" w:rsidRPr="005B12AE" w:rsidRDefault="005B5953" w:rsidP="005B5953">
      <w:pPr>
        <w:pStyle w:val="NoSpacing"/>
        <w:spacing w:line="240" w:lineRule="auto"/>
        <w:jc w:val="both"/>
      </w:pPr>
      <w:r w:rsidRPr="005B12AE">
        <w:t>Revenue from services is recognized when services have been rendered and there should be no uncertainty regarding consideration and its ultimate collection.</w:t>
      </w:r>
    </w:p>
    <w:p w14:paraId="547F8C87" w14:textId="77777777" w:rsidR="005B5953" w:rsidRDefault="005B5953" w:rsidP="005B5953">
      <w:pPr>
        <w:pStyle w:val="NoSpacing"/>
        <w:spacing w:line="240" w:lineRule="auto"/>
        <w:jc w:val="both"/>
      </w:pPr>
    </w:p>
    <w:p w14:paraId="16689A15" w14:textId="77777777" w:rsidR="0021246C" w:rsidRDefault="0021246C" w:rsidP="005B5953">
      <w:pPr>
        <w:pStyle w:val="NoSpacing"/>
        <w:spacing w:line="240" w:lineRule="auto"/>
        <w:jc w:val="both"/>
      </w:pPr>
    </w:p>
    <w:p w14:paraId="052E7634" w14:textId="77777777" w:rsidR="0021246C" w:rsidRPr="005B12AE" w:rsidRDefault="0021246C" w:rsidP="005B5953">
      <w:pPr>
        <w:pStyle w:val="NoSpacing"/>
        <w:spacing w:line="240" w:lineRule="auto"/>
        <w:jc w:val="both"/>
      </w:pPr>
    </w:p>
    <w:p w14:paraId="3C3EF6A7" w14:textId="77777777" w:rsidR="005B5953" w:rsidRPr="005B12AE" w:rsidRDefault="005B5953" w:rsidP="005B5953">
      <w:pPr>
        <w:pStyle w:val="NoSpacing"/>
        <w:spacing w:line="240" w:lineRule="auto"/>
        <w:jc w:val="both"/>
        <w:rPr>
          <w:b/>
        </w:rPr>
      </w:pPr>
      <w:r w:rsidRPr="005B12AE">
        <w:rPr>
          <w:b/>
        </w:rPr>
        <w:lastRenderedPageBreak/>
        <w:t>Interest Income</w:t>
      </w:r>
    </w:p>
    <w:p w14:paraId="568935D0" w14:textId="77777777" w:rsidR="005B5953" w:rsidRPr="005B12AE" w:rsidRDefault="005B5953" w:rsidP="005B5953">
      <w:pPr>
        <w:pStyle w:val="NoSpacing"/>
        <w:spacing w:line="240" w:lineRule="auto"/>
        <w:jc w:val="both"/>
        <w:rPr>
          <w:b/>
        </w:rPr>
      </w:pPr>
    </w:p>
    <w:p w14:paraId="68E261E6" w14:textId="77777777" w:rsidR="005B5953" w:rsidRPr="005B12AE" w:rsidRDefault="005B5953" w:rsidP="005B5953">
      <w:pPr>
        <w:pStyle w:val="NoSpacing"/>
        <w:spacing w:line="240" w:lineRule="auto"/>
        <w:jc w:val="both"/>
      </w:pPr>
      <w:r w:rsidRPr="005B12AE">
        <w:t>Interest income is recognized on a time proportion basis taking into account the amount outstanding and the rate applicable."</w:t>
      </w:r>
      <w:r w:rsidRPr="005B12AE">
        <w:tab/>
      </w:r>
    </w:p>
    <w:p w14:paraId="4FD29FA0" w14:textId="77777777" w:rsidR="005B5953" w:rsidRPr="005B12AE" w:rsidRDefault="005B5953" w:rsidP="005B5953">
      <w:pPr>
        <w:pStyle w:val="NoSpacing"/>
        <w:spacing w:line="240" w:lineRule="auto"/>
        <w:jc w:val="both"/>
      </w:pPr>
    </w:p>
    <w:p w14:paraId="5E42AC9E" w14:textId="77777777" w:rsidR="005B5953" w:rsidRPr="005B12AE" w:rsidRDefault="005B5953" w:rsidP="005B5953">
      <w:pPr>
        <w:pStyle w:val="NoSpacing"/>
        <w:spacing w:line="240" w:lineRule="auto"/>
        <w:jc w:val="both"/>
        <w:rPr>
          <w:b/>
        </w:rPr>
      </w:pPr>
      <w:r w:rsidRPr="005B12AE">
        <w:rPr>
          <w:b/>
        </w:rPr>
        <w:t>Dividend Income</w:t>
      </w:r>
    </w:p>
    <w:p w14:paraId="3EE50E07" w14:textId="77777777" w:rsidR="005B5953" w:rsidRPr="005B12AE" w:rsidRDefault="005B5953" w:rsidP="005B5953">
      <w:pPr>
        <w:pStyle w:val="NoSpacing"/>
        <w:spacing w:line="240" w:lineRule="auto"/>
        <w:jc w:val="both"/>
        <w:rPr>
          <w:b/>
        </w:rPr>
      </w:pPr>
      <w:r w:rsidRPr="005B12AE">
        <w:rPr>
          <w:b/>
        </w:rPr>
        <w:t xml:space="preserve"> </w:t>
      </w:r>
    </w:p>
    <w:p w14:paraId="7457FA35" w14:textId="77777777" w:rsidR="005B5953" w:rsidRPr="005B12AE" w:rsidRDefault="005B5953" w:rsidP="005B5953">
      <w:pPr>
        <w:pStyle w:val="NoSpacing"/>
        <w:spacing w:line="240" w:lineRule="auto"/>
        <w:jc w:val="both"/>
      </w:pPr>
      <w:r w:rsidRPr="005B12AE">
        <w:t>Dividend Income is recognized on receipt basis.</w:t>
      </w:r>
    </w:p>
    <w:p w14:paraId="6E26B105" w14:textId="77777777" w:rsidR="005B5953" w:rsidRPr="005B12AE" w:rsidRDefault="005B5953" w:rsidP="005B5953">
      <w:pPr>
        <w:pStyle w:val="NoSpacing"/>
        <w:spacing w:line="240" w:lineRule="auto"/>
        <w:jc w:val="both"/>
        <w:rPr>
          <w:b/>
        </w:rPr>
      </w:pPr>
    </w:p>
    <w:p w14:paraId="5D621110" w14:textId="77777777" w:rsidR="005B5953" w:rsidRPr="005B12AE" w:rsidRDefault="005B5953" w:rsidP="005B5953">
      <w:pPr>
        <w:pStyle w:val="NoSpacing"/>
        <w:spacing w:line="240" w:lineRule="auto"/>
        <w:jc w:val="both"/>
        <w:rPr>
          <w:b/>
        </w:rPr>
      </w:pPr>
      <w:r w:rsidRPr="005B12AE">
        <w:rPr>
          <w:b/>
        </w:rPr>
        <w:t>2. Fixed Assets</w:t>
      </w:r>
    </w:p>
    <w:p w14:paraId="16358395" w14:textId="77777777" w:rsidR="005B5953" w:rsidRPr="005B12AE" w:rsidRDefault="005B5953" w:rsidP="005B5953">
      <w:pPr>
        <w:pStyle w:val="NoSpacing"/>
        <w:spacing w:line="240" w:lineRule="auto"/>
        <w:jc w:val="both"/>
        <w:rPr>
          <w:b/>
        </w:rPr>
      </w:pPr>
    </w:p>
    <w:p w14:paraId="1E05ACC5" w14:textId="77777777" w:rsidR="005B5953" w:rsidRPr="005B12AE" w:rsidRDefault="005B5953" w:rsidP="005B5953">
      <w:pPr>
        <w:pStyle w:val="NoSpacing"/>
        <w:spacing w:line="240" w:lineRule="auto"/>
        <w:jc w:val="both"/>
      </w:pPr>
      <w:r w:rsidRPr="005B12AE">
        <w:t>a) Fixed Assets are stated as per Cost Model i.e., at cost less accumulated depreciation and impairment, if any;</w:t>
      </w:r>
    </w:p>
    <w:p w14:paraId="5AC1B989" w14:textId="77777777" w:rsidR="005B5953" w:rsidRPr="005B12AE" w:rsidRDefault="005B5953" w:rsidP="005B5953">
      <w:pPr>
        <w:pStyle w:val="NoSpacing"/>
        <w:spacing w:line="240" w:lineRule="auto"/>
        <w:jc w:val="both"/>
      </w:pPr>
    </w:p>
    <w:p w14:paraId="54F7B0E8" w14:textId="77777777" w:rsidR="005B5953" w:rsidRPr="005B12AE" w:rsidRDefault="005B5953" w:rsidP="005B5953">
      <w:pPr>
        <w:pStyle w:val="NoSpacing"/>
        <w:spacing w:line="240" w:lineRule="auto"/>
        <w:jc w:val="both"/>
      </w:pPr>
      <w:r w:rsidRPr="005B12AE">
        <w:t>b) Costs directly attributable to acquisition are capitalized until the Fixed Assets are ready for use, as intended by the management;</w:t>
      </w:r>
    </w:p>
    <w:p w14:paraId="3D4AA2F3" w14:textId="77777777" w:rsidR="005B5953" w:rsidRPr="005B12AE" w:rsidRDefault="005B5953" w:rsidP="005B5953">
      <w:pPr>
        <w:pStyle w:val="NoSpacing"/>
        <w:spacing w:line="240" w:lineRule="auto"/>
        <w:jc w:val="both"/>
      </w:pPr>
    </w:p>
    <w:p w14:paraId="735A28FA" w14:textId="77777777" w:rsidR="005B5953" w:rsidRPr="005B12AE" w:rsidRDefault="005B5953" w:rsidP="005B5953">
      <w:pPr>
        <w:pStyle w:val="NoSpacing"/>
        <w:spacing w:line="240" w:lineRule="auto"/>
        <w:jc w:val="both"/>
      </w:pPr>
      <w:r w:rsidRPr="005B12AE">
        <w:t>c) Subsequent expenditures relating to fixed assets are capitalized only when it is probable that future economic benefits associated with these will flow to the Company and the cost of the item can be measured reliably. Repairs &amp; maintenance costs are recognized in the Statement of profit &amp; Loss when incurred;</w:t>
      </w:r>
    </w:p>
    <w:p w14:paraId="64E303D1" w14:textId="77777777" w:rsidR="005B5953" w:rsidRPr="005B12AE" w:rsidRDefault="005B5953" w:rsidP="005B5953">
      <w:pPr>
        <w:pStyle w:val="NoSpacing"/>
        <w:spacing w:line="240" w:lineRule="auto"/>
        <w:jc w:val="both"/>
      </w:pPr>
    </w:p>
    <w:p w14:paraId="741652A6" w14:textId="77777777" w:rsidR="005B5953" w:rsidRPr="005B12AE" w:rsidRDefault="005B5953" w:rsidP="005B5953">
      <w:pPr>
        <w:pStyle w:val="NoSpacing"/>
        <w:spacing w:line="240" w:lineRule="auto"/>
        <w:jc w:val="both"/>
      </w:pPr>
      <w:r w:rsidRPr="005B12AE">
        <w:t xml:space="preserve">d) The cost and related accumulated depreciated are eliminated from the financial statements upon sale or retirement of the asset and the resultant gains or losses are recognized in the Statement of Profit or Loss. Assets to be disposed of are reported at the lower of the carrying value or the fair value less cost to sell;   </w:t>
      </w:r>
    </w:p>
    <w:p w14:paraId="176D8F76" w14:textId="77777777" w:rsidR="005B5953" w:rsidRPr="005B12AE" w:rsidRDefault="005B5953" w:rsidP="005B5953">
      <w:pPr>
        <w:pStyle w:val="NoSpacing"/>
        <w:spacing w:line="240" w:lineRule="auto"/>
        <w:jc w:val="both"/>
      </w:pPr>
    </w:p>
    <w:p w14:paraId="61255DBC" w14:textId="77777777" w:rsidR="005B5953" w:rsidRPr="005B12AE" w:rsidRDefault="005B5953" w:rsidP="005B5953">
      <w:pPr>
        <w:pStyle w:val="NoSpacing"/>
        <w:spacing w:line="240" w:lineRule="auto"/>
        <w:jc w:val="both"/>
      </w:pPr>
      <w:r w:rsidRPr="005B12AE">
        <w:t>e) Depreciation on Tangible Assets in case of company is provided in such a manner so that the cost of asset (Net of realizable value) will be amortized over their estimated remaining useful life on WDV basis as per the useful life prescribed under Schedule II to the Companies Act 2013.</w:t>
      </w:r>
    </w:p>
    <w:p w14:paraId="7189D427" w14:textId="77777777" w:rsidR="005B5953" w:rsidRPr="005B12AE" w:rsidRDefault="005B5953" w:rsidP="005B5953">
      <w:pPr>
        <w:pStyle w:val="NoSpacing"/>
        <w:spacing w:line="240" w:lineRule="auto"/>
        <w:jc w:val="both"/>
      </w:pPr>
    </w:p>
    <w:p w14:paraId="4F9CDAB9" w14:textId="77777777" w:rsidR="005B5953" w:rsidRPr="005B12AE" w:rsidRDefault="005B5953" w:rsidP="005B5953">
      <w:pPr>
        <w:pStyle w:val="NoSpacing"/>
        <w:spacing w:line="240" w:lineRule="auto"/>
        <w:jc w:val="both"/>
      </w:pPr>
      <w:r w:rsidRPr="005B12AE">
        <w:t>f) Depreciation methods, useful lives, and residual values are reviewed periodically, including at each financial year end;</w:t>
      </w:r>
    </w:p>
    <w:p w14:paraId="4F7FBD1A" w14:textId="77777777" w:rsidR="005B5953" w:rsidRPr="005B12AE" w:rsidRDefault="005B5953" w:rsidP="005B5953">
      <w:pPr>
        <w:pStyle w:val="NoSpacing"/>
        <w:spacing w:line="240" w:lineRule="auto"/>
        <w:jc w:val="both"/>
      </w:pPr>
    </w:p>
    <w:p w14:paraId="72867CBD" w14:textId="77777777" w:rsidR="005B5953" w:rsidRPr="005B12AE" w:rsidRDefault="005B5953" w:rsidP="005B5953">
      <w:pPr>
        <w:pStyle w:val="NoSpacing"/>
        <w:spacing w:line="240" w:lineRule="auto"/>
        <w:jc w:val="both"/>
        <w:rPr>
          <w:b/>
        </w:rPr>
      </w:pPr>
      <w:r w:rsidRPr="005B12AE">
        <w:rPr>
          <w:b/>
        </w:rPr>
        <w:t>3. IMPAIRMENT</w:t>
      </w:r>
    </w:p>
    <w:p w14:paraId="2C6C46E3" w14:textId="77777777" w:rsidR="005B5953" w:rsidRPr="005B12AE" w:rsidRDefault="005B5953" w:rsidP="005B5953">
      <w:pPr>
        <w:pStyle w:val="NoSpacing"/>
        <w:spacing w:line="240" w:lineRule="auto"/>
        <w:jc w:val="both"/>
      </w:pPr>
    </w:p>
    <w:p w14:paraId="50E83F6A" w14:textId="77777777" w:rsidR="005B5953" w:rsidRPr="005B12AE" w:rsidRDefault="005B5953" w:rsidP="005B5953">
      <w:pPr>
        <w:pStyle w:val="NoSpacing"/>
        <w:spacing w:line="240" w:lineRule="auto"/>
        <w:jc w:val="both"/>
      </w:pPr>
      <w:r w:rsidRPr="005B12AE">
        <w:t>The Management periodically assesses, using external and internal sources, whether there is an indication that an asset may be impaired. An impairment loss is recognized wherever the carrying value of an asset exceeds its recoverable amount. The recoverable amount is higher of the asset's net selling price and value in use, which means the present value of future cash flows expected to arise from the continuing use of the asset and its eventual disposal. An impairment loss for an asset is reversed if, and only if, the reversal can be related objectively to an event occurring after the impairment loss was recognized. The carrying amount of an asset is increased to its revised recoverable amount, provided that this amount does not exceed the carrying amount that would have been determined (net of any accumulated amortization or depreciation) had no impairment loss been recognized for the asset in prior years.</w:t>
      </w:r>
    </w:p>
    <w:p w14:paraId="78D5B440" w14:textId="77777777" w:rsidR="005B5953" w:rsidRPr="005B12AE" w:rsidRDefault="005B5953" w:rsidP="005B5953">
      <w:pPr>
        <w:pStyle w:val="NoSpacing"/>
        <w:spacing w:line="240" w:lineRule="auto"/>
        <w:jc w:val="both"/>
      </w:pPr>
    </w:p>
    <w:p w14:paraId="3970E6EC" w14:textId="77777777" w:rsidR="005B5953" w:rsidRPr="005B12AE" w:rsidRDefault="005B5953" w:rsidP="005B5953">
      <w:pPr>
        <w:pStyle w:val="NoSpacing"/>
        <w:spacing w:line="240" w:lineRule="auto"/>
        <w:jc w:val="both"/>
        <w:rPr>
          <w:b/>
        </w:rPr>
      </w:pPr>
      <w:r w:rsidRPr="005B12AE">
        <w:rPr>
          <w:b/>
        </w:rPr>
        <w:t>4. INVENTORIES</w:t>
      </w:r>
    </w:p>
    <w:p w14:paraId="3B57C653" w14:textId="77777777" w:rsidR="005B5953" w:rsidRPr="005B12AE" w:rsidRDefault="005B5953" w:rsidP="005B5953">
      <w:pPr>
        <w:pStyle w:val="NoSpacing"/>
        <w:spacing w:line="240" w:lineRule="auto"/>
        <w:jc w:val="both"/>
      </w:pPr>
    </w:p>
    <w:p w14:paraId="316028C8" w14:textId="77777777" w:rsidR="005B5953" w:rsidRPr="005B12AE" w:rsidRDefault="005B5953" w:rsidP="005B5953">
      <w:pPr>
        <w:pStyle w:val="NoSpacing"/>
        <w:spacing w:line="240" w:lineRule="auto"/>
        <w:jc w:val="both"/>
      </w:pPr>
      <w:r w:rsidRPr="005B12AE">
        <w:t>Inventories are valued after providing for obsolescence, as follows:</w:t>
      </w:r>
    </w:p>
    <w:p w14:paraId="51095733" w14:textId="77777777" w:rsidR="005B5953" w:rsidRPr="005B12AE" w:rsidRDefault="005B5953">
      <w:pPr>
        <w:pStyle w:val="NoSpacing"/>
        <w:numPr>
          <w:ilvl w:val="0"/>
          <w:numId w:val="333"/>
        </w:numPr>
        <w:spacing w:line="240" w:lineRule="auto"/>
        <w:ind w:left="360"/>
        <w:jc w:val="both"/>
      </w:pPr>
      <w:r w:rsidRPr="005B12AE">
        <w:t>Raw Materials, Stores &amp; Spare parts and Packing Material - Lower of cost and net realizable value. However, materials and other items held for use in the production of inventories are not written down below cost if the finished products in which they will be incorporated are expected to be sold at or above cost. Cost is determined on FIFO Basis.</w:t>
      </w:r>
    </w:p>
    <w:p w14:paraId="6E63117F" w14:textId="457D2F83" w:rsidR="005B5953" w:rsidRPr="005B12AE" w:rsidRDefault="005B5953">
      <w:pPr>
        <w:pStyle w:val="NoSpacing"/>
        <w:numPr>
          <w:ilvl w:val="0"/>
          <w:numId w:val="333"/>
        </w:numPr>
        <w:spacing w:line="240" w:lineRule="auto"/>
        <w:ind w:left="360"/>
        <w:jc w:val="both"/>
      </w:pPr>
      <w:r w:rsidRPr="005B12AE">
        <w:t>Work-in-Progress is valued at raw material cost plus proportionate conversion cost.</w:t>
      </w:r>
    </w:p>
    <w:p w14:paraId="69A32A66" w14:textId="77777777" w:rsidR="005B5953" w:rsidRPr="005B12AE" w:rsidRDefault="005B5953" w:rsidP="005B5953">
      <w:pPr>
        <w:pStyle w:val="NoSpacing"/>
        <w:spacing w:line="240" w:lineRule="auto"/>
        <w:jc w:val="both"/>
      </w:pPr>
    </w:p>
    <w:p w14:paraId="339E6F3C" w14:textId="77777777" w:rsidR="005B5953" w:rsidRPr="005B12AE" w:rsidRDefault="005B5953" w:rsidP="005B5953">
      <w:pPr>
        <w:pStyle w:val="NoSpacing"/>
        <w:spacing w:line="240" w:lineRule="auto"/>
        <w:jc w:val="both"/>
      </w:pPr>
      <w:r w:rsidRPr="005B12AE">
        <w:t xml:space="preserve">Net realizable value is the estimated selling price in the ordinary course of business, less estimated costs of completion and estimated costs necessary to make the sale, however due to the nature of the company the own manufactured goods are valued at a Cost on FIFO Basis </w:t>
      </w:r>
      <w:r w:rsidRPr="005B12AE">
        <w:rPr>
          <w:color w:val="auto"/>
        </w:rPr>
        <w:t>o</w:t>
      </w:r>
      <w:r w:rsidRPr="005B12AE">
        <w:t>n a consistent basis, however the Trading Goods are valued at the lower of Cost or Net Realizable Value.</w:t>
      </w:r>
    </w:p>
    <w:p w14:paraId="601E2504" w14:textId="77777777" w:rsidR="005B5953" w:rsidRPr="005B12AE" w:rsidRDefault="005B5953" w:rsidP="005B5953">
      <w:pPr>
        <w:pStyle w:val="NoSpacing"/>
        <w:spacing w:line="240" w:lineRule="auto"/>
        <w:jc w:val="both"/>
      </w:pPr>
    </w:p>
    <w:p w14:paraId="7F7EEA95" w14:textId="77777777" w:rsidR="005B5953" w:rsidRPr="005B12AE" w:rsidRDefault="005B5953" w:rsidP="005B5953">
      <w:pPr>
        <w:pStyle w:val="NoSpacing"/>
        <w:spacing w:line="240" w:lineRule="auto"/>
        <w:jc w:val="both"/>
        <w:rPr>
          <w:b/>
        </w:rPr>
      </w:pPr>
      <w:r w:rsidRPr="005B12AE">
        <w:rPr>
          <w:b/>
        </w:rPr>
        <w:t>5. RETIREMENT BENEFITS &amp; OTHER EMPLOYEE BENEFITS</w:t>
      </w:r>
    </w:p>
    <w:p w14:paraId="42FA580E" w14:textId="77777777" w:rsidR="005B5953" w:rsidRPr="005B12AE" w:rsidRDefault="005B5953" w:rsidP="005B5953">
      <w:pPr>
        <w:pStyle w:val="NoSpacing"/>
        <w:spacing w:line="240" w:lineRule="auto"/>
        <w:jc w:val="both"/>
        <w:rPr>
          <w:b/>
        </w:rPr>
      </w:pPr>
    </w:p>
    <w:p w14:paraId="1910E9BB" w14:textId="77777777" w:rsidR="005B5953" w:rsidRPr="005B12AE" w:rsidRDefault="005B5953" w:rsidP="005B5953">
      <w:pPr>
        <w:pStyle w:val="NoSpacing"/>
        <w:spacing w:line="240" w:lineRule="auto"/>
        <w:jc w:val="both"/>
        <w:rPr>
          <w:b/>
        </w:rPr>
      </w:pPr>
      <w:r w:rsidRPr="005B12AE">
        <w:rPr>
          <w:b/>
        </w:rPr>
        <w:t>Defined-contribution plans:</w:t>
      </w:r>
    </w:p>
    <w:p w14:paraId="38E359D7" w14:textId="77777777" w:rsidR="005B5953" w:rsidRPr="005B12AE" w:rsidRDefault="005B5953" w:rsidP="005B5953">
      <w:pPr>
        <w:pStyle w:val="NoSpacing"/>
        <w:spacing w:line="240" w:lineRule="auto"/>
        <w:jc w:val="both"/>
        <w:rPr>
          <w:b/>
        </w:rPr>
      </w:pPr>
    </w:p>
    <w:p w14:paraId="04FA5BB6" w14:textId="77777777" w:rsidR="005B5953" w:rsidRPr="005B12AE" w:rsidRDefault="005B5953" w:rsidP="005B5953">
      <w:pPr>
        <w:pStyle w:val="NoSpacing"/>
        <w:spacing w:line="240" w:lineRule="auto"/>
        <w:jc w:val="both"/>
      </w:pPr>
      <w:r w:rsidRPr="005B12AE">
        <w:t>All short-term employee benefits are accounted on undiscounted basis during the accounting period based on services rendered by employees.</w:t>
      </w:r>
    </w:p>
    <w:p w14:paraId="139CF6FD" w14:textId="77777777" w:rsidR="005B5953" w:rsidRPr="005B12AE" w:rsidRDefault="005B5953" w:rsidP="005B5953">
      <w:pPr>
        <w:pStyle w:val="NoSpacing"/>
        <w:spacing w:line="240" w:lineRule="auto"/>
        <w:jc w:val="both"/>
      </w:pPr>
    </w:p>
    <w:p w14:paraId="07BBFF49" w14:textId="77777777" w:rsidR="005B5953" w:rsidRPr="005B12AE" w:rsidRDefault="005B5953" w:rsidP="005B5953">
      <w:pPr>
        <w:pStyle w:val="NoSpacing"/>
        <w:spacing w:line="240" w:lineRule="auto"/>
        <w:jc w:val="both"/>
      </w:pPr>
      <w:r w:rsidRPr="005B12AE">
        <w:t xml:space="preserve">The Company's contribution to Provident Fund and Employees State Insurance Scheme is determined based on a fixed percentage of the eligible employees' salary and charged to the Statement of Profit and Loss on accrual basis. </w:t>
      </w:r>
    </w:p>
    <w:p w14:paraId="523D4FE9" w14:textId="77777777" w:rsidR="005B5953" w:rsidRPr="005B12AE" w:rsidRDefault="005B5953" w:rsidP="005B5953">
      <w:pPr>
        <w:pStyle w:val="NoSpacing"/>
        <w:spacing w:line="240" w:lineRule="auto"/>
        <w:jc w:val="both"/>
      </w:pPr>
    </w:p>
    <w:p w14:paraId="152F86EC" w14:textId="77777777" w:rsidR="005B5953" w:rsidRPr="005B12AE" w:rsidRDefault="005B5953" w:rsidP="005B5953">
      <w:pPr>
        <w:pStyle w:val="NoSpacing"/>
        <w:spacing w:line="240" w:lineRule="auto"/>
        <w:jc w:val="both"/>
      </w:pPr>
      <w:r w:rsidRPr="005B12AE">
        <w:t xml:space="preserve">In the restated financial statements, The Company has made provision for payment of Gratuity to its employees, based on the actuarial valuation report obtained from actuarial valuer. </w:t>
      </w:r>
    </w:p>
    <w:p w14:paraId="480FFACB" w14:textId="77777777" w:rsidR="005B5953" w:rsidRPr="005B12AE" w:rsidRDefault="005B5953" w:rsidP="005B5953">
      <w:pPr>
        <w:pStyle w:val="NoSpacing"/>
        <w:spacing w:line="240" w:lineRule="auto"/>
        <w:jc w:val="both"/>
        <w:rPr>
          <w:b/>
        </w:rPr>
      </w:pPr>
      <w:r w:rsidRPr="005B12AE">
        <w:rPr>
          <w:b/>
        </w:rPr>
        <w:lastRenderedPageBreak/>
        <w:t>6. FOREIGN EXCHANGE TRANSACTIONS</w:t>
      </w:r>
    </w:p>
    <w:p w14:paraId="28150CF2" w14:textId="77777777" w:rsidR="005B5953" w:rsidRPr="005B12AE" w:rsidRDefault="005B5953" w:rsidP="005B5953">
      <w:pPr>
        <w:pStyle w:val="NoSpacing"/>
        <w:spacing w:line="240" w:lineRule="auto"/>
        <w:jc w:val="both"/>
        <w:rPr>
          <w:b/>
        </w:rPr>
      </w:pPr>
    </w:p>
    <w:p w14:paraId="4A9E7987" w14:textId="77777777" w:rsidR="005B5953" w:rsidRPr="005B12AE" w:rsidRDefault="005B5953" w:rsidP="005B5953">
      <w:pPr>
        <w:pStyle w:val="NoSpacing"/>
        <w:spacing w:line="240" w:lineRule="auto"/>
        <w:jc w:val="both"/>
      </w:pPr>
      <w:r w:rsidRPr="005B12AE">
        <w:t>Foreign-currency denominated monetary assets and liabilities if any are translated at exchange rates in effect at the Balance Sheet date. The gains or losses resulting from the transactions relating to purchase of current assets like Raw Material etc. are included in the Statement of Profit and Loss. Revenue, expense and cash-flow items denominated in foreign currencies are translated using the exchange rate in effect on the date of the transaction.</w:t>
      </w:r>
    </w:p>
    <w:p w14:paraId="3CA9132C" w14:textId="77777777" w:rsidR="005B5953" w:rsidRPr="005B12AE" w:rsidRDefault="005B5953" w:rsidP="005B5953">
      <w:pPr>
        <w:pStyle w:val="NoSpacing"/>
        <w:spacing w:line="240" w:lineRule="auto"/>
        <w:jc w:val="both"/>
        <w:rPr>
          <w:b/>
        </w:rPr>
      </w:pPr>
    </w:p>
    <w:p w14:paraId="3D5164BD" w14:textId="77777777" w:rsidR="005B5953" w:rsidRPr="005B12AE" w:rsidRDefault="005B5953" w:rsidP="005B5953">
      <w:pPr>
        <w:pStyle w:val="NoSpacing"/>
        <w:spacing w:line="240" w:lineRule="auto"/>
        <w:jc w:val="both"/>
        <w:rPr>
          <w:b/>
        </w:rPr>
      </w:pPr>
      <w:r w:rsidRPr="005B12AE">
        <w:rPr>
          <w:b/>
        </w:rPr>
        <w:t>7. CASH FLOW STATEMENT</w:t>
      </w:r>
    </w:p>
    <w:p w14:paraId="769273C2" w14:textId="77777777" w:rsidR="005B5953" w:rsidRPr="005B12AE" w:rsidRDefault="005B5953" w:rsidP="005B5953">
      <w:pPr>
        <w:pStyle w:val="NoSpacing"/>
        <w:spacing w:line="240" w:lineRule="auto"/>
        <w:jc w:val="both"/>
        <w:rPr>
          <w:b/>
        </w:rPr>
      </w:pPr>
    </w:p>
    <w:p w14:paraId="6B6FD628" w14:textId="77777777" w:rsidR="005B5953" w:rsidRPr="005B12AE" w:rsidRDefault="005B5953" w:rsidP="005B5953">
      <w:pPr>
        <w:pStyle w:val="NoSpacing"/>
        <w:spacing w:line="240" w:lineRule="auto"/>
        <w:jc w:val="both"/>
      </w:pPr>
      <w:r w:rsidRPr="005B12AE">
        <w:t>Cash flows are reported using the indirect method, whereby profit before tax is adjusted for the effects of transactions of a non- cash nature, any deferrals or accruals of past or future operating cash receipts or payments and item of income or expenses associated with investing or financing cash flows. The cash flows from operating, investing and financing activities are segregated.</w:t>
      </w:r>
    </w:p>
    <w:p w14:paraId="3C779FF6" w14:textId="77777777" w:rsidR="005B5953" w:rsidRPr="005B12AE" w:rsidRDefault="005B5953" w:rsidP="005B5953">
      <w:pPr>
        <w:pStyle w:val="NoSpacing"/>
        <w:spacing w:line="240" w:lineRule="auto"/>
        <w:jc w:val="both"/>
        <w:rPr>
          <w:b/>
        </w:rPr>
      </w:pPr>
    </w:p>
    <w:p w14:paraId="54407BB4" w14:textId="77777777" w:rsidR="005B5953" w:rsidRPr="005B12AE" w:rsidRDefault="005B5953" w:rsidP="005B5953">
      <w:pPr>
        <w:pStyle w:val="NoSpacing"/>
        <w:spacing w:line="240" w:lineRule="auto"/>
        <w:jc w:val="both"/>
        <w:rPr>
          <w:b/>
        </w:rPr>
      </w:pPr>
      <w:r w:rsidRPr="005B12AE">
        <w:rPr>
          <w:b/>
        </w:rPr>
        <w:t>8. BORROWING COSTS</w:t>
      </w:r>
    </w:p>
    <w:p w14:paraId="48D69257" w14:textId="77777777" w:rsidR="005B5953" w:rsidRPr="005B12AE" w:rsidRDefault="005B5953" w:rsidP="005B5953">
      <w:pPr>
        <w:pStyle w:val="NoSpacing"/>
        <w:spacing w:line="240" w:lineRule="auto"/>
        <w:jc w:val="both"/>
      </w:pPr>
    </w:p>
    <w:p w14:paraId="6AB8E74C" w14:textId="77777777" w:rsidR="005B5953" w:rsidRPr="005B12AE" w:rsidRDefault="005B5953" w:rsidP="005B5953">
      <w:pPr>
        <w:pStyle w:val="NoSpacing"/>
        <w:spacing w:line="240" w:lineRule="auto"/>
        <w:jc w:val="both"/>
      </w:pPr>
      <w:r w:rsidRPr="005B12AE">
        <w:t>Borrowing costs that are directly attributable to the acquisition or construction of a qualifying asset are capitalized as part of the cost of that asset till such time the asset is ready for its intended use. A qualifying asset is an asset that necessarily takes a substantial period of time to get ready for its intended use. Costs incurred in raising funds are amortized equally over the period for which the funds are acquired. All other borrowing costs are charged to profit and loss account.</w:t>
      </w:r>
    </w:p>
    <w:p w14:paraId="528E4AB1" w14:textId="77777777" w:rsidR="005B5953" w:rsidRPr="005B12AE" w:rsidRDefault="005B5953" w:rsidP="005B5953">
      <w:pPr>
        <w:pStyle w:val="NoSpacing"/>
        <w:spacing w:line="240" w:lineRule="auto"/>
        <w:jc w:val="both"/>
      </w:pPr>
    </w:p>
    <w:p w14:paraId="37D43A59" w14:textId="77777777" w:rsidR="005B5953" w:rsidRPr="005B12AE" w:rsidRDefault="005B5953" w:rsidP="005B5953">
      <w:pPr>
        <w:pStyle w:val="NoSpacing"/>
        <w:spacing w:line="240" w:lineRule="auto"/>
        <w:jc w:val="both"/>
        <w:rPr>
          <w:b/>
        </w:rPr>
      </w:pPr>
      <w:r w:rsidRPr="005B12AE">
        <w:rPr>
          <w:b/>
        </w:rPr>
        <w:t>9. INCOME TAX</w:t>
      </w:r>
    </w:p>
    <w:p w14:paraId="63CF3E33" w14:textId="77777777" w:rsidR="005B5953" w:rsidRPr="005B12AE" w:rsidRDefault="005B5953" w:rsidP="005B5953">
      <w:pPr>
        <w:pStyle w:val="NoSpacing"/>
        <w:spacing w:line="240" w:lineRule="auto"/>
        <w:jc w:val="both"/>
      </w:pPr>
    </w:p>
    <w:p w14:paraId="20920A83" w14:textId="77777777" w:rsidR="005B5953" w:rsidRPr="005B12AE" w:rsidRDefault="005B5953" w:rsidP="005B5953">
      <w:pPr>
        <w:pStyle w:val="NoSpacing"/>
        <w:spacing w:line="240" w:lineRule="auto"/>
        <w:jc w:val="both"/>
      </w:pPr>
      <w:r w:rsidRPr="005B12AE">
        <w:t>The accounting treatment for the Income Tax in respect of the Company’s income is based on the Accounting Standard on ‘Accounting for Taxes on Income’ (AS-22). The provision made for Income Tax in Accounts comprises both, the current tax and deferred tax. Provision for Current Tax is made on the assessable Income Tax rate applicable to the relevant assessment year after considering various deductions available under the Income Tax Act, 1961.</w:t>
      </w:r>
    </w:p>
    <w:p w14:paraId="1DAA1138" w14:textId="77777777" w:rsidR="005B5953" w:rsidRPr="005B12AE" w:rsidRDefault="005B5953" w:rsidP="005B5953">
      <w:pPr>
        <w:pStyle w:val="NoSpacing"/>
        <w:spacing w:line="240" w:lineRule="auto"/>
        <w:jc w:val="both"/>
      </w:pPr>
    </w:p>
    <w:p w14:paraId="20634BB7" w14:textId="77777777" w:rsidR="005B5953" w:rsidRPr="005B12AE" w:rsidRDefault="005B5953" w:rsidP="005B5953">
      <w:pPr>
        <w:pStyle w:val="NoSpacing"/>
        <w:spacing w:line="240" w:lineRule="auto"/>
        <w:jc w:val="both"/>
      </w:pPr>
      <w:r w:rsidRPr="005B12AE">
        <w:t>Deferred tax is recognized for all timing differences; being the differences between the taxable income and accounting income that originate in one period and are capable of reversal in one or more subsequent periods. Such deferred tax is quantified using the tax rates and laws enacted or substantively enacted as on the Balance Sheet date. The carrying amount of deferred tax asset/liability is reviewed at each Balance Sheet date and consequential adjustments are carried out.</w:t>
      </w:r>
    </w:p>
    <w:p w14:paraId="1C5C7211" w14:textId="77777777" w:rsidR="005B5953" w:rsidRPr="005B12AE" w:rsidRDefault="005B5953" w:rsidP="005B5953">
      <w:pPr>
        <w:pStyle w:val="NoSpacing"/>
        <w:spacing w:line="240" w:lineRule="auto"/>
        <w:jc w:val="both"/>
        <w:rPr>
          <w:b/>
        </w:rPr>
      </w:pPr>
    </w:p>
    <w:p w14:paraId="2190ADB3" w14:textId="77777777" w:rsidR="005B5953" w:rsidRPr="005B12AE" w:rsidRDefault="005B5953" w:rsidP="005B5953">
      <w:pPr>
        <w:pStyle w:val="NoSpacing"/>
        <w:spacing w:line="240" w:lineRule="auto"/>
        <w:jc w:val="both"/>
        <w:rPr>
          <w:b/>
        </w:rPr>
      </w:pPr>
      <w:r w:rsidRPr="005B12AE">
        <w:rPr>
          <w:b/>
        </w:rPr>
        <w:t>10. EARNINGS PER SHARE</w:t>
      </w:r>
    </w:p>
    <w:p w14:paraId="4664765B" w14:textId="77777777" w:rsidR="005B5953" w:rsidRPr="005B12AE" w:rsidRDefault="005B5953" w:rsidP="005B5953">
      <w:pPr>
        <w:pStyle w:val="NoSpacing"/>
        <w:spacing w:line="240" w:lineRule="auto"/>
        <w:jc w:val="both"/>
        <w:rPr>
          <w:b/>
        </w:rPr>
      </w:pPr>
    </w:p>
    <w:p w14:paraId="171D6218" w14:textId="77777777" w:rsidR="005B5953" w:rsidRPr="005B12AE" w:rsidRDefault="005B5953" w:rsidP="005B5953">
      <w:pPr>
        <w:pStyle w:val="NoSpacing"/>
        <w:spacing w:line="240" w:lineRule="auto"/>
        <w:jc w:val="both"/>
      </w:pPr>
      <w:r w:rsidRPr="005B12AE">
        <w:t xml:space="preserve">Basic earnings per share is computed by dividing the net profit after tax by the weighted average number of equity shares outstanding during the period. Diluted earnings per share is computed by dividing the profit after tax by the weighted average number of equity shares considered for deriving basic earnings per share and also the weighted average number of equity shares that could have been issued upon conversion of all dilutive potential equity shares. </w:t>
      </w:r>
    </w:p>
    <w:p w14:paraId="5D48EECF" w14:textId="77777777" w:rsidR="005B5953" w:rsidRPr="005B12AE" w:rsidRDefault="005B5953" w:rsidP="005B5953">
      <w:pPr>
        <w:pStyle w:val="NoSpacing"/>
        <w:spacing w:line="240" w:lineRule="auto"/>
        <w:jc w:val="both"/>
      </w:pPr>
    </w:p>
    <w:p w14:paraId="51FE6EF6" w14:textId="77777777" w:rsidR="005B5953" w:rsidRPr="005B12AE" w:rsidRDefault="005B5953" w:rsidP="005B5953">
      <w:pPr>
        <w:pStyle w:val="NoSpacing"/>
        <w:spacing w:line="240" w:lineRule="auto"/>
        <w:jc w:val="both"/>
      </w:pPr>
      <w:r w:rsidRPr="005B12AE">
        <w:t>The diluted potential equity shares are adjusted for the proceeds receivable had the shares been actually issued at fair value which is the average market value of the outstanding shares. Dilutive potential equity shares are deemed converted as of the beginning of the period, unless issued at a later date. Dilutive potential equity shares are determined independently for each period presented.</w:t>
      </w:r>
    </w:p>
    <w:p w14:paraId="28F3C58F" w14:textId="77777777" w:rsidR="005B5953" w:rsidRPr="005B12AE" w:rsidRDefault="005B5953" w:rsidP="005B5953">
      <w:pPr>
        <w:pStyle w:val="NoSpacing"/>
        <w:spacing w:line="240" w:lineRule="auto"/>
        <w:jc w:val="both"/>
        <w:rPr>
          <w:b/>
        </w:rPr>
      </w:pPr>
    </w:p>
    <w:p w14:paraId="2AEED1E5" w14:textId="77777777" w:rsidR="005B5953" w:rsidRPr="005B12AE" w:rsidRDefault="005B5953" w:rsidP="005B5953">
      <w:pPr>
        <w:pStyle w:val="NoSpacing"/>
        <w:spacing w:line="240" w:lineRule="auto"/>
        <w:jc w:val="both"/>
        <w:rPr>
          <w:b/>
        </w:rPr>
      </w:pPr>
      <w:r w:rsidRPr="005B12AE">
        <w:rPr>
          <w:b/>
        </w:rPr>
        <w:t>11. PROVISIONS AND CONTINGENT LIABILITIES</w:t>
      </w:r>
    </w:p>
    <w:p w14:paraId="26F71AF4" w14:textId="77777777" w:rsidR="005B5953" w:rsidRPr="005B12AE" w:rsidRDefault="005B5953" w:rsidP="005B5953">
      <w:pPr>
        <w:pStyle w:val="NoSpacing"/>
        <w:spacing w:line="240" w:lineRule="auto"/>
        <w:jc w:val="both"/>
        <w:rPr>
          <w:b/>
        </w:rPr>
      </w:pPr>
    </w:p>
    <w:p w14:paraId="70D1D788" w14:textId="77777777" w:rsidR="005B5953" w:rsidRPr="005B12AE" w:rsidRDefault="005B5953" w:rsidP="005B5953">
      <w:pPr>
        <w:pStyle w:val="NoSpacing"/>
        <w:spacing w:line="240" w:lineRule="auto"/>
        <w:jc w:val="both"/>
      </w:pPr>
      <w:r w:rsidRPr="005B12AE">
        <w:t>A provision is recognized if, as a result of a past event, the Company has a present legal obligation that is reasonably estimable, and it is probable that an outflow of economic benefits will be required to settle the obligation. Provisions are determined by the best estimate of the likely future outflow of economic benefits required to settle the obligation at the reporting date.</w:t>
      </w:r>
    </w:p>
    <w:p w14:paraId="3D4674E4" w14:textId="77777777" w:rsidR="005B5953" w:rsidRPr="005B12AE" w:rsidRDefault="005B5953" w:rsidP="005B5953">
      <w:pPr>
        <w:pStyle w:val="NoSpacing"/>
        <w:spacing w:line="240" w:lineRule="auto"/>
        <w:jc w:val="both"/>
      </w:pPr>
    </w:p>
    <w:p w14:paraId="52FF2BAA" w14:textId="77777777" w:rsidR="005B5953" w:rsidRPr="005B12AE" w:rsidRDefault="005B5953" w:rsidP="005B5953">
      <w:pPr>
        <w:pStyle w:val="NoSpacing"/>
        <w:spacing w:line="240" w:lineRule="auto"/>
        <w:jc w:val="both"/>
      </w:pPr>
      <w:r w:rsidRPr="005B12AE">
        <w:t>Where no reliable estimate can be made, a disclosure is made as contingent liability. A disclosure for a contingent liability is also made when there is a possible obligation or a present obligation that may, but probably will not, require an outflow of resources. Where there is a possible obligation or a present obligation in respect of which the likelihood of outflow of resources is remote, no provision or disclosure is made.</w:t>
      </w:r>
    </w:p>
    <w:p w14:paraId="223AF49F" w14:textId="77777777" w:rsidR="005B5953" w:rsidRPr="005B12AE" w:rsidRDefault="005B5953" w:rsidP="005B5953">
      <w:pPr>
        <w:pStyle w:val="NoSpacing"/>
        <w:spacing w:line="240" w:lineRule="auto"/>
        <w:jc w:val="both"/>
        <w:rPr>
          <w:b/>
        </w:rPr>
      </w:pPr>
    </w:p>
    <w:p w14:paraId="4AC745C3" w14:textId="77777777" w:rsidR="005B5953" w:rsidRPr="005B12AE" w:rsidRDefault="005B5953" w:rsidP="005B5953">
      <w:pPr>
        <w:pStyle w:val="NoSpacing"/>
        <w:spacing w:line="240" w:lineRule="auto"/>
        <w:jc w:val="both"/>
        <w:rPr>
          <w:b/>
        </w:rPr>
      </w:pPr>
      <w:r w:rsidRPr="005B12AE">
        <w:rPr>
          <w:b/>
        </w:rPr>
        <w:t>12. CASH &amp; CASH EQUIVALENTS</w:t>
      </w:r>
    </w:p>
    <w:p w14:paraId="59CC270D" w14:textId="77777777" w:rsidR="005B5953" w:rsidRPr="005B12AE" w:rsidRDefault="005B5953" w:rsidP="005B5953">
      <w:pPr>
        <w:pStyle w:val="NoSpacing"/>
        <w:spacing w:line="240" w:lineRule="auto"/>
        <w:jc w:val="both"/>
        <w:rPr>
          <w:b/>
        </w:rPr>
      </w:pPr>
    </w:p>
    <w:p w14:paraId="0802F611" w14:textId="77777777" w:rsidR="005B5953" w:rsidRPr="005B12AE" w:rsidRDefault="005B5953" w:rsidP="005B5953">
      <w:pPr>
        <w:pStyle w:val="NoSpacing"/>
        <w:spacing w:line="240" w:lineRule="auto"/>
        <w:jc w:val="both"/>
      </w:pPr>
      <w:r w:rsidRPr="005B12AE">
        <w:t>Cash and cash equivalents comprise cash and cash on deposit with banks. The Company considers all highly liquid investments with a remaining maturity at the date of purchase of three months or less and that are readily convertible to known amounts of cash to be cash equivalents.</w:t>
      </w:r>
    </w:p>
    <w:p w14:paraId="74A6A391" w14:textId="77777777" w:rsidR="005B5953" w:rsidRDefault="005B5953" w:rsidP="005B5953">
      <w:pPr>
        <w:pStyle w:val="NoSpacing"/>
        <w:spacing w:line="240" w:lineRule="auto"/>
        <w:jc w:val="both"/>
      </w:pPr>
    </w:p>
    <w:p w14:paraId="072FE9E7" w14:textId="77777777" w:rsidR="0021246C" w:rsidRDefault="0021246C" w:rsidP="005B5953">
      <w:pPr>
        <w:pStyle w:val="NoSpacing"/>
        <w:spacing w:line="240" w:lineRule="auto"/>
        <w:jc w:val="both"/>
      </w:pPr>
    </w:p>
    <w:p w14:paraId="597FCEAF" w14:textId="77777777" w:rsidR="0021246C" w:rsidRDefault="0021246C" w:rsidP="005B5953">
      <w:pPr>
        <w:pStyle w:val="NoSpacing"/>
        <w:spacing w:line="240" w:lineRule="auto"/>
        <w:jc w:val="both"/>
      </w:pPr>
    </w:p>
    <w:p w14:paraId="1A83572B" w14:textId="77777777" w:rsidR="0021246C" w:rsidRPr="005B12AE" w:rsidRDefault="0021246C" w:rsidP="005B5953">
      <w:pPr>
        <w:pStyle w:val="NoSpacing"/>
        <w:spacing w:line="240" w:lineRule="auto"/>
        <w:jc w:val="both"/>
      </w:pPr>
    </w:p>
    <w:p w14:paraId="37DDF720" w14:textId="77777777" w:rsidR="005B5953" w:rsidRPr="005B12AE" w:rsidRDefault="005B5953" w:rsidP="005B5953">
      <w:pPr>
        <w:pStyle w:val="NoSpacing"/>
        <w:spacing w:line="240" w:lineRule="auto"/>
        <w:jc w:val="both"/>
        <w:rPr>
          <w:b/>
        </w:rPr>
      </w:pPr>
      <w:r w:rsidRPr="005B12AE">
        <w:rPr>
          <w:b/>
        </w:rPr>
        <w:lastRenderedPageBreak/>
        <w:t>13. SEGMENT REPORTING</w:t>
      </w:r>
    </w:p>
    <w:p w14:paraId="595E4D6E" w14:textId="77777777" w:rsidR="005B5953" w:rsidRPr="005B12AE" w:rsidRDefault="005B5953" w:rsidP="005B5953">
      <w:pPr>
        <w:pStyle w:val="NoSpacing"/>
        <w:spacing w:line="240" w:lineRule="auto"/>
        <w:jc w:val="both"/>
        <w:rPr>
          <w:b/>
        </w:rPr>
      </w:pPr>
    </w:p>
    <w:p w14:paraId="11CD67C1" w14:textId="77777777" w:rsidR="005B5953" w:rsidRPr="005B12AE" w:rsidRDefault="005B5953" w:rsidP="005B5953">
      <w:pPr>
        <w:pStyle w:val="NoSpacing"/>
        <w:spacing w:line="240" w:lineRule="auto"/>
        <w:jc w:val="both"/>
      </w:pPr>
      <w:r w:rsidRPr="005B12AE">
        <w:t>Segment Reporting Disclosures issued by The Institute of Chartered Accountants of India is not applicable as the company does not have any identifiable geographical or business segment during the year under consideration. Further, the brass scrap is used as raw material for the production of the Brass Rods and subsequently the Brass Rods are used as raw material for production of Brass based Sanitary, plumbing and bathroom fittings. These activities are directly co-related to each other and fall under the same business line. Hence, this clause is not applicable to the company.</w:t>
      </w:r>
    </w:p>
    <w:p w14:paraId="10121515" w14:textId="77777777" w:rsidR="005B5953" w:rsidRPr="005B12AE" w:rsidRDefault="005B5953" w:rsidP="005B5953">
      <w:pPr>
        <w:pStyle w:val="NoSpacing"/>
        <w:spacing w:line="240" w:lineRule="auto"/>
        <w:jc w:val="both"/>
      </w:pPr>
    </w:p>
    <w:p w14:paraId="20BF826D" w14:textId="77777777" w:rsidR="005B5953" w:rsidRPr="005B12AE" w:rsidRDefault="005B5953" w:rsidP="005B5953">
      <w:pPr>
        <w:pStyle w:val="NoSpacing"/>
        <w:spacing w:line="240" w:lineRule="auto"/>
        <w:jc w:val="both"/>
        <w:rPr>
          <w:b/>
        </w:rPr>
      </w:pPr>
      <w:r w:rsidRPr="005B12AE">
        <w:rPr>
          <w:b/>
        </w:rPr>
        <w:t>14. EMPLOYEE BENEFITS</w:t>
      </w:r>
    </w:p>
    <w:p w14:paraId="6DFB411F" w14:textId="77777777" w:rsidR="005B5953" w:rsidRPr="005B12AE" w:rsidRDefault="005B5953" w:rsidP="005B5953">
      <w:pPr>
        <w:pStyle w:val="ListParagraph"/>
        <w:spacing w:line="240" w:lineRule="auto"/>
        <w:ind w:left="0"/>
        <w:rPr>
          <w:color w:val="FF0000"/>
          <w:sz w:val="20"/>
          <w:szCs w:val="20"/>
        </w:rPr>
      </w:pPr>
    </w:p>
    <w:p w14:paraId="5AFE44EF" w14:textId="77777777" w:rsidR="005B5953" w:rsidRPr="005B12AE" w:rsidRDefault="005B5953" w:rsidP="005B5953">
      <w:pPr>
        <w:pStyle w:val="ListParagraph"/>
        <w:spacing w:line="240" w:lineRule="auto"/>
        <w:ind w:left="0"/>
        <w:jc w:val="both"/>
        <w:rPr>
          <w:sz w:val="20"/>
          <w:szCs w:val="20"/>
        </w:rPr>
      </w:pPr>
      <w:r w:rsidRPr="005B12AE">
        <w:rPr>
          <w:sz w:val="20"/>
          <w:szCs w:val="20"/>
        </w:rPr>
        <w:t xml:space="preserve">The company makes defined contribution to Government Employee Provident Fund which is recognized in the statement of profit and loss account on accrual basis. Payments to defined contribution retirement benefit plans are recognized as an expense when employees have rendered the service entitling them to the contribution. Defined Benefit plans are not recognized on accural basis but is recognized in the books when liability is discharged. </w:t>
      </w:r>
    </w:p>
    <w:p w14:paraId="67A77CA2" w14:textId="77777777" w:rsidR="005B5953" w:rsidRPr="005B12AE" w:rsidRDefault="005B5953" w:rsidP="005B5953">
      <w:pPr>
        <w:spacing w:after="0"/>
        <w:jc w:val="right"/>
        <w:rPr>
          <w:rFonts w:ascii="Times New Roman" w:hAnsi="Times New Roman"/>
          <w:b/>
          <w:bCs/>
          <w:sz w:val="20"/>
          <w:szCs w:val="20"/>
        </w:rPr>
      </w:pPr>
      <w:r w:rsidRPr="005B12AE">
        <w:rPr>
          <w:rFonts w:ascii="Times New Roman" w:hAnsi="Times New Roman"/>
          <w:b/>
          <w:bCs/>
          <w:sz w:val="20"/>
          <w:szCs w:val="20"/>
        </w:rPr>
        <w:t>(₹ in Lakhs)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8"/>
        <w:gridCol w:w="1788"/>
        <w:gridCol w:w="1690"/>
        <w:gridCol w:w="1790"/>
      </w:tblGrid>
      <w:tr w:rsidR="005B5953" w:rsidRPr="005B12AE" w14:paraId="5E27FAF6" w14:textId="77777777" w:rsidTr="00250DAC">
        <w:trPr>
          <w:trHeight w:val="20"/>
        </w:trPr>
        <w:tc>
          <w:tcPr>
            <w:tcW w:w="2481" w:type="pct"/>
            <w:shd w:val="clear" w:color="auto" w:fill="D0CECE" w:themeFill="background2" w:themeFillShade="E6"/>
            <w:noWrap/>
            <w:vAlign w:val="center"/>
            <w:hideMark/>
          </w:tcPr>
          <w:p w14:paraId="1F653DB4" w14:textId="77777777" w:rsidR="005B5953" w:rsidRPr="005B12AE" w:rsidRDefault="005B5953" w:rsidP="00250DAC">
            <w:pPr>
              <w:spacing w:after="0"/>
              <w:jc w:val="both"/>
              <w:rPr>
                <w:rFonts w:ascii="Times New Roman" w:hAnsi="Times New Roman"/>
                <w:b/>
                <w:bCs/>
                <w:color w:val="000000"/>
                <w:sz w:val="20"/>
                <w:szCs w:val="20"/>
                <w:lang w:val="en-IN" w:eastAsia="en-IN" w:bidi="mr-IN"/>
              </w:rPr>
            </w:pPr>
            <w:r w:rsidRPr="005B12AE">
              <w:rPr>
                <w:rFonts w:ascii="Times New Roman" w:hAnsi="Times New Roman"/>
                <w:b/>
                <w:bCs/>
                <w:color w:val="000000"/>
                <w:sz w:val="20"/>
                <w:szCs w:val="20"/>
                <w:lang w:val="en-IN" w:eastAsia="en-IN" w:bidi="mr-IN"/>
              </w:rPr>
              <w:t>Details of Gratuity Expenses</w:t>
            </w:r>
          </w:p>
        </w:tc>
        <w:tc>
          <w:tcPr>
            <w:tcW w:w="855" w:type="pct"/>
            <w:shd w:val="clear" w:color="auto" w:fill="D0CECE" w:themeFill="background2" w:themeFillShade="E6"/>
            <w:hideMark/>
          </w:tcPr>
          <w:p w14:paraId="09FCD69F" w14:textId="77777777" w:rsidR="005B5953" w:rsidRPr="005B12AE" w:rsidRDefault="005B5953" w:rsidP="00250DAC">
            <w:pPr>
              <w:spacing w:after="0" w:line="240" w:lineRule="auto"/>
              <w:jc w:val="center"/>
              <w:rPr>
                <w:rFonts w:ascii="Times New Roman" w:hAnsi="Times New Roman"/>
                <w:b/>
                <w:bCs/>
                <w:color w:val="000000"/>
                <w:sz w:val="20"/>
                <w:szCs w:val="20"/>
                <w:lang w:val="en-IN" w:eastAsia="en-IN" w:bidi="mr-IN"/>
              </w:rPr>
            </w:pPr>
            <w:r w:rsidRPr="005B12AE">
              <w:rPr>
                <w:rFonts w:ascii="Times New Roman" w:hAnsi="Times New Roman"/>
                <w:b/>
                <w:bCs/>
                <w:color w:val="000000"/>
                <w:sz w:val="20"/>
                <w:szCs w:val="20"/>
                <w:lang w:eastAsia="en-IN" w:bidi="mr-IN"/>
              </w:rPr>
              <w:t>2022-23</w:t>
            </w:r>
          </w:p>
        </w:tc>
        <w:tc>
          <w:tcPr>
            <w:tcW w:w="808" w:type="pct"/>
            <w:shd w:val="clear" w:color="auto" w:fill="D0CECE" w:themeFill="background2" w:themeFillShade="E6"/>
            <w:hideMark/>
          </w:tcPr>
          <w:p w14:paraId="43C23607" w14:textId="77777777" w:rsidR="005B5953" w:rsidRPr="005B12AE" w:rsidRDefault="005B5953" w:rsidP="00250DAC">
            <w:pPr>
              <w:spacing w:after="0" w:line="240" w:lineRule="auto"/>
              <w:jc w:val="center"/>
              <w:rPr>
                <w:rFonts w:ascii="Times New Roman" w:hAnsi="Times New Roman"/>
                <w:b/>
                <w:bCs/>
                <w:color w:val="000000"/>
                <w:sz w:val="20"/>
                <w:szCs w:val="20"/>
                <w:lang w:val="en-IN" w:eastAsia="en-IN" w:bidi="mr-IN"/>
              </w:rPr>
            </w:pPr>
            <w:r w:rsidRPr="005B12AE">
              <w:rPr>
                <w:rFonts w:ascii="Times New Roman" w:hAnsi="Times New Roman"/>
                <w:b/>
                <w:bCs/>
                <w:color w:val="000000"/>
                <w:sz w:val="20"/>
                <w:szCs w:val="20"/>
                <w:lang w:eastAsia="en-IN" w:bidi="mr-IN"/>
              </w:rPr>
              <w:t>2021-22</w:t>
            </w:r>
          </w:p>
        </w:tc>
        <w:tc>
          <w:tcPr>
            <w:tcW w:w="856" w:type="pct"/>
            <w:shd w:val="clear" w:color="auto" w:fill="D0CECE" w:themeFill="background2" w:themeFillShade="E6"/>
          </w:tcPr>
          <w:p w14:paraId="0C9F8117" w14:textId="77777777" w:rsidR="005B5953" w:rsidRPr="005B12AE" w:rsidRDefault="005B5953" w:rsidP="00250DAC">
            <w:pPr>
              <w:spacing w:after="0" w:line="240" w:lineRule="auto"/>
              <w:jc w:val="center"/>
              <w:rPr>
                <w:rFonts w:ascii="Times New Roman" w:hAnsi="Times New Roman"/>
                <w:b/>
                <w:bCs/>
                <w:color w:val="000000"/>
                <w:sz w:val="20"/>
                <w:szCs w:val="20"/>
                <w:lang w:val="en-IN" w:eastAsia="en-IN" w:bidi="mr-IN"/>
              </w:rPr>
            </w:pPr>
            <w:r w:rsidRPr="005B12AE">
              <w:rPr>
                <w:rFonts w:ascii="Times New Roman" w:hAnsi="Times New Roman"/>
                <w:b/>
                <w:bCs/>
                <w:color w:val="000000"/>
                <w:sz w:val="20"/>
                <w:szCs w:val="20"/>
                <w:lang w:eastAsia="en-IN" w:bidi="mr-IN"/>
              </w:rPr>
              <w:t>2020-21</w:t>
            </w:r>
          </w:p>
        </w:tc>
      </w:tr>
      <w:tr w:rsidR="005B5953" w:rsidRPr="005B12AE" w14:paraId="3A4F8F05" w14:textId="77777777" w:rsidTr="00250DAC">
        <w:trPr>
          <w:trHeight w:val="20"/>
        </w:trPr>
        <w:tc>
          <w:tcPr>
            <w:tcW w:w="2481" w:type="pct"/>
            <w:shd w:val="clear" w:color="auto" w:fill="auto"/>
            <w:noWrap/>
            <w:vAlign w:val="center"/>
            <w:hideMark/>
          </w:tcPr>
          <w:p w14:paraId="3ED3A4A1" w14:textId="77777777" w:rsidR="005B5953" w:rsidRPr="005B12AE" w:rsidRDefault="005B5953" w:rsidP="00250DAC">
            <w:pPr>
              <w:spacing w:before="100" w:beforeAutospacing="1" w:after="0"/>
              <w:jc w:val="both"/>
              <w:rPr>
                <w:rFonts w:ascii="Times New Roman" w:hAnsi="Times New Roman"/>
                <w:b/>
                <w:bCs/>
                <w:sz w:val="20"/>
                <w:szCs w:val="20"/>
                <w:lang w:val="en-IN" w:eastAsia="en-IN" w:bidi="mr-IN"/>
              </w:rPr>
            </w:pPr>
            <w:r w:rsidRPr="005B12AE">
              <w:rPr>
                <w:rFonts w:ascii="Times New Roman" w:hAnsi="Times New Roman"/>
                <w:b/>
                <w:bCs/>
                <w:sz w:val="20"/>
                <w:szCs w:val="20"/>
                <w:lang w:val="en-IN" w:eastAsia="en-IN" w:bidi="mr-IN"/>
              </w:rPr>
              <w:t>Profit and loss account for the period</w:t>
            </w:r>
          </w:p>
        </w:tc>
        <w:tc>
          <w:tcPr>
            <w:tcW w:w="855" w:type="pct"/>
            <w:shd w:val="clear" w:color="auto" w:fill="auto"/>
            <w:noWrap/>
            <w:vAlign w:val="bottom"/>
            <w:hideMark/>
          </w:tcPr>
          <w:p w14:paraId="585F9897"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c>
          <w:tcPr>
            <w:tcW w:w="808" w:type="pct"/>
            <w:shd w:val="clear" w:color="auto" w:fill="auto"/>
            <w:noWrap/>
            <w:vAlign w:val="bottom"/>
            <w:hideMark/>
          </w:tcPr>
          <w:p w14:paraId="666DCC78"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c>
          <w:tcPr>
            <w:tcW w:w="856" w:type="pct"/>
          </w:tcPr>
          <w:p w14:paraId="1D49FBDA"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r>
      <w:tr w:rsidR="005B5953" w:rsidRPr="005B12AE" w14:paraId="5325218E" w14:textId="77777777" w:rsidTr="00250DAC">
        <w:trPr>
          <w:trHeight w:val="20"/>
        </w:trPr>
        <w:tc>
          <w:tcPr>
            <w:tcW w:w="2481" w:type="pct"/>
            <w:shd w:val="clear" w:color="auto" w:fill="auto"/>
            <w:noWrap/>
            <w:vAlign w:val="center"/>
            <w:hideMark/>
          </w:tcPr>
          <w:p w14:paraId="192E8ED5" w14:textId="77777777" w:rsidR="005B5953" w:rsidRPr="005B12AE" w:rsidRDefault="005B5953" w:rsidP="00250DAC">
            <w:pPr>
              <w:spacing w:before="100" w:beforeAutospacing="1" w:after="0"/>
              <w:jc w:val="both"/>
              <w:rPr>
                <w:rFonts w:ascii="Times New Roman" w:hAnsi="Times New Roman"/>
                <w:sz w:val="20"/>
                <w:szCs w:val="20"/>
                <w:lang w:val="en-IN" w:eastAsia="en-IN" w:bidi="mr-IN"/>
              </w:rPr>
            </w:pPr>
            <w:r w:rsidRPr="005B12AE">
              <w:rPr>
                <w:rFonts w:ascii="Times New Roman" w:hAnsi="Times New Roman"/>
                <w:sz w:val="20"/>
                <w:szCs w:val="20"/>
                <w:lang w:val="en-IN" w:eastAsia="en-IN" w:bidi="mr-IN"/>
              </w:rPr>
              <w:t>Current service cost</w:t>
            </w:r>
          </w:p>
        </w:tc>
        <w:tc>
          <w:tcPr>
            <w:tcW w:w="855" w:type="pct"/>
            <w:shd w:val="clear" w:color="auto" w:fill="auto"/>
            <w:noWrap/>
            <w:hideMark/>
          </w:tcPr>
          <w:p w14:paraId="2A2A36F4"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3.72</w:t>
            </w:r>
          </w:p>
        </w:tc>
        <w:tc>
          <w:tcPr>
            <w:tcW w:w="808" w:type="pct"/>
            <w:shd w:val="clear" w:color="auto" w:fill="auto"/>
            <w:noWrap/>
            <w:hideMark/>
          </w:tcPr>
          <w:p w14:paraId="308B039C"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3.60</w:t>
            </w:r>
          </w:p>
        </w:tc>
        <w:tc>
          <w:tcPr>
            <w:tcW w:w="856" w:type="pct"/>
          </w:tcPr>
          <w:p w14:paraId="601650C3"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15.68</w:t>
            </w:r>
          </w:p>
        </w:tc>
      </w:tr>
      <w:tr w:rsidR="005B5953" w:rsidRPr="005B12AE" w14:paraId="1E7AEC7F" w14:textId="77777777" w:rsidTr="00250DAC">
        <w:trPr>
          <w:trHeight w:val="20"/>
        </w:trPr>
        <w:tc>
          <w:tcPr>
            <w:tcW w:w="2481" w:type="pct"/>
            <w:shd w:val="clear" w:color="auto" w:fill="auto"/>
            <w:noWrap/>
            <w:vAlign w:val="center"/>
            <w:hideMark/>
          </w:tcPr>
          <w:p w14:paraId="528520D2" w14:textId="77777777" w:rsidR="005B5953" w:rsidRPr="005B12AE" w:rsidRDefault="005B5953" w:rsidP="00250DAC">
            <w:pPr>
              <w:spacing w:before="100" w:beforeAutospacing="1" w:after="0"/>
              <w:jc w:val="both"/>
              <w:rPr>
                <w:rFonts w:ascii="Times New Roman" w:hAnsi="Times New Roman"/>
                <w:sz w:val="20"/>
                <w:szCs w:val="20"/>
                <w:lang w:val="en-IN" w:eastAsia="en-IN" w:bidi="mr-IN"/>
              </w:rPr>
            </w:pPr>
            <w:r w:rsidRPr="005B12AE">
              <w:rPr>
                <w:rFonts w:ascii="Times New Roman" w:hAnsi="Times New Roman"/>
                <w:sz w:val="20"/>
                <w:szCs w:val="20"/>
                <w:lang w:val="en-IN" w:eastAsia="en-IN" w:bidi="mr-IN"/>
              </w:rPr>
              <w:t>Interest on obligation</w:t>
            </w:r>
          </w:p>
        </w:tc>
        <w:tc>
          <w:tcPr>
            <w:tcW w:w="855" w:type="pct"/>
            <w:shd w:val="clear" w:color="auto" w:fill="auto"/>
            <w:noWrap/>
            <w:hideMark/>
          </w:tcPr>
          <w:p w14:paraId="58490921"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1.18</w:t>
            </w:r>
          </w:p>
        </w:tc>
        <w:tc>
          <w:tcPr>
            <w:tcW w:w="808" w:type="pct"/>
            <w:shd w:val="clear" w:color="auto" w:fill="auto"/>
            <w:noWrap/>
            <w:hideMark/>
          </w:tcPr>
          <w:p w14:paraId="04F025F6"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1.03</w:t>
            </w:r>
          </w:p>
        </w:tc>
        <w:tc>
          <w:tcPr>
            <w:tcW w:w="856" w:type="pct"/>
          </w:tcPr>
          <w:p w14:paraId="0BED0239"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w:t>
            </w:r>
          </w:p>
        </w:tc>
      </w:tr>
      <w:tr w:rsidR="005B5953" w:rsidRPr="005B12AE" w14:paraId="5260C0DF" w14:textId="77777777" w:rsidTr="00250DAC">
        <w:trPr>
          <w:trHeight w:val="20"/>
        </w:trPr>
        <w:tc>
          <w:tcPr>
            <w:tcW w:w="2481" w:type="pct"/>
            <w:shd w:val="clear" w:color="auto" w:fill="auto"/>
            <w:noWrap/>
            <w:vAlign w:val="center"/>
            <w:hideMark/>
          </w:tcPr>
          <w:p w14:paraId="6CCF88EB" w14:textId="77777777" w:rsidR="005B5953" w:rsidRPr="005B12AE" w:rsidRDefault="005B5953" w:rsidP="00250DAC">
            <w:pPr>
              <w:spacing w:before="100" w:beforeAutospacing="1" w:after="0"/>
              <w:jc w:val="both"/>
              <w:rPr>
                <w:rFonts w:ascii="Times New Roman" w:hAnsi="Times New Roman"/>
                <w:sz w:val="20"/>
                <w:szCs w:val="20"/>
                <w:lang w:val="en-IN" w:eastAsia="en-IN" w:bidi="mr-IN"/>
              </w:rPr>
            </w:pPr>
            <w:r w:rsidRPr="005B12AE">
              <w:rPr>
                <w:rFonts w:ascii="Times New Roman" w:hAnsi="Times New Roman"/>
                <w:sz w:val="20"/>
                <w:szCs w:val="20"/>
                <w:lang w:val="en-IN" w:eastAsia="en-IN" w:bidi="mr-IN"/>
              </w:rPr>
              <w:t>Expected return on plan assets</w:t>
            </w:r>
          </w:p>
        </w:tc>
        <w:tc>
          <w:tcPr>
            <w:tcW w:w="855" w:type="pct"/>
            <w:shd w:val="clear" w:color="auto" w:fill="auto"/>
            <w:noWrap/>
            <w:vAlign w:val="center"/>
            <w:hideMark/>
          </w:tcPr>
          <w:p w14:paraId="70C495D4"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w:t>
            </w:r>
          </w:p>
        </w:tc>
        <w:tc>
          <w:tcPr>
            <w:tcW w:w="808" w:type="pct"/>
            <w:shd w:val="clear" w:color="auto" w:fill="auto"/>
            <w:noWrap/>
            <w:vAlign w:val="center"/>
            <w:hideMark/>
          </w:tcPr>
          <w:p w14:paraId="40B4ECF6"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w:t>
            </w:r>
          </w:p>
        </w:tc>
        <w:tc>
          <w:tcPr>
            <w:tcW w:w="856" w:type="pct"/>
          </w:tcPr>
          <w:p w14:paraId="77F37873"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r>
      <w:tr w:rsidR="005B5953" w:rsidRPr="005B12AE" w14:paraId="6E69E33B" w14:textId="77777777" w:rsidTr="00250DAC">
        <w:trPr>
          <w:trHeight w:val="20"/>
        </w:trPr>
        <w:tc>
          <w:tcPr>
            <w:tcW w:w="2481" w:type="pct"/>
            <w:shd w:val="clear" w:color="auto" w:fill="auto"/>
            <w:noWrap/>
            <w:vAlign w:val="center"/>
            <w:hideMark/>
          </w:tcPr>
          <w:p w14:paraId="64D416D5" w14:textId="77777777" w:rsidR="005B5953" w:rsidRPr="005B12AE" w:rsidRDefault="005B5953" w:rsidP="00250DAC">
            <w:pPr>
              <w:spacing w:before="100" w:beforeAutospacing="1" w:after="0"/>
              <w:jc w:val="both"/>
              <w:rPr>
                <w:rFonts w:ascii="Times New Roman" w:hAnsi="Times New Roman"/>
                <w:sz w:val="20"/>
                <w:szCs w:val="20"/>
                <w:lang w:val="en-IN" w:eastAsia="en-IN" w:bidi="mr-IN"/>
              </w:rPr>
            </w:pPr>
            <w:r w:rsidRPr="005B12AE">
              <w:rPr>
                <w:rFonts w:ascii="Times New Roman" w:hAnsi="Times New Roman"/>
                <w:sz w:val="20"/>
                <w:szCs w:val="20"/>
                <w:lang w:val="en-IN" w:eastAsia="en-IN" w:bidi="mr-IN"/>
              </w:rPr>
              <w:t>Net actuarial loss/(gain)</w:t>
            </w:r>
          </w:p>
        </w:tc>
        <w:tc>
          <w:tcPr>
            <w:tcW w:w="855" w:type="pct"/>
            <w:shd w:val="clear" w:color="auto" w:fill="auto"/>
            <w:noWrap/>
            <w:hideMark/>
          </w:tcPr>
          <w:p w14:paraId="377CD1D4"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(2.02)</w:t>
            </w:r>
          </w:p>
        </w:tc>
        <w:tc>
          <w:tcPr>
            <w:tcW w:w="808" w:type="pct"/>
            <w:shd w:val="clear" w:color="auto" w:fill="auto"/>
            <w:noWrap/>
            <w:hideMark/>
          </w:tcPr>
          <w:p w14:paraId="4A8A93CC"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(2.97)</w:t>
            </w:r>
          </w:p>
        </w:tc>
        <w:tc>
          <w:tcPr>
            <w:tcW w:w="856" w:type="pct"/>
          </w:tcPr>
          <w:p w14:paraId="4154D486"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w:t>
            </w:r>
          </w:p>
        </w:tc>
      </w:tr>
      <w:tr w:rsidR="005B5953" w:rsidRPr="005B12AE" w14:paraId="4252DF84" w14:textId="77777777" w:rsidTr="00250DAC">
        <w:trPr>
          <w:trHeight w:val="20"/>
        </w:trPr>
        <w:tc>
          <w:tcPr>
            <w:tcW w:w="2481" w:type="pct"/>
            <w:shd w:val="clear" w:color="auto" w:fill="auto"/>
            <w:noWrap/>
            <w:vAlign w:val="center"/>
            <w:hideMark/>
          </w:tcPr>
          <w:p w14:paraId="6F3F445E" w14:textId="77777777" w:rsidR="005B5953" w:rsidRPr="005B12AE" w:rsidRDefault="005B5953" w:rsidP="00250DAC">
            <w:pPr>
              <w:spacing w:before="100" w:beforeAutospacing="1" w:after="0"/>
              <w:jc w:val="both"/>
              <w:rPr>
                <w:rFonts w:ascii="Times New Roman" w:hAnsi="Times New Roman"/>
                <w:sz w:val="20"/>
                <w:szCs w:val="20"/>
                <w:lang w:val="en-IN" w:eastAsia="en-IN" w:bidi="mr-IN"/>
              </w:rPr>
            </w:pPr>
            <w:r w:rsidRPr="005B12AE">
              <w:rPr>
                <w:rFonts w:ascii="Times New Roman" w:hAnsi="Times New Roman"/>
                <w:sz w:val="20"/>
                <w:szCs w:val="20"/>
                <w:lang w:val="en-IN" w:eastAsia="en-IN" w:bidi="mr-IN"/>
              </w:rPr>
              <w:t>Recognised Past Service Cost-Vested</w:t>
            </w:r>
          </w:p>
        </w:tc>
        <w:tc>
          <w:tcPr>
            <w:tcW w:w="855" w:type="pct"/>
            <w:shd w:val="clear" w:color="auto" w:fill="auto"/>
            <w:noWrap/>
            <w:vAlign w:val="center"/>
            <w:hideMark/>
          </w:tcPr>
          <w:p w14:paraId="692EC6C1"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w:t>
            </w:r>
          </w:p>
        </w:tc>
        <w:tc>
          <w:tcPr>
            <w:tcW w:w="808" w:type="pct"/>
            <w:shd w:val="clear" w:color="auto" w:fill="auto"/>
            <w:noWrap/>
            <w:vAlign w:val="center"/>
          </w:tcPr>
          <w:p w14:paraId="428BB6A6"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w:t>
            </w:r>
          </w:p>
        </w:tc>
        <w:tc>
          <w:tcPr>
            <w:tcW w:w="856" w:type="pct"/>
          </w:tcPr>
          <w:p w14:paraId="04EAE4A9"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r>
      <w:tr w:rsidR="005B5953" w:rsidRPr="005B12AE" w14:paraId="0A4A74D4" w14:textId="77777777" w:rsidTr="00250DAC">
        <w:trPr>
          <w:trHeight w:val="20"/>
        </w:trPr>
        <w:tc>
          <w:tcPr>
            <w:tcW w:w="2481" w:type="pct"/>
            <w:shd w:val="clear" w:color="auto" w:fill="auto"/>
            <w:noWrap/>
            <w:vAlign w:val="center"/>
            <w:hideMark/>
          </w:tcPr>
          <w:p w14:paraId="0055A6AB" w14:textId="77777777" w:rsidR="005B5953" w:rsidRPr="005B12AE" w:rsidRDefault="005B5953" w:rsidP="00250DAC">
            <w:pPr>
              <w:spacing w:before="100" w:beforeAutospacing="1" w:after="0"/>
              <w:jc w:val="both"/>
              <w:rPr>
                <w:rFonts w:ascii="Times New Roman" w:hAnsi="Times New Roman"/>
                <w:sz w:val="20"/>
                <w:szCs w:val="20"/>
                <w:lang w:val="en-IN" w:eastAsia="en-IN" w:bidi="mr-IN"/>
              </w:rPr>
            </w:pPr>
            <w:r w:rsidRPr="005B12AE">
              <w:rPr>
                <w:rFonts w:ascii="Times New Roman" w:hAnsi="Times New Roman"/>
                <w:sz w:val="20"/>
                <w:szCs w:val="20"/>
                <w:lang w:val="en-IN" w:eastAsia="en-IN" w:bidi="mr-IN"/>
              </w:rPr>
              <w:t>Loss (gain) on curtailments</w:t>
            </w:r>
          </w:p>
        </w:tc>
        <w:tc>
          <w:tcPr>
            <w:tcW w:w="855" w:type="pct"/>
            <w:shd w:val="clear" w:color="auto" w:fill="auto"/>
            <w:noWrap/>
            <w:vAlign w:val="center"/>
            <w:hideMark/>
          </w:tcPr>
          <w:p w14:paraId="70E7AE2F"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w:t>
            </w:r>
          </w:p>
        </w:tc>
        <w:tc>
          <w:tcPr>
            <w:tcW w:w="808" w:type="pct"/>
            <w:shd w:val="clear" w:color="auto" w:fill="auto"/>
            <w:noWrap/>
            <w:vAlign w:val="center"/>
          </w:tcPr>
          <w:p w14:paraId="03122688"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w:t>
            </w:r>
          </w:p>
        </w:tc>
        <w:tc>
          <w:tcPr>
            <w:tcW w:w="856" w:type="pct"/>
          </w:tcPr>
          <w:p w14:paraId="6A5CEF05"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r>
      <w:tr w:rsidR="005B5953" w:rsidRPr="005B12AE" w14:paraId="54AAAF9E" w14:textId="77777777" w:rsidTr="00250DAC">
        <w:trPr>
          <w:trHeight w:val="20"/>
        </w:trPr>
        <w:tc>
          <w:tcPr>
            <w:tcW w:w="2481" w:type="pct"/>
            <w:shd w:val="clear" w:color="auto" w:fill="auto"/>
            <w:noWrap/>
            <w:vAlign w:val="center"/>
            <w:hideMark/>
          </w:tcPr>
          <w:p w14:paraId="6570A39C" w14:textId="77777777" w:rsidR="005B5953" w:rsidRPr="005B12AE" w:rsidRDefault="005B5953" w:rsidP="00250DAC">
            <w:pPr>
              <w:spacing w:before="100" w:beforeAutospacing="1" w:after="0"/>
              <w:jc w:val="both"/>
              <w:rPr>
                <w:rFonts w:ascii="Times New Roman" w:hAnsi="Times New Roman"/>
                <w:b/>
                <w:bCs/>
                <w:sz w:val="20"/>
                <w:szCs w:val="20"/>
                <w:lang w:val="en-IN" w:eastAsia="en-IN" w:bidi="mr-IN"/>
              </w:rPr>
            </w:pPr>
            <w:r w:rsidRPr="005B12AE">
              <w:rPr>
                <w:rFonts w:ascii="Times New Roman" w:hAnsi="Times New Roman"/>
                <w:b/>
                <w:bCs/>
                <w:sz w:val="20"/>
                <w:szCs w:val="20"/>
                <w:lang w:val="en-IN" w:eastAsia="en-IN" w:bidi="mr-IN"/>
              </w:rPr>
              <w:t>Total included in 'Employee Benefit Expense'</w:t>
            </w:r>
          </w:p>
        </w:tc>
        <w:tc>
          <w:tcPr>
            <w:tcW w:w="855" w:type="pct"/>
            <w:shd w:val="clear" w:color="auto" w:fill="auto"/>
            <w:noWrap/>
          </w:tcPr>
          <w:p w14:paraId="2D417329"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2.87</w:t>
            </w:r>
          </w:p>
        </w:tc>
        <w:tc>
          <w:tcPr>
            <w:tcW w:w="808" w:type="pct"/>
            <w:shd w:val="clear" w:color="auto" w:fill="auto"/>
            <w:noWrap/>
          </w:tcPr>
          <w:p w14:paraId="42EBBD6B"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1.66</w:t>
            </w:r>
          </w:p>
        </w:tc>
        <w:tc>
          <w:tcPr>
            <w:tcW w:w="856" w:type="pct"/>
          </w:tcPr>
          <w:p w14:paraId="68CE7D52"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15.68</w:t>
            </w:r>
          </w:p>
        </w:tc>
      </w:tr>
      <w:tr w:rsidR="005B5953" w:rsidRPr="005B12AE" w14:paraId="07834F3D" w14:textId="77777777" w:rsidTr="00250DAC">
        <w:trPr>
          <w:trHeight w:val="20"/>
        </w:trPr>
        <w:tc>
          <w:tcPr>
            <w:tcW w:w="2481" w:type="pct"/>
            <w:shd w:val="clear" w:color="auto" w:fill="auto"/>
            <w:noWrap/>
            <w:vAlign w:val="center"/>
            <w:hideMark/>
          </w:tcPr>
          <w:p w14:paraId="332031C4" w14:textId="77777777" w:rsidR="005B5953" w:rsidRPr="005B12AE" w:rsidRDefault="005B5953" w:rsidP="00250DAC">
            <w:pPr>
              <w:spacing w:before="100" w:beforeAutospacing="1" w:after="0"/>
              <w:jc w:val="both"/>
              <w:rPr>
                <w:rFonts w:ascii="Times New Roman" w:hAnsi="Times New Roman"/>
                <w:sz w:val="20"/>
                <w:szCs w:val="20"/>
                <w:lang w:val="en-IN" w:eastAsia="en-IN" w:bidi="mr-IN"/>
              </w:rPr>
            </w:pPr>
            <w:r w:rsidRPr="005B12AE">
              <w:rPr>
                <w:rFonts w:ascii="Times New Roman" w:hAnsi="Times New Roman"/>
                <w:sz w:val="20"/>
                <w:szCs w:val="20"/>
                <w:lang w:val="en-IN" w:eastAsia="en-IN" w:bidi="mr-IN"/>
              </w:rPr>
              <w:t>prior year charge</w:t>
            </w:r>
          </w:p>
        </w:tc>
        <w:tc>
          <w:tcPr>
            <w:tcW w:w="855" w:type="pct"/>
            <w:shd w:val="clear" w:color="auto" w:fill="auto"/>
            <w:noWrap/>
            <w:vAlign w:val="center"/>
            <w:hideMark/>
          </w:tcPr>
          <w:p w14:paraId="7521FF39"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w:t>
            </w:r>
          </w:p>
        </w:tc>
        <w:tc>
          <w:tcPr>
            <w:tcW w:w="808" w:type="pct"/>
            <w:shd w:val="clear" w:color="auto" w:fill="auto"/>
            <w:noWrap/>
            <w:vAlign w:val="center"/>
            <w:hideMark/>
          </w:tcPr>
          <w:p w14:paraId="34491170"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w:t>
            </w:r>
          </w:p>
        </w:tc>
        <w:tc>
          <w:tcPr>
            <w:tcW w:w="856" w:type="pct"/>
          </w:tcPr>
          <w:p w14:paraId="722EC688"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r>
      <w:tr w:rsidR="005B5953" w:rsidRPr="005B12AE" w14:paraId="1BB07881" w14:textId="77777777" w:rsidTr="00250DAC">
        <w:trPr>
          <w:trHeight w:val="20"/>
        </w:trPr>
        <w:tc>
          <w:tcPr>
            <w:tcW w:w="2481" w:type="pct"/>
            <w:shd w:val="clear" w:color="auto" w:fill="auto"/>
            <w:noWrap/>
            <w:vAlign w:val="center"/>
            <w:hideMark/>
          </w:tcPr>
          <w:p w14:paraId="53838624" w14:textId="77777777" w:rsidR="005B5953" w:rsidRPr="005B12AE" w:rsidRDefault="005B5953" w:rsidP="00250DAC">
            <w:pPr>
              <w:spacing w:before="100" w:beforeAutospacing="1" w:after="0"/>
              <w:jc w:val="both"/>
              <w:rPr>
                <w:rFonts w:ascii="Times New Roman" w:hAnsi="Times New Roman"/>
                <w:b/>
                <w:bCs/>
                <w:sz w:val="20"/>
                <w:szCs w:val="20"/>
                <w:lang w:val="en-IN" w:eastAsia="en-IN" w:bidi="mr-IN"/>
              </w:rPr>
            </w:pPr>
            <w:r w:rsidRPr="005B12AE">
              <w:rPr>
                <w:rFonts w:ascii="Times New Roman" w:hAnsi="Times New Roman"/>
                <w:b/>
                <w:bCs/>
                <w:sz w:val="20"/>
                <w:szCs w:val="20"/>
                <w:lang w:val="en-IN" w:eastAsia="en-IN" w:bidi="mr-IN"/>
              </w:rPr>
              <w:t>Total Charge to P&amp;L</w:t>
            </w:r>
          </w:p>
        </w:tc>
        <w:tc>
          <w:tcPr>
            <w:tcW w:w="855" w:type="pct"/>
            <w:shd w:val="clear" w:color="auto" w:fill="auto"/>
            <w:noWrap/>
            <w:hideMark/>
          </w:tcPr>
          <w:p w14:paraId="77BDE8A5"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2.87</w:t>
            </w:r>
          </w:p>
        </w:tc>
        <w:tc>
          <w:tcPr>
            <w:tcW w:w="808" w:type="pct"/>
            <w:shd w:val="clear" w:color="auto" w:fill="auto"/>
            <w:noWrap/>
            <w:hideMark/>
          </w:tcPr>
          <w:p w14:paraId="4B92EC6A"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1.66</w:t>
            </w:r>
          </w:p>
        </w:tc>
        <w:tc>
          <w:tcPr>
            <w:tcW w:w="856" w:type="pct"/>
          </w:tcPr>
          <w:p w14:paraId="5E847CB1"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15.68</w:t>
            </w:r>
          </w:p>
        </w:tc>
      </w:tr>
      <w:tr w:rsidR="005B5953" w:rsidRPr="005B12AE" w14:paraId="5D7BA1E5" w14:textId="77777777" w:rsidTr="00250DAC">
        <w:trPr>
          <w:trHeight w:val="20"/>
        </w:trPr>
        <w:tc>
          <w:tcPr>
            <w:tcW w:w="2481" w:type="pct"/>
            <w:shd w:val="clear" w:color="auto" w:fill="auto"/>
            <w:noWrap/>
            <w:vAlign w:val="center"/>
            <w:hideMark/>
          </w:tcPr>
          <w:p w14:paraId="5C0BBD69" w14:textId="77777777" w:rsidR="005B5953" w:rsidRPr="005B12AE" w:rsidRDefault="005B5953" w:rsidP="00250DAC">
            <w:pPr>
              <w:spacing w:before="100" w:beforeAutospacing="1" w:after="0"/>
              <w:jc w:val="both"/>
              <w:rPr>
                <w:rFonts w:ascii="Times New Roman" w:hAnsi="Times New Roman"/>
                <w:b/>
                <w:bCs/>
                <w:sz w:val="20"/>
                <w:szCs w:val="20"/>
                <w:lang w:val="en-IN" w:eastAsia="en-IN" w:bidi="mr-IN"/>
              </w:rPr>
            </w:pPr>
            <w:r w:rsidRPr="005B12AE">
              <w:rPr>
                <w:rFonts w:ascii="Times New Roman" w:hAnsi="Times New Roman"/>
                <w:b/>
                <w:bCs/>
                <w:sz w:val="20"/>
                <w:szCs w:val="20"/>
                <w:lang w:val="en-IN" w:eastAsia="en-IN" w:bidi="mr-IN"/>
              </w:rPr>
              <w:t>Reconciliation of defined benefit obligation</w:t>
            </w:r>
          </w:p>
        </w:tc>
        <w:tc>
          <w:tcPr>
            <w:tcW w:w="855" w:type="pct"/>
            <w:shd w:val="clear" w:color="auto" w:fill="auto"/>
            <w:noWrap/>
            <w:vAlign w:val="center"/>
            <w:hideMark/>
          </w:tcPr>
          <w:p w14:paraId="496E4919"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c>
          <w:tcPr>
            <w:tcW w:w="808" w:type="pct"/>
            <w:shd w:val="clear" w:color="auto" w:fill="auto"/>
            <w:noWrap/>
            <w:vAlign w:val="center"/>
            <w:hideMark/>
          </w:tcPr>
          <w:p w14:paraId="26F729C3"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c>
          <w:tcPr>
            <w:tcW w:w="856" w:type="pct"/>
          </w:tcPr>
          <w:p w14:paraId="7309E3F8"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r>
      <w:tr w:rsidR="005B5953" w:rsidRPr="005B12AE" w14:paraId="474BDAC4" w14:textId="77777777" w:rsidTr="00250DAC">
        <w:trPr>
          <w:trHeight w:val="20"/>
        </w:trPr>
        <w:tc>
          <w:tcPr>
            <w:tcW w:w="2481" w:type="pct"/>
            <w:shd w:val="clear" w:color="auto" w:fill="auto"/>
            <w:noWrap/>
            <w:vAlign w:val="center"/>
            <w:hideMark/>
          </w:tcPr>
          <w:p w14:paraId="6AFEB152" w14:textId="77777777" w:rsidR="005B5953" w:rsidRPr="005B12AE" w:rsidRDefault="005B5953" w:rsidP="00250DAC">
            <w:pPr>
              <w:spacing w:before="100" w:beforeAutospacing="1" w:after="0"/>
              <w:jc w:val="both"/>
              <w:rPr>
                <w:rFonts w:ascii="Times New Roman" w:hAnsi="Times New Roman"/>
                <w:sz w:val="20"/>
                <w:szCs w:val="20"/>
                <w:lang w:val="en-IN" w:eastAsia="en-IN" w:bidi="mr-IN"/>
              </w:rPr>
            </w:pPr>
            <w:r w:rsidRPr="005B12AE">
              <w:rPr>
                <w:rFonts w:ascii="Times New Roman" w:hAnsi="Times New Roman"/>
                <w:sz w:val="20"/>
                <w:szCs w:val="20"/>
                <w:lang w:val="en-IN" w:eastAsia="en-IN" w:bidi="mr-IN"/>
              </w:rPr>
              <w:t>Opening Defined Benefit Obligation</w:t>
            </w:r>
          </w:p>
        </w:tc>
        <w:tc>
          <w:tcPr>
            <w:tcW w:w="855" w:type="pct"/>
            <w:shd w:val="clear" w:color="auto" w:fill="auto"/>
            <w:noWrap/>
            <w:hideMark/>
          </w:tcPr>
          <w:p w14:paraId="47E57C8B"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17.34</w:t>
            </w:r>
          </w:p>
        </w:tc>
        <w:tc>
          <w:tcPr>
            <w:tcW w:w="808" w:type="pct"/>
            <w:shd w:val="clear" w:color="auto" w:fill="auto"/>
            <w:noWrap/>
            <w:hideMark/>
          </w:tcPr>
          <w:p w14:paraId="49E7ADBF"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15.68</w:t>
            </w:r>
          </w:p>
        </w:tc>
        <w:tc>
          <w:tcPr>
            <w:tcW w:w="856" w:type="pct"/>
          </w:tcPr>
          <w:p w14:paraId="58015CA4"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w:t>
            </w:r>
          </w:p>
        </w:tc>
      </w:tr>
      <w:tr w:rsidR="005B5953" w:rsidRPr="005B12AE" w14:paraId="1B298575" w14:textId="77777777" w:rsidTr="00250DAC">
        <w:trPr>
          <w:trHeight w:val="20"/>
        </w:trPr>
        <w:tc>
          <w:tcPr>
            <w:tcW w:w="2481" w:type="pct"/>
            <w:shd w:val="clear" w:color="auto" w:fill="auto"/>
            <w:noWrap/>
            <w:vAlign w:val="center"/>
            <w:hideMark/>
          </w:tcPr>
          <w:p w14:paraId="44146D37" w14:textId="77777777" w:rsidR="005B5953" w:rsidRPr="005B12AE" w:rsidRDefault="005B5953" w:rsidP="00250DAC">
            <w:pPr>
              <w:spacing w:before="100" w:beforeAutospacing="1" w:after="0"/>
              <w:jc w:val="both"/>
              <w:rPr>
                <w:rFonts w:ascii="Times New Roman" w:hAnsi="Times New Roman"/>
                <w:sz w:val="20"/>
                <w:szCs w:val="20"/>
                <w:lang w:val="en-IN" w:eastAsia="en-IN" w:bidi="mr-IN"/>
              </w:rPr>
            </w:pPr>
            <w:r w:rsidRPr="005B12AE">
              <w:rPr>
                <w:rFonts w:ascii="Times New Roman" w:hAnsi="Times New Roman"/>
                <w:sz w:val="20"/>
                <w:szCs w:val="20"/>
                <w:lang w:val="en-IN" w:eastAsia="en-IN" w:bidi="mr-IN"/>
              </w:rPr>
              <w:t>Transfer in/(out) obligation</w:t>
            </w:r>
          </w:p>
        </w:tc>
        <w:tc>
          <w:tcPr>
            <w:tcW w:w="855" w:type="pct"/>
            <w:shd w:val="clear" w:color="auto" w:fill="auto"/>
            <w:noWrap/>
            <w:vAlign w:val="center"/>
            <w:hideMark/>
          </w:tcPr>
          <w:p w14:paraId="5EAEB2EA"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w:t>
            </w:r>
          </w:p>
        </w:tc>
        <w:tc>
          <w:tcPr>
            <w:tcW w:w="808" w:type="pct"/>
            <w:shd w:val="clear" w:color="auto" w:fill="auto"/>
            <w:noWrap/>
            <w:vAlign w:val="center"/>
            <w:hideMark/>
          </w:tcPr>
          <w:p w14:paraId="6F12B656"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w:t>
            </w:r>
          </w:p>
        </w:tc>
        <w:tc>
          <w:tcPr>
            <w:tcW w:w="856" w:type="pct"/>
          </w:tcPr>
          <w:p w14:paraId="3BEA00B2"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r>
      <w:tr w:rsidR="005B5953" w:rsidRPr="005B12AE" w14:paraId="38AA8DBE" w14:textId="77777777" w:rsidTr="00250DAC">
        <w:trPr>
          <w:trHeight w:val="20"/>
        </w:trPr>
        <w:tc>
          <w:tcPr>
            <w:tcW w:w="2481" w:type="pct"/>
            <w:shd w:val="clear" w:color="auto" w:fill="auto"/>
            <w:noWrap/>
            <w:vAlign w:val="center"/>
            <w:hideMark/>
          </w:tcPr>
          <w:p w14:paraId="22F19659" w14:textId="77777777" w:rsidR="005B5953" w:rsidRPr="005B12AE" w:rsidRDefault="005B5953" w:rsidP="00250DAC">
            <w:pPr>
              <w:spacing w:before="100" w:beforeAutospacing="1" w:after="0"/>
              <w:jc w:val="both"/>
              <w:rPr>
                <w:rFonts w:ascii="Times New Roman" w:hAnsi="Times New Roman"/>
                <w:sz w:val="20"/>
                <w:szCs w:val="20"/>
                <w:lang w:val="en-IN" w:eastAsia="en-IN" w:bidi="mr-IN"/>
              </w:rPr>
            </w:pPr>
            <w:r w:rsidRPr="005B12AE">
              <w:rPr>
                <w:rFonts w:ascii="Times New Roman" w:hAnsi="Times New Roman"/>
                <w:sz w:val="20"/>
                <w:szCs w:val="20"/>
                <w:lang w:val="en-IN" w:eastAsia="en-IN" w:bidi="mr-IN"/>
              </w:rPr>
              <w:t>Current service cost</w:t>
            </w:r>
          </w:p>
        </w:tc>
        <w:tc>
          <w:tcPr>
            <w:tcW w:w="855" w:type="pct"/>
            <w:shd w:val="clear" w:color="auto" w:fill="auto"/>
            <w:noWrap/>
            <w:hideMark/>
          </w:tcPr>
          <w:p w14:paraId="29219AB1"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3.72</w:t>
            </w:r>
          </w:p>
        </w:tc>
        <w:tc>
          <w:tcPr>
            <w:tcW w:w="808" w:type="pct"/>
            <w:shd w:val="clear" w:color="auto" w:fill="auto"/>
            <w:noWrap/>
            <w:hideMark/>
          </w:tcPr>
          <w:p w14:paraId="09384149"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3.60</w:t>
            </w:r>
          </w:p>
        </w:tc>
        <w:tc>
          <w:tcPr>
            <w:tcW w:w="856" w:type="pct"/>
          </w:tcPr>
          <w:p w14:paraId="4E2D3DD9"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15.68</w:t>
            </w:r>
          </w:p>
        </w:tc>
      </w:tr>
      <w:tr w:rsidR="005B5953" w:rsidRPr="005B12AE" w14:paraId="5D9382F5" w14:textId="77777777" w:rsidTr="00250DAC">
        <w:trPr>
          <w:trHeight w:val="20"/>
        </w:trPr>
        <w:tc>
          <w:tcPr>
            <w:tcW w:w="2481" w:type="pct"/>
            <w:shd w:val="clear" w:color="auto" w:fill="auto"/>
            <w:noWrap/>
            <w:vAlign w:val="center"/>
            <w:hideMark/>
          </w:tcPr>
          <w:p w14:paraId="020C78AF" w14:textId="77777777" w:rsidR="005B5953" w:rsidRPr="005B12AE" w:rsidRDefault="005B5953" w:rsidP="00250DAC">
            <w:pPr>
              <w:spacing w:before="100" w:beforeAutospacing="1" w:after="0"/>
              <w:jc w:val="both"/>
              <w:rPr>
                <w:rFonts w:ascii="Times New Roman" w:hAnsi="Times New Roman"/>
                <w:sz w:val="20"/>
                <w:szCs w:val="20"/>
                <w:lang w:val="en-IN" w:eastAsia="en-IN" w:bidi="mr-IN"/>
              </w:rPr>
            </w:pPr>
            <w:r w:rsidRPr="005B12AE">
              <w:rPr>
                <w:rFonts w:ascii="Times New Roman" w:hAnsi="Times New Roman"/>
                <w:sz w:val="20"/>
                <w:szCs w:val="20"/>
                <w:lang w:val="en-IN" w:eastAsia="en-IN" w:bidi="mr-IN"/>
              </w:rPr>
              <w:t>Interest cost</w:t>
            </w:r>
          </w:p>
        </w:tc>
        <w:tc>
          <w:tcPr>
            <w:tcW w:w="855" w:type="pct"/>
            <w:shd w:val="clear" w:color="auto" w:fill="auto"/>
            <w:noWrap/>
            <w:hideMark/>
          </w:tcPr>
          <w:p w14:paraId="337E9011"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1.18</w:t>
            </w:r>
          </w:p>
        </w:tc>
        <w:tc>
          <w:tcPr>
            <w:tcW w:w="808" w:type="pct"/>
            <w:shd w:val="clear" w:color="auto" w:fill="auto"/>
            <w:noWrap/>
            <w:hideMark/>
          </w:tcPr>
          <w:p w14:paraId="1969A263"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1.03</w:t>
            </w:r>
          </w:p>
        </w:tc>
        <w:tc>
          <w:tcPr>
            <w:tcW w:w="856" w:type="pct"/>
          </w:tcPr>
          <w:p w14:paraId="04878204"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w:t>
            </w:r>
          </w:p>
        </w:tc>
      </w:tr>
      <w:tr w:rsidR="005B5953" w:rsidRPr="005B12AE" w14:paraId="7C9ECD4C" w14:textId="77777777" w:rsidTr="00250DAC">
        <w:trPr>
          <w:trHeight w:val="20"/>
        </w:trPr>
        <w:tc>
          <w:tcPr>
            <w:tcW w:w="2481" w:type="pct"/>
            <w:shd w:val="clear" w:color="auto" w:fill="auto"/>
            <w:noWrap/>
            <w:vAlign w:val="center"/>
            <w:hideMark/>
          </w:tcPr>
          <w:p w14:paraId="7F13D0FC" w14:textId="77777777" w:rsidR="005B5953" w:rsidRPr="005B12AE" w:rsidRDefault="005B5953" w:rsidP="00250DAC">
            <w:pPr>
              <w:spacing w:before="100" w:beforeAutospacing="1" w:after="0"/>
              <w:jc w:val="both"/>
              <w:rPr>
                <w:rFonts w:ascii="Times New Roman" w:hAnsi="Times New Roman"/>
                <w:sz w:val="20"/>
                <w:szCs w:val="20"/>
                <w:lang w:val="en-IN" w:eastAsia="en-IN" w:bidi="mr-IN"/>
              </w:rPr>
            </w:pPr>
            <w:r w:rsidRPr="005B12AE">
              <w:rPr>
                <w:rFonts w:ascii="Times New Roman" w:hAnsi="Times New Roman"/>
                <w:sz w:val="20"/>
                <w:szCs w:val="20"/>
                <w:lang w:val="en-IN" w:eastAsia="en-IN" w:bidi="mr-IN"/>
              </w:rPr>
              <w:t>Actuarial loss (gain)</w:t>
            </w:r>
          </w:p>
        </w:tc>
        <w:tc>
          <w:tcPr>
            <w:tcW w:w="855" w:type="pct"/>
            <w:shd w:val="clear" w:color="auto" w:fill="auto"/>
            <w:noWrap/>
            <w:hideMark/>
          </w:tcPr>
          <w:p w14:paraId="36454789"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(2.02)</w:t>
            </w:r>
          </w:p>
        </w:tc>
        <w:tc>
          <w:tcPr>
            <w:tcW w:w="808" w:type="pct"/>
            <w:shd w:val="clear" w:color="auto" w:fill="auto"/>
            <w:noWrap/>
            <w:hideMark/>
          </w:tcPr>
          <w:p w14:paraId="1AD63381"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(2.97)</w:t>
            </w:r>
          </w:p>
        </w:tc>
        <w:tc>
          <w:tcPr>
            <w:tcW w:w="856" w:type="pct"/>
          </w:tcPr>
          <w:p w14:paraId="2682A273"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w:t>
            </w:r>
          </w:p>
        </w:tc>
      </w:tr>
      <w:tr w:rsidR="005B5953" w:rsidRPr="005B12AE" w14:paraId="572E892B" w14:textId="77777777" w:rsidTr="00250DAC">
        <w:trPr>
          <w:trHeight w:val="20"/>
        </w:trPr>
        <w:tc>
          <w:tcPr>
            <w:tcW w:w="2481" w:type="pct"/>
            <w:shd w:val="clear" w:color="auto" w:fill="auto"/>
            <w:noWrap/>
            <w:vAlign w:val="center"/>
            <w:hideMark/>
          </w:tcPr>
          <w:p w14:paraId="7336CD4C" w14:textId="77777777" w:rsidR="005B5953" w:rsidRPr="005B12AE" w:rsidRDefault="005B5953" w:rsidP="00250DAC">
            <w:pPr>
              <w:spacing w:before="100" w:beforeAutospacing="1" w:after="0"/>
              <w:jc w:val="both"/>
              <w:rPr>
                <w:rFonts w:ascii="Times New Roman" w:hAnsi="Times New Roman"/>
                <w:sz w:val="20"/>
                <w:szCs w:val="20"/>
                <w:lang w:val="en-IN" w:eastAsia="en-IN" w:bidi="mr-IN"/>
              </w:rPr>
            </w:pPr>
            <w:r w:rsidRPr="005B12AE">
              <w:rPr>
                <w:rFonts w:ascii="Times New Roman" w:hAnsi="Times New Roman"/>
                <w:sz w:val="20"/>
                <w:szCs w:val="20"/>
                <w:lang w:val="en-IN" w:eastAsia="en-IN" w:bidi="mr-IN"/>
              </w:rPr>
              <w:t>Past service cost</w:t>
            </w:r>
          </w:p>
        </w:tc>
        <w:tc>
          <w:tcPr>
            <w:tcW w:w="855" w:type="pct"/>
            <w:shd w:val="clear" w:color="auto" w:fill="auto"/>
            <w:noWrap/>
            <w:vAlign w:val="center"/>
            <w:hideMark/>
          </w:tcPr>
          <w:p w14:paraId="186EE402"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w:t>
            </w:r>
          </w:p>
        </w:tc>
        <w:tc>
          <w:tcPr>
            <w:tcW w:w="808" w:type="pct"/>
            <w:shd w:val="clear" w:color="auto" w:fill="auto"/>
            <w:noWrap/>
            <w:vAlign w:val="center"/>
            <w:hideMark/>
          </w:tcPr>
          <w:p w14:paraId="712DDCE4"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w:t>
            </w:r>
          </w:p>
        </w:tc>
        <w:tc>
          <w:tcPr>
            <w:tcW w:w="856" w:type="pct"/>
          </w:tcPr>
          <w:p w14:paraId="07801190"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r>
      <w:tr w:rsidR="005B5953" w:rsidRPr="005B12AE" w14:paraId="49158290" w14:textId="77777777" w:rsidTr="00250DAC">
        <w:trPr>
          <w:trHeight w:val="20"/>
        </w:trPr>
        <w:tc>
          <w:tcPr>
            <w:tcW w:w="2481" w:type="pct"/>
            <w:shd w:val="clear" w:color="auto" w:fill="auto"/>
            <w:noWrap/>
            <w:vAlign w:val="center"/>
            <w:hideMark/>
          </w:tcPr>
          <w:p w14:paraId="2F5117E1" w14:textId="77777777" w:rsidR="005B5953" w:rsidRPr="005B12AE" w:rsidRDefault="005B5953" w:rsidP="00250DAC">
            <w:pPr>
              <w:spacing w:before="100" w:beforeAutospacing="1" w:after="0"/>
              <w:jc w:val="both"/>
              <w:rPr>
                <w:rFonts w:ascii="Times New Roman" w:hAnsi="Times New Roman"/>
                <w:sz w:val="20"/>
                <w:szCs w:val="20"/>
                <w:lang w:val="en-IN" w:eastAsia="en-IN" w:bidi="mr-IN"/>
              </w:rPr>
            </w:pPr>
            <w:r w:rsidRPr="005B12AE">
              <w:rPr>
                <w:rFonts w:ascii="Times New Roman" w:hAnsi="Times New Roman"/>
                <w:sz w:val="20"/>
                <w:szCs w:val="20"/>
                <w:lang w:val="en-IN" w:eastAsia="en-IN" w:bidi="mr-IN"/>
              </w:rPr>
              <w:t>Benefits paid</w:t>
            </w:r>
          </w:p>
        </w:tc>
        <w:tc>
          <w:tcPr>
            <w:tcW w:w="855" w:type="pct"/>
            <w:shd w:val="clear" w:color="auto" w:fill="auto"/>
            <w:noWrap/>
            <w:vAlign w:val="center"/>
            <w:hideMark/>
          </w:tcPr>
          <w:p w14:paraId="550DE3BC"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w:t>
            </w:r>
          </w:p>
        </w:tc>
        <w:tc>
          <w:tcPr>
            <w:tcW w:w="808" w:type="pct"/>
            <w:shd w:val="clear" w:color="auto" w:fill="auto"/>
            <w:noWrap/>
            <w:vAlign w:val="center"/>
          </w:tcPr>
          <w:p w14:paraId="10E68AB3"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w:t>
            </w:r>
          </w:p>
        </w:tc>
        <w:tc>
          <w:tcPr>
            <w:tcW w:w="856" w:type="pct"/>
          </w:tcPr>
          <w:p w14:paraId="7763C1FA"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r>
      <w:tr w:rsidR="005B5953" w:rsidRPr="005B12AE" w14:paraId="294D3019" w14:textId="77777777" w:rsidTr="00250DAC">
        <w:trPr>
          <w:trHeight w:val="20"/>
        </w:trPr>
        <w:tc>
          <w:tcPr>
            <w:tcW w:w="2481" w:type="pct"/>
            <w:shd w:val="clear" w:color="auto" w:fill="auto"/>
            <w:noWrap/>
            <w:vAlign w:val="center"/>
            <w:hideMark/>
          </w:tcPr>
          <w:p w14:paraId="593EBA22" w14:textId="77777777" w:rsidR="005B5953" w:rsidRPr="005B12AE" w:rsidRDefault="005B5953" w:rsidP="00250DAC">
            <w:pPr>
              <w:spacing w:before="100" w:beforeAutospacing="1" w:after="0"/>
              <w:jc w:val="both"/>
              <w:rPr>
                <w:rFonts w:ascii="Times New Roman" w:hAnsi="Times New Roman"/>
                <w:sz w:val="20"/>
                <w:szCs w:val="20"/>
                <w:lang w:val="en-IN" w:eastAsia="en-IN" w:bidi="mr-IN"/>
              </w:rPr>
            </w:pPr>
            <w:r w:rsidRPr="005B12AE">
              <w:rPr>
                <w:rFonts w:ascii="Times New Roman" w:hAnsi="Times New Roman"/>
                <w:sz w:val="20"/>
                <w:szCs w:val="20"/>
                <w:lang w:val="en-IN" w:eastAsia="en-IN" w:bidi="mr-IN"/>
              </w:rPr>
              <w:t>prior year charge</w:t>
            </w:r>
          </w:p>
        </w:tc>
        <w:tc>
          <w:tcPr>
            <w:tcW w:w="855" w:type="pct"/>
            <w:shd w:val="clear" w:color="auto" w:fill="auto"/>
            <w:noWrap/>
            <w:vAlign w:val="center"/>
            <w:hideMark/>
          </w:tcPr>
          <w:p w14:paraId="567792CD"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w:t>
            </w:r>
          </w:p>
        </w:tc>
        <w:tc>
          <w:tcPr>
            <w:tcW w:w="808" w:type="pct"/>
            <w:shd w:val="clear" w:color="auto" w:fill="auto"/>
            <w:noWrap/>
            <w:vAlign w:val="center"/>
            <w:hideMark/>
          </w:tcPr>
          <w:p w14:paraId="4447A441"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w:t>
            </w:r>
          </w:p>
        </w:tc>
        <w:tc>
          <w:tcPr>
            <w:tcW w:w="856" w:type="pct"/>
          </w:tcPr>
          <w:p w14:paraId="0B752D08"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r>
      <w:tr w:rsidR="005B5953" w:rsidRPr="005B12AE" w14:paraId="198A49D2" w14:textId="77777777" w:rsidTr="00250DAC">
        <w:trPr>
          <w:trHeight w:val="20"/>
        </w:trPr>
        <w:tc>
          <w:tcPr>
            <w:tcW w:w="2481" w:type="pct"/>
            <w:shd w:val="clear" w:color="auto" w:fill="auto"/>
            <w:noWrap/>
            <w:vAlign w:val="center"/>
            <w:hideMark/>
          </w:tcPr>
          <w:p w14:paraId="113AFEA9" w14:textId="77777777" w:rsidR="005B5953" w:rsidRPr="005B12AE" w:rsidRDefault="005B5953" w:rsidP="00250DAC">
            <w:pPr>
              <w:spacing w:before="100" w:beforeAutospacing="1" w:after="0"/>
              <w:jc w:val="both"/>
              <w:rPr>
                <w:rFonts w:ascii="Times New Roman" w:hAnsi="Times New Roman"/>
                <w:b/>
                <w:bCs/>
                <w:sz w:val="20"/>
                <w:szCs w:val="20"/>
                <w:lang w:val="en-IN" w:eastAsia="en-IN" w:bidi="mr-IN"/>
              </w:rPr>
            </w:pPr>
            <w:r w:rsidRPr="005B12AE">
              <w:rPr>
                <w:rFonts w:ascii="Times New Roman" w:hAnsi="Times New Roman"/>
                <w:b/>
                <w:bCs/>
                <w:sz w:val="20"/>
                <w:szCs w:val="20"/>
                <w:lang w:val="en-IN" w:eastAsia="en-IN" w:bidi="mr-IN"/>
              </w:rPr>
              <w:t>Closing Defined Benefit Obligation</w:t>
            </w:r>
          </w:p>
        </w:tc>
        <w:tc>
          <w:tcPr>
            <w:tcW w:w="855" w:type="pct"/>
            <w:shd w:val="clear" w:color="auto" w:fill="auto"/>
            <w:noWrap/>
            <w:hideMark/>
          </w:tcPr>
          <w:p w14:paraId="1F484920"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20.21</w:t>
            </w:r>
          </w:p>
        </w:tc>
        <w:tc>
          <w:tcPr>
            <w:tcW w:w="808" w:type="pct"/>
            <w:shd w:val="clear" w:color="auto" w:fill="auto"/>
            <w:noWrap/>
            <w:hideMark/>
          </w:tcPr>
          <w:p w14:paraId="332A1F27"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17.34</w:t>
            </w:r>
          </w:p>
        </w:tc>
        <w:tc>
          <w:tcPr>
            <w:tcW w:w="856" w:type="pct"/>
          </w:tcPr>
          <w:p w14:paraId="71F9DC6E"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15.68</w:t>
            </w:r>
          </w:p>
        </w:tc>
      </w:tr>
      <w:tr w:rsidR="005B5953" w:rsidRPr="005B12AE" w14:paraId="21031185" w14:textId="77777777" w:rsidTr="00250DAC">
        <w:trPr>
          <w:trHeight w:val="20"/>
        </w:trPr>
        <w:tc>
          <w:tcPr>
            <w:tcW w:w="2481" w:type="pct"/>
            <w:shd w:val="clear" w:color="auto" w:fill="auto"/>
            <w:noWrap/>
            <w:vAlign w:val="center"/>
            <w:hideMark/>
          </w:tcPr>
          <w:p w14:paraId="693EB974" w14:textId="77777777" w:rsidR="005B5953" w:rsidRPr="005B12AE" w:rsidRDefault="005B5953" w:rsidP="00250DAC">
            <w:pPr>
              <w:spacing w:before="100" w:beforeAutospacing="1" w:after="0"/>
              <w:jc w:val="both"/>
              <w:rPr>
                <w:rFonts w:ascii="Times New Roman" w:hAnsi="Times New Roman"/>
                <w:b/>
                <w:bCs/>
                <w:sz w:val="20"/>
                <w:szCs w:val="20"/>
                <w:lang w:val="en-IN" w:eastAsia="en-IN" w:bidi="mr-IN"/>
              </w:rPr>
            </w:pPr>
            <w:r w:rsidRPr="005B12AE">
              <w:rPr>
                <w:rFonts w:ascii="Times New Roman" w:hAnsi="Times New Roman"/>
                <w:b/>
                <w:bCs/>
                <w:sz w:val="20"/>
                <w:szCs w:val="20"/>
                <w:lang w:val="en-IN" w:eastAsia="en-IN" w:bidi="mr-IN"/>
              </w:rPr>
              <w:t>Table of experience adjustments</w:t>
            </w:r>
          </w:p>
        </w:tc>
        <w:tc>
          <w:tcPr>
            <w:tcW w:w="855" w:type="pct"/>
            <w:shd w:val="clear" w:color="auto" w:fill="auto"/>
            <w:noWrap/>
            <w:vAlign w:val="center"/>
            <w:hideMark/>
          </w:tcPr>
          <w:p w14:paraId="265D91E0"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c>
          <w:tcPr>
            <w:tcW w:w="808" w:type="pct"/>
            <w:shd w:val="clear" w:color="auto" w:fill="auto"/>
            <w:noWrap/>
            <w:vAlign w:val="center"/>
            <w:hideMark/>
          </w:tcPr>
          <w:p w14:paraId="6EB20614"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c>
          <w:tcPr>
            <w:tcW w:w="856" w:type="pct"/>
          </w:tcPr>
          <w:p w14:paraId="3EA026F3"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r>
      <w:tr w:rsidR="005B5953" w:rsidRPr="005B12AE" w14:paraId="59B3AB86" w14:textId="77777777" w:rsidTr="00250DAC">
        <w:trPr>
          <w:trHeight w:val="20"/>
        </w:trPr>
        <w:tc>
          <w:tcPr>
            <w:tcW w:w="2481" w:type="pct"/>
            <w:shd w:val="clear" w:color="auto" w:fill="auto"/>
            <w:noWrap/>
            <w:vAlign w:val="center"/>
            <w:hideMark/>
          </w:tcPr>
          <w:p w14:paraId="0DC3DB9C" w14:textId="77777777" w:rsidR="005B5953" w:rsidRPr="005B12AE" w:rsidRDefault="005B5953" w:rsidP="00250DAC">
            <w:pPr>
              <w:spacing w:before="100" w:beforeAutospacing="1" w:after="0"/>
              <w:jc w:val="both"/>
              <w:rPr>
                <w:rFonts w:ascii="Times New Roman" w:hAnsi="Times New Roman"/>
                <w:sz w:val="20"/>
                <w:szCs w:val="20"/>
                <w:lang w:val="en-IN" w:eastAsia="en-IN" w:bidi="mr-IN"/>
              </w:rPr>
            </w:pPr>
            <w:r w:rsidRPr="005B12AE">
              <w:rPr>
                <w:rFonts w:ascii="Times New Roman" w:hAnsi="Times New Roman"/>
                <w:sz w:val="20"/>
                <w:szCs w:val="20"/>
                <w:lang w:val="en-IN" w:eastAsia="en-IN" w:bidi="mr-IN"/>
              </w:rPr>
              <w:t>Defined Benefit Obligation</w:t>
            </w:r>
          </w:p>
        </w:tc>
        <w:tc>
          <w:tcPr>
            <w:tcW w:w="855" w:type="pct"/>
            <w:shd w:val="clear" w:color="auto" w:fill="auto"/>
            <w:noWrap/>
            <w:hideMark/>
          </w:tcPr>
          <w:p w14:paraId="2DCC9D4E"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20.21</w:t>
            </w:r>
          </w:p>
        </w:tc>
        <w:tc>
          <w:tcPr>
            <w:tcW w:w="808" w:type="pct"/>
            <w:shd w:val="clear" w:color="auto" w:fill="auto"/>
            <w:noWrap/>
            <w:hideMark/>
          </w:tcPr>
          <w:p w14:paraId="1DBB8491"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17.34</w:t>
            </w:r>
          </w:p>
        </w:tc>
        <w:tc>
          <w:tcPr>
            <w:tcW w:w="856" w:type="pct"/>
          </w:tcPr>
          <w:p w14:paraId="3DD9703D"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15.68</w:t>
            </w:r>
          </w:p>
        </w:tc>
      </w:tr>
      <w:tr w:rsidR="005B5953" w:rsidRPr="005B12AE" w14:paraId="4B4D6B3E" w14:textId="77777777" w:rsidTr="00250DAC">
        <w:trPr>
          <w:trHeight w:val="20"/>
        </w:trPr>
        <w:tc>
          <w:tcPr>
            <w:tcW w:w="2481" w:type="pct"/>
            <w:shd w:val="clear" w:color="auto" w:fill="auto"/>
            <w:noWrap/>
            <w:vAlign w:val="center"/>
            <w:hideMark/>
          </w:tcPr>
          <w:p w14:paraId="5CC82BF0" w14:textId="77777777" w:rsidR="005B5953" w:rsidRPr="005B12AE" w:rsidRDefault="005B5953" w:rsidP="00250DAC">
            <w:pPr>
              <w:spacing w:before="100" w:beforeAutospacing="1" w:after="0"/>
              <w:jc w:val="both"/>
              <w:rPr>
                <w:rFonts w:ascii="Times New Roman" w:hAnsi="Times New Roman"/>
                <w:sz w:val="20"/>
                <w:szCs w:val="20"/>
                <w:lang w:val="en-IN" w:eastAsia="en-IN" w:bidi="mr-IN"/>
              </w:rPr>
            </w:pPr>
            <w:r w:rsidRPr="005B12AE">
              <w:rPr>
                <w:rFonts w:ascii="Times New Roman" w:hAnsi="Times New Roman"/>
                <w:sz w:val="20"/>
                <w:szCs w:val="20"/>
                <w:lang w:val="en-IN" w:eastAsia="en-IN" w:bidi="mr-IN"/>
              </w:rPr>
              <w:t>Plan Assets</w:t>
            </w:r>
          </w:p>
        </w:tc>
        <w:tc>
          <w:tcPr>
            <w:tcW w:w="855" w:type="pct"/>
            <w:shd w:val="clear" w:color="auto" w:fill="auto"/>
            <w:noWrap/>
            <w:vAlign w:val="center"/>
            <w:hideMark/>
          </w:tcPr>
          <w:p w14:paraId="064A847C"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w:t>
            </w:r>
          </w:p>
        </w:tc>
        <w:tc>
          <w:tcPr>
            <w:tcW w:w="808" w:type="pct"/>
            <w:shd w:val="clear" w:color="auto" w:fill="auto"/>
            <w:noWrap/>
            <w:vAlign w:val="center"/>
            <w:hideMark/>
          </w:tcPr>
          <w:p w14:paraId="73C94AE8"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w:t>
            </w:r>
          </w:p>
        </w:tc>
        <w:tc>
          <w:tcPr>
            <w:tcW w:w="856" w:type="pct"/>
          </w:tcPr>
          <w:p w14:paraId="0C4B9986"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r>
      <w:tr w:rsidR="005B5953" w:rsidRPr="005B12AE" w14:paraId="76F41F56" w14:textId="77777777" w:rsidTr="00250DAC">
        <w:trPr>
          <w:trHeight w:val="20"/>
        </w:trPr>
        <w:tc>
          <w:tcPr>
            <w:tcW w:w="2481" w:type="pct"/>
            <w:shd w:val="clear" w:color="auto" w:fill="auto"/>
            <w:noWrap/>
            <w:vAlign w:val="center"/>
            <w:hideMark/>
          </w:tcPr>
          <w:p w14:paraId="741800E3" w14:textId="77777777" w:rsidR="005B5953" w:rsidRPr="005B12AE" w:rsidRDefault="005B5953" w:rsidP="00250DAC">
            <w:pPr>
              <w:spacing w:before="100" w:beforeAutospacing="1" w:after="0"/>
              <w:jc w:val="both"/>
              <w:rPr>
                <w:rFonts w:ascii="Times New Roman" w:hAnsi="Times New Roman"/>
                <w:b/>
                <w:bCs/>
                <w:sz w:val="20"/>
                <w:szCs w:val="20"/>
                <w:lang w:val="en-IN" w:eastAsia="en-IN" w:bidi="mr-IN"/>
              </w:rPr>
            </w:pPr>
            <w:r w:rsidRPr="005B12AE">
              <w:rPr>
                <w:rFonts w:ascii="Times New Roman" w:hAnsi="Times New Roman"/>
                <w:b/>
                <w:bCs/>
                <w:sz w:val="20"/>
                <w:szCs w:val="20"/>
                <w:lang w:val="en-IN" w:eastAsia="en-IN" w:bidi="mr-IN"/>
              </w:rPr>
              <w:t>Surplus/(Deficit)</w:t>
            </w:r>
          </w:p>
        </w:tc>
        <w:tc>
          <w:tcPr>
            <w:tcW w:w="855" w:type="pct"/>
            <w:shd w:val="clear" w:color="auto" w:fill="auto"/>
            <w:noWrap/>
            <w:vAlign w:val="center"/>
            <w:hideMark/>
          </w:tcPr>
          <w:p w14:paraId="57E6FCB9"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(20.21)</w:t>
            </w:r>
          </w:p>
        </w:tc>
        <w:tc>
          <w:tcPr>
            <w:tcW w:w="808" w:type="pct"/>
            <w:shd w:val="clear" w:color="auto" w:fill="auto"/>
            <w:noWrap/>
            <w:vAlign w:val="center"/>
            <w:hideMark/>
          </w:tcPr>
          <w:p w14:paraId="537A3393"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(17.34)</w:t>
            </w:r>
          </w:p>
        </w:tc>
        <w:tc>
          <w:tcPr>
            <w:tcW w:w="856" w:type="pct"/>
          </w:tcPr>
          <w:p w14:paraId="12197D99"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(15.68)</w:t>
            </w:r>
          </w:p>
        </w:tc>
      </w:tr>
      <w:tr w:rsidR="005B5953" w:rsidRPr="005B12AE" w14:paraId="31E922CD" w14:textId="77777777" w:rsidTr="00250DAC">
        <w:trPr>
          <w:trHeight w:val="20"/>
        </w:trPr>
        <w:tc>
          <w:tcPr>
            <w:tcW w:w="2481" w:type="pct"/>
            <w:shd w:val="clear" w:color="auto" w:fill="auto"/>
            <w:noWrap/>
            <w:vAlign w:val="center"/>
            <w:hideMark/>
          </w:tcPr>
          <w:p w14:paraId="0E630E65" w14:textId="77777777" w:rsidR="005B5953" w:rsidRPr="005B12AE" w:rsidRDefault="005B5953" w:rsidP="00250DAC">
            <w:pPr>
              <w:spacing w:before="100" w:beforeAutospacing="1" w:after="0"/>
              <w:jc w:val="both"/>
              <w:rPr>
                <w:rFonts w:ascii="Times New Roman" w:hAnsi="Times New Roman"/>
                <w:b/>
                <w:bCs/>
                <w:sz w:val="20"/>
                <w:szCs w:val="20"/>
                <w:lang w:val="en-IN" w:eastAsia="en-IN" w:bidi="mr-IN"/>
              </w:rPr>
            </w:pPr>
            <w:r w:rsidRPr="005B12AE">
              <w:rPr>
                <w:rFonts w:ascii="Times New Roman" w:hAnsi="Times New Roman"/>
                <w:b/>
                <w:bCs/>
                <w:sz w:val="20"/>
                <w:szCs w:val="20"/>
                <w:lang w:val="en-IN" w:eastAsia="en-IN" w:bidi="mr-IN"/>
              </w:rPr>
              <w:t>Reconciliation of plan assets</w:t>
            </w:r>
          </w:p>
        </w:tc>
        <w:tc>
          <w:tcPr>
            <w:tcW w:w="855" w:type="pct"/>
            <w:shd w:val="clear" w:color="auto" w:fill="auto"/>
            <w:noWrap/>
            <w:vAlign w:val="center"/>
            <w:hideMark/>
          </w:tcPr>
          <w:p w14:paraId="092BFEC1"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c>
          <w:tcPr>
            <w:tcW w:w="808" w:type="pct"/>
            <w:shd w:val="clear" w:color="auto" w:fill="auto"/>
            <w:noWrap/>
            <w:vAlign w:val="center"/>
            <w:hideMark/>
          </w:tcPr>
          <w:p w14:paraId="77D8DF38"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c>
          <w:tcPr>
            <w:tcW w:w="856" w:type="pct"/>
          </w:tcPr>
          <w:p w14:paraId="55F84E85"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r>
      <w:tr w:rsidR="005B5953" w:rsidRPr="005B12AE" w14:paraId="7446744F" w14:textId="77777777" w:rsidTr="00250DAC">
        <w:trPr>
          <w:trHeight w:val="20"/>
        </w:trPr>
        <w:tc>
          <w:tcPr>
            <w:tcW w:w="2481" w:type="pct"/>
            <w:shd w:val="clear" w:color="auto" w:fill="auto"/>
            <w:noWrap/>
            <w:vAlign w:val="center"/>
            <w:hideMark/>
          </w:tcPr>
          <w:p w14:paraId="57E8EE2F" w14:textId="77777777" w:rsidR="005B5953" w:rsidRPr="005B12AE" w:rsidRDefault="005B5953" w:rsidP="00250DAC">
            <w:pPr>
              <w:spacing w:before="100" w:beforeAutospacing="1" w:after="0"/>
              <w:jc w:val="both"/>
              <w:rPr>
                <w:rFonts w:ascii="Times New Roman" w:hAnsi="Times New Roman"/>
                <w:sz w:val="20"/>
                <w:szCs w:val="20"/>
                <w:lang w:val="en-IN" w:eastAsia="en-IN" w:bidi="mr-IN"/>
              </w:rPr>
            </w:pPr>
            <w:r w:rsidRPr="005B12AE">
              <w:rPr>
                <w:rFonts w:ascii="Times New Roman" w:hAnsi="Times New Roman"/>
                <w:sz w:val="20"/>
                <w:szCs w:val="20"/>
                <w:lang w:val="en-IN" w:eastAsia="en-IN" w:bidi="mr-IN"/>
              </w:rPr>
              <w:t>Opening value of plan assets</w:t>
            </w:r>
          </w:p>
        </w:tc>
        <w:tc>
          <w:tcPr>
            <w:tcW w:w="855" w:type="pct"/>
            <w:shd w:val="clear" w:color="auto" w:fill="auto"/>
            <w:noWrap/>
            <w:vAlign w:val="center"/>
            <w:hideMark/>
          </w:tcPr>
          <w:p w14:paraId="1E066781"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w:t>
            </w:r>
          </w:p>
        </w:tc>
        <w:tc>
          <w:tcPr>
            <w:tcW w:w="808" w:type="pct"/>
            <w:shd w:val="clear" w:color="auto" w:fill="auto"/>
            <w:noWrap/>
            <w:vAlign w:val="center"/>
            <w:hideMark/>
          </w:tcPr>
          <w:p w14:paraId="76BD7EF3"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w:t>
            </w:r>
          </w:p>
        </w:tc>
        <w:tc>
          <w:tcPr>
            <w:tcW w:w="856" w:type="pct"/>
            <w:vAlign w:val="center"/>
          </w:tcPr>
          <w:p w14:paraId="5EBC2E3B"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w:t>
            </w:r>
          </w:p>
        </w:tc>
      </w:tr>
      <w:tr w:rsidR="005B5953" w:rsidRPr="005B12AE" w14:paraId="637C3245" w14:textId="77777777" w:rsidTr="00250DAC">
        <w:trPr>
          <w:trHeight w:val="20"/>
        </w:trPr>
        <w:tc>
          <w:tcPr>
            <w:tcW w:w="2481" w:type="pct"/>
            <w:shd w:val="clear" w:color="auto" w:fill="auto"/>
            <w:noWrap/>
            <w:vAlign w:val="center"/>
            <w:hideMark/>
          </w:tcPr>
          <w:p w14:paraId="4DE8E399" w14:textId="77777777" w:rsidR="005B5953" w:rsidRPr="005B12AE" w:rsidRDefault="005B5953" w:rsidP="00250DAC">
            <w:pPr>
              <w:spacing w:before="100" w:beforeAutospacing="1" w:after="0"/>
              <w:jc w:val="both"/>
              <w:rPr>
                <w:rFonts w:ascii="Times New Roman" w:hAnsi="Times New Roman"/>
                <w:sz w:val="20"/>
                <w:szCs w:val="20"/>
                <w:lang w:val="en-IN" w:eastAsia="en-IN" w:bidi="mr-IN"/>
              </w:rPr>
            </w:pPr>
            <w:r w:rsidRPr="005B12AE">
              <w:rPr>
                <w:rFonts w:ascii="Times New Roman" w:hAnsi="Times New Roman"/>
                <w:sz w:val="20"/>
                <w:szCs w:val="20"/>
                <w:lang w:val="en-IN" w:eastAsia="en-IN" w:bidi="mr-IN"/>
              </w:rPr>
              <w:t>Transfer in/(out) plan assets</w:t>
            </w:r>
          </w:p>
        </w:tc>
        <w:tc>
          <w:tcPr>
            <w:tcW w:w="855" w:type="pct"/>
            <w:shd w:val="clear" w:color="auto" w:fill="auto"/>
            <w:noWrap/>
            <w:vAlign w:val="center"/>
            <w:hideMark/>
          </w:tcPr>
          <w:p w14:paraId="7A7049CF"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w:t>
            </w:r>
          </w:p>
        </w:tc>
        <w:tc>
          <w:tcPr>
            <w:tcW w:w="808" w:type="pct"/>
            <w:shd w:val="clear" w:color="auto" w:fill="auto"/>
            <w:noWrap/>
            <w:vAlign w:val="center"/>
            <w:hideMark/>
          </w:tcPr>
          <w:p w14:paraId="40CC7340"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w:t>
            </w:r>
          </w:p>
        </w:tc>
        <w:tc>
          <w:tcPr>
            <w:tcW w:w="856" w:type="pct"/>
            <w:vAlign w:val="center"/>
          </w:tcPr>
          <w:p w14:paraId="7E6E2B33"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w:t>
            </w:r>
          </w:p>
        </w:tc>
      </w:tr>
      <w:tr w:rsidR="005B5953" w:rsidRPr="005B12AE" w14:paraId="656CDDAA" w14:textId="77777777" w:rsidTr="00250DAC">
        <w:trPr>
          <w:trHeight w:val="20"/>
        </w:trPr>
        <w:tc>
          <w:tcPr>
            <w:tcW w:w="2481" w:type="pct"/>
            <w:shd w:val="clear" w:color="auto" w:fill="auto"/>
            <w:noWrap/>
            <w:vAlign w:val="center"/>
            <w:hideMark/>
          </w:tcPr>
          <w:p w14:paraId="2EA16CE4" w14:textId="77777777" w:rsidR="005B5953" w:rsidRPr="005B12AE" w:rsidRDefault="005B5953" w:rsidP="00250DAC">
            <w:pPr>
              <w:spacing w:before="100" w:beforeAutospacing="1" w:after="0"/>
              <w:jc w:val="both"/>
              <w:rPr>
                <w:rFonts w:ascii="Times New Roman" w:hAnsi="Times New Roman"/>
                <w:sz w:val="20"/>
                <w:szCs w:val="20"/>
                <w:lang w:val="en-IN" w:eastAsia="en-IN" w:bidi="mr-IN"/>
              </w:rPr>
            </w:pPr>
            <w:r w:rsidRPr="005B12AE">
              <w:rPr>
                <w:rFonts w:ascii="Times New Roman" w:hAnsi="Times New Roman"/>
                <w:sz w:val="20"/>
                <w:szCs w:val="20"/>
                <w:lang w:val="en-IN" w:eastAsia="en-IN" w:bidi="mr-IN"/>
              </w:rPr>
              <w:t>Expenses deducted from the fund</w:t>
            </w:r>
          </w:p>
        </w:tc>
        <w:tc>
          <w:tcPr>
            <w:tcW w:w="855" w:type="pct"/>
            <w:shd w:val="clear" w:color="auto" w:fill="auto"/>
            <w:noWrap/>
            <w:vAlign w:val="center"/>
          </w:tcPr>
          <w:p w14:paraId="01DB28EB"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w:t>
            </w:r>
          </w:p>
        </w:tc>
        <w:tc>
          <w:tcPr>
            <w:tcW w:w="808" w:type="pct"/>
            <w:shd w:val="clear" w:color="auto" w:fill="auto"/>
            <w:noWrap/>
            <w:vAlign w:val="center"/>
          </w:tcPr>
          <w:p w14:paraId="4FBD7ACA"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w:t>
            </w:r>
          </w:p>
        </w:tc>
        <w:tc>
          <w:tcPr>
            <w:tcW w:w="856" w:type="pct"/>
            <w:vAlign w:val="center"/>
          </w:tcPr>
          <w:p w14:paraId="331C72CC"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w:t>
            </w:r>
          </w:p>
        </w:tc>
      </w:tr>
      <w:tr w:rsidR="005B5953" w:rsidRPr="005B12AE" w14:paraId="6F8B6655" w14:textId="77777777" w:rsidTr="00250DAC">
        <w:trPr>
          <w:trHeight w:val="20"/>
        </w:trPr>
        <w:tc>
          <w:tcPr>
            <w:tcW w:w="2481" w:type="pct"/>
            <w:shd w:val="clear" w:color="auto" w:fill="auto"/>
            <w:noWrap/>
            <w:vAlign w:val="center"/>
            <w:hideMark/>
          </w:tcPr>
          <w:p w14:paraId="1C80AFA2" w14:textId="77777777" w:rsidR="005B5953" w:rsidRPr="005B12AE" w:rsidRDefault="005B5953" w:rsidP="00250DAC">
            <w:pPr>
              <w:spacing w:before="100" w:beforeAutospacing="1" w:after="0"/>
              <w:jc w:val="both"/>
              <w:rPr>
                <w:rFonts w:ascii="Times New Roman" w:hAnsi="Times New Roman"/>
                <w:sz w:val="20"/>
                <w:szCs w:val="20"/>
                <w:lang w:val="en-IN" w:eastAsia="en-IN" w:bidi="mr-IN"/>
              </w:rPr>
            </w:pPr>
            <w:r w:rsidRPr="005B12AE">
              <w:rPr>
                <w:rFonts w:ascii="Times New Roman" w:hAnsi="Times New Roman"/>
                <w:sz w:val="20"/>
                <w:szCs w:val="20"/>
                <w:lang w:val="en-IN" w:eastAsia="en-IN" w:bidi="mr-IN"/>
              </w:rPr>
              <w:t>Expected return</w:t>
            </w:r>
          </w:p>
        </w:tc>
        <w:tc>
          <w:tcPr>
            <w:tcW w:w="855" w:type="pct"/>
            <w:shd w:val="clear" w:color="auto" w:fill="auto"/>
            <w:noWrap/>
            <w:vAlign w:val="center"/>
          </w:tcPr>
          <w:p w14:paraId="0FDE8A69"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w:t>
            </w:r>
          </w:p>
        </w:tc>
        <w:tc>
          <w:tcPr>
            <w:tcW w:w="808" w:type="pct"/>
            <w:shd w:val="clear" w:color="auto" w:fill="auto"/>
            <w:noWrap/>
            <w:vAlign w:val="center"/>
          </w:tcPr>
          <w:p w14:paraId="6770863B"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w:t>
            </w:r>
          </w:p>
        </w:tc>
        <w:tc>
          <w:tcPr>
            <w:tcW w:w="856" w:type="pct"/>
            <w:vAlign w:val="center"/>
          </w:tcPr>
          <w:p w14:paraId="62DA6617"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w:t>
            </w:r>
          </w:p>
        </w:tc>
      </w:tr>
      <w:tr w:rsidR="005B5953" w:rsidRPr="005B12AE" w14:paraId="484D8423" w14:textId="77777777" w:rsidTr="00250DAC">
        <w:trPr>
          <w:trHeight w:val="20"/>
        </w:trPr>
        <w:tc>
          <w:tcPr>
            <w:tcW w:w="2481" w:type="pct"/>
            <w:shd w:val="clear" w:color="auto" w:fill="auto"/>
            <w:noWrap/>
            <w:vAlign w:val="center"/>
            <w:hideMark/>
          </w:tcPr>
          <w:p w14:paraId="51E1ACE2" w14:textId="77777777" w:rsidR="005B5953" w:rsidRPr="005B12AE" w:rsidRDefault="005B5953" w:rsidP="00250DAC">
            <w:pPr>
              <w:spacing w:before="100" w:beforeAutospacing="1" w:after="0"/>
              <w:jc w:val="both"/>
              <w:rPr>
                <w:rFonts w:ascii="Times New Roman" w:hAnsi="Times New Roman"/>
                <w:sz w:val="20"/>
                <w:szCs w:val="20"/>
                <w:lang w:val="en-IN" w:eastAsia="en-IN" w:bidi="mr-IN"/>
              </w:rPr>
            </w:pPr>
            <w:r w:rsidRPr="005B12AE">
              <w:rPr>
                <w:rFonts w:ascii="Times New Roman" w:hAnsi="Times New Roman"/>
                <w:sz w:val="20"/>
                <w:szCs w:val="20"/>
                <w:lang w:val="en-IN" w:eastAsia="en-IN" w:bidi="mr-IN"/>
              </w:rPr>
              <w:t>Actuarial gain/(loss)</w:t>
            </w:r>
          </w:p>
        </w:tc>
        <w:tc>
          <w:tcPr>
            <w:tcW w:w="855" w:type="pct"/>
            <w:shd w:val="clear" w:color="auto" w:fill="auto"/>
            <w:noWrap/>
            <w:vAlign w:val="center"/>
          </w:tcPr>
          <w:p w14:paraId="59B24A6B"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w:t>
            </w:r>
          </w:p>
        </w:tc>
        <w:tc>
          <w:tcPr>
            <w:tcW w:w="808" w:type="pct"/>
            <w:shd w:val="clear" w:color="auto" w:fill="auto"/>
            <w:noWrap/>
            <w:vAlign w:val="center"/>
          </w:tcPr>
          <w:p w14:paraId="27DDCF6D"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w:t>
            </w:r>
          </w:p>
        </w:tc>
        <w:tc>
          <w:tcPr>
            <w:tcW w:w="856" w:type="pct"/>
            <w:vAlign w:val="center"/>
          </w:tcPr>
          <w:p w14:paraId="036B594D"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w:t>
            </w:r>
          </w:p>
        </w:tc>
      </w:tr>
      <w:tr w:rsidR="005B5953" w:rsidRPr="005B12AE" w14:paraId="7D971256" w14:textId="77777777" w:rsidTr="00250DAC">
        <w:trPr>
          <w:trHeight w:val="20"/>
        </w:trPr>
        <w:tc>
          <w:tcPr>
            <w:tcW w:w="2481" w:type="pct"/>
            <w:shd w:val="clear" w:color="auto" w:fill="auto"/>
            <w:noWrap/>
            <w:vAlign w:val="center"/>
            <w:hideMark/>
          </w:tcPr>
          <w:p w14:paraId="60D31026" w14:textId="77777777" w:rsidR="005B5953" w:rsidRPr="005B12AE" w:rsidRDefault="005B5953" w:rsidP="00250DAC">
            <w:pPr>
              <w:spacing w:before="100" w:beforeAutospacing="1" w:after="0"/>
              <w:jc w:val="both"/>
              <w:rPr>
                <w:rFonts w:ascii="Times New Roman" w:hAnsi="Times New Roman"/>
                <w:sz w:val="20"/>
                <w:szCs w:val="20"/>
                <w:lang w:val="en-IN" w:eastAsia="en-IN" w:bidi="mr-IN"/>
              </w:rPr>
            </w:pPr>
            <w:r w:rsidRPr="005B12AE">
              <w:rPr>
                <w:rFonts w:ascii="Times New Roman" w:hAnsi="Times New Roman"/>
                <w:sz w:val="20"/>
                <w:szCs w:val="20"/>
                <w:lang w:val="en-IN" w:eastAsia="en-IN" w:bidi="mr-IN"/>
              </w:rPr>
              <w:t>Contributions by employer</w:t>
            </w:r>
          </w:p>
        </w:tc>
        <w:tc>
          <w:tcPr>
            <w:tcW w:w="855" w:type="pct"/>
            <w:shd w:val="clear" w:color="auto" w:fill="auto"/>
            <w:noWrap/>
            <w:vAlign w:val="center"/>
          </w:tcPr>
          <w:p w14:paraId="1C1F6F0D"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w:t>
            </w:r>
          </w:p>
        </w:tc>
        <w:tc>
          <w:tcPr>
            <w:tcW w:w="808" w:type="pct"/>
            <w:shd w:val="clear" w:color="auto" w:fill="auto"/>
            <w:noWrap/>
            <w:vAlign w:val="center"/>
          </w:tcPr>
          <w:p w14:paraId="7CF4191D"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w:t>
            </w:r>
          </w:p>
        </w:tc>
        <w:tc>
          <w:tcPr>
            <w:tcW w:w="856" w:type="pct"/>
            <w:vAlign w:val="center"/>
          </w:tcPr>
          <w:p w14:paraId="3B74741B"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w:t>
            </w:r>
          </w:p>
        </w:tc>
      </w:tr>
      <w:tr w:rsidR="005B5953" w:rsidRPr="005B12AE" w14:paraId="1708BD3D" w14:textId="77777777" w:rsidTr="00250DAC">
        <w:trPr>
          <w:trHeight w:val="20"/>
        </w:trPr>
        <w:tc>
          <w:tcPr>
            <w:tcW w:w="2481" w:type="pct"/>
            <w:shd w:val="clear" w:color="auto" w:fill="auto"/>
            <w:noWrap/>
            <w:vAlign w:val="center"/>
            <w:hideMark/>
          </w:tcPr>
          <w:p w14:paraId="27A767FA" w14:textId="77777777" w:rsidR="005B5953" w:rsidRPr="005B12AE" w:rsidRDefault="005B5953" w:rsidP="00250DAC">
            <w:pPr>
              <w:spacing w:before="100" w:beforeAutospacing="1" w:after="0"/>
              <w:jc w:val="both"/>
              <w:rPr>
                <w:rFonts w:ascii="Times New Roman" w:hAnsi="Times New Roman"/>
                <w:sz w:val="20"/>
                <w:szCs w:val="20"/>
                <w:lang w:val="en-IN" w:eastAsia="en-IN" w:bidi="mr-IN"/>
              </w:rPr>
            </w:pPr>
            <w:r w:rsidRPr="005B12AE">
              <w:rPr>
                <w:rFonts w:ascii="Times New Roman" w:hAnsi="Times New Roman"/>
                <w:sz w:val="20"/>
                <w:szCs w:val="20"/>
                <w:lang w:val="en-IN" w:eastAsia="en-IN" w:bidi="mr-IN"/>
              </w:rPr>
              <w:t>Benefits paid</w:t>
            </w:r>
          </w:p>
        </w:tc>
        <w:tc>
          <w:tcPr>
            <w:tcW w:w="855" w:type="pct"/>
            <w:shd w:val="clear" w:color="auto" w:fill="auto"/>
            <w:noWrap/>
            <w:vAlign w:val="center"/>
          </w:tcPr>
          <w:p w14:paraId="5C4CA9AD"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w:t>
            </w:r>
          </w:p>
        </w:tc>
        <w:tc>
          <w:tcPr>
            <w:tcW w:w="808" w:type="pct"/>
            <w:shd w:val="clear" w:color="auto" w:fill="auto"/>
            <w:noWrap/>
            <w:vAlign w:val="center"/>
          </w:tcPr>
          <w:p w14:paraId="0416331C"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w:t>
            </w:r>
          </w:p>
        </w:tc>
        <w:tc>
          <w:tcPr>
            <w:tcW w:w="856" w:type="pct"/>
            <w:vAlign w:val="center"/>
          </w:tcPr>
          <w:p w14:paraId="62B363CE"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w:t>
            </w:r>
          </w:p>
        </w:tc>
      </w:tr>
      <w:tr w:rsidR="005B5953" w:rsidRPr="005B12AE" w14:paraId="164CF23C" w14:textId="77777777" w:rsidTr="00250DAC">
        <w:trPr>
          <w:trHeight w:val="20"/>
        </w:trPr>
        <w:tc>
          <w:tcPr>
            <w:tcW w:w="2481" w:type="pct"/>
            <w:shd w:val="clear" w:color="auto" w:fill="auto"/>
            <w:noWrap/>
            <w:vAlign w:val="center"/>
            <w:hideMark/>
          </w:tcPr>
          <w:p w14:paraId="45509A1D" w14:textId="77777777" w:rsidR="005B5953" w:rsidRPr="005B12AE" w:rsidRDefault="005B5953" w:rsidP="00250DAC">
            <w:pPr>
              <w:spacing w:before="100" w:beforeAutospacing="1" w:after="0"/>
              <w:jc w:val="both"/>
              <w:rPr>
                <w:rFonts w:ascii="Times New Roman" w:hAnsi="Times New Roman"/>
                <w:b/>
                <w:bCs/>
                <w:sz w:val="20"/>
                <w:szCs w:val="20"/>
                <w:lang w:val="en-IN" w:eastAsia="en-IN" w:bidi="mr-IN"/>
              </w:rPr>
            </w:pPr>
            <w:r w:rsidRPr="005B12AE">
              <w:rPr>
                <w:rFonts w:ascii="Times New Roman" w:hAnsi="Times New Roman"/>
                <w:b/>
                <w:bCs/>
                <w:sz w:val="20"/>
                <w:szCs w:val="20"/>
                <w:lang w:val="en-IN" w:eastAsia="en-IN" w:bidi="mr-IN"/>
              </w:rPr>
              <w:t>Closing value of plan assets</w:t>
            </w:r>
          </w:p>
        </w:tc>
        <w:tc>
          <w:tcPr>
            <w:tcW w:w="855" w:type="pct"/>
            <w:shd w:val="clear" w:color="auto" w:fill="auto"/>
            <w:noWrap/>
            <w:vAlign w:val="center"/>
          </w:tcPr>
          <w:p w14:paraId="403512EB"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w:t>
            </w:r>
          </w:p>
        </w:tc>
        <w:tc>
          <w:tcPr>
            <w:tcW w:w="808" w:type="pct"/>
            <w:shd w:val="clear" w:color="auto" w:fill="auto"/>
            <w:noWrap/>
            <w:vAlign w:val="center"/>
          </w:tcPr>
          <w:p w14:paraId="4F2386AE"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w:t>
            </w:r>
          </w:p>
        </w:tc>
        <w:tc>
          <w:tcPr>
            <w:tcW w:w="856" w:type="pct"/>
            <w:vAlign w:val="center"/>
          </w:tcPr>
          <w:p w14:paraId="20F29BBA"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w:t>
            </w:r>
          </w:p>
        </w:tc>
      </w:tr>
    </w:tbl>
    <w:p w14:paraId="09723CAF" w14:textId="77777777" w:rsidR="005B5953" w:rsidRPr="005B12AE" w:rsidRDefault="005B5953" w:rsidP="005B5953">
      <w:pPr>
        <w:spacing w:after="0"/>
        <w:jc w:val="right"/>
        <w:rPr>
          <w:rFonts w:ascii="Times New Roman" w:hAnsi="Times New Roman"/>
          <w:b/>
          <w:bCs/>
          <w:sz w:val="20"/>
          <w:szCs w:val="20"/>
        </w:rPr>
      </w:pPr>
      <w:r w:rsidRPr="005B12AE">
        <w:rPr>
          <w:rFonts w:ascii="Times New Roman" w:hAnsi="Times New Roman"/>
          <w:b/>
          <w:bCs/>
          <w:sz w:val="20"/>
          <w:szCs w:val="20"/>
        </w:rPr>
        <w:t>(₹ in Lakhs)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8"/>
        <w:gridCol w:w="1788"/>
        <w:gridCol w:w="1690"/>
        <w:gridCol w:w="1790"/>
      </w:tblGrid>
      <w:tr w:rsidR="005B5953" w:rsidRPr="005B12AE" w14:paraId="1D80BDAC" w14:textId="77777777" w:rsidTr="00250DAC">
        <w:trPr>
          <w:trHeight w:val="20"/>
          <w:tblHeader/>
        </w:trPr>
        <w:tc>
          <w:tcPr>
            <w:tcW w:w="2481" w:type="pct"/>
            <w:shd w:val="clear" w:color="auto" w:fill="D0CECE" w:themeFill="background2" w:themeFillShade="E6"/>
            <w:noWrap/>
            <w:vAlign w:val="center"/>
            <w:hideMark/>
          </w:tcPr>
          <w:p w14:paraId="7E8EB1A1" w14:textId="77777777" w:rsidR="005B5953" w:rsidRPr="005B12AE" w:rsidRDefault="005B5953" w:rsidP="00250DAC">
            <w:pPr>
              <w:spacing w:before="100" w:beforeAutospacing="1" w:after="0"/>
              <w:jc w:val="both"/>
              <w:rPr>
                <w:rFonts w:ascii="Times New Roman" w:hAnsi="Times New Roman"/>
                <w:b/>
                <w:bCs/>
                <w:color w:val="000000"/>
                <w:sz w:val="20"/>
                <w:szCs w:val="20"/>
                <w:lang w:val="en-IN" w:eastAsia="en-IN" w:bidi="mr-IN"/>
              </w:rPr>
            </w:pPr>
            <w:r w:rsidRPr="005B12AE">
              <w:rPr>
                <w:rFonts w:ascii="Times New Roman" w:hAnsi="Times New Roman"/>
                <w:b/>
                <w:bCs/>
                <w:color w:val="000000"/>
                <w:sz w:val="20"/>
                <w:szCs w:val="20"/>
                <w:lang w:val="en-IN" w:eastAsia="en-IN" w:bidi="mr-IN"/>
              </w:rPr>
              <w:t>Details of Gratuity Expenses</w:t>
            </w:r>
          </w:p>
        </w:tc>
        <w:tc>
          <w:tcPr>
            <w:tcW w:w="855" w:type="pct"/>
            <w:shd w:val="clear" w:color="auto" w:fill="D0CECE" w:themeFill="background2" w:themeFillShade="E6"/>
            <w:noWrap/>
            <w:hideMark/>
          </w:tcPr>
          <w:p w14:paraId="43416633" w14:textId="77777777" w:rsidR="005B5953" w:rsidRPr="005B12AE" w:rsidRDefault="005B5953" w:rsidP="00250DAC">
            <w:pPr>
              <w:spacing w:before="100" w:beforeAutospacing="1" w:after="0"/>
              <w:jc w:val="center"/>
              <w:rPr>
                <w:rFonts w:ascii="Times New Roman" w:hAnsi="Times New Roman"/>
                <w:b/>
                <w:bCs/>
                <w:sz w:val="20"/>
                <w:szCs w:val="20"/>
                <w:lang w:val="en-IN" w:eastAsia="en-IN" w:bidi="mr-IN"/>
              </w:rPr>
            </w:pPr>
            <w:r w:rsidRPr="005B12AE">
              <w:rPr>
                <w:rFonts w:ascii="Times New Roman" w:hAnsi="Times New Roman"/>
                <w:b/>
                <w:bCs/>
                <w:sz w:val="20"/>
                <w:szCs w:val="20"/>
                <w:lang w:val="en-IN" w:eastAsia="en-IN" w:bidi="mr-IN"/>
              </w:rPr>
              <w:t>2022-23</w:t>
            </w:r>
          </w:p>
        </w:tc>
        <w:tc>
          <w:tcPr>
            <w:tcW w:w="808" w:type="pct"/>
            <w:shd w:val="clear" w:color="auto" w:fill="D0CECE" w:themeFill="background2" w:themeFillShade="E6"/>
            <w:noWrap/>
            <w:hideMark/>
          </w:tcPr>
          <w:p w14:paraId="3EFA7DFB" w14:textId="77777777" w:rsidR="005B5953" w:rsidRPr="005B12AE" w:rsidRDefault="005B5953" w:rsidP="00250DAC">
            <w:pPr>
              <w:spacing w:before="100" w:beforeAutospacing="1" w:after="0"/>
              <w:jc w:val="center"/>
              <w:rPr>
                <w:rFonts w:ascii="Times New Roman" w:hAnsi="Times New Roman"/>
                <w:b/>
                <w:bCs/>
                <w:sz w:val="20"/>
                <w:szCs w:val="20"/>
                <w:lang w:val="en-IN" w:eastAsia="en-IN" w:bidi="mr-IN"/>
              </w:rPr>
            </w:pPr>
            <w:r w:rsidRPr="005B12AE">
              <w:rPr>
                <w:rFonts w:ascii="Times New Roman" w:hAnsi="Times New Roman"/>
                <w:b/>
                <w:bCs/>
                <w:sz w:val="20"/>
                <w:szCs w:val="20"/>
                <w:lang w:val="en-IN" w:eastAsia="en-IN" w:bidi="mr-IN"/>
              </w:rPr>
              <w:t>2021-22</w:t>
            </w:r>
          </w:p>
        </w:tc>
        <w:tc>
          <w:tcPr>
            <w:tcW w:w="856" w:type="pct"/>
            <w:shd w:val="clear" w:color="auto" w:fill="D0CECE" w:themeFill="background2" w:themeFillShade="E6"/>
          </w:tcPr>
          <w:p w14:paraId="2ABFDCA7" w14:textId="77777777" w:rsidR="005B5953" w:rsidRPr="005B12AE" w:rsidRDefault="005B5953" w:rsidP="00250DAC">
            <w:pPr>
              <w:spacing w:before="100" w:beforeAutospacing="1" w:after="0"/>
              <w:jc w:val="center"/>
              <w:rPr>
                <w:rFonts w:ascii="Times New Roman" w:hAnsi="Times New Roman"/>
                <w:b/>
                <w:bCs/>
                <w:sz w:val="20"/>
                <w:szCs w:val="20"/>
                <w:lang w:val="en-IN" w:eastAsia="en-IN" w:bidi="mr-IN"/>
              </w:rPr>
            </w:pPr>
            <w:r w:rsidRPr="005B12AE">
              <w:rPr>
                <w:rFonts w:ascii="Times New Roman" w:hAnsi="Times New Roman"/>
                <w:b/>
                <w:bCs/>
                <w:sz w:val="20"/>
                <w:szCs w:val="20"/>
                <w:lang w:val="en-IN" w:eastAsia="en-IN" w:bidi="mr-IN"/>
              </w:rPr>
              <w:t>2020-21</w:t>
            </w:r>
          </w:p>
        </w:tc>
      </w:tr>
      <w:tr w:rsidR="005B5953" w:rsidRPr="005B12AE" w14:paraId="35564BA5" w14:textId="77777777" w:rsidTr="00250DAC">
        <w:trPr>
          <w:trHeight w:val="20"/>
        </w:trPr>
        <w:tc>
          <w:tcPr>
            <w:tcW w:w="2481" w:type="pct"/>
            <w:shd w:val="clear" w:color="auto" w:fill="auto"/>
            <w:noWrap/>
            <w:vAlign w:val="center"/>
            <w:hideMark/>
          </w:tcPr>
          <w:p w14:paraId="6EF94281" w14:textId="77777777" w:rsidR="005B5953" w:rsidRPr="005B12AE" w:rsidRDefault="005B5953" w:rsidP="00250DAC">
            <w:pPr>
              <w:spacing w:before="100" w:beforeAutospacing="1" w:after="0"/>
              <w:jc w:val="both"/>
              <w:rPr>
                <w:rFonts w:ascii="Times New Roman" w:hAnsi="Times New Roman"/>
                <w:b/>
                <w:bCs/>
                <w:sz w:val="20"/>
                <w:szCs w:val="20"/>
                <w:lang w:val="en-IN" w:eastAsia="en-IN" w:bidi="mr-IN"/>
              </w:rPr>
            </w:pPr>
            <w:r w:rsidRPr="005B12AE">
              <w:rPr>
                <w:rFonts w:ascii="Times New Roman" w:hAnsi="Times New Roman"/>
                <w:b/>
                <w:bCs/>
                <w:sz w:val="20"/>
                <w:szCs w:val="20"/>
                <w:lang w:val="en-IN" w:eastAsia="en-IN" w:bidi="mr-IN"/>
              </w:rPr>
              <w:t>Reconciliation of net defined benefit liability</w:t>
            </w:r>
          </w:p>
        </w:tc>
        <w:tc>
          <w:tcPr>
            <w:tcW w:w="855" w:type="pct"/>
            <w:shd w:val="clear" w:color="auto" w:fill="auto"/>
            <w:noWrap/>
            <w:vAlign w:val="center"/>
            <w:hideMark/>
          </w:tcPr>
          <w:p w14:paraId="6B793297"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c>
          <w:tcPr>
            <w:tcW w:w="808" w:type="pct"/>
            <w:shd w:val="clear" w:color="auto" w:fill="auto"/>
            <w:noWrap/>
            <w:vAlign w:val="center"/>
            <w:hideMark/>
          </w:tcPr>
          <w:p w14:paraId="2396C212"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c>
          <w:tcPr>
            <w:tcW w:w="856" w:type="pct"/>
          </w:tcPr>
          <w:p w14:paraId="699FDFB6"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r>
      <w:tr w:rsidR="005B5953" w:rsidRPr="005B12AE" w14:paraId="0834282C" w14:textId="77777777" w:rsidTr="00250DAC">
        <w:trPr>
          <w:trHeight w:val="20"/>
        </w:trPr>
        <w:tc>
          <w:tcPr>
            <w:tcW w:w="2481" w:type="pct"/>
            <w:shd w:val="clear" w:color="auto" w:fill="auto"/>
            <w:noWrap/>
            <w:vAlign w:val="bottom"/>
            <w:hideMark/>
          </w:tcPr>
          <w:p w14:paraId="4AA0BC74" w14:textId="77777777" w:rsidR="005B5953" w:rsidRPr="005B12AE" w:rsidRDefault="005B5953" w:rsidP="00250DAC">
            <w:pPr>
              <w:spacing w:before="100" w:beforeAutospacing="1" w:after="0"/>
              <w:jc w:val="both"/>
              <w:rPr>
                <w:rFonts w:ascii="Times New Roman" w:hAnsi="Times New Roman"/>
                <w:color w:val="000000"/>
                <w:sz w:val="20"/>
                <w:szCs w:val="20"/>
                <w:lang w:val="en-IN" w:eastAsia="en-IN" w:bidi="mr-IN"/>
              </w:rPr>
            </w:pPr>
            <w:r w:rsidRPr="005B12AE">
              <w:rPr>
                <w:rFonts w:ascii="Times New Roman" w:hAnsi="Times New Roman"/>
                <w:color w:val="000000"/>
                <w:sz w:val="20"/>
                <w:szCs w:val="20"/>
                <w:lang w:val="en-IN" w:eastAsia="en-IN" w:bidi="mr-IN"/>
              </w:rPr>
              <w:t>Net opening provision in books of accounts</w:t>
            </w:r>
          </w:p>
        </w:tc>
        <w:tc>
          <w:tcPr>
            <w:tcW w:w="855" w:type="pct"/>
            <w:shd w:val="clear" w:color="auto" w:fill="auto"/>
            <w:noWrap/>
            <w:vAlign w:val="center"/>
          </w:tcPr>
          <w:p w14:paraId="136A7ADF"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c>
          <w:tcPr>
            <w:tcW w:w="808" w:type="pct"/>
            <w:shd w:val="clear" w:color="auto" w:fill="auto"/>
            <w:noWrap/>
            <w:vAlign w:val="center"/>
          </w:tcPr>
          <w:p w14:paraId="76F8707C"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c>
          <w:tcPr>
            <w:tcW w:w="856" w:type="pct"/>
          </w:tcPr>
          <w:p w14:paraId="34003D15"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r>
      <w:tr w:rsidR="005B5953" w:rsidRPr="005B12AE" w14:paraId="1B54807A" w14:textId="77777777" w:rsidTr="00250DAC">
        <w:trPr>
          <w:trHeight w:val="20"/>
        </w:trPr>
        <w:tc>
          <w:tcPr>
            <w:tcW w:w="2481" w:type="pct"/>
            <w:shd w:val="clear" w:color="auto" w:fill="auto"/>
            <w:noWrap/>
            <w:vAlign w:val="bottom"/>
            <w:hideMark/>
          </w:tcPr>
          <w:p w14:paraId="53F5D5C8" w14:textId="77777777" w:rsidR="005B5953" w:rsidRPr="005B12AE" w:rsidRDefault="005B5953" w:rsidP="00250DAC">
            <w:pPr>
              <w:spacing w:before="100" w:beforeAutospacing="1" w:after="0"/>
              <w:jc w:val="both"/>
              <w:rPr>
                <w:rFonts w:ascii="Times New Roman" w:hAnsi="Times New Roman"/>
                <w:color w:val="000000"/>
                <w:sz w:val="20"/>
                <w:szCs w:val="20"/>
                <w:lang w:val="en-IN" w:eastAsia="en-IN" w:bidi="mr-IN"/>
              </w:rPr>
            </w:pPr>
            <w:r w:rsidRPr="005B12AE">
              <w:rPr>
                <w:rFonts w:ascii="Times New Roman" w:hAnsi="Times New Roman"/>
                <w:color w:val="000000"/>
                <w:sz w:val="20"/>
                <w:szCs w:val="20"/>
                <w:lang w:val="en-IN" w:eastAsia="en-IN" w:bidi="mr-IN"/>
              </w:rPr>
              <w:t>Transfer in/(out) obligation</w:t>
            </w:r>
          </w:p>
        </w:tc>
        <w:tc>
          <w:tcPr>
            <w:tcW w:w="855" w:type="pct"/>
            <w:shd w:val="clear" w:color="auto" w:fill="auto"/>
            <w:noWrap/>
            <w:vAlign w:val="center"/>
          </w:tcPr>
          <w:p w14:paraId="19174388"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c>
          <w:tcPr>
            <w:tcW w:w="808" w:type="pct"/>
            <w:shd w:val="clear" w:color="auto" w:fill="auto"/>
            <w:noWrap/>
            <w:vAlign w:val="center"/>
          </w:tcPr>
          <w:p w14:paraId="2C868522"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c>
          <w:tcPr>
            <w:tcW w:w="856" w:type="pct"/>
          </w:tcPr>
          <w:p w14:paraId="3FAE4331"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r>
      <w:tr w:rsidR="005B5953" w:rsidRPr="005B12AE" w14:paraId="6EE46807" w14:textId="77777777" w:rsidTr="00250DAC">
        <w:trPr>
          <w:trHeight w:val="20"/>
        </w:trPr>
        <w:tc>
          <w:tcPr>
            <w:tcW w:w="2481" w:type="pct"/>
            <w:shd w:val="clear" w:color="auto" w:fill="auto"/>
            <w:noWrap/>
            <w:vAlign w:val="bottom"/>
            <w:hideMark/>
          </w:tcPr>
          <w:p w14:paraId="13D17B59" w14:textId="77777777" w:rsidR="005B5953" w:rsidRPr="005B12AE" w:rsidRDefault="005B5953" w:rsidP="00250DAC">
            <w:pPr>
              <w:spacing w:before="100" w:beforeAutospacing="1" w:after="0"/>
              <w:jc w:val="both"/>
              <w:rPr>
                <w:rFonts w:ascii="Times New Roman" w:hAnsi="Times New Roman"/>
                <w:color w:val="000000"/>
                <w:sz w:val="20"/>
                <w:szCs w:val="20"/>
                <w:lang w:val="en-IN" w:eastAsia="en-IN" w:bidi="mr-IN"/>
              </w:rPr>
            </w:pPr>
            <w:r w:rsidRPr="005B12AE">
              <w:rPr>
                <w:rFonts w:ascii="Times New Roman" w:hAnsi="Times New Roman"/>
                <w:color w:val="000000"/>
                <w:sz w:val="20"/>
                <w:szCs w:val="20"/>
                <w:lang w:val="en-IN" w:eastAsia="en-IN" w:bidi="mr-IN"/>
              </w:rPr>
              <w:t>Transfer (in)/out plan assets</w:t>
            </w:r>
          </w:p>
        </w:tc>
        <w:tc>
          <w:tcPr>
            <w:tcW w:w="855" w:type="pct"/>
            <w:shd w:val="clear" w:color="auto" w:fill="auto"/>
            <w:noWrap/>
            <w:vAlign w:val="center"/>
          </w:tcPr>
          <w:p w14:paraId="6675D38E"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c>
          <w:tcPr>
            <w:tcW w:w="808" w:type="pct"/>
            <w:shd w:val="clear" w:color="auto" w:fill="auto"/>
            <w:noWrap/>
            <w:vAlign w:val="center"/>
          </w:tcPr>
          <w:p w14:paraId="5141E0B3"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c>
          <w:tcPr>
            <w:tcW w:w="856" w:type="pct"/>
          </w:tcPr>
          <w:p w14:paraId="6756255E"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r>
      <w:tr w:rsidR="005B5953" w:rsidRPr="005B12AE" w14:paraId="7C861C81" w14:textId="77777777" w:rsidTr="00250DAC">
        <w:trPr>
          <w:trHeight w:val="20"/>
        </w:trPr>
        <w:tc>
          <w:tcPr>
            <w:tcW w:w="2481" w:type="pct"/>
            <w:shd w:val="clear" w:color="auto" w:fill="auto"/>
            <w:noWrap/>
            <w:vAlign w:val="bottom"/>
            <w:hideMark/>
          </w:tcPr>
          <w:p w14:paraId="4B77CF6D" w14:textId="77777777" w:rsidR="005B5953" w:rsidRPr="005B12AE" w:rsidRDefault="005B5953" w:rsidP="00250DAC">
            <w:pPr>
              <w:spacing w:before="100" w:beforeAutospacing="1" w:after="0"/>
              <w:jc w:val="both"/>
              <w:rPr>
                <w:rFonts w:ascii="Times New Roman" w:hAnsi="Times New Roman"/>
                <w:color w:val="000000"/>
                <w:sz w:val="20"/>
                <w:szCs w:val="20"/>
                <w:lang w:val="en-IN" w:eastAsia="en-IN" w:bidi="mr-IN"/>
              </w:rPr>
            </w:pPr>
            <w:r w:rsidRPr="005B12AE">
              <w:rPr>
                <w:rFonts w:ascii="Times New Roman" w:hAnsi="Times New Roman"/>
                <w:color w:val="000000"/>
                <w:sz w:val="20"/>
                <w:szCs w:val="20"/>
                <w:lang w:val="en-IN" w:eastAsia="en-IN" w:bidi="mr-IN"/>
              </w:rPr>
              <w:lastRenderedPageBreak/>
              <w:t xml:space="preserve">Employee Benefit Expense </w:t>
            </w:r>
          </w:p>
        </w:tc>
        <w:tc>
          <w:tcPr>
            <w:tcW w:w="855" w:type="pct"/>
            <w:shd w:val="clear" w:color="auto" w:fill="auto"/>
            <w:noWrap/>
            <w:vAlign w:val="center"/>
          </w:tcPr>
          <w:p w14:paraId="4E5D5E3D"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c>
          <w:tcPr>
            <w:tcW w:w="808" w:type="pct"/>
            <w:shd w:val="clear" w:color="auto" w:fill="auto"/>
            <w:noWrap/>
            <w:vAlign w:val="center"/>
          </w:tcPr>
          <w:p w14:paraId="6EF53B99"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c>
          <w:tcPr>
            <w:tcW w:w="856" w:type="pct"/>
          </w:tcPr>
          <w:p w14:paraId="50FC5CEF"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r>
      <w:tr w:rsidR="005B5953" w:rsidRPr="005B12AE" w14:paraId="3EDDEAD5" w14:textId="77777777" w:rsidTr="00250DAC">
        <w:trPr>
          <w:trHeight w:val="20"/>
        </w:trPr>
        <w:tc>
          <w:tcPr>
            <w:tcW w:w="2481" w:type="pct"/>
            <w:shd w:val="clear" w:color="auto" w:fill="auto"/>
            <w:noWrap/>
            <w:vAlign w:val="bottom"/>
            <w:hideMark/>
          </w:tcPr>
          <w:p w14:paraId="40007F58" w14:textId="77777777" w:rsidR="005B5953" w:rsidRPr="005B12AE" w:rsidRDefault="005B5953" w:rsidP="00250DAC">
            <w:pPr>
              <w:spacing w:before="100" w:beforeAutospacing="1" w:after="0"/>
              <w:jc w:val="both"/>
              <w:rPr>
                <w:rFonts w:ascii="Times New Roman" w:hAnsi="Times New Roman"/>
                <w:color w:val="000000"/>
                <w:sz w:val="20"/>
                <w:szCs w:val="20"/>
                <w:lang w:val="en-IN" w:eastAsia="en-IN" w:bidi="mr-IN"/>
              </w:rPr>
            </w:pPr>
            <w:r w:rsidRPr="005B12AE">
              <w:rPr>
                <w:rFonts w:ascii="Times New Roman" w:hAnsi="Times New Roman"/>
                <w:color w:val="000000"/>
                <w:sz w:val="20"/>
                <w:szCs w:val="20"/>
                <w:lang w:val="en-IN" w:eastAsia="en-IN" w:bidi="mr-IN"/>
              </w:rPr>
              <w:t>Benefits paid by the Company</w:t>
            </w:r>
          </w:p>
        </w:tc>
        <w:tc>
          <w:tcPr>
            <w:tcW w:w="855" w:type="pct"/>
            <w:shd w:val="clear" w:color="auto" w:fill="auto"/>
            <w:noWrap/>
            <w:vAlign w:val="center"/>
          </w:tcPr>
          <w:p w14:paraId="6E221DD2"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c>
          <w:tcPr>
            <w:tcW w:w="808" w:type="pct"/>
            <w:shd w:val="clear" w:color="auto" w:fill="auto"/>
            <w:noWrap/>
            <w:vAlign w:val="center"/>
          </w:tcPr>
          <w:p w14:paraId="2DDEECBD"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c>
          <w:tcPr>
            <w:tcW w:w="856" w:type="pct"/>
          </w:tcPr>
          <w:p w14:paraId="5C2CD46B"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r>
      <w:tr w:rsidR="005B5953" w:rsidRPr="005B12AE" w14:paraId="19E4935B" w14:textId="77777777" w:rsidTr="00250DAC">
        <w:trPr>
          <w:trHeight w:val="20"/>
        </w:trPr>
        <w:tc>
          <w:tcPr>
            <w:tcW w:w="2481" w:type="pct"/>
            <w:shd w:val="clear" w:color="auto" w:fill="auto"/>
            <w:noWrap/>
            <w:vAlign w:val="bottom"/>
            <w:hideMark/>
          </w:tcPr>
          <w:p w14:paraId="6286BEAD" w14:textId="77777777" w:rsidR="005B5953" w:rsidRPr="005B12AE" w:rsidRDefault="005B5953" w:rsidP="00250DAC">
            <w:pPr>
              <w:spacing w:before="100" w:beforeAutospacing="1" w:after="0"/>
              <w:jc w:val="both"/>
              <w:rPr>
                <w:rFonts w:ascii="Times New Roman" w:hAnsi="Times New Roman"/>
                <w:color w:val="000000"/>
                <w:sz w:val="20"/>
                <w:szCs w:val="20"/>
                <w:lang w:val="en-IN" w:eastAsia="en-IN" w:bidi="mr-IN"/>
              </w:rPr>
            </w:pPr>
            <w:r w:rsidRPr="005B12AE">
              <w:rPr>
                <w:rFonts w:ascii="Times New Roman" w:hAnsi="Times New Roman"/>
                <w:color w:val="000000"/>
                <w:sz w:val="20"/>
                <w:szCs w:val="20"/>
                <w:lang w:val="en-IN" w:eastAsia="en-IN" w:bidi="mr-IN"/>
              </w:rPr>
              <w:t>Contributions to plan assets</w:t>
            </w:r>
          </w:p>
        </w:tc>
        <w:tc>
          <w:tcPr>
            <w:tcW w:w="855" w:type="pct"/>
            <w:shd w:val="clear" w:color="auto" w:fill="auto"/>
            <w:noWrap/>
            <w:vAlign w:val="center"/>
          </w:tcPr>
          <w:p w14:paraId="664DCFC2"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c>
          <w:tcPr>
            <w:tcW w:w="808" w:type="pct"/>
            <w:shd w:val="clear" w:color="auto" w:fill="auto"/>
            <w:noWrap/>
            <w:vAlign w:val="center"/>
          </w:tcPr>
          <w:p w14:paraId="5228284E"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c>
          <w:tcPr>
            <w:tcW w:w="856" w:type="pct"/>
          </w:tcPr>
          <w:p w14:paraId="699F2894"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r>
      <w:tr w:rsidR="005B5953" w:rsidRPr="005B12AE" w14:paraId="380436B7" w14:textId="77777777" w:rsidTr="00250DAC">
        <w:trPr>
          <w:trHeight w:val="20"/>
        </w:trPr>
        <w:tc>
          <w:tcPr>
            <w:tcW w:w="2481" w:type="pct"/>
            <w:shd w:val="clear" w:color="auto" w:fill="auto"/>
            <w:noWrap/>
            <w:vAlign w:val="bottom"/>
            <w:hideMark/>
          </w:tcPr>
          <w:p w14:paraId="70F5B883" w14:textId="77777777" w:rsidR="005B5953" w:rsidRPr="005B12AE" w:rsidRDefault="005B5953" w:rsidP="00250DAC">
            <w:pPr>
              <w:spacing w:before="100" w:beforeAutospacing="1" w:after="0"/>
              <w:jc w:val="both"/>
              <w:rPr>
                <w:rFonts w:ascii="Times New Roman" w:hAnsi="Times New Roman"/>
                <w:b/>
                <w:bCs/>
                <w:color w:val="000000"/>
                <w:sz w:val="20"/>
                <w:szCs w:val="20"/>
                <w:lang w:val="en-IN" w:eastAsia="en-IN" w:bidi="mr-IN"/>
              </w:rPr>
            </w:pPr>
            <w:r w:rsidRPr="005B12AE">
              <w:rPr>
                <w:rFonts w:ascii="Times New Roman" w:hAnsi="Times New Roman"/>
                <w:b/>
                <w:bCs/>
                <w:color w:val="000000"/>
                <w:sz w:val="20"/>
                <w:szCs w:val="20"/>
                <w:lang w:val="en-IN" w:eastAsia="en-IN" w:bidi="mr-IN"/>
              </w:rPr>
              <w:t>Closing provision in books of accounts</w:t>
            </w:r>
          </w:p>
        </w:tc>
        <w:tc>
          <w:tcPr>
            <w:tcW w:w="855" w:type="pct"/>
            <w:shd w:val="clear" w:color="auto" w:fill="auto"/>
            <w:noWrap/>
            <w:vAlign w:val="center"/>
          </w:tcPr>
          <w:p w14:paraId="1DB46B1C"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c>
          <w:tcPr>
            <w:tcW w:w="808" w:type="pct"/>
            <w:shd w:val="clear" w:color="auto" w:fill="auto"/>
            <w:noWrap/>
            <w:vAlign w:val="center"/>
          </w:tcPr>
          <w:p w14:paraId="2D7DCBD8"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c>
          <w:tcPr>
            <w:tcW w:w="856" w:type="pct"/>
          </w:tcPr>
          <w:p w14:paraId="4E01D990"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r>
      <w:tr w:rsidR="005B5953" w:rsidRPr="005B12AE" w14:paraId="73D161A3" w14:textId="77777777" w:rsidTr="00250DAC">
        <w:trPr>
          <w:trHeight w:val="20"/>
        </w:trPr>
        <w:tc>
          <w:tcPr>
            <w:tcW w:w="2481" w:type="pct"/>
            <w:shd w:val="clear" w:color="auto" w:fill="auto"/>
            <w:noWrap/>
            <w:vAlign w:val="center"/>
            <w:hideMark/>
          </w:tcPr>
          <w:p w14:paraId="14B3D650" w14:textId="77777777" w:rsidR="005B5953" w:rsidRPr="005B12AE" w:rsidRDefault="005B5953" w:rsidP="00250DAC">
            <w:pPr>
              <w:spacing w:before="100" w:beforeAutospacing="1" w:after="0"/>
              <w:jc w:val="both"/>
              <w:rPr>
                <w:rFonts w:ascii="Times New Roman" w:hAnsi="Times New Roman"/>
                <w:b/>
                <w:bCs/>
                <w:sz w:val="20"/>
                <w:szCs w:val="20"/>
                <w:lang w:val="en-IN" w:eastAsia="en-IN" w:bidi="mr-IN"/>
              </w:rPr>
            </w:pPr>
            <w:r w:rsidRPr="005B12AE">
              <w:rPr>
                <w:rFonts w:ascii="Times New Roman" w:hAnsi="Times New Roman"/>
                <w:b/>
                <w:bCs/>
                <w:sz w:val="20"/>
                <w:szCs w:val="20"/>
                <w:lang w:val="en-IN" w:eastAsia="en-IN" w:bidi="mr-IN"/>
              </w:rPr>
              <w:t>Bifurcation of liability</w:t>
            </w:r>
          </w:p>
        </w:tc>
        <w:tc>
          <w:tcPr>
            <w:tcW w:w="855" w:type="pct"/>
            <w:shd w:val="clear" w:color="auto" w:fill="auto"/>
            <w:noWrap/>
            <w:vAlign w:val="center"/>
          </w:tcPr>
          <w:p w14:paraId="523167A5"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c>
          <w:tcPr>
            <w:tcW w:w="808" w:type="pct"/>
            <w:shd w:val="clear" w:color="auto" w:fill="auto"/>
            <w:noWrap/>
            <w:vAlign w:val="center"/>
          </w:tcPr>
          <w:p w14:paraId="4C6201B4"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c>
          <w:tcPr>
            <w:tcW w:w="856" w:type="pct"/>
          </w:tcPr>
          <w:p w14:paraId="66E82B48"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r>
      <w:tr w:rsidR="005B5953" w:rsidRPr="005B12AE" w14:paraId="3A497404" w14:textId="77777777" w:rsidTr="00250DAC">
        <w:trPr>
          <w:trHeight w:val="20"/>
        </w:trPr>
        <w:tc>
          <w:tcPr>
            <w:tcW w:w="2481" w:type="pct"/>
            <w:shd w:val="clear" w:color="auto" w:fill="auto"/>
            <w:noWrap/>
            <w:vAlign w:val="bottom"/>
            <w:hideMark/>
          </w:tcPr>
          <w:p w14:paraId="429BAD6A" w14:textId="77777777" w:rsidR="005B5953" w:rsidRPr="005B12AE" w:rsidRDefault="005B5953" w:rsidP="00250DAC">
            <w:pPr>
              <w:spacing w:before="100" w:beforeAutospacing="1" w:after="0"/>
              <w:jc w:val="both"/>
              <w:rPr>
                <w:rFonts w:ascii="Times New Roman" w:hAnsi="Times New Roman"/>
                <w:color w:val="000000"/>
                <w:sz w:val="20"/>
                <w:szCs w:val="20"/>
                <w:lang w:val="en-IN" w:eastAsia="en-IN" w:bidi="mr-IN"/>
              </w:rPr>
            </w:pPr>
            <w:r w:rsidRPr="005B12AE">
              <w:rPr>
                <w:rFonts w:ascii="Times New Roman" w:hAnsi="Times New Roman"/>
                <w:color w:val="000000"/>
                <w:sz w:val="20"/>
                <w:szCs w:val="20"/>
                <w:lang w:val="en-IN" w:eastAsia="en-IN" w:bidi="mr-IN"/>
              </w:rPr>
              <w:t>Current Liability</w:t>
            </w:r>
          </w:p>
        </w:tc>
        <w:tc>
          <w:tcPr>
            <w:tcW w:w="855" w:type="pct"/>
            <w:shd w:val="clear" w:color="auto" w:fill="auto"/>
            <w:noWrap/>
            <w:vAlign w:val="center"/>
          </w:tcPr>
          <w:p w14:paraId="69589771" w14:textId="77777777" w:rsidR="005B5953" w:rsidRPr="005B12AE" w:rsidRDefault="005B5953" w:rsidP="00250DAC">
            <w:pPr>
              <w:spacing w:after="0" w:line="240" w:lineRule="auto"/>
              <w:jc w:val="center"/>
              <w:rPr>
                <w:rFonts w:ascii="Times New Roman" w:hAnsi="Times New Roman"/>
                <w:color w:val="000000"/>
                <w:sz w:val="20"/>
                <w:szCs w:val="20"/>
                <w:highlight w:val="yellow"/>
                <w:lang w:val="en-IN" w:eastAsia="en-IN" w:bidi="mr-IN"/>
              </w:rPr>
            </w:pPr>
          </w:p>
        </w:tc>
        <w:tc>
          <w:tcPr>
            <w:tcW w:w="808" w:type="pct"/>
            <w:shd w:val="clear" w:color="auto" w:fill="auto"/>
            <w:noWrap/>
            <w:vAlign w:val="center"/>
          </w:tcPr>
          <w:p w14:paraId="06B6C563" w14:textId="77777777" w:rsidR="005B5953" w:rsidRPr="005B12AE" w:rsidRDefault="005B5953" w:rsidP="00250DAC">
            <w:pPr>
              <w:spacing w:after="0" w:line="240" w:lineRule="auto"/>
              <w:jc w:val="center"/>
              <w:rPr>
                <w:rFonts w:ascii="Times New Roman" w:hAnsi="Times New Roman"/>
                <w:color w:val="000000"/>
                <w:sz w:val="20"/>
                <w:szCs w:val="20"/>
                <w:highlight w:val="yellow"/>
                <w:lang w:val="en-IN" w:eastAsia="en-IN" w:bidi="mr-IN"/>
              </w:rPr>
            </w:pPr>
          </w:p>
        </w:tc>
        <w:tc>
          <w:tcPr>
            <w:tcW w:w="856" w:type="pct"/>
          </w:tcPr>
          <w:p w14:paraId="2CBF19B1" w14:textId="77777777" w:rsidR="005B5953" w:rsidRPr="005B12AE" w:rsidRDefault="005B5953" w:rsidP="00250DAC">
            <w:pPr>
              <w:spacing w:after="0" w:line="240" w:lineRule="auto"/>
              <w:jc w:val="center"/>
              <w:rPr>
                <w:rFonts w:ascii="Times New Roman" w:hAnsi="Times New Roman"/>
                <w:color w:val="000000"/>
                <w:sz w:val="20"/>
                <w:szCs w:val="20"/>
                <w:lang w:val="en-IN" w:eastAsia="en-IN" w:bidi="mr-IN"/>
              </w:rPr>
            </w:pPr>
          </w:p>
        </w:tc>
      </w:tr>
      <w:tr w:rsidR="005B5953" w:rsidRPr="005B12AE" w14:paraId="49E0CB9B" w14:textId="77777777" w:rsidTr="00250DAC">
        <w:trPr>
          <w:trHeight w:val="20"/>
        </w:trPr>
        <w:tc>
          <w:tcPr>
            <w:tcW w:w="2481" w:type="pct"/>
            <w:shd w:val="clear" w:color="auto" w:fill="auto"/>
            <w:noWrap/>
            <w:vAlign w:val="bottom"/>
            <w:hideMark/>
          </w:tcPr>
          <w:p w14:paraId="2EF499B1" w14:textId="77777777" w:rsidR="005B5953" w:rsidRPr="005B12AE" w:rsidRDefault="005B5953" w:rsidP="00250DAC">
            <w:pPr>
              <w:spacing w:before="100" w:beforeAutospacing="1" w:after="0"/>
              <w:jc w:val="both"/>
              <w:rPr>
                <w:rFonts w:ascii="Times New Roman" w:hAnsi="Times New Roman"/>
                <w:color w:val="000000"/>
                <w:sz w:val="20"/>
                <w:szCs w:val="20"/>
                <w:lang w:val="en-IN" w:eastAsia="en-IN" w:bidi="mr-IN"/>
              </w:rPr>
            </w:pPr>
            <w:r w:rsidRPr="005B12AE">
              <w:rPr>
                <w:rFonts w:ascii="Times New Roman" w:hAnsi="Times New Roman"/>
                <w:color w:val="000000"/>
                <w:sz w:val="20"/>
                <w:szCs w:val="20"/>
                <w:lang w:val="en-IN" w:eastAsia="en-IN" w:bidi="mr-IN"/>
              </w:rPr>
              <w:t>Non-Current Liability</w:t>
            </w:r>
          </w:p>
        </w:tc>
        <w:tc>
          <w:tcPr>
            <w:tcW w:w="855" w:type="pct"/>
            <w:shd w:val="clear" w:color="auto" w:fill="auto"/>
            <w:noWrap/>
            <w:vAlign w:val="center"/>
          </w:tcPr>
          <w:p w14:paraId="78B8E5C7"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c>
          <w:tcPr>
            <w:tcW w:w="808" w:type="pct"/>
            <w:shd w:val="clear" w:color="auto" w:fill="auto"/>
            <w:noWrap/>
            <w:vAlign w:val="center"/>
          </w:tcPr>
          <w:p w14:paraId="6853F242"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c>
          <w:tcPr>
            <w:tcW w:w="856" w:type="pct"/>
          </w:tcPr>
          <w:p w14:paraId="7781CEA0"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r>
      <w:tr w:rsidR="005B5953" w:rsidRPr="005B12AE" w14:paraId="77680BA9" w14:textId="77777777" w:rsidTr="00250DAC">
        <w:trPr>
          <w:trHeight w:val="20"/>
        </w:trPr>
        <w:tc>
          <w:tcPr>
            <w:tcW w:w="2481" w:type="pct"/>
            <w:shd w:val="clear" w:color="auto" w:fill="auto"/>
            <w:noWrap/>
            <w:vAlign w:val="bottom"/>
            <w:hideMark/>
          </w:tcPr>
          <w:p w14:paraId="4FEFE056" w14:textId="77777777" w:rsidR="005B5953" w:rsidRPr="005B12AE" w:rsidRDefault="005B5953" w:rsidP="00250DAC">
            <w:pPr>
              <w:spacing w:before="100" w:beforeAutospacing="1" w:after="0"/>
              <w:jc w:val="both"/>
              <w:rPr>
                <w:rFonts w:ascii="Times New Roman" w:hAnsi="Times New Roman"/>
                <w:b/>
                <w:bCs/>
                <w:color w:val="000000"/>
                <w:sz w:val="20"/>
                <w:szCs w:val="20"/>
                <w:lang w:val="en-IN" w:eastAsia="en-IN" w:bidi="mr-IN"/>
              </w:rPr>
            </w:pPr>
            <w:r w:rsidRPr="005B12AE">
              <w:rPr>
                <w:rFonts w:ascii="Times New Roman" w:hAnsi="Times New Roman"/>
                <w:b/>
                <w:bCs/>
                <w:color w:val="000000"/>
                <w:sz w:val="20"/>
                <w:szCs w:val="20"/>
                <w:lang w:val="en-IN" w:eastAsia="en-IN" w:bidi="mr-IN"/>
              </w:rPr>
              <w:t>Net Liability</w:t>
            </w:r>
          </w:p>
        </w:tc>
        <w:tc>
          <w:tcPr>
            <w:tcW w:w="855" w:type="pct"/>
            <w:shd w:val="clear" w:color="auto" w:fill="auto"/>
            <w:noWrap/>
            <w:vAlign w:val="center"/>
          </w:tcPr>
          <w:p w14:paraId="407E13B7"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c>
          <w:tcPr>
            <w:tcW w:w="808" w:type="pct"/>
            <w:shd w:val="clear" w:color="auto" w:fill="auto"/>
            <w:noWrap/>
            <w:vAlign w:val="center"/>
          </w:tcPr>
          <w:p w14:paraId="3FC73078"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c>
          <w:tcPr>
            <w:tcW w:w="856" w:type="pct"/>
          </w:tcPr>
          <w:p w14:paraId="579B2F07"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r>
      <w:tr w:rsidR="005B5953" w:rsidRPr="005B12AE" w14:paraId="1CB77C12" w14:textId="77777777" w:rsidTr="00250DAC">
        <w:trPr>
          <w:trHeight w:val="20"/>
        </w:trPr>
        <w:tc>
          <w:tcPr>
            <w:tcW w:w="2481" w:type="pct"/>
            <w:shd w:val="clear" w:color="auto" w:fill="auto"/>
            <w:noWrap/>
            <w:vAlign w:val="bottom"/>
            <w:hideMark/>
          </w:tcPr>
          <w:p w14:paraId="6D9456B7" w14:textId="77777777" w:rsidR="005B5953" w:rsidRPr="005B12AE" w:rsidRDefault="005B5953" w:rsidP="00250DAC">
            <w:pPr>
              <w:spacing w:before="100" w:beforeAutospacing="1" w:after="0"/>
              <w:jc w:val="both"/>
              <w:rPr>
                <w:rFonts w:ascii="Times New Roman" w:hAnsi="Times New Roman"/>
                <w:b/>
                <w:bCs/>
                <w:color w:val="000000"/>
                <w:sz w:val="20"/>
                <w:szCs w:val="20"/>
                <w:lang w:val="en-IN" w:eastAsia="en-IN" w:bidi="mr-IN"/>
              </w:rPr>
            </w:pPr>
            <w:r w:rsidRPr="005B12AE">
              <w:rPr>
                <w:rFonts w:ascii="Times New Roman" w:hAnsi="Times New Roman"/>
                <w:b/>
                <w:bCs/>
                <w:color w:val="000000"/>
                <w:sz w:val="20"/>
                <w:szCs w:val="20"/>
                <w:lang w:val="en-IN" w:eastAsia="en-IN" w:bidi="mr-IN"/>
              </w:rPr>
              <w:t>Principle actuarial assumptions</w:t>
            </w:r>
          </w:p>
        </w:tc>
        <w:tc>
          <w:tcPr>
            <w:tcW w:w="855" w:type="pct"/>
            <w:shd w:val="clear" w:color="auto" w:fill="auto"/>
            <w:noWrap/>
            <w:vAlign w:val="center"/>
            <w:hideMark/>
          </w:tcPr>
          <w:p w14:paraId="6ECFA24A"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c>
          <w:tcPr>
            <w:tcW w:w="808" w:type="pct"/>
            <w:shd w:val="clear" w:color="auto" w:fill="auto"/>
            <w:noWrap/>
            <w:vAlign w:val="center"/>
            <w:hideMark/>
          </w:tcPr>
          <w:p w14:paraId="2E91DBCF"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c>
          <w:tcPr>
            <w:tcW w:w="856" w:type="pct"/>
          </w:tcPr>
          <w:p w14:paraId="2CAA4F78"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r>
      <w:tr w:rsidR="005B5953" w:rsidRPr="005B12AE" w14:paraId="7BFFA833" w14:textId="77777777" w:rsidTr="00250DAC">
        <w:trPr>
          <w:trHeight w:val="20"/>
        </w:trPr>
        <w:tc>
          <w:tcPr>
            <w:tcW w:w="2481" w:type="pct"/>
            <w:shd w:val="clear" w:color="auto" w:fill="auto"/>
            <w:noWrap/>
            <w:vAlign w:val="bottom"/>
            <w:hideMark/>
          </w:tcPr>
          <w:p w14:paraId="461F9156" w14:textId="77777777" w:rsidR="005B5953" w:rsidRPr="005B12AE" w:rsidRDefault="005B5953" w:rsidP="00250DAC">
            <w:pPr>
              <w:spacing w:before="100" w:beforeAutospacing="1" w:after="0"/>
              <w:jc w:val="both"/>
              <w:rPr>
                <w:rFonts w:ascii="Times New Roman" w:hAnsi="Times New Roman"/>
                <w:color w:val="000000"/>
                <w:sz w:val="20"/>
                <w:szCs w:val="20"/>
                <w:lang w:val="en-IN" w:eastAsia="en-IN" w:bidi="mr-IN"/>
              </w:rPr>
            </w:pPr>
            <w:r w:rsidRPr="005B12AE">
              <w:rPr>
                <w:rFonts w:ascii="Times New Roman" w:hAnsi="Times New Roman"/>
                <w:color w:val="000000"/>
                <w:sz w:val="20"/>
                <w:szCs w:val="20"/>
                <w:lang w:val="en-IN" w:eastAsia="en-IN" w:bidi="mr-IN"/>
              </w:rPr>
              <w:t>Discount Rate</w:t>
            </w:r>
          </w:p>
        </w:tc>
        <w:tc>
          <w:tcPr>
            <w:tcW w:w="855" w:type="pct"/>
            <w:shd w:val="clear" w:color="auto" w:fill="auto"/>
            <w:noWrap/>
            <w:vAlign w:val="center"/>
            <w:hideMark/>
          </w:tcPr>
          <w:p w14:paraId="44175F11"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7.50%</w:t>
            </w:r>
          </w:p>
        </w:tc>
        <w:tc>
          <w:tcPr>
            <w:tcW w:w="808" w:type="pct"/>
            <w:shd w:val="clear" w:color="auto" w:fill="auto"/>
            <w:noWrap/>
            <w:vAlign w:val="center"/>
            <w:hideMark/>
          </w:tcPr>
          <w:p w14:paraId="4FA6EC50"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7.25%</w:t>
            </w:r>
          </w:p>
        </w:tc>
        <w:tc>
          <w:tcPr>
            <w:tcW w:w="856" w:type="pct"/>
          </w:tcPr>
          <w:p w14:paraId="51C48A6F"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r>
      <w:tr w:rsidR="005B5953" w:rsidRPr="005B12AE" w14:paraId="7140FF17" w14:textId="77777777" w:rsidTr="00250DAC">
        <w:trPr>
          <w:trHeight w:val="20"/>
        </w:trPr>
        <w:tc>
          <w:tcPr>
            <w:tcW w:w="2481" w:type="pct"/>
            <w:shd w:val="clear" w:color="auto" w:fill="auto"/>
            <w:noWrap/>
            <w:vAlign w:val="bottom"/>
            <w:hideMark/>
          </w:tcPr>
          <w:p w14:paraId="19E4B19A" w14:textId="77777777" w:rsidR="005B5953" w:rsidRPr="005B12AE" w:rsidRDefault="005B5953" w:rsidP="00250DAC">
            <w:pPr>
              <w:spacing w:before="100" w:beforeAutospacing="1" w:after="0"/>
              <w:jc w:val="both"/>
              <w:rPr>
                <w:rFonts w:ascii="Times New Roman" w:hAnsi="Times New Roman"/>
                <w:color w:val="000000"/>
                <w:sz w:val="20"/>
                <w:szCs w:val="20"/>
                <w:lang w:val="en-IN" w:eastAsia="en-IN" w:bidi="mr-IN"/>
              </w:rPr>
            </w:pPr>
            <w:r w:rsidRPr="005B12AE">
              <w:rPr>
                <w:rFonts w:ascii="Times New Roman" w:hAnsi="Times New Roman"/>
                <w:color w:val="000000"/>
                <w:sz w:val="20"/>
                <w:szCs w:val="20"/>
                <w:lang w:val="en-IN" w:eastAsia="en-IN" w:bidi="mr-IN"/>
              </w:rPr>
              <w:t>Expected Return on Plan Assets</w:t>
            </w:r>
          </w:p>
        </w:tc>
        <w:tc>
          <w:tcPr>
            <w:tcW w:w="855" w:type="pct"/>
            <w:shd w:val="clear" w:color="auto" w:fill="auto"/>
            <w:noWrap/>
            <w:vAlign w:val="center"/>
            <w:hideMark/>
          </w:tcPr>
          <w:p w14:paraId="757E2B32"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w:t>
            </w:r>
          </w:p>
        </w:tc>
        <w:tc>
          <w:tcPr>
            <w:tcW w:w="808" w:type="pct"/>
            <w:shd w:val="clear" w:color="auto" w:fill="auto"/>
            <w:noWrap/>
            <w:vAlign w:val="center"/>
            <w:hideMark/>
          </w:tcPr>
          <w:p w14:paraId="044C1D98"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w:t>
            </w:r>
          </w:p>
        </w:tc>
        <w:tc>
          <w:tcPr>
            <w:tcW w:w="856" w:type="pct"/>
          </w:tcPr>
          <w:p w14:paraId="77181094"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r>
      <w:tr w:rsidR="005B5953" w:rsidRPr="005B12AE" w14:paraId="56251E22" w14:textId="77777777" w:rsidTr="00250DAC">
        <w:trPr>
          <w:trHeight w:val="20"/>
        </w:trPr>
        <w:tc>
          <w:tcPr>
            <w:tcW w:w="2481" w:type="pct"/>
            <w:shd w:val="clear" w:color="auto" w:fill="auto"/>
            <w:noWrap/>
            <w:vAlign w:val="bottom"/>
            <w:hideMark/>
          </w:tcPr>
          <w:p w14:paraId="658702F9" w14:textId="77777777" w:rsidR="005B5953" w:rsidRPr="005B12AE" w:rsidRDefault="005B5953" w:rsidP="00250DAC">
            <w:pPr>
              <w:spacing w:before="100" w:beforeAutospacing="1" w:after="0"/>
              <w:jc w:val="both"/>
              <w:rPr>
                <w:rFonts w:ascii="Times New Roman" w:hAnsi="Times New Roman"/>
                <w:color w:val="000000"/>
                <w:sz w:val="20"/>
                <w:szCs w:val="20"/>
                <w:lang w:val="en-IN" w:eastAsia="en-IN" w:bidi="mr-IN"/>
              </w:rPr>
            </w:pPr>
            <w:r w:rsidRPr="005B12AE">
              <w:rPr>
                <w:rFonts w:ascii="Times New Roman" w:hAnsi="Times New Roman"/>
                <w:color w:val="000000"/>
                <w:sz w:val="20"/>
                <w:szCs w:val="20"/>
                <w:lang w:val="en-IN" w:eastAsia="en-IN" w:bidi="mr-IN"/>
              </w:rPr>
              <w:t>Salary Escalation Rate</w:t>
            </w:r>
          </w:p>
        </w:tc>
        <w:tc>
          <w:tcPr>
            <w:tcW w:w="855" w:type="pct"/>
            <w:shd w:val="clear" w:color="auto" w:fill="auto"/>
            <w:noWrap/>
            <w:vAlign w:val="center"/>
            <w:hideMark/>
          </w:tcPr>
          <w:p w14:paraId="078A00C6"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5.00%</w:t>
            </w:r>
          </w:p>
        </w:tc>
        <w:tc>
          <w:tcPr>
            <w:tcW w:w="808" w:type="pct"/>
            <w:shd w:val="clear" w:color="auto" w:fill="auto"/>
            <w:noWrap/>
            <w:vAlign w:val="center"/>
            <w:hideMark/>
          </w:tcPr>
          <w:p w14:paraId="544C5823"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5.00%</w:t>
            </w:r>
          </w:p>
        </w:tc>
        <w:tc>
          <w:tcPr>
            <w:tcW w:w="856" w:type="pct"/>
          </w:tcPr>
          <w:p w14:paraId="0FDE1700"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r>
      <w:tr w:rsidR="005B5953" w:rsidRPr="005B12AE" w14:paraId="40B49365" w14:textId="77777777" w:rsidTr="00250DAC">
        <w:trPr>
          <w:trHeight w:val="20"/>
        </w:trPr>
        <w:tc>
          <w:tcPr>
            <w:tcW w:w="2481" w:type="pct"/>
            <w:shd w:val="clear" w:color="auto" w:fill="auto"/>
            <w:noWrap/>
            <w:vAlign w:val="center"/>
            <w:hideMark/>
          </w:tcPr>
          <w:p w14:paraId="6901F4F6" w14:textId="77777777" w:rsidR="005B5953" w:rsidRPr="005B12AE" w:rsidRDefault="005B5953" w:rsidP="00250DAC">
            <w:pPr>
              <w:spacing w:before="100" w:beforeAutospacing="1" w:after="0"/>
              <w:jc w:val="both"/>
              <w:rPr>
                <w:rFonts w:ascii="Times New Roman" w:hAnsi="Times New Roman"/>
                <w:color w:val="000000"/>
                <w:sz w:val="20"/>
                <w:szCs w:val="20"/>
                <w:lang w:val="en-IN" w:eastAsia="en-IN" w:bidi="mr-IN"/>
              </w:rPr>
            </w:pPr>
            <w:r w:rsidRPr="005B12AE">
              <w:rPr>
                <w:rFonts w:ascii="Times New Roman" w:hAnsi="Times New Roman"/>
                <w:color w:val="000000"/>
                <w:sz w:val="20"/>
                <w:szCs w:val="20"/>
                <w:lang w:val="en-IN" w:eastAsia="en-IN" w:bidi="mr-IN"/>
              </w:rPr>
              <w:t>Withdrawal Rates</w:t>
            </w:r>
          </w:p>
        </w:tc>
        <w:tc>
          <w:tcPr>
            <w:tcW w:w="855" w:type="pct"/>
            <w:shd w:val="clear" w:color="auto" w:fill="auto"/>
            <w:vAlign w:val="center"/>
            <w:hideMark/>
          </w:tcPr>
          <w:p w14:paraId="0B1F6FD1"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w:t>
            </w:r>
          </w:p>
        </w:tc>
        <w:tc>
          <w:tcPr>
            <w:tcW w:w="808" w:type="pct"/>
            <w:shd w:val="clear" w:color="auto" w:fill="auto"/>
            <w:vAlign w:val="center"/>
            <w:hideMark/>
          </w:tcPr>
          <w:p w14:paraId="50114E5C"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w:t>
            </w:r>
          </w:p>
        </w:tc>
        <w:tc>
          <w:tcPr>
            <w:tcW w:w="856" w:type="pct"/>
          </w:tcPr>
          <w:p w14:paraId="42F80A6B"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p>
        </w:tc>
      </w:tr>
      <w:tr w:rsidR="005B5953" w:rsidRPr="005B12AE" w14:paraId="2DEFB329" w14:textId="77777777" w:rsidTr="00250DAC">
        <w:trPr>
          <w:trHeight w:val="20"/>
        </w:trPr>
        <w:tc>
          <w:tcPr>
            <w:tcW w:w="2481" w:type="pct"/>
            <w:shd w:val="clear" w:color="auto" w:fill="auto"/>
            <w:noWrap/>
            <w:vAlign w:val="bottom"/>
            <w:hideMark/>
          </w:tcPr>
          <w:p w14:paraId="6A877270" w14:textId="77777777" w:rsidR="005B5953" w:rsidRPr="005B12AE" w:rsidRDefault="005B5953" w:rsidP="00250DAC">
            <w:pPr>
              <w:spacing w:before="100" w:beforeAutospacing="1" w:after="0"/>
              <w:jc w:val="both"/>
              <w:rPr>
                <w:rFonts w:ascii="Times New Roman" w:hAnsi="Times New Roman"/>
                <w:color w:val="000000"/>
                <w:sz w:val="20"/>
                <w:szCs w:val="20"/>
                <w:lang w:val="en-IN" w:eastAsia="en-IN" w:bidi="mr-IN"/>
              </w:rPr>
            </w:pPr>
            <w:r w:rsidRPr="005B12AE">
              <w:rPr>
                <w:rFonts w:ascii="Times New Roman" w:hAnsi="Times New Roman"/>
                <w:color w:val="000000"/>
                <w:sz w:val="20"/>
                <w:szCs w:val="20"/>
                <w:lang w:val="en-IN" w:eastAsia="en-IN" w:bidi="mr-IN"/>
              </w:rPr>
              <w:t>Expected Return on Plan Assets</w:t>
            </w:r>
          </w:p>
        </w:tc>
        <w:tc>
          <w:tcPr>
            <w:tcW w:w="855" w:type="pct"/>
            <w:shd w:val="clear" w:color="auto" w:fill="auto"/>
            <w:noWrap/>
            <w:vAlign w:val="center"/>
            <w:hideMark/>
          </w:tcPr>
          <w:p w14:paraId="693E3057"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Not Applicable</w:t>
            </w:r>
          </w:p>
        </w:tc>
        <w:tc>
          <w:tcPr>
            <w:tcW w:w="808" w:type="pct"/>
            <w:shd w:val="clear" w:color="auto" w:fill="auto"/>
            <w:noWrap/>
            <w:vAlign w:val="center"/>
            <w:hideMark/>
          </w:tcPr>
          <w:p w14:paraId="11D16AE6"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Not Applicable</w:t>
            </w:r>
          </w:p>
        </w:tc>
        <w:tc>
          <w:tcPr>
            <w:tcW w:w="856" w:type="pct"/>
          </w:tcPr>
          <w:p w14:paraId="29FEC59C" w14:textId="77777777" w:rsidR="005B5953" w:rsidRPr="005B12AE" w:rsidRDefault="005B5953" w:rsidP="00250DAC">
            <w:pPr>
              <w:spacing w:before="100" w:beforeAutospacing="1" w:after="0"/>
              <w:jc w:val="center"/>
              <w:rPr>
                <w:rFonts w:ascii="Times New Roman" w:hAnsi="Times New Roman"/>
                <w:sz w:val="20"/>
                <w:szCs w:val="20"/>
                <w:lang w:val="en-IN" w:eastAsia="en-IN" w:bidi="mr-IN"/>
              </w:rPr>
            </w:pPr>
            <w:r w:rsidRPr="005B12AE">
              <w:rPr>
                <w:rFonts w:ascii="Times New Roman" w:hAnsi="Times New Roman"/>
                <w:sz w:val="20"/>
                <w:szCs w:val="20"/>
                <w:lang w:val="en-IN" w:eastAsia="en-IN" w:bidi="mr-IN"/>
              </w:rPr>
              <w:t>Not Applicable</w:t>
            </w:r>
          </w:p>
        </w:tc>
      </w:tr>
    </w:tbl>
    <w:p w14:paraId="5FB8FC4A" w14:textId="77777777" w:rsidR="005B5953" w:rsidRPr="005B12AE" w:rsidRDefault="005B5953" w:rsidP="005B5953">
      <w:pPr>
        <w:spacing w:after="0" w:line="240" w:lineRule="auto"/>
        <w:rPr>
          <w:rFonts w:ascii="Times New Roman" w:hAnsi="Times New Roman"/>
          <w:b/>
          <w:bCs/>
          <w:sz w:val="20"/>
          <w:szCs w:val="20"/>
        </w:rPr>
      </w:pPr>
    </w:p>
    <w:p w14:paraId="56B39F43" w14:textId="77777777" w:rsidR="005B5953" w:rsidRPr="005B12AE" w:rsidRDefault="005B5953">
      <w:pPr>
        <w:pStyle w:val="NoSpacing"/>
        <w:numPr>
          <w:ilvl w:val="0"/>
          <w:numId w:val="332"/>
        </w:numPr>
        <w:suppressAutoHyphens w:val="0"/>
        <w:autoSpaceDE/>
        <w:autoSpaceDN/>
        <w:adjustRightInd/>
        <w:spacing w:line="240" w:lineRule="auto"/>
        <w:ind w:left="630" w:hanging="450"/>
        <w:jc w:val="both"/>
        <w:textAlignment w:val="auto"/>
        <w:rPr>
          <w:b/>
          <w:u w:val="single"/>
        </w:rPr>
      </w:pPr>
      <w:r w:rsidRPr="005B12AE">
        <w:rPr>
          <w:b/>
          <w:u w:val="single"/>
        </w:rPr>
        <w:t>NOTES TO RESTATED SUMMARY STATEMENTS:</w:t>
      </w:r>
    </w:p>
    <w:p w14:paraId="43F1BB42" w14:textId="77777777" w:rsidR="005B5953" w:rsidRPr="005B12AE" w:rsidRDefault="005B5953" w:rsidP="005B5953">
      <w:pPr>
        <w:pStyle w:val="NoSpacing"/>
        <w:spacing w:line="240" w:lineRule="auto"/>
        <w:jc w:val="both"/>
      </w:pPr>
    </w:p>
    <w:p w14:paraId="2BA9BEBA" w14:textId="77777777" w:rsidR="005B5953" w:rsidRPr="005B12AE" w:rsidRDefault="005B5953" w:rsidP="005B5953">
      <w:pPr>
        <w:pStyle w:val="NoSpacing"/>
        <w:spacing w:line="240" w:lineRule="auto"/>
        <w:jc w:val="both"/>
      </w:pPr>
      <w:r w:rsidRPr="005B12AE">
        <w:t>The financial statements for the year ended on 31 March 2021, 2022 and 2023 respectively are prepared as per Schedule III of the Companies Act, 2013: -</w:t>
      </w:r>
    </w:p>
    <w:p w14:paraId="2A06A0B1" w14:textId="77777777" w:rsidR="005B5953" w:rsidRPr="005B12AE" w:rsidRDefault="005B5953" w:rsidP="005B5953">
      <w:pPr>
        <w:pStyle w:val="NoSpacing"/>
        <w:spacing w:line="240" w:lineRule="auto"/>
        <w:jc w:val="both"/>
      </w:pPr>
    </w:p>
    <w:p w14:paraId="5B4F65D7" w14:textId="77777777" w:rsidR="005B5953" w:rsidRPr="005B12AE" w:rsidRDefault="005B5953">
      <w:pPr>
        <w:pStyle w:val="NoSpacing"/>
        <w:numPr>
          <w:ilvl w:val="1"/>
          <w:numId w:val="334"/>
        </w:numPr>
        <w:spacing w:line="240" w:lineRule="auto"/>
        <w:ind w:left="360"/>
        <w:jc w:val="both"/>
        <w:rPr>
          <w:b/>
        </w:rPr>
      </w:pPr>
      <w:r w:rsidRPr="005B12AE">
        <w:rPr>
          <w:b/>
        </w:rPr>
        <w:t>Contingent liabilities and commitments (to the extent not provided for)</w:t>
      </w:r>
    </w:p>
    <w:p w14:paraId="1002C426" w14:textId="77777777" w:rsidR="005B5953" w:rsidRPr="005B12AE" w:rsidRDefault="005B5953" w:rsidP="005B5953">
      <w:pPr>
        <w:pStyle w:val="NoSpacing"/>
        <w:spacing w:line="240" w:lineRule="auto"/>
        <w:jc w:val="both"/>
        <w:rPr>
          <w:b/>
        </w:rPr>
      </w:pPr>
    </w:p>
    <w:p w14:paraId="552B8D84" w14:textId="77777777" w:rsidR="005B5953" w:rsidRPr="005B12AE" w:rsidRDefault="005B5953" w:rsidP="005B5953">
      <w:pPr>
        <w:pStyle w:val="NoSpacing"/>
        <w:spacing w:line="240" w:lineRule="auto"/>
        <w:jc w:val="both"/>
      </w:pPr>
      <w:r w:rsidRPr="005B12AE">
        <w:t>A disclosure for a contingent liability is usually reported in the notes to restated financial restatements when there is a possible obligation that may, require an outflow of the Company's resources. However, there has been a liability/event, which qualifies as contingent liability in the restated period which is with regards to the VAT Appeal filed before Deputy Commissioner State Tax (Appeals), State Tax. For the matter under consideration total demand of ₹ 5,98,684/- was raised and company has paid the Demand of ₹ 1,20,000 and for balance amount stay has been granted. The same is also disclosed in note no V in restated financial statement.</w:t>
      </w:r>
    </w:p>
    <w:p w14:paraId="02E0E523" w14:textId="77777777" w:rsidR="005B5953" w:rsidRPr="005B12AE" w:rsidRDefault="005B5953" w:rsidP="005B5953">
      <w:pPr>
        <w:pStyle w:val="NoSpacing"/>
        <w:spacing w:line="240" w:lineRule="auto"/>
        <w:jc w:val="both"/>
      </w:pPr>
    </w:p>
    <w:p w14:paraId="08C31D93" w14:textId="77777777" w:rsidR="005B5953" w:rsidRPr="005B12AE" w:rsidRDefault="005B5953">
      <w:pPr>
        <w:pStyle w:val="NoSpacing"/>
        <w:numPr>
          <w:ilvl w:val="1"/>
          <w:numId w:val="334"/>
        </w:numPr>
        <w:spacing w:line="240" w:lineRule="auto"/>
        <w:ind w:left="360"/>
        <w:jc w:val="both"/>
        <w:rPr>
          <w:b/>
        </w:rPr>
      </w:pPr>
      <w:r w:rsidRPr="005B12AE">
        <w:rPr>
          <w:b/>
        </w:rPr>
        <w:t>Disclosure under Micro, Small and Medium Enterprises Development Act, 2006</w:t>
      </w:r>
    </w:p>
    <w:p w14:paraId="40524A2D" w14:textId="77777777" w:rsidR="005B5953" w:rsidRPr="005B12AE" w:rsidRDefault="005B5953" w:rsidP="005B5953">
      <w:pPr>
        <w:pStyle w:val="NoSpacing"/>
        <w:spacing w:line="240" w:lineRule="auto"/>
        <w:jc w:val="both"/>
        <w:rPr>
          <w:b/>
        </w:rPr>
      </w:pPr>
    </w:p>
    <w:p w14:paraId="2FF46C8B" w14:textId="77777777" w:rsidR="005B5953" w:rsidRPr="005B12AE" w:rsidRDefault="005B5953" w:rsidP="005B5953">
      <w:pPr>
        <w:pStyle w:val="NoSpacing"/>
        <w:spacing w:line="240" w:lineRule="auto"/>
        <w:jc w:val="both"/>
      </w:pPr>
      <w:r w:rsidRPr="005B12AE">
        <w:t>As per the information and details received by us, regarding the outstanding dues of Micro or Small-Scale Industrial Enterprise(s) as per The Micro, Small &amp; Medium Enterprise Development Act, the Company has disclosed the same as required by Schedule III to the Companies Act, 2013.</w:t>
      </w:r>
    </w:p>
    <w:p w14:paraId="4EF4D0A2" w14:textId="77777777" w:rsidR="005B5953" w:rsidRPr="005B12AE" w:rsidRDefault="005B5953" w:rsidP="005B5953">
      <w:pPr>
        <w:pStyle w:val="NoSpacing"/>
        <w:spacing w:line="240" w:lineRule="auto"/>
        <w:jc w:val="both"/>
      </w:pPr>
    </w:p>
    <w:p w14:paraId="20F4C346" w14:textId="77777777" w:rsidR="005B5953" w:rsidRPr="005B12AE" w:rsidRDefault="005B5953">
      <w:pPr>
        <w:pStyle w:val="NoSpacing"/>
        <w:numPr>
          <w:ilvl w:val="1"/>
          <w:numId w:val="334"/>
        </w:numPr>
        <w:spacing w:line="240" w:lineRule="auto"/>
        <w:ind w:left="360"/>
        <w:jc w:val="both"/>
        <w:rPr>
          <w:bCs/>
        </w:rPr>
      </w:pPr>
      <w:r w:rsidRPr="005B12AE">
        <w:rPr>
          <w:bCs/>
        </w:rPr>
        <w:t>Related party transactions are already reported as per AS-18 of Companies (Accounting Standards) Rules, 2006, as amended, in the Note W of the enclosed financial statements.</w:t>
      </w:r>
    </w:p>
    <w:p w14:paraId="68F427E6" w14:textId="77777777" w:rsidR="005B5953" w:rsidRPr="005B12AE" w:rsidRDefault="005B5953" w:rsidP="005B5953">
      <w:pPr>
        <w:pStyle w:val="NoSpacing"/>
        <w:spacing w:line="240" w:lineRule="auto"/>
        <w:ind w:left="360"/>
        <w:jc w:val="both"/>
        <w:rPr>
          <w:bCs/>
        </w:rPr>
      </w:pPr>
    </w:p>
    <w:p w14:paraId="79AB89BA" w14:textId="77777777" w:rsidR="005B5953" w:rsidRPr="005B12AE" w:rsidRDefault="005B5953">
      <w:pPr>
        <w:pStyle w:val="NoSpacing"/>
        <w:numPr>
          <w:ilvl w:val="1"/>
          <w:numId w:val="334"/>
        </w:numPr>
        <w:spacing w:line="240" w:lineRule="auto"/>
        <w:ind w:left="360"/>
        <w:jc w:val="both"/>
        <w:rPr>
          <w:bCs/>
        </w:rPr>
      </w:pPr>
      <w:r w:rsidRPr="005B12AE">
        <w:rPr>
          <w:bCs/>
        </w:rPr>
        <w:t>Deferred Tax liability/Asset in view of Accounting Standard – 22: “Accounting for Taxes on Income” as at the end of the year is as under:</w:t>
      </w:r>
    </w:p>
    <w:p w14:paraId="44CFA958" w14:textId="77777777" w:rsidR="005B5953" w:rsidRPr="005B12AE" w:rsidRDefault="005B5953" w:rsidP="005B5953">
      <w:pPr>
        <w:spacing w:after="0"/>
        <w:jc w:val="right"/>
        <w:rPr>
          <w:rFonts w:ascii="Times New Roman" w:hAnsi="Times New Roman"/>
          <w:b/>
          <w:bCs/>
          <w:sz w:val="20"/>
          <w:szCs w:val="20"/>
        </w:rPr>
      </w:pPr>
      <w:r w:rsidRPr="005B12AE">
        <w:rPr>
          <w:rFonts w:ascii="Times New Roman" w:hAnsi="Times New Roman"/>
          <w:b/>
          <w:bCs/>
          <w:sz w:val="20"/>
          <w:szCs w:val="20"/>
        </w:rPr>
        <w:t>(₹ in Lakhs)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4"/>
        <w:gridCol w:w="1531"/>
        <w:gridCol w:w="1441"/>
        <w:gridCol w:w="1370"/>
      </w:tblGrid>
      <w:tr w:rsidR="005B5953" w:rsidRPr="005B12AE" w14:paraId="47573FFC" w14:textId="77777777" w:rsidTr="00250DAC">
        <w:trPr>
          <w:trHeight w:val="20"/>
        </w:trPr>
        <w:tc>
          <w:tcPr>
            <w:tcW w:w="2924" w:type="pct"/>
            <w:vMerge w:val="restart"/>
            <w:shd w:val="clear" w:color="auto" w:fill="D0CECE" w:themeFill="background2" w:themeFillShade="E6"/>
            <w:vAlign w:val="center"/>
            <w:hideMark/>
          </w:tcPr>
          <w:p w14:paraId="6DA069B6"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Particulars</w:t>
            </w:r>
          </w:p>
        </w:tc>
        <w:tc>
          <w:tcPr>
            <w:tcW w:w="2076" w:type="pct"/>
            <w:gridSpan w:val="3"/>
            <w:shd w:val="clear" w:color="auto" w:fill="D0CECE" w:themeFill="background2" w:themeFillShade="E6"/>
            <w:vAlign w:val="center"/>
            <w:hideMark/>
          </w:tcPr>
          <w:p w14:paraId="3E0455AA"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For the Year Ended</w:t>
            </w:r>
          </w:p>
        </w:tc>
      </w:tr>
      <w:tr w:rsidR="005B5953" w:rsidRPr="005B12AE" w14:paraId="77B70630" w14:textId="77777777" w:rsidTr="00250DAC">
        <w:trPr>
          <w:trHeight w:val="20"/>
        </w:trPr>
        <w:tc>
          <w:tcPr>
            <w:tcW w:w="2924" w:type="pct"/>
            <w:vMerge/>
            <w:shd w:val="clear" w:color="auto" w:fill="D0CECE" w:themeFill="background2" w:themeFillShade="E6"/>
            <w:vAlign w:val="center"/>
            <w:hideMark/>
          </w:tcPr>
          <w:p w14:paraId="793E8F98" w14:textId="77777777" w:rsidR="005B5953" w:rsidRPr="005B12AE" w:rsidRDefault="005B5953" w:rsidP="00250DAC">
            <w:pPr>
              <w:spacing w:after="0" w:line="240" w:lineRule="auto"/>
              <w:rPr>
                <w:rFonts w:ascii="Times New Roman" w:hAnsi="Times New Roman"/>
                <w:b/>
                <w:bCs/>
                <w:color w:val="000000"/>
                <w:sz w:val="20"/>
                <w:szCs w:val="20"/>
              </w:rPr>
            </w:pPr>
          </w:p>
        </w:tc>
        <w:tc>
          <w:tcPr>
            <w:tcW w:w="732" w:type="pct"/>
            <w:shd w:val="clear" w:color="auto" w:fill="D0CECE" w:themeFill="background2" w:themeFillShade="E6"/>
            <w:hideMark/>
          </w:tcPr>
          <w:p w14:paraId="7017AD62"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2022-23</w:t>
            </w:r>
          </w:p>
        </w:tc>
        <w:tc>
          <w:tcPr>
            <w:tcW w:w="689" w:type="pct"/>
            <w:shd w:val="clear" w:color="auto" w:fill="D0CECE" w:themeFill="background2" w:themeFillShade="E6"/>
            <w:hideMark/>
          </w:tcPr>
          <w:p w14:paraId="5763697C"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2021-22</w:t>
            </w:r>
          </w:p>
        </w:tc>
        <w:tc>
          <w:tcPr>
            <w:tcW w:w="656" w:type="pct"/>
            <w:shd w:val="clear" w:color="auto" w:fill="D0CECE" w:themeFill="background2" w:themeFillShade="E6"/>
            <w:hideMark/>
          </w:tcPr>
          <w:p w14:paraId="1BD28EA5"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2020-21</w:t>
            </w:r>
          </w:p>
        </w:tc>
      </w:tr>
      <w:tr w:rsidR="005B5953" w:rsidRPr="005B12AE" w14:paraId="101AAEE2" w14:textId="77777777" w:rsidTr="00250DAC">
        <w:trPr>
          <w:trHeight w:val="20"/>
        </w:trPr>
        <w:tc>
          <w:tcPr>
            <w:tcW w:w="2924" w:type="pct"/>
            <w:shd w:val="clear" w:color="auto" w:fill="auto"/>
            <w:hideMark/>
          </w:tcPr>
          <w:p w14:paraId="43754CC2" w14:textId="77777777" w:rsidR="005B5953" w:rsidRPr="005B12AE" w:rsidRDefault="005B5953"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t>(DTA)/DTL on timing Difference in Depreciation as per Companies Act and Income Tax Act</w:t>
            </w:r>
          </w:p>
        </w:tc>
        <w:tc>
          <w:tcPr>
            <w:tcW w:w="732" w:type="pct"/>
            <w:shd w:val="clear" w:color="auto" w:fill="auto"/>
            <w:noWrap/>
            <w:hideMark/>
          </w:tcPr>
          <w:p w14:paraId="060E88EB" w14:textId="77777777" w:rsidR="005B5953" w:rsidRPr="005B12AE" w:rsidRDefault="005B5953" w:rsidP="00250DAC">
            <w:pPr>
              <w:spacing w:after="0" w:line="240" w:lineRule="auto"/>
              <w:jc w:val="center"/>
              <w:rPr>
                <w:rFonts w:ascii="Times New Roman" w:hAnsi="Times New Roman"/>
                <w:color w:val="000000"/>
                <w:sz w:val="20"/>
                <w:szCs w:val="20"/>
                <w:highlight w:val="yellow"/>
              </w:rPr>
            </w:pPr>
            <w:r w:rsidRPr="005B12AE">
              <w:rPr>
                <w:rFonts w:ascii="Times New Roman" w:hAnsi="Times New Roman"/>
                <w:sz w:val="20"/>
                <w:szCs w:val="20"/>
              </w:rPr>
              <w:t xml:space="preserve"> (23.36)</w:t>
            </w:r>
          </w:p>
        </w:tc>
        <w:tc>
          <w:tcPr>
            <w:tcW w:w="689" w:type="pct"/>
            <w:shd w:val="clear" w:color="auto" w:fill="auto"/>
            <w:noWrap/>
          </w:tcPr>
          <w:p w14:paraId="76A75C0F" w14:textId="77777777" w:rsidR="005B5953" w:rsidRPr="005B12AE" w:rsidRDefault="005B5953" w:rsidP="00250DAC">
            <w:pPr>
              <w:spacing w:after="0" w:line="240" w:lineRule="auto"/>
              <w:jc w:val="center"/>
              <w:rPr>
                <w:rFonts w:ascii="Times New Roman" w:hAnsi="Times New Roman"/>
                <w:color w:val="000000"/>
                <w:sz w:val="20"/>
                <w:szCs w:val="20"/>
                <w:highlight w:val="yellow"/>
              </w:rPr>
            </w:pPr>
            <w:r w:rsidRPr="005B12AE">
              <w:rPr>
                <w:rFonts w:ascii="Times New Roman" w:hAnsi="Times New Roman"/>
                <w:sz w:val="20"/>
                <w:szCs w:val="20"/>
              </w:rPr>
              <w:t xml:space="preserve"> (24.13) </w:t>
            </w:r>
          </w:p>
        </w:tc>
        <w:tc>
          <w:tcPr>
            <w:tcW w:w="656" w:type="pct"/>
            <w:shd w:val="clear" w:color="auto" w:fill="auto"/>
            <w:noWrap/>
          </w:tcPr>
          <w:p w14:paraId="0D83B09A" w14:textId="77777777" w:rsidR="005B5953" w:rsidRPr="005B12AE" w:rsidRDefault="005B5953" w:rsidP="00250DAC">
            <w:pPr>
              <w:spacing w:after="0" w:line="240" w:lineRule="auto"/>
              <w:jc w:val="center"/>
              <w:rPr>
                <w:rFonts w:ascii="Times New Roman" w:hAnsi="Times New Roman"/>
                <w:color w:val="000000"/>
                <w:sz w:val="20"/>
                <w:szCs w:val="20"/>
                <w:highlight w:val="yellow"/>
              </w:rPr>
            </w:pPr>
            <w:r w:rsidRPr="005B12AE">
              <w:rPr>
                <w:rFonts w:ascii="Times New Roman" w:hAnsi="Times New Roman"/>
                <w:sz w:val="20"/>
                <w:szCs w:val="20"/>
              </w:rPr>
              <w:t xml:space="preserve"> (13.48) </w:t>
            </w:r>
          </w:p>
        </w:tc>
      </w:tr>
      <w:tr w:rsidR="005B5953" w:rsidRPr="005B12AE" w14:paraId="3EA948A8" w14:textId="77777777" w:rsidTr="00250DAC">
        <w:trPr>
          <w:trHeight w:val="20"/>
        </w:trPr>
        <w:tc>
          <w:tcPr>
            <w:tcW w:w="2924" w:type="pct"/>
            <w:shd w:val="clear" w:color="auto" w:fill="auto"/>
            <w:hideMark/>
          </w:tcPr>
          <w:p w14:paraId="6AB3CAA6" w14:textId="77777777" w:rsidR="005B5953" w:rsidRPr="005B12AE" w:rsidRDefault="005B5953"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t>(DTA) /DTL on timing Differences in others – Gratuity</w:t>
            </w:r>
          </w:p>
        </w:tc>
        <w:tc>
          <w:tcPr>
            <w:tcW w:w="732" w:type="pct"/>
            <w:shd w:val="clear" w:color="auto" w:fill="auto"/>
            <w:hideMark/>
          </w:tcPr>
          <w:p w14:paraId="0E722523" w14:textId="77777777" w:rsidR="005B5953" w:rsidRPr="005B12AE" w:rsidRDefault="005B5953" w:rsidP="00250DAC">
            <w:pPr>
              <w:spacing w:after="0" w:line="240" w:lineRule="auto"/>
              <w:jc w:val="center"/>
              <w:rPr>
                <w:rFonts w:ascii="Times New Roman" w:hAnsi="Times New Roman"/>
                <w:color w:val="000000"/>
                <w:sz w:val="20"/>
                <w:szCs w:val="20"/>
                <w:highlight w:val="yellow"/>
              </w:rPr>
            </w:pPr>
            <w:r w:rsidRPr="005B12AE">
              <w:rPr>
                <w:rFonts w:ascii="Times New Roman" w:hAnsi="Times New Roman"/>
                <w:sz w:val="20"/>
                <w:szCs w:val="20"/>
              </w:rPr>
              <w:t xml:space="preserve"> (0.72)</w:t>
            </w:r>
          </w:p>
        </w:tc>
        <w:tc>
          <w:tcPr>
            <w:tcW w:w="689" w:type="pct"/>
            <w:shd w:val="clear" w:color="auto" w:fill="auto"/>
            <w:noWrap/>
          </w:tcPr>
          <w:p w14:paraId="4C077998" w14:textId="77777777" w:rsidR="005B5953" w:rsidRPr="005B12AE" w:rsidRDefault="005B5953" w:rsidP="00250DAC">
            <w:pPr>
              <w:spacing w:after="0" w:line="240" w:lineRule="auto"/>
              <w:jc w:val="center"/>
              <w:rPr>
                <w:rFonts w:ascii="Times New Roman" w:hAnsi="Times New Roman"/>
                <w:color w:val="000000"/>
                <w:sz w:val="20"/>
                <w:szCs w:val="20"/>
                <w:highlight w:val="yellow"/>
              </w:rPr>
            </w:pPr>
            <w:r w:rsidRPr="005B12AE">
              <w:rPr>
                <w:rFonts w:ascii="Times New Roman" w:hAnsi="Times New Roman"/>
                <w:sz w:val="20"/>
                <w:szCs w:val="20"/>
              </w:rPr>
              <w:t xml:space="preserve"> (0.43)</w:t>
            </w:r>
          </w:p>
        </w:tc>
        <w:tc>
          <w:tcPr>
            <w:tcW w:w="656" w:type="pct"/>
            <w:shd w:val="clear" w:color="auto" w:fill="auto"/>
            <w:noWrap/>
          </w:tcPr>
          <w:p w14:paraId="55D099CE" w14:textId="77777777" w:rsidR="005B5953" w:rsidRPr="005B12AE" w:rsidRDefault="005B5953" w:rsidP="00250DAC">
            <w:pPr>
              <w:spacing w:after="0" w:line="240" w:lineRule="auto"/>
              <w:jc w:val="center"/>
              <w:rPr>
                <w:rFonts w:ascii="Times New Roman" w:hAnsi="Times New Roman"/>
                <w:color w:val="000000"/>
                <w:sz w:val="20"/>
                <w:szCs w:val="20"/>
                <w:highlight w:val="yellow"/>
              </w:rPr>
            </w:pPr>
            <w:r w:rsidRPr="005B12AE">
              <w:rPr>
                <w:rFonts w:ascii="Times New Roman" w:hAnsi="Times New Roman"/>
                <w:sz w:val="20"/>
                <w:szCs w:val="20"/>
              </w:rPr>
              <w:t xml:space="preserve"> (4.08)</w:t>
            </w:r>
          </w:p>
        </w:tc>
      </w:tr>
      <w:tr w:rsidR="005B5953" w:rsidRPr="005B12AE" w14:paraId="57861B16" w14:textId="77777777" w:rsidTr="00250DAC">
        <w:trPr>
          <w:trHeight w:val="20"/>
        </w:trPr>
        <w:tc>
          <w:tcPr>
            <w:tcW w:w="2924" w:type="pct"/>
            <w:shd w:val="clear" w:color="auto" w:fill="auto"/>
            <w:hideMark/>
          </w:tcPr>
          <w:p w14:paraId="7F55202E" w14:textId="77777777" w:rsidR="005B5953" w:rsidRPr="005B12AE" w:rsidRDefault="005B5953" w:rsidP="00250DAC">
            <w:pPr>
              <w:spacing w:after="0" w:line="240" w:lineRule="auto"/>
              <w:rPr>
                <w:rFonts w:ascii="Times New Roman" w:hAnsi="Times New Roman"/>
                <w:b/>
                <w:bCs/>
                <w:color w:val="000000"/>
                <w:sz w:val="20"/>
                <w:szCs w:val="20"/>
              </w:rPr>
            </w:pPr>
            <w:r w:rsidRPr="005B12AE">
              <w:rPr>
                <w:rFonts w:ascii="Times New Roman" w:hAnsi="Times New Roman"/>
                <w:b/>
                <w:bCs/>
                <w:color w:val="000000"/>
                <w:sz w:val="20"/>
                <w:szCs w:val="20"/>
              </w:rPr>
              <w:t>Net Deferred Tax (Asset)/ Liability</w:t>
            </w:r>
          </w:p>
        </w:tc>
        <w:tc>
          <w:tcPr>
            <w:tcW w:w="732" w:type="pct"/>
            <w:shd w:val="clear" w:color="auto" w:fill="auto"/>
            <w:noWrap/>
            <w:hideMark/>
          </w:tcPr>
          <w:p w14:paraId="7FC08C07" w14:textId="77777777" w:rsidR="005B5953" w:rsidRPr="005B12AE" w:rsidRDefault="005B5953" w:rsidP="00250DAC">
            <w:pPr>
              <w:spacing w:after="0" w:line="240" w:lineRule="auto"/>
              <w:jc w:val="center"/>
              <w:rPr>
                <w:rFonts w:ascii="Times New Roman" w:hAnsi="Times New Roman"/>
                <w:b/>
                <w:bCs/>
                <w:color w:val="000000"/>
                <w:sz w:val="20"/>
                <w:szCs w:val="20"/>
                <w:highlight w:val="yellow"/>
              </w:rPr>
            </w:pPr>
            <w:r w:rsidRPr="005B12AE">
              <w:rPr>
                <w:rFonts w:ascii="Times New Roman" w:hAnsi="Times New Roman"/>
                <w:sz w:val="20"/>
                <w:szCs w:val="20"/>
              </w:rPr>
              <w:t xml:space="preserve"> (22.64)</w:t>
            </w:r>
          </w:p>
        </w:tc>
        <w:tc>
          <w:tcPr>
            <w:tcW w:w="689" w:type="pct"/>
            <w:shd w:val="clear" w:color="auto" w:fill="auto"/>
            <w:noWrap/>
            <w:hideMark/>
          </w:tcPr>
          <w:p w14:paraId="18C8EA8C" w14:textId="77777777" w:rsidR="005B5953" w:rsidRPr="005B12AE" w:rsidRDefault="005B5953" w:rsidP="00250DAC">
            <w:pPr>
              <w:spacing w:after="0" w:line="240" w:lineRule="auto"/>
              <w:jc w:val="center"/>
              <w:rPr>
                <w:rFonts w:ascii="Times New Roman" w:hAnsi="Times New Roman"/>
                <w:b/>
                <w:bCs/>
                <w:color w:val="000000"/>
                <w:sz w:val="20"/>
                <w:szCs w:val="20"/>
                <w:highlight w:val="yellow"/>
              </w:rPr>
            </w:pPr>
            <w:r w:rsidRPr="005B12AE">
              <w:rPr>
                <w:rFonts w:ascii="Times New Roman" w:hAnsi="Times New Roman"/>
                <w:sz w:val="20"/>
                <w:szCs w:val="20"/>
              </w:rPr>
              <w:t xml:space="preserve"> (23.70)</w:t>
            </w:r>
          </w:p>
        </w:tc>
        <w:tc>
          <w:tcPr>
            <w:tcW w:w="656" w:type="pct"/>
            <w:shd w:val="clear" w:color="auto" w:fill="auto"/>
            <w:noWrap/>
            <w:hideMark/>
          </w:tcPr>
          <w:p w14:paraId="6EDAB607" w14:textId="77777777" w:rsidR="005B5953" w:rsidRPr="005B12AE" w:rsidRDefault="005B5953" w:rsidP="00250DAC">
            <w:pPr>
              <w:spacing w:after="0" w:line="240" w:lineRule="auto"/>
              <w:jc w:val="center"/>
              <w:rPr>
                <w:rFonts w:ascii="Times New Roman" w:hAnsi="Times New Roman"/>
                <w:b/>
                <w:bCs/>
                <w:color w:val="000000"/>
                <w:sz w:val="20"/>
                <w:szCs w:val="20"/>
                <w:highlight w:val="yellow"/>
              </w:rPr>
            </w:pPr>
            <w:r w:rsidRPr="005B12AE">
              <w:rPr>
                <w:rFonts w:ascii="Times New Roman" w:hAnsi="Times New Roman"/>
                <w:sz w:val="20"/>
                <w:szCs w:val="20"/>
              </w:rPr>
              <w:t xml:space="preserve"> (9.40)</w:t>
            </w:r>
          </w:p>
        </w:tc>
      </w:tr>
    </w:tbl>
    <w:p w14:paraId="4EC9EE3D" w14:textId="77777777" w:rsidR="005B5953" w:rsidRPr="005B12AE" w:rsidRDefault="005B5953" w:rsidP="005B5953">
      <w:pPr>
        <w:spacing w:after="0"/>
        <w:jc w:val="right"/>
        <w:rPr>
          <w:rFonts w:ascii="Times New Roman" w:hAnsi="Times New Roman"/>
          <w:b/>
          <w:bCs/>
          <w:sz w:val="20"/>
          <w:szCs w:val="20"/>
        </w:rPr>
      </w:pPr>
    </w:p>
    <w:p w14:paraId="33C56C6F" w14:textId="77777777" w:rsidR="005B5953" w:rsidRPr="005B12AE" w:rsidRDefault="005B5953">
      <w:pPr>
        <w:pStyle w:val="NoSpacing"/>
        <w:numPr>
          <w:ilvl w:val="1"/>
          <w:numId w:val="334"/>
        </w:numPr>
        <w:spacing w:line="240" w:lineRule="auto"/>
        <w:ind w:left="360"/>
        <w:jc w:val="both"/>
        <w:rPr>
          <w:b/>
        </w:rPr>
      </w:pPr>
      <w:r w:rsidRPr="005B12AE">
        <w:rPr>
          <w:b/>
        </w:rPr>
        <w:t>Directors' Remuneration:</w:t>
      </w:r>
    </w:p>
    <w:p w14:paraId="37DDA2BC" w14:textId="77777777" w:rsidR="005B5953" w:rsidRPr="005B12AE" w:rsidRDefault="005B5953" w:rsidP="005B5953">
      <w:pPr>
        <w:spacing w:after="0"/>
        <w:jc w:val="right"/>
        <w:rPr>
          <w:rFonts w:ascii="Times New Roman" w:hAnsi="Times New Roman"/>
          <w:b/>
          <w:bCs/>
          <w:sz w:val="20"/>
          <w:szCs w:val="20"/>
        </w:rPr>
      </w:pPr>
      <w:r w:rsidRPr="005B12AE">
        <w:rPr>
          <w:rFonts w:ascii="Times New Roman" w:hAnsi="Times New Roman"/>
          <w:b/>
          <w:bCs/>
          <w:sz w:val="20"/>
          <w:szCs w:val="20"/>
        </w:rPr>
        <w:t>(₹ in Lakhs)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4"/>
        <w:gridCol w:w="1531"/>
        <w:gridCol w:w="1441"/>
        <w:gridCol w:w="1370"/>
      </w:tblGrid>
      <w:tr w:rsidR="005B5953" w:rsidRPr="005B12AE" w14:paraId="5D2B8CA5" w14:textId="77777777" w:rsidTr="00250DAC">
        <w:trPr>
          <w:trHeight w:val="225"/>
        </w:trPr>
        <w:tc>
          <w:tcPr>
            <w:tcW w:w="2924" w:type="pct"/>
            <w:shd w:val="clear" w:color="auto" w:fill="D0CECE" w:themeFill="background2" w:themeFillShade="E6"/>
            <w:vAlign w:val="center"/>
            <w:hideMark/>
          </w:tcPr>
          <w:p w14:paraId="4CB8D9EB"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Particulars</w:t>
            </w:r>
          </w:p>
        </w:tc>
        <w:tc>
          <w:tcPr>
            <w:tcW w:w="732" w:type="pct"/>
            <w:shd w:val="clear" w:color="auto" w:fill="D0CECE" w:themeFill="background2" w:themeFillShade="E6"/>
            <w:hideMark/>
          </w:tcPr>
          <w:p w14:paraId="6A8CDB1E"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2022-23</w:t>
            </w:r>
          </w:p>
        </w:tc>
        <w:tc>
          <w:tcPr>
            <w:tcW w:w="689" w:type="pct"/>
            <w:shd w:val="clear" w:color="auto" w:fill="D0CECE" w:themeFill="background2" w:themeFillShade="E6"/>
            <w:hideMark/>
          </w:tcPr>
          <w:p w14:paraId="38BF0A6E"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2021-22</w:t>
            </w:r>
          </w:p>
        </w:tc>
        <w:tc>
          <w:tcPr>
            <w:tcW w:w="655" w:type="pct"/>
            <w:shd w:val="clear" w:color="auto" w:fill="D0CECE" w:themeFill="background2" w:themeFillShade="E6"/>
            <w:hideMark/>
          </w:tcPr>
          <w:p w14:paraId="13FFF375"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2020-21</w:t>
            </w:r>
          </w:p>
        </w:tc>
      </w:tr>
      <w:tr w:rsidR="005B5953" w:rsidRPr="005B12AE" w14:paraId="4FF6424E" w14:textId="77777777" w:rsidTr="00250DAC">
        <w:trPr>
          <w:trHeight w:val="225"/>
        </w:trPr>
        <w:tc>
          <w:tcPr>
            <w:tcW w:w="2924" w:type="pct"/>
            <w:shd w:val="clear" w:color="auto" w:fill="auto"/>
            <w:hideMark/>
          </w:tcPr>
          <w:p w14:paraId="6ABF782C" w14:textId="77777777" w:rsidR="005B5953" w:rsidRPr="005B12AE" w:rsidRDefault="005B5953"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t>Directors' Remuneration (including sitting fees)</w:t>
            </w:r>
          </w:p>
        </w:tc>
        <w:tc>
          <w:tcPr>
            <w:tcW w:w="732" w:type="pct"/>
            <w:shd w:val="clear" w:color="auto" w:fill="auto"/>
            <w:noWrap/>
            <w:vAlign w:val="center"/>
            <w:hideMark/>
          </w:tcPr>
          <w:p w14:paraId="4E720ED8"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134.4</w:t>
            </w:r>
          </w:p>
        </w:tc>
        <w:tc>
          <w:tcPr>
            <w:tcW w:w="689" w:type="pct"/>
            <w:shd w:val="clear" w:color="auto" w:fill="auto"/>
            <w:noWrap/>
            <w:vAlign w:val="center"/>
            <w:hideMark/>
          </w:tcPr>
          <w:p w14:paraId="08B04CAA"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120</w:t>
            </w:r>
          </w:p>
        </w:tc>
        <w:tc>
          <w:tcPr>
            <w:tcW w:w="655" w:type="pct"/>
            <w:shd w:val="clear" w:color="auto" w:fill="auto"/>
            <w:noWrap/>
            <w:vAlign w:val="center"/>
            <w:hideMark/>
          </w:tcPr>
          <w:p w14:paraId="6E79C137"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96</w:t>
            </w:r>
          </w:p>
        </w:tc>
      </w:tr>
      <w:tr w:rsidR="005B5953" w:rsidRPr="005B12AE" w14:paraId="5A5BD5D1" w14:textId="77777777" w:rsidTr="00250DAC">
        <w:trPr>
          <w:trHeight w:val="225"/>
        </w:trPr>
        <w:tc>
          <w:tcPr>
            <w:tcW w:w="2924" w:type="pct"/>
            <w:shd w:val="clear" w:color="auto" w:fill="auto"/>
            <w:noWrap/>
            <w:vAlign w:val="bottom"/>
            <w:hideMark/>
          </w:tcPr>
          <w:p w14:paraId="355A96C2" w14:textId="77777777" w:rsidR="005B5953" w:rsidRPr="005B12AE" w:rsidRDefault="005B5953" w:rsidP="00250DAC">
            <w:pPr>
              <w:spacing w:after="0" w:line="240" w:lineRule="auto"/>
              <w:rPr>
                <w:rFonts w:ascii="Times New Roman" w:hAnsi="Times New Roman"/>
                <w:b/>
                <w:bCs/>
                <w:color w:val="000000"/>
                <w:sz w:val="20"/>
                <w:szCs w:val="20"/>
              </w:rPr>
            </w:pPr>
            <w:r w:rsidRPr="005B12AE">
              <w:rPr>
                <w:rFonts w:ascii="Times New Roman" w:hAnsi="Times New Roman"/>
                <w:b/>
                <w:bCs/>
                <w:color w:val="000000"/>
                <w:sz w:val="20"/>
                <w:szCs w:val="20"/>
              </w:rPr>
              <w:t>Total</w:t>
            </w:r>
          </w:p>
        </w:tc>
        <w:tc>
          <w:tcPr>
            <w:tcW w:w="732" w:type="pct"/>
            <w:shd w:val="clear" w:color="auto" w:fill="auto"/>
            <w:noWrap/>
            <w:vAlign w:val="center"/>
            <w:hideMark/>
          </w:tcPr>
          <w:p w14:paraId="6F5663F2"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134.4</w:t>
            </w:r>
          </w:p>
        </w:tc>
        <w:tc>
          <w:tcPr>
            <w:tcW w:w="689" w:type="pct"/>
            <w:shd w:val="clear" w:color="auto" w:fill="auto"/>
            <w:noWrap/>
            <w:vAlign w:val="center"/>
            <w:hideMark/>
          </w:tcPr>
          <w:p w14:paraId="60452217"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120</w:t>
            </w:r>
          </w:p>
        </w:tc>
        <w:tc>
          <w:tcPr>
            <w:tcW w:w="655" w:type="pct"/>
            <w:shd w:val="clear" w:color="auto" w:fill="auto"/>
            <w:noWrap/>
            <w:vAlign w:val="center"/>
            <w:hideMark/>
          </w:tcPr>
          <w:p w14:paraId="5739AAD7"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96</w:t>
            </w:r>
          </w:p>
        </w:tc>
      </w:tr>
    </w:tbl>
    <w:p w14:paraId="1026995B" w14:textId="77777777" w:rsidR="005B5953" w:rsidRPr="005B12AE" w:rsidRDefault="005B5953" w:rsidP="005B5953">
      <w:pPr>
        <w:pStyle w:val="NoSpacing"/>
        <w:spacing w:line="240" w:lineRule="auto"/>
        <w:jc w:val="both"/>
        <w:rPr>
          <w:b/>
        </w:rPr>
      </w:pPr>
    </w:p>
    <w:p w14:paraId="33D5F726" w14:textId="77777777" w:rsidR="005B5953" w:rsidRPr="005B12AE" w:rsidRDefault="005B5953">
      <w:pPr>
        <w:pStyle w:val="NoSpacing"/>
        <w:numPr>
          <w:ilvl w:val="1"/>
          <w:numId w:val="334"/>
        </w:numPr>
        <w:spacing w:line="240" w:lineRule="auto"/>
        <w:ind w:left="360"/>
        <w:jc w:val="both"/>
        <w:rPr>
          <w:b/>
        </w:rPr>
      </w:pPr>
      <w:r w:rsidRPr="005B12AE">
        <w:rPr>
          <w:b/>
        </w:rPr>
        <w:t>Auditors' Remuneration:</w:t>
      </w:r>
    </w:p>
    <w:p w14:paraId="32774466" w14:textId="77777777" w:rsidR="005B5953" w:rsidRPr="005B12AE" w:rsidRDefault="005B5953" w:rsidP="005B5953">
      <w:pPr>
        <w:spacing w:after="0"/>
        <w:jc w:val="right"/>
        <w:rPr>
          <w:rFonts w:ascii="Times New Roman" w:hAnsi="Times New Roman"/>
          <w:b/>
          <w:bCs/>
          <w:sz w:val="20"/>
          <w:szCs w:val="20"/>
        </w:rPr>
      </w:pPr>
      <w:r w:rsidRPr="005B12AE">
        <w:rPr>
          <w:rFonts w:ascii="Times New Roman" w:hAnsi="Times New Roman"/>
          <w:b/>
          <w:bCs/>
          <w:sz w:val="20"/>
          <w:szCs w:val="20"/>
        </w:rPr>
        <w:t>(₹ in Lakhs)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4"/>
        <w:gridCol w:w="1531"/>
        <w:gridCol w:w="1439"/>
        <w:gridCol w:w="1372"/>
      </w:tblGrid>
      <w:tr w:rsidR="005B5953" w:rsidRPr="005B12AE" w14:paraId="14C01EBE" w14:textId="77777777" w:rsidTr="0021246C">
        <w:trPr>
          <w:trHeight w:val="225"/>
        </w:trPr>
        <w:tc>
          <w:tcPr>
            <w:tcW w:w="2924" w:type="pct"/>
            <w:vMerge w:val="restart"/>
            <w:shd w:val="clear" w:color="auto" w:fill="D0CECE" w:themeFill="background2" w:themeFillShade="E6"/>
            <w:vAlign w:val="center"/>
            <w:hideMark/>
          </w:tcPr>
          <w:p w14:paraId="2487BD7F"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Particulars</w:t>
            </w:r>
          </w:p>
        </w:tc>
        <w:tc>
          <w:tcPr>
            <w:tcW w:w="2076" w:type="pct"/>
            <w:gridSpan w:val="3"/>
            <w:shd w:val="clear" w:color="auto" w:fill="D0CECE" w:themeFill="background2" w:themeFillShade="E6"/>
            <w:vAlign w:val="center"/>
            <w:hideMark/>
          </w:tcPr>
          <w:p w14:paraId="067D6CB5"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For the Year Ended</w:t>
            </w:r>
          </w:p>
        </w:tc>
      </w:tr>
      <w:tr w:rsidR="005B5953" w:rsidRPr="005B12AE" w14:paraId="7E237C41" w14:textId="77777777" w:rsidTr="0021246C">
        <w:trPr>
          <w:trHeight w:val="225"/>
        </w:trPr>
        <w:tc>
          <w:tcPr>
            <w:tcW w:w="2924" w:type="pct"/>
            <w:vMerge/>
            <w:shd w:val="clear" w:color="auto" w:fill="D0CECE" w:themeFill="background2" w:themeFillShade="E6"/>
            <w:vAlign w:val="center"/>
            <w:hideMark/>
          </w:tcPr>
          <w:p w14:paraId="29682156" w14:textId="77777777" w:rsidR="005B5953" w:rsidRPr="005B12AE" w:rsidRDefault="005B5953" w:rsidP="00250DAC">
            <w:pPr>
              <w:spacing w:after="0" w:line="240" w:lineRule="auto"/>
              <w:jc w:val="center"/>
              <w:rPr>
                <w:rFonts w:ascii="Times New Roman" w:hAnsi="Times New Roman"/>
                <w:b/>
                <w:bCs/>
                <w:color w:val="000000"/>
                <w:sz w:val="20"/>
                <w:szCs w:val="20"/>
              </w:rPr>
            </w:pPr>
          </w:p>
        </w:tc>
        <w:tc>
          <w:tcPr>
            <w:tcW w:w="732" w:type="pct"/>
            <w:shd w:val="clear" w:color="auto" w:fill="D0CECE" w:themeFill="background2" w:themeFillShade="E6"/>
            <w:hideMark/>
          </w:tcPr>
          <w:p w14:paraId="1AD3B091"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2022-23</w:t>
            </w:r>
          </w:p>
        </w:tc>
        <w:tc>
          <w:tcPr>
            <w:tcW w:w="688" w:type="pct"/>
            <w:shd w:val="clear" w:color="auto" w:fill="D0CECE" w:themeFill="background2" w:themeFillShade="E6"/>
            <w:hideMark/>
          </w:tcPr>
          <w:p w14:paraId="462979BA"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2021-22</w:t>
            </w:r>
          </w:p>
        </w:tc>
        <w:tc>
          <w:tcPr>
            <w:tcW w:w="656" w:type="pct"/>
            <w:shd w:val="clear" w:color="auto" w:fill="D0CECE" w:themeFill="background2" w:themeFillShade="E6"/>
            <w:hideMark/>
          </w:tcPr>
          <w:p w14:paraId="402FA040"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2020-21</w:t>
            </w:r>
          </w:p>
        </w:tc>
      </w:tr>
      <w:tr w:rsidR="005B5953" w:rsidRPr="005B12AE" w14:paraId="186B834F" w14:textId="77777777" w:rsidTr="0021246C">
        <w:trPr>
          <w:trHeight w:val="225"/>
        </w:trPr>
        <w:tc>
          <w:tcPr>
            <w:tcW w:w="2924" w:type="pct"/>
            <w:shd w:val="clear" w:color="auto" w:fill="auto"/>
            <w:hideMark/>
          </w:tcPr>
          <w:p w14:paraId="3262D4FB" w14:textId="77777777" w:rsidR="005B5953" w:rsidRPr="005B12AE" w:rsidRDefault="005B5953"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t>a. As Auditors</w:t>
            </w:r>
          </w:p>
        </w:tc>
        <w:tc>
          <w:tcPr>
            <w:tcW w:w="732" w:type="pct"/>
            <w:shd w:val="clear" w:color="auto" w:fill="auto"/>
            <w:hideMark/>
          </w:tcPr>
          <w:p w14:paraId="14917555" w14:textId="77777777" w:rsidR="005B5953" w:rsidRPr="005B12AE" w:rsidRDefault="005B5953" w:rsidP="00250DAC">
            <w:pPr>
              <w:spacing w:after="0" w:line="240" w:lineRule="auto"/>
              <w:jc w:val="center"/>
              <w:rPr>
                <w:rFonts w:ascii="Times New Roman" w:hAnsi="Times New Roman"/>
                <w:color w:val="000000"/>
                <w:sz w:val="20"/>
                <w:szCs w:val="20"/>
                <w:highlight w:val="yellow"/>
              </w:rPr>
            </w:pPr>
          </w:p>
        </w:tc>
        <w:tc>
          <w:tcPr>
            <w:tcW w:w="688" w:type="pct"/>
            <w:shd w:val="clear" w:color="auto" w:fill="auto"/>
            <w:noWrap/>
            <w:vAlign w:val="bottom"/>
            <w:hideMark/>
          </w:tcPr>
          <w:p w14:paraId="2B4EF0AF" w14:textId="77777777" w:rsidR="005B5953" w:rsidRPr="005B12AE" w:rsidRDefault="005B5953" w:rsidP="00250DAC">
            <w:pPr>
              <w:spacing w:after="0" w:line="240" w:lineRule="auto"/>
              <w:jc w:val="center"/>
              <w:rPr>
                <w:rFonts w:ascii="Times New Roman" w:hAnsi="Times New Roman"/>
                <w:color w:val="000000"/>
                <w:sz w:val="20"/>
                <w:szCs w:val="20"/>
                <w:highlight w:val="yellow"/>
              </w:rPr>
            </w:pPr>
          </w:p>
        </w:tc>
        <w:tc>
          <w:tcPr>
            <w:tcW w:w="656" w:type="pct"/>
            <w:shd w:val="clear" w:color="auto" w:fill="auto"/>
            <w:noWrap/>
            <w:vAlign w:val="bottom"/>
            <w:hideMark/>
          </w:tcPr>
          <w:p w14:paraId="0E7422E6" w14:textId="77777777" w:rsidR="005B5953" w:rsidRPr="005B12AE" w:rsidRDefault="005B5953" w:rsidP="00250DAC">
            <w:pPr>
              <w:spacing w:after="0" w:line="240" w:lineRule="auto"/>
              <w:jc w:val="center"/>
              <w:rPr>
                <w:rFonts w:ascii="Times New Roman" w:hAnsi="Times New Roman"/>
                <w:color w:val="000000"/>
                <w:sz w:val="20"/>
                <w:szCs w:val="20"/>
                <w:highlight w:val="yellow"/>
              </w:rPr>
            </w:pPr>
          </w:p>
        </w:tc>
      </w:tr>
      <w:tr w:rsidR="005B5953" w:rsidRPr="005B12AE" w14:paraId="3D64CE58" w14:textId="77777777" w:rsidTr="0021246C">
        <w:trPr>
          <w:trHeight w:val="225"/>
        </w:trPr>
        <w:tc>
          <w:tcPr>
            <w:tcW w:w="2924" w:type="pct"/>
            <w:shd w:val="clear" w:color="auto" w:fill="auto"/>
            <w:hideMark/>
          </w:tcPr>
          <w:p w14:paraId="6F99388D" w14:textId="77777777" w:rsidR="005B5953" w:rsidRPr="005B12AE" w:rsidRDefault="005B5953"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lastRenderedPageBreak/>
              <w:t xml:space="preserve">   Statutory &amp; Tax Audit Fees </w:t>
            </w:r>
          </w:p>
        </w:tc>
        <w:tc>
          <w:tcPr>
            <w:tcW w:w="732" w:type="pct"/>
            <w:shd w:val="clear" w:color="auto" w:fill="auto"/>
            <w:noWrap/>
            <w:vAlign w:val="bottom"/>
            <w:hideMark/>
          </w:tcPr>
          <w:p w14:paraId="641B64AB"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8.80</w:t>
            </w:r>
          </w:p>
        </w:tc>
        <w:tc>
          <w:tcPr>
            <w:tcW w:w="688" w:type="pct"/>
            <w:shd w:val="clear" w:color="auto" w:fill="auto"/>
            <w:noWrap/>
            <w:vAlign w:val="bottom"/>
            <w:hideMark/>
          </w:tcPr>
          <w:p w14:paraId="09F1E03F"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4.30</w:t>
            </w:r>
          </w:p>
        </w:tc>
        <w:tc>
          <w:tcPr>
            <w:tcW w:w="656" w:type="pct"/>
            <w:shd w:val="clear" w:color="auto" w:fill="auto"/>
            <w:noWrap/>
            <w:vAlign w:val="bottom"/>
            <w:hideMark/>
          </w:tcPr>
          <w:p w14:paraId="1F34887C"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2.50</w:t>
            </w:r>
          </w:p>
        </w:tc>
      </w:tr>
      <w:tr w:rsidR="005B5953" w:rsidRPr="005B12AE" w14:paraId="3545CDD3" w14:textId="77777777" w:rsidTr="0021246C">
        <w:trPr>
          <w:trHeight w:val="225"/>
        </w:trPr>
        <w:tc>
          <w:tcPr>
            <w:tcW w:w="2924" w:type="pct"/>
            <w:shd w:val="clear" w:color="auto" w:fill="auto"/>
            <w:noWrap/>
            <w:vAlign w:val="bottom"/>
            <w:hideMark/>
          </w:tcPr>
          <w:p w14:paraId="5F4CE2E1" w14:textId="77777777" w:rsidR="005B5953" w:rsidRPr="005B12AE" w:rsidRDefault="005B5953" w:rsidP="00250DAC">
            <w:pPr>
              <w:spacing w:after="0" w:line="240" w:lineRule="auto"/>
              <w:rPr>
                <w:rFonts w:ascii="Times New Roman" w:hAnsi="Times New Roman"/>
                <w:b/>
                <w:bCs/>
                <w:color w:val="000000"/>
                <w:sz w:val="20"/>
                <w:szCs w:val="20"/>
              </w:rPr>
            </w:pPr>
            <w:r w:rsidRPr="005B12AE">
              <w:rPr>
                <w:rFonts w:ascii="Times New Roman" w:hAnsi="Times New Roman"/>
                <w:b/>
                <w:bCs/>
                <w:color w:val="000000"/>
                <w:sz w:val="20"/>
                <w:szCs w:val="20"/>
              </w:rPr>
              <w:t>Total</w:t>
            </w:r>
          </w:p>
        </w:tc>
        <w:tc>
          <w:tcPr>
            <w:tcW w:w="732" w:type="pct"/>
            <w:shd w:val="clear" w:color="auto" w:fill="auto"/>
            <w:noWrap/>
            <w:vAlign w:val="bottom"/>
            <w:hideMark/>
          </w:tcPr>
          <w:p w14:paraId="23A8B492"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8.80</w:t>
            </w:r>
          </w:p>
        </w:tc>
        <w:tc>
          <w:tcPr>
            <w:tcW w:w="688" w:type="pct"/>
            <w:shd w:val="clear" w:color="auto" w:fill="auto"/>
            <w:noWrap/>
            <w:vAlign w:val="bottom"/>
            <w:hideMark/>
          </w:tcPr>
          <w:p w14:paraId="1A240EEC"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4.30</w:t>
            </w:r>
          </w:p>
        </w:tc>
        <w:tc>
          <w:tcPr>
            <w:tcW w:w="656" w:type="pct"/>
            <w:shd w:val="clear" w:color="auto" w:fill="auto"/>
            <w:noWrap/>
            <w:vAlign w:val="bottom"/>
            <w:hideMark/>
          </w:tcPr>
          <w:p w14:paraId="745D2AF4"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2.50</w:t>
            </w:r>
          </w:p>
        </w:tc>
      </w:tr>
    </w:tbl>
    <w:p w14:paraId="51F5E2CE" w14:textId="77777777" w:rsidR="005B5953" w:rsidRPr="005B12AE" w:rsidRDefault="005B5953" w:rsidP="005B5953">
      <w:pPr>
        <w:pStyle w:val="NoSpacing"/>
        <w:spacing w:line="240" w:lineRule="auto"/>
        <w:jc w:val="both"/>
      </w:pPr>
    </w:p>
    <w:p w14:paraId="0111FB53" w14:textId="77777777" w:rsidR="005B5953" w:rsidRPr="005B12AE" w:rsidRDefault="005B5953">
      <w:pPr>
        <w:pStyle w:val="NoSpacing"/>
        <w:numPr>
          <w:ilvl w:val="1"/>
          <w:numId w:val="334"/>
        </w:numPr>
        <w:spacing w:line="240" w:lineRule="auto"/>
        <w:ind w:left="360"/>
        <w:jc w:val="both"/>
        <w:rPr>
          <w:b/>
        </w:rPr>
      </w:pPr>
      <w:r w:rsidRPr="005B12AE">
        <w:rPr>
          <w:b/>
        </w:rPr>
        <w:t>Earnings per Share:</w:t>
      </w:r>
    </w:p>
    <w:p w14:paraId="29E3443E" w14:textId="77777777" w:rsidR="005B5953" w:rsidRPr="005B12AE" w:rsidRDefault="005B5953" w:rsidP="005B5953">
      <w:pPr>
        <w:spacing w:after="0"/>
        <w:jc w:val="right"/>
        <w:rPr>
          <w:rFonts w:ascii="Times New Roman" w:hAnsi="Times New Roman"/>
          <w:b/>
          <w:bCs/>
          <w:sz w:val="20"/>
          <w:szCs w:val="20"/>
        </w:rPr>
      </w:pPr>
      <w:r w:rsidRPr="005B12AE">
        <w:rPr>
          <w:rFonts w:ascii="Times New Roman" w:hAnsi="Times New Roman"/>
          <w:b/>
          <w:sz w:val="20"/>
          <w:szCs w:val="20"/>
        </w:rPr>
        <w:t xml:space="preserve">(Amt. </w:t>
      </w:r>
      <w:r w:rsidRPr="005B12AE">
        <w:rPr>
          <w:rFonts w:ascii="Times New Roman" w:hAnsi="Times New Roman"/>
          <w:b/>
          <w:bCs/>
          <w:sz w:val="20"/>
          <w:szCs w:val="20"/>
        </w:rPr>
        <w:t>₹ in Lakhs</w:t>
      </w:r>
      <w:r w:rsidRPr="005B12AE">
        <w:rPr>
          <w:rFonts w:ascii="Times New Roman" w:hAnsi="Times New Roman"/>
          <w:b/>
          <w:sz w:val="20"/>
          <w:szCs w:val="20"/>
        </w:rPr>
        <w:t>, except EPS)</w:t>
      </w:r>
    </w:p>
    <w:tbl>
      <w:tblPr>
        <w:tblW w:w="5000" w:type="pct"/>
        <w:tblLook w:val="04A0" w:firstRow="1" w:lastRow="0" w:firstColumn="1" w:lastColumn="0" w:noHBand="0" w:noVBand="1"/>
      </w:tblPr>
      <w:tblGrid>
        <w:gridCol w:w="6184"/>
        <w:gridCol w:w="1547"/>
        <w:gridCol w:w="1458"/>
        <w:gridCol w:w="1267"/>
      </w:tblGrid>
      <w:tr w:rsidR="005B5953" w:rsidRPr="005B12AE" w14:paraId="6F5BB5F6" w14:textId="77777777" w:rsidTr="00250DAC">
        <w:trPr>
          <w:trHeight w:val="20"/>
        </w:trPr>
        <w:tc>
          <w:tcPr>
            <w:tcW w:w="2957" w:type="pct"/>
            <w:vMerge w:val="restart"/>
            <w:tcBorders>
              <w:top w:val="single" w:sz="4" w:space="0" w:color="auto"/>
              <w:left w:val="single" w:sz="4" w:space="0" w:color="auto"/>
              <w:bottom w:val="single" w:sz="4" w:space="0" w:color="000000"/>
              <w:right w:val="single" w:sz="4" w:space="0" w:color="auto"/>
            </w:tcBorders>
            <w:shd w:val="clear" w:color="auto" w:fill="D0CECE" w:themeFill="background2" w:themeFillShade="E6"/>
            <w:vAlign w:val="center"/>
            <w:hideMark/>
          </w:tcPr>
          <w:p w14:paraId="0EBDD4FF" w14:textId="77777777" w:rsidR="005B5953" w:rsidRPr="005B12AE" w:rsidRDefault="005B5953" w:rsidP="00250DAC">
            <w:pPr>
              <w:spacing w:after="0" w:line="240" w:lineRule="auto"/>
              <w:jc w:val="center"/>
              <w:rPr>
                <w:rFonts w:ascii="Times New Roman" w:hAnsi="Times New Roman"/>
                <w:b/>
                <w:bCs/>
                <w:color w:val="000000"/>
                <w:sz w:val="20"/>
                <w:szCs w:val="20"/>
                <w:lang w:val="en-IN" w:eastAsia="en-IN" w:bidi="mr-IN"/>
              </w:rPr>
            </w:pPr>
            <w:r w:rsidRPr="005B12AE">
              <w:rPr>
                <w:rFonts w:ascii="Times New Roman" w:hAnsi="Times New Roman"/>
                <w:b/>
                <w:bCs/>
                <w:color w:val="000000"/>
                <w:sz w:val="20"/>
                <w:szCs w:val="20"/>
                <w:lang w:val="en-IN" w:eastAsia="en-IN" w:bidi="mr-IN"/>
              </w:rPr>
              <w:t>Particulars</w:t>
            </w:r>
          </w:p>
        </w:tc>
        <w:tc>
          <w:tcPr>
            <w:tcW w:w="2043" w:type="pct"/>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3A0EAC8" w14:textId="77777777" w:rsidR="005B5953" w:rsidRPr="005B12AE" w:rsidRDefault="005B5953" w:rsidP="00250DAC">
            <w:pPr>
              <w:spacing w:after="0" w:line="240" w:lineRule="auto"/>
              <w:jc w:val="center"/>
              <w:rPr>
                <w:rFonts w:ascii="Times New Roman" w:hAnsi="Times New Roman"/>
                <w:b/>
                <w:bCs/>
                <w:color w:val="000000"/>
                <w:sz w:val="20"/>
                <w:szCs w:val="20"/>
                <w:lang w:val="en-IN" w:eastAsia="en-IN" w:bidi="mr-IN"/>
              </w:rPr>
            </w:pPr>
            <w:r w:rsidRPr="005B12AE">
              <w:rPr>
                <w:rFonts w:ascii="Times New Roman" w:hAnsi="Times New Roman"/>
                <w:b/>
                <w:bCs/>
                <w:color w:val="000000"/>
                <w:sz w:val="20"/>
                <w:szCs w:val="20"/>
                <w:lang w:val="en-IN" w:eastAsia="en-IN" w:bidi="mr-IN"/>
              </w:rPr>
              <w:t>For the Year Ended</w:t>
            </w:r>
          </w:p>
        </w:tc>
      </w:tr>
      <w:tr w:rsidR="005B5953" w:rsidRPr="005B12AE" w14:paraId="18E9EA83" w14:textId="77777777" w:rsidTr="00250DAC">
        <w:trPr>
          <w:trHeight w:val="20"/>
        </w:trPr>
        <w:tc>
          <w:tcPr>
            <w:tcW w:w="2957" w:type="pct"/>
            <w:vMerge/>
            <w:tcBorders>
              <w:top w:val="single" w:sz="4" w:space="0" w:color="auto"/>
              <w:left w:val="single" w:sz="4" w:space="0" w:color="auto"/>
              <w:bottom w:val="single" w:sz="4" w:space="0" w:color="000000"/>
              <w:right w:val="single" w:sz="4" w:space="0" w:color="auto"/>
            </w:tcBorders>
            <w:shd w:val="clear" w:color="auto" w:fill="D0CECE" w:themeFill="background2" w:themeFillShade="E6"/>
            <w:vAlign w:val="center"/>
            <w:hideMark/>
          </w:tcPr>
          <w:p w14:paraId="2C608283" w14:textId="77777777" w:rsidR="005B5953" w:rsidRPr="005B12AE" w:rsidRDefault="005B5953" w:rsidP="00250DAC">
            <w:pPr>
              <w:spacing w:after="0" w:line="240" w:lineRule="auto"/>
              <w:jc w:val="center"/>
              <w:rPr>
                <w:rFonts w:ascii="Times New Roman" w:hAnsi="Times New Roman"/>
                <w:b/>
                <w:bCs/>
                <w:color w:val="000000"/>
                <w:sz w:val="20"/>
                <w:szCs w:val="20"/>
                <w:lang w:val="en-IN" w:eastAsia="en-IN" w:bidi="mr-IN"/>
              </w:rPr>
            </w:pPr>
          </w:p>
        </w:tc>
        <w:tc>
          <w:tcPr>
            <w:tcW w:w="740" w:type="pct"/>
            <w:tcBorders>
              <w:top w:val="nil"/>
              <w:left w:val="single" w:sz="4" w:space="0" w:color="auto"/>
              <w:bottom w:val="single" w:sz="4" w:space="0" w:color="auto"/>
              <w:right w:val="single" w:sz="4" w:space="0" w:color="auto"/>
            </w:tcBorders>
            <w:shd w:val="clear" w:color="auto" w:fill="D0CECE" w:themeFill="background2" w:themeFillShade="E6"/>
            <w:hideMark/>
          </w:tcPr>
          <w:p w14:paraId="0D7B9942"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2022-23</w:t>
            </w:r>
          </w:p>
        </w:tc>
        <w:tc>
          <w:tcPr>
            <w:tcW w:w="697" w:type="pct"/>
            <w:tcBorders>
              <w:top w:val="nil"/>
              <w:left w:val="nil"/>
              <w:bottom w:val="single" w:sz="4" w:space="0" w:color="auto"/>
              <w:right w:val="single" w:sz="4" w:space="0" w:color="auto"/>
            </w:tcBorders>
            <w:shd w:val="clear" w:color="auto" w:fill="D0CECE" w:themeFill="background2" w:themeFillShade="E6"/>
            <w:hideMark/>
          </w:tcPr>
          <w:p w14:paraId="59B33F42"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2021-22</w:t>
            </w:r>
          </w:p>
        </w:tc>
        <w:tc>
          <w:tcPr>
            <w:tcW w:w="606" w:type="pct"/>
            <w:tcBorders>
              <w:top w:val="nil"/>
              <w:left w:val="nil"/>
              <w:bottom w:val="single" w:sz="4" w:space="0" w:color="auto"/>
              <w:right w:val="single" w:sz="4" w:space="0" w:color="auto"/>
            </w:tcBorders>
            <w:shd w:val="clear" w:color="auto" w:fill="D0CECE" w:themeFill="background2" w:themeFillShade="E6"/>
            <w:hideMark/>
          </w:tcPr>
          <w:p w14:paraId="4C8EAF5A"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2020-21</w:t>
            </w:r>
          </w:p>
        </w:tc>
      </w:tr>
      <w:tr w:rsidR="005B5953" w:rsidRPr="005B12AE" w14:paraId="66B92A9E" w14:textId="77777777" w:rsidTr="00250DAC">
        <w:trPr>
          <w:trHeight w:val="20"/>
        </w:trPr>
        <w:tc>
          <w:tcPr>
            <w:tcW w:w="2957" w:type="pct"/>
            <w:tcBorders>
              <w:top w:val="nil"/>
              <w:left w:val="single" w:sz="4" w:space="0" w:color="auto"/>
              <w:bottom w:val="single" w:sz="4" w:space="0" w:color="auto"/>
              <w:right w:val="single" w:sz="4" w:space="0" w:color="auto"/>
            </w:tcBorders>
            <w:shd w:val="clear" w:color="auto" w:fill="auto"/>
            <w:hideMark/>
          </w:tcPr>
          <w:p w14:paraId="60D65CC2" w14:textId="4004FC03" w:rsidR="005B5953" w:rsidRPr="005B12AE" w:rsidRDefault="005B5953" w:rsidP="00250DAC">
            <w:pPr>
              <w:spacing w:after="0" w:line="240" w:lineRule="auto"/>
              <w:jc w:val="both"/>
              <w:rPr>
                <w:rFonts w:ascii="Times New Roman" w:hAnsi="Times New Roman"/>
                <w:color w:val="000000"/>
                <w:sz w:val="20"/>
                <w:szCs w:val="20"/>
              </w:rPr>
            </w:pPr>
            <w:r w:rsidRPr="005B12AE">
              <w:rPr>
                <w:rFonts w:ascii="Times New Roman" w:hAnsi="Times New Roman"/>
                <w:color w:val="000000"/>
                <w:sz w:val="20"/>
                <w:szCs w:val="20"/>
              </w:rPr>
              <w:t xml:space="preserve">A. Total Number of equity shares outstanding at the end of the year (in </w:t>
            </w:r>
            <w:r w:rsidR="000D712C">
              <w:rPr>
                <w:rFonts w:ascii="Times New Roman" w:hAnsi="Times New Roman"/>
                <w:color w:val="000000"/>
                <w:sz w:val="20"/>
                <w:szCs w:val="20"/>
              </w:rPr>
              <w:t>lakhs</w:t>
            </w:r>
            <w:r w:rsidRPr="005B12AE">
              <w:rPr>
                <w:rFonts w:ascii="Times New Roman" w:hAnsi="Times New Roman"/>
                <w:color w:val="000000"/>
                <w:sz w:val="20"/>
                <w:szCs w:val="20"/>
              </w:rPr>
              <w:t>)</w:t>
            </w:r>
          </w:p>
        </w:tc>
        <w:tc>
          <w:tcPr>
            <w:tcW w:w="740" w:type="pct"/>
            <w:tcBorders>
              <w:top w:val="nil"/>
              <w:left w:val="single" w:sz="4" w:space="0" w:color="auto"/>
              <w:bottom w:val="single" w:sz="4" w:space="0" w:color="auto"/>
              <w:right w:val="single" w:sz="4" w:space="0" w:color="auto"/>
            </w:tcBorders>
            <w:shd w:val="clear" w:color="auto" w:fill="auto"/>
            <w:vAlign w:val="center"/>
            <w:hideMark/>
          </w:tcPr>
          <w:p w14:paraId="1AB16F0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138.06</w:t>
            </w:r>
          </w:p>
        </w:tc>
        <w:tc>
          <w:tcPr>
            <w:tcW w:w="697" w:type="pct"/>
            <w:tcBorders>
              <w:top w:val="nil"/>
              <w:left w:val="nil"/>
              <w:bottom w:val="single" w:sz="4" w:space="0" w:color="auto"/>
              <w:right w:val="single" w:sz="4" w:space="0" w:color="auto"/>
            </w:tcBorders>
            <w:shd w:val="clear" w:color="auto" w:fill="auto"/>
            <w:vAlign w:val="center"/>
            <w:hideMark/>
          </w:tcPr>
          <w:p w14:paraId="23FCE5E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color w:val="000000"/>
                <w:sz w:val="20"/>
                <w:szCs w:val="20"/>
              </w:rPr>
              <w:t>138.06</w:t>
            </w:r>
          </w:p>
        </w:tc>
        <w:tc>
          <w:tcPr>
            <w:tcW w:w="606" w:type="pct"/>
            <w:tcBorders>
              <w:top w:val="nil"/>
              <w:left w:val="nil"/>
              <w:bottom w:val="single" w:sz="4" w:space="0" w:color="auto"/>
              <w:right w:val="single" w:sz="4" w:space="0" w:color="auto"/>
            </w:tcBorders>
            <w:shd w:val="clear" w:color="auto" w:fill="auto"/>
            <w:vAlign w:val="center"/>
            <w:hideMark/>
          </w:tcPr>
          <w:p w14:paraId="380D065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color w:val="000000"/>
                <w:sz w:val="20"/>
                <w:szCs w:val="20"/>
              </w:rPr>
              <w:t>138.06</w:t>
            </w:r>
          </w:p>
        </w:tc>
      </w:tr>
      <w:tr w:rsidR="005B5953" w:rsidRPr="005B12AE" w14:paraId="3334A42F" w14:textId="77777777" w:rsidTr="00250DAC">
        <w:trPr>
          <w:trHeight w:val="20"/>
        </w:trPr>
        <w:tc>
          <w:tcPr>
            <w:tcW w:w="2957" w:type="pct"/>
            <w:tcBorders>
              <w:top w:val="nil"/>
              <w:left w:val="single" w:sz="4" w:space="0" w:color="auto"/>
              <w:bottom w:val="single" w:sz="4" w:space="0" w:color="auto"/>
              <w:right w:val="single" w:sz="4" w:space="0" w:color="auto"/>
            </w:tcBorders>
            <w:shd w:val="clear" w:color="auto" w:fill="auto"/>
            <w:hideMark/>
          </w:tcPr>
          <w:p w14:paraId="68A4E8A1" w14:textId="674DB6D5" w:rsidR="005B5953" w:rsidRPr="005B12AE" w:rsidRDefault="005B5953" w:rsidP="00250DAC">
            <w:pPr>
              <w:spacing w:after="0" w:line="240" w:lineRule="auto"/>
              <w:jc w:val="both"/>
              <w:rPr>
                <w:rFonts w:ascii="Times New Roman" w:hAnsi="Times New Roman"/>
                <w:color w:val="000000"/>
                <w:sz w:val="20"/>
                <w:szCs w:val="20"/>
              </w:rPr>
            </w:pPr>
            <w:r w:rsidRPr="005B12AE">
              <w:rPr>
                <w:rFonts w:ascii="Times New Roman" w:hAnsi="Times New Roman"/>
                <w:color w:val="000000"/>
                <w:sz w:val="20"/>
                <w:szCs w:val="20"/>
              </w:rPr>
              <w:t xml:space="preserve">B. Weighted average number of equity shares outstanding during the year (in </w:t>
            </w:r>
            <w:r w:rsidR="000D712C">
              <w:rPr>
                <w:rFonts w:ascii="Times New Roman" w:hAnsi="Times New Roman"/>
                <w:color w:val="000000"/>
                <w:sz w:val="20"/>
                <w:szCs w:val="20"/>
              </w:rPr>
              <w:t>lakhs</w:t>
            </w:r>
            <w:r w:rsidRPr="005B12AE">
              <w:rPr>
                <w:rFonts w:ascii="Times New Roman" w:hAnsi="Times New Roman"/>
                <w:color w:val="000000"/>
                <w:sz w:val="20"/>
                <w:szCs w:val="20"/>
              </w:rPr>
              <w:t>)</w:t>
            </w:r>
          </w:p>
        </w:tc>
        <w:tc>
          <w:tcPr>
            <w:tcW w:w="740" w:type="pct"/>
            <w:tcBorders>
              <w:top w:val="nil"/>
              <w:left w:val="single" w:sz="4" w:space="0" w:color="auto"/>
              <w:bottom w:val="single" w:sz="4" w:space="0" w:color="auto"/>
              <w:right w:val="single" w:sz="4" w:space="0" w:color="auto"/>
            </w:tcBorders>
            <w:shd w:val="clear" w:color="auto" w:fill="auto"/>
            <w:vAlign w:val="center"/>
            <w:hideMark/>
          </w:tcPr>
          <w:p w14:paraId="197D64A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138.06</w:t>
            </w:r>
          </w:p>
        </w:tc>
        <w:tc>
          <w:tcPr>
            <w:tcW w:w="697" w:type="pct"/>
            <w:tcBorders>
              <w:top w:val="nil"/>
              <w:left w:val="nil"/>
              <w:bottom w:val="single" w:sz="4" w:space="0" w:color="auto"/>
              <w:right w:val="single" w:sz="4" w:space="0" w:color="auto"/>
            </w:tcBorders>
            <w:shd w:val="clear" w:color="auto" w:fill="auto"/>
            <w:vAlign w:val="center"/>
            <w:hideMark/>
          </w:tcPr>
          <w:p w14:paraId="7A8AE6F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color w:val="000000"/>
                <w:sz w:val="20"/>
                <w:szCs w:val="20"/>
              </w:rPr>
              <w:t>138.06</w:t>
            </w:r>
          </w:p>
        </w:tc>
        <w:tc>
          <w:tcPr>
            <w:tcW w:w="606" w:type="pct"/>
            <w:tcBorders>
              <w:top w:val="nil"/>
              <w:left w:val="nil"/>
              <w:bottom w:val="single" w:sz="4" w:space="0" w:color="auto"/>
              <w:right w:val="single" w:sz="4" w:space="0" w:color="auto"/>
            </w:tcBorders>
            <w:shd w:val="clear" w:color="auto" w:fill="auto"/>
            <w:vAlign w:val="center"/>
            <w:hideMark/>
          </w:tcPr>
          <w:p w14:paraId="3DCB16C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color w:val="000000"/>
                <w:sz w:val="20"/>
                <w:szCs w:val="20"/>
              </w:rPr>
              <w:t>138.06</w:t>
            </w:r>
          </w:p>
        </w:tc>
      </w:tr>
      <w:tr w:rsidR="005B5953" w:rsidRPr="005B12AE" w14:paraId="3F95BD91" w14:textId="77777777" w:rsidTr="00250DAC">
        <w:trPr>
          <w:trHeight w:val="20"/>
        </w:trPr>
        <w:tc>
          <w:tcPr>
            <w:tcW w:w="2957" w:type="pct"/>
            <w:tcBorders>
              <w:top w:val="nil"/>
              <w:left w:val="single" w:sz="4" w:space="0" w:color="auto"/>
              <w:bottom w:val="single" w:sz="4" w:space="0" w:color="auto"/>
              <w:right w:val="single" w:sz="4" w:space="0" w:color="auto"/>
            </w:tcBorders>
            <w:shd w:val="clear" w:color="auto" w:fill="auto"/>
            <w:hideMark/>
          </w:tcPr>
          <w:p w14:paraId="058B7027" w14:textId="77777777" w:rsidR="005B5953" w:rsidRPr="005B12AE" w:rsidRDefault="005B5953" w:rsidP="00250DAC">
            <w:pPr>
              <w:spacing w:after="0" w:line="240" w:lineRule="auto"/>
              <w:jc w:val="both"/>
              <w:rPr>
                <w:rFonts w:ascii="Times New Roman" w:hAnsi="Times New Roman"/>
                <w:color w:val="000000"/>
                <w:sz w:val="20"/>
                <w:szCs w:val="20"/>
              </w:rPr>
            </w:pPr>
            <w:r w:rsidRPr="005B12AE">
              <w:rPr>
                <w:rFonts w:ascii="Times New Roman" w:hAnsi="Times New Roman"/>
                <w:color w:val="000000"/>
                <w:sz w:val="20"/>
                <w:szCs w:val="20"/>
              </w:rPr>
              <w:t xml:space="preserve">C. Net profit after tax available for equity shareholders </w:t>
            </w:r>
            <w:r w:rsidRPr="005B12AE">
              <w:rPr>
                <w:rFonts w:ascii="Times New Roman" w:hAnsi="Times New Roman"/>
                <w:bCs/>
                <w:color w:val="000000"/>
                <w:sz w:val="20"/>
                <w:szCs w:val="20"/>
              </w:rPr>
              <w:t xml:space="preserve">(excluding exceptional and extraordinary items) </w:t>
            </w:r>
            <w:r w:rsidRPr="005B12AE">
              <w:rPr>
                <w:rFonts w:ascii="Times New Roman" w:hAnsi="Times New Roman"/>
                <w:color w:val="000000"/>
                <w:sz w:val="20"/>
                <w:szCs w:val="20"/>
              </w:rPr>
              <w:t>(as restated)</w:t>
            </w:r>
          </w:p>
        </w:tc>
        <w:tc>
          <w:tcPr>
            <w:tcW w:w="740" w:type="pct"/>
            <w:tcBorders>
              <w:top w:val="nil"/>
              <w:left w:val="single" w:sz="4" w:space="0" w:color="auto"/>
              <w:bottom w:val="single" w:sz="4" w:space="0" w:color="auto"/>
              <w:right w:val="single" w:sz="4" w:space="0" w:color="auto"/>
            </w:tcBorders>
            <w:shd w:val="clear" w:color="auto" w:fill="auto"/>
            <w:vAlign w:val="center"/>
            <w:hideMark/>
          </w:tcPr>
          <w:p w14:paraId="515A29C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765.42</w:t>
            </w:r>
          </w:p>
        </w:tc>
        <w:tc>
          <w:tcPr>
            <w:tcW w:w="697" w:type="pct"/>
            <w:tcBorders>
              <w:top w:val="nil"/>
              <w:left w:val="nil"/>
              <w:bottom w:val="single" w:sz="4" w:space="0" w:color="auto"/>
              <w:right w:val="single" w:sz="4" w:space="0" w:color="auto"/>
            </w:tcBorders>
            <w:shd w:val="clear" w:color="auto" w:fill="auto"/>
            <w:vAlign w:val="center"/>
            <w:hideMark/>
          </w:tcPr>
          <w:p w14:paraId="0B02D96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322.47</w:t>
            </w:r>
          </w:p>
        </w:tc>
        <w:tc>
          <w:tcPr>
            <w:tcW w:w="606" w:type="pct"/>
            <w:tcBorders>
              <w:top w:val="nil"/>
              <w:left w:val="nil"/>
              <w:bottom w:val="single" w:sz="4" w:space="0" w:color="auto"/>
              <w:right w:val="single" w:sz="4" w:space="0" w:color="auto"/>
            </w:tcBorders>
            <w:shd w:val="clear" w:color="auto" w:fill="auto"/>
            <w:vAlign w:val="center"/>
            <w:hideMark/>
          </w:tcPr>
          <w:p w14:paraId="075AC07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142.28</w:t>
            </w:r>
          </w:p>
        </w:tc>
      </w:tr>
      <w:tr w:rsidR="005B5953" w:rsidRPr="005B12AE" w14:paraId="4B1CDB76" w14:textId="77777777" w:rsidTr="00250DAC">
        <w:trPr>
          <w:trHeight w:val="20"/>
        </w:trPr>
        <w:tc>
          <w:tcPr>
            <w:tcW w:w="2957" w:type="pct"/>
            <w:tcBorders>
              <w:top w:val="nil"/>
              <w:left w:val="single" w:sz="4" w:space="0" w:color="auto"/>
              <w:bottom w:val="single" w:sz="4" w:space="0" w:color="auto"/>
              <w:right w:val="single" w:sz="4" w:space="0" w:color="auto"/>
            </w:tcBorders>
            <w:shd w:val="clear" w:color="auto" w:fill="auto"/>
            <w:hideMark/>
          </w:tcPr>
          <w:p w14:paraId="6E962995" w14:textId="77777777" w:rsidR="005B5953" w:rsidRPr="005B12AE" w:rsidRDefault="005B5953" w:rsidP="00250DAC">
            <w:pPr>
              <w:spacing w:after="0" w:line="240" w:lineRule="auto"/>
              <w:jc w:val="both"/>
              <w:rPr>
                <w:rFonts w:ascii="Times New Roman" w:hAnsi="Times New Roman"/>
                <w:color w:val="000000"/>
                <w:sz w:val="20"/>
                <w:szCs w:val="20"/>
              </w:rPr>
            </w:pPr>
            <w:r w:rsidRPr="005B12AE">
              <w:rPr>
                <w:rFonts w:ascii="Times New Roman" w:hAnsi="Times New Roman"/>
                <w:color w:val="000000"/>
                <w:sz w:val="20"/>
                <w:szCs w:val="20"/>
              </w:rPr>
              <w:t>D. Basic and Diluted earnings per share (₹)</w:t>
            </w:r>
          </w:p>
        </w:tc>
        <w:tc>
          <w:tcPr>
            <w:tcW w:w="740" w:type="pct"/>
            <w:tcBorders>
              <w:top w:val="nil"/>
              <w:left w:val="single" w:sz="4" w:space="0" w:color="auto"/>
              <w:bottom w:val="single" w:sz="4" w:space="0" w:color="auto"/>
              <w:right w:val="single" w:sz="4" w:space="0" w:color="auto"/>
            </w:tcBorders>
            <w:shd w:val="clear" w:color="auto" w:fill="auto"/>
            <w:hideMark/>
          </w:tcPr>
          <w:p w14:paraId="11C62507" w14:textId="77777777" w:rsidR="005B5953" w:rsidRPr="005B12AE" w:rsidRDefault="005B5953" w:rsidP="00250DAC">
            <w:pPr>
              <w:spacing w:after="0" w:line="240" w:lineRule="auto"/>
              <w:jc w:val="center"/>
              <w:rPr>
                <w:rFonts w:ascii="Times New Roman" w:hAnsi="Times New Roman"/>
                <w:b/>
                <w:bCs/>
                <w:sz w:val="20"/>
                <w:szCs w:val="20"/>
                <w:highlight w:val="yellow"/>
              </w:rPr>
            </w:pPr>
            <w:r w:rsidRPr="005B12AE">
              <w:rPr>
                <w:rFonts w:ascii="Times New Roman" w:hAnsi="Times New Roman"/>
                <w:b/>
                <w:bCs/>
                <w:sz w:val="20"/>
                <w:szCs w:val="20"/>
              </w:rPr>
              <w:t xml:space="preserve"> 5.54</w:t>
            </w:r>
          </w:p>
        </w:tc>
        <w:tc>
          <w:tcPr>
            <w:tcW w:w="697" w:type="pct"/>
            <w:tcBorders>
              <w:top w:val="nil"/>
              <w:left w:val="nil"/>
              <w:bottom w:val="single" w:sz="4" w:space="0" w:color="auto"/>
              <w:right w:val="single" w:sz="4" w:space="0" w:color="auto"/>
            </w:tcBorders>
            <w:shd w:val="clear" w:color="auto" w:fill="auto"/>
            <w:hideMark/>
          </w:tcPr>
          <w:p w14:paraId="79874698" w14:textId="77777777" w:rsidR="005B5953" w:rsidRPr="005B12AE" w:rsidRDefault="005B5953" w:rsidP="00250DAC">
            <w:pPr>
              <w:spacing w:after="0" w:line="240" w:lineRule="auto"/>
              <w:jc w:val="center"/>
              <w:rPr>
                <w:rFonts w:ascii="Times New Roman" w:hAnsi="Times New Roman"/>
                <w:b/>
                <w:bCs/>
                <w:sz w:val="20"/>
                <w:szCs w:val="20"/>
                <w:highlight w:val="yellow"/>
              </w:rPr>
            </w:pPr>
            <w:r w:rsidRPr="005B12AE">
              <w:rPr>
                <w:rFonts w:ascii="Times New Roman" w:hAnsi="Times New Roman"/>
                <w:b/>
                <w:bCs/>
                <w:sz w:val="20"/>
                <w:szCs w:val="20"/>
              </w:rPr>
              <w:t>2.34</w:t>
            </w:r>
          </w:p>
        </w:tc>
        <w:tc>
          <w:tcPr>
            <w:tcW w:w="606" w:type="pct"/>
            <w:tcBorders>
              <w:top w:val="nil"/>
              <w:left w:val="nil"/>
              <w:bottom w:val="single" w:sz="4" w:space="0" w:color="auto"/>
              <w:right w:val="single" w:sz="4" w:space="0" w:color="auto"/>
            </w:tcBorders>
            <w:shd w:val="clear" w:color="auto" w:fill="auto"/>
            <w:hideMark/>
          </w:tcPr>
          <w:p w14:paraId="55AC393E" w14:textId="77777777" w:rsidR="005B5953" w:rsidRPr="005B12AE" w:rsidRDefault="005B5953" w:rsidP="00250DAC">
            <w:pPr>
              <w:spacing w:after="0" w:line="240" w:lineRule="auto"/>
              <w:jc w:val="center"/>
              <w:rPr>
                <w:rFonts w:ascii="Times New Roman" w:hAnsi="Times New Roman"/>
                <w:b/>
                <w:bCs/>
                <w:sz w:val="20"/>
                <w:szCs w:val="20"/>
                <w:highlight w:val="yellow"/>
              </w:rPr>
            </w:pPr>
            <w:r w:rsidRPr="005B12AE">
              <w:rPr>
                <w:rFonts w:ascii="Times New Roman" w:hAnsi="Times New Roman"/>
                <w:b/>
                <w:bCs/>
                <w:sz w:val="20"/>
                <w:szCs w:val="20"/>
              </w:rPr>
              <w:t>1.03</w:t>
            </w:r>
          </w:p>
        </w:tc>
      </w:tr>
    </w:tbl>
    <w:p w14:paraId="2D1C12D6" w14:textId="77777777" w:rsidR="005B5953" w:rsidRPr="005B12AE" w:rsidRDefault="005B5953" w:rsidP="005B5953">
      <w:pPr>
        <w:pStyle w:val="NoSpacing"/>
        <w:spacing w:line="276" w:lineRule="auto"/>
        <w:rPr>
          <w:b/>
        </w:rPr>
      </w:pPr>
    </w:p>
    <w:p w14:paraId="290B74D5" w14:textId="77777777" w:rsidR="005B5953" w:rsidRPr="005B12AE" w:rsidRDefault="005B5953">
      <w:pPr>
        <w:pStyle w:val="NoSpacing"/>
        <w:numPr>
          <w:ilvl w:val="1"/>
          <w:numId w:val="334"/>
        </w:numPr>
        <w:spacing w:line="240" w:lineRule="auto"/>
        <w:ind w:left="360"/>
        <w:jc w:val="both"/>
        <w:rPr>
          <w:bCs/>
        </w:rPr>
      </w:pPr>
      <w:r w:rsidRPr="005B12AE">
        <w:rPr>
          <w:bCs/>
        </w:rPr>
        <w:t>Figures have been rearranged and regrouped wherever practicable and considered necessary.</w:t>
      </w:r>
    </w:p>
    <w:p w14:paraId="378DE818" w14:textId="77777777" w:rsidR="005B5953" w:rsidRPr="005B12AE" w:rsidRDefault="005B5953" w:rsidP="005B5953">
      <w:pPr>
        <w:pStyle w:val="NoSpacing"/>
        <w:spacing w:line="240" w:lineRule="auto"/>
        <w:ind w:left="360"/>
        <w:jc w:val="both"/>
        <w:rPr>
          <w:bCs/>
        </w:rPr>
      </w:pPr>
    </w:p>
    <w:p w14:paraId="5A0DBCF4" w14:textId="77777777" w:rsidR="005B5953" w:rsidRPr="005B12AE" w:rsidRDefault="005B5953">
      <w:pPr>
        <w:pStyle w:val="NoSpacing"/>
        <w:numPr>
          <w:ilvl w:val="1"/>
          <w:numId w:val="334"/>
        </w:numPr>
        <w:spacing w:line="240" w:lineRule="auto"/>
        <w:ind w:left="360"/>
        <w:jc w:val="both"/>
        <w:rPr>
          <w:bCs/>
        </w:rPr>
      </w:pPr>
      <w:r w:rsidRPr="005B12AE">
        <w:rPr>
          <w:bCs/>
        </w:rPr>
        <w:t>The management has confirmed that adequate provisions have been made for all the known and determined liabilities and the same is not in excess of the amounts reasonably required to be provided for.</w:t>
      </w:r>
    </w:p>
    <w:p w14:paraId="5C16CD7B" w14:textId="77777777" w:rsidR="005B5953" w:rsidRPr="005B12AE" w:rsidRDefault="005B5953" w:rsidP="005B5953">
      <w:pPr>
        <w:pStyle w:val="NoSpacing"/>
        <w:spacing w:line="240" w:lineRule="auto"/>
        <w:ind w:left="360"/>
        <w:jc w:val="both"/>
        <w:rPr>
          <w:bCs/>
        </w:rPr>
      </w:pPr>
    </w:p>
    <w:p w14:paraId="71D5D6A6" w14:textId="77777777" w:rsidR="005B5953" w:rsidRPr="005B12AE" w:rsidRDefault="005B5953">
      <w:pPr>
        <w:pStyle w:val="NoSpacing"/>
        <w:numPr>
          <w:ilvl w:val="1"/>
          <w:numId w:val="334"/>
        </w:numPr>
        <w:spacing w:line="240" w:lineRule="auto"/>
        <w:ind w:left="360"/>
        <w:jc w:val="both"/>
        <w:rPr>
          <w:bCs/>
        </w:rPr>
      </w:pPr>
      <w:r w:rsidRPr="005B12AE">
        <w:rPr>
          <w:bCs/>
        </w:rPr>
        <w:t>The balances of trade payables, trade receivables, loans and advances are unsecured and considered as good are subject to confirmations of respective parties concerned.</w:t>
      </w:r>
    </w:p>
    <w:p w14:paraId="33989EE2" w14:textId="77777777" w:rsidR="005B5953" w:rsidRPr="005B12AE" w:rsidRDefault="005B5953" w:rsidP="005B5953">
      <w:pPr>
        <w:pStyle w:val="NoSpacing"/>
        <w:spacing w:line="240" w:lineRule="auto"/>
        <w:ind w:left="360"/>
        <w:jc w:val="both"/>
        <w:rPr>
          <w:bCs/>
        </w:rPr>
      </w:pPr>
    </w:p>
    <w:p w14:paraId="01141242" w14:textId="77777777" w:rsidR="005B5953" w:rsidRPr="005B12AE" w:rsidRDefault="005B5953">
      <w:pPr>
        <w:pStyle w:val="NoSpacing"/>
        <w:numPr>
          <w:ilvl w:val="1"/>
          <w:numId w:val="334"/>
        </w:numPr>
        <w:spacing w:line="240" w:lineRule="auto"/>
        <w:ind w:left="360"/>
        <w:jc w:val="both"/>
        <w:rPr>
          <w:b/>
        </w:rPr>
      </w:pPr>
      <w:r w:rsidRPr="005B12AE">
        <w:rPr>
          <w:b/>
        </w:rPr>
        <w:t>Realizations</w:t>
      </w:r>
    </w:p>
    <w:p w14:paraId="7A0D0C65" w14:textId="77777777" w:rsidR="005B5953" w:rsidRPr="005B12AE" w:rsidRDefault="005B5953" w:rsidP="005B5953">
      <w:pPr>
        <w:pStyle w:val="NoSpacing"/>
        <w:spacing w:line="240" w:lineRule="auto"/>
        <w:ind w:left="360"/>
        <w:jc w:val="both"/>
        <w:rPr>
          <w:bCs/>
        </w:rPr>
      </w:pPr>
    </w:p>
    <w:p w14:paraId="61A17527" w14:textId="77777777" w:rsidR="005B5953" w:rsidRPr="005B12AE" w:rsidRDefault="005B5953" w:rsidP="005B5953">
      <w:pPr>
        <w:pStyle w:val="NoSpacing"/>
        <w:spacing w:line="240" w:lineRule="auto"/>
        <w:jc w:val="both"/>
        <w:rPr>
          <w:bCs/>
        </w:rPr>
      </w:pPr>
      <w:r w:rsidRPr="005B12AE">
        <w:rPr>
          <w:bCs/>
        </w:rPr>
        <w:t>In the opinion of the Board and to the best of its knowledge and belief, the value on realization of current assets and loans and advances are approximately of the same value as stated.</w:t>
      </w:r>
    </w:p>
    <w:p w14:paraId="0A18454B" w14:textId="77777777" w:rsidR="005B5953" w:rsidRPr="005B12AE" w:rsidRDefault="005B5953" w:rsidP="005B5953">
      <w:pPr>
        <w:pStyle w:val="NoSpacing"/>
        <w:spacing w:line="240" w:lineRule="auto"/>
        <w:ind w:left="360"/>
        <w:jc w:val="both"/>
        <w:rPr>
          <w:bCs/>
        </w:rPr>
      </w:pPr>
    </w:p>
    <w:p w14:paraId="602705D7" w14:textId="77777777" w:rsidR="005B5953" w:rsidRPr="005B12AE" w:rsidRDefault="005B5953">
      <w:pPr>
        <w:pStyle w:val="NoSpacing"/>
        <w:numPr>
          <w:ilvl w:val="1"/>
          <w:numId w:val="334"/>
        </w:numPr>
        <w:spacing w:line="240" w:lineRule="auto"/>
        <w:ind w:left="360"/>
        <w:jc w:val="both"/>
        <w:rPr>
          <w:b/>
        </w:rPr>
      </w:pPr>
      <w:r w:rsidRPr="005B12AE">
        <w:rPr>
          <w:b/>
        </w:rPr>
        <w:t>Contractual liabilities</w:t>
      </w:r>
    </w:p>
    <w:p w14:paraId="541800C4" w14:textId="77777777" w:rsidR="005B5953" w:rsidRPr="005B12AE" w:rsidRDefault="005B5953" w:rsidP="005B5953">
      <w:pPr>
        <w:pStyle w:val="NoSpacing"/>
        <w:spacing w:line="240" w:lineRule="auto"/>
        <w:ind w:left="360"/>
        <w:jc w:val="both"/>
        <w:rPr>
          <w:bCs/>
        </w:rPr>
      </w:pPr>
    </w:p>
    <w:p w14:paraId="37E23C1D" w14:textId="77777777" w:rsidR="005B5953" w:rsidRPr="005B12AE" w:rsidRDefault="005B5953" w:rsidP="005B5953">
      <w:pPr>
        <w:pStyle w:val="NoSpacing"/>
        <w:spacing w:line="240" w:lineRule="auto"/>
        <w:jc w:val="both"/>
        <w:rPr>
          <w:bCs/>
        </w:rPr>
      </w:pPr>
      <w:r w:rsidRPr="005B12AE">
        <w:rPr>
          <w:bCs/>
        </w:rPr>
        <w:t>All other contractual liabilities connected with business operations of the Company have been appropriately provided for.</w:t>
      </w:r>
    </w:p>
    <w:p w14:paraId="7D29075D" w14:textId="77777777" w:rsidR="005B5953" w:rsidRPr="005B12AE" w:rsidRDefault="005B5953" w:rsidP="005B5953">
      <w:pPr>
        <w:pStyle w:val="NoSpacing"/>
        <w:spacing w:line="240" w:lineRule="auto"/>
        <w:ind w:left="360"/>
        <w:jc w:val="both"/>
        <w:rPr>
          <w:bCs/>
        </w:rPr>
      </w:pPr>
    </w:p>
    <w:p w14:paraId="2A0C6B08" w14:textId="77777777" w:rsidR="005B5953" w:rsidRPr="005B12AE" w:rsidRDefault="005B5953">
      <w:pPr>
        <w:pStyle w:val="NoSpacing"/>
        <w:numPr>
          <w:ilvl w:val="1"/>
          <w:numId w:val="334"/>
        </w:numPr>
        <w:spacing w:line="240" w:lineRule="auto"/>
        <w:ind w:left="360"/>
        <w:jc w:val="both"/>
        <w:rPr>
          <w:b/>
        </w:rPr>
      </w:pPr>
      <w:r w:rsidRPr="005B12AE">
        <w:rPr>
          <w:b/>
        </w:rPr>
        <w:t>Amounts in the financial statements</w:t>
      </w:r>
    </w:p>
    <w:p w14:paraId="3972C947" w14:textId="77777777" w:rsidR="005B5953" w:rsidRPr="005B12AE" w:rsidRDefault="005B5953" w:rsidP="005B5953">
      <w:pPr>
        <w:pStyle w:val="NoSpacing"/>
        <w:spacing w:line="240" w:lineRule="auto"/>
        <w:ind w:left="360"/>
        <w:jc w:val="both"/>
        <w:rPr>
          <w:bCs/>
        </w:rPr>
      </w:pPr>
    </w:p>
    <w:p w14:paraId="03A08B8D" w14:textId="61ECA9A4" w:rsidR="005B5953" w:rsidRPr="005B12AE" w:rsidRDefault="005B5953" w:rsidP="005B5953">
      <w:pPr>
        <w:pStyle w:val="NoSpacing"/>
        <w:spacing w:line="240" w:lineRule="auto"/>
        <w:jc w:val="both"/>
        <w:rPr>
          <w:bCs/>
        </w:rPr>
      </w:pPr>
      <w:r w:rsidRPr="005B12AE">
        <w:rPr>
          <w:bCs/>
        </w:rPr>
        <w:t xml:space="preserve">Amounts in the financial statements are rounded off to nearest </w:t>
      </w:r>
      <w:r w:rsidR="000D712C">
        <w:rPr>
          <w:bCs/>
          <w:lang w:val="en-US"/>
        </w:rPr>
        <w:t>lakhs</w:t>
      </w:r>
      <w:r w:rsidRPr="005B12AE">
        <w:rPr>
          <w:bCs/>
        </w:rPr>
        <w:t>. Figures in brackets indicate negative values.</w:t>
      </w:r>
    </w:p>
    <w:p w14:paraId="41166322" w14:textId="77777777" w:rsidR="005B5953" w:rsidRPr="005B12AE" w:rsidRDefault="005B5953" w:rsidP="005B5953">
      <w:pPr>
        <w:pStyle w:val="NoSpacing"/>
        <w:spacing w:line="240" w:lineRule="auto"/>
        <w:ind w:left="360"/>
        <w:jc w:val="both"/>
        <w:rPr>
          <w:b/>
        </w:rPr>
      </w:pPr>
    </w:p>
    <w:p w14:paraId="12E5F110" w14:textId="77777777" w:rsidR="005B5953" w:rsidRPr="005B12AE" w:rsidRDefault="005B5953">
      <w:pPr>
        <w:pStyle w:val="NoSpacing"/>
        <w:numPr>
          <w:ilvl w:val="1"/>
          <w:numId w:val="334"/>
        </w:numPr>
        <w:spacing w:line="240" w:lineRule="auto"/>
        <w:ind w:left="360"/>
        <w:jc w:val="both"/>
        <w:rPr>
          <w:b/>
        </w:rPr>
      </w:pPr>
      <w:r w:rsidRPr="005B12AE">
        <w:rPr>
          <w:b/>
        </w:rPr>
        <w:t xml:space="preserve"> Impact of Audit Qualifications/Observations in Statutory Auditor’s Report on Financial Statements</w:t>
      </w:r>
    </w:p>
    <w:p w14:paraId="1A5DA0E5" w14:textId="77777777" w:rsidR="005B5953" w:rsidRPr="005B12AE" w:rsidRDefault="005B5953" w:rsidP="005B5953">
      <w:pPr>
        <w:pStyle w:val="NoSpacing"/>
        <w:spacing w:line="240" w:lineRule="auto"/>
        <w:ind w:left="360"/>
        <w:jc w:val="both"/>
        <w:rPr>
          <w:bCs/>
        </w:rPr>
      </w:pPr>
    </w:p>
    <w:p w14:paraId="14F23FDE" w14:textId="77777777" w:rsidR="005B5953" w:rsidRPr="005B12AE" w:rsidRDefault="005B5953" w:rsidP="005B5953">
      <w:pPr>
        <w:pStyle w:val="NoSpacing"/>
        <w:spacing w:line="240" w:lineRule="auto"/>
        <w:jc w:val="both"/>
        <w:rPr>
          <w:bCs/>
        </w:rPr>
      </w:pPr>
      <w:r w:rsidRPr="005B12AE">
        <w:rPr>
          <w:bCs/>
        </w:rPr>
        <w:t>There have been audit qualifications/observations in Statutory Auditor’s Report for F.Y. 2020-21, 2021-22 in AS – 11 which required adjustments and thus the same has been duly adjusted in the restated financial statements in respect of effect of AS 11 not provided for FY 2020-21 &amp; FY 2021-22. Except to the AS-11, there have been no audit qualifications/observations in Statutory Auditor’s Report for F.Y. 2020-21, 2021-22 and 2022-23.</w:t>
      </w:r>
    </w:p>
    <w:p w14:paraId="2C88F6D9" w14:textId="77777777" w:rsidR="005B5953" w:rsidRPr="005B12AE" w:rsidRDefault="005B5953" w:rsidP="005B5953">
      <w:pPr>
        <w:pStyle w:val="NoSpacing"/>
        <w:spacing w:line="240" w:lineRule="auto"/>
        <w:jc w:val="both"/>
        <w:rPr>
          <w:bCs/>
        </w:rPr>
      </w:pPr>
    </w:p>
    <w:p w14:paraId="1D72BC73" w14:textId="77777777" w:rsidR="005B5953" w:rsidRPr="005B12AE" w:rsidRDefault="005B5953">
      <w:pPr>
        <w:pStyle w:val="NoSpacing"/>
        <w:numPr>
          <w:ilvl w:val="1"/>
          <w:numId w:val="334"/>
        </w:numPr>
        <w:spacing w:line="240" w:lineRule="auto"/>
        <w:ind w:left="360"/>
        <w:jc w:val="both"/>
        <w:rPr>
          <w:b/>
        </w:rPr>
      </w:pPr>
      <w:r w:rsidRPr="005B12AE">
        <w:rPr>
          <w:b/>
        </w:rPr>
        <w:t>Material Adjustments</w:t>
      </w:r>
    </w:p>
    <w:p w14:paraId="55B4448B" w14:textId="77777777" w:rsidR="005B5953" w:rsidRPr="005B12AE" w:rsidRDefault="005B5953" w:rsidP="005B5953">
      <w:pPr>
        <w:pStyle w:val="NoSpacing"/>
        <w:spacing w:line="240" w:lineRule="auto"/>
        <w:ind w:left="360"/>
        <w:jc w:val="both"/>
        <w:rPr>
          <w:bCs/>
        </w:rPr>
      </w:pPr>
    </w:p>
    <w:p w14:paraId="7FB66E3F" w14:textId="77777777" w:rsidR="005B5953" w:rsidRPr="005B12AE" w:rsidRDefault="005B5953" w:rsidP="005B5953">
      <w:pPr>
        <w:pStyle w:val="NoSpacing"/>
        <w:spacing w:line="240" w:lineRule="auto"/>
        <w:jc w:val="both"/>
        <w:rPr>
          <w:bCs/>
        </w:rPr>
      </w:pPr>
      <w:r w:rsidRPr="005B12AE">
        <w:rPr>
          <w:bCs/>
        </w:rPr>
        <w:t xml:space="preserve">Appropriate adjustments have been made in the restated financial statements, whenever required, by reclassification of the corresponding items of assets, liabilities and cash flow statement, in order to ensure consistency and compliance with requirement of Schedule VI and Accounting Standards. Statement of Adjustments in the financial statements is presented here below: </w:t>
      </w:r>
      <w:r w:rsidRPr="005B12AE">
        <w:rPr>
          <w:bCs/>
        </w:rPr>
        <w:cr/>
      </w:r>
    </w:p>
    <w:p w14:paraId="14B05A5B" w14:textId="77777777" w:rsidR="005B5953" w:rsidRPr="005B12AE" w:rsidRDefault="005B5953" w:rsidP="005B5953">
      <w:pPr>
        <w:spacing w:after="0"/>
        <w:rPr>
          <w:rFonts w:ascii="Times New Roman" w:hAnsi="Times New Roman"/>
          <w:b/>
          <w:bCs/>
          <w:sz w:val="20"/>
          <w:szCs w:val="20"/>
        </w:rPr>
      </w:pPr>
      <w:r w:rsidRPr="005B12AE">
        <w:rPr>
          <w:rFonts w:ascii="Times New Roman" w:hAnsi="Times New Roman"/>
          <w:b/>
          <w:bCs/>
          <w:color w:val="000000"/>
          <w:sz w:val="20"/>
          <w:szCs w:val="20"/>
          <w:u w:val="single"/>
        </w:rPr>
        <w:t>Reconciliation of restated profit:</w:t>
      </w:r>
    </w:p>
    <w:p w14:paraId="72DB0763" w14:textId="77777777" w:rsidR="005B5953" w:rsidRPr="005B12AE" w:rsidRDefault="005B5953" w:rsidP="005B5953">
      <w:pPr>
        <w:spacing w:after="0"/>
        <w:jc w:val="right"/>
        <w:rPr>
          <w:rFonts w:ascii="Times New Roman" w:hAnsi="Times New Roman"/>
          <w:b/>
          <w:bCs/>
          <w:sz w:val="20"/>
          <w:szCs w:val="20"/>
        </w:rPr>
      </w:pPr>
      <w:r w:rsidRPr="005B12AE">
        <w:rPr>
          <w:rFonts w:ascii="Times New Roman" w:hAnsi="Times New Roman"/>
          <w:b/>
          <w:bCs/>
          <w:sz w:val="20"/>
          <w:szCs w:val="20"/>
        </w:rPr>
        <w:t>(₹ in Lakhs)</w:t>
      </w:r>
    </w:p>
    <w:tbl>
      <w:tblPr>
        <w:tblW w:w="5000" w:type="pct"/>
        <w:tblLook w:val="04A0" w:firstRow="1" w:lastRow="0" w:firstColumn="1" w:lastColumn="0" w:noHBand="0" w:noVBand="1"/>
      </w:tblPr>
      <w:tblGrid>
        <w:gridCol w:w="5664"/>
        <w:gridCol w:w="1621"/>
        <w:gridCol w:w="1709"/>
        <w:gridCol w:w="1462"/>
      </w:tblGrid>
      <w:tr w:rsidR="005B5953" w:rsidRPr="005B12AE" w14:paraId="5CB0F6CC" w14:textId="77777777" w:rsidTr="00250DAC">
        <w:trPr>
          <w:trHeight w:val="20"/>
        </w:trPr>
        <w:tc>
          <w:tcPr>
            <w:tcW w:w="2709"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7B75E78" w14:textId="77777777" w:rsidR="005B5953" w:rsidRPr="005B12AE" w:rsidRDefault="005B5953" w:rsidP="00250DAC">
            <w:pPr>
              <w:spacing w:after="0" w:line="240" w:lineRule="auto"/>
              <w:jc w:val="center"/>
              <w:rPr>
                <w:rFonts w:ascii="Times New Roman" w:hAnsi="Times New Roman"/>
                <w:b/>
                <w:bCs/>
                <w:color w:val="000000"/>
                <w:sz w:val="20"/>
                <w:szCs w:val="20"/>
                <w:lang w:val="en-IN" w:eastAsia="en-IN" w:bidi="mr-IN"/>
              </w:rPr>
            </w:pPr>
            <w:r w:rsidRPr="005B12AE">
              <w:rPr>
                <w:rFonts w:ascii="Times New Roman" w:hAnsi="Times New Roman"/>
                <w:b/>
                <w:bCs/>
                <w:color w:val="000000"/>
                <w:sz w:val="20"/>
                <w:szCs w:val="20"/>
              </w:rPr>
              <w:t>Adjustments for</w:t>
            </w:r>
          </w:p>
        </w:tc>
        <w:tc>
          <w:tcPr>
            <w:tcW w:w="775"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30B00506"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2022-23</w:t>
            </w:r>
          </w:p>
        </w:tc>
        <w:tc>
          <w:tcPr>
            <w:tcW w:w="817"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6BBD9271"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2021-22</w:t>
            </w:r>
          </w:p>
        </w:tc>
        <w:tc>
          <w:tcPr>
            <w:tcW w:w="699" w:type="pct"/>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62A7DC07"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2020-21</w:t>
            </w:r>
          </w:p>
        </w:tc>
      </w:tr>
      <w:tr w:rsidR="005B5953" w:rsidRPr="005B12AE" w14:paraId="5A4DB643" w14:textId="77777777" w:rsidTr="00250DAC">
        <w:trPr>
          <w:trHeight w:val="20"/>
        </w:trPr>
        <w:tc>
          <w:tcPr>
            <w:tcW w:w="2709" w:type="pct"/>
            <w:tcBorders>
              <w:top w:val="nil"/>
              <w:left w:val="single" w:sz="4" w:space="0" w:color="auto"/>
              <w:bottom w:val="single" w:sz="4" w:space="0" w:color="auto"/>
              <w:right w:val="single" w:sz="4" w:space="0" w:color="auto"/>
            </w:tcBorders>
            <w:shd w:val="clear" w:color="000000" w:fill="FFFFFF"/>
            <w:vAlign w:val="center"/>
            <w:hideMark/>
          </w:tcPr>
          <w:p w14:paraId="0BF8CC6D" w14:textId="77777777" w:rsidR="005B5953" w:rsidRPr="005B12AE" w:rsidRDefault="005B5953" w:rsidP="00250DAC">
            <w:pPr>
              <w:spacing w:after="0" w:line="240" w:lineRule="auto"/>
              <w:rPr>
                <w:rFonts w:ascii="Times New Roman" w:hAnsi="Times New Roman"/>
                <w:sz w:val="20"/>
                <w:szCs w:val="20"/>
                <w:lang w:val="en-IN" w:eastAsia="en-IN" w:bidi="mr-IN"/>
              </w:rPr>
            </w:pPr>
            <w:r w:rsidRPr="005B12AE">
              <w:rPr>
                <w:rFonts w:ascii="Times New Roman" w:hAnsi="Times New Roman"/>
                <w:color w:val="000000"/>
                <w:sz w:val="20"/>
                <w:szCs w:val="20"/>
              </w:rPr>
              <w:t>Net profit/(Loss) after Tax as per Audited Profit &amp; Loss Account</w:t>
            </w:r>
          </w:p>
        </w:tc>
        <w:tc>
          <w:tcPr>
            <w:tcW w:w="775" w:type="pct"/>
            <w:tcBorders>
              <w:top w:val="nil"/>
              <w:left w:val="nil"/>
              <w:bottom w:val="single" w:sz="4" w:space="0" w:color="auto"/>
              <w:right w:val="single" w:sz="4" w:space="0" w:color="auto"/>
            </w:tcBorders>
            <w:shd w:val="clear" w:color="000000" w:fill="FFFFFF"/>
            <w:noWrap/>
            <w:vAlign w:val="center"/>
            <w:hideMark/>
          </w:tcPr>
          <w:p w14:paraId="62C71CAE" w14:textId="77777777" w:rsidR="005B5953" w:rsidRPr="005B12AE" w:rsidRDefault="005B5953" w:rsidP="00250DAC">
            <w:pPr>
              <w:spacing w:after="0" w:line="240" w:lineRule="auto"/>
              <w:jc w:val="center"/>
              <w:rPr>
                <w:rFonts w:ascii="Times New Roman" w:hAnsi="Times New Roman"/>
                <w:sz w:val="20"/>
                <w:szCs w:val="20"/>
                <w:lang w:val="en-IN" w:eastAsia="en-IN" w:bidi="mr-IN"/>
              </w:rPr>
            </w:pPr>
            <w:r w:rsidRPr="005B12AE">
              <w:rPr>
                <w:rFonts w:ascii="Times New Roman" w:hAnsi="Times New Roman"/>
                <w:color w:val="000000"/>
                <w:sz w:val="20"/>
                <w:szCs w:val="20"/>
              </w:rPr>
              <w:t>716.54</w:t>
            </w:r>
          </w:p>
        </w:tc>
        <w:tc>
          <w:tcPr>
            <w:tcW w:w="817" w:type="pct"/>
            <w:tcBorders>
              <w:top w:val="nil"/>
              <w:left w:val="nil"/>
              <w:bottom w:val="single" w:sz="4" w:space="0" w:color="auto"/>
              <w:right w:val="single" w:sz="4" w:space="0" w:color="auto"/>
            </w:tcBorders>
            <w:shd w:val="clear" w:color="000000" w:fill="FFFFFF"/>
            <w:noWrap/>
            <w:vAlign w:val="center"/>
            <w:hideMark/>
          </w:tcPr>
          <w:p w14:paraId="0BA42A10" w14:textId="77777777" w:rsidR="005B5953" w:rsidRPr="005B12AE" w:rsidRDefault="005B5953" w:rsidP="00250DAC">
            <w:pPr>
              <w:spacing w:after="0" w:line="240" w:lineRule="auto"/>
              <w:jc w:val="center"/>
              <w:rPr>
                <w:rFonts w:ascii="Times New Roman" w:hAnsi="Times New Roman"/>
                <w:sz w:val="20"/>
                <w:szCs w:val="20"/>
                <w:lang w:val="en-IN" w:eastAsia="en-IN" w:bidi="mr-IN"/>
              </w:rPr>
            </w:pPr>
            <w:r w:rsidRPr="005B12AE">
              <w:rPr>
                <w:rFonts w:ascii="Times New Roman" w:hAnsi="Times New Roman"/>
                <w:color w:val="000000"/>
                <w:sz w:val="20"/>
                <w:szCs w:val="20"/>
              </w:rPr>
              <w:t>455.92</w:t>
            </w:r>
          </w:p>
        </w:tc>
        <w:tc>
          <w:tcPr>
            <w:tcW w:w="699" w:type="pct"/>
            <w:tcBorders>
              <w:top w:val="nil"/>
              <w:left w:val="nil"/>
              <w:bottom w:val="single" w:sz="4" w:space="0" w:color="auto"/>
              <w:right w:val="single" w:sz="4" w:space="0" w:color="auto"/>
            </w:tcBorders>
            <w:shd w:val="clear" w:color="000000" w:fill="FFFFFF"/>
            <w:noWrap/>
            <w:vAlign w:val="center"/>
            <w:hideMark/>
          </w:tcPr>
          <w:p w14:paraId="33EE5C0A" w14:textId="77777777" w:rsidR="005B5953" w:rsidRPr="005B12AE" w:rsidRDefault="005B5953" w:rsidP="00250DAC">
            <w:pPr>
              <w:spacing w:after="0" w:line="240" w:lineRule="auto"/>
              <w:jc w:val="center"/>
              <w:rPr>
                <w:rFonts w:ascii="Times New Roman" w:hAnsi="Times New Roman"/>
                <w:sz w:val="20"/>
                <w:szCs w:val="20"/>
                <w:lang w:val="en-IN" w:eastAsia="en-IN" w:bidi="mr-IN"/>
              </w:rPr>
            </w:pPr>
            <w:r w:rsidRPr="005B12AE">
              <w:rPr>
                <w:rFonts w:ascii="Times New Roman" w:hAnsi="Times New Roman"/>
                <w:color w:val="000000"/>
                <w:sz w:val="20"/>
                <w:szCs w:val="20"/>
              </w:rPr>
              <w:t>188.01</w:t>
            </w:r>
          </w:p>
        </w:tc>
      </w:tr>
      <w:tr w:rsidR="005B5953" w:rsidRPr="005B12AE" w14:paraId="791467CB" w14:textId="77777777" w:rsidTr="00250DAC">
        <w:trPr>
          <w:trHeight w:val="20"/>
        </w:trPr>
        <w:tc>
          <w:tcPr>
            <w:tcW w:w="2709" w:type="pct"/>
            <w:tcBorders>
              <w:top w:val="nil"/>
              <w:left w:val="single" w:sz="4" w:space="0" w:color="auto"/>
              <w:bottom w:val="single" w:sz="4" w:space="0" w:color="auto"/>
              <w:right w:val="single" w:sz="4" w:space="0" w:color="auto"/>
            </w:tcBorders>
            <w:shd w:val="clear" w:color="000000" w:fill="FFFFFF"/>
            <w:vAlign w:val="center"/>
            <w:hideMark/>
          </w:tcPr>
          <w:p w14:paraId="7255FEE1" w14:textId="77777777" w:rsidR="005B5953" w:rsidRPr="005B12AE" w:rsidRDefault="005B5953" w:rsidP="00250DAC">
            <w:pPr>
              <w:spacing w:after="0" w:line="240" w:lineRule="auto"/>
              <w:rPr>
                <w:rFonts w:ascii="Times New Roman" w:hAnsi="Times New Roman"/>
                <w:b/>
                <w:bCs/>
                <w:sz w:val="20"/>
                <w:szCs w:val="20"/>
                <w:u w:val="single"/>
                <w:lang w:val="en-IN" w:eastAsia="en-IN" w:bidi="mr-IN"/>
              </w:rPr>
            </w:pPr>
            <w:r w:rsidRPr="005B12AE">
              <w:rPr>
                <w:rFonts w:ascii="Times New Roman" w:hAnsi="Times New Roman"/>
                <w:b/>
                <w:bCs/>
                <w:color w:val="000000"/>
                <w:sz w:val="20"/>
                <w:szCs w:val="20"/>
                <w:u w:val="single"/>
              </w:rPr>
              <w:t>Adjustments for:</w:t>
            </w:r>
          </w:p>
        </w:tc>
        <w:tc>
          <w:tcPr>
            <w:tcW w:w="775" w:type="pct"/>
            <w:tcBorders>
              <w:top w:val="nil"/>
              <w:left w:val="nil"/>
              <w:bottom w:val="single" w:sz="4" w:space="0" w:color="auto"/>
              <w:right w:val="single" w:sz="4" w:space="0" w:color="auto"/>
            </w:tcBorders>
            <w:shd w:val="clear" w:color="000000" w:fill="FFFFFF"/>
            <w:noWrap/>
            <w:vAlign w:val="center"/>
            <w:hideMark/>
          </w:tcPr>
          <w:p w14:paraId="681FF612" w14:textId="77777777" w:rsidR="005B5953" w:rsidRPr="005B12AE" w:rsidRDefault="005B5953" w:rsidP="00250DAC">
            <w:pPr>
              <w:spacing w:after="0" w:line="240" w:lineRule="auto"/>
              <w:jc w:val="center"/>
              <w:rPr>
                <w:rFonts w:ascii="Times New Roman" w:hAnsi="Times New Roman"/>
                <w:sz w:val="20"/>
                <w:szCs w:val="20"/>
                <w:lang w:val="en-IN" w:eastAsia="en-IN" w:bidi="mr-IN"/>
              </w:rPr>
            </w:pPr>
          </w:p>
        </w:tc>
        <w:tc>
          <w:tcPr>
            <w:tcW w:w="817" w:type="pct"/>
            <w:tcBorders>
              <w:top w:val="nil"/>
              <w:left w:val="nil"/>
              <w:bottom w:val="single" w:sz="4" w:space="0" w:color="auto"/>
              <w:right w:val="single" w:sz="4" w:space="0" w:color="auto"/>
            </w:tcBorders>
            <w:shd w:val="clear" w:color="000000" w:fill="FFFFFF"/>
            <w:noWrap/>
            <w:vAlign w:val="center"/>
            <w:hideMark/>
          </w:tcPr>
          <w:p w14:paraId="2D3005F4" w14:textId="77777777" w:rsidR="005B5953" w:rsidRPr="005B12AE" w:rsidRDefault="005B5953" w:rsidP="00250DAC">
            <w:pPr>
              <w:spacing w:after="0" w:line="240" w:lineRule="auto"/>
              <w:jc w:val="center"/>
              <w:rPr>
                <w:rFonts w:ascii="Times New Roman" w:hAnsi="Times New Roman"/>
                <w:sz w:val="20"/>
                <w:szCs w:val="20"/>
                <w:lang w:val="en-IN" w:eastAsia="en-IN" w:bidi="mr-IN"/>
              </w:rPr>
            </w:pPr>
          </w:p>
        </w:tc>
        <w:tc>
          <w:tcPr>
            <w:tcW w:w="699" w:type="pct"/>
            <w:tcBorders>
              <w:top w:val="nil"/>
              <w:left w:val="nil"/>
              <w:bottom w:val="single" w:sz="4" w:space="0" w:color="auto"/>
              <w:right w:val="single" w:sz="4" w:space="0" w:color="auto"/>
            </w:tcBorders>
            <w:shd w:val="clear" w:color="000000" w:fill="FFFFFF"/>
            <w:noWrap/>
            <w:vAlign w:val="center"/>
            <w:hideMark/>
          </w:tcPr>
          <w:p w14:paraId="26612D52" w14:textId="77777777" w:rsidR="005B5953" w:rsidRPr="005B12AE" w:rsidRDefault="005B5953" w:rsidP="00250DAC">
            <w:pPr>
              <w:spacing w:after="0" w:line="240" w:lineRule="auto"/>
              <w:jc w:val="center"/>
              <w:rPr>
                <w:rFonts w:ascii="Times New Roman" w:hAnsi="Times New Roman"/>
                <w:sz w:val="20"/>
                <w:szCs w:val="20"/>
                <w:lang w:val="en-IN" w:eastAsia="en-IN" w:bidi="mr-IN"/>
              </w:rPr>
            </w:pPr>
          </w:p>
        </w:tc>
      </w:tr>
      <w:tr w:rsidR="005B5953" w:rsidRPr="005B12AE" w14:paraId="783AEA10" w14:textId="77777777" w:rsidTr="00250DAC">
        <w:trPr>
          <w:trHeight w:val="20"/>
        </w:trPr>
        <w:tc>
          <w:tcPr>
            <w:tcW w:w="2709" w:type="pct"/>
            <w:tcBorders>
              <w:top w:val="nil"/>
              <w:left w:val="single" w:sz="4" w:space="0" w:color="auto"/>
              <w:bottom w:val="single" w:sz="4" w:space="0" w:color="auto"/>
              <w:right w:val="single" w:sz="4" w:space="0" w:color="auto"/>
            </w:tcBorders>
            <w:shd w:val="clear" w:color="000000" w:fill="FFFFFF"/>
            <w:vAlign w:val="center"/>
            <w:hideMark/>
          </w:tcPr>
          <w:p w14:paraId="1EDEE21D" w14:textId="77777777" w:rsidR="005B5953" w:rsidRPr="005B12AE" w:rsidRDefault="005B5953" w:rsidP="00250DAC">
            <w:pPr>
              <w:spacing w:after="0" w:line="240" w:lineRule="auto"/>
              <w:rPr>
                <w:rFonts w:ascii="Times New Roman" w:hAnsi="Times New Roman"/>
                <w:sz w:val="20"/>
                <w:szCs w:val="20"/>
                <w:lang w:val="en-IN" w:eastAsia="en-IN" w:bidi="mr-IN"/>
              </w:rPr>
            </w:pPr>
            <w:r w:rsidRPr="005B12AE">
              <w:rPr>
                <w:rFonts w:ascii="Times New Roman" w:hAnsi="Times New Roman"/>
                <w:color w:val="000000"/>
                <w:sz w:val="20"/>
                <w:szCs w:val="20"/>
              </w:rPr>
              <w:t>Provision for gratuity</w:t>
            </w:r>
          </w:p>
        </w:tc>
        <w:tc>
          <w:tcPr>
            <w:tcW w:w="775" w:type="pct"/>
            <w:tcBorders>
              <w:top w:val="nil"/>
              <w:left w:val="nil"/>
              <w:bottom w:val="single" w:sz="4" w:space="0" w:color="auto"/>
              <w:right w:val="single" w:sz="4" w:space="0" w:color="auto"/>
            </w:tcBorders>
            <w:shd w:val="clear" w:color="000000" w:fill="FFFFFF"/>
            <w:noWrap/>
            <w:vAlign w:val="center"/>
            <w:hideMark/>
          </w:tcPr>
          <w:p w14:paraId="679546AD" w14:textId="77777777" w:rsidR="005B5953" w:rsidRPr="005B12AE" w:rsidRDefault="005B5953" w:rsidP="00250DAC">
            <w:pPr>
              <w:spacing w:after="0" w:line="240" w:lineRule="auto"/>
              <w:jc w:val="center"/>
              <w:rPr>
                <w:rFonts w:ascii="Times New Roman" w:hAnsi="Times New Roman"/>
                <w:sz w:val="20"/>
                <w:szCs w:val="20"/>
                <w:highlight w:val="yellow"/>
                <w:lang w:val="en-IN" w:eastAsia="en-IN" w:bidi="mr-IN"/>
              </w:rPr>
            </w:pPr>
            <w:r w:rsidRPr="005B12AE">
              <w:rPr>
                <w:rFonts w:ascii="Times New Roman" w:hAnsi="Times New Roman"/>
                <w:color w:val="000000"/>
                <w:sz w:val="20"/>
                <w:szCs w:val="20"/>
              </w:rPr>
              <w:t>17.34</w:t>
            </w:r>
          </w:p>
        </w:tc>
        <w:tc>
          <w:tcPr>
            <w:tcW w:w="817" w:type="pct"/>
            <w:tcBorders>
              <w:top w:val="nil"/>
              <w:left w:val="nil"/>
              <w:bottom w:val="single" w:sz="4" w:space="0" w:color="auto"/>
              <w:right w:val="single" w:sz="4" w:space="0" w:color="auto"/>
            </w:tcBorders>
            <w:shd w:val="clear" w:color="000000" w:fill="FFFFFF"/>
            <w:noWrap/>
            <w:vAlign w:val="center"/>
            <w:hideMark/>
          </w:tcPr>
          <w:p w14:paraId="64C55A60" w14:textId="77777777" w:rsidR="005B5953" w:rsidRPr="005B12AE" w:rsidRDefault="005B5953" w:rsidP="00250DAC">
            <w:pPr>
              <w:spacing w:after="0" w:line="240" w:lineRule="auto"/>
              <w:jc w:val="center"/>
              <w:rPr>
                <w:rFonts w:ascii="Times New Roman" w:hAnsi="Times New Roman"/>
                <w:sz w:val="20"/>
                <w:szCs w:val="20"/>
                <w:highlight w:val="yellow"/>
                <w:lang w:val="en-IN" w:eastAsia="en-IN" w:bidi="mr-IN"/>
              </w:rPr>
            </w:pPr>
            <w:r w:rsidRPr="005B12AE">
              <w:rPr>
                <w:rFonts w:ascii="Times New Roman" w:hAnsi="Times New Roman"/>
                <w:color w:val="000000"/>
                <w:sz w:val="20"/>
                <w:szCs w:val="20"/>
              </w:rPr>
              <w:t>(1.66)</w:t>
            </w:r>
          </w:p>
        </w:tc>
        <w:tc>
          <w:tcPr>
            <w:tcW w:w="699" w:type="pct"/>
            <w:tcBorders>
              <w:top w:val="nil"/>
              <w:left w:val="nil"/>
              <w:bottom w:val="single" w:sz="4" w:space="0" w:color="auto"/>
              <w:right w:val="single" w:sz="4" w:space="0" w:color="auto"/>
            </w:tcBorders>
            <w:shd w:val="clear" w:color="000000" w:fill="FFFFFF"/>
            <w:noWrap/>
            <w:vAlign w:val="center"/>
            <w:hideMark/>
          </w:tcPr>
          <w:p w14:paraId="0228F490" w14:textId="77777777" w:rsidR="005B5953" w:rsidRPr="005B12AE" w:rsidRDefault="005B5953" w:rsidP="00250DAC">
            <w:pPr>
              <w:spacing w:after="0" w:line="240" w:lineRule="auto"/>
              <w:jc w:val="center"/>
              <w:rPr>
                <w:rFonts w:ascii="Times New Roman" w:hAnsi="Times New Roman"/>
                <w:sz w:val="20"/>
                <w:szCs w:val="20"/>
                <w:highlight w:val="yellow"/>
                <w:lang w:val="en-IN" w:eastAsia="en-IN" w:bidi="mr-IN"/>
              </w:rPr>
            </w:pPr>
            <w:r w:rsidRPr="005B12AE">
              <w:rPr>
                <w:rFonts w:ascii="Times New Roman" w:hAnsi="Times New Roman"/>
                <w:color w:val="000000"/>
                <w:sz w:val="20"/>
                <w:szCs w:val="20"/>
              </w:rPr>
              <w:t>(15.68)</w:t>
            </w:r>
          </w:p>
        </w:tc>
      </w:tr>
      <w:tr w:rsidR="005B5953" w:rsidRPr="005B12AE" w14:paraId="71B0C269" w14:textId="77777777" w:rsidTr="00250DAC">
        <w:trPr>
          <w:trHeight w:val="20"/>
        </w:trPr>
        <w:tc>
          <w:tcPr>
            <w:tcW w:w="2709" w:type="pct"/>
            <w:tcBorders>
              <w:top w:val="nil"/>
              <w:left w:val="single" w:sz="4" w:space="0" w:color="auto"/>
              <w:bottom w:val="single" w:sz="4" w:space="0" w:color="auto"/>
              <w:right w:val="single" w:sz="4" w:space="0" w:color="auto"/>
            </w:tcBorders>
            <w:shd w:val="clear" w:color="000000" w:fill="FFFFFF"/>
            <w:vAlign w:val="center"/>
            <w:hideMark/>
          </w:tcPr>
          <w:p w14:paraId="07325909" w14:textId="77777777" w:rsidR="005B5953" w:rsidRPr="005B12AE" w:rsidRDefault="005B5953" w:rsidP="00250DAC">
            <w:pPr>
              <w:spacing w:after="0" w:line="240" w:lineRule="auto"/>
              <w:rPr>
                <w:rFonts w:ascii="Times New Roman" w:hAnsi="Times New Roman"/>
                <w:sz w:val="20"/>
                <w:szCs w:val="20"/>
                <w:lang w:val="en-IN" w:eastAsia="en-IN" w:bidi="mr-IN"/>
              </w:rPr>
            </w:pPr>
            <w:r w:rsidRPr="005B12AE">
              <w:rPr>
                <w:rFonts w:ascii="Times New Roman" w:hAnsi="Times New Roman"/>
                <w:color w:val="000000"/>
                <w:sz w:val="20"/>
                <w:szCs w:val="20"/>
              </w:rPr>
              <w:t>Penalty of KASEZ</w:t>
            </w:r>
          </w:p>
        </w:tc>
        <w:tc>
          <w:tcPr>
            <w:tcW w:w="775" w:type="pct"/>
            <w:tcBorders>
              <w:top w:val="nil"/>
              <w:left w:val="nil"/>
              <w:bottom w:val="single" w:sz="4" w:space="0" w:color="auto"/>
              <w:right w:val="single" w:sz="4" w:space="0" w:color="auto"/>
            </w:tcBorders>
            <w:shd w:val="clear" w:color="000000" w:fill="FFFFFF"/>
            <w:noWrap/>
            <w:vAlign w:val="center"/>
          </w:tcPr>
          <w:p w14:paraId="318E63FF" w14:textId="77777777" w:rsidR="005B5953" w:rsidRPr="005B12AE" w:rsidRDefault="005B5953" w:rsidP="00250DAC">
            <w:pPr>
              <w:spacing w:after="0" w:line="240" w:lineRule="auto"/>
              <w:jc w:val="center"/>
              <w:rPr>
                <w:rFonts w:ascii="Times New Roman" w:hAnsi="Times New Roman"/>
                <w:sz w:val="20"/>
                <w:szCs w:val="20"/>
                <w:highlight w:val="yellow"/>
                <w:lang w:val="en-IN" w:eastAsia="en-IN" w:bidi="mr-IN"/>
              </w:rPr>
            </w:pPr>
            <w:r w:rsidRPr="005B12AE">
              <w:rPr>
                <w:rFonts w:ascii="Times New Roman" w:hAnsi="Times New Roman"/>
                <w:sz w:val="20"/>
                <w:szCs w:val="20"/>
              </w:rPr>
              <w:t>-</w:t>
            </w:r>
          </w:p>
        </w:tc>
        <w:tc>
          <w:tcPr>
            <w:tcW w:w="817" w:type="pct"/>
            <w:tcBorders>
              <w:top w:val="nil"/>
              <w:left w:val="nil"/>
              <w:bottom w:val="single" w:sz="4" w:space="0" w:color="auto"/>
              <w:right w:val="single" w:sz="4" w:space="0" w:color="auto"/>
            </w:tcBorders>
            <w:shd w:val="clear" w:color="000000" w:fill="FFFFFF"/>
            <w:noWrap/>
            <w:vAlign w:val="center"/>
          </w:tcPr>
          <w:p w14:paraId="3E9EEA2E" w14:textId="77777777" w:rsidR="005B5953" w:rsidRPr="005B12AE" w:rsidRDefault="005B5953" w:rsidP="00250DAC">
            <w:pPr>
              <w:spacing w:after="0" w:line="240" w:lineRule="auto"/>
              <w:jc w:val="center"/>
              <w:rPr>
                <w:rFonts w:ascii="Times New Roman" w:hAnsi="Times New Roman"/>
                <w:sz w:val="20"/>
                <w:szCs w:val="20"/>
                <w:highlight w:val="yellow"/>
                <w:lang w:val="en-IN" w:eastAsia="en-IN" w:bidi="mr-IN"/>
              </w:rPr>
            </w:pPr>
            <w:r w:rsidRPr="005B12AE">
              <w:rPr>
                <w:rFonts w:ascii="Times New Roman" w:hAnsi="Times New Roman"/>
                <w:sz w:val="20"/>
                <w:szCs w:val="20"/>
              </w:rPr>
              <w:t>-</w:t>
            </w:r>
          </w:p>
        </w:tc>
        <w:tc>
          <w:tcPr>
            <w:tcW w:w="699" w:type="pct"/>
            <w:tcBorders>
              <w:top w:val="nil"/>
              <w:left w:val="nil"/>
              <w:bottom w:val="single" w:sz="4" w:space="0" w:color="auto"/>
              <w:right w:val="single" w:sz="4" w:space="0" w:color="auto"/>
            </w:tcBorders>
            <w:shd w:val="clear" w:color="000000" w:fill="FFFFFF"/>
            <w:noWrap/>
            <w:vAlign w:val="center"/>
          </w:tcPr>
          <w:p w14:paraId="718AB78E" w14:textId="77777777" w:rsidR="005B5953" w:rsidRPr="005B12AE" w:rsidRDefault="005B5953" w:rsidP="00250DAC">
            <w:pPr>
              <w:spacing w:after="0" w:line="240" w:lineRule="auto"/>
              <w:jc w:val="center"/>
              <w:rPr>
                <w:rFonts w:ascii="Times New Roman" w:hAnsi="Times New Roman"/>
                <w:sz w:val="20"/>
                <w:szCs w:val="20"/>
                <w:highlight w:val="yellow"/>
                <w:lang w:val="en-IN" w:eastAsia="en-IN" w:bidi="mr-IN"/>
              </w:rPr>
            </w:pPr>
            <w:r w:rsidRPr="005B12AE">
              <w:rPr>
                <w:rFonts w:ascii="Times New Roman" w:hAnsi="Times New Roman"/>
                <w:sz w:val="20"/>
                <w:szCs w:val="20"/>
              </w:rPr>
              <w:t>(30.00)</w:t>
            </w:r>
          </w:p>
        </w:tc>
      </w:tr>
      <w:tr w:rsidR="005B5953" w:rsidRPr="005B12AE" w14:paraId="42E7527F" w14:textId="77777777" w:rsidTr="00250DAC">
        <w:trPr>
          <w:trHeight w:val="20"/>
        </w:trPr>
        <w:tc>
          <w:tcPr>
            <w:tcW w:w="2709" w:type="pct"/>
            <w:tcBorders>
              <w:top w:val="nil"/>
              <w:left w:val="single" w:sz="4" w:space="0" w:color="auto"/>
              <w:bottom w:val="single" w:sz="4" w:space="0" w:color="auto"/>
              <w:right w:val="single" w:sz="4" w:space="0" w:color="auto"/>
            </w:tcBorders>
            <w:shd w:val="clear" w:color="000000" w:fill="FFFFFF"/>
            <w:vAlign w:val="center"/>
            <w:hideMark/>
          </w:tcPr>
          <w:p w14:paraId="251F31DA" w14:textId="77777777" w:rsidR="005B5953" w:rsidRPr="005B12AE" w:rsidRDefault="005B5953" w:rsidP="00250DAC">
            <w:pPr>
              <w:spacing w:after="0" w:line="240" w:lineRule="auto"/>
              <w:rPr>
                <w:rFonts w:ascii="Times New Roman" w:hAnsi="Times New Roman"/>
                <w:sz w:val="20"/>
                <w:szCs w:val="20"/>
                <w:lang w:val="en-IN" w:eastAsia="en-IN" w:bidi="mr-IN"/>
              </w:rPr>
            </w:pPr>
            <w:r w:rsidRPr="005B12AE">
              <w:rPr>
                <w:rFonts w:ascii="Times New Roman" w:hAnsi="Times New Roman"/>
                <w:color w:val="000000"/>
                <w:sz w:val="20"/>
                <w:szCs w:val="20"/>
              </w:rPr>
              <w:t> Forex Difference (AS-11)</w:t>
            </w:r>
          </w:p>
        </w:tc>
        <w:tc>
          <w:tcPr>
            <w:tcW w:w="775" w:type="pct"/>
            <w:tcBorders>
              <w:top w:val="nil"/>
              <w:left w:val="nil"/>
              <w:bottom w:val="single" w:sz="4" w:space="0" w:color="auto"/>
              <w:right w:val="single" w:sz="4" w:space="0" w:color="auto"/>
            </w:tcBorders>
            <w:shd w:val="clear" w:color="000000" w:fill="FFFFFF"/>
            <w:noWrap/>
            <w:vAlign w:val="center"/>
            <w:hideMark/>
          </w:tcPr>
          <w:p w14:paraId="38C84DD7" w14:textId="77777777" w:rsidR="005B5953" w:rsidRPr="005B12AE" w:rsidRDefault="005B5953" w:rsidP="00250DAC">
            <w:pPr>
              <w:spacing w:after="0" w:line="240" w:lineRule="auto"/>
              <w:jc w:val="center"/>
              <w:rPr>
                <w:rFonts w:ascii="Times New Roman" w:hAnsi="Times New Roman"/>
                <w:sz w:val="20"/>
                <w:szCs w:val="20"/>
                <w:highlight w:val="yellow"/>
                <w:lang w:val="en-IN" w:eastAsia="en-IN" w:bidi="mr-IN"/>
              </w:rPr>
            </w:pPr>
          </w:p>
        </w:tc>
        <w:tc>
          <w:tcPr>
            <w:tcW w:w="817" w:type="pct"/>
            <w:tcBorders>
              <w:top w:val="nil"/>
              <w:left w:val="nil"/>
              <w:bottom w:val="single" w:sz="4" w:space="0" w:color="auto"/>
              <w:right w:val="single" w:sz="4" w:space="0" w:color="auto"/>
            </w:tcBorders>
            <w:shd w:val="clear" w:color="000000" w:fill="FFFFFF"/>
            <w:noWrap/>
            <w:vAlign w:val="center"/>
            <w:hideMark/>
          </w:tcPr>
          <w:p w14:paraId="775EFC2E" w14:textId="77777777" w:rsidR="005B5953" w:rsidRPr="005B12AE" w:rsidRDefault="005B5953" w:rsidP="00250DAC">
            <w:pPr>
              <w:spacing w:after="0" w:line="240" w:lineRule="auto"/>
              <w:jc w:val="center"/>
              <w:rPr>
                <w:rFonts w:ascii="Times New Roman" w:hAnsi="Times New Roman"/>
                <w:sz w:val="20"/>
                <w:szCs w:val="20"/>
                <w:highlight w:val="yellow"/>
                <w:lang w:val="en-IN" w:eastAsia="en-IN" w:bidi="mr-IN"/>
              </w:rPr>
            </w:pPr>
            <w:r w:rsidRPr="005B12AE">
              <w:rPr>
                <w:rFonts w:ascii="Times New Roman" w:hAnsi="Times New Roman"/>
                <w:color w:val="000000"/>
                <w:sz w:val="20"/>
                <w:szCs w:val="20"/>
              </w:rPr>
              <w:t>2.69</w:t>
            </w:r>
          </w:p>
        </w:tc>
        <w:tc>
          <w:tcPr>
            <w:tcW w:w="699" w:type="pct"/>
            <w:tcBorders>
              <w:top w:val="nil"/>
              <w:left w:val="nil"/>
              <w:bottom w:val="single" w:sz="4" w:space="0" w:color="auto"/>
              <w:right w:val="single" w:sz="4" w:space="0" w:color="auto"/>
            </w:tcBorders>
            <w:shd w:val="clear" w:color="000000" w:fill="FFFFFF"/>
            <w:noWrap/>
            <w:vAlign w:val="center"/>
            <w:hideMark/>
          </w:tcPr>
          <w:p w14:paraId="11FD7111" w14:textId="77777777" w:rsidR="005B5953" w:rsidRPr="005B12AE" w:rsidRDefault="005B5953" w:rsidP="00250DAC">
            <w:pPr>
              <w:spacing w:after="0" w:line="240" w:lineRule="auto"/>
              <w:jc w:val="center"/>
              <w:rPr>
                <w:rFonts w:ascii="Times New Roman" w:hAnsi="Times New Roman"/>
                <w:sz w:val="20"/>
                <w:szCs w:val="20"/>
                <w:highlight w:val="yellow"/>
                <w:lang w:val="en-IN" w:eastAsia="en-IN" w:bidi="mr-IN"/>
              </w:rPr>
            </w:pPr>
            <w:r w:rsidRPr="005B12AE">
              <w:rPr>
                <w:rFonts w:ascii="Times New Roman" w:hAnsi="Times New Roman"/>
                <w:color w:val="000000"/>
                <w:sz w:val="20"/>
                <w:szCs w:val="20"/>
              </w:rPr>
              <w:t>0.62</w:t>
            </w:r>
          </w:p>
        </w:tc>
      </w:tr>
      <w:tr w:rsidR="005B5953" w:rsidRPr="005B12AE" w14:paraId="3972F250" w14:textId="77777777" w:rsidTr="00250DAC">
        <w:trPr>
          <w:trHeight w:val="20"/>
        </w:trPr>
        <w:tc>
          <w:tcPr>
            <w:tcW w:w="2709" w:type="pct"/>
            <w:tcBorders>
              <w:top w:val="nil"/>
              <w:left w:val="single" w:sz="4" w:space="0" w:color="auto"/>
              <w:bottom w:val="single" w:sz="4" w:space="0" w:color="auto"/>
              <w:right w:val="single" w:sz="4" w:space="0" w:color="auto"/>
            </w:tcBorders>
            <w:shd w:val="clear" w:color="000000" w:fill="FFFFFF"/>
            <w:vAlign w:val="center"/>
          </w:tcPr>
          <w:p w14:paraId="3F54AA41" w14:textId="77777777" w:rsidR="005B5953" w:rsidRPr="005B12AE" w:rsidRDefault="005B5953" w:rsidP="00250DAC">
            <w:pPr>
              <w:spacing w:after="0" w:line="240" w:lineRule="auto"/>
              <w:rPr>
                <w:rFonts w:ascii="Times New Roman" w:hAnsi="Times New Roman"/>
                <w:color w:val="000000"/>
                <w:sz w:val="20"/>
                <w:szCs w:val="20"/>
              </w:rPr>
            </w:pPr>
          </w:p>
        </w:tc>
        <w:tc>
          <w:tcPr>
            <w:tcW w:w="775" w:type="pct"/>
            <w:tcBorders>
              <w:top w:val="nil"/>
              <w:left w:val="nil"/>
              <w:bottom w:val="single" w:sz="4" w:space="0" w:color="auto"/>
              <w:right w:val="single" w:sz="4" w:space="0" w:color="auto"/>
            </w:tcBorders>
            <w:shd w:val="clear" w:color="000000" w:fill="FFFFFF"/>
            <w:noWrap/>
            <w:vAlign w:val="center"/>
          </w:tcPr>
          <w:p w14:paraId="2E144A78" w14:textId="77777777" w:rsidR="005B5953" w:rsidRPr="005B12AE" w:rsidRDefault="005B5953" w:rsidP="00250DAC">
            <w:pPr>
              <w:spacing w:after="0" w:line="240" w:lineRule="auto"/>
              <w:jc w:val="center"/>
              <w:rPr>
                <w:rFonts w:ascii="Times New Roman" w:hAnsi="Times New Roman"/>
                <w:color w:val="000000"/>
                <w:sz w:val="20"/>
                <w:szCs w:val="20"/>
              </w:rPr>
            </w:pPr>
          </w:p>
        </w:tc>
        <w:tc>
          <w:tcPr>
            <w:tcW w:w="817" w:type="pct"/>
            <w:tcBorders>
              <w:top w:val="nil"/>
              <w:left w:val="nil"/>
              <w:bottom w:val="single" w:sz="4" w:space="0" w:color="auto"/>
              <w:right w:val="single" w:sz="4" w:space="0" w:color="auto"/>
            </w:tcBorders>
            <w:shd w:val="clear" w:color="000000" w:fill="FFFFFF"/>
            <w:noWrap/>
            <w:vAlign w:val="center"/>
          </w:tcPr>
          <w:p w14:paraId="5B79A2AD" w14:textId="77777777" w:rsidR="005B5953" w:rsidRPr="005B12AE" w:rsidRDefault="005B5953" w:rsidP="00250DAC">
            <w:pPr>
              <w:spacing w:after="0" w:line="240" w:lineRule="auto"/>
              <w:jc w:val="center"/>
              <w:rPr>
                <w:rFonts w:ascii="Times New Roman" w:hAnsi="Times New Roman"/>
                <w:color w:val="000000"/>
                <w:sz w:val="20"/>
                <w:szCs w:val="20"/>
              </w:rPr>
            </w:pPr>
          </w:p>
        </w:tc>
        <w:tc>
          <w:tcPr>
            <w:tcW w:w="699" w:type="pct"/>
            <w:tcBorders>
              <w:top w:val="nil"/>
              <w:left w:val="nil"/>
              <w:bottom w:val="single" w:sz="4" w:space="0" w:color="auto"/>
              <w:right w:val="single" w:sz="4" w:space="0" w:color="auto"/>
            </w:tcBorders>
            <w:shd w:val="clear" w:color="000000" w:fill="FFFFFF"/>
            <w:noWrap/>
            <w:vAlign w:val="center"/>
          </w:tcPr>
          <w:p w14:paraId="6462B2D1" w14:textId="77777777" w:rsidR="005B5953" w:rsidRPr="005B12AE" w:rsidRDefault="005B5953" w:rsidP="00250DAC">
            <w:pPr>
              <w:spacing w:after="0" w:line="240" w:lineRule="auto"/>
              <w:jc w:val="center"/>
              <w:rPr>
                <w:rFonts w:ascii="Times New Roman" w:hAnsi="Times New Roman"/>
                <w:color w:val="000000"/>
                <w:sz w:val="20"/>
                <w:szCs w:val="20"/>
              </w:rPr>
            </w:pPr>
          </w:p>
        </w:tc>
      </w:tr>
      <w:tr w:rsidR="005B5953" w:rsidRPr="005B12AE" w14:paraId="31115ED0" w14:textId="77777777" w:rsidTr="00250DAC">
        <w:trPr>
          <w:trHeight w:val="20"/>
        </w:trPr>
        <w:tc>
          <w:tcPr>
            <w:tcW w:w="2709" w:type="pct"/>
            <w:tcBorders>
              <w:top w:val="nil"/>
              <w:left w:val="single" w:sz="4" w:space="0" w:color="auto"/>
              <w:bottom w:val="single" w:sz="4" w:space="0" w:color="auto"/>
              <w:right w:val="single" w:sz="4" w:space="0" w:color="auto"/>
            </w:tcBorders>
            <w:shd w:val="clear" w:color="000000" w:fill="FFFFFF"/>
            <w:vAlign w:val="center"/>
            <w:hideMark/>
          </w:tcPr>
          <w:p w14:paraId="09C6C09B" w14:textId="77777777" w:rsidR="005B5953" w:rsidRPr="005B12AE" w:rsidRDefault="005B5953" w:rsidP="00250DAC">
            <w:pPr>
              <w:spacing w:after="0" w:line="240" w:lineRule="auto"/>
              <w:rPr>
                <w:rFonts w:ascii="Times New Roman" w:hAnsi="Times New Roman"/>
                <w:sz w:val="20"/>
                <w:szCs w:val="20"/>
                <w:lang w:val="en-IN" w:eastAsia="en-IN" w:bidi="mr-IN"/>
              </w:rPr>
            </w:pPr>
            <w:r w:rsidRPr="005B12AE">
              <w:rPr>
                <w:rFonts w:ascii="Times New Roman" w:hAnsi="Times New Roman"/>
                <w:color w:val="000000"/>
                <w:sz w:val="20"/>
                <w:szCs w:val="20"/>
              </w:rPr>
              <w:t>Item disallowed u/s. 43B</w:t>
            </w:r>
          </w:p>
        </w:tc>
        <w:tc>
          <w:tcPr>
            <w:tcW w:w="775" w:type="pct"/>
            <w:tcBorders>
              <w:top w:val="nil"/>
              <w:left w:val="nil"/>
              <w:bottom w:val="single" w:sz="4" w:space="0" w:color="auto"/>
              <w:right w:val="single" w:sz="4" w:space="0" w:color="auto"/>
            </w:tcBorders>
            <w:shd w:val="clear" w:color="000000" w:fill="FFFFFF"/>
            <w:noWrap/>
            <w:vAlign w:val="center"/>
            <w:hideMark/>
          </w:tcPr>
          <w:p w14:paraId="28D7B01C" w14:textId="77777777" w:rsidR="005B5953" w:rsidRPr="005B12AE" w:rsidRDefault="005B5953" w:rsidP="00250DAC">
            <w:pPr>
              <w:spacing w:after="0" w:line="240" w:lineRule="auto"/>
              <w:jc w:val="center"/>
              <w:rPr>
                <w:rFonts w:ascii="Times New Roman" w:hAnsi="Times New Roman"/>
                <w:sz w:val="20"/>
                <w:szCs w:val="20"/>
                <w:highlight w:val="yellow"/>
                <w:lang w:val="en-IN" w:eastAsia="en-IN" w:bidi="mr-IN"/>
              </w:rPr>
            </w:pPr>
            <w:r w:rsidRPr="005B12AE">
              <w:rPr>
                <w:rFonts w:ascii="Times New Roman" w:hAnsi="Times New Roman"/>
                <w:color w:val="000000"/>
                <w:sz w:val="20"/>
                <w:szCs w:val="20"/>
              </w:rPr>
              <w:t>-</w:t>
            </w:r>
          </w:p>
        </w:tc>
        <w:tc>
          <w:tcPr>
            <w:tcW w:w="817" w:type="pct"/>
            <w:tcBorders>
              <w:top w:val="nil"/>
              <w:left w:val="nil"/>
              <w:bottom w:val="single" w:sz="4" w:space="0" w:color="auto"/>
              <w:right w:val="single" w:sz="4" w:space="0" w:color="auto"/>
            </w:tcBorders>
            <w:shd w:val="clear" w:color="000000" w:fill="FFFFFF"/>
            <w:noWrap/>
            <w:vAlign w:val="center"/>
            <w:hideMark/>
          </w:tcPr>
          <w:p w14:paraId="758BE5AE" w14:textId="77777777" w:rsidR="005B5953" w:rsidRPr="005B12AE" w:rsidRDefault="005B5953" w:rsidP="00250DAC">
            <w:pPr>
              <w:spacing w:after="0" w:line="240" w:lineRule="auto"/>
              <w:jc w:val="center"/>
              <w:rPr>
                <w:rFonts w:ascii="Times New Roman" w:hAnsi="Times New Roman"/>
                <w:sz w:val="20"/>
                <w:szCs w:val="20"/>
                <w:highlight w:val="yellow"/>
                <w:lang w:val="en-IN" w:eastAsia="en-IN" w:bidi="mr-IN"/>
              </w:rPr>
            </w:pPr>
            <w:r w:rsidRPr="005B12AE">
              <w:rPr>
                <w:rFonts w:ascii="Times New Roman" w:hAnsi="Times New Roman"/>
                <w:color w:val="000000"/>
                <w:sz w:val="20"/>
                <w:szCs w:val="20"/>
              </w:rPr>
              <w:t>-</w:t>
            </w:r>
          </w:p>
        </w:tc>
        <w:tc>
          <w:tcPr>
            <w:tcW w:w="699" w:type="pct"/>
            <w:tcBorders>
              <w:top w:val="nil"/>
              <w:left w:val="nil"/>
              <w:bottom w:val="single" w:sz="4" w:space="0" w:color="auto"/>
              <w:right w:val="single" w:sz="4" w:space="0" w:color="auto"/>
            </w:tcBorders>
            <w:shd w:val="clear" w:color="000000" w:fill="FFFFFF"/>
            <w:noWrap/>
            <w:vAlign w:val="center"/>
            <w:hideMark/>
          </w:tcPr>
          <w:p w14:paraId="12F7374E" w14:textId="77777777" w:rsidR="005B5953" w:rsidRPr="005B12AE" w:rsidRDefault="005B5953" w:rsidP="00250DAC">
            <w:pPr>
              <w:spacing w:after="0" w:line="240" w:lineRule="auto"/>
              <w:jc w:val="center"/>
              <w:rPr>
                <w:rFonts w:ascii="Times New Roman" w:hAnsi="Times New Roman"/>
                <w:sz w:val="20"/>
                <w:szCs w:val="20"/>
                <w:highlight w:val="yellow"/>
                <w:lang w:val="en-IN" w:eastAsia="en-IN" w:bidi="mr-IN"/>
              </w:rPr>
            </w:pPr>
            <w:r w:rsidRPr="005B12AE">
              <w:rPr>
                <w:rFonts w:ascii="Times New Roman" w:hAnsi="Times New Roman"/>
                <w:color w:val="000000"/>
                <w:sz w:val="20"/>
                <w:szCs w:val="20"/>
              </w:rPr>
              <w:t>-</w:t>
            </w:r>
          </w:p>
        </w:tc>
      </w:tr>
      <w:tr w:rsidR="005B5953" w:rsidRPr="005B12AE" w14:paraId="50E6D3BC" w14:textId="77777777" w:rsidTr="00250DAC">
        <w:trPr>
          <w:trHeight w:val="20"/>
        </w:trPr>
        <w:tc>
          <w:tcPr>
            <w:tcW w:w="2709" w:type="pct"/>
            <w:tcBorders>
              <w:top w:val="nil"/>
              <w:left w:val="single" w:sz="4" w:space="0" w:color="auto"/>
              <w:bottom w:val="single" w:sz="4" w:space="0" w:color="auto"/>
              <w:right w:val="single" w:sz="4" w:space="0" w:color="auto"/>
            </w:tcBorders>
            <w:shd w:val="clear" w:color="000000" w:fill="FFFFFF"/>
            <w:vAlign w:val="center"/>
            <w:hideMark/>
          </w:tcPr>
          <w:p w14:paraId="026F233D" w14:textId="77777777" w:rsidR="005B5953" w:rsidRPr="005B12AE" w:rsidRDefault="005B5953" w:rsidP="00250DAC">
            <w:pPr>
              <w:spacing w:after="0" w:line="240" w:lineRule="auto"/>
              <w:rPr>
                <w:rFonts w:ascii="Times New Roman" w:hAnsi="Times New Roman"/>
                <w:sz w:val="20"/>
                <w:szCs w:val="20"/>
                <w:lang w:val="en-IN" w:eastAsia="en-IN" w:bidi="mr-IN"/>
              </w:rPr>
            </w:pPr>
            <w:r w:rsidRPr="005B12AE">
              <w:rPr>
                <w:rFonts w:ascii="Times New Roman" w:hAnsi="Times New Roman"/>
                <w:color w:val="000000"/>
                <w:sz w:val="20"/>
                <w:szCs w:val="20"/>
              </w:rPr>
              <w:t>Short/excess Provision Of tax</w:t>
            </w:r>
          </w:p>
        </w:tc>
        <w:tc>
          <w:tcPr>
            <w:tcW w:w="775" w:type="pct"/>
            <w:tcBorders>
              <w:top w:val="nil"/>
              <w:left w:val="nil"/>
              <w:bottom w:val="single" w:sz="4" w:space="0" w:color="auto"/>
              <w:right w:val="single" w:sz="4" w:space="0" w:color="auto"/>
            </w:tcBorders>
            <w:shd w:val="clear" w:color="000000" w:fill="FFFFFF"/>
            <w:noWrap/>
            <w:vAlign w:val="center"/>
            <w:hideMark/>
          </w:tcPr>
          <w:p w14:paraId="7CA78E2F" w14:textId="77777777" w:rsidR="005B5953" w:rsidRPr="005B12AE" w:rsidRDefault="005B5953" w:rsidP="00250DAC">
            <w:pPr>
              <w:spacing w:after="0" w:line="240" w:lineRule="auto"/>
              <w:jc w:val="center"/>
              <w:rPr>
                <w:rFonts w:ascii="Times New Roman" w:hAnsi="Times New Roman"/>
                <w:sz w:val="20"/>
                <w:szCs w:val="20"/>
                <w:highlight w:val="yellow"/>
                <w:lang w:val="en-IN" w:eastAsia="en-IN" w:bidi="mr-IN"/>
              </w:rPr>
            </w:pPr>
            <w:r w:rsidRPr="005B12AE">
              <w:rPr>
                <w:rFonts w:ascii="Times New Roman" w:hAnsi="Times New Roman"/>
                <w:color w:val="000000"/>
                <w:sz w:val="20"/>
                <w:szCs w:val="20"/>
              </w:rPr>
              <w:t>1.54</w:t>
            </w:r>
          </w:p>
        </w:tc>
        <w:tc>
          <w:tcPr>
            <w:tcW w:w="817" w:type="pct"/>
            <w:tcBorders>
              <w:top w:val="nil"/>
              <w:left w:val="nil"/>
              <w:bottom w:val="single" w:sz="4" w:space="0" w:color="auto"/>
              <w:right w:val="single" w:sz="4" w:space="0" w:color="auto"/>
            </w:tcBorders>
            <w:shd w:val="clear" w:color="000000" w:fill="FFFFFF"/>
            <w:noWrap/>
            <w:vAlign w:val="center"/>
            <w:hideMark/>
          </w:tcPr>
          <w:p w14:paraId="430695AA" w14:textId="77777777" w:rsidR="005B5953" w:rsidRPr="005B12AE" w:rsidRDefault="005B5953" w:rsidP="00250DAC">
            <w:pPr>
              <w:spacing w:after="0" w:line="240" w:lineRule="auto"/>
              <w:jc w:val="center"/>
              <w:rPr>
                <w:rFonts w:ascii="Times New Roman" w:hAnsi="Times New Roman"/>
                <w:sz w:val="20"/>
                <w:szCs w:val="20"/>
                <w:highlight w:val="yellow"/>
                <w:lang w:val="en-IN" w:eastAsia="en-IN" w:bidi="mr-IN"/>
              </w:rPr>
            </w:pPr>
            <w:r w:rsidRPr="005B12AE">
              <w:rPr>
                <w:rFonts w:ascii="Times New Roman" w:hAnsi="Times New Roman"/>
                <w:color w:val="000000"/>
                <w:sz w:val="20"/>
                <w:szCs w:val="20"/>
              </w:rPr>
              <w:t>(134.47)</w:t>
            </w:r>
          </w:p>
        </w:tc>
        <w:tc>
          <w:tcPr>
            <w:tcW w:w="699" w:type="pct"/>
            <w:tcBorders>
              <w:top w:val="nil"/>
              <w:left w:val="nil"/>
              <w:bottom w:val="single" w:sz="4" w:space="0" w:color="auto"/>
              <w:right w:val="single" w:sz="4" w:space="0" w:color="auto"/>
            </w:tcBorders>
            <w:shd w:val="clear" w:color="000000" w:fill="FFFFFF"/>
            <w:noWrap/>
            <w:vAlign w:val="center"/>
            <w:hideMark/>
          </w:tcPr>
          <w:p w14:paraId="6EA87D96" w14:textId="77777777" w:rsidR="005B5953" w:rsidRPr="005B12AE" w:rsidRDefault="005B5953" w:rsidP="00250DAC">
            <w:pPr>
              <w:spacing w:after="0" w:line="240" w:lineRule="auto"/>
              <w:jc w:val="center"/>
              <w:rPr>
                <w:rFonts w:ascii="Times New Roman" w:hAnsi="Times New Roman"/>
                <w:sz w:val="20"/>
                <w:szCs w:val="20"/>
                <w:highlight w:val="yellow"/>
                <w:lang w:val="en-IN" w:eastAsia="en-IN" w:bidi="mr-IN"/>
              </w:rPr>
            </w:pPr>
            <w:r w:rsidRPr="005B12AE">
              <w:rPr>
                <w:rFonts w:ascii="Times New Roman" w:hAnsi="Times New Roman"/>
                <w:color w:val="000000"/>
                <w:sz w:val="20"/>
                <w:szCs w:val="20"/>
              </w:rPr>
              <w:t>(0.67)</w:t>
            </w:r>
          </w:p>
        </w:tc>
      </w:tr>
      <w:tr w:rsidR="005B5953" w:rsidRPr="005B12AE" w14:paraId="177E5C69" w14:textId="77777777" w:rsidTr="00250DAC">
        <w:trPr>
          <w:trHeight w:val="20"/>
        </w:trPr>
        <w:tc>
          <w:tcPr>
            <w:tcW w:w="2709" w:type="pct"/>
            <w:tcBorders>
              <w:top w:val="nil"/>
              <w:left w:val="single" w:sz="4" w:space="0" w:color="auto"/>
              <w:bottom w:val="single" w:sz="4" w:space="0" w:color="auto"/>
              <w:right w:val="single" w:sz="4" w:space="0" w:color="auto"/>
            </w:tcBorders>
            <w:shd w:val="clear" w:color="000000" w:fill="FFFFFF"/>
            <w:vAlign w:val="center"/>
            <w:hideMark/>
          </w:tcPr>
          <w:p w14:paraId="4255B108" w14:textId="77777777" w:rsidR="005B5953" w:rsidRPr="005B12AE" w:rsidRDefault="005B5953" w:rsidP="00250DAC">
            <w:pPr>
              <w:spacing w:after="0" w:line="240" w:lineRule="auto"/>
              <w:rPr>
                <w:rFonts w:ascii="Times New Roman" w:hAnsi="Times New Roman"/>
                <w:b/>
                <w:bCs/>
                <w:sz w:val="20"/>
                <w:szCs w:val="20"/>
                <w:lang w:val="en-IN" w:eastAsia="en-IN" w:bidi="mr-IN"/>
              </w:rPr>
            </w:pPr>
            <w:r w:rsidRPr="005B12AE">
              <w:rPr>
                <w:rFonts w:ascii="Times New Roman" w:hAnsi="Times New Roman"/>
                <w:b/>
                <w:bCs/>
                <w:color w:val="000000"/>
                <w:sz w:val="20"/>
                <w:szCs w:val="20"/>
              </w:rPr>
              <w:t>Net Profit/ (Loss) After Tax as Restated</w:t>
            </w:r>
          </w:p>
        </w:tc>
        <w:tc>
          <w:tcPr>
            <w:tcW w:w="775" w:type="pct"/>
            <w:tcBorders>
              <w:top w:val="nil"/>
              <w:left w:val="nil"/>
              <w:bottom w:val="single" w:sz="4" w:space="0" w:color="auto"/>
              <w:right w:val="single" w:sz="4" w:space="0" w:color="auto"/>
            </w:tcBorders>
            <w:shd w:val="clear" w:color="000000" w:fill="FFFFFF"/>
            <w:noWrap/>
            <w:vAlign w:val="center"/>
            <w:hideMark/>
          </w:tcPr>
          <w:p w14:paraId="6C7562A9" w14:textId="77777777" w:rsidR="005B5953" w:rsidRPr="005B12AE" w:rsidRDefault="005B5953" w:rsidP="00250DAC">
            <w:pPr>
              <w:spacing w:after="0" w:line="240" w:lineRule="auto"/>
              <w:jc w:val="center"/>
              <w:rPr>
                <w:rFonts w:ascii="Times New Roman" w:hAnsi="Times New Roman"/>
                <w:b/>
                <w:bCs/>
                <w:sz w:val="20"/>
                <w:szCs w:val="20"/>
                <w:highlight w:val="yellow"/>
                <w:lang w:val="en-IN" w:eastAsia="en-IN" w:bidi="mr-IN"/>
              </w:rPr>
            </w:pPr>
            <w:r w:rsidRPr="005B12AE">
              <w:rPr>
                <w:rFonts w:ascii="Times New Roman" w:hAnsi="Times New Roman"/>
                <w:b/>
                <w:bCs/>
                <w:color w:val="000000"/>
                <w:sz w:val="20"/>
                <w:szCs w:val="20"/>
              </w:rPr>
              <w:t>765.42</w:t>
            </w:r>
          </w:p>
        </w:tc>
        <w:tc>
          <w:tcPr>
            <w:tcW w:w="817" w:type="pct"/>
            <w:tcBorders>
              <w:top w:val="nil"/>
              <w:left w:val="nil"/>
              <w:bottom w:val="single" w:sz="4" w:space="0" w:color="auto"/>
              <w:right w:val="single" w:sz="4" w:space="0" w:color="auto"/>
            </w:tcBorders>
            <w:shd w:val="clear" w:color="000000" w:fill="FFFFFF"/>
            <w:noWrap/>
            <w:vAlign w:val="center"/>
            <w:hideMark/>
          </w:tcPr>
          <w:p w14:paraId="6E56D6AB" w14:textId="77777777" w:rsidR="005B5953" w:rsidRPr="005B12AE" w:rsidRDefault="005B5953" w:rsidP="00250DAC">
            <w:pPr>
              <w:spacing w:after="0" w:line="240" w:lineRule="auto"/>
              <w:jc w:val="center"/>
              <w:rPr>
                <w:rFonts w:ascii="Times New Roman" w:hAnsi="Times New Roman"/>
                <w:b/>
                <w:bCs/>
                <w:sz w:val="20"/>
                <w:szCs w:val="20"/>
                <w:highlight w:val="yellow"/>
                <w:lang w:val="en-IN" w:eastAsia="en-IN" w:bidi="mr-IN"/>
              </w:rPr>
            </w:pPr>
            <w:r w:rsidRPr="005B12AE">
              <w:rPr>
                <w:rFonts w:ascii="Times New Roman" w:hAnsi="Times New Roman"/>
                <w:b/>
                <w:bCs/>
                <w:color w:val="000000"/>
                <w:sz w:val="20"/>
                <w:szCs w:val="20"/>
              </w:rPr>
              <w:t>322.47</w:t>
            </w:r>
          </w:p>
        </w:tc>
        <w:tc>
          <w:tcPr>
            <w:tcW w:w="699" w:type="pct"/>
            <w:tcBorders>
              <w:top w:val="nil"/>
              <w:left w:val="nil"/>
              <w:bottom w:val="single" w:sz="4" w:space="0" w:color="auto"/>
              <w:right w:val="single" w:sz="4" w:space="0" w:color="auto"/>
            </w:tcBorders>
            <w:shd w:val="clear" w:color="000000" w:fill="FFFFFF"/>
            <w:noWrap/>
            <w:vAlign w:val="center"/>
            <w:hideMark/>
          </w:tcPr>
          <w:p w14:paraId="14763FE8" w14:textId="77777777" w:rsidR="005B5953" w:rsidRPr="005B12AE" w:rsidRDefault="005B5953" w:rsidP="00250DAC">
            <w:pPr>
              <w:spacing w:after="0" w:line="240" w:lineRule="auto"/>
              <w:jc w:val="center"/>
              <w:rPr>
                <w:rFonts w:ascii="Times New Roman" w:hAnsi="Times New Roman"/>
                <w:b/>
                <w:bCs/>
                <w:sz w:val="20"/>
                <w:szCs w:val="20"/>
                <w:highlight w:val="yellow"/>
                <w:lang w:val="en-IN" w:eastAsia="en-IN" w:bidi="mr-IN"/>
              </w:rPr>
            </w:pPr>
            <w:r w:rsidRPr="005B12AE">
              <w:rPr>
                <w:rFonts w:ascii="Times New Roman" w:hAnsi="Times New Roman"/>
                <w:b/>
                <w:bCs/>
                <w:color w:val="000000"/>
                <w:sz w:val="20"/>
                <w:szCs w:val="20"/>
              </w:rPr>
              <w:t>142.28</w:t>
            </w:r>
          </w:p>
        </w:tc>
      </w:tr>
    </w:tbl>
    <w:p w14:paraId="65ABD34D" w14:textId="77777777" w:rsidR="005B5953" w:rsidRPr="005B12AE" w:rsidRDefault="005B5953" w:rsidP="005B5953">
      <w:pPr>
        <w:spacing w:after="0"/>
        <w:rPr>
          <w:rFonts w:ascii="Times New Roman" w:hAnsi="Times New Roman"/>
          <w:b/>
          <w:bCs/>
          <w:sz w:val="20"/>
          <w:szCs w:val="20"/>
        </w:rPr>
      </w:pPr>
    </w:p>
    <w:p w14:paraId="0BD622CB" w14:textId="77777777" w:rsidR="005B5953" w:rsidRPr="005B12AE" w:rsidRDefault="005B5953">
      <w:pPr>
        <w:pStyle w:val="NoSpacing"/>
        <w:numPr>
          <w:ilvl w:val="0"/>
          <w:numId w:val="339"/>
        </w:numPr>
        <w:spacing w:line="240" w:lineRule="auto"/>
        <w:ind w:left="450"/>
        <w:jc w:val="both"/>
        <w:rPr>
          <w:bCs/>
        </w:rPr>
      </w:pPr>
      <w:r w:rsidRPr="005B12AE">
        <w:rPr>
          <w:bCs/>
        </w:rPr>
        <w:lastRenderedPageBreak/>
        <w:t>The provision for gratuity has been done in all years covered for restatement as per Actuarial Valuation Reports and provided in the respective year in which such liability has arisen as per AS 15: Employee Benefits</w:t>
      </w:r>
    </w:p>
    <w:p w14:paraId="310175DA" w14:textId="77777777" w:rsidR="005B5953" w:rsidRPr="005B12AE" w:rsidRDefault="005B5953" w:rsidP="005B5953">
      <w:pPr>
        <w:pStyle w:val="NoSpacing"/>
        <w:spacing w:line="240" w:lineRule="auto"/>
        <w:ind w:left="450"/>
        <w:jc w:val="both"/>
        <w:rPr>
          <w:bCs/>
        </w:rPr>
      </w:pPr>
    </w:p>
    <w:p w14:paraId="2012F733" w14:textId="77777777" w:rsidR="005B5953" w:rsidRPr="005B12AE" w:rsidRDefault="005B5953">
      <w:pPr>
        <w:pStyle w:val="NoSpacing"/>
        <w:numPr>
          <w:ilvl w:val="0"/>
          <w:numId w:val="339"/>
        </w:numPr>
        <w:spacing w:line="240" w:lineRule="auto"/>
        <w:ind w:left="450"/>
        <w:jc w:val="both"/>
        <w:rPr>
          <w:bCs/>
        </w:rPr>
      </w:pPr>
      <w:r w:rsidRPr="005B12AE">
        <w:rPr>
          <w:bCs/>
        </w:rPr>
        <w:t>Due to changes in gratuity provision the deferred tax component on the same has also undergone change.</w:t>
      </w:r>
    </w:p>
    <w:p w14:paraId="12A2328D" w14:textId="77777777" w:rsidR="005B5953" w:rsidRPr="005B12AE" w:rsidRDefault="005B5953" w:rsidP="005B5953">
      <w:pPr>
        <w:pStyle w:val="NoSpacing"/>
        <w:spacing w:line="240" w:lineRule="auto"/>
        <w:ind w:left="450"/>
        <w:jc w:val="both"/>
        <w:rPr>
          <w:bCs/>
        </w:rPr>
      </w:pPr>
    </w:p>
    <w:p w14:paraId="737A0896" w14:textId="77777777" w:rsidR="005B5953" w:rsidRPr="005B12AE" w:rsidRDefault="005B5953">
      <w:pPr>
        <w:pStyle w:val="NoSpacing"/>
        <w:numPr>
          <w:ilvl w:val="0"/>
          <w:numId w:val="339"/>
        </w:numPr>
        <w:spacing w:line="240" w:lineRule="auto"/>
        <w:ind w:left="450"/>
        <w:jc w:val="both"/>
        <w:rPr>
          <w:bCs/>
        </w:rPr>
      </w:pPr>
      <w:r w:rsidRPr="005B12AE">
        <w:rPr>
          <w:bCs/>
        </w:rPr>
        <w:t>Foreign Exchange Gain/Loss has been restated as per AS 11:</w:t>
      </w:r>
    </w:p>
    <w:p w14:paraId="2BA859A1" w14:textId="77777777" w:rsidR="005B5953" w:rsidRPr="005B12AE" w:rsidRDefault="005B5953" w:rsidP="005B5953">
      <w:pPr>
        <w:pStyle w:val="NoSpacing"/>
        <w:spacing w:line="240" w:lineRule="auto"/>
        <w:ind w:left="450"/>
        <w:jc w:val="both"/>
        <w:rPr>
          <w:bCs/>
        </w:rPr>
      </w:pPr>
    </w:p>
    <w:p w14:paraId="74834822" w14:textId="77777777" w:rsidR="005B5953" w:rsidRPr="005B12AE" w:rsidRDefault="005B5953">
      <w:pPr>
        <w:pStyle w:val="NoSpacing"/>
        <w:numPr>
          <w:ilvl w:val="0"/>
          <w:numId w:val="339"/>
        </w:numPr>
        <w:spacing w:line="240" w:lineRule="auto"/>
        <w:ind w:left="450"/>
        <w:jc w:val="both"/>
      </w:pPr>
      <w:r w:rsidRPr="005B12AE">
        <w:rPr>
          <w:bCs/>
        </w:rPr>
        <w:t>Provision for Taxation has been adjusted for Items like Income Tax related to Earlier Years and Short Provision for Earlier Years and Mat Credit Availed.</w:t>
      </w:r>
    </w:p>
    <w:p w14:paraId="6B73279A" w14:textId="77777777" w:rsidR="005B5953" w:rsidRPr="005B12AE" w:rsidRDefault="005B5953" w:rsidP="005B5953">
      <w:pPr>
        <w:pStyle w:val="NoSpacing"/>
        <w:spacing w:line="240" w:lineRule="auto"/>
        <w:jc w:val="both"/>
        <w:rPr>
          <w:bCs/>
        </w:rPr>
      </w:pPr>
    </w:p>
    <w:p w14:paraId="3BC32479" w14:textId="77777777" w:rsidR="005B5953" w:rsidRPr="005B12AE" w:rsidRDefault="005B5953" w:rsidP="005B5953">
      <w:pPr>
        <w:pStyle w:val="NoSpacing"/>
        <w:spacing w:line="240" w:lineRule="auto"/>
        <w:jc w:val="both"/>
        <w:rPr>
          <w:bCs/>
        </w:rPr>
      </w:pPr>
      <w:r w:rsidRPr="005B12AE">
        <w:t>The reconciliation of Equity and Reserves as per audited results and the Equity and Reserves as per Restated Accounts is presented below:</w:t>
      </w:r>
    </w:p>
    <w:p w14:paraId="485B1497" w14:textId="77777777" w:rsidR="005B5953" w:rsidRPr="005B12AE" w:rsidRDefault="005B5953" w:rsidP="005B5953">
      <w:pPr>
        <w:spacing w:after="0" w:line="240" w:lineRule="auto"/>
        <w:rPr>
          <w:rFonts w:ascii="Times New Roman" w:hAnsi="Times New Roman"/>
          <w:b/>
          <w:bCs/>
          <w:color w:val="000000"/>
          <w:sz w:val="20"/>
          <w:szCs w:val="20"/>
          <w:u w:val="single"/>
        </w:rPr>
      </w:pPr>
    </w:p>
    <w:p w14:paraId="6931CE81" w14:textId="77777777" w:rsidR="005B5953" w:rsidRPr="005B12AE" w:rsidRDefault="005B5953" w:rsidP="005B5953">
      <w:pPr>
        <w:spacing w:after="0" w:line="240" w:lineRule="auto"/>
        <w:rPr>
          <w:rFonts w:ascii="Times New Roman" w:hAnsi="Times New Roman"/>
          <w:b/>
          <w:bCs/>
          <w:color w:val="000000"/>
          <w:sz w:val="20"/>
          <w:szCs w:val="20"/>
          <w:u w:val="single"/>
        </w:rPr>
      </w:pPr>
      <w:r w:rsidRPr="005B12AE">
        <w:rPr>
          <w:rFonts w:ascii="Times New Roman" w:hAnsi="Times New Roman"/>
          <w:b/>
          <w:bCs/>
          <w:color w:val="000000"/>
          <w:sz w:val="20"/>
          <w:szCs w:val="20"/>
          <w:u w:val="single"/>
        </w:rPr>
        <w:t xml:space="preserve">Reconciliation of equity and reserves: </w:t>
      </w:r>
    </w:p>
    <w:p w14:paraId="36CC090D" w14:textId="77777777" w:rsidR="005B5953" w:rsidRPr="005B12AE" w:rsidRDefault="005B5953" w:rsidP="005B5953">
      <w:pPr>
        <w:spacing w:after="0"/>
        <w:jc w:val="right"/>
        <w:rPr>
          <w:rFonts w:ascii="Times New Roman" w:hAnsi="Times New Roman"/>
          <w:b/>
          <w:bCs/>
          <w:sz w:val="20"/>
          <w:szCs w:val="20"/>
        </w:rPr>
      </w:pPr>
      <w:r w:rsidRPr="005B12AE">
        <w:rPr>
          <w:rFonts w:ascii="Times New Roman" w:hAnsi="Times New Roman"/>
          <w:b/>
          <w:bCs/>
          <w:sz w:val="20"/>
          <w:szCs w:val="20"/>
        </w:rPr>
        <w:t>(₹ in Lakhs)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3"/>
        <w:gridCol w:w="1669"/>
        <w:gridCol w:w="1573"/>
        <w:gridCol w:w="1591"/>
      </w:tblGrid>
      <w:tr w:rsidR="005B5953" w:rsidRPr="005B12AE" w14:paraId="393967F6" w14:textId="77777777" w:rsidTr="00250DAC">
        <w:trPr>
          <w:trHeight w:val="20"/>
        </w:trPr>
        <w:tc>
          <w:tcPr>
            <w:tcW w:w="2689" w:type="pct"/>
            <w:shd w:val="clear" w:color="auto" w:fill="D0CECE" w:themeFill="background2" w:themeFillShade="E6"/>
            <w:noWrap/>
            <w:vAlign w:val="center"/>
            <w:hideMark/>
          </w:tcPr>
          <w:p w14:paraId="4C83F790" w14:textId="77777777" w:rsidR="005B5953" w:rsidRPr="005B12AE" w:rsidRDefault="005B5953" w:rsidP="00250DAC">
            <w:pPr>
              <w:pStyle w:val="NoSpacing"/>
              <w:spacing w:line="240" w:lineRule="auto"/>
              <w:jc w:val="center"/>
              <w:rPr>
                <w:b/>
                <w:bCs/>
              </w:rPr>
            </w:pPr>
            <w:r w:rsidRPr="005B12AE">
              <w:rPr>
                <w:b/>
                <w:bCs/>
              </w:rPr>
              <w:t xml:space="preserve">Particulars </w:t>
            </w:r>
          </w:p>
        </w:tc>
        <w:tc>
          <w:tcPr>
            <w:tcW w:w="798" w:type="pct"/>
            <w:shd w:val="clear" w:color="auto" w:fill="D0CECE" w:themeFill="background2" w:themeFillShade="E6"/>
            <w:noWrap/>
            <w:vAlign w:val="bottom"/>
            <w:hideMark/>
          </w:tcPr>
          <w:p w14:paraId="7DBD1FDB" w14:textId="77777777" w:rsidR="005B5953" w:rsidRPr="005B12AE" w:rsidRDefault="005B5953" w:rsidP="00250DAC">
            <w:pPr>
              <w:pStyle w:val="NoSpacing"/>
              <w:spacing w:line="240" w:lineRule="auto"/>
              <w:jc w:val="center"/>
              <w:rPr>
                <w:b/>
                <w:bCs/>
              </w:rPr>
            </w:pPr>
            <w:r w:rsidRPr="005B12AE">
              <w:rPr>
                <w:b/>
                <w:bCs/>
              </w:rPr>
              <w:t>31/03/2023</w:t>
            </w:r>
          </w:p>
        </w:tc>
        <w:tc>
          <w:tcPr>
            <w:tcW w:w="752" w:type="pct"/>
            <w:shd w:val="clear" w:color="auto" w:fill="D0CECE" w:themeFill="background2" w:themeFillShade="E6"/>
            <w:noWrap/>
            <w:vAlign w:val="bottom"/>
            <w:hideMark/>
          </w:tcPr>
          <w:p w14:paraId="5B7C1EE0" w14:textId="77777777" w:rsidR="005B5953" w:rsidRPr="005B12AE" w:rsidRDefault="005B5953" w:rsidP="00250DAC">
            <w:pPr>
              <w:pStyle w:val="NoSpacing"/>
              <w:spacing w:line="240" w:lineRule="auto"/>
              <w:jc w:val="center"/>
              <w:rPr>
                <w:b/>
                <w:bCs/>
              </w:rPr>
            </w:pPr>
            <w:r w:rsidRPr="005B12AE">
              <w:rPr>
                <w:b/>
                <w:bCs/>
              </w:rPr>
              <w:t>31/03/2022</w:t>
            </w:r>
          </w:p>
        </w:tc>
        <w:tc>
          <w:tcPr>
            <w:tcW w:w="761" w:type="pct"/>
            <w:shd w:val="clear" w:color="auto" w:fill="D0CECE" w:themeFill="background2" w:themeFillShade="E6"/>
            <w:noWrap/>
            <w:vAlign w:val="bottom"/>
            <w:hideMark/>
          </w:tcPr>
          <w:p w14:paraId="43B95D34" w14:textId="77777777" w:rsidR="005B5953" w:rsidRPr="005B12AE" w:rsidRDefault="005B5953" w:rsidP="00250DAC">
            <w:pPr>
              <w:pStyle w:val="NoSpacing"/>
              <w:spacing w:line="240" w:lineRule="auto"/>
              <w:jc w:val="center"/>
              <w:rPr>
                <w:b/>
                <w:bCs/>
              </w:rPr>
            </w:pPr>
            <w:r w:rsidRPr="005B12AE">
              <w:rPr>
                <w:b/>
                <w:bCs/>
              </w:rPr>
              <w:t>31/03/2021</w:t>
            </w:r>
          </w:p>
        </w:tc>
      </w:tr>
      <w:tr w:rsidR="005B5953" w:rsidRPr="005B12AE" w14:paraId="4D73BF54" w14:textId="77777777" w:rsidTr="00250DAC">
        <w:trPr>
          <w:trHeight w:val="20"/>
        </w:trPr>
        <w:tc>
          <w:tcPr>
            <w:tcW w:w="2689" w:type="pct"/>
            <w:shd w:val="clear" w:color="auto" w:fill="auto"/>
            <w:vAlign w:val="center"/>
            <w:hideMark/>
          </w:tcPr>
          <w:p w14:paraId="6A561A90" w14:textId="77777777" w:rsidR="005B5953" w:rsidRPr="005B12AE" w:rsidRDefault="005B5953" w:rsidP="00250DAC">
            <w:pPr>
              <w:pStyle w:val="NoSpacing"/>
              <w:spacing w:line="240" w:lineRule="auto"/>
              <w:rPr>
                <w:b/>
                <w:bCs/>
              </w:rPr>
            </w:pPr>
            <w:r w:rsidRPr="005B12AE">
              <w:rPr>
                <w:b/>
                <w:bCs/>
              </w:rPr>
              <w:t>Equity &amp; reserves as per Audited Balance sheet</w:t>
            </w:r>
          </w:p>
        </w:tc>
        <w:tc>
          <w:tcPr>
            <w:tcW w:w="798" w:type="pct"/>
            <w:shd w:val="clear" w:color="auto" w:fill="auto"/>
          </w:tcPr>
          <w:p w14:paraId="0445EA1F" w14:textId="77777777" w:rsidR="005B5953" w:rsidRPr="005B12AE" w:rsidRDefault="005B5953" w:rsidP="00250DAC">
            <w:pPr>
              <w:spacing w:after="0" w:line="240" w:lineRule="auto"/>
              <w:jc w:val="center"/>
              <w:rPr>
                <w:rFonts w:ascii="Times New Roman" w:hAnsi="Times New Roman"/>
                <w:color w:val="000000"/>
                <w:sz w:val="20"/>
                <w:szCs w:val="20"/>
                <w:highlight w:val="yellow"/>
              </w:rPr>
            </w:pPr>
            <w:r w:rsidRPr="005B12AE">
              <w:rPr>
                <w:rFonts w:ascii="Times New Roman" w:hAnsi="Times New Roman"/>
                <w:sz w:val="20"/>
                <w:szCs w:val="20"/>
              </w:rPr>
              <w:t>4,624.36</w:t>
            </w:r>
          </w:p>
        </w:tc>
        <w:tc>
          <w:tcPr>
            <w:tcW w:w="752" w:type="pct"/>
            <w:shd w:val="clear" w:color="auto" w:fill="auto"/>
          </w:tcPr>
          <w:p w14:paraId="093358A5" w14:textId="77777777" w:rsidR="005B5953" w:rsidRPr="005B12AE" w:rsidRDefault="005B5953" w:rsidP="00250DAC">
            <w:pPr>
              <w:spacing w:after="0" w:line="240" w:lineRule="auto"/>
              <w:jc w:val="center"/>
              <w:rPr>
                <w:rFonts w:ascii="Times New Roman" w:hAnsi="Times New Roman"/>
                <w:color w:val="000000"/>
                <w:sz w:val="20"/>
                <w:szCs w:val="20"/>
                <w:highlight w:val="yellow"/>
              </w:rPr>
            </w:pPr>
            <w:r w:rsidRPr="005B12AE">
              <w:rPr>
                <w:rFonts w:ascii="Times New Roman" w:hAnsi="Times New Roman"/>
                <w:sz w:val="20"/>
                <w:szCs w:val="20"/>
              </w:rPr>
              <w:t>4,048.56</w:t>
            </w:r>
          </w:p>
        </w:tc>
        <w:tc>
          <w:tcPr>
            <w:tcW w:w="761" w:type="pct"/>
            <w:shd w:val="clear" w:color="auto" w:fill="auto"/>
            <w:noWrap/>
          </w:tcPr>
          <w:p w14:paraId="11DC59F5" w14:textId="77777777" w:rsidR="005B5953" w:rsidRPr="005B12AE" w:rsidRDefault="005B5953" w:rsidP="00250DAC">
            <w:pPr>
              <w:spacing w:after="0" w:line="240" w:lineRule="auto"/>
              <w:jc w:val="center"/>
              <w:rPr>
                <w:rFonts w:ascii="Times New Roman" w:hAnsi="Times New Roman"/>
                <w:color w:val="000000"/>
                <w:sz w:val="20"/>
                <w:szCs w:val="20"/>
                <w:highlight w:val="yellow"/>
              </w:rPr>
            </w:pPr>
            <w:r w:rsidRPr="005B12AE">
              <w:rPr>
                <w:rFonts w:ascii="Times New Roman" w:hAnsi="Times New Roman"/>
                <w:sz w:val="20"/>
                <w:szCs w:val="20"/>
              </w:rPr>
              <w:t>3,592.64</w:t>
            </w:r>
          </w:p>
        </w:tc>
      </w:tr>
      <w:tr w:rsidR="005B5953" w:rsidRPr="005B12AE" w14:paraId="50367D6B" w14:textId="77777777" w:rsidTr="00250DAC">
        <w:trPr>
          <w:trHeight w:val="20"/>
        </w:trPr>
        <w:tc>
          <w:tcPr>
            <w:tcW w:w="2689" w:type="pct"/>
            <w:shd w:val="clear" w:color="auto" w:fill="auto"/>
            <w:noWrap/>
            <w:vAlign w:val="center"/>
            <w:hideMark/>
          </w:tcPr>
          <w:p w14:paraId="6C7FE39D" w14:textId="77777777" w:rsidR="005B5953" w:rsidRPr="005B12AE" w:rsidRDefault="005B5953" w:rsidP="00250DAC">
            <w:pPr>
              <w:pStyle w:val="NoSpacing"/>
              <w:spacing w:line="240" w:lineRule="auto"/>
            </w:pPr>
            <w:r w:rsidRPr="005B12AE">
              <w:t>Adjustments for:</w:t>
            </w:r>
          </w:p>
        </w:tc>
        <w:tc>
          <w:tcPr>
            <w:tcW w:w="798" w:type="pct"/>
            <w:shd w:val="clear" w:color="auto" w:fill="auto"/>
            <w:noWrap/>
            <w:vAlign w:val="center"/>
          </w:tcPr>
          <w:p w14:paraId="014BDFAC" w14:textId="77777777" w:rsidR="005B5953" w:rsidRPr="005B12AE" w:rsidRDefault="005B5953" w:rsidP="00250DAC">
            <w:pPr>
              <w:pStyle w:val="NoSpacing"/>
              <w:spacing w:line="240" w:lineRule="auto"/>
              <w:jc w:val="center"/>
              <w:rPr>
                <w:highlight w:val="yellow"/>
              </w:rPr>
            </w:pPr>
          </w:p>
        </w:tc>
        <w:tc>
          <w:tcPr>
            <w:tcW w:w="752" w:type="pct"/>
            <w:shd w:val="clear" w:color="auto" w:fill="auto"/>
            <w:noWrap/>
            <w:vAlign w:val="center"/>
          </w:tcPr>
          <w:p w14:paraId="56D070AC" w14:textId="77777777" w:rsidR="005B5953" w:rsidRPr="005B12AE" w:rsidRDefault="005B5953" w:rsidP="00250DAC">
            <w:pPr>
              <w:pStyle w:val="NoSpacing"/>
              <w:spacing w:line="240" w:lineRule="auto"/>
              <w:jc w:val="center"/>
              <w:rPr>
                <w:highlight w:val="yellow"/>
              </w:rPr>
            </w:pPr>
          </w:p>
        </w:tc>
        <w:tc>
          <w:tcPr>
            <w:tcW w:w="761" w:type="pct"/>
            <w:shd w:val="clear" w:color="auto" w:fill="auto"/>
            <w:noWrap/>
            <w:vAlign w:val="center"/>
          </w:tcPr>
          <w:p w14:paraId="157F5041" w14:textId="77777777" w:rsidR="005B5953" w:rsidRPr="005B12AE" w:rsidRDefault="005B5953" w:rsidP="00250DAC">
            <w:pPr>
              <w:pStyle w:val="NoSpacing"/>
              <w:spacing w:line="240" w:lineRule="auto"/>
              <w:jc w:val="center"/>
              <w:rPr>
                <w:highlight w:val="yellow"/>
              </w:rPr>
            </w:pPr>
          </w:p>
        </w:tc>
      </w:tr>
      <w:tr w:rsidR="005B5953" w:rsidRPr="005B12AE" w14:paraId="5FAD8CE1" w14:textId="77777777" w:rsidTr="00250DAC">
        <w:trPr>
          <w:trHeight w:val="20"/>
        </w:trPr>
        <w:tc>
          <w:tcPr>
            <w:tcW w:w="2689" w:type="pct"/>
            <w:shd w:val="clear" w:color="auto" w:fill="auto"/>
            <w:noWrap/>
            <w:vAlign w:val="center"/>
          </w:tcPr>
          <w:p w14:paraId="5576475D" w14:textId="77777777" w:rsidR="005B5953" w:rsidRPr="005B12AE" w:rsidRDefault="005B5953" w:rsidP="00250DAC">
            <w:pPr>
              <w:pStyle w:val="NoSpacing"/>
              <w:spacing w:line="240" w:lineRule="auto"/>
            </w:pPr>
            <w:r w:rsidRPr="005B12AE">
              <w:t>Difference Due to Change in P&amp;L</w:t>
            </w:r>
          </w:p>
        </w:tc>
        <w:tc>
          <w:tcPr>
            <w:tcW w:w="798" w:type="pct"/>
            <w:shd w:val="clear" w:color="auto" w:fill="auto"/>
            <w:noWrap/>
          </w:tcPr>
          <w:p w14:paraId="359C9E4A" w14:textId="77777777" w:rsidR="005B5953" w:rsidRPr="005B12AE" w:rsidRDefault="005B5953" w:rsidP="00250DAC">
            <w:pPr>
              <w:spacing w:after="0" w:line="240" w:lineRule="auto"/>
              <w:jc w:val="center"/>
              <w:rPr>
                <w:rFonts w:ascii="Times New Roman" w:hAnsi="Times New Roman"/>
                <w:color w:val="000000"/>
                <w:sz w:val="20"/>
                <w:szCs w:val="20"/>
                <w:highlight w:val="yellow"/>
              </w:rPr>
            </w:pPr>
            <w:r w:rsidRPr="005B12AE">
              <w:rPr>
                <w:rFonts w:ascii="Times New Roman" w:hAnsi="Times New Roman"/>
                <w:sz w:val="20"/>
                <w:szCs w:val="20"/>
              </w:rPr>
              <w:t>48.88</w:t>
            </w:r>
          </w:p>
        </w:tc>
        <w:tc>
          <w:tcPr>
            <w:tcW w:w="752" w:type="pct"/>
            <w:shd w:val="clear" w:color="auto" w:fill="auto"/>
            <w:noWrap/>
          </w:tcPr>
          <w:p w14:paraId="54715F1D" w14:textId="77777777" w:rsidR="005B5953" w:rsidRPr="005B12AE" w:rsidRDefault="005B5953" w:rsidP="00250DAC">
            <w:pPr>
              <w:spacing w:after="0" w:line="240" w:lineRule="auto"/>
              <w:jc w:val="center"/>
              <w:rPr>
                <w:rFonts w:ascii="Times New Roman" w:hAnsi="Times New Roman"/>
                <w:color w:val="000000"/>
                <w:sz w:val="20"/>
                <w:szCs w:val="20"/>
                <w:highlight w:val="yellow"/>
              </w:rPr>
            </w:pPr>
            <w:r w:rsidRPr="005B12AE">
              <w:rPr>
                <w:rFonts w:ascii="Times New Roman" w:hAnsi="Times New Roman"/>
                <w:sz w:val="20"/>
                <w:szCs w:val="20"/>
              </w:rPr>
              <w:t>(133.45)</w:t>
            </w:r>
          </w:p>
        </w:tc>
        <w:tc>
          <w:tcPr>
            <w:tcW w:w="761" w:type="pct"/>
            <w:shd w:val="clear" w:color="auto" w:fill="auto"/>
            <w:noWrap/>
          </w:tcPr>
          <w:p w14:paraId="1C5ABA66" w14:textId="77777777" w:rsidR="005B5953" w:rsidRPr="005B12AE" w:rsidRDefault="005B5953" w:rsidP="00250DAC">
            <w:pPr>
              <w:spacing w:after="0" w:line="240" w:lineRule="auto"/>
              <w:jc w:val="center"/>
              <w:rPr>
                <w:rFonts w:ascii="Times New Roman" w:hAnsi="Times New Roman"/>
                <w:color w:val="000000"/>
                <w:sz w:val="20"/>
                <w:szCs w:val="20"/>
                <w:highlight w:val="yellow"/>
              </w:rPr>
            </w:pPr>
            <w:r w:rsidRPr="005B12AE">
              <w:rPr>
                <w:rFonts w:ascii="Times New Roman" w:hAnsi="Times New Roman"/>
                <w:sz w:val="20"/>
                <w:szCs w:val="20"/>
              </w:rPr>
              <w:t>(45.73)</w:t>
            </w:r>
          </w:p>
        </w:tc>
      </w:tr>
      <w:tr w:rsidR="005B5953" w:rsidRPr="005B12AE" w14:paraId="155B08F9" w14:textId="77777777" w:rsidTr="00250DAC">
        <w:trPr>
          <w:trHeight w:val="20"/>
        </w:trPr>
        <w:tc>
          <w:tcPr>
            <w:tcW w:w="2689" w:type="pct"/>
            <w:shd w:val="clear" w:color="auto" w:fill="auto"/>
            <w:noWrap/>
            <w:vAlign w:val="center"/>
          </w:tcPr>
          <w:p w14:paraId="20028BED" w14:textId="77777777" w:rsidR="005B5953" w:rsidRPr="005B12AE" w:rsidRDefault="005B5953" w:rsidP="00250DAC">
            <w:pPr>
              <w:pStyle w:val="NoSpacing"/>
              <w:spacing w:line="240" w:lineRule="auto"/>
            </w:pPr>
            <w:r w:rsidRPr="005B12AE">
              <w:t>Prior period Adjustments (Refer Note-1)</w:t>
            </w:r>
          </w:p>
        </w:tc>
        <w:tc>
          <w:tcPr>
            <w:tcW w:w="798" w:type="pct"/>
            <w:shd w:val="clear" w:color="auto" w:fill="auto"/>
            <w:noWrap/>
          </w:tcPr>
          <w:p w14:paraId="1CBEC410" w14:textId="77777777" w:rsidR="005B5953" w:rsidRPr="005B12AE" w:rsidRDefault="005B5953" w:rsidP="00250DAC">
            <w:pPr>
              <w:spacing w:after="0" w:line="240" w:lineRule="auto"/>
              <w:jc w:val="center"/>
              <w:rPr>
                <w:rFonts w:ascii="Times New Roman" w:hAnsi="Times New Roman"/>
                <w:color w:val="000000"/>
                <w:sz w:val="20"/>
                <w:szCs w:val="20"/>
                <w:highlight w:val="yellow"/>
              </w:rPr>
            </w:pPr>
            <w:r w:rsidRPr="005B12AE">
              <w:rPr>
                <w:rFonts w:ascii="Times New Roman" w:hAnsi="Times New Roman"/>
                <w:sz w:val="20"/>
                <w:szCs w:val="20"/>
              </w:rPr>
              <w:t>(31.12)</w:t>
            </w:r>
          </w:p>
        </w:tc>
        <w:tc>
          <w:tcPr>
            <w:tcW w:w="752" w:type="pct"/>
            <w:shd w:val="clear" w:color="auto" w:fill="auto"/>
            <w:noWrap/>
          </w:tcPr>
          <w:p w14:paraId="5D745FCB" w14:textId="77777777" w:rsidR="005B5953" w:rsidRPr="005B12AE" w:rsidRDefault="005B5953" w:rsidP="00250DAC">
            <w:pPr>
              <w:spacing w:after="0" w:line="240" w:lineRule="auto"/>
              <w:jc w:val="center"/>
              <w:rPr>
                <w:rFonts w:ascii="Times New Roman" w:hAnsi="Times New Roman"/>
                <w:color w:val="000000"/>
                <w:sz w:val="20"/>
                <w:szCs w:val="20"/>
                <w:highlight w:val="yellow"/>
              </w:rPr>
            </w:pPr>
            <w:r w:rsidRPr="005B12AE">
              <w:rPr>
                <w:rFonts w:ascii="Times New Roman" w:hAnsi="Times New Roman"/>
                <w:sz w:val="20"/>
                <w:szCs w:val="20"/>
              </w:rPr>
              <w:t>(38.41)</w:t>
            </w:r>
          </w:p>
        </w:tc>
        <w:tc>
          <w:tcPr>
            <w:tcW w:w="761" w:type="pct"/>
            <w:shd w:val="clear" w:color="auto" w:fill="auto"/>
            <w:noWrap/>
          </w:tcPr>
          <w:p w14:paraId="548BE19C" w14:textId="77777777" w:rsidR="005B5953" w:rsidRPr="005B12AE" w:rsidRDefault="005B5953" w:rsidP="00250DAC">
            <w:pPr>
              <w:spacing w:after="0" w:line="240" w:lineRule="auto"/>
              <w:jc w:val="center"/>
              <w:rPr>
                <w:rFonts w:ascii="Times New Roman" w:hAnsi="Times New Roman"/>
                <w:color w:val="000000"/>
                <w:sz w:val="20"/>
                <w:szCs w:val="20"/>
                <w:highlight w:val="yellow"/>
              </w:rPr>
            </w:pPr>
            <w:r w:rsidRPr="005B12AE">
              <w:rPr>
                <w:rFonts w:ascii="Times New Roman" w:hAnsi="Times New Roman"/>
                <w:sz w:val="20"/>
                <w:szCs w:val="20"/>
              </w:rPr>
              <w:t>7.33</w:t>
            </w:r>
          </w:p>
        </w:tc>
      </w:tr>
      <w:tr w:rsidR="005B5953" w:rsidRPr="005B12AE" w14:paraId="5374327B" w14:textId="77777777" w:rsidTr="00250DAC">
        <w:trPr>
          <w:trHeight w:val="20"/>
        </w:trPr>
        <w:tc>
          <w:tcPr>
            <w:tcW w:w="2689" w:type="pct"/>
            <w:shd w:val="clear" w:color="auto" w:fill="auto"/>
            <w:noWrap/>
            <w:vAlign w:val="center"/>
            <w:hideMark/>
          </w:tcPr>
          <w:p w14:paraId="6073F021" w14:textId="77777777" w:rsidR="005B5953" w:rsidRPr="005B12AE" w:rsidRDefault="005B5953" w:rsidP="00250DAC">
            <w:pPr>
              <w:pStyle w:val="NoSpacing"/>
              <w:spacing w:line="240" w:lineRule="auto"/>
              <w:rPr>
                <w:b/>
                <w:bCs/>
              </w:rPr>
            </w:pPr>
            <w:r w:rsidRPr="005B12AE">
              <w:rPr>
                <w:b/>
                <w:bCs/>
              </w:rPr>
              <w:t>Equity and reserves as per Re-stated Balance sheet</w:t>
            </w:r>
          </w:p>
        </w:tc>
        <w:tc>
          <w:tcPr>
            <w:tcW w:w="798" w:type="pct"/>
            <w:shd w:val="clear" w:color="auto" w:fill="auto"/>
            <w:noWrap/>
          </w:tcPr>
          <w:p w14:paraId="5ACFFA41" w14:textId="77777777" w:rsidR="005B5953" w:rsidRPr="005B12AE" w:rsidRDefault="005B5953" w:rsidP="00250DAC">
            <w:pPr>
              <w:spacing w:after="0" w:line="240" w:lineRule="auto"/>
              <w:jc w:val="center"/>
              <w:rPr>
                <w:rFonts w:ascii="Times New Roman" w:hAnsi="Times New Roman"/>
                <w:b/>
                <w:bCs/>
                <w:color w:val="000000"/>
                <w:sz w:val="20"/>
                <w:szCs w:val="20"/>
                <w:highlight w:val="yellow"/>
              </w:rPr>
            </w:pPr>
            <w:r w:rsidRPr="005B12AE">
              <w:rPr>
                <w:rFonts w:ascii="Times New Roman" w:hAnsi="Times New Roman"/>
                <w:sz w:val="20"/>
                <w:szCs w:val="20"/>
              </w:rPr>
              <w:t>4,642.12</w:t>
            </w:r>
          </w:p>
        </w:tc>
        <w:tc>
          <w:tcPr>
            <w:tcW w:w="752" w:type="pct"/>
            <w:shd w:val="clear" w:color="auto" w:fill="auto"/>
            <w:noWrap/>
          </w:tcPr>
          <w:p w14:paraId="77C06866" w14:textId="77777777" w:rsidR="005B5953" w:rsidRPr="005B12AE" w:rsidRDefault="005B5953" w:rsidP="00250DAC">
            <w:pPr>
              <w:spacing w:after="0" w:line="240" w:lineRule="auto"/>
              <w:jc w:val="center"/>
              <w:rPr>
                <w:rFonts w:ascii="Times New Roman" w:hAnsi="Times New Roman"/>
                <w:b/>
                <w:bCs/>
                <w:color w:val="000000"/>
                <w:sz w:val="20"/>
                <w:szCs w:val="20"/>
                <w:highlight w:val="yellow"/>
              </w:rPr>
            </w:pPr>
            <w:r w:rsidRPr="005B12AE">
              <w:rPr>
                <w:rFonts w:ascii="Times New Roman" w:hAnsi="Times New Roman"/>
                <w:sz w:val="20"/>
                <w:szCs w:val="20"/>
              </w:rPr>
              <w:t>3,876.71</w:t>
            </w:r>
          </w:p>
        </w:tc>
        <w:tc>
          <w:tcPr>
            <w:tcW w:w="761" w:type="pct"/>
            <w:shd w:val="clear" w:color="auto" w:fill="auto"/>
            <w:noWrap/>
          </w:tcPr>
          <w:p w14:paraId="2B721AA0" w14:textId="77777777" w:rsidR="005B5953" w:rsidRPr="005B12AE" w:rsidRDefault="005B5953" w:rsidP="00250DAC">
            <w:pPr>
              <w:spacing w:after="0" w:line="240" w:lineRule="auto"/>
              <w:jc w:val="center"/>
              <w:rPr>
                <w:rFonts w:ascii="Times New Roman" w:hAnsi="Times New Roman"/>
                <w:b/>
                <w:bCs/>
                <w:color w:val="000000"/>
                <w:sz w:val="20"/>
                <w:szCs w:val="20"/>
                <w:highlight w:val="yellow"/>
              </w:rPr>
            </w:pPr>
            <w:r w:rsidRPr="005B12AE">
              <w:rPr>
                <w:rFonts w:ascii="Times New Roman" w:hAnsi="Times New Roman"/>
                <w:sz w:val="20"/>
                <w:szCs w:val="20"/>
              </w:rPr>
              <w:t>3,554.23</w:t>
            </w:r>
          </w:p>
        </w:tc>
      </w:tr>
    </w:tbl>
    <w:p w14:paraId="2BC18807" w14:textId="77777777" w:rsidR="005B5953" w:rsidRPr="005B12AE" w:rsidRDefault="005B5953" w:rsidP="005B5953">
      <w:pPr>
        <w:spacing w:after="0" w:line="240" w:lineRule="auto"/>
        <w:rPr>
          <w:rFonts w:ascii="Times New Roman" w:hAnsi="Times New Roman"/>
          <w:b/>
          <w:bCs/>
          <w:color w:val="000000"/>
          <w:sz w:val="20"/>
          <w:szCs w:val="20"/>
          <w:u w:val="single"/>
        </w:rPr>
      </w:pPr>
    </w:p>
    <w:p w14:paraId="3A8C4B3C" w14:textId="77777777" w:rsidR="005B5953" w:rsidRPr="005B12AE" w:rsidRDefault="005B5953" w:rsidP="005B5953">
      <w:pPr>
        <w:pStyle w:val="NoSpacing"/>
        <w:spacing w:line="276" w:lineRule="auto"/>
        <w:jc w:val="both"/>
        <w:rPr>
          <w:b/>
          <w:bCs/>
        </w:rPr>
      </w:pPr>
      <w:r w:rsidRPr="005B12AE">
        <w:rPr>
          <w:b/>
          <w:bCs/>
        </w:rPr>
        <w:t>Note: 1</w:t>
      </w:r>
    </w:p>
    <w:p w14:paraId="332F1CB5" w14:textId="77777777" w:rsidR="005B5953" w:rsidRPr="005B12AE" w:rsidRDefault="005B5953" w:rsidP="005B5953">
      <w:pPr>
        <w:pStyle w:val="NoSpacing"/>
        <w:spacing w:line="276" w:lineRule="auto"/>
        <w:jc w:val="both"/>
        <w:rPr>
          <w:bCs/>
        </w:rPr>
      </w:pPr>
      <w:r w:rsidRPr="005B12AE">
        <w:rPr>
          <w:bCs/>
        </w:rPr>
        <w:t>Amounts relating to the prior period have been adjusted in the year to which the same relates to and the same amount is arrived on account of change in Opening Balance of Reserve and Surplus due to the restated effect on the profit / (loss) of prior period.</w:t>
      </w:r>
    </w:p>
    <w:p w14:paraId="316D126A" w14:textId="77777777" w:rsidR="005B5953" w:rsidRPr="005B12AE" w:rsidRDefault="005B5953" w:rsidP="005B5953">
      <w:pPr>
        <w:pStyle w:val="NoSpacing"/>
        <w:spacing w:line="276" w:lineRule="auto"/>
        <w:jc w:val="both"/>
        <w:rPr>
          <w:bCs/>
        </w:rPr>
      </w:pPr>
      <w:r w:rsidRPr="005B12AE">
        <w:rPr>
          <w:bCs/>
        </w:rPr>
        <w:t>Appropriate adjustments have been made in the restated financial statements, wherever required, by reclassification of the corresponding items of Income, expenses, assets and liabilities, in order to bring them in line with the groupings as per the audited financial of the company for all the years and requirements of the Securities and Exchange Board of India (Issue of Capital and Disclosure Requirements) Regulations 2018.</w:t>
      </w:r>
    </w:p>
    <w:p w14:paraId="40682B00" w14:textId="77777777" w:rsidR="005B5953" w:rsidRPr="005B12AE" w:rsidRDefault="005B5953" w:rsidP="005B5953">
      <w:pPr>
        <w:pStyle w:val="NoSpacing"/>
        <w:spacing w:line="276" w:lineRule="auto"/>
        <w:rPr>
          <w:b/>
          <w:bCs/>
          <w:i/>
        </w:rPr>
      </w:pPr>
    </w:p>
    <w:p w14:paraId="77466534" w14:textId="77777777" w:rsidR="005B5953" w:rsidRPr="005B12AE" w:rsidRDefault="005B5953" w:rsidP="005B5953">
      <w:pPr>
        <w:spacing w:after="0"/>
        <w:rPr>
          <w:rFonts w:ascii="Times New Roman" w:hAnsi="Times New Roman"/>
          <w:b/>
          <w:bCs/>
          <w:sz w:val="20"/>
          <w:szCs w:val="20"/>
        </w:rPr>
      </w:pPr>
      <w:r w:rsidRPr="005B12AE">
        <w:rPr>
          <w:rFonts w:ascii="Times New Roman" w:hAnsi="Times New Roman"/>
          <w:b/>
          <w:bCs/>
          <w:sz w:val="20"/>
          <w:szCs w:val="20"/>
        </w:rPr>
        <w:t xml:space="preserve">For M/s Kamlesh Rathod &amp; Associates </w:t>
      </w:r>
    </w:p>
    <w:p w14:paraId="62A583A9" w14:textId="77777777" w:rsidR="005B5953" w:rsidRPr="005B12AE" w:rsidRDefault="005B5953" w:rsidP="005B5953">
      <w:pPr>
        <w:spacing w:after="0"/>
        <w:rPr>
          <w:rFonts w:ascii="Times New Roman" w:hAnsi="Times New Roman"/>
          <w:b/>
          <w:bCs/>
          <w:sz w:val="20"/>
          <w:szCs w:val="20"/>
        </w:rPr>
      </w:pPr>
      <w:r w:rsidRPr="005B12AE">
        <w:rPr>
          <w:rFonts w:ascii="Times New Roman" w:hAnsi="Times New Roman"/>
          <w:b/>
          <w:bCs/>
          <w:sz w:val="20"/>
          <w:szCs w:val="20"/>
        </w:rPr>
        <w:t>Chartered Accountants</w:t>
      </w:r>
    </w:p>
    <w:p w14:paraId="02B8C955" w14:textId="77777777" w:rsidR="005B5953" w:rsidRPr="005B12AE" w:rsidRDefault="005B5953" w:rsidP="005B5953">
      <w:pPr>
        <w:spacing w:after="0"/>
        <w:rPr>
          <w:rFonts w:ascii="Times New Roman" w:hAnsi="Times New Roman"/>
          <w:b/>
          <w:bCs/>
          <w:sz w:val="20"/>
          <w:szCs w:val="20"/>
        </w:rPr>
      </w:pPr>
      <w:r w:rsidRPr="005B12AE">
        <w:rPr>
          <w:rFonts w:ascii="Times New Roman" w:hAnsi="Times New Roman"/>
          <w:b/>
          <w:bCs/>
          <w:sz w:val="20"/>
          <w:szCs w:val="20"/>
        </w:rPr>
        <w:t xml:space="preserve">FRN No. 117930W </w:t>
      </w:r>
    </w:p>
    <w:p w14:paraId="06107AAE" w14:textId="77777777" w:rsidR="005B5953" w:rsidRPr="005B12AE" w:rsidRDefault="005B5953" w:rsidP="005B5953">
      <w:pPr>
        <w:spacing w:after="0"/>
        <w:rPr>
          <w:rFonts w:ascii="Times New Roman" w:hAnsi="Times New Roman"/>
          <w:b/>
          <w:bCs/>
          <w:sz w:val="20"/>
          <w:szCs w:val="20"/>
        </w:rPr>
      </w:pPr>
      <w:r w:rsidRPr="005B12AE">
        <w:rPr>
          <w:rFonts w:ascii="Times New Roman" w:hAnsi="Times New Roman"/>
          <w:b/>
          <w:bCs/>
          <w:sz w:val="20"/>
          <w:szCs w:val="20"/>
        </w:rPr>
        <w:t>UDIN: 23131261BGUTKS2867</w:t>
      </w:r>
    </w:p>
    <w:p w14:paraId="413F0C8D" w14:textId="77777777" w:rsidR="005B5953" w:rsidRPr="005B12AE" w:rsidRDefault="005B5953" w:rsidP="005B5953">
      <w:pPr>
        <w:spacing w:after="0"/>
        <w:rPr>
          <w:rFonts w:ascii="Times New Roman" w:hAnsi="Times New Roman"/>
          <w:b/>
          <w:bCs/>
          <w:sz w:val="20"/>
          <w:szCs w:val="20"/>
        </w:rPr>
      </w:pPr>
    </w:p>
    <w:p w14:paraId="2AD1558E" w14:textId="77777777" w:rsidR="005B5953" w:rsidRPr="005B12AE" w:rsidRDefault="005B5953" w:rsidP="005B5953">
      <w:pPr>
        <w:spacing w:after="0"/>
        <w:rPr>
          <w:rFonts w:ascii="Times New Roman" w:hAnsi="Times New Roman"/>
          <w:b/>
          <w:sz w:val="20"/>
          <w:szCs w:val="20"/>
        </w:rPr>
      </w:pPr>
      <w:r w:rsidRPr="005B12AE">
        <w:rPr>
          <w:rFonts w:ascii="Times New Roman" w:hAnsi="Times New Roman"/>
          <w:b/>
          <w:sz w:val="20"/>
          <w:szCs w:val="20"/>
        </w:rPr>
        <w:t>Sd/-</w:t>
      </w:r>
    </w:p>
    <w:p w14:paraId="3BCBF90F" w14:textId="77777777" w:rsidR="005B5953" w:rsidRPr="005B12AE" w:rsidRDefault="005B5953" w:rsidP="005B5953">
      <w:pPr>
        <w:spacing w:after="0"/>
        <w:rPr>
          <w:rFonts w:ascii="Times New Roman" w:hAnsi="Times New Roman"/>
          <w:b/>
          <w:bCs/>
          <w:sz w:val="20"/>
          <w:szCs w:val="20"/>
        </w:rPr>
      </w:pPr>
      <w:r w:rsidRPr="005B12AE">
        <w:rPr>
          <w:rFonts w:ascii="Times New Roman" w:hAnsi="Times New Roman"/>
          <w:b/>
          <w:bCs/>
          <w:sz w:val="20"/>
          <w:szCs w:val="20"/>
        </w:rPr>
        <w:t>(Sagar D Shah)</w:t>
      </w:r>
    </w:p>
    <w:p w14:paraId="1B1E9170" w14:textId="77777777" w:rsidR="005B5953" w:rsidRPr="005B12AE" w:rsidRDefault="005B5953" w:rsidP="005B5953">
      <w:pPr>
        <w:spacing w:after="0"/>
        <w:jc w:val="both"/>
        <w:rPr>
          <w:rFonts w:ascii="Times New Roman" w:hAnsi="Times New Roman"/>
          <w:b/>
          <w:bCs/>
          <w:sz w:val="20"/>
          <w:szCs w:val="20"/>
        </w:rPr>
      </w:pPr>
      <w:r w:rsidRPr="005B12AE">
        <w:rPr>
          <w:rFonts w:ascii="Times New Roman" w:hAnsi="Times New Roman"/>
          <w:b/>
          <w:bCs/>
          <w:sz w:val="20"/>
          <w:szCs w:val="20"/>
        </w:rPr>
        <w:t>Partner</w:t>
      </w:r>
    </w:p>
    <w:p w14:paraId="7EBE391F" w14:textId="77777777" w:rsidR="005B5953" w:rsidRPr="005B12AE" w:rsidRDefault="005B5953" w:rsidP="005B5953">
      <w:pPr>
        <w:spacing w:after="0"/>
        <w:rPr>
          <w:rFonts w:ascii="Times New Roman" w:hAnsi="Times New Roman"/>
          <w:b/>
          <w:bCs/>
          <w:sz w:val="20"/>
          <w:szCs w:val="20"/>
        </w:rPr>
      </w:pPr>
      <w:r w:rsidRPr="005B12AE">
        <w:rPr>
          <w:rFonts w:ascii="Times New Roman" w:hAnsi="Times New Roman"/>
          <w:b/>
          <w:bCs/>
          <w:sz w:val="20"/>
          <w:szCs w:val="20"/>
        </w:rPr>
        <w:t>M. No. 131261</w:t>
      </w:r>
    </w:p>
    <w:p w14:paraId="62A24662" w14:textId="77777777" w:rsidR="005B5953" w:rsidRPr="005B12AE" w:rsidRDefault="005B5953" w:rsidP="005B5953">
      <w:pPr>
        <w:spacing w:after="0"/>
        <w:rPr>
          <w:rFonts w:ascii="Times New Roman" w:hAnsi="Times New Roman"/>
          <w:b/>
          <w:bCs/>
          <w:sz w:val="20"/>
          <w:szCs w:val="20"/>
        </w:rPr>
      </w:pPr>
      <w:r w:rsidRPr="005B12AE">
        <w:rPr>
          <w:rFonts w:ascii="Times New Roman" w:hAnsi="Times New Roman"/>
          <w:b/>
          <w:bCs/>
          <w:sz w:val="20"/>
          <w:szCs w:val="20"/>
        </w:rPr>
        <w:t>Place: Jamnagar</w:t>
      </w:r>
    </w:p>
    <w:p w14:paraId="0672FBA4" w14:textId="77777777" w:rsidR="005B5953" w:rsidRPr="005B12AE" w:rsidRDefault="005B5953" w:rsidP="005B5953">
      <w:pPr>
        <w:spacing w:after="0"/>
        <w:rPr>
          <w:rFonts w:ascii="Times New Roman" w:hAnsi="Times New Roman"/>
          <w:b/>
          <w:bCs/>
          <w:sz w:val="20"/>
          <w:szCs w:val="20"/>
        </w:rPr>
      </w:pPr>
      <w:r w:rsidRPr="005B12AE">
        <w:rPr>
          <w:rFonts w:ascii="Times New Roman" w:hAnsi="Times New Roman"/>
          <w:b/>
          <w:bCs/>
          <w:sz w:val="20"/>
          <w:szCs w:val="20"/>
        </w:rPr>
        <w:t>Date: 12</w:t>
      </w:r>
      <w:r w:rsidRPr="005B12AE">
        <w:rPr>
          <w:rFonts w:ascii="Times New Roman" w:hAnsi="Times New Roman"/>
          <w:b/>
          <w:bCs/>
          <w:sz w:val="20"/>
          <w:szCs w:val="20"/>
          <w:vertAlign w:val="superscript"/>
        </w:rPr>
        <w:t>th</w:t>
      </w:r>
      <w:r w:rsidRPr="005B12AE">
        <w:rPr>
          <w:rFonts w:ascii="Times New Roman" w:hAnsi="Times New Roman"/>
          <w:b/>
          <w:bCs/>
          <w:sz w:val="20"/>
          <w:szCs w:val="20"/>
        </w:rPr>
        <w:t xml:space="preserve"> September, 2023</w:t>
      </w:r>
    </w:p>
    <w:p w14:paraId="042C747C" w14:textId="77777777" w:rsidR="005B5953" w:rsidRPr="005B12AE" w:rsidRDefault="005B5953" w:rsidP="005B5953">
      <w:pPr>
        <w:spacing w:after="0" w:line="240" w:lineRule="auto"/>
        <w:rPr>
          <w:rFonts w:ascii="Times New Roman" w:hAnsi="Times New Roman"/>
          <w:b/>
          <w:bCs/>
          <w:color w:val="000000"/>
          <w:sz w:val="20"/>
          <w:szCs w:val="20"/>
          <w:u w:val="single"/>
        </w:rPr>
      </w:pPr>
    </w:p>
    <w:p w14:paraId="387D6B79" w14:textId="77777777" w:rsidR="005B5953" w:rsidRPr="005B12AE" w:rsidRDefault="005B5953" w:rsidP="005B5953">
      <w:pPr>
        <w:spacing w:after="0"/>
        <w:jc w:val="right"/>
        <w:rPr>
          <w:rFonts w:ascii="Times New Roman" w:hAnsi="Times New Roman"/>
          <w:b/>
          <w:bCs/>
          <w:sz w:val="20"/>
          <w:szCs w:val="20"/>
        </w:rPr>
      </w:pPr>
    </w:p>
    <w:p w14:paraId="3E90E42A" w14:textId="77777777" w:rsidR="005B5953" w:rsidRPr="005B12AE" w:rsidRDefault="005B5953" w:rsidP="005B5953">
      <w:pPr>
        <w:rPr>
          <w:rFonts w:ascii="Times New Roman" w:hAnsi="Times New Roman"/>
          <w:b/>
          <w:bCs/>
          <w:sz w:val="20"/>
          <w:szCs w:val="20"/>
        </w:rPr>
      </w:pPr>
    </w:p>
    <w:p w14:paraId="578DE59D" w14:textId="77777777" w:rsidR="005B5953" w:rsidRPr="005B12AE" w:rsidRDefault="005B5953" w:rsidP="005B5953">
      <w:pPr>
        <w:jc w:val="center"/>
        <w:rPr>
          <w:rFonts w:ascii="Times New Roman" w:hAnsi="Times New Roman"/>
          <w:b/>
          <w:bCs/>
          <w:sz w:val="20"/>
          <w:szCs w:val="20"/>
        </w:rPr>
      </w:pPr>
      <w:r w:rsidRPr="005B12AE">
        <w:rPr>
          <w:rFonts w:ascii="Times New Roman" w:hAnsi="Times New Roman"/>
          <w:b/>
          <w:bCs/>
          <w:sz w:val="20"/>
          <w:szCs w:val="20"/>
        </w:rPr>
        <w:br w:type="page"/>
      </w:r>
      <w:r w:rsidRPr="005B12AE">
        <w:rPr>
          <w:rFonts w:ascii="Times New Roman" w:hAnsi="Times New Roman"/>
          <w:b/>
          <w:bCs/>
          <w:sz w:val="20"/>
          <w:szCs w:val="20"/>
        </w:rPr>
        <w:lastRenderedPageBreak/>
        <w:t>ANNEXURE V - NOTES TO THE RESTATED FINANCIAL INFORMATION</w:t>
      </w:r>
    </w:p>
    <w:p w14:paraId="79AEA760" w14:textId="77777777" w:rsidR="005B5953" w:rsidRPr="005B12AE" w:rsidRDefault="005B5953" w:rsidP="005B5953">
      <w:pPr>
        <w:spacing w:after="0"/>
        <w:jc w:val="center"/>
        <w:rPr>
          <w:rFonts w:ascii="Times New Roman" w:hAnsi="Times New Roman"/>
          <w:b/>
          <w:bCs/>
          <w:sz w:val="20"/>
          <w:szCs w:val="20"/>
        </w:rPr>
      </w:pPr>
      <w:r w:rsidRPr="005B12AE">
        <w:rPr>
          <w:rFonts w:ascii="Times New Roman" w:hAnsi="Times New Roman"/>
          <w:b/>
          <w:bCs/>
          <w:sz w:val="20"/>
          <w:szCs w:val="20"/>
        </w:rPr>
        <w:t>NOTE – 1</w:t>
      </w:r>
    </w:p>
    <w:p w14:paraId="3C580AEE" w14:textId="77777777" w:rsidR="005B5953" w:rsidRPr="005B12AE" w:rsidRDefault="005B5953" w:rsidP="005B5953">
      <w:pPr>
        <w:spacing w:after="0"/>
        <w:jc w:val="center"/>
        <w:rPr>
          <w:rFonts w:ascii="Times New Roman" w:hAnsi="Times New Roman"/>
          <w:b/>
          <w:bCs/>
          <w:sz w:val="20"/>
          <w:szCs w:val="20"/>
        </w:rPr>
      </w:pPr>
    </w:p>
    <w:p w14:paraId="18A82C72" w14:textId="77777777" w:rsidR="005B5953" w:rsidRPr="005B12AE" w:rsidRDefault="005B5953" w:rsidP="005B5953">
      <w:pPr>
        <w:spacing w:after="0"/>
        <w:jc w:val="center"/>
        <w:rPr>
          <w:rFonts w:ascii="Times New Roman" w:hAnsi="Times New Roman"/>
          <w:b/>
          <w:bCs/>
          <w:sz w:val="20"/>
          <w:szCs w:val="20"/>
        </w:rPr>
      </w:pPr>
      <w:r w:rsidRPr="005B12AE">
        <w:rPr>
          <w:rFonts w:ascii="Times New Roman" w:hAnsi="Times New Roman"/>
          <w:b/>
          <w:bCs/>
          <w:sz w:val="20"/>
          <w:szCs w:val="20"/>
        </w:rPr>
        <w:t>RESTATED STATEMENT OF SHARE CAPITAL, RESERVES AND SURPLUS</w:t>
      </w:r>
    </w:p>
    <w:p w14:paraId="06BDDF0B" w14:textId="77777777" w:rsidR="005B5953" w:rsidRPr="005B12AE" w:rsidRDefault="005B5953" w:rsidP="005B5953">
      <w:pPr>
        <w:spacing w:after="0"/>
        <w:jc w:val="right"/>
        <w:rPr>
          <w:rFonts w:ascii="Times New Roman" w:hAnsi="Times New Roman"/>
          <w:b/>
          <w:bCs/>
          <w:sz w:val="20"/>
          <w:szCs w:val="20"/>
        </w:rPr>
      </w:pPr>
    </w:p>
    <w:p w14:paraId="3D22635E" w14:textId="77777777" w:rsidR="005B5953" w:rsidRPr="005B12AE" w:rsidRDefault="005B5953" w:rsidP="005B5953">
      <w:pPr>
        <w:spacing w:after="0"/>
        <w:jc w:val="right"/>
        <w:rPr>
          <w:rFonts w:ascii="Times New Roman" w:hAnsi="Times New Roman"/>
          <w:b/>
          <w:bCs/>
          <w:sz w:val="20"/>
          <w:szCs w:val="20"/>
        </w:rPr>
      </w:pPr>
      <w:r w:rsidRPr="005B12AE">
        <w:rPr>
          <w:rFonts w:ascii="Times New Roman" w:hAnsi="Times New Roman"/>
          <w:b/>
          <w:bCs/>
          <w:sz w:val="20"/>
          <w:szCs w:val="20"/>
        </w:rPr>
        <w:t>(₹ in Lakhs)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0"/>
        <w:gridCol w:w="1621"/>
        <w:gridCol w:w="1711"/>
        <w:gridCol w:w="1554"/>
      </w:tblGrid>
      <w:tr w:rsidR="005B5953" w:rsidRPr="005B12AE" w14:paraId="733F64B1" w14:textId="77777777" w:rsidTr="00250DAC">
        <w:trPr>
          <w:trHeight w:val="20"/>
        </w:trPr>
        <w:tc>
          <w:tcPr>
            <w:tcW w:w="2664" w:type="pct"/>
            <w:vMerge w:val="restart"/>
            <w:shd w:val="clear" w:color="auto" w:fill="D0CECE" w:themeFill="background2" w:themeFillShade="E6"/>
            <w:noWrap/>
            <w:vAlign w:val="center"/>
            <w:hideMark/>
          </w:tcPr>
          <w:p w14:paraId="6B4AD3BB"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Particulars</w:t>
            </w:r>
          </w:p>
        </w:tc>
        <w:tc>
          <w:tcPr>
            <w:tcW w:w="2336" w:type="pct"/>
            <w:gridSpan w:val="3"/>
            <w:shd w:val="clear" w:color="auto" w:fill="D0CECE" w:themeFill="background2" w:themeFillShade="E6"/>
            <w:noWrap/>
            <w:vAlign w:val="bottom"/>
            <w:hideMark/>
          </w:tcPr>
          <w:p w14:paraId="30A98AD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As At</w:t>
            </w:r>
          </w:p>
        </w:tc>
      </w:tr>
      <w:tr w:rsidR="005B5953" w:rsidRPr="005B12AE" w14:paraId="3586DCD4" w14:textId="77777777" w:rsidTr="00250DAC">
        <w:trPr>
          <w:trHeight w:val="20"/>
        </w:trPr>
        <w:tc>
          <w:tcPr>
            <w:tcW w:w="2664" w:type="pct"/>
            <w:vMerge/>
            <w:shd w:val="clear" w:color="auto" w:fill="D0CECE" w:themeFill="background2" w:themeFillShade="E6"/>
            <w:vAlign w:val="center"/>
            <w:hideMark/>
          </w:tcPr>
          <w:p w14:paraId="6206C24D" w14:textId="77777777" w:rsidR="005B5953" w:rsidRPr="005B12AE" w:rsidRDefault="005B5953" w:rsidP="00250DAC">
            <w:pPr>
              <w:spacing w:after="0" w:line="240" w:lineRule="auto"/>
              <w:rPr>
                <w:rFonts w:ascii="Times New Roman" w:hAnsi="Times New Roman"/>
                <w:b/>
                <w:bCs/>
                <w:sz w:val="20"/>
                <w:szCs w:val="20"/>
              </w:rPr>
            </w:pPr>
          </w:p>
        </w:tc>
        <w:tc>
          <w:tcPr>
            <w:tcW w:w="775" w:type="pct"/>
            <w:shd w:val="clear" w:color="auto" w:fill="D0CECE" w:themeFill="background2" w:themeFillShade="E6"/>
            <w:noWrap/>
            <w:vAlign w:val="bottom"/>
            <w:hideMark/>
          </w:tcPr>
          <w:p w14:paraId="3858E24F"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31/03/2023</w:t>
            </w:r>
          </w:p>
        </w:tc>
        <w:tc>
          <w:tcPr>
            <w:tcW w:w="818" w:type="pct"/>
            <w:shd w:val="clear" w:color="auto" w:fill="D0CECE" w:themeFill="background2" w:themeFillShade="E6"/>
            <w:noWrap/>
            <w:vAlign w:val="bottom"/>
            <w:hideMark/>
          </w:tcPr>
          <w:p w14:paraId="44EEBE7A"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31/03/2022</w:t>
            </w:r>
          </w:p>
        </w:tc>
        <w:tc>
          <w:tcPr>
            <w:tcW w:w="743" w:type="pct"/>
            <w:shd w:val="clear" w:color="auto" w:fill="D0CECE" w:themeFill="background2" w:themeFillShade="E6"/>
            <w:noWrap/>
            <w:vAlign w:val="bottom"/>
            <w:hideMark/>
          </w:tcPr>
          <w:p w14:paraId="160E16A1"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31/03/2021</w:t>
            </w:r>
          </w:p>
        </w:tc>
      </w:tr>
      <w:tr w:rsidR="005B5953" w:rsidRPr="005B12AE" w14:paraId="5C2BA01B" w14:textId="77777777" w:rsidTr="00250DAC">
        <w:trPr>
          <w:trHeight w:val="20"/>
        </w:trPr>
        <w:tc>
          <w:tcPr>
            <w:tcW w:w="2664" w:type="pct"/>
            <w:shd w:val="clear" w:color="auto" w:fill="auto"/>
            <w:noWrap/>
            <w:vAlign w:val="bottom"/>
            <w:hideMark/>
          </w:tcPr>
          <w:p w14:paraId="11D28FA7"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Share Capital</w:t>
            </w:r>
          </w:p>
        </w:tc>
        <w:tc>
          <w:tcPr>
            <w:tcW w:w="775" w:type="pct"/>
            <w:shd w:val="clear" w:color="auto" w:fill="auto"/>
            <w:noWrap/>
            <w:vAlign w:val="bottom"/>
            <w:hideMark/>
          </w:tcPr>
          <w:p w14:paraId="55DDBCF4" w14:textId="77777777" w:rsidR="005B5953" w:rsidRPr="005B12AE" w:rsidRDefault="005B5953" w:rsidP="00250DAC">
            <w:pPr>
              <w:spacing w:after="0" w:line="240" w:lineRule="auto"/>
              <w:jc w:val="center"/>
              <w:rPr>
                <w:rFonts w:ascii="Times New Roman" w:hAnsi="Times New Roman"/>
                <w:sz w:val="20"/>
                <w:szCs w:val="20"/>
              </w:rPr>
            </w:pPr>
          </w:p>
        </w:tc>
        <w:tc>
          <w:tcPr>
            <w:tcW w:w="818" w:type="pct"/>
            <w:shd w:val="clear" w:color="auto" w:fill="auto"/>
            <w:noWrap/>
            <w:vAlign w:val="bottom"/>
            <w:hideMark/>
          </w:tcPr>
          <w:p w14:paraId="36A6BAD4" w14:textId="77777777" w:rsidR="005B5953" w:rsidRPr="005B12AE" w:rsidRDefault="005B5953" w:rsidP="00250DAC">
            <w:pPr>
              <w:spacing w:after="0" w:line="240" w:lineRule="auto"/>
              <w:jc w:val="center"/>
              <w:rPr>
                <w:rFonts w:ascii="Times New Roman" w:hAnsi="Times New Roman"/>
                <w:sz w:val="20"/>
                <w:szCs w:val="20"/>
              </w:rPr>
            </w:pPr>
          </w:p>
        </w:tc>
        <w:tc>
          <w:tcPr>
            <w:tcW w:w="743" w:type="pct"/>
            <w:shd w:val="clear" w:color="auto" w:fill="auto"/>
            <w:noWrap/>
            <w:vAlign w:val="bottom"/>
            <w:hideMark/>
          </w:tcPr>
          <w:p w14:paraId="355A16DB"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39FA4809" w14:textId="77777777" w:rsidTr="00250DAC">
        <w:trPr>
          <w:trHeight w:val="20"/>
        </w:trPr>
        <w:tc>
          <w:tcPr>
            <w:tcW w:w="2664" w:type="pct"/>
            <w:shd w:val="clear" w:color="auto" w:fill="auto"/>
            <w:noWrap/>
            <w:vAlign w:val="bottom"/>
            <w:hideMark/>
          </w:tcPr>
          <w:p w14:paraId="10AA0FC4"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Authorised Share Capital</w:t>
            </w:r>
          </w:p>
        </w:tc>
        <w:tc>
          <w:tcPr>
            <w:tcW w:w="775" w:type="pct"/>
            <w:shd w:val="clear" w:color="auto" w:fill="auto"/>
            <w:noWrap/>
            <w:vAlign w:val="bottom"/>
            <w:hideMark/>
          </w:tcPr>
          <w:p w14:paraId="672B9184" w14:textId="77777777" w:rsidR="005B5953" w:rsidRPr="005B12AE" w:rsidRDefault="005B5953" w:rsidP="00250DAC">
            <w:pPr>
              <w:spacing w:after="0" w:line="240" w:lineRule="auto"/>
              <w:jc w:val="center"/>
              <w:rPr>
                <w:rFonts w:ascii="Times New Roman" w:hAnsi="Times New Roman"/>
                <w:sz w:val="20"/>
                <w:szCs w:val="20"/>
              </w:rPr>
            </w:pPr>
          </w:p>
        </w:tc>
        <w:tc>
          <w:tcPr>
            <w:tcW w:w="818" w:type="pct"/>
            <w:shd w:val="clear" w:color="auto" w:fill="auto"/>
            <w:noWrap/>
            <w:vAlign w:val="bottom"/>
            <w:hideMark/>
          </w:tcPr>
          <w:p w14:paraId="0D7A6174" w14:textId="77777777" w:rsidR="005B5953" w:rsidRPr="005B12AE" w:rsidRDefault="005B5953" w:rsidP="00250DAC">
            <w:pPr>
              <w:spacing w:after="0" w:line="240" w:lineRule="auto"/>
              <w:jc w:val="center"/>
              <w:rPr>
                <w:rFonts w:ascii="Times New Roman" w:hAnsi="Times New Roman"/>
                <w:sz w:val="20"/>
                <w:szCs w:val="20"/>
              </w:rPr>
            </w:pPr>
          </w:p>
        </w:tc>
        <w:tc>
          <w:tcPr>
            <w:tcW w:w="743" w:type="pct"/>
            <w:shd w:val="clear" w:color="auto" w:fill="auto"/>
            <w:noWrap/>
            <w:vAlign w:val="bottom"/>
            <w:hideMark/>
          </w:tcPr>
          <w:p w14:paraId="2AF95338"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1E087AEA" w14:textId="77777777" w:rsidTr="00250DAC">
        <w:trPr>
          <w:trHeight w:val="20"/>
        </w:trPr>
        <w:tc>
          <w:tcPr>
            <w:tcW w:w="2664" w:type="pct"/>
            <w:shd w:val="clear" w:color="auto" w:fill="auto"/>
            <w:noWrap/>
            <w:vAlign w:val="bottom"/>
            <w:hideMark/>
          </w:tcPr>
          <w:p w14:paraId="51AA600E"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Equity Share Capital</w:t>
            </w:r>
          </w:p>
        </w:tc>
        <w:tc>
          <w:tcPr>
            <w:tcW w:w="775" w:type="pct"/>
            <w:shd w:val="clear" w:color="auto" w:fill="auto"/>
            <w:noWrap/>
            <w:vAlign w:val="bottom"/>
            <w:hideMark/>
          </w:tcPr>
          <w:p w14:paraId="1033CA5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1,40,00,000</w:t>
            </w:r>
          </w:p>
        </w:tc>
        <w:tc>
          <w:tcPr>
            <w:tcW w:w="818" w:type="pct"/>
            <w:shd w:val="clear" w:color="auto" w:fill="auto"/>
            <w:noWrap/>
            <w:vAlign w:val="bottom"/>
            <w:hideMark/>
          </w:tcPr>
          <w:p w14:paraId="2DE50EA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1,40,00,000</w:t>
            </w:r>
          </w:p>
        </w:tc>
        <w:tc>
          <w:tcPr>
            <w:tcW w:w="743" w:type="pct"/>
            <w:shd w:val="clear" w:color="auto" w:fill="auto"/>
            <w:noWrap/>
            <w:vAlign w:val="bottom"/>
            <w:hideMark/>
          </w:tcPr>
          <w:p w14:paraId="476F908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1,40,00,000</w:t>
            </w:r>
          </w:p>
        </w:tc>
      </w:tr>
      <w:tr w:rsidR="005B5953" w:rsidRPr="005B12AE" w14:paraId="6E49E877" w14:textId="77777777" w:rsidTr="00250DAC">
        <w:trPr>
          <w:trHeight w:val="20"/>
        </w:trPr>
        <w:tc>
          <w:tcPr>
            <w:tcW w:w="2664" w:type="pct"/>
            <w:shd w:val="clear" w:color="auto" w:fill="auto"/>
            <w:noWrap/>
            <w:vAlign w:val="bottom"/>
            <w:hideMark/>
          </w:tcPr>
          <w:p w14:paraId="46601DC0"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Equity shares of </w:t>
            </w:r>
            <w:r w:rsidRPr="005B12AE">
              <w:rPr>
                <w:rFonts w:ascii="Times New Roman" w:hAnsi="Times New Roman"/>
                <w:color w:val="000000"/>
                <w:sz w:val="20"/>
                <w:szCs w:val="20"/>
              </w:rPr>
              <w:t xml:space="preserve">₹ </w:t>
            </w:r>
            <w:r w:rsidRPr="005B12AE">
              <w:rPr>
                <w:rFonts w:ascii="Times New Roman" w:hAnsi="Times New Roman"/>
                <w:sz w:val="20"/>
                <w:szCs w:val="20"/>
              </w:rPr>
              <w:t>10 each</w:t>
            </w:r>
          </w:p>
        </w:tc>
        <w:tc>
          <w:tcPr>
            <w:tcW w:w="775" w:type="pct"/>
            <w:shd w:val="clear" w:color="auto" w:fill="auto"/>
            <w:noWrap/>
            <w:vAlign w:val="bottom"/>
            <w:hideMark/>
          </w:tcPr>
          <w:p w14:paraId="7062382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1,400.00</w:t>
            </w:r>
          </w:p>
        </w:tc>
        <w:tc>
          <w:tcPr>
            <w:tcW w:w="818" w:type="pct"/>
            <w:shd w:val="clear" w:color="auto" w:fill="auto"/>
            <w:noWrap/>
            <w:vAlign w:val="bottom"/>
            <w:hideMark/>
          </w:tcPr>
          <w:p w14:paraId="0311DFA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1,400.00</w:t>
            </w:r>
          </w:p>
        </w:tc>
        <w:tc>
          <w:tcPr>
            <w:tcW w:w="743" w:type="pct"/>
            <w:shd w:val="clear" w:color="auto" w:fill="auto"/>
            <w:noWrap/>
            <w:vAlign w:val="bottom"/>
            <w:hideMark/>
          </w:tcPr>
          <w:p w14:paraId="5FBCEFD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1,400.00</w:t>
            </w:r>
          </w:p>
        </w:tc>
      </w:tr>
      <w:tr w:rsidR="005B5953" w:rsidRPr="005B12AE" w14:paraId="080B2FEF" w14:textId="77777777" w:rsidTr="00250DAC">
        <w:trPr>
          <w:trHeight w:val="20"/>
        </w:trPr>
        <w:tc>
          <w:tcPr>
            <w:tcW w:w="2664" w:type="pct"/>
            <w:shd w:val="clear" w:color="auto" w:fill="auto"/>
            <w:noWrap/>
            <w:vAlign w:val="bottom"/>
            <w:hideMark/>
          </w:tcPr>
          <w:p w14:paraId="24681A83"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Issued, Subscribed and Paid up Share Capital</w:t>
            </w:r>
          </w:p>
        </w:tc>
        <w:tc>
          <w:tcPr>
            <w:tcW w:w="775" w:type="pct"/>
            <w:shd w:val="clear" w:color="auto" w:fill="auto"/>
            <w:noWrap/>
            <w:vAlign w:val="bottom"/>
            <w:hideMark/>
          </w:tcPr>
          <w:p w14:paraId="48CDE20A" w14:textId="77777777" w:rsidR="005B5953" w:rsidRPr="005B12AE" w:rsidRDefault="005B5953" w:rsidP="00250DAC">
            <w:pPr>
              <w:spacing w:after="0" w:line="240" w:lineRule="auto"/>
              <w:jc w:val="center"/>
              <w:rPr>
                <w:rFonts w:ascii="Times New Roman" w:hAnsi="Times New Roman"/>
                <w:sz w:val="20"/>
                <w:szCs w:val="20"/>
              </w:rPr>
            </w:pPr>
          </w:p>
        </w:tc>
        <w:tc>
          <w:tcPr>
            <w:tcW w:w="818" w:type="pct"/>
            <w:shd w:val="clear" w:color="auto" w:fill="auto"/>
            <w:noWrap/>
            <w:vAlign w:val="bottom"/>
            <w:hideMark/>
          </w:tcPr>
          <w:p w14:paraId="1D657A4B" w14:textId="77777777" w:rsidR="005B5953" w:rsidRPr="005B12AE" w:rsidRDefault="005B5953" w:rsidP="00250DAC">
            <w:pPr>
              <w:spacing w:after="0" w:line="240" w:lineRule="auto"/>
              <w:jc w:val="center"/>
              <w:rPr>
                <w:rFonts w:ascii="Times New Roman" w:hAnsi="Times New Roman"/>
                <w:sz w:val="20"/>
                <w:szCs w:val="20"/>
              </w:rPr>
            </w:pPr>
          </w:p>
        </w:tc>
        <w:tc>
          <w:tcPr>
            <w:tcW w:w="743" w:type="pct"/>
            <w:shd w:val="clear" w:color="auto" w:fill="auto"/>
            <w:noWrap/>
            <w:vAlign w:val="bottom"/>
            <w:hideMark/>
          </w:tcPr>
          <w:p w14:paraId="59114EDC"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5DF77555" w14:textId="77777777" w:rsidTr="00250DAC">
        <w:trPr>
          <w:trHeight w:val="20"/>
        </w:trPr>
        <w:tc>
          <w:tcPr>
            <w:tcW w:w="2664" w:type="pct"/>
            <w:shd w:val="clear" w:color="auto" w:fill="auto"/>
            <w:noWrap/>
            <w:vAlign w:val="bottom"/>
            <w:hideMark/>
          </w:tcPr>
          <w:p w14:paraId="303A876B"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Equity Shares of </w:t>
            </w:r>
            <w:r w:rsidRPr="005B12AE">
              <w:rPr>
                <w:rFonts w:ascii="Times New Roman" w:hAnsi="Times New Roman"/>
                <w:color w:val="000000"/>
                <w:sz w:val="20"/>
                <w:szCs w:val="20"/>
              </w:rPr>
              <w:t>₹</w:t>
            </w:r>
            <w:r w:rsidRPr="005B12AE">
              <w:rPr>
                <w:rFonts w:ascii="Times New Roman" w:hAnsi="Times New Roman"/>
                <w:sz w:val="20"/>
                <w:szCs w:val="20"/>
              </w:rPr>
              <w:t xml:space="preserve"> 10 each fully paid up</w:t>
            </w:r>
          </w:p>
        </w:tc>
        <w:tc>
          <w:tcPr>
            <w:tcW w:w="775" w:type="pct"/>
            <w:shd w:val="clear" w:color="auto" w:fill="auto"/>
            <w:noWrap/>
            <w:vAlign w:val="bottom"/>
            <w:hideMark/>
          </w:tcPr>
          <w:p w14:paraId="5069D21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1,38,05,500</w:t>
            </w:r>
          </w:p>
        </w:tc>
        <w:tc>
          <w:tcPr>
            <w:tcW w:w="818" w:type="pct"/>
            <w:shd w:val="clear" w:color="auto" w:fill="auto"/>
            <w:noWrap/>
            <w:vAlign w:val="bottom"/>
            <w:hideMark/>
          </w:tcPr>
          <w:p w14:paraId="06AC808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1,38,05,500</w:t>
            </w:r>
          </w:p>
        </w:tc>
        <w:tc>
          <w:tcPr>
            <w:tcW w:w="743" w:type="pct"/>
            <w:shd w:val="clear" w:color="auto" w:fill="auto"/>
            <w:noWrap/>
            <w:vAlign w:val="bottom"/>
            <w:hideMark/>
          </w:tcPr>
          <w:p w14:paraId="22CAED1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1,38,05,500</w:t>
            </w:r>
          </w:p>
        </w:tc>
      </w:tr>
      <w:tr w:rsidR="005B5953" w:rsidRPr="005B12AE" w14:paraId="5FE00260" w14:textId="77777777" w:rsidTr="00250DAC">
        <w:trPr>
          <w:trHeight w:val="20"/>
        </w:trPr>
        <w:tc>
          <w:tcPr>
            <w:tcW w:w="2664" w:type="pct"/>
            <w:shd w:val="clear" w:color="auto" w:fill="auto"/>
            <w:noWrap/>
            <w:vAlign w:val="bottom"/>
            <w:hideMark/>
          </w:tcPr>
          <w:p w14:paraId="795D2B1F"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Share Capital of </w:t>
            </w:r>
            <w:r w:rsidRPr="005B12AE">
              <w:rPr>
                <w:rFonts w:ascii="Times New Roman" w:hAnsi="Times New Roman"/>
                <w:color w:val="000000"/>
                <w:sz w:val="20"/>
                <w:szCs w:val="20"/>
              </w:rPr>
              <w:t>₹</w:t>
            </w:r>
            <w:r w:rsidRPr="005B12AE">
              <w:rPr>
                <w:rFonts w:ascii="Times New Roman" w:hAnsi="Times New Roman"/>
                <w:sz w:val="20"/>
                <w:szCs w:val="20"/>
              </w:rPr>
              <w:t xml:space="preserve"> 10 each </w:t>
            </w:r>
          </w:p>
        </w:tc>
        <w:tc>
          <w:tcPr>
            <w:tcW w:w="775" w:type="pct"/>
            <w:shd w:val="clear" w:color="auto" w:fill="auto"/>
            <w:noWrap/>
            <w:vAlign w:val="bottom"/>
            <w:hideMark/>
          </w:tcPr>
          <w:p w14:paraId="064C3E0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1,380.55</w:t>
            </w:r>
          </w:p>
        </w:tc>
        <w:tc>
          <w:tcPr>
            <w:tcW w:w="818" w:type="pct"/>
            <w:shd w:val="clear" w:color="auto" w:fill="auto"/>
            <w:noWrap/>
            <w:vAlign w:val="bottom"/>
            <w:hideMark/>
          </w:tcPr>
          <w:p w14:paraId="35F4261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1,380.55</w:t>
            </w:r>
          </w:p>
        </w:tc>
        <w:tc>
          <w:tcPr>
            <w:tcW w:w="743" w:type="pct"/>
            <w:shd w:val="clear" w:color="auto" w:fill="auto"/>
            <w:noWrap/>
            <w:vAlign w:val="bottom"/>
            <w:hideMark/>
          </w:tcPr>
          <w:p w14:paraId="7266769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1,380.55</w:t>
            </w:r>
          </w:p>
        </w:tc>
      </w:tr>
      <w:tr w:rsidR="005B5953" w:rsidRPr="005B12AE" w14:paraId="16A08CF2" w14:textId="77777777" w:rsidTr="00250DAC">
        <w:trPr>
          <w:trHeight w:val="20"/>
        </w:trPr>
        <w:tc>
          <w:tcPr>
            <w:tcW w:w="2664" w:type="pct"/>
            <w:shd w:val="clear" w:color="auto" w:fill="auto"/>
            <w:noWrap/>
            <w:vAlign w:val="bottom"/>
            <w:hideMark/>
          </w:tcPr>
          <w:p w14:paraId="2FC80B65"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Total</w:t>
            </w:r>
          </w:p>
        </w:tc>
        <w:tc>
          <w:tcPr>
            <w:tcW w:w="775" w:type="pct"/>
            <w:shd w:val="clear" w:color="auto" w:fill="auto"/>
            <w:noWrap/>
            <w:vAlign w:val="bottom"/>
            <w:hideMark/>
          </w:tcPr>
          <w:p w14:paraId="2869F876"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1,380.55</w:t>
            </w:r>
          </w:p>
        </w:tc>
        <w:tc>
          <w:tcPr>
            <w:tcW w:w="818" w:type="pct"/>
            <w:shd w:val="clear" w:color="auto" w:fill="auto"/>
            <w:noWrap/>
            <w:vAlign w:val="bottom"/>
            <w:hideMark/>
          </w:tcPr>
          <w:p w14:paraId="046D876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1,380.55</w:t>
            </w:r>
          </w:p>
        </w:tc>
        <w:tc>
          <w:tcPr>
            <w:tcW w:w="743" w:type="pct"/>
            <w:shd w:val="clear" w:color="auto" w:fill="auto"/>
            <w:noWrap/>
            <w:vAlign w:val="bottom"/>
            <w:hideMark/>
          </w:tcPr>
          <w:p w14:paraId="78EF7D2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1,380.55</w:t>
            </w:r>
          </w:p>
        </w:tc>
      </w:tr>
      <w:tr w:rsidR="005B5953" w:rsidRPr="005B12AE" w14:paraId="4EF4D59C" w14:textId="77777777" w:rsidTr="00250DAC">
        <w:trPr>
          <w:trHeight w:val="20"/>
        </w:trPr>
        <w:tc>
          <w:tcPr>
            <w:tcW w:w="2664" w:type="pct"/>
            <w:shd w:val="clear" w:color="auto" w:fill="auto"/>
            <w:noWrap/>
            <w:vAlign w:val="bottom"/>
          </w:tcPr>
          <w:p w14:paraId="284BE2AD" w14:textId="77777777" w:rsidR="005B5953" w:rsidRPr="005B12AE" w:rsidRDefault="005B5953" w:rsidP="00250DAC">
            <w:pPr>
              <w:spacing w:after="0" w:line="240" w:lineRule="auto"/>
              <w:rPr>
                <w:rFonts w:ascii="Times New Roman" w:hAnsi="Times New Roman"/>
                <w:b/>
                <w:bCs/>
                <w:sz w:val="20"/>
                <w:szCs w:val="20"/>
              </w:rPr>
            </w:pPr>
          </w:p>
        </w:tc>
        <w:tc>
          <w:tcPr>
            <w:tcW w:w="775" w:type="pct"/>
            <w:shd w:val="clear" w:color="auto" w:fill="auto"/>
            <w:noWrap/>
            <w:vAlign w:val="bottom"/>
          </w:tcPr>
          <w:p w14:paraId="0243DA9F" w14:textId="77777777" w:rsidR="005B5953" w:rsidRPr="005B12AE" w:rsidRDefault="005B5953" w:rsidP="00250DAC">
            <w:pPr>
              <w:spacing w:after="0" w:line="240" w:lineRule="auto"/>
              <w:jc w:val="center"/>
              <w:rPr>
                <w:rFonts w:ascii="Times New Roman" w:hAnsi="Times New Roman"/>
                <w:b/>
                <w:bCs/>
                <w:sz w:val="20"/>
                <w:szCs w:val="20"/>
              </w:rPr>
            </w:pPr>
          </w:p>
        </w:tc>
        <w:tc>
          <w:tcPr>
            <w:tcW w:w="818" w:type="pct"/>
            <w:shd w:val="clear" w:color="auto" w:fill="auto"/>
            <w:noWrap/>
            <w:vAlign w:val="bottom"/>
          </w:tcPr>
          <w:p w14:paraId="0026BC17" w14:textId="77777777" w:rsidR="005B5953" w:rsidRPr="005B12AE" w:rsidRDefault="005B5953" w:rsidP="00250DAC">
            <w:pPr>
              <w:spacing w:after="0" w:line="240" w:lineRule="auto"/>
              <w:jc w:val="center"/>
              <w:rPr>
                <w:rFonts w:ascii="Times New Roman" w:hAnsi="Times New Roman"/>
                <w:b/>
                <w:bCs/>
                <w:sz w:val="20"/>
                <w:szCs w:val="20"/>
              </w:rPr>
            </w:pPr>
          </w:p>
        </w:tc>
        <w:tc>
          <w:tcPr>
            <w:tcW w:w="743" w:type="pct"/>
            <w:shd w:val="clear" w:color="auto" w:fill="auto"/>
            <w:noWrap/>
            <w:vAlign w:val="bottom"/>
          </w:tcPr>
          <w:p w14:paraId="690A65EB" w14:textId="77777777" w:rsidR="005B5953" w:rsidRPr="005B12AE" w:rsidRDefault="005B5953" w:rsidP="00250DAC">
            <w:pPr>
              <w:spacing w:after="0" w:line="240" w:lineRule="auto"/>
              <w:jc w:val="center"/>
              <w:rPr>
                <w:rFonts w:ascii="Times New Roman" w:hAnsi="Times New Roman"/>
                <w:b/>
                <w:bCs/>
                <w:sz w:val="20"/>
                <w:szCs w:val="20"/>
              </w:rPr>
            </w:pPr>
          </w:p>
        </w:tc>
      </w:tr>
      <w:tr w:rsidR="005B5953" w:rsidRPr="005B12AE" w14:paraId="4AB7CDC5" w14:textId="77777777" w:rsidTr="00250DAC">
        <w:trPr>
          <w:trHeight w:val="20"/>
        </w:trPr>
        <w:tc>
          <w:tcPr>
            <w:tcW w:w="2664" w:type="pct"/>
            <w:shd w:val="clear" w:color="auto" w:fill="auto"/>
            <w:noWrap/>
            <w:vAlign w:val="bottom"/>
            <w:hideMark/>
          </w:tcPr>
          <w:p w14:paraId="21B3AB2C"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Reserves and Surplus</w:t>
            </w:r>
          </w:p>
        </w:tc>
        <w:tc>
          <w:tcPr>
            <w:tcW w:w="775" w:type="pct"/>
            <w:shd w:val="clear" w:color="auto" w:fill="auto"/>
            <w:noWrap/>
            <w:vAlign w:val="bottom"/>
            <w:hideMark/>
          </w:tcPr>
          <w:p w14:paraId="04BA873D" w14:textId="77777777" w:rsidR="005B5953" w:rsidRPr="005B12AE" w:rsidRDefault="005B5953" w:rsidP="00250DAC">
            <w:pPr>
              <w:spacing w:after="0" w:line="240" w:lineRule="auto"/>
              <w:jc w:val="center"/>
              <w:rPr>
                <w:rFonts w:ascii="Times New Roman" w:hAnsi="Times New Roman"/>
                <w:b/>
                <w:bCs/>
                <w:sz w:val="20"/>
                <w:szCs w:val="20"/>
              </w:rPr>
            </w:pPr>
          </w:p>
        </w:tc>
        <w:tc>
          <w:tcPr>
            <w:tcW w:w="818" w:type="pct"/>
            <w:shd w:val="clear" w:color="auto" w:fill="auto"/>
            <w:noWrap/>
            <w:vAlign w:val="bottom"/>
            <w:hideMark/>
          </w:tcPr>
          <w:p w14:paraId="02E2D0E2" w14:textId="77777777" w:rsidR="005B5953" w:rsidRPr="005B12AE" w:rsidRDefault="005B5953" w:rsidP="00250DAC">
            <w:pPr>
              <w:spacing w:after="0" w:line="240" w:lineRule="auto"/>
              <w:jc w:val="center"/>
              <w:rPr>
                <w:rFonts w:ascii="Times New Roman" w:hAnsi="Times New Roman"/>
                <w:sz w:val="20"/>
                <w:szCs w:val="20"/>
              </w:rPr>
            </w:pPr>
          </w:p>
        </w:tc>
        <w:tc>
          <w:tcPr>
            <w:tcW w:w="743" w:type="pct"/>
            <w:shd w:val="clear" w:color="auto" w:fill="auto"/>
            <w:noWrap/>
            <w:vAlign w:val="bottom"/>
            <w:hideMark/>
          </w:tcPr>
          <w:p w14:paraId="52741789"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7C5C4148" w14:textId="77777777" w:rsidTr="00250DAC">
        <w:trPr>
          <w:trHeight w:val="20"/>
        </w:trPr>
        <w:tc>
          <w:tcPr>
            <w:tcW w:w="2664" w:type="pct"/>
            <w:shd w:val="clear" w:color="auto" w:fill="auto"/>
            <w:noWrap/>
            <w:vAlign w:val="bottom"/>
            <w:hideMark/>
          </w:tcPr>
          <w:p w14:paraId="085DD7BC"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Securities Premium</w:t>
            </w:r>
          </w:p>
        </w:tc>
        <w:tc>
          <w:tcPr>
            <w:tcW w:w="775" w:type="pct"/>
            <w:shd w:val="clear" w:color="auto" w:fill="auto"/>
            <w:noWrap/>
            <w:vAlign w:val="bottom"/>
            <w:hideMark/>
          </w:tcPr>
          <w:p w14:paraId="132A009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1755.55</w:t>
            </w:r>
          </w:p>
        </w:tc>
        <w:tc>
          <w:tcPr>
            <w:tcW w:w="818" w:type="pct"/>
            <w:shd w:val="clear" w:color="auto" w:fill="auto"/>
            <w:noWrap/>
            <w:vAlign w:val="bottom"/>
            <w:hideMark/>
          </w:tcPr>
          <w:p w14:paraId="4D66858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1755.55</w:t>
            </w:r>
          </w:p>
        </w:tc>
        <w:tc>
          <w:tcPr>
            <w:tcW w:w="743" w:type="pct"/>
            <w:shd w:val="clear" w:color="auto" w:fill="auto"/>
            <w:noWrap/>
            <w:vAlign w:val="bottom"/>
            <w:hideMark/>
          </w:tcPr>
          <w:p w14:paraId="711CE3C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1755.55</w:t>
            </w:r>
          </w:p>
        </w:tc>
      </w:tr>
      <w:tr w:rsidR="005B5953" w:rsidRPr="005B12AE" w14:paraId="7B00F802" w14:textId="77777777" w:rsidTr="00250DAC">
        <w:trPr>
          <w:trHeight w:val="20"/>
        </w:trPr>
        <w:tc>
          <w:tcPr>
            <w:tcW w:w="2664" w:type="pct"/>
            <w:shd w:val="clear" w:color="auto" w:fill="auto"/>
            <w:noWrap/>
            <w:vAlign w:val="bottom"/>
            <w:hideMark/>
          </w:tcPr>
          <w:p w14:paraId="7A415346"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Surplus in Profit and Loss account</w:t>
            </w:r>
          </w:p>
        </w:tc>
        <w:tc>
          <w:tcPr>
            <w:tcW w:w="775" w:type="pct"/>
            <w:shd w:val="clear" w:color="auto" w:fill="auto"/>
            <w:noWrap/>
            <w:vAlign w:val="bottom"/>
            <w:hideMark/>
          </w:tcPr>
          <w:p w14:paraId="3724A8D4" w14:textId="77777777" w:rsidR="005B5953" w:rsidRPr="005B12AE" w:rsidRDefault="005B5953" w:rsidP="00250DAC">
            <w:pPr>
              <w:spacing w:after="0" w:line="240" w:lineRule="auto"/>
              <w:jc w:val="center"/>
              <w:rPr>
                <w:rFonts w:ascii="Times New Roman" w:hAnsi="Times New Roman"/>
                <w:sz w:val="20"/>
                <w:szCs w:val="20"/>
              </w:rPr>
            </w:pPr>
          </w:p>
        </w:tc>
        <w:tc>
          <w:tcPr>
            <w:tcW w:w="818" w:type="pct"/>
            <w:shd w:val="clear" w:color="auto" w:fill="auto"/>
            <w:noWrap/>
            <w:vAlign w:val="bottom"/>
            <w:hideMark/>
          </w:tcPr>
          <w:p w14:paraId="146DA55C" w14:textId="77777777" w:rsidR="005B5953" w:rsidRPr="005B12AE" w:rsidRDefault="005B5953" w:rsidP="00250DAC">
            <w:pPr>
              <w:spacing w:after="0" w:line="240" w:lineRule="auto"/>
              <w:jc w:val="center"/>
              <w:rPr>
                <w:rFonts w:ascii="Times New Roman" w:hAnsi="Times New Roman"/>
                <w:sz w:val="20"/>
                <w:szCs w:val="20"/>
              </w:rPr>
            </w:pPr>
          </w:p>
        </w:tc>
        <w:tc>
          <w:tcPr>
            <w:tcW w:w="743" w:type="pct"/>
            <w:shd w:val="clear" w:color="auto" w:fill="auto"/>
            <w:noWrap/>
            <w:vAlign w:val="bottom"/>
            <w:hideMark/>
          </w:tcPr>
          <w:p w14:paraId="4D6D73D1"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6EF959CC" w14:textId="77777777" w:rsidTr="00250DAC">
        <w:trPr>
          <w:trHeight w:val="20"/>
        </w:trPr>
        <w:tc>
          <w:tcPr>
            <w:tcW w:w="2664" w:type="pct"/>
            <w:shd w:val="clear" w:color="auto" w:fill="auto"/>
            <w:noWrap/>
            <w:vAlign w:val="bottom"/>
            <w:hideMark/>
          </w:tcPr>
          <w:p w14:paraId="6F3751D2"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Balance as per the last financial statements</w:t>
            </w:r>
          </w:p>
        </w:tc>
        <w:tc>
          <w:tcPr>
            <w:tcW w:w="775" w:type="pct"/>
            <w:shd w:val="clear" w:color="auto" w:fill="auto"/>
            <w:noWrap/>
            <w:vAlign w:val="bottom"/>
            <w:hideMark/>
          </w:tcPr>
          <w:p w14:paraId="384AD11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740.61</w:t>
            </w:r>
          </w:p>
        </w:tc>
        <w:tc>
          <w:tcPr>
            <w:tcW w:w="818" w:type="pct"/>
            <w:shd w:val="clear" w:color="auto" w:fill="auto"/>
            <w:noWrap/>
            <w:vAlign w:val="bottom"/>
            <w:hideMark/>
          </w:tcPr>
          <w:p w14:paraId="294507B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418.13</w:t>
            </w:r>
          </w:p>
        </w:tc>
        <w:tc>
          <w:tcPr>
            <w:tcW w:w="743" w:type="pct"/>
            <w:shd w:val="clear" w:color="auto" w:fill="auto"/>
            <w:noWrap/>
            <w:vAlign w:val="bottom"/>
            <w:hideMark/>
          </w:tcPr>
          <w:p w14:paraId="5845206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275.86</w:t>
            </w:r>
          </w:p>
        </w:tc>
      </w:tr>
      <w:tr w:rsidR="005B5953" w:rsidRPr="005B12AE" w14:paraId="68375678" w14:textId="77777777" w:rsidTr="00250DAC">
        <w:trPr>
          <w:trHeight w:val="20"/>
        </w:trPr>
        <w:tc>
          <w:tcPr>
            <w:tcW w:w="2664" w:type="pct"/>
            <w:shd w:val="clear" w:color="auto" w:fill="auto"/>
            <w:noWrap/>
            <w:vAlign w:val="bottom"/>
            <w:hideMark/>
          </w:tcPr>
          <w:p w14:paraId="6EF6D866"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Profit for the Year</w:t>
            </w:r>
          </w:p>
        </w:tc>
        <w:tc>
          <w:tcPr>
            <w:tcW w:w="775" w:type="pct"/>
            <w:shd w:val="clear" w:color="auto" w:fill="auto"/>
            <w:noWrap/>
            <w:vAlign w:val="bottom"/>
            <w:hideMark/>
          </w:tcPr>
          <w:p w14:paraId="0ED8B37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765.42</w:t>
            </w:r>
          </w:p>
        </w:tc>
        <w:tc>
          <w:tcPr>
            <w:tcW w:w="818" w:type="pct"/>
            <w:shd w:val="clear" w:color="auto" w:fill="auto"/>
            <w:noWrap/>
            <w:vAlign w:val="bottom"/>
            <w:hideMark/>
          </w:tcPr>
          <w:p w14:paraId="2A69EA8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322.47</w:t>
            </w:r>
          </w:p>
        </w:tc>
        <w:tc>
          <w:tcPr>
            <w:tcW w:w="743" w:type="pct"/>
            <w:shd w:val="clear" w:color="auto" w:fill="auto"/>
            <w:noWrap/>
            <w:vAlign w:val="bottom"/>
            <w:hideMark/>
          </w:tcPr>
          <w:p w14:paraId="3C56C7A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142.28</w:t>
            </w:r>
          </w:p>
        </w:tc>
      </w:tr>
      <w:tr w:rsidR="005B5953" w:rsidRPr="005B12AE" w14:paraId="1DA8810F" w14:textId="77777777" w:rsidTr="00250DAC">
        <w:trPr>
          <w:trHeight w:val="20"/>
        </w:trPr>
        <w:tc>
          <w:tcPr>
            <w:tcW w:w="2664" w:type="pct"/>
            <w:shd w:val="clear" w:color="auto" w:fill="auto"/>
            <w:noWrap/>
            <w:vAlign w:val="bottom"/>
            <w:hideMark/>
          </w:tcPr>
          <w:p w14:paraId="2DFD27E4"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Balance as at the end of Financial Year</w:t>
            </w:r>
          </w:p>
        </w:tc>
        <w:tc>
          <w:tcPr>
            <w:tcW w:w="775" w:type="pct"/>
            <w:shd w:val="clear" w:color="auto" w:fill="auto"/>
            <w:noWrap/>
            <w:vAlign w:val="bottom"/>
            <w:hideMark/>
          </w:tcPr>
          <w:p w14:paraId="63F017B0"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3,261.57</w:t>
            </w:r>
          </w:p>
        </w:tc>
        <w:tc>
          <w:tcPr>
            <w:tcW w:w="818" w:type="pct"/>
            <w:shd w:val="clear" w:color="auto" w:fill="auto"/>
            <w:noWrap/>
            <w:vAlign w:val="bottom"/>
            <w:hideMark/>
          </w:tcPr>
          <w:p w14:paraId="0CC9AE2E"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2,496.16</w:t>
            </w:r>
          </w:p>
        </w:tc>
        <w:tc>
          <w:tcPr>
            <w:tcW w:w="743" w:type="pct"/>
            <w:shd w:val="clear" w:color="auto" w:fill="auto"/>
            <w:noWrap/>
            <w:vAlign w:val="bottom"/>
            <w:hideMark/>
          </w:tcPr>
          <w:p w14:paraId="302BDC20"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2,173.68</w:t>
            </w:r>
          </w:p>
        </w:tc>
      </w:tr>
    </w:tbl>
    <w:p w14:paraId="646BD039" w14:textId="77777777" w:rsidR="005B5953" w:rsidRPr="005B12AE" w:rsidRDefault="005B5953" w:rsidP="005B5953">
      <w:pPr>
        <w:spacing w:after="0"/>
        <w:jc w:val="center"/>
        <w:rPr>
          <w:rFonts w:ascii="Times New Roman" w:hAnsi="Times New Roman"/>
          <w:b/>
          <w:bCs/>
          <w:sz w:val="20"/>
          <w:szCs w:val="20"/>
        </w:rPr>
      </w:pPr>
    </w:p>
    <w:p w14:paraId="17200841" w14:textId="77777777" w:rsidR="005B5953" w:rsidRPr="005B12AE" w:rsidRDefault="005B5953">
      <w:pPr>
        <w:pStyle w:val="ListParagraph"/>
        <w:numPr>
          <w:ilvl w:val="0"/>
          <w:numId w:val="328"/>
        </w:numPr>
        <w:suppressAutoHyphens w:val="0"/>
        <w:autoSpaceDE/>
        <w:autoSpaceDN/>
        <w:adjustRightInd/>
        <w:spacing w:line="259" w:lineRule="auto"/>
        <w:ind w:left="450"/>
        <w:contextualSpacing/>
        <w:textAlignment w:val="auto"/>
        <w:rPr>
          <w:sz w:val="20"/>
          <w:szCs w:val="20"/>
        </w:rPr>
      </w:pPr>
      <w:r w:rsidRPr="005B12AE">
        <w:rPr>
          <w:sz w:val="20"/>
          <w:szCs w:val="20"/>
        </w:rPr>
        <w:t>Terms/rights attached to equity shares:</w:t>
      </w:r>
    </w:p>
    <w:p w14:paraId="42E96E85" w14:textId="77777777" w:rsidR="005B5953" w:rsidRPr="005B12AE" w:rsidRDefault="005B5953">
      <w:pPr>
        <w:pStyle w:val="ListParagraph"/>
        <w:numPr>
          <w:ilvl w:val="0"/>
          <w:numId w:val="327"/>
        </w:numPr>
        <w:suppressAutoHyphens w:val="0"/>
        <w:autoSpaceDE/>
        <w:autoSpaceDN/>
        <w:adjustRightInd/>
        <w:spacing w:line="259" w:lineRule="auto"/>
        <w:contextualSpacing/>
        <w:textAlignment w:val="auto"/>
        <w:rPr>
          <w:sz w:val="20"/>
          <w:szCs w:val="20"/>
        </w:rPr>
      </w:pPr>
      <w:r w:rsidRPr="005B12AE">
        <w:rPr>
          <w:sz w:val="20"/>
          <w:szCs w:val="20"/>
        </w:rPr>
        <w:t>The company has only one class of shares referred to as equity shares having a par value of ₹ 10/-. Each holder of equity shares is entitled to one vote per share</w:t>
      </w:r>
    </w:p>
    <w:p w14:paraId="1041B40B" w14:textId="77777777" w:rsidR="005B5953" w:rsidRPr="005B12AE" w:rsidRDefault="005B5953">
      <w:pPr>
        <w:pStyle w:val="ListParagraph"/>
        <w:numPr>
          <w:ilvl w:val="0"/>
          <w:numId w:val="327"/>
        </w:numPr>
        <w:suppressAutoHyphens w:val="0"/>
        <w:autoSpaceDE/>
        <w:autoSpaceDN/>
        <w:adjustRightInd/>
        <w:spacing w:line="259" w:lineRule="auto"/>
        <w:contextualSpacing/>
        <w:textAlignment w:val="auto"/>
        <w:rPr>
          <w:sz w:val="20"/>
          <w:szCs w:val="20"/>
        </w:rPr>
      </w:pPr>
      <w:r w:rsidRPr="005B12AE">
        <w:rPr>
          <w:sz w:val="20"/>
          <w:szCs w:val="20"/>
        </w:rPr>
        <w:t>In the event of liquidation of the Company, the holders of equity shares shall be entitled to receive any of the remaining assets of the Company, after distribution of all preferential amounts. The amount distributed will be in proportion to the number of equity shares held by the shareholders.</w:t>
      </w:r>
    </w:p>
    <w:p w14:paraId="43A4C7AA" w14:textId="77777777" w:rsidR="005B5953" w:rsidRPr="005B12AE" w:rsidRDefault="005B5953">
      <w:pPr>
        <w:pStyle w:val="ListParagraph"/>
        <w:numPr>
          <w:ilvl w:val="0"/>
          <w:numId w:val="328"/>
        </w:numPr>
        <w:suppressAutoHyphens w:val="0"/>
        <w:autoSpaceDE/>
        <w:autoSpaceDN/>
        <w:adjustRightInd/>
        <w:spacing w:line="259" w:lineRule="auto"/>
        <w:ind w:left="450"/>
        <w:contextualSpacing/>
        <w:textAlignment w:val="auto"/>
        <w:rPr>
          <w:sz w:val="20"/>
          <w:szCs w:val="20"/>
        </w:rPr>
      </w:pPr>
      <w:r w:rsidRPr="005B12AE">
        <w:rPr>
          <w:sz w:val="20"/>
          <w:szCs w:val="20"/>
        </w:rPr>
        <w:t>The figures disclosed above are based on the restated summary statement of assets and liabilities of the Company.</w:t>
      </w:r>
    </w:p>
    <w:p w14:paraId="238C8B0B" w14:textId="77777777" w:rsidR="005B5953" w:rsidRPr="005B12AE" w:rsidRDefault="005B5953">
      <w:pPr>
        <w:pStyle w:val="ListParagraph"/>
        <w:numPr>
          <w:ilvl w:val="0"/>
          <w:numId w:val="328"/>
        </w:numPr>
        <w:suppressAutoHyphens w:val="0"/>
        <w:autoSpaceDE/>
        <w:autoSpaceDN/>
        <w:adjustRightInd/>
        <w:spacing w:line="259" w:lineRule="auto"/>
        <w:ind w:left="450"/>
        <w:contextualSpacing/>
        <w:textAlignment w:val="auto"/>
        <w:rPr>
          <w:sz w:val="20"/>
          <w:szCs w:val="20"/>
        </w:rPr>
      </w:pPr>
      <w:r w:rsidRPr="005B12AE">
        <w:rPr>
          <w:sz w:val="20"/>
          <w:szCs w:val="20"/>
        </w:rPr>
        <w:t>Company does not have any Revaluation Reserve.</w:t>
      </w:r>
    </w:p>
    <w:p w14:paraId="61BEE702" w14:textId="77777777" w:rsidR="005B5953" w:rsidRPr="005B12AE" w:rsidRDefault="005B5953" w:rsidP="005B5953">
      <w:pPr>
        <w:pStyle w:val="ListParagraph"/>
        <w:ind w:left="450"/>
        <w:rPr>
          <w:sz w:val="20"/>
          <w:szCs w:val="20"/>
        </w:rPr>
      </w:pPr>
    </w:p>
    <w:p w14:paraId="73B11289" w14:textId="77777777" w:rsidR="005B5953" w:rsidRPr="005B12AE" w:rsidRDefault="005B5953">
      <w:pPr>
        <w:pStyle w:val="ListParagraph"/>
        <w:numPr>
          <w:ilvl w:val="0"/>
          <w:numId w:val="328"/>
        </w:numPr>
        <w:suppressAutoHyphens w:val="0"/>
        <w:autoSpaceDE/>
        <w:autoSpaceDN/>
        <w:adjustRightInd/>
        <w:spacing w:line="259" w:lineRule="auto"/>
        <w:ind w:left="450"/>
        <w:contextualSpacing/>
        <w:textAlignment w:val="auto"/>
        <w:rPr>
          <w:sz w:val="20"/>
          <w:szCs w:val="20"/>
        </w:rPr>
      </w:pPr>
      <w:r w:rsidRPr="005B12AE">
        <w:rPr>
          <w:sz w:val="20"/>
          <w:szCs w:val="20"/>
        </w:rPr>
        <w:t>The reconciliation of the number of Equity shares outstanding as at: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0"/>
        <w:gridCol w:w="1711"/>
        <w:gridCol w:w="1619"/>
        <w:gridCol w:w="1556"/>
      </w:tblGrid>
      <w:tr w:rsidR="005B5953" w:rsidRPr="005B12AE" w14:paraId="5FC1CE03" w14:textId="77777777" w:rsidTr="00250DAC">
        <w:trPr>
          <w:trHeight w:val="20"/>
        </w:trPr>
        <w:tc>
          <w:tcPr>
            <w:tcW w:w="2664" w:type="pct"/>
            <w:vMerge w:val="restart"/>
            <w:shd w:val="clear" w:color="auto" w:fill="D0CECE" w:themeFill="background2" w:themeFillShade="E6"/>
            <w:noWrap/>
            <w:vAlign w:val="center"/>
            <w:hideMark/>
          </w:tcPr>
          <w:p w14:paraId="6B2117AA"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Particulars</w:t>
            </w:r>
          </w:p>
        </w:tc>
        <w:tc>
          <w:tcPr>
            <w:tcW w:w="2336" w:type="pct"/>
            <w:gridSpan w:val="3"/>
            <w:shd w:val="clear" w:color="auto" w:fill="D0CECE" w:themeFill="background2" w:themeFillShade="E6"/>
            <w:noWrap/>
            <w:vAlign w:val="bottom"/>
            <w:hideMark/>
          </w:tcPr>
          <w:p w14:paraId="6F95C55F"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As At</w:t>
            </w:r>
          </w:p>
        </w:tc>
      </w:tr>
      <w:tr w:rsidR="005B5953" w:rsidRPr="005B12AE" w14:paraId="4875AE6B" w14:textId="77777777" w:rsidTr="00250DAC">
        <w:trPr>
          <w:trHeight w:val="20"/>
        </w:trPr>
        <w:tc>
          <w:tcPr>
            <w:tcW w:w="2664" w:type="pct"/>
            <w:vMerge/>
            <w:shd w:val="clear" w:color="auto" w:fill="D0CECE" w:themeFill="background2" w:themeFillShade="E6"/>
            <w:vAlign w:val="center"/>
            <w:hideMark/>
          </w:tcPr>
          <w:p w14:paraId="290936B6" w14:textId="77777777" w:rsidR="005B5953" w:rsidRPr="005B12AE" w:rsidRDefault="005B5953" w:rsidP="00250DAC">
            <w:pPr>
              <w:spacing w:after="0" w:line="240" w:lineRule="auto"/>
              <w:rPr>
                <w:rFonts w:ascii="Times New Roman" w:hAnsi="Times New Roman"/>
                <w:b/>
                <w:bCs/>
                <w:sz w:val="20"/>
                <w:szCs w:val="20"/>
              </w:rPr>
            </w:pPr>
          </w:p>
        </w:tc>
        <w:tc>
          <w:tcPr>
            <w:tcW w:w="818" w:type="pct"/>
            <w:shd w:val="clear" w:color="auto" w:fill="D0CECE" w:themeFill="background2" w:themeFillShade="E6"/>
            <w:noWrap/>
            <w:vAlign w:val="bottom"/>
            <w:hideMark/>
          </w:tcPr>
          <w:p w14:paraId="6184B3FD"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31/03/2023</w:t>
            </w:r>
          </w:p>
        </w:tc>
        <w:tc>
          <w:tcPr>
            <w:tcW w:w="774" w:type="pct"/>
            <w:shd w:val="clear" w:color="auto" w:fill="D0CECE" w:themeFill="background2" w:themeFillShade="E6"/>
            <w:noWrap/>
            <w:vAlign w:val="bottom"/>
            <w:hideMark/>
          </w:tcPr>
          <w:p w14:paraId="3AF9E2E0"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31/03/2022</w:t>
            </w:r>
          </w:p>
        </w:tc>
        <w:tc>
          <w:tcPr>
            <w:tcW w:w="743" w:type="pct"/>
            <w:shd w:val="clear" w:color="auto" w:fill="D0CECE" w:themeFill="background2" w:themeFillShade="E6"/>
            <w:noWrap/>
            <w:vAlign w:val="bottom"/>
            <w:hideMark/>
          </w:tcPr>
          <w:p w14:paraId="1F818FC8"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31/03/2021</w:t>
            </w:r>
          </w:p>
        </w:tc>
      </w:tr>
      <w:tr w:rsidR="005B5953" w:rsidRPr="005B12AE" w14:paraId="4FB69065" w14:textId="77777777" w:rsidTr="00250DAC">
        <w:trPr>
          <w:trHeight w:val="20"/>
        </w:trPr>
        <w:tc>
          <w:tcPr>
            <w:tcW w:w="2664" w:type="pct"/>
            <w:shd w:val="clear" w:color="auto" w:fill="auto"/>
            <w:noWrap/>
            <w:vAlign w:val="bottom"/>
            <w:hideMark/>
          </w:tcPr>
          <w:p w14:paraId="65B112A4"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Number of shares at the beginning</w:t>
            </w:r>
          </w:p>
        </w:tc>
        <w:tc>
          <w:tcPr>
            <w:tcW w:w="818" w:type="pct"/>
            <w:shd w:val="clear" w:color="auto" w:fill="auto"/>
            <w:noWrap/>
            <w:vAlign w:val="bottom"/>
            <w:hideMark/>
          </w:tcPr>
          <w:p w14:paraId="5524FA4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1,38,05,500</w:t>
            </w:r>
          </w:p>
        </w:tc>
        <w:tc>
          <w:tcPr>
            <w:tcW w:w="774" w:type="pct"/>
            <w:shd w:val="clear" w:color="auto" w:fill="auto"/>
            <w:noWrap/>
            <w:vAlign w:val="bottom"/>
            <w:hideMark/>
          </w:tcPr>
          <w:p w14:paraId="06A1D0A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1,38,05,500</w:t>
            </w:r>
          </w:p>
        </w:tc>
        <w:tc>
          <w:tcPr>
            <w:tcW w:w="743" w:type="pct"/>
            <w:shd w:val="clear" w:color="auto" w:fill="auto"/>
            <w:noWrap/>
            <w:vAlign w:val="bottom"/>
            <w:hideMark/>
          </w:tcPr>
          <w:p w14:paraId="08CD86B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1,38,05,500</w:t>
            </w:r>
          </w:p>
        </w:tc>
      </w:tr>
      <w:tr w:rsidR="005B5953" w:rsidRPr="005B12AE" w14:paraId="420CA2E8" w14:textId="77777777" w:rsidTr="00250DAC">
        <w:trPr>
          <w:trHeight w:val="20"/>
        </w:trPr>
        <w:tc>
          <w:tcPr>
            <w:tcW w:w="2664" w:type="pct"/>
            <w:shd w:val="clear" w:color="auto" w:fill="auto"/>
            <w:noWrap/>
            <w:vAlign w:val="bottom"/>
            <w:hideMark/>
          </w:tcPr>
          <w:p w14:paraId="29CE5214"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Add: Bonus Share Issued </w:t>
            </w:r>
          </w:p>
        </w:tc>
        <w:tc>
          <w:tcPr>
            <w:tcW w:w="818" w:type="pct"/>
            <w:shd w:val="clear" w:color="auto" w:fill="auto"/>
            <w:noWrap/>
            <w:vAlign w:val="bottom"/>
            <w:hideMark/>
          </w:tcPr>
          <w:p w14:paraId="6B2F858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74" w:type="pct"/>
            <w:shd w:val="clear" w:color="auto" w:fill="auto"/>
            <w:noWrap/>
            <w:vAlign w:val="bottom"/>
            <w:hideMark/>
          </w:tcPr>
          <w:p w14:paraId="1921A79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43" w:type="pct"/>
            <w:shd w:val="clear" w:color="auto" w:fill="auto"/>
            <w:noWrap/>
            <w:vAlign w:val="bottom"/>
            <w:hideMark/>
          </w:tcPr>
          <w:p w14:paraId="3B26295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65C04E6A" w14:textId="77777777" w:rsidTr="00250DAC">
        <w:trPr>
          <w:trHeight w:val="20"/>
        </w:trPr>
        <w:tc>
          <w:tcPr>
            <w:tcW w:w="2664" w:type="pct"/>
            <w:shd w:val="clear" w:color="auto" w:fill="auto"/>
            <w:noWrap/>
            <w:vAlign w:val="bottom"/>
            <w:hideMark/>
          </w:tcPr>
          <w:p w14:paraId="79D26FE0"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Add: Fresh Issue of shares </w:t>
            </w:r>
          </w:p>
        </w:tc>
        <w:tc>
          <w:tcPr>
            <w:tcW w:w="818" w:type="pct"/>
            <w:shd w:val="clear" w:color="auto" w:fill="auto"/>
            <w:noWrap/>
            <w:vAlign w:val="bottom"/>
            <w:hideMark/>
          </w:tcPr>
          <w:p w14:paraId="191ADD2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74" w:type="pct"/>
            <w:shd w:val="clear" w:color="auto" w:fill="auto"/>
            <w:noWrap/>
            <w:vAlign w:val="bottom"/>
            <w:hideMark/>
          </w:tcPr>
          <w:p w14:paraId="36A3403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43" w:type="pct"/>
            <w:shd w:val="clear" w:color="auto" w:fill="auto"/>
            <w:noWrap/>
            <w:vAlign w:val="bottom"/>
            <w:hideMark/>
          </w:tcPr>
          <w:p w14:paraId="2FE455E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60588784" w14:textId="77777777" w:rsidTr="00250DAC">
        <w:trPr>
          <w:trHeight w:val="20"/>
        </w:trPr>
        <w:tc>
          <w:tcPr>
            <w:tcW w:w="2664" w:type="pct"/>
            <w:shd w:val="clear" w:color="auto" w:fill="auto"/>
            <w:noWrap/>
            <w:vAlign w:val="bottom"/>
            <w:hideMark/>
          </w:tcPr>
          <w:p w14:paraId="1D8D2DFF"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Number of shares at the end</w:t>
            </w:r>
          </w:p>
        </w:tc>
        <w:tc>
          <w:tcPr>
            <w:tcW w:w="818" w:type="pct"/>
            <w:shd w:val="clear" w:color="auto" w:fill="auto"/>
            <w:noWrap/>
            <w:vAlign w:val="bottom"/>
            <w:hideMark/>
          </w:tcPr>
          <w:p w14:paraId="4C2A624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1,38,05,500</w:t>
            </w:r>
          </w:p>
        </w:tc>
        <w:tc>
          <w:tcPr>
            <w:tcW w:w="774" w:type="pct"/>
            <w:shd w:val="clear" w:color="auto" w:fill="auto"/>
            <w:noWrap/>
            <w:vAlign w:val="bottom"/>
            <w:hideMark/>
          </w:tcPr>
          <w:p w14:paraId="11094B6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1,38,05,500</w:t>
            </w:r>
          </w:p>
        </w:tc>
        <w:tc>
          <w:tcPr>
            <w:tcW w:w="743" w:type="pct"/>
            <w:shd w:val="clear" w:color="auto" w:fill="auto"/>
            <w:noWrap/>
            <w:vAlign w:val="bottom"/>
            <w:hideMark/>
          </w:tcPr>
          <w:p w14:paraId="2C9EBA2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1,38,05,500</w:t>
            </w:r>
          </w:p>
        </w:tc>
      </w:tr>
    </w:tbl>
    <w:p w14:paraId="3F53BDE0" w14:textId="77777777" w:rsidR="005B5953" w:rsidRPr="005B12AE" w:rsidRDefault="005B5953" w:rsidP="005B5953">
      <w:pPr>
        <w:pStyle w:val="ListParagraph"/>
        <w:ind w:left="450"/>
        <w:rPr>
          <w:sz w:val="20"/>
          <w:szCs w:val="20"/>
        </w:rPr>
      </w:pPr>
    </w:p>
    <w:p w14:paraId="0AA81BEF" w14:textId="77777777" w:rsidR="005B5953" w:rsidRPr="005B12AE" w:rsidRDefault="005B5953">
      <w:pPr>
        <w:pStyle w:val="ListParagraph"/>
        <w:numPr>
          <w:ilvl w:val="0"/>
          <w:numId w:val="328"/>
        </w:numPr>
        <w:suppressAutoHyphens w:val="0"/>
        <w:autoSpaceDE/>
        <w:autoSpaceDN/>
        <w:adjustRightInd/>
        <w:spacing w:line="259" w:lineRule="auto"/>
        <w:ind w:left="450"/>
        <w:contextualSpacing/>
        <w:textAlignment w:val="auto"/>
        <w:rPr>
          <w:sz w:val="20"/>
          <w:szCs w:val="20"/>
        </w:rPr>
      </w:pPr>
      <w:r w:rsidRPr="005B12AE">
        <w:rPr>
          <w:sz w:val="20"/>
          <w:szCs w:val="20"/>
        </w:rPr>
        <w:t>The detail of shareholders holding more than 5% of Shares:-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4"/>
        <w:gridCol w:w="1711"/>
        <w:gridCol w:w="1619"/>
        <w:gridCol w:w="1552"/>
      </w:tblGrid>
      <w:tr w:rsidR="005B5953" w:rsidRPr="005B12AE" w14:paraId="7F55FB6F" w14:textId="77777777" w:rsidTr="00250DAC">
        <w:trPr>
          <w:trHeight w:val="20"/>
        </w:trPr>
        <w:tc>
          <w:tcPr>
            <w:tcW w:w="2665" w:type="pct"/>
            <w:shd w:val="clear" w:color="auto" w:fill="D0CECE" w:themeFill="background2" w:themeFillShade="E6"/>
            <w:vAlign w:val="center"/>
            <w:hideMark/>
          </w:tcPr>
          <w:p w14:paraId="6E446654"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Name of Shareholders</w:t>
            </w:r>
          </w:p>
        </w:tc>
        <w:tc>
          <w:tcPr>
            <w:tcW w:w="818" w:type="pct"/>
            <w:shd w:val="clear" w:color="auto" w:fill="D0CECE" w:themeFill="background2" w:themeFillShade="E6"/>
            <w:noWrap/>
            <w:vAlign w:val="bottom"/>
            <w:hideMark/>
          </w:tcPr>
          <w:p w14:paraId="5116A1CC"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31/03/2023</w:t>
            </w:r>
          </w:p>
        </w:tc>
        <w:tc>
          <w:tcPr>
            <w:tcW w:w="774" w:type="pct"/>
            <w:shd w:val="clear" w:color="auto" w:fill="D0CECE" w:themeFill="background2" w:themeFillShade="E6"/>
            <w:noWrap/>
            <w:vAlign w:val="bottom"/>
            <w:hideMark/>
          </w:tcPr>
          <w:p w14:paraId="6C49DD8F"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31/03/2022</w:t>
            </w:r>
          </w:p>
        </w:tc>
        <w:tc>
          <w:tcPr>
            <w:tcW w:w="742" w:type="pct"/>
            <w:shd w:val="clear" w:color="auto" w:fill="D0CECE" w:themeFill="background2" w:themeFillShade="E6"/>
            <w:noWrap/>
            <w:vAlign w:val="bottom"/>
            <w:hideMark/>
          </w:tcPr>
          <w:p w14:paraId="68C5979B"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31/03/2021</w:t>
            </w:r>
          </w:p>
        </w:tc>
      </w:tr>
      <w:tr w:rsidR="005B5953" w:rsidRPr="005B12AE" w14:paraId="7579C051" w14:textId="77777777" w:rsidTr="00250DAC">
        <w:trPr>
          <w:trHeight w:val="20"/>
        </w:trPr>
        <w:tc>
          <w:tcPr>
            <w:tcW w:w="2665" w:type="pct"/>
            <w:shd w:val="clear" w:color="auto" w:fill="auto"/>
            <w:vAlign w:val="bottom"/>
            <w:hideMark/>
          </w:tcPr>
          <w:p w14:paraId="209BC145"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Dwarkadhish Venture Private Limited (formerly known as Siyaram Metals Private Limited)</w:t>
            </w:r>
          </w:p>
        </w:tc>
        <w:tc>
          <w:tcPr>
            <w:tcW w:w="818" w:type="pct"/>
            <w:shd w:val="clear" w:color="auto" w:fill="auto"/>
            <w:noWrap/>
            <w:vAlign w:val="center"/>
            <w:hideMark/>
          </w:tcPr>
          <w:p w14:paraId="125235E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1,30,45,500</w:t>
            </w:r>
          </w:p>
        </w:tc>
        <w:tc>
          <w:tcPr>
            <w:tcW w:w="774" w:type="pct"/>
            <w:shd w:val="clear" w:color="auto" w:fill="auto"/>
            <w:noWrap/>
            <w:vAlign w:val="center"/>
            <w:hideMark/>
          </w:tcPr>
          <w:p w14:paraId="76EBB85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1,30,45,500</w:t>
            </w:r>
          </w:p>
        </w:tc>
        <w:tc>
          <w:tcPr>
            <w:tcW w:w="742" w:type="pct"/>
            <w:shd w:val="clear" w:color="auto" w:fill="auto"/>
            <w:noWrap/>
            <w:vAlign w:val="center"/>
            <w:hideMark/>
          </w:tcPr>
          <w:p w14:paraId="4C0BA30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1,30,45,500</w:t>
            </w:r>
          </w:p>
        </w:tc>
      </w:tr>
      <w:tr w:rsidR="005B5953" w:rsidRPr="005B12AE" w14:paraId="677886EE" w14:textId="77777777" w:rsidTr="00250DAC">
        <w:trPr>
          <w:trHeight w:val="20"/>
        </w:trPr>
        <w:tc>
          <w:tcPr>
            <w:tcW w:w="2665" w:type="pct"/>
            <w:shd w:val="clear" w:color="auto" w:fill="auto"/>
            <w:noWrap/>
            <w:vAlign w:val="bottom"/>
            <w:hideMark/>
          </w:tcPr>
          <w:p w14:paraId="5AD3EAE5"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818" w:type="pct"/>
            <w:shd w:val="clear" w:color="auto" w:fill="auto"/>
            <w:noWrap/>
            <w:vAlign w:val="bottom"/>
            <w:hideMark/>
          </w:tcPr>
          <w:p w14:paraId="0EE73C9E"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1,30,45,500</w:t>
            </w:r>
          </w:p>
        </w:tc>
        <w:tc>
          <w:tcPr>
            <w:tcW w:w="774" w:type="pct"/>
            <w:shd w:val="clear" w:color="auto" w:fill="auto"/>
            <w:noWrap/>
            <w:vAlign w:val="bottom"/>
            <w:hideMark/>
          </w:tcPr>
          <w:p w14:paraId="580D42AD"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1,30,45,500</w:t>
            </w:r>
          </w:p>
        </w:tc>
        <w:tc>
          <w:tcPr>
            <w:tcW w:w="742" w:type="pct"/>
            <w:shd w:val="clear" w:color="auto" w:fill="auto"/>
            <w:noWrap/>
            <w:vAlign w:val="bottom"/>
            <w:hideMark/>
          </w:tcPr>
          <w:p w14:paraId="0FC3D96B"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1,30,45,500</w:t>
            </w:r>
          </w:p>
        </w:tc>
      </w:tr>
    </w:tbl>
    <w:p w14:paraId="15DD46FC" w14:textId="77777777" w:rsidR="005B5953" w:rsidRPr="005B12AE" w:rsidRDefault="005B5953" w:rsidP="005B5953">
      <w:pPr>
        <w:spacing w:after="0"/>
        <w:rPr>
          <w:rFonts w:ascii="Times New Roman" w:hAnsi="Times New Roman"/>
          <w:sz w:val="20"/>
          <w:szCs w:val="20"/>
        </w:rPr>
      </w:pPr>
    </w:p>
    <w:p w14:paraId="64F8E1F3" w14:textId="77777777" w:rsidR="005B5953" w:rsidRDefault="005B5953">
      <w:pPr>
        <w:pStyle w:val="ListParagraph"/>
        <w:numPr>
          <w:ilvl w:val="0"/>
          <w:numId w:val="328"/>
        </w:numPr>
        <w:suppressAutoHyphens w:val="0"/>
        <w:autoSpaceDE/>
        <w:autoSpaceDN/>
        <w:adjustRightInd/>
        <w:spacing w:line="259" w:lineRule="auto"/>
        <w:ind w:left="450"/>
        <w:contextualSpacing/>
        <w:textAlignment w:val="auto"/>
        <w:rPr>
          <w:sz w:val="20"/>
          <w:szCs w:val="20"/>
        </w:rPr>
      </w:pPr>
      <w:r w:rsidRPr="005B12AE">
        <w:rPr>
          <w:sz w:val="20"/>
          <w:szCs w:val="20"/>
        </w:rPr>
        <w:t>Promoters' Shareholding</w:t>
      </w:r>
    </w:p>
    <w:p w14:paraId="3E3F6EB1" w14:textId="77777777" w:rsidR="003B4BCE" w:rsidRPr="005B12AE" w:rsidRDefault="003B4BCE" w:rsidP="003B4BCE">
      <w:pPr>
        <w:pStyle w:val="ListParagraph"/>
        <w:suppressAutoHyphens w:val="0"/>
        <w:autoSpaceDE/>
        <w:autoSpaceDN/>
        <w:adjustRightInd/>
        <w:spacing w:line="259" w:lineRule="auto"/>
        <w:ind w:left="450"/>
        <w:contextualSpacing/>
        <w:textAlignment w:val="auto"/>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1"/>
        <w:gridCol w:w="1660"/>
        <w:gridCol w:w="1670"/>
        <w:gridCol w:w="1555"/>
      </w:tblGrid>
      <w:tr w:rsidR="005B5953" w:rsidRPr="005B12AE" w14:paraId="3288D712" w14:textId="77777777" w:rsidTr="00250DAC">
        <w:trPr>
          <w:trHeight w:val="20"/>
        </w:trPr>
        <w:tc>
          <w:tcPr>
            <w:tcW w:w="5000" w:type="pct"/>
            <w:gridSpan w:val="4"/>
            <w:tcBorders>
              <w:top w:val="nil"/>
              <w:left w:val="nil"/>
              <w:bottom w:val="single" w:sz="4" w:space="0" w:color="auto"/>
              <w:right w:val="nil"/>
            </w:tcBorders>
            <w:shd w:val="clear" w:color="auto" w:fill="auto"/>
            <w:noWrap/>
            <w:vAlign w:val="center"/>
            <w:hideMark/>
          </w:tcPr>
          <w:p w14:paraId="172D6E8C" w14:textId="77777777" w:rsidR="005B5953"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Shares held by promoters at the end of the year 31.03.2023</w:t>
            </w:r>
          </w:p>
          <w:p w14:paraId="3B010E28" w14:textId="77777777" w:rsidR="003B4BCE" w:rsidRPr="005B12AE" w:rsidRDefault="003B4BCE" w:rsidP="00250DAC">
            <w:pPr>
              <w:spacing w:after="0" w:line="240" w:lineRule="auto"/>
              <w:rPr>
                <w:rFonts w:ascii="Times New Roman" w:hAnsi="Times New Roman"/>
                <w:b/>
                <w:bCs/>
                <w:sz w:val="20"/>
                <w:szCs w:val="20"/>
              </w:rPr>
            </w:pPr>
          </w:p>
        </w:tc>
      </w:tr>
      <w:tr w:rsidR="005B5953" w:rsidRPr="005B12AE" w14:paraId="64851F0D" w14:textId="77777777" w:rsidTr="003B4BCE">
        <w:trPr>
          <w:trHeight w:val="20"/>
        </w:trPr>
        <w:tc>
          <w:tcPr>
            <w:tcW w:w="2666" w:type="pct"/>
            <w:tcBorders>
              <w:top w:val="single" w:sz="4" w:space="0" w:color="auto"/>
            </w:tcBorders>
            <w:shd w:val="clear" w:color="auto" w:fill="D0CECE" w:themeFill="background2" w:themeFillShade="E6"/>
            <w:vAlign w:val="center"/>
            <w:hideMark/>
          </w:tcPr>
          <w:p w14:paraId="46AF8C67"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Name</w:t>
            </w:r>
          </w:p>
        </w:tc>
        <w:tc>
          <w:tcPr>
            <w:tcW w:w="793" w:type="pct"/>
            <w:tcBorders>
              <w:top w:val="single" w:sz="4" w:space="0" w:color="auto"/>
            </w:tcBorders>
            <w:shd w:val="clear" w:color="auto" w:fill="D0CECE" w:themeFill="background2" w:themeFillShade="E6"/>
            <w:vAlign w:val="center"/>
            <w:hideMark/>
          </w:tcPr>
          <w:p w14:paraId="57AA3477"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No. of Shares</w:t>
            </w:r>
          </w:p>
        </w:tc>
        <w:tc>
          <w:tcPr>
            <w:tcW w:w="798" w:type="pct"/>
            <w:tcBorders>
              <w:top w:val="single" w:sz="4" w:space="0" w:color="auto"/>
            </w:tcBorders>
            <w:shd w:val="clear" w:color="auto" w:fill="D0CECE" w:themeFill="background2" w:themeFillShade="E6"/>
            <w:vAlign w:val="center"/>
            <w:hideMark/>
          </w:tcPr>
          <w:p w14:paraId="37ABAC65"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 of total Shares</w:t>
            </w:r>
          </w:p>
        </w:tc>
        <w:tc>
          <w:tcPr>
            <w:tcW w:w="743" w:type="pct"/>
            <w:tcBorders>
              <w:top w:val="single" w:sz="4" w:space="0" w:color="auto"/>
            </w:tcBorders>
            <w:shd w:val="clear" w:color="auto" w:fill="D0CECE" w:themeFill="background2" w:themeFillShade="E6"/>
            <w:vAlign w:val="center"/>
            <w:hideMark/>
          </w:tcPr>
          <w:p w14:paraId="50017F80"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 change during the year</w:t>
            </w:r>
          </w:p>
        </w:tc>
      </w:tr>
      <w:tr w:rsidR="005B5953" w:rsidRPr="005B12AE" w14:paraId="63181BE4" w14:textId="77777777" w:rsidTr="003B4BCE">
        <w:trPr>
          <w:trHeight w:val="20"/>
        </w:trPr>
        <w:tc>
          <w:tcPr>
            <w:tcW w:w="2666" w:type="pct"/>
            <w:shd w:val="clear" w:color="auto" w:fill="auto"/>
            <w:noWrap/>
            <w:vAlign w:val="bottom"/>
            <w:hideMark/>
          </w:tcPr>
          <w:p w14:paraId="62050F7C"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Ramgopal O Maheshwari</w:t>
            </w:r>
          </w:p>
        </w:tc>
        <w:tc>
          <w:tcPr>
            <w:tcW w:w="793" w:type="pct"/>
            <w:shd w:val="clear" w:color="auto" w:fill="auto"/>
            <w:noWrap/>
            <w:vAlign w:val="center"/>
            <w:hideMark/>
          </w:tcPr>
          <w:p w14:paraId="772FF91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6,60,000</w:t>
            </w:r>
          </w:p>
        </w:tc>
        <w:tc>
          <w:tcPr>
            <w:tcW w:w="798" w:type="pct"/>
            <w:shd w:val="clear" w:color="auto" w:fill="auto"/>
            <w:noWrap/>
            <w:vAlign w:val="center"/>
            <w:hideMark/>
          </w:tcPr>
          <w:p w14:paraId="0674AB0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4.78%</w:t>
            </w:r>
          </w:p>
        </w:tc>
        <w:tc>
          <w:tcPr>
            <w:tcW w:w="743" w:type="pct"/>
            <w:shd w:val="clear" w:color="auto" w:fill="auto"/>
            <w:noWrap/>
            <w:vAlign w:val="center"/>
            <w:hideMark/>
          </w:tcPr>
          <w:p w14:paraId="44D2B93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0.00%</w:t>
            </w:r>
          </w:p>
        </w:tc>
      </w:tr>
      <w:tr w:rsidR="005B5953" w:rsidRPr="005B12AE" w14:paraId="4F28A183" w14:textId="77777777" w:rsidTr="003B4BCE">
        <w:trPr>
          <w:trHeight w:val="20"/>
        </w:trPr>
        <w:tc>
          <w:tcPr>
            <w:tcW w:w="2666" w:type="pct"/>
            <w:tcBorders>
              <w:bottom w:val="single" w:sz="4" w:space="0" w:color="auto"/>
            </w:tcBorders>
            <w:shd w:val="clear" w:color="auto" w:fill="auto"/>
            <w:vAlign w:val="bottom"/>
            <w:hideMark/>
          </w:tcPr>
          <w:p w14:paraId="2EF2DA69"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Dwarkadhish Venture Private Limited (formerly known as Siyaram Metals Private Limited)</w:t>
            </w:r>
          </w:p>
        </w:tc>
        <w:tc>
          <w:tcPr>
            <w:tcW w:w="793" w:type="pct"/>
            <w:tcBorders>
              <w:bottom w:val="single" w:sz="4" w:space="0" w:color="auto"/>
            </w:tcBorders>
            <w:shd w:val="clear" w:color="auto" w:fill="auto"/>
            <w:noWrap/>
            <w:vAlign w:val="center"/>
            <w:hideMark/>
          </w:tcPr>
          <w:p w14:paraId="35B1CD2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1,30,45,500</w:t>
            </w:r>
          </w:p>
        </w:tc>
        <w:tc>
          <w:tcPr>
            <w:tcW w:w="798" w:type="pct"/>
            <w:tcBorders>
              <w:bottom w:val="single" w:sz="4" w:space="0" w:color="auto"/>
            </w:tcBorders>
            <w:shd w:val="clear" w:color="auto" w:fill="auto"/>
            <w:noWrap/>
            <w:vAlign w:val="center"/>
            <w:hideMark/>
          </w:tcPr>
          <w:p w14:paraId="0118374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94.49%</w:t>
            </w:r>
          </w:p>
        </w:tc>
        <w:tc>
          <w:tcPr>
            <w:tcW w:w="743" w:type="pct"/>
            <w:tcBorders>
              <w:bottom w:val="single" w:sz="4" w:space="0" w:color="auto"/>
            </w:tcBorders>
            <w:shd w:val="clear" w:color="auto" w:fill="auto"/>
            <w:noWrap/>
            <w:vAlign w:val="center"/>
            <w:hideMark/>
          </w:tcPr>
          <w:p w14:paraId="190E283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0.00%</w:t>
            </w:r>
          </w:p>
        </w:tc>
      </w:tr>
    </w:tbl>
    <w:p w14:paraId="5F810F42" w14:textId="77777777" w:rsidR="003B4BCE" w:rsidRDefault="003B4BCE" w:rsidP="003B4BCE">
      <w:pPr>
        <w:spacing w:after="0"/>
        <w:rPr>
          <w:rFonts w:ascii="Times New Roman" w:hAnsi="Times New Roman"/>
          <w:sz w:val="20"/>
          <w:szCs w:val="20"/>
        </w:rPr>
      </w:pPr>
    </w:p>
    <w:p w14:paraId="4CDDFA4E" w14:textId="77777777" w:rsidR="003B4BCE" w:rsidRDefault="003B4BCE" w:rsidP="003B4BCE">
      <w:pPr>
        <w:spacing w:after="0"/>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1"/>
        <w:gridCol w:w="1660"/>
        <w:gridCol w:w="1670"/>
        <w:gridCol w:w="1555"/>
      </w:tblGrid>
      <w:tr w:rsidR="005B5953" w:rsidRPr="005B12AE" w14:paraId="10606DF6" w14:textId="77777777" w:rsidTr="003B4BCE">
        <w:trPr>
          <w:trHeight w:val="20"/>
        </w:trPr>
        <w:tc>
          <w:tcPr>
            <w:tcW w:w="5000" w:type="pct"/>
            <w:gridSpan w:val="4"/>
            <w:tcBorders>
              <w:top w:val="nil"/>
              <w:left w:val="nil"/>
              <w:bottom w:val="single" w:sz="4" w:space="0" w:color="auto"/>
              <w:right w:val="nil"/>
            </w:tcBorders>
            <w:shd w:val="clear" w:color="auto" w:fill="auto"/>
            <w:noWrap/>
            <w:vAlign w:val="center"/>
            <w:hideMark/>
          </w:tcPr>
          <w:p w14:paraId="2340CBD7" w14:textId="77777777" w:rsidR="005B5953" w:rsidRDefault="005B5953" w:rsidP="00250DAC">
            <w:pPr>
              <w:spacing w:after="0" w:line="240" w:lineRule="auto"/>
              <w:jc w:val="both"/>
              <w:rPr>
                <w:rFonts w:ascii="Times New Roman" w:hAnsi="Times New Roman"/>
                <w:b/>
                <w:bCs/>
                <w:sz w:val="20"/>
                <w:szCs w:val="20"/>
              </w:rPr>
            </w:pPr>
            <w:r w:rsidRPr="005B12AE">
              <w:rPr>
                <w:rFonts w:ascii="Times New Roman" w:hAnsi="Times New Roman"/>
                <w:b/>
                <w:bCs/>
                <w:sz w:val="20"/>
                <w:szCs w:val="20"/>
              </w:rPr>
              <w:t>Shares held by promoters at the end of the year 31.03.2022</w:t>
            </w:r>
          </w:p>
          <w:p w14:paraId="64C90F64" w14:textId="77777777" w:rsidR="003B4BCE" w:rsidRPr="005B12AE" w:rsidRDefault="003B4BCE" w:rsidP="00250DAC">
            <w:pPr>
              <w:spacing w:after="0" w:line="240" w:lineRule="auto"/>
              <w:jc w:val="both"/>
              <w:rPr>
                <w:rFonts w:ascii="Times New Roman" w:hAnsi="Times New Roman"/>
                <w:b/>
                <w:bCs/>
                <w:sz w:val="20"/>
                <w:szCs w:val="20"/>
              </w:rPr>
            </w:pPr>
          </w:p>
        </w:tc>
      </w:tr>
      <w:tr w:rsidR="005B5953" w:rsidRPr="005B12AE" w14:paraId="3E9798E0" w14:textId="77777777" w:rsidTr="003B4BCE">
        <w:trPr>
          <w:trHeight w:val="20"/>
        </w:trPr>
        <w:tc>
          <w:tcPr>
            <w:tcW w:w="2666" w:type="pct"/>
            <w:tcBorders>
              <w:top w:val="single" w:sz="4" w:space="0" w:color="auto"/>
            </w:tcBorders>
            <w:shd w:val="clear" w:color="auto" w:fill="D0CECE" w:themeFill="background2" w:themeFillShade="E6"/>
            <w:vAlign w:val="center"/>
            <w:hideMark/>
          </w:tcPr>
          <w:p w14:paraId="5E6728CB"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lastRenderedPageBreak/>
              <w:t>Name</w:t>
            </w:r>
          </w:p>
        </w:tc>
        <w:tc>
          <w:tcPr>
            <w:tcW w:w="793" w:type="pct"/>
            <w:tcBorders>
              <w:top w:val="single" w:sz="4" w:space="0" w:color="auto"/>
            </w:tcBorders>
            <w:shd w:val="clear" w:color="auto" w:fill="D0CECE" w:themeFill="background2" w:themeFillShade="E6"/>
            <w:vAlign w:val="center"/>
            <w:hideMark/>
          </w:tcPr>
          <w:p w14:paraId="3694D6F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No. of Shares</w:t>
            </w:r>
          </w:p>
        </w:tc>
        <w:tc>
          <w:tcPr>
            <w:tcW w:w="798" w:type="pct"/>
            <w:tcBorders>
              <w:top w:val="single" w:sz="4" w:space="0" w:color="auto"/>
            </w:tcBorders>
            <w:shd w:val="clear" w:color="auto" w:fill="D0CECE" w:themeFill="background2" w:themeFillShade="E6"/>
            <w:vAlign w:val="center"/>
            <w:hideMark/>
          </w:tcPr>
          <w:p w14:paraId="07071501"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 of total Shares</w:t>
            </w:r>
          </w:p>
        </w:tc>
        <w:tc>
          <w:tcPr>
            <w:tcW w:w="743" w:type="pct"/>
            <w:tcBorders>
              <w:top w:val="single" w:sz="4" w:space="0" w:color="auto"/>
            </w:tcBorders>
            <w:shd w:val="clear" w:color="auto" w:fill="D0CECE" w:themeFill="background2" w:themeFillShade="E6"/>
            <w:vAlign w:val="center"/>
            <w:hideMark/>
          </w:tcPr>
          <w:p w14:paraId="35BD69FB"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 change during the year</w:t>
            </w:r>
          </w:p>
        </w:tc>
      </w:tr>
      <w:tr w:rsidR="005B5953" w:rsidRPr="005B12AE" w14:paraId="5798D47D" w14:textId="77777777" w:rsidTr="003B4BCE">
        <w:trPr>
          <w:trHeight w:val="20"/>
        </w:trPr>
        <w:tc>
          <w:tcPr>
            <w:tcW w:w="2666" w:type="pct"/>
            <w:shd w:val="clear" w:color="auto" w:fill="auto"/>
            <w:noWrap/>
            <w:vAlign w:val="bottom"/>
            <w:hideMark/>
          </w:tcPr>
          <w:p w14:paraId="58D0A948"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Ramgopal O Maheshwari</w:t>
            </w:r>
          </w:p>
        </w:tc>
        <w:tc>
          <w:tcPr>
            <w:tcW w:w="793" w:type="pct"/>
            <w:shd w:val="clear" w:color="auto" w:fill="auto"/>
            <w:noWrap/>
            <w:vAlign w:val="center"/>
            <w:hideMark/>
          </w:tcPr>
          <w:p w14:paraId="57FB1C2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6,60,000</w:t>
            </w:r>
          </w:p>
        </w:tc>
        <w:tc>
          <w:tcPr>
            <w:tcW w:w="798" w:type="pct"/>
            <w:shd w:val="clear" w:color="auto" w:fill="auto"/>
            <w:noWrap/>
            <w:vAlign w:val="center"/>
            <w:hideMark/>
          </w:tcPr>
          <w:p w14:paraId="5774CF3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4.78%</w:t>
            </w:r>
          </w:p>
        </w:tc>
        <w:tc>
          <w:tcPr>
            <w:tcW w:w="743" w:type="pct"/>
            <w:shd w:val="clear" w:color="auto" w:fill="auto"/>
            <w:noWrap/>
            <w:vAlign w:val="center"/>
            <w:hideMark/>
          </w:tcPr>
          <w:p w14:paraId="373DC41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0.00%</w:t>
            </w:r>
          </w:p>
        </w:tc>
      </w:tr>
      <w:tr w:rsidR="005B5953" w:rsidRPr="005B12AE" w14:paraId="711240E8" w14:textId="77777777" w:rsidTr="003B4BCE">
        <w:trPr>
          <w:trHeight w:val="20"/>
        </w:trPr>
        <w:tc>
          <w:tcPr>
            <w:tcW w:w="2666" w:type="pct"/>
            <w:tcBorders>
              <w:bottom w:val="single" w:sz="4" w:space="0" w:color="auto"/>
            </w:tcBorders>
            <w:shd w:val="clear" w:color="auto" w:fill="auto"/>
            <w:vAlign w:val="bottom"/>
            <w:hideMark/>
          </w:tcPr>
          <w:p w14:paraId="1D1C9E59"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Dwarkadhish Venture Private Limited (formerly known as Siyaram Metals Private Limited)</w:t>
            </w:r>
          </w:p>
        </w:tc>
        <w:tc>
          <w:tcPr>
            <w:tcW w:w="793" w:type="pct"/>
            <w:tcBorders>
              <w:bottom w:val="single" w:sz="4" w:space="0" w:color="auto"/>
            </w:tcBorders>
            <w:shd w:val="clear" w:color="auto" w:fill="auto"/>
            <w:noWrap/>
            <w:vAlign w:val="center"/>
            <w:hideMark/>
          </w:tcPr>
          <w:p w14:paraId="6DF3752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1,30,45,500</w:t>
            </w:r>
          </w:p>
        </w:tc>
        <w:tc>
          <w:tcPr>
            <w:tcW w:w="798" w:type="pct"/>
            <w:tcBorders>
              <w:bottom w:val="single" w:sz="4" w:space="0" w:color="auto"/>
            </w:tcBorders>
            <w:shd w:val="clear" w:color="auto" w:fill="auto"/>
            <w:noWrap/>
            <w:vAlign w:val="center"/>
            <w:hideMark/>
          </w:tcPr>
          <w:p w14:paraId="2FE140B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94.49%</w:t>
            </w:r>
          </w:p>
        </w:tc>
        <w:tc>
          <w:tcPr>
            <w:tcW w:w="743" w:type="pct"/>
            <w:tcBorders>
              <w:bottom w:val="single" w:sz="4" w:space="0" w:color="auto"/>
            </w:tcBorders>
            <w:shd w:val="clear" w:color="auto" w:fill="auto"/>
            <w:noWrap/>
            <w:vAlign w:val="center"/>
            <w:hideMark/>
          </w:tcPr>
          <w:p w14:paraId="6F7B87B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0.00%</w:t>
            </w:r>
          </w:p>
        </w:tc>
      </w:tr>
    </w:tbl>
    <w:p w14:paraId="3090CFD5" w14:textId="77777777" w:rsidR="003B4BCE" w:rsidRPr="003B4BCE" w:rsidRDefault="003B4BCE" w:rsidP="003B4BCE">
      <w:pPr>
        <w:spacing w:after="0"/>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1"/>
        <w:gridCol w:w="1660"/>
        <w:gridCol w:w="1670"/>
        <w:gridCol w:w="1555"/>
      </w:tblGrid>
      <w:tr w:rsidR="005B5953" w:rsidRPr="005B12AE" w14:paraId="13315A48" w14:textId="77777777" w:rsidTr="003B4BCE">
        <w:trPr>
          <w:trHeight w:val="20"/>
        </w:trPr>
        <w:tc>
          <w:tcPr>
            <w:tcW w:w="5000" w:type="pct"/>
            <w:gridSpan w:val="4"/>
            <w:tcBorders>
              <w:top w:val="nil"/>
              <w:left w:val="nil"/>
              <w:bottom w:val="single" w:sz="4" w:space="0" w:color="auto"/>
              <w:right w:val="nil"/>
            </w:tcBorders>
            <w:shd w:val="clear" w:color="auto" w:fill="auto"/>
            <w:noWrap/>
            <w:vAlign w:val="center"/>
            <w:hideMark/>
          </w:tcPr>
          <w:p w14:paraId="1FDC948B" w14:textId="77777777" w:rsidR="005B5953"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Shares held by promoters at the end of the year 31.03.2021</w:t>
            </w:r>
          </w:p>
          <w:p w14:paraId="645104C8" w14:textId="77777777" w:rsidR="003B4BCE" w:rsidRPr="005B12AE" w:rsidRDefault="003B4BCE" w:rsidP="00250DAC">
            <w:pPr>
              <w:spacing w:after="0" w:line="240" w:lineRule="auto"/>
              <w:rPr>
                <w:rFonts w:ascii="Times New Roman" w:hAnsi="Times New Roman"/>
                <w:b/>
                <w:bCs/>
                <w:sz w:val="20"/>
                <w:szCs w:val="20"/>
              </w:rPr>
            </w:pPr>
          </w:p>
        </w:tc>
      </w:tr>
      <w:tr w:rsidR="005B5953" w:rsidRPr="005B12AE" w14:paraId="24867BE2" w14:textId="77777777" w:rsidTr="003B4BCE">
        <w:trPr>
          <w:trHeight w:val="20"/>
        </w:trPr>
        <w:tc>
          <w:tcPr>
            <w:tcW w:w="2666" w:type="pct"/>
            <w:tcBorders>
              <w:top w:val="single" w:sz="4" w:space="0" w:color="auto"/>
            </w:tcBorders>
            <w:shd w:val="clear" w:color="auto" w:fill="D0CECE" w:themeFill="background2" w:themeFillShade="E6"/>
            <w:vAlign w:val="center"/>
            <w:hideMark/>
          </w:tcPr>
          <w:p w14:paraId="676125AA"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Name</w:t>
            </w:r>
          </w:p>
        </w:tc>
        <w:tc>
          <w:tcPr>
            <w:tcW w:w="793" w:type="pct"/>
            <w:tcBorders>
              <w:top w:val="single" w:sz="4" w:space="0" w:color="auto"/>
            </w:tcBorders>
            <w:shd w:val="clear" w:color="auto" w:fill="D0CECE" w:themeFill="background2" w:themeFillShade="E6"/>
            <w:vAlign w:val="center"/>
            <w:hideMark/>
          </w:tcPr>
          <w:p w14:paraId="14EEDCBA"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No. of Shares</w:t>
            </w:r>
          </w:p>
        </w:tc>
        <w:tc>
          <w:tcPr>
            <w:tcW w:w="798" w:type="pct"/>
            <w:tcBorders>
              <w:top w:val="single" w:sz="4" w:space="0" w:color="auto"/>
            </w:tcBorders>
            <w:shd w:val="clear" w:color="auto" w:fill="D0CECE" w:themeFill="background2" w:themeFillShade="E6"/>
            <w:vAlign w:val="center"/>
            <w:hideMark/>
          </w:tcPr>
          <w:p w14:paraId="2A96899D"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 of total Shares</w:t>
            </w:r>
          </w:p>
        </w:tc>
        <w:tc>
          <w:tcPr>
            <w:tcW w:w="743" w:type="pct"/>
            <w:tcBorders>
              <w:top w:val="single" w:sz="4" w:space="0" w:color="auto"/>
            </w:tcBorders>
            <w:shd w:val="clear" w:color="auto" w:fill="D0CECE" w:themeFill="background2" w:themeFillShade="E6"/>
            <w:vAlign w:val="center"/>
            <w:hideMark/>
          </w:tcPr>
          <w:p w14:paraId="6C2A0ECB"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 change during the year</w:t>
            </w:r>
          </w:p>
        </w:tc>
      </w:tr>
      <w:tr w:rsidR="005B5953" w:rsidRPr="005B12AE" w14:paraId="20613A4A" w14:textId="77777777" w:rsidTr="003B4BCE">
        <w:trPr>
          <w:trHeight w:val="20"/>
        </w:trPr>
        <w:tc>
          <w:tcPr>
            <w:tcW w:w="2666" w:type="pct"/>
            <w:shd w:val="clear" w:color="auto" w:fill="auto"/>
            <w:noWrap/>
            <w:vAlign w:val="bottom"/>
            <w:hideMark/>
          </w:tcPr>
          <w:p w14:paraId="564B4393"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Ramgopal O Maheshwari</w:t>
            </w:r>
          </w:p>
        </w:tc>
        <w:tc>
          <w:tcPr>
            <w:tcW w:w="793" w:type="pct"/>
            <w:shd w:val="clear" w:color="auto" w:fill="auto"/>
            <w:noWrap/>
            <w:vAlign w:val="center"/>
            <w:hideMark/>
          </w:tcPr>
          <w:p w14:paraId="206C3A4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6,60,000</w:t>
            </w:r>
          </w:p>
        </w:tc>
        <w:tc>
          <w:tcPr>
            <w:tcW w:w="798" w:type="pct"/>
            <w:shd w:val="clear" w:color="auto" w:fill="auto"/>
            <w:noWrap/>
            <w:vAlign w:val="center"/>
            <w:hideMark/>
          </w:tcPr>
          <w:p w14:paraId="730410B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4.78%</w:t>
            </w:r>
          </w:p>
        </w:tc>
        <w:tc>
          <w:tcPr>
            <w:tcW w:w="743" w:type="pct"/>
            <w:shd w:val="clear" w:color="auto" w:fill="auto"/>
            <w:noWrap/>
            <w:vAlign w:val="center"/>
            <w:hideMark/>
          </w:tcPr>
          <w:p w14:paraId="7E01A69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w:t>
            </w:r>
          </w:p>
        </w:tc>
      </w:tr>
      <w:tr w:rsidR="005B5953" w:rsidRPr="005B12AE" w14:paraId="498C6732" w14:textId="77777777" w:rsidTr="003B4BCE">
        <w:trPr>
          <w:trHeight w:val="20"/>
        </w:trPr>
        <w:tc>
          <w:tcPr>
            <w:tcW w:w="2666" w:type="pct"/>
            <w:shd w:val="clear" w:color="auto" w:fill="auto"/>
            <w:vAlign w:val="bottom"/>
            <w:hideMark/>
          </w:tcPr>
          <w:p w14:paraId="4D05E25A"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Dwarkadhish Venture Private Limited (formerly known as Siyaram Metals Private Limited)</w:t>
            </w:r>
          </w:p>
        </w:tc>
        <w:tc>
          <w:tcPr>
            <w:tcW w:w="793" w:type="pct"/>
            <w:shd w:val="clear" w:color="auto" w:fill="auto"/>
            <w:noWrap/>
            <w:vAlign w:val="center"/>
            <w:hideMark/>
          </w:tcPr>
          <w:p w14:paraId="75C97CB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1,30,45,500</w:t>
            </w:r>
          </w:p>
        </w:tc>
        <w:tc>
          <w:tcPr>
            <w:tcW w:w="798" w:type="pct"/>
            <w:shd w:val="clear" w:color="auto" w:fill="auto"/>
            <w:noWrap/>
            <w:vAlign w:val="center"/>
            <w:hideMark/>
          </w:tcPr>
          <w:p w14:paraId="4DC3945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94.49%</w:t>
            </w:r>
          </w:p>
        </w:tc>
        <w:tc>
          <w:tcPr>
            <w:tcW w:w="743" w:type="pct"/>
            <w:shd w:val="clear" w:color="auto" w:fill="auto"/>
            <w:noWrap/>
            <w:vAlign w:val="center"/>
            <w:hideMark/>
          </w:tcPr>
          <w:p w14:paraId="631F79B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w:t>
            </w:r>
          </w:p>
        </w:tc>
      </w:tr>
    </w:tbl>
    <w:p w14:paraId="2A5FD896" w14:textId="77777777" w:rsidR="005B5953" w:rsidRPr="005B12AE" w:rsidRDefault="005B5953" w:rsidP="005B5953">
      <w:pPr>
        <w:spacing w:after="0"/>
        <w:rPr>
          <w:rFonts w:ascii="Times New Roman" w:hAnsi="Times New Roman"/>
          <w:sz w:val="20"/>
          <w:szCs w:val="20"/>
        </w:rPr>
      </w:pPr>
    </w:p>
    <w:p w14:paraId="3A04A9CA" w14:textId="77777777" w:rsidR="005B5953" w:rsidRPr="005B12AE" w:rsidRDefault="005B5953" w:rsidP="005B5953">
      <w:pPr>
        <w:spacing w:after="0"/>
        <w:jc w:val="center"/>
        <w:rPr>
          <w:rFonts w:ascii="Times New Roman" w:hAnsi="Times New Roman"/>
          <w:b/>
          <w:bCs/>
          <w:sz w:val="20"/>
          <w:szCs w:val="20"/>
        </w:rPr>
      </w:pPr>
      <w:r w:rsidRPr="005B12AE">
        <w:rPr>
          <w:rFonts w:ascii="Times New Roman" w:hAnsi="Times New Roman"/>
          <w:b/>
          <w:bCs/>
          <w:sz w:val="20"/>
          <w:szCs w:val="20"/>
        </w:rPr>
        <w:t>NOTE – B</w:t>
      </w:r>
    </w:p>
    <w:p w14:paraId="5FF2862B" w14:textId="77777777" w:rsidR="005B5953" w:rsidRPr="005B12AE" w:rsidRDefault="005B5953" w:rsidP="005B5953">
      <w:pPr>
        <w:spacing w:after="0"/>
        <w:jc w:val="center"/>
        <w:rPr>
          <w:rFonts w:ascii="Times New Roman" w:hAnsi="Times New Roman"/>
          <w:b/>
          <w:bCs/>
          <w:sz w:val="20"/>
          <w:szCs w:val="20"/>
        </w:rPr>
      </w:pPr>
    </w:p>
    <w:p w14:paraId="76120D03" w14:textId="77777777" w:rsidR="005B5953" w:rsidRPr="005B12AE" w:rsidRDefault="005B5953" w:rsidP="005B5953">
      <w:pPr>
        <w:spacing w:after="0"/>
        <w:jc w:val="center"/>
        <w:rPr>
          <w:rFonts w:ascii="Times New Roman" w:hAnsi="Times New Roman"/>
          <w:b/>
          <w:bCs/>
          <w:sz w:val="20"/>
          <w:szCs w:val="20"/>
        </w:rPr>
      </w:pPr>
      <w:r w:rsidRPr="005B12AE">
        <w:rPr>
          <w:rFonts w:ascii="Times New Roman" w:hAnsi="Times New Roman"/>
          <w:b/>
          <w:bCs/>
          <w:sz w:val="20"/>
          <w:szCs w:val="20"/>
        </w:rPr>
        <w:t>RESTATED STATEMENT OF LONG-TERM BORROWINGS</w:t>
      </w:r>
    </w:p>
    <w:p w14:paraId="29F17E10" w14:textId="093E075B" w:rsidR="005B5953" w:rsidRPr="005B12AE" w:rsidRDefault="005B5953" w:rsidP="005B5953">
      <w:pPr>
        <w:spacing w:after="0"/>
        <w:jc w:val="right"/>
        <w:rPr>
          <w:rFonts w:ascii="Times New Roman" w:hAnsi="Times New Roman"/>
          <w:b/>
          <w:bCs/>
          <w:sz w:val="20"/>
          <w:szCs w:val="20"/>
        </w:rPr>
      </w:pPr>
      <w:r w:rsidRPr="005B12AE">
        <w:rPr>
          <w:rFonts w:ascii="Times New Roman" w:hAnsi="Times New Roman"/>
          <w:b/>
          <w:bCs/>
          <w:sz w:val="20"/>
          <w:szCs w:val="20"/>
        </w:rPr>
        <w:t>₹ in Lakhs)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0"/>
        <w:gridCol w:w="1711"/>
        <w:gridCol w:w="1619"/>
        <w:gridCol w:w="1556"/>
      </w:tblGrid>
      <w:tr w:rsidR="005B5953" w:rsidRPr="005B12AE" w14:paraId="36F51608" w14:textId="77777777" w:rsidTr="00250DAC">
        <w:trPr>
          <w:trHeight w:val="20"/>
        </w:trPr>
        <w:tc>
          <w:tcPr>
            <w:tcW w:w="2664" w:type="pct"/>
            <w:vMerge w:val="restart"/>
            <w:shd w:val="clear" w:color="auto" w:fill="D0CECE" w:themeFill="background2" w:themeFillShade="E6"/>
            <w:noWrap/>
            <w:vAlign w:val="center"/>
            <w:hideMark/>
          </w:tcPr>
          <w:p w14:paraId="307DEFB3"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Particulars</w:t>
            </w:r>
          </w:p>
        </w:tc>
        <w:tc>
          <w:tcPr>
            <w:tcW w:w="2336" w:type="pct"/>
            <w:gridSpan w:val="3"/>
            <w:shd w:val="clear" w:color="auto" w:fill="D0CECE" w:themeFill="background2" w:themeFillShade="E6"/>
            <w:noWrap/>
            <w:vAlign w:val="bottom"/>
            <w:hideMark/>
          </w:tcPr>
          <w:p w14:paraId="6A616F3B"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As at</w:t>
            </w:r>
          </w:p>
        </w:tc>
      </w:tr>
      <w:tr w:rsidR="005B5953" w:rsidRPr="005B12AE" w14:paraId="3E21166B" w14:textId="77777777" w:rsidTr="00250DAC">
        <w:trPr>
          <w:trHeight w:val="20"/>
        </w:trPr>
        <w:tc>
          <w:tcPr>
            <w:tcW w:w="2664" w:type="pct"/>
            <w:vMerge/>
            <w:shd w:val="clear" w:color="auto" w:fill="D0CECE" w:themeFill="background2" w:themeFillShade="E6"/>
            <w:vAlign w:val="center"/>
            <w:hideMark/>
          </w:tcPr>
          <w:p w14:paraId="735B0473" w14:textId="77777777" w:rsidR="005B5953" w:rsidRPr="005B12AE" w:rsidRDefault="005B5953" w:rsidP="00250DAC">
            <w:pPr>
              <w:spacing w:after="0" w:line="240" w:lineRule="auto"/>
              <w:rPr>
                <w:rFonts w:ascii="Times New Roman" w:hAnsi="Times New Roman"/>
                <w:b/>
                <w:bCs/>
                <w:sz w:val="20"/>
                <w:szCs w:val="20"/>
              </w:rPr>
            </w:pPr>
          </w:p>
        </w:tc>
        <w:tc>
          <w:tcPr>
            <w:tcW w:w="818" w:type="pct"/>
            <w:shd w:val="clear" w:color="auto" w:fill="D0CECE" w:themeFill="background2" w:themeFillShade="E6"/>
            <w:noWrap/>
            <w:vAlign w:val="bottom"/>
            <w:hideMark/>
          </w:tcPr>
          <w:p w14:paraId="05C69DED"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31/03/2023</w:t>
            </w:r>
          </w:p>
        </w:tc>
        <w:tc>
          <w:tcPr>
            <w:tcW w:w="774" w:type="pct"/>
            <w:shd w:val="clear" w:color="auto" w:fill="D0CECE" w:themeFill="background2" w:themeFillShade="E6"/>
            <w:noWrap/>
            <w:vAlign w:val="bottom"/>
            <w:hideMark/>
          </w:tcPr>
          <w:p w14:paraId="2FA5412D"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31/03/2022</w:t>
            </w:r>
          </w:p>
        </w:tc>
        <w:tc>
          <w:tcPr>
            <w:tcW w:w="743" w:type="pct"/>
            <w:shd w:val="clear" w:color="auto" w:fill="D0CECE" w:themeFill="background2" w:themeFillShade="E6"/>
            <w:noWrap/>
            <w:vAlign w:val="bottom"/>
            <w:hideMark/>
          </w:tcPr>
          <w:p w14:paraId="71C21809"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31/03/2021</w:t>
            </w:r>
          </w:p>
        </w:tc>
      </w:tr>
      <w:tr w:rsidR="005B5953" w:rsidRPr="005B12AE" w14:paraId="750A1537" w14:textId="77777777" w:rsidTr="00250DAC">
        <w:trPr>
          <w:trHeight w:val="20"/>
        </w:trPr>
        <w:tc>
          <w:tcPr>
            <w:tcW w:w="2664" w:type="pct"/>
            <w:shd w:val="clear" w:color="auto" w:fill="auto"/>
            <w:noWrap/>
            <w:vAlign w:val="bottom"/>
            <w:hideMark/>
          </w:tcPr>
          <w:p w14:paraId="1665D82C"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(Secured)</w:t>
            </w:r>
          </w:p>
        </w:tc>
        <w:tc>
          <w:tcPr>
            <w:tcW w:w="818" w:type="pct"/>
            <w:shd w:val="clear" w:color="auto" w:fill="auto"/>
            <w:noWrap/>
            <w:vAlign w:val="bottom"/>
            <w:hideMark/>
          </w:tcPr>
          <w:p w14:paraId="5C22C688" w14:textId="77777777" w:rsidR="005B5953" w:rsidRPr="005B12AE" w:rsidRDefault="005B5953" w:rsidP="00250DAC">
            <w:pPr>
              <w:spacing w:after="0" w:line="240" w:lineRule="auto"/>
              <w:jc w:val="center"/>
              <w:rPr>
                <w:rFonts w:ascii="Times New Roman" w:hAnsi="Times New Roman"/>
                <w:sz w:val="20"/>
                <w:szCs w:val="20"/>
              </w:rPr>
            </w:pPr>
          </w:p>
        </w:tc>
        <w:tc>
          <w:tcPr>
            <w:tcW w:w="774" w:type="pct"/>
            <w:shd w:val="clear" w:color="auto" w:fill="auto"/>
            <w:noWrap/>
            <w:vAlign w:val="bottom"/>
            <w:hideMark/>
          </w:tcPr>
          <w:p w14:paraId="3D27323D" w14:textId="77777777" w:rsidR="005B5953" w:rsidRPr="005B12AE" w:rsidRDefault="005B5953" w:rsidP="00250DAC">
            <w:pPr>
              <w:spacing w:after="0" w:line="240" w:lineRule="auto"/>
              <w:jc w:val="center"/>
              <w:rPr>
                <w:rFonts w:ascii="Times New Roman" w:hAnsi="Times New Roman"/>
                <w:sz w:val="20"/>
                <w:szCs w:val="20"/>
              </w:rPr>
            </w:pPr>
          </w:p>
        </w:tc>
        <w:tc>
          <w:tcPr>
            <w:tcW w:w="743" w:type="pct"/>
            <w:shd w:val="clear" w:color="auto" w:fill="auto"/>
            <w:noWrap/>
            <w:vAlign w:val="bottom"/>
            <w:hideMark/>
          </w:tcPr>
          <w:p w14:paraId="23BF180B"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59BA0F58" w14:textId="77777777" w:rsidTr="00250DAC">
        <w:trPr>
          <w:trHeight w:val="20"/>
        </w:trPr>
        <w:tc>
          <w:tcPr>
            <w:tcW w:w="2664" w:type="pct"/>
            <w:shd w:val="clear" w:color="auto" w:fill="auto"/>
            <w:hideMark/>
          </w:tcPr>
          <w:p w14:paraId="1EDCDA2A" w14:textId="77777777" w:rsidR="005B5953" w:rsidRPr="005B12AE" w:rsidRDefault="005B5953" w:rsidP="00250DAC">
            <w:pPr>
              <w:spacing w:after="0" w:line="240" w:lineRule="auto"/>
              <w:rPr>
                <w:rFonts w:ascii="Times New Roman" w:hAnsi="Times New Roman"/>
                <w:b/>
                <w:bCs/>
                <w:color w:val="000000"/>
                <w:sz w:val="20"/>
                <w:szCs w:val="20"/>
              </w:rPr>
            </w:pPr>
            <w:r w:rsidRPr="005B12AE">
              <w:rPr>
                <w:rFonts w:ascii="Times New Roman" w:hAnsi="Times New Roman"/>
                <w:b/>
                <w:bCs/>
                <w:color w:val="000000"/>
                <w:sz w:val="20"/>
                <w:szCs w:val="20"/>
              </w:rPr>
              <w:t xml:space="preserve">(a) Term loans  </w:t>
            </w:r>
          </w:p>
        </w:tc>
        <w:tc>
          <w:tcPr>
            <w:tcW w:w="818" w:type="pct"/>
            <w:shd w:val="clear" w:color="auto" w:fill="auto"/>
            <w:noWrap/>
            <w:vAlign w:val="bottom"/>
            <w:hideMark/>
          </w:tcPr>
          <w:p w14:paraId="19AA486A" w14:textId="77777777" w:rsidR="005B5953" w:rsidRPr="005B12AE" w:rsidRDefault="005B5953" w:rsidP="00250DAC">
            <w:pPr>
              <w:spacing w:after="0" w:line="240" w:lineRule="auto"/>
              <w:jc w:val="center"/>
              <w:rPr>
                <w:rFonts w:ascii="Times New Roman" w:hAnsi="Times New Roman"/>
                <w:sz w:val="20"/>
                <w:szCs w:val="20"/>
              </w:rPr>
            </w:pPr>
          </w:p>
        </w:tc>
        <w:tc>
          <w:tcPr>
            <w:tcW w:w="774" w:type="pct"/>
            <w:shd w:val="clear" w:color="auto" w:fill="auto"/>
            <w:noWrap/>
            <w:vAlign w:val="bottom"/>
            <w:hideMark/>
          </w:tcPr>
          <w:p w14:paraId="34A8C51A" w14:textId="77777777" w:rsidR="005B5953" w:rsidRPr="005B12AE" w:rsidRDefault="005B5953" w:rsidP="00250DAC">
            <w:pPr>
              <w:spacing w:after="0" w:line="240" w:lineRule="auto"/>
              <w:jc w:val="center"/>
              <w:rPr>
                <w:rFonts w:ascii="Times New Roman" w:hAnsi="Times New Roman"/>
                <w:sz w:val="20"/>
                <w:szCs w:val="20"/>
              </w:rPr>
            </w:pPr>
          </w:p>
        </w:tc>
        <w:tc>
          <w:tcPr>
            <w:tcW w:w="743" w:type="pct"/>
            <w:shd w:val="clear" w:color="auto" w:fill="auto"/>
            <w:noWrap/>
            <w:vAlign w:val="bottom"/>
            <w:hideMark/>
          </w:tcPr>
          <w:p w14:paraId="499E51EF"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7339B2C5" w14:textId="77777777" w:rsidTr="00250DAC">
        <w:trPr>
          <w:trHeight w:val="20"/>
        </w:trPr>
        <w:tc>
          <w:tcPr>
            <w:tcW w:w="2664" w:type="pct"/>
            <w:shd w:val="clear" w:color="auto" w:fill="auto"/>
            <w:hideMark/>
          </w:tcPr>
          <w:p w14:paraId="51EB94C9" w14:textId="77777777" w:rsidR="005B5953" w:rsidRPr="005B12AE" w:rsidRDefault="005B5953" w:rsidP="00250DAC">
            <w:pPr>
              <w:spacing w:after="0" w:line="240" w:lineRule="auto"/>
              <w:ind w:left="162"/>
              <w:rPr>
                <w:rFonts w:ascii="Times New Roman" w:hAnsi="Times New Roman"/>
                <w:color w:val="000000"/>
                <w:sz w:val="20"/>
                <w:szCs w:val="20"/>
              </w:rPr>
            </w:pPr>
            <w:r w:rsidRPr="005B12AE">
              <w:rPr>
                <w:rFonts w:ascii="Times New Roman" w:hAnsi="Times New Roman"/>
                <w:color w:val="000000"/>
                <w:sz w:val="20"/>
                <w:szCs w:val="20"/>
              </w:rPr>
              <w:t xml:space="preserve">Union Bank of India 7735 </w:t>
            </w:r>
          </w:p>
        </w:tc>
        <w:tc>
          <w:tcPr>
            <w:tcW w:w="818" w:type="pct"/>
            <w:shd w:val="clear" w:color="auto" w:fill="auto"/>
            <w:noWrap/>
            <w:vAlign w:val="bottom"/>
            <w:hideMark/>
          </w:tcPr>
          <w:p w14:paraId="55B7B97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74" w:type="pct"/>
            <w:shd w:val="clear" w:color="auto" w:fill="auto"/>
            <w:noWrap/>
            <w:vAlign w:val="bottom"/>
            <w:hideMark/>
          </w:tcPr>
          <w:p w14:paraId="0453BB6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43" w:type="pct"/>
            <w:shd w:val="clear" w:color="auto" w:fill="auto"/>
            <w:noWrap/>
            <w:vAlign w:val="bottom"/>
            <w:hideMark/>
          </w:tcPr>
          <w:p w14:paraId="1B49A48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40.08</w:t>
            </w:r>
          </w:p>
        </w:tc>
      </w:tr>
      <w:tr w:rsidR="005B5953" w:rsidRPr="005B12AE" w14:paraId="68B26649" w14:textId="77777777" w:rsidTr="00250DAC">
        <w:trPr>
          <w:trHeight w:val="20"/>
        </w:trPr>
        <w:tc>
          <w:tcPr>
            <w:tcW w:w="2664" w:type="pct"/>
            <w:shd w:val="clear" w:color="auto" w:fill="auto"/>
            <w:hideMark/>
          </w:tcPr>
          <w:p w14:paraId="078C26B5" w14:textId="77777777" w:rsidR="005B5953" w:rsidRPr="005B12AE" w:rsidRDefault="005B5953" w:rsidP="00250DAC">
            <w:pPr>
              <w:spacing w:after="0" w:line="240" w:lineRule="auto"/>
              <w:ind w:left="162"/>
              <w:rPr>
                <w:rFonts w:ascii="Times New Roman" w:hAnsi="Times New Roman"/>
                <w:color w:val="000000"/>
                <w:sz w:val="20"/>
                <w:szCs w:val="20"/>
              </w:rPr>
            </w:pPr>
            <w:r w:rsidRPr="005B12AE">
              <w:rPr>
                <w:rFonts w:ascii="Times New Roman" w:hAnsi="Times New Roman"/>
                <w:color w:val="000000"/>
                <w:sz w:val="20"/>
                <w:szCs w:val="20"/>
              </w:rPr>
              <w:t xml:space="preserve">Union Bank of India UGECL Account </w:t>
            </w:r>
          </w:p>
        </w:tc>
        <w:tc>
          <w:tcPr>
            <w:tcW w:w="818" w:type="pct"/>
            <w:shd w:val="clear" w:color="auto" w:fill="auto"/>
            <w:noWrap/>
            <w:vAlign w:val="bottom"/>
            <w:hideMark/>
          </w:tcPr>
          <w:p w14:paraId="26B59A0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12.75</w:t>
            </w:r>
          </w:p>
        </w:tc>
        <w:tc>
          <w:tcPr>
            <w:tcW w:w="774" w:type="pct"/>
            <w:shd w:val="clear" w:color="auto" w:fill="auto"/>
            <w:noWrap/>
            <w:vAlign w:val="bottom"/>
            <w:hideMark/>
          </w:tcPr>
          <w:p w14:paraId="1FE3328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71.51</w:t>
            </w:r>
          </w:p>
        </w:tc>
        <w:tc>
          <w:tcPr>
            <w:tcW w:w="743" w:type="pct"/>
            <w:shd w:val="clear" w:color="auto" w:fill="auto"/>
            <w:noWrap/>
            <w:vAlign w:val="bottom"/>
            <w:hideMark/>
          </w:tcPr>
          <w:p w14:paraId="6A15FDB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138.70</w:t>
            </w:r>
          </w:p>
        </w:tc>
      </w:tr>
      <w:tr w:rsidR="005B5953" w:rsidRPr="005B12AE" w14:paraId="15FBD171" w14:textId="77777777" w:rsidTr="00250DAC">
        <w:trPr>
          <w:trHeight w:val="20"/>
        </w:trPr>
        <w:tc>
          <w:tcPr>
            <w:tcW w:w="2664" w:type="pct"/>
            <w:shd w:val="clear" w:color="auto" w:fill="auto"/>
            <w:vAlign w:val="center"/>
            <w:hideMark/>
          </w:tcPr>
          <w:p w14:paraId="1F0AE972" w14:textId="77777777" w:rsidR="005B5953" w:rsidRPr="005B12AE" w:rsidRDefault="005B5953" w:rsidP="00250DAC">
            <w:pPr>
              <w:spacing w:after="0" w:line="240" w:lineRule="auto"/>
              <w:ind w:left="162"/>
              <w:rPr>
                <w:rFonts w:ascii="Times New Roman" w:hAnsi="Times New Roman"/>
                <w:color w:val="000000"/>
                <w:sz w:val="20"/>
                <w:szCs w:val="20"/>
              </w:rPr>
            </w:pPr>
            <w:r w:rsidRPr="005B12AE">
              <w:rPr>
                <w:rFonts w:ascii="Times New Roman" w:hAnsi="Times New Roman"/>
                <w:color w:val="000000"/>
                <w:sz w:val="20"/>
                <w:szCs w:val="20"/>
              </w:rPr>
              <w:t xml:space="preserve">Union Bank of India (UGECL2) Account </w:t>
            </w:r>
          </w:p>
        </w:tc>
        <w:tc>
          <w:tcPr>
            <w:tcW w:w="818" w:type="pct"/>
            <w:shd w:val="clear" w:color="auto" w:fill="auto"/>
            <w:noWrap/>
            <w:vAlign w:val="bottom"/>
            <w:hideMark/>
          </w:tcPr>
          <w:p w14:paraId="00AA759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97.60</w:t>
            </w:r>
          </w:p>
        </w:tc>
        <w:tc>
          <w:tcPr>
            <w:tcW w:w="774" w:type="pct"/>
            <w:shd w:val="clear" w:color="auto" w:fill="auto"/>
            <w:noWrap/>
            <w:vAlign w:val="bottom"/>
            <w:hideMark/>
          </w:tcPr>
          <w:p w14:paraId="266EA82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97.60</w:t>
            </w:r>
          </w:p>
        </w:tc>
        <w:tc>
          <w:tcPr>
            <w:tcW w:w="743" w:type="pct"/>
            <w:shd w:val="clear" w:color="auto" w:fill="auto"/>
            <w:noWrap/>
            <w:vAlign w:val="bottom"/>
            <w:hideMark/>
          </w:tcPr>
          <w:p w14:paraId="7E36C3A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1368CAD7" w14:textId="77777777" w:rsidTr="00250DAC">
        <w:trPr>
          <w:trHeight w:val="20"/>
        </w:trPr>
        <w:tc>
          <w:tcPr>
            <w:tcW w:w="2664" w:type="pct"/>
            <w:shd w:val="clear" w:color="auto" w:fill="auto"/>
            <w:noWrap/>
            <w:hideMark/>
          </w:tcPr>
          <w:p w14:paraId="789EA51A" w14:textId="77777777" w:rsidR="005B5953" w:rsidRPr="005B12AE" w:rsidRDefault="005B5953" w:rsidP="00250DAC">
            <w:pPr>
              <w:spacing w:after="0" w:line="240" w:lineRule="auto"/>
              <w:ind w:left="162"/>
              <w:rPr>
                <w:rFonts w:ascii="Times New Roman" w:hAnsi="Times New Roman"/>
                <w:color w:val="000000"/>
                <w:sz w:val="20"/>
                <w:szCs w:val="20"/>
              </w:rPr>
            </w:pPr>
            <w:r w:rsidRPr="005B12AE">
              <w:rPr>
                <w:rFonts w:ascii="Times New Roman" w:hAnsi="Times New Roman"/>
                <w:color w:val="000000"/>
                <w:sz w:val="20"/>
                <w:szCs w:val="20"/>
              </w:rPr>
              <w:t>Siemens Financial Services Pvt. Ltd.</w:t>
            </w:r>
          </w:p>
        </w:tc>
        <w:tc>
          <w:tcPr>
            <w:tcW w:w="818" w:type="pct"/>
            <w:shd w:val="clear" w:color="auto" w:fill="auto"/>
            <w:noWrap/>
            <w:vAlign w:val="bottom"/>
            <w:hideMark/>
          </w:tcPr>
          <w:p w14:paraId="7930DA7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3.31</w:t>
            </w:r>
          </w:p>
        </w:tc>
        <w:tc>
          <w:tcPr>
            <w:tcW w:w="774" w:type="pct"/>
            <w:shd w:val="clear" w:color="auto" w:fill="auto"/>
            <w:noWrap/>
            <w:vAlign w:val="bottom"/>
            <w:hideMark/>
          </w:tcPr>
          <w:p w14:paraId="623A098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28.16</w:t>
            </w:r>
          </w:p>
        </w:tc>
        <w:tc>
          <w:tcPr>
            <w:tcW w:w="743" w:type="pct"/>
            <w:shd w:val="clear" w:color="auto" w:fill="auto"/>
            <w:noWrap/>
            <w:vAlign w:val="bottom"/>
            <w:hideMark/>
          </w:tcPr>
          <w:p w14:paraId="678C7B7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59.23</w:t>
            </w:r>
          </w:p>
        </w:tc>
      </w:tr>
      <w:tr w:rsidR="005B5953" w:rsidRPr="005B12AE" w14:paraId="004C9463" w14:textId="77777777" w:rsidTr="00250DAC">
        <w:trPr>
          <w:trHeight w:val="20"/>
        </w:trPr>
        <w:tc>
          <w:tcPr>
            <w:tcW w:w="2664" w:type="pct"/>
            <w:shd w:val="clear" w:color="auto" w:fill="auto"/>
            <w:hideMark/>
          </w:tcPr>
          <w:p w14:paraId="363A4856" w14:textId="77777777" w:rsidR="005B5953" w:rsidRPr="005B12AE" w:rsidRDefault="005B5953" w:rsidP="00250DAC">
            <w:pPr>
              <w:spacing w:after="0" w:line="240" w:lineRule="auto"/>
              <w:ind w:left="162"/>
              <w:rPr>
                <w:rFonts w:ascii="Times New Roman" w:hAnsi="Times New Roman"/>
                <w:color w:val="000000"/>
                <w:sz w:val="20"/>
                <w:szCs w:val="20"/>
              </w:rPr>
            </w:pPr>
            <w:r w:rsidRPr="005B12AE">
              <w:rPr>
                <w:rFonts w:ascii="Times New Roman" w:hAnsi="Times New Roman"/>
                <w:color w:val="000000"/>
                <w:sz w:val="20"/>
                <w:szCs w:val="20"/>
              </w:rPr>
              <w:t xml:space="preserve">Sub-total (a) </w:t>
            </w:r>
          </w:p>
        </w:tc>
        <w:tc>
          <w:tcPr>
            <w:tcW w:w="818" w:type="pct"/>
            <w:shd w:val="clear" w:color="auto" w:fill="auto"/>
            <w:noWrap/>
            <w:vAlign w:val="bottom"/>
            <w:hideMark/>
          </w:tcPr>
          <w:p w14:paraId="74F5E7DA"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113.66</w:t>
            </w:r>
          </w:p>
        </w:tc>
        <w:tc>
          <w:tcPr>
            <w:tcW w:w="774" w:type="pct"/>
            <w:shd w:val="clear" w:color="auto" w:fill="auto"/>
            <w:noWrap/>
            <w:vAlign w:val="bottom"/>
            <w:hideMark/>
          </w:tcPr>
          <w:p w14:paraId="18CC8385"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197.27</w:t>
            </w:r>
          </w:p>
        </w:tc>
        <w:tc>
          <w:tcPr>
            <w:tcW w:w="743" w:type="pct"/>
            <w:shd w:val="clear" w:color="auto" w:fill="auto"/>
            <w:noWrap/>
            <w:vAlign w:val="bottom"/>
            <w:hideMark/>
          </w:tcPr>
          <w:p w14:paraId="78DE3963"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238.01</w:t>
            </w:r>
          </w:p>
        </w:tc>
      </w:tr>
      <w:tr w:rsidR="005B5953" w:rsidRPr="005B12AE" w14:paraId="4C48BC8C" w14:textId="77777777" w:rsidTr="00250DAC">
        <w:trPr>
          <w:trHeight w:val="20"/>
        </w:trPr>
        <w:tc>
          <w:tcPr>
            <w:tcW w:w="2664" w:type="pct"/>
            <w:shd w:val="clear" w:color="auto" w:fill="auto"/>
            <w:hideMark/>
          </w:tcPr>
          <w:p w14:paraId="14E5528A" w14:textId="77777777" w:rsidR="005B5953" w:rsidRPr="005B12AE" w:rsidRDefault="005B5953" w:rsidP="00250DAC">
            <w:pPr>
              <w:spacing w:after="0" w:line="240" w:lineRule="auto"/>
              <w:rPr>
                <w:rFonts w:ascii="Times New Roman" w:hAnsi="Times New Roman"/>
                <w:b/>
                <w:bCs/>
                <w:color w:val="000000"/>
                <w:sz w:val="20"/>
                <w:szCs w:val="20"/>
              </w:rPr>
            </w:pPr>
            <w:r w:rsidRPr="005B12AE">
              <w:rPr>
                <w:rFonts w:ascii="Times New Roman" w:hAnsi="Times New Roman"/>
                <w:b/>
                <w:bCs/>
                <w:color w:val="000000"/>
                <w:sz w:val="20"/>
                <w:szCs w:val="20"/>
              </w:rPr>
              <w:t xml:space="preserve">(b) Term loans  </w:t>
            </w:r>
          </w:p>
        </w:tc>
        <w:tc>
          <w:tcPr>
            <w:tcW w:w="818" w:type="pct"/>
            <w:shd w:val="clear" w:color="auto" w:fill="auto"/>
            <w:noWrap/>
            <w:vAlign w:val="bottom"/>
            <w:hideMark/>
          </w:tcPr>
          <w:p w14:paraId="3C9C30EE" w14:textId="77777777" w:rsidR="005B5953" w:rsidRPr="005B12AE" w:rsidRDefault="005B5953" w:rsidP="00250DAC">
            <w:pPr>
              <w:spacing w:after="0" w:line="240" w:lineRule="auto"/>
              <w:jc w:val="center"/>
              <w:rPr>
                <w:rFonts w:ascii="Times New Roman" w:hAnsi="Times New Roman"/>
                <w:sz w:val="20"/>
                <w:szCs w:val="20"/>
              </w:rPr>
            </w:pPr>
          </w:p>
        </w:tc>
        <w:tc>
          <w:tcPr>
            <w:tcW w:w="774" w:type="pct"/>
            <w:shd w:val="clear" w:color="auto" w:fill="auto"/>
            <w:noWrap/>
            <w:vAlign w:val="bottom"/>
            <w:hideMark/>
          </w:tcPr>
          <w:p w14:paraId="4F0DF687" w14:textId="77777777" w:rsidR="005B5953" w:rsidRPr="005B12AE" w:rsidRDefault="005B5953" w:rsidP="00250DAC">
            <w:pPr>
              <w:spacing w:after="0" w:line="240" w:lineRule="auto"/>
              <w:jc w:val="center"/>
              <w:rPr>
                <w:rFonts w:ascii="Times New Roman" w:hAnsi="Times New Roman"/>
                <w:sz w:val="20"/>
                <w:szCs w:val="20"/>
              </w:rPr>
            </w:pPr>
          </w:p>
        </w:tc>
        <w:tc>
          <w:tcPr>
            <w:tcW w:w="743" w:type="pct"/>
            <w:shd w:val="clear" w:color="auto" w:fill="auto"/>
            <w:noWrap/>
            <w:vAlign w:val="bottom"/>
            <w:hideMark/>
          </w:tcPr>
          <w:p w14:paraId="65B783D0"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17D0833A" w14:textId="77777777" w:rsidTr="00250DAC">
        <w:trPr>
          <w:trHeight w:val="20"/>
        </w:trPr>
        <w:tc>
          <w:tcPr>
            <w:tcW w:w="2664" w:type="pct"/>
            <w:shd w:val="clear" w:color="auto" w:fill="auto"/>
            <w:noWrap/>
            <w:vAlign w:val="bottom"/>
            <w:hideMark/>
          </w:tcPr>
          <w:p w14:paraId="1D76159D" w14:textId="77777777" w:rsidR="005B5953" w:rsidRPr="005B12AE" w:rsidRDefault="005B5953" w:rsidP="00250DAC">
            <w:pPr>
              <w:spacing w:after="0" w:line="240" w:lineRule="auto"/>
              <w:ind w:left="162"/>
              <w:rPr>
                <w:rFonts w:ascii="Times New Roman" w:hAnsi="Times New Roman"/>
                <w:color w:val="000000"/>
                <w:sz w:val="20"/>
                <w:szCs w:val="20"/>
              </w:rPr>
            </w:pPr>
            <w:r w:rsidRPr="005B12AE">
              <w:rPr>
                <w:rFonts w:ascii="Times New Roman" w:hAnsi="Times New Roman"/>
                <w:color w:val="000000"/>
                <w:sz w:val="20"/>
                <w:szCs w:val="20"/>
              </w:rPr>
              <w:t>Union Bank of India Vehicle Loan (Director)</w:t>
            </w:r>
          </w:p>
        </w:tc>
        <w:tc>
          <w:tcPr>
            <w:tcW w:w="818" w:type="pct"/>
            <w:shd w:val="clear" w:color="auto" w:fill="auto"/>
            <w:noWrap/>
            <w:vAlign w:val="bottom"/>
            <w:hideMark/>
          </w:tcPr>
          <w:p w14:paraId="5627D7D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11.20</w:t>
            </w:r>
          </w:p>
        </w:tc>
        <w:tc>
          <w:tcPr>
            <w:tcW w:w="774" w:type="pct"/>
            <w:shd w:val="clear" w:color="auto" w:fill="auto"/>
            <w:noWrap/>
            <w:vAlign w:val="bottom"/>
            <w:hideMark/>
          </w:tcPr>
          <w:p w14:paraId="5190289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14.44</w:t>
            </w:r>
          </w:p>
        </w:tc>
        <w:tc>
          <w:tcPr>
            <w:tcW w:w="743" w:type="pct"/>
            <w:shd w:val="clear" w:color="auto" w:fill="auto"/>
            <w:noWrap/>
            <w:vAlign w:val="bottom"/>
            <w:hideMark/>
          </w:tcPr>
          <w:p w14:paraId="2272591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19.23</w:t>
            </w:r>
          </w:p>
        </w:tc>
      </w:tr>
      <w:tr w:rsidR="005B5953" w:rsidRPr="005B12AE" w14:paraId="42155DB8" w14:textId="77777777" w:rsidTr="00250DAC">
        <w:trPr>
          <w:trHeight w:val="20"/>
        </w:trPr>
        <w:tc>
          <w:tcPr>
            <w:tcW w:w="2664" w:type="pct"/>
            <w:shd w:val="clear" w:color="auto" w:fill="auto"/>
            <w:noWrap/>
            <w:vAlign w:val="bottom"/>
            <w:hideMark/>
          </w:tcPr>
          <w:p w14:paraId="35470091" w14:textId="77777777" w:rsidR="005B5953" w:rsidRPr="005B12AE" w:rsidRDefault="005B5953" w:rsidP="00250DAC">
            <w:pPr>
              <w:spacing w:after="0" w:line="240" w:lineRule="auto"/>
              <w:ind w:left="162"/>
              <w:rPr>
                <w:rFonts w:ascii="Times New Roman" w:hAnsi="Times New Roman"/>
                <w:color w:val="000000"/>
                <w:sz w:val="20"/>
                <w:szCs w:val="20"/>
              </w:rPr>
            </w:pPr>
            <w:r w:rsidRPr="005B12AE">
              <w:rPr>
                <w:rFonts w:ascii="Times New Roman" w:hAnsi="Times New Roman"/>
                <w:color w:val="000000"/>
                <w:sz w:val="20"/>
                <w:szCs w:val="20"/>
              </w:rPr>
              <w:t>HDFC Bank Vehicle Loan (Director)</w:t>
            </w:r>
          </w:p>
        </w:tc>
        <w:tc>
          <w:tcPr>
            <w:tcW w:w="818" w:type="pct"/>
            <w:shd w:val="clear" w:color="auto" w:fill="auto"/>
            <w:noWrap/>
            <w:vAlign w:val="bottom"/>
            <w:hideMark/>
          </w:tcPr>
          <w:p w14:paraId="7FED92D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0.56</w:t>
            </w:r>
          </w:p>
        </w:tc>
        <w:tc>
          <w:tcPr>
            <w:tcW w:w="774" w:type="pct"/>
            <w:shd w:val="clear" w:color="auto" w:fill="auto"/>
            <w:noWrap/>
            <w:vAlign w:val="bottom"/>
            <w:hideMark/>
          </w:tcPr>
          <w:p w14:paraId="5828207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5.30</w:t>
            </w:r>
          </w:p>
        </w:tc>
        <w:tc>
          <w:tcPr>
            <w:tcW w:w="743" w:type="pct"/>
            <w:shd w:val="clear" w:color="auto" w:fill="auto"/>
            <w:noWrap/>
            <w:vAlign w:val="bottom"/>
            <w:hideMark/>
          </w:tcPr>
          <w:p w14:paraId="167282E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10.87</w:t>
            </w:r>
          </w:p>
        </w:tc>
      </w:tr>
      <w:tr w:rsidR="005B5953" w:rsidRPr="005B12AE" w14:paraId="5DACE2F7" w14:textId="77777777" w:rsidTr="00250DAC">
        <w:trPr>
          <w:trHeight w:val="20"/>
        </w:trPr>
        <w:tc>
          <w:tcPr>
            <w:tcW w:w="2664" w:type="pct"/>
            <w:shd w:val="clear" w:color="auto" w:fill="auto"/>
            <w:noWrap/>
            <w:vAlign w:val="bottom"/>
            <w:hideMark/>
          </w:tcPr>
          <w:p w14:paraId="48B92858" w14:textId="77777777" w:rsidR="005B5953" w:rsidRPr="005B12AE" w:rsidRDefault="005B5953" w:rsidP="00250DAC">
            <w:pPr>
              <w:spacing w:after="0" w:line="240" w:lineRule="auto"/>
              <w:ind w:left="162"/>
              <w:rPr>
                <w:rFonts w:ascii="Times New Roman" w:hAnsi="Times New Roman"/>
                <w:color w:val="000000"/>
                <w:sz w:val="20"/>
                <w:szCs w:val="20"/>
              </w:rPr>
            </w:pPr>
            <w:r w:rsidRPr="005B12AE">
              <w:rPr>
                <w:rFonts w:ascii="Times New Roman" w:hAnsi="Times New Roman"/>
                <w:color w:val="000000"/>
                <w:sz w:val="20"/>
                <w:szCs w:val="20"/>
              </w:rPr>
              <w:t>Union Bank BMW Car Loan (Director)</w:t>
            </w:r>
          </w:p>
        </w:tc>
        <w:tc>
          <w:tcPr>
            <w:tcW w:w="818" w:type="pct"/>
            <w:shd w:val="clear" w:color="auto" w:fill="auto"/>
            <w:noWrap/>
            <w:vAlign w:val="bottom"/>
            <w:hideMark/>
          </w:tcPr>
          <w:p w14:paraId="024DA34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28.35</w:t>
            </w:r>
          </w:p>
        </w:tc>
        <w:tc>
          <w:tcPr>
            <w:tcW w:w="774" w:type="pct"/>
            <w:shd w:val="clear" w:color="auto" w:fill="auto"/>
            <w:noWrap/>
            <w:vAlign w:val="bottom"/>
            <w:hideMark/>
          </w:tcPr>
          <w:p w14:paraId="777D45B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33.48</w:t>
            </w:r>
          </w:p>
        </w:tc>
        <w:tc>
          <w:tcPr>
            <w:tcW w:w="743" w:type="pct"/>
            <w:shd w:val="clear" w:color="auto" w:fill="auto"/>
            <w:noWrap/>
            <w:vAlign w:val="bottom"/>
            <w:hideMark/>
          </w:tcPr>
          <w:p w14:paraId="1BE93BE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5D66C5AF" w14:textId="77777777" w:rsidTr="00250DAC">
        <w:trPr>
          <w:trHeight w:val="20"/>
        </w:trPr>
        <w:tc>
          <w:tcPr>
            <w:tcW w:w="2664" w:type="pct"/>
            <w:shd w:val="clear" w:color="auto" w:fill="auto"/>
            <w:noWrap/>
            <w:vAlign w:val="bottom"/>
            <w:hideMark/>
          </w:tcPr>
          <w:p w14:paraId="4C8BFED6" w14:textId="77777777" w:rsidR="005B5953" w:rsidRPr="005B12AE" w:rsidRDefault="005B5953" w:rsidP="00250DAC">
            <w:pPr>
              <w:spacing w:after="0" w:line="240" w:lineRule="auto"/>
              <w:ind w:left="162"/>
              <w:rPr>
                <w:rFonts w:ascii="Times New Roman" w:hAnsi="Times New Roman"/>
                <w:color w:val="000000"/>
                <w:sz w:val="20"/>
                <w:szCs w:val="20"/>
              </w:rPr>
            </w:pPr>
            <w:r w:rsidRPr="005B12AE">
              <w:rPr>
                <w:rFonts w:ascii="Times New Roman" w:hAnsi="Times New Roman"/>
                <w:color w:val="000000"/>
                <w:sz w:val="20"/>
                <w:szCs w:val="20"/>
              </w:rPr>
              <w:t>Union Bank Fortuner Car Loan (Director)</w:t>
            </w:r>
          </w:p>
        </w:tc>
        <w:tc>
          <w:tcPr>
            <w:tcW w:w="818" w:type="pct"/>
            <w:shd w:val="clear" w:color="auto" w:fill="auto"/>
            <w:noWrap/>
            <w:vAlign w:val="bottom"/>
            <w:hideMark/>
          </w:tcPr>
          <w:p w14:paraId="31BC412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74" w:type="pct"/>
            <w:shd w:val="clear" w:color="auto" w:fill="auto"/>
            <w:noWrap/>
            <w:vAlign w:val="bottom"/>
            <w:hideMark/>
          </w:tcPr>
          <w:p w14:paraId="1E1CD7E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43" w:type="pct"/>
            <w:shd w:val="clear" w:color="auto" w:fill="auto"/>
            <w:noWrap/>
            <w:vAlign w:val="bottom"/>
            <w:hideMark/>
          </w:tcPr>
          <w:p w14:paraId="5393851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12864107" w14:textId="77777777" w:rsidTr="00250DAC">
        <w:trPr>
          <w:trHeight w:val="20"/>
        </w:trPr>
        <w:tc>
          <w:tcPr>
            <w:tcW w:w="2664" w:type="pct"/>
            <w:shd w:val="clear" w:color="auto" w:fill="auto"/>
            <w:noWrap/>
            <w:vAlign w:val="bottom"/>
            <w:hideMark/>
          </w:tcPr>
          <w:p w14:paraId="4ABAB918" w14:textId="77777777" w:rsidR="005B5953" w:rsidRPr="005B12AE" w:rsidRDefault="005B5953" w:rsidP="00250DAC">
            <w:pPr>
              <w:spacing w:after="0" w:line="240" w:lineRule="auto"/>
              <w:ind w:left="162"/>
              <w:rPr>
                <w:rFonts w:ascii="Times New Roman" w:hAnsi="Times New Roman"/>
                <w:color w:val="000000"/>
                <w:sz w:val="20"/>
                <w:szCs w:val="20"/>
              </w:rPr>
            </w:pPr>
            <w:r w:rsidRPr="005B12AE">
              <w:rPr>
                <w:rFonts w:ascii="Times New Roman" w:hAnsi="Times New Roman"/>
                <w:color w:val="000000"/>
                <w:sz w:val="20"/>
                <w:szCs w:val="20"/>
              </w:rPr>
              <w:t>Union Bank KIA Carnival Loan (Director)</w:t>
            </w:r>
          </w:p>
        </w:tc>
        <w:tc>
          <w:tcPr>
            <w:tcW w:w="818" w:type="pct"/>
            <w:shd w:val="clear" w:color="auto" w:fill="auto"/>
            <w:noWrap/>
            <w:vAlign w:val="bottom"/>
            <w:hideMark/>
          </w:tcPr>
          <w:p w14:paraId="785BA47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23.25</w:t>
            </w:r>
          </w:p>
        </w:tc>
        <w:tc>
          <w:tcPr>
            <w:tcW w:w="774" w:type="pct"/>
            <w:shd w:val="clear" w:color="auto" w:fill="auto"/>
            <w:noWrap/>
            <w:vAlign w:val="bottom"/>
            <w:hideMark/>
          </w:tcPr>
          <w:p w14:paraId="6EC20FE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43" w:type="pct"/>
            <w:shd w:val="clear" w:color="auto" w:fill="auto"/>
            <w:noWrap/>
            <w:vAlign w:val="bottom"/>
            <w:hideMark/>
          </w:tcPr>
          <w:p w14:paraId="25E9B9B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636102B5" w14:textId="77777777" w:rsidTr="00250DAC">
        <w:trPr>
          <w:trHeight w:val="20"/>
        </w:trPr>
        <w:tc>
          <w:tcPr>
            <w:tcW w:w="2664" w:type="pct"/>
            <w:shd w:val="clear" w:color="auto" w:fill="auto"/>
            <w:noWrap/>
            <w:vAlign w:val="bottom"/>
            <w:hideMark/>
          </w:tcPr>
          <w:p w14:paraId="43796F14" w14:textId="77777777" w:rsidR="005B5953" w:rsidRPr="005B12AE" w:rsidRDefault="005B5953" w:rsidP="00250DAC">
            <w:pPr>
              <w:spacing w:after="0" w:line="240" w:lineRule="auto"/>
              <w:ind w:left="162"/>
              <w:rPr>
                <w:rFonts w:ascii="Times New Roman" w:hAnsi="Times New Roman"/>
                <w:color w:val="000000"/>
                <w:sz w:val="20"/>
                <w:szCs w:val="20"/>
              </w:rPr>
            </w:pPr>
            <w:r w:rsidRPr="005B12AE">
              <w:rPr>
                <w:rFonts w:ascii="Times New Roman" w:hAnsi="Times New Roman"/>
                <w:color w:val="000000"/>
                <w:sz w:val="20"/>
                <w:szCs w:val="20"/>
              </w:rPr>
              <w:t>Union Bank KIA Seltosh Loan (Director)</w:t>
            </w:r>
          </w:p>
        </w:tc>
        <w:tc>
          <w:tcPr>
            <w:tcW w:w="818" w:type="pct"/>
            <w:shd w:val="clear" w:color="auto" w:fill="auto"/>
            <w:noWrap/>
            <w:vAlign w:val="bottom"/>
            <w:hideMark/>
          </w:tcPr>
          <w:p w14:paraId="24A71B5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11.62</w:t>
            </w:r>
          </w:p>
        </w:tc>
        <w:tc>
          <w:tcPr>
            <w:tcW w:w="774" w:type="pct"/>
            <w:shd w:val="clear" w:color="auto" w:fill="auto"/>
            <w:noWrap/>
            <w:vAlign w:val="bottom"/>
            <w:hideMark/>
          </w:tcPr>
          <w:p w14:paraId="39CFF67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43" w:type="pct"/>
            <w:shd w:val="clear" w:color="auto" w:fill="auto"/>
            <w:noWrap/>
            <w:vAlign w:val="bottom"/>
            <w:hideMark/>
          </w:tcPr>
          <w:p w14:paraId="7A2E759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517E36B1" w14:textId="77777777" w:rsidTr="00250DAC">
        <w:trPr>
          <w:trHeight w:val="20"/>
        </w:trPr>
        <w:tc>
          <w:tcPr>
            <w:tcW w:w="2664" w:type="pct"/>
            <w:shd w:val="clear" w:color="auto" w:fill="auto"/>
            <w:noWrap/>
            <w:vAlign w:val="bottom"/>
            <w:hideMark/>
          </w:tcPr>
          <w:p w14:paraId="1BB1BB17" w14:textId="77777777" w:rsidR="005B5953" w:rsidRPr="005B12AE" w:rsidRDefault="005B5953" w:rsidP="00250DAC">
            <w:pPr>
              <w:spacing w:after="0" w:line="240" w:lineRule="auto"/>
              <w:ind w:left="162"/>
              <w:rPr>
                <w:rFonts w:ascii="Times New Roman" w:hAnsi="Times New Roman"/>
                <w:color w:val="000000"/>
                <w:sz w:val="20"/>
                <w:szCs w:val="20"/>
              </w:rPr>
            </w:pPr>
            <w:r w:rsidRPr="005B12AE">
              <w:rPr>
                <w:rFonts w:ascii="Times New Roman" w:hAnsi="Times New Roman"/>
                <w:color w:val="000000"/>
                <w:sz w:val="20"/>
                <w:szCs w:val="20"/>
              </w:rPr>
              <w:t>Union Bank XUV 700 Car Loan (Director)</w:t>
            </w:r>
          </w:p>
        </w:tc>
        <w:tc>
          <w:tcPr>
            <w:tcW w:w="818" w:type="pct"/>
            <w:shd w:val="clear" w:color="auto" w:fill="auto"/>
            <w:noWrap/>
            <w:vAlign w:val="bottom"/>
            <w:hideMark/>
          </w:tcPr>
          <w:p w14:paraId="0C6312F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12.08</w:t>
            </w:r>
          </w:p>
        </w:tc>
        <w:tc>
          <w:tcPr>
            <w:tcW w:w="774" w:type="pct"/>
            <w:shd w:val="clear" w:color="auto" w:fill="auto"/>
            <w:noWrap/>
            <w:vAlign w:val="bottom"/>
            <w:hideMark/>
          </w:tcPr>
          <w:p w14:paraId="4FDB244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13.89</w:t>
            </w:r>
          </w:p>
        </w:tc>
        <w:tc>
          <w:tcPr>
            <w:tcW w:w="743" w:type="pct"/>
            <w:shd w:val="clear" w:color="auto" w:fill="auto"/>
            <w:noWrap/>
            <w:vAlign w:val="bottom"/>
            <w:hideMark/>
          </w:tcPr>
          <w:p w14:paraId="250BD1D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682F8F53" w14:textId="77777777" w:rsidTr="00250DAC">
        <w:trPr>
          <w:trHeight w:val="20"/>
        </w:trPr>
        <w:tc>
          <w:tcPr>
            <w:tcW w:w="2664" w:type="pct"/>
            <w:shd w:val="clear" w:color="auto" w:fill="auto"/>
            <w:noWrap/>
            <w:vAlign w:val="bottom"/>
            <w:hideMark/>
          </w:tcPr>
          <w:p w14:paraId="7204FB5D" w14:textId="77777777" w:rsidR="005B5953" w:rsidRPr="005B12AE" w:rsidRDefault="005B5953" w:rsidP="00250DAC">
            <w:pPr>
              <w:spacing w:after="0" w:line="240" w:lineRule="auto"/>
              <w:ind w:left="162"/>
              <w:rPr>
                <w:rFonts w:ascii="Times New Roman" w:hAnsi="Times New Roman"/>
                <w:color w:val="000000"/>
                <w:sz w:val="20"/>
                <w:szCs w:val="20"/>
              </w:rPr>
            </w:pPr>
            <w:r w:rsidRPr="005B12AE">
              <w:rPr>
                <w:rFonts w:ascii="Times New Roman" w:hAnsi="Times New Roman"/>
                <w:color w:val="000000"/>
                <w:sz w:val="20"/>
                <w:szCs w:val="20"/>
              </w:rPr>
              <w:t>The Nawanagar Bank Co Op.Bank Vehicle Loan (Director)</w:t>
            </w:r>
          </w:p>
        </w:tc>
        <w:tc>
          <w:tcPr>
            <w:tcW w:w="818" w:type="pct"/>
            <w:shd w:val="clear" w:color="auto" w:fill="auto"/>
            <w:noWrap/>
            <w:vAlign w:val="bottom"/>
            <w:hideMark/>
          </w:tcPr>
          <w:p w14:paraId="442C218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3.78</w:t>
            </w:r>
          </w:p>
        </w:tc>
        <w:tc>
          <w:tcPr>
            <w:tcW w:w="774" w:type="pct"/>
            <w:shd w:val="clear" w:color="auto" w:fill="auto"/>
            <w:noWrap/>
            <w:vAlign w:val="bottom"/>
            <w:hideMark/>
          </w:tcPr>
          <w:p w14:paraId="6C0F5D4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4.66</w:t>
            </w:r>
          </w:p>
        </w:tc>
        <w:tc>
          <w:tcPr>
            <w:tcW w:w="743" w:type="pct"/>
            <w:shd w:val="clear" w:color="auto" w:fill="auto"/>
            <w:noWrap/>
            <w:vAlign w:val="bottom"/>
            <w:hideMark/>
          </w:tcPr>
          <w:p w14:paraId="24799AA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5.97</w:t>
            </w:r>
          </w:p>
        </w:tc>
      </w:tr>
      <w:tr w:rsidR="005B5953" w:rsidRPr="005B12AE" w14:paraId="784AEB95" w14:textId="77777777" w:rsidTr="00250DAC">
        <w:trPr>
          <w:trHeight w:val="20"/>
        </w:trPr>
        <w:tc>
          <w:tcPr>
            <w:tcW w:w="2664" w:type="pct"/>
            <w:shd w:val="clear" w:color="auto" w:fill="auto"/>
            <w:hideMark/>
          </w:tcPr>
          <w:p w14:paraId="039A5100" w14:textId="77777777" w:rsidR="005B5953" w:rsidRPr="005B12AE" w:rsidRDefault="005B5953" w:rsidP="00250DAC">
            <w:pPr>
              <w:spacing w:after="0" w:line="240" w:lineRule="auto"/>
              <w:rPr>
                <w:rFonts w:ascii="Times New Roman" w:hAnsi="Times New Roman"/>
                <w:b/>
                <w:bCs/>
                <w:color w:val="000000"/>
                <w:sz w:val="20"/>
                <w:szCs w:val="20"/>
              </w:rPr>
            </w:pPr>
            <w:r w:rsidRPr="005B12AE">
              <w:rPr>
                <w:rFonts w:ascii="Times New Roman" w:hAnsi="Times New Roman"/>
                <w:b/>
                <w:bCs/>
                <w:color w:val="000000"/>
                <w:sz w:val="20"/>
                <w:szCs w:val="20"/>
              </w:rPr>
              <w:t> </w:t>
            </w:r>
          </w:p>
        </w:tc>
        <w:tc>
          <w:tcPr>
            <w:tcW w:w="818" w:type="pct"/>
            <w:shd w:val="clear" w:color="auto" w:fill="auto"/>
            <w:noWrap/>
            <w:vAlign w:val="bottom"/>
            <w:hideMark/>
          </w:tcPr>
          <w:p w14:paraId="52222B6A"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90.84</w:t>
            </w:r>
          </w:p>
        </w:tc>
        <w:tc>
          <w:tcPr>
            <w:tcW w:w="774" w:type="pct"/>
            <w:shd w:val="clear" w:color="auto" w:fill="auto"/>
            <w:noWrap/>
            <w:vAlign w:val="bottom"/>
            <w:hideMark/>
          </w:tcPr>
          <w:p w14:paraId="03E8671D"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71.77</w:t>
            </w:r>
          </w:p>
        </w:tc>
        <w:tc>
          <w:tcPr>
            <w:tcW w:w="743" w:type="pct"/>
            <w:shd w:val="clear" w:color="auto" w:fill="auto"/>
            <w:noWrap/>
            <w:vAlign w:val="bottom"/>
            <w:hideMark/>
          </w:tcPr>
          <w:p w14:paraId="05C882B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36.07</w:t>
            </w:r>
          </w:p>
        </w:tc>
      </w:tr>
      <w:tr w:rsidR="005B5953" w:rsidRPr="005B12AE" w14:paraId="47DFE9BA" w14:textId="77777777" w:rsidTr="00250DAC">
        <w:trPr>
          <w:trHeight w:val="20"/>
        </w:trPr>
        <w:tc>
          <w:tcPr>
            <w:tcW w:w="2664" w:type="pct"/>
            <w:shd w:val="clear" w:color="auto" w:fill="auto"/>
            <w:hideMark/>
          </w:tcPr>
          <w:p w14:paraId="6D3CBC2C" w14:textId="77777777" w:rsidR="005B5953" w:rsidRPr="005B12AE" w:rsidRDefault="005B5953" w:rsidP="00250DAC">
            <w:pPr>
              <w:spacing w:after="0" w:line="240" w:lineRule="auto"/>
              <w:rPr>
                <w:rFonts w:ascii="Times New Roman" w:hAnsi="Times New Roman"/>
                <w:b/>
                <w:bCs/>
                <w:color w:val="000000"/>
                <w:sz w:val="20"/>
                <w:szCs w:val="20"/>
              </w:rPr>
            </w:pPr>
            <w:r w:rsidRPr="005B12AE">
              <w:rPr>
                <w:rFonts w:ascii="Times New Roman" w:hAnsi="Times New Roman"/>
                <w:b/>
                <w:bCs/>
                <w:color w:val="000000"/>
                <w:sz w:val="20"/>
                <w:szCs w:val="20"/>
              </w:rPr>
              <w:t xml:space="preserve">(c) Loans and advances from related parties &amp; shareholders (Unsecured) </w:t>
            </w:r>
          </w:p>
        </w:tc>
        <w:tc>
          <w:tcPr>
            <w:tcW w:w="818" w:type="pct"/>
            <w:shd w:val="clear" w:color="auto" w:fill="auto"/>
            <w:noWrap/>
            <w:vAlign w:val="bottom"/>
            <w:hideMark/>
          </w:tcPr>
          <w:p w14:paraId="4E0BC65D" w14:textId="77777777" w:rsidR="005B5953" w:rsidRPr="005B12AE" w:rsidRDefault="005B5953" w:rsidP="00250DAC">
            <w:pPr>
              <w:spacing w:after="0" w:line="240" w:lineRule="auto"/>
              <w:jc w:val="center"/>
              <w:rPr>
                <w:rFonts w:ascii="Times New Roman" w:hAnsi="Times New Roman"/>
                <w:sz w:val="20"/>
                <w:szCs w:val="20"/>
              </w:rPr>
            </w:pPr>
          </w:p>
        </w:tc>
        <w:tc>
          <w:tcPr>
            <w:tcW w:w="774" w:type="pct"/>
            <w:shd w:val="clear" w:color="auto" w:fill="auto"/>
            <w:noWrap/>
            <w:vAlign w:val="bottom"/>
            <w:hideMark/>
          </w:tcPr>
          <w:p w14:paraId="34C5CAA8" w14:textId="77777777" w:rsidR="005B5953" w:rsidRPr="005B12AE" w:rsidRDefault="005B5953" w:rsidP="00250DAC">
            <w:pPr>
              <w:spacing w:after="0" w:line="240" w:lineRule="auto"/>
              <w:jc w:val="center"/>
              <w:rPr>
                <w:rFonts w:ascii="Times New Roman" w:hAnsi="Times New Roman"/>
                <w:sz w:val="20"/>
                <w:szCs w:val="20"/>
              </w:rPr>
            </w:pPr>
          </w:p>
        </w:tc>
        <w:tc>
          <w:tcPr>
            <w:tcW w:w="743" w:type="pct"/>
            <w:shd w:val="clear" w:color="auto" w:fill="auto"/>
            <w:noWrap/>
            <w:vAlign w:val="bottom"/>
            <w:hideMark/>
          </w:tcPr>
          <w:p w14:paraId="22FC65F3"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09A699E5" w14:textId="77777777" w:rsidTr="00250DAC">
        <w:trPr>
          <w:trHeight w:val="20"/>
        </w:trPr>
        <w:tc>
          <w:tcPr>
            <w:tcW w:w="2664" w:type="pct"/>
            <w:shd w:val="clear" w:color="auto" w:fill="auto"/>
            <w:noWrap/>
            <w:vAlign w:val="bottom"/>
            <w:hideMark/>
          </w:tcPr>
          <w:p w14:paraId="7416653A"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From Directors</w:t>
            </w:r>
          </w:p>
        </w:tc>
        <w:tc>
          <w:tcPr>
            <w:tcW w:w="818" w:type="pct"/>
            <w:shd w:val="clear" w:color="auto" w:fill="auto"/>
            <w:noWrap/>
            <w:vAlign w:val="bottom"/>
            <w:hideMark/>
          </w:tcPr>
          <w:p w14:paraId="1A36480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74" w:type="pct"/>
            <w:shd w:val="clear" w:color="auto" w:fill="auto"/>
            <w:noWrap/>
            <w:vAlign w:val="bottom"/>
            <w:hideMark/>
          </w:tcPr>
          <w:p w14:paraId="2F76D671" w14:textId="77777777" w:rsidR="005B5953" w:rsidRPr="005B12AE" w:rsidRDefault="005B5953" w:rsidP="00250DAC">
            <w:pPr>
              <w:spacing w:after="0" w:line="240" w:lineRule="auto"/>
              <w:jc w:val="center"/>
              <w:rPr>
                <w:rFonts w:ascii="Times New Roman" w:hAnsi="Times New Roman"/>
                <w:sz w:val="20"/>
                <w:szCs w:val="20"/>
              </w:rPr>
            </w:pPr>
          </w:p>
        </w:tc>
        <w:tc>
          <w:tcPr>
            <w:tcW w:w="743" w:type="pct"/>
            <w:shd w:val="clear" w:color="auto" w:fill="auto"/>
            <w:noWrap/>
            <w:vAlign w:val="bottom"/>
            <w:hideMark/>
          </w:tcPr>
          <w:p w14:paraId="7D0D7DF8"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742DF97F" w14:textId="77777777" w:rsidTr="00250DAC">
        <w:trPr>
          <w:trHeight w:val="20"/>
        </w:trPr>
        <w:tc>
          <w:tcPr>
            <w:tcW w:w="2664" w:type="pct"/>
            <w:shd w:val="clear" w:color="auto" w:fill="auto"/>
            <w:noWrap/>
            <w:vAlign w:val="bottom"/>
            <w:hideMark/>
          </w:tcPr>
          <w:p w14:paraId="576A90F9"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From Others</w:t>
            </w:r>
          </w:p>
        </w:tc>
        <w:tc>
          <w:tcPr>
            <w:tcW w:w="818" w:type="pct"/>
            <w:shd w:val="clear" w:color="auto" w:fill="auto"/>
            <w:noWrap/>
            <w:vAlign w:val="bottom"/>
            <w:hideMark/>
          </w:tcPr>
          <w:p w14:paraId="2E4895CC" w14:textId="77777777" w:rsidR="005B5953" w:rsidRPr="005B12AE" w:rsidRDefault="005B5953" w:rsidP="00250DAC">
            <w:pPr>
              <w:spacing w:after="0" w:line="240" w:lineRule="auto"/>
              <w:jc w:val="center"/>
              <w:rPr>
                <w:rFonts w:ascii="Times New Roman" w:hAnsi="Times New Roman"/>
                <w:sz w:val="20"/>
                <w:szCs w:val="20"/>
              </w:rPr>
            </w:pPr>
          </w:p>
        </w:tc>
        <w:tc>
          <w:tcPr>
            <w:tcW w:w="774" w:type="pct"/>
            <w:shd w:val="clear" w:color="auto" w:fill="auto"/>
            <w:noWrap/>
            <w:vAlign w:val="bottom"/>
            <w:hideMark/>
          </w:tcPr>
          <w:p w14:paraId="31A777D2" w14:textId="77777777" w:rsidR="005B5953" w:rsidRPr="005B12AE" w:rsidRDefault="005B5953" w:rsidP="00250DAC">
            <w:pPr>
              <w:spacing w:after="0" w:line="240" w:lineRule="auto"/>
              <w:jc w:val="center"/>
              <w:rPr>
                <w:rFonts w:ascii="Times New Roman" w:hAnsi="Times New Roman"/>
                <w:sz w:val="20"/>
                <w:szCs w:val="20"/>
              </w:rPr>
            </w:pPr>
          </w:p>
        </w:tc>
        <w:tc>
          <w:tcPr>
            <w:tcW w:w="743" w:type="pct"/>
            <w:shd w:val="clear" w:color="auto" w:fill="auto"/>
            <w:noWrap/>
            <w:vAlign w:val="bottom"/>
            <w:hideMark/>
          </w:tcPr>
          <w:p w14:paraId="00AC7C6C"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52517D40" w14:textId="77777777" w:rsidTr="00250DAC">
        <w:trPr>
          <w:trHeight w:val="20"/>
        </w:trPr>
        <w:tc>
          <w:tcPr>
            <w:tcW w:w="2664" w:type="pct"/>
            <w:shd w:val="clear" w:color="auto" w:fill="auto"/>
            <w:noWrap/>
            <w:vAlign w:val="bottom"/>
            <w:hideMark/>
          </w:tcPr>
          <w:p w14:paraId="22C97B2B"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From Body Corporate </w:t>
            </w:r>
          </w:p>
        </w:tc>
        <w:tc>
          <w:tcPr>
            <w:tcW w:w="818" w:type="pct"/>
            <w:shd w:val="clear" w:color="auto" w:fill="auto"/>
            <w:noWrap/>
            <w:vAlign w:val="bottom"/>
            <w:hideMark/>
          </w:tcPr>
          <w:p w14:paraId="2686F39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498.31</w:t>
            </w:r>
          </w:p>
        </w:tc>
        <w:tc>
          <w:tcPr>
            <w:tcW w:w="774" w:type="pct"/>
            <w:shd w:val="clear" w:color="auto" w:fill="auto"/>
            <w:noWrap/>
            <w:vAlign w:val="bottom"/>
            <w:hideMark/>
          </w:tcPr>
          <w:p w14:paraId="223ADE7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43" w:type="pct"/>
            <w:shd w:val="clear" w:color="auto" w:fill="auto"/>
            <w:noWrap/>
            <w:vAlign w:val="bottom"/>
            <w:hideMark/>
          </w:tcPr>
          <w:p w14:paraId="4774439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1,311.30</w:t>
            </w:r>
          </w:p>
        </w:tc>
      </w:tr>
      <w:tr w:rsidR="005B5953" w:rsidRPr="005B12AE" w14:paraId="27E5433D" w14:textId="77777777" w:rsidTr="00250DAC">
        <w:trPr>
          <w:trHeight w:val="20"/>
        </w:trPr>
        <w:tc>
          <w:tcPr>
            <w:tcW w:w="2664" w:type="pct"/>
            <w:shd w:val="clear" w:color="auto" w:fill="auto"/>
            <w:hideMark/>
          </w:tcPr>
          <w:p w14:paraId="1B3EDD17" w14:textId="77777777" w:rsidR="005B5953" w:rsidRPr="005B12AE" w:rsidRDefault="005B5953" w:rsidP="00250DAC">
            <w:pPr>
              <w:spacing w:after="0" w:line="240" w:lineRule="auto"/>
              <w:rPr>
                <w:rFonts w:ascii="Times New Roman" w:hAnsi="Times New Roman"/>
                <w:b/>
                <w:bCs/>
                <w:color w:val="000000"/>
                <w:sz w:val="20"/>
                <w:szCs w:val="20"/>
              </w:rPr>
            </w:pPr>
            <w:r w:rsidRPr="005B12AE">
              <w:rPr>
                <w:rFonts w:ascii="Times New Roman" w:hAnsi="Times New Roman"/>
                <w:b/>
                <w:bCs/>
                <w:color w:val="000000"/>
                <w:sz w:val="20"/>
                <w:szCs w:val="20"/>
              </w:rPr>
              <w:t xml:space="preserve"> Sub-total (c) </w:t>
            </w:r>
          </w:p>
        </w:tc>
        <w:tc>
          <w:tcPr>
            <w:tcW w:w="818" w:type="pct"/>
            <w:shd w:val="clear" w:color="auto" w:fill="auto"/>
            <w:noWrap/>
            <w:vAlign w:val="bottom"/>
            <w:hideMark/>
          </w:tcPr>
          <w:p w14:paraId="55B470DA"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498.31</w:t>
            </w:r>
          </w:p>
        </w:tc>
        <w:tc>
          <w:tcPr>
            <w:tcW w:w="774" w:type="pct"/>
            <w:shd w:val="clear" w:color="auto" w:fill="auto"/>
            <w:noWrap/>
            <w:vAlign w:val="bottom"/>
            <w:hideMark/>
          </w:tcPr>
          <w:p w14:paraId="065A4F90"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743" w:type="pct"/>
            <w:shd w:val="clear" w:color="auto" w:fill="auto"/>
            <w:noWrap/>
            <w:vAlign w:val="bottom"/>
            <w:hideMark/>
          </w:tcPr>
          <w:p w14:paraId="51AAFE29"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1,311.30</w:t>
            </w:r>
          </w:p>
        </w:tc>
      </w:tr>
      <w:tr w:rsidR="005B5953" w:rsidRPr="005B12AE" w14:paraId="76E16CFF" w14:textId="77777777" w:rsidTr="00250DAC">
        <w:trPr>
          <w:trHeight w:val="20"/>
        </w:trPr>
        <w:tc>
          <w:tcPr>
            <w:tcW w:w="2664" w:type="pct"/>
            <w:shd w:val="clear" w:color="auto" w:fill="auto"/>
            <w:hideMark/>
          </w:tcPr>
          <w:p w14:paraId="2151348F" w14:textId="77777777" w:rsidR="005B5953" w:rsidRPr="005B12AE" w:rsidRDefault="005B5953" w:rsidP="00250DAC">
            <w:pPr>
              <w:spacing w:after="0" w:line="240" w:lineRule="auto"/>
              <w:rPr>
                <w:rFonts w:ascii="Times New Roman" w:hAnsi="Times New Roman"/>
                <w:b/>
                <w:bCs/>
                <w:color w:val="000000"/>
                <w:sz w:val="20"/>
                <w:szCs w:val="20"/>
              </w:rPr>
            </w:pPr>
            <w:r w:rsidRPr="005B12AE">
              <w:rPr>
                <w:rFonts w:ascii="Times New Roman" w:hAnsi="Times New Roman"/>
                <w:b/>
                <w:bCs/>
                <w:color w:val="000000"/>
                <w:sz w:val="20"/>
                <w:szCs w:val="20"/>
              </w:rPr>
              <w:t xml:space="preserve">(d) Intercorporate Deposits  </w:t>
            </w:r>
          </w:p>
        </w:tc>
        <w:tc>
          <w:tcPr>
            <w:tcW w:w="818" w:type="pct"/>
            <w:shd w:val="clear" w:color="auto" w:fill="auto"/>
            <w:noWrap/>
            <w:vAlign w:val="bottom"/>
            <w:hideMark/>
          </w:tcPr>
          <w:p w14:paraId="435A0AAC" w14:textId="77777777" w:rsidR="005B5953" w:rsidRPr="005B12AE" w:rsidRDefault="005B5953" w:rsidP="00250DAC">
            <w:pPr>
              <w:spacing w:after="0" w:line="240" w:lineRule="auto"/>
              <w:jc w:val="center"/>
              <w:rPr>
                <w:rFonts w:ascii="Times New Roman" w:hAnsi="Times New Roman"/>
                <w:sz w:val="20"/>
                <w:szCs w:val="20"/>
              </w:rPr>
            </w:pPr>
          </w:p>
        </w:tc>
        <w:tc>
          <w:tcPr>
            <w:tcW w:w="774" w:type="pct"/>
            <w:shd w:val="clear" w:color="auto" w:fill="auto"/>
            <w:noWrap/>
            <w:vAlign w:val="bottom"/>
            <w:hideMark/>
          </w:tcPr>
          <w:p w14:paraId="70582F37" w14:textId="77777777" w:rsidR="005B5953" w:rsidRPr="005B12AE" w:rsidRDefault="005B5953" w:rsidP="00250DAC">
            <w:pPr>
              <w:spacing w:after="0" w:line="240" w:lineRule="auto"/>
              <w:jc w:val="center"/>
              <w:rPr>
                <w:rFonts w:ascii="Times New Roman" w:hAnsi="Times New Roman"/>
                <w:sz w:val="20"/>
                <w:szCs w:val="20"/>
              </w:rPr>
            </w:pPr>
          </w:p>
        </w:tc>
        <w:tc>
          <w:tcPr>
            <w:tcW w:w="743" w:type="pct"/>
            <w:shd w:val="clear" w:color="auto" w:fill="auto"/>
            <w:noWrap/>
            <w:vAlign w:val="bottom"/>
            <w:hideMark/>
          </w:tcPr>
          <w:p w14:paraId="02183CCE"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3DBEBD2F" w14:textId="77777777" w:rsidTr="00250DAC">
        <w:trPr>
          <w:trHeight w:val="20"/>
        </w:trPr>
        <w:tc>
          <w:tcPr>
            <w:tcW w:w="2664" w:type="pct"/>
            <w:shd w:val="clear" w:color="auto" w:fill="auto"/>
            <w:noWrap/>
            <w:vAlign w:val="bottom"/>
            <w:hideMark/>
          </w:tcPr>
          <w:p w14:paraId="411F5B64"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From Body Corporate </w:t>
            </w:r>
          </w:p>
        </w:tc>
        <w:tc>
          <w:tcPr>
            <w:tcW w:w="818" w:type="pct"/>
            <w:shd w:val="clear" w:color="auto" w:fill="auto"/>
            <w:noWrap/>
            <w:vAlign w:val="bottom"/>
            <w:hideMark/>
          </w:tcPr>
          <w:p w14:paraId="6B01D35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74" w:type="pct"/>
            <w:shd w:val="clear" w:color="auto" w:fill="auto"/>
            <w:noWrap/>
            <w:vAlign w:val="bottom"/>
            <w:hideMark/>
          </w:tcPr>
          <w:p w14:paraId="4015531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43" w:type="pct"/>
            <w:shd w:val="clear" w:color="auto" w:fill="auto"/>
            <w:noWrap/>
            <w:vAlign w:val="bottom"/>
            <w:hideMark/>
          </w:tcPr>
          <w:p w14:paraId="0D20C8A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0E2D8896" w14:textId="77777777" w:rsidTr="00250DAC">
        <w:trPr>
          <w:trHeight w:val="20"/>
        </w:trPr>
        <w:tc>
          <w:tcPr>
            <w:tcW w:w="2664" w:type="pct"/>
            <w:shd w:val="clear" w:color="auto" w:fill="auto"/>
            <w:hideMark/>
          </w:tcPr>
          <w:p w14:paraId="596C79FB" w14:textId="77777777" w:rsidR="005B5953" w:rsidRPr="005B12AE" w:rsidRDefault="005B5953" w:rsidP="00250DAC">
            <w:pPr>
              <w:spacing w:after="0" w:line="240" w:lineRule="auto"/>
              <w:rPr>
                <w:rFonts w:ascii="Times New Roman" w:hAnsi="Times New Roman"/>
                <w:b/>
                <w:bCs/>
                <w:color w:val="000000"/>
                <w:sz w:val="20"/>
                <w:szCs w:val="20"/>
              </w:rPr>
            </w:pPr>
            <w:r w:rsidRPr="005B12AE">
              <w:rPr>
                <w:rFonts w:ascii="Times New Roman" w:hAnsi="Times New Roman"/>
                <w:b/>
                <w:bCs/>
                <w:color w:val="000000"/>
                <w:sz w:val="20"/>
                <w:szCs w:val="20"/>
              </w:rPr>
              <w:t xml:space="preserve"> Sub-total (d) </w:t>
            </w:r>
          </w:p>
        </w:tc>
        <w:tc>
          <w:tcPr>
            <w:tcW w:w="818" w:type="pct"/>
            <w:shd w:val="clear" w:color="auto" w:fill="auto"/>
            <w:noWrap/>
            <w:vAlign w:val="bottom"/>
            <w:hideMark/>
          </w:tcPr>
          <w:p w14:paraId="31907E15"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774" w:type="pct"/>
            <w:shd w:val="clear" w:color="auto" w:fill="auto"/>
            <w:noWrap/>
            <w:vAlign w:val="bottom"/>
            <w:hideMark/>
          </w:tcPr>
          <w:p w14:paraId="0F41B4B0"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743" w:type="pct"/>
            <w:shd w:val="clear" w:color="auto" w:fill="auto"/>
            <w:noWrap/>
            <w:vAlign w:val="bottom"/>
            <w:hideMark/>
          </w:tcPr>
          <w:p w14:paraId="66BD7B3C"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r>
      <w:tr w:rsidR="005B5953" w:rsidRPr="005B12AE" w14:paraId="2C8E197A" w14:textId="77777777" w:rsidTr="00250DAC">
        <w:trPr>
          <w:trHeight w:val="20"/>
        </w:trPr>
        <w:tc>
          <w:tcPr>
            <w:tcW w:w="2664" w:type="pct"/>
            <w:shd w:val="clear" w:color="auto" w:fill="auto"/>
            <w:noWrap/>
            <w:vAlign w:val="bottom"/>
            <w:hideMark/>
          </w:tcPr>
          <w:p w14:paraId="03DDA987"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 xml:space="preserve"> Total (a+b+c+d) </w:t>
            </w:r>
          </w:p>
        </w:tc>
        <w:tc>
          <w:tcPr>
            <w:tcW w:w="818" w:type="pct"/>
            <w:shd w:val="clear" w:color="auto" w:fill="auto"/>
            <w:noWrap/>
            <w:vAlign w:val="bottom"/>
            <w:hideMark/>
          </w:tcPr>
          <w:p w14:paraId="69BD5B0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702.81</w:t>
            </w:r>
          </w:p>
        </w:tc>
        <w:tc>
          <w:tcPr>
            <w:tcW w:w="774" w:type="pct"/>
            <w:shd w:val="clear" w:color="auto" w:fill="auto"/>
            <w:noWrap/>
            <w:vAlign w:val="bottom"/>
            <w:hideMark/>
          </w:tcPr>
          <w:p w14:paraId="20595A0F"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269.05</w:t>
            </w:r>
          </w:p>
        </w:tc>
        <w:tc>
          <w:tcPr>
            <w:tcW w:w="743" w:type="pct"/>
            <w:shd w:val="clear" w:color="auto" w:fill="auto"/>
            <w:noWrap/>
            <w:vAlign w:val="bottom"/>
            <w:hideMark/>
          </w:tcPr>
          <w:p w14:paraId="1EE0AE5E"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1,585.38</w:t>
            </w:r>
          </w:p>
        </w:tc>
      </w:tr>
    </w:tbl>
    <w:p w14:paraId="6274222D" w14:textId="77777777" w:rsidR="005B5953" w:rsidRPr="005B12AE" w:rsidRDefault="005B5953" w:rsidP="005B5953">
      <w:pPr>
        <w:spacing w:after="0"/>
        <w:rPr>
          <w:rFonts w:ascii="Times New Roman" w:hAnsi="Times New Roman"/>
          <w:sz w:val="20"/>
          <w:szCs w:val="20"/>
        </w:rPr>
      </w:pPr>
      <w:r w:rsidRPr="005B12AE">
        <w:rPr>
          <w:rFonts w:ascii="Times New Roman" w:hAnsi="Times New Roman"/>
          <w:sz w:val="20"/>
          <w:szCs w:val="20"/>
        </w:rPr>
        <w:t>Notes:</w:t>
      </w:r>
    </w:p>
    <w:p w14:paraId="1C5015C8" w14:textId="77777777" w:rsidR="005B5953" w:rsidRPr="005B12AE" w:rsidRDefault="005B5953" w:rsidP="005B5953">
      <w:pPr>
        <w:spacing w:after="0"/>
        <w:ind w:left="180" w:hanging="180"/>
        <w:jc w:val="both"/>
        <w:rPr>
          <w:rFonts w:ascii="Times New Roman" w:hAnsi="Times New Roman"/>
          <w:sz w:val="20"/>
          <w:szCs w:val="20"/>
        </w:rPr>
      </w:pPr>
      <w:r w:rsidRPr="005B12AE">
        <w:rPr>
          <w:rFonts w:ascii="Times New Roman" w:hAnsi="Times New Roman"/>
          <w:sz w:val="20"/>
          <w:szCs w:val="20"/>
        </w:rPr>
        <w:t>1. The terms and conditions and other information in respect of Secured Loans and Unsecured Loans are given in NOTE-B (A) and NOTE B (B)</w:t>
      </w:r>
    </w:p>
    <w:p w14:paraId="47604FAE" w14:textId="77777777" w:rsidR="005B5953" w:rsidRDefault="005B5953" w:rsidP="005B5953">
      <w:pPr>
        <w:spacing w:after="0"/>
        <w:ind w:left="180" w:hanging="180"/>
        <w:jc w:val="both"/>
        <w:rPr>
          <w:rFonts w:ascii="Times New Roman" w:hAnsi="Times New Roman"/>
          <w:sz w:val="20"/>
          <w:szCs w:val="20"/>
        </w:rPr>
      </w:pPr>
    </w:p>
    <w:p w14:paraId="44141409" w14:textId="77777777" w:rsidR="003B4BCE" w:rsidRDefault="003B4BCE" w:rsidP="005B5953">
      <w:pPr>
        <w:spacing w:after="0"/>
        <w:ind w:left="180" w:hanging="180"/>
        <w:jc w:val="both"/>
        <w:rPr>
          <w:rFonts w:ascii="Times New Roman" w:hAnsi="Times New Roman"/>
          <w:sz w:val="20"/>
          <w:szCs w:val="20"/>
        </w:rPr>
      </w:pPr>
    </w:p>
    <w:p w14:paraId="3EA0AFD8" w14:textId="77777777" w:rsidR="003B4BCE" w:rsidRDefault="003B4BCE" w:rsidP="005B5953">
      <w:pPr>
        <w:spacing w:after="0"/>
        <w:ind w:left="180" w:hanging="180"/>
        <w:jc w:val="both"/>
        <w:rPr>
          <w:rFonts w:ascii="Times New Roman" w:hAnsi="Times New Roman"/>
          <w:sz w:val="20"/>
          <w:szCs w:val="20"/>
        </w:rPr>
      </w:pPr>
    </w:p>
    <w:p w14:paraId="0C7AC6AC" w14:textId="77777777" w:rsidR="003B4BCE" w:rsidRDefault="003B4BCE" w:rsidP="005B5953">
      <w:pPr>
        <w:spacing w:after="0"/>
        <w:ind w:left="180" w:hanging="180"/>
        <w:jc w:val="both"/>
        <w:rPr>
          <w:rFonts w:ascii="Times New Roman" w:hAnsi="Times New Roman"/>
          <w:sz w:val="20"/>
          <w:szCs w:val="20"/>
        </w:rPr>
      </w:pPr>
    </w:p>
    <w:p w14:paraId="589E1B13" w14:textId="77777777" w:rsidR="003B4BCE" w:rsidRDefault="003B4BCE" w:rsidP="005B5953">
      <w:pPr>
        <w:spacing w:after="0"/>
        <w:ind w:left="180" w:hanging="180"/>
        <w:jc w:val="both"/>
        <w:rPr>
          <w:rFonts w:ascii="Times New Roman" w:hAnsi="Times New Roman"/>
          <w:sz w:val="20"/>
          <w:szCs w:val="20"/>
        </w:rPr>
      </w:pPr>
    </w:p>
    <w:p w14:paraId="367AF1C9" w14:textId="77777777" w:rsidR="003B4BCE" w:rsidRDefault="003B4BCE" w:rsidP="005B5953">
      <w:pPr>
        <w:spacing w:after="0"/>
        <w:ind w:left="180" w:hanging="180"/>
        <w:jc w:val="both"/>
        <w:rPr>
          <w:rFonts w:ascii="Times New Roman" w:hAnsi="Times New Roman"/>
          <w:sz w:val="20"/>
          <w:szCs w:val="20"/>
        </w:rPr>
      </w:pPr>
    </w:p>
    <w:p w14:paraId="306AC47F" w14:textId="77777777" w:rsidR="003B4BCE" w:rsidRPr="005B12AE" w:rsidRDefault="003B4BCE" w:rsidP="005B5953">
      <w:pPr>
        <w:spacing w:after="0"/>
        <w:ind w:left="180" w:hanging="180"/>
        <w:jc w:val="both"/>
        <w:rPr>
          <w:rFonts w:ascii="Times New Roman" w:hAnsi="Times New Roman"/>
          <w:sz w:val="20"/>
          <w:szCs w:val="20"/>
        </w:rPr>
      </w:pPr>
    </w:p>
    <w:p w14:paraId="54DD9EA0" w14:textId="77777777" w:rsidR="005B5953" w:rsidRPr="005B12AE" w:rsidRDefault="005B5953" w:rsidP="005B5953">
      <w:pPr>
        <w:spacing w:after="0"/>
        <w:ind w:left="180" w:hanging="180"/>
        <w:jc w:val="center"/>
        <w:rPr>
          <w:rFonts w:ascii="Times New Roman" w:hAnsi="Times New Roman"/>
          <w:b/>
          <w:bCs/>
          <w:sz w:val="20"/>
          <w:szCs w:val="20"/>
        </w:rPr>
      </w:pPr>
      <w:r w:rsidRPr="005B12AE">
        <w:rPr>
          <w:rFonts w:ascii="Times New Roman" w:hAnsi="Times New Roman"/>
          <w:b/>
          <w:bCs/>
          <w:sz w:val="20"/>
          <w:szCs w:val="20"/>
        </w:rPr>
        <w:t>NOTE B(A) RESTATED STATEMENT OF PRINCIPAL TERMS OF SECURED LOANS AND ASSETS CHARGED AS SECURITY</w:t>
      </w:r>
    </w:p>
    <w:p w14:paraId="551B46DA" w14:textId="77777777" w:rsidR="005B5953" w:rsidRPr="005B12AE" w:rsidRDefault="005B5953" w:rsidP="005B5953">
      <w:pPr>
        <w:spacing w:after="0"/>
        <w:jc w:val="right"/>
        <w:rPr>
          <w:rFonts w:ascii="Times New Roman" w:hAnsi="Times New Roman"/>
          <w:b/>
          <w:bCs/>
          <w:sz w:val="20"/>
          <w:szCs w:val="20"/>
        </w:rPr>
      </w:pPr>
      <w:r w:rsidRPr="005B12AE">
        <w:rPr>
          <w:rFonts w:ascii="Times New Roman" w:hAnsi="Times New Roman"/>
          <w:b/>
          <w:bCs/>
          <w:sz w:val="20"/>
          <w:szCs w:val="20"/>
        </w:rPr>
        <w:t>(₹ in Lakhs)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073"/>
        <w:gridCol w:w="1123"/>
        <w:gridCol w:w="1063"/>
        <w:gridCol w:w="794"/>
        <w:gridCol w:w="1551"/>
        <w:gridCol w:w="1083"/>
        <w:gridCol w:w="1135"/>
        <w:gridCol w:w="1173"/>
      </w:tblGrid>
      <w:tr w:rsidR="005B5953" w:rsidRPr="005B12AE" w14:paraId="6EFB5333" w14:textId="77777777" w:rsidTr="00250DAC">
        <w:trPr>
          <w:trHeight w:val="20"/>
          <w:tblHeader/>
        </w:trPr>
        <w:tc>
          <w:tcPr>
            <w:tcW w:w="699" w:type="pct"/>
            <w:shd w:val="clear" w:color="auto" w:fill="D0CECE" w:themeFill="background2" w:themeFillShade="E6"/>
            <w:noWrap/>
            <w:vAlign w:val="center"/>
            <w:hideMark/>
          </w:tcPr>
          <w:p w14:paraId="1279F429"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lastRenderedPageBreak/>
              <w:t>Name of Lender</w:t>
            </w:r>
          </w:p>
        </w:tc>
        <w:tc>
          <w:tcPr>
            <w:tcW w:w="513" w:type="pct"/>
            <w:shd w:val="clear" w:color="auto" w:fill="D0CECE" w:themeFill="background2" w:themeFillShade="E6"/>
            <w:noWrap/>
            <w:vAlign w:val="center"/>
            <w:hideMark/>
          </w:tcPr>
          <w:p w14:paraId="6B989000"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Purpose</w:t>
            </w:r>
          </w:p>
        </w:tc>
        <w:tc>
          <w:tcPr>
            <w:tcW w:w="537" w:type="pct"/>
            <w:shd w:val="clear" w:color="auto" w:fill="D0CECE" w:themeFill="background2" w:themeFillShade="E6"/>
            <w:vAlign w:val="center"/>
            <w:hideMark/>
          </w:tcPr>
          <w:p w14:paraId="56D9384D"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Sanction letter date</w:t>
            </w:r>
          </w:p>
        </w:tc>
        <w:tc>
          <w:tcPr>
            <w:tcW w:w="508" w:type="pct"/>
            <w:shd w:val="clear" w:color="auto" w:fill="D0CECE" w:themeFill="background2" w:themeFillShade="E6"/>
            <w:vAlign w:val="center"/>
            <w:hideMark/>
          </w:tcPr>
          <w:p w14:paraId="6651B5D1"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Sanctioned Amount</w:t>
            </w:r>
          </w:p>
        </w:tc>
        <w:tc>
          <w:tcPr>
            <w:tcW w:w="380" w:type="pct"/>
            <w:shd w:val="clear" w:color="auto" w:fill="D0CECE" w:themeFill="background2" w:themeFillShade="E6"/>
            <w:vAlign w:val="center"/>
            <w:hideMark/>
          </w:tcPr>
          <w:p w14:paraId="67B8F694"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Rate of interest</w:t>
            </w:r>
          </w:p>
        </w:tc>
        <w:tc>
          <w:tcPr>
            <w:tcW w:w="742" w:type="pct"/>
            <w:shd w:val="clear" w:color="auto" w:fill="D0CECE" w:themeFill="background2" w:themeFillShade="E6"/>
            <w:vAlign w:val="center"/>
            <w:hideMark/>
          </w:tcPr>
          <w:p w14:paraId="3DD87BEF"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Primary &amp; Collateral Security</w:t>
            </w:r>
          </w:p>
        </w:tc>
        <w:tc>
          <w:tcPr>
            <w:tcW w:w="579" w:type="pct"/>
            <w:shd w:val="clear" w:color="auto" w:fill="D0CECE" w:themeFill="background2" w:themeFillShade="E6"/>
            <w:vAlign w:val="center"/>
            <w:hideMark/>
          </w:tcPr>
          <w:p w14:paraId="35175671"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Re-Payment Schedule</w:t>
            </w:r>
          </w:p>
        </w:tc>
        <w:tc>
          <w:tcPr>
            <w:tcW w:w="482" w:type="pct"/>
            <w:shd w:val="clear" w:color="auto" w:fill="D0CECE" w:themeFill="background2" w:themeFillShade="E6"/>
            <w:vAlign w:val="center"/>
            <w:hideMark/>
          </w:tcPr>
          <w:p w14:paraId="5B5C05FD" w14:textId="77777777" w:rsidR="005B5953" w:rsidRPr="005B12AE" w:rsidRDefault="005B5953" w:rsidP="00250DAC">
            <w:pPr>
              <w:spacing w:after="0" w:line="240" w:lineRule="auto"/>
              <w:ind w:left="-42"/>
              <w:jc w:val="center"/>
              <w:rPr>
                <w:rFonts w:ascii="Times New Roman" w:hAnsi="Times New Roman"/>
                <w:b/>
                <w:bCs/>
                <w:color w:val="000000"/>
                <w:sz w:val="20"/>
                <w:szCs w:val="20"/>
              </w:rPr>
            </w:pPr>
            <w:r w:rsidRPr="005B12AE">
              <w:rPr>
                <w:rFonts w:ascii="Times New Roman" w:hAnsi="Times New Roman"/>
                <w:b/>
                <w:bCs/>
                <w:color w:val="000000"/>
                <w:sz w:val="20"/>
                <w:szCs w:val="20"/>
              </w:rPr>
              <w:t>Moratorium</w:t>
            </w:r>
          </w:p>
        </w:tc>
        <w:tc>
          <w:tcPr>
            <w:tcW w:w="561" w:type="pct"/>
            <w:shd w:val="clear" w:color="auto" w:fill="D0CECE" w:themeFill="background2" w:themeFillShade="E6"/>
            <w:vAlign w:val="center"/>
            <w:hideMark/>
          </w:tcPr>
          <w:p w14:paraId="745EAC0D"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Outstanding amount as on 31.03.2023 as per Books</w:t>
            </w:r>
          </w:p>
        </w:tc>
      </w:tr>
      <w:tr w:rsidR="005B5953" w:rsidRPr="005B12AE" w14:paraId="67C8CF0B" w14:textId="77777777" w:rsidTr="00250DAC">
        <w:trPr>
          <w:trHeight w:val="20"/>
        </w:trPr>
        <w:tc>
          <w:tcPr>
            <w:tcW w:w="699" w:type="pct"/>
            <w:shd w:val="clear" w:color="auto" w:fill="auto"/>
            <w:vAlign w:val="center"/>
            <w:hideMark/>
          </w:tcPr>
          <w:p w14:paraId="3AB3BBB2" w14:textId="77777777" w:rsidR="005B5953" w:rsidRPr="005B12AE" w:rsidRDefault="005B5953"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t>Union Bank of India</w:t>
            </w:r>
          </w:p>
        </w:tc>
        <w:tc>
          <w:tcPr>
            <w:tcW w:w="513" w:type="pct"/>
            <w:shd w:val="clear" w:color="auto" w:fill="auto"/>
            <w:vAlign w:val="center"/>
            <w:hideMark/>
          </w:tcPr>
          <w:p w14:paraId="1C34725C" w14:textId="77777777" w:rsidR="005B5953" w:rsidRPr="005B12AE" w:rsidRDefault="005B5953" w:rsidP="00250DAC">
            <w:pPr>
              <w:spacing w:after="0" w:line="240" w:lineRule="auto"/>
              <w:jc w:val="both"/>
              <w:rPr>
                <w:rFonts w:ascii="Times New Roman" w:hAnsi="Times New Roman"/>
                <w:color w:val="000000"/>
                <w:sz w:val="20"/>
                <w:szCs w:val="20"/>
              </w:rPr>
            </w:pPr>
            <w:r w:rsidRPr="005B12AE">
              <w:rPr>
                <w:rFonts w:ascii="Times New Roman" w:hAnsi="Times New Roman"/>
                <w:color w:val="000000"/>
                <w:sz w:val="20"/>
                <w:szCs w:val="20"/>
              </w:rPr>
              <w:t>UGECL Working Capital Term Loan</w:t>
            </w:r>
          </w:p>
        </w:tc>
        <w:tc>
          <w:tcPr>
            <w:tcW w:w="537" w:type="pct"/>
            <w:shd w:val="clear" w:color="auto" w:fill="auto"/>
            <w:vAlign w:val="center"/>
            <w:hideMark/>
          </w:tcPr>
          <w:p w14:paraId="2313ECF8"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22-06-20</w:t>
            </w:r>
          </w:p>
        </w:tc>
        <w:tc>
          <w:tcPr>
            <w:tcW w:w="508" w:type="pct"/>
            <w:shd w:val="clear" w:color="auto" w:fill="auto"/>
            <w:vAlign w:val="center"/>
            <w:hideMark/>
          </w:tcPr>
          <w:p w14:paraId="4E76ACC0"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xml:space="preserve">                180.00 </w:t>
            </w:r>
          </w:p>
        </w:tc>
        <w:tc>
          <w:tcPr>
            <w:tcW w:w="380" w:type="pct"/>
            <w:shd w:val="clear" w:color="auto" w:fill="auto"/>
            <w:vAlign w:val="center"/>
            <w:hideMark/>
          </w:tcPr>
          <w:p w14:paraId="39CE269B"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7.50%</w:t>
            </w:r>
          </w:p>
        </w:tc>
        <w:tc>
          <w:tcPr>
            <w:tcW w:w="742" w:type="pct"/>
            <w:vMerge w:val="restart"/>
            <w:shd w:val="clear" w:color="auto" w:fill="auto"/>
            <w:vAlign w:val="center"/>
            <w:hideMark/>
          </w:tcPr>
          <w:p w14:paraId="34ABCE84"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Refer Note 1</w:t>
            </w:r>
          </w:p>
        </w:tc>
        <w:tc>
          <w:tcPr>
            <w:tcW w:w="579" w:type="pct"/>
            <w:shd w:val="clear" w:color="auto" w:fill="auto"/>
            <w:vAlign w:val="center"/>
            <w:hideMark/>
          </w:tcPr>
          <w:p w14:paraId="3E1E7F5C" w14:textId="77777777" w:rsidR="005B5953" w:rsidRPr="005B12AE" w:rsidRDefault="005B5953" w:rsidP="00250DAC">
            <w:pPr>
              <w:spacing w:after="0" w:line="240" w:lineRule="auto"/>
              <w:jc w:val="both"/>
              <w:rPr>
                <w:rFonts w:ascii="Times New Roman" w:hAnsi="Times New Roman"/>
                <w:color w:val="000000"/>
                <w:sz w:val="20"/>
                <w:szCs w:val="20"/>
              </w:rPr>
            </w:pPr>
            <w:r w:rsidRPr="005B12AE">
              <w:rPr>
                <w:rFonts w:ascii="Times New Roman" w:hAnsi="Times New Roman"/>
                <w:color w:val="000000"/>
                <w:sz w:val="20"/>
                <w:szCs w:val="20"/>
              </w:rPr>
              <w:t>36 monthly installments of ₹ 5.59 Lakhs</w:t>
            </w:r>
          </w:p>
        </w:tc>
        <w:tc>
          <w:tcPr>
            <w:tcW w:w="482" w:type="pct"/>
            <w:shd w:val="clear" w:color="auto" w:fill="auto"/>
            <w:vAlign w:val="center"/>
            <w:hideMark/>
          </w:tcPr>
          <w:p w14:paraId="3308CB5B"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12 months</w:t>
            </w:r>
          </w:p>
        </w:tc>
        <w:tc>
          <w:tcPr>
            <w:tcW w:w="561" w:type="pct"/>
            <w:shd w:val="clear" w:color="auto" w:fill="auto"/>
            <w:vAlign w:val="center"/>
            <w:hideMark/>
          </w:tcPr>
          <w:p w14:paraId="736E4137"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xml:space="preserve">              79.94 </w:t>
            </w:r>
          </w:p>
        </w:tc>
      </w:tr>
      <w:tr w:rsidR="005B5953" w:rsidRPr="005B12AE" w14:paraId="3924CD7C" w14:textId="77777777" w:rsidTr="00250DAC">
        <w:trPr>
          <w:trHeight w:val="20"/>
        </w:trPr>
        <w:tc>
          <w:tcPr>
            <w:tcW w:w="699" w:type="pct"/>
            <w:shd w:val="clear" w:color="auto" w:fill="auto"/>
            <w:vAlign w:val="center"/>
            <w:hideMark/>
          </w:tcPr>
          <w:p w14:paraId="1DBBC0C6" w14:textId="77777777" w:rsidR="005B5953" w:rsidRPr="005B12AE" w:rsidRDefault="005B5953"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t>Union Bank of India</w:t>
            </w:r>
          </w:p>
        </w:tc>
        <w:tc>
          <w:tcPr>
            <w:tcW w:w="513" w:type="pct"/>
            <w:shd w:val="clear" w:color="auto" w:fill="auto"/>
            <w:vAlign w:val="center"/>
            <w:hideMark/>
          </w:tcPr>
          <w:p w14:paraId="46DF355C" w14:textId="77777777" w:rsidR="005B5953" w:rsidRPr="005B12AE" w:rsidRDefault="005B5953" w:rsidP="00250DAC">
            <w:pPr>
              <w:spacing w:after="0" w:line="240" w:lineRule="auto"/>
              <w:jc w:val="both"/>
              <w:rPr>
                <w:rFonts w:ascii="Times New Roman" w:hAnsi="Times New Roman"/>
                <w:color w:val="000000"/>
                <w:sz w:val="20"/>
                <w:szCs w:val="20"/>
              </w:rPr>
            </w:pPr>
            <w:r w:rsidRPr="005B12AE">
              <w:rPr>
                <w:rFonts w:ascii="Times New Roman" w:hAnsi="Times New Roman"/>
                <w:color w:val="000000"/>
                <w:sz w:val="20"/>
                <w:szCs w:val="20"/>
              </w:rPr>
              <w:t>UGECL-Working Capital Term Loan</w:t>
            </w:r>
          </w:p>
        </w:tc>
        <w:tc>
          <w:tcPr>
            <w:tcW w:w="537" w:type="pct"/>
            <w:shd w:val="clear" w:color="auto" w:fill="auto"/>
            <w:vAlign w:val="center"/>
            <w:hideMark/>
          </w:tcPr>
          <w:p w14:paraId="7C0EE48F"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25-11-21</w:t>
            </w:r>
          </w:p>
        </w:tc>
        <w:tc>
          <w:tcPr>
            <w:tcW w:w="508" w:type="pct"/>
            <w:shd w:val="clear" w:color="auto" w:fill="auto"/>
            <w:vAlign w:val="center"/>
            <w:hideMark/>
          </w:tcPr>
          <w:p w14:paraId="62632F7E"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xml:space="preserve">                130.00 </w:t>
            </w:r>
          </w:p>
        </w:tc>
        <w:tc>
          <w:tcPr>
            <w:tcW w:w="380" w:type="pct"/>
            <w:shd w:val="clear" w:color="auto" w:fill="auto"/>
            <w:vAlign w:val="center"/>
            <w:hideMark/>
          </w:tcPr>
          <w:p w14:paraId="1221E432"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7.50%</w:t>
            </w:r>
          </w:p>
        </w:tc>
        <w:tc>
          <w:tcPr>
            <w:tcW w:w="742" w:type="pct"/>
            <w:vMerge/>
            <w:shd w:val="clear" w:color="auto" w:fill="auto"/>
            <w:vAlign w:val="center"/>
            <w:hideMark/>
          </w:tcPr>
          <w:p w14:paraId="393C0976" w14:textId="77777777" w:rsidR="005B5953" w:rsidRPr="005B12AE" w:rsidRDefault="005B5953" w:rsidP="00250DAC">
            <w:pPr>
              <w:spacing w:after="0" w:line="240" w:lineRule="auto"/>
              <w:rPr>
                <w:rFonts w:ascii="Times New Roman" w:hAnsi="Times New Roman"/>
                <w:color w:val="000000"/>
                <w:sz w:val="20"/>
                <w:szCs w:val="20"/>
              </w:rPr>
            </w:pPr>
          </w:p>
        </w:tc>
        <w:tc>
          <w:tcPr>
            <w:tcW w:w="579" w:type="pct"/>
            <w:shd w:val="clear" w:color="auto" w:fill="auto"/>
            <w:vAlign w:val="center"/>
            <w:hideMark/>
          </w:tcPr>
          <w:p w14:paraId="4F43CFA7" w14:textId="77777777" w:rsidR="005B5953" w:rsidRPr="005B12AE" w:rsidRDefault="005B5953" w:rsidP="00250DAC">
            <w:pPr>
              <w:spacing w:after="0" w:line="240" w:lineRule="auto"/>
              <w:jc w:val="both"/>
              <w:rPr>
                <w:rFonts w:ascii="Times New Roman" w:hAnsi="Times New Roman"/>
                <w:color w:val="000000"/>
                <w:sz w:val="20"/>
                <w:szCs w:val="20"/>
              </w:rPr>
            </w:pPr>
            <w:r w:rsidRPr="005B12AE">
              <w:rPr>
                <w:rFonts w:ascii="Times New Roman" w:hAnsi="Times New Roman"/>
                <w:color w:val="000000"/>
                <w:sz w:val="20"/>
                <w:szCs w:val="20"/>
              </w:rPr>
              <w:t>36 monthly installments</w:t>
            </w:r>
          </w:p>
        </w:tc>
        <w:tc>
          <w:tcPr>
            <w:tcW w:w="482" w:type="pct"/>
            <w:shd w:val="clear" w:color="auto" w:fill="auto"/>
            <w:vAlign w:val="center"/>
            <w:hideMark/>
          </w:tcPr>
          <w:p w14:paraId="7782270F"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24 months</w:t>
            </w:r>
          </w:p>
        </w:tc>
        <w:tc>
          <w:tcPr>
            <w:tcW w:w="561" w:type="pct"/>
            <w:shd w:val="clear" w:color="auto" w:fill="auto"/>
            <w:vAlign w:val="center"/>
            <w:hideMark/>
          </w:tcPr>
          <w:p w14:paraId="57217225"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xml:space="preserve">            130.00 </w:t>
            </w:r>
          </w:p>
        </w:tc>
      </w:tr>
      <w:tr w:rsidR="005B5953" w:rsidRPr="005B12AE" w14:paraId="1B6D4F5F" w14:textId="77777777" w:rsidTr="00250DAC">
        <w:trPr>
          <w:trHeight w:val="20"/>
        </w:trPr>
        <w:tc>
          <w:tcPr>
            <w:tcW w:w="699" w:type="pct"/>
            <w:shd w:val="clear" w:color="auto" w:fill="auto"/>
            <w:vAlign w:val="center"/>
            <w:hideMark/>
          </w:tcPr>
          <w:p w14:paraId="53EBD1EE" w14:textId="77777777" w:rsidR="005B5953" w:rsidRPr="005B12AE" w:rsidRDefault="005B5953"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t>Union Bank of India</w:t>
            </w:r>
          </w:p>
        </w:tc>
        <w:tc>
          <w:tcPr>
            <w:tcW w:w="513" w:type="pct"/>
            <w:shd w:val="clear" w:color="auto" w:fill="auto"/>
            <w:vAlign w:val="center"/>
            <w:hideMark/>
          </w:tcPr>
          <w:p w14:paraId="18E18708" w14:textId="77777777" w:rsidR="005B5953" w:rsidRPr="005B12AE" w:rsidRDefault="005B5953" w:rsidP="00250DAC">
            <w:pPr>
              <w:spacing w:after="0" w:line="240" w:lineRule="auto"/>
              <w:jc w:val="both"/>
              <w:rPr>
                <w:rFonts w:ascii="Times New Roman" w:hAnsi="Times New Roman"/>
                <w:color w:val="000000"/>
                <w:sz w:val="20"/>
                <w:szCs w:val="20"/>
              </w:rPr>
            </w:pPr>
            <w:r w:rsidRPr="005B12AE">
              <w:rPr>
                <w:rFonts w:ascii="Times New Roman" w:hAnsi="Times New Roman"/>
                <w:color w:val="000000"/>
                <w:sz w:val="20"/>
                <w:szCs w:val="20"/>
              </w:rPr>
              <w:t>Cash Credit Limit</w:t>
            </w:r>
          </w:p>
        </w:tc>
        <w:tc>
          <w:tcPr>
            <w:tcW w:w="537" w:type="pct"/>
            <w:shd w:val="clear" w:color="auto" w:fill="auto"/>
            <w:vAlign w:val="center"/>
            <w:hideMark/>
          </w:tcPr>
          <w:p w14:paraId="1F060324"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20-10-22</w:t>
            </w:r>
          </w:p>
        </w:tc>
        <w:tc>
          <w:tcPr>
            <w:tcW w:w="508" w:type="pct"/>
            <w:shd w:val="clear" w:color="auto" w:fill="auto"/>
            <w:vAlign w:val="center"/>
            <w:hideMark/>
          </w:tcPr>
          <w:p w14:paraId="44B34FA0"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xml:space="preserve">             4,600.00 </w:t>
            </w:r>
          </w:p>
        </w:tc>
        <w:tc>
          <w:tcPr>
            <w:tcW w:w="380" w:type="pct"/>
            <w:shd w:val="clear" w:color="auto" w:fill="auto"/>
            <w:vAlign w:val="center"/>
            <w:hideMark/>
          </w:tcPr>
          <w:p w14:paraId="2E0274E8"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10.80%</w:t>
            </w:r>
          </w:p>
        </w:tc>
        <w:tc>
          <w:tcPr>
            <w:tcW w:w="742" w:type="pct"/>
            <w:vMerge/>
            <w:shd w:val="clear" w:color="auto" w:fill="auto"/>
            <w:vAlign w:val="center"/>
            <w:hideMark/>
          </w:tcPr>
          <w:p w14:paraId="2F4BC292" w14:textId="77777777" w:rsidR="005B5953" w:rsidRPr="005B12AE" w:rsidRDefault="005B5953" w:rsidP="00250DAC">
            <w:pPr>
              <w:spacing w:after="0" w:line="240" w:lineRule="auto"/>
              <w:rPr>
                <w:rFonts w:ascii="Times New Roman" w:hAnsi="Times New Roman"/>
                <w:color w:val="000000"/>
                <w:sz w:val="20"/>
                <w:szCs w:val="20"/>
              </w:rPr>
            </w:pPr>
          </w:p>
        </w:tc>
        <w:tc>
          <w:tcPr>
            <w:tcW w:w="579" w:type="pct"/>
            <w:shd w:val="clear" w:color="auto" w:fill="auto"/>
            <w:vAlign w:val="center"/>
            <w:hideMark/>
          </w:tcPr>
          <w:p w14:paraId="08743029" w14:textId="77777777" w:rsidR="005B5953" w:rsidRPr="005B12AE" w:rsidRDefault="005B5953" w:rsidP="00250DAC">
            <w:pPr>
              <w:spacing w:after="0" w:line="240" w:lineRule="auto"/>
              <w:jc w:val="both"/>
              <w:rPr>
                <w:rFonts w:ascii="Times New Roman" w:hAnsi="Times New Roman"/>
                <w:color w:val="000000"/>
                <w:sz w:val="20"/>
                <w:szCs w:val="20"/>
              </w:rPr>
            </w:pPr>
            <w:r w:rsidRPr="005B12AE">
              <w:rPr>
                <w:rFonts w:ascii="Times New Roman" w:hAnsi="Times New Roman"/>
                <w:color w:val="000000"/>
                <w:sz w:val="20"/>
                <w:szCs w:val="20"/>
              </w:rPr>
              <w:t>Yearly Renewal</w:t>
            </w:r>
          </w:p>
        </w:tc>
        <w:tc>
          <w:tcPr>
            <w:tcW w:w="482" w:type="pct"/>
            <w:shd w:val="clear" w:color="auto" w:fill="auto"/>
            <w:vAlign w:val="center"/>
            <w:hideMark/>
          </w:tcPr>
          <w:p w14:paraId="6C68558E"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NA</w:t>
            </w:r>
          </w:p>
        </w:tc>
        <w:tc>
          <w:tcPr>
            <w:tcW w:w="561" w:type="pct"/>
            <w:shd w:val="clear" w:color="auto" w:fill="auto"/>
            <w:vAlign w:val="center"/>
            <w:hideMark/>
          </w:tcPr>
          <w:p w14:paraId="79A71F6B"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xml:space="preserve">        4,599.45 </w:t>
            </w:r>
          </w:p>
        </w:tc>
      </w:tr>
      <w:tr w:rsidR="005B5953" w:rsidRPr="005B12AE" w14:paraId="034577C0" w14:textId="77777777" w:rsidTr="00250DAC">
        <w:trPr>
          <w:trHeight w:val="20"/>
        </w:trPr>
        <w:tc>
          <w:tcPr>
            <w:tcW w:w="699" w:type="pct"/>
            <w:shd w:val="clear" w:color="auto" w:fill="auto"/>
            <w:vAlign w:val="center"/>
            <w:hideMark/>
          </w:tcPr>
          <w:p w14:paraId="4B8AC0F5" w14:textId="77777777" w:rsidR="005B5953" w:rsidRPr="005B12AE" w:rsidRDefault="005B5953"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t xml:space="preserve"> Siemens Financial Services Pvt. Ltd.</w:t>
            </w:r>
          </w:p>
        </w:tc>
        <w:tc>
          <w:tcPr>
            <w:tcW w:w="513" w:type="pct"/>
            <w:shd w:val="clear" w:color="auto" w:fill="auto"/>
            <w:vAlign w:val="center"/>
            <w:hideMark/>
          </w:tcPr>
          <w:p w14:paraId="251961DB" w14:textId="77777777" w:rsidR="005B5953" w:rsidRPr="005B12AE" w:rsidRDefault="005B5953" w:rsidP="00250DAC">
            <w:pPr>
              <w:spacing w:after="0" w:line="240" w:lineRule="auto"/>
              <w:jc w:val="both"/>
              <w:rPr>
                <w:rFonts w:ascii="Times New Roman" w:hAnsi="Times New Roman"/>
                <w:color w:val="000000"/>
                <w:sz w:val="20"/>
                <w:szCs w:val="20"/>
              </w:rPr>
            </w:pPr>
            <w:r w:rsidRPr="005B12AE">
              <w:rPr>
                <w:rFonts w:ascii="Times New Roman" w:hAnsi="Times New Roman"/>
                <w:color w:val="000000"/>
                <w:sz w:val="20"/>
                <w:szCs w:val="20"/>
              </w:rPr>
              <w:t>Purchase of Equipments</w:t>
            </w:r>
          </w:p>
        </w:tc>
        <w:tc>
          <w:tcPr>
            <w:tcW w:w="537" w:type="pct"/>
            <w:shd w:val="clear" w:color="auto" w:fill="auto"/>
            <w:vAlign w:val="center"/>
            <w:hideMark/>
          </w:tcPr>
          <w:p w14:paraId="59CBC2C8"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16-01-20</w:t>
            </w:r>
          </w:p>
        </w:tc>
        <w:tc>
          <w:tcPr>
            <w:tcW w:w="508" w:type="pct"/>
            <w:shd w:val="clear" w:color="auto" w:fill="auto"/>
            <w:vAlign w:val="center"/>
            <w:hideMark/>
          </w:tcPr>
          <w:p w14:paraId="78FC63A5"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xml:space="preserve">                   81.86 </w:t>
            </w:r>
          </w:p>
        </w:tc>
        <w:tc>
          <w:tcPr>
            <w:tcW w:w="380" w:type="pct"/>
            <w:shd w:val="clear" w:color="auto" w:fill="auto"/>
            <w:vAlign w:val="center"/>
            <w:hideMark/>
          </w:tcPr>
          <w:p w14:paraId="0587ADDA"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12.99%</w:t>
            </w:r>
          </w:p>
        </w:tc>
        <w:tc>
          <w:tcPr>
            <w:tcW w:w="742" w:type="pct"/>
            <w:vMerge w:val="restart"/>
            <w:shd w:val="clear" w:color="auto" w:fill="auto"/>
            <w:vAlign w:val="center"/>
            <w:hideMark/>
          </w:tcPr>
          <w:p w14:paraId="41252FE1" w14:textId="77777777" w:rsidR="005B5953" w:rsidRPr="005B12AE" w:rsidRDefault="005B5953" w:rsidP="00250DAC">
            <w:pPr>
              <w:spacing w:after="0" w:line="240" w:lineRule="auto"/>
              <w:jc w:val="both"/>
              <w:rPr>
                <w:rFonts w:ascii="Times New Roman" w:hAnsi="Times New Roman"/>
                <w:color w:val="000000"/>
                <w:sz w:val="20"/>
                <w:szCs w:val="20"/>
              </w:rPr>
            </w:pPr>
            <w:r w:rsidRPr="005B12AE">
              <w:rPr>
                <w:rFonts w:ascii="Times New Roman" w:hAnsi="Times New Roman"/>
                <w:color w:val="000000"/>
                <w:sz w:val="20"/>
                <w:szCs w:val="20"/>
              </w:rPr>
              <w:t>Hypothecation of Equipment and personal/corporate guarantee of Bhavesh Maheshwari, Nikunj Inani and Siyaram Metals Pvt. Ltd</w:t>
            </w:r>
          </w:p>
        </w:tc>
        <w:tc>
          <w:tcPr>
            <w:tcW w:w="579" w:type="pct"/>
            <w:shd w:val="clear" w:color="auto" w:fill="auto"/>
            <w:vAlign w:val="center"/>
            <w:hideMark/>
          </w:tcPr>
          <w:p w14:paraId="4AAAA09B" w14:textId="77777777" w:rsidR="005B5953" w:rsidRPr="005B12AE" w:rsidRDefault="005B5953" w:rsidP="00250DAC">
            <w:pPr>
              <w:spacing w:after="0" w:line="240" w:lineRule="auto"/>
              <w:jc w:val="both"/>
              <w:rPr>
                <w:rFonts w:ascii="Times New Roman" w:hAnsi="Times New Roman"/>
                <w:color w:val="000000"/>
                <w:sz w:val="20"/>
                <w:szCs w:val="20"/>
              </w:rPr>
            </w:pPr>
            <w:r w:rsidRPr="005B12AE">
              <w:rPr>
                <w:rFonts w:ascii="Times New Roman" w:hAnsi="Times New Roman"/>
                <w:color w:val="000000"/>
                <w:sz w:val="20"/>
                <w:szCs w:val="20"/>
              </w:rPr>
              <w:t>36 Monthly installments of ₹ 2.15 Lakhs</w:t>
            </w:r>
          </w:p>
        </w:tc>
        <w:tc>
          <w:tcPr>
            <w:tcW w:w="482" w:type="pct"/>
            <w:shd w:val="clear" w:color="auto" w:fill="auto"/>
            <w:vAlign w:val="center"/>
            <w:hideMark/>
          </w:tcPr>
          <w:p w14:paraId="0EE03A4C"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NA</w:t>
            </w:r>
          </w:p>
        </w:tc>
        <w:tc>
          <w:tcPr>
            <w:tcW w:w="561" w:type="pct"/>
            <w:vMerge w:val="restart"/>
            <w:shd w:val="clear" w:color="auto" w:fill="auto"/>
            <w:vAlign w:val="center"/>
            <w:hideMark/>
          </w:tcPr>
          <w:p w14:paraId="4B291CDF"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xml:space="preserve">              34.38 </w:t>
            </w:r>
          </w:p>
        </w:tc>
      </w:tr>
      <w:tr w:rsidR="005B5953" w:rsidRPr="005B12AE" w14:paraId="7E344818" w14:textId="77777777" w:rsidTr="00250DAC">
        <w:trPr>
          <w:trHeight w:val="20"/>
        </w:trPr>
        <w:tc>
          <w:tcPr>
            <w:tcW w:w="699" w:type="pct"/>
            <w:shd w:val="clear" w:color="auto" w:fill="auto"/>
            <w:vAlign w:val="center"/>
            <w:hideMark/>
          </w:tcPr>
          <w:p w14:paraId="1B0FA0F9" w14:textId="77777777" w:rsidR="005B5953" w:rsidRPr="005B12AE" w:rsidRDefault="005B5953"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t xml:space="preserve"> Siemens Financial Services Pvt. Ltd.</w:t>
            </w:r>
          </w:p>
        </w:tc>
        <w:tc>
          <w:tcPr>
            <w:tcW w:w="513" w:type="pct"/>
            <w:shd w:val="clear" w:color="auto" w:fill="auto"/>
            <w:vAlign w:val="center"/>
            <w:hideMark/>
          </w:tcPr>
          <w:p w14:paraId="419F27FB" w14:textId="77777777" w:rsidR="005B5953" w:rsidRPr="005B12AE" w:rsidRDefault="005B5953" w:rsidP="00250DAC">
            <w:pPr>
              <w:spacing w:after="0" w:line="240" w:lineRule="auto"/>
              <w:jc w:val="both"/>
              <w:rPr>
                <w:rFonts w:ascii="Times New Roman" w:hAnsi="Times New Roman"/>
                <w:color w:val="000000"/>
                <w:sz w:val="20"/>
                <w:szCs w:val="20"/>
              </w:rPr>
            </w:pPr>
            <w:r w:rsidRPr="005B12AE">
              <w:rPr>
                <w:rFonts w:ascii="Times New Roman" w:hAnsi="Times New Roman"/>
                <w:color w:val="000000"/>
                <w:sz w:val="20"/>
                <w:szCs w:val="20"/>
              </w:rPr>
              <w:t>Purchase of Equipments</w:t>
            </w:r>
          </w:p>
        </w:tc>
        <w:tc>
          <w:tcPr>
            <w:tcW w:w="537" w:type="pct"/>
            <w:shd w:val="clear" w:color="auto" w:fill="auto"/>
            <w:vAlign w:val="center"/>
            <w:hideMark/>
          </w:tcPr>
          <w:p w14:paraId="11CDA985"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18-09-20</w:t>
            </w:r>
          </w:p>
        </w:tc>
        <w:tc>
          <w:tcPr>
            <w:tcW w:w="508" w:type="pct"/>
            <w:shd w:val="clear" w:color="auto" w:fill="auto"/>
            <w:vAlign w:val="center"/>
            <w:hideMark/>
          </w:tcPr>
          <w:p w14:paraId="19ED04EC"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xml:space="preserve">                   11.80 </w:t>
            </w:r>
          </w:p>
        </w:tc>
        <w:tc>
          <w:tcPr>
            <w:tcW w:w="380" w:type="pct"/>
            <w:shd w:val="clear" w:color="auto" w:fill="auto"/>
            <w:vAlign w:val="center"/>
            <w:hideMark/>
          </w:tcPr>
          <w:p w14:paraId="34E28EA7"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12.99%</w:t>
            </w:r>
          </w:p>
        </w:tc>
        <w:tc>
          <w:tcPr>
            <w:tcW w:w="742" w:type="pct"/>
            <w:vMerge/>
            <w:shd w:val="clear" w:color="auto" w:fill="auto"/>
            <w:vAlign w:val="center"/>
            <w:hideMark/>
          </w:tcPr>
          <w:p w14:paraId="728769FE" w14:textId="77777777" w:rsidR="005B5953" w:rsidRPr="005B12AE" w:rsidRDefault="005B5953" w:rsidP="00250DAC">
            <w:pPr>
              <w:spacing w:after="0" w:line="240" w:lineRule="auto"/>
              <w:jc w:val="both"/>
              <w:rPr>
                <w:rFonts w:ascii="Times New Roman" w:hAnsi="Times New Roman"/>
                <w:color w:val="000000"/>
                <w:sz w:val="20"/>
                <w:szCs w:val="20"/>
              </w:rPr>
            </w:pPr>
          </w:p>
        </w:tc>
        <w:tc>
          <w:tcPr>
            <w:tcW w:w="579" w:type="pct"/>
            <w:shd w:val="clear" w:color="auto" w:fill="auto"/>
            <w:vAlign w:val="center"/>
            <w:hideMark/>
          </w:tcPr>
          <w:p w14:paraId="4FFA207F" w14:textId="77777777" w:rsidR="005B5953" w:rsidRPr="005B12AE" w:rsidRDefault="005B5953" w:rsidP="00250DAC">
            <w:pPr>
              <w:spacing w:after="0" w:line="240" w:lineRule="auto"/>
              <w:jc w:val="both"/>
              <w:rPr>
                <w:rFonts w:ascii="Times New Roman" w:hAnsi="Times New Roman"/>
                <w:color w:val="000000"/>
                <w:sz w:val="20"/>
                <w:szCs w:val="20"/>
              </w:rPr>
            </w:pPr>
            <w:r w:rsidRPr="005B12AE">
              <w:rPr>
                <w:rFonts w:ascii="Times New Roman" w:hAnsi="Times New Roman"/>
                <w:color w:val="000000"/>
                <w:sz w:val="20"/>
                <w:szCs w:val="20"/>
              </w:rPr>
              <w:t>36 Monthly installments of ₹ 0.39 Lakhs</w:t>
            </w:r>
          </w:p>
        </w:tc>
        <w:tc>
          <w:tcPr>
            <w:tcW w:w="482" w:type="pct"/>
            <w:shd w:val="clear" w:color="auto" w:fill="auto"/>
            <w:vAlign w:val="center"/>
            <w:hideMark/>
          </w:tcPr>
          <w:p w14:paraId="49BD7F47"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NA</w:t>
            </w:r>
          </w:p>
        </w:tc>
        <w:tc>
          <w:tcPr>
            <w:tcW w:w="561" w:type="pct"/>
            <w:vMerge/>
            <w:shd w:val="clear" w:color="auto" w:fill="auto"/>
            <w:vAlign w:val="center"/>
            <w:hideMark/>
          </w:tcPr>
          <w:p w14:paraId="05C8AA27" w14:textId="77777777" w:rsidR="005B5953" w:rsidRPr="005B12AE" w:rsidRDefault="005B5953" w:rsidP="00250DAC">
            <w:pPr>
              <w:spacing w:after="0" w:line="240" w:lineRule="auto"/>
              <w:rPr>
                <w:rFonts w:ascii="Times New Roman" w:hAnsi="Times New Roman"/>
                <w:color w:val="000000"/>
                <w:sz w:val="20"/>
                <w:szCs w:val="20"/>
              </w:rPr>
            </w:pPr>
          </w:p>
        </w:tc>
      </w:tr>
      <w:tr w:rsidR="005B5953" w:rsidRPr="005B12AE" w14:paraId="46514AF7" w14:textId="77777777" w:rsidTr="00250DAC">
        <w:trPr>
          <w:trHeight w:val="20"/>
        </w:trPr>
        <w:tc>
          <w:tcPr>
            <w:tcW w:w="699" w:type="pct"/>
            <w:shd w:val="clear" w:color="auto" w:fill="auto"/>
            <w:vAlign w:val="center"/>
            <w:hideMark/>
          </w:tcPr>
          <w:p w14:paraId="36BECE2F" w14:textId="77777777" w:rsidR="005B5953" w:rsidRPr="005B12AE" w:rsidRDefault="005B5953"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t>Union Bank of India Vehicle Loan (Director)</w:t>
            </w:r>
          </w:p>
        </w:tc>
        <w:tc>
          <w:tcPr>
            <w:tcW w:w="513" w:type="pct"/>
            <w:shd w:val="clear" w:color="auto" w:fill="auto"/>
            <w:vAlign w:val="center"/>
            <w:hideMark/>
          </w:tcPr>
          <w:p w14:paraId="50F8B884" w14:textId="77777777" w:rsidR="005B5953" w:rsidRPr="005B12AE" w:rsidRDefault="005B5953" w:rsidP="00250DAC">
            <w:pPr>
              <w:spacing w:after="0" w:line="240" w:lineRule="auto"/>
              <w:jc w:val="both"/>
              <w:rPr>
                <w:rFonts w:ascii="Times New Roman" w:hAnsi="Times New Roman"/>
                <w:color w:val="000000"/>
                <w:sz w:val="20"/>
                <w:szCs w:val="20"/>
              </w:rPr>
            </w:pPr>
            <w:r w:rsidRPr="005B12AE">
              <w:rPr>
                <w:rFonts w:ascii="Times New Roman" w:hAnsi="Times New Roman"/>
                <w:color w:val="000000"/>
                <w:sz w:val="20"/>
                <w:szCs w:val="20"/>
              </w:rPr>
              <w:t>Car Loan</w:t>
            </w:r>
          </w:p>
        </w:tc>
        <w:tc>
          <w:tcPr>
            <w:tcW w:w="537" w:type="pct"/>
            <w:shd w:val="clear" w:color="auto" w:fill="auto"/>
            <w:vAlign w:val="center"/>
            <w:hideMark/>
          </w:tcPr>
          <w:p w14:paraId="70CB78D1"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22-10-20</w:t>
            </w:r>
          </w:p>
        </w:tc>
        <w:tc>
          <w:tcPr>
            <w:tcW w:w="508" w:type="pct"/>
            <w:shd w:val="clear" w:color="auto" w:fill="auto"/>
            <w:vAlign w:val="center"/>
            <w:hideMark/>
          </w:tcPr>
          <w:p w14:paraId="48E6D419"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xml:space="preserve">                   25.00 </w:t>
            </w:r>
          </w:p>
        </w:tc>
        <w:tc>
          <w:tcPr>
            <w:tcW w:w="380" w:type="pct"/>
            <w:shd w:val="clear" w:color="auto" w:fill="auto"/>
            <w:vAlign w:val="center"/>
            <w:hideMark/>
          </w:tcPr>
          <w:p w14:paraId="5A63ABC1"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8.75%</w:t>
            </w:r>
          </w:p>
        </w:tc>
        <w:tc>
          <w:tcPr>
            <w:tcW w:w="742" w:type="pct"/>
            <w:shd w:val="clear" w:color="auto" w:fill="auto"/>
            <w:vAlign w:val="center"/>
            <w:hideMark/>
          </w:tcPr>
          <w:p w14:paraId="3CC101CD" w14:textId="77777777" w:rsidR="005B5953" w:rsidRPr="005B12AE" w:rsidRDefault="005B5953" w:rsidP="00250DAC">
            <w:pPr>
              <w:spacing w:after="0" w:line="240" w:lineRule="auto"/>
              <w:jc w:val="both"/>
              <w:rPr>
                <w:rFonts w:ascii="Times New Roman" w:hAnsi="Times New Roman"/>
                <w:color w:val="000000"/>
                <w:sz w:val="20"/>
                <w:szCs w:val="20"/>
              </w:rPr>
            </w:pPr>
            <w:r w:rsidRPr="005B12AE">
              <w:rPr>
                <w:rFonts w:ascii="Times New Roman" w:hAnsi="Times New Roman"/>
                <w:color w:val="000000"/>
                <w:sz w:val="20"/>
                <w:szCs w:val="20"/>
              </w:rPr>
              <w:t>Hypothecation of Vehicle</w:t>
            </w:r>
          </w:p>
        </w:tc>
        <w:tc>
          <w:tcPr>
            <w:tcW w:w="579" w:type="pct"/>
            <w:shd w:val="clear" w:color="auto" w:fill="auto"/>
            <w:vAlign w:val="center"/>
            <w:hideMark/>
          </w:tcPr>
          <w:p w14:paraId="536EE485" w14:textId="77777777" w:rsidR="005B5953" w:rsidRPr="005B12AE" w:rsidRDefault="005B5953" w:rsidP="00250DAC">
            <w:pPr>
              <w:spacing w:after="0" w:line="240" w:lineRule="auto"/>
              <w:jc w:val="both"/>
              <w:rPr>
                <w:rFonts w:ascii="Times New Roman" w:hAnsi="Times New Roman"/>
                <w:color w:val="000000"/>
                <w:sz w:val="20"/>
                <w:szCs w:val="20"/>
              </w:rPr>
            </w:pPr>
            <w:r w:rsidRPr="005B12AE">
              <w:rPr>
                <w:rFonts w:ascii="Times New Roman" w:hAnsi="Times New Roman"/>
                <w:color w:val="000000"/>
                <w:sz w:val="20"/>
                <w:szCs w:val="20"/>
              </w:rPr>
              <w:t>84 Monthly installments of ₹ 0.39 Lakhs</w:t>
            </w:r>
          </w:p>
        </w:tc>
        <w:tc>
          <w:tcPr>
            <w:tcW w:w="482" w:type="pct"/>
            <w:shd w:val="clear" w:color="auto" w:fill="auto"/>
            <w:vAlign w:val="center"/>
            <w:hideMark/>
          </w:tcPr>
          <w:p w14:paraId="6041B45B"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NA</w:t>
            </w:r>
          </w:p>
        </w:tc>
        <w:tc>
          <w:tcPr>
            <w:tcW w:w="561" w:type="pct"/>
            <w:shd w:val="clear" w:color="auto" w:fill="auto"/>
            <w:vAlign w:val="center"/>
            <w:hideMark/>
          </w:tcPr>
          <w:p w14:paraId="53B0F26E"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xml:space="preserve">              15.99 </w:t>
            </w:r>
          </w:p>
        </w:tc>
      </w:tr>
      <w:tr w:rsidR="005B5953" w:rsidRPr="005B12AE" w14:paraId="1120DAD6" w14:textId="77777777" w:rsidTr="00250DAC">
        <w:trPr>
          <w:trHeight w:val="20"/>
        </w:trPr>
        <w:tc>
          <w:tcPr>
            <w:tcW w:w="699" w:type="pct"/>
            <w:shd w:val="clear" w:color="auto" w:fill="auto"/>
            <w:vAlign w:val="center"/>
            <w:hideMark/>
          </w:tcPr>
          <w:p w14:paraId="37B5B9E0" w14:textId="77777777" w:rsidR="005B5953" w:rsidRPr="005B12AE" w:rsidRDefault="005B5953"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t>HDFC Bank Vehicle Loan (Director)</w:t>
            </w:r>
          </w:p>
        </w:tc>
        <w:tc>
          <w:tcPr>
            <w:tcW w:w="513" w:type="pct"/>
            <w:shd w:val="clear" w:color="auto" w:fill="auto"/>
            <w:vAlign w:val="center"/>
            <w:hideMark/>
          </w:tcPr>
          <w:p w14:paraId="51A89F8A" w14:textId="77777777" w:rsidR="005B5953" w:rsidRPr="005B12AE" w:rsidRDefault="005B5953" w:rsidP="00250DAC">
            <w:pPr>
              <w:spacing w:after="0" w:line="240" w:lineRule="auto"/>
              <w:jc w:val="both"/>
              <w:rPr>
                <w:rFonts w:ascii="Times New Roman" w:hAnsi="Times New Roman"/>
                <w:color w:val="000000"/>
                <w:sz w:val="20"/>
                <w:szCs w:val="20"/>
              </w:rPr>
            </w:pPr>
            <w:r w:rsidRPr="005B12AE">
              <w:rPr>
                <w:rFonts w:ascii="Times New Roman" w:hAnsi="Times New Roman"/>
                <w:color w:val="000000"/>
                <w:sz w:val="20"/>
                <w:szCs w:val="20"/>
              </w:rPr>
              <w:t>Car Loan</w:t>
            </w:r>
          </w:p>
        </w:tc>
        <w:tc>
          <w:tcPr>
            <w:tcW w:w="537" w:type="pct"/>
            <w:shd w:val="clear" w:color="auto" w:fill="auto"/>
            <w:vAlign w:val="center"/>
            <w:hideMark/>
          </w:tcPr>
          <w:p w14:paraId="4CFD50D1"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26-04-19</w:t>
            </w:r>
          </w:p>
        </w:tc>
        <w:tc>
          <w:tcPr>
            <w:tcW w:w="508" w:type="pct"/>
            <w:shd w:val="clear" w:color="auto" w:fill="auto"/>
            <w:vAlign w:val="center"/>
            <w:hideMark/>
          </w:tcPr>
          <w:p w14:paraId="2D123A0B"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xml:space="preserve">                   22.10 </w:t>
            </w:r>
          </w:p>
        </w:tc>
        <w:tc>
          <w:tcPr>
            <w:tcW w:w="380" w:type="pct"/>
            <w:shd w:val="clear" w:color="auto" w:fill="auto"/>
            <w:vAlign w:val="center"/>
            <w:hideMark/>
          </w:tcPr>
          <w:p w14:paraId="2F4982DA"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9.50%</w:t>
            </w:r>
          </w:p>
        </w:tc>
        <w:tc>
          <w:tcPr>
            <w:tcW w:w="742" w:type="pct"/>
            <w:shd w:val="clear" w:color="auto" w:fill="auto"/>
            <w:vAlign w:val="center"/>
            <w:hideMark/>
          </w:tcPr>
          <w:p w14:paraId="322DAA48" w14:textId="77777777" w:rsidR="005B5953" w:rsidRPr="005B12AE" w:rsidRDefault="005B5953" w:rsidP="00250DAC">
            <w:pPr>
              <w:spacing w:after="0" w:line="240" w:lineRule="auto"/>
              <w:jc w:val="both"/>
              <w:rPr>
                <w:rFonts w:ascii="Times New Roman" w:hAnsi="Times New Roman"/>
                <w:color w:val="000000"/>
                <w:sz w:val="20"/>
                <w:szCs w:val="20"/>
              </w:rPr>
            </w:pPr>
            <w:r w:rsidRPr="005B12AE">
              <w:rPr>
                <w:rFonts w:ascii="Times New Roman" w:hAnsi="Times New Roman"/>
                <w:color w:val="000000"/>
                <w:sz w:val="20"/>
                <w:szCs w:val="20"/>
              </w:rPr>
              <w:t>Hypothecation of Vehicle</w:t>
            </w:r>
          </w:p>
        </w:tc>
        <w:tc>
          <w:tcPr>
            <w:tcW w:w="579" w:type="pct"/>
            <w:shd w:val="clear" w:color="auto" w:fill="auto"/>
            <w:vAlign w:val="center"/>
            <w:hideMark/>
          </w:tcPr>
          <w:p w14:paraId="1CEA51C4" w14:textId="77777777" w:rsidR="005B5953" w:rsidRPr="005B12AE" w:rsidRDefault="005B5953" w:rsidP="00250DAC">
            <w:pPr>
              <w:spacing w:after="0" w:line="240" w:lineRule="auto"/>
              <w:jc w:val="both"/>
              <w:rPr>
                <w:rFonts w:ascii="Times New Roman" w:hAnsi="Times New Roman"/>
                <w:color w:val="000000"/>
                <w:sz w:val="20"/>
                <w:szCs w:val="20"/>
              </w:rPr>
            </w:pPr>
            <w:r w:rsidRPr="005B12AE">
              <w:rPr>
                <w:rFonts w:ascii="Times New Roman" w:hAnsi="Times New Roman"/>
                <w:color w:val="000000"/>
                <w:sz w:val="20"/>
                <w:szCs w:val="20"/>
              </w:rPr>
              <w:t>60 Monthly installments of ₹ 0.46 Lakhs</w:t>
            </w:r>
          </w:p>
        </w:tc>
        <w:tc>
          <w:tcPr>
            <w:tcW w:w="482" w:type="pct"/>
            <w:shd w:val="clear" w:color="auto" w:fill="auto"/>
            <w:vAlign w:val="center"/>
            <w:hideMark/>
          </w:tcPr>
          <w:p w14:paraId="644F9C3A"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NA</w:t>
            </w:r>
          </w:p>
        </w:tc>
        <w:tc>
          <w:tcPr>
            <w:tcW w:w="561" w:type="pct"/>
            <w:shd w:val="clear" w:color="auto" w:fill="auto"/>
            <w:vAlign w:val="center"/>
            <w:hideMark/>
          </w:tcPr>
          <w:p w14:paraId="5D29369C"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xml:space="preserve">                 6.13 </w:t>
            </w:r>
          </w:p>
        </w:tc>
      </w:tr>
      <w:tr w:rsidR="005B5953" w:rsidRPr="005B12AE" w14:paraId="7DB4F8E9" w14:textId="77777777" w:rsidTr="00250DAC">
        <w:trPr>
          <w:trHeight w:val="20"/>
        </w:trPr>
        <w:tc>
          <w:tcPr>
            <w:tcW w:w="699" w:type="pct"/>
            <w:shd w:val="clear" w:color="auto" w:fill="auto"/>
            <w:vAlign w:val="center"/>
            <w:hideMark/>
          </w:tcPr>
          <w:p w14:paraId="34780741" w14:textId="77777777" w:rsidR="005B5953" w:rsidRPr="005B12AE" w:rsidRDefault="005B5953"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t>NCBL Balero Loan</w:t>
            </w:r>
          </w:p>
        </w:tc>
        <w:tc>
          <w:tcPr>
            <w:tcW w:w="513" w:type="pct"/>
            <w:shd w:val="clear" w:color="auto" w:fill="auto"/>
            <w:vAlign w:val="center"/>
            <w:hideMark/>
          </w:tcPr>
          <w:p w14:paraId="7BBB1556" w14:textId="77777777" w:rsidR="005B5953" w:rsidRPr="005B12AE" w:rsidRDefault="005B5953" w:rsidP="00250DAC">
            <w:pPr>
              <w:spacing w:after="0" w:line="240" w:lineRule="auto"/>
              <w:jc w:val="both"/>
              <w:rPr>
                <w:rFonts w:ascii="Times New Roman" w:hAnsi="Times New Roman"/>
                <w:color w:val="000000"/>
                <w:sz w:val="20"/>
                <w:szCs w:val="20"/>
              </w:rPr>
            </w:pPr>
            <w:r w:rsidRPr="005B12AE">
              <w:rPr>
                <w:rFonts w:ascii="Times New Roman" w:hAnsi="Times New Roman"/>
                <w:color w:val="000000"/>
                <w:sz w:val="20"/>
                <w:szCs w:val="20"/>
              </w:rPr>
              <w:t>Car Loan</w:t>
            </w:r>
          </w:p>
        </w:tc>
        <w:tc>
          <w:tcPr>
            <w:tcW w:w="537" w:type="pct"/>
            <w:shd w:val="clear" w:color="auto" w:fill="auto"/>
            <w:vAlign w:val="center"/>
            <w:hideMark/>
          </w:tcPr>
          <w:p w14:paraId="532E8472"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11/11/20220</w:t>
            </w:r>
          </w:p>
        </w:tc>
        <w:tc>
          <w:tcPr>
            <w:tcW w:w="508" w:type="pct"/>
            <w:shd w:val="clear" w:color="auto" w:fill="auto"/>
            <w:vAlign w:val="center"/>
            <w:hideMark/>
          </w:tcPr>
          <w:p w14:paraId="3A9BDB29"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xml:space="preserve">                     7.00 </w:t>
            </w:r>
          </w:p>
        </w:tc>
        <w:tc>
          <w:tcPr>
            <w:tcW w:w="380" w:type="pct"/>
            <w:shd w:val="clear" w:color="auto" w:fill="auto"/>
            <w:vAlign w:val="center"/>
            <w:hideMark/>
          </w:tcPr>
          <w:p w14:paraId="08339442"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8.00%</w:t>
            </w:r>
          </w:p>
        </w:tc>
        <w:tc>
          <w:tcPr>
            <w:tcW w:w="742" w:type="pct"/>
            <w:shd w:val="clear" w:color="auto" w:fill="auto"/>
            <w:vAlign w:val="center"/>
            <w:hideMark/>
          </w:tcPr>
          <w:p w14:paraId="3DCB4BB8" w14:textId="77777777" w:rsidR="005B5953" w:rsidRPr="005B12AE" w:rsidRDefault="005B5953" w:rsidP="00250DAC">
            <w:pPr>
              <w:spacing w:after="0" w:line="240" w:lineRule="auto"/>
              <w:jc w:val="both"/>
              <w:rPr>
                <w:rFonts w:ascii="Times New Roman" w:hAnsi="Times New Roman"/>
                <w:color w:val="000000"/>
                <w:sz w:val="20"/>
                <w:szCs w:val="20"/>
              </w:rPr>
            </w:pPr>
            <w:r w:rsidRPr="005B12AE">
              <w:rPr>
                <w:rFonts w:ascii="Times New Roman" w:hAnsi="Times New Roman"/>
                <w:color w:val="000000"/>
                <w:sz w:val="20"/>
                <w:szCs w:val="20"/>
              </w:rPr>
              <w:t>Hypothecation of Vehicle</w:t>
            </w:r>
          </w:p>
        </w:tc>
        <w:tc>
          <w:tcPr>
            <w:tcW w:w="579" w:type="pct"/>
            <w:shd w:val="clear" w:color="auto" w:fill="auto"/>
            <w:vAlign w:val="center"/>
            <w:hideMark/>
          </w:tcPr>
          <w:p w14:paraId="3B249DF9" w14:textId="77777777" w:rsidR="005B5953" w:rsidRPr="005B12AE" w:rsidRDefault="005B5953" w:rsidP="00250DAC">
            <w:pPr>
              <w:spacing w:after="0" w:line="240" w:lineRule="auto"/>
              <w:jc w:val="both"/>
              <w:rPr>
                <w:rFonts w:ascii="Times New Roman" w:hAnsi="Times New Roman"/>
                <w:color w:val="000000"/>
                <w:sz w:val="20"/>
                <w:szCs w:val="20"/>
              </w:rPr>
            </w:pPr>
            <w:r w:rsidRPr="005B12AE">
              <w:rPr>
                <w:rFonts w:ascii="Times New Roman" w:hAnsi="Times New Roman"/>
                <w:color w:val="000000"/>
                <w:sz w:val="20"/>
                <w:szCs w:val="20"/>
              </w:rPr>
              <w:t>84 Monthly installments of ₹ 0.11 Lakhs</w:t>
            </w:r>
          </w:p>
        </w:tc>
        <w:tc>
          <w:tcPr>
            <w:tcW w:w="482" w:type="pct"/>
            <w:shd w:val="clear" w:color="auto" w:fill="auto"/>
            <w:vAlign w:val="center"/>
            <w:hideMark/>
          </w:tcPr>
          <w:p w14:paraId="06CD21EB"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NA</w:t>
            </w:r>
          </w:p>
        </w:tc>
        <w:tc>
          <w:tcPr>
            <w:tcW w:w="561" w:type="pct"/>
            <w:shd w:val="clear" w:color="auto" w:fill="auto"/>
            <w:vAlign w:val="center"/>
            <w:hideMark/>
          </w:tcPr>
          <w:p w14:paraId="069ADA4A"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xml:space="preserve">                 5.09 </w:t>
            </w:r>
          </w:p>
        </w:tc>
      </w:tr>
      <w:tr w:rsidR="005B5953" w:rsidRPr="005B12AE" w14:paraId="3CFC8278" w14:textId="77777777" w:rsidTr="00250DAC">
        <w:trPr>
          <w:trHeight w:val="20"/>
        </w:trPr>
        <w:tc>
          <w:tcPr>
            <w:tcW w:w="699" w:type="pct"/>
            <w:shd w:val="clear" w:color="auto" w:fill="auto"/>
            <w:vAlign w:val="center"/>
            <w:hideMark/>
          </w:tcPr>
          <w:p w14:paraId="22BDED0B" w14:textId="77777777" w:rsidR="005B5953" w:rsidRPr="005B12AE" w:rsidRDefault="005B5953"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t>Union Bank BMW Car Loan (Director)</w:t>
            </w:r>
          </w:p>
        </w:tc>
        <w:tc>
          <w:tcPr>
            <w:tcW w:w="513" w:type="pct"/>
            <w:shd w:val="clear" w:color="auto" w:fill="auto"/>
            <w:vAlign w:val="center"/>
            <w:hideMark/>
          </w:tcPr>
          <w:p w14:paraId="6B3B9623" w14:textId="77777777" w:rsidR="005B5953" w:rsidRPr="005B12AE" w:rsidRDefault="005B5953" w:rsidP="00250DAC">
            <w:pPr>
              <w:spacing w:after="0" w:line="240" w:lineRule="auto"/>
              <w:jc w:val="both"/>
              <w:rPr>
                <w:rFonts w:ascii="Times New Roman" w:hAnsi="Times New Roman"/>
                <w:color w:val="000000"/>
                <w:sz w:val="20"/>
                <w:szCs w:val="20"/>
              </w:rPr>
            </w:pPr>
            <w:r w:rsidRPr="005B12AE">
              <w:rPr>
                <w:rFonts w:ascii="Times New Roman" w:hAnsi="Times New Roman"/>
                <w:color w:val="000000"/>
                <w:sz w:val="20"/>
                <w:szCs w:val="20"/>
              </w:rPr>
              <w:t>Car Loan</w:t>
            </w:r>
          </w:p>
        </w:tc>
        <w:tc>
          <w:tcPr>
            <w:tcW w:w="537" w:type="pct"/>
            <w:shd w:val="clear" w:color="auto" w:fill="auto"/>
            <w:vAlign w:val="center"/>
            <w:hideMark/>
          </w:tcPr>
          <w:p w14:paraId="67FBA011"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27-04-21</w:t>
            </w:r>
          </w:p>
        </w:tc>
        <w:tc>
          <w:tcPr>
            <w:tcW w:w="508" w:type="pct"/>
            <w:shd w:val="clear" w:color="auto" w:fill="auto"/>
            <w:vAlign w:val="center"/>
            <w:hideMark/>
          </w:tcPr>
          <w:p w14:paraId="3B38A6FC"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xml:space="preserve">                   47.00 </w:t>
            </w:r>
          </w:p>
        </w:tc>
        <w:tc>
          <w:tcPr>
            <w:tcW w:w="380" w:type="pct"/>
            <w:shd w:val="clear" w:color="auto" w:fill="auto"/>
            <w:vAlign w:val="center"/>
            <w:hideMark/>
          </w:tcPr>
          <w:p w14:paraId="076AE03A"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8.75%</w:t>
            </w:r>
          </w:p>
        </w:tc>
        <w:tc>
          <w:tcPr>
            <w:tcW w:w="742" w:type="pct"/>
            <w:shd w:val="clear" w:color="auto" w:fill="auto"/>
            <w:vAlign w:val="center"/>
            <w:hideMark/>
          </w:tcPr>
          <w:p w14:paraId="2A28B9E8" w14:textId="77777777" w:rsidR="005B5953" w:rsidRPr="005B12AE" w:rsidRDefault="005B5953"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t>Hypothecation of Vehicle</w:t>
            </w:r>
          </w:p>
        </w:tc>
        <w:tc>
          <w:tcPr>
            <w:tcW w:w="579" w:type="pct"/>
            <w:shd w:val="clear" w:color="auto" w:fill="auto"/>
            <w:vAlign w:val="center"/>
            <w:hideMark/>
          </w:tcPr>
          <w:p w14:paraId="7770D2E4" w14:textId="77777777" w:rsidR="005B5953" w:rsidRPr="005B12AE" w:rsidRDefault="005B5953" w:rsidP="00250DAC">
            <w:pPr>
              <w:spacing w:after="0" w:line="240" w:lineRule="auto"/>
              <w:jc w:val="both"/>
              <w:rPr>
                <w:rFonts w:ascii="Times New Roman" w:hAnsi="Times New Roman"/>
                <w:color w:val="000000"/>
                <w:sz w:val="20"/>
                <w:szCs w:val="20"/>
              </w:rPr>
            </w:pPr>
            <w:r w:rsidRPr="005B12AE">
              <w:rPr>
                <w:rFonts w:ascii="Times New Roman" w:hAnsi="Times New Roman"/>
                <w:color w:val="000000"/>
                <w:sz w:val="20"/>
                <w:szCs w:val="20"/>
              </w:rPr>
              <w:t>60 Monthly installments of ₹ 0.72 Lakhs</w:t>
            </w:r>
          </w:p>
        </w:tc>
        <w:tc>
          <w:tcPr>
            <w:tcW w:w="482" w:type="pct"/>
            <w:shd w:val="clear" w:color="auto" w:fill="auto"/>
            <w:vAlign w:val="center"/>
            <w:hideMark/>
          </w:tcPr>
          <w:p w14:paraId="3E577E52"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NA</w:t>
            </w:r>
          </w:p>
        </w:tc>
        <w:tc>
          <w:tcPr>
            <w:tcW w:w="561" w:type="pct"/>
            <w:shd w:val="clear" w:color="auto" w:fill="auto"/>
            <w:vAlign w:val="center"/>
            <w:hideMark/>
          </w:tcPr>
          <w:p w14:paraId="3D95F59E"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xml:space="preserve">              36.97 </w:t>
            </w:r>
          </w:p>
        </w:tc>
      </w:tr>
      <w:tr w:rsidR="005B5953" w:rsidRPr="005B12AE" w14:paraId="5B1BD332" w14:textId="77777777" w:rsidTr="00250DAC">
        <w:trPr>
          <w:trHeight w:val="20"/>
        </w:trPr>
        <w:tc>
          <w:tcPr>
            <w:tcW w:w="699" w:type="pct"/>
            <w:shd w:val="clear" w:color="auto" w:fill="auto"/>
            <w:vAlign w:val="center"/>
            <w:hideMark/>
          </w:tcPr>
          <w:p w14:paraId="3E2607CA" w14:textId="77777777" w:rsidR="005B5953" w:rsidRPr="005B12AE" w:rsidRDefault="005B5953"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t>Union Bank KIA Carnival Loan (Director)</w:t>
            </w:r>
          </w:p>
        </w:tc>
        <w:tc>
          <w:tcPr>
            <w:tcW w:w="513" w:type="pct"/>
            <w:shd w:val="clear" w:color="auto" w:fill="auto"/>
            <w:vAlign w:val="center"/>
            <w:hideMark/>
          </w:tcPr>
          <w:p w14:paraId="5405B430" w14:textId="77777777" w:rsidR="005B5953" w:rsidRPr="005B12AE" w:rsidRDefault="005B5953" w:rsidP="00250DAC">
            <w:pPr>
              <w:spacing w:after="0" w:line="240" w:lineRule="auto"/>
              <w:jc w:val="both"/>
              <w:rPr>
                <w:rFonts w:ascii="Times New Roman" w:hAnsi="Times New Roman"/>
                <w:color w:val="000000"/>
                <w:sz w:val="20"/>
                <w:szCs w:val="20"/>
              </w:rPr>
            </w:pPr>
            <w:r w:rsidRPr="005B12AE">
              <w:rPr>
                <w:rFonts w:ascii="Times New Roman" w:hAnsi="Times New Roman"/>
                <w:color w:val="000000"/>
                <w:sz w:val="20"/>
                <w:szCs w:val="20"/>
              </w:rPr>
              <w:t>Car Loan</w:t>
            </w:r>
          </w:p>
        </w:tc>
        <w:tc>
          <w:tcPr>
            <w:tcW w:w="537" w:type="pct"/>
            <w:shd w:val="clear" w:color="auto" w:fill="auto"/>
            <w:vAlign w:val="center"/>
            <w:hideMark/>
          </w:tcPr>
          <w:p w14:paraId="79DE6D2D"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tc>
        <w:tc>
          <w:tcPr>
            <w:tcW w:w="508" w:type="pct"/>
            <w:shd w:val="clear" w:color="auto" w:fill="auto"/>
            <w:vAlign w:val="center"/>
            <w:hideMark/>
          </w:tcPr>
          <w:p w14:paraId="650F4C16"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xml:space="preserve">                   31.00 </w:t>
            </w:r>
          </w:p>
        </w:tc>
        <w:tc>
          <w:tcPr>
            <w:tcW w:w="380" w:type="pct"/>
            <w:shd w:val="clear" w:color="auto" w:fill="auto"/>
            <w:vAlign w:val="center"/>
            <w:hideMark/>
          </w:tcPr>
          <w:p w14:paraId="16E6C1D6"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7.40%</w:t>
            </w:r>
          </w:p>
        </w:tc>
        <w:tc>
          <w:tcPr>
            <w:tcW w:w="742" w:type="pct"/>
            <w:shd w:val="clear" w:color="auto" w:fill="auto"/>
            <w:vAlign w:val="center"/>
            <w:hideMark/>
          </w:tcPr>
          <w:p w14:paraId="2DA6DA0D" w14:textId="77777777" w:rsidR="005B5953" w:rsidRPr="005B12AE" w:rsidRDefault="005B5953" w:rsidP="00250DAC">
            <w:pPr>
              <w:spacing w:after="0" w:line="240" w:lineRule="auto"/>
              <w:jc w:val="both"/>
              <w:rPr>
                <w:rFonts w:ascii="Times New Roman" w:hAnsi="Times New Roman"/>
                <w:color w:val="000000"/>
                <w:sz w:val="20"/>
                <w:szCs w:val="20"/>
              </w:rPr>
            </w:pPr>
            <w:r w:rsidRPr="005B12AE">
              <w:rPr>
                <w:rFonts w:ascii="Times New Roman" w:hAnsi="Times New Roman"/>
                <w:color w:val="000000"/>
                <w:sz w:val="20"/>
                <w:szCs w:val="20"/>
              </w:rPr>
              <w:t>Hypothecation of Vehicle</w:t>
            </w:r>
          </w:p>
        </w:tc>
        <w:tc>
          <w:tcPr>
            <w:tcW w:w="579" w:type="pct"/>
            <w:shd w:val="clear" w:color="auto" w:fill="auto"/>
            <w:vAlign w:val="center"/>
            <w:hideMark/>
          </w:tcPr>
          <w:p w14:paraId="7507FE1C" w14:textId="77777777" w:rsidR="005B5953" w:rsidRPr="005B12AE" w:rsidRDefault="005B5953" w:rsidP="00250DAC">
            <w:pPr>
              <w:spacing w:after="0" w:line="240" w:lineRule="auto"/>
              <w:jc w:val="both"/>
              <w:rPr>
                <w:rFonts w:ascii="Times New Roman" w:hAnsi="Times New Roman"/>
                <w:color w:val="000000"/>
                <w:sz w:val="20"/>
                <w:szCs w:val="20"/>
              </w:rPr>
            </w:pPr>
            <w:r w:rsidRPr="005B12AE">
              <w:rPr>
                <w:rFonts w:ascii="Times New Roman" w:hAnsi="Times New Roman"/>
                <w:color w:val="000000"/>
                <w:sz w:val="20"/>
                <w:szCs w:val="20"/>
              </w:rPr>
              <w:t>60 Monthly installments of ₹ 0.49 Lakhs</w:t>
            </w:r>
          </w:p>
        </w:tc>
        <w:tc>
          <w:tcPr>
            <w:tcW w:w="482" w:type="pct"/>
            <w:shd w:val="clear" w:color="auto" w:fill="auto"/>
            <w:vAlign w:val="center"/>
            <w:hideMark/>
          </w:tcPr>
          <w:p w14:paraId="4EAC6CC2"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NA</w:t>
            </w:r>
          </w:p>
        </w:tc>
        <w:tc>
          <w:tcPr>
            <w:tcW w:w="561" w:type="pct"/>
            <w:shd w:val="clear" w:color="auto" w:fill="auto"/>
            <w:vAlign w:val="center"/>
            <w:hideMark/>
          </w:tcPr>
          <w:p w14:paraId="47D54098"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xml:space="preserve">              29.18 </w:t>
            </w:r>
          </w:p>
        </w:tc>
      </w:tr>
      <w:tr w:rsidR="005B5953" w:rsidRPr="005B12AE" w14:paraId="6CD75C18" w14:textId="77777777" w:rsidTr="00250DAC">
        <w:trPr>
          <w:trHeight w:val="20"/>
        </w:trPr>
        <w:tc>
          <w:tcPr>
            <w:tcW w:w="699" w:type="pct"/>
            <w:shd w:val="clear" w:color="auto" w:fill="auto"/>
            <w:vAlign w:val="center"/>
            <w:hideMark/>
          </w:tcPr>
          <w:p w14:paraId="5582060C" w14:textId="77777777" w:rsidR="005B5953" w:rsidRPr="005B12AE" w:rsidRDefault="005B5953"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t>Union Bank KIA Seltosh Loan (Director)</w:t>
            </w:r>
          </w:p>
        </w:tc>
        <w:tc>
          <w:tcPr>
            <w:tcW w:w="513" w:type="pct"/>
            <w:shd w:val="clear" w:color="auto" w:fill="auto"/>
            <w:vAlign w:val="center"/>
            <w:hideMark/>
          </w:tcPr>
          <w:p w14:paraId="782ECEE0" w14:textId="77777777" w:rsidR="005B5953" w:rsidRPr="005B12AE" w:rsidRDefault="005B5953" w:rsidP="00250DAC">
            <w:pPr>
              <w:spacing w:after="0" w:line="240" w:lineRule="auto"/>
              <w:jc w:val="both"/>
              <w:rPr>
                <w:rFonts w:ascii="Times New Roman" w:hAnsi="Times New Roman"/>
                <w:color w:val="000000"/>
                <w:sz w:val="20"/>
                <w:szCs w:val="20"/>
              </w:rPr>
            </w:pPr>
            <w:r w:rsidRPr="005B12AE">
              <w:rPr>
                <w:rFonts w:ascii="Times New Roman" w:hAnsi="Times New Roman"/>
                <w:color w:val="000000"/>
                <w:sz w:val="20"/>
                <w:szCs w:val="20"/>
              </w:rPr>
              <w:t>Car Loan</w:t>
            </w:r>
          </w:p>
        </w:tc>
        <w:tc>
          <w:tcPr>
            <w:tcW w:w="537" w:type="pct"/>
            <w:shd w:val="clear" w:color="auto" w:fill="auto"/>
            <w:vAlign w:val="center"/>
            <w:hideMark/>
          </w:tcPr>
          <w:p w14:paraId="36C36362"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20-04-22</w:t>
            </w:r>
          </w:p>
        </w:tc>
        <w:tc>
          <w:tcPr>
            <w:tcW w:w="508" w:type="pct"/>
            <w:shd w:val="clear" w:color="auto" w:fill="auto"/>
            <w:vAlign w:val="center"/>
            <w:hideMark/>
          </w:tcPr>
          <w:p w14:paraId="00C871C2"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xml:space="preserve">                   16.00 </w:t>
            </w:r>
          </w:p>
        </w:tc>
        <w:tc>
          <w:tcPr>
            <w:tcW w:w="380" w:type="pct"/>
            <w:shd w:val="clear" w:color="auto" w:fill="auto"/>
            <w:vAlign w:val="center"/>
            <w:hideMark/>
          </w:tcPr>
          <w:p w14:paraId="24C0DA13"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7.40%</w:t>
            </w:r>
          </w:p>
        </w:tc>
        <w:tc>
          <w:tcPr>
            <w:tcW w:w="742" w:type="pct"/>
            <w:shd w:val="clear" w:color="auto" w:fill="auto"/>
            <w:vAlign w:val="center"/>
            <w:hideMark/>
          </w:tcPr>
          <w:p w14:paraId="157AC008" w14:textId="77777777" w:rsidR="005B5953" w:rsidRPr="005B12AE" w:rsidRDefault="005B5953" w:rsidP="00250DAC">
            <w:pPr>
              <w:spacing w:after="0" w:line="240" w:lineRule="auto"/>
              <w:jc w:val="both"/>
              <w:rPr>
                <w:rFonts w:ascii="Times New Roman" w:hAnsi="Times New Roman"/>
                <w:color w:val="000000"/>
                <w:sz w:val="20"/>
                <w:szCs w:val="20"/>
              </w:rPr>
            </w:pPr>
            <w:r w:rsidRPr="005B12AE">
              <w:rPr>
                <w:rFonts w:ascii="Times New Roman" w:hAnsi="Times New Roman"/>
                <w:color w:val="000000"/>
                <w:sz w:val="20"/>
                <w:szCs w:val="20"/>
              </w:rPr>
              <w:t>Hypothecation of Vehicle</w:t>
            </w:r>
          </w:p>
        </w:tc>
        <w:tc>
          <w:tcPr>
            <w:tcW w:w="579" w:type="pct"/>
            <w:shd w:val="clear" w:color="auto" w:fill="auto"/>
            <w:vAlign w:val="center"/>
            <w:hideMark/>
          </w:tcPr>
          <w:p w14:paraId="2125A992" w14:textId="77777777" w:rsidR="005B5953" w:rsidRPr="005B12AE" w:rsidRDefault="005B5953" w:rsidP="00250DAC">
            <w:pPr>
              <w:spacing w:after="0" w:line="240" w:lineRule="auto"/>
              <w:jc w:val="both"/>
              <w:rPr>
                <w:rFonts w:ascii="Times New Roman" w:hAnsi="Times New Roman"/>
                <w:color w:val="000000"/>
                <w:sz w:val="20"/>
                <w:szCs w:val="20"/>
              </w:rPr>
            </w:pPr>
            <w:r w:rsidRPr="005B12AE">
              <w:rPr>
                <w:rFonts w:ascii="Times New Roman" w:hAnsi="Times New Roman"/>
                <w:color w:val="000000"/>
                <w:sz w:val="20"/>
                <w:szCs w:val="20"/>
              </w:rPr>
              <w:t>84 Monthly installments of ₹ 0.24 Lakhs</w:t>
            </w:r>
          </w:p>
        </w:tc>
        <w:tc>
          <w:tcPr>
            <w:tcW w:w="482" w:type="pct"/>
            <w:shd w:val="clear" w:color="auto" w:fill="auto"/>
            <w:vAlign w:val="center"/>
            <w:hideMark/>
          </w:tcPr>
          <w:p w14:paraId="3CE6F9C7"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NA</w:t>
            </w:r>
          </w:p>
        </w:tc>
        <w:tc>
          <w:tcPr>
            <w:tcW w:w="561" w:type="pct"/>
            <w:shd w:val="clear" w:color="auto" w:fill="auto"/>
            <w:vAlign w:val="center"/>
            <w:hideMark/>
          </w:tcPr>
          <w:p w14:paraId="04091E2D"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xml:space="preserve">              14.55 </w:t>
            </w:r>
          </w:p>
        </w:tc>
      </w:tr>
      <w:tr w:rsidR="005B5953" w:rsidRPr="005B12AE" w14:paraId="2C93B0B5" w14:textId="77777777" w:rsidTr="00250DAC">
        <w:trPr>
          <w:trHeight w:val="20"/>
        </w:trPr>
        <w:tc>
          <w:tcPr>
            <w:tcW w:w="699" w:type="pct"/>
            <w:shd w:val="clear" w:color="auto" w:fill="auto"/>
            <w:vAlign w:val="center"/>
            <w:hideMark/>
          </w:tcPr>
          <w:p w14:paraId="1CF4E3F5" w14:textId="77777777" w:rsidR="005B5953" w:rsidRPr="005B12AE" w:rsidRDefault="005B5953"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t>Union Bank XUV 700 Car Loan (Director)</w:t>
            </w:r>
          </w:p>
        </w:tc>
        <w:tc>
          <w:tcPr>
            <w:tcW w:w="513" w:type="pct"/>
            <w:shd w:val="clear" w:color="auto" w:fill="auto"/>
            <w:vAlign w:val="center"/>
            <w:hideMark/>
          </w:tcPr>
          <w:p w14:paraId="79D9DC62" w14:textId="77777777" w:rsidR="005B5953" w:rsidRPr="005B12AE" w:rsidRDefault="005B5953" w:rsidP="00250DAC">
            <w:pPr>
              <w:spacing w:after="0" w:line="240" w:lineRule="auto"/>
              <w:jc w:val="both"/>
              <w:rPr>
                <w:rFonts w:ascii="Times New Roman" w:hAnsi="Times New Roman"/>
                <w:color w:val="000000"/>
                <w:sz w:val="20"/>
                <w:szCs w:val="20"/>
              </w:rPr>
            </w:pPr>
            <w:r w:rsidRPr="005B12AE">
              <w:rPr>
                <w:rFonts w:ascii="Times New Roman" w:hAnsi="Times New Roman"/>
                <w:color w:val="000000"/>
                <w:sz w:val="20"/>
                <w:szCs w:val="20"/>
              </w:rPr>
              <w:t>Car Loan</w:t>
            </w:r>
          </w:p>
        </w:tc>
        <w:tc>
          <w:tcPr>
            <w:tcW w:w="537" w:type="pct"/>
            <w:shd w:val="clear" w:color="auto" w:fill="auto"/>
            <w:vAlign w:val="center"/>
            <w:hideMark/>
          </w:tcPr>
          <w:p w14:paraId="35E88627"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08-03-22</w:t>
            </w:r>
          </w:p>
        </w:tc>
        <w:tc>
          <w:tcPr>
            <w:tcW w:w="508" w:type="pct"/>
            <w:shd w:val="clear" w:color="auto" w:fill="auto"/>
            <w:vAlign w:val="center"/>
            <w:hideMark/>
          </w:tcPr>
          <w:p w14:paraId="346F4509"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xml:space="preserve">                   17.00 </w:t>
            </w:r>
          </w:p>
        </w:tc>
        <w:tc>
          <w:tcPr>
            <w:tcW w:w="380" w:type="pct"/>
            <w:shd w:val="clear" w:color="auto" w:fill="auto"/>
            <w:vAlign w:val="center"/>
            <w:hideMark/>
          </w:tcPr>
          <w:p w14:paraId="2BB82CF5"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7.40%</w:t>
            </w:r>
          </w:p>
        </w:tc>
        <w:tc>
          <w:tcPr>
            <w:tcW w:w="742" w:type="pct"/>
            <w:shd w:val="clear" w:color="auto" w:fill="auto"/>
            <w:vAlign w:val="center"/>
            <w:hideMark/>
          </w:tcPr>
          <w:p w14:paraId="53A17FCE" w14:textId="77777777" w:rsidR="005B5953" w:rsidRPr="005B12AE" w:rsidRDefault="005B5953" w:rsidP="00250DAC">
            <w:pPr>
              <w:spacing w:after="0" w:line="240" w:lineRule="auto"/>
              <w:jc w:val="both"/>
              <w:rPr>
                <w:rFonts w:ascii="Times New Roman" w:hAnsi="Times New Roman"/>
                <w:color w:val="000000"/>
                <w:sz w:val="20"/>
                <w:szCs w:val="20"/>
              </w:rPr>
            </w:pPr>
            <w:r w:rsidRPr="005B12AE">
              <w:rPr>
                <w:rFonts w:ascii="Times New Roman" w:hAnsi="Times New Roman"/>
                <w:color w:val="000000"/>
                <w:sz w:val="20"/>
                <w:szCs w:val="20"/>
              </w:rPr>
              <w:t>Hypothecation of Vehicle</w:t>
            </w:r>
          </w:p>
        </w:tc>
        <w:tc>
          <w:tcPr>
            <w:tcW w:w="579" w:type="pct"/>
            <w:shd w:val="clear" w:color="auto" w:fill="auto"/>
            <w:vAlign w:val="center"/>
            <w:hideMark/>
          </w:tcPr>
          <w:p w14:paraId="75B0E2A4" w14:textId="77777777" w:rsidR="005B5953" w:rsidRPr="005B12AE" w:rsidRDefault="005B5953" w:rsidP="00250DAC">
            <w:pPr>
              <w:spacing w:after="0" w:line="240" w:lineRule="auto"/>
              <w:jc w:val="both"/>
              <w:rPr>
                <w:rFonts w:ascii="Times New Roman" w:hAnsi="Times New Roman"/>
                <w:color w:val="000000"/>
                <w:sz w:val="20"/>
                <w:szCs w:val="20"/>
              </w:rPr>
            </w:pPr>
            <w:r w:rsidRPr="005B12AE">
              <w:rPr>
                <w:rFonts w:ascii="Times New Roman" w:hAnsi="Times New Roman"/>
                <w:color w:val="000000"/>
                <w:sz w:val="20"/>
                <w:szCs w:val="20"/>
              </w:rPr>
              <w:t>84 Monthly installmen</w:t>
            </w:r>
            <w:r w:rsidRPr="005B12AE">
              <w:rPr>
                <w:rFonts w:ascii="Times New Roman" w:hAnsi="Times New Roman"/>
                <w:color w:val="000000"/>
                <w:sz w:val="20"/>
                <w:szCs w:val="20"/>
              </w:rPr>
              <w:lastRenderedPageBreak/>
              <w:t>ts of ₹ 0.26 Lakhs</w:t>
            </w:r>
          </w:p>
        </w:tc>
        <w:tc>
          <w:tcPr>
            <w:tcW w:w="482" w:type="pct"/>
            <w:shd w:val="clear" w:color="auto" w:fill="auto"/>
            <w:vAlign w:val="center"/>
            <w:hideMark/>
          </w:tcPr>
          <w:p w14:paraId="1DF3A17F"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lastRenderedPageBreak/>
              <w:t>NA</w:t>
            </w:r>
          </w:p>
        </w:tc>
        <w:tc>
          <w:tcPr>
            <w:tcW w:w="561" w:type="pct"/>
            <w:shd w:val="clear" w:color="auto" w:fill="auto"/>
            <w:vAlign w:val="center"/>
            <w:hideMark/>
          </w:tcPr>
          <w:p w14:paraId="2687389D"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xml:space="preserve">              15.20 </w:t>
            </w:r>
          </w:p>
        </w:tc>
      </w:tr>
      <w:tr w:rsidR="005B5953" w:rsidRPr="005B12AE" w14:paraId="11DF98C9" w14:textId="77777777" w:rsidTr="00250DAC">
        <w:trPr>
          <w:trHeight w:val="20"/>
        </w:trPr>
        <w:tc>
          <w:tcPr>
            <w:tcW w:w="699" w:type="pct"/>
            <w:shd w:val="clear" w:color="auto" w:fill="auto"/>
            <w:vAlign w:val="center"/>
            <w:hideMark/>
          </w:tcPr>
          <w:p w14:paraId="38EEE925" w14:textId="77777777" w:rsidR="005B5953" w:rsidRPr="005B12AE" w:rsidRDefault="005B5953" w:rsidP="00250DAC">
            <w:pPr>
              <w:spacing w:after="0" w:line="240" w:lineRule="auto"/>
              <w:rPr>
                <w:rFonts w:ascii="Times New Roman" w:hAnsi="Times New Roman"/>
                <w:b/>
                <w:bCs/>
                <w:color w:val="000000"/>
                <w:sz w:val="20"/>
                <w:szCs w:val="20"/>
              </w:rPr>
            </w:pPr>
            <w:r w:rsidRPr="005B12AE">
              <w:rPr>
                <w:rFonts w:ascii="Times New Roman" w:hAnsi="Times New Roman"/>
                <w:b/>
                <w:bCs/>
                <w:color w:val="000000"/>
                <w:sz w:val="20"/>
                <w:szCs w:val="20"/>
              </w:rPr>
              <w:t>TOTAL</w:t>
            </w:r>
          </w:p>
        </w:tc>
        <w:tc>
          <w:tcPr>
            <w:tcW w:w="513" w:type="pct"/>
            <w:shd w:val="clear" w:color="auto" w:fill="auto"/>
            <w:vAlign w:val="center"/>
            <w:hideMark/>
          </w:tcPr>
          <w:p w14:paraId="4072FEAB" w14:textId="77777777" w:rsidR="005B5953" w:rsidRPr="005B12AE" w:rsidRDefault="005B5953" w:rsidP="00250DAC">
            <w:pPr>
              <w:spacing w:after="0" w:line="240" w:lineRule="auto"/>
              <w:rPr>
                <w:rFonts w:ascii="Times New Roman" w:hAnsi="Times New Roman"/>
                <w:b/>
                <w:bCs/>
                <w:color w:val="000000"/>
                <w:sz w:val="20"/>
                <w:szCs w:val="20"/>
              </w:rPr>
            </w:pPr>
            <w:r w:rsidRPr="005B12AE">
              <w:rPr>
                <w:rFonts w:ascii="Times New Roman" w:hAnsi="Times New Roman"/>
                <w:b/>
                <w:bCs/>
                <w:color w:val="000000"/>
                <w:sz w:val="20"/>
                <w:szCs w:val="20"/>
              </w:rPr>
              <w:t> </w:t>
            </w:r>
          </w:p>
        </w:tc>
        <w:tc>
          <w:tcPr>
            <w:tcW w:w="537" w:type="pct"/>
            <w:shd w:val="clear" w:color="auto" w:fill="auto"/>
            <w:vAlign w:val="center"/>
            <w:hideMark/>
          </w:tcPr>
          <w:p w14:paraId="16A0B1E0" w14:textId="77777777" w:rsidR="005B5953" w:rsidRPr="005B12AE" w:rsidRDefault="005B5953" w:rsidP="00250DAC">
            <w:pPr>
              <w:spacing w:after="0" w:line="240" w:lineRule="auto"/>
              <w:rPr>
                <w:rFonts w:ascii="Times New Roman" w:hAnsi="Times New Roman"/>
                <w:b/>
                <w:bCs/>
                <w:color w:val="000000"/>
                <w:sz w:val="20"/>
                <w:szCs w:val="20"/>
              </w:rPr>
            </w:pPr>
            <w:r w:rsidRPr="005B12AE">
              <w:rPr>
                <w:rFonts w:ascii="Times New Roman" w:hAnsi="Times New Roman"/>
                <w:b/>
                <w:bCs/>
                <w:color w:val="000000"/>
                <w:sz w:val="20"/>
                <w:szCs w:val="20"/>
              </w:rPr>
              <w:t> </w:t>
            </w:r>
          </w:p>
        </w:tc>
        <w:tc>
          <w:tcPr>
            <w:tcW w:w="508" w:type="pct"/>
            <w:shd w:val="clear" w:color="auto" w:fill="auto"/>
            <w:vAlign w:val="center"/>
            <w:hideMark/>
          </w:tcPr>
          <w:p w14:paraId="2DD4AA5B" w14:textId="77777777" w:rsidR="005B5953" w:rsidRPr="005B12AE" w:rsidRDefault="005B5953" w:rsidP="00250DAC">
            <w:pPr>
              <w:spacing w:after="0" w:line="240" w:lineRule="auto"/>
              <w:rPr>
                <w:rFonts w:ascii="Times New Roman" w:hAnsi="Times New Roman"/>
                <w:b/>
                <w:bCs/>
                <w:color w:val="000000"/>
                <w:sz w:val="20"/>
                <w:szCs w:val="20"/>
              </w:rPr>
            </w:pPr>
            <w:r w:rsidRPr="005B12AE">
              <w:rPr>
                <w:rFonts w:ascii="Times New Roman" w:hAnsi="Times New Roman"/>
                <w:b/>
                <w:bCs/>
                <w:color w:val="000000"/>
                <w:sz w:val="20"/>
                <w:szCs w:val="20"/>
              </w:rPr>
              <w:t xml:space="preserve">5,168.76 </w:t>
            </w:r>
          </w:p>
        </w:tc>
        <w:tc>
          <w:tcPr>
            <w:tcW w:w="380" w:type="pct"/>
            <w:shd w:val="clear" w:color="auto" w:fill="auto"/>
            <w:vAlign w:val="center"/>
            <w:hideMark/>
          </w:tcPr>
          <w:p w14:paraId="52981F94" w14:textId="77777777" w:rsidR="005B5953" w:rsidRPr="005B12AE" w:rsidRDefault="005B5953" w:rsidP="00250DAC">
            <w:pPr>
              <w:spacing w:after="0" w:line="240" w:lineRule="auto"/>
              <w:rPr>
                <w:rFonts w:ascii="Times New Roman" w:hAnsi="Times New Roman"/>
                <w:b/>
                <w:bCs/>
                <w:color w:val="000000"/>
                <w:sz w:val="20"/>
                <w:szCs w:val="20"/>
              </w:rPr>
            </w:pPr>
            <w:r w:rsidRPr="005B12AE">
              <w:rPr>
                <w:rFonts w:ascii="Times New Roman" w:hAnsi="Times New Roman"/>
                <w:b/>
                <w:bCs/>
                <w:color w:val="000000"/>
                <w:sz w:val="20"/>
                <w:szCs w:val="20"/>
              </w:rPr>
              <w:t> </w:t>
            </w:r>
          </w:p>
        </w:tc>
        <w:tc>
          <w:tcPr>
            <w:tcW w:w="742" w:type="pct"/>
            <w:shd w:val="clear" w:color="auto" w:fill="auto"/>
            <w:vAlign w:val="center"/>
            <w:hideMark/>
          </w:tcPr>
          <w:p w14:paraId="31004549" w14:textId="77777777" w:rsidR="005B5953" w:rsidRPr="005B12AE" w:rsidRDefault="005B5953" w:rsidP="00250DAC">
            <w:pPr>
              <w:spacing w:after="0" w:line="240" w:lineRule="auto"/>
              <w:rPr>
                <w:rFonts w:ascii="Times New Roman" w:hAnsi="Times New Roman"/>
                <w:b/>
                <w:bCs/>
                <w:color w:val="000000"/>
                <w:sz w:val="20"/>
                <w:szCs w:val="20"/>
              </w:rPr>
            </w:pPr>
            <w:r w:rsidRPr="005B12AE">
              <w:rPr>
                <w:rFonts w:ascii="Times New Roman" w:hAnsi="Times New Roman"/>
                <w:b/>
                <w:bCs/>
                <w:color w:val="000000"/>
                <w:sz w:val="20"/>
                <w:szCs w:val="20"/>
              </w:rPr>
              <w:t> </w:t>
            </w:r>
          </w:p>
        </w:tc>
        <w:tc>
          <w:tcPr>
            <w:tcW w:w="579" w:type="pct"/>
            <w:shd w:val="clear" w:color="auto" w:fill="auto"/>
            <w:vAlign w:val="center"/>
            <w:hideMark/>
          </w:tcPr>
          <w:p w14:paraId="726ED729" w14:textId="77777777" w:rsidR="005B5953" w:rsidRPr="005B12AE" w:rsidRDefault="005B5953" w:rsidP="00250DAC">
            <w:pPr>
              <w:spacing w:after="0" w:line="240" w:lineRule="auto"/>
              <w:rPr>
                <w:rFonts w:ascii="Times New Roman" w:hAnsi="Times New Roman"/>
                <w:b/>
                <w:bCs/>
                <w:color w:val="000000"/>
                <w:sz w:val="20"/>
                <w:szCs w:val="20"/>
              </w:rPr>
            </w:pPr>
            <w:r w:rsidRPr="005B12AE">
              <w:rPr>
                <w:rFonts w:ascii="Times New Roman" w:hAnsi="Times New Roman"/>
                <w:b/>
                <w:bCs/>
                <w:color w:val="000000"/>
                <w:sz w:val="20"/>
                <w:szCs w:val="20"/>
              </w:rPr>
              <w:t> </w:t>
            </w:r>
          </w:p>
        </w:tc>
        <w:tc>
          <w:tcPr>
            <w:tcW w:w="482" w:type="pct"/>
            <w:shd w:val="clear" w:color="auto" w:fill="auto"/>
            <w:vAlign w:val="center"/>
            <w:hideMark/>
          </w:tcPr>
          <w:p w14:paraId="21413157"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 </w:t>
            </w:r>
          </w:p>
        </w:tc>
        <w:tc>
          <w:tcPr>
            <w:tcW w:w="561" w:type="pct"/>
            <w:shd w:val="clear" w:color="auto" w:fill="auto"/>
            <w:vAlign w:val="center"/>
            <w:hideMark/>
          </w:tcPr>
          <w:p w14:paraId="5D0E8A61" w14:textId="77777777" w:rsidR="005B5953" w:rsidRPr="005B12AE" w:rsidRDefault="005B5953" w:rsidP="00250DAC">
            <w:pPr>
              <w:spacing w:after="0" w:line="240" w:lineRule="auto"/>
              <w:rPr>
                <w:rFonts w:ascii="Times New Roman" w:hAnsi="Times New Roman"/>
                <w:b/>
                <w:bCs/>
                <w:color w:val="000000"/>
                <w:sz w:val="20"/>
                <w:szCs w:val="20"/>
              </w:rPr>
            </w:pPr>
            <w:r w:rsidRPr="005B12AE">
              <w:rPr>
                <w:rFonts w:ascii="Times New Roman" w:hAnsi="Times New Roman"/>
                <w:b/>
                <w:bCs/>
                <w:color w:val="000000"/>
                <w:sz w:val="20"/>
                <w:szCs w:val="20"/>
              </w:rPr>
              <w:t xml:space="preserve">4,966.89 </w:t>
            </w:r>
          </w:p>
        </w:tc>
      </w:tr>
    </w:tbl>
    <w:p w14:paraId="49F51FED" w14:textId="77777777" w:rsidR="005B5953" w:rsidRPr="005B12AE" w:rsidRDefault="005B5953" w:rsidP="005B5953">
      <w:pPr>
        <w:spacing w:after="0"/>
        <w:ind w:left="180" w:hanging="180"/>
        <w:jc w:val="both"/>
        <w:rPr>
          <w:rFonts w:ascii="Times New Roman" w:hAnsi="Times New Roman"/>
          <w:sz w:val="20"/>
          <w:szCs w:val="20"/>
        </w:rPr>
      </w:pPr>
    </w:p>
    <w:p w14:paraId="5BD696D2" w14:textId="77777777" w:rsidR="005B5953" w:rsidRPr="005B12AE" w:rsidRDefault="005B5953" w:rsidP="005B5953">
      <w:pPr>
        <w:spacing w:after="0"/>
        <w:ind w:left="180" w:hanging="180"/>
        <w:rPr>
          <w:rFonts w:ascii="Times New Roman" w:hAnsi="Times New Roman"/>
          <w:sz w:val="20"/>
          <w:szCs w:val="20"/>
        </w:rPr>
      </w:pPr>
      <w:r w:rsidRPr="005B12AE">
        <w:rPr>
          <w:rFonts w:ascii="Times New Roman" w:hAnsi="Times New Roman"/>
          <w:sz w:val="20"/>
          <w:szCs w:val="20"/>
        </w:rPr>
        <w:t>Note 1</w:t>
      </w:r>
    </w:p>
    <w:p w14:paraId="5264DA51" w14:textId="77777777" w:rsidR="005B5953" w:rsidRPr="005B12AE" w:rsidRDefault="005B5953" w:rsidP="005B5953">
      <w:pPr>
        <w:spacing w:after="0"/>
        <w:ind w:left="180" w:hanging="180"/>
        <w:rPr>
          <w:rFonts w:ascii="Times New Roman" w:hAnsi="Times New Roman"/>
          <w:b/>
          <w:bCs/>
          <w:sz w:val="20"/>
          <w:szCs w:val="20"/>
        </w:rPr>
      </w:pPr>
      <w:r w:rsidRPr="005B12AE">
        <w:rPr>
          <w:rFonts w:ascii="Times New Roman" w:hAnsi="Times New Roman"/>
          <w:b/>
          <w:bCs/>
          <w:sz w:val="20"/>
          <w:szCs w:val="20"/>
        </w:rPr>
        <w:t>Primary Security</w:t>
      </w:r>
    </w:p>
    <w:p w14:paraId="02184213" w14:textId="77777777" w:rsidR="005B5953" w:rsidRPr="005B12AE" w:rsidRDefault="005B5953" w:rsidP="005B5953">
      <w:pPr>
        <w:spacing w:after="0"/>
        <w:ind w:left="180" w:hanging="180"/>
        <w:rPr>
          <w:rFonts w:ascii="Times New Roman" w:hAnsi="Times New Roman"/>
          <w:sz w:val="20"/>
          <w:szCs w:val="20"/>
        </w:rPr>
      </w:pPr>
      <w:r w:rsidRPr="005B12AE">
        <w:rPr>
          <w:rFonts w:ascii="Times New Roman" w:hAnsi="Times New Roman"/>
          <w:sz w:val="20"/>
          <w:szCs w:val="20"/>
        </w:rPr>
        <w:t>Hypothecation of Plant and Machinery and other movable fixed assets present and future of the company excluding vehicles</w:t>
      </w:r>
    </w:p>
    <w:p w14:paraId="77AB94E9" w14:textId="77777777" w:rsidR="005B5953" w:rsidRPr="005B12AE" w:rsidRDefault="005B5953" w:rsidP="005B5953">
      <w:pPr>
        <w:spacing w:after="0"/>
        <w:ind w:left="180" w:hanging="180"/>
        <w:rPr>
          <w:rFonts w:ascii="Times New Roman" w:hAnsi="Times New Roman"/>
          <w:sz w:val="20"/>
          <w:szCs w:val="20"/>
        </w:rPr>
      </w:pPr>
      <w:r w:rsidRPr="005B12AE">
        <w:rPr>
          <w:rFonts w:ascii="Times New Roman" w:hAnsi="Times New Roman"/>
          <w:sz w:val="20"/>
          <w:szCs w:val="20"/>
        </w:rPr>
        <w:t>Hypothecation of stocks, WIP, raw materials, and book debts of the company for present and future</w:t>
      </w:r>
    </w:p>
    <w:p w14:paraId="0C7CAFD4" w14:textId="77777777" w:rsidR="005B5953" w:rsidRPr="005B12AE" w:rsidRDefault="005B5953" w:rsidP="005B5953">
      <w:pPr>
        <w:spacing w:after="0"/>
        <w:ind w:left="180" w:hanging="180"/>
        <w:rPr>
          <w:rFonts w:ascii="Times New Roman" w:hAnsi="Times New Roman"/>
          <w:sz w:val="20"/>
          <w:szCs w:val="20"/>
        </w:rPr>
      </w:pPr>
    </w:p>
    <w:p w14:paraId="267201E7" w14:textId="77777777" w:rsidR="005B5953" w:rsidRPr="005B12AE" w:rsidRDefault="005B5953" w:rsidP="005B5953">
      <w:pPr>
        <w:spacing w:after="0"/>
        <w:ind w:left="180" w:hanging="180"/>
        <w:rPr>
          <w:rFonts w:ascii="Times New Roman" w:hAnsi="Times New Roman"/>
          <w:b/>
          <w:bCs/>
          <w:sz w:val="20"/>
          <w:szCs w:val="20"/>
        </w:rPr>
      </w:pPr>
      <w:r w:rsidRPr="005B12AE">
        <w:rPr>
          <w:rFonts w:ascii="Times New Roman" w:hAnsi="Times New Roman"/>
          <w:b/>
          <w:bCs/>
          <w:sz w:val="20"/>
          <w:szCs w:val="20"/>
        </w:rPr>
        <w:t>Collateral Security:</w:t>
      </w:r>
    </w:p>
    <w:p w14:paraId="7EBFC2FF" w14:textId="77777777" w:rsidR="005B5953" w:rsidRPr="005B12AE" w:rsidRDefault="005B5953" w:rsidP="005B5953">
      <w:pPr>
        <w:spacing w:after="0"/>
        <w:ind w:left="180" w:hanging="180"/>
        <w:rPr>
          <w:rFonts w:ascii="Times New Roman" w:hAnsi="Times New Roman"/>
          <w:b/>
          <w:bCs/>
          <w:sz w:val="20"/>
          <w:szCs w:val="20"/>
        </w:rPr>
      </w:pPr>
      <w:r w:rsidRPr="005B12AE">
        <w:rPr>
          <w:rFonts w:ascii="Times New Roman" w:hAnsi="Times New Roman"/>
          <w:b/>
          <w:bCs/>
          <w:sz w:val="20"/>
          <w:szCs w:val="20"/>
        </w:rPr>
        <w:t>Equitable Mortgage over the following properties:</w:t>
      </w:r>
    </w:p>
    <w:p w14:paraId="1DA8A6CD" w14:textId="77777777" w:rsidR="005B5953" w:rsidRPr="005B12AE" w:rsidRDefault="005B5953">
      <w:pPr>
        <w:pStyle w:val="ListParagraph"/>
        <w:numPr>
          <w:ilvl w:val="1"/>
          <w:numId w:val="327"/>
        </w:numPr>
        <w:suppressAutoHyphens w:val="0"/>
        <w:autoSpaceDE/>
        <w:autoSpaceDN/>
        <w:adjustRightInd/>
        <w:spacing w:line="259" w:lineRule="auto"/>
        <w:ind w:left="360"/>
        <w:contextualSpacing/>
        <w:jc w:val="both"/>
        <w:textAlignment w:val="auto"/>
        <w:rPr>
          <w:sz w:val="20"/>
          <w:szCs w:val="20"/>
        </w:rPr>
      </w:pPr>
      <w:r w:rsidRPr="005B12AE">
        <w:rPr>
          <w:sz w:val="20"/>
          <w:szCs w:val="20"/>
        </w:rPr>
        <w:t>Land and building situated at RS No. 221 Paiki, Plot No. 6 and 7 Near lakhabaval Naghedi, Khambhaliya District Road, Jamnagar-361006 in the name of Madhuben R. Maheshwari</w:t>
      </w:r>
    </w:p>
    <w:p w14:paraId="6A13CB2E" w14:textId="77777777" w:rsidR="005B5953" w:rsidRPr="005B12AE" w:rsidRDefault="005B5953">
      <w:pPr>
        <w:pStyle w:val="ListParagraph"/>
        <w:numPr>
          <w:ilvl w:val="1"/>
          <w:numId w:val="327"/>
        </w:numPr>
        <w:suppressAutoHyphens w:val="0"/>
        <w:autoSpaceDE/>
        <w:autoSpaceDN/>
        <w:adjustRightInd/>
        <w:spacing w:line="259" w:lineRule="auto"/>
        <w:ind w:left="360"/>
        <w:contextualSpacing/>
        <w:jc w:val="both"/>
        <w:textAlignment w:val="auto"/>
        <w:rPr>
          <w:sz w:val="20"/>
          <w:szCs w:val="20"/>
        </w:rPr>
      </w:pPr>
      <w:r w:rsidRPr="005B12AE">
        <w:rPr>
          <w:sz w:val="20"/>
          <w:szCs w:val="20"/>
        </w:rPr>
        <w:t>Land and building situated at No. 221 Paiki, 231 and 234 Paiki, Plot No. 5/1, 5/2, 5/3 Near lakhabaval Naghedi, Khambhaliya District Road, Jamnagar-361005 in the name of Siyaram Recycling Industries Private Limited</w:t>
      </w:r>
    </w:p>
    <w:p w14:paraId="14669335" w14:textId="77777777" w:rsidR="005B5953" w:rsidRPr="005B12AE" w:rsidRDefault="005B5953">
      <w:pPr>
        <w:pStyle w:val="ListParagraph"/>
        <w:numPr>
          <w:ilvl w:val="1"/>
          <w:numId w:val="327"/>
        </w:numPr>
        <w:suppressAutoHyphens w:val="0"/>
        <w:autoSpaceDE/>
        <w:autoSpaceDN/>
        <w:adjustRightInd/>
        <w:spacing w:line="259" w:lineRule="auto"/>
        <w:ind w:left="360"/>
        <w:contextualSpacing/>
        <w:jc w:val="both"/>
        <w:textAlignment w:val="auto"/>
        <w:rPr>
          <w:sz w:val="20"/>
          <w:szCs w:val="20"/>
        </w:rPr>
      </w:pPr>
      <w:r w:rsidRPr="005B12AE">
        <w:rPr>
          <w:sz w:val="20"/>
          <w:szCs w:val="20"/>
        </w:rPr>
        <w:t>Land and building situated at RS No.4/1, bearing new city survery No. 6379 Near Bungalor Names Kanchan Palace Plot No. 8/1 and 8/2, Oswal Colony, Hijri Mistry Road, Jamnagar in the name of Madhuben R. Maheshwari</w:t>
      </w:r>
    </w:p>
    <w:p w14:paraId="3E2A1685" w14:textId="77777777" w:rsidR="005B5953" w:rsidRPr="005B12AE" w:rsidRDefault="005B5953">
      <w:pPr>
        <w:pStyle w:val="ListParagraph"/>
        <w:numPr>
          <w:ilvl w:val="1"/>
          <w:numId w:val="327"/>
        </w:numPr>
        <w:suppressAutoHyphens w:val="0"/>
        <w:autoSpaceDE/>
        <w:autoSpaceDN/>
        <w:adjustRightInd/>
        <w:spacing w:line="259" w:lineRule="auto"/>
        <w:ind w:left="360"/>
        <w:contextualSpacing/>
        <w:jc w:val="both"/>
        <w:textAlignment w:val="auto"/>
        <w:rPr>
          <w:sz w:val="20"/>
          <w:szCs w:val="20"/>
        </w:rPr>
      </w:pPr>
      <w:r w:rsidRPr="005B12AE">
        <w:rPr>
          <w:sz w:val="20"/>
          <w:szCs w:val="20"/>
        </w:rPr>
        <w:t>Industrial Plot No. 12 and 14 of Rs No. 221/Paiki, 231 and 234 of Village lakhabaval Jamnagar, Gujarat in the name of Ramgopal O. Maheshwari</w:t>
      </w:r>
    </w:p>
    <w:p w14:paraId="6FAEC3FB" w14:textId="77777777" w:rsidR="005B5953" w:rsidRPr="005B12AE" w:rsidRDefault="005B5953">
      <w:pPr>
        <w:pStyle w:val="ListParagraph"/>
        <w:numPr>
          <w:ilvl w:val="1"/>
          <w:numId w:val="327"/>
        </w:numPr>
        <w:suppressAutoHyphens w:val="0"/>
        <w:autoSpaceDE/>
        <w:autoSpaceDN/>
        <w:adjustRightInd/>
        <w:spacing w:line="259" w:lineRule="auto"/>
        <w:ind w:left="360"/>
        <w:contextualSpacing/>
        <w:jc w:val="both"/>
        <w:textAlignment w:val="auto"/>
        <w:rPr>
          <w:sz w:val="20"/>
          <w:szCs w:val="20"/>
        </w:rPr>
      </w:pPr>
      <w:r w:rsidRPr="005B12AE">
        <w:rPr>
          <w:sz w:val="20"/>
          <w:szCs w:val="20"/>
        </w:rPr>
        <w:t>Industrial Plot No. 10 of Rs No. 221/Paiki, 231 and 234 of Village lakhabaval Jamnagar, Gujarat in the name of Madhuben R. Maheshwari</w:t>
      </w:r>
    </w:p>
    <w:p w14:paraId="1EA161F5" w14:textId="77777777" w:rsidR="005B5953" w:rsidRPr="005B12AE" w:rsidRDefault="005B5953">
      <w:pPr>
        <w:pStyle w:val="ListParagraph"/>
        <w:numPr>
          <w:ilvl w:val="1"/>
          <w:numId w:val="327"/>
        </w:numPr>
        <w:suppressAutoHyphens w:val="0"/>
        <w:autoSpaceDE/>
        <w:autoSpaceDN/>
        <w:adjustRightInd/>
        <w:spacing w:line="259" w:lineRule="auto"/>
        <w:ind w:left="360"/>
        <w:contextualSpacing/>
        <w:jc w:val="both"/>
        <w:textAlignment w:val="auto"/>
        <w:rPr>
          <w:sz w:val="20"/>
          <w:szCs w:val="20"/>
        </w:rPr>
      </w:pPr>
      <w:r w:rsidRPr="005B12AE">
        <w:rPr>
          <w:sz w:val="20"/>
          <w:szCs w:val="20"/>
        </w:rPr>
        <w:t>Personal Guarantee of Bhavesh Ramgopal Maheshwari, Ramgopal O. Maheshwari, Madhuben R. Maheshwari, Dwarkadhish Venture Private Limited (formerly known as Siyaram Metals Private Limited)</w:t>
      </w:r>
    </w:p>
    <w:p w14:paraId="3037AB87" w14:textId="77777777" w:rsidR="005B5953" w:rsidRPr="005B12AE" w:rsidRDefault="005B5953" w:rsidP="005B5953">
      <w:pPr>
        <w:spacing w:after="0"/>
        <w:jc w:val="both"/>
        <w:rPr>
          <w:rFonts w:ascii="Times New Roman" w:hAnsi="Times New Roman"/>
          <w:sz w:val="20"/>
          <w:szCs w:val="20"/>
        </w:rPr>
      </w:pPr>
    </w:p>
    <w:p w14:paraId="62BC245F" w14:textId="77777777" w:rsidR="005B5953" w:rsidRPr="005B12AE" w:rsidRDefault="005B5953" w:rsidP="005B5953">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NOTE B(B) STATEMENT OF TERMS &amp; CONDITIONS OF UNSECURED LOANS</w:t>
      </w:r>
    </w:p>
    <w:p w14:paraId="66CC318B" w14:textId="77777777" w:rsidR="005B5953" w:rsidRPr="005B12AE" w:rsidRDefault="005B5953" w:rsidP="005B5953">
      <w:pPr>
        <w:spacing w:after="0" w:line="240" w:lineRule="auto"/>
        <w:jc w:val="center"/>
        <w:rPr>
          <w:rFonts w:ascii="Times New Roman" w:hAnsi="Times New Roman"/>
          <w:b/>
          <w:bCs/>
          <w:color w:val="000000"/>
          <w:sz w:val="20"/>
          <w:szCs w:val="20"/>
        </w:rPr>
      </w:pPr>
    </w:p>
    <w:p w14:paraId="429583F4" w14:textId="77777777" w:rsidR="005B5953" w:rsidRPr="005B12AE" w:rsidRDefault="005B5953" w:rsidP="005B5953">
      <w:pPr>
        <w:spacing w:after="0"/>
        <w:jc w:val="right"/>
        <w:rPr>
          <w:rFonts w:ascii="Times New Roman" w:hAnsi="Times New Roman"/>
          <w:b/>
          <w:bCs/>
          <w:sz w:val="20"/>
          <w:szCs w:val="20"/>
        </w:rPr>
      </w:pPr>
      <w:r w:rsidRPr="005B12AE">
        <w:rPr>
          <w:rFonts w:ascii="Times New Roman" w:hAnsi="Times New Roman"/>
          <w:b/>
          <w:bCs/>
          <w:sz w:val="20"/>
          <w:szCs w:val="20"/>
        </w:rPr>
        <w:t>(₹ in Lakhs)</w:t>
      </w:r>
    </w:p>
    <w:tbl>
      <w:tblPr>
        <w:tblW w:w="5000" w:type="pct"/>
        <w:tblLayout w:type="fixed"/>
        <w:tblLook w:val="04A0" w:firstRow="1" w:lastRow="0" w:firstColumn="1" w:lastColumn="0" w:noHBand="0" w:noVBand="1"/>
      </w:tblPr>
      <w:tblGrid>
        <w:gridCol w:w="4135"/>
        <w:gridCol w:w="1170"/>
        <w:gridCol w:w="1621"/>
        <w:gridCol w:w="2340"/>
        <w:gridCol w:w="1190"/>
      </w:tblGrid>
      <w:tr w:rsidR="005B5953" w:rsidRPr="005B12AE" w14:paraId="06A24569" w14:textId="77777777" w:rsidTr="00250DAC">
        <w:trPr>
          <w:trHeight w:val="20"/>
        </w:trPr>
        <w:tc>
          <w:tcPr>
            <w:tcW w:w="1977"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F3F50A"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Name of Lender</w:t>
            </w:r>
          </w:p>
        </w:tc>
        <w:tc>
          <w:tcPr>
            <w:tcW w:w="559" w:type="pct"/>
            <w:tcBorders>
              <w:top w:val="single" w:sz="4" w:space="0" w:color="auto"/>
              <w:left w:val="nil"/>
              <w:bottom w:val="single" w:sz="4" w:space="0" w:color="auto"/>
              <w:right w:val="single" w:sz="4" w:space="0" w:color="auto"/>
            </w:tcBorders>
            <w:shd w:val="clear" w:color="auto" w:fill="D0CECE" w:themeFill="background2" w:themeFillShade="E6"/>
            <w:hideMark/>
          </w:tcPr>
          <w:p w14:paraId="360C72D3"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Purpose</w:t>
            </w:r>
          </w:p>
        </w:tc>
        <w:tc>
          <w:tcPr>
            <w:tcW w:w="775" w:type="pct"/>
            <w:tcBorders>
              <w:top w:val="single" w:sz="4" w:space="0" w:color="auto"/>
              <w:left w:val="nil"/>
              <w:bottom w:val="single" w:sz="4" w:space="0" w:color="auto"/>
              <w:right w:val="single" w:sz="4" w:space="0" w:color="auto"/>
            </w:tcBorders>
            <w:shd w:val="clear" w:color="auto" w:fill="D0CECE" w:themeFill="background2" w:themeFillShade="E6"/>
            <w:hideMark/>
          </w:tcPr>
          <w:p w14:paraId="169DDB9A" w14:textId="77777777" w:rsidR="005B5953" w:rsidRPr="005B12AE" w:rsidRDefault="005B5953" w:rsidP="00250DAC">
            <w:pPr>
              <w:spacing w:after="0" w:line="240" w:lineRule="auto"/>
              <w:rPr>
                <w:rFonts w:ascii="Times New Roman" w:hAnsi="Times New Roman"/>
                <w:b/>
                <w:bCs/>
                <w:color w:val="000000"/>
                <w:sz w:val="20"/>
                <w:szCs w:val="20"/>
              </w:rPr>
            </w:pPr>
            <w:r w:rsidRPr="005B12AE">
              <w:rPr>
                <w:rFonts w:ascii="Times New Roman" w:hAnsi="Times New Roman"/>
                <w:b/>
                <w:bCs/>
                <w:color w:val="000000"/>
                <w:sz w:val="20"/>
                <w:szCs w:val="20"/>
              </w:rPr>
              <w:t xml:space="preserve">Rate of Interest </w:t>
            </w:r>
          </w:p>
        </w:tc>
        <w:tc>
          <w:tcPr>
            <w:tcW w:w="1119" w:type="pct"/>
            <w:tcBorders>
              <w:top w:val="single" w:sz="4" w:space="0" w:color="auto"/>
              <w:left w:val="nil"/>
              <w:bottom w:val="single" w:sz="4" w:space="0" w:color="auto"/>
              <w:right w:val="single" w:sz="4" w:space="0" w:color="auto"/>
            </w:tcBorders>
            <w:shd w:val="clear" w:color="auto" w:fill="D0CECE" w:themeFill="background2" w:themeFillShade="E6"/>
            <w:hideMark/>
          </w:tcPr>
          <w:p w14:paraId="40FE5958" w14:textId="77777777" w:rsidR="005B5953" w:rsidRPr="005B12AE" w:rsidRDefault="005B5953" w:rsidP="00250DAC">
            <w:pPr>
              <w:spacing w:after="0" w:line="240" w:lineRule="auto"/>
              <w:rPr>
                <w:rFonts w:ascii="Times New Roman" w:hAnsi="Times New Roman"/>
                <w:b/>
                <w:bCs/>
                <w:color w:val="000000"/>
                <w:sz w:val="20"/>
                <w:szCs w:val="20"/>
              </w:rPr>
            </w:pPr>
            <w:r w:rsidRPr="005B12AE">
              <w:rPr>
                <w:rFonts w:ascii="Times New Roman" w:hAnsi="Times New Roman"/>
                <w:b/>
                <w:bCs/>
                <w:color w:val="000000"/>
                <w:sz w:val="20"/>
                <w:szCs w:val="20"/>
              </w:rPr>
              <w:t xml:space="preserve">Re-Payment Schedule </w:t>
            </w:r>
          </w:p>
        </w:tc>
        <w:tc>
          <w:tcPr>
            <w:tcW w:w="569" w:type="pct"/>
            <w:tcBorders>
              <w:top w:val="single" w:sz="4" w:space="0" w:color="auto"/>
              <w:left w:val="nil"/>
              <w:bottom w:val="single" w:sz="4" w:space="0" w:color="auto"/>
              <w:right w:val="single" w:sz="4" w:space="0" w:color="auto"/>
            </w:tcBorders>
            <w:shd w:val="clear" w:color="auto" w:fill="D0CECE" w:themeFill="background2" w:themeFillShade="E6"/>
            <w:hideMark/>
          </w:tcPr>
          <w:p w14:paraId="78B659DC"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31/03/2023</w:t>
            </w:r>
          </w:p>
        </w:tc>
      </w:tr>
      <w:tr w:rsidR="005B5953" w:rsidRPr="005B12AE" w14:paraId="3C9D4BED" w14:textId="77777777" w:rsidTr="00250DAC">
        <w:trPr>
          <w:trHeight w:val="20"/>
        </w:trPr>
        <w:tc>
          <w:tcPr>
            <w:tcW w:w="1977" w:type="pct"/>
            <w:tcBorders>
              <w:top w:val="nil"/>
              <w:left w:val="single" w:sz="4" w:space="0" w:color="auto"/>
              <w:bottom w:val="single" w:sz="4" w:space="0" w:color="auto"/>
              <w:right w:val="single" w:sz="4" w:space="0" w:color="auto"/>
            </w:tcBorders>
            <w:shd w:val="clear" w:color="auto" w:fill="auto"/>
            <w:hideMark/>
          </w:tcPr>
          <w:p w14:paraId="1A4D839F"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OXYZO Financial Services Pvt. Ltd.</w:t>
            </w:r>
          </w:p>
        </w:tc>
        <w:tc>
          <w:tcPr>
            <w:tcW w:w="559" w:type="pct"/>
            <w:tcBorders>
              <w:top w:val="nil"/>
              <w:left w:val="nil"/>
              <w:bottom w:val="single" w:sz="4" w:space="0" w:color="auto"/>
              <w:right w:val="single" w:sz="4" w:space="0" w:color="auto"/>
            </w:tcBorders>
            <w:shd w:val="clear" w:color="auto" w:fill="auto"/>
            <w:vAlign w:val="center"/>
            <w:hideMark/>
          </w:tcPr>
          <w:p w14:paraId="2ABF2043"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Business Loan</w:t>
            </w:r>
          </w:p>
        </w:tc>
        <w:tc>
          <w:tcPr>
            <w:tcW w:w="775" w:type="pct"/>
            <w:tcBorders>
              <w:top w:val="nil"/>
              <w:left w:val="nil"/>
              <w:bottom w:val="single" w:sz="4" w:space="0" w:color="auto"/>
              <w:right w:val="single" w:sz="4" w:space="0" w:color="auto"/>
            </w:tcBorders>
            <w:shd w:val="clear" w:color="000000" w:fill="FFFFFF"/>
            <w:noWrap/>
            <w:vAlign w:val="center"/>
            <w:hideMark/>
          </w:tcPr>
          <w:p w14:paraId="0145785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15.50%</w:t>
            </w:r>
          </w:p>
        </w:tc>
        <w:tc>
          <w:tcPr>
            <w:tcW w:w="1119" w:type="pct"/>
            <w:tcBorders>
              <w:top w:val="nil"/>
              <w:left w:val="nil"/>
              <w:bottom w:val="single" w:sz="4" w:space="0" w:color="auto"/>
              <w:right w:val="single" w:sz="4" w:space="0" w:color="auto"/>
            </w:tcBorders>
            <w:shd w:val="clear" w:color="auto" w:fill="auto"/>
            <w:vAlign w:val="bottom"/>
            <w:hideMark/>
          </w:tcPr>
          <w:p w14:paraId="61267ED1"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 xml:space="preserve">24 Monthly EMI of </w:t>
            </w:r>
            <w:r w:rsidRPr="005B12AE">
              <w:rPr>
                <w:rFonts w:ascii="Times New Roman" w:hAnsi="Times New Roman"/>
                <w:color w:val="000000"/>
                <w:sz w:val="20"/>
                <w:szCs w:val="20"/>
              </w:rPr>
              <w:t xml:space="preserve">₹ </w:t>
            </w:r>
            <w:r w:rsidRPr="005B12AE">
              <w:rPr>
                <w:rFonts w:ascii="Times New Roman" w:hAnsi="Times New Roman"/>
                <w:sz w:val="20"/>
                <w:szCs w:val="20"/>
              </w:rPr>
              <w:t>2436288 Beginning From 05-05-2023</w:t>
            </w:r>
          </w:p>
        </w:tc>
        <w:tc>
          <w:tcPr>
            <w:tcW w:w="569" w:type="pct"/>
            <w:tcBorders>
              <w:top w:val="nil"/>
              <w:left w:val="single" w:sz="8" w:space="0" w:color="auto"/>
              <w:bottom w:val="nil"/>
              <w:right w:val="single" w:sz="8" w:space="0" w:color="auto"/>
            </w:tcBorders>
            <w:shd w:val="clear" w:color="auto" w:fill="auto"/>
            <w:noWrap/>
            <w:vAlign w:val="center"/>
            <w:hideMark/>
          </w:tcPr>
          <w:p w14:paraId="1CDBF04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498.31</w:t>
            </w:r>
          </w:p>
        </w:tc>
      </w:tr>
      <w:tr w:rsidR="005B5953" w:rsidRPr="005B12AE" w14:paraId="131023EF" w14:textId="77777777" w:rsidTr="00250DAC">
        <w:trPr>
          <w:trHeight w:val="20"/>
        </w:trPr>
        <w:tc>
          <w:tcPr>
            <w:tcW w:w="1977" w:type="pct"/>
            <w:tcBorders>
              <w:top w:val="single" w:sz="4" w:space="0" w:color="auto"/>
              <w:left w:val="single" w:sz="4" w:space="0" w:color="auto"/>
              <w:bottom w:val="single" w:sz="4" w:space="0" w:color="auto"/>
              <w:right w:val="single" w:sz="4" w:space="0" w:color="auto"/>
            </w:tcBorders>
            <w:shd w:val="clear" w:color="auto" w:fill="auto"/>
            <w:hideMark/>
          </w:tcPr>
          <w:p w14:paraId="79769A29"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Dwarkadhish Venture Private Limited (formerly known as Siyaram Metals Private Limited)</w:t>
            </w:r>
          </w:p>
        </w:tc>
        <w:tc>
          <w:tcPr>
            <w:tcW w:w="559" w:type="pct"/>
            <w:tcBorders>
              <w:top w:val="nil"/>
              <w:left w:val="nil"/>
              <w:bottom w:val="single" w:sz="4" w:space="0" w:color="auto"/>
              <w:right w:val="single" w:sz="4" w:space="0" w:color="auto"/>
            </w:tcBorders>
            <w:shd w:val="clear" w:color="auto" w:fill="auto"/>
            <w:vAlign w:val="center"/>
            <w:hideMark/>
          </w:tcPr>
          <w:p w14:paraId="560519A5"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Business Loan</w:t>
            </w:r>
          </w:p>
        </w:tc>
        <w:tc>
          <w:tcPr>
            <w:tcW w:w="775" w:type="pct"/>
            <w:tcBorders>
              <w:top w:val="nil"/>
              <w:left w:val="nil"/>
              <w:bottom w:val="single" w:sz="4" w:space="0" w:color="auto"/>
              <w:right w:val="single" w:sz="4" w:space="0" w:color="auto"/>
            </w:tcBorders>
            <w:shd w:val="clear" w:color="auto" w:fill="auto"/>
            <w:noWrap/>
            <w:vAlign w:val="center"/>
            <w:hideMark/>
          </w:tcPr>
          <w:p w14:paraId="1CB5A76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12.00%</w:t>
            </w:r>
          </w:p>
        </w:tc>
        <w:tc>
          <w:tcPr>
            <w:tcW w:w="1119" w:type="pct"/>
            <w:tcBorders>
              <w:top w:val="nil"/>
              <w:left w:val="nil"/>
              <w:bottom w:val="single" w:sz="4" w:space="0" w:color="auto"/>
              <w:right w:val="single" w:sz="4" w:space="0" w:color="auto"/>
            </w:tcBorders>
            <w:shd w:val="clear" w:color="auto" w:fill="auto"/>
            <w:vAlign w:val="bottom"/>
            <w:hideMark/>
          </w:tcPr>
          <w:p w14:paraId="7FE514A7"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569" w:type="pct"/>
            <w:tcBorders>
              <w:top w:val="single" w:sz="4" w:space="0" w:color="auto"/>
              <w:left w:val="nil"/>
              <w:bottom w:val="single" w:sz="4" w:space="0" w:color="auto"/>
              <w:right w:val="single" w:sz="4" w:space="0" w:color="auto"/>
            </w:tcBorders>
            <w:shd w:val="clear" w:color="auto" w:fill="auto"/>
            <w:vAlign w:val="center"/>
            <w:hideMark/>
          </w:tcPr>
          <w:p w14:paraId="125647E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1,209.03</w:t>
            </w:r>
          </w:p>
        </w:tc>
      </w:tr>
      <w:tr w:rsidR="005B5953" w:rsidRPr="005B12AE" w14:paraId="668D2E34" w14:textId="77777777" w:rsidTr="00250DAC">
        <w:trPr>
          <w:trHeight w:val="20"/>
        </w:trPr>
        <w:tc>
          <w:tcPr>
            <w:tcW w:w="1977" w:type="pct"/>
            <w:tcBorders>
              <w:top w:val="single" w:sz="4" w:space="0" w:color="auto"/>
              <w:left w:val="single" w:sz="4" w:space="0" w:color="auto"/>
              <w:bottom w:val="single" w:sz="4" w:space="0" w:color="auto"/>
              <w:right w:val="single" w:sz="4" w:space="0" w:color="auto"/>
            </w:tcBorders>
            <w:shd w:val="clear" w:color="auto" w:fill="auto"/>
            <w:hideMark/>
          </w:tcPr>
          <w:p w14:paraId="6D3F4D35"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TOTAL</w:t>
            </w:r>
          </w:p>
        </w:tc>
        <w:tc>
          <w:tcPr>
            <w:tcW w:w="559" w:type="pct"/>
            <w:tcBorders>
              <w:top w:val="nil"/>
              <w:left w:val="nil"/>
              <w:bottom w:val="single" w:sz="4" w:space="0" w:color="auto"/>
              <w:right w:val="single" w:sz="4" w:space="0" w:color="auto"/>
            </w:tcBorders>
            <w:shd w:val="clear" w:color="auto" w:fill="auto"/>
            <w:hideMark/>
          </w:tcPr>
          <w:p w14:paraId="3081CBBD"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 </w:t>
            </w:r>
          </w:p>
        </w:tc>
        <w:tc>
          <w:tcPr>
            <w:tcW w:w="775" w:type="pct"/>
            <w:tcBorders>
              <w:top w:val="nil"/>
              <w:left w:val="nil"/>
              <w:bottom w:val="single" w:sz="4" w:space="0" w:color="auto"/>
              <w:right w:val="single" w:sz="4" w:space="0" w:color="auto"/>
            </w:tcBorders>
            <w:shd w:val="clear" w:color="auto" w:fill="auto"/>
            <w:noWrap/>
            <w:vAlign w:val="bottom"/>
            <w:hideMark/>
          </w:tcPr>
          <w:p w14:paraId="7E71D145"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1119" w:type="pct"/>
            <w:tcBorders>
              <w:top w:val="nil"/>
              <w:left w:val="nil"/>
              <w:bottom w:val="single" w:sz="4" w:space="0" w:color="auto"/>
              <w:right w:val="single" w:sz="4" w:space="0" w:color="auto"/>
            </w:tcBorders>
            <w:shd w:val="clear" w:color="auto" w:fill="auto"/>
            <w:noWrap/>
            <w:vAlign w:val="bottom"/>
            <w:hideMark/>
          </w:tcPr>
          <w:p w14:paraId="6F764C6F"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569" w:type="pct"/>
            <w:tcBorders>
              <w:top w:val="nil"/>
              <w:left w:val="nil"/>
              <w:bottom w:val="single" w:sz="4" w:space="0" w:color="auto"/>
              <w:right w:val="single" w:sz="4" w:space="0" w:color="auto"/>
            </w:tcBorders>
            <w:shd w:val="clear" w:color="auto" w:fill="auto"/>
            <w:noWrap/>
            <w:vAlign w:val="center"/>
            <w:hideMark/>
          </w:tcPr>
          <w:p w14:paraId="285F2EA5"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1,707.34</w:t>
            </w:r>
          </w:p>
        </w:tc>
      </w:tr>
      <w:tr w:rsidR="005B5953" w:rsidRPr="005B12AE" w14:paraId="42A583F0" w14:textId="77777777" w:rsidTr="00250DAC">
        <w:trPr>
          <w:trHeight w:val="20"/>
        </w:trPr>
        <w:tc>
          <w:tcPr>
            <w:tcW w:w="1977" w:type="pct"/>
            <w:tcBorders>
              <w:top w:val="nil"/>
              <w:left w:val="single" w:sz="4" w:space="0" w:color="auto"/>
              <w:bottom w:val="single" w:sz="4" w:space="0" w:color="auto"/>
              <w:right w:val="single" w:sz="4" w:space="0" w:color="auto"/>
            </w:tcBorders>
            <w:shd w:val="clear" w:color="auto" w:fill="auto"/>
            <w:noWrap/>
            <w:vAlign w:val="bottom"/>
            <w:hideMark/>
          </w:tcPr>
          <w:p w14:paraId="51327EEB"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From Directors:</w:t>
            </w:r>
          </w:p>
        </w:tc>
        <w:tc>
          <w:tcPr>
            <w:tcW w:w="559" w:type="pct"/>
            <w:tcBorders>
              <w:top w:val="nil"/>
              <w:left w:val="nil"/>
              <w:bottom w:val="single" w:sz="4" w:space="0" w:color="auto"/>
              <w:right w:val="single" w:sz="4" w:space="0" w:color="auto"/>
            </w:tcBorders>
            <w:shd w:val="clear" w:color="auto" w:fill="auto"/>
            <w:noWrap/>
            <w:vAlign w:val="bottom"/>
            <w:hideMark/>
          </w:tcPr>
          <w:p w14:paraId="193BEB25"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775" w:type="pct"/>
            <w:tcBorders>
              <w:top w:val="nil"/>
              <w:left w:val="nil"/>
              <w:bottom w:val="single" w:sz="4" w:space="0" w:color="auto"/>
              <w:right w:val="single" w:sz="4" w:space="0" w:color="auto"/>
            </w:tcBorders>
            <w:shd w:val="clear" w:color="auto" w:fill="auto"/>
            <w:noWrap/>
            <w:vAlign w:val="bottom"/>
            <w:hideMark/>
          </w:tcPr>
          <w:p w14:paraId="2AB8A1E4"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1119" w:type="pct"/>
            <w:tcBorders>
              <w:top w:val="nil"/>
              <w:left w:val="nil"/>
              <w:bottom w:val="single" w:sz="4" w:space="0" w:color="auto"/>
              <w:right w:val="single" w:sz="4" w:space="0" w:color="auto"/>
            </w:tcBorders>
            <w:shd w:val="clear" w:color="auto" w:fill="auto"/>
            <w:noWrap/>
            <w:vAlign w:val="bottom"/>
            <w:hideMark/>
          </w:tcPr>
          <w:p w14:paraId="08276B31"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569" w:type="pct"/>
            <w:tcBorders>
              <w:top w:val="nil"/>
              <w:left w:val="nil"/>
              <w:bottom w:val="single" w:sz="4" w:space="0" w:color="auto"/>
              <w:right w:val="single" w:sz="4" w:space="0" w:color="auto"/>
            </w:tcBorders>
            <w:shd w:val="clear" w:color="auto" w:fill="auto"/>
            <w:noWrap/>
            <w:vAlign w:val="center"/>
            <w:hideMark/>
          </w:tcPr>
          <w:p w14:paraId="6B47F59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578DFA91" w14:textId="77777777" w:rsidTr="00250DAC">
        <w:trPr>
          <w:trHeight w:val="20"/>
        </w:trPr>
        <w:tc>
          <w:tcPr>
            <w:tcW w:w="1977" w:type="pct"/>
            <w:tcBorders>
              <w:top w:val="nil"/>
              <w:left w:val="single" w:sz="4" w:space="0" w:color="auto"/>
              <w:bottom w:val="single" w:sz="4" w:space="0" w:color="auto"/>
              <w:right w:val="single" w:sz="4" w:space="0" w:color="auto"/>
            </w:tcBorders>
            <w:shd w:val="clear" w:color="auto" w:fill="auto"/>
            <w:noWrap/>
            <w:vAlign w:val="bottom"/>
            <w:hideMark/>
          </w:tcPr>
          <w:p w14:paraId="62C35F2F"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GRAND TOTAL</w:t>
            </w:r>
          </w:p>
        </w:tc>
        <w:tc>
          <w:tcPr>
            <w:tcW w:w="559" w:type="pct"/>
            <w:tcBorders>
              <w:top w:val="nil"/>
              <w:left w:val="nil"/>
              <w:bottom w:val="single" w:sz="4" w:space="0" w:color="auto"/>
              <w:right w:val="single" w:sz="4" w:space="0" w:color="auto"/>
            </w:tcBorders>
            <w:shd w:val="clear" w:color="auto" w:fill="auto"/>
            <w:noWrap/>
            <w:vAlign w:val="bottom"/>
            <w:hideMark/>
          </w:tcPr>
          <w:p w14:paraId="7C277579"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775" w:type="pct"/>
            <w:tcBorders>
              <w:top w:val="nil"/>
              <w:left w:val="nil"/>
              <w:bottom w:val="single" w:sz="4" w:space="0" w:color="auto"/>
              <w:right w:val="single" w:sz="4" w:space="0" w:color="auto"/>
            </w:tcBorders>
            <w:shd w:val="clear" w:color="auto" w:fill="auto"/>
            <w:noWrap/>
            <w:vAlign w:val="bottom"/>
            <w:hideMark/>
          </w:tcPr>
          <w:p w14:paraId="10D29646"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1119" w:type="pct"/>
            <w:tcBorders>
              <w:top w:val="nil"/>
              <w:left w:val="nil"/>
              <w:bottom w:val="single" w:sz="4" w:space="0" w:color="auto"/>
              <w:right w:val="single" w:sz="4" w:space="0" w:color="auto"/>
            </w:tcBorders>
            <w:shd w:val="clear" w:color="auto" w:fill="auto"/>
            <w:noWrap/>
            <w:vAlign w:val="bottom"/>
            <w:hideMark/>
          </w:tcPr>
          <w:p w14:paraId="79DBC3E2"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569" w:type="pct"/>
            <w:tcBorders>
              <w:top w:val="nil"/>
              <w:left w:val="nil"/>
              <w:bottom w:val="single" w:sz="4" w:space="0" w:color="auto"/>
              <w:right w:val="single" w:sz="4" w:space="0" w:color="auto"/>
            </w:tcBorders>
            <w:shd w:val="clear" w:color="auto" w:fill="auto"/>
            <w:noWrap/>
            <w:vAlign w:val="center"/>
            <w:hideMark/>
          </w:tcPr>
          <w:p w14:paraId="7EF6A7BD"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1,707.34</w:t>
            </w:r>
          </w:p>
        </w:tc>
      </w:tr>
    </w:tbl>
    <w:p w14:paraId="7CD25EB8" w14:textId="77777777" w:rsidR="005B5953" w:rsidRPr="005B12AE" w:rsidRDefault="005B5953" w:rsidP="005B5953">
      <w:pPr>
        <w:spacing w:after="0" w:line="240" w:lineRule="auto"/>
        <w:jc w:val="center"/>
        <w:rPr>
          <w:rFonts w:ascii="Times New Roman" w:hAnsi="Times New Roman"/>
          <w:b/>
          <w:bCs/>
          <w:color w:val="000000"/>
          <w:sz w:val="20"/>
          <w:szCs w:val="20"/>
        </w:rPr>
      </w:pPr>
    </w:p>
    <w:p w14:paraId="2D88B514" w14:textId="77777777" w:rsidR="005B5953" w:rsidRPr="005B12AE" w:rsidRDefault="005B5953" w:rsidP="005B5953">
      <w:pPr>
        <w:spacing w:after="0"/>
        <w:jc w:val="center"/>
        <w:rPr>
          <w:rFonts w:ascii="Times New Roman" w:hAnsi="Times New Roman"/>
          <w:b/>
          <w:bCs/>
          <w:sz w:val="20"/>
          <w:szCs w:val="20"/>
        </w:rPr>
      </w:pPr>
      <w:r w:rsidRPr="005B12AE">
        <w:rPr>
          <w:rFonts w:ascii="Times New Roman" w:hAnsi="Times New Roman"/>
          <w:b/>
          <w:bCs/>
          <w:sz w:val="20"/>
          <w:szCs w:val="20"/>
        </w:rPr>
        <w:t>NOTE- C</w:t>
      </w:r>
    </w:p>
    <w:p w14:paraId="70977A08" w14:textId="77777777" w:rsidR="005B5953" w:rsidRPr="005B12AE" w:rsidRDefault="005B5953" w:rsidP="005B5953">
      <w:pPr>
        <w:spacing w:after="0"/>
        <w:jc w:val="center"/>
        <w:rPr>
          <w:rFonts w:ascii="Times New Roman" w:hAnsi="Times New Roman"/>
          <w:b/>
          <w:bCs/>
          <w:sz w:val="20"/>
          <w:szCs w:val="20"/>
        </w:rPr>
      </w:pPr>
    </w:p>
    <w:p w14:paraId="7E3186D4" w14:textId="77777777" w:rsidR="005B5953" w:rsidRPr="005B12AE" w:rsidRDefault="005B5953" w:rsidP="005B5953">
      <w:pPr>
        <w:spacing w:after="0"/>
        <w:jc w:val="center"/>
        <w:rPr>
          <w:rFonts w:ascii="Times New Roman" w:hAnsi="Times New Roman"/>
          <w:b/>
          <w:bCs/>
          <w:sz w:val="20"/>
          <w:szCs w:val="20"/>
        </w:rPr>
      </w:pPr>
      <w:r w:rsidRPr="005B12AE">
        <w:rPr>
          <w:rFonts w:ascii="Times New Roman" w:hAnsi="Times New Roman"/>
          <w:b/>
          <w:bCs/>
          <w:sz w:val="20"/>
          <w:szCs w:val="20"/>
        </w:rPr>
        <w:t>RESTATED STATEMENT OF DEFERRED TAX (ASSETS)/ LIABILITIES</w:t>
      </w:r>
    </w:p>
    <w:p w14:paraId="4D0E7205" w14:textId="77777777" w:rsidR="005B5953" w:rsidRPr="005B12AE" w:rsidRDefault="005B5953" w:rsidP="005B5953">
      <w:pPr>
        <w:spacing w:after="0"/>
        <w:jc w:val="right"/>
        <w:rPr>
          <w:rFonts w:ascii="Times New Roman" w:hAnsi="Times New Roman"/>
          <w:b/>
          <w:bCs/>
          <w:sz w:val="20"/>
          <w:szCs w:val="20"/>
        </w:rPr>
      </w:pPr>
      <w:r w:rsidRPr="005B12AE">
        <w:rPr>
          <w:rFonts w:ascii="Times New Roman" w:hAnsi="Times New Roman"/>
          <w:b/>
          <w:bCs/>
          <w:sz w:val="20"/>
          <w:szCs w:val="20"/>
        </w:rPr>
        <w:t>(₹ in Lakhs)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0"/>
        <w:gridCol w:w="1709"/>
        <w:gridCol w:w="1619"/>
        <w:gridCol w:w="1558"/>
      </w:tblGrid>
      <w:tr w:rsidR="005B5953" w:rsidRPr="005B12AE" w14:paraId="7222A256" w14:textId="77777777" w:rsidTr="003B4BCE">
        <w:trPr>
          <w:trHeight w:val="20"/>
          <w:tblHeader/>
        </w:trPr>
        <w:tc>
          <w:tcPr>
            <w:tcW w:w="2664" w:type="pct"/>
            <w:vMerge w:val="restart"/>
            <w:shd w:val="clear" w:color="auto" w:fill="D0CECE" w:themeFill="background2" w:themeFillShade="E6"/>
            <w:vAlign w:val="center"/>
            <w:hideMark/>
          </w:tcPr>
          <w:p w14:paraId="3E38FF29"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Particulars</w:t>
            </w:r>
          </w:p>
        </w:tc>
        <w:tc>
          <w:tcPr>
            <w:tcW w:w="2336" w:type="pct"/>
            <w:gridSpan w:val="3"/>
            <w:shd w:val="clear" w:color="auto" w:fill="D0CECE" w:themeFill="background2" w:themeFillShade="E6"/>
            <w:vAlign w:val="center"/>
            <w:hideMark/>
          </w:tcPr>
          <w:p w14:paraId="2BA19D77"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As At</w:t>
            </w:r>
          </w:p>
        </w:tc>
      </w:tr>
      <w:tr w:rsidR="005B5953" w:rsidRPr="005B12AE" w14:paraId="3111CACE" w14:textId="77777777" w:rsidTr="003B4BCE">
        <w:trPr>
          <w:trHeight w:val="20"/>
          <w:tblHeader/>
        </w:trPr>
        <w:tc>
          <w:tcPr>
            <w:tcW w:w="2664" w:type="pct"/>
            <w:vMerge/>
            <w:shd w:val="clear" w:color="auto" w:fill="D0CECE" w:themeFill="background2" w:themeFillShade="E6"/>
            <w:vAlign w:val="center"/>
            <w:hideMark/>
          </w:tcPr>
          <w:p w14:paraId="35BAC1B7" w14:textId="77777777" w:rsidR="005B5953" w:rsidRPr="005B12AE" w:rsidRDefault="005B5953" w:rsidP="00250DAC">
            <w:pPr>
              <w:spacing w:after="0" w:line="240" w:lineRule="auto"/>
              <w:jc w:val="center"/>
              <w:rPr>
                <w:rFonts w:ascii="Times New Roman" w:hAnsi="Times New Roman"/>
                <w:b/>
                <w:bCs/>
                <w:color w:val="000000"/>
                <w:sz w:val="20"/>
                <w:szCs w:val="20"/>
              </w:rPr>
            </w:pPr>
          </w:p>
        </w:tc>
        <w:tc>
          <w:tcPr>
            <w:tcW w:w="817" w:type="pct"/>
            <w:shd w:val="clear" w:color="auto" w:fill="D0CECE" w:themeFill="background2" w:themeFillShade="E6"/>
            <w:vAlign w:val="bottom"/>
            <w:hideMark/>
          </w:tcPr>
          <w:p w14:paraId="58A668B7"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sz w:val="20"/>
                <w:szCs w:val="20"/>
              </w:rPr>
              <w:t>31/03/2023</w:t>
            </w:r>
          </w:p>
        </w:tc>
        <w:tc>
          <w:tcPr>
            <w:tcW w:w="774" w:type="pct"/>
            <w:shd w:val="clear" w:color="auto" w:fill="D0CECE" w:themeFill="background2" w:themeFillShade="E6"/>
            <w:vAlign w:val="bottom"/>
            <w:hideMark/>
          </w:tcPr>
          <w:p w14:paraId="030C0927"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sz w:val="20"/>
                <w:szCs w:val="20"/>
              </w:rPr>
              <w:t>31/03/2022</w:t>
            </w:r>
          </w:p>
        </w:tc>
        <w:tc>
          <w:tcPr>
            <w:tcW w:w="745" w:type="pct"/>
            <w:shd w:val="clear" w:color="auto" w:fill="D0CECE" w:themeFill="background2" w:themeFillShade="E6"/>
            <w:vAlign w:val="bottom"/>
            <w:hideMark/>
          </w:tcPr>
          <w:p w14:paraId="7FC7DA61"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sz w:val="20"/>
                <w:szCs w:val="20"/>
              </w:rPr>
              <w:t>31/03/2021</w:t>
            </w:r>
          </w:p>
        </w:tc>
      </w:tr>
      <w:tr w:rsidR="005B5953" w:rsidRPr="005B12AE" w14:paraId="5BA22A16" w14:textId="77777777" w:rsidTr="00250DAC">
        <w:trPr>
          <w:trHeight w:val="20"/>
        </w:trPr>
        <w:tc>
          <w:tcPr>
            <w:tcW w:w="2664" w:type="pct"/>
            <w:shd w:val="clear" w:color="auto" w:fill="auto"/>
            <w:hideMark/>
          </w:tcPr>
          <w:p w14:paraId="129E0C4B" w14:textId="77777777" w:rsidR="005B5953" w:rsidRPr="005B12AE" w:rsidRDefault="005B5953" w:rsidP="00250DAC">
            <w:pPr>
              <w:spacing w:after="0" w:line="240" w:lineRule="auto"/>
              <w:rPr>
                <w:rFonts w:ascii="Times New Roman" w:hAnsi="Times New Roman"/>
                <w:b/>
                <w:bCs/>
                <w:color w:val="000000"/>
                <w:sz w:val="20"/>
                <w:szCs w:val="20"/>
              </w:rPr>
            </w:pPr>
            <w:r w:rsidRPr="005B12AE">
              <w:rPr>
                <w:rFonts w:ascii="Times New Roman" w:hAnsi="Times New Roman"/>
                <w:b/>
                <w:bCs/>
                <w:color w:val="000000"/>
                <w:sz w:val="20"/>
                <w:szCs w:val="20"/>
              </w:rPr>
              <w:t>Opening Balance (A)</w:t>
            </w:r>
          </w:p>
        </w:tc>
        <w:tc>
          <w:tcPr>
            <w:tcW w:w="817" w:type="pct"/>
            <w:shd w:val="clear" w:color="auto" w:fill="auto"/>
          </w:tcPr>
          <w:p w14:paraId="544A4959" w14:textId="77777777" w:rsidR="005B5953" w:rsidRPr="005B12AE" w:rsidRDefault="005B5953" w:rsidP="00250DAC">
            <w:pPr>
              <w:spacing w:after="0" w:line="240" w:lineRule="auto"/>
              <w:jc w:val="center"/>
              <w:rPr>
                <w:rFonts w:ascii="Times New Roman" w:hAnsi="Times New Roman"/>
                <w:b/>
                <w:bCs/>
                <w:color w:val="000000"/>
                <w:sz w:val="20"/>
                <w:szCs w:val="20"/>
              </w:rPr>
            </w:pPr>
          </w:p>
        </w:tc>
        <w:tc>
          <w:tcPr>
            <w:tcW w:w="774" w:type="pct"/>
            <w:shd w:val="clear" w:color="auto" w:fill="auto"/>
          </w:tcPr>
          <w:p w14:paraId="40ECCCB3" w14:textId="77777777" w:rsidR="005B5953" w:rsidRPr="005B12AE" w:rsidRDefault="005B5953" w:rsidP="00250DAC">
            <w:pPr>
              <w:spacing w:after="0" w:line="240" w:lineRule="auto"/>
              <w:jc w:val="center"/>
              <w:rPr>
                <w:rFonts w:ascii="Times New Roman" w:hAnsi="Times New Roman"/>
                <w:b/>
                <w:bCs/>
                <w:color w:val="000000"/>
                <w:sz w:val="20"/>
                <w:szCs w:val="20"/>
              </w:rPr>
            </w:pPr>
          </w:p>
        </w:tc>
        <w:tc>
          <w:tcPr>
            <w:tcW w:w="745" w:type="pct"/>
            <w:shd w:val="clear" w:color="auto" w:fill="auto"/>
          </w:tcPr>
          <w:p w14:paraId="5775C20C" w14:textId="77777777" w:rsidR="005B5953" w:rsidRPr="005B12AE" w:rsidRDefault="005B5953" w:rsidP="00250DAC">
            <w:pPr>
              <w:spacing w:after="0" w:line="240" w:lineRule="auto"/>
              <w:jc w:val="center"/>
              <w:rPr>
                <w:rFonts w:ascii="Times New Roman" w:hAnsi="Times New Roman"/>
                <w:b/>
                <w:bCs/>
                <w:color w:val="000000"/>
                <w:sz w:val="20"/>
                <w:szCs w:val="20"/>
              </w:rPr>
            </w:pPr>
          </w:p>
        </w:tc>
      </w:tr>
      <w:tr w:rsidR="005B5953" w:rsidRPr="005B12AE" w14:paraId="5AC421C2" w14:textId="77777777" w:rsidTr="00250DAC">
        <w:trPr>
          <w:trHeight w:val="20"/>
        </w:trPr>
        <w:tc>
          <w:tcPr>
            <w:tcW w:w="2664" w:type="pct"/>
            <w:shd w:val="clear" w:color="auto" w:fill="auto"/>
            <w:hideMark/>
          </w:tcPr>
          <w:p w14:paraId="77358520" w14:textId="77777777" w:rsidR="005B5953" w:rsidRPr="005B12AE" w:rsidRDefault="005B5953" w:rsidP="00250DAC">
            <w:pPr>
              <w:spacing w:after="0" w:line="240" w:lineRule="auto"/>
              <w:jc w:val="both"/>
              <w:rPr>
                <w:rFonts w:ascii="Times New Roman" w:hAnsi="Times New Roman"/>
                <w:color w:val="000000"/>
                <w:sz w:val="20"/>
                <w:szCs w:val="20"/>
              </w:rPr>
            </w:pPr>
            <w:r w:rsidRPr="005B12AE">
              <w:rPr>
                <w:rFonts w:ascii="Times New Roman" w:hAnsi="Times New Roman"/>
                <w:color w:val="000000"/>
                <w:sz w:val="20"/>
                <w:szCs w:val="20"/>
              </w:rPr>
              <w:t>Opening Balance of Deferred Tax (Asset) / Liability</w:t>
            </w:r>
          </w:p>
        </w:tc>
        <w:tc>
          <w:tcPr>
            <w:tcW w:w="817" w:type="pct"/>
            <w:shd w:val="clear" w:color="auto" w:fill="auto"/>
            <w:vAlign w:val="bottom"/>
            <w:hideMark/>
          </w:tcPr>
          <w:p w14:paraId="5B41157C"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(23.70)</w:t>
            </w:r>
          </w:p>
        </w:tc>
        <w:tc>
          <w:tcPr>
            <w:tcW w:w="774" w:type="pct"/>
            <w:shd w:val="clear" w:color="auto" w:fill="auto"/>
            <w:vAlign w:val="bottom"/>
            <w:hideMark/>
          </w:tcPr>
          <w:p w14:paraId="6AE20F6F"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(9.40)</w:t>
            </w:r>
          </w:p>
        </w:tc>
        <w:tc>
          <w:tcPr>
            <w:tcW w:w="745" w:type="pct"/>
            <w:shd w:val="clear" w:color="auto" w:fill="auto"/>
            <w:vAlign w:val="bottom"/>
            <w:hideMark/>
          </w:tcPr>
          <w:p w14:paraId="7D7709E9"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(17.42)</w:t>
            </w:r>
          </w:p>
        </w:tc>
      </w:tr>
      <w:tr w:rsidR="005B5953" w:rsidRPr="005B12AE" w14:paraId="722551DB" w14:textId="77777777" w:rsidTr="00250DAC">
        <w:trPr>
          <w:trHeight w:val="20"/>
        </w:trPr>
        <w:tc>
          <w:tcPr>
            <w:tcW w:w="2664" w:type="pct"/>
            <w:shd w:val="clear" w:color="auto" w:fill="auto"/>
            <w:hideMark/>
          </w:tcPr>
          <w:p w14:paraId="315001E5" w14:textId="77777777" w:rsidR="005B5953" w:rsidRPr="005B12AE" w:rsidRDefault="005B5953" w:rsidP="00250DAC">
            <w:pPr>
              <w:spacing w:after="0" w:line="240" w:lineRule="auto"/>
              <w:jc w:val="both"/>
              <w:rPr>
                <w:rFonts w:ascii="Times New Roman" w:hAnsi="Times New Roman"/>
                <w:b/>
                <w:bCs/>
                <w:color w:val="000000"/>
                <w:sz w:val="20"/>
                <w:szCs w:val="20"/>
              </w:rPr>
            </w:pPr>
            <w:r w:rsidRPr="005B12AE">
              <w:rPr>
                <w:rFonts w:ascii="Times New Roman" w:hAnsi="Times New Roman"/>
                <w:b/>
                <w:bCs/>
                <w:color w:val="000000"/>
                <w:sz w:val="20"/>
                <w:szCs w:val="20"/>
              </w:rPr>
              <w:t>Closing Balances (B)</w:t>
            </w:r>
          </w:p>
        </w:tc>
        <w:tc>
          <w:tcPr>
            <w:tcW w:w="817" w:type="pct"/>
            <w:shd w:val="clear" w:color="auto" w:fill="auto"/>
            <w:vAlign w:val="bottom"/>
            <w:hideMark/>
          </w:tcPr>
          <w:p w14:paraId="65656FAD" w14:textId="77777777" w:rsidR="005B5953" w:rsidRPr="005B12AE" w:rsidRDefault="005B5953" w:rsidP="00250DAC">
            <w:pPr>
              <w:spacing w:after="0" w:line="240" w:lineRule="auto"/>
              <w:jc w:val="center"/>
              <w:rPr>
                <w:rFonts w:ascii="Times New Roman" w:hAnsi="Times New Roman"/>
                <w:color w:val="000000"/>
                <w:sz w:val="20"/>
                <w:szCs w:val="20"/>
              </w:rPr>
            </w:pPr>
          </w:p>
        </w:tc>
        <w:tc>
          <w:tcPr>
            <w:tcW w:w="774" w:type="pct"/>
            <w:shd w:val="clear" w:color="auto" w:fill="auto"/>
            <w:vAlign w:val="bottom"/>
            <w:hideMark/>
          </w:tcPr>
          <w:p w14:paraId="7F7A369B" w14:textId="77777777" w:rsidR="005B5953" w:rsidRPr="005B12AE" w:rsidRDefault="005B5953" w:rsidP="00250DAC">
            <w:pPr>
              <w:spacing w:after="0" w:line="240" w:lineRule="auto"/>
              <w:jc w:val="center"/>
              <w:rPr>
                <w:rFonts w:ascii="Times New Roman" w:hAnsi="Times New Roman"/>
                <w:color w:val="000000"/>
                <w:sz w:val="20"/>
                <w:szCs w:val="20"/>
              </w:rPr>
            </w:pPr>
          </w:p>
        </w:tc>
        <w:tc>
          <w:tcPr>
            <w:tcW w:w="745" w:type="pct"/>
            <w:shd w:val="clear" w:color="auto" w:fill="auto"/>
            <w:vAlign w:val="bottom"/>
            <w:hideMark/>
          </w:tcPr>
          <w:p w14:paraId="0E8DD4B1" w14:textId="77777777" w:rsidR="005B5953" w:rsidRPr="005B12AE" w:rsidRDefault="005B5953" w:rsidP="00250DAC">
            <w:pPr>
              <w:spacing w:after="0" w:line="240" w:lineRule="auto"/>
              <w:jc w:val="center"/>
              <w:rPr>
                <w:rFonts w:ascii="Times New Roman" w:hAnsi="Times New Roman"/>
                <w:color w:val="000000"/>
                <w:sz w:val="20"/>
                <w:szCs w:val="20"/>
              </w:rPr>
            </w:pPr>
          </w:p>
        </w:tc>
      </w:tr>
      <w:tr w:rsidR="005B5953" w:rsidRPr="005B12AE" w14:paraId="391CF591" w14:textId="77777777" w:rsidTr="00250DAC">
        <w:trPr>
          <w:trHeight w:val="20"/>
        </w:trPr>
        <w:tc>
          <w:tcPr>
            <w:tcW w:w="2664" w:type="pct"/>
            <w:shd w:val="clear" w:color="auto" w:fill="auto"/>
            <w:hideMark/>
          </w:tcPr>
          <w:p w14:paraId="1CC22A4F" w14:textId="77777777" w:rsidR="005B5953" w:rsidRPr="005B12AE" w:rsidRDefault="005B5953" w:rsidP="00250DAC">
            <w:pPr>
              <w:spacing w:after="0" w:line="240" w:lineRule="auto"/>
              <w:jc w:val="both"/>
              <w:rPr>
                <w:rFonts w:ascii="Times New Roman" w:hAnsi="Times New Roman"/>
                <w:color w:val="000000"/>
                <w:sz w:val="20"/>
                <w:szCs w:val="20"/>
              </w:rPr>
            </w:pPr>
            <w:r w:rsidRPr="005B12AE">
              <w:rPr>
                <w:rFonts w:ascii="Times New Roman" w:hAnsi="Times New Roman"/>
                <w:color w:val="000000"/>
                <w:sz w:val="20"/>
                <w:szCs w:val="20"/>
              </w:rPr>
              <w:t>(DTA)/ DTL on Timing Difference in Depreciation as per Companies Act and Income Tax Act.</w:t>
            </w:r>
          </w:p>
        </w:tc>
        <w:tc>
          <w:tcPr>
            <w:tcW w:w="817" w:type="pct"/>
            <w:shd w:val="clear" w:color="auto" w:fill="auto"/>
            <w:vAlign w:val="bottom"/>
            <w:hideMark/>
          </w:tcPr>
          <w:p w14:paraId="5FDDD3F7"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23.36</w:t>
            </w:r>
          </w:p>
        </w:tc>
        <w:tc>
          <w:tcPr>
            <w:tcW w:w="774" w:type="pct"/>
            <w:shd w:val="clear" w:color="auto" w:fill="auto"/>
            <w:vAlign w:val="bottom"/>
            <w:hideMark/>
          </w:tcPr>
          <w:p w14:paraId="5C199E91"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24.13</w:t>
            </w:r>
          </w:p>
        </w:tc>
        <w:tc>
          <w:tcPr>
            <w:tcW w:w="745" w:type="pct"/>
            <w:shd w:val="clear" w:color="auto" w:fill="auto"/>
            <w:vAlign w:val="bottom"/>
            <w:hideMark/>
          </w:tcPr>
          <w:p w14:paraId="5DE519D5"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13.48</w:t>
            </w:r>
          </w:p>
        </w:tc>
      </w:tr>
      <w:tr w:rsidR="005B5953" w:rsidRPr="005B12AE" w14:paraId="31307FB3" w14:textId="77777777" w:rsidTr="00250DAC">
        <w:trPr>
          <w:trHeight w:val="20"/>
        </w:trPr>
        <w:tc>
          <w:tcPr>
            <w:tcW w:w="2664" w:type="pct"/>
            <w:shd w:val="clear" w:color="auto" w:fill="auto"/>
            <w:hideMark/>
          </w:tcPr>
          <w:p w14:paraId="270598D0" w14:textId="77777777" w:rsidR="005B5953" w:rsidRPr="005B12AE" w:rsidRDefault="005B5953" w:rsidP="00250DAC">
            <w:pPr>
              <w:spacing w:after="0" w:line="240" w:lineRule="auto"/>
              <w:jc w:val="both"/>
              <w:rPr>
                <w:rFonts w:ascii="Times New Roman" w:hAnsi="Times New Roman"/>
                <w:color w:val="000000"/>
                <w:sz w:val="20"/>
                <w:szCs w:val="20"/>
              </w:rPr>
            </w:pPr>
            <w:r w:rsidRPr="005B12AE">
              <w:rPr>
                <w:rFonts w:ascii="Times New Roman" w:hAnsi="Times New Roman"/>
                <w:color w:val="000000"/>
                <w:sz w:val="20"/>
                <w:szCs w:val="20"/>
              </w:rPr>
              <w:t>(DTA)/ DTL on account of gratuity provision</w:t>
            </w:r>
          </w:p>
        </w:tc>
        <w:tc>
          <w:tcPr>
            <w:tcW w:w="817" w:type="pct"/>
            <w:shd w:val="clear" w:color="auto" w:fill="auto"/>
            <w:vAlign w:val="bottom"/>
            <w:hideMark/>
          </w:tcPr>
          <w:p w14:paraId="1CC434F0"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(0.72)</w:t>
            </w:r>
          </w:p>
        </w:tc>
        <w:tc>
          <w:tcPr>
            <w:tcW w:w="774" w:type="pct"/>
            <w:shd w:val="clear" w:color="auto" w:fill="auto"/>
            <w:vAlign w:val="bottom"/>
            <w:hideMark/>
          </w:tcPr>
          <w:p w14:paraId="2E2F98B4"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(0.43)</w:t>
            </w:r>
          </w:p>
        </w:tc>
        <w:tc>
          <w:tcPr>
            <w:tcW w:w="745" w:type="pct"/>
            <w:shd w:val="clear" w:color="auto" w:fill="auto"/>
            <w:vAlign w:val="bottom"/>
            <w:hideMark/>
          </w:tcPr>
          <w:p w14:paraId="73021019"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(4.08)</w:t>
            </w:r>
          </w:p>
        </w:tc>
      </w:tr>
      <w:tr w:rsidR="005B5953" w:rsidRPr="005B12AE" w14:paraId="30B2B26B" w14:textId="77777777" w:rsidTr="00250DAC">
        <w:trPr>
          <w:trHeight w:val="20"/>
        </w:trPr>
        <w:tc>
          <w:tcPr>
            <w:tcW w:w="2664" w:type="pct"/>
            <w:shd w:val="clear" w:color="auto" w:fill="auto"/>
            <w:hideMark/>
          </w:tcPr>
          <w:p w14:paraId="2C9FD02B" w14:textId="77777777" w:rsidR="005B5953" w:rsidRPr="005B12AE" w:rsidRDefault="005B5953" w:rsidP="00250DAC">
            <w:pPr>
              <w:spacing w:after="0" w:line="240" w:lineRule="auto"/>
              <w:jc w:val="both"/>
              <w:rPr>
                <w:rFonts w:ascii="Times New Roman" w:hAnsi="Times New Roman"/>
                <w:color w:val="000000"/>
                <w:sz w:val="20"/>
                <w:szCs w:val="20"/>
              </w:rPr>
            </w:pPr>
            <w:r w:rsidRPr="005B12AE">
              <w:rPr>
                <w:rFonts w:ascii="Times New Roman" w:hAnsi="Times New Roman"/>
                <w:color w:val="000000"/>
                <w:sz w:val="20"/>
                <w:szCs w:val="20"/>
              </w:rPr>
              <w:t> </w:t>
            </w:r>
          </w:p>
        </w:tc>
        <w:tc>
          <w:tcPr>
            <w:tcW w:w="817" w:type="pct"/>
            <w:shd w:val="clear" w:color="auto" w:fill="auto"/>
            <w:vAlign w:val="bottom"/>
            <w:hideMark/>
          </w:tcPr>
          <w:p w14:paraId="0A01C8CE" w14:textId="77777777" w:rsidR="005B5953" w:rsidRPr="005B12AE" w:rsidRDefault="005B5953" w:rsidP="00250DAC">
            <w:pPr>
              <w:spacing w:after="0" w:line="240" w:lineRule="auto"/>
              <w:jc w:val="center"/>
              <w:rPr>
                <w:rFonts w:ascii="Times New Roman" w:hAnsi="Times New Roman"/>
                <w:color w:val="000000"/>
                <w:sz w:val="20"/>
                <w:szCs w:val="20"/>
              </w:rPr>
            </w:pPr>
          </w:p>
        </w:tc>
        <w:tc>
          <w:tcPr>
            <w:tcW w:w="774" w:type="pct"/>
            <w:shd w:val="clear" w:color="auto" w:fill="auto"/>
            <w:vAlign w:val="bottom"/>
            <w:hideMark/>
          </w:tcPr>
          <w:p w14:paraId="01814FBF" w14:textId="77777777" w:rsidR="005B5953" w:rsidRPr="005B12AE" w:rsidRDefault="005B5953" w:rsidP="00250DAC">
            <w:pPr>
              <w:spacing w:after="0" w:line="240" w:lineRule="auto"/>
              <w:jc w:val="center"/>
              <w:rPr>
                <w:rFonts w:ascii="Times New Roman" w:hAnsi="Times New Roman"/>
                <w:color w:val="000000"/>
                <w:sz w:val="20"/>
                <w:szCs w:val="20"/>
              </w:rPr>
            </w:pPr>
          </w:p>
        </w:tc>
        <w:tc>
          <w:tcPr>
            <w:tcW w:w="745" w:type="pct"/>
            <w:shd w:val="clear" w:color="auto" w:fill="auto"/>
            <w:vAlign w:val="bottom"/>
            <w:hideMark/>
          </w:tcPr>
          <w:p w14:paraId="58DCFBBF" w14:textId="77777777" w:rsidR="005B5953" w:rsidRPr="005B12AE" w:rsidRDefault="005B5953" w:rsidP="00250DAC">
            <w:pPr>
              <w:spacing w:after="0" w:line="240" w:lineRule="auto"/>
              <w:jc w:val="center"/>
              <w:rPr>
                <w:rFonts w:ascii="Times New Roman" w:hAnsi="Times New Roman"/>
                <w:color w:val="000000"/>
                <w:sz w:val="20"/>
                <w:szCs w:val="20"/>
              </w:rPr>
            </w:pPr>
          </w:p>
        </w:tc>
      </w:tr>
      <w:tr w:rsidR="005B5953" w:rsidRPr="005B12AE" w14:paraId="242C8D6F" w14:textId="77777777" w:rsidTr="00250DAC">
        <w:trPr>
          <w:trHeight w:val="20"/>
        </w:trPr>
        <w:tc>
          <w:tcPr>
            <w:tcW w:w="2664" w:type="pct"/>
            <w:shd w:val="clear" w:color="auto" w:fill="auto"/>
            <w:hideMark/>
          </w:tcPr>
          <w:p w14:paraId="5273849E" w14:textId="77777777" w:rsidR="005B5953" w:rsidRPr="005B12AE" w:rsidRDefault="005B5953" w:rsidP="00250DAC">
            <w:pPr>
              <w:spacing w:after="0" w:line="240" w:lineRule="auto"/>
              <w:jc w:val="both"/>
              <w:rPr>
                <w:rFonts w:ascii="Times New Roman" w:hAnsi="Times New Roman"/>
                <w:b/>
                <w:bCs/>
                <w:color w:val="000000"/>
                <w:sz w:val="20"/>
                <w:szCs w:val="20"/>
              </w:rPr>
            </w:pPr>
            <w:r w:rsidRPr="005B12AE">
              <w:rPr>
                <w:rFonts w:ascii="Times New Roman" w:hAnsi="Times New Roman"/>
                <w:b/>
                <w:bCs/>
                <w:color w:val="000000"/>
                <w:sz w:val="20"/>
                <w:szCs w:val="20"/>
              </w:rPr>
              <w:t>Closing Balance of Deferred Tax (Asset) / Liability (B)</w:t>
            </w:r>
          </w:p>
        </w:tc>
        <w:tc>
          <w:tcPr>
            <w:tcW w:w="817" w:type="pct"/>
            <w:shd w:val="clear" w:color="auto" w:fill="auto"/>
            <w:vAlign w:val="bottom"/>
            <w:hideMark/>
          </w:tcPr>
          <w:p w14:paraId="34B381C2"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(22.64)</w:t>
            </w:r>
          </w:p>
        </w:tc>
        <w:tc>
          <w:tcPr>
            <w:tcW w:w="774" w:type="pct"/>
            <w:shd w:val="clear" w:color="auto" w:fill="auto"/>
            <w:vAlign w:val="bottom"/>
            <w:hideMark/>
          </w:tcPr>
          <w:p w14:paraId="6585B994"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(23.70)</w:t>
            </w:r>
          </w:p>
        </w:tc>
        <w:tc>
          <w:tcPr>
            <w:tcW w:w="745" w:type="pct"/>
            <w:shd w:val="clear" w:color="auto" w:fill="auto"/>
            <w:vAlign w:val="bottom"/>
            <w:hideMark/>
          </w:tcPr>
          <w:p w14:paraId="562D5541"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(9.40)</w:t>
            </w:r>
          </w:p>
        </w:tc>
      </w:tr>
      <w:tr w:rsidR="005B5953" w:rsidRPr="005B12AE" w14:paraId="05ADD634" w14:textId="77777777" w:rsidTr="00250DAC">
        <w:trPr>
          <w:trHeight w:val="20"/>
        </w:trPr>
        <w:tc>
          <w:tcPr>
            <w:tcW w:w="2664" w:type="pct"/>
            <w:shd w:val="clear" w:color="auto" w:fill="auto"/>
            <w:hideMark/>
          </w:tcPr>
          <w:p w14:paraId="5C3AA79A" w14:textId="77777777" w:rsidR="005B5953" w:rsidRPr="005B12AE" w:rsidRDefault="005B5953" w:rsidP="00250DAC">
            <w:pPr>
              <w:spacing w:after="0" w:line="240" w:lineRule="auto"/>
              <w:jc w:val="both"/>
              <w:rPr>
                <w:rFonts w:ascii="Times New Roman" w:hAnsi="Times New Roman"/>
                <w:b/>
                <w:bCs/>
                <w:color w:val="000000"/>
                <w:sz w:val="20"/>
                <w:szCs w:val="20"/>
              </w:rPr>
            </w:pPr>
            <w:r w:rsidRPr="005B12AE">
              <w:rPr>
                <w:rFonts w:ascii="Times New Roman" w:hAnsi="Times New Roman"/>
                <w:b/>
                <w:bCs/>
                <w:color w:val="000000"/>
                <w:sz w:val="20"/>
                <w:szCs w:val="20"/>
              </w:rPr>
              <w:t>Current Year Provision (B-A)</w:t>
            </w:r>
          </w:p>
        </w:tc>
        <w:tc>
          <w:tcPr>
            <w:tcW w:w="817" w:type="pct"/>
            <w:shd w:val="clear" w:color="auto" w:fill="auto"/>
            <w:vAlign w:val="bottom"/>
            <w:hideMark/>
          </w:tcPr>
          <w:p w14:paraId="513C9556"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1.06</w:t>
            </w:r>
          </w:p>
        </w:tc>
        <w:tc>
          <w:tcPr>
            <w:tcW w:w="774" w:type="pct"/>
            <w:shd w:val="clear" w:color="auto" w:fill="auto"/>
            <w:vAlign w:val="bottom"/>
            <w:hideMark/>
          </w:tcPr>
          <w:p w14:paraId="1C39EEA5"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(14.30)</w:t>
            </w:r>
          </w:p>
        </w:tc>
        <w:tc>
          <w:tcPr>
            <w:tcW w:w="745" w:type="pct"/>
            <w:shd w:val="clear" w:color="auto" w:fill="auto"/>
            <w:vAlign w:val="bottom"/>
            <w:hideMark/>
          </w:tcPr>
          <w:p w14:paraId="7584E0B7"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8.02</w:t>
            </w:r>
          </w:p>
        </w:tc>
      </w:tr>
    </w:tbl>
    <w:p w14:paraId="78FF36F8" w14:textId="77777777" w:rsidR="005B5953" w:rsidRPr="005B12AE" w:rsidRDefault="005B5953" w:rsidP="005B5953">
      <w:pPr>
        <w:spacing w:after="0"/>
        <w:jc w:val="center"/>
        <w:rPr>
          <w:rFonts w:ascii="Times New Roman" w:hAnsi="Times New Roman"/>
          <w:b/>
          <w:bCs/>
          <w:sz w:val="20"/>
          <w:szCs w:val="20"/>
        </w:rPr>
      </w:pPr>
    </w:p>
    <w:p w14:paraId="71ECBD21" w14:textId="77777777" w:rsidR="005B5953" w:rsidRPr="005B12AE" w:rsidRDefault="005B5953" w:rsidP="005B5953">
      <w:pPr>
        <w:spacing w:after="0"/>
        <w:jc w:val="center"/>
        <w:rPr>
          <w:rFonts w:ascii="Times New Roman" w:hAnsi="Times New Roman"/>
          <w:b/>
          <w:bCs/>
          <w:sz w:val="20"/>
          <w:szCs w:val="20"/>
        </w:rPr>
      </w:pPr>
      <w:r w:rsidRPr="005B12AE">
        <w:rPr>
          <w:rFonts w:ascii="Times New Roman" w:hAnsi="Times New Roman"/>
          <w:b/>
          <w:bCs/>
          <w:sz w:val="20"/>
          <w:szCs w:val="20"/>
        </w:rPr>
        <w:lastRenderedPageBreak/>
        <w:t>NOTE – C1</w:t>
      </w:r>
    </w:p>
    <w:p w14:paraId="222090B4" w14:textId="77777777" w:rsidR="005B5953" w:rsidRPr="005B12AE" w:rsidRDefault="005B5953" w:rsidP="005B5953">
      <w:pPr>
        <w:spacing w:after="0"/>
        <w:jc w:val="center"/>
        <w:rPr>
          <w:rFonts w:ascii="Times New Roman" w:hAnsi="Times New Roman"/>
          <w:b/>
          <w:bCs/>
          <w:sz w:val="20"/>
          <w:szCs w:val="20"/>
        </w:rPr>
      </w:pPr>
    </w:p>
    <w:p w14:paraId="565C0AA7" w14:textId="77777777" w:rsidR="005B5953" w:rsidRPr="005B12AE" w:rsidRDefault="005B5953" w:rsidP="005B5953">
      <w:pPr>
        <w:spacing w:after="0"/>
        <w:jc w:val="center"/>
        <w:rPr>
          <w:rFonts w:ascii="Times New Roman" w:hAnsi="Times New Roman"/>
          <w:b/>
          <w:bCs/>
          <w:sz w:val="20"/>
          <w:szCs w:val="20"/>
        </w:rPr>
      </w:pPr>
      <w:r w:rsidRPr="005B12AE">
        <w:rPr>
          <w:rFonts w:ascii="Times New Roman" w:hAnsi="Times New Roman"/>
          <w:b/>
          <w:bCs/>
          <w:sz w:val="20"/>
          <w:szCs w:val="20"/>
        </w:rPr>
        <w:t>RESTATED STATEMENT OF LONG-TERM PROVISIONS</w:t>
      </w:r>
    </w:p>
    <w:p w14:paraId="24118A87" w14:textId="77777777" w:rsidR="005B5953" w:rsidRPr="005B12AE" w:rsidRDefault="005B5953" w:rsidP="005B5953">
      <w:pPr>
        <w:spacing w:after="0"/>
        <w:jc w:val="right"/>
        <w:rPr>
          <w:rFonts w:ascii="Times New Roman" w:hAnsi="Times New Roman"/>
          <w:b/>
          <w:bCs/>
          <w:sz w:val="20"/>
          <w:szCs w:val="20"/>
        </w:rPr>
      </w:pPr>
      <w:r w:rsidRPr="005B12AE">
        <w:rPr>
          <w:rFonts w:ascii="Times New Roman" w:hAnsi="Times New Roman"/>
          <w:b/>
          <w:bCs/>
          <w:sz w:val="20"/>
          <w:szCs w:val="20"/>
        </w:rPr>
        <w:t>(₹ in Lakhs)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0"/>
        <w:gridCol w:w="1711"/>
        <w:gridCol w:w="1619"/>
        <w:gridCol w:w="1556"/>
      </w:tblGrid>
      <w:tr w:rsidR="005B5953" w:rsidRPr="005B12AE" w14:paraId="4285DDD6" w14:textId="77777777" w:rsidTr="00250DAC">
        <w:trPr>
          <w:trHeight w:val="20"/>
        </w:trPr>
        <w:tc>
          <w:tcPr>
            <w:tcW w:w="2664" w:type="pct"/>
            <w:vMerge w:val="restart"/>
            <w:shd w:val="clear" w:color="auto" w:fill="D0CECE" w:themeFill="background2" w:themeFillShade="E6"/>
            <w:noWrap/>
            <w:vAlign w:val="center"/>
            <w:hideMark/>
          </w:tcPr>
          <w:p w14:paraId="4FFC190F"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Particulars</w:t>
            </w:r>
          </w:p>
        </w:tc>
        <w:tc>
          <w:tcPr>
            <w:tcW w:w="2336" w:type="pct"/>
            <w:gridSpan w:val="3"/>
            <w:shd w:val="clear" w:color="auto" w:fill="D0CECE" w:themeFill="background2" w:themeFillShade="E6"/>
            <w:noWrap/>
            <w:vAlign w:val="center"/>
            <w:hideMark/>
          </w:tcPr>
          <w:p w14:paraId="155A413F"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color w:val="000000"/>
                <w:sz w:val="20"/>
                <w:szCs w:val="20"/>
              </w:rPr>
              <w:t>As At</w:t>
            </w:r>
          </w:p>
        </w:tc>
      </w:tr>
      <w:tr w:rsidR="005B5953" w:rsidRPr="005B12AE" w14:paraId="2F31948D" w14:textId="77777777" w:rsidTr="00250DAC">
        <w:trPr>
          <w:trHeight w:val="20"/>
        </w:trPr>
        <w:tc>
          <w:tcPr>
            <w:tcW w:w="2664" w:type="pct"/>
            <w:vMerge/>
            <w:shd w:val="clear" w:color="auto" w:fill="D0CECE" w:themeFill="background2" w:themeFillShade="E6"/>
            <w:vAlign w:val="center"/>
            <w:hideMark/>
          </w:tcPr>
          <w:p w14:paraId="249C2D51" w14:textId="77777777" w:rsidR="005B5953" w:rsidRPr="005B12AE" w:rsidRDefault="005B5953" w:rsidP="00250DAC">
            <w:pPr>
              <w:spacing w:after="0" w:line="240" w:lineRule="auto"/>
              <w:jc w:val="center"/>
              <w:rPr>
                <w:rFonts w:ascii="Times New Roman" w:hAnsi="Times New Roman"/>
                <w:b/>
                <w:bCs/>
                <w:sz w:val="20"/>
                <w:szCs w:val="20"/>
              </w:rPr>
            </w:pPr>
          </w:p>
        </w:tc>
        <w:tc>
          <w:tcPr>
            <w:tcW w:w="818" w:type="pct"/>
            <w:shd w:val="clear" w:color="auto" w:fill="D0CECE" w:themeFill="background2" w:themeFillShade="E6"/>
            <w:noWrap/>
            <w:vAlign w:val="bottom"/>
            <w:hideMark/>
          </w:tcPr>
          <w:p w14:paraId="16833659"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31/03/2023</w:t>
            </w:r>
          </w:p>
        </w:tc>
        <w:tc>
          <w:tcPr>
            <w:tcW w:w="774" w:type="pct"/>
            <w:shd w:val="clear" w:color="auto" w:fill="D0CECE" w:themeFill="background2" w:themeFillShade="E6"/>
            <w:noWrap/>
            <w:vAlign w:val="bottom"/>
            <w:hideMark/>
          </w:tcPr>
          <w:p w14:paraId="42C8B778"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31/03/2022</w:t>
            </w:r>
          </w:p>
        </w:tc>
        <w:tc>
          <w:tcPr>
            <w:tcW w:w="744" w:type="pct"/>
            <w:shd w:val="clear" w:color="auto" w:fill="D0CECE" w:themeFill="background2" w:themeFillShade="E6"/>
            <w:noWrap/>
            <w:vAlign w:val="bottom"/>
            <w:hideMark/>
          </w:tcPr>
          <w:p w14:paraId="293346D8"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31/03/2021</w:t>
            </w:r>
          </w:p>
        </w:tc>
      </w:tr>
      <w:tr w:rsidR="005B5953" w:rsidRPr="005B12AE" w14:paraId="167AFF51" w14:textId="77777777" w:rsidTr="00250DAC">
        <w:trPr>
          <w:trHeight w:val="20"/>
        </w:trPr>
        <w:tc>
          <w:tcPr>
            <w:tcW w:w="2664" w:type="pct"/>
            <w:shd w:val="clear" w:color="auto" w:fill="auto"/>
            <w:noWrap/>
            <w:vAlign w:val="bottom"/>
            <w:hideMark/>
          </w:tcPr>
          <w:p w14:paraId="1C1CB506"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(Secured)</w:t>
            </w:r>
          </w:p>
        </w:tc>
        <w:tc>
          <w:tcPr>
            <w:tcW w:w="818" w:type="pct"/>
            <w:shd w:val="clear" w:color="auto" w:fill="auto"/>
            <w:noWrap/>
            <w:vAlign w:val="bottom"/>
            <w:hideMark/>
          </w:tcPr>
          <w:p w14:paraId="14596BD1" w14:textId="77777777" w:rsidR="005B5953" w:rsidRPr="005B12AE" w:rsidRDefault="005B5953" w:rsidP="00250DAC">
            <w:pPr>
              <w:spacing w:after="0" w:line="240" w:lineRule="auto"/>
              <w:jc w:val="center"/>
              <w:rPr>
                <w:rFonts w:ascii="Times New Roman" w:hAnsi="Times New Roman"/>
                <w:sz w:val="20"/>
                <w:szCs w:val="20"/>
              </w:rPr>
            </w:pPr>
          </w:p>
        </w:tc>
        <w:tc>
          <w:tcPr>
            <w:tcW w:w="774" w:type="pct"/>
            <w:shd w:val="clear" w:color="auto" w:fill="auto"/>
            <w:noWrap/>
            <w:vAlign w:val="bottom"/>
            <w:hideMark/>
          </w:tcPr>
          <w:p w14:paraId="4589F316" w14:textId="77777777" w:rsidR="005B5953" w:rsidRPr="005B12AE" w:rsidRDefault="005B5953" w:rsidP="00250DAC">
            <w:pPr>
              <w:spacing w:after="0" w:line="240" w:lineRule="auto"/>
              <w:jc w:val="center"/>
              <w:rPr>
                <w:rFonts w:ascii="Times New Roman" w:hAnsi="Times New Roman"/>
                <w:sz w:val="20"/>
                <w:szCs w:val="20"/>
              </w:rPr>
            </w:pPr>
          </w:p>
        </w:tc>
        <w:tc>
          <w:tcPr>
            <w:tcW w:w="744" w:type="pct"/>
            <w:shd w:val="clear" w:color="auto" w:fill="auto"/>
            <w:noWrap/>
            <w:vAlign w:val="bottom"/>
            <w:hideMark/>
          </w:tcPr>
          <w:p w14:paraId="583F7BBE"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463C17C9" w14:textId="77777777" w:rsidTr="00250DAC">
        <w:trPr>
          <w:trHeight w:val="20"/>
        </w:trPr>
        <w:tc>
          <w:tcPr>
            <w:tcW w:w="2664" w:type="pct"/>
            <w:shd w:val="clear" w:color="auto" w:fill="auto"/>
            <w:hideMark/>
          </w:tcPr>
          <w:p w14:paraId="07A1915C" w14:textId="77777777" w:rsidR="005B5953" w:rsidRPr="005B12AE" w:rsidRDefault="005B5953" w:rsidP="00250DAC">
            <w:pPr>
              <w:spacing w:after="0" w:line="240" w:lineRule="auto"/>
              <w:rPr>
                <w:rFonts w:ascii="Times New Roman" w:hAnsi="Times New Roman"/>
                <w:b/>
                <w:bCs/>
                <w:color w:val="000000"/>
                <w:sz w:val="20"/>
                <w:szCs w:val="20"/>
              </w:rPr>
            </w:pPr>
            <w:r w:rsidRPr="005B12AE">
              <w:rPr>
                <w:rFonts w:ascii="Times New Roman" w:hAnsi="Times New Roman"/>
                <w:b/>
                <w:bCs/>
                <w:color w:val="000000"/>
                <w:sz w:val="20"/>
                <w:szCs w:val="20"/>
              </w:rPr>
              <w:t xml:space="preserve">Long Term Provisions </w:t>
            </w:r>
          </w:p>
        </w:tc>
        <w:tc>
          <w:tcPr>
            <w:tcW w:w="818" w:type="pct"/>
            <w:shd w:val="clear" w:color="auto" w:fill="auto"/>
            <w:noWrap/>
            <w:vAlign w:val="bottom"/>
            <w:hideMark/>
          </w:tcPr>
          <w:p w14:paraId="5C521C1C" w14:textId="77777777" w:rsidR="005B5953" w:rsidRPr="005B12AE" w:rsidRDefault="005B5953" w:rsidP="00250DAC">
            <w:pPr>
              <w:spacing w:after="0" w:line="240" w:lineRule="auto"/>
              <w:jc w:val="center"/>
              <w:rPr>
                <w:rFonts w:ascii="Times New Roman" w:hAnsi="Times New Roman"/>
                <w:sz w:val="20"/>
                <w:szCs w:val="20"/>
              </w:rPr>
            </w:pPr>
          </w:p>
        </w:tc>
        <w:tc>
          <w:tcPr>
            <w:tcW w:w="774" w:type="pct"/>
            <w:shd w:val="clear" w:color="auto" w:fill="auto"/>
            <w:noWrap/>
            <w:vAlign w:val="bottom"/>
            <w:hideMark/>
          </w:tcPr>
          <w:p w14:paraId="550D4606" w14:textId="77777777" w:rsidR="005B5953" w:rsidRPr="005B12AE" w:rsidRDefault="005B5953" w:rsidP="00250DAC">
            <w:pPr>
              <w:spacing w:after="0" w:line="240" w:lineRule="auto"/>
              <w:jc w:val="center"/>
              <w:rPr>
                <w:rFonts w:ascii="Times New Roman" w:hAnsi="Times New Roman"/>
                <w:sz w:val="20"/>
                <w:szCs w:val="20"/>
              </w:rPr>
            </w:pPr>
          </w:p>
        </w:tc>
        <w:tc>
          <w:tcPr>
            <w:tcW w:w="744" w:type="pct"/>
            <w:shd w:val="clear" w:color="auto" w:fill="auto"/>
            <w:noWrap/>
            <w:vAlign w:val="bottom"/>
            <w:hideMark/>
          </w:tcPr>
          <w:p w14:paraId="79442493"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39421A44" w14:textId="77777777" w:rsidTr="00250DAC">
        <w:trPr>
          <w:trHeight w:val="20"/>
        </w:trPr>
        <w:tc>
          <w:tcPr>
            <w:tcW w:w="2664" w:type="pct"/>
            <w:shd w:val="clear" w:color="auto" w:fill="auto"/>
            <w:noWrap/>
            <w:vAlign w:val="bottom"/>
            <w:hideMark/>
          </w:tcPr>
          <w:p w14:paraId="0A694194"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Gratutity Provision</w:t>
            </w:r>
          </w:p>
        </w:tc>
        <w:tc>
          <w:tcPr>
            <w:tcW w:w="818" w:type="pct"/>
            <w:shd w:val="clear" w:color="auto" w:fill="auto"/>
            <w:noWrap/>
            <w:vAlign w:val="bottom"/>
            <w:hideMark/>
          </w:tcPr>
          <w:p w14:paraId="0305902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20.21</w:t>
            </w:r>
          </w:p>
        </w:tc>
        <w:tc>
          <w:tcPr>
            <w:tcW w:w="774" w:type="pct"/>
            <w:shd w:val="clear" w:color="auto" w:fill="auto"/>
            <w:noWrap/>
            <w:vAlign w:val="bottom"/>
            <w:hideMark/>
          </w:tcPr>
          <w:p w14:paraId="0777E34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17.34</w:t>
            </w:r>
          </w:p>
        </w:tc>
        <w:tc>
          <w:tcPr>
            <w:tcW w:w="744" w:type="pct"/>
            <w:shd w:val="clear" w:color="auto" w:fill="auto"/>
            <w:noWrap/>
            <w:vAlign w:val="bottom"/>
            <w:hideMark/>
          </w:tcPr>
          <w:p w14:paraId="1D574D6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15.68</w:t>
            </w:r>
          </w:p>
        </w:tc>
      </w:tr>
      <w:tr w:rsidR="005B5953" w:rsidRPr="005B12AE" w14:paraId="640F69D4" w14:textId="77777777" w:rsidTr="00250DAC">
        <w:trPr>
          <w:trHeight w:val="20"/>
        </w:trPr>
        <w:tc>
          <w:tcPr>
            <w:tcW w:w="2664" w:type="pct"/>
            <w:shd w:val="clear" w:color="auto" w:fill="auto"/>
            <w:noWrap/>
            <w:vAlign w:val="bottom"/>
            <w:hideMark/>
          </w:tcPr>
          <w:p w14:paraId="37F67ED4"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 xml:space="preserve"> Total </w:t>
            </w:r>
          </w:p>
        </w:tc>
        <w:tc>
          <w:tcPr>
            <w:tcW w:w="818" w:type="pct"/>
            <w:shd w:val="clear" w:color="auto" w:fill="auto"/>
            <w:noWrap/>
            <w:vAlign w:val="bottom"/>
            <w:hideMark/>
          </w:tcPr>
          <w:p w14:paraId="066C5E31"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20.21</w:t>
            </w:r>
          </w:p>
        </w:tc>
        <w:tc>
          <w:tcPr>
            <w:tcW w:w="774" w:type="pct"/>
            <w:shd w:val="clear" w:color="auto" w:fill="auto"/>
            <w:noWrap/>
            <w:vAlign w:val="bottom"/>
            <w:hideMark/>
          </w:tcPr>
          <w:p w14:paraId="066622BF"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17.34</w:t>
            </w:r>
          </w:p>
        </w:tc>
        <w:tc>
          <w:tcPr>
            <w:tcW w:w="744" w:type="pct"/>
            <w:shd w:val="clear" w:color="auto" w:fill="auto"/>
            <w:noWrap/>
            <w:vAlign w:val="bottom"/>
            <w:hideMark/>
          </w:tcPr>
          <w:p w14:paraId="174F9B8F"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15.68</w:t>
            </w:r>
          </w:p>
        </w:tc>
      </w:tr>
    </w:tbl>
    <w:p w14:paraId="3E5BE2A7" w14:textId="77777777" w:rsidR="005B5953" w:rsidRPr="005B12AE" w:rsidRDefault="005B5953" w:rsidP="005B5953">
      <w:pPr>
        <w:spacing w:after="0"/>
        <w:jc w:val="both"/>
        <w:rPr>
          <w:rFonts w:ascii="Times New Roman" w:hAnsi="Times New Roman"/>
          <w:sz w:val="20"/>
          <w:szCs w:val="20"/>
        </w:rPr>
      </w:pPr>
      <w:r w:rsidRPr="005B12AE">
        <w:rPr>
          <w:rFonts w:ascii="Times New Roman" w:hAnsi="Times New Roman"/>
          <w:sz w:val="20"/>
          <w:szCs w:val="20"/>
        </w:rPr>
        <w:t>Note:</w:t>
      </w:r>
    </w:p>
    <w:p w14:paraId="6612E513" w14:textId="77777777" w:rsidR="005B5953" w:rsidRPr="005B12AE" w:rsidRDefault="005B5953" w:rsidP="005B5953">
      <w:pPr>
        <w:spacing w:after="0"/>
        <w:ind w:left="270" w:hanging="270"/>
        <w:jc w:val="both"/>
        <w:rPr>
          <w:rFonts w:ascii="Times New Roman" w:hAnsi="Times New Roman"/>
          <w:sz w:val="20"/>
          <w:szCs w:val="20"/>
        </w:rPr>
      </w:pPr>
      <w:r w:rsidRPr="005B12AE">
        <w:rPr>
          <w:rFonts w:ascii="Times New Roman" w:hAnsi="Times New Roman"/>
          <w:sz w:val="20"/>
          <w:szCs w:val="20"/>
        </w:rPr>
        <w:t>1. Valuation in respect of Gratuity has been carried out by independent actuary, as at the Balance date, based on the following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5"/>
        <w:gridCol w:w="1621"/>
        <w:gridCol w:w="1441"/>
        <w:gridCol w:w="1909"/>
      </w:tblGrid>
      <w:tr w:rsidR="005B5953" w:rsidRPr="005B12AE" w14:paraId="1F490202" w14:textId="77777777" w:rsidTr="00250DAC">
        <w:trPr>
          <w:trHeight w:val="20"/>
          <w:tblHeader/>
        </w:trPr>
        <w:tc>
          <w:tcPr>
            <w:tcW w:w="2623" w:type="pct"/>
            <w:shd w:val="clear" w:color="auto" w:fill="D0CECE" w:themeFill="background2" w:themeFillShade="E6"/>
            <w:noWrap/>
            <w:vAlign w:val="center"/>
            <w:hideMark/>
          </w:tcPr>
          <w:p w14:paraId="7DEB03E2"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Particulars</w:t>
            </w:r>
          </w:p>
        </w:tc>
        <w:tc>
          <w:tcPr>
            <w:tcW w:w="775" w:type="pct"/>
            <w:shd w:val="clear" w:color="auto" w:fill="D0CECE" w:themeFill="background2" w:themeFillShade="E6"/>
            <w:vAlign w:val="center"/>
            <w:hideMark/>
          </w:tcPr>
          <w:p w14:paraId="3C00EA37"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Current Year - 22-23</w:t>
            </w:r>
          </w:p>
        </w:tc>
        <w:tc>
          <w:tcPr>
            <w:tcW w:w="689" w:type="pct"/>
            <w:shd w:val="clear" w:color="auto" w:fill="D0CECE" w:themeFill="background2" w:themeFillShade="E6"/>
            <w:vAlign w:val="center"/>
            <w:hideMark/>
          </w:tcPr>
          <w:p w14:paraId="0A26163A"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Previous Year 21-22</w:t>
            </w:r>
          </w:p>
        </w:tc>
        <w:tc>
          <w:tcPr>
            <w:tcW w:w="914" w:type="pct"/>
            <w:shd w:val="clear" w:color="auto" w:fill="D0CECE" w:themeFill="background2" w:themeFillShade="E6"/>
            <w:vAlign w:val="center"/>
            <w:hideMark/>
          </w:tcPr>
          <w:p w14:paraId="722F652A"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Preceding Previous Year 20-21</w:t>
            </w:r>
          </w:p>
        </w:tc>
      </w:tr>
      <w:tr w:rsidR="005B5953" w:rsidRPr="005B12AE" w14:paraId="6FB884D7" w14:textId="77777777" w:rsidTr="00250DAC">
        <w:trPr>
          <w:trHeight w:val="20"/>
        </w:trPr>
        <w:tc>
          <w:tcPr>
            <w:tcW w:w="2623" w:type="pct"/>
            <w:shd w:val="clear" w:color="auto" w:fill="auto"/>
            <w:vAlign w:val="bottom"/>
            <w:hideMark/>
          </w:tcPr>
          <w:p w14:paraId="4EDEC30B"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Discount Rate</w:t>
            </w:r>
          </w:p>
        </w:tc>
        <w:tc>
          <w:tcPr>
            <w:tcW w:w="775" w:type="pct"/>
            <w:shd w:val="clear" w:color="auto" w:fill="auto"/>
            <w:noWrap/>
            <w:vAlign w:val="bottom"/>
            <w:hideMark/>
          </w:tcPr>
          <w:p w14:paraId="52ED5F4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7.50%</w:t>
            </w:r>
          </w:p>
        </w:tc>
        <w:tc>
          <w:tcPr>
            <w:tcW w:w="689" w:type="pct"/>
            <w:shd w:val="clear" w:color="auto" w:fill="auto"/>
            <w:noWrap/>
            <w:vAlign w:val="bottom"/>
            <w:hideMark/>
          </w:tcPr>
          <w:p w14:paraId="776DF2C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7.25%</w:t>
            </w:r>
          </w:p>
        </w:tc>
        <w:tc>
          <w:tcPr>
            <w:tcW w:w="914" w:type="pct"/>
            <w:shd w:val="clear" w:color="auto" w:fill="auto"/>
            <w:noWrap/>
            <w:vAlign w:val="bottom"/>
            <w:hideMark/>
          </w:tcPr>
          <w:p w14:paraId="5008768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6.80%</w:t>
            </w:r>
          </w:p>
        </w:tc>
      </w:tr>
      <w:tr w:rsidR="005B5953" w:rsidRPr="005B12AE" w14:paraId="495F8662" w14:textId="77777777" w:rsidTr="00250DAC">
        <w:trPr>
          <w:trHeight w:val="20"/>
        </w:trPr>
        <w:tc>
          <w:tcPr>
            <w:tcW w:w="2623" w:type="pct"/>
            <w:shd w:val="clear" w:color="auto" w:fill="auto"/>
            <w:vAlign w:val="bottom"/>
            <w:hideMark/>
          </w:tcPr>
          <w:p w14:paraId="14CD1DD9"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Salary Growth Rate</w:t>
            </w:r>
          </w:p>
        </w:tc>
        <w:tc>
          <w:tcPr>
            <w:tcW w:w="775" w:type="pct"/>
            <w:shd w:val="clear" w:color="auto" w:fill="auto"/>
            <w:noWrap/>
            <w:vAlign w:val="bottom"/>
            <w:hideMark/>
          </w:tcPr>
          <w:p w14:paraId="1BFEDD7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w:t>
            </w:r>
          </w:p>
        </w:tc>
        <w:tc>
          <w:tcPr>
            <w:tcW w:w="689" w:type="pct"/>
            <w:shd w:val="clear" w:color="auto" w:fill="auto"/>
            <w:noWrap/>
            <w:vAlign w:val="bottom"/>
            <w:hideMark/>
          </w:tcPr>
          <w:p w14:paraId="1B8394B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w:t>
            </w:r>
          </w:p>
        </w:tc>
        <w:tc>
          <w:tcPr>
            <w:tcW w:w="914" w:type="pct"/>
            <w:shd w:val="clear" w:color="auto" w:fill="auto"/>
            <w:noWrap/>
            <w:vAlign w:val="bottom"/>
            <w:hideMark/>
          </w:tcPr>
          <w:p w14:paraId="21EE2DC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w:t>
            </w:r>
          </w:p>
        </w:tc>
      </w:tr>
      <w:tr w:rsidR="005B5953" w:rsidRPr="005B12AE" w14:paraId="66D256DF" w14:textId="77777777" w:rsidTr="00250DAC">
        <w:trPr>
          <w:trHeight w:val="20"/>
        </w:trPr>
        <w:tc>
          <w:tcPr>
            <w:tcW w:w="2623" w:type="pct"/>
            <w:shd w:val="clear" w:color="auto" w:fill="auto"/>
            <w:vAlign w:val="bottom"/>
            <w:hideMark/>
          </w:tcPr>
          <w:p w14:paraId="70B33BEF"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Expected rate of return</w:t>
            </w:r>
          </w:p>
        </w:tc>
        <w:tc>
          <w:tcPr>
            <w:tcW w:w="775" w:type="pct"/>
            <w:shd w:val="clear" w:color="auto" w:fill="auto"/>
            <w:noWrap/>
            <w:vAlign w:val="bottom"/>
            <w:hideMark/>
          </w:tcPr>
          <w:p w14:paraId="270F33F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N.A.</w:t>
            </w:r>
          </w:p>
        </w:tc>
        <w:tc>
          <w:tcPr>
            <w:tcW w:w="689" w:type="pct"/>
            <w:shd w:val="clear" w:color="auto" w:fill="auto"/>
            <w:noWrap/>
            <w:vAlign w:val="bottom"/>
            <w:hideMark/>
          </w:tcPr>
          <w:p w14:paraId="0D49533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N.A.</w:t>
            </w:r>
          </w:p>
        </w:tc>
        <w:tc>
          <w:tcPr>
            <w:tcW w:w="914" w:type="pct"/>
            <w:shd w:val="clear" w:color="auto" w:fill="auto"/>
            <w:noWrap/>
            <w:vAlign w:val="bottom"/>
            <w:hideMark/>
          </w:tcPr>
          <w:p w14:paraId="510924B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N.A.</w:t>
            </w:r>
          </w:p>
        </w:tc>
      </w:tr>
      <w:tr w:rsidR="005B5953" w:rsidRPr="005B12AE" w14:paraId="3BC9C539" w14:textId="77777777" w:rsidTr="00250DAC">
        <w:trPr>
          <w:trHeight w:val="20"/>
        </w:trPr>
        <w:tc>
          <w:tcPr>
            <w:tcW w:w="2623" w:type="pct"/>
            <w:shd w:val="clear" w:color="auto" w:fill="auto"/>
            <w:vAlign w:val="bottom"/>
            <w:hideMark/>
          </w:tcPr>
          <w:p w14:paraId="2E5B9369"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Expected Average remaining working lives of employees (Years)</w:t>
            </w:r>
          </w:p>
        </w:tc>
        <w:tc>
          <w:tcPr>
            <w:tcW w:w="775" w:type="pct"/>
            <w:shd w:val="clear" w:color="auto" w:fill="auto"/>
            <w:noWrap/>
            <w:vAlign w:val="bottom"/>
            <w:hideMark/>
          </w:tcPr>
          <w:p w14:paraId="0A32FA4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22.45</w:t>
            </w:r>
          </w:p>
        </w:tc>
        <w:tc>
          <w:tcPr>
            <w:tcW w:w="689" w:type="pct"/>
            <w:shd w:val="clear" w:color="auto" w:fill="auto"/>
            <w:vAlign w:val="bottom"/>
            <w:hideMark/>
          </w:tcPr>
          <w:p w14:paraId="60B8A5D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23.97</w:t>
            </w:r>
          </w:p>
        </w:tc>
        <w:tc>
          <w:tcPr>
            <w:tcW w:w="914" w:type="pct"/>
            <w:shd w:val="clear" w:color="auto" w:fill="auto"/>
            <w:noWrap/>
            <w:vAlign w:val="bottom"/>
            <w:hideMark/>
          </w:tcPr>
          <w:p w14:paraId="26C056A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24.59</w:t>
            </w:r>
          </w:p>
        </w:tc>
      </w:tr>
    </w:tbl>
    <w:p w14:paraId="469FF326" w14:textId="77777777" w:rsidR="005B5953" w:rsidRPr="005B12AE" w:rsidRDefault="005B5953" w:rsidP="005B5953">
      <w:pPr>
        <w:spacing w:after="0"/>
        <w:rPr>
          <w:rFonts w:ascii="Times New Roman" w:hAnsi="Times New Roman"/>
          <w:sz w:val="20"/>
          <w:szCs w:val="20"/>
        </w:rPr>
      </w:pPr>
    </w:p>
    <w:p w14:paraId="013FD1AC" w14:textId="77777777" w:rsidR="005B5953" w:rsidRPr="005B12AE" w:rsidRDefault="005B5953" w:rsidP="005B5953">
      <w:pPr>
        <w:spacing w:after="0"/>
        <w:ind w:left="270" w:hanging="270"/>
        <w:jc w:val="both"/>
        <w:rPr>
          <w:rFonts w:ascii="Times New Roman" w:hAnsi="Times New Roman"/>
          <w:sz w:val="20"/>
          <w:szCs w:val="20"/>
        </w:rPr>
      </w:pPr>
      <w:r w:rsidRPr="005B12AE">
        <w:rPr>
          <w:rFonts w:ascii="Times New Roman" w:hAnsi="Times New Roman"/>
          <w:sz w:val="20"/>
          <w:szCs w:val="20"/>
        </w:rPr>
        <w:t>1. The estimates of future salary increases, considered in Actuarial valuation, take account of inflation, seniority, promotion and other relavant factor, such as supply and demand in the employment market.</w:t>
      </w:r>
    </w:p>
    <w:p w14:paraId="085B774C" w14:textId="77777777" w:rsidR="005B5953" w:rsidRPr="005B12AE" w:rsidRDefault="005B5953" w:rsidP="005B5953">
      <w:pPr>
        <w:spacing w:after="0"/>
        <w:ind w:left="270" w:hanging="270"/>
        <w:jc w:val="both"/>
        <w:rPr>
          <w:rFonts w:ascii="Times New Roman" w:hAnsi="Times New Roman"/>
          <w:sz w:val="20"/>
          <w:szCs w:val="20"/>
        </w:rPr>
      </w:pPr>
    </w:p>
    <w:p w14:paraId="37FC60D9" w14:textId="77777777" w:rsidR="005B5953" w:rsidRPr="005B12AE" w:rsidRDefault="005B5953" w:rsidP="005B5953">
      <w:pPr>
        <w:spacing w:after="0"/>
        <w:ind w:left="270" w:hanging="270"/>
        <w:jc w:val="both"/>
        <w:rPr>
          <w:rFonts w:ascii="Times New Roman" w:hAnsi="Times New Roman"/>
          <w:sz w:val="20"/>
          <w:szCs w:val="20"/>
        </w:rPr>
      </w:pPr>
      <w:r w:rsidRPr="005B12AE">
        <w:rPr>
          <w:rFonts w:ascii="Times New Roman" w:hAnsi="Times New Roman"/>
          <w:sz w:val="20"/>
          <w:szCs w:val="20"/>
        </w:rPr>
        <w:t>2. The company was not making provision of Post Employment Benefit until the last financial year, however, in the current financial year, company has recognized the Post Employment Benefit for all the past three financial years in accordance to the Actuarial Valuation Report issued by the Kapadia Global Actuaries as per AS 15 (Revised 2005) Gratutity Benefits.</w:t>
      </w:r>
    </w:p>
    <w:p w14:paraId="681C39B0" w14:textId="77777777" w:rsidR="005B5953" w:rsidRPr="005B12AE" w:rsidRDefault="005B5953" w:rsidP="005B5953">
      <w:pPr>
        <w:spacing w:after="0"/>
        <w:ind w:left="270" w:hanging="270"/>
        <w:jc w:val="both"/>
        <w:rPr>
          <w:rFonts w:ascii="Times New Roman" w:hAnsi="Times New Roman"/>
          <w:sz w:val="20"/>
          <w:szCs w:val="20"/>
        </w:rPr>
      </w:pPr>
    </w:p>
    <w:p w14:paraId="1DDDF6CC" w14:textId="77777777" w:rsidR="005B5953" w:rsidRPr="005B12AE" w:rsidRDefault="005B5953" w:rsidP="005B5953">
      <w:pPr>
        <w:spacing w:after="0"/>
        <w:ind w:left="270" w:hanging="270"/>
        <w:jc w:val="center"/>
        <w:rPr>
          <w:rFonts w:ascii="Times New Roman" w:hAnsi="Times New Roman"/>
          <w:b/>
          <w:bCs/>
          <w:sz w:val="20"/>
          <w:szCs w:val="20"/>
        </w:rPr>
      </w:pPr>
      <w:r w:rsidRPr="005B12AE">
        <w:rPr>
          <w:rFonts w:ascii="Times New Roman" w:hAnsi="Times New Roman"/>
          <w:b/>
          <w:bCs/>
          <w:sz w:val="20"/>
          <w:szCs w:val="20"/>
        </w:rPr>
        <w:t>NOTE – D</w:t>
      </w:r>
    </w:p>
    <w:p w14:paraId="6751AC20" w14:textId="77777777" w:rsidR="005B5953" w:rsidRPr="005B12AE" w:rsidRDefault="005B5953" w:rsidP="005B5953">
      <w:pPr>
        <w:spacing w:after="0"/>
        <w:ind w:left="270" w:hanging="270"/>
        <w:jc w:val="center"/>
        <w:rPr>
          <w:rFonts w:ascii="Times New Roman" w:hAnsi="Times New Roman"/>
          <w:b/>
          <w:bCs/>
          <w:sz w:val="20"/>
          <w:szCs w:val="20"/>
        </w:rPr>
      </w:pPr>
    </w:p>
    <w:p w14:paraId="4345346C" w14:textId="77777777" w:rsidR="005B5953" w:rsidRPr="005B12AE" w:rsidRDefault="005B5953" w:rsidP="005B5953">
      <w:pPr>
        <w:spacing w:after="0"/>
        <w:ind w:left="270" w:hanging="270"/>
        <w:jc w:val="center"/>
        <w:rPr>
          <w:rFonts w:ascii="Times New Roman" w:hAnsi="Times New Roman"/>
          <w:b/>
          <w:bCs/>
          <w:sz w:val="20"/>
          <w:szCs w:val="20"/>
        </w:rPr>
      </w:pPr>
      <w:r w:rsidRPr="005B12AE">
        <w:rPr>
          <w:rFonts w:ascii="Times New Roman" w:hAnsi="Times New Roman"/>
          <w:b/>
          <w:bCs/>
          <w:sz w:val="20"/>
          <w:szCs w:val="20"/>
        </w:rPr>
        <w:t>RESTATED STATEMENT OF SHORT-TERM BORROWINGS</w:t>
      </w:r>
    </w:p>
    <w:p w14:paraId="50F8E32F" w14:textId="77777777" w:rsidR="005B5953" w:rsidRPr="005B12AE" w:rsidRDefault="005B5953" w:rsidP="005B5953">
      <w:pPr>
        <w:spacing w:after="0"/>
        <w:jc w:val="right"/>
        <w:rPr>
          <w:rFonts w:ascii="Times New Roman" w:hAnsi="Times New Roman"/>
          <w:b/>
          <w:bCs/>
          <w:sz w:val="20"/>
          <w:szCs w:val="20"/>
        </w:rPr>
      </w:pPr>
      <w:r w:rsidRPr="005B12AE">
        <w:rPr>
          <w:rFonts w:ascii="Times New Roman" w:hAnsi="Times New Roman"/>
          <w:b/>
          <w:bCs/>
          <w:sz w:val="20"/>
          <w:szCs w:val="20"/>
        </w:rPr>
        <w:t>(₹ in Lakhs)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0"/>
        <w:gridCol w:w="1711"/>
        <w:gridCol w:w="1621"/>
        <w:gridCol w:w="1554"/>
      </w:tblGrid>
      <w:tr w:rsidR="005B5953" w:rsidRPr="005B12AE" w14:paraId="6BE4535F" w14:textId="77777777" w:rsidTr="00250DAC">
        <w:trPr>
          <w:trHeight w:val="20"/>
        </w:trPr>
        <w:tc>
          <w:tcPr>
            <w:tcW w:w="2664" w:type="pct"/>
            <w:vMerge w:val="restart"/>
            <w:shd w:val="clear" w:color="auto" w:fill="D0CECE" w:themeFill="background2" w:themeFillShade="E6"/>
            <w:noWrap/>
            <w:vAlign w:val="center"/>
            <w:hideMark/>
          </w:tcPr>
          <w:p w14:paraId="773054A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Particulars</w:t>
            </w:r>
          </w:p>
          <w:p w14:paraId="142C1E3A" w14:textId="77777777" w:rsidR="005B5953" w:rsidRPr="005B12AE" w:rsidRDefault="005B5953" w:rsidP="00250DAC">
            <w:pPr>
              <w:spacing w:after="0" w:line="240" w:lineRule="auto"/>
              <w:jc w:val="center"/>
              <w:rPr>
                <w:rFonts w:ascii="Times New Roman" w:hAnsi="Times New Roman"/>
                <w:b/>
                <w:bCs/>
                <w:sz w:val="20"/>
                <w:szCs w:val="20"/>
              </w:rPr>
            </w:pPr>
          </w:p>
        </w:tc>
        <w:tc>
          <w:tcPr>
            <w:tcW w:w="2336" w:type="pct"/>
            <w:gridSpan w:val="3"/>
            <w:shd w:val="clear" w:color="auto" w:fill="D0CECE" w:themeFill="background2" w:themeFillShade="E6"/>
            <w:noWrap/>
            <w:vAlign w:val="bottom"/>
            <w:hideMark/>
          </w:tcPr>
          <w:p w14:paraId="7B905A47"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As At</w:t>
            </w:r>
          </w:p>
        </w:tc>
      </w:tr>
      <w:tr w:rsidR="005B5953" w:rsidRPr="005B12AE" w14:paraId="3E8A008E" w14:textId="77777777" w:rsidTr="00250DAC">
        <w:trPr>
          <w:trHeight w:val="20"/>
        </w:trPr>
        <w:tc>
          <w:tcPr>
            <w:tcW w:w="2664" w:type="pct"/>
            <w:vMerge/>
            <w:shd w:val="clear" w:color="auto" w:fill="D0CECE" w:themeFill="background2" w:themeFillShade="E6"/>
            <w:noWrap/>
            <w:vAlign w:val="bottom"/>
            <w:hideMark/>
          </w:tcPr>
          <w:p w14:paraId="315F4DD6" w14:textId="77777777" w:rsidR="005B5953" w:rsidRPr="005B12AE" w:rsidRDefault="005B5953" w:rsidP="00250DAC">
            <w:pPr>
              <w:spacing w:after="0" w:line="240" w:lineRule="auto"/>
              <w:rPr>
                <w:rFonts w:ascii="Times New Roman" w:hAnsi="Times New Roman"/>
                <w:b/>
                <w:bCs/>
                <w:sz w:val="20"/>
                <w:szCs w:val="20"/>
              </w:rPr>
            </w:pPr>
          </w:p>
        </w:tc>
        <w:tc>
          <w:tcPr>
            <w:tcW w:w="818" w:type="pct"/>
            <w:shd w:val="clear" w:color="auto" w:fill="D0CECE" w:themeFill="background2" w:themeFillShade="E6"/>
            <w:noWrap/>
            <w:vAlign w:val="bottom"/>
            <w:hideMark/>
          </w:tcPr>
          <w:p w14:paraId="3039DAFE"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31/03/2023</w:t>
            </w:r>
          </w:p>
        </w:tc>
        <w:tc>
          <w:tcPr>
            <w:tcW w:w="775" w:type="pct"/>
            <w:shd w:val="clear" w:color="auto" w:fill="D0CECE" w:themeFill="background2" w:themeFillShade="E6"/>
            <w:noWrap/>
            <w:vAlign w:val="bottom"/>
            <w:hideMark/>
          </w:tcPr>
          <w:p w14:paraId="36930A5B"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31/03/2022</w:t>
            </w:r>
          </w:p>
        </w:tc>
        <w:tc>
          <w:tcPr>
            <w:tcW w:w="743" w:type="pct"/>
            <w:shd w:val="clear" w:color="auto" w:fill="D0CECE" w:themeFill="background2" w:themeFillShade="E6"/>
            <w:noWrap/>
            <w:vAlign w:val="bottom"/>
            <w:hideMark/>
          </w:tcPr>
          <w:p w14:paraId="420114DC"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31/03/2021</w:t>
            </w:r>
          </w:p>
        </w:tc>
      </w:tr>
      <w:tr w:rsidR="005B5953" w:rsidRPr="005B12AE" w14:paraId="6FAB5802" w14:textId="77777777" w:rsidTr="00250DAC">
        <w:trPr>
          <w:trHeight w:val="20"/>
        </w:trPr>
        <w:tc>
          <w:tcPr>
            <w:tcW w:w="2664" w:type="pct"/>
            <w:shd w:val="clear" w:color="auto" w:fill="auto"/>
            <w:noWrap/>
            <w:vAlign w:val="bottom"/>
            <w:hideMark/>
          </w:tcPr>
          <w:p w14:paraId="4F44301C"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Secured (Payable within 12 months)</w:t>
            </w:r>
          </w:p>
        </w:tc>
        <w:tc>
          <w:tcPr>
            <w:tcW w:w="818" w:type="pct"/>
            <w:shd w:val="clear" w:color="auto" w:fill="auto"/>
            <w:noWrap/>
            <w:vAlign w:val="bottom"/>
            <w:hideMark/>
          </w:tcPr>
          <w:p w14:paraId="05F68AED" w14:textId="77777777" w:rsidR="005B5953" w:rsidRPr="005B12AE" w:rsidRDefault="005B5953" w:rsidP="00250DAC">
            <w:pPr>
              <w:spacing w:after="0" w:line="240" w:lineRule="auto"/>
              <w:jc w:val="center"/>
              <w:rPr>
                <w:rFonts w:ascii="Times New Roman" w:hAnsi="Times New Roman"/>
                <w:sz w:val="20"/>
                <w:szCs w:val="20"/>
              </w:rPr>
            </w:pPr>
          </w:p>
        </w:tc>
        <w:tc>
          <w:tcPr>
            <w:tcW w:w="775" w:type="pct"/>
            <w:shd w:val="clear" w:color="auto" w:fill="auto"/>
            <w:noWrap/>
            <w:vAlign w:val="bottom"/>
            <w:hideMark/>
          </w:tcPr>
          <w:p w14:paraId="5E3C5706" w14:textId="77777777" w:rsidR="005B5953" w:rsidRPr="005B12AE" w:rsidRDefault="005B5953" w:rsidP="00250DAC">
            <w:pPr>
              <w:spacing w:after="0" w:line="240" w:lineRule="auto"/>
              <w:jc w:val="center"/>
              <w:rPr>
                <w:rFonts w:ascii="Times New Roman" w:hAnsi="Times New Roman"/>
                <w:sz w:val="20"/>
                <w:szCs w:val="20"/>
              </w:rPr>
            </w:pPr>
          </w:p>
        </w:tc>
        <w:tc>
          <w:tcPr>
            <w:tcW w:w="743" w:type="pct"/>
            <w:shd w:val="clear" w:color="auto" w:fill="auto"/>
            <w:noWrap/>
            <w:vAlign w:val="bottom"/>
            <w:hideMark/>
          </w:tcPr>
          <w:p w14:paraId="4BE37279"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178B8C7D" w14:textId="77777777" w:rsidTr="00250DAC">
        <w:trPr>
          <w:trHeight w:val="20"/>
        </w:trPr>
        <w:tc>
          <w:tcPr>
            <w:tcW w:w="2664" w:type="pct"/>
            <w:shd w:val="clear" w:color="auto" w:fill="auto"/>
            <w:noWrap/>
            <w:vAlign w:val="bottom"/>
            <w:hideMark/>
          </w:tcPr>
          <w:p w14:paraId="1B5C2C94"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 xml:space="preserve">Loan Repayable on Demand </w:t>
            </w:r>
          </w:p>
        </w:tc>
        <w:tc>
          <w:tcPr>
            <w:tcW w:w="818" w:type="pct"/>
            <w:shd w:val="clear" w:color="auto" w:fill="auto"/>
            <w:noWrap/>
            <w:vAlign w:val="bottom"/>
            <w:hideMark/>
          </w:tcPr>
          <w:p w14:paraId="3A26FA50" w14:textId="77777777" w:rsidR="005B5953" w:rsidRPr="005B12AE" w:rsidRDefault="005B5953" w:rsidP="00250DAC">
            <w:pPr>
              <w:spacing w:after="0" w:line="240" w:lineRule="auto"/>
              <w:jc w:val="center"/>
              <w:rPr>
                <w:rFonts w:ascii="Times New Roman" w:hAnsi="Times New Roman"/>
                <w:sz w:val="20"/>
                <w:szCs w:val="20"/>
              </w:rPr>
            </w:pPr>
          </w:p>
        </w:tc>
        <w:tc>
          <w:tcPr>
            <w:tcW w:w="775" w:type="pct"/>
            <w:shd w:val="clear" w:color="auto" w:fill="auto"/>
            <w:noWrap/>
            <w:vAlign w:val="bottom"/>
            <w:hideMark/>
          </w:tcPr>
          <w:p w14:paraId="045DB305" w14:textId="77777777" w:rsidR="005B5953" w:rsidRPr="005B12AE" w:rsidRDefault="005B5953" w:rsidP="00250DAC">
            <w:pPr>
              <w:spacing w:after="0" w:line="240" w:lineRule="auto"/>
              <w:jc w:val="center"/>
              <w:rPr>
                <w:rFonts w:ascii="Times New Roman" w:hAnsi="Times New Roman"/>
                <w:sz w:val="20"/>
                <w:szCs w:val="20"/>
              </w:rPr>
            </w:pPr>
          </w:p>
        </w:tc>
        <w:tc>
          <w:tcPr>
            <w:tcW w:w="743" w:type="pct"/>
            <w:shd w:val="clear" w:color="auto" w:fill="auto"/>
            <w:noWrap/>
            <w:vAlign w:val="bottom"/>
            <w:hideMark/>
          </w:tcPr>
          <w:p w14:paraId="19A98622"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248281FA" w14:textId="77777777" w:rsidTr="00250DAC">
        <w:trPr>
          <w:trHeight w:val="20"/>
        </w:trPr>
        <w:tc>
          <w:tcPr>
            <w:tcW w:w="2664" w:type="pct"/>
            <w:shd w:val="clear" w:color="auto" w:fill="auto"/>
            <w:noWrap/>
            <w:vAlign w:val="bottom"/>
            <w:hideMark/>
          </w:tcPr>
          <w:p w14:paraId="5F994B7C"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From Banks</w:t>
            </w:r>
          </w:p>
        </w:tc>
        <w:tc>
          <w:tcPr>
            <w:tcW w:w="818" w:type="pct"/>
            <w:shd w:val="clear" w:color="auto" w:fill="auto"/>
            <w:noWrap/>
            <w:vAlign w:val="bottom"/>
            <w:hideMark/>
          </w:tcPr>
          <w:p w14:paraId="16F1B71B" w14:textId="77777777" w:rsidR="005B5953" w:rsidRPr="005B12AE" w:rsidRDefault="005B5953" w:rsidP="00250DAC">
            <w:pPr>
              <w:spacing w:after="0" w:line="240" w:lineRule="auto"/>
              <w:jc w:val="center"/>
              <w:rPr>
                <w:rFonts w:ascii="Times New Roman" w:hAnsi="Times New Roman"/>
                <w:sz w:val="20"/>
                <w:szCs w:val="20"/>
              </w:rPr>
            </w:pPr>
          </w:p>
        </w:tc>
        <w:tc>
          <w:tcPr>
            <w:tcW w:w="775" w:type="pct"/>
            <w:shd w:val="clear" w:color="auto" w:fill="auto"/>
            <w:noWrap/>
            <w:vAlign w:val="bottom"/>
            <w:hideMark/>
          </w:tcPr>
          <w:p w14:paraId="520A3F3B" w14:textId="77777777" w:rsidR="005B5953" w:rsidRPr="005B12AE" w:rsidRDefault="005B5953" w:rsidP="00250DAC">
            <w:pPr>
              <w:spacing w:after="0" w:line="240" w:lineRule="auto"/>
              <w:jc w:val="center"/>
              <w:rPr>
                <w:rFonts w:ascii="Times New Roman" w:hAnsi="Times New Roman"/>
                <w:sz w:val="20"/>
                <w:szCs w:val="20"/>
              </w:rPr>
            </w:pPr>
          </w:p>
        </w:tc>
        <w:tc>
          <w:tcPr>
            <w:tcW w:w="743" w:type="pct"/>
            <w:shd w:val="clear" w:color="auto" w:fill="auto"/>
            <w:noWrap/>
            <w:vAlign w:val="bottom"/>
            <w:hideMark/>
          </w:tcPr>
          <w:p w14:paraId="6E288BA7"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72EEE8AF" w14:textId="77777777" w:rsidTr="00250DAC">
        <w:trPr>
          <w:trHeight w:val="20"/>
        </w:trPr>
        <w:tc>
          <w:tcPr>
            <w:tcW w:w="2664" w:type="pct"/>
            <w:shd w:val="clear" w:color="auto" w:fill="auto"/>
            <w:noWrap/>
            <w:vAlign w:val="bottom"/>
            <w:hideMark/>
          </w:tcPr>
          <w:p w14:paraId="3DC1147C" w14:textId="77777777" w:rsidR="005B5953" w:rsidRPr="005B12AE" w:rsidRDefault="005B5953" w:rsidP="00250DAC">
            <w:pPr>
              <w:spacing w:after="0" w:line="240" w:lineRule="auto"/>
              <w:ind w:firstLineChars="100" w:firstLine="200"/>
              <w:rPr>
                <w:rFonts w:ascii="Times New Roman" w:hAnsi="Times New Roman"/>
                <w:sz w:val="20"/>
                <w:szCs w:val="20"/>
              </w:rPr>
            </w:pPr>
            <w:r w:rsidRPr="005B12AE">
              <w:rPr>
                <w:rFonts w:ascii="Times New Roman" w:hAnsi="Times New Roman"/>
                <w:sz w:val="20"/>
                <w:szCs w:val="20"/>
              </w:rPr>
              <w:t>Union Bank of India</w:t>
            </w:r>
          </w:p>
        </w:tc>
        <w:tc>
          <w:tcPr>
            <w:tcW w:w="818" w:type="pct"/>
            <w:shd w:val="clear" w:color="auto" w:fill="auto"/>
            <w:noWrap/>
            <w:vAlign w:val="bottom"/>
            <w:hideMark/>
          </w:tcPr>
          <w:p w14:paraId="333BA98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4,599.45</w:t>
            </w:r>
          </w:p>
        </w:tc>
        <w:tc>
          <w:tcPr>
            <w:tcW w:w="775" w:type="pct"/>
            <w:shd w:val="clear" w:color="auto" w:fill="auto"/>
            <w:noWrap/>
            <w:vAlign w:val="bottom"/>
            <w:hideMark/>
          </w:tcPr>
          <w:p w14:paraId="12E3304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2,323.25</w:t>
            </w:r>
          </w:p>
        </w:tc>
        <w:tc>
          <w:tcPr>
            <w:tcW w:w="743" w:type="pct"/>
            <w:shd w:val="clear" w:color="auto" w:fill="auto"/>
            <w:noWrap/>
            <w:vAlign w:val="bottom"/>
            <w:hideMark/>
          </w:tcPr>
          <w:p w14:paraId="30C0E3C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1,123.62</w:t>
            </w:r>
          </w:p>
        </w:tc>
      </w:tr>
      <w:tr w:rsidR="005B5953" w:rsidRPr="005B12AE" w14:paraId="54AD4FDD" w14:textId="77777777" w:rsidTr="00250DAC">
        <w:trPr>
          <w:trHeight w:val="20"/>
        </w:trPr>
        <w:tc>
          <w:tcPr>
            <w:tcW w:w="2664" w:type="pct"/>
            <w:shd w:val="clear" w:color="auto" w:fill="auto"/>
            <w:noWrap/>
            <w:vAlign w:val="bottom"/>
            <w:hideMark/>
          </w:tcPr>
          <w:p w14:paraId="526185E6"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From Other Parties </w:t>
            </w:r>
          </w:p>
        </w:tc>
        <w:tc>
          <w:tcPr>
            <w:tcW w:w="818" w:type="pct"/>
            <w:shd w:val="clear" w:color="auto" w:fill="auto"/>
            <w:noWrap/>
            <w:vAlign w:val="bottom"/>
            <w:hideMark/>
          </w:tcPr>
          <w:p w14:paraId="025A9A0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75" w:type="pct"/>
            <w:shd w:val="clear" w:color="auto" w:fill="auto"/>
            <w:noWrap/>
            <w:vAlign w:val="bottom"/>
            <w:hideMark/>
          </w:tcPr>
          <w:p w14:paraId="68D2DCD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43" w:type="pct"/>
            <w:shd w:val="clear" w:color="auto" w:fill="auto"/>
            <w:noWrap/>
            <w:vAlign w:val="bottom"/>
            <w:hideMark/>
          </w:tcPr>
          <w:p w14:paraId="7C6F4B6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42CBA83C" w14:textId="77777777" w:rsidTr="00250DAC">
        <w:trPr>
          <w:trHeight w:val="20"/>
        </w:trPr>
        <w:tc>
          <w:tcPr>
            <w:tcW w:w="2664" w:type="pct"/>
            <w:shd w:val="clear" w:color="auto" w:fill="auto"/>
            <w:noWrap/>
            <w:vAlign w:val="bottom"/>
            <w:hideMark/>
          </w:tcPr>
          <w:p w14:paraId="17DDC53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Sub total (a)</w:t>
            </w:r>
          </w:p>
        </w:tc>
        <w:tc>
          <w:tcPr>
            <w:tcW w:w="818" w:type="pct"/>
            <w:shd w:val="clear" w:color="auto" w:fill="auto"/>
            <w:noWrap/>
            <w:vAlign w:val="bottom"/>
            <w:hideMark/>
          </w:tcPr>
          <w:p w14:paraId="31E30F4B"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4,599.45</w:t>
            </w:r>
          </w:p>
        </w:tc>
        <w:tc>
          <w:tcPr>
            <w:tcW w:w="775" w:type="pct"/>
            <w:shd w:val="clear" w:color="auto" w:fill="auto"/>
            <w:noWrap/>
            <w:vAlign w:val="bottom"/>
            <w:hideMark/>
          </w:tcPr>
          <w:p w14:paraId="6ECE7AF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2,323.25</w:t>
            </w:r>
          </w:p>
        </w:tc>
        <w:tc>
          <w:tcPr>
            <w:tcW w:w="743" w:type="pct"/>
            <w:shd w:val="clear" w:color="auto" w:fill="auto"/>
            <w:noWrap/>
            <w:vAlign w:val="bottom"/>
            <w:hideMark/>
          </w:tcPr>
          <w:p w14:paraId="024F99CB"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1,123.62</w:t>
            </w:r>
          </w:p>
        </w:tc>
      </w:tr>
      <w:tr w:rsidR="005B5953" w:rsidRPr="005B12AE" w14:paraId="78A40724" w14:textId="77777777" w:rsidTr="00250DAC">
        <w:trPr>
          <w:trHeight w:val="20"/>
        </w:trPr>
        <w:tc>
          <w:tcPr>
            <w:tcW w:w="2664" w:type="pct"/>
            <w:shd w:val="clear" w:color="auto" w:fill="auto"/>
            <w:noWrap/>
            <w:vAlign w:val="bottom"/>
            <w:hideMark/>
          </w:tcPr>
          <w:p w14:paraId="1A01D513"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 xml:space="preserve">Un-Secured </w:t>
            </w:r>
          </w:p>
        </w:tc>
        <w:tc>
          <w:tcPr>
            <w:tcW w:w="818" w:type="pct"/>
            <w:shd w:val="clear" w:color="auto" w:fill="auto"/>
            <w:noWrap/>
            <w:vAlign w:val="bottom"/>
            <w:hideMark/>
          </w:tcPr>
          <w:p w14:paraId="53580B20" w14:textId="77777777" w:rsidR="005B5953" w:rsidRPr="005B12AE" w:rsidRDefault="005B5953" w:rsidP="00250DAC">
            <w:pPr>
              <w:spacing w:after="0" w:line="240" w:lineRule="auto"/>
              <w:jc w:val="center"/>
              <w:rPr>
                <w:rFonts w:ascii="Times New Roman" w:hAnsi="Times New Roman"/>
                <w:sz w:val="20"/>
                <w:szCs w:val="20"/>
              </w:rPr>
            </w:pPr>
          </w:p>
        </w:tc>
        <w:tc>
          <w:tcPr>
            <w:tcW w:w="775" w:type="pct"/>
            <w:shd w:val="clear" w:color="auto" w:fill="auto"/>
            <w:noWrap/>
            <w:vAlign w:val="bottom"/>
            <w:hideMark/>
          </w:tcPr>
          <w:p w14:paraId="73AFA091" w14:textId="77777777" w:rsidR="005B5953" w:rsidRPr="005B12AE" w:rsidRDefault="005B5953" w:rsidP="00250DAC">
            <w:pPr>
              <w:spacing w:after="0" w:line="240" w:lineRule="auto"/>
              <w:jc w:val="center"/>
              <w:rPr>
                <w:rFonts w:ascii="Times New Roman" w:hAnsi="Times New Roman"/>
                <w:sz w:val="20"/>
                <w:szCs w:val="20"/>
              </w:rPr>
            </w:pPr>
          </w:p>
        </w:tc>
        <w:tc>
          <w:tcPr>
            <w:tcW w:w="743" w:type="pct"/>
            <w:shd w:val="clear" w:color="auto" w:fill="auto"/>
            <w:noWrap/>
            <w:vAlign w:val="bottom"/>
            <w:hideMark/>
          </w:tcPr>
          <w:p w14:paraId="33AFC1A1"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2DCF6A63" w14:textId="77777777" w:rsidTr="00250DAC">
        <w:trPr>
          <w:trHeight w:val="20"/>
        </w:trPr>
        <w:tc>
          <w:tcPr>
            <w:tcW w:w="2664" w:type="pct"/>
            <w:shd w:val="clear" w:color="auto" w:fill="auto"/>
            <w:noWrap/>
            <w:vAlign w:val="bottom"/>
            <w:hideMark/>
          </w:tcPr>
          <w:p w14:paraId="47B2DF1F"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Loan from Others </w:t>
            </w:r>
          </w:p>
        </w:tc>
        <w:tc>
          <w:tcPr>
            <w:tcW w:w="818" w:type="pct"/>
            <w:shd w:val="clear" w:color="auto" w:fill="auto"/>
            <w:noWrap/>
            <w:vAlign w:val="bottom"/>
            <w:hideMark/>
          </w:tcPr>
          <w:p w14:paraId="34268998" w14:textId="77777777" w:rsidR="005B5953" w:rsidRPr="005B12AE" w:rsidRDefault="005B5953" w:rsidP="00250DAC">
            <w:pPr>
              <w:spacing w:after="0" w:line="240" w:lineRule="auto"/>
              <w:jc w:val="center"/>
              <w:rPr>
                <w:rFonts w:ascii="Times New Roman" w:hAnsi="Times New Roman"/>
                <w:sz w:val="20"/>
                <w:szCs w:val="20"/>
              </w:rPr>
            </w:pPr>
          </w:p>
        </w:tc>
        <w:tc>
          <w:tcPr>
            <w:tcW w:w="775" w:type="pct"/>
            <w:shd w:val="clear" w:color="auto" w:fill="auto"/>
            <w:noWrap/>
            <w:vAlign w:val="bottom"/>
            <w:hideMark/>
          </w:tcPr>
          <w:p w14:paraId="4579642F" w14:textId="77777777" w:rsidR="005B5953" w:rsidRPr="005B12AE" w:rsidRDefault="005B5953" w:rsidP="00250DAC">
            <w:pPr>
              <w:spacing w:after="0" w:line="240" w:lineRule="auto"/>
              <w:jc w:val="center"/>
              <w:rPr>
                <w:rFonts w:ascii="Times New Roman" w:hAnsi="Times New Roman"/>
                <w:sz w:val="20"/>
                <w:szCs w:val="20"/>
              </w:rPr>
            </w:pPr>
          </w:p>
        </w:tc>
        <w:tc>
          <w:tcPr>
            <w:tcW w:w="743" w:type="pct"/>
            <w:shd w:val="clear" w:color="auto" w:fill="auto"/>
            <w:noWrap/>
            <w:vAlign w:val="bottom"/>
            <w:hideMark/>
          </w:tcPr>
          <w:p w14:paraId="5D05425A"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1D5C4A90" w14:textId="77777777" w:rsidTr="00250DAC">
        <w:trPr>
          <w:trHeight w:val="20"/>
        </w:trPr>
        <w:tc>
          <w:tcPr>
            <w:tcW w:w="2664" w:type="pct"/>
            <w:shd w:val="clear" w:color="auto" w:fill="auto"/>
            <w:vAlign w:val="bottom"/>
            <w:hideMark/>
          </w:tcPr>
          <w:p w14:paraId="09311CD4"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Dwarkadhish Venture Private Limited (formerly known as Siyaram Metals Private Limited) (Holding Company)</w:t>
            </w:r>
          </w:p>
        </w:tc>
        <w:tc>
          <w:tcPr>
            <w:tcW w:w="818" w:type="pct"/>
            <w:shd w:val="clear" w:color="auto" w:fill="auto"/>
            <w:noWrap/>
            <w:vAlign w:val="bottom"/>
            <w:hideMark/>
          </w:tcPr>
          <w:p w14:paraId="3C2BA1B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1,209.03</w:t>
            </w:r>
          </w:p>
        </w:tc>
        <w:tc>
          <w:tcPr>
            <w:tcW w:w="775" w:type="pct"/>
            <w:shd w:val="clear" w:color="auto" w:fill="auto"/>
            <w:noWrap/>
            <w:vAlign w:val="bottom"/>
            <w:hideMark/>
          </w:tcPr>
          <w:p w14:paraId="70E7EC3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43" w:type="pct"/>
            <w:shd w:val="clear" w:color="auto" w:fill="auto"/>
            <w:noWrap/>
            <w:vAlign w:val="bottom"/>
            <w:hideMark/>
          </w:tcPr>
          <w:p w14:paraId="0C5E6BD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72F19AE8" w14:textId="77777777" w:rsidTr="00250DAC">
        <w:trPr>
          <w:trHeight w:val="20"/>
        </w:trPr>
        <w:tc>
          <w:tcPr>
            <w:tcW w:w="2664" w:type="pct"/>
            <w:shd w:val="clear" w:color="auto" w:fill="auto"/>
            <w:noWrap/>
            <w:vAlign w:val="bottom"/>
            <w:hideMark/>
          </w:tcPr>
          <w:p w14:paraId="78A52AE9"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Loan from Directors</w:t>
            </w:r>
          </w:p>
        </w:tc>
        <w:tc>
          <w:tcPr>
            <w:tcW w:w="818" w:type="pct"/>
            <w:shd w:val="clear" w:color="auto" w:fill="auto"/>
            <w:noWrap/>
            <w:vAlign w:val="bottom"/>
            <w:hideMark/>
          </w:tcPr>
          <w:p w14:paraId="736C1A1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32.73</w:t>
            </w:r>
          </w:p>
        </w:tc>
        <w:tc>
          <w:tcPr>
            <w:tcW w:w="775" w:type="pct"/>
            <w:shd w:val="clear" w:color="auto" w:fill="auto"/>
            <w:noWrap/>
            <w:vAlign w:val="bottom"/>
            <w:hideMark/>
          </w:tcPr>
          <w:p w14:paraId="1532B2E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9.63</w:t>
            </w:r>
          </w:p>
        </w:tc>
        <w:tc>
          <w:tcPr>
            <w:tcW w:w="743" w:type="pct"/>
            <w:shd w:val="clear" w:color="auto" w:fill="auto"/>
            <w:noWrap/>
            <w:vAlign w:val="bottom"/>
            <w:hideMark/>
          </w:tcPr>
          <w:p w14:paraId="55066F8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53.40</w:t>
            </w:r>
          </w:p>
        </w:tc>
      </w:tr>
      <w:tr w:rsidR="005B5953" w:rsidRPr="005B12AE" w14:paraId="281364B9" w14:textId="77777777" w:rsidTr="00250DAC">
        <w:trPr>
          <w:trHeight w:val="20"/>
        </w:trPr>
        <w:tc>
          <w:tcPr>
            <w:tcW w:w="2664" w:type="pct"/>
            <w:shd w:val="clear" w:color="auto" w:fill="auto"/>
            <w:noWrap/>
            <w:vAlign w:val="bottom"/>
            <w:hideMark/>
          </w:tcPr>
          <w:p w14:paraId="39D0A2B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Sub Total (b)</w:t>
            </w:r>
          </w:p>
        </w:tc>
        <w:tc>
          <w:tcPr>
            <w:tcW w:w="818" w:type="pct"/>
            <w:shd w:val="clear" w:color="auto" w:fill="auto"/>
            <w:noWrap/>
            <w:vAlign w:val="bottom"/>
            <w:hideMark/>
          </w:tcPr>
          <w:p w14:paraId="13FEA6F0"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1,241.76</w:t>
            </w:r>
          </w:p>
        </w:tc>
        <w:tc>
          <w:tcPr>
            <w:tcW w:w="775" w:type="pct"/>
            <w:shd w:val="clear" w:color="auto" w:fill="auto"/>
            <w:noWrap/>
            <w:vAlign w:val="bottom"/>
            <w:hideMark/>
          </w:tcPr>
          <w:p w14:paraId="2B570CF8"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9.63</w:t>
            </w:r>
          </w:p>
        </w:tc>
        <w:tc>
          <w:tcPr>
            <w:tcW w:w="743" w:type="pct"/>
            <w:shd w:val="clear" w:color="auto" w:fill="auto"/>
            <w:noWrap/>
            <w:vAlign w:val="bottom"/>
            <w:hideMark/>
          </w:tcPr>
          <w:p w14:paraId="4599606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53.40</w:t>
            </w:r>
          </w:p>
        </w:tc>
      </w:tr>
      <w:tr w:rsidR="005B5953" w:rsidRPr="005B12AE" w14:paraId="43671783" w14:textId="77777777" w:rsidTr="00250DAC">
        <w:trPr>
          <w:trHeight w:val="20"/>
        </w:trPr>
        <w:tc>
          <w:tcPr>
            <w:tcW w:w="2664" w:type="pct"/>
            <w:shd w:val="clear" w:color="auto" w:fill="auto"/>
            <w:noWrap/>
            <w:vAlign w:val="bottom"/>
            <w:hideMark/>
          </w:tcPr>
          <w:p w14:paraId="0B0BCDE0"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Current Maturities of Long-Term Borrowings (Secured From Banks)</w:t>
            </w:r>
          </w:p>
        </w:tc>
        <w:tc>
          <w:tcPr>
            <w:tcW w:w="818" w:type="pct"/>
            <w:shd w:val="clear" w:color="auto" w:fill="auto"/>
            <w:noWrap/>
            <w:vAlign w:val="bottom"/>
            <w:hideMark/>
          </w:tcPr>
          <w:p w14:paraId="5EE5B47C"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162.94</w:t>
            </w:r>
          </w:p>
        </w:tc>
        <w:tc>
          <w:tcPr>
            <w:tcW w:w="775" w:type="pct"/>
            <w:shd w:val="clear" w:color="auto" w:fill="auto"/>
            <w:noWrap/>
            <w:vAlign w:val="bottom"/>
            <w:hideMark/>
          </w:tcPr>
          <w:p w14:paraId="2D49D609"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219.08</w:t>
            </w:r>
          </w:p>
        </w:tc>
        <w:tc>
          <w:tcPr>
            <w:tcW w:w="743" w:type="pct"/>
            <w:shd w:val="clear" w:color="auto" w:fill="auto"/>
            <w:noWrap/>
            <w:vAlign w:val="bottom"/>
            <w:hideMark/>
          </w:tcPr>
          <w:p w14:paraId="04A4DAB5"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169.32</w:t>
            </w:r>
          </w:p>
        </w:tc>
      </w:tr>
      <w:tr w:rsidR="005B5953" w:rsidRPr="005B12AE" w14:paraId="7624E5CB" w14:textId="77777777" w:rsidTr="00250DAC">
        <w:trPr>
          <w:trHeight w:val="20"/>
        </w:trPr>
        <w:tc>
          <w:tcPr>
            <w:tcW w:w="2664" w:type="pct"/>
            <w:shd w:val="clear" w:color="auto" w:fill="auto"/>
            <w:noWrap/>
            <w:vAlign w:val="center"/>
            <w:hideMark/>
          </w:tcPr>
          <w:p w14:paraId="64FDDA8C"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Sub Total (c )</w:t>
            </w:r>
          </w:p>
        </w:tc>
        <w:tc>
          <w:tcPr>
            <w:tcW w:w="818" w:type="pct"/>
            <w:shd w:val="clear" w:color="auto" w:fill="auto"/>
            <w:noWrap/>
            <w:vAlign w:val="bottom"/>
            <w:hideMark/>
          </w:tcPr>
          <w:p w14:paraId="79B6248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162.94</w:t>
            </w:r>
          </w:p>
        </w:tc>
        <w:tc>
          <w:tcPr>
            <w:tcW w:w="775" w:type="pct"/>
            <w:shd w:val="clear" w:color="auto" w:fill="auto"/>
            <w:noWrap/>
            <w:vAlign w:val="bottom"/>
            <w:hideMark/>
          </w:tcPr>
          <w:p w14:paraId="5BA3DF3A"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219.08</w:t>
            </w:r>
          </w:p>
        </w:tc>
        <w:tc>
          <w:tcPr>
            <w:tcW w:w="743" w:type="pct"/>
            <w:shd w:val="clear" w:color="auto" w:fill="auto"/>
            <w:noWrap/>
            <w:vAlign w:val="bottom"/>
            <w:hideMark/>
          </w:tcPr>
          <w:p w14:paraId="38B796E7"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169.32</w:t>
            </w:r>
          </w:p>
        </w:tc>
      </w:tr>
      <w:tr w:rsidR="005B5953" w:rsidRPr="005B12AE" w14:paraId="75D862F3" w14:textId="77777777" w:rsidTr="00250DAC">
        <w:trPr>
          <w:trHeight w:val="20"/>
        </w:trPr>
        <w:tc>
          <w:tcPr>
            <w:tcW w:w="2664" w:type="pct"/>
            <w:shd w:val="clear" w:color="auto" w:fill="auto"/>
            <w:noWrap/>
            <w:vAlign w:val="center"/>
            <w:hideMark/>
          </w:tcPr>
          <w:p w14:paraId="0090A0B3"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Total (a+b+c)</w:t>
            </w:r>
          </w:p>
        </w:tc>
        <w:tc>
          <w:tcPr>
            <w:tcW w:w="818" w:type="pct"/>
            <w:shd w:val="clear" w:color="auto" w:fill="auto"/>
            <w:noWrap/>
            <w:vAlign w:val="bottom"/>
            <w:hideMark/>
          </w:tcPr>
          <w:p w14:paraId="4771A18F"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6,004.14</w:t>
            </w:r>
          </w:p>
        </w:tc>
        <w:tc>
          <w:tcPr>
            <w:tcW w:w="775" w:type="pct"/>
            <w:shd w:val="clear" w:color="auto" w:fill="auto"/>
            <w:noWrap/>
            <w:vAlign w:val="bottom"/>
            <w:hideMark/>
          </w:tcPr>
          <w:p w14:paraId="6D4FBD1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2,551.97</w:t>
            </w:r>
          </w:p>
        </w:tc>
        <w:tc>
          <w:tcPr>
            <w:tcW w:w="743" w:type="pct"/>
            <w:shd w:val="clear" w:color="auto" w:fill="auto"/>
            <w:noWrap/>
            <w:vAlign w:val="bottom"/>
            <w:hideMark/>
          </w:tcPr>
          <w:p w14:paraId="271543D7"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1,346.33</w:t>
            </w:r>
          </w:p>
        </w:tc>
      </w:tr>
    </w:tbl>
    <w:p w14:paraId="0958E7F0" w14:textId="77777777" w:rsidR="005B5953" w:rsidRPr="005B12AE" w:rsidRDefault="005B5953" w:rsidP="005B5953">
      <w:pPr>
        <w:spacing w:after="0"/>
        <w:ind w:left="270" w:hanging="270"/>
        <w:rPr>
          <w:rFonts w:ascii="Times New Roman" w:hAnsi="Times New Roman"/>
          <w:sz w:val="20"/>
          <w:szCs w:val="20"/>
        </w:rPr>
      </w:pPr>
      <w:r w:rsidRPr="005B12AE">
        <w:rPr>
          <w:rFonts w:ascii="Times New Roman" w:hAnsi="Times New Roman"/>
          <w:sz w:val="20"/>
          <w:szCs w:val="20"/>
        </w:rPr>
        <w:t>Note:</w:t>
      </w:r>
    </w:p>
    <w:p w14:paraId="32C685C8" w14:textId="77777777" w:rsidR="005B5953" w:rsidRPr="005B12AE" w:rsidRDefault="005B5953" w:rsidP="005B5953">
      <w:pPr>
        <w:spacing w:after="0"/>
        <w:ind w:left="270" w:hanging="270"/>
        <w:rPr>
          <w:rFonts w:ascii="Times New Roman" w:hAnsi="Times New Roman"/>
          <w:sz w:val="20"/>
          <w:szCs w:val="20"/>
        </w:rPr>
      </w:pPr>
      <w:r w:rsidRPr="005B12AE">
        <w:rPr>
          <w:rFonts w:ascii="Times New Roman" w:hAnsi="Times New Roman"/>
          <w:sz w:val="20"/>
          <w:szCs w:val="20"/>
        </w:rPr>
        <w:t>1. The terms and conditions and other information in respect of Secured Loans and Unsecured Loans are given in NOTE-B (A) and NOTE B (B)</w:t>
      </w:r>
    </w:p>
    <w:p w14:paraId="42843733" w14:textId="77777777" w:rsidR="003B4BCE" w:rsidRDefault="003B4BCE" w:rsidP="005B5953">
      <w:pPr>
        <w:spacing w:after="0"/>
        <w:ind w:left="270" w:hanging="270"/>
        <w:jc w:val="center"/>
        <w:rPr>
          <w:rFonts w:ascii="Times New Roman" w:hAnsi="Times New Roman"/>
          <w:b/>
          <w:bCs/>
          <w:sz w:val="20"/>
          <w:szCs w:val="20"/>
        </w:rPr>
      </w:pPr>
    </w:p>
    <w:p w14:paraId="050707DA" w14:textId="0B010E09" w:rsidR="005B5953" w:rsidRPr="005B12AE" w:rsidRDefault="005B5953" w:rsidP="005B5953">
      <w:pPr>
        <w:spacing w:after="0"/>
        <w:ind w:left="270" w:hanging="270"/>
        <w:jc w:val="center"/>
        <w:rPr>
          <w:rFonts w:ascii="Times New Roman" w:hAnsi="Times New Roman"/>
          <w:b/>
          <w:bCs/>
          <w:sz w:val="20"/>
          <w:szCs w:val="20"/>
        </w:rPr>
      </w:pPr>
      <w:r w:rsidRPr="005B12AE">
        <w:rPr>
          <w:rFonts w:ascii="Times New Roman" w:hAnsi="Times New Roman"/>
          <w:b/>
          <w:bCs/>
          <w:sz w:val="20"/>
          <w:szCs w:val="20"/>
        </w:rPr>
        <w:t>NOTE – E</w:t>
      </w:r>
    </w:p>
    <w:p w14:paraId="79C4E087" w14:textId="77777777" w:rsidR="005B5953" w:rsidRPr="005B12AE" w:rsidRDefault="005B5953" w:rsidP="005B5953">
      <w:pPr>
        <w:spacing w:after="0"/>
        <w:ind w:left="270" w:hanging="270"/>
        <w:jc w:val="center"/>
        <w:rPr>
          <w:rFonts w:ascii="Times New Roman" w:hAnsi="Times New Roman"/>
          <w:b/>
          <w:bCs/>
          <w:sz w:val="20"/>
          <w:szCs w:val="20"/>
        </w:rPr>
      </w:pPr>
    </w:p>
    <w:p w14:paraId="10E68CF0" w14:textId="77777777" w:rsidR="005B5953" w:rsidRPr="005B12AE" w:rsidRDefault="005B5953" w:rsidP="005B5953">
      <w:pPr>
        <w:spacing w:after="0"/>
        <w:ind w:left="270" w:hanging="270"/>
        <w:jc w:val="center"/>
        <w:rPr>
          <w:rFonts w:ascii="Times New Roman" w:hAnsi="Times New Roman"/>
          <w:b/>
          <w:bCs/>
          <w:sz w:val="20"/>
          <w:szCs w:val="20"/>
        </w:rPr>
      </w:pPr>
      <w:r w:rsidRPr="005B12AE">
        <w:rPr>
          <w:rFonts w:ascii="Times New Roman" w:hAnsi="Times New Roman"/>
          <w:b/>
          <w:bCs/>
          <w:sz w:val="20"/>
          <w:szCs w:val="20"/>
        </w:rPr>
        <w:t>RESTATED STATEMENT OF TRADE PAYABLES</w:t>
      </w:r>
    </w:p>
    <w:p w14:paraId="77B98A42" w14:textId="77777777" w:rsidR="005B5953" w:rsidRPr="005B12AE" w:rsidRDefault="005B5953" w:rsidP="005B5953">
      <w:pPr>
        <w:spacing w:after="0"/>
        <w:jc w:val="right"/>
        <w:rPr>
          <w:rFonts w:ascii="Times New Roman" w:hAnsi="Times New Roman"/>
          <w:b/>
          <w:bCs/>
          <w:sz w:val="20"/>
          <w:szCs w:val="20"/>
        </w:rPr>
      </w:pPr>
      <w:r w:rsidRPr="005B12AE">
        <w:rPr>
          <w:rFonts w:ascii="Times New Roman" w:hAnsi="Times New Roman"/>
          <w:b/>
          <w:bCs/>
          <w:sz w:val="20"/>
          <w:szCs w:val="20"/>
        </w:rPr>
        <w:t>(₹ in Lakhs)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0"/>
        <w:gridCol w:w="1711"/>
        <w:gridCol w:w="1619"/>
        <w:gridCol w:w="1556"/>
      </w:tblGrid>
      <w:tr w:rsidR="005B5953" w:rsidRPr="005B12AE" w14:paraId="32747665" w14:textId="77777777" w:rsidTr="00250DAC">
        <w:trPr>
          <w:trHeight w:val="20"/>
        </w:trPr>
        <w:tc>
          <w:tcPr>
            <w:tcW w:w="2664" w:type="pct"/>
            <w:vMerge w:val="restart"/>
            <w:shd w:val="clear" w:color="auto" w:fill="D0CECE" w:themeFill="background2" w:themeFillShade="E6"/>
            <w:noWrap/>
            <w:vAlign w:val="center"/>
            <w:hideMark/>
          </w:tcPr>
          <w:p w14:paraId="23F9F339"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Particulars</w:t>
            </w:r>
          </w:p>
        </w:tc>
        <w:tc>
          <w:tcPr>
            <w:tcW w:w="2336" w:type="pct"/>
            <w:gridSpan w:val="3"/>
            <w:shd w:val="clear" w:color="auto" w:fill="D0CECE" w:themeFill="background2" w:themeFillShade="E6"/>
            <w:noWrap/>
            <w:vAlign w:val="center"/>
            <w:hideMark/>
          </w:tcPr>
          <w:p w14:paraId="46F4A541"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As At</w:t>
            </w:r>
          </w:p>
        </w:tc>
      </w:tr>
      <w:tr w:rsidR="005B5953" w:rsidRPr="005B12AE" w14:paraId="32067BF2" w14:textId="77777777" w:rsidTr="00250DAC">
        <w:trPr>
          <w:trHeight w:val="20"/>
        </w:trPr>
        <w:tc>
          <w:tcPr>
            <w:tcW w:w="2664" w:type="pct"/>
            <w:vMerge/>
            <w:shd w:val="clear" w:color="auto" w:fill="D0CECE" w:themeFill="background2" w:themeFillShade="E6"/>
            <w:vAlign w:val="center"/>
            <w:hideMark/>
          </w:tcPr>
          <w:p w14:paraId="38EEDAFB" w14:textId="77777777" w:rsidR="005B5953" w:rsidRPr="005B12AE" w:rsidRDefault="005B5953" w:rsidP="00250DAC">
            <w:pPr>
              <w:spacing w:after="0" w:line="240" w:lineRule="auto"/>
              <w:jc w:val="center"/>
              <w:rPr>
                <w:rFonts w:ascii="Times New Roman" w:hAnsi="Times New Roman"/>
                <w:b/>
                <w:bCs/>
                <w:sz w:val="20"/>
                <w:szCs w:val="20"/>
              </w:rPr>
            </w:pPr>
          </w:p>
        </w:tc>
        <w:tc>
          <w:tcPr>
            <w:tcW w:w="818" w:type="pct"/>
            <w:shd w:val="clear" w:color="auto" w:fill="D0CECE" w:themeFill="background2" w:themeFillShade="E6"/>
            <w:noWrap/>
            <w:vAlign w:val="bottom"/>
            <w:hideMark/>
          </w:tcPr>
          <w:p w14:paraId="3E53A44D"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31/03/2023</w:t>
            </w:r>
          </w:p>
        </w:tc>
        <w:tc>
          <w:tcPr>
            <w:tcW w:w="774" w:type="pct"/>
            <w:shd w:val="clear" w:color="auto" w:fill="D0CECE" w:themeFill="background2" w:themeFillShade="E6"/>
            <w:noWrap/>
            <w:vAlign w:val="bottom"/>
            <w:hideMark/>
          </w:tcPr>
          <w:p w14:paraId="29D30500"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31/03/2022</w:t>
            </w:r>
          </w:p>
        </w:tc>
        <w:tc>
          <w:tcPr>
            <w:tcW w:w="744" w:type="pct"/>
            <w:shd w:val="clear" w:color="auto" w:fill="D0CECE" w:themeFill="background2" w:themeFillShade="E6"/>
            <w:noWrap/>
            <w:vAlign w:val="bottom"/>
            <w:hideMark/>
          </w:tcPr>
          <w:p w14:paraId="1F73A17A"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31/03/2021</w:t>
            </w:r>
          </w:p>
        </w:tc>
      </w:tr>
      <w:tr w:rsidR="005B5953" w:rsidRPr="005B12AE" w14:paraId="357E93EF" w14:textId="77777777" w:rsidTr="00250DAC">
        <w:trPr>
          <w:trHeight w:val="20"/>
        </w:trPr>
        <w:tc>
          <w:tcPr>
            <w:tcW w:w="2664" w:type="pct"/>
            <w:shd w:val="clear" w:color="auto" w:fill="auto"/>
            <w:noWrap/>
            <w:vAlign w:val="bottom"/>
            <w:hideMark/>
          </w:tcPr>
          <w:p w14:paraId="3DCDB65A"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Trade Payables</w:t>
            </w:r>
          </w:p>
        </w:tc>
        <w:tc>
          <w:tcPr>
            <w:tcW w:w="818" w:type="pct"/>
            <w:shd w:val="clear" w:color="auto" w:fill="auto"/>
            <w:noWrap/>
            <w:vAlign w:val="bottom"/>
            <w:hideMark/>
          </w:tcPr>
          <w:p w14:paraId="17D96075" w14:textId="77777777" w:rsidR="005B5953" w:rsidRPr="005B12AE" w:rsidRDefault="005B5953" w:rsidP="00250DAC">
            <w:pPr>
              <w:spacing w:after="0" w:line="240" w:lineRule="auto"/>
              <w:jc w:val="center"/>
              <w:rPr>
                <w:rFonts w:ascii="Times New Roman" w:hAnsi="Times New Roman"/>
                <w:sz w:val="20"/>
                <w:szCs w:val="20"/>
              </w:rPr>
            </w:pPr>
          </w:p>
        </w:tc>
        <w:tc>
          <w:tcPr>
            <w:tcW w:w="774" w:type="pct"/>
            <w:shd w:val="clear" w:color="auto" w:fill="auto"/>
            <w:noWrap/>
            <w:vAlign w:val="bottom"/>
            <w:hideMark/>
          </w:tcPr>
          <w:p w14:paraId="0956201B" w14:textId="77777777" w:rsidR="005B5953" w:rsidRPr="005B12AE" w:rsidRDefault="005B5953" w:rsidP="00250DAC">
            <w:pPr>
              <w:spacing w:after="0" w:line="240" w:lineRule="auto"/>
              <w:jc w:val="center"/>
              <w:rPr>
                <w:rFonts w:ascii="Times New Roman" w:hAnsi="Times New Roman"/>
                <w:sz w:val="20"/>
                <w:szCs w:val="20"/>
              </w:rPr>
            </w:pPr>
          </w:p>
        </w:tc>
        <w:tc>
          <w:tcPr>
            <w:tcW w:w="744" w:type="pct"/>
            <w:shd w:val="clear" w:color="auto" w:fill="auto"/>
            <w:noWrap/>
            <w:vAlign w:val="bottom"/>
            <w:hideMark/>
          </w:tcPr>
          <w:p w14:paraId="481A56BE"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018114C5" w14:textId="77777777" w:rsidTr="00250DAC">
        <w:trPr>
          <w:trHeight w:val="20"/>
        </w:trPr>
        <w:tc>
          <w:tcPr>
            <w:tcW w:w="2664" w:type="pct"/>
            <w:shd w:val="clear" w:color="auto" w:fill="auto"/>
            <w:noWrap/>
            <w:vAlign w:val="bottom"/>
            <w:hideMark/>
          </w:tcPr>
          <w:p w14:paraId="53FE1AA7"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For Goods &amp; Services</w:t>
            </w:r>
          </w:p>
        </w:tc>
        <w:tc>
          <w:tcPr>
            <w:tcW w:w="818" w:type="pct"/>
            <w:shd w:val="clear" w:color="auto" w:fill="auto"/>
            <w:noWrap/>
            <w:vAlign w:val="bottom"/>
            <w:hideMark/>
          </w:tcPr>
          <w:p w14:paraId="565168E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2,717.35</w:t>
            </w:r>
          </w:p>
        </w:tc>
        <w:tc>
          <w:tcPr>
            <w:tcW w:w="774" w:type="pct"/>
            <w:shd w:val="clear" w:color="auto" w:fill="auto"/>
            <w:noWrap/>
            <w:vAlign w:val="bottom"/>
            <w:hideMark/>
          </w:tcPr>
          <w:p w14:paraId="0C32903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2,726.34</w:t>
            </w:r>
          </w:p>
        </w:tc>
        <w:tc>
          <w:tcPr>
            <w:tcW w:w="744" w:type="pct"/>
            <w:shd w:val="clear" w:color="auto" w:fill="auto"/>
            <w:noWrap/>
            <w:vAlign w:val="bottom"/>
            <w:hideMark/>
          </w:tcPr>
          <w:p w14:paraId="0AD3FC4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2,868.28</w:t>
            </w:r>
          </w:p>
        </w:tc>
      </w:tr>
      <w:tr w:rsidR="005B5953" w:rsidRPr="005B12AE" w14:paraId="1E950702" w14:textId="77777777" w:rsidTr="00250DAC">
        <w:trPr>
          <w:trHeight w:val="20"/>
        </w:trPr>
        <w:tc>
          <w:tcPr>
            <w:tcW w:w="2664" w:type="pct"/>
            <w:shd w:val="clear" w:color="auto" w:fill="auto"/>
            <w:noWrap/>
            <w:vAlign w:val="bottom"/>
            <w:hideMark/>
          </w:tcPr>
          <w:p w14:paraId="50068429"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For Assets</w:t>
            </w:r>
          </w:p>
        </w:tc>
        <w:tc>
          <w:tcPr>
            <w:tcW w:w="818" w:type="pct"/>
            <w:shd w:val="clear" w:color="auto" w:fill="auto"/>
            <w:noWrap/>
            <w:vAlign w:val="bottom"/>
            <w:hideMark/>
          </w:tcPr>
          <w:p w14:paraId="2508F46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74" w:type="pct"/>
            <w:shd w:val="clear" w:color="auto" w:fill="auto"/>
            <w:noWrap/>
            <w:vAlign w:val="bottom"/>
            <w:hideMark/>
          </w:tcPr>
          <w:p w14:paraId="6394309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44" w:type="pct"/>
            <w:shd w:val="clear" w:color="auto" w:fill="auto"/>
            <w:noWrap/>
            <w:vAlign w:val="bottom"/>
            <w:hideMark/>
          </w:tcPr>
          <w:p w14:paraId="4718D44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10.66</w:t>
            </w:r>
          </w:p>
        </w:tc>
      </w:tr>
      <w:tr w:rsidR="005B5953" w:rsidRPr="005B12AE" w14:paraId="61302572" w14:textId="77777777" w:rsidTr="00250DAC">
        <w:trPr>
          <w:trHeight w:val="20"/>
        </w:trPr>
        <w:tc>
          <w:tcPr>
            <w:tcW w:w="2664" w:type="pct"/>
            <w:shd w:val="clear" w:color="auto" w:fill="auto"/>
            <w:noWrap/>
            <w:vAlign w:val="bottom"/>
            <w:hideMark/>
          </w:tcPr>
          <w:p w14:paraId="563A8F53"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For Expenses</w:t>
            </w:r>
          </w:p>
        </w:tc>
        <w:tc>
          <w:tcPr>
            <w:tcW w:w="818" w:type="pct"/>
            <w:shd w:val="clear" w:color="auto" w:fill="auto"/>
            <w:noWrap/>
            <w:vAlign w:val="bottom"/>
            <w:hideMark/>
          </w:tcPr>
          <w:p w14:paraId="1F993474" w14:textId="77777777" w:rsidR="005B5953" w:rsidRPr="005B12AE" w:rsidRDefault="005B5953" w:rsidP="00250DAC">
            <w:pPr>
              <w:spacing w:after="0" w:line="240" w:lineRule="auto"/>
              <w:jc w:val="center"/>
              <w:rPr>
                <w:rFonts w:ascii="Times New Roman" w:hAnsi="Times New Roman"/>
                <w:sz w:val="20"/>
                <w:szCs w:val="20"/>
              </w:rPr>
            </w:pPr>
          </w:p>
        </w:tc>
        <w:tc>
          <w:tcPr>
            <w:tcW w:w="774" w:type="pct"/>
            <w:shd w:val="clear" w:color="auto" w:fill="auto"/>
            <w:noWrap/>
            <w:vAlign w:val="bottom"/>
            <w:hideMark/>
          </w:tcPr>
          <w:p w14:paraId="537DFCB0" w14:textId="77777777" w:rsidR="005B5953" w:rsidRPr="005B12AE" w:rsidRDefault="005B5953" w:rsidP="00250DAC">
            <w:pPr>
              <w:spacing w:after="0" w:line="240" w:lineRule="auto"/>
              <w:jc w:val="center"/>
              <w:rPr>
                <w:rFonts w:ascii="Times New Roman" w:hAnsi="Times New Roman"/>
                <w:sz w:val="20"/>
                <w:szCs w:val="20"/>
              </w:rPr>
            </w:pPr>
          </w:p>
        </w:tc>
        <w:tc>
          <w:tcPr>
            <w:tcW w:w="744" w:type="pct"/>
            <w:shd w:val="clear" w:color="auto" w:fill="auto"/>
            <w:noWrap/>
            <w:vAlign w:val="bottom"/>
            <w:hideMark/>
          </w:tcPr>
          <w:p w14:paraId="2353CEC5"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35D01B37" w14:textId="77777777" w:rsidTr="00250DAC">
        <w:trPr>
          <w:trHeight w:val="20"/>
        </w:trPr>
        <w:tc>
          <w:tcPr>
            <w:tcW w:w="2664" w:type="pct"/>
            <w:shd w:val="clear" w:color="auto" w:fill="auto"/>
            <w:noWrap/>
            <w:vAlign w:val="bottom"/>
            <w:hideMark/>
          </w:tcPr>
          <w:p w14:paraId="0F196401" w14:textId="77777777" w:rsidR="005B5953" w:rsidRPr="005B12AE" w:rsidRDefault="005B5953" w:rsidP="00250DAC">
            <w:pPr>
              <w:spacing w:after="0" w:line="240" w:lineRule="auto"/>
              <w:ind w:firstLineChars="100" w:firstLine="200"/>
              <w:rPr>
                <w:rFonts w:ascii="Times New Roman" w:hAnsi="Times New Roman"/>
                <w:sz w:val="20"/>
                <w:szCs w:val="20"/>
              </w:rPr>
            </w:pPr>
            <w:r w:rsidRPr="005B12AE">
              <w:rPr>
                <w:rFonts w:ascii="Times New Roman" w:hAnsi="Times New Roman"/>
                <w:sz w:val="20"/>
                <w:szCs w:val="20"/>
              </w:rPr>
              <w:t>Micro, Small and Medium Enterprises</w:t>
            </w:r>
          </w:p>
        </w:tc>
        <w:tc>
          <w:tcPr>
            <w:tcW w:w="818" w:type="pct"/>
            <w:shd w:val="clear" w:color="auto" w:fill="auto"/>
            <w:noWrap/>
            <w:vAlign w:val="bottom"/>
            <w:hideMark/>
          </w:tcPr>
          <w:p w14:paraId="5C1E28D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74" w:type="pct"/>
            <w:shd w:val="clear" w:color="auto" w:fill="auto"/>
            <w:noWrap/>
            <w:vAlign w:val="bottom"/>
            <w:hideMark/>
          </w:tcPr>
          <w:p w14:paraId="0C10CB7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44" w:type="pct"/>
            <w:shd w:val="clear" w:color="auto" w:fill="auto"/>
            <w:noWrap/>
            <w:vAlign w:val="bottom"/>
            <w:hideMark/>
          </w:tcPr>
          <w:p w14:paraId="7B598F0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3.99</w:t>
            </w:r>
          </w:p>
        </w:tc>
      </w:tr>
      <w:tr w:rsidR="005B5953" w:rsidRPr="005B12AE" w14:paraId="72C2B38D" w14:textId="77777777" w:rsidTr="00250DAC">
        <w:trPr>
          <w:trHeight w:val="20"/>
        </w:trPr>
        <w:tc>
          <w:tcPr>
            <w:tcW w:w="2664" w:type="pct"/>
            <w:shd w:val="clear" w:color="auto" w:fill="auto"/>
            <w:noWrap/>
            <w:vAlign w:val="bottom"/>
            <w:hideMark/>
          </w:tcPr>
          <w:p w14:paraId="0BB0DE95" w14:textId="77777777" w:rsidR="005B5953" w:rsidRPr="005B12AE" w:rsidRDefault="005B5953" w:rsidP="00250DAC">
            <w:pPr>
              <w:spacing w:after="0" w:line="240" w:lineRule="auto"/>
              <w:ind w:firstLineChars="100" w:firstLine="200"/>
              <w:rPr>
                <w:rFonts w:ascii="Times New Roman" w:hAnsi="Times New Roman"/>
                <w:sz w:val="20"/>
                <w:szCs w:val="20"/>
              </w:rPr>
            </w:pPr>
            <w:r w:rsidRPr="005B12AE">
              <w:rPr>
                <w:rFonts w:ascii="Times New Roman" w:hAnsi="Times New Roman"/>
                <w:sz w:val="20"/>
                <w:szCs w:val="20"/>
              </w:rPr>
              <w:t>Other than Micro, Small and Medium Enterprises</w:t>
            </w:r>
          </w:p>
        </w:tc>
        <w:tc>
          <w:tcPr>
            <w:tcW w:w="818" w:type="pct"/>
            <w:shd w:val="clear" w:color="auto" w:fill="auto"/>
            <w:noWrap/>
            <w:vAlign w:val="bottom"/>
            <w:hideMark/>
          </w:tcPr>
          <w:p w14:paraId="1B57A63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74" w:type="pct"/>
            <w:shd w:val="clear" w:color="auto" w:fill="auto"/>
            <w:noWrap/>
            <w:vAlign w:val="bottom"/>
            <w:hideMark/>
          </w:tcPr>
          <w:p w14:paraId="0C8F51C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44" w:type="pct"/>
            <w:shd w:val="clear" w:color="auto" w:fill="auto"/>
            <w:noWrap/>
            <w:vAlign w:val="bottom"/>
            <w:hideMark/>
          </w:tcPr>
          <w:p w14:paraId="7141576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48.10</w:t>
            </w:r>
          </w:p>
        </w:tc>
      </w:tr>
      <w:tr w:rsidR="005B5953" w:rsidRPr="005B12AE" w14:paraId="588D047E" w14:textId="77777777" w:rsidTr="00250DAC">
        <w:trPr>
          <w:trHeight w:val="20"/>
        </w:trPr>
        <w:tc>
          <w:tcPr>
            <w:tcW w:w="2664" w:type="pct"/>
            <w:shd w:val="clear" w:color="auto" w:fill="auto"/>
            <w:noWrap/>
            <w:vAlign w:val="bottom"/>
            <w:hideMark/>
          </w:tcPr>
          <w:p w14:paraId="326F1DC9"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Total</w:t>
            </w:r>
          </w:p>
        </w:tc>
        <w:tc>
          <w:tcPr>
            <w:tcW w:w="818" w:type="pct"/>
            <w:shd w:val="clear" w:color="auto" w:fill="auto"/>
            <w:noWrap/>
            <w:vAlign w:val="bottom"/>
            <w:hideMark/>
          </w:tcPr>
          <w:p w14:paraId="6BD681B5"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2,717.35</w:t>
            </w:r>
          </w:p>
        </w:tc>
        <w:tc>
          <w:tcPr>
            <w:tcW w:w="774" w:type="pct"/>
            <w:shd w:val="clear" w:color="auto" w:fill="auto"/>
            <w:noWrap/>
            <w:vAlign w:val="bottom"/>
            <w:hideMark/>
          </w:tcPr>
          <w:p w14:paraId="1F3AE6DB"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2,726.34</w:t>
            </w:r>
          </w:p>
        </w:tc>
        <w:tc>
          <w:tcPr>
            <w:tcW w:w="744" w:type="pct"/>
            <w:shd w:val="clear" w:color="auto" w:fill="auto"/>
            <w:noWrap/>
            <w:vAlign w:val="bottom"/>
            <w:hideMark/>
          </w:tcPr>
          <w:p w14:paraId="31B71AD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2,931.03</w:t>
            </w:r>
          </w:p>
        </w:tc>
      </w:tr>
    </w:tbl>
    <w:p w14:paraId="34F22892" w14:textId="77777777" w:rsidR="005B5953" w:rsidRPr="005B12AE" w:rsidRDefault="005B5953" w:rsidP="005B5953">
      <w:pPr>
        <w:spacing w:after="0"/>
        <w:ind w:left="270" w:hanging="270"/>
        <w:jc w:val="center"/>
        <w:rPr>
          <w:rFonts w:ascii="Times New Roman" w:hAnsi="Times New Roman"/>
          <w:b/>
          <w:bCs/>
          <w:sz w:val="20"/>
          <w:szCs w:val="20"/>
        </w:rPr>
      </w:pPr>
    </w:p>
    <w:p w14:paraId="490B37DD" w14:textId="77777777" w:rsidR="005B5953" w:rsidRPr="005B12AE" w:rsidRDefault="005B5953" w:rsidP="005B5953">
      <w:pPr>
        <w:spacing w:after="0"/>
        <w:rPr>
          <w:rFonts w:ascii="Times New Roman" w:hAnsi="Times New Roman"/>
          <w:b/>
          <w:bCs/>
          <w:sz w:val="20"/>
          <w:szCs w:val="20"/>
        </w:rPr>
      </w:pPr>
      <w:r w:rsidRPr="005B12AE">
        <w:rPr>
          <w:rFonts w:ascii="Times New Roman" w:hAnsi="Times New Roman"/>
          <w:b/>
          <w:bCs/>
          <w:sz w:val="20"/>
          <w:szCs w:val="20"/>
        </w:rPr>
        <w:t>Trade Payables ageing schedule March 31, 2023</w:t>
      </w:r>
      <w:r w:rsidRPr="005B12AE">
        <w:rPr>
          <w:rFonts w:ascii="Times New Roman" w:hAnsi="Times New Roman"/>
          <w:b/>
          <w:bCs/>
          <w:sz w:val="20"/>
          <w:szCs w:val="20"/>
        </w:rPr>
        <w:tab/>
      </w:r>
      <w:r w:rsidRPr="005B12AE">
        <w:rPr>
          <w:rFonts w:ascii="Times New Roman" w:hAnsi="Times New Roman"/>
          <w:b/>
          <w:bCs/>
          <w:sz w:val="20"/>
          <w:szCs w:val="20"/>
        </w:rPr>
        <w:tab/>
      </w:r>
      <w:r w:rsidRPr="005B12AE">
        <w:rPr>
          <w:rFonts w:ascii="Times New Roman" w:hAnsi="Times New Roman"/>
          <w:b/>
          <w:bCs/>
          <w:sz w:val="20"/>
          <w:szCs w:val="20"/>
        </w:rPr>
        <w:tab/>
      </w:r>
      <w:r w:rsidRPr="005B12AE">
        <w:rPr>
          <w:rFonts w:ascii="Times New Roman" w:hAnsi="Times New Roman"/>
          <w:b/>
          <w:bCs/>
          <w:sz w:val="20"/>
          <w:szCs w:val="20"/>
        </w:rPr>
        <w:tab/>
      </w:r>
      <w:r w:rsidRPr="005B12AE">
        <w:rPr>
          <w:rFonts w:ascii="Times New Roman" w:hAnsi="Times New Roman"/>
          <w:b/>
          <w:bCs/>
          <w:sz w:val="20"/>
          <w:szCs w:val="20"/>
        </w:rPr>
        <w:tab/>
      </w:r>
      <w:r w:rsidRPr="005B12AE">
        <w:rPr>
          <w:rFonts w:ascii="Times New Roman" w:hAnsi="Times New Roman"/>
          <w:b/>
          <w:bCs/>
          <w:sz w:val="20"/>
          <w:szCs w:val="20"/>
        </w:rPr>
        <w:tab/>
      </w:r>
      <w:r w:rsidRPr="005B12AE">
        <w:rPr>
          <w:rFonts w:ascii="Times New Roman" w:hAnsi="Times New Roman"/>
          <w:b/>
          <w:bCs/>
          <w:sz w:val="20"/>
          <w:szCs w:val="20"/>
        </w:rPr>
        <w:tab/>
      </w:r>
      <w:r w:rsidRPr="005B12AE">
        <w:rPr>
          <w:rFonts w:ascii="Times New Roman" w:hAnsi="Times New Roman"/>
          <w:b/>
          <w:bCs/>
          <w:sz w:val="20"/>
          <w:szCs w:val="20"/>
        </w:rPr>
        <w:tab/>
      </w:r>
      <w:r w:rsidRPr="005B12AE">
        <w:rPr>
          <w:rFonts w:ascii="Times New Roman" w:hAnsi="Times New Roman"/>
          <w:b/>
          <w:bCs/>
          <w:sz w:val="20"/>
          <w:szCs w:val="20"/>
        </w:rPr>
        <w:tab/>
      </w:r>
    </w:p>
    <w:p w14:paraId="4E6AF66C" w14:textId="77777777" w:rsidR="005B5953" w:rsidRPr="005B12AE" w:rsidRDefault="005B5953" w:rsidP="005B5953">
      <w:pPr>
        <w:spacing w:after="0"/>
        <w:jc w:val="right"/>
        <w:rPr>
          <w:rFonts w:ascii="Times New Roman" w:hAnsi="Times New Roman"/>
          <w:b/>
          <w:bCs/>
          <w:sz w:val="20"/>
          <w:szCs w:val="20"/>
        </w:rPr>
      </w:pPr>
      <w:r w:rsidRPr="005B12AE">
        <w:rPr>
          <w:rFonts w:ascii="Times New Roman" w:hAnsi="Times New Roman"/>
          <w:b/>
          <w:bCs/>
          <w:sz w:val="20"/>
          <w:szCs w:val="20"/>
        </w:rPr>
        <w:t>(₹ in Lakhs)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4"/>
        <w:gridCol w:w="1614"/>
        <w:gridCol w:w="1681"/>
        <w:gridCol w:w="1378"/>
        <w:gridCol w:w="1895"/>
        <w:gridCol w:w="1274"/>
      </w:tblGrid>
      <w:tr w:rsidR="005B5953" w:rsidRPr="005B12AE" w14:paraId="451E8FEE" w14:textId="77777777" w:rsidTr="00250DAC">
        <w:trPr>
          <w:trHeight w:val="20"/>
        </w:trPr>
        <w:tc>
          <w:tcPr>
            <w:tcW w:w="1250" w:type="pct"/>
            <w:vMerge w:val="restart"/>
            <w:shd w:val="clear" w:color="auto" w:fill="D0CECE" w:themeFill="background2" w:themeFillShade="E6"/>
            <w:noWrap/>
            <w:vAlign w:val="center"/>
            <w:hideMark/>
          </w:tcPr>
          <w:p w14:paraId="787C5E9A"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 xml:space="preserve">Particulars </w:t>
            </w:r>
          </w:p>
        </w:tc>
        <w:tc>
          <w:tcPr>
            <w:tcW w:w="3141" w:type="pct"/>
            <w:gridSpan w:val="4"/>
            <w:shd w:val="clear" w:color="auto" w:fill="D0CECE" w:themeFill="background2" w:themeFillShade="E6"/>
            <w:noWrap/>
            <w:vAlign w:val="bottom"/>
            <w:hideMark/>
          </w:tcPr>
          <w:p w14:paraId="56464430"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Outstanding for following periods from due date of payment/ transaction</w:t>
            </w:r>
          </w:p>
        </w:tc>
        <w:tc>
          <w:tcPr>
            <w:tcW w:w="609" w:type="pct"/>
            <w:vMerge w:val="restart"/>
            <w:shd w:val="clear" w:color="auto" w:fill="D0CECE" w:themeFill="background2" w:themeFillShade="E6"/>
            <w:vAlign w:val="center"/>
            <w:hideMark/>
          </w:tcPr>
          <w:p w14:paraId="60B2C438"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Total As on 31-03-2023</w:t>
            </w:r>
          </w:p>
        </w:tc>
      </w:tr>
      <w:tr w:rsidR="005B5953" w:rsidRPr="005B12AE" w14:paraId="707B36BB" w14:textId="77777777" w:rsidTr="00250DAC">
        <w:trPr>
          <w:trHeight w:val="20"/>
        </w:trPr>
        <w:tc>
          <w:tcPr>
            <w:tcW w:w="1250" w:type="pct"/>
            <w:vMerge/>
            <w:shd w:val="clear" w:color="auto" w:fill="D0CECE" w:themeFill="background2" w:themeFillShade="E6"/>
            <w:vAlign w:val="center"/>
            <w:hideMark/>
          </w:tcPr>
          <w:p w14:paraId="40847367" w14:textId="77777777" w:rsidR="005B5953" w:rsidRPr="005B12AE" w:rsidRDefault="005B5953" w:rsidP="00250DAC">
            <w:pPr>
              <w:spacing w:after="0" w:line="240" w:lineRule="auto"/>
              <w:rPr>
                <w:rFonts w:ascii="Times New Roman" w:hAnsi="Times New Roman"/>
                <w:b/>
                <w:bCs/>
                <w:sz w:val="20"/>
                <w:szCs w:val="20"/>
              </w:rPr>
            </w:pPr>
          </w:p>
        </w:tc>
        <w:tc>
          <w:tcPr>
            <w:tcW w:w="772" w:type="pct"/>
            <w:shd w:val="clear" w:color="auto" w:fill="D0CECE" w:themeFill="background2" w:themeFillShade="E6"/>
            <w:noWrap/>
            <w:vAlign w:val="bottom"/>
            <w:hideMark/>
          </w:tcPr>
          <w:p w14:paraId="344C1D5F"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Less than 1 year</w:t>
            </w:r>
          </w:p>
        </w:tc>
        <w:tc>
          <w:tcPr>
            <w:tcW w:w="804" w:type="pct"/>
            <w:shd w:val="clear" w:color="auto" w:fill="D0CECE" w:themeFill="background2" w:themeFillShade="E6"/>
            <w:noWrap/>
            <w:vAlign w:val="bottom"/>
            <w:hideMark/>
          </w:tcPr>
          <w:p w14:paraId="670F8F0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1-2 years</w:t>
            </w:r>
          </w:p>
        </w:tc>
        <w:tc>
          <w:tcPr>
            <w:tcW w:w="659" w:type="pct"/>
            <w:shd w:val="clear" w:color="auto" w:fill="D0CECE" w:themeFill="background2" w:themeFillShade="E6"/>
            <w:noWrap/>
            <w:vAlign w:val="bottom"/>
            <w:hideMark/>
          </w:tcPr>
          <w:p w14:paraId="5AEE6D8F"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2-3 years</w:t>
            </w:r>
          </w:p>
        </w:tc>
        <w:tc>
          <w:tcPr>
            <w:tcW w:w="906" w:type="pct"/>
            <w:shd w:val="clear" w:color="auto" w:fill="D0CECE" w:themeFill="background2" w:themeFillShade="E6"/>
            <w:noWrap/>
            <w:vAlign w:val="bottom"/>
            <w:hideMark/>
          </w:tcPr>
          <w:p w14:paraId="07EDF061"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More than 3 years</w:t>
            </w:r>
          </w:p>
        </w:tc>
        <w:tc>
          <w:tcPr>
            <w:tcW w:w="609" w:type="pct"/>
            <w:vMerge/>
            <w:shd w:val="clear" w:color="auto" w:fill="D0CECE" w:themeFill="background2" w:themeFillShade="E6"/>
            <w:vAlign w:val="center"/>
            <w:hideMark/>
          </w:tcPr>
          <w:p w14:paraId="4E2B5C28" w14:textId="77777777" w:rsidR="005B5953" w:rsidRPr="005B12AE" w:rsidRDefault="005B5953" w:rsidP="00250DAC">
            <w:pPr>
              <w:spacing w:after="0" w:line="240" w:lineRule="auto"/>
              <w:jc w:val="center"/>
              <w:rPr>
                <w:rFonts w:ascii="Times New Roman" w:hAnsi="Times New Roman"/>
                <w:b/>
                <w:bCs/>
                <w:sz w:val="20"/>
                <w:szCs w:val="20"/>
              </w:rPr>
            </w:pPr>
          </w:p>
        </w:tc>
      </w:tr>
      <w:tr w:rsidR="005B5953" w:rsidRPr="005B12AE" w14:paraId="27812A32" w14:textId="77777777" w:rsidTr="00250DAC">
        <w:trPr>
          <w:trHeight w:val="20"/>
        </w:trPr>
        <w:tc>
          <w:tcPr>
            <w:tcW w:w="1250" w:type="pct"/>
            <w:shd w:val="clear" w:color="auto" w:fill="auto"/>
            <w:noWrap/>
            <w:vAlign w:val="bottom"/>
            <w:hideMark/>
          </w:tcPr>
          <w:p w14:paraId="41EF99B9"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For Goods &amp; Services</w:t>
            </w:r>
          </w:p>
        </w:tc>
        <w:tc>
          <w:tcPr>
            <w:tcW w:w="772" w:type="pct"/>
            <w:shd w:val="clear" w:color="auto" w:fill="auto"/>
            <w:noWrap/>
            <w:vAlign w:val="bottom"/>
            <w:hideMark/>
          </w:tcPr>
          <w:p w14:paraId="1FE9165E" w14:textId="77777777" w:rsidR="005B5953" w:rsidRPr="005B12AE" w:rsidRDefault="005B5953" w:rsidP="00250DAC">
            <w:pPr>
              <w:spacing w:after="0" w:line="240" w:lineRule="auto"/>
              <w:jc w:val="center"/>
              <w:rPr>
                <w:rFonts w:ascii="Times New Roman" w:hAnsi="Times New Roman"/>
                <w:b/>
                <w:bCs/>
                <w:sz w:val="20"/>
                <w:szCs w:val="20"/>
              </w:rPr>
            </w:pPr>
          </w:p>
        </w:tc>
        <w:tc>
          <w:tcPr>
            <w:tcW w:w="804" w:type="pct"/>
            <w:shd w:val="clear" w:color="auto" w:fill="auto"/>
            <w:noWrap/>
            <w:vAlign w:val="bottom"/>
            <w:hideMark/>
          </w:tcPr>
          <w:p w14:paraId="4C0BC48D" w14:textId="77777777" w:rsidR="005B5953" w:rsidRPr="005B12AE" w:rsidRDefault="005B5953" w:rsidP="00250DAC">
            <w:pPr>
              <w:spacing w:after="0" w:line="240" w:lineRule="auto"/>
              <w:jc w:val="center"/>
              <w:rPr>
                <w:rFonts w:ascii="Times New Roman" w:hAnsi="Times New Roman"/>
                <w:b/>
                <w:bCs/>
                <w:sz w:val="20"/>
                <w:szCs w:val="20"/>
              </w:rPr>
            </w:pPr>
          </w:p>
        </w:tc>
        <w:tc>
          <w:tcPr>
            <w:tcW w:w="659" w:type="pct"/>
            <w:shd w:val="clear" w:color="auto" w:fill="auto"/>
            <w:noWrap/>
            <w:vAlign w:val="bottom"/>
            <w:hideMark/>
          </w:tcPr>
          <w:p w14:paraId="7A803C19" w14:textId="77777777" w:rsidR="005B5953" w:rsidRPr="005B12AE" w:rsidRDefault="005B5953" w:rsidP="00250DAC">
            <w:pPr>
              <w:spacing w:after="0" w:line="240" w:lineRule="auto"/>
              <w:jc w:val="center"/>
              <w:rPr>
                <w:rFonts w:ascii="Times New Roman" w:hAnsi="Times New Roman"/>
                <w:b/>
                <w:bCs/>
                <w:sz w:val="20"/>
                <w:szCs w:val="20"/>
              </w:rPr>
            </w:pPr>
          </w:p>
        </w:tc>
        <w:tc>
          <w:tcPr>
            <w:tcW w:w="906" w:type="pct"/>
            <w:shd w:val="clear" w:color="auto" w:fill="auto"/>
            <w:noWrap/>
            <w:vAlign w:val="bottom"/>
            <w:hideMark/>
          </w:tcPr>
          <w:p w14:paraId="248E73FC" w14:textId="77777777" w:rsidR="005B5953" w:rsidRPr="005B12AE" w:rsidRDefault="005B5953" w:rsidP="00250DAC">
            <w:pPr>
              <w:spacing w:after="0" w:line="240" w:lineRule="auto"/>
              <w:jc w:val="center"/>
              <w:rPr>
                <w:rFonts w:ascii="Times New Roman" w:hAnsi="Times New Roman"/>
                <w:b/>
                <w:bCs/>
                <w:sz w:val="20"/>
                <w:szCs w:val="20"/>
              </w:rPr>
            </w:pPr>
          </w:p>
        </w:tc>
        <w:tc>
          <w:tcPr>
            <w:tcW w:w="609" w:type="pct"/>
            <w:shd w:val="clear" w:color="auto" w:fill="auto"/>
            <w:vAlign w:val="center"/>
            <w:hideMark/>
          </w:tcPr>
          <w:p w14:paraId="0804496A" w14:textId="77777777" w:rsidR="005B5953" w:rsidRPr="005B12AE" w:rsidRDefault="005B5953" w:rsidP="00250DAC">
            <w:pPr>
              <w:spacing w:after="0" w:line="240" w:lineRule="auto"/>
              <w:jc w:val="center"/>
              <w:rPr>
                <w:rFonts w:ascii="Times New Roman" w:hAnsi="Times New Roman"/>
                <w:b/>
                <w:bCs/>
                <w:sz w:val="20"/>
                <w:szCs w:val="20"/>
              </w:rPr>
            </w:pPr>
          </w:p>
        </w:tc>
      </w:tr>
      <w:tr w:rsidR="005B5953" w:rsidRPr="005B12AE" w14:paraId="4E494778" w14:textId="77777777" w:rsidTr="00250DAC">
        <w:trPr>
          <w:trHeight w:val="20"/>
        </w:trPr>
        <w:tc>
          <w:tcPr>
            <w:tcW w:w="1250" w:type="pct"/>
            <w:shd w:val="clear" w:color="auto" w:fill="auto"/>
            <w:noWrap/>
            <w:vAlign w:val="bottom"/>
            <w:hideMark/>
          </w:tcPr>
          <w:p w14:paraId="213C8CF8"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(i)MSME  </w:t>
            </w:r>
          </w:p>
        </w:tc>
        <w:tc>
          <w:tcPr>
            <w:tcW w:w="772" w:type="pct"/>
            <w:shd w:val="clear" w:color="auto" w:fill="auto"/>
            <w:noWrap/>
            <w:vAlign w:val="bottom"/>
            <w:hideMark/>
          </w:tcPr>
          <w:p w14:paraId="2AF8C08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2.93</w:t>
            </w:r>
          </w:p>
        </w:tc>
        <w:tc>
          <w:tcPr>
            <w:tcW w:w="804" w:type="pct"/>
            <w:shd w:val="clear" w:color="auto" w:fill="auto"/>
            <w:noWrap/>
            <w:vAlign w:val="bottom"/>
            <w:hideMark/>
          </w:tcPr>
          <w:p w14:paraId="23FF3BB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659" w:type="pct"/>
            <w:shd w:val="clear" w:color="auto" w:fill="auto"/>
            <w:noWrap/>
            <w:vAlign w:val="bottom"/>
            <w:hideMark/>
          </w:tcPr>
          <w:p w14:paraId="11A1825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906" w:type="pct"/>
            <w:shd w:val="clear" w:color="auto" w:fill="auto"/>
            <w:noWrap/>
            <w:vAlign w:val="bottom"/>
            <w:hideMark/>
          </w:tcPr>
          <w:p w14:paraId="7C120E4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2.35</w:t>
            </w:r>
          </w:p>
        </w:tc>
        <w:tc>
          <w:tcPr>
            <w:tcW w:w="609" w:type="pct"/>
            <w:shd w:val="clear" w:color="auto" w:fill="auto"/>
            <w:noWrap/>
            <w:vAlign w:val="bottom"/>
            <w:hideMark/>
          </w:tcPr>
          <w:p w14:paraId="5BBBCA35"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5.28</w:t>
            </w:r>
          </w:p>
        </w:tc>
      </w:tr>
      <w:tr w:rsidR="005B5953" w:rsidRPr="005B12AE" w14:paraId="7B09E4AC" w14:textId="77777777" w:rsidTr="00250DAC">
        <w:trPr>
          <w:trHeight w:val="20"/>
        </w:trPr>
        <w:tc>
          <w:tcPr>
            <w:tcW w:w="1250" w:type="pct"/>
            <w:shd w:val="clear" w:color="auto" w:fill="auto"/>
            <w:noWrap/>
            <w:vAlign w:val="bottom"/>
            <w:hideMark/>
          </w:tcPr>
          <w:p w14:paraId="6C4795DE"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(ii)Others  </w:t>
            </w:r>
          </w:p>
        </w:tc>
        <w:tc>
          <w:tcPr>
            <w:tcW w:w="772" w:type="pct"/>
            <w:shd w:val="clear" w:color="auto" w:fill="auto"/>
            <w:noWrap/>
            <w:vAlign w:val="bottom"/>
            <w:hideMark/>
          </w:tcPr>
          <w:p w14:paraId="114D463C"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2,452.28</w:t>
            </w:r>
          </w:p>
        </w:tc>
        <w:tc>
          <w:tcPr>
            <w:tcW w:w="804" w:type="pct"/>
            <w:shd w:val="clear" w:color="auto" w:fill="auto"/>
            <w:noWrap/>
            <w:vAlign w:val="bottom"/>
            <w:hideMark/>
          </w:tcPr>
          <w:p w14:paraId="5C8C2484"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75.74</w:t>
            </w:r>
          </w:p>
        </w:tc>
        <w:tc>
          <w:tcPr>
            <w:tcW w:w="659" w:type="pct"/>
            <w:shd w:val="clear" w:color="auto" w:fill="auto"/>
            <w:noWrap/>
            <w:vAlign w:val="bottom"/>
            <w:hideMark/>
          </w:tcPr>
          <w:p w14:paraId="0761C90D"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13.96</w:t>
            </w:r>
          </w:p>
        </w:tc>
        <w:tc>
          <w:tcPr>
            <w:tcW w:w="906" w:type="pct"/>
            <w:shd w:val="clear" w:color="auto" w:fill="auto"/>
            <w:noWrap/>
            <w:vAlign w:val="bottom"/>
            <w:hideMark/>
          </w:tcPr>
          <w:p w14:paraId="4D6ABD2E"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170.09</w:t>
            </w:r>
          </w:p>
        </w:tc>
        <w:tc>
          <w:tcPr>
            <w:tcW w:w="609" w:type="pct"/>
            <w:shd w:val="clear" w:color="auto" w:fill="auto"/>
            <w:noWrap/>
            <w:vAlign w:val="bottom"/>
            <w:hideMark/>
          </w:tcPr>
          <w:p w14:paraId="12E8762A"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2,712.07</w:t>
            </w:r>
          </w:p>
        </w:tc>
      </w:tr>
      <w:tr w:rsidR="005B5953" w:rsidRPr="005B12AE" w14:paraId="0B5AE6AE" w14:textId="77777777" w:rsidTr="00250DAC">
        <w:trPr>
          <w:trHeight w:val="20"/>
        </w:trPr>
        <w:tc>
          <w:tcPr>
            <w:tcW w:w="1250" w:type="pct"/>
            <w:shd w:val="clear" w:color="auto" w:fill="auto"/>
            <w:noWrap/>
            <w:vAlign w:val="bottom"/>
            <w:hideMark/>
          </w:tcPr>
          <w:p w14:paraId="45969C43"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(iii) Disputed  </w:t>
            </w:r>
          </w:p>
        </w:tc>
        <w:tc>
          <w:tcPr>
            <w:tcW w:w="772" w:type="pct"/>
            <w:shd w:val="clear" w:color="auto" w:fill="auto"/>
            <w:noWrap/>
            <w:vAlign w:val="bottom"/>
            <w:hideMark/>
          </w:tcPr>
          <w:p w14:paraId="3DF580E5"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804" w:type="pct"/>
            <w:shd w:val="clear" w:color="auto" w:fill="auto"/>
            <w:noWrap/>
            <w:vAlign w:val="bottom"/>
            <w:hideMark/>
          </w:tcPr>
          <w:p w14:paraId="0E5EA0C5"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659" w:type="pct"/>
            <w:shd w:val="clear" w:color="auto" w:fill="auto"/>
            <w:noWrap/>
            <w:vAlign w:val="bottom"/>
            <w:hideMark/>
          </w:tcPr>
          <w:p w14:paraId="5F4A554B"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906" w:type="pct"/>
            <w:shd w:val="clear" w:color="auto" w:fill="auto"/>
            <w:noWrap/>
            <w:vAlign w:val="bottom"/>
            <w:hideMark/>
          </w:tcPr>
          <w:p w14:paraId="41B7132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609" w:type="pct"/>
            <w:shd w:val="clear" w:color="auto" w:fill="auto"/>
            <w:noWrap/>
            <w:vAlign w:val="bottom"/>
            <w:hideMark/>
          </w:tcPr>
          <w:p w14:paraId="2765E6FB"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w:t>
            </w:r>
          </w:p>
        </w:tc>
      </w:tr>
      <w:tr w:rsidR="005B5953" w:rsidRPr="005B12AE" w14:paraId="1827DF0B" w14:textId="77777777" w:rsidTr="00250DAC">
        <w:trPr>
          <w:trHeight w:val="20"/>
        </w:trPr>
        <w:tc>
          <w:tcPr>
            <w:tcW w:w="1250" w:type="pct"/>
            <w:shd w:val="clear" w:color="auto" w:fill="auto"/>
            <w:noWrap/>
            <w:vAlign w:val="bottom"/>
            <w:hideMark/>
          </w:tcPr>
          <w:p w14:paraId="39505D3B"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(iv) Undisputed </w:t>
            </w:r>
          </w:p>
        </w:tc>
        <w:tc>
          <w:tcPr>
            <w:tcW w:w="772" w:type="pct"/>
            <w:shd w:val="clear" w:color="auto" w:fill="auto"/>
            <w:noWrap/>
            <w:vAlign w:val="bottom"/>
            <w:hideMark/>
          </w:tcPr>
          <w:p w14:paraId="5B1566DD"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804" w:type="pct"/>
            <w:shd w:val="clear" w:color="auto" w:fill="auto"/>
            <w:noWrap/>
            <w:vAlign w:val="bottom"/>
            <w:hideMark/>
          </w:tcPr>
          <w:p w14:paraId="5F182298"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659" w:type="pct"/>
            <w:shd w:val="clear" w:color="auto" w:fill="auto"/>
            <w:noWrap/>
            <w:vAlign w:val="bottom"/>
            <w:hideMark/>
          </w:tcPr>
          <w:p w14:paraId="3BF41A27"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906" w:type="pct"/>
            <w:shd w:val="clear" w:color="auto" w:fill="auto"/>
            <w:noWrap/>
            <w:vAlign w:val="bottom"/>
            <w:hideMark/>
          </w:tcPr>
          <w:p w14:paraId="1E9C2A7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609" w:type="pct"/>
            <w:shd w:val="clear" w:color="auto" w:fill="auto"/>
            <w:noWrap/>
            <w:vAlign w:val="bottom"/>
            <w:hideMark/>
          </w:tcPr>
          <w:p w14:paraId="68156746"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w:t>
            </w:r>
          </w:p>
        </w:tc>
      </w:tr>
      <w:tr w:rsidR="005B5953" w:rsidRPr="005B12AE" w14:paraId="6129CA89" w14:textId="77777777" w:rsidTr="00250DAC">
        <w:trPr>
          <w:trHeight w:val="20"/>
        </w:trPr>
        <w:tc>
          <w:tcPr>
            <w:tcW w:w="1250" w:type="pct"/>
            <w:shd w:val="clear" w:color="auto" w:fill="auto"/>
            <w:noWrap/>
            <w:vAlign w:val="bottom"/>
            <w:hideMark/>
          </w:tcPr>
          <w:p w14:paraId="4CA47114"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 xml:space="preserve"> Total </w:t>
            </w:r>
          </w:p>
        </w:tc>
        <w:tc>
          <w:tcPr>
            <w:tcW w:w="772" w:type="pct"/>
            <w:shd w:val="clear" w:color="auto" w:fill="auto"/>
            <w:noWrap/>
            <w:vAlign w:val="bottom"/>
            <w:hideMark/>
          </w:tcPr>
          <w:p w14:paraId="5B92DC10"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2,455.21</w:t>
            </w:r>
          </w:p>
        </w:tc>
        <w:tc>
          <w:tcPr>
            <w:tcW w:w="804" w:type="pct"/>
            <w:shd w:val="clear" w:color="auto" w:fill="auto"/>
            <w:noWrap/>
            <w:vAlign w:val="bottom"/>
            <w:hideMark/>
          </w:tcPr>
          <w:p w14:paraId="2C113CD0"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75.74</w:t>
            </w:r>
          </w:p>
        </w:tc>
        <w:tc>
          <w:tcPr>
            <w:tcW w:w="659" w:type="pct"/>
            <w:shd w:val="clear" w:color="auto" w:fill="auto"/>
            <w:noWrap/>
            <w:vAlign w:val="bottom"/>
            <w:hideMark/>
          </w:tcPr>
          <w:p w14:paraId="2C56B9BA"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13.96</w:t>
            </w:r>
          </w:p>
        </w:tc>
        <w:tc>
          <w:tcPr>
            <w:tcW w:w="906" w:type="pct"/>
            <w:shd w:val="clear" w:color="auto" w:fill="auto"/>
            <w:noWrap/>
            <w:vAlign w:val="bottom"/>
            <w:hideMark/>
          </w:tcPr>
          <w:p w14:paraId="161FD6F6"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172.44</w:t>
            </w:r>
          </w:p>
        </w:tc>
        <w:tc>
          <w:tcPr>
            <w:tcW w:w="609" w:type="pct"/>
            <w:shd w:val="clear" w:color="auto" w:fill="auto"/>
            <w:noWrap/>
            <w:vAlign w:val="bottom"/>
            <w:hideMark/>
          </w:tcPr>
          <w:p w14:paraId="5E864C4B"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2,717.35</w:t>
            </w:r>
          </w:p>
        </w:tc>
      </w:tr>
    </w:tbl>
    <w:p w14:paraId="1B4BDC30" w14:textId="77777777" w:rsidR="005B5953" w:rsidRPr="005B12AE" w:rsidRDefault="005B5953" w:rsidP="005B5953">
      <w:pPr>
        <w:spacing w:after="0"/>
        <w:rPr>
          <w:rFonts w:ascii="Times New Roman" w:hAnsi="Times New Roman"/>
          <w:b/>
          <w:bCs/>
          <w:sz w:val="20"/>
          <w:szCs w:val="20"/>
        </w:rPr>
      </w:pPr>
    </w:p>
    <w:p w14:paraId="484ADEED" w14:textId="77777777" w:rsidR="005B5953" w:rsidRPr="005B12AE" w:rsidRDefault="005B5953" w:rsidP="005B5953">
      <w:pPr>
        <w:spacing w:after="0"/>
        <w:rPr>
          <w:rFonts w:ascii="Times New Roman" w:hAnsi="Times New Roman"/>
          <w:b/>
          <w:bCs/>
          <w:sz w:val="20"/>
          <w:szCs w:val="20"/>
        </w:rPr>
      </w:pPr>
      <w:r w:rsidRPr="005B12AE">
        <w:rPr>
          <w:rFonts w:ascii="Times New Roman" w:hAnsi="Times New Roman"/>
          <w:b/>
          <w:bCs/>
          <w:sz w:val="20"/>
          <w:szCs w:val="20"/>
        </w:rPr>
        <w:t>Trade Payables ageing schedule March 31, 2022</w:t>
      </w:r>
    </w:p>
    <w:p w14:paraId="7B56FA7E" w14:textId="77777777" w:rsidR="005B5953" w:rsidRPr="005B12AE" w:rsidRDefault="005B5953" w:rsidP="005B5953">
      <w:pPr>
        <w:spacing w:after="0"/>
        <w:jc w:val="right"/>
        <w:rPr>
          <w:rFonts w:ascii="Times New Roman" w:hAnsi="Times New Roman"/>
          <w:b/>
          <w:bCs/>
          <w:sz w:val="20"/>
          <w:szCs w:val="20"/>
        </w:rPr>
      </w:pPr>
      <w:r w:rsidRPr="005B12AE">
        <w:rPr>
          <w:rFonts w:ascii="Times New Roman" w:hAnsi="Times New Roman"/>
          <w:b/>
          <w:bCs/>
          <w:sz w:val="20"/>
          <w:szCs w:val="20"/>
        </w:rPr>
        <w:t>(₹ in Lakhs)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4"/>
        <w:gridCol w:w="1614"/>
        <w:gridCol w:w="1681"/>
        <w:gridCol w:w="1378"/>
        <w:gridCol w:w="1895"/>
        <w:gridCol w:w="1274"/>
      </w:tblGrid>
      <w:tr w:rsidR="005B5953" w:rsidRPr="005B12AE" w14:paraId="07CA1525" w14:textId="77777777" w:rsidTr="00250DAC">
        <w:trPr>
          <w:trHeight w:val="20"/>
        </w:trPr>
        <w:tc>
          <w:tcPr>
            <w:tcW w:w="1250" w:type="pct"/>
            <w:vMerge w:val="restart"/>
            <w:shd w:val="clear" w:color="auto" w:fill="D0CECE" w:themeFill="background2" w:themeFillShade="E6"/>
            <w:noWrap/>
            <w:vAlign w:val="center"/>
            <w:hideMark/>
          </w:tcPr>
          <w:p w14:paraId="52D4B027"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 xml:space="preserve">Particulars </w:t>
            </w:r>
          </w:p>
        </w:tc>
        <w:tc>
          <w:tcPr>
            <w:tcW w:w="3141" w:type="pct"/>
            <w:gridSpan w:val="4"/>
            <w:shd w:val="clear" w:color="auto" w:fill="D0CECE" w:themeFill="background2" w:themeFillShade="E6"/>
            <w:noWrap/>
            <w:vAlign w:val="bottom"/>
            <w:hideMark/>
          </w:tcPr>
          <w:p w14:paraId="4476B616"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Outstanding for following periods from due date of payment/ transaction</w:t>
            </w:r>
          </w:p>
        </w:tc>
        <w:tc>
          <w:tcPr>
            <w:tcW w:w="609" w:type="pct"/>
            <w:vMerge w:val="restart"/>
            <w:shd w:val="clear" w:color="auto" w:fill="D0CECE" w:themeFill="background2" w:themeFillShade="E6"/>
            <w:vAlign w:val="center"/>
            <w:hideMark/>
          </w:tcPr>
          <w:p w14:paraId="193455BE"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Total As on 31-03-2022</w:t>
            </w:r>
          </w:p>
        </w:tc>
      </w:tr>
      <w:tr w:rsidR="005B5953" w:rsidRPr="005B12AE" w14:paraId="068D866F" w14:textId="77777777" w:rsidTr="00250DAC">
        <w:trPr>
          <w:trHeight w:val="20"/>
        </w:trPr>
        <w:tc>
          <w:tcPr>
            <w:tcW w:w="1250" w:type="pct"/>
            <w:vMerge/>
            <w:shd w:val="clear" w:color="auto" w:fill="D0CECE" w:themeFill="background2" w:themeFillShade="E6"/>
            <w:vAlign w:val="center"/>
            <w:hideMark/>
          </w:tcPr>
          <w:p w14:paraId="6E99EBFA" w14:textId="77777777" w:rsidR="005B5953" w:rsidRPr="005B12AE" w:rsidRDefault="005B5953" w:rsidP="00250DAC">
            <w:pPr>
              <w:spacing w:after="0" w:line="240" w:lineRule="auto"/>
              <w:rPr>
                <w:rFonts w:ascii="Times New Roman" w:hAnsi="Times New Roman"/>
                <w:b/>
                <w:bCs/>
                <w:sz w:val="20"/>
                <w:szCs w:val="20"/>
              </w:rPr>
            </w:pPr>
          </w:p>
        </w:tc>
        <w:tc>
          <w:tcPr>
            <w:tcW w:w="772" w:type="pct"/>
            <w:shd w:val="clear" w:color="auto" w:fill="D0CECE" w:themeFill="background2" w:themeFillShade="E6"/>
            <w:noWrap/>
            <w:vAlign w:val="bottom"/>
            <w:hideMark/>
          </w:tcPr>
          <w:p w14:paraId="21FED739"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Less than 1 year</w:t>
            </w:r>
          </w:p>
        </w:tc>
        <w:tc>
          <w:tcPr>
            <w:tcW w:w="804" w:type="pct"/>
            <w:shd w:val="clear" w:color="auto" w:fill="D0CECE" w:themeFill="background2" w:themeFillShade="E6"/>
            <w:noWrap/>
            <w:vAlign w:val="bottom"/>
            <w:hideMark/>
          </w:tcPr>
          <w:p w14:paraId="489373DB"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1-2 years</w:t>
            </w:r>
          </w:p>
        </w:tc>
        <w:tc>
          <w:tcPr>
            <w:tcW w:w="659" w:type="pct"/>
            <w:shd w:val="clear" w:color="auto" w:fill="D0CECE" w:themeFill="background2" w:themeFillShade="E6"/>
            <w:noWrap/>
            <w:vAlign w:val="bottom"/>
            <w:hideMark/>
          </w:tcPr>
          <w:p w14:paraId="5BD083B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2-3 years</w:t>
            </w:r>
          </w:p>
        </w:tc>
        <w:tc>
          <w:tcPr>
            <w:tcW w:w="906" w:type="pct"/>
            <w:shd w:val="clear" w:color="auto" w:fill="D0CECE" w:themeFill="background2" w:themeFillShade="E6"/>
            <w:noWrap/>
            <w:vAlign w:val="bottom"/>
            <w:hideMark/>
          </w:tcPr>
          <w:p w14:paraId="695986DA"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More than 3 years</w:t>
            </w:r>
          </w:p>
        </w:tc>
        <w:tc>
          <w:tcPr>
            <w:tcW w:w="609" w:type="pct"/>
            <w:vMerge/>
            <w:shd w:val="clear" w:color="auto" w:fill="D0CECE" w:themeFill="background2" w:themeFillShade="E6"/>
            <w:vAlign w:val="center"/>
            <w:hideMark/>
          </w:tcPr>
          <w:p w14:paraId="2A9739B4" w14:textId="77777777" w:rsidR="005B5953" w:rsidRPr="005B12AE" w:rsidRDefault="005B5953" w:rsidP="00250DAC">
            <w:pPr>
              <w:spacing w:after="0" w:line="240" w:lineRule="auto"/>
              <w:jc w:val="center"/>
              <w:rPr>
                <w:rFonts w:ascii="Times New Roman" w:hAnsi="Times New Roman"/>
                <w:b/>
                <w:bCs/>
                <w:sz w:val="20"/>
                <w:szCs w:val="20"/>
              </w:rPr>
            </w:pPr>
          </w:p>
        </w:tc>
      </w:tr>
      <w:tr w:rsidR="005B5953" w:rsidRPr="005B12AE" w14:paraId="218B80AA" w14:textId="77777777" w:rsidTr="00250DAC">
        <w:trPr>
          <w:trHeight w:val="20"/>
        </w:trPr>
        <w:tc>
          <w:tcPr>
            <w:tcW w:w="1250" w:type="pct"/>
            <w:shd w:val="clear" w:color="auto" w:fill="auto"/>
            <w:noWrap/>
            <w:vAlign w:val="bottom"/>
            <w:hideMark/>
          </w:tcPr>
          <w:p w14:paraId="7E6B1435"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For Goods &amp; Services</w:t>
            </w:r>
          </w:p>
        </w:tc>
        <w:tc>
          <w:tcPr>
            <w:tcW w:w="772" w:type="pct"/>
            <w:shd w:val="clear" w:color="auto" w:fill="auto"/>
            <w:noWrap/>
            <w:vAlign w:val="bottom"/>
            <w:hideMark/>
          </w:tcPr>
          <w:p w14:paraId="6CF324D2" w14:textId="77777777" w:rsidR="005B5953" w:rsidRPr="005B12AE" w:rsidRDefault="005B5953" w:rsidP="00250DAC">
            <w:pPr>
              <w:spacing w:after="0" w:line="240" w:lineRule="auto"/>
              <w:jc w:val="center"/>
              <w:rPr>
                <w:rFonts w:ascii="Times New Roman" w:hAnsi="Times New Roman"/>
                <w:b/>
                <w:bCs/>
                <w:sz w:val="20"/>
                <w:szCs w:val="20"/>
              </w:rPr>
            </w:pPr>
          </w:p>
        </w:tc>
        <w:tc>
          <w:tcPr>
            <w:tcW w:w="804" w:type="pct"/>
            <w:shd w:val="clear" w:color="auto" w:fill="auto"/>
            <w:noWrap/>
            <w:vAlign w:val="bottom"/>
            <w:hideMark/>
          </w:tcPr>
          <w:p w14:paraId="46D877F6" w14:textId="77777777" w:rsidR="005B5953" w:rsidRPr="005B12AE" w:rsidRDefault="005B5953" w:rsidP="00250DAC">
            <w:pPr>
              <w:spacing w:after="0" w:line="240" w:lineRule="auto"/>
              <w:jc w:val="center"/>
              <w:rPr>
                <w:rFonts w:ascii="Times New Roman" w:hAnsi="Times New Roman"/>
                <w:b/>
                <w:bCs/>
                <w:sz w:val="20"/>
                <w:szCs w:val="20"/>
              </w:rPr>
            </w:pPr>
          </w:p>
        </w:tc>
        <w:tc>
          <w:tcPr>
            <w:tcW w:w="659" w:type="pct"/>
            <w:shd w:val="clear" w:color="auto" w:fill="auto"/>
            <w:noWrap/>
            <w:vAlign w:val="bottom"/>
            <w:hideMark/>
          </w:tcPr>
          <w:p w14:paraId="797EF2F4" w14:textId="77777777" w:rsidR="005B5953" w:rsidRPr="005B12AE" w:rsidRDefault="005B5953" w:rsidP="00250DAC">
            <w:pPr>
              <w:spacing w:after="0" w:line="240" w:lineRule="auto"/>
              <w:jc w:val="center"/>
              <w:rPr>
                <w:rFonts w:ascii="Times New Roman" w:hAnsi="Times New Roman"/>
                <w:b/>
                <w:bCs/>
                <w:sz w:val="20"/>
                <w:szCs w:val="20"/>
              </w:rPr>
            </w:pPr>
          </w:p>
        </w:tc>
        <w:tc>
          <w:tcPr>
            <w:tcW w:w="906" w:type="pct"/>
            <w:shd w:val="clear" w:color="auto" w:fill="auto"/>
            <w:noWrap/>
            <w:vAlign w:val="bottom"/>
            <w:hideMark/>
          </w:tcPr>
          <w:p w14:paraId="163B6BA3" w14:textId="77777777" w:rsidR="005B5953" w:rsidRPr="005B12AE" w:rsidRDefault="005B5953" w:rsidP="00250DAC">
            <w:pPr>
              <w:spacing w:after="0" w:line="240" w:lineRule="auto"/>
              <w:jc w:val="center"/>
              <w:rPr>
                <w:rFonts w:ascii="Times New Roman" w:hAnsi="Times New Roman"/>
                <w:b/>
                <w:bCs/>
                <w:sz w:val="20"/>
                <w:szCs w:val="20"/>
              </w:rPr>
            </w:pPr>
          </w:p>
        </w:tc>
        <w:tc>
          <w:tcPr>
            <w:tcW w:w="609" w:type="pct"/>
            <w:shd w:val="clear" w:color="auto" w:fill="auto"/>
            <w:vAlign w:val="center"/>
            <w:hideMark/>
          </w:tcPr>
          <w:p w14:paraId="009CFC66" w14:textId="77777777" w:rsidR="005B5953" w:rsidRPr="005B12AE" w:rsidRDefault="005B5953" w:rsidP="00250DAC">
            <w:pPr>
              <w:spacing w:after="0" w:line="240" w:lineRule="auto"/>
              <w:jc w:val="center"/>
              <w:rPr>
                <w:rFonts w:ascii="Times New Roman" w:hAnsi="Times New Roman"/>
                <w:b/>
                <w:bCs/>
                <w:sz w:val="20"/>
                <w:szCs w:val="20"/>
              </w:rPr>
            </w:pPr>
          </w:p>
        </w:tc>
      </w:tr>
      <w:tr w:rsidR="005B5953" w:rsidRPr="005B12AE" w14:paraId="5C0445BC" w14:textId="77777777" w:rsidTr="00250DAC">
        <w:trPr>
          <w:trHeight w:val="20"/>
        </w:trPr>
        <w:tc>
          <w:tcPr>
            <w:tcW w:w="1250" w:type="pct"/>
            <w:shd w:val="clear" w:color="auto" w:fill="auto"/>
            <w:noWrap/>
            <w:vAlign w:val="bottom"/>
            <w:hideMark/>
          </w:tcPr>
          <w:p w14:paraId="7FD3C8A8"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(i)MSME  </w:t>
            </w:r>
          </w:p>
        </w:tc>
        <w:tc>
          <w:tcPr>
            <w:tcW w:w="772" w:type="pct"/>
            <w:shd w:val="clear" w:color="auto" w:fill="auto"/>
            <w:noWrap/>
            <w:vAlign w:val="bottom"/>
            <w:hideMark/>
          </w:tcPr>
          <w:p w14:paraId="7AC5C4A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2.68</w:t>
            </w:r>
          </w:p>
        </w:tc>
        <w:tc>
          <w:tcPr>
            <w:tcW w:w="804" w:type="pct"/>
            <w:shd w:val="clear" w:color="auto" w:fill="auto"/>
            <w:noWrap/>
            <w:vAlign w:val="bottom"/>
            <w:hideMark/>
          </w:tcPr>
          <w:p w14:paraId="10157D28"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659" w:type="pct"/>
            <w:shd w:val="clear" w:color="auto" w:fill="auto"/>
            <w:noWrap/>
            <w:vAlign w:val="bottom"/>
            <w:hideMark/>
          </w:tcPr>
          <w:p w14:paraId="236F1637"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906" w:type="pct"/>
            <w:shd w:val="clear" w:color="auto" w:fill="auto"/>
            <w:noWrap/>
            <w:vAlign w:val="bottom"/>
            <w:hideMark/>
          </w:tcPr>
          <w:p w14:paraId="77B3F5AC"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15.40</w:t>
            </w:r>
          </w:p>
        </w:tc>
        <w:tc>
          <w:tcPr>
            <w:tcW w:w="609" w:type="pct"/>
            <w:shd w:val="clear" w:color="auto" w:fill="auto"/>
            <w:noWrap/>
            <w:vAlign w:val="bottom"/>
            <w:hideMark/>
          </w:tcPr>
          <w:p w14:paraId="4DE4C271"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18.09</w:t>
            </w:r>
          </w:p>
        </w:tc>
      </w:tr>
      <w:tr w:rsidR="005B5953" w:rsidRPr="005B12AE" w14:paraId="57DA5197" w14:textId="77777777" w:rsidTr="00250DAC">
        <w:trPr>
          <w:trHeight w:val="20"/>
        </w:trPr>
        <w:tc>
          <w:tcPr>
            <w:tcW w:w="1250" w:type="pct"/>
            <w:shd w:val="clear" w:color="auto" w:fill="auto"/>
            <w:noWrap/>
            <w:vAlign w:val="bottom"/>
            <w:hideMark/>
          </w:tcPr>
          <w:p w14:paraId="2AF43196"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(ii)Others  </w:t>
            </w:r>
          </w:p>
        </w:tc>
        <w:tc>
          <w:tcPr>
            <w:tcW w:w="772" w:type="pct"/>
            <w:shd w:val="clear" w:color="auto" w:fill="auto"/>
            <w:noWrap/>
            <w:vAlign w:val="bottom"/>
            <w:hideMark/>
          </w:tcPr>
          <w:p w14:paraId="751F1DBB"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2,358.90</w:t>
            </w:r>
          </w:p>
        </w:tc>
        <w:tc>
          <w:tcPr>
            <w:tcW w:w="804" w:type="pct"/>
            <w:shd w:val="clear" w:color="auto" w:fill="auto"/>
            <w:noWrap/>
            <w:vAlign w:val="bottom"/>
            <w:hideMark/>
          </w:tcPr>
          <w:p w14:paraId="45C491C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20.82</w:t>
            </w:r>
          </w:p>
        </w:tc>
        <w:tc>
          <w:tcPr>
            <w:tcW w:w="659" w:type="pct"/>
            <w:shd w:val="clear" w:color="auto" w:fill="auto"/>
            <w:noWrap/>
            <w:vAlign w:val="bottom"/>
            <w:hideMark/>
          </w:tcPr>
          <w:p w14:paraId="21189F03"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209.28</w:t>
            </w:r>
          </w:p>
        </w:tc>
        <w:tc>
          <w:tcPr>
            <w:tcW w:w="906" w:type="pct"/>
            <w:shd w:val="clear" w:color="auto" w:fill="auto"/>
            <w:noWrap/>
            <w:vAlign w:val="bottom"/>
            <w:hideMark/>
          </w:tcPr>
          <w:p w14:paraId="48990045"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119.26</w:t>
            </w:r>
          </w:p>
        </w:tc>
        <w:tc>
          <w:tcPr>
            <w:tcW w:w="609" w:type="pct"/>
            <w:shd w:val="clear" w:color="auto" w:fill="auto"/>
            <w:noWrap/>
            <w:vAlign w:val="bottom"/>
            <w:hideMark/>
          </w:tcPr>
          <w:p w14:paraId="30AC2A2A"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2,708.25</w:t>
            </w:r>
          </w:p>
        </w:tc>
      </w:tr>
      <w:tr w:rsidR="005B5953" w:rsidRPr="005B12AE" w14:paraId="68DA2B43" w14:textId="77777777" w:rsidTr="00250DAC">
        <w:trPr>
          <w:trHeight w:val="20"/>
        </w:trPr>
        <w:tc>
          <w:tcPr>
            <w:tcW w:w="1250" w:type="pct"/>
            <w:shd w:val="clear" w:color="auto" w:fill="auto"/>
            <w:noWrap/>
            <w:vAlign w:val="bottom"/>
            <w:hideMark/>
          </w:tcPr>
          <w:p w14:paraId="6D7900DE"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(iii) Disputed  </w:t>
            </w:r>
          </w:p>
        </w:tc>
        <w:tc>
          <w:tcPr>
            <w:tcW w:w="772" w:type="pct"/>
            <w:shd w:val="clear" w:color="auto" w:fill="auto"/>
            <w:noWrap/>
            <w:vAlign w:val="bottom"/>
            <w:hideMark/>
          </w:tcPr>
          <w:p w14:paraId="56233DE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804" w:type="pct"/>
            <w:shd w:val="clear" w:color="auto" w:fill="auto"/>
            <w:noWrap/>
            <w:vAlign w:val="bottom"/>
            <w:hideMark/>
          </w:tcPr>
          <w:p w14:paraId="2109DD0C"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659" w:type="pct"/>
            <w:shd w:val="clear" w:color="auto" w:fill="auto"/>
            <w:noWrap/>
            <w:vAlign w:val="bottom"/>
            <w:hideMark/>
          </w:tcPr>
          <w:p w14:paraId="1271D5F3"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906" w:type="pct"/>
            <w:shd w:val="clear" w:color="auto" w:fill="auto"/>
            <w:noWrap/>
            <w:vAlign w:val="bottom"/>
            <w:hideMark/>
          </w:tcPr>
          <w:p w14:paraId="342994C8"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609" w:type="pct"/>
            <w:shd w:val="clear" w:color="auto" w:fill="auto"/>
            <w:noWrap/>
            <w:vAlign w:val="bottom"/>
            <w:hideMark/>
          </w:tcPr>
          <w:p w14:paraId="3A3D9DC4"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w:t>
            </w:r>
          </w:p>
        </w:tc>
      </w:tr>
      <w:tr w:rsidR="005B5953" w:rsidRPr="005B12AE" w14:paraId="6264EE85" w14:textId="77777777" w:rsidTr="00250DAC">
        <w:trPr>
          <w:trHeight w:val="20"/>
        </w:trPr>
        <w:tc>
          <w:tcPr>
            <w:tcW w:w="1250" w:type="pct"/>
            <w:shd w:val="clear" w:color="auto" w:fill="auto"/>
            <w:noWrap/>
            <w:vAlign w:val="bottom"/>
            <w:hideMark/>
          </w:tcPr>
          <w:p w14:paraId="14BA98FC"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(iv) Undisputed </w:t>
            </w:r>
          </w:p>
        </w:tc>
        <w:tc>
          <w:tcPr>
            <w:tcW w:w="772" w:type="pct"/>
            <w:shd w:val="clear" w:color="auto" w:fill="auto"/>
            <w:noWrap/>
            <w:vAlign w:val="bottom"/>
            <w:hideMark/>
          </w:tcPr>
          <w:p w14:paraId="558BC7BF"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804" w:type="pct"/>
            <w:shd w:val="clear" w:color="auto" w:fill="auto"/>
            <w:noWrap/>
            <w:vAlign w:val="bottom"/>
            <w:hideMark/>
          </w:tcPr>
          <w:p w14:paraId="6E7AE02C"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659" w:type="pct"/>
            <w:shd w:val="clear" w:color="auto" w:fill="auto"/>
            <w:noWrap/>
            <w:vAlign w:val="bottom"/>
            <w:hideMark/>
          </w:tcPr>
          <w:p w14:paraId="7AF6E680"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906" w:type="pct"/>
            <w:shd w:val="clear" w:color="auto" w:fill="auto"/>
            <w:noWrap/>
            <w:vAlign w:val="bottom"/>
            <w:hideMark/>
          </w:tcPr>
          <w:p w14:paraId="6CF5B9B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609" w:type="pct"/>
            <w:shd w:val="clear" w:color="auto" w:fill="auto"/>
            <w:noWrap/>
            <w:vAlign w:val="bottom"/>
            <w:hideMark/>
          </w:tcPr>
          <w:p w14:paraId="29E21C50"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w:t>
            </w:r>
          </w:p>
        </w:tc>
      </w:tr>
      <w:tr w:rsidR="005B5953" w:rsidRPr="005B12AE" w14:paraId="49F6F845" w14:textId="77777777" w:rsidTr="00250DAC">
        <w:trPr>
          <w:trHeight w:val="20"/>
        </w:trPr>
        <w:tc>
          <w:tcPr>
            <w:tcW w:w="1250" w:type="pct"/>
            <w:shd w:val="clear" w:color="auto" w:fill="auto"/>
            <w:noWrap/>
            <w:vAlign w:val="bottom"/>
            <w:hideMark/>
          </w:tcPr>
          <w:p w14:paraId="551F4CC4"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 xml:space="preserve"> Total </w:t>
            </w:r>
          </w:p>
        </w:tc>
        <w:tc>
          <w:tcPr>
            <w:tcW w:w="772" w:type="pct"/>
            <w:shd w:val="clear" w:color="auto" w:fill="auto"/>
            <w:noWrap/>
            <w:vAlign w:val="bottom"/>
            <w:hideMark/>
          </w:tcPr>
          <w:p w14:paraId="2CD0DCFC"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2,361.58</w:t>
            </w:r>
          </w:p>
        </w:tc>
        <w:tc>
          <w:tcPr>
            <w:tcW w:w="804" w:type="pct"/>
            <w:shd w:val="clear" w:color="auto" w:fill="auto"/>
            <w:noWrap/>
            <w:vAlign w:val="bottom"/>
            <w:hideMark/>
          </w:tcPr>
          <w:p w14:paraId="63BA8AF5"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20.82</w:t>
            </w:r>
          </w:p>
        </w:tc>
        <w:tc>
          <w:tcPr>
            <w:tcW w:w="659" w:type="pct"/>
            <w:shd w:val="clear" w:color="auto" w:fill="auto"/>
            <w:noWrap/>
            <w:vAlign w:val="bottom"/>
            <w:hideMark/>
          </w:tcPr>
          <w:p w14:paraId="0671C9ED"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209.28</w:t>
            </w:r>
          </w:p>
        </w:tc>
        <w:tc>
          <w:tcPr>
            <w:tcW w:w="906" w:type="pct"/>
            <w:shd w:val="clear" w:color="auto" w:fill="auto"/>
            <w:noWrap/>
            <w:vAlign w:val="bottom"/>
            <w:hideMark/>
          </w:tcPr>
          <w:p w14:paraId="565C324F"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134.66</w:t>
            </w:r>
          </w:p>
        </w:tc>
        <w:tc>
          <w:tcPr>
            <w:tcW w:w="609" w:type="pct"/>
            <w:shd w:val="clear" w:color="auto" w:fill="auto"/>
            <w:noWrap/>
            <w:vAlign w:val="bottom"/>
            <w:hideMark/>
          </w:tcPr>
          <w:p w14:paraId="2A02D6CB"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2,726.34</w:t>
            </w:r>
          </w:p>
        </w:tc>
      </w:tr>
    </w:tbl>
    <w:p w14:paraId="229F56B2" w14:textId="77777777" w:rsidR="005B5953" w:rsidRPr="005B12AE" w:rsidRDefault="005B5953" w:rsidP="005B5953">
      <w:pPr>
        <w:spacing w:after="0"/>
        <w:rPr>
          <w:rFonts w:ascii="Times New Roman" w:hAnsi="Times New Roman"/>
          <w:b/>
          <w:bCs/>
          <w:sz w:val="20"/>
          <w:szCs w:val="20"/>
        </w:rPr>
      </w:pPr>
    </w:p>
    <w:p w14:paraId="55CDA628" w14:textId="77777777" w:rsidR="005B5953" w:rsidRPr="005B12AE" w:rsidRDefault="005B5953" w:rsidP="005B5953">
      <w:pPr>
        <w:spacing w:after="0"/>
        <w:rPr>
          <w:rFonts w:ascii="Times New Roman" w:hAnsi="Times New Roman"/>
          <w:b/>
          <w:bCs/>
          <w:sz w:val="20"/>
          <w:szCs w:val="20"/>
        </w:rPr>
      </w:pPr>
      <w:r w:rsidRPr="005B12AE">
        <w:rPr>
          <w:rFonts w:ascii="Times New Roman" w:hAnsi="Times New Roman"/>
          <w:b/>
          <w:bCs/>
          <w:sz w:val="20"/>
          <w:szCs w:val="20"/>
        </w:rPr>
        <w:t>Trade Payables ageing schedule March 31, 2021</w:t>
      </w:r>
    </w:p>
    <w:p w14:paraId="4D6C2EE9" w14:textId="77777777" w:rsidR="005B5953" w:rsidRPr="005B12AE" w:rsidRDefault="005B5953" w:rsidP="005B5953">
      <w:pPr>
        <w:spacing w:after="0"/>
        <w:jc w:val="right"/>
        <w:rPr>
          <w:rFonts w:ascii="Times New Roman" w:hAnsi="Times New Roman"/>
          <w:b/>
          <w:bCs/>
          <w:sz w:val="20"/>
          <w:szCs w:val="20"/>
        </w:rPr>
      </w:pPr>
      <w:r w:rsidRPr="005B12AE">
        <w:rPr>
          <w:rFonts w:ascii="Times New Roman" w:hAnsi="Times New Roman"/>
          <w:b/>
          <w:bCs/>
          <w:sz w:val="20"/>
          <w:szCs w:val="20"/>
        </w:rPr>
        <w:t>(₹ in Lakhs)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4"/>
        <w:gridCol w:w="1614"/>
        <w:gridCol w:w="1681"/>
        <w:gridCol w:w="1378"/>
        <w:gridCol w:w="1895"/>
        <w:gridCol w:w="1274"/>
      </w:tblGrid>
      <w:tr w:rsidR="005B5953" w:rsidRPr="005B12AE" w14:paraId="300FC353" w14:textId="77777777" w:rsidTr="00250DAC">
        <w:trPr>
          <w:trHeight w:val="20"/>
        </w:trPr>
        <w:tc>
          <w:tcPr>
            <w:tcW w:w="1250" w:type="pct"/>
            <w:vMerge w:val="restart"/>
            <w:shd w:val="clear" w:color="auto" w:fill="D0CECE" w:themeFill="background2" w:themeFillShade="E6"/>
            <w:noWrap/>
            <w:vAlign w:val="center"/>
            <w:hideMark/>
          </w:tcPr>
          <w:p w14:paraId="4A508D71"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 xml:space="preserve">Particulars </w:t>
            </w:r>
          </w:p>
        </w:tc>
        <w:tc>
          <w:tcPr>
            <w:tcW w:w="3141" w:type="pct"/>
            <w:gridSpan w:val="4"/>
            <w:shd w:val="clear" w:color="auto" w:fill="D0CECE" w:themeFill="background2" w:themeFillShade="E6"/>
            <w:noWrap/>
            <w:vAlign w:val="bottom"/>
            <w:hideMark/>
          </w:tcPr>
          <w:p w14:paraId="0F4EF801"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Outstanding for following periods from due date of payment/transaction</w:t>
            </w:r>
          </w:p>
        </w:tc>
        <w:tc>
          <w:tcPr>
            <w:tcW w:w="609" w:type="pct"/>
            <w:vMerge w:val="restart"/>
            <w:shd w:val="clear" w:color="auto" w:fill="D0CECE" w:themeFill="background2" w:themeFillShade="E6"/>
            <w:vAlign w:val="center"/>
            <w:hideMark/>
          </w:tcPr>
          <w:p w14:paraId="638CEA9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Total As on 31-03-2021</w:t>
            </w:r>
          </w:p>
        </w:tc>
      </w:tr>
      <w:tr w:rsidR="005B5953" w:rsidRPr="005B12AE" w14:paraId="57483240" w14:textId="77777777" w:rsidTr="00250DAC">
        <w:trPr>
          <w:trHeight w:val="20"/>
        </w:trPr>
        <w:tc>
          <w:tcPr>
            <w:tcW w:w="1250" w:type="pct"/>
            <w:vMerge/>
            <w:shd w:val="clear" w:color="auto" w:fill="D0CECE" w:themeFill="background2" w:themeFillShade="E6"/>
            <w:vAlign w:val="center"/>
            <w:hideMark/>
          </w:tcPr>
          <w:p w14:paraId="67C50A49" w14:textId="77777777" w:rsidR="005B5953" w:rsidRPr="005B12AE" w:rsidRDefault="005B5953" w:rsidP="00250DAC">
            <w:pPr>
              <w:spacing w:after="0" w:line="240" w:lineRule="auto"/>
              <w:rPr>
                <w:rFonts w:ascii="Times New Roman" w:hAnsi="Times New Roman"/>
                <w:b/>
                <w:bCs/>
                <w:sz w:val="20"/>
                <w:szCs w:val="20"/>
              </w:rPr>
            </w:pPr>
          </w:p>
        </w:tc>
        <w:tc>
          <w:tcPr>
            <w:tcW w:w="772" w:type="pct"/>
            <w:shd w:val="clear" w:color="auto" w:fill="D0CECE" w:themeFill="background2" w:themeFillShade="E6"/>
            <w:noWrap/>
            <w:vAlign w:val="bottom"/>
            <w:hideMark/>
          </w:tcPr>
          <w:p w14:paraId="0D28892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Less than 1 year</w:t>
            </w:r>
          </w:p>
        </w:tc>
        <w:tc>
          <w:tcPr>
            <w:tcW w:w="804" w:type="pct"/>
            <w:shd w:val="clear" w:color="auto" w:fill="D0CECE" w:themeFill="background2" w:themeFillShade="E6"/>
            <w:noWrap/>
            <w:vAlign w:val="bottom"/>
            <w:hideMark/>
          </w:tcPr>
          <w:p w14:paraId="6721A56E"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1-2 years</w:t>
            </w:r>
          </w:p>
        </w:tc>
        <w:tc>
          <w:tcPr>
            <w:tcW w:w="659" w:type="pct"/>
            <w:shd w:val="clear" w:color="auto" w:fill="D0CECE" w:themeFill="background2" w:themeFillShade="E6"/>
            <w:noWrap/>
            <w:vAlign w:val="bottom"/>
            <w:hideMark/>
          </w:tcPr>
          <w:p w14:paraId="10D46320"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2-3 years</w:t>
            </w:r>
          </w:p>
        </w:tc>
        <w:tc>
          <w:tcPr>
            <w:tcW w:w="906" w:type="pct"/>
            <w:shd w:val="clear" w:color="auto" w:fill="D0CECE" w:themeFill="background2" w:themeFillShade="E6"/>
            <w:noWrap/>
            <w:vAlign w:val="bottom"/>
            <w:hideMark/>
          </w:tcPr>
          <w:p w14:paraId="3EEB874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More than 3 years</w:t>
            </w:r>
          </w:p>
        </w:tc>
        <w:tc>
          <w:tcPr>
            <w:tcW w:w="609" w:type="pct"/>
            <w:vMerge/>
            <w:shd w:val="clear" w:color="auto" w:fill="D0CECE" w:themeFill="background2" w:themeFillShade="E6"/>
            <w:vAlign w:val="center"/>
            <w:hideMark/>
          </w:tcPr>
          <w:p w14:paraId="6CB0D780" w14:textId="77777777" w:rsidR="005B5953" w:rsidRPr="005B12AE" w:rsidRDefault="005B5953" w:rsidP="00250DAC">
            <w:pPr>
              <w:spacing w:after="0" w:line="240" w:lineRule="auto"/>
              <w:jc w:val="center"/>
              <w:rPr>
                <w:rFonts w:ascii="Times New Roman" w:hAnsi="Times New Roman"/>
                <w:b/>
                <w:bCs/>
                <w:sz w:val="20"/>
                <w:szCs w:val="20"/>
              </w:rPr>
            </w:pPr>
          </w:p>
        </w:tc>
      </w:tr>
      <w:tr w:rsidR="005B5953" w:rsidRPr="005B12AE" w14:paraId="2F9BD88D" w14:textId="77777777" w:rsidTr="00250DAC">
        <w:trPr>
          <w:trHeight w:val="20"/>
        </w:trPr>
        <w:tc>
          <w:tcPr>
            <w:tcW w:w="1250" w:type="pct"/>
            <w:shd w:val="clear" w:color="auto" w:fill="auto"/>
            <w:noWrap/>
            <w:vAlign w:val="bottom"/>
            <w:hideMark/>
          </w:tcPr>
          <w:p w14:paraId="07BC98B2"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For Goods &amp; Services</w:t>
            </w:r>
          </w:p>
        </w:tc>
        <w:tc>
          <w:tcPr>
            <w:tcW w:w="772" w:type="pct"/>
            <w:shd w:val="clear" w:color="auto" w:fill="auto"/>
            <w:noWrap/>
            <w:vAlign w:val="bottom"/>
            <w:hideMark/>
          </w:tcPr>
          <w:p w14:paraId="693A972A" w14:textId="77777777" w:rsidR="005B5953" w:rsidRPr="005B12AE" w:rsidRDefault="005B5953" w:rsidP="00250DAC">
            <w:pPr>
              <w:spacing w:after="0" w:line="240" w:lineRule="auto"/>
              <w:jc w:val="center"/>
              <w:rPr>
                <w:rFonts w:ascii="Times New Roman" w:hAnsi="Times New Roman"/>
                <w:b/>
                <w:bCs/>
                <w:sz w:val="20"/>
                <w:szCs w:val="20"/>
              </w:rPr>
            </w:pPr>
          </w:p>
        </w:tc>
        <w:tc>
          <w:tcPr>
            <w:tcW w:w="804" w:type="pct"/>
            <w:shd w:val="clear" w:color="auto" w:fill="auto"/>
            <w:noWrap/>
            <w:vAlign w:val="bottom"/>
            <w:hideMark/>
          </w:tcPr>
          <w:p w14:paraId="07C6106F" w14:textId="77777777" w:rsidR="005B5953" w:rsidRPr="005B12AE" w:rsidRDefault="005B5953" w:rsidP="00250DAC">
            <w:pPr>
              <w:spacing w:after="0" w:line="240" w:lineRule="auto"/>
              <w:jc w:val="center"/>
              <w:rPr>
                <w:rFonts w:ascii="Times New Roman" w:hAnsi="Times New Roman"/>
                <w:b/>
                <w:bCs/>
                <w:sz w:val="20"/>
                <w:szCs w:val="20"/>
              </w:rPr>
            </w:pPr>
          </w:p>
        </w:tc>
        <w:tc>
          <w:tcPr>
            <w:tcW w:w="659" w:type="pct"/>
            <w:shd w:val="clear" w:color="auto" w:fill="auto"/>
            <w:noWrap/>
            <w:vAlign w:val="bottom"/>
            <w:hideMark/>
          </w:tcPr>
          <w:p w14:paraId="5471348F" w14:textId="77777777" w:rsidR="005B5953" w:rsidRPr="005B12AE" w:rsidRDefault="005B5953" w:rsidP="00250DAC">
            <w:pPr>
              <w:spacing w:after="0" w:line="240" w:lineRule="auto"/>
              <w:jc w:val="center"/>
              <w:rPr>
                <w:rFonts w:ascii="Times New Roman" w:hAnsi="Times New Roman"/>
                <w:b/>
                <w:bCs/>
                <w:sz w:val="20"/>
                <w:szCs w:val="20"/>
              </w:rPr>
            </w:pPr>
          </w:p>
        </w:tc>
        <w:tc>
          <w:tcPr>
            <w:tcW w:w="906" w:type="pct"/>
            <w:shd w:val="clear" w:color="auto" w:fill="auto"/>
            <w:noWrap/>
            <w:vAlign w:val="bottom"/>
            <w:hideMark/>
          </w:tcPr>
          <w:p w14:paraId="15FA41AC" w14:textId="77777777" w:rsidR="005B5953" w:rsidRPr="005B12AE" w:rsidRDefault="005B5953" w:rsidP="00250DAC">
            <w:pPr>
              <w:spacing w:after="0" w:line="240" w:lineRule="auto"/>
              <w:jc w:val="center"/>
              <w:rPr>
                <w:rFonts w:ascii="Times New Roman" w:hAnsi="Times New Roman"/>
                <w:b/>
                <w:bCs/>
                <w:sz w:val="20"/>
                <w:szCs w:val="20"/>
              </w:rPr>
            </w:pPr>
          </w:p>
        </w:tc>
        <w:tc>
          <w:tcPr>
            <w:tcW w:w="609" w:type="pct"/>
            <w:shd w:val="clear" w:color="auto" w:fill="auto"/>
            <w:vAlign w:val="center"/>
            <w:hideMark/>
          </w:tcPr>
          <w:p w14:paraId="3CB6104B" w14:textId="77777777" w:rsidR="005B5953" w:rsidRPr="005B12AE" w:rsidRDefault="005B5953" w:rsidP="00250DAC">
            <w:pPr>
              <w:spacing w:after="0" w:line="240" w:lineRule="auto"/>
              <w:jc w:val="center"/>
              <w:rPr>
                <w:rFonts w:ascii="Times New Roman" w:hAnsi="Times New Roman"/>
                <w:b/>
                <w:bCs/>
                <w:sz w:val="20"/>
                <w:szCs w:val="20"/>
              </w:rPr>
            </w:pPr>
          </w:p>
        </w:tc>
      </w:tr>
      <w:tr w:rsidR="005B5953" w:rsidRPr="005B12AE" w14:paraId="0D28E122" w14:textId="77777777" w:rsidTr="00250DAC">
        <w:trPr>
          <w:trHeight w:val="20"/>
        </w:trPr>
        <w:tc>
          <w:tcPr>
            <w:tcW w:w="1250" w:type="pct"/>
            <w:shd w:val="clear" w:color="auto" w:fill="auto"/>
            <w:noWrap/>
            <w:vAlign w:val="bottom"/>
            <w:hideMark/>
          </w:tcPr>
          <w:p w14:paraId="08CF61C2"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(i)MSME  </w:t>
            </w:r>
          </w:p>
        </w:tc>
        <w:tc>
          <w:tcPr>
            <w:tcW w:w="772" w:type="pct"/>
            <w:shd w:val="clear" w:color="auto" w:fill="auto"/>
            <w:noWrap/>
            <w:vAlign w:val="bottom"/>
            <w:hideMark/>
          </w:tcPr>
          <w:p w14:paraId="16E5FC5D" w14:textId="77777777" w:rsidR="005B5953" w:rsidRPr="005B12AE" w:rsidRDefault="005B5953" w:rsidP="00250DAC">
            <w:pPr>
              <w:spacing w:after="0" w:line="240" w:lineRule="auto"/>
              <w:jc w:val="center"/>
              <w:rPr>
                <w:rFonts w:ascii="Times New Roman" w:hAnsi="Times New Roman"/>
                <w:b/>
                <w:bCs/>
                <w:sz w:val="20"/>
                <w:szCs w:val="20"/>
              </w:rPr>
            </w:pPr>
          </w:p>
        </w:tc>
        <w:tc>
          <w:tcPr>
            <w:tcW w:w="804" w:type="pct"/>
            <w:shd w:val="clear" w:color="auto" w:fill="auto"/>
            <w:noWrap/>
            <w:vAlign w:val="bottom"/>
            <w:hideMark/>
          </w:tcPr>
          <w:p w14:paraId="100F27B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659" w:type="pct"/>
            <w:shd w:val="clear" w:color="auto" w:fill="auto"/>
            <w:noWrap/>
            <w:vAlign w:val="bottom"/>
            <w:hideMark/>
          </w:tcPr>
          <w:p w14:paraId="30729C13"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906" w:type="pct"/>
            <w:shd w:val="clear" w:color="auto" w:fill="auto"/>
            <w:noWrap/>
            <w:vAlign w:val="bottom"/>
            <w:hideMark/>
          </w:tcPr>
          <w:p w14:paraId="37DA5886"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15.40</w:t>
            </w:r>
          </w:p>
        </w:tc>
        <w:tc>
          <w:tcPr>
            <w:tcW w:w="609" w:type="pct"/>
            <w:shd w:val="clear" w:color="auto" w:fill="auto"/>
            <w:noWrap/>
            <w:vAlign w:val="bottom"/>
            <w:hideMark/>
          </w:tcPr>
          <w:p w14:paraId="4E82DB6E"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15.40</w:t>
            </w:r>
          </w:p>
        </w:tc>
      </w:tr>
      <w:tr w:rsidR="005B5953" w:rsidRPr="005B12AE" w14:paraId="6DB26C31" w14:textId="77777777" w:rsidTr="00250DAC">
        <w:trPr>
          <w:trHeight w:val="20"/>
        </w:trPr>
        <w:tc>
          <w:tcPr>
            <w:tcW w:w="1250" w:type="pct"/>
            <w:shd w:val="clear" w:color="auto" w:fill="auto"/>
            <w:noWrap/>
            <w:vAlign w:val="bottom"/>
            <w:hideMark/>
          </w:tcPr>
          <w:p w14:paraId="7451847B"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(ii)Others  </w:t>
            </w:r>
          </w:p>
        </w:tc>
        <w:tc>
          <w:tcPr>
            <w:tcW w:w="772" w:type="pct"/>
            <w:shd w:val="clear" w:color="auto" w:fill="auto"/>
            <w:noWrap/>
            <w:vAlign w:val="bottom"/>
            <w:hideMark/>
          </w:tcPr>
          <w:p w14:paraId="7654462F"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2,226.88</w:t>
            </w:r>
          </w:p>
        </w:tc>
        <w:tc>
          <w:tcPr>
            <w:tcW w:w="804" w:type="pct"/>
            <w:shd w:val="clear" w:color="auto" w:fill="auto"/>
            <w:noWrap/>
            <w:vAlign w:val="bottom"/>
            <w:hideMark/>
          </w:tcPr>
          <w:p w14:paraId="1A1581AC"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428.31</w:t>
            </w:r>
          </w:p>
        </w:tc>
        <w:tc>
          <w:tcPr>
            <w:tcW w:w="659" w:type="pct"/>
            <w:shd w:val="clear" w:color="auto" w:fill="auto"/>
            <w:noWrap/>
            <w:vAlign w:val="bottom"/>
            <w:hideMark/>
          </w:tcPr>
          <w:p w14:paraId="461C5C0E"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193.96</w:t>
            </w:r>
          </w:p>
        </w:tc>
        <w:tc>
          <w:tcPr>
            <w:tcW w:w="906" w:type="pct"/>
            <w:shd w:val="clear" w:color="auto" w:fill="auto"/>
            <w:noWrap/>
            <w:vAlign w:val="bottom"/>
            <w:hideMark/>
          </w:tcPr>
          <w:p w14:paraId="4904643F"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3.73</w:t>
            </w:r>
          </w:p>
        </w:tc>
        <w:tc>
          <w:tcPr>
            <w:tcW w:w="609" w:type="pct"/>
            <w:shd w:val="clear" w:color="auto" w:fill="auto"/>
            <w:noWrap/>
            <w:vAlign w:val="bottom"/>
            <w:hideMark/>
          </w:tcPr>
          <w:p w14:paraId="48869296"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2,852.88</w:t>
            </w:r>
          </w:p>
        </w:tc>
      </w:tr>
      <w:tr w:rsidR="005B5953" w:rsidRPr="005B12AE" w14:paraId="16160A36" w14:textId="77777777" w:rsidTr="00250DAC">
        <w:trPr>
          <w:trHeight w:val="20"/>
        </w:trPr>
        <w:tc>
          <w:tcPr>
            <w:tcW w:w="1250" w:type="pct"/>
            <w:shd w:val="clear" w:color="auto" w:fill="auto"/>
            <w:noWrap/>
            <w:vAlign w:val="bottom"/>
            <w:hideMark/>
          </w:tcPr>
          <w:p w14:paraId="70ED7C9F"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(iii) Disputed  </w:t>
            </w:r>
          </w:p>
        </w:tc>
        <w:tc>
          <w:tcPr>
            <w:tcW w:w="772" w:type="pct"/>
            <w:shd w:val="clear" w:color="auto" w:fill="auto"/>
            <w:noWrap/>
            <w:vAlign w:val="bottom"/>
            <w:hideMark/>
          </w:tcPr>
          <w:p w14:paraId="61D2E475"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804" w:type="pct"/>
            <w:shd w:val="clear" w:color="auto" w:fill="auto"/>
            <w:noWrap/>
            <w:vAlign w:val="bottom"/>
            <w:hideMark/>
          </w:tcPr>
          <w:p w14:paraId="729350B7"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659" w:type="pct"/>
            <w:shd w:val="clear" w:color="auto" w:fill="auto"/>
            <w:noWrap/>
            <w:vAlign w:val="bottom"/>
            <w:hideMark/>
          </w:tcPr>
          <w:p w14:paraId="188C721F"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906" w:type="pct"/>
            <w:shd w:val="clear" w:color="auto" w:fill="auto"/>
            <w:noWrap/>
            <w:vAlign w:val="bottom"/>
            <w:hideMark/>
          </w:tcPr>
          <w:p w14:paraId="5F02C9A1"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609" w:type="pct"/>
            <w:shd w:val="clear" w:color="auto" w:fill="auto"/>
            <w:noWrap/>
            <w:vAlign w:val="bottom"/>
            <w:hideMark/>
          </w:tcPr>
          <w:p w14:paraId="08FE1270"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w:t>
            </w:r>
          </w:p>
        </w:tc>
      </w:tr>
      <w:tr w:rsidR="005B5953" w:rsidRPr="005B12AE" w14:paraId="19F41EB4" w14:textId="77777777" w:rsidTr="00250DAC">
        <w:trPr>
          <w:trHeight w:val="20"/>
        </w:trPr>
        <w:tc>
          <w:tcPr>
            <w:tcW w:w="1250" w:type="pct"/>
            <w:shd w:val="clear" w:color="auto" w:fill="auto"/>
            <w:noWrap/>
            <w:vAlign w:val="bottom"/>
            <w:hideMark/>
          </w:tcPr>
          <w:p w14:paraId="669283F2"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(iv) Undisputed </w:t>
            </w:r>
          </w:p>
        </w:tc>
        <w:tc>
          <w:tcPr>
            <w:tcW w:w="772" w:type="pct"/>
            <w:shd w:val="clear" w:color="auto" w:fill="auto"/>
            <w:noWrap/>
            <w:vAlign w:val="bottom"/>
            <w:hideMark/>
          </w:tcPr>
          <w:p w14:paraId="1DDCBBF3"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804" w:type="pct"/>
            <w:shd w:val="clear" w:color="auto" w:fill="auto"/>
            <w:noWrap/>
            <w:vAlign w:val="bottom"/>
            <w:hideMark/>
          </w:tcPr>
          <w:p w14:paraId="3823155F"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659" w:type="pct"/>
            <w:shd w:val="clear" w:color="auto" w:fill="auto"/>
            <w:noWrap/>
            <w:vAlign w:val="bottom"/>
            <w:hideMark/>
          </w:tcPr>
          <w:p w14:paraId="34F7AAEA"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906" w:type="pct"/>
            <w:shd w:val="clear" w:color="auto" w:fill="auto"/>
            <w:noWrap/>
            <w:vAlign w:val="bottom"/>
            <w:hideMark/>
          </w:tcPr>
          <w:p w14:paraId="1C649ED6"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609" w:type="pct"/>
            <w:shd w:val="clear" w:color="auto" w:fill="auto"/>
            <w:noWrap/>
            <w:vAlign w:val="bottom"/>
            <w:hideMark/>
          </w:tcPr>
          <w:p w14:paraId="5B2E4AB0"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w:t>
            </w:r>
          </w:p>
        </w:tc>
      </w:tr>
      <w:tr w:rsidR="005B5953" w:rsidRPr="005B12AE" w14:paraId="016C35BC" w14:textId="77777777" w:rsidTr="00250DAC">
        <w:trPr>
          <w:trHeight w:val="20"/>
        </w:trPr>
        <w:tc>
          <w:tcPr>
            <w:tcW w:w="1250" w:type="pct"/>
            <w:shd w:val="clear" w:color="auto" w:fill="auto"/>
            <w:noWrap/>
            <w:vAlign w:val="bottom"/>
            <w:hideMark/>
          </w:tcPr>
          <w:p w14:paraId="454A8DEC"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For Expenses</w:t>
            </w:r>
          </w:p>
        </w:tc>
        <w:tc>
          <w:tcPr>
            <w:tcW w:w="772" w:type="pct"/>
            <w:shd w:val="clear" w:color="auto" w:fill="auto"/>
            <w:noWrap/>
            <w:vAlign w:val="bottom"/>
            <w:hideMark/>
          </w:tcPr>
          <w:p w14:paraId="583368DB" w14:textId="77777777" w:rsidR="005B5953" w:rsidRPr="005B12AE" w:rsidRDefault="005B5953" w:rsidP="00250DAC">
            <w:pPr>
              <w:spacing w:after="0" w:line="240" w:lineRule="auto"/>
              <w:jc w:val="center"/>
              <w:rPr>
                <w:rFonts w:ascii="Times New Roman" w:hAnsi="Times New Roman"/>
                <w:b/>
                <w:bCs/>
                <w:sz w:val="20"/>
                <w:szCs w:val="20"/>
              </w:rPr>
            </w:pPr>
          </w:p>
        </w:tc>
        <w:tc>
          <w:tcPr>
            <w:tcW w:w="804" w:type="pct"/>
            <w:shd w:val="clear" w:color="auto" w:fill="auto"/>
            <w:noWrap/>
            <w:vAlign w:val="bottom"/>
            <w:hideMark/>
          </w:tcPr>
          <w:p w14:paraId="474A7665" w14:textId="77777777" w:rsidR="005B5953" w:rsidRPr="005B12AE" w:rsidRDefault="005B5953" w:rsidP="00250DAC">
            <w:pPr>
              <w:spacing w:after="0" w:line="240" w:lineRule="auto"/>
              <w:jc w:val="center"/>
              <w:rPr>
                <w:rFonts w:ascii="Times New Roman" w:hAnsi="Times New Roman"/>
                <w:b/>
                <w:bCs/>
                <w:sz w:val="20"/>
                <w:szCs w:val="20"/>
              </w:rPr>
            </w:pPr>
          </w:p>
        </w:tc>
        <w:tc>
          <w:tcPr>
            <w:tcW w:w="659" w:type="pct"/>
            <w:shd w:val="clear" w:color="auto" w:fill="auto"/>
            <w:noWrap/>
            <w:vAlign w:val="bottom"/>
            <w:hideMark/>
          </w:tcPr>
          <w:p w14:paraId="0EACDC8F" w14:textId="77777777" w:rsidR="005B5953" w:rsidRPr="005B12AE" w:rsidRDefault="005B5953" w:rsidP="00250DAC">
            <w:pPr>
              <w:spacing w:after="0" w:line="240" w:lineRule="auto"/>
              <w:jc w:val="center"/>
              <w:rPr>
                <w:rFonts w:ascii="Times New Roman" w:hAnsi="Times New Roman"/>
                <w:b/>
                <w:bCs/>
                <w:sz w:val="20"/>
                <w:szCs w:val="20"/>
              </w:rPr>
            </w:pPr>
          </w:p>
        </w:tc>
        <w:tc>
          <w:tcPr>
            <w:tcW w:w="906" w:type="pct"/>
            <w:shd w:val="clear" w:color="auto" w:fill="auto"/>
            <w:noWrap/>
            <w:vAlign w:val="bottom"/>
            <w:hideMark/>
          </w:tcPr>
          <w:p w14:paraId="18960197" w14:textId="77777777" w:rsidR="005B5953" w:rsidRPr="005B12AE" w:rsidRDefault="005B5953" w:rsidP="00250DAC">
            <w:pPr>
              <w:spacing w:after="0" w:line="240" w:lineRule="auto"/>
              <w:jc w:val="center"/>
              <w:rPr>
                <w:rFonts w:ascii="Times New Roman" w:hAnsi="Times New Roman"/>
                <w:b/>
                <w:bCs/>
                <w:sz w:val="20"/>
                <w:szCs w:val="20"/>
              </w:rPr>
            </w:pPr>
          </w:p>
        </w:tc>
        <w:tc>
          <w:tcPr>
            <w:tcW w:w="609" w:type="pct"/>
            <w:shd w:val="clear" w:color="auto" w:fill="auto"/>
            <w:vAlign w:val="center"/>
            <w:hideMark/>
          </w:tcPr>
          <w:p w14:paraId="4DC7B4B4" w14:textId="77777777" w:rsidR="005B5953" w:rsidRPr="005B12AE" w:rsidRDefault="005B5953" w:rsidP="00250DAC">
            <w:pPr>
              <w:spacing w:after="0" w:line="240" w:lineRule="auto"/>
              <w:jc w:val="center"/>
              <w:rPr>
                <w:rFonts w:ascii="Times New Roman" w:hAnsi="Times New Roman"/>
                <w:b/>
                <w:bCs/>
                <w:sz w:val="20"/>
                <w:szCs w:val="20"/>
              </w:rPr>
            </w:pPr>
          </w:p>
        </w:tc>
      </w:tr>
      <w:tr w:rsidR="005B5953" w:rsidRPr="005B12AE" w14:paraId="2EFD29C3" w14:textId="77777777" w:rsidTr="00250DAC">
        <w:trPr>
          <w:trHeight w:val="20"/>
        </w:trPr>
        <w:tc>
          <w:tcPr>
            <w:tcW w:w="1250" w:type="pct"/>
            <w:shd w:val="clear" w:color="auto" w:fill="auto"/>
            <w:noWrap/>
            <w:vAlign w:val="bottom"/>
            <w:hideMark/>
          </w:tcPr>
          <w:p w14:paraId="2F5626B1"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(i)MSME  </w:t>
            </w:r>
          </w:p>
        </w:tc>
        <w:tc>
          <w:tcPr>
            <w:tcW w:w="772" w:type="pct"/>
            <w:shd w:val="clear" w:color="auto" w:fill="auto"/>
            <w:noWrap/>
            <w:vAlign w:val="bottom"/>
            <w:hideMark/>
          </w:tcPr>
          <w:p w14:paraId="1717336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2.92</w:t>
            </w:r>
          </w:p>
        </w:tc>
        <w:tc>
          <w:tcPr>
            <w:tcW w:w="804" w:type="pct"/>
            <w:shd w:val="clear" w:color="auto" w:fill="auto"/>
            <w:noWrap/>
            <w:vAlign w:val="bottom"/>
            <w:hideMark/>
          </w:tcPr>
          <w:p w14:paraId="701B2F3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0.01</w:t>
            </w:r>
          </w:p>
        </w:tc>
        <w:tc>
          <w:tcPr>
            <w:tcW w:w="659" w:type="pct"/>
            <w:shd w:val="clear" w:color="auto" w:fill="auto"/>
            <w:noWrap/>
            <w:vAlign w:val="bottom"/>
            <w:hideMark/>
          </w:tcPr>
          <w:p w14:paraId="5DEE8BA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0.08</w:t>
            </w:r>
          </w:p>
        </w:tc>
        <w:tc>
          <w:tcPr>
            <w:tcW w:w="906" w:type="pct"/>
            <w:shd w:val="clear" w:color="auto" w:fill="auto"/>
            <w:noWrap/>
            <w:vAlign w:val="bottom"/>
            <w:hideMark/>
          </w:tcPr>
          <w:p w14:paraId="236FAED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0.97</w:t>
            </w:r>
          </w:p>
        </w:tc>
        <w:tc>
          <w:tcPr>
            <w:tcW w:w="609" w:type="pct"/>
            <w:shd w:val="clear" w:color="auto" w:fill="auto"/>
            <w:noWrap/>
            <w:vAlign w:val="bottom"/>
            <w:hideMark/>
          </w:tcPr>
          <w:p w14:paraId="0E92C0DA"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3.99</w:t>
            </w:r>
          </w:p>
        </w:tc>
      </w:tr>
      <w:tr w:rsidR="005B5953" w:rsidRPr="005B12AE" w14:paraId="18407DE1" w14:textId="77777777" w:rsidTr="00250DAC">
        <w:trPr>
          <w:trHeight w:val="20"/>
        </w:trPr>
        <w:tc>
          <w:tcPr>
            <w:tcW w:w="1250" w:type="pct"/>
            <w:shd w:val="clear" w:color="auto" w:fill="auto"/>
            <w:noWrap/>
            <w:vAlign w:val="bottom"/>
            <w:hideMark/>
          </w:tcPr>
          <w:p w14:paraId="4137EB04"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(ii)Others  </w:t>
            </w:r>
          </w:p>
        </w:tc>
        <w:tc>
          <w:tcPr>
            <w:tcW w:w="772" w:type="pct"/>
            <w:shd w:val="clear" w:color="auto" w:fill="auto"/>
            <w:noWrap/>
            <w:vAlign w:val="bottom"/>
            <w:hideMark/>
          </w:tcPr>
          <w:p w14:paraId="193FD5BE"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35.02</w:t>
            </w:r>
          </w:p>
        </w:tc>
        <w:tc>
          <w:tcPr>
            <w:tcW w:w="804" w:type="pct"/>
            <w:shd w:val="clear" w:color="auto" w:fill="auto"/>
            <w:noWrap/>
            <w:vAlign w:val="bottom"/>
            <w:hideMark/>
          </w:tcPr>
          <w:p w14:paraId="40F792F8"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4.85</w:t>
            </w:r>
          </w:p>
        </w:tc>
        <w:tc>
          <w:tcPr>
            <w:tcW w:w="659" w:type="pct"/>
            <w:shd w:val="clear" w:color="auto" w:fill="auto"/>
            <w:noWrap/>
            <w:vAlign w:val="bottom"/>
            <w:hideMark/>
          </w:tcPr>
          <w:p w14:paraId="74CE0FBA"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4.73</w:t>
            </w:r>
          </w:p>
        </w:tc>
        <w:tc>
          <w:tcPr>
            <w:tcW w:w="906" w:type="pct"/>
            <w:shd w:val="clear" w:color="auto" w:fill="auto"/>
            <w:noWrap/>
            <w:vAlign w:val="bottom"/>
            <w:hideMark/>
          </w:tcPr>
          <w:p w14:paraId="203E5865"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3.50</w:t>
            </w:r>
          </w:p>
        </w:tc>
        <w:tc>
          <w:tcPr>
            <w:tcW w:w="609" w:type="pct"/>
            <w:shd w:val="clear" w:color="auto" w:fill="auto"/>
            <w:noWrap/>
            <w:vAlign w:val="bottom"/>
            <w:hideMark/>
          </w:tcPr>
          <w:p w14:paraId="12D1DE0E"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48.10</w:t>
            </w:r>
          </w:p>
        </w:tc>
      </w:tr>
      <w:tr w:rsidR="005B5953" w:rsidRPr="005B12AE" w14:paraId="58D3029B" w14:textId="77777777" w:rsidTr="00250DAC">
        <w:trPr>
          <w:trHeight w:val="20"/>
        </w:trPr>
        <w:tc>
          <w:tcPr>
            <w:tcW w:w="1250" w:type="pct"/>
            <w:shd w:val="clear" w:color="auto" w:fill="auto"/>
            <w:noWrap/>
            <w:vAlign w:val="bottom"/>
            <w:hideMark/>
          </w:tcPr>
          <w:p w14:paraId="7D29DC74"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(iii) Disputed  </w:t>
            </w:r>
          </w:p>
        </w:tc>
        <w:tc>
          <w:tcPr>
            <w:tcW w:w="772" w:type="pct"/>
            <w:shd w:val="clear" w:color="auto" w:fill="auto"/>
            <w:noWrap/>
            <w:vAlign w:val="bottom"/>
            <w:hideMark/>
          </w:tcPr>
          <w:p w14:paraId="49FB456D"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804" w:type="pct"/>
            <w:shd w:val="clear" w:color="auto" w:fill="auto"/>
            <w:noWrap/>
            <w:vAlign w:val="bottom"/>
            <w:hideMark/>
          </w:tcPr>
          <w:p w14:paraId="47A34708"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659" w:type="pct"/>
            <w:shd w:val="clear" w:color="auto" w:fill="auto"/>
            <w:noWrap/>
            <w:vAlign w:val="bottom"/>
            <w:hideMark/>
          </w:tcPr>
          <w:p w14:paraId="5DE8CEFA"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906" w:type="pct"/>
            <w:shd w:val="clear" w:color="auto" w:fill="auto"/>
            <w:noWrap/>
            <w:vAlign w:val="bottom"/>
            <w:hideMark/>
          </w:tcPr>
          <w:p w14:paraId="47593B31"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609" w:type="pct"/>
            <w:shd w:val="clear" w:color="auto" w:fill="auto"/>
            <w:noWrap/>
            <w:vAlign w:val="bottom"/>
            <w:hideMark/>
          </w:tcPr>
          <w:p w14:paraId="45408FA2"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w:t>
            </w:r>
          </w:p>
        </w:tc>
      </w:tr>
      <w:tr w:rsidR="005B5953" w:rsidRPr="005B12AE" w14:paraId="1DDE6789" w14:textId="77777777" w:rsidTr="00250DAC">
        <w:trPr>
          <w:trHeight w:val="20"/>
        </w:trPr>
        <w:tc>
          <w:tcPr>
            <w:tcW w:w="1250" w:type="pct"/>
            <w:shd w:val="clear" w:color="auto" w:fill="auto"/>
            <w:noWrap/>
            <w:vAlign w:val="bottom"/>
            <w:hideMark/>
          </w:tcPr>
          <w:p w14:paraId="3217DC76"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(iv) Undisputed </w:t>
            </w:r>
          </w:p>
        </w:tc>
        <w:tc>
          <w:tcPr>
            <w:tcW w:w="772" w:type="pct"/>
            <w:shd w:val="clear" w:color="auto" w:fill="auto"/>
            <w:noWrap/>
            <w:vAlign w:val="bottom"/>
            <w:hideMark/>
          </w:tcPr>
          <w:p w14:paraId="587160C6"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804" w:type="pct"/>
            <w:shd w:val="clear" w:color="auto" w:fill="auto"/>
            <w:noWrap/>
            <w:vAlign w:val="bottom"/>
            <w:hideMark/>
          </w:tcPr>
          <w:p w14:paraId="109A77D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659" w:type="pct"/>
            <w:shd w:val="clear" w:color="auto" w:fill="auto"/>
            <w:noWrap/>
            <w:vAlign w:val="bottom"/>
            <w:hideMark/>
          </w:tcPr>
          <w:p w14:paraId="10F3C913"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906" w:type="pct"/>
            <w:shd w:val="clear" w:color="auto" w:fill="auto"/>
            <w:noWrap/>
            <w:vAlign w:val="bottom"/>
            <w:hideMark/>
          </w:tcPr>
          <w:p w14:paraId="7375953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609" w:type="pct"/>
            <w:shd w:val="clear" w:color="auto" w:fill="auto"/>
            <w:noWrap/>
            <w:vAlign w:val="bottom"/>
            <w:hideMark/>
          </w:tcPr>
          <w:p w14:paraId="00E9A152"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w:t>
            </w:r>
          </w:p>
        </w:tc>
      </w:tr>
      <w:tr w:rsidR="005B5953" w:rsidRPr="005B12AE" w14:paraId="7D6E6720" w14:textId="77777777" w:rsidTr="00250DAC">
        <w:trPr>
          <w:trHeight w:val="20"/>
        </w:trPr>
        <w:tc>
          <w:tcPr>
            <w:tcW w:w="1250" w:type="pct"/>
            <w:shd w:val="clear" w:color="auto" w:fill="auto"/>
            <w:noWrap/>
            <w:vAlign w:val="bottom"/>
            <w:hideMark/>
          </w:tcPr>
          <w:p w14:paraId="7836B4B4"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For Capital Goods</w:t>
            </w:r>
          </w:p>
        </w:tc>
        <w:tc>
          <w:tcPr>
            <w:tcW w:w="772" w:type="pct"/>
            <w:shd w:val="clear" w:color="auto" w:fill="auto"/>
            <w:noWrap/>
            <w:vAlign w:val="bottom"/>
            <w:hideMark/>
          </w:tcPr>
          <w:p w14:paraId="65BF6319" w14:textId="77777777" w:rsidR="005B5953" w:rsidRPr="005B12AE" w:rsidRDefault="005B5953" w:rsidP="00250DAC">
            <w:pPr>
              <w:spacing w:after="0" w:line="240" w:lineRule="auto"/>
              <w:jc w:val="center"/>
              <w:rPr>
                <w:rFonts w:ascii="Times New Roman" w:hAnsi="Times New Roman"/>
                <w:b/>
                <w:bCs/>
                <w:sz w:val="20"/>
                <w:szCs w:val="20"/>
              </w:rPr>
            </w:pPr>
          </w:p>
        </w:tc>
        <w:tc>
          <w:tcPr>
            <w:tcW w:w="804" w:type="pct"/>
            <w:shd w:val="clear" w:color="auto" w:fill="auto"/>
            <w:noWrap/>
            <w:vAlign w:val="bottom"/>
            <w:hideMark/>
          </w:tcPr>
          <w:p w14:paraId="7A49A87F" w14:textId="77777777" w:rsidR="005B5953" w:rsidRPr="005B12AE" w:rsidRDefault="005B5953" w:rsidP="00250DAC">
            <w:pPr>
              <w:spacing w:after="0" w:line="240" w:lineRule="auto"/>
              <w:jc w:val="center"/>
              <w:rPr>
                <w:rFonts w:ascii="Times New Roman" w:hAnsi="Times New Roman"/>
                <w:b/>
                <w:bCs/>
                <w:sz w:val="20"/>
                <w:szCs w:val="20"/>
              </w:rPr>
            </w:pPr>
          </w:p>
        </w:tc>
        <w:tc>
          <w:tcPr>
            <w:tcW w:w="659" w:type="pct"/>
            <w:shd w:val="clear" w:color="auto" w:fill="auto"/>
            <w:noWrap/>
            <w:vAlign w:val="bottom"/>
            <w:hideMark/>
          </w:tcPr>
          <w:p w14:paraId="76D1F7FC" w14:textId="77777777" w:rsidR="005B5953" w:rsidRPr="005B12AE" w:rsidRDefault="005B5953" w:rsidP="00250DAC">
            <w:pPr>
              <w:spacing w:after="0" w:line="240" w:lineRule="auto"/>
              <w:jc w:val="center"/>
              <w:rPr>
                <w:rFonts w:ascii="Times New Roman" w:hAnsi="Times New Roman"/>
                <w:b/>
                <w:bCs/>
                <w:sz w:val="20"/>
                <w:szCs w:val="20"/>
              </w:rPr>
            </w:pPr>
          </w:p>
        </w:tc>
        <w:tc>
          <w:tcPr>
            <w:tcW w:w="906" w:type="pct"/>
            <w:shd w:val="clear" w:color="auto" w:fill="auto"/>
            <w:noWrap/>
            <w:vAlign w:val="bottom"/>
            <w:hideMark/>
          </w:tcPr>
          <w:p w14:paraId="70237575" w14:textId="77777777" w:rsidR="005B5953" w:rsidRPr="005B12AE" w:rsidRDefault="005B5953" w:rsidP="00250DAC">
            <w:pPr>
              <w:spacing w:after="0" w:line="240" w:lineRule="auto"/>
              <w:jc w:val="center"/>
              <w:rPr>
                <w:rFonts w:ascii="Times New Roman" w:hAnsi="Times New Roman"/>
                <w:b/>
                <w:bCs/>
                <w:sz w:val="20"/>
                <w:szCs w:val="20"/>
              </w:rPr>
            </w:pPr>
          </w:p>
        </w:tc>
        <w:tc>
          <w:tcPr>
            <w:tcW w:w="609" w:type="pct"/>
            <w:shd w:val="clear" w:color="auto" w:fill="auto"/>
            <w:vAlign w:val="center"/>
            <w:hideMark/>
          </w:tcPr>
          <w:p w14:paraId="1B5DED89" w14:textId="77777777" w:rsidR="005B5953" w:rsidRPr="005B12AE" w:rsidRDefault="005B5953" w:rsidP="00250DAC">
            <w:pPr>
              <w:spacing w:after="0" w:line="240" w:lineRule="auto"/>
              <w:jc w:val="center"/>
              <w:rPr>
                <w:rFonts w:ascii="Times New Roman" w:hAnsi="Times New Roman"/>
                <w:b/>
                <w:bCs/>
                <w:sz w:val="20"/>
                <w:szCs w:val="20"/>
              </w:rPr>
            </w:pPr>
          </w:p>
        </w:tc>
      </w:tr>
      <w:tr w:rsidR="005B5953" w:rsidRPr="005B12AE" w14:paraId="5AB74602" w14:textId="77777777" w:rsidTr="00250DAC">
        <w:trPr>
          <w:trHeight w:val="20"/>
        </w:trPr>
        <w:tc>
          <w:tcPr>
            <w:tcW w:w="1250" w:type="pct"/>
            <w:shd w:val="clear" w:color="auto" w:fill="auto"/>
            <w:noWrap/>
            <w:vAlign w:val="bottom"/>
            <w:hideMark/>
          </w:tcPr>
          <w:p w14:paraId="0F7725F9"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(i)MSME  </w:t>
            </w:r>
          </w:p>
        </w:tc>
        <w:tc>
          <w:tcPr>
            <w:tcW w:w="772" w:type="pct"/>
            <w:shd w:val="clear" w:color="auto" w:fill="auto"/>
            <w:noWrap/>
            <w:vAlign w:val="bottom"/>
            <w:hideMark/>
          </w:tcPr>
          <w:p w14:paraId="68F871EF"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804" w:type="pct"/>
            <w:shd w:val="clear" w:color="auto" w:fill="auto"/>
            <w:noWrap/>
            <w:vAlign w:val="bottom"/>
            <w:hideMark/>
          </w:tcPr>
          <w:p w14:paraId="1E37CBAC"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659" w:type="pct"/>
            <w:shd w:val="clear" w:color="auto" w:fill="auto"/>
            <w:noWrap/>
            <w:vAlign w:val="bottom"/>
            <w:hideMark/>
          </w:tcPr>
          <w:p w14:paraId="5D8D43E6"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906" w:type="pct"/>
            <w:shd w:val="clear" w:color="auto" w:fill="auto"/>
            <w:noWrap/>
            <w:vAlign w:val="bottom"/>
            <w:hideMark/>
          </w:tcPr>
          <w:p w14:paraId="0F72B429"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609" w:type="pct"/>
            <w:shd w:val="clear" w:color="auto" w:fill="auto"/>
            <w:noWrap/>
            <w:vAlign w:val="bottom"/>
            <w:hideMark/>
          </w:tcPr>
          <w:p w14:paraId="3E76480F"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w:t>
            </w:r>
          </w:p>
        </w:tc>
      </w:tr>
      <w:tr w:rsidR="005B5953" w:rsidRPr="005B12AE" w14:paraId="4FF9ECA2" w14:textId="77777777" w:rsidTr="00250DAC">
        <w:trPr>
          <w:trHeight w:val="20"/>
        </w:trPr>
        <w:tc>
          <w:tcPr>
            <w:tcW w:w="1250" w:type="pct"/>
            <w:shd w:val="clear" w:color="auto" w:fill="auto"/>
            <w:noWrap/>
            <w:vAlign w:val="bottom"/>
            <w:hideMark/>
          </w:tcPr>
          <w:p w14:paraId="44059D68"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(ii)Others  </w:t>
            </w:r>
          </w:p>
        </w:tc>
        <w:tc>
          <w:tcPr>
            <w:tcW w:w="772" w:type="pct"/>
            <w:shd w:val="clear" w:color="auto" w:fill="auto"/>
            <w:noWrap/>
            <w:vAlign w:val="bottom"/>
            <w:hideMark/>
          </w:tcPr>
          <w:p w14:paraId="26748117"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0.07</w:t>
            </w:r>
          </w:p>
        </w:tc>
        <w:tc>
          <w:tcPr>
            <w:tcW w:w="804" w:type="pct"/>
            <w:shd w:val="clear" w:color="auto" w:fill="auto"/>
            <w:noWrap/>
            <w:vAlign w:val="bottom"/>
            <w:hideMark/>
          </w:tcPr>
          <w:p w14:paraId="5E890ED1"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659" w:type="pct"/>
            <w:shd w:val="clear" w:color="auto" w:fill="auto"/>
            <w:noWrap/>
            <w:vAlign w:val="bottom"/>
            <w:hideMark/>
          </w:tcPr>
          <w:p w14:paraId="4B0A625C"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906" w:type="pct"/>
            <w:shd w:val="clear" w:color="auto" w:fill="auto"/>
            <w:noWrap/>
            <w:vAlign w:val="bottom"/>
            <w:hideMark/>
          </w:tcPr>
          <w:p w14:paraId="686C359E"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10.59</w:t>
            </w:r>
          </w:p>
        </w:tc>
        <w:tc>
          <w:tcPr>
            <w:tcW w:w="609" w:type="pct"/>
            <w:shd w:val="clear" w:color="auto" w:fill="auto"/>
            <w:noWrap/>
            <w:vAlign w:val="bottom"/>
            <w:hideMark/>
          </w:tcPr>
          <w:p w14:paraId="1A51D235"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10.66</w:t>
            </w:r>
          </w:p>
        </w:tc>
      </w:tr>
      <w:tr w:rsidR="005B5953" w:rsidRPr="005B12AE" w14:paraId="24EB4DA4" w14:textId="77777777" w:rsidTr="00250DAC">
        <w:trPr>
          <w:trHeight w:val="20"/>
        </w:trPr>
        <w:tc>
          <w:tcPr>
            <w:tcW w:w="1250" w:type="pct"/>
            <w:shd w:val="clear" w:color="auto" w:fill="auto"/>
            <w:noWrap/>
            <w:vAlign w:val="bottom"/>
            <w:hideMark/>
          </w:tcPr>
          <w:p w14:paraId="41F7D13A"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(iii) Disputed  </w:t>
            </w:r>
          </w:p>
        </w:tc>
        <w:tc>
          <w:tcPr>
            <w:tcW w:w="772" w:type="pct"/>
            <w:shd w:val="clear" w:color="auto" w:fill="auto"/>
            <w:noWrap/>
            <w:vAlign w:val="bottom"/>
            <w:hideMark/>
          </w:tcPr>
          <w:p w14:paraId="5B2277C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804" w:type="pct"/>
            <w:shd w:val="clear" w:color="auto" w:fill="auto"/>
            <w:noWrap/>
            <w:vAlign w:val="bottom"/>
            <w:hideMark/>
          </w:tcPr>
          <w:p w14:paraId="54593793"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659" w:type="pct"/>
            <w:shd w:val="clear" w:color="auto" w:fill="auto"/>
            <w:noWrap/>
            <w:vAlign w:val="bottom"/>
            <w:hideMark/>
          </w:tcPr>
          <w:p w14:paraId="7DB5E408"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906" w:type="pct"/>
            <w:shd w:val="clear" w:color="auto" w:fill="auto"/>
            <w:noWrap/>
            <w:vAlign w:val="bottom"/>
            <w:hideMark/>
          </w:tcPr>
          <w:p w14:paraId="45F9FABF"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609" w:type="pct"/>
            <w:shd w:val="clear" w:color="auto" w:fill="auto"/>
            <w:noWrap/>
            <w:vAlign w:val="bottom"/>
            <w:hideMark/>
          </w:tcPr>
          <w:p w14:paraId="22154456"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w:t>
            </w:r>
          </w:p>
        </w:tc>
      </w:tr>
      <w:tr w:rsidR="005B5953" w:rsidRPr="005B12AE" w14:paraId="40AF6E80" w14:textId="77777777" w:rsidTr="00250DAC">
        <w:trPr>
          <w:trHeight w:val="20"/>
        </w:trPr>
        <w:tc>
          <w:tcPr>
            <w:tcW w:w="1250" w:type="pct"/>
            <w:shd w:val="clear" w:color="auto" w:fill="auto"/>
            <w:noWrap/>
            <w:vAlign w:val="bottom"/>
            <w:hideMark/>
          </w:tcPr>
          <w:p w14:paraId="720E6178"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(iv) Undisputed </w:t>
            </w:r>
          </w:p>
        </w:tc>
        <w:tc>
          <w:tcPr>
            <w:tcW w:w="772" w:type="pct"/>
            <w:shd w:val="clear" w:color="auto" w:fill="auto"/>
            <w:noWrap/>
            <w:vAlign w:val="bottom"/>
            <w:hideMark/>
          </w:tcPr>
          <w:p w14:paraId="2CBE311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804" w:type="pct"/>
            <w:shd w:val="clear" w:color="auto" w:fill="auto"/>
            <w:noWrap/>
            <w:vAlign w:val="bottom"/>
            <w:hideMark/>
          </w:tcPr>
          <w:p w14:paraId="176DA91B"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659" w:type="pct"/>
            <w:shd w:val="clear" w:color="auto" w:fill="auto"/>
            <w:noWrap/>
            <w:vAlign w:val="bottom"/>
            <w:hideMark/>
          </w:tcPr>
          <w:p w14:paraId="64FD264E"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906" w:type="pct"/>
            <w:shd w:val="clear" w:color="auto" w:fill="auto"/>
            <w:noWrap/>
            <w:vAlign w:val="bottom"/>
            <w:hideMark/>
          </w:tcPr>
          <w:p w14:paraId="5EB372B3"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609" w:type="pct"/>
            <w:shd w:val="clear" w:color="auto" w:fill="auto"/>
            <w:noWrap/>
            <w:vAlign w:val="bottom"/>
            <w:hideMark/>
          </w:tcPr>
          <w:p w14:paraId="25441A3D"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w:t>
            </w:r>
          </w:p>
        </w:tc>
      </w:tr>
      <w:tr w:rsidR="005B5953" w:rsidRPr="005B12AE" w14:paraId="6EAAE671" w14:textId="77777777" w:rsidTr="00250DAC">
        <w:trPr>
          <w:trHeight w:val="20"/>
        </w:trPr>
        <w:tc>
          <w:tcPr>
            <w:tcW w:w="1250" w:type="pct"/>
            <w:shd w:val="clear" w:color="auto" w:fill="auto"/>
            <w:noWrap/>
            <w:vAlign w:val="bottom"/>
            <w:hideMark/>
          </w:tcPr>
          <w:p w14:paraId="252F0443"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 xml:space="preserve"> Total </w:t>
            </w:r>
          </w:p>
        </w:tc>
        <w:tc>
          <w:tcPr>
            <w:tcW w:w="772" w:type="pct"/>
            <w:shd w:val="clear" w:color="auto" w:fill="auto"/>
            <w:noWrap/>
            <w:vAlign w:val="bottom"/>
            <w:hideMark/>
          </w:tcPr>
          <w:p w14:paraId="17C33710"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2,226.88</w:t>
            </w:r>
          </w:p>
        </w:tc>
        <w:tc>
          <w:tcPr>
            <w:tcW w:w="804" w:type="pct"/>
            <w:shd w:val="clear" w:color="auto" w:fill="auto"/>
            <w:noWrap/>
            <w:vAlign w:val="bottom"/>
            <w:hideMark/>
          </w:tcPr>
          <w:p w14:paraId="3724278C"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428.31</w:t>
            </w:r>
          </w:p>
        </w:tc>
        <w:tc>
          <w:tcPr>
            <w:tcW w:w="659" w:type="pct"/>
            <w:shd w:val="clear" w:color="auto" w:fill="auto"/>
            <w:noWrap/>
            <w:vAlign w:val="bottom"/>
            <w:hideMark/>
          </w:tcPr>
          <w:p w14:paraId="010DEB5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193.96</w:t>
            </w:r>
          </w:p>
        </w:tc>
        <w:tc>
          <w:tcPr>
            <w:tcW w:w="906" w:type="pct"/>
            <w:shd w:val="clear" w:color="auto" w:fill="auto"/>
            <w:noWrap/>
            <w:vAlign w:val="bottom"/>
            <w:hideMark/>
          </w:tcPr>
          <w:p w14:paraId="0E096AE1"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19.13</w:t>
            </w:r>
          </w:p>
        </w:tc>
        <w:tc>
          <w:tcPr>
            <w:tcW w:w="609" w:type="pct"/>
            <w:shd w:val="clear" w:color="auto" w:fill="auto"/>
            <w:noWrap/>
            <w:vAlign w:val="bottom"/>
            <w:hideMark/>
          </w:tcPr>
          <w:p w14:paraId="1A55F529"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2,868.28</w:t>
            </w:r>
          </w:p>
        </w:tc>
      </w:tr>
    </w:tbl>
    <w:p w14:paraId="2D577C9E" w14:textId="77777777" w:rsidR="005B5953" w:rsidRPr="005B12AE" w:rsidRDefault="005B5953" w:rsidP="005B5953">
      <w:pPr>
        <w:spacing w:after="0"/>
        <w:ind w:left="270" w:hanging="270"/>
        <w:jc w:val="both"/>
        <w:rPr>
          <w:rFonts w:ascii="Times New Roman" w:hAnsi="Times New Roman"/>
          <w:sz w:val="20"/>
          <w:szCs w:val="20"/>
        </w:rPr>
      </w:pPr>
      <w:r w:rsidRPr="005B12AE">
        <w:rPr>
          <w:rFonts w:ascii="Times New Roman" w:hAnsi="Times New Roman"/>
          <w:sz w:val="20"/>
          <w:szCs w:val="20"/>
        </w:rPr>
        <w:t>Notes:</w:t>
      </w:r>
    </w:p>
    <w:p w14:paraId="10548980" w14:textId="77777777" w:rsidR="005B5953" w:rsidRPr="005B12AE" w:rsidRDefault="005B5953" w:rsidP="005B5953">
      <w:pPr>
        <w:spacing w:after="0"/>
        <w:ind w:left="270" w:hanging="270"/>
        <w:jc w:val="both"/>
        <w:rPr>
          <w:rFonts w:ascii="Times New Roman" w:hAnsi="Times New Roman"/>
          <w:sz w:val="20"/>
          <w:szCs w:val="20"/>
        </w:rPr>
      </w:pPr>
      <w:r w:rsidRPr="005B12AE">
        <w:rPr>
          <w:rFonts w:ascii="Times New Roman" w:hAnsi="Times New Roman"/>
          <w:sz w:val="20"/>
          <w:szCs w:val="20"/>
        </w:rPr>
        <w:t>1.The figures disclosed above are based on the restated summary statement of assets and liabilities of the Company.</w:t>
      </w:r>
    </w:p>
    <w:p w14:paraId="162BADA6" w14:textId="77777777" w:rsidR="005B5953" w:rsidRPr="005B12AE" w:rsidRDefault="005B5953" w:rsidP="005B5953">
      <w:pPr>
        <w:spacing w:after="0"/>
        <w:ind w:left="270" w:hanging="270"/>
        <w:jc w:val="both"/>
        <w:rPr>
          <w:rFonts w:ascii="Times New Roman" w:hAnsi="Times New Roman"/>
          <w:sz w:val="20"/>
          <w:szCs w:val="20"/>
        </w:rPr>
      </w:pPr>
      <w:r w:rsidRPr="005B12AE">
        <w:rPr>
          <w:rFonts w:ascii="Times New Roman" w:hAnsi="Times New Roman"/>
          <w:sz w:val="20"/>
          <w:szCs w:val="20"/>
        </w:rPr>
        <w:t>2. Amount due to entities covered under Micro, Small and Medium Enterprises as defined in the Micro, Small, Medium Enterprises Development Act, 2006, have been identified on the basis of information available with the Company.</w:t>
      </w:r>
    </w:p>
    <w:p w14:paraId="24B16AFC" w14:textId="77777777" w:rsidR="005B5953" w:rsidRPr="005B12AE" w:rsidRDefault="005B5953" w:rsidP="005B5953">
      <w:pPr>
        <w:spacing w:after="0"/>
        <w:ind w:left="270" w:hanging="270"/>
        <w:jc w:val="both"/>
        <w:rPr>
          <w:rFonts w:ascii="Times New Roman" w:hAnsi="Times New Roman"/>
          <w:sz w:val="20"/>
          <w:szCs w:val="20"/>
        </w:rPr>
      </w:pPr>
    </w:p>
    <w:p w14:paraId="4562096F" w14:textId="77777777" w:rsidR="005B5953" w:rsidRPr="005B12AE" w:rsidRDefault="005B5953" w:rsidP="005B5953">
      <w:pPr>
        <w:spacing w:after="0"/>
        <w:ind w:left="270" w:hanging="270"/>
        <w:jc w:val="center"/>
        <w:rPr>
          <w:rFonts w:ascii="Times New Roman" w:hAnsi="Times New Roman"/>
          <w:b/>
          <w:bCs/>
          <w:sz w:val="20"/>
          <w:szCs w:val="20"/>
        </w:rPr>
      </w:pPr>
      <w:r w:rsidRPr="005B12AE">
        <w:rPr>
          <w:rFonts w:ascii="Times New Roman" w:hAnsi="Times New Roman"/>
          <w:b/>
          <w:bCs/>
          <w:sz w:val="20"/>
          <w:szCs w:val="20"/>
        </w:rPr>
        <w:t>NOTE – F</w:t>
      </w:r>
    </w:p>
    <w:p w14:paraId="5D10B087" w14:textId="77777777" w:rsidR="005B5953" w:rsidRPr="005B12AE" w:rsidRDefault="005B5953" w:rsidP="005B5953">
      <w:pPr>
        <w:spacing w:after="0"/>
        <w:ind w:left="270" w:hanging="270"/>
        <w:jc w:val="center"/>
        <w:rPr>
          <w:rFonts w:ascii="Times New Roman" w:hAnsi="Times New Roman"/>
          <w:b/>
          <w:bCs/>
          <w:sz w:val="20"/>
          <w:szCs w:val="20"/>
        </w:rPr>
      </w:pPr>
      <w:r w:rsidRPr="005B12AE">
        <w:rPr>
          <w:rFonts w:ascii="Times New Roman" w:hAnsi="Times New Roman"/>
          <w:b/>
          <w:bCs/>
          <w:sz w:val="20"/>
          <w:szCs w:val="20"/>
        </w:rPr>
        <w:t>RESTATED STATEMENT OF OTHER CURRENT LIABILITIES</w:t>
      </w:r>
    </w:p>
    <w:p w14:paraId="645116A3" w14:textId="77777777" w:rsidR="005B5953" w:rsidRPr="005B12AE" w:rsidRDefault="005B5953" w:rsidP="005B5953">
      <w:pPr>
        <w:spacing w:after="0"/>
        <w:jc w:val="right"/>
        <w:rPr>
          <w:rFonts w:ascii="Times New Roman" w:hAnsi="Times New Roman"/>
          <w:b/>
          <w:bCs/>
          <w:sz w:val="20"/>
          <w:szCs w:val="20"/>
        </w:rPr>
      </w:pPr>
      <w:r w:rsidRPr="005B12AE">
        <w:rPr>
          <w:rFonts w:ascii="Times New Roman" w:hAnsi="Times New Roman"/>
          <w:b/>
          <w:bCs/>
          <w:sz w:val="20"/>
          <w:szCs w:val="20"/>
        </w:rPr>
        <w:t>(₹ in Lakhs)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8"/>
        <w:gridCol w:w="1727"/>
        <w:gridCol w:w="1619"/>
        <w:gridCol w:w="1462"/>
      </w:tblGrid>
      <w:tr w:rsidR="005B5953" w:rsidRPr="005B12AE" w14:paraId="437F2412" w14:textId="77777777" w:rsidTr="00250DAC">
        <w:trPr>
          <w:trHeight w:val="20"/>
        </w:trPr>
        <w:tc>
          <w:tcPr>
            <w:tcW w:w="2701" w:type="pct"/>
            <w:vMerge w:val="restart"/>
            <w:shd w:val="clear" w:color="auto" w:fill="D0CECE" w:themeFill="background2" w:themeFillShade="E6"/>
            <w:noWrap/>
            <w:vAlign w:val="center"/>
            <w:hideMark/>
          </w:tcPr>
          <w:p w14:paraId="15DE6520"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lastRenderedPageBreak/>
              <w:t>Particulars</w:t>
            </w:r>
          </w:p>
        </w:tc>
        <w:tc>
          <w:tcPr>
            <w:tcW w:w="2299" w:type="pct"/>
            <w:gridSpan w:val="3"/>
            <w:shd w:val="clear" w:color="auto" w:fill="D0CECE" w:themeFill="background2" w:themeFillShade="E6"/>
            <w:noWrap/>
            <w:vAlign w:val="center"/>
            <w:hideMark/>
          </w:tcPr>
          <w:p w14:paraId="0FDA4469"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As At</w:t>
            </w:r>
          </w:p>
        </w:tc>
      </w:tr>
      <w:tr w:rsidR="005B5953" w:rsidRPr="005B12AE" w14:paraId="6DF98E67" w14:textId="77777777" w:rsidTr="00250DAC">
        <w:trPr>
          <w:trHeight w:val="20"/>
        </w:trPr>
        <w:tc>
          <w:tcPr>
            <w:tcW w:w="2701" w:type="pct"/>
            <w:vMerge/>
            <w:shd w:val="clear" w:color="auto" w:fill="D0CECE" w:themeFill="background2" w:themeFillShade="E6"/>
            <w:vAlign w:val="center"/>
            <w:hideMark/>
          </w:tcPr>
          <w:p w14:paraId="7F979BA7" w14:textId="77777777" w:rsidR="005B5953" w:rsidRPr="005B12AE" w:rsidRDefault="005B5953" w:rsidP="00250DAC">
            <w:pPr>
              <w:spacing w:after="0" w:line="240" w:lineRule="auto"/>
              <w:jc w:val="center"/>
              <w:rPr>
                <w:rFonts w:ascii="Times New Roman" w:hAnsi="Times New Roman"/>
                <w:b/>
                <w:bCs/>
                <w:sz w:val="20"/>
                <w:szCs w:val="20"/>
              </w:rPr>
            </w:pPr>
          </w:p>
        </w:tc>
        <w:tc>
          <w:tcPr>
            <w:tcW w:w="826" w:type="pct"/>
            <w:shd w:val="clear" w:color="auto" w:fill="D0CECE" w:themeFill="background2" w:themeFillShade="E6"/>
            <w:noWrap/>
            <w:vAlign w:val="bottom"/>
            <w:hideMark/>
          </w:tcPr>
          <w:p w14:paraId="763B630E"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31/03/2023</w:t>
            </w:r>
          </w:p>
        </w:tc>
        <w:tc>
          <w:tcPr>
            <w:tcW w:w="774" w:type="pct"/>
            <w:shd w:val="clear" w:color="auto" w:fill="D0CECE" w:themeFill="background2" w:themeFillShade="E6"/>
            <w:noWrap/>
            <w:vAlign w:val="bottom"/>
            <w:hideMark/>
          </w:tcPr>
          <w:p w14:paraId="5F5406FF"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31/03/2022</w:t>
            </w:r>
          </w:p>
        </w:tc>
        <w:tc>
          <w:tcPr>
            <w:tcW w:w="699" w:type="pct"/>
            <w:shd w:val="clear" w:color="auto" w:fill="D0CECE" w:themeFill="background2" w:themeFillShade="E6"/>
            <w:noWrap/>
            <w:vAlign w:val="bottom"/>
            <w:hideMark/>
          </w:tcPr>
          <w:p w14:paraId="359D48AB"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31/03/2021</w:t>
            </w:r>
          </w:p>
        </w:tc>
      </w:tr>
      <w:tr w:rsidR="005B5953" w:rsidRPr="005B12AE" w14:paraId="3EA5A75E" w14:textId="77777777" w:rsidTr="00250DAC">
        <w:trPr>
          <w:trHeight w:val="20"/>
        </w:trPr>
        <w:tc>
          <w:tcPr>
            <w:tcW w:w="2701" w:type="pct"/>
            <w:shd w:val="clear" w:color="auto" w:fill="auto"/>
            <w:noWrap/>
            <w:vAlign w:val="bottom"/>
            <w:hideMark/>
          </w:tcPr>
          <w:p w14:paraId="19D8EDCC"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Other Current Liabilities</w:t>
            </w:r>
          </w:p>
        </w:tc>
        <w:tc>
          <w:tcPr>
            <w:tcW w:w="826" w:type="pct"/>
            <w:shd w:val="clear" w:color="auto" w:fill="auto"/>
            <w:noWrap/>
            <w:vAlign w:val="bottom"/>
            <w:hideMark/>
          </w:tcPr>
          <w:p w14:paraId="32275FA3" w14:textId="77777777" w:rsidR="005B5953" w:rsidRPr="005B12AE" w:rsidRDefault="005B5953" w:rsidP="00250DAC">
            <w:pPr>
              <w:spacing w:after="0" w:line="240" w:lineRule="auto"/>
              <w:jc w:val="center"/>
              <w:rPr>
                <w:rFonts w:ascii="Times New Roman" w:hAnsi="Times New Roman"/>
                <w:sz w:val="20"/>
                <w:szCs w:val="20"/>
              </w:rPr>
            </w:pPr>
          </w:p>
        </w:tc>
        <w:tc>
          <w:tcPr>
            <w:tcW w:w="774" w:type="pct"/>
            <w:shd w:val="clear" w:color="auto" w:fill="auto"/>
            <w:noWrap/>
            <w:vAlign w:val="bottom"/>
            <w:hideMark/>
          </w:tcPr>
          <w:p w14:paraId="2B8CB05B" w14:textId="77777777" w:rsidR="005B5953" w:rsidRPr="005B12AE" w:rsidRDefault="005B5953" w:rsidP="00250DAC">
            <w:pPr>
              <w:spacing w:after="0" w:line="240" w:lineRule="auto"/>
              <w:jc w:val="center"/>
              <w:rPr>
                <w:rFonts w:ascii="Times New Roman" w:hAnsi="Times New Roman"/>
                <w:sz w:val="20"/>
                <w:szCs w:val="20"/>
              </w:rPr>
            </w:pPr>
          </w:p>
        </w:tc>
        <w:tc>
          <w:tcPr>
            <w:tcW w:w="699" w:type="pct"/>
            <w:shd w:val="clear" w:color="auto" w:fill="auto"/>
            <w:noWrap/>
            <w:vAlign w:val="bottom"/>
            <w:hideMark/>
          </w:tcPr>
          <w:p w14:paraId="4F56591E"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11D66215" w14:textId="77777777" w:rsidTr="00250DAC">
        <w:trPr>
          <w:trHeight w:val="20"/>
        </w:trPr>
        <w:tc>
          <w:tcPr>
            <w:tcW w:w="2701" w:type="pct"/>
            <w:shd w:val="clear" w:color="auto" w:fill="auto"/>
            <w:noWrap/>
            <w:vAlign w:val="bottom"/>
            <w:hideMark/>
          </w:tcPr>
          <w:p w14:paraId="7412A852" w14:textId="77777777" w:rsidR="005B5953" w:rsidRPr="005B12AE" w:rsidRDefault="005B5953" w:rsidP="00250DAC">
            <w:pPr>
              <w:spacing w:after="0" w:line="240" w:lineRule="auto"/>
              <w:ind w:firstLineChars="100" w:firstLine="200"/>
              <w:rPr>
                <w:rFonts w:ascii="Times New Roman" w:hAnsi="Times New Roman"/>
                <w:sz w:val="20"/>
                <w:szCs w:val="20"/>
              </w:rPr>
            </w:pPr>
            <w:r w:rsidRPr="005B12AE">
              <w:rPr>
                <w:rFonts w:ascii="Times New Roman" w:hAnsi="Times New Roman"/>
                <w:sz w:val="20"/>
                <w:szCs w:val="20"/>
              </w:rPr>
              <w:t xml:space="preserve">Advance against purchase of immovable property </w:t>
            </w:r>
          </w:p>
        </w:tc>
        <w:tc>
          <w:tcPr>
            <w:tcW w:w="826" w:type="pct"/>
            <w:shd w:val="clear" w:color="auto" w:fill="auto"/>
            <w:noWrap/>
            <w:vAlign w:val="bottom"/>
            <w:hideMark/>
          </w:tcPr>
          <w:p w14:paraId="0AD0569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15.00</w:t>
            </w:r>
          </w:p>
        </w:tc>
        <w:tc>
          <w:tcPr>
            <w:tcW w:w="774" w:type="pct"/>
            <w:shd w:val="clear" w:color="auto" w:fill="auto"/>
            <w:noWrap/>
            <w:vAlign w:val="bottom"/>
            <w:hideMark/>
          </w:tcPr>
          <w:p w14:paraId="7595A70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15.00</w:t>
            </w:r>
          </w:p>
        </w:tc>
        <w:tc>
          <w:tcPr>
            <w:tcW w:w="699" w:type="pct"/>
            <w:shd w:val="clear" w:color="auto" w:fill="auto"/>
            <w:noWrap/>
            <w:vAlign w:val="bottom"/>
            <w:hideMark/>
          </w:tcPr>
          <w:p w14:paraId="0936AEA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15.00</w:t>
            </w:r>
          </w:p>
        </w:tc>
      </w:tr>
      <w:tr w:rsidR="005B5953" w:rsidRPr="005B12AE" w14:paraId="2279ECA6" w14:textId="77777777" w:rsidTr="00250DAC">
        <w:trPr>
          <w:trHeight w:val="20"/>
        </w:trPr>
        <w:tc>
          <w:tcPr>
            <w:tcW w:w="2701" w:type="pct"/>
            <w:shd w:val="clear" w:color="auto" w:fill="auto"/>
            <w:noWrap/>
            <w:vAlign w:val="bottom"/>
            <w:hideMark/>
          </w:tcPr>
          <w:p w14:paraId="687D8250" w14:textId="77777777" w:rsidR="005B5953" w:rsidRPr="005B12AE" w:rsidRDefault="005B5953" w:rsidP="00250DAC">
            <w:pPr>
              <w:spacing w:after="0" w:line="240" w:lineRule="auto"/>
              <w:ind w:firstLineChars="100" w:firstLine="200"/>
              <w:rPr>
                <w:rFonts w:ascii="Times New Roman" w:hAnsi="Times New Roman"/>
                <w:sz w:val="20"/>
                <w:szCs w:val="20"/>
              </w:rPr>
            </w:pPr>
            <w:r w:rsidRPr="005B12AE">
              <w:rPr>
                <w:rFonts w:ascii="Times New Roman" w:hAnsi="Times New Roman"/>
                <w:sz w:val="20"/>
                <w:szCs w:val="20"/>
              </w:rPr>
              <w:t>Advanced from Customers</w:t>
            </w:r>
          </w:p>
        </w:tc>
        <w:tc>
          <w:tcPr>
            <w:tcW w:w="826" w:type="pct"/>
            <w:shd w:val="clear" w:color="auto" w:fill="auto"/>
            <w:noWrap/>
            <w:vAlign w:val="bottom"/>
            <w:hideMark/>
          </w:tcPr>
          <w:p w14:paraId="31FD2A3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653.78</w:t>
            </w:r>
          </w:p>
        </w:tc>
        <w:tc>
          <w:tcPr>
            <w:tcW w:w="774" w:type="pct"/>
            <w:shd w:val="clear" w:color="auto" w:fill="auto"/>
            <w:noWrap/>
            <w:vAlign w:val="bottom"/>
            <w:hideMark/>
          </w:tcPr>
          <w:p w14:paraId="5849D3E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699" w:type="pct"/>
            <w:shd w:val="clear" w:color="auto" w:fill="auto"/>
            <w:noWrap/>
            <w:vAlign w:val="bottom"/>
            <w:hideMark/>
          </w:tcPr>
          <w:p w14:paraId="23522C4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278.58</w:t>
            </w:r>
          </w:p>
        </w:tc>
      </w:tr>
      <w:tr w:rsidR="005B5953" w:rsidRPr="005B12AE" w14:paraId="686BB55E" w14:textId="77777777" w:rsidTr="00250DAC">
        <w:trPr>
          <w:trHeight w:val="20"/>
        </w:trPr>
        <w:tc>
          <w:tcPr>
            <w:tcW w:w="2701" w:type="pct"/>
            <w:shd w:val="clear" w:color="auto" w:fill="auto"/>
            <w:noWrap/>
            <w:vAlign w:val="bottom"/>
            <w:hideMark/>
          </w:tcPr>
          <w:p w14:paraId="3A786702" w14:textId="77777777" w:rsidR="005B5953" w:rsidRPr="005B12AE" w:rsidRDefault="005B5953" w:rsidP="00250DAC">
            <w:pPr>
              <w:spacing w:after="0" w:line="240" w:lineRule="auto"/>
              <w:ind w:firstLineChars="200" w:firstLine="400"/>
              <w:rPr>
                <w:rFonts w:ascii="Times New Roman" w:hAnsi="Times New Roman"/>
                <w:sz w:val="20"/>
                <w:szCs w:val="20"/>
              </w:rPr>
            </w:pPr>
            <w:r w:rsidRPr="005B12AE">
              <w:rPr>
                <w:rFonts w:ascii="Times New Roman" w:hAnsi="Times New Roman"/>
                <w:sz w:val="20"/>
                <w:szCs w:val="20"/>
              </w:rPr>
              <w:t>Unsecured and considered Good</w:t>
            </w:r>
          </w:p>
        </w:tc>
        <w:tc>
          <w:tcPr>
            <w:tcW w:w="826" w:type="pct"/>
            <w:shd w:val="clear" w:color="auto" w:fill="auto"/>
            <w:noWrap/>
            <w:vAlign w:val="bottom"/>
            <w:hideMark/>
          </w:tcPr>
          <w:p w14:paraId="3814953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74" w:type="pct"/>
            <w:shd w:val="clear" w:color="auto" w:fill="auto"/>
            <w:noWrap/>
            <w:vAlign w:val="bottom"/>
            <w:hideMark/>
          </w:tcPr>
          <w:p w14:paraId="08AE130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699" w:type="pct"/>
            <w:shd w:val="clear" w:color="auto" w:fill="auto"/>
            <w:noWrap/>
            <w:vAlign w:val="bottom"/>
            <w:hideMark/>
          </w:tcPr>
          <w:p w14:paraId="191C295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61FDB036" w14:textId="77777777" w:rsidTr="00250DAC">
        <w:trPr>
          <w:trHeight w:val="20"/>
        </w:trPr>
        <w:tc>
          <w:tcPr>
            <w:tcW w:w="2701" w:type="pct"/>
            <w:shd w:val="clear" w:color="auto" w:fill="auto"/>
            <w:noWrap/>
            <w:vAlign w:val="bottom"/>
            <w:hideMark/>
          </w:tcPr>
          <w:p w14:paraId="0719B629" w14:textId="77777777" w:rsidR="005B5953" w:rsidRPr="005B12AE" w:rsidRDefault="005B5953" w:rsidP="00250DAC">
            <w:pPr>
              <w:spacing w:after="0" w:line="240" w:lineRule="auto"/>
              <w:ind w:firstLineChars="100" w:firstLine="200"/>
              <w:rPr>
                <w:rFonts w:ascii="Times New Roman" w:hAnsi="Times New Roman"/>
                <w:sz w:val="20"/>
                <w:szCs w:val="20"/>
              </w:rPr>
            </w:pPr>
            <w:r w:rsidRPr="005B12AE">
              <w:rPr>
                <w:rFonts w:ascii="Times New Roman" w:hAnsi="Times New Roman"/>
                <w:sz w:val="20"/>
                <w:szCs w:val="20"/>
              </w:rPr>
              <w:t>Duties and Taxes</w:t>
            </w:r>
          </w:p>
        </w:tc>
        <w:tc>
          <w:tcPr>
            <w:tcW w:w="826" w:type="pct"/>
            <w:shd w:val="clear" w:color="auto" w:fill="auto"/>
            <w:noWrap/>
            <w:vAlign w:val="bottom"/>
            <w:hideMark/>
          </w:tcPr>
          <w:p w14:paraId="006E02AA" w14:textId="77777777" w:rsidR="005B5953" w:rsidRPr="005B12AE" w:rsidRDefault="005B5953" w:rsidP="00250DAC">
            <w:pPr>
              <w:spacing w:after="0" w:line="240" w:lineRule="auto"/>
              <w:jc w:val="center"/>
              <w:rPr>
                <w:rFonts w:ascii="Times New Roman" w:hAnsi="Times New Roman"/>
                <w:sz w:val="20"/>
                <w:szCs w:val="20"/>
              </w:rPr>
            </w:pPr>
          </w:p>
        </w:tc>
        <w:tc>
          <w:tcPr>
            <w:tcW w:w="774" w:type="pct"/>
            <w:shd w:val="clear" w:color="auto" w:fill="auto"/>
            <w:noWrap/>
            <w:vAlign w:val="bottom"/>
            <w:hideMark/>
          </w:tcPr>
          <w:p w14:paraId="1768D6FA" w14:textId="77777777" w:rsidR="005B5953" w:rsidRPr="005B12AE" w:rsidRDefault="005B5953" w:rsidP="00250DAC">
            <w:pPr>
              <w:spacing w:after="0" w:line="240" w:lineRule="auto"/>
              <w:jc w:val="center"/>
              <w:rPr>
                <w:rFonts w:ascii="Times New Roman" w:hAnsi="Times New Roman"/>
                <w:sz w:val="20"/>
                <w:szCs w:val="20"/>
              </w:rPr>
            </w:pPr>
          </w:p>
        </w:tc>
        <w:tc>
          <w:tcPr>
            <w:tcW w:w="699" w:type="pct"/>
            <w:shd w:val="clear" w:color="auto" w:fill="auto"/>
            <w:noWrap/>
            <w:vAlign w:val="bottom"/>
            <w:hideMark/>
          </w:tcPr>
          <w:p w14:paraId="2C0BF689"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69945B41" w14:textId="77777777" w:rsidTr="00250DAC">
        <w:trPr>
          <w:trHeight w:val="20"/>
        </w:trPr>
        <w:tc>
          <w:tcPr>
            <w:tcW w:w="2701" w:type="pct"/>
            <w:shd w:val="clear" w:color="auto" w:fill="auto"/>
            <w:noWrap/>
            <w:vAlign w:val="bottom"/>
            <w:hideMark/>
          </w:tcPr>
          <w:p w14:paraId="5C5DDFEB" w14:textId="77777777" w:rsidR="005B5953" w:rsidRPr="005B12AE" w:rsidRDefault="005B5953" w:rsidP="00250DAC">
            <w:pPr>
              <w:spacing w:after="0" w:line="240" w:lineRule="auto"/>
              <w:ind w:firstLineChars="200" w:firstLine="400"/>
              <w:rPr>
                <w:rFonts w:ascii="Times New Roman" w:hAnsi="Times New Roman"/>
                <w:sz w:val="20"/>
                <w:szCs w:val="20"/>
              </w:rPr>
            </w:pPr>
            <w:r w:rsidRPr="005B12AE">
              <w:rPr>
                <w:rFonts w:ascii="Times New Roman" w:hAnsi="Times New Roman"/>
                <w:sz w:val="20"/>
                <w:szCs w:val="20"/>
              </w:rPr>
              <w:t>TDS Payable</w:t>
            </w:r>
          </w:p>
        </w:tc>
        <w:tc>
          <w:tcPr>
            <w:tcW w:w="826" w:type="pct"/>
            <w:shd w:val="clear" w:color="auto" w:fill="auto"/>
            <w:noWrap/>
            <w:vAlign w:val="bottom"/>
            <w:hideMark/>
          </w:tcPr>
          <w:p w14:paraId="186429D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40.31</w:t>
            </w:r>
          </w:p>
        </w:tc>
        <w:tc>
          <w:tcPr>
            <w:tcW w:w="774" w:type="pct"/>
            <w:shd w:val="clear" w:color="auto" w:fill="auto"/>
            <w:noWrap/>
            <w:vAlign w:val="bottom"/>
            <w:hideMark/>
          </w:tcPr>
          <w:p w14:paraId="55A6E7E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31.65</w:t>
            </w:r>
          </w:p>
        </w:tc>
        <w:tc>
          <w:tcPr>
            <w:tcW w:w="699" w:type="pct"/>
            <w:shd w:val="clear" w:color="auto" w:fill="auto"/>
            <w:noWrap/>
            <w:vAlign w:val="bottom"/>
            <w:hideMark/>
          </w:tcPr>
          <w:p w14:paraId="7F1BD3A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21.46</w:t>
            </w:r>
          </w:p>
        </w:tc>
      </w:tr>
      <w:tr w:rsidR="005B5953" w:rsidRPr="005B12AE" w14:paraId="4E4F4D53" w14:textId="77777777" w:rsidTr="00250DAC">
        <w:trPr>
          <w:trHeight w:val="20"/>
        </w:trPr>
        <w:tc>
          <w:tcPr>
            <w:tcW w:w="2701" w:type="pct"/>
            <w:shd w:val="clear" w:color="auto" w:fill="auto"/>
            <w:noWrap/>
            <w:vAlign w:val="bottom"/>
            <w:hideMark/>
          </w:tcPr>
          <w:p w14:paraId="7B7DAA7F" w14:textId="77777777" w:rsidR="005B5953" w:rsidRPr="005B12AE" w:rsidRDefault="005B5953" w:rsidP="00250DAC">
            <w:pPr>
              <w:spacing w:after="0" w:line="240" w:lineRule="auto"/>
              <w:ind w:firstLineChars="200" w:firstLine="400"/>
              <w:rPr>
                <w:rFonts w:ascii="Times New Roman" w:hAnsi="Times New Roman"/>
                <w:sz w:val="20"/>
                <w:szCs w:val="20"/>
              </w:rPr>
            </w:pPr>
            <w:r w:rsidRPr="005B12AE">
              <w:rPr>
                <w:rFonts w:ascii="Times New Roman" w:hAnsi="Times New Roman"/>
                <w:sz w:val="20"/>
                <w:szCs w:val="20"/>
              </w:rPr>
              <w:t>TCS Payable</w:t>
            </w:r>
          </w:p>
        </w:tc>
        <w:tc>
          <w:tcPr>
            <w:tcW w:w="826" w:type="pct"/>
            <w:shd w:val="clear" w:color="auto" w:fill="auto"/>
            <w:noWrap/>
            <w:vAlign w:val="bottom"/>
            <w:hideMark/>
          </w:tcPr>
          <w:p w14:paraId="1F02BAD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12.93</w:t>
            </w:r>
          </w:p>
        </w:tc>
        <w:tc>
          <w:tcPr>
            <w:tcW w:w="774" w:type="pct"/>
            <w:shd w:val="clear" w:color="auto" w:fill="auto"/>
            <w:noWrap/>
            <w:vAlign w:val="bottom"/>
            <w:hideMark/>
          </w:tcPr>
          <w:p w14:paraId="46C6380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88.48</w:t>
            </w:r>
          </w:p>
        </w:tc>
        <w:tc>
          <w:tcPr>
            <w:tcW w:w="699" w:type="pct"/>
            <w:shd w:val="clear" w:color="auto" w:fill="auto"/>
            <w:noWrap/>
            <w:vAlign w:val="bottom"/>
            <w:hideMark/>
          </w:tcPr>
          <w:p w14:paraId="3D6106D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15.17</w:t>
            </w:r>
          </w:p>
        </w:tc>
      </w:tr>
      <w:tr w:rsidR="005B5953" w:rsidRPr="005B12AE" w14:paraId="77A69CFC" w14:textId="77777777" w:rsidTr="00250DAC">
        <w:trPr>
          <w:trHeight w:val="20"/>
        </w:trPr>
        <w:tc>
          <w:tcPr>
            <w:tcW w:w="2701" w:type="pct"/>
            <w:shd w:val="clear" w:color="auto" w:fill="auto"/>
            <w:noWrap/>
            <w:vAlign w:val="bottom"/>
            <w:hideMark/>
          </w:tcPr>
          <w:p w14:paraId="53565B58" w14:textId="77777777" w:rsidR="005B5953" w:rsidRPr="005B12AE" w:rsidRDefault="005B5953" w:rsidP="00250DAC">
            <w:pPr>
              <w:spacing w:after="0" w:line="240" w:lineRule="auto"/>
              <w:ind w:firstLineChars="200" w:firstLine="400"/>
              <w:rPr>
                <w:rFonts w:ascii="Times New Roman" w:hAnsi="Times New Roman"/>
                <w:sz w:val="20"/>
                <w:szCs w:val="20"/>
              </w:rPr>
            </w:pPr>
            <w:r w:rsidRPr="005B12AE">
              <w:rPr>
                <w:rFonts w:ascii="Times New Roman" w:hAnsi="Times New Roman"/>
                <w:sz w:val="20"/>
                <w:szCs w:val="20"/>
              </w:rPr>
              <w:t>GST Payable</w:t>
            </w:r>
          </w:p>
        </w:tc>
        <w:tc>
          <w:tcPr>
            <w:tcW w:w="826" w:type="pct"/>
            <w:shd w:val="clear" w:color="auto" w:fill="auto"/>
            <w:noWrap/>
            <w:vAlign w:val="bottom"/>
            <w:hideMark/>
          </w:tcPr>
          <w:p w14:paraId="32FB11E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74" w:type="pct"/>
            <w:shd w:val="clear" w:color="auto" w:fill="auto"/>
            <w:noWrap/>
            <w:vAlign w:val="bottom"/>
            <w:hideMark/>
          </w:tcPr>
          <w:p w14:paraId="64EB1AC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112.19</w:t>
            </w:r>
          </w:p>
        </w:tc>
        <w:tc>
          <w:tcPr>
            <w:tcW w:w="699" w:type="pct"/>
            <w:shd w:val="clear" w:color="auto" w:fill="auto"/>
            <w:noWrap/>
            <w:vAlign w:val="bottom"/>
            <w:hideMark/>
          </w:tcPr>
          <w:p w14:paraId="2A6ECC7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4DC4C169" w14:textId="77777777" w:rsidTr="00250DAC">
        <w:trPr>
          <w:trHeight w:val="20"/>
        </w:trPr>
        <w:tc>
          <w:tcPr>
            <w:tcW w:w="2701" w:type="pct"/>
            <w:shd w:val="clear" w:color="auto" w:fill="auto"/>
            <w:noWrap/>
            <w:vAlign w:val="bottom"/>
            <w:hideMark/>
          </w:tcPr>
          <w:p w14:paraId="4DE172BF" w14:textId="77777777" w:rsidR="005B5953" w:rsidRPr="005B12AE" w:rsidRDefault="005B5953" w:rsidP="00250DAC">
            <w:pPr>
              <w:spacing w:after="0" w:line="240" w:lineRule="auto"/>
              <w:ind w:firstLineChars="200" w:firstLine="400"/>
              <w:rPr>
                <w:rFonts w:ascii="Times New Roman" w:hAnsi="Times New Roman"/>
                <w:sz w:val="20"/>
                <w:szCs w:val="20"/>
              </w:rPr>
            </w:pPr>
            <w:r w:rsidRPr="005B12AE">
              <w:rPr>
                <w:rFonts w:ascii="Times New Roman" w:hAnsi="Times New Roman"/>
                <w:sz w:val="20"/>
                <w:szCs w:val="20"/>
              </w:rPr>
              <w:t>Professional Tax payable</w:t>
            </w:r>
          </w:p>
        </w:tc>
        <w:tc>
          <w:tcPr>
            <w:tcW w:w="826" w:type="pct"/>
            <w:shd w:val="clear" w:color="auto" w:fill="auto"/>
            <w:noWrap/>
            <w:vAlign w:val="bottom"/>
            <w:hideMark/>
          </w:tcPr>
          <w:p w14:paraId="5CFBE55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0.42</w:t>
            </w:r>
          </w:p>
        </w:tc>
        <w:tc>
          <w:tcPr>
            <w:tcW w:w="774" w:type="pct"/>
            <w:shd w:val="clear" w:color="auto" w:fill="auto"/>
            <w:noWrap/>
            <w:vAlign w:val="bottom"/>
            <w:hideMark/>
          </w:tcPr>
          <w:p w14:paraId="4699761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699" w:type="pct"/>
            <w:shd w:val="clear" w:color="auto" w:fill="auto"/>
            <w:noWrap/>
            <w:vAlign w:val="bottom"/>
            <w:hideMark/>
          </w:tcPr>
          <w:p w14:paraId="08555C5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1F80BE3E" w14:textId="77777777" w:rsidTr="00250DAC">
        <w:trPr>
          <w:trHeight w:val="20"/>
        </w:trPr>
        <w:tc>
          <w:tcPr>
            <w:tcW w:w="2701" w:type="pct"/>
            <w:shd w:val="clear" w:color="auto" w:fill="auto"/>
            <w:noWrap/>
            <w:vAlign w:val="bottom"/>
            <w:hideMark/>
          </w:tcPr>
          <w:p w14:paraId="103CB562" w14:textId="77777777" w:rsidR="005B5953" w:rsidRPr="005B12AE" w:rsidRDefault="005B5953" w:rsidP="00250DAC">
            <w:pPr>
              <w:spacing w:after="0" w:line="240" w:lineRule="auto"/>
              <w:ind w:firstLineChars="200" w:firstLine="400"/>
              <w:rPr>
                <w:rFonts w:ascii="Times New Roman" w:hAnsi="Times New Roman"/>
                <w:sz w:val="20"/>
                <w:szCs w:val="20"/>
              </w:rPr>
            </w:pPr>
            <w:r w:rsidRPr="005B12AE">
              <w:rPr>
                <w:rFonts w:ascii="Times New Roman" w:hAnsi="Times New Roman"/>
                <w:sz w:val="20"/>
                <w:szCs w:val="20"/>
              </w:rPr>
              <w:t>Corporate Social Responsibility (CSR) Payable 22-23</w:t>
            </w:r>
          </w:p>
        </w:tc>
        <w:tc>
          <w:tcPr>
            <w:tcW w:w="826" w:type="pct"/>
            <w:shd w:val="clear" w:color="auto" w:fill="auto"/>
            <w:noWrap/>
            <w:vAlign w:val="bottom"/>
            <w:hideMark/>
          </w:tcPr>
          <w:p w14:paraId="04073B1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11.56</w:t>
            </w:r>
          </w:p>
        </w:tc>
        <w:tc>
          <w:tcPr>
            <w:tcW w:w="774" w:type="pct"/>
            <w:shd w:val="clear" w:color="auto" w:fill="auto"/>
            <w:noWrap/>
            <w:vAlign w:val="bottom"/>
            <w:hideMark/>
          </w:tcPr>
          <w:p w14:paraId="24725D3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699" w:type="pct"/>
            <w:shd w:val="clear" w:color="auto" w:fill="auto"/>
            <w:noWrap/>
            <w:vAlign w:val="bottom"/>
            <w:hideMark/>
          </w:tcPr>
          <w:p w14:paraId="526FA10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2B54E8F0" w14:textId="77777777" w:rsidTr="00250DAC">
        <w:trPr>
          <w:trHeight w:val="20"/>
        </w:trPr>
        <w:tc>
          <w:tcPr>
            <w:tcW w:w="2701" w:type="pct"/>
            <w:shd w:val="clear" w:color="auto" w:fill="auto"/>
            <w:noWrap/>
            <w:vAlign w:val="bottom"/>
            <w:hideMark/>
          </w:tcPr>
          <w:p w14:paraId="290F154F" w14:textId="77777777" w:rsidR="005B5953" w:rsidRPr="005B12AE" w:rsidRDefault="005B5953" w:rsidP="00250DAC">
            <w:pPr>
              <w:spacing w:after="0" w:line="240" w:lineRule="auto"/>
              <w:ind w:firstLineChars="200" w:firstLine="400"/>
              <w:rPr>
                <w:rFonts w:ascii="Times New Roman" w:hAnsi="Times New Roman"/>
                <w:sz w:val="20"/>
                <w:szCs w:val="20"/>
              </w:rPr>
            </w:pPr>
            <w:r w:rsidRPr="005B12AE">
              <w:rPr>
                <w:rFonts w:ascii="Times New Roman" w:hAnsi="Times New Roman"/>
                <w:sz w:val="20"/>
                <w:szCs w:val="20"/>
              </w:rPr>
              <w:t>Ramgopal Rent payable</w:t>
            </w:r>
          </w:p>
        </w:tc>
        <w:tc>
          <w:tcPr>
            <w:tcW w:w="826" w:type="pct"/>
            <w:shd w:val="clear" w:color="auto" w:fill="auto"/>
            <w:noWrap/>
            <w:vAlign w:val="bottom"/>
            <w:hideMark/>
          </w:tcPr>
          <w:p w14:paraId="42B147C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74" w:type="pct"/>
            <w:shd w:val="clear" w:color="auto" w:fill="auto"/>
            <w:noWrap/>
            <w:vAlign w:val="bottom"/>
            <w:hideMark/>
          </w:tcPr>
          <w:p w14:paraId="261C3D9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2.40</w:t>
            </w:r>
          </w:p>
        </w:tc>
        <w:tc>
          <w:tcPr>
            <w:tcW w:w="699" w:type="pct"/>
            <w:shd w:val="clear" w:color="auto" w:fill="auto"/>
            <w:noWrap/>
            <w:vAlign w:val="bottom"/>
            <w:hideMark/>
          </w:tcPr>
          <w:p w14:paraId="2474AE7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2C28CA7F" w14:textId="77777777" w:rsidTr="00250DAC">
        <w:trPr>
          <w:trHeight w:val="20"/>
        </w:trPr>
        <w:tc>
          <w:tcPr>
            <w:tcW w:w="2701" w:type="pct"/>
            <w:shd w:val="clear" w:color="auto" w:fill="auto"/>
            <w:noWrap/>
            <w:vAlign w:val="bottom"/>
            <w:hideMark/>
          </w:tcPr>
          <w:p w14:paraId="73790864" w14:textId="77777777" w:rsidR="005B5953" w:rsidRPr="005B12AE" w:rsidRDefault="005B5953" w:rsidP="00250DAC">
            <w:pPr>
              <w:spacing w:after="0" w:line="240" w:lineRule="auto"/>
              <w:ind w:firstLineChars="200" w:firstLine="400"/>
              <w:rPr>
                <w:rFonts w:ascii="Times New Roman" w:hAnsi="Times New Roman"/>
                <w:sz w:val="20"/>
                <w:szCs w:val="20"/>
              </w:rPr>
            </w:pPr>
            <w:r w:rsidRPr="005B12AE">
              <w:rPr>
                <w:rFonts w:ascii="Times New Roman" w:hAnsi="Times New Roman"/>
                <w:sz w:val="20"/>
                <w:szCs w:val="20"/>
              </w:rPr>
              <w:t>Professional Tax On Salary</w:t>
            </w:r>
          </w:p>
        </w:tc>
        <w:tc>
          <w:tcPr>
            <w:tcW w:w="826" w:type="pct"/>
            <w:shd w:val="clear" w:color="auto" w:fill="auto"/>
            <w:noWrap/>
            <w:vAlign w:val="bottom"/>
            <w:hideMark/>
          </w:tcPr>
          <w:p w14:paraId="0543CFE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0.35</w:t>
            </w:r>
          </w:p>
        </w:tc>
        <w:tc>
          <w:tcPr>
            <w:tcW w:w="774" w:type="pct"/>
            <w:shd w:val="clear" w:color="auto" w:fill="auto"/>
            <w:noWrap/>
            <w:vAlign w:val="bottom"/>
            <w:hideMark/>
          </w:tcPr>
          <w:p w14:paraId="158C8AA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0.35</w:t>
            </w:r>
          </w:p>
        </w:tc>
        <w:tc>
          <w:tcPr>
            <w:tcW w:w="699" w:type="pct"/>
            <w:shd w:val="clear" w:color="auto" w:fill="auto"/>
            <w:noWrap/>
            <w:vAlign w:val="bottom"/>
            <w:hideMark/>
          </w:tcPr>
          <w:p w14:paraId="4BAFA3B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0.35</w:t>
            </w:r>
          </w:p>
        </w:tc>
      </w:tr>
      <w:tr w:rsidR="005B5953" w:rsidRPr="005B12AE" w14:paraId="460D638D" w14:textId="77777777" w:rsidTr="00250DAC">
        <w:trPr>
          <w:trHeight w:val="20"/>
        </w:trPr>
        <w:tc>
          <w:tcPr>
            <w:tcW w:w="2701" w:type="pct"/>
            <w:shd w:val="clear" w:color="auto" w:fill="auto"/>
            <w:noWrap/>
            <w:vAlign w:val="bottom"/>
            <w:hideMark/>
          </w:tcPr>
          <w:p w14:paraId="33ED3F42"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Total</w:t>
            </w:r>
          </w:p>
        </w:tc>
        <w:tc>
          <w:tcPr>
            <w:tcW w:w="826" w:type="pct"/>
            <w:shd w:val="clear" w:color="auto" w:fill="auto"/>
            <w:noWrap/>
            <w:vAlign w:val="bottom"/>
            <w:hideMark/>
          </w:tcPr>
          <w:p w14:paraId="2FA087A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734.35</w:t>
            </w:r>
          </w:p>
        </w:tc>
        <w:tc>
          <w:tcPr>
            <w:tcW w:w="774" w:type="pct"/>
            <w:shd w:val="clear" w:color="auto" w:fill="auto"/>
            <w:noWrap/>
            <w:vAlign w:val="bottom"/>
            <w:hideMark/>
          </w:tcPr>
          <w:p w14:paraId="3C806F0D"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250.07</w:t>
            </w:r>
          </w:p>
        </w:tc>
        <w:tc>
          <w:tcPr>
            <w:tcW w:w="699" w:type="pct"/>
            <w:shd w:val="clear" w:color="auto" w:fill="auto"/>
            <w:noWrap/>
            <w:vAlign w:val="bottom"/>
            <w:hideMark/>
          </w:tcPr>
          <w:p w14:paraId="263122B6"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330.55</w:t>
            </w:r>
          </w:p>
        </w:tc>
      </w:tr>
    </w:tbl>
    <w:p w14:paraId="0AB10459" w14:textId="77777777" w:rsidR="005B5953" w:rsidRPr="005B12AE" w:rsidRDefault="005B5953" w:rsidP="005B5953">
      <w:pPr>
        <w:spacing w:after="0"/>
        <w:ind w:left="270" w:hanging="270"/>
        <w:jc w:val="center"/>
        <w:rPr>
          <w:rFonts w:ascii="Times New Roman" w:hAnsi="Times New Roman"/>
          <w:b/>
          <w:bCs/>
          <w:sz w:val="20"/>
          <w:szCs w:val="20"/>
        </w:rPr>
      </w:pPr>
    </w:p>
    <w:p w14:paraId="440081EE" w14:textId="77777777" w:rsidR="005B5953" w:rsidRPr="005B12AE" w:rsidRDefault="005B5953" w:rsidP="005B5953">
      <w:pPr>
        <w:spacing w:after="0"/>
        <w:ind w:left="270" w:hanging="270"/>
        <w:jc w:val="center"/>
        <w:rPr>
          <w:rFonts w:ascii="Times New Roman" w:hAnsi="Times New Roman"/>
          <w:b/>
          <w:bCs/>
          <w:sz w:val="20"/>
          <w:szCs w:val="20"/>
        </w:rPr>
      </w:pPr>
    </w:p>
    <w:p w14:paraId="628558C2" w14:textId="77777777" w:rsidR="005B5953" w:rsidRPr="005B12AE" w:rsidRDefault="005B5953" w:rsidP="005B5953">
      <w:pPr>
        <w:spacing w:after="0"/>
        <w:ind w:left="270" w:hanging="270"/>
        <w:jc w:val="center"/>
        <w:rPr>
          <w:rFonts w:ascii="Times New Roman" w:hAnsi="Times New Roman"/>
          <w:b/>
          <w:bCs/>
          <w:sz w:val="20"/>
          <w:szCs w:val="20"/>
        </w:rPr>
      </w:pPr>
      <w:r w:rsidRPr="005B12AE">
        <w:rPr>
          <w:rFonts w:ascii="Times New Roman" w:hAnsi="Times New Roman"/>
          <w:b/>
          <w:bCs/>
          <w:sz w:val="20"/>
          <w:szCs w:val="20"/>
        </w:rPr>
        <w:t>NOTE – G</w:t>
      </w:r>
    </w:p>
    <w:p w14:paraId="30AAE764" w14:textId="77777777" w:rsidR="005B5953" w:rsidRPr="005B12AE" w:rsidRDefault="005B5953" w:rsidP="005B5953">
      <w:pPr>
        <w:spacing w:after="0"/>
        <w:ind w:left="270" w:hanging="270"/>
        <w:jc w:val="center"/>
        <w:rPr>
          <w:rFonts w:ascii="Times New Roman" w:hAnsi="Times New Roman"/>
          <w:b/>
          <w:bCs/>
          <w:sz w:val="20"/>
          <w:szCs w:val="20"/>
        </w:rPr>
      </w:pPr>
    </w:p>
    <w:p w14:paraId="277BA3CC" w14:textId="77777777" w:rsidR="005B5953" w:rsidRPr="005B12AE" w:rsidRDefault="005B5953" w:rsidP="005B5953">
      <w:pPr>
        <w:spacing w:after="0"/>
        <w:ind w:left="270" w:hanging="270"/>
        <w:jc w:val="center"/>
        <w:rPr>
          <w:rFonts w:ascii="Times New Roman" w:hAnsi="Times New Roman"/>
          <w:b/>
          <w:bCs/>
          <w:sz w:val="20"/>
          <w:szCs w:val="20"/>
        </w:rPr>
      </w:pPr>
      <w:r w:rsidRPr="005B12AE">
        <w:rPr>
          <w:rFonts w:ascii="Times New Roman" w:hAnsi="Times New Roman"/>
          <w:b/>
          <w:bCs/>
          <w:sz w:val="20"/>
          <w:szCs w:val="20"/>
        </w:rPr>
        <w:t>RESTATED STATEMENT OF SHORT-TERM PROVISIONS</w:t>
      </w:r>
    </w:p>
    <w:p w14:paraId="4D4792FD" w14:textId="77777777" w:rsidR="005B5953" w:rsidRPr="005B12AE" w:rsidRDefault="005B5953" w:rsidP="005B5953">
      <w:pPr>
        <w:spacing w:after="0"/>
        <w:jc w:val="right"/>
        <w:rPr>
          <w:rFonts w:ascii="Times New Roman" w:hAnsi="Times New Roman"/>
          <w:b/>
          <w:bCs/>
          <w:sz w:val="20"/>
          <w:szCs w:val="20"/>
        </w:rPr>
      </w:pPr>
      <w:r w:rsidRPr="005B12AE">
        <w:rPr>
          <w:rFonts w:ascii="Times New Roman" w:hAnsi="Times New Roman"/>
          <w:b/>
          <w:bCs/>
          <w:sz w:val="20"/>
          <w:szCs w:val="20"/>
        </w:rPr>
        <w:t>(₹ in Lakhs)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2"/>
        <w:gridCol w:w="1713"/>
        <w:gridCol w:w="1619"/>
        <w:gridCol w:w="1462"/>
      </w:tblGrid>
      <w:tr w:rsidR="005B5953" w:rsidRPr="005B12AE" w14:paraId="43AB8728" w14:textId="77777777" w:rsidTr="00250DAC">
        <w:trPr>
          <w:trHeight w:val="20"/>
        </w:trPr>
        <w:tc>
          <w:tcPr>
            <w:tcW w:w="2708" w:type="pct"/>
            <w:vMerge w:val="restart"/>
            <w:shd w:val="clear" w:color="auto" w:fill="D0CECE" w:themeFill="background2" w:themeFillShade="E6"/>
            <w:noWrap/>
            <w:vAlign w:val="center"/>
            <w:hideMark/>
          </w:tcPr>
          <w:p w14:paraId="4DDED17F"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Particulars</w:t>
            </w:r>
          </w:p>
        </w:tc>
        <w:tc>
          <w:tcPr>
            <w:tcW w:w="2292" w:type="pct"/>
            <w:gridSpan w:val="3"/>
            <w:shd w:val="clear" w:color="auto" w:fill="D0CECE" w:themeFill="background2" w:themeFillShade="E6"/>
            <w:noWrap/>
            <w:vAlign w:val="bottom"/>
            <w:hideMark/>
          </w:tcPr>
          <w:p w14:paraId="7817C9F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As At</w:t>
            </w:r>
          </w:p>
        </w:tc>
      </w:tr>
      <w:tr w:rsidR="005B5953" w:rsidRPr="005B12AE" w14:paraId="4E65EBAE" w14:textId="77777777" w:rsidTr="00250DAC">
        <w:trPr>
          <w:trHeight w:val="20"/>
        </w:trPr>
        <w:tc>
          <w:tcPr>
            <w:tcW w:w="2708" w:type="pct"/>
            <w:vMerge/>
            <w:shd w:val="clear" w:color="auto" w:fill="D0CECE" w:themeFill="background2" w:themeFillShade="E6"/>
            <w:vAlign w:val="center"/>
            <w:hideMark/>
          </w:tcPr>
          <w:p w14:paraId="266CEA91" w14:textId="77777777" w:rsidR="005B5953" w:rsidRPr="005B12AE" w:rsidRDefault="005B5953" w:rsidP="00250DAC">
            <w:pPr>
              <w:spacing w:after="0" w:line="240" w:lineRule="auto"/>
              <w:rPr>
                <w:rFonts w:ascii="Times New Roman" w:hAnsi="Times New Roman"/>
                <w:b/>
                <w:bCs/>
                <w:sz w:val="20"/>
                <w:szCs w:val="20"/>
              </w:rPr>
            </w:pPr>
          </w:p>
        </w:tc>
        <w:tc>
          <w:tcPr>
            <w:tcW w:w="819" w:type="pct"/>
            <w:shd w:val="clear" w:color="auto" w:fill="D0CECE" w:themeFill="background2" w:themeFillShade="E6"/>
            <w:noWrap/>
            <w:vAlign w:val="bottom"/>
            <w:hideMark/>
          </w:tcPr>
          <w:p w14:paraId="3B6F78C5"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31/03/2023</w:t>
            </w:r>
          </w:p>
        </w:tc>
        <w:tc>
          <w:tcPr>
            <w:tcW w:w="774" w:type="pct"/>
            <w:shd w:val="clear" w:color="auto" w:fill="D0CECE" w:themeFill="background2" w:themeFillShade="E6"/>
            <w:noWrap/>
            <w:vAlign w:val="bottom"/>
            <w:hideMark/>
          </w:tcPr>
          <w:p w14:paraId="3E78EAF8"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31/03/2022</w:t>
            </w:r>
          </w:p>
        </w:tc>
        <w:tc>
          <w:tcPr>
            <w:tcW w:w="699" w:type="pct"/>
            <w:shd w:val="clear" w:color="auto" w:fill="D0CECE" w:themeFill="background2" w:themeFillShade="E6"/>
            <w:noWrap/>
            <w:vAlign w:val="bottom"/>
            <w:hideMark/>
          </w:tcPr>
          <w:p w14:paraId="3FDAF7EC"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31/03/2021</w:t>
            </w:r>
          </w:p>
        </w:tc>
      </w:tr>
      <w:tr w:rsidR="005B5953" w:rsidRPr="005B12AE" w14:paraId="7E0B6FB3" w14:textId="77777777" w:rsidTr="00250DAC">
        <w:trPr>
          <w:trHeight w:val="20"/>
        </w:trPr>
        <w:tc>
          <w:tcPr>
            <w:tcW w:w="2708" w:type="pct"/>
            <w:shd w:val="clear" w:color="auto" w:fill="auto"/>
            <w:noWrap/>
            <w:vAlign w:val="bottom"/>
            <w:hideMark/>
          </w:tcPr>
          <w:p w14:paraId="370F4EF9"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Short Term Provisions</w:t>
            </w:r>
          </w:p>
        </w:tc>
        <w:tc>
          <w:tcPr>
            <w:tcW w:w="819" w:type="pct"/>
            <w:shd w:val="clear" w:color="auto" w:fill="auto"/>
            <w:noWrap/>
            <w:vAlign w:val="bottom"/>
            <w:hideMark/>
          </w:tcPr>
          <w:p w14:paraId="61557B59" w14:textId="77777777" w:rsidR="005B5953" w:rsidRPr="005B12AE" w:rsidRDefault="005B5953" w:rsidP="00250DAC">
            <w:pPr>
              <w:spacing w:after="0" w:line="240" w:lineRule="auto"/>
              <w:jc w:val="center"/>
              <w:rPr>
                <w:rFonts w:ascii="Times New Roman" w:hAnsi="Times New Roman"/>
                <w:sz w:val="20"/>
                <w:szCs w:val="20"/>
              </w:rPr>
            </w:pPr>
          </w:p>
        </w:tc>
        <w:tc>
          <w:tcPr>
            <w:tcW w:w="774" w:type="pct"/>
            <w:shd w:val="clear" w:color="auto" w:fill="auto"/>
            <w:noWrap/>
            <w:vAlign w:val="bottom"/>
            <w:hideMark/>
          </w:tcPr>
          <w:p w14:paraId="2769FDD2" w14:textId="77777777" w:rsidR="005B5953" w:rsidRPr="005B12AE" w:rsidRDefault="005B5953" w:rsidP="00250DAC">
            <w:pPr>
              <w:spacing w:after="0" w:line="240" w:lineRule="auto"/>
              <w:jc w:val="center"/>
              <w:rPr>
                <w:rFonts w:ascii="Times New Roman" w:hAnsi="Times New Roman"/>
                <w:sz w:val="20"/>
                <w:szCs w:val="20"/>
              </w:rPr>
            </w:pPr>
          </w:p>
        </w:tc>
        <w:tc>
          <w:tcPr>
            <w:tcW w:w="699" w:type="pct"/>
            <w:shd w:val="clear" w:color="auto" w:fill="auto"/>
            <w:noWrap/>
            <w:vAlign w:val="bottom"/>
            <w:hideMark/>
          </w:tcPr>
          <w:p w14:paraId="283B17C4"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52D5A5C4" w14:textId="77777777" w:rsidTr="00250DAC">
        <w:trPr>
          <w:trHeight w:val="20"/>
        </w:trPr>
        <w:tc>
          <w:tcPr>
            <w:tcW w:w="2708" w:type="pct"/>
            <w:shd w:val="clear" w:color="auto" w:fill="auto"/>
            <w:noWrap/>
            <w:vAlign w:val="bottom"/>
            <w:hideMark/>
          </w:tcPr>
          <w:p w14:paraId="17C91A65" w14:textId="77777777" w:rsidR="005B5953" w:rsidRPr="005B12AE" w:rsidRDefault="005B5953" w:rsidP="00250DAC">
            <w:pPr>
              <w:spacing w:after="0" w:line="240" w:lineRule="auto"/>
              <w:ind w:left="161"/>
              <w:jc w:val="both"/>
              <w:rPr>
                <w:rFonts w:ascii="Times New Roman" w:hAnsi="Times New Roman"/>
                <w:sz w:val="20"/>
                <w:szCs w:val="20"/>
              </w:rPr>
            </w:pPr>
            <w:r w:rsidRPr="005B12AE">
              <w:rPr>
                <w:rFonts w:ascii="Times New Roman" w:hAnsi="Times New Roman"/>
                <w:sz w:val="20"/>
                <w:szCs w:val="20"/>
              </w:rPr>
              <w:t>Provision for Income Tax</w:t>
            </w:r>
          </w:p>
        </w:tc>
        <w:tc>
          <w:tcPr>
            <w:tcW w:w="819" w:type="pct"/>
            <w:shd w:val="clear" w:color="auto" w:fill="auto"/>
            <w:noWrap/>
            <w:vAlign w:val="bottom"/>
            <w:hideMark/>
          </w:tcPr>
          <w:p w14:paraId="19064B9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280.33</w:t>
            </w:r>
          </w:p>
        </w:tc>
        <w:tc>
          <w:tcPr>
            <w:tcW w:w="774" w:type="pct"/>
            <w:shd w:val="clear" w:color="auto" w:fill="auto"/>
            <w:noWrap/>
            <w:vAlign w:val="bottom"/>
            <w:hideMark/>
          </w:tcPr>
          <w:p w14:paraId="218FA559"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127.39</w:t>
            </w:r>
          </w:p>
        </w:tc>
        <w:tc>
          <w:tcPr>
            <w:tcW w:w="699" w:type="pct"/>
            <w:shd w:val="clear" w:color="auto" w:fill="auto"/>
            <w:noWrap/>
            <w:vAlign w:val="bottom"/>
            <w:hideMark/>
          </w:tcPr>
          <w:p w14:paraId="1EC6FC9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27.88</w:t>
            </w:r>
          </w:p>
        </w:tc>
      </w:tr>
      <w:tr w:rsidR="005B5953" w:rsidRPr="005B12AE" w14:paraId="2486BA2B" w14:textId="77777777" w:rsidTr="00250DAC">
        <w:trPr>
          <w:trHeight w:val="20"/>
        </w:trPr>
        <w:tc>
          <w:tcPr>
            <w:tcW w:w="2708" w:type="pct"/>
            <w:shd w:val="clear" w:color="auto" w:fill="auto"/>
            <w:noWrap/>
            <w:vAlign w:val="bottom"/>
            <w:hideMark/>
          </w:tcPr>
          <w:p w14:paraId="694539C6" w14:textId="77777777" w:rsidR="005B5953" w:rsidRPr="005B12AE" w:rsidRDefault="005B5953" w:rsidP="00250DAC">
            <w:pPr>
              <w:spacing w:after="0" w:line="240" w:lineRule="auto"/>
              <w:ind w:left="161"/>
              <w:jc w:val="both"/>
              <w:rPr>
                <w:rFonts w:ascii="Times New Roman" w:hAnsi="Times New Roman"/>
                <w:sz w:val="20"/>
                <w:szCs w:val="20"/>
              </w:rPr>
            </w:pPr>
            <w:r w:rsidRPr="005B12AE">
              <w:rPr>
                <w:rFonts w:ascii="Times New Roman" w:hAnsi="Times New Roman"/>
                <w:sz w:val="20"/>
                <w:szCs w:val="20"/>
              </w:rPr>
              <w:t>Provision for Audit Fees</w:t>
            </w:r>
          </w:p>
        </w:tc>
        <w:tc>
          <w:tcPr>
            <w:tcW w:w="819" w:type="pct"/>
            <w:shd w:val="clear" w:color="auto" w:fill="auto"/>
            <w:noWrap/>
            <w:vAlign w:val="bottom"/>
            <w:hideMark/>
          </w:tcPr>
          <w:p w14:paraId="1FC65E8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5.00</w:t>
            </w:r>
          </w:p>
        </w:tc>
        <w:tc>
          <w:tcPr>
            <w:tcW w:w="774" w:type="pct"/>
            <w:shd w:val="clear" w:color="auto" w:fill="auto"/>
            <w:noWrap/>
            <w:vAlign w:val="bottom"/>
            <w:hideMark/>
          </w:tcPr>
          <w:p w14:paraId="18248B8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2.50</w:t>
            </w:r>
          </w:p>
        </w:tc>
        <w:tc>
          <w:tcPr>
            <w:tcW w:w="699" w:type="pct"/>
            <w:shd w:val="clear" w:color="auto" w:fill="auto"/>
            <w:noWrap/>
            <w:vAlign w:val="bottom"/>
            <w:hideMark/>
          </w:tcPr>
          <w:p w14:paraId="4D0A706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2.50</w:t>
            </w:r>
          </w:p>
        </w:tc>
      </w:tr>
      <w:tr w:rsidR="005B5953" w:rsidRPr="005B12AE" w14:paraId="59E11FE2" w14:textId="77777777" w:rsidTr="00250DAC">
        <w:trPr>
          <w:trHeight w:val="20"/>
        </w:trPr>
        <w:tc>
          <w:tcPr>
            <w:tcW w:w="2708" w:type="pct"/>
            <w:shd w:val="clear" w:color="auto" w:fill="auto"/>
            <w:vAlign w:val="bottom"/>
            <w:hideMark/>
          </w:tcPr>
          <w:p w14:paraId="5FA0D78A" w14:textId="77777777" w:rsidR="005B5953" w:rsidRPr="005B12AE" w:rsidRDefault="005B5953" w:rsidP="00250DAC">
            <w:pPr>
              <w:spacing w:after="0" w:line="240" w:lineRule="auto"/>
              <w:ind w:left="161"/>
              <w:jc w:val="both"/>
              <w:rPr>
                <w:rFonts w:ascii="Times New Roman" w:hAnsi="Times New Roman"/>
                <w:sz w:val="20"/>
                <w:szCs w:val="20"/>
              </w:rPr>
            </w:pPr>
            <w:r w:rsidRPr="005B12AE">
              <w:rPr>
                <w:rFonts w:ascii="Times New Roman" w:hAnsi="Times New Roman"/>
                <w:sz w:val="20"/>
                <w:szCs w:val="20"/>
              </w:rPr>
              <w:t>Provision for Penalty payable for non realisation of export proceeds by DC, Kandla</w:t>
            </w:r>
          </w:p>
        </w:tc>
        <w:tc>
          <w:tcPr>
            <w:tcW w:w="819" w:type="pct"/>
            <w:shd w:val="clear" w:color="auto" w:fill="auto"/>
            <w:noWrap/>
            <w:vAlign w:val="bottom"/>
            <w:hideMark/>
          </w:tcPr>
          <w:p w14:paraId="3879B3C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30.00</w:t>
            </w:r>
          </w:p>
        </w:tc>
        <w:tc>
          <w:tcPr>
            <w:tcW w:w="774" w:type="pct"/>
            <w:shd w:val="clear" w:color="auto" w:fill="auto"/>
            <w:noWrap/>
            <w:vAlign w:val="bottom"/>
            <w:hideMark/>
          </w:tcPr>
          <w:p w14:paraId="2FF1DF2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30.00</w:t>
            </w:r>
          </w:p>
        </w:tc>
        <w:tc>
          <w:tcPr>
            <w:tcW w:w="699" w:type="pct"/>
            <w:shd w:val="clear" w:color="auto" w:fill="auto"/>
            <w:noWrap/>
            <w:vAlign w:val="bottom"/>
            <w:hideMark/>
          </w:tcPr>
          <w:p w14:paraId="6D0AFEE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30.00</w:t>
            </w:r>
          </w:p>
        </w:tc>
      </w:tr>
      <w:tr w:rsidR="005B5953" w:rsidRPr="005B12AE" w14:paraId="34E66DBD" w14:textId="77777777" w:rsidTr="00250DAC">
        <w:trPr>
          <w:trHeight w:val="20"/>
        </w:trPr>
        <w:tc>
          <w:tcPr>
            <w:tcW w:w="2708" w:type="pct"/>
            <w:shd w:val="clear" w:color="auto" w:fill="auto"/>
            <w:noWrap/>
            <w:vAlign w:val="bottom"/>
            <w:hideMark/>
          </w:tcPr>
          <w:p w14:paraId="2C90FDA4"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Total</w:t>
            </w:r>
          </w:p>
        </w:tc>
        <w:tc>
          <w:tcPr>
            <w:tcW w:w="819" w:type="pct"/>
            <w:shd w:val="clear" w:color="auto" w:fill="auto"/>
            <w:noWrap/>
            <w:vAlign w:val="bottom"/>
            <w:hideMark/>
          </w:tcPr>
          <w:p w14:paraId="515F3C91"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315.33</w:t>
            </w:r>
          </w:p>
        </w:tc>
        <w:tc>
          <w:tcPr>
            <w:tcW w:w="774" w:type="pct"/>
            <w:shd w:val="clear" w:color="auto" w:fill="auto"/>
            <w:noWrap/>
            <w:vAlign w:val="bottom"/>
            <w:hideMark/>
          </w:tcPr>
          <w:p w14:paraId="4DA36529"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159.89</w:t>
            </w:r>
          </w:p>
        </w:tc>
        <w:tc>
          <w:tcPr>
            <w:tcW w:w="699" w:type="pct"/>
            <w:shd w:val="clear" w:color="auto" w:fill="auto"/>
            <w:noWrap/>
            <w:vAlign w:val="bottom"/>
            <w:hideMark/>
          </w:tcPr>
          <w:p w14:paraId="106CB19C"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60.38</w:t>
            </w:r>
          </w:p>
        </w:tc>
      </w:tr>
    </w:tbl>
    <w:p w14:paraId="070CAAC1" w14:textId="77777777" w:rsidR="005B5953" w:rsidRPr="005B12AE" w:rsidRDefault="005B5953" w:rsidP="005B5953">
      <w:pPr>
        <w:spacing w:after="0"/>
        <w:ind w:left="270" w:hanging="270"/>
        <w:jc w:val="center"/>
        <w:rPr>
          <w:rFonts w:ascii="Times New Roman" w:hAnsi="Times New Roman"/>
          <w:b/>
          <w:bCs/>
          <w:sz w:val="20"/>
          <w:szCs w:val="20"/>
        </w:rPr>
      </w:pPr>
    </w:p>
    <w:p w14:paraId="0BFF5F58" w14:textId="77777777" w:rsidR="005B5953" w:rsidRPr="005B12AE" w:rsidRDefault="005B5953" w:rsidP="005B5953">
      <w:pPr>
        <w:spacing w:after="0"/>
        <w:ind w:left="270" w:hanging="270"/>
        <w:jc w:val="center"/>
        <w:rPr>
          <w:rFonts w:ascii="Times New Roman" w:hAnsi="Times New Roman"/>
          <w:b/>
          <w:bCs/>
          <w:sz w:val="20"/>
          <w:szCs w:val="20"/>
        </w:rPr>
        <w:sectPr w:rsidR="005B5953" w:rsidRPr="005B12AE" w:rsidSect="00D12B1B">
          <w:headerReference w:type="default" r:id="rId83"/>
          <w:footerReference w:type="default" r:id="rId84"/>
          <w:pgSz w:w="11906" w:h="16838" w:code="9"/>
          <w:pgMar w:top="1080" w:right="720" w:bottom="1080" w:left="720" w:header="720" w:footer="720" w:gutter="0"/>
          <w:cols w:space="720"/>
          <w:docGrid w:linePitch="360"/>
        </w:sectPr>
      </w:pPr>
    </w:p>
    <w:p w14:paraId="5EF97368" w14:textId="77777777" w:rsidR="005B5953" w:rsidRPr="005B12AE" w:rsidRDefault="005B5953" w:rsidP="005B5953">
      <w:pPr>
        <w:spacing w:after="0"/>
        <w:ind w:left="270" w:hanging="270"/>
        <w:jc w:val="center"/>
        <w:rPr>
          <w:rFonts w:ascii="Times New Roman" w:hAnsi="Times New Roman"/>
          <w:b/>
          <w:bCs/>
          <w:sz w:val="20"/>
          <w:szCs w:val="20"/>
        </w:rPr>
      </w:pPr>
      <w:r w:rsidRPr="005B12AE">
        <w:rPr>
          <w:rFonts w:ascii="Times New Roman" w:hAnsi="Times New Roman"/>
          <w:b/>
          <w:bCs/>
          <w:sz w:val="20"/>
          <w:szCs w:val="20"/>
        </w:rPr>
        <w:lastRenderedPageBreak/>
        <w:t>NOTE – H</w:t>
      </w:r>
    </w:p>
    <w:p w14:paraId="22CD3EB7" w14:textId="77777777" w:rsidR="005B5953" w:rsidRPr="005B12AE" w:rsidRDefault="005B5953" w:rsidP="005B5953">
      <w:pPr>
        <w:spacing w:after="0"/>
        <w:ind w:left="270" w:hanging="270"/>
        <w:jc w:val="center"/>
        <w:rPr>
          <w:rFonts w:ascii="Times New Roman" w:hAnsi="Times New Roman"/>
          <w:b/>
          <w:bCs/>
          <w:sz w:val="20"/>
          <w:szCs w:val="20"/>
        </w:rPr>
      </w:pPr>
    </w:p>
    <w:p w14:paraId="36EBB578" w14:textId="77777777" w:rsidR="005B5953" w:rsidRPr="005B12AE" w:rsidRDefault="005B5953" w:rsidP="005B5953">
      <w:pPr>
        <w:spacing w:after="0"/>
        <w:ind w:left="270" w:hanging="270"/>
        <w:jc w:val="center"/>
        <w:rPr>
          <w:rFonts w:ascii="Times New Roman" w:hAnsi="Times New Roman"/>
          <w:b/>
          <w:bCs/>
          <w:sz w:val="20"/>
          <w:szCs w:val="20"/>
        </w:rPr>
      </w:pPr>
      <w:r w:rsidRPr="005B12AE">
        <w:rPr>
          <w:rFonts w:ascii="Times New Roman" w:hAnsi="Times New Roman"/>
          <w:b/>
          <w:bCs/>
          <w:sz w:val="20"/>
          <w:szCs w:val="20"/>
        </w:rPr>
        <w:t>RESTATED STATEMENT OF FIXED ASSETS</w:t>
      </w:r>
    </w:p>
    <w:p w14:paraId="0B9D7EE9" w14:textId="77777777" w:rsidR="005B5953" w:rsidRPr="005B12AE" w:rsidRDefault="005B5953" w:rsidP="005B5953">
      <w:pPr>
        <w:spacing w:after="0"/>
        <w:ind w:left="270" w:hanging="270"/>
        <w:rPr>
          <w:rFonts w:ascii="Times New Roman" w:hAnsi="Times New Roman"/>
          <w:b/>
          <w:bCs/>
          <w:sz w:val="20"/>
          <w:szCs w:val="20"/>
        </w:rPr>
      </w:pPr>
      <w:r w:rsidRPr="005B12AE">
        <w:rPr>
          <w:rFonts w:ascii="Times New Roman" w:hAnsi="Times New Roman"/>
          <w:b/>
          <w:bCs/>
          <w:sz w:val="20"/>
          <w:szCs w:val="20"/>
        </w:rPr>
        <w:t>F.Y. 2022-23</w:t>
      </w:r>
    </w:p>
    <w:p w14:paraId="341A5A9B" w14:textId="77777777" w:rsidR="005B5953" w:rsidRPr="005B12AE" w:rsidRDefault="005B5953" w:rsidP="005B5953">
      <w:pPr>
        <w:spacing w:after="0"/>
        <w:jc w:val="right"/>
        <w:rPr>
          <w:rFonts w:ascii="Times New Roman" w:hAnsi="Times New Roman"/>
          <w:b/>
          <w:bCs/>
          <w:sz w:val="20"/>
          <w:szCs w:val="20"/>
        </w:rPr>
      </w:pPr>
      <w:r w:rsidRPr="005B12AE">
        <w:rPr>
          <w:rFonts w:ascii="Times New Roman" w:hAnsi="Times New Roman"/>
          <w:b/>
          <w:bCs/>
          <w:sz w:val="20"/>
          <w:szCs w:val="20"/>
        </w:rPr>
        <w:t>(₹ in Lakhs)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1"/>
        <w:gridCol w:w="1033"/>
        <w:gridCol w:w="1091"/>
        <w:gridCol w:w="1170"/>
        <w:gridCol w:w="1080"/>
        <w:gridCol w:w="1080"/>
        <w:gridCol w:w="1260"/>
        <w:gridCol w:w="2430"/>
        <w:gridCol w:w="1170"/>
        <w:gridCol w:w="1080"/>
        <w:gridCol w:w="900"/>
        <w:gridCol w:w="903"/>
      </w:tblGrid>
      <w:tr w:rsidR="005B5953" w:rsidRPr="005B12AE" w14:paraId="59350C5E" w14:textId="77777777" w:rsidTr="00250DAC">
        <w:trPr>
          <w:trHeight w:val="20"/>
        </w:trPr>
        <w:tc>
          <w:tcPr>
            <w:tcW w:w="1831" w:type="dxa"/>
            <w:vMerge w:val="restart"/>
            <w:shd w:val="clear" w:color="auto" w:fill="D0CECE" w:themeFill="background2" w:themeFillShade="E6"/>
            <w:noWrap/>
            <w:vAlign w:val="center"/>
            <w:hideMark/>
          </w:tcPr>
          <w:p w14:paraId="7212BB5B"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Particulars</w:t>
            </w:r>
          </w:p>
        </w:tc>
        <w:tc>
          <w:tcPr>
            <w:tcW w:w="4374" w:type="dxa"/>
            <w:gridSpan w:val="4"/>
            <w:shd w:val="clear" w:color="auto" w:fill="D0CECE" w:themeFill="background2" w:themeFillShade="E6"/>
            <w:noWrap/>
            <w:vAlign w:val="bottom"/>
            <w:hideMark/>
          </w:tcPr>
          <w:p w14:paraId="53AA8419"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Gross Block</w:t>
            </w:r>
          </w:p>
        </w:tc>
        <w:tc>
          <w:tcPr>
            <w:tcW w:w="7020" w:type="dxa"/>
            <w:gridSpan w:val="5"/>
            <w:shd w:val="clear" w:color="auto" w:fill="D0CECE" w:themeFill="background2" w:themeFillShade="E6"/>
            <w:noWrap/>
            <w:vAlign w:val="bottom"/>
            <w:hideMark/>
          </w:tcPr>
          <w:p w14:paraId="4F9A9E9A"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Depreciation</w:t>
            </w:r>
          </w:p>
        </w:tc>
        <w:tc>
          <w:tcPr>
            <w:tcW w:w="1803" w:type="dxa"/>
            <w:gridSpan w:val="2"/>
            <w:shd w:val="clear" w:color="auto" w:fill="D0CECE" w:themeFill="background2" w:themeFillShade="E6"/>
            <w:noWrap/>
            <w:vAlign w:val="bottom"/>
            <w:hideMark/>
          </w:tcPr>
          <w:p w14:paraId="79C36CE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Net Block</w:t>
            </w:r>
          </w:p>
        </w:tc>
      </w:tr>
      <w:tr w:rsidR="005B5953" w:rsidRPr="005B12AE" w14:paraId="7CA47DD4" w14:textId="77777777" w:rsidTr="00250DAC">
        <w:trPr>
          <w:trHeight w:val="20"/>
        </w:trPr>
        <w:tc>
          <w:tcPr>
            <w:tcW w:w="1831" w:type="dxa"/>
            <w:vMerge/>
            <w:shd w:val="clear" w:color="auto" w:fill="D0CECE" w:themeFill="background2" w:themeFillShade="E6"/>
            <w:vAlign w:val="center"/>
            <w:hideMark/>
          </w:tcPr>
          <w:p w14:paraId="63284C23" w14:textId="77777777" w:rsidR="005B5953" w:rsidRPr="005B12AE" w:rsidRDefault="005B5953" w:rsidP="00250DAC">
            <w:pPr>
              <w:spacing w:after="0" w:line="240" w:lineRule="auto"/>
              <w:rPr>
                <w:rFonts w:ascii="Times New Roman" w:hAnsi="Times New Roman"/>
                <w:b/>
                <w:bCs/>
                <w:sz w:val="20"/>
                <w:szCs w:val="20"/>
              </w:rPr>
            </w:pPr>
          </w:p>
        </w:tc>
        <w:tc>
          <w:tcPr>
            <w:tcW w:w="1033" w:type="dxa"/>
            <w:shd w:val="clear" w:color="auto" w:fill="D0CECE" w:themeFill="background2" w:themeFillShade="E6"/>
            <w:noWrap/>
            <w:vAlign w:val="bottom"/>
            <w:hideMark/>
          </w:tcPr>
          <w:p w14:paraId="1BFDBA53"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As at 01-Apr-22</w:t>
            </w:r>
          </w:p>
        </w:tc>
        <w:tc>
          <w:tcPr>
            <w:tcW w:w="1091" w:type="dxa"/>
            <w:shd w:val="clear" w:color="auto" w:fill="D0CECE" w:themeFill="background2" w:themeFillShade="E6"/>
            <w:noWrap/>
            <w:vAlign w:val="bottom"/>
            <w:hideMark/>
          </w:tcPr>
          <w:p w14:paraId="6FE1D34C"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Additions during the year</w:t>
            </w:r>
          </w:p>
        </w:tc>
        <w:tc>
          <w:tcPr>
            <w:tcW w:w="1170" w:type="dxa"/>
            <w:shd w:val="clear" w:color="auto" w:fill="D0CECE" w:themeFill="background2" w:themeFillShade="E6"/>
            <w:noWrap/>
            <w:vAlign w:val="bottom"/>
            <w:hideMark/>
          </w:tcPr>
          <w:p w14:paraId="4573FFF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Deletions during the year</w:t>
            </w:r>
          </w:p>
        </w:tc>
        <w:tc>
          <w:tcPr>
            <w:tcW w:w="1080" w:type="dxa"/>
            <w:shd w:val="clear" w:color="auto" w:fill="D0CECE" w:themeFill="background2" w:themeFillShade="E6"/>
            <w:noWrap/>
            <w:vAlign w:val="bottom"/>
            <w:hideMark/>
          </w:tcPr>
          <w:p w14:paraId="0E2ED22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As at 31-Mar-23</w:t>
            </w:r>
          </w:p>
        </w:tc>
        <w:tc>
          <w:tcPr>
            <w:tcW w:w="1080" w:type="dxa"/>
            <w:shd w:val="clear" w:color="auto" w:fill="D0CECE" w:themeFill="background2" w:themeFillShade="E6"/>
            <w:noWrap/>
            <w:vAlign w:val="bottom"/>
            <w:hideMark/>
          </w:tcPr>
          <w:p w14:paraId="35405FC8"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Upto 01-Apr-22</w:t>
            </w:r>
          </w:p>
        </w:tc>
        <w:tc>
          <w:tcPr>
            <w:tcW w:w="1260" w:type="dxa"/>
            <w:shd w:val="clear" w:color="auto" w:fill="D0CECE" w:themeFill="background2" w:themeFillShade="E6"/>
            <w:noWrap/>
            <w:vAlign w:val="bottom"/>
            <w:hideMark/>
          </w:tcPr>
          <w:p w14:paraId="01A7580C"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During the year</w:t>
            </w:r>
          </w:p>
        </w:tc>
        <w:tc>
          <w:tcPr>
            <w:tcW w:w="2430" w:type="dxa"/>
            <w:shd w:val="clear" w:color="auto" w:fill="D0CECE" w:themeFill="background2" w:themeFillShade="E6"/>
            <w:vAlign w:val="center"/>
            <w:hideMark/>
          </w:tcPr>
          <w:p w14:paraId="0BE9766A"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Reversal of accumulated depreciation of asset sold</w:t>
            </w:r>
          </w:p>
        </w:tc>
        <w:tc>
          <w:tcPr>
            <w:tcW w:w="1170" w:type="dxa"/>
            <w:shd w:val="clear" w:color="auto" w:fill="D0CECE" w:themeFill="background2" w:themeFillShade="E6"/>
            <w:noWrap/>
            <w:vAlign w:val="bottom"/>
            <w:hideMark/>
          </w:tcPr>
          <w:p w14:paraId="167080E0"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Deletion during the year</w:t>
            </w:r>
          </w:p>
        </w:tc>
        <w:tc>
          <w:tcPr>
            <w:tcW w:w="1080" w:type="dxa"/>
            <w:shd w:val="clear" w:color="auto" w:fill="D0CECE" w:themeFill="background2" w:themeFillShade="E6"/>
            <w:noWrap/>
            <w:vAlign w:val="bottom"/>
            <w:hideMark/>
          </w:tcPr>
          <w:p w14:paraId="750CD179"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Total upto 31-Mar-23</w:t>
            </w:r>
          </w:p>
        </w:tc>
        <w:tc>
          <w:tcPr>
            <w:tcW w:w="900" w:type="dxa"/>
            <w:shd w:val="clear" w:color="auto" w:fill="D0CECE" w:themeFill="background2" w:themeFillShade="E6"/>
            <w:noWrap/>
            <w:vAlign w:val="bottom"/>
            <w:hideMark/>
          </w:tcPr>
          <w:p w14:paraId="07CD0B1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As at 31-Mar-23</w:t>
            </w:r>
          </w:p>
        </w:tc>
        <w:tc>
          <w:tcPr>
            <w:tcW w:w="903" w:type="dxa"/>
            <w:shd w:val="clear" w:color="auto" w:fill="D0CECE" w:themeFill="background2" w:themeFillShade="E6"/>
            <w:noWrap/>
            <w:vAlign w:val="bottom"/>
            <w:hideMark/>
          </w:tcPr>
          <w:p w14:paraId="602EC0BA"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As at 31-Mar-22</w:t>
            </w:r>
          </w:p>
        </w:tc>
      </w:tr>
      <w:tr w:rsidR="005B5953" w:rsidRPr="005B12AE" w14:paraId="02C3EA4C" w14:textId="77777777" w:rsidTr="00250DAC">
        <w:trPr>
          <w:trHeight w:val="20"/>
        </w:trPr>
        <w:tc>
          <w:tcPr>
            <w:tcW w:w="1831" w:type="dxa"/>
            <w:shd w:val="clear" w:color="auto" w:fill="auto"/>
            <w:noWrap/>
            <w:vAlign w:val="bottom"/>
            <w:hideMark/>
          </w:tcPr>
          <w:p w14:paraId="4D7C1B30"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Property, Plant and Equipment</w:t>
            </w:r>
          </w:p>
        </w:tc>
        <w:tc>
          <w:tcPr>
            <w:tcW w:w="1033" w:type="dxa"/>
            <w:shd w:val="clear" w:color="auto" w:fill="auto"/>
            <w:noWrap/>
            <w:vAlign w:val="center"/>
            <w:hideMark/>
          </w:tcPr>
          <w:p w14:paraId="2D2BCCF1" w14:textId="77777777" w:rsidR="005B5953" w:rsidRPr="005B12AE" w:rsidRDefault="005B5953" w:rsidP="00250DAC">
            <w:pPr>
              <w:spacing w:after="0" w:line="240" w:lineRule="auto"/>
              <w:jc w:val="center"/>
              <w:rPr>
                <w:rFonts w:ascii="Times New Roman" w:hAnsi="Times New Roman"/>
                <w:sz w:val="20"/>
                <w:szCs w:val="20"/>
              </w:rPr>
            </w:pPr>
          </w:p>
        </w:tc>
        <w:tc>
          <w:tcPr>
            <w:tcW w:w="1091" w:type="dxa"/>
            <w:shd w:val="clear" w:color="auto" w:fill="auto"/>
            <w:noWrap/>
            <w:vAlign w:val="center"/>
            <w:hideMark/>
          </w:tcPr>
          <w:p w14:paraId="0461FE7D" w14:textId="77777777" w:rsidR="005B5953" w:rsidRPr="005B12AE" w:rsidRDefault="005B5953" w:rsidP="00250DAC">
            <w:pPr>
              <w:spacing w:after="0" w:line="240" w:lineRule="auto"/>
              <w:jc w:val="center"/>
              <w:rPr>
                <w:rFonts w:ascii="Times New Roman" w:hAnsi="Times New Roman"/>
                <w:sz w:val="20"/>
                <w:szCs w:val="20"/>
              </w:rPr>
            </w:pPr>
          </w:p>
        </w:tc>
        <w:tc>
          <w:tcPr>
            <w:tcW w:w="1170" w:type="dxa"/>
            <w:shd w:val="clear" w:color="auto" w:fill="auto"/>
            <w:noWrap/>
            <w:vAlign w:val="center"/>
            <w:hideMark/>
          </w:tcPr>
          <w:p w14:paraId="3E6CB915" w14:textId="77777777" w:rsidR="005B5953" w:rsidRPr="005B12AE" w:rsidRDefault="005B5953" w:rsidP="00250DAC">
            <w:pPr>
              <w:spacing w:after="0" w:line="240" w:lineRule="auto"/>
              <w:jc w:val="center"/>
              <w:rPr>
                <w:rFonts w:ascii="Times New Roman" w:hAnsi="Times New Roman"/>
                <w:sz w:val="20"/>
                <w:szCs w:val="20"/>
              </w:rPr>
            </w:pPr>
          </w:p>
        </w:tc>
        <w:tc>
          <w:tcPr>
            <w:tcW w:w="1080" w:type="dxa"/>
            <w:shd w:val="clear" w:color="auto" w:fill="auto"/>
            <w:noWrap/>
            <w:vAlign w:val="center"/>
            <w:hideMark/>
          </w:tcPr>
          <w:p w14:paraId="6C0532E4" w14:textId="77777777" w:rsidR="005B5953" w:rsidRPr="005B12AE" w:rsidRDefault="005B5953" w:rsidP="00250DAC">
            <w:pPr>
              <w:spacing w:after="0" w:line="240" w:lineRule="auto"/>
              <w:jc w:val="center"/>
              <w:rPr>
                <w:rFonts w:ascii="Times New Roman" w:hAnsi="Times New Roman"/>
                <w:sz w:val="20"/>
                <w:szCs w:val="20"/>
              </w:rPr>
            </w:pPr>
          </w:p>
        </w:tc>
        <w:tc>
          <w:tcPr>
            <w:tcW w:w="1080" w:type="dxa"/>
            <w:shd w:val="clear" w:color="auto" w:fill="auto"/>
            <w:noWrap/>
            <w:vAlign w:val="center"/>
            <w:hideMark/>
          </w:tcPr>
          <w:p w14:paraId="1E7E53FC" w14:textId="77777777" w:rsidR="005B5953" w:rsidRPr="005B12AE" w:rsidRDefault="005B5953" w:rsidP="00250DAC">
            <w:pPr>
              <w:spacing w:after="0" w:line="240" w:lineRule="auto"/>
              <w:jc w:val="center"/>
              <w:rPr>
                <w:rFonts w:ascii="Times New Roman" w:hAnsi="Times New Roman"/>
                <w:sz w:val="20"/>
                <w:szCs w:val="20"/>
              </w:rPr>
            </w:pPr>
          </w:p>
        </w:tc>
        <w:tc>
          <w:tcPr>
            <w:tcW w:w="1260" w:type="dxa"/>
            <w:shd w:val="clear" w:color="auto" w:fill="auto"/>
            <w:noWrap/>
            <w:vAlign w:val="center"/>
            <w:hideMark/>
          </w:tcPr>
          <w:p w14:paraId="6F68A776" w14:textId="77777777" w:rsidR="005B5953" w:rsidRPr="005B12AE" w:rsidRDefault="005B5953" w:rsidP="00250DAC">
            <w:pPr>
              <w:spacing w:after="0" w:line="240" w:lineRule="auto"/>
              <w:jc w:val="center"/>
              <w:rPr>
                <w:rFonts w:ascii="Times New Roman" w:hAnsi="Times New Roman"/>
                <w:sz w:val="20"/>
                <w:szCs w:val="20"/>
              </w:rPr>
            </w:pPr>
          </w:p>
        </w:tc>
        <w:tc>
          <w:tcPr>
            <w:tcW w:w="2430" w:type="dxa"/>
            <w:shd w:val="clear" w:color="auto" w:fill="auto"/>
            <w:noWrap/>
            <w:vAlign w:val="center"/>
            <w:hideMark/>
          </w:tcPr>
          <w:p w14:paraId="1CED4D8F" w14:textId="77777777" w:rsidR="005B5953" w:rsidRPr="005B12AE" w:rsidRDefault="005B5953" w:rsidP="00250DAC">
            <w:pPr>
              <w:spacing w:after="0" w:line="240" w:lineRule="auto"/>
              <w:jc w:val="center"/>
              <w:rPr>
                <w:rFonts w:ascii="Times New Roman" w:hAnsi="Times New Roman"/>
                <w:sz w:val="20"/>
                <w:szCs w:val="20"/>
              </w:rPr>
            </w:pPr>
          </w:p>
        </w:tc>
        <w:tc>
          <w:tcPr>
            <w:tcW w:w="1170" w:type="dxa"/>
            <w:shd w:val="clear" w:color="auto" w:fill="auto"/>
            <w:noWrap/>
            <w:vAlign w:val="center"/>
            <w:hideMark/>
          </w:tcPr>
          <w:p w14:paraId="56C52BCF" w14:textId="77777777" w:rsidR="005B5953" w:rsidRPr="005B12AE" w:rsidRDefault="005B5953" w:rsidP="00250DAC">
            <w:pPr>
              <w:spacing w:after="0" w:line="240" w:lineRule="auto"/>
              <w:jc w:val="center"/>
              <w:rPr>
                <w:rFonts w:ascii="Times New Roman" w:hAnsi="Times New Roman"/>
                <w:sz w:val="20"/>
                <w:szCs w:val="20"/>
              </w:rPr>
            </w:pPr>
          </w:p>
        </w:tc>
        <w:tc>
          <w:tcPr>
            <w:tcW w:w="1080" w:type="dxa"/>
            <w:shd w:val="clear" w:color="auto" w:fill="auto"/>
            <w:noWrap/>
            <w:vAlign w:val="center"/>
            <w:hideMark/>
          </w:tcPr>
          <w:p w14:paraId="652E7B44" w14:textId="77777777" w:rsidR="005B5953" w:rsidRPr="005B12AE" w:rsidRDefault="005B5953" w:rsidP="00250DAC">
            <w:pPr>
              <w:spacing w:after="0" w:line="240" w:lineRule="auto"/>
              <w:jc w:val="center"/>
              <w:rPr>
                <w:rFonts w:ascii="Times New Roman" w:hAnsi="Times New Roman"/>
                <w:sz w:val="20"/>
                <w:szCs w:val="20"/>
              </w:rPr>
            </w:pPr>
          </w:p>
        </w:tc>
        <w:tc>
          <w:tcPr>
            <w:tcW w:w="900" w:type="dxa"/>
            <w:shd w:val="clear" w:color="auto" w:fill="auto"/>
            <w:noWrap/>
            <w:vAlign w:val="center"/>
            <w:hideMark/>
          </w:tcPr>
          <w:p w14:paraId="433BBC17" w14:textId="77777777" w:rsidR="005B5953" w:rsidRPr="005B12AE" w:rsidRDefault="005B5953" w:rsidP="00250DAC">
            <w:pPr>
              <w:spacing w:after="0" w:line="240" w:lineRule="auto"/>
              <w:jc w:val="center"/>
              <w:rPr>
                <w:rFonts w:ascii="Times New Roman" w:hAnsi="Times New Roman"/>
                <w:sz w:val="20"/>
                <w:szCs w:val="20"/>
              </w:rPr>
            </w:pPr>
          </w:p>
        </w:tc>
        <w:tc>
          <w:tcPr>
            <w:tcW w:w="903" w:type="dxa"/>
            <w:shd w:val="clear" w:color="auto" w:fill="auto"/>
            <w:noWrap/>
            <w:vAlign w:val="center"/>
            <w:hideMark/>
          </w:tcPr>
          <w:p w14:paraId="65AB96C5"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5D9C181A" w14:textId="77777777" w:rsidTr="00250DAC">
        <w:trPr>
          <w:trHeight w:val="20"/>
        </w:trPr>
        <w:tc>
          <w:tcPr>
            <w:tcW w:w="1831" w:type="dxa"/>
            <w:shd w:val="clear" w:color="auto" w:fill="auto"/>
            <w:noWrap/>
            <w:vAlign w:val="bottom"/>
            <w:hideMark/>
          </w:tcPr>
          <w:p w14:paraId="31001A36"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Land</w:t>
            </w:r>
          </w:p>
        </w:tc>
        <w:tc>
          <w:tcPr>
            <w:tcW w:w="1033" w:type="dxa"/>
            <w:shd w:val="clear" w:color="auto" w:fill="auto"/>
            <w:noWrap/>
            <w:vAlign w:val="center"/>
            <w:hideMark/>
          </w:tcPr>
          <w:p w14:paraId="6BFA50B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1.91</w:t>
            </w:r>
          </w:p>
        </w:tc>
        <w:tc>
          <w:tcPr>
            <w:tcW w:w="1091" w:type="dxa"/>
            <w:shd w:val="clear" w:color="auto" w:fill="auto"/>
            <w:noWrap/>
            <w:vAlign w:val="center"/>
            <w:hideMark/>
          </w:tcPr>
          <w:p w14:paraId="7CF7C88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170" w:type="dxa"/>
            <w:shd w:val="clear" w:color="auto" w:fill="auto"/>
            <w:noWrap/>
            <w:vAlign w:val="center"/>
            <w:hideMark/>
          </w:tcPr>
          <w:p w14:paraId="48D4147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080" w:type="dxa"/>
            <w:shd w:val="clear" w:color="auto" w:fill="auto"/>
            <w:noWrap/>
            <w:vAlign w:val="center"/>
            <w:hideMark/>
          </w:tcPr>
          <w:p w14:paraId="0B211E9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1.91</w:t>
            </w:r>
          </w:p>
        </w:tc>
        <w:tc>
          <w:tcPr>
            <w:tcW w:w="1080" w:type="dxa"/>
            <w:shd w:val="clear" w:color="auto" w:fill="auto"/>
            <w:noWrap/>
            <w:vAlign w:val="center"/>
            <w:hideMark/>
          </w:tcPr>
          <w:p w14:paraId="109EB9F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60" w:type="dxa"/>
            <w:shd w:val="clear" w:color="auto" w:fill="auto"/>
            <w:noWrap/>
            <w:vAlign w:val="center"/>
            <w:hideMark/>
          </w:tcPr>
          <w:p w14:paraId="34519E1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2430" w:type="dxa"/>
            <w:shd w:val="clear" w:color="auto" w:fill="auto"/>
            <w:noWrap/>
            <w:vAlign w:val="center"/>
            <w:hideMark/>
          </w:tcPr>
          <w:p w14:paraId="3A2A8BE8" w14:textId="77777777" w:rsidR="005B5953" w:rsidRPr="005B12AE" w:rsidRDefault="005B5953" w:rsidP="00250DAC">
            <w:pPr>
              <w:spacing w:after="0" w:line="240" w:lineRule="auto"/>
              <w:jc w:val="center"/>
              <w:rPr>
                <w:rFonts w:ascii="Times New Roman" w:hAnsi="Times New Roman"/>
                <w:sz w:val="20"/>
                <w:szCs w:val="20"/>
              </w:rPr>
            </w:pPr>
          </w:p>
        </w:tc>
        <w:tc>
          <w:tcPr>
            <w:tcW w:w="1170" w:type="dxa"/>
            <w:shd w:val="clear" w:color="auto" w:fill="auto"/>
            <w:noWrap/>
            <w:vAlign w:val="center"/>
            <w:hideMark/>
          </w:tcPr>
          <w:p w14:paraId="0D461BE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080" w:type="dxa"/>
            <w:shd w:val="clear" w:color="auto" w:fill="auto"/>
            <w:noWrap/>
            <w:vAlign w:val="center"/>
            <w:hideMark/>
          </w:tcPr>
          <w:p w14:paraId="55AA020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900" w:type="dxa"/>
            <w:shd w:val="clear" w:color="auto" w:fill="auto"/>
            <w:noWrap/>
            <w:vAlign w:val="center"/>
            <w:hideMark/>
          </w:tcPr>
          <w:p w14:paraId="761BAEF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1.91</w:t>
            </w:r>
          </w:p>
        </w:tc>
        <w:tc>
          <w:tcPr>
            <w:tcW w:w="903" w:type="dxa"/>
            <w:shd w:val="clear" w:color="auto" w:fill="auto"/>
            <w:noWrap/>
            <w:vAlign w:val="center"/>
            <w:hideMark/>
          </w:tcPr>
          <w:p w14:paraId="1F1401F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1.91</w:t>
            </w:r>
          </w:p>
        </w:tc>
      </w:tr>
      <w:tr w:rsidR="005B5953" w:rsidRPr="005B12AE" w14:paraId="3B50A04B" w14:textId="77777777" w:rsidTr="00250DAC">
        <w:trPr>
          <w:trHeight w:val="20"/>
        </w:trPr>
        <w:tc>
          <w:tcPr>
            <w:tcW w:w="1831" w:type="dxa"/>
            <w:shd w:val="clear" w:color="auto" w:fill="auto"/>
            <w:noWrap/>
            <w:vAlign w:val="bottom"/>
            <w:hideMark/>
          </w:tcPr>
          <w:p w14:paraId="48558033"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Factory Building</w:t>
            </w:r>
          </w:p>
        </w:tc>
        <w:tc>
          <w:tcPr>
            <w:tcW w:w="1033" w:type="dxa"/>
            <w:shd w:val="clear" w:color="auto" w:fill="auto"/>
            <w:noWrap/>
            <w:vAlign w:val="center"/>
            <w:hideMark/>
          </w:tcPr>
          <w:p w14:paraId="13240DC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188.71</w:t>
            </w:r>
          </w:p>
        </w:tc>
        <w:tc>
          <w:tcPr>
            <w:tcW w:w="1091" w:type="dxa"/>
            <w:shd w:val="clear" w:color="auto" w:fill="auto"/>
            <w:noWrap/>
            <w:vAlign w:val="center"/>
            <w:hideMark/>
          </w:tcPr>
          <w:p w14:paraId="6932532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14.39</w:t>
            </w:r>
          </w:p>
        </w:tc>
        <w:tc>
          <w:tcPr>
            <w:tcW w:w="1170" w:type="dxa"/>
            <w:shd w:val="clear" w:color="auto" w:fill="auto"/>
            <w:noWrap/>
            <w:vAlign w:val="center"/>
            <w:hideMark/>
          </w:tcPr>
          <w:p w14:paraId="4AADE02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080" w:type="dxa"/>
            <w:shd w:val="clear" w:color="auto" w:fill="auto"/>
            <w:noWrap/>
            <w:vAlign w:val="center"/>
            <w:hideMark/>
          </w:tcPr>
          <w:p w14:paraId="0B7D2D3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203.10</w:t>
            </w:r>
          </w:p>
        </w:tc>
        <w:tc>
          <w:tcPr>
            <w:tcW w:w="1080" w:type="dxa"/>
            <w:shd w:val="clear" w:color="auto" w:fill="auto"/>
            <w:noWrap/>
            <w:vAlign w:val="center"/>
            <w:hideMark/>
          </w:tcPr>
          <w:p w14:paraId="5C3C197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137.88</w:t>
            </w:r>
          </w:p>
        </w:tc>
        <w:tc>
          <w:tcPr>
            <w:tcW w:w="1260" w:type="dxa"/>
            <w:shd w:val="clear" w:color="auto" w:fill="auto"/>
            <w:noWrap/>
            <w:vAlign w:val="center"/>
            <w:hideMark/>
          </w:tcPr>
          <w:p w14:paraId="08A950C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6.27</w:t>
            </w:r>
          </w:p>
        </w:tc>
        <w:tc>
          <w:tcPr>
            <w:tcW w:w="2430" w:type="dxa"/>
            <w:shd w:val="clear" w:color="auto" w:fill="auto"/>
            <w:noWrap/>
            <w:vAlign w:val="center"/>
            <w:hideMark/>
          </w:tcPr>
          <w:p w14:paraId="628BDF3E" w14:textId="77777777" w:rsidR="005B5953" w:rsidRPr="005B12AE" w:rsidRDefault="005B5953" w:rsidP="00250DAC">
            <w:pPr>
              <w:spacing w:after="0" w:line="240" w:lineRule="auto"/>
              <w:jc w:val="center"/>
              <w:rPr>
                <w:rFonts w:ascii="Times New Roman" w:hAnsi="Times New Roman"/>
                <w:sz w:val="20"/>
                <w:szCs w:val="20"/>
              </w:rPr>
            </w:pPr>
          </w:p>
        </w:tc>
        <w:tc>
          <w:tcPr>
            <w:tcW w:w="1170" w:type="dxa"/>
            <w:shd w:val="clear" w:color="auto" w:fill="auto"/>
            <w:noWrap/>
            <w:vAlign w:val="center"/>
            <w:hideMark/>
          </w:tcPr>
          <w:p w14:paraId="2B00334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080" w:type="dxa"/>
            <w:shd w:val="clear" w:color="auto" w:fill="auto"/>
            <w:noWrap/>
            <w:vAlign w:val="center"/>
            <w:hideMark/>
          </w:tcPr>
          <w:p w14:paraId="41BBF7E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144.15</w:t>
            </w:r>
          </w:p>
        </w:tc>
        <w:tc>
          <w:tcPr>
            <w:tcW w:w="900" w:type="dxa"/>
            <w:shd w:val="clear" w:color="auto" w:fill="auto"/>
            <w:noWrap/>
            <w:vAlign w:val="center"/>
            <w:hideMark/>
          </w:tcPr>
          <w:p w14:paraId="6321E28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58.95</w:t>
            </w:r>
          </w:p>
        </w:tc>
        <w:tc>
          <w:tcPr>
            <w:tcW w:w="903" w:type="dxa"/>
            <w:shd w:val="clear" w:color="auto" w:fill="auto"/>
            <w:noWrap/>
            <w:vAlign w:val="center"/>
            <w:hideMark/>
          </w:tcPr>
          <w:p w14:paraId="25FB78A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50.83</w:t>
            </w:r>
          </w:p>
        </w:tc>
      </w:tr>
      <w:tr w:rsidR="005B5953" w:rsidRPr="005B12AE" w14:paraId="7DAF6DF8" w14:textId="77777777" w:rsidTr="00250DAC">
        <w:trPr>
          <w:trHeight w:val="20"/>
        </w:trPr>
        <w:tc>
          <w:tcPr>
            <w:tcW w:w="1831" w:type="dxa"/>
            <w:shd w:val="clear" w:color="auto" w:fill="auto"/>
            <w:noWrap/>
            <w:vAlign w:val="bottom"/>
            <w:hideMark/>
          </w:tcPr>
          <w:p w14:paraId="1F22403B"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Computer</w:t>
            </w:r>
          </w:p>
        </w:tc>
        <w:tc>
          <w:tcPr>
            <w:tcW w:w="1033" w:type="dxa"/>
            <w:shd w:val="clear" w:color="auto" w:fill="auto"/>
            <w:noWrap/>
            <w:vAlign w:val="center"/>
            <w:hideMark/>
          </w:tcPr>
          <w:p w14:paraId="0006C8E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8.65</w:t>
            </w:r>
          </w:p>
        </w:tc>
        <w:tc>
          <w:tcPr>
            <w:tcW w:w="1091" w:type="dxa"/>
            <w:shd w:val="clear" w:color="auto" w:fill="auto"/>
            <w:noWrap/>
            <w:vAlign w:val="center"/>
            <w:hideMark/>
          </w:tcPr>
          <w:p w14:paraId="1F5581C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1.13</w:t>
            </w:r>
          </w:p>
        </w:tc>
        <w:tc>
          <w:tcPr>
            <w:tcW w:w="1170" w:type="dxa"/>
            <w:shd w:val="clear" w:color="auto" w:fill="auto"/>
            <w:noWrap/>
            <w:vAlign w:val="center"/>
            <w:hideMark/>
          </w:tcPr>
          <w:p w14:paraId="2E61B7C5" w14:textId="77777777" w:rsidR="005B5953" w:rsidRPr="005B12AE" w:rsidRDefault="005B5953" w:rsidP="00250DAC">
            <w:pPr>
              <w:spacing w:after="0" w:line="240" w:lineRule="auto"/>
              <w:jc w:val="center"/>
              <w:rPr>
                <w:rFonts w:ascii="Times New Roman" w:hAnsi="Times New Roman"/>
                <w:sz w:val="20"/>
                <w:szCs w:val="20"/>
              </w:rPr>
            </w:pPr>
          </w:p>
        </w:tc>
        <w:tc>
          <w:tcPr>
            <w:tcW w:w="1080" w:type="dxa"/>
            <w:shd w:val="clear" w:color="auto" w:fill="auto"/>
            <w:noWrap/>
            <w:vAlign w:val="center"/>
            <w:hideMark/>
          </w:tcPr>
          <w:p w14:paraId="75D3D24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9.78</w:t>
            </w:r>
          </w:p>
        </w:tc>
        <w:tc>
          <w:tcPr>
            <w:tcW w:w="1080" w:type="dxa"/>
            <w:shd w:val="clear" w:color="auto" w:fill="auto"/>
            <w:noWrap/>
            <w:vAlign w:val="center"/>
            <w:hideMark/>
          </w:tcPr>
          <w:p w14:paraId="5A38276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8.29</w:t>
            </w:r>
          </w:p>
        </w:tc>
        <w:tc>
          <w:tcPr>
            <w:tcW w:w="1260" w:type="dxa"/>
            <w:shd w:val="clear" w:color="auto" w:fill="auto"/>
            <w:noWrap/>
            <w:vAlign w:val="center"/>
            <w:hideMark/>
          </w:tcPr>
          <w:p w14:paraId="374D247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1.37</w:t>
            </w:r>
          </w:p>
        </w:tc>
        <w:tc>
          <w:tcPr>
            <w:tcW w:w="2430" w:type="dxa"/>
            <w:shd w:val="clear" w:color="auto" w:fill="auto"/>
            <w:noWrap/>
            <w:vAlign w:val="center"/>
            <w:hideMark/>
          </w:tcPr>
          <w:p w14:paraId="257DA97A" w14:textId="77777777" w:rsidR="005B5953" w:rsidRPr="005B12AE" w:rsidRDefault="005B5953" w:rsidP="00250DAC">
            <w:pPr>
              <w:spacing w:after="0" w:line="240" w:lineRule="auto"/>
              <w:jc w:val="center"/>
              <w:rPr>
                <w:rFonts w:ascii="Times New Roman" w:hAnsi="Times New Roman"/>
                <w:sz w:val="20"/>
                <w:szCs w:val="20"/>
              </w:rPr>
            </w:pPr>
          </w:p>
        </w:tc>
        <w:tc>
          <w:tcPr>
            <w:tcW w:w="1170" w:type="dxa"/>
            <w:shd w:val="clear" w:color="auto" w:fill="auto"/>
            <w:noWrap/>
            <w:vAlign w:val="center"/>
            <w:hideMark/>
          </w:tcPr>
          <w:p w14:paraId="60DB6D8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080" w:type="dxa"/>
            <w:shd w:val="clear" w:color="auto" w:fill="auto"/>
            <w:noWrap/>
            <w:vAlign w:val="center"/>
            <w:hideMark/>
          </w:tcPr>
          <w:p w14:paraId="5D05EDC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9.66</w:t>
            </w:r>
          </w:p>
        </w:tc>
        <w:tc>
          <w:tcPr>
            <w:tcW w:w="900" w:type="dxa"/>
            <w:shd w:val="clear" w:color="auto" w:fill="auto"/>
            <w:noWrap/>
            <w:vAlign w:val="center"/>
            <w:hideMark/>
          </w:tcPr>
          <w:p w14:paraId="47807A7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0.12</w:t>
            </w:r>
          </w:p>
        </w:tc>
        <w:tc>
          <w:tcPr>
            <w:tcW w:w="903" w:type="dxa"/>
            <w:shd w:val="clear" w:color="auto" w:fill="auto"/>
            <w:noWrap/>
            <w:vAlign w:val="center"/>
            <w:hideMark/>
          </w:tcPr>
          <w:p w14:paraId="26E6C20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0.36</w:t>
            </w:r>
          </w:p>
        </w:tc>
      </w:tr>
      <w:tr w:rsidR="005B5953" w:rsidRPr="005B12AE" w14:paraId="0BD6630D" w14:textId="77777777" w:rsidTr="00250DAC">
        <w:trPr>
          <w:trHeight w:val="20"/>
        </w:trPr>
        <w:tc>
          <w:tcPr>
            <w:tcW w:w="1831" w:type="dxa"/>
            <w:shd w:val="clear" w:color="auto" w:fill="auto"/>
            <w:noWrap/>
            <w:vAlign w:val="bottom"/>
            <w:hideMark/>
          </w:tcPr>
          <w:p w14:paraId="4E1ACFF5"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Plant &amp; Machinery</w:t>
            </w:r>
          </w:p>
        </w:tc>
        <w:tc>
          <w:tcPr>
            <w:tcW w:w="1033" w:type="dxa"/>
            <w:shd w:val="clear" w:color="auto" w:fill="auto"/>
            <w:noWrap/>
            <w:vAlign w:val="center"/>
            <w:hideMark/>
          </w:tcPr>
          <w:p w14:paraId="75A8D66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440.36</w:t>
            </w:r>
          </w:p>
        </w:tc>
        <w:tc>
          <w:tcPr>
            <w:tcW w:w="1091" w:type="dxa"/>
            <w:shd w:val="clear" w:color="auto" w:fill="auto"/>
            <w:noWrap/>
            <w:vAlign w:val="center"/>
            <w:hideMark/>
          </w:tcPr>
          <w:p w14:paraId="6936E71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170" w:type="dxa"/>
            <w:shd w:val="clear" w:color="auto" w:fill="auto"/>
            <w:noWrap/>
            <w:vAlign w:val="center"/>
            <w:hideMark/>
          </w:tcPr>
          <w:p w14:paraId="7A4B5E8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61.96</w:t>
            </w:r>
          </w:p>
        </w:tc>
        <w:tc>
          <w:tcPr>
            <w:tcW w:w="1080" w:type="dxa"/>
            <w:shd w:val="clear" w:color="auto" w:fill="auto"/>
            <w:noWrap/>
            <w:vAlign w:val="center"/>
            <w:hideMark/>
          </w:tcPr>
          <w:p w14:paraId="387540D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378.40</w:t>
            </w:r>
          </w:p>
        </w:tc>
        <w:tc>
          <w:tcPr>
            <w:tcW w:w="1080" w:type="dxa"/>
            <w:shd w:val="clear" w:color="auto" w:fill="auto"/>
            <w:noWrap/>
            <w:vAlign w:val="center"/>
            <w:hideMark/>
          </w:tcPr>
          <w:p w14:paraId="0545917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396.02</w:t>
            </w:r>
          </w:p>
        </w:tc>
        <w:tc>
          <w:tcPr>
            <w:tcW w:w="1260" w:type="dxa"/>
            <w:shd w:val="clear" w:color="auto" w:fill="auto"/>
            <w:noWrap/>
            <w:vAlign w:val="center"/>
            <w:hideMark/>
          </w:tcPr>
          <w:p w14:paraId="58EB14E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5.18</w:t>
            </w:r>
          </w:p>
        </w:tc>
        <w:tc>
          <w:tcPr>
            <w:tcW w:w="2430" w:type="dxa"/>
            <w:shd w:val="clear" w:color="auto" w:fill="auto"/>
            <w:noWrap/>
            <w:vAlign w:val="center"/>
            <w:hideMark/>
          </w:tcPr>
          <w:p w14:paraId="4D8E512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(56.17)</w:t>
            </w:r>
          </w:p>
        </w:tc>
        <w:tc>
          <w:tcPr>
            <w:tcW w:w="1170" w:type="dxa"/>
            <w:shd w:val="clear" w:color="auto" w:fill="auto"/>
            <w:noWrap/>
            <w:vAlign w:val="center"/>
            <w:hideMark/>
          </w:tcPr>
          <w:p w14:paraId="67CC914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080" w:type="dxa"/>
            <w:shd w:val="clear" w:color="auto" w:fill="auto"/>
            <w:noWrap/>
            <w:vAlign w:val="center"/>
            <w:hideMark/>
          </w:tcPr>
          <w:p w14:paraId="2DEDFC2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345.03</w:t>
            </w:r>
          </w:p>
        </w:tc>
        <w:tc>
          <w:tcPr>
            <w:tcW w:w="900" w:type="dxa"/>
            <w:shd w:val="clear" w:color="auto" w:fill="auto"/>
            <w:noWrap/>
            <w:vAlign w:val="center"/>
            <w:hideMark/>
          </w:tcPr>
          <w:p w14:paraId="1DF02AB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33.37</w:t>
            </w:r>
          </w:p>
        </w:tc>
        <w:tc>
          <w:tcPr>
            <w:tcW w:w="903" w:type="dxa"/>
            <w:shd w:val="clear" w:color="auto" w:fill="auto"/>
            <w:noWrap/>
            <w:vAlign w:val="center"/>
            <w:hideMark/>
          </w:tcPr>
          <w:p w14:paraId="21A32BD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44.35</w:t>
            </w:r>
          </w:p>
        </w:tc>
      </w:tr>
      <w:tr w:rsidR="005B5953" w:rsidRPr="005B12AE" w14:paraId="7EF4AC3B" w14:textId="77777777" w:rsidTr="00250DAC">
        <w:trPr>
          <w:trHeight w:val="20"/>
        </w:trPr>
        <w:tc>
          <w:tcPr>
            <w:tcW w:w="1831" w:type="dxa"/>
            <w:shd w:val="clear" w:color="auto" w:fill="auto"/>
            <w:noWrap/>
            <w:vAlign w:val="bottom"/>
            <w:hideMark/>
          </w:tcPr>
          <w:p w14:paraId="3AA2B22E"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Plant &amp; Machinery - New</w:t>
            </w:r>
          </w:p>
        </w:tc>
        <w:tc>
          <w:tcPr>
            <w:tcW w:w="1033" w:type="dxa"/>
            <w:shd w:val="clear" w:color="auto" w:fill="auto"/>
            <w:noWrap/>
            <w:vAlign w:val="center"/>
            <w:hideMark/>
          </w:tcPr>
          <w:p w14:paraId="0E9A5AF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1,014.93</w:t>
            </w:r>
          </w:p>
        </w:tc>
        <w:tc>
          <w:tcPr>
            <w:tcW w:w="1091" w:type="dxa"/>
            <w:shd w:val="clear" w:color="auto" w:fill="auto"/>
            <w:noWrap/>
            <w:vAlign w:val="center"/>
            <w:hideMark/>
          </w:tcPr>
          <w:p w14:paraId="52A1724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59.64</w:t>
            </w:r>
          </w:p>
        </w:tc>
        <w:tc>
          <w:tcPr>
            <w:tcW w:w="1170" w:type="dxa"/>
            <w:shd w:val="clear" w:color="auto" w:fill="auto"/>
            <w:noWrap/>
            <w:vAlign w:val="center"/>
            <w:hideMark/>
          </w:tcPr>
          <w:p w14:paraId="16AADE60" w14:textId="77777777" w:rsidR="005B5953" w:rsidRPr="005B12AE" w:rsidRDefault="005B5953" w:rsidP="00250DAC">
            <w:pPr>
              <w:spacing w:after="0" w:line="240" w:lineRule="auto"/>
              <w:jc w:val="center"/>
              <w:rPr>
                <w:rFonts w:ascii="Times New Roman" w:hAnsi="Times New Roman"/>
                <w:sz w:val="20"/>
                <w:szCs w:val="20"/>
              </w:rPr>
            </w:pPr>
          </w:p>
        </w:tc>
        <w:tc>
          <w:tcPr>
            <w:tcW w:w="1080" w:type="dxa"/>
            <w:shd w:val="clear" w:color="auto" w:fill="auto"/>
            <w:noWrap/>
            <w:vAlign w:val="center"/>
            <w:hideMark/>
          </w:tcPr>
          <w:p w14:paraId="3421B9A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1,074.58</w:t>
            </w:r>
          </w:p>
        </w:tc>
        <w:tc>
          <w:tcPr>
            <w:tcW w:w="1080" w:type="dxa"/>
            <w:shd w:val="clear" w:color="auto" w:fill="auto"/>
            <w:noWrap/>
            <w:vAlign w:val="center"/>
            <w:hideMark/>
          </w:tcPr>
          <w:p w14:paraId="0CDC1F0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511.30</w:t>
            </w:r>
          </w:p>
        </w:tc>
        <w:tc>
          <w:tcPr>
            <w:tcW w:w="1260" w:type="dxa"/>
            <w:shd w:val="clear" w:color="auto" w:fill="auto"/>
            <w:noWrap/>
            <w:vAlign w:val="center"/>
            <w:hideMark/>
          </w:tcPr>
          <w:p w14:paraId="739EFD7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102.61</w:t>
            </w:r>
          </w:p>
        </w:tc>
        <w:tc>
          <w:tcPr>
            <w:tcW w:w="2430" w:type="dxa"/>
            <w:shd w:val="clear" w:color="auto" w:fill="auto"/>
            <w:noWrap/>
            <w:vAlign w:val="center"/>
            <w:hideMark/>
          </w:tcPr>
          <w:p w14:paraId="356EF20F" w14:textId="77777777" w:rsidR="005B5953" w:rsidRPr="005B12AE" w:rsidRDefault="005B5953" w:rsidP="00250DAC">
            <w:pPr>
              <w:spacing w:after="0" w:line="240" w:lineRule="auto"/>
              <w:jc w:val="center"/>
              <w:rPr>
                <w:rFonts w:ascii="Times New Roman" w:hAnsi="Times New Roman"/>
                <w:sz w:val="20"/>
                <w:szCs w:val="20"/>
              </w:rPr>
            </w:pPr>
          </w:p>
        </w:tc>
        <w:tc>
          <w:tcPr>
            <w:tcW w:w="1170" w:type="dxa"/>
            <w:shd w:val="clear" w:color="auto" w:fill="auto"/>
            <w:noWrap/>
            <w:vAlign w:val="center"/>
            <w:hideMark/>
          </w:tcPr>
          <w:p w14:paraId="7C4900E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080" w:type="dxa"/>
            <w:shd w:val="clear" w:color="auto" w:fill="auto"/>
            <w:noWrap/>
            <w:vAlign w:val="center"/>
            <w:hideMark/>
          </w:tcPr>
          <w:p w14:paraId="17B403B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613.90</w:t>
            </w:r>
          </w:p>
        </w:tc>
        <w:tc>
          <w:tcPr>
            <w:tcW w:w="900" w:type="dxa"/>
            <w:shd w:val="clear" w:color="auto" w:fill="auto"/>
            <w:noWrap/>
            <w:vAlign w:val="center"/>
            <w:hideMark/>
          </w:tcPr>
          <w:p w14:paraId="6FFE879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460.67</w:t>
            </w:r>
          </w:p>
        </w:tc>
        <w:tc>
          <w:tcPr>
            <w:tcW w:w="903" w:type="dxa"/>
            <w:shd w:val="clear" w:color="auto" w:fill="auto"/>
            <w:noWrap/>
            <w:vAlign w:val="center"/>
            <w:hideMark/>
          </w:tcPr>
          <w:p w14:paraId="12A5D54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503.64</w:t>
            </w:r>
          </w:p>
        </w:tc>
      </w:tr>
      <w:tr w:rsidR="005B5953" w:rsidRPr="005B12AE" w14:paraId="36B29019" w14:textId="77777777" w:rsidTr="00250DAC">
        <w:trPr>
          <w:trHeight w:val="20"/>
        </w:trPr>
        <w:tc>
          <w:tcPr>
            <w:tcW w:w="1831" w:type="dxa"/>
            <w:shd w:val="clear" w:color="auto" w:fill="auto"/>
            <w:noWrap/>
            <w:vAlign w:val="bottom"/>
            <w:hideMark/>
          </w:tcPr>
          <w:p w14:paraId="0B805BA8"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Furniture &amp; Fixture</w:t>
            </w:r>
          </w:p>
        </w:tc>
        <w:tc>
          <w:tcPr>
            <w:tcW w:w="1033" w:type="dxa"/>
            <w:shd w:val="clear" w:color="auto" w:fill="auto"/>
            <w:noWrap/>
            <w:vAlign w:val="center"/>
            <w:hideMark/>
          </w:tcPr>
          <w:p w14:paraId="5648F83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52.01</w:t>
            </w:r>
          </w:p>
        </w:tc>
        <w:tc>
          <w:tcPr>
            <w:tcW w:w="1091" w:type="dxa"/>
            <w:shd w:val="clear" w:color="auto" w:fill="auto"/>
            <w:noWrap/>
            <w:vAlign w:val="center"/>
            <w:hideMark/>
          </w:tcPr>
          <w:p w14:paraId="486690E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4.38</w:t>
            </w:r>
          </w:p>
        </w:tc>
        <w:tc>
          <w:tcPr>
            <w:tcW w:w="1170" w:type="dxa"/>
            <w:shd w:val="clear" w:color="auto" w:fill="auto"/>
            <w:noWrap/>
            <w:vAlign w:val="center"/>
            <w:hideMark/>
          </w:tcPr>
          <w:p w14:paraId="21D18F43" w14:textId="77777777" w:rsidR="005B5953" w:rsidRPr="005B12AE" w:rsidRDefault="005B5953" w:rsidP="00250DAC">
            <w:pPr>
              <w:spacing w:after="0" w:line="240" w:lineRule="auto"/>
              <w:jc w:val="center"/>
              <w:rPr>
                <w:rFonts w:ascii="Times New Roman" w:hAnsi="Times New Roman"/>
                <w:sz w:val="20"/>
                <w:szCs w:val="20"/>
              </w:rPr>
            </w:pPr>
          </w:p>
        </w:tc>
        <w:tc>
          <w:tcPr>
            <w:tcW w:w="1080" w:type="dxa"/>
            <w:shd w:val="clear" w:color="auto" w:fill="auto"/>
            <w:noWrap/>
            <w:vAlign w:val="center"/>
            <w:hideMark/>
          </w:tcPr>
          <w:p w14:paraId="7F71D0A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56.39</w:t>
            </w:r>
          </w:p>
        </w:tc>
        <w:tc>
          <w:tcPr>
            <w:tcW w:w="1080" w:type="dxa"/>
            <w:shd w:val="clear" w:color="auto" w:fill="auto"/>
            <w:noWrap/>
            <w:vAlign w:val="center"/>
            <w:hideMark/>
          </w:tcPr>
          <w:p w14:paraId="4C5EBCA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42.36</w:t>
            </w:r>
          </w:p>
        </w:tc>
        <w:tc>
          <w:tcPr>
            <w:tcW w:w="1260" w:type="dxa"/>
            <w:shd w:val="clear" w:color="auto" w:fill="auto"/>
            <w:noWrap/>
            <w:vAlign w:val="center"/>
            <w:hideMark/>
          </w:tcPr>
          <w:p w14:paraId="6977799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3.99</w:t>
            </w:r>
          </w:p>
        </w:tc>
        <w:tc>
          <w:tcPr>
            <w:tcW w:w="2430" w:type="dxa"/>
            <w:shd w:val="clear" w:color="auto" w:fill="auto"/>
            <w:noWrap/>
            <w:vAlign w:val="center"/>
            <w:hideMark/>
          </w:tcPr>
          <w:p w14:paraId="277FFDBB" w14:textId="77777777" w:rsidR="005B5953" w:rsidRPr="005B12AE" w:rsidRDefault="005B5953" w:rsidP="00250DAC">
            <w:pPr>
              <w:spacing w:after="0" w:line="240" w:lineRule="auto"/>
              <w:jc w:val="center"/>
              <w:rPr>
                <w:rFonts w:ascii="Times New Roman" w:hAnsi="Times New Roman"/>
                <w:sz w:val="20"/>
                <w:szCs w:val="20"/>
              </w:rPr>
            </w:pPr>
          </w:p>
        </w:tc>
        <w:tc>
          <w:tcPr>
            <w:tcW w:w="1170" w:type="dxa"/>
            <w:shd w:val="clear" w:color="auto" w:fill="auto"/>
            <w:noWrap/>
            <w:vAlign w:val="center"/>
            <w:hideMark/>
          </w:tcPr>
          <w:p w14:paraId="7435B60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080" w:type="dxa"/>
            <w:shd w:val="clear" w:color="auto" w:fill="auto"/>
            <w:noWrap/>
            <w:vAlign w:val="center"/>
            <w:hideMark/>
          </w:tcPr>
          <w:p w14:paraId="4B9585E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46.35</w:t>
            </w:r>
          </w:p>
        </w:tc>
        <w:tc>
          <w:tcPr>
            <w:tcW w:w="900" w:type="dxa"/>
            <w:shd w:val="clear" w:color="auto" w:fill="auto"/>
            <w:noWrap/>
            <w:vAlign w:val="center"/>
            <w:hideMark/>
          </w:tcPr>
          <w:p w14:paraId="423FF5A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10.03</w:t>
            </w:r>
          </w:p>
        </w:tc>
        <w:tc>
          <w:tcPr>
            <w:tcW w:w="903" w:type="dxa"/>
            <w:shd w:val="clear" w:color="auto" w:fill="auto"/>
            <w:noWrap/>
            <w:vAlign w:val="center"/>
            <w:hideMark/>
          </w:tcPr>
          <w:p w14:paraId="2AC084C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9.65</w:t>
            </w:r>
          </w:p>
        </w:tc>
      </w:tr>
      <w:tr w:rsidR="005B5953" w:rsidRPr="005B12AE" w14:paraId="1CDED3DA" w14:textId="77777777" w:rsidTr="00250DAC">
        <w:trPr>
          <w:trHeight w:val="20"/>
        </w:trPr>
        <w:tc>
          <w:tcPr>
            <w:tcW w:w="1831" w:type="dxa"/>
            <w:shd w:val="clear" w:color="auto" w:fill="auto"/>
            <w:noWrap/>
            <w:vAlign w:val="bottom"/>
            <w:hideMark/>
          </w:tcPr>
          <w:p w14:paraId="7B4EE5B2"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Office Equipment’s</w:t>
            </w:r>
          </w:p>
        </w:tc>
        <w:tc>
          <w:tcPr>
            <w:tcW w:w="1033" w:type="dxa"/>
            <w:shd w:val="clear" w:color="auto" w:fill="auto"/>
            <w:noWrap/>
            <w:vAlign w:val="center"/>
            <w:hideMark/>
          </w:tcPr>
          <w:p w14:paraId="1CCEDCF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30.76</w:t>
            </w:r>
          </w:p>
        </w:tc>
        <w:tc>
          <w:tcPr>
            <w:tcW w:w="1091" w:type="dxa"/>
            <w:shd w:val="clear" w:color="auto" w:fill="auto"/>
            <w:noWrap/>
            <w:vAlign w:val="center"/>
            <w:hideMark/>
          </w:tcPr>
          <w:p w14:paraId="46FFE0F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1.13</w:t>
            </w:r>
          </w:p>
        </w:tc>
        <w:tc>
          <w:tcPr>
            <w:tcW w:w="1170" w:type="dxa"/>
            <w:shd w:val="clear" w:color="auto" w:fill="auto"/>
            <w:noWrap/>
            <w:vAlign w:val="center"/>
            <w:hideMark/>
          </w:tcPr>
          <w:p w14:paraId="61658F5C" w14:textId="77777777" w:rsidR="005B5953" w:rsidRPr="005B12AE" w:rsidRDefault="005B5953" w:rsidP="00250DAC">
            <w:pPr>
              <w:spacing w:after="0" w:line="240" w:lineRule="auto"/>
              <w:jc w:val="center"/>
              <w:rPr>
                <w:rFonts w:ascii="Times New Roman" w:hAnsi="Times New Roman"/>
                <w:sz w:val="20"/>
                <w:szCs w:val="20"/>
              </w:rPr>
            </w:pPr>
          </w:p>
        </w:tc>
        <w:tc>
          <w:tcPr>
            <w:tcW w:w="1080" w:type="dxa"/>
            <w:shd w:val="clear" w:color="auto" w:fill="auto"/>
            <w:noWrap/>
            <w:vAlign w:val="center"/>
            <w:hideMark/>
          </w:tcPr>
          <w:p w14:paraId="1039A86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31.89</w:t>
            </w:r>
          </w:p>
        </w:tc>
        <w:tc>
          <w:tcPr>
            <w:tcW w:w="1080" w:type="dxa"/>
            <w:shd w:val="clear" w:color="auto" w:fill="auto"/>
            <w:noWrap/>
            <w:vAlign w:val="center"/>
            <w:hideMark/>
          </w:tcPr>
          <w:p w14:paraId="0EFDFAB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24.35</w:t>
            </w:r>
          </w:p>
        </w:tc>
        <w:tc>
          <w:tcPr>
            <w:tcW w:w="1260" w:type="dxa"/>
            <w:shd w:val="clear" w:color="auto" w:fill="auto"/>
            <w:noWrap/>
            <w:vAlign w:val="center"/>
            <w:hideMark/>
          </w:tcPr>
          <w:p w14:paraId="4088180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3.65</w:t>
            </w:r>
          </w:p>
        </w:tc>
        <w:tc>
          <w:tcPr>
            <w:tcW w:w="2430" w:type="dxa"/>
            <w:shd w:val="clear" w:color="auto" w:fill="auto"/>
            <w:noWrap/>
            <w:vAlign w:val="center"/>
            <w:hideMark/>
          </w:tcPr>
          <w:p w14:paraId="400E53FB" w14:textId="77777777" w:rsidR="005B5953" w:rsidRPr="005B12AE" w:rsidRDefault="005B5953" w:rsidP="00250DAC">
            <w:pPr>
              <w:spacing w:after="0" w:line="240" w:lineRule="auto"/>
              <w:jc w:val="center"/>
              <w:rPr>
                <w:rFonts w:ascii="Times New Roman" w:hAnsi="Times New Roman"/>
                <w:sz w:val="20"/>
                <w:szCs w:val="20"/>
              </w:rPr>
            </w:pPr>
          </w:p>
        </w:tc>
        <w:tc>
          <w:tcPr>
            <w:tcW w:w="1170" w:type="dxa"/>
            <w:shd w:val="clear" w:color="auto" w:fill="auto"/>
            <w:noWrap/>
            <w:vAlign w:val="center"/>
            <w:hideMark/>
          </w:tcPr>
          <w:p w14:paraId="00B887B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080" w:type="dxa"/>
            <w:shd w:val="clear" w:color="auto" w:fill="auto"/>
            <w:noWrap/>
            <w:vAlign w:val="center"/>
            <w:hideMark/>
          </w:tcPr>
          <w:p w14:paraId="423A846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28.00</w:t>
            </w:r>
          </w:p>
        </w:tc>
        <w:tc>
          <w:tcPr>
            <w:tcW w:w="900" w:type="dxa"/>
            <w:shd w:val="clear" w:color="auto" w:fill="auto"/>
            <w:noWrap/>
            <w:vAlign w:val="center"/>
            <w:hideMark/>
          </w:tcPr>
          <w:p w14:paraId="59F5CA2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3.89</w:t>
            </w:r>
          </w:p>
        </w:tc>
        <w:tc>
          <w:tcPr>
            <w:tcW w:w="903" w:type="dxa"/>
            <w:shd w:val="clear" w:color="auto" w:fill="auto"/>
            <w:noWrap/>
            <w:vAlign w:val="center"/>
            <w:hideMark/>
          </w:tcPr>
          <w:p w14:paraId="4559B0C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6.41</w:t>
            </w:r>
          </w:p>
        </w:tc>
      </w:tr>
      <w:tr w:rsidR="005B5953" w:rsidRPr="005B12AE" w14:paraId="58D3A0FA" w14:textId="77777777" w:rsidTr="00250DAC">
        <w:trPr>
          <w:trHeight w:val="20"/>
        </w:trPr>
        <w:tc>
          <w:tcPr>
            <w:tcW w:w="1831" w:type="dxa"/>
            <w:shd w:val="clear" w:color="auto" w:fill="auto"/>
            <w:noWrap/>
            <w:vAlign w:val="bottom"/>
            <w:hideMark/>
          </w:tcPr>
          <w:p w14:paraId="2B720FB7"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Electrical Fittings</w:t>
            </w:r>
          </w:p>
        </w:tc>
        <w:tc>
          <w:tcPr>
            <w:tcW w:w="1033" w:type="dxa"/>
            <w:shd w:val="clear" w:color="auto" w:fill="auto"/>
            <w:noWrap/>
            <w:vAlign w:val="center"/>
            <w:hideMark/>
          </w:tcPr>
          <w:p w14:paraId="51D197D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110.90</w:t>
            </w:r>
          </w:p>
        </w:tc>
        <w:tc>
          <w:tcPr>
            <w:tcW w:w="1091" w:type="dxa"/>
            <w:shd w:val="clear" w:color="auto" w:fill="auto"/>
            <w:noWrap/>
            <w:vAlign w:val="center"/>
            <w:hideMark/>
          </w:tcPr>
          <w:p w14:paraId="70BA6A4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170" w:type="dxa"/>
            <w:shd w:val="clear" w:color="auto" w:fill="auto"/>
            <w:noWrap/>
            <w:vAlign w:val="center"/>
            <w:hideMark/>
          </w:tcPr>
          <w:p w14:paraId="3A8BB322" w14:textId="77777777" w:rsidR="005B5953" w:rsidRPr="005B12AE" w:rsidRDefault="005B5953" w:rsidP="00250DAC">
            <w:pPr>
              <w:spacing w:after="0" w:line="240" w:lineRule="auto"/>
              <w:jc w:val="center"/>
              <w:rPr>
                <w:rFonts w:ascii="Times New Roman" w:hAnsi="Times New Roman"/>
                <w:sz w:val="20"/>
                <w:szCs w:val="20"/>
              </w:rPr>
            </w:pPr>
          </w:p>
        </w:tc>
        <w:tc>
          <w:tcPr>
            <w:tcW w:w="1080" w:type="dxa"/>
            <w:shd w:val="clear" w:color="auto" w:fill="auto"/>
            <w:noWrap/>
            <w:vAlign w:val="center"/>
            <w:hideMark/>
          </w:tcPr>
          <w:p w14:paraId="1C63DFB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110.90</w:t>
            </w:r>
          </w:p>
        </w:tc>
        <w:tc>
          <w:tcPr>
            <w:tcW w:w="1080" w:type="dxa"/>
            <w:shd w:val="clear" w:color="auto" w:fill="auto"/>
            <w:noWrap/>
            <w:vAlign w:val="center"/>
            <w:hideMark/>
          </w:tcPr>
          <w:p w14:paraId="3E8A4A7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103.23</w:t>
            </w:r>
          </w:p>
        </w:tc>
        <w:tc>
          <w:tcPr>
            <w:tcW w:w="1260" w:type="dxa"/>
            <w:shd w:val="clear" w:color="auto" w:fill="auto"/>
            <w:noWrap/>
            <w:vAlign w:val="center"/>
            <w:hideMark/>
          </w:tcPr>
          <w:p w14:paraId="5A56BE8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0.84</w:t>
            </w:r>
          </w:p>
        </w:tc>
        <w:tc>
          <w:tcPr>
            <w:tcW w:w="2430" w:type="dxa"/>
            <w:shd w:val="clear" w:color="auto" w:fill="auto"/>
            <w:noWrap/>
            <w:vAlign w:val="center"/>
            <w:hideMark/>
          </w:tcPr>
          <w:p w14:paraId="4CD7DC9E" w14:textId="77777777" w:rsidR="005B5953" w:rsidRPr="005B12AE" w:rsidRDefault="005B5953" w:rsidP="00250DAC">
            <w:pPr>
              <w:spacing w:after="0" w:line="240" w:lineRule="auto"/>
              <w:jc w:val="center"/>
              <w:rPr>
                <w:rFonts w:ascii="Times New Roman" w:hAnsi="Times New Roman"/>
                <w:sz w:val="20"/>
                <w:szCs w:val="20"/>
              </w:rPr>
            </w:pPr>
          </w:p>
        </w:tc>
        <w:tc>
          <w:tcPr>
            <w:tcW w:w="1170" w:type="dxa"/>
            <w:shd w:val="clear" w:color="auto" w:fill="auto"/>
            <w:noWrap/>
            <w:vAlign w:val="center"/>
            <w:hideMark/>
          </w:tcPr>
          <w:p w14:paraId="10376D3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080" w:type="dxa"/>
            <w:shd w:val="clear" w:color="auto" w:fill="auto"/>
            <w:noWrap/>
            <w:vAlign w:val="center"/>
            <w:hideMark/>
          </w:tcPr>
          <w:p w14:paraId="3966C72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104.07</w:t>
            </w:r>
          </w:p>
        </w:tc>
        <w:tc>
          <w:tcPr>
            <w:tcW w:w="900" w:type="dxa"/>
            <w:shd w:val="clear" w:color="auto" w:fill="auto"/>
            <w:noWrap/>
            <w:vAlign w:val="center"/>
            <w:hideMark/>
          </w:tcPr>
          <w:p w14:paraId="36F3F98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6.83</w:t>
            </w:r>
          </w:p>
        </w:tc>
        <w:tc>
          <w:tcPr>
            <w:tcW w:w="903" w:type="dxa"/>
            <w:shd w:val="clear" w:color="auto" w:fill="auto"/>
            <w:noWrap/>
            <w:vAlign w:val="center"/>
            <w:hideMark/>
          </w:tcPr>
          <w:p w14:paraId="48B8139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7.67</w:t>
            </w:r>
          </w:p>
        </w:tc>
      </w:tr>
      <w:tr w:rsidR="005B5953" w:rsidRPr="005B12AE" w14:paraId="54A388F4" w14:textId="77777777" w:rsidTr="00250DAC">
        <w:trPr>
          <w:trHeight w:val="20"/>
        </w:trPr>
        <w:tc>
          <w:tcPr>
            <w:tcW w:w="1831" w:type="dxa"/>
            <w:shd w:val="clear" w:color="auto" w:fill="auto"/>
            <w:noWrap/>
            <w:vAlign w:val="bottom"/>
            <w:hideMark/>
          </w:tcPr>
          <w:p w14:paraId="49D387F6"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Vehicles</w:t>
            </w:r>
          </w:p>
        </w:tc>
        <w:tc>
          <w:tcPr>
            <w:tcW w:w="1033" w:type="dxa"/>
            <w:shd w:val="clear" w:color="auto" w:fill="auto"/>
            <w:noWrap/>
            <w:vAlign w:val="center"/>
            <w:hideMark/>
          </w:tcPr>
          <w:p w14:paraId="5313CCD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202.73</w:t>
            </w:r>
          </w:p>
        </w:tc>
        <w:tc>
          <w:tcPr>
            <w:tcW w:w="1091" w:type="dxa"/>
            <w:shd w:val="clear" w:color="auto" w:fill="auto"/>
            <w:noWrap/>
            <w:vAlign w:val="center"/>
            <w:hideMark/>
          </w:tcPr>
          <w:p w14:paraId="39A66A9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58.62</w:t>
            </w:r>
          </w:p>
        </w:tc>
        <w:tc>
          <w:tcPr>
            <w:tcW w:w="1170" w:type="dxa"/>
            <w:shd w:val="clear" w:color="auto" w:fill="auto"/>
            <w:noWrap/>
            <w:vAlign w:val="center"/>
            <w:hideMark/>
          </w:tcPr>
          <w:p w14:paraId="4052E5F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41.04</w:t>
            </w:r>
          </w:p>
        </w:tc>
        <w:tc>
          <w:tcPr>
            <w:tcW w:w="1080" w:type="dxa"/>
            <w:shd w:val="clear" w:color="auto" w:fill="auto"/>
            <w:noWrap/>
            <w:vAlign w:val="center"/>
            <w:hideMark/>
          </w:tcPr>
          <w:p w14:paraId="474CEB6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220.30</w:t>
            </w:r>
          </w:p>
        </w:tc>
        <w:tc>
          <w:tcPr>
            <w:tcW w:w="1080" w:type="dxa"/>
            <w:shd w:val="clear" w:color="auto" w:fill="auto"/>
            <w:noWrap/>
            <w:vAlign w:val="center"/>
            <w:hideMark/>
          </w:tcPr>
          <w:p w14:paraId="6CF0A55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71.59</w:t>
            </w:r>
          </w:p>
        </w:tc>
        <w:tc>
          <w:tcPr>
            <w:tcW w:w="1260" w:type="dxa"/>
            <w:shd w:val="clear" w:color="auto" w:fill="auto"/>
            <w:noWrap/>
            <w:vAlign w:val="center"/>
            <w:hideMark/>
          </w:tcPr>
          <w:p w14:paraId="6704C8C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36.29</w:t>
            </w:r>
          </w:p>
        </w:tc>
        <w:tc>
          <w:tcPr>
            <w:tcW w:w="2430" w:type="dxa"/>
            <w:shd w:val="clear" w:color="auto" w:fill="auto"/>
            <w:noWrap/>
            <w:vAlign w:val="center"/>
            <w:hideMark/>
          </w:tcPr>
          <w:p w14:paraId="3D97A55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(16.21)</w:t>
            </w:r>
          </w:p>
        </w:tc>
        <w:tc>
          <w:tcPr>
            <w:tcW w:w="1170" w:type="dxa"/>
            <w:shd w:val="clear" w:color="auto" w:fill="auto"/>
            <w:noWrap/>
            <w:vAlign w:val="center"/>
            <w:hideMark/>
          </w:tcPr>
          <w:p w14:paraId="7DAF61D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8.87</w:t>
            </w:r>
          </w:p>
        </w:tc>
        <w:tc>
          <w:tcPr>
            <w:tcW w:w="1080" w:type="dxa"/>
            <w:shd w:val="clear" w:color="auto" w:fill="auto"/>
            <w:noWrap/>
            <w:vAlign w:val="center"/>
            <w:hideMark/>
          </w:tcPr>
          <w:p w14:paraId="4C49170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100.53</w:t>
            </w:r>
          </w:p>
        </w:tc>
        <w:tc>
          <w:tcPr>
            <w:tcW w:w="900" w:type="dxa"/>
            <w:shd w:val="clear" w:color="auto" w:fill="auto"/>
            <w:noWrap/>
            <w:vAlign w:val="center"/>
            <w:hideMark/>
          </w:tcPr>
          <w:p w14:paraId="2B060C2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119.76</w:t>
            </w:r>
          </w:p>
        </w:tc>
        <w:tc>
          <w:tcPr>
            <w:tcW w:w="903" w:type="dxa"/>
            <w:shd w:val="clear" w:color="auto" w:fill="auto"/>
            <w:noWrap/>
            <w:vAlign w:val="center"/>
            <w:hideMark/>
          </w:tcPr>
          <w:p w14:paraId="220C805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131.14</w:t>
            </w:r>
          </w:p>
        </w:tc>
      </w:tr>
      <w:tr w:rsidR="005B5953" w:rsidRPr="005B12AE" w14:paraId="7C1341C5" w14:textId="77777777" w:rsidTr="00250DAC">
        <w:trPr>
          <w:trHeight w:val="20"/>
        </w:trPr>
        <w:tc>
          <w:tcPr>
            <w:tcW w:w="1831" w:type="dxa"/>
            <w:shd w:val="clear" w:color="auto" w:fill="auto"/>
            <w:noWrap/>
            <w:vAlign w:val="bottom"/>
            <w:hideMark/>
          </w:tcPr>
          <w:p w14:paraId="20C9D734"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Intangible Asset</w:t>
            </w:r>
          </w:p>
        </w:tc>
        <w:tc>
          <w:tcPr>
            <w:tcW w:w="1033" w:type="dxa"/>
            <w:shd w:val="clear" w:color="auto" w:fill="auto"/>
            <w:noWrap/>
            <w:vAlign w:val="center"/>
            <w:hideMark/>
          </w:tcPr>
          <w:p w14:paraId="7A51A234" w14:textId="77777777" w:rsidR="005B5953" w:rsidRPr="005B12AE" w:rsidRDefault="005B5953" w:rsidP="00250DAC">
            <w:pPr>
              <w:spacing w:after="0" w:line="240" w:lineRule="auto"/>
              <w:jc w:val="center"/>
              <w:rPr>
                <w:rFonts w:ascii="Times New Roman" w:hAnsi="Times New Roman"/>
                <w:sz w:val="20"/>
                <w:szCs w:val="20"/>
              </w:rPr>
            </w:pPr>
          </w:p>
        </w:tc>
        <w:tc>
          <w:tcPr>
            <w:tcW w:w="1091" w:type="dxa"/>
            <w:shd w:val="clear" w:color="auto" w:fill="auto"/>
            <w:noWrap/>
            <w:vAlign w:val="center"/>
            <w:hideMark/>
          </w:tcPr>
          <w:p w14:paraId="28C8AD90" w14:textId="77777777" w:rsidR="005B5953" w:rsidRPr="005B12AE" w:rsidRDefault="005B5953" w:rsidP="00250DAC">
            <w:pPr>
              <w:spacing w:after="0" w:line="240" w:lineRule="auto"/>
              <w:jc w:val="center"/>
              <w:rPr>
                <w:rFonts w:ascii="Times New Roman" w:hAnsi="Times New Roman"/>
                <w:sz w:val="20"/>
                <w:szCs w:val="20"/>
              </w:rPr>
            </w:pPr>
          </w:p>
        </w:tc>
        <w:tc>
          <w:tcPr>
            <w:tcW w:w="1170" w:type="dxa"/>
            <w:shd w:val="clear" w:color="auto" w:fill="auto"/>
            <w:noWrap/>
            <w:vAlign w:val="center"/>
            <w:hideMark/>
          </w:tcPr>
          <w:p w14:paraId="35B72CC7" w14:textId="77777777" w:rsidR="005B5953" w:rsidRPr="005B12AE" w:rsidRDefault="005B5953" w:rsidP="00250DAC">
            <w:pPr>
              <w:spacing w:after="0" w:line="240" w:lineRule="auto"/>
              <w:jc w:val="center"/>
              <w:rPr>
                <w:rFonts w:ascii="Times New Roman" w:hAnsi="Times New Roman"/>
                <w:sz w:val="20"/>
                <w:szCs w:val="20"/>
              </w:rPr>
            </w:pPr>
          </w:p>
        </w:tc>
        <w:tc>
          <w:tcPr>
            <w:tcW w:w="1080" w:type="dxa"/>
            <w:shd w:val="clear" w:color="auto" w:fill="auto"/>
            <w:noWrap/>
            <w:vAlign w:val="center"/>
            <w:hideMark/>
          </w:tcPr>
          <w:p w14:paraId="4F3DA25D" w14:textId="77777777" w:rsidR="005B5953" w:rsidRPr="005B12AE" w:rsidRDefault="005B5953" w:rsidP="00250DAC">
            <w:pPr>
              <w:spacing w:after="0" w:line="240" w:lineRule="auto"/>
              <w:jc w:val="center"/>
              <w:rPr>
                <w:rFonts w:ascii="Times New Roman" w:hAnsi="Times New Roman"/>
                <w:sz w:val="20"/>
                <w:szCs w:val="20"/>
              </w:rPr>
            </w:pPr>
          </w:p>
        </w:tc>
        <w:tc>
          <w:tcPr>
            <w:tcW w:w="1080" w:type="dxa"/>
            <w:shd w:val="clear" w:color="auto" w:fill="auto"/>
            <w:noWrap/>
            <w:vAlign w:val="center"/>
            <w:hideMark/>
          </w:tcPr>
          <w:p w14:paraId="0A8A9BFC" w14:textId="77777777" w:rsidR="005B5953" w:rsidRPr="005B12AE" w:rsidRDefault="005B5953" w:rsidP="00250DAC">
            <w:pPr>
              <w:spacing w:after="0" w:line="240" w:lineRule="auto"/>
              <w:jc w:val="center"/>
              <w:rPr>
                <w:rFonts w:ascii="Times New Roman" w:hAnsi="Times New Roman"/>
                <w:sz w:val="20"/>
                <w:szCs w:val="20"/>
              </w:rPr>
            </w:pPr>
          </w:p>
        </w:tc>
        <w:tc>
          <w:tcPr>
            <w:tcW w:w="1260" w:type="dxa"/>
            <w:shd w:val="clear" w:color="auto" w:fill="auto"/>
            <w:noWrap/>
            <w:vAlign w:val="center"/>
            <w:hideMark/>
          </w:tcPr>
          <w:p w14:paraId="028ECFFE" w14:textId="77777777" w:rsidR="005B5953" w:rsidRPr="005B12AE" w:rsidRDefault="005B5953" w:rsidP="00250DAC">
            <w:pPr>
              <w:spacing w:after="0" w:line="240" w:lineRule="auto"/>
              <w:jc w:val="center"/>
              <w:rPr>
                <w:rFonts w:ascii="Times New Roman" w:hAnsi="Times New Roman"/>
                <w:sz w:val="20"/>
                <w:szCs w:val="20"/>
              </w:rPr>
            </w:pPr>
          </w:p>
        </w:tc>
        <w:tc>
          <w:tcPr>
            <w:tcW w:w="2430" w:type="dxa"/>
            <w:shd w:val="clear" w:color="auto" w:fill="auto"/>
            <w:noWrap/>
            <w:vAlign w:val="center"/>
            <w:hideMark/>
          </w:tcPr>
          <w:p w14:paraId="3BCDF4A7" w14:textId="77777777" w:rsidR="005B5953" w:rsidRPr="005B12AE" w:rsidRDefault="005B5953" w:rsidP="00250DAC">
            <w:pPr>
              <w:spacing w:after="0" w:line="240" w:lineRule="auto"/>
              <w:jc w:val="center"/>
              <w:rPr>
                <w:rFonts w:ascii="Times New Roman" w:hAnsi="Times New Roman"/>
                <w:sz w:val="20"/>
                <w:szCs w:val="20"/>
              </w:rPr>
            </w:pPr>
          </w:p>
        </w:tc>
        <w:tc>
          <w:tcPr>
            <w:tcW w:w="1170" w:type="dxa"/>
            <w:shd w:val="clear" w:color="auto" w:fill="auto"/>
            <w:noWrap/>
            <w:vAlign w:val="center"/>
            <w:hideMark/>
          </w:tcPr>
          <w:p w14:paraId="672F790B" w14:textId="77777777" w:rsidR="005B5953" w:rsidRPr="005B12AE" w:rsidRDefault="005B5953" w:rsidP="00250DAC">
            <w:pPr>
              <w:spacing w:after="0" w:line="240" w:lineRule="auto"/>
              <w:jc w:val="center"/>
              <w:rPr>
                <w:rFonts w:ascii="Times New Roman" w:hAnsi="Times New Roman"/>
                <w:sz w:val="20"/>
                <w:szCs w:val="20"/>
              </w:rPr>
            </w:pPr>
          </w:p>
        </w:tc>
        <w:tc>
          <w:tcPr>
            <w:tcW w:w="1080" w:type="dxa"/>
            <w:shd w:val="clear" w:color="auto" w:fill="auto"/>
            <w:noWrap/>
            <w:vAlign w:val="center"/>
            <w:hideMark/>
          </w:tcPr>
          <w:p w14:paraId="23438BB1" w14:textId="77777777" w:rsidR="005B5953" w:rsidRPr="005B12AE" w:rsidRDefault="005B5953" w:rsidP="00250DAC">
            <w:pPr>
              <w:spacing w:after="0" w:line="240" w:lineRule="auto"/>
              <w:jc w:val="center"/>
              <w:rPr>
                <w:rFonts w:ascii="Times New Roman" w:hAnsi="Times New Roman"/>
                <w:sz w:val="20"/>
                <w:szCs w:val="20"/>
              </w:rPr>
            </w:pPr>
          </w:p>
        </w:tc>
        <w:tc>
          <w:tcPr>
            <w:tcW w:w="900" w:type="dxa"/>
            <w:shd w:val="clear" w:color="auto" w:fill="auto"/>
            <w:noWrap/>
            <w:vAlign w:val="center"/>
            <w:hideMark/>
          </w:tcPr>
          <w:p w14:paraId="7152BFF8" w14:textId="77777777" w:rsidR="005B5953" w:rsidRPr="005B12AE" w:rsidRDefault="005B5953" w:rsidP="00250DAC">
            <w:pPr>
              <w:spacing w:after="0" w:line="240" w:lineRule="auto"/>
              <w:jc w:val="center"/>
              <w:rPr>
                <w:rFonts w:ascii="Times New Roman" w:hAnsi="Times New Roman"/>
                <w:sz w:val="20"/>
                <w:szCs w:val="20"/>
              </w:rPr>
            </w:pPr>
          </w:p>
        </w:tc>
        <w:tc>
          <w:tcPr>
            <w:tcW w:w="903" w:type="dxa"/>
            <w:shd w:val="clear" w:color="auto" w:fill="auto"/>
            <w:noWrap/>
            <w:vAlign w:val="center"/>
            <w:hideMark/>
          </w:tcPr>
          <w:p w14:paraId="0E9B6F8E"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3E1BC75B" w14:textId="77777777" w:rsidTr="00250DAC">
        <w:trPr>
          <w:trHeight w:val="20"/>
        </w:trPr>
        <w:tc>
          <w:tcPr>
            <w:tcW w:w="1831" w:type="dxa"/>
            <w:shd w:val="clear" w:color="auto" w:fill="auto"/>
            <w:noWrap/>
            <w:vAlign w:val="bottom"/>
            <w:hideMark/>
          </w:tcPr>
          <w:p w14:paraId="09CF22B3"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Trade Mark</w:t>
            </w:r>
          </w:p>
        </w:tc>
        <w:tc>
          <w:tcPr>
            <w:tcW w:w="1033" w:type="dxa"/>
            <w:shd w:val="clear" w:color="auto" w:fill="auto"/>
            <w:noWrap/>
            <w:vAlign w:val="center"/>
            <w:hideMark/>
          </w:tcPr>
          <w:p w14:paraId="6A72D184" w14:textId="77777777" w:rsidR="005B5953" w:rsidRPr="005B12AE" w:rsidRDefault="005B5953" w:rsidP="00250DAC">
            <w:pPr>
              <w:spacing w:after="0" w:line="240" w:lineRule="auto"/>
              <w:jc w:val="center"/>
              <w:rPr>
                <w:rFonts w:ascii="Times New Roman" w:hAnsi="Times New Roman"/>
                <w:sz w:val="20"/>
                <w:szCs w:val="20"/>
              </w:rPr>
            </w:pPr>
          </w:p>
        </w:tc>
        <w:tc>
          <w:tcPr>
            <w:tcW w:w="1091" w:type="dxa"/>
            <w:shd w:val="clear" w:color="auto" w:fill="auto"/>
            <w:noWrap/>
            <w:vAlign w:val="center"/>
            <w:hideMark/>
          </w:tcPr>
          <w:p w14:paraId="51DCA066" w14:textId="77777777" w:rsidR="005B5953" w:rsidRPr="005B12AE" w:rsidRDefault="005B5953" w:rsidP="00250DAC">
            <w:pPr>
              <w:spacing w:after="0" w:line="240" w:lineRule="auto"/>
              <w:jc w:val="center"/>
              <w:rPr>
                <w:rFonts w:ascii="Times New Roman" w:hAnsi="Times New Roman"/>
                <w:sz w:val="20"/>
                <w:szCs w:val="20"/>
              </w:rPr>
            </w:pPr>
          </w:p>
        </w:tc>
        <w:tc>
          <w:tcPr>
            <w:tcW w:w="1170" w:type="dxa"/>
            <w:shd w:val="clear" w:color="auto" w:fill="auto"/>
            <w:noWrap/>
            <w:vAlign w:val="center"/>
            <w:hideMark/>
          </w:tcPr>
          <w:p w14:paraId="18025507" w14:textId="77777777" w:rsidR="005B5953" w:rsidRPr="005B12AE" w:rsidRDefault="005B5953" w:rsidP="00250DAC">
            <w:pPr>
              <w:spacing w:after="0" w:line="240" w:lineRule="auto"/>
              <w:jc w:val="center"/>
              <w:rPr>
                <w:rFonts w:ascii="Times New Roman" w:hAnsi="Times New Roman"/>
                <w:sz w:val="20"/>
                <w:szCs w:val="20"/>
              </w:rPr>
            </w:pPr>
          </w:p>
        </w:tc>
        <w:tc>
          <w:tcPr>
            <w:tcW w:w="1080" w:type="dxa"/>
            <w:shd w:val="clear" w:color="auto" w:fill="auto"/>
            <w:noWrap/>
            <w:vAlign w:val="center"/>
            <w:hideMark/>
          </w:tcPr>
          <w:p w14:paraId="2C84BD91" w14:textId="77777777" w:rsidR="005B5953" w:rsidRPr="005B12AE" w:rsidRDefault="005B5953" w:rsidP="00250DAC">
            <w:pPr>
              <w:spacing w:after="0" w:line="240" w:lineRule="auto"/>
              <w:jc w:val="center"/>
              <w:rPr>
                <w:rFonts w:ascii="Times New Roman" w:hAnsi="Times New Roman"/>
                <w:sz w:val="20"/>
                <w:szCs w:val="20"/>
              </w:rPr>
            </w:pPr>
          </w:p>
        </w:tc>
        <w:tc>
          <w:tcPr>
            <w:tcW w:w="1080" w:type="dxa"/>
            <w:shd w:val="clear" w:color="auto" w:fill="auto"/>
            <w:noWrap/>
            <w:vAlign w:val="center"/>
            <w:hideMark/>
          </w:tcPr>
          <w:p w14:paraId="7B693D36" w14:textId="77777777" w:rsidR="005B5953" w:rsidRPr="005B12AE" w:rsidRDefault="005B5953" w:rsidP="00250DAC">
            <w:pPr>
              <w:spacing w:after="0" w:line="240" w:lineRule="auto"/>
              <w:jc w:val="center"/>
              <w:rPr>
                <w:rFonts w:ascii="Times New Roman" w:hAnsi="Times New Roman"/>
                <w:sz w:val="20"/>
                <w:szCs w:val="20"/>
              </w:rPr>
            </w:pPr>
          </w:p>
        </w:tc>
        <w:tc>
          <w:tcPr>
            <w:tcW w:w="1260" w:type="dxa"/>
            <w:shd w:val="clear" w:color="auto" w:fill="auto"/>
            <w:noWrap/>
            <w:vAlign w:val="center"/>
            <w:hideMark/>
          </w:tcPr>
          <w:p w14:paraId="0F5E4325" w14:textId="77777777" w:rsidR="005B5953" w:rsidRPr="005B12AE" w:rsidRDefault="005B5953" w:rsidP="00250DAC">
            <w:pPr>
              <w:spacing w:after="0" w:line="240" w:lineRule="auto"/>
              <w:jc w:val="center"/>
              <w:rPr>
                <w:rFonts w:ascii="Times New Roman" w:hAnsi="Times New Roman"/>
                <w:sz w:val="20"/>
                <w:szCs w:val="20"/>
              </w:rPr>
            </w:pPr>
          </w:p>
        </w:tc>
        <w:tc>
          <w:tcPr>
            <w:tcW w:w="2430" w:type="dxa"/>
            <w:shd w:val="clear" w:color="auto" w:fill="auto"/>
            <w:noWrap/>
            <w:vAlign w:val="center"/>
            <w:hideMark/>
          </w:tcPr>
          <w:p w14:paraId="2E42A61A" w14:textId="77777777" w:rsidR="005B5953" w:rsidRPr="005B12AE" w:rsidRDefault="005B5953" w:rsidP="00250DAC">
            <w:pPr>
              <w:spacing w:after="0" w:line="240" w:lineRule="auto"/>
              <w:jc w:val="center"/>
              <w:rPr>
                <w:rFonts w:ascii="Times New Roman" w:hAnsi="Times New Roman"/>
                <w:sz w:val="20"/>
                <w:szCs w:val="20"/>
              </w:rPr>
            </w:pPr>
          </w:p>
        </w:tc>
        <w:tc>
          <w:tcPr>
            <w:tcW w:w="1170" w:type="dxa"/>
            <w:shd w:val="clear" w:color="auto" w:fill="auto"/>
            <w:noWrap/>
            <w:vAlign w:val="center"/>
            <w:hideMark/>
          </w:tcPr>
          <w:p w14:paraId="4DEB0E1C" w14:textId="77777777" w:rsidR="005B5953" w:rsidRPr="005B12AE" w:rsidRDefault="005B5953" w:rsidP="00250DAC">
            <w:pPr>
              <w:spacing w:after="0" w:line="240" w:lineRule="auto"/>
              <w:jc w:val="center"/>
              <w:rPr>
                <w:rFonts w:ascii="Times New Roman" w:hAnsi="Times New Roman"/>
                <w:sz w:val="20"/>
                <w:szCs w:val="20"/>
              </w:rPr>
            </w:pPr>
          </w:p>
        </w:tc>
        <w:tc>
          <w:tcPr>
            <w:tcW w:w="1080" w:type="dxa"/>
            <w:shd w:val="clear" w:color="auto" w:fill="auto"/>
            <w:noWrap/>
            <w:vAlign w:val="center"/>
            <w:hideMark/>
          </w:tcPr>
          <w:p w14:paraId="4D8919C5" w14:textId="77777777" w:rsidR="005B5953" w:rsidRPr="005B12AE" w:rsidRDefault="005B5953" w:rsidP="00250DAC">
            <w:pPr>
              <w:spacing w:after="0" w:line="240" w:lineRule="auto"/>
              <w:jc w:val="center"/>
              <w:rPr>
                <w:rFonts w:ascii="Times New Roman" w:hAnsi="Times New Roman"/>
                <w:sz w:val="20"/>
                <w:szCs w:val="20"/>
              </w:rPr>
            </w:pPr>
          </w:p>
        </w:tc>
        <w:tc>
          <w:tcPr>
            <w:tcW w:w="900" w:type="dxa"/>
            <w:shd w:val="clear" w:color="auto" w:fill="auto"/>
            <w:noWrap/>
            <w:vAlign w:val="center"/>
            <w:hideMark/>
          </w:tcPr>
          <w:p w14:paraId="1FAE6CFD" w14:textId="77777777" w:rsidR="005B5953" w:rsidRPr="005B12AE" w:rsidRDefault="005B5953" w:rsidP="00250DAC">
            <w:pPr>
              <w:spacing w:after="0" w:line="240" w:lineRule="auto"/>
              <w:jc w:val="center"/>
              <w:rPr>
                <w:rFonts w:ascii="Times New Roman" w:hAnsi="Times New Roman"/>
                <w:sz w:val="20"/>
                <w:szCs w:val="20"/>
              </w:rPr>
            </w:pPr>
          </w:p>
        </w:tc>
        <w:tc>
          <w:tcPr>
            <w:tcW w:w="903" w:type="dxa"/>
            <w:shd w:val="clear" w:color="auto" w:fill="auto"/>
            <w:noWrap/>
            <w:vAlign w:val="center"/>
            <w:hideMark/>
          </w:tcPr>
          <w:p w14:paraId="0197F843"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2C21159C" w14:textId="77777777" w:rsidTr="00250DAC">
        <w:trPr>
          <w:trHeight w:val="20"/>
        </w:trPr>
        <w:tc>
          <w:tcPr>
            <w:tcW w:w="1831" w:type="dxa"/>
            <w:shd w:val="clear" w:color="auto" w:fill="auto"/>
            <w:noWrap/>
            <w:vAlign w:val="bottom"/>
            <w:hideMark/>
          </w:tcPr>
          <w:p w14:paraId="4ABBBD8F"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Total</w:t>
            </w:r>
          </w:p>
        </w:tc>
        <w:tc>
          <w:tcPr>
            <w:tcW w:w="1033" w:type="dxa"/>
            <w:shd w:val="clear" w:color="auto" w:fill="auto"/>
            <w:noWrap/>
            <w:vAlign w:val="center"/>
            <w:hideMark/>
          </w:tcPr>
          <w:p w14:paraId="1F63F18A"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2,050.96</w:t>
            </w:r>
          </w:p>
        </w:tc>
        <w:tc>
          <w:tcPr>
            <w:tcW w:w="1091" w:type="dxa"/>
            <w:shd w:val="clear" w:color="auto" w:fill="auto"/>
            <w:noWrap/>
            <w:vAlign w:val="center"/>
            <w:hideMark/>
          </w:tcPr>
          <w:p w14:paraId="583605C3"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139.28</w:t>
            </w:r>
          </w:p>
        </w:tc>
        <w:tc>
          <w:tcPr>
            <w:tcW w:w="1170" w:type="dxa"/>
            <w:shd w:val="clear" w:color="auto" w:fill="auto"/>
            <w:noWrap/>
            <w:vAlign w:val="center"/>
            <w:hideMark/>
          </w:tcPr>
          <w:p w14:paraId="2B87E06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103.00</w:t>
            </w:r>
          </w:p>
        </w:tc>
        <w:tc>
          <w:tcPr>
            <w:tcW w:w="1080" w:type="dxa"/>
            <w:shd w:val="clear" w:color="auto" w:fill="auto"/>
            <w:noWrap/>
            <w:vAlign w:val="center"/>
            <w:hideMark/>
          </w:tcPr>
          <w:p w14:paraId="16B7E193"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2,087.24</w:t>
            </w:r>
          </w:p>
        </w:tc>
        <w:tc>
          <w:tcPr>
            <w:tcW w:w="1080" w:type="dxa"/>
            <w:shd w:val="clear" w:color="auto" w:fill="auto"/>
            <w:noWrap/>
            <w:vAlign w:val="center"/>
            <w:hideMark/>
          </w:tcPr>
          <w:p w14:paraId="2755934E"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1,295.01</w:t>
            </w:r>
          </w:p>
        </w:tc>
        <w:tc>
          <w:tcPr>
            <w:tcW w:w="1260" w:type="dxa"/>
            <w:shd w:val="clear" w:color="auto" w:fill="auto"/>
            <w:noWrap/>
            <w:vAlign w:val="center"/>
            <w:hideMark/>
          </w:tcPr>
          <w:p w14:paraId="1900D51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160.20</w:t>
            </w:r>
          </w:p>
        </w:tc>
        <w:tc>
          <w:tcPr>
            <w:tcW w:w="2430" w:type="dxa"/>
            <w:shd w:val="clear" w:color="auto" w:fill="auto"/>
            <w:noWrap/>
            <w:vAlign w:val="center"/>
            <w:hideMark/>
          </w:tcPr>
          <w:p w14:paraId="4FFB2D8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(72.38)</w:t>
            </w:r>
          </w:p>
        </w:tc>
        <w:tc>
          <w:tcPr>
            <w:tcW w:w="1170" w:type="dxa"/>
            <w:shd w:val="clear" w:color="auto" w:fill="auto"/>
            <w:noWrap/>
            <w:vAlign w:val="center"/>
            <w:hideMark/>
          </w:tcPr>
          <w:p w14:paraId="720E053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8.87</w:t>
            </w:r>
          </w:p>
        </w:tc>
        <w:tc>
          <w:tcPr>
            <w:tcW w:w="1080" w:type="dxa"/>
            <w:shd w:val="clear" w:color="auto" w:fill="auto"/>
            <w:noWrap/>
            <w:vAlign w:val="center"/>
            <w:hideMark/>
          </w:tcPr>
          <w:p w14:paraId="1EEA9D7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1,391.71</w:t>
            </w:r>
          </w:p>
        </w:tc>
        <w:tc>
          <w:tcPr>
            <w:tcW w:w="900" w:type="dxa"/>
            <w:shd w:val="clear" w:color="auto" w:fill="auto"/>
            <w:noWrap/>
            <w:vAlign w:val="center"/>
            <w:hideMark/>
          </w:tcPr>
          <w:p w14:paraId="29A6D42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695.53</w:t>
            </w:r>
          </w:p>
        </w:tc>
        <w:tc>
          <w:tcPr>
            <w:tcW w:w="903" w:type="dxa"/>
            <w:shd w:val="clear" w:color="auto" w:fill="auto"/>
            <w:noWrap/>
            <w:vAlign w:val="center"/>
            <w:hideMark/>
          </w:tcPr>
          <w:p w14:paraId="002525A0"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755.95</w:t>
            </w:r>
          </w:p>
        </w:tc>
      </w:tr>
      <w:tr w:rsidR="005B5953" w:rsidRPr="005B12AE" w14:paraId="5504E63A" w14:textId="77777777" w:rsidTr="00250DAC">
        <w:trPr>
          <w:trHeight w:val="20"/>
        </w:trPr>
        <w:tc>
          <w:tcPr>
            <w:tcW w:w="1831" w:type="dxa"/>
            <w:shd w:val="clear" w:color="auto" w:fill="auto"/>
            <w:noWrap/>
            <w:vAlign w:val="bottom"/>
            <w:hideMark/>
          </w:tcPr>
          <w:p w14:paraId="0C46DB24" w14:textId="77777777" w:rsidR="005B5953" w:rsidRPr="005B12AE" w:rsidRDefault="005B5953" w:rsidP="00250DAC">
            <w:pPr>
              <w:spacing w:after="0" w:line="240" w:lineRule="auto"/>
              <w:rPr>
                <w:rFonts w:ascii="Times New Roman" w:hAnsi="Times New Roman"/>
                <w:b/>
                <w:bCs/>
                <w:i/>
                <w:iCs/>
                <w:sz w:val="20"/>
                <w:szCs w:val="20"/>
              </w:rPr>
            </w:pPr>
            <w:r w:rsidRPr="005B12AE">
              <w:rPr>
                <w:rFonts w:ascii="Times New Roman" w:hAnsi="Times New Roman"/>
                <w:b/>
                <w:bCs/>
                <w:i/>
                <w:iCs/>
                <w:sz w:val="20"/>
                <w:szCs w:val="20"/>
              </w:rPr>
              <w:t>Previous Year</w:t>
            </w:r>
          </w:p>
        </w:tc>
        <w:tc>
          <w:tcPr>
            <w:tcW w:w="1033" w:type="dxa"/>
            <w:shd w:val="clear" w:color="auto" w:fill="auto"/>
            <w:noWrap/>
            <w:vAlign w:val="center"/>
            <w:hideMark/>
          </w:tcPr>
          <w:p w14:paraId="1551B14C"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1,821.55</w:t>
            </w:r>
          </w:p>
        </w:tc>
        <w:tc>
          <w:tcPr>
            <w:tcW w:w="1091" w:type="dxa"/>
            <w:shd w:val="clear" w:color="auto" w:fill="auto"/>
            <w:noWrap/>
            <w:vAlign w:val="center"/>
            <w:hideMark/>
          </w:tcPr>
          <w:p w14:paraId="7A0B7371"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235.71</w:t>
            </w:r>
          </w:p>
        </w:tc>
        <w:tc>
          <w:tcPr>
            <w:tcW w:w="1170" w:type="dxa"/>
            <w:shd w:val="clear" w:color="auto" w:fill="auto"/>
            <w:noWrap/>
            <w:vAlign w:val="center"/>
            <w:hideMark/>
          </w:tcPr>
          <w:p w14:paraId="2458B727"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6.30</w:t>
            </w:r>
          </w:p>
        </w:tc>
        <w:tc>
          <w:tcPr>
            <w:tcW w:w="1080" w:type="dxa"/>
            <w:shd w:val="clear" w:color="auto" w:fill="auto"/>
            <w:noWrap/>
            <w:vAlign w:val="center"/>
            <w:hideMark/>
          </w:tcPr>
          <w:p w14:paraId="7A772BCE"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2,050.96</w:t>
            </w:r>
          </w:p>
        </w:tc>
        <w:tc>
          <w:tcPr>
            <w:tcW w:w="1080" w:type="dxa"/>
            <w:shd w:val="clear" w:color="auto" w:fill="auto"/>
            <w:noWrap/>
            <w:vAlign w:val="center"/>
            <w:hideMark/>
          </w:tcPr>
          <w:p w14:paraId="48D87978"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1,117.33</w:t>
            </w:r>
          </w:p>
        </w:tc>
        <w:tc>
          <w:tcPr>
            <w:tcW w:w="1260" w:type="dxa"/>
            <w:shd w:val="clear" w:color="auto" w:fill="auto"/>
            <w:noWrap/>
            <w:vAlign w:val="center"/>
            <w:hideMark/>
          </w:tcPr>
          <w:p w14:paraId="33B8BF58"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177.68</w:t>
            </w:r>
          </w:p>
        </w:tc>
        <w:tc>
          <w:tcPr>
            <w:tcW w:w="2430" w:type="dxa"/>
            <w:shd w:val="clear" w:color="auto" w:fill="auto"/>
            <w:noWrap/>
            <w:vAlign w:val="center"/>
            <w:hideMark/>
          </w:tcPr>
          <w:p w14:paraId="51916923" w14:textId="77777777" w:rsidR="005B5953" w:rsidRPr="005B12AE" w:rsidRDefault="005B5953" w:rsidP="00250DAC">
            <w:pPr>
              <w:spacing w:after="0" w:line="240" w:lineRule="auto"/>
              <w:jc w:val="center"/>
              <w:rPr>
                <w:rFonts w:ascii="Times New Roman" w:hAnsi="Times New Roman"/>
                <w:b/>
                <w:bCs/>
                <w:sz w:val="20"/>
                <w:szCs w:val="20"/>
              </w:rPr>
            </w:pPr>
          </w:p>
        </w:tc>
        <w:tc>
          <w:tcPr>
            <w:tcW w:w="1170" w:type="dxa"/>
            <w:shd w:val="clear" w:color="auto" w:fill="auto"/>
            <w:noWrap/>
            <w:vAlign w:val="center"/>
            <w:hideMark/>
          </w:tcPr>
          <w:p w14:paraId="527B3935"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1080" w:type="dxa"/>
            <w:shd w:val="clear" w:color="auto" w:fill="auto"/>
            <w:noWrap/>
            <w:vAlign w:val="center"/>
            <w:hideMark/>
          </w:tcPr>
          <w:p w14:paraId="5C4E89C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1,295.01</w:t>
            </w:r>
          </w:p>
        </w:tc>
        <w:tc>
          <w:tcPr>
            <w:tcW w:w="900" w:type="dxa"/>
            <w:shd w:val="clear" w:color="auto" w:fill="auto"/>
            <w:noWrap/>
            <w:vAlign w:val="center"/>
            <w:hideMark/>
          </w:tcPr>
          <w:p w14:paraId="4C07B9B5"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755.95</w:t>
            </w:r>
          </w:p>
        </w:tc>
        <w:tc>
          <w:tcPr>
            <w:tcW w:w="903" w:type="dxa"/>
            <w:shd w:val="clear" w:color="auto" w:fill="auto"/>
            <w:noWrap/>
            <w:vAlign w:val="center"/>
            <w:hideMark/>
          </w:tcPr>
          <w:p w14:paraId="5F6C339D"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704.22</w:t>
            </w:r>
          </w:p>
        </w:tc>
      </w:tr>
    </w:tbl>
    <w:p w14:paraId="380110E5" w14:textId="77777777" w:rsidR="005B5953" w:rsidRPr="005B12AE" w:rsidRDefault="005B5953" w:rsidP="005B5953">
      <w:pPr>
        <w:spacing w:after="0"/>
        <w:ind w:left="270" w:hanging="270"/>
        <w:jc w:val="center"/>
        <w:rPr>
          <w:rFonts w:ascii="Times New Roman" w:hAnsi="Times New Roman"/>
          <w:b/>
          <w:bCs/>
          <w:sz w:val="20"/>
          <w:szCs w:val="20"/>
        </w:rPr>
      </w:pPr>
    </w:p>
    <w:p w14:paraId="1BF1E228" w14:textId="77777777" w:rsidR="005B5953" w:rsidRPr="005B12AE" w:rsidRDefault="005B5953" w:rsidP="005B5953">
      <w:pPr>
        <w:spacing w:after="0"/>
        <w:ind w:left="270" w:hanging="270"/>
        <w:rPr>
          <w:rFonts w:ascii="Times New Roman" w:hAnsi="Times New Roman"/>
          <w:b/>
          <w:bCs/>
          <w:sz w:val="20"/>
          <w:szCs w:val="20"/>
        </w:rPr>
      </w:pPr>
      <w:r w:rsidRPr="005B12AE">
        <w:rPr>
          <w:rFonts w:ascii="Times New Roman" w:hAnsi="Times New Roman"/>
          <w:b/>
          <w:bCs/>
          <w:sz w:val="20"/>
          <w:szCs w:val="20"/>
        </w:rPr>
        <w:t>F.Y. 2021-22</w:t>
      </w:r>
    </w:p>
    <w:p w14:paraId="297DDE84" w14:textId="77777777" w:rsidR="005B5953" w:rsidRPr="005B12AE" w:rsidRDefault="005B5953" w:rsidP="005B5953">
      <w:pPr>
        <w:spacing w:after="0"/>
        <w:jc w:val="right"/>
        <w:rPr>
          <w:rFonts w:ascii="Times New Roman" w:hAnsi="Times New Roman"/>
          <w:b/>
          <w:bCs/>
          <w:sz w:val="20"/>
          <w:szCs w:val="20"/>
        </w:rPr>
      </w:pPr>
      <w:r w:rsidRPr="005B12AE">
        <w:rPr>
          <w:rFonts w:ascii="Times New Roman" w:hAnsi="Times New Roman"/>
          <w:b/>
          <w:bCs/>
          <w:sz w:val="20"/>
          <w:szCs w:val="20"/>
        </w:rPr>
        <w:t>(₹ in Lakhs)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1104"/>
        <w:gridCol w:w="1650"/>
        <w:gridCol w:w="1620"/>
        <w:gridCol w:w="1126"/>
        <w:gridCol w:w="1093"/>
        <w:gridCol w:w="1220"/>
        <w:gridCol w:w="1570"/>
        <w:gridCol w:w="1422"/>
        <w:gridCol w:w="1126"/>
        <w:gridCol w:w="1126"/>
      </w:tblGrid>
      <w:tr w:rsidR="005B5953" w:rsidRPr="005B12AE" w14:paraId="2EACB89E" w14:textId="77777777" w:rsidTr="00250DAC">
        <w:trPr>
          <w:trHeight w:val="20"/>
          <w:tblHeader/>
        </w:trPr>
        <w:tc>
          <w:tcPr>
            <w:tcW w:w="650" w:type="pct"/>
            <w:vMerge w:val="restart"/>
            <w:shd w:val="clear" w:color="auto" w:fill="D0CECE" w:themeFill="background2" w:themeFillShade="E6"/>
            <w:noWrap/>
            <w:vAlign w:val="center"/>
            <w:hideMark/>
          </w:tcPr>
          <w:p w14:paraId="5CCE3A7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Particulars</w:t>
            </w:r>
          </w:p>
        </w:tc>
        <w:tc>
          <w:tcPr>
            <w:tcW w:w="1816" w:type="pct"/>
            <w:gridSpan w:val="4"/>
            <w:shd w:val="clear" w:color="auto" w:fill="D0CECE" w:themeFill="background2" w:themeFillShade="E6"/>
            <w:noWrap/>
            <w:vAlign w:val="bottom"/>
            <w:hideMark/>
          </w:tcPr>
          <w:p w14:paraId="6EA55F6F"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Gross Block</w:t>
            </w:r>
          </w:p>
        </w:tc>
        <w:tc>
          <w:tcPr>
            <w:tcW w:w="1790" w:type="pct"/>
            <w:gridSpan w:val="4"/>
            <w:shd w:val="clear" w:color="auto" w:fill="D0CECE" w:themeFill="background2" w:themeFillShade="E6"/>
            <w:noWrap/>
            <w:vAlign w:val="bottom"/>
            <w:hideMark/>
          </w:tcPr>
          <w:p w14:paraId="594B29B9"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Depreciation</w:t>
            </w:r>
          </w:p>
        </w:tc>
        <w:tc>
          <w:tcPr>
            <w:tcW w:w="744" w:type="pct"/>
            <w:gridSpan w:val="2"/>
            <w:shd w:val="clear" w:color="auto" w:fill="D0CECE" w:themeFill="background2" w:themeFillShade="E6"/>
            <w:noWrap/>
            <w:vAlign w:val="bottom"/>
            <w:hideMark/>
          </w:tcPr>
          <w:p w14:paraId="338C768C"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Net Block</w:t>
            </w:r>
          </w:p>
        </w:tc>
      </w:tr>
      <w:tr w:rsidR="005B5953" w:rsidRPr="005B12AE" w14:paraId="5F8938A0" w14:textId="77777777" w:rsidTr="00250DAC">
        <w:trPr>
          <w:trHeight w:val="20"/>
          <w:tblHeader/>
        </w:trPr>
        <w:tc>
          <w:tcPr>
            <w:tcW w:w="650" w:type="pct"/>
            <w:vMerge/>
            <w:shd w:val="clear" w:color="auto" w:fill="D0CECE" w:themeFill="background2" w:themeFillShade="E6"/>
            <w:vAlign w:val="center"/>
            <w:hideMark/>
          </w:tcPr>
          <w:p w14:paraId="3333647C" w14:textId="77777777" w:rsidR="005B5953" w:rsidRPr="005B12AE" w:rsidRDefault="005B5953" w:rsidP="00250DAC">
            <w:pPr>
              <w:spacing w:after="0" w:line="240" w:lineRule="auto"/>
              <w:rPr>
                <w:rFonts w:ascii="Times New Roman" w:hAnsi="Times New Roman"/>
                <w:b/>
                <w:bCs/>
                <w:sz w:val="20"/>
                <w:szCs w:val="20"/>
              </w:rPr>
            </w:pPr>
          </w:p>
        </w:tc>
        <w:tc>
          <w:tcPr>
            <w:tcW w:w="364" w:type="pct"/>
            <w:shd w:val="clear" w:color="auto" w:fill="D0CECE" w:themeFill="background2" w:themeFillShade="E6"/>
            <w:noWrap/>
            <w:vAlign w:val="bottom"/>
            <w:hideMark/>
          </w:tcPr>
          <w:p w14:paraId="55A2AFC7"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As at 01-Apr-21</w:t>
            </w:r>
          </w:p>
        </w:tc>
        <w:tc>
          <w:tcPr>
            <w:tcW w:w="545" w:type="pct"/>
            <w:shd w:val="clear" w:color="auto" w:fill="D0CECE" w:themeFill="background2" w:themeFillShade="E6"/>
            <w:noWrap/>
            <w:vAlign w:val="bottom"/>
            <w:hideMark/>
          </w:tcPr>
          <w:p w14:paraId="5D3E511D"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Additions during the year</w:t>
            </w:r>
          </w:p>
        </w:tc>
        <w:tc>
          <w:tcPr>
            <w:tcW w:w="535" w:type="pct"/>
            <w:shd w:val="clear" w:color="auto" w:fill="D0CECE" w:themeFill="background2" w:themeFillShade="E6"/>
            <w:noWrap/>
            <w:vAlign w:val="bottom"/>
            <w:hideMark/>
          </w:tcPr>
          <w:p w14:paraId="3ABAADFC"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Deletions during the year</w:t>
            </w:r>
          </w:p>
        </w:tc>
        <w:tc>
          <w:tcPr>
            <w:tcW w:w="372" w:type="pct"/>
            <w:shd w:val="clear" w:color="auto" w:fill="D0CECE" w:themeFill="background2" w:themeFillShade="E6"/>
            <w:noWrap/>
            <w:vAlign w:val="bottom"/>
            <w:hideMark/>
          </w:tcPr>
          <w:p w14:paraId="26B17E55"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As at 31-Mar-22</w:t>
            </w:r>
          </w:p>
        </w:tc>
        <w:tc>
          <w:tcPr>
            <w:tcW w:w="361" w:type="pct"/>
            <w:shd w:val="clear" w:color="auto" w:fill="D0CECE" w:themeFill="background2" w:themeFillShade="E6"/>
            <w:noWrap/>
            <w:vAlign w:val="bottom"/>
            <w:hideMark/>
          </w:tcPr>
          <w:p w14:paraId="024837EF"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Upto 01-Apr-21</w:t>
            </w:r>
          </w:p>
        </w:tc>
        <w:tc>
          <w:tcPr>
            <w:tcW w:w="403" w:type="pct"/>
            <w:shd w:val="clear" w:color="auto" w:fill="D0CECE" w:themeFill="background2" w:themeFillShade="E6"/>
            <w:noWrap/>
            <w:vAlign w:val="bottom"/>
            <w:hideMark/>
          </w:tcPr>
          <w:p w14:paraId="2796700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During the Period</w:t>
            </w:r>
          </w:p>
        </w:tc>
        <w:tc>
          <w:tcPr>
            <w:tcW w:w="557" w:type="pct"/>
            <w:shd w:val="clear" w:color="auto" w:fill="D0CECE" w:themeFill="background2" w:themeFillShade="E6"/>
            <w:noWrap/>
            <w:vAlign w:val="bottom"/>
            <w:hideMark/>
          </w:tcPr>
          <w:p w14:paraId="5154190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b/>
                <w:bCs/>
                <w:sz w:val="20"/>
                <w:szCs w:val="20"/>
              </w:rPr>
              <w:t>Deletion during the year</w:t>
            </w:r>
          </w:p>
        </w:tc>
        <w:tc>
          <w:tcPr>
            <w:tcW w:w="469" w:type="pct"/>
            <w:shd w:val="clear" w:color="auto" w:fill="D0CECE" w:themeFill="background2" w:themeFillShade="E6"/>
            <w:noWrap/>
            <w:vAlign w:val="bottom"/>
            <w:hideMark/>
          </w:tcPr>
          <w:p w14:paraId="22510EA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Total upto 31-Mar-22</w:t>
            </w:r>
          </w:p>
        </w:tc>
        <w:tc>
          <w:tcPr>
            <w:tcW w:w="372" w:type="pct"/>
            <w:shd w:val="clear" w:color="auto" w:fill="D0CECE" w:themeFill="background2" w:themeFillShade="E6"/>
            <w:noWrap/>
            <w:vAlign w:val="bottom"/>
            <w:hideMark/>
          </w:tcPr>
          <w:p w14:paraId="1AAB6F0A"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As at 31-Mar-22</w:t>
            </w:r>
          </w:p>
        </w:tc>
        <w:tc>
          <w:tcPr>
            <w:tcW w:w="372" w:type="pct"/>
            <w:shd w:val="clear" w:color="auto" w:fill="D0CECE" w:themeFill="background2" w:themeFillShade="E6"/>
            <w:noWrap/>
            <w:vAlign w:val="bottom"/>
            <w:hideMark/>
          </w:tcPr>
          <w:p w14:paraId="3DCF94B8"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As at 31-Mar-21</w:t>
            </w:r>
          </w:p>
        </w:tc>
      </w:tr>
      <w:tr w:rsidR="005B5953" w:rsidRPr="005B12AE" w14:paraId="26C8B8CF" w14:textId="77777777" w:rsidTr="00250DAC">
        <w:trPr>
          <w:trHeight w:val="20"/>
        </w:trPr>
        <w:tc>
          <w:tcPr>
            <w:tcW w:w="650" w:type="pct"/>
            <w:shd w:val="clear" w:color="auto" w:fill="auto"/>
            <w:noWrap/>
            <w:vAlign w:val="bottom"/>
            <w:hideMark/>
          </w:tcPr>
          <w:p w14:paraId="2E4E2D8A"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Property, Plant and Equipment</w:t>
            </w:r>
          </w:p>
        </w:tc>
        <w:tc>
          <w:tcPr>
            <w:tcW w:w="364" w:type="pct"/>
            <w:shd w:val="clear" w:color="auto" w:fill="auto"/>
            <w:noWrap/>
            <w:vAlign w:val="bottom"/>
            <w:hideMark/>
          </w:tcPr>
          <w:p w14:paraId="0835D1B1" w14:textId="77777777" w:rsidR="005B5953" w:rsidRPr="005B12AE" w:rsidRDefault="005B5953" w:rsidP="00250DAC">
            <w:pPr>
              <w:spacing w:after="0" w:line="240" w:lineRule="auto"/>
              <w:jc w:val="center"/>
              <w:rPr>
                <w:rFonts w:ascii="Times New Roman" w:hAnsi="Times New Roman"/>
                <w:sz w:val="20"/>
                <w:szCs w:val="20"/>
              </w:rPr>
            </w:pPr>
          </w:p>
        </w:tc>
        <w:tc>
          <w:tcPr>
            <w:tcW w:w="545" w:type="pct"/>
            <w:shd w:val="clear" w:color="auto" w:fill="auto"/>
            <w:noWrap/>
            <w:vAlign w:val="bottom"/>
            <w:hideMark/>
          </w:tcPr>
          <w:p w14:paraId="13BA1C84" w14:textId="77777777" w:rsidR="005B5953" w:rsidRPr="005B12AE" w:rsidRDefault="005B5953" w:rsidP="00250DAC">
            <w:pPr>
              <w:spacing w:after="0" w:line="240" w:lineRule="auto"/>
              <w:jc w:val="center"/>
              <w:rPr>
                <w:rFonts w:ascii="Times New Roman" w:hAnsi="Times New Roman"/>
                <w:sz w:val="20"/>
                <w:szCs w:val="20"/>
              </w:rPr>
            </w:pPr>
          </w:p>
        </w:tc>
        <w:tc>
          <w:tcPr>
            <w:tcW w:w="535" w:type="pct"/>
            <w:shd w:val="clear" w:color="auto" w:fill="auto"/>
            <w:noWrap/>
            <w:vAlign w:val="bottom"/>
            <w:hideMark/>
          </w:tcPr>
          <w:p w14:paraId="65E4A3AE" w14:textId="77777777" w:rsidR="005B5953" w:rsidRPr="005B12AE" w:rsidRDefault="005B5953" w:rsidP="00250DAC">
            <w:pPr>
              <w:spacing w:after="0" w:line="240" w:lineRule="auto"/>
              <w:jc w:val="center"/>
              <w:rPr>
                <w:rFonts w:ascii="Times New Roman" w:hAnsi="Times New Roman"/>
                <w:sz w:val="20"/>
                <w:szCs w:val="20"/>
              </w:rPr>
            </w:pPr>
          </w:p>
        </w:tc>
        <w:tc>
          <w:tcPr>
            <w:tcW w:w="372" w:type="pct"/>
            <w:shd w:val="clear" w:color="auto" w:fill="auto"/>
            <w:noWrap/>
            <w:vAlign w:val="bottom"/>
            <w:hideMark/>
          </w:tcPr>
          <w:p w14:paraId="0F683F1A" w14:textId="77777777" w:rsidR="005B5953" w:rsidRPr="005B12AE" w:rsidRDefault="005B5953" w:rsidP="00250DAC">
            <w:pPr>
              <w:spacing w:after="0" w:line="240" w:lineRule="auto"/>
              <w:jc w:val="center"/>
              <w:rPr>
                <w:rFonts w:ascii="Times New Roman" w:hAnsi="Times New Roman"/>
                <w:sz w:val="20"/>
                <w:szCs w:val="20"/>
              </w:rPr>
            </w:pPr>
          </w:p>
        </w:tc>
        <w:tc>
          <w:tcPr>
            <w:tcW w:w="361" w:type="pct"/>
            <w:shd w:val="clear" w:color="auto" w:fill="auto"/>
            <w:noWrap/>
            <w:vAlign w:val="bottom"/>
            <w:hideMark/>
          </w:tcPr>
          <w:p w14:paraId="2D4989B6" w14:textId="77777777" w:rsidR="005B5953" w:rsidRPr="005B12AE" w:rsidRDefault="005B5953" w:rsidP="00250DAC">
            <w:pPr>
              <w:spacing w:after="0" w:line="240" w:lineRule="auto"/>
              <w:jc w:val="center"/>
              <w:rPr>
                <w:rFonts w:ascii="Times New Roman" w:hAnsi="Times New Roman"/>
                <w:sz w:val="20"/>
                <w:szCs w:val="20"/>
              </w:rPr>
            </w:pPr>
          </w:p>
        </w:tc>
        <w:tc>
          <w:tcPr>
            <w:tcW w:w="403" w:type="pct"/>
            <w:shd w:val="clear" w:color="auto" w:fill="auto"/>
            <w:noWrap/>
            <w:vAlign w:val="bottom"/>
            <w:hideMark/>
          </w:tcPr>
          <w:p w14:paraId="7934C69B" w14:textId="77777777" w:rsidR="005B5953" w:rsidRPr="005B12AE" w:rsidRDefault="005B5953" w:rsidP="00250DAC">
            <w:pPr>
              <w:spacing w:after="0" w:line="240" w:lineRule="auto"/>
              <w:jc w:val="center"/>
              <w:rPr>
                <w:rFonts w:ascii="Times New Roman" w:hAnsi="Times New Roman"/>
                <w:sz w:val="20"/>
                <w:szCs w:val="20"/>
              </w:rPr>
            </w:pPr>
          </w:p>
        </w:tc>
        <w:tc>
          <w:tcPr>
            <w:tcW w:w="557" w:type="pct"/>
            <w:shd w:val="clear" w:color="auto" w:fill="auto"/>
            <w:noWrap/>
            <w:vAlign w:val="bottom"/>
            <w:hideMark/>
          </w:tcPr>
          <w:p w14:paraId="78B4310D" w14:textId="77777777" w:rsidR="005B5953" w:rsidRPr="005B12AE" w:rsidRDefault="005B5953" w:rsidP="00250DAC">
            <w:pPr>
              <w:spacing w:after="0" w:line="240" w:lineRule="auto"/>
              <w:jc w:val="center"/>
              <w:rPr>
                <w:rFonts w:ascii="Times New Roman" w:hAnsi="Times New Roman"/>
                <w:sz w:val="20"/>
                <w:szCs w:val="20"/>
              </w:rPr>
            </w:pPr>
          </w:p>
        </w:tc>
        <w:tc>
          <w:tcPr>
            <w:tcW w:w="469" w:type="pct"/>
            <w:shd w:val="clear" w:color="auto" w:fill="auto"/>
            <w:noWrap/>
            <w:vAlign w:val="bottom"/>
            <w:hideMark/>
          </w:tcPr>
          <w:p w14:paraId="33CAAC98" w14:textId="77777777" w:rsidR="005B5953" w:rsidRPr="005B12AE" w:rsidRDefault="005B5953" w:rsidP="00250DAC">
            <w:pPr>
              <w:spacing w:after="0" w:line="240" w:lineRule="auto"/>
              <w:jc w:val="center"/>
              <w:rPr>
                <w:rFonts w:ascii="Times New Roman" w:hAnsi="Times New Roman"/>
                <w:sz w:val="20"/>
                <w:szCs w:val="20"/>
              </w:rPr>
            </w:pPr>
          </w:p>
        </w:tc>
        <w:tc>
          <w:tcPr>
            <w:tcW w:w="372" w:type="pct"/>
            <w:shd w:val="clear" w:color="auto" w:fill="auto"/>
            <w:noWrap/>
            <w:vAlign w:val="bottom"/>
            <w:hideMark/>
          </w:tcPr>
          <w:p w14:paraId="014C1A37" w14:textId="77777777" w:rsidR="005B5953" w:rsidRPr="005B12AE" w:rsidRDefault="005B5953" w:rsidP="00250DAC">
            <w:pPr>
              <w:spacing w:after="0" w:line="240" w:lineRule="auto"/>
              <w:jc w:val="center"/>
              <w:rPr>
                <w:rFonts w:ascii="Times New Roman" w:hAnsi="Times New Roman"/>
                <w:sz w:val="20"/>
                <w:szCs w:val="20"/>
              </w:rPr>
            </w:pPr>
          </w:p>
        </w:tc>
        <w:tc>
          <w:tcPr>
            <w:tcW w:w="372" w:type="pct"/>
            <w:shd w:val="clear" w:color="auto" w:fill="auto"/>
            <w:noWrap/>
            <w:vAlign w:val="bottom"/>
            <w:hideMark/>
          </w:tcPr>
          <w:p w14:paraId="5F965F09"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35F701E8" w14:textId="77777777" w:rsidTr="00250DAC">
        <w:trPr>
          <w:trHeight w:val="20"/>
        </w:trPr>
        <w:tc>
          <w:tcPr>
            <w:tcW w:w="650" w:type="pct"/>
            <w:shd w:val="clear" w:color="auto" w:fill="auto"/>
            <w:noWrap/>
            <w:vAlign w:val="bottom"/>
            <w:hideMark/>
          </w:tcPr>
          <w:p w14:paraId="7D66A8A6"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Land</w:t>
            </w:r>
          </w:p>
        </w:tc>
        <w:tc>
          <w:tcPr>
            <w:tcW w:w="364" w:type="pct"/>
            <w:shd w:val="clear" w:color="auto" w:fill="auto"/>
            <w:noWrap/>
            <w:vAlign w:val="bottom"/>
            <w:hideMark/>
          </w:tcPr>
          <w:p w14:paraId="6660E52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1.91</w:t>
            </w:r>
          </w:p>
        </w:tc>
        <w:tc>
          <w:tcPr>
            <w:tcW w:w="545" w:type="pct"/>
            <w:shd w:val="clear" w:color="auto" w:fill="auto"/>
            <w:noWrap/>
            <w:vAlign w:val="bottom"/>
            <w:hideMark/>
          </w:tcPr>
          <w:p w14:paraId="2E433AD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535" w:type="pct"/>
            <w:shd w:val="clear" w:color="auto" w:fill="auto"/>
            <w:noWrap/>
            <w:vAlign w:val="bottom"/>
            <w:hideMark/>
          </w:tcPr>
          <w:p w14:paraId="6436379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372" w:type="pct"/>
            <w:shd w:val="clear" w:color="auto" w:fill="auto"/>
            <w:noWrap/>
            <w:vAlign w:val="bottom"/>
            <w:hideMark/>
          </w:tcPr>
          <w:p w14:paraId="0F0010C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1.91</w:t>
            </w:r>
          </w:p>
        </w:tc>
        <w:tc>
          <w:tcPr>
            <w:tcW w:w="361" w:type="pct"/>
            <w:shd w:val="clear" w:color="auto" w:fill="auto"/>
            <w:noWrap/>
            <w:vAlign w:val="bottom"/>
            <w:hideMark/>
          </w:tcPr>
          <w:p w14:paraId="109133A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403" w:type="pct"/>
            <w:shd w:val="clear" w:color="auto" w:fill="auto"/>
            <w:noWrap/>
            <w:vAlign w:val="bottom"/>
            <w:hideMark/>
          </w:tcPr>
          <w:p w14:paraId="2D76994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557" w:type="pct"/>
            <w:shd w:val="clear" w:color="auto" w:fill="auto"/>
            <w:noWrap/>
            <w:vAlign w:val="bottom"/>
            <w:hideMark/>
          </w:tcPr>
          <w:p w14:paraId="39E41BC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469" w:type="pct"/>
            <w:shd w:val="clear" w:color="auto" w:fill="auto"/>
            <w:noWrap/>
            <w:vAlign w:val="bottom"/>
            <w:hideMark/>
          </w:tcPr>
          <w:p w14:paraId="7F0B78D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372" w:type="pct"/>
            <w:shd w:val="clear" w:color="auto" w:fill="auto"/>
            <w:noWrap/>
            <w:vAlign w:val="bottom"/>
            <w:hideMark/>
          </w:tcPr>
          <w:p w14:paraId="7627A31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1.91</w:t>
            </w:r>
          </w:p>
        </w:tc>
        <w:tc>
          <w:tcPr>
            <w:tcW w:w="372" w:type="pct"/>
            <w:shd w:val="clear" w:color="auto" w:fill="auto"/>
            <w:noWrap/>
            <w:vAlign w:val="bottom"/>
            <w:hideMark/>
          </w:tcPr>
          <w:p w14:paraId="69A9E65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1.91</w:t>
            </w:r>
          </w:p>
        </w:tc>
      </w:tr>
      <w:tr w:rsidR="005B5953" w:rsidRPr="005B12AE" w14:paraId="3A1AA53F" w14:textId="77777777" w:rsidTr="00250DAC">
        <w:trPr>
          <w:trHeight w:val="20"/>
        </w:trPr>
        <w:tc>
          <w:tcPr>
            <w:tcW w:w="650" w:type="pct"/>
            <w:shd w:val="clear" w:color="auto" w:fill="auto"/>
            <w:noWrap/>
            <w:vAlign w:val="bottom"/>
            <w:hideMark/>
          </w:tcPr>
          <w:p w14:paraId="6010FABE"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Factory Building</w:t>
            </w:r>
          </w:p>
        </w:tc>
        <w:tc>
          <w:tcPr>
            <w:tcW w:w="364" w:type="pct"/>
            <w:shd w:val="clear" w:color="auto" w:fill="auto"/>
            <w:noWrap/>
            <w:vAlign w:val="bottom"/>
            <w:hideMark/>
          </w:tcPr>
          <w:p w14:paraId="0670469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188.71</w:t>
            </w:r>
          </w:p>
        </w:tc>
        <w:tc>
          <w:tcPr>
            <w:tcW w:w="545" w:type="pct"/>
            <w:shd w:val="clear" w:color="auto" w:fill="auto"/>
            <w:noWrap/>
            <w:vAlign w:val="bottom"/>
            <w:hideMark/>
          </w:tcPr>
          <w:p w14:paraId="1C5089C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535" w:type="pct"/>
            <w:shd w:val="clear" w:color="auto" w:fill="auto"/>
            <w:noWrap/>
            <w:vAlign w:val="bottom"/>
            <w:hideMark/>
          </w:tcPr>
          <w:p w14:paraId="58C1CA3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372" w:type="pct"/>
            <w:shd w:val="clear" w:color="auto" w:fill="auto"/>
            <w:noWrap/>
            <w:vAlign w:val="bottom"/>
            <w:hideMark/>
          </w:tcPr>
          <w:p w14:paraId="1D76972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188.71</w:t>
            </w:r>
          </w:p>
        </w:tc>
        <w:tc>
          <w:tcPr>
            <w:tcW w:w="361" w:type="pct"/>
            <w:shd w:val="clear" w:color="auto" w:fill="auto"/>
            <w:noWrap/>
            <w:vAlign w:val="bottom"/>
            <w:hideMark/>
          </w:tcPr>
          <w:p w14:paraId="6991E62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132.33</w:t>
            </w:r>
          </w:p>
        </w:tc>
        <w:tc>
          <w:tcPr>
            <w:tcW w:w="403" w:type="pct"/>
            <w:shd w:val="clear" w:color="auto" w:fill="auto"/>
            <w:noWrap/>
            <w:vAlign w:val="bottom"/>
            <w:hideMark/>
          </w:tcPr>
          <w:p w14:paraId="1D37FD8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5.55</w:t>
            </w:r>
          </w:p>
        </w:tc>
        <w:tc>
          <w:tcPr>
            <w:tcW w:w="557" w:type="pct"/>
            <w:shd w:val="clear" w:color="auto" w:fill="auto"/>
            <w:noWrap/>
            <w:vAlign w:val="bottom"/>
            <w:hideMark/>
          </w:tcPr>
          <w:p w14:paraId="0804F75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469" w:type="pct"/>
            <w:shd w:val="clear" w:color="auto" w:fill="auto"/>
            <w:noWrap/>
            <w:vAlign w:val="bottom"/>
            <w:hideMark/>
          </w:tcPr>
          <w:p w14:paraId="41915DE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137.88</w:t>
            </w:r>
          </w:p>
        </w:tc>
        <w:tc>
          <w:tcPr>
            <w:tcW w:w="372" w:type="pct"/>
            <w:shd w:val="clear" w:color="auto" w:fill="auto"/>
            <w:noWrap/>
            <w:vAlign w:val="bottom"/>
            <w:hideMark/>
          </w:tcPr>
          <w:p w14:paraId="00CD5C7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50.83</w:t>
            </w:r>
          </w:p>
        </w:tc>
        <w:tc>
          <w:tcPr>
            <w:tcW w:w="372" w:type="pct"/>
            <w:shd w:val="clear" w:color="auto" w:fill="auto"/>
            <w:noWrap/>
            <w:vAlign w:val="bottom"/>
            <w:hideMark/>
          </w:tcPr>
          <w:p w14:paraId="615FFA8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56.38</w:t>
            </w:r>
          </w:p>
        </w:tc>
      </w:tr>
      <w:tr w:rsidR="005B5953" w:rsidRPr="005B12AE" w14:paraId="3E516DC6" w14:textId="77777777" w:rsidTr="00250DAC">
        <w:trPr>
          <w:trHeight w:val="20"/>
        </w:trPr>
        <w:tc>
          <w:tcPr>
            <w:tcW w:w="650" w:type="pct"/>
            <w:shd w:val="clear" w:color="auto" w:fill="auto"/>
            <w:noWrap/>
            <w:vAlign w:val="bottom"/>
            <w:hideMark/>
          </w:tcPr>
          <w:p w14:paraId="2B423A87"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Computer</w:t>
            </w:r>
          </w:p>
        </w:tc>
        <w:tc>
          <w:tcPr>
            <w:tcW w:w="364" w:type="pct"/>
            <w:shd w:val="clear" w:color="auto" w:fill="auto"/>
            <w:noWrap/>
            <w:vAlign w:val="bottom"/>
            <w:hideMark/>
          </w:tcPr>
          <w:p w14:paraId="26CC225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7.31</w:t>
            </w:r>
          </w:p>
        </w:tc>
        <w:tc>
          <w:tcPr>
            <w:tcW w:w="545" w:type="pct"/>
            <w:shd w:val="clear" w:color="auto" w:fill="auto"/>
            <w:noWrap/>
            <w:vAlign w:val="bottom"/>
            <w:hideMark/>
          </w:tcPr>
          <w:p w14:paraId="004D25A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1.35</w:t>
            </w:r>
          </w:p>
        </w:tc>
        <w:tc>
          <w:tcPr>
            <w:tcW w:w="535" w:type="pct"/>
            <w:shd w:val="clear" w:color="auto" w:fill="auto"/>
            <w:noWrap/>
            <w:vAlign w:val="bottom"/>
            <w:hideMark/>
          </w:tcPr>
          <w:p w14:paraId="2AAAB2F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372" w:type="pct"/>
            <w:shd w:val="clear" w:color="auto" w:fill="auto"/>
            <w:noWrap/>
            <w:vAlign w:val="bottom"/>
            <w:hideMark/>
          </w:tcPr>
          <w:p w14:paraId="71A171A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8.65</w:t>
            </w:r>
          </w:p>
        </w:tc>
        <w:tc>
          <w:tcPr>
            <w:tcW w:w="361" w:type="pct"/>
            <w:shd w:val="clear" w:color="auto" w:fill="auto"/>
            <w:noWrap/>
            <w:vAlign w:val="bottom"/>
            <w:hideMark/>
          </w:tcPr>
          <w:p w14:paraId="5991B81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5.78</w:t>
            </w:r>
          </w:p>
        </w:tc>
        <w:tc>
          <w:tcPr>
            <w:tcW w:w="403" w:type="pct"/>
            <w:shd w:val="clear" w:color="auto" w:fill="auto"/>
            <w:noWrap/>
            <w:vAlign w:val="bottom"/>
            <w:hideMark/>
          </w:tcPr>
          <w:p w14:paraId="464FE24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2.51</w:t>
            </w:r>
          </w:p>
        </w:tc>
        <w:tc>
          <w:tcPr>
            <w:tcW w:w="557" w:type="pct"/>
            <w:shd w:val="clear" w:color="auto" w:fill="auto"/>
            <w:noWrap/>
            <w:vAlign w:val="bottom"/>
            <w:hideMark/>
          </w:tcPr>
          <w:p w14:paraId="01A7D5A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469" w:type="pct"/>
            <w:shd w:val="clear" w:color="auto" w:fill="auto"/>
            <w:noWrap/>
            <w:vAlign w:val="bottom"/>
            <w:hideMark/>
          </w:tcPr>
          <w:p w14:paraId="1EBBE25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8.29</w:t>
            </w:r>
          </w:p>
        </w:tc>
        <w:tc>
          <w:tcPr>
            <w:tcW w:w="372" w:type="pct"/>
            <w:shd w:val="clear" w:color="auto" w:fill="auto"/>
            <w:noWrap/>
            <w:vAlign w:val="bottom"/>
            <w:hideMark/>
          </w:tcPr>
          <w:p w14:paraId="28E74E2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0.36</w:t>
            </w:r>
          </w:p>
        </w:tc>
        <w:tc>
          <w:tcPr>
            <w:tcW w:w="372" w:type="pct"/>
            <w:shd w:val="clear" w:color="auto" w:fill="auto"/>
            <w:noWrap/>
            <w:vAlign w:val="bottom"/>
            <w:hideMark/>
          </w:tcPr>
          <w:p w14:paraId="4CADB04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1.53</w:t>
            </w:r>
          </w:p>
        </w:tc>
      </w:tr>
      <w:tr w:rsidR="005B5953" w:rsidRPr="005B12AE" w14:paraId="72B448F9" w14:textId="77777777" w:rsidTr="00250DAC">
        <w:trPr>
          <w:trHeight w:val="20"/>
        </w:trPr>
        <w:tc>
          <w:tcPr>
            <w:tcW w:w="650" w:type="pct"/>
            <w:shd w:val="clear" w:color="auto" w:fill="auto"/>
            <w:noWrap/>
            <w:vAlign w:val="bottom"/>
            <w:hideMark/>
          </w:tcPr>
          <w:p w14:paraId="54ED2762"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Plant &amp; Machinery</w:t>
            </w:r>
          </w:p>
        </w:tc>
        <w:tc>
          <w:tcPr>
            <w:tcW w:w="364" w:type="pct"/>
            <w:shd w:val="clear" w:color="auto" w:fill="auto"/>
            <w:noWrap/>
            <w:vAlign w:val="bottom"/>
            <w:hideMark/>
          </w:tcPr>
          <w:p w14:paraId="290CCE5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440.36</w:t>
            </w:r>
          </w:p>
        </w:tc>
        <w:tc>
          <w:tcPr>
            <w:tcW w:w="545" w:type="pct"/>
            <w:shd w:val="clear" w:color="auto" w:fill="auto"/>
            <w:noWrap/>
            <w:vAlign w:val="bottom"/>
            <w:hideMark/>
          </w:tcPr>
          <w:p w14:paraId="6B55B7F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535" w:type="pct"/>
            <w:shd w:val="clear" w:color="auto" w:fill="auto"/>
            <w:noWrap/>
            <w:vAlign w:val="bottom"/>
            <w:hideMark/>
          </w:tcPr>
          <w:p w14:paraId="527FC4C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372" w:type="pct"/>
            <w:shd w:val="clear" w:color="auto" w:fill="auto"/>
            <w:noWrap/>
            <w:vAlign w:val="bottom"/>
            <w:hideMark/>
          </w:tcPr>
          <w:p w14:paraId="0AAC700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440.36</w:t>
            </w:r>
          </w:p>
        </w:tc>
        <w:tc>
          <w:tcPr>
            <w:tcW w:w="361" w:type="pct"/>
            <w:shd w:val="clear" w:color="auto" w:fill="auto"/>
            <w:noWrap/>
            <w:vAlign w:val="bottom"/>
            <w:hideMark/>
          </w:tcPr>
          <w:p w14:paraId="14530B7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373.73</w:t>
            </w:r>
          </w:p>
        </w:tc>
        <w:tc>
          <w:tcPr>
            <w:tcW w:w="403" w:type="pct"/>
            <w:shd w:val="clear" w:color="auto" w:fill="auto"/>
            <w:noWrap/>
            <w:vAlign w:val="bottom"/>
            <w:hideMark/>
          </w:tcPr>
          <w:p w14:paraId="50ECD52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22.29</w:t>
            </w:r>
          </w:p>
        </w:tc>
        <w:tc>
          <w:tcPr>
            <w:tcW w:w="557" w:type="pct"/>
            <w:shd w:val="clear" w:color="auto" w:fill="auto"/>
            <w:noWrap/>
            <w:vAlign w:val="bottom"/>
            <w:hideMark/>
          </w:tcPr>
          <w:p w14:paraId="28B97CE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469" w:type="pct"/>
            <w:shd w:val="clear" w:color="auto" w:fill="auto"/>
            <w:noWrap/>
            <w:vAlign w:val="bottom"/>
            <w:hideMark/>
          </w:tcPr>
          <w:p w14:paraId="6EFA687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396.02</w:t>
            </w:r>
          </w:p>
        </w:tc>
        <w:tc>
          <w:tcPr>
            <w:tcW w:w="372" w:type="pct"/>
            <w:shd w:val="clear" w:color="auto" w:fill="auto"/>
            <w:noWrap/>
            <w:vAlign w:val="bottom"/>
            <w:hideMark/>
          </w:tcPr>
          <w:p w14:paraId="1785707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44.35</w:t>
            </w:r>
          </w:p>
        </w:tc>
        <w:tc>
          <w:tcPr>
            <w:tcW w:w="372" w:type="pct"/>
            <w:shd w:val="clear" w:color="auto" w:fill="auto"/>
            <w:noWrap/>
            <w:vAlign w:val="bottom"/>
            <w:hideMark/>
          </w:tcPr>
          <w:p w14:paraId="7537A4A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66.63</w:t>
            </w:r>
          </w:p>
        </w:tc>
      </w:tr>
      <w:tr w:rsidR="005B5953" w:rsidRPr="005B12AE" w14:paraId="05A7E339" w14:textId="77777777" w:rsidTr="00250DAC">
        <w:trPr>
          <w:trHeight w:val="20"/>
        </w:trPr>
        <w:tc>
          <w:tcPr>
            <w:tcW w:w="650" w:type="pct"/>
            <w:shd w:val="clear" w:color="auto" w:fill="auto"/>
            <w:noWrap/>
            <w:vAlign w:val="bottom"/>
            <w:hideMark/>
          </w:tcPr>
          <w:p w14:paraId="09605C31"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Plant &amp; Machinery - New</w:t>
            </w:r>
          </w:p>
        </w:tc>
        <w:tc>
          <w:tcPr>
            <w:tcW w:w="364" w:type="pct"/>
            <w:shd w:val="clear" w:color="auto" w:fill="auto"/>
            <w:noWrap/>
            <w:vAlign w:val="bottom"/>
            <w:hideMark/>
          </w:tcPr>
          <w:p w14:paraId="50BD6E4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902.67</w:t>
            </w:r>
          </w:p>
        </w:tc>
        <w:tc>
          <w:tcPr>
            <w:tcW w:w="545" w:type="pct"/>
            <w:shd w:val="clear" w:color="auto" w:fill="auto"/>
            <w:noWrap/>
            <w:vAlign w:val="bottom"/>
            <w:hideMark/>
          </w:tcPr>
          <w:p w14:paraId="0E3CBFF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112.27</w:t>
            </w:r>
          </w:p>
        </w:tc>
        <w:tc>
          <w:tcPr>
            <w:tcW w:w="535" w:type="pct"/>
            <w:shd w:val="clear" w:color="auto" w:fill="auto"/>
            <w:noWrap/>
            <w:vAlign w:val="bottom"/>
            <w:hideMark/>
          </w:tcPr>
          <w:p w14:paraId="4B9DFBB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372" w:type="pct"/>
            <w:shd w:val="clear" w:color="auto" w:fill="auto"/>
            <w:noWrap/>
            <w:vAlign w:val="bottom"/>
            <w:hideMark/>
          </w:tcPr>
          <w:p w14:paraId="06CF6FA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1,014.93</w:t>
            </w:r>
          </w:p>
        </w:tc>
        <w:tc>
          <w:tcPr>
            <w:tcW w:w="361" w:type="pct"/>
            <w:shd w:val="clear" w:color="auto" w:fill="auto"/>
            <w:noWrap/>
            <w:vAlign w:val="bottom"/>
            <w:hideMark/>
          </w:tcPr>
          <w:p w14:paraId="5EFB4C6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409.29</w:t>
            </w:r>
          </w:p>
        </w:tc>
        <w:tc>
          <w:tcPr>
            <w:tcW w:w="403" w:type="pct"/>
            <w:shd w:val="clear" w:color="auto" w:fill="auto"/>
            <w:noWrap/>
            <w:vAlign w:val="bottom"/>
            <w:hideMark/>
          </w:tcPr>
          <w:p w14:paraId="69AE28F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102.00</w:t>
            </w:r>
          </w:p>
        </w:tc>
        <w:tc>
          <w:tcPr>
            <w:tcW w:w="557" w:type="pct"/>
            <w:shd w:val="clear" w:color="auto" w:fill="auto"/>
            <w:noWrap/>
            <w:vAlign w:val="bottom"/>
            <w:hideMark/>
          </w:tcPr>
          <w:p w14:paraId="59664BA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469" w:type="pct"/>
            <w:shd w:val="clear" w:color="auto" w:fill="auto"/>
            <w:noWrap/>
            <w:vAlign w:val="bottom"/>
            <w:hideMark/>
          </w:tcPr>
          <w:p w14:paraId="4470D07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511.30</w:t>
            </w:r>
          </w:p>
        </w:tc>
        <w:tc>
          <w:tcPr>
            <w:tcW w:w="372" w:type="pct"/>
            <w:shd w:val="clear" w:color="auto" w:fill="auto"/>
            <w:noWrap/>
            <w:vAlign w:val="bottom"/>
            <w:hideMark/>
          </w:tcPr>
          <w:p w14:paraId="36F9F85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503.64</w:t>
            </w:r>
          </w:p>
        </w:tc>
        <w:tc>
          <w:tcPr>
            <w:tcW w:w="372" w:type="pct"/>
            <w:shd w:val="clear" w:color="auto" w:fill="auto"/>
            <w:noWrap/>
            <w:vAlign w:val="bottom"/>
            <w:hideMark/>
          </w:tcPr>
          <w:p w14:paraId="2EB8E14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493.37</w:t>
            </w:r>
          </w:p>
        </w:tc>
      </w:tr>
      <w:tr w:rsidR="005B5953" w:rsidRPr="005B12AE" w14:paraId="6128AAC6" w14:textId="77777777" w:rsidTr="00250DAC">
        <w:trPr>
          <w:trHeight w:val="20"/>
        </w:trPr>
        <w:tc>
          <w:tcPr>
            <w:tcW w:w="650" w:type="pct"/>
            <w:shd w:val="clear" w:color="auto" w:fill="auto"/>
            <w:noWrap/>
            <w:vAlign w:val="bottom"/>
            <w:hideMark/>
          </w:tcPr>
          <w:p w14:paraId="14C4C78B"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Furniture &amp; Fixture</w:t>
            </w:r>
          </w:p>
        </w:tc>
        <w:tc>
          <w:tcPr>
            <w:tcW w:w="364" w:type="pct"/>
            <w:shd w:val="clear" w:color="auto" w:fill="auto"/>
            <w:noWrap/>
            <w:vAlign w:val="bottom"/>
            <w:hideMark/>
          </w:tcPr>
          <w:p w14:paraId="5C27DE0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51.21</w:t>
            </w:r>
          </w:p>
        </w:tc>
        <w:tc>
          <w:tcPr>
            <w:tcW w:w="545" w:type="pct"/>
            <w:shd w:val="clear" w:color="auto" w:fill="auto"/>
            <w:noWrap/>
            <w:vAlign w:val="bottom"/>
            <w:hideMark/>
          </w:tcPr>
          <w:p w14:paraId="007ED8F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0.80</w:t>
            </w:r>
          </w:p>
        </w:tc>
        <w:tc>
          <w:tcPr>
            <w:tcW w:w="535" w:type="pct"/>
            <w:shd w:val="clear" w:color="auto" w:fill="auto"/>
            <w:noWrap/>
            <w:vAlign w:val="bottom"/>
            <w:hideMark/>
          </w:tcPr>
          <w:p w14:paraId="1D573F3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372" w:type="pct"/>
            <w:shd w:val="clear" w:color="auto" w:fill="auto"/>
            <w:noWrap/>
            <w:vAlign w:val="bottom"/>
            <w:hideMark/>
          </w:tcPr>
          <w:p w14:paraId="3720407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52.01</w:t>
            </w:r>
          </w:p>
        </w:tc>
        <w:tc>
          <w:tcPr>
            <w:tcW w:w="361" w:type="pct"/>
            <w:shd w:val="clear" w:color="auto" w:fill="auto"/>
            <w:noWrap/>
            <w:vAlign w:val="bottom"/>
            <w:hideMark/>
          </w:tcPr>
          <w:p w14:paraId="6B56491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39.52</w:t>
            </w:r>
          </w:p>
        </w:tc>
        <w:tc>
          <w:tcPr>
            <w:tcW w:w="403" w:type="pct"/>
            <w:shd w:val="clear" w:color="auto" w:fill="auto"/>
            <w:noWrap/>
            <w:vAlign w:val="bottom"/>
            <w:hideMark/>
          </w:tcPr>
          <w:p w14:paraId="683F0BD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2.84</w:t>
            </w:r>
          </w:p>
        </w:tc>
        <w:tc>
          <w:tcPr>
            <w:tcW w:w="557" w:type="pct"/>
            <w:shd w:val="clear" w:color="auto" w:fill="auto"/>
            <w:noWrap/>
            <w:vAlign w:val="bottom"/>
            <w:hideMark/>
          </w:tcPr>
          <w:p w14:paraId="55B6F7B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469" w:type="pct"/>
            <w:shd w:val="clear" w:color="auto" w:fill="auto"/>
            <w:noWrap/>
            <w:vAlign w:val="bottom"/>
            <w:hideMark/>
          </w:tcPr>
          <w:p w14:paraId="674A574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42.36</w:t>
            </w:r>
          </w:p>
        </w:tc>
        <w:tc>
          <w:tcPr>
            <w:tcW w:w="372" w:type="pct"/>
            <w:shd w:val="clear" w:color="auto" w:fill="auto"/>
            <w:noWrap/>
            <w:vAlign w:val="bottom"/>
            <w:hideMark/>
          </w:tcPr>
          <w:p w14:paraId="2A02842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9.65</w:t>
            </w:r>
          </w:p>
        </w:tc>
        <w:tc>
          <w:tcPr>
            <w:tcW w:w="372" w:type="pct"/>
            <w:shd w:val="clear" w:color="auto" w:fill="auto"/>
            <w:noWrap/>
            <w:vAlign w:val="bottom"/>
            <w:hideMark/>
          </w:tcPr>
          <w:p w14:paraId="3D9390D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11.69</w:t>
            </w:r>
          </w:p>
        </w:tc>
      </w:tr>
      <w:tr w:rsidR="005B5953" w:rsidRPr="005B12AE" w14:paraId="64A3395B" w14:textId="77777777" w:rsidTr="00250DAC">
        <w:trPr>
          <w:trHeight w:val="20"/>
        </w:trPr>
        <w:tc>
          <w:tcPr>
            <w:tcW w:w="650" w:type="pct"/>
            <w:shd w:val="clear" w:color="auto" w:fill="auto"/>
            <w:noWrap/>
            <w:vAlign w:val="bottom"/>
            <w:hideMark/>
          </w:tcPr>
          <w:p w14:paraId="702C54E1"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lastRenderedPageBreak/>
              <w:t>Office Equipment’s</w:t>
            </w:r>
          </w:p>
        </w:tc>
        <w:tc>
          <w:tcPr>
            <w:tcW w:w="364" w:type="pct"/>
            <w:shd w:val="clear" w:color="auto" w:fill="auto"/>
            <w:noWrap/>
            <w:vAlign w:val="bottom"/>
            <w:hideMark/>
          </w:tcPr>
          <w:p w14:paraId="6FC12B9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27.54</w:t>
            </w:r>
          </w:p>
        </w:tc>
        <w:tc>
          <w:tcPr>
            <w:tcW w:w="545" w:type="pct"/>
            <w:shd w:val="clear" w:color="auto" w:fill="auto"/>
            <w:noWrap/>
            <w:vAlign w:val="bottom"/>
            <w:hideMark/>
          </w:tcPr>
          <w:p w14:paraId="60B2BA7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3.22</w:t>
            </w:r>
          </w:p>
        </w:tc>
        <w:tc>
          <w:tcPr>
            <w:tcW w:w="535" w:type="pct"/>
            <w:shd w:val="clear" w:color="auto" w:fill="auto"/>
            <w:noWrap/>
            <w:vAlign w:val="bottom"/>
            <w:hideMark/>
          </w:tcPr>
          <w:p w14:paraId="43A93DE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372" w:type="pct"/>
            <w:shd w:val="clear" w:color="auto" w:fill="auto"/>
            <w:noWrap/>
            <w:vAlign w:val="bottom"/>
            <w:hideMark/>
          </w:tcPr>
          <w:p w14:paraId="4EB7ACD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30.76</w:t>
            </w:r>
          </w:p>
        </w:tc>
        <w:tc>
          <w:tcPr>
            <w:tcW w:w="361" w:type="pct"/>
            <w:shd w:val="clear" w:color="auto" w:fill="auto"/>
            <w:noWrap/>
            <w:vAlign w:val="bottom"/>
            <w:hideMark/>
          </w:tcPr>
          <w:p w14:paraId="776F891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19.40</w:t>
            </w:r>
          </w:p>
        </w:tc>
        <w:tc>
          <w:tcPr>
            <w:tcW w:w="403" w:type="pct"/>
            <w:shd w:val="clear" w:color="auto" w:fill="auto"/>
            <w:noWrap/>
            <w:vAlign w:val="bottom"/>
            <w:hideMark/>
          </w:tcPr>
          <w:p w14:paraId="0CEB9D1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4.95</w:t>
            </w:r>
          </w:p>
        </w:tc>
        <w:tc>
          <w:tcPr>
            <w:tcW w:w="557" w:type="pct"/>
            <w:shd w:val="clear" w:color="auto" w:fill="auto"/>
            <w:noWrap/>
            <w:vAlign w:val="bottom"/>
            <w:hideMark/>
          </w:tcPr>
          <w:p w14:paraId="45F62B8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469" w:type="pct"/>
            <w:shd w:val="clear" w:color="auto" w:fill="auto"/>
            <w:noWrap/>
            <w:vAlign w:val="bottom"/>
            <w:hideMark/>
          </w:tcPr>
          <w:p w14:paraId="0FF0F8B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24.35</w:t>
            </w:r>
          </w:p>
        </w:tc>
        <w:tc>
          <w:tcPr>
            <w:tcW w:w="372" w:type="pct"/>
            <w:shd w:val="clear" w:color="auto" w:fill="auto"/>
            <w:noWrap/>
            <w:vAlign w:val="bottom"/>
            <w:hideMark/>
          </w:tcPr>
          <w:p w14:paraId="2A835FE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6.41</w:t>
            </w:r>
          </w:p>
        </w:tc>
        <w:tc>
          <w:tcPr>
            <w:tcW w:w="372" w:type="pct"/>
            <w:shd w:val="clear" w:color="auto" w:fill="auto"/>
            <w:noWrap/>
            <w:vAlign w:val="bottom"/>
            <w:hideMark/>
          </w:tcPr>
          <w:p w14:paraId="0D03C4D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8.14</w:t>
            </w:r>
          </w:p>
        </w:tc>
      </w:tr>
      <w:tr w:rsidR="005B5953" w:rsidRPr="005B12AE" w14:paraId="6D69F2F8" w14:textId="77777777" w:rsidTr="00250DAC">
        <w:trPr>
          <w:trHeight w:val="20"/>
        </w:trPr>
        <w:tc>
          <w:tcPr>
            <w:tcW w:w="650" w:type="pct"/>
            <w:shd w:val="clear" w:color="auto" w:fill="auto"/>
            <w:noWrap/>
            <w:vAlign w:val="bottom"/>
            <w:hideMark/>
          </w:tcPr>
          <w:p w14:paraId="64DC3C50"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Electrical Fittings</w:t>
            </w:r>
          </w:p>
        </w:tc>
        <w:tc>
          <w:tcPr>
            <w:tcW w:w="364" w:type="pct"/>
            <w:shd w:val="clear" w:color="auto" w:fill="auto"/>
            <w:noWrap/>
            <w:vAlign w:val="bottom"/>
            <w:hideMark/>
          </w:tcPr>
          <w:p w14:paraId="7002A43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110.40</w:t>
            </w:r>
          </w:p>
        </w:tc>
        <w:tc>
          <w:tcPr>
            <w:tcW w:w="545" w:type="pct"/>
            <w:shd w:val="clear" w:color="auto" w:fill="auto"/>
            <w:noWrap/>
            <w:vAlign w:val="bottom"/>
            <w:hideMark/>
          </w:tcPr>
          <w:p w14:paraId="3064074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0.50</w:t>
            </w:r>
          </w:p>
        </w:tc>
        <w:tc>
          <w:tcPr>
            <w:tcW w:w="535" w:type="pct"/>
            <w:shd w:val="clear" w:color="auto" w:fill="auto"/>
            <w:noWrap/>
            <w:vAlign w:val="bottom"/>
            <w:hideMark/>
          </w:tcPr>
          <w:p w14:paraId="0877714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372" w:type="pct"/>
            <w:shd w:val="clear" w:color="auto" w:fill="auto"/>
            <w:noWrap/>
            <w:vAlign w:val="bottom"/>
            <w:hideMark/>
          </w:tcPr>
          <w:p w14:paraId="694185C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110.90</w:t>
            </w:r>
          </w:p>
        </w:tc>
        <w:tc>
          <w:tcPr>
            <w:tcW w:w="361" w:type="pct"/>
            <w:shd w:val="clear" w:color="auto" w:fill="auto"/>
            <w:noWrap/>
            <w:vAlign w:val="bottom"/>
            <w:hideMark/>
          </w:tcPr>
          <w:p w14:paraId="11B562E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102.10</w:t>
            </w:r>
          </w:p>
        </w:tc>
        <w:tc>
          <w:tcPr>
            <w:tcW w:w="403" w:type="pct"/>
            <w:shd w:val="clear" w:color="auto" w:fill="auto"/>
            <w:noWrap/>
            <w:vAlign w:val="bottom"/>
            <w:hideMark/>
          </w:tcPr>
          <w:p w14:paraId="76A11D2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1.14</w:t>
            </w:r>
          </w:p>
        </w:tc>
        <w:tc>
          <w:tcPr>
            <w:tcW w:w="557" w:type="pct"/>
            <w:shd w:val="clear" w:color="auto" w:fill="auto"/>
            <w:noWrap/>
            <w:vAlign w:val="bottom"/>
            <w:hideMark/>
          </w:tcPr>
          <w:p w14:paraId="1DE9239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469" w:type="pct"/>
            <w:shd w:val="clear" w:color="auto" w:fill="auto"/>
            <w:noWrap/>
            <w:vAlign w:val="bottom"/>
            <w:hideMark/>
          </w:tcPr>
          <w:p w14:paraId="1406FC0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103.23</w:t>
            </w:r>
          </w:p>
        </w:tc>
        <w:tc>
          <w:tcPr>
            <w:tcW w:w="372" w:type="pct"/>
            <w:shd w:val="clear" w:color="auto" w:fill="auto"/>
            <w:noWrap/>
            <w:vAlign w:val="bottom"/>
            <w:hideMark/>
          </w:tcPr>
          <w:p w14:paraId="6B0027E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7.67</w:t>
            </w:r>
          </w:p>
        </w:tc>
        <w:tc>
          <w:tcPr>
            <w:tcW w:w="372" w:type="pct"/>
            <w:shd w:val="clear" w:color="auto" w:fill="auto"/>
            <w:noWrap/>
            <w:vAlign w:val="bottom"/>
            <w:hideMark/>
          </w:tcPr>
          <w:p w14:paraId="0008D1E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8.31</w:t>
            </w:r>
          </w:p>
        </w:tc>
      </w:tr>
      <w:tr w:rsidR="005B5953" w:rsidRPr="005B12AE" w14:paraId="65E37CE3" w14:textId="77777777" w:rsidTr="00250DAC">
        <w:trPr>
          <w:trHeight w:val="20"/>
        </w:trPr>
        <w:tc>
          <w:tcPr>
            <w:tcW w:w="650" w:type="pct"/>
            <w:shd w:val="clear" w:color="auto" w:fill="auto"/>
            <w:noWrap/>
            <w:vAlign w:val="bottom"/>
            <w:hideMark/>
          </w:tcPr>
          <w:p w14:paraId="149B02B1"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Vehicles</w:t>
            </w:r>
          </w:p>
        </w:tc>
        <w:tc>
          <w:tcPr>
            <w:tcW w:w="364" w:type="pct"/>
            <w:shd w:val="clear" w:color="auto" w:fill="auto"/>
            <w:noWrap/>
            <w:vAlign w:val="bottom"/>
            <w:hideMark/>
          </w:tcPr>
          <w:p w14:paraId="19C3057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91.44</w:t>
            </w:r>
          </w:p>
        </w:tc>
        <w:tc>
          <w:tcPr>
            <w:tcW w:w="545" w:type="pct"/>
            <w:shd w:val="clear" w:color="auto" w:fill="auto"/>
            <w:noWrap/>
            <w:vAlign w:val="bottom"/>
            <w:hideMark/>
          </w:tcPr>
          <w:p w14:paraId="69B54C7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117.58</w:t>
            </w:r>
          </w:p>
        </w:tc>
        <w:tc>
          <w:tcPr>
            <w:tcW w:w="535" w:type="pct"/>
            <w:shd w:val="clear" w:color="auto" w:fill="auto"/>
            <w:noWrap/>
            <w:vAlign w:val="bottom"/>
            <w:hideMark/>
          </w:tcPr>
          <w:p w14:paraId="6B427D5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6.30</w:t>
            </w:r>
          </w:p>
        </w:tc>
        <w:tc>
          <w:tcPr>
            <w:tcW w:w="372" w:type="pct"/>
            <w:shd w:val="clear" w:color="auto" w:fill="auto"/>
            <w:noWrap/>
            <w:vAlign w:val="bottom"/>
            <w:hideMark/>
          </w:tcPr>
          <w:p w14:paraId="70CE665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202.73</w:t>
            </w:r>
          </w:p>
        </w:tc>
        <w:tc>
          <w:tcPr>
            <w:tcW w:w="361" w:type="pct"/>
            <w:shd w:val="clear" w:color="auto" w:fill="auto"/>
            <w:noWrap/>
            <w:vAlign w:val="bottom"/>
            <w:hideMark/>
          </w:tcPr>
          <w:p w14:paraId="3938F03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35.19</w:t>
            </w:r>
          </w:p>
        </w:tc>
        <w:tc>
          <w:tcPr>
            <w:tcW w:w="403" w:type="pct"/>
            <w:shd w:val="clear" w:color="auto" w:fill="auto"/>
            <w:noWrap/>
            <w:vAlign w:val="bottom"/>
            <w:hideMark/>
          </w:tcPr>
          <w:p w14:paraId="5865763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36.39</w:t>
            </w:r>
          </w:p>
        </w:tc>
        <w:tc>
          <w:tcPr>
            <w:tcW w:w="557" w:type="pct"/>
            <w:shd w:val="clear" w:color="auto" w:fill="auto"/>
            <w:noWrap/>
            <w:vAlign w:val="bottom"/>
            <w:hideMark/>
          </w:tcPr>
          <w:p w14:paraId="47758B0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469" w:type="pct"/>
            <w:shd w:val="clear" w:color="auto" w:fill="auto"/>
            <w:noWrap/>
            <w:vAlign w:val="bottom"/>
            <w:hideMark/>
          </w:tcPr>
          <w:p w14:paraId="0362697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71.59</w:t>
            </w:r>
          </w:p>
        </w:tc>
        <w:tc>
          <w:tcPr>
            <w:tcW w:w="372" w:type="pct"/>
            <w:shd w:val="clear" w:color="auto" w:fill="auto"/>
            <w:noWrap/>
            <w:vAlign w:val="bottom"/>
            <w:hideMark/>
          </w:tcPr>
          <w:p w14:paraId="7175251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131.14</w:t>
            </w:r>
          </w:p>
        </w:tc>
        <w:tc>
          <w:tcPr>
            <w:tcW w:w="372" w:type="pct"/>
            <w:shd w:val="clear" w:color="auto" w:fill="auto"/>
            <w:noWrap/>
            <w:vAlign w:val="bottom"/>
            <w:hideMark/>
          </w:tcPr>
          <w:p w14:paraId="361BDC6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56.25</w:t>
            </w:r>
          </w:p>
        </w:tc>
      </w:tr>
      <w:tr w:rsidR="005B5953" w:rsidRPr="005B12AE" w14:paraId="6124B0AF" w14:textId="77777777" w:rsidTr="00250DAC">
        <w:trPr>
          <w:trHeight w:val="20"/>
        </w:trPr>
        <w:tc>
          <w:tcPr>
            <w:tcW w:w="650" w:type="pct"/>
            <w:shd w:val="clear" w:color="auto" w:fill="auto"/>
            <w:noWrap/>
            <w:vAlign w:val="bottom"/>
            <w:hideMark/>
          </w:tcPr>
          <w:p w14:paraId="633AFB03"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Intangible Asset</w:t>
            </w:r>
          </w:p>
        </w:tc>
        <w:tc>
          <w:tcPr>
            <w:tcW w:w="364" w:type="pct"/>
            <w:shd w:val="clear" w:color="auto" w:fill="auto"/>
            <w:noWrap/>
            <w:vAlign w:val="bottom"/>
            <w:hideMark/>
          </w:tcPr>
          <w:p w14:paraId="68BC872A" w14:textId="77777777" w:rsidR="005B5953" w:rsidRPr="005B12AE" w:rsidRDefault="005B5953" w:rsidP="00250DAC">
            <w:pPr>
              <w:spacing w:after="0" w:line="240" w:lineRule="auto"/>
              <w:jc w:val="center"/>
              <w:rPr>
                <w:rFonts w:ascii="Times New Roman" w:hAnsi="Times New Roman"/>
                <w:sz w:val="20"/>
                <w:szCs w:val="20"/>
              </w:rPr>
            </w:pPr>
          </w:p>
        </w:tc>
        <w:tc>
          <w:tcPr>
            <w:tcW w:w="545" w:type="pct"/>
            <w:shd w:val="clear" w:color="auto" w:fill="auto"/>
            <w:noWrap/>
            <w:vAlign w:val="bottom"/>
            <w:hideMark/>
          </w:tcPr>
          <w:p w14:paraId="239A57BC" w14:textId="77777777" w:rsidR="005B5953" w:rsidRPr="005B12AE" w:rsidRDefault="005B5953" w:rsidP="00250DAC">
            <w:pPr>
              <w:spacing w:after="0" w:line="240" w:lineRule="auto"/>
              <w:jc w:val="center"/>
              <w:rPr>
                <w:rFonts w:ascii="Times New Roman" w:hAnsi="Times New Roman"/>
                <w:sz w:val="20"/>
                <w:szCs w:val="20"/>
              </w:rPr>
            </w:pPr>
          </w:p>
        </w:tc>
        <w:tc>
          <w:tcPr>
            <w:tcW w:w="535" w:type="pct"/>
            <w:shd w:val="clear" w:color="auto" w:fill="auto"/>
            <w:noWrap/>
            <w:vAlign w:val="bottom"/>
            <w:hideMark/>
          </w:tcPr>
          <w:p w14:paraId="73249C56" w14:textId="77777777" w:rsidR="005B5953" w:rsidRPr="005B12AE" w:rsidRDefault="005B5953" w:rsidP="00250DAC">
            <w:pPr>
              <w:spacing w:after="0" w:line="240" w:lineRule="auto"/>
              <w:jc w:val="center"/>
              <w:rPr>
                <w:rFonts w:ascii="Times New Roman" w:hAnsi="Times New Roman"/>
                <w:sz w:val="20"/>
                <w:szCs w:val="20"/>
              </w:rPr>
            </w:pPr>
          </w:p>
        </w:tc>
        <w:tc>
          <w:tcPr>
            <w:tcW w:w="372" w:type="pct"/>
            <w:shd w:val="clear" w:color="auto" w:fill="auto"/>
            <w:noWrap/>
            <w:vAlign w:val="bottom"/>
            <w:hideMark/>
          </w:tcPr>
          <w:p w14:paraId="5E8E95A9" w14:textId="77777777" w:rsidR="005B5953" w:rsidRPr="005B12AE" w:rsidRDefault="005B5953" w:rsidP="00250DAC">
            <w:pPr>
              <w:spacing w:after="0" w:line="240" w:lineRule="auto"/>
              <w:jc w:val="center"/>
              <w:rPr>
                <w:rFonts w:ascii="Times New Roman" w:hAnsi="Times New Roman"/>
                <w:sz w:val="20"/>
                <w:szCs w:val="20"/>
              </w:rPr>
            </w:pPr>
          </w:p>
        </w:tc>
        <w:tc>
          <w:tcPr>
            <w:tcW w:w="361" w:type="pct"/>
            <w:shd w:val="clear" w:color="auto" w:fill="auto"/>
            <w:noWrap/>
            <w:vAlign w:val="bottom"/>
            <w:hideMark/>
          </w:tcPr>
          <w:p w14:paraId="1F106F81" w14:textId="77777777" w:rsidR="005B5953" w:rsidRPr="005B12AE" w:rsidRDefault="005B5953" w:rsidP="00250DAC">
            <w:pPr>
              <w:spacing w:after="0" w:line="240" w:lineRule="auto"/>
              <w:jc w:val="center"/>
              <w:rPr>
                <w:rFonts w:ascii="Times New Roman" w:hAnsi="Times New Roman"/>
                <w:sz w:val="20"/>
                <w:szCs w:val="20"/>
              </w:rPr>
            </w:pPr>
          </w:p>
        </w:tc>
        <w:tc>
          <w:tcPr>
            <w:tcW w:w="403" w:type="pct"/>
            <w:shd w:val="clear" w:color="auto" w:fill="auto"/>
            <w:noWrap/>
            <w:vAlign w:val="bottom"/>
            <w:hideMark/>
          </w:tcPr>
          <w:p w14:paraId="54926C0C" w14:textId="77777777" w:rsidR="005B5953" w:rsidRPr="005B12AE" w:rsidRDefault="005B5953" w:rsidP="00250DAC">
            <w:pPr>
              <w:spacing w:after="0" w:line="240" w:lineRule="auto"/>
              <w:jc w:val="center"/>
              <w:rPr>
                <w:rFonts w:ascii="Times New Roman" w:hAnsi="Times New Roman"/>
                <w:sz w:val="20"/>
                <w:szCs w:val="20"/>
              </w:rPr>
            </w:pPr>
          </w:p>
        </w:tc>
        <w:tc>
          <w:tcPr>
            <w:tcW w:w="557" w:type="pct"/>
            <w:shd w:val="clear" w:color="auto" w:fill="auto"/>
            <w:noWrap/>
            <w:vAlign w:val="bottom"/>
            <w:hideMark/>
          </w:tcPr>
          <w:p w14:paraId="1047ED71" w14:textId="77777777" w:rsidR="005B5953" w:rsidRPr="005B12AE" w:rsidRDefault="005B5953" w:rsidP="00250DAC">
            <w:pPr>
              <w:spacing w:after="0" w:line="240" w:lineRule="auto"/>
              <w:jc w:val="center"/>
              <w:rPr>
                <w:rFonts w:ascii="Times New Roman" w:hAnsi="Times New Roman"/>
                <w:sz w:val="20"/>
                <w:szCs w:val="20"/>
              </w:rPr>
            </w:pPr>
          </w:p>
        </w:tc>
        <w:tc>
          <w:tcPr>
            <w:tcW w:w="469" w:type="pct"/>
            <w:shd w:val="clear" w:color="auto" w:fill="auto"/>
            <w:noWrap/>
            <w:vAlign w:val="bottom"/>
            <w:hideMark/>
          </w:tcPr>
          <w:p w14:paraId="326CBCCD" w14:textId="77777777" w:rsidR="005B5953" w:rsidRPr="005B12AE" w:rsidRDefault="005B5953" w:rsidP="00250DAC">
            <w:pPr>
              <w:spacing w:after="0" w:line="240" w:lineRule="auto"/>
              <w:jc w:val="center"/>
              <w:rPr>
                <w:rFonts w:ascii="Times New Roman" w:hAnsi="Times New Roman"/>
                <w:sz w:val="20"/>
                <w:szCs w:val="20"/>
              </w:rPr>
            </w:pPr>
          </w:p>
        </w:tc>
        <w:tc>
          <w:tcPr>
            <w:tcW w:w="372" w:type="pct"/>
            <w:shd w:val="clear" w:color="auto" w:fill="auto"/>
            <w:noWrap/>
            <w:vAlign w:val="bottom"/>
            <w:hideMark/>
          </w:tcPr>
          <w:p w14:paraId="1093D985" w14:textId="77777777" w:rsidR="005B5953" w:rsidRPr="005B12AE" w:rsidRDefault="005B5953" w:rsidP="00250DAC">
            <w:pPr>
              <w:spacing w:after="0" w:line="240" w:lineRule="auto"/>
              <w:jc w:val="center"/>
              <w:rPr>
                <w:rFonts w:ascii="Times New Roman" w:hAnsi="Times New Roman"/>
                <w:sz w:val="20"/>
                <w:szCs w:val="20"/>
              </w:rPr>
            </w:pPr>
          </w:p>
        </w:tc>
        <w:tc>
          <w:tcPr>
            <w:tcW w:w="372" w:type="pct"/>
            <w:shd w:val="clear" w:color="auto" w:fill="auto"/>
            <w:noWrap/>
            <w:vAlign w:val="bottom"/>
            <w:hideMark/>
          </w:tcPr>
          <w:p w14:paraId="130C7D04"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0EF00FBC" w14:textId="77777777" w:rsidTr="00250DAC">
        <w:trPr>
          <w:trHeight w:val="20"/>
        </w:trPr>
        <w:tc>
          <w:tcPr>
            <w:tcW w:w="650" w:type="pct"/>
            <w:shd w:val="clear" w:color="auto" w:fill="auto"/>
            <w:noWrap/>
            <w:vAlign w:val="bottom"/>
            <w:hideMark/>
          </w:tcPr>
          <w:p w14:paraId="579B062F"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Trade Mark</w:t>
            </w:r>
          </w:p>
        </w:tc>
        <w:tc>
          <w:tcPr>
            <w:tcW w:w="364" w:type="pct"/>
            <w:shd w:val="clear" w:color="auto" w:fill="auto"/>
            <w:noWrap/>
            <w:vAlign w:val="bottom"/>
            <w:hideMark/>
          </w:tcPr>
          <w:p w14:paraId="71492664" w14:textId="77777777" w:rsidR="005B5953" w:rsidRPr="005B12AE" w:rsidRDefault="005B5953" w:rsidP="00250DAC">
            <w:pPr>
              <w:spacing w:after="0" w:line="240" w:lineRule="auto"/>
              <w:jc w:val="center"/>
              <w:rPr>
                <w:rFonts w:ascii="Times New Roman" w:hAnsi="Times New Roman"/>
                <w:sz w:val="20"/>
                <w:szCs w:val="20"/>
              </w:rPr>
            </w:pPr>
          </w:p>
        </w:tc>
        <w:tc>
          <w:tcPr>
            <w:tcW w:w="545" w:type="pct"/>
            <w:shd w:val="clear" w:color="auto" w:fill="auto"/>
            <w:noWrap/>
            <w:vAlign w:val="bottom"/>
            <w:hideMark/>
          </w:tcPr>
          <w:p w14:paraId="1E52CB0F" w14:textId="77777777" w:rsidR="005B5953" w:rsidRPr="005B12AE" w:rsidRDefault="005B5953" w:rsidP="00250DAC">
            <w:pPr>
              <w:spacing w:after="0" w:line="240" w:lineRule="auto"/>
              <w:jc w:val="center"/>
              <w:rPr>
                <w:rFonts w:ascii="Times New Roman" w:hAnsi="Times New Roman"/>
                <w:sz w:val="20"/>
                <w:szCs w:val="20"/>
              </w:rPr>
            </w:pPr>
          </w:p>
        </w:tc>
        <w:tc>
          <w:tcPr>
            <w:tcW w:w="535" w:type="pct"/>
            <w:shd w:val="clear" w:color="auto" w:fill="auto"/>
            <w:noWrap/>
            <w:vAlign w:val="bottom"/>
            <w:hideMark/>
          </w:tcPr>
          <w:p w14:paraId="6944B452" w14:textId="77777777" w:rsidR="005B5953" w:rsidRPr="005B12AE" w:rsidRDefault="005B5953" w:rsidP="00250DAC">
            <w:pPr>
              <w:spacing w:after="0" w:line="240" w:lineRule="auto"/>
              <w:jc w:val="center"/>
              <w:rPr>
                <w:rFonts w:ascii="Times New Roman" w:hAnsi="Times New Roman"/>
                <w:sz w:val="20"/>
                <w:szCs w:val="20"/>
              </w:rPr>
            </w:pPr>
          </w:p>
        </w:tc>
        <w:tc>
          <w:tcPr>
            <w:tcW w:w="372" w:type="pct"/>
            <w:shd w:val="clear" w:color="auto" w:fill="auto"/>
            <w:noWrap/>
            <w:vAlign w:val="bottom"/>
            <w:hideMark/>
          </w:tcPr>
          <w:p w14:paraId="0BC69EA2" w14:textId="77777777" w:rsidR="005B5953" w:rsidRPr="005B12AE" w:rsidRDefault="005B5953" w:rsidP="00250DAC">
            <w:pPr>
              <w:spacing w:after="0" w:line="240" w:lineRule="auto"/>
              <w:jc w:val="center"/>
              <w:rPr>
                <w:rFonts w:ascii="Times New Roman" w:hAnsi="Times New Roman"/>
                <w:sz w:val="20"/>
                <w:szCs w:val="20"/>
              </w:rPr>
            </w:pPr>
          </w:p>
        </w:tc>
        <w:tc>
          <w:tcPr>
            <w:tcW w:w="361" w:type="pct"/>
            <w:shd w:val="clear" w:color="auto" w:fill="auto"/>
            <w:noWrap/>
            <w:vAlign w:val="bottom"/>
            <w:hideMark/>
          </w:tcPr>
          <w:p w14:paraId="5DC07575" w14:textId="77777777" w:rsidR="005B5953" w:rsidRPr="005B12AE" w:rsidRDefault="005B5953" w:rsidP="00250DAC">
            <w:pPr>
              <w:spacing w:after="0" w:line="240" w:lineRule="auto"/>
              <w:jc w:val="center"/>
              <w:rPr>
                <w:rFonts w:ascii="Times New Roman" w:hAnsi="Times New Roman"/>
                <w:sz w:val="20"/>
                <w:szCs w:val="20"/>
              </w:rPr>
            </w:pPr>
          </w:p>
        </w:tc>
        <w:tc>
          <w:tcPr>
            <w:tcW w:w="403" w:type="pct"/>
            <w:shd w:val="clear" w:color="auto" w:fill="auto"/>
            <w:noWrap/>
            <w:vAlign w:val="bottom"/>
            <w:hideMark/>
          </w:tcPr>
          <w:p w14:paraId="3B66E3B8" w14:textId="77777777" w:rsidR="005B5953" w:rsidRPr="005B12AE" w:rsidRDefault="005B5953" w:rsidP="00250DAC">
            <w:pPr>
              <w:spacing w:after="0" w:line="240" w:lineRule="auto"/>
              <w:jc w:val="center"/>
              <w:rPr>
                <w:rFonts w:ascii="Times New Roman" w:hAnsi="Times New Roman"/>
                <w:sz w:val="20"/>
                <w:szCs w:val="20"/>
              </w:rPr>
            </w:pPr>
          </w:p>
        </w:tc>
        <w:tc>
          <w:tcPr>
            <w:tcW w:w="557" w:type="pct"/>
            <w:shd w:val="clear" w:color="auto" w:fill="auto"/>
            <w:noWrap/>
            <w:vAlign w:val="bottom"/>
            <w:hideMark/>
          </w:tcPr>
          <w:p w14:paraId="753AD7FE" w14:textId="77777777" w:rsidR="005B5953" w:rsidRPr="005B12AE" w:rsidRDefault="005B5953" w:rsidP="00250DAC">
            <w:pPr>
              <w:spacing w:after="0" w:line="240" w:lineRule="auto"/>
              <w:jc w:val="center"/>
              <w:rPr>
                <w:rFonts w:ascii="Times New Roman" w:hAnsi="Times New Roman"/>
                <w:sz w:val="20"/>
                <w:szCs w:val="20"/>
              </w:rPr>
            </w:pPr>
          </w:p>
        </w:tc>
        <w:tc>
          <w:tcPr>
            <w:tcW w:w="469" w:type="pct"/>
            <w:shd w:val="clear" w:color="auto" w:fill="auto"/>
            <w:noWrap/>
            <w:vAlign w:val="bottom"/>
            <w:hideMark/>
          </w:tcPr>
          <w:p w14:paraId="6D7D166B" w14:textId="77777777" w:rsidR="005B5953" w:rsidRPr="005B12AE" w:rsidRDefault="005B5953" w:rsidP="00250DAC">
            <w:pPr>
              <w:spacing w:after="0" w:line="240" w:lineRule="auto"/>
              <w:jc w:val="center"/>
              <w:rPr>
                <w:rFonts w:ascii="Times New Roman" w:hAnsi="Times New Roman"/>
                <w:sz w:val="20"/>
                <w:szCs w:val="20"/>
              </w:rPr>
            </w:pPr>
          </w:p>
        </w:tc>
        <w:tc>
          <w:tcPr>
            <w:tcW w:w="372" w:type="pct"/>
            <w:shd w:val="clear" w:color="auto" w:fill="auto"/>
            <w:noWrap/>
            <w:vAlign w:val="bottom"/>
            <w:hideMark/>
          </w:tcPr>
          <w:p w14:paraId="72D1FD7B" w14:textId="77777777" w:rsidR="005B5953" w:rsidRPr="005B12AE" w:rsidRDefault="005B5953" w:rsidP="00250DAC">
            <w:pPr>
              <w:spacing w:after="0" w:line="240" w:lineRule="auto"/>
              <w:jc w:val="center"/>
              <w:rPr>
                <w:rFonts w:ascii="Times New Roman" w:hAnsi="Times New Roman"/>
                <w:sz w:val="20"/>
                <w:szCs w:val="20"/>
              </w:rPr>
            </w:pPr>
          </w:p>
        </w:tc>
        <w:tc>
          <w:tcPr>
            <w:tcW w:w="372" w:type="pct"/>
            <w:shd w:val="clear" w:color="auto" w:fill="auto"/>
            <w:noWrap/>
            <w:vAlign w:val="bottom"/>
            <w:hideMark/>
          </w:tcPr>
          <w:p w14:paraId="7CF64633"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31849A2E" w14:textId="77777777" w:rsidTr="00250DAC">
        <w:trPr>
          <w:trHeight w:val="20"/>
        </w:trPr>
        <w:tc>
          <w:tcPr>
            <w:tcW w:w="650" w:type="pct"/>
            <w:shd w:val="clear" w:color="auto" w:fill="auto"/>
            <w:noWrap/>
            <w:vAlign w:val="bottom"/>
            <w:hideMark/>
          </w:tcPr>
          <w:p w14:paraId="2A9866DB"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Total</w:t>
            </w:r>
          </w:p>
        </w:tc>
        <w:tc>
          <w:tcPr>
            <w:tcW w:w="364" w:type="pct"/>
            <w:shd w:val="clear" w:color="auto" w:fill="auto"/>
            <w:noWrap/>
            <w:vAlign w:val="bottom"/>
            <w:hideMark/>
          </w:tcPr>
          <w:p w14:paraId="33AEA4F1"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1,821.55</w:t>
            </w:r>
          </w:p>
        </w:tc>
        <w:tc>
          <w:tcPr>
            <w:tcW w:w="545" w:type="pct"/>
            <w:shd w:val="clear" w:color="auto" w:fill="auto"/>
            <w:noWrap/>
            <w:vAlign w:val="bottom"/>
            <w:hideMark/>
          </w:tcPr>
          <w:p w14:paraId="4DFA9308"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235.71</w:t>
            </w:r>
          </w:p>
        </w:tc>
        <w:tc>
          <w:tcPr>
            <w:tcW w:w="535" w:type="pct"/>
            <w:shd w:val="clear" w:color="auto" w:fill="auto"/>
            <w:noWrap/>
            <w:vAlign w:val="bottom"/>
            <w:hideMark/>
          </w:tcPr>
          <w:p w14:paraId="20E77FD0"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6.30</w:t>
            </w:r>
          </w:p>
        </w:tc>
        <w:tc>
          <w:tcPr>
            <w:tcW w:w="372" w:type="pct"/>
            <w:shd w:val="clear" w:color="auto" w:fill="auto"/>
            <w:noWrap/>
            <w:vAlign w:val="bottom"/>
            <w:hideMark/>
          </w:tcPr>
          <w:p w14:paraId="6C1F033C"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2,050.96</w:t>
            </w:r>
          </w:p>
        </w:tc>
        <w:tc>
          <w:tcPr>
            <w:tcW w:w="361" w:type="pct"/>
            <w:shd w:val="clear" w:color="auto" w:fill="auto"/>
            <w:noWrap/>
            <w:vAlign w:val="bottom"/>
            <w:hideMark/>
          </w:tcPr>
          <w:p w14:paraId="7CCC093B"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1,117.33</w:t>
            </w:r>
          </w:p>
        </w:tc>
        <w:tc>
          <w:tcPr>
            <w:tcW w:w="403" w:type="pct"/>
            <w:shd w:val="clear" w:color="auto" w:fill="auto"/>
            <w:noWrap/>
            <w:vAlign w:val="bottom"/>
            <w:hideMark/>
          </w:tcPr>
          <w:p w14:paraId="3A8B2720"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177.68</w:t>
            </w:r>
          </w:p>
        </w:tc>
        <w:tc>
          <w:tcPr>
            <w:tcW w:w="557" w:type="pct"/>
            <w:shd w:val="clear" w:color="auto" w:fill="auto"/>
            <w:noWrap/>
            <w:vAlign w:val="bottom"/>
            <w:hideMark/>
          </w:tcPr>
          <w:p w14:paraId="0768D8DC"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469" w:type="pct"/>
            <w:shd w:val="clear" w:color="auto" w:fill="auto"/>
            <w:noWrap/>
            <w:vAlign w:val="bottom"/>
            <w:hideMark/>
          </w:tcPr>
          <w:p w14:paraId="5C54286B"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1,295.01</w:t>
            </w:r>
          </w:p>
        </w:tc>
        <w:tc>
          <w:tcPr>
            <w:tcW w:w="372" w:type="pct"/>
            <w:shd w:val="clear" w:color="auto" w:fill="auto"/>
            <w:noWrap/>
            <w:vAlign w:val="bottom"/>
            <w:hideMark/>
          </w:tcPr>
          <w:p w14:paraId="239F6910"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755.95</w:t>
            </w:r>
          </w:p>
        </w:tc>
        <w:tc>
          <w:tcPr>
            <w:tcW w:w="372" w:type="pct"/>
            <w:shd w:val="clear" w:color="auto" w:fill="auto"/>
            <w:noWrap/>
            <w:vAlign w:val="bottom"/>
            <w:hideMark/>
          </w:tcPr>
          <w:p w14:paraId="358E5CA3"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704.22</w:t>
            </w:r>
          </w:p>
        </w:tc>
      </w:tr>
      <w:tr w:rsidR="005B5953" w:rsidRPr="005B12AE" w14:paraId="334B3E94" w14:textId="77777777" w:rsidTr="00250DAC">
        <w:trPr>
          <w:trHeight w:val="20"/>
        </w:trPr>
        <w:tc>
          <w:tcPr>
            <w:tcW w:w="650" w:type="pct"/>
            <w:shd w:val="clear" w:color="auto" w:fill="auto"/>
            <w:noWrap/>
            <w:vAlign w:val="bottom"/>
            <w:hideMark/>
          </w:tcPr>
          <w:p w14:paraId="471B9CB2" w14:textId="77777777" w:rsidR="005B5953" w:rsidRPr="005B12AE" w:rsidRDefault="005B5953" w:rsidP="00250DAC">
            <w:pPr>
              <w:spacing w:after="0" w:line="240" w:lineRule="auto"/>
              <w:rPr>
                <w:rFonts w:ascii="Times New Roman" w:hAnsi="Times New Roman"/>
                <w:b/>
                <w:bCs/>
                <w:i/>
                <w:iCs/>
                <w:sz w:val="20"/>
                <w:szCs w:val="20"/>
              </w:rPr>
            </w:pPr>
            <w:r w:rsidRPr="005B12AE">
              <w:rPr>
                <w:rFonts w:ascii="Times New Roman" w:hAnsi="Times New Roman"/>
                <w:b/>
                <w:bCs/>
                <w:i/>
                <w:iCs/>
                <w:sz w:val="20"/>
                <w:szCs w:val="20"/>
              </w:rPr>
              <w:t>Previous Year</w:t>
            </w:r>
          </w:p>
        </w:tc>
        <w:tc>
          <w:tcPr>
            <w:tcW w:w="364" w:type="pct"/>
            <w:shd w:val="clear" w:color="auto" w:fill="auto"/>
            <w:noWrap/>
            <w:vAlign w:val="bottom"/>
            <w:hideMark/>
          </w:tcPr>
          <w:p w14:paraId="0957252B"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1,661.50</w:t>
            </w:r>
          </w:p>
        </w:tc>
        <w:tc>
          <w:tcPr>
            <w:tcW w:w="545" w:type="pct"/>
            <w:shd w:val="clear" w:color="auto" w:fill="auto"/>
            <w:noWrap/>
            <w:vAlign w:val="bottom"/>
            <w:hideMark/>
          </w:tcPr>
          <w:p w14:paraId="6F39A78D"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160.65</w:t>
            </w:r>
          </w:p>
        </w:tc>
        <w:tc>
          <w:tcPr>
            <w:tcW w:w="535" w:type="pct"/>
            <w:shd w:val="clear" w:color="auto" w:fill="auto"/>
            <w:noWrap/>
            <w:vAlign w:val="bottom"/>
            <w:hideMark/>
          </w:tcPr>
          <w:p w14:paraId="11DDD0A0"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0.61</w:t>
            </w:r>
          </w:p>
        </w:tc>
        <w:tc>
          <w:tcPr>
            <w:tcW w:w="372" w:type="pct"/>
            <w:shd w:val="clear" w:color="auto" w:fill="auto"/>
            <w:noWrap/>
            <w:vAlign w:val="bottom"/>
            <w:hideMark/>
          </w:tcPr>
          <w:p w14:paraId="05993C1B"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1,821.55</w:t>
            </w:r>
          </w:p>
        </w:tc>
        <w:tc>
          <w:tcPr>
            <w:tcW w:w="361" w:type="pct"/>
            <w:shd w:val="clear" w:color="auto" w:fill="auto"/>
            <w:noWrap/>
            <w:vAlign w:val="bottom"/>
            <w:hideMark/>
          </w:tcPr>
          <w:p w14:paraId="62A3913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981.60</w:t>
            </w:r>
          </w:p>
        </w:tc>
        <w:tc>
          <w:tcPr>
            <w:tcW w:w="403" w:type="pct"/>
            <w:shd w:val="clear" w:color="auto" w:fill="auto"/>
            <w:noWrap/>
            <w:vAlign w:val="bottom"/>
            <w:hideMark/>
          </w:tcPr>
          <w:p w14:paraId="380656FA"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135.74</w:t>
            </w:r>
          </w:p>
        </w:tc>
        <w:tc>
          <w:tcPr>
            <w:tcW w:w="557" w:type="pct"/>
            <w:shd w:val="clear" w:color="auto" w:fill="auto"/>
            <w:noWrap/>
            <w:vAlign w:val="bottom"/>
            <w:hideMark/>
          </w:tcPr>
          <w:p w14:paraId="66437B8D"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469" w:type="pct"/>
            <w:shd w:val="clear" w:color="auto" w:fill="auto"/>
            <w:noWrap/>
            <w:vAlign w:val="bottom"/>
            <w:hideMark/>
          </w:tcPr>
          <w:p w14:paraId="45E7BC0B"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1,117.33</w:t>
            </w:r>
          </w:p>
        </w:tc>
        <w:tc>
          <w:tcPr>
            <w:tcW w:w="372" w:type="pct"/>
            <w:shd w:val="clear" w:color="auto" w:fill="auto"/>
            <w:noWrap/>
            <w:vAlign w:val="bottom"/>
            <w:hideMark/>
          </w:tcPr>
          <w:p w14:paraId="6625DA7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704.22</w:t>
            </w:r>
          </w:p>
        </w:tc>
        <w:tc>
          <w:tcPr>
            <w:tcW w:w="372" w:type="pct"/>
            <w:shd w:val="clear" w:color="auto" w:fill="auto"/>
            <w:noWrap/>
            <w:vAlign w:val="bottom"/>
            <w:hideMark/>
          </w:tcPr>
          <w:p w14:paraId="553A293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703.35</w:t>
            </w:r>
          </w:p>
        </w:tc>
      </w:tr>
    </w:tbl>
    <w:p w14:paraId="68AC7E51" w14:textId="77777777" w:rsidR="005B5953" w:rsidRPr="005B12AE" w:rsidRDefault="005B5953" w:rsidP="005B5953">
      <w:pPr>
        <w:spacing w:after="0"/>
        <w:ind w:left="270" w:hanging="270"/>
        <w:rPr>
          <w:rFonts w:ascii="Times New Roman" w:hAnsi="Times New Roman"/>
          <w:b/>
          <w:bCs/>
          <w:sz w:val="20"/>
          <w:szCs w:val="20"/>
        </w:rPr>
      </w:pPr>
    </w:p>
    <w:p w14:paraId="3C76DF5D" w14:textId="77777777" w:rsidR="005B5953" w:rsidRPr="005B12AE" w:rsidRDefault="005B5953" w:rsidP="005B5953">
      <w:pPr>
        <w:spacing w:after="0"/>
        <w:ind w:left="270" w:hanging="270"/>
        <w:rPr>
          <w:rFonts w:ascii="Times New Roman" w:hAnsi="Times New Roman"/>
          <w:b/>
          <w:bCs/>
          <w:sz w:val="20"/>
          <w:szCs w:val="20"/>
        </w:rPr>
      </w:pPr>
      <w:r w:rsidRPr="005B12AE">
        <w:rPr>
          <w:rFonts w:ascii="Times New Roman" w:hAnsi="Times New Roman"/>
          <w:b/>
          <w:bCs/>
          <w:sz w:val="20"/>
          <w:szCs w:val="20"/>
        </w:rPr>
        <w:t>F.Y. 2020-21</w:t>
      </w:r>
    </w:p>
    <w:p w14:paraId="3763C8E1" w14:textId="77777777" w:rsidR="005B5953" w:rsidRPr="005B12AE" w:rsidRDefault="005B5953" w:rsidP="005B5953">
      <w:pPr>
        <w:spacing w:after="0"/>
        <w:jc w:val="right"/>
        <w:rPr>
          <w:rFonts w:ascii="Times New Roman" w:hAnsi="Times New Roman"/>
          <w:b/>
          <w:bCs/>
          <w:sz w:val="20"/>
          <w:szCs w:val="20"/>
        </w:rPr>
      </w:pPr>
      <w:r w:rsidRPr="005B12AE">
        <w:rPr>
          <w:rFonts w:ascii="Times New Roman" w:hAnsi="Times New Roman"/>
          <w:b/>
          <w:bCs/>
          <w:sz w:val="20"/>
          <w:szCs w:val="20"/>
        </w:rPr>
        <w:t>(₹ in Lakhs)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7"/>
        <w:gridCol w:w="1107"/>
        <w:gridCol w:w="1671"/>
        <w:gridCol w:w="1660"/>
        <w:gridCol w:w="1122"/>
        <w:gridCol w:w="1103"/>
        <w:gridCol w:w="1105"/>
        <w:gridCol w:w="1680"/>
        <w:gridCol w:w="1359"/>
        <w:gridCol w:w="1122"/>
        <w:gridCol w:w="1122"/>
      </w:tblGrid>
      <w:tr w:rsidR="005B5953" w:rsidRPr="005B12AE" w14:paraId="7FCCD3CE" w14:textId="77777777" w:rsidTr="00250DAC">
        <w:trPr>
          <w:trHeight w:val="20"/>
        </w:trPr>
        <w:tc>
          <w:tcPr>
            <w:tcW w:w="1977" w:type="dxa"/>
            <w:vMerge w:val="restart"/>
            <w:shd w:val="clear" w:color="auto" w:fill="D0CECE" w:themeFill="background2" w:themeFillShade="E6"/>
            <w:noWrap/>
            <w:vAlign w:val="center"/>
            <w:hideMark/>
          </w:tcPr>
          <w:p w14:paraId="0A1E2E4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Particulars</w:t>
            </w:r>
          </w:p>
        </w:tc>
        <w:tc>
          <w:tcPr>
            <w:tcW w:w="5560" w:type="dxa"/>
            <w:gridSpan w:val="4"/>
            <w:shd w:val="clear" w:color="auto" w:fill="D0CECE" w:themeFill="background2" w:themeFillShade="E6"/>
            <w:noWrap/>
            <w:vAlign w:val="bottom"/>
            <w:hideMark/>
          </w:tcPr>
          <w:p w14:paraId="42E1A7F7"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Gross Block</w:t>
            </w:r>
          </w:p>
        </w:tc>
        <w:tc>
          <w:tcPr>
            <w:tcW w:w="5247" w:type="dxa"/>
            <w:gridSpan w:val="4"/>
            <w:shd w:val="clear" w:color="auto" w:fill="D0CECE" w:themeFill="background2" w:themeFillShade="E6"/>
            <w:noWrap/>
            <w:vAlign w:val="bottom"/>
            <w:hideMark/>
          </w:tcPr>
          <w:p w14:paraId="65F59096"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Depreciation</w:t>
            </w:r>
          </w:p>
        </w:tc>
        <w:tc>
          <w:tcPr>
            <w:tcW w:w="2244" w:type="dxa"/>
            <w:gridSpan w:val="2"/>
            <w:shd w:val="clear" w:color="auto" w:fill="D0CECE" w:themeFill="background2" w:themeFillShade="E6"/>
            <w:noWrap/>
            <w:vAlign w:val="bottom"/>
            <w:hideMark/>
          </w:tcPr>
          <w:p w14:paraId="18B8ACE0"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Net Block</w:t>
            </w:r>
          </w:p>
        </w:tc>
      </w:tr>
      <w:tr w:rsidR="005B5953" w:rsidRPr="005B12AE" w14:paraId="57E5B11A" w14:textId="77777777" w:rsidTr="00250DAC">
        <w:trPr>
          <w:trHeight w:val="20"/>
        </w:trPr>
        <w:tc>
          <w:tcPr>
            <w:tcW w:w="1977" w:type="dxa"/>
            <w:vMerge/>
            <w:shd w:val="clear" w:color="auto" w:fill="D0CECE" w:themeFill="background2" w:themeFillShade="E6"/>
            <w:vAlign w:val="center"/>
            <w:hideMark/>
          </w:tcPr>
          <w:p w14:paraId="6FE67C25" w14:textId="77777777" w:rsidR="005B5953" w:rsidRPr="005B12AE" w:rsidRDefault="005B5953" w:rsidP="00250DAC">
            <w:pPr>
              <w:spacing w:after="0" w:line="240" w:lineRule="auto"/>
              <w:rPr>
                <w:rFonts w:ascii="Times New Roman" w:hAnsi="Times New Roman"/>
                <w:b/>
                <w:bCs/>
                <w:sz w:val="20"/>
                <w:szCs w:val="20"/>
              </w:rPr>
            </w:pPr>
          </w:p>
        </w:tc>
        <w:tc>
          <w:tcPr>
            <w:tcW w:w="1107" w:type="dxa"/>
            <w:shd w:val="clear" w:color="auto" w:fill="D0CECE" w:themeFill="background2" w:themeFillShade="E6"/>
            <w:noWrap/>
            <w:vAlign w:val="bottom"/>
            <w:hideMark/>
          </w:tcPr>
          <w:p w14:paraId="78359073"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As at 01-Apr-20</w:t>
            </w:r>
          </w:p>
        </w:tc>
        <w:tc>
          <w:tcPr>
            <w:tcW w:w="1671" w:type="dxa"/>
            <w:shd w:val="clear" w:color="auto" w:fill="D0CECE" w:themeFill="background2" w:themeFillShade="E6"/>
            <w:noWrap/>
            <w:vAlign w:val="bottom"/>
            <w:hideMark/>
          </w:tcPr>
          <w:p w14:paraId="39F3731B"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Additions during the year</w:t>
            </w:r>
          </w:p>
        </w:tc>
        <w:tc>
          <w:tcPr>
            <w:tcW w:w="1660" w:type="dxa"/>
            <w:shd w:val="clear" w:color="auto" w:fill="D0CECE" w:themeFill="background2" w:themeFillShade="E6"/>
            <w:noWrap/>
            <w:vAlign w:val="bottom"/>
            <w:hideMark/>
          </w:tcPr>
          <w:p w14:paraId="4B9398DE"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Deletions during the year</w:t>
            </w:r>
          </w:p>
        </w:tc>
        <w:tc>
          <w:tcPr>
            <w:tcW w:w="1122" w:type="dxa"/>
            <w:shd w:val="clear" w:color="auto" w:fill="D0CECE" w:themeFill="background2" w:themeFillShade="E6"/>
            <w:noWrap/>
            <w:vAlign w:val="bottom"/>
            <w:hideMark/>
          </w:tcPr>
          <w:p w14:paraId="785C501E"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As at 31-Mar-21</w:t>
            </w:r>
          </w:p>
        </w:tc>
        <w:tc>
          <w:tcPr>
            <w:tcW w:w="1103" w:type="dxa"/>
            <w:shd w:val="clear" w:color="auto" w:fill="D0CECE" w:themeFill="background2" w:themeFillShade="E6"/>
            <w:noWrap/>
            <w:vAlign w:val="bottom"/>
            <w:hideMark/>
          </w:tcPr>
          <w:p w14:paraId="087A761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Upto 01-Apr-20</w:t>
            </w:r>
          </w:p>
        </w:tc>
        <w:tc>
          <w:tcPr>
            <w:tcW w:w="1105" w:type="dxa"/>
            <w:shd w:val="clear" w:color="auto" w:fill="D0CECE" w:themeFill="background2" w:themeFillShade="E6"/>
            <w:noWrap/>
            <w:vAlign w:val="bottom"/>
            <w:hideMark/>
          </w:tcPr>
          <w:p w14:paraId="5D109563"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During the year</w:t>
            </w:r>
          </w:p>
        </w:tc>
        <w:tc>
          <w:tcPr>
            <w:tcW w:w="1680" w:type="dxa"/>
            <w:shd w:val="clear" w:color="auto" w:fill="D0CECE" w:themeFill="background2" w:themeFillShade="E6"/>
            <w:noWrap/>
            <w:vAlign w:val="bottom"/>
            <w:hideMark/>
          </w:tcPr>
          <w:p w14:paraId="603FD2AD"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Deletion during the year</w:t>
            </w:r>
          </w:p>
        </w:tc>
        <w:tc>
          <w:tcPr>
            <w:tcW w:w="1359" w:type="dxa"/>
            <w:shd w:val="clear" w:color="auto" w:fill="D0CECE" w:themeFill="background2" w:themeFillShade="E6"/>
            <w:noWrap/>
            <w:vAlign w:val="bottom"/>
            <w:hideMark/>
          </w:tcPr>
          <w:p w14:paraId="0B821D47"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Total upto 31-Mar-21</w:t>
            </w:r>
          </w:p>
        </w:tc>
        <w:tc>
          <w:tcPr>
            <w:tcW w:w="1122" w:type="dxa"/>
            <w:shd w:val="clear" w:color="auto" w:fill="D0CECE" w:themeFill="background2" w:themeFillShade="E6"/>
            <w:noWrap/>
            <w:vAlign w:val="bottom"/>
            <w:hideMark/>
          </w:tcPr>
          <w:p w14:paraId="19A9EBE3"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As at 31-Mar-21</w:t>
            </w:r>
          </w:p>
        </w:tc>
        <w:tc>
          <w:tcPr>
            <w:tcW w:w="1122" w:type="dxa"/>
            <w:shd w:val="clear" w:color="auto" w:fill="D0CECE" w:themeFill="background2" w:themeFillShade="E6"/>
            <w:noWrap/>
            <w:vAlign w:val="bottom"/>
            <w:hideMark/>
          </w:tcPr>
          <w:p w14:paraId="26CB14B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As at 31-Mar-20</w:t>
            </w:r>
          </w:p>
        </w:tc>
      </w:tr>
      <w:tr w:rsidR="005B5953" w:rsidRPr="005B12AE" w14:paraId="7DF359A6" w14:textId="77777777" w:rsidTr="00250DAC">
        <w:trPr>
          <w:trHeight w:val="20"/>
        </w:trPr>
        <w:tc>
          <w:tcPr>
            <w:tcW w:w="1977" w:type="dxa"/>
            <w:shd w:val="clear" w:color="auto" w:fill="auto"/>
            <w:noWrap/>
            <w:vAlign w:val="bottom"/>
            <w:hideMark/>
          </w:tcPr>
          <w:p w14:paraId="21C81461"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Property, Plant and Equipment</w:t>
            </w:r>
          </w:p>
        </w:tc>
        <w:tc>
          <w:tcPr>
            <w:tcW w:w="1107" w:type="dxa"/>
            <w:shd w:val="clear" w:color="auto" w:fill="auto"/>
            <w:noWrap/>
            <w:vAlign w:val="bottom"/>
            <w:hideMark/>
          </w:tcPr>
          <w:p w14:paraId="13C2903A" w14:textId="77777777" w:rsidR="005B5953" w:rsidRPr="005B12AE" w:rsidRDefault="005B5953" w:rsidP="00250DAC">
            <w:pPr>
              <w:spacing w:after="0" w:line="240" w:lineRule="auto"/>
              <w:jc w:val="center"/>
              <w:rPr>
                <w:rFonts w:ascii="Times New Roman" w:hAnsi="Times New Roman"/>
                <w:sz w:val="20"/>
                <w:szCs w:val="20"/>
              </w:rPr>
            </w:pPr>
          </w:p>
        </w:tc>
        <w:tc>
          <w:tcPr>
            <w:tcW w:w="1671" w:type="dxa"/>
            <w:shd w:val="clear" w:color="auto" w:fill="auto"/>
            <w:noWrap/>
            <w:vAlign w:val="bottom"/>
            <w:hideMark/>
          </w:tcPr>
          <w:p w14:paraId="2A23C362" w14:textId="77777777" w:rsidR="005B5953" w:rsidRPr="005B12AE" w:rsidRDefault="005B5953" w:rsidP="00250DAC">
            <w:pPr>
              <w:spacing w:after="0" w:line="240" w:lineRule="auto"/>
              <w:jc w:val="center"/>
              <w:rPr>
                <w:rFonts w:ascii="Times New Roman" w:hAnsi="Times New Roman"/>
                <w:sz w:val="20"/>
                <w:szCs w:val="20"/>
              </w:rPr>
            </w:pPr>
          </w:p>
        </w:tc>
        <w:tc>
          <w:tcPr>
            <w:tcW w:w="1660" w:type="dxa"/>
            <w:shd w:val="clear" w:color="auto" w:fill="auto"/>
            <w:noWrap/>
            <w:vAlign w:val="bottom"/>
            <w:hideMark/>
          </w:tcPr>
          <w:p w14:paraId="390B56ED" w14:textId="77777777" w:rsidR="005B5953" w:rsidRPr="005B12AE" w:rsidRDefault="005B5953" w:rsidP="00250DAC">
            <w:pPr>
              <w:spacing w:after="0" w:line="240" w:lineRule="auto"/>
              <w:jc w:val="center"/>
              <w:rPr>
                <w:rFonts w:ascii="Times New Roman" w:hAnsi="Times New Roman"/>
                <w:sz w:val="20"/>
                <w:szCs w:val="20"/>
              </w:rPr>
            </w:pPr>
          </w:p>
        </w:tc>
        <w:tc>
          <w:tcPr>
            <w:tcW w:w="1122" w:type="dxa"/>
            <w:shd w:val="clear" w:color="auto" w:fill="auto"/>
            <w:noWrap/>
            <w:vAlign w:val="bottom"/>
            <w:hideMark/>
          </w:tcPr>
          <w:p w14:paraId="03129127" w14:textId="77777777" w:rsidR="005B5953" w:rsidRPr="005B12AE" w:rsidRDefault="005B5953" w:rsidP="00250DAC">
            <w:pPr>
              <w:spacing w:after="0" w:line="240" w:lineRule="auto"/>
              <w:jc w:val="center"/>
              <w:rPr>
                <w:rFonts w:ascii="Times New Roman" w:hAnsi="Times New Roman"/>
                <w:sz w:val="20"/>
                <w:szCs w:val="20"/>
              </w:rPr>
            </w:pPr>
          </w:p>
        </w:tc>
        <w:tc>
          <w:tcPr>
            <w:tcW w:w="1103" w:type="dxa"/>
            <w:shd w:val="clear" w:color="auto" w:fill="auto"/>
            <w:noWrap/>
            <w:vAlign w:val="bottom"/>
            <w:hideMark/>
          </w:tcPr>
          <w:p w14:paraId="7A572A7B" w14:textId="77777777" w:rsidR="005B5953" w:rsidRPr="005B12AE" w:rsidRDefault="005B5953" w:rsidP="00250DAC">
            <w:pPr>
              <w:spacing w:after="0" w:line="240" w:lineRule="auto"/>
              <w:jc w:val="center"/>
              <w:rPr>
                <w:rFonts w:ascii="Times New Roman" w:hAnsi="Times New Roman"/>
                <w:sz w:val="20"/>
                <w:szCs w:val="20"/>
              </w:rPr>
            </w:pPr>
          </w:p>
        </w:tc>
        <w:tc>
          <w:tcPr>
            <w:tcW w:w="1105" w:type="dxa"/>
            <w:shd w:val="clear" w:color="auto" w:fill="auto"/>
            <w:noWrap/>
            <w:vAlign w:val="bottom"/>
            <w:hideMark/>
          </w:tcPr>
          <w:p w14:paraId="7D059C0E" w14:textId="77777777" w:rsidR="005B5953" w:rsidRPr="005B12AE" w:rsidRDefault="005B5953" w:rsidP="00250DAC">
            <w:pPr>
              <w:spacing w:after="0" w:line="240" w:lineRule="auto"/>
              <w:jc w:val="center"/>
              <w:rPr>
                <w:rFonts w:ascii="Times New Roman" w:hAnsi="Times New Roman"/>
                <w:sz w:val="20"/>
                <w:szCs w:val="20"/>
              </w:rPr>
            </w:pPr>
          </w:p>
        </w:tc>
        <w:tc>
          <w:tcPr>
            <w:tcW w:w="1680" w:type="dxa"/>
            <w:shd w:val="clear" w:color="auto" w:fill="auto"/>
            <w:noWrap/>
            <w:vAlign w:val="bottom"/>
            <w:hideMark/>
          </w:tcPr>
          <w:p w14:paraId="5B40C117" w14:textId="77777777" w:rsidR="005B5953" w:rsidRPr="005B12AE" w:rsidRDefault="005B5953" w:rsidP="00250DAC">
            <w:pPr>
              <w:spacing w:after="0" w:line="240" w:lineRule="auto"/>
              <w:jc w:val="center"/>
              <w:rPr>
                <w:rFonts w:ascii="Times New Roman" w:hAnsi="Times New Roman"/>
                <w:sz w:val="20"/>
                <w:szCs w:val="20"/>
              </w:rPr>
            </w:pPr>
          </w:p>
        </w:tc>
        <w:tc>
          <w:tcPr>
            <w:tcW w:w="1359" w:type="dxa"/>
            <w:shd w:val="clear" w:color="auto" w:fill="auto"/>
            <w:noWrap/>
            <w:vAlign w:val="bottom"/>
            <w:hideMark/>
          </w:tcPr>
          <w:p w14:paraId="5E3C80DF" w14:textId="77777777" w:rsidR="005B5953" w:rsidRPr="005B12AE" w:rsidRDefault="005B5953" w:rsidP="00250DAC">
            <w:pPr>
              <w:spacing w:after="0" w:line="240" w:lineRule="auto"/>
              <w:jc w:val="center"/>
              <w:rPr>
                <w:rFonts w:ascii="Times New Roman" w:hAnsi="Times New Roman"/>
                <w:sz w:val="20"/>
                <w:szCs w:val="20"/>
              </w:rPr>
            </w:pPr>
          </w:p>
        </w:tc>
        <w:tc>
          <w:tcPr>
            <w:tcW w:w="1122" w:type="dxa"/>
            <w:shd w:val="clear" w:color="auto" w:fill="auto"/>
            <w:noWrap/>
            <w:vAlign w:val="bottom"/>
            <w:hideMark/>
          </w:tcPr>
          <w:p w14:paraId="5228CBF8" w14:textId="77777777" w:rsidR="005B5953" w:rsidRPr="005B12AE" w:rsidRDefault="005B5953" w:rsidP="00250DAC">
            <w:pPr>
              <w:spacing w:after="0" w:line="240" w:lineRule="auto"/>
              <w:jc w:val="center"/>
              <w:rPr>
                <w:rFonts w:ascii="Times New Roman" w:hAnsi="Times New Roman"/>
                <w:sz w:val="20"/>
                <w:szCs w:val="20"/>
              </w:rPr>
            </w:pPr>
          </w:p>
        </w:tc>
        <w:tc>
          <w:tcPr>
            <w:tcW w:w="1122" w:type="dxa"/>
            <w:shd w:val="clear" w:color="auto" w:fill="auto"/>
            <w:noWrap/>
            <w:vAlign w:val="bottom"/>
            <w:hideMark/>
          </w:tcPr>
          <w:p w14:paraId="0225C496"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2CF8A197" w14:textId="77777777" w:rsidTr="00250DAC">
        <w:trPr>
          <w:trHeight w:val="20"/>
        </w:trPr>
        <w:tc>
          <w:tcPr>
            <w:tcW w:w="1977" w:type="dxa"/>
            <w:shd w:val="clear" w:color="auto" w:fill="auto"/>
            <w:noWrap/>
            <w:vAlign w:val="bottom"/>
            <w:hideMark/>
          </w:tcPr>
          <w:p w14:paraId="7BC3271F"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Land</w:t>
            </w:r>
          </w:p>
        </w:tc>
        <w:tc>
          <w:tcPr>
            <w:tcW w:w="1107" w:type="dxa"/>
            <w:shd w:val="clear" w:color="auto" w:fill="auto"/>
            <w:noWrap/>
            <w:vAlign w:val="bottom"/>
            <w:hideMark/>
          </w:tcPr>
          <w:p w14:paraId="08C0BDB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1.91</w:t>
            </w:r>
          </w:p>
        </w:tc>
        <w:tc>
          <w:tcPr>
            <w:tcW w:w="1671" w:type="dxa"/>
            <w:shd w:val="clear" w:color="auto" w:fill="auto"/>
            <w:noWrap/>
            <w:vAlign w:val="bottom"/>
            <w:hideMark/>
          </w:tcPr>
          <w:p w14:paraId="653B974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660" w:type="dxa"/>
            <w:shd w:val="clear" w:color="auto" w:fill="auto"/>
            <w:noWrap/>
            <w:vAlign w:val="bottom"/>
            <w:hideMark/>
          </w:tcPr>
          <w:p w14:paraId="3A288C8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122" w:type="dxa"/>
            <w:shd w:val="clear" w:color="auto" w:fill="auto"/>
            <w:noWrap/>
            <w:vAlign w:val="bottom"/>
            <w:hideMark/>
          </w:tcPr>
          <w:p w14:paraId="40A35D2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1.91</w:t>
            </w:r>
          </w:p>
        </w:tc>
        <w:tc>
          <w:tcPr>
            <w:tcW w:w="1103" w:type="dxa"/>
            <w:shd w:val="clear" w:color="auto" w:fill="auto"/>
            <w:noWrap/>
            <w:vAlign w:val="bottom"/>
            <w:hideMark/>
          </w:tcPr>
          <w:p w14:paraId="56385EC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105" w:type="dxa"/>
            <w:shd w:val="clear" w:color="auto" w:fill="auto"/>
            <w:noWrap/>
            <w:vAlign w:val="bottom"/>
            <w:hideMark/>
          </w:tcPr>
          <w:p w14:paraId="4B99D7E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680" w:type="dxa"/>
            <w:shd w:val="clear" w:color="auto" w:fill="auto"/>
            <w:noWrap/>
            <w:vAlign w:val="bottom"/>
            <w:hideMark/>
          </w:tcPr>
          <w:p w14:paraId="67FDB02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359" w:type="dxa"/>
            <w:shd w:val="clear" w:color="auto" w:fill="auto"/>
            <w:noWrap/>
            <w:vAlign w:val="bottom"/>
            <w:hideMark/>
          </w:tcPr>
          <w:p w14:paraId="0A5BE18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122" w:type="dxa"/>
            <w:shd w:val="clear" w:color="auto" w:fill="auto"/>
            <w:noWrap/>
            <w:vAlign w:val="bottom"/>
            <w:hideMark/>
          </w:tcPr>
          <w:p w14:paraId="01E88AB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1.91</w:t>
            </w:r>
          </w:p>
        </w:tc>
        <w:tc>
          <w:tcPr>
            <w:tcW w:w="1122" w:type="dxa"/>
            <w:shd w:val="clear" w:color="auto" w:fill="auto"/>
            <w:noWrap/>
            <w:vAlign w:val="bottom"/>
            <w:hideMark/>
          </w:tcPr>
          <w:p w14:paraId="511EFDB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1.91</w:t>
            </w:r>
          </w:p>
        </w:tc>
      </w:tr>
      <w:tr w:rsidR="005B5953" w:rsidRPr="005B12AE" w14:paraId="60F04CAD" w14:textId="77777777" w:rsidTr="00250DAC">
        <w:trPr>
          <w:trHeight w:val="20"/>
        </w:trPr>
        <w:tc>
          <w:tcPr>
            <w:tcW w:w="1977" w:type="dxa"/>
            <w:shd w:val="clear" w:color="auto" w:fill="auto"/>
            <w:noWrap/>
            <w:vAlign w:val="bottom"/>
            <w:hideMark/>
          </w:tcPr>
          <w:p w14:paraId="595BE03E"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Factory Building</w:t>
            </w:r>
          </w:p>
        </w:tc>
        <w:tc>
          <w:tcPr>
            <w:tcW w:w="1107" w:type="dxa"/>
            <w:shd w:val="clear" w:color="auto" w:fill="auto"/>
            <w:noWrap/>
            <w:vAlign w:val="bottom"/>
            <w:hideMark/>
          </w:tcPr>
          <w:p w14:paraId="34B681D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186.96</w:t>
            </w:r>
          </w:p>
        </w:tc>
        <w:tc>
          <w:tcPr>
            <w:tcW w:w="1671" w:type="dxa"/>
            <w:shd w:val="clear" w:color="auto" w:fill="auto"/>
            <w:noWrap/>
            <w:vAlign w:val="bottom"/>
            <w:hideMark/>
          </w:tcPr>
          <w:p w14:paraId="589EF9D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1.75</w:t>
            </w:r>
          </w:p>
        </w:tc>
        <w:tc>
          <w:tcPr>
            <w:tcW w:w="1660" w:type="dxa"/>
            <w:shd w:val="clear" w:color="auto" w:fill="auto"/>
            <w:noWrap/>
            <w:vAlign w:val="bottom"/>
            <w:hideMark/>
          </w:tcPr>
          <w:p w14:paraId="65E4129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122" w:type="dxa"/>
            <w:shd w:val="clear" w:color="auto" w:fill="auto"/>
            <w:noWrap/>
            <w:vAlign w:val="bottom"/>
            <w:hideMark/>
          </w:tcPr>
          <w:p w14:paraId="79AAD28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188.71</w:t>
            </w:r>
          </w:p>
        </w:tc>
        <w:tc>
          <w:tcPr>
            <w:tcW w:w="1103" w:type="dxa"/>
            <w:shd w:val="clear" w:color="auto" w:fill="auto"/>
            <w:noWrap/>
            <w:vAlign w:val="bottom"/>
            <w:hideMark/>
          </w:tcPr>
          <w:p w14:paraId="295B2F1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126.60</w:t>
            </w:r>
          </w:p>
        </w:tc>
        <w:tc>
          <w:tcPr>
            <w:tcW w:w="1105" w:type="dxa"/>
            <w:shd w:val="clear" w:color="auto" w:fill="auto"/>
            <w:noWrap/>
            <w:vAlign w:val="bottom"/>
            <w:hideMark/>
          </w:tcPr>
          <w:p w14:paraId="2A29E85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5.72</w:t>
            </w:r>
          </w:p>
        </w:tc>
        <w:tc>
          <w:tcPr>
            <w:tcW w:w="1680" w:type="dxa"/>
            <w:shd w:val="clear" w:color="auto" w:fill="auto"/>
            <w:noWrap/>
            <w:vAlign w:val="bottom"/>
            <w:hideMark/>
          </w:tcPr>
          <w:p w14:paraId="24C3DFF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359" w:type="dxa"/>
            <w:shd w:val="clear" w:color="auto" w:fill="auto"/>
            <w:noWrap/>
            <w:vAlign w:val="bottom"/>
            <w:hideMark/>
          </w:tcPr>
          <w:p w14:paraId="09732E8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132.33</w:t>
            </w:r>
          </w:p>
        </w:tc>
        <w:tc>
          <w:tcPr>
            <w:tcW w:w="1122" w:type="dxa"/>
            <w:shd w:val="clear" w:color="auto" w:fill="auto"/>
            <w:noWrap/>
            <w:vAlign w:val="bottom"/>
            <w:hideMark/>
          </w:tcPr>
          <w:p w14:paraId="22CD45F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56.38</w:t>
            </w:r>
          </w:p>
        </w:tc>
        <w:tc>
          <w:tcPr>
            <w:tcW w:w="1122" w:type="dxa"/>
            <w:shd w:val="clear" w:color="auto" w:fill="auto"/>
            <w:noWrap/>
            <w:vAlign w:val="bottom"/>
            <w:hideMark/>
          </w:tcPr>
          <w:p w14:paraId="3802DD4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60.36</w:t>
            </w:r>
          </w:p>
        </w:tc>
      </w:tr>
      <w:tr w:rsidR="005B5953" w:rsidRPr="005B12AE" w14:paraId="51EB5A19" w14:textId="77777777" w:rsidTr="00250DAC">
        <w:trPr>
          <w:trHeight w:val="20"/>
        </w:trPr>
        <w:tc>
          <w:tcPr>
            <w:tcW w:w="1977" w:type="dxa"/>
            <w:shd w:val="clear" w:color="auto" w:fill="auto"/>
            <w:noWrap/>
            <w:vAlign w:val="bottom"/>
            <w:hideMark/>
          </w:tcPr>
          <w:p w14:paraId="7DBA7F28"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Computer</w:t>
            </w:r>
          </w:p>
        </w:tc>
        <w:tc>
          <w:tcPr>
            <w:tcW w:w="1107" w:type="dxa"/>
            <w:shd w:val="clear" w:color="auto" w:fill="auto"/>
            <w:noWrap/>
            <w:vAlign w:val="bottom"/>
            <w:hideMark/>
          </w:tcPr>
          <w:p w14:paraId="76AD1A7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6.07</w:t>
            </w:r>
          </w:p>
        </w:tc>
        <w:tc>
          <w:tcPr>
            <w:tcW w:w="1671" w:type="dxa"/>
            <w:shd w:val="clear" w:color="auto" w:fill="auto"/>
            <w:noWrap/>
            <w:vAlign w:val="bottom"/>
            <w:hideMark/>
          </w:tcPr>
          <w:p w14:paraId="69DD27A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1.23</w:t>
            </w:r>
          </w:p>
        </w:tc>
        <w:tc>
          <w:tcPr>
            <w:tcW w:w="1660" w:type="dxa"/>
            <w:shd w:val="clear" w:color="auto" w:fill="auto"/>
            <w:noWrap/>
            <w:vAlign w:val="bottom"/>
            <w:hideMark/>
          </w:tcPr>
          <w:p w14:paraId="644775E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122" w:type="dxa"/>
            <w:shd w:val="clear" w:color="auto" w:fill="auto"/>
            <w:noWrap/>
            <w:vAlign w:val="bottom"/>
            <w:hideMark/>
          </w:tcPr>
          <w:p w14:paraId="2483144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7.31</w:t>
            </w:r>
          </w:p>
        </w:tc>
        <w:tc>
          <w:tcPr>
            <w:tcW w:w="1103" w:type="dxa"/>
            <w:shd w:val="clear" w:color="auto" w:fill="auto"/>
            <w:noWrap/>
            <w:vAlign w:val="bottom"/>
            <w:hideMark/>
          </w:tcPr>
          <w:p w14:paraId="53ACECA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5.44</w:t>
            </w:r>
          </w:p>
        </w:tc>
        <w:tc>
          <w:tcPr>
            <w:tcW w:w="1105" w:type="dxa"/>
            <w:shd w:val="clear" w:color="auto" w:fill="auto"/>
            <w:noWrap/>
            <w:vAlign w:val="bottom"/>
            <w:hideMark/>
          </w:tcPr>
          <w:p w14:paraId="2C00E51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0.34</w:t>
            </w:r>
          </w:p>
        </w:tc>
        <w:tc>
          <w:tcPr>
            <w:tcW w:w="1680" w:type="dxa"/>
            <w:shd w:val="clear" w:color="auto" w:fill="auto"/>
            <w:noWrap/>
            <w:vAlign w:val="bottom"/>
            <w:hideMark/>
          </w:tcPr>
          <w:p w14:paraId="3960A1C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359" w:type="dxa"/>
            <w:shd w:val="clear" w:color="auto" w:fill="auto"/>
            <w:noWrap/>
            <w:vAlign w:val="bottom"/>
            <w:hideMark/>
          </w:tcPr>
          <w:p w14:paraId="4B2C338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5.78</w:t>
            </w:r>
          </w:p>
        </w:tc>
        <w:tc>
          <w:tcPr>
            <w:tcW w:w="1122" w:type="dxa"/>
            <w:shd w:val="clear" w:color="auto" w:fill="auto"/>
            <w:noWrap/>
            <w:vAlign w:val="bottom"/>
            <w:hideMark/>
          </w:tcPr>
          <w:p w14:paraId="79C0A34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1.53</w:t>
            </w:r>
          </w:p>
        </w:tc>
        <w:tc>
          <w:tcPr>
            <w:tcW w:w="1122" w:type="dxa"/>
            <w:shd w:val="clear" w:color="auto" w:fill="auto"/>
            <w:noWrap/>
            <w:vAlign w:val="bottom"/>
            <w:hideMark/>
          </w:tcPr>
          <w:p w14:paraId="6E446BE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0.64</w:t>
            </w:r>
          </w:p>
        </w:tc>
      </w:tr>
      <w:tr w:rsidR="005B5953" w:rsidRPr="005B12AE" w14:paraId="2CC98B0E" w14:textId="77777777" w:rsidTr="00250DAC">
        <w:trPr>
          <w:trHeight w:val="20"/>
        </w:trPr>
        <w:tc>
          <w:tcPr>
            <w:tcW w:w="1977" w:type="dxa"/>
            <w:shd w:val="clear" w:color="auto" w:fill="auto"/>
            <w:noWrap/>
            <w:vAlign w:val="bottom"/>
            <w:hideMark/>
          </w:tcPr>
          <w:p w14:paraId="4CEC564F"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Plant &amp; Machinery</w:t>
            </w:r>
          </w:p>
        </w:tc>
        <w:tc>
          <w:tcPr>
            <w:tcW w:w="1107" w:type="dxa"/>
            <w:shd w:val="clear" w:color="auto" w:fill="auto"/>
            <w:noWrap/>
            <w:vAlign w:val="bottom"/>
            <w:hideMark/>
          </w:tcPr>
          <w:p w14:paraId="21B7FDC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440.36</w:t>
            </w:r>
          </w:p>
        </w:tc>
        <w:tc>
          <w:tcPr>
            <w:tcW w:w="1671" w:type="dxa"/>
            <w:shd w:val="clear" w:color="auto" w:fill="auto"/>
            <w:noWrap/>
            <w:vAlign w:val="bottom"/>
            <w:hideMark/>
          </w:tcPr>
          <w:p w14:paraId="2A8E7B8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660" w:type="dxa"/>
            <w:shd w:val="clear" w:color="auto" w:fill="auto"/>
            <w:noWrap/>
            <w:vAlign w:val="bottom"/>
            <w:hideMark/>
          </w:tcPr>
          <w:p w14:paraId="3726B10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122" w:type="dxa"/>
            <w:shd w:val="clear" w:color="auto" w:fill="auto"/>
            <w:noWrap/>
            <w:vAlign w:val="bottom"/>
            <w:hideMark/>
          </w:tcPr>
          <w:p w14:paraId="62624D7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440.36</w:t>
            </w:r>
          </w:p>
        </w:tc>
        <w:tc>
          <w:tcPr>
            <w:tcW w:w="1103" w:type="dxa"/>
            <w:shd w:val="clear" w:color="auto" w:fill="auto"/>
            <w:noWrap/>
            <w:vAlign w:val="bottom"/>
            <w:hideMark/>
          </w:tcPr>
          <w:p w14:paraId="70425B4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364.82</w:t>
            </w:r>
          </w:p>
        </w:tc>
        <w:tc>
          <w:tcPr>
            <w:tcW w:w="1105" w:type="dxa"/>
            <w:shd w:val="clear" w:color="auto" w:fill="auto"/>
            <w:noWrap/>
            <w:vAlign w:val="bottom"/>
            <w:hideMark/>
          </w:tcPr>
          <w:p w14:paraId="3CB430C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8.91</w:t>
            </w:r>
          </w:p>
        </w:tc>
        <w:tc>
          <w:tcPr>
            <w:tcW w:w="1680" w:type="dxa"/>
            <w:shd w:val="clear" w:color="auto" w:fill="auto"/>
            <w:noWrap/>
            <w:vAlign w:val="bottom"/>
            <w:hideMark/>
          </w:tcPr>
          <w:p w14:paraId="67BFD32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359" w:type="dxa"/>
            <w:shd w:val="clear" w:color="auto" w:fill="auto"/>
            <w:noWrap/>
            <w:vAlign w:val="bottom"/>
            <w:hideMark/>
          </w:tcPr>
          <w:p w14:paraId="451453F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373.73</w:t>
            </w:r>
          </w:p>
        </w:tc>
        <w:tc>
          <w:tcPr>
            <w:tcW w:w="1122" w:type="dxa"/>
            <w:shd w:val="clear" w:color="auto" w:fill="auto"/>
            <w:noWrap/>
            <w:vAlign w:val="bottom"/>
            <w:hideMark/>
          </w:tcPr>
          <w:p w14:paraId="37E6DC1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66.63</w:t>
            </w:r>
          </w:p>
        </w:tc>
        <w:tc>
          <w:tcPr>
            <w:tcW w:w="1122" w:type="dxa"/>
            <w:shd w:val="clear" w:color="auto" w:fill="auto"/>
            <w:noWrap/>
            <w:vAlign w:val="bottom"/>
            <w:hideMark/>
          </w:tcPr>
          <w:p w14:paraId="2E9532C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75.54</w:t>
            </w:r>
          </w:p>
        </w:tc>
      </w:tr>
      <w:tr w:rsidR="005B5953" w:rsidRPr="005B12AE" w14:paraId="6D210F63" w14:textId="77777777" w:rsidTr="00250DAC">
        <w:trPr>
          <w:trHeight w:val="20"/>
        </w:trPr>
        <w:tc>
          <w:tcPr>
            <w:tcW w:w="1977" w:type="dxa"/>
            <w:shd w:val="clear" w:color="auto" w:fill="auto"/>
            <w:noWrap/>
            <w:vAlign w:val="bottom"/>
            <w:hideMark/>
          </w:tcPr>
          <w:p w14:paraId="4AE8699C"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Plant &amp; Machinery - New</w:t>
            </w:r>
          </w:p>
        </w:tc>
        <w:tc>
          <w:tcPr>
            <w:tcW w:w="1107" w:type="dxa"/>
            <w:shd w:val="clear" w:color="auto" w:fill="auto"/>
            <w:noWrap/>
            <w:vAlign w:val="bottom"/>
            <w:hideMark/>
          </w:tcPr>
          <w:p w14:paraId="5128512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771.58</w:t>
            </w:r>
          </w:p>
        </w:tc>
        <w:tc>
          <w:tcPr>
            <w:tcW w:w="1671" w:type="dxa"/>
            <w:shd w:val="clear" w:color="auto" w:fill="auto"/>
            <w:noWrap/>
            <w:vAlign w:val="bottom"/>
            <w:hideMark/>
          </w:tcPr>
          <w:p w14:paraId="12BD0F1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131.69</w:t>
            </w:r>
          </w:p>
        </w:tc>
        <w:tc>
          <w:tcPr>
            <w:tcW w:w="1660" w:type="dxa"/>
            <w:shd w:val="clear" w:color="auto" w:fill="auto"/>
            <w:noWrap/>
            <w:vAlign w:val="bottom"/>
            <w:hideMark/>
          </w:tcPr>
          <w:p w14:paraId="79F8D6B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0.61</w:t>
            </w:r>
          </w:p>
        </w:tc>
        <w:tc>
          <w:tcPr>
            <w:tcW w:w="1122" w:type="dxa"/>
            <w:shd w:val="clear" w:color="auto" w:fill="auto"/>
            <w:noWrap/>
            <w:vAlign w:val="bottom"/>
            <w:hideMark/>
          </w:tcPr>
          <w:p w14:paraId="5A524A3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902.67</w:t>
            </w:r>
          </w:p>
        </w:tc>
        <w:tc>
          <w:tcPr>
            <w:tcW w:w="1103" w:type="dxa"/>
            <w:shd w:val="clear" w:color="auto" w:fill="auto"/>
            <w:noWrap/>
            <w:vAlign w:val="bottom"/>
            <w:hideMark/>
          </w:tcPr>
          <w:p w14:paraId="21F676C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312.25</w:t>
            </w:r>
          </w:p>
        </w:tc>
        <w:tc>
          <w:tcPr>
            <w:tcW w:w="1105" w:type="dxa"/>
            <w:shd w:val="clear" w:color="auto" w:fill="auto"/>
            <w:noWrap/>
            <w:vAlign w:val="bottom"/>
            <w:hideMark/>
          </w:tcPr>
          <w:p w14:paraId="0738674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97.04</w:t>
            </w:r>
          </w:p>
        </w:tc>
        <w:tc>
          <w:tcPr>
            <w:tcW w:w="1680" w:type="dxa"/>
            <w:shd w:val="clear" w:color="auto" w:fill="auto"/>
            <w:noWrap/>
            <w:vAlign w:val="bottom"/>
            <w:hideMark/>
          </w:tcPr>
          <w:p w14:paraId="19DDAE6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359" w:type="dxa"/>
            <w:shd w:val="clear" w:color="auto" w:fill="auto"/>
            <w:noWrap/>
            <w:vAlign w:val="bottom"/>
            <w:hideMark/>
          </w:tcPr>
          <w:p w14:paraId="6877BEE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409.29</w:t>
            </w:r>
          </w:p>
        </w:tc>
        <w:tc>
          <w:tcPr>
            <w:tcW w:w="1122" w:type="dxa"/>
            <w:shd w:val="clear" w:color="auto" w:fill="auto"/>
            <w:noWrap/>
            <w:vAlign w:val="bottom"/>
            <w:hideMark/>
          </w:tcPr>
          <w:p w14:paraId="54E404A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493.37</w:t>
            </w:r>
          </w:p>
        </w:tc>
        <w:tc>
          <w:tcPr>
            <w:tcW w:w="1122" w:type="dxa"/>
            <w:shd w:val="clear" w:color="auto" w:fill="auto"/>
            <w:noWrap/>
            <w:vAlign w:val="bottom"/>
            <w:hideMark/>
          </w:tcPr>
          <w:p w14:paraId="4A92645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459.33</w:t>
            </w:r>
          </w:p>
        </w:tc>
      </w:tr>
      <w:tr w:rsidR="005B5953" w:rsidRPr="005B12AE" w14:paraId="49E54F02" w14:textId="77777777" w:rsidTr="00250DAC">
        <w:trPr>
          <w:trHeight w:val="20"/>
        </w:trPr>
        <w:tc>
          <w:tcPr>
            <w:tcW w:w="1977" w:type="dxa"/>
            <w:shd w:val="clear" w:color="auto" w:fill="auto"/>
            <w:noWrap/>
            <w:vAlign w:val="bottom"/>
            <w:hideMark/>
          </w:tcPr>
          <w:p w14:paraId="28582D5F"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Furniture &amp; Fixture</w:t>
            </w:r>
          </w:p>
        </w:tc>
        <w:tc>
          <w:tcPr>
            <w:tcW w:w="1107" w:type="dxa"/>
            <w:shd w:val="clear" w:color="auto" w:fill="auto"/>
            <w:noWrap/>
            <w:vAlign w:val="bottom"/>
            <w:hideMark/>
          </w:tcPr>
          <w:p w14:paraId="59D1584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44.38</w:t>
            </w:r>
          </w:p>
        </w:tc>
        <w:tc>
          <w:tcPr>
            <w:tcW w:w="1671" w:type="dxa"/>
            <w:shd w:val="clear" w:color="auto" w:fill="auto"/>
            <w:noWrap/>
            <w:vAlign w:val="bottom"/>
            <w:hideMark/>
          </w:tcPr>
          <w:p w14:paraId="4F34493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6.83</w:t>
            </w:r>
          </w:p>
        </w:tc>
        <w:tc>
          <w:tcPr>
            <w:tcW w:w="1660" w:type="dxa"/>
            <w:shd w:val="clear" w:color="auto" w:fill="auto"/>
            <w:noWrap/>
            <w:vAlign w:val="bottom"/>
            <w:hideMark/>
          </w:tcPr>
          <w:p w14:paraId="23E9063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122" w:type="dxa"/>
            <w:shd w:val="clear" w:color="auto" w:fill="auto"/>
            <w:noWrap/>
            <w:vAlign w:val="bottom"/>
            <w:hideMark/>
          </w:tcPr>
          <w:p w14:paraId="3DA039E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51.21</w:t>
            </w:r>
          </w:p>
        </w:tc>
        <w:tc>
          <w:tcPr>
            <w:tcW w:w="1103" w:type="dxa"/>
            <w:shd w:val="clear" w:color="auto" w:fill="auto"/>
            <w:noWrap/>
            <w:vAlign w:val="bottom"/>
            <w:hideMark/>
          </w:tcPr>
          <w:p w14:paraId="46DA4F8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36.74</w:t>
            </w:r>
          </w:p>
        </w:tc>
        <w:tc>
          <w:tcPr>
            <w:tcW w:w="1105" w:type="dxa"/>
            <w:shd w:val="clear" w:color="auto" w:fill="auto"/>
            <w:noWrap/>
            <w:vAlign w:val="bottom"/>
            <w:hideMark/>
          </w:tcPr>
          <w:p w14:paraId="4029A42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2.78</w:t>
            </w:r>
          </w:p>
        </w:tc>
        <w:tc>
          <w:tcPr>
            <w:tcW w:w="1680" w:type="dxa"/>
            <w:shd w:val="clear" w:color="auto" w:fill="auto"/>
            <w:noWrap/>
            <w:vAlign w:val="bottom"/>
            <w:hideMark/>
          </w:tcPr>
          <w:p w14:paraId="188AD87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359" w:type="dxa"/>
            <w:shd w:val="clear" w:color="auto" w:fill="auto"/>
            <w:noWrap/>
            <w:vAlign w:val="bottom"/>
            <w:hideMark/>
          </w:tcPr>
          <w:p w14:paraId="219F097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39.52</w:t>
            </w:r>
          </w:p>
        </w:tc>
        <w:tc>
          <w:tcPr>
            <w:tcW w:w="1122" w:type="dxa"/>
            <w:shd w:val="clear" w:color="auto" w:fill="auto"/>
            <w:noWrap/>
            <w:vAlign w:val="bottom"/>
            <w:hideMark/>
          </w:tcPr>
          <w:p w14:paraId="6D3B424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11.69</w:t>
            </w:r>
          </w:p>
        </w:tc>
        <w:tc>
          <w:tcPr>
            <w:tcW w:w="1122" w:type="dxa"/>
            <w:shd w:val="clear" w:color="auto" w:fill="auto"/>
            <w:noWrap/>
            <w:vAlign w:val="bottom"/>
            <w:hideMark/>
          </w:tcPr>
          <w:p w14:paraId="156B213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7.64</w:t>
            </w:r>
          </w:p>
        </w:tc>
      </w:tr>
      <w:tr w:rsidR="005B5953" w:rsidRPr="005B12AE" w14:paraId="081A2159" w14:textId="77777777" w:rsidTr="00250DAC">
        <w:trPr>
          <w:trHeight w:val="20"/>
        </w:trPr>
        <w:tc>
          <w:tcPr>
            <w:tcW w:w="1977" w:type="dxa"/>
            <w:shd w:val="clear" w:color="auto" w:fill="auto"/>
            <w:noWrap/>
            <w:vAlign w:val="bottom"/>
            <w:hideMark/>
          </w:tcPr>
          <w:p w14:paraId="7D14E361"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Office Equipment’s</w:t>
            </w:r>
          </w:p>
        </w:tc>
        <w:tc>
          <w:tcPr>
            <w:tcW w:w="1107" w:type="dxa"/>
            <w:shd w:val="clear" w:color="auto" w:fill="auto"/>
            <w:noWrap/>
            <w:vAlign w:val="bottom"/>
            <w:hideMark/>
          </w:tcPr>
          <w:p w14:paraId="2563F06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21.01</w:t>
            </w:r>
          </w:p>
        </w:tc>
        <w:tc>
          <w:tcPr>
            <w:tcW w:w="1671" w:type="dxa"/>
            <w:shd w:val="clear" w:color="auto" w:fill="auto"/>
            <w:noWrap/>
            <w:vAlign w:val="bottom"/>
            <w:hideMark/>
          </w:tcPr>
          <w:p w14:paraId="060A9C7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6.53</w:t>
            </w:r>
          </w:p>
        </w:tc>
        <w:tc>
          <w:tcPr>
            <w:tcW w:w="1660" w:type="dxa"/>
            <w:shd w:val="clear" w:color="auto" w:fill="auto"/>
            <w:noWrap/>
            <w:vAlign w:val="bottom"/>
            <w:hideMark/>
          </w:tcPr>
          <w:p w14:paraId="6021ADD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122" w:type="dxa"/>
            <w:shd w:val="clear" w:color="auto" w:fill="auto"/>
            <w:noWrap/>
            <w:vAlign w:val="bottom"/>
            <w:hideMark/>
          </w:tcPr>
          <w:p w14:paraId="0717E44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27.54</w:t>
            </w:r>
          </w:p>
        </w:tc>
        <w:tc>
          <w:tcPr>
            <w:tcW w:w="1103" w:type="dxa"/>
            <w:shd w:val="clear" w:color="auto" w:fill="auto"/>
            <w:noWrap/>
            <w:vAlign w:val="bottom"/>
            <w:hideMark/>
          </w:tcPr>
          <w:p w14:paraId="3A9E693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16.39</w:t>
            </w:r>
          </w:p>
        </w:tc>
        <w:tc>
          <w:tcPr>
            <w:tcW w:w="1105" w:type="dxa"/>
            <w:shd w:val="clear" w:color="auto" w:fill="auto"/>
            <w:noWrap/>
            <w:vAlign w:val="bottom"/>
            <w:hideMark/>
          </w:tcPr>
          <w:p w14:paraId="6A36430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3.00</w:t>
            </w:r>
          </w:p>
        </w:tc>
        <w:tc>
          <w:tcPr>
            <w:tcW w:w="1680" w:type="dxa"/>
            <w:shd w:val="clear" w:color="auto" w:fill="auto"/>
            <w:noWrap/>
            <w:vAlign w:val="bottom"/>
            <w:hideMark/>
          </w:tcPr>
          <w:p w14:paraId="3EB5852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359" w:type="dxa"/>
            <w:shd w:val="clear" w:color="auto" w:fill="auto"/>
            <w:noWrap/>
            <w:vAlign w:val="bottom"/>
            <w:hideMark/>
          </w:tcPr>
          <w:p w14:paraId="54C1484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19.40</w:t>
            </w:r>
          </w:p>
        </w:tc>
        <w:tc>
          <w:tcPr>
            <w:tcW w:w="1122" w:type="dxa"/>
            <w:shd w:val="clear" w:color="auto" w:fill="auto"/>
            <w:noWrap/>
            <w:vAlign w:val="bottom"/>
            <w:hideMark/>
          </w:tcPr>
          <w:p w14:paraId="15FEF7A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8.14</w:t>
            </w:r>
          </w:p>
        </w:tc>
        <w:tc>
          <w:tcPr>
            <w:tcW w:w="1122" w:type="dxa"/>
            <w:shd w:val="clear" w:color="auto" w:fill="auto"/>
            <w:noWrap/>
            <w:vAlign w:val="bottom"/>
            <w:hideMark/>
          </w:tcPr>
          <w:p w14:paraId="71709BE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4.61</w:t>
            </w:r>
          </w:p>
        </w:tc>
      </w:tr>
      <w:tr w:rsidR="005B5953" w:rsidRPr="005B12AE" w14:paraId="4C6466F8" w14:textId="77777777" w:rsidTr="00250DAC">
        <w:trPr>
          <w:trHeight w:val="20"/>
        </w:trPr>
        <w:tc>
          <w:tcPr>
            <w:tcW w:w="1977" w:type="dxa"/>
            <w:shd w:val="clear" w:color="auto" w:fill="auto"/>
            <w:noWrap/>
            <w:vAlign w:val="bottom"/>
            <w:hideMark/>
          </w:tcPr>
          <w:p w14:paraId="6D7E15CA"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Electrical Fittings</w:t>
            </w:r>
          </w:p>
        </w:tc>
        <w:tc>
          <w:tcPr>
            <w:tcW w:w="1107" w:type="dxa"/>
            <w:shd w:val="clear" w:color="auto" w:fill="auto"/>
            <w:noWrap/>
            <w:vAlign w:val="bottom"/>
            <w:hideMark/>
          </w:tcPr>
          <w:p w14:paraId="1916EB0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107.41</w:t>
            </w:r>
          </w:p>
        </w:tc>
        <w:tc>
          <w:tcPr>
            <w:tcW w:w="1671" w:type="dxa"/>
            <w:shd w:val="clear" w:color="auto" w:fill="auto"/>
            <w:noWrap/>
            <w:vAlign w:val="bottom"/>
            <w:hideMark/>
          </w:tcPr>
          <w:p w14:paraId="1F4272B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3.00</w:t>
            </w:r>
          </w:p>
        </w:tc>
        <w:tc>
          <w:tcPr>
            <w:tcW w:w="1660" w:type="dxa"/>
            <w:shd w:val="clear" w:color="auto" w:fill="auto"/>
            <w:noWrap/>
            <w:vAlign w:val="bottom"/>
            <w:hideMark/>
          </w:tcPr>
          <w:p w14:paraId="53367DF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122" w:type="dxa"/>
            <w:shd w:val="clear" w:color="auto" w:fill="auto"/>
            <w:noWrap/>
            <w:vAlign w:val="bottom"/>
            <w:hideMark/>
          </w:tcPr>
          <w:p w14:paraId="6C8A3C4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110.40</w:t>
            </w:r>
          </w:p>
        </w:tc>
        <w:tc>
          <w:tcPr>
            <w:tcW w:w="1103" w:type="dxa"/>
            <w:shd w:val="clear" w:color="auto" w:fill="auto"/>
            <w:noWrap/>
            <w:vAlign w:val="bottom"/>
            <w:hideMark/>
          </w:tcPr>
          <w:p w14:paraId="0E372C5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101.51</w:t>
            </w:r>
          </w:p>
        </w:tc>
        <w:tc>
          <w:tcPr>
            <w:tcW w:w="1105" w:type="dxa"/>
            <w:shd w:val="clear" w:color="auto" w:fill="auto"/>
            <w:noWrap/>
            <w:vAlign w:val="bottom"/>
            <w:hideMark/>
          </w:tcPr>
          <w:p w14:paraId="75ACB01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0.58</w:t>
            </w:r>
          </w:p>
        </w:tc>
        <w:tc>
          <w:tcPr>
            <w:tcW w:w="1680" w:type="dxa"/>
            <w:shd w:val="clear" w:color="auto" w:fill="auto"/>
            <w:noWrap/>
            <w:vAlign w:val="bottom"/>
            <w:hideMark/>
          </w:tcPr>
          <w:p w14:paraId="7CEC3BD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359" w:type="dxa"/>
            <w:shd w:val="clear" w:color="auto" w:fill="auto"/>
            <w:noWrap/>
            <w:vAlign w:val="bottom"/>
            <w:hideMark/>
          </w:tcPr>
          <w:p w14:paraId="0DBFBCA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102.10</w:t>
            </w:r>
          </w:p>
        </w:tc>
        <w:tc>
          <w:tcPr>
            <w:tcW w:w="1122" w:type="dxa"/>
            <w:shd w:val="clear" w:color="auto" w:fill="auto"/>
            <w:noWrap/>
            <w:vAlign w:val="bottom"/>
            <w:hideMark/>
          </w:tcPr>
          <w:p w14:paraId="0FB4687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8.31</w:t>
            </w:r>
          </w:p>
        </w:tc>
        <w:tc>
          <w:tcPr>
            <w:tcW w:w="1122" w:type="dxa"/>
            <w:shd w:val="clear" w:color="auto" w:fill="auto"/>
            <w:noWrap/>
            <w:vAlign w:val="bottom"/>
            <w:hideMark/>
          </w:tcPr>
          <w:p w14:paraId="17199B3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5.90</w:t>
            </w:r>
          </w:p>
        </w:tc>
      </w:tr>
      <w:tr w:rsidR="005B5953" w:rsidRPr="005B12AE" w14:paraId="42B29C10" w14:textId="77777777" w:rsidTr="00250DAC">
        <w:trPr>
          <w:trHeight w:val="20"/>
        </w:trPr>
        <w:tc>
          <w:tcPr>
            <w:tcW w:w="1977" w:type="dxa"/>
            <w:shd w:val="clear" w:color="auto" w:fill="auto"/>
            <w:noWrap/>
            <w:vAlign w:val="bottom"/>
            <w:hideMark/>
          </w:tcPr>
          <w:p w14:paraId="42CF17B4"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Vehicles</w:t>
            </w:r>
          </w:p>
        </w:tc>
        <w:tc>
          <w:tcPr>
            <w:tcW w:w="1107" w:type="dxa"/>
            <w:shd w:val="clear" w:color="auto" w:fill="auto"/>
            <w:noWrap/>
            <w:vAlign w:val="bottom"/>
            <w:hideMark/>
          </w:tcPr>
          <w:p w14:paraId="1DCD258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81.81</w:t>
            </w:r>
          </w:p>
        </w:tc>
        <w:tc>
          <w:tcPr>
            <w:tcW w:w="1671" w:type="dxa"/>
            <w:shd w:val="clear" w:color="auto" w:fill="auto"/>
            <w:noWrap/>
            <w:vAlign w:val="bottom"/>
            <w:hideMark/>
          </w:tcPr>
          <w:p w14:paraId="6225EE1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9.63</w:t>
            </w:r>
          </w:p>
        </w:tc>
        <w:tc>
          <w:tcPr>
            <w:tcW w:w="1660" w:type="dxa"/>
            <w:shd w:val="clear" w:color="auto" w:fill="auto"/>
            <w:noWrap/>
            <w:vAlign w:val="bottom"/>
            <w:hideMark/>
          </w:tcPr>
          <w:p w14:paraId="642C6CE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122" w:type="dxa"/>
            <w:shd w:val="clear" w:color="auto" w:fill="auto"/>
            <w:noWrap/>
            <w:vAlign w:val="bottom"/>
            <w:hideMark/>
          </w:tcPr>
          <w:p w14:paraId="1759E33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91.44</w:t>
            </w:r>
          </w:p>
        </w:tc>
        <w:tc>
          <w:tcPr>
            <w:tcW w:w="1103" w:type="dxa"/>
            <w:shd w:val="clear" w:color="auto" w:fill="auto"/>
            <w:noWrap/>
            <w:vAlign w:val="bottom"/>
            <w:hideMark/>
          </w:tcPr>
          <w:p w14:paraId="6E6F330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17.84</w:t>
            </w:r>
          </w:p>
        </w:tc>
        <w:tc>
          <w:tcPr>
            <w:tcW w:w="1105" w:type="dxa"/>
            <w:shd w:val="clear" w:color="auto" w:fill="auto"/>
            <w:noWrap/>
            <w:vAlign w:val="bottom"/>
            <w:hideMark/>
          </w:tcPr>
          <w:p w14:paraId="3B06C47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17.35</w:t>
            </w:r>
          </w:p>
        </w:tc>
        <w:tc>
          <w:tcPr>
            <w:tcW w:w="1680" w:type="dxa"/>
            <w:shd w:val="clear" w:color="auto" w:fill="auto"/>
            <w:noWrap/>
            <w:vAlign w:val="bottom"/>
            <w:hideMark/>
          </w:tcPr>
          <w:p w14:paraId="0DAC6A3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359" w:type="dxa"/>
            <w:shd w:val="clear" w:color="auto" w:fill="auto"/>
            <w:noWrap/>
            <w:vAlign w:val="bottom"/>
            <w:hideMark/>
          </w:tcPr>
          <w:p w14:paraId="2A7491E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35.19</w:t>
            </w:r>
          </w:p>
        </w:tc>
        <w:tc>
          <w:tcPr>
            <w:tcW w:w="1122" w:type="dxa"/>
            <w:shd w:val="clear" w:color="auto" w:fill="auto"/>
            <w:noWrap/>
            <w:vAlign w:val="bottom"/>
            <w:hideMark/>
          </w:tcPr>
          <w:p w14:paraId="550E52C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56.25</w:t>
            </w:r>
          </w:p>
        </w:tc>
        <w:tc>
          <w:tcPr>
            <w:tcW w:w="1122" w:type="dxa"/>
            <w:shd w:val="clear" w:color="auto" w:fill="auto"/>
            <w:noWrap/>
            <w:vAlign w:val="bottom"/>
            <w:hideMark/>
          </w:tcPr>
          <w:p w14:paraId="2189E8B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63.97</w:t>
            </w:r>
          </w:p>
        </w:tc>
      </w:tr>
      <w:tr w:rsidR="005B5953" w:rsidRPr="005B12AE" w14:paraId="218508E2" w14:textId="77777777" w:rsidTr="00250DAC">
        <w:trPr>
          <w:trHeight w:val="20"/>
        </w:trPr>
        <w:tc>
          <w:tcPr>
            <w:tcW w:w="1977" w:type="dxa"/>
            <w:shd w:val="clear" w:color="auto" w:fill="auto"/>
            <w:noWrap/>
            <w:vAlign w:val="bottom"/>
            <w:hideMark/>
          </w:tcPr>
          <w:p w14:paraId="5919DFE3"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Intangible Asset</w:t>
            </w:r>
          </w:p>
        </w:tc>
        <w:tc>
          <w:tcPr>
            <w:tcW w:w="1107" w:type="dxa"/>
            <w:shd w:val="clear" w:color="auto" w:fill="auto"/>
            <w:noWrap/>
            <w:vAlign w:val="bottom"/>
            <w:hideMark/>
          </w:tcPr>
          <w:p w14:paraId="50AEEBA5" w14:textId="77777777" w:rsidR="005B5953" w:rsidRPr="005B12AE" w:rsidRDefault="005B5953" w:rsidP="00250DAC">
            <w:pPr>
              <w:spacing w:after="0" w:line="240" w:lineRule="auto"/>
              <w:jc w:val="center"/>
              <w:rPr>
                <w:rFonts w:ascii="Times New Roman" w:hAnsi="Times New Roman"/>
                <w:sz w:val="20"/>
                <w:szCs w:val="20"/>
              </w:rPr>
            </w:pPr>
          </w:p>
        </w:tc>
        <w:tc>
          <w:tcPr>
            <w:tcW w:w="1671" w:type="dxa"/>
            <w:shd w:val="clear" w:color="auto" w:fill="auto"/>
            <w:noWrap/>
            <w:vAlign w:val="bottom"/>
            <w:hideMark/>
          </w:tcPr>
          <w:p w14:paraId="6192ED29" w14:textId="77777777" w:rsidR="005B5953" w:rsidRPr="005B12AE" w:rsidRDefault="005B5953" w:rsidP="00250DAC">
            <w:pPr>
              <w:spacing w:after="0" w:line="240" w:lineRule="auto"/>
              <w:jc w:val="center"/>
              <w:rPr>
                <w:rFonts w:ascii="Times New Roman" w:hAnsi="Times New Roman"/>
                <w:sz w:val="20"/>
                <w:szCs w:val="20"/>
              </w:rPr>
            </w:pPr>
          </w:p>
        </w:tc>
        <w:tc>
          <w:tcPr>
            <w:tcW w:w="1660" w:type="dxa"/>
            <w:shd w:val="clear" w:color="auto" w:fill="auto"/>
            <w:noWrap/>
            <w:vAlign w:val="bottom"/>
            <w:hideMark/>
          </w:tcPr>
          <w:p w14:paraId="5CA11E07" w14:textId="77777777" w:rsidR="005B5953" w:rsidRPr="005B12AE" w:rsidRDefault="005B5953" w:rsidP="00250DAC">
            <w:pPr>
              <w:spacing w:after="0" w:line="240" w:lineRule="auto"/>
              <w:jc w:val="center"/>
              <w:rPr>
                <w:rFonts w:ascii="Times New Roman" w:hAnsi="Times New Roman"/>
                <w:sz w:val="20"/>
                <w:szCs w:val="20"/>
              </w:rPr>
            </w:pPr>
          </w:p>
        </w:tc>
        <w:tc>
          <w:tcPr>
            <w:tcW w:w="1122" w:type="dxa"/>
            <w:shd w:val="clear" w:color="auto" w:fill="auto"/>
            <w:noWrap/>
            <w:vAlign w:val="bottom"/>
            <w:hideMark/>
          </w:tcPr>
          <w:p w14:paraId="2C09CE1B" w14:textId="77777777" w:rsidR="005B5953" w:rsidRPr="005B12AE" w:rsidRDefault="005B5953" w:rsidP="00250DAC">
            <w:pPr>
              <w:spacing w:after="0" w:line="240" w:lineRule="auto"/>
              <w:jc w:val="center"/>
              <w:rPr>
                <w:rFonts w:ascii="Times New Roman" w:hAnsi="Times New Roman"/>
                <w:sz w:val="20"/>
                <w:szCs w:val="20"/>
              </w:rPr>
            </w:pPr>
          </w:p>
        </w:tc>
        <w:tc>
          <w:tcPr>
            <w:tcW w:w="1103" w:type="dxa"/>
            <w:shd w:val="clear" w:color="auto" w:fill="auto"/>
            <w:noWrap/>
            <w:vAlign w:val="bottom"/>
            <w:hideMark/>
          </w:tcPr>
          <w:p w14:paraId="0F34BA4D" w14:textId="77777777" w:rsidR="005B5953" w:rsidRPr="005B12AE" w:rsidRDefault="005B5953" w:rsidP="00250DAC">
            <w:pPr>
              <w:spacing w:after="0" w:line="240" w:lineRule="auto"/>
              <w:jc w:val="center"/>
              <w:rPr>
                <w:rFonts w:ascii="Times New Roman" w:hAnsi="Times New Roman"/>
                <w:sz w:val="20"/>
                <w:szCs w:val="20"/>
              </w:rPr>
            </w:pPr>
          </w:p>
        </w:tc>
        <w:tc>
          <w:tcPr>
            <w:tcW w:w="1105" w:type="dxa"/>
            <w:shd w:val="clear" w:color="auto" w:fill="auto"/>
            <w:noWrap/>
            <w:vAlign w:val="bottom"/>
            <w:hideMark/>
          </w:tcPr>
          <w:p w14:paraId="74DBE34D" w14:textId="77777777" w:rsidR="005B5953" w:rsidRPr="005B12AE" w:rsidRDefault="005B5953" w:rsidP="00250DAC">
            <w:pPr>
              <w:spacing w:after="0" w:line="240" w:lineRule="auto"/>
              <w:jc w:val="center"/>
              <w:rPr>
                <w:rFonts w:ascii="Times New Roman" w:hAnsi="Times New Roman"/>
                <w:sz w:val="20"/>
                <w:szCs w:val="20"/>
              </w:rPr>
            </w:pPr>
          </w:p>
        </w:tc>
        <w:tc>
          <w:tcPr>
            <w:tcW w:w="1680" w:type="dxa"/>
            <w:shd w:val="clear" w:color="auto" w:fill="auto"/>
            <w:noWrap/>
            <w:vAlign w:val="bottom"/>
            <w:hideMark/>
          </w:tcPr>
          <w:p w14:paraId="32ABFE2E" w14:textId="77777777" w:rsidR="005B5953" w:rsidRPr="005B12AE" w:rsidRDefault="005B5953" w:rsidP="00250DAC">
            <w:pPr>
              <w:spacing w:after="0" w:line="240" w:lineRule="auto"/>
              <w:jc w:val="center"/>
              <w:rPr>
                <w:rFonts w:ascii="Times New Roman" w:hAnsi="Times New Roman"/>
                <w:sz w:val="20"/>
                <w:szCs w:val="20"/>
              </w:rPr>
            </w:pPr>
          </w:p>
        </w:tc>
        <w:tc>
          <w:tcPr>
            <w:tcW w:w="1359" w:type="dxa"/>
            <w:shd w:val="clear" w:color="auto" w:fill="auto"/>
            <w:noWrap/>
            <w:vAlign w:val="bottom"/>
            <w:hideMark/>
          </w:tcPr>
          <w:p w14:paraId="0B42F245" w14:textId="77777777" w:rsidR="005B5953" w:rsidRPr="005B12AE" w:rsidRDefault="005B5953" w:rsidP="00250DAC">
            <w:pPr>
              <w:spacing w:after="0" w:line="240" w:lineRule="auto"/>
              <w:jc w:val="center"/>
              <w:rPr>
                <w:rFonts w:ascii="Times New Roman" w:hAnsi="Times New Roman"/>
                <w:sz w:val="20"/>
                <w:szCs w:val="20"/>
              </w:rPr>
            </w:pPr>
          </w:p>
        </w:tc>
        <w:tc>
          <w:tcPr>
            <w:tcW w:w="1122" w:type="dxa"/>
            <w:shd w:val="clear" w:color="auto" w:fill="auto"/>
            <w:noWrap/>
            <w:vAlign w:val="bottom"/>
            <w:hideMark/>
          </w:tcPr>
          <w:p w14:paraId="22550674" w14:textId="77777777" w:rsidR="005B5953" w:rsidRPr="005B12AE" w:rsidRDefault="005B5953" w:rsidP="00250DAC">
            <w:pPr>
              <w:spacing w:after="0" w:line="240" w:lineRule="auto"/>
              <w:jc w:val="center"/>
              <w:rPr>
                <w:rFonts w:ascii="Times New Roman" w:hAnsi="Times New Roman"/>
                <w:sz w:val="20"/>
                <w:szCs w:val="20"/>
              </w:rPr>
            </w:pPr>
          </w:p>
        </w:tc>
        <w:tc>
          <w:tcPr>
            <w:tcW w:w="1122" w:type="dxa"/>
            <w:shd w:val="clear" w:color="auto" w:fill="auto"/>
            <w:noWrap/>
            <w:vAlign w:val="bottom"/>
            <w:hideMark/>
          </w:tcPr>
          <w:p w14:paraId="32E54B43"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1340BCA2" w14:textId="77777777" w:rsidTr="00250DAC">
        <w:trPr>
          <w:trHeight w:val="20"/>
        </w:trPr>
        <w:tc>
          <w:tcPr>
            <w:tcW w:w="1977" w:type="dxa"/>
            <w:shd w:val="clear" w:color="auto" w:fill="auto"/>
            <w:noWrap/>
            <w:vAlign w:val="bottom"/>
            <w:hideMark/>
          </w:tcPr>
          <w:p w14:paraId="07B27AC8"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Trade Mark</w:t>
            </w:r>
          </w:p>
        </w:tc>
        <w:tc>
          <w:tcPr>
            <w:tcW w:w="1107" w:type="dxa"/>
            <w:shd w:val="clear" w:color="auto" w:fill="auto"/>
            <w:noWrap/>
            <w:vAlign w:val="bottom"/>
            <w:hideMark/>
          </w:tcPr>
          <w:p w14:paraId="651CF25E" w14:textId="77777777" w:rsidR="005B5953" w:rsidRPr="005B12AE" w:rsidRDefault="005B5953" w:rsidP="00250DAC">
            <w:pPr>
              <w:spacing w:after="0" w:line="240" w:lineRule="auto"/>
              <w:jc w:val="center"/>
              <w:rPr>
                <w:rFonts w:ascii="Times New Roman" w:hAnsi="Times New Roman"/>
                <w:sz w:val="20"/>
                <w:szCs w:val="20"/>
              </w:rPr>
            </w:pPr>
          </w:p>
        </w:tc>
        <w:tc>
          <w:tcPr>
            <w:tcW w:w="1671" w:type="dxa"/>
            <w:shd w:val="clear" w:color="auto" w:fill="auto"/>
            <w:noWrap/>
            <w:vAlign w:val="bottom"/>
            <w:hideMark/>
          </w:tcPr>
          <w:p w14:paraId="228AE454" w14:textId="77777777" w:rsidR="005B5953" w:rsidRPr="005B12AE" w:rsidRDefault="005B5953" w:rsidP="00250DAC">
            <w:pPr>
              <w:spacing w:after="0" w:line="240" w:lineRule="auto"/>
              <w:jc w:val="center"/>
              <w:rPr>
                <w:rFonts w:ascii="Times New Roman" w:hAnsi="Times New Roman"/>
                <w:sz w:val="20"/>
                <w:szCs w:val="20"/>
              </w:rPr>
            </w:pPr>
          </w:p>
        </w:tc>
        <w:tc>
          <w:tcPr>
            <w:tcW w:w="1660" w:type="dxa"/>
            <w:shd w:val="clear" w:color="auto" w:fill="auto"/>
            <w:noWrap/>
            <w:vAlign w:val="bottom"/>
            <w:hideMark/>
          </w:tcPr>
          <w:p w14:paraId="45663EBC" w14:textId="77777777" w:rsidR="005B5953" w:rsidRPr="005B12AE" w:rsidRDefault="005B5953" w:rsidP="00250DAC">
            <w:pPr>
              <w:spacing w:after="0" w:line="240" w:lineRule="auto"/>
              <w:jc w:val="center"/>
              <w:rPr>
                <w:rFonts w:ascii="Times New Roman" w:hAnsi="Times New Roman"/>
                <w:sz w:val="20"/>
                <w:szCs w:val="20"/>
              </w:rPr>
            </w:pPr>
          </w:p>
        </w:tc>
        <w:tc>
          <w:tcPr>
            <w:tcW w:w="1122" w:type="dxa"/>
            <w:shd w:val="clear" w:color="auto" w:fill="auto"/>
            <w:noWrap/>
            <w:vAlign w:val="bottom"/>
            <w:hideMark/>
          </w:tcPr>
          <w:p w14:paraId="7E81926D" w14:textId="77777777" w:rsidR="005B5953" w:rsidRPr="005B12AE" w:rsidRDefault="005B5953" w:rsidP="00250DAC">
            <w:pPr>
              <w:spacing w:after="0" w:line="240" w:lineRule="auto"/>
              <w:jc w:val="center"/>
              <w:rPr>
                <w:rFonts w:ascii="Times New Roman" w:hAnsi="Times New Roman"/>
                <w:sz w:val="20"/>
                <w:szCs w:val="20"/>
              </w:rPr>
            </w:pPr>
          </w:p>
        </w:tc>
        <w:tc>
          <w:tcPr>
            <w:tcW w:w="1103" w:type="dxa"/>
            <w:shd w:val="clear" w:color="auto" w:fill="auto"/>
            <w:noWrap/>
            <w:vAlign w:val="bottom"/>
            <w:hideMark/>
          </w:tcPr>
          <w:p w14:paraId="4BDB6186" w14:textId="77777777" w:rsidR="005B5953" w:rsidRPr="005B12AE" w:rsidRDefault="005B5953" w:rsidP="00250DAC">
            <w:pPr>
              <w:spacing w:after="0" w:line="240" w:lineRule="auto"/>
              <w:jc w:val="center"/>
              <w:rPr>
                <w:rFonts w:ascii="Times New Roman" w:hAnsi="Times New Roman"/>
                <w:sz w:val="20"/>
                <w:szCs w:val="20"/>
              </w:rPr>
            </w:pPr>
          </w:p>
        </w:tc>
        <w:tc>
          <w:tcPr>
            <w:tcW w:w="1105" w:type="dxa"/>
            <w:shd w:val="clear" w:color="auto" w:fill="auto"/>
            <w:noWrap/>
            <w:vAlign w:val="bottom"/>
            <w:hideMark/>
          </w:tcPr>
          <w:p w14:paraId="3A392A52" w14:textId="77777777" w:rsidR="005B5953" w:rsidRPr="005B12AE" w:rsidRDefault="005B5953" w:rsidP="00250DAC">
            <w:pPr>
              <w:spacing w:after="0" w:line="240" w:lineRule="auto"/>
              <w:jc w:val="center"/>
              <w:rPr>
                <w:rFonts w:ascii="Times New Roman" w:hAnsi="Times New Roman"/>
                <w:sz w:val="20"/>
                <w:szCs w:val="20"/>
              </w:rPr>
            </w:pPr>
          </w:p>
        </w:tc>
        <w:tc>
          <w:tcPr>
            <w:tcW w:w="1680" w:type="dxa"/>
            <w:shd w:val="clear" w:color="auto" w:fill="auto"/>
            <w:noWrap/>
            <w:vAlign w:val="bottom"/>
            <w:hideMark/>
          </w:tcPr>
          <w:p w14:paraId="3E19610F" w14:textId="77777777" w:rsidR="005B5953" w:rsidRPr="005B12AE" w:rsidRDefault="005B5953" w:rsidP="00250DAC">
            <w:pPr>
              <w:spacing w:after="0" w:line="240" w:lineRule="auto"/>
              <w:jc w:val="center"/>
              <w:rPr>
                <w:rFonts w:ascii="Times New Roman" w:hAnsi="Times New Roman"/>
                <w:sz w:val="20"/>
                <w:szCs w:val="20"/>
              </w:rPr>
            </w:pPr>
          </w:p>
        </w:tc>
        <w:tc>
          <w:tcPr>
            <w:tcW w:w="1359" w:type="dxa"/>
            <w:shd w:val="clear" w:color="auto" w:fill="auto"/>
            <w:noWrap/>
            <w:vAlign w:val="bottom"/>
            <w:hideMark/>
          </w:tcPr>
          <w:p w14:paraId="6EAD4B0C" w14:textId="77777777" w:rsidR="005B5953" w:rsidRPr="005B12AE" w:rsidRDefault="005B5953" w:rsidP="00250DAC">
            <w:pPr>
              <w:spacing w:after="0" w:line="240" w:lineRule="auto"/>
              <w:jc w:val="center"/>
              <w:rPr>
                <w:rFonts w:ascii="Times New Roman" w:hAnsi="Times New Roman"/>
                <w:sz w:val="20"/>
                <w:szCs w:val="20"/>
              </w:rPr>
            </w:pPr>
          </w:p>
        </w:tc>
        <w:tc>
          <w:tcPr>
            <w:tcW w:w="1122" w:type="dxa"/>
            <w:shd w:val="clear" w:color="auto" w:fill="auto"/>
            <w:noWrap/>
            <w:vAlign w:val="bottom"/>
            <w:hideMark/>
          </w:tcPr>
          <w:p w14:paraId="0924F9F5" w14:textId="77777777" w:rsidR="005B5953" w:rsidRPr="005B12AE" w:rsidRDefault="005B5953" w:rsidP="00250DAC">
            <w:pPr>
              <w:spacing w:after="0" w:line="240" w:lineRule="auto"/>
              <w:jc w:val="center"/>
              <w:rPr>
                <w:rFonts w:ascii="Times New Roman" w:hAnsi="Times New Roman"/>
                <w:sz w:val="20"/>
                <w:szCs w:val="20"/>
              </w:rPr>
            </w:pPr>
          </w:p>
        </w:tc>
        <w:tc>
          <w:tcPr>
            <w:tcW w:w="1122" w:type="dxa"/>
            <w:shd w:val="clear" w:color="auto" w:fill="auto"/>
            <w:noWrap/>
            <w:vAlign w:val="bottom"/>
            <w:hideMark/>
          </w:tcPr>
          <w:p w14:paraId="6A95E360"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639A45C1" w14:textId="77777777" w:rsidTr="00250DAC">
        <w:trPr>
          <w:trHeight w:val="20"/>
        </w:trPr>
        <w:tc>
          <w:tcPr>
            <w:tcW w:w="1977" w:type="dxa"/>
            <w:shd w:val="clear" w:color="auto" w:fill="auto"/>
            <w:noWrap/>
            <w:vAlign w:val="bottom"/>
            <w:hideMark/>
          </w:tcPr>
          <w:p w14:paraId="359155C3"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Total</w:t>
            </w:r>
          </w:p>
        </w:tc>
        <w:tc>
          <w:tcPr>
            <w:tcW w:w="1107" w:type="dxa"/>
            <w:shd w:val="clear" w:color="auto" w:fill="auto"/>
            <w:noWrap/>
            <w:vAlign w:val="bottom"/>
            <w:hideMark/>
          </w:tcPr>
          <w:p w14:paraId="2393FB8C"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1,661.50</w:t>
            </w:r>
          </w:p>
        </w:tc>
        <w:tc>
          <w:tcPr>
            <w:tcW w:w="1671" w:type="dxa"/>
            <w:shd w:val="clear" w:color="auto" w:fill="auto"/>
            <w:noWrap/>
            <w:vAlign w:val="bottom"/>
            <w:hideMark/>
          </w:tcPr>
          <w:p w14:paraId="7F25FE4D"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160.65</w:t>
            </w:r>
          </w:p>
        </w:tc>
        <w:tc>
          <w:tcPr>
            <w:tcW w:w="1660" w:type="dxa"/>
            <w:shd w:val="clear" w:color="auto" w:fill="auto"/>
            <w:noWrap/>
            <w:vAlign w:val="bottom"/>
            <w:hideMark/>
          </w:tcPr>
          <w:p w14:paraId="6F99C50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0.61</w:t>
            </w:r>
          </w:p>
        </w:tc>
        <w:tc>
          <w:tcPr>
            <w:tcW w:w="1122" w:type="dxa"/>
            <w:shd w:val="clear" w:color="auto" w:fill="auto"/>
            <w:noWrap/>
            <w:vAlign w:val="bottom"/>
            <w:hideMark/>
          </w:tcPr>
          <w:p w14:paraId="7927D370"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1,821.55</w:t>
            </w:r>
          </w:p>
        </w:tc>
        <w:tc>
          <w:tcPr>
            <w:tcW w:w="1103" w:type="dxa"/>
            <w:shd w:val="clear" w:color="auto" w:fill="auto"/>
            <w:noWrap/>
            <w:vAlign w:val="bottom"/>
            <w:hideMark/>
          </w:tcPr>
          <w:p w14:paraId="07E75751"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981.60</w:t>
            </w:r>
          </w:p>
        </w:tc>
        <w:tc>
          <w:tcPr>
            <w:tcW w:w="1105" w:type="dxa"/>
            <w:shd w:val="clear" w:color="auto" w:fill="auto"/>
            <w:noWrap/>
            <w:vAlign w:val="bottom"/>
            <w:hideMark/>
          </w:tcPr>
          <w:p w14:paraId="510D79FE"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135.74</w:t>
            </w:r>
          </w:p>
        </w:tc>
        <w:tc>
          <w:tcPr>
            <w:tcW w:w="1680" w:type="dxa"/>
            <w:shd w:val="clear" w:color="auto" w:fill="auto"/>
            <w:noWrap/>
            <w:vAlign w:val="bottom"/>
            <w:hideMark/>
          </w:tcPr>
          <w:p w14:paraId="0D0DEEA0"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1359" w:type="dxa"/>
            <w:shd w:val="clear" w:color="auto" w:fill="auto"/>
            <w:noWrap/>
            <w:vAlign w:val="bottom"/>
            <w:hideMark/>
          </w:tcPr>
          <w:p w14:paraId="6A88326F"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1,117.33</w:t>
            </w:r>
          </w:p>
        </w:tc>
        <w:tc>
          <w:tcPr>
            <w:tcW w:w="1122" w:type="dxa"/>
            <w:shd w:val="clear" w:color="auto" w:fill="auto"/>
            <w:noWrap/>
            <w:vAlign w:val="bottom"/>
            <w:hideMark/>
          </w:tcPr>
          <w:p w14:paraId="0603C30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704.22</w:t>
            </w:r>
          </w:p>
        </w:tc>
        <w:tc>
          <w:tcPr>
            <w:tcW w:w="1122" w:type="dxa"/>
            <w:shd w:val="clear" w:color="auto" w:fill="auto"/>
            <w:noWrap/>
            <w:vAlign w:val="bottom"/>
            <w:hideMark/>
          </w:tcPr>
          <w:p w14:paraId="595D1923"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679.90</w:t>
            </w:r>
          </w:p>
        </w:tc>
      </w:tr>
      <w:tr w:rsidR="005B5953" w:rsidRPr="005B12AE" w14:paraId="570DFEBF" w14:textId="77777777" w:rsidTr="00250DAC">
        <w:trPr>
          <w:trHeight w:val="20"/>
        </w:trPr>
        <w:tc>
          <w:tcPr>
            <w:tcW w:w="1977" w:type="dxa"/>
            <w:shd w:val="clear" w:color="auto" w:fill="auto"/>
            <w:noWrap/>
            <w:vAlign w:val="bottom"/>
            <w:hideMark/>
          </w:tcPr>
          <w:p w14:paraId="3072E87D" w14:textId="77777777" w:rsidR="005B5953" w:rsidRPr="005B12AE" w:rsidRDefault="005B5953" w:rsidP="00250DAC">
            <w:pPr>
              <w:spacing w:after="0" w:line="240" w:lineRule="auto"/>
              <w:rPr>
                <w:rFonts w:ascii="Times New Roman" w:hAnsi="Times New Roman"/>
                <w:b/>
                <w:bCs/>
                <w:i/>
                <w:iCs/>
                <w:sz w:val="20"/>
                <w:szCs w:val="20"/>
              </w:rPr>
            </w:pPr>
            <w:r w:rsidRPr="005B12AE">
              <w:rPr>
                <w:rFonts w:ascii="Times New Roman" w:hAnsi="Times New Roman"/>
                <w:b/>
                <w:bCs/>
                <w:i/>
                <w:iCs/>
                <w:sz w:val="20"/>
                <w:szCs w:val="20"/>
              </w:rPr>
              <w:t>Previous Year</w:t>
            </w:r>
          </w:p>
        </w:tc>
        <w:tc>
          <w:tcPr>
            <w:tcW w:w="1107" w:type="dxa"/>
            <w:shd w:val="clear" w:color="auto" w:fill="auto"/>
            <w:noWrap/>
            <w:vAlign w:val="bottom"/>
            <w:hideMark/>
          </w:tcPr>
          <w:p w14:paraId="434DC20D"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1,542.39</w:t>
            </w:r>
          </w:p>
        </w:tc>
        <w:tc>
          <w:tcPr>
            <w:tcW w:w="1671" w:type="dxa"/>
            <w:shd w:val="clear" w:color="auto" w:fill="auto"/>
            <w:noWrap/>
            <w:vAlign w:val="bottom"/>
            <w:hideMark/>
          </w:tcPr>
          <w:p w14:paraId="191A40DF"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119.11</w:t>
            </w:r>
          </w:p>
        </w:tc>
        <w:tc>
          <w:tcPr>
            <w:tcW w:w="1660" w:type="dxa"/>
            <w:shd w:val="clear" w:color="auto" w:fill="auto"/>
            <w:noWrap/>
            <w:vAlign w:val="bottom"/>
            <w:hideMark/>
          </w:tcPr>
          <w:p w14:paraId="1F375DD1"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1122" w:type="dxa"/>
            <w:shd w:val="clear" w:color="auto" w:fill="auto"/>
            <w:noWrap/>
            <w:vAlign w:val="bottom"/>
            <w:hideMark/>
          </w:tcPr>
          <w:p w14:paraId="2A16D43F"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1,661.50</w:t>
            </w:r>
          </w:p>
        </w:tc>
        <w:tc>
          <w:tcPr>
            <w:tcW w:w="1103" w:type="dxa"/>
            <w:shd w:val="clear" w:color="auto" w:fill="auto"/>
            <w:noWrap/>
            <w:vAlign w:val="bottom"/>
            <w:hideMark/>
          </w:tcPr>
          <w:p w14:paraId="48D94D01"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839.04</w:t>
            </w:r>
          </w:p>
        </w:tc>
        <w:tc>
          <w:tcPr>
            <w:tcW w:w="1105" w:type="dxa"/>
            <w:shd w:val="clear" w:color="auto" w:fill="auto"/>
            <w:noWrap/>
            <w:vAlign w:val="bottom"/>
            <w:hideMark/>
          </w:tcPr>
          <w:p w14:paraId="536BEA37"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142.55</w:t>
            </w:r>
          </w:p>
        </w:tc>
        <w:tc>
          <w:tcPr>
            <w:tcW w:w="1680" w:type="dxa"/>
            <w:shd w:val="clear" w:color="auto" w:fill="auto"/>
            <w:noWrap/>
            <w:vAlign w:val="bottom"/>
            <w:hideMark/>
          </w:tcPr>
          <w:p w14:paraId="6E052B6D"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1359" w:type="dxa"/>
            <w:shd w:val="clear" w:color="auto" w:fill="auto"/>
            <w:noWrap/>
            <w:vAlign w:val="bottom"/>
            <w:hideMark/>
          </w:tcPr>
          <w:p w14:paraId="575FE091"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981.60</w:t>
            </w:r>
          </w:p>
        </w:tc>
        <w:tc>
          <w:tcPr>
            <w:tcW w:w="1122" w:type="dxa"/>
            <w:shd w:val="clear" w:color="auto" w:fill="auto"/>
            <w:noWrap/>
            <w:vAlign w:val="bottom"/>
            <w:hideMark/>
          </w:tcPr>
          <w:p w14:paraId="1437112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679.90</w:t>
            </w:r>
          </w:p>
        </w:tc>
        <w:tc>
          <w:tcPr>
            <w:tcW w:w="1122" w:type="dxa"/>
            <w:shd w:val="clear" w:color="auto" w:fill="auto"/>
            <w:noWrap/>
            <w:vAlign w:val="bottom"/>
            <w:hideMark/>
          </w:tcPr>
          <w:p w14:paraId="1F994C3A"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703.35</w:t>
            </w:r>
          </w:p>
        </w:tc>
      </w:tr>
    </w:tbl>
    <w:p w14:paraId="4EF2CFA2" w14:textId="77777777" w:rsidR="005B5953" w:rsidRPr="005B12AE" w:rsidRDefault="005B5953" w:rsidP="005B5953">
      <w:pPr>
        <w:spacing w:after="0"/>
        <w:ind w:left="270" w:hanging="270"/>
        <w:rPr>
          <w:rFonts w:ascii="Times New Roman" w:hAnsi="Times New Roman"/>
          <w:b/>
          <w:bCs/>
          <w:sz w:val="20"/>
          <w:szCs w:val="20"/>
        </w:rPr>
      </w:pPr>
    </w:p>
    <w:p w14:paraId="5414696B" w14:textId="77777777" w:rsidR="005B5953" w:rsidRPr="005B12AE" w:rsidRDefault="005B5953" w:rsidP="005B5953">
      <w:pPr>
        <w:spacing w:after="0"/>
        <w:ind w:left="270" w:hanging="270"/>
        <w:jc w:val="both"/>
        <w:rPr>
          <w:rFonts w:ascii="Times New Roman" w:hAnsi="Times New Roman"/>
          <w:sz w:val="20"/>
          <w:szCs w:val="20"/>
        </w:rPr>
      </w:pPr>
      <w:r w:rsidRPr="005B12AE">
        <w:rPr>
          <w:rFonts w:ascii="Times New Roman" w:hAnsi="Times New Roman"/>
          <w:sz w:val="20"/>
          <w:szCs w:val="20"/>
        </w:rPr>
        <w:t>Notes:</w:t>
      </w:r>
    </w:p>
    <w:p w14:paraId="2E1D1978" w14:textId="77777777" w:rsidR="005B5953" w:rsidRPr="005B12AE" w:rsidRDefault="005B5953" w:rsidP="005B5953">
      <w:pPr>
        <w:spacing w:after="0"/>
        <w:ind w:left="270" w:hanging="270"/>
        <w:jc w:val="both"/>
        <w:rPr>
          <w:rFonts w:ascii="Times New Roman" w:hAnsi="Times New Roman"/>
          <w:sz w:val="20"/>
          <w:szCs w:val="20"/>
        </w:rPr>
      </w:pPr>
      <w:r w:rsidRPr="005B12AE">
        <w:rPr>
          <w:rFonts w:ascii="Times New Roman" w:hAnsi="Times New Roman"/>
          <w:sz w:val="20"/>
          <w:szCs w:val="20"/>
        </w:rPr>
        <w:t>1. The figures disclosed above are based on the restated summary statement of assets and liabilities of the Company.</w:t>
      </w:r>
    </w:p>
    <w:p w14:paraId="2D66E424" w14:textId="77777777" w:rsidR="005B5953" w:rsidRPr="005B12AE" w:rsidRDefault="005B5953" w:rsidP="005B5953">
      <w:pPr>
        <w:spacing w:after="0"/>
        <w:ind w:left="270" w:hanging="270"/>
        <w:jc w:val="both"/>
        <w:rPr>
          <w:rFonts w:ascii="Times New Roman" w:hAnsi="Times New Roman"/>
          <w:sz w:val="20"/>
          <w:szCs w:val="20"/>
        </w:rPr>
      </w:pPr>
    </w:p>
    <w:p w14:paraId="5F4B00DC" w14:textId="77777777" w:rsidR="005B5953" w:rsidRPr="005B12AE" w:rsidRDefault="005B5953" w:rsidP="005B5953">
      <w:pPr>
        <w:spacing w:after="0"/>
        <w:ind w:left="270" w:hanging="270"/>
        <w:jc w:val="center"/>
        <w:rPr>
          <w:rFonts w:ascii="Times New Roman" w:hAnsi="Times New Roman"/>
          <w:b/>
          <w:bCs/>
          <w:sz w:val="20"/>
          <w:szCs w:val="20"/>
        </w:rPr>
        <w:sectPr w:rsidR="005B5953" w:rsidRPr="005B12AE" w:rsidSect="00FA15B5">
          <w:pgSz w:w="16838" w:h="11906" w:orient="landscape" w:code="9"/>
          <w:pgMar w:top="1080" w:right="1080" w:bottom="720" w:left="720" w:header="720" w:footer="720" w:gutter="0"/>
          <w:cols w:space="720"/>
          <w:docGrid w:linePitch="360"/>
        </w:sectPr>
      </w:pPr>
    </w:p>
    <w:p w14:paraId="5B6CD236" w14:textId="77777777" w:rsidR="005B5953" w:rsidRPr="005B12AE" w:rsidRDefault="005B5953" w:rsidP="005B5953">
      <w:pPr>
        <w:spacing w:after="0"/>
        <w:ind w:left="270" w:hanging="270"/>
        <w:jc w:val="center"/>
        <w:rPr>
          <w:rFonts w:ascii="Times New Roman" w:hAnsi="Times New Roman"/>
          <w:b/>
          <w:bCs/>
          <w:sz w:val="20"/>
          <w:szCs w:val="20"/>
        </w:rPr>
      </w:pPr>
      <w:r w:rsidRPr="005B12AE">
        <w:rPr>
          <w:rFonts w:ascii="Times New Roman" w:hAnsi="Times New Roman"/>
          <w:b/>
          <w:bCs/>
          <w:sz w:val="20"/>
          <w:szCs w:val="20"/>
        </w:rPr>
        <w:lastRenderedPageBreak/>
        <w:t>NOTE – I</w:t>
      </w:r>
    </w:p>
    <w:p w14:paraId="78C936BC" w14:textId="77777777" w:rsidR="005B5953" w:rsidRPr="005B12AE" w:rsidRDefault="005B5953" w:rsidP="005B5953">
      <w:pPr>
        <w:spacing w:after="0"/>
        <w:ind w:left="270" w:hanging="270"/>
        <w:jc w:val="center"/>
        <w:rPr>
          <w:rFonts w:ascii="Times New Roman" w:hAnsi="Times New Roman"/>
          <w:b/>
          <w:bCs/>
          <w:sz w:val="20"/>
          <w:szCs w:val="20"/>
        </w:rPr>
      </w:pPr>
    </w:p>
    <w:p w14:paraId="5A45B152" w14:textId="77777777" w:rsidR="005B5953" w:rsidRPr="005B12AE" w:rsidRDefault="005B5953" w:rsidP="005B5953">
      <w:pPr>
        <w:spacing w:after="0"/>
        <w:ind w:left="270" w:hanging="270"/>
        <w:jc w:val="center"/>
        <w:rPr>
          <w:rFonts w:ascii="Times New Roman" w:hAnsi="Times New Roman"/>
          <w:b/>
          <w:bCs/>
          <w:sz w:val="20"/>
          <w:szCs w:val="20"/>
        </w:rPr>
      </w:pPr>
      <w:r w:rsidRPr="005B12AE">
        <w:rPr>
          <w:rFonts w:ascii="Times New Roman" w:hAnsi="Times New Roman"/>
          <w:b/>
          <w:bCs/>
          <w:sz w:val="20"/>
          <w:szCs w:val="20"/>
        </w:rPr>
        <w:t>RESTATED STATEMENT OF TRADE RECEIVABLES</w:t>
      </w:r>
    </w:p>
    <w:p w14:paraId="3EB08DB3" w14:textId="77777777" w:rsidR="005B5953" w:rsidRPr="005B12AE" w:rsidRDefault="005B5953" w:rsidP="005B5953">
      <w:pPr>
        <w:spacing w:after="0"/>
        <w:jc w:val="right"/>
        <w:rPr>
          <w:rFonts w:ascii="Times New Roman" w:hAnsi="Times New Roman"/>
          <w:b/>
          <w:bCs/>
          <w:sz w:val="20"/>
          <w:szCs w:val="20"/>
        </w:rPr>
      </w:pPr>
      <w:r w:rsidRPr="005B12AE">
        <w:rPr>
          <w:rFonts w:ascii="Times New Roman" w:hAnsi="Times New Roman"/>
          <w:b/>
          <w:bCs/>
          <w:sz w:val="20"/>
          <w:szCs w:val="20"/>
        </w:rPr>
        <w:t>(₹ in Lakhs)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7"/>
        <w:gridCol w:w="1395"/>
        <w:gridCol w:w="1357"/>
        <w:gridCol w:w="1407"/>
      </w:tblGrid>
      <w:tr w:rsidR="005B5953" w:rsidRPr="005B12AE" w14:paraId="47F9C56B" w14:textId="77777777" w:rsidTr="00250DAC">
        <w:trPr>
          <w:trHeight w:val="20"/>
        </w:trPr>
        <w:tc>
          <w:tcPr>
            <w:tcW w:w="3011" w:type="pct"/>
            <w:vMerge w:val="restart"/>
            <w:shd w:val="clear" w:color="auto" w:fill="D0CECE" w:themeFill="background2" w:themeFillShade="E6"/>
            <w:noWrap/>
            <w:vAlign w:val="center"/>
            <w:hideMark/>
          </w:tcPr>
          <w:p w14:paraId="1638EFFC"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Particulars</w:t>
            </w:r>
          </w:p>
        </w:tc>
        <w:tc>
          <w:tcPr>
            <w:tcW w:w="1989" w:type="pct"/>
            <w:gridSpan w:val="3"/>
            <w:shd w:val="clear" w:color="auto" w:fill="D0CECE" w:themeFill="background2" w:themeFillShade="E6"/>
            <w:noWrap/>
            <w:vAlign w:val="center"/>
            <w:hideMark/>
          </w:tcPr>
          <w:p w14:paraId="215B55DD"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As at</w:t>
            </w:r>
          </w:p>
        </w:tc>
      </w:tr>
      <w:tr w:rsidR="005B5953" w:rsidRPr="005B12AE" w14:paraId="4DCEBB3D" w14:textId="77777777" w:rsidTr="00250DAC">
        <w:trPr>
          <w:trHeight w:val="20"/>
        </w:trPr>
        <w:tc>
          <w:tcPr>
            <w:tcW w:w="3011" w:type="pct"/>
            <w:vMerge/>
            <w:shd w:val="clear" w:color="auto" w:fill="D0CECE" w:themeFill="background2" w:themeFillShade="E6"/>
            <w:vAlign w:val="center"/>
            <w:hideMark/>
          </w:tcPr>
          <w:p w14:paraId="5417744F" w14:textId="77777777" w:rsidR="005B5953" w:rsidRPr="005B12AE" w:rsidRDefault="005B5953" w:rsidP="00250DAC">
            <w:pPr>
              <w:spacing w:after="0" w:line="240" w:lineRule="auto"/>
              <w:rPr>
                <w:rFonts w:ascii="Times New Roman" w:hAnsi="Times New Roman"/>
                <w:b/>
                <w:bCs/>
                <w:sz w:val="20"/>
                <w:szCs w:val="20"/>
              </w:rPr>
            </w:pPr>
          </w:p>
        </w:tc>
        <w:tc>
          <w:tcPr>
            <w:tcW w:w="667" w:type="pct"/>
            <w:shd w:val="clear" w:color="auto" w:fill="D0CECE" w:themeFill="background2" w:themeFillShade="E6"/>
            <w:noWrap/>
            <w:vAlign w:val="bottom"/>
            <w:hideMark/>
          </w:tcPr>
          <w:p w14:paraId="22D5DDC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31/03/2023</w:t>
            </w:r>
          </w:p>
        </w:tc>
        <w:tc>
          <w:tcPr>
            <w:tcW w:w="649" w:type="pct"/>
            <w:shd w:val="clear" w:color="auto" w:fill="D0CECE" w:themeFill="background2" w:themeFillShade="E6"/>
            <w:noWrap/>
            <w:vAlign w:val="bottom"/>
            <w:hideMark/>
          </w:tcPr>
          <w:p w14:paraId="01A913E7"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31/03/2022</w:t>
            </w:r>
          </w:p>
        </w:tc>
        <w:tc>
          <w:tcPr>
            <w:tcW w:w="673" w:type="pct"/>
            <w:shd w:val="clear" w:color="auto" w:fill="D0CECE" w:themeFill="background2" w:themeFillShade="E6"/>
            <w:noWrap/>
            <w:vAlign w:val="bottom"/>
            <w:hideMark/>
          </w:tcPr>
          <w:p w14:paraId="4E6D2FC7"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31/03/2021</w:t>
            </w:r>
          </w:p>
        </w:tc>
      </w:tr>
      <w:tr w:rsidR="005B5953" w:rsidRPr="005B12AE" w14:paraId="0699DFAD" w14:textId="77777777" w:rsidTr="00250DAC">
        <w:trPr>
          <w:trHeight w:val="20"/>
        </w:trPr>
        <w:tc>
          <w:tcPr>
            <w:tcW w:w="3011" w:type="pct"/>
            <w:shd w:val="clear" w:color="auto" w:fill="auto"/>
            <w:noWrap/>
            <w:vAlign w:val="bottom"/>
            <w:hideMark/>
          </w:tcPr>
          <w:p w14:paraId="0EF1DF37"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Trade Receivables</w:t>
            </w:r>
          </w:p>
        </w:tc>
        <w:tc>
          <w:tcPr>
            <w:tcW w:w="667" w:type="pct"/>
            <w:shd w:val="clear" w:color="auto" w:fill="auto"/>
            <w:noWrap/>
            <w:vAlign w:val="bottom"/>
            <w:hideMark/>
          </w:tcPr>
          <w:p w14:paraId="700D0277" w14:textId="77777777" w:rsidR="005B5953" w:rsidRPr="005B12AE" w:rsidRDefault="005B5953" w:rsidP="00250DAC">
            <w:pPr>
              <w:spacing w:after="0" w:line="240" w:lineRule="auto"/>
              <w:jc w:val="center"/>
              <w:rPr>
                <w:rFonts w:ascii="Times New Roman" w:hAnsi="Times New Roman"/>
                <w:sz w:val="20"/>
                <w:szCs w:val="20"/>
              </w:rPr>
            </w:pPr>
          </w:p>
        </w:tc>
        <w:tc>
          <w:tcPr>
            <w:tcW w:w="649" w:type="pct"/>
            <w:shd w:val="clear" w:color="auto" w:fill="auto"/>
            <w:noWrap/>
            <w:vAlign w:val="center"/>
            <w:hideMark/>
          </w:tcPr>
          <w:p w14:paraId="3E2485FE" w14:textId="77777777" w:rsidR="005B5953" w:rsidRPr="005B12AE" w:rsidRDefault="005B5953" w:rsidP="00250DAC">
            <w:pPr>
              <w:spacing w:after="0" w:line="240" w:lineRule="auto"/>
              <w:jc w:val="center"/>
              <w:rPr>
                <w:rFonts w:ascii="Times New Roman" w:hAnsi="Times New Roman"/>
                <w:sz w:val="20"/>
                <w:szCs w:val="20"/>
              </w:rPr>
            </w:pPr>
          </w:p>
        </w:tc>
        <w:tc>
          <w:tcPr>
            <w:tcW w:w="673" w:type="pct"/>
            <w:shd w:val="clear" w:color="auto" w:fill="auto"/>
            <w:noWrap/>
            <w:vAlign w:val="bottom"/>
            <w:hideMark/>
          </w:tcPr>
          <w:p w14:paraId="1A35375E"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4310D65B" w14:textId="77777777" w:rsidTr="00250DAC">
        <w:trPr>
          <w:trHeight w:val="20"/>
        </w:trPr>
        <w:tc>
          <w:tcPr>
            <w:tcW w:w="3011" w:type="pct"/>
            <w:shd w:val="clear" w:color="auto" w:fill="auto"/>
            <w:noWrap/>
            <w:vAlign w:val="bottom"/>
            <w:hideMark/>
          </w:tcPr>
          <w:p w14:paraId="5826B11C"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Unsecured Considered good</w:t>
            </w:r>
          </w:p>
        </w:tc>
        <w:tc>
          <w:tcPr>
            <w:tcW w:w="667" w:type="pct"/>
            <w:shd w:val="clear" w:color="auto" w:fill="auto"/>
            <w:noWrap/>
            <w:vAlign w:val="bottom"/>
            <w:hideMark/>
          </w:tcPr>
          <w:p w14:paraId="5F656107" w14:textId="77777777" w:rsidR="005B5953" w:rsidRPr="005B12AE" w:rsidRDefault="005B5953" w:rsidP="00250DAC">
            <w:pPr>
              <w:spacing w:after="0" w:line="240" w:lineRule="auto"/>
              <w:jc w:val="center"/>
              <w:rPr>
                <w:rFonts w:ascii="Times New Roman" w:hAnsi="Times New Roman"/>
                <w:sz w:val="20"/>
                <w:szCs w:val="20"/>
              </w:rPr>
            </w:pPr>
          </w:p>
        </w:tc>
        <w:tc>
          <w:tcPr>
            <w:tcW w:w="649" w:type="pct"/>
            <w:shd w:val="clear" w:color="auto" w:fill="auto"/>
            <w:noWrap/>
            <w:vAlign w:val="center"/>
            <w:hideMark/>
          </w:tcPr>
          <w:p w14:paraId="4F482BEC" w14:textId="77777777" w:rsidR="005B5953" w:rsidRPr="005B12AE" w:rsidRDefault="005B5953" w:rsidP="00250DAC">
            <w:pPr>
              <w:spacing w:after="0" w:line="240" w:lineRule="auto"/>
              <w:jc w:val="center"/>
              <w:rPr>
                <w:rFonts w:ascii="Times New Roman" w:hAnsi="Times New Roman"/>
                <w:sz w:val="20"/>
                <w:szCs w:val="20"/>
              </w:rPr>
            </w:pPr>
          </w:p>
        </w:tc>
        <w:tc>
          <w:tcPr>
            <w:tcW w:w="673" w:type="pct"/>
            <w:shd w:val="clear" w:color="auto" w:fill="auto"/>
            <w:noWrap/>
            <w:vAlign w:val="bottom"/>
            <w:hideMark/>
          </w:tcPr>
          <w:p w14:paraId="1EC9E988"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5C07BD91" w14:textId="77777777" w:rsidTr="00250DAC">
        <w:trPr>
          <w:trHeight w:val="20"/>
        </w:trPr>
        <w:tc>
          <w:tcPr>
            <w:tcW w:w="3011" w:type="pct"/>
            <w:shd w:val="clear" w:color="auto" w:fill="auto"/>
            <w:vAlign w:val="bottom"/>
            <w:hideMark/>
          </w:tcPr>
          <w:p w14:paraId="77FC33A0"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Trade receivables outstanding for a period exceeding six months from the date they are due for payment</w:t>
            </w:r>
          </w:p>
        </w:tc>
        <w:tc>
          <w:tcPr>
            <w:tcW w:w="667" w:type="pct"/>
            <w:shd w:val="clear" w:color="auto" w:fill="auto"/>
            <w:noWrap/>
            <w:vAlign w:val="bottom"/>
            <w:hideMark/>
          </w:tcPr>
          <w:p w14:paraId="215587C6" w14:textId="77777777" w:rsidR="005B5953" w:rsidRPr="005B12AE" w:rsidRDefault="005B5953" w:rsidP="00250DAC">
            <w:pPr>
              <w:spacing w:after="0" w:line="240" w:lineRule="auto"/>
              <w:jc w:val="center"/>
              <w:rPr>
                <w:rFonts w:ascii="Times New Roman" w:hAnsi="Times New Roman"/>
                <w:sz w:val="20"/>
                <w:szCs w:val="20"/>
              </w:rPr>
            </w:pPr>
          </w:p>
        </w:tc>
        <w:tc>
          <w:tcPr>
            <w:tcW w:w="649" w:type="pct"/>
            <w:shd w:val="clear" w:color="auto" w:fill="auto"/>
            <w:noWrap/>
            <w:vAlign w:val="center"/>
            <w:hideMark/>
          </w:tcPr>
          <w:p w14:paraId="69467A23" w14:textId="77777777" w:rsidR="005B5953" w:rsidRPr="005B12AE" w:rsidRDefault="005B5953" w:rsidP="00250DAC">
            <w:pPr>
              <w:spacing w:after="0" w:line="240" w:lineRule="auto"/>
              <w:jc w:val="center"/>
              <w:rPr>
                <w:rFonts w:ascii="Times New Roman" w:hAnsi="Times New Roman"/>
                <w:sz w:val="20"/>
                <w:szCs w:val="20"/>
              </w:rPr>
            </w:pPr>
          </w:p>
        </w:tc>
        <w:tc>
          <w:tcPr>
            <w:tcW w:w="673" w:type="pct"/>
            <w:shd w:val="clear" w:color="auto" w:fill="auto"/>
            <w:noWrap/>
            <w:vAlign w:val="bottom"/>
            <w:hideMark/>
          </w:tcPr>
          <w:p w14:paraId="4FC88E4B"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2668D9CA" w14:textId="77777777" w:rsidTr="00250DAC">
        <w:trPr>
          <w:trHeight w:val="20"/>
        </w:trPr>
        <w:tc>
          <w:tcPr>
            <w:tcW w:w="3011" w:type="pct"/>
            <w:shd w:val="clear" w:color="auto" w:fill="auto"/>
            <w:noWrap/>
            <w:vAlign w:val="bottom"/>
            <w:hideMark/>
          </w:tcPr>
          <w:p w14:paraId="30005A37"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Dues From Directors, Related parties/ Common Group Company, etc</w:t>
            </w:r>
          </w:p>
        </w:tc>
        <w:tc>
          <w:tcPr>
            <w:tcW w:w="667" w:type="pct"/>
            <w:shd w:val="clear" w:color="auto" w:fill="auto"/>
            <w:noWrap/>
            <w:vAlign w:val="bottom"/>
            <w:hideMark/>
          </w:tcPr>
          <w:p w14:paraId="1891B11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649" w:type="pct"/>
            <w:shd w:val="clear" w:color="auto" w:fill="auto"/>
            <w:noWrap/>
            <w:vAlign w:val="center"/>
            <w:hideMark/>
          </w:tcPr>
          <w:p w14:paraId="2843B9A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673" w:type="pct"/>
            <w:shd w:val="clear" w:color="auto" w:fill="auto"/>
            <w:noWrap/>
            <w:vAlign w:val="bottom"/>
            <w:hideMark/>
          </w:tcPr>
          <w:p w14:paraId="49358CD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1445A837" w14:textId="77777777" w:rsidTr="00250DAC">
        <w:trPr>
          <w:trHeight w:val="20"/>
        </w:trPr>
        <w:tc>
          <w:tcPr>
            <w:tcW w:w="3011" w:type="pct"/>
            <w:shd w:val="clear" w:color="auto" w:fill="auto"/>
            <w:noWrap/>
            <w:vAlign w:val="bottom"/>
            <w:hideMark/>
          </w:tcPr>
          <w:p w14:paraId="1F77F160"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Others</w:t>
            </w:r>
          </w:p>
        </w:tc>
        <w:tc>
          <w:tcPr>
            <w:tcW w:w="667" w:type="pct"/>
            <w:shd w:val="clear" w:color="auto" w:fill="auto"/>
            <w:noWrap/>
            <w:vAlign w:val="bottom"/>
            <w:hideMark/>
          </w:tcPr>
          <w:p w14:paraId="5773C54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3,461.45</w:t>
            </w:r>
          </w:p>
        </w:tc>
        <w:tc>
          <w:tcPr>
            <w:tcW w:w="649" w:type="pct"/>
            <w:shd w:val="clear" w:color="auto" w:fill="auto"/>
            <w:noWrap/>
            <w:vAlign w:val="center"/>
            <w:hideMark/>
          </w:tcPr>
          <w:p w14:paraId="0F64AAC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3,359.60</w:t>
            </w:r>
          </w:p>
        </w:tc>
        <w:tc>
          <w:tcPr>
            <w:tcW w:w="673" w:type="pct"/>
            <w:shd w:val="clear" w:color="auto" w:fill="auto"/>
            <w:noWrap/>
            <w:vAlign w:val="bottom"/>
            <w:hideMark/>
          </w:tcPr>
          <w:p w14:paraId="23F8A10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4,269.97</w:t>
            </w:r>
          </w:p>
        </w:tc>
      </w:tr>
      <w:tr w:rsidR="005B5953" w:rsidRPr="005B12AE" w14:paraId="4C451271" w14:textId="77777777" w:rsidTr="00250DAC">
        <w:trPr>
          <w:trHeight w:val="20"/>
        </w:trPr>
        <w:tc>
          <w:tcPr>
            <w:tcW w:w="3011" w:type="pct"/>
            <w:shd w:val="clear" w:color="auto" w:fill="auto"/>
            <w:noWrap/>
            <w:vAlign w:val="bottom"/>
            <w:hideMark/>
          </w:tcPr>
          <w:p w14:paraId="4F52FB54"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Sub Total (A)</w:t>
            </w:r>
          </w:p>
        </w:tc>
        <w:tc>
          <w:tcPr>
            <w:tcW w:w="667" w:type="pct"/>
            <w:shd w:val="clear" w:color="auto" w:fill="auto"/>
            <w:noWrap/>
            <w:vAlign w:val="center"/>
            <w:hideMark/>
          </w:tcPr>
          <w:p w14:paraId="3D80ABF1"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3,461.45</w:t>
            </w:r>
          </w:p>
        </w:tc>
        <w:tc>
          <w:tcPr>
            <w:tcW w:w="649" w:type="pct"/>
            <w:shd w:val="clear" w:color="auto" w:fill="auto"/>
            <w:noWrap/>
            <w:vAlign w:val="center"/>
            <w:hideMark/>
          </w:tcPr>
          <w:p w14:paraId="0C51220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3,359.60</w:t>
            </w:r>
          </w:p>
        </w:tc>
        <w:tc>
          <w:tcPr>
            <w:tcW w:w="673" w:type="pct"/>
            <w:shd w:val="clear" w:color="auto" w:fill="auto"/>
            <w:noWrap/>
            <w:vAlign w:val="center"/>
            <w:hideMark/>
          </w:tcPr>
          <w:p w14:paraId="1F9257F5"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4,269.97</w:t>
            </w:r>
          </w:p>
        </w:tc>
      </w:tr>
      <w:tr w:rsidR="005B5953" w:rsidRPr="005B12AE" w14:paraId="0AFD92B2" w14:textId="77777777" w:rsidTr="00250DAC">
        <w:trPr>
          <w:trHeight w:val="20"/>
        </w:trPr>
        <w:tc>
          <w:tcPr>
            <w:tcW w:w="3011" w:type="pct"/>
            <w:shd w:val="clear" w:color="auto" w:fill="auto"/>
            <w:vAlign w:val="bottom"/>
            <w:hideMark/>
          </w:tcPr>
          <w:p w14:paraId="10E15AFC"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Outstanding for a period not exceeding 6 months (Unsecured and considered Good)</w:t>
            </w:r>
          </w:p>
        </w:tc>
        <w:tc>
          <w:tcPr>
            <w:tcW w:w="667" w:type="pct"/>
            <w:shd w:val="clear" w:color="auto" w:fill="auto"/>
            <w:noWrap/>
            <w:vAlign w:val="bottom"/>
            <w:hideMark/>
          </w:tcPr>
          <w:p w14:paraId="306C3889" w14:textId="77777777" w:rsidR="005B5953" w:rsidRPr="005B12AE" w:rsidRDefault="005B5953" w:rsidP="00250DAC">
            <w:pPr>
              <w:spacing w:after="0" w:line="240" w:lineRule="auto"/>
              <w:jc w:val="center"/>
              <w:rPr>
                <w:rFonts w:ascii="Times New Roman" w:hAnsi="Times New Roman"/>
                <w:sz w:val="20"/>
                <w:szCs w:val="20"/>
              </w:rPr>
            </w:pPr>
          </w:p>
        </w:tc>
        <w:tc>
          <w:tcPr>
            <w:tcW w:w="649" w:type="pct"/>
            <w:shd w:val="clear" w:color="auto" w:fill="auto"/>
            <w:noWrap/>
            <w:vAlign w:val="center"/>
            <w:hideMark/>
          </w:tcPr>
          <w:p w14:paraId="42C1A215" w14:textId="77777777" w:rsidR="005B5953" w:rsidRPr="005B12AE" w:rsidRDefault="005B5953" w:rsidP="00250DAC">
            <w:pPr>
              <w:spacing w:after="0" w:line="240" w:lineRule="auto"/>
              <w:jc w:val="center"/>
              <w:rPr>
                <w:rFonts w:ascii="Times New Roman" w:hAnsi="Times New Roman"/>
                <w:sz w:val="20"/>
                <w:szCs w:val="20"/>
              </w:rPr>
            </w:pPr>
          </w:p>
        </w:tc>
        <w:tc>
          <w:tcPr>
            <w:tcW w:w="673" w:type="pct"/>
            <w:shd w:val="clear" w:color="auto" w:fill="auto"/>
            <w:noWrap/>
            <w:vAlign w:val="bottom"/>
            <w:hideMark/>
          </w:tcPr>
          <w:p w14:paraId="1973CFF4"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54E17159" w14:textId="77777777" w:rsidTr="00250DAC">
        <w:trPr>
          <w:trHeight w:val="20"/>
        </w:trPr>
        <w:tc>
          <w:tcPr>
            <w:tcW w:w="3011" w:type="pct"/>
            <w:shd w:val="clear" w:color="auto" w:fill="auto"/>
            <w:noWrap/>
            <w:vAlign w:val="bottom"/>
            <w:hideMark/>
          </w:tcPr>
          <w:p w14:paraId="3CF15BFB"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Dues From Directors, Related parties/ Common Group Company, etc</w:t>
            </w:r>
          </w:p>
        </w:tc>
        <w:tc>
          <w:tcPr>
            <w:tcW w:w="667" w:type="pct"/>
            <w:shd w:val="clear" w:color="auto" w:fill="auto"/>
            <w:noWrap/>
            <w:vAlign w:val="center"/>
            <w:hideMark/>
          </w:tcPr>
          <w:p w14:paraId="1262713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649" w:type="pct"/>
            <w:shd w:val="clear" w:color="auto" w:fill="auto"/>
            <w:noWrap/>
            <w:vAlign w:val="center"/>
            <w:hideMark/>
          </w:tcPr>
          <w:p w14:paraId="659D49C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673" w:type="pct"/>
            <w:shd w:val="clear" w:color="auto" w:fill="auto"/>
            <w:noWrap/>
            <w:vAlign w:val="bottom"/>
            <w:hideMark/>
          </w:tcPr>
          <w:p w14:paraId="5E2537F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7C4A9266" w14:textId="77777777" w:rsidTr="00250DAC">
        <w:trPr>
          <w:trHeight w:val="20"/>
        </w:trPr>
        <w:tc>
          <w:tcPr>
            <w:tcW w:w="3011" w:type="pct"/>
            <w:shd w:val="clear" w:color="auto" w:fill="auto"/>
            <w:noWrap/>
            <w:vAlign w:val="bottom"/>
            <w:hideMark/>
          </w:tcPr>
          <w:p w14:paraId="67C64303"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Others</w:t>
            </w:r>
          </w:p>
        </w:tc>
        <w:tc>
          <w:tcPr>
            <w:tcW w:w="667" w:type="pct"/>
            <w:shd w:val="clear" w:color="auto" w:fill="auto"/>
            <w:noWrap/>
            <w:vAlign w:val="center"/>
            <w:hideMark/>
          </w:tcPr>
          <w:p w14:paraId="3C05C89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649" w:type="pct"/>
            <w:shd w:val="clear" w:color="auto" w:fill="auto"/>
            <w:noWrap/>
            <w:vAlign w:val="center"/>
            <w:hideMark/>
          </w:tcPr>
          <w:p w14:paraId="44EC53E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673" w:type="pct"/>
            <w:shd w:val="clear" w:color="auto" w:fill="auto"/>
            <w:noWrap/>
            <w:vAlign w:val="bottom"/>
            <w:hideMark/>
          </w:tcPr>
          <w:p w14:paraId="395B3D4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4918A03E" w14:textId="77777777" w:rsidTr="00250DAC">
        <w:trPr>
          <w:trHeight w:val="20"/>
        </w:trPr>
        <w:tc>
          <w:tcPr>
            <w:tcW w:w="3011" w:type="pct"/>
            <w:shd w:val="clear" w:color="auto" w:fill="auto"/>
            <w:noWrap/>
            <w:vAlign w:val="bottom"/>
            <w:hideMark/>
          </w:tcPr>
          <w:p w14:paraId="53DF4971"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Sub Total (B)</w:t>
            </w:r>
          </w:p>
        </w:tc>
        <w:tc>
          <w:tcPr>
            <w:tcW w:w="667" w:type="pct"/>
            <w:shd w:val="clear" w:color="auto" w:fill="auto"/>
            <w:noWrap/>
            <w:vAlign w:val="center"/>
            <w:hideMark/>
          </w:tcPr>
          <w:p w14:paraId="38114D97"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649" w:type="pct"/>
            <w:shd w:val="clear" w:color="auto" w:fill="auto"/>
            <w:noWrap/>
            <w:vAlign w:val="center"/>
            <w:hideMark/>
          </w:tcPr>
          <w:p w14:paraId="0ADA7605"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673" w:type="pct"/>
            <w:shd w:val="clear" w:color="auto" w:fill="auto"/>
            <w:noWrap/>
            <w:vAlign w:val="center"/>
            <w:hideMark/>
          </w:tcPr>
          <w:p w14:paraId="79EE6153"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r>
      <w:tr w:rsidR="005B5953" w:rsidRPr="005B12AE" w14:paraId="197589A0" w14:textId="77777777" w:rsidTr="00250DAC">
        <w:trPr>
          <w:trHeight w:val="20"/>
        </w:trPr>
        <w:tc>
          <w:tcPr>
            <w:tcW w:w="3011" w:type="pct"/>
            <w:shd w:val="clear" w:color="auto" w:fill="auto"/>
            <w:noWrap/>
            <w:vAlign w:val="bottom"/>
            <w:hideMark/>
          </w:tcPr>
          <w:p w14:paraId="50C8445D"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Total</w:t>
            </w:r>
          </w:p>
        </w:tc>
        <w:tc>
          <w:tcPr>
            <w:tcW w:w="667" w:type="pct"/>
            <w:shd w:val="clear" w:color="auto" w:fill="auto"/>
            <w:noWrap/>
            <w:vAlign w:val="bottom"/>
            <w:hideMark/>
          </w:tcPr>
          <w:p w14:paraId="2DF37575"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3,461.45</w:t>
            </w:r>
          </w:p>
        </w:tc>
        <w:tc>
          <w:tcPr>
            <w:tcW w:w="649" w:type="pct"/>
            <w:shd w:val="clear" w:color="auto" w:fill="auto"/>
            <w:noWrap/>
            <w:vAlign w:val="center"/>
            <w:hideMark/>
          </w:tcPr>
          <w:p w14:paraId="6FEDE2E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3,359.60</w:t>
            </w:r>
          </w:p>
        </w:tc>
        <w:tc>
          <w:tcPr>
            <w:tcW w:w="673" w:type="pct"/>
            <w:shd w:val="clear" w:color="auto" w:fill="auto"/>
            <w:noWrap/>
            <w:vAlign w:val="bottom"/>
            <w:hideMark/>
          </w:tcPr>
          <w:p w14:paraId="1426396B"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4,269.97</w:t>
            </w:r>
          </w:p>
        </w:tc>
      </w:tr>
    </w:tbl>
    <w:p w14:paraId="4D2D8B1A" w14:textId="77777777" w:rsidR="005B5953" w:rsidRPr="005B12AE" w:rsidRDefault="005B5953" w:rsidP="005B5953">
      <w:pPr>
        <w:spacing w:after="0"/>
        <w:ind w:left="270" w:hanging="270"/>
        <w:rPr>
          <w:rFonts w:ascii="Times New Roman" w:hAnsi="Times New Roman"/>
          <w:b/>
          <w:bCs/>
          <w:sz w:val="20"/>
          <w:szCs w:val="20"/>
        </w:rPr>
      </w:pPr>
    </w:p>
    <w:p w14:paraId="673E4553" w14:textId="77777777" w:rsidR="005B5953" w:rsidRPr="005B12AE" w:rsidRDefault="005B5953" w:rsidP="005B5953">
      <w:pPr>
        <w:spacing w:after="0"/>
        <w:ind w:left="270" w:hanging="270"/>
        <w:rPr>
          <w:rFonts w:ascii="Times New Roman" w:hAnsi="Times New Roman"/>
          <w:b/>
          <w:bCs/>
          <w:sz w:val="20"/>
          <w:szCs w:val="20"/>
        </w:rPr>
      </w:pPr>
      <w:r w:rsidRPr="005B12AE">
        <w:rPr>
          <w:rFonts w:ascii="Times New Roman" w:hAnsi="Times New Roman"/>
          <w:b/>
          <w:bCs/>
          <w:sz w:val="20"/>
          <w:szCs w:val="20"/>
        </w:rPr>
        <w:t>1. Trade Receivables ageing schedule</w:t>
      </w:r>
    </w:p>
    <w:p w14:paraId="5AF67C09" w14:textId="77777777" w:rsidR="005B5953" w:rsidRPr="005B12AE" w:rsidRDefault="005B5953" w:rsidP="005B5953">
      <w:pPr>
        <w:spacing w:after="0"/>
        <w:ind w:left="270" w:hanging="270"/>
        <w:rPr>
          <w:rFonts w:ascii="Times New Roman" w:hAnsi="Times New Roman"/>
          <w:b/>
          <w:bCs/>
          <w:sz w:val="20"/>
          <w:szCs w:val="20"/>
        </w:rPr>
      </w:pPr>
    </w:p>
    <w:p w14:paraId="3D013AEA" w14:textId="17053AAF" w:rsidR="005B5953" w:rsidRPr="005B12AE" w:rsidRDefault="005B5953" w:rsidP="005B5953">
      <w:pPr>
        <w:spacing w:after="0"/>
        <w:rPr>
          <w:rFonts w:ascii="Times New Roman" w:hAnsi="Times New Roman"/>
          <w:b/>
          <w:bCs/>
          <w:sz w:val="20"/>
          <w:szCs w:val="20"/>
        </w:rPr>
      </w:pPr>
      <w:r w:rsidRPr="005B12AE">
        <w:rPr>
          <w:rFonts w:ascii="Times New Roman" w:hAnsi="Times New Roman"/>
          <w:b/>
          <w:bCs/>
          <w:sz w:val="20"/>
          <w:szCs w:val="20"/>
        </w:rPr>
        <w:t xml:space="preserve">F. Y. 2022-23 </w:t>
      </w:r>
      <w:r w:rsidRPr="005B12AE">
        <w:rPr>
          <w:rFonts w:ascii="Times New Roman" w:hAnsi="Times New Roman"/>
          <w:b/>
          <w:bCs/>
          <w:sz w:val="20"/>
          <w:szCs w:val="20"/>
        </w:rPr>
        <w:tab/>
      </w:r>
      <w:r w:rsidRPr="005B12AE">
        <w:rPr>
          <w:rFonts w:ascii="Times New Roman" w:hAnsi="Times New Roman"/>
          <w:b/>
          <w:bCs/>
          <w:sz w:val="20"/>
          <w:szCs w:val="20"/>
        </w:rPr>
        <w:tab/>
      </w:r>
      <w:r w:rsidRPr="005B12AE">
        <w:rPr>
          <w:rFonts w:ascii="Times New Roman" w:hAnsi="Times New Roman"/>
          <w:b/>
          <w:bCs/>
          <w:sz w:val="20"/>
          <w:szCs w:val="20"/>
        </w:rPr>
        <w:tab/>
      </w:r>
      <w:r w:rsidRPr="005B12AE">
        <w:rPr>
          <w:rFonts w:ascii="Times New Roman" w:hAnsi="Times New Roman"/>
          <w:b/>
          <w:bCs/>
          <w:sz w:val="20"/>
          <w:szCs w:val="20"/>
        </w:rPr>
        <w:tab/>
      </w:r>
      <w:r w:rsidRPr="005B12AE">
        <w:rPr>
          <w:rFonts w:ascii="Times New Roman" w:hAnsi="Times New Roman"/>
          <w:b/>
          <w:bCs/>
          <w:sz w:val="20"/>
          <w:szCs w:val="20"/>
        </w:rPr>
        <w:tab/>
      </w:r>
      <w:r w:rsidRPr="005B12AE">
        <w:rPr>
          <w:rFonts w:ascii="Times New Roman" w:hAnsi="Times New Roman"/>
          <w:b/>
          <w:bCs/>
          <w:sz w:val="20"/>
          <w:szCs w:val="20"/>
        </w:rPr>
        <w:tab/>
      </w:r>
      <w:r w:rsidRPr="005B12AE">
        <w:rPr>
          <w:rFonts w:ascii="Times New Roman" w:hAnsi="Times New Roman"/>
          <w:b/>
          <w:bCs/>
          <w:sz w:val="20"/>
          <w:szCs w:val="20"/>
        </w:rPr>
        <w:tab/>
      </w:r>
      <w:r w:rsidRPr="005B12AE">
        <w:rPr>
          <w:rFonts w:ascii="Times New Roman" w:hAnsi="Times New Roman"/>
          <w:b/>
          <w:bCs/>
          <w:sz w:val="20"/>
          <w:szCs w:val="20"/>
        </w:rPr>
        <w:tab/>
      </w:r>
      <w:r w:rsidRPr="005B12AE">
        <w:rPr>
          <w:rFonts w:ascii="Times New Roman" w:hAnsi="Times New Roman"/>
          <w:b/>
          <w:bCs/>
          <w:sz w:val="20"/>
          <w:szCs w:val="20"/>
        </w:rPr>
        <w:tab/>
      </w:r>
      <w:r w:rsidRPr="005B12AE">
        <w:rPr>
          <w:rFonts w:ascii="Times New Roman" w:hAnsi="Times New Roman"/>
          <w:b/>
          <w:bCs/>
          <w:sz w:val="20"/>
          <w:szCs w:val="20"/>
        </w:rPr>
        <w:tab/>
      </w:r>
      <w:r w:rsidRPr="005B12AE">
        <w:rPr>
          <w:rFonts w:ascii="Times New Roman" w:hAnsi="Times New Roman"/>
          <w:b/>
          <w:bCs/>
          <w:sz w:val="20"/>
          <w:szCs w:val="20"/>
        </w:rPr>
        <w:tab/>
        <w:t xml:space="preserve">    </w:t>
      </w:r>
      <w:r w:rsidR="003B4BCE">
        <w:rPr>
          <w:rFonts w:ascii="Times New Roman" w:hAnsi="Times New Roman"/>
          <w:b/>
          <w:bCs/>
          <w:sz w:val="20"/>
          <w:szCs w:val="20"/>
        </w:rPr>
        <w:t xml:space="preserve">       </w:t>
      </w:r>
      <w:r w:rsidRPr="005B12AE">
        <w:rPr>
          <w:rFonts w:ascii="Times New Roman" w:hAnsi="Times New Roman"/>
          <w:b/>
          <w:bCs/>
          <w:sz w:val="20"/>
          <w:szCs w:val="20"/>
        </w:rPr>
        <w:t xml:space="preserve">    (₹ in Lakhs)</w:t>
      </w:r>
    </w:p>
    <w:tbl>
      <w:tblPr>
        <w:tblW w:w="10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1"/>
        <w:gridCol w:w="1307"/>
        <w:gridCol w:w="1121"/>
        <w:gridCol w:w="747"/>
        <w:gridCol w:w="840"/>
        <w:gridCol w:w="1216"/>
        <w:gridCol w:w="1236"/>
      </w:tblGrid>
      <w:tr w:rsidR="005B5953" w:rsidRPr="005B12AE" w14:paraId="0D10DBC4" w14:textId="77777777" w:rsidTr="003B4BCE">
        <w:trPr>
          <w:trHeight w:val="20"/>
        </w:trPr>
        <w:tc>
          <w:tcPr>
            <w:tcW w:w="4011" w:type="dxa"/>
            <w:vMerge w:val="restart"/>
            <w:shd w:val="clear" w:color="auto" w:fill="D0CECE" w:themeFill="background2" w:themeFillShade="E6"/>
            <w:noWrap/>
            <w:vAlign w:val="center"/>
            <w:hideMark/>
          </w:tcPr>
          <w:p w14:paraId="733DEE15"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 xml:space="preserve">Particulars </w:t>
            </w:r>
          </w:p>
        </w:tc>
        <w:tc>
          <w:tcPr>
            <w:tcW w:w="5231" w:type="dxa"/>
            <w:gridSpan w:val="5"/>
            <w:shd w:val="clear" w:color="auto" w:fill="D0CECE" w:themeFill="background2" w:themeFillShade="E6"/>
            <w:noWrap/>
            <w:vAlign w:val="bottom"/>
            <w:hideMark/>
          </w:tcPr>
          <w:p w14:paraId="29E39BFC" w14:textId="77777777" w:rsidR="005B5953" w:rsidRPr="005B12AE" w:rsidRDefault="005B5953" w:rsidP="00250DAC">
            <w:pPr>
              <w:spacing w:after="0" w:line="240" w:lineRule="auto"/>
              <w:jc w:val="both"/>
              <w:rPr>
                <w:rFonts w:ascii="Times New Roman" w:hAnsi="Times New Roman"/>
                <w:b/>
                <w:bCs/>
                <w:sz w:val="20"/>
                <w:szCs w:val="20"/>
              </w:rPr>
            </w:pPr>
            <w:r w:rsidRPr="005B12AE">
              <w:rPr>
                <w:rFonts w:ascii="Times New Roman" w:hAnsi="Times New Roman"/>
                <w:b/>
                <w:bCs/>
                <w:sz w:val="20"/>
                <w:szCs w:val="20"/>
              </w:rPr>
              <w:t>Outstanding for following periods from due date of payment/ transaction</w:t>
            </w:r>
          </w:p>
        </w:tc>
        <w:tc>
          <w:tcPr>
            <w:tcW w:w="1236" w:type="dxa"/>
            <w:shd w:val="clear" w:color="auto" w:fill="D0CECE" w:themeFill="background2" w:themeFillShade="E6"/>
            <w:noWrap/>
            <w:vAlign w:val="center"/>
            <w:hideMark/>
          </w:tcPr>
          <w:p w14:paraId="1BE3CBDF" w14:textId="77777777" w:rsidR="005B5953" w:rsidRPr="005B12AE" w:rsidRDefault="005B5953" w:rsidP="00250DAC">
            <w:pPr>
              <w:spacing w:after="0" w:line="240" w:lineRule="auto"/>
              <w:rPr>
                <w:rFonts w:ascii="Times New Roman" w:hAnsi="Times New Roman"/>
                <w:b/>
                <w:bCs/>
                <w:sz w:val="20"/>
                <w:szCs w:val="20"/>
              </w:rPr>
            </w:pPr>
          </w:p>
        </w:tc>
      </w:tr>
      <w:tr w:rsidR="005B5953" w:rsidRPr="005B12AE" w14:paraId="53A3E2B0" w14:textId="77777777" w:rsidTr="003B4BCE">
        <w:trPr>
          <w:trHeight w:val="20"/>
        </w:trPr>
        <w:tc>
          <w:tcPr>
            <w:tcW w:w="4011" w:type="dxa"/>
            <w:vMerge/>
            <w:shd w:val="clear" w:color="auto" w:fill="D0CECE" w:themeFill="background2" w:themeFillShade="E6"/>
            <w:vAlign w:val="center"/>
            <w:hideMark/>
          </w:tcPr>
          <w:p w14:paraId="5ACBB90E" w14:textId="77777777" w:rsidR="005B5953" w:rsidRPr="005B12AE" w:rsidRDefault="005B5953" w:rsidP="00250DAC">
            <w:pPr>
              <w:spacing w:after="0" w:line="240" w:lineRule="auto"/>
              <w:rPr>
                <w:rFonts w:ascii="Times New Roman" w:hAnsi="Times New Roman"/>
                <w:b/>
                <w:bCs/>
                <w:sz w:val="20"/>
                <w:szCs w:val="20"/>
              </w:rPr>
            </w:pPr>
          </w:p>
        </w:tc>
        <w:tc>
          <w:tcPr>
            <w:tcW w:w="1307" w:type="dxa"/>
            <w:shd w:val="clear" w:color="auto" w:fill="D0CECE" w:themeFill="background2" w:themeFillShade="E6"/>
            <w:vAlign w:val="bottom"/>
            <w:hideMark/>
          </w:tcPr>
          <w:p w14:paraId="54873988"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Less than 6 months</w:t>
            </w:r>
          </w:p>
        </w:tc>
        <w:tc>
          <w:tcPr>
            <w:tcW w:w="1121" w:type="dxa"/>
            <w:shd w:val="clear" w:color="auto" w:fill="D0CECE" w:themeFill="background2" w:themeFillShade="E6"/>
            <w:noWrap/>
            <w:vAlign w:val="bottom"/>
            <w:hideMark/>
          </w:tcPr>
          <w:p w14:paraId="62B70260"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6 months - 1 year</w:t>
            </w:r>
          </w:p>
        </w:tc>
        <w:tc>
          <w:tcPr>
            <w:tcW w:w="747" w:type="dxa"/>
            <w:shd w:val="clear" w:color="auto" w:fill="D0CECE" w:themeFill="background2" w:themeFillShade="E6"/>
            <w:noWrap/>
            <w:vAlign w:val="bottom"/>
            <w:hideMark/>
          </w:tcPr>
          <w:p w14:paraId="21E3134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1-2 years</w:t>
            </w:r>
          </w:p>
        </w:tc>
        <w:tc>
          <w:tcPr>
            <w:tcW w:w="840" w:type="dxa"/>
            <w:shd w:val="clear" w:color="auto" w:fill="D0CECE" w:themeFill="background2" w:themeFillShade="E6"/>
            <w:noWrap/>
            <w:vAlign w:val="bottom"/>
            <w:hideMark/>
          </w:tcPr>
          <w:p w14:paraId="1F66CAE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2-3 years</w:t>
            </w:r>
          </w:p>
        </w:tc>
        <w:tc>
          <w:tcPr>
            <w:tcW w:w="1214" w:type="dxa"/>
            <w:shd w:val="clear" w:color="auto" w:fill="D0CECE" w:themeFill="background2" w:themeFillShade="E6"/>
            <w:vAlign w:val="bottom"/>
            <w:hideMark/>
          </w:tcPr>
          <w:p w14:paraId="4581F5E6"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More than 3 years</w:t>
            </w:r>
          </w:p>
        </w:tc>
        <w:tc>
          <w:tcPr>
            <w:tcW w:w="1236" w:type="dxa"/>
            <w:shd w:val="clear" w:color="auto" w:fill="D0CECE" w:themeFill="background2" w:themeFillShade="E6"/>
            <w:vAlign w:val="bottom"/>
            <w:hideMark/>
          </w:tcPr>
          <w:p w14:paraId="25C3626E"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Total as on 31-03-2023</w:t>
            </w:r>
          </w:p>
        </w:tc>
      </w:tr>
      <w:tr w:rsidR="005B5953" w:rsidRPr="005B12AE" w14:paraId="5283DF9F" w14:textId="77777777" w:rsidTr="003B4BCE">
        <w:trPr>
          <w:trHeight w:val="20"/>
        </w:trPr>
        <w:tc>
          <w:tcPr>
            <w:tcW w:w="4011" w:type="dxa"/>
            <w:shd w:val="clear" w:color="auto" w:fill="auto"/>
            <w:vAlign w:val="bottom"/>
            <w:hideMark/>
          </w:tcPr>
          <w:p w14:paraId="513C53C7"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(i) Undisputed Trade receivables –considered good</w:t>
            </w:r>
          </w:p>
        </w:tc>
        <w:tc>
          <w:tcPr>
            <w:tcW w:w="1307" w:type="dxa"/>
            <w:shd w:val="clear" w:color="auto" w:fill="auto"/>
            <w:noWrap/>
            <w:vAlign w:val="center"/>
            <w:hideMark/>
          </w:tcPr>
          <w:p w14:paraId="1266CAF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3,311.51</w:t>
            </w:r>
          </w:p>
        </w:tc>
        <w:tc>
          <w:tcPr>
            <w:tcW w:w="1121" w:type="dxa"/>
            <w:shd w:val="clear" w:color="auto" w:fill="auto"/>
            <w:noWrap/>
            <w:vAlign w:val="center"/>
            <w:hideMark/>
          </w:tcPr>
          <w:p w14:paraId="0C853F2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26.81</w:t>
            </w:r>
          </w:p>
        </w:tc>
        <w:tc>
          <w:tcPr>
            <w:tcW w:w="747" w:type="dxa"/>
            <w:shd w:val="clear" w:color="auto" w:fill="auto"/>
            <w:noWrap/>
            <w:vAlign w:val="center"/>
            <w:hideMark/>
          </w:tcPr>
          <w:p w14:paraId="6ED3567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6.80</w:t>
            </w:r>
          </w:p>
        </w:tc>
        <w:tc>
          <w:tcPr>
            <w:tcW w:w="840" w:type="dxa"/>
            <w:shd w:val="clear" w:color="auto" w:fill="auto"/>
            <w:noWrap/>
            <w:vAlign w:val="center"/>
            <w:hideMark/>
          </w:tcPr>
          <w:p w14:paraId="3CA9C52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11.55</w:t>
            </w:r>
          </w:p>
        </w:tc>
        <w:tc>
          <w:tcPr>
            <w:tcW w:w="1214" w:type="dxa"/>
            <w:shd w:val="clear" w:color="auto" w:fill="auto"/>
            <w:noWrap/>
            <w:vAlign w:val="center"/>
            <w:hideMark/>
          </w:tcPr>
          <w:p w14:paraId="57FDA84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101.47</w:t>
            </w:r>
          </w:p>
        </w:tc>
        <w:tc>
          <w:tcPr>
            <w:tcW w:w="1236" w:type="dxa"/>
            <w:shd w:val="clear" w:color="auto" w:fill="auto"/>
            <w:noWrap/>
            <w:vAlign w:val="center"/>
            <w:hideMark/>
          </w:tcPr>
          <w:p w14:paraId="392EC68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3,461.45</w:t>
            </w:r>
          </w:p>
        </w:tc>
      </w:tr>
      <w:tr w:rsidR="005B5953" w:rsidRPr="005B12AE" w14:paraId="024E1F5B" w14:textId="77777777" w:rsidTr="003B4BCE">
        <w:trPr>
          <w:trHeight w:val="20"/>
        </w:trPr>
        <w:tc>
          <w:tcPr>
            <w:tcW w:w="4011" w:type="dxa"/>
            <w:shd w:val="clear" w:color="auto" w:fill="auto"/>
            <w:noWrap/>
            <w:vAlign w:val="bottom"/>
            <w:hideMark/>
          </w:tcPr>
          <w:p w14:paraId="2826ACC8"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Total (i)</w:t>
            </w:r>
          </w:p>
        </w:tc>
        <w:tc>
          <w:tcPr>
            <w:tcW w:w="1307" w:type="dxa"/>
            <w:shd w:val="clear" w:color="auto" w:fill="auto"/>
            <w:noWrap/>
            <w:vAlign w:val="center"/>
            <w:hideMark/>
          </w:tcPr>
          <w:p w14:paraId="6EBF3C36"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3,311.51</w:t>
            </w:r>
          </w:p>
        </w:tc>
        <w:tc>
          <w:tcPr>
            <w:tcW w:w="1121" w:type="dxa"/>
            <w:shd w:val="clear" w:color="auto" w:fill="auto"/>
            <w:noWrap/>
            <w:vAlign w:val="center"/>
            <w:hideMark/>
          </w:tcPr>
          <w:p w14:paraId="3975CF5D"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26.81</w:t>
            </w:r>
          </w:p>
        </w:tc>
        <w:tc>
          <w:tcPr>
            <w:tcW w:w="747" w:type="dxa"/>
            <w:shd w:val="clear" w:color="auto" w:fill="auto"/>
            <w:noWrap/>
            <w:vAlign w:val="center"/>
            <w:hideMark/>
          </w:tcPr>
          <w:p w14:paraId="77A1046A"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6.80</w:t>
            </w:r>
          </w:p>
        </w:tc>
        <w:tc>
          <w:tcPr>
            <w:tcW w:w="840" w:type="dxa"/>
            <w:shd w:val="clear" w:color="auto" w:fill="auto"/>
            <w:noWrap/>
            <w:vAlign w:val="center"/>
            <w:hideMark/>
          </w:tcPr>
          <w:p w14:paraId="77334A58"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11.55</w:t>
            </w:r>
          </w:p>
        </w:tc>
        <w:tc>
          <w:tcPr>
            <w:tcW w:w="1214" w:type="dxa"/>
            <w:shd w:val="clear" w:color="auto" w:fill="auto"/>
            <w:noWrap/>
            <w:vAlign w:val="center"/>
            <w:hideMark/>
          </w:tcPr>
          <w:p w14:paraId="05B80B48"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101.47</w:t>
            </w:r>
          </w:p>
        </w:tc>
        <w:tc>
          <w:tcPr>
            <w:tcW w:w="1236" w:type="dxa"/>
            <w:shd w:val="clear" w:color="auto" w:fill="auto"/>
            <w:noWrap/>
            <w:vAlign w:val="center"/>
            <w:hideMark/>
          </w:tcPr>
          <w:p w14:paraId="00957FA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3,461.45</w:t>
            </w:r>
          </w:p>
        </w:tc>
      </w:tr>
      <w:tr w:rsidR="005B5953" w:rsidRPr="005B12AE" w14:paraId="0312D30A" w14:textId="77777777" w:rsidTr="003B4BCE">
        <w:trPr>
          <w:trHeight w:val="20"/>
        </w:trPr>
        <w:tc>
          <w:tcPr>
            <w:tcW w:w="4011" w:type="dxa"/>
            <w:shd w:val="clear" w:color="auto" w:fill="auto"/>
            <w:vAlign w:val="bottom"/>
            <w:hideMark/>
          </w:tcPr>
          <w:p w14:paraId="0A158DB3"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(ii) Undisputed trade Receivables - Which have significant increase in credit risk</w:t>
            </w:r>
          </w:p>
        </w:tc>
        <w:tc>
          <w:tcPr>
            <w:tcW w:w="1307" w:type="dxa"/>
            <w:shd w:val="clear" w:color="auto" w:fill="auto"/>
            <w:noWrap/>
            <w:vAlign w:val="center"/>
            <w:hideMark/>
          </w:tcPr>
          <w:p w14:paraId="77E9CE5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121" w:type="dxa"/>
            <w:shd w:val="clear" w:color="auto" w:fill="auto"/>
            <w:noWrap/>
            <w:vAlign w:val="center"/>
            <w:hideMark/>
          </w:tcPr>
          <w:p w14:paraId="5F9F08D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47" w:type="dxa"/>
            <w:shd w:val="clear" w:color="auto" w:fill="auto"/>
            <w:noWrap/>
            <w:vAlign w:val="center"/>
            <w:hideMark/>
          </w:tcPr>
          <w:p w14:paraId="7324253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40" w:type="dxa"/>
            <w:shd w:val="clear" w:color="auto" w:fill="auto"/>
            <w:noWrap/>
            <w:vAlign w:val="center"/>
            <w:hideMark/>
          </w:tcPr>
          <w:p w14:paraId="4CB4460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14" w:type="dxa"/>
            <w:shd w:val="clear" w:color="auto" w:fill="auto"/>
            <w:noWrap/>
            <w:vAlign w:val="center"/>
            <w:hideMark/>
          </w:tcPr>
          <w:p w14:paraId="3AF0853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36" w:type="dxa"/>
            <w:shd w:val="clear" w:color="auto" w:fill="auto"/>
            <w:noWrap/>
            <w:vAlign w:val="center"/>
            <w:hideMark/>
          </w:tcPr>
          <w:p w14:paraId="3832772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51216D2B" w14:textId="77777777" w:rsidTr="003B4BCE">
        <w:trPr>
          <w:trHeight w:val="20"/>
        </w:trPr>
        <w:tc>
          <w:tcPr>
            <w:tcW w:w="4011" w:type="dxa"/>
            <w:shd w:val="clear" w:color="auto" w:fill="auto"/>
            <w:noWrap/>
            <w:vAlign w:val="bottom"/>
            <w:hideMark/>
          </w:tcPr>
          <w:p w14:paraId="0436EA5F"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Total (ii)</w:t>
            </w:r>
          </w:p>
        </w:tc>
        <w:tc>
          <w:tcPr>
            <w:tcW w:w="1307" w:type="dxa"/>
            <w:shd w:val="clear" w:color="auto" w:fill="auto"/>
            <w:noWrap/>
            <w:vAlign w:val="center"/>
            <w:hideMark/>
          </w:tcPr>
          <w:p w14:paraId="49C9F9C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121" w:type="dxa"/>
            <w:shd w:val="clear" w:color="auto" w:fill="auto"/>
            <w:noWrap/>
            <w:vAlign w:val="center"/>
            <w:hideMark/>
          </w:tcPr>
          <w:p w14:paraId="6480522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47" w:type="dxa"/>
            <w:shd w:val="clear" w:color="auto" w:fill="auto"/>
            <w:noWrap/>
            <w:vAlign w:val="center"/>
            <w:hideMark/>
          </w:tcPr>
          <w:p w14:paraId="29DB766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40" w:type="dxa"/>
            <w:shd w:val="clear" w:color="auto" w:fill="auto"/>
            <w:noWrap/>
            <w:vAlign w:val="center"/>
            <w:hideMark/>
          </w:tcPr>
          <w:p w14:paraId="635B4DE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14" w:type="dxa"/>
            <w:shd w:val="clear" w:color="auto" w:fill="auto"/>
            <w:noWrap/>
            <w:vAlign w:val="center"/>
            <w:hideMark/>
          </w:tcPr>
          <w:p w14:paraId="40C7642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36" w:type="dxa"/>
            <w:shd w:val="clear" w:color="auto" w:fill="auto"/>
            <w:noWrap/>
            <w:vAlign w:val="center"/>
            <w:hideMark/>
          </w:tcPr>
          <w:p w14:paraId="3C5983C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50FAEEBE" w14:textId="77777777" w:rsidTr="003B4BCE">
        <w:trPr>
          <w:trHeight w:val="20"/>
        </w:trPr>
        <w:tc>
          <w:tcPr>
            <w:tcW w:w="4011" w:type="dxa"/>
            <w:shd w:val="clear" w:color="auto" w:fill="auto"/>
            <w:vAlign w:val="bottom"/>
            <w:hideMark/>
          </w:tcPr>
          <w:p w14:paraId="0A65D87A"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(iii) Undisputed trade Receivables - Credit impaired</w:t>
            </w:r>
          </w:p>
        </w:tc>
        <w:tc>
          <w:tcPr>
            <w:tcW w:w="1307" w:type="dxa"/>
            <w:shd w:val="clear" w:color="auto" w:fill="auto"/>
            <w:noWrap/>
            <w:vAlign w:val="center"/>
            <w:hideMark/>
          </w:tcPr>
          <w:p w14:paraId="002E693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121" w:type="dxa"/>
            <w:shd w:val="clear" w:color="auto" w:fill="auto"/>
            <w:noWrap/>
            <w:vAlign w:val="center"/>
            <w:hideMark/>
          </w:tcPr>
          <w:p w14:paraId="0F87DD0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47" w:type="dxa"/>
            <w:shd w:val="clear" w:color="auto" w:fill="auto"/>
            <w:noWrap/>
            <w:vAlign w:val="center"/>
            <w:hideMark/>
          </w:tcPr>
          <w:p w14:paraId="6A36C17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40" w:type="dxa"/>
            <w:shd w:val="clear" w:color="auto" w:fill="auto"/>
            <w:noWrap/>
            <w:vAlign w:val="center"/>
            <w:hideMark/>
          </w:tcPr>
          <w:p w14:paraId="51A8C05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14" w:type="dxa"/>
            <w:shd w:val="clear" w:color="auto" w:fill="auto"/>
            <w:noWrap/>
            <w:vAlign w:val="center"/>
            <w:hideMark/>
          </w:tcPr>
          <w:p w14:paraId="51E87C7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36" w:type="dxa"/>
            <w:shd w:val="clear" w:color="auto" w:fill="auto"/>
            <w:noWrap/>
            <w:vAlign w:val="center"/>
            <w:hideMark/>
          </w:tcPr>
          <w:p w14:paraId="5EFAA78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53596C61" w14:textId="77777777" w:rsidTr="003B4BCE">
        <w:trPr>
          <w:trHeight w:val="20"/>
        </w:trPr>
        <w:tc>
          <w:tcPr>
            <w:tcW w:w="4011" w:type="dxa"/>
            <w:shd w:val="clear" w:color="auto" w:fill="auto"/>
            <w:noWrap/>
            <w:vAlign w:val="bottom"/>
            <w:hideMark/>
          </w:tcPr>
          <w:p w14:paraId="45A5C80A"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Total (iii)</w:t>
            </w:r>
          </w:p>
        </w:tc>
        <w:tc>
          <w:tcPr>
            <w:tcW w:w="1307" w:type="dxa"/>
            <w:shd w:val="clear" w:color="auto" w:fill="auto"/>
            <w:noWrap/>
            <w:vAlign w:val="center"/>
            <w:hideMark/>
          </w:tcPr>
          <w:p w14:paraId="03F7F96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121" w:type="dxa"/>
            <w:shd w:val="clear" w:color="auto" w:fill="auto"/>
            <w:noWrap/>
            <w:vAlign w:val="center"/>
            <w:hideMark/>
          </w:tcPr>
          <w:p w14:paraId="5B26DE9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47" w:type="dxa"/>
            <w:shd w:val="clear" w:color="auto" w:fill="auto"/>
            <w:noWrap/>
            <w:vAlign w:val="center"/>
            <w:hideMark/>
          </w:tcPr>
          <w:p w14:paraId="7D365DA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40" w:type="dxa"/>
            <w:shd w:val="clear" w:color="auto" w:fill="auto"/>
            <w:noWrap/>
            <w:vAlign w:val="center"/>
            <w:hideMark/>
          </w:tcPr>
          <w:p w14:paraId="29B4F51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14" w:type="dxa"/>
            <w:shd w:val="clear" w:color="auto" w:fill="auto"/>
            <w:noWrap/>
            <w:vAlign w:val="center"/>
            <w:hideMark/>
          </w:tcPr>
          <w:p w14:paraId="1E2A55A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36" w:type="dxa"/>
            <w:shd w:val="clear" w:color="auto" w:fill="auto"/>
            <w:noWrap/>
            <w:vAlign w:val="center"/>
            <w:hideMark/>
          </w:tcPr>
          <w:p w14:paraId="5923F42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7BA7AE0D" w14:textId="77777777" w:rsidTr="003B4BCE">
        <w:trPr>
          <w:trHeight w:val="20"/>
        </w:trPr>
        <w:tc>
          <w:tcPr>
            <w:tcW w:w="4011" w:type="dxa"/>
            <w:shd w:val="clear" w:color="auto" w:fill="auto"/>
            <w:vAlign w:val="bottom"/>
            <w:hideMark/>
          </w:tcPr>
          <w:p w14:paraId="289FAFA3"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(iv) Disputed trade Receivables - Considered Good</w:t>
            </w:r>
          </w:p>
        </w:tc>
        <w:tc>
          <w:tcPr>
            <w:tcW w:w="1307" w:type="dxa"/>
            <w:shd w:val="clear" w:color="auto" w:fill="auto"/>
            <w:noWrap/>
            <w:vAlign w:val="center"/>
            <w:hideMark/>
          </w:tcPr>
          <w:p w14:paraId="1121D75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121" w:type="dxa"/>
            <w:shd w:val="clear" w:color="auto" w:fill="auto"/>
            <w:noWrap/>
            <w:vAlign w:val="center"/>
            <w:hideMark/>
          </w:tcPr>
          <w:p w14:paraId="5A4FA16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47" w:type="dxa"/>
            <w:shd w:val="clear" w:color="auto" w:fill="auto"/>
            <w:noWrap/>
            <w:vAlign w:val="center"/>
            <w:hideMark/>
          </w:tcPr>
          <w:p w14:paraId="3BF033C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40" w:type="dxa"/>
            <w:shd w:val="clear" w:color="auto" w:fill="auto"/>
            <w:noWrap/>
            <w:vAlign w:val="center"/>
            <w:hideMark/>
          </w:tcPr>
          <w:p w14:paraId="0900269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14" w:type="dxa"/>
            <w:shd w:val="clear" w:color="auto" w:fill="auto"/>
            <w:noWrap/>
            <w:vAlign w:val="center"/>
            <w:hideMark/>
          </w:tcPr>
          <w:p w14:paraId="65D4ACD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36" w:type="dxa"/>
            <w:shd w:val="clear" w:color="auto" w:fill="auto"/>
            <w:noWrap/>
            <w:vAlign w:val="center"/>
            <w:hideMark/>
          </w:tcPr>
          <w:p w14:paraId="2AF7B35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324B71BD" w14:textId="77777777" w:rsidTr="003B4BCE">
        <w:trPr>
          <w:trHeight w:val="20"/>
        </w:trPr>
        <w:tc>
          <w:tcPr>
            <w:tcW w:w="4011" w:type="dxa"/>
            <w:shd w:val="clear" w:color="auto" w:fill="auto"/>
            <w:noWrap/>
            <w:vAlign w:val="bottom"/>
            <w:hideMark/>
          </w:tcPr>
          <w:p w14:paraId="6ACD115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Total (iv)</w:t>
            </w:r>
          </w:p>
        </w:tc>
        <w:tc>
          <w:tcPr>
            <w:tcW w:w="1307" w:type="dxa"/>
            <w:shd w:val="clear" w:color="auto" w:fill="auto"/>
            <w:noWrap/>
            <w:vAlign w:val="center"/>
            <w:hideMark/>
          </w:tcPr>
          <w:p w14:paraId="581E668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121" w:type="dxa"/>
            <w:shd w:val="clear" w:color="auto" w:fill="auto"/>
            <w:noWrap/>
            <w:vAlign w:val="center"/>
            <w:hideMark/>
          </w:tcPr>
          <w:p w14:paraId="214F5C7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47" w:type="dxa"/>
            <w:shd w:val="clear" w:color="auto" w:fill="auto"/>
            <w:noWrap/>
            <w:vAlign w:val="center"/>
            <w:hideMark/>
          </w:tcPr>
          <w:p w14:paraId="7C9B603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40" w:type="dxa"/>
            <w:shd w:val="clear" w:color="auto" w:fill="auto"/>
            <w:noWrap/>
            <w:vAlign w:val="center"/>
            <w:hideMark/>
          </w:tcPr>
          <w:p w14:paraId="6FC77BD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14" w:type="dxa"/>
            <w:shd w:val="clear" w:color="auto" w:fill="auto"/>
            <w:noWrap/>
            <w:vAlign w:val="center"/>
            <w:hideMark/>
          </w:tcPr>
          <w:p w14:paraId="52E6E12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36" w:type="dxa"/>
            <w:shd w:val="clear" w:color="auto" w:fill="auto"/>
            <w:noWrap/>
            <w:vAlign w:val="center"/>
            <w:hideMark/>
          </w:tcPr>
          <w:p w14:paraId="7E58DE0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70397135" w14:textId="77777777" w:rsidTr="003B4BCE">
        <w:trPr>
          <w:trHeight w:val="20"/>
        </w:trPr>
        <w:tc>
          <w:tcPr>
            <w:tcW w:w="4011" w:type="dxa"/>
            <w:shd w:val="clear" w:color="auto" w:fill="auto"/>
            <w:vAlign w:val="bottom"/>
            <w:hideMark/>
          </w:tcPr>
          <w:p w14:paraId="13573169"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(v) Disputed trade Receivables - Which have significant increase in credit risk</w:t>
            </w:r>
          </w:p>
        </w:tc>
        <w:tc>
          <w:tcPr>
            <w:tcW w:w="1307" w:type="dxa"/>
            <w:shd w:val="clear" w:color="auto" w:fill="auto"/>
            <w:noWrap/>
            <w:vAlign w:val="center"/>
            <w:hideMark/>
          </w:tcPr>
          <w:p w14:paraId="130F432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121" w:type="dxa"/>
            <w:shd w:val="clear" w:color="auto" w:fill="auto"/>
            <w:noWrap/>
            <w:vAlign w:val="center"/>
            <w:hideMark/>
          </w:tcPr>
          <w:p w14:paraId="4B8F862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47" w:type="dxa"/>
            <w:shd w:val="clear" w:color="auto" w:fill="auto"/>
            <w:noWrap/>
            <w:vAlign w:val="center"/>
            <w:hideMark/>
          </w:tcPr>
          <w:p w14:paraId="5C1B853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40" w:type="dxa"/>
            <w:shd w:val="clear" w:color="auto" w:fill="auto"/>
            <w:noWrap/>
            <w:vAlign w:val="center"/>
            <w:hideMark/>
          </w:tcPr>
          <w:p w14:paraId="26D1E45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14" w:type="dxa"/>
            <w:shd w:val="clear" w:color="auto" w:fill="auto"/>
            <w:noWrap/>
            <w:vAlign w:val="center"/>
            <w:hideMark/>
          </w:tcPr>
          <w:p w14:paraId="5D31F69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36" w:type="dxa"/>
            <w:shd w:val="clear" w:color="auto" w:fill="auto"/>
            <w:noWrap/>
            <w:vAlign w:val="center"/>
            <w:hideMark/>
          </w:tcPr>
          <w:p w14:paraId="60CE951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4203A264" w14:textId="77777777" w:rsidTr="003B4BCE">
        <w:trPr>
          <w:trHeight w:val="20"/>
        </w:trPr>
        <w:tc>
          <w:tcPr>
            <w:tcW w:w="4011" w:type="dxa"/>
            <w:shd w:val="clear" w:color="auto" w:fill="auto"/>
            <w:noWrap/>
            <w:vAlign w:val="bottom"/>
            <w:hideMark/>
          </w:tcPr>
          <w:p w14:paraId="66B8FBC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Total (v)</w:t>
            </w:r>
          </w:p>
        </w:tc>
        <w:tc>
          <w:tcPr>
            <w:tcW w:w="1307" w:type="dxa"/>
            <w:shd w:val="clear" w:color="auto" w:fill="auto"/>
            <w:noWrap/>
            <w:vAlign w:val="center"/>
            <w:hideMark/>
          </w:tcPr>
          <w:p w14:paraId="619F24E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121" w:type="dxa"/>
            <w:shd w:val="clear" w:color="auto" w:fill="auto"/>
            <w:noWrap/>
            <w:vAlign w:val="center"/>
            <w:hideMark/>
          </w:tcPr>
          <w:p w14:paraId="3157B38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47" w:type="dxa"/>
            <w:shd w:val="clear" w:color="auto" w:fill="auto"/>
            <w:noWrap/>
            <w:vAlign w:val="center"/>
            <w:hideMark/>
          </w:tcPr>
          <w:p w14:paraId="0C8FBE7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40" w:type="dxa"/>
            <w:shd w:val="clear" w:color="auto" w:fill="auto"/>
            <w:noWrap/>
            <w:vAlign w:val="center"/>
            <w:hideMark/>
          </w:tcPr>
          <w:p w14:paraId="018B262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14" w:type="dxa"/>
            <w:shd w:val="clear" w:color="auto" w:fill="auto"/>
            <w:noWrap/>
            <w:vAlign w:val="center"/>
            <w:hideMark/>
          </w:tcPr>
          <w:p w14:paraId="5242E20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36" w:type="dxa"/>
            <w:shd w:val="clear" w:color="auto" w:fill="auto"/>
            <w:noWrap/>
            <w:vAlign w:val="center"/>
            <w:hideMark/>
          </w:tcPr>
          <w:p w14:paraId="6AE72F0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7D7C30DC" w14:textId="77777777" w:rsidTr="003B4BCE">
        <w:trPr>
          <w:trHeight w:val="20"/>
        </w:trPr>
        <w:tc>
          <w:tcPr>
            <w:tcW w:w="4011" w:type="dxa"/>
            <w:shd w:val="clear" w:color="auto" w:fill="auto"/>
            <w:vAlign w:val="bottom"/>
            <w:hideMark/>
          </w:tcPr>
          <w:p w14:paraId="2079AC93"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(vi) Disputed trade Receivables - Credit impaired</w:t>
            </w:r>
          </w:p>
        </w:tc>
        <w:tc>
          <w:tcPr>
            <w:tcW w:w="1307" w:type="dxa"/>
            <w:shd w:val="clear" w:color="auto" w:fill="auto"/>
            <w:noWrap/>
            <w:vAlign w:val="center"/>
            <w:hideMark/>
          </w:tcPr>
          <w:p w14:paraId="76DE397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121" w:type="dxa"/>
            <w:shd w:val="clear" w:color="auto" w:fill="auto"/>
            <w:noWrap/>
            <w:vAlign w:val="center"/>
            <w:hideMark/>
          </w:tcPr>
          <w:p w14:paraId="4650C2E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47" w:type="dxa"/>
            <w:shd w:val="clear" w:color="auto" w:fill="auto"/>
            <w:noWrap/>
            <w:vAlign w:val="center"/>
            <w:hideMark/>
          </w:tcPr>
          <w:p w14:paraId="23513AC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40" w:type="dxa"/>
            <w:shd w:val="clear" w:color="auto" w:fill="auto"/>
            <w:noWrap/>
            <w:vAlign w:val="center"/>
            <w:hideMark/>
          </w:tcPr>
          <w:p w14:paraId="7E48ECF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14" w:type="dxa"/>
            <w:shd w:val="clear" w:color="auto" w:fill="auto"/>
            <w:noWrap/>
            <w:vAlign w:val="center"/>
            <w:hideMark/>
          </w:tcPr>
          <w:p w14:paraId="4EB77F3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36" w:type="dxa"/>
            <w:shd w:val="clear" w:color="auto" w:fill="auto"/>
            <w:noWrap/>
            <w:vAlign w:val="center"/>
            <w:hideMark/>
          </w:tcPr>
          <w:p w14:paraId="7097754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47DF41E7" w14:textId="77777777" w:rsidTr="003B4BCE">
        <w:trPr>
          <w:trHeight w:val="20"/>
        </w:trPr>
        <w:tc>
          <w:tcPr>
            <w:tcW w:w="4011" w:type="dxa"/>
            <w:shd w:val="clear" w:color="auto" w:fill="auto"/>
            <w:noWrap/>
            <w:vAlign w:val="bottom"/>
            <w:hideMark/>
          </w:tcPr>
          <w:p w14:paraId="206B6E1F"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Total (vi)</w:t>
            </w:r>
          </w:p>
        </w:tc>
        <w:tc>
          <w:tcPr>
            <w:tcW w:w="1307" w:type="dxa"/>
            <w:shd w:val="clear" w:color="auto" w:fill="auto"/>
            <w:noWrap/>
            <w:vAlign w:val="center"/>
            <w:hideMark/>
          </w:tcPr>
          <w:p w14:paraId="546C5B0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121" w:type="dxa"/>
            <w:shd w:val="clear" w:color="auto" w:fill="auto"/>
            <w:noWrap/>
            <w:vAlign w:val="center"/>
            <w:hideMark/>
          </w:tcPr>
          <w:p w14:paraId="5BECE51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47" w:type="dxa"/>
            <w:shd w:val="clear" w:color="auto" w:fill="auto"/>
            <w:noWrap/>
            <w:vAlign w:val="center"/>
            <w:hideMark/>
          </w:tcPr>
          <w:p w14:paraId="2A1EBE5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40" w:type="dxa"/>
            <w:shd w:val="clear" w:color="auto" w:fill="auto"/>
            <w:noWrap/>
            <w:vAlign w:val="center"/>
            <w:hideMark/>
          </w:tcPr>
          <w:p w14:paraId="7878CE8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14" w:type="dxa"/>
            <w:shd w:val="clear" w:color="auto" w:fill="auto"/>
            <w:noWrap/>
            <w:vAlign w:val="center"/>
            <w:hideMark/>
          </w:tcPr>
          <w:p w14:paraId="4D989A8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36" w:type="dxa"/>
            <w:shd w:val="clear" w:color="auto" w:fill="auto"/>
            <w:noWrap/>
            <w:vAlign w:val="center"/>
            <w:hideMark/>
          </w:tcPr>
          <w:p w14:paraId="726C82B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10394441" w14:textId="77777777" w:rsidTr="003B4BCE">
        <w:trPr>
          <w:trHeight w:val="20"/>
        </w:trPr>
        <w:tc>
          <w:tcPr>
            <w:tcW w:w="4011" w:type="dxa"/>
            <w:shd w:val="clear" w:color="auto" w:fill="auto"/>
            <w:noWrap/>
            <w:vAlign w:val="bottom"/>
            <w:hideMark/>
          </w:tcPr>
          <w:p w14:paraId="5AF02756" w14:textId="77777777" w:rsidR="005B5953" w:rsidRPr="005B12AE" w:rsidRDefault="005B5953" w:rsidP="00250DAC">
            <w:pPr>
              <w:spacing w:after="0" w:line="240" w:lineRule="auto"/>
              <w:rPr>
                <w:rFonts w:ascii="Times New Roman" w:hAnsi="Times New Roman"/>
                <w:b/>
                <w:bCs/>
                <w:sz w:val="20"/>
                <w:szCs w:val="20"/>
                <w:lang w:val="pt-BR"/>
              </w:rPr>
            </w:pPr>
            <w:r w:rsidRPr="005B12AE">
              <w:rPr>
                <w:rFonts w:ascii="Times New Roman" w:hAnsi="Times New Roman"/>
                <w:b/>
                <w:bCs/>
                <w:sz w:val="20"/>
                <w:szCs w:val="20"/>
                <w:lang w:val="pt-BR"/>
              </w:rPr>
              <w:t>TOTAL (i+ii+iii+iv+v+vi)</w:t>
            </w:r>
          </w:p>
        </w:tc>
        <w:tc>
          <w:tcPr>
            <w:tcW w:w="1307" w:type="dxa"/>
            <w:shd w:val="clear" w:color="auto" w:fill="auto"/>
            <w:noWrap/>
            <w:vAlign w:val="center"/>
            <w:hideMark/>
          </w:tcPr>
          <w:p w14:paraId="4A220813"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3,311.51</w:t>
            </w:r>
          </w:p>
        </w:tc>
        <w:tc>
          <w:tcPr>
            <w:tcW w:w="1121" w:type="dxa"/>
            <w:shd w:val="clear" w:color="auto" w:fill="auto"/>
            <w:noWrap/>
            <w:vAlign w:val="center"/>
            <w:hideMark/>
          </w:tcPr>
          <w:p w14:paraId="169CA815"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26.81</w:t>
            </w:r>
          </w:p>
        </w:tc>
        <w:tc>
          <w:tcPr>
            <w:tcW w:w="747" w:type="dxa"/>
            <w:shd w:val="clear" w:color="auto" w:fill="auto"/>
            <w:noWrap/>
            <w:vAlign w:val="center"/>
            <w:hideMark/>
          </w:tcPr>
          <w:p w14:paraId="12E8E5AE"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6.80</w:t>
            </w:r>
          </w:p>
        </w:tc>
        <w:tc>
          <w:tcPr>
            <w:tcW w:w="840" w:type="dxa"/>
            <w:shd w:val="clear" w:color="auto" w:fill="auto"/>
            <w:noWrap/>
            <w:vAlign w:val="center"/>
            <w:hideMark/>
          </w:tcPr>
          <w:p w14:paraId="0BBFF298"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11.55</w:t>
            </w:r>
          </w:p>
        </w:tc>
        <w:tc>
          <w:tcPr>
            <w:tcW w:w="1214" w:type="dxa"/>
            <w:shd w:val="clear" w:color="auto" w:fill="auto"/>
            <w:noWrap/>
            <w:vAlign w:val="center"/>
            <w:hideMark/>
          </w:tcPr>
          <w:p w14:paraId="5DCA7567"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101.47</w:t>
            </w:r>
          </w:p>
        </w:tc>
        <w:tc>
          <w:tcPr>
            <w:tcW w:w="1236" w:type="dxa"/>
            <w:shd w:val="clear" w:color="auto" w:fill="auto"/>
            <w:noWrap/>
            <w:vAlign w:val="center"/>
            <w:hideMark/>
          </w:tcPr>
          <w:p w14:paraId="3B06D57F"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3,461.45</w:t>
            </w:r>
          </w:p>
        </w:tc>
      </w:tr>
    </w:tbl>
    <w:p w14:paraId="7FFC204A" w14:textId="77777777" w:rsidR="005B5953" w:rsidRPr="005B12AE" w:rsidRDefault="005B5953" w:rsidP="005B5953">
      <w:pPr>
        <w:spacing w:after="0"/>
        <w:ind w:left="270" w:hanging="270"/>
        <w:rPr>
          <w:rFonts w:ascii="Times New Roman" w:hAnsi="Times New Roman"/>
          <w:b/>
          <w:bCs/>
          <w:sz w:val="20"/>
          <w:szCs w:val="20"/>
        </w:rPr>
      </w:pPr>
    </w:p>
    <w:p w14:paraId="066FBD4F" w14:textId="636D7761" w:rsidR="005B5953" w:rsidRPr="005B12AE" w:rsidRDefault="005B5953" w:rsidP="005B5953">
      <w:pPr>
        <w:spacing w:after="0"/>
        <w:rPr>
          <w:rFonts w:ascii="Times New Roman" w:hAnsi="Times New Roman"/>
          <w:b/>
          <w:bCs/>
          <w:sz w:val="20"/>
          <w:szCs w:val="20"/>
        </w:rPr>
      </w:pPr>
      <w:r w:rsidRPr="005B12AE">
        <w:rPr>
          <w:rFonts w:ascii="Times New Roman" w:hAnsi="Times New Roman"/>
          <w:b/>
          <w:bCs/>
          <w:sz w:val="20"/>
          <w:szCs w:val="20"/>
        </w:rPr>
        <w:t xml:space="preserve">F. Y. 2021-22 </w:t>
      </w:r>
      <w:r w:rsidRPr="005B12AE">
        <w:rPr>
          <w:rFonts w:ascii="Times New Roman" w:hAnsi="Times New Roman"/>
          <w:b/>
          <w:bCs/>
          <w:sz w:val="20"/>
          <w:szCs w:val="20"/>
        </w:rPr>
        <w:tab/>
      </w:r>
      <w:r w:rsidRPr="005B12AE">
        <w:rPr>
          <w:rFonts w:ascii="Times New Roman" w:hAnsi="Times New Roman"/>
          <w:b/>
          <w:bCs/>
          <w:sz w:val="20"/>
          <w:szCs w:val="20"/>
        </w:rPr>
        <w:tab/>
      </w:r>
      <w:r w:rsidRPr="005B12AE">
        <w:rPr>
          <w:rFonts w:ascii="Times New Roman" w:hAnsi="Times New Roman"/>
          <w:b/>
          <w:bCs/>
          <w:sz w:val="20"/>
          <w:szCs w:val="20"/>
        </w:rPr>
        <w:tab/>
      </w:r>
      <w:r w:rsidRPr="005B12AE">
        <w:rPr>
          <w:rFonts w:ascii="Times New Roman" w:hAnsi="Times New Roman"/>
          <w:b/>
          <w:bCs/>
          <w:sz w:val="20"/>
          <w:szCs w:val="20"/>
        </w:rPr>
        <w:tab/>
      </w:r>
      <w:r w:rsidRPr="005B12AE">
        <w:rPr>
          <w:rFonts w:ascii="Times New Roman" w:hAnsi="Times New Roman"/>
          <w:b/>
          <w:bCs/>
          <w:sz w:val="20"/>
          <w:szCs w:val="20"/>
        </w:rPr>
        <w:tab/>
      </w:r>
      <w:r w:rsidRPr="005B12AE">
        <w:rPr>
          <w:rFonts w:ascii="Times New Roman" w:hAnsi="Times New Roman"/>
          <w:b/>
          <w:bCs/>
          <w:sz w:val="20"/>
          <w:szCs w:val="20"/>
        </w:rPr>
        <w:tab/>
      </w:r>
      <w:r w:rsidRPr="005B12AE">
        <w:rPr>
          <w:rFonts w:ascii="Times New Roman" w:hAnsi="Times New Roman"/>
          <w:b/>
          <w:bCs/>
          <w:sz w:val="20"/>
          <w:szCs w:val="20"/>
        </w:rPr>
        <w:tab/>
      </w:r>
      <w:r w:rsidRPr="005B12AE">
        <w:rPr>
          <w:rFonts w:ascii="Times New Roman" w:hAnsi="Times New Roman"/>
          <w:b/>
          <w:bCs/>
          <w:sz w:val="20"/>
          <w:szCs w:val="20"/>
        </w:rPr>
        <w:tab/>
      </w:r>
      <w:r w:rsidRPr="005B12AE">
        <w:rPr>
          <w:rFonts w:ascii="Times New Roman" w:hAnsi="Times New Roman"/>
          <w:b/>
          <w:bCs/>
          <w:sz w:val="20"/>
          <w:szCs w:val="20"/>
        </w:rPr>
        <w:tab/>
      </w:r>
      <w:r w:rsidRPr="005B12AE">
        <w:rPr>
          <w:rFonts w:ascii="Times New Roman" w:hAnsi="Times New Roman"/>
          <w:b/>
          <w:bCs/>
          <w:sz w:val="20"/>
          <w:szCs w:val="20"/>
        </w:rPr>
        <w:tab/>
      </w:r>
      <w:r w:rsidRPr="005B12AE">
        <w:rPr>
          <w:rFonts w:ascii="Times New Roman" w:hAnsi="Times New Roman"/>
          <w:b/>
          <w:bCs/>
          <w:sz w:val="20"/>
          <w:szCs w:val="20"/>
        </w:rPr>
        <w:tab/>
        <w:t xml:space="preserve">       </w:t>
      </w:r>
      <w:r w:rsidR="003B4BCE">
        <w:rPr>
          <w:rFonts w:ascii="Times New Roman" w:hAnsi="Times New Roman"/>
          <w:b/>
          <w:bCs/>
          <w:sz w:val="20"/>
          <w:szCs w:val="20"/>
        </w:rPr>
        <w:t xml:space="preserve">       </w:t>
      </w:r>
      <w:r w:rsidRPr="005B12AE">
        <w:rPr>
          <w:rFonts w:ascii="Times New Roman" w:hAnsi="Times New Roman"/>
          <w:b/>
          <w:bCs/>
          <w:sz w:val="20"/>
          <w:szCs w:val="20"/>
        </w:rPr>
        <w:t xml:space="preserve"> (₹ in Lakhs)</w:t>
      </w:r>
    </w:p>
    <w:tbl>
      <w:tblPr>
        <w:tblW w:w="10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9"/>
        <w:gridCol w:w="1316"/>
        <w:gridCol w:w="1128"/>
        <w:gridCol w:w="752"/>
        <w:gridCol w:w="846"/>
        <w:gridCol w:w="1225"/>
        <w:gridCol w:w="1234"/>
      </w:tblGrid>
      <w:tr w:rsidR="005B5953" w:rsidRPr="005B12AE" w14:paraId="7EB115B0" w14:textId="77777777" w:rsidTr="003B4BCE">
        <w:trPr>
          <w:trHeight w:val="20"/>
          <w:tblHeader/>
        </w:trPr>
        <w:tc>
          <w:tcPr>
            <w:tcW w:w="4039" w:type="dxa"/>
            <w:vMerge w:val="restart"/>
            <w:shd w:val="clear" w:color="auto" w:fill="D0CECE" w:themeFill="background2" w:themeFillShade="E6"/>
            <w:noWrap/>
            <w:vAlign w:val="center"/>
            <w:hideMark/>
          </w:tcPr>
          <w:p w14:paraId="07BE2E15"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 xml:space="preserve">Particulars </w:t>
            </w:r>
          </w:p>
        </w:tc>
        <w:tc>
          <w:tcPr>
            <w:tcW w:w="5267" w:type="dxa"/>
            <w:gridSpan w:val="5"/>
            <w:shd w:val="clear" w:color="auto" w:fill="D0CECE" w:themeFill="background2" w:themeFillShade="E6"/>
            <w:noWrap/>
            <w:vAlign w:val="bottom"/>
            <w:hideMark/>
          </w:tcPr>
          <w:p w14:paraId="25FA9FD1"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Outstanding for following periods from due date of payment/ transaction</w:t>
            </w:r>
          </w:p>
        </w:tc>
        <w:tc>
          <w:tcPr>
            <w:tcW w:w="1234" w:type="dxa"/>
            <w:shd w:val="clear" w:color="auto" w:fill="D0CECE" w:themeFill="background2" w:themeFillShade="E6"/>
            <w:noWrap/>
            <w:vAlign w:val="center"/>
            <w:hideMark/>
          </w:tcPr>
          <w:p w14:paraId="1AD1D3A5" w14:textId="77777777" w:rsidR="005B5953" w:rsidRPr="005B12AE" w:rsidRDefault="005B5953" w:rsidP="00250DAC">
            <w:pPr>
              <w:spacing w:after="0" w:line="240" w:lineRule="auto"/>
              <w:jc w:val="center"/>
              <w:rPr>
                <w:rFonts w:ascii="Times New Roman" w:hAnsi="Times New Roman"/>
                <w:b/>
                <w:bCs/>
                <w:sz w:val="20"/>
                <w:szCs w:val="20"/>
              </w:rPr>
            </w:pPr>
          </w:p>
        </w:tc>
      </w:tr>
      <w:tr w:rsidR="005B5953" w:rsidRPr="005B12AE" w14:paraId="2C15E696" w14:textId="77777777" w:rsidTr="003B4BCE">
        <w:trPr>
          <w:trHeight w:val="20"/>
          <w:tblHeader/>
        </w:trPr>
        <w:tc>
          <w:tcPr>
            <w:tcW w:w="4039" w:type="dxa"/>
            <w:vMerge/>
            <w:shd w:val="clear" w:color="auto" w:fill="D0CECE" w:themeFill="background2" w:themeFillShade="E6"/>
            <w:vAlign w:val="center"/>
            <w:hideMark/>
          </w:tcPr>
          <w:p w14:paraId="6A99FC58" w14:textId="77777777" w:rsidR="005B5953" w:rsidRPr="005B12AE" w:rsidRDefault="005B5953" w:rsidP="00250DAC">
            <w:pPr>
              <w:spacing w:after="0" w:line="240" w:lineRule="auto"/>
              <w:rPr>
                <w:rFonts w:ascii="Times New Roman" w:hAnsi="Times New Roman"/>
                <w:b/>
                <w:bCs/>
                <w:sz w:val="20"/>
                <w:szCs w:val="20"/>
              </w:rPr>
            </w:pPr>
          </w:p>
        </w:tc>
        <w:tc>
          <w:tcPr>
            <w:tcW w:w="1316" w:type="dxa"/>
            <w:shd w:val="clear" w:color="auto" w:fill="D0CECE" w:themeFill="background2" w:themeFillShade="E6"/>
            <w:vAlign w:val="bottom"/>
            <w:hideMark/>
          </w:tcPr>
          <w:p w14:paraId="30729C1A"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Less than 6 months</w:t>
            </w:r>
          </w:p>
        </w:tc>
        <w:tc>
          <w:tcPr>
            <w:tcW w:w="1128" w:type="dxa"/>
            <w:shd w:val="clear" w:color="auto" w:fill="D0CECE" w:themeFill="background2" w:themeFillShade="E6"/>
            <w:noWrap/>
            <w:vAlign w:val="bottom"/>
            <w:hideMark/>
          </w:tcPr>
          <w:p w14:paraId="37DB6D0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6 months - 1 year</w:t>
            </w:r>
          </w:p>
        </w:tc>
        <w:tc>
          <w:tcPr>
            <w:tcW w:w="752" w:type="dxa"/>
            <w:shd w:val="clear" w:color="auto" w:fill="D0CECE" w:themeFill="background2" w:themeFillShade="E6"/>
            <w:noWrap/>
            <w:vAlign w:val="bottom"/>
            <w:hideMark/>
          </w:tcPr>
          <w:p w14:paraId="77F1BE37"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1-2 years</w:t>
            </w:r>
          </w:p>
        </w:tc>
        <w:tc>
          <w:tcPr>
            <w:tcW w:w="846" w:type="dxa"/>
            <w:shd w:val="clear" w:color="auto" w:fill="D0CECE" w:themeFill="background2" w:themeFillShade="E6"/>
            <w:noWrap/>
            <w:vAlign w:val="bottom"/>
            <w:hideMark/>
          </w:tcPr>
          <w:p w14:paraId="101B31AE"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2-3 years</w:t>
            </w:r>
          </w:p>
        </w:tc>
        <w:tc>
          <w:tcPr>
            <w:tcW w:w="1222" w:type="dxa"/>
            <w:shd w:val="clear" w:color="auto" w:fill="D0CECE" w:themeFill="background2" w:themeFillShade="E6"/>
            <w:vAlign w:val="bottom"/>
            <w:hideMark/>
          </w:tcPr>
          <w:p w14:paraId="7E4D90B0"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More than 3 years</w:t>
            </w:r>
          </w:p>
        </w:tc>
        <w:tc>
          <w:tcPr>
            <w:tcW w:w="1234" w:type="dxa"/>
            <w:shd w:val="clear" w:color="auto" w:fill="D0CECE" w:themeFill="background2" w:themeFillShade="E6"/>
            <w:vAlign w:val="bottom"/>
            <w:hideMark/>
          </w:tcPr>
          <w:p w14:paraId="00B49DC9"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Total as on 31-03-2022</w:t>
            </w:r>
          </w:p>
        </w:tc>
      </w:tr>
      <w:tr w:rsidR="005B5953" w:rsidRPr="005B12AE" w14:paraId="2C8CDE31" w14:textId="77777777" w:rsidTr="003B4BCE">
        <w:trPr>
          <w:trHeight w:val="20"/>
        </w:trPr>
        <w:tc>
          <w:tcPr>
            <w:tcW w:w="4039" w:type="dxa"/>
            <w:shd w:val="clear" w:color="auto" w:fill="auto"/>
            <w:vAlign w:val="bottom"/>
            <w:hideMark/>
          </w:tcPr>
          <w:p w14:paraId="5F3BD5AB"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(i) Undisputed Trade receivables -considered good</w:t>
            </w:r>
          </w:p>
        </w:tc>
        <w:tc>
          <w:tcPr>
            <w:tcW w:w="1316" w:type="dxa"/>
            <w:shd w:val="clear" w:color="auto" w:fill="auto"/>
            <w:noWrap/>
            <w:vAlign w:val="center"/>
            <w:hideMark/>
          </w:tcPr>
          <w:p w14:paraId="1580E9E9" w14:textId="77777777" w:rsidR="005B5953" w:rsidRPr="005B12AE" w:rsidRDefault="005B5953" w:rsidP="00250DAC">
            <w:pPr>
              <w:spacing w:after="0" w:line="240" w:lineRule="auto"/>
              <w:jc w:val="center"/>
              <w:rPr>
                <w:rFonts w:ascii="Times New Roman" w:hAnsi="Times New Roman"/>
                <w:sz w:val="20"/>
                <w:szCs w:val="20"/>
              </w:rPr>
            </w:pPr>
          </w:p>
        </w:tc>
        <w:tc>
          <w:tcPr>
            <w:tcW w:w="1128" w:type="dxa"/>
            <w:shd w:val="clear" w:color="auto" w:fill="auto"/>
            <w:noWrap/>
            <w:vAlign w:val="center"/>
            <w:hideMark/>
          </w:tcPr>
          <w:p w14:paraId="0D9A5748" w14:textId="77777777" w:rsidR="005B5953" w:rsidRPr="005B12AE" w:rsidRDefault="005B5953" w:rsidP="00250DAC">
            <w:pPr>
              <w:spacing w:after="0" w:line="240" w:lineRule="auto"/>
              <w:jc w:val="center"/>
              <w:rPr>
                <w:rFonts w:ascii="Times New Roman" w:hAnsi="Times New Roman"/>
                <w:sz w:val="20"/>
                <w:szCs w:val="20"/>
              </w:rPr>
            </w:pPr>
          </w:p>
        </w:tc>
        <w:tc>
          <w:tcPr>
            <w:tcW w:w="752" w:type="dxa"/>
            <w:shd w:val="clear" w:color="auto" w:fill="auto"/>
            <w:noWrap/>
            <w:vAlign w:val="center"/>
            <w:hideMark/>
          </w:tcPr>
          <w:p w14:paraId="75130B24" w14:textId="77777777" w:rsidR="005B5953" w:rsidRPr="005B12AE" w:rsidRDefault="005B5953" w:rsidP="00250DAC">
            <w:pPr>
              <w:spacing w:after="0" w:line="240" w:lineRule="auto"/>
              <w:jc w:val="center"/>
              <w:rPr>
                <w:rFonts w:ascii="Times New Roman" w:hAnsi="Times New Roman"/>
                <w:sz w:val="20"/>
                <w:szCs w:val="20"/>
              </w:rPr>
            </w:pPr>
          </w:p>
        </w:tc>
        <w:tc>
          <w:tcPr>
            <w:tcW w:w="846" w:type="dxa"/>
            <w:shd w:val="clear" w:color="auto" w:fill="auto"/>
            <w:noWrap/>
            <w:vAlign w:val="center"/>
            <w:hideMark/>
          </w:tcPr>
          <w:p w14:paraId="769F67CD" w14:textId="77777777" w:rsidR="005B5953" w:rsidRPr="005B12AE" w:rsidRDefault="005B5953" w:rsidP="00250DAC">
            <w:pPr>
              <w:spacing w:after="0" w:line="240" w:lineRule="auto"/>
              <w:jc w:val="center"/>
              <w:rPr>
                <w:rFonts w:ascii="Times New Roman" w:hAnsi="Times New Roman"/>
                <w:sz w:val="20"/>
                <w:szCs w:val="20"/>
              </w:rPr>
            </w:pPr>
          </w:p>
        </w:tc>
        <w:tc>
          <w:tcPr>
            <w:tcW w:w="1222" w:type="dxa"/>
            <w:shd w:val="clear" w:color="auto" w:fill="auto"/>
            <w:noWrap/>
            <w:vAlign w:val="center"/>
            <w:hideMark/>
          </w:tcPr>
          <w:p w14:paraId="5C5E09E6" w14:textId="77777777" w:rsidR="005B5953" w:rsidRPr="005B12AE" w:rsidRDefault="005B5953" w:rsidP="00250DAC">
            <w:pPr>
              <w:spacing w:after="0" w:line="240" w:lineRule="auto"/>
              <w:jc w:val="center"/>
              <w:rPr>
                <w:rFonts w:ascii="Times New Roman" w:hAnsi="Times New Roman"/>
                <w:sz w:val="20"/>
                <w:szCs w:val="20"/>
              </w:rPr>
            </w:pPr>
          </w:p>
        </w:tc>
        <w:tc>
          <w:tcPr>
            <w:tcW w:w="1234" w:type="dxa"/>
            <w:shd w:val="clear" w:color="auto" w:fill="auto"/>
            <w:noWrap/>
            <w:vAlign w:val="center"/>
            <w:hideMark/>
          </w:tcPr>
          <w:p w14:paraId="1EAEA216"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60906073" w14:textId="77777777" w:rsidTr="003B4BCE">
        <w:trPr>
          <w:trHeight w:val="20"/>
        </w:trPr>
        <w:tc>
          <w:tcPr>
            <w:tcW w:w="4039" w:type="dxa"/>
            <w:shd w:val="clear" w:color="auto" w:fill="auto"/>
            <w:noWrap/>
            <w:vAlign w:val="bottom"/>
            <w:hideMark/>
          </w:tcPr>
          <w:p w14:paraId="3334BA1F"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Total (i)</w:t>
            </w:r>
          </w:p>
        </w:tc>
        <w:tc>
          <w:tcPr>
            <w:tcW w:w="1316" w:type="dxa"/>
            <w:shd w:val="clear" w:color="auto" w:fill="auto"/>
            <w:noWrap/>
            <w:vAlign w:val="center"/>
            <w:hideMark/>
          </w:tcPr>
          <w:p w14:paraId="08D4F335"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2,794.76</w:t>
            </w:r>
          </w:p>
        </w:tc>
        <w:tc>
          <w:tcPr>
            <w:tcW w:w="1128" w:type="dxa"/>
            <w:shd w:val="clear" w:color="auto" w:fill="auto"/>
            <w:noWrap/>
            <w:vAlign w:val="center"/>
            <w:hideMark/>
          </w:tcPr>
          <w:p w14:paraId="6C82F7B7"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62.02</w:t>
            </w:r>
          </w:p>
        </w:tc>
        <w:tc>
          <w:tcPr>
            <w:tcW w:w="752" w:type="dxa"/>
            <w:shd w:val="clear" w:color="auto" w:fill="auto"/>
            <w:noWrap/>
            <w:vAlign w:val="center"/>
            <w:hideMark/>
          </w:tcPr>
          <w:p w14:paraId="776621E9"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21.22</w:t>
            </w:r>
          </w:p>
        </w:tc>
        <w:tc>
          <w:tcPr>
            <w:tcW w:w="846" w:type="dxa"/>
            <w:shd w:val="clear" w:color="auto" w:fill="auto"/>
            <w:noWrap/>
            <w:vAlign w:val="center"/>
            <w:hideMark/>
          </w:tcPr>
          <w:p w14:paraId="242FE05B"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141.03</w:t>
            </w:r>
          </w:p>
        </w:tc>
        <w:tc>
          <w:tcPr>
            <w:tcW w:w="1222" w:type="dxa"/>
            <w:shd w:val="clear" w:color="auto" w:fill="auto"/>
            <w:noWrap/>
            <w:vAlign w:val="center"/>
            <w:hideMark/>
          </w:tcPr>
          <w:p w14:paraId="5BBECE83"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340.57</w:t>
            </w:r>
          </w:p>
        </w:tc>
        <w:tc>
          <w:tcPr>
            <w:tcW w:w="1234" w:type="dxa"/>
            <w:shd w:val="clear" w:color="auto" w:fill="auto"/>
            <w:noWrap/>
            <w:vAlign w:val="center"/>
            <w:hideMark/>
          </w:tcPr>
          <w:p w14:paraId="42054E0F"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3,359.60</w:t>
            </w:r>
          </w:p>
        </w:tc>
      </w:tr>
      <w:tr w:rsidR="005B5953" w:rsidRPr="005B12AE" w14:paraId="3F75F883" w14:textId="77777777" w:rsidTr="003B4BCE">
        <w:trPr>
          <w:trHeight w:val="20"/>
        </w:trPr>
        <w:tc>
          <w:tcPr>
            <w:tcW w:w="4039" w:type="dxa"/>
            <w:shd w:val="clear" w:color="auto" w:fill="auto"/>
            <w:vAlign w:val="bottom"/>
            <w:hideMark/>
          </w:tcPr>
          <w:p w14:paraId="1DD1152A"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(ii) Undisputed trade Receivables - Which have significant increase in credit risk</w:t>
            </w:r>
          </w:p>
        </w:tc>
        <w:tc>
          <w:tcPr>
            <w:tcW w:w="1316" w:type="dxa"/>
            <w:shd w:val="clear" w:color="auto" w:fill="auto"/>
            <w:noWrap/>
            <w:vAlign w:val="center"/>
            <w:hideMark/>
          </w:tcPr>
          <w:p w14:paraId="7925A99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128" w:type="dxa"/>
            <w:shd w:val="clear" w:color="auto" w:fill="auto"/>
            <w:noWrap/>
            <w:vAlign w:val="center"/>
            <w:hideMark/>
          </w:tcPr>
          <w:p w14:paraId="34E92FE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52" w:type="dxa"/>
            <w:shd w:val="clear" w:color="auto" w:fill="auto"/>
            <w:noWrap/>
            <w:vAlign w:val="center"/>
            <w:hideMark/>
          </w:tcPr>
          <w:p w14:paraId="70DF5D3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46" w:type="dxa"/>
            <w:shd w:val="clear" w:color="auto" w:fill="auto"/>
            <w:noWrap/>
            <w:vAlign w:val="center"/>
            <w:hideMark/>
          </w:tcPr>
          <w:p w14:paraId="440754C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22" w:type="dxa"/>
            <w:shd w:val="clear" w:color="auto" w:fill="auto"/>
            <w:noWrap/>
            <w:vAlign w:val="center"/>
            <w:hideMark/>
          </w:tcPr>
          <w:p w14:paraId="684C3BD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34" w:type="dxa"/>
            <w:shd w:val="clear" w:color="auto" w:fill="auto"/>
            <w:noWrap/>
            <w:vAlign w:val="center"/>
            <w:hideMark/>
          </w:tcPr>
          <w:p w14:paraId="4F9FC5D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3B0D8BBE" w14:textId="77777777" w:rsidTr="003B4BCE">
        <w:trPr>
          <w:trHeight w:val="20"/>
        </w:trPr>
        <w:tc>
          <w:tcPr>
            <w:tcW w:w="4039" w:type="dxa"/>
            <w:shd w:val="clear" w:color="auto" w:fill="auto"/>
            <w:noWrap/>
            <w:vAlign w:val="bottom"/>
            <w:hideMark/>
          </w:tcPr>
          <w:p w14:paraId="2BCB9BE6"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Total (ii)</w:t>
            </w:r>
          </w:p>
        </w:tc>
        <w:tc>
          <w:tcPr>
            <w:tcW w:w="1316" w:type="dxa"/>
            <w:shd w:val="clear" w:color="auto" w:fill="auto"/>
            <w:noWrap/>
            <w:vAlign w:val="center"/>
            <w:hideMark/>
          </w:tcPr>
          <w:p w14:paraId="3D28860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128" w:type="dxa"/>
            <w:shd w:val="clear" w:color="auto" w:fill="auto"/>
            <w:noWrap/>
            <w:vAlign w:val="center"/>
            <w:hideMark/>
          </w:tcPr>
          <w:p w14:paraId="56AA41E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52" w:type="dxa"/>
            <w:shd w:val="clear" w:color="auto" w:fill="auto"/>
            <w:noWrap/>
            <w:vAlign w:val="center"/>
            <w:hideMark/>
          </w:tcPr>
          <w:p w14:paraId="5CAE73A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46" w:type="dxa"/>
            <w:shd w:val="clear" w:color="auto" w:fill="auto"/>
            <w:noWrap/>
            <w:vAlign w:val="center"/>
            <w:hideMark/>
          </w:tcPr>
          <w:p w14:paraId="2B97FE3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22" w:type="dxa"/>
            <w:shd w:val="clear" w:color="auto" w:fill="auto"/>
            <w:noWrap/>
            <w:vAlign w:val="center"/>
            <w:hideMark/>
          </w:tcPr>
          <w:p w14:paraId="00FFC24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34" w:type="dxa"/>
            <w:shd w:val="clear" w:color="auto" w:fill="auto"/>
            <w:noWrap/>
            <w:vAlign w:val="center"/>
            <w:hideMark/>
          </w:tcPr>
          <w:p w14:paraId="6ECC9F7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7FA0064C" w14:textId="77777777" w:rsidTr="003B4BCE">
        <w:trPr>
          <w:trHeight w:val="20"/>
        </w:trPr>
        <w:tc>
          <w:tcPr>
            <w:tcW w:w="4039" w:type="dxa"/>
            <w:shd w:val="clear" w:color="auto" w:fill="auto"/>
            <w:vAlign w:val="bottom"/>
            <w:hideMark/>
          </w:tcPr>
          <w:p w14:paraId="11B6C760"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(iii) Undisputed trade Receivables - Credit impaired</w:t>
            </w:r>
          </w:p>
        </w:tc>
        <w:tc>
          <w:tcPr>
            <w:tcW w:w="1316" w:type="dxa"/>
            <w:shd w:val="clear" w:color="auto" w:fill="auto"/>
            <w:noWrap/>
            <w:vAlign w:val="center"/>
            <w:hideMark/>
          </w:tcPr>
          <w:p w14:paraId="2C0B6F1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128" w:type="dxa"/>
            <w:shd w:val="clear" w:color="auto" w:fill="auto"/>
            <w:noWrap/>
            <w:vAlign w:val="center"/>
            <w:hideMark/>
          </w:tcPr>
          <w:p w14:paraId="4DB093B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52" w:type="dxa"/>
            <w:shd w:val="clear" w:color="auto" w:fill="auto"/>
            <w:noWrap/>
            <w:vAlign w:val="center"/>
            <w:hideMark/>
          </w:tcPr>
          <w:p w14:paraId="0A1F208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46" w:type="dxa"/>
            <w:shd w:val="clear" w:color="auto" w:fill="auto"/>
            <w:noWrap/>
            <w:vAlign w:val="center"/>
            <w:hideMark/>
          </w:tcPr>
          <w:p w14:paraId="672FC77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22" w:type="dxa"/>
            <w:shd w:val="clear" w:color="auto" w:fill="auto"/>
            <w:noWrap/>
            <w:vAlign w:val="center"/>
            <w:hideMark/>
          </w:tcPr>
          <w:p w14:paraId="2F03F3B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34" w:type="dxa"/>
            <w:shd w:val="clear" w:color="auto" w:fill="auto"/>
            <w:noWrap/>
            <w:vAlign w:val="center"/>
            <w:hideMark/>
          </w:tcPr>
          <w:p w14:paraId="45A9013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3B5F04B9" w14:textId="77777777" w:rsidTr="003B4BCE">
        <w:trPr>
          <w:trHeight w:val="20"/>
        </w:trPr>
        <w:tc>
          <w:tcPr>
            <w:tcW w:w="4039" w:type="dxa"/>
            <w:shd w:val="clear" w:color="auto" w:fill="auto"/>
            <w:noWrap/>
            <w:vAlign w:val="bottom"/>
            <w:hideMark/>
          </w:tcPr>
          <w:p w14:paraId="391E8CB8"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Total (iii)</w:t>
            </w:r>
          </w:p>
        </w:tc>
        <w:tc>
          <w:tcPr>
            <w:tcW w:w="1316" w:type="dxa"/>
            <w:shd w:val="clear" w:color="auto" w:fill="auto"/>
            <w:noWrap/>
            <w:vAlign w:val="center"/>
            <w:hideMark/>
          </w:tcPr>
          <w:p w14:paraId="6409331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128" w:type="dxa"/>
            <w:shd w:val="clear" w:color="auto" w:fill="auto"/>
            <w:noWrap/>
            <w:vAlign w:val="center"/>
            <w:hideMark/>
          </w:tcPr>
          <w:p w14:paraId="4FFA587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52" w:type="dxa"/>
            <w:shd w:val="clear" w:color="auto" w:fill="auto"/>
            <w:noWrap/>
            <w:vAlign w:val="center"/>
            <w:hideMark/>
          </w:tcPr>
          <w:p w14:paraId="5221B0C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46" w:type="dxa"/>
            <w:shd w:val="clear" w:color="auto" w:fill="auto"/>
            <w:noWrap/>
            <w:vAlign w:val="center"/>
            <w:hideMark/>
          </w:tcPr>
          <w:p w14:paraId="7187249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22" w:type="dxa"/>
            <w:shd w:val="clear" w:color="auto" w:fill="auto"/>
            <w:noWrap/>
            <w:vAlign w:val="center"/>
            <w:hideMark/>
          </w:tcPr>
          <w:p w14:paraId="6894C44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34" w:type="dxa"/>
            <w:shd w:val="clear" w:color="auto" w:fill="auto"/>
            <w:noWrap/>
            <w:vAlign w:val="center"/>
            <w:hideMark/>
          </w:tcPr>
          <w:p w14:paraId="2E3B7E0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25F031B3" w14:textId="77777777" w:rsidTr="003B4BCE">
        <w:trPr>
          <w:trHeight w:val="20"/>
        </w:trPr>
        <w:tc>
          <w:tcPr>
            <w:tcW w:w="4039" w:type="dxa"/>
            <w:shd w:val="clear" w:color="auto" w:fill="auto"/>
            <w:vAlign w:val="bottom"/>
            <w:hideMark/>
          </w:tcPr>
          <w:p w14:paraId="474504CC"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lastRenderedPageBreak/>
              <w:t>(iv) Disputed trade Receivables - Considered Good</w:t>
            </w:r>
          </w:p>
        </w:tc>
        <w:tc>
          <w:tcPr>
            <w:tcW w:w="1316" w:type="dxa"/>
            <w:shd w:val="clear" w:color="auto" w:fill="auto"/>
            <w:noWrap/>
            <w:vAlign w:val="center"/>
            <w:hideMark/>
          </w:tcPr>
          <w:p w14:paraId="3DD5ECE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128" w:type="dxa"/>
            <w:shd w:val="clear" w:color="auto" w:fill="auto"/>
            <w:noWrap/>
            <w:vAlign w:val="center"/>
            <w:hideMark/>
          </w:tcPr>
          <w:p w14:paraId="52EE889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52" w:type="dxa"/>
            <w:shd w:val="clear" w:color="auto" w:fill="auto"/>
            <w:noWrap/>
            <w:vAlign w:val="center"/>
            <w:hideMark/>
          </w:tcPr>
          <w:p w14:paraId="23FA58C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46" w:type="dxa"/>
            <w:shd w:val="clear" w:color="auto" w:fill="auto"/>
            <w:noWrap/>
            <w:vAlign w:val="center"/>
            <w:hideMark/>
          </w:tcPr>
          <w:p w14:paraId="562BA66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22" w:type="dxa"/>
            <w:shd w:val="clear" w:color="auto" w:fill="auto"/>
            <w:noWrap/>
            <w:vAlign w:val="center"/>
            <w:hideMark/>
          </w:tcPr>
          <w:p w14:paraId="639C73E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34" w:type="dxa"/>
            <w:shd w:val="clear" w:color="auto" w:fill="auto"/>
            <w:noWrap/>
            <w:vAlign w:val="center"/>
            <w:hideMark/>
          </w:tcPr>
          <w:p w14:paraId="0417F3C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5AEAE5FE" w14:textId="77777777" w:rsidTr="003B4BCE">
        <w:trPr>
          <w:trHeight w:val="20"/>
        </w:trPr>
        <w:tc>
          <w:tcPr>
            <w:tcW w:w="4039" w:type="dxa"/>
            <w:shd w:val="clear" w:color="auto" w:fill="auto"/>
            <w:noWrap/>
            <w:vAlign w:val="bottom"/>
            <w:hideMark/>
          </w:tcPr>
          <w:p w14:paraId="0AAF650A"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Total (iv)</w:t>
            </w:r>
          </w:p>
        </w:tc>
        <w:tc>
          <w:tcPr>
            <w:tcW w:w="1316" w:type="dxa"/>
            <w:shd w:val="clear" w:color="auto" w:fill="auto"/>
            <w:noWrap/>
            <w:vAlign w:val="center"/>
            <w:hideMark/>
          </w:tcPr>
          <w:p w14:paraId="05C3EF4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128" w:type="dxa"/>
            <w:shd w:val="clear" w:color="auto" w:fill="auto"/>
            <w:noWrap/>
            <w:vAlign w:val="center"/>
            <w:hideMark/>
          </w:tcPr>
          <w:p w14:paraId="48BF249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52" w:type="dxa"/>
            <w:shd w:val="clear" w:color="auto" w:fill="auto"/>
            <w:noWrap/>
            <w:vAlign w:val="center"/>
            <w:hideMark/>
          </w:tcPr>
          <w:p w14:paraId="67EAF49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46" w:type="dxa"/>
            <w:shd w:val="clear" w:color="auto" w:fill="auto"/>
            <w:noWrap/>
            <w:vAlign w:val="center"/>
            <w:hideMark/>
          </w:tcPr>
          <w:p w14:paraId="3BB53E5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22" w:type="dxa"/>
            <w:shd w:val="clear" w:color="auto" w:fill="auto"/>
            <w:noWrap/>
            <w:vAlign w:val="center"/>
            <w:hideMark/>
          </w:tcPr>
          <w:p w14:paraId="3326278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34" w:type="dxa"/>
            <w:shd w:val="clear" w:color="auto" w:fill="auto"/>
            <w:noWrap/>
            <w:vAlign w:val="center"/>
            <w:hideMark/>
          </w:tcPr>
          <w:p w14:paraId="59C7A3F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42503C5C" w14:textId="77777777" w:rsidTr="003B4BCE">
        <w:trPr>
          <w:trHeight w:val="20"/>
        </w:trPr>
        <w:tc>
          <w:tcPr>
            <w:tcW w:w="4039" w:type="dxa"/>
            <w:shd w:val="clear" w:color="auto" w:fill="auto"/>
            <w:vAlign w:val="bottom"/>
            <w:hideMark/>
          </w:tcPr>
          <w:p w14:paraId="00862D40"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(v) Disputed trade Receivables - Which have significant increase in credit risk</w:t>
            </w:r>
          </w:p>
        </w:tc>
        <w:tc>
          <w:tcPr>
            <w:tcW w:w="1316" w:type="dxa"/>
            <w:shd w:val="clear" w:color="auto" w:fill="auto"/>
            <w:noWrap/>
            <w:vAlign w:val="center"/>
            <w:hideMark/>
          </w:tcPr>
          <w:p w14:paraId="368299E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128" w:type="dxa"/>
            <w:shd w:val="clear" w:color="auto" w:fill="auto"/>
            <w:noWrap/>
            <w:vAlign w:val="center"/>
            <w:hideMark/>
          </w:tcPr>
          <w:p w14:paraId="4B57592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52" w:type="dxa"/>
            <w:shd w:val="clear" w:color="auto" w:fill="auto"/>
            <w:noWrap/>
            <w:vAlign w:val="center"/>
            <w:hideMark/>
          </w:tcPr>
          <w:p w14:paraId="710547B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46" w:type="dxa"/>
            <w:shd w:val="clear" w:color="auto" w:fill="auto"/>
            <w:noWrap/>
            <w:vAlign w:val="center"/>
            <w:hideMark/>
          </w:tcPr>
          <w:p w14:paraId="729C7FE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22" w:type="dxa"/>
            <w:shd w:val="clear" w:color="auto" w:fill="auto"/>
            <w:noWrap/>
            <w:vAlign w:val="center"/>
            <w:hideMark/>
          </w:tcPr>
          <w:p w14:paraId="78E2E3A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34" w:type="dxa"/>
            <w:shd w:val="clear" w:color="auto" w:fill="auto"/>
            <w:noWrap/>
            <w:vAlign w:val="center"/>
            <w:hideMark/>
          </w:tcPr>
          <w:p w14:paraId="3343924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0D16E1AC" w14:textId="77777777" w:rsidTr="003B4BCE">
        <w:trPr>
          <w:trHeight w:val="20"/>
        </w:trPr>
        <w:tc>
          <w:tcPr>
            <w:tcW w:w="4039" w:type="dxa"/>
            <w:shd w:val="clear" w:color="auto" w:fill="auto"/>
            <w:noWrap/>
            <w:vAlign w:val="bottom"/>
            <w:hideMark/>
          </w:tcPr>
          <w:p w14:paraId="1B286B98"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Total (v)</w:t>
            </w:r>
          </w:p>
        </w:tc>
        <w:tc>
          <w:tcPr>
            <w:tcW w:w="1316" w:type="dxa"/>
            <w:shd w:val="clear" w:color="auto" w:fill="auto"/>
            <w:noWrap/>
            <w:vAlign w:val="center"/>
            <w:hideMark/>
          </w:tcPr>
          <w:p w14:paraId="78B4555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128" w:type="dxa"/>
            <w:shd w:val="clear" w:color="auto" w:fill="auto"/>
            <w:noWrap/>
            <w:vAlign w:val="center"/>
            <w:hideMark/>
          </w:tcPr>
          <w:p w14:paraId="393B1AD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52" w:type="dxa"/>
            <w:shd w:val="clear" w:color="auto" w:fill="auto"/>
            <w:noWrap/>
            <w:vAlign w:val="center"/>
            <w:hideMark/>
          </w:tcPr>
          <w:p w14:paraId="2B8165F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46" w:type="dxa"/>
            <w:shd w:val="clear" w:color="auto" w:fill="auto"/>
            <w:noWrap/>
            <w:vAlign w:val="center"/>
            <w:hideMark/>
          </w:tcPr>
          <w:p w14:paraId="1E31E05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22" w:type="dxa"/>
            <w:shd w:val="clear" w:color="auto" w:fill="auto"/>
            <w:noWrap/>
            <w:vAlign w:val="center"/>
            <w:hideMark/>
          </w:tcPr>
          <w:p w14:paraId="7A775B9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34" w:type="dxa"/>
            <w:shd w:val="clear" w:color="auto" w:fill="auto"/>
            <w:noWrap/>
            <w:vAlign w:val="center"/>
            <w:hideMark/>
          </w:tcPr>
          <w:p w14:paraId="50028E3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03167199" w14:textId="77777777" w:rsidTr="003B4BCE">
        <w:trPr>
          <w:trHeight w:val="20"/>
        </w:trPr>
        <w:tc>
          <w:tcPr>
            <w:tcW w:w="4039" w:type="dxa"/>
            <w:shd w:val="clear" w:color="auto" w:fill="auto"/>
            <w:vAlign w:val="bottom"/>
            <w:hideMark/>
          </w:tcPr>
          <w:p w14:paraId="41DC4978"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(vi) Disputed trade Receivables - Credit impaired</w:t>
            </w:r>
          </w:p>
        </w:tc>
        <w:tc>
          <w:tcPr>
            <w:tcW w:w="1316" w:type="dxa"/>
            <w:shd w:val="clear" w:color="auto" w:fill="auto"/>
            <w:noWrap/>
            <w:vAlign w:val="center"/>
            <w:hideMark/>
          </w:tcPr>
          <w:p w14:paraId="3AFB4D1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128" w:type="dxa"/>
            <w:shd w:val="clear" w:color="auto" w:fill="auto"/>
            <w:noWrap/>
            <w:vAlign w:val="center"/>
            <w:hideMark/>
          </w:tcPr>
          <w:p w14:paraId="55C97D0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52" w:type="dxa"/>
            <w:shd w:val="clear" w:color="auto" w:fill="auto"/>
            <w:noWrap/>
            <w:vAlign w:val="center"/>
            <w:hideMark/>
          </w:tcPr>
          <w:p w14:paraId="2DCDE07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46" w:type="dxa"/>
            <w:shd w:val="clear" w:color="auto" w:fill="auto"/>
            <w:noWrap/>
            <w:vAlign w:val="center"/>
            <w:hideMark/>
          </w:tcPr>
          <w:p w14:paraId="4E29F3A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22" w:type="dxa"/>
            <w:shd w:val="clear" w:color="auto" w:fill="auto"/>
            <w:noWrap/>
            <w:vAlign w:val="center"/>
            <w:hideMark/>
          </w:tcPr>
          <w:p w14:paraId="3A760CA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34" w:type="dxa"/>
            <w:shd w:val="clear" w:color="auto" w:fill="auto"/>
            <w:noWrap/>
            <w:vAlign w:val="center"/>
            <w:hideMark/>
          </w:tcPr>
          <w:p w14:paraId="5DCFAC6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72A6C01A" w14:textId="77777777" w:rsidTr="003B4BCE">
        <w:trPr>
          <w:trHeight w:val="20"/>
        </w:trPr>
        <w:tc>
          <w:tcPr>
            <w:tcW w:w="4039" w:type="dxa"/>
            <w:shd w:val="clear" w:color="auto" w:fill="auto"/>
            <w:noWrap/>
            <w:vAlign w:val="bottom"/>
            <w:hideMark/>
          </w:tcPr>
          <w:p w14:paraId="0F109D3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Total (vi)</w:t>
            </w:r>
          </w:p>
        </w:tc>
        <w:tc>
          <w:tcPr>
            <w:tcW w:w="1316" w:type="dxa"/>
            <w:shd w:val="clear" w:color="auto" w:fill="auto"/>
            <w:noWrap/>
            <w:vAlign w:val="center"/>
            <w:hideMark/>
          </w:tcPr>
          <w:p w14:paraId="0B6B843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128" w:type="dxa"/>
            <w:shd w:val="clear" w:color="auto" w:fill="auto"/>
            <w:noWrap/>
            <w:vAlign w:val="center"/>
            <w:hideMark/>
          </w:tcPr>
          <w:p w14:paraId="36BC4F4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52" w:type="dxa"/>
            <w:shd w:val="clear" w:color="auto" w:fill="auto"/>
            <w:noWrap/>
            <w:vAlign w:val="center"/>
            <w:hideMark/>
          </w:tcPr>
          <w:p w14:paraId="7139549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46" w:type="dxa"/>
            <w:shd w:val="clear" w:color="auto" w:fill="auto"/>
            <w:noWrap/>
            <w:vAlign w:val="center"/>
            <w:hideMark/>
          </w:tcPr>
          <w:p w14:paraId="3F6E245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22" w:type="dxa"/>
            <w:shd w:val="clear" w:color="auto" w:fill="auto"/>
            <w:noWrap/>
            <w:vAlign w:val="center"/>
            <w:hideMark/>
          </w:tcPr>
          <w:p w14:paraId="7F757D4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34" w:type="dxa"/>
            <w:shd w:val="clear" w:color="auto" w:fill="auto"/>
            <w:noWrap/>
            <w:vAlign w:val="center"/>
            <w:hideMark/>
          </w:tcPr>
          <w:p w14:paraId="59537B1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7974BA27" w14:textId="77777777" w:rsidTr="003B4BCE">
        <w:trPr>
          <w:trHeight w:val="20"/>
        </w:trPr>
        <w:tc>
          <w:tcPr>
            <w:tcW w:w="4039" w:type="dxa"/>
            <w:shd w:val="clear" w:color="auto" w:fill="auto"/>
            <w:noWrap/>
            <w:vAlign w:val="bottom"/>
            <w:hideMark/>
          </w:tcPr>
          <w:p w14:paraId="0224AAF9" w14:textId="77777777" w:rsidR="005B5953" w:rsidRPr="005B12AE" w:rsidRDefault="005B5953" w:rsidP="00250DAC">
            <w:pPr>
              <w:spacing w:after="0" w:line="240" w:lineRule="auto"/>
              <w:rPr>
                <w:rFonts w:ascii="Times New Roman" w:hAnsi="Times New Roman"/>
                <w:b/>
                <w:bCs/>
                <w:sz w:val="20"/>
                <w:szCs w:val="20"/>
                <w:lang w:val="pt-BR"/>
              </w:rPr>
            </w:pPr>
            <w:r w:rsidRPr="005B12AE">
              <w:rPr>
                <w:rFonts w:ascii="Times New Roman" w:hAnsi="Times New Roman"/>
                <w:b/>
                <w:bCs/>
                <w:sz w:val="20"/>
                <w:szCs w:val="20"/>
                <w:lang w:val="pt-BR"/>
              </w:rPr>
              <w:t>TOTAL (i+ii+iii+iv+v+vi)</w:t>
            </w:r>
          </w:p>
        </w:tc>
        <w:tc>
          <w:tcPr>
            <w:tcW w:w="1316" w:type="dxa"/>
            <w:shd w:val="clear" w:color="auto" w:fill="auto"/>
            <w:noWrap/>
            <w:vAlign w:val="center"/>
            <w:hideMark/>
          </w:tcPr>
          <w:p w14:paraId="53BFB9F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2,794.76</w:t>
            </w:r>
          </w:p>
        </w:tc>
        <w:tc>
          <w:tcPr>
            <w:tcW w:w="1128" w:type="dxa"/>
            <w:shd w:val="clear" w:color="auto" w:fill="auto"/>
            <w:noWrap/>
            <w:vAlign w:val="center"/>
            <w:hideMark/>
          </w:tcPr>
          <w:p w14:paraId="7D4D4830"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62.02</w:t>
            </w:r>
          </w:p>
        </w:tc>
        <w:tc>
          <w:tcPr>
            <w:tcW w:w="752" w:type="dxa"/>
            <w:shd w:val="clear" w:color="auto" w:fill="auto"/>
            <w:noWrap/>
            <w:vAlign w:val="center"/>
            <w:hideMark/>
          </w:tcPr>
          <w:p w14:paraId="18D75107"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21.22</w:t>
            </w:r>
          </w:p>
        </w:tc>
        <w:tc>
          <w:tcPr>
            <w:tcW w:w="846" w:type="dxa"/>
            <w:shd w:val="clear" w:color="auto" w:fill="auto"/>
            <w:noWrap/>
            <w:vAlign w:val="center"/>
            <w:hideMark/>
          </w:tcPr>
          <w:p w14:paraId="174C2920"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141.03</w:t>
            </w:r>
          </w:p>
        </w:tc>
        <w:tc>
          <w:tcPr>
            <w:tcW w:w="1222" w:type="dxa"/>
            <w:shd w:val="clear" w:color="auto" w:fill="auto"/>
            <w:noWrap/>
            <w:vAlign w:val="center"/>
            <w:hideMark/>
          </w:tcPr>
          <w:p w14:paraId="5FD27136"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340.57</w:t>
            </w:r>
          </w:p>
        </w:tc>
        <w:tc>
          <w:tcPr>
            <w:tcW w:w="1234" w:type="dxa"/>
            <w:shd w:val="clear" w:color="auto" w:fill="auto"/>
            <w:noWrap/>
            <w:vAlign w:val="center"/>
            <w:hideMark/>
          </w:tcPr>
          <w:p w14:paraId="274E147D"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3,359.60</w:t>
            </w:r>
          </w:p>
        </w:tc>
      </w:tr>
    </w:tbl>
    <w:p w14:paraId="0E165398" w14:textId="77777777" w:rsidR="005B5953" w:rsidRPr="005B12AE" w:rsidRDefault="005B5953" w:rsidP="005B5953">
      <w:pPr>
        <w:spacing w:after="0"/>
        <w:ind w:left="270" w:hanging="270"/>
        <w:rPr>
          <w:rFonts w:ascii="Times New Roman" w:hAnsi="Times New Roman"/>
          <w:b/>
          <w:bCs/>
          <w:sz w:val="20"/>
          <w:szCs w:val="20"/>
        </w:rPr>
      </w:pPr>
    </w:p>
    <w:p w14:paraId="0991B794" w14:textId="0B6929A4" w:rsidR="005B5953" w:rsidRPr="005B12AE" w:rsidRDefault="005B5953" w:rsidP="005B5953">
      <w:pPr>
        <w:spacing w:after="0"/>
        <w:rPr>
          <w:rFonts w:ascii="Times New Roman" w:hAnsi="Times New Roman"/>
          <w:b/>
          <w:bCs/>
          <w:sz w:val="20"/>
          <w:szCs w:val="20"/>
        </w:rPr>
      </w:pPr>
      <w:r w:rsidRPr="005B12AE">
        <w:rPr>
          <w:rFonts w:ascii="Times New Roman" w:hAnsi="Times New Roman"/>
          <w:b/>
          <w:bCs/>
          <w:sz w:val="20"/>
          <w:szCs w:val="20"/>
        </w:rPr>
        <w:t>F. Y. 2020-21</w:t>
      </w:r>
      <w:r w:rsidRPr="005B12AE">
        <w:rPr>
          <w:rFonts w:ascii="Times New Roman" w:hAnsi="Times New Roman"/>
          <w:b/>
          <w:bCs/>
          <w:sz w:val="20"/>
          <w:szCs w:val="20"/>
        </w:rPr>
        <w:tab/>
      </w:r>
      <w:r w:rsidRPr="005B12AE">
        <w:rPr>
          <w:rFonts w:ascii="Times New Roman" w:hAnsi="Times New Roman"/>
          <w:b/>
          <w:bCs/>
          <w:sz w:val="20"/>
          <w:szCs w:val="20"/>
        </w:rPr>
        <w:tab/>
      </w:r>
      <w:r w:rsidRPr="005B12AE">
        <w:rPr>
          <w:rFonts w:ascii="Times New Roman" w:hAnsi="Times New Roman"/>
          <w:b/>
          <w:bCs/>
          <w:sz w:val="20"/>
          <w:szCs w:val="20"/>
        </w:rPr>
        <w:tab/>
      </w:r>
      <w:r w:rsidRPr="005B12AE">
        <w:rPr>
          <w:rFonts w:ascii="Times New Roman" w:hAnsi="Times New Roman"/>
          <w:b/>
          <w:bCs/>
          <w:sz w:val="20"/>
          <w:szCs w:val="20"/>
        </w:rPr>
        <w:tab/>
      </w:r>
      <w:r w:rsidRPr="005B12AE">
        <w:rPr>
          <w:rFonts w:ascii="Times New Roman" w:hAnsi="Times New Roman"/>
          <w:b/>
          <w:bCs/>
          <w:sz w:val="20"/>
          <w:szCs w:val="20"/>
        </w:rPr>
        <w:tab/>
      </w:r>
      <w:r w:rsidRPr="005B12AE">
        <w:rPr>
          <w:rFonts w:ascii="Times New Roman" w:hAnsi="Times New Roman"/>
          <w:b/>
          <w:bCs/>
          <w:sz w:val="20"/>
          <w:szCs w:val="20"/>
        </w:rPr>
        <w:tab/>
      </w:r>
      <w:r w:rsidRPr="005B12AE">
        <w:rPr>
          <w:rFonts w:ascii="Times New Roman" w:hAnsi="Times New Roman"/>
          <w:b/>
          <w:bCs/>
          <w:sz w:val="20"/>
          <w:szCs w:val="20"/>
        </w:rPr>
        <w:tab/>
      </w:r>
      <w:r w:rsidRPr="005B12AE">
        <w:rPr>
          <w:rFonts w:ascii="Times New Roman" w:hAnsi="Times New Roman"/>
          <w:b/>
          <w:bCs/>
          <w:sz w:val="20"/>
          <w:szCs w:val="20"/>
        </w:rPr>
        <w:tab/>
      </w:r>
      <w:r w:rsidRPr="005B12AE">
        <w:rPr>
          <w:rFonts w:ascii="Times New Roman" w:hAnsi="Times New Roman"/>
          <w:b/>
          <w:bCs/>
          <w:sz w:val="20"/>
          <w:szCs w:val="20"/>
        </w:rPr>
        <w:tab/>
      </w:r>
      <w:r w:rsidRPr="005B12AE">
        <w:rPr>
          <w:rFonts w:ascii="Times New Roman" w:hAnsi="Times New Roman"/>
          <w:b/>
          <w:bCs/>
          <w:sz w:val="20"/>
          <w:szCs w:val="20"/>
        </w:rPr>
        <w:tab/>
      </w:r>
      <w:r w:rsidRPr="005B12AE">
        <w:rPr>
          <w:rFonts w:ascii="Times New Roman" w:hAnsi="Times New Roman"/>
          <w:b/>
          <w:bCs/>
          <w:sz w:val="20"/>
          <w:szCs w:val="20"/>
        </w:rPr>
        <w:tab/>
        <w:t xml:space="preserve">     </w:t>
      </w:r>
      <w:r w:rsidR="003B4BCE">
        <w:rPr>
          <w:rFonts w:ascii="Times New Roman" w:hAnsi="Times New Roman"/>
          <w:b/>
          <w:bCs/>
          <w:sz w:val="20"/>
          <w:szCs w:val="20"/>
        </w:rPr>
        <w:t xml:space="preserve">      </w:t>
      </w:r>
      <w:r w:rsidRPr="005B12AE">
        <w:rPr>
          <w:rFonts w:ascii="Times New Roman" w:hAnsi="Times New Roman"/>
          <w:b/>
          <w:bCs/>
          <w:sz w:val="20"/>
          <w:szCs w:val="20"/>
        </w:rPr>
        <w:t xml:space="preserve">   (₹ in Lakhs)</w:t>
      </w:r>
    </w:p>
    <w:tbl>
      <w:tblPr>
        <w:tblW w:w="10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5"/>
        <w:gridCol w:w="1312"/>
        <w:gridCol w:w="1124"/>
        <w:gridCol w:w="749"/>
        <w:gridCol w:w="843"/>
        <w:gridCol w:w="1221"/>
        <w:gridCol w:w="1240"/>
      </w:tblGrid>
      <w:tr w:rsidR="005B5953" w:rsidRPr="005B12AE" w14:paraId="56FD96C4" w14:textId="77777777" w:rsidTr="003B4BCE">
        <w:trPr>
          <w:trHeight w:val="20"/>
        </w:trPr>
        <w:tc>
          <w:tcPr>
            <w:tcW w:w="4025" w:type="dxa"/>
            <w:vMerge w:val="restart"/>
            <w:shd w:val="clear" w:color="auto" w:fill="D0CECE" w:themeFill="background2" w:themeFillShade="E6"/>
            <w:noWrap/>
            <w:vAlign w:val="center"/>
            <w:hideMark/>
          </w:tcPr>
          <w:p w14:paraId="363C5593"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 xml:space="preserve">Particulars </w:t>
            </w:r>
          </w:p>
        </w:tc>
        <w:tc>
          <w:tcPr>
            <w:tcW w:w="5249" w:type="dxa"/>
            <w:gridSpan w:val="5"/>
            <w:shd w:val="clear" w:color="auto" w:fill="D0CECE" w:themeFill="background2" w:themeFillShade="E6"/>
            <w:noWrap/>
            <w:vAlign w:val="bottom"/>
            <w:hideMark/>
          </w:tcPr>
          <w:p w14:paraId="43ABB3B5"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 xml:space="preserve"> Outstanding for following periods from due date of payment/ transaction </w:t>
            </w:r>
          </w:p>
        </w:tc>
        <w:tc>
          <w:tcPr>
            <w:tcW w:w="1240" w:type="dxa"/>
            <w:shd w:val="clear" w:color="auto" w:fill="D0CECE" w:themeFill="background2" w:themeFillShade="E6"/>
            <w:noWrap/>
            <w:vAlign w:val="center"/>
            <w:hideMark/>
          </w:tcPr>
          <w:p w14:paraId="2D19EF49"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 </w:t>
            </w:r>
          </w:p>
        </w:tc>
      </w:tr>
      <w:tr w:rsidR="005B5953" w:rsidRPr="005B12AE" w14:paraId="195D5D14" w14:textId="77777777" w:rsidTr="003B4BCE">
        <w:trPr>
          <w:trHeight w:val="20"/>
        </w:trPr>
        <w:tc>
          <w:tcPr>
            <w:tcW w:w="4025" w:type="dxa"/>
            <w:vMerge/>
            <w:shd w:val="clear" w:color="auto" w:fill="D0CECE" w:themeFill="background2" w:themeFillShade="E6"/>
            <w:vAlign w:val="center"/>
            <w:hideMark/>
          </w:tcPr>
          <w:p w14:paraId="598DAF79" w14:textId="77777777" w:rsidR="005B5953" w:rsidRPr="005B12AE" w:rsidRDefault="005B5953" w:rsidP="00250DAC">
            <w:pPr>
              <w:spacing w:after="0" w:line="240" w:lineRule="auto"/>
              <w:rPr>
                <w:rFonts w:ascii="Times New Roman" w:hAnsi="Times New Roman"/>
                <w:b/>
                <w:bCs/>
                <w:sz w:val="20"/>
                <w:szCs w:val="20"/>
              </w:rPr>
            </w:pPr>
          </w:p>
        </w:tc>
        <w:tc>
          <w:tcPr>
            <w:tcW w:w="1312" w:type="dxa"/>
            <w:shd w:val="clear" w:color="auto" w:fill="D0CECE" w:themeFill="background2" w:themeFillShade="E6"/>
            <w:vAlign w:val="bottom"/>
            <w:hideMark/>
          </w:tcPr>
          <w:p w14:paraId="2B919FBB"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Less than 6 months</w:t>
            </w:r>
          </w:p>
        </w:tc>
        <w:tc>
          <w:tcPr>
            <w:tcW w:w="1124" w:type="dxa"/>
            <w:shd w:val="clear" w:color="auto" w:fill="D0CECE" w:themeFill="background2" w:themeFillShade="E6"/>
            <w:vAlign w:val="bottom"/>
            <w:hideMark/>
          </w:tcPr>
          <w:p w14:paraId="0CA99C8F" w14:textId="77777777" w:rsidR="005B5953" w:rsidRPr="005B12AE" w:rsidRDefault="005B5953" w:rsidP="00250DAC">
            <w:pPr>
              <w:spacing w:after="0" w:line="240" w:lineRule="auto"/>
              <w:rPr>
                <w:rFonts w:ascii="Times New Roman" w:hAnsi="Times New Roman"/>
                <w:b/>
                <w:bCs/>
                <w:sz w:val="20"/>
                <w:szCs w:val="20"/>
                <w:highlight w:val="yellow"/>
              </w:rPr>
            </w:pPr>
            <w:r w:rsidRPr="005B12AE">
              <w:rPr>
                <w:rFonts w:ascii="Times New Roman" w:hAnsi="Times New Roman"/>
                <w:b/>
                <w:bCs/>
                <w:sz w:val="20"/>
                <w:szCs w:val="20"/>
                <w:highlight w:val="yellow"/>
              </w:rPr>
              <w:t>6 months - 1 year</w:t>
            </w:r>
          </w:p>
        </w:tc>
        <w:tc>
          <w:tcPr>
            <w:tcW w:w="749" w:type="dxa"/>
            <w:shd w:val="clear" w:color="auto" w:fill="D0CECE" w:themeFill="background2" w:themeFillShade="E6"/>
            <w:noWrap/>
            <w:vAlign w:val="bottom"/>
            <w:hideMark/>
          </w:tcPr>
          <w:p w14:paraId="61E7C255" w14:textId="77777777" w:rsidR="005B5953" w:rsidRPr="005B12AE" w:rsidRDefault="005B5953" w:rsidP="00250DAC">
            <w:pPr>
              <w:spacing w:after="0" w:line="240" w:lineRule="auto"/>
              <w:rPr>
                <w:rFonts w:ascii="Times New Roman" w:hAnsi="Times New Roman"/>
                <w:b/>
                <w:bCs/>
                <w:sz w:val="20"/>
                <w:szCs w:val="20"/>
                <w:highlight w:val="yellow"/>
              </w:rPr>
            </w:pPr>
            <w:r w:rsidRPr="005B12AE">
              <w:rPr>
                <w:rFonts w:ascii="Times New Roman" w:hAnsi="Times New Roman"/>
                <w:b/>
                <w:bCs/>
                <w:sz w:val="20"/>
                <w:szCs w:val="20"/>
                <w:highlight w:val="yellow"/>
              </w:rPr>
              <w:t>1-2 years</w:t>
            </w:r>
          </w:p>
        </w:tc>
        <w:tc>
          <w:tcPr>
            <w:tcW w:w="843" w:type="dxa"/>
            <w:shd w:val="clear" w:color="auto" w:fill="D0CECE" w:themeFill="background2" w:themeFillShade="E6"/>
            <w:noWrap/>
            <w:vAlign w:val="bottom"/>
            <w:hideMark/>
          </w:tcPr>
          <w:p w14:paraId="1317336A" w14:textId="77777777" w:rsidR="005B5953" w:rsidRPr="005B12AE" w:rsidRDefault="005B5953" w:rsidP="00250DAC">
            <w:pPr>
              <w:spacing w:after="0" w:line="240" w:lineRule="auto"/>
              <w:rPr>
                <w:rFonts w:ascii="Times New Roman" w:hAnsi="Times New Roman"/>
                <w:b/>
                <w:bCs/>
                <w:sz w:val="20"/>
                <w:szCs w:val="20"/>
                <w:highlight w:val="yellow"/>
              </w:rPr>
            </w:pPr>
            <w:r w:rsidRPr="005B12AE">
              <w:rPr>
                <w:rFonts w:ascii="Times New Roman" w:hAnsi="Times New Roman"/>
                <w:b/>
                <w:bCs/>
                <w:sz w:val="20"/>
                <w:szCs w:val="20"/>
                <w:highlight w:val="yellow"/>
              </w:rPr>
              <w:t>2-3 years</w:t>
            </w:r>
          </w:p>
        </w:tc>
        <w:tc>
          <w:tcPr>
            <w:tcW w:w="1218" w:type="dxa"/>
            <w:shd w:val="clear" w:color="auto" w:fill="D0CECE" w:themeFill="background2" w:themeFillShade="E6"/>
            <w:vAlign w:val="bottom"/>
            <w:hideMark/>
          </w:tcPr>
          <w:p w14:paraId="7C1C18A2" w14:textId="77777777" w:rsidR="005B5953" w:rsidRPr="005B12AE" w:rsidRDefault="005B5953" w:rsidP="00250DAC">
            <w:pPr>
              <w:spacing w:after="0" w:line="240" w:lineRule="auto"/>
              <w:rPr>
                <w:rFonts w:ascii="Times New Roman" w:hAnsi="Times New Roman"/>
                <w:b/>
                <w:bCs/>
                <w:sz w:val="20"/>
                <w:szCs w:val="20"/>
                <w:highlight w:val="yellow"/>
              </w:rPr>
            </w:pPr>
            <w:r w:rsidRPr="005B12AE">
              <w:rPr>
                <w:rFonts w:ascii="Times New Roman" w:hAnsi="Times New Roman"/>
                <w:b/>
                <w:bCs/>
                <w:sz w:val="20"/>
                <w:szCs w:val="20"/>
                <w:highlight w:val="yellow"/>
              </w:rPr>
              <w:t>More than 3 years</w:t>
            </w:r>
          </w:p>
        </w:tc>
        <w:tc>
          <w:tcPr>
            <w:tcW w:w="1240" w:type="dxa"/>
            <w:shd w:val="clear" w:color="auto" w:fill="D0CECE" w:themeFill="background2" w:themeFillShade="E6"/>
            <w:vAlign w:val="bottom"/>
            <w:hideMark/>
          </w:tcPr>
          <w:p w14:paraId="5CEA08B8"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 xml:space="preserve">Total as on 31-03-2021 </w:t>
            </w:r>
          </w:p>
        </w:tc>
      </w:tr>
      <w:tr w:rsidR="005B5953" w:rsidRPr="005B12AE" w14:paraId="4A85DD26" w14:textId="77777777" w:rsidTr="003B4BCE">
        <w:trPr>
          <w:trHeight w:val="20"/>
        </w:trPr>
        <w:tc>
          <w:tcPr>
            <w:tcW w:w="4025" w:type="dxa"/>
            <w:shd w:val="clear" w:color="auto" w:fill="auto"/>
            <w:vAlign w:val="bottom"/>
            <w:hideMark/>
          </w:tcPr>
          <w:p w14:paraId="2DC880C3"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(i) Undisputed Trade receivables -considered good</w:t>
            </w:r>
          </w:p>
        </w:tc>
        <w:tc>
          <w:tcPr>
            <w:tcW w:w="1312" w:type="dxa"/>
            <w:shd w:val="clear" w:color="auto" w:fill="auto"/>
            <w:noWrap/>
            <w:vAlign w:val="center"/>
            <w:hideMark/>
          </w:tcPr>
          <w:p w14:paraId="00009109" w14:textId="77777777" w:rsidR="005B5953" w:rsidRPr="005B12AE" w:rsidRDefault="005B5953" w:rsidP="00250DAC">
            <w:pPr>
              <w:spacing w:after="0" w:line="240" w:lineRule="auto"/>
              <w:jc w:val="center"/>
              <w:rPr>
                <w:rFonts w:ascii="Times New Roman" w:hAnsi="Times New Roman"/>
                <w:sz w:val="20"/>
                <w:szCs w:val="20"/>
              </w:rPr>
            </w:pPr>
          </w:p>
        </w:tc>
        <w:tc>
          <w:tcPr>
            <w:tcW w:w="1124" w:type="dxa"/>
            <w:shd w:val="clear" w:color="auto" w:fill="auto"/>
            <w:noWrap/>
            <w:vAlign w:val="center"/>
            <w:hideMark/>
          </w:tcPr>
          <w:p w14:paraId="30C8B1BB" w14:textId="77777777" w:rsidR="005B5953" w:rsidRPr="005B12AE" w:rsidRDefault="005B5953" w:rsidP="00250DAC">
            <w:pPr>
              <w:spacing w:after="0" w:line="240" w:lineRule="auto"/>
              <w:jc w:val="center"/>
              <w:rPr>
                <w:rFonts w:ascii="Times New Roman" w:hAnsi="Times New Roman"/>
                <w:sz w:val="20"/>
                <w:szCs w:val="20"/>
                <w:highlight w:val="yellow"/>
              </w:rPr>
            </w:pPr>
          </w:p>
        </w:tc>
        <w:tc>
          <w:tcPr>
            <w:tcW w:w="749" w:type="dxa"/>
            <w:shd w:val="clear" w:color="auto" w:fill="auto"/>
            <w:noWrap/>
            <w:vAlign w:val="center"/>
            <w:hideMark/>
          </w:tcPr>
          <w:p w14:paraId="1E5713E6" w14:textId="77777777" w:rsidR="005B5953" w:rsidRPr="005B12AE" w:rsidRDefault="005B5953" w:rsidP="00250DAC">
            <w:pPr>
              <w:spacing w:after="0" w:line="240" w:lineRule="auto"/>
              <w:jc w:val="center"/>
              <w:rPr>
                <w:rFonts w:ascii="Times New Roman" w:hAnsi="Times New Roman"/>
                <w:sz w:val="20"/>
                <w:szCs w:val="20"/>
                <w:highlight w:val="yellow"/>
              </w:rPr>
            </w:pPr>
          </w:p>
        </w:tc>
        <w:tc>
          <w:tcPr>
            <w:tcW w:w="843" w:type="dxa"/>
            <w:shd w:val="clear" w:color="auto" w:fill="auto"/>
            <w:noWrap/>
            <w:vAlign w:val="center"/>
            <w:hideMark/>
          </w:tcPr>
          <w:p w14:paraId="0DA33254" w14:textId="77777777" w:rsidR="005B5953" w:rsidRPr="005B12AE" w:rsidRDefault="005B5953" w:rsidP="00250DAC">
            <w:pPr>
              <w:spacing w:after="0" w:line="240" w:lineRule="auto"/>
              <w:jc w:val="center"/>
              <w:rPr>
                <w:rFonts w:ascii="Times New Roman" w:hAnsi="Times New Roman"/>
                <w:sz w:val="20"/>
                <w:szCs w:val="20"/>
                <w:highlight w:val="yellow"/>
              </w:rPr>
            </w:pPr>
          </w:p>
        </w:tc>
        <w:tc>
          <w:tcPr>
            <w:tcW w:w="1218" w:type="dxa"/>
            <w:shd w:val="clear" w:color="auto" w:fill="auto"/>
            <w:noWrap/>
            <w:vAlign w:val="center"/>
            <w:hideMark/>
          </w:tcPr>
          <w:p w14:paraId="48CE76D7" w14:textId="77777777" w:rsidR="005B5953" w:rsidRPr="005B12AE" w:rsidRDefault="005B5953" w:rsidP="00250DAC">
            <w:pPr>
              <w:spacing w:after="0" w:line="240" w:lineRule="auto"/>
              <w:jc w:val="center"/>
              <w:rPr>
                <w:rFonts w:ascii="Times New Roman" w:hAnsi="Times New Roman"/>
                <w:sz w:val="20"/>
                <w:szCs w:val="20"/>
                <w:highlight w:val="yellow"/>
              </w:rPr>
            </w:pPr>
          </w:p>
        </w:tc>
        <w:tc>
          <w:tcPr>
            <w:tcW w:w="1240" w:type="dxa"/>
            <w:shd w:val="clear" w:color="auto" w:fill="auto"/>
            <w:noWrap/>
            <w:vAlign w:val="center"/>
            <w:hideMark/>
          </w:tcPr>
          <w:p w14:paraId="33B1E408"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656CE857" w14:textId="77777777" w:rsidTr="003B4BCE">
        <w:trPr>
          <w:trHeight w:val="20"/>
        </w:trPr>
        <w:tc>
          <w:tcPr>
            <w:tcW w:w="4025" w:type="dxa"/>
            <w:shd w:val="clear" w:color="auto" w:fill="auto"/>
            <w:noWrap/>
            <w:hideMark/>
          </w:tcPr>
          <w:p w14:paraId="0C81D745"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Total</w:t>
            </w:r>
          </w:p>
        </w:tc>
        <w:tc>
          <w:tcPr>
            <w:tcW w:w="1312" w:type="dxa"/>
            <w:shd w:val="clear" w:color="auto" w:fill="auto"/>
            <w:noWrap/>
            <w:vAlign w:val="center"/>
            <w:hideMark/>
          </w:tcPr>
          <w:p w14:paraId="6C2C2B16"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602.97</w:t>
            </w:r>
          </w:p>
        </w:tc>
        <w:tc>
          <w:tcPr>
            <w:tcW w:w="1124" w:type="dxa"/>
            <w:shd w:val="clear" w:color="auto" w:fill="auto"/>
            <w:noWrap/>
            <w:vAlign w:val="center"/>
            <w:hideMark/>
          </w:tcPr>
          <w:p w14:paraId="757DCD98" w14:textId="77777777" w:rsidR="005B5953" w:rsidRPr="005B12AE" w:rsidRDefault="005B5953" w:rsidP="00250DAC">
            <w:pPr>
              <w:spacing w:after="0" w:line="240" w:lineRule="auto"/>
              <w:jc w:val="center"/>
              <w:rPr>
                <w:rFonts w:ascii="Times New Roman" w:hAnsi="Times New Roman"/>
                <w:b/>
                <w:bCs/>
                <w:sz w:val="20"/>
                <w:szCs w:val="20"/>
                <w:highlight w:val="yellow"/>
              </w:rPr>
            </w:pPr>
            <w:r w:rsidRPr="005B12AE">
              <w:rPr>
                <w:rFonts w:ascii="Times New Roman" w:hAnsi="Times New Roman"/>
                <w:b/>
                <w:bCs/>
                <w:sz w:val="20"/>
                <w:szCs w:val="20"/>
                <w:highlight w:val="yellow"/>
              </w:rPr>
              <w:t>3,667.00</w:t>
            </w:r>
          </w:p>
        </w:tc>
        <w:tc>
          <w:tcPr>
            <w:tcW w:w="749" w:type="dxa"/>
            <w:shd w:val="clear" w:color="auto" w:fill="auto"/>
            <w:noWrap/>
            <w:vAlign w:val="center"/>
            <w:hideMark/>
          </w:tcPr>
          <w:p w14:paraId="764541EB" w14:textId="77777777" w:rsidR="005B5953" w:rsidRPr="005B12AE" w:rsidRDefault="005B5953" w:rsidP="00250DAC">
            <w:pPr>
              <w:spacing w:after="0" w:line="240" w:lineRule="auto"/>
              <w:jc w:val="center"/>
              <w:rPr>
                <w:rFonts w:ascii="Times New Roman" w:hAnsi="Times New Roman"/>
                <w:b/>
                <w:bCs/>
                <w:sz w:val="20"/>
                <w:szCs w:val="20"/>
                <w:highlight w:val="yellow"/>
              </w:rPr>
            </w:pPr>
            <w:r w:rsidRPr="005B12AE">
              <w:rPr>
                <w:rFonts w:ascii="Times New Roman" w:hAnsi="Times New Roman"/>
                <w:b/>
                <w:bCs/>
                <w:sz w:val="20"/>
                <w:szCs w:val="20"/>
                <w:highlight w:val="yellow"/>
              </w:rPr>
              <w:t>-</w:t>
            </w:r>
          </w:p>
        </w:tc>
        <w:tc>
          <w:tcPr>
            <w:tcW w:w="843" w:type="dxa"/>
            <w:shd w:val="clear" w:color="auto" w:fill="auto"/>
            <w:noWrap/>
            <w:vAlign w:val="center"/>
            <w:hideMark/>
          </w:tcPr>
          <w:p w14:paraId="59FEBE65" w14:textId="77777777" w:rsidR="005B5953" w:rsidRPr="005B12AE" w:rsidRDefault="005B5953" w:rsidP="00250DAC">
            <w:pPr>
              <w:spacing w:after="0" w:line="240" w:lineRule="auto"/>
              <w:jc w:val="center"/>
              <w:rPr>
                <w:rFonts w:ascii="Times New Roman" w:hAnsi="Times New Roman"/>
                <w:b/>
                <w:bCs/>
                <w:sz w:val="20"/>
                <w:szCs w:val="20"/>
                <w:highlight w:val="yellow"/>
              </w:rPr>
            </w:pPr>
            <w:r w:rsidRPr="005B12AE">
              <w:rPr>
                <w:rFonts w:ascii="Times New Roman" w:hAnsi="Times New Roman"/>
                <w:b/>
                <w:bCs/>
                <w:sz w:val="20"/>
                <w:szCs w:val="20"/>
                <w:highlight w:val="yellow"/>
              </w:rPr>
              <w:t>-</w:t>
            </w:r>
          </w:p>
        </w:tc>
        <w:tc>
          <w:tcPr>
            <w:tcW w:w="1218" w:type="dxa"/>
            <w:shd w:val="clear" w:color="auto" w:fill="auto"/>
            <w:noWrap/>
            <w:vAlign w:val="center"/>
            <w:hideMark/>
          </w:tcPr>
          <w:p w14:paraId="1CDB036F" w14:textId="77777777" w:rsidR="005B5953" w:rsidRPr="005B12AE" w:rsidRDefault="005B5953" w:rsidP="00250DAC">
            <w:pPr>
              <w:spacing w:after="0" w:line="240" w:lineRule="auto"/>
              <w:jc w:val="center"/>
              <w:rPr>
                <w:rFonts w:ascii="Times New Roman" w:hAnsi="Times New Roman"/>
                <w:b/>
                <w:bCs/>
                <w:sz w:val="20"/>
                <w:szCs w:val="20"/>
                <w:highlight w:val="yellow"/>
              </w:rPr>
            </w:pPr>
            <w:r w:rsidRPr="005B12AE">
              <w:rPr>
                <w:rFonts w:ascii="Times New Roman" w:hAnsi="Times New Roman"/>
                <w:b/>
                <w:bCs/>
                <w:sz w:val="20"/>
                <w:szCs w:val="20"/>
                <w:highlight w:val="yellow"/>
              </w:rPr>
              <w:t>-</w:t>
            </w:r>
          </w:p>
        </w:tc>
        <w:tc>
          <w:tcPr>
            <w:tcW w:w="1240" w:type="dxa"/>
            <w:shd w:val="clear" w:color="auto" w:fill="auto"/>
            <w:noWrap/>
            <w:vAlign w:val="center"/>
            <w:hideMark/>
          </w:tcPr>
          <w:p w14:paraId="191F6B87"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4,269.97</w:t>
            </w:r>
          </w:p>
        </w:tc>
      </w:tr>
      <w:tr w:rsidR="005B5953" w:rsidRPr="005B12AE" w14:paraId="3248476E" w14:textId="77777777" w:rsidTr="003B4BCE">
        <w:trPr>
          <w:trHeight w:val="20"/>
        </w:trPr>
        <w:tc>
          <w:tcPr>
            <w:tcW w:w="4025" w:type="dxa"/>
            <w:shd w:val="clear" w:color="auto" w:fill="auto"/>
            <w:vAlign w:val="bottom"/>
            <w:hideMark/>
          </w:tcPr>
          <w:p w14:paraId="1E1A4AB1"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(ii) Undisputed trade Receivables - Which have significant increase in credit risk</w:t>
            </w:r>
          </w:p>
        </w:tc>
        <w:tc>
          <w:tcPr>
            <w:tcW w:w="1312" w:type="dxa"/>
            <w:shd w:val="clear" w:color="auto" w:fill="auto"/>
            <w:noWrap/>
            <w:vAlign w:val="center"/>
            <w:hideMark/>
          </w:tcPr>
          <w:p w14:paraId="71B0302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124" w:type="dxa"/>
            <w:shd w:val="clear" w:color="auto" w:fill="auto"/>
            <w:noWrap/>
            <w:vAlign w:val="center"/>
            <w:hideMark/>
          </w:tcPr>
          <w:p w14:paraId="0F344FCB" w14:textId="77777777" w:rsidR="005B5953" w:rsidRPr="005B12AE" w:rsidRDefault="005B5953" w:rsidP="00250DAC">
            <w:pPr>
              <w:spacing w:after="0" w:line="240" w:lineRule="auto"/>
              <w:jc w:val="center"/>
              <w:rPr>
                <w:rFonts w:ascii="Times New Roman" w:hAnsi="Times New Roman"/>
                <w:sz w:val="20"/>
                <w:szCs w:val="20"/>
                <w:highlight w:val="yellow"/>
              </w:rPr>
            </w:pPr>
            <w:r w:rsidRPr="005B12AE">
              <w:rPr>
                <w:rFonts w:ascii="Times New Roman" w:hAnsi="Times New Roman"/>
                <w:sz w:val="20"/>
                <w:szCs w:val="20"/>
                <w:highlight w:val="yellow"/>
              </w:rPr>
              <w:t>-</w:t>
            </w:r>
          </w:p>
        </w:tc>
        <w:tc>
          <w:tcPr>
            <w:tcW w:w="749" w:type="dxa"/>
            <w:shd w:val="clear" w:color="auto" w:fill="auto"/>
            <w:noWrap/>
            <w:vAlign w:val="center"/>
            <w:hideMark/>
          </w:tcPr>
          <w:p w14:paraId="64E5C987" w14:textId="77777777" w:rsidR="005B5953" w:rsidRPr="005B12AE" w:rsidRDefault="005B5953" w:rsidP="00250DAC">
            <w:pPr>
              <w:spacing w:after="0" w:line="240" w:lineRule="auto"/>
              <w:jc w:val="center"/>
              <w:rPr>
                <w:rFonts w:ascii="Times New Roman" w:hAnsi="Times New Roman"/>
                <w:sz w:val="20"/>
                <w:szCs w:val="20"/>
                <w:highlight w:val="yellow"/>
              </w:rPr>
            </w:pPr>
            <w:r w:rsidRPr="005B12AE">
              <w:rPr>
                <w:rFonts w:ascii="Times New Roman" w:hAnsi="Times New Roman"/>
                <w:sz w:val="20"/>
                <w:szCs w:val="20"/>
                <w:highlight w:val="yellow"/>
              </w:rPr>
              <w:t>-</w:t>
            </w:r>
          </w:p>
        </w:tc>
        <w:tc>
          <w:tcPr>
            <w:tcW w:w="843" w:type="dxa"/>
            <w:shd w:val="clear" w:color="auto" w:fill="auto"/>
            <w:noWrap/>
            <w:vAlign w:val="center"/>
            <w:hideMark/>
          </w:tcPr>
          <w:p w14:paraId="5E713561" w14:textId="77777777" w:rsidR="005B5953" w:rsidRPr="005B12AE" w:rsidRDefault="005B5953" w:rsidP="00250DAC">
            <w:pPr>
              <w:spacing w:after="0" w:line="240" w:lineRule="auto"/>
              <w:jc w:val="center"/>
              <w:rPr>
                <w:rFonts w:ascii="Times New Roman" w:hAnsi="Times New Roman"/>
                <w:sz w:val="20"/>
                <w:szCs w:val="20"/>
                <w:highlight w:val="yellow"/>
              </w:rPr>
            </w:pPr>
            <w:r w:rsidRPr="005B12AE">
              <w:rPr>
                <w:rFonts w:ascii="Times New Roman" w:hAnsi="Times New Roman"/>
                <w:sz w:val="20"/>
                <w:szCs w:val="20"/>
                <w:highlight w:val="yellow"/>
              </w:rPr>
              <w:t>-</w:t>
            </w:r>
          </w:p>
        </w:tc>
        <w:tc>
          <w:tcPr>
            <w:tcW w:w="1218" w:type="dxa"/>
            <w:shd w:val="clear" w:color="auto" w:fill="auto"/>
            <w:noWrap/>
            <w:vAlign w:val="center"/>
            <w:hideMark/>
          </w:tcPr>
          <w:p w14:paraId="3819B550" w14:textId="77777777" w:rsidR="005B5953" w:rsidRPr="005B12AE" w:rsidRDefault="005B5953" w:rsidP="00250DAC">
            <w:pPr>
              <w:spacing w:after="0" w:line="240" w:lineRule="auto"/>
              <w:jc w:val="center"/>
              <w:rPr>
                <w:rFonts w:ascii="Times New Roman" w:hAnsi="Times New Roman"/>
                <w:sz w:val="20"/>
                <w:szCs w:val="20"/>
                <w:highlight w:val="yellow"/>
              </w:rPr>
            </w:pPr>
            <w:r w:rsidRPr="005B12AE">
              <w:rPr>
                <w:rFonts w:ascii="Times New Roman" w:hAnsi="Times New Roman"/>
                <w:sz w:val="20"/>
                <w:szCs w:val="20"/>
                <w:highlight w:val="yellow"/>
              </w:rPr>
              <w:t>-</w:t>
            </w:r>
          </w:p>
        </w:tc>
        <w:tc>
          <w:tcPr>
            <w:tcW w:w="1240" w:type="dxa"/>
            <w:shd w:val="clear" w:color="auto" w:fill="auto"/>
            <w:noWrap/>
            <w:vAlign w:val="center"/>
            <w:hideMark/>
          </w:tcPr>
          <w:p w14:paraId="4D4D873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25E88A74" w14:textId="77777777" w:rsidTr="003B4BCE">
        <w:trPr>
          <w:trHeight w:val="20"/>
        </w:trPr>
        <w:tc>
          <w:tcPr>
            <w:tcW w:w="4025" w:type="dxa"/>
            <w:shd w:val="clear" w:color="auto" w:fill="auto"/>
            <w:noWrap/>
            <w:vAlign w:val="bottom"/>
            <w:hideMark/>
          </w:tcPr>
          <w:p w14:paraId="19E91EA1"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Total (ii)</w:t>
            </w:r>
          </w:p>
        </w:tc>
        <w:tc>
          <w:tcPr>
            <w:tcW w:w="1312" w:type="dxa"/>
            <w:shd w:val="clear" w:color="auto" w:fill="auto"/>
            <w:noWrap/>
            <w:vAlign w:val="center"/>
            <w:hideMark/>
          </w:tcPr>
          <w:p w14:paraId="1F48CDE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124" w:type="dxa"/>
            <w:shd w:val="clear" w:color="auto" w:fill="auto"/>
            <w:noWrap/>
            <w:vAlign w:val="center"/>
            <w:hideMark/>
          </w:tcPr>
          <w:p w14:paraId="470FA800" w14:textId="77777777" w:rsidR="005B5953" w:rsidRPr="005B12AE" w:rsidRDefault="005B5953" w:rsidP="00250DAC">
            <w:pPr>
              <w:spacing w:after="0" w:line="240" w:lineRule="auto"/>
              <w:jc w:val="center"/>
              <w:rPr>
                <w:rFonts w:ascii="Times New Roman" w:hAnsi="Times New Roman"/>
                <w:sz w:val="20"/>
                <w:szCs w:val="20"/>
                <w:highlight w:val="yellow"/>
              </w:rPr>
            </w:pPr>
            <w:r w:rsidRPr="005B12AE">
              <w:rPr>
                <w:rFonts w:ascii="Times New Roman" w:hAnsi="Times New Roman"/>
                <w:sz w:val="20"/>
                <w:szCs w:val="20"/>
                <w:highlight w:val="yellow"/>
              </w:rPr>
              <w:t>-</w:t>
            </w:r>
          </w:p>
        </w:tc>
        <w:tc>
          <w:tcPr>
            <w:tcW w:w="749" w:type="dxa"/>
            <w:shd w:val="clear" w:color="auto" w:fill="auto"/>
            <w:noWrap/>
            <w:vAlign w:val="center"/>
            <w:hideMark/>
          </w:tcPr>
          <w:p w14:paraId="3EACF1B9" w14:textId="77777777" w:rsidR="005B5953" w:rsidRPr="005B12AE" w:rsidRDefault="005B5953" w:rsidP="00250DAC">
            <w:pPr>
              <w:spacing w:after="0" w:line="240" w:lineRule="auto"/>
              <w:jc w:val="center"/>
              <w:rPr>
                <w:rFonts w:ascii="Times New Roman" w:hAnsi="Times New Roman"/>
                <w:sz w:val="20"/>
                <w:szCs w:val="20"/>
                <w:highlight w:val="yellow"/>
              </w:rPr>
            </w:pPr>
            <w:r w:rsidRPr="005B12AE">
              <w:rPr>
                <w:rFonts w:ascii="Times New Roman" w:hAnsi="Times New Roman"/>
                <w:sz w:val="20"/>
                <w:szCs w:val="20"/>
                <w:highlight w:val="yellow"/>
              </w:rPr>
              <w:t>-</w:t>
            </w:r>
          </w:p>
        </w:tc>
        <w:tc>
          <w:tcPr>
            <w:tcW w:w="843" w:type="dxa"/>
            <w:shd w:val="clear" w:color="auto" w:fill="auto"/>
            <w:noWrap/>
            <w:vAlign w:val="center"/>
            <w:hideMark/>
          </w:tcPr>
          <w:p w14:paraId="0BC22B5D" w14:textId="77777777" w:rsidR="005B5953" w:rsidRPr="005B12AE" w:rsidRDefault="005B5953" w:rsidP="00250DAC">
            <w:pPr>
              <w:spacing w:after="0" w:line="240" w:lineRule="auto"/>
              <w:jc w:val="center"/>
              <w:rPr>
                <w:rFonts w:ascii="Times New Roman" w:hAnsi="Times New Roman"/>
                <w:sz w:val="20"/>
                <w:szCs w:val="20"/>
                <w:highlight w:val="yellow"/>
              </w:rPr>
            </w:pPr>
            <w:r w:rsidRPr="005B12AE">
              <w:rPr>
                <w:rFonts w:ascii="Times New Roman" w:hAnsi="Times New Roman"/>
                <w:sz w:val="20"/>
                <w:szCs w:val="20"/>
                <w:highlight w:val="yellow"/>
              </w:rPr>
              <w:t>-</w:t>
            </w:r>
          </w:p>
        </w:tc>
        <w:tc>
          <w:tcPr>
            <w:tcW w:w="1218" w:type="dxa"/>
            <w:shd w:val="clear" w:color="auto" w:fill="auto"/>
            <w:noWrap/>
            <w:vAlign w:val="center"/>
            <w:hideMark/>
          </w:tcPr>
          <w:p w14:paraId="33064A81" w14:textId="77777777" w:rsidR="005B5953" w:rsidRPr="005B12AE" w:rsidRDefault="005B5953" w:rsidP="00250DAC">
            <w:pPr>
              <w:spacing w:after="0" w:line="240" w:lineRule="auto"/>
              <w:jc w:val="center"/>
              <w:rPr>
                <w:rFonts w:ascii="Times New Roman" w:hAnsi="Times New Roman"/>
                <w:sz w:val="20"/>
                <w:szCs w:val="20"/>
                <w:highlight w:val="yellow"/>
              </w:rPr>
            </w:pPr>
            <w:r w:rsidRPr="005B12AE">
              <w:rPr>
                <w:rFonts w:ascii="Times New Roman" w:hAnsi="Times New Roman"/>
                <w:sz w:val="20"/>
                <w:szCs w:val="20"/>
                <w:highlight w:val="yellow"/>
              </w:rPr>
              <w:t>-</w:t>
            </w:r>
          </w:p>
        </w:tc>
        <w:tc>
          <w:tcPr>
            <w:tcW w:w="1240" w:type="dxa"/>
            <w:shd w:val="clear" w:color="auto" w:fill="auto"/>
            <w:noWrap/>
            <w:vAlign w:val="center"/>
            <w:hideMark/>
          </w:tcPr>
          <w:p w14:paraId="136507C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2C7F23ED" w14:textId="77777777" w:rsidTr="003B4BCE">
        <w:trPr>
          <w:trHeight w:val="20"/>
        </w:trPr>
        <w:tc>
          <w:tcPr>
            <w:tcW w:w="4025" w:type="dxa"/>
            <w:shd w:val="clear" w:color="auto" w:fill="auto"/>
            <w:vAlign w:val="bottom"/>
            <w:hideMark/>
          </w:tcPr>
          <w:p w14:paraId="65145536"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(iii) Undisputed trade Receivables - Credit impaired</w:t>
            </w:r>
          </w:p>
        </w:tc>
        <w:tc>
          <w:tcPr>
            <w:tcW w:w="1312" w:type="dxa"/>
            <w:shd w:val="clear" w:color="auto" w:fill="auto"/>
            <w:noWrap/>
            <w:vAlign w:val="center"/>
            <w:hideMark/>
          </w:tcPr>
          <w:p w14:paraId="5815E6F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124" w:type="dxa"/>
            <w:shd w:val="clear" w:color="auto" w:fill="auto"/>
            <w:noWrap/>
            <w:vAlign w:val="center"/>
            <w:hideMark/>
          </w:tcPr>
          <w:p w14:paraId="5B4B40B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49" w:type="dxa"/>
            <w:shd w:val="clear" w:color="auto" w:fill="auto"/>
            <w:noWrap/>
            <w:vAlign w:val="center"/>
            <w:hideMark/>
          </w:tcPr>
          <w:p w14:paraId="70FF81C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43" w:type="dxa"/>
            <w:shd w:val="clear" w:color="auto" w:fill="auto"/>
            <w:noWrap/>
            <w:vAlign w:val="center"/>
            <w:hideMark/>
          </w:tcPr>
          <w:p w14:paraId="1522977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18" w:type="dxa"/>
            <w:shd w:val="clear" w:color="auto" w:fill="auto"/>
            <w:noWrap/>
            <w:vAlign w:val="center"/>
            <w:hideMark/>
          </w:tcPr>
          <w:p w14:paraId="6B18B67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40" w:type="dxa"/>
            <w:shd w:val="clear" w:color="auto" w:fill="auto"/>
            <w:noWrap/>
            <w:vAlign w:val="center"/>
            <w:hideMark/>
          </w:tcPr>
          <w:p w14:paraId="2E1D136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232AD458" w14:textId="77777777" w:rsidTr="003B4BCE">
        <w:trPr>
          <w:trHeight w:val="20"/>
        </w:trPr>
        <w:tc>
          <w:tcPr>
            <w:tcW w:w="4025" w:type="dxa"/>
            <w:shd w:val="clear" w:color="auto" w:fill="auto"/>
            <w:noWrap/>
            <w:vAlign w:val="bottom"/>
            <w:hideMark/>
          </w:tcPr>
          <w:p w14:paraId="24920115"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Total (iii)</w:t>
            </w:r>
          </w:p>
        </w:tc>
        <w:tc>
          <w:tcPr>
            <w:tcW w:w="1312" w:type="dxa"/>
            <w:shd w:val="clear" w:color="auto" w:fill="auto"/>
            <w:noWrap/>
            <w:vAlign w:val="center"/>
            <w:hideMark/>
          </w:tcPr>
          <w:p w14:paraId="10404F2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124" w:type="dxa"/>
            <w:shd w:val="clear" w:color="auto" w:fill="auto"/>
            <w:noWrap/>
            <w:vAlign w:val="center"/>
            <w:hideMark/>
          </w:tcPr>
          <w:p w14:paraId="0E28904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49" w:type="dxa"/>
            <w:shd w:val="clear" w:color="auto" w:fill="auto"/>
            <w:noWrap/>
            <w:vAlign w:val="center"/>
            <w:hideMark/>
          </w:tcPr>
          <w:p w14:paraId="45341E8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43" w:type="dxa"/>
            <w:shd w:val="clear" w:color="auto" w:fill="auto"/>
            <w:noWrap/>
            <w:vAlign w:val="center"/>
            <w:hideMark/>
          </w:tcPr>
          <w:p w14:paraId="7B8505D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18" w:type="dxa"/>
            <w:shd w:val="clear" w:color="auto" w:fill="auto"/>
            <w:noWrap/>
            <w:vAlign w:val="center"/>
            <w:hideMark/>
          </w:tcPr>
          <w:p w14:paraId="393E54F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40" w:type="dxa"/>
            <w:shd w:val="clear" w:color="auto" w:fill="auto"/>
            <w:noWrap/>
            <w:vAlign w:val="center"/>
            <w:hideMark/>
          </w:tcPr>
          <w:p w14:paraId="274F2AD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06440DFF" w14:textId="77777777" w:rsidTr="003B4BCE">
        <w:trPr>
          <w:trHeight w:val="20"/>
        </w:trPr>
        <w:tc>
          <w:tcPr>
            <w:tcW w:w="4025" w:type="dxa"/>
            <w:shd w:val="clear" w:color="auto" w:fill="auto"/>
            <w:vAlign w:val="bottom"/>
            <w:hideMark/>
          </w:tcPr>
          <w:p w14:paraId="3D20F8D4"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(iv) Disputed trade Receivables - Considered Good</w:t>
            </w:r>
          </w:p>
        </w:tc>
        <w:tc>
          <w:tcPr>
            <w:tcW w:w="1312" w:type="dxa"/>
            <w:shd w:val="clear" w:color="auto" w:fill="auto"/>
            <w:noWrap/>
            <w:vAlign w:val="center"/>
            <w:hideMark/>
          </w:tcPr>
          <w:p w14:paraId="34F6B41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124" w:type="dxa"/>
            <w:shd w:val="clear" w:color="auto" w:fill="auto"/>
            <w:noWrap/>
            <w:vAlign w:val="center"/>
            <w:hideMark/>
          </w:tcPr>
          <w:p w14:paraId="7767660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49" w:type="dxa"/>
            <w:shd w:val="clear" w:color="auto" w:fill="auto"/>
            <w:noWrap/>
            <w:vAlign w:val="center"/>
            <w:hideMark/>
          </w:tcPr>
          <w:p w14:paraId="54C17FD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43" w:type="dxa"/>
            <w:shd w:val="clear" w:color="auto" w:fill="auto"/>
            <w:noWrap/>
            <w:vAlign w:val="center"/>
            <w:hideMark/>
          </w:tcPr>
          <w:p w14:paraId="1E534E6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18" w:type="dxa"/>
            <w:shd w:val="clear" w:color="auto" w:fill="auto"/>
            <w:noWrap/>
            <w:vAlign w:val="center"/>
            <w:hideMark/>
          </w:tcPr>
          <w:p w14:paraId="7CF293D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40" w:type="dxa"/>
            <w:shd w:val="clear" w:color="auto" w:fill="auto"/>
            <w:noWrap/>
            <w:vAlign w:val="center"/>
            <w:hideMark/>
          </w:tcPr>
          <w:p w14:paraId="011E663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43B26D4D" w14:textId="77777777" w:rsidTr="003B4BCE">
        <w:trPr>
          <w:trHeight w:val="20"/>
        </w:trPr>
        <w:tc>
          <w:tcPr>
            <w:tcW w:w="4025" w:type="dxa"/>
            <w:shd w:val="clear" w:color="auto" w:fill="auto"/>
            <w:noWrap/>
            <w:vAlign w:val="bottom"/>
            <w:hideMark/>
          </w:tcPr>
          <w:p w14:paraId="7BD9A416"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Total (iv)</w:t>
            </w:r>
          </w:p>
        </w:tc>
        <w:tc>
          <w:tcPr>
            <w:tcW w:w="1312" w:type="dxa"/>
            <w:shd w:val="clear" w:color="auto" w:fill="auto"/>
            <w:noWrap/>
            <w:vAlign w:val="center"/>
            <w:hideMark/>
          </w:tcPr>
          <w:p w14:paraId="6778CB0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124" w:type="dxa"/>
            <w:shd w:val="clear" w:color="auto" w:fill="auto"/>
            <w:noWrap/>
            <w:vAlign w:val="center"/>
            <w:hideMark/>
          </w:tcPr>
          <w:p w14:paraId="2011767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49" w:type="dxa"/>
            <w:shd w:val="clear" w:color="auto" w:fill="auto"/>
            <w:noWrap/>
            <w:vAlign w:val="center"/>
            <w:hideMark/>
          </w:tcPr>
          <w:p w14:paraId="58FB033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43" w:type="dxa"/>
            <w:shd w:val="clear" w:color="auto" w:fill="auto"/>
            <w:noWrap/>
            <w:vAlign w:val="center"/>
            <w:hideMark/>
          </w:tcPr>
          <w:p w14:paraId="30B7D14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18" w:type="dxa"/>
            <w:shd w:val="clear" w:color="auto" w:fill="auto"/>
            <w:noWrap/>
            <w:vAlign w:val="center"/>
            <w:hideMark/>
          </w:tcPr>
          <w:p w14:paraId="16E3E79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40" w:type="dxa"/>
            <w:shd w:val="clear" w:color="auto" w:fill="auto"/>
            <w:noWrap/>
            <w:vAlign w:val="center"/>
            <w:hideMark/>
          </w:tcPr>
          <w:p w14:paraId="40381CB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5DEBB58A" w14:textId="77777777" w:rsidTr="003B4BCE">
        <w:trPr>
          <w:trHeight w:val="20"/>
        </w:trPr>
        <w:tc>
          <w:tcPr>
            <w:tcW w:w="4025" w:type="dxa"/>
            <w:shd w:val="clear" w:color="auto" w:fill="auto"/>
            <w:vAlign w:val="bottom"/>
            <w:hideMark/>
          </w:tcPr>
          <w:p w14:paraId="2F17EE21"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(v) Disputed trade Receivables - Which have significant increase in credit risk</w:t>
            </w:r>
          </w:p>
        </w:tc>
        <w:tc>
          <w:tcPr>
            <w:tcW w:w="1312" w:type="dxa"/>
            <w:shd w:val="clear" w:color="auto" w:fill="auto"/>
            <w:noWrap/>
            <w:vAlign w:val="center"/>
            <w:hideMark/>
          </w:tcPr>
          <w:p w14:paraId="4417229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124" w:type="dxa"/>
            <w:shd w:val="clear" w:color="auto" w:fill="auto"/>
            <w:noWrap/>
            <w:vAlign w:val="center"/>
            <w:hideMark/>
          </w:tcPr>
          <w:p w14:paraId="4696899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49" w:type="dxa"/>
            <w:shd w:val="clear" w:color="auto" w:fill="auto"/>
            <w:noWrap/>
            <w:vAlign w:val="center"/>
            <w:hideMark/>
          </w:tcPr>
          <w:p w14:paraId="182A43E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43" w:type="dxa"/>
            <w:shd w:val="clear" w:color="auto" w:fill="auto"/>
            <w:noWrap/>
            <w:vAlign w:val="center"/>
            <w:hideMark/>
          </w:tcPr>
          <w:p w14:paraId="287C803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18" w:type="dxa"/>
            <w:shd w:val="clear" w:color="auto" w:fill="auto"/>
            <w:noWrap/>
            <w:vAlign w:val="center"/>
            <w:hideMark/>
          </w:tcPr>
          <w:p w14:paraId="4B4E87E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40" w:type="dxa"/>
            <w:shd w:val="clear" w:color="auto" w:fill="auto"/>
            <w:noWrap/>
            <w:vAlign w:val="center"/>
            <w:hideMark/>
          </w:tcPr>
          <w:p w14:paraId="1EC09A4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5D302AAE" w14:textId="77777777" w:rsidTr="003B4BCE">
        <w:trPr>
          <w:trHeight w:val="20"/>
        </w:trPr>
        <w:tc>
          <w:tcPr>
            <w:tcW w:w="4025" w:type="dxa"/>
            <w:shd w:val="clear" w:color="auto" w:fill="auto"/>
            <w:noWrap/>
            <w:vAlign w:val="bottom"/>
            <w:hideMark/>
          </w:tcPr>
          <w:p w14:paraId="36A052DD"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Total (v)</w:t>
            </w:r>
          </w:p>
        </w:tc>
        <w:tc>
          <w:tcPr>
            <w:tcW w:w="1312" w:type="dxa"/>
            <w:shd w:val="clear" w:color="auto" w:fill="auto"/>
            <w:noWrap/>
            <w:vAlign w:val="center"/>
            <w:hideMark/>
          </w:tcPr>
          <w:p w14:paraId="3F97B90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124" w:type="dxa"/>
            <w:shd w:val="clear" w:color="auto" w:fill="auto"/>
            <w:noWrap/>
            <w:vAlign w:val="center"/>
            <w:hideMark/>
          </w:tcPr>
          <w:p w14:paraId="3AA346F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49" w:type="dxa"/>
            <w:shd w:val="clear" w:color="auto" w:fill="auto"/>
            <w:noWrap/>
            <w:vAlign w:val="center"/>
            <w:hideMark/>
          </w:tcPr>
          <w:p w14:paraId="24E58B3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43" w:type="dxa"/>
            <w:shd w:val="clear" w:color="auto" w:fill="auto"/>
            <w:noWrap/>
            <w:vAlign w:val="center"/>
            <w:hideMark/>
          </w:tcPr>
          <w:p w14:paraId="151B1DB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18" w:type="dxa"/>
            <w:shd w:val="clear" w:color="auto" w:fill="auto"/>
            <w:noWrap/>
            <w:vAlign w:val="center"/>
            <w:hideMark/>
          </w:tcPr>
          <w:p w14:paraId="4C4EDF2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40" w:type="dxa"/>
            <w:shd w:val="clear" w:color="auto" w:fill="auto"/>
            <w:noWrap/>
            <w:vAlign w:val="center"/>
            <w:hideMark/>
          </w:tcPr>
          <w:p w14:paraId="08D48CF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5C00D8C9" w14:textId="77777777" w:rsidTr="003B4BCE">
        <w:trPr>
          <w:trHeight w:val="20"/>
        </w:trPr>
        <w:tc>
          <w:tcPr>
            <w:tcW w:w="4025" w:type="dxa"/>
            <w:shd w:val="clear" w:color="auto" w:fill="auto"/>
            <w:vAlign w:val="bottom"/>
            <w:hideMark/>
          </w:tcPr>
          <w:p w14:paraId="1BE23E56"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(vi) Disputed trade Receivables - Credit impaired</w:t>
            </w:r>
          </w:p>
        </w:tc>
        <w:tc>
          <w:tcPr>
            <w:tcW w:w="1312" w:type="dxa"/>
            <w:shd w:val="clear" w:color="auto" w:fill="auto"/>
            <w:noWrap/>
            <w:vAlign w:val="center"/>
            <w:hideMark/>
          </w:tcPr>
          <w:p w14:paraId="517E3D0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124" w:type="dxa"/>
            <w:shd w:val="clear" w:color="auto" w:fill="auto"/>
            <w:noWrap/>
            <w:vAlign w:val="center"/>
            <w:hideMark/>
          </w:tcPr>
          <w:p w14:paraId="72F778C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49" w:type="dxa"/>
            <w:shd w:val="clear" w:color="auto" w:fill="auto"/>
            <w:noWrap/>
            <w:vAlign w:val="center"/>
            <w:hideMark/>
          </w:tcPr>
          <w:p w14:paraId="1AE1383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43" w:type="dxa"/>
            <w:shd w:val="clear" w:color="auto" w:fill="auto"/>
            <w:noWrap/>
            <w:vAlign w:val="center"/>
            <w:hideMark/>
          </w:tcPr>
          <w:p w14:paraId="4D36929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18" w:type="dxa"/>
            <w:shd w:val="clear" w:color="auto" w:fill="auto"/>
            <w:noWrap/>
            <w:vAlign w:val="center"/>
            <w:hideMark/>
          </w:tcPr>
          <w:p w14:paraId="41A260F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40" w:type="dxa"/>
            <w:shd w:val="clear" w:color="auto" w:fill="auto"/>
            <w:noWrap/>
            <w:vAlign w:val="center"/>
            <w:hideMark/>
          </w:tcPr>
          <w:p w14:paraId="0D6E500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0943D5EB" w14:textId="77777777" w:rsidTr="003B4BCE">
        <w:trPr>
          <w:trHeight w:val="20"/>
        </w:trPr>
        <w:tc>
          <w:tcPr>
            <w:tcW w:w="4025" w:type="dxa"/>
            <w:shd w:val="clear" w:color="auto" w:fill="auto"/>
            <w:noWrap/>
            <w:vAlign w:val="bottom"/>
            <w:hideMark/>
          </w:tcPr>
          <w:p w14:paraId="2789725C"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Total (vi)</w:t>
            </w:r>
          </w:p>
        </w:tc>
        <w:tc>
          <w:tcPr>
            <w:tcW w:w="1312" w:type="dxa"/>
            <w:shd w:val="clear" w:color="auto" w:fill="auto"/>
            <w:noWrap/>
            <w:vAlign w:val="center"/>
            <w:hideMark/>
          </w:tcPr>
          <w:p w14:paraId="5EF4F70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124" w:type="dxa"/>
            <w:shd w:val="clear" w:color="auto" w:fill="auto"/>
            <w:noWrap/>
            <w:vAlign w:val="center"/>
            <w:hideMark/>
          </w:tcPr>
          <w:p w14:paraId="76B4DB6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49" w:type="dxa"/>
            <w:shd w:val="clear" w:color="auto" w:fill="auto"/>
            <w:noWrap/>
            <w:vAlign w:val="center"/>
            <w:hideMark/>
          </w:tcPr>
          <w:p w14:paraId="135293F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43" w:type="dxa"/>
            <w:shd w:val="clear" w:color="auto" w:fill="auto"/>
            <w:noWrap/>
            <w:vAlign w:val="center"/>
            <w:hideMark/>
          </w:tcPr>
          <w:p w14:paraId="6202C9A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18" w:type="dxa"/>
            <w:shd w:val="clear" w:color="auto" w:fill="auto"/>
            <w:noWrap/>
            <w:vAlign w:val="center"/>
            <w:hideMark/>
          </w:tcPr>
          <w:p w14:paraId="20003AC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40" w:type="dxa"/>
            <w:shd w:val="clear" w:color="auto" w:fill="auto"/>
            <w:noWrap/>
            <w:vAlign w:val="center"/>
            <w:hideMark/>
          </w:tcPr>
          <w:p w14:paraId="43DCD0D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21DA8222" w14:textId="77777777" w:rsidTr="003B4BCE">
        <w:trPr>
          <w:trHeight w:val="20"/>
        </w:trPr>
        <w:tc>
          <w:tcPr>
            <w:tcW w:w="4025" w:type="dxa"/>
            <w:shd w:val="clear" w:color="auto" w:fill="auto"/>
            <w:noWrap/>
            <w:vAlign w:val="bottom"/>
            <w:hideMark/>
          </w:tcPr>
          <w:p w14:paraId="0A7252BE" w14:textId="77777777" w:rsidR="005B5953" w:rsidRPr="005B12AE" w:rsidRDefault="005B5953" w:rsidP="00250DAC">
            <w:pPr>
              <w:spacing w:after="0" w:line="240" w:lineRule="auto"/>
              <w:rPr>
                <w:rFonts w:ascii="Times New Roman" w:hAnsi="Times New Roman"/>
                <w:b/>
                <w:bCs/>
                <w:sz w:val="20"/>
                <w:szCs w:val="20"/>
                <w:lang w:val="pt-BR"/>
              </w:rPr>
            </w:pPr>
            <w:r w:rsidRPr="005B12AE">
              <w:rPr>
                <w:rFonts w:ascii="Times New Roman" w:hAnsi="Times New Roman"/>
                <w:b/>
                <w:bCs/>
                <w:sz w:val="20"/>
                <w:szCs w:val="20"/>
                <w:lang w:val="pt-BR"/>
              </w:rPr>
              <w:t>TOTAL (i+ii+iii+iv+v+vi)</w:t>
            </w:r>
          </w:p>
        </w:tc>
        <w:tc>
          <w:tcPr>
            <w:tcW w:w="1312" w:type="dxa"/>
            <w:shd w:val="clear" w:color="auto" w:fill="auto"/>
            <w:noWrap/>
            <w:vAlign w:val="center"/>
            <w:hideMark/>
          </w:tcPr>
          <w:p w14:paraId="5EDD099B"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602.97</w:t>
            </w:r>
          </w:p>
        </w:tc>
        <w:tc>
          <w:tcPr>
            <w:tcW w:w="1124" w:type="dxa"/>
            <w:shd w:val="clear" w:color="auto" w:fill="auto"/>
            <w:noWrap/>
            <w:vAlign w:val="center"/>
            <w:hideMark/>
          </w:tcPr>
          <w:p w14:paraId="60C65D31"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3,667.00</w:t>
            </w:r>
          </w:p>
        </w:tc>
        <w:tc>
          <w:tcPr>
            <w:tcW w:w="749" w:type="dxa"/>
            <w:shd w:val="clear" w:color="auto" w:fill="auto"/>
            <w:noWrap/>
            <w:vAlign w:val="center"/>
            <w:hideMark/>
          </w:tcPr>
          <w:p w14:paraId="34F2117E"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843" w:type="dxa"/>
            <w:shd w:val="clear" w:color="auto" w:fill="auto"/>
            <w:noWrap/>
            <w:vAlign w:val="center"/>
            <w:hideMark/>
          </w:tcPr>
          <w:p w14:paraId="4595EFCE"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1218" w:type="dxa"/>
            <w:shd w:val="clear" w:color="auto" w:fill="auto"/>
            <w:noWrap/>
            <w:vAlign w:val="center"/>
            <w:hideMark/>
          </w:tcPr>
          <w:p w14:paraId="241D944B"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w:t>
            </w:r>
          </w:p>
        </w:tc>
        <w:tc>
          <w:tcPr>
            <w:tcW w:w="1240" w:type="dxa"/>
            <w:shd w:val="clear" w:color="auto" w:fill="auto"/>
            <w:noWrap/>
            <w:vAlign w:val="center"/>
            <w:hideMark/>
          </w:tcPr>
          <w:p w14:paraId="1DCECEA6"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4,269.97</w:t>
            </w:r>
          </w:p>
        </w:tc>
      </w:tr>
    </w:tbl>
    <w:p w14:paraId="56BF254C" w14:textId="77777777" w:rsidR="005B5953" w:rsidRPr="005B12AE" w:rsidRDefault="005B5953" w:rsidP="005B5953">
      <w:pPr>
        <w:spacing w:after="0"/>
        <w:ind w:left="270" w:hanging="270"/>
        <w:rPr>
          <w:rFonts w:ascii="Times New Roman" w:hAnsi="Times New Roman"/>
          <w:b/>
          <w:bCs/>
          <w:sz w:val="20"/>
          <w:szCs w:val="20"/>
        </w:rPr>
      </w:pPr>
    </w:p>
    <w:p w14:paraId="7E06B15E" w14:textId="77777777" w:rsidR="005B5953" w:rsidRPr="005B12AE" w:rsidRDefault="005B5953" w:rsidP="005B5953">
      <w:pPr>
        <w:spacing w:after="0"/>
        <w:ind w:left="270" w:hanging="270"/>
        <w:jc w:val="center"/>
        <w:rPr>
          <w:rFonts w:ascii="Times New Roman" w:hAnsi="Times New Roman"/>
          <w:b/>
          <w:bCs/>
          <w:sz w:val="20"/>
          <w:szCs w:val="20"/>
        </w:rPr>
      </w:pPr>
      <w:r w:rsidRPr="005B12AE">
        <w:rPr>
          <w:rFonts w:ascii="Times New Roman" w:hAnsi="Times New Roman"/>
          <w:b/>
          <w:bCs/>
          <w:sz w:val="20"/>
          <w:szCs w:val="20"/>
        </w:rPr>
        <w:t>NOTE – J</w:t>
      </w:r>
    </w:p>
    <w:p w14:paraId="61CF5E67" w14:textId="77777777" w:rsidR="005B5953" w:rsidRPr="005B12AE" w:rsidRDefault="005B5953" w:rsidP="005B5953">
      <w:pPr>
        <w:spacing w:after="0"/>
        <w:ind w:left="270" w:hanging="270"/>
        <w:jc w:val="center"/>
        <w:rPr>
          <w:rFonts w:ascii="Times New Roman" w:hAnsi="Times New Roman"/>
          <w:b/>
          <w:bCs/>
          <w:sz w:val="20"/>
          <w:szCs w:val="20"/>
        </w:rPr>
      </w:pPr>
    </w:p>
    <w:p w14:paraId="6B658DFA" w14:textId="77777777" w:rsidR="005B5953" w:rsidRPr="005B12AE" w:rsidRDefault="005B5953" w:rsidP="005B5953">
      <w:pPr>
        <w:spacing w:after="0"/>
        <w:ind w:left="270" w:hanging="270"/>
        <w:jc w:val="center"/>
        <w:rPr>
          <w:rFonts w:ascii="Times New Roman" w:hAnsi="Times New Roman"/>
          <w:b/>
          <w:bCs/>
          <w:sz w:val="20"/>
          <w:szCs w:val="20"/>
        </w:rPr>
      </w:pPr>
      <w:r w:rsidRPr="005B12AE">
        <w:rPr>
          <w:rFonts w:ascii="Times New Roman" w:hAnsi="Times New Roman"/>
          <w:b/>
          <w:bCs/>
          <w:sz w:val="20"/>
          <w:szCs w:val="20"/>
        </w:rPr>
        <w:t>RESTATED STATEMENT OF CASH &amp; CASH EQUIVALENTS</w:t>
      </w:r>
    </w:p>
    <w:p w14:paraId="320493A0" w14:textId="77777777" w:rsidR="005B5953" w:rsidRPr="005B12AE" w:rsidRDefault="005B5953" w:rsidP="005B5953">
      <w:pPr>
        <w:spacing w:after="0"/>
        <w:jc w:val="right"/>
        <w:rPr>
          <w:rFonts w:ascii="Times New Roman" w:hAnsi="Times New Roman"/>
          <w:b/>
          <w:bCs/>
          <w:sz w:val="20"/>
          <w:szCs w:val="20"/>
        </w:rPr>
      </w:pPr>
      <w:r w:rsidRPr="005B12AE">
        <w:rPr>
          <w:rFonts w:ascii="Times New Roman" w:hAnsi="Times New Roman"/>
          <w:b/>
          <w:bCs/>
          <w:sz w:val="20"/>
          <w:szCs w:val="20"/>
        </w:rPr>
        <w:t>(₹ in Lakhs)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1"/>
        <w:gridCol w:w="1918"/>
        <w:gridCol w:w="1918"/>
        <w:gridCol w:w="1529"/>
      </w:tblGrid>
      <w:tr w:rsidR="005B5953" w:rsidRPr="005B12AE" w14:paraId="74C09F04" w14:textId="77777777" w:rsidTr="00250DAC">
        <w:trPr>
          <w:trHeight w:val="20"/>
        </w:trPr>
        <w:tc>
          <w:tcPr>
            <w:tcW w:w="2435" w:type="pct"/>
            <w:vMerge w:val="restart"/>
            <w:shd w:val="clear" w:color="auto" w:fill="D0CECE" w:themeFill="background2" w:themeFillShade="E6"/>
            <w:noWrap/>
            <w:vAlign w:val="center"/>
            <w:hideMark/>
          </w:tcPr>
          <w:p w14:paraId="74A038DD" w14:textId="77777777" w:rsidR="005B5953" w:rsidRPr="005B12AE" w:rsidRDefault="005B5953" w:rsidP="00250DAC">
            <w:pPr>
              <w:spacing w:after="0" w:line="240" w:lineRule="auto"/>
              <w:jc w:val="right"/>
              <w:rPr>
                <w:rFonts w:ascii="Times New Roman" w:hAnsi="Times New Roman"/>
                <w:b/>
                <w:bCs/>
                <w:sz w:val="20"/>
                <w:szCs w:val="20"/>
              </w:rPr>
            </w:pPr>
            <w:r w:rsidRPr="005B12AE">
              <w:rPr>
                <w:rFonts w:ascii="Times New Roman" w:hAnsi="Times New Roman"/>
                <w:b/>
                <w:bCs/>
                <w:sz w:val="20"/>
                <w:szCs w:val="20"/>
              </w:rPr>
              <w:t>Particulars</w:t>
            </w:r>
          </w:p>
        </w:tc>
        <w:tc>
          <w:tcPr>
            <w:tcW w:w="2565" w:type="pct"/>
            <w:gridSpan w:val="3"/>
            <w:shd w:val="clear" w:color="auto" w:fill="D0CECE" w:themeFill="background2" w:themeFillShade="E6"/>
            <w:noWrap/>
            <w:vAlign w:val="center"/>
            <w:hideMark/>
          </w:tcPr>
          <w:p w14:paraId="41B26B06"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As at</w:t>
            </w:r>
          </w:p>
        </w:tc>
      </w:tr>
      <w:tr w:rsidR="005B5953" w:rsidRPr="005B12AE" w14:paraId="497B38C8" w14:textId="77777777" w:rsidTr="00250DAC">
        <w:trPr>
          <w:trHeight w:val="20"/>
        </w:trPr>
        <w:tc>
          <w:tcPr>
            <w:tcW w:w="2435" w:type="pct"/>
            <w:vMerge/>
            <w:shd w:val="clear" w:color="auto" w:fill="D0CECE" w:themeFill="background2" w:themeFillShade="E6"/>
            <w:vAlign w:val="center"/>
            <w:hideMark/>
          </w:tcPr>
          <w:p w14:paraId="1CA1547E" w14:textId="77777777" w:rsidR="005B5953" w:rsidRPr="005B12AE" w:rsidRDefault="005B5953" w:rsidP="00250DAC">
            <w:pPr>
              <w:spacing w:after="0" w:line="240" w:lineRule="auto"/>
              <w:rPr>
                <w:rFonts w:ascii="Times New Roman" w:hAnsi="Times New Roman"/>
                <w:b/>
                <w:bCs/>
                <w:sz w:val="20"/>
                <w:szCs w:val="20"/>
              </w:rPr>
            </w:pPr>
          </w:p>
        </w:tc>
        <w:tc>
          <w:tcPr>
            <w:tcW w:w="917" w:type="pct"/>
            <w:shd w:val="clear" w:color="auto" w:fill="D0CECE" w:themeFill="background2" w:themeFillShade="E6"/>
            <w:noWrap/>
            <w:vAlign w:val="bottom"/>
            <w:hideMark/>
          </w:tcPr>
          <w:p w14:paraId="743318F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31/03/2023</w:t>
            </w:r>
          </w:p>
        </w:tc>
        <w:tc>
          <w:tcPr>
            <w:tcW w:w="917" w:type="pct"/>
            <w:shd w:val="clear" w:color="auto" w:fill="D0CECE" w:themeFill="background2" w:themeFillShade="E6"/>
            <w:noWrap/>
            <w:vAlign w:val="bottom"/>
            <w:hideMark/>
          </w:tcPr>
          <w:p w14:paraId="6750FE70"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31/03/2022</w:t>
            </w:r>
          </w:p>
        </w:tc>
        <w:tc>
          <w:tcPr>
            <w:tcW w:w="731" w:type="pct"/>
            <w:shd w:val="clear" w:color="auto" w:fill="D0CECE" w:themeFill="background2" w:themeFillShade="E6"/>
            <w:noWrap/>
            <w:vAlign w:val="bottom"/>
            <w:hideMark/>
          </w:tcPr>
          <w:p w14:paraId="293DF8B6"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31/03/2021</w:t>
            </w:r>
          </w:p>
        </w:tc>
      </w:tr>
      <w:tr w:rsidR="005B5953" w:rsidRPr="005B12AE" w14:paraId="3B718ECB" w14:textId="77777777" w:rsidTr="00250DAC">
        <w:trPr>
          <w:trHeight w:val="20"/>
        </w:trPr>
        <w:tc>
          <w:tcPr>
            <w:tcW w:w="2435" w:type="pct"/>
            <w:shd w:val="clear" w:color="auto" w:fill="auto"/>
            <w:noWrap/>
            <w:vAlign w:val="bottom"/>
            <w:hideMark/>
          </w:tcPr>
          <w:p w14:paraId="173E2242"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Cash and Cash Equivalents</w:t>
            </w:r>
          </w:p>
        </w:tc>
        <w:tc>
          <w:tcPr>
            <w:tcW w:w="917" w:type="pct"/>
            <w:shd w:val="clear" w:color="auto" w:fill="auto"/>
            <w:noWrap/>
            <w:vAlign w:val="bottom"/>
            <w:hideMark/>
          </w:tcPr>
          <w:p w14:paraId="45B4EA09" w14:textId="77777777" w:rsidR="005B5953" w:rsidRPr="005B12AE" w:rsidRDefault="005B5953" w:rsidP="00250DAC">
            <w:pPr>
              <w:spacing w:after="0" w:line="240" w:lineRule="auto"/>
              <w:jc w:val="center"/>
              <w:rPr>
                <w:rFonts w:ascii="Times New Roman" w:hAnsi="Times New Roman"/>
                <w:sz w:val="20"/>
                <w:szCs w:val="20"/>
              </w:rPr>
            </w:pPr>
          </w:p>
        </w:tc>
        <w:tc>
          <w:tcPr>
            <w:tcW w:w="917" w:type="pct"/>
            <w:shd w:val="clear" w:color="auto" w:fill="auto"/>
            <w:noWrap/>
            <w:vAlign w:val="bottom"/>
            <w:hideMark/>
          </w:tcPr>
          <w:p w14:paraId="48832D9E" w14:textId="77777777" w:rsidR="005B5953" w:rsidRPr="005B12AE" w:rsidRDefault="005B5953" w:rsidP="00250DAC">
            <w:pPr>
              <w:spacing w:after="0" w:line="240" w:lineRule="auto"/>
              <w:jc w:val="center"/>
              <w:rPr>
                <w:rFonts w:ascii="Times New Roman" w:hAnsi="Times New Roman"/>
                <w:sz w:val="20"/>
                <w:szCs w:val="20"/>
              </w:rPr>
            </w:pPr>
          </w:p>
        </w:tc>
        <w:tc>
          <w:tcPr>
            <w:tcW w:w="731" w:type="pct"/>
            <w:shd w:val="clear" w:color="auto" w:fill="auto"/>
            <w:noWrap/>
            <w:vAlign w:val="bottom"/>
            <w:hideMark/>
          </w:tcPr>
          <w:p w14:paraId="6B79D1C6"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089877C4" w14:textId="77777777" w:rsidTr="00250DAC">
        <w:trPr>
          <w:trHeight w:val="20"/>
        </w:trPr>
        <w:tc>
          <w:tcPr>
            <w:tcW w:w="2435" w:type="pct"/>
            <w:shd w:val="clear" w:color="auto" w:fill="auto"/>
            <w:noWrap/>
            <w:vAlign w:val="bottom"/>
            <w:hideMark/>
          </w:tcPr>
          <w:p w14:paraId="0E7FD0F3"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Cash on Hand</w:t>
            </w:r>
          </w:p>
        </w:tc>
        <w:tc>
          <w:tcPr>
            <w:tcW w:w="917" w:type="pct"/>
            <w:shd w:val="clear" w:color="auto" w:fill="auto"/>
            <w:noWrap/>
            <w:vAlign w:val="bottom"/>
            <w:hideMark/>
          </w:tcPr>
          <w:p w14:paraId="587FAD8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5.31</w:t>
            </w:r>
          </w:p>
        </w:tc>
        <w:tc>
          <w:tcPr>
            <w:tcW w:w="917" w:type="pct"/>
            <w:shd w:val="clear" w:color="auto" w:fill="auto"/>
            <w:noWrap/>
            <w:vAlign w:val="bottom"/>
            <w:hideMark/>
          </w:tcPr>
          <w:p w14:paraId="3530F72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12.09</w:t>
            </w:r>
          </w:p>
        </w:tc>
        <w:tc>
          <w:tcPr>
            <w:tcW w:w="731" w:type="pct"/>
            <w:shd w:val="clear" w:color="auto" w:fill="auto"/>
            <w:noWrap/>
            <w:vAlign w:val="bottom"/>
            <w:hideMark/>
          </w:tcPr>
          <w:p w14:paraId="328738B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38.15</w:t>
            </w:r>
          </w:p>
        </w:tc>
      </w:tr>
      <w:tr w:rsidR="005B5953" w:rsidRPr="005B12AE" w14:paraId="4EF43169" w14:textId="77777777" w:rsidTr="00250DAC">
        <w:trPr>
          <w:trHeight w:val="20"/>
        </w:trPr>
        <w:tc>
          <w:tcPr>
            <w:tcW w:w="2435" w:type="pct"/>
            <w:shd w:val="clear" w:color="auto" w:fill="auto"/>
            <w:noWrap/>
            <w:vAlign w:val="bottom"/>
            <w:hideMark/>
          </w:tcPr>
          <w:p w14:paraId="5C374A28"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Balances with Banks in Current Accounts</w:t>
            </w:r>
          </w:p>
        </w:tc>
        <w:tc>
          <w:tcPr>
            <w:tcW w:w="917" w:type="pct"/>
            <w:shd w:val="clear" w:color="auto" w:fill="auto"/>
            <w:noWrap/>
            <w:vAlign w:val="bottom"/>
            <w:hideMark/>
          </w:tcPr>
          <w:p w14:paraId="5024C3F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67.01</w:t>
            </w:r>
          </w:p>
        </w:tc>
        <w:tc>
          <w:tcPr>
            <w:tcW w:w="917" w:type="pct"/>
            <w:shd w:val="clear" w:color="auto" w:fill="auto"/>
            <w:noWrap/>
            <w:vAlign w:val="bottom"/>
            <w:hideMark/>
          </w:tcPr>
          <w:p w14:paraId="2D7E8FA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197.56</w:t>
            </w:r>
          </w:p>
        </w:tc>
        <w:tc>
          <w:tcPr>
            <w:tcW w:w="731" w:type="pct"/>
            <w:shd w:val="clear" w:color="auto" w:fill="auto"/>
            <w:noWrap/>
            <w:vAlign w:val="bottom"/>
            <w:hideMark/>
          </w:tcPr>
          <w:p w14:paraId="6B58F67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0.09</w:t>
            </w:r>
          </w:p>
        </w:tc>
      </w:tr>
      <w:tr w:rsidR="005B5953" w:rsidRPr="005B12AE" w14:paraId="4CDE084B" w14:textId="77777777" w:rsidTr="00250DAC">
        <w:trPr>
          <w:trHeight w:val="20"/>
        </w:trPr>
        <w:tc>
          <w:tcPr>
            <w:tcW w:w="2435" w:type="pct"/>
            <w:shd w:val="clear" w:color="auto" w:fill="auto"/>
            <w:noWrap/>
            <w:vAlign w:val="bottom"/>
            <w:hideMark/>
          </w:tcPr>
          <w:p w14:paraId="09185E7E"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 xml:space="preserve">Other Bank Balances </w:t>
            </w:r>
          </w:p>
        </w:tc>
        <w:tc>
          <w:tcPr>
            <w:tcW w:w="917" w:type="pct"/>
            <w:shd w:val="clear" w:color="auto" w:fill="auto"/>
            <w:noWrap/>
            <w:vAlign w:val="bottom"/>
            <w:hideMark/>
          </w:tcPr>
          <w:p w14:paraId="06EDB6FB" w14:textId="77777777" w:rsidR="005B5953" w:rsidRPr="005B12AE" w:rsidRDefault="005B5953" w:rsidP="00250DAC">
            <w:pPr>
              <w:spacing w:after="0" w:line="240" w:lineRule="auto"/>
              <w:jc w:val="center"/>
              <w:rPr>
                <w:rFonts w:ascii="Times New Roman" w:hAnsi="Times New Roman"/>
                <w:sz w:val="20"/>
                <w:szCs w:val="20"/>
              </w:rPr>
            </w:pPr>
          </w:p>
        </w:tc>
        <w:tc>
          <w:tcPr>
            <w:tcW w:w="917" w:type="pct"/>
            <w:shd w:val="clear" w:color="auto" w:fill="auto"/>
            <w:noWrap/>
            <w:vAlign w:val="bottom"/>
            <w:hideMark/>
          </w:tcPr>
          <w:p w14:paraId="68917F4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31" w:type="pct"/>
            <w:shd w:val="clear" w:color="auto" w:fill="auto"/>
            <w:noWrap/>
            <w:vAlign w:val="bottom"/>
            <w:hideMark/>
          </w:tcPr>
          <w:p w14:paraId="30CD3E5B"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3A62C717" w14:textId="77777777" w:rsidTr="00250DAC">
        <w:trPr>
          <w:trHeight w:val="20"/>
        </w:trPr>
        <w:tc>
          <w:tcPr>
            <w:tcW w:w="2435" w:type="pct"/>
            <w:shd w:val="clear" w:color="auto" w:fill="auto"/>
            <w:noWrap/>
            <w:vAlign w:val="bottom"/>
            <w:hideMark/>
          </w:tcPr>
          <w:p w14:paraId="7CF0F9E9"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Total</w:t>
            </w:r>
          </w:p>
        </w:tc>
        <w:tc>
          <w:tcPr>
            <w:tcW w:w="917" w:type="pct"/>
            <w:shd w:val="clear" w:color="auto" w:fill="auto"/>
            <w:noWrap/>
            <w:vAlign w:val="bottom"/>
            <w:hideMark/>
          </w:tcPr>
          <w:p w14:paraId="43B06996"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72.31</w:t>
            </w:r>
          </w:p>
        </w:tc>
        <w:tc>
          <w:tcPr>
            <w:tcW w:w="917" w:type="pct"/>
            <w:shd w:val="clear" w:color="auto" w:fill="auto"/>
            <w:noWrap/>
            <w:vAlign w:val="bottom"/>
            <w:hideMark/>
          </w:tcPr>
          <w:p w14:paraId="61CF88C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209.65</w:t>
            </w:r>
          </w:p>
        </w:tc>
        <w:tc>
          <w:tcPr>
            <w:tcW w:w="731" w:type="pct"/>
            <w:shd w:val="clear" w:color="auto" w:fill="auto"/>
            <w:noWrap/>
            <w:vAlign w:val="bottom"/>
            <w:hideMark/>
          </w:tcPr>
          <w:p w14:paraId="71BEA8E8"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38.24</w:t>
            </w:r>
          </w:p>
        </w:tc>
      </w:tr>
    </w:tbl>
    <w:p w14:paraId="7A7C8C1A" w14:textId="77777777" w:rsidR="005B5953" w:rsidRPr="005B12AE" w:rsidRDefault="005B5953" w:rsidP="005B5953">
      <w:pPr>
        <w:spacing w:after="0"/>
        <w:ind w:left="270" w:hanging="270"/>
        <w:jc w:val="both"/>
        <w:rPr>
          <w:rFonts w:ascii="Times New Roman" w:hAnsi="Times New Roman"/>
          <w:sz w:val="20"/>
          <w:szCs w:val="20"/>
        </w:rPr>
      </w:pPr>
      <w:r w:rsidRPr="005B12AE">
        <w:rPr>
          <w:rFonts w:ascii="Times New Roman" w:hAnsi="Times New Roman"/>
          <w:sz w:val="20"/>
          <w:szCs w:val="20"/>
        </w:rPr>
        <w:t>1. The figures disclosed above are based on the restated summary statement of assets and liabilities of the Company.</w:t>
      </w:r>
    </w:p>
    <w:p w14:paraId="1717BDFB" w14:textId="77777777" w:rsidR="005B5953" w:rsidRPr="005B12AE" w:rsidRDefault="005B5953" w:rsidP="005B5953">
      <w:pPr>
        <w:spacing w:after="0"/>
        <w:ind w:left="270" w:hanging="270"/>
        <w:jc w:val="both"/>
        <w:rPr>
          <w:rFonts w:ascii="Times New Roman" w:hAnsi="Times New Roman"/>
          <w:sz w:val="20"/>
          <w:szCs w:val="20"/>
        </w:rPr>
      </w:pPr>
    </w:p>
    <w:p w14:paraId="04DFF578" w14:textId="77777777" w:rsidR="005B5953" w:rsidRPr="005B12AE" w:rsidRDefault="005B5953" w:rsidP="005B5953">
      <w:pPr>
        <w:spacing w:after="0"/>
        <w:ind w:left="270" w:hanging="270"/>
        <w:jc w:val="center"/>
        <w:rPr>
          <w:rFonts w:ascii="Times New Roman" w:hAnsi="Times New Roman"/>
          <w:b/>
          <w:bCs/>
          <w:sz w:val="20"/>
          <w:szCs w:val="20"/>
        </w:rPr>
      </w:pPr>
      <w:r w:rsidRPr="005B12AE">
        <w:rPr>
          <w:rFonts w:ascii="Times New Roman" w:hAnsi="Times New Roman"/>
          <w:b/>
          <w:bCs/>
          <w:sz w:val="20"/>
          <w:szCs w:val="20"/>
        </w:rPr>
        <w:t>NOTE – K</w:t>
      </w:r>
    </w:p>
    <w:p w14:paraId="1ED8A150" w14:textId="77777777" w:rsidR="005B5953" w:rsidRPr="005B12AE" w:rsidRDefault="005B5953" w:rsidP="005B5953">
      <w:pPr>
        <w:spacing w:after="0"/>
        <w:ind w:left="270" w:hanging="270"/>
        <w:jc w:val="center"/>
        <w:rPr>
          <w:rFonts w:ascii="Times New Roman" w:hAnsi="Times New Roman"/>
          <w:b/>
          <w:bCs/>
          <w:sz w:val="20"/>
          <w:szCs w:val="20"/>
        </w:rPr>
      </w:pPr>
    </w:p>
    <w:p w14:paraId="77B12DAF" w14:textId="77777777" w:rsidR="005B5953" w:rsidRPr="005B12AE" w:rsidRDefault="005B5953" w:rsidP="005B5953">
      <w:pPr>
        <w:spacing w:after="0"/>
        <w:ind w:left="270" w:hanging="270"/>
        <w:jc w:val="center"/>
        <w:rPr>
          <w:rFonts w:ascii="Times New Roman" w:hAnsi="Times New Roman"/>
          <w:b/>
          <w:bCs/>
          <w:sz w:val="20"/>
          <w:szCs w:val="20"/>
        </w:rPr>
      </w:pPr>
      <w:r w:rsidRPr="005B12AE">
        <w:rPr>
          <w:rFonts w:ascii="Times New Roman" w:hAnsi="Times New Roman"/>
          <w:b/>
          <w:bCs/>
          <w:sz w:val="20"/>
          <w:szCs w:val="20"/>
        </w:rPr>
        <w:t>RESTATED STATEMENT OF INVENTORIES</w:t>
      </w:r>
    </w:p>
    <w:p w14:paraId="6332988B" w14:textId="77777777" w:rsidR="005B5953" w:rsidRPr="005B12AE" w:rsidRDefault="005B5953" w:rsidP="005B5953">
      <w:pPr>
        <w:spacing w:after="0"/>
        <w:jc w:val="right"/>
        <w:rPr>
          <w:rFonts w:ascii="Times New Roman" w:hAnsi="Times New Roman"/>
          <w:b/>
          <w:bCs/>
          <w:sz w:val="20"/>
          <w:szCs w:val="20"/>
        </w:rPr>
      </w:pPr>
      <w:r w:rsidRPr="005B12AE">
        <w:rPr>
          <w:rFonts w:ascii="Times New Roman" w:hAnsi="Times New Roman"/>
          <w:b/>
          <w:bCs/>
          <w:sz w:val="20"/>
          <w:szCs w:val="20"/>
        </w:rPr>
        <w:t>(₹ in Lakhs)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0"/>
        <w:gridCol w:w="1778"/>
        <w:gridCol w:w="1778"/>
        <w:gridCol w:w="1880"/>
      </w:tblGrid>
      <w:tr w:rsidR="005B5953" w:rsidRPr="005B12AE" w14:paraId="14CEB11A" w14:textId="77777777" w:rsidTr="00250DAC">
        <w:trPr>
          <w:trHeight w:val="20"/>
          <w:tblHeader/>
        </w:trPr>
        <w:tc>
          <w:tcPr>
            <w:tcW w:w="2401" w:type="pct"/>
            <w:vMerge w:val="restart"/>
            <w:shd w:val="clear" w:color="auto" w:fill="D0CECE" w:themeFill="background2" w:themeFillShade="E6"/>
            <w:noWrap/>
            <w:vAlign w:val="center"/>
            <w:hideMark/>
          </w:tcPr>
          <w:p w14:paraId="2713040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Particulars</w:t>
            </w:r>
          </w:p>
        </w:tc>
        <w:tc>
          <w:tcPr>
            <w:tcW w:w="2599" w:type="pct"/>
            <w:gridSpan w:val="3"/>
            <w:shd w:val="clear" w:color="auto" w:fill="D0CECE" w:themeFill="background2" w:themeFillShade="E6"/>
            <w:noWrap/>
            <w:vAlign w:val="center"/>
            <w:hideMark/>
          </w:tcPr>
          <w:p w14:paraId="1F8D8FB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 xml:space="preserve"> As at </w:t>
            </w:r>
          </w:p>
        </w:tc>
      </w:tr>
      <w:tr w:rsidR="005B5953" w:rsidRPr="005B12AE" w14:paraId="70D11A02" w14:textId="77777777" w:rsidTr="00250DAC">
        <w:trPr>
          <w:trHeight w:val="20"/>
          <w:tblHeader/>
        </w:trPr>
        <w:tc>
          <w:tcPr>
            <w:tcW w:w="2401" w:type="pct"/>
            <w:vMerge/>
            <w:shd w:val="clear" w:color="auto" w:fill="D0CECE" w:themeFill="background2" w:themeFillShade="E6"/>
            <w:vAlign w:val="center"/>
            <w:hideMark/>
          </w:tcPr>
          <w:p w14:paraId="586CFB93" w14:textId="77777777" w:rsidR="005B5953" w:rsidRPr="005B12AE" w:rsidRDefault="005B5953" w:rsidP="00250DAC">
            <w:pPr>
              <w:spacing w:after="0" w:line="240" w:lineRule="auto"/>
              <w:rPr>
                <w:rFonts w:ascii="Times New Roman" w:hAnsi="Times New Roman"/>
                <w:b/>
                <w:bCs/>
                <w:sz w:val="20"/>
                <w:szCs w:val="20"/>
              </w:rPr>
            </w:pPr>
          </w:p>
        </w:tc>
        <w:tc>
          <w:tcPr>
            <w:tcW w:w="850" w:type="pct"/>
            <w:shd w:val="clear" w:color="auto" w:fill="D0CECE" w:themeFill="background2" w:themeFillShade="E6"/>
            <w:noWrap/>
            <w:vAlign w:val="bottom"/>
            <w:hideMark/>
          </w:tcPr>
          <w:p w14:paraId="67FC1B07"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31/03/2023</w:t>
            </w:r>
          </w:p>
        </w:tc>
        <w:tc>
          <w:tcPr>
            <w:tcW w:w="850" w:type="pct"/>
            <w:shd w:val="clear" w:color="auto" w:fill="D0CECE" w:themeFill="background2" w:themeFillShade="E6"/>
            <w:noWrap/>
            <w:vAlign w:val="bottom"/>
            <w:hideMark/>
          </w:tcPr>
          <w:p w14:paraId="4DA5D99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31/03/2022</w:t>
            </w:r>
          </w:p>
        </w:tc>
        <w:tc>
          <w:tcPr>
            <w:tcW w:w="899" w:type="pct"/>
            <w:shd w:val="clear" w:color="auto" w:fill="D0CECE" w:themeFill="background2" w:themeFillShade="E6"/>
            <w:noWrap/>
            <w:vAlign w:val="bottom"/>
            <w:hideMark/>
          </w:tcPr>
          <w:p w14:paraId="6E98A3CE"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31/03/2021</w:t>
            </w:r>
          </w:p>
        </w:tc>
      </w:tr>
      <w:tr w:rsidR="005B5953" w:rsidRPr="005B12AE" w14:paraId="6060DE81" w14:textId="77777777" w:rsidTr="00250DAC">
        <w:trPr>
          <w:trHeight w:val="20"/>
        </w:trPr>
        <w:tc>
          <w:tcPr>
            <w:tcW w:w="2401" w:type="pct"/>
            <w:shd w:val="clear" w:color="auto" w:fill="auto"/>
            <w:noWrap/>
            <w:vAlign w:val="bottom"/>
            <w:hideMark/>
          </w:tcPr>
          <w:p w14:paraId="20DFA874"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Stock of Raw Material and Stock in Trade</w:t>
            </w:r>
          </w:p>
        </w:tc>
        <w:tc>
          <w:tcPr>
            <w:tcW w:w="850" w:type="pct"/>
            <w:shd w:val="clear" w:color="auto" w:fill="auto"/>
            <w:noWrap/>
            <w:vAlign w:val="bottom"/>
            <w:hideMark/>
          </w:tcPr>
          <w:p w14:paraId="3F4E2901"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850" w:type="pct"/>
            <w:shd w:val="clear" w:color="auto" w:fill="auto"/>
            <w:noWrap/>
            <w:vAlign w:val="bottom"/>
            <w:hideMark/>
          </w:tcPr>
          <w:p w14:paraId="3487F46A"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899" w:type="pct"/>
            <w:shd w:val="clear" w:color="auto" w:fill="auto"/>
            <w:noWrap/>
            <w:vAlign w:val="bottom"/>
            <w:hideMark/>
          </w:tcPr>
          <w:p w14:paraId="5EB8534F"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r>
      <w:tr w:rsidR="005B5953" w:rsidRPr="005B12AE" w14:paraId="68CBF9D7" w14:textId="77777777" w:rsidTr="00250DAC">
        <w:trPr>
          <w:trHeight w:val="20"/>
        </w:trPr>
        <w:tc>
          <w:tcPr>
            <w:tcW w:w="2401" w:type="pct"/>
            <w:shd w:val="clear" w:color="auto" w:fill="auto"/>
            <w:noWrap/>
            <w:vAlign w:val="bottom"/>
            <w:hideMark/>
          </w:tcPr>
          <w:p w14:paraId="7F44EEC6"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lastRenderedPageBreak/>
              <w:t>Raw Material</w:t>
            </w:r>
          </w:p>
        </w:tc>
        <w:tc>
          <w:tcPr>
            <w:tcW w:w="850" w:type="pct"/>
            <w:shd w:val="clear" w:color="auto" w:fill="auto"/>
            <w:noWrap/>
            <w:vAlign w:val="bottom"/>
            <w:hideMark/>
          </w:tcPr>
          <w:p w14:paraId="1289220F"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5,719.27 </w:t>
            </w:r>
          </w:p>
        </w:tc>
        <w:tc>
          <w:tcPr>
            <w:tcW w:w="850" w:type="pct"/>
            <w:shd w:val="clear" w:color="auto" w:fill="auto"/>
            <w:noWrap/>
            <w:vAlign w:val="bottom"/>
            <w:hideMark/>
          </w:tcPr>
          <w:p w14:paraId="31EC644E"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2,907.69 </w:t>
            </w:r>
          </w:p>
        </w:tc>
        <w:tc>
          <w:tcPr>
            <w:tcW w:w="899" w:type="pct"/>
            <w:shd w:val="clear" w:color="auto" w:fill="auto"/>
            <w:noWrap/>
            <w:vAlign w:val="bottom"/>
            <w:hideMark/>
          </w:tcPr>
          <w:p w14:paraId="54D0C96B"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1,413.93 </w:t>
            </w:r>
          </w:p>
        </w:tc>
      </w:tr>
      <w:tr w:rsidR="005B5953" w:rsidRPr="005B12AE" w14:paraId="32F0C9BF" w14:textId="77777777" w:rsidTr="00250DAC">
        <w:trPr>
          <w:trHeight w:val="20"/>
        </w:trPr>
        <w:tc>
          <w:tcPr>
            <w:tcW w:w="2401" w:type="pct"/>
            <w:shd w:val="clear" w:color="auto" w:fill="auto"/>
            <w:noWrap/>
            <w:vAlign w:val="bottom"/>
            <w:hideMark/>
          </w:tcPr>
          <w:p w14:paraId="743CA37D"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Stores &amp; Spares</w:t>
            </w:r>
          </w:p>
        </w:tc>
        <w:tc>
          <w:tcPr>
            <w:tcW w:w="850" w:type="pct"/>
            <w:shd w:val="clear" w:color="auto" w:fill="auto"/>
            <w:noWrap/>
            <w:vAlign w:val="bottom"/>
            <w:hideMark/>
          </w:tcPr>
          <w:p w14:paraId="5558F250"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1,596.80 </w:t>
            </w:r>
          </w:p>
        </w:tc>
        <w:tc>
          <w:tcPr>
            <w:tcW w:w="850" w:type="pct"/>
            <w:shd w:val="clear" w:color="auto" w:fill="auto"/>
            <w:noWrap/>
            <w:vAlign w:val="bottom"/>
            <w:hideMark/>
          </w:tcPr>
          <w:p w14:paraId="5054C34C"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1,841.73 </w:t>
            </w:r>
          </w:p>
        </w:tc>
        <w:tc>
          <w:tcPr>
            <w:tcW w:w="899" w:type="pct"/>
            <w:shd w:val="clear" w:color="auto" w:fill="auto"/>
            <w:noWrap/>
            <w:vAlign w:val="bottom"/>
            <w:hideMark/>
          </w:tcPr>
          <w:p w14:paraId="5ED52B73"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                 2,338.79 </w:t>
            </w:r>
          </w:p>
        </w:tc>
      </w:tr>
      <w:tr w:rsidR="005B5953" w:rsidRPr="005B12AE" w14:paraId="6CE0E6E4" w14:textId="77777777" w:rsidTr="00250DAC">
        <w:trPr>
          <w:trHeight w:val="20"/>
        </w:trPr>
        <w:tc>
          <w:tcPr>
            <w:tcW w:w="2401" w:type="pct"/>
            <w:shd w:val="clear" w:color="auto" w:fill="auto"/>
            <w:noWrap/>
            <w:vAlign w:val="bottom"/>
            <w:hideMark/>
          </w:tcPr>
          <w:p w14:paraId="5A787E99"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Finished Goods</w:t>
            </w:r>
          </w:p>
        </w:tc>
        <w:tc>
          <w:tcPr>
            <w:tcW w:w="850" w:type="pct"/>
            <w:shd w:val="clear" w:color="auto" w:fill="auto"/>
            <w:noWrap/>
            <w:vAlign w:val="bottom"/>
            <w:hideMark/>
          </w:tcPr>
          <w:p w14:paraId="5B9DA81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413.08</w:t>
            </w:r>
          </w:p>
        </w:tc>
        <w:tc>
          <w:tcPr>
            <w:tcW w:w="850" w:type="pct"/>
            <w:shd w:val="clear" w:color="auto" w:fill="auto"/>
            <w:noWrap/>
            <w:vAlign w:val="bottom"/>
            <w:hideMark/>
          </w:tcPr>
          <w:p w14:paraId="4A468BD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177.82</w:t>
            </w:r>
          </w:p>
        </w:tc>
        <w:tc>
          <w:tcPr>
            <w:tcW w:w="899" w:type="pct"/>
            <w:shd w:val="clear" w:color="auto" w:fill="auto"/>
            <w:noWrap/>
            <w:vAlign w:val="bottom"/>
            <w:hideMark/>
          </w:tcPr>
          <w:p w14:paraId="0F7093C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289.17</w:t>
            </w:r>
          </w:p>
        </w:tc>
      </w:tr>
      <w:tr w:rsidR="005B5953" w:rsidRPr="005B12AE" w14:paraId="1E7BB594" w14:textId="77777777" w:rsidTr="00250DAC">
        <w:trPr>
          <w:trHeight w:val="20"/>
        </w:trPr>
        <w:tc>
          <w:tcPr>
            <w:tcW w:w="2401" w:type="pct"/>
            <w:shd w:val="clear" w:color="auto" w:fill="auto"/>
            <w:noWrap/>
            <w:vAlign w:val="bottom"/>
            <w:hideMark/>
          </w:tcPr>
          <w:p w14:paraId="0B06B73C"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Others</w:t>
            </w:r>
          </w:p>
        </w:tc>
        <w:tc>
          <w:tcPr>
            <w:tcW w:w="850" w:type="pct"/>
            <w:shd w:val="clear" w:color="auto" w:fill="auto"/>
            <w:noWrap/>
            <w:vAlign w:val="bottom"/>
            <w:hideMark/>
          </w:tcPr>
          <w:p w14:paraId="1BB03CC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26.02</w:t>
            </w:r>
          </w:p>
        </w:tc>
        <w:tc>
          <w:tcPr>
            <w:tcW w:w="850" w:type="pct"/>
            <w:shd w:val="clear" w:color="auto" w:fill="auto"/>
            <w:noWrap/>
            <w:vAlign w:val="bottom"/>
            <w:hideMark/>
          </w:tcPr>
          <w:p w14:paraId="5317AEA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16.15</w:t>
            </w:r>
          </w:p>
        </w:tc>
        <w:tc>
          <w:tcPr>
            <w:tcW w:w="899" w:type="pct"/>
            <w:shd w:val="clear" w:color="auto" w:fill="auto"/>
            <w:noWrap/>
            <w:vAlign w:val="bottom"/>
            <w:hideMark/>
          </w:tcPr>
          <w:p w14:paraId="4E93FDC8"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4B6007D7" w14:textId="77777777" w:rsidTr="00250DAC">
        <w:trPr>
          <w:trHeight w:val="20"/>
        </w:trPr>
        <w:tc>
          <w:tcPr>
            <w:tcW w:w="2401" w:type="pct"/>
            <w:shd w:val="clear" w:color="auto" w:fill="auto"/>
            <w:noWrap/>
            <w:vAlign w:val="bottom"/>
            <w:hideMark/>
          </w:tcPr>
          <w:p w14:paraId="0AF1B307"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Total</w:t>
            </w:r>
          </w:p>
        </w:tc>
        <w:tc>
          <w:tcPr>
            <w:tcW w:w="850" w:type="pct"/>
            <w:shd w:val="clear" w:color="auto" w:fill="auto"/>
            <w:noWrap/>
            <w:vAlign w:val="bottom"/>
            <w:hideMark/>
          </w:tcPr>
          <w:p w14:paraId="756DD939"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7,755.17</w:t>
            </w:r>
          </w:p>
        </w:tc>
        <w:tc>
          <w:tcPr>
            <w:tcW w:w="850" w:type="pct"/>
            <w:shd w:val="clear" w:color="auto" w:fill="auto"/>
            <w:noWrap/>
            <w:vAlign w:val="bottom"/>
            <w:hideMark/>
          </w:tcPr>
          <w:p w14:paraId="12335D11"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4,943.40</w:t>
            </w:r>
          </w:p>
        </w:tc>
        <w:tc>
          <w:tcPr>
            <w:tcW w:w="899" w:type="pct"/>
            <w:shd w:val="clear" w:color="auto" w:fill="auto"/>
            <w:noWrap/>
            <w:vAlign w:val="bottom"/>
            <w:hideMark/>
          </w:tcPr>
          <w:p w14:paraId="5786044E"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4,041.90</w:t>
            </w:r>
          </w:p>
        </w:tc>
      </w:tr>
    </w:tbl>
    <w:p w14:paraId="3E19A556" w14:textId="77777777" w:rsidR="005B5953" w:rsidRPr="005B12AE" w:rsidRDefault="005B5953" w:rsidP="005B5953">
      <w:pPr>
        <w:spacing w:after="0"/>
        <w:ind w:left="270" w:hanging="270"/>
        <w:jc w:val="center"/>
        <w:rPr>
          <w:rFonts w:ascii="Times New Roman" w:hAnsi="Times New Roman"/>
          <w:b/>
          <w:bCs/>
          <w:sz w:val="20"/>
          <w:szCs w:val="20"/>
        </w:rPr>
      </w:pPr>
    </w:p>
    <w:p w14:paraId="78E8B319" w14:textId="77777777" w:rsidR="005B5953" w:rsidRPr="005B12AE" w:rsidRDefault="005B5953" w:rsidP="005B5953">
      <w:pPr>
        <w:spacing w:after="0"/>
        <w:ind w:left="270" w:hanging="270"/>
        <w:jc w:val="center"/>
        <w:rPr>
          <w:rFonts w:ascii="Times New Roman" w:hAnsi="Times New Roman"/>
          <w:b/>
          <w:bCs/>
          <w:sz w:val="20"/>
          <w:szCs w:val="20"/>
        </w:rPr>
      </w:pPr>
      <w:r w:rsidRPr="005B12AE">
        <w:rPr>
          <w:rFonts w:ascii="Times New Roman" w:hAnsi="Times New Roman"/>
          <w:b/>
          <w:bCs/>
          <w:sz w:val="20"/>
          <w:szCs w:val="20"/>
        </w:rPr>
        <w:t>NOTE – L</w:t>
      </w:r>
    </w:p>
    <w:p w14:paraId="3423731D" w14:textId="77777777" w:rsidR="005B5953" w:rsidRPr="005B12AE" w:rsidRDefault="005B5953" w:rsidP="005B5953">
      <w:pPr>
        <w:spacing w:after="0"/>
        <w:ind w:left="270" w:hanging="270"/>
        <w:jc w:val="center"/>
        <w:rPr>
          <w:rFonts w:ascii="Times New Roman" w:hAnsi="Times New Roman"/>
          <w:b/>
          <w:bCs/>
          <w:sz w:val="20"/>
          <w:szCs w:val="20"/>
        </w:rPr>
      </w:pPr>
      <w:r w:rsidRPr="005B12AE">
        <w:rPr>
          <w:rFonts w:ascii="Times New Roman" w:hAnsi="Times New Roman"/>
          <w:b/>
          <w:bCs/>
          <w:sz w:val="20"/>
          <w:szCs w:val="20"/>
        </w:rPr>
        <w:t>RESTATED STATEMENT OF SHORT-TERM LOANS AND ADVANCES</w:t>
      </w:r>
    </w:p>
    <w:p w14:paraId="4F03E777" w14:textId="77777777" w:rsidR="005B5953" w:rsidRPr="005B12AE" w:rsidRDefault="005B5953" w:rsidP="005B5953">
      <w:pPr>
        <w:spacing w:after="0"/>
        <w:jc w:val="right"/>
        <w:rPr>
          <w:rFonts w:ascii="Times New Roman" w:hAnsi="Times New Roman"/>
          <w:b/>
          <w:bCs/>
          <w:sz w:val="20"/>
          <w:szCs w:val="20"/>
        </w:rPr>
      </w:pPr>
      <w:r w:rsidRPr="005B12AE">
        <w:rPr>
          <w:rFonts w:ascii="Times New Roman" w:hAnsi="Times New Roman"/>
          <w:b/>
          <w:bCs/>
          <w:sz w:val="20"/>
          <w:szCs w:val="20"/>
        </w:rPr>
        <w:t>(₹ in Lakhs)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6"/>
        <w:gridCol w:w="1987"/>
        <w:gridCol w:w="1974"/>
        <w:gridCol w:w="1499"/>
      </w:tblGrid>
      <w:tr w:rsidR="005B5953" w:rsidRPr="005B12AE" w14:paraId="71F53A03" w14:textId="77777777" w:rsidTr="00250DAC">
        <w:trPr>
          <w:trHeight w:val="20"/>
        </w:trPr>
        <w:tc>
          <w:tcPr>
            <w:tcW w:w="2389" w:type="pct"/>
            <w:vMerge w:val="restart"/>
            <w:shd w:val="clear" w:color="auto" w:fill="D0CECE" w:themeFill="background2" w:themeFillShade="E6"/>
            <w:noWrap/>
            <w:vAlign w:val="center"/>
            <w:hideMark/>
          </w:tcPr>
          <w:p w14:paraId="63D3A87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Particulars</w:t>
            </w:r>
          </w:p>
        </w:tc>
        <w:tc>
          <w:tcPr>
            <w:tcW w:w="2611" w:type="pct"/>
            <w:gridSpan w:val="3"/>
            <w:shd w:val="clear" w:color="auto" w:fill="D0CECE" w:themeFill="background2" w:themeFillShade="E6"/>
            <w:noWrap/>
            <w:vAlign w:val="center"/>
            <w:hideMark/>
          </w:tcPr>
          <w:p w14:paraId="49F25D61"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As at</w:t>
            </w:r>
          </w:p>
        </w:tc>
      </w:tr>
      <w:tr w:rsidR="005B5953" w:rsidRPr="005B12AE" w14:paraId="0D99101F" w14:textId="77777777" w:rsidTr="00250DAC">
        <w:trPr>
          <w:trHeight w:val="20"/>
        </w:trPr>
        <w:tc>
          <w:tcPr>
            <w:tcW w:w="2389" w:type="pct"/>
            <w:vMerge/>
            <w:shd w:val="clear" w:color="auto" w:fill="D0CECE" w:themeFill="background2" w:themeFillShade="E6"/>
            <w:noWrap/>
            <w:vAlign w:val="center"/>
            <w:hideMark/>
          </w:tcPr>
          <w:p w14:paraId="67BF74E1" w14:textId="77777777" w:rsidR="005B5953" w:rsidRPr="005B12AE" w:rsidRDefault="005B5953" w:rsidP="00250DAC">
            <w:pPr>
              <w:spacing w:after="0" w:line="240" w:lineRule="auto"/>
              <w:jc w:val="center"/>
              <w:rPr>
                <w:rFonts w:ascii="Times New Roman" w:hAnsi="Times New Roman"/>
                <w:b/>
                <w:bCs/>
                <w:sz w:val="20"/>
                <w:szCs w:val="20"/>
              </w:rPr>
            </w:pPr>
          </w:p>
        </w:tc>
        <w:tc>
          <w:tcPr>
            <w:tcW w:w="950" w:type="pct"/>
            <w:shd w:val="clear" w:color="auto" w:fill="D0CECE" w:themeFill="background2" w:themeFillShade="E6"/>
            <w:noWrap/>
            <w:vAlign w:val="bottom"/>
            <w:hideMark/>
          </w:tcPr>
          <w:p w14:paraId="36F3DC3E"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31/03/2023</w:t>
            </w:r>
          </w:p>
        </w:tc>
        <w:tc>
          <w:tcPr>
            <w:tcW w:w="944" w:type="pct"/>
            <w:shd w:val="clear" w:color="auto" w:fill="D0CECE" w:themeFill="background2" w:themeFillShade="E6"/>
            <w:noWrap/>
            <w:vAlign w:val="bottom"/>
            <w:hideMark/>
          </w:tcPr>
          <w:p w14:paraId="4454FDB5"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31/03/2022</w:t>
            </w:r>
          </w:p>
        </w:tc>
        <w:tc>
          <w:tcPr>
            <w:tcW w:w="717" w:type="pct"/>
            <w:shd w:val="clear" w:color="auto" w:fill="D0CECE" w:themeFill="background2" w:themeFillShade="E6"/>
            <w:noWrap/>
            <w:vAlign w:val="bottom"/>
            <w:hideMark/>
          </w:tcPr>
          <w:p w14:paraId="0B95D1AA"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31/03/2021</w:t>
            </w:r>
          </w:p>
        </w:tc>
      </w:tr>
      <w:tr w:rsidR="005B5953" w:rsidRPr="005B12AE" w14:paraId="4638062F" w14:textId="77777777" w:rsidTr="00250DAC">
        <w:trPr>
          <w:trHeight w:val="20"/>
        </w:trPr>
        <w:tc>
          <w:tcPr>
            <w:tcW w:w="2389" w:type="pct"/>
            <w:shd w:val="clear" w:color="auto" w:fill="auto"/>
            <w:noWrap/>
            <w:vAlign w:val="center"/>
            <w:hideMark/>
          </w:tcPr>
          <w:p w14:paraId="440C32EE"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Unsecured, Considered Good unless otherwise stated</w:t>
            </w:r>
          </w:p>
        </w:tc>
        <w:tc>
          <w:tcPr>
            <w:tcW w:w="950" w:type="pct"/>
            <w:shd w:val="clear" w:color="auto" w:fill="auto"/>
            <w:noWrap/>
            <w:vAlign w:val="center"/>
            <w:hideMark/>
          </w:tcPr>
          <w:p w14:paraId="230A9ABF" w14:textId="77777777" w:rsidR="005B5953" w:rsidRPr="005B12AE" w:rsidRDefault="005B5953" w:rsidP="00250DAC">
            <w:pPr>
              <w:spacing w:after="0" w:line="240" w:lineRule="auto"/>
              <w:jc w:val="center"/>
              <w:rPr>
                <w:rFonts w:ascii="Times New Roman" w:hAnsi="Times New Roman"/>
                <w:sz w:val="20"/>
                <w:szCs w:val="20"/>
              </w:rPr>
            </w:pPr>
          </w:p>
        </w:tc>
        <w:tc>
          <w:tcPr>
            <w:tcW w:w="944" w:type="pct"/>
            <w:shd w:val="clear" w:color="auto" w:fill="auto"/>
            <w:noWrap/>
            <w:vAlign w:val="center"/>
            <w:hideMark/>
          </w:tcPr>
          <w:p w14:paraId="68DF5365" w14:textId="77777777" w:rsidR="005B5953" w:rsidRPr="005B12AE" w:rsidRDefault="005B5953" w:rsidP="00250DAC">
            <w:pPr>
              <w:spacing w:after="0" w:line="240" w:lineRule="auto"/>
              <w:jc w:val="center"/>
              <w:rPr>
                <w:rFonts w:ascii="Times New Roman" w:hAnsi="Times New Roman"/>
                <w:sz w:val="20"/>
                <w:szCs w:val="20"/>
              </w:rPr>
            </w:pPr>
          </w:p>
        </w:tc>
        <w:tc>
          <w:tcPr>
            <w:tcW w:w="717" w:type="pct"/>
            <w:shd w:val="clear" w:color="auto" w:fill="auto"/>
            <w:noWrap/>
            <w:vAlign w:val="center"/>
            <w:hideMark/>
          </w:tcPr>
          <w:p w14:paraId="5A8F4ADE"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7E287B81" w14:textId="77777777" w:rsidTr="00250DAC">
        <w:trPr>
          <w:trHeight w:val="20"/>
        </w:trPr>
        <w:tc>
          <w:tcPr>
            <w:tcW w:w="2389" w:type="pct"/>
            <w:shd w:val="clear" w:color="auto" w:fill="auto"/>
            <w:noWrap/>
            <w:vAlign w:val="center"/>
            <w:hideMark/>
          </w:tcPr>
          <w:p w14:paraId="6E520340"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Balances dues from Government Authority</w:t>
            </w:r>
          </w:p>
        </w:tc>
        <w:tc>
          <w:tcPr>
            <w:tcW w:w="950" w:type="pct"/>
            <w:shd w:val="clear" w:color="auto" w:fill="auto"/>
            <w:noWrap/>
            <w:vAlign w:val="center"/>
            <w:hideMark/>
          </w:tcPr>
          <w:p w14:paraId="5B53A7B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944" w:type="pct"/>
            <w:shd w:val="clear" w:color="auto" w:fill="auto"/>
            <w:noWrap/>
            <w:vAlign w:val="center"/>
            <w:hideMark/>
          </w:tcPr>
          <w:p w14:paraId="3355B58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17" w:type="pct"/>
            <w:shd w:val="clear" w:color="auto" w:fill="auto"/>
            <w:noWrap/>
            <w:vAlign w:val="center"/>
            <w:hideMark/>
          </w:tcPr>
          <w:p w14:paraId="7A21CFA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5DCEAFD4" w14:textId="77777777" w:rsidTr="00250DAC">
        <w:trPr>
          <w:trHeight w:val="20"/>
        </w:trPr>
        <w:tc>
          <w:tcPr>
            <w:tcW w:w="2389" w:type="pct"/>
            <w:shd w:val="clear" w:color="auto" w:fill="auto"/>
            <w:noWrap/>
            <w:vAlign w:val="center"/>
            <w:hideMark/>
          </w:tcPr>
          <w:p w14:paraId="72170077"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MAT Credit Entitlement</w:t>
            </w:r>
          </w:p>
        </w:tc>
        <w:tc>
          <w:tcPr>
            <w:tcW w:w="950" w:type="pct"/>
            <w:shd w:val="clear" w:color="auto" w:fill="auto"/>
            <w:noWrap/>
            <w:vAlign w:val="center"/>
            <w:hideMark/>
          </w:tcPr>
          <w:p w14:paraId="7779D821" w14:textId="77777777" w:rsidR="005B5953" w:rsidRPr="005B12AE" w:rsidRDefault="005B5953" w:rsidP="00250DAC">
            <w:pPr>
              <w:spacing w:after="0" w:line="240" w:lineRule="auto"/>
              <w:jc w:val="center"/>
              <w:rPr>
                <w:rFonts w:ascii="Times New Roman" w:hAnsi="Times New Roman"/>
                <w:sz w:val="20"/>
                <w:szCs w:val="20"/>
              </w:rPr>
            </w:pPr>
          </w:p>
        </w:tc>
        <w:tc>
          <w:tcPr>
            <w:tcW w:w="944" w:type="pct"/>
            <w:shd w:val="clear" w:color="auto" w:fill="auto"/>
            <w:noWrap/>
            <w:vAlign w:val="center"/>
            <w:hideMark/>
          </w:tcPr>
          <w:p w14:paraId="1865506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17" w:type="pct"/>
            <w:shd w:val="clear" w:color="auto" w:fill="auto"/>
            <w:noWrap/>
            <w:vAlign w:val="center"/>
            <w:hideMark/>
          </w:tcPr>
          <w:p w14:paraId="01CAD80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11.40</w:t>
            </w:r>
          </w:p>
        </w:tc>
      </w:tr>
      <w:tr w:rsidR="005B5953" w:rsidRPr="005B12AE" w14:paraId="2A0F9349" w14:textId="77777777" w:rsidTr="00250DAC">
        <w:trPr>
          <w:trHeight w:val="20"/>
        </w:trPr>
        <w:tc>
          <w:tcPr>
            <w:tcW w:w="2389" w:type="pct"/>
            <w:shd w:val="clear" w:color="auto" w:fill="auto"/>
            <w:noWrap/>
            <w:vAlign w:val="center"/>
            <w:hideMark/>
          </w:tcPr>
          <w:p w14:paraId="5D3C3AB2"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Advance Against Goods &amp; Expenses</w:t>
            </w:r>
          </w:p>
        </w:tc>
        <w:tc>
          <w:tcPr>
            <w:tcW w:w="950" w:type="pct"/>
            <w:shd w:val="clear" w:color="auto" w:fill="auto"/>
            <w:noWrap/>
            <w:vAlign w:val="center"/>
            <w:hideMark/>
          </w:tcPr>
          <w:p w14:paraId="6AA4B7F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2,542.91</w:t>
            </w:r>
          </w:p>
        </w:tc>
        <w:tc>
          <w:tcPr>
            <w:tcW w:w="944" w:type="pct"/>
            <w:shd w:val="clear" w:color="auto" w:fill="auto"/>
            <w:noWrap/>
            <w:vAlign w:val="center"/>
            <w:hideMark/>
          </w:tcPr>
          <w:p w14:paraId="4C32A83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31.79</w:t>
            </w:r>
          </w:p>
        </w:tc>
        <w:tc>
          <w:tcPr>
            <w:tcW w:w="717" w:type="pct"/>
            <w:shd w:val="clear" w:color="auto" w:fill="auto"/>
            <w:noWrap/>
            <w:vAlign w:val="center"/>
            <w:hideMark/>
          </w:tcPr>
          <w:p w14:paraId="4E6C413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162.27</w:t>
            </w:r>
          </w:p>
        </w:tc>
      </w:tr>
      <w:tr w:rsidR="005B5953" w:rsidRPr="005B12AE" w14:paraId="7C7D88A3" w14:textId="77777777" w:rsidTr="00250DAC">
        <w:trPr>
          <w:trHeight w:val="20"/>
        </w:trPr>
        <w:tc>
          <w:tcPr>
            <w:tcW w:w="2389" w:type="pct"/>
            <w:shd w:val="clear" w:color="auto" w:fill="auto"/>
            <w:noWrap/>
            <w:vAlign w:val="center"/>
            <w:hideMark/>
          </w:tcPr>
          <w:p w14:paraId="32920DFE"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Advance against services</w:t>
            </w:r>
          </w:p>
        </w:tc>
        <w:tc>
          <w:tcPr>
            <w:tcW w:w="950" w:type="pct"/>
            <w:shd w:val="clear" w:color="auto" w:fill="auto"/>
            <w:noWrap/>
            <w:vAlign w:val="center"/>
            <w:hideMark/>
          </w:tcPr>
          <w:p w14:paraId="282FA523" w14:textId="77777777" w:rsidR="005B5953" w:rsidRPr="005B12AE" w:rsidRDefault="005B5953" w:rsidP="00250DAC">
            <w:pPr>
              <w:spacing w:after="0" w:line="240" w:lineRule="auto"/>
              <w:jc w:val="center"/>
              <w:rPr>
                <w:rFonts w:ascii="Times New Roman" w:hAnsi="Times New Roman"/>
                <w:sz w:val="20"/>
                <w:szCs w:val="20"/>
              </w:rPr>
            </w:pPr>
          </w:p>
        </w:tc>
        <w:tc>
          <w:tcPr>
            <w:tcW w:w="944" w:type="pct"/>
            <w:shd w:val="clear" w:color="auto" w:fill="auto"/>
            <w:noWrap/>
            <w:vAlign w:val="center"/>
            <w:hideMark/>
          </w:tcPr>
          <w:p w14:paraId="46DEFDB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17" w:type="pct"/>
            <w:shd w:val="clear" w:color="auto" w:fill="auto"/>
            <w:noWrap/>
            <w:vAlign w:val="center"/>
            <w:hideMark/>
          </w:tcPr>
          <w:p w14:paraId="73B832B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11.96</w:t>
            </w:r>
          </w:p>
        </w:tc>
      </w:tr>
      <w:tr w:rsidR="005B5953" w:rsidRPr="005B12AE" w14:paraId="27B59FAB" w14:textId="77777777" w:rsidTr="00250DAC">
        <w:trPr>
          <w:trHeight w:val="20"/>
        </w:trPr>
        <w:tc>
          <w:tcPr>
            <w:tcW w:w="2389" w:type="pct"/>
            <w:shd w:val="clear" w:color="auto" w:fill="auto"/>
            <w:noWrap/>
            <w:vAlign w:val="center"/>
            <w:hideMark/>
          </w:tcPr>
          <w:p w14:paraId="76EFDB69"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Other Loans and Advance</w:t>
            </w:r>
          </w:p>
        </w:tc>
        <w:tc>
          <w:tcPr>
            <w:tcW w:w="950" w:type="pct"/>
            <w:shd w:val="clear" w:color="auto" w:fill="auto"/>
            <w:noWrap/>
            <w:vAlign w:val="center"/>
            <w:hideMark/>
          </w:tcPr>
          <w:p w14:paraId="6AC1314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944" w:type="pct"/>
            <w:shd w:val="clear" w:color="auto" w:fill="auto"/>
            <w:noWrap/>
            <w:vAlign w:val="center"/>
            <w:hideMark/>
          </w:tcPr>
          <w:p w14:paraId="108C141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17" w:type="pct"/>
            <w:shd w:val="clear" w:color="auto" w:fill="auto"/>
            <w:noWrap/>
            <w:vAlign w:val="center"/>
            <w:hideMark/>
          </w:tcPr>
          <w:p w14:paraId="68EB58AC"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3D2CF491" w14:textId="77777777" w:rsidTr="00250DAC">
        <w:trPr>
          <w:trHeight w:val="20"/>
        </w:trPr>
        <w:tc>
          <w:tcPr>
            <w:tcW w:w="2389" w:type="pct"/>
            <w:shd w:val="clear" w:color="auto" w:fill="auto"/>
            <w:noWrap/>
            <w:vAlign w:val="center"/>
            <w:hideMark/>
          </w:tcPr>
          <w:p w14:paraId="7DBB2D26"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Total</w:t>
            </w:r>
          </w:p>
        </w:tc>
        <w:tc>
          <w:tcPr>
            <w:tcW w:w="950" w:type="pct"/>
            <w:shd w:val="clear" w:color="auto" w:fill="auto"/>
            <w:noWrap/>
            <w:vAlign w:val="center"/>
            <w:hideMark/>
          </w:tcPr>
          <w:p w14:paraId="10BFF65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2,542.91</w:t>
            </w:r>
          </w:p>
        </w:tc>
        <w:tc>
          <w:tcPr>
            <w:tcW w:w="944" w:type="pct"/>
            <w:shd w:val="clear" w:color="auto" w:fill="auto"/>
            <w:noWrap/>
            <w:vAlign w:val="center"/>
            <w:hideMark/>
          </w:tcPr>
          <w:p w14:paraId="2F59C12B"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31.79</w:t>
            </w:r>
          </w:p>
        </w:tc>
        <w:tc>
          <w:tcPr>
            <w:tcW w:w="717" w:type="pct"/>
            <w:shd w:val="clear" w:color="auto" w:fill="auto"/>
            <w:noWrap/>
            <w:vAlign w:val="center"/>
            <w:hideMark/>
          </w:tcPr>
          <w:p w14:paraId="2154617E"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185.63</w:t>
            </w:r>
          </w:p>
        </w:tc>
      </w:tr>
    </w:tbl>
    <w:p w14:paraId="00AF37B2" w14:textId="77777777" w:rsidR="005B5953" w:rsidRPr="005B12AE" w:rsidRDefault="005B5953" w:rsidP="005B5953">
      <w:pPr>
        <w:spacing w:after="0"/>
        <w:ind w:left="270" w:hanging="270"/>
        <w:rPr>
          <w:rFonts w:ascii="Times New Roman" w:hAnsi="Times New Roman"/>
          <w:sz w:val="20"/>
          <w:szCs w:val="20"/>
        </w:rPr>
      </w:pPr>
      <w:r w:rsidRPr="005B12AE">
        <w:rPr>
          <w:rFonts w:ascii="Times New Roman" w:hAnsi="Times New Roman"/>
          <w:sz w:val="20"/>
          <w:szCs w:val="20"/>
        </w:rPr>
        <w:t>1. The figures disclosed above are based on the restated summary statement of assets and liabilities of the Company.</w:t>
      </w:r>
    </w:p>
    <w:p w14:paraId="5CF8530C" w14:textId="77777777" w:rsidR="005B5953" w:rsidRPr="005B12AE" w:rsidRDefault="005B5953" w:rsidP="005B5953">
      <w:pPr>
        <w:spacing w:after="0"/>
        <w:ind w:left="270" w:hanging="270"/>
        <w:jc w:val="center"/>
        <w:rPr>
          <w:rFonts w:ascii="Times New Roman" w:hAnsi="Times New Roman"/>
          <w:sz w:val="20"/>
          <w:szCs w:val="20"/>
        </w:rPr>
      </w:pPr>
    </w:p>
    <w:p w14:paraId="3D96D3B8" w14:textId="77777777" w:rsidR="005B5953" w:rsidRPr="005B12AE" w:rsidRDefault="005B5953" w:rsidP="005B5953">
      <w:pPr>
        <w:spacing w:after="0"/>
        <w:ind w:left="270" w:hanging="270"/>
        <w:jc w:val="center"/>
        <w:rPr>
          <w:rFonts w:ascii="Times New Roman" w:hAnsi="Times New Roman"/>
          <w:b/>
          <w:bCs/>
          <w:sz w:val="20"/>
          <w:szCs w:val="20"/>
        </w:rPr>
      </w:pPr>
      <w:r w:rsidRPr="005B12AE">
        <w:rPr>
          <w:rFonts w:ascii="Times New Roman" w:hAnsi="Times New Roman"/>
          <w:b/>
          <w:bCs/>
          <w:sz w:val="20"/>
          <w:szCs w:val="20"/>
        </w:rPr>
        <w:t>NOTE – M</w:t>
      </w:r>
    </w:p>
    <w:p w14:paraId="1A6D199F" w14:textId="77777777" w:rsidR="005B5953" w:rsidRPr="005B12AE" w:rsidRDefault="005B5953" w:rsidP="005B5953">
      <w:pPr>
        <w:spacing w:after="0"/>
        <w:ind w:left="270" w:hanging="270"/>
        <w:jc w:val="center"/>
        <w:rPr>
          <w:rFonts w:ascii="Times New Roman" w:hAnsi="Times New Roman"/>
          <w:b/>
          <w:bCs/>
          <w:sz w:val="20"/>
          <w:szCs w:val="20"/>
        </w:rPr>
      </w:pPr>
      <w:r w:rsidRPr="005B12AE">
        <w:rPr>
          <w:rFonts w:ascii="Times New Roman" w:hAnsi="Times New Roman"/>
          <w:b/>
          <w:bCs/>
          <w:sz w:val="20"/>
          <w:szCs w:val="20"/>
        </w:rPr>
        <w:t>RESTATED STATEMENT OF OTHER CURRENT ASSETS</w:t>
      </w:r>
    </w:p>
    <w:p w14:paraId="667CA082" w14:textId="77777777" w:rsidR="005B5953" w:rsidRPr="005B12AE" w:rsidRDefault="005B5953" w:rsidP="005B5953">
      <w:pPr>
        <w:spacing w:after="0"/>
        <w:ind w:left="270" w:hanging="270"/>
        <w:jc w:val="center"/>
        <w:rPr>
          <w:rFonts w:ascii="Times New Roman" w:hAnsi="Times New Roman"/>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0"/>
        <w:gridCol w:w="1932"/>
        <w:gridCol w:w="1932"/>
        <w:gridCol w:w="1472"/>
      </w:tblGrid>
      <w:tr w:rsidR="005B5953" w:rsidRPr="005B12AE" w14:paraId="0EF0CC5A" w14:textId="77777777" w:rsidTr="00250DAC">
        <w:trPr>
          <w:trHeight w:val="20"/>
        </w:trPr>
        <w:tc>
          <w:tcPr>
            <w:tcW w:w="2448" w:type="pct"/>
            <w:vMerge w:val="restart"/>
            <w:shd w:val="clear" w:color="auto" w:fill="D0CECE" w:themeFill="background2" w:themeFillShade="E6"/>
            <w:noWrap/>
            <w:vAlign w:val="center"/>
            <w:hideMark/>
          </w:tcPr>
          <w:p w14:paraId="56267A76"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Particulars</w:t>
            </w:r>
          </w:p>
        </w:tc>
        <w:tc>
          <w:tcPr>
            <w:tcW w:w="2552" w:type="pct"/>
            <w:gridSpan w:val="3"/>
            <w:shd w:val="clear" w:color="auto" w:fill="D0CECE" w:themeFill="background2" w:themeFillShade="E6"/>
            <w:noWrap/>
            <w:vAlign w:val="center"/>
            <w:hideMark/>
          </w:tcPr>
          <w:p w14:paraId="1D34D58A"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As at</w:t>
            </w:r>
          </w:p>
        </w:tc>
      </w:tr>
      <w:tr w:rsidR="005B5953" w:rsidRPr="005B12AE" w14:paraId="2720A944" w14:textId="77777777" w:rsidTr="00250DAC">
        <w:trPr>
          <w:trHeight w:val="20"/>
        </w:trPr>
        <w:tc>
          <w:tcPr>
            <w:tcW w:w="2448" w:type="pct"/>
            <w:vMerge/>
            <w:shd w:val="clear" w:color="auto" w:fill="D0CECE" w:themeFill="background2" w:themeFillShade="E6"/>
            <w:vAlign w:val="center"/>
            <w:hideMark/>
          </w:tcPr>
          <w:p w14:paraId="46DC5B88" w14:textId="77777777" w:rsidR="005B5953" w:rsidRPr="005B12AE" w:rsidRDefault="005B5953" w:rsidP="00250DAC">
            <w:pPr>
              <w:spacing w:after="0" w:line="240" w:lineRule="auto"/>
              <w:jc w:val="center"/>
              <w:rPr>
                <w:rFonts w:ascii="Times New Roman" w:hAnsi="Times New Roman"/>
                <w:b/>
                <w:bCs/>
                <w:sz w:val="20"/>
                <w:szCs w:val="20"/>
              </w:rPr>
            </w:pPr>
          </w:p>
        </w:tc>
        <w:tc>
          <w:tcPr>
            <w:tcW w:w="924" w:type="pct"/>
            <w:shd w:val="clear" w:color="auto" w:fill="D0CECE" w:themeFill="background2" w:themeFillShade="E6"/>
            <w:noWrap/>
            <w:vAlign w:val="bottom"/>
            <w:hideMark/>
          </w:tcPr>
          <w:p w14:paraId="0EB04B26"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31/03/2023</w:t>
            </w:r>
          </w:p>
        </w:tc>
        <w:tc>
          <w:tcPr>
            <w:tcW w:w="924" w:type="pct"/>
            <w:shd w:val="clear" w:color="auto" w:fill="D0CECE" w:themeFill="background2" w:themeFillShade="E6"/>
            <w:noWrap/>
            <w:vAlign w:val="bottom"/>
            <w:hideMark/>
          </w:tcPr>
          <w:p w14:paraId="1C3FA30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31/03/2022</w:t>
            </w:r>
          </w:p>
        </w:tc>
        <w:tc>
          <w:tcPr>
            <w:tcW w:w="704" w:type="pct"/>
            <w:shd w:val="clear" w:color="auto" w:fill="D0CECE" w:themeFill="background2" w:themeFillShade="E6"/>
            <w:noWrap/>
            <w:vAlign w:val="bottom"/>
            <w:hideMark/>
          </w:tcPr>
          <w:p w14:paraId="505D5207"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31/03/2021</w:t>
            </w:r>
          </w:p>
        </w:tc>
      </w:tr>
      <w:tr w:rsidR="005B5953" w:rsidRPr="005B12AE" w14:paraId="7ED0639E" w14:textId="77777777" w:rsidTr="00250DAC">
        <w:trPr>
          <w:trHeight w:val="20"/>
        </w:trPr>
        <w:tc>
          <w:tcPr>
            <w:tcW w:w="2448" w:type="pct"/>
            <w:shd w:val="clear" w:color="auto" w:fill="auto"/>
            <w:noWrap/>
            <w:vAlign w:val="bottom"/>
            <w:hideMark/>
          </w:tcPr>
          <w:p w14:paraId="2B0A5D90"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TDS Receivable</w:t>
            </w:r>
          </w:p>
        </w:tc>
        <w:tc>
          <w:tcPr>
            <w:tcW w:w="924" w:type="pct"/>
            <w:shd w:val="clear" w:color="auto" w:fill="auto"/>
            <w:noWrap/>
            <w:vAlign w:val="bottom"/>
            <w:hideMark/>
          </w:tcPr>
          <w:p w14:paraId="47B4183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924" w:type="pct"/>
            <w:shd w:val="clear" w:color="auto" w:fill="auto"/>
            <w:noWrap/>
            <w:vAlign w:val="bottom"/>
            <w:hideMark/>
          </w:tcPr>
          <w:p w14:paraId="63117A4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12.63</w:t>
            </w:r>
          </w:p>
        </w:tc>
        <w:tc>
          <w:tcPr>
            <w:tcW w:w="704" w:type="pct"/>
            <w:shd w:val="clear" w:color="auto" w:fill="auto"/>
            <w:noWrap/>
            <w:vAlign w:val="bottom"/>
            <w:hideMark/>
          </w:tcPr>
          <w:p w14:paraId="308BD0A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333341DB" w14:textId="77777777" w:rsidTr="00250DAC">
        <w:trPr>
          <w:trHeight w:val="20"/>
        </w:trPr>
        <w:tc>
          <w:tcPr>
            <w:tcW w:w="2448" w:type="pct"/>
            <w:shd w:val="clear" w:color="auto" w:fill="auto"/>
            <w:noWrap/>
            <w:vAlign w:val="bottom"/>
            <w:hideMark/>
          </w:tcPr>
          <w:p w14:paraId="1B8A9325"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Interest Receivable from GEB</w:t>
            </w:r>
          </w:p>
        </w:tc>
        <w:tc>
          <w:tcPr>
            <w:tcW w:w="924" w:type="pct"/>
            <w:shd w:val="clear" w:color="auto" w:fill="auto"/>
            <w:noWrap/>
            <w:vAlign w:val="bottom"/>
            <w:hideMark/>
          </w:tcPr>
          <w:p w14:paraId="2E3BB7E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1.03</w:t>
            </w:r>
          </w:p>
        </w:tc>
        <w:tc>
          <w:tcPr>
            <w:tcW w:w="924" w:type="pct"/>
            <w:shd w:val="clear" w:color="auto" w:fill="auto"/>
            <w:noWrap/>
            <w:vAlign w:val="bottom"/>
            <w:hideMark/>
          </w:tcPr>
          <w:p w14:paraId="440ADB0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0.78</w:t>
            </w:r>
          </w:p>
        </w:tc>
        <w:tc>
          <w:tcPr>
            <w:tcW w:w="704" w:type="pct"/>
            <w:shd w:val="clear" w:color="auto" w:fill="auto"/>
            <w:noWrap/>
            <w:vAlign w:val="bottom"/>
            <w:hideMark/>
          </w:tcPr>
          <w:p w14:paraId="6F80972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0.76</w:t>
            </w:r>
          </w:p>
        </w:tc>
      </w:tr>
      <w:tr w:rsidR="005B5953" w:rsidRPr="005B12AE" w14:paraId="5056D4B2" w14:textId="77777777" w:rsidTr="00250DAC">
        <w:trPr>
          <w:trHeight w:val="20"/>
        </w:trPr>
        <w:tc>
          <w:tcPr>
            <w:tcW w:w="2448" w:type="pct"/>
            <w:shd w:val="clear" w:color="auto" w:fill="auto"/>
            <w:noWrap/>
            <w:vAlign w:val="bottom"/>
            <w:hideMark/>
          </w:tcPr>
          <w:p w14:paraId="5072391D"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GST receivable</w:t>
            </w:r>
          </w:p>
        </w:tc>
        <w:tc>
          <w:tcPr>
            <w:tcW w:w="924" w:type="pct"/>
            <w:shd w:val="clear" w:color="auto" w:fill="auto"/>
            <w:noWrap/>
            <w:vAlign w:val="bottom"/>
            <w:hideMark/>
          </w:tcPr>
          <w:p w14:paraId="4905DD1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89.51</w:t>
            </w:r>
          </w:p>
        </w:tc>
        <w:tc>
          <w:tcPr>
            <w:tcW w:w="924" w:type="pct"/>
            <w:shd w:val="clear" w:color="auto" w:fill="auto"/>
            <w:noWrap/>
            <w:vAlign w:val="bottom"/>
            <w:hideMark/>
          </w:tcPr>
          <w:p w14:paraId="0100514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04" w:type="pct"/>
            <w:shd w:val="clear" w:color="auto" w:fill="auto"/>
            <w:noWrap/>
            <w:vAlign w:val="bottom"/>
            <w:hideMark/>
          </w:tcPr>
          <w:p w14:paraId="043A6C3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128.18</w:t>
            </w:r>
          </w:p>
        </w:tc>
      </w:tr>
      <w:tr w:rsidR="005B5953" w:rsidRPr="005B12AE" w14:paraId="2EB23C3E" w14:textId="77777777" w:rsidTr="00250DAC">
        <w:trPr>
          <w:trHeight w:val="20"/>
        </w:trPr>
        <w:tc>
          <w:tcPr>
            <w:tcW w:w="2448" w:type="pct"/>
            <w:shd w:val="clear" w:color="auto" w:fill="auto"/>
            <w:noWrap/>
            <w:vAlign w:val="bottom"/>
            <w:hideMark/>
          </w:tcPr>
          <w:p w14:paraId="2E2A9E05"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IGST Refundable on Export</w:t>
            </w:r>
          </w:p>
        </w:tc>
        <w:tc>
          <w:tcPr>
            <w:tcW w:w="924" w:type="pct"/>
            <w:shd w:val="clear" w:color="auto" w:fill="auto"/>
            <w:noWrap/>
            <w:vAlign w:val="bottom"/>
            <w:hideMark/>
          </w:tcPr>
          <w:p w14:paraId="33FCE8E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351.06</w:t>
            </w:r>
          </w:p>
        </w:tc>
        <w:tc>
          <w:tcPr>
            <w:tcW w:w="924" w:type="pct"/>
            <w:shd w:val="clear" w:color="auto" w:fill="auto"/>
            <w:noWrap/>
            <w:vAlign w:val="bottom"/>
            <w:hideMark/>
          </w:tcPr>
          <w:p w14:paraId="087EC90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392.51</w:t>
            </w:r>
          </w:p>
        </w:tc>
        <w:tc>
          <w:tcPr>
            <w:tcW w:w="704" w:type="pct"/>
            <w:shd w:val="clear" w:color="auto" w:fill="auto"/>
            <w:noWrap/>
            <w:vAlign w:val="bottom"/>
            <w:hideMark/>
          </w:tcPr>
          <w:p w14:paraId="02F2910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355.41</w:t>
            </w:r>
          </w:p>
        </w:tc>
      </w:tr>
      <w:tr w:rsidR="005B5953" w:rsidRPr="005B12AE" w14:paraId="577898CA" w14:textId="77777777" w:rsidTr="00250DAC">
        <w:trPr>
          <w:trHeight w:val="20"/>
        </w:trPr>
        <w:tc>
          <w:tcPr>
            <w:tcW w:w="2448" w:type="pct"/>
            <w:shd w:val="clear" w:color="auto" w:fill="auto"/>
            <w:noWrap/>
            <w:vAlign w:val="bottom"/>
            <w:hideMark/>
          </w:tcPr>
          <w:p w14:paraId="06BDDEB0"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Duty Drawback receivable</w:t>
            </w:r>
          </w:p>
        </w:tc>
        <w:tc>
          <w:tcPr>
            <w:tcW w:w="924" w:type="pct"/>
            <w:shd w:val="clear" w:color="auto" w:fill="auto"/>
            <w:noWrap/>
            <w:vAlign w:val="bottom"/>
            <w:hideMark/>
          </w:tcPr>
          <w:p w14:paraId="3D14A6F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29.33</w:t>
            </w:r>
          </w:p>
        </w:tc>
        <w:tc>
          <w:tcPr>
            <w:tcW w:w="924" w:type="pct"/>
            <w:shd w:val="clear" w:color="auto" w:fill="auto"/>
            <w:noWrap/>
            <w:vAlign w:val="bottom"/>
            <w:hideMark/>
          </w:tcPr>
          <w:p w14:paraId="5C56C8F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04" w:type="pct"/>
            <w:shd w:val="clear" w:color="auto" w:fill="auto"/>
            <w:noWrap/>
            <w:vAlign w:val="bottom"/>
            <w:hideMark/>
          </w:tcPr>
          <w:p w14:paraId="0869A20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371CDDC5" w14:textId="77777777" w:rsidTr="00250DAC">
        <w:trPr>
          <w:trHeight w:val="20"/>
        </w:trPr>
        <w:tc>
          <w:tcPr>
            <w:tcW w:w="2448" w:type="pct"/>
            <w:shd w:val="clear" w:color="auto" w:fill="auto"/>
            <w:noWrap/>
            <w:vAlign w:val="bottom"/>
            <w:hideMark/>
          </w:tcPr>
          <w:p w14:paraId="488A5F77"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Madhuben Maheshwari</w:t>
            </w:r>
          </w:p>
        </w:tc>
        <w:tc>
          <w:tcPr>
            <w:tcW w:w="924" w:type="pct"/>
            <w:shd w:val="clear" w:color="auto" w:fill="auto"/>
            <w:noWrap/>
            <w:vAlign w:val="bottom"/>
            <w:hideMark/>
          </w:tcPr>
          <w:p w14:paraId="7F7D292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924" w:type="pct"/>
            <w:shd w:val="clear" w:color="auto" w:fill="auto"/>
            <w:noWrap/>
            <w:vAlign w:val="bottom"/>
            <w:hideMark/>
          </w:tcPr>
          <w:p w14:paraId="7FA09D9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15.10</w:t>
            </w:r>
          </w:p>
        </w:tc>
        <w:tc>
          <w:tcPr>
            <w:tcW w:w="704" w:type="pct"/>
            <w:shd w:val="clear" w:color="auto" w:fill="auto"/>
            <w:noWrap/>
            <w:vAlign w:val="bottom"/>
            <w:hideMark/>
          </w:tcPr>
          <w:p w14:paraId="4FCAEE1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4494A2DD" w14:textId="77777777" w:rsidTr="00250DAC">
        <w:trPr>
          <w:trHeight w:val="20"/>
        </w:trPr>
        <w:tc>
          <w:tcPr>
            <w:tcW w:w="2448" w:type="pct"/>
            <w:shd w:val="clear" w:color="auto" w:fill="auto"/>
            <w:noWrap/>
            <w:vAlign w:val="bottom"/>
            <w:hideMark/>
          </w:tcPr>
          <w:p w14:paraId="69749A3E"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Ramgopal Maheshwari </w:t>
            </w:r>
          </w:p>
        </w:tc>
        <w:tc>
          <w:tcPr>
            <w:tcW w:w="924" w:type="pct"/>
            <w:shd w:val="clear" w:color="auto" w:fill="auto"/>
            <w:noWrap/>
            <w:vAlign w:val="bottom"/>
            <w:hideMark/>
          </w:tcPr>
          <w:p w14:paraId="394E27E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924" w:type="pct"/>
            <w:shd w:val="clear" w:color="auto" w:fill="auto"/>
            <w:noWrap/>
            <w:vAlign w:val="bottom"/>
            <w:hideMark/>
          </w:tcPr>
          <w:p w14:paraId="065D613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9.53</w:t>
            </w:r>
          </w:p>
        </w:tc>
        <w:tc>
          <w:tcPr>
            <w:tcW w:w="704" w:type="pct"/>
            <w:shd w:val="clear" w:color="auto" w:fill="auto"/>
            <w:noWrap/>
            <w:vAlign w:val="bottom"/>
            <w:hideMark/>
          </w:tcPr>
          <w:p w14:paraId="47668F4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294459C2" w14:textId="77777777" w:rsidTr="00250DAC">
        <w:trPr>
          <w:trHeight w:val="20"/>
        </w:trPr>
        <w:tc>
          <w:tcPr>
            <w:tcW w:w="2448" w:type="pct"/>
            <w:shd w:val="clear" w:color="auto" w:fill="auto"/>
            <w:noWrap/>
            <w:vAlign w:val="bottom"/>
            <w:hideMark/>
          </w:tcPr>
          <w:p w14:paraId="1538D7F9"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Pushkar Raj Kabra</w:t>
            </w:r>
          </w:p>
        </w:tc>
        <w:tc>
          <w:tcPr>
            <w:tcW w:w="924" w:type="pct"/>
            <w:shd w:val="clear" w:color="auto" w:fill="auto"/>
            <w:noWrap/>
            <w:vAlign w:val="bottom"/>
            <w:hideMark/>
          </w:tcPr>
          <w:p w14:paraId="40C21D3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924" w:type="pct"/>
            <w:shd w:val="clear" w:color="auto" w:fill="auto"/>
            <w:noWrap/>
            <w:vAlign w:val="bottom"/>
            <w:hideMark/>
          </w:tcPr>
          <w:p w14:paraId="71E76B7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0.61</w:t>
            </w:r>
          </w:p>
        </w:tc>
        <w:tc>
          <w:tcPr>
            <w:tcW w:w="704" w:type="pct"/>
            <w:shd w:val="clear" w:color="auto" w:fill="auto"/>
            <w:noWrap/>
            <w:vAlign w:val="bottom"/>
            <w:hideMark/>
          </w:tcPr>
          <w:p w14:paraId="5612C60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04C4C133" w14:textId="77777777" w:rsidTr="00250DAC">
        <w:trPr>
          <w:trHeight w:val="20"/>
        </w:trPr>
        <w:tc>
          <w:tcPr>
            <w:tcW w:w="2448" w:type="pct"/>
            <w:shd w:val="clear" w:color="auto" w:fill="auto"/>
            <w:noWrap/>
            <w:vAlign w:val="bottom"/>
            <w:hideMark/>
          </w:tcPr>
          <w:p w14:paraId="3E341F13"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Total</w:t>
            </w:r>
          </w:p>
        </w:tc>
        <w:tc>
          <w:tcPr>
            <w:tcW w:w="924" w:type="pct"/>
            <w:shd w:val="clear" w:color="auto" w:fill="auto"/>
            <w:noWrap/>
            <w:vAlign w:val="bottom"/>
            <w:hideMark/>
          </w:tcPr>
          <w:p w14:paraId="7098ED3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470.93</w:t>
            </w:r>
          </w:p>
        </w:tc>
        <w:tc>
          <w:tcPr>
            <w:tcW w:w="924" w:type="pct"/>
            <w:shd w:val="clear" w:color="auto" w:fill="auto"/>
            <w:noWrap/>
            <w:vAlign w:val="bottom"/>
            <w:hideMark/>
          </w:tcPr>
          <w:p w14:paraId="35D09A70"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431.13</w:t>
            </w:r>
          </w:p>
        </w:tc>
        <w:tc>
          <w:tcPr>
            <w:tcW w:w="704" w:type="pct"/>
            <w:shd w:val="clear" w:color="auto" w:fill="auto"/>
            <w:noWrap/>
            <w:vAlign w:val="bottom"/>
            <w:hideMark/>
          </w:tcPr>
          <w:p w14:paraId="1EC19D85"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484.35</w:t>
            </w:r>
          </w:p>
        </w:tc>
      </w:tr>
    </w:tbl>
    <w:p w14:paraId="0B3478C1" w14:textId="77777777" w:rsidR="005B5953" w:rsidRPr="005B12AE" w:rsidRDefault="005B5953" w:rsidP="005B5953">
      <w:pPr>
        <w:spacing w:after="0"/>
        <w:ind w:left="270" w:hanging="270"/>
        <w:jc w:val="both"/>
        <w:rPr>
          <w:rFonts w:ascii="Times New Roman" w:hAnsi="Times New Roman"/>
          <w:sz w:val="20"/>
          <w:szCs w:val="20"/>
        </w:rPr>
      </w:pPr>
      <w:r w:rsidRPr="005B12AE">
        <w:rPr>
          <w:rFonts w:ascii="Times New Roman" w:hAnsi="Times New Roman"/>
          <w:sz w:val="20"/>
          <w:szCs w:val="20"/>
        </w:rPr>
        <w:t>1. The figures disclosed above are based on the restated summary statement of assets and liabilities of the Company.</w:t>
      </w:r>
    </w:p>
    <w:p w14:paraId="77093291" w14:textId="77777777" w:rsidR="005B5953" w:rsidRPr="005B12AE" w:rsidRDefault="005B5953" w:rsidP="005B5953">
      <w:pPr>
        <w:spacing w:after="0"/>
        <w:ind w:left="270" w:hanging="270"/>
        <w:jc w:val="center"/>
        <w:rPr>
          <w:rFonts w:ascii="Times New Roman" w:hAnsi="Times New Roman"/>
          <w:b/>
          <w:bCs/>
          <w:sz w:val="20"/>
          <w:szCs w:val="20"/>
        </w:rPr>
      </w:pPr>
    </w:p>
    <w:p w14:paraId="36E5D631" w14:textId="77777777" w:rsidR="005B5953" w:rsidRPr="005B12AE" w:rsidRDefault="005B5953" w:rsidP="005B5953">
      <w:pPr>
        <w:spacing w:after="0"/>
        <w:ind w:left="270" w:hanging="270"/>
        <w:jc w:val="center"/>
        <w:rPr>
          <w:rFonts w:ascii="Times New Roman" w:hAnsi="Times New Roman"/>
          <w:b/>
          <w:bCs/>
          <w:sz w:val="20"/>
          <w:szCs w:val="20"/>
        </w:rPr>
      </w:pPr>
      <w:r w:rsidRPr="005B12AE">
        <w:rPr>
          <w:rFonts w:ascii="Times New Roman" w:hAnsi="Times New Roman"/>
          <w:b/>
          <w:bCs/>
          <w:sz w:val="20"/>
          <w:szCs w:val="20"/>
        </w:rPr>
        <w:t>NOTE – N</w:t>
      </w:r>
    </w:p>
    <w:p w14:paraId="65482BD5" w14:textId="77777777" w:rsidR="005B5953" w:rsidRPr="005B12AE" w:rsidRDefault="005B5953" w:rsidP="005B5953">
      <w:pPr>
        <w:spacing w:after="0"/>
        <w:ind w:left="270" w:hanging="270"/>
        <w:jc w:val="center"/>
        <w:rPr>
          <w:rFonts w:ascii="Times New Roman" w:hAnsi="Times New Roman"/>
          <w:b/>
          <w:bCs/>
          <w:sz w:val="20"/>
          <w:szCs w:val="20"/>
        </w:rPr>
      </w:pPr>
      <w:r w:rsidRPr="005B12AE">
        <w:rPr>
          <w:rFonts w:ascii="Times New Roman" w:hAnsi="Times New Roman"/>
          <w:b/>
          <w:bCs/>
          <w:sz w:val="20"/>
          <w:szCs w:val="20"/>
        </w:rPr>
        <w:t>RESTATED STATEMENT OF REVENUE FROM OPERATIONS</w:t>
      </w:r>
    </w:p>
    <w:p w14:paraId="1CC67E25" w14:textId="77777777" w:rsidR="005B5953" w:rsidRPr="005B12AE" w:rsidRDefault="005B5953" w:rsidP="005B5953">
      <w:pPr>
        <w:spacing w:after="0"/>
        <w:jc w:val="right"/>
        <w:rPr>
          <w:rFonts w:ascii="Times New Roman" w:hAnsi="Times New Roman"/>
          <w:b/>
          <w:bCs/>
          <w:sz w:val="20"/>
          <w:szCs w:val="20"/>
        </w:rPr>
      </w:pPr>
      <w:r w:rsidRPr="005B12AE">
        <w:rPr>
          <w:rFonts w:ascii="Times New Roman" w:hAnsi="Times New Roman"/>
          <w:b/>
          <w:bCs/>
          <w:sz w:val="20"/>
          <w:szCs w:val="20"/>
        </w:rPr>
        <w:t>(₹ in Lakhs)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8"/>
        <w:gridCol w:w="1957"/>
        <w:gridCol w:w="1957"/>
        <w:gridCol w:w="1514"/>
      </w:tblGrid>
      <w:tr w:rsidR="005B5953" w:rsidRPr="005B12AE" w14:paraId="13A556DB" w14:textId="77777777" w:rsidTr="00250DAC">
        <w:trPr>
          <w:trHeight w:val="20"/>
        </w:trPr>
        <w:tc>
          <w:tcPr>
            <w:tcW w:w="2404" w:type="pct"/>
            <w:vMerge w:val="restart"/>
            <w:shd w:val="clear" w:color="auto" w:fill="D0CECE" w:themeFill="background2" w:themeFillShade="E6"/>
            <w:noWrap/>
            <w:vAlign w:val="center"/>
            <w:hideMark/>
          </w:tcPr>
          <w:p w14:paraId="05E21D46"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Particulars</w:t>
            </w:r>
          </w:p>
        </w:tc>
        <w:tc>
          <w:tcPr>
            <w:tcW w:w="2596" w:type="pct"/>
            <w:gridSpan w:val="3"/>
            <w:shd w:val="clear" w:color="auto" w:fill="D0CECE" w:themeFill="background2" w:themeFillShade="E6"/>
            <w:noWrap/>
            <w:vAlign w:val="center"/>
            <w:hideMark/>
          </w:tcPr>
          <w:p w14:paraId="4E89B303"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For the Year ended</w:t>
            </w:r>
          </w:p>
        </w:tc>
      </w:tr>
      <w:tr w:rsidR="005B5953" w:rsidRPr="005B12AE" w14:paraId="7865A1B0" w14:textId="77777777" w:rsidTr="00250DAC">
        <w:trPr>
          <w:trHeight w:val="20"/>
        </w:trPr>
        <w:tc>
          <w:tcPr>
            <w:tcW w:w="2404" w:type="pct"/>
            <w:vMerge/>
            <w:shd w:val="clear" w:color="auto" w:fill="D0CECE" w:themeFill="background2" w:themeFillShade="E6"/>
            <w:vAlign w:val="center"/>
            <w:hideMark/>
          </w:tcPr>
          <w:p w14:paraId="4901BE17" w14:textId="77777777" w:rsidR="005B5953" w:rsidRPr="005B12AE" w:rsidRDefault="005B5953" w:rsidP="00250DAC">
            <w:pPr>
              <w:spacing w:after="0" w:line="240" w:lineRule="auto"/>
              <w:rPr>
                <w:rFonts w:ascii="Times New Roman" w:hAnsi="Times New Roman"/>
                <w:b/>
                <w:bCs/>
                <w:sz w:val="20"/>
                <w:szCs w:val="20"/>
              </w:rPr>
            </w:pPr>
          </w:p>
        </w:tc>
        <w:tc>
          <w:tcPr>
            <w:tcW w:w="936" w:type="pct"/>
            <w:shd w:val="clear" w:color="auto" w:fill="D0CECE" w:themeFill="background2" w:themeFillShade="E6"/>
            <w:noWrap/>
            <w:vAlign w:val="bottom"/>
            <w:hideMark/>
          </w:tcPr>
          <w:p w14:paraId="62E64A7A"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31/03/2023</w:t>
            </w:r>
          </w:p>
        </w:tc>
        <w:tc>
          <w:tcPr>
            <w:tcW w:w="936" w:type="pct"/>
            <w:shd w:val="clear" w:color="auto" w:fill="D0CECE" w:themeFill="background2" w:themeFillShade="E6"/>
            <w:noWrap/>
            <w:vAlign w:val="bottom"/>
            <w:hideMark/>
          </w:tcPr>
          <w:p w14:paraId="37C40728"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31/03/2022</w:t>
            </w:r>
          </w:p>
        </w:tc>
        <w:tc>
          <w:tcPr>
            <w:tcW w:w="724" w:type="pct"/>
            <w:shd w:val="clear" w:color="auto" w:fill="D0CECE" w:themeFill="background2" w:themeFillShade="E6"/>
            <w:noWrap/>
            <w:vAlign w:val="bottom"/>
            <w:hideMark/>
          </w:tcPr>
          <w:p w14:paraId="7653656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31/03/2021</w:t>
            </w:r>
          </w:p>
        </w:tc>
      </w:tr>
      <w:tr w:rsidR="005B5953" w:rsidRPr="005B12AE" w14:paraId="4276A21A" w14:textId="77777777" w:rsidTr="00250DAC">
        <w:trPr>
          <w:trHeight w:val="20"/>
        </w:trPr>
        <w:tc>
          <w:tcPr>
            <w:tcW w:w="2404" w:type="pct"/>
            <w:shd w:val="clear" w:color="auto" w:fill="auto"/>
            <w:noWrap/>
            <w:vAlign w:val="bottom"/>
            <w:hideMark/>
          </w:tcPr>
          <w:p w14:paraId="6DF8E096"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Sale of products</w:t>
            </w:r>
          </w:p>
        </w:tc>
        <w:tc>
          <w:tcPr>
            <w:tcW w:w="936" w:type="pct"/>
            <w:shd w:val="clear" w:color="auto" w:fill="auto"/>
            <w:noWrap/>
            <w:vAlign w:val="bottom"/>
            <w:hideMark/>
          </w:tcPr>
          <w:p w14:paraId="7FCCB9D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49,287.35</w:t>
            </w:r>
          </w:p>
        </w:tc>
        <w:tc>
          <w:tcPr>
            <w:tcW w:w="936" w:type="pct"/>
            <w:shd w:val="clear" w:color="auto" w:fill="auto"/>
            <w:noWrap/>
            <w:vAlign w:val="bottom"/>
            <w:hideMark/>
          </w:tcPr>
          <w:p w14:paraId="6C03A90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42,323.27</w:t>
            </w:r>
          </w:p>
        </w:tc>
        <w:tc>
          <w:tcPr>
            <w:tcW w:w="724" w:type="pct"/>
            <w:shd w:val="clear" w:color="auto" w:fill="auto"/>
            <w:noWrap/>
            <w:vAlign w:val="bottom"/>
            <w:hideMark/>
          </w:tcPr>
          <w:p w14:paraId="6379607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13,867.05</w:t>
            </w:r>
          </w:p>
        </w:tc>
      </w:tr>
      <w:tr w:rsidR="005B5953" w:rsidRPr="005B12AE" w14:paraId="1BE202E8" w14:textId="77777777" w:rsidTr="00250DAC">
        <w:trPr>
          <w:trHeight w:val="20"/>
        </w:trPr>
        <w:tc>
          <w:tcPr>
            <w:tcW w:w="2404" w:type="pct"/>
            <w:shd w:val="clear" w:color="auto" w:fill="auto"/>
            <w:noWrap/>
            <w:vAlign w:val="bottom"/>
            <w:hideMark/>
          </w:tcPr>
          <w:p w14:paraId="5C35965C"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 xml:space="preserve">Total </w:t>
            </w:r>
          </w:p>
        </w:tc>
        <w:tc>
          <w:tcPr>
            <w:tcW w:w="936" w:type="pct"/>
            <w:shd w:val="clear" w:color="auto" w:fill="auto"/>
            <w:noWrap/>
            <w:vAlign w:val="bottom"/>
            <w:hideMark/>
          </w:tcPr>
          <w:p w14:paraId="0ED63C3D"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49,287.35</w:t>
            </w:r>
          </w:p>
        </w:tc>
        <w:tc>
          <w:tcPr>
            <w:tcW w:w="936" w:type="pct"/>
            <w:shd w:val="clear" w:color="auto" w:fill="auto"/>
            <w:noWrap/>
            <w:vAlign w:val="bottom"/>
            <w:hideMark/>
          </w:tcPr>
          <w:p w14:paraId="4BD1AA7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42,323.27</w:t>
            </w:r>
          </w:p>
        </w:tc>
        <w:tc>
          <w:tcPr>
            <w:tcW w:w="724" w:type="pct"/>
            <w:shd w:val="clear" w:color="auto" w:fill="auto"/>
            <w:noWrap/>
            <w:vAlign w:val="bottom"/>
            <w:hideMark/>
          </w:tcPr>
          <w:p w14:paraId="45850A1E"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13,867.05</w:t>
            </w:r>
          </w:p>
        </w:tc>
      </w:tr>
    </w:tbl>
    <w:p w14:paraId="4896483C" w14:textId="77777777" w:rsidR="005B5953" w:rsidRPr="005B12AE" w:rsidRDefault="005B5953" w:rsidP="005B5953">
      <w:pPr>
        <w:spacing w:after="0"/>
        <w:ind w:left="270" w:hanging="270"/>
        <w:jc w:val="center"/>
        <w:rPr>
          <w:rFonts w:ascii="Times New Roman" w:hAnsi="Times New Roman"/>
          <w:b/>
          <w:bCs/>
          <w:sz w:val="20"/>
          <w:szCs w:val="20"/>
        </w:rPr>
      </w:pPr>
    </w:p>
    <w:p w14:paraId="485E0A5A" w14:textId="77777777" w:rsidR="005B5953" w:rsidRPr="005B12AE" w:rsidRDefault="005B5953" w:rsidP="005B5953">
      <w:pPr>
        <w:spacing w:after="0"/>
        <w:ind w:left="270" w:hanging="270"/>
        <w:jc w:val="center"/>
        <w:rPr>
          <w:rFonts w:ascii="Times New Roman" w:hAnsi="Times New Roman"/>
          <w:b/>
          <w:bCs/>
          <w:sz w:val="20"/>
          <w:szCs w:val="20"/>
        </w:rPr>
      </w:pPr>
      <w:r w:rsidRPr="005B12AE">
        <w:rPr>
          <w:rFonts w:ascii="Times New Roman" w:hAnsi="Times New Roman"/>
          <w:b/>
          <w:bCs/>
          <w:sz w:val="20"/>
          <w:szCs w:val="20"/>
        </w:rPr>
        <w:t>NOTE – O</w:t>
      </w:r>
    </w:p>
    <w:p w14:paraId="104FC139" w14:textId="77777777" w:rsidR="005B5953" w:rsidRPr="005B12AE" w:rsidRDefault="005B5953" w:rsidP="005B5953">
      <w:pPr>
        <w:spacing w:after="0"/>
        <w:ind w:left="270" w:hanging="270"/>
        <w:jc w:val="center"/>
        <w:rPr>
          <w:rFonts w:ascii="Times New Roman" w:hAnsi="Times New Roman"/>
          <w:b/>
          <w:bCs/>
          <w:sz w:val="20"/>
          <w:szCs w:val="20"/>
        </w:rPr>
      </w:pPr>
      <w:r w:rsidRPr="005B12AE">
        <w:rPr>
          <w:rFonts w:ascii="Times New Roman" w:hAnsi="Times New Roman"/>
          <w:b/>
          <w:bCs/>
          <w:sz w:val="20"/>
          <w:szCs w:val="20"/>
        </w:rPr>
        <w:t>RESTATED STATEMENT OF OTHER INCOME</w:t>
      </w:r>
    </w:p>
    <w:p w14:paraId="5EB45EC7" w14:textId="77777777" w:rsidR="005B5953" w:rsidRPr="005B12AE" w:rsidRDefault="005B5953" w:rsidP="005B5953">
      <w:pPr>
        <w:spacing w:after="0"/>
        <w:jc w:val="right"/>
        <w:rPr>
          <w:rFonts w:ascii="Times New Roman" w:hAnsi="Times New Roman"/>
          <w:b/>
          <w:bCs/>
          <w:sz w:val="20"/>
          <w:szCs w:val="20"/>
        </w:rPr>
      </w:pPr>
      <w:r w:rsidRPr="005B12AE">
        <w:rPr>
          <w:rFonts w:ascii="Times New Roman" w:hAnsi="Times New Roman"/>
          <w:b/>
          <w:bCs/>
          <w:sz w:val="20"/>
          <w:szCs w:val="20"/>
        </w:rPr>
        <w:t>(₹ in Lakhs)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9"/>
        <w:gridCol w:w="1890"/>
        <w:gridCol w:w="1890"/>
        <w:gridCol w:w="1757"/>
      </w:tblGrid>
      <w:tr w:rsidR="005B5953" w:rsidRPr="005B12AE" w14:paraId="10FBC541" w14:textId="77777777" w:rsidTr="00250DAC">
        <w:trPr>
          <w:trHeight w:val="20"/>
          <w:tblHeader/>
        </w:trPr>
        <w:tc>
          <w:tcPr>
            <w:tcW w:w="2352" w:type="pct"/>
            <w:vMerge w:val="restart"/>
            <w:shd w:val="clear" w:color="auto" w:fill="D0CECE" w:themeFill="background2" w:themeFillShade="E6"/>
            <w:noWrap/>
            <w:vAlign w:val="center"/>
            <w:hideMark/>
          </w:tcPr>
          <w:p w14:paraId="48A4E58A"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Particulars</w:t>
            </w:r>
          </w:p>
        </w:tc>
        <w:tc>
          <w:tcPr>
            <w:tcW w:w="2648" w:type="pct"/>
            <w:gridSpan w:val="3"/>
            <w:shd w:val="clear" w:color="auto" w:fill="D0CECE" w:themeFill="background2" w:themeFillShade="E6"/>
            <w:noWrap/>
            <w:vAlign w:val="bottom"/>
            <w:hideMark/>
          </w:tcPr>
          <w:p w14:paraId="7906B286"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For the Year ended</w:t>
            </w:r>
          </w:p>
        </w:tc>
      </w:tr>
      <w:tr w:rsidR="005B5953" w:rsidRPr="005B12AE" w14:paraId="202CBB27" w14:textId="77777777" w:rsidTr="00250DAC">
        <w:trPr>
          <w:trHeight w:val="20"/>
          <w:tblHeader/>
        </w:trPr>
        <w:tc>
          <w:tcPr>
            <w:tcW w:w="2352" w:type="pct"/>
            <w:vMerge/>
            <w:shd w:val="clear" w:color="auto" w:fill="D0CECE" w:themeFill="background2" w:themeFillShade="E6"/>
            <w:vAlign w:val="center"/>
            <w:hideMark/>
          </w:tcPr>
          <w:p w14:paraId="25CB0AC8" w14:textId="77777777" w:rsidR="005B5953" w:rsidRPr="005B12AE" w:rsidRDefault="005B5953" w:rsidP="00250DAC">
            <w:pPr>
              <w:spacing w:after="0" w:line="240" w:lineRule="auto"/>
              <w:rPr>
                <w:rFonts w:ascii="Times New Roman" w:hAnsi="Times New Roman"/>
                <w:b/>
                <w:bCs/>
                <w:sz w:val="20"/>
                <w:szCs w:val="20"/>
              </w:rPr>
            </w:pPr>
          </w:p>
        </w:tc>
        <w:tc>
          <w:tcPr>
            <w:tcW w:w="904" w:type="pct"/>
            <w:shd w:val="clear" w:color="auto" w:fill="D0CECE" w:themeFill="background2" w:themeFillShade="E6"/>
            <w:noWrap/>
            <w:vAlign w:val="bottom"/>
            <w:hideMark/>
          </w:tcPr>
          <w:p w14:paraId="79696F06"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31/03/2023</w:t>
            </w:r>
          </w:p>
        </w:tc>
        <w:tc>
          <w:tcPr>
            <w:tcW w:w="904" w:type="pct"/>
            <w:shd w:val="clear" w:color="auto" w:fill="D0CECE" w:themeFill="background2" w:themeFillShade="E6"/>
            <w:noWrap/>
            <w:vAlign w:val="bottom"/>
            <w:hideMark/>
          </w:tcPr>
          <w:p w14:paraId="5CD5273F"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31/03/2022</w:t>
            </w:r>
          </w:p>
        </w:tc>
        <w:tc>
          <w:tcPr>
            <w:tcW w:w="840" w:type="pct"/>
            <w:shd w:val="clear" w:color="auto" w:fill="D0CECE" w:themeFill="background2" w:themeFillShade="E6"/>
            <w:noWrap/>
            <w:vAlign w:val="bottom"/>
            <w:hideMark/>
          </w:tcPr>
          <w:p w14:paraId="784F95A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31/03/2021</w:t>
            </w:r>
          </w:p>
        </w:tc>
      </w:tr>
      <w:tr w:rsidR="005B5953" w:rsidRPr="005B12AE" w14:paraId="09F34875" w14:textId="77777777" w:rsidTr="00250DAC">
        <w:trPr>
          <w:trHeight w:val="20"/>
        </w:trPr>
        <w:tc>
          <w:tcPr>
            <w:tcW w:w="2352" w:type="pct"/>
            <w:shd w:val="clear" w:color="auto" w:fill="auto"/>
            <w:noWrap/>
            <w:vAlign w:val="bottom"/>
            <w:hideMark/>
          </w:tcPr>
          <w:p w14:paraId="6F148355"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Related and Recurring Income:</w:t>
            </w:r>
          </w:p>
        </w:tc>
        <w:tc>
          <w:tcPr>
            <w:tcW w:w="904" w:type="pct"/>
            <w:shd w:val="clear" w:color="auto" w:fill="auto"/>
            <w:noWrap/>
            <w:vAlign w:val="bottom"/>
            <w:hideMark/>
          </w:tcPr>
          <w:p w14:paraId="00FF4E9E" w14:textId="77777777" w:rsidR="005B5953" w:rsidRPr="005B12AE" w:rsidRDefault="005B5953" w:rsidP="00250DAC">
            <w:pPr>
              <w:spacing w:after="0" w:line="240" w:lineRule="auto"/>
              <w:jc w:val="center"/>
              <w:rPr>
                <w:rFonts w:ascii="Times New Roman" w:hAnsi="Times New Roman"/>
                <w:b/>
                <w:bCs/>
                <w:sz w:val="20"/>
                <w:szCs w:val="20"/>
              </w:rPr>
            </w:pPr>
          </w:p>
        </w:tc>
        <w:tc>
          <w:tcPr>
            <w:tcW w:w="904" w:type="pct"/>
            <w:shd w:val="clear" w:color="auto" w:fill="auto"/>
            <w:noWrap/>
            <w:vAlign w:val="bottom"/>
            <w:hideMark/>
          </w:tcPr>
          <w:p w14:paraId="5D77A4E4" w14:textId="77777777" w:rsidR="005B5953" w:rsidRPr="005B12AE" w:rsidRDefault="005B5953" w:rsidP="00250DAC">
            <w:pPr>
              <w:spacing w:after="0" w:line="240" w:lineRule="auto"/>
              <w:jc w:val="center"/>
              <w:rPr>
                <w:rFonts w:ascii="Times New Roman" w:hAnsi="Times New Roman"/>
                <w:sz w:val="20"/>
                <w:szCs w:val="20"/>
              </w:rPr>
            </w:pPr>
          </w:p>
        </w:tc>
        <w:tc>
          <w:tcPr>
            <w:tcW w:w="840" w:type="pct"/>
            <w:shd w:val="clear" w:color="auto" w:fill="auto"/>
            <w:noWrap/>
            <w:vAlign w:val="bottom"/>
            <w:hideMark/>
          </w:tcPr>
          <w:p w14:paraId="51FDA016"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2C9D2CEC" w14:textId="77777777" w:rsidTr="00250DAC">
        <w:trPr>
          <w:trHeight w:val="20"/>
        </w:trPr>
        <w:tc>
          <w:tcPr>
            <w:tcW w:w="2352" w:type="pct"/>
            <w:shd w:val="clear" w:color="auto" w:fill="auto"/>
            <w:noWrap/>
            <w:vAlign w:val="bottom"/>
            <w:hideMark/>
          </w:tcPr>
          <w:p w14:paraId="552F6986"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Currency Rate Difference</w:t>
            </w:r>
          </w:p>
        </w:tc>
        <w:tc>
          <w:tcPr>
            <w:tcW w:w="904" w:type="pct"/>
            <w:shd w:val="clear" w:color="auto" w:fill="auto"/>
            <w:noWrap/>
            <w:vAlign w:val="bottom"/>
            <w:hideMark/>
          </w:tcPr>
          <w:p w14:paraId="16F01C4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220.53</w:t>
            </w:r>
          </w:p>
        </w:tc>
        <w:tc>
          <w:tcPr>
            <w:tcW w:w="904" w:type="pct"/>
            <w:shd w:val="clear" w:color="auto" w:fill="auto"/>
            <w:noWrap/>
            <w:vAlign w:val="bottom"/>
            <w:hideMark/>
          </w:tcPr>
          <w:p w14:paraId="1479F7D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220.82</w:t>
            </w:r>
          </w:p>
        </w:tc>
        <w:tc>
          <w:tcPr>
            <w:tcW w:w="840" w:type="pct"/>
            <w:shd w:val="clear" w:color="auto" w:fill="auto"/>
            <w:noWrap/>
            <w:vAlign w:val="bottom"/>
            <w:hideMark/>
          </w:tcPr>
          <w:p w14:paraId="2626768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23.22</w:t>
            </w:r>
          </w:p>
        </w:tc>
      </w:tr>
      <w:tr w:rsidR="005B5953" w:rsidRPr="005B12AE" w14:paraId="72314969" w14:textId="77777777" w:rsidTr="00250DAC">
        <w:trPr>
          <w:trHeight w:val="20"/>
        </w:trPr>
        <w:tc>
          <w:tcPr>
            <w:tcW w:w="2352" w:type="pct"/>
            <w:shd w:val="clear" w:color="auto" w:fill="auto"/>
            <w:noWrap/>
            <w:vAlign w:val="bottom"/>
            <w:hideMark/>
          </w:tcPr>
          <w:p w14:paraId="24D12F74"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904" w:type="pct"/>
            <w:shd w:val="clear" w:color="auto" w:fill="auto"/>
            <w:noWrap/>
            <w:vAlign w:val="bottom"/>
            <w:hideMark/>
          </w:tcPr>
          <w:p w14:paraId="08164731" w14:textId="77777777" w:rsidR="005B5953" w:rsidRPr="005B12AE" w:rsidRDefault="005B5953" w:rsidP="00250DAC">
            <w:pPr>
              <w:spacing w:after="0" w:line="240" w:lineRule="auto"/>
              <w:jc w:val="center"/>
              <w:rPr>
                <w:rFonts w:ascii="Times New Roman" w:hAnsi="Times New Roman"/>
                <w:sz w:val="20"/>
                <w:szCs w:val="20"/>
              </w:rPr>
            </w:pPr>
          </w:p>
        </w:tc>
        <w:tc>
          <w:tcPr>
            <w:tcW w:w="904" w:type="pct"/>
            <w:shd w:val="clear" w:color="auto" w:fill="auto"/>
            <w:noWrap/>
            <w:vAlign w:val="bottom"/>
            <w:hideMark/>
          </w:tcPr>
          <w:p w14:paraId="59B5D24E" w14:textId="77777777" w:rsidR="005B5953" w:rsidRPr="005B12AE" w:rsidRDefault="005B5953" w:rsidP="00250DAC">
            <w:pPr>
              <w:spacing w:after="0" w:line="240" w:lineRule="auto"/>
              <w:jc w:val="center"/>
              <w:rPr>
                <w:rFonts w:ascii="Times New Roman" w:hAnsi="Times New Roman"/>
                <w:sz w:val="20"/>
                <w:szCs w:val="20"/>
              </w:rPr>
            </w:pPr>
          </w:p>
        </w:tc>
        <w:tc>
          <w:tcPr>
            <w:tcW w:w="840" w:type="pct"/>
            <w:shd w:val="clear" w:color="auto" w:fill="auto"/>
            <w:noWrap/>
            <w:vAlign w:val="bottom"/>
            <w:hideMark/>
          </w:tcPr>
          <w:p w14:paraId="2F51DA52"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4E882D82" w14:textId="77777777" w:rsidTr="00250DAC">
        <w:trPr>
          <w:trHeight w:val="20"/>
        </w:trPr>
        <w:tc>
          <w:tcPr>
            <w:tcW w:w="2352" w:type="pct"/>
            <w:shd w:val="clear" w:color="auto" w:fill="auto"/>
            <w:noWrap/>
            <w:vAlign w:val="bottom"/>
            <w:hideMark/>
          </w:tcPr>
          <w:p w14:paraId="67DA483D"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Related and Non-Recurring Income:</w:t>
            </w:r>
          </w:p>
        </w:tc>
        <w:tc>
          <w:tcPr>
            <w:tcW w:w="904" w:type="pct"/>
            <w:shd w:val="clear" w:color="auto" w:fill="auto"/>
            <w:noWrap/>
            <w:vAlign w:val="bottom"/>
            <w:hideMark/>
          </w:tcPr>
          <w:p w14:paraId="3C12392E" w14:textId="77777777" w:rsidR="005B5953" w:rsidRPr="005B12AE" w:rsidRDefault="005B5953" w:rsidP="00250DAC">
            <w:pPr>
              <w:spacing w:after="0" w:line="240" w:lineRule="auto"/>
              <w:jc w:val="center"/>
              <w:rPr>
                <w:rFonts w:ascii="Times New Roman" w:hAnsi="Times New Roman"/>
                <w:b/>
                <w:bCs/>
                <w:sz w:val="20"/>
                <w:szCs w:val="20"/>
              </w:rPr>
            </w:pPr>
          </w:p>
        </w:tc>
        <w:tc>
          <w:tcPr>
            <w:tcW w:w="904" w:type="pct"/>
            <w:shd w:val="clear" w:color="auto" w:fill="auto"/>
            <w:noWrap/>
            <w:vAlign w:val="bottom"/>
            <w:hideMark/>
          </w:tcPr>
          <w:p w14:paraId="22287E91" w14:textId="77777777" w:rsidR="005B5953" w:rsidRPr="005B12AE" w:rsidRDefault="005B5953" w:rsidP="00250DAC">
            <w:pPr>
              <w:spacing w:after="0" w:line="240" w:lineRule="auto"/>
              <w:jc w:val="center"/>
              <w:rPr>
                <w:rFonts w:ascii="Times New Roman" w:hAnsi="Times New Roman"/>
                <w:sz w:val="20"/>
                <w:szCs w:val="20"/>
              </w:rPr>
            </w:pPr>
          </w:p>
        </w:tc>
        <w:tc>
          <w:tcPr>
            <w:tcW w:w="840" w:type="pct"/>
            <w:shd w:val="clear" w:color="auto" w:fill="auto"/>
            <w:noWrap/>
            <w:vAlign w:val="bottom"/>
            <w:hideMark/>
          </w:tcPr>
          <w:p w14:paraId="068C46E3"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186A76AC" w14:textId="77777777" w:rsidTr="00250DAC">
        <w:trPr>
          <w:trHeight w:val="20"/>
        </w:trPr>
        <w:tc>
          <w:tcPr>
            <w:tcW w:w="2352" w:type="pct"/>
            <w:shd w:val="clear" w:color="auto" w:fill="auto"/>
            <w:noWrap/>
            <w:vAlign w:val="bottom"/>
            <w:hideMark/>
          </w:tcPr>
          <w:p w14:paraId="5946B329"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Freight on Sales</w:t>
            </w:r>
          </w:p>
        </w:tc>
        <w:tc>
          <w:tcPr>
            <w:tcW w:w="904" w:type="pct"/>
            <w:shd w:val="clear" w:color="auto" w:fill="auto"/>
            <w:noWrap/>
            <w:vAlign w:val="bottom"/>
            <w:hideMark/>
          </w:tcPr>
          <w:p w14:paraId="08540B0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10.52</w:t>
            </w:r>
          </w:p>
        </w:tc>
        <w:tc>
          <w:tcPr>
            <w:tcW w:w="904" w:type="pct"/>
            <w:shd w:val="clear" w:color="auto" w:fill="auto"/>
            <w:noWrap/>
            <w:vAlign w:val="bottom"/>
            <w:hideMark/>
          </w:tcPr>
          <w:p w14:paraId="1B38E5C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0.25</w:t>
            </w:r>
          </w:p>
        </w:tc>
        <w:tc>
          <w:tcPr>
            <w:tcW w:w="840" w:type="pct"/>
            <w:shd w:val="clear" w:color="auto" w:fill="auto"/>
            <w:noWrap/>
            <w:vAlign w:val="bottom"/>
            <w:hideMark/>
          </w:tcPr>
          <w:p w14:paraId="70D437B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11.48</w:t>
            </w:r>
          </w:p>
        </w:tc>
      </w:tr>
      <w:tr w:rsidR="005B5953" w:rsidRPr="005B12AE" w14:paraId="1A7C728C" w14:textId="77777777" w:rsidTr="00250DAC">
        <w:trPr>
          <w:trHeight w:val="20"/>
        </w:trPr>
        <w:tc>
          <w:tcPr>
            <w:tcW w:w="2352" w:type="pct"/>
            <w:shd w:val="clear" w:color="auto" w:fill="auto"/>
            <w:noWrap/>
            <w:vAlign w:val="bottom"/>
            <w:hideMark/>
          </w:tcPr>
          <w:p w14:paraId="47575C75"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904" w:type="pct"/>
            <w:shd w:val="clear" w:color="auto" w:fill="auto"/>
            <w:noWrap/>
            <w:vAlign w:val="bottom"/>
            <w:hideMark/>
          </w:tcPr>
          <w:p w14:paraId="7D82C247" w14:textId="77777777" w:rsidR="005B5953" w:rsidRPr="005B12AE" w:rsidRDefault="005B5953" w:rsidP="00250DAC">
            <w:pPr>
              <w:spacing w:after="0" w:line="240" w:lineRule="auto"/>
              <w:jc w:val="center"/>
              <w:rPr>
                <w:rFonts w:ascii="Times New Roman" w:hAnsi="Times New Roman"/>
                <w:sz w:val="20"/>
                <w:szCs w:val="20"/>
              </w:rPr>
            </w:pPr>
          </w:p>
        </w:tc>
        <w:tc>
          <w:tcPr>
            <w:tcW w:w="904" w:type="pct"/>
            <w:shd w:val="clear" w:color="auto" w:fill="auto"/>
            <w:noWrap/>
            <w:vAlign w:val="bottom"/>
            <w:hideMark/>
          </w:tcPr>
          <w:p w14:paraId="1C640C77" w14:textId="77777777" w:rsidR="005B5953" w:rsidRPr="005B12AE" w:rsidRDefault="005B5953" w:rsidP="00250DAC">
            <w:pPr>
              <w:spacing w:after="0" w:line="240" w:lineRule="auto"/>
              <w:jc w:val="center"/>
              <w:rPr>
                <w:rFonts w:ascii="Times New Roman" w:hAnsi="Times New Roman"/>
                <w:sz w:val="20"/>
                <w:szCs w:val="20"/>
              </w:rPr>
            </w:pPr>
          </w:p>
        </w:tc>
        <w:tc>
          <w:tcPr>
            <w:tcW w:w="840" w:type="pct"/>
            <w:shd w:val="clear" w:color="auto" w:fill="auto"/>
            <w:noWrap/>
            <w:vAlign w:val="bottom"/>
            <w:hideMark/>
          </w:tcPr>
          <w:p w14:paraId="453EEFA5"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48A90479" w14:textId="77777777" w:rsidTr="00250DAC">
        <w:trPr>
          <w:trHeight w:val="20"/>
        </w:trPr>
        <w:tc>
          <w:tcPr>
            <w:tcW w:w="2352" w:type="pct"/>
            <w:shd w:val="clear" w:color="auto" w:fill="auto"/>
            <w:noWrap/>
            <w:vAlign w:val="bottom"/>
            <w:hideMark/>
          </w:tcPr>
          <w:p w14:paraId="33432406"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Non-Related and Recurring Income:</w:t>
            </w:r>
          </w:p>
        </w:tc>
        <w:tc>
          <w:tcPr>
            <w:tcW w:w="904" w:type="pct"/>
            <w:shd w:val="clear" w:color="auto" w:fill="auto"/>
            <w:noWrap/>
            <w:vAlign w:val="bottom"/>
            <w:hideMark/>
          </w:tcPr>
          <w:p w14:paraId="31C9D8BE" w14:textId="77777777" w:rsidR="005B5953" w:rsidRPr="005B12AE" w:rsidRDefault="005B5953" w:rsidP="00250DAC">
            <w:pPr>
              <w:spacing w:after="0" w:line="240" w:lineRule="auto"/>
              <w:jc w:val="center"/>
              <w:rPr>
                <w:rFonts w:ascii="Times New Roman" w:hAnsi="Times New Roman"/>
                <w:b/>
                <w:bCs/>
                <w:sz w:val="20"/>
                <w:szCs w:val="20"/>
              </w:rPr>
            </w:pPr>
          </w:p>
        </w:tc>
        <w:tc>
          <w:tcPr>
            <w:tcW w:w="904" w:type="pct"/>
            <w:shd w:val="clear" w:color="auto" w:fill="auto"/>
            <w:noWrap/>
            <w:vAlign w:val="bottom"/>
            <w:hideMark/>
          </w:tcPr>
          <w:p w14:paraId="278CAD58" w14:textId="77777777" w:rsidR="005B5953" w:rsidRPr="005B12AE" w:rsidRDefault="005B5953" w:rsidP="00250DAC">
            <w:pPr>
              <w:spacing w:after="0" w:line="240" w:lineRule="auto"/>
              <w:jc w:val="center"/>
              <w:rPr>
                <w:rFonts w:ascii="Times New Roman" w:hAnsi="Times New Roman"/>
                <w:sz w:val="20"/>
                <w:szCs w:val="20"/>
              </w:rPr>
            </w:pPr>
          </w:p>
        </w:tc>
        <w:tc>
          <w:tcPr>
            <w:tcW w:w="840" w:type="pct"/>
            <w:shd w:val="clear" w:color="auto" w:fill="auto"/>
            <w:noWrap/>
            <w:vAlign w:val="bottom"/>
            <w:hideMark/>
          </w:tcPr>
          <w:p w14:paraId="5AE2C4E9"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5876E0E8" w14:textId="77777777" w:rsidTr="00250DAC">
        <w:trPr>
          <w:trHeight w:val="20"/>
        </w:trPr>
        <w:tc>
          <w:tcPr>
            <w:tcW w:w="2352" w:type="pct"/>
            <w:shd w:val="clear" w:color="auto" w:fill="auto"/>
            <w:noWrap/>
            <w:vAlign w:val="bottom"/>
            <w:hideMark/>
          </w:tcPr>
          <w:p w14:paraId="171D6A08"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Interest from Fixed Deposits</w:t>
            </w:r>
          </w:p>
        </w:tc>
        <w:tc>
          <w:tcPr>
            <w:tcW w:w="904" w:type="pct"/>
            <w:shd w:val="clear" w:color="auto" w:fill="auto"/>
            <w:noWrap/>
            <w:vAlign w:val="bottom"/>
            <w:hideMark/>
          </w:tcPr>
          <w:p w14:paraId="5E7960B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3.66</w:t>
            </w:r>
          </w:p>
        </w:tc>
        <w:tc>
          <w:tcPr>
            <w:tcW w:w="904" w:type="pct"/>
            <w:shd w:val="clear" w:color="auto" w:fill="auto"/>
            <w:noWrap/>
            <w:vAlign w:val="bottom"/>
            <w:hideMark/>
          </w:tcPr>
          <w:p w14:paraId="7181167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2.66</w:t>
            </w:r>
          </w:p>
        </w:tc>
        <w:tc>
          <w:tcPr>
            <w:tcW w:w="840" w:type="pct"/>
            <w:shd w:val="clear" w:color="auto" w:fill="auto"/>
            <w:noWrap/>
            <w:vAlign w:val="bottom"/>
            <w:hideMark/>
          </w:tcPr>
          <w:p w14:paraId="0047AAF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3.50</w:t>
            </w:r>
          </w:p>
        </w:tc>
      </w:tr>
      <w:tr w:rsidR="005B5953" w:rsidRPr="005B12AE" w14:paraId="7D28F483" w14:textId="77777777" w:rsidTr="00250DAC">
        <w:trPr>
          <w:trHeight w:val="20"/>
        </w:trPr>
        <w:tc>
          <w:tcPr>
            <w:tcW w:w="2352" w:type="pct"/>
            <w:shd w:val="clear" w:color="auto" w:fill="auto"/>
            <w:noWrap/>
            <w:vAlign w:val="bottom"/>
            <w:hideMark/>
          </w:tcPr>
          <w:p w14:paraId="639F04F0"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lastRenderedPageBreak/>
              <w:t>PGVCL Deposit Interest</w:t>
            </w:r>
          </w:p>
        </w:tc>
        <w:tc>
          <w:tcPr>
            <w:tcW w:w="904" w:type="pct"/>
            <w:shd w:val="clear" w:color="auto" w:fill="auto"/>
            <w:noWrap/>
            <w:vAlign w:val="bottom"/>
            <w:hideMark/>
          </w:tcPr>
          <w:p w14:paraId="668D5F8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1.15</w:t>
            </w:r>
          </w:p>
        </w:tc>
        <w:tc>
          <w:tcPr>
            <w:tcW w:w="904" w:type="pct"/>
            <w:shd w:val="clear" w:color="auto" w:fill="auto"/>
            <w:noWrap/>
            <w:vAlign w:val="bottom"/>
            <w:hideMark/>
          </w:tcPr>
          <w:p w14:paraId="5897816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0.86</w:t>
            </w:r>
          </w:p>
        </w:tc>
        <w:tc>
          <w:tcPr>
            <w:tcW w:w="840" w:type="pct"/>
            <w:shd w:val="clear" w:color="auto" w:fill="auto"/>
            <w:noWrap/>
            <w:vAlign w:val="bottom"/>
            <w:hideMark/>
          </w:tcPr>
          <w:p w14:paraId="474D57A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0.82</w:t>
            </w:r>
          </w:p>
        </w:tc>
      </w:tr>
      <w:tr w:rsidR="005B5953" w:rsidRPr="005B12AE" w14:paraId="2B522A76" w14:textId="77777777" w:rsidTr="00250DAC">
        <w:trPr>
          <w:trHeight w:val="20"/>
        </w:trPr>
        <w:tc>
          <w:tcPr>
            <w:tcW w:w="2352" w:type="pct"/>
            <w:shd w:val="clear" w:color="auto" w:fill="auto"/>
            <w:noWrap/>
            <w:vAlign w:val="bottom"/>
            <w:hideMark/>
          </w:tcPr>
          <w:p w14:paraId="27394B0A"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Interest on Gujrat Gas Deposit</w:t>
            </w:r>
          </w:p>
        </w:tc>
        <w:tc>
          <w:tcPr>
            <w:tcW w:w="904" w:type="pct"/>
            <w:shd w:val="clear" w:color="auto" w:fill="auto"/>
            <w:noWrap/>
            <w:vAlign w:val="bottom"/>
            <w:hideMark/>
          </w:tcPr>
          <w:p w14:paraId="5C00857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0.39</w:t>
            </w:r>
          </w:p>
        </w:tc>
        <w:tc>
          <w:tcPr>
            <w:tcW w:w="904" w:type="pct"/>
            <w:shd w:val="clear" w:color="auto" w:fill="auto"/>
            <w:noWrap/>
            <w:vAlign w:val="bottom"/>
            <w:hideMark/>
          </w:tcPr>
          <w:p w14:paraId="1B0C0C7B" w14:textId="77777777" w:rsidR="005B5953" w:rsidRPr="005B12AE" w:rsidRDefault="005B5953" w:rsidP="00250DAC">
            <w:pPr>
              <w:spacing w:after="0" w:line="240" w:lineRule="auto"/>
              <w:jc w:val="center"/>
              <w:rPr>
                <w:rFonts w:ascii="Times New Roman" w:hAnsi="Times New Roman"/>
                <w:sz w:val="20"/>
                <w:szCs w:val="20"/>
              </w:rPr>
            </w:pPr>
          </w:p>
        </w:tc>
        <w:tc>
          <w:tcPr>
            <w:tcW w:w="840" w:type="pct"/>
            <w:shd w:val="clear" w:color="auto" w:fill="auto"/>
            <w:noWrap/>
            <w:vAlign w:val="bottom"/>
            <w:hideMark/>
          </w:tcPr>
          <w:p w14:paraId="384788A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0.09</w:t>
            </w:r>
          </w:p>
        </w:tc>
      </w:tr>
      <w:tr w:rsidR="005B5953" w:rsidRPr="005B12AE" w14:paraId="47F89FBE" w14:textId="77777777" w:rsidTr="00250DAC">
        <w:trPr>
          <w:trHeight w:val="20"/>
        </w:trPr>
        <w:tc>
          <w:tcPr>
            <w:tcW w:w="2352" w:type="pct"/>
            <w:shd w:val="clear" w:color="auto" w:fill="auto"/>
            <w:noWrap/>
            <w:vAlign w:val="bottom"/>
            <w:hideMark/>
          </w:tcPr>
          <w:p w14:paraId="0A33C8C3"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License Sale income</w:t>
            </w:r>
          </w:p>
        </w:tc>
        <w:tc>
          <w:tcPr>
            <w:tcW w:w="904" w:type="pct"/>
            <w:shd w:val="clear" w:color="auto" w:fill="auto"/>
            <w:noWrap/>
            <w:vAlign w:val="bottom"/>
            <w:hideMark/>
          </w:tcPr>
          <w:p w14:paraId="7FA996C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904" w:type="pct"/>
            <w:shd w:val="clear" w:color="auto" w:fill="auto"/>
            <w:noWrap/>
            <w:vAlign w:val="bottom"/>
            <w:hideMark/>
          </w:tcPr>
          <w:p w14:paraId="280A94D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40" w:type="pct"/>
            <w:shd w:val="clear" w:color="auto" w:fill="auto"/>
            <w:noWrap/>
            <w:vAlign w:val="bottom"/>
            <w:hideMark/>
          </w:tcPr>
          <w:p w14:paraId="38FC73F0"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4B0CC2D9" w14:textId="77777777" w:rsidTr="00250DAC">
        <w:trPr>
          <w:trHeight w:val="20"/>
        </w:trPr>
        <w:tc>
          <w:tcPr>
            <w:tcW w:w="2352" w:type="pct"/>
            <w:shd w:val="clear" w:color="auto" w:fill="auto"/>
            <w:noWrap/>
            <w:vAlign w:val="bottom"/>
            <w:hideMark/>
          </w:tcPr>
          <w:p w14:paraId="281528E5"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Duty Drawback Received</w:t>
            </w:r>
          </w:p>
        </w:tc>
        <w:tc>
          <w:tcPr>
            <w:tcW w:w="904" w:type="pct"/>
            <w:shd w:val="clear" w:color="auto" w:fill="auto"/>
            <w:noWrap/>
            <w:vAlign w:val="bottom"/>
            <w:hideMark/>
          </w:tcPr>
          <w:p w14:paraId="4ECEB01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261.60</w:t>
            </w:r>
          </w:p>
        </w:tc>
        <w:tc>
          <w:tcPr>
            <w:tcW w:w="904" w:type="pct"/>
            <w:shd w:val="clear" w:color="auto" w:fill="auto"/>
            <w:noWrap/>
            <w:vAlign w:val="bottom"/>
            <w:hideMark/>
          </w:tcPr>
          <w:p w14:paraId="6A46F09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96.36</w:t>
            </w:r>
          </w:p>
        </w:tc>
        <w:tc>
          <w:tcPr>
            <w:tcW w:w="840" w:type="pct"/>
            <w:shd w:val="clear" w:color="auto" w:fill="auto"/>
            <w:noWrap/>
            <w:vAlign w:val="bottom"/>
            <w:hideMark/>
          </w:tcPr>
          <w:p w14:paraId="3E89E46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28.94</w:t>
            </w:r>
          </w:p>
        </w:tc>
      </w:tr>
      <w:tr w:rsidR="005B5953" w:rsidRPr="005B12AE" w14:paraId="64B91A6A" w14:textId="77777777" w:rsidTr="00250DAC">
        <w:trPr>
          <w:trHeight w:val="20"/>
        </w:trPr>
        <w:tc>
          <w:tcPr>
            <w:tcW w:w="2352" w:type="pct"/>
            <w:shd w:val="clear" w:color="auto" w:fill="auto"/>
            <w:noWrap/>
            <w:vAlign w:val="bottom"/>
            <w:hideMark/>
          </w:tcPr>
          <w:p w14:paraId="439BE0D7"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Sundry Balance Written off</w:t>
            </w:r>
          </w:p>
        </w:tc>
        <w:tc>
          <w:tcPr>
            <w:tcW w:w="904" w:type="pct"/>
            <w:shd w:val="clear" w:color="auto" w:fill="auto"/>
            <w:noWrap/>
            <w:vAlign w:val="bottom"/>
            <w:hideMark/>
          </w:tcPr>
          <w:p w14:paraId="4E0D620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904" w:type="pct"/>
            <w:shd w:val="clear" w:color="auto" w:fill="auto"/>
            <w:noWrap/>
            <w:vAlign w:val="bottom"/>
            <w:hideMark/>
          </w:tcPr>
          <w:p w14:paraId="7277BE0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40" w:type="pct"/>
            <w:shd w:val="clear" w:color="auto" w:fill="auto"/>
            <w:noWrap/>
            <w:vAlign w:val="bottom"/>
            <w:hideMark/>
          </w:tcPr>
          <w:p w14:paraId="76C0FD0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31.39</w:t>
            </w:r>
          </w:p>
        </w:tc>
      </w:tr>
      <w:tr w:rsidR="005B5953" w:rsidRPr="005B12AE" w14:paraId="69DE6AC1" w14:textId="77777777" w:rsidTr="00250DAC">
        <w:trPr>
          <w:trHeight w:val="20"/>
        </w:trPr>
        <w:tc>
          <w:tcPr>
            <w:tcW w:w="2352" w:type="pct"/>
            <w:shd w:val="clear" w:color="auto" w:fill="auto"/>
            <w:noWrap/>
            <w:vAlign w:val="bottom"/>
            <w:hideMark/>
          </w:tcPr>
          <w:p w14:paraId="2C3738FD"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Non-Related and Non-Recurring Income:</w:t>
            </w:r>
          </w:p>
        </w:tc>
        <w:tc>
          <w:tcPr>
            <w:tcW w:w="904" w:type="pct"/>
            <w:shd w:val="clear" w:color="auto" w:fill="auto"/>
            <w:noWrap/>
            <w:vAlign w:val="bottom"/>
            <w:hideMark/>
          </w:tcPr>
          <w:p w14:paraId="5D920BA3" w14:textId="77777777" w:rsidR="005B5953" w:rsidRPr="005B12AE" w:rsidRDefault="005B5953" w:rsidP="00250DAC">
            <w:pPr>
              <w:spacing w:after="0" w:line="240" w:lineRule="auto"/>
              <w:jc w:val="center"/>
              <w:rPr>
                <w:rFonts w:ascii="Times New Roman" w:hAnsi="Times New Roman"/>
                <w:sz w:val="20"/>
                <w:szCs w:val="20"/>
              </w:rPr>
            </w:pPr>
          </w:p>
        </w:tc>
        <w:tc>
          <w:tcPr>
            <w:tcW w:w="904" w:type="pct"/>
            <w:shd w:val="clear" w:color="auto" w:fill="auto"/>
            <w:noWrap/>
            <w:vAlign w:val="bottom"/>
            <w:hideMark/>
          </w:tcPr>
          <w:p w14:paraId="46D5623A" w14:textId="77777777" w:rsidR="005B5953" w:rsidRPr="005B12AE" w:rsidRDefault="005B5953" w:rsidP="00250DAC">
            <w:pPr>
              <w:spacing w:after="0" w:line="240" w:lineRule="auto"/>
              <w:jc w:val="center"/>
              <w:rPr>
                <w:rFonts w:ascii="Times New Roman" w:hAnsi="Times New Roman"/>
                <w:sz w:val="20"/>
                <w:szCs w:val="20"/>
              </w:rPr>
            </w:pPr>
          </w:p>
        </w:tc>
        <w:tc>
          <w:tcPr>
            <w:tcW w:w="840" w:type="pct"/>
            <w:shd w:val="clear" w:color="auto" w:fill="auto"/>
            <w:noWrap/>
            <w:vAlign w:val="bottom"/>
            <w:hideMark/>
          </w:tcPr>
          <w:p w14:paraId="03262823"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729767E3" w14:textId="77777777" w:rsidTr="00250DAC">
        <w:trPr>
          <w:trHeight w:val="20"/>
        </w:trPr>
        <w:tc>
          <w:tcPr>
            <w:tcW w:w="2352" w:type="pct"/>
            <w:shd w:val="clear" w:color="auto" w:fill="auto"/>
            <w:noWrap/>
            <w:vAlign w:val="bottom"/>
            <w:hideMark/>
          </w:tcPr>
          <w:p w14:paraId="14B2561E"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Other Income</w:t>
            </w:r>
          </w:p>
        </w:tc>
        <w:tc>
          <w:tcPr>
            <w:tcW w:w="904" w:type="pct"/>
            <w:shd w:val="clear" w:color="auto" w:fill="auto"/>
            <w:noWrap/>
            <w:vAlign w:val="bottom"/>
            <w:hideMark/>
          </w:tcPr>
          <w:p w14:paraId="189E8BE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904" w:type="pct"/>
            <w:shd w:val="clear" w:color="auto" w:fill="auto"/>
            <w:noWrap/>
            <w:vAlign w:val="bottom"/>
            <w:hideMark/>
          </w:tcPr>
          <w:p w14:paraId="1568D51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40" w:type="pct"/>
            <w:shd w:val="clear" w:color="auto" w:fill="auto"/>
            <w:noWrap/>
            <w:vAlign w:val="bottom"/>
            <w:hideMark/>
          </w:tcPr>
          <w:p w14:paraId="71C3761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40FB082D" w14:textId="77777777" w:rsidTr="00250DAC">
        <w:trPr>
          <w:trHeight w:val="20"/>
        </w:trPr>
        <w:tc>
          <w:tcPr>
            <w:tcW w:w="2352" w:type="pct"/>
            <w:shd w:val="clear" w:color="auto" w:fill="auto"/>
            <w:noWrap/>
            <w:vAlign w:val="bottom"/>
            <w:hideMark/>
          </w:tcPr>
          <w:p w14:paraId="35796D92"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 xml:space="preserve">Sub Total (a) </w:t>
            </w:r>
          </w:p>
        </w:tc>
        <w:tc>
          <w:tcPr>
            <w:tcW w:w="904" w:type="pct"/>
            <w:shd w:val="clear" w:color="auto" w:fill="auto"/>
            <w:noWrap/>
            <w:vAlign w:val="bottom"/>
            <w:hideMark/>
          </w:tcPr>
          <w:p w14:paraId="0E6D487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497.85</w:t>
            </w:r>
          </w:p>
        </w:tc>
        <w:tc>
          <w:tcPr>
            <w:tcW w:w="904" w:type="pct"/>
            <w:shd w:val="clear" w:color="auto" w:fill="auto"/>
            <w:noWrap/>
            <w:vAlign w:val="bottom"/>
            <w:hideMark/>
          </w:tcPr>
          <w:p w14:paraId="1182C41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320.96</w:t>
            </w:r>
          </w:p>
        </w:tc>
        <w:tc>
          <w:tcPr>
            <w:tcW w:w="840" w:type="pct"/>
            <w:shd w:val="clear" w:color="auto" w:fill="auto"/>
            <w:noWrap/>
            <w:vAlign w:val="bottom"/>
            <w:hideMark/>
          </w:tcPr>
          <w:p w14:paraId="60A8A62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99.43</w:t>
            </w:r>
          </w:p>
        </w:tc>
      </w:tr>
      <w:tr w:rsidR="005B5953" w:rsidRPr="005B12AE" w14:paraId="0D2FBF71" w14:textId="77777777" w:rsidTr="00250DAC">
        <w:trPr>
          <w:trHeight w:val="20"/>
        </w:trPr>
        <w:tc>
          <w:tcPr>
            <w:tcW w:w="2352" w:type="pct"/>
            <w:shd w:val="clear" w:color="auto" w:fill="auto"/>
            <w:noWrap/>
            <w:vAlign w:val="bottom"/>
            <w:hideMark/>
          </w:tcPr>
          <w:p w14:paraId="7975704C"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 </w:t>
            </w:r>
          </w:p>
        </w:tc>
        <w:tc>
          <w:tcPr>
            <w:tcW w:w="904" w:type="pct"/>
            <w:shd w:val="clear" w:color="auto" w:fill="auto"/>
            <w:noWrap/>
            <w:vAlign w:val="bottom"/>
            <w:hideMark/>
          </w:tcPr>
          <w:p w14:paraId="29621E87" w14:textId="77777777" w:rsidR="005B5953" w:rsidRPr="005B12AE" w:rsidRDefault="005B5953" w:rsidP="00250DAC">
            <w:pPr>
              <w:spacing w:after="0" w:line="240" w:lineRule="auto"/>
              <w:jc w:val="center"/>
              <w:rPr>
                <w:rFonts w:ascii="Times New Roman" w:hAnsi="Times New Roman"/>
                <w:b/>
                <w:bCs/>
                <w:sz w:val="20"/>
                <w:szCs w:val="20"/>
              </w:rPr>
            </w:pPr>
          </w:p>
        </w:tc>
        <w:tc>
          <w:tcPr>
            <w:tcW w:w="904" w:type="pct"/>
            <w:shd w:val="clear" w:color="auto" w:fill="auto"/>
            <w:noWrap/>
            <w:vAlign w:val="bottom"/>
            <w:hideMark/>
          </w:tcPr>
          <w:p w14:paraId="3439F1E4" w14:textId="77777777" w:rsidR="005B5953" w:rsidRPr="005B12AE" w:rsidRDefault="005B5953" w:rsidP="00250DAC">
            <w:pPr>
              <w:spacing w:after="0" w:line="240" w:lineRule="auto"/>
              <w:jc w:val="center"/>
              <w:rPr>
                <w:rFonts w:ascii="Times New Roman" w:hAnsi="Times New Roman"/>
                <w:sz w:val="20"/>
                <w:szCs w:val="20"/>
              </w:rPr>
            </w:pPr>
          </w:p>
        </w:tc>
        <w:tc>
          <w:tcPr>
            <w:tcW w:w="840" w:type="pct"/>
            <w:shd w:val="clear" w:color="auto" w:fill="auto"/>
            <w:noWrap/>
            <w:vAlign w:val="bottom"/>
            <w:hideMark/>
          </w:tcPr>
          <w:p w14:paraId="2E01914B"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690DBAEF" w14:textId="77777777" w:rsidTr="00250DAC">
        <w:trPr>
          <w:trHeight w:val="20"/>
        </w:trPr>
        <w:tc>
          <w:tcPr>
            <w:tcW w:w="2352" w:type="pct"/>
            <w:shd w:val="clear" w:color="auto" w:fill="auto"/>
            <w:noWrap/>
            <w:vAlign w:val="bottom"/>
            <w:hideMark/>
          </w:tcPr>
          <w:p w14:paraId="7BD019AE"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Non-Related and Non-Recurring Income:</w:t>
            </w:r>
          </w:p>
        </w:tc>
        <w:tc>
          <w:tcPr>
            <w:tcW w:w="904" w:type="pct"/>
            <w:shd w:val="clear" w:color="auto" w:fill="auto"/>
            <w:noWrap/>
            <w:vAlign w:val="bottom"/>
            <w:hideMark/>
          </w:tcPr>
          <w:p w14:paraId="79761AEC" w14:textId="77777777" w:rsidR="005B5953" w:rsidRPr="005B12AE" w:rsidRDefault="005B5953" w:rsidP="00250DAC">
            <w:pPr>
              <w:spacing w:after="0" w:line="240" w:lineRule="auto"/>
              <w:jc w:val="center"/>
              <w:rPr>
                <w:rFonts w:ascii="Times New Roman" w:hAnsi="Times New Roman"/>
                <w:b/>
                <w:bCs/>
                <w:sz w:val="20"/>
                <w:szCs w:val="20"/>
              </w:rPr>
            </w:pPr>
          </w:p>
        </w:tc>
        <w:tc>
          <w:tcPr>
            <w:tcW w:w="904" w:type="pct"/>
            <w:shd w:val="clear" w:color="auto" w:fill="auto"/>
            <w:noWrap/>
            <w:vAlign w:val="bottom"/>
            <w:hideMark/>
          </w:tcPr>
          <w:p w14:paraId="42F3D389" w14:textId="77777777" w:rsidR="005B5953" w:rsidRPr="005B12AE" w:rsidRDefault="005B5953" w:rsidP="00250DAC">
            <w:pPr>
              <w:spacing w:after="0" w:line="240" w:lineRule="auto"/>
              <w:jc w:val="center"/>
              <w:rPr>
                <w:rFonts w:ascii="Times New Roman" w:hAnsi="Times New Roman"/>
                <w:sz w:val="20"/>
                <w:szCs w:val="20"/>
              </w:rPr>
            </w:pPr>
          </w:p>
        </w:tc>
        <w:tc>
          <w:tcPr>
            <w:tcW w:w="840" w:type="pct"/>
            <w:shd w:val="clear" w:color="auto" w:fill="auto"/>
            <w:noWrap/>
            <w:vAlign w:val="bottom"/>
            <w:hideMark/>
          </w:tcPr>
          <w:p w14:paraId="1F06F5BB"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0B20788F" w14:textId="77777777" w:rsidTr="00250DAC">
        <w:trPr>
          <w:trHeight w:val="20"/>
        </w:trPr>
        <w:tc>
          <w:tcPr>
            <w:tcW w:w="2352" w:type="pct"/>
            <w:shd w:val="clear" w:color="auto" w:fill="auto"/>
            <w:noWrap/>
            <w:vAlign w:val="bottom"/>
            <w:hideMark/>
          </w:tcPr>
          <w:p w14:paraId="4EC93EE9"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Sales tax deposit refund</w:t>
            </w:r>
          </w:p>
        </w:tc>
        <w:tc>
          <w:tcPr>
            <w:tcW w:w="904" w:type="pct"/>
            <w:shd w:val="clear" w:color="auto" w:fill="auto"/>
            <w:noWrap/>
            <w:vAlign w:val="bottom"/>
            <w:hideMark/>
          </w:tcPr>
          <w:p w14:paraId="197F538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904" w:type="pct"/>
            <w:shd w:val="clear" w:color="auto" w:fill="auto"/>
            <w:noWrap/>
            <w:vAlign w:val="bottom"/>
            <w:hideMark/>
          </w:tcPr>
          <w:p w14:paraId="44B5191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40" w:type="pct"/>
            <w:shd w:val="clear" w:color="auto" w:fill="auto"/>
            <w:noWrap/>
            <w:vAlign w:val="bottom"/>
            <w:hideMark/>
          </w:tcPr>
          <w:p w14:paraId="728FA10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6.45</w:t>
            </w:r>
          </w:p>
        </w:tc>
      </w:tr>
      <w:tr w:rsidR="005B5953" w:rsidRPr="005B12AE" w14:paraId="5196B150" w14:textId="77777777" w:rsidTr="00250DAC">
        <w:trPr>
          <w:trHeight w:val="20"/>
        </w:trPr>
        <w:tc>
          <w:tcPr>
            <w:tcW w:w="2352" w:type="pct"/>
            <w:shd w:val="clear" w:color="auto" w:fill="auto"/>
            <w:noWrap/>
            <w:vAlign w:val="bottom"/>
            <w:hideMark/>
          </w:tcPr>
          <w:p w14:paraId="77BDCDA7"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Profit on Sale of Fixed Assets</w:t>
            </w:r>
          </w:p>
        </w:tc>
        <w:tc>
          <w:tcPr>
            <w:tcW w:w="904" w:type="pct"/>
            <w:shd w:val="clear" w:color="auto" w:fill="auto"/>
            <w:noWrap/>
            <w:vAlign w:val="bottom"/>
            <w:hideMark/>
          </w:tcPr>
          <w:p w14:paraId="4787795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0.97</w:t>
            </w:r>
          </w:p>
        </w:tc>
        <w:tc>
          <w:tcPr>
            <w:tcW w:w="904" w:type="pct"/>
            <w:shd w:val="clear" w:color="auto" w:fill="auto"/>
            <w:noWrap/>
            <w:vAlign w:val="bottom"/>
            <w:hideMark/>
          </w:tcPr>
          <w:p w14:paraId="33474AF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40" w:type="pct"/>
            <w:shd w:val="clear" w:color="auto" w:fill="auto"/>
            <w:noWrap/>
            <w:vAlign w:val="bottom"/>
            <w:hideMark/>
          </w:tcPr>
          <w:p w14:paraId="5112997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6C1B3F42" w14:textId="77777777" w:rsidTr="00250DAC">
        <w:trPr>
          <w:trHeight w:val="20"/>
        </w:trPr>
        <w:tc>
          <w:tcPr>
            <w:tcW w:w="2352" w:type="pct"/>
            <w:shd w:val="clear" w:color="auto" w:fill="auto"/>
            <w:noWrap/>
            <w:vAlign w:val="bottom"/>
            <w:hideMark/>
          </w:tcPr>
          <w:p w14:paraId="1D1D3BA8"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Kasar Income</w:t>
            </w:r>
          </w:p>
        </w:tc>
        <w:tc>
          <w:tcPr>
            <w:tcW w:w="904" w:type="pct"/>
            <w:shd w:val="clear" w:color="auto" w:fill="auto"/>
            <w:noWrap/>
            <w:vAlign w:val="bottom"/>
            <w:hideMark/>
          </w:tcPr>
          <w:p w14:paraId="05865D9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0.09</w:t>
            </w:r>
          </w:p>
        </w:tc>
        <w:tc>
          <w:tcPr>
            <w:tcW w:w="904" w:type="pct"/>
            <w:shd w:val="clear" w:color="auto" w:fill="auto"/>
            <w:noWrap/>
            <w:vAlign w:val="bottom"/>
            <w:hideMark/>
          </w:tcPr>
          <w:p w14:paraId="0EC1679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0.12</w:t>
            </w:r>
          </w:p>
        </w:tc>
        <w:tc>
          <w:tcPr>
            <w:tcW w:w="840" w:type="pct"/>
            <w:shd w:val="clear" w:color="auto" w:fill="auto"/>
            <w:noWrap/>
            <w:vAlign w:val="bottom"/>
            <w:hideMark/>
          </w:tcPr>
          <w:p w14:paraId="2CAFB76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7295F144" w14:textId="77777777" w:rsidTr="00250DAC">
        <w:trPr>
          <w:trHeight w:val="20"/>
        </w:trPr>
        <w:tc>
          <w:tcPr>
            <w:tcW w:w="2352" w:type="pct"/>
            <w:shd w:val="clear" w:color="auto" w:fill="auto"/>
            <w:noWrap/>
            <w:vAlign w:val="bottom"/>
            <w:hideMark/>
          </w:tcPr>
          <w:p w14:paraId="6C56AF33"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Sub Total (b)</w:t>
            </w:r>
          </w:p>
        </w:tc>
        <w:tc>
          <w:tcPr>
            <w:tcW w:w="904" w:type="pct"/>
            <w:shd w:val="clear" w:color="auto" w:fill="auto"/>
            <w:noWrap/>
            <w:vAlign w:val="bottom"/>
            <w:hideMark/>
          </w:tcPr>
          <w:p w14:paraId="548C2AD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1.06</w:t>
            </w:r>
          </w:p>
        </w:tc>
        <w:tc>
          <w:tcPr>
            <w:tcW w:w="904" w:type="pct"/>
            <w:shd w:val="clear" w:color="auto" w:fill="auto"/>
            <w:noWrap/>
            <w:vAlign w:val="bottom"/>
            <w:hideMark/>
          </w:tcPr>
          <w:p w14:paraId="205468E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0.12</w:t>
            </w:r>
          </w:p>
        </w:tc>
        <w:tc>
          <w:tcPr>
            <w:tcW w:w="840" w:type="pct"/>
            <w:shd w:val="clear" w:color="auto" w:fill="auto"/>
            <w:noWrap/>
            <w:vAlign w:val="bottom"/>
            <w:hideMark/>
          </w:tcPr>
          <w:p w14:paraId="614A185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6.45</w:t>
            </w:r>
          </w:p>
        </w:tc>
      </w:tr>
      <w:tr w:rsidR="005B5953" w:rsidRPr="005B12AE" w14:paraId="492E4A9E" w14:textId="77777777" w:rsidTr="00250DAC">
        <w:trPr>
          <w:trHeight w:val="20"/>
        </w:trPr>
        <w:tc>
          <w:tcPr>
            <w:tcW w:w="2352" w:type="pct"/>
            <w:shd w:val="clear" w:color="auto" w:fill="auto"/>
            <w:noWrap/>
            <w:vAlign w:val="bottom"/>
            <w:hideMark/>
          </w:tcPr>
          <w:p w14:paraId="7D55A819"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Total (a+b)</w:t>
            </w:r>
          </w:p>
        </w:tc>
        <w:tc>
          <w:tcPr>
            <w:tcW w:w="904" w:type="pct"/>
            <w:shd w:val="clear" w:color="auto" w:fill="auto"/>
            <w:noWrap/>
            <w:vAlign w:val="bottom"/>
            <w:hideMark/>
          </w:tcPr>
          <w:p w14:paraId="5A1EC496"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498.91</w:t>
            </w:r>
          </w:p>
        </w:tc>
        <w:tc>
          <w:tcPr>
            <w:tcW w:w="904" w:type="pct"/>
            <w:shd w:val="clear" w:color="auto" w:fill="auto"/>
            <w:noWrap/>
            <w:vAlign w:val="bottom"/>
            <w:hideMark/>
          </w:tcPr>
          <w:p w14:paraId="696891EB"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321.07</w:t>
            </w:r>
          </w:p>
        </w:tc>
        <w:tc>
          <w:tcPr>
            <w:tcW w:w="840" w:type="pct"/>
            <w:shd w:val="clear" w:color="auto" w:fill="auto"/>
            <w:noWrap/>
            <w:vAlign w:val="bottom"/>
            <w:hideMark/>
          </w:tcPr>
          <w:p w14:paraId="6BB2E5FF"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105.88</w:t>
            </w:r>
          </w:p>
        </w:tc>
      </w:tr>
    </w:tbl>
    <w:p w14:paraId="0FF1674B" w14:textId="77777777" w:rsidR="005B5953" w:rsidRPr="005B12AE" w:rsidRDefault="005B5953" w:rsidP="005B5953">
      <w:pPr>
        <w:spacing w:after="0"/>
        <w:ind w:left="270" w:hanging="270"/>
        <w:jc w:val="center"/>
        <w:rPr>
          <w:rFonts w:ascii="Times New Roman" w:hAnsi="Times New Roman"/>
          <w:b/>
          <w:bCs/>
          <w:sz w:val="20"/>
          <w:szCs w:val="20"/>
        </w:rPr>
      </w:pPr>
    </w:p>
    <w:p w14:paraId="3B145E32" w14:textId="77777777" w:rsidR="005B5953" w:rsidRPr="005B12AE" w:rsidRDefault="005B5953" w:rsidP="005B5953">
      <w:pPr>
        <w:spacing w:after="0"/>
        <w:ind w:left="270" w:hanging="270"/>
        <w:jc w:val="center"/>
        <w:rPr>
          <w:rFonts w:ascii="Times New Roman" w:hAnsi="Times New Roman"/>
          <w:b/>
          <w:bCs/>
          <w:sz w:val="20"/>
          <w:szCs w:val="20"/>
        </w:rPr>
      </w:pPr>
      <w:r w:rsidRPr="005B12AE">
        <w:rPr>
          <w:rFonts w:ascii="Times New Roman" w:hAnsi="Times New Roman"/>
          <w:b/>
          <w:bCs/>
          <w:sz w:val="20"/>
          <w:szCs w:val="20"/>
        </w:rPr>
        <w:t>NOTE – P</w:t>
      </w:r>
    </w:p>
    <w:p w14:paraId="176E759D" w14:textId="77777777" w:rsidR="005B5953" w:rsidRPr="005B12AE" w:rsidRDefault="005B5953" w:rsidP="005B5953">
      <w:pPr>
        <w:spacing w:after="0"/>
        <w:ind w:left="270" w:hanging="270"/>
        <w:jc w:val="center"/>
        <w:rPr>
          <w:rFonts w:ascii="Times New Roman" w:hAnsi="Times New Roman"/>
          <w:b/>
          <w:bCs/>
          <w:sz w:val="20"/>
          <w:szCs w:val="20"/>
        </w:rPr>
      </w:pPr>
    </w:p>
    <w:p w14:paraId="03A2CC86" w14:textId="77777777" w:rsidR="005B5953" w:rsidRPr="005B12AE" w:rsidRDefault="005B5953" w:rsidP="005B5953">
      <w:pPr>
        <w:spacing w:after="0"/>
        <w:ind w:left="270" w:hanging="270"/>
        <w:jc w:val="center"/>
        <w:rPr>
          <w:rFonts w:ascii="Times New Roman" w:hAnsi="Times New Roman"/>
          <w:b/>
          <w:bCs/>
          <w:sz w:val="20"/>
          <w:szCs w:val="20"/>
        </w:rPr>
      </w:pPr>
      <w:r w:rsidRPr="005B12AE">
        <w:rPr>
          <w:rFonts w:ascii="Times New Roman" w:hAnsi="Times New Roman"/>
          <w:b/>
          <w:bCs/>
          <w:sz w:val="20"/>
          <w:szCs w:val="20"/>
        </w:rPr>
        <w:t>RESTATED STATEMENT OF RAW MATERIAL CONSUMPTION</w:t>
      </w:r>
    </w:p>
    <w:p w14:paraId="178CE4E8" w14:textId="77777777" w:rsidR="005B5953" w:rsidRPr="005B12AE" w:rsidRDefault="005B5953" w:rsidP="005B5953">
      <w:pPr>
        <w:spacing w:after="0"/>
        <w:jc w:val="right"/>
        <w:rPr>
          <w:rFonts w:ascii="Times New Roman" w:hAnsi="Times New Roman"/>
          <w:b/>
          <w:bCs/>
          <w:sz w:val="20"/>
          <w:szCs w:val="20"/>
        </w:rPr>
      </w:pPr>
      <w:r w:rsidRPr="005B12AE">
        <w:rPr>
          <w:rFonts w:ascii="Times New Roman" w:hAnsi="Times New Roman"/>
          <w:b/>
          <w:bCs/>
          <w:sz w:val="20"/>
          <w:szCs w:val="20"/>
        </w:rPr>
        <w:t>(₹ in Lakhs)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6"/>
        <w:gridCol w:w="1863"/>
        <w:gridCol w:w="1865"/>
        <w:gridCol w:w="1792"/>
      </w:tblGrid>
      <w:tr w:rsidR="005B5953" w:rsidRPr="005B12AE" w14:paraId="6C201268" w14:textId="77777777" w:rsidTr="00250DAC">
        <w:trPr>
          <w:trHeight w:val="20"/>
        </w:trPr>
        <w:tc>
          <w:tcPr>
            <w:tcW w:w="2360" w:type="pct"/>
            <w:vMerge w:val="restart"/>
            <w:shd w:val="clear" w:color="auto" w:fill="D0CECE" w:themeFill="background2" w:themeFillShade="E6"/>
            <w:noWrap/>
            <w:vAlign w:val="center"/>
            <w:hideMark/>
          </w:tcPr>
          <w:p w14:paraId="133662EA"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Particulars</w:t>
            </w:r>
          </w:p>
        </w:tc>
        <w:tc>
          <w:tcPr>
            <w:tcW w:w="2640" w:type="pct"/>
            <w:gridSpan w:val="3"/>
            <w:shd w:val="clear" w:color="auto" w:fill="D0CECE" w:themeFill="background2" w:themeFillShade="E6"/>
            <w:noWrap/>
            <w:vAlign w:val="bottom"/>
            <w:hideMark/>
          </w:tcPr>
          <w:p w14:paraId="287D5B30"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For the Year ended</w:t>
            </w:r>
          </w:p>
        </w:tc>
      </w:tr>
      <w:tr w:rsidR="005B5953" w:rsidRPr="005B12AE" w14:paraId="3EFD4BC3" w14:textId="77777777" w:rsidTr="00250DAC">
        <w:trPr>
          <w:trHeight w:val="20"/>
        </w:trPr>
        <w:tc>
          <w:tcPr>
            <w:tcW w:w="2360" w:type="pct"/>
            <w:vMerge/>
            <w:shd w:val="clear" w:color="auto" w:fill="D0CECE" w:themeFill="background2" w:themeFillShade="E6"/>
            <w:vAlign w:val="center"/>
            <w:hideMark/>
          </w:tcPr>
          <w:p w14:paraId="256F150C" w14:textId="77777777" w:rsidR="005B5953" w:rsidRPr="005B12AE" w:rsidRDefault="005B5953" w:rsidP="00250DAC">
            <w:pPr>
              <w:spacing w:after="0" w:line="240" w:lineRule="auto"/>
              <w:rPr>
                <w:rFonts w:ascii="Times New Roman" w:hAnsi="Times New Roman"/>
                <w:b/>
                <w:bCs/>
                <w:sz w:val="20"/>
                <w:szCs w:val="20"/>
              </w:rPr>
            </w:pPr>
          </w:p>
        </w:tc>
        <w:tc>
          <w:tcPr>
            <w:tcW w:w="891" w:type="pct"/>
            <w:shd w:val="clear" w:color="auto" w:fill="D0CECE" w:themeFill="background2" w:themeFillShade="E6"/>
            <w:noWrap/>
            <w:vAlign w:val="bottom"/>
            <w:hideMark/>
          </w:tcPr>
          <w:p w14:paraId="31872B2D"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31/03/2023</w:t>
            </w:r>
          </w:p>
        </w:tc>
        <w:tc>
          <w:tcPr>
            <w:tcW w:w="892" w:type="pct"/>
            <w:shd w:val="clear" w:color="auto" w:fill="D0CECE" w:themeFill="background2" w:themeFillShade="E6"/>
            <w:noWrap/>
            <w:vAlign w:val="bottom"/>
            <w:hideMark/>
          </w:tcPr>
          <w:p w14:paraId="2990319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31/03/2022</w:t>
            </w:r>
          </w:p>
        </w:tc>
        <w:tc>
          <w:tcPr>
            <w:tcW w:w="857" w:type="pct"/>
            <w:shd w:val="clear" w:color="auto" w:fill="D0CECE" w:themeFill="background2" w:themeFillShade="E6"/>
            <w:noWrap/>
            <w:vAlign w:val="bottom"/>
            <w:hideMark/>
          </w:tcPr>
          <w:p w14:paraId="1BCA67D0"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31/03/2021</w:t>
            </w:r>
          </w:p>
        </w:tc>
      </w:tr>
      <w:tr w:rsidR="005B5953" w:rsidRPr="005B12AE" w14:paraId="0E34DB1D" w14:textId="77777777" w:rsidTr="00250DAC">
        <w:trPr>
          <w:trHeight w:val="20"/>
        </w:trPr>
        <w:tc>
          <w:tcPr>
            <w:tcW w:w="2360" w:type="pct"/>
            <w:shd w:val="clear" w:color="auto" w:fill="auto"/>
            <w:noWrap/>
            <w:vAlign w:val="bottom"/>
            <w:hideMark/>
          </w:tcPr>
          <w:p w14:paraId="16505055"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Opening Stock of Raw Material</w:t>
            </w:r>
          </w:p>
        </w:tc>
        <w:tc>
          <w:tcPr>
            <w:tcW w:w="891" w:type="pct"/>
            <w:shd w:val="clear" w:color="auto" w:fill="auto"/>
            <w:noWrap/>
            <w:vAlign w:val="bottom"/>
            <w:hideMark/>
          </w:tcPr>
          <w:p w14:paraId="2226943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2,907.69</w:t>
            </w:r>
          </w:p>
        </w:tc>
        <w:tc>
          <w:tcPr>
            <w:tcW w:w="892" w:type="pct"/>
            <w:shd w:val="clear" w:color="auto" w:fill="auto"/>
            <w:noWrap/>
            <w:vAlign w:val="bottom"/>
            <w:hideMark/>
          </w:tcPr>
          <w:p w14:paraId="3D10B27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1,413.93</w:t>
            </w:r>
          </w:p>
        </w:tc>
        <w:tc>
          <w:tcPr>
            <w:tcW w:w="857" w:type="pct"/>
            <w:shd w:val="clear" w:color="auto" w:fill="auto"/>
            <w:noWrap/>
            <w:vAlign w:val="bottom"/>
            <w:hideMark/>
          </w:tcPr>
          <w:p w14:paraId="449B205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753.02</w:t>
            </w:r>
          </w:p>
        </w:tc>
      </w:tr>
      <w:tr w:rsidR="005B5953" w:rsidRPr="005B12AE" w14:paraId="415B2614" w14:textId="77777777" w:rsidTr="00250DAC">
        <w:trPr>
          <w:trHeight w:val="20"/>
        </w:trPr>
        <w:tc>
          <w:tcPr>
            <w:tcW w:w="2360" w:type="pct"/>
            <w:shd w:val="clear" w:color="auto" w:fill="auto"/>
            <w:noWrap/>
            <w:vAlign w:val="bottom"/>
            <w:hideMark/>
          </w:tcPr>
          <w:p w14:paraId="1CC6A6C7"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Purchase of Materials</w:t>
            </w:r>
          </w:p>
        </w:tc>
        <w:tc>
          <w:tcPr>
            <w:tcW w:w="891" w:type="pct"/>
            <w:shd w:val="clear" w:color="auto" w:fill="auto"/>
            <w:noWrap/>
            <w:vAlign w:val="bottom"/>
            <w:hideMark/>
          </w:tcPr>
          <w:p w14:paraId="0BF8DF7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47,941.63</w:t>
            </w:r>
          </w:p>
        </w:tc>
        <w:tc>
          <w:tcPr>
            <w:tcW w:w="892" w:type="pct"/>
            <w:shd w:val="clear" w:color="auto" w:fill="auto"/>
            <w:noWrap/>
            <w:vAlign w:val="bottom"/>
            <w:hideMark/>
          </w:tcPr>
          <w:p w14:paraId="65A16A1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38,518.72</w:t>
            </w:r>
          </w:p>
        </w:tc>
        <w:tc>
          <w:tcPr>
            <w:tcW w:w="857" w:type="pct"/>
            <w:shd w:val="clear" w:color="auto" w:fill="auto"/>
            <w:noWrap/>
            <w:vAlign w:val="bottom"/>
            <w:hideMark/>
          </w:tcPr>
          <w:p w14:paraId="7C6ECA7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12,622.65</w:t>
            </w:r>
          </w:p>
        </w:tc>
      </w:tr>
      <w:tr w:rsidR="005B5953" w:rsidRPr="005B12AE" w14:paraId="3B4F33C8" w14:textId="77777777" w:rsidTr="00250DAC">
        <w:trPr>
          <w:trHeight w:val="20"/>
        </w:trPr>
        <w:tc>
          <w:tcPr>
            <w:tcW w:w="2360" w:type="pct"/>
            <w:shd w:val="clear" w:color="auto" w:fill="auto"/>
            <w:noWrap/>
            <w:vAlign w:val="bottom"/>
            <w:hideMark/>
          </w:tcPr>
          <w:p w14:paraId="60D0B317"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Less: Closing stock of Raw Material</w:t>
            </w:r>
          </w:p>
        </w:tc>
        <w:tc>
          <w:tcPr>
            <w:tcW w:w="891" w:type="pct"/>
            <w:shd w:val="clear" w:color="auto" w:fill="auto"/>
            <w:noWrap/>
            <w:vAlign w:val="bottom"/>
            <w:hideMark/>
          </w:tcPr>
          <w:p w14:paraId="417373C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(5,719.27)</w:t>
            </w:r>
          </w:p>
        </w:tc>
        <w:tc>
          <w:tcPr>
            <w:tcW w:w="892" w:type="pct"/>
            <w:shd w:val="clear" w:color="auto" w:fill="auto"/>
            <w:noWrap/>
            <w:vAlign w:val="bottom"/>
            <w:hideMark/>
          </w:tcPr>
          <w:p w14:paraId="052DDE9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(2,907.69)</w:t>
            </w:r>
          </w:p>
        </w:tc>
        <w:tc>
          <w:tcPr>
            <w:tcW w:w="857" w:type="pct"/>
            <w:shd w:val="clear" w:color="auto" w:fill="auto"/>
            <w:noWrap/>
            <w:vAlign w:val="bottom"/>
            <w:hideMark/>
          </w:tcPr>
          <w:p w14:paraId="4BC0B79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(1,413.93)</w:t>
            </w:r>
          </w:p>
        </w:tc>
      </w:tr>
      <w:tr w:rsidR="005B5953" w:rsidRPr="005B12AE" w14:paraId="4600C100" w14:textId="77777777" w:rsidTr="00250DAC">
        <w:trPr>
          <w:trHeight w:val="20"/>
        </w:trPr>
        <w:tc>
          <w:tcPr>
            <w:tcW w:w="2360" w:type="pct"/>
            <w:shd w:val="clear" w:color="auto" w:fill="auto"/>
            <w:noWrap/>
            <w:vAlign w:val="bottom"/>
            <w:hideMark/>
          </w:tcPr>
          <w:p w14:paraId="68824E07"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Total</w:t>
            </w:r>
          </w:p>
        </w:tc>
        <w:tc>
          <w:tcPr>
            <w:tcW w:w="891" w:type="pct"/>
            <w:shd w:val="clear" w:color="auto" w:fill="auto"/>
            <w:noWrap/>
            <w:vAlign w:val="bottom"/>
            <w:hideMark/>
          </w:tcPr>
          <w:p w14:paraId="69F86298"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45,130.06</w:t>
            </w:r>
          </w:p>
        </w:tc>
        <w:tc>
          <w:tcPr>
            <w:tcW w:w="892" w:type="pct"/>
            <w:shd w:val="clear" w:color="auto" w:fill="auto"/>
            <w:noWrap/>
            <w:vAlign w:val="bottom"/>
            <w:hideMark/>
          </w:tcPr>
          <w:p w14:paraId="78EB4B50"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37,024.95</w:t>
            </w:r>
          </w:p>
        </w:tc>
        <w:tc>
          <w:tcPr>
            <w:tcW w:w="857" w:type="pct"/>
            <w:shd w:val="clear" w:color="auto" w:fill="auto"/>
            <w:noWrap/>
            <w:vAlign w:val="bottom"/>
            <w:hideMark/>
          </w:tcPr>
          <w:p w14:paraId="75B5440E"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11,961.74</w:t>
            </w:r>
          </w:p>
        </w:tc>
      </w:tr>
    </w:tbl>
    <w:p w14:paraId="25F8F6D7" w14:textId="77777777" w:rsidR="005B5953" w:rsidRPr="005B12AE" w:rsidRDefault="005B5953" w:rsidP="005B5953">
      <w:pPr>
        <w:spacing w:after="0"/>
        <w:ind w:left="270" w:hanging="270"/>
        <w:jc w:val="center"/>
        <w:rPr>
          <w:rFonts w:ascii="Times New Roman" w:hAnsi="Times New Roman"/>
          <w:b/>
          <w:bCs/>
          <w:sz w:val="20"/>
          <w:szCs w:val="20"/>
        </w:rPr>
      </w:pPr>
    </w:p>
    <w:p w14:paraId="5B2267C7" w14:textId="77777777" w:rsidR="005B5953" w:rsidRPr="005B12AE" w:rsidRDefault="005B5953" w:rsidP="005B5953">
      <w:pPr>
        <w:spacing w:after="0"/>
        <w:ind w:left="270" w:hanging="270"/>
        <w:jc w:val="center"/>
        <w:rPr>
          <w:rFonts w:ascii="Times New Roman" w:hAnsi="Times New Roman"/>
          <w:b/>
          <w:bCs/>
          <w:sz w:val="20"/>
          <w:szCs w:val="20"/>
        </w:rPr>
      </w:pPr>
      <w:r w:rsidRPr="005B12AE">
        <w:rPr>
          <w:rFonts w:ascii="Times New Roman" w:hAnsi="Times New Roman"/>
          <w:b/>
          <w:bCs/>
          <w:sz w:val="20"/>
          <w:szCs w:val="20"/>
        </w:rPr>
        <w:t>NOTE – Q</w:t>
      </w:r>
    </w:p>
    <w:p w14:paraId="51F416AF" w14:textId="77777777" w:rsidR="005B5953" w:rsidRPr="005B12AE" w:rsidRDefault="005B5953" w:rsidP="005B5953">
      <w:pPr>
        <w:spacing w:after="0"/>
        <w:ind w:left="270" w:hanging="270"/>
        <w:jc w:val="center"/>
        <w:rPr>
          <w:rFonts w:ascii="Times New Roman" w:hAnsi="Times New Roman"/>
          <w:b/>
          <w:bCs/>
          <w:sz w:val="20"/>
          <w:szCs w:val="20"/>
        </w:rPr>
      </w:pPr>
    </w:p>
    <w:p w14:paraId="1C1705CD" w14:textId="77777777" w:rsidR="005B5953" w:rsidRPr="005B12AE" w:rsidRDefault="005B5953" w:rsidP="005B5953">
      <w:pPr>
        <w:spacing w:after="0"/>
        <w:ind w:left="270" w:hanging="270"/>
        <w:jc w:val="center"/>
        <w:rPr>
          <w:rFonts w:ascii="Times New Roman" w:hAnsi="Times New Roman"/>
          <w:b/>
          <w:bCs/>
          <w:sz w:val="20"/>
          <w:szCs w:val="20"/>
        </w:rPr>
      </w:pPr>
      <w:r w:rsidRPr="005B12AE">
        <w:rPr>
          <w:rFonts w:ascii="Times New Roman" w:hAnsi="Times New Roman"/>
          <w:b/>
          <w:bCs/>
          <w:sz w:val="20"/>
          <w:szCs w:val="20"/>
        </w:rPr>
        <w:t>RESTATED STATEMENT OF CHANGE IN INVENTORIES</w:t>
      </w:r>
    </w:p>
    <w:p w14:paraId="3A46553A" w14:textId="77777777" w:rsidR="005B5953" w:rsidRPr="005B12AE" w:rsidRDefault="005B5953" w:rsidP="005B5953">
      <w:pPr>
        <w:spacing w:after="0"/>
        <w:jc w:val="right"/>
        <w:rPr>
          <w:rFonts w:ascii="Times New Roman" w:hAnsi="Times New Roman"/>
          <w:b/>
          <w:bCs/>
          <w:sz w:val="20"/>
          <w:szCs w:val="20"/>
        </w:rPr>
      </w:pPr>
      <w:r w:rsidRPr="005B12AE">
        <w:rPr>
          <w:rFonts w:ascii="Times New Roman" w:hAnsi="Times New Roman"/>
          <w:b/>
          <w:bCs/>
          <w:sz w:val="20"/>
          <w:szCs w:val="20"/>
        </w:rPr>
        <w:t>(₹ in Lakhs)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4"/>
        <w:gridCol w:w="2018"/>
        <w:gridCol w:w="1897"/>
        <w:gridCol w:w="1947"/>
      </w:tblGrid>
      <w:tr w:rsidR="005B5953" w:rsidRPr="005B12AE" w14:paraId="2608C60B" w14:textId="77777777" w:rsidTr="00250DAC">
        <w:trPr>
          <w:trHeight w:val="20"/>
        </w:trPr>
        <w:tc>
          <w:tcPr>
            <w:tcW w:w="2197" w:type="pct"/>
            <w:vMerge w:val="restart"/>
            <w:shd w:val="clear" w:color="auto" w:fill="D0CECE" w:themeFill="background2" w:themeFillShade="E6"/>
            <w:noWrap/>
            <w:vAlign w:val="center"/>
            <w:hideMark/>
          </w:tcPr>
          <w:p w14:paraId="37405E0C"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Particulars</w:t>
            </w:r>
          </w:p>
        </w:tc>
        <w:tc>
          <w:tcPr>
            <w:tcW w:w="2803" w:type="pct"/>
            <w:gridSpan w:val="3"/>
            <w:shd w:val="clear" w:color="auto" w:fill="D0CECE" w:themeFill="background2" w:themeFillShade="E6"/>
            <w:noWrap/>
            <w:vAlign w:val="bottom"/>
            <w:hideMark/>
          </w:tcPr>
          <w:p w14:paraId="3B64D33E"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For the Year ended</w:t>
            </w:r>
          </w:p>
        </w:tc>
      </w:tr>
      <w:tr w:rsidR="005B5953" w:rsidRPr="005B12AE" w14:paraId="4AB1F7BF" w14:textId="77777777" w:rsidTr="00250DAC">
        <w:trPr>
          <w:trHeight w:val="20"/>
        </w:trPr>
        <w:tc>
          <w:tcPr>
            <w:tcW w:w="2197" w:type="pct"/>
            <w:vMerge/>
            <w:shd w:val="clear" w:color="auto" w:fill="D0CECE" w:themeFill="background2" w:themeFillShade="E6"/>
            <w:vAlign w:val="center"/>
            <w:hideMark/>
          </w:tcPr>
          <w:p w14:paraId="39A269A4" w14:textId="77777777" w:rsidR="005B5953" w:rsidRPr="005B12AE" w:rsidRDefault="005B5953" w:rsidP="00250DAC">
            <w:pPr>
              <w:spacing w:after="0" w:line="240" w:lineRule="auto"/>
              <w:rPr>
                <w:rFonts w:ascii="Times New Roman" w:hAnsi="Times New Roman"/>
                <w:b/>
                <w:bCs/>
                <w:sz w:val="20"/>
                <w:szCs w:val="20"/>
              </w:rPr>
            </w:pPr>
          </w:p>
        </w:tc>
        <w:tc>
          <w:tcPr>
            <w:tcW w:w="965" w:type="pct"/>
            <w:shd w:val="clear" w:color="auto" w:fill="D0CECE" w:themeFill="background2" w:themeFillShade="E6"/>
            <w:noWrap/>
            <w:vAlign w:val="bottom"/>
            <w:hideMark/>
          </w:tcPr>
          <w:p w14:paraId="26BB83A8"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31/03/2023</w:t>
            </w:r>
          </w:p>
        </w:tc>
        <w:tc>
          <w:tcPr>
            <w:tcW w:w="907" w:type="pct"/>
            <w:shd w:val="clear" w:color="auto" w:fill="D0CECE" w:themeFill="background2" w:themeFillShade="E6"/>
            <w:noWrap/>
            <w:vAlign w:val="bottom"/>
            <w:hideMark/>
          </w:tcPr>
          <w:p w14:paraId="02B69E06"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31/03/2022</w:t>
            </w:r>
          </w:p>
        </w:tc>
        <w:tc>
          <w:tcPr>
            <w:tcW w:w="931" w:type="pct"/>
            <w:shd w:val="clear" w:color="auto" w:fill="D0CECE" w:themeFill="background2" w:themeFillShade="E6"/>
            <w:noWrap/>
            <w:vAlign w:val="bottom"/>
            <w:hideMark/>
          </w:tcPr>
          <w:p w14:paraId="32D9056D"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31/03/2021</w:t>
            </w:r>
          </w:p>
        </w:tc>
      </w:tr>
      <w:tr w:rsidR="005B5953" w:rsidRPr="005B12AE" w14:paraId="1D2771B3" w14:textId="77777777" w:rsidTr="00250DAC">
        <w:trPr>
          <w:trHeight w:val="20"/>
        </w:trPr>
        <w:tc>
          <w:tcPr>
            <w:tcW w:w="2197" w:type="pct"/>
            <w:shd w:val="clear" w:color="auto" w:fill="auto"/>
            <w:noWrap/>
            <w:vAlign w:val="bottom"/>
            <w:hideMark/>
          </w:tcPr>
          <w:p w14:paraId="287A405E"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Opening Balance of Stock </w:t>
            </w:r>
          </w:p>
        </w:tc>
        <w:tc>
          <w:tcPr>
            <w:tcW w:w="965" w:type="pct"/>
            <w:shd w:val="clear" w:color="auto" w:fill="auto"/>
            <w:noWrap/>
            <w:vAlign w:val="bottom"/>
            <w:hideMark/>
          </w:tcPr>
          <w:p w14:paraId="750411CA" w14:textId="77777777" w:rsidR="005B5953" w:rsidRPr="005B12AE" w:rsidRDefault="005B5953" w:rsidP="00250DAC">
            <w:pPr>
              <w:spacing w:after="0" w:line="240" w:lineRule="auto"/>
              <w:jc w:val="center"/>
              <w:rPr>
                <w:rFonts w:ascii="Times New Roman" w:hAnsi="Times New Roman"/>
                <w:sz w:val="20"/>
                <w:szCs w:val="20"/>
              </w:rPr>
            </w:pPr>
          </w:p>
        </w:tc>
        <w:tc>
          <w:tcPr>
            <w:tcW w:w="907" w:type="pct"/>
            <w:shd w:val="clear" w:color="auto" w:fill="auto"/>
            <w:noWrap/>
            <w:vAlign w:val="bottom"/>
            <w:hideMark/>
          </w:tcPr>
          <w:p w14:paraId="382B62B3" w14:textId="77777777" w:rsidR="005B5953" w:rsidRPr="005B12AE" w:rsidRDefault="005B5953" w:rsidP="00250DAC">
            <w:pPr>
              <w:spacing w:after="0" w:line="240" w:lineRule="auto"/>
              <w:jc w:val="center"/>
              <w:rPr>
                <w:rFonts w:ascii="Times New Roman" w:hAnsi="Times New Roman"/>
                <w:sz w:val="20"/>
                <w:szCs w:val="20"/>
              </w:rPr>
            </w:pPr>
          </w:p>
        </w:tc>
        <w:tc>
          <w:tcPr>
            <w:tcW w:w="931" w:type="pct"/>
            <w:shd w:val="clear" w:color="auto" w:fill="auto"/>
            <w:noWrap/>
            <w:vAlign w:val="bottom"/>
            <w:hideMark/>
          </w:tcPr>
          <w:p w14:paraId="737651A7"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0E3818E9" w14:textId="77777777" w:rsidTr="00250DAC">
        <w:trPr>
          <w:trHeight w:val="20"/>
        </w:trPr>
        <w:tc>
          <w:tcPr>
            <w:tcW w:w="2197" w:type="pct"/>
            <w:shd w:val="clear" w:color="auto" w:fill="auto"/>
            <w:noWrap/>
            <w:vAlign w:val="bottom"/>
            <w:hideMark/>
          </w:tcPr>
          <w:p w14:paraId="0D41A796" w14:textId="77777777" w:rsidR="005B5953" w:rsidRPr="005B12AE" w:rsidRDefault="005B5953" w:rsidP="00250DAC">
            <w:pPr>
              <w:spacing w:after="0" w:line="240" w:lineRule="auto"/>
              <w:ind w:firstLineChars="100" w:firstLine="200"/>
              <w:rPr>
                <w:rFonts w:ascii="Times New Roman" w:hAnsi="Times New Roman"/>
                <w:sz w:val="20"/>
                <w:szCs w:val="20"/>
              </w:rPr>
            </w:pPr>
            <w:r w:rsidRPr="005B12AE">
              <w:rPr>
                <w:rFonts w:ascii="Times New Roman" w:hAnsi="Times New Roman"/>
                <w:sz w:val="20"/>
                <w:szCs w:val="20"/>
              </w:rPr>
              <w:t>(i) Finished Goods</w:t>
            </w:r>
          </w:p>
        </w:tc>
        <w:tc>
          <w:tcPr>
            <w:tcW w:w="965" w:type="pct"/>
            <w:shd w:val="clear" w:color="auto" w:fill="auto"/>
            <w:noWrap/>
            <w:vAlign w:val="bottom"/>
            <w:hideMark/>
          </w:tcPr>
          <w:p w14:paraId="2AC6EAE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177.82</w:t>
            </w:r>
          </w:p>
        </w:tc>
        <w:tc>
          <w:tcPr>
            <w:tcW w:w="907" w:type="pct"/>
            <w:shd w:val="clear" w:color="auto" w:fill="auto"/>
            <w:noWrap/>
            <w:vAlign w:val="bottom"/>
            <w:hideMark/>
          </w:tcPr>
          <w:p w14:paraId="2C2D74D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289.17</w:t>
            </w:r>
          </w:p>
        </w:tc>
        <w:tc>
          <w:tcPr>
            <w:tcW w:w="931" w:type="pct"/>
            <w:shd w:val="clear" w:color="auto" w:fill="auto"/>
            <w:noWrap/>
            <w:vAlign w:val="bottom"/>
            <w:hideMark/>
          </w:tcPr>
          <w:p w14:paraId="66E8DB7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1,765.51</w:t>
            </w:r>
          </w:p>
        </w:tc>
      </w:tr>
      <w:tr w:rsidR="005B5953" w:rsidRPr="005B12AE" w14:paraId="511D0213" w14:textId="77777777" w:rsidTr="00250DAC">
        <w:trPr>
          <w:trHeight w:val="20"/>
        </w:trPr>
        <w:tc>
          <w:tcPr>
            <w:tcW w:w="2197" w:type="pct"/>
            <w:shd w:val="clear" w:color="auto" w:fill="auto"/>
            <w:noWrap/>
            <w:vAlign w:val="bottom"/>
            <w:hideMark/>
          </w:tcPr>
          <w:p w14:paraId="19204A5C" w14:textId="77777777" w:rsidR="005B5953" w:rsidRPr="005B12AE" w:rsidRDefault="005B5953" w:rsidP="00250DAC">
            <w:pPr>
              <w:spacing w:after="0" w:line="240" w:lineRule="auto"/>
              <w:ind w:firstLineChars="100" w:firstLine="200"/>
              <w:rPr>
                <w:rFonts w:ascii="Times New Roman" w:hAnsi="Times New Roman"/>
                <w:sz w:val="20"/>
                <w:szCs w:val="20"/>
              </w:rPr>
            </w:pPr>
            <w:r w:rsidRPr="005B12AE">
              <w:rPr>
                <w:rFonts w:ascii="Times New Roman" w:hAnsi="Times New Roman"/>
                <w:sz w:val="20"/>
                <w:szCs w:val="20"/>
              </w:rPr>
              <w:t>(ii) Work-in-progress</w:t>
            </w:r>
          </w:p>
        </w:tc>
        <w:tc>
          <w:tcPr>
            <w:tcW w:w="965" w:type="pct"/>
            <w:shd w:val="clear" w:color="auto" w:fill="auto"/>
            <w:noWrap/>
            <w:vAlign w:val="bottom"/>
            <w:hideMark/>
          </w:tcPr>
          <w:p w14:paraId="06D1693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1,841.73</w:t>
            </w:r>
          </w:p>
        </w:tc>
        <w:tc>
          <w:tcPr>
            <w:tcW w:w="907" w:type="pct"/>
            <w:shd w:val="clear" w:color="auto" w:fill="auto"/>
            <w:noWrap/>
            <w:vAlign w:val="bottom"/>
            <w:hideMark/>
          </w:tcPr>
          <w:p w14:paraId="2ABF1D6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2,338.79</w:t>
            </w:r>
          </w:p>
        </w:tc>
        <w:tc>
          <w:tcPr>
            <w:tcW w:w="931" w:type="pct"/>
            <w:shd w:val="clear" w:color="auto" w:fill="auto"/>
            <w:noWrap/>
            <w:vAlign w:val="bottom"/>
            <w:hideMark/>
          </w:tcPr>
          <w:p w14:paraId="00D6F26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1,313.20</w:t>
            </w:r>
          </w:p>
        </w:tc>
      </w:tr>
      <w:tr w:rsidR="005B5953" w:rsidRPr="005B12AE" w14:paraId="526F5232" w14:textId="77777777" w:rsidTr="00250DAC">
        <w:trPr>
          <w:trHeight w:val="20"/>
        </w:trPr>
        <w:tc>
          <w:tcPr>
            <w:tcW w:w="2197" w:type="pct"/>
            <w:shd w:val="clear" w:color="auto" w:fill="auto"/>
            <w:noWrap/>
            <w:vAlign w:val="bottom"/>
            <w:hideMark/>
          </w:tcPr>
          <w:p w14:paraId="60E56B64" w14:textId="77777777" w:rsidR="005B5953" w:rsidRPr="005B12AE" w:rsidRDefault="005B5953" w:rsidP="00250DAC">
            <w:pPr>
              <w:spacing w:after="0" w:line="240" w:lineRule="auto"/>
              <w:ind w:firstLineChars="100" w:firstLine="200"/>
              <w:rPr>
                <w:rFonts w:ascii="Times New Roman" w:hAnsi="Times New Roman"/>
                <w:sz w:val="20"/>
                <w:szCs w:val="20"/>
              </w:rPr>
            </w:pPr>
            <w:r w:rsidRPr="005B12AE">
              <w:rPr>
                <w:rFonts w:ascii="Times New Roman" w:hAnsi="Times New Roman"/>
                <w:sz w:val="20"/>
                <w:szCs w:val="20"/>
              </w:rPr>
              <w:t>(iii) Stock-in-trade</w:t>
            </w:r>
          </w:p>
        </w:tc>
        <w:tc>
          <w:tcPr>
            <w:tcW w:w="965" w:type="pct"/>
            <w:shd w:val="clear" w:color="auto" w:fill="auto"/>
            <w:noWrap/>
            <w:vAlign w:val="bottom"/>
            <w:hideMark/>
          </w:tcPr>
          <w:p w14:paraId="5C55D47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16.15</w:t>
            </w:r>
          </w:p>
        </w:tc>
        <w:tc>
          <w:tcPr>
            <w:tcW w:w="907" w:type="pct"/>
            <w:shd w:val="clear" w:color="auto" w:fill="auto"/>
            <w:noWrap/>
            <w:vAlign w:val="bottom"/>
            <w:hideMark/>
          </w:tcPr>
          <w:p w14:paraId="63C58E3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931" w:type="pct"/>
            <w:shd w:val="clear" w:color="auto" w:fill="auto"/>
            <w:noWrap/>
            <w:vAlign w:val="bottom"/>
            <w:hideMark/>
          </w:tcPr>
          <w:p w14:paraId="2CEE70EF" w14:textId="77777777" w:rsidR="005B5953" w:rsidRPr="005B12AE" w:rsidRDefault="005B5953" w:rsidP="00250DAC">
            <w:pPr>
              <w:spacing w:after="0" w:line="240" w:lineRule="auto"/>
              <w:jc w:val="center"/>
              <w:rPr>
                <w:rFonts w:ascii="Times New Roman" w:hAnsi="Times New Roman"/>
                <w:color w:val="FF0000"/>
                <w:sz w:val="20"/>
                <w:szCs w:val="20"/>
              </w:rPr>
            </w:pPr>
            <w:r w:rsidRPr="005B12AE">
              <w:rPr>
                <w:rFonts w:ascii="Times New Roman" w:hAnsi="Times New Roman"/>
                <w:color w:val="FF0000"/>
                <w:sz w:val="20"/>
                <w:szCs w:val="20"/>
              </w:rPr>
              <w:t>-</w:t>
            </w:r>
          </w:p>
        </w:tc>
      </w:tr>
      <w:tr w:rsidR="005B5953" w:rsidRPr="005B12AE" w14:paraId="497033F6" w14:textId="77777777" w:rsidTr="00250DAC">
        <w:trPr>
          <w:trHeight w:val="20"/>
        </w:trPr>
        <w:tc>
          <w:tcPr>
            <w:tcW w:w="2197" w:type="pct"/>
            <w:shd w:val="clear" w:color="auto" w:fill="auto"/>
            <w:noWrap/>
            <w:vAlign w:val="bottom"/>
            <w:hideMark/>
          </w:tcPr>
          <w:p w14:paraId="13B12C0C" w14:textId="77777777" w:rsidR="005B5953" w:rsidRPr="005B12AE" w:rsidRDefault="005B5953" w:rsidP="00250DAC">
            <w:pPr>
              <w:spacing w:after="0" w:line="240" w:lineRule="auto"/>
              <w:jc w:val="right"/>
              <w:rPr>
                <w:rFonts w:ascii="Times New Roman" w:hAnsi="Times New Roman"/>
                <w:sz w:val="20"/>
                <w:szCs w:val="20"/>
              </w:rPr>
            </w:pPr>
            <w:r w:rsidRPr="005B12AE">
              <w:rPr>
                <w:rFonts w:ascii="Times New Roman" w:hAnsi="Times New Roman"/>
                <w:sz w:val="20"/>
                <w:szCs w:val="20"/>
              </w:rPr>
              <w:t>Total</w:t>
            </w:r>
          </w:p>
        </w:tc>
        <w:tc>
          <w:tcPr>
            <w:tcW w:w="965" w:type="pct"/>
            <w:shd w:val="clear" w:color="auto" w:fill="auto"/>
            <w:noWrap/>
            <w:vAlign w:val="bottom"/>
            <w:hideMark/>
          </w:tcPr>
          <w:p w14:paraId="0EF380B5"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2,035.70</w:t>
            </w:r>
          </w:p>
        </w:tc>
        <w:tc>
          <w:tcPr>
            <w:tcW w:w="907" w:type="pct"/>
            <w:shd w:val="clear" w:color="auto" w:fill="auto"/>
            <w:noWrap/>
            <w:vAlign w:val="bottom"/>
            <w:hideMark/>
          </w:tcPr>
          <w:p w14:paraId="2E9D6A0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2,627.96</w:t>
            </w:r>
          </w:p>
        </w:tc>
        <w:tc>
          <w:tcPr>
            <w:tcW w:w="931" w:type="pct"/>
            <w:shd w:val="clear" w:color="auto" w:fill="auto"/>
            <w:noWrap/>
            <w:vAlign w:val="bottom"/>
            <w:hideMark/>
          </w:tcPr>
          <w:p w14:paraId="67F8A8CA"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3,078.71</w:t>
            </w:r>
          </w:p>
        </w:tc>
      </w:tr>
      <w:tr w:rsidR="005B5953" w:rsidRPr="005B12AE" w14:paraId="5AEAF8C2" w14:textId="77777777" w:rsidTr="00250DAC">
        <w:trPr>
          <w:trHeight w:val="20"/>
        </w:trPr>
        <w:tc>
          <w:tcPr>
            <w:tcW w:w="2197" w:type="pct"/>
            <w:shd w:val="clear" w:color="auto" w:fill="auto"/>
            <w:noWrap/>
            <w:vAlign w:val="bottom"/>
            <w:hideMark/>
          </w:tcPr>
          <w:p w14:paraId="70863164"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Less: Closing Balance of Stock </w:t>
            </w:r>
          </w:p>
        </w:tc>
        <w:tc>
          <w:tcPr>
            <w:tcW w:w="965" w:type="pct"/>
            <w:shd w:val="clear" w:color="auto" w:fill="auto"/>
            <w:noWrap/>
            <w:vAlign w:val="bottom"/>
            <w:hideMark/>
          </w:tcPr>
          <w:p w14:paraId="6721BF0A" w14:textId="77777777" w:rsidR="005B5953" w:rsidRPr="005B12AE" w:rsidRDefault="005B5953" w:rsidP="00250DAC">
            <w:pPr>
              <w:spacing w:after="0" w:line="240" w:lineRule="auto"/>
              <w:jc w:val="center"/>
              <w:rPr>
                <w:rFonts w:ascii="Times New Roman" w:hAnsi="Times New Roman"/>
                <w:sz w:val="20"/>
                <w:szCs w:val="20"/>
              </w:rPr>
            </w:pPr>
          </w:p>
        </w:tc>
        <w:tc>
          <w:tcPr>
            <w:tcW w:w="907" w:type="pct"/>
            <w:shd w:val="clear" w:color="auto" w:fill="auto"/>
            <w:noWrap/>
            <w:vAlign w:val="bottom"/>
            <w:hideMark/>
          </w:tcPr>
          <w:p w14:paraId="14AACA43" w14:textId="77777777" w:rsidR="005B5953" w:rsidRPr="005B12AE" w:rsidRDefault="005B5953" w:rsidP="00250DAC">
            <w:pPr>
              <w:spacing w:after="0" w:line="240" w:lineRule="auto"/>
              <w:jc w:val="center"/>
              <w:rPr>
                <w:rFonts w:ascii="Times New Roman" w:hAnsi="Times New Roman"/>
                <w:sz w:val="20"/>
                <w:szCs w:val="20"/>
              </w:rPr>
            </w:pPr>
          </w:p>
        </w:tc>
        <w:tc>
          <w:tcPr>
            <w:tcW w:w="931" w:type="pct"/>
            <w:shd w:val="clear" w:color="auto" w:fill="auto"/>
            <w:noWrap/>
            <w:vAlign w:val="bottom"/>
            <w:hideMark/>
          </w:tcPr>
          <w:p w14:paraId="771E27D4"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53801B8D" w14:textId="77777777" w:rsidTr="00250DAC">
        <w:trPr>
          <w:trHeight w:val="20"/>
        </w:trPr>
        <w:tc>
          <w:tcPr>
            <w:tcW w:w="2197" w:type="pct"/>
            <w:shd w:val="clear" w:color="auto" w:fill="auto"/>
            <w:noWrap/>
            <w:vAlign w:val="bottom"/>
            <w:hideMark/>
          </w:tcPr>
          <w:p w14:paraId="0356175A" w14:textId="77777777" w:rsidR="005B5953" w:rsidRPr="005B12AE" w:rsidRDefault="005B5953" w:rsidP="00250DAC">
            <w:pPr>
              <w:spacing w:after="0" w:line="240" w:lineRule="auto"/>
              <w:ind w:firstLineChars="100" w:firstLine="200"/>
              <w:rPr>
                <w:rFonts w:ascii="Times New Roman" w:hAnsi="Times New Roman"/>
                <w:sz w:val="20"/>
                <w:szCs w:val="20"/>
              </w:rPr>
            </w:pPr>
            <w:r w:rsidRPr="005B12AE">
              <w:rPr>
                <w:rFonts w:ascii="Times New Roman" w:hAnsi="Times New Roman"/>
                <w:sz w:val="20"/>
                <w:szCs w:val="20"/>
              </w:rPr>
              <w:t>(i) Finished Goods</w:t>
            </w:r>
          </w:p>
        </w:tc>
        <w:tc>
          <w:tcPr>
            <w:tcW w:w="965" w:type="pct"/>
            <w:shd w:val="clear" w:color="auto" w:fill="auto"/>
            <w:noWrap/>
            <w:vAlign w:val="bottom"/>
            <w:hideMark/>
          </w:tcPr>
          <w:p w14:paraId="18CA884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413.08</w:t>
            </w:r>
          </w:p>
        </w:tc>
        <w:tc>
          <w:tcPr>
            <w:tcW w:w="907" w:type="pct"/>
            <w:shd w:val="clear" w:color="auto" w:fill="auto"/>
            <w:noWrap/>
            <w:vAlign w:val="bottom"/>
            <w:hideMark/>
          </w:tcPr>
          <w:p w14:paraId="2CD9CDB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177.82</w:t>
            </w:r>
          </w:p>
        </w:tc>
        <w:tc>
          <w:tcPr>
            <w:tcW w:w="931" w:type="pct"/>
            <w:shd w:val="clear" w:color="auto" w:fill="auto"/>
            <w:noWrap/>
            <w:vAlign w:val="bottom"/>
            <w:hideMark/>
          </w:tcPr>
          <w:p w14:paraId="3AB52CA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289.17</w:t>
            </w:r>
          </w:p>
        </w:tc>
      </w:tr>
      <w:tr w:rsidR="005B5953" w:rsidRPr="005B12AE" w14:paraId="5944D2DF" w14:textId="77777777" w:rsidTr="00250DAC">
        <w:trPr>
          <w:trHeight w:val="20"/>
        </w:trPr>
        <w:tc>
          <w:tcPr>
            <w:tcW w:w="2197" w:type="pct"/>
            <w:shd w:val="clear" w:color="auto" w:fill="auto"/>
            <w:noWrap/>
            <w:vAlign w:val="bottom"/>
            <w:hideMark/>
          </w:tcPr>
          <w:p w14:paraId="74ADD23A" w14:textId="77777777" w:rsidR="005B5953" w:rsidRPr="005B12AE" w:rsidRDefault="005B5953" w:rsidP="00250DAC">
            <w:pPr>
              <w:spacing w:after="0" w:line="240" w:lineRule="auto"/>
              <w:ind w:firstLineChars="100" w:firstLine="200"/>
              <w:rPr>
                <w:rFonts w:ascii="Times New Roman" w:hAnsi="Times New Roman"/>
                <w:sz w:val="20"/>
                <w:szCs w:val="20"/>
              </w:rPr>
            </w:pPr>
            <w:r w:rsidRPr="005B12AE">
              <w:rPr>
                <w:rFonts w:ascii="Times New Roman" w:hAnsi="Times New Roman"/>
                <w:sz w:val="20"/>
                <w:szCs w:val="20"/>
              </w:rPr>
              <w:t>(ii) Work-in-progress</w:t>
            </w:r>
          </w:p>
        </w:tc>
        <w:tc>
          <w:tcPr>
            <w:tcW w:w="965" w:type="pct"/>
            <w:shd w:val="clear" w:color="auto" w:fill="auto"/>
            <w:noWrap/>
            <w:vAlign w:val="bottom"/>
            <w:hideMark/>
          </w:tcPr>
          <w:p w14:paraId="4B66EB6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1,596.80</w:t>
            </w:r>
          </w:p>
        </w:tc>
        <w:tc>
          <w:tcPr>
            <w:tcW w:w="907" w:type="pct"/>
            <w:shd w:val="clear" w:color="auto" w:fill="auto"/>
            <w:noWrap/>
            <w:vAlign w:val="bottom"/>
            <w:hideMark/>
          </w:tcPr>
          <w:p w14:paraId="4661199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1,841.73</w:t>
            </w:r>
          </w:p>
        </w:tc>
        <w:tc>
          <w:tcPr>
            <w:tcW w:w="931" w:type="pct"/>
            <w:shd w:val="clear" w:color="auto" w:fill="auto"/>
            <w:noWrap/>
            <w:vAlign w:val="bottom"/>
            <w:hideMark/>
          </w:tcPr>
          <w:p w14:paraId="161FB3E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2,338.79</w:t>
            </w:r>
          </w:p>
        </w:tc>
      </w:tr>
      <w:tr w:rsidR="005B5953" w:rsidRPr="005B12AE" w14:paraId="314EFAF9" w14:textId="77777777" w:rsidTr="00250DAC">
        <w:trPr>
          <w:trHeight w:val="20"/>
        </w:trPr>
        <w:tc>
          <w:tcPr>
            <w:tcW w:w="2197" w:type="pct"/>
            <w:shd w:val="clear" w:color="auto" w:fill="auto"/>
            <w:noWrap/>
            <w:vAlign w:val="bottom"/>
            <w:hideMark/>
          </w:tcPr>
          <w:p w14:paraId="405A92D2" w14:textId="77777777" w:rsidR="005B5953" w:rsidRPr="005B12AE" w:rsidRDefault="005B5953" w:rsidP="00250DAC">
            <w:pPr>
              <w:spacing w:after="0" w:line="240" w:lineRule="auto"/>
              <w:ind w:firstLineChars="100" w:firstLine="200"/>
              <w:rPr>
                <w:rFonts w:ascii="Times New Roman" w:hAnsi="Times New Roman"/>
                <w:sz w:val="20"/>
                <w:szCs w:val="20"/>
              </w:rPr>
            </w:pPr>
            <w:r w:rsidRPr="005B12AE">
              <w:rPr>
                <w:rFonts w:ascii="Times New Roman" w:hAnsi="Times New Roman"/>
                <w:sz w:val="20"/>
                <w:szCs w:val="20"/>
              </w:rPr>
              <w:t>(iii) Stock-in-trade</w:t>
            </w:r>
          </w:p>
        </w:tc>
        <w:tc>
          <w:tcPr>
            <w:tcW w:w="965" w:type="pct"/>
            <w:shd w:val="clear" w:color="auto" w:fill="auto"/>
            <w:noWrap/>
            <w:vAlign w:val="bottom"/>
            <w:hideMark/>
          </w:tcPr>
          <w:p w14:paraId="6DBF6C0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26.02</w:t>
            </w:r>
          </w:p>
        </w:tc>
        <w:tc>
          <w:tcPr>
            <w:tcW w:w="907" w:type="pct"/>
            <w:shd w:val="clear" w:color="auto" w:fill="auto"/>
            <w:noWrap/>
            <w:vAlign w:val="bottom"/>
            <w:hideMark/>
          </w:tcPr>
          <w:p w14:paraId="639F943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16.15</w:t>
            </w:r>
          </w:p>
        </w:tc>
        <w:tc>
          <w:tcPr>
            <w:tcW w:w="931" w:type="pct"/>
            <w:shd w:val="clear" w:color="auto" w:fill="auto"/>
            <w:noWrap/>
            <w:vAlign w:val="bottom"/>
            <w:hideMark/>
          </w:tcPr>
          <w:p w14:paraId="7C06F0C0"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1FF4E93D" w14:textId="77777777" w:rsidTr="00250DAC">
        <w:trPr>
          <w:trHeight w:val="20"/>
        </w:trPr>
        <w:tc>
          <w:tcPr>
            <w:tcW w:w="2197" w:type="pct"/>
            <w:shd w:val="clear" w:color="auto" w:fill="auto"/>
            <w:noWrap/>
            <w:vAlign w:val="bottom"/>
            <w:hideMark/>
          </w:tcPr>
          <w:p w14:paraId="3DFEFACC" w14:textId="77777777" w:rsidR="005B5953" w:rsidRPr="005B12AE" w:rsidRDefault="005B5953" w:rsidP="00250DAC">
            <w:pPr>
              <w:spacing w:after="0" w:line="240" w:lineRule="auto"/>
              <w:jc w:val="right"/>
              <w:rPr>
                <w:rFonts w:ascii="Times New Roman" w:hAnsi="Times New Roman"/>
                <w:sz w:val="20"/>
                <w:szCs w:val="20"/>
              </w:rPr>
            </w:pPr>
            <w:r w:rsidRPr="005B12AE">
              <w:rPr>
                <w:rFonts w:ascii="Times New Roman" w:hAnsi="Times New Roman"/>
                <w:sz w:val="20"/>
                <w:szCs w:val="20"/>
              </w:rPr>
              <w:t>Total</w:t>
            </w:r>
          </w:p>
        </w:tc>
        <w:tc>
          <w:tcPr>
            <w:tcW w:w="965" w:type="pct"/>
            <w:shd w:val="clear" w:color="auto" w:fill="auto"/>
            <w:noWrap/>
            <w:vAlign w:val="bottom"/>
            <w:hideMark/>
          </w:tcPr>
          <w:p w14:paraId="79E843DD"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2,035.90</w:t>
            </w:r>
          </w:p>
        </w:tc>
        <w:tc>
          <w:tcPr>
            <w:tcW w:w="907" w:type="pct"/>
            <w:shd w:val="clear" w:color="auto" w:fill="auto"/>
            <w:noWrap/>
            <w:vAlign w:val="bottom"/>
            <w:hideMark/>
          </w:tcPr>
          <w:p w14:paraId="5E807ABB"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2,035.70</w:t>
            </w:r>
          </w:p>
        </w:tc>
        <w:tc>
          <w:tcPr>
            <w:tcW w:w="931" w:type="pct"/>
            <w:shd w:val="clear" w:color="auto" w:fill="auto"/>
            <w:noWrap/>
            <w:vAlign w:val="bottom"/>
            <w:hideMark/>
          </w:tcPr>
          <w:p w14:paraId="01F1451C"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2,627.96</w:t>
            </w:r>
          </w:p>
        </w:tc>
      </w:tr>
      <w:tr w:rsidR="005B5953" w:rsidRPr="005B12AE" w14:paraId="781D9AAD" w14:textId="77777777" w:rsidTr="00250DAC">
        <w:trPr>
          <w:trHeight w:val="20"/>
        </w:trPr>
        <w:tc>
          <w:tcPr>
            <w:tcW w:w="2197" w:type="pct"/>
            <w:shd w:val="clear" w:color="auto" w:fill="auto"/>
            <w:noWrap/>
            <w:vAlign w:val="bottom"/>
            <w:hideMark/>
          </w:tcPr>
          <w:p w14:paraId="11A48722"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Increase/(Decrease) in Stock</w:t>
            </w:r>
          </w:p>
        </w:tc>
        <w:tc>
          <w:tcPr>
            <w:tcW w:w="965" w:type="pct"/>
            <w:shd w:val="clear" w:color="auto" w:fill="auto"/>
            <w:noWrap/>
            <w:vAlign w:val="bottom"/>
            <w:hideMark/>
          </w:tcPr>
          <w:p w14:paraId="6FE0CFC8"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(0.20)</w:t>
            </w:r>
          </w:p>
        </w:tc>
        <w:tc>
          <w:tcPr>
            <w:tcW w:w="907" w:type="pct"/>
            <w:shd w:val="clear" w:color="auto" w:fill="auto"/>
            <w:noWrap/>
            <w:vAlign w:val="bottom"/>
            <w:hideMark/>
          </w:tcPr>
          <w:p w14:paraId="1E9020D9"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592.26</w:t>
            </w:r>
          </w:p>
        </w:tc>
        <w:tc>
          <w:tcPr>
            <w:tcW w:w="931" w:type="pct"/>
            <w:shd w:val="clear" w:color="auto" w:fill="auto"/>
            <w:noWrap/>
            <w:vAlign w:val="bottom"/>
            <w:hideMark/>
          </w:tcPr>
          <w:p w14:paraId="1A48DB9B"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450.75</w:t>
            </w:r>
          </w:p>
        </w:tc>
      </w:tr>
    </w:tbl>
    <w:p w14:paraId="22C3E918" w14:textId="77777777" w:rsidR="005B5953" w:rsidRPr="005B12AE" w:rsidRDefault="005B5953" w:rsidP="005B5953">
      <w:pPr>
        <w:spacing w:after="0"/>
        <w:ind w:left="270" w:hanging="270"/>
        <w:jc w:val="center"/>
        <w:rPr>
          <w:rFonts w:ascii="Times New Roman" w:hAnsi="Times New Roman"/>
          <w:b/>
          <w:bCs/>
          <w:sz w:val="20"/>
          <w:szCs w:val="20"/>
        </w:rPr>
      </w:pPr>
    </w:p>
    <w:p w14:paraId="50D1F624" w14:textId="77777777" w:rsidR="005B5953" w:rsidRPr="005B12AE" w:rsidRDefault="005B5953" w:rsidP="005B5953">
      <w:pPr>
        <w:spacing w:after="0"/>
        <w:ind w:left="270" w:hanging="270"/>
        <w:jc w:val="center"/>
        <w:rPr>
          <w:rFonts w:ascii="Times New Roman" w:hAnsi="Times New Roman"/>
          <w:b/>
          <w:bCs/>
          <w:sz w:val="20"/>
          <w:szCs w:val="20"/>
        </w:rPr>
      </w:pPr>
      <w:r w:rsidRPr="005B12AE">
        <w:rPr>
          <w:rFonts w:ascii="Times New Roman" w:hAnsi="Times New Roman"/>
          <w:b/>
          <w:bCs/>
          <w:sz w:val="20"/>
          <w:szCs w:val="20"/>
        </w:rPr>
        <w:t>NOTE – R</w:t>
      </w:r>
    </w:p>
    <w:p w14:paraId="21DC944D" w14:textId="77777777" w:rsidR="005B5953" w:rsidRPr="005B12AE" w:rsidRDefault="005B5953" w:rsidP="005B5953">
      <w:pPr>
        <w:spacing w:after="0"/>
        <w:ind w:left="270" w:hanging="270"/>
        <w:jc w:val="center"/>
        <w:rPr>
          <w:rFonts w:ascii="Times New Roman" w:hAnsi="Times New Roman"/>
          <w:b/>
          <w:bCs/>
          <w:sz w:val="20"/>
          <w:szCs w:val="20"/>
        </w:rPr>
      </w:pPr>
    </w:p>
    <w:p w14:paraId="263223EB" w14:textId="77777777" w:rsidR="005B5953" w:rsidRPr="005B12AE" w:rsidRDefault="005B5953" w:rsidP="005B5953">
      <w:pPr>
        <w:spacing w:after="0"/>
        <w:ind w:left="270" w:hanging="270"/>
        <w:jc w:val="center"/>
        <w:rPr>
          <w:rFonts w:ascii="Times New Roman" w:hAnsi="Times New Roman"/>
          <w:b/>
          <w:bCs/>
          <w:sz w:val="20"/>
          <w:szCs w:val="20"/>
        </w:rPr>
      </w:pPr>
      <w:r w:rsidRPr="005B12AE">
        <w:rPr>
          <w:rFonts w:ascii="Times New Roman" w:hAnsi="Times New Roman"/>
          <w:b/>
          <w:bCs/>
          <w:sz w:val="20"/>
          <w:szCs w:val="20"/>
        </w:rPr>
        <w:t>RESTATED STATEMENT OF EMPLOYEE BENEFITS EXPENSE</w:t>
      </w:r>
    </w:p>
    <w:p w14:paraId="6C98AEF5" w14:textId="77777777" w:rsidR="005B5953" w:rsidRPr="005B12AE" w:rsidRDefault="005B5953" w:rsidP="005B5953">
      <w:pPr>
        <w:spacing w:after="0"/>
        <w:jc w:val="right"/>
        <w:rPr>
          <w:rFonts w:ascii="Times New Roman" w:hAnsi="Times New Roman"/>
          <w:b/>
          <w:bCs/>
          <w:sz w:val="20"/>
          <w:szCs w:val="20"/>
        </w:rPr>
      </w:pPr>
      <w:r w:rsidRPr="005B12AE">
        <w:rPr>
          <w:rFonts w:ascii="Times New Roman" w:hAnsi="Times New Roman"/>
          <w:b/>
          <w:bCs/>
          <w:sz w:val="20"/>
          <w:szCs w:val="20"/>
        </w:rPr>
        <w:t>(₹ in Lakhs)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0"/>
        <w:gridCol w:w="2010"/>
        <w:gridCol w:w="1930"/>
        <w:gridCol w:w="1876"/>
      </w:tblGrid>
      <w:tr w:rsidR="005B5953" w:rsidRPr="005B12AE" w14:paraId="06A2A032" w14:textId="77777777" w:rsidTr="003B4BCE">
        <w:trPr>
          <w:trHeight w:val="20"/>
          <w:tblHeader/>
        </w:trPr>
        <w:tc>
          <w:tcPr>
            <w:tcW w:w="2219" w:type="pct"/>
            <w:vMerge w:val="restart"/>
            <w:shd w:val="clear" w:color="auto" w:fill="D0CECE" w:themeFill="background2" w:themeFillShade="E6"/>
            <w:noWrap/>
            <w:vAlign w:val="center"/>
            <w:hideMark/>
          </w:tcPr>
          <w:p w14:paraId="387CDCDF"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Particulars</w:t>
            </w:r>
          </w:p>
        </w:tc>
        <w:tc>
          <w:tcPr>
            <w:tcW w:w="2781" w:type="pct"/>
            <w:gridSpan w:val="3"/>
            <w:shd w:val="clear" w:color="auto" w:fill="D0CECE" w:themeFill="background2" w:themeFillShade="E6"/>
            <w:noWrap/>
            <w:vAlign w:val="bottom"/>
            <w:hideMark/>
          </w:tcPr>
          <w:p w14:paraId="2932383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For the Year ended</w:t>
            </w:r>
          </w:p>
        </w:tc>
      </w:tr>
      <w:tr w:rsidR="005B5953" w:rsidRPr="005B12AE" w14:paraId="309E7CAC" w14:textId="77777777" w:rsidTr="003B4BCE">
        <w:trPr>
          <w:trHeight w:val="20"/>
          <w:tblHeader/>
        </w:trPr>
        <w:tc>
          <w:tcPr>
            <w:tcW w:w="2219" w:type="pct"/>
            <w:vMerge/>
            <w:shd w:val="clear" w:color="auto" w:fill="D0CECE" w:themeFill="background2" w:themeFillShade="E6"/>
            <w:vAlign w:val="center"/>
            <w:hideMark/>
          </w:tcPr>
          <w:p w14:paraId="27E86353" w14:textId="77777777" w:rsidR="005B5953" w:rsidRPr="005B12AE" w:rsidRDefault="005B5953" w:rsidP="00250DAC">
            <w:pPr>
              <w:spacing w:after="0" w:line="240" w:lineRule="auto"/>
              <w:rPr>
                <w:rFonts w:ascii="Times New Roman" w:hAnsi="Times New Roman"/>
                <w:b/>
                <w:bCs/>
                <w:sz w:val="20"/>
                <w:szCs w:val="20"/>
              </w:rPr>
            </w:pPr>
          </w:p>
        </w:tc>
        <w:tc>
          <w:tcPr>
            <w:tcW w:w="961" w:type="pct"/>
            <w:shd w:val="clear" w:color="auto" w:fill="D0CECE" w:themeFill="background2" w:themeFillShade="E6"/>
            <w:noWrap/>
            <w:vAlign w:val="bottom"/>
            <w:hideMark/>
          </w:tcPr>
          <w:p w14:paraId="193733BB"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31/03/2023</w:t>
            </w:r>
          </w:p>
        </w:tc>
        <w:tc>
          <w:tcPr>
            <w:tcW w:w="923" w:type="pct"/>
            <w:shd w:val="clear" w:color="auto" w:fill="D0CECE" w:themeFill="background2" w:themeFillShade="E6"/>
            <w:noWrap/>
            <w:vAlign w:val="bottom"/>
            <w:hideMark/>
          </w:tcPr>
          <w:p w14:paraId="75C858D5"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31/03/2022</w:t>
            </w:r>
          </w:p>
        </w:tc>
        <w:tc>
          <w:tcPr>
            <w:tcW w:w="897" w:type="pct"/>
            <w:shd w:val="clear" w:color="auto" w:fill="D0CECE" w:themeFill="background2" w:themeFillShade="E6"/>
            <w:noWrap/>
            <w:vAlign w:val="bottom"/>
            <w:hideMark/>
          </w:tcPr>
          <w:p w14:paraId="2204E3A9"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31/03/2021</w:t>
            </w:r>
          </w:p>
        </w:tc>
      </w:tr>
      <w:tr w:rsidR="005B5953" w:rsidRPr="005B12AE" w14:paraId="6AB411F3" w14:textId="77777777" w:rsidTr="00250DAC">
        <w:trPr>
          <w:trHeight w:val="20"/>
        </w:trPr>
        <w:tc>
          <w:tcPr>
            <w:tcW w:w="2219" w:type="pct"/>
            <w:shd w:val="clear" w:color="auto" w:fill="auto"/>
            <w:noWrap/>
            <w:vAlign w:val="bottom"/>
            <w:hideMark/>
          </w:tcPr>
          <w:p w14:paraId="4B21A7C1"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Salary and Wages </w:t>
            </w:r>
          </w:p>
        </w:tc>
        <w:tc>
          <w:tcPr>
            <w:tcW w:w="961" w:type="pct"/>
            <w:shd w:val="clear" w:color="auto" w:fill="auto"/>
            <w:noWrap/>
            <w:vAlign w:val="bottom"/>
            <w:hideMark/>
          </w:tcPr>
          <w:p w14:paraId="652D65B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180.67</w:t>
            </w:r>
          </w:p>
        </w:tc>
        <w:tc>
          <w:tcPr>
            <w:tcW w:w="923" w:type="pct"/>
            <w:shd w:val="clear" w:color="auto" w:fill="auto"/>
            <w:noWrap/>
            <w:vAlign w:val="bottom"/>
            <w:hideMark/>
          </w:tcPr>
          <w:p w14:paraId="19A3E5B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181.17</w:t>
            </w:r>
          </w:p>
        </w:tc>
        <w:tc>
          <w:tcPr>
            <w:tcW w:w="897" w:type="pct"/>
            <w:shd w:val="clear" w:color="auto" w:fill="auto"/>
            <w:noWrap/>
            <w:vAlign w:val="bottom"/>
            <w:hideMark/>
          </w:tcPr>
          <w:p w14:paraId="3FB054D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232.91</w:t>
            </w:r>
          </w:p>
        </w:tc>
      </w:tr>
      <w:tr w:rsidR="005B5953" w:rsidRPr="005B12AE" w14:paraId="7152085A" w14:textId="77777777" w:rsidTr="00250DAC">
        <w:trPr>
          <w:trHeight w:val="20"/>
        </w:trPr>
        <w:tc>
          <w:tcPr>
            <w:tcW w:w="2219" w:type="pct"/>
            <w:shd w:val="clear" w:color="auto" w:fill="auto"/>
            <w:noWrap/>
            <w:vAlign w:val="bottom"/>
            <w:hideMark/>
          </w:tcPr>
          <w:p w14:paraId="1921808E"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PF Expenses</w:t>
            </w:r>
          </w:p>
        </w:tc>
        <w:tc>
          <w:tcPr>
            <w:tcW w:w="961" w:type="pct"/>
            <w:shd w:val="clear" w:color="auto" w:fill="auto"/>
            <w:noWrap/>
            <w:vAlign w:val="bottom"/>
            <w:hideMark/>
          </w:tcPr>
          <w:p w14:paraId="354D82E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2.35</w:t>
            </w:r>
          </w:p>
        </w:tc>
        <w:tc>
          <w:tcPr>
            <w:tcW w:w="923" w:type="pct"/>
            <w:shd w:val="clear" w:color="auto" w:fill="auto"/>
            <w:noWrap/>
            <w:vAlign w:val="bottom"/>
            <w:hideMark/>
          </w:tcPr>
          <w:p w14:paraId="79A4B8E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97" w:type="pct"/>
            <w:shd w:val="clear" w:color="auto" w:fill="auto"/>
            <w:noWrap/>
            <w:vAlign w:val="bottom"/>
            <w:hideMark/>
          </w:tcPr>
          <w:p w14:paraId="3F566AF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0FF07A5F" w14:textId="77777777" w:rsidTr="00250DAC">
        <w:trPr>
          <w:trHeight w:val="20"/>
        </w:trPr>
        <w:tc>
          <w:tcPr>
            <w:tcW w:w="2219" w:type="pct"/>
            <w:shd w:val="clear" w:color="auto" w:fill="auto"/>
            <w:noWrap/>
            <w:vAlign w:val="bottom"/>
            <w:hideMark/>
          </w:tcPr>
          <w:p w14:paraId="73174C3E"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Remuneration to Directors &amp; MD</w:t>
            </w:r>
          </w:p>
        </w:tc>
        <w:tc>
          <w:tcPr>
            <w:tcW w:w="961" w:type="pct"/>
            <w:shd w:val="clear" w:color="auto" w:fill="auto"/>
            <w:noWrap/>
            <w:vAlign w:val="bottom"/>
            <w:hideMark/>
          </w:tcPr>
          <w:p w14:paraId="5FD4E7E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134.40</w:t>
            </w:r>
          </w:p>
        </w:tc>
        <w:tc>
          <w:tcPr>
            <w:tcW w:w="923" w:type="pct"/>
            <w:shd w:val="clear" w:color="auto" w:fill="auto"/>
            <w:noWrap/>
            <w:vAlign w:val="bottom"/>
            <w:hideMark/>
          </w:tcPr>
          <w:p w14:paraId="05D23D4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120.00</w:t>
            </w:r>
          </w:p>
        </w:tc>
        <w:tc>
          <w:tcPr>
            <w:tcW w:w="897" w:type="pct"/>
            <w:shd w:val="clear" w:color="auto" w:fill="auto"/>
            <w:noWrap/>
            <w:vAlign w:val="bottom"/>
            <w:hideMark/>
          </w:tcPr>
          <w:p w14:paraId="6D84850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96.00</w:t>
            </w:r>
          </w:p>
        </w:tc>
      </w:tr>
      <w:tr w:rsidR="005B5953" w:rsidRPr="005B12AE" w14:paraId="69C5B075" w14:textId="77777777" w:rsidTr="00250DAC">
        <w:trPr>
          <w:trHeight w:val="20"/>
        </w:trPr>
        <w:tc>
          <w:tcPr>
            <w:tcW w:w="2219" w:type="pct"/>
            <w:shd w:val="clear" w:color="auto" w:fill="auto"/>
            <w:noWrap/>
            <w:vAlign w:val="bottom"/>
            <w:hideMark/>
          </w:tcPr>
          <w:p w14:paraId="179348BC"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Staff Welfare Expenses </w:t>
            </w:r>
          </w:p>
        </w:tc>
        <w:tc>
          <w:tcPr>
            <w:tcW w:w="961" w:type="pct"/>
            <w:shd w:val="clear" w:color="auto" w:fill="auto"/>
            <w:noWrap/>
            <w:vAlign w:val="bottom"/>
            <w:hideMark/>
          </w:tcPr>
          <w:p w14:paraId="085A0CF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22.92</w:t>
            </w:r>
          </w:p>
        </w:tc>
        <w:tc>
          <w:tcPr>
            <w:tcW w:w="923" w:type="pct"/>
            <w:shd w:val="clear" w:color="auto" w:fill="auto"/>
            <w:noWrap/>
            <w:vAlign w:val="bottom"/>
            <w:hideMark/>
          </w:tcPr>
          <w:p w14:paraId="01AF5FA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23.52</w:t>
            </w:r>
          </w:p>
        </w:tc>
        <w:tc>
          <w:tcPr>
            <w:tcW w:w="897" w:type="pct"/>
            <w:shd w:val="clear" w:color="auto" w:fill="auto"/>
            <w:noWrap/>
            <w:vAlign w:val="bottom"/>
            <w:hideMark/>
          </w:tcPr>
          <w:p w14:paraId="3FF65FC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7.43</w:t>
            </w:r>
          </w:p>
        </w:tc>
      </w:tr>
      <w:tr w:rsidR="005B5953" w:rsidRPr="005B12AE" w14:paraId="56FAEE47" w14:textId="77777777" w:rsidTr="00250DAC">
        <w:trPr>
          <w:trHeight w:val="20"/>
        </w:trPr>
        <w:tc>
          <w:tcPr>
            <w:tcW w:w="2219" w:type="pct"/>
            <w:shd w:val="clear" w:color="auto" w:fill="auto"/>
            <w:noWrap/>
            <w:vAlign w:val="bottom"/>
            <w:hideMark/>
          </w:tcPr>
          <w:p w14:paraId="600F74CF"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Gratuity Expense</w:t>
            </w:r>
          </w:p>
        </w:tc>
        <w:tc>
          <w:tcPr>
            <w:tcW w:w="961" w:type="pct"/>
            <w:shd w:val="clear" w:color="auto" w:fill="auto"/>
            <w:noWrap/>
            <w:vAlign w:val="bottom"/>
            <w:hideMark/>
          </w:tcPr>
          <w:p w14:paraId="4C01102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1.69</w:t>
            </w:r>
          </w:p>
        </w:tc>
        <w:tc>
          <w:tcPr>
            <w:tcW w:w="923" w:type="pct"/>
            <w:shd w:val="clear" w:color="auto" w:fill="auto"/>
            <w:noWrap/>
            <w:vAlign w:val="bottom"/>
            <w:hideMark/>
          </w:tcPr>
          <w:p w14:paraId="5FD571A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0.63</w:t>
            </w:r>
          </w:p>
        </w:tc>
        <w:tc>
          <w:tcPr>
            <w:tcW w:w="897" w:type="pct"/>
            <w:shd w:val="clear" w:color="auto" w:fill="auto"/>
            <w:noWrap/>
            <w:vAlign w:val="bottom"/>
            <w:hideMark/>
          </w:tcPr>
          <w:p w14:paraId="1A76B49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15.68</w:t>
            </w:r>
          </w:p>
        </w:tc>
      </w:tr>
      <w:tr w:rsidR="005B5953" w:rsidRPr="005B12AE" w14:paraId="6F7F9E39" w14:textId="77777777" w:rsidTr="00250DAC">
        <w:trPr>
          <w:trHeight w:val="20"/>
        </w:trPr>
        <w:tc>
          <w:tcPr>
            <w:tcW w:w="2219" w:type="pct"/>
            <w:shd w:val="clear" w:color="auto" w:fill="auto"/>
            <w:noWrap/>
            <w:vAlign w:val="bottom"/>
            <w:hideMark/>
          </w:tcPr>
          <w:p w14:paraId="7394096F"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Total</w:t>
            </w:r>
          </w:p>
        </w:tc>
        <w:tc>
          <w:tcPr>
            <w:tcW w:w="961" w:type="pct"/>
            <w:shd w:val="clear" w:color="auto" w:fill="auto"/>
            <w:noWrap/>
            <w:vAlign w:val="bottom"/>
            <w:hideMark/>
          </w:tcPr>
          <w:p w14:paraId="113AD9E5"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342.03</w:t>
            </w:r>
          </w:p>
        </w:tc>
        <w:tc>
          <w:tcPr>
            <w:tcW w:w="923" w:type="pct"/>
            <w:shd w:val="clear" w:color="auto" w:fill="auto"/>
            <w:noWrap/>
            <w:vAlign w:val="bottom"/>
            <w:hideMark/>
          </w:tcPr>
          <w:p w14:paraId="19C5CF5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325.32</w:t>
            </w:r>
          </w:p>
        </w:tc>
        <w:tc>
          <w:tcPr>
            <w:tcW w:w="897" w:type="pct"/>
            <w:shd w:val="clear" w:color="auto" w:fill="auto"/>
            <w:noWrap/>
            <w:vAlign w:val="bottom"/>
            <w:hideMark/>
          </w:tcPr>
          <w:p w14:paraId="54AF98A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352.02</w:t>
            </w:r>
          </w:p>
        </w:tc>
      </w:tr>
    </w:tbl>
    <w:p w14:paraId="0DE5D7F6" w14:textId="77777777" w:rsidR="005B5953" w:rsidRPr="005B12AE" w:rsidRDefault="005B5953" w:rsidP="005B5953">
      <w:pPr>
        <w:spacing w:after="0"/>
        <w:ind w:left="270" w:hanging="270"/>
        <w:jc w:val="center"/>
        <w:rPr>
          <w:rFonts w:ascii="Times New Roman" w:hAnsi="Times New Roman"/>
          <w:b/>
          <w:bCs/>
          <w:sz w:val="20"/>
          <w:szCs w:val="20"/>
        </w:rPr>
      </w:pPr>
    </w:p>
    <w:p w14:paraId="5B7FBAF7" w14:textId="77777777" w:rsidR="005B5953" w:rsidRPr="005B12AE" w:rsidRDefault="005B5953" w:rsidP="005B5953">
      <w:pPr>
        <w:spacing w:after="0"/>
        <w:ind w:left="270" w:hanging="270"/>
        <w:jc w:val="center"/>
        <w:rPr>
          <w:rFonts w:ascii="Times New Roman" w:hAnsi="Times New Roman"/>
          <w:b/>
          <w:bCs/>
          <w:sz w:val="20"/>
          <w:szCs w:val="20"/>
        </w:rPr>
      </w:pPr>
      <w:r w:rsidRPr="005B12AE">
        <w:rPr>
          <w:rFonts w:ascii="Times New Roman" w:hAnsi="Times New Roman"/>
          <w:b/>
          <w:bCs/>
          <w:sz w:val="20"/>
          <w:szCs w:val="20"/>
        </w:rPr>
        <w:t>NOTE – S</w:t>
      </w:r>
    </w:p>
    <w:p w14:paraId="4E347869" w14:textId="77777777" w:rsidR="005B5953" w:rsidRPr="005B12AE" w:rsidRDefault="005B5953" w:rsidP="005B5953">
      <w:pPr>
        <w:spacing w:after="0"/>
        <w:ind w:left="270" w:hanging="270"/>
        <w:jc w:val="center"/>
        <w:rPr>
          <w:rFonts w:ascii="Times New Roman" w:hAnsi="Times New Roman"/>
          <w:b/>
          <w:bCs/>
          <w:sz w:val="20"/>
          <w:szCs w:val="20"/>
        </w:rPr>
      </w:pPr>
    </w:p>
    <w:p w14:paraId="4DFC3673" w14:textId="77777777" w:rsidR="005B5953" w:rsidRPr="005B12AE" w:rsidRDefault="005B5953" w:rsidP="005B5953">
      <w:pPr>
        <w:spacing w:after="0"/>
        <w:ind w:left="270" w:hanging="270"/>
        <w:jc w:val="center"/>
        <w:rPr>
          <w:rFonts w:ascii="Times New Roman" w:hAnsi="Times New Roman"/>
          <w:b/>
          <w:bCs/>
          <w:sz w:val="20"/>
          <w:szCs w:val="20"/>
        </w:rPr>
      </w:pPr>
      <w:r w:rsidRPr="005B12AE">
        <w:rPr>
          <w:rFonts w:ascii="Times New Roman" w:hAnsi="Times New Roman"/>
          <w:b/>
          <w:bCs/>
          <w:sz w:val="20"/>
          <w:szCs w:val="20"/>
        </w:rPr>
        <w:t>RESTATED STATEMENT OF FINANCE COST</w:t>
      </w:r>
    </w:p>
    <w:p w14:paraId="5FC1BF9A" w14:textId="77777777" w:rsidR="005B5953" w:rsidRPr="005B12AE" w:rsidRDefault="005B5953" w:rsidP="005B5953">
      <w:pPr>
        <w:spacing w:after="0"/>
        <w:jc w:val="right"/>
        <w:rPr>
          <w:rFonts w:ascii="Times New Roman" w:hAnsi="Times New Roman"/>
          <w:b/>
          <w:bCs/>
          <w:sz w:val="20"/>
          <w:szCs w:val="20"/>
        </w:rPr>
      </w:pPr>
      <w:r w:rsidRPr="005B12AE">
        <w:rPr>
          <w:rFonts w:ascii="Times New Roman" w:hAnsi="Times New Roman"/>
          <w:b/>
          <w:bCs/>
          <w:sz w:val="20"/>
          <w:szCs w:val="20"/>
        </w:rPr>
        <w:t>(₹ in Lakhs)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3"/>
        <w:gridCol w:w="1909"/>
        <w:gridCol w:w="1909"/>
        <w:gridCol w:w="1775"/>
      </w:tblGrid>
      <w:tr w:rsidR="005B5953" w:rsidRPr="005B12AE" w14:paraId="0C354E22" w14:textId="77777777" w:rsidTr="00250DAC">
        <w:trPr>
          <w:trHeight w:val="20"/>
        </w:trPr>
        <w:tc>
          <w:tcPr>
            <w:tcW w:w="2325" w:type="pct"/>
            <w:vMerge w:val="restart"/>
            <w:shd w:val="clear" w:color="auto" w:fill="D0CECE" w:themeFill="background2" w:themeFillShade="E6"/>
            <w:noWrap/>
            <w:vAlign w:val="center"/>
            <w:hideMark/>
          </w:tcPr>
          <w:p w14:paraId="26E07161"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Particulars</w:t>
            </w:r>
          </w:p>
        </w:tc>
        <w:tc>
          <w:tcPr>
            <w:tcW w:w="2675" w:type="pct"/>
            <w:gridSpan w:val="3"/>
            <w:shd w:val="clear" w:color="auto" w:fill="D0CECE" w:themeFill="background2" w:themeFillShade="E6"/>
            <w:noWrap/>
            <w:vAlign w:val="bottom"/>
            <w:hideMark/>
          </w:tcPr>
          <w:p w14:paraId="0B6A6870"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For the Year ended</w:t>
            </w:r>
          </w:p>
        </w:tc>
      </w:tr>
      <w:tr w:rsidR="005B5953" w:rsidRPr="005B12AE" w14:paraId="40F47E3A" w14:textId="77777777" w:rsidTr="00250DAC">
        <w:trPr>
          <w:trHeight w:val="20"/>
        </w:trPr>
        <w:tc>
          <w:tcPr>
            <w:tcW w:w="2325" w:type="pct"/>
            <w:vMerge/>
            <w:shd w:val="clear" w:color="auto" w:fill="D0CECE" w:themeFill="background2" w:themeFillShade="E6"/>
            <w:vAlign w:val="center"/>
            <w:hideMark/>
          </w:tcPr>
          <w:p w14:paraId="74031FBA" w14:textId="77777777" w:rsidR="005B5953" w:rsidRPr="005B12AE" w:rsidRDefault="005B5953" w:rsidP="00250DAC">
            <w:pPr>
              <w:spacing w:after="0" w:line="240" w:lineRule="auto"/>
              <w:rPr>
                <w:rFonts w:ascii="Times New Roman" w:hAnsi="Times New Roman"/>
                <w:b/>
                <w:bCs/>
                <w:sz w:val="20"/>
                <w:szCs w:val="20"/>
              </w:rPr>
            </w:pPr>
          </w:p>
        </w:tc>
        <w:tc>
          <w:tcPr>
            <w:tcW w:w="913" w:type="pct"/>
            <w:shd w:val="clear" w:color="auto" w:fill="D0CECE" w:themeFill="background2" w:themeFillShade="E6"/>
            <w:noWrap/>
            <w:vAlign w:val="bottom"/>
            <w:hideMark/>
          </w:tcPr>
          <w:p w14:paraId="36E5174F"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31/03/2023</w:t>
            </w:r>
          </w:p>
        </w:tc>
        <w:tc>
          <w:tcPr>
            <w:tcW w:w="913" w:type="pct"/>
            <w:shd w:val="clear" w:color="auto" w:fill="D0CECE" w:themeFill="background2" w:themeFillShade="E6"/>
            <w:noWrap/>
            <w:vAlign w:val="bottom"/>
            <w:hideMark/>
          </w:tcPr>
          <w:p w14:paraId="0DBC0B8B"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31/03/2022</w:t>
            </w:r>
          </w:p>
        </w:tc>
        <w:tc>
          <w:tcPr>
            <w:tcW w:w="849" w:type="pct"/>
            <w:shd w:val="clear" w:color="auto" w:fill="D0CECE" w:themeFill="background2" w:themeFillShade="E6"/>
            <w:noWrap/>
            <w:vAlign w:val="bottom"/>
            <w:hideMark/>
          </w:tcPr>
          <w:p w14:paraId="02137ECF"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31/03/2021</w:t>
            </w:r>
          </w:p>
        </w:tc>
      </w:tr>
      <w:tr w:rsidR="005B5953" w:rsidRPr="005B12AE" w14:paraId="31FDB7C2" w14:textId="77777777" w:rsidTr="00250DAC">
        <w:trPr>
          <w:trHeight w:val="20"/>
        </w:trPr>
        <w:tc>
          <w:tcPr>
            <w:tcW w:w="2325" w:type="pct"/>
            <w:shd w:val="clear" w:color="auto" w:fill="auto"/>
            <w:noWrap/>
            <w:vAlign w:val="bottom"/>
            <w:hideMark/>
          </w:tcPr>
          <w:p w14:paraId="7E9B454B"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Interest expense</w:t>
            </w:r>
          </w:p>
        </w:tc>
        <w:tc>
          <w:tcPr>
            <w:tcW w:w="913" w:type="pct"/>
            <w:shd w:val="clear" w:color="auto" w:fill="auto"/>
            <w:noWrap/>
            <w:vAlign w:val="bottom"/>
            <w:hideMark/>
          </w:tcPr>
          <w:p w14:paraId="25BE575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406.76</w:t>
            </w:r>
          </w:p>
        </w:tc>
        <w:tc>
          <w:tcPr>
            <w:tcW w:w="913" w:type="pct"/>
            <w:shd w:val="clear" w:color="auto" w:fill="auto"/>
            <w:noWrap/>
            <w:vAlign w:val="bottom"/>
            <w:hideMark/>
          </w:tcPr>
          <w:p w14:paraId="122A743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207.59</w:t>
            </w:r>
          </w:p>
        </w:tc>
        <w:tc>
          <w:tcPr>
            <w:tcW w:w="849" w:type="pct"/>
            <w:shd w:val="clear" w:color="auto" w:fill="auto"/>
            <w:noWrap/>
            <w:vAlign w:val="bottom"/>
            <w:hideMark/>
          </w:tcPr>
          <w:p w14:paraId="01B904E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150.66</w:t>
            </w:r>
          </w:p>
        </w:tc>
      </w:tr>
      <w:tr w:rsidR="005B5953" w:rsidRPr="005B12AE" w14:paraId="2A455092" w14:textId="77777777" w:rsidTr="00250DAC">
        <w:trPr>
          <w:trHeight w:val="20"/>
        </w:trPr>
        <w:tc>
          <w:tcPr>
            <w:tcW w:w="2325" w:type="pct"/>
            <w:shd w:val="clear" w:color="auto" w:fill="auto"/>
            <w:noWrap/>
            <w:vAlign w:val="bottom"/>
            <w:hideMark/>
          </w:tcPr>
          <w:p w14:paraId="6D7F5CE7"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Currency Rate Difference</w:t>
            </w:r>
          </w:p>
        </w:tc>
        <w:tc>
          <w:tcPr>
            <w:tcW w:w="913" w:type="pct"/>
            <w:shd w:val="clear" w:color="auto" w:fill="auto"/>
            <w:noWrap/>
            <w:vAlign w:val="bottom"/>
            <w:hideMark/>
          </w:tcPr>
          <w:p w14:paraId="4A1BE91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913" w:type="pct"/>
            <w:shd w:val="clear" w:color="auto" w:fill="auto"/>
            <w:noWrap/>
            <w:vAlign w:val="bottom"/>
            <w:hideMark/>
          </w:tcPr>
          <w:p w14:paraId="2BC9721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0.56</w:t>
            </w:r>
          </w:p>
        </w:tc>
        <w:tc>
          <w:tcPr>
            <w:tcW w:w="849" w:type="pct"/>
            <w:shd w:val="clear" w:color="auto" w:fill="auto"/>
            <w:noWrap/>
            <w:vAlign w:val="bottom"/>
            <w:hideMark/>
          </w:tcPr>
          <w:p w14:paraId="6A2BB82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1615C6ED" w14:textId="77777777" w:rsidTr="00250DAC">
        <w:trPr>
          <w:trHeight w:val="20"/>
        </w:trPr>
        <w:tc>
          <w:tcPr>
            <w:tcW w:w="2325" w:type="pct"/>
            <w:shd w:val="clear" w:color="auto" w:fill="auto"/>
            <w:noWrap/>
            <w:vAlign w:val="bottom"/>
            <w:hideMark/>
          </w:tcPr>
          <w:p w14:paraId="4030A9AF"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Other Borrowing cost</w:t>
            </w:r>
          </w:p>
        </w:tc>
        <w:tc>
          <w:tcPr>
            <w:tcW w:w="913" w:type="pct"/>
            <w:shd w:val="clear" w:color="auto" w:fill="auto"/>
            <w:noWrap/>
            <w:vAlign w:val="bottom"/>
            <w:hideMark/>
          </w:tcPr>
          <w:p w14:paraId="25EA84B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34.89</w:t>
            </w:r>
          </w:p>
        </w:tc>
        <w:tc>
          <w:tcPr>
            <w:tcW w:w="913" w:type="pct"/>
            <w:shd w:val="clear" w:color="auto" w:fill="auto"/>
            <w:noWrap/>
            <w:vAlign w:val="bottom"/>
            <w:hideMark/>
          </w:tcPr>
          <w:p w14:paraId="30F1B6F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36.07</w:t>
            </w:r>
          </w:p>
        </w:tc>
        <w:tc>
          <w:tcPr>
            <w:tcW w:w="849" w:type="pct"/>
            <w:shd w:val="clear" w:color="auto" w:fill="auto"/>
            <w:noWrap/>
            <w:vAlign w:val="bottom"/>
            <w:hideMark/>
          </w:tcPr>
          <w:p w14:paraId="4405302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3.23</w:t>
            </w:r>
          </w:p>
        </w:tc>
      </w:tr>
      <w:tr w:rsidR="005B5953" w:rsidRPr="005B12AE" w14:paraId="6A7725EE" w14:textId="77777777" w:rsidTr="00250DAC">
        <w:trPr>
          <w:trHeight w:val="20"/>
        </w:trPr>
        <w:tc>
          <w:tcPr>
            <w:tcW w:w="2325" w:type="pct"/>
            <w:shd w:val="clear" w:color="auto" w:fill="auto"/>
            <w:noWrap/>
            <w:vAlign w:val="bottom"/>
            <w:hideMark/>
          </w:tcPr>
          <w:p w14:paraId="5C7D3BC0"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Interest on Gratuity </w:t>
            </w:r>
          </w:p>
        </w:tc>
        <w:tc>
          <w:tcPr>
            <w:tcW w:w="913" w:type="pct"/>
            <w:shd w:val="clear" w:color="auto" w:fill="auto"/>
            <w:noWrap/>
            <w:vAlign w:val="bottom"/>
            <w:hideMark/>
          </w:tcPr>
          <w:p w14:paraId="4B6A23C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1.18</w:t>
            </w:r>
          </w:p>
        </w:tc>
        <w:tc>
          <w:tcPr>
            <w:tcW w:w="913" w:type="pct"/>
            <w:shd w:val="clear" w:color="auto" w:fill="auto"/>
            <w:noWrap/>
            <w:vAlign w:val="bottom"/>
            <w:hideMark/>
          </w:tcPr>
          <w:p w14:paraId="41EC03E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1.03</w:t>
            </w:r>
          </w:p>
        </w:tc>
        <w:tc>
          <w:tcPr>
            <w:tcW w:w="849" w:type="pct"/>
            <w:shd w:val="clear" w:color="auto" w:fill="auto"/>
            <w:noWrap/>
            <w:vAlign w:val="bottom"/>
            <w:hideMark/>
          </w:tcPr>
          <w:p w14:paraId="165F8B7E"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1084CC12" w14:textId="77777777" w:rsidTr="00250DAC">
        <w:trPr>
          <w:trHeight w:val="20"/>
        </w:trPr>
        <w:tc>
          <w:tcPr>
            <w:tcW w:w="2325" w:type="pct"/>
            <w:shd w:val="clear" w:color="auto" w:fill="auto"/>
            <w:noWrap/>
            <w:vAlign w:val="bottom"/>
            <w:hideMark/>
          </w:tcPr>
          <w:p w14:paraId="77F70E66"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Total</w:t>
            </w:r>
          </w:p>
        </w:tc>
        <w:tc>
          <w:tcPr>
            <w:tcW w:w="913" w:type="pct"/>
            <w:shd w:val="clear" w:color="auto" w:fill="auto"/>
            <w:noWrap/>
            <w:vAlign w:val="bottom"/>
            <w:hideMark/>
          </w:tcPr>
          <w:p w14:paraId="5BF0515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442.82</w:t>
            </w:r>
          </w:p>
        </w:tc>
        <w:tc>
          <w:tcPr>
            <w:tcW w:w="913" w:type="pct"/>
            <w:shd w:val="clear" w:color="auto" w:fill="auto"/>
            <w:noWrap/>
            <w:vAlign w:val="bottom"/>
            <w:hideMark/>
          </w:tcPr>
          <w:p w14:paraId="2D6C90C8"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245.24</w:t>
            </w:r>
          </w:p>
        </w:tc>
        <w:tc>
          <w:tcPr>
            <w:tcW w:w="849" w:type="pct"/>
            <w:shd w:val="clear" w:color="auto" w:fill="auto"/>
            <w:noWrap/>
            <w:vAlign w:val="bottom"/>
            <w:hideMark/>
          </w:tcPr>
          <w:p w14:paraId="38FB01E7"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153.89</w:t>
            </w:r>
          </w:p>
        </w:tc>
      </w:tr>
    </w:tbl>
    <w:p w14:paraId="51957726" w14:textId="77777777" w:rsidR="005B5953" w:rsidRPr="005B12AE" w:rsidRDefault="005B5953" w:rsidP="005B5953">
      <w:pPr>
        <w:spacing w:after="0"/>
        <w:ind w:left="270" w:hanging="270"/>
        <w:jc w:val="center"/>
        <w:rPr>
          <w:rFonts w:ascii="Times New Roman" w:hAnsi="Times New Roman"/>
          <w:b/>
          <w:bCs/>
          <w:sz w:val="20"/>
          <w:szCs w:val="20"/>
        </w:rPr>
      </w:pPr>
    </w:p>
    <w:p w14:paraId="6E08D7E0" w14:textId="77777777" w:rsidR="005B5953" w:rsidRPr="005B12AE" w:rsidRDefault="005B5953" w:rsidP="005B5953">
      <w:pPr>
        <w:spacing w:after="0"/>
        <w:ind w:left="270" w:hanging="270"/>
        <w:jc w:val="center"/>
        <w:rPr>
          <w:rFonts w:ascii="Times New Roman" w:hAnsi="Times New Roman"/>
          <w:b/>
          <w:bCs/>
          <w:sz w:val="20"/>
          <w:szCs w:val="20"/>
        </w:rPr>
      </w:pPr>
      <w:r w:rsidRPr="005B12AE">
        <w:rPr>
          <w:rFonts w:ascii="Times New Roman" w:hAnsi="Times New Roman"/>
          <w:b/>
          <w:bCs/>
          <w:sz w:val="20"/>
          <w:szCs w:val="20"/>
        </w:rPr>
        <w:t>NOTE – T</w:t>
      </w:r>
    </w:p>
    <w:p w14:paraId="644E9BDE" w14:textId="77777777" w:rsidR="005B5953" w:rsidRPr="005B12AE" w:rsidRDefault="005B5953" w:rsidP="005B5953">
      <w:pPr>
        <w:spacing w:after="0"/>
        <w:ind w:left="270" w:hanging="270"/>
        <w:jc w:val="center"/>
        <w:rPr>
          <w:rFonts w:ascii="Times New Roman" w:hAnsi="Times New Roman"/>
          <w:b/>
          <w:bCs/>
          <w:sz w:val="20"/>
          <w:szCs w:val="20"/>
        </w:rPr>
      </w:pPr>
    </w:p>
    <w:p w14:paraId="36BE7847" w14:textId="77777777" w:rsidR="005B5953" w:rsidRPr="005B12AE" w:rsidRDefault="005B5953" w:rsidP="005B5953">
      <w:pPr>
        <w:spacing w:after="0"/>
        <w:ind w:left="270" w:hanging="270"/>
        <w:jc w:val="center"/>
        <w:rPr>
          <w:rFonts w:ascii="Times New Roman" w:hAnsi="Times New Roman"/>
          <w:b/>
          <w:bCs/>
          <w:sz w:val="20"/>
          <w:szCs w:val="20"/>
        </w:rPr>
      </w:pPr>
      <w:r w:rsidRPr="005B12AE">
        <w:rPr>
          <w:rFonts w:ascii="Times New Roman" w:hAnsi="Times New Roman"/>
          <w:b/>
          <w:bCs/>
          <w:sz w:val="20"/>
          <w:szCs w:val="20"/>
        </w:rPr>
        <w:t>RESTATED STATEMENT OF DEPRECIATION &amp; AMORTISATION</w:t>
      </w:r>
    </w:p>
    <w:p w14:paraId="44191376" w14:textId="77777777" w:rsidR="005B5953" w:rsidRPr="005B12AE" w:rsidRDefault="005B5953" w:rsidP="005B5953">
      <w:pPr>
        <w:spacing w:after="0"/>
        <w:jc w:val="right"/>
        <w:rPr>
          <w:rFonts w:ascii="Times New Roman" w:hAnsi="Times New Roman"/>
          <w:b/>
          <w:bCs/>
          <w:sz w:val="20"/>
          <w:szCs w:val="20"/>
        </w:rPr>
      </w:pPr>
      <w:r w:rsidRPr="005B12AE">
        <w:rPr>
          <w:rFonts w:ascii="Times New Roman" w:hAnsi="Times New Roman"/>
          <w:b/>
          <w:bCs/>
          <w:sz w:val="20"/>
          <w:szCs w:val="20"/>
        </w:rPr>
        <w:t>(₹ in Lakhs)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4"/>
        <w:gridCol w:w="2390"/>
        <w:gridCol w:w="1870"/>
        <w:gridCol w:w="1872"/>
      </w:tblGrid>
      <w:tr w:rsidR="005B5953" w:rsidRPr="005B12AE" w14:paraId="507221E2" w14:textId="77777777" w:rsidTr="00250DAC">
        <w:trPr>
          <w:trHeight w:val="20"/>
        </w:trPr>
        <w:tc>
          <w:tcPr>
            <w:tcW w:w="2068" w:type="pct"/>
            <w:vMerge w:val="restart"/>
            <w:shd w:val="clear" w:color="auto" w:fill="D0CECE" w:themeFill="background2" w:themeFillShade="E6"/>
            <w:noWrap/>
            <w:vAlign w:val="center"/>
            <w:hideMark/>
          </w:tcPr>
          <w:p w14:paraId="110C5D47"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Particulars</w:t>
            </w:r>
          </w:p>
        </w:tc>
        <w:tc>
          <w:tcPr>
            <w:tcW w:w="2932" w:type="pct"/>
            <w:gridSpan w:val="3"/>
            <w:shd w:val="clear" w:color="auto" w:fill="D0CECE" w:themeFill="background2" w:themeFillShade="E6"/>
            <w:noWrap/>
            <w:vAlign w:val="bottom"/>
            <w:hideMark/>
          </w:tcPr>
          <w:p w14:paraId="2263243E"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For the Year ended</w:t>
            </w:r>
          </w:p>
        </w:tc>
      </w:tr>
      <w:tr w:rsidR="005B5953" w:rsidRPr="005B12AE" w14:paraId="4CDE072B" w14:textId="77777777" w:rsidTr="00250DAC">
        <w:trPr>
          <w:trHeight w:val="20"/>
        </w:trPr>
        <w:tc>
          <w:tcPr>
            <w:tcW w:w="2068" w:type="pct"/>
            <w:vMerge/>
            <w:shd w:val="clear" w:color="auto" w:fill="D0CECE" w:themeFill="background2" w:themeFillShade="E6"/>
            <w:vAlign w:val="center"/>
            <w:hideMark/>
          </w:tcPr>
          <w:p w14:paraId="458AC041" w14:textId="77777777" w:rsidR="005B5953" w:rsidRPr="005B12AE" w:rsidRDefault="005B5953" w:rsidP="00250DAC">
            <w:pPr>
              <w:spacing w:after="0" w:line="240" w:lineRule="auto"/>
              <w:rPr>
                <w:rFonts w:ascii="Times New Roman" w:hAnsi="Times New Roman"/>
                <w:b/>
                <w:bCs/>
                <w:sz w:val="20"/>
                <w:szCs w:val="20"/>
              </w:rPr>
            </w:pPr>
          </w:p>
        </w:tc>
        <w:tc>
          <w:tcPr>
            <w:tcW w:w="1143" w:type="pct"/>
            <w:shd w:val="clear" w:color="auto" w:fill="D0CECE" w:themeFill="background2" w:themeFillShade="E6"/>
            <w:noWrap/>
            <w:vAlign w:val="bottom"/>
            <w:hideMark/>
          </w:tcPr>
          <w:p w14:paraId="76FE5FB1"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31/03/2023</w:t>
            </w:r>
          </w:p>
        </w:tc>
        <w:tc>
          <w:tcPr>
            <w:tcW w:w="894" w:type="pct"/>
            <w:shd w:val="clear" w:color="auto" w:fill="D0CECE" w:themeFill="background2" w:themeFillShade="E6"/>
            <w:noWrap/>
            <w:vAlign w:val="bottom"/>
            <w:hideMark/>
          </w:tcPr>
          <w:p w14:paraId="17AA0097"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31/03/2022</w:t>
            </w:r>
          </w:p>
        </w:tc>
        <w:tc>
          <w:tcPr>
            <w:tcW w:w="895" w:type="pct"/>
            <w:shd w:val="clear" w:color="auto" w:fill="D0CECE" w:themeFill="background2" w:themeFillShade="E6"/>
            <w:noWrap/>
            <w:vAlign w:val="bottom"/>
            <w:hideMark/>
          </w:tcPr>
          <w:p w14:paraId="6FE55AEC"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31/03/2021</w:t>
            </w:r>
          </w:p>
        </w:tc>
      </w:tr>
      <w:tr w:rsidR="005B5953" w:rsidRPr="005B12AE" w14:paraId="32D6E4A9" w14:textId="77777777" w:rsidTr="00250DAC">
        <w:trPr>
          <w:trHeight w:val="20"/>
        </w:trPr>
        <w:tc>
          <w:tcPr>
            <w:tcW w:w="2068" w:type="pct"/>
            <w:shd w:val="clear" w:color="auto" w:fill="auto"/>
            <w:vAlign w:val="bottom"/>
            <w:hideMark/>
          </w:tcPr>
          <w:p w14:paraId="7CC5EB23"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Depreciation and Amortisation Expenses</w:t>
            </w:r>
          </w:p>
        </w:tc>
        <w:tc>
          <w:tcPr>
            <w:tcW w:w="1143" w:type="pct"/>
            <w:shd w:val="clear" w:color="auto" w:fill="auto"/>
            <w:noWrap/>
            <w:vAlign w:val="bottom"/>
            <w:hideMark/>
          </w:tcPr>
          <w:p w14:paraId="4FDA9AD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169.07</w:t>
            </w:r>
          </w:p>
        </w:tc>
        <w:tc>
          <w:tcPr>
            <w:tcW w:w="894" w:type="pct"/>
            <w:shd w:val="clear" w:color="auto" w:fill="auto"/>
            <w:noWrap/>
            <w:vAlign w:val="bottom"/>
            <w:hideMark/>
          </w:tcPr>
          <w:p w14:paraId="1073378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177.68</w:t>
            </w:r>
          </w:p>
        </w:tc>
        <w:tc>
          <w:tcPr>
            <w:tcW w:w="895" w:type="pct"/>
            <w:shd w:val="clear" w:color="auto" w:fill="auto"/>
            <w:noWrap/>
            <w:vAlign w:val="bottom"/>
            <w:hideMark/>
          </w:tcPr>
          <w:p w14:paraId="2F24D39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135.74</w:t>
            </w:r>
          </w:p>
        </w:tc>
      </w:tr>
      <w:tr w:rsidR="005B5953" w:rsidRPr="005B12AE" w14:paraId="14FE533F" w14:textId="77777777" w:rsidTr="00250DAC">
        <w:trPr>
          <w:trHeight w:val="20"/>
        </w:trPr>
        <w:tc>
          <w:tcPr>
            <w:tcW w:w="2068" w:type="pct"/>
            <w:shd w:val="clear" w:color="auto" w:fill="auto"/>
            <w:noWrap/>
            <w:vAlign w:val="bottom"/>
            <w:hideMark/>
          </w:tcPr>
          <w:p w14:paraId="790EEAD4"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Total</w:t>
            </w:r>
          </w:p>
        </w:tc>
        <w:tc>
          <w:tcPr>
            <w:tcW w:w="1143" w:type="pct"/>
            <w:shd w:val="clear" w:color="auto" w:fill="auto"/>
            <w:noWrap/>
            <w:vAlign w:val="bottom"/>
            <w:hideMark/>
          </w:tcPr>
          <w:p w14:paraId="4C53B323"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169.07</w:t>
            </w:r>
          </w:p>
        </w:tc>
        <w:tc>
          <w:tcPr>
            <w:tcW w:w="894" w:type="pct"/>
            <w:shd w:val="clear" w:color="auto" w:fill="auto"/>
            <w:noWrap/>
            <w:vAlign w:val="bottom"/>
            <w:hideMark/>
          </w:tcPr>
          <w:p w14:paraId="420C23C0"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177.68</w:t>
            </w:r>
          </w:p>
        </w:tc>
        <w:tc>
          <w:tcPr>
            <w:tcW w:w="895" w:type="pct"/>
            <w:shd w:val="clear" w:color="auto" w:fill="auto"/>
            <w:noWrap/>
            <w:vAlign w:val="bottom"/>
            <w:hideMark/>
          </w:tcPr>
          <w:p w14:paraId="66C45503"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135.74</w:t>
            </w:r>
          </w:p>
        </w:tc>
      </w:tr>
    </w:tbl>
    <w:p w14:paraId="7BCC54BA" w14:textId="77777777" w:rsidR="005B5953" w:rsidRPr="005B12AE" w:rsidRDefault="005B5953" w:rsidP="005B5953">
      <w:pPr>
        <w:spacing w:after="0"/>
        <w:ind w:left="270" w:hanging="270"/>
        <w:jc w:val="center"/>
        <w:rPr>
          <w:rFonts w:ascii="Times New Roman" w:hAnsi="Times New Roman"/>
          <w:b/>
          <w:bCs/>
          <w:sz w:val="20"/>
          <w:szCs w:val="20"/>
        </w:rPr>
      </w:pPr>
    </w:p>
    <w:p w14:paraId="68DB504A" w14:textId="77777777" w:rsidR="005B5953" w:rsidRPr="005B12AE" w:rsidRDefault="005B5953" w:rsidP="005B5953">
      <w:pPr>
        <w:spacing w:after="0"/>
        <w:ind w:left="270" w:hanging="270"/>
        <w:jc w:val="center"/>
        <w:rPr>
          <w:rFonts w:ascii="Times New Roman" w:hAnsi="Times New Roman"/>
          <w:b/>
          <w:bCs/>
          <w:sz w:val="20"/>
          <w:szCs w:val="20"/>
        </w:rPr>
      </w:pPr>
      <w:r w:rsidRPr="005B12AE">
        <w:rPr>
          <w:rFonts w:ascii="Times New Roman" w:hAnsi="Times New Roman"/>
          <w:b/>
          <w:bCs/>
          <w:sz w:val="20"/>
          <w:szCs w:val="20"/>
        </w:rPr>
        <w:t>NOTE – U</w:t>
      </w:r>
    </w:p>
    <w:p w14:paraId="40A4164D" w14:textId="77777777" w:rsidR="005B5953" w:rsidRPr="005B12AE" w:rsidRDefault="005B5953" w:rsidP="005B5953">
      <w:pPr>
        <w:spacing w:after="0"/>
        <w:ind w:left="270" w:hanging="270"/>
        <w:jc w:val="center"/>
        <w:rPr>
          <w:rFonts w:ascii="Times New Roman" w:hAnsi="Times New Roman"/>
          <w:b/>
          <w:bCs/>
          <w:sz w:val="20"/>
          <w:szCs w:val="20"/>
        </w:rPr>
      </w:pPr>
    </w:p>
    <w:p w14:paraId="71F865A1" w14:textId="77777777" w:rsidR="005B5953" w:rsidRPr="005B12AE" w:rsidRDefault="005B5953" w:rsidP="005B5953">
      <w:pPr>
        <w:spacing w:after="0"/>
        <w:ind w:left="270" w:hanging="270"/>
        <w:jc w:val="center"/>
        <w:rPr>
          <w:rFonts w:ascii="Times New Roman" w:hAnsi="Times New Roman"/>
          <w:b/>
          <w:bCs/>
          <w:sz w:val="20"/>
          <w:szCs w:val="20"/>
        </w:rPr>
      </w:pPr>
      <w:r w:rsidRPr="005B12AE">
        <w:rPr>
          <w:rFonts w:ascii="Times New Roman" w:hAnsi="Times New Roman"/>
          <w:b/>
          <w:bCs/>
          <w:sz w:val="20"/>
          <w:szCs w:val="20"/>
        </w:rPr>
        <w:t>RESTATED STATEMENT OF OTHER EXPENSES</w:t>
      </w:r>
    </w:p>
    <w:p w14:paraId="615FD3A3" w14:textId="77777777" w:rsidR="005B5953" w:rsidRPr="005B12AE" w:rsidRDefault="005B5953" w:rsidP="005B5953">
      <w:pPr>
        <w:spacing w:after="0"/>
        <w:jc w:val="right"/>
        <w:rPr>
          <w:rFonts w:ascii="Times New Roman" w:hAnsi="Times New Roman"/>
          <w:b/>
          <w:bCs/>
          <w:sz w:val="20"/>
          <w:szCs w:val="20"/>
        </w:rPr>
      </w:pPr>
      <w:r w:rsidRPr="005B12AE">
        <w:rPr>
          <w:rFonts w:ascii="Times New Roman" w:hAnsi="Times New Roman"/>
          <w:b/>
          <w:bCs/>
          <w:sz w:val="20"/>
          <w:szCs w:val="20"/>
        </w:rPr>
        <w:t>(₹ in Lakhs)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3"/>
        <w:gridCol w:w="1832"/>
        <w:gridCol w:w="1832"/>
        <w:gridCol w:w="1959"/>
      </w:tblGrid>
      <w:tr w:rsidR="005B5953" w:rsidRPr="005B12AE" w14:paraId="7DC82B37" w14:textId="77777777" w:rsidTr="003B4BCE">
        <w:trPr>
          <w:trHeight w:val="20"/>
          <w:tblHeader/>
        </w:trPr>
        <w:tc>
          <w:tcPr>
            <w:tcW w:w="2311" w:type="pct"/>
            <w:vMerge w:val="restart"/>
            <w:shd w:val="clear" w:color="auto" w:fill="D0CECE" w:themeFill="background2" w:themeFillShade="E6"/>
            <w:noWrap/>
            <w:vAlign w:val="center"/>
            <w:hideMark/>
          </w:tcPr>
          <w:p w14:paraId="344701B0"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Particulars</w:t>
            </w:r>
          </w:p>
        </w:tc>
        <w:tc>
          <w:tcPr>
            <w:tcW w:w="2689" w:type="pct"/>
            <w:gridSpan w:val="3"/>
            <w:shd w:val="clear" w:color="auto" w:fill="D0CECE" w:themeFill="background2" w:themeFillShade="E6"/>
            <w:noWrap/>
            <w:vAlign w:val="bottom"/>
            <w:hideMark/>
          </w:tcPr>
          <w:p w14:paraId="23187EE0"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For the Year ended</w:t>
            </w:r>
          </w:p>
        </w:tc>
      </w:tr>
      <w:tr w:rsidR="005B5953" w:rsidRPr="005B12AE" w14:paraId="284E191D" w14:textId="77777777" w:rsidTr="003B4BCE">
        <w:trPr>
          <w:trHeight w:val="20"/>
          <w:tblHeader/>
        </w:trPr>
        <w:tc>
          <w:tcPr>
            <w:tcW w:w="2311" w:type="pct"/>
            <w:vMerge/>
            <w:shd w:val="clear" w:color="auto" w:fill="D0CECE" w:themeFill="background2" w:themeFillShade="E6"/>
            <w:vAlign w:val="center"/>
            <w:hideMark/>
          </w:tcPr>
          <w:p w14:paraId="032EE701" w14:textId="77777777" w:rsidR="005B5953" w:rsidRPr="005B12AE" w:rsidRDefault="005B5953" w:rsidP="00250DAC">
            <w:pPr>
              <w:spacing w:after="0" w:line="240" w:lineRule="auto"/>
              <w:rPr>
                <w:rFonts w:ascii="Times New Roman" w:hAnsi="Times New Roman"/>
                <w:b/>
                <w:bCs/>
                <w:sz w:val="20"/>
                <w:szCs w:val="20"/>
              </w:rPr>
            </w:pPr>
          </w:p>
        </w:tc>
        <w:tc>
          <w:tcPr>
            <w:tcW w:w="876" w:type="pct"/>
            <w:shd w:val="clear" w:color="auto" w:fill="D0CECE" w:themeFill="background2" w:themeFillShade="E6"/>
            <w:noWrap/>
            <w:vAlign w:val="bottom"/>
            <w:hideMark/>
          </w:tcPr>
          <w:p w14:paraId="3960B4F4"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31/03/2023</w:t>
            </w:r>
          </w:p>
        </w:tc>
        <w:tc>
          <w:tcPr>
            <w:tcW w:w="876" w:type="pct"/>
            <w:shd w:val="clear" w:color="auto" w:fill="D0CECE" w:themeFill="background2" w:themeFillShade="E6"/>
            <w:noWrap/>
            <w:vAlign w:val="bottom"/>
            <w:hideMark/>
          </w:tcPr>
          <w:p w14:paraId="4E0AD93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31/03/2022</w:t>
            </w:r>
          </w:p>
        </w:tc>
        <w:tc>
          <w:tcPr>
            <w:tcW w:w="937" w:type="pct"/>
            <w:shd w:val="clear" w:color="auto" w:fill="D0CECE" w:themeFill="background2" w:themeFillShade="E6"/>
            <w:noWrap/>
            <w:vAlign w:val="bottom"/>
            <w:hideMark/>
          </w:tcPr>
          <w:p w14:paraId="113B3ADE"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31/03/2021</w:t>
            </w:r>
          </w:p>
        </w:tc>
      </w:tr>
      <w:tr w:rsidR="005B5953" w:rsidRPr="005B12AE" w14:paraId="0EAF19EC" w14:textId="77777777" w:rsidTr="003B4BCE">
        <w:trPr>
          <w:trHeight w:val="20"/>
        </w:trPr>
        <w:tc>
          <w:tcPr>
            <w:tcW w:w="2311" w:type="pct"/>
            <w:shd w:val="clear" w:color="auto" w:fill="auto"/>
            <w:noWrap/>
            <w:vAlign w:val="bottom"/>
            <w:hideMark/>
          </w:tcPr>
          <w:p w14:paraId="5726256E" w14:textId="77777777" w:rsidR="005B5953" w:rsidRPr="005B12AE" w:rsidRDefault="005B5953" w:rsidP="00250DAC">
            <w:pPr>
              <w:spacing w:after="0" w:line="240" w:lineRule="auto"/>
              <w:rPr>
                <w:rFonts w:ascii="Times New Roman" w:hAnsi="Times New Roman"/>
                <w:b/>
                <w:bCs/>
                <w:sz w:val="20"/>
                <w:szCs w:val="20"/>
                <w:u w:val="single"/>
              </w:rPr>
            </w:pPr>
            <w:r w:rsidRPr="005B12AE">
              <w:rPr>
                <w:rFonts w:ascii="Times New Roman" w:hAnsi="Times New Roman"/>
                <w:b/>
                <w:bCs/>
                <w:sz w:val="20"/>
                <w:szCs w:val="20"/>
                <w:u w:val="single"/>
              </w:rPr>
              <w:t>Manufacturing Expenses</w:t>
            </w:r>
          </w:p>
        </w:tc>
        <w:tc>
          <w:tcPr>
            <w:tcW w:w="876" w:type="pct"/>
            <w:shd w:val="clear" w:color="auto" w:fill="auto"/>
            <w:noWrap/>
            <w:vAlign w:val="bottom"/>
            <w:hideMark/>
          </w:tcPr>
          <w:p w14:paraId="6D76DA21" w14:textId="77777777" w:rsidR="005B5953" w:rsidRPr="005B12AE" w:rsidRDefault="005B5953" w:rsidP="00250DAC">
            <w:pPr>
              <w:spacing w:after="0" w:line="240" w:lineRule="auto"/>
              <w:jc w:val="center"/>
              <w:rPr>
                <w:rFonts w:ascii="Times New Roman" w:hAnsi="Times New Roman"/>
                <w:b/>
                <w:bCs/>
                <w:sz w:val="20"/>
                <w:szCs w:val="20"/>
              </w:rPr>
            </w:pPr>
          </w:p>
        </w:tc>
        <w:tc>
          <w:tcPr>
            <w:tcW w:w="876" w:type="pct"/>
            <w:shd w:val="clear" w:color="auto" w:fill="auto"/>
            <w:noWrap/>
            <w:vAlign w:val="bottom"/>
            <w:hideMark/>
          </w:tcPr>
          <w:p w14:paraId="039B16C8" w14:textId="77777777" w:rsidR="005B5953" w:rsidRPr="005B12AE" w:rsidRDefault="005B5953" w:rsidP="00250DAC">
            <w:pPr>
              <w:spacing w:after="0" w:line="240" w:lineRule="auto"/>
              <w:jc w:val="center"/>
              <w:rPr>
                <w:rFonts w:ascii="Times New Roman" w:hAnsi="Times New Roman"/>
                <w:b/>
                <w:bCs/>
                <w:sz w:val="20"/>
                <w:szCs w:val="20"/>
              </w:rPr>
            </w:pPr>
          </w:p>
        </w:tc>
        <w:tc>
          <w:tcPr>
            <w:tcW w:w="937" w:type="pct"/>
            <w:shd w:val="clear" w:color="auto" w:fill="auto"/>
            <w:noWrap/>
            <w:vAlign w:val="bottom"/>
            <w:hideMark/>
          </w:tcPr>
          <w:p w14:paraId="6FC5B49F" w14:textId="77777777" w:rsidR="005B5953" w:rsidRPr="005B12AE" w:rsidRDefault="005B5953" w:rsidP="00250DAC">
            <w:pPr>
              <w:spacing w:after="0" w:line="240" w:lineRule="auto"/>
              <w:jc w:val="center"/>
              <w:rPr>
                <w:rFonts w:ascii="Times New Roman" w:hAnsi="Times New Roman"/>
                <w:b/>
                <w:bCs/>
                <w:sz w:val="20"/>
                <w:szCs w:val="20"/>
              </w:rPr>
            </w:pPr>
          </w:p>
        </w:tc>
      </w:tr>
      <w:tr w:rsidR="005B5953" w:rsidRPr="005B12AE" w14:paraId="652DDDB5" w14:textId="77777777" w:rsidTr="003B4BCE">
        <w:trPr>
          <w:trHeight w:val="20"/>
        </w:trPr>
        <w:tc>
          <w:tcPr>
            <w:tcW w:w="2311" w:type="pct"/>
            <w:shd w:val="clear" w:color="auto" w:fill="auto"/>
            <w:noWrap/>
            <w:vAlign w:val="bottom"/>
            <w:hideMark/>
          </w:tcPr>
          <w:p w14:paraId="6E822469"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Custom Duty </w:t>
            </w:r>
          </w:p>
        </w:tc>
        <w:tc>
          <w:tcPr>
            <w:tcW w:w="876" w:type="pct"/>
            <w:shd w:val="clear" w:color="auto" w:fill="auto"/>
            <w:noWrap/>
            <w:vAlign w:val="bottom"/>
            <w:hideMark/>
          </w:tcPr>
          <w:p w14:paraId="11BBBA6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955.35</w:t>
            </w:r>
          </w:p>
        </w:tc>
        <w:tc>
          <w:tcPr>
            <w:tcW w:w="876" w:type="pct"/>
            <w:shd w:val="clear" w:color="auto" w:fill="auto"/>
            <w:noWrap/>
            <w:vAlign w:val="bottom"/>
            <w:hideMark/>
          </w:tcPr>
          <w:p w14:paraId="69EA7E0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907.82</w:t>
            </w:r>
          </w:p>
        </w:tc>
        <w:tc>
          <w:tcPr>
            <w:tcW w:w="937" w:type="pct"/>
            <w:shd w:val="clear" w:color="auto" w:fill="auto"/>
            <w:noWrap/>
            <w:vAlign w:val="bottom"/>
            <w:hideMark/>
          </w:tcPr>
          <w:p w14:paraId="63F2658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190.21</w:t>
            </w:r>
          </w:p>
        </w:tc>
      </w:tr>
      <w:tr w:rsidR="005B5953" w:rsidRPr="005B12AE" w14:paraId="76B13B7A" w14:textId="77777777" w:rsidTr="003B4BCE">
        <w:trPr>
          <w:trHeight w:val="20"/>
        </w:trPr>
        <w:tc>
          <w:tcPr>
            <w:tcW w:w="2311" w:type="pct"/>
            <w:shd w:val="clear" w:color="auto" w:fill="auto"/>
            <w:noWrap/>
            <w:vAlign w:val="bottom"/>
            <w:hideMark/>
          </w:tcPr>
          <w:p w14:paraId="2B9F57A6"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Job work Expenses</w:t>
            </w:r>
          </w:p>
        </w:tc>
        <w:tc>
          <w:tcPr>
            <w:tcW w:w="876" w:type="pct"/>
            <w:shd w:val="clear" w:color="auto" w:fill="auto"/>
            <w:noWrap/>
            <w:vAlign w:val="bottom"/>
            <w:hideMark/>
          </w:tcPr>
          <w:p w14:paraId="1AF24E8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104.34</w:t>
            </w:r>
          </w:p>
        </w:tc>
        <w:tc>
          <w:tcPr>
            <w:tcW w:w="876" w:type="pct"/>
            <w:shd w:val="clear" w:color="auto" w:fill="auto"/>
            <w:noWrap/>
            <w:vAlign w:val="bottom"/>
            <w:hideMark/>
          </w:tcPr>
          <w:p w14:paraId="5CBC497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138.91</w:t>
            </w:r>
          </w:p>
        </w:tc>
        <w:tc>
          <w:tcPr>
            <w:tcW w:w="937" w:type="pct"/>
            <w:shd w:val="clear" w:color="auto" w:fill="auto"/>
            <w:noWrap/>
            <w:vAlign w:val="bottom"/>
            <w:hideMark/>
          </w:tcPr>
          <w:p w14:paraId="3E5C518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38.32</w:t>
            </w:r>
          </w:p>
        </w:tc>
      </w:tr>
      <w:tr w:rsidR="005B5953" w:rsidRPr="005B12AE" w14:paraId="1083DAB1" w14:textId="77777777" w:rsidTr="003B4BCE">
        <w:trPr>
          <w:trHeight w:val="20"/>
        </w:trPr>
        <w:tc>
          <w:tcPr>
            <w:tcW w:w="2311" w:type="pct"/>
            <w:shd w:val="clear" w:color="auto" w:fill="auto"/>
            <w:noWrap/>
            <w:vAlign w:val="bottom"/>
            <w:hideMark/>
          </w:tcPr>
          <w:p w14:paraId="0843AC70"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Motive Power Expenses</w:t>
            </w:r>
          </w:p>
        </w:tc>
        <w:tc>
          <w:tcPr>
            <w:tcW w:w="876" w:type="pct"/>
            <w:shd w:val="clear" w:color="auto" w:fill="auto"/>
            <w:noWrap/>
            <w:vAlign w:val="bottom"/>
            <w:hideMark/>
          </w:tcPr>
          <w:p w14:paraId="273AF49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317.47</w:t>
            </w:r>
          </w:p>
        </w:tc>
        <w:tc>
          <w:tcPr>
            <w:tcW w:w="876" w:type="pct"/>
            <w:shd w:val="clear" w:color="auto" w:fill="auto"/>
            <w:noWrap/>
            <w:vAlign w:val="bottom"/>
            <w:hideMark/>
          </w:tcPr>
          <w:p w14:paraId="1BC53B2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312.04</w:t>
            </w:r>
          </w:p>
        </w:tc>
        <w:tc>
          <w:tcPr>
            <w:tcW w:w="937" w:type="pct"/>
            <w:shd w:val="clear" w:color="auto" w:fill="auto"/>
            <w:noWrap/>
            <w:vAlign w:val="bottom"/>
            <w:hideMark/>
          </w:tcPr>
          <w:p w14:paraId="787A8D1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200.61</w:t>
            </w:r>
          </w:p>
        </w:tc>
      </w:tr>
      <w:tr w:rsidR="005B5953" w:rsidRPr="005B12AE" w14:paraId="26B3308B" w14:textId="77777777" w:rsidTr="003B4BCE">
        <w:trPr>
          <w:trHeight w:val="20"/>
        </w:trPr>
        <w:tc>
          <w:tcPr>
            <w:tcW w:w="2311" w:type="pct"/>
            <w:shd w:val="clear" w:color="auto" w:fill="auto"/>
            <w:noWrap/>
            <w:vAlign w:val="bottom"/>
            <w:hideMark/>
          </w:tcPr>
          <w:p w14:paraId="2D696D47"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Shorting and Grading Expense</w:t>
            </w:r>
          </w:p>
        </w:tc>
        <w:tc>
          <w:tcPr>
            <w:tcW w:w="876" w:type="pct"/>
            <w:shd w:val="clear" w:color="auto" w:fill="auto"/>
            <w:noWrap/>
            <w:vAlign w:val="bottom"/>
            <w:hideMark/>
          </w:tcPr>
          <w:p w14:paraId="4092006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35.75</w:t>
            </w:r>
          </w:p>
        </w:tc>
        <w:tc>
          <w:tcPr>
            <w:tcW w:w="876" w:type="pct"/>
            <w:shd w:val="clear" w:color="auto" w:fill="auto"/>
            <w:noWrap/>
            <w:vAlign w:val="bottom"/>
            <w:hideMark/>
          </w:tcPr>
          <w:p w14:paraId="3C255CE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937" w:type="pct"/>
            <w:shd w:val="clear" w:color="auto" w:fill="auto"/>
            <w:noWrap/>
            <w:vAlign w:val="bottom"/>
            <w:hideMark/>
          </w:tcPr>
          <w:p w14:paraId="006B128C"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76F4626B" w14:textId="77777777" w:rsidTr="003B4BCE">
        <w:trPr>
          <w:trHeight w:val="20"/>
        </w:trPr>
        <w:tc>
          <w:tcPr>
            <w:tcW w:w="2311" w:type="pct"/>
            <w:shd w:val="clear" w:color="auto" w:fill="auto"/>
            <w:noWrap/>
            <w:vAlign w:val="bottom"/>
            <w:hideMark/>
          </w:tcPr>
          <w:p w14:paraId="435A1A5D"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Transport Freight </w:t>
            </w:r>
          </w:p>
        </w:tc>
        <w:tc>
          <w:tcPr>
            <w:tcW w:w="876" w:type="pct"/>
            <w:shd w:val="clear" w:color="auto" w:fill="auto"/>
            <w:vAlign w:val="bottom"/>
            <w:hideMark/>
          </w:tcPr>
          <w:p w14:paraId="72B24D4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39.43</w:t>
            </w:r>
          </w:p>
        </w:tc>
        <w:tc>
          <w:tcPr>
            <w:tcW w:w="876" w:type="pct"/>
            <w:shd w:val="clear" w:color="auto" w:fill="auto"/>
            <w:vAlign w:val="bottom"/>
            <w:hideMark/>
          </w:tcPr>
          <w:p w14:paraId="3D4B2C6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20.35</w:t>
            </w:r>
          </w:p>
        </w:tc>
        <w:tc>
          <w:tcPr>
            <w:tcW w:w="937" w:type="pct"/>
            <w:shd w:val="clear" w:color="auto" w:fill="auto"/>
            <w:vAlign w:val="bottom"/>
            <w:hideMark/>
          </w:tcPr>
          <w:p w14:paraId="07F256B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47.29</w:t>
            </w:r>
          </w:p>
        </w:tc>
      </w:tr>
      <w:tr w:rsidR="005B5953" w:rsidRPr="005B12AE" w14:paraId="5F5AD01A" w14:textId="77777777" w:rsidTr="003B4BCE">
        <w:trPr>
          <w:trHeight w:val="20"/>
        </w:trPr>
        <w:tc>
          <w:tcPr>
            <w:tcW w:w="2311" w:type="pct"/>
            <w:shd w:val="clear" w:color="auto" w:fill="auto"/>
            <w:noWrap/>
            <w:vAlign w:val="bottom"/>
            <w:hideMark/>
          </w:tcPr>
          <w:p w14:paraId="1870A3D3"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Vessel Tracking Charges</w:t>
            </w:r>
          </w:p>
        </w:tc>
        <w:tc>
          <w:tcPr>
            <w:tcW w:w="876" w:type="pct"/>
            <w:shd w:val="clear" w:color="auto" w:fill="auto"/>
            <w:vAlign w:val="bottom"/>
            <w:hideMark/>
          </w:tcPr>
          <w:p w14:paraId="3449A05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76" w:type="pct"/>
            <w:shd w:val="clear" w:color="auto" w:fill="auto"/>
            <w:vAlign w:val="bottom"/>
            <w:hideMark/>
          </w:tcPr>
          <w:p w14:paraId="0799A09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0.00</w:t>
            </w:r>
          </w:p>
        </w:tc>
        <w:tc>
          <w:tcPr>
            <w:tcW w:w="937" w:type="pct"/>
            <w:shd w:val="clear" w:color="auto" w:fill="auto"/>
            <w:vAlign w:val="bottom"/>
            <w:hideMark/>
          </w:tcPr>
          <w:p w14:paraId="2BB1CEE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0.04</w:t>
            </w:r>
          </w:p>
        </w:tc>
      </w:tr>
      <w:tr w:rsidR="005B5953" w:rsidRPr="005B12AE" w14:paraId="07F51F82" w14:textId="77777777" w:rsidTr="003B4BCE">
        <w:trPr>
          <w:trHeight w:val="20"/>
        </w:trPr>
        <w:tc>
          <w:tcPr>
            <w:tcW w:w="2311" w:type="pct"/>
            <w:shd w:val="clear" w:color="auto" w:fill="auto"/>
            <w:noWrap/>
            <w:vAlign w:val="bottom"/>
            <w:hideMark/>
          </w:tcPr>
          <w:p w14:paraId="39EE5607" w14:textId="77777777" w:rsidR="005B5953" w:rsidRPr="005B12AE" w:rsidRDefault="005B5953" w:rsidP="00250DAC">
            <w:pPr>
              <w:spacing w:after="0" w:line="240" w:lineRule="auto"/>
              <w:rPr>
                <w:rFonts w:ascii="Times New Roman" w:hAnsi="Times New Roman"/>
                <w:sz w:val="20"/>
                <w:szCs w:val="20"/>
              </w:rPr>
            </w:pPr>
          </w:p>
        </w:tc>
        <w:tc>
          <w:tcPr>
            <w:tcW w:w="876" w:type="pct"/>
            <w:shd w:val="clear" w:color="auto" w:fill="auto"/>
            <w:vAlign w:val="bottom"/>
            <w:hideMark/>
          </w:tcPr>
          <w:p w14:paraId="0767298E"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1,452.34</w:t>
            </w:r>
          </w:p>
        </w:tc>
        <w:tc>
          <w:tcPr>
            <w:tcW w:w="876" w:type="pct"/>
            <w:shd w:val="clear" w:color="auto" w:fill="auto"/>
            <w:vAlign w:val="bottom"/>
            <w:hideMark/>
          </w:tcPr>
          <w:p w14:paraId="1BB1EC5A"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1,379.12</w:t>
            </w:r>
          </w:p>
        </w:tc>
        <w:tc>
          <w:tcPr>
            <w:tcW w:w="937" w:type="pct"/>
            <w:shd w:val="clear" w:color="auto" w:fill="auto"/>
            <w:vAlign w:val="bottom"/>
            <w:hideMark/>
          </w:tcPr>
          <w:p w14:paraId="13C50247"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476.47</w:t>
            </w:r>
          </w:p>
        </w:tc>
      </w:tr>
      <w:tr w:rsidR="005B5953" w:rsidRPr="005B12AE" w14:paraId="31B7461C" w14:textId="77777777" w:rsidTr="003B4BCE">
        <w:trPr>
          <w:trHeight w:val="20"/>
        </w:trPr>
        <w:tc>
          <w:tcPr>
            <w:tcW w:w="2311" w:type="pct"/>
            <w:shd w:val="clear" w:color="auto" w:fill="auto"/>
            <w:noWrap/>
            <w:vAlign w:val="bottom"/>
            <w:hideMark/>
          </w:tcPr>
          <w:p w14:paraId="61C67D2A" w14:textId="77777777" w:rsidR="005B5953" w:rsidRPr="005B12AE" w:rsidRDefault="005B5953" w:rsidP="00250DAC">
            <w:pPr>
              <w:spacing w:after="0" w:line="240" w:lineRule="auto"/>
              <w:rPr>
                <w:rFonts w:ascii="Times New Roman" w:hAnsi="Times New Roman"/>
                <w:b/>
                <w:bCs/>
                <w:sz w:val="20"/>
                <w:szCs w:val="20"/>
                <w:u w:val="single"/>
              </w:rPr>
            </w:pPr>
            <w:r w:rsidRPr="005B12AE">
              <w:rPr>
                <w:rFonts w:ascii="Times New Roman" w:hAnsi="Times New Roman"/>
                <w:b/>
                <w:bCs/>
                <w:sz w:val="20"/>
                <w:szCs w:val="20"/>
                <w:u w:val="single"/>
              </w:rPr>
              <w:t>Import Expenses</w:t>
            </w:r>
          </w:p>
        </w:tc>
        <w:tc>
          <w:tcPr>
            <w:tcW w:w="876" w:type="pct"/>
            <w:shd w:val="clear" w:color="auto" w:fill="auto"/>
            <w:vAlign w:val="bottom"/>
            <w:hideMark/>
          </w:tcPr>
          <w:p w14:paraId="16BCA447" w14:textId="77777777" w:rsidR="005B5953" w:rsidRPr="005B12AE" w:rsidRDefault="005B5953" w:rsidP="00250DAC">
            <w:pPr>
              <w:spacing w:after="0" w:line="240" w:lineRule="auto"/>
              <w:jc w:val="center"/>
              <w:rPr>
                <w:rFonts w:ascii="Times New Roman" w:hAnsi="Times New Roman"/>
                <w:sz w:val="20"/>
                <w:szCs w:val="20"/>
              </w:rPr>
            </w:pPr>
          </w:p>
        </w:tc>
        <w:tc>
          <w:tcPr>
            <w:tcW w:w="876" w:type="pct"/>
            <w:shd w:val="clear" w:color="auto" w:fill="auto"/>
            <w:vAlign w:val="bottom"/>
            <w:hideMark/>
          </w:tcPr>
          <w:p w14:paraId="5DF70079" w14:textId="77777777" w:rsidR="005B5953" w:rsidRPr="005B12AE" w:rsidRDefault="005B5953" w:rsidP="00250DAC">
            <w:pPr>
              <w:spacing w:after="0" w:line="240" w:lineRule="auto"/>
              <w:jc w:val="center"/>
              <w:rPr>
                <w:rFonts w:ascii="Times New Roman" w:hAnsi="Times New Roman"/>
                <w:sz w:val="20"/>
                <w:szCs w:val="20"/>
              </w:rPr>
            </w:pPr>
          </w:p>
        </w:tc>
        <w:tc>
          <w:tcPr>
            <w:tcW w:w="937" w:type="pct"/>
            <w:shd w:val="clear" w:color="auto" w:fill="auto"/>
            <w:vAlign w:val="bottom"/>
            <w:hideMark/>
          </w:tcPr>
          <w:p w14:paraId="67DA0323"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6B9FEE4D" w14:textId="77777777" w:rsidTr="003B4BCE">
        <w:trPr>
          <w:trHeight w:val="20"/>
        </w:trPr>
        <w:tc>
          <w:tcPr>
            <w:tcW w:w="2311" w:type="pct"/>
            <w:shd w:val="clear" w:color="auto" w:fill="auto"/>
            <w:noWrap/>
            <w:vAlign w:val="bottom"/>
            <w:hideMark/>
          </w:tcPr>
          <w:p w14:paraId="5F096554"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Clearing &amp; Forwarding (Import)</w:t>
            </w:r>
          </w:p>
        </w:tc>
        <w:tc>
          <w:tcPr>
            <w:tcW w:w="876" w:type="pct"/>
            <w:shd w:val="clear" w:color="auto" w:fill="auto"/>
            <w:vAlign w:val="bottom"/>
            <w:hideMark/>
          </w:tcPr>
          <w:p w14:paraId="06813A7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30.48</w:t>
            </w:r>
          </w:p>
        </w:tc>
        <w:tc>
          <w:tcPr>
            <w:tcW w:w="876" w:type="pct"/>
            <w:shd w:val="clear" w:color="auto" w:fill="auto"/>
            <w:vAlign w:val="bottom"/>
            <w:hideMark/>
          </w:tcPr>
          <w:p w14:paraId="26AC666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25.14</w:t>
            </w:r>
          </w:p>
        </w:tc>
        <w:tc>
          <w:tcPr>
            <w:tcW w:w="937" w:type="pct"/>
            <w:shd w:val="clear" w:color="auto" w:fill="auto"/>
            <w:vAlign w:val="bottom"/>
            <w:hideMark/>
          </w:tcPr>
          <w:p w14:paraId="3EE17DB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6.41</w:t>
            </w:r>
          </w:p>
        </w:tc>
      </w:tr>
      <w:tr w:rsidR="005B5953" w:rsidRPr="005B12AE" w14:paraId="6D784739" w14:textId="77777777" w:rsidTr="003B4BCE">
        <w:trPr>
          <w:trHeight w:val="20"/>
        </w:trPr>
        <w:tc>
          <w:tcPr>
            <w:tcW w:w="2311" w:type="pct"/>
            <w:shd w:val="clear" w:color="auto" w:fill="auto"/>
            <w:noWrap/>
            <w:vAlign w:val="bottom"/>
            <w:hideMark/>
          </w:tcPr>
          <w:p w14:paraId="7185FB9A"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Bank Commission Expenses on Import</w:t>
            </w:r>
          </w:p>
        </w:tc>
        <w:tc>
          <w:tcPr>
            <w:tcW w:w="876" w:type="pct"/>
            <w:shd w:val="clear" w:color="auto" w:fill="auto"/>
            <w:vAlign w:val="bottom"/>
            <w:hideMark/>
          </w:tcPr>
          <w:p w14:paraId="3C12380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2.07</w:t>
            </w:r>
          </w:p>
        </w:tc>
        <w:tc>
          <w:tcPr>
            <w:tcW w:w="876" w:type="pct"/>
            <w:shd w:val="clear" w:color="auto" w:fill="auto"/>
            <w:vAlign w:val="bottom"/>
            <w:hideMark/>
          </w:tcPr>
          <w:p w14:paraId="21FD6DB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49.23</w:t>
            </w:r>
          </w:p>
        </w:tc>
        <w:tc>
          <w:tcPr>
            <w:tcW w:w="937" w:type="pct"/>
            <w:shd w:val="clear" w:color="auto" w:fill="auto"/>
            <w:vAlign w:val="bottom"/>
            <w:hideMark/>
          </w:tcPr>
          <w:p w14:paraId="1265FBC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11.24</w:t>
            </w:r>
          </w:p>
        </w:tc>
      </w:tr>
      <w:tr w:rsidR="005B5953" w:rsidRPr="005B12AE" w14:paraId="45BFE22B" w14:textId="77777777" w:rsidTr="003B4BCE">
        <w:trPr>
          <w:trHeight w:val="20"/>
        </w:trPr>
        <w:tc>
          <w:tcPr>
            <w:tcW w:w="2311" w:type="pct"/>
            <w:shd w:val="clear" w:color="auto" w:fill="auto"/>
            <w:noWrap/>
            <w:vAlign w:val="bottom"/>
            <w:hideMark/>
          </w:tcPr>
          <w:p w14:paraId="3A513850"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Ocean Freight</w:t>
            </w:r>
          </w:p>
        </w:tc>
        <w:tc>
          <w:tcPr>
            <w:tcW w:w="876" w:type="pct"/>
            <w:shd w:val="clear" w:color="auto" w:fill="auto"/>
            <w:vAlign w:val="bottom"/>
            <w:hideMark/>
          </w:tcPr>
          <w:p w14:paraId="58EA306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35.84</w:t>
            </w:r>
          </w:p>
        </w:tc>
        <w:tc>
          <w:tcPr>
            <w:tcW w:w="876" w:type="pct"/>
            <w:shd w:val="clear" w:color="auto" w:fill="auto"/>
            <w:vAlign w:val="bottom"/>
            <w:hideMark/>
          </w:tcPr>
          <w:p w14:paraId="2B4FA30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39.84</w:t>
            </w:r>
          </w:p>
        </w:tc>
        <w:tc>
          <w:tcPr>
            <w:tcW w:w="937" w:type="pct"/>
            <w:shd w:val="clear" w:color="auto" w:fill="auto"/>
            <w:vAlign w:val="bottom"/>
            <w:hideMark/>
          </w:tcPr>
          <w:p w14:paraId="292D310F"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7C02F370" w14:textId="77777777" w:rsidTr="003B4BCE">
        <w:trPr>
          <w:trHeight w:val="20"/>
        </w:trPr>
        <w:tc>
          <w:tcPr>
            <w:tcW w:w="2311" w:type="pct"/>
            <w:shd w:val="clear" w:color="auto" w:fill="auto"/>
            <w:noWrap/>
            <w:vAlign w:val="bottom"/>
            <w:hideMark/>
          </w:tcPr>
          <w:p w14:paraId="6D545DAA"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THC Charges on Import</w:t>
            </w:r>
          </w:p>
        </w:tc>
        <w:tc>
          <w:tcPr>
            <w:tcW w:w="876" w:type="pct"/>
            <w:shd w:val="clear" w:color="auto" w:fill="auto"/>
            <w:vAlign w:val="bottom"/>
            <w:hideMark/>
          </w:tcPr>
          <w:p w14:paraId="589A3EF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590.40</w:t>
            </w:r>
          </w:p>
        </w:tc>
        <w:tc>
          <w:tcPr>
            <w:tcW w:w="876" w:type="pct"/>
            <w:shd w:val="clear" w:color="auto" w:fill="auto"/>
            <w:vAlign w:val="bottom"/>
            <w:hideMark/>
          </w:tcPr>
          <w:p w14:paraId="306F500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272.87</w:t>
            </w:r>
          </w:p>
        </w:tc>
        <w:tc>
          <w:tcPr>
            <w:tcW w:w="937" w:type="pct"/>
            <w:shd w:val="clear" w:color="auto" w:fill="auto"/>
            <w:vAlign w:val="bottom"/>
            <w:hideMark/>
          </w:tcPr>
          <w:p w14:paraId="395E918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95.40</w:t>
            </w:r>
          </w:p>
        </w:tc>
      </w:tr>
      <w:tr w:rsidR="005B5953" w:rsidRPr="005B12AE" w14:paraId="6BF837B2" w14:textId="77777777" w:rsidTr="003B4BCE">
        <w:trPr>
          <w:trHeight w:val="20"/>
        </w:trPr>
        <w:tc>
          <w:tcPr>
            <w:tcW w:w="2311" w:type="pct"/>
            <w:shd w:val="clear" w:color="auto" w:fill="auto"/>
            <w:noWrap/>
            <w:vAlign w:val="bottom"/>
            <w:hideMark/>
          </w:tcPr>
          <w:p w14:paraId="1841FD63"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Transportation (Import)</w:t>
            </w:r>
          </w:p>
        </w:tc>
        <w:tc>
          <w:tcPr>
            <w:tcW w:w="876" w:type="pct"/>
            <w:shd w:val="clear" w:color="auto" w:fill="auto"/>
            <w:vAlign w:val="bottom"/>
            <w:hideMark/>
          </w:tcPr>
          <w:p w14:paraId="36A26F7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99.11</w:t>
            </w:r>
          </w:p>
        </w:tc>
        <w:tc>
          <w:tcPr>
            <w:tcW w:w="876" w:type="pct"/>
            <w:shd w:val="clear" w:color="auto" w:fill="auto"/>
            <w:vAlign w:val="bottom"/>
            <w:hideMark/>
          </w:tcPr>
          <w:p w14:paraId="109A2FE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81.19</w:t>
            </w:r>
          </w:p>
        </w:tc>
        <w:tc>
          <w:tcPr>
            <w:tcW w:w="937" w:type="pct"/>
            <w:shd w:val="clear" w:color="auto" w:fill="auto"/>
            <w:vAlign w:val="bottom"/>
            <w:hideMark/>
          </w:tcPr>
          <w:p w14:paraId="062C48F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6.12</w:t>
            </w:r>
          </w:p>
        </w:tc>
      </w:tr>
      <w:tr w:rsidR="005B5953" w:rsidRPr="005B12AE" w14:paraId="07D57DC9" w14:textId="77777777" w:rsidTr="003B4BCE">
        <w:trPr>
          <w:trHeight w:val="20"/>
        </w:trPr>
        <w:tc>
          <w:tcPr>
            <w:tcW w:w="2311" w:type="pct"/>
            <w:shd w:val="clear" w:color="auto" w:fill="auto"/>
            <w:vAlign w:val="bottom"/>
            <w:hideMark/>
          </w:tcPr>
          <w:p w14:paraId="2C7D8D32"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876" w:type="pct"/>
            <w:shd w:val="clear" w:color="auto" w:fill="auto"/>
            <w:vAlign w:val="bottom"/>
            <w:hideMark/>
          </w:tcPr>
          <w:p w14:paraId="679E6F6F"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757.90</w:t>
            </w:r>
          </w:p>
        </w:tc>
        <w:tc>
          <w:tcPr>
            <w:tcW w:w="876" w:type="pct"/>
            <w:shd w:val="clear" w:color="auto" w:fill="auto"/>
            <w:vAlign w:val="bottom"/>
            <w:hideMark/>
          </w:tcPr>
          <w:p w14:paraId="4425DEF9"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468.27</w:t>
            </w:r>
          </w:p>
        </w:tc>
        <w:tc>
          <w:tcPr>
            <w:tcW w:w="937" w:type="pct"/>
            <w:shd w:val="clear" w:color="auto" w:fill="auto"/>
            <w:vAlign w:val="bottom"/>
            <w:hideMark/>
          </w:tcPr>
          <w:p w14:paraId="7BE7D4A3"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119.17</w:t>
            </w:r>
          </w:p>
        </w:tc>
      </w:tr>
      <w:tr w:rsidR="005B5953" w:rsidRPr="005B12AE" w14:paraId="48E3A8A0" w14:textId="77777777" w:rsidTr="003B4BCE">
        <w:trPr>
          <w:trHeight w:val="20"/>
        </w:trPr>
        <w:tc>
          <w:tcPr>
            <w:tcW w:w="2311" w:type="pct"/>
            <w:shd w:val="clear" w:color="auto" w:fill="auto"/>
            <w:noWrap/>
            <w:vAlign w:val="bottom"/>
            <w:hideMark/>
          </w:tcPr>
          <w:p w14:paraId="24473235" w14:textId="77777777" w:rsidR="005B5953" w:rsidRPr="005B12AE" w:rsidRDefault="005B5953" w:rsidP="00250DAC">
            <w:pPr>
              <w:spacing w:after="0" w:line="240" w:lineRule="auto"/>
              <w:rPr>
                <w:rFonts w:ascii="Times New Roman" w:hAnsi="Times New Roman"/>
                <w:b/>
                <w:bCs/>
                <w:sz w:val="20"/>
                <w:szCs w:val="20"/>
                <w:u w:val="single"/>
              </w:rPr>
            </w:pPr>
            <w:r w:rsidRPr="005B12AE">
              <w:rPr>
                <w:rFonts w:ascii="Times New Roman" w:hAnsi="Times New Roman"/>
                <w:b/>
                <w:bCs/>
                <w:sz w:val="20"/>
                <w:szCs w:val="20"/>
                <w:u w:val="single"/>
              </w:rPr>
              <w:t>Export Expenses</w:t>
            </w:r>
          </w:p>
        </w:tc>
        <w:tc>
          <w:tcPr>
            <w:tcW w:w="876" w:type="pct"/>
            <w:shd w:val="clear" w:color="auto" w:fill="auto"/>
            <w:vAlign w:val="bottom"/>
            <w:hideMark/>
          </w:tcPr>
          <w:p w14:paraId="5A5DD8D8" w14:textId="77777777" w:rsidR="005B5953" w:rsidRPr="005B12AE" w:rsidRDefault="005B5953" w:rsidP="00250DAC">
            <w:pPr>
              <w:spacing w:after="0" w:line="240" w:lineRule="auto"/>
              <w:jc w:val="center"/>
              <w:rPr>
                <w:rFonts w:ascii="Times New Roman" w:hAnsi="Times New Roman"/>
                <w:sz w:val="20"/>
                <w:szCs w:val="20"/>
              </w:rPr>
            </w:pPr>
          </w:p>
        </w:tc>
        <w:tc>
          <w:tcPr>
            <w:tcW w:w="876" w:type="pct"/>
            <w:shd w:val="clear" w:color="auto" w:fill="auto"/>
            <w:vAlign w:val="bottom"/>
            <w:hideMark/>
          </w:tcPr>
          <w:p w14:paraId="5D54BC25" w14:textId="77777777" w:rsidR="005B5953" w:rsidRPr="005B12AE" w:rsidRDefault="005B5953" w:rsidP="00250DAC">
            <w:pPr>
              <w:spacing w:after="0" w:line="240" w:lineRule="auto"/>
              <w:jc w:val="center"/>
              <w:rPr>
                <w:rFonts w:ascii="Times New Roman" w:hAnsi="Times New Roman"/>
                <w:sz w:val="20"/>
                <w:szCs w:val="20"/>
              </w:rPr>
            </w:pPr>
          </w:p>
        </w:tc>
        <w:tc>
          <w:tcPr>
            <w:tcW w:w="937" w:type="pct"/>
            <w:shd w:val="clear" w:color="auto" w:fill="auto"/>
            <w:vAlign w:val="bottom"/>
            <w:hideMark/>
          </w:tcPr>
          <w:p w14:paraId="16C2C3F1"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4677BEBD" w14:textId="77777777" w:rsidTr="003B4BCE">
        <w:trPr>
          <w:trHeight w:val="20"/>
        </w:trPr>
        <w:tc>
          <w:tcPr>
            <w:tcW w:w="2311" w:type="pct"/>
            <w:shd w:val="clear" w:color="auto" w:fill="auto"/>
            <w:noWrap/>
            <w:vAlign w:val="bottom"/>
            <w:hideMark/>
          </w:tcPr>
          <w:p w14:paraId="60C8E52E"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Clearing &amp; Forwarding (Export)</w:t>
            </w:r>
          </w:p>
        </w:tc>
        <w:tc>
          <w:tcPr>
            <w:tcW w:w="876" w:type="pct"/>
            <w:shd w:val="clear" w:color="auto" w:fill="auto"/>
            <w:vAlign w:val="bottom"/>
            <w:hideMark/>
          </w:tcPr>
          <w:p w14:paraId="160CF48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4.30</w:t>
            </w:r>
          </w:p>
        </w:tc>
        <w:tc>
          <w:tcPr>
            <w:tcW w:w="876" w:type="pct"/>
            <w:shd w:val="clear" w:color="auto" w:fill="auto"/>
            <w:vAlign w:val="bottom"/>
            <w:hideMark/>
          </w:tcPr>
          <w:p w14:paraId="0A0C7D5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3.09</w:t>
            </w:r>
          </w:p>
        </w:tc>
        <w:tc>
          <w:tcPr>
            <w:tcW w:w="937" w:type="pct"/>
            <w:shd w:val="clear" w:color="auto" w:fill="auto"/>
            <w:vAlign w:val="bottom"/>
            <w:hideMark/>
          </w:tcPr>
          <w:p w14:paraId="1C32085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0.80</w:t>
            </w:r>
          </w:p>
        </w:tc>
      </w:tr>
      <w:tr w:rsidR="005B5953" w:rsidRPr="005B12AE" w14:paraId="5944A2C1" w14:textId="77777777" w:rsidTr="003B4BCE">
        <w:trPr>
          <w:trHeight w:val="20"/>
        </w:trPr>
        <w:tc>
          <w:tcPr>
            <w:tcW w:w="2311" w:type="pct"/>
            <w:shd w:val="clear" w:color="auto" w:fill="auto"/>
            <w:noWrap/>
            <w:vAlign w:val="bottom"/>
            <w:hideMark/>
          </w:tcPr>
          <w:p w14:paraId="7ADD2229"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Insurance Expenses (Export)</w:t>
            </w:r>
          </w:p>
        </w:tc>
        <w:tc>
          <w:tcPr>
            <w:tcW w:w="876" w:type="pct"/>
            <w:shd w:val="clear" w:color="auto" w:fill="auto"/>
            <w:vAlign w:val="bottom"/>
            <w:hideMark/>
          </w:tcPr>
          <w:p w14:paraId="1074865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3.75</w:t>
            </w:r>
          </w:p>
        </w:tc>
        <w:tc>
          <w:tcPr>
            <w:tcW w:w="876" w:type="pct"/>
            <w:shd w:val="clear" w:color="auto" w:fill="auto"/>
            <w:vAlign w:val="bottom"/>
            <w:hideMark/>
          </w:tcPr>
          <w:p w14:paraId="6153873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3.64</w:t>
            </w:r>
          </w:p>
        </w:tc>
        <w:tc>
          <w:tcPr>
            <w:tcW w:w="937" w:type="pct"/>
            <w:shd w:val="clear" w:color="auto" w:fill="auto"/>
            <w:vAlign w:val="bottom"/>
            <w:hideMark/>
          </w:tcPr>
          <w:p w14:paraId="5C76EBE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1.71</w:t>
            </w:r>
          </w:p>
        </w:tc>
      </w:tr>
      <w:tr w:rsidR="005B5953" w:rsidRPr="005B12AE" w14:paraId="046FDD8A" w14:textId="77777777" w:rsidTr="003B4BCE">
        <w:trPr>
          <w:trHeight w:val="20"/>
        </w:trPr>
        <w:tc>
          <w:tcPr>
            <w:tcW w:w="2311" w:type="pct"/>
            <w:shd w:val="clear" w:color="auto" w:fill="auto"/>
            <w:noWrap/>
            <w:vAlign w:val="bottom"/>
            <w:hideMark/>
          </w:tcPr>
          <w:p w14:paraId="3924BBE7"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Transportation (Export)</w:t>
            </w:r>
          </w:p>
        </w:tc>
        <w:tc>
          <w:tcPr>
            <w:tcW w:w="876" w:type="pct"/>
            <w:shd w:val="clear" w:color="auto" w:fill="auto"/>
            <w:vAlign w:val="bottom"/>
            <w:hideMark/>
          </w:tcPr>
          <w:p w14:paraId="5149551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31.74</w:t>
            </w:r>
          </w:p>
        </w:tc>
        <w:tc>
          <w:tcPr>
            <w:tcW w:w="876" w:type="pct"/>
            <w:shd w:val="clear" w:color="auto" w:fill="auto"/>
            <w:vAlign w:val="bottom"/>
            <w:hideMark/>
          </w:tcPr>
          <w:p w14:paraId="055190A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28.26</w:t>
            </w:r>
          </w:p>
        </w:tc>
        <w:tc>
          <w:tcPr>
            <w:tcW w:w="937" w:type="pct"/>
            <w:shd w:val="clear" w:color="auto" w:fill="auto"/>
            <w:vAlign w:val="bottom"/>
            <w:hideMark/>
          </w:tcPr>
          <w:p w14:paraId="2527D70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27.36</w:t>
            </w:r>
          </w:p>
        </w:tc>
      </w:tr>
      <w:tr w:rsidR="005B5953" w:rsidRPr="005B12AE" w14:paraId="3DB63C25" w14:textId="77777777" w:rsidTr="003B4BCE">
        <w:trPr>
          <w:trHeight w:val="20"/>
        </w:trPr>
        <w:tc>
          <w:tcPr>
            <w:tcW w:w="2311" w:type="pct"/>
            <w:shd w:val="clear" w:color="auto" w:fill="auto"/>
            <w:noWrap/>
            <w:vAlign w:val="bottom"/>
            <w:hideMark/>
          </w:tcPr>
          <w:p w14:paraId="5292B5FF"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Air Freight</w:t>
            </w:r>
          </w:p>
        </w:tc>
        <w:tc>
          <w:tcPr>
            <w:tcW w:w="876" w:type="pct"/>
            <w:shd w:val="clear" w:color="auto" w:fill="auto"/>
            <w:vAlign w:val="bottom"/>
            <w:hideMark/>
          </w:tcPr>
          <w:p w14:paraId="615CE0A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16.86</w:t>
            </w:r>
          </w:p>
        </w:tc>
        <w:tc>
          <w:tcPr>
            <w:tcW w:w="876" w:type="pct"/>
            <w:shd w:val="clear" w:color="auto" w:fill="auto"/>
            <w:vAlign w:val="bottom"/>
            <w:hideMark/>
          </w:tcPr>
          <w:p w14:paraId="43248CB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35.49</w:t>
            </w:r>
          </w:p>
        </w:tc>
        <w:tc>
          <w:tcPr>
            <w:tcW w:w="937" w:type="pct"/>
            <w:shd w:val="clear" w:color="auto" w:fill="auto"/>
            <w:vAlign w:val="bottom"/>
            <w:hideMark/>
          </w:tcPr>
          <w:p w14:paraId="6C380F7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3.59</w:t>
            </w:r>
          </w:p>
        </w:tc>
      </w:tr>
      <w:tr w:rsidR="005B5953" w:rsidRPr="005B12AE" w14:paraId="6BE16259" w14:textId="77777777" w:rsidTr="003B4BCE">
        <w:trPr>
          <w:trHeight w:val="20"/>
        </w:trPr>
        <w:tc>
          <w:tcPr>
            <w:tcW w:w="2311" w:type="pct"/>
            <w:shd w:val="clear" w:color="auto" w:fill="auto"/>
            <w:noWrap/>
            <w:vAlign w:val="bottom"/>
            <w:hideMark/>
          </w:tcPr>
          <w:p w14:paraId="132E3149"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Commission/Service Charges</w:t>
            </w:r>
          </w:p>
        </w:tc>
        <w:tc>
          <w:tcPr>
            <w:tcW w:w="876" w:type="pct"/>
            <w:shd w:val="clear" w:color="auto" w:fill="auto"/>
            <w:vAlign w:val="bottom"/>
            <w:hideMark/>
          </w:tcPr>
          <w:p w14:paraId="6E2568D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17.94</w:t>
            </w:r>
          </w:p>
        </w:tc>
        <w:tc>
          <w:tcPr>
            <w:tcW w:w="876" w:type="pct"/>
            <w:shd w:val="clear" w:color="auto" w:fill="auto"/>
            <w:vAlign w:val="bottom"/>
            <w:hideMark/>
          </w:tcPr>
          <w:p w14:paraId="2C33666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19.93</w:t>
            </w:r>
          </w:p>
        </w:tc>
        <w:tc>
          <w:tcPr>
            <w:tcW w:w="937" w:type="pct"/>
            <w:shd w:val="clear" w:color="auto" w:fill="auto"/>
            <w:vAlign w:val="bottom"/>
            <w:hideMark/>
          </w:tcPr>
          <w:p w14:paraId="4AEC721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13683531" w14:textId="77777777" w:rsidTr="003B4BCE">
        <w:trPr>
          <w:trHeight w:val="20"/>
        </w:trPr>
        <w:tc>
          <w:tcPr>
            <w:tcW w:w="2311" w:type="pct"/>
            <w:shd w:val="clear" w:color="auto" w:fill="auto"/>
            <w:noWrap/>
            <w:vAlign w:val="bottom"/>
            <w:hideMark/>
          </w:tcPr>
          <w:p w14:paraId="4086DE8D"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Bank Commission Charges on Export</w:t>
            </w:r>
          </w:p>
        </w:tc>
        <w:tc>
          <w:tcPr>
            <w:tcW w:w="876" w:type="pct"/>
            <w:shd w:val="clear" w:color="auto" w:fill="auto"/>
            <w:vAlign w:val="bottom"/>
            <w:hideMark/>
          </w:tcPr>
          <w:p w14:paraId="1114A88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6.65</w:t>
            </w:r>
          </w:p>
        </w:tc>
        <w:tc>
          <w:tcPr>
            <w:tcW w:w="876" w:type="pct"/>
            <w:shd w:val="clear" w:color="auto" w:fill="auto"/>
            <w:vAlign w:val="bottom"/>
            <w:hideMark/>
          </w:tcPr>
          <w:p w14:paraId="6093278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4.64</w:t>
            </w:r>
          </w:p>
        </w:tc>
        <w:tc>
          <w:tcPr>
            <w:tcW w:w="937" w:type="pct"/>
            <w:shd w:val="clear" w:color="auto" w:fill="auto"/>
            <w:vAlign w:val="bottom"/>
            <w:hideMark/>
          </w:tcPr>
          <w:p w14:paraId="08612F8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2.38</w:t>
            </w:r>
          </w:p>
        </w:tc>
      </w:tr>
      <w:tr w:rsidR="005B5953" w:rsidRPr="005B12AE" w14:paraId="06C35346" w14:textId="77777777" w:rsidTr="003B4BCE">
        <w:trPr>
          <w:trHeight w:val="20"/>
        </w:trPr>
        <w:tc>
          <w:tcPr>
            <w:tcW w:w="2311" w:type="pct"/>
            <w:shd w:val="clear" w:color="auto" w:fill="auto"/>
            <w:noWrap/>
            <w:vAlign w:val="bottom"/>
            <w:hideMark/>
          </w:tcPr>
          <w:p w14:paraId="1FCD5DAA"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Total(i)</w:t>
            </w:r>
          </w:p>
        </w:tc>
        <w:tc>
          <w:tcPr>
            <w:tcW w:w="876" w:type="pct"/>
            <w:shd w:val="clear" w:color="auto" w:fill="auto"/>
            <w:vAlign w:val="bottom"/>
            <w:hideMark/>
          </w:tcPr>
          <w:p w14:paraId="248EF377"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81.24</w:t>
            </w:r>
          </w:p>
        </w:tc>
        <w:tc>
          <w:tcPr>
            <w:tcW w:w="876" w:type="pct"/>
            <w:shd w:val="clear" w:color="auto" w:fill="auto"/>
            <w:vAlign w:val="bottom"/>
            <w:hideMark/>
          </w:tcPr>
          <w:p w14:paraId="1B1ED24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95.04</w:t>
            </w:r>
          </w:p>
        </w:tc>
        <w:tc>
          <w:tcPr>
            <w:tcW w:w="937" w:type="pct"/>
            <w:shd w:val="clear" w:color="auto" w:fill="auto"/>
            <w:vAlign w:val="bottom"/>
            <w:hideMark/>
          </w:tcPr>
          <w:p w14:paraId="0874E008"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35.84</w:t>
            </w:r>
          </w:p>
        </w:tc>
      </w:tr>
      <w:tr w:rsidR="005B5953" w:rsidRPr="005B12AE" w14:paraId="652509A3" w14:textId="77777777" w:rsidTr="003B4BCE">
        <w:trPr>
          <w:trHeight w:val="20"/>
        </w:trPr>
        <w:tc>
          <w:tcPr>
            <w:tcW w:w="2311" w:type="pct"/>
            <w:shd w:val="clear" w:color="auto" w:fill="auto"/>
            <w:noWrap/>
            <w:vAlign w:val="bottom"/>
          </w:tcPr>
          <w:p w14:paraId="0E5E5908" w14:textId="77777777" w:rsidR="005B5953" w:rsidRPr="005B12AE" w:rsidRDefault="005B5953" w:rsidP="00250DAC">
            <w:pPr>
              <w:spacing w:after="0" w:line="240" w:lineRule="auto"/>
              <w:rPr>
                <w:rFonts w:ascii="Times New Roman" w:hAnsi="Times New Roman"/>
                <w:b/>
                <w:bCs/>
                <w:sz w:val="20"/>
                <w:szCs w:val="20"/>
              </w:rPr>
            </w:pPr>
          </w:p>
        </w:tc>
        <w:tc>
          <w:tcPr>
            <w:tcW w:w="876" w:type="pct"/>
            <w:shd w:val="clear" w:color="auto" w:fill="auto"/>
            <w:vAlign w:val="bottom"/>
          </w:tcPr>
          <w:p w14:paraId="548A4F03" w14:textId="77777777" w:rsidR="005B5953" w:rsidRPr="005B12AE" w:rsidRDefault="005B5953" w:rsidP="00250DAC">
            <w:pPr>
              <w:spacing w:after="0" w:line="240" w:lineRule="auto"/>
              <w:jc w:val="center"/>
              <w:rPr>
                <w:rFonts w:ascii="Times New Roman" w:hAnsi="Times New Roman"/>
                <w:b/>
                <w:bCs/>
                <w:sz w:val="20"/>
                <w:szCs w:val="20"/>
              </w:rPr>
            </w:pPr>
          </w:p>
        </w:tc>
        <w:tc>
          <w:tcPr>
            <w:tcW w:w="876" w:type="pct"/>
            <w:shd w:val="clear" w:color="auto" w:fill="auto"/>
            <w:vAlign w:val="bottom"/>
          </w:tcPr>
          <w:p w14:paraId="59060E64" w14:textId="77777777" w:rsidR="005B5953" w:rsidRPr="005B12AE" w:rsidRDefault="005B5953" w:rsidP="00250DAC">
            <w:pPr>
              <w:spacing w:after="0" w:line="240" w:lineRule="auto"/>
              <w:jc w:val="center"/>
              <w:rPr>
                <w:rFonts w:ascii="Times New Roman" w:hAnsi="Times New Roman"/>
                <w:b/>
                <w:bCs/>
                <w:sz w:val="20"/>
                <w:szCs w:val="20"/>
              </w:rPr>
            </w:pPr>
          </w:p>
        </w:tc>
        <w:tc>
          <w:tcPr>
            <w:tcW w:w="937" w:type="pct"/>
            <w:shd w:val="clear" w:color="auto" w:fill="auto"/>
            <w:vAlign w:val="bottom"/>
          </w:tcPr>
          <w:p w14:paraId="5862E62C" w14:textId="77777777" w:rsidR="005B5953" w:rsidRPr="005B12AE" w:rsidRDefault="005B5953" w:rsidP="00250DAC">
            <w:pPr>
              <w:spacing w:after="0" w:line="240" w:lineRule="auto"/>
              <w:jc w:val="center"/>
              <w:rPr>
                <w:rFonts w:ascii="Times New Roman" w:hAnsi="Times New Roman"/>
                <w:b/>
                <w:bCs/>
                <w:sz w:val="20"/>
                <w:szCs w:val="20"/>
              </w:rPr>
            </w:pPr>
          </w:p>
        </w:tc>
      </w:tr>
      <w:tr w:rsidR="005B5953" w:rsidRPr="005B12AE" w14:paraId="2D3CDBF6" w14:textId="77777777" w:rsidTr="003B4BCE">
        <w:trPr>
          <w:trHeight w:val="20"/>
        </w:trPr>
        <w:tc>
          <w:tcPr>
            <w:tcW w:w="2311" w:type="pct"/>
            <w:shd w:val="clear" w:color="auto" w:fill="auto"/>
            <w:noWrap/>
            <w:vAlign w:val="bottom"/>
            <w:hideMark/>
          </w:tcPr>
          <w:p w14:paraId="58EFA262" w14:textId="77777777" w:rsidR="005B5953" w:rsidRPr="005B12AE" w:rsidRDefault="005B5953" w:rsidP="00250DAC">
            <w:pPr>
              <w:spacing w:after="0" w:line="240" w:lineRule="auto"/>
              <w:rPr>
                <w:rFonts w:ascii="Times New Roman" w:hAnsi="Times New Roman"/>
                <w:b/>
                <w:bCs/>
                <w:sz w:val="20"/>
                <w:szCs w:val="20"/>
                <w:u w:val="single"/>
              </w:rPr>
            </w:pPr>
            <w:r w:rsidRPr="005B12AE">
              <w:rPr>
                <w:rFonts w:ascii="Times New Roman" w:hAnsi="Times New Roman"/>
                <w:b/>
                <w:bCs/>
                <w:sz w:val="20"/>
                <w:szCs w:val="20"/>
                <w:u w:val="single"/>
              </w:rPr>
              <w:t>Administrative &amp; General Expenses</w:t>
            </w:r>
          </w:p>
        </w:tc>
        <w:tc>
          <w:tcPr>
            <w:tcW w:w="876" w:type="pct"/>
            <w:shd w:val="clear" w:color="auto" w:fill="auto"/>
            <w:vAlign w:val="bottom"/>
            <w:hideMark/>
          </w:tcPr>
          <w:p w14:paraId="7C356037" w14:textId="77777777" w:rsidR="005B5953" w:rsidRPr="005B12AE" w:rsidRDefault="005B5953" w:rsidP="00250DAC">
            <w:pPr>
              <w:spacing w:after="0" w:line="240" w:lineRule="auto"/>
              <w:jc w:val="center"/>
              <w:rPr>
                <w:rFonts w:ascii="Times New Roman" w:hAnsi="Times New Roman"/>
                <w:sz w:val="20"/>
                <w:szCs w:val="20"/>
              </w:rPr>
            </w:pPr>
          </w:p>
        </w:tc>
        <w:tc>
          <w:tcPr>
            <w:tcW w:w="876" w:type="pct"/>
            <w:shd w:val="clear" w:color="auto" w:fill="auto"/>
            <w:vAlign w:val="bottom"/>
            <w:hideMark/>
          </w:tcPr>
          <w:p w14:paraId="26B91D49" w14:textId="77777777" w:rsidR="005B5953" w:rsidRPr="005B12AE" w:rsidRDefault="005B5953" w:rsidP="00250DAC">
            <w:pPr>
              <w:spacing w:after="0" w:line="240" w:lineRule="auto"/>
              <w:jc w:val="center"/>
              <w:rPr>
                <w:rFonts w:ascii="Times New Roman" w:hAnsi="Times New Roman"/>
                <w:sz w:val="20"/>
                <w:szCs w:val="20"/>
              </w:rPr>
            </w:pPr>
          </w:p>
        </w:tc>
        <w:tc>
          <w:tcPr>
            <w:tcW w:w="937" w:type="pct"/>
            <w:shd w:val="clear" w:color="auto" w:fill="auto"/>
            <w:vAlign w:val="bottom"/>
            <w:hideMark/>
          </w:tcPr>
          <w:p w14:paraId="26A54460"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3C48CD57" w14:textId="77777777" w:rsidTr="003B4BCE">
        <w:trPr>
          <w:trHeight w:val="20"/>
        </w:trPr>
        <w:tc>
          <w:tcPr>
            <w:tcW w:w="2311" w:type="pct"/>
            <w:shd w:val="clear" w:color="auto" w:fill="auto"/>
            <w:noWrap/>
            <w:vAlign w:val="bottom"/>
            <w:hideMark/>
          </w:tcPr>
          <w:p w14:paraId="12CF31FB"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Admin Charges of PF</w:t>
            </w:r>
          </w:p>
        </w:tc>
        <w:tc>
          <w:tcPr>
            <w:tcW w:w="876" w:type="pct"/>
            <w:shd w:val="clear" w:color="auto" w:fill="auto"/>
            <w:noWrap/>
            <w:vAlign w:val="bottom"/>
            <w:hideMark/>
          </w:tcPr>
          <w:p w14:paraId="31BD13D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0.06</w:t>
            </w:r>
          </w:p>
        </w:tc>
        <w:tc>
          <w:tcPr>
            <w:tcW w:w="876" w:type="pct"/>
            <w:shd w:val="clear" w:color="auto" w:fill="auto"/>
            <w:noWrap/>
            <w:vAlign w:val="bottom"/>
            <w:hideMark/>
          </w:tcPr>
          <w:p w14:paraId="3DAF1F0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937" w:type="pct"/>
            <w:shd w:val="clear" w:color="auto" w:fill="auto"/>
            <w:vAlign w:val="bottom"/>
            <w:hideMark/>
          </w:tcPr>
          <w:p w14:paraId="02456BE4"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0ABC9A72" w14:textId="77777777" w:rsidTr="003B4BCE">
        <w:trPr>
          <w:trHeight w:val="20"/>
        </w:trPr>
        <w:tc>
          <w:tcPr>
            <w:tcW w:w="2311" w:type="pct"/>
            <w:shd w:val="clear" w:color="auto" w:fill="auto"/>
            <w:noWrap/>
            <w:vAlign w:val="bottom"/>
            <w:hideMark/>
          </w:tcPr>
          <w:p w14:paraId="4FFA4F55"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Advertisement Expenses</w:t>
            </w:r>
          </w:p>
        </w:tc>
        <w:tc>
          <w:tcPr>
            <w:tcW w:w="876" w:type="pct"/>
            <w:shd w:val="clear" w:color="auto" w:fill="auto"/>
            <w:noWrap/>
            <w:vAlign w:val="bottom"/>
            <w:hideMark/>
          </w:tcPr>
          <w:p w14:paraId="50C260B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0.84</w:t>
            </w:r>
          </w:p>
        </w:tc>
        <w:tc>
          <w:tcPr>
            <w:tcW w:w="876" w:type="pct"/>
            <w:shd w:val="clear" w:color="auto" w:fill="auto"/>
            <w:noWrap/>
            <w:vAlign w:val="bottom"/>
            <w:hideMark/>
          </w:tcPr>
          <w:p w14:paraId="4C0561D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0.92</w:t>
            </w:r>
          </w:p>
        </w:tc>
        <w:tc>
          <w:tcPr>
            <w:tcW w:w="937" w:type="pct"/>
            <w:shd w:val="clear" w:color="auto" w:fill="auto"/>
            <w:vAlign w:val="bottom"/>
            <w:hideMark/>
          </w:tcPr>
          <w:p w14:paraId="058642C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2.02</w:t>
            </w:r>
          </w:p>
        </w:tc>
      </w:tr>
      <w:tr w:rsidR="005B5953" w:rsidRPr="005B12AE" w14:paraId="4888A13C" w14:textId="77777777" w:rsidTr="003B4BCE">
        <w:trPr>
          <w:trHeight w:val="20"/>
        </w:trPr>
        <w:tc>
          <w:tcPr>
            <w:tcW w:w="2311" w:type="pct"/>
            <w:shd w:val="clear" w:color="auto" w:fill="auto"/>
            <w:noWrap/>
            <w:vAlign w:val="bottom"/>
            <w:hideMark/>
          </w:tcPr>
          <w:p w14:paraId="007DCC34"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Annual Maintenance Charges</w:t>
            </w:r>
          </w:p>
        </w:tc>
        <w:tc>
          <w:tcPr>
            <w:tcW w:w="876" w:type="pct"/>
            <w:shd w:val="clear" w:color="auto" w:fill="auto"/>
            <w:noWrap/>
            <w:vAlign w:val="bottom"/>
            <w:hideMark/>
          </w:tcPr>
          <w:p w14:paraId="750F909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0.79</w:t>
            </w:r>
          </w:p>
        </w:tc>
        <w:tc>
          <w:tcPr>
            <w:tcW w:w="876" w:type="pct"/>
            <w:shd w:val="clear" w:color="auto" w:fill="auto"/>
            <w:noWrap/>
            <w:vAlign w:val="bottom"/>
            <w:hideMark/>
          </w:tcPr>
          <w:p w14:paraId="712C2AA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0.12</w:t>
            </w:r>
          </w:p>
        </w:tc>
        <w:tc>
          <w:tcPr>
            <w:tcW w:w="937" w:type="pct"/>
            <w:shd w:val="clear" w:color="auto" w:fill="auto"/>
            <w:vAlign w:val="bottom"/>
            <w:hideMark/>
          </w:tcPr>
          <w:p w14:paraId="466C6C6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0.24</w:t>
            </w:r>
          </w:p>
        </w:tc>
      </w:tr>
      <w:tr w:rsidR="005B5953" w:rsidRPr="005B12AE" w14:paraId="377D5284" w14:textId="77777777" w:rsidTr="003B4BCE">
        <w:trPr>
          <w:trHeight w:val="20"/>
        </w:trPr>
        <w:tc>
          <w:tcPr>
            <w:tcW w:w="2311" w:type="pct"/>
            <w:shd w:val="clear" w:color="auto" w:fill="auto"/>
            <w:noWrap/>
            <w:vAlign w:val="bottom"/>
            <w:hideMark/>
          </w:tcPr>
          <w:p w14:paraId="3C9E5C81"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Audit Fees Expense</w:t>
            </w:r>
          </w:p>
        </w:tc>
        <w:tc>
          <w:tcPr>
            <w:tcW w:w="876" w:type="pct"/>
            <w:shd w:val="clear" w:color="auto" w:fill="auto"/>
            <w:noWrap/>
            <w:vAlign w:val="bottom"/>
            <w:hideMark/>
          </w:tcPr>
          <w:p w14:paraId="224F954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8.80</w:t>
            </w:r>
          </w:p>
        </w:tc>
        <w:tc>
          <w:tcPr>
            <w:tcW w:w="876" w:type="pct"/>
            <w:shd w:val="clear" w:color="auto" w:fill="auto"/>
            <w:noWrap/>
            <w:vAlign w:val="bottom"/>
            <w:hideMark/>
          </w:tcPr>
          <w:p w14:paraId="621FC65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4.30</w:t>
            </w:r>
          </w:p>
        </w:tc>
        <w:tc>
          <w:tcPr>
            <w:tcW w:w="937" w:type="pct"/>
            <w:shd w:val="clear" w:color="auto" w:fill="auto"/>
            <w:vAlign w:val="bottom"/>
            <w:hideMark/>
          </w:tcPr>
          <w:p w14:paraId="780A201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2.50</w:t>
            </w:r>
          </w:p>
        </w:tc>
      </w:tr>
      <w:tr w:rsidR="005B5953" w:rsidRPr="005B12AE" w14:paraId="67164E2F" w14:textId="77777777" w:rsidTr="003B4BCE">
        <w:trPr>
          <w:trHeight w:val="20"/>
        </w:trPr>
        <w:tc>
          <w:tcPr>
            <w:tcW w:w="2311" w:type="pct"/>
            <w:shd w:val="clear" w:color="auto" w:fill="auto"/>
            <w:noWrap/>
            <w:vAlign w:val="bottom"/>
            <w:hideMark/>
          </w:tcPr>
          <w:p w14:paraId="5DD37515"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Bad Debts</w:t>
            </w:r>
          </w:p>
        </w:tc>
        <w:tc>
          <w:tcPr>
            <w:tcW w:w="876" w:type="pct"/>
            <w:shd w:val="clear" w:color="auto" w:fill="auto"/>
            <w:noWrap/>
            <w:vAlign w:val="bottom"/>
            <w:hideMark/>
          </w:tcPr>
          <w:p w14:paraId="143F8C6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76" w:type="pct"/>
            <w:shd w:val="clear" w:color="auto" w:fill="auto"/>
            <w:noWrap/>
            <w:vAlign w:val="bottom"/>
            <w:hideMark/>
          </w:tcPr>
          <w:p w14:paraId="64F958B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937" w:type="pct"/>
            <w:shd w:val="clear" w:color="auto" w:fill="auto"/>
            <w:vAlign w:val="bottom"/>
            <w:hideMark/>
          </w:tcPr>
          <w:p w14:paraId="4CCCC7B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5.00</w:t>
            </w:r>
          </w:p>
        </w:tc>
      </w:tr>
      <w:tr w:rsidR="005B5953" w:rsidRPr="005B12AE" w14:paraId="11CA89C0" w14:textId="77777777" w:rsidTr="003B4BCE">
        <w:trPr>
          <w:trHeight w:val="20"/>
        </w:trPr>
        <w:tc>
          <w:tcPr>
            <w:tcW w:w="2311" w:type="pct"/>
            <w:shd w:val="clear" w:color="auto" w:fill="auto"/>
            <w:noWrap/>
            <w:vAlign w:val="bottom"/>
            <w:hideMark/>
          </w:tcPr>
          <w:p w14:paraId="5DC23C56"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Business Promotion Expenses</w:t>
            </w:r>
          </w:p>
        </w:tc>
        <w:tc>
          <w:tcPr>
            <w:tcW w:w="876" w:type="pct"/>
            <w:shd w:val="clear" w:color="auto" w:fill="auto"/>
            <w:noWrap/>
            <w:vAlign w:val="bottom"/>
            <w:hideMark/>
          </w:tcPr>
          <w:p w14:paraId="7F91923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8.41</w:t>
            </w:r>
          </w:p>
        </w:tc>
        <w:tc>
          <w:tcPr>
            <w:tcW w:w="876" w:type="pct"/>
            <w:shd w:val="clear" w:color="auto" w:fill="auto"/>
            <w:noWrap/>
            <w:vAlign w:val="bottom"/>
            <w:hideMark/>
          </w:tcPr>
          <w:p w14:paraId="0EA36C8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0.97</w:t>
            </w:r>
          </w:p>
        </w:tc>
        <w:tc>
          <w:tcPr>
            <w:tcW w:w="937" w:type="pct"/>
            <w:shd w:val="clear" w:color="auto" w:fill="auto"/>
            <w:vAlign w:val="bottom"/>
            <w:hideMark/>
          </w:tcPr>
          <w:p w14:paraId="2E87260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43CE361E" w14:textId="77777777" w:rsidTr="003B4BCE">
        <w:trPr>
          <w:trHeight w:val="20"/>
        </w:trPr>
        <w:tc>
          <w:tcPr>
            <w:tcW w:w="2311" w:type="pct"/>
            <w:shd w:val="clear" w:color="auto" w:fill="auto"/>
            <w:noWrap/>
            <w:vAlign w:val="bottom"/>
            <w:hideMark/>
          </w:tcPr>
          <w:p w14:paraId="22134EDD"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lastRenderedPageBreak/>
              <w:t>Building Repair &amp; Maintenance</w:t>
            </w:r>
          </w:p>
        </w:tc>
        <w:tc>
          <w:tcPr>
            <w:tcW w:w="876" w:type="pct"/>
            <w:shd w:val="clear" w:color="auto" w:fill="auto"/>
            <w:noWrap/>
            <w:vAlign w:val="bottom"/>
            <w:hideMark/>
          </w:tcPr>
          <w:p w14:paraId="59C52C0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0.87</w:t>
            </w:r>
          </w:p>
        </w:tc>
        <w:tc>
          <w:tcPr>
            <w:tcW w:w="876" w:type="pct"/>
            <w:shd w:val="clear" w:color="auto" w:fill="auto"/>
            <w:noWrap/>
            <w:vAlign w:val="bottom"/>
            <w:hideMark/>
          </w:tcPr>
          <w:p w14:paraId="7C370E2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937" w:type="pct"/>
            <w:shd w:val="clear" w:color="auto" w:fill="auto"/>
            <w:vAlign w:val="bottom"/>
            <w:hideMark/>
          </w:tcPr>
          <w:p w14:paraId="67264FBF"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29DBFE5A" w14:textId="77777777" w:rsidTr="003B4BCE">
        <w:trPr>
          <w:trHeight w:val="20"/>
        </w:trPr>
        <w:tc>
          <w:tcPr>
            <w:tcW w:w="2311" w:type="pct"/>
            <w:shd w:val="clear" w:color="auto" w:fill="auto"/>
            <w:noWrap/>
            <w:vAlign w:val="bottom"/>
            <w:hideMark/>
          </w:tcPr>
          <w:p w14:paraId="58FEEDAC"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Computer Expenses</w:t>
            </w:r>
          </w:p>
        </w:tc>
        <w:tc>
          <w:tcPr>
            <w:tcW w:w="876" w:type="pct"/>
            <w:shd w:val="clear" w:color="auto" w:fill="auto"/>
            <w:noWrap/>
            <w:vAlign w:val="bottom"/>
            <w:hideMark/>
          </w:tcPr>
          <w:p w14:paraId="46F0B1F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1.24</w:t>
            </w:r>
          </w:p>
        </w:tc>
        <w:tc>
          <w:tcPr>
            <w:tcW w:w="876" w:type="pct"/>
            <w:shd w:val="clear" w:color="auto" w:fill="auto"/>
            <w:noWrap/>
            <w:vAlign w:val="bottom"/>
            <w:hideMark/>
          </w:tcPr>
          <w:p w14:paraId="1AE8C38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0.85</w:t>
            </w:r>
          </w:p>
        </w:tc>
        <w:tc>
          <w:tcPr>
            <w:tcW w:w="937" w:type="pct"/>
            <w:shd w:val="clear" w:color="auto" w:fill="auto"/>
            <w:vAlign w:val="bottom"/>
            <w:hideMark/>
          </w:tcPr>
          <w:p w14:paraId="6EA0CCC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0.39</w:t>
            </w:r>
          </w:p>
        </w:tc>
      </w:tr>
      <w:tr w:rsidR="005B5953" w:rsidRPr="005B12AE" w14:paraId="38E6E3F5" w14:textId="77777777" w:rsidTr="003B4BCE">
        <w:trPr>
          <w:trHeight w:val="20"/>
        </w:trPr>
        <w:tc>
          <w:tcPr>
            <w:tcW w:w="2311" w:type="pct"/>
            <w:shd w:val="clear" w:color="auto" w:fill="auto"/>
            <w:noWrap/>
            <w:vAlign w:val="bottom"/>
            <w:hideMark/>
          </w:tcPr>
          <w:p w14:paraId="77B98E72"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Consulting Charges</w:t>
            </w:r>
          </w:p>
        </w:tc>
        <w:tc>
          <w:tcPr>
            <w:tcW w:w="876" w:type="pct"/>
            <w:shd w:val="clear" w:color="auto" w:fill="auto"/>
            <w:noWrap/>
            <w:vAlign w:val="bottom"/>
            <w:hideMark/>
          </w:tcPr>
          <w:p w14:paraId="249A9DC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1.14</w:t>
            </w:r>
          </w:p>
        </w:tc>
        <w:tc>
          <w:tcPr>
            <w:tcW w:w="876" w:type="pct"/>
            <w:shd w:val="clear" w:color="auto" w:fill="auto"/>
            <w:noWrap/>
            <w:vAlign w:val="bottom"/>
            <w:hideMark/>
          </w:tcPr>
          <w:p w14:paraId="5AA2D62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937" w:type="pct"/>
            <w:shd w:val="clear" w:color="auto" w:fill="auto"/>
            <w:vAlign w:val="bottom"/>
            <w:hideMark/>
          </w:tcPr>
          <w:p w14:paraId="33FE2BE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3B094C0A" w14:textId="77777777" w:rsidTr="003B4BCE">
        <w:trPr>
          <w:trHeight w:val="20"/>
        </w:trPr>
        <w:tc>
          <w:tcPr>
            <w:tcW w:w="2311" w:type="pct"/>
            <w:shd w:val="clear" w:color="auto" w:fill="auto"/>
            <w:noWrap/>
            <w:vAlign w:val="bottom"/>
            <w:hideMark/>
          </w:tcPr>
          <w:p w14:paraId="0CC3F9D6"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Credit Card Expense</w:t>
            </w:r>
          </w:p>
        </w:tc>
        <w:tc>
          <w:tcPr>
            <w:tcW w:w="876" w:type="pct"/>
            <w:shd w:val="clear" w:color="auto" w:fill="auto"/>
            <w:noWrap/>
            <w:vAlign w:val="bottom"/>
            <w:hideMark/>
          </w:tcPr>
          <w:p w14:paraId="5554335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76" w:type="pct"/>
            <w:shd w:val="clear" w:color="auto" w:fill="auto"/>
            <w:noWrap/>
            <w:vAlign w:val="bottom"/>
            <w:hideMark/>
          </w:tcPr>
          <w:p w14:paraId="1A41D3E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0.04</w:t>
            </w:r>
          </w:p>
        </w:tc>
        <w:tc>
          <w:tcPr>
            <w:tcW w:w="937" w:type="pct"/>
            <w:shd w:val="clear" w:color="auto" w:fill="auto"/>
            <w:vAlign w:val="bottom"/>
            <w:hideMark/>
          </w:tcPr>
          <w:p w14:paraId="6A6B8CE6"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49C7BFE5" w14:textId="77777777" w:rsidTr="003B4BCE">
        <w:trPr>
          <w:trHeight w:val="20"/>
        </w:trPr>
        <w:tc>
          <w:tcPr>
            <w:tcW w:w="2311" w:type="pct"/>
            <w:shd w:val="clear" w:color="auto" w:fill="auto"/>
            <w:noWrap/>
            <w:vAlign w:val="bottom"/>
            <w:hideMark/>
          </w:tcPr>
          <w:p w14:paraId="6EB6F877"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CSR Expense (Provision)</w:t>
            </w:r>
          </w:p>
        </w:tc>
        <w:tc>
          <w:tcPr>
            <w:tcW w:w="876" w:type="pct"/>
            <w:shd w:val="clear" w:color="auto" w:fill="auto"/>
            <w:noWrap/>
            <w:vAlign w:val="bottom"/>
            <w:hideMark/>
          </w:tcPr>
          <w:p w14:paraId="7C66EF7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11.56</w:t>
            </w:r>
          </w:p>
        </w:tc>
        <w:tc>
          <w:tcPr>
            <w:tcW w:w="876" w:type="pct"/>
            <w:shd w:val="clear" w:color="auto" w:fill="auto"/>
            <w:noWrap/>
            <w:vAlign w:val="bottom"/>
            <w:hideMark/>
          </w:tcPr>
          <w:p w14:paraId="13FD29A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937" w:type="pct"/>
            <w:shd w:val="clear" w:color="auto" w:fill="auto"/>
            <w:vAlign w:val="bottom"/>
            <w:hideMark/>
          </w:tcPr>
          <w:p w14:paraId="7233D6E3"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2FF4C484" w14:textId="77777777" w:rsidTr="003B4BCE">
        <w:trPr>
          <w:trHeight w:val="20"/>
        </w:trPr>
        <w:tc>
          <w:tcPr>
            <w:tcW w:w="2311" w:type="pct"/>
            <w:shd w:val="clear" w:color="auto" w:fill="auto"/>
            <w:noWrap/>
            <w:vAlign w:val="bottom"/>
            <w:hideMark/>
          </w:tcPr>
          <w:p w14:paraId="0F1990BB"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Custom Import Noting Expense</w:t>
            </w:r>
          </w:p>
        </w:tc>
        <w:tc>
          <w:tcPr>
            <w:tcW w:w="876" w:type="pct"/>
            <w:shd w:val="clear" w:color="auto" w:fill="auto"/>
            <w:noWrap/>
            <w:vAlign w:val="bottom"/>
            <w:hideMark/>
          </w:tcPr>
          <w:p w14:paraId="62D215E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1.69</w:t>
            </w:r>
          </w:p>
        </w:tc>
        <w:tc>
          <w:tcPr>
            <w:tcW w:w="876" w:type="pct"/>
            <w:shd w:val="clear" w:color="auto" w:fill="auto"/>
            <w:noWrap/>
            <w:vAlign w:val="bottom"/>
            <w:hideMark/>
          </w:tcPr>
          <w:p w14:paraId="309FDD3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1.24</w:t>
            </w:r>
          </w:p>
        </w:tc>
        <w:tc>
          <w:tcPr>
            <w:tcW w:w="937" w:type="pct"/>
            <w:shd w:val="clear" w:color="auto" w:fill="auto"/>
            <w:vAlign w:val="bottom"/>
            <w:hideMark/>
          </w:tcPr>
          <w:p w14:paraId="7FF6890D"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33CF0711" w14:textId="77777777" w:rsidTr="003B4BCE">
        <w:trPr>
          <w:trHeight w:val="20"/>
        </w:trPr>
        <w:tc>
          <w:tcPr>
            <w:tcW w:w="2311" w:type="pct"/>
            <w:shd w:val="clear" w:color="auto" w:fill="auto"/>
            <w:noWrap/>
            <w:vAlign w:val="bottom"/>
            <w:hideMark/>
          </w:tcPr>
          <w:p w14:paraId="5C23BB1E"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Courier Expenses</w:t>
            </w:r>
          </w:p>
        </w:tc>
        <w:tc>
          <w:tcPr>
            <w:tcW w:w="876" w:type="pct"/>
            <w:shd w:val="clear" w:color="auto" w:fill="auto"/>
            <w:noWrap/>
            <w:vAlign w:val="bottom"/>
            <w:hideMark/>
          </w:tcPr>
          <w:p w14:paraId="61CE4C7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2.21</w:t>
            </w:r>
          </w:p>
        </w:tc>
        <w:tc>
          <w:tcPr>
            <w:tcW w:w="876" w:type="pct"/>
            <w:shd w:val="clear" w:color="auto" w:fill="auto"/>
            <w:noWrap/>
            <w:vAlign w:val="bottom"/>
            <w:hideMark/>
          </w:tcPr>
          <w:p w14:paraId="4258072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2.40</w:t>
            </w:r>
          </w:p>
        </w:tc>
        <w:tc>
          <w:tcPr>
            <w:tcW w:w="937" w:type="pct"/>
            <w:shd w:val="clear" w:color="auto" w:fill="auto"/>
            <w:vAlign w:val="bottom"/>
            <w:hideMark/>
          </w:tcPr>
          <w:p w14:paraId="4618786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1.21</w:t>
            </w:r>
          </w:p>
        </w:tc>
      </w:tr>
      <w:tr w:rsidR="005B5953" w:rsidRPr="005B12AE" w14:paraId="4FDEE7A0" w14:textId="77777777" w:rsidTr="003B4BCE">
        <w:trPr>
          <w:trHeight w:val="20"/>
        </w:trPr>
        <w:tc>
          <w:tcPr>
            <w:tcW w:w="2311" w:type="pct"/>
            <w:shd w:val="clear" w:color="auto" w:fill="auto"/>
            <w:noWrap/>
            <w:vAlign w:val="bottom"/>
            <w:hideMark/>
          </w:tcPr>
          <w:p w14:paraId="284EEB3F"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Cylinder Rent</w:t>
            </w:r>
          </w:p>
        </w:tc>
        <w:tc>
          <w:tcPr>
            <w:tcW w:w="876" w:type="pct"/>
            <w:shd w:val="clear" w:color="auto" w:fill="auto"/>
            <w:noWrap/>
            <w:vAlign w:val="bottom"/>
            <w:hideMark/>
          </w:tcPr>
          <w:p w14:paraId="76A3A21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0.02</w:t>
            </w:r>
          </w:p>
        </w:tc>
        <w:tc>
          <w:tcPr>
            <w:tcW w:w="876" w:type="pct"/>
            <w:shd w:val="clear" w:color="auto" w:fill="auto"/>
            <w:noWrap/>
            <w:vAlign w:val="bottom"/>
            <w:hideMark/>
          </w:tcPr>
          <w:p w14:paraId="7E8DE36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0.04</w:t>
            </w:r>
          </w:p>
        </w:tc>
        <w:tc>
          <w:tcPr>
            <w:tcW w:w="937" w:type="pct"/>
            <w:shd w:val="clear" w:color="auto" w:fill="auto"/>
            <w:vAlign w:val="bottom"/>
            <w:hideMark/>
          </w:tcPr>
          <w:p w14:paraId="245AF11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0.07</w:t>
            </w:r>
          </w:p>
        </w:tc>
      </w:tr>
      <w:tr w:rsidR="005B5953" w:rsidRPr="005B12AE" w14:paraId="3D3A25EE" w14:textId="77777777" w:rsidTr="003B4BCE">
        <w:trPr>
          <w:trHeight w:val="20"/>
        </w:trPr>
        <w:tc>
          <w:tcPr>
            <w:tcW w:w="2311" w:type="pct"/>
            <w:shd w:val="clear" w:color="auto" w:fill="auto"/>
            <w:noWrap/>
            <w:vAlign w:val="bottom"/>
            <w:hideMark/>
          </w:tcPr>
          <w:p w14:paraId="3568C5C9"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Discount Expenses</w:t>
            </w:r>
          </w:p>
        </w:tc>
        <w:tc>
          <w:tcPr>
            <w:tcW w:w="876" w:type="pct"/>
            <w:shd w:val="clear" w:color="auto" w:fill="auto"/>
            <w:noWrap/>
            <w:vAlign w:val="bottom"/>
            <w:hideMark/>
          </w:tcPr>
          <w:p w14:paraId="0F786FA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37.54</w:t>
            </w:r>
          </w:p>
        </w:tc>
        <w:tc>
          <w:tcPr>
            <w:tcW w:w="876" w:type="pct"/>
            <w:shd w:val="clear" w:color="auto" w:fill="auto"/>
            <w:noWrap/>
            <w:vAlign w:val="bottom"/>
            <w:hideMark/>
          </w:tcPr>
          <w:p w14:paraId="1A5F7BD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8.55</w:t>
            </w:r>
          </w:p>
        </w:tc>
        <w:tc>
          <w:tcPr>
            <w:tcW w:w="937" w:type="pct"/>
            <w:shd w:val="clear" w:color="auto" w:fill="auto"/>
            <w:vAlign w:val="bottom"/>
            <w:hideMark/>
          </w:tcPr>
          <w:p w14:paraId="5C1F70E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11.30</w:t>
            </w:r>
          </w:p>
        </w:tc>
      </w:tr>
      <w:tr w:rsidR="005B5953" w:rsidRPr="005B12AE" w14:paraId="1FA4EA8C" w14:textId="77777777" w:rsidTr="003B4BCE">
        <w:trPr>
          <w:trHeight w:val="20"/>
        </w:trPr>
        <w:tc>
          <w:tcPr>
            <w:tcW w:w="2311" w:type="pct"/>
            <w:shd w:val="clear" w:color="auto" w:fill="auto"/>
            <w:noWrap/>
            <w:vAlign w:val="bottom"/>
            <w:hideMark/>
          </w:tcPr>
          <w:p w14:paraId="7ACDEC28"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Donation Expenses</w:t>
            </w:r>
          </w:p>
        </w:tc>
        <w:tc>
          <w:tcPr>
            <w:tcW w:w="876" w:type="pct"/>
            <w:shd w:val="clear" w:color="auto" w:fill="auto"/>
            <w:noWrap/>
            <w:vAlign w:val="bottom"/>
            <w:hideMark/>
          </w:tcPr>
          <w:p w14:paraId="48E9AC6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0.11</w:t>
            </w:r>
          </w:p>
        </w:tc>
        <w:tc>
          <w:tcPr>
            <w:tcW w:w="876" w:type="pct"/>
            <w:shd w:val="clear" w:color="auto" w:fill="auto"/>
            <w:noWrap/>
            <w:vAlign w:val="bottom"/>
            <w:hideMark/>
          </w:tcPr>
          <w:p w14:paraId="478888A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1.58</w:t>
            </w:r>
          </w:p>
        </w:tc>
        <w:tc>
          <w:tcPr>
            <w:tcW w:w="937" w:type="pct"/>
            <w:shd w:val="clear" w:color="auto" w:fill="auto"/>
            <w:vAlign w:val="bottom"/>
            <w:hideMark/>
          </w:tcPr>
          <w:p w14:paraId="5BEFF55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0.05</w:t>
            </w:r>
          </w:p>
        </w:tc>
      </w:tr>
      <w:tr w:rsidR="005B5953" w:rsidRPr="005B12AE" w14:paraId="00A46147" w14:textId="77777777" w:rsidTr="003B4BCE">
        <w:trPr>
          <w:trHeight w:val="20"/>
        </w:trPr>
        <w:tc>
          <w:tcPr>
            <w:tcW w:w="2311" w:type="pct"/>
            <w:shd w:val="clear" w:color="auto" w:fill="auto"/>
            <w:noWrap/>
            <w:vAlign w:val="bottom"/>
            <w:hideMark/>
          </w:tcPr>
          <w:p w14:paraId="14C6B6B5"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Electrical Installation </w:t>
            </w:r>
          </w:p>
        </w:tc>
        <w:tc>
          <w:tcPr>
            <w:tcW w:w="876" w:type="pct"/>
            <w:shd w:val="clear" w:color="auto" w:fill="auto"/>
            <w:noWrap/>
            <w:vAlign w:val="bottom"/>
            <w:hideMark/>
          </w:tcPr>
          <w:p w14:paraId="265BF9E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0.33</w:t>
            </w:r>
          </w:p>
        </w:tc>
        <w:tc>
          <w:tcPr>
            <w:tcW w:w="876" w:type="pct"/>
            <w:shd w:val="clear" w:color="auto" w:fill="auto"/>
            <w:noWrap/>
            <w:vAlign w:val="bottom"/>
            <w:hideMark/>
          </w:tcPr>
          <w:p w14:paraId="318FA71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937" w:type="pct"/>
            <w:shd w:val="clear" w:color="auto" w:fill="auto"/>
            <w:vAlign w:val="bottom"/>
            <w:hideMark/>
          </w:tcPr>
          <w:p w14:paraId="6F0A7E83"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1617AC5A" w14:textId="77777777" w:rsidTr="003B4BCE">
        <w:trPr>
          <w:trHeight w:val="20"/>
        </w:trPr>
        <w:tc>
          <w:tcPr>
            <w:tcW w:w="2311" w:type="pct"/>
            <w:shd w:val="clear" w:color="auto" w:fill="auto"/>
            <w:noWrap/>
            <w:vAlign w:val="bottom"/>
            <w:hideMark/>
          </w:tcPr>
          <w:p w14:paraId="3D3493AB"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GST Expenses</w:t>
            </w:r>
          </w:p>
        </w:tc>
        <w:tc>
          <w:tcPr>
            <w:tcW w:w="876" w:type="pct"/>
            <w:shd w:val="clear" w:color="auto" w:fill="auto"/>
            <w:noWrap/>
            <w:vAlign w:val="bottom"/>
            <w:hideMark/>
          </w:tcPr>
          <w:p w14:paraId="2511EDC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23.98</w:t>
            </w:r>
          </w:p>
        </w:tc>
        <w:tc>
          <w:tcPr>
            <w:tcW w:w="876" w:type="pct"/>
            <w:shd w:val="clear" w:color="auto" w:fill="auto"/>
            <w:noWrap/>
            <w:vAlign w:val="bottom"/>
            <w:hideMark/>
          </w:tcPr>
          <w:p w14:paraId="3BDBA46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937" w:type="pct"/>
            <w:shd w:val="clear" w:color="auto" w:fill="auto"/>
            <w:vAlign w:val="bottom"/>
            <w:hideMark/>
          </w:tcPr>
          <w:p w14:paraId="743E538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0.00</w:t>
            </w:r>
          </w:p>
        </w:tc>
      </w:tr>
      <w:tr w:rsidR="005B5953" w:rsidRPr="005B12AE" w14:paraId="760D87AB" w14:textId="77777777" w:rsidTr="003B4BCE">
        <w:trPr>
          <w:trHeight w:val="20"/>
        </w:trPr>
        <w:tc>
          <w:tcPr>
            <w:tcW w:w="2311" w:type="pct"/>
            <w:shd w:val="clear" w:color="auto" w:fill="auto"/>
            <w:noWrap/>
            <w:vAlign w:val="bottom"/>
            <w:hideMark/>
          </w:tcPr>
          <w:p w14:paraId="253BBCA8"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GPCB Expenses</w:t>
            </w:r>
          </w:p>
        </w:tc>
        <w:tc>
          <w:tcPr>
            <w:tcW w:w="876" w:type="pct"/>
            <w:shd w:val="clear" w:color="auto" w:fill="auto"/>
            <w:noWrap/>
            <w:vAlign w:val="bottom"/>
            <w:hideMark/>
          </w:tcPr>
          <w:p w14:paraId="7FC1493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0.21</w:t>
            </w:r>
          </w:p>
        </w:tc>
        <w:tc>
          <w:tcPr>
            <w:tcW w:w="876" w:type="pct"/>
            <w:shd w:val="clear" w:color="auto" w:fill="auto"/>
            <w:noWrap/>
            <w:vAlign w:val="bottom"/>
            <w:hideMark/>
          </w:tcPr>
          <w:p w14:paraId="3522375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937" w:type="pct"/>
            <w:shd w:val="clear" w:color="auto" w:fill="auto"/>
            <w:vAlign w:val="bottom"/>
            <w:hideMark/>
          </w:tcPr>
          <w:p w14:paraId="7CB2E52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6ECB7E53" w14:textId="77777777" w:rsidTr="003B4BCE">
        <w:trPr>
          <w:trHeight w:val="20"/>
        </w:trPr>
        <w:tc>
          <w:tcPr>
            <w:tcW w:w="2311" w:type="pct"/>
            <w:shd w:val="clear" w:color="auto" w:fill="auto"/>
            <w:noWrap/>
            <w:vAlign w:val="bottom"/>
            <w:hideMark/>
          </w:tcPr>
          <w:p w14:paraId="001A930D"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House Tax Expenses</w:t>
            </w:r>
          </w:p>
        </w:tc>
        <w:tc>
          <w:tcPr>
            <w:tcW w:w="876" w:type="pct"/>
            <w:shd w:val="clear" w:color="auto" w:fill="auto"/>
            <w:noWrap/>
            <w:vAlign w:val="bottom"/>
            <w:hideMark/>
          </w:tcPr>
          <w:p w14:paraId="16880AC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0.68</w:t>
            </w:r>
          </w:p>
        </w:tc>
        <w:tc>
          <w:tcPr>
            <w:tcW w:w="876" w:type="pct"/>
            <w:shd w:val="clear" w:color="auto" w:fill="auto"/>
            <w:noWrap/>
            <w:vAlign w:val="bottom"/>
            <w:hideMark/>
          </w:tcPr>
          <w:p w14:paraId="7C13335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0.29</w:t>
            </w:r>
          </w:p>
        </w:tc>
        <w:tc>
          <w:tcPr>
            <w:tcW w:w="937" w:type="pct"/>
            <w:shd w:val="clear" w:color="auto" w:fill="auto"/>
            <w:vAlign w:val="bottom"/>
            <w:hideMark/>
          </w:tcPr>
          <w:p w14:paraId="07A562C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0.71</w:t>
            </w:r>
          </w:p>
        </w:tc>
      </w:tr>
      <w:tr w:rsidR="005B5953" w:rsidRPr="005B12AE" w14:paraId="1FC69E0E" w14:textId="77777777" w:rsidTr="003B4BCE">
        <w:trPr>
          <w:trHeight w:val="20"/>
        </w:trPr>
        <w:tc>
          <w:tcPr>
            <w:tcW w:w="2311" w:type="pct"/>
            <w:shd w:val="clear" w:color="auto" w:fill="auto"/>
            <w:noWrap/>
            <w:vAlign w:val="bottom"/>
            <w:hideMark/>
          </w:tcPr>
          <w:p w14:paraId="0FBA3708"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Inspection Cost</w:t>
            </w:r>
          </w:p>
        </w:tc>
        <w:tc>
          <w:tcPr>
            <w:tcW w:w="876" w:type="pct"/>
            <w:shd w:val="clear" w:color="auto" w:fill="auto"/>
            <w:noWrap/>
            <w:vAlign w:val="bottom"/>
            <w:hideMark/>
          </w:tcPr>
          <w:p w14:paraId="75DDF19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0.13</w:t>
            </w:r>
          </w:p>
        </w:tc>
        <w:tc>
          <w:tcPr>
            <w:tcW w:w="876" w:type="pct"/>
            <w:shd w:val="clear" w:color="auto" w:fill="auto"/>
            <w:noWrap/>
            <w:vAlign w:val="bottom"/>
            <w:hideMark/>
          </w:tcPr>
          <w:p w14:paraId="5E89225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0.62</w:t>
            </w:r>
          </w:p>
        </w:tc>
        <w:tc>
          <w:tcPr>
            <w:tcW w:w="937" w:type="pct"/>
            <w:shd w:val="clear" w:color="auto" w:fill="auto"/>
            <w:vAlign w:val="bottom"/>
            <w:hideMark/>
          </w:tcPr>
          <w:p w14:paraId="4DF7355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0.02</w:t>
            </w:r>
          </w:p>
        </w:tc>
      </w:tr>
      <w:tr w:rsidR="005B5953" w:rsidRPr="005B12AE" w14:paraId="025D97B3" w14:textId="77777777" w:rsidTr="003B4BCE">
        <w:trPr>
          <w:trHeight w:val="20"/>
        </w:trPr>
        <w:tc>
          <w:tcPr>
            <w:tcW w:w="2311" w:type="pct"/>
            <w:shd w:val="clear" w:color="auto" w:fill="auto"/>
            <w:noWrap/>
            <w:vAlign w:val="bottom"/>
            <w:hideMark/>
          </w:tcPr>
          <w:p w14:paraId="21AA4931"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Insurance Premium</w:t>
            </w:r>
          </w:p>
        </w:tc>
        <w:tc>
          <w:tcPr>
            <w:tcW w:w="876" w:type="pct"/>
            <w:shd w:val="clear" w:color="auto" w:fill="auto"/>
            <w:noWrap/>
            <w:vAlign w:val="bottom"/>
            <w:hideMark/>
          </w:tcPr>
          <w:p w14:paraId="1CC6A8E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87.93</w:t>
            </w:r>
          </w:p>
        </w:tc>
        <w:tc>
          <w:tcPr>
            <w:tcW w:w="876" w:type="pct"/>
            <w:shd w:val="clear" w:color="auto" w:fill="auto"/>
            <w:noWrap/>
            <w:vAlign w:val="bottom"/>
            <w:hideMark/>
          </w:tcPr>
          <w:p w14:paraId="0C4B7AE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26.01</w:t>
            </w:r>
          </w:p>
        </w:tc>
        <w:tc>
          <w:tcPr>
            <w:tcW w:w="937" w:type="pct"/>
            <w:shd w:val="clear" w:color="auto" w:fill="auto"/>
            <w:vAlign w:val="bottom"/>
            <w:hideMark/>
          </w:tcPr>
          <w:p w14:paraId="46B755A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6.20</w:t>
            </w:r>
          </w:p>
        </w:tc>
      </w:tr>
      <w:tr w:rsidR="005B5953" w:rsidRPr="005B12AE" w14:paraId="602D98DD" w14:textId="77777777" w:rsidTr="003B4BCE">
        <w:trPr>
          <w:trHeight w:val="20"/>
        </w:trPr>
        <w:tc>
          <w:tcPr>
            <w:tcW w:w="2311" w:type="pct"/>
            <w:shd w:val="clear" w:color="auto" w:fill="auto"/>
            <w:noWrap/>
            <w:vAlign w:val="bottom"/>
            <w:hideMark/>
          </w:tcPr>
          <w:p w14:paraId="5B917210"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Interest on GST</w:t>
            </w:r>
          </w:p>
        </w:tc>
        <w:tc>
          <w:tcPr>
            <w:tcW w:w="876" w:type="pct"/>
            <w:shd w:val="clear" w:color="auto" w:fill="auto"/>
            <w:vAlign w:val="bottom"/>
            <w:hideMark/>
          </w:tcPr>
          <w:p w14:paraId="75D1A6F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76" w:type="pct"/>
            <w:shd w:val="clear" w:color="auto" w:fill="auto"/>
            <w:vAlign w:val="bottom"/>
            <w:hideMark/>
          </w:tcPr>
          <w:p w14:paraId="06FED90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937" w:type="pct"/>
            <w:shd w:val="clear" w:color="auto" w:fill="auto"/>
            <w:vAlign w:val="bottom"/>
            <w:hideMark/>
          </w:tcPr>
          <w:p w14:paraId="79D7A04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0.09</w:t>
            </w:r>
          </w:p>
        </w:tc>
      </w:tr>
      <w:tr w:rsidR="005B5953" w:rsidRPr="005B12AE" w14:paraId="33EB2D47" w14:textId="77777777" w:rsidTr="003B4BCE">
        <w:trPr>
          <w:trHeight w:val="20"/>
        </w:trPr>
        <w:tc>
          <w:tcPr>
            <w:tcW w:w="2311" w:type="pct"/>
            <w:shd w:val="clear" w:color="auto" w:fill="auto"/>
            <w:noWrap/>
            <w:vAlign w:val="bottom"/>
            <w:hideMark/>
          </w:tcPr>
          <w:p w14:paraId="504E4FE5"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Interest on TDS &amp; TCS</w:t>
            </w:r>
          </w:p>
        </w:tc>
        <w:tc>
          <w:tcPr>
            <w:tcW w:w="876" w:type="pct"/>
            <w:shd w:val="clear" w:color="auto" w:fill="auto"/>
            <w:vAlign w:val="bottom"/>
            <w:hideMark/>
          </w:tcPr>
          <w:p w14:paraId="675BD67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76" w:type="pct"/>
            <w:shd w:val="clear" w:color="auto" w:fill="auto"/>
            <w:vAlign w:val="bottom"/>
            <w:hideMark/>
          </w:tcPr>
          <w:p w14:paraId="493F57A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937" w:type="pct"/>
            <w:shd w:val="clear" w:color="auto" w:fill="auto"/>
            <w:vAlign w:val="bottom"/>
            <w:hideMark/>
          </w:tcPr>
          <w:p w14:paraId="1E12023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0.53</w:t>
            </w:r>
          </w:p>
        </w:tc>
      </w:tr>
      <w:tr w:rsidR="005B5953" w:rsidRPr="005B12AE" w14:paraId="7E497DDF" w14:textId="77777777" w:rsidTr="003B4BCE">
        <w:trPr>
          <w:trHeight w:val="20"/>
        </w:trPr>
        <w:tc>
          <w:tcPr>
            <w:tcW w:w="2311" w:type="pct"/>
            <w:shd w:val="clear" w:color="auto" w:fill="auto"/>
            <w:noWrap/>
            <w:vAlign w:val="bottom"/>
            <w:hideMark/>
          </w:tcPr>
          <w:p w14:paraId="6034D2F5"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Internet Expenses</w:t>
            </w:r>
          </w:p>
        </w:tc>
        <w:tc>
          <w:tcPr>
            <w:tcW w:w="876" w:type="pct"/>
            <w:shd w:val="clear" w:color="auto" w:fill="auto"/>
            <w:noWrap/>
            <w:vAlign w:val="bottom"/>
            <w:hideMark/>
          </w:tcPr>
          <w:p w14:paraId="658DFCD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0.12</w:t>
            </w:r>
          </w:p>
        </w:tc>
        <w:tc>
          <w:tcPr>
            <w:tcW w:w="876" w:type="pct"/>
            <w:shd w:val="clear" w:color="auto" w:fill="auto"/>
            <w:noWrap/>
            <w:vAlign w:val="bottom"/>
            <w:hideMark/>
          </w:tcPr>
          <w:p w14:paraId="132A676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0.22</w:t>
            </w:r>
          </w:p>
        </w:tc>
        <w:tc>
          <w:tcPr>
            <w:tcW w:w="937" w:type="pct"/>
            <w:shd w:val="clear" w:color="auto" w:fill="auto"/>
            <w:vAlign w:val="bottom"/>
            <w:hideMark/>
          </w:tcPr>
          <w:p w14:paraId="5CCEA2D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0.16</w:t>
            </w:r>
          </w:p>
        </w:tc>
      </w:tr>
      <w:tr w:rsidR="005B5953" w:rsidRPr="005B12AE" w14:paraId="720B7EC2" w14:textId="77777777" w:rsidTr="003B4BCE">
        <w:trPr>
          <w:trHeight w:val="20"/>
        </w:trPr>
        <w:tc>
          <w:tcPr>
            <w:tcW w:w="2311" w:type="pct"/>
            <w:shd w:val="clear" w:color="auto" w:fill="auto"/>
            <w:noWrap/>
            <w:vAlign w:val="bottom"/>
            <w:hideMark/>
          </w:tcPr>
          <w:p w14:paraId="646ED290"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Kasar account</w:t>
            </w:r>
          </w:p>
        </w:tc>
        <w:tc>
          <w:tcPr>
            <w:tcW w:w="876" w:type="pct"/>
            <w:shd w:val="clear" w:color="auto" w:fill="auto"/>
            <w:vAlign w:val="bottom"/>
            <w:hideMark/>
          </w:tcPr>
          <w:p w14:paraId="0A90D69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76" w:type="pct"/>
            <w:shd w:val="clear" w:color="auto" w:fill="auto"/>
            <w:vAlign w:val="bottom"/>
            <w:hideMark/>
          </w:tcPr>
          <w:p w14:paraId="71848D5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937" w:type="pct"/>
            <w:shd w:val="clear" w:color="auto" w:fill="auto"/>
            <w:vAlign w:val="bottom"/>
            <w:hideMark/>
          </w:tcPr>
          <w:p w14:paraId="052EDE1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0.40</w:t>
            </w:r>
          </w:p>
        </w:tc>
      </w:tr>
      <w:tr w:rsidR="005B5953" w:rsidRPr="005B12AE" w14:paraId="5F51D22E" w14:textId="77777777" w:rsidTr="003B4BCE">
        <w:trPr>
          <w:trHeight w:val="20"/>
        </w:trPr>
        <w:tc>
          <w:tcPr>
            <w:tcW w:w="2311" w:type="pct"/>
            <w:shd w:val="clear" w:color="auto" w:fill="auto"/>
            <w:noWrap/>
            <w:vAlign w:val="bottom"/>
            <w:hideMark/>
          </w:tcPr>
          <w:p w14:paraId="3E0AC739"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Legal Advisors Fees</w:t>
            </w:r>
          </w:p>
        </w:tc>
        <w:tc>
          <w:tcPr>
            <w:tcW w:w="876" w:type="pct"/>
            <w:shd w:val="clear" w:color="auto" w:fill="auto"/>
            <w:noWrap/>
            <w:vAlign w:val="bottom"/>
            <w:hideMark/>
          </w:tcPr>
          <w:p w14:paraId="3E899B2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2.43</w:t>
            </w:r>
          </w:p>
        </w:tc>
        <w:tc>
          <w:tcPr>
            <w:tcW w:w="876" w:type="pct"/>
            <w:shd w:val="clear" w:color="auto" w:fill="auto"/>
            <w:noWrap/>
            <w:vAlign w:val="bottom"/>
            <w:hideMark/>
          </w:tcPr>
          <w:p w14:paraId="401282B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5.37</w:t>
            </w:r>
          </w:p>
        </w:tc>
        <w:tc>
          <w:tcPr>
            <w:tcW w:w="937" w:type="pct"/>
            <w:shd w:val="clear" w:color="auto" w:fill="auto"/>
            <w:vAlign w:val="bottom"/>
            <w:hideMark/>
          </w:tcPr>
          <w:p w14:paraId="212D3B8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0.98</w:t>
            </w:r>
          </w:p>
        </w:tc>
      </w:tr>
      <w:tr w:rsidR="005B5953" w:rsidRPr="005B12AE" w14:paraId="07B82277" w14:textId="77777777" w:rsidTr="003B4BCE">
        <w:trPr>
          <w:trHeight w:val="20"/>
        </w:trPr>
        <w:tc>
          <w:tcPr>
            <w:tcW w:w="2311" w:type="pct"/>
            <w:shd w:val="clear" w:color="auto" w:fill="auto"/>
            <w:noWrap/>
            <w:vAlign w:val="bottom"/>
            <w:hideMark/>
          </w:tcPr>
          <w:p w14:paraId="60F91FA0"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Loss on Sale of Assets</w:t>
            </w:r>
          </w:p>
        </w:tc>
        <w:tc>
          <w:tcPr>
            <w:tcW w:w="876" w:type="pct"/>
            <w:shd w:val="clear" w:color="auto" w:fill="auto"/>
            <w:vAlign w:val="bottom"/>
            <w:hideMark/>
          </w:tcPr>
          <w:p w14:paraId="503F331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76" w:type="pct"/>
            <w:shd w:val="clear" w:color="auto" w:fill="auto"/>
            <w:vAlign w:val="bottom"/>
            <w:hideMark/>
          </w:tcPr>
          <w:p w14:paraId="2396C2E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937" w:type="pct"/>
            <w:shd w:val="clear" w:color="auto" w:fill="auto"/>
            <w:vAlign w:val="bottom"/>
            <w:hideMark/>
          </w:tcPr>
          <w:p w14:paraId="69C00CC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0.08</w:t>
            </w:r>
          </w:p>
        </w:tc>
      </w:tr>
      <w:tr w:rsidR="005B5953" w:rsidRPr="005B12AE" w14:paraId="360C3BF3" w14:textId="77777777" w:rsidTr="003B4BCE">
        <w:trPr>
          <w:trHeight w:val="20"/>
        </w:trPr>
        <w:tc>
          <w:tcPr>
            <w:tcW w:w="2311" w:type="pct"/>
            <w:shd w:val="clear" w:color="auto" w:fill="auto"/>
            <w:noWrap/>
            <w:vAlign w:val="bottom"/>
            <w:hideMark/>
          </w:tcPr>
          <w:p w14:paraId="3E0EEAB9"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Lift Maintenance expenses</w:t>
            </w:r>
          </w:p>
        </w:tc>
        <w:tc>
          <w:tcPr>
            <w:tcW w:w="876" w:type="pct"/>
            <w:shd w:val="clear" w:color="auto" w:fill="auto"/>
            <w:vAlign w:val="bottom"/>
            <w:hideMark/>
          </w:tcPr>
          <w:p w14:paraId="5D4F9D9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76" w:type="pct"/>
            <w:shd w:val="clear" w:color="auto" w:fill="auto"/>
            <w:vAlign w:val="bottom"/>
            <w:hideMark/>
          </w:tcPr>
          <w:p w14:paraId="525D704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937" w:type="pct"/>
            <w:shd w:val="clear" w:color="auto" w:fill="auto"/>
            <w:vAlign w:val="bottom"/>
            <w:hideMark/>
          </w:tcPr>
          <w:p w14:paraId="65A996D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0.20</w:t>
            </w:r>
          </w:p>
        </w:tc>
      </w:tr>
      <w:tr w:rsidR="005B5953" w:rsidRPr="005B12AE" w14:paraId="6163F5EC" w14:textId="77777777" w:rsidTr="003B4BCE">
        <w:trPr>
          <w:trHeight w:val="20"/>
        </w:trPr>
        <w:tc>
          <w:tcPr>
            <w:tcW w:w="2311" w:type="pct"/>
            <w:shd w:val="clear" w:color="auto" w:fill="auto"/>
            <w:noWrap/>
            <w:vAlign w:val="bottom"/>
            <w:hideMark/>
          </w:tcPr>
          <w:p w14:paraId="0E64B990"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Medical Expenses</w:t>
            </w:r>
          </w:p>
        </w:tc>
        <w:tc>
          <w:tcPr>
            <w:tcW w:w="876" w:type="pct"/>
            <w:shd w:val="clear" w:color="auto" w:fill="auto"/>
            <w:noWrap/>
            <w:vAlign w:val="bottom"/>
            <w:hideMark/>
          </w:tcPr>
          <w:p w14:paraId="492F8C7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0.23</w:t>
            </w:r>
          </w:p>
        </w:tc>
        <w:tc>
          <w:tcPr>
            <w:tcW w:w="876" w:type="pct"/>
            <w:shd w:val="clear" w:color="auto" w:fill="auto"/>
            <w:noWrap/>
            <w:vAlign w:val="bottom"/>
            <w:hideMark/>
          </w:tcPr>
          <w:p w14:paraId="402BE80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0.48</w:t>
            </w:r>
          </w:p>
        </w:tc>
        <w:tc>
          <w:tcPr>
            <w:tcW w:w="937" w:type="pct"/>
            <w:shd w:val="clear" w:color="auto" w:fill="auto"/>
            <w:vAlign w:val="bottom"/>
            <w:hideMark/>
          </w:tcPr>
          <w:p w14:paraId="6F711C9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0.66</w:t>
            </w:r>
          </w:p>
        </w:tc>
      </w:tr>
      <w:tr w:rsidR="005B5953" w:rsidRPr="005B12AE" w14:paraId="48E52294" w14:textId="77777777" w:rsidTr="003B4BCE">
        <w:trPr>
          <w:trHeight w:val="20"/>
        </w:trPr>
        <w:tc>
          <w:tcPr>
            <w:tcW w:w="2311" w:type="pct"/>
            <w:shd w:val="clear" w:color="auto" w:fill="auto"/>
            <w:noWrap/>
            <w:vAlign w:val="bottom"/>
            <w:hideMark/>
          </w:tcPr>
          <w:p w14:paraId="52DE49CE"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Membership &amp; Subscription Expenses</w:t>
            </w:r>
          </w:p>
        </w:tc>
        <w:tc>
          <w:tcPr>
            <w:tcW w:w="876" w:type="pct"/>
            <w:shd w:val="clear" w:color="auto" w:fill="auto"/>
            <w:noWrap/>
            <w:vAlign w:val="bottom"/>
            <w:hideMark/>
          </w:tcPr>
          <w:p w14:paraId="34C2535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0.99</w:t>
            </w:r>
          </w:p>
        </w:tc>
        <w:tc>
          <w:tcPr>
            <w:tcW w:w="876" w:type="pct"/>
            <w:shd w:val="clear" w:color="auto" w:fill="auto"/>
            <w:noWrap/>
            <w:vAlign w:val="bottom"/>
            <w:hideMark/>
          </w:tcPr>
          <w:p w14:paraId="1E03A22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1.78</w:t>
            </w:r>
          </w:p>
        </w:tc>
        <w:tc>
          <w:tcPr>
            <w:tcW w:w="937" w:type="pct"/>
            <w:shd w:val="clear" w:color="auto" w:fill="auto"/>
            <w:vAlign w:val="bottom"/>
            <w:hideMark/>
          </w:tcPr>
          <w:p w14:paraId="0C703D1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0.86</w:t>
            </w:r>
          </w:p>
        </w:tc>
      </w:tr>
      <w:tr w:rsidR="005B5953" w:rsidRPr="005B12AE" w14:paraId="6547B19D" w14:textId="77777777" w:rsidTr="003B4BCE">
        <w:trPr>
          <w:trHeight w:val="20"/>
        </w:trPr>
        <w:tc>
          <w:tcPr>
            <w:tcW w:w="2311" w:type="pct"/>
            <w:shd w:val="clear" w:color="auto" w:fill="auto"/>
            <w:noWrap/>
            <w:vAlign w:val="bottom"/>
            <w:hideMark/>
          </w:tcPr>
          <w:p w14:paraId="196C6594"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Miscellaneous Expenses/Other Expenses</w:t>
            </w:r>
          </w:p>
        </w:tc>
        <w:tc>
          <w:tcPr>
            <w:tcW w:w="876" w:type="pct"/>
            <w:shd w:val="clear" w:color="auto" w:fill="auto"/>
            <w:noWrap/>
            <w:vAlign w:val="bottom"/>
            <w:hideMark/>
          </w:tcPr>
          <w:p w14:paraId="6E81A22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0.25</w:t>
            </w:r>
          </w:p>
        </w:tc>
        <w:tc>
          <w:tcPr>
            <w:tcW w:w="876" w:type="pct"/>
            <w:shd w:val="clear" w:color="auto" w:fill="auto"/>
            <w:noWrap/>
            <w:vAlign w:val="bottom"/>
            <w:hideMark/>
          </w:tcPr>
          <w:p w14:paraId="7E358AC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0.17</w:t>
            </w:r>
          </w:p>
        </w:tc>
        <w:tc>
          <w:tcPr>
            <w:tcW w:w="937" w:type="pct"/>
            <w:shd w:val="clear" w:color="auto" w:fill="auto"/>
            <w:vAlign w:val="bottom"/>
            <w:hideMark/>
          </w:tcPr>
          <w:p w14:paraId="6719D68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0.36</w:t>
            </w:r>
          </w:p>
        </w:tc>
      </w:tr>
      <w:tr w:rsidR="005B5953" w:rsidRPr="005B12AE" w14:paraId="05F81DC6" w14:textId="77777777" w:rsidTr="003B4BCE">
        <w:trPr>
          <w:trHeight w:val="20"/>
        </w:trPr>
        <w:tc>
          <w:tcPr>
            <w:tcW w:w="2311" w:type="pct"/>
            <w:shd w:val="clear" w:color="auto" w:fill="auto"/>
            <w:noWrap/>
            <w:vAlign w:val="bottom"/>
            <w:hideMark/>
          </w:tcPr>
          <w:p w14:paraId="0A75B333"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Office Equipment’s Maintenance Expenses</w:t>
            </w:r>
          </w:p>
        </w:tc>
        <w:tc>
          <w:tcPr>
            <w:tcW w:w="876" w:type="pct"/>
            <w:shd w:val="clear" w:color="auto" w:fill="auto"/>
            <w:noWrap/>
            <w:vAlign w:val="bottom"/>
            <w:hideMark/>
          </w:tcPr>
          <w:p w14:paraId="606852D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0.13</w:t>
            </w:r>
          </w:p>
        </w:tc>
        <w:tc>
          <w:tcPr>
            <w:tcW w:w="876" w:type="pct"/>
            <w:shd w:val="clear" w:color="auto" w:fill="auto"/>
            <w:noWrap/>
            <w:vAlign w:val="bottom"/>
            <w:hideMark/>
          </w:tcPr>
          <w:p w14:paraId="1D3FCFF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937" w:type="pct"/>
            <w:shd w:val="clear" w:color="auto" w:fill="auto"/>
            <w:vAlign w:val="bottom"/>
            <w:hideMark/>
          </w:tcPr>
          <w:p w14:paraId="341ADF5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0.11</w:t>
            </w:r>
          </w:p>
        </w:tc>
      </w:tr>
      <w:tr w:rsidR="005B5953" w:rsidRPr="005B12AE" w14:paraId="5B66F0CE" w14:textId="77777777" w:rsidTr="003B4BCE">
        <w:trPr>
          <w:trHeight w:val="20"/>
        </w:trPr>
        <w:tc>
          <w:tcPr>
            <w:tcW w:w="2311" w:type="pct"/>
            <w:shd w:val="clear" w:color="auto" w:fill="auto"/>
            <w:noWrap/>
            <w:vAlign w:val="bottom"/>
            <w:hideMark/>
          </w:tcPr>
          <w:p w14:paraId="1A9AFBBD"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Packing &amp; Forwarding Expenses</w:t>
            </w:r>
          </w:p>
        </w:tc>
        <w:tc>
          <w:tcPr>
            <w:tcW w:w="876" w:type="pct"/>
            <w:shd w:val="clear" w:color="auto" w:fill="auto"/>
            <w:noWrap/>
            <w:vAlign w:val="bottom"/>
            <w:hideMark/>
          </w:tcPr>
          <w:p w14:paraId="46B84E1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0.27</w:t>
            </w:r>
          </w:p>
        </w:tc>
        <w:tc>
          <w:tcPr>
            <w:tcW w:w="876" w:type="pct"/>
            <w:shd w:val="clear" w:color="auto" w:fill="auto"/>
            <w:noWrap/>
            <w:vAlign w:val="bottom"/>
            <w:hideMark/>
          </w:tcPr>
          <w:p w14:paraId="2798865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0.03</w:t>
            </w:r>
          </w:p>
        </w:tc>
        <w:tc>
          <w:tcPr>
            <w:tcW w:w="937" w:type="pct"/>
            <w:shd w:val="clear" w:color="auto" w:fill="auto"/>
            <w:vAlign w:val="bottom"/>
            <w:hideMark/>
          </w:tcPr>
          <w:p w14:paraId="2165D9F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0.09</w:t>
            </w:r>
          </w:p>
        </w:tc>
      </w:tr>
      <w:tr w:rsidR="005B5953" w:rsidRPr="005B12AE" w14:paraId="3BBBA21D" w14:textId="77777777" w:rsidTr="003B4BCE">
        <w:trPr>
          <w:trHeight w:val="20"/>
        </w:trPr>
        <w:tc>
          <w:tcPr>
            <w:tcW w:w="2311" w:type="pct"/>
            <w:shd w:val="clear" w:color="auto" w:fill="auto"/>
            <w:noWrap/>
            <w:vAlign w:val="bottom"/>
            <w:hideMark/>
          </w:tcPr>
          <w:p w14:paraId="1730EB27"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Penalty for Kasez</w:t>
            </w:r>
          </w:p>
        </w:tc>
        <w:tc>
          <w:tcPr>
            <w:tcW w:w="876" w:type="pct"/>
            <w:shd w:val="clear" w:color="auto" w:fill="auto"/>
            <w:noWrap/>
            <w:vAlign w:val="bottom"/>
            <w:hideMark/>
          </w:tcPr>
          <w:p w14:paraId="4AB9E240" w14:textId="77777777" w:rsidR="005B5953" w:rsidRPr="005B12AE" w:rsidRDefault="005B5953" w:rsidP="00250DAC">
            <w:pPr>
              <w:spacing w:after="0" w:line="240" w:lineRule="auto"/>
              <w:jc w:val="center"/>
              <w:rPr>
                <w:rFonts w:ascii="Times New Roman" w:hAnsi="Times New Roman"/>
                <w:sz w:val="20"/>
                <w:szCs w:val="20"/>
              </w:rPr>
            </w:pPr>
          </w:p>
        </w:tc>
        <w:tc>
          <w:tcPr>
            <w:tcW w:w="876" w:type="pct"/>
            <w:shd w:val="clear" w:color="auto" w:fill="auto"/>
            <w:noWrap/>
            <w:vAlign w:val="bottom"/>
            <w:hideMark/>
          </w:tcPr>
          <w:p w14:paraId="58299C19" w14:textId="77777777" w:rsidR="005B5953" w:rsidRPr="005B12AE" w:rsidRDefault="005B5953" w:rsidP="00250DAC">
            <w:pPr>
              <w:spacing w:after="0" w:line="240" w:lineRule="auto"/>
              <w:jc w:val="center"/>
              <w:rPr>
                <w:rFonts w:ascii="Times New Roman" w:hAnsi="Times New Roman"/>
                <w:sz w:val="20"/>
                <w:szCs w:val="20"/>
              </w:rPr>
            </w:pPr>
          </w:p>
        </w:tc>
        <w:tc>
          <w:tcPr>
            <w:tcW w:w="937" w:type="pct"/>
            <w:shd w:val="clear" w:color="auto" w:fill="auto"/>
            <w:vAlign w:val="bottom"/>
            <w:hideMark/>
          </w:tcPr>
          <w:p w14:paraId="4F5645A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30.00</w:t>
            </w:r>
          </w:p>
        </w:tc>
      </w:tr>
      <w:tr w:rsidR="005B5953" w:rsidRPr="005B12AE" w14:paraId="30AB04D7" w14:textId="77777777" w:rsidTr="003B4BCE">
        <w:trPr>
          <w:trHeight w:val="20"/>
        </w:trPr>
        <w:tc>
          <w:tcPr>
            <w:tcW w:w="2311" w:type="pct"/>
            <w:shd w:val="clear" w:color="auto" w:fill="auto"/>
            <w:noWrap/>
            <w:vAlign w:val="bottom"/>
            <w:hideMark/>
          </w:tcPr>
          <w:p w14:paraId="28470914"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Rent Expenses</w:t>
            </w:r>
          </w:p>
        </w:tc>
        <w:tc>
          <w:tcPr>
            <w:tcW w:w="876" w:type="pct"/>
            <w:shd w:val="clear" w:color="auto" w:fill="auto"/>
            <w:noWrap/>
            <w:vAlign w:val="bottom"/>
            <w:hideMark/>
          </w:tcPr>
          <w:p w14:paraId="4834163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5.30</w:t>
            </w:r>
          </w:p>
        </w:tc>
        <w:tc>
          <w:tcPr>
            <w:tcW w:w="876" w:type="pct"/>
            <w:shd w:val="clear" w:color="auto" w:fill="auto"/>
            <w:noWrap/>
            <w:vAlign w:val="bottom"/>
            <w:hideMark/>
          </w:tcPr>
          <w:p w14:paraId="1145F11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5.63</w:t>
            </w:r>
          </w:p>
        </w:tc>
        <w:tc>
          <w:tcPr>
            <w:tcW w:w="937" w:type="pct"/>
            <w:shd w:val="clear" w:color="auto" w:fill="auto"/>
            <w:vAlign w:val="bottom"/>
            <w:hideMark/>
          </w:tcPr>
          <w:p w14:paraId="433DB08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5.30</w:t>
            </w:r>
          </w:p>
        </w:tc>
      </w:tr>
      <w:tr w:rsidR="005B5953" w:rsidRPr="005B12AE" w14:paraId="0E813AA3" w14:textId="77777777" w:rsidTr="003B4BCE">
        <w:trPr>
          <w:trHeight w:val="20"/>
        </w:trPr>
        <w:tc>
          <w:tcPr>
            <w:tcW w:w="2311" w:type="pct"/>
            <w:shd w:val="clear" w:color="auto" w:fill="auto"/>
            <w:noWrap/>
            <w:vAlign w:val="bottom"/>
            <w:hideMark/>
          </w:tcPr>
          <w:p w14:paraId="2BE569FF"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Repairing expenses </w:t>
            </w:r>
          </w:p>
        </w:tc>
        <w:tc>
          <w:tcPr>
            <w:tcW w:w="876" w:type="pct"/>
            <w:shd w:val="clear" w:color="auto" w:fill="auto"/>
            <w:vAlign w:val="bottom"/>
            <w:hideMark/>
          </w:tcPr>
          <w:p w14:paraId="1B2036D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76" w:type="pct"/>
            <w:shd w:val="clear" w:color="auto" w:fill="auto"/>
            <w:vAlign w:val="bottom"/>
            <w:hideMark/>
          </w:tcPr>
          <w:p w14:paraId="3DE418A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937" w:type="pct"/>
            <w:shd w:val="clear" w:color="auto" w:fill="auto"/>
            <w:vAlign w:val="bottom"/>
            <w:hideMark/>
          </w:tcPr>
          <w:p w14:paraId="72930DB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1.01</w:t>
            </w:r>
          </w:p>
        </w:tc>
      </w:tr>
      <w:tr w:rsidR="005B5953" w:rsidRPr="005B12AE" w14:paraId="4B9F2D40" w14:textId="77777777" w:rsidTr="003B4BCE">
        <w:trPr>
          <w:trHeight w:val="20"/>
        </w:trPr>
        <w:tc>
          <w:tcPr>
            <w:tcW w:w="2311" w:type="pct"/>
            <w:shd w:val="clear" w:color="auto" w:fill="auto"/>
            <w:noWrap/>
            <w:vAlign w:val="bottom"/>
            <w:hideMark/>
          </w:tcPr>
          <w:p w14:paraId="0EB33218"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xml:space="preserve">ROC Fees Expenses </w:t>
            </w:r>
          </w:p>
        </w:tc>
        <w:tc>
          <w:tcPr>
            <w:tcW w:w="876" w:type="pct"/>
            <w:shd w:val="clear" w:color="auto" w:fill="auto"/>
            <w:noWrap/>
            <w:vAlign w:val="bottom"/>
            <w:hideMark/>
          </w:tcPr>
          <w:p w14:paraId="0B95830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0.13</w:t>
            </w:r>
          </w:p>
        </w:tc>
        <w:tc>
          <w:tcPr>
            <w:tcW w:w="876" w:type="pct"/>
            <w:shd w:val="clear" w:color="auto" w:fill="auto"/>
            <w:noWrap/>
            <w:vAlign w:val="bottom"/>
            <w:hideMark/>
          </w:tcPr>
          <w:p w14:paraId="01CFB7B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0.32</w:t>
            </w:r>
          </w:p>
        </w:tc>
        <w:tc>
          <w:tcPr>
            <w:tcW w:w="937" w:type="pct"/>
            <w:shd w:val="clear" w:color="auto" w:fill="auto"/>
            <w:vAlign w:val="bottom"/>
            <w:hideMark/>
          </w:tcPr>
          <w:p w14:paraId="18C7FF7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1.11</w:t>
            </w:r>
          </w:p>
        </w:tc>
      </w:tr>
      <w:tr w:rsidR="005B5953" w:rsidRPr="005B12AE" w14:paraId="31160FBB" w14:textId="77777777" w:rsidTr="003B4BCE">
        <w:trPr>
          <w:trHeight w:val="20"/>
        </w:trPr>
        <w:tc>
          <w:tcPr>
            <w:tcW w:w="2311" w:type="pct"/>
            <w:shd w:val="clear" w:color="auto" w:fill="auto"/>
            <w:noWrap/>
            <w:vAlign w:val="bottom"/>
            <w:hideMark/>
          </w:tcPr>
          <w:p w14:paraId="3497DE9F"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Sanitation Expenses</w:t>
            </w:r>
          </w:p>
        </w:tc>
        <w:tc>
          <w:tcPr>
            <w:tcW w:w="876" w:type="pct"/>
            <w:shd w:val="clear" w:color="auto" w:fill="auto"/>
            <w:vAlign w:val="bottom"/>
            <w:hideMark/>
          </w:tcPr>
          <w:p w14:paraId="4144429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76" w:type="pct"/>
            <w:shd w:val="clear" w:color="auto" w:fill="auto"/>
            <w:vAlign w:val="bottom"/>
            <w:hideMark/>
          </w:tcPr>
          <w:p w14:paraId="72BB89F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937" w:type="pct"/>
            <w:shd w:val="clear" w:color="auto" w:fill="auto"/>
            <w:vAlign w:val="bottom"/>
            <w:hideMark/>
          </w:tcPr>
          <w:p w14:paraId="1FA8FD9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0.10</w:t>
            </w:r>
          </w:p>
        </w:tc>
      </w:tr>
      <w:tr w:rsidR="005B5953" w:rsidRPr="005B12AE" w14:paraId="4D8409FB" w14:textId="77777777" w:rsidTr="003B4BCE">
        <w:trPr>
          <w:trHeight w:val="20"/>
        </w:trPr>
        <w:tc>
          <w:tcPr>
            <w:tcW w:w="2311" w:type="pct"/>
            <w:shd w:val="clear" w:color="auto" w:fill="auto"/>
            <w:noWrap/>
            <w:vAlign w:val="bottom"/>
            <w:hideMark/>
          </w:tcPr>
          <w:p w14:paraId="36664C68"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Service Charges</w:t>
            </w:r>
          </w:p>
        </w:tc>
        <w:tc>
          <w:tcPr>
            <w:tcW w:w="876" w:type="pct"/>
            <w:shd w:val="clear" w:color="auto" w:fill="auto"/>
            <w:noWrap/>
            <w:vAlign w:val="bottom"/>
            <w:hideMark/>
          </w:tcPr>
          <w:p w14:paraId="0D8DF29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0.11</w:t>
            </w:r>
          </w:p>
        </w:tc>
        <w:tc>
          <w:tcPr>
            <w:tcW w:w="876" w:type="pct"/>
            <w:shd w:val="clear" w:color="auto" w:fill="auto"/>
            <w:noWrap/>
            <w:vAlign w:val="bottom"/>
            <w:hideMark/>
          </w:tcPr>
          <w:p w14:paraId="19A08FA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937" w:type="pct"/>
            <w:shd w:val="clear" w:color="auto" w:fill="auto"/>
            <w:vAlign w:val="bottom"/>
            <w:hideMark/>
          </w:tcPr>
          <w:p w14:paraId="3FB2E83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0.55</w:t>
            </w:r>
          </w:p>
        </w:tc>
      </w:tr>
      <w:tr w:rsidR="005B5953" w:rsidRPr="005B12AE" w14:paraId="50416AF2" w14:textId="77777777" w:rsidTr="003B4BCE">
        <w:trPr>
          <w:trHeight w:val="20"/>
        </w:trPr>
        <w:tc>
          <w:tcPr>
            <w:tcW w:w="2311" w:type="pct"/>
            <w:shd w:val="clear" w:color="auto" w:fill="auto"/>
            <w:noWrap/>
            <w:vAlign w:val="bottom"/>
            <w:hideMark/>
          </w:tcPr>
          <w:p w14:paraId="5D7FC743"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Stationery &amp; Printing Expense</w:t>
            </w:r>
          </w:p>
        </w:tc>
        <w:tc>
          <w:tcPr>
            <w:tcW w:w="876" w:type="pct"/>
            <w:shd w:val="clear" w:color="auto" w:fill="auto"/>
            <w:noWrap/>
            <w:vAlign w:val="bottom"/>
            <w:hideMark/>
          </w:tcPr>
          <w:p w14:paraId="0A0C307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76" w:type="pct"/>
            <w:shd w:val="clear" w:color="auto" w:fill="auto"/>
            <w:noWrap/>
            <w:vAlign w:val="bottom"/>
            <w:hideMark/>
          </w:tcPr>
          <w:p w14:paraId="10ABA73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0.10</w:t>
            </w:r>
          </w:p>
        </w:tc>
        <w:tc>
          <w:tcPr>
            <w:tcW w:w="937" w:type="pct"/>
            <w:shd w:val="clear" w:color="auto" w:fill="auto"/>
            <w:vAlign w:val="bottom"/>
            <w:hideMark/>
          </w:tcPr>
          <w:p w14:paraId="2439962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3.06</w:t>
            </w:r>
          </w:p>
        </w:tc>
      </w:tr>
      <w:tr w:rsidR="005B5953" w:rsidRPr="005B12AE" w14:paraId="0CF2ECD0" w14:textId="77777777" w:rsidTr="003B4BCE">
        <w:trPr>
          <w:trHeight w:val="20"/>
        </w:trPr>
        <w:tc>
          <w:tcPr>
            <w:tcW w:w="2311" w:type="pct"/>
            <w:shd w:val="clear" w:color="auto" w:fill="auto"/>
            <w:noWrap/>
            <w:vAlign w:val="bottom"/>
            <w:hideMark/>
          </w:tcPr>
          <w:p w14:paraId="78B0A286"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Telephone Expenses</w:t>
            </w:r>
          </w:p>
        </w:tc>
        <w:tc>
          <w:tcPr>
            <w:tcW w:w="876" w:type="pct"/>
            <w:shd w:val="clear" w:color="auto" w:fill="auto"/>
            <w:noWrap/>
            <w:vAlign w:val="bottom"/>
            <w:hideMark/>
          </w:tcPr>
          <w:p w14:paraId="2B57DC0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0.62</w:t>
            </w:r>
          </w:p>
        </w:tc>
        <w:tc>
          <w:tcPr>
            <w:tcW w:w="876" w:type="pct"/>
            <w:shd w:val="clear" w:color="auto" w:fill="auto"/>
            <w:noWrap/>
            <w:vAlign w:val="bottom"/>
            <w:hideMark/>
          </w:tcPr>
          <w:p w14:paraId="649FC67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0.46</w:t>
            </w:r>
          </w:p>
        </w:tc>
        <w:tc>
          <w:tcPr>
            <w:tcW w:w="937" w:type="pct"/>
            <w:shd w:val="clear" w:color="auto" w:fill="auto"/>
            <w:noWrap/>
            <w:vAlign w:val="bottom"/>
            <w:hideMark/>
          </w:tcPr>
          <w:p w14:paraId="608C99B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0.55</w:t>
            </w:r>
          </w:p>
        </w:tc>
      </w:tr>
      <w:tr w:rsidR="005B5953" w:rsidRPr="005B12AE" w14:paraId="1C16286E" w14:textId="77777777" w:rsidTr="003B4BCE">
        <w:trPr>
          <w:trHeight w:val="20"/>
        </w:trPr>
        <w:tc>
          <w:tcPr>
            <w:tcW w:w="2311" w:type="pct"/>
            <w:shd w:val="clear" w:color="auto" w:fill="auto"/>
            <w:noWrap/>
            <w:vAlign w:val="bottom"/>
            <w:hideMark/>
          </w:tcPr>
          <w:p w14:paraId="5E73926C"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Travelling Expense</w:t>
            </w:r>
          </w:p>
        </w:tc>
        <w:tc>
          <w:tcPr>
            <w:tcW w:w="876" w:type="pct"/>
            <w:shd w:val="clear" w:color="auto" w:fill="auto"/>
            <w:noWrap/>
            <w:vAlign w:val="bottom"/>
            <w:hideMark/>
          </w:tcPr>
          <w:p w14:paraId="12C50F2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44.36</w:t>
            </w:r>
          </w:p>
        </w:tc>
        <w:tc>
          <w:tcPr>
            <w:tcW w:w="876" w:type="pct"/>
            <w:shd w:val="clear" w:color="auto" w:fill="auto"/>
            <w:noWrap/>
            <w:vAlign w:val="bottom"/>
            <w:hideMark/>
          </w:tcPr>
          <w:p w14:paraId="2CE4184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8.26</w:t>
            </w:r>
          </w:p>
        </w:tc>
        <w:tc>
          <w:tcPr>
            <w:tcW w:w="937" w:type="pct"/>
            <w:shd w:val="clear" w:color="auto" w:fill="auto"/>
            <w:noWrap/>
            <w:vAlign w:val="bottom"/>
            <w:hideMark/>
          </w:tcPr>
          <w:p w14:paraId="45850B7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7.20</w:t>
            </w:r>
          </w:p>
        </w:tc>
      </w:tr>
      <w:tr w:rsidR="005B5953" w:rsidRPr="005B12AE" w14:paraId="7FD01DE2" w14:textId="77777777" w:rsidTr="003B4BCE">
        <w:trPr>
          <w:trHeight w:val="20"/>
        </w:trPr>
        <w:tc>
          <w:tcPr>
            <w:tcW w:w="2311" w:type="pct"/>
            <w:shd w:val="clear" w:color="auto" w:fill="auto"/>
            <w:noWrap/>
            <w:vAlign w:val="bottom"/>
            <w:hideMark/>
          </w:tcPr>
          <w:p w14:paraId="1919C706"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Vehicle Expenses</w:t>
            </w:r>
          </w:p>
        </w:tc>
        <w:tc>
          <w:tcPr>
            <w:tcW w:w="876" w:type="pct"/>
            <w:shd w:val="clear" w:color="auto" w:fill="auto"/>
            <w:noWrap/>
            <w:vAlign w:val="bottom"/>
            <w:hideMark/>
          </w:tcPr>
          <w:p w14:paraId="0CF4FA7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1.43</w:t>
            </w:r>
          </w:p>
        </w:tc>
        <w:tc>
          <w:tcPr>
            <w:tcW w:w="876" w:type="pct"/>
            <w:shd w:val="clear" w:color="auto" w:fill="auto"/>
            <w:noWrap/>
            <w:vAlign w:val="bottom"/>
            <w:hideMark/>
          </w:tcPr>
          <w:p w14:paraId="2D394D1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2.57</w:t>
            </w:r>
          </w:p>
        </w:tc>
        <w:tc>
          <w:tcPr>
            <w:tcW w:w="937" w:type="pct"/>
            <w:shd w:val="clear" w:color="auto" w:fill="auto"/>
            <w:noWrap/>
            <w:vAlign w:val="bottom"/>
            <w:hideMark/>
          </w:tcPr>
          <w:p w14:paraId="0A4E7AF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1.76</w:t>
            </w:r>
          </w:p>
        </w:tc>
      </w:tr>
      <w:tr w:rsidR="005B5953" w:rsidRPr="005B12AE" w14:paraId="31DC93B2" w14:textId="77777777" w:rsidTr="003B4BCE">
        <w:trPr>
          <w:trHeight w:val="20"/>
        </w:trPr>
        <w:tc>
          <w:tcPr>
            <w:tcW w:w="2311" w:type="pct"/>
            <w:shd w:val="clear" w:color="auto" w:fill="auto"/>
            <w:noWrap/>
            <w:vAlign w:val="bottom"/>
            <w:hideMark/>
          </w:tcPr>
          <w:p w14:paraId="6E17643B"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Factory Licence</w:t>
            </w:r>
          </w:p>
        </w:tc>
        <w:tc>
          <w:tcPr>
            <w:tcW w:w="876" w:type="pct"/>
            <w:shd w:val="clear" w:color="auto" w:fill="auto"/>
            <w:noWrap/>
            <w:vAlign w:val="bottom"/>
            <w:hideMark/>
          </w:tcPr>
          <w:p w14:paraId="126D127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0.24</w:t>
            </w:r>
          </w:p>
        </w:tc>
        <w:tc>
          <w:tcPr>
            <w:tcW w:w="876" w:type="pct"/>
            <w:shd w:val="clear" w:color="auto" w:fill="auto"/>
            <w:noWrap/>
            <w:vAlign w:val="bottom"/>
            <w:hideMark/>
          </w:tcPr>
          <w:p w14:paraId="7D6A096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937" w:type="pct"/>
            <w:shd w:val="clear" w:color="auto" w:fill="auto"/>
            <w:noWrap/>
            <w:vAlign w:val="bottom"/>
            <w:hideMark/>
          </w:tcPr>
          <w:p w14:paraId="67F80B7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5A64CA08" w14:textId="77777777" w:rsidTr="003B4BCE">
        <w:trPr>
          <w:trHeight w:val="20"/>
        </w:trPr>
        <w:tc>
          <w:tcPr>
            <w:tcW w:w="2311" w:type="pct"/>
            <w:shd w:val="clear" w:color="auto" w:fill="auto"/>
            <w:noWrap/>
            <w:vAlign w:val="bottom"/>
            <w:hideMark/>
          </w:tcPr>
          <w:p w14:paraId="761AE7BB"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Festival Expense</w:t>
            </w:r>
          </w:p>
        </w:tc>
        <w:tc>
          <w:tcPr>
            <w:tcW w:w="876" w:type="pct"/>
            <w:shd w:val="clear" w:color="auto" w:fill="auto"/>
            <w:noWrap/>
            <w:vAlign w:val="bottom"/>
            <w:hideMark/>
          </w:tcPr>
          <w:p w14:paraId="0138E97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76" w:type="pct"/>
            <w:shd w:val="clear" w:color="auto" w:fill="auto"/>
            <w:noWrap/>
            <w:vAlign w:val="bottom"/>
            <w:hideMark/>
          </w:tcPr>
          <w:p w14:paraId="7F626AA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1.65</w:t>
            </w:r>
          </w:p>
        </w:tc>
        <w:tc>
          <w:tcPr>
            <w:tcW w:w="937" w:type="pct"/>
            <w:shd w:val="clear" w:color="auto" w:fill="auto"/>
            <w:noWrap/>
            <w:vAlign w:val="bottom"/>
            <w:hideMark/>
          </w:tcPr>
          <w:p w14:paraId="7DA2676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7AAC27F0" w14:textId="77777777" w:rsidTr="003B4BCE">
        <w:trPr>
          <w:trHeight w:val="20"/>
        </w:trPr>
        <w:tc>
          <w:tcPr>
            <w:tcW w:w="2311" w:type="pct"/>
            <w:shd w:val="clear" w:color="auto" w:fill="auto"/>
            <w:noWrap/>
            <w:vAlign w:val="bottom"/>
            <w:hideMark/>
          </w:tcPr>
          <w:p w14:paraId="67A76DFE"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Insurance Expense on Labour</w:t>
            </w:r>
          </w:p>
        </w:tc>
        <w:tc>
          <w:tcPr>
            <w:tcW w:w="876" w:type="pct"/>
            <w:shd w:val="clear" w:color="auto" w:fill="auto"/>
            <w:noWrap/>
            <w:vAlign w:val="bottom"/>
            <w:hideMark/>
          </w:tcPr>
          <w:p w14:paraId="1D33A85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0.17</w:t>
            </w:r>
          </w:p>
        </w:tc>
        <w:tc>
          <w:tcPr>
            <w:tcW w:w="876" w:type="pct"/>
            <w:shd w:val="clear" w:color="auto" w:fill="auto"/>
            <w:noWrap/>
            <w:vAlign w:val="bottom"/>
            <w:hideMark/>
          </w:tcPr>
          <w:p w14:paraId="61CE60E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937" w:type="pct"/>
            <w:shd w:val="clear" w:color="auto" w:fill="auto"/>
            <w:noWrap/>
            <w:vAlign w:val="bottom"/>
            <w:hideMark/>
          </w:tcPr>
          <w:p w14:paraId="45697B4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267FD32F" w14:textId="77777777" w:rsidTr="003B4BCE">
        <w:trPr>
          <w:trHeight w:val="20"/>
        </w:trPr>
        <w:tc>
          <w:tcPr>
            <w:tcW w:w="2311" w:type="pct"/>
            <w:shd w:val="clear" w:color="auto" w:fill="auto"/>
            <w:noWrap/>
            <w:vAlign w:val="bottom"/>
            <w:hideMark/>
          </w:tcPr>
          <w:p w14:paraId="398522C4"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Legal documentation Expense</w:t>
            </w:r>
          </w:p>
        </w:tc>
        <w:tc>
          <w:tcPr>
            <w:tcW w:w="876" w:type="pct"/>
            <w:shd w:val="clear" w:color="auto" w:fill="auto"/>
            <w:noWrap/>
            <w:vAlign w:val="bottom"/>
            <w:hideMark/>
          </w:tcPr>
          <w:p w14:paraId="4393875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8.35</w:t>
            </w:r>
          </w:p>
        </w:tc>
        <w:tc>
          <w:tcPr>
            <w:tcW w:w="876" w:type="pct"/>
            <w:shd w:val="clear" w:color="auto" w:fill="auto"/>
            <w:noWrap/>
            <w:vAlign w:val="bottom"/>
            <w:hideMark/>
          </w:tcPr>
          <w:p w14:paraId="0DBC72D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3.71</w:t>
            </w:r>
          </w:p>
        </w:tc>
        <w:tc>
          <w:tcPr>
            <w:tcW w:w="937" w:type="pct"/>
            <w:shd w:val="clear" w:color="auto" w:fill="auto"/>
            <w:noWrap/>
            <w:vAlign w:val="bottom"/>
            <w:hideMark/>
          </w:tcPr>
          <w:p w14:paraId="118E989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0D255DC1" w14:textId="77777777" w:rsidTr="003B4BCE">
        <w:trPr>
          <w:trHeight w:val="20"/>
        </w:trPr>
        <w:tc>
          <w:tcPr>
            <w:tcW w:w="2311" w:type="pct"/>
            <w:shd w:val="clear" w:color="auto" w:fill="auto"/>
            <w:noWrap/>
            <w:vAlign w:val="bottom"/>
            <w:hideMark/>
          </w:tcPr>
          <w:p w14:paraId="10D58A1E"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Other Expense</w:t>
            </w:r>
          </w:p>
        </w:tc>
        <w:tc>
          <w:tcPr>
            <w:tcW w:w="876" w:type="pct"/>
            <w:shd w:val="clear" w:color="auto" w:fill="auto"/>
            <w:noWrap/>
            <w:vAlign w:val="bottom"/>
            <w:hideMark/>
          </w:tcPr>
          <w:p w14:paraId="6B2064C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4.35</w:t>
            </w:r>
          </w:p>
        </w:tc>
        <w:tc>
          <w:tcPr>
            <w:tcW w:w="876" w:type="pct"/>
            <w:shd w:val="clear" w:color="auto" w:fill="auto"/>
            <w:noWrap/>
            <w:vAlign w:val="bottom"/>
            <w:hideMark/>
          </w:tcPr>
          <w:p w14:paraId="54C73C3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3.90</w:t>
            </w:r>
          </w:p>
        </w:tc>
        <w:tc>
          <w:tcPr>
            <w:tcW w:w="937" w:type="pct"/>
            <w:shd w:val="clear" w:color="auto" w:fill="auto"/>
            <w:noWrap/>
            <w:vAlign w:val="bottom"/>
            <w:hideMark/>
          </w:tcPr>
          <w:p w14:paraId="7A5E426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390DDE55" w14:textId="77777777" w:rsidTr="003B4BCE">
        <w:trPr>
          <w:trHeight w:val="20"/>
        </w:trPr>
        <w:tc>
          <w:tcPr>
            <w:tcW w:w="2311" w:type="pct"/>
            <w:shd w:val="clear" w:color="auto" w:fill="auto"/>
            <w:noWrap/>
            <w:vAlign w:val="bottom"/>
            <w:hideMark/>
          </w:tcPr>
          <w:p w14:paraId="6D8A78C5"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Petrol Diesel Expense</w:t>
            </w:r>
          </w:p>
        </w:tc>
        <w:tc>
          <w:tcPr>
            <w:tcW w:w="876" w:type="pct"/>
            <w:shd w:val="clear" w:color="auto" w:fill="auto"/>
            <w:noWrap/>
            <w:vAlign w:val="bottom"/>
            <w:hideMark/>
          </w:tcPr>
          <w:p w14:paraId="74481E9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19.69</w:t>
            </w:r>
          </w:p>
        </w:tc>
        <w:tc>
          <w:tcPr>
            <w:tcW w:w="876" w:type="pct"/>
            <w:shd w:val="clear" w:color="auto" w:fill="auto"/>
            <w:noWrap/>
            <w:vAlign w:val="bottom"/>
            <w:hideMark/>
          </w:tcPr>
          <w:p w14:paraId="0DCA7EF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22.30</w:t>
            </w:r>
          </w:p>
        </w:tc>
        <w:tc>
          <w:tcPr>
            <w:tcW w:w="937" w:type="pct"/>
            <w:shd w:val="clear" w:color="auto" w:fill="auto"/>
            <w:noWrap/>
            <w:vAlign w:val="bottom"/>
            <w:hideMark/>
          </w:tcPr>
          <w:p w14:paraId="2C75AA2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3A32AF3F" w14:textId="77777777" w:rsidTr="003B4BCE">
        <w:trPr>
          <w:trHeight w:val="20"/>
        </w:trPr>
        <w:tc>
          <w:tcPr>
            <w:tcW w:w="2311" w:type="pct"/>
            <w:shd w:val="clear" w:color="auto" w:fill="auto"/>
            <w:noWrap/>
            <w:vAlign w:val="bottom"/>
            <w:hideMark/>
          </w:tcPr>
          <w:p w14:paraId="64172AE2"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Professional Fees</w:t>
            </w:r>
          </w:p>
        </w:tc>
        <w:tc>
          <w:tcPr>
            <w:tcW w:w="876" w:type="pct"/>
            <w:shd w:val="clear" w:color="auto" w:fill="auto"/>
            <w:noWrap/>
            <w:vAlign w:val="bottom"/>
            <w:hideMark/>
          </w:tcPr>
          <w:p w14:paraId="67D50F4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0.32</w:t>
            </w:r>
          </w:p>
        </w:tc>
        <w:tc>
          <w:tcPr>
            <w:tcW w:w="876" w:type="pct"/>
            <w:shd w:val="clear" w:color="auto" w:fill="auto"/>
            <w:noWrap/>
            <w:vAlign w:val="bottom"/>
            <w:hideMark/>
          </w:tcPr>
          <w:p w14:paraId="73B89F5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937" w:type="pct"/>
            <w:shd w:val="clear" w:color="auto" w:fill="auto"/>
            <w:noWrap/>
            <w:vAlign w:val="bottom"/>
            <w:hideMark/>
          </w:tcPr>
          <w:p w14:paraId="0CC69AF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31E0A730" w14:textId="77777777" w:rsidTr="003B4BCE">
        <w:trPr>
          <w:trHeight w:val="20"/>
        </w:trPr>
        <w:tc>
          <w:tcPr>
            <w:tcW w:w="2311" w:type="pct"/>
            <w:shd w:val="clear" w:color="auto" w:fill="auto"/>
            <w:noWrap/>
            <w:vAlign w:val="bottom"/>
            <w:hideMark/>
          </w:tcPr>
          <w:p w14:paraId="4579D75B"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Power Bungalow</w:t>
            </w:r>
          </w:p>
        </w:tc>
        <w:tc>
          <w:tcPr>
            <w:tcW w:w="876" w:type="pct"/>
            <w:shd w:val="clear" w:color="auto" w:fill="auto"/>
            <w:noWrap/>
            <w:vAlign w:val="bottom"/>
            <w:hideMark/>
          </w:tcPr>
          <w:p w14:paraId="6E47A53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3.41</w:t>
            </w:r>
          </w:p>
        </w:tc>
        <w:tc>
          <w:tcPr>
            <w:tcW w:w="876" w:type="pct"/>
            <w:shd w:val="clear" w:color="auto" w:fill="auto"/>
            <w:noWrap/>
            <w:vAlign w:val="bottom"/>
            <w:hideMark/>
          </w:tcPr>
          <w:p w14:paraId="4D9ACD3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3.05</w:t>
            </w:r>
          </w:p>
        </w:tc>
        <w:tc>
          <w:tcPr>
            <w:tcW w:w="937" w:type="pct"/>
            <w:shd w:val="clear" w:color="auto" w:fill="auto"/>
            <w:noWrap/>
            <w:vAlign w:val="bottom"/>
            <w:hideMark/>
          </w:tcPr>
          <w:p w14:paraId="46BF3EF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4AC92416" w14:textId="77777777" w:rsidTr="003B4BCE">
        <w:trPr>
          <w:trHeight w:val="20"/>
        </w:trPr>
        <w:tc>
          <w:tcPr>
            <w:tcW w:w="2311" w:type="pct"/>
            <w:shd w:val="clear" w:color="auto" w:fill="auto"/>
            <w:noWrap/>
            <w:vAlign w:val="bottom"/>
            <w:hideMark/>
          </w:tcPr>
          <w:p w14:paraId="127A9B28"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Property valuation expense</w:t>
            </w:r>
          </w:p>
        </w:tc>
        <w:tc>
          <w:tcPr>
            <w:tcW w:w="876" w:type="pct"/>
            <w:shd w:val="clear" w:color="auto" w:fill="auto"/>
            <w:noWrap/>
            <w:vAlign w:val="bottom"/>
            <w:hideMark/>
          </w:tcPr>
          <w:p w14:paraId="049F024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76" w:type="pct"/>
            <w:shd w:val="clear" w:color="auto" w:fill="auto"/>
            <w:noWrap/>
            <w:vAlign w:val="bottom"/>
            <w:hideMark/>
          </w:tcPr>
          <w:p w14:paraId="6327593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2.85</w:t>
            </w:r>
          </w:p>
        </w:tc>
        <w:tc>
          <w:tcPr>
            <w:tcW w:w="937" w:type="pct"/>
            <w:shd w:val="clear" w:color="auto" w:fill="auto"/>
            <w:noWrap/>
            <w:vAlign w:val="bottom"/>
            <w:hideMark/>
          </w:tcPr>
          <w:p w14:paraId="7795D99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3B62309D" w14:textId="77777777" w:rsidTr="003B4BCE">
        <w:trPr>
          <w:trHeight w:val="20"/>
        </w:trPr>
        <w:tc>
          <w:tcPr>
            <w:tcW w:w="2311" w:type="pct"/>
            <w:shd w:val="clear" w:color="auto" w:fill="auto"/>
            <w:noWrap/>
            <w:vAlign w:val="bottom"/>
            <w:hideMark/>
          </w:tcPr>
          <w:p w14:paraId="217A3CAE"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Rating Charges</w:t>
            </w:r>
          </w:p>
        </w:tc>
        <w:tc>
          <w:tcPr>
            <w:tcW w:w="876" w:type="pct"/>
            <w:shd w:val="clear" w:color="auto" w:fill="auto"/>
            <w:noWrap/>
            <w:vAlign w:val="bottom"/>
            <w:hideMark/>
          </w:tcPr>
          <w:p w14:paraId="6976AD2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0.40</w:t>
            </w:r>
          </w:p>
        </w:tc>
        <w:tc>
          <w:tcPr>
            <w:tcW w:w="876" w:type="pct"/>
            <w:shd w:val="clear" w:color="auto" w:fill="auto"/>
            <w:noWrap/>
            <w:vAlign w:val="bottom"/>
            <w:hideMark/>
          </w:tcPr>
          <w:p w14:paraId="08DCEDF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937" w:type="pct"/>
            <w:shd w:val="clear" w:color="auto" w:fill="auto"/>
            <w:noWrap/>
            <w:vAlign w:val="bottom"/>
            <w:hideMark/>
          </w:tcPr>
          <w:p w14:paraId="1EA1AC7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34AA63D2" w14:textId="77777777" w:rsidTr="003B4BCE">
        <w:trPr>
          <w:trHeight w:val="20"/>
        </w:trPr>
        <w:tc>
          <w:tcPr>
            <w:tcW w:w="2311" w:type="pct"/>
            <w:shd w:val="clear" w:color="auto" w:fill="auto"/>
            <w:noWrap/>
            <w:vAlign w:val="bottom"/>
            <w:hideMark/>
          </w:tcPr>
          <w:p w14:paraId="40EFD9A4"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Registration and Filling Fees</w:t>
            </w:r>
          </w:p>
        </w:tc>
        <w:tc>
          <w:tcPr>
            <w:tcW w:w="876" w:type="pct"/>
            <w:shd w:val="clear" w:color="auto" w:fill="auto"/>
            <w:noWrap/>
            <w:vAlign w:val="bottom"/>
            <w:hideMark/>
          </w:tcPr>
          <w:p w14:paraId="4C7D43E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0.66</w:t>
            </w:r>
          </w:p>
        </w:tc>
        <w:tc>
          <w:tcPr>
            <w:tcW w:w="876" w:type="pct"/>
            <w:shd w:val="clear" w:color="auto" w:fill="auto"/>
            <w:noWrap/>
            <w:vAlign w:val="bottom"/>
            <w:hideMark/>
          </w:tcPr>
          <w:p w14:paraId="7CA351F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937" w:type="pct"/>
            <w:shd w:val="clear" w:color="auto" w:fill="auto"/>
            <w:noWrap/>
            <w:vAlign w:val="bottom"/>
            <w:hideMark/>
          </w:tcPr>
          <w:p w14:paraId="208BF7B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74B70894" w14:textId="77777777" w:rsidTr="003B4BCE">
        <w:trPr>
          <w:trHeight w:val="20"/>
        </w:trPr>
        <w:tc>
          <w:tcPr>
            <w:tcW w:w="2311" w:type="pct"/>
            <w:shd w:val="clear" w:color="auto" w:fill="auto"/>
            <w:noWrap/>
            <w:vAlign w:val="bottom"/>
            <w:hideMark/>
          </w:tcPr>
          <w:p w14:paraId="07C4484F"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Software Expense</w:t>
            </w:r>
          </w:p>
        </w:tc>
        <w:tc>
          <w:tcPr>
            <w:tcW w:w="876" w:type="pct"/>
            <w:shd w:val="clear" w:color="auto" w:fill="auto"/>
            <w:noWrap/>
            <w:vAlign w:val="bottom"/>
            <w:hideMark/>
          </w:tcPr>
          <w:p w14:paraId="1016AA1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0.50</w:t>
            </w:r>
          </w:p>
        </w:tc>
        <w:tc>
          <w:tcPr>
            <w:tcW w:w="876" w:type="pct"/>
            <w:shd w:val="clear" w:color="auto" w:fill="auto"/>
            <w:noWrap/>
            <w:vAlign w:val="bottom"/>
            <w:hideMark/>
          </w:tcPr>
          <w:p w14:paraId="5087C7F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0.18</w:t>
            </w:r>
          </w:p>
        </w:tc>
        <w:tc>
          <w:tcPr>
            <w:tcW w:w="937" w:type="pct"/>
            <w:shd w:val="clear" w:color="auto" w:fill="auto"/>
            <w:noWrap/>
            <w:vAlign w:val="bottom"/>
            <w:hideMark/>
          </w:tcPr>
          <w:p w14:paraId="040FFF0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536728C3" w14:textId="77777777" w:rsidTr="003B4BCE">
        <w:trPr>
          <w:trHeight w:val="20"/>
        </w:trPr>
        <w:tc>
          <w:tcPr>
            <w:tcW w:w="2311" w:type="pct"/>
            <w:shd w:val="clear" w:color="auto" w:fill="auto"/>
            <w:noWrap/>
            <w:vAlign w:val="bottom"/>
            <w:hideMark/>
          </w:tcPr>
          <w:p w14:paraId="2CD10496"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Sundry balance written off</w:t>
            </w:r>
          </w:p>
        </w:tc>
        <w:tc>
          <w:tcPr>
            <w:tcW w:w="876" w:type="pct"/>
            <w:shd w:val="clear" w:color="auto" w:fill="auto"/>
            <w:noWrap/>
            <w:vAlign w:val="bottom"/>
            <w:hideMark/>
          </w:tcPr>
          <w:p w14:paraId="69A9BAD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45.55</w:t>
            </w:r>
          </w:p>
        </w:tc>
        <w:tc>
          <w:tcPr>
            <w:tcW w:w="876" w:type="pct"/>
            <w:shd w:val="clear" w:color="auto" w:fill="auto"/>
            <w:noWrap/>
            <w:vAlign w:val="bottom"/>
            <w:hideMark/>
          </w:tcPr>
          <w:p w14:paraId="2F71CDD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1,774.89</w:t>
            </w:r>
          </w:p>
        </w:tc>
        <w:tc>
          <w:tcPr>
            <w:tcW w:w="937" w:type="pct"/>
            <w:shd w:val="clear" w:color="auto" w:fill="auto"/>
            <w:noWrap/>
            <w:vAlign w:val="bottom"/>
            <w:hideMark/>
          </w:tcPr>
          <w:p w14:paraId="3BF2244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7214E645" w14:textId="77777777" w:rsidTr="003B4BCE">
        <w:trPr>
          <w:trHeight w:val="20"/>
        </w:trPr>
        <w:tc>
          <w:tcPr>
            <w:tcW w:w="2311" w:type="pct"/>
            <w:shd w:val="clear" w:color="auto" w:fill="auto"/>
            <w:noWrap/>
            <w:vAlign w:val="bottom"/>
            <w:hideMark/>
          </w:tcPr>
          <w:p w14:paraId="3793A0AD"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Web designing Expenses</w:t>
            </w:r>
          </w:p>
        </w:tc>
        <w:tc>
          <w:tcPr>
            <w:tcW w:w="876" w:type="pct"/>
            <w:shd w:val="clear" w:color="auto" w:fill="auto"/>
            <w:noWrap/>
            <w:vAlign w:val="bottom"/>
            <w:hideMark/>
          </w:tcPr>
          <w:p w14:paraId="3587CC8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76" w:type="pct"/>
            <w:shd w:val="clear" w:color="auto" w:fill="auto"/>
            <w:noWrap/>
            <w:vAlign w:val="bottom"/>
            <w:hideMark/>
          </w:tcPr>
          <w:p w14:paraId="35BE8CB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0.15</w:t>
            </w:r>
          </w:p>
        </w:tc>
        <w:tc>
          <w:tcPr>
            <w:tcW w:w="937" w:type="pct"/>
            <w:shd w:val="clear" w:color="auto" w:fill="auto"/>
            <w:noWrap/>
            <w:vAlign w:val="bottom"/>
            <w:hideMark/>
          </w:tcPr>
          <w:p w14:paraId="6A2A413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0.34</w:t>
            </w:r>
          </w:p>
        </w:tc>
      </w:tr>
      <w:tr w:rsidR="005B5953" w:rsidRPr="005B12AE" w14:paraId="164AC915" w14:textId="77777777" w:rsidTr="003B4BCE">
        <w:trPr>
          <w:trHeight w:val="20"/>
        </w:trPr>
        <w:tc>
          <w:tcPr>
            <w:tcW w:w="2311" w:type="pct"/>
            <w:shd w:val="clear" w:color="auto" w:fill="auto"/>
            <w:noWrap/>
            <w:vAlign w:val="bottom"/>
            <w:hideMark/>
          </w:tcPr>
          <w:p w14:paraId="26D2D89C"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Vehicle Insurance Expenses</w:t>
            </w:r>
          </w:p>
        </w:tc>
        <w:tc>
          <w:tcPr>
            <w:tcW w:w="876" w:type="pct"/>
            <w:shd w:val="clear" w:color="auto" w:fill="auto"/>
            <w:noWrap/>
            <w:vAlign w:val="bottom"/>
            <w:hideMark/>
          </w:tcPr>
          <w:p w14:paraId="01CC8FC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1.94</w:t>
            </w:r>
          </w:p>
        </w:tc>
        <w:tc>
          <w:tcPr>
            <w:tcW w:w="876" w:type="pct"/>
            <w:shd w:val="clear" w:color="auto" w:fill="auto"/>
            <w:noWrap/>
            <w:vAlign w:val="bottom"/>
            <w:hideMark/>
          </w:tcPr>
          <w:p w14:paraId="1FB3594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0.69</w:t>
            </w:r>
          </w:p>
        </w:tc>
        <w:tc>
          <w:tcPr>
            <w:tcW w:w="937" w:type="pct"/>
            <w:shd w:val="clear" w:color="auto" w:fill="auto"/>
            <w:noWrap/>
            <w:vAlign w:val="bottom"/>
            <w:hideMark/>
          </w:tcPr>
          <w:p w14:paraId="3E747F7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5D324AE5" w14:textId="77777777" w:rsidTr="003B4BCE">
        <w:trPr>
          <w:trHeight w:val="20"/>
        </w:trPr>
        <w:tc>
          <w:tcPr>
            <w:tcW w:w="2311" w:type="pct"/>
            <w:shd w:val="clear" w:color="auto" w:fill="auto"/>
            <w:noWrap/>
            <w:vAlign w:val="bottom"/>
            <w:hideMark/>
          </w:tcPr>
          <w:p w14:paraId="4E10DDBB"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Water Consumption charges</w:t>
            </w:r>
          </w:p>
        </w:tc>
        <w:tc>
          <w:tcPr>
            <w:tcW w:w="876" w:type="pct"/>
            <w:shd w:val="clear" w:color="auto" w:fill="auto"/>
            <w:noWrap/>
            <w:vAlign w:val="bottom"/>
            <w:hideMark/>
          </w:tcPr>
          <w:p w14:paraId="7817242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76" w:type="pct"/>
            <w:shd w:val="clear" w:color="auto" w:fill="auto"/>
            <w:noWrap/>
            <w:vAlign w:val="bottom"/>
            <w:hideMark/>
          </w:tcPr>
          <w:p w14:paraId="2AD1CD9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937" w:type="pct"/>
            <w:shd w:val="clear" w:color="auto" w:fill="auto"/>
            <w:noWrap/>
            <w:vAlign w:val="bottom"/>
            <w:hideMark/>
          </w:tcPr>
          <w:p w14:paraId="4DCA191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6.41</w:t>
            </w:r>
          </w:p>
        </w:tc>
      </w:tr>
      <w:tr w:rsidR="005B5953" w:rsidRPr="005B12AE" w14:paraId="3F58DCF2" w14:textId="77777777" w:rsidTr="003B4BCE">
        <w:trPr>
          <w:trHeight w:val="20"/>
        </w:trPr>
        <w:tc>
          <w:tcPr>
            <w:tcW w:w="2311" w:type="pct"/>
            <w:shd w:val="clear" w:color="auto" w:fill="auto"/>
            <w:noWrap/>
            <w:vAlign w:val="bottom"/>
            <w:hideMark/>
          </w:tcPr>
          <w:p w14:paraId="6D701977"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Weight Equipment &amp; Testing Expenses</w:t>
            </w:r>
          </w:p>
        </w:tc>
        <w:tc>
          <w:tcPr>
            <w:tcW w:w="876" w:type="pct"/>
            <w:shd w:val="clear" w:color="auto" w:fill="auto"/>
            <w:noWrap/>
            <w:vAlign w:val="bottom"/>
            <w:hideMark/>
          </w:tcPr>
          <w:p w14:paraId="008DE81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76" w:type="pct"/>
            <w:shd w:val="clear" w:color="auto" w:fill="auto"/>
            <w:noWrap/>
            <w:vAlign w:val="bottom"/>
            <w:hideMark/>
          </w:tcPr>
          <w:p w14:paraId="5F0E5A0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937" w:type="pct"/>
            <w:shd w:val="clear" w:color="auto" w:fill="auto"/>
            <w:noWrap/>
            <w:vAlign w:val="bottom"/>
            <w:hideMark/>
          </w:tcPr>
          <w:p w14:paraId="449FBE6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0.25</w:t>
            </w:r>
          </w:p>
        </w:tc>
      </w:tr>
      <w:tr w:rsidR="005B5953" w:rsidRPr="005B12AE" w14:paraId="488E052F" w14:textId="77777777" w:rsidTr="003B4BCE">
        <w:trPr>
          <w:trHeight w:val="20"/>
        </w:trPr>
        <w:tc>
          <w:tcPr>
            <w:tcW w:w="2311" w:type="pct"/>
            <w:shd w:val="clear" w:color="auto" w:fill="auto"/>
            <w:noWrap/>
            <w:vAlign w:val="bottom"/>
            <w:hideMark/>
          </w:tcPr>
          <w:p w14:paraId="4F211418"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Xerox Expenses</w:t>
            </w:r>
          </w:p>
        </w:tc>
        <w:tc>
          <w:tcPr>
            <w:tcW w:w="876" w:type="pct"/>
            <w:shd w:val="clear" w:color="auto" w:fill="auto"/>
            <w:noWrap/>
            <w:vAlign w:val="bottom"/>
            <w:hideMark/>
          </w:tcPr>
          <w:p w14:paraId="430CB0F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76" w:type="pct"/>
            <w:shd w:val="clear" w:color="auto" w:fill="auto"/>
            <w:noWrap/>
            <w:vAlign w:val="bottom"/>
            <w:hideMark/>
          </w:tcPr>
          <w:p w14:paraId="58ECC75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937" w:type="pct"/>
            <w:shd w:val="clear" w:color="auto" w:fill="auto"/>
            <w:noWrap/>
            <w:vAlign w:val="bottom"/>
            <w:hideMark/>
          </w:tcPr>
          <w:p w14:paraId="0EA7705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0.04</w:t>
            </w:r>
          </w:p>
        </w:tc>
      </w:tr>
      <w:tr w:rsidR="005B5953" w:rsidRPr="005B12AE" w14:paraId="7897A942" w14:textId="77777777" w:rsidTr="003B4BCE">
        <w:trPr>
          <w:trHeight w:val="20"/>
        </w:trPr>
        <w:tc>
          <w:tcPr>
            <w:tcW w:w="2311" w:type="pct"/>
            <w:shd w:val="clear" w:color="auto" w:fill="auto"/>
            <w:noWrap/>
            <w:vAlign w:val="bottom"/>
            <w:hideMark/>
          </w:tcPr>
          <w:p w14:paraId="0B69C9C6"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Total(iv)</w:t>
            </w:r>
          </w:p>
        </w:tc>
        <w:tc>
          <w:tcPr>
            <w:tcW w:w="876" w:type="pct"/>
            <w:shd w:val="clear" w:color="auto" w:fill="auto"/>
            <w:noWrap/>
            <w:vAlign w:val="bottom"/>
            <w:hideMark/>
          </w:tcPr>
          <w:p w14:paraId="746E6168"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330.43</w:t>
            </w:r>
          </w:p>
        </w:tc>
        <w:tc>
          <w:tcPr>
            <w:tcW w:w="876" w:type="pct"/>
            <w:shd w:val="clear" w:color="auto" w:fill="auto"/>
            <w:noWrap/>
            <w:vAlign w:val="bottom"/>
            <w:hideMark/>
          </w:tcPr>
          <w:p w14:paraId="499BC0A0"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1,886.69</w:t>
            </w:r>
          </w:p>
        </w:tc>
        <w:tc>
          <w:tcPr>
            <w:tcW w:w="937" w:type="pct"/>
            <w:shd w:val="clear" w:color="auto" w:fill="auto"/>
            <w:noWrap/>
            <w:vAlign w:val="bottom"/>
            <w:hideMark/>
          </w:tcPr>
          <w:p w14:paraId="77399F0D"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91.87</w:t>
            </w:r>
          </w:p>
        </w:tc>
      </w:tr>
      <w:tr w:rsidR="005B5953" w:rsidRPr="005B12AE" w14:paraId="142ED9CA" w14:textId="77777777" w:rsidTr="003B4BCE">
        <w:trPr>
          <w:trHeight w:val="20"/>
        </w:trPr>
        <w:tc>
          <w:tcPr>
            <w:tcW w:w="2311" w:type="pct"/>
            <w:shd w:val="clear" w:color="auto" w:fill="auto"/>
            <w:noWrap/>
            <w:vAlign w:val="bottom"/>
            <w:hideMark/>
          </w:tcPr>
          <w:p w14:paraId="70A1EF69"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Total (i) + (ii) + (iii) + (iv)</w:t>
            </w:r>
          </w:p>
        </w:tc>
        <w:tc>
          <w:tcPr>
            <w:tcW w:w="876" w:type="pct"/>
            <w:shd w:val="clear" w:color="auto" w:fill="auto"/>
            <w:noWrap/>
            <w:vAlign w:val="bottom"/>
            <w:hideMark/>
          </w:tcPr>
          <w:p w14:paraId="0F6A835D"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2,621.92</w:t>
            </w:r>
          </w:p>
        </w:tc>
        <w:tc>
          <w:tcPr>
            <w:tcW w:w="876" w:type="pct"/>
            <w:shd w:val="clear" w:color="auto" w:fill="auto"/>
            <w:noWrap/>
            <w:vAlign w:val="bottom"/>
            <w:hideMark/>
          </w:tcPr>
          <w:p w14:paraId="043E2FC6"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3,829.13</w:t>
            </w:r>
          </w:p>
        </w:tc>
        <w:tc>
          <w:tcPr>
            <w:tcW w:w="937" w:type="pct"/>
            <w:shd w:val="clear" w:color="auto" w:fill="auto"/>
            <w:noWrap/>
            <w:vAlign w:val="bottom"/>
            <w:hideMark/>
          </w:tcPr>
          <w:p w14:paraId="60BB801E"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723.35</w:t>
            </w:r>
          </w:p>
        </w:tc>
      </w:tr>
    </w:tbl>
    <w:p w14:paraId="3C5C0CB4" w14:textId="77777777" w:rsidR="003B4BCE" w:rsidRDefault="003B4BCE" w:rsidP="005B5953">
      <w:pPr>
        <w:spacing w:after="0"/>
        <w:ind w:left="270" w:hanging="270"/>
        <w:jc w:val="center"/>
        <w:rPr>
          <w:rFonts w:ascii="Times New Roman" w:hAnsi="Times New Roman"/>
          <w:b/>
          <w:bCs/>
          <w:sz w:val="20"/>
          <w:szCs w:val="20"/>
        </w:rPr>
      </w:pPr>
    </w:p>
    <w:p w14:paraId="6465DA85" w14:textId="683B0C84" w:rsidR="005B5953" w:rsidRPr="005B12AE" w:rsidRDefault="005B5953" w:rsidP="005B5953">
      <w:pPr>
        <w:spacing w:after="0"/>
        <w:ind w:left="270" w:hanging="270"/>
        <w:jc w:val="center"/>
        <w:rPr>
          <w:rFonts w:ascii="Times New Roman" w:hAnsi="Times New Roman"/>
          <w:b/>
          <w:bCs/>
          <w:sz w:val="20"/>
          <w:szCs w:val="20"/>
        </w:rPr>
      </w:pPr>
      <w:r w:rsidRPr="005B12AE">
        <w:rPr>
          <w:rFonts w:ascii="Times New Roman" w:hAnsi="Times New Roman"/>
          <w:b/>
          <w:bCs/>
          <w:sz w:val="20"/>
          <w:szCs w:val="20"/>
        </w:rPr>
        <w:lastRenderedPageBreak/>
        <w:t>NOTE – V</w:t>
      </w:r>
    </w:p>
    <w:p w14:paraId="327D0CBD" w14:textId="77777777" w:rsidR="005B5953" w:rsidRPr="005B12AE" w:rsidRDefault="005B5953" w:rsidP="005B5953">
      <w:pPr>
        <w:spacing w:after="0"/>
        <w:ind w:left="270" w:hanging="270"/>
        <w:jc w:val="center"/>
        <w:rPr>
          <w:rFonts w:ascii="Times New Roman" w:hAnsi="Times New Roman"/>
          <w:b/>
          <w:bCs/>
          <w:sz w:val="20"/>
          <w:szCs w:val="20"/>
        </w:rPr>
      </w:pPr>
    </w:p>
    <w:p w14:paraId="025E8222" w14:textId="77777777" w:rsidR="005B5953" w:rsidRPr="005B12AE" w:rsidRDefault="005B5953" w:rsidP="005B5953">
      <w:pPr>
        <w:spacing w:after="0"/>
        <w:ind w:left="270" w:hanging="270"/>
        <w:jc w:val="center"/>
        <w:rPr>
          <w:rFonts w:ascii="Times New Roman" w:hAnsi="Times New Roman"/>
          <w:b/>
          <w:bCs/>
          <w:sz w:val="20"/>
          <w:szCs w:val="20"/>
        </w:rPr>
      </w:pPr>
      <w:r w:rsidRPr="005B12AE">
        <w:rPr>
          <w:rFonts w:ascii="Times New Roman" w:hAnsi="Times New Roman"/>
          <w:b/>
          <w:bCs/>
          <w:sz w:val="20"/>
          <w:szCs w:val="20"/>
        </w:rPr>
        <w:t>RESTATED SUMMARY STATEMENT OF CONTINGENT LIABILITIES</w:t>
      </w:r>
    </w:p>
    <w:p w14:paraId="7EB31329" w14:textId="77777777" w:rsidR="005B5953" w:rsidRPr="005B12AE" w:rsidRDefault="005B5953" w:rsidP="005B5953">
      <w:pPr>
        <w:spacing w:after="0"/>
        <w:jc w:val="right"/>
        <w:rPr>
          <w:rFonts w:ascii="Times New Roman" w:hAnsi="Times New Roman"/>
          <w:b/>
          <w:bCs/>
          <w:sz w:val="20"/>
          <w:szCs w:val="20"/>
        </w:rPr>
      </w:pPr>
      <w:r w:rsidRPr="005B12AE">
        <w:rPr>
          <w:rFonts w:ascii="Times New Roman" w:hAnsi="Times New Roman"/>
          <w:b/>
          <w:bCs/>
          <w:sz w:val="20"/>
          <w:szCs w:val="20"/>
        </w:rPr>
        <w:t>(₹ in Lakhs)</w:t>
      </w:r>
    </w:p>
    <w:tbl>
      <w:tblPr>
        <w:tblW w:w="0" w:type="auto"/>
        <w:tblLayout w:type="fixed"/>
        <w:tblLook w:val="04A0" w:firstRow="1" w:lastRow="0" w:firstColumn="1" w:lastColumn="0" w:noHBand="0" w:noVBand="1"/>
      </w:tblPr>
      <w:tblGrid>
        <w:gridCol w:w="6745"/>
        <w:gridCol w:w="1260"/>
        <w:gridCol w:w="1260"/>
        <w:gridCol w:w="1191"/>
      </w:tblGrid>
      <w:tr w:rsidR="005B5953" w:rsidRPr="005B12AE" w14:paraId="387B1500" w14:textId="77777777" w:rsidTr="003B4BCE">
        <w:trPr>
          <w:trHeight w:val="20"/>
        </w:trPr>
        <w:tc>
          <w:tcPr>
            <w:tcW w:w="6745"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36F310AC"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Particulars</w:t>
            </w:r>
          </w:p>
        </w:tc>
        <w:tc>
          <w:tcPr>
            <w:tcW w:w="3711" w:type="dxa"/>
            <w:gridSpan w:val="3"/>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25D35BF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 xml:space="preserve"> As at </w:t>
            </w:r>
          </w:p>
        </w:tc>
      </w:tr>
      <w:tr w:rsidR="003B4BCE" w:rsidRPr="005B12AE" w14:paraId="61CF4656" w14:textId="77777777" w:rsidTr="003B4BCE">
        <w:trPr>
          <w:trHeight w:val="20"/>
        </w:trPr>
        <w:tc>
          <w:tcPr>
            <w:tcW w:w="6745"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4E182C8" w14:textId="77777777" w:rsidR="005B5953" w:rsidRPr="005B12AE" w:rsidRDefault="005B5953" w:rsidP="00250DAC">
            <w:pPr>
              <w:spacing w:after="0" w:line="240" w:lineRule="auto"/>
              <w:rPr>
                <w:rFonts w:ascii="Times New Roman" w:hAnsi="Times New Roman"/>
                <w:b/>
                <w:bCs/>
                <w:sz w:val="20"/>
                <w:szCs w:val="20"/>
              </w:rPr>
            </w:pPr>
          </w:p>
        </w:tc>
        <w:tc>
          <w:tcPr>
            <w:tcW w:w="1260" w:type="dxa"/>
            <w:tcBorders>
              <w:top w:val="nil"/>
              <w:left w:val="nil"/>
              <w:bottom w:val="single" w:sz="4" w:space="0" w:color="auto"/>
              <w:right w:val="single" w:sz="4" w:space="0" w:color="auto"/>
            </w:tcBorders>
            <w:shd w:val="clear" w:color="auto" w:fill="D0CECE" w:themeFill="background2" w:themeFillShade="E6"/>
            <w:noWrap/>
            <w:vAlign w:val="bottom"/>
            <w:hideMark/>
          </w:tcPr>
          <w:p w14:paraId="3A630E12"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31/03/2023</w:t>
            </w:r>
          </w:p>
        </w:tc>
        <w:tc>
          <w:tcPr>
            <w:tcW w:w="1260" w:type="dxa"/>
            <w:tcBorders>
              <w:top w:val="nil"/>
              <w:left w:val="nil"/>
              <w:bottom w:val="single" w:sz="4" w:space="0" w:color="auto"/>
              <w:right w:val="single" w:sz="4" w:space="0" w:color="auto"/>
            </w:tcBorders>
            <w:shd w:val="clear" w:color="auto" w:fill="D0CECE" w:themeFill="background2" w:themeFillShade="E6"/>
            <w:noWrap/>
            <w:vAlign w:val="bottom"/>
            <w:hideMark/>
          </w:tcPr>
          <w:p w14:paraId="051F9319"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31/03/2022</w:t>
            </w:r>
          </w:p>
        </w:tc>
        <w:tc>
          <w:tcPr>
            <w:tcW w:w="1191" w:type="dxa"/>
            <w:tcBorders>
              <w:top w:val="nil"/>
              <w:left w:val="nil"/>
              <w:bottom w:val="single" w:sz="4" w:space="0" w:color="auto"/>
              <w:right w:val="single" w:sz="4" w:space="0" w:color="auto"/>
            </w:tcBorders>
            <w:shd w:val="clear" w:color="auto" w:fill="D0CECE" w:themeFill="background2" w:themeFillShade="E6"/>
            <w:noWrap/>
            <w:vAlign w:val="bottom"/>
            <w:hideMark/>
          </w:tcPr>
          <w:p w14:paraId="275ACF4B"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31/03/2021</w:t>
            </w:r>
          </w:p>
        </w:tc>
      </w:tr>
      <w:tr w:rsidR="005B5953" w:rsidRPr="005B12AE" w14:paraId="71A6A20C" w14:textId="77777777" w:rsidTr="003B4BCE">
        <w:trPr>
          <w:trHeight w:val="20"/>
        </w:trPr>
        <w:tc>
          <w:tcPr>
            <w:tcW w:w="6745" w:type="dxa"/>
            <w:tcBorders>
              <w:top w:val="nil"/>
              <w:left w:val="single" w:sz="4" w:space="0" w:color="auto"/>
              <w:bottom w:val="single" w:sz="4" w:space="0" w:color="auto"/>
              <w:right w:val="single" w:sz="4" w:space="0" w:color="auto"/>
            </w:tcBorders>
            <w:shd w:val="clear" w:color="auto" w:fill="auto"/>
            <w:noWrap/>
            <w:vAlign w:val="bottom"/>
            <w:hideMark/>
          </w:tcPr>
          <w:p w14:paraId="67CA4621"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Contingent liabilities in respect of:</w:t>
            </w:r>
          </w:p>
        </w:tc>
        <w:tc>
          <w:tcPr>
            <w:tcW w:w="1260" w:type="dxa"/>
            <w:tcBorders>
              <w:top w:val="nil"/>
              <w:left w:val="nil"/>
              <w:bottom w:val="single" w:sz="4" w:space="0" w:color="auto"/>
              <w:right w:val="single" w:sz="4" w:space="0" w:color="auto"/>
            </w:tcBorders>
            <w:shd w:val="clear" w:color="auto" w:fill="auto"/>
            <w:noWrap/>
            <w:vAlign w:val="center"/>
            <w:hideMark/>
          </w:tcPr>
          <w:p w14:paraId="55F1479D" w14:textId="77777777" w:rsidR="005B5953" w:rsidRPr="005B12AE" w:rsidRDefault="005B5953" w:rsidP="00250DAC">
            <w:pPr>
              <w:spacing w:after="0" w:line="240" w:lineRule="auto"/>
              <w:jc w:val="center"/>
              <w:rPr>
                <w:rFonts w:ascii="Times New Roman" w:hAnsi="Times New Roman"/>
                <w:sz w:val="20"/>
                <w:szCs w:val="20"/>
              </w:rPr>
            </w:pPr>
          </w:p>
        </w:tc>
        <w:tc>
          <w:tcPr>
            <w:tcW w:w="1260" w:type="dxa"/>
            <w:tcBorders>
              <w:top w:val="nil"/>
              <w:left w:val="nil"/>
              <w:bottom w:val="single" w:sz="4" w:space="0" w:color="auto"/>
              <w:right w:val="single" w:sz="4" w:space="0" w:color="auto"/>
            </w:tcBorders>
            <w:shd w:val="clear" w:color="auto" w:fill="auto"/>
            <w:noWrap/>
            <w:vAlign w:val="center"/>
            <w:hideMark/>
          </w:tcPr>
          <w:p w14:paraId="245533E5" w14:textId="77777777" w:rsidR="005B5953" w:rsidRPr="005B12AE" w:rsidRDefault="005B5953" w:rsidP="00250DAC">
            <w:pPr>
              <w:spacing w:after="0" w:line="240" w:lineRule="auto"/>
              <w:jc w:val="center"/>
              <w:rPr>
                <w:rFonts w:ascii="Times New Roman" w:hAnsi="Times New Roman"/>
                <w:sz w:val="20"/>
                <w:szCs w:val="20"/>
              </w:rPr>
            </w:pPr>
          </w:p>
        </w:tc>
        <w:tc>
          <w:tcPr>
            <w:tcW w:w="1191" w:type="dxa"/>
            <w:tcBorders>
              <w:top w:val="nil"/>
              <w:left w:val="nil"/>
              <w:bottom w:val="single" w:sz="4" w:space="0" w:color="auto"/>
              <w:right w:val="single" w:sz="4" w:space="0" w:color="auto"/>
            </w:tcBorders>
            <w:shd w:val="clear" w:color="auto" w:fill="auto"/>
            <w:noWrap/>
            <w:vAlign w:val="center"/>
            <w:hideMark/>
          </w:tcPr>
          <w:p w14:paraId="73B49435"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50507DC2" w14:textId="77777777" w:rsidTr="003B4BCE">
        <w:trPr>
          <w:trHeight w:val="20"/>
        </w:trPr>
        <w:tc>
          <w:tcPr>
            <w:tcW w:w="6745" w:type="dxa"/>
            <w:tcBorders>
              <w:top w:val="nil"/>
              <w:left w:val="single" w:sz="4" w:space="0" w:color="auto"/>
              <w:bottom w:val="single" w:sz="4" w:space="0" w:color="auto"/>
              <w:right w:val="single" w:sz="4" w:space="0" w:color="auto"/>
            </w:tcBorders>
            <w:shd w:val="clear" w:color="auto" w:fill="auto"/>
            <w:vAlign w:val="bottom"/>
            <w:hideMark/>
          </w:tcPr>
          <w:p w14:paraId="20A39CAC"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Claims against the company not acknowledged as debts (Income tax Appeal (disputed demand) for and TDS Defaults)</w:t>
            </w:r>
          </w:p>
        </w:tc>
        <w:tc>
          <w:tcPr>
            <w:tcW w:w="1260" w:type="dxa"/>
            <w:tcBorders>
              <w:top w:val="nil"/>
              <w:left w:val="nil"/>
              <w:bottom w:val="single" w:sz="4" w:space="0" w:color="auto"/>
              <w:right w:val="single" w:sz="4" w:space="0" w:color="auto"/>
            </w:tcBorders>
            <w:shd w:val="clear" w:color="auto" w:fill="auto"/>
            <w:noWrap/>
            <w:vAlign w:val="center"/>
            <w:hideMark/>
          </w:tcPr>
          <w:p w14:paraId="3FBE452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60" w:type="dxa"/>
            <w:tcBorders>
              <w:top w:val="nil"/>
              <w:left w:val="nil"/>
              <w:bottom w:val="single" w:sz="4" w:space="0" w:color="auto"/>
              <w:right w:val="single" w:sz="4" w:space="0" w:color="auto"/>
            </w:tcBorders>
            <w:shd w:val="clear" w:color="auto" w:fill="auto"/>
            <w:noWrap/>
            <w:vAlign w:val="center"/>
            <w:hideMark/>
          </w:tcPr>
          <w:p w14:paraId="016EEA3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191" w:type="dxa"/>
            <w:tcBorders>
              <w:top w:val="nil"/>
              <w:left w:val="nil"/>
              <w:bottom w:val="single" w:sz="4" w:space="0" w:color="auto"/>
              <w:right w:val="single" w:sz="4" w:space="0" w:color="auto"/>
            </w:tcBorders>
            <w:shd w:val="clear" w:color="auto" w:fill="auto"/>
            <w:noWrap/>
            <w:vAlign w:val="center"/>
            <w:hideMark/>
          </w:tcPr>
          <w:p w14:paraId="171D0B8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433DCB25" w14:textId="77777777" w:rsidTr="003B4BCE">
        <w:trPr>
          <w:trHeight w:val="20"/>
        </w:trPr>
        <w:tc>
          <w:tcPr>
            <w:tcW w:w="6745" w:type="dxa"/>
            <w:tcBorders>
              <w:top w:val="nil"/>
              <w:left w:val="single" w:sz="4" w:space="0" w:color="auto"/>
              <w:bottom w:val="single" w:sz="4" w:space="0" w:color="auto"/>
              <w:right w:val="single" w:sz="4" w:space="0" w:color="auto"/>
            </w:tcBorders>
            <w:shd w:val="clear" w:color="auto" w:fill="auto"/>
            <w:noWrap/>
            <w:vAlign w:val="bottom"/>
            <w:hideMark/>
          </w:tcPr>
          <w:p w14:paraId="3AF54B8A"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Guarantees given on Behalf of the Company</w:t>
            </w:r>
          </w:p>
        </w:tc>
        <w:tc>
          <w:tcPr>
            <w:tcW w:w="1260" w:type="dxa"/>
            <w:tcBorders>
              <w:top w:val="nil"/>
              <w:left w:val="nil"/>
              <w:bottom w:val="single" w:sz="4" w:space="0" w:color="auto"/>
              <w:right w:val="single" w:sz="4" w:space="0" w:color="auto"/>
            </w:tcBorders>
            <w:shd w:val="clear" w:color="auto" w:fill="auto"/>
            <w:noWrap/>
            <w:vAlign w:val="center"/>
            <w:hideMark/>
          </w:tcPr>
          <w:p w14:paraId="6F5FB702" w14:textId="77777777" w:rsidR="005B5953" w:rsidRPr="005B12AE" w:rsidRDefault="005B5953" w:rsidP="00250DAC">
            <w:pPr>
              <w:spacing w:after="0" w:line="240" w:lineRule="auto"/>
              <w:jc w:val="center"/>
              <w:rPr>
                <w:rFonts w:ascii="Times New Roman" w:hAnsi="Times New Roman"/>
                <w:sz w:val="20"/>
                <w:szCs w:val="20"/>
              </w:rPr>
            </w:pPr>
          </w:p>
        </w:tc>
        <w:tc>
          <w:tcPr>
            <w:tcW w:w="1260" w:type="dxa"/>
            <w:tcBorders>
              <w:top w:val="nil"/>
              <w:left w:val="nil"/>
              <w:bottom w:val="single" w:sz="4" w:space="0" w:color="auto"/>
              <w:right w:val="single" w:sz="4" w:space="0" w:color="auto"/>
            </w:tcBorders>
            <w:shd w:val="clear" w:color="auto" w:fill="auto"/>
            <w:noWrap/>
            <w:vAlign w:val="center"/>
            <w:hideMark/>
          </w:tcPr>
          <w:p w14:paraId="45FCCBAD" w14:textId="77777777" w:rsidR="005B5953" w:rsidRPr="005B12AE" w:rsidRDefault="005B5953" w:rsidP="00250DAC">
            <w:pPr>
              <w:spacing w:after="0" w:line="240" w:lineRule="auto"/>
              <w:jc w:val="center"/>
              <w:rPr>
                <w:rFonts w:ascii="Times New Roman" w:hAnsi="Times New Roman"/>
                <w:sz w:val="20"/>
                <w:szCs w:val="20"/>
              </w:rPr>
            </w:pPr>
          </w:p>
        </w:tc>
        <w:tc>
          <w:tcPr>
            <w:tcW w:w="1191" w:type="dxa"/>
            <w:tcBorders>
              <w:top w:val="nil"/>
              <w:left w:val="nil"/>
              <w:bottom w:val="single" w:sz="4" w:space="0" w:color="auto"/>
              <w:right w:val="single" w:sz="4" w:space="0" w:color="auto"/>
            </w:tcBorders>
            <w:shd w:val="clear" w:color="auto" w:fill="auto"/>
            <w:noWrap/>
            <w:vAlign w:val="center"/>
            <w:hideMark/>
          </w:tcPr>
          <w:p w14:paraId="0E1E80BF"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52838C3D" w14:textId="77777777" w:rsidTr="003B4BCE">
        <w:trPr>
          <w:trHeight w:val="20"/>
        </w:trPr>
        <w:tc>
          <w:tcPr>
            <w:tcW w:w="6745" w:type="dxa"/>
            <w:tcBorders>
              <w:top w:val="nil"/>
              <w:left w:val="single" w:sz="4" w:space="0" w:color="auto"/>
              <w:bottom w:val="single" w:sz="4" w:space="0" w:color="auto"/>
              <w:right w:val="single" w:sz="4" w:space="0" w:color="auto"/>
            </w:tcBorders>
            <w:shd w:val="clear" w:color="auto" w:fill="auto"/>
            <w:noWrap/>
            <w:vAlign w:val="bottom"/>
            <w:hideMark/>
          </w:tcPr>
          <w:p w14:paraId="34A72747"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Guarantees given on Behalf of the Subsidiary Company</w:t>
            </w:r>
          </w:p>
        </w:tc>
        <w:tc>
          <w:tcPr>
            <w:tcW w:w="1260" w:type="dxa"/>
            <w:tcBorders>
              <w:top w:val="nil"/>
              <w:left w:val="nil"/>
              <w:bottom w:val="single" w:sz="4" w:space="0" w:color="auto"/>
              <w:right w:val="single" w:sz="4" w:space="0" w:color="auto"/>
            </w:tcBorders>
            <w:shd w:val="clear" w:color="auto" w:fill="auto"/>
            <w:noWrap/>
            <w:vAlign w:val="center"/>
            <w:hideMark/>
          </w:tcPr>
          <w:p w14:paraId="0B9AAAA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60" w:type="dxa"/>
            <w:tcBorders>
              <w:top w:val="nil"/>
              <w:left w:val="nil"/>
              <w:bottom w:val="single" w:sz="4" w:space="0" w:color="auto"/>
              <w:right w:val="single" w:sz="4" w:space="0" w:color="auto"/>
            </w:tcBorders>
            <w:shd w:val="clear" w:color="auto" w:fill="auto"/>
            <w:noWrap/>
            <w:vAlign w:val="center"/>
            <w:hideMark/>
          </w:tcPr>
          <w:p w14:paraId="4791BD0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191" w:type="dxa"/>
            <w:tcBorders>
              <w:top w:val="nil"/>
              <w:left w:val="nil"/>
              <w:bottom w:val="single" w:sz="4" w:space="0" w:color="auto"/>
              <w:right w:val="single" w:sz="4" w:space="0" w:color="auto"/>
            </w:tcBorders>
            <w:shd w:val="clear" w:color="auto" w:fill="auto"/>
            <w:noWrap/>
            <w:vAlign w:val="center"/>
            <w:hideMark/>
          </w:tcPr>
          <w:p w14:paraId="3D0DB91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08B5BEDA" w14:textId="77777777" w:rsidTr="003B4BCE">
        <w:trPr>
          <w:trHeight w:val="20"/>
        </w:trPr>
        <w:tc>
          <w:tcPr>
            <w:tcW w:w="6745" w:type="dxa"/>
            <w:tcBorders>
              <w:top w:val="nil"/>
              <w:left w:val="single" w:sz="4" w:space="0" w:color="auto"/>
              <w:bottom w:val="single" w:sz="4" w:space="0" w:color="auto"/>
              <w:right w:val="single" w:sz="4" w:space="0" w:color="auto"/>
            </w:tcBorders>
            <w:shd w:val="clear" w:color="auto" w:fill="auto"/>
            <w:noWrap/>
            <w:vAlign w:val="bottom"/>
            <w:hideMark/>
          </w:tcPr>
          <w:p w14:paraId="1BA7DFEC"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Other moneys for which the company is contingently liable</w:t>
            </w:r>
          </w:p>
        </w:tc>
        <w:tc>
          <w:tcPr>
            <w:tcW w:w="1260" w:type="dxa"/>
            <w:tcBorders>
              <w:top w:val="nil"/>
              <w:left w:val="nil"/>
              <w:bottom w:val="single" w:sz="4" w:space="0" w:color="auto"/>
              <w:right w:val="single" w:sz="4" w:space="0" w:color="auto"/>
            </w:tcBorders>
            <w:shd w:val="clear" w:color="auto" w:fill="auto"/>
            <w:noWrap/>
            <w:vAlign w:val="center"/>
            <w:hideMark/>
          </w:tcPr>
          <w:p w14:paraId="1246197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60" w:type="dxa"/>
            <w:tcBorders>
              <w:top w:val="nil"/>
              <w:left w:val="nil"/>
              <w:bottom w:val="single" w:sz="4" w:space="0" w:color="auto"/>
              <w:right w:val="single" w:sz="4" w:space="0" w:color="auto"/>
            </w:tcBorders>
            <w:shd w:val="clear" w:color="auto" w:fill="auto"/>
            <w:noWrap/>
            <w:vAlign w:val="center"/>
            <w:hideMark/>
          </w:tcPr>
          <w:p w14:paraId="264B643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191" w:type="dxa"/>
            <w:tcBorders>
              <w:top w:val="nil"/>
              <w:left w:val="nil"/>
              <w:bottom w:val="single" w:sz="4" w:space="0" w:color="auto"/>
              <w:right w:val="single" w:sz="4" w:space="0" w:color="auto"/>
            </w:tcBorders>
            <w:shd w:val="clear" w:color="auto" w:fill="auto"/>
            <w:noWrap/>
            <w:vAlign w:val="center"/>
            <w:hideMark/>
          </w:tcPr>
          <w:p w14:paraId="35513D9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475AC01B" w14:textId="77777777" w:rsidTr="003B4BCE">
        <w:trPr>
          <w:trHeight w:val="20"/>
        </w:trPr>
        <w:tc>
          <w:tcPr>
            <w:tcW w:w="6745" w:type="dxa"/>
            <w:tcBorders>
              <w:top w:val="nil"/>
              <w:left w:val="single" w:sz="4" w:space="0" w:color="auto"/>
              <w:bottom w:val="single" w:sz="4" w:space="0" w:color="auto"/>
              <w:right w:val="single" w:sz="4" w:space="0" w:color="auto"/>
            </w:tcBorders>
            <w:shd w:val="clear" w:color="auto" w:fill="auto"/>
            <w:noWrap/>
            <w:vAlign w:val="bottom"/>
            <w:hideMark/>
          </w:tcPr>
          <w:p w14:paraId="3F676C9D"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Commitments (to the extent not provided for)</w:t>
            </w:r>
          </w:p>
        </w:tc>
        <w:tc>
          <w:tcPr>
            <w:tcW w:w="1260" w:type="dxa"/>
            <w:tcBorders>
              <w:top w:val="nil"/>
              <w:left w:val="nil"/>
              <w:bottom w:val="single" w:sz="4" w:space="0" w:color="auto"/>
              <w:right w:val="single" w:sz="4" w:space="0" w:color="auto"/>
            </w:tcBorders>
            <w:shd w:val="clear" w:color="auto" w:fill="auto"/>
            <w:noWrap/>
            <w:vAlign w:val="center"/>
            <w:hideMark/>
          </w:tcPr>
          <w:p w14:paraId="7DBE9E7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60" w:type="dxa"/>
            <w:tcBorders>
              <w:top w:val="nil"/>
              <w:left w:val="nil"/>
              <w:bottom w:val="single" w:sz="4" w:space="0" w:color="auto"/>
              <w:right w:val="single" w:sz="4" w:space="0" w:color="auto"/>
            </w:tcBorders>
            <w:shd w:val="clear" w:color="auto" w:fill="auto"/>
            <w:noWrap/>
            <w:vAlign w:val="center"/>
            <w:hideMark/>
          </w:tcPr>
          <w:p w14:paraId="14D16C5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191" w:type="dxa"/>
            <w:tcBorders>
              <w:top w:val="nil"/>
              <w:left w:val="nil"/>
              <w:bottom w:val="single" w:sz="4" w:space="0" w:color="auto"/>
              <w:right w:val="single" w:sz="4" w:space="0" w:color="auto"/>
            </w:tcBorders>
            <w:shd w:val="clear" w:color="auto" w:fill="auto"/>
            <w:noWrap/>
            <w:vAlign w:val="center"/>
            <w:hideMark/>
          </w:tcPr>
          <w:p w14:paraId="4135C88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7BDC075B" w14:textId="77777777" w:rsidTr="003B4BCE">
        <w:trPr>
          <w:trHeight w:val="20"/>
        </w:trPr>
        <w:tc>
          <w:tcPr>
            <w:tcW w:w="6745" w:type="dxa"/>
            <w:tcBorders>
              <w:top w:val="nil"/>
              <w:left w:val="single" w:sz="4" w:space="0" w:color="auto"/>
              <w:bottom w:val="single" w:sz="4" w:space="0" w:color="auto"/>
              <w:right w:val="single" w:sz="4" w:space="0" w:color="auto"/>
            </w:tcBorders>
            <w:shd w:val="clear" w:color="auto" w:fill="auto"/>
            <w:noWrap/>
            <w:vAlign w:val="bottom"/>
            <w:hideMark/>
          </w:tcPr>
          <w:p w14:paraId="7F889635"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Estimated amounts of contracts remaining to be executed on capital account and not provided for</w:t>
            </w:r>
          </w:p>
        </w:tc>
        <w:tc>
          <w:tcPr>
            <w:tcW w:w="1260" w:type="dxa"/>
            <w:tcBorders>
              <w:top w:val="nil"/>
              <w:left w:val="nil"/>
              <w:bottom w:val="single" w:sz="4" w:space="0" w:color="auto"/>
              <w:right w:val="single" w:sz="4" w:space="0" w:color="auto"/>
            </w:tcBorders>
            <w:shd w:val="clear" w:color="auto" w:fill="auto"/>
            <w:noWrap/>
            <w:vAlign w:val="center"/>
            <w:hideMark/>
          </w:tcPr>
          <w:p w14:paraId="35F77D9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60" w:type="dxa"/>
            <w:tcBorders>
              <w:top w:val="nil"/>
              <w:left w:val="nil"/>
              <w:bottom w:val="single" w:sz="4" w:space="0" w:color="auto"/>
              <w:right w:val="single" w:sz="4" w:space="0" w:color="auto"/>
            </w:tcBorders>
            <w:shd w:val="clear" w:color="auto" w:fill="auto"/>
            <w:noWrap/>
            <w:vAlign w:val="center"/>
            <w:hideMark/>
          </w:tcPr>
          <w:p w14:paraId="729AF4B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191" w:type="dxa"/>
            <w:tcBorders>
              <w:top w:val="nil"/>
              <w:left w:val="nil"/>
              <w:bottom w:val="single" w:sz="4" w:space="0" w:color="auto"/>
              <w:right w:val="single" w:sz="4" w:space="0" w:color="auto"/>
            </w:tcBorders>
            <w:shd w:val="clear" w:color="auto" w:fill="auto"/>
            <w:noWrap/>
            <w:vAlign w:val="center"/>
            <w:hideMark/>
          </w:tcPr>
          <w:p w14:paraId="3DAB9E1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235A6304" w14:textId="77777777" w:rsidTr="003B4BCE">
        <w:trPr>
          <w:trHeight w:val="20"/>
        </w:trPr>
        <w:tc>
          <w:tcPr>
            <w:tcW w:w="6745" w:type="dxa"/>
            <w:tcBorders>
              <w:top w:val="nil"/>
              <w:left w:val="single" w:sz="4" w:space="0" w:color="auto"/>
              <w:bottom w:val="single" w:sz="4" w:space="0" w:color="auto"/>
              <w:right w:val="single" w:sz="4" w:space="0" w:color="auto"/>
            </w:tcBorders>
            <w:shd w:val="clear" w:color="auto" w:fill="auto"/>
            <w:noWrap/>
            <w:vAlign w:val="bottom"/>
            <w:hideMark/>
          </w:tcPr>
          <w:p w14:paraId="431320B3"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Uncalled liability on shares and other investments partly paid</w:t>
            </w:r>
          </w:p>
        </w:tc>
        <w:tc>
          <w:tcPr>
            <w:tcW w:w="1260" w:type="dxa"/>
            <w:tcBorders>
              <w:top w:val="nil"/>
              <w:left w:val="nil"/>
              <w:bottom w:val="single" w:sz="4" w:space="0" w:color="auto"/>
              <w:right w:val="single" w:sz="4" w:space="0" w:color="auto"/>
            </w:tcBorders>
            <w:shd w:val="clear" w:color="auto" w:fill="auto"/>
            <w:noWrap/>
            <w:vAlign w:val="center"/>
            <w:hideMark/>
          </w:tcPr>
          <w:p w14:paraId="4FDA499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260" w:type="dxa"/>
            <w:tcBorders>
              <w:top w:val="nil"/>
              <w:left w:val="nil"/>
              <w:bottom w:val="single" w:sz="4" w:space="0" w:color="auto"/>
              <w:right w:val="single" w:sz="4" w:space="0" w:color="auto"/>
            </w:tcBorders>
            <w:shd w:val="clear" w:color="auto" w:fill="auto"/>
            <w:noWrap/>
            <w:vAlign w:val="center"/>
            <w:hideMark/>
          </w:tcPr>
          <w:p w14:paraId="0445380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1191" w:type="dxa"/>
            <w:tcBorders>
              <w:top w:val="nil"/>
              <w:left w:val="nil"/>
              <w:bottom w:val="single" w:sz="4" w:space="0" w:color="auto"/>
              <w:right w:val="single" w:sz="4" w:space="0" w:color="auto"/>
            </w:tcBorders>
            <w:shd w:val="clear" w:color="auto" w:fill="auto"/>
            <w:noWrap/>
            <w:vAlign w:val="center"/>
            <w:hideMark/>
          </w:tcPr>
          <w:p w14:paraId="6E8299F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4266ECF0" w14:textId="77777777" w:rsidTr="003B4BCE">
        <w:trPr>
          <w:trHeight w:val="20"/>
        </w:trPr>
        <w:tc>
          <w:tcPr>
            <w:tcW w:w="6745" w:type="dxa"/>
            <w:tcBorders>
              <w:top w:val="nil"/>
              <w:left w:val="single" w:sz="4" w:space="0" w:color="auto"/>
              <w:bottom w:val="single" w:sz="4" w:space="0" w:color="auto"/>
              <w:right w:val="single" w:sz="4" w:space="0" w:color="auto"/>
            </w:tcBorders>
            <w:shd w:val="clear" w:color="auto" w:fill="auto"/>
            <w:vAlign w:val="bottom"/>
            <w:hideMark/>
          </w:tcPr>
          <w:p w14:paraId="5D955DB4"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 xml:space="preserve">Other commitments - The company has filed VAT Appeal before Deputy Commissioner State Tax (Appeals), State Tax. For the matter under consideration total demand of </w:t>
            </w:r>
            <w:r w:rsidRPr="005B12AE">
              <w:rPr>
                <w:rFonts w:ascii="Times New Roman" w:hAnsi="Times New Roman"/>
                <w:color w:val="000000"/>
                <w:sz w:val="20"/>
                <w:szCs w:val="20"/>
              </w:rPr>
              <w:t xml:space="preserve">₹ </w:t>
            </w:r>
            <w:r w:rsidRPr="005B12AE">
              <w:rPr>
                <w:rFonts w:ascii="Times New Roman" w:hAnsi="Times New Roman"/>
                <w:sz w:val="20"/>
                <w:szCs w:val="20"/>
              </w:rPr>
              <w:t xml:space="preserve">5,98,684/- was raised and company has paid the Demand of </w:t>
            </w:r>
            <w:r w:rsidRPr="005B12AE">
              <w:rPr>
                <w:rFonts w:ascii="Times New Roman" w:hAnsi="Times New Roman"/>
                <w:color w:val="000000"/>
                <w:sz w:val="20"/>
                <w:szCs w:val="20"/>
              </w:rPr>
              <w:t>₹</w:t>
            </w:r>
            <w:r w:rsidRPr="005B12AE">
              <w:rPr>
                <w:rFonts w:ascii="Times New Roman" w:hAnsi="Times New Roman"/>
                <w:sz w:val="20"/>
                <w:szCs w:val="20"/>
              </w:rPr>
              <w:t xml:space="preserve"> 1,20,000 and for balance amount stay has been granted.</w:t>
            </w:r>
          </w:p>
        </w:tc>
        <w:tc>
          <w:tcPr>
            <w:tcW w:w="1260" w:type="dxa"/>
            <w:tcBorders>
              <w:top w:val="nil"/>
              <w:left w:val="nil"/>
              <w:bottom w:val="single" w:sz="4" w:space="0" w:color="auto"/>
              <w:right w:val="single" w:sz="4" w:space="0" w:color="auto"/>
            </w:tcBorders>
            <w:shd w:val="clear" w:color="auto" w:fill="auto"/>
            <w:noWrap/>
            <w:vAlign w:val="center"/>
            <w:hideMark/>
          </w:tcPr>
          <w:p w14:paraId="4638A6A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5.98</w:t>
            </w:r>
          </w:p>
        </w:tc>
        <w:tc>
          <w:tcPr>
            <w:tcW w:w="1260" w:type="dxa"/>
            <w:tcBorders>
              <w:top w:val="nil"/>
              <w:left w:val="nil"/>
              <w:bottom w:val="single" w:sz="4" w:space="0" w:color="auto"/>
              <w:right w:val="single" w:sz="4" w:space="0" w:color="auto"/>
            </w:tcBorders>
            <w:shd w:val="clear" w:color="auto" w:fill="auto"/>
            <w:noWrap/>
            <w:vAlign w:val="center"/>
            <w:hideMark/>
          </w:tcPr>
          <w:p w14:paraId="065DE32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5.98</w:t>
            </w:r>
          </w:p>
        </w:tc>
        <w:tc>
          <w:tcPr>
            <w:tcW w:w="1191" w:type="dxa"/>
            <w:tcBorders>
              <w:top w:val="nil"/>
              <w:left w:val="nil"/>
              <w:bottom w:val="single" w:sz="4" w:space="0" w:color="auto"/>
              <w:right w:val="single" w:sz="4" w:space="0" w:color="auto"/>
            </w:tcBorders>
            <w:shd w:val="clear" w:color="auto" w:fill="auto"/>
            <w:noWrap/>
            <w:vAlign w:val="center"/>
            <w:hideMark/>
          </w:tcPr>
          <w:p w14:paraId="5ADF450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5.98</w:t>
            </w:r>
          </w:p>
        </w:tc>
      </w:tr>
      <w:tr w:rsidR="005B5953" w:rsidRPr="005B12AE" w14:paraId="0D253F84" w14:textId="77777777" w:rsidTr="003B4BCE">
        <w:trPr>
          <w:trHeight w:val="20"/>
        </w:trPr>
        <w:tc>
          <w:tcPr>
            <w:tcW w:w="6745" w:type="dxa"/>
            <w:tcBorders>
              <w:top w:val="nil"/>
              <w:left w:val="single" w:sz="4" w:space="0" w:color="auto"/>
              <w:bottom w:val="single" w:sz="4" w:space="0" w:color="auto"/>
              <w:right w:val="single" w:sz="4" w:space="0" w:color="auto"/>
            </w:tcBorders>
            <w:shd w:val="clear" w:color="auto" w:fill="auto"/>
            <w:noWrap/>
            <w:vAlign w:val="bottom"/>
            <w:hideMark/>
          </w:tcPr>
          <w:p w14:paraId="019C8829" w14:textId="77777777" w:rsidR="005B5953" w:rsidRPr="005B12AE" w:rsidRDefault="005B5953" w:rsidP="00250DAC">
            <w:pPr>
              <w:spacing w:after="0" w:line="240" w:lineRule="auto"/>
              <w:rPr>
                <w:rFonts w:ascii="Times New Roman" w:hAnsi="Times New Roman"/>
                <w:b/>
                <w:bCs/>
                <w:sz w:val="20"/>
                <w:szCs w:val="20"/>
              </w:rPr>
            </w:pPr>
            <w:r w:rsidRPr="005B12AE">
              <w:rPr>
                <w:rFonts w:ascii="Times New Roman" w:hAnsi="Times New Roman"/>
                <w:b/>
                <w:bCs/>
                <w:sz w:val="20"/>
                <w:szCs w:val="20"/>
              </w:rPr>
              <w:t>Total</w:t>
            </w:r>
          </w:p>
        </w:tc>
        <w:tc>
          <w:tcPr>
            <w:tcW w:w="1260" w:type="dxa"/>
            <w:tcBorders>
              <w:top w:val="nil"/>
              <w:left w:val="nil"/>
              <w:bottom w:val="single" w:sz="4" w:space="0" w:color="auto"/>
              <w:right w:val="single" w:sz="4" w:space="0" w:color="auto"/>
            </w:tcBorders>
            <w:shd w:val="clear" w:color="auto" w:fill="auto"/>
            <w:noWrap/>
            <w:vAlign w:val="center"/>
            <w:hideMark/>
          </w:tcPr>
          <w:p w14:paraId="6D203F9E"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5.98</w:t>
            </w:r>
          </w:p>
        </w:tc>
        <w:tc>
          <w:tcPr>
            <w:tcW w:w="1260" w:type="dxa"/>
            <w:tcBorders>
              <w:top w:val="nil"/>
              <w:left w:val="nil"/>
              <w:bottom w:val="single" w:sz="4" w:space="0" w:color="auto"/>
              <w:right w:val="single" w:sz="4" w:space="0" w:color="auto"/>
            </w:tcBorders>
            <w:shd w:val="clear" w:color="auto" w:fill="auto"/>
            <w:noWrap/>
            <w:vAlign w:val="center"/>
            <w:hideMark/>
          </w:tcPr>
          <w:p w14:paraId="09358F7B"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5.98</w:t>
            </w:r>
          </w:p>
        </w:tc>
        <w:tc>
          <w:tcPr>
            <w:tcW w:w="1191" w:type="dxa"/>
            <w:tcBorders>
              <w:top w:val="nil"/>
              <w:left w:val="nil"/>
              <w:bottom w:val="single" w:sz="4" w:space="0" w:color="auto"/>
              <w:right w:val="single" w:sz="4" w:space="0" w:color="auto"/>
            </w:tcBorders>
            <w:shd w:val="clear" w:color="auto" w:fill="auto"/>
            <w:noWrap/>
            <w:vAlign w:val="center"/>
            <w:hideMark/>
          </w:tcPr>
          <w:p w14:paraId="66CE2318"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5.98</w:t>
            </w:r>
          </w:p>
        </w:tc>
      </w:tr>
    </w:tbl>
    <w:p w14:paraId="69025EBA" w14:textId="77777777" w:rsidR="005B5953" w:rsidRPr="005B12AE" w:rsidRDefault="005B5953" w:rsidP="005B5953">
      <w:pPr>
        <w:spacing w:after="0"/>
        <w:ind w:left="270" w:hanging="270"/>
        <w:jc w:val="center"/>
        <w:rPr>
          <w:rFonts w:ascii="Times New Roman" w:hAnsi="Times New Roman"/>
          <w:b/>
          <w:bCs/>
          <w:sz w:val="20"/>
          <w:szCs w:val="20"/>
        </w:rPr>
      </w:pPr>
    </w:p>
    <w:p w14:paraId="1AF8F31E" w14:textId="77777777" w:rsidR="005B5953" w:rsidRPr="005B12AE" w:rsidRDefault="005B5953" w:rsidP="005B5953">
      <w:pPr>
        <w:spacing w:after="0"/>
        <w:ind w:left="270" w:hanging="270"/>
        <w:jc w:val="center"/>
        <w:rPr>
          <w:rFonts w:ascii="Times New Roman" w:hAnsi="Times New Roman"/>
          <w:b/>
          <w:bCs/>
          <w:sz w:val="20"/>
          <w:szCs w:val="20"/>
        </w:rPr>
      </w:pPr>
      <w:r w:rsidRPr="005B12AE">
        <w:rPr>
          <w:rFonts w:ascii="Times New Roman" w:hAnsi="Times New Roman"/>
          <w:b/>
          <w:bCs/>
          <w:sz w:val="20"/>
          <w:szCs w:val="20"/>
        </w:rPr>
        <w:t>NOTE – W</w:t>
      </w:r>
    </w:p>
    <w:p w14:paraId="5B938ECD" w14:textId="77777777" w:rsidR="005B5953" w:rsidRPr="005B12AE" w:rsidRDefault="005B5953" w:rsidP="005B5953">
      <w:pPr>
        <w:spacing w:after="0"/>
        <w:ind w:left="270" w:hanging="270"/>
        <w:jc w:val="center"/>
        <w:rPr>
          <w:rFonts w:ascii="Times New Roman" w:hAnsi="Times New Roman"/>
          <w:b/>
          <w:bCs/>
          <w:sz w:val="20"/>
          <w:szCs w:val="20"/>
        </w:rPr>
      </w:pPr>
    </w:p>
    <w:p w14:paraId="46DA448F" w14:textId="77777777" w:rsidR="005B5953" w:rsidRPr="005B12AE" w:rsidRDefault="005B5953" w:rsidP="005B5953">
      <w:pPr>
        <w:spacing w:after="0"/>
        <w:ind w:left="270" w:hanging="270"/>
        <w:jc w:val="center"/>
        <w:rPr>
          <w:rFonts w:ascii="Times New Roman" w:hAnsi="Times New Roman"/>
          <w:b/>
          <w:bCs/>
          <w:sz w:val="20"/>
          <w:szCs w:val="20"/>
        </w:rPr>
      </w:pPr>
      <w:r w:rsidRPr="005B12AE">
        <w:rPr>
          <w:rFonts w:ascii="Times New Roman" w:hAnsi="Times New Roman"/>
          <w:b/>
          <w:bCs/>
          <w:sz w:val="20"/>
          <w:szCs w:val="20"/>
        </w:rPr>
        <w:t>RESTATED STATEMENT OF RELATED PARTY TRANSACTIONS</w:t>
      </w:r>
    </w:p>
    <w:p w14:paraId="3E8505FB" w14:textId="77777777" w:rsidR="005B5953" w:rsidRPr="005B12AE" w:rsidRDefault="005B5953" w:rsidP="005B5953">
      <w:pPr>
        <w:spacing w:after="0"/>
        <w:ind w:left="270" w:hanging="270"/>
        <w:jc w:val="center"/>
        <w:rPr>
          <w:rFonts w:ascii="Times New Roman" w:hAnsi="Times New Roman"/>
          <w:b/>
          <w:bCs/>
          <w:sz w:val="20"/>
          <w:szCs w:val="20"/>
        </w:rPr>
      </w:pPr>
    </w:p>
    <w:p w14:paraId="10433478" w14:textId="77777777" w:rsidR="005B5953" w:rsidRPr="005B12AE" w:rsidRDefault="005B5953" w:rsidP="005B5953">
      <w:pPr>
        <w:spacing w:after="0"/>
        <w:rPr>
          <w:rFonts w:ascii="Times New Roman" w:hAnsi="Times New Roman"/>
          <w:b/>
          <w:bCs/>
          <w:color w:val="000000"/>
          <w:sz w:val="20"/>
          <w:szCs w:val="20"/>
        </w:rPr>
      </w:pPr>
      <w:r w:rsidRPr="005B12AE">
        <w:rPr>
          <w:rFonts w:ascii="Times New Roman" w:hAnsi="Times New Roman"/>
          <w:b/>
          <w:bCs/>
          <w:color w:val="000000"/>
          <w:sz w:val="20"/>
          <w:szCs w:val="20"/>
        </w:rPr>
        <w:t>A. RELATED PARTY DISCLOSURE</w:t>
      </w:r>
    </w:p>
    <w:p w14:paraId="7D40A19A" w14:textId="77777777" w:rsidR="005B5953" w:rsidRPr="005B12AE" w:rsidRDefault="005B5953" w:rsidP="005B5953">
      <w:pPr>
        <w:spacing w:after="0"/>
        <w:rPr>
          <w:rFonts w:ascii="Times New Roman" w:hAnsi="Times New Roman"/>
          <w:b/>
          <w:bCs/>
          <w:color w:val="000000"/>
          <w:sz w:val="20"/>
          <w:szCs w:val="20"/>
        </w:rPr>
      </w:pPr>
      <w:r w:rsidRPr="005B12AE">
        <w:rPr>
          <w:rFonts w:ascii="Times New Roman" w:hAnsi="Times New Roman"/>
          <w:b/>
          <w:bCs/>
          <w:color w:val="000000"/>
          <w:sz w:val="20"/>
          <w:szCs w:val="20"/>
        </w:rPr>
        <w:t>(a) List of Related parties</w:t>
      </w:r>
    </w:p>
    <w:p w14:paraId="3384921F" w14:textId="77777777" w:rsidR="005B5953" w:rsidRPr="005B12AE" w:rsidRDefault="005B5953" w:rsidP="005B5953">
      <w:pPr>
        <w:spacing w:after="0"/>
        <w:rPr>
          <w:rFonts w:ascii="Times New Roman" w:hAnsi="Times New Roman"/>
          <w:b/>
          <w:bCs/>
          <w:color w:val="000000"/>
          <w:sz w:val="20"/>
          <w:szCs w:val="20"/>
        </w:rPr>
      </w:pPr>
    </w:p>
    <w:p w14:paraId="7FE68ECB" w14:textId="77777777" w:rsidR="005B5953" w:rsidRPr="005B12AE" w:rsidRDefault="005B5953" w:rsidP="005B5953">
      <w:pPr>
        <w:spacing w:after="0"/>
        <w:rPr>
          <w:rFonts w:ascii="Times New Roman" w:hAnsi="Times New Roman"/>
          <w:sz w:val="20"/>
          <w:szCs w:val="20"/>
        </w:rPr>
      </w:pPr>
      <w:r w:rsidRPr="005B12AE">
        <w:rPr>
          <w:rFonts w:ascii="Times New Roman" w:hAnsi="Times New Roman"/>
          <w:color w:val="000000"/>
          <w:sz w:val="20"/>
          <w:szCs w:val="20"/>
        </w:rPr>
        <w:t>Names of the related parties with whom transactions were carried out during the years and description of relationship: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4038"/>
        <w:gridCol w:w="5491"/>
      </w:tblGrid>
      <w:tr w:rsidR="005B5953" w:rsidRPr="005B12AE" w14:paraId="414076E6" w14:textId="77777777" w:rsidTr="00250DAC">
        <w:trPr>
          <w:trHeight w:val="20"/>
        </w:trPr>
        <w:tc>
          <w:tcPr>
            <w:tcW w:w="443" w:type="pct"/>
            <w:shd w:val="clear" w:color="auto" w:fill="D0CECE" w:themeFill="background2" w:themeFillShade="E6"/>
            <w:vAlign w:val="center"/>
            <w:hideMark/>
          </w:tcPr>
          <w:p w14:paraId="4B00F24A" w14:textId="77777777" w:rsidR="005B5953" w:rsidRPr="005B12AE" w:rsidRDefault="005B5953" w:rsidP="00250DAC">
            <w:pPr>
              <w:spacing w:after="0" w:line="240" w:lineRule="auto"/>
              <w:jc w:val="center"/>
              <w:rPr>
                <w:rFonts w:ascii="Times New Roman" w:hAnsi="Times New Roman"/>
                <w:b/>
                <w:bCs/>
                <w:color w:val="222222"/>
                <w:sz w:val="20"/>
                <w:szCs w:val="20"/>
              </w:rPr>
            </w:pPr>
            <w:r w:rsidRPr="005B12AE">
              <w:rPr>
                <w:rFonts w:ascii="Times New Roman" w:hAnsi="Times New Roman"/>
                <w:b/>
                <w:bCs/>
                <w:color w:val="222222"/>
                <w:sz w:val="20"/>
                <w:szCs w:val="20"/>
              </w:rPr>
              <w:t>Sr. No.</w:t>
            </w:r>
          </w:p>
        </w:tc>
        <w:tc>
          <w:tcPr>
            <w:tcW w:w="1931" w:type="pct"/>
            <w:shd w:val="clear" w:color="auto" w:fill="D0CECE" w:themeFill="background2" w:themeFillShade="E6"/>
            <w:vAlign w:val="center"/>
            <w:hideMark/>
          </w:tcPr>
          <w:p w14:paraId="7E5BD420" w14:textId="77777777" w:rsidR="005B5953" w:rsidRPr="005B12AE" w:rsidRDefault="005B5953" w:rsidP="00250DAC">
            <w:pPr>
              <w:spacing w:after="0" w:line="240" w:lineRule="auto"/>
              <w:jc w:val="center"/>
              <w:rPr>
                <w:rFonts w:ascii="Times New Roman" w:hAnsi="Times New Roman"/>
                <w:b/>
                <w:bCs/>
                <w:color w:val="222222"/>
                <w:sz w:val="20"/>
                <w:szCs w:val="20"/>
              </w:rPr>
            </w:pPr>
            <w:r w:rsidRPr="005B12AE">
              <w:rPr>
                <w:rFonts w:ascii="Times New Roman" w:hAnsi="Times New Roman"/>
                <w:b/>
                <w:bCs/>
                <w:color w:val="222222"/>
                <w:sz w:val="20"/>
                <w:szCs w:val="20"/>
              </w:rPr>
              <w:t>Name of the Person/ Entity</w:t>
            </w:r>
          </w:p>
        </w:tc>
        <w:tc>
          <w:tcPr>
            <w:tcW w:w="2626" w:type="pct"/>
            <w:shd w:val="clear" w:color="auto" w:fill="D0CECE" w:themeFill="background2" w:themeFillShade="E6"/>
            <w:noWrap/>
            <w:vAlign w:val="center"/>
            <w:hideMark/>
          </w:tcPr>
          <w:p w14:paraId="23E5C843" w14:textId="77777777" w:rsidR="005B5953" w:rsidRPr="005B12AE" w:rsidRDefault="005B5953" w:rsidP="00250DAC">
            <w:pPr>
              <w:spacing w:after="0" w:line="240" w:lineRule="auto"/>
              <w:jc w:val="center"/>
              <w:rPr>
                <w:rFonts w:ascii="Times New Roman" w:hAnsi="Times New Roman"/>
                <w:b/>
                <w:bCs/>
                <w:color w:val="222222"/>
                <w:sz w:val="20"/>
                <w:szCs w:val="20"/>
              </w:rPr>
            </w:pPr>
            <w:r w:rsidRPr="005B12AE">
              <w:rPr>
                <w:rFonts w:ascii="Times New Roman" w:hAnsi="Times New Roman"/>
                <w:b/>
                <w:bCs/>
                <w:color w:val="222222"/>
                <w:sz w:val="20"/>
                <w:szCs w:val="20"/>
              </w:rPr>
              <w:t>Relation</w:t>
            </w:r>
          </w:p>
        </w:tc>
      </w:tr>
      <w:tr w:rsidR="005B5953" w:rsidRPr="005B12AE" w14:paraId="70BE5575" w14:textId="77777777" w:rsidTr="00250DAC">
        <w:trPr>
          <w:trHeight w:val="20"/>
        </w:trPr>
        <w:tc>
          <w:tcPr>
            <w:tcW w:w="443" w:type="pct"/>
            <w:shd w:val="clear" w:color="auto" w:fill="auto"/>
            <w:vAlign w:val="center"/>
            <w:hideMark/>
          </w:tcPr>
          <w:p w14:paraId="611E371C" w14:textId="77777777" w:rsidR="005B5953" w:rsidRPr="005B12AE" w:rsidRDefault="005B5953" w:rsidP="00250DAC">
            <w:pPr>
              <w:spacing w:after="0" w:line="240" w:lineRule="auto"/>
              <w:jc w:val="center"/>
              <w:rPr>
                <w:rFonts w:ascii="Times New Roman" w:hAnsi="Times New Roman"/>
                <w:color w:val="222222"/>
                <w:sz w:val="20"/>
                <w:szCs w:val="20"/>
              </w:rPr>
            </w:pPr>
            <w:r w:rsidRPr="005B12AE">
              <w:rPr>
                <w:rFonts w:ascii="Times New Roman" w:hAnsi="Times New Roman"/>
                <w:color w:val="222222"/>
                <w:sz w:val="20"/>
                <w:szCs w:val="20"/>
              </w:rPr>
              <w:t>1</w:t>
            </w:r>
          </w:p>
        </w:tc>
        <w:tc>
          <w:tcPr>
            <w:tcW w:w="1931" w:type="pct"/>
            <w:shd w:val="clear" w:color="auto" w:fill="auto"/>
            <w:hideMark/>
          </w:tcPr>
          <w:p w14:paraId="5F351A0B"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Ramgopal Maheshwari</w:t>
            </w:r>
          </w:p>
        </w:tc>
        <w:tc>
          <w:tcPr>
            <w:tcW w:w="2626" w:type="pct"/>
            <w:shd w:val="clear" w:color="auto" w:fill="auto"/>
            <w:vAlign w:val="center"/>
            <w:hideMark/>
          </w:tcPr>
          <w:p w14:paraId="1334EEEA" w14:textId="77777777" w:rsidR="005B5953" w:rsidRPr="005B12AE" w:rsidRDefault="005B5953" w:rsidP="00250DAC">
            <w:pPr>
              <w:spacing w:after="0" w:line="240" w:lineRule="auto"/>
              <w:jc w:val="both"/>
              <w:rPr>
                <w:rFonts w:ascii="Times New Roman" w:hAnsi="Times New Roman"/>
                <w:color w:val="222222"/>
                <w:sz w:val="20"/>
                <w:szCs w:val="20"/>
              </w:rPr>
            </w:pPr>
            <w:r w:rsidRPr="005B12AE">
              <w:rPr>
                <w:rFonts w:ascii="Times New Roman" w:hAnsi="Times New Roman"/>
                <w:color w:val="222222"/>
                <w:sz w:val="20"/>
                <w:szCs w:val="20"/>
              </w:rPr>
              <w:t>Director &amp; Key Managerial Personnel</w:t>
            </w:r>
          </w:p>
        </w:tc>
      </w:tr>
      <w:tr w:rsidR="005B5953" w:rsidRPr="005B12AE" w14:paraId="1165A2B4" w14:textId="77777777" w:rsidTr="00250DAC">
        <w:trPr>
          <w:trHeight w:val="20"/>
        </w:trPr>
        <w:tc>
          <w:tcPr>
            <w:tcW w:w="443" w:type="pct"/>
            <w:shd w:val="clear" w:color="auto" w:fill="auto"/>
            <w:vAlign w:val="center"/>
            <w:hideMark/>
          </w:tcPr>
          <w:p w14:paraId="50E14A29" w14:textId="77777777" w:rsidR="005B5953" w:rsidRPr="005B12AE" w:rsidRDefault="005B5953" w:rsidP="00250DAC">
            <w:pPr>
              <w:spacing w:after="0" w:line="240" w:lineRule="auto"/>
              <w:jc w:val="center"/>
              <w:rPr>
                <w:rFonts w:ascii="Times New Roman" w:hAnsi="Times New Roman"/>
                <w:color w:val="222222"/>
                <w:sz w:val="20"/>
                <w:szCs w:val="20"/>
              </w:rPr>
            </w:pPr>
            <w:r w:rsidRPr="005B12AE">
              <w:rPr>
                <w:rFonts w:ascii="Times New Roman" w:hAnsi="Times New Roman"/>
                <w:color w:val="222222"/>
                <w:sz w:val="20"/>
                <w:szCs w:val="20"/>
              </w:rPr>
              <w:t>2</w:t>
            </w:r>
          </w:p>
        </w:tc>
        <w:tc>
          <w:tcPr>
            <w:tcW w:w="1931" w:type="pct"/>
            <w:shd w:val="clear" w:color="auto" w:fill="auto"/>
            <w:hideMark/>
          </w:tcPr>
          <w:p w14:paraId="6DE6ED05"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Bhavesh Ramgopal Maheshwari</w:t>
            </w:r>
          </w:p>
        </w:tc>
        <w:tc>
          <w:tcPr>
            <w:tcW w:w="2626" w:type="pct"/>
            <w:shd w:val="clear" w:color="auto" w:fill="auto"/>
            <w:vAlign w:val="center"/>
            <w:hideMark/>
          </w:tcPr>
          <w:p w14:paraId="4F1FC8C2" w14:textId="77777777" w:rsidR="005B5953" w:rsidRPr="005B12AE" w:rsidRDefault="005B5953" w:rsidP="00250DAC">
            <w:pPr>
              <w:spacing w:after="0" w:line="240" w:lineRule="auto"/>
              <w:jc w:val="both"/>
              <w:rPr>
                <w:rFonts w:ascii="Times New Roman" w:hAnsi="Times New Roman"/>
                <w:color w:val="222222"/>
                <w:sz w:val="20"/>
                <w:szCs w:val="20"/>
              </w:rPr>
            </w:pPr>
            <w:r w:rsidRPr="005B12AE">
              <w:rPr>
                <w:rFonts w:ascii="Times New Roman" w:hAnsi="Times New Roman"/>
                <w:color w:val="222222"/>
                <w:sz w:val="20"/>
                <w:szCs w:val="20"/>
              </w:rPr>
              <w:t>Director &amp; Key Managerial Personnel</w:t>
            </w:r>
          </w:p>
        </w:tc>
      </w:tr>
      <w:tr w:rsidR="005B5953" w:rsidRPr="005B12AE" w14:paraId="763099C0" w14:textId="77777777" w:rsidTr="00250DAC">
        <w:trPr>
          <w:trHeight w:val="20"/>
        </w:trPr>
        <w:tc>
          <w:tcPr>
            <w:tcW w:w="443" w:type="pct"/>
            <w:shd w:val="clear" w:color="auto" w:fill="auto"/>
            <w:vAlign w:val="center"/>
            <w:hideMark/>
          </w:tcPr>
          <w:p w14:paraId="031FA045" w14:textId="77777777" w:rsidR="005B5953" w:rsidRPr="005B12AE" w:rsidRDefault="005B5953" w:rsidP="00250DAC">
            <w:pPr>
              <w:spacing w:after="0" w:line="240" w:lineRule="auto"/>
              <w:jc w:val="center"/>
              <w:rPr>
                <w:rFonts w:ascii="Times New Roman" w:hAnsi="Times New Roman"/>
                <w:color w:val="222222"/>
                <w:sz w:val="20"/>
                <w:szCs w:val="20"/>
              </w:rPr>
            </w:pPr>
            <w:r w:rsidRPr="005B12AE">
              <w:rPr>
                <w:rFonts w:ascii="Times New Roman" w:hAnsi="Times New Roman"/>
                <w:color w:val="222222"/>
                <w:sz w:val="20"/>
                <w:szCs w:val="20"/>
              </w:rPr>
              <w:t>3</w:t>
            </w:r>
          </w:p>
        </w:tc>
        <w:tc>
          <w:tcPr>
            <w:tcW w:w="1931" w:type="pct"/>
            <w:shd w:val="clear" w:color="auto" w:fill="auto"/>
            <w:hideMark/>
          </w:tcPr>
          <w:p w14:paraId="6F54387A"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Madhu Ramgopal Maheshwari</w:t>
            </w:r>
          </w:p>
        </w:tc>
        <w:tc>
          <w:tcPr>
            <w:tcW w:w="2626" w:type="pct"/>
            <w:shd w:val="clear" w:color="auto" w:fill="auto"/>
            <w:vAlign w:val="center"/>
            <w:hideMark/>
          </w:tcPr>
          <w:p w14:paraId="0D07901E" w14:textId="77777777" w:rsidR="005B5953" w:rsidRPr="005B12AE" w:rsidRDefault="005B5953" w:rsidP="00250DAC">
            <w:pPr>
              <w:spacing w:after="0" w:line="240" w:lineRule="auto"/>
              <w:jc w:val="both"/>
              <w:rPr>
                <w:rFonts w:ascii="Times New Roman" w:hAnsi="Times New Roman"/>
                <w:color w:val="222222"/>
                <w:sz w:val="20"/>
                <w:szCs w:val="20"/>
              </w:rPr>
            </w:pPr>
            <w:r w:rsidRPr="005B12AE">
              <w:rPr>
                <w:rFonts w:ascii="Times New Roman" w:hAnsi="Times New Roman"/>
                <w:color w:val="222222"/>
                <w:sz w:val="20"/>
                <w:szCs w:val="20"/>
              </w:rPr>
              <w:t>Director &amp; Key Managerial Personnel</w:t>
            </w:r>
          </w:p>
        </w:tc>
      </w:tr>
      <w:tr w:rsidR="005B5953" w:rsidRPr="005B12AE" w14:paraId="0EF6AE22" w14:textId="77777777" w:rsidTr="00250DAC">
        <w:trPr>
          <w:trHeight w:val="20"/>
        </w:trPr>
        <w:tc>
          <w:tcPr>
            <w:tcW w:w="443" w:type="pct"/>
            <w:shd w:val="clear" w:color="auto" w:fill="auto"/>
            <w:vAlign w:val="center"/>
            <w:hideMark/>
          </w:tcPr>
          <w:p w14:paraId="41874633" w14:textId="77777777" w:rsidR="005B5953" w:rsidRPr="005B12AE" w:rsidRDefault="005B5953" w:rsidP="00250DAC">
            <w:pPr>
              <w:spacing w:after="0" w:line="240" w:lineRule="auto"/>
              <w:jc w:val="center"/>
              <w:rPr>
                <w:rFonts w:ascii="Times New Roman" w:hAnsi="Times New Roman"/>
                <w:color w:val="222222"/>
                <w:sz w:val="20"/>
                <w:szCs w:val="20"/>
              </w:rPr>
            </w:pPr>
            <w:r w:rsidRPr="005B12AE">
              <w:rPr>
                <w:rFonts w:ascii="Times New Roman" w:hAnsi="Times New Roman"/>
                <w:color w:val="222222"/>
                <w:sz w:val="20"/>
                <w:szCs w:val="20"/>
              </w:rPr>
              <w:t>4</w:t>
            </w:r>
          </w:p>
        </w:tc>
        <w:tc>
          <w:tcPr>
            <w:tcW w:w="1931" w:type="pct"/>
            <w:shd w:val="clear" w:color="auto" w:fill="auto"/>
            <w:hideMark/>
          </w:tcPr>
          <w:p w14:paraId="7D9CD848"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Nikunj Inani</w:t>
            </w:r>
          </w:p>
        </w:tc>
        <w:tc>
          <w:tcPr>
            <w:tcW w:w="2626" w:type="pct"/>
            <w:shd w:val="clear" w:color="auto" w:fill="auto"/>
            <w:vAlign w:val="center"/>
            <w:hideMark/>
          </w:tcPr>
          <w:p w14:paraId="0522467C" w14:textId="77777777" w:rsidR="005B5953" w:rsidRPr="005B12AE" w:rsidRDefault="005B5953" w:rsidP="00250DAC">
            <w:pPr>
              <w:spacing w:after="0" w:line="240" w:lineRule="auto"/>
              <w:jc w:val="both"/>
              <w:rPr>
                <w:rFonts w:ascii="Times New Roman" w:hAnsi="Times New Roman"/>
                <w:color w:val="222222"/>
                <w:sz w:val="20"/>
                <w:szCs w:val="20"/>
              </w:rPr>
            </w:pPr>
            <w:r w:rsidRPr="005B12AE">
              <w:rPr>
                <w:rFonts w:ascii="Times New Roman" w:hAnsi="Times New Roman"/>
                <w:color w:val="222222"/>
                <w:sz w:val="20"/>
                <w:szCs w:val="20"/>
              </w:rPr>
              <w:t>Director &amp; Key Managerial Personnel (ceased to be director w.e.f. 17-06-2021)</w:t>
            </w:r>
          </w:p>
        </w:tc>
      </w:tr>
      <w:tr w:rsidR="005B5953" w:rsidRPr="005B12AE" w14:paraId="589102C4" w14:textId="77777777" w:rsidTr="00250DAC">
        <w:trPr>
          <w:trHeight w:val="20"/>
        </w:trPr>
        <w:tc>
          <w:tcPr>
            <w:tcW w:w="443" w:type="pct"/>
            <w:shd w:val="clear" w:color="auto" w:fill="auto"/>
            <w:vAlign w:val="center"/>
            <w:hideMark/>
          </w:tcPr>
          <w:p w14:paraId="288312D6" w14:textId="77777777" w:rsidR="005B5953" w:rsidRPr="005B12AE" w:rsidRDefault="005B5953" w:rsidP="00250DAC">
            <w:pPr>
              <w:spacing w:after="0" w:line="240" w:lineRule="auto"/>
              <w:jc w:val="center"/>
              <w:rPr>
                <w:rFonts w:ascii="Times New Roman" w:hAnsi="Times New Roman"/>
                <w:color w:val="222222"/>
                <w:sz w:val="20"/>
                <w:szCs w:val="20"/>
              </w:rPr>
            </w:pPr>
            <w:r w:rsidRPr="005B12AE">
              <w:rPr>
                <w:rFonts w:ascii="Times New Roman" w:hAnsi="Times New Roman"/>
                <w:color w:val="222222"/>
                <w:sz w:val="20"/>
                <w:szCs w:val="20"/>
              </w:rPr>
              <w:t>5</w:t>
            </w:r>
          </w:p>
        </w:tc>
        <w:tc>
          <w:tcPr>
            <w:tcW w:w="1931" w:type="pct"/>
            <w:shd w:val="clear" w:color="auto" w:fill="auto"/>
            <w:hideMark/>
          </w:tcPr>
          <w:p w14:paraId="47767655"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Megha Bhavesh Maheshwari</w:t>
            </w:r>
          </w:p>
        </w:tc>
        <w:tc>
          <w:tcPr>
            <w:tcW w:w="2626" w:type="pct"/>
            <w:shd w:val="clear" w:color="auto" w:fill="auto"/>
            <w:hideMark/>
          </w:tcPr>
          <w:p w14:paraId="26A66582"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Wife of Director</w:t>
            </w:r>
          </w:p>
        </w:tc>
      </w:tr>
      <w:tr w:rsidR="005B5953" w:rsidRPr="005B12AE" w14:paraId="07261558" w14:textId="77777777" w:rsidTr="00250DAC">
        <w:trPr>
          <w:trHeight w:val="20"/>
        </w:trPr>
        <w:tc>
          <w:tcPr>
            <w:tcW w:w="443" w:type="pct"/>
            <w:shd w:val="clear" w:color="auto" w:fill="auto"/>
            <w:vAlign w:val="center"/>
            <w:hideMark/>
          </w:tcPr>
          <w:p w14:paraId="4E24118A" w14:textId="77777777" w:rsidR="005B5953" w:rsidRPr="005B12AE" w:rsidRDefault="005B5953" w:rsidP="00250DAC">
            <w:pPr>
              <w:spacing w:after="0" w:line="240" w:lineRule="auto"/>
              <w:jc w:val="center"/>
              <w:rPr>
                <w:rFonts w:ascii="Times New Roman" w:hAnsi="Times New Roman"/>
                <w:color w:val="222222"/>
                <w:sz w:val="20"/>
                <w:szCs w:val="20"/>
              </w:rPr>
            </w:pPr>
            <w:r w:rsidRPr="005B12AE">
              <w:rPr>
                <w:rFonts w:ascii="Times New Roman" w:hAnsi="Times New Roman"/>
                <w:color w:val="222222"/>
                <w:sz w:val="20"/>
                <w:szCs w:val="20"/>
              </w:rPr>
              <w:t>6</w:t>
            </w:r>
          </w:p>
        </w:tc>
        <w:tc>
          <w:tcPr>
            <w:tcW w:w="1931" w:type="pct"/>
            <w:shd w:val="clear" w:color="auto" w:fill="auto"/>
            <w:hideMark/>
          </w:tcPr>
          <w:p w14:paraId="58C1AA08"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Dwarkadhish Venture Private Limited (formerly known as Siyaram Metals Private Limited)</w:t>
            </w:r>
          </w:p>
        </w:tc>
        <w:tc>
          <w:tcPr>
            <w:tcW w:w="2626" w:type="pct"/>
            <w:shd w:val="clear" w:color="auto" w:fill="auto"/>
            <w:hideMark/>
          </w:tcPr>
          <w:p w14:paraId="18A4D903"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Holding company</w:t>
            </w:r>
          </w:p>
        </w:tc>
      </w:tr>
      <w:tr w:rsidR="005B5953" w:rsidRPr="005B12AE" w14:paraId="794F6E02" w14:textId="77777777" w:rsidTr="00250DAC">
        <w:trPr>
          <w:trHeight w:val="20"/>
        </w:trPr>
        <w:tc>
          <w:tcPr>
            <w:tcW w:w="443" w:type="pct"/>
            <w:shd w:val="clear" w:color="auto" w:fill="auto"/>
            <w:vAlign w:val="center"/>
            <w:hideMark/>
          </w:tcPr>
          <w:p w14:paraId="5B0D8EDC" w14:textId="77777777" w:rsidR="005B5953" w:rsidRPr="005B12AE" w:rsidRDefault="005B5953" w:rsidP="00250DAC">
            <w:pPr>
              <w:spacing w:after="0" w:line="240" w:lineRule="auto"/>
              <w:jc w:val="center"/>
              <w:rPr>
                <w:rFonts w:ascii="Times New Roman" w:hAnsi="Times New Roman"/>
                <w:color w:val="222222"/>
                <w:sz w:val="20"/>
                <w:szCs w:val="20"/>
              </w:rPr>
            </w:pPr>
            <w:r w:rsidRPr="005B12AE">
              <w:rPr>
                <w:rFonts w:ascii="Times New Roman" w:hAnsi="Times New Roman"/>
                <w:color w:val="222222"/>
                <w:sz w:val="20"/>
                <w:szCs w:val="20"/>
              </w:rPr>
              <w:t>7</w:t>
            </w:r>
          </w:p>
        </w:tc>
        <w:tc>
          <w:tcPr>
            <w:tcW w:w="1931" w:type="pct"/>
            <w:shd w:val="clear" w:color="auto" w:fill="auto"/>
            <w:noWrap/>
            <w:vAlign w:val="bottom"/>
            <w:hideMark/>
          </w:tcPr>
          <w:p w14:paraId="322E691C"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Gurukrupa Metals</w:t>
            </w:r>
          </w:p>
        </w:tc>
        <w:tc>
          <w:tcPr>
            <w:tcW w:w="2626" w:type="pct"/>
            <w:shd w:val="clear" w:color="auto" w:fill="auto"/>
            <w:vAlign w:val="center"/>
            <w:hideMark/>
          </w:tcPr>
          <w:p w14:paraId="3983332F" w14:textId="77777777" w:rsidR="005B5953" w:rsidRPr="005B12AE" w:rsidRDefault="005B5953" w:rsidP="00250DAC">
            <w:pPr>
              <w:spacing w:after="0" w:line="240" w:lineRule="auto"/>
              <w:jc w:val="both"/>
              <w:rPr>
                <w:rFonts w:ascii="Times New Roman" w:hAnsi="Times New Roman"/>
                <w:color w:val="222222"/>
                <w:sz w:val="20"/>
                <w:szCs w:val="20"/>
              </w:rPr>
            </w:pPr>
            <w:r w:rsidRPr="005B12AE">
              <w:rPr>
                <w:rFonts w:ascii="Times New Roman" w:hAnsi="Times New Roman"/>
                <w:color w:val="222222"/>
                <w:sz w:val="20"/>
                <w:szCs w:val="20"/>
              </w:rPr>
              <w:t>Enterprise under Influence of Key Managerial Personnel</w:t>
            </w:r>
          </w:p>
        </w:tc>
      </w:tr>
      <w:tr w:rsidR="005B5953" w:rsidRPr="005B12AE" w14:paraId="16FDD0B9" w14:textId="77777777" w:rsidTr="00250DAC">
        <w:trPr>
          <w:trHeight w:val="20"/>
        </w:trPr>
        <w:tc>
          <w:tcPr>
            <w:tcW w:w="443" w:type="pct"/>
            <w:shd w:val="clear" w:color="auto" w:fill="auto"/>
            <w:vAlign w:val="center"/>
            <w:hideMark/>
          </w:tcPr>
          <w:p w14:paraId="773C3E0E" w14:textId="77777777" w:rsidR="005B5953" w:rsidRPr="005B12AE" w:rsidRDefault="005B5953" w:rsidP="00250DAC">
            <w:pPr>
              <w:spacing w:after="0" w:line="240" w:lineRule="auto"/>
              <w:jc w:val="center"/>
              <w:rPr>
                <w:rFonts w:ascii="Times New Roman" w:hAnsi="Times New Roman"/>
                <w:color w:val="222222"/>
                <w:sz w:val="20"/>
                <w:szCs w:val="20"/>
              </w:rPr>
            </w:pPr>
            <w:r w:rsidRPr="005B12AE">
              <w:rPr>
                <w:rFonts w:ascii="Times New Roman" w:hAnsi="Times New Roman"/>
                <w:color w:val="222222"/>
                <w:sz w:val="20"/>
                <w:szCs w:val="20"/>
              </w:rPr>
              <w:t>8</w:t>
            </w:r>
          </w:p>
        </w:tc>
        <w:tc>
          <w:tcPr>
            <w:tcW w:w="1931" w:type="pct"/>
            <w:shd w:val="clear" w:color="auto" w:fill="auto"/>
            <w:noWrap/>
            <w:vAlign w:val="bottom"/>
            <w:hideMark/>
          </w:tcPr>
          <w:p w14:paraId="5D259EB0"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Dwarkesh Alloys Pvt Ltd</w:t>
            </w:r>
          </w:p>
        </w:tc>
        <w:tc>
          <w:tcPr>
            <w:tcW w:w="2626" w:type="pct"/>
            <w:shd w:val="clear" w:color="auto" w:fill="auto"/>
            <w:vAlign w:val="center"/>
            <w:hideMark/>
          </w:tcPr>
          <w:p w14:paraId="0745ACAB" w14:textId="77777777" w:rsidR="005B5953" w:rsidRPr="005B12AE" w:rsidRDefault="005B5953" w:rsidP="00250DAC">
            <w:pPr>
              <w:spacing w:after="0" w:line="240" w:lineRule="auto"/>
              <w:jc w:val="both"/>
              <w:rPr>
                <w:rFonts w:ascii="Times New Roman" w:hAnsi="Times New Roman"/>
                <w:color w:val="222222"/>
                <w:sz w:val="20"/>
                <w:szCs w:val="20"/>
              </w:rPr>
            </w:pPr>
            <w:r w:rsidRPr="005B12AE">
              <w:rPr>
                <w:rFonts w:ascii="Times New Roman" w:hAnsi="Times New Roman"/>
                <w:color w:val="222222"/>
                <w:sz w:val="20"/>
                <w:szCs w:val="20"/>
              </w:rPr>
              <w:t>Enterprise under Influence of Key Managerial Personnel</w:t>
            </w:r>
          </w:p>
        </w:tc>
      </w:tr>
      <w:tr w:rsidR="005B5953" w:rsidRPr="005B12AE" w14:paraId="7F1DF824" w14:textId="77777777" w:rsidTr="00250DAC">
        <w:trPr>
          <w:trHeight w:val="20"/>
        </w:trPr>
        <w:tc>
          <w:tcPr>
            <w:tcW w:w="443" w:type="pct"/>
            <w:shd w:val="clear" w:color="auto" w:fill="auto"/>
            <w:vAlign w:val="center"/>
            <w:hideMark/>
          </w:tcPr>
          <w:p w14:paraId="223D1051" w14:textId="77777777" w:rsidR="005B5953" w:rsidRPr="005B12AE" w:rsidRDefault="005B5953" w:rsidP="00250DAC">
            <w:pPr>
              <w:spacing w:after="0" w:line="240" w:lineRule="auto"/>
              <w:jc w:val="center"/>
              <w:rPr>
                <w:rFonts w:ascii="Times New Roman" w:hAnsi="Times New Roman"/>
                <w:color w:val="222222"/>
                <w:sz w:val="20"/>
                <w:szCs w:val="20"/>
              </w:rPr>
            </w:pPr>
            <w:r w:rsidRPr="005B12AE">
              <w:rPr>
                <w:rFonts w:ascii="Times New Roman" w:hAnsi="Times New Roman"/>
                <w:color w:val="222222"/>
                <w:sz w:val="20"/>
                <w:szCs w:val="20"/>
              </w:rPr>
              <w:t>9</w:t>
            </w:r>
          </w:p>
        </w:tc>
        <w:tc>
          <w:tcPr>
            <w:tcW w:w="1931" w:type="pct"/>
            <w:shd w:val="clear" w:color="auto" w:fill="auto"/>
            <w:noWrap/>
            <w:vAlign w:val="bottom"/>
            <w:hideMark/>
          </w:tcPr>
          <w:p w14:paraId="1BA7B55D"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Simpex Overseas Pvt Ltd</w:t>
            </w:r>
          </w:p>
        </w:tc>
        <w:tc>
          <w:tcPr>
            <w:tcW w:w="2626" w:type="pct"/>
            <w:shd w:val="clear" w:color="auto" w:fill="auto"/>
            <w:vAlign w:val="center"/>
            <w:hideMark/>
          </w:tcPr>
          <w:p w14:paraId="0BE584A2" w14:textId="77777777" w:rsidR="005B5953" w:rsidRPr="005B12AE" w:rsidRDefault="005B5953" w:rsidP="00250DAC">
            <w:pPr>
              <w:spacing w:after="0" w:line="240" w:lineRule="auto"/>
              <w:jc w:val="both"/>
              <w:rPr>
                <w:rFonts w:ascii="Times New Roman" w:hAnsi="Times New Roman"/>
                <w:color w:val="222222"/>
                <w:sz w:val="20"/>
                <w:szCs w:val="20"/>
              </w:rPr>
            </w:pPr>
            <w:r w:rsidRPr="005B12AE">
              <w:rPr>
                <w:rFonts w:ascii="Times New Roman" w:hAnsi="Times New Roman"/>
                <w:color w:val="222222"/>
                <w:sz w:val="20"/>
                <w:szCs w:val="20"/>
              </w:rPr>
              <w:t>Enterprise under Influence of Key Managerial Personnel</w:t>
            </w:r>
          </w:p>
        </w:tc>
      </w:tr>
      <w:tr w:rsidR="005B5953" w:rsidRPr="005B12AE" w14:paraId="19BC4C82" w14:textId="77777777" w:rsidTr="00250DAC">
        <w:trPr>
          <w:trHeight w:val="20"/>
        </w:trPr>
        <w:tc>
          <w:tcPr>
            <w:tcW w:w="443" w:type="pct"/>
            <w:shd w:val="clear" w:color="auto" w:fill="auto"/>
            <w:vAlign w:val="center"/>
            <w:hideMark/>
          </w:tcPr>
          <w:p w14:paraId="3BC56D3F" w14:textId="77777777" w:rsidR="005B5953" w:rsidRPr="005B12AE" w:rsidRDefault="005B5953" w:rsidP="00250DAC">
            <w:pPr>
              <w:spacing w:after="0" w:line="240" w:lineRule="auto"/>
              <w:jc w:val="center"/>
              <w:rPr>
                <w:rFonts w:ascii="Times New Roman" w:hAnsi="Times New Roman"/>
                <w:color w:val="222222"/>
                <w:sz w:val="20"/>
                <w:szCs w:val="20"/>
              </w:rPr>
            </w:pPr>
            <w:r w:rsidRPr="005B12AE">
              <w:rPr>
                <w:rFonts w:ascii="Times New Roman" w:hAnsi="Times New Roman"/>
                <w:color w:val="222222"/>
                <w:sz w:val="20"/>
                <w:szCs w:val="20"/>
              </w:rPr>
              <w:t>10</w:t>
            </w:r>
          </w:p>
        </w:tc>
        <w:tc>
          <w:tcPr>
            <w:tcW w:w="1931" w:type="pct"/>
            <w:shd w:val="clear" w:color="auto" w:fill="auto"/>
            <w:noWrap/>
            <w:vAlign w:val="bottom"/>
            <w:hideMark/>
          </w:tcPr>
          <w:p w14:paraId="1FFCE095"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Apex Devcon Pvt Ltd</w:t>
            </w:r>
          </w:p>
        </w:tc>
        <w:tc>
          <w:tcPr>
            <w:tcW w:w="2626" w:type="pct"/>
            <w:shd w:val="clear" w:color="auto" w:fill="auto"/>
            <w:vAlign w:val="center"/>
            <w:hideMark/>
          </w:tcPr>
          <w:p w14:paraId="43406DAD" w14:textId="77777777" w:rsidR="005B5953" w:rsidRPr="005B12AE" w:rsidRDefault="005B5953" w:rsidP="00250DAC">
            <w:pPr>
              <w:spacing w:after="0" w:line="240" w:lineRule="auto"/>
              <w:jc w:val="both"/>
              <w:rPr>
                <w:rFonts w:ascii="Times New Roman" w:hAnsi="Times New Roman"/>
                <w:color w:val="222222"/>
                <w:sz w:val="20"/>
                <w:szCs w:val="20"/>
              </w:rPr>
            </w:pPr>
            <w:r w:rsidRPr="005B12AE">
              <w:rPr>
                <w:rFonts w:ascii="Times New Roman" w:hAnsi="Times New Roman"/>
                <w:color w:val="222222"/>
                <w:sz w:val="20"/>
                <w:szCs w:val="20"/>
              </w:rPr>
              <w:t>Enterprise under Influence of Key Managerial Personnel</w:t>
            </w:r>
          </w:p>
        </w:tc>
      </w:tr>
    </w:tbl>
    <w:p w14:paraId="67CFD5B7" w14:textId="77777777" w:rsidR="005B5953" w:rsidRPr="005B12AE" w:rsidRDefault="005B5953" w:rsidP="005B5953">
      <w:pPr>
        <w:spacing w:after="0"/>
        <w:ind w:left="270" w:hanging="270"/>
        <w:jc w:val="both"/>
        <w:rPr>
          <w:rFonts w:ascii="Times New Roman" w:hAnsi="Times New Roman"/>
          <w:b/>
          <w:bCs/>
          <w:sz w:val="20"/>
          <w:szCs w:val="20"/>
        </w:rPr>
      </w:pPr>
    </w:p>
    <w:p w14:paraId="2B46BA0E" w14:textId="77777777" w:rsidR="005B5953" w:rsidRPr="005B12AE" w:rsidRDefault="005B5953" w:rsidP="005B5953">
      <w:pPr>
        <w:spacing w:after="0"/>
        <w:rPr>
          <w:rFonts w:ascii="Times New Roman" w:hAnsi="Times New Roman"/>
          <w:b/>
          <w:bCs/>
          <w:color w:val="000000"/>
          <w:sz w:val="20"/>
          <w:szCs w:val="20"/>
        </w:rPr>
      </w:pPr>
      <w:r w:rsidRPr="005B12AE">
        <w:rPr>
          <w:rFonts w:ascii="Times New Roman" w:hAnsi="Times New Roman"/>
          <w:b/>
          <w:bCs/>
          <w:color w:val="000000"/>
          <w:sz w:val="20"/>
          <w:szCs w:val="20"/>
        </w:rPr>
        <w:t>B. RELATED PARTY TRANSACTIONS</w:t>
      </w:r>
    </w:p>
    <w:p w14:paraId="535C6621" w14:textId="77777777" w:rsidR="005B5953" w:rsidRPr="005B12AE" w:rsidRDefault="005B5953" w:rsidP="005B5953">
      <w:pPr>
        <w:spacing w:after="0"/>
        <w:jc w:val="right"/>
        <w:rPr>
          <w:rFonts w:ascii="Times New Roman" w:hAnsi="Times New Roman"/>
          <w:b/>
          <w:bCs/>
          <w:sz w:val="20"/>
          <w:szCs w:val="20"/>
        </w:rPr>
      </w:pPr>
      <w:r w:rsidRPr="005B12AE">
        <w:rPr>
          <w:rFonts w:ascii="Times New Roman" w:hAnsi="Times New Roman"/>
          <w:b/>
          <w:bCs/>
          <w:sz w:val="20"/>
          <w:szCs w:val="20"/>
        </w:rPr>
        <w:t>(₹ in Lakhs)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
        <w:gridCol w:w="2499"/>
        <w:gridCol w:w="2796"/>
        <w:gridCol w:w="1399"/>
        <w:gridCol w:w="1677"/>
        <w:gridCol w:w="1606"/>
      </w:tblGrid>
      <w:tr w:rsidR="005B5953" w:rsidRPr="005B12AE" w14:paraId="26E19874" w14:textId="77777777" w:rsidTr="00250DAC">
        <w:trPr>
          <w:trHeight w:val="20"/>
          <w:tblHeader/>
        </w:trPr>
        <w:tc>
          <w:tcPr>
            <w:tcW w:w="229" w:type="pct"/>
            <w:shd w:val="clear" w:color="auto" w:fill="D0CECE" w:themeFill="background2" w:themeFillShade="E6"/>
            <w:vAlign w:val="center"/>
            <w:hideMark/>
          </w:tcPr>
          <w:p w14:paraId="1AC6DEED"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Sr No</w:t>
            </w:r>
          </w:p>
        </w:tc>
        <w:tc>
          <w:tcPr>
            <w:tcW w:w="1195" w:type="pct"/>
            <w:shd w:val="clear" w:color="auto" w:fill="D0CECE" w:themeFill="background2" w:themeFillShade="E6"/>
            <w:vAlign w:val="center"/>
            <w:hideMark/>
          </w:tcPr>
          <w:p w14:paraId="5A62E2E4" w14:textId="77777777" w:rsidR="005B5953" w:rsidRPr="005B12AE" w:rsidRDefault="005B5953" w:rsidP="00250DAC">
            <w:pPr>
              <w:spacing w:after="0" w:line="240" w:lineRule="auto"/>
              <w:rPr>
                <w:rFonts w:ascii="Times New Roman" w:hAnsi="Times New Roman"/>
                <w:b/>
                <w:bCs/>
                <w:color w:val="000000"/>
                <w:sz w:val="20"/>
                <w:szCs w:val="20"/>
              </w:rPr>
            </w:pPr>
            <w:r w:rsidRPr="005B12AE">
              <w:rPr>
                <w:rFonts w:ascii="Times New Roman" w:hAnsi="Times New Roman"/>
                <w:b/>
                <w:bCs/>
                <w:color w:val="000000"/>
                <w:sz w:val="20"/>
                <w:szCs w:val="20"/>
              </w:rPr>
              <w:t>Name of Party</w:t>
            </w:r>
          </w:p>
        </w:tc>
        <w:tc>
          <w:tcPr>
            <w:tcW w:w="1337" w:type="pct"/>
            <w:shd w:val="clear" w:color="auto" w:fill="D0CECE" w:themeFill="background2" w:themeFillShade="E6"/>
            <w:vAlign w:val="center"/>
            <w:hideMark/>
          </w:tcPr>
          <w:p w14:paraId="1EA738E5"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Nature of Transaction</w:t>
            </w:r>
          </w:p>
        </w:tc>
        <w:tc>
          <w:tcPr>
            <w:tcW w:w="669" w:type="pct"/>
            <w:shd w:val="clear" w:color="auto" w:fill="D0CECE" w:themeFill="background2" w:themeFillShade="E6"/>
            <w:hideMark/>
          </w:tcPr>
          <w:p w14:paraId="103E6A88"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As on 31</w:t>
            </w:r>
            <w:r w:rsidRPr="005B12AE">
              <w:rPr>
                <w:rFonts w:ascii="Times New Roman" w:hAnsi="Times New Roman"/>
                <w:b/>
                <w:bCs/>
                <w:color w:val="000000"/>
                <w:sz w:val="20"/>
                <w:szCs w:val="20"/>
                <w:vertAlign w:val="superscript"/>
              </w:rPr>
              <w:t>st</w:t>
            </w:r>
            <w:r w:rsidRPr="005B12AE">
              <w:rPr>
                <w:rFonts w:ascii="Times New Roman" w:hAnsi="Times New Roman"/>
                <w:b/>
                <w:bCs/>
                <w:color w:val="000000"/>
                <w:sz w:val="20"/>
                <w:szCs w:val="20"/>
              </w:rPr>
              <w:t xml:space="preserve"> March, 2023</w:t>
            </w:r>
          </w:p>
        </w:tc>
        <w:tc>
          <w:tcPr>
            <w:tcW w:w="802" w:type="pct"/>
            <w:shd w:val="clear" w:color="auto" w:fill="D0CECE" w:themeFill="background2" w:themeFillShade="E6"/>
            <w:hideMark/>
          </w:tcPr>
          <w:p w14:paraId="4589A5DE"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As on 31</w:t>
            </w:r>
            <w:r w:rsidRPr="005B12AE">
              <w:rPr>
                <w:rFonts w:ascii="Times New Roman" w:hAnsi="Times New Roman"/>
                <w:b/>
                <w:bCs/>
                <w:color w:val="000000"/>
                <w:sz w:val="20"/>
                <w:szCs w:val="20"/>
                <w:vertAlign w:val="superscript"/>
              </w:rPr>
              <w:t>st</w:t>
            </w:r>
            <w:r w:rsidRPr="005B12AE">
              <w:rPr>
                <w:rFonts w:ascii="Times New Roman" w:hAnsi="Times New Roman"/>
                <w:b/>
                <w:bCs/>
                <w:color w:val="000000"/>
                <w:sz w:val="20"/>
                <w:szCs w:val="20"/>
              </w:rPr>
              <w:t xml:space="preserve"> March, 2022</w:t>
            </w:r>
          </w:p>
        </w:tc>
        <w:tc>
          <w:tcPr>
            <w:tcW w:w="768" w:type="pct"/>
            <w:shd w:val="clear" w:color="auto" w:fill="D0CECE" w:themeFill="background2" w:themeFillShade="E6"/>
            <w:hideMark/>
          </w:tcPr>
          <w:p w14:paraId="4CAD13E8"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As on 31</w:t>
            </w:r>
            <w:r w:rsidRPr="005B12AE">
              <w:rPr>
                <w:rFonts w:ascii="Times New Roman" w:hAnsi="Times New Roman"/>
                <w:b/>
                <w:bCs/>
                <w:color w:val="000000"/>
                <w:sz w:val="20"/>
                <w:szCs w:val="20"/>
                <w:vertAlign w:val="superscript"/>
              </w:rPr>
              <w:t>st</w:t>
            </w:r>
            <w:r w:rsidRPr="005B12AE">
              <w:rPr>
                <w:rFonts w:ascii="Times New Roman" w:hAnsi="Times New Roman"/>
                <w:b/>
                <w:bCs/>
                <w:color w:val="000000"/>
                <w:sz w:val="20"/>
                <w:szCs w:val="20"/>
              </w:rPr>
              <w:t xml:space="preserve"> March, 2021</w:t>
            </w:r>
          </w:p>
        </w:tc>
      </w:tr>
      <w:tr w:rsidR="005B5953" w:rsidRPr="005B12AE" w14:paraId="59A4B76E" w14:textId="77777777" w:rsidTr="00250DAC">
        <w:trPr>
          <w:trHeight w:val="20"/>
        </w:trPr>
        <w:tc>
          <w:tcPr>
            <w:tcW w:w="229" w:type="pct"/>
            <w:vMerge w:val="restart"/>
            <w:shd w:val="clear" w:color="auto" w:fill="auto"/>
            <w:vAlign w:val="center"/>
            <w:hideMark/>
          </w:tcPr>
          <w:p w14:paraId="37A26691"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1</w:t>
            </w:r>
          </w:p>
          <w:p w14:paraId="6C45AD01"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p w14:paraId="480AE185"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p w14:paraId="647A835B"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p w14:paraId="4B0E244E"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p w14:paraId="7893B3E7"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tc>
        <w:tc>
          <w:tcPr>
            <w:tcW w:w="1195" w:type="pct"/>
            <w:vMerge w:val="restart"/>
            <w:shd w:val="clear" w:color="auto" w:fill="auto"/>
            <w:hideMark/>
          </w:tcPr>
          <w:p w14:paraId="55699084"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Ramgopal Maheshwari</w:t>
            </w:r>
          </w:p>
        </w:tc>
        <w:tc>
          <w:tcPr>
            <w:tcW w:w="1337" w:type="pct"/>
            <w:shd w:val="clear" w:color="auto" w:fill="auto"/>
            <w:vAlign w:val="center"/>
            <w:hideMark/>
          </w:tcPr>
          <w:p w14:paraId="4DD9EB7F" w14:textId="77777777" w:rsidR="005B5953" w:rsidRPr="005B12AE" w:rsidRDefault="005B5953"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t>Opening Balance</w:t>
            </w:r>
          </w:p>
        </w:tc>
        <w:tc>
          <w:tcPr>
            <w:tcW w:w="669" w:type="pct"/>
            <w:shd w:val="clear" w:color="auto" w:fill="auto"/>
            <w:noWrap/>
            <w:vAlign w:val="bottom"/>
            <w:hideMark/>
          </w:tcPr>
          <w:p w14:paraId="3C2C554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167.14</w:t>
            </w:r>
          </w:p>
        </w:tc>
        <w:tc>
          <w:tcPr>
            <w:tcW w:w="802" w:type="pct"/>
            <w:shd w:val="clear" w:color="auto" w:fill="auto"/>
            <w:noWrap/>
            <w:vAlign w:val="bottom"/>
            <w:hideMark/>
          </w:tcPr>
          <w:p w14:paraId="0BD0857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181.02</w:t>
            </w:r>
          </w:p>
        </w:tc>
        <w:tc>
          <w:tcPr>
            <w:tcW w:w="768" w:type="pct"/>
            <w:shd w:val="clear" w:color="auto" w:fill="auto"/>
            <w:noWrap/>
            <w:vAlign w:val="bottom"/>
            <w:hideMark/>
          </w:tcPr>
          <w:p w14:paraId="599C3B8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633.90</w:t>
            </w:r>
          </w:p>
        </w:tc>
      </w:tr>
      <w:tr w:rsidR="005B5953" w:rsidRPr="005B12AE" w14:paraId="564837C8" w14:textId="77777777" w:rsidTr="00250DAC">
        <w:trPr>
          <w:trHeight w:val="20"/>
        </w:trPr>
        <w:tc>
          <w:tcPr>
            <w:tcW w:w="229" w:type="pct"/>
            <w:vMerge/>
            <w:shd w:val="clear" w:color="auto" w:fill="auto"/>
            <w:noWrap/>
            <w:vAlign w:val="bottom"/>
            <w:hideMark/>
          </w:tcPr>
          <w:p w14:paraId="1F1DEDCD" w14:textId="77777777" w:rsidR="005B5953" w:rsidRPr="005B12AE" w:rsidRDefault="005B5953" w:rsidP="00250DAC">
            <w:pPr>
              <w:spacing w:after="0" w:line="240" w:lineRule="auto"/>
              <w:jc w:val="center"/>
              <w:rPr>
                <w:rFonts w:ascii="Times New Roman" w:hAnsi="Times New Roman"/>
                <w:sz w:val="20"/>
                <w:szCs w:val="20"/>
              </w:rPr>
            </w:pPr>
          </w:p>
        </w:tc>
        <w:tc>
          <w:tcPr>
            <w:tcW w:w="1195" w:type="pct"/>
            <w:vMerge/>
            <w:shd w:val="clear" w:color="auto" w:fill="auto"/>
            <w:noWrap/>
            <w:vAlign w:val="bottom"/>
            <w:hideMark/>
          </w:tcPr>
          <w:p w14:paraId="5A388818" w14:textId="77777777" w:rsidR="005B5953" w:rsidRPr="005B12AE" w:rsidRDefault="005B5953" w:rsidP="00250DAC">
            <w:pPr>
              <w:spacing w:after="0" w:line="240" w:lineRule="auto"/>
              <w:rPr>
                <w:rFonts w:ascii="Times New Roman" w:hAnsi="Times New Roman"/>
                <w:sz w:val="20"/>
                <w:szCs w:val="20"/>
              </w:rPr>
            </w:pPr>
          </w:p>
        </w:tc>
        <w:tc>
          <w:tcPr>
            <w:tcW w:w="1337" w:type="pct"/>
            <w:shd w:val="clear" w:color="auto" w:fill="auto"/>
            <w:vAlign w:val="center"/>
            <w:hideMark/>
          </w:tcPr>
          <w:p w14:paraId="45C9EA84" w14:textId="77777777" w:rsidR="005B5953" w:rsidRPr="005B12AE" w:rsidRDefault="005B5953"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t xml:space="preserve">Director Remuneration </w:t>
            </w:r>
          </w:p>
        </w:tc>
        <w:tc>
          <w:tcPr>
            <w:tcW w:w="669" w:type="pct"/>
            <w:shd w:val="clear" w:color="auto" w:fill="auto"/>
            <w:noWrap/>
            <w:vAlign w:val="bottom"/>
            <w:hideMark/>
          </w:tcPr>
          <w:p w14:paraId="6E36B61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42.00</w:t>
            </w:r>
          </w:p>
        </w:tc>
        <w:tc>
          <w:tcPr>
            <w:tcW w:w="802" w:type="pct"/>
            <w:shd w:val="clear" w:color="auto" w:fill="auto"/>
            <w:noWrap/>
            <w:vAlign w:val="bottom"/>
            <w:hideMark/>
          </w:tcPr>
          <w:p w14:paraId="43F3D4D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40.00</w:t>
            </w:r>
          </w:p>
        </w:tc>
        <w:tc>
          <w:tcPr>
            <w:tcW w:w="768" w:type="pct"/>
            <w:shd w:val="clear" w:color="auto" w:fill="auto"/>
            <w:noWrap/>
            <w:vAlign w:val="bottom"/>
            <w:hideMark/>
          </w:tcPr>
          <w:p w14:paraId="7C39F3B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36.00</w:t>
            </w:r>
          </w:p>
        </w:tc>
      </w:tr>
      <w:tr w:rsidR="005B5953" w:rsidRPr="005B12AE" w14:paraId="532E9BB4" w14:textId="77777777" w:rsidTr="00250DAC">
        <w:trPr>
          <w:trHeight w:val="20"/>
        </w:trPr>
        <w:tc>
          <w:tcPr>
            <w:tcW w:w="229" w:type="pct"/>
            <w:vMerge/>
            <w:shd w:val="clear" w:color="auto" w:fill="auto"/>
            <w:noWrap/>
            <w:vAlign w:val="bottom"/>
            <w:hideMark/>
          </w:tcPr>
          <w:p w14:paraId="2B90CE65" w14:textId="77777777" w:rsidR="005B5953" w:rsidRPr="005B12AE" w:rsidRDefault="005B5953" w:rsidP="00250DAC">
            <w:pPr>
              <w:spacing w:after="0" w:line="240" w:lineRule="auto"/>
              <w:jc w:val="center"/>
              <w:rPr>
                <w:rFonts w:ascii="Times New Roman" w:hAnsi="Times New Roman"/>
                <w:sz w:val="20"/>
                <w:szCs w:val="20"/>
              </w:rPr>
            </w:pPr>
          </w:p>
        </w:tc>
        <w:tc>
          <w:tcPr>
            <w:tcW w:w="1195" w:type="pct"/>
            <w:vMerge/>
            <w:shd w:val="clear" w:color="auto" w:fill="auto"/>
            <w:noWrap/>
            <w:vAlign w:val="bottom"/>
            <w:hideMark/>
          </w:tcPr>
          <w:p w14:paraId="6D4AD141" w14:textId="77777777" w:rsidR="005B5953" w:rsidRPr="005B12AE" w:rsidRDefault="005B5953" w:rsidP="00250DAC">
            <w:pPr>
              <w:spacing w:after="0" w:line="240" w:lineRule="auto"/>
              <w:rPr>
                <w:rFonts w:ascii="Times New Roman" w:hAnsi="Times New Roman"/>
                <w:sz w:val="20"/>
                <w:szCs w:val="20"/>
              </w:rPr>
            </w:pPr>
          </w:p>
        </w:tc>
        <w:tc>
          <w:tcPr>
            <w:tcW w:w="1337" w:type="pct"/>
            <w:shd w:val="clear" w:color="auto" w:fill="auto"/>
            <w:vAlign w:val="center"/>
            <w:hideMark/>
          </w:tcPr>
          <w:p w14:paraId="6A4A9F46" w14:textId="77777777" w:rsidR="005B5953" w:rsidRPr="005B12AE" w:rsidRDefault="005B5953"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t>Rent Expense</w:t>
            </w:r>
          </w:p>
        </w:tc>
        <w:tc>
          <w:tcPr>
            <w:tcW w:w="669" w:type="pct"/>
            <w:shd w:val="clear" w:color="auto" w:fill="auto"/>
            <w:noWrap/>
            <w:vAlign w:val="bottom"/>
            <w:hideMark/>
          </w:tcPr>
          <w:p w14:paraId="4BCD399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2.40</w:t>
            </w:r>
          </w:p>
        </w:tc>
        <w:tc>
          <w:tcPr>
            <w:tcW w:w="802" w:type="pct"/>
            <w:shd w:val="clear" w:color="auto" w:fill="auto"/>
            <w:noWrap/>
            <w:vAlign w:val="bottom"/>
            <w:hideMark/>
          </w:tcPr>
          <w:p w14:paraId="1B2724A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2.40</w:t>
            </w:r>
          </w:p>
        </w:tc>
        <w:tc>
          <w:tcPr>
            <w:tcW w:w="768" w:type="pct"/>
            <w:shd w:val="clear" w:color="auto" w:fill="auto"/>
            <w:noWrap/>
            <w:vAlign w:val="bottom"/>
            <w:hideMark/>
          </w:tcPr>
          <w:p w14:paraId="47B7045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2.40</w:t>
            </w:r>
          </w:p>
        </w:tc>
      </w:tr>
      <w:tr w:rsidR="005B5953" w:rsidRPr="005B12AE" w14:paraId="1181E4B5" w14:textId="77777777" w:rsidTr="00250DAC">
        <w:trPr>
          <w:trHeight w:val="20"/>
        </w:trPr>
        <w:tc>
          <w:tcPr>
            <w:tcW w:w="229" w:type="pct"/>
            <w:vMerge/>
            <w:shd w:val="clear" w:color="auto" w:fill="auto"/>
            <w:vAlign w:val="center"/>
            <w:hideMark/>
          </w:tcPr>
          <w:p w14:paraId="3E182C45" w14:textId="77777777" w:rsidR="005B5953" w:rsidRPr="005B12AE" w:rsidRDefault="005B5953" w:rsidP="00250DAC">
            <w:pPr>
              <w:spacing w:after="0" w:line="240" w:lineRule="auto"/>
              <w:jc w:val="center"/>
              <w:rPr>
                <w:rFonts w:ascii="Times New Roman" w:hAnsi="Times New Roman"/>
                <w:color w:val="000000"/>
                <w:sz w:val="20"/>
                <w:szCs w:val="20"/>
              </w:rPr>
            </w:pPr>
          </w:p>
        </w:tc>
        <w:tc>
          <w:tcPr>
            <w:tcW w:w="1195" w:type="pct"/>
            <w:vMerge/>
            <w:shd w:val="clear" w:color="auto" w:fill="auto"/>
            <w:hideMark/>
          </w:tcPr>
          <w:p w14:paraId="406731C7" w14:textId="77777777" w:rsidR="005B5953" w:rsidRPr="005B12AE" w:rsidRDefault="005B5953" w:rsidP="00250DAC">
            <w:pPr>
              <w:spacing w:after="0" w:line="240" w:lineRule="auto"/>
              <w:rPr>
                <w:rFonts w:ascii="Times New Roman" w:hAnsi="Times New Roman"/>
                <w:sz w:val="20"/>
                <w:szCs w:val="20"/>
              </w:rPr>
            </w:pPr>
          </w:p>
        </w:tc>
        <w:tc>
          <w:tcPr>
            <w:tcW w:w="1337" w:type="pct"/>
            <w:shd w:val="clear" w:color="auto" w:fill="auto"/>
            <w:hideMark/>
          </w:tcPr>
          <w:p w14:paraId="51ED698C"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loan accepted</w:t>
            </w:r>
          </w:p>
        </w:tc>
        <w:tc>
          <w:tcPr>
            <w:tcW w:w="669" w:type="pct"/>
            <w:shd w:val="clear" w:color="auto" w:fill="auto"/>
            <w:noWrap/>
            <w:vAlign w:val="bottom"/>
            <w:hideMark/>
          </w:tcPr>
          <w:p w14:paraId="1BF6F9E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165.66</w:t>
            </w:r>
          </w:p>
        </w:tc>
        <w:tc>
          <w:tcPr>
            <w:tcW w:w="802" w:type="pct"/>
            <w:shd w:val="clear" w:color="auto" w:fill="auto"/>
            <w:noWrap/>
            <w:vAlign w:val="bottom"/>
            <w:hideMark/>
          </w:tcPr>
          <w:p w14:paraId="6CDEB94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1,020.42</w:t>
            </w:r>
          </w:p>
        </w:tc>
        <w:tc>
          <w:tcPr>
            <w:tcW w:w="768" w:type="pct"/>
            <w:shd w:val="clear" w:color="auto" w:fill="auto"/>
            <w:noWrap/>
            <w:vAlign w:val="bottom"/>
            <w:hideMark/>
          </w:tcPr>
          <w:p w14:paraId="3777FF1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43.33</w:t>
            </w:r>
          </w:p>
        </w:tc>
      </w:tr>
      <w:tr w:rsidR="005B5953" w:rsidRPr="005B12AE" w14:paraId="70D6A945" w14:textId="77777777" w:rsidTr="00250DAC">
        <w:trPr>
          <w:trHeight w:val="20"/>
        </w:trPr>
        <w:tc>
          <w:tcPr>
            <w:tcW w:w="229" w:type="pct"/>
            <w:vMerge/>
            <w:shd w:val="clear" w:color="auto" w:fill="auto"/>
            <w:vAlign w:val="center"/>
            <w:hideMark/>
          </w:tcPr>
          <w:p w14:paraId="3F2FB4F1" w14:textId="77777777" w:rsidR="005B5953" w:rsidRPr="005B12AE" w:rsidRDefault="005B5953" w:rsidP="00250DAC">
            <w:pPr>
              <w:spacing w:after="0" w:line="240" w:lineRule="auto"/>
              <w:jc w:val="center"/>
              <w:rPr>
                <w:rFonts w:ascii="Times New Roman" w:hAnsi="Times New Roman"/>
                <w:color w:val="000000"/>
                <w:sz w:val="20"/>
                <w:szCs w:val="20"/>
              </w:rPr>
            </w:pPr>
          </w:p>
        </w:tc>
        <w:tc>
          <w:tcPr>
            <w:tcW w:w="1195" w:type="pct"/>
            <w:vMerge/>
            <w:shd w:val="clear" w:color="auto" w:fill="auto"/>
            <w:hideMark/>
          </w:tcPr>
          <w:p w14:paraId="243D5C71" w14:textId="77777777" w:rsidR="005B5953" w:rsidRPr="005B12AE" w:rsidRDefault="005B5953" w:rsidP="00250DAC">
            <w:pPr>
              <w:spacing w:after="0" w:line="240" w:lineRule="auto"/>
              <w:rPr>
                <w:rFonts w:ascii="Times New Roman" w:hAnsi="Times New Roman"/>
                <w:sz w:val="20"/>
                <w:szCs w:val="20"/>
              </w:rPr>
            </w:pPr>
          </w:p>
        </w:tc>
        <w:tc>
          <w:tcPr>
            <w:tcW w:w="1337" w:type="pct"/>
            <w:shd w:val="clear" w:color="auto" w:fill="auto"/>
            <w:hideMark/>
          </w:tcPr>
          <w:p w14:paraId="61101B30"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loan repaid/given</w:t>
            </w:r>
          </w:p>
        </w:tc>
        <w:tc>
          <w:tcPr>
            <w:tcW w:w="669" w:type="pct"/>
            <w:shd w:val="clear" w:color="auto" w:fill="auto"/>
            <w:noWrap/>
            <w:vAlign w:val="bottom"/>
            <w:hideMark/>
          </w:tcPr>
          <w:p w14:paraId="41EFECD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168.92</w:t>
            </w:r>
          </w:p>
        </w:tc>
        <w:tc>
          <w:tcPr>
            <w:tcW w:w="802" w:type="pct"/>
            <w:shd w:val="clear" w:color="auto" w:fill="auto"/>
            <w:noWrap/>
            <w:vAlign w:val="bottom"/>
            <w:hideMark/>
          </w:tcPr>
          <w:p w14:paraId="2C5E876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1,027.18</w:t>
            </w:r>
          </w:p>
        </w:tc>
        <w:tc>
          <w:tcPr>
            <w:tcW w:w="768" w:type="pct"/>
            <w:shd w:val="clear" w:color="auto" w:fill="auto"/>
            <w:noWrap/>
            <w:vAlign w:val="bottom"/>
            <w:hideMark/>
          </w:tcPr>
          <w:p w14:paraId="417CEE8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496.21</w:t>
            </w:r>
          </w:p>
        </w:tc>
      </w:tr>
      <w:tr w:rsidR="005B5953" w:rsidRPr="005B12AE" w14:paraId="38256AA1" w14:textId="77777777" w:rsidTr="00250DAC">
        <w:trPr>
          <w:trHeight w:val="20"/>
        </w:trPr>
        <w:tc>
          <w:tcPr>
            <w:tcW w:w="229" w:type="pct"/>
            <w:vMerge/>
            <w:shd w:val="clear" w:color="auto" w:fill="auto"/>
            <w:vAlign w:val="center"/>
            <w:hideMark/>
          </w:tcPr>
          <w:p w14:paraId="7628B72C" w14:textId="77777777" w:rsidR="005B5953" w:rsidRPr="005B12AE" w:rsidRDefault="005B5953" w:rsidP="00250DAC">
            <w:pPr>
              <w:spacing w:after="0" w:line="240" w:lineRule="auto"/>
              <w:jc w:val="center"/>
              <w:rPr>
                <w:rFonts w:ascii="Times New Roman" w:hAnsi="Times New Roman"/>
                <w:color w:val="000000"/>
                <w:sz w:val="20"/>
                <w:szCs w:val="20"/>
              </w:rPr>
            </w:pPr>
          </w:p>
        </w:tc>
        <w:tc>
          <w:tcPr>
            <w:tcW w:w="1195" w:type="pct"/>
            <w:vMerge/>
            <w:shd w:val="clear" w:color="auto" w:fill="auto"/>
            <w:hideMark/>
          </w:tcPr>
          <w:p w14:paraId="1307FD9C" w14:textId="77777777" w:rsidR="005B5953" w:rsidRPr="005B12AE" w:rsidRDefault="005B5953" w:rsidP="00250DAC">
            <w:pPr>
              <w:spacing w:after="0" w:line="240" w:lineRule="auto"/>
              <w:rPr>
                <w:rFonts w:ascii="Times New Roman" w:hAnsi="Times New Roman"/>
                <w:sz w:val="20"/>
                <w:szCs w:val="20"/>
              </w:rPr>
            </w:pPr>
          </w:p>
        </w:tc>
        <w:tc>
          <w:tcPr>
            <w:tcW w:w="1337" w:type="pct"/>
            <w:shd w:val="clear" w:color="auto" w:fill="auto"/>
            <w:hideMark/>
          </w:tcPr>
          <w:p w14:paraId="34990F6E"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Rent &amp; Remuneration paid</w:t>
            </w:r>
          </w:p>
        </w:tc>
        <w:tc>
          <w:tcPr>
            <w:tcW w:w="669" w:type="pct"/>
            <w:shd w:val="clear" w:color="auto" w:fill="auto"/>
            <w:noWrap/>
            <w:vAlign w:val="bottom"/>
            <w:hideMark/>
          </w:tcPr>
          <w:p w14:paraId="6EF1CCE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37.27</w:t>
            </w:r>
          </w:p>
        </w:tc>
        <w:tc>
          <w:tcPr>
            <w:tcW w:w="802" w:type="pct"/>
            <w:shd w:val="clear" w:color="auto" w:fill="auto"/>
            <w:noWrap/>
            <w:vAlign w:val="bottom"/>
            <w:hideMark/>
          </w:tcPr>
          <w:p w14:paraId="4D4F4B0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49.52</w:t>
            </w:r>
          </w:p>
        </w:tc>
        <w:tc>
          <w:tcPr>
            <w:tcW w:w="768" w:type="pct"/>
            <w:shd w:val="clear" w:color="auto" w:fill="auto"/>
            <w:noWrap/>
            <w:vAlign w:val="bottom"/>
            <w:hideMark/>
          </w:tcPr>
          <w:p w14:paraId="75FE4EE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38.40</w:t>
            </w:r>
          </w:p>
        </w:tc>
      </w:tr>
      <w:tr w:rsidR="005B5953" w:rsidRPr="005B12AE" w14:paraId="2886430E" w14:textId="77777777" w:rsidTr="00250DAC">
        <w:trPr>
          <w:trHeight w:val="20"/>
        </w:trPr>
        <w:tc>
          <w:tcPr>
            <w:tcW w:w="229" w:type="pct"/>
            <w:vMerge/>
            <w:shd w:val="clear" w:color="auto" w:fill="auto"/>
            <w:vAlign w:val="center"/>
            <w:hideMark/>
          </w:tcPr>
          <w:p w14:paraId="0E786840" w14:textId="77777777" w:rsidR="005B5953" w:rsidRPr="005B12AE" w:rsidRDefault="005B5953" w:rsidP="00250DAC">
            <w:pPr>
              <w:spacing w:after="0" w:line="240" w:lineRule="auto"/>
              <w:jc w:val="center"/>
              <w:rPr>
                <w:rFonts w:ascii="Times New Roman" w:hAnsi="Times New Roman"/>
                <w:color w:val="000000"/>
                <w:sz w:val="20"/>
                <w:szCs w:val="20"/>
              </w:rPr>
            </w:pPr>
          </w:p>
        </w:tc>
        <w:tc>
          <w:tcPr>
            <w:tcW w:w="1195" w:type="pct"/>
            <w:vMerge/>
            <w:shd w:val="clear" w:color="auto" w:fill="auto"/>
            <w:hideMark/>
          </w:tcPr>
          <w:p w14:paraId="3C4416D9" w14:textId="77777777" w:rsidR="005B5953" w:rsidRPr="005B12AE" w:rsidRDefault="005B5953" w:rsidP="00250DAC">
            <w:pPr>
              <w:spacing w:after="0" w:line="240" w:lineRule="auto"/>
              <w:rPr>
                <w:rFonts w:ascii="Times New Roman" w:hAnsi="Times New Roman"/>
                <w:sz w:val="20"/>
                <w:szCs w:val="20"/>
              </w:rPr>
            </w:pPr>
          </w:p>
        </w:tc>
        <w:tc>
          <w:tcPr>
            <w:tcW w:w="1337" w:type="pct"/>
            <w:shd w:val="clear" w:color="auto" w:fill="auto"/>
            <w:hideMark/>
          </w:tcPr>
          <w:p w14:paraId="1B2D5422"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Closing Balance</w:t>
            </w:r>
          </w:p>
        </w:tc>
        <w:tc>
          <w:tcPr>
            <w:tcW w:w="669" w:type="pct"/>
            <w:shd w:val="clear" w:color="auto" w:fill="auto"/>
            <w:noWrap/>
            <w:vAlign w:val="bottom"/>
            <w:hideMark/>
          </w:tcPr>
          <w:p w14:paraId="350152E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171.01</w:t>
            </w:r>
          </w:p>
        </w:tc>
        <w:tc>
          <w:tcPr>
            <w:tcW w:w="802" w:type="pct"/>
            <w:shd w:val="clear" w:color="auto" w:fill="auto"/>
            <w:noWrap/>
            <w:vAlign w:val="bottom"/>
            <w:hideMark/>
          </w:tcPr>
          <w:p w14:paraId="0ED6246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167.14</w:t>
            </w:r>
          </w:p>
        </w:tc>
        <w:tc>
          <w:tcPr>
            <w:tcW w:w="768" w:type="pct"/>
            <w:shd w:val="clear" w:color="auto" w:fill="auto"/>
            <w:noWrap/>
            <w:vAlign w:val="bottom"/>
            <w:hideMark/>
          </w:tcPr>
          <w:p w14:paraId="483EB3D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181.02</w:t>
            </w:r>
          </w:p>
        </w:tc>
      </w:tr>
      <w:tr w:rsidR="005B5953" w:rsidRPr="005B12AE" w14:paraId="21BAA18C" w14:textId="77777777" w:rsidTr="00250DAC">
        <w:trPr>
          <w:trHeight w:val="20"/>
        </w:trPr>
        <w:tc>
          <w:tcPr>
            <w:tcW w:w="229" w:type="pct"/>
            <w:vMerge w:val="restart"/>
            <w:shd w:val="clear" w:color="auto" w:fill="auto"/>
            <w:vAlign w:val="center"/>
            <w:hideMark/>
          </w:tcPr>
          <w:p w14:paraId="41C744E8"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2</w:t>
            </w:r>
          </w:p>
          <w:p w14:paraId="14AB4370"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p w14:paraId="0946DA49"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p w14:paraId="7E30D7A4"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tc>
        <w:tc>
          <w:tcPr>
            <w:tcW w:w="1195" w:type="pct"/>
            <w:vMerge w:val="restart"/>
            <w:shd w:val="clear" w:color="auto" w:fill="auto"/>
            <w:hideMark/>
          </w:tcPr>
          <w:p w14:paraId="32CDA677"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Bhavesh Ramgopal Maheshwari</w:t>
            </w:r>
          </w:p>
        </w:tc>
        <w:tc>
          <w:tcPr>
            <w:tcW w:w="1337" w:type="pct"/>
            <w:shd w:val="clear" w:color="auto" w:fill="auto"/>
            <w:vAlign w:val="center"/>
            <w:hideMark/>
          </w:tcPr>
          <w:p w14:paraId="1677EEB0" w14:textId="77777777" w:rsidR="005B5953" w:rsidRPr="005B12AE" w:rsidRDefault="005B5953"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t>Opening Balance</w:t>
            </w:r>
          </w:p>
        </w:tc>
        <w:tc>
          <w:tcPr>
            <w:tcW w:w="669" w:type="pct"/>
            <w:shd w:val="clear" w:color="auto" w:fill="auto"/>
            <w:noWrap/>
            <w:vAlign w:val="bottom"/>
            <w:hideMark/>
          </w:tcPr>
          <w:p w14:paraId="120C860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6.37</w:t>
            </w:r>
          </w:p>
        </w:tc>
        <w:tc>
          <w:tcPr>
            <w:tcW w:w="802" w:type="pct"/>
            <w:shd w:val="clear" w:color="auto" w:fill="auto"/>
            <w:noWrap/>
            <w:vAlign w:val="bottom"/>
            <w:hideMark/>
          </w:tcPr>
          <w:p w14:paraId="057F1F0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9.38</w:t>
            </w:r>
          </w:p>
        </w:tc>
        <w:tc>
          <w:tcPr>
            <w:tcW w:w="768" w:type="pct"/>
            <w:shd w:val="clear" w:color="auto" w:fill="auto"/>
            <w:noWrap/>
            <w:vAlign w:val="bottom"/>
            <w:hideMark/>
          </w:tcPr>
          <w:p w14:paraId="78D5160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10.83</w:t>
            </w:r>
          </w:p>
        </w:tc>
      </w:tr>
      <w:tr w:rsidR="005B5953" w:rsidRPr="005B12AE" w14:paraId="1E356032" w14:textId="77777777" w:rsidTr="00250DAC">
        <w:trPr>
          <w:trHeight w:val="20"/>
        </w:trPr>
        <w:tc>
          <w:tcPr>
            <w:tcW w:w="229" w:type="pct"/>
            <w:vMerge/>
            <w:shd w:val="clear" w:color="auto" w:fill="auto"/>
            <w:noWrap/>
            <w:vAlign w:val="bottom"/>
            <w:hideMark/>
          </w:tcPr>
          <w:p w14:paraId="0FD448B6" w14:textId="77777777" w:rsidR="005B5953" w:rsidRPr="005B12AE" w:rsidRDefault="005B5953" w:rsidP="00250DAC">
            <w:pPr>
              <w:spacing w:after="0" w:line="240" w:lineRule="auto"/>
              <w:jc w:val="center"/>
              <w:rPr>
                <w:rFonts w:ascii="Times New Roman" w:hAnsi="Times New Roman"/>
                <w:sz w:val="20"/>
                <w:szCs w:val="20"/>
              </w:rPr>
            </w:pPr>
          </w:p>
        </w:tc>
        <w:tc>
          <w:tcPr>
            <w:tcW w:w="1195" w:type="pct"/>
            <w:vMerge/>
            <w:shd w:val="clear" w:color="auto" w:fill="auto"/>
            <w:noWrap/>
            <w:vAlign w:val="bottom"/>
            <w:hideMark/>
          </w:tcPr>
          <w:p w14:paraId="5DF62137" w14:textId="77777777" w:rsidR="005B5953" w:rsidRPr="005B12AE" w:rsidRDefault="005B5953" w:rsidP="00250DAC">
            <w:pPr>
              <w:spacing w:after="0" w:line="240" w:lineRule="auto"/>
              <w:rPr>
                <w:rFonts w:ascii="Times New Roman" w:hAnsi="Times New Roman"/>
                <w:sz w:val="20"/>
                <w:szCs w:val="20"/>
              </w:rPr>
            </w:pPr>
          </w:p>
        </w:tc>
        <w:tc>
          <w:tcPr>
            <w:tcW w:w="1337" w:type="pct"/>
            <w:shd w:val="clear" w:color="auto" w:fill="auto"/>
            <w:hideMark/>
          </w:tcPr>
          <w:p w14:paraId="4665368A"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Remuneration to Directors:</w:t>
            </w:r>
          </w:p>
        </w:tc>
        <w:tc>
          <w:tcPr>
            <w:tcW w:w="669" w:type="pct"/>
            <w:shd w:val="clear" w:color="auto" w:fill="auto"/>
            <w:noWrap/>
            <w:vAlign w:val="bottom"/>
            <w:hideMark/>
          </w:tcPr>
          <w:p w14:paraId="33EA13C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42.00</w:t>
            </w:r>
          </w:p>
        </w:tc>
        <w:tc>
          <w:tcPr>
            <w:tcW w:w="802" w:type="pct"/>
            <w:shd w:val="clear" w:color="auto" w:fill="auto"/>
            <w:noWrap/>
            <w:vAlign w:val="bottom"/>
            <w:hideMark/>
          </w:tcPr>
          <w:p w14:paraId="3605128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40.00</w:t>
            </w:r>
          </w:p>
        </w:tc>
        <w:tc>
          <w:tcPr>
            <w:tcW w:w="768" w:type="pct"/>
            <w:shd w:val="clear" w:color="auto" w:fill="auto"/>
            <w:noWrap/>
            <w:vAlign w:val="bottom"/>
            <w:hideMark/>
          </w:tcPr>
          <w:p w14:paraId="7BA5AEF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36.00</w:t>
            </w:r>
          </w:p>
        </w:tc>
      </w:tr>
      <w:tr w:rsidR="005B5953" w:rsidRPr="005B12AE" w14:paraId="3D065ECF" w14:textId="77777777" w:rsidTr="00250DAC">
        <w:trPr>
          <w:trHeight w:val="20"/>
        </w:trPr>
        <w:tc>
          <w:tcPr>
            <w:tcW w:w="229" w:type="pct"/>
            <w:vMerge/>
            <w:shd w:val="clear" w:color="auto" w:fill="auto"/>
            <w:vAlign w:val="center"/>
            <w:hideMark/>
          </w:tcPr>
          <w:p w14:paraId="00B80F65" w14:textId="77777777" w:rsidR="005B5953" w:rsidRPr="005B12AE" w:rsidRDefault="005B5953" w:rsidP="00250DAC">
            <w:pPr>
              <w:spacing w:after="0" w:line="240" w:lineRule="auto"/>
              <w:jc w:val="center"/>
              <w:rPr>
                <w:rFonts w:ascii="Times New Roman" w:hAnsi="Times New Roman"/>
                <w:color w:val="000000"/>
                <w:sz w:val="20"/>
                <w:szCs w:val="20"/>
              </w:rPr>
            </w:pPr>
          </w:p>
        </w:tc>
        <w:tc>
          <w:tcPr>
            <w:tcW w:w="1195" w:type="pct"/>
            <w:vMerge/>
            <w:shd w:val="clear" w:color="auto" w:fill="auto"/>
            <w:hideMark/>
          </w:tcPr>
          <w:p w14:paraId="30335622" w14:textId="77777777" w:rsidR="005B5953" w:rsidRPr="005B12AE" w:rsidRDefault="005B5953" w:rsidP="00250DAC">
            <w:pPr>
              <w:spacing w:after="0" w:line="240" w:lineRule="auto"/>
              <w:rPr>
                <w:rFonts w:ascii="Times New Roman" w:hAnsi="Times New Roman"/>
                <w:sz w:val="20"/>
                <w:szCs w:val="20"/>
              </w:rPr>
            </w:pPr>
          </w:p>
        </w:tc>
        <w:tc>
          <w:tcPr>
            <w:tcW w:w="1337" w:type="pct"/>
            <w:shd w:val="clear" w:color="auto" w:fill="auto"/>
            <w:hideMark/>
          </w:tcPr>
          <w:p w14:paraId="3C7C11EC"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loan accepted</w:t>
            </w:r>
          </w:p>
        </w:tc>
        <w:tc>
          <w:tcPr>
            <w:tcW w:w="669" w:type="pct"/>
            <w:shd w:val="clear" w:color="auto" w:fill="auto"/>
            <w:noWrap/>
            <w:vAlign w:val="bottom"/>
            <w:hideMark/>
          </w:tcPr>
          <w:p w14:paraId="7EC8593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177.62</w:t>
            </w:r>
          </w:p>
        </w:tc>
        <w:tc>
          <w:tcPr>
            <w:tcW w:w="802" w:type="pct"/>
            <w:shd w:val="clear" w:color="auto" w:fill="auto"/>
            <w:noWrap/>
            <w:vAlign w:val="bottom"/>
            <w:hideMark/>
          </w:tcPr>
          <w:p w14:paraId="6713B0A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87.82</w:t>
            </w:r>
          </w:p>
        </w:tc>
        <w:tc>
          <w:tcPr>
            <w:tcW w:w="768" w:type="pct"/>
            <w:shd w:val="clear" w:color="auto" w:fill="auto"/>
            <w:noWrap/>
            <w:vAlign w:val="bottom"/>
            <w:hideMark/>
          </w:tcPr>
          <w:p w14:paraId="796BF0E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9.45</w:t>
            </w:r>
          </w:p>
        </w:tc>
      </w:tr>
      <w:tr w:rsidR="005B5953" w:rsidRPr="005B12AE" w14:paraId="51EC81C5" w14:textId="77777777" w:rsidTr="00250DAC">
        <w:trPr>
          <w:trHeight w:val="20"/>
        </w:trPr>
        <w:tc>
          <w:tcPr>
            <w:tcW w:w="229" w:type="pct"/>
            <w:vMerge/>
            <w:shd w:val="clear" w:color="auto" w:fill="auto"/>
            <w:vAlign w:val="center"/>
            <w:hideMark/>
          </w:tcPr>
          <w:p w14:paraId="386FF35B" w14:textId="77777777" w:rsidR="005B5953" w:rsidRPr="005B12AE" w:rsidRDefault="005B5953" w:rsidP="00250DAC">
            <w:pPr>
              <w:spacing w:after="0" w:line="240" w:lineRule="auto"/>
              <w:jc w:val="center"/>
              <w:rPr>
                <w:rFonts w:ascii="Times New Roman" w:hAnsi="Times New Roman"/>
                <w:color w:val="000000"/>
                <w:sz w:val="20"/>
                <w:szCs w:val="20"/>
              </w:rPr>
            </w:pPr>
          </w:p>
        </w:tc>
        <w:tc>
          <w:tcPr>
            <w:tcW w:w="1195" w:type="pct"/>
            <w:vMerge/>
            <w:shd w:val="clear" w:color="auto" w:fill="auto"/>
            <w:hideMark/>
          </w:tcPr>
          <w:p w14:paraId="39D7C0D4" w14:textId="77777777" w:rsidR="005B5953" w:rsidRPr="005B12AE" w:rsidRDefault="005B5953" w:rsidP="00250DAC">
            <w:pPr>
              <w:spacing w:after="0" w:line="240" w:lineRule="auto"/>
              <w:rPr>
                <w:rFonts w:ascii="Times New Roman" w:hAnsi="Times New Roman"/>
                <w:sz w:val="20"/>
                <w:szCs w:val="20"/>
              </w:rPr>
            </w:pPr>
          </w:p>
        </w:tc>
        <w:tc>
          <w:tcPr>
            <w:tcW w:w="1337" w:type="pct"/>
            <w:shd w:val="clear" w:color="auto" w:fill="auto"/>
            <w:hideMark/>
          </w:tcPr>
          <w:p w14:paraId="250D4588"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loan repaid/given</w:t>
            </w:r>
          </w:p>
        </w:tc>
        <w:tc>
          <w:tcPr>
            <w:tcW w:w="669" w:type="pct"/>
            <w:shd w:val="clear" w:color="auto" w:fill="auto"/>
            <w:noWrap/>
            <w:vAlign w:val="bottom"/>
            <w:hideMark/>
          </w:tcPr>
          <w:p w14:paraId="093134F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194.90</w:t>
            </w:r>
          </w:p>
        </w:tc>
        <w:tc>
          <w:tcPr>
            <w:tcW w:w="802" w:type="pct"/>
            <w:shd w:val="clear" w:color="auto" w:fill="auto"/>
            <w:noWrap/>
            <w:vAlign w:val="bottom"/>
            <w:hideMark/>
          </w:tcPr>
          <w:p w14:paraId="3FC8E6C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130.83</w:t>
            </w:r>
          </w:p>
        </w:tc>
        <w:tc>
          <w:tcPr>
            <w:tcW w:w="768" w:type="pct"/>
            <w:shd w:val="clear" w:color="auto" w:fill="auto"/>
            <w:noWrap/>
            <w:vAlign w:val="bottom"/>
            <w:hideMark/>
          </w:tcPr>
          <w:p w14:paraId="194A495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46.90</w:t>
            </w:r>
          </w:p>
        </w:tc>
      </w:tr>
      <w:tr w:rsidR="005B5953" w:rsidRPr="005B12AE" w14:paraId="262F6457" w14:textId="77777777" w:rsidTr="00250DAC">
        <w:trPr>
          <w:trHeight w:val="20"/>
        </w:trPr>
        <w:tc>
          <w:tcPr>
            <w:tcW w:w="229" w:type="pct"/>
            <w:vMerge/>
            <w:shd w:val="clear" w:color="auto" w:fill="auto"/>
            <w:vAlign w:val="center"/>
            <w:hideMark/>
          </w:tcPr>
          <w:p w14:paraId="793B435F" w14:textId="77777777" w:rsidR="005B5953" w:rsidRPr="005B12AE" w:rsidRDefault="005B5953" w:rsidP="00250DAC">
            <w:pPr>
              <w:spacing w:after="0" w:line="240" w:lineRule="auto"/>
              <w:jc w:val="center"/>
              <w:rPr>
                <w:rFonts w:ascii="Times New Roman" w:hAnsi="Times New Roman"/>
                <w:color w:val="000000"/>
                <w:sz w:val="20"/>
                <w:szCs w:val="20"/>
              </w:rPr>
            </w:pPr>
          </w:p>
        </w:tc>
        <w:tc>
          <w:tcPr>
            <w:tcW w:w="1195" w:type="pct"/>
            <w:vMerge/>
            <w:shd w:val="clear" w:color="auto" w:fill="auto"/>
            <w:hideMark/>
          </w:tcPr>
          <w:p w14:paraId="7194876C" w14:textId="77777777" w:rsidR="005B5953" w:rsidRPr="005B12AE" w:rsidRDefault="005B5953" w:rsidP="00250DAC">
            <w:pPr>
              <w:spacing w:after="0" w:line="240" w:lineRule="auto"/>
              <w:rPr>
                <w:rFonts w:ascii="Times New Roman" w:hAnsi="Times New Roman"/>
                <w:sz w:val="20"/>
                <w:szCs w:val="20"/>
              </w:rPr>
            </w:pPr>
          </w:p>
        </w:tc>
        <w:tc>
          <w:tcPr>
            <w:tcW w:w="1337" w:type="pct"/>
            <w:shd w:val="clear" w:color="auto" w:fill="auto"/>
            <w:hideMark/>
          </w:tcPr>
          <w:p w14:paraId="6A1C3A6F"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Closing Balance</w:t>
            </w:r>
          </w:p>
        </w:tc>
        <w:tc>
          <w:tcPr>
            <w:tcW w:w="669" w:type="pct"/>
            <w:shd w:val="clear" w:color="auto" w:fill="auto"/>
            <w:noWrap/>
            <w:vAlign w:val="bottom"/>
            <w:hideMark/>
          </w:tcPr>
          <w:p w14:paraId="57FAAC6F" w14:textId="77777777" w:rsidR="005B5953" w:rsidRPr="005B12A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31.09</w:t>
            </w:r>
          </w:p>
        </w:tc>
        <w:tc>
          <w:tcPr>
            <w:tcW w:w="802" w:type="pct"/>
            <w:shd w:val="clear" w:color="auto" w:fill="auto"/>
            <w:noWrap/>
            <w:vAlign w:val="bottom"/>
            <w:hideMark/>
          </w:tcPr>
          <w:p w14:paraId="46B5FEA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6.37</w:t>
            </w:r>
          </w:p>
        </w:tc>
        <w:tc>
          <w:tcPr>
            <w:tcW w:w="768" w:type="pct"/>
            <w:shd w:val="clear" w:color="auto" w:fill="auto"/>
            <w:noWrap/>
            <w:vAlign w:val="bottom"/>
            <w:hideMark/>
          </w:tcPr>
          <w:p w14:paraId="4EF849A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9.38</w:t>
            </w:r>
          </w:p>
        </w:tc>
      </w:tr>
      <w:tr w:rsidR="005B5953" w:rsidRPr="005B12AE" w14:paraId="35B03904" w14:textId="77777777" w:rsidTr="00250DAC">
        <w:trPr>
          <w:trHeight w:val="20"/>
        </w:trPr>
        <w:tc>
          <w:tcPr>
            <w:tcW w:w="229" w:type="pct"/>
            <w:vMerge w:val="restart"/>
            <w:shd w:val="clear" w:color="auto" w:fill="auto"/>
            <w:vAlign w:val="center"/>
            <w:hideMark/>
          </w:tcPr>
          <w:p w14:paraId="03292611"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3</w:t>
            </w:r>
          </w:p>
          <w:p w14:paraId="5CA60017"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p w14:paraId="675E48C0"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p w14:paraId="2719C8CA"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p w14:paraId="2338BB76"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p w14:paraId="527C5BAF"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p w14:paraId="07D61CCC"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tc>
        <w:tc>
          <w:tcPr>
            <w:tcW w:w="1195" w:type="pct"/>
            <w:vMerge w:val="restart"/>
            <w:shd w:val="clear" w:color="auto" w:fill="auto"/>
            <w:hideMark/>
          </w:tcPr>
          <w:p w14:paraId="3C1B77E1"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Madhu Ramgopal Maheshwari </w:t>
            </w:r>
          </w:p>
        </w:tc>
        <w:tc>
          <w:tcPr>
            <w:tcW w:w="1337" w:type="pct"/>
            <w:shd w:val="clear" w:color="auto" w:fill="auto"/>
            <w:vAlign w:val="center"/>
            <w:hideMark/>
          </w:tcPr>
          <w:p w14:paraId="04D2CE4E" w14:textId="77777777" w:rsidR="005B5953" w:rsidRPr="005B12AE" w:rsidRDefault="005B5953"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t>Opening Balance</w:t>
            </w:r>
          </w:p>
        </w:tc>
        <w:tc>
          <w:tcPr>
            <w:tcW w:w="669" w:type="pct"/>
            <w:shd w:val="clear" w:color="auto" w:fill="auto"/>
            <w:noWrap/>
            <w:vAlign w:val="bottom"/>
            <w:hideMark/>
          </w:tcPr>
          <w:p w14:paraId="2641387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8.90</w:t>
            </w:r>
          </w:p>
        </w:tc>
        <w:tc>
          <w:tcPr>
            <w:tcW w:w="802" w:type="pct"/>
            <w:shd w:val="clear" w:color="auto" w:fill="auto"/>
            <w:noWrap/>
            <w:vAlign w:val="bottom"/>
            <w:hideMark/>
          </w:tcPr>
          <w:p w14:paraId="2F1FF49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12.05</w:t>
            </w:r>
          </w:p>
        </w:tc>
        <w:tc>
          <w:tcPr>
            <w:tcW w:w="768" w:type="pct"/>
            <w:shd w:val="clear" w:color="auto" w:fill="auto"/>
            <w:noWrap/>
            <w:vAlign w:val="bottom"/>
            <w:hideMark/>
          </w:tcPr>
          <w:p w14:paraId="77F60F2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215.70</w:t>
            </w:r>
          </w:p>
        </w:tc>
      </w:tr>
      <w:tr w:rsidR="005B5953" w:rsidRPr="005B12AE" w14:paraId="2F51AF59" w14:textId="77777777" w:rsidTr="00250DAC">
        <w:trPr>
          <w:trHeight w:val="20"/>
        </w:trPr>
        <w:tc>
          <w:tcPr>
            <w:tcW w:w="229" w:type="pct"/>
            <w:vMerge/>
            <w:shd w:val="clear" w:color="auto" w:fill="auto"/>
            <w:vAlign w:val="center"/>
            <w:hideMark/>
          </w:tcPr>
          <w:p w14:paraId="44880D05" w14:textId="77777777" w:rsidR="005B5953" w:rsidRPr="005B12AE" w:rsidRDefault="005B5953" w:rsidP="00250DAC">
            <w:pPr>
              <w:spacing w:after="0" w:line="240" w:lineRule="auto"/>
              <w:jc w:val="center"/>
              <w:rPr>
                <w:rFonts w:ascii="Times New Roman" w:hAnsi="Times New Roman"/>
                <w:color w:val="000000"/>
                <w:sz w:val="20"/>
                <w:szCs w:val="20"/>
              </w:rPr>
            </w:pPr>
          </w:p>
        </w:tc>
        <w:tc>
          <w:tcPr>
            <w:tcW w:w="1195" w:type="pct"/>
            <w:vMerge/>
            <w:shd w:val="clear" w:color="auto" w:fill="auto"/>
            <w:noWrap/>
            <w:vAlign w:val="bottom"/>
            <w:hideMark/>
          </w:tcPr>
          <w:p w14:paraId="326845FE" w14:textId="77777777" w:rsidR="005B5953" w:rsidRPr="005B12AE" w:rsidRDefault="005B5953" w:rsidP="00250DAC">
            <w:pPr>
              <w:spacing w:after="0" w:line="240" w:lineRule="auto"/>
              <w:rPr>
                <w:rFonts w:ascii="Times New Roman" w:hAnsi="Times New Roman"/>
                <w:color w:val="000000"/>
                <w:sz w:val="20"/>
                <w:szCs w:val="20"/>
              </w:rPr>
            </w:pPr>
          </w:p>
        </w:tc>
        <w:tc>
          <w:tcPr>
            <w:tcW w:w="1337" w:type="pct"/>
            <w:shd w:val="clear" w:color="auto" w:fill="auto"/>
            <w:vAlign w:val="center"/>
            <w:hideMark/>
          </w:tcPr>
          <w:p w14:paraId="6551FE8F" w14:textId="77777777" w:rsidR="005B5953" w:rsidRPr="005B12AE" w:rsidRDefault="005B5953"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t xml:space="preserve">Director Remuneration </w:t>
            </w:r>
          </w:p>
        </w:tc>
        <w:tc>
          <w:tcPr>
            <w:tcW w:w="669" w:type="pct"/>
            <w:shd w:val="clear" w:color="auto" w:fill="auto"/>
            <w:noWrap/>
            <w:vAlign w:val="bottom"/>
            <w:hideMark/>
          </w:tcPr>
          <w:p w14:paraId="159F934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25.20</w:t>
            </w:r>
          </w:p>
        </w:tc>
        <w:tc>
          <w:tcPr>
            <w:tcW w:w="802" w:type="pct"/>
            <w:shd w:val="clear" w:color="auto" w:fill="auto"/>
            <w:noWrap/>
            <w:vAlign w:val="bottom"/>
            <w:hideMark/>
          </w:tcPr>
          <w:p w14:paraId="25E1269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25.00</w:t>
            </w:r>
          </w:p>
        </w:tc>
        <w:tc>
          <w:tcPr>
            <w:tcW w:w="768" w:type="pct"/>
            <w:shd w:val="clear" w:color="auto" w:fill="auto"/>
            <w:noWrap/>
            <w:vAlign w:val="bottom"/>
            <w:hideMark/>
          </w:tcPr>
          <w:p w14:paraId="4993347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12.00</w:t>
            </w:r>
          </w:p>
        </w:tc>
      </w:tr>
      <w:tr w:rsidR="005B5953" w:rsidRPr="005B12AE" w14:paraId="78E08081" w14:textId="77777777" w:rsidTr="00250DAC">
        <w:trPr>
          <w:trHeight w:val="20"/>
        </w:trPr>
        <w:tc>
          <w:tcPr>
            <w:tcW w:w="229" w:type="pct"/>
            <w:vMerge/>
            <w:shd w:val="clear" w:color="auto" w:fill="auto"/>
            <w:vAlign w:val="center"/>
            <w:hideMark/>
          </w:tcPr>
          <w:p w14:paraId="6BC0C08C" w14:textId="77777777" w:rsidR="005B5953" w:rsidRPr="005B12AE" w:rsidRDefault="005B5953" w:rsidP="00250DAC">
            <w:pPr>
              <w:spacing w:after="0" w:line="240" w:lineRule="auto"/>
              <w:jc w:val="center"/>
              <w:rPr>
                <w:rFonts w:ascii="Times New Roman" w:hAnsi="Times New Roman"/>
                <w:color w:val="000000"/>
                <w:sz w:val="20"/>
                <w:szCs w:val="20"/>
              </w:rPr>
            </w:pPr>
          </w:p>
        </w:tc>
        <w:tc>
          <w:tcPr>
            <w:tcW w:w="1195" w:type="pct"/>
            <w:vMerge/>
            <w:shd w:val="clear" w:color="auto" w:fill="auto"/>
            <w:noWrap/>
            <w:vAlign w:val="bottom"/>
            <w:hideMark/>
          </w:tcPr>
          <w:p w14:paraId="5CA7A52E" w14:textId="77777777" w:rsidR="005B5953" w:rsidRPr="005B12AE" w:rsidRDefault="005B5953" w:rsidP="00250DAC">
            <w:pPr>
              <w:spacing w:after="0" w:line="240" w:lineRule="auto"/>
              <w:rPr>
                <w:rFonts w:ascii="Times New Roman" w:hAnsi="Times New Roman"/>
                <w:color w:val="000000"/>
                <w:sz w:val="20"/>
                <w:szCs w:val="20"/>
              </w:rPr>
            </w:pPr>
          </w:p>
        </w:tc>
        <w:tc>
          <w:tcPr>
            <w:tcW w:w="1337" w:type="pct"/>
            <w:shd w:val="clear" w:color="auto" w:fill="auto"/>
            <w:vAlign w:val="center"/>
            <w:hideMark/>
          </w:tcPr>
          <w:p w14:paraId="2678CC53" w14:textId="77777777" w:rsidR="005B5953" w:rsidRPr="005B12AE" w:rsidRDefault="005B5953"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t>Rent Expense</w:t>
            </w:r>
          </w:p>
        </w:tc>
        <w:tc>
          <w:tcPr>
            <w:tcW w:w="669" w:type="pct"/>
            <w:shd w:val="clear" w:color="auto" w:fill="auto"/>
            <w:noWrap/>
            <w:vAlign w:val="bottom"/>
            <w:hideMark/>
          </w:tcPr>
          <w:p w14:paraId="0343543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2.40</w:t>
            </w:r>
          </w:p>
        </w:tc>
        <w:tc>
          <w:tcPr>
            <w:tcW w:w="802" w:type="pct"/>
            <w:shd w:val="clear" w:color="auto" w:fill="auto"/>
            <w:noWrap/>
            <w:vAlign w:val="bottom"/>
            <w:hideMark/>
          </w:tcPr>
          <w:p w14:paraId="4903519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2.40</w:t>
            </w:r>
          </w:p>
        </w:tc>
        <w:tc>
          <w:tcPr>
            <w:tcW w:w="768" w:type="pct"/>
            <w:shd w:val="clear" w:color="auto" w:fill="auto"/>
            <w:noWrap/>
            <w:vAlign w:val="bottom"/>
            <w:hideMark/>
          </w:tcPr>
          <w:p w14:paraId="1F5E1F3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2.40</w:t>
            </w:r>
          </w:p>
        </w:tc>
      </w:tr>
      <w:tr w:rsidR="005B5953" w:rsidRPr="005B12AE" w14:paraId="4F97359A" w14:textId="77777777" w:rsidTr="00250DAC">
        <w:trPr>
          <w:trHeight w:val="20"/>
        </w:trPr>
        <w:tc>
          <w:tcPr>
            <w:tcW w:w="229" w:type="pct"/>
            <w:vMerge/>
            <w:shd w:val="clear" w:color="auto" w:fill="auto"/>
            <w:vAlign w:val="center"/>
            <w:hideMark/>
          </w:tcPr>
          <w:p w14:paraId="57AEDAE9" w14:textId="77777777" w:rsidR="005B5953" w:rsidRPr="005B12AE" w:rsidRDefault="005B5953" w:rsidP="00250DAC">
            <w:pPr>
              <w:spacing w:after="0" w:line="240" w:lineRule="auto"/>
              <w:jc w:val="center"/>
              <w:rPr>
                <w:rFonts w:ascii="Times New Roman" w:hAnsi="Times New Roman"/>
                <w:color w:val="000000"/>
                <w:sz w:val="20"/>
                <w:szCs w:val="20"/>
              </w:rPr>
            </w:pPr>
          </w:p>
        </w:tc>
        <w:tc>
          <w:tcPr>
            <w:tcW w:w="1195" w:type="pct"/>
            <w:vMerge/>
            <w:shd w:val="clear" w:color="auto" w:fill="auto"/>
            <w:hideMark/>
          </w:tcPr>
          <w:p w14:paraId="6A10F4D5" w14:textId="77777777" w:rsidR="005B5953" w:rsidRPr="005B12AE" w:rsidRDefault="005B5953" w:rsidP="00250DAC">
            <w:pPr>
              <w:spacing w:after="0" w:line="240" w:lineRule="auto"/>
              <w:rPr>
                <w:rFonts w:ascii="Times New Roman" w:hAnsi="Times New Roman"/>
                <w:sz w:val="20"/>
                <w:szCs w:val="20"/>
              </w:rPr>
            </w:pPr>
          </w:p>
        </w:tc>
        <w:tc>
          <w:tcPr>
            <w:tcW w:w="1337" w:type="pct"/>
            <w:shd w:val="clear" w:color="auto" w:fill="auto"/>
            <w:hideMark/>
          </w:tcPr>
          <w:p w14:paraId="278D8791"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loan accepted</w:t>
            </w:r>
          </w:p>
        </w:tc>
        <w:tc>
          <w:tcPr>
            <w:tcW w:w="669" w:type="pct"/>
            <w:shd w:val="clear" w:color="auto" w:fill="auto"/>
            <w:noWrap/>
            <w:vAlign w:val="bottom"/>
            <w:hideMark/>
          </w:tcPr>
          <w:p w14:paraId="7B9686A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27.38</w:t>
            </w:r>
          </w:p>
        </w:tc>
        <w:tc>
          <w:tcPr>
            <w:tcW w:w="802" w:type="pct"/>
            <w:shd w:val="clear" w:color="auto" w:fill="auto"/>
            <w:noWrap/>
            <w:vAlign w:val="bottom"/>
            <w:hideMark/>
          </w:tcPr>
          <w:p w14:paraId="58B8078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32.40</w:t>
            </w:r>
          </w:p>
        </w:tc>
        <w:tc>
          <w:tcPr>
            <w:tcW w:w="768" w:type="pct"/>
            <w:shd w:val="clear" w:color="auto" w:fill="auto"/>
            <w:noWrap/>
            <w:vAlign w:val="bottom"/>
            <w:hideMark/>
          </w:tcPr>
          <w:p w14:paraId="2706EBF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38.40</w:t>
            </w:r>
          </w:p>
        </w:tc>
      </w:tr>
      <w:tr w:rsidR="005B5953" w:rsidRPr="005B12AE" w14:paraId="76A3B1BC" w14:textId="77777777" w:rsidTr="00250DAC">
        <w:trPr>
          <w:trHeight w:val="20"/>
        </w:trPr>
        <w:tc>
          <w:tcPr>
            <w:tcW w:w="229" w:type="pct"/>
            <w:vMerge/>
            <w:shd w:val="clear" w:color="auto" w:fill="auto"/>
            <w:vAlign w:val="center"/>
            <w:hideMark/>
          </w:tcPr>
          <w:p w14:paraId="76F02ABC" w14:textId="77777777" w:rsidR="005B5953" w:rsidRPr="005B12AE" w:rsidRDefault="005B5953" w:rsidP="00250DAC">
            <w:pPr>
              <w:spacing w:after="0" w:line="240" w:lineRule="auto"/>
              <w:jc w:val="center"/>
              <w:rPr>
                <w:rFonts w:ascii="Times New Roman" w:hAnsi="Times New Roman"/>
                <w:color w:val="000000"/>
                <w:sz w:val="20"/>
                <w:szCs w:val="20"/>
              </w:rPr>
            </w:pPr>
          </w:p>
        </w:tc>
        <w:tc>
          <w:tcPr>
            <w:tcW w:w="1195" w:type="pct"/>
            <w:vMerge/>
            <w:shd w:val="clear" w:color="auto" w:fill="auto"/>
            <w:hideMark/>
          </w:tcPr>
          <w:p w14:paraId="76A46DAC" w14:textId="77777777" w:rsidR="005B5953" w:rsidRPr="005B12AE" w:rsidRDefault="005B5953" w:rsidP="00250DAC">
            <w:pPr>
              <w:spacing w:after="0" w:line="240" w:lineRule="auto"/>
              <w:rPr>
                <w:rFonts w:ascii="Times New Roman" w:hAnsi="Times New Roman"/>
                <w:sz w:val="20"/>
                <w:szCs w:val="20"/>
              </w:rPr>
            </w:pPr>
          </w:p>
        </w:tc>
        <w:tc>
          <w:tcPr>
            <w:tcW w:w="1337" w:type="pct"/>
            <w:shd w:val="clear" w:color="auto" w:fill="auto"/>
            <w:hideMark/>
          </w:tcPr>
          <w:p w14:paraId="1D105799"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loan repaid/given</w:t>
            </w:r>
          </w:p>
        </w:tc>
        <w:tc>
          <w:tcPr>
            <w:tcW w:w="669" w:type="pct"/>
            <w:shd w:val="clear" w:color="auto" w:fill="auto"/>
            <w:noWrap/>
            <w:vAlign w:val="bottom"/>
            <w:hideMark/>
          </w:tcPr>
          <w:p w14:paraId="16FD42A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34.54</w:t>
            </w:r>
          </w:p>
        </w:tc>
        <w:tc>
          <w:tcPr>
            <w:tcW w:w="802" w:type="pct"/>
            <w:shd w:val="clear" w:color="auto" w:fill="auto"/>
            <w:noWrap/>
            <w:vAlign w:val="bottom"/>
            <w:hideMark/>
          </w:tcPr>
          <w:p w14:paraId="0CF2D1B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30.52</w:t>
            </w:r>
          </w:p>
        </w:tc>
        <w:tc>
          <w:tcPr>
            <w:tcW w:w="768" w:type="pct"/>
            <w:shd w:val="clear" w:color="auto" w:fill="auto"/>
            <w:noWrap/>
            <w:vAlign w:val="bottom"/>
            <w:hideMark/>
          </w:tcPr>
          <w:p w14:paraId="5A652E0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235.65</w:t>
            </w:r>
          </w:p>
        </w:tc>
      </w:tr>
      <w:tr w:rsidR="005B5953" w:rsidRPr="005B12AE" w14:paraId="08BA1C90" w14:textId="77777777" w:rsidTr="00250DAC">
        <w:trPr>
          <w:trHeight w:val="20"/>
        </w:trPr>
        <w:tc>
          <w:tcPr>
            <w:tcW w:w="229" w:type="pct"/>
            <w:vMerge/>
            <w:shd w:val="clear" w:color="auto" w:fill="auto"/>
            <w:vAlign w:val="center"/>
            <w:hideMark/>
          </w:tcPr>
          <w:p w14:paraId="00E6686B" w14:textId="77777777" w:rsidR="005B5953" w:rsidRPr="005B12AE" w:rsidRDefault="005B5953" w:rsidP="00250DAC">
            <w:pPr>
              <w:spacing w:after="0" w:line="240" w:lineRule="auto"/>
              <w:jc w:val="center"/>
              <w:rPr>
                <w:rFonts w:ascii="Times New Roman" w:hAnsi="Times New Roman"/>
                <w:color w:val="000000"/>
                <w:sz w:val="20"/>
                <w:szCs w:val="20"/>
              </w:rPr>
            </w:pPr>
          </w:p>
        </w:tc>
        <w:tc>
          <w:tcPr>
            <w:tcW w:w="1195" w:type="pct"/>
            <w:vMerge/>
            <w:shd w:val="clear" w:color="auto" w:fill="auto"/>
            <w:hideMark/>
          </w:tcPr>
          <w:p w14:paraId="224092BC" w14:textId="77777777" w:rsidR="005B5953" w:rsidRPr="005B12AE" w:rsidRDefault="005B5953" w:rsidP="00250DAC">
            <w:pPr>
              <w:spacing w:after="0" w:line="240" w:lineRule="auto"/>
              <w:rPr>
                <w:rFonts w:ascii="Times New Roman" w:hAnsi="Times New Roman"/>
                <w:sz w:val="20"/>
                <w:szCs w:val="20"/>
              </w:rPr>
            </w:pPr>
          </w:p>
        </w:tc>
        <w:tc>
          <w:tcPr>
            <w:tcW w:w="1337" w:type="pct"/>
            <w:shd w:val="clear" w:color="auto" w:fill="auto"/>
            <w:hideMark/>
          </w:tcPr>
          <w:p w14:paraId="224A032D"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Rent &amp; Remuneration paid</w:t>
            </w:r>
          </w:p>
        </w:tc>
        <w:tc>
          <w:tcPr>
            <w:tcW w:w="669" w:type="pct"/>
            <w:shd w:val="clear" w:color="auto" w:fill="auto"/>
            <w:noWrap/>
            <w:vAlign w:val="bottom"/>
            <w:hideMark/>
          </w:tcPr>
          <w:p w14:paraId="0C68A24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2.40</w:t>
            </w:r>
          </w:p>
        </w:tc>
        <w:tc>
          <w:tcPr>
            <w:tcW w:w="802" w:type="pct"/>
            <w:shd w:val="clear" w:color="auto" w:fill="auto"/>
            <w:noWrap/>
            <w:vAlign w:val="bottom"/>
            <w:hideMark/>
          </w:tcPr>
          <w:p w14:paraId="2525BC6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32.43</w:t>
            </w:r>
          </w:p>
        </w:tc>
        <w:tc>
          <w:tcPr>
            <w:tcW w:w="768" w:type="pct"/>
            <w:shd w:val="clear" w:color="auto" w:fill="auto"/>
            <w:noWrap/>
            <w:vAlign w:val="bottom"/>
            <w:hideMark/>
          </w:tcPr>
          <w:p w14:paraId="33BA2F6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20.80</w:t>
            </w:r>
          </w:p>
        </w:tc>
      </w:tr>
      <w:tr w:rsidR="005B5953" w:rsidRPr="005B12AE" w14:paraId="38F3D048" w14:textId="77777777" w:rsidTr="00250DAC">
        <w:trPr>
          <w:trHeight w:val="20"/>
        </w:trPr>
        <w:tc>
          <w:tcPr>
            <w:tcW w:w="229" w:type="pct"/>
            <w:vMerge/>
            <w:shd w:val="clear" w:color="auto" w:fill="auto"/>
            <w:vAlign w:val="center"/>
            <w:hideMark/>
          </w:tcPr>
          <w:p w14:paraId="66E685BB" w14:textId="77777777" w:rsidR="005B5953" w:rsidRPr="005B12AE" w:rsidRDefault="005B5953" w:rsidP="00250DAC">
            <w:pPr>
              <w:spacing w:after="0" w:line="240" w:lineRule="auto"/>
              <w:jc w:val="center"/>
              <w:rPr>
                <w:rFonts w:ascii="Times New Roman" w:hAnsi="Times New Roman"/>
                <w:color w:val="000000"/>
                <w:sz w:val="20"/>
                <w:szCs w:val="20"/>
              </w:rPr>
            </w:pPr>
          </w:p>
        </w:tc>
        <w:tc>
          <w:tcPr>
            <w:tcW w:w="1195" w:type="pct"/>
            <w:vMerge/>
            <w:shd w:val="clear" w:color="auto" w:fill="auto"/>
            <w:hideMark/>
          </w:tcPr>
          <w:p w14:paraId="34A54F15" w14:textId="77777777" w:rsidR="005B5953" w:rsidRPr="005B12AE" w:rsidRDefault="005B5953" w:rsidP="00250DAC">
            <w:pPr>
              <w:spacing w:after="0" w:line="240" w:lineRule="auto"/>
              <w:rPr>
                <w:rFonts w:ascii="Times New Roman" w:hAnsi="Times New Roman"/>
                <w:sz w:val="20"/>
                <w:szCs w:val="20"/>
              </w:rPr>
            </w:pPr>
          </w:p>
        </w:tc>
        <w:tc>
          <w:tcPr>
            <w:tcW w:w="1337" w:type="pct"/>
            <w:shd w:val="clear" w:color="auto" w:fill="auto"/>
            <w:hideMark/>
          </w:tcPr>
          <w:p w14:paraId="44D7A940"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Closing Balance</w:t>
            </w:r>
          </w:p>
        </w:tc>
        <w:tc>
          <w:tcPr>
            <w:tcW w:w="669" w:type="pct"/>
            <w:shd w:val="clear" w:color="auto" w:fill="auto"/>
            <w:noWrap/>
            <w:vAlign w:val="bottom"/>
            <w:hideMark/>
          </w:tcPr>
          <w:p w14:paraId="2084E72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26.94</w:t>
            </w:r>
          </w:p>
        </w:tc>
        <w:tc>
          <w:tcPr>
            <w:tcW w:w="802" w:type="pct"/>
            <w:shd w:val="clear" w:color="auto" w:fill="auto"/>
            <w:noWrap/>
            <w:vAlign w:val="bottom"/>
            <w:hideMark/>
          </w:tcPr>
          <w:p w14:paraId="25A5648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8.90</w:t>
            </w:r>
          </w:p>
        </w:tc>
        <w:tc>
          <w:tcPr>
            <w:tcW w:w="768" w:type="pct"/>
            <w:shd w:val="clear" w:color="auto" w:fill="auto"/>
            <w:noWrap/>
            <w:vAlign w:val="bottom"/>
            <w:hideMark/>
          </w:tcPr>
          <w:p w14:paraId="550EEF0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12.05</w:t>
            </w:r>
          </w:p>
        </w:tc>
      </w:tr>
      <w:tr w:rsidR="005B5953" w:rsidRPr="005B12AE" w14:paraId="6B189795" w14:textId="77777777" w:rsidTr="00250DAC">
        <w:trPr>
          <w:trHeight w:val="20"/>
        </w:trPr>
        <w:tc>
          <w:tcPr>
            <w:tcW w:w="229" w:type="pct"/>
            <w:vMerge w:val="restart"/>
            <w:shd w:val="clear" w:color="auto" w:fill="auto"/>
            <w:vAlign w:val="center"/>
            <w:hideMark/>
          </w:tcPr>
          <w:p w14:paraId="7C8A289A"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4</w:t>
            </w:r>
          </w:p>
          <w:p w14:paraId="5B44A2F7"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p w14:paraId="732CC3DB"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p w14:paraId="17629881"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tc>
        <w:tc>
          <w:tcPr>
            <w:tcW w:w="1195" w:type="pct"/>
            <w:vMerge w:val="restart"/>
            <w:shd w:val="clear" w:color="auto" w:fill="auto"/>
            <w:hideMark/>
          </w:tcPr>
          <w:p w14:paraId="3C814EBA"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Nikunj Inani</w:t>
            </w:r>
          </w:p>
        </w:tc>
        <w:tc>
          <w:tcPr>
            <w:tcW w:w="1337" w:type="pct"/>
            <w:shd w:val="clear" w:color="auto" w:fill="auto"/>
            <w:vAlign w:val="center"/>
            <w:hideMark/>
          </w:tcPr>
          <w:p w14:paraId="47B60272" w14:textId="77777777" w:rsidR="005B5953" w:rsidRPr="005B12AE" w:rsidRDefault="005B5953"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t>Opening Balance</w:t>
            </w:r>
          </w:p>
        </w:tc>
        <w:tc>
          <w:tcPr>
            <w:tcW w:w="669" w:type="pct"/>
            <w:shd w:val="clear" w:color="auto" w:fill="auto"/>
            <w:noWrap/>
            <w:vAlign w:val="bottom"/>
            <w:hideMark/>
          </w:tcPr>
          <w:p w14:paraId="2C88B73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8.50</w:t>
            </w:r>
          </w:p>
        </w:tc>
        <w:tc>
          <w:tcPr>
            <w:tcW w:w="802" w:type="pct"/>
            <w:shd w:val="clear" w:color="auto" w:fill="auto"/>
            <w:noWrap/>
            <w:vAlign w:val="bottom"/>
            <w:hideMark/>
          </w:tcPr>
          <w:p w14:paraId="13E89C3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10.25</w:t>
            </w:r>
          </w:p>
        </w:tc>
        <w:tc>
          <w:tcPr>
            <w:tcW w:w="768" w:type="pct"/>
            <w:shd w:val="clear" w:color="auto" w:fill="auto"/>
            <w:noWrap/>
            <w:vAlign w:val="bottom"/>
            <w:hideMark/>
          </w:tcPr>
          <w:p w14:paraId="5DBE5D9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3.49</w:t>
            </w:r>
          </w:p>
        </w:tc>
      </w:tr>
      <w:tr w:rsidR="005B5953" w:rsidRPr="005B12AE" w14:paraId="12A6578C" w14:textId="77777777" w:rsidTr="00250DAC">
        <w:trPr>
          <w:trHeight w:val="20"/>
        </w:trPr>
        <w:tc>
          <w:tcPr>
            <w:tcW w:w="229" w:type="pct"/>
            <w:vMerge/>
            <w:shd w:val="clear" w:color="auto" w:fill="auto"/>
            <w:vAlign w:val="center"/>
            <w:hideMark/>
          </w:tcPr>
          <w:p w14:paraId="297C1E66" w14:textId="77777777" w:rsidR="005B5953" w:rsidRPr="005B12AE" w:rsidRDefault="005B5953" w:rsidP="00250DAC">
            <w:pPr>
              <w:spacing w:after="0" w:line="240" w:lineRule="auto"/>
              <w:jc w:val="center"/>
              <w:rPr>
                <w:rFonts w:ascii="Times New Roman" w:hAnsi="Times New Roman"/>
                <w:color w:val="000000"/>
                <w:sz w:val="20"/>
                <w:szCs w:val="20"/>
              </w:rPr>
            </w:pPr>
          </w:p>
        </w:tc>
        <w:tc>
          <w:tcPr>
            <w:tcW w:w="1195" w:type="pct"/>
            <w:vMerge/>
            <w:shd w:val="clear" w:color="auto" w:fill="auto"/>
            <w:noWrap/>
            <w:vAlign w:val="bottom"/>
            <w:hideMark/>
          </w:tcPr>
          <w:p w14:paraId="19A6FEDB" w14:textId="77777777" w:rsidR="005B5953" w:rsidRPr="005B12AE" w:rsidRDefault="005B5953" w:rsidP="00250DAC">
            <w:pPr>
              <w:spacing w:after="0" w:line="240" w:lineRule="auto"/>
              <w:rPr>
                <w:rFonts w:ascii="Times New Roman" w:hAnsi="Times New Roman"/>
                <w:color w:val="000000"/>
                <w:sz w:val="20"/>
                <w:szCs w:val="20"/>
              </w:rPr>
            </w:pPr>
          </w:p>
        </w:tc>
        <w:tc>
          <w:tcPr>
            <w:tcW w:w="1337" w:type="pct"/>
            <w:shd w:val="clear" w:color="auto" w:fill="auto"/>
            <w:hideMark/>
          </w:tcPr>
          <w:p w14:paraId="368BDC32"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Remuneration to Directors:</w:t>
            </w:r>
          </w:p>
        </w:tc>
        <w:tc>
          <w:tcPr>
            <w:tcW w:w="669" w:type="pct"/>
            <w:shd w:val="clear" w:color="auto" w:fill="auto"/>
            <w:noWrap/>
            <w:vAlign w:val="bottom"/>
            <w:hideMark/>
          </w:tcPr>
          <w:p w14:paraId="2E8B2C5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02" w:type="pct"/>
            <w:shd w:val="clear" w:color="auto" w:fill="auto"/>
            <w:noWrap/>
            <w:vAlign w:val="bottom"/>
            <w:hideMark/>
          </w:tcPr>
          <w:p w14:paraId="2C3054E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68" w:type="pct"/>
            <w:shd w:val="clear" w:color="auto" w:fill="auto"/>
            <w:noWrap/>
            <w:vAlign w:val="bottom"/>
            <w:hideMark/>
          </w:tcPr>
          <w:p w14:paraId="5535F93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12.00</w:t>
            </w:r>
          </w:p>
        </w:tc>
      </w:tr>
      <w:tr w:rsidR="005B5953" w:rsidRPr="005B12AE" w14:paraId="5985444E" w14:textId="77777777" w:rsidTr="00250DAC">
        <w:trPr>
          <w:trHeight w:val="20"/>
        </w:trPr>
        <w:tc>
          <w:tcPr>
            <w:tcW w:w="229" w:type="pct"/>
            <w:vMerge/>
            <w:shd w:val="clear" w:color="auto" w:fill="auto"/>
            <w:vAlign w:val="center"/>
            <w:hideMark/>
          </w:tcPr>
          <w:p w14:paraId="127961EA" w14:textId="77777777" w:rsidR="005B5953" w:rsidRPr="005B12AE" w:rsidRDefault="005B5953" w:rsidP="00250DAC">
            <w:pPr>
              <w:spacing w:after="0" w:line="240" w:lineRule="auto"/>
              <w:jc w:val="center"/>
              <w:rPr>
                <w:rFonts w:ascii="Times New Roman" w:hAnsi="Times New Roman"/>
                <w:color w:val="000000"/>
                <w:sz w:val="20"/>
                <w:szCs w:val="20"/>
              </w:rPr>
            </w:pPr>
          </w:p>
        </w:tc>
        <w:tc>
          <w:tcPr>
            <w:tcW w:w="1195" w:type="pct"/>
            <w:vMerge/>
            <w:shd w:val="clear" w:color="auto" w:fill="auto"/>
            <w:hideMark/>
          </w:tcPr>
          <w:p w14:paraId="55AE0F7F" w14:textId="77777777" w:rsidR="005B5953" w:rsidRPr="005B12AE" w:rsidRDefault="005B5953" w:rsidP="00250DAC">
            <w:pPr>
              <w:spacing w:after="0" w:line="240" w:lineRule="auto"/>
              <w:rPr>
                <w:rFonts w:ascii="Times New Roman" w:hAnsi="Times New Roman"/>
                <w:sz w:val="20"/>
                <w:szCs w:val="20"/>
              </w:rPr>
            </w:pPr>
          </w:p>
        </w:tc>
        <w:tc>
          <w:tcPr>
            <w:tcW w:w="1337" w:type="pct"/>
            <w:shd w:val="clear" w:color="auto" w:fill="auto"/>
            <w:hideMark/>
          </w:tcPr>
          <w:p w14:paraId="11954B8A"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Loan repaid</w:t>
            </w:r>
          </w:p>
        </w:tc>
        <w:tc>
          <w:tcPr>
            <w:tcW w:w="669" w:type="pct"/>
            <w:shd w:val="clear" w:color="auto" w:fill="auto"/>
            <w:noWrap/>
            <w:vAlign w:val="bottom"/>
            <w:hideMark/>
          </w:tcPr>
          <w:p w14:paraId="277F9CC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02" w:type="pct"/>
            <w:shd w:val="clear" w:color="auto" w:fill="auto"/>
            <w:noWrap/>
            <w:vAlign w:val="bottom"/>
            <w:hideMark/>
          </w:tcPr>
          <w:p w14:paraId="65AEB8F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1.75</w:t>
            </w:r>
          </w:p>
        </w:tc>
        <w:tc>
          <w:tcPr>
            <w:tcW w:w="768" w:type="pct"/>
            <w:shd w:val="clear" w:color="auto" w:fill="auto"/>
            <w:noWrap/>
            <w:vAlign w:val="bottom"/>
            <w:hideMark/>
          </w:tcPr>
          <w:p w14:paraId="7AF9BAE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5.24</w:t>
            </w:r>
          </w:p>
        </w:tc>
      </w:tr>
      <w:tr w:rsidR="005B5953" w:rsidRPr="005B12AE" w14:paraId="005B401A" w14:textId="77777777" w:rsidTr="00250DAC">
        <w:trPr>
          <w:trHeight w:val="20"/>
        </w:trPr>
        <w:tc>
          <w:tcPr>
            <w:tcW w:w="229" w:type="pct"/>
            <w:vMerge/>
            <w:shd w:val="clear" w:color="auto" w:fill="auto"/>
            <w:vAlign w:val="center"/>
            <w:hideMark/>
          </w:tcPr>
          <w:p w14:paraId="689A4A50" w14:textId="77777777" w:rsidR="005B5953" w:rsidRPr="005B12AE" w:rsidRDefault="005B5953" w:rsidP="00250DAC">
            <w:pPr>
              <w:spacing w:after="0" w:line="240" w:lineRule="auto"/>
              <w:jc w:val="center"/>
              <w:rPr>
                <w:rFonts w:ascii="Times New Roman" w:hAnsi="Times New Roman"/>
                <w:color w:val="000000"/>
                <w:sz w:val="20"/>
                <w:szCs w:val="20"/>
              </w:rPr>
            </w:pPr>
          </w:p>
        </w:tc>
        <w:tc>
          <w:tcPr>
            <w:tcW w:w="1195" w:type="pct"/>
            <w:vMerge/>
            <w:shd w:val="clear" w:color="auto" w:fill="auto"/>
            <w:hideMark/>
          </w:tcPr>
          <w:p w14:paraId="0221C113" w14:textId="77777777" w:rsidR="005B5953" w:rsidRPr="005B12AE" w:rsidRDefault="005B5953" w:rsidP="00250DAC">
            <w:pPr>
              <w:spacing w:after="0" w:line="240" w:lineRule="auto"/>
              <w:rPr>
                <w:rFonts w:ascii="Times New Roman" w:hAnsi="Times New Roman"/>
                <w:sz w:val="20"/>
                <w:szCs w:val="20"/>
              </w:rPr>
            </w:pPr>
          </w:p>
        </w:tc>
        <w:tc>
          <w:tcPr>
            <w:tcW w:w="1337" w:type="pct"/>
            <w:shd w:val="clear" w:color="auto" w:fill="auto"/>
            <w:hideMark/>
          </w:tcPr>
          <w:p w14:paraId="63F8997E"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Closing Balance</w:t>
            </w:r>
          </w:p>
        </w:tc>
        <w:tc>
          <w:tcPr>
            <w:tcW w:w="669" w:type="pct"/>
            <w:shd w:val="clear" w:color="auto" w:fill="auto"/>
            <w:noWrap/>
            <w:vAlign w:val="bottom"/>
            <w:hideMark/>
          </w:tcPr>
          <w:p w14:paraId="53255B5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8.50</w:t>
            </w:r>
          </w:p>
        </w:tc>
        <w:tc>
          <w:tcPr>
            <w:tcW w:w="802" w:type="pct"/>
            <w:shd w:val="clear" w:color="auto" w:fill="auto"/>
            <w:noWrap/>
            <w:vAlign w:val="bottom"/>
            <w:hideMark/>
          </w:tcPr>
          <w:p w14:paraId="5B2D8D3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8.50</w:t>
            </w:r>
          </w:p>
        </w:tc>
        <w:tc>
          <w:tcPr>
            <w:tcW w:w="768" w:type="pct"/>
            <w:shd w:val="clear" w:color="auto" w:fill="auto"/>
            <w:noWrap/>
            <w:vAlign w:val="bottom"/>
            <w:hideMark/>
          </w:tcPr>
          <w:p w14:paraId="7D8F5FC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10.25</w:t>
            </w:r>
          </w:p>
        </w:tc>
      </w:tr>
      <w:tr w:rsidR="005B5953" w:rsidRPr="005B12AE" w14:paraId="584940C9" w14:textId="77777777" w:rsidTr="00250DAC">
        <w:trPr>
          <w:trHeight w:val="20"/>
        </w:trPr>
        <w:tc>
          <w:tcPr>
            <w:tcW w:w="229" w:type="pct"/>
            <w:vMerge w:val="restart"/>
            <w:shd w:val="clear" w:color="auto" w:fill="auto"/>
            <w:vAlign w:val="center"/>
            <w:hideMark/>
          </w:tcPr>
          <w:p w14:paraId="47B6C60A"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5</w:t>
            </w:r>
          </w:p>
          <w:p w14:paraId="49D847FF"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p w14:paraId="094EEC1D"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p w14:paraId="33C4CC48"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p w14:paraId="1FDDC564"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tc>
        <w:tc>
          <w:tcPr>
            <w:tcW w:w="1195" w:type="pct"/>
            <w:vMerge w:val="restart"/>
            <w:shd w:val="clear" w:color="auto" w:fill="auto"/>
            <w:hideMark/>
          </w:tcPr>
          <w:p w14:paraId="19EA6200"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Megha Bhavesh Maheshwari</w:t>
            </w:r>
          </w:p>
          <w:p w14:paraId="4FBE5737"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1337" w:type="pct"/>
            <w:shd w:val="clear" w:color="auto" w:fill="auto"/>
            <w:vAlign w:val="center"/>
            <w:hideMark/>
          </w:tcPr>
          <w:p w14:paraId="5424C22E" w14:textId="77777777" w:rsidR="005B5953" w:rsidRPr="005B12AE" w:rsidRDefault="005B5953"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t>Opening Balance</w:t>
            </w:r>
          </w:p>
        </w:tc>
        <w:tc>
          <w:tcPr>
            <w:tcW w:w="669" w:type="pct"/>
            <w:shd w:val="clear" w:color="auto" w:fill="auto"/>
            <w:noWrap/>
            <w:vAlign w:val="bottom"/>
            <w:hideMark/>
          </w:tcPr>
          <w:p w14:paraId="213A397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(11.22)</w:t>
            </w:r>
          </w:p>
        </w:tc>
        <w:tc>
          <w:tcPr>
            <w:tcW w:w="802" w:type="pct"/>
            <w:shd w:val="clear" w:color="auto" w:fill="auto"/>
            <w:noWrap/>
            <w:vAlign w:val="bottom"/>
            <w:hideMark/>
          </w:tcPr>
          <w:p w14:paraId="51BAC95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68" w:type="pct"/>
            <w:shd w:val="clear" w:color="auto" w:fill="auto"/>
            <w:noWrap/>
            <w:vAlign w:val="bottom"/>
            <w:hideMark/>
          </w:tcPr>
          <w:p w14:paraId="05CB034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76555F9C" w14:textId="77777777" w:rsidTr="00250DAC">
        <w:trPr>
          <w:trHeight w:val="20"/>
        </w:trPr>
        <w:tc>
          <w:tcPr>
            <w:tcW w:w="229" w:type="pct"/>
            <w:vMerge/>
            <w:shd w:val="clear" w:color="auto" w:fill="auto"/>
            <w:vAlign w:val="center"/>
            <w:hideMark/>
          </w:tcPr>
          <w:p w14:paraId="0D474D3E" w14:textId="77777777" w:rsidR="005B5953" w:rsidRPr="005B12AE" w:rsidRDefault="005B5953" w:rsidP="00250DAC">
            <w:pPr>
              <w:spacing w:after="0" w:line="240" w:lineRule="auto"/>
              <w:jc w:val="center"/>
              <w:rPr>
                <w:rFonts w:ascii="Times New Roman" w:hAnsi="Times New Roman"/>
                <w:color w:val="000000"/>
                <w:sz w:val="20"/>
                <w:szCs w:val="20"/>
              </w:rPr>
            </w:pPr>
          </w:p>
        </w:tc>
        <w:tc>
          <w:tcPr>
            <w:tcW w:w="1195" w:type="pct"/>
            <w:vMerge/>
            <w:shd w:val="clear" w:color="auto" w:fill="auto"/>
            <w:noWrap/>
            <w:vAlign w:val="bottom"/>
            <w:hideMark/>
          </w:tcPr>
          <w:p w14:paraId="036AFE6C" w14:textId="77777777" w:rsidR="005B5953" w:rsidRPr="005B12AE" w:rsidRDefault="005B5953" w:rsidP="00250DAC">
            <w:pPr>
              <w:spacing w:after="0" w:line="240" w:lineRule="auto"/>
              <w:rPr>
                <w:rFonts w:ascii="Times New Roman" w:hAnsi="Times New Roman"/>
                <w:color w:val="000000"/>
                <w:sz w:val="20"/>
                <w:szCs w:val="20"/>
              </w:rPr>
            </w:pPr>
          </w:p>
        </w:tc>
        <w:tc>
          <w:tcPr>
            <w:tcW w:w="1337" w:type="pct"/>
            <w:shd w:val="clear" w:color="auto" w:fill="auto"/>
            <w:hideMark/>
          </w:tcPr>
          <w:p w14:paraId="3AAF1FDF"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Salary to Related Parties</w:t>
            </w:r>
          </w:p>
        </w:tc>
        <w:tc>
          <w:tcPr>
            <w:tcW w:w="669" w:type="pct"/>
            <w:shd w:val="clear" w:color="auto" w:fill="auto"/>
            <w:noWrap/>
            <w:vAlign w:val="bottom"/>
            <w:hideMark/>
          </w:tcPr>
          <w:p w14:paraId="6B666F0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25.20</w:t>
            </w:r>
          </w:p>
        </w:tc>
        <w:tc>
          <w:tcPr>
            <w:tcW w:w="802" w:type="pct"/>
            <w:shd w:val="clear" w:color="auto" w:fill="auto"/>
            <w:noWrap/>
            <w:vAlign w:val="bottom"/>
            <w:hideMark/>
          </w:tcPr>
          <w:p w14:paraId="53BF12A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15.00</w:t>
            </w:r>
          </w:p>
        </w:tc>
        <w:tc>
          <w:tcPr>
            <w:tcW w:w="768" w:type="pct"/>
            <w:shd w:val="clear" w:color="auto" w:fill="auto"/>
            <w:noWrap/>
            <w:vAlign w:val="bottom"/>
            <w:hideMark/>
          </w:tcPr>
          <w:p w14:paraId="643C3F4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6D7404EB" w14:textId="77777777" w:rsidTr="00250DAC">
        <w:trPr>
          <w:trHeight w:val="20"/>
        </w:trPr>
        <w:tc>
          <w:tcPr>
            <w:tcW w:w="229" w:type="pct"/>
            <w:vMerge/>
            <w:shd w:val="clear" w:color="auto" w:fill="auto"/>
            <w:vAlign w:val="center"/>
            <w:hideMark/>
          </w:tcPr>
          <w:p w14:paraId="4441E06D" w14:textId="77777777" w:rsidR="005B5953" w:rsidRPr="005B12AE" w:rsidRDefault="005B5953" w:rsidP="00250DAC">
            <w:pPr>
              <w:spacing w:after="0" w:line="240" w:lineRule="auto"/>
              <w:jc w:val="center"/>
              <w:rPr>
                <w:rFonts w:ascii="Times New Roman" w:hAnsi="Times New Roman"/>
                <w:color w:val="000000"/>
                <w:sz w:val="20"/>
                <w:szCs w:val="20"/>
              </w:rPr>
            </w:pPr>
          </w:p>
        </w:tc>
        <w:tc>
          <w:tcPr>
            <w:tcW w:w="1195" w:type="pct"/>
            <w:vMerge/>
            <w:shd w:val="clear" w:color="auto" w:fill="auto"/>
            <w:hideMark/>
          </w:tcPr>
          <w:p w14:paraId="2E4BA012" w14:textId="77777777" w:rsidR="005B5953" w:rsidRPr="005B12AE" w:rsidRDefault="005B5953" w:rsidP="00250DAC">
            <w:pPr>
              <w:spacing w:after="0" w:line="240" w:lineRule="auto"/>
              <w:rPr>
                <w:rFonts w:ascii="Times New Roman" w:hAnsi="Times New Roman"/>
                <w:sz w:val="20"/>
                <w:szCs w:val="20"/>
              </w:rPr>
            </w:pPr>
          </w:p>
        </w:tc>
        <w:tc>
          <w:tcPr>
            <w:tcW w:w="1337" w:type="pct"/>
            <w:shd w:val="clear" w:color="auto" w:fill="auto"/>
            <w:hideMark/>
          </w:tcPr>
          <w:p w14:paraId="2648B0A7"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loan accepted</w:t>
            </w:r>
          </w:p>
        </w:tc>
        <w:tc>
          <w:tcPr>
            <w:tcW w:w="669" w:type="pct"/>
            <w:shd w:val="clear" w:color="auto" w:fill="auto"/>
            <w:noWrap/>
            <w:vAlign w:val="bottom"/>
            <w:hideMark/>
          </w:tcPr>
          <w:p w14:paraId="4DADAF8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444.60</w:t>
            </w:r>
          </w:p>
        </w:tc>
        <w:tc>
          <w:tcPr>
            <w:tcW w:w="802" w:type="pct"/>
            <w:shd w:val="clear" w:color="auto" w:fill="auto"/>
            <w:noWrap/>
            <w:vAlign w:val="bottom"/>
            <w:hideMark/>
          </w:tcPr>
          <w:p w14:paraId="1B3415C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68" w:type="pct"/>
            <w:shd w:val="clear" w:color="auto" w:fill="auto"/>
            <w:noWrap/>
            <w:vAlign w:val="bottom"/>
            <w:hideMark/>
          </w:tcPr>
          <w:p w14:paraId="38353D0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592E7E5C" w14:textId="77777777" w:rsidTr="00250DAC">
        <w:trPr>
          <w:trHeight w:val="20"/>
        </w:trPr>
        <w:tc>
          <w:tcPr>
            <w:tcW w:w="229" w:type="pct"/>
            <w:vMerge/>
            <w:shd w:val="clear" w:color="auto" w:fill="auto"/>
            <w:vAlign w:val="center"/>
            <w:hideMark/>
          </w:tcPr>
          <w:p w14:paraId="16EDAC7A" w14:textId="77777777" w:rsidR="005B5953" w:rsidRPr="005B12AE" w:rsidRDefault="005B5953" w:rsidP="00250DAC">
            <w:pPr>
              <w:spacing w:after="0" w:line="240" w:lineRule="auto"/>
              <w:jc w:val="center"/>
              <w:rPr>
                <w:rFonts w:ascii="Times New Roman" w:hAnsi="Times New Roman"/>
                <w:color w:val="000000"/>
                <w:sz w:val="20"/>
                <w:szCs w:val="20"/>
              </w:rPr>
            </w:pPr>
          </w:p>
        </w:tc>
        <w:tc>
          <w:tcPr>
            <w:tcW w:w="1195" w:type="pct"/>
            <w:vMerge/>
            <w:shd w:val="clear" w:color="auto" w:fill="auto"/>
            <w:hideMark/>
          </w:tcPr>
          <w:p w14:paraId="36FE7699" w14:textId="77777777" w:rsidR="005B5953" w:rsidRPr="005B12AE" w:rsidRDefault="005B5953" w:rsidP="00250DAC">
            <w:pPr>
              <w:spacing w:after="0" w:line="240" w:lineRule="auto"/>
              <w:rPr>
                <w:rFonts w:ascii="Times New Roman" w:hAnsi="Times New Roman"/>
                <w:sz w:val="20"/>
                <w:szCs w:val="20"/>
              </w:rPr>
            </w:pPr>
          </w:p>
        </w:tc>
        <w:tc>
          <w:tcPr>
            <w:tcW w:w="1337" w:type="pct"/>
            <w:shd w:val="clear" w:color="auto" w:fill="auto"/>
            <w:hideMark/>
          </w:tcPr>
          <w:p w14:paraId="5B18A0D9"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loan repaid</w:t>
            </w:r>
          </w:p>
        </w:tc>
        <w:tc>
          <w:tcPr>
            <w:tcW w:w="669" w:type="pct"/>
            <w:shd w:val="clear" w:color="auto" w:fill="auto"/>
            <w:noWrap/>
            <w:vAlign w:val="bottom"/>
            <w:hideMark/>
          </w:tcPr>
          <w:p w14:paraId="5ADF99C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456.94</w:t>
            </w:r>
          </w:p>
        </w:tc>
        <w:tc>
          <w:tcPr>
            <w:tcW w:w="802" w:type="pct"/>
            <w:shd w:val="clear" w:color="auto" w:fill="auto"/>
            <w:noWrap/>
            <w:vAlign w:val="bottom"/>
            <w:hideMark/>
          </w:tcPr>
          <w:p w14:paraId="4F1BEF5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26.22</w:t>
            </w:r>
          </w:p>
        </w:tc>
        <w:tc>
          <w:tcPr>
            <w:tcW w:w="768" w:type="pct"/>
            <w:shd w:val="clear" w:color="auto" w:fill="auto"/>
            <w:noWrap/>
            <w:vAlign w:val="bottom"/>
            <w:hideMark/>
          </w:tcPr>
          <w:p w14:paraId="7DB9BA5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5670DFEA" w14:textId="77777777" w:rsidTr="00250DAC">
        <w:trPr>
          <w:trHeight w:val="20"/>
        </w:trPr>
        <w:tc>
          <w:tcPr>
            <w:tcW w:w="229" w:type="pct"/>
            <w:vMerge/>
            <w:shd w:val="clear" w:color="auto" w:fill="auto"/>
            <w:vAlign w:val="center"/>
            <w:hideMark/>
          </w:tcPr>
          <w:p w14:paraId="67B278D8" w14:textId="77777777" w:rsidR="005B5953" w:rsidRPr="005B12AE" w:rsidRDefault="005B5953" w:rsidP="00250DAC">
            <w:pPr>
              <w:spacing w:after="0" w:line="240" w:lineRule="auto"/>
              <w:jc w:val="center"/>
              <w:rPr>
                <w:rFonts w:ascii="Times New Roman" w:hAnsi="Times New Roman"/>
                <w:color w:val="000000"/>
                <w:sz w:val="20"/>
                <w:szCs w:val="20"/>
              </w:rPr>
            </w:pPr>
          </w:p>
        </w:tc>
        <w:tc>
          <w:tcPr>
            <w:tcW w:w="1195" w:type="pct"/>
            <w:vMerge/>
            <w:shd w:val="clear" w:color="auto" w:fill="auto"/>
            <w:hideMark/>
          </w:tcPr>
          <w:p w14:paraId="44D2E61D" w14:textId="77777777" w:rsidR="005B5953" w:rsidRPr="005B12AE" w:rsidRDefault="005B5953" w:rsidP="00250DAC">
            <w:pPr>
              <w:spacing w:after="0" w:line="240" w:lineRule="auto"/>
              <w:rPr>
                <w:rFonts w:ascii="Times New Roman" w:hAnsi="Times New Roman"/>
                <w:sz w:val="20"/>
                <w:szCs w:val="20"/>
              </w:rPr>
            </w:pPr>
          </w:p>
        </w:tc>
        <w:tc>
          <w:tcPr>
            <w:tcW w:w="1337" w:type="pct"/>
            <w:shd w:val="clear" w:color="auto" w:fill="auto"/>
            <w:hideMark/>
          </w:tcPr>
          <w:p w14:paraId="69D2B2BC"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Closing Balance</w:t>
            </w:r>
          </w:p>
        </w:tc>
        <w:tc>
          <w:tcPr>
            <w:tcW w:w="669" w:type="pct"/>
            <w:shd w:val="clear" w:color="auto" w:fill="auto"/>
            <w:noWrap/>
            <w:vAlign w:val="bottom"/>
            <w:hideMark/>
          </w:tcPr>
          <w:p w14:paraId="531FCC1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1.64</w:t>
            </w:r>
          </w:p>
        </w:tc>
        <w:tc>
          <w:tcPr>
            <w:tcW w:w="802" w:type="pct"/>
            <w:shd w:val="clear" w:color="auto" w:fill="auto"/>
            <w:noWrap/>
            <w:vAlign w:val="bottom"/>
            <w:hideMark/>
          </w:tcPr>
          <w:p w14:paraId="05E5302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(11.22)</w:t>
            </w:r>
          </w:p>
        </w:tc>
        <w:tc>
          <w:tcPr>
            <w:tcW w:w="768" w:type="pct"/>
            <w:shd w:val="clear" w:color="auto" w:fill="auto"/>
            <w:noWrap/>
            <w:vAlign w:val="bottom"/>
            <w:hideMark/>
          </w:tcPr>
          <w:p w14:paraId="4474F89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113ADF44" w14:textId="77777777" w:rsidTr="00250DAC">
        <w:trPr>
          <w:trHeight w:val="20"/>
        </w:trPr>
        <w:tc>
          <w:tcPr>
            <w:tcW w:w="229" w:type="pct"/>
            <w:vMerge w:val="restart"/>
            <w:shd w:val="clear" w:color="auto" w:fill="auto"/>
            <w:vAlign w:val="center"/>
            <w:hideMark/>
          </w:tcPr>
          <w:p w14:paraId="434AFCE8"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6</w:t>
            </w:r>
          </w:p>
          <w:p w14:paraId="2ED53583"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p w14:paraId="4472A547"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tc>
        <w:tc>
          <w:tcPr>
            <w:tcW w:w="1195" w:type="pct"/>
            <w:vMerge w:val="restart"/>
            <w:shd w:val="clear" w:color="auto" w:fill="auto"/>
            <w:hideMark/>
          </w:tcPr>
          <w:p w14:paraId="7D3B6197" w14:textId="77777777" w:rsidR="005B5953" w:rsidRPr="005B12AE" w:rsidRDefault="005B5953" w:rsidP="00250DAC">
            <w:pPr>
              <w:spacing w:after="0" w:line="240" w:lineRule="auto"/>
              <w:jc w:val="both"/>
              <w:rPr>
                <w:rFonts w:ascii="Times New Roman" w:hAnsi="Times New Roman"/>
                <w:sz w:val="20"/>
                <w:szCs w:val="20"/>
              </w:rPr>
            </w:pPr>
            <w:r w:rsidRPr="005B12AE">
              <w:rPr>
                <w:rFonts w:ascii="Times New Roman" w:hAnsi="Times New Roman"/>
                <w:sz w:val="20"/>
                <w:szCs w:val="20"/>
              </w:rPr>
              <w:t>Dwarkadhish Venture Private Limited (formerly known as Siyaram Metals Private Limited)</w:t>
            </w:r>
          </w:p>
        </w:tc>
        <w:tc>
          <w:tcPr>
            <w:tcW w:w="1337" w:type="pct"/>
            <w:shd w:val="clear" w:color="auto" w:fill="auto"/>
            <w:vAlign w:val="center"/>
            <w:hideMark/>
          </w:tcPr>
          <w:p w14:paraId="6A1BE506" w14:textId="77777777" w:rsidR="005B5953" w:rsidRPr="005B12AE" w:rsidRDefault="005B5953"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t>Opening Balance</w:t>
            </w:r>
          </w:p>
        </w:tc>
        <w:tc>
          <w:tcPr>
            <w:tcW w:w="669" w:type="pct"/>
            <w:shd w:val="clear" w:color="auto" w:fill="auto"/>
            <w:noWrap/>
            <w:vAlign w:val="bottom"/>
            <w:hideMark/>
          </w:tcPr>
          <w:p w14:paraId="4B2E0B1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02" w:type="pct"/>
            <w:shd w:val="clear" w:color="auto" w:fill="auto"/>
            <w:noWrap/>
            <w:vAlign w:val="bottom"/>
            <w:hideMark/>
          </w:tcPr>
          <w:p w14:paraId="406C717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1,271.30</w:t>
            </w:r>
          </w:p>
        </w:tc>
        <w:tc>
          <w:tcPr>
            <w:tcW w:w="768" w:type="pct"/>
            <w:shd w:val="clear" w:color="auto" w:fill="auto"/>
            <w:noWrap/>
            <w:vAlign w:val="bottom"/>
            <w:hideMark/>
          </w:tcPr>
          <w:p w14:paraId="1B4A6CC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1,270.55</w:t>
            </w:r>
          </w:p>
        </w:tc>
      </w:tr>
      <w:tr w:rsidR="005B5953" w:rsidRPr="005B12AE" w14:paraId="4607E32D" w14:textId="77777777" w:rsidTr="00250DAC">
        <w:trPr>
          <w:trHeight w:val="20"/>
        </w:trPr>
        <w:tc>
          <w:tcPr>
            <w:tcW w:w="229" w:type="pct"/>
            <w:vMerge/>
            <w:shd w:val="clear" w:color="auto" w:fill="auto"/>
            <w:noWrap/>
            <w:vAlign w:val="bottom"/>
            <w:hideMark/>
          </w:tcPr>
          <w:p w14:paraId="1A93DB31" w14:textId="77777777" w:rsidR="005B5953" w:rsidRPr="005B12AE" w:rsidRDefault="005B5953" w:rsidP="00250DAC">
            <w:pPr>
              <w:spacing w:after="0" w:line="240" w:lineRule="auto"/>
              <w:jc w:val="center"/>
              <w:rPr>
                <w:rFonts w:ascii="Times New Roman" w:hAnsi="Times New Roman"/>
                <w:sz w:val="20"/>
                <w:szCs w:val="20"/>
              </w:rPr>
            </w:pPr>
          </w:p>
        </w:tc>
        <w:tc>
          <w:tcPr>
            <w:tcW w:w="1195" w:type="pct"/>
            <w:vMerge/>
            <w:shd w:val="clear" w:color="auto" w:fill="auto"/>
            <w:noWrap/>
            <w:vAlign w:val="bottom"/>
            <w:hideMark/>
          </w:tcPr>
          <w:p w14:paraId="354CB613" w14:textId="77777777" w:rsidR="005B5953" w:rsidRPr="005B12AE" w:rsidRDefault="005B5953" w:rsidP="00250DAC">
            <w:pPr>
              <w:spacing w:after="0" w:line="240" w:lineRule="auto"/>
              <w:rPr>
                <w:rFonts w:ascii="Times New Roman" w:hAnsi="Times New Roman"/>
                <w:sz w:val="20"/>
                <w:szCs w:val="20"/>
              </w:rPr>
            </w:pPr>
          </w:p>
        </w:tc>
        <w:tc>
          <w:tcPr>
            <w:tcW w:w="1337" w:type="pct"/>
            <w:shd w:val="clear" w:color="auto" w:fill="auto"/>
            <w:hideMark/>
          </w:tcPr>
          <w:p w14:paraId="5AF1D77C"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loan accepted</w:t>
            </w:r>
          </w:p>
        </w:tc>
        <w:tc>
          <w:tcPr>
            <w:tcW w:w="669" w:type="pct"/>
            <w:shd w:val="clear" w:color="auto" w:fill="auto"/>
            <w:noWrap/>
            <w:vAlign w:val="bottom"/>
            <w:hideMark/>
          </w:tcPr>
          <w:p w14:paraId="0AE48F0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4,470.93</w:t>
            </w:r>
          </w:p>
        </w:tc>
        <w:tc>
          <w:tcPr>
            <w:tcW w:w="802" w:type="pct"/>
            <w:shd w:val="clear" w:color="auto" w:fill="auto"/>
            <w:noWrap/>
            <w:vAlign w:val="bottom"/>
            <w:hideMark/>
          </w:tcPr>
          <w:p w14:paraId="7D50F23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3,875.47</w:t>
            </w:r>
          </w:p>
        </w:tc>
        <w:tc>
          <w:tcPr>
            <w:tcW w:w="768" w:type="pct"/>
            <w:shd w:val="clear" w:color="auto" w:fill="auto"/>
            <w:noWrap/>
            <w:vAlign w:val="bottom"/>
            <w:hideMark/>
          </w:tcPr>
          <w:p w14:paraId="2568F19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524.29</w:t>
            </w:r>
          </w:p>
        </w:tc>
      </w:tr>
      <w:tr w:rsidR="005B5953" w:rsidRPr="005B12AE" w14:paraId="0E00A937" w14:textId="77777777" w:rsidTr="00250DAC">
        <w:trPr>
          <w:trHeight w:val="20"/>
        </w:trPr>
        <w:tc>
          <w:tcPr>
            <w:tcW w:w="229" w:type="pct"/>
            <w:vMerge/>
            <w:shd w:val="clear" w:color="auto" w:fill="auto"/>
            <w:vAlign w:val="center"/>
            <w:hideMark/>
          </w:tcPr>
          <w:p w14:paraId="37A3023A" w14:textId="77777777" w:rsidR="005B5953" w:rsidRPr="005B12AE" w:rsidRDefault="005B5953" w:rsidP="00250DAC">
            <w:pPr>
              <w:spacing w:after="0" w:line="240" w:lineRule="auto"/>
              <w:jc w:val="center"/>
              <w:rPr>
                <w:rFonts w:ascii="Times New Roman" w:hAnsi="Times New Roman"/>
                <w:color w:val="000000"/>
                <w:sz w:val="20"/>
                <w:szCs w:val="20"/>
              </w:rPr>
            </w:pPr>
          </w:p>
        </w:tc>
        <w:tc>
          <w:tcPr>
            <w:tcW w:w="1195" w:type="pct"/>
            <w:vMerge/>
            <w:shd w:val="clear" w:color="auto" w:fill="auto"/>
            <w:hideMark/>
          </w:tcPr>
          <w:p w14:paraId="03992C7D" w14:textId="77777777" w:rsidR="005B5953" w:rsidRPr="005B12AE" w:rsidRDefault="005B5953" w:rsidP="00250DAC">
            <w:pPr>
              <w:spacing w:after="0" w:line="240" w:lineRule="auto"/>
              <w:rPr>
                <w:rFonts w:ascii="Times New Roman" w:hAnsi="Times New Roman"/>
                <w:sz w:val="20"/>
                <w:szCs w:val="20"/>
              </w:rPr>
            </w:pPr>
          </w:p>
        </w:tc>
        <w:tc>
          <w:tcPr>
            <w:tcW w:w="1337" w:type="pct"/>
            <w:shd w:val="clear" w:color="auto" w:fill="auto"/>
            <w:hideMark/>
          </w:tcPr>
          <w:p w14:paraId="264C5A7A"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loan repaid/given</w:t>
            </w:r>
          </w:p>
        </w:tc>
        <w:tc>
          <w:tcPr>
            <w:tcW w:w="669" w:type="pct"/>
            <w:shd w:val="clear" w:color="auto" w:fill="auto"/>
            <w:noWrap/>
            <w:vAlign w:val="bottom"/>
            <w:hideMark/>
          </w:tcPr>
          <w:p w14:paraId="5A37D47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3,261.90</w:t>
            </w:r>
          </w:p>
        </w:tc>
        <w:tc>
          <w:tcPr>
            <w:tcW w:w="802" w:type="pct"/>
            <w:shd w:val="clear" w:color="auto" w:fill="auto"/>
            <w:noWrap/>
            <w:vAlign w:val="bottom"/>
            <w:hideMark/>
          </w:tcPr>
          <w:p w14:paraId="2ADE7A0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5,146.77</w:t>
            </w:r>
          </w:p>
        </w:tc>
        <w:tc>
          <w:tcPr>
            <w:tcW w:w="768" w:type="pct"/>
            <w:shd w:val="clear" w:color="auto" w:fill="auto"/>
            <w:noWrap/>
            <w:vAlign w:val="bottom"/>
            <w:hideMark/>
          </w:tcPr>
          <w:p w14:paraId="33FD0DA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523.54</w:t>
            </w:r>
          </w:p>
        </w:tc>
      </w:tr>
      <w:tr w:rsidR="005B5953" w:rsidRPr="005B12AE" w14:paraId="40119EAE" w14:textId="77777777" w:rsidTr="00250DAC">
        <w:trPr>
          <w:trHeight w:val="20"/>
        </w:trPr>
        <w:tc>
          <w:tcPr>
            <w:tcW w:w="229" w:type="pct"/>
            <w:vMerge/>
            <w:shd w:val="clear" w:color="auto" w:fill="auto"/>
            <w:vAlign w:val="center"/>
            <w:hideMark/>
          </w:tcPr>
          <w:p w14:paraId="4A6860A5" w14:textId="77777777" w:rsidR="005B5953" w:rsidRPr="005B12AE" w:rsidRDefault="005B5953" w:rsidP="00250DAC">
            <w:pPr>
              <w:spacing w:after="0" w:line="240" w:lineRule="auto"/>
              <w:jc w:val="center"/>
              <w:rPr>
                <w:rFonts w:ascii="Times New Roman" w:hAnsi="Times New Roman"/>
                <w:color w:val="000000"/>
                <w:sz w:val="20"/>
                <w:szCs w:val="20"/>
              </w:rPr>
            </w:pPr>
          </w:p>
        </w:tc>
        <w:tc>
          <w:tcPr>
            <w:tcW w:w="1195" w:type="pct"/>
            <w:vMerge/>
            <w:shd w:val="clear" w:color="auto" w:fill="auto"/>
            <w:hideMark/>
          </w:tcPr>
          <w:p w14:paraId="21508697" w14:textId="77777777" w:rsidR="005B5953" w:rsidRPr="005B12AE" w:rsidRDefault="005B5953" w:rsidP="00250DAC">
            <w:pPr>
              <w:spacing w:after="0" w:line="240" w:lineRule="auto"/>
              <w:rPr>
                <w:rFonts w:ascii="Times New Roman" w:hAnsi="Times New Roman"/>
                <w:sz w:val="20"/>
                <w:szCs w:val="20"/>
              </w:rPr>
            </w:pPr>
          </w:p>
        </w:tc>
        <w:tc>
          <w:tcPr>
            <w:tcW w:w="1337" w:type="pct"/>
            <w:shd w:val="clear" w:color="auto" w:fill="auto"/>
            <w:hideMark/>
          </w:tcPr>
          <w:p w14:paraId="294810DE"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Closing Balance</w:t>
            </w:r>
          </w:p>
        </w:tc>
        <w:tc>
          <w:tcPr>
            <w:tcW w:w="669" w:type="pct"/>
            <w:shd w:val="clear" w:color="auto" w:fill="auto"/>
            <w:noWrap/>
            <w:vAlign w:val="bottom"/>
            <w:hideMark/>
          </w:tcPr>
          <w:p w14:paraId="4CBBEF7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1,209.03</w:t>
            </w:r>
          </w:p>
        </w:tc>
        <w:tc>
          <w:tcPr>
            <w:tcW w:w="802" w:type="pct"/>
            <w:shd w:val="clear" w:color="auto" w:fill="auto"/>
            <w:noWrap/>
            <w:vAlign w:val="bottom"/>
            <w:hideMark/>
          </w:tcPr>
          <w:p w14:paraId="60DE616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68" w:type="pct"/>
            <w:shd w:val="clear" w:color="auto" w:fill="auto"/>
            <w:noWrap/>
            <w:vAlign w:val="bottom"/>
            <w:hideMark/>
          </w:tcPr>
          <w:p w14:paraId="4E4B769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1,271.30</w:t>
            </w:r>
          </w:p>
        </w:tc>
      </w:tr>
      <w:tr w:rsidR="005B5953" w:rsidRPr="005B12AE" w14:paraId="4016A472" w14:textId="77777777" w:rsidTr="00250DAC">
        <w:trPr>
          <w:trHeight w:val="20"/>
        </w:trPr>
        <w:tc>
          <w:tcPr>
            <w:tcW w:w="229" w:type="pct"/>
            <w:vMerge w:val="restart"/>
            <w:shd w:val="clear" w:color="auto" w:fill="auto"/>
            <w:vAlign w:val="center"/>
            <w:hideMark/>
          </w:tcPr>
          <w:p w14:paraId="7F013D8B"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7</w:t>
            </w:r>
          </w:p>
          <w:p w14:paraId="6DA2F082"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p w14:paraId="1EF1A48A"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tc>
        <w:tc>
          <w:tcPr>
            <w:tcW w:w="1195" w:type="pct"/>
            <w:vMerge w:val="restart"/>
            <w:shd w:val="clear" w:color="auto" w:fill="auto"/>
            <w:hideMark/>
          </w:tcPr>
          <w:p w14:paraId="3741F89B"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Gurukrupa Metals</w:t>
            </w:r>
          </w:p>
        </w:tc>
        <w:tc>
          <w:tcPr>
            <w:tcW w:w="1337" w:type="pct"/>
            <w:shd w:val="clear" w:color="auto" w:fill="auto"/>
            <w:vAlign w:val="center"/>
            <w:hideMark/>
          </w:tcPr>
          <w:p w14:paraId="78EB2E2B" w14:textId="77777777" w:rsidR="005B5953" w:rsidRPr="005B12AE" w:rsidRDefault="005B5953"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t>Opening Balance</w:t>
            </w:r>
          </w:p>
        </w:tc>
        <w:tc>
          <w:tcPr>
            <w:tcW w:w="669" w:type="pct"/>
            <w:shd w:val="clear" w:color="auto" w:fill="auto"/>
            <w:noWrap/>
            <w:vAlign w:val="bottom"/>
            <w:hideMark/>
          </w:tcPr>
          <w:p w14:paraId="71571BF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02" w:type="pct"/>
            <w:shd w:val="clear" w:color="auto" w:fill="auto"/>
            <w:noWrap/>
            <w:vAlign w:val="bottom"/>
            <w:hideMark/>
          </w:tcPr>
          <w:p w14:paraId="35D96FD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34.00</w:t>
            </w:r>
          </w:p>
        </w:tc>
        <w:tc>
          <w:tcPr>
            <w:tcW w:w="768" w:type="pct"/>
            <w:shd w:val="clear" w:color="auto" w:fill="auto"/>
            <w:noWrap/>
            <w:vAlign w:val="bottom"/>
            <w:hideMark/>
          </w:tcPr>
          <w:p w14:paraId="71A41DC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18FFACAF" w14:textId="77777777" w:rsidTr="00250DAC">
        <w:trPr>
          <w:trHeight w:val="20"/>
        </w:trPr>
        <w:tc>
          <w:tcPr>
            <w:tcW w:w="229" w:type="pct"/>
            <w:vMerge/>
            <w:shd w:val="clear" w:color="auto" w:fill="auto"/>
            <w:noWrap/>
            <w:vAlign w:val="bottom"/>
            <w:hideMark/>
          </w:tcPr>
          <w:p w14:paraId="3FAF84C1" w14:textId="77777777" w:rsidR="005B5953" w:rsidRPr="005B12AE" w:rsidRDefault="005B5953" w:rsidP="00250DAC">
            <w:pPr>
              <w:spacing w:after="0" w:line="240" w:lineRule="auto"/>
              <w:jc w:val="center"/>
              <w:rPr>
                <w:rFonts w:ascii="Times New Roman" w:hAnsi="Times New Roman"/>
                <w:sz w:val="20"/>
                <w:szCs w:val="20"/>
              </w:rPr>
            </w:pPr>
          </w:p>
        </w:tc>
        <w:tc>
          <w:tcPr>
            <w:tcW w:w="1195" w:type="pct"/>
            <w:vMerge/>
            <w:shd w:val="clear" w:color="auto" w:fill="auto"/>
            <w:noWrap/>
            <w:vAlign w:val="bottom"/>
            <w:hideMark/>
          </w:tcPr>
          <w:p w14:paraId="4B84A3B3" w14:textId="77777777" w:rsidR="005B5953" w:rsidRPr="005B12AE" w:rsidRDefault="005B5953" w:rsidP="00250DAC">
            <w:pPr>
              <w:spacing w:after="0" w:line="240" w:lineRule="auto"/>
              <w:rPr>
                <w:rFonts w:ascii="Times New Roman" w:hAnsi="Times New Roman"/>
                <w:sz w:val="20"/>
                <w:szCs w:val="20"/>
              </w:rPr>
            </w:pPr>
          </w:p>
        </w:tc>
        <w:tc>
          <w:tcPr>
            <w:tcW w:w="1337" w:type="pct"/>
            <w:shd w:val="clear" w:color="auto" w:fill="auto"/>
            <w:hideMark/>
          </w:tcPr>
          <w:p w14:paraId="3A88DDB9"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loan accepted</w:t>
            </w:r>
          </w:p>
        </w:tc>
        <w:tc>
          <w:tcPr>
            <w:tcW w:w="669" w:type="pct"/>
            <w:shd w:val="clear" w:color="auto" w:fill="auto"/>
            <w:noWrap/>
            <w:vAlign w:val="bottom"/>
            <w:hideMark/>
          </w:tcPr>
          <w:p w14:paraId="2FAED7E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824.76</w:t>
            </w:r>
          </w:p>
        </w:tc>
        <w:tc>
          <w:tcPr>
            <w:tcW w:w="802" w:type="pct"/>
            <w:shd w:val="clear" w:color="auto" w:fill="auto"/>
            <w:noWrap/>
            <w:vAlign w:val="bottom"/>
            <w:hideMark/>
          </w:tcPr>
          <w:p w14:paraId="619E712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785.81</w:t>
            </w:r>
          </w:p>
        </w:tc>
        <w:tc>
          <w:tcPr>
            <w:tcW w:w="768" w:type="pct"/>
            <w:shd w:val="clear" w:color="auto" w:fill="auto"/>
            <w:noWrap/>
            <w:vAlign w:val="bottom"/>
            <w:hideMark/>
          </w:tcPr>
          <w:p w14:paraId="16676E5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297.43</w:t>
            </w:r>
          </w:p>
        </w:tc>
      </w:tr>
      <w:tr w:rsidR="005B5953" w:rsidRPr="005B12AE" w14:paraId="3BEB70D4" w14:textId="77777777" w:rsidTr="00250DAC">
        <w:trPr>
          <w:trHeight w:val="20"/>
        </w:trPr>
        <w:tc>
          <w:tcPr>
            <w:tcW w:w="229" w:type="pct"/>
            <w:vMerge/>
            <w:shd w:val="clear" w:color="auto" w:fill="auto"/>
            <w:vAlign w:val="center"/>
            <w:hideMark/>
          </w:tcPr>
          <w:p w14:paraId="23908334" w14:textId="77777777" w:rsidR="005B5953" w:rsidRPr="005B12AE" w:rsidRDefault="005B5953" w:rsidP="00250DAC">
            <w:pPr>
              <w:spacing w:after="0" w:line="240" w:lineRule="auto"/>
              <w:jc w:val="center"/>
              <w:rPr>
                <w:rFonts w:ascii="Times New Roman" w:hAnsi="Times New Roman"/>
                <w:color w:val="000000"/>
                <w:sz w:val="20"/>
                <w:szCs w:val="20"/>
              </w:rPr>
            </w:pPr>
          </w:p>
        </w:tc>
        <w:tc>
          <w:tcPr>
            <w:tcW w:w="1195" w:type="pct"/>
            <w:vMerge/>
            <w:shd w:val="clear" w:color="auto" w:fill="auto"/>
            <w:hideMark/>
          </w:tcPr>
          <w:p w14:paraId="7A061C42" w14:textId="77777777" w:rsidR="005B5953" w:rsidRPr="005B12AE" w:rsidRDefault="005B5953" w:rsidP="00250DAC">
            <w:pPr>
              <w:spacing w:after="0" w:line="240" w:lineRule="auto"/>
              <w:rPr>
                <w:rFonts w:ascii="Times New Roman" w:hAnsi="Times New Roman"/>
                <w:sz w:val="20"/>
                <w:szCs w:val="20"/>
              </w:rPr>
            </w:pPr>
          </w:p>
        </w:tc>
        <w:tc>
          <w:tcPr>
            <w:tcW w:w="1337" w:type="pct"/>
            <w:shd w:val="clear" w:color="auto" w:fill="auto"/>
            <w:hideMark/>
          </w:tcPr>
          <w:p w14:paraId="5776FCEC"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loan repaid/given</w:t>
            </w:r>
          </w:p>
        </w:tc>
        <w:tc>
          <w:tcPr>
            <w:tcW w:w="669" w:type="pct"/>
            <w:shd w:val="clear" w:color="auto" w:fill="auto"/>
            <w:noWrap/>
            <w:vAlign w:val="bottom"/>
            <w:hideMark/>
          </w:tcPr>
          <w:p w14:paraId="0AD1C7C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824.76</w:t>
            </w:r>
          </w:p>
        </w:tc>
        <w:tc>
          <w:tcPr>
            <w:tcW w:w="802" w:type="pct"/>
            <w:shd w:val="clear" w:color="auto" w:fill="auto"/>
            <w:noWrap/>
            <w:vAlign w:val="bottom"/>
            <w:hideMark/>
          </w:tcPr>
          <w:p w14:paraId="2CE9A8D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819.81</w:t>
            </w:r>
          </w:p>
        </w:tc>
        <w:tc>
          <w:tcPr>
            <w:tcW w:w="768" w:type="pct"/>
            <w:shd w:val="clear" w:color="auto" w:fill="auto"/>
            <w:noWrap/>
            <w:vAlign w:val="bottom"/>
            <w:hideMark/>
          </w:tcPr>
          <w:p w14:paraId="1AFECC2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263.43</w:t>
            </w:r>
          </w:p>
        </w:tc>
      </w:tr>
      <w:tr w:rsidR="005B5953" w:rsidRPr="005B12AE" w14:paraId="30D4837A" w14:textId="77777777" w:rsidTr="00250DAC">
        <w:trPr>
          <w:trHeight w:val="20"/>
        </w:trPr>
        <w:tc>
          <w:tcPr>
            <w:tcW w:w="229" w:type="pct"/>
            <w:vMerge/>
            <w:shd w:val="clear" w:color="auto" w:fill="auto"/>
            <w:vAlign w:val="center"/>
            <w:hideMark/>
          </w:tcPr>
          <w:p w14:paraId="52543B5F" w14:textId="77777777" w:rsidR="005B5953" w:rsidRPr="005B12AE" w:rsidRDefault="005B5953" w:rsidP="00250DAC">
            <w:pPr>
              <w:spacing w:after="0" w:line="240" w:lineRule="auto"/>
              <w:jc w:val="center"/>
              <w:rPr>
                <w:rFonts w:ascii="Times New Roman" w:hAnsi="Times New Roman"/>
                <w:color w:val="000000"/>
                <w:sz w:val="20"/>
                <w:szCs w:val="20"/>
              </w:rPr>
            </w:pPr>
          </w:p>
        </w:tc>
        <w:tc>
          <w:tcPr>
            <w:tcW w:w="1195" w:type="pct"/>
            <w:vMerge/>
            <w:shd w:val="clear" w:color="auto" w:fill="auto"/>
            <w:hideMark/>
          </w:tcPr>
          <w:p w14:paraId="04769ADC" w14:textId="77777777" w:rsidR="005B5953" w:rsidRPr="005B12AE" w:rsidRDefault="005B5953" w:rsidP="00250DAC">
            <w:pPr>
              <w:spacing w:after="0" w:line="240" w:lineRule="auto"/>
              <w:rPr>
                <w:rFonts w:ascii="Times New Roman" w:hAnsi="Times New Roman"/>
                <w:sz w:val="20"/>
                <w:szCs w:val="20"/>
              </w:rPr>
            </w:pPr>
          </w:p>
        </w:tc>
        <w:tc>
          <w:tcPr>
            <w:tcW w:w="1337" w:type="pct"/>
            <w:shd w:val="clear" w:color="auto" w:fill="auto"/>
            <w:hideMark/>
          </w:tcPr>
          <w:p w14:paraId="551F9A40"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Closing Balance</w:t>
            </w:r>
          </w:p>
        </w:tc>
        <w:tc>
          <w:tcPr>
            <w:tcW w:w="669" w:type="pct"/>
            <w:shd w:val="clear" w:color="auto" w:fill="auto"/>
            <w:noWrap/>
            <w:vAlign w:val="bottom"/>
            <w:hideMark/>
          </w:tcPr>
          <w:p w14:paraId="386D692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02" w:type="pct"/>
            <w:shd w:val="clear" w:color="auto" w:fill="auto"/>
            <w:noWrap/>
            <w:vAlign w:val="bottom"/>
            <w:hideMark/>
          </w:tcPr>
          <w:p w14:paraId="5868108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68" w:type="pct"/>
            <w:shd w:val="clear" w:color="auto" w:fill="auto"/>
            <w:noWrap/>
            <w:vAlign w:val="bottom"/>
            <w:hideMark/>
          </w:tcPr>
          <w:p w14:paraId="2B4FD61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34.00</w:t>
            </w:r>
          </w:p>
        </w:tc>
      </w:tr>
      <w:tr w:rsidR="005B5953" w:rsidRPr="005B12AE" w14:paraId="35DEC3E1" w14:textId="77777777" w:rsidTr="00250DAC">
        <w:trPr>
          <w:trHeight w:val="20"/>
        </w:trPr>
        <w:tc>
          <w:tcPr>
            <w:tcW w:w="229" w:type="pct"/>
            <w:vMerge w:val="restart"/>
            <w:shd w:val="clear" w:color="auto" w:fill="auto"/>
            <w:vAlign w:val="center"/>
            <w:hideMark/>
          </w:tcPr>
          <w:p w14:paraId="63C49A5D"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8</w:t>
            </w:r>
          </w:p>
          <w:p w14:paraId="0862C0B9"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p w14:paraId="4F883201"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p w14:paraId="36F31E11"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p w14:paraId="27D53384"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p w14:paraId="3926116A"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tc>
        <w:tc>
          <w:tcPr>
            <w:tcW w:w="1195" w:type="pct"/>
            <w:vMerge w:val="restart"/>
            <w:shd w:val="clear" w:color="auto" w:fill="auto"/>
            <w:hideMark/>
          </w:tcPr>
          <w:p w14:paraId="0476EDC6"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Dwarkesh Alloys Pvt Ltd</w:t>
            </w:r>
          </w:p>
        </w:tc>
        <w:tc>
          <w:tcPr>
            <w:tcW w:w="1337" w:type="pct"/>
            <w:shd w:val="clear" w:color="auto" w:fill="auto"/>
            <w:vAlign w:val="center"/>
            <w:hideMark/>
          </w:tcPr>
          <w:p w14:paraId="618C655F" w14:textId="77777777" w:rsidR="005B5953" w:rsidRPr="005B12AE" w:rsidRDefault="005B5953"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t>Opening Balance</w:t>
            </w:r>
          </w:p>
        </w:tc>
        <w:tc>
          <w:tcPr>
            <w:tcW w:w="669" w:type="pct"/>
            <w:shd w:val="clear" w:color="auto" w:fill="auto"/>
            <w:noWrap/>
            <w:vAlign w:val="bottom"/>
            <w:hideMark/>
          </w:tcPr>
          <w:p w14:paraId="6219E04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37.40</w:t>
            </w:r>
          </w:p>
        </w:tc>
        <w:tc>
          <w:tcPr>
            <w:tcW w:w="802" w:type="pct"/>
            <w:shd w:val="clear" w:color="auto" w:fill="auto"/>
            <w:noWrap/>
            <w:vAlign w:val="bottom"/>
            <w:hideMark/>
          </w:tcPr>
          <w:p w14:paraId="15BECE4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89.41</w:t>
            </w:r>
          </w:p>
        </w:tc>
        <w:tc>
          <w:tcPr>
            <w:tcW w:w="768" w:type="pct"/>
            <w:shd w:val="clear" w:color="auto" w:fill="auto"/>
            <w:noWrap/>
            <w:vAlign w:val="bottom"/>
            <w:hideMark/>
          </w:tcPr>
          <w:p w14:paraId="53FD4221"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w:t>
            </w:r>
          </w:p>
        </w:tc>
      </w:tr>
      <w:tr w:rsidR="005B5953" w:rsidRPr="005B12AE" w14:paraId="42AB43CC" w14:textId="77777777" w:rsidTr="00250DAC">
        <w:trPr>
          <w:trHeight w:val="20"/>
        </w:trPr>
        <w:tc>
          <w:tcPr>
            <w:tcW w:w="229" w:type="pct"/>
            <w:vMerge/>
            <w:shd w:val="clear" w:color="auto" w:fill="auto"/>
            <w:noWrap/>
            <w:vAlign w:val="bottom"/>
            <w:hideMark/>
          </w:tcPr>
          <w:p w14:paraId="3E0D6B0D" w14:textId="77777777" w:rsidR="005B5953" w:rsidRPr="005B12AE" w:rsidRDefault="005B5953" w:rsidP="00250DAC">
            <w:pPr>
              <w:spacing w:after="0" w:line="240" w:lineRule="auto"/>
              <w:jc w:val="center"/>
              <w:rPr>
                <w:rFonts w:ascii="Times New Roman" w:hAnsi="Times New Roman"/>
                <w:sz w:val="20"/>
                <w:szCs w:val="20"/>
              </w:rPr>
            </w:pPr>
          </w:p>
        </w:tc>
        <w:tc>
          <w:tcPr>
            <w:tcW w:w="1195" w:type="pct"/>
            <w:vMerge/>
            <w:shd w:val="clear" w:color="auto" w:fill="auto"/>
            <w:noWrap/>
            <w:vAlign w:val="bottom"/>
            <w:hideMark/>
          </w:tcPr>
          <w:p w14:paraId="23D0A32C" w14:textId="77777777" w:rsidR="005B5953" w:rsidRPr="005B12AE" w:rsidRDefault="005B5953" w:rsidP="00250DAC">
            <w:pPr>
              <w:spacing w:after="0" w:line="240" w:lineRule="auto"/>
              <w:rPr>
                <w:rFonts w:ascii="Times New Roman" w:hAnsi="Times New Roman"/>
                <w:sz w:val="20"/>
                <w:szCs w:val="20"/>
              </w:rPr>
            </w:pPr>
          </w:p>
        </w:tc>
        <w:tc>
          <w:tcPr>
            <w:tcW w:w="1337" w:type="pct"/>
            <w:shd w:val="clear" w:color="auto" w:fill="auto"/>
            <w:hideMark/>
          </w:tcPr>
          <w:p w14:paraId="16109379"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loan accepted</w:t>
            </w:r>
          </w:p>
        </w:tc>
        <w:tc>
          <w:tcPr>
            <w:tcW w:w="669" w:type="pct"/>
            <w:shd w:val="clear" w:color="auto" w:fill="auto"/>
            <w:noWrap/>
            <w:vAlign w:val="bottom"/>
            <w:hideMark/>
          </w:tcPr>
          <w:p w14:paraId="14F63D2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02" w:type="pct"/>
            <w:shd w:val="clear" w:color="auto" w:fill="auto"/>
            <w:noWrap/>
            <w:vAlign w:val="bottom"/>
            <w:hideMark/>
          </w:tcPr>
          <w:p w14:paraId="4595FEB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40.00</w:t>
            </w:r>
          </w:p>
        </w:tc>
        <w:tc>
          <w:tcPr>
            <w:tcW w:w="768" w:type="pct"/>
            <w:shd w:val="clear" w:color="auto" w:fill="auto"/>
            <w:noWrap/>
            <w:vAlign w:val="bottom"/>
            <w:hideMark/>
          </w:tcPr>
          <w:p w14:paraId="265915EF" w14:textId="77777777" w:rsidR="005B5953" w:rsidRPr="005B12AE" w:rsidRDefault="005B5953" w:rsidP="00250DAC">
            <w:pPr>
              <w:spacing w:after="0" w:line="240" w:lineRule="auto"/>
              <w:jc w:val="center"/>
              <w:rPr>
                <w:rFonts w:ascii="Times New Roman" w:hAnsi="Times New Roman"/>
                <w:sz w:val="20"/>
                <w:szCs w:val="20"/>
              </w:rPr>
            </w:pPr>
          </w:p>
        </w:tc>
      </w:tr>
      <w:tr w:rsidR="005B5953" w:rsidRPr="005B12AE" w14:paraId="50789F14" w14:textId="77777777" w:rsidTr="00250DAC">
        <w:trPr>
          <w:trHeight w:val="20"/>
        </w:trPr>
        <w:tc>
          <w:tcPr>
            <w:tcW w:w="229" w:type="pct"/>
            <w:vMerge/>
            <w:shd w:val="clear" w:color="auto" w:fill="auto"/>
            <w:vAlign w:val="center"/>
            <w:hideMark/>
          </w:tcPr>
          <w:p w14:paraId="3F54B802" w14:textId="77777777" w:rsidR="005B5953" w:rsidRPr="005B12AE" w:rsidRDefault="005B5953" w:rsidP="00250DAC">
            <w:pPr>
              <w:spacing w:after="0" w:line="240" w:lineRule="auto"/>
              <w:jc w:val="center"/>
              <w:rPr>
                <w:rFonts w:ascii="Times New Roman" w:hAnsi="Times New Roman"/>
                <w:color w:val="000000"/>
                <w:sz w:val="20"/>
                <w:szCs w:val="20"/>
              </w:rPr>
            </w:pPr>
          </w:p>
        </w:tc>
        <w:tc>
          <w:tcPr>
            <w:tcW w:w="1195" w:type="pct"/>
            <w:vMerge/>
            <w:shd w:val="clear" w:color="auto" w:fill="auto"/>
            <w:hideMark/>
          </w:tcPr>
          <w:p w14:paraId="302408D5" w14:textId="77777777" w:rsidR="005B5953" w:rsidRPr="005B12AE" w:rsidRDefault="005B5953" w:rsidP="00250DAC">
            <w:pPr>
              <w:spacing w:after="0" w:line="240" w:lineRule="auto"/>
              <w:rPr>
                <w:rFonts w:ascii="Times New Roman" w:hAnsi="Times New Roman"/>
                <w:sz w:val="20"/>
                <w:szCs w:val="20"/>
              </w:rPr>
            </w:pPr>
          </w:p>
        </w:tc>
        <w:tc>
          <w:tcPr>
            <w:tcW w:w="1337" w:type="pct"/>
            <w:shd w:val="clear" w:color="auto" w:fill="auto"/>
            <w:hideMark/>
          </w:tcPr>
          <w:p w14:paraId="7173A0A1"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loan repaid/given</w:t>
            </w:r>
          </w:p>
        </w:tc>
        <w:tc>
          <w:tcPr>
            <w:tcW w:w="669" w:type="pct"/>
            <w:shd w:val="clear" w:color="auto" w:fill="auto"/>
            <w:noWrap/>
            <w:vAlign w:val="bottom"/>
            <w:hideMark/>
          </w:tcPr>
          <w:p w14:paraId="7BE624B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10.00</w:t>
            </w:r>
          </w:p>
        </w:tc>
        <w:tc>
          <w:tcPr>
            <w:tcW w:w="802" w:type="pct"/>
            <w:shd w:val="clear" w:color="auto" w:fill="auto"/>
            <w:noWrap/>
            <w:vAlign w:val="bottom"/>
            <w:hideMark/>
          </w:tcPr>
          <w:p w14:paraId="471C685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632.89</w:t>
            </w:r>
          </w:p>
        </w:tc>
        <w:tc>
          <w:tcPr>
            <w:tcW w:w="768" w:type="pct"/>
            <w:shd w:val="clear" w:color="auto" w:fill="auto"/>
            <w:noWrap/>
            <w:vAlign w:val="bottom"/>
            <w:hideMark/>
          </w:tcPr>
          <w:p w14:paraId="27DC7B7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621.10</w:t>
            </w:r>
          </w:p>
        </w:tc>
      </w:tr>
      <w:tr w:rsidR="005B5953" w:rsidRPr="005B12AE" w14:paraId="6FD7A5E4" w14:textId="77777777" w:rsidTr="00250DAC">
        <w:trPr>
          <w:trHeight w:val="20"/>
        </w:trPr>
        <w:tc>
          <w:tcPr>
            <w:tcW w:w="229" w:type="pct"/>
            <w:vMerge/>
            <w:shd w:val="clear" w:color="auto" w:fill="auto"/>
            <w:vAlign w:val="center"/>
            <w:hideMark/>
          </w:tcPr>
          <w:p w14:paraId="3E7B93DD" w14:textId="77777777" w:rsidR="005B5953" w:rsidRPr="005B12AE" w:rsidRDefault="005B5953" w:rsidP="00250DAC">
            <w:pPr>
              <w:spacing w:after="0" w:line="240" w:lineRule="auto"/>
              <w:jc w:val="center"/>
              <w:rPr>
                <w:rFonts w:ascii="Times New Roman" w:hAnsi="Times New Roman"/>
                <w:color w:val="000000"/>
                <w:sz w:val="20"/>
                <w:szCs w:val="20"/>
              </w:rPr>
            </w:pPr>
          </w:p>
        </w:tc>
        <w:tc>
          <w:tcPr>
            <w:tcW w:w="1195" w:type="pct"/>
            <w:vMerge/>
            <w:shd w:val="clear" w:color="auto" w:fill="auto"/>
            <w:vAlign w:val="center"/>
            <w:hideMark/>
          </w:tcPr>
          <w:p w14:paraId="25E457B5" w14:textId="77777777" w:rsidR="005B5953" w:rsidRPr="005B12AE" w:rsidRDefault="005B5953" w:rsidP="00250DAC">
            <w:pPr>
              <w:spacing w:after="0" w:line="240" w:lineRule="auto"/>
              <w:rPr>
                <w:rFonts w:ascii="Times New Roman" w:hAnsi="Times New Roman"/>
                <w:b/>
                <w:bCs/>
                <w:color w:val="000000"/>
                <w:sz w:val="20"/>
                <w:szCs w:val="20"/>
              </w:rPr>
            </w:pPr>
          </w:p>
        </w:tc>
        <w:tc>
          <w:tcPr>
            <w:tcW w:w="1337" w:type="pct"/>
            <w:shd w:val="clear" w:color="auto" w:fill="auto"/>
            <w:vAlign w:val="center"/>
            <w:hideMark/>
          </w:tcPr>
          <w:p w14:paraId="44058D1A" w14:textId="77777777" w:rsidR="005B5953" w:rsidRPr="005B12AE" w:rsidRDefault="005B5953"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t>Purchases</w:t>
            </w:r>
          </w:p>
        </w:tc>
        <w:tc>
          <w:tcPr>
            <w:tcW w:w="669" w:type="pct"/>
            <w:shd w:val="clear" w:color="auto" w:fill="auto"/>
            <w:noWrap/>
            <w:vAlign w:val="bottom"/>
            <w:hideMark/>
          </w:tcPr>
          <w:p w14:paraId="2402E9D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02" w:type="pct"/>
            <w:shd w:val="clear" w:color="auto" w:fill="auto"/>
            <w:noWrap/>
            <w:vAlign w:val="bottom"/>
            <w:hideMark/>
          </w:tcPr>
          <w:p w14:paraId="1ED1132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640.55</w:t>
            </w:r>
          </w:p>
        </w:tc>
        <w:tc>
          <w:tcPr>
            <w:tcW w:w="768" w:type="pct"/>
            <w:shd w:val="clear" w:color="auto" w:fill="auto"/>
            <w:noWrap/>
            <w:vAlign w:val="bottom"/>
            <w:hideMark/>
          </w:tcPr>
          <w:p w14:paraId="55D88E4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710.51</w:t>
            </w:r>
          </w:p>
        </w:tc>
      </w:tr>
      <w:tr w:rsidR="005B5953" w:rsidRPr="005B12AE" w14:paraId="7F3D414B" w14:textId="77777777" w:rsidTr="00250DAC">
        <w:trPr>
          <w:trHeight w:val="20"/>
        </w:trPr>
        <w:tc>
          <w:tcPr>
            <w:tcW w:w="229" w:type="pct"/>
            <w:vMerge/>
            <w:shd w:val="clear" w:color="auto" w:fill="auto"/>
            <w:vAlign w:val="center"/>
            <w:hideMark/>
          </w:tcPr>
          <w:p w14:paraId="3F040314" w14:textId="77777777" w:rsidR="005B5953" w:rsidRPr="005B12AE" w:rsidRDefault="005B5953" w:rsidP="00250DAC">
            <w:pPr>
              <w:spacing w:after="0" w:line="240" w:lineRule="auto"/>
              <w:jc w:val="center"/>
              <w:rPr>
                <w:rFonts w:ascii="Times New Roman" w:hAnsi="Times New Roman"/>
                <w:color w:val="000000"/>
                <w:sz w:val="20"/>
                <w:szCs w:val="20"/>
              </w:rPr>
            </w:pPr>
          </w:p>
        </w:tc>
        <w:tc>
          <w:tcPr>
            <w:tcW w:w="1195" w:type="pct"/>
            <w:vMerge/>
            <w:shd w:val="clear" w:color="auto" w:fill="auto"/>
            <w:vAlign w:val="center"/>
            <w:hideMark/>
          </w:tcPr>
          <w:p w14:paraId="17F6FBCC" w14:textId="77777777" w:rsidR="005B5953" w:rsidRPr="005B12AE" w:rsidRDefault="005B5953" w:rsidP="00250DAC">
            <w:pPr>
              <w:spacing w:after="0" w:line="240" w:lineRule="auto"/>
              <w:rPr>
                <w:rFonts w:ascii="Times New Roman" w:hAnsi="Times New Roman"/>
                <w:b/>
                <w:bCs/>
                <w:color w:val="000000"/>
                <w:sz w:val="20"/>
                <w:szCs w:val="20"/>
              </w:rPr>
            </w:pPr>
          </w:p>
        </w:tc>
        <w:tc>
          <w:tcPr>
            <w:tcW w:w="1337" w:type="pct"/>
            <w:shd w:val="clear" w:color="auto" w:fill="auto"/>
            <w:vAlign w:val="center"/>
            <w:hideMark/>
          </w:tcPr>
          <w:p w14:paraId="7926794D" w14:textId="77777777" w:rsidR="005B5953" w:rsidRPr="005B12AE" w:rsidRDefault="005B5953"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t>Sales</w:t>
            </w:r>
          </w:p>
        </w:tc>
        <w:tc>
          <w:tcPr>
            <w:tcW w:w="669" w:type="pct"/>
            <w:shd w:val="clear" w:color="auto" w:fill="auto"/>
            <w:noWrap/>
            <w:vAlign w:val="bottom"/>
            <w:hideMark/>
          </w:tcPr>
          <w:p w14:paraId="5408880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02" w:type="pct"/>
            <w:shd w:val="clear" w:color="auto" w:fill="auto"/>
            <w:noWrap/>
            <w:vAlign w:val="bottom"/>
            <w:hideMark/>
          </w:tcPr>
          <w:p w14:paraId="6656E3D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99.66</w:t>
            </w:r>
          </w:p>
        </w:tc>
        <w:tc>
          <w:tcPr>
            <w:tcW w:w="768" w:type="pct"/>
            <w:shd w:val="clear" w:color="auto" w:fill="auto"/>
            <w:noWrap/>
            <w:vAlign w:val="bottom"/>
            <w:hideMark/>
          </w:tcPr>
          <w:p w14:paraId="2E6F4F2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5F835BAD" w14:textId="77777777" w:rsidTr="00250DAC">
        <w:trPr>
          <w:trHeight w:val="20"/>
        </w:trPr>
        <w:tc>
          <w:tcPr>
            <w:tcW w:w="229" w:type="pct"/>
            <w:vMerge/>
            <w:shd w:val="clear" w:color="auto" w:fill="auto"/>
            <w:vAlign w:val="center"/>
            <w:hideMark/>
          </w:tcPr>
          <w:p w14:paraId="6BFED32E" w14:textId="77777777" w:rsidR="005B5953" w:rsidRPr="005B12AE" w:rsidRDefault="005B5953" w:rsidP="00250DAC">
            <w:pPr>
              <w:spacing w:after="0" w:line="240" w:lineRule="auto"/>
              <w:jc w:val="center"/>
              <w:rPr>
                <w:rFonts w:ascii="Times New Roman" w:hAnsi="Times New Roman"/>
                <w:color w:val="000000"/>
                <w:sz w:val="20"/>
                <w:szCs w:val="20"/>
              </w:rPr>
            </w:pPr>
          </w:p>
        </w:tc>
        <w:tc>
          <w:tcPr>
            <w:tcW w:w="1195" w:type="pct"/>
            <w:vMerge/>
            <w:shd w:val="clear" w:color="auto" w:fill="auto"/>
            <w:vAlign w:val="center"/>
            <w:hideMark/>
          </w:tcPr>
          <w:p w14:paraId="29F86C25" w14:textId="77777777" w:rsidR="005B5953" w:rsidRPr="005B12AE" w:rsidRDefault="005B5953" w:rsidP="00250DAC">
            <w:pPr>
              <w:spacing w:after="0" w:line="240" w:lineRule="auto"/>
              <w:rPr>
                <w:rFonts w:ascii="Times New Roman" w:hAnsi="Times New Roman"/>
                <w:b/>
                <w:bCs/>
                <w:color w:val="000000"/>
                <w:sz w:val="20"/>
                <w:szCs w:val="20"/>
              </w:rPr>
            </w:pPr>
          </w:p>
        </w:tc>
        <w:tc>
          <w:tcPr>
            <w:tcW w:w="1337" w:type="pct"/>
            <w:shd w:val="clear" w:color="auto" w:fill="auto"/>
            <w:vAlign w:val="center"/>
            <w:hideMark/>
          </w:tcPr>
          <w:p w14:paraId="3A599897" w14:textId="77777777" w:rsidR="005B5953" w:rsidRPr="005B12AE" w:rsidRDefault="005B5953"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t>Closing Balance</w:t>
            </w:r>
          </w:p>
        </w:tc>
        <w:tc>
          <w:tcPr>
            <w:tcW w:w="669" w:type="pct"/>
            <w:shd w:val="clear" w:color="auto" w:fill="auto"/>
            <w:noWrap/>
            <w:vAlign w:val="bottom"/>
            <w:hideMark/>
          </w:tcPr>
          <w:p w14:paraId="1A3FA7D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27.40</w:t>
            </w:r>
          </w:p>
        </w:tc>
        <w:tc>
          <w:tcPr>
            <w:tcW w:w="802" w:type="pct"/>
            <w:shd w:val="clear" w:color="auto" w:fill="auto"/>
            <w:noWrap/>
            <w:vAlign w:val="bottom"/>
            <w:hideMark/>
          </w:tcPr>
          <w:p w14:paraId="17165B1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37.40</w:t>
            </w:r>
          </w:p>
        </w:tc>
        <w:tc>
          <w:tcPr>
            <w:tcW w:w="768" w:type="pct"/>
            <w:shd w:val="clear" w:color="auto" w:fill="auto"/>
            <w:noWrap/>
            <w:vAlign w:val="bottom"/>
            <w:hideMark/>
          </w:tcPr>
          <w:p w14:paraId="4FB14A7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89.41</w:t>
            </w:r>
          </w:p>
        </w:tc>
      </w:tr>
      <w:tr w:rsidR="005B5953" w:rsidRPr="005B12AE" w14:paraId="37F28656" w14:textId="77777777" w:rsidTr="00250DAC">
        <w:trPr>
          <w:trHeight w:val="20"/>
        </w:trPr>
        <w:tc>
          <w:tcPr>
            <w:tcW w:w="229" w:type="pct"/>
            <w:vMerge w:val="restart"/>
            <w:shd w:val="clear" w:color="auto" w:fill="auto"/>
            <w:vAlign w:val="center"/>
            <w:hideMark/>
          </w:tcPr>
          <w:p w14:paraId="4D60D383"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9</w:t>
            </w:r>
          </w:p>
          <w:p w14:paraId="169F365D"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p w14:paraId="74F5453B"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p w14:paraId="006DD229"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p w14:paraId="10242DC3"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p w14:paraId="56FC5487"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tc>
        <w:tc>
          <w:tcPr>
            <w:tcW w:w="1195" w:type="pct"/>
            <w:vMerge w:val="restart"/>
            <w:shd w:val="clear" w:color="auto" w:fill="auto"/>
            <w:hideMark/>
          </w:tcPr>
          <w:p w14:paraId="29439759"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Simpex Overseas Pvt Ltd</w:t>
            </w:r>
          </w:p>
        </w:tc>
        <w:tc>
          <w:tcPr>
            <w:tcW w:w="1337" w:type="pct"/>
            <w:shd w:val="clear" w:color="auto" w:fill="auto"/>
            <w:vAlign w:val="center"/>
            <w:hideMark/>
          </w:tcPr>
          <w:p w14:paraId="2111FA77" w14:textId="77777777" w:rsidR="005B5953" w:rsidRPr="005B12AE" w:rsidRDefault="005B5953"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t>Opening Balance</w:t>
            </w:r>
          </w:p>
        </w:tc>
        <w:tc>
          <w:tcPr>
            <w:tcW w:w="669" w:type="pct"/>
            <w:shd w:val="clear" w:color="auto" w:fill="auto"/>
            <w:noWrap/>
            <w:vAlign w:val="bottom"/>
            <w:hideMark/>
          </w:tcPr>
          <w:p w14:paraId="49C2657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0.09</w:t>
            </w:r>
          </w:p>
        </w:tc>
        <w:tc>
          <w:tcPr>
            <w:tcW w:w="802" w:type="pct"/>
            <w:shd w:val="clear" w:color="auto" w:fill="auto"/>
            <w:noWrap/>
            <w:vAlign w:val="bottom"/>
            <w:hideMark/>
          </w:tcPr>
          <w:p w14:paraId="41BC90C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282.74</w:t>
            </w:r>
          </w:p>
        </w:tc>
        <w:tc>
          <w:tcPr>
            <w:tcW w:w="768" w:type="pct"/>
            <w:shd w:val="clear" w:color="auto" w:fill="auto"/>
            <w:noWrap/>
            <w:vAlign w:val="bottom"/>
            <w:hideMark/>
          </w:tcPr>
          <w:p w14:paraId="7A0BF63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54.27</w:t>
            </w:r>
          </w:p>
        </w:tc>
      </w:tr>
      <w:tr w:rsidR="005B5953" w:rsidRPr="005B12AE" w14:paraId="7212ED91" w14:textId="77777777" w:rsidTr="00250DAC">
        <w:trPr>
          <w:trHeight w:val="20"/>
        </w:trPr>
        <w:tc>
          <w:tcPr>
            <w:tcW w:w="229" w:type="pct"/>
            <w:vMerge/>
            <w:shd w:val="clear" w:color="auto" w:fill="auto"/>
            <w:noWrap/>
            <w:vAlign w:val="bottom"/>
            <w:hideMark/>
          </w:tcPr>
          <w:p w14:paraId="6E18549A" w14:textId="77777777" w:rsidR="005B5953" w:rsidRPr="005B12AE" w:rsidRDefault="005B5953" w:rsidP="00250DAC">
            <w:pPr>
              <w:spacing w:after="0" w:line="240" w:lineRule="auto"/>
              <w:jc w:val="center"/>
              <w:rPr>
                <w:rFonts w:ascii="Times New Roman" w:hAnsi="Times New Roman"/>
                <w:sz w:val="20"/>
                <w:szCs w:val="20"/>
              </w:rPr>
            </w:pPr>
          </w:p>
        </w:tc>
        <w:tc>
          <w:tcPr>
            <w:tcW w:w="1195" w:type="pct"/>
            <w:vMerge/>
            <w:shd w:val="clear" w:color="auto" w:fill="auto"/>
            <w:noWrap/>
            <w:vAlign w:val="bottom"/>
            <w:hideMark/>
          </w:tcPr>
          <w:p w14:paraId="36727D19" w14:textId="77777777" w:rsidR="005B5953" w:rsidRPr="005B12AE" w:rsidRDefault="005B5953" w:rsidP="00250DAC">
            <w:pPr>
              <w:spacing w:after="0" w:line="240" w:lineRule="auto"/>
              <w:rPr>
                <w:rFonts w:ascii="Times New Roman" w:hAnsi="Times New Roman"/>
                <w:sz w:val="20"/>
                <w:szCs w:val="20"/>
              </w:rPr>
            </w:pPr>
          </w:p>
        </w:tc>
        <w:tc>
          <w:tcPr>
            <w:tcW w:w="1337" w:type="pct"/>
            <w:shd w:val="clear" w:color="auto" w:fill="auto"/>
            <w:hideMark/>
          </w:tcPr>
          <w:p w14:paraId="61360A50"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loan accepted</w:t>
            </w:r>
          </w:p>
        </w:tc>
        <w:tc>
          <w:tcPr>
            <w:tcW w:w="669" w:type="pct"/>
            <w:shd w:val="clear" w:color="auto" w:fill="auto"/>
            <w:noWrap/>
            <w:vAlign w:val="bottom"/>
            <w:hideMark/>
          </w:tcPr>
          <w:p w14:paraId="71367DE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1,099.25</w:t>
            </w:r>
          </w:p>
        </w:tc>
        <w:tc>
          <w:tcPr>
            <w:tcW w:w="802" w:type="pct"/>
            <w:shd w:val="clear" w:color="auto" w:fill="auto"/>
            <w:noWrap/>
            <w:vAlign w:val="bottom"/>
            <w:hideMark/>
          </w:tcPr>
          <w:p w14:paraId="52899EE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535.00</w:t>
            </w:r>
          </w:p>
        </w:tc>
        <w:tc>
          <w:tcPr>
            <w:tcW w:w="768" w:type="pct"/>
            <w:shd w:val="clear" w:color="auto" w:fill="auto"/>
            <w:noWrap/>
            <w:vAlign w:val="bottom"/>
            <w:hideMark/>
          </w:tcPr>
          <w:p w14:paraId="04A2BC0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282.00</w:t>
            </w:r>
          </w:p>
        </w:tc>
      </w:tr>
      <w:tr w:rsidR="005B5953" w:rsidRPr="005B12AE" w14:paraId="14B23B2F" w14:textId="77777777" w:rsidTr="00250DAC">
        <w:trPr>
          <w:trHeight w:val="20"/>
        </w:trPr>
        <w:tc>
          <w:tcPr>
            <w:tcW w:w="229" w:type="pct"/>
            <w:vMerge/>
            <w:shd w:val="clear" w:color="auto" w:fill="auto"/>
            <w:vAlign w:val="center"/>
            <w:hideMark/>
          </w:tcPr>
          <w:p w14:paraId="5B30BBE6" w14:textId="77777777" w:rsidR="005B5953" w:rsidRPr="005B12AE" w:rsidRDefault="005B5953" w:rsidP="00250DAC">
            <w:pPr>
              <w:spacing w:after="0" w:line="240" w:lineRule="auto"/>
              <w:jc w:val="center"/>
              <w:rPr>
                <w:rFonts w:ascii="Times New Roman" w:hAnsi="Times New Roman"/>
                <w:color w:val="000000"/>
                <w:sz w:val="20"/>
                <w:szCs w:val="20"/>
              </w:rPr>
            </w:pPr>
          </w:p>
        </w:tc>
        <w:tc>
          <w:tcPr>
            <w:tcW w:w="1195" w:type="pct"/>
            <w:vMerge/>
            <w:shd w:val="clear" w:color="auto" w:fill="auto"/>
            <w:hideMark/>
          </w:tcPr>
          <w:p w14:paraId="77A559DE" w14:textId="77777777" w:rsidR="005B5953" w:rsidRPr="005B12AE" w:rsidRDefault="005B5953" w:rsidP="00250DAC">
            <w:pPr>
              <w:spacing w:after="0" w:line="240" w:lineRule="auto"/>
              <w:rPr>
                <w:rFonts w:ascii="Times New Roman" w:hAnsi="Times New Roman"/>
                <w:sz w:val="20"/>
                <w:szCs w:val="20"/>
              </w:rPr>
            </w:pPr>
          </w:p>
        </w:tc>
        <w:tc>
          <w:tcPr>
            <w:tcW w:w="1337" w:type="pct"/>
            <w:shd w:val="clear" w:color="auto" w:fill="auto"/>
            <w:hideMark/>
          </w:tcPr>
          <w:p w14:paraId="1D758865"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loan repaid/given</w:t>
            </w:r>
          </w:p>
        </w:tc>
        <w:tc>
          <w:tcPr>
            <w:tcW w:w="669" w:type="pct"/>
            <w:shd w:val="clear" w:color="auto" w:fill="auto"/>
            <w:noWrap/>
            <w:vAlign w:val="bottom"/>
            <w:hideMark/>
          </w:tcPr>
          <w:p w14:paraId="40FE5026"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3,433.85</w:t>
            </w:r>
          </w:p>
        </w:tc>
        <w:tc>
          <w:tcPr>
            <w:tcW w:w="802" w:type="pct"/>
            <w:shd w:val="clear" w:color="auto" w:fill="auto"/>
            <w:noWrap/>
            <w:vAlign w:val="bottom"/>
            <w:hideMark/>
          </w:tcPr>
          <w:p w14:paraId="7755AA4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2,903.86</w:t>
            </w:r>
          </w:p>
        </w:tc>
        <w:tc>
          <w:tcPr>
            <w:tcW w:w="768" w:type="pct"/>
            <w:shd w:val="clear" w:color="auto" w:fill="auto"/>
            <w:noWrap/>
            <w:vAlign w:val="bottom"/>
            <w:hideMark/>
          </w:tcPr>
          <w:p w14:paraId="2C71616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1,407.23</w:t>
            </w:r>
          </w:p>
        </w:tc>
      </w:tr>
      <w:tr w:rsidR="005B5953" w:rsidRPr="005B12AE" w14:paraId="0BA8D0E0" w14:textId="77777777" w:rsidTr="00250DAC">
        <w:trPr>
          <w:trHeight w:val="20"/>
        </w:trPr>
        <w:tc>
          <w:tcPr>
            <w:tcW w:w="229" w:type="pct"/>
            <w:vMerge/>
            <w:shd w:val="clear" w:color="auto" w:fill="auto"/>
            <w:vAlign w:val="center"/>
            <w:hideMark/>
          </w:tcPr>
          <w:p w14:paraId="1495253C" w14:textId="77777777" w:rsidR="005B5953" w:rsidRPr="005B12AE" w:rsidRDefault="005B5953" w:rsidP="00250DAC">
            <w:pPr>
              <w:spacing w:after="0" w:line="240" w:lineRule="auto"/>
              <w:jc w:val="center"/>
              <w:rPr>
                <w:rFonts w:ascii="Times New Roman" w:hAnsi="Times New Roman"/>
                <w:color w:val="000000"/>
                <w:sz w:val="20"/>
                <w:szCs w:val="20"/>
              </w:rPr>
            </w:pPr>
          </w:p>
        </w:tc>
        <w:tc>
          <w:tcPr>
            <w:tcW w:w="1195" w:type="pct"/>
            <w:vMerge/>
            <w:shd w:val="clear" w:color="auto" w:fill="auto"/>
            <w:hideMark/>
          </w:tcPr>
          <w:p w14:paraId="38C23A40" w14:textId="77777777" w:rsidR="005B5953" w:rsidRPr="005B12AE" w:rsidRDefault="005B5953" w:rsidP="00250DAC">
            <w:pPr>
              <w:spacing w:after="0" w:line="240" w:lineRule="auto"/>
              <w:rPr>
                <w:rFonts w:ascii="Times New Roman" w:hAnsi="Times New Roman"/>
                <w:sz w:val="20"/>
                <w:szCs w:val="20"/>
              </w:rPr>
            </w:pPr>
          </w:p>
        </w:tc>
        <w:tc>
          <w:tcPr>
            <w:tcW w:w="1337" w:type="pct"/>
            <w:shd w:val="clear" w:color="auto" w:fill="auto"/>
            <w:hideMark/>
          </w:tcPr>
          <w:p w14:paraId="0E417FB8"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Purchases</w:t>
            </w:r>
          </w:p>
        </w:tc>
        <w:tc>
          <w:tcPr>
            <w:tcW w:w="669" w:type="pct"/>
            <w:shd w:val="clear" w:color="auto" w:fill="auto"/>
            <w:noWrap/>
            <w:vAlign w:val="bottom"/>
            <w:hideMark/>
          </w:tcPr>
          <w:p w14:paraId="01CD80D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2,347.53</w:t>
            </w:r>
          </w:p>
        </w:tc>
        <w:tc>
          <w:tcPr>
            <w:tcW w:w="802" w:type="pct"/>
            <w:shd w:val="clear" w:color="auto" w:fill="auto"/>
            <w:noWrap/>
            <w:vAlign w:val="bottom"/>
            <w:hideMark/>
          </w:tcPr>
          <w:p w14:paraId="43D4D7D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2,086.20</w:t>
            </w:r>
          </w:p>
        </w:tc>
        <w:tc>
          <w:tcPr>
            <w:tcW w:w="768" w:type="pct"/>
            <w:shd w:val="clear" w:color="auto" w:fill="auto"/>
            <w:noWrap/>
            <w:vAlign w:val="bottom"/>
            <w:hideMark/>
          </w:tcPr>
          <w:p w14:paraId="5769A9E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1,353.70</w:t>
            </w:r>
          </w:p>
        </w:tc>
      </w:tr>
      <w:tr w:rsidR="005B5953" w:rsidRPr="005B12AE" w14:paraId="5453DECA" w14:textId="77777777" w:rsidTr="00250DAC">
        <w:trPr>
          <w:trHeight w:val="20"/>
        </w:trPr>
        <w:tc>
          <w:tcPr>
            <w:tcW w:w="229" w:type="pct"/>
            <w:vMerge/>
            <w:shd w:val="clear" w:color="auto" w:fill="auto"/>
            <w:vAlign w:val="center"/>
            <w:hideMark/>
          </w:tcPr>
          <w:p w14:paraId="6661EACD" w14:textId="77777777" w:rsidR="005B5953" w:rsidRPr="005B12AE" w:rsidRDefault="005B5953" w:rsidP="00250DAC">
            <w:pPr>
              <w:spacing w:after="0" w:line="240" w:lineRule="auto"/>
              <w:jc w:val="center"/>
              <w:rPr>
                <w:rFonts w:ascii="Times New Roman" w:hAnsi="Times New Roman"/>
                <w:color w:val="000000"/>
                <w:sz w:val="20"/>
                <w:szCs w:val="20"/>
              </w:rPr>
            </w:pPr>
          </w:p>
        </w:tc>
        <w:tc>
          <w:tcPr>
            <w:tcW w:w="1195" w:type="pct"/>
            <w:vMerge/>
            <w:shd w:val="clear" w:color="auto" w:fill="auto"/>
            <w:hideMark/>
          </w:tcPr>
          <w:p w14:paraId="5579BAF9" w14:textId="77777777" w:rsidR="005B5953" w:rsidRPr="005B12AE" w:rsidRDefault="005B5953" w:rsidP="00250DAC">
            <w:pPr>
              <w:spacing w:after="0" w:line="240" w:lineRule="auto"/>
              <w:rPr>
                <w:rFonts w:ascii="Times New Roman" w:hAnsi="Times New Roman"/>
                <w:sz w:val="20"/>
                <w:szCs w:val="20"/>
              </w:rPr>
            </w:pPr>
          </w:p>
        </w:tc>
        <w:tc>
          <w:tcPr>
            <w:tcW w:w="1337" w:type="pct"/>
            <w:shd w:val="clear" w:color="auto" w:fill="auto"/>
            <w:hideMark/>
          </w:tcPr>
          <w:p w14:paraId="3A06D001"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Sales</w:t>
            </w:r>
          </w:p>
        </w:tc>
        <w:tc>
          <w:tcPr>
            <w:tcW w:w="669" w:type="pct"/>
            <w:shd w:val="clear" w:color="auto" w:fill="auto"/>
            <w:noWrap/>
            <w:vAlign w:val="bottom"/>
            <w:hideMark/>
          </w:tcPr>
          <w:p w14:paraId="32667F4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69.25</w:t>
            </w:r>
          </w:p>
        </w:tc>
        <w:tc>
          <w:tcPr>
            <w:tcW w:w="802" w:type="pct"/>
            <w:shd w:val="clear" w:color="auto" w:fill="auto"/>
            <w:noWrap/>
            <w:vAlign w:val="bottom"/>
            <w:hideMark/>
          </w:tcPr>
          <w:p w14:paraId="212D49C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68" w:type="pct"/>
            <w:shd w:val="clear" w:color="auto" w:fill="auto"/>
            <w:noWrap/>
            <w:vAlign w:val="bottom"/>
            <w:hideMark/>
          </w:tcPr>
          <w:p w14:paraId="6174AE6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132138C8" w14:textId="77777777" w:rsidTr="00250DAC">
        <w:trPr>
          <w:trHeight w:val="20"/>
        </w:trPr>
        <w:tc>
          <w:tcPr>
            <w:tcW w:w="229" w:type="pct"/>
            <w:vMerge/>
            <w:shd w:val="clear" w:color="auto" w:fill="auto"/>
            <w:vAlign w:val="center"/>
            <w:hideMark/>
          </w:tcPr>
          <w:p w14:paraId="3096D3C2" w14:textId="77777777" w:rsidR="005B5953" w:rsidRPr="005B12AE" w:rsidRDefault="005B5953" w:rsidP="00250DAC">
            <w:pPr>
              <w:spacing w:after="0" w:line="240" w:lineRule="auto"/>
              <w:jc w:val="center"/>
              <w:rPr>
                <w:rFonts w:ascii="Times New Roman" w:hAnsi="Times New Roman"/>
                <w:color w:val="000000"/>
                <w:sz w:val="20"/>
                <w:szCs w:val="20"/>
              </w:rPr>
            </w:pPr>
          </w:p>
        </w:tc>
        <w:tc>
          <w:tcPr>
            <w:tcW w:w="1195" w:type="pct"/>
            <w:vMerge/>
            <w:shd w:val="clear" w:color="auto" w:fill="auto"/>
            <w:hideMark/>
          </w:tcPr>
          <w:p w14:paraId="2546944B" w14:textId="77777777" w:rsidR="005B5953" w:rsidRPr="005B12AE" w:rsidRDefault="005B5953" w:rsidP="00250DAC">
            <w:pPr>
              <w:spacing w:after="0" w:line="240" w:lineRule="auto"/>
              <w:rPr>
                <w:rFonts w:ascii="Times New Roman" w:hAnsi="Times New Roman"/>
                <w:sz w:val="20"/>
                <w:szCs w:val="20"/>
              </w:rPr>
            </w:pPr>
          </w:p>
        </w:tc>
        <w:tc>
          <w:tcPr>
            <w:tcW w:w="1337" w:type="pct"/>
            <w:shd w:val="clear" w:color="auto" w:fill="auto"/>
            <w:vAlign w:val="center"/>
            <w:hideMark/>
          </w:tcPr>
          <w:p w14:paraId="1FB3BA6B" w14:textId="77777777" w:rsidR="005B5953" w:rsidRPr="005B12AE" w:rsidRDefault="005B5953"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t>Closing Balance</w:t>
            </w:r>
          </w:p>
        </w:tc>
        <w:tc>
          <w:tcPr>
            <w:tcW w:w="669" w:type="pct"/>
            <w:shd w:val="clear" w:color="auto" w:fill="auto"/>
            <w:noWrap/>
            <w:vAlign w:val="bottom"/>
            <w:hideMark/>
          </w:tcPr>
          <w:p w14:paraId="4D03650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(56.23)</w:t>
            </w:r>
          </w:p>
        </w:tc>
        <w:tc>
          <w:tcPr>
            <w:tcW w:w="802" w:type="pct"/>
            <w:shd w:val="clear" w:color="auto" w:fill="auto"/>
            <w:noWrap/>
            <w:vAlign w:val="bottom"/>
            <w:hideMark/>
          </w:tcPr>
          <w:p w14:paraId="164876D2"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0.09</w:t>
            </w:r>
          </w:p>
        </w:tc>
        <w:tc>
          <w:tcPr>
            <w:tcW w:w="768" w:type="pct"/>
            <w:shd w:val="clear" w:color="auto" w:fill="auto"/>
            <w:noWrap/>
            <w:vAlign w:val="bottom"/>
            <w:hideMark/>
          </w:tcPr>
          <w:p w14:paraId="75031A9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282.74</w:t>
            </w:r>
          </w:p>
        </w:tc>
      </w:tr>
      <w:tr w:rsidR="005B5953" w:rsidRPr="005B12AE" w14:paraId="2B7B48EC" w14:textId="77777777" w:rsidTr="00250DAC">
        <w:trPr>
          <w:trHeight w:val="20"/>
        </w:trPr>
        <w:tc>
          <w:tcPr>
            <w:tcW w:w="229" w:type="pct"/>
            <w:vMerge w:val="restart"/>
            <w:shd w:val="clear" w:color="auto" w:fill="auto"/>
            <w:vAlign w:val="center"/>
            <w:hideMark/>
          </w:tcPr>
          <w:p w14:paraId="7C8BFD3C"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10</w:t>
            </w:r>
          </w:p>
          <w:p w14:paraId="217EE9EC"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p w14:paraId="1CE0D7C8"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tc>
        <w:tc>
          <w:tcPr>
            <w:tcW w:w="1195" w:type="pct"/>
            <w:vMerge w:val="restart"/>
            <w:shd w:val="clear" w:color="auto" w:fill="auto"/>
            <w:hideMark/>
          </w:tcPr>
          <w:p w14:paraId="78C2CD59"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Apex Devcon Pvt Ltd</w:t>
            </w:r>
          </w:p>
        </w:tc>
        <w:tc>
          <w:tcPr>
            <w:tcW w:w="1337" w:type="pct"/>
            <w:shd w:val="clear" w:color="auto" w:fill="auto"/>
            <w:vAlign w:val="center"/>
            <w:hideMark/>
          </w:tcPr>
          <w:p w14:paraId="644CCA4A" w14:textId="77777777" w:rsidR="005B5953" w:rsidRPr="005B12AE" w:rsidRDefault="005B5953" w:rsidP="00250DAC">
            <w:pPr>
              <w:spacing w:after="0" w:line="240" w:lineRule="auto"/>
              <w:rPr>
                <w:rFonts w:ascii="Times New Roman" w:hAnsi="Times New Roman"/>
                <w:color w:val="000000"/>
                <w:sz w:val="20"/>
                <w:szCs w:val="20"/>
              </w:rPr>
            </w:pPr>
            <w:r w:rsidRPr="005B12AE">
              <w:rPr>
                <w:rFonts w:ascii="Times New Roman" w:hAnsi="Times New Roman"/>
                <w:color w:val="000000"/>
                <w:sz w:val="20"/>
                <w:szCs w:val="20"/>
              </w:rPr>
              <w:t>Opening Balance</w:t>
            </w:r>
          </w:p>
        </w:tc>
        <w:tc>
          <w:tcPr>
            <w:tcW w:w="669" w:type="pct"/>
            <w:shd w:val="clear" w:color="auto" w:fill="auto"/>
            <w:noWrap/>
            <w:vAlign w:val="bottom"/>
            <w:hideMark/>
          </w:tcPr>
          <w:p w14:paraId="70F95591"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w:t>
            </w:r>
          </w:p>
        </w:tc>
        <w:tc>
          <w:tcPr>
            <w:tcW w:w="802" w:type="pct"/>
            <w:shd w:val="clear" w:color="auto" w:fill="auto"/>
            <w:noWrap/>
            <w:vAlign w:val="bottom"/>
            <w:hideMark/>
          </w:tcPr>
          <w:p w14:paraId="28548FF7"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30</w:t>
            </w:r>
          </w:p>
        </w:tc>
        <w:tc>
          <w:tcPr>
            <w:tcW w:w="768" w:type="pct"/>
            <w:shd w:val="clear" w:color="auto" w:fill="auto"/>
            <w:noWrap/>
            <w:vAlign w:val="bottom"/>
            <w:hideMark/>
          </w:tcPr>
          <w:p w14:paraId="4F23CCF9"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30</w:t>
            </w:r>
          </w:p>
        </w:tc>
      </w:tr>
      <w:tr w:rsidR="005B5953" w:rsidRPr="005B12AE" w14:paraId="7C75C40A" w14:textId="77777777" w:rsidTr="00250DAC">
        <w:trPr>
          <w:trHeight w:val="20"/>
        </w:trPr>
        <w:tc>
          <w:tcPr>
            <w:tcW w:w="229" w:type="pct"/>
            <w:vMerge/>
            <w:shd w:val="clear" w:color="auto" w:fill="auto"/>
            <w:noWrap/>
            <w:vAlign w:val="bottom"/>
            <w:hideMark/>
          </w:tcPr>
          <w:p w14:paraId="33A93EC2" w14:textId="77777777" w:rsidR="005B5953" w:rsidRPr="005B12AE" w:rsidRDefault="005B5953" w:rsidP="00250DAC">
            <w:pPr>
              <w:spacing w:after="0" w:line="240" w:lineRule="auto"/>
              <w:jc w:val="center"/>
              <w:rPr>
                <w:rFonts w:ascii="Times New Roman" w:hAnsi="Times New Roman"/>
                <w:sz w:val="20"/>
                <w:szCs w:val="20"/>
              </w:rPr>
            </w:pPr>
          </w:p>
        </w:tc>
        <w:tc>
          <w:tcPr>
            <w:tcW w:w="1195" w:type="pct"/>
            <w:vMerge/>
            <w:shd w:val="clear" w:color="auto" w:fill="auto"/>
            <w:noWrap/>
            <w:vAlign w:val="bottom"/>
            <w:hideMark/>
          </w:tcPr>
          <w:p w14:paraId="7ED954B7" w14:textId="77777777" w:rsidR="005B5953" w:rsidRPr="005B12AE" w:rsidRDefault="005B5953" w:rsidP="00250DAC">
            <w:pPr>
              <w:spacing w:after="0" w:line="240" w:lineRule="auto"/>
              <w:rPr>
                <w:rFonts w:ascii="Times New Roman" w:hAnsi="Times New Roman"/>
                <w:sz w:val="20"/>
                <w:szCs w:val="20"/>
              </w:rPr>
            </w:pPr>
          </w:p>
        </w:tc>
        <w:tc>
          <w:tcPr>
            <w:tcW w:w="1337" w:type="pct"/>
            <w:shd w:val="clear" w:color="auto" w:fill="auto"/>
            <w:hideMark/>
          </w:tcPr>
          <w:p w14:paraId="7293F22E"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Repayment of loan received</w:t>
            </w:r>
          </w:p>
        </w:tc>
        <w:tc>
          <w:tcPr>
            <w:tcW w:w="669" w:type="pct"/>
            <w:shd w:val="clear" w:color="auto" w:fill="auto"/>
            <w:noWrap/>
            <w:vAlign w:val="bottom"/>
            <w:hideMark/>
          </w:tcPr>
          <w:p w14:paraId="30BEB8B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02" w:type="pct"/>
            <w:shd w:val="clear" w:color="auto" w:fill="auto"/>
            <w:noWrap/>
            <w:vAlign w:val="bottom"/>
            <w:hideMark/>
          </w:tcPr>
          <w:p w14:paraId="1FC1DF0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30</w:t>
            </w:r>
          </w:p>
        </w:tc>
        <w:tc>
          <w:tcPr>
            <w:tcW w:w="768" w:type="pct"/>
            <w:shd w:val="clear" w:color="auto" w:fill="auto"/>
            <w:noWrap/>
            <w:vAlign w:val="bottom"/>
            <w:hideMark/>
          </w:tcPr>
          <w:p w14:paraId="6B9634D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2E362C88" w14:textId="77777777" w:rsidTr="00250DAC">
        <w:trPr>
          <w:trHeight w:val="20"/>
        </w:trPr>
        <w:tc>
          <w:tcPr>
            <w:tcW w:w="229" w:type="pct"/>
            <w:vMerge/>
            <w:shd w:val="clear" w:color="auto" w:fill="auto"/>
            <w:vAlign w:val="center"/>
            <w:hideMark/>
          </w:tcPr>
          <w:p w14:paraId="4CEEACCB" w14:textId="77777777" w:rsidR="005B5953" w:rsidRPr="005B12AE" w:rsidRDefault="005B5953" w:rsidP="00250DAC">
            <w:pPr>
              <w:spacing w:after="0" w:line="240" w:lineRule="auto"/>
              <w:jc w:val="center"/>
              <w:rPr>
                <w:rFonts w:ascii="Times New Roman" w:hAnsi="Times New Roman"/>
                <w:color w:val="000000"/>
                <w:sz w:val="20"/>
                <w:szCs w:val="20"/>
              </w:rPr>
            </w:pPr>
          </w:p>
        </w:tc>
        <w:tc>
          <w:tcPr>
            <w:tcW w:w="1195" w:type="pct"/>
            <w:vMerge/>
            <w:shd w:val="clear" w:color="auto" w:fill="auto"/>
            <w:hideMark/>
          </w:tcPr>
          <w:p w14:paraId="7B67B6A4" w14:textId="77777777" w:rsidR="005B5953" w:rsidRPr="005B12AE" w:rsidRDefault="005B5953" w:rsidP="00250DAC">
            <w:pPr>
              <w:spacing w:after="0" w:line="240" w:lineRule="auto"/>
              <w:rPr>
                <w:rFonts w:ascii="Times New Roman" w:hAnsi="Times New Roman"/>
                <w:sz w:val="20"/>
                <w:szCs w:val="20"/>
              </w:rPr>
            </w:pPr>
          </w:p>
        </w:tc>
        <w:tc>
          <w:tcPr>
            <w:tcW w:w="1337" w:type="pct"/>
            <w:shd w:val="clear" w:color="auto" w:fill="auto"/>
            <w:hideMark/>
          </w:tcPr>
          <w:p w14:paraId="54D6BC0B"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Closing Balance</w:t>
            </w:r>
          </w:p>
        </w:tc>
        <w:tc>
          <w:tcPr>
            <w:tcW w:w="669" w:type="pct"/>
            <w:shd w:val="clear" w:color="auto" w:fill="auto"/>
            <w:noWrap/>
            <w:vAlign w:val="bottom"/>
            <w:hideMark/>
          </w:tcPr>
          <w:p w14:paraId="4CF8E59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02" w:type="pct"/>
            <w:shd w:val="clear" w:color="auto" w:fill="auto"/>
            <w:noWrap/>
            <w:vAlign w:val="bottom"/>
            <w:hideMark/>
          </w:tcPr>
          <w:p w14:paraId="038D75EE"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68" w:type="pct"/>
            <w:shd w:val="clear" w:color="auto" w:fill="auto"/>
            <w:noWrap/>
            <w:vAlign w:val="bottom"/>
            <w:hideMark/>
          </w:tcPr>
          <w:p w14:paraId="64F1E04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30</w:t>
            </w:r>
          </w:p>
        </w:tc>
      </w:tr>
    </w:tbl>
    <w:p w14:paraId="6F573957" w14:textId="77777777" w:rsidR="005B5953" w:rsidRPr="005B12AE" w:rsidRDefault="005B5953" w:rsidP="005B5953">
      <w:pPr>
        <w:spacing w:after="0"/>
        <w:rPr>
          <w:rFonts w:ascii="Times New Roman" w:hAnsi="Times New Roman"/>
          <w:b/>
          <w:bCs/>
          <w:color w:val="000000"/>
          <w:sz w:val="20"/>
          <w:szCs w:val="20"/>
        </w:rPr>
      </w:pPr>
    </w:p>
    <w:p w14:paraId="003FB9F1" w14:textId="77777777" w:rsidR="005B5953" w:rsidRPr="005B12AE" w:rsidRDefault="005B5953" w:rsidP="005B5953">
      <w:pPr>
        <w:spacing w:after="0"/>
        <w:rPr>
          <w:rFonts w:ascii="Times New Roman" w:hAnsi="Times New Roman"/>
          <w:b/>
          <w:bCs/>
          <w:color w:val="000000"/>
          <w:sz w:val="20"/>
          <w:szCs w:val="20"/>
        </w:rPr>
      </w:pPr>
      <w:r w:rsidRPr="005B12AE">
        <w:rPr>
          <w:rFonts w:ascii="Times New Roman" w:hAnsi="Times New Roman"/>
          <w:b/>
          <w:bCs/>
          <w:color w:val="000000"/>
          <w:sz w:val="20"/>
          <w:szCs w:val="20"/>
        </w:rPr>
        <w:t>C. BALANCE OF RELATED PARTIES</w:t>
      </w:r>
    </w:p>
    <w:p w14:paraId="27CD056E" w14:textId="77777777" w:rsidR="005B5953" w:rsidRPr="005B12AE" w:rsidRDefault="005B5953" w:rsidP="005B5953">
      <w:pPr>
        <w:spacing w:after="0"/>
        <w:jc w:val="right"/>
        <w:rPr>
          <w:rFonts w:ascii="Times New Roman" w:hAnsi="Times New Roman"/>
          <w:b/>
          <w:bCs/>
          <w:sz w:val="20"/>
          <w:szCs w:val="20"/>
        </w:rPr>
      </w:pPr>
      <w:r w:rsidRPr="005B12AE">
        <w:rPr>
          <w:rFonts w:ascii="Times New Roman" w:hAnsi="Times New Roman"/>
          <w:b/>
          <w:bCs/>
          <w:sz w:val="20"/>
          <w:szCs w:val="20"/>
        </w:rPr>
        <w:t>(₹ in Lakhs)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4663"/>
        <w:gridCol w:w="1771"/>
        <w:gridCol w:w="1677"/>
        <w:gridCol w:w="1604"/>
      </w:tblGrid>
      <w:tr w:rsidR="005B5953" w:rsidRPr="005B12AE" w14:paraId="7CA924BD" w14:textId="77777777" w:rsidTr="00250DAC">
        <w:trPr>
          <w:trHeight w:val="20"/>
          <w:tblHeader/>
        </w:trPr>
        <w:tc>
          <w:tcPr>
            <w:tcW w:w="354" w:type="pct"/>
            <w:shd w:val="clear" w:color="auto" w:fill="D0CECE" w:themeFill="background2" w:themeFillShade="E6"/>
            <w:vAlign w:val="center"/>
            <w:hideMark/>
          </w:tcPr>
          <w:p w14:paraId="7F560D3F"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Sr No</w:t>
            </w:r>
          </w:p>
        </w:tc>
        <w:tc>
          <w:tcPr>
            <w:tcW w:w="2230" w:type="pct"/>
            <w:shd w:val="clear" w:color="auto" w:fill="D0CECE" w:themeFill="background2" w:themeFillShade="E6"/>
            <w:vAlign w:val="center"/>
            <w:hideMark/>
          </w:tcPr>
          <w:p w14:paraId="234732A2" w14:textId="77777777" w:rsidR="005B5953" w:rsidRPr="005B12AE" w:rsidRDefault="005B5953" w:rsidP="00250DAC">
            <w:pPr>
              <w:spacing w:after="0" w:line="240" w:lineRule="auto"/>
              <w:rPr>
                <w:rFonts w:ascii="Times New Roman" w:hAnsi="Times New Roman"/>
                <w:b/>
                <w:bCs/>
                <w:color w:val="000000"/>
                <w:sz w:val="20"/>
                <w:szCs w:val="20"/>
              </w:rPr>
            </w:pPr>
            <w:r w:rsidRPr="005B12AE">
              <w:rPr>
                <w:rFonts w:ascii="Times New Roman" w:hAnsi="Times New Roman"/>
                <w:b/>
                <w:bCs/>
                <w:color w:val="000000"/>
                <w:sz w:val="20"/>
                <w:szCs w:val="20"/>
              </w:rPr>
              <w:t>Name of Party</w:t>
            </w:r>
          </w:p>
        </w:tc>
        <w:tc>
          <w:tcPr>
            <w:tcW w:w="847" w:type="pct"/>
            <w:shd w:val="clear" w:color="auto" w:fill="D0CECE" w:themeFill="background2" w:themeFillShade="E6"/>
            <w:hideMark/>
          </w:tcPr>
          <w:p w14:paraId="7D6E375B"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As on 31</w:t>
            </w:r>
            <w:r w:rsidRPr="005B12AE">
              <w:rPr>
                <w:rFonts w:ascii="Times New Roman" w:hAnsi="Times New Roman"/>
                <w:b/>
                <w:bCs/>
                <w:color w:val="000000"/>
                <w:sz w:val="20"/>
                <w:szCs w:val="20"/>
                <w:vertAlign w:val="superscript"/>
              </w:rPr>
              <w:t>st</w:t>
            </w:r>
            <w:r w:rsidRPr="005B12AE">
              <w:rPr>
                <w:rFonts w:ascii="Times New Roman" w:hAnsi="Times New Roman"/>
                <w:b/>
                <w:bCs/>
                <w:color w:val="000000"/>
                <w:sz w:val="20"/>
                <w:szCs w:val="20"/>
              </w:rPr>
              <w:t xml:space="preserve"> March, 2023</w:t>
            </w:r>
          </w:p>
        </w:tc>
        <w:tc>
          <w:tcPr>
            <w:tcW w:w="802" w:type="pct"/>
            <w:shd w:val="clear" w:color="auto" w:fill="D0CECE" w:themeFill="background2" w:themeFillShade="E6"/>
            <w:hideMark/>
          </w:tcPr>
          <w:p w14:paraId="084E9B58"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As on 31</w:t>
            </w:r>
            <w:r w:rsidRPr="005B12AE">
              <w:rPr>
                <w:rFonts w:ascii="Times New Roman" w:hAnsi="Times New Roman"/>
                <w:b/>
                <w:bCs/>
                <w:color w:val="000000"/>
                <w:sz w:val="20"/>
                <w:szCs w:val="20"/>
                <w:vertAlign w:val="superscript"/>
              </w:rPr>
              <w:t xml:space="preserve">st </w:t>
            </w:r>
            <w:r w:rsidRPr="005B12AE">
              <w:rPr>
                <w:rFonts w:ascii="Times New Roman" w:hAnsi="Times New Roman"/>
                <w:b/>
                <w:bCs/>
                <w:color w:val="000000"/>
                <w:sz w:val="20"/>
                <w:szCs w:val="20"/>
              </w:rPr>
              <w:t>March, 2022</w:t>
            </w:r>
          </w:p>
        </w:tc>
        <w:tc>
          <w:tcPr>
            <w:tcW w:w="767" w:type="pct"/>
            <w:shd w:val="clear" w:color="auto" w:fill="D0CECE" w:themeFill="background2" w:themeFillShade="E6"/>
            <w:hideMark/>
          </w:tcPr>
          <w:p w14:paraId="4AAA270E" w14:textId="77777777" w:rsidR="005B5953" w:rsidRPr="005B12AE" w:rsidRDefault="005B5953" w:rsidP="00250DAC">
            <w:pPr>
              <w:spacing w:after="0" w:line="240" w:lineRule="auto"/>
              <w:jc w:val="center"/>
              <w:rPr>
                <w:rFonts w:ascii="Times New Roman" w:hAnsi="Times New Roman"/>
                <w:b/>
                <w:bCs/>
                <w:color w:val="000000"/>
                <w:sz w:val="20"/>
                <w:szCs w:val="20"/>
              </w:rPr>
            </w:pPr>
            <w:r w:rsidRPr="005B12AE">
              <w:rPr>
                <w:rFonts w:ascii="Times New Roman" w:hAnsi="Times New Roman"/>
                <w:b/>
                <w:bCs/>
                <w:color w:val="000000"/>
                <w:sz w:val="20"/>
                <w:szCs w:val="20"/>
              </w:rPr>
              <w:t>As on 31</w:t>
            </w:r>
            <w:r w:rsidRPr="005B12AE">
              <w:rPr>
                <w:rFonts w:ascii="Times New Roman" w:hAnsi="Times New Roman"/>
                <w:b/>
                <w:bCs/>
                <w:color w:val="000000"/>
                <w:sz w:val="20"/>
                <w:szCs w:val="20"/>
                <w:vertAlign w:val="superscript"/>
              </w:rPr>
              <w:t xml:space="preserve">st </w:t>
            </w:r>
            <w:r w:rsidRPr="005B12AE">
              <w:rPr>
                <w:rFonts w:ascii="Times New Roman" w:hAnsi="Times New Roman"/>
                <w:b/>
                <w:bCs/>
                <w:color w:val="000000"/>
                <w:sz w:val="20"/>
                <w:szCs w:val="20"/>
              </w:rPr>
              <w:t>March, 2021</w:t>
            </w:r>
          </w:p>
        </w:tc>
      </w:tr>
      <w:tr w:rsidR="005B5953" w:rsidRPr="005B12AE" w14:paraId="7315FA04" w14:textId="77777777" w:rsidTr="00250DAC">
        <w:trPr>
          <w:trHeight w:val="20"/>
        </w:trPr>
        <w:tc>
          <w:tcPr>
            <w:tcW w:w="354" w:type="pct"/>
            <w:shd w:val="clear" w:color="auto" w:fill="auto"/>
            <w:vAlign w:val="center"/>
            <w:hideMark/>
          </w:tcPr>
          <w:p w14:paraId="7FF372FF"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1</w:t>
            </w:r>
          </w:p>
        </w:tc>
        <w:tc>
          <w:tcPr>
            <w:tcW w:w="2230" w:type="pct"/>
            <w:shd w:val="clear" w:color="auto" w:fill="auto"/>
            <w:hideMark/>
          </w:tcPr>
          <w:p w14:paraId="398FA915"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Ramgopal Maheshwari</w:t>
            </w:r>
          </w:p>
        </w:tc>
        <w:tc>
          <w:tcPr>
            <w:tcW w:w="847" w:type="pct"/>
            <w:shd w:val="clear" w:color="auto" w:fill="auto"/>
            <w:noWrap/>
            <w:vAlign w:val="bottom"/>
            <w:hideMark/>
          </w:tcPr>
          <w:p w14:paraId="57565BA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171.01</w:t>
            </w:r>
          </w:p>
        </w:tc>
        <w:tc>
          <w:tcPr>
            <w:tcW w:w="802" w:type="pct"/>
            <w:shd w:val="clear" w:color="auto" w:fill="auto"/>
            <w:noWrap/>
            <w:vAlign w:val="bottom"/>
            <w:hideMark/>
          </w:tcPr>
          <w:p w14:paraId="2705F08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167.14</w:t>
            </w:r>
          </w:p>
        </w:tc>
        <w:tc>
          <w:tcPr>
            <w:tcW w:w="767" w:type="pct"/>
            <w:shd w:val="clear" w:color="auto" w:fill="auto"/>
            <w:noWrap/>
            <w:vAlign w:val="bottom"/>
            <w:hideMark/>
          </w:tcPr>
          <w:p w14:paraId="29E937F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181.02</w:t>
            </w:r>
          </w:p>
        </w:tc>
      </w:tr>
      <w:tr w:rsidR="005B5953" w:rsidRPr="005B12AE" w14:paraId="01701A7D" w14:textId="77777777" w:rsidTr="00250DAC">
        <w:trPr>
          <w:trHeight w:val="20"/>
        </w:trPr>
        <w:tc>
          <w:tcPr>
            <w:tcW w:w="354" w:type="pct"/>
            <w:shd w:val="clear" w:color="auto" w:fill="auto"/>
            <w:vAlign w:val="center"/>
            <w:hideMark/>
          </w:tcPr>
          <w:p w14:paraId="2D255720"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tc>
        <w:tc>
          <w:tcPr>
            <w:tcW w:w="2230" w:type="pct"/>
            <w:shd w:val="clear" w:color="auto" w:fill="auto"/>
            <w:hideMark/>
          </w:tcPr>
          <w:p w14:paraId="0C8C4137"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847" w:type="pct"/>
            <w:shd w:val="clear" w:color="auto" w:fill="auto"/>
            <w:hideMark/>
          </w:tcPr>
          <w:p w14:paraId="7BAEA59B"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Cr. Bal</w:t>
            </w:r>
          </w:p>
        </w:tc>
        <w:tc>
          <w:tcPr>
            <w:tcW w:w="802" w:type="pct"/>
            <w:shd w:val="clear" w:color="auto" w:fill="auto"/>
            <w:hideMark/>
          </w:tcPr>
          <w:p w14:paraId="76142836"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Cr. Bal</w:t>
            </w:r>
          </w:p>
        </w:tc>
        <w:tc>
          <w:tcPr>
            <w:tcW w:w="767" w:type="pct"/>
            <w:shd w:val="clear" w:color="auto" w:fill="auto"/>
            <w:hideMark/>
          </w:tcPr>
          <w:p w14:paraId="7E579806"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Cr. Bal</w:t>
            </w:r>
          </w:p>
        </w:tc>
      </w:tr>
      <w:tr w:rsidR="005B5953" w:rsidRPr="005B12AE" w14:paraId="66B79D7E" w14:textId="77777777" w:rsidTr="00250DAC">
        <w:trPr>
          <w:trHeight w:val="20"/>
        </w:trPr>
        <w:tc>
          <w:tcPr>
            <w:tcW w:w="354" w:type="pct"/>
            <w:shd w:val="clear" w:color="auto" w:fill="auto"/>
            <w:vAlign w:val="center"/>
            <w:hideMark/>
          </w:tcPr>
          <w:p w14:paraId="44B4EE13"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2</w:t>
            </w:r>
          </w:p>
        </w:tc>
        <w:tc>
          <w:tcPr>
            <w:tcW w:w="2230" w:type="pct"/>
            <w:shd w:val="clear" w:color="auto" w:fill="auto"/>
            <w:hideMark/>
          </w:tcPr>
          <w:p w14:paraId="6C1E1F60"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Bhavesh Ramgopal Maheshwari</w:t>
            </w:r>
          </w:p>
        </w:tc>
        <w:tc>
          <w:tcPr>
            <w:tcW w:w="847" w:type="pct"/>
            <w:shd w:val="clear" w:color="auto" w:fill="auto"/>
            <w:noWrap/>
            <w:vAlign w:val="bottom"/>
            <w:hideMark/>
          </w:tcPr>
          <w:p w14:paraId="5AA68E5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31.09</w:t>
            </w:r>
          </w:p>
        </w:tc>
        <w:tc>
          <w:tcPr>
            <w:tcW w:w="802" w:type="pct"/>
            <w:shd w:val="clear" w:color="auto" w:fill="auto"/>
            <w:noWrap/>
            <w:vAlign w:val="bottom"/>
            <w:hideMark/>
          </w:tcPr>
          <w:p w14:paraId="42AEE81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6.37</w:t>
            </w:r>
          </w:p>
        </w:tc>
        <w:tc>
          <w:tcPr>
            <w:tcW w:w="767" w:type="pct"/>
            <w:shd w:val="clear" w:color="auto" w:fill="auto"/>
            <w:noWrap/>
            <w:vAlign w:val="bottom"/>
            <w:hideMark/>
          </w:tcPr>
          <w:p w14:paraId="4B0A56F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9.38</w:t>
            </w:r>
          </w:p>
        </w:tc>
      </w:tr>
      <w:tr w:rsidR="005B5953" w:rsidRPr="005B12AE" w14:paraId="5382E555" w14:textId="77777777" w:rsidTr="00250DAC">
        <w:trPr>
          <w:trHeight w:val="20"/>
        </w:trPr>
        <w:tc>
          <w:tcPr>
            <w:tcW w:w="354" w:type="pct"/>
            <w:shd w:val="clear" w:color="auto" w:fill="auto"/>
            <w:vAlign w:val="center"/>
            <w:hideMark/>
          </w:tcPr>
          <w:p w14:paraId="2D21E176"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tc>
        <w:tc>
          <w:tcPr>
            <w:tcW w:w="2230" w:type="pct"/>
            <w:shd w:val="clear" w:color="auto" w:fill="auto"/>
            <w:hideMark/>
          </w:tcPr>
          <w:p w14:paraId="07D33AEC"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847" w:type="pct"/>
            <w:shd w:val="clear" w:color="auto" w:fill="auto"/>
            <w:hideMark/>
          </w:tcPr>
          <w:p w14:paraId="4D88150C"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Cr. Bal</w:t>
            </w:r>
          </w:p>
        </w:tc>
        <w:tc>
          <w:tcPr>
            <w:tcW w:w="802" w:type="pct"/>
            <w:shd w:val="clear" w:color="auto" w:fill="auto"/>
            <w:hideMark/>
          </w:tcPr>
          <w:p w14:paraId="789C58BA"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Cr. Bal</w:t>
            </w:r>
          </w:p>
        </w:tc>
        <w:tc>
          <w:tcPr>
            <w:tcW w:w="767" w:type="pct"/>
            <w:shd w:val="clear" w:color="auto" w:fill="auto"/>
            <w:hideMark/>
          </w:tcPr>
          <w:p w14:paraId="2104E2F0"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Cr. Bal</w:t>
            </w:r>
          </w:p>
        </w:tc>
      </w:tr>
      <w:tr w:rsidR="005B5953" w:rsidRPr="005B12AE" w14:paraId="570BA030" w14:textId="77777777" w:rsidTr="00250DAC">
        <w:trPr>
          <w:trHeight w:val="20"/>
        </w:trPr>
        <w:tc>
          <w:tcPr>
            <w:tcW w:w="354" w:type="pct"/>
            <w:shd w:val="clear" w:color="auto" w:fill="auto"/>
            <w:vAlign w:val="center"/>
            <w:hideMark/>
          </w:tcPr>
          <w:p w14:paraId="5FA4C70B"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3</w:t>
            </w:r>
          </w:p>
        </w:tc>
        <w:tc>
          <w:tcPr>
            <w:tcW w:w="2230" w:type="pct"/>
            <w:shd w:val="clear" w:color="auto" w:fill="auto"/>
            <w:hideMark/>
          </w:tcPr>
          <w:p w14:paraId="4F74D0AE"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Madhu Ramgopal Maheshwari</w:t>
            </w:r>
          </w:p>
        </w:tc>
        <w:tc>
          <w:tcPr>
            <w:tcW w:w="847" w:type="pct"/>
            <w:shd w:val="clear" w:color="auto" w:fill="auto"/>
            <w:noWrap/>
            <w:vAlign w:val="bottom"/>
            <w:hideMark/>
          </w:tcPr>
          <w:p w14:paraId="4F767B5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26.94</w:t>
            </w:r>
          </w:p>
        </w:tc>
        <w:tc>
          <w:tcPr>
            <w:tcW w:w="802" w:type="pct"/>
            <w:shd w:val="clear" w:color="auto" w:fill="auto"/>
            <w:noWrap/>
            <w:vAlign w:val="bottom"/>
            <w:hideMark/>
          </w:tcPr>
          <w:p w14:paraId="0F66105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8.90</w:t>
            </w:r>
          </w:p>
        </w:tc>
        <w:tc>
          <w:tcPr>
            <w:tcW w:w="767" w:type="pct"/>
            <w:shd w:val="clear" w:color="auto" w:fill="auto"/>
            <w:noWrap/>
            <w:vAlign w:val="bottom"/>
            <w:hideMark/>
          </w:tcPr>
          <w:p w14:paraId="598ED198"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12.05</w:t>
            </w:r>
          </w:p>
        </w:tc>
      </w:tr>
      <w:tr w:rsidR="005B5953" w:rsidRPr="005B12AE" w14:paraId="2E1ACD09" w14:textId="77777777" w:rsidTr="00250DAC">
        <w:trPr>
          <w:trHeight w:val="20"/>
        </w:trPr>
        <w:tc>
          <w:tcPr>
            <w:tcW w:w="354" w:type="pct"/>
            <w:shd w:val="clear" w:color="auto" w:fill="auto"/>
            <w:vAlign w:val="center"/>
            <w:hideMark/>
          </w:tcPr>
          <w:p w14:paraId="740D47D2"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tc>
        <w:tc>
          <w:tcPr>
            <w:tcW w:w="2230" w:type="pct"/>
            <w:shd w:val="clear" w:color="auto" w:fill="auto"/>
            <w:hideMark/>
          </w:tcPr>
          <w:p w14:paraId="3C894331"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847" w:type="pct"/>
            <w:shd w:val="clear" w:color="auto" w:fill="auto"/>
            <w:hideMark/>
          </w:tcPr>
          <w:p w14:paraId="78E38B09"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Cr. Bal</w:t>
            </w:r>
          </w:p>
        </w:tc>
        <w:tc>
          <w:tcPr>
            <w:tcW w:w="802" w:type="pct"/>
            <w:shd w:val="clear" w:color="auto" w:fill="auto"/>
            <w:hideMark/>
          </w:tcPr>
          <w:p w14:paraId="4C59C91C"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Cr. Bal</w:t>
            </w:r>
          </w:p>
        </w:tc>
        <w:tc>
          <w:tcPr>
            <w:tcW w:w="767" w:type="pct"/>
            <w:shd w:val="clear" w:color="auto" w:fill="auto"/>
            <w:hideMark/>
          </w:tcPr>
          <w:p w14:paraId="2B85264B"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Cr. Bal</w:t>
            </w:r>
          </w:p>
        </w:tc>
      </w:tr>
      <w:tr w:rsidR="005B5953" w:rsidRPr="005B12AE" w14:paraId="2C479F93" w14:textId="77777777" w:rsidTr="00250DAC">
        <w:trPr>
          <w:trHeight w:val="20"/>
        </w:trPr>
        <w:tc>
          <w:tcPr>
            <w:tcW w:w="354" w:type="pct"/>
            <w:shd w:val="clear" w:color="auto" w:fill="auto"/>
            <w:vAlign w:val="center"/>
            <w:hideMark/>
          </w:tcPr>
          <w:p w14:paraId="5538982D"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4</w:t>
            </w:r>
          </w:p>
        </w:tc>
        <w:tc>
          <w:tcPr>
            <w:tcW w:w="2230" w:type="pct"/>
            <w:shd w:val="clear" w:color="auto" w:fill="auto"/>
            <w:hideMark/>
          </w:tcPr>
          <w:p w14:paraId="7732E23E"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Nikunj Inani</w:t>
            </w:r>
          </w:p>
        </w:tc>
        <w:tc>
          <w:tcPr>
            <w:tcW w:w="847" w:type="pct"/>
            <w:shd w:val="clear" w:color="auto" w:fill="auto"/>
            <w:noWrap/>
            <w:vAlign w:val="bottom"/>
            <w:hideMark/>
          </w:tcPr>
          <w:p w14:paraId="761E53F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8.50</w:t>
            </w:r>
          </w:p>
        </w:tc>
        <w:tc>
          <w:tcPr>
            <w:tcW w:w="802" w:type="pct"/>
            <w:shd w:val="clear" w:color="auto" w:fill="auto"/>
            <w:noWrap/>
            <w:vAlign w:val="bottom"/>
            <w:hideMark/>
          </w:tcPr>
          <w:p w14:paraId="0487224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8.50</w:t>
            </w:r>
          </w:p>
        </w:tc>
        <w:tc>
          <w:tcPr>
            <w:tcW w:w="767" w:type="pct"/>
            <w:shd w:val="clear" w:color="auto" w:fill="auto"/>
            <w:noWrap/>
            <w:vAlign w:val="bottom"/>
            <w:hideMark/>
          </w:tcPr>
          <w:p w14:paraId="4F3B2D5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10.25</w:t>
            </w:r>
          </w:p>
        </w:tc>
      </w:tr>
      <w:tr w:rsidR="005B5953" w:rsidRPr="005B12AE" w14:paraId="335B9BBA" w14:textId="77777777" w:rsidTr="00250DAC">
        <w:trPr>
          <w:trHeight w:val="20"/>
        </w:trPr>
        <w:tc>
          <w:tcPr>
            <w:tcW w:w="354" w:type="pct"/>
            <w:shd w:val="clear" w:color="auto" w:fill="auto"/>
            <w:vAlign w:val="center"/>
            <w:hideMark/>
          </w:tcPr>
          <w:p w14:paraId="52C1A7FD"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tc>
        <w:tc>
          <w:tcPr>
            <w:tcW w:w="2230" w:type="pct"/>
            <w:shd w:val="clear" w:color="auto" w:fill="auto"/>
            <w:hideMark/>
          </w:tcPr>
          <w:p w14:paraId="6A5669BA"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847" w:type="pct"/>
            <w:shd w:val="clear" w:color="auto" w:fill="auto"/>
            <w:hideMark/>
          </w:tcPr>
          <w:p w14:paraId="1022F617"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Cr. Bal</w:t>
            </w:r>
          </w:p>
        </w:tc>
        <w:tc>
          <w:tcPr>
            <w:tcW w:w="802" w:type="pct"/>
            <w:shd w:val="clear" w:color="auto" w:fill="auto"/>
            <w:hideMark/>
          </w:tcPr>
          <w:p w14:paraId="28478AF3"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Cr. Bal</w:t>
            </w:r>
          </w:p>
        </w:tc>
        <w:tc>
          <w:tcPr>
            <w:tcW w:w="767" w:type="pct"/>
            <w:shd w:val="clear" w:color="auto" w:fill="auto"/>
            <w:hideMark/>
          </w:tcPr>
          <w:p w14:paraId="5BAA67C3"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Cr. Bal</w:t>
            </w:r>
          </w:p>
        </w:tc>
      </w:tr>
      <w:tr w:rsidR="005B5953" w:rsidRPr="005B12AE" w14:paraId="44C6AC2D" w14:textId="77777777" w:rsidTr="00250DAC">
        <w:trPr>
          <w:trHeight w:val="20"/>
        </w:trPr>
        <w:tc>
          <w:tcPr>
            <w:tcW w:w="354" w:type="pct"/>
            <w:shd w:val="clear" w:color="auto" w:fill="auto"/>
            <w:vAlign w:val="center"/>
            <w:hideMark/>
          </w:tcPr>
          <w:p w14:paraId="5C71FA06"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5</w:t>
            </w:r>
          </w:p>
        </w:tc>
        <w:tc>
          <w:tcPr>
            <w:tcW w:w="2230" w:type="pct"/>
            <w:shd w:val="clear" w:color="auto" w:fill="auto"/>
            <w:hideMark/>
          </w:tcPr>
          <w:p w14:paraId="1B918EA6"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Megha Bhavesh Maheshwari</w:t>
            </w:r>
          </w:p>
        </w:tc>
        <w:tc>
          <w:tcPr>
            <w:tcW w:w="847" w:type="pct"/>
            <w:shd w:val="clear" w:color="auto" w:fill="auto"/>
            <w:noWrap/>
            <w:vAlign w:val="bottom"/>
            <w:hideMark/>
          </w:tcPr>
          <w:p w14:paraId="3A1A414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1.64</w:t>
            </w:r>
          </w:p>
        </w:tc>
        <w:tc>
          <w:tcPr>
            <w:tcW w:w="802" w:type="pct"/>
            <w:shd w:val="clear" w:color="auto" w:fill="auto"/>
            <w:noWrap/>
            <w:vAlign w:val="bottom"/>
            <w:hideMark/>
          </w:tcPr>
          <w:p w14:paraId="1C4846B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(11.22)</w:t>
            </w:r>
          </w:p>
        </w:tc>
        <w:tc>
          <w:tcPr>
            <w:tcW w:w="767" w:type="pct"/>
            <w:shd w:val="clear" w:color="auto" w:fill="auto"/>
            <w:noWrap/>
            <w:vAlign w:val="bottom"/>
            <w:hideMark/>
          </w:tcPr>
          <w:p w14:paraId="1BCDE49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r>
      <w:tr w:rsidR="005B5953" w:rsidRPr="005B12AE" w14:paraId="3AE4489D" w14:textId="77777777" w:rsidTr="00250DAC">
        <w:trPr>
          <w:trHeight w:val="20"/>
        </w:trPr>
        <w:tc>
          <w:tcPr>
            <w:tcW w:w="354" w:type="pct"/>
            <w:shd w:val="clear" w:color="auto" w:fill="auto"/>
            <w:vAlign w:val="center"/>
            <w:hideMark/>
          </w:tcPr>
          <w:p w14:paraId="14C80CD9"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tc>
        <w:tc>
          <w:tcPr>
            <w:tcW w:w="2230" w:type="pct"/>
            <w:shd w:val="clear" w:color="auto" w:fill="auto"/>
            <w:hideMark/>
          </w:tcPr>
          <w:p w14:paraId="59A193C8"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847" w:type="pct"/>
            <w:shd w:val="clear" w:color="auto" w:fill="auto"/>
            <w:hideMark/>
          </w:tcPr>
          <w:p w14:paraId="26AF4D47"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Cr. Bal</w:t>
            </w:r>
          </w:p>
        </w:tc>
        <w:tc>
          <w:tcPr>
            <w:tcW w:w="802" w:type="pct"/>
            <w:shd w:val="clear" w:color="auto" w:fill="auto"/>
            <w:hideMark/>
          </w:tcPr>
          <w:p w14:paraId="2E346CAB"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Dr. Bal</w:t>
            </w:r>
          </w:p>
        </w:tc>
        <w:tc>
          <w:tcPr>
            <w:tcW w:w="767" w:type="pct"/>
            <w:shd w:val="clear" w:color="auto" w:fill="auto"/>
            <w:hideMark/>
          </w:tcPr>
          <w:p w14:paraId="2C39A7BA" w14:textId="77777777" w:rsidR="005B5953" w:rsidRPr="005B12AE" w:rsidRDefault="005B5953" w:rsidP="00250DAC">
            <w:pPr>
              <w:spacing w:after="0" w:line="240" w:lineRule="auto"/>
              <w:jc w:val="center"/>
              <w:rPr>
                <w:rFonts w:ascii="Times New Roman" w:hAnsi="Times New Roman"/>
                <w:color w:val="000000"/>
                <w:sz w:val="20"/>
                <w:szCs w:val="20"/>
              </w:rPr>
            </w:pPr>
          </w:p>
        </w:tc>
      </w:tr>
      <w:tr w:rsidR="005B5953" w:rsidRPr="005B12AE" w14:paraId="7530AD31" w14:textId="77777777" w:rsidTr="00250DAC">
        <w:trPr>
          <w:trHeight w:val="20"/>
        </w:trPr>
        <w:tc>
          <w:tcPr>
            <w:tcW w:w="354" w:type="pct"/>
            <w:shd w:val="clear" w:color="auto" w:fill="auto"/>
            <w:vAlign w:val="center"/>
            <w:hideMark/>
          </w:tcPr>
          <w:p w14:paraId="62C271CB"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6</w:t>
            </w:r>
          </w:p>
        </w:tc>
        <w:tc>
          <w:tcPr>
            <w:tcW w:w="2230" w:type="pct"/>
            <w:shd w:val="clear" w:color="auto" w:fill="auto"/>
            <w:hideMark/>
          </w:tcPr>
          <w:p w14:paraId="589472E1"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Dwarkadhish Venture Private Limited (formerly known as Siyaram Metals Private Limited)</w:t>
            </w:r>
          </w:p>
        </w:tc>
        <w:tc>
          <w:tcPr>
            <w:tcW w:w="847" w:type="pct"/>
            <w:shd w:val="clear" w:color="auto" w:fill="auto"/>
            <w:noWrap/>
            <w:vAlign w:val="bottom"/>
            <w:hideMark/>
          </w:tcPr>
          <w:p w14:paraId="5207FE6C"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1,209.03</w:t>
            </w:r>
          </w:p>
        </w:tc>
        <w:tc>
          <w:tcPr>
            <w:tcW w:w="802" w:type="pct"/>
            <w:shd w:val="clear" w:color="auto" w:fill="auto"/>
            <w:noWrap/>
            <w:vAlign w:val="bottom"/>
            <w:hideMark/>
          </w:tcPr>
          <w:p w14:paraId="17B86987"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67" w:type="pct"/>
            <w:shd w:val="clear" w:color="auto" w:fill="auto"/>
            <w:noWrap/>
            <w:vAlign w:val="bottom"/>
            <w:hideMark/>
          </w:tcPr>
          <w:p w14:paraId="18B50FE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1,271.30</w:t>
            </w:r>
          </w:p>
        </w:tc>
      </w:tr>
      <w:tr w:rsidR="005B5953" w:rsidRPr="005B12AE" w14:paraId="45013D60" w14:textId="77777777" w:rsidTr="00250DAC">
        <w:trPr>
          <w:trHeight w:val="20"/>
        </w:trPr>
        <w:tc>
          <w:tcPr>
            <w:tcW w:w="354" w:type="pct"/>
            <w:shd w:val="clear" w:color="auto" w:fill="auto"/>
            <w:vAlign w:val="center"/>
            <w:hideMark/>
          </w:tcPr>
          <w:p w14:paraId="6771368C"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tc>
        <w:tc>
          <w:tcPr>
            <w:tcW w:w="2230" w:type="pct"/>
            <w:shd w:val="clear" w:color="auto" w:fill="auto"/>
            <w:hideMark/>
          </w:tcPr>
          <w:p w14:paraId="7D467B89"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847" w:type="pct"/>
            <w:shd w:val="clear" w:color="auto" w:fill="auto"/>
            <w:hideMark/>
          </w:tcPr>
          <w:p w14:paraId="13FE3F71"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Cr. Bal</w:t>
            </w:r>
          </w:p>
        </w:tc>
        <w:tc>
          <w:tcPr>
            <w:tcW w:w="802" w:type="pct"/>
            <w:shd w:val="clear" w:color="auto" w:fill="auto"/>
            <w:hideMark/>
          </w:tcPr>
          <w:p w14:paraId="1BD49185" w14:textId="77777777" w:rsidR="005B5953" w:rsidRPr="005B12AE" w:rsidRDefault="005B5953" w:rsidP="00250DAC">
            <w:pPr>
              <w:spacing w:after="0" w:line="240" w:lineRule="auto"/>
              <w:jc w:val="center"/>
              <w:rPr>
                <w:rFonts w:ascii="Times New Roman" w:hAnsi="Times New Roman"/>
                <w:color w:val="000000"/>
                <w:sz w:val="20"/>
                <w:szCs w:val="20"/>
              </w:rPr>
            </w:pPr>
          </w:p>
        </w:tc>
        <w:tc>
          <w:tcPr>
            <w:tcW w:w="767" w:type="pct"/>
            <w:shd w:val="clear" w:color="auto" w:fill="auto"/>
            <w:hideMark/>
          </w:tcPr>
          <w:p w14:paraId="44DF4906"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Cr. Bal</w:t>
            </w:r>
          </w:p>
        </w:tc>
      </w:tr>
      <w:tr w:rsidR="005B5953" w:rsidRPr="005B12AE" w14:paraId="3E5E25ED" w14:textId="77777777" w:rsidTr="00250DAC">
        <w:trPr>
          <w:trHeight w:val="20"/>
        </w:trPr>
        <w:tc>
          <w:tcPr>
            <w:tcW w:w="354" w:type="pct"/>
            <w:shd w:val="clear" w:color="auto" w:fill="auto"/>
            <w:vAlign w:val="center"/>
            <w:hideMark/>
          </w:tcPr>
          <w:p w14:paraId="5B9C6FAE"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7</w:t>
            </w:r>
          </w:p>
        </w:tc>
        <w:tc>
          <w:tcPr>
            <w:tcW w:w="2230" w:type="pct"/>
            <w:shd w:val="clear" w:color="auto" w:fill="auto"/>
            <w:hideMark/>
          </w:tcPr>
          <w:p w14:paraId="1B753DF4"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Gurukrupa Metals</w:t>
            </w:r>
          </w:p>
        </w:tc>
        <w:tc>
          <w:tcPr>
            <w:tcW w:w="847" w:type="pct"/>
            <w:shd w:val="clear" w:color="auto" w:fill="auto"/>
            <w:noWrap/>
            <w:vAlign w:val="bottom"/>
            <w:hideMark/>
          </w:tcPr>
          <w:p w14:paraId="7BD68803"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02" w:type="pct"/>
            <w:shd w:val="clear" w:color="auto" w:fill="auto"/>
            <w:noWrap/>
            <w:vAlign w:val="bottom"/>
            <w:hideMark/>
          </w:tcPr>
          <w:p w14:paraId="702CDB2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67" w:type="pct"/>
            <w:shd w:val="clear" w:color="auto" w:fill="auto"/>
            <w:noWrap/>
            <w:vAlign w:val="bottom"/>
            <w:hideMark/>
          </w:tcPr>
          <w:p w14:paraId="03DFDE41"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34.00</w:t>
            </w:r>
          </w:p>
        </w:tc>
      </w:tr>
      <w:tr w:rsidR="005B5953" w:rsidRPr="005B12AE" w14:paraId="3AC59813" w14:textId="77777777" w:rsidTr="00250DAC">
        <w:trPr>
          <w:trHeight w:val="20"/>
        </w:trPr>
        <w:tc>
          <w:tcPr>
            <w:tcW w:w="354" w:type="pct"/>
            <w:shd w:val="clear" w:color="auto" w:fill="auto"/>
            <w:vAlign w:val="center"/>
            <w:hideMark/>
          </w:tcPr>
          <w:p w14:paraId="3CE1C56C"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lastRenderedPageBreak/>
              <w:t> </w:t>
            </w:r>
          </w:p>
        </w:tc>
        <w:tc>
          <w:tcPr>
            <w:tcW w:w="2230" w:type="pct"/>
            <w:shd w:val="clear" w:color="auto" w:fill="auto"/>
            <w:hideMark/>
          </w:tcPr>
          <w:p w14:paraId="3C5F8F49"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847" w:type="pct"/>
            <w:shd w:val="clear" w:color="auto" w:fill="auto"/>
            <w:noWrap/>
            <w:vAlign w:val="bottom"/>
            <w:hideMark/>
          </w:tcPr>
          <w:p w14:paraId="3908AF33" w14:textId="77777777" w:rsidR="005B5953" w:rsidRPr="005B12AE" w:rsidRDefault="005B5953" w:rsidP="00250DAC">
            <w:pPr>
              <w:spacing w:after="0" w:line="240" w:lineRule="auto"/>
              <w:jc w:val="center"/>
              <w:rPr>
                <w:rFonts w:ascii="Times New Roman" w:hAnsi="Times New Roman"/>
                <w:sz w:val="20"/>
                <w:szCs w:val="20"/>
              </w:rPr>
            </w:pPr>
          </w:p>
        </w:tc>
        <w:tc>
          <w:tcPr>
            <w:tcW w:w="802" w:type="pct"/>
            <w:shd w:val="clear" w:color="auto" w:fill="auto"/>
            <w:noWrap/>
            <w:vAlign w:val="bottom"/>
            <w:hideMark/>
          </w:tcPr>
          <w:p w14:paraId="1D35FC8A" w14:textId="77777777" w:rsidR="005B5953" w:rsidRPr="005B12AE" w:rsidRDefault="005B5953" w:rsidP="00250DAC">
            <w:pPr>
              <w:spacing w:after="0" w:line="240" w:lineRule="auto"/>
              <w:jc w:val="center"/>
              <w:rPr>
                <w:rFonts w:ascii="Times New Roman" w:hAnsi="Times New Roman"/>
                <w:sz w:val="20"/>
                <w:szCs w:val="20"/>
              </w:rPr>
            </w:pPr>
          </w:p>
        </w:tc>
        <w:tc>
          <w:tcPr>
            <w:tcW w:w="767" w:type="pct"/>
            <w:shd w:val="clear" w:color="auto" w:fill="auto"/>
            <w:hideMark/>
          </w:tcPr>
          <w:p w14:paraId="3B25F8C6"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Cr. Bal</w:t>
            </w:r>
          </w:p>
        </w:tc>
      </w:tr>
      <w:tr w:rsidR="005B5953" w:rsidRPr="005B12AE" w14:paraId="627F74BE" w14:textId="77777777" w:rsidTr="00250DAC">
        <w:trPr>
          <w:trHeight w:val="20"/>
        </w:trPr>
        <w:tc>
          <w:tcPr>
            <w:tcW w:w="354" w:type="pct"/>
            <w:shd w:val="clear" w:color="auto" w:fill="auto"/>
            <w:vAlign w:val="center"/>
            <w:hideMark/>
          </w:tcPr>
          <w:p w14:paraId="4967EA11"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8</w:t>
            </w:r>
          </w:p>
        </w:tc>
        <w:tc>
          <w:tcPr>
            <w:tcW w:w="2230" w:type="pct"/>
            <w:shd w:val="clear" w:color="auto" w:fill="auto"/>
            <w:hideMark/>
          </w:tcPr>
          <w:p w14:paraId="328B6DDC"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Dwarkesh Alloys Pvt Ltd</w:t>
            </w:r>
          </w:p>
        </w:tc>
        <w:tc>
          <w:tcPr>
            <w:tcW w:w="847" w:type="pct"/>
            <w:shd w:val="clear" w:color="auto" w:fill="auto"/>
            <w:noWrap/>
            <w:vAlign w:val="bottom"/>
            <w:hideMark/>
          </w:tcPr>
          <w:p w14:paraId="2A02690A"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27.40</w:t>
            </w:r>
          </w:p>
        </w:tc>
        <w:tc>
          <w:tcPr>
            <w:tcW w:w="802" w:type="pct"/>
            <w:shd w:val="clear" w:color="auto" w:fill="auto"/>
            <w:noWrap/>
            <w:vAlign w:val="bottom"/>
            <w:hideMark/>
          </w:tcPr>
          <w:p w14:paraId="39846F7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37.40</w:t>
            </w:r>
          </w:p>
        </w:tc>
        <w:tc>
          <w:tcPr>
            <w:tcW w:w="767" w:type="pct"/>
            <w:shd w:val="clear" w:color="auto" w:fill="auto"/>
            <w:noWrap/>
            <w:vAlign w:val="bottom"/>
            <w:hideMark/>
          </w:tcPr>
          <w:p w14:paraId="28B5D37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89.41</w:t>
            </w:r>
          </w:p>
        </w:tc>
      </w:tr>
      <w:tr w:rsidR="005B5953" w:rsidRPr="005B12AE" w14:paraId="7B91DEF4" w14:textId="77777777" w:rsidTr="00250DAC">
        <w:trPr>
          <w:trHeight w:val="20"/>
        </w:trPr>
        <w:tc>
          <w:tcPr>
            <w:tcW w:w="354" w:type="pct"/>
            <w:shd w:val="clear" w:color="auto" w:fill="auto"/>
            <w:vAlign w:val="center"/>
            <w:hideMark/>
          </w:tcPr>
          <w:p w14:paraId="4EAE9369"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tc>
        <w:tc>
          <w:tcPr>
            <w:tcW w:w="2230" w:type="pct"/>
            <w:shd w:val="clear" w:color="auto" w:fill="auto"/>
            <w:hideMark/>
          </w:tcPr>
          <w:p w14:paraId="1A59FCB0"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847" w:type="pct"/>
            <w:shd w:val="clear" w:color="auto" w:fill="auto"/>
            <w:hideMark/>
          </w:tcPr>
          <w:p w14:paraId="093FA1BD"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Cr. Bal</w:t>
            </w:r>
          </w:p>
        </w:tc>
        <w:tc>
          <w:tcPr>
            <w:tcW w:w="802" w:type="pct"/>
            <w:shd w:val="clear" w:color="auto" w:fill="auto"/>
            <w:hideMark/>
          </w:tcPr>
          <w:p w14:paraId="692C932B"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Cr. Bal</w:t>
            </w:r>
          </w:p>
        </w:tc>
        <w:tc>
          <w:tcPr>
            <w:tcW w:w="767" w:type="pct"/>
            <w:shd w:val="clear" w:color="auto" w:fill="auto"/>
            <w:hideMark/>
          </w:tcPr>
          <w:p w14:paraId="6E16CBB5"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Cr. Bal</w:t>
            </w:r>
          </w:p>
        </w:tc>
      </w:tr>
      <w:tr w:rsidR="005B5953" w:rsidRPr="005B12AE" w14:paraId="2288F873" w14:textId="77777777" w:rsidTr="00250DAC">
        <w:trPr>
          <w:trHeight w:val="20"/>
        </w:trPr>
        <w:tc>
          <w:tcPr>
            <w:tcW w:w="354" w:type="pct"/>
            <w:shd w:val="clear" w:color="auto" w:fill="auto"/>
            <w:vAlign w:val="center"/>
            <w:hideMark/>
          </w:tcPr>
          <w:p w14:paraId="26232EC1"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9</w:t>
            </w:r>
          </w:p>
        </w:tc>
        <w:tc>
          <w:tcPr>
            <w:tcW w:w="2230" w:type="pct"/>
            <w:shd w:val="clear" w:color="auto" w:fill="auto"/>
            <w:hideMark/>
          </w:tcPr>
          <w:p w14:paraId="2EC55C2F"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Simpex Overseas Pvt Ltd</w:t>
            </w:r>
          </w:p>
        </w:tc>
        <w:tc>
          <w:tcPr>
            <w:tcW w:w="847" w:type="pct"/>
            <w:shd w:val="clear" w:color="auto" w:fill="auto"/>
            <w:noWrap/>
            <w:vAlign w:val="bottom"/>
            <w:hideMark/>
          </w:tcPr>
          <w:p w14:paraId="646E482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(56.23)</w:t>
            </w:r>
          </w:p>
        </w:tc>
        <w:tc>
          <w:tcPr>
            <w:tcW w:w="802" w:type="pct"/>
            <w:shd w:val="clear" w:color="auto" w:fill="auto"/>
            <w:noWrap/>
            <w:vAlign w:val="bottom"/>
            <w:hideMark/>
          </w:tcPr>
          <w:p w14:paraId="75D2A1CF"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0.09</w:t>
            </w:r>
          </w:p>
        </w:tc>
        <w:tc>
          <w:tcPr>
            <w:tcW w:w="767" w:type="pct"/>
            <w:shd w:val="clear" w:color="auto" w:fill="auto"/>
            <w:noWrap/>
            <w:vAlign w:val="bottom"/>
            <w:hideMark/>
          </w:tcPr>
          <w:p w14:paraId="2C967165"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282.74</w:t>
            </w:r>
          </w:p>
        </w:tc>
      </w:tr>
      <w:tr w:rsidR="005B5953" w:rsidRPr="005B12AE" w14:paraId="1B6CA384" w14:textId="77777777" w:rsidTr="00250DAC">
        <w:trPr>
          <w:trHeight w:val="20"/>
        </w:trPr>
        <w:tc>
          <w:tcPr>
            <w:tcW w:w="354" w:type="pct"/>
            <w:shd w:val="clear" w:color="auto" w:fill="auto"/>
            <w:vAlign w:val="center"/>
            <w:hideMark/>
          </w:tcPr>
          <w:p w14:paraId="7BB01590"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tc>
        <w:tc>
          <w:tcPr>
            <w:tcW w:w="2230" w:type="pct"/>
            <w:shd w:val="clear" w:color="auto" w:fill="auto"/>
            <w:hideMark/>
          </w:tcPr>
          <w:p w14:paraId="2D382196"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847" w:type="pct"/>
            <w:shd w:val="clear" w:color="auto" w:fill="auto"/>
            <w:hideMark/>
          </w:tcPr>
          <w:p w14:paraId="5D6D3D19"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Dr. Bal</w:t>
            </w:r>
          </w:p>
        </w:tc>
        <w:tc>
          <w:tcPr>
            <w:tcW w:w="802" w:type="pct"/>
            <w:shd w:val="clear" w:color="auto" w:fill="auto"/>
            <w:hideMark/>
          </w:tcPr>
          <w:p w14:paraId="42CDDE78"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Cr. Bal</w:t>
            </w:r>
          </w:p>
        </w:tc>
        <w:tc>
          <w:tcPr>
            <w:tcW w:w="767" w:type="pct"/>
            <w:shd w:val="clear" w:color="auto" w:fill="auto"/>
            <w:hideMark/>
          </w:tcPr>
          <w:p w14:paraId="6EDC7B21"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Cr. Bal</w:t>
            </w:r>
          </w:p>
        </w:tc>
      </w:tr>
      <w:tr w:rsidR="005B5953" w:rsidRPr="005B12AE" w14:paraId="5F2B60A1" w14:textId="77777777" w:rsidTr="00250DAC">
        <w:trPr>
          <w:trHeight w:val="20"/>
        </w:trPr>
        <w:tc>
          <w:tcPr>
            <w:tcW w:w="354" w:type="pct"/>
            <w:shd w:val="clear" w:color="auto" w:fill="auto"/>
            <w:vAlign w:val="center"/>
            <w:hideMark/>
          </w:tcPr>
          <w:p w14:paraId="31C9C29D"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10</w:t>
            </w:r>
          </w:p>
        </w:tc>
        <w:tc>
          <w:tcPr>
            <w:tcW w:w="2230" w:type="pct"/>
            <w:shd w:val="clear" w:color="auto" w:fill="auto"/>
            <w:hideMark/>
          </w:tcPr>
          <w:p w14:paraId="243BDBB3"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Apex Devcon Pvt Ltd</w:t>
            </w:r>
          </w:p>
        </w:tc>
        <w:tc>
          <w:tcPr>
            <w:tcW w:w="847" w:type="pct"/>
            <w:shd w:val="clear" w:color="auto" w:fill="auto"/>
            <w:noWrap/>
            <w:vAlign w:val="bottom"/>
            <w:hideMark/>
          </w:tcPr>
          <w:p w14:paraId="276833A0"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802" w:type="pct"/>
            <w:shd w:val="clear" w:color="auto" w:fill="auto"/>
            <w:noWrap/>
            <w:vAlign w:val="bottom"/>
            <w:hideMark/>
          </w:tcPr>
          <w:p w14:paraId="6391538B"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w:t>
            </w:r>
          </w:p>
        </w:tc>
        <w:tc>
          <w:tcPr>
            <w:tcW w:w="767" w:type="pct"/>
            <w:shd w:val="clear" w:color="auto" w:fill="auto"/>
            <w:noWrap/>
            <w:vAlign w:val="bottom"/>
            <w:hideMark/>
          </w:tcPr>
          <w:p w14:paraId="593EF434" w14:textId="77777777" w:rsidR="005B5953" w:rsidRPr="005B12AE" w:rsidRDefault="005B5953" w:rsidP="00250DAC">
            <w:pPr>
              <w:spacing w:after="0" w:line="240" w:lineRule="auto"/>
              <w:jc w:val="center"/>
              <w:rPr>
                <w:rFonts w:ascii="Times New Roman" w:hAnsi="Times New Roman"/>
                <w:sz w:val="20"/>
                <w:szCs w:val="20"/>
              </w:rPr>
            </w:pPr>
            <w:r w:rsidRPr="005B12AE">
              <w:rPr>
                <w:rFonts w:ascii="Times New Roman" w:hAnsi="Times New Roman"/>
                <w:sz w:val="20"/>
                <w:szCs w:val="20"/>
              </w:rPr>
              <w:t>30.00</w:t>
            </w:r>
          </w:p>
        </w:tc>
      </w:tr>
      <w:tr w:rsidR="005B5953" w:rsidRPr="005B12AE" w14:paraId="4E2783DA" w14:textId="77777777" w:rsidTr="00250DAC">
        <w:trPr>
          <w:trHeight w:val="20"/>
        </w:trPr>
        <w:tc>
          <w:tcPr>
            <w:tcW w:w="354" w:type="pct"/>
            <w:shd w:val="clear" w:color="auto" w:fill="auto"/>
            <w:vAlign w:val="center"/>
            <w:hideMark/>
          </w:tcPr>
          <w:p w14:paraId="1E26F65A"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 </w:t>
            </w:r>
          </w:p>
        </w:tc>
        <w:tc>
          <w:tcPr>
            <w:tcW w:w="2230" w:type="pct"/>
            <w:shd w:val="clear" w:color="auto" w:fill="auto"/>
            <w:hideMark/>
          </w:tcPr>
          <w:p w14:paraId="57C5A9D2" w14:textId="77777777" w:rsidR="005B5953" w:rsidRPr="005B12AE" w:rsidRDefault="005B5953" w:rsidP="00250DAC">
            <w:pPr>
              <w:spacing w:after="0" w:line="240" w:lineRule="auto"/>
              <w:rPr>
                <w:rFonts w:ascii="Times New Roman" w:hAnsi="Times New Roman"/>
                <w:sz w:val="20"/>
                <w:szCs w:val="20"/>
              </w:rPr>
            </w:pPr>
            <w:r w:rsidRPr="005B12AE">
              <w:rPr>
                <w:rFonts w:ascii="Times New Roman" w:hAnsi="Times New Roman"/>
                <w:sz w:val="20"/>
                <w:szCs w:val="20"/>
              </w:rPr>
              <w:t> </w:t>
            </w:r>
          </w:p>
        </w:tc>
        <w:tc>
          <w:tcPr>
            <w:tcW w:w="847" w:type="pct"/>
            <w:shd w:val="clear" w:color="auto" w:fill="auto"/>
            <w:hideMark/>
          </w:tcPr>
          <w:p w14:paraId="5510AFEF" w14:textId="77777777" w:rsidR="005B5953" w:rsidRPr="005B12AE" w:rsidRDefault="005B5953" w:rsidP="00250DAC">
            <w:pPr>
              <w:spacing w:after="0" w:line="240" w:lineRule="auto"/>
              <w:jc w:val="center"/>
              <w:rPr>
                <w:rFonts w:ascii="Times New Roman" w:hAnsi="Times New Roman"/>
                <w:sz w:val="20"/>
                <w:szCs w:val="20"/>
              </w:rPr>
            </w:pPr>
          </w:p>
        </w:tc>
        <w:tc>
          <w:tcPr>
            <w:tcW w:w="802" w:type="pct"/>
            <w:shd w:val="clear" w:color="auto" w:fill="auto"/>
            <w:hideMark/>
          </w:tcPr>
          <w:p w14:paraId="7C3A4B12" w14:textId="77777777" w:rsidR="005B5953" w:rsidRPr="005B12AE" w:rsidRDefault="005B5953" w:rsidP="00250DAC">
            <w:pPr>
              <w:spacing w:after="0" w:line="240" w:lineRule="auto"/>
              <w:jc w:val="center"/>
              <w:rPr>
                <w:rFonts w:ascii="Times New Roman" w:hAnsi="Times New Roman"/>
                <w:color w:val="000000"/>
                <w:sz w:val="20"/>
                <w:szCs w:val="20"/>
              </w:rPr>
            </w:pPr>
          </w:p>
        </w:tc>
        <w:tc>
          <w:tcPr>
            <w:tcW w:w="767" w:type="pct"/>
            <w:shd w:val="clear" w:color="auto" w:fill="auto"/>
            <w:hideMark/>
          </w:tcPr>
          <w:p w14:paraId="635EFD47" w14:textId="77777777" w:rsidR="005B5953" w:rsidRPr="005B12AE" w:rsidRDefault="005B5953" w:rsidP="00250DAC">
            <w:pPr>
              <w:spacing w:after="0" w:line="240" w:lineRule="auto"/>
              <w:jc w:val="center"/>
              <w:rPr>
                <w:rFonts w:ascii="Times New Roman" w:hAnsi="Times New Roman"/>
                <w:color w:val="000000"/>
                <w:sz w:val="20"/>
                <w:szCs w:val="20"/>
              </w:rPr>
            </w:pPr>
            <w:r w:rsidRPr="005B12AE">
              <w:rPr>
                <w:rFonts w:ascii="Times New Roman" w:hAnsi="Times New Roman"/>
                <w:color w:val="000000"/>
                <w:sz w:val="20"/>
                <w:szCs w:val="20"/>
              </w:rPr>
              <w:t>Dr. Bal</w:t>
            </w:r>
          </w:p>
        </w:tc>
      </w:tr>
    </w:tbl>
    <w:p w14:paraId="5CFA3416" w14:textId="77777777" w:rsidR="005B5953" w:rsidRPr="005B12AE" w:rsidRDefault="005B5953" w:rsidP="005B5953">
      <w:pPr>
        <w:spacing w:after="0"/>
        <w:jc w:val="center"/>
        <w:rPr>
          <w:rFonts w:ascii="Times New Roman" w:hAnsi="Times New Roman"/>
          <w:b/>
          <w:bCs/>
          <w:color w:val="000000"/>
          <w:sz w:val="20"/>
          <w:szCs w:val="20"/>
        </w:rPr>
      </w:pPr>
    </w:p>
    <w:p w14:paraId="05AD0D6F" w14:textId="77777777" w:rsidR="005B5953" w:rsidRPr="005B12AE" w:rsidRDefault="005B5953" w:rsidP="005B5953">
      <w:pPr>
        <w:spacing w:after="0"/>
        <w:jc w:val="center"/>
        <w:rPr>
          <w:rFonts w:ascii="Times New Roman" w:hAnsi="Times New Roman"/>
          <w:b/>
          <w:bCs/>
          <w:color w:val="000000"/>
          <w:sz w:val="20"/>
          <w:szCs w:val="20"/>
        </w:rPr>
      </w:pPr>
      <w:r w:rsidRPr="005B12AE">
        <w:rPr>
          <w:rFonts w:ascii="Times New Roman" w:hAnsi="Times New Roman"/>
          <w:b/>
          <w:bCs/>
          <w:color w:val="000000"/>
          <w:sz w:val="20"/>
          <w:szCs w:val="20"/>
        </w:rPr>
        <w:t>NOTE – X</w:t>
      </w:r>
    </w:p>
    <w:p w14:paraId="5AE8FBD7" w14:textId="77777777" w:rsidR="005B5953" w:rsidRPr="005B12AE" w:rsidRDefault="005B5953" w:rsidP="005B5953">
      <w:pPr>
        <w:spacing w:after="0"/>
        <w:jc w:val="center"/>
        <w:rPr>
          <w:rFonts w:ascii="Times New Roman" w:hAnsi="Times New Roman"/>
          <w:b/>
          <w:bCs/>
          <w:color w:val="000000"/>
          <w:sz w:val="20"/>
          <w:szCs w:val="20"/>
        </w:rPr>
      </w:pPr>
    </w:p>
    <w:p w14:paraId="371260DD" w14:textId="77777777" w:rsidR="005B5953" w:rsidRPr="005B12AE" w:rsidRDefault="005B5953" w:rsidP="005B5953">
      <w:pPr>
        <w:spacing w:after="0"/>
        <w:jc w:val="center"/>
        <w:rPr>
          <w:rFonts w:ascii="Times New Roman" w:hAnsi="Times New Roman"/>
          <w:b/>
          <w:bCs/>
          <w:color w:val="000000"/>
          <w:sz w:val="20"/>
          <w:szCs w:val="20"/>
        </w:rPr>
      </w:pPr>
      <w:r w:rsidRPr="005B12AE">
        <w:rPr>
          <w:rFonts w:ascii="Times New Roman" w:hAnsi="Times New Roman"/>
          <w:b/>
          <w:bCs/>
          <w:color w:val="000000"/>
          <w:sz w:val="20"/>
          <w:szCs w:val="20"/>
        </w:rPr>
        <w:t>RESTATED STATEMENT OF TAX SHELTER</w:t>
      </w:r>
    </w:p>
    <w:p w14:paraId="571ADE7E" w14:textId="77777777" w:rsidR="005B5953" w:rsidRPr="005B12AE" w:rsidRDefault="005B5953" w:rsidP="005B5953">
      <w:pPr>
        <w:spacing w:after="0"/>
        <w:jc w:val="right"/>
        <w:rPr>
          <w:rFonts w:ascii="Times New Roman" w:hAnsi="Times New Roman"/>
          <w:b/>
          <w:bCs/>
          <w:sz w:val="20"/>
          <w:szCs w:val="20"/>
        </w:rPr>
      </w:pPr>
      <w:r w:rsidRPr="005B12AE">
        <w:rPr>
          <w:rFonts w:ascii="Times New Roman" w:hAnsi="Times New Roman"/>
          <w:b/>
          <w:bCs/>
          <w:sz w:val="20"/>
          <w:szCs w:val="20"/>
        </w:rPr>
        <w:t>(₹ in Lakhs)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2"/>
        <w:gridCol w:w="1769"/>
        <w:gridCol w:w="1677"/>
        <w:gridCol w:w="1608"/>
      </w:tblGrid>
      <w:tr w:rsidR="005B5953" w:rsidRPr="005B12AE" w14:paraId="3D431576" w14:textId="77777777" w:rsidTr="00250DAC">
        <w:trPr>
          <w:trHeight w:val="20"/>
        </w:trPr>
        <w:tc>
          <w:tcPr>
            <w:tcW w:w="2583" w:type="pct"/>
            <w:vMerge w:val="restart"/>
            <w:shd w:val="clear" w:color="auto" w:fill="D0CECE" w:themeFill="background2" w:themeFillShade="E6"/>
            <w:noWrap/>
            <w:vAlign w:val="center"/>
            <w:hideMark/>
          </w:tcPr>
          <w:p w14:paraId="3CD66A4E" w14:textId="77777777" w:rsidR="005B5953" w:rsidRPr="00E571CE" w:rsidRDefault="005B5953" w:rsidP="00250DAC">
            <w:pPr>
              <w:spacing w:after="0" w:line="240" w:lineRule="auto"/>
              <w:jc w:val="center"/>
              <w:rPr>
                <w:rFonts w:ascii="Times New Roman" w:hAnsi="Times New Roman"/>
                <w:b/>
                <w:bCs/>
                <w:color w:val="000000"/>
                <w:sz w:val="20"/>
                <w:szCs w:val="20"/>
              </w:rPr>
            </w:pPr>
            <w:r w:rsidRPr="00E571CE">
              <w:rPr>
                <w:rFonts w:ascii="Times New Roman" w:hAnsi="Times New Roman"/>
                <w:b/>
                <w:bCs/>
                <w:color w:val="000000"/>
                <w:sz w:val="20"/>
                <w:szCs w:val="20"/>
              </w:rPr>
              <w:t xml:space="preserve">Particulars </w:t>
            </w:r>
          </w:p>
        </w:tc>
        <w:tc>
          <w:tcPr>
            <w:tcW w:w="2417" w:type="pct"/>
            <w:gridSpan w:val="3"/>
            <w:shd w:val="clear" w:color="auto" w:fill="D0CECE" w:themeFill="background2" w:themeFillShade="E6"/>
            <w:noWrap/>
            <w:vAlign w:val="bottom"/>
            <w:hideMark/>
          </w:tcPr>
          <w:p w14:paraId="08B906B5" w14:textId="77777777" w:rsidR="005B5953" w:rsidRPr="00E571CE" w:rsidRDefault="005B5953" w:rsidP="00250DAC">
            <w:pPr>
              <w:spacing w:after="0" w:line="240" w:lineRule="auto"/>
              <w:jc w:val="center"/>
              <w:rPr>
                <w:rFonts w:ascii="Times New Roman" w:hAnsi="Times New Roman"/>
                <w:b/>
                <w:bCs/>
                <w:color w:val="000000"/>
                <w:sz w:val="20"/>
                <w:szCs w:val="20"/>
              </w:rPr>
            </w:pPr>
            <w:r w:rsidRPr="00E571CE">
              <w:rPr>
                <w:rFonts w:ascii="Times New Roman" w:hAnsi="Times New Roman"/>
                <w:b/>
                <w:bCs/>
                <w:color w:val="000000"/>
                <w:sz w:val="20"/>
                <w:szCs w:val="20"/>
              </w:rPr>
              <w:t xml:space="preserve">As at March 31, </w:t>
            </w:r>
          </w:p>
        </w:tc>
      </w:tr>
      <w:tr w:rsidR="005B5953" w:rsidRPr="005B12AE" w14:paraId="763FFD5D" w14:textId="77777777" w:rsidTr="00250DAC">
        <w:trPr>
          <w:trHeight w:val="20"/>
        </w:trPr>
        <w:tc>
          <w:tcPr>
            <w:tcW w:w="2583" w:type="pct"/>
            <w:vMerge/>
            <w:shd w:val="clear" w:color="auto" w:fill="D0CECE" w:themeFill="background2" w:themeFillShade="E6"/>
            <w:vAlign w:val="center"/>
            <w:hideMark/>
          </w:tcPr>
          <w:p w14:paraId="519B2330" w14:textId="77777777" w:rsidR="005B5953" w:rsidRPr="00E571CE" w:rsidRDefault="005B5953" w:rsidP="00250DAC">
            <w:pPr>
              <w:spacing w:after="0" w:line="240" w:lineRule="auto"/>
              <w:rPr>
                <w:rFonts w:ascii="Times New Roman" w:hAnsi="Times New Roman"/>
                <w:b/>
                <w:bCs/>
                <w:color w:val="000000"/>
                <w:sz w:val="20"/>
                <w:szCs w:val="20"/>
              </w:rPr>
            </w:pPr>
          </w:p>
        </w:tc>
        <w:tc>
          <w:tcPr>
            <w:tcW w:w="846" w:type="pct"/>
            <w:shd w:val="clear" w:color="auto" w:fill="D0CECE" w:themeFill="background2" w:themeFillShade="E6"/>
            <w:noWrap/>
            <w:vAlign w:val="bottom"/>
            <w:hideMark/>
          </w:tcPr>
          <w:p w14:paraId="47A1C1AD" w14:textId="77777777" w:rsidR="005B5953" w:rsidRPr="00E571C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31/03/2023</w:t>
            </w:r>
          </w:p>
        </w:tc>
        <w:tc>
          <w:tcPr>
            <w:tcW w:w="802" w:type="pct"/>
            <w:shd w:val="clear" w:color="auto" w:fill="D0CECE" w:themeFill="background2" w:themeFillShade="E6"/>
            <w:noWrap/>
            <w:vAlign w:val="bottom"/>
            <w:hideMark/>
          </w:tcPr>
          <w:p w14:paraId="238FF080" w14:textId="77777777" w:rsidR="005B5953" w:rsidRPr="00E571C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31/03/2022</w:t>
            </w:r>
          </w:p>
        </w:tc>
        <w:tc>
          <w:tcPr>
            <w:tcW w:w="769" w:type="pct"/>
            <w:shd w:val="clear" w:color="auto" w:fill="D0CECE" w:themeFill="background2" w:themeFillShade="E6"/>
            <w:noWrap/>
            <w:vAlign w:val="bottom"/>
            <w:hideMark/>
          </w:tcPr>
          <w:p w14:paraId="640A327E" w14:textId="77777777" w:rsidR="005B5953" w:rsidRPr="00E571C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31/03/2021</w:t>
            </w:r>
          </w:p>
        </w:tc>
      </w:tr>
      <w:tr w:rsidR="005B5953" w:rsidRPr="005B12AE" w14:paraId="5AC5FCE5" w14:textId="77777777" w:rsidTr="00250DAC">
        <w:trPr>
          <w:trHeight w:val="20"/>
        </w:trPr>
        <w:tc>
          <w:tcPr>
            <w:tcW w:w="2583" w:type="pct"/>
            <w:shd w:val="clear" w:color="auto" w:fill="auto"/>
            <w:noWrap/>
            <w:vAlign w:val="bottom"/>
            <w:hideMark/>
          </w:tcPr>
          <w:p w14:paraId="0FE7C0B7" w14:textId="77777777" w:rsidR="005B5953" w:rsidRPr="00E571CE" w:rsidRDefault="005B5953" w:rsidP="00250DAC">
            <w:pPr>
              <w:spacing w:after="0" w:line="240" w:lineRule="auto"/>
              <w:rPr>
                <w:rFonts w:ascii="Times New Roman" w:hAnsi="Times New Roman"/>
                <w:color w:val="000000"/>
                <w:sz w:val="20"/>
                <w:szCs w:val="20"/>
              </w:rPr>
            </w:pPr>
            <w:r w:rsidRPr="00E571CE">
              <w:rPr>
                <w:rFonts w:ascii="Times New Roman" w:hAnsi="Times New Roman"/>
                <w:color w:val="000000"/>
                <w:sz w:val="20"/>
                <w:szCs w:val="20"/>
              </w:rPr>
              <w:t>Restated profit before tax as per books (A)</w:t>
            </w:r>
          </w:p>
        </w:tc>
        <w:tc>
          <w:tcPr>
            <w:tcW w:w="846" w:type="pct"/>
            <w:shd w:val="clear" w:color="auto" w:fill="auto"/>
            <w:noWrap/>
            <w:vAlign w:val="bottom"/>
            <w:hideMark/>
          </w:tcPr>
          <w:p w14:paraId="48D8DD8F" w14:textId="77777777" w:rsidR="005B5953" w:rsidRPr="00E571CE" w:rsidRDefault="005B5953" w:rsidP="00250DAC">
            <w:pPr>
              <w:spacing w:after="0" w:line="240" w:lineRule="auto"/>
              <w:jc w:val="center"/>
              <w:rPr>
                <w:rFonts w:ascii="Times New Roman" w:hAnsi="Times New Roman"/>
                <w:color w:val="000000"/>
                <w:sz w:val="20"/>
                <w:szCs w:val="20"/>
              </w:rPr>
            </w:pPr>
            <w:r w:rsidRPr="00E571CE">
              <w:rPr>
                <w:rFonts w:ascii="Times New Roman" w:hAnsi="Times New Roman"/>
                <w:color w:val="000000"/>
                <w:sz w:val="20"/>
                <w:szCs w:val="20"/>
              </w:rPr>
              <w:t>1,080.56</w:t>
            </w:r>
          </w:p>
        </w:tc>
        <w:tc>
          <w:tcPr>
            <w:tcW w:w="802" w:type="pct"/>
            <w:shd w:val="clear" w:color="auto" w:fill="auto"/>
            <w:noWrap/>
            <w:vAlign w:val="bottom"/>
            <w:hideMark/>
          </w:tcPr>
          <w:p w14:paraId="42B88FD0" w14:textId="77777777" w:rsidR="005B5953" w:rsidRPr="00E571CE" w:rsidRDefault="005B5953" w:rsidP="00250DAC">
            <w:pPr>
              <w:spacing w:after="0" w:line="240" w:lineRule="auto"/>
              <w:jc w:val="center"/>
              <w:rPr>
                <w:rFonts w:ascii="Times New Roman" w:hAnsi="Times New Roman"/>
                <w:color w:val="000000"/>
                <w:sz w:val="20"/>
                <w:szCs w:val="20"/>
              </w:rPr>
            </w:pPr>
            <w:r w:rsidRPr="00E571CE">
              <w:rPr>
                <w:rFonts w:ascii="Times New Roman" w:hAnsi="Times New Roman"/>
                <w:color w:val="000000"/>
                <w:sz w:val="20"/>
                <w:szCs w:val="20"/>
              </w:rPr>
              <w:t>449.75</w:t>
            </w:r>
          </w:p>
        </w:tc>
        <w:tc>
          <w:tcPr>
            <w:tcW w:w="769" w:type="pct"/>
            <w:shd w:val="clear" w:color="auto" w:fill="auto"/>
            <w:noWrap/>
            <w:vAlign w:val="bottom"/>
            <w:hideMark/>
          </w:tcPr>
          <w:p w14:paraId="3D7208BD" w14:textId="77777777" w:rsidR="005B5953" w:rsidRPr="00E571CE" w:rsidRDefault="005B5953" w:rsidP="00250DAC">
            <w:pPr>
              <w:spacing w:after="0" w:line="240" w:lineRule="auto"/>
              <w:jc w:val="center"/>
              <w:rPr>
                <w:rFonts w:ascii="Times New Roman" w:hAnsi="Times New Roman"/>
                <w:color w:val="000000"/>
                <w:sz w:val="20"/>
                <w:szCs w:val="20"/>
              </w:rPr>
            </w:pPr>
            <w:r w:rsidRPr="00E571CE">
              <w:rPr>
                <w:rFonts w:ascii="Times New Roman" w:hAnsi="Times New Roman"/>
                <w:color w:val="000000"/>
                <w:sz w:val="20"/>
                <w:szCs w:val="20"/>
              </w:rPr>
              <w:t>195.45</w:t>
            </w:r>
          </w:p>
        </w:tc>
      </w:tr>
      <w:tr w:rsidR="005B5953" w:rsidRPr="005B12AE" w14:paraId="13864FA1" w14:textId="77777777" w:rsidTr="00250DAC">
        <w:trPr>
          <w:trHeight w:val="20"/>
        </w:trPr>
        <w:tc>
          <w:tcPr>
            <w:tcW w:w="2583" w:type="pct"/>
            <w:shd w:val="clear" w:color="auto" w:fill="auto"/>
            <w:noWrap/>
            <w:vAlign w:val="bottom"/>
            <w:hideMark/>
          </w:tcPr>
          <w:p w14:paraId="7883CCE8" w14:textId="77777777" w:rsidR="005B5953" w:rsidRPr="00E571CE" w:rsidRDefault="005B5953" w:rsidP="00250DAC">
            <w:pPr>
              <w:spacing w:after="0" w:line="240" w:lineRule="auto"/>
              <w:rPr>
                <w:rFonts w:ascii="Times New Roman" w:hAnsi="Times New Roman"/>
                <w:color w:val="000000"/>
                <w:sz w:val="20"/>
                <w:szCs w:val="20"/>
              </w:rPr>
            </w:pPr>
            <w:r w:rsidRPr="00E571CE">
              <w:rPr>
                <w:rFonts w:ascii="Times New Roman" w:hAnsi="Times New Roman"/>
                <w:color w:val="000000"/>
                <w:sz w:val="20"/>
                <w:szCs w:val="20"/>
              </w:rPr>
              <w:t>Tax Rates</w:t>
            </w:r>
          </w:p>
        </w:tc>
        <w:tc>
          <w:tcPr>
            <w:tcW w:w="846" w:type="pct"/>
            <w:shd w:val="clear" w:color="auto" w:fill="auto"/>
            <w:noWrap/>
            <w:vAlign w:val="bottom"/>
            <w:hideMark/>
          </w:tcPr>
          <w:p w14:paraId="7358D9D0" w14:textId="77777777" w:rsidR="005B5953" w:rsidRPr="00E571CE" w:rsidRDefault="005B5953" w:rsidP="00250DAC">
            <w:pPr>
              <w:spacing w:after="0" w:line="240" w:lineRule="auto"/>
              <w:jc w:val="center"/>
              <w:rPr>
                <w:rFonts w:ascii="Times New Roman" w:hAnsi="Times New Roman"/>
                <w:color w:val="000000"/>
                <w:sz w:val="20"/>
                <w:szCs w:val="20"/>
              </w:rPr>
            </w:pPr>
          </w:p>
        </w:tc>
        <w:tc>
          <w:tcPr>
            <w:tcW w:w="802" w:type="pct"/>
            <w:shd w:val="clear" w:color="auto" w:fill="auto"/>
            <w:noWrap/>
            <w:vAlign w:val="bottom"/>
            <w:hideMark/>
          </w:tcPr>
          <w:p w14:paraId="32A8F261" w14:textId="77777777" w:rsidR="005B5953" w:rsidRPr="00E571CE" w:rsidRDefault="005B5953" w:rsidP="00250DAC">
            <w:pPr>
              <w:spacing w:after="0" w:line="240" w:lineRule="auto"/>
              <w:jc w:val="center"/>
              <w:rPr>
                <w:rFonts w:ascii="Times New Roman" w:hAnsi="Times New Roman"/>
                <w:sz w:val="20"/>
                <w:szCs w:val="20"/>
              </w:rPr>
            </w:pPr>
          </w:p>
        </w:tc>
        <w:tc>
          <w:tcPr>
            <w:tcW w:w="769" w:type="pct"/>
            <w:shd w:val="clear" w:color="auto" w:fill="auto"/>
            <w:noWrap/>
            <w:vAlign w:val="bottom"/>
            <w:hideMark/>
          </w:tcPr>
          <w:p w14:paraId="166749C9" w14:textId="77777777" w:rsidR="005B5953" w:rsidRPr="00E571CE" w:rsidRDefault="005B5953" w:rsidP="00250DAC">
            <w:pPr>
              <w:spacing w:after="0" w:line="240" w:lineRule="auto"/>
              <w:jc w:val="center"/>
              <w:rPr>
                <w:rFonts w:ascii="Times New Roman" w:hAnsi="Times New Roman"/>
                <w:sz w:val="20"/>
                <w:szCs w:val="20"/>
              </w:rPr>
            </w:pPr>
          </w:p>
        </w:tc>
      </w:tr>
      <w:tr w:rsidR="005B5953" w:rsidRPr="005B12AE" w14:paraId="1E5CC868" w14:textId="77777777" w:rsidTr="00250DAC">
        <w:trPr>
          <w:trHeight w:val="20"/>
        </w:trPr>
        <w:tc>
          <w:tcPr>
            <w:tcW w:w="2583" w:type="pct"/>
            <w:shd w:val="clear" w:color="auto" w:fill="auto"/>
            <w:noWrap/>
            <w:vAlign w:val="bottom"/>
            <w:hideMark/>
          </w:tcPr>
          <w:p w14:paraId="22A9A264" w14:textId="77777777" w:rsidR="005B5953" w:rsidRPr="00E571CE" w:rsidRDefault="005B5953" w:rsidP="00250DAC">
            <w:pPr>
              <w:spacing w:after="0" w:line="240" w:lineRule="auto"/>
              <w:rPr>
                <w:rFonts w:ascii="Times New Roman" w:hAnsi="Times New Roman"/>
                <w:color w:val="000000"/>
                <w:sz w:val="20"/>
                <w:szCs w:val="20"/>
              </w:rPr>
            </w:pPr>
            <w:r w:rsidRPr="00E571CE">
              <w:rPr>
                <w:rFonts w:ascii="Times New Roman" w:hAnsi="Times New Roman"/>
                <w:color w:val="000000"/>
                <w:sz w:val="20"/>
                <w:szCs w:val="20"/>
              </w:rPr>
              <w:t>Income Tax Rate (%)</w:t>
            </w:r>
          </w:p>
        </w:tc>
        <w:tc>
          <w:tcPr>
            <w:tcW w:w="846" w:type="pct"/>
            <w:shd w:val="clear" w:color="auto" w:fill="auto"/>
            <w:noWrap/>
            <w:vAlign w:val="bottom"/>
            <w:hideMark/>
          </w:tcPr>
          <w:p w14:paraId="60C79411"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25.17%</w:t>
            </w:r>
          </w:p>
        </w:tc>
        <w:tc>
          <w:tcPr>
            <w:tcW w:w="802" w:type="pct"/>
            <w:shd w:val="clear" w:color="auto" w:fill="auto"/>
            <w:noWrap/>
            <w:vAlign w:val="bottom"/>
            <w:hideMark/>
          </w:tcPr>
          <w:p w14:paraId="638843CA"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27.82%</w:t>
            </w:r>
          </w:p>
        </w:tc>
        <w:tc>
          <w:tcPr>
            <w:tcW w:w="769" w:type="pct"/>
            <w:shd w:val="clear" w:color="auto" w:fill="auto"/>
            <w:noWrap/>
            <w:vAlign w:val="bottom"/>
            <w:hideMark/>
          </w:tcPr>
          <w:p w14:paraId="7D9D80A2"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27.82%</w:t>
            </w:r>
          </w:p>
        </w:tc>
      </w:tr>
      <w:tr w:rsidR="005B5953" w:rsidRPr="005B12AE" w14:paraId="12C410A7" w14:textId="77777777" w:rsidTr="00250DAC">
        <w:trPr>
          <w:trHeight w:val="20"/>
        </w:trPr>
        <w:tc>
          <w:tcPr>
            <w:tcW w:w="2583" w:type="pct"/>
            <w:shd w:val="clear" w:color="auto" w:fill="auto"/>
            <w:noWrap/>
            <w:vAlign w:val="bottom"/>
            <w:hideMark/>
          </w:tcPr>
          <w:p w14:paraId="6880F381" w14:textId="77777777" w:rsidR="005B5953" w:rsidRPr="00E571CE" w:rsidRDefault="005B5953" w:rsidP="00250DAC">
            <w:pPr>
              <w:spacing w:after="0" w:line="240" w:lineRule="auto"/>
              <w:rPr>
                <w:rFonts w:ascii="Times New Roman" w:hAnsi="Times New Roman"/>
                <w:color w:val="000000"/>
                <w:sz w:val="20"/>
                <w:szCs w:val="20"/>
              </w:rPr>
            </w:pPr>
            <w:r w:rsidRPr="00E571CE">
              <w:rPr>
                <w:rFonts w:ascii="Times New Roman" w:hAnsi="Times New Roman"/>
                <w:color w:val="000000"/>
                <w:sz w:val="20"/>
                <w:szCs w:val="20"/>
              </w:rPr>
              <w:t>Minimum Alternative Tax Rate (%)</w:t>
            </w:r>
          </w:p>
        </w:tc>
        <w:tc>
          <w:tcPr>
            <w:tcW w:w="846" w:type="pct"/>
            <w:shd w:val="clear" w:color="auto" w:fill="auto"/>
            <w:noWrap/>
            <w:vAlign w:val="bottom"/>
            <w:hideMark/>
          </w:tcPr>
          <w:p w14:paraId="360A7EC5"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0.00%</w:t>
            </w:r>
          </w:p>
        </w:tc>
        <w:tc>
          <w:tcPr>
            <w:tcW w:w="802" w:type="pct"/>
            <w:shd w:val="clear" w:color="auto" w:fill="auto"/>
            <w:noWrap/>
            <w:vAlign w:val="bottom"/>
            <w:hideMark/>
          </w:tcPr>
          <w:p w14:paraId="4BAE1C6A"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16.69%</w:t>
            </w:r>
          </w:p>
        </w:tc>
        <w:tc>
          <w:tcPr>
            <w:tcW w:w="769" w:type="pct"/>
            <w:shd w:val="clear" w:color="auto" w:fill="auto"/>
            <w:noWrap/>
            <w:vAlign w:val="bottom"/>
            <w:hideMark/>
          </w:tcPr>
          <w:p w14:paraId="7184E7F8"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16.69%</w:t>
            </w:r>
          </w:p>
        </w:tc>
      </w:tr>
      <w:tr w:rsidR="005B5953" w:rsidRPr="005B12AE" w14:paraId="000C2DED" w14:textId="77777777" w:rsidTr="00250DAC">
        <w:trPr>
          <w:trHeight w:val="20"/>
        </w:trPr>
        <w:tc>
          <w:tcPr>
            <w:tcW w:w="2583" w:type="pct"/>
            <w:shd w:val="clear" w:color="auto" w:fill="auto"/>
            <w:noWrap/>
            <w:vAlign w:val="bottom"/>
            <w:hideMark/>
          </w:tcPr>
          <w:p w14:paraId="06BF9E61" w14:textId="77777777" w:rsidR="005B5953" w:rsidRPr="00E571CE" w:rsidRDefault="005B5953" w:rsidP="00250DAC">
            <w:pPr>
              <w:spacing w:after="0" w:line="240" w:lineRule="auto"/>
              <w:rPr>
                <w:rFonts w:ascii="Times New Roman" w:hAnsi="Times New Roman"/>
                <w:color w:val="000000"/>
                <w:sz w:val="20"/>
                <w:szCs w:val="20"/>
              </w:rPr>
            </w:pPr>
            <w:r w:rsidRPr="00E571CE">
              <w:rPr>
                <w:rFonts w:ascii="Times New Roman" w:hAnsi="Times New Roman"/>
                <w:color w:val="000000"/>
                <w:sz w:val="20"/>
                <w:szCs w:val="20"/>
              </w:rPr>
              <w:t>Adjustments:</w:t>
            </w:r>
          </w:p>
        </w:tc>
        <w:tc>
          <w:tcPr>
            <w:tcW w:w="846" w:type="pct"/>
            <w:shd w:val="clear" w:color="auto" w:fill="auto"/>
            <w:noWrap/>
            <w:vAlign w:val="bottom"/>
            <w:hideMark/>
          </w:tcPr>
          <w:p w14:paraId="002B9C33" w14:textId="77777777" w:rsidR="005B5953" w:rsidRPr="00E571CE" w:rsidRDefault="005B5953" w:rsidP="00250DAC">
            <w:pPr>
              <w:spacing w:after="0" w:line="240" w:lineRule="auto"/>
              <w:jc w:val="center"/>
              <w:rPr>
                <w:rFonts w:ascii="Times New Roman" w:hAnsi="Times New Roman"/>
                <w:color w:val="000000"/>
                <w:sz w:val="20"/>
                <w:szCs w:val="20"/>
              </w:rPr>
            </w:pPr>
          </w:p>
        </w:tc>
        <w:tc>
          <w:tcPr>
            <w:tcW w:w="802" w:type="pct"/>
            <w:shd w:val="clear" w:color="auto" w:fill="auto"/>
            <w:noWrap/>
            <w:vAlign w:val="bottom"/>
            <w:hideMark/>
          </w:tcPr>
          <w:p w14:paraId="24140368" w14:textId="77777777" w:rsidR="005B5953" w:rsidRPr="00E571CE" w:rsidRDefault="005B5953" w:rsidP="00250DAC">
            <w:pPr>
              <w:spacing w:after="0" w:line="240" w:lineRule="auto"/>
              <w:jc w:val="center"/>
              <w:rPr>
                <w:rFonts w:ascii="Times New Roman" w:hAnsi="Times New Roman"/>
                <w:sz w:val="20"/>
                <w:szCs w:val="20"/>
              </w:rPr>
            </w:pPr>
          </w:p>
        </w:tc>
        <w:tc>
          <w:tcPr>
            <w:tcW w:w="769" w:type="pct"/>
            <w:shd w:val="clear" w:color="auto" w:fill="auto"/>
            <w:noWrap/>
            <w:vAlign w:val="bottom"/>
            <w:hideMark/>
          </w:tcPr>
          <w:p w14:paraId="2ED36D13" w14:textId="77777777" w:rsidR="005B5953" w:rsidRPr="00E571CE" w:rsidRDefault="005B5953" w:rsidP="00250DAC">
            <w:pPr>
              <w:spacing w:after="0" w:line="240" w:lineRule="auto"/>
              <w:jc w:val="center"/>
              <w:rPr>
                <w:rFonts w:ascii="Times New Roman" w:hAnsi="Times New Roman"/>
                <w:sz w:val="20"/>
                <w:szCs w:val="20"/>
              </w:rPr>
            </w:pPr>
          </w:p>
        </w:tc>
      </w:tr>
      <w:tr w:rsidR="005B5953" w:rsidRPr="005B12AE" w14:paraId="6EDB4921" w14:textId="77777777" w:rsidTr="00250DAC">
        <w:trPr>
          <w:trHeight w:val="20"/>
        </w:trPr>
        <w:tc>
          <w:tcPr>
            <w:tcW w:w="2583" w:type="pct"/>
            <w:shd w:val="clear" w:color="auto" w:fill="auto"/>
            <w:noWrap/>
            <w:vAlign w:val="bottom"/>
            <w:hideMark/>
          </w:tcPr>
          <w:p w14:paraId="6E4A7D2A" w14:textId="77777777" w:rsidR="005B5953" w:rsidRPr="00E571CE" w:rsidRDefault="005B5953" w:rsidP="00250DAC">
            <w:pPr>
              <w:spacing w:after="0" w:line="240" w:lineRule="auto"/>
              <w:rPr>
                <w:rFonts w:ascii="Times New Roman" w:hAnsi="Times New Roman"/>
                <w:color w:val="000000"/>
                <w:sz w:val="20"/>
                <w:szCs w:val="20"/>
              </w:rPr>
            </w:pPr>
            <w:r w:rsidRPr="00E571CE">
              <w:rPr>
                <w:rFonts w:ascii="Times New Roman" w:hAnsi="Times New Roman"/>
                <w:color w:val="000000"/>
                <w:sz w:val="20"/>
                <w:szCs w:val="20"/>
              </w:rPr>
              <w:t>Income Considered Separately</w:t>
            </w:r>
          </w:p>
        </w:tc>
        <w:tc>
          <w:tcPr>
            <w:tcW w:w="846" w:type="pct"/>
            <w:shd w:val="clear" w:color="auto" w:fill="auto"/>
            <w:noWrap/>
            <w:vAlign w:val="bottom"/>
            <w:hideMark/>
          </w:tcPr>
          <w:p w14:paraId="3AB0AA92"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4.64</w:t>
            </w:r>
          </w:p>
        </w:tc>
        <w:tc>
          <w:tcPr>
            <w:tcW w:w="802" w:type="pct"/>
            <w:shd w:val="clear" w:color="auto" w:fill="auto"/>
            <w:noWrap/>
            <w:vAlign w:val="bottom"/>
            <w:hideMark/>
          </w:tcPr>
          <w:p w14:paraId="268C8353"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2.66</w:t>
            </w:r>
          </w:p>
        </w:tc>
        <w:tc>
          <w:tcPr>
            <w:tcW w:w="769" w:type="pct"/>
            <w:shd w:val="clear" w:color="auto" w:fill="auto"/>
            <w:noWrap/>
            <w:vAlign w:val="bottom"/>
            <w:hideMark/>
          </w:tcPr>
          <w:p w14:paraId="7796CA49"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4.41</w:t>
            </w:r>
          </w:p>
        </w:tc>
      </w:tr>
      <w:tr w:rsidR="005B5953" w:rsidRPr="005B12AE" w14:paraId="06FA63A9" w14:textId="77777777" w:rsidTr="00250DAC">
        <w:trPr>
          <w:trHeight w:val="20"/>
        </w:trPr>
        <w:tc>
          <w:tcPr>
            <w:tcW w:w="2583" w:type="pct"/>
            <w:shd w:val="clear" w:color="auto" w:fill="auto"/>
            <w:noWrap/>
            <w:vAlign w:val="bottom"/>
            <w:hideMark/>
          </w:tcPr>
          <w:p w14:paraId="6D916581" w14:textId="77777777" w:rsidR="005B5953" w:rsidRPr="00E571CE" w:rsidRDefault="005B5953" w:rsidP="00250DAC">
            <w:pPr>
              <w:spacing w:after="0" w:line="240" w:lineRule="auto"/>
              <w:rPr>
                <w:rFonts w:ascii="Times New Roman" w:hAnsi="Times New Roman"/>
                <w:color w:val="000000"/>
                <w:sz w:val="20"/>
                <w:szCs w:val="20"/>
              </w:rPr>
            </w:pPr>
            <w:r w:rsidRPr="00E571CE">
              <w:rPr>
                <w:rFonts w:ascii="Times New Roman" w:hAnsi="Times New Roman"/>
                <w:color w:val="000000"/>
                <w:sz w:val="20"/>
                <w:szCs w:val="20"/>
              </w:rPr>
              <w:t>Disallowed</w:t>
            </w:r>
          </w:p>
        </w:tc>
        <w:tc>
          <w:tcPr>
            <w:tcW w:w="846" w:type="pct"/>
            <w:shd w:val="clear" w:color="auto" w:fill="auto"/>
            <w:noWrap/>
            <w:vAlign w:val="bottom"/>
            <w:hideMark/>
          </w:tcPr>
          <w:p w14:paraId="7DF00311"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11.67</w:t>
            </w:r>
          </w:p>
        </w:tc>
        <w:tc>
          <w:tcPr>
            <w:tcW w:w="802" w:type="pct"/>
            <w:shd w:val="clear" w:color="auto" w:fill="auto"/>
            <w:noWrap/>
            <w:vAlign w:val="bottom"/>
            <w:hideMark/>
          </w:tcPr>
          <w:p w14:paraId="7BB29118"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7.34</w:t>
            </w:r>
          </w:p>
        </w:tc>
        <w:tc>
          <w:tcPr>
            <w:tcW w:w="769" w:type="pct"/>
            <w:shd w:val="clear" w:color="auto" w:fill="auto"/>
            <w:noWrap/>
            <w:vAlign w:val="bottom"/>
            <w:hideMark/>
          </w:tcPr>
          <w:p w14:paraId="0C75318B"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30.67</w:t>
            </w:r>
          </w:p>
        </w:tc>
      </w:tr>
      <w:tr w:rsidR="005B5953" w:rsidRPr="005B12AE" w14:paraId="120CB531" w14:textId="77777777" w:rsidTr="00250DAC">
        <w:trPr>
          <w:trHeight w:val="20"/>
        </w:trPr>
        <w:tc>
          <w:tcPr>
            <w:tcW w:w="2583" w:type="pct"/>
            <w:shd w:val="clear" w:color="auto" w:fill="auto"/>
            <w:noWrap/>
            <w:vAlign w:val="bottom"/>
            <w:hideMark/>
          </w:tcPr>
          <w:p w14:paraId="4ECE0CC8" w14:textId="77777777" w:rsidR="005B5953" w:rsidRPr="00E571CE" w:rsidRDefault="005B5953" w:rsidP="00250DAC">
            <w:pPr>
              <w:spacing w:after="0" w:line="240" w:lineRule="auto"/>
              <w:rPr>
                <w:rFonts w:ascii="Times New Roman" w:hAnsi="Times New Roman"/>
                <w:color w:val="000000"/>
                <w:sz w:val="20"/>
                <w:szCs w:val="20"/>
              </w:rPr>
            </w:pPr>
            <w:r w:rsidRPr="00E571CE">
              <w:rPr>
                <w:rFonts w:ascii="Times New Roman" w:hAnsi="Times New Roman"/>
                <w:color w:val="000000"/>
                <w:sz w:val="20"/>
                <w:szCs w:val="20"/>
              </w:rPr>
              <w:t xml:space="preserve">Timing Difference </w:t>
            </w:r>
            <w:r w:rsidRPr="005B12AE">
              <w:rPr>
                <w:rFonts w:ascii="Times New Roman" w:hAnsi="Times New Roman"/>
                <w:color w:val="000000"/>
                <w:sz w:val="20"/>
                <w:szCs w:val="20"/>
              </w:rPr>
              <w:t>(c )</w:t>
            </w:r>
            <w:r w:rsidRPr="00E571CE">
              <w:rPr>
                <w:rFonts w:ascii="Times New Roman" w:hAnsi="Times New Roman"/>
                <w:color w:val="000000"/>
                <w:sz w:val="20"/>
                <w:szCs w:val="20"/>
              </w:rPr>
              <w:t xml:space="preserve"> </w:t>
            </w:r>
            <w:r w:rsidRPr="005B12AE">
              <w:rPr>
                <w:rFonts w:ascii="Times New Roman" w:hAnsi="Times New Roman"/>
                <w:color w:val="000000"/>
                <w:sz w:val="20"/>
                <w:szCs w:val="20"/>
              </w:rPr>
              <w:t>–</w:t>
            </w:r>
            <w:r w:rsidRPr="00E571CE">
              <w:rPr>
                <w:rFonts w:ascii="Times New Roman" w:hAnsi="Times New Roman"/>
                <w:color w:val="000000"/>
                <w:sz w:val="20"/>
                <w:szCs w:val="20"/>
              </w:rPr>
              <w:t xml:space="preserve"> </w:t>
            </w:r>
            <w:r w:rsidRPr="005B12AE">
              <w:rPr>
                <w:rFonts w:ascii="Times New Roman" w:hAnsi="Times New Roman"/>
                <w:color w:val="000000"/>
                <w:sz w:val="20"/>
                <w:szCs w:val="20"/>
              </w:rPr>
              <w:t>Gratuity</w:t>
            </w:r>
          </w:p>
        </w:tc>
        <w:tc>
          <w:tcPr>
            <w:tcW w:w="846" w:type="pct"/>
            <w:shd w:val="clear" w:color="auto" w:fill="auto"/>
            <w:noWrap/>
            <w:vAlign w:val="bottom"/>
            <w:hideMark/>
          </w:tcPr>
          <w:p w14:paraId="51CD2BF2"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2.87</w:t>
            </w:r>
          </w:p>
        </w:tc>
        <w:tc>
          <w:tcPr>
            <w:tcW w:w="802" w:type="pct"/>
            <w:shd w:val="clear" w:color="auto" w:fill="auto"/>
            <w:noWrap/>
            <w:vAlign w:val="bottom"/>
            <w:hideMark/>
          </w:tcPr>
          <w:p w14:paraId="471BD435"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1.66</w:t>
            </w:r>
          </w:p>
        </w:tc>
        <w:tc>
          <w:tcPr>
            <w:tcW w:w="769" w:type="pct"/>
            <w:shd w:val="clear" w:color="auto" w:fill="auto"/>
            <w:noWrap/>
            <w:vAlign w:val="bottom"/>
            <w:hideMark/>
          </w:tcPr>
          <w:p w14:paraId="11A8C14F"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15.68</w:t>
            </w:r>
          </w:p>
        </w:tc>
      </w:tr>
      <w:tr w:rsidR="005B5953" w:rsidRPr="005B12AE" w14:paraId="4E20BC2C" w14:textId="77777777" w:rsidTr="00250DAC">
        <w:trPr>
          <w:trHeight w:val="20"/>
        </w:trPr>
        <w:tc>
          <w:tcPr>
            <w:tcW w:w="2583" w:type="pct"/>
            <w:shd w:val="clear" w:color="auto" w:fill="auto"/>
            <w:noWrap/>
            <w:vAlign w:val="bottom"/>
            <w:hideMark/>
          </w:tcPr>
          <w:p w14:paraId="0C8FC2D7" w14:textId="77777777" w:rsidR="005B5953" w:rsidRPr="00E571CE" w:rsidRDefault="005B5953" w:rsidP="00250DAC">
            <w:pPr>
              <w:spacing w:after="0" w:line="240" w:lineRule="auto"/>
              <w:rPr>
                <w:rFonts w:ascii="Times New Roman" w:hAnsi="Times New Roman"/>
                <w:color w:val="000000"/>
                <w:sz w:val="20"/>
                <w:szCs w:val="20"/>
              </w:rPr>
            </w:pPr>
            <w:r w:rsidRPr="00E571CE">
              <w:rPr>
                <w:rFonts w:ascii="Times New Roman" w:hAnsi="Times New Roman"/>
                <w:color w:val="000000"/>
                <w:sz w:val="20"/>
                <w:szCs w:val="20"/>
              </w:rPr>
              <w:t>Book Depreciation</w:t>
            </w:r>
          </w:p>
        </w:tc>
        <w:tc>
          <w:tcPr>
            <w:tcW w:w="846" w:type="pct"/>
            <w:shd w:val="clear" w:color="auto" w:fill="auto"/>
            <w:noWrap/>
            <w:vAlign w:val="bottom"/>
            <w:hideMark/>
          </w:tcPr>
          <w:p w14:paraId="023261C4"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169.07</w:t>
            </w:r>
          </w:p>
        </w:tc>
        <w:tc>
          <w:tcPr>
            <w:tcW w:w="802" w:type="pct"/>
            <w:shd w:val="clear" w:color="auto" w:fill="auto"/>
            <w:noWrap/>
            <w:vAlign w:val="bottom"/>
            <w:hideMark/>
          </w:tcPr>
          <w:p w14:paraId="61DD3D65"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177.68</w:t>
            </w:r>
          </w:p>
        </w:tc>
        <w:tc>
          <w:tcPr>
            <w:tcW w:w="769" w:type="pct"/>
            <w:shd w:val="clear" w:color="auto" w:fill="auto"/>
            <w:noWrap/>
            <w:vAlign w:val="bottom"/>
            <w:hideMark/>
          </w:tcPr>
          <w:p w14:paraId="7F893770"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135.74</w:t>
            </w:r>
          </w:p>
        </w:tc>
      </w:tr>
      <w:tr w:rsidR="005B5953" w:rsidRPr="005B12AE" w14:paraId="295FD3B9" w14:textId="77777777" w:rsidTr="00250DAC">
        <w:trPr>
          <w:trHeight w:val="20"/>
        </w:trPr>
        <w:tc>
          <w:tcPr>
            <w:tcW w:w="2583" w:type="pct"/>
            <w:shd w:val="clear" w:color="auto" w:fill="auto"/>
            <w:noWrap/>
            <w:vAlign w:val="bottom"/>
            <w:hideMark/>
          </w:tcPr>
          <w:p w14:paraId="58DFC0D2" w14:textId="77777777" w:rsidR="005B5953" w:rsidRPr="00E571CE" w:rsidRDefault="005B5953" w:rsidP="00250DAC">
            <w:pPr>
              <w:spacing w:after="0" w:line="240" w:lineRule="auto"/>
              <w:rPr>
                <w:rFonts w:ascii="Times New Roman" w:hAnsi="Times New Roman"/>
                <w:color w:val="000000"/>
                <w:sz w:val="20"/>
                <w:szCs w:val="20"/>
              </w:rPr>
            </w:pPr>
            <w:r w:rsidRPr="00E571CE">
              <w:rPr>
                <w:rFonts w:ascii="Times New Roman" w:hAnsi="Times New Roman"/>
                <w:color w:val="000000"/>
                <w:sz w:val="20"/>
                <w:szCs w:val="20"/>
              </w:rPr>
              <w:t>Income Tax Depreciation allowed</w:t>
            </w:r>
          </w:p>
        </w:tc>
        <w:tc>
          <w:tcPr>
            <w:tcW w:w="846" w:type="pct"/>
            <w:shd w:val="clear" w:color="auto" w:fill="auto"/>
            <w:noWrap/>
            <w:vAlign w:val="bottom"/>
            <w:hideMark/>
          </w:tcPr>
          <w:p w14:paraId="1AF51427"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132.52</w:t>
            </w:r>
          </w:p>
        </w:tc>
        <w:tc>
          <w:tcPr>
            <w:tcW w:w="802" w:type="pct"/>
            <w:shd w:val="clear" w:color="auto" w:fill="auto"/>
            <w:noWrap/>
            <w:vAlign w:val="bottom"/>
            <w:hideMark/>
          </w:tcPr>
          <w:p w14:paraId="4712EA2B"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134.88</w:t>
            </w:r>
          </w:p>
        </w:tc>
        <w:tc>
          <w:tcPr>
            <w:tcW w:w="769" w:type="pct"/>
            <w:shd w:val="clear" w:color="auto" w:fill="auto"/>
            <w:noWrap/>
            <w:vAlign w:val="bottom"/>
            <w:hideMark/>
          </w:tcPr>
          <w:p w14:paraId="3BAE50D5"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150.91</w:t>
            </w:r>
          </w:p>
        </w:tc>
      </w:tr>
      <w:tr w:rsidR="005B5953" w:rsidRPr="005B12AE" w14:paraId="07BC3FB9" w14:textId="77777777" w:rsidTr="00250DAC">
        <w:trPr>
          <w:trHeight w:val="20"/>
        </w:trPr>
        <w:tc>
          <w:tcPr>
            <w:tcW w:w="2583" w:type="pct"/>
            <w:shd w:val="clear" w:color="auto" w:fill="auto"/>
            <w:noWrap/>
            <w:vAlign w:val="bottom"/>
            <w:hideMark/>
          </w:tcPr>
          <w:p w14:paraId="5C4A199A" w14:textId="77777777" w:rsidR="005B5953" w:rsidRPr="00E571CE" w:rsidRDefault="005B5953" w:rsidP="00250DAC">
            <w:pPr>
              <w:spacing w:after="0" w:line="240" w:lineRule="auto"/>
              <w:rPr>
                <w:rFonts w:ascii="Times New Roman" w:hAnsi="Times New Roman"/>
                <w:color w:val="000000"/>
                <w:sz w:val="20"/>
                <w:szCs w:val="20"/>
              </w:rPr>
            </w:pPr>
            <w:r w:rsidRPr="00E571CE">
              <w:rPr>
                <w:rFonts w:ascii="Times New Roman" w:hAnsi="Times New Roman"/>
                <w:color w:val="000000"/>
                <w:sz w:val="20"/>
                <w:szCs w:val="20"/>
              </w:rPr>
              <w:t>Total Timing Difference</w:t>
            </w:r>
          </w:p>
        </w:tc>
        <w:tc>
          <w:tcPr>
            <w:tcW w:w="846" w:type="pct"/>
            <w:shd w:val="clear" w:color="auto" w:fill="auto"/>
            <w:noWrap/>
            <w:vAlign w:val="bottom"/>
            <w:hideMark/>
          </w:tcPr>
          <w:p w14:paraId="21C50808"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39.42</w:t>
            </w:r>
          </w:p>
        </w:tc>
        <w:tc>
          <w:tcPr>
            <w:tcW w:w="802" w:type="pct"/>
            <w:shd w:val="clear" w:color="auto" w:fill="auto"/>
            <w:noWrap/>
            <w:vAlign w:val="bottom"/>
            <w:hideMark/>
          </w:tcPr>
          <w:p w14:paraId="1ED1E1A4"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44.47</w:t>
            </w:r>
          </w:p>
        </w:tc>
        <w:tc>
          <w:tcPr>
            <w:tcW w:w="769" w:type="pct"/>
            <w:shd w:val="clear" w:color="auto" w:fill="auto"/>
            <w:noWrap/>
            <w:vAlign w:val="bottom"/>
            <w:hideMark/>
          </w:tcPr>
          <w:p w14:paraId="74CA1609"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0.51</w:t>
            </w:r>
          </w:p>
        </w:tc>
      </w:tr>
      <w:tr w:rsidR="005B5953" w:rsidRPr="005B12AE" w14:paraId="6AD4A16B" w14:textId="77777777" w:rsidTr="00250DAC">
        <w:trPr>
          <w:trHeight w:val="20"/>
        </w:trPr>
        <w:tc>
          <w:tcPr>
            <w:tcW w:w="2583" w:type="pct"/>
            <w:shd w:val="clear" w:color="auto" w:fill="auto"/>
            <w:noWrap/>
            <w:vAlign w:val="bottom"/>
            <w:hideMark/>
          </w:tcPr>
          <w:p w14:paraId="5BE557C6" w14:textId="77777777" w:rsidR="005B5953" w:rsidRPr="00E571CE" w:rsidRDefault="005B5953" w:rsidP="00250DAC">
            <w:pPr>
              <w:spacing w:after="0" w:line="240" w:lineRule="auto"/>
              <w:rPr>
                <w:rFonts w:ascii="Times New Roman" w:hAnsi="Times New Roman"/>
                <w:color w:val="000000"/>
                <w:sz w:val="20"/>
                <w:szCs w:val="20"/>
              </w:rPr>
            </w:pPr>
            <w:r w:rsidRPr="00E571CE">
              <w:rPr>
                <w:rFonts w:ascii="Times New Roman" w:hAnsi="Times New Roman"/>
                <w:color w:val="000000"/>
                <w:sz w:val="20"/>
                <w:szCs w:val="20"/>
              </w:rPr>
              <w:t>Net Adjustment D= (B+C)</w:t>
            </w:r>
          </w:p>
        </w:tc>
        <w:tc>
          <w:tcPr>
            <w:tcW w:w="846" w:type="pct"/>
            <w:shd w:val="clear" w:color="auto" w:fill="auto"/>
            <w:noWrap/>
            <w:vAlign w:val="bottom"/>
            <w:hideMark/>
          </w:tcPr>
          <w:p w14:paraId="08653048"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46.46</w:t>
            </w:r>
          </w:p>
        </w:tc>
        <w:tc>
          <w:tcPr>
            <w:tcW w:w="802" w:type="pct"/>
            <w:shd w:val="clear" w:color="auto" w:fill="auto"/>
            <w:noWrap/>
            <w:vAlign w:val="bottom"/>
            <w:hideMark/>
          </w:tcPr>
          <w:p w14:paraId="2CF9FC78"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49.14</w:t>
            </w:r>
          </w:p>
        </w:tc>
        <w:tc>
          <w:tcPr>
            <w:tcW w:w="769" w:type="pct"/>
            <w:shd w:val="clear" w:color="auto" w:fill="auto"/>
            <w:noWrap/>
            <w:vAlign w:val="bottom"/>
            <w:hideMark/>
          </w:tcPr>
          <w:p w14:paraId="0D5757EC"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26.77</w:t>
            </w:r>
          </w:p>
        </w:tc>
      </w:tr>
      <w:tr w:rsidR="005B5953" w:rsidRPr="005B12AE" w14:paraId="70C472C3" w14:textId="77777777" w:rsidTr="00250DAC">
        <w:trPr>
          <w:trHeight w:val="20"/>
        </w:trPr>
        <w:tc>
          <w:tcPr>
            <w:tcW w:w="2583" w:type="pct"/>
            <w:shd w:val="clear" w:color="auto" w:fill="auto"/>
            <w:noWrap/>
            <w:vAlign w:val="bottom"/>
            <w:hideMark/>
          </w:tcPr>
          <w:p w14:paraId="7A4177E9" w14:textId="77777777" w:rsidR="005B5953" w:rsidRPr="00E571CE" w:rsidRDefault="005B5953" w:rsidP="00250DAC">
            <w:pPr>
              <w:spacing w:after="0" w:line="240" w:lineRule="auto"/>
              <w:rPr>
                <w:rFonts w:ascii="Times New Roman" w:hAnsi="Times New Roman"/>
                <w:color w:val="000000"/>
                <w:sz w:val="20"/>
                <w:szCs w:val="20"/>
              </w:rPr>
            </w:pPr>
            <w:r w:rsidRPr="00E571CE">
              <w:rPr>
                <w:rFonts w:ascii="Times New Roman" w:hAnsi="Times New Roman"/>
                <w:color w:val="000000"/>
                <w:sz w:val="20"/>
                <w:szCs w:val="20"/>
              </w:rPr>
              <w:t>Tax Expenses</w:t>
            </w:r>
          </w:p>
        </w:tc>
        <w:tc>
          <w:tcPr>
            <w:tcW w:w="846" w:type="pct"/>
            <w:shd w:val="clear" w:color="auto" w:fill="auto"/>
            <w:noWrap/>
            <w:vAlign w:val="bottom"/>
            <w:hideMark/>
          </w:tcPr>
          <w:p w14:paraId="3CA2112B"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w:t>
            </w:r>
          </w:p>
        </w:tc>
        <w:tc>
          <w:tcPr>
            <w:tcW w:w="802" w:type="pct"/>
            <w:shd w:val="clear" w:color="auto" w:fill="auto"/>
            <w:noWrap/>
            <w:vAlign w:val="bottom"/>
            <w:hideMark/>
          </w:tcPr>
          <w:p w14:paraId="30796B46"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w:t>
            </w:r>
          </w:p>
        </w:tc>
        <w:tc>
          <w:tcPr>
            <w:tcW w:w="769" w:type="pct"/>
            <w:shd w:val="clear" w:color="auto" w:fill="auto"/>
            <w:noWrap/>
            <w:vAlign w:val="bottom"/>
            <w:hideMark/>
          </w:tcPr>
          <w:p w14:paraId="3D152F4D"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w:t>
            </w:r>
          </w:p>
        </w:tc>
      </w:tr>
      <w:tr w:rsidR="005B5953" w:rsidRPr="005B12AE" w14:paraId="564C969F" w14:textId="77777777" w:rsidTr="00250DAC">
        <w:trPr>
          <w:trHeight w:val="20"/>
        </w:trPr>
        <w:tc>
          <w:tcPr>
            <w:tcW w:w="2583" w:type="pct"/>
            <w:shd w:val="clear" w:color="auto" w:fill="auto"/>
            <w:noWrap/>
            <w:vAlign w:val="bottom"/>
            <w:hideMark/>
          </w:tcPr>
          <w:p w14:paraId="3B73A238" w14:textId="77777777" w:rsidR="005B5953" w:rsidRPr="00E571CE" w:rsidRDefault="005B5953" w:rsidP="00250DAC">
            <w:pPr>
              <w:spacing w:after="0" w:line="240" w:lineRule="auto"/>
              <w:rPr>
                <w:rFonts w:ascii="Times New Roman" w:hAnsi="Times New Roman"/>
                <w:color w:val="000000"/>
                <w:sz w:val="20"/>
                <w:szCs w:val="20"/>
              </w:rPr>
            </w:pPr>
            <w:r w:rsidRPr="00E571CE">
              <w:rPr>
                <w:rFonts w:ascii="Times New Roman" w:hAnsi="Times New Roman"/>
                <w:color w:val="000000"/>
                <w:sz w:val="20"/>
                <w:szCs w:val="20"/>
              </w:rPr>
              <w:t>Income from Capital Gains (E)</w:t>
            </w:r>
          </w:p>
        </w:tc>
        <w:tc>
          <w:tcPr>
            <w:tcW w:w="846" w:type="pct"/>
            <w:shd w:val="clear" w:color="auto" w:fill="auto"/>
            <w:noWrap/>
            <w:vAlign w:val="bottom"/>
            <w:hideMark/>
          </w:tcPr>
          <w:p w14:paraId="5E231017"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w:t>
            </w:r>
          </w:p>
        </w:tc>
        <w:tc>
          <w:tcPr>
            <w:tcW w:w="802" w:type="pct"/>
            <w:shd w:val="clear" w:color="auto" w:fill="auto"/>
            <w:noWrap/>
            <w:vAlign w:val="bottom"/>
            <w:hideMark/>
          </w:tcPr>
          <w:p w14:paraId="022D22B8"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w:t>
            </w:r>
          </w:p>
        </w:tc>
        <w:tc>
          <w:tcPr>
            <w:tcW w:w="769" w:type="pct"/>
            <w:shd w:val="clear" w:color="auto" w:fill="auto"/>
            <w:noWrap/>
            <w:vAlign w:val="bottom"/>
            <w:hideMark/>
          </w:tcPr>
          <w:p w14:paraId="18999096"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w:t>
            </w:r>
          </w:p>
        </w:tc>
      </w:tr>
      <w:tr w:rsidR="005B5953" w:rsidRPr="005B12AE" w14:paraId="038CF61A" w14:textId="77777777" w:rsidTr="00250DAC">
        <w:trPr>
          <w:trHeight w:val="20"/>
        </w:trPr>
        <w:tc>
          <w:tcPr>
            <w:tcW w:w="2583" w:type="pct"/>
            <w:shd w:val="clear" w:color="auto" w:fill="auto"/>
            <w:noWrap/>
            <w:vAlign w:val="bottom"/>
            <w:hideMark/>
          </w:tcPr>
          <w:p w14:paraId="533B3138" w14:textId="77777777" w:rsidR="005B5953" w:rsidRPr="00E571CE" w:rsidRDefault="005B5953" w:rsidP="00250DAC">
            <w:pPr>
              <w:spacing w:after="0" w:line="240" w:lineRule="auto"/>
              <w:rPr>
                <w:rFonts w:ascii="Times New Roman" w:hAnsi="Times New Roman"/>
                <w:color w:val="000000"/>
                <w:sz w:val="20"/>
                <w:szCs w:val="20"/>
              </w:rPr>
            </w:pPr>
            <w:r w:rsidRPr="00E571CE">
              <w:rPr>
                <w:rFonts w:ascii="Times New Roman" w:hAnsi="Times New Roman"/>
                <w:color w:val="000000"/>
                <w:sz w:val="20"/>
                <w:szCs w:val="20"/>
              </w:rPr>
              <w:t> </w:t>
            </w:r>
          </w:p>
        </w:tc>
        <w:tc>
          <w:tcPr>
            <w:tcW w:w="846" w:type="pct"/>
            <w:shd w:val="clear" w:color="auto" w:fill="auto"/>
            <w:noWrap/>
            <w:vAlign w:val="bottom"/>
            <w:hideMark/>
          </w:tcPr>
          <w:p w14:paraId="20DC1AEC" w14:textId="77777777" w:rsidR="005B5953" w:rsidRPr="00E571CE" w:rsidRDefault="005B5953" w:rsidP="00250DAC">
            <w:pPr>
              <w:spacing w:after="0" w:line="240" w:lineRule="auto"/>
              <w:jc w:val="center"/>
              <w:rPr>
                <w:rFonts w:ascii="Times New Roman" w:hAnsi="Times New Roman"/>
                <w:sz w:val="20"/>
                <w:szCs w:val="20"/>
              </w:rPr>
            </w:pPr>
          </w:p>
        </w:tc>
        <w:tc>
          <w:tcPr>
            <w:tcW w:w="802" w:type="pct"/>
            <w:shd w:val="clear" w:color="auto" w:fill="auto"/>
            <w:noWrap/>
            <w:vAlign w:val="bottom"/>
            <w:hideMark/>
          </w:tcPr>
          <w:p w14:paraId="37018097" w14:textId="77777777" w:rsidR="005B5953" w:rsidRPr="00E571CE" w:rsidRDefault="005B5953" w:rsidP="00250DAC">
            <w:pPr>
              <w:spacing w:after="0" w:line="240" w:lineRule="auto"/>
              <w:jc w:val="center"/>
              <w:rPr>
                <w:rFonts w:ascii="Times New Roman" w:hAnsi="Times New Roman"/>
                <w:sz w:val="20"/>
                <w:szCs w:val="20"/>
              </w:rPr>
            </w:pPr>
          </w:p>
        </w:tc>
        <w:tc>
          <w:tcPr>
            <w:tcW w:w="769" w:type="pct"/>
            <w:shd w:val="clear" w:color="auto" w:fill="auto"/>
            <w:noWrap/>
            <w:vAlign w:val="bottom"/>
            <w:hideMark/>
          </w:tcPr>
          <w:p w14:paraId="4FAEE4D1" w14:textId="77777777" w:rsidR="005B5953" w:rsidRPr="00E571CE" w:rsidRDefault="005B5953" w:rsidP="00250DAC">
            <w:pPr>
              <w:spacing w:after="0" w:line="240" w:lineRule="auto"/>
              <w:jc w:val="center"/>
              <w:rPr>
                <w:rFonts w:ascii="Times New Roman" w:hAnsi="Times New Roman"/>
                <w:sz w:val="20"/>
                <w:szCs w:val="20"/>
              </w:rPr>
            </w:pPr>
          </w:p>
        </w:tc>
      </w:tr>
      <w:tr w:rsidR="005B5953" w:rsidRPr="005B12AE" w14:paraId="5268F687" w14:textId="77777777" w:rsidTr="00250DAC">
        <w:trPr>
          <w:trHeight w:val="20"/>
        </w:trPr>
        <w:tc>
          <w:tcPr>
            <w:tcW w:w="2583" w:type="pct"/>
            <w:shd w:val="clear" w:color="auto" w:fill="auto"/>
            <w:noWrap/>
            <w:vAlign w:val="bottom"/>
            <w:hideMark/>
          </w:tcPr>
          <w:p w14:paraId="51CA048F" w14:textId="77777777" w:rsidR="005B5953" w:rsidRPr="00E571CE" w:rsidRDefault="005B5953" w:rsidP="00250DAC">
            <w:pPr>
              <w:spacing w:after="0" w:line="240" w:lineRule="auto"/>
              <w:rPr>
                <w:rFonts w:ascii="Times New Roman" w:hAnsi="Times New Roman"/>
                <w:color w:val="000000"/>
                <w:sz w:val="20"/>
                <w:szCs w:val="20"/>
              </w:rPr>
            </w:pPr>
            <w:r w:rsidRPr="00E571CE">
              <w:rPr>
                <w:rFonts w:ascii="Times New Roman" w:hAnsi="Times New Roman"/>
                <w:color w:val="000000"/>
                <w:sz w:val="20"/>
                <w:szCs w:val="20"/>
              </w:rPr>
              <w:t>Income from Other Sources</w:t>
            </w:r>
          </w:p>
        </w:tc>
        <w:tc>
          <w:tcPr>
            <w:tcW w:w="846" w:type="pct"/>
            <w:shd w:val="clear" w:color="auto" w:fill="auto"/>
            <w:noWrap/>
            <w:vAlign w:val="bottom"/>
            <w:hideMark/>
          </w:tcPr>
          <w:p w14:paraId="4E1DB5DE"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w:t>
            </w:r>
          </w:p>
        </w:tc>
        <w:tc>
          <w:tcPr>
            <w:tcW w:w="802" w:type="pct"/>
            <w:shd w:val="clear" w:color="auto" w:fill="auto"/>
            <w:noWrap/>
            <w:vAlign w:val="bottom"/>
            <w:hideMark/>
          </w:tcPr>
          <w:p w14:paraId="64D6F045"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w:t>
            </w:r>
          </w:p>
        </w:tc>
        <w:tc>
          <w:tcPr>
            <w:tcW w:w="769" w:type="pct"/>
            <w:shd w:val="clear" w:color="auto" w:fill="auto"/>
            <w:noWrap/>
            <w:vAlign w:val="bottom"/>
            <w:hideMark/>
          </w:tcPr>
          <w:p w14:paraId="24CC731D"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w:t>
            </w:r>
          </w:p>
        </w:tc>
      </w:tr>
      <w:tr w:rsidR="005B5953" w:rsidRPr="005B12AE" w14:paraId="5FBF6470" w14:textId="77777777" w:rsidTr="00250DAC">
        <w:trPr>
          <w:trHeight w:val="20"/>
        </w:trPr>
        <w:tc>
          <w:tcPr>
            <w:tcW w:w="2583" w:type="pct"/>
            <w:shd w:val="clear" w:color="auto" w:fill="auto"/>
            <w:noWrap/>
            <w:vAlign w:val="bottom"/>
            <w:hideMark/>
          </w:tcPr>
          <w:p w14:paraId="1FC66E77" w14:textId="77777777" w:rsidR="005B5953" w:rsidRPr="00E571CE" w:rsidRDefault="005B5953" w:rsidP="00250DAC">
            <w:pPr>
              <w:spacing w:after="0" w:line="240" w:lineRule="auto"/>
              <w:rPr>
                <w:rFonts w:ascii="Times New Roman" w:hAnsi="Times New Roman"/>
                <w:color w:val="000000"/>
                <w:sz w:val="20"/>
                <w:szCs w:val="20"/>
              </w:rPr>
            </w:pPr>
            <w:r w:rsidRPr="00E571CE">
              <w:rPr>
                <w:rFonts w:ascii="Times New Roman" w:hAnsi="Times New Roman"/>
                <w:color w:val="000000"/>
                <w:sz w:val="20"/>
                <w:szCs w:val="20"/>
              </w:rPr>
              <w:t>Bank Interest</w:t>
            </w:r>
          </w:p>
        </w:tc>
        <w:tc>
          <w:tcPr>
            <w:tcW w:w="846" w:type="pct"/>
            <w:shd w:val="clear" w:color="auto" w:fill="auto"/>
            <w:noWrap/>
            <w:vAlign w:val="bottom"/>
            <w:hideMark/>
          </w:tcPr>
          <w:p w14:paraId="1A888168"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3.66</w:t>
            </w:r>
          </w:p>
        </w:tc>
        <w:tc>
          <w:tcPr>
            <w:tcW w:w="802" w:type="pct"/>
            <w:shd w:val="clear" w:color="auto" w:fill="auto"/>
            <w:noWrap/>
            <w:vAlign w:val="bottom"/>
            <w:hideMark/>
          </w:tcPr>
          <w:p w14:paraId="01D932C6"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2.66</w:t>
            </w:r>
          </w:p>
        </w:tc>
        <w:tc>
          <w:tcPr>
            <w:tcW w:w="769" w:type="pct"/>
            <w:shd w:val="clear" w:color="auto" w:fill="auto"/>
            <w:noWrap/>
            <w:vAlign w:val="bottom"/>
            <w:hideMark/>
          </w:tcPr>
          <w:p w14:paraId="047D8E0E"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4.41</w:t>
            </w:r>
          </w:p>
        </w:tc>
      </w:tr>
      <w:tr w:rsidR="005B5953" w:rsidRPr="005B12AE" w14:paraId="4E9A0A43" w14:textId="77777777" w:rsidTr="00250DAC">
        <w:trPr>
          <w:trHeight w:val="20"/>
        </w:trPr>
        <w:tc>
          <w:tcPr>
            <w:tcW w:w="2583" w:type="pct"/>
            <w:shd w:val="clear" w:color="auto" w:fill="auto"/>
            <w:noWrap/>
            <w:vAlign w:val="bottom"/>
            <w:hideMark/>
          </w:tcPr>
          <w:p w14:paraId="4C7CF3BF" w14:textId="77777777" w:rsidR="005B5953" w:rsidRPr="00E571CE" w:rsidRDefault="005B5953" w:rsidP="00250DAC">
            <w:pPr>
              <w:spacing w:after="0" w:line="240" w:lineRule="auto"/>
              <w:rPr>
                <w:rFonts w:ascii="Times New Roman" w:hAnsi="Times New Roman"/>
                <w:color w:val="000000"/>
                <w:sz w:val="20"/>
                <w:szCs w:val="20"/>
              </w:rPr>
            </w:pPr>
            <w:r w:rsidRPr="00E571CE">
              <w:rPr>
                <w:rFonts w:ascii="Times New Roman" w:hAnsi="Times New Roman"/>
                <w:color w:val="000000"/>
                <w:sz w:val="20"/>
                <w:szCs w:val="20"/>
              </w:rPr>
              <w:t>Interest Received on I.Tax Refund</w:t>
            </w:r>
          </w:p>
        </w:tc>
        <w:tc>
          <w:tcPr>
            <w:tcW w:w="846" w:type="pct"/>
            <w:shd w:val="clear" w:color="auto" w:fill="auto"/>
            <w:noWrap/>
            <w:vAlign w:val="bottom"/>
            <w:hideMark/>
          </w:tcPr>
          <w:p w14:paraId="709FB37C"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w:t>
            </w:r>
          </w:p>
        </w:tc>
        <w:tc>
          <w:tcPr>
            <w:tcW w:w="802" w:type="pct"/>
            <w:shd w:val="clear" w:color="auto" w:fill="auto"/>
            <w:noWrap/>
            <w:vAlign w:val="bottom"/>
            <w:hideMark/>
          </w:tcPr>
          <w:p w14:paraId="39B598BA"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w:t>
            </w:r>
          </w:p>
        </w:tc>
        <w:tc>
          <w:tcPr>
            <w:tcW w:w="769" w:type="pct"/>
            <w:shd w:val="clear" w:color="auto" w:fill="auto"/>
            <w:noWrap/>
            <w:vAlign w:val="bottom"/>
            <w:hideMark/>
          </w:tcPr>
          <w:p w14:paraId="06B0FB01"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w:t>
            </w:r>
          </w:p>
        </w:tc>
      </w:tr>
      <w:tr w:rsidR="005B5953" w:rsidRPr="005B12AE" w14:paraId="392CFF45" w14:textId="77777777" w:rsidTr="00250DAC">
        <w:trPr>
          <w:trHeight w:val="20"/>
        </w:trPr>
        <w:tc>
          <w:tcPr>
            <w:tcW w:w="2583" w:type="pct"/>
            <w:shd w:val="clear" w:color="auto" w:fill="auto"/>
            <w:noWrap/>
            <w:vAlign w:val="bottom"/>
            <w:hideMark/>
          </w:tcPr>
          <w:p w14:paraId="06888F53" w14:textId="77777777" w:rsidR="005B5953" w:rsidRPr="00E571CE" w:rsidRDefault="005B5953" w:rsidP="00250DAC">
            <w:pPr>
              <w:spacing w:after="0" w:line="240" w:lineRule="auto"/>
              <w:rPr>
                <w:rFonts w:ascii="Times New Roman" w:hAnsi="Times New Roman"/>
                <w:color w:val="000000"/>
                <w:sz w:val="20"/>
                <w:szCs w:val="20"/>
              </w:rPr>
            </w:pPr>
            <w:r w:rsidRPr="00E571CE">
              <w:rPr>
                <w:rFonts w:ascii="Times New Roman" w:hAnsi="Times New Roman"/>
                <w:color w:val="000000"/>
                <w:sz w:val="20"/>
                <w:szCs w:val="20"/>
              </w:rPr>
              <w:t> </w:t>
            </w:r>
          </w:p>
        </w:tc>
        <w:tc>
          <w:tcPr>
            <w:tcW w:w="846" w:type="pct"/>
            <w:shd w:val="clear" w:color="auto" w:fill="auto"/>
            <w:noWrap/>
            <w:vAlign w:val="bottom"/>
            <w:hideMark/>
          </w:tcPr>
          <w:p w14:paraId="3FEF149B" w14:textId="77777777" w:rsidR="005B5953" w:rsidRPr="00E571CE" w:rsidRDefault="005B5953" w:rsidP="00250DAC">
            <w:pPr>
              <w:spacing w:after="0" w:line="240" w:lineRule="auto"/>
              <w:jc w:val="center"/>
              <w:rPr>
                <w:rFonts w:ascii="Times New Roman" w:hAnsi="Times New Roman"/>
                <w:sz w:val="20"/>
                <w:szCs w:val="20"/>
              </w:rPr>
            </w:pPr>
          </w:p>
        </w:tc>
        <w:tc>
          <w:tcPr>
            <w:tcW w:w="802" w:type="pct"/>
            <w:shd w:val="clear" w:color="auto" w:fill="auto"/>
            <w:noWrap/>
            <w:vAlign w:val="bottom"/>
            <w:hideMark/>
          </w:tcPr>
          <w:p w14:paraId="51F653A7" w14:textId="77777777" w:rsidR="005B5953" w:rsidRPr="00E571CE" w:rsidRDefault="005B5953" w:rsidP="00250DAC">
            <w:pPr>
              <w:spacing w:after="0" w:line="240" w:lineRule="auto"/>
              <w:jc w:val="center"/>
              <w:rPr>
                <w:rFonts w:ascii="Times New Roman" w:hAnsi="Times New Roman"/>
                <w:sz w:val="20"/>
                <w:szCs w:val="20"/>
              </w:rPr>
            </w:pPr>
          </w:p>
        </w:tc>
        <w:tc>
          <w:tcPr>
            <w:tcW w:w="769" w:type="pct"/>
            <w:shd w:val="clear" w:color="auto" w:fill="auto"/>
            <w:noWrap/>
            <w:vAlign w:val="bottom"/>
            <w:hideMark/>
          </w:tcPr>
          <w:p w14:paraId="71F4033C" w14:textId="77777777" w:rsidR="005B5953" w:rsidRPr="00E571CE" w:rsidRDefault="005B5953" w:rsidP="00250DAC">
            <w:pPr>
              <w:spacing w:after="0" w:line="240" w:lineRule="auto"/>
              <w:jc w:val="center"/>
              <w:rPr>
                <w:rFonts w:ascii="Times New Roman" w:hAnsi="Times New Roman"/>
                <w:sz w:val="20"/>
                <w:szCs w:val="20"/>
              </w:rPr>
            </w:pPr>
          </w:p>
        </w:tc>
      </w:tr>
      <w:tr w:rsidR="005B5953" w:rsidRPr="005B12AE" w14:paraId="304D7282" w14:textId="77777777" w:rsidTr="00250DAC">
        <w:trPr>
          <w:trHeight w:val="20"/>
        </w:trPr>
        <w:tc>
          <w:tcPr>
            <w:tcW w:w="2583" w:type="pct"/>
            <w:shd w:val="clear" w:color="auto" w:fill="auto"/>
            <w:noWrap/>
            <w:vAlign w:val="bottom"/>
            <w:hideMark/>
          </w:tcPr>
          <w:p w14:paraId="0E49D841" w14:textId="77777777" w:rsidR="005B5953" w:rsidRPr="00E571CE" w:rsidRDefault="005B5953" w:rsidP="00250DAC">
            <w:pPr>
              <w:spacing w:after="0" w:line="240" w:lineRule="auto"/>
              <w:rPr>
                <w:rFonts w:ascii="Times New Roman" w:hAnsi="Times New Roman"/>
                <w:color w:val="000000"/>
                <w:sz w:val="20"/>
                <w:szCs w:val="20"/>
              </w:rPr>
            </w:pPr>
            <w:r w:rsidRPr="00E571CE">
              <w:rPr>
                <w:rFonts w:ascii="Times New Roman" w:hAnsi="Times New Roman"/>
                <w:color w:val="000000"/>
                <w:sz w:val="20"/>
                <w:szCs w:val="20"/>
              </w:rPr>
              <w:t>Deduction under chapter VI (H)</w:t>
            </w:r>
          </w:p>
        </w:tc>
        <w:tc>
          <w:tcPr>
            <w:tcW w:w="846" w:type="pct"/>
            <w:shd w:val="clear" w:color="auto" w:fill="auto"/>
            <w:noWrap/>
            <w:vAlign w:val="bottom"/>
            <w:hideMark/>
          </w:tcPr>
          <w:p w14:paraId="41F9F574"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w:t>
            </w:r>
          </w:p>
        </w:tc>
        <w:tc>
          <w:tcPr>
            <w:tcW w:w="802" w:type="pct"/>
            <w:shd w:val="clear" w:color="auto" w:fill="auto"/>
            <w:noWrap/>
            <w:vAlign w:val="bottom"/>
            <w:hideMark/>
          </w:tcPr>
          <w:p w14:paraId="2D4A33B1" w14:textId="77777777" w:rsidR="005B5953" w:rsidRPr="00E571CE" w:rsidRDefault="005B5953" w:rsidP="00250DAC">
            <w:pPr>
              <w:spacing w:after="0" w:line="240" w:lineRule="auto"/>
              <w:jc w:val="center"/>
              <w:rPr>
                <w:rFonts w:ascii="Times New Roman" w:hAnsi="Times New Roman"/>
                <w:sz w:val="20"/>
                <w:szCs w:val="20"/>
              </w:rPr>
            </w:pPr>
          </w:p>
        </w:tc>
        <w:tc>
          <w:tcPr>
            <w:tcW w:w="769" w:type="pct"/>
            <w:shd w:val="clear" w:color="auto" w:fill="auto"/>
            <w:noWrap/>
            <w:vAlign w:val="bottom"/>
            <w:hideMark/>
          </w:tcPr>
          <w:p w14:paraId="12ADCAE5" w14:textId="77777777" w:rsidR="005B5953" w:rsidRPr="00E571CE" w:rsidRDefault="005B5953" w:rsidP="00250DAC">
            <w:pPr>
              <w:spacing w:after="0" w:line="240" w:lineRule="auto"/>
              <w:jc w:val="center"/>
              <w:rPr>
                <w:rFonts w:ascii="Times New Roman" w:hAnsi="Times New Roman"/>
                <w:sz w:val="20"/>
                <w:szCs w:val="20"/>
              </w:rPr>
            </w:pPr>
          </w:p>
        </w:tc>
      </w:tr>
      <w:tr w:rsidR="005B5953" w:rsidRPr="005B12AE" w14:paraId="4EC0E09B" w14:textId="77777777" w:rsidTr="00250DAC">
        <w:trPr>
          <w:trHeight w:val="20"/>
        </w:trPr>
        <w:tc>
          <w:tcPr>
            <w:tcW w:w="2583" w:type="pct"/>
            <w:shd w:val="clear" w:color="auto" w:fill="auto"/>
            <w:noWrap/>
            <w:vAlign w:val="bottom"/>
            <w:hideMark/>
          </w:tcPr>
          <w:p w14:paraId="262EAB5D" w14:textId="77777777" w:rsidR="005B5953" w:rsidRPr="00E571CE" w:rsidRDefault="005B5953" w:rsidP="00250DAC">
            <w:pPr>
              <w:spacing w:after="0" w:line="240" w:lineRule="auto"/>
              <w:rPr>
                <w:rFonts w:ascii="Times New Roman" w:hAnsi="Times New Roman"/>
                <w:color w:val="000000"/>
                <w:sz w:val="20"/>
                <w:szCs w:val="20"/>
              </w:rPr>
            </w:pPr>
            <w:r w:rsidRPr="00E571CE">
              <w:rPr>
                <w:rFonts w:ascii="Times New Roman" w:hAnsi="Times New Roman"/>
                <w:color w:val="000000"/>
                <w:sz w:val="20"/>
                <w:szCs w:val="20"/>
              </w:rPr>
              <w:t> </w:t>
            </w:r>
          </w:p>
        </w:tc>
        <w:tc>
          <w:tcPr>
            <w:tcW w:w="846" w:type="pct"/>
            <w:shd w:val="clear" w:color="auto" w:fill="auto"/>
            <w:noWrap/>
            <w:vAlign w:val="bottom"/>
            <w:hideMark/>
          </w:tcPr>
          <w:p w14:paraId="6770C2DC" w14:textId="77777777" w:rsidR="005B5953" w:rsidRPr="00E571CE" w:rsidRDefault="005B5953" w:rsidP="00250DAC">
            <w:pPr>
              <w:spacing w:after="0" w:line="240" w:lineRule="auto"/>
              <w:jc w:val="center"/>
              <w:rPr>
                <w:rFonts w:ascii="Times New Roman" w:hAnsi="Times New Roman"/>
                <w:color w:val="000000"/>
                <w:sz w:val="20"/>
                <w:szCs w:val="20"/>
              </w:rPr>
            </w:pPr>
          </w:p>
        </w:tc>
        <w:tc>
          <w:tcPr>
            <w:tcW w:w="802" w:type="pct"/>
            <w:shd w:val="clear" w:color="auto" w:fill="auto"/>
            <w:noWrap/>
            <w:vAlign w:val="bottom"/>
            <w:hideMark/>
          </w:tcPr>
          <w:p w14:paraId="6BF054FA" w14:textId="77777777" w:rsidR="005B5953" w:rsidRPr="00E571CE" w:rsidRDefault="005B5953" w:rsidP="00250DAC">
            <w:pPr>
              <w:spacing w:after="0" w:line="240" w:lineRule="auto"/>
              <w:jc w:val="center"/>
              <w:rPr>
                <w:rFonts w:ascii="Times New Roman" w:hAnsi="Times New Roman"/>
                <w:sz w:val="20"/>
                <w:szCs w:val="20"/>
              </w:rPr>
            </w:pPr>
          </w:p>
        </w:tc>
        <w:tc>
          <w:tcPr>
            <w:tcW w:w="769" w:type="pct"/>
            <w:shd w:val="clear" w:color="auto" w:fill="auto"/>
            <w:noWrap/>
            <w:vAlign w:val="bottom"/>
            <w:hideMark/>
          </w:tcPr>
          <w:p w14:paraId="7DF8D99A" w14:textId="77777777" w:rsidR="005B5953" w:rsidRPr="00E571CE" w:rsidRDefault="005B5953" w:rsidP="00250DAC">
            <w:pPr>
              <w:spacing w:after="0" w:line="240" w:lineRule="auto"/>
              <w:jc w:val="center"/>
              <w:rPr>
                <w:rFonts w:ascii="Times New Roman" w:hAnsi="Times New Roman"/>
                <w:sz w:val="20"/>
                <w:szCs w:val="20"/>
              </w:rPr>
            </w:pPr>
          </w:p>
        </w:tc>
      </w:tr>
      <w:tr w:rsidR="005B5953" w:rsidRPr="005B12AE" w14:paraId="5816C15E" w14:textId="77777777" w:rsidTr="00250DAC">
        <w:trPr>
          <w:trHeight w:val="20"/>
        </w:trPr>
        <w:tc>
          <w:tcPr>
            <w:tcW w:w="2583" w:type="pct"/>
            <w:shd w:val="clear" w:color="auto" w:fill="auto"/>
            <w:noWrap/>
            <w:vAlign w:val="bottom"/>
            <w:hideMark/>
          </w:tcPr>
          <w:p w14:paraId="5875774B" w14:textId="77777777" w:rsidR="005B5953" w:rsidRPr="00E571CE" w:rsidRDefault="005B5953" w:rsidP="00250DAC">
            <w:pPr>
              <w:spacing w:after="0" w:line="240" w:lineRule="auto"/>
              <w:rPr>
                <w:rFonts w:ascii="Times New Roman" w:hAnsi="Times New Roman"/>
                <w:color w:val="000000"/>
                <w:sz w:val="20"/>
                <w:szCs w:val="20"/>
              </w:rPr>
            </w:pPr>
            <w:r w:rsidRPr="00E571CE">
              <w:rPr>
                <w:rFonts w:ascii="Times New Roman" w:hAnsi="Times New Roman"/>
                <w:color w:val="000000"/>
                <w:sz w:val="20"/>
                <w:szCs w:val="20"/>
              </w:rPr>
              <w:t>Taxable Income/(Loss) (A+D+E+G+H)</w:t>
            </w:r>
          </w:p>
        </w:tc>
        <w:tc>
          <w:tcPr>
            <w:tcW w:w="846" w:type="pct"/>
            <w:shd w:val="clear" w:color="auto" w:fill="auto"/>
            <w:noWrap/>
            <w:vAlign w:val="bottom"/>
            <w:hideMark/>
          </w:tcPr>
          <w:p w14:paraId="2D6E620C"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1,130.68</w:t>
            </w:r>
          </w:p>
        </w:tc>
        <w:tc>
          <w:tcPr>
            <w:tcW w:w="802" w:type="pct"/>
            <w:shd w:val="clear" w:color="auto" w:fill="auto"/>
            <w:noWrap/>
            <w:vAlign w:val="bottom"/>
            <w:hideMark/>
          </w:tcPr>
          <w:p w14:paraId="7EB42C1D"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501.55</w:t>
            </w:r>
          </w:p>
        </w:tc>
        <w:tc>
          <w:tcPr>
            <w:tcW w:w="769" w:type="pct"/>
            <w:shd w:val="clear" w:color="auto" w:fill="auto"/>
            <w:noWrap/>
            <w:vAlign w:val="bottom"/>
            <w:hideMark/>
          </w:tcPr>
          <w:p w14:paraId="610D58DB"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226.63</w:t>
            </w:r>
          </w:p>
        </w:tc>
      </w:tr>
      <w:tr w:rsidR="005B5953" w:rsidRPr="005B12AE" w14:paraId="0DB5F6C6" w14:textId="77777777" w:rsidTr="00250DAC">
        <w:trPr>
          <w:trHeight w:val="20"/>
        </w:trPr>
        <w:tc>
          <w:tcPr>
            <w:tcW w:w="2583" w:type="pct"/>
            <w:shd w:val="clear" w:color="auto" w:fill="auto"/>
            <w:noWrap/>
            <w:vAlign w:val="bottom"/>
            <w:hideMark/>
          </w:tcPr>
          <w:p w14:paraId="7C051DFE" w14:textId="77777777" w:rsidR="005B5953" w:rsidRPr="00E571CE" w:rsidRDefault="005B5953" w:rsidP="00250DAC">
            <w:pPr>
              <w:spacing w:after="0" w:line="240" w:lineRule="auto"/>
              <w:rPr>
                <w:rFonts w:ascii="Times New Roman" w:hAnsi="Times New Roman"/>
                <w:color w:val="000000"/>
                <w:sz w:val="20"/>
                <w:szCs w:val="20"/>
              </w:rPr>
            </w:pPr>
            <w:r w:rsidRPr="00E571CE">
              <w:rPr>
                <w:rFonts w:ascii="Times New Roman" w:hAnsi="Times New Roman"/>
                <w:color w:val="000000"/>
                <w:sz w:val="20"/>
                <w:szCs w:val="20"/>
              </w:rPr>
              <w:t>Income Tax on Above</w:t>
            </w:r>
          </w:p>
        </w:tc>
        <w:tc>
          <w:tcPr>
            <w:tcW w:w="846" w:type="pct"/>
            <w:shd w:val="clear" w:color="auto" w:fill="auto"/>
            <w:noWrap/>
            <w:vAlign w:val="bottom"/>
            <w:hideMark/>
          </w:tcPr>
          <w:p w14:paraId="6B5C9A39"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284.57</w:t>
            </w:r>
          </w:p>
        </w:tc>
        <w:tc>
          <w:tcPr>
            <w:tcW w:w="802" w:type="pct"/>
            <w:shd w:val="clear" w:color="auto" w:fill="auto"/>
            <w:noWrap/>
            <w:vAlign w:val="bottom"/>
            <w:hideMark/>
          </w:tcPr>
          <w:p w14:paraId="5A956DC6"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139.53</w:t>
            </w:r>
          </w:p>
        </w:tc>
        <w:tc>
          <w:tcPr>
            <w:tcW w:w="769" w:type="pct"/>
            <w:shd w:val="clear" w:color="auto" w:fill="auto"/>
            <w:noWrap/>
            <w:vAlign w:val="bottom"/>
            <w:hideMark/>
          </w:tcPr>
          <w:p w14:paraId="31A12284"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63.05</w:t>
            </w:r>
          </w:p>
        </w:tc>
      </w:tr>
      <w:tr w:rsidR="005B5953" w:rsidRPr="005B12AE" w14:paraId="6FF88126" w14:textId="77777777" w:rsidTr="00250DAC">
        <w:trPr>
          <w:trHeight w:val="20"/>
        </w:trPr>
        <w:tc>
          <w:tcPr>
            <w:tcW w:w="2583" w:type="pct"/>
            <w:shd w:val="clear" w:color="auto" w:fill="auto"/>
            <w:noWrap/>
            <w:vAlign w:val="bottom"/>
            <w:hideMark/>
          </w:tcPr>
          <w:p w14:paraId="18C8D516" w14:textId="77777777" w:rsidR="005B5953" w:rsidRPr="00E571CE" w:rsidRDefault="005B5953" w:rsidP="00250DAC">
            <w:pPr>
              <w:spacing w:after="0" w:line="240" w:lineRule="auto"/>
              <w:rPr>
                <w:rFonts w:ascii="Times New Roman" w:hAnsi="Times New Roman"/>
                <w:color w:val="000000"/>
                <w:sz w:val="20"/>
                <w:szCs w:val="20"/>
              </w:rPr>
            </w:pPr>
            <w:r w:rsidRPr="00E571CE">
              <w:rPr>
                <w:rFonts w:ascii="Times New Roman" w:hAnsi="Times New Roman"/>
                <w:color w:val="000000"/>
                <w:sz w:val="20"/>
                <w:szCs w:val="20"/>
              </w:rPr>
              <w:t>MAT on Book Profit</w:t>
            </w:r>
          </w:p>
        </w:tc>
        <w:tc>
          <w:tcPr>
            <w:tcW w:w="846" w:type="pct"/>
            <w:shd w:val="clear" w:color="auto" w:fill="auto"/>
            <w:noWrap/>
            <w:vAlign w:val="bottom"/>
            <w:hideMark/>
          </w:tcPr>
          <w:p w14:paraId="6BA36795"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w:t>
            </w:r>
          </w:p>
        </w:tc>
        <w:tc>
          <w:tcPr>
            <w:tcW w:w="802" w:type="pct"/>
            <w:shd w:val="clear" w:color="auto" w:fill="auto"/>
            <w:noWrap/>
            <w:vAlign w:val="bottom"/>
            <w:hideMark/>
          </w:tcPr>
          <w:p w14:paraId="76C9C0FA"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75.06</w:t>
            </w:r>
          </w:p>
        </w:tc>
        <w:tc>
          <w:tcPr>
            <w:tcW w:w="769" w:type="pct"/>
            <w:shd w:val="clear" w:color="auto" w:fill="auto"/>
            <w:noWrap/>
            <w:vAlign w:val="bottom"/>
            <w:hideMark/>
          </w:tcPr>
          <w:p w14:paraId="34FD2EC8"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32.62</w:t>
            </w:r>
          </w:p>
        </w:tc>
      </w:tr>
      <w:tr w:rsidR="005B5953" w:rsidRPr="005B12AE" w14:paraId="58DBF9BF" w14:textId="77777777" w:rsidTr="00250DAC">
        <w:trPr>
          <w:trHeight w:val="20"/>
        </w:trPr>
        <w:tc>
          <w:tcPr>
            <w:tcW w:w="2583" w:type="pct"/>
            <w:shd w:val="clear" w:color="auto" w:fill="auto"/>
            <w:noWrap/>
            <w:vAlign w:val="bottom"/>
            <w:hideMark/>
          </w:tcPr>
          <w:p w14:paraId="2B7F8E7C" w14:textId="77777777" w:rsidR="005B5953" w:rsidRPr="00E571CE" w:rsidRDefault="005B5953" w:rsidP="00250DAC">
            <w:pPr>
              <w:spacing w:after="0" w:line="240" w:lineRule="auto"/>
              <w:rPr>
                <w:rFonts w:ascii="Times New Roman" w:hAnsi="Times New Roman"/>
                <w:color w:val="000000"/>
                <w:sz w:val="20"/>
                <w:szCs w:val="20"/>
              </w:rPr>
            </w:pPr>
            <w:r w:rsidRPr="00E571CE">
              <w:rPr>
                <w:rFonts w:ascii="Times New Roman" w:hAnsi="Times New Roman"/>
                <w:color w:val="000000"/>
                <w:sz w:val="20"/>
                <w:szCs w:val="20"/>
              </w:rPr>
              <w:t>Tax paid as per normal or MAT</w:t>
            </w:r>
          </w:p>
        </w:tc>
        <w:tc>
          <w:tcPr>
            <w:tcW w:w="846" w:type="pct"/>
            <w:shd w:val="clear" w:color="auto" w:fill="auto"/>
            <w:noWrap/>
            <w:vAlign w:val="bottom"/>
            <w:hideMark/>
          </w:tcPr>
          <w:p w14:paraId="5789F24D" w14:textId="77777777" w:rsidR="005B5953" w:rsidRPr="00E571CE" w:rsidRDefault="005B5953" w:rsidP="00250DAC">
            <w:pPr>
              <w:spacing w:after="0" w:line="240" w:lineRule="auto"/>
              <w:jc w:val="center"/>
              <w:rPr>
                <w:rFonts w:ascii="Times New Roman" w:hAnsi="Times New Roman"/>
                <w:color w:val="000000"/>
                <w:sz w:val="20"/>
                <w:szCs w:val="20"/>
              </w:rPr>
            </w:pPr>
            <w:r w:rsidRPr="00E571CE">
              <w:rPr>
                <w:rFonts w:ascii="Times New Roman" w:hAnsi="Times New Roman"/>
                <w:color w:val="000000"/>
                <w:sz w:val="20"/>
                <w:szCs w:val="20"/>
              </w:rPr>
              <w:t>Normal</w:t>
            </w:r>
          </w:p>
        </w:tc>
        <w:tc>
          <w:tcPr>
            <w:tcW w:w="802" w:type="pct"/>
            <w:shd w:val="clear" w:color="auto" w:fill="auto"/>
            <w:noWrap/>
            <w:vAlign w:val="bottom"/>
            <w:hideMark/>
          </w:tcPr>
          <w:p w14:paraId="62216A35" w14:textId="77777777" w:rsidR="005B5953" w:rsidRPr="00E571CE" w:rsidRDefault="005B5953" w:rsidP="00250DAC">
            <w:pPr>
              <w:spacing w:after="0" w:line="240" w:lineRule="auto"/>
              <w:jc w:val="center"/>
              <w:rPr>
                <w:rFonts w:ascii="Times New Roman" w:hAnsi="Times New Roman"/>
                <w:color w:val="000000"/>
                <w:sz w:val="20"/>
                <w:szCs w:val="20"/>
              </w:rPr>
            </w:pPr>
            <w:r w:rsidRPr="00E571CE">
              <w:rPr>
                <w:rFonts w:ascii="Times New Roman" w:hAnsi="Times New Roman"/>
                <w:color w:val="000000"/>
                <w:sz w:val="20"/>
                <w:szCs w:val="20"/>
              </w:rPr>
              <w:t>Normal</w:t>
            </w:r>
          </w:p>
        </w:tc>
        <w:tc>
          <w:tcPr>
            <w:tcW w:w="769" w:type="pct"/>
            <w:shd w:val="clear" w:color="auto" w:fill="auto"/>
            <w:noWrap/>
            <w:vAlign w:val="bottom"/>
            <w:hideMark/>
          </w:tcPr>
          <w:p w14:paraId="36F46539" w14:textId="77777777" w:rsidR="005B5953" w:rsidRPr="00E571CE" w:rsidRDefault="005B5953" w:rsidP="00250DAC">
            <w:pPr>
              <w:spacing w:after="0" w:line="240" w:lineRule="auto"/>
              <w:jc w:val="center"/>
              <w:rPr>
                <w:rFonts w:ascii="Times New Roman" w:hAnsi="Times New Roman"/>
                <w:color w:val="000000"/>
                <w:sz w:val="20"/>
                <w:szCs w:val="20"/>
              </w:rPr>
            </w:pPr>
            <w:r w:rsidRPr="00E571CE">
              <w:rPr>
                <w:rFonts w:ascii="Times New Roman" w:hAnsi="Times New Roman"/>
                <w:color w:val="000000"/>
                <w:sz w:val="20"/>
                <w:szCs w:val="20"/>
              </w:rPr>
              <w:t>Normal</w:t>
            </w:r>
          </w:p>
        </w:tc>
      </w:tr>
      <w:tr w:rsidR="005B5953" w:rsidRPr="005B12AE" w14:paraId="05E3C154" w14:textId="77777777" w:rsidTr="00250DAC">
        <w:trPr>
          <w:trHeight w:val="20"/>
        </w:trPr>
        <w:tc>
          <w:tcPr>
            <w:tcW w:w="2583" w:type="pct"/>
            <w:shd w:val="clear" w:color="auto" w:fill="auto"/>
            <w:noWrap/>
            <w:vAlign w:val="bottom"/>
            <w:hideMark/>
          </w:tcPr>
          <w:p w14:paraId="0A08FD84" w14:textId="77777777" w:rsidR="005B5953" w:rsidRPr="00E571CE" w:rsidRDefault="005B5953" w:rsidP="00250DAC">
            <w:pPr>
              <w:spacing w:after="0" w:line="240" w:lineRule="auto"/>
              <w:rPr>
                <w:rFonts w:ascii="Times New Roman" w:hAnsi="Times New Roman"/>
                <w:color w:val="000000"/>
                <w:sz w:val="20"/>
                <w:szCs w:val="20"/>
              </w:rPr>
            </w:pPr>
            <w:r w:rsidRPr="00E571CE">
              <w:rPr>
                <w:rFonts w:ascii="Times New Roman" w:hAnsi="Times New Roman"/>
                <w:color w:val="000000"/>
                <w:sz w:val="20"/>
                <w:szCs w:val="20"/>
              </w:rPr>
              <w:t>Mat credit entitlement</w:t>
            </w:r>
          </w:p>
        </w:tc>
        <w:tc>
          <w:tcPr>
            <w:tcW w:w="846" w:type="pct"/>
            <w:shd w:val="clear" w:color="auto" w:fill="auto"/>
            <w:noWrap/>
            <w:vAlign w:val="bottom"/>
            <w:hideMark/>
          </w:tcPr>
          <w:p w14:paraId="15F25E5D" w14:textId="77777777" w:rsidR="005B5953" w:rsidRPr="00E571CE" w:rsidRDefault="005B5953" w:rsidP="00250DAC">
            <w:pPr>
              <w:spacing w:after="0" w:line="240" w:lineRule="auto"/>
              <w:jc w:val="center"/>
              <w:rPr>
                <w:rFonts w:ascii="Times New Roman" w:hAnsi="Times New Roman"/>
                <w:color w:val="000000"/>
                <w:sz w:val="20"/>
                <w:szCs w:val="20"/>
              </w:rPr>
            </w:pPr>
          </w:p>
        </w:tc>
        <w:tc>
          <w:tcPr>
            <w:tcW w:w="802" w:type="pct"/>
            <w:shd w:val="clear" w:color="auto" w:fill="auto"/>
            <w:noWrap/>
            <w:vAlign w:val="bottom"/>
            <w:hideMark/>
          </w:tcPr>
          <w:p w14:paraId="0E1ACC1D" w14:textId="77777777" w:rsidR="005B5953" w:rsidRPr="00E571CE" w:rsidRDefault="005B5953" w:rsidP="00250DAC">
            <w:pPr>
              <w:spacing w:after="0" w:line="240" w:lineRule="auto"/>
              <w:jc w:val="center"/>
              <w:rPr>
                <w:rFonts w:ascii="Times New Roman" w:hAnsi="Times New Roman"/>
                <w:color w:val="000000"/>
                <w:sz w:val="20"/>
                <w:szCs w:val="20"/>
              </w:rPr>
            </w:pPr>
            <w:r w:rsidRPr="00E571CE">
              <w:rPr>
                <w:rFonts w:ascii="Times New Roman" w:hAnsi="Times New Roman"/>
                <w:color w:val="000000"/>
                <w:sz w:val="20"/>
                <w:szCs w:val="20"/>
              </w:rPr>
              <w:t>11.40</w:t>
            </w:r>
          </w:p>
        </w:tc>
        <w:tc>
          <w:tcPr>
            <w:tcW w:w="769" w:type="pct"/>
            <w:shd w:val="clear" w:color="auto" w:fill="auto"/>
            <w:noWrap/>
            <w:vAlign w:val="bottom"/>
            <w:hideMark/>
          </w:tcPr>
          <w:p w14:paraId="35151C19" w14:textId="77777777" w:rsidR="005B5953" w:rsidRPr="00E571CE" w:rsidRDefault="005B5953" w:rsidP="00250DAC">
            <w:pPr>
              <w:spacing w:after="0" w:line="240" w:lineRule="auto"/>
              <w:jc w:val="center"/>
              <w:rPr>
                <w:rFonts w:ascii="Times New Roman" w:hAnsi="Times New Roman"/>
                <w:color w:val="000000"/>
                <w:sz w:val="20"/>
                <w:szCs w:val="20"/>
              </w:rPr>
            </w:pPr>
            <w:r w:rsidRPr="00E571CE">
              <w:rPr>
                <w:rFonts w:ascii="Times New Roman" w:hAnsi="Times New Roman"/>
                <w:color w:val="000000"/>
                <w:sz w:val="20"/>
                <w:szCs w:val="20"/>
              </w:rPr>
              <w:t>22.73</w:t>
            </w:r>
          </w:p>
        </w:tc>
      </w:tr>
      <w:tr w:rsidR="005B5953" w:rsidRPr="005B12AE" w14:paraId="471207FB" w14:textId="77777777" w:rsidTr="00250DAC">
        <w:trPr>
          <w:trHeight w:val="20"/>
        </w:trPr>
        <w:tc>
          <w:tcPr>
            <w:tcW w:w="2583" w:type="pct"/>
            <w:shd w:val="clear" w:color="auto" w:fill="auto"/>
            <w:noWrap/>
            <w:vAlign w:val="bottom"/>
            <w:hideMark/>
          </w:tcPr>
          <w:p w14:paraId="0D7C699E" w14:textId="77777777" w:rsidR="005B5953" w:rsidRPr="00E571CE" w:rsidRDefault="005B5953" w:rsidP="00250DAC">
            <w:pPr>
              <w:spacing w:after="0" w:line="240" w:lineRule="auto"/>
              <w:rPr>
                <w:rFonts w:ascii="Times New Roman" w:hAnsi="Times New Roman"/>
                <w:color w:val="000000"/>
                <w:sz w:val="20"/>
                <w:szCs w:val="20"/>
              </w:rPr>
            </w:pPr>
            <w:r w:rsidRPr="00E571CE">
              <w:rPr>
                <w:rFonts w:ascii="Times New Roman" w:hAnsi="Times New Roman"/>
                <w:color w:val="000000"/>
                <w:sz w:val="20"/>
                <w:szCs w:val="20"/>
              </w:rPr>
              <w:t>Interest Payable</w:t>
            </w:r>
          </w:p>
        </w:tc>
        <w:tc>
          <w:tcPr>
            <w:tcW w:w="846" w:type="pct"/>
            <w:shd w:val="clear" w:color="auto" w:fill="auto"/>
            <w:noWrap/>
            <w:vAlign w:val="bottom"/>
            <w:hideMark/>
          </w:tcPr>
          <w:p w14:paraId="78EC8B6A" w14:textId="77777777" w:rsidR="005B5953" w:rsidRPr="00E571CE" w:rsidRDefault="005B5953" w:rsidP="00250DAC">
            <w:pPr>
              <w:spacing w:after="0" w:line="240" w:lineRule="auto"/>
              <w:jc w:val="center"/>
              <w:rPr>
                <w:rFonts w:ascii="Times New Roman" w:hAnsi="Times New Roman"/>
                <w:color w:val="000000"/>
                <w:sz w:val="20"/>
                <w:szCs w:val="20"/>
              </w:rPr>
            </w:pPr>
            <w:r w:rsidRPr="00E571CE">
              <w:rPr>
                <w:rFonts w:ascii="Times New Roman" w:hAnsi="Times New Roman"/>
                <w:color w:val="000000"/>
                <w:sz w:val="20"/>
                <w:szCs w:val="20"/>
              </w:rPr>
              <w:t>29.51</w:t>
            </w:r>
          </w:p>
        </w:tc>
        <w:tc>
          <w:tcPr>
            <w:tcW w:w="802" w:type="pct"/>
            <w:shd w:val="clear" w:color="auto" w:fill="auto"/>
            <w:noWrap/>
            <w:vAlign w:val="bottom"/>
            <w:hideMark/>
          </w:tcPr>
          <w:p w14:paraId="25AD6A7B" w14:textId="77777777" w:rsidR="005B5953" w:rsidRPr="00E571CE" w:rsidRDefault="005B5953" w:rsidP="00250DAC">
            <w:pPr>
              <w:spacing w:after="0" w:line="240" w:lineRule="auto"/>
              <w:jc w:val="center"/>
              <w:rPr>
                <w:rFonts w:ascii="Times New Roman" w:hAnsi="Times New Roman"/>
                <w:color w:val="000000"/>
                <w:sz w:val="20"/>
                <w:szCs w:val="20"/>
              </w:rPr>
            </w:pPr>
            <w:r w:rsidRPr="00E571CE">
              <w:rPr>
                <w:rFonts w:ascii="Times New Roman" w:hAnsi="Times New Roman"/>
                <w:color w:val="000000"/>
                <w:sz w:val="20"/>
                <w:szCs w:val="20"/>
              </w:rPr>
              <w:t>13.44</w:t>
            </w:r>
          </w:p>
        </w:tc>
        <w:tc>
          <w:tcPr>
            <w:tcW w:w="769" w:type="pct"/>
            <w:shd w:val="clear" w:color="auto" w:fill="auto"/>
            <w:noWrap/>
            <w:vAlign w:val="bottom"/>
            <w:hideMark/>
          </w:tcPr>
          <w:p w14:paraId="08DAA5A9" w14:textId="77777777" w:rsidR="005B5953" w:rsidRPr="00E571CE" w:rsidRDefault="005B5953" w:rsidP="00250DAC">
            <w:pPr>
              <w:spacing w:after="0" w:line="240" w:lineRule="auto"/>
              <w:jc w:val="center"/>
              <w:rPr>
                <w:rFonts w:ascii="Times New Roman" w:hAnsi="Times New Roman"/>
                <w:color w:val="000000"/>
                <w:sz w:val="20"/>
                <w:szCs w:val="20"/>
              </w:rPr>
            </w:pPr>
            <w:r w:rsidRPr="00E571CE">
              <w:rPr>
                <w:rFonts w:ascii="Times New Roman" w:hAnsi="Times New Roman"/>
                <w:color w:val="000000"/>
                <w:sz w:val="20"/>
                <w:szCs w:val="20"/>
              </w:rPr>
              <w:t>4.83</w:t>
            </w:r>
          </w:p>
        </w:tc>
      </w:tr>
      <w:tr w:rsidR="005B5953" w:rsidRPr="005B12AE" w14:paraId="417A6357" w14:textId="77777777" w:rsidTr="00250DAC">
        <w:trPr>
          <w:trHeight w:val="20"/>
        </w:trPr>
        <w:tc>
          <w:tcPr>
            <w:tcW w:w="2583" w:type="pct"/>
            <w:shd w:val="clear" w:color="auto" w:fill="auto"/>
            <w:noWrap/>
            <w:vAlign w:val="bottom"/>
            <w:hideMark/>
          </w:tcPr>
          <w:p w14:paraId="19C8FBE2" w14:textId="77777777" w:rsidR="005B5953" w:rsidRPr="00E571CE" w:rsidRDefault="005B5953" w:rsidP="00250DAC">
            <w:pPr>
              <w:spacing w:after="0" w:line="240" w:lineRule="auto"/>
              <w:rPr>
                <w:rFonts w:ascii="Times New Roman" w:hAnsi="Times New Roman"/>
                <w:color w:val="000000"/>
                <w:sz w:val="20"/>
                <w:szCs w:val="20"/>
              </w:rPr>
            </w:pPr>
            <w:r w:rsidRPr="00E571CE">
              <w:rPr>
                <w:rFonts w:ascii="Times New Roman" w:hAnsi="Times New Roman"/>
                <w:color w:val="000000"/>
                <w:sz w:val="20"/>
                <w:szCs w:val="20"/>
              </w:rPr>
              <w:t>Total Provision for Tax</w:t>
            </w:r>
          </w:p>
        </w:tc>
        <w:tc>
          <w:tcPr>
            <w:tcW w:w="846" w:type="pct"/>
            <w:shd w:val="clear" w:color="auto" w:fill="auto"/>
            <w:noWrap/>
            <w:vAlign w:val="bottom"/>
            <w:hideMark/>
          </w:tcPr>
          <w:p w14:paraId="4E73BC75" w14:textId="77777777" w:rsidR="005B5953" w:rsidRPr="00E571CE" w:rsidRDefault="005B5953" w:rsidP="00250DAC">
            <w:pPr>
              <w:spacing w:after="0" w:line="240" w:lineRule="auto"/>
              <w:jc w:val="center"/>
              <w:rPr>
                <w:rFonts w:ascii="Times New Roman" w:hAnsi="Times New Roman"/>
                <w:color w:val="000000"/>
                <w:sz w:val="20"/>
                <w:szCs w:val="20"/>
              </w:rPr>
            </w:pPr>
            <w:r w:rsidRPr="00E571CE">
              <w:rPr>
                <w:rFonts w:ascii="Times New Roman" w:hAnsi="Times New Roman"/>
                <w:color w:val="000000"/>
                <w:sz w:val="20"/>
                <w:szCs w:val="20"/>
              </w:rPr>
              <w:t>314.08</w:t>
            </w:r>
          </w:p>
        </w:tc>
        <w:tc>
          <w:tcPr>
            <w:tcW w:w="802" w:type="pct"/>
            <w:shd w:val="clear" w:color="auto" w:fill="auto"/>
            <w:noWrap/>
            <w:vAlign w:val="bottom"/>
            <w:hideMark/>
          </w:tcPr>
          <w:p w14:paraId="4911A68D" w14:textId="77777777" w:rsidR="005B5953" w:rsidRPr="00E571CE" w:rsidRDefault="005B5953" w:rsidP="00250DAC">
            <w:pPr>
              <w:spacing w:after="0" w:line="240" w:lineRule="auto"/>
              <w:jc w:val="center"/>
              <w:rPr>
                <w:rFonts w:ascii="Times New Roman" w:hAnsi="Times New Roman"/>
                <w:color w:val="000000"/>
                <w:sz w:val="20"/>
                <w:szCs w:val="20"/>
              </w:rPr>
            </w:pPr>
            <w:r w:rsidRPr="00E571CE">
              <w:rPr>
                <w:rFonts w:ascii="Times New Roman" w:hAnsi="Times New Roman"/>
                <w:color w:val="000000"/>
                <w:sz w:val="20"/>
                <w:szCs w:val="20"/>
              </w:rPr>
              <w:t>141.58</w:t>
            </w:r>
          </w:p>
        </w:tc>
        <w:tc>
          <w:tcPr>
            <w:tcW w:w="769" w:type="pct"/>
            <w:shd w:val="clear" w:color="auto" w:fill="auto"/>
            <w:noWrap/>
            <w:vAlign w:val="bottom"/>
            <w:hideMark/>
          </w:tcPr>
          <w:p w14:paraId="452F4517" w14:textId="77777777" w:rsidR="005B5953" w:rsidRPr="00E571CE" w:rsidRDefault="005B5953" w:rsidP="00250DAC">
            <w:pPr>
              <w:spacing w:after="0" w:line="240" w:lineRule="auto"/>
              <w:jc w:val="center"/>
              <w:rPr>
                <w:rFonts w:ascii="Times New Roman" w:hAnsi="Times New Roman"/>
                <w:color w:val="000000"/>
                <w:sz w:val="20"/>
                <w:szCs w:val="20"/>
              </w:rPr>
            </w:pPr>
            <w:r w:rsidRPr="00E571CE">
              <w:rPr>
                <w:rFonts w:ascii="Times New Roman" w:hAnsi="Times New Roman"/>
                <w:color w:val="000000"/>
                <w:sz w:val="20"/>
                <w:szCs w:val="20"/>
              </w:rPr>
              <w:t>45.15</w:t>
            </w:r>
          </w:p>
        </w:tc>
      </w:tr>
    </w:tbl>
    <w:p w14:paraId="0F41CE3C" w14:textId="77777777" w:rsidR="005B5953" w:rsidRPr="005B12AE" w:rsidRDefault="005B5953" w:rsidP="005B5953">
      <w:pPr>
        <w:spacing w:after="0"/>
        <w:jc w:val="center"/>
        <w:rPr>
          <w:rFonts w:ascii="Times New Roman" w:hAnsi="Times New Roman"/>
          <w:b/>
          <w:bCs/>
          <w:color w:val="000000"/>
          <w:sz w:val="20"/>
          <w:szCs w:val="20"/>
        </w:rPr>
      </w:pPr>
    </w:p>
    <w:p w14:paraId="6A918E2A" w14:textId="77777777" w:rsidR="005B5953" w:rsidRPr="005B12AE" w:rsidRDefault="005B5953" w:rsidP="005B5953">
      <w:pPr>
        <w:spacing w:after="0"/>
        <w:jc w:val="center"/>
        <w:rPr>
          <w:rFonts w:ascii="Times New Roman" w:hAnsi="Times New Roman"/>
          <w:b/>
          <w:bCs/>
          <w:color w:val="000000"/>
          <w:sz w:val="20"/>
          <w:szCs w:val="20"/>
        </w:rPr>
      </w:pPr>
      <w:r w:rsidRPr="005B12AE">
        <w:rPr>
          <w:rFonts w:ascii="Times New Roman" w:hAnsi="Times New Roman"/>
          <w:b/>
          <w:bCs/>
          <w:color w:val="000000"/>
          <w:sz w:val="20"/>
          <w:szCs w:val="20"/>
        </w:rPr>
        <w:t>NOTE – Y</w:t>
      </w:r>
    </w:p>
    <w:p w14:paraId="6D07CE33" w14:textId="77777777" w:rsidR="005B5953" w:rsidRPr="005B12AE" w:rsidRDefault="005B5953" w:rsidP="005B5953">
      <w:pPr>
        <w:spacing w:after="0"/>
        <w:jc w:val="center"/>
        <w:rPr>
          <w:rFonts w:ascii="Times New Roman" w:hAnsi="Times New Roman"/>
          <w:b/>
          <w:bCs/>
          <w:color w:val="000000"/>
          <w:sz w:val="20"/>
          <w:szCs w:val="20"/>
        </w:rPr>
      </w:pPr>
    </w:p>
    <w:p w14:paraId="5F7E7EC6" w14:textId="77777777" w:rsidR="005B5953" w:rsidRPr="005B12AE" w:rsidRDefault="005B5953" w:rsidP="005B5953">
      <w:pPr>
        <w:spacing w:after="0"/>
        <w:jc w:val="center"/>
        <w:rPr>
          <w:rFonts w:ascii="Times New Roman" w:hAnsi="Times New Roman"/>
          <w:b/>
          <w:bCs/>
          <w:color w:val="000000"/>
          <w:sz w:val="20"/>
          <w:szCs w:val="20"/>
        </w:rPr>
      </w:pPr>
      <w:r w:rsidRPr="005B12AE">
        <w:rPr>
          <w:rFonts w:ascii="Times New Roman" w:hAnsi="Times New Roman"/>
          <w:b/>
          <w:bCs/>
          <w:color w:val="000000"/>
          <w:sz w:val="20"/>
          <w:szCs w:val="20"/>
        </w:rPr>
        <w:t>CAPITALISATION STATEMENT</w:t>
      </w:r>
    </w:p>
    <w:p w14:paraId="12D262B3" w14:textId="77777777" w:rsidR="005B5953" w:rsidRPr="005B12AE" w:rsidRDefault="005B5953" w:rsidP="005B5953">
      <w:pPr>
        <w:spacing w:after="0"/>
        <w:jc w:val="right"/>
        <w:rPr>
          <w:rFonts w:ascii="Times New Roman" w:hAnsi="Times New Roman"/>
          <w:b/>
          <w:bCs/>
          <w:sz w:val="20"/>
          <w:szCs w:val="20"/>
        </w:rPr>
      </w:pPr>
      <w:r w:rsidRPr="005B12AE">
        <w:rPr>
          <w:rFonts w:ascii="Times New Roman" w:hAnsi="Times New Roman"/>
          <w:b/>
          <w:bCs/>
          <w:sz w:val="20"/>
          <w:szCs w:val="20"/>
        </w:rPr>
        <w:t>(₹ in Lakhs)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8"/>
        <w:gridCol w:w="2683"/>
        <w:gridCol w:w="2445"/>
      </w:tblGrid>
      <w:tr w:rsidR="005B5953" w:rsidRPr="005B12AE" w14:paraId="59E1DC71" w14:textId="77777777" w:rsidTr="0083687D">
        <w:trPr>
          <w:trHeight w:val="20"/>
          <w:tblHeader/>
        </w:trPr>
        <w:tc>
          <w:tcPr>
            <w:tcW w:w="2548" w:type="pct"/>
            <w:shd w:val="clear" w:color="auto" w:fill="D0CECE" w:themeFill="background2" w:themeFillShade="E6"/>
            <w:noWrap/>
            <w:vAlign w:val="center"/>
            <w:hideMark/>
          </w:tcPr>
          <w:p w14:paraId="2C212EAB" w14:textId="77777777" w:rsidR="005B5953" w:rsidRPr="00E571CE" w:rsidRDefault="005B5953" w:rsidP="00250DAC">
            <w:pPr>
              <w:spacing w:after="0" w:line="240" w:lineRule="auto"/>
              <w:rPr>
                <w:rFonts w:ascii="Times New Roman" w:hAnsi="Times New Roman"/>
                <w:b/>
                <w:bCs/>
                <w:color w:val="000000"/>
                <w:sz w:val="20"/>
                <w:szCs w:val="20"/>
              </w:rPr>
            </w:pPr>
            <w:r w:rsidRPr="00E571CE">
              <w:rPr>
                <w:rFonts w:ascii="Times New Roman" w:hAnsi="Times New Roman"/>
                <w:b/>
                <w:bCs/>
                <w:color w:val="000000"/>
                <w:sz w:val="20"/>
                <w:szCs w:val="20"/>
              </w:rPr>
              <w:t>Particulars</w:t>
            </w:r>
          </w:p>
        </w:tc>
        <w:tc>
          <w:tcPr>
            <w:tcW w:w="1283" w:type="pct"/>
            <w:shd w:val="clear" w:color="auto" w:fill="D0CECE" w:themeFill="background2" w:themeFillShade="E6"/>
            <w:noWrap/>
            <w:vAlign w:val="center"/>
            <w:hideMark/>
          </w:tcPr>
          <w:p w14:paraId="10080E19" w14:textId="77777777" w:rsidR="005B5953" w:rsidRPr="00E571CE" w:rsidRDefault="005B5953" w:rsidP="00250DAC">
            <w:pPr>
              <w:spacing w:after="0" w:line="240" w:lineRule="auto"/>
              <w:jc w:val="center"/>
              <w:rPr>
                <w:rFonts w:ascii="Times New Roman" w:hAnsi="Times New Roman"/>
                <w:b/>
                <w:bCs/>
                <w:color w:val="000000"/>
                <w:sz w:val="20"/>
                <w:szCs w:val="20"/>
              </w:rPr>
            </w:pPr>
            <w:r w:rsidRPr="00E571CE">
              <w:rPr>
                <w:rFonts w:ascii="Times New Roman" w:hAnsi="Times New Roman"/>
                <w:b/>
                <w:bCs/>
                <w:color w:val="000000"/>
                <w:sz w:val="20"/>
                <w:szCs w:val="20"/>
              </w:rPr>
              <w:t>Pre</w:t>
            </w:r>
            <w:r w:rsidRPr="005B12AE">
              <w:rPr>
                <w:rFonts w:ascii="Times New Roman" w:hAnsi="Times New Roman"/>
                <w:b/>
                <w:bCs/>
                <w:color w:val="000000"/>
                <w:sz w:val="20"/>
                <w:szCs w:val="20"/>
              </w:rPr>
              <w:t>-</w:t>
            </w:r>
            <w:r w:rsidRPr="00E571CE">
              <w:rPr>
                <w:rFonts w:ascii="Times New Roman" w:hAnsi="Times New Roman"/>
                <w:b/>
                <w:bCs/>
                <w:color w:val="000000"/>
                <w:sz w:val="20"/>
                <w:szCs w:val="20"/>
              </w:rPr>
              <w:t>Issue</w:t>
            </w:r>
          </w:p>
        </w:tc>
        <w:tc>
          <w:tcPr>
            <w:tcW w:w="1169" w:type="pct"/>
            <w:shd w:val="clear" w:color="auto" w:fill="D0CECE" w:themeFill="background2" w:themeFillShade="E6"/>
            <w:noWrap/>
            <w:vAlign w:val="center"/>
            <w:hideMark/>
          </w:tcPr>
          <w:p w14:paraId="20117C7F" w14:textId="77777777" w:rsidR="005B5953" w:rsidRPr="00E571CE" w:rsidRDefault="005B5953" w:rsidP="00250DAC">
            <w:pPr>
              <w:spacing w:after="0" w:line="240" w:lineRule="auto"/>
              <w:jc w:val="center"/>
              <w:rPr>
                <w:rFonts w:ascii="Times New Roman" w:hAnsi="Times New Roman"/>
                <w:b/>
                <w:bCs/>
                <w:color w:val="000000"/>
                <w:sz w:val="20"/>
                <w:szCs w:val="20"/>
              </w:rPr>
            </w:pPr>
            <w:r w:rsidRPr="00E571CE">
              <w:rPr>
                <w:rFonts w:ascii="Times New Roman" w:hAnsi="Times New Roman"/>
                <w:b/>
                <w:bCs/>
                <w:color w:val="000000"/>
                <w:sz w:val="20"/>
                <w:szCs w:val="20"/>
              </w:rPr>
              <w:t>Post</w:t>
            </w:r>
            <w:r w:rsidRPr="005B12AE">
              <w:rPr>
                <w:rFonts w:ascii="Times New Roman" w:hAnsi="Times New Roman"/>
                <w:b/>
                <w:bCs/>
                <w:color w:val="000000"/>
                <w:sz w:val="20"/>
                <w:szCs w:val="20"/>
              </w:rPr>
              <w:t>-</w:t>
            </w:r>
            <w:r w:rsidRPr="00E571CE">
              <w:rPr>
                <w:rFonts w:ascii="Times New Roman" w:hAnsi="Times New Roman"/>
                <w:b/>
                <w:bCs/>
                <w:color w:val="000000"/>
                <w:sz w:val="20"/>
                <w:szCs w:val="20"/>
              </w:rPr>
              <w:t>Issue</w:t>
            </w:r>
          </w:p>
        </w:tc>
      </w:tr>
      <w:tr w:rsidR="005B5953" w:rsidRPr="00E571CE" w14:paraId="05C25175" w14:textId="77777777" w:rsidTr="00250DAC">
        <w:trPr>
          <w:trHeight w:val="20"/>
        </w:trPr>
        <w:tc>
          <w:tcPr>
            <w:tcW w:w="2548" w:type="pct"/>
            <w:shd w:val="clear" w:color="auto" w:fill="auto"/>
            <w:vAlign w:val="center"/>
            <w:hideMark/>
          </w:tcPr>
          <w:p w14:paraId="48D2BFC1" w14:textId="77777777" w:rsidR="005B5953" w:rsidRPr="00E571CE" w:rsidRDefault="005B5953" w:rsidP="00250DAC">
            <w:pPr>
              <w:spacing w:after="0" w:line="240" w:lineRule="auto"/>
              <w:jc w:val="both"/>
              <w:rPr>
                <w:rFonts w:ascii="Times New Roman" w:hAnsi="Times New Roman"/>
                <w:b/>
                <w:bCs/>
                <w:color w:val="000000"/>
                <w:sz w:val="20"/>
                <w:szCs w:val="20"/>
              </w:rPr>
            </w:pPr>
            <w:r w:rsidRPr="00E571CE">
              <w:rPr>
                <w:rFonts w:ascii="Times New Roman" w:hAnsi="Times New Roman"/>
                <w:b/>
                <w:bCs/>
                <w:color w:val="000000"/>
                <w:sz w:val="20"/>
                <w:szCs w:val="20"/>
              </w:rPr>
              <w:t>Borrowings</w:t>
            </w:r>
          </w:p>
        </w:tc>
        <w:tc>
          <w:tcPr>
            <w:tcW w:w="1283" w:type="pct"/>
            <w:shd w:val="clear" w:color="auto" w:fill="auto"/>
            <w:noWrap/>
            <w:vAlign w:val="center"/>
            <w:hideMark/>
          </w:tcPr>
          <w:p w14:paraId="58132DBF" w14:textId="77777777" w:rsidR="005B5953" w:rsidRPr="00E571CE" w:rsidRDefault="005B5953" w:rsidP="00250DAC">
            <w:pPr>
              <w:spacing w:after="0" w:line="240" w:lineRule="auto"/>
              <w:rPr>
                <w:rFonts w:ascii="Times New Roman" w:hAnsi="Times New Roman"/>
                <w:color w:val="000000"/>
                <w:sz w:val="20"/>
                <w:szCs w:val="20"/>
              </w:rPr>
            </w:pPr>
            <w:r w:rsidRPr="00E571CE">
              <w:rPr>
                <w:rFonts w:ascii="Times New Roman" w:hAnsi="Times New Roman"/>
                <w:color w:val="000000"/>
                <w:sz w:val="20"/>
                <w:szCs w:val="20"/>
              </w:rPr>
              <w:t> </w:t>
            </w:r>
          </w:p>
        </w:tc>
        <w:tc>
          <w:tcPr>
            <w:tcW w:w="1169" w:type="pct"/>
            <w:shd w:val="clear" w:color="auto" w:fill="auto"/>
            <w:noWrap/>
            <w:vAlign w:val="center"/>
            <w:hideMark/>
          </w:tcPr>
          <w:p w14:paraId="72CEE208" w14:textId="77777777" w:rsidR="005B5953" w:rsidRPr="00E571CE" w:rsidRDefault="005B5953" w:rsidP="00250DAC">
            <w:pPr>
              <w:spacing w:after="0" w:line="240" w:lineRule="auto"/>
              <w:rPr>
                <w:rFonts w:ascii="Times New Roman" w:hAnsi="Times New Roman"/>
                <w:color w:val="000000"/>
                <w:sz w:val="20"/>
                <w:szCs w:val="20"/>
              </w:rPr>
            </w:pPr>
            <w:r w:rsidRPr="00E571CE">
              <w:rPr>
                <w:rFonts w:ascii="Times New Roman" w:hAnsi="Times New Roman"/>
                <w:color w:val="000000"/>
                <w:sz w:val="20"/>
                <w:szCs w:val="20"/>
              </w:rPr>
              <w:t> </w:t>
            </w:r>
          </w:p>
        </w:tc>
      </w:tr>
      <w:tr w:rsidR="005B5953" w:rsidRPr="00E571CE" w14:paraId="5638A229" w14:textId="77777777" w:rsidTr="00250DAC">
        <w:trPr>
          <w:trHeight w:val="20"/>
        </w:trPr>
        <w:tc>
          <w:tcPr>
            <w:tcW w:w="2548" w:type="pct"/>
            <w:shd w:val="clear" w:color="auto" w:fill="auto"/>
            <w:noWrap/>
            <w:vAlign w:val="center"/>
            <w:hideMark/>
          </w:tcPr>
          <w:p w14:paraId="0ABBB56C" w14:textId="77777777" w:rsidR="005B5953" w:rsidRPr="00E571CE" w:rsidRDefault="005B5953" w:rsidP="00250DAC">
            <w:pPr>
              <w:spacing w:after="0" w:line="240" w:lineRule="auto"/>
              <w:rPr>
                <w:rFonts w:ascii="Times New Roman" w:hAnsi="Times New Roman"/>
                <w:color w:val="000000"/>
                <w:sz w:val="20"/>
                <w:szCs w:val="20"/>
              </w:rPr>
            </w:pPr>
            <w:r w:rsidRPr="00E571CE">
              <w:rPr>
                <w:rFonts w:ascii="Times New Roman" w:hAnsi="Times New Roman"/>
                <w:color w:val="000000"/>
                <w:sz w:val="20"/>
                <w:szCs w:val="20"/>
              </w:rPr>
              <w:t>Short term debt (A)</w:t>
            </w:r>
          </w:p>
        </w:tc>
        <w:tc>
          <w:tcPr>
            <w:tcW w:w="1283" w:type="pct"/>
            <w:shd w:val="clear" w:color="auto" w:fill="auto"/>
            <w:noWrap/>
            <w:vAlign w:val="center"/>
            <w:hideMark/>
          </w:tcPr>
          <w:p w14:paraId="5E2BA163" w14:textId="77777777" w:rsidR="005B5953" w:rsidRPr="00E571CE" w:rsidRDefault="005B5953" w:rsidP="00250DAC">
            <w:pPr>
              <w:spacing w:after="0" w:line="240" w:lineRule="auto"/>
              <w:jc w:val="center"/>
              <w:rPr>
                <w:rFonts w:ascii="Times New Roman" w:hAnsi="Times New Roman"/>
                <w:color w:val="000000"/>
                <w:sz w:val="20"/>
                <w:szCs w:val="20"/>
              </w:rPr>
            </w:pPr>
            <w:r w:rsidRPr="00E571CE">
              <w:rPr>
                <w:rFonts w:ascii="Times New Roman" w:hAnsi="Times New Roman"/>
                <w:color w:val="000000"/>
                <w:sz w:val="20"/>
                <w:szCs w:val="20"/>
              </w:rPr>
              <w:t>6</w:t>
            </w:r>
            <w:r w:rsidRPr="005B12AE">
              <w:rPr>
                <w:rFonts w:ascii="Times New Roman" w:hAnsi="Times New Roman"/>
                <w:color w:val="000000"/>
                <w:sz w:val="20"/>
                <w:szCs w:val="20"/>
              </w:rPr>
              <w:t>,</w:t>
            </w:r>
            <w:r w:rsidRPr="00E571CE">
              <w:rPr>
                <w:rFonts w:ascii="Times New Roman" w:hAnsi="Times New Roman"/>
                <w:color w:val="000000"/>
                <w:sz w:val="20"/>
                <w:szCs w:val="20"/>
              </w:rPr>
              <w:t>004.14</w:t>
            </w:r>
          </w:p>
        </w:tc>
        <w:tc>
          <w:tcPr>
            <w:tcW w:w="1169" w:type="pct"/>
            <w:shd w:val="clear" w:color="auto" w:fill="auto"/>
            <w:noWrap/>
            <w:vAlign w:val="center"/>
            <w:hideMark/>
          </w:tcPr>
          <w:p w14:paraId="4ADB32CC" w14:textId="0318A9AB" w:rsidR="005B5953" w:rsidRPr="00223E07" w:rsidRDefault="00223E07" w:rsidP="00250DAC">
            <w:pPr>
              <w:spacing w:after="0" w:line="240" w:lineRule="auto"/>
              <w:jc w:val="center"/>
              <w:rPr>
                <w:rFonts w:ascii="Times New Roman" w:hAnsi="Times New Roman"/>
                <w:color w:val="000000"/>
                <w:sz w:val="20"/>
                <w:szCs w:val="20"/>
              </w:rPr>
            </w:pPr>
            <w:r w:rsidRPr="00223E07">
              <w:rPr>
                <w:rFonts w:ascii="Times New Roman" w:hAnsi="Times New Roman"/>
                <w:color w:val="000000"/>
                <w:sz w:val="20"/>
                <w:szCs w:val="20"/>
              </w:rPr>
              <w:t>*</w:t>
            </w:r>
          </w:p>
        </w:tc>
      </w:tr>
      <w:tr w:rsidR="005B5953" w:rsidRPr="00E571CE" w14:paraId="0124A03C" w14:textId="77777777" w:rsidTr="00250DAC">
        <w:trPr>
          <w:trHeight w:val="20"/>
        </w:trPr>
        <w:tc>
          <w:tcPr>
            <w:tcW w:w="2548" w:type="pct"/>
            <w:shd w:val="clear" w:color="auto" w:fill="auto"/>
            <w:vAlign w:val="center"/>
            <w:hideMark/>
          </w:tcPr>
          <w:p w14:paraId="55B1E7DE" w14:textId="77777777" w:rsidR="005B5953" w:rsidRPr="00E571CE" w:rsidRDefault="005B5953" w:rsidP="00250DAC">
            <w:pPr>
              <w:spacing w:after="0" w:line="240" w:lineRule="auto"/>
              <w:jc w:val="both"/>
              <w:rPr>
                <w:rFonts w:ascii="Times New Roman" w:hAnsi="Times New Roman"/>
                <w:color w:val="000000"/>
                <w:sz w:val="20"/>
                <w:szCs w:val="20"/>
              </w:rPr>
            </w:pPr>
            <w:r w:rsidRPr="00E571CE">
              <w:rPr>
                <w:rFonts w:ascii="Times New Roman" w:hAnsi="Times New Roman"/>
                <w:color w:val="000000"/>
                <w:sz w:val="20"/>
                <w:szCs w:val="20"/>
              </w:rPr>
              <w:t>Long Term Debt (B)</w:t>
            </w:r>
          </w:p>
        </w:tc>
        <w:tc>
          <w:tcPr>
            <w:tcW w:w="1283" w:type="pct"/>
            <w:shd w:val="clear" w:color="auto" w:fill="auto"/>
            <w:noWrap/>
            <w:vAlign w:val="center"/>
            <w:hideMark/>
          </w:tcPr>
          <w:p w14:paraId="25191BD9" w14:textId="77777777" w:rsidR="005B5953" w:rsidRPr="00E571CE" w:rsidRDefault="005B5953" w:rsidP="00250DAC">
            <w:pPr>
              <w:spacing w:after="0" w:line="240" w:lineRule="auto"/>
              <w:jc w:val="center"/>
              <w:rPr>
                <w:rFonts w:ascii="Times New Roman" w:hAnsi="Times New Roman"/>
                <w:color w:val="000000"/>
                <w:sz w:val="20"/>
                <w:szCs w:val="20"/>
              </w:rPr>
            </w:pPr>
            <w:r w:rsidRPr="00E571CE">
              <w:rPr>
                <w:rFonts w:ascii="Times New Roman" w:hAnsi="Times New Roman"/>
                <w:color w:val="000000"/>
                <w:sz w:val="20"/>
                <w:szCs w:val="20"/>
              </w:rPr>
              <w:t>702.81</w:t>
            </w:r>
          </w:p>
        </w:tc>
        <w:tc>
          <w:tcPr>
            <w:tcW w:w="1169" w:type="pct"/>
            <w:shd w:val="clear" w:color="auto" w:fill="auto"/>
            <w:noWrap/>
            <w:vAlign w:val="center"/>
            <w:hideMark/>
          </w:tcPr>
          <w:p w14:paraId="4F4E1266" w14:textId="6B777B3F" w:rsidR="005B5953" w:rsidRPr="00223E07" w:rsidRDefault="00223E07" w:rsidP="00250DAC">
            <w:pPr>
              <w:spacing w:after="0" w:line="240" w:lineRule="auto"/>
              <w:jc w:val="center"/>
              <w:rPr>
                <w:rFonts w:ascii="Times New Roman" w:hAnsi="Times New Roman"/>
                <w:color w:val="000000"/>
                <w:sz w:val="20"/>
                <w:szCs w:val="20"/>
              </w:rPr>
            </w:pPr>
            <w:r w:rsidRPr="00223E07">
              <w:rPr>
                <w:rFonts w:ascii="Times New Roman" w:hAnsi="Times New Roman"/>
                <w:color w:val="000000"/>
                <w:sz w:val="20"/>
                <w:szCs w:val="20"/>
              </w:rPr>
              <w:t>*</w:t>
            </w:r>
          </w:p>
        </w:tc>
      </w:tr>
      <w:tr w:rsidR="005B5953" w:rsidRPr="00E571CE" w14:paraId="79821773" w14:textId="77777777" w:rsidTr="00250DAC">
        <w:trPr>
          <w:trHeight w:val="20"/>
        </w:trPr>
        <w:tc>
          <w:tcPr>
            <w:tcW w:w="2548" w:type="pct"/>
            <w:shd w:val="clear" w:color="auto" w:fill="auto"/>
            <w:vAlign w:val="center"/>
            <w:hideMark/>
          </w:tcPr>
          <w:p w14:paraId="7523D4B7" w14:textId="77777777" w:rsidR="005B5953" w:rsidRPr="00E571CE" w:rsidRDefault="005B5953" w:rsidP="00250DAC">
            <w:pPr>
              <w:spacing w:after="0" w:line="240" w:lineRule="auto"/>
              <w:jc w:val="both"/>
              <w:rPr>
                <w:rFonts w:ascii="Times New Roman" w:hAnsi="Times New Roman"/>
                <w:b/>
                <w:bCs/>
                <w:color w:val="000000"/>
                <w:sz w:val="20"/>
                <w:szCs w:val="20"/>
              </w:rPr>
            </w:pPr>
            <w:r w:rsidRPr="00E571CE">
              <w:rPr>
                <w:rFonts w:ascii="Times New Roman" w:hAnsi="Times New Roman"/>
                <w:b/>
                <w:bCs/>
                <w:color w:val="000000"/>
                <w:sz w:val="20"/>
                <w:szCs w:val="20"/>
              </w:rPr>
              <w:t>Total debts (C)</w:t>
            </w:r>
          </w:p>
        </w:tc>
        <w:tc>
          <w:tcPr>
            <w:tcW w:w="1283" w:type="pct"/>
            <w:shd w:val="clear" w:color="auto" w:fill="auto"/>
            <w:noWrap/>
            <w:vAlign w:val="center"/>
            <w:hideMark/>
          </w:tcPr>
          <w:p w14:paraId="7AA47627" w14:textId="77777777" w:rsidR="005B5953" w:rsidRPr="00E571CE" w:rsidRDefault="005B5953" w:rsidP="00250DAC">
            <w:pPr>
              <w:spacing w:after="0" w:line="240" w:lineRule="auto"/>
              <w:jc w:val="center"/>
              <w:rPr>
                <w:rFonts w:ascii="Times New Roman" w:hAnsi="Times New Roman"/>
                <w:b/>
                <w:bCs/>
                <w:color w:val="000000"/>
                <w:sz w:val="20"/>
                <w:szCs w:val="20"/>
              </w:rPr>
            </w:pPr>
            <w:r w:rsidRPr="00E571CE">
              <w:rPr>
                <w:rFonts w:ascii="Times New Roman" w:hAnsi="Times New Roman"/>
                <w:b/>
                <w:bCs/>
                <w:color w:val="000000"/>
                <w:sz w:val="20"/>
                <w:szCs w:val="20"/>
              </w:rPr>
              <w:t>6</w:t>
            </w:r>
            <w:r w:rsidRPr="005B12AE">
              <w:rPr>
                <w:rFonts w:ascii="Times New Roman" w:hAnsi="Times New Roman"/>
                <w:b/>
                <w:bCs/>
                <w:color w:val="000000"/>
                <w:sz w:val="20"/>
                <w:szCs w:val="20"/>
              </w:rPr>
              <w:t>,</w:t>
            </w:r>
            <w:r w:rsidRPr="00E571CE">
              <w:rPr>
                <w:rFonts w:ascii="Times New Roman" w:hAnsi="Times New Roman"/>
                <w:b/>
                <w:bCs/>
                <w:color w:val="000000"/>
                <w:sz w:val="20"/>
                <w:szCs w:val="20"/>
              </w:rPr>
              <w:t>706.95</w:t>
            </w:r>
          </w:p>
        </w:tc>
        <w:tc>
          <w:tcPr>
            <w:tcW w:w="1169" w:type="pct"/>
            <w:shd w:val="clear" w:color="auto" w:fill="auto"/>
            <w:noWrap/>
            <w:vAlign w:val="center"/>
            <w:hideMark/>
          </w:tcPr>
          <w:p w14:paraId="12559D59" w14:textId="1E4EF590" w:rsidR="005B5953" w:rsidRPr="00223E07" w:rsidRDefault="00223E07" w:rsidP="00250DAC">
            <w:pPr>
              <w:spacing w:after="0" w:line="240" w:lineRule="auto"/>
              <w:jc w:val="center"/>
              <w:rPr>
                <w:rFonts w:ascii="Times New Roman" w:hAnsi="Times New Roman"/>
                <w:b/>
                <w:bCs/>
                <w:color w:val="000000"/>
                <w:sz w:val="20"/>
                <w:szCs w:val="20"/>
              </w:rPr>
            </w:pPr>
            <w:r w:rsidRPr="00223E07">
              <w:rPr>
                <w:rFonts w:ascii="Times New Roman" w:hAnsi="Times New Roman"/>
                <w:b/>
                <w:bCs/>
                <w:color w:val="000000"/>
                <w:sz w:val="20"/>
                <w:szCs w:val="20"/>
              </w:rPr>
              <w:t>*</w:t>
            </w:r>
          </w:p>
        </w:tc>
      </w:tr>
      <w:tr w:rsidR="005B5953" w:rsidRPr="00E571CE" w14:paraId="6D6B1B92" w14:textId="77777777" w:rsidTr="00250DAC">
        <w:trPr>
          <w:trHeight w:val="20"/>
        </w:trPr>
        <w:tc>
          <w:tcPr>
            <w:tcW w:w="2548" w:type="pct"/>
            <w:shd w:val="clear" w:color="auto" w:fill="auto"/>
            <w:noWrap/>
            <w:vAlign w:val="center"/>
            <w:hideMark/>
          </w:tcPr>
          <w:p w14:paraId="0ECA98DB" w14:textId="77777777" w:rsidR="005B5953" w:rsidRPr="00E571CE" w:rsidRDefault="005B5953" w:rsidP="00250DAC">
            <w:pPr>
              <w:spacing w:after="0" w:line="240" w:lineRule="auto"/>
              <w:rPr>
                <w:rFonts w:ascii="Times New Roman" w:hAnsi="Times New Roman"/>
                <w:b/>
                <w:bCs/>
                <w:color w:val="000000"/>
                <w:sz w:val="20"/>
                <w:szCs w:val="20"/>
              </w:rPr>
            </w:pPr>
            <w:r w:rsidRPr="00E571CE">
              <w:rPr>
                <w:rFonts w:ascii="Times New Roman" w:hAnsi="Times New Roman"/>
                <w:b/>
                <w:bCs/>
                <w:color w:val="000000"/>
                <w:sz w:val="20"/>
                <w:szCs w:val="20"/>
              </w:rPr>
              <w:t>Shareholders’ funds</w:t>
            </w:r>
          </w:p>
        </w:tc>
        <w:tc>
          <w:tcPr>
            <w:tcW w:w="1283" w:type="pct"/>
            <w:shd w:val="clear" w:color="auto" w:fill="auto"/>
            <w:noWrap/>
            <w:vAlign w:val="bottom"/>
            <w:hideMark/>
          </w:tcPr>
          <w:p w14:paraId="0D56C9A0" w14:textId="77777777" w:rsidR="005B5953" w:rsidRPr="00E571CE" w:rsidRDefault="005B5953" w:rsidP="00250DAC">
            <w:pPr>
              <w:spacing w:after="0" w:line="240" w:lineRule="auto"/>
              <w:rPr>
                <w:rFonts w:ascii="Times New Roman" w:hAnsi="Times New Roman"/>
                <w:color w:val="000000"/>
                <w:sz w:val="20"/>
                <w:szCs w:val="20"/>
              </w:rPr>
            </w:pPr>
            <w:r w:rsidRPr="00E571CE">
              <w:rPr>
                <w:rFonts w:ascii="Times New Roman" w:hAnsi="Times New Roman"/>
                <w:color w:val="000000"/>
                <w:sz w:val="20"/>
                <w:szCs w:val="20"/>
              </w:rPr>
              <w:t> </w:t>
            </w:r>
          </w:p>
        </w:tc>
        <w:tc>
          <w:tcPr>
            <w:tcW w:w="1169" w:type="pct"/>
            <w:shd w:val="clear" w:color="auto" w:fill="auto"/>
            <w:noWrap/>
            <w:vAlign w:val="bottom"/>
            <w:hideMark/>
          </w:tcPr>
          <w:p w14:paraId="5581BE37" w14:textId="77777777" w:rsidR="005B5953" w:rsidRPr="00223E07" w:rsidRDefault="005B5953" w:rsidP="00250DAC">
            <w:pPr>
              <w:spacing w:after="0" w:line="240" w:lineRule="auto"/>
              <w:rPr>
                <w:rFonts w:ascii="Times New Roman" w:hAnsi="Times New Roman"/>
                <w:color w:val="000000"/>
                <w:sz w:val="20"/>
                <w:szCs w:val="20"/>
              </w:rPr>
            </w:pPr>
            <w:r w:rsidRPr="00223E07">
              <w:rPr>
                <w:rFonts w:ascii="Times New Roman" w:hAnsi="Times New Roman"/>
                <w:color w:val="000000"/>
                <w:sz w:val="20"/>
                <w:szCs w:val="20"/>
              </w:rPr>
              <w:t> </w:t>
            </w:r>
          </w:p>
        </w:tc>
      </w:tr>
      <w:tr w:rsidR="005B5953" w:rsidRPr="00E571CE" w14:paraId="1A2DE813" w14:textId="77777777" w:rsidTr="00250DAC">
        <w:trPr>
          <w:trHeight w:val="20"/>
        </w:trPr>
        <w:tc>
          <w:tcPr>
            <w:tcW w:w="2548" w:type="pct"/>
            <w:shd w:val="clear" w:color="auto" w:fill="auto"/>
            <w:noWrap/>
            <w:vAlign w:val="center"/>
            <w:hideMark/>
          </w:tcPr>
          <w:p w14:paraId="410D96D7" w14:textId="77777777" w:rsidR="005B5953" w:rsidRPr="00E571CE" w:rsidRDefault="005B5953" w:rsidP="00250DAC">
            <w:pPr>
              <w:spacing w:after="0" w:line="240" w:lineRule="auto"/>
              <w:rPr>
                <w:rFonts w:ascii="Times New Roman" w:hAnsi="Times New Roman"/>
                <w:color w:val="000000"/>
                <w:sz w:val="20"/>
                <w:szCs w:val="20"/>
              </w:rPr>
            </w:pPr>
            <w:r w:rsidRPr="00E571CE">
              <w:rPr>
                <w:rFonts w:ascii="Times New Roman" w:hAnsi="Times New Roman"/>
                <w:color w:val="000000"/>
                <w:sz w:val="20"/>
                <w:szCs w:val="20"/>
              </w:rPr>
              <w:t>Equity share capital</w:t>
            </w:r>
          </w:p>
        </w:tc>
        <w:tc>
          <w:tcPr>
            <w:tcW w:w="1283" w:type="pct"/>
            <w:shd w:val="clear" w:color="auto" w:fill="auto"/>
            <w:noWrap/>
            <w:vAlign w:val="center"/>
            <w:hideMark/>
          </w:tcPr>
          <w:p w14:paraId="41609809" w14:textId="77777777" w:rsidR="005B5953" w:rsidRPr="00E571CE" w:rsidRDefault="005B5953" w:rsidP="00250DAC">
            <w:pPr>
              <w:spacing w:after="0" w:line="240" w:lineRule="auto"/>
              <w:jc w:val="center"/>
              <w:rPr>
                <w:rFonts w:ascii="Times New Roman" w:hAnsi="Times New Roman"/>
                <w:color w:val="000000"/>
                <w:sz w:val="20"/>
                <w:szCs w:val="20"/>
              </w:rPr>
            </w:pPr>
            <w:r w:rsidRPr="00E571CE">
              <w:rPr>
                <w:rFonts w:ascii="Times New Roman" w:hAnsi="Times New Roman"/>
                <w:color w:val="000000"/>
                <w:sz w:val="20"/>
                <w:szCs w:val="20"/>
              </w:rPr>
              <w:t>1,380.55</w:t>
            </w:r>
          </w:p>
        </w:tc>
        <w:tc>
          <w:tcPr>
            <w:tcW w:w="1169" w:type="pct"/>
            <w:shd w:val="clear" w:color="auto" w:fill="auto"/>
            <w:noWrap/>
            <w:vAlign w:val="center"/>
            <w:hideMark/>
          </w:tcPr>
          <w:p w14:paraId="31B57A9F" w14:textId="77777777" w:rsidR="005B5953" w:rsidRPr="00E571CE" w:rsidRDefault="005B5953" w:rsidP="00250DAC">
            <w:pPr>
              <w:spacing w:after="0" w:line="240" w:lineRule="auto"/>
              <w:jc w:val="center"/>
              <w:rPr>
                <w:rFonts w:ascii="Times New Roman" w:hAnsi="Times New Roman"/>
                <w:b/>
                <w:bCs/>
                <w:color w:val="000000"/>
                <w:sz w:val="20"/>
                <w:szCs w:val="20"/>
              </w:rPr>
            </w:pPr>
            <w:r w:rsidRPr="00E571CE">
              <w:rPr>
                <w:rFonts w:ascii="Times New Roman" w:hAnsi="Times New Roman"/>
                <w:b/>
                <w:bCs/>
                <w:color w:val="000000"/>
                <w:sz w:val="20"/>
                <w:szCs w:val="20"/>
              </w:rPr>
              <w:t>*</w:t>
            </w:r>
          </w:p>
        </w:tc>
      </w:tr>
      <w:tr w:rsidR="005B5953" w:rsidRPr="00E571CE" w14:paraId="10B3A76F" w14:textId="77777777" w:rsidTr="00250DAC">
        <w:trPr>
          <w:trHeight w:val="20"/>
        </w:trPr>
        <w:tc>
          <w:tcPr>
            <w:tcW w:w="2548" w:type="pct"/>
            <w:shd w:val="clear" w:color="auto" w:fill="auto"/>
            <w:noWrap/>
            <w:vAlign w:val="center"/>
            <w:hideMark/>
          </w:tcPr>
          <w:p w14:paraId="6E2CF139" w14:textId="77777777" w:rsidR="005B5953" w:rsidRPr="00E571CE" w:rsidRDefault="005B5953" w:rsidP="00250DAC">
            <w:pPr>
              <w:spacing w:after="0" w:line="240" w:lineRule="auto"/>
              <w:rPr>
                <w:rFonts w:ascii="Times New Roman" w:hAnsi="Times New Roman"/>
                <w:color w:val="000000"/>
                <w:sz w:val="20"/>
                <w:szCs w:val="20"/>
              </w:rPr>
            </w:pPr>
            <w:r w:rsidRPr="00E571CE">
              <w:rPr>
                <w:rFonts w:ascii="Times New Roman" w:hAnsi="Times New Roman"/>
                <w:color w:val="000000"/>
                <w:sz w:val="20"/>
                <w:szCs w:val="20"/>
              </w:rPr>
              <w:t xml:space="preserve">Reserve and surplus - as restated </w:t>
            </w:r>
          </w:p>
        </w:tc>
        <w:tc>
          <w:tcPr>
            <w:tcW w:w="1283" w:type="pct"/>
            <w:shd w:val="clear" w:color="auto" w:fill="auto"/>
            <w:noWrap/>
            <w:vAlign w:val="center"/>
            <w:hideMark/>
          </w:tcPr>
          <w:p w14:paraId="4D2F0D1F" w14:textId="77777777" w:rsidR="005B5953" w:rsidRPr="00E571CE" w:rsidRDefault="005B5953" w:rsidP="00250DAC">
            <w:pPr>
              <w:spacing w:after="0" w:line="240" w:lineRule="auto"/>
              <w:jc w:val="center"/>
              <w:rPr>
                <w:rFonts w:ascii="Times New Roman" w:hAnsi="Times New Roman"/>
                <w:color w:val="000000"/>
                <w:sz w:val="20"/>
                <w:szCs w:val="20"/>
              </w:rPr>
            </w:pPr>
            <w:r w:rsidRPr="00E571CE">
              <w:rPr>
                <w:rFonts w:ascii="Times New Roman" w:hAnsi="Times New Roman"/>
                <w:color w:val="000000"/>
                <w:sz w:val="20"/>
                <w:szCs w:val="20"/>
              </w:rPr>
              <w:t>3,261.57</w:t>
            </w:r>
          </w:p>
        </w:tc>
        <w:tc>
          <w:tcPr>
            <w:tcW w:w="1169" w:type="pct"/>
            <w:shd w:val="clear" w:color="auto" w:fill="auto"/>
            <w:noWrap/>
            <w:vAlign w:val="center"/>
            <w:hideMark/>
          </w:tcPr>
          <w:p w14:paraId="21172A04" w14:textId="77777777" w:rsidR="005B5953" w:rsidRPr="00E571CE" w:rsidRDefault="005B5953" w:rsidP="00250DAC">
            <w:pPr>
              <w:spacing w:after="0" w:line="240" w:lineRule="auto"/>
              <w:jc w:val="center"/>
              <w:rPr>
                <w:rFonts w:ascii="Times New Roman" w:hAnsi="Times New Roman"/>
                <w:b/>
                <w:bCs/>
                <w:color w:val="000000"/>
                <w:sz w:val="20"/>
                <w:szCs w:val="20"/>
              </w:rPr>
            </w:pPr>
            <w:r w:rsidRPr="00E571CE">
              <w:rPr>
                <w:rFonts w:ascii="Times New Roman" w:hAnsi="Times New Roman"/>
                <w:b/>
                <w:bCs/>
                <w:color w:val="000000"/>
                <w:sz w:val="20"/>
                <w:szCs w:val="20"/>
              </w:rPr>
              <w:t>*</w:t>
            </w:r>
          </w:p>
        </w:tc>
      </w:tr>
      <w:tr w:rsidR="005B5953" w:rsidRPr="00E571CE" w14:paraId="1DA0DAAB" w14:textId="77777777" w:rsidTr="00250DAC">
        <w:trPr>
          <w:trHeight w:val="20"/>
        </w:trPr>
        <w:tc>
          <w:tcPr>
            <w:tcW w:w="2548" w:type="pct"/>
            <w:shd w:val="clear" w:color="auto" w:fill="auto"/>
            <w:noWrap/>
            <w:vAlign w:val="center"/>
            <w:hideMark/>
          </w:tcPr>
          <w:p w14:paraId="572B07D8" w14:textId="77777777" w:rsidR="005B5953" w:rsidRPr="00E571CE" w:rsidRDefault="005B5953" w:rsidP="00250DAC">
            <w:pPr>
              <w:spacing w:after="0" w:line="240" w:lineRule="auto"/>
              <w:rPr>
                <w:rFonts w:ascii="Times New Roman" w:hAnsi="Times New Roman"/>
                <w:color w:val="000000"/>
                <w:sz w:val="20"/>
                <w:szCs w:val="20"/>
              </w:rPr>
            </w:pPr>
            <w:r w:rsidRPr="00E571CE">
              <w:rPr>
                <w:rFonts w:ascii="Times New Roman" w:hAnsi="Times New Roman"/>
                <w:color w:val="000000"/>
                <w:sz w:val="20"/>
                <w:szCs w:val="20"/>
              </w:rPr>
              <w:t> </w:t>
            </w:r>
          </w:p>
        </w:tc>
        <w:tc>
          <w:tcPr>
            <w:tcW w:w="1283" w:type="pct"/>
            <w:shd w:val="clear" w:color="auto" w:fill="auto"/>
            <w:noWrap/>
            <w:vAlign w:val="bottom"/>
            <w:hideMark/>
          </w:tcPr>
          <w:p w14:paraId="28D8BDFD" w14:textId="77777777" w:rsidR="005B5953" w:rsidRPr="00E571CE" w:rsidRDefault="005B5953" w:rsidP="00250DAC">
            <w:pPr>
              <w:spacing w:after="0" w:line="240" w:lineRule="auto"/>
              <w:rPr>
                <w:rFonts w:ascii="Times New Roman" w:hAnsi="Times New Roman"/>
                <w:color w:val="000000"/>
                <w:sz w:val="20"/>
                <w:szCs w:val="20"/>
              </w:rPr>
            </w:pPr>
            <w:r w:rsidRPr="00E571CE">
              <w:rPr>
                <w:rFonts w:ascii="Times New Roman" w:hAnsi="Times New Roman"/>
                <w:color w:val="000000"/>
                <w:sz w:val="20"/>
                <w:szCs w:val="20"/>
              </w:rPr>
              <w:t> </w:t>
            </w:r>
          </w:p>
        </w:tc>
        <w:tc>
          <w:tcPr>
            <w:tcW w:w="1169" w:type="pct"/>
            <w:shd w:val="clear" w:color="auto" w:fill="auto"/>
            <w:noWrap/>
            <w:vAlign w:val="bottom"/>
            <w:hideMark/>
          </w:tcPr>
          <w:p w14:paraId="1DFD688E" w14:textId="77777777" w:rsidR="005B5953" w:rsidRPr="00E571CE" w:rsidRDefault="005B5953" w:rsidP="00250DAC">
            <w:pPr>
              <w:spacing w:after="0" w:line="240" w:lineRule="auto"/>
              <w:rPr>
                <w:rFonts w:ascii="Times New Roman" w:hAnsi="Times New Roman"/>
                <w:color w:val="000000"/>
                <w:sz w:val="20"/>
                <w:szCs w:val="20"/>
              </w:rPr>
            </w:pPr>
            <w:r w:rsidRPr="00E571CE">
              <w:rPr>
                <w:rFonts w:ascii="Times New Roman" w:hAnsi="Times New Roman"/>
                <w:color w:val="000000"/>
                <w:sz w:val="20"/>
                <w:szCs w:val="20"/>
              </w:rPr>
              <w:t> </w:t>
            </w:r>
          </w:p>
        </w:tc>
      </w:tr>
      <w:tr w:rsidR="005B5953" w:rsidRPr="00E571CE" w14:paraId="10F7FFFF" w14:textId="77777777" w:rsidTr="00250DAC">
        <w:trPr>
          <w:trHeight w:val="20"/>
        </w:trPr>
        <w:tc>
          <w:tcPr>
            <w:tcW w:w="2548" w:type="pct"/>
            <w:shd w:val="clear" w:color="auto" w:fill="auto"/>
            <w:vAlign w:val="center"/>
            <w:hideMark/>
          </w:tcPr>
          <w:p w14:paraId="3EF185BF" w14:textId="77777777" w:rsidR="005B5953" w:rsidRPr="00E571CE" w:rsidRDefault="005B5953" w:rsidP="00250DAC">
            <w:pPr>
              <w:spacing w:after="0" w:line="240" w:lineRule="auto"/>
              <w:jc w:val="both"/>
              <w:rPr>
                <w:rFonts w:ascii="Times New Roman" w:hAnsi="Times New Roman"/>
                <w:b/>
                <w:bCs/>
                <w:color w:val="000000"/>
                <w:sz w:val="20"/>
                <w:szCs w:val="20"/>
              </w:rPr>
            </w:pPr>
            <w:r w:rsidRPr="00E571CE">
              <w:rPr>
                <w:rFonts w:ascii="Times New Roman" w:hAnsi="Times New Roman"/>
                <w:b/>
                <w:bCs/>
                <w:color w:val="000000"/>
                <w:sz w:val="20"/>
                <w:szCs w:val="20"/>
              </w:rPr>
              <w:t>Total shareholders’ funds</w:t>
            </w:r>
          </w:p>
        </w:tc>
        <w:tc>
          <w:tcPr>
            <w:tcW w:w="1283" w:type="pct"/>
            <w:shd w:val="clear" w:color="auto" w:fill="auto"/>
            <w:noWrap/>
            <w:vAlign w:val="center"/>
            <w:hideMark/>
          </w:tcPr>
          <w:p w14:paraId="52A4CFFF" w14:textId="77777777" w:rsidR="005B5953" w:rsidRPr="00E571CE" w:rsidRDefault="005B5953" w:rsidP="00250DAC">
            <w:pPr>
              <w:spacing w:after="0" w:line="240" w:lineRule="auto"/>
              <w:jc w:val="center"/>
              <w:rPr>
                <w:rFonts w:ascii="Times New Roman" w:hAnsi="Times New Roman"/>
                <w:color w:val="000000"/>
                <w:sz w:val="20"/>
                <w:szCs w:val="20"/>
              </w:rPr>
            </w:pPr>
            <w:r w:rsidRPr="00E571CE">
              <w:rPr>
                <w:rFonts w:ascii="Times New Roman" w:hAnsi="Times New Roman"/>
                <w:color w:val="000000"/>
                <w:sz w:val="20"/>
                <w:szCs w:val="20"/>
              </w:rPr>
              <w:t>4,642.12</w:t>
            </w:r>
          </w:p>
        </w:tc>
        <w:tc>
          <w:tcPr>
            <w:tcW w:w="1169" w:type="pct"/>
            <w:shd w:val="clear" w:color="auto" w:fill="auto"/>
            <w:noWrap/>
            <w:vAlign w:val="center"/>
            <w:hideMark/>
          </w:tcPr>
          <w:p w14:paraId="17CC3AC9" w14:textId="77777777" w:rsidR="005B5953" w:rsidRPr="00E571CE" w:rsidRDefault="005B5953" w:rsidP="00250DAC">
            <w:pPr>
              <w:spacing w:after="0" w:line="240" w:lineRule="auto"/>
              <w:jc w:val="center"/>
              <w:rPr>
                <w:rFonts w:ascii="Times New Roman" w:hAnsi="Times New Roman"/>
                <w:color w:val="000000"/>
                <w:sz w:val="20"/>
                <w:szCs w:val="20"/>
              </w:rPr>
            </w:pPr>
            <w:r w:rsidRPr="00E571CE">
              <w:rPr>
                <w:rFonts w:ascii="Times New Roman" w:hAnsi="Times New Roman"/>
                <w:color w:val="000000"/>
                <w:sz w:val="20"/>
                <w:szCs w:val="20"/>
              </w:rPr>
              <w:t>*</w:t>
            </w:r>
          </w:p>
        </w:tc>
      </w:tr>
      <w:tr w:rsidR="005B5953" w:rsidRPr="00E571CE" w14:paraId="6F99B3CD" w14:textId="77777777" w:rsidTr="00250DAC">
        <w:trPr>
          <w:trHeight w:val="20"/>
        </w:trPr>
        <w:tc>
          <w:tcPr>
            <w:tcW w:w="2548" w:type="pct"/>
            <w:shd w:val="clear" w:color="auto" w:fill="auto"/>
            <w:noWrap/>
            <w:vAlign w:val="center"/>
            <w:hideMark/>
          </w:tcPr>
          <w:p w14:paraId="15249E59" w14:textId="77777777" w:rsidR="005B5953" w:rsidRPr="00E571CE" w:rsidRDefault="005B5953" w:rsidP="00250DAC">
            <w:pPr>
              <w:spacing w:after="0" w:line="240" w:lineRule="auto"/>
              <w:rPr>
                <w:rFonts w:ascii="Times New Roman" w:hAnsi="Times New Roman"/>
                <w:color w:val="000000"/>
                <w:sz w:val="20"/>
                <w:szCs w:val="20"/>
              </w:rPr>
            </w:pPr>
            <w:r w:rsidRPr="00E571CE">
              <w:rPr>
                <w:rFonts w:ascii="Times New Roman" w:hAnsi="Times New Roman"/>
                <w:color w:val="000000"/>
                <w:sz w:val="20"/>
                <w:szCs w:val="20"/>
              </w:rPr>
              <w:t> </w:t>
            </w:r>
          </w:p>
        </w:tc>
        <w:tc>
          <w:tcPr>
            <w:tcW w:w="1283" w:type="pct"/>
            <w:shd w:val="clear" w:color="auto" w:fill="auto"/>
            <w:noWrap/>
            <w:vAlign w:val="bottom"/>
            <w:hideMark/>
          </w:tcPr>
          <w:p w14:paraId="38DB8576" w14:textId="77777777" w:rsidR="005B5953" w:rsidRPr="00E571CE" w:rsidRDefault="005B5953" w:rsidP="00250DAC">
            <w:pPr>
              <w:spacing w:after="0" w:line="240" w:lineRule="auto"/>
              <w:rPr>
                <w:rFonts w:ascii="Times New Roman" w:hAnsi="Times New Roman"/>
                <w:color w:val="000000"/>
                <w:sz w:val="20"/>
                <w:szCs w:val="20"/>
              </w:rPr>
            </w:pPr>
            <w:r w:rsidRPr="00E571CE">
              <w:rPr>
                <w:rFonts w:ascii="Times New Roman" w:hAnsi="Times New Roman"/>
                <w:color w:val="000000"/>
                <w:sz w:val="20"/>
                <w:szCs w:val="20"/>
              </w:rPr>
              <w:t> </w:t>
            </w:r>
          </w:p>
        </w:tc>
        <w:tc>
          <w:tcPr>
            <w:tcW w:w="1169" w:type="pct"/>
            <w:shd w:val="clear" w:color="auto" w:fill="auto"/>
            <w:noWrap/>
            <w:vAlign w:val="bottom"/>
            <w:hideMark/>
          </w:tcPr>
          <w:p w14:paraId="589BE47F" w14:textId="77777777" w:rsidR="005B5953" w:rsidRPr="00E571CE" w:rsidRDefault="005B5953" w:rsidP="00250DAC">
            <w:pPr>
              <w:spacing w:after="0" w:line="240" w:lineRule="auto"/>
              <w:rPr>
                <w:rFonts w:ascii="Times New Roman" w:hAnsi="Times New Roman"/>
                <w:color w:val="000000"/>
                <w:sz w:val="20"/>
                <w:szCs w:val="20"/>
              </w:rPr>
            </w:pPr>
            <w:r w:rsidRPr="00E571CE">
              <w:rPr>
                <w:rFonts w:ascii="Times New Roman" w:hAnsi="Times New Roman"/>
                <w:color w:val="000000"/>
                <w:sz w:val="20"/>
                <w:szCs w:val="20"/>
              </w:rPr>
              <w:t> </w:t>
            </w:r>
          </w:p>
        </w:tc>
      </w:tr>
      <w:tr w:rsidR="005B5953" w:rsidRPr="00E571CE" w14:paraId="6F5A59DB" w14:textId="77777777" w:rsidTr="00250DAC">
        <w:trPr>
          <w:trHeight w:val="20"/>
        </w:trPr>
        <w:tc>
          <w:tcPr>
            <w:tcW w:w="2548" w:type="pct"/>
            <w:shd w:val="clear" w:color="auto" w:fill="auto"/>
            <w:vAlign w:val="center"/>
            <w:hideMark/>
          </w:tcPr>
          <w:p w14:paraId="7693AD3D" w14:textId="77777777" w:rsidR="005B5953" w:rsidRPr="00E571CE" w:rsidRDefault="005B5953" w:rsidP="00250DAC">
            <w:pPr>
              <w:spacing w:after="0" w:line="240" w:lineRule="auto"/>
              <w:jc w:val="both"/>
              <w:rPr>
                <w:rFonts w:ascii="Times New Roman" w:hAnsi="Times New Roman"/>
                <w:b/>
                <w:bCs/>
                <w:color w:val="000000"/>
                <w:sz w:val="20"/>
                <w:szCs w:val="20"/>
              </w:rPr>
            </w:pPr>
            <w:r w:rsidRPr="00E571CE">
              <w:rPr>
                <w:rFonts w:ascii="Times New Roman" w:hAnsi="Times New Roman"/>
                <w:b/>
                <w:bCs/>
                <w:color w:val="000000"/>
                <w:sz w:val="20"/>
                <w:szCs w:val="20"/>
              </w:rPr>
              <w:lastRenderedPageBreak/>
              <w:t xml:space="preserve">Long term debt/ shareholders funds (in </w:t>
            </w:r>
            <w:r w:rsidRPr="005B12AE">
              <w:rPr>
                <w:rFonts w:ascii="Times New Roman" w:hAnsi="Times New Roman"/>
                <w:b/>
                <w:bCs/>
                <w:color w:val="000000"/>
                <w:sz w:val="20"/>
                <w:szCs w:val="20"/>
              </w:rPr>
              <w:t>₹</w:t>
            </w:r>
            <w:r w:rsidRPr="00E571CE">
              <w:rPr>
                <w:rFonts w:ascii="Times New Roman" w:hAnsi="Times New Roman"/>
                <w:b/>
                <w:bCs/>
                <w:color w:val="000000"/>
                <w:sz w:val="20"/>
                <w:szCs w:val="20"/>
              </w:rPr>
              <w:t>)</w:t>
            </w:r>
          </w:p>
        </w:tc>
        <w:tc>
          <w:tcPr>
            <w:tcW w:w="1283" w:type="pct"/>
            <w:shd w:val="clear" w:color="auto" w:fill="auto"/>
            <w:noWrap/>
            <w:vAlign w:val="center"/>
            <w:hideMark/>
          </w:tcPr>
          <w:p w14:paraId="1A6A0169" w14:textId="77777777" w:rsidR="005B5953" w:rsidRPr="00E571CE" w:rsidRDefault="005B5953" w:rsidP="00250DAC">
            <w:pPr>
              <w:spacing w:after="0" w:line="240" w:lineRule="auto"/>
              <w:jc w:val="center"/>
              <w:rPr>
                <w:rFonts w:ascii="Times New Roman" w:hAnsi="Times New Roman"/>
                <w:color w:val="000000"/>
                <w:sz w:val="20"/>
                <w:szCs w:val="20"/>
              </w:rPr>
            </w:pPr>
            <w:r w:rsidRPr="00E571CE">
              <w:rPr>
                <w:rFonts w:ascii="Times New Roman" w:hAnsi="Times New Roman"/>
                <w:color w:val="000000"/>
                <w:sz w:val="20"/>
                <w:szCs w:val="20"/>
              </w:rPr>
              <w:t>0.15</w:t>
            </w:r>
          </w:p>
        </w:tc>
        <w:tc>
          <w:tcPr>
            <w:tcW w:w="1169" w:type="pct"/>
            <w:shd w:val="clear" w:color="auto" w:fill="auto"/>
            <w:noWrap/>
            <w:vAlign w:val="center"/>
            <w:hideMark/>
          </w:tcPr>
          <w:p w14:paraId="6FC4E38C" w14:textId="77777777" w:rsidR="005B5953" w:rsidRPr="00E571CE" w:rsidRDefault="005B5953" w:rsidP="00250DAC">
            <w:pPr>
              <w:spacing w:after="0" w:line="240" w:lineRule="auto"/>
              <w:jc w:val="center"/>
              <w:rPr>
                <w:rFonts w:ascii="Times New Roman" w:hAnsi="Times New Roman"/>
                <w:b/>
                <w:bCs/>
                <w:color w:val="000000"/>
                <w:sz w:val="20"/>
                <w:szCs w:val="20"/>
              </w:rPr>
            </w:pPr>
            <w:r w:rsidRPr="00E571CE">
              <w:rPr>
                <w:rFonts w:ascii="Times New Roman" w:hAnsi="Times New Roman"/>
                <w:b/>
                <w:bCs/>
                <w:color w:val="000000"/>
                <w:sz w:val="20"/>
                <w:szCs w:val="20"/>
              </w:rPr>
              <w:t>*</w:t>
            </w:r>
          </w:p>
        </w:tc>
      </w:tr>
      <w:tr w:rsidR="005B5953" w:rsidRPr="00E571CE" w14:paraId="48696B56" w14:textId="77777777" w:rsidTr="00250DAC">
        <w:trPr>
          <w:trHeight w:val="20"/>
        </w:trPr>
        <w:tc>
          <w:tcPr>
            <w:tcW w:w="2548" w:type="pct"/>
            <w:shd w:val="clear" w:color="auto" w:fill="auto"/>
            <w:vAlign w:val="center"/>
            <w:hideMark/>
          </w:tcPr>
          <w:p w14:paraId="78362B41" w14:textId="77777777" w:rsidR="005B5953" w:rsidRPr="00E571CE" w:rsidRDefault="005B5953" w:rsidP="00250DAC">
            <w:pPr>
              <w:spacing w:after="0" w:line="240" w:lineRule="auto"/>
              <w:jc w:val="both"/>
              <w:rPr>
                <w:rFonts w:ascii="Times New Roman" w:hAnsi="Times New Roman"/>
                <w:b/>
                <w:bCs/>
                <w:color w:val="000000"/>
                <w:sz w:val="20"/>
                <w:szCs w:val="20"/>
              </w:rPr>
            </w:pPr>
            <w:r w:rsidRPr="00E571CE">
              <w:rPr>
                <w:rFonts w:ascii="Times New Roman" w:hAnsi="Times New Roman"/>
                <w:b/>
                <w:bCs/>
                <w:color w:val="000000"/>
                <w:sz w:val="20"/>
                <w:szCs w:val="20"/>
              </w:rPr>
              <w:t xml:space="preserve">Total debt/ shareholders funds (in </w:t>
            </w:r>
            <w:r w:rsidRPr="005B12AE">
              <w:rPr>
                <w:rFonts w:ascii="Times New Roman" w:hAnsi="Times New Roman"/>
                <w:b/>
                <w:bCs/>
                <w:color w:val="000000"/>
                <w:sz w:val="20"/>
                <w:szCs w:val="20"/>
              </w:rPr>
              <w:t>₹</w:t>
            </w:r>
            <w:r w:rsidRPr="00E571CE">
              <w:rPr>
                <w:rFonts w:ascii="Times New Roman" w:hAnsi="Times New Roman"/>
                <w:b/>
                <w:bCs/>
                <w:color w:val="000000"/>
                <w:sz w:val="20"/>
                <w:szCs w:val="20"/>
              </w:rPr>
              <w:t>)</w:t>
            </w:r>
          </w:p>
        </w:tc>
        <w:tc>
          <w:tcPr>
            <w:tcW w:w="1283" w:type="pct"/>
            <w:shd w:val="clear" w:color="auto" w:fill="auto"/>
            <w:noWrap/>
            <w:vAlign w:val="center"/>
            <w:hideMark/>
          </w:tcPr>
          <w:p w14:paraId="512650D4" w14:textId="77777777" w:rsidR="005B5953" w:rsidRPr="00E571CE" w:rsidRDefault="005B5953" w:rsidP="00250DAC">
            <w:pPr>
              <w:spacing w:after="0" w:line="240" w:lineRule="auto"/>
              <w:jc w:val="center"/>
              <w:rPr>
                <w:rFonts w:ascii="Times New Roman" w:hAnsi="Times New Roman"/>
                <w:color w:val="000000"/>
                <w:sz w:val="20"/>
                <w:szCs w:val="20"/>
              </w:rPr>
            </w:pPr>
            <w:r w:rsidRPr="00E571CE">
              <w:rPr>
                <w:rFonts w:ascii="Times New Roman" w:hAnsi="Times New Roman"/>
                <w:color w:val="000000"/>
                <w:sz w:val="20"/>
                <w:szCs w:val="20"/>
              </w:rPr>
              <w:t>1.44</w:t>
            </w:r>
          </w:p>
        </w:tc>
        <w:tc>
          <w:tcPr>
            <w:tcW w:w="1169" w:type="pct"/>
            <w:shd w:val="clear" w:color="auto" w:fill="auto"/>
            <w:noWrap/>
            <w:vAlign w:val="center"/>
            <w:hideMark/>
          </w:tcPr>
          <w:p w14:paraId="45F7A45D" w14:textId="77777777" w:rsidR="005B5953" w:rsidRPr="00E571CE" w:rsidRDefault="005B5953" w:rsidP="00250DAC">
            <w:pPr>
              <w:spacing w:after="0" w:line="240" w:lineRule="auto"/>
              <w:jc w:val="center"/>
              <w:rPr>
                <w:rFonts w:ascii="Times New Roman" w:hAnsi="Times New Roman"/>
                <w:b/>
                <w:bCs/>
                <w:color w:val="000000"/>
                <w:sz w:val="20"/>
                <w:szCs w:val="20"/>
              </w:rPr>
            </w:pPr>
            <w:r w:rsidRPr="00E571CE">
              <w:rPr>
                <w:rFonts w:ascii="Times New Roman" w:hAnsi="Times New Roman"/>
                <w:b/>
                <w:bCs/>
                <w:color w:val="000000"/>
                <w:sz w:val="20"/>
                <w:szCs w:val="20"/>
              </w:rPr>
              <w:t>*</w:t>
            </w:r>
          </w:p>
        </w:tc>
      </w:tr>
    </w:tbl>
    <w:p w14:paraId="0F479D22" w14:textId="77777777" w:rsidR="005B5953" w:rsidRPr="005B12AE" w:rsidRDefault="005B5953" w:rsidP="005B5953">
      <w:pPr>
        <w:spacing w:after="0"/>
        <w:rPr>
          <w:rFonts w:ascii="Times New Roman" w:hAnsi="Times New Roman"/>
          <w:color w:val="000000"/>
          <w:sz w:val="20"/>
          <w:szCs w:val="20"/>
        </w:rPr>
      </w:pPr>
      <w:r w:rsidRPr="005B12AE">
        <w:rPr>
          <w:rFonts w:ascii="Times New Roman" w:hAnsi="Times New Roman"/>
          <w:color w:val="000000"/>
          <w:sz w:val="20"/>
          <w:szCs w:val="20"/>
        </w:rPr>
        <w:t>(*) The corresponding post issue figures are not determinable at this stage pending the completion of public issue and hence have not been furnished.</w:t>
      </w:r>
    </w:p>
    <w:p w14:paraId="4963E17D" w14:textId="77777777" w:rsidR="005B5953" w:rsidRPr="005B12AE" w:rsidRDefault="005B5953" w:rsidP="005B5953">
      <w:pPr>
        <w:spacing w:after="0"/>
        <w:rPr>
          <w:rFonts w:ascii="Times New Roman" w:hAnsi="Times New Roman"/>
          <w:color w:val="000000"/>
          <w:sz w:val="20"/>
          <w:szCs w:val="20"/>
        </w:rPr>
      </w:pPr>
      <w:r w:rsidRPr="005B12AE">
        <w:rPr>
          <w:rFonts w:ascii="Times New Roman" w:hAnsi="Times New Roman"/>
          <w:color w:val="000000"/>
          <w:sz w:val="20"/>
          <w:szCs w:val="20"/>
        </w:rPr>
        <w:t>Notes:</w:t>
      </w:r>
    </w:p>
    <w:p w14:paraId="17CE64D6" w14:textId="77777777" w:rsidR="005B5953" w:rsidRPr="005B12AE" w:rsidRDefault="005B5953">
      <w:pPr>
        <w:pStyle w:val="ListParagraph"/>
        <w:numPr>
          <w:ilvl w:val="0"/>
          <w:numId w:val="329"/>
        </w:numPr>
        <w:suppressAutoHyphens w:val="0"/>
        <w:autoSpaceDE/>
        <w:autoSpaceDN/>
        <w:adjustRightInd/>
        <w:spacing w:line="259" w:lineRule="auto"/>
        <w:ind w:left="360"/>
        <w:contextualSpacing/>
        <w:textAlignment w:val="auto"/>
        <w:rPr>
          <w:sz w:val="20"/>
          <w:szCs w:val="20"/>
        </w:rPr>
      </w:pPr>
      <w:r w:rsidRPr="005B12AE">
        <w:rPr>
          <w:sz w:val="20"/>
          <w:szCs w:val="20"/>
        </w:rPr>
        <w:t>Short term Debts represent which are expected to be paid/payable within 12 months.</w:t>
      </w:r>
    </w:p>
    <w:p w14:paraId="63FF12D9" w14:textId="77777777" w:rsidR="005B5953" w:rsidRPr="005B12AE" w:rsidRDefault="005B5953">
      <w:pPr>
        <w:pStyle w:val="ListParagraph"/>
        <w:numPr>
          <w:ilvl w:val="0"/>
          <w:numId w:val="329"/>
        </w:numPr>
        <w:suppressAutoHyphens w:val="0"/>
        <w:autoSpaceDE/>
        <w:autoSpaceDN/>
        <w:adjustRightInd/>
        <w:spacing w:line="259" w:lineRule="auto"/>
        <w:ind w:left="360"/>
        <w:contextualSpacing/>
        <w:textAlignment w:val="auto"/>
        <w:rPr>
          <w:sz w:val="20"/>
          <w:szCs w:val="20"/>
        </w:rPr>
      </w:pPr>
      <w:r w:rsidRPr="005B12AE">
        <w:rPr>
          <w:sz w:val="20"/>
          <w:szCs w:val="20"/>
        </w:rPr>
        <w:t>Long term Debts represent debts other than Short term Debts as defined above but excludes installment of term loans repayable within 12 months grouped under other current liabilities.</w:t>
      </w:r>
    </w:p>
    <w:p w14:paraId="4B82F602" w14:textId="77777777" w:rsidR="005B5953" w:rsidRPr="005B12AE" w:rsidRDefault="005B5953">
      <w:pPr>
        <w:pStyle w:val="ListParagraph"/>
        <w:numPr>
          <w:ilvl w:val="0"/>
          <w:numId w:val="329"/>
        </w:numPr>
        <w:suppressAutoHyphens w:val="0"/>
        <w:autoSpaceDE/>
        <w:autoSpaceDN/>
        <w:adjustRightInd/>
        <w:spacing w:line="259" w:lineRule="auto"/>
        <w:ind w:left="360"/>
        <w:contextualSpacing/>
        <w:textAlignment w:val="auto"/>
        <w:rPr>
          <w:sz w:val="20"/>
          <w:szCs w:val="20"/>
        </w:rPr>
      </w:pPr>
      <w:r w:rsidRPr="005B12AE">
        <w:rPr>
          <w:sz w:val="20"/>
          <w:szCs w:val="20"/>
        </w:rPr>
        <w:t>The figures disclosed above are based on restated statement of Assets and Liabilities of the Company as at 31.03.2023</w:t>
      </w:r>
    </w:p>
    <w:p w14:paraId="7A248922" w14:textId="77777777" w:rsidR="005B5953" w:rsidRPr="005B12AE" w:rsidRDefault="005B5953" w:rsidP="005B5953">
      <w:pPr>
        <w:spacing w:after="0"/>
        <w:rPr>
          <w:rFonts w:ascii="Times New Roman" w:hAnsi="Times New Roman"/>
          <w:color w:val="000000"/>
          <w:sz w:val="20"/>
          <w:szCs w:val="20"/>
        </w:rPr>
      </w:pPr>
    </w:p>
    <w:p w14:paraId="66ADD875" w14:textId="77777777" w:rsidR="005B5953" w:rsidRPr="005B12AE" w:rsidRDefault="005B5953" w:rsidP="005B5953">
      <w:pPr>
        <w:spacing w:after="0"/>
        <w:jc w:val="center"/>
        <w:rPr>
          <w:rFonts w:ascii="Times New Roman" w:hAnsi="Times New Roman"/>
          <w:b/>
          <w:bCs/>
          <w:color w:val="000000"/>
          <w:sz w:val="20"/>
          <w:szCs w:val="20"/>
        </w:rPr>
      </w:pPr>
      <w:r w:rsidRPr="005B12AE">
        <w:rPr>
          <w:rFonts w:ascii="Times New Roman" w:hAnsi="Times New Roman"/>
          <w:b/>
          <w:bCs/>
          <w:color w:val="000000"/>
          <w:sz w:val="20"/>
          <w:szCs w:val="20"/>
        </w:rPr>
        <w:t>NOTE – Z</w:t>
      </w:r>
    </w:p>
    <w:p w14:paraId="3655EB21" w14:textId="77777777" w:rsidR="005B5953" w:rsidRPr="005B12AE" w:rsidRDefault="005B5953" w:rsidP="005B5953">
      <w:pPr>
        <w:spacing w:after="0"/>
        <w:jc w:val="center"/>
        <w:rPr>
          <w:rFonts w:ascii="Times New Roman" w:hAnsi="Times New Roman"/>
          <w:b/>
          <w:bCs/>
          <w:color w:val="000000"/>
          <w:sz w:val="20"/>
          <w:szCs w:val="20"/>
        </w:rPr>
      </w:pPr>
    </w:p>
    <w:p w14:paraId="192A16AD" w14:textId="77777777" w:rsidR="005B5953" w:rsidRPr="005B12AE" w:rsidRDefault="005B5953" w:rsidP="005B5953">
      <w:pPr>
        <w:spacing w:after="0"/>
        <w:jc w:val="center"/>
        <w:rPr>
          <w:rFonts w:ascii="Times New Roman" w:hAnsi="Times New Roman"/>
          <w:b/>
          <w:bCs/>
          <w:color w:val="000000"/>
          <w:sz w:val="20"/>
          <w:szCs w:val="20"/>
        </w:rPr>
      </w:pPr>
      <w:r w:rsidRPr="005B12AE">
        <w:rPr>
          <w:rFonts w:ascii="Times New Roman" w:hAnsi="Times New Roman"/>
          <w:b/>
          <w:bCs/>
          <w:color w:val="000000"/>
          <w:sz w:val="20"/>
          <w:szCs w:val="20"/>
        </w:rPr>
        <w:t>RESTATED STATEMENT OF MANDATORY ACCOUNTING RATIOS</w:t>
      </w:r>
    </w:p>
    <w:p w14:paraId="7EB49B79" w14:textId="77777777" w:rsidR="005B5953" w:rsidRPr="005B12AE" w:rsidRDefault="005B5953" w:rsidP="005B5953">
      <w:pPr>
        <w:spacing w:after="0"/>
        <w:jc w:val="center"/>
        <w:rPr>
          <w:rFonts w:ascii="Times New Roman" w:hAnsi="Times New Roman"/>
          <w:b/>
          <w:bCs/>
          <w:color w:val="000000"/>
          <w:sz w:val="20"/>
          <w:szCs w:val="20"/>
        </w:rPr>
      </w:pPr>
    </w:p>
    <w:p w14:paraId="71BD6CBC" w14:textId="77777777" w:rsidR="005B5953" w:rsidRPr="005B12AE" w:rsidRDefault="005B5953" w:rsidP="005B5953">
      <w:pPr>
        <w:spacing w:after="0"/>
        <w:jc w:val="right"/>
        <w:rPr>
          <w:rFonts w:ascii="Times New Roman" w:hAnsi="Times New Roman"/>
          <w:b/>
          <w:bCs/>
          <w:color w:val="000000"/>
          <w:sz w:val="20"/>
          <w:szCs w:val="20"/>
        </w:rPr>
      </w:pPr>
      <w:r w:rsidRPr="005B12AE">
        <w:rPr>
          <w:rFonts w:ascii="Times New Roman" w:hAnsi="Times New Roman"/>
          <w:b/>
          <w:bCs/>
          <w:color w:val="000000"/>
          <w:sz w:val="20"/>
          <w:szCs w:val="20"/>
        </w:rPr>
        <w:t>(</w:t>
      </w:r>
      <w:r w:rsidRPr="005B12AE">
        <w:rPr>
          <w:rFonts w:ascii="Times New Roman" w:hAnsi="Times New Roman"/>
          <w:b/>
          <w:bCs/>
          <w:sz w:val="20"/>
          <w:szCs w:val="20"/>
        </w:rPr>
        <w:t>₹</w:t>
      </w:r>
      <w:r w:rsidRPr="005B12AE">
        <w:rPr>
          <w:rFonts w:ascii="Times New Roman" w:hAnsi="Times New Roman"/>
          <w:b/>
          <w:bCs/>
          <w:color w:val="000000"/>
          <w:sz w:val="20"/>
          <w:szCs w:val="20"/>
        </w:rPr>
        <w:t xml:space="preserve"> in Lakhs Except Per Share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2"/>
        <w:gridCol w:w="1368"/>
        <w:gridCol w:w="1230"/>
        <w:gridCol w:w="1246"/>
      </w:tblGrid>
      <w:tr w:rsidR="005B5953" w:rsidRPr="005B12AE" w14:paraId="6F70B8C2" w14:textId="77777777" w:rsidTr="00250DAC">
        <w:trPr>
          <w:trHeight w:val="20"/>
        </w:trPr>
        <w:tc>
          <w:tcPr>
            <w:tcW w:w="3162" w:type="pct"/>
            <w:shd w:val="clear" w:color="auto" w:fill="D0CECE" w:themeFill="background2" w:themeFillShade="E6"/>
            <w:vAlign w:val="center"/>
            <w:hideMark/>
          </w:tcPr>
          <w:p w14:paraId="0B016B33" w14:textId="77777777" w:rsidR="005B5953" w:rsidRPr="00E571CE" w:rsidRDefault="005B5953" w:rsidP="00250DAC">
            <w:pPr>
              <w:spacing w:after="0" w:line="240" w:lineRule="auto"/>
              <w:rPr>
                <w:rFonts w:ascii="Times New Roman" w:hAnsi="Times New Roman"/>
                <w:b/>
                <w:bCs/>
                <w:sz w:val="20"/>
                <w:szCs w:val="20"/>
              </w:rPr>
            </w:pPr>
            <w:r w:rsidRPr="00E571CE">
              <w:rPr>
                <w:rFonts w:ascii="Times New Roman" w:hAnsi="Times New Roman"/>
                <w:b/>
                <w:bCs/>
                <w:sz w:val="20"/>
                <w:szCs w:val="20"/>
              </w:rPr>
              <w:t>Particulars</w:t>
            </w:r>
          </w:p>
        </w:tc>
        <w:tc>
          <w:tcPr>
            <w:tcW w:w="654" w:type="pct"/>
            <w:shd w:val="clear" w:color="auto" w:fill="D0CECE" w:themeFill="background2" w:themeFillShade="E6"/>
            <w:noWrap/>
            <w:vAlign w:val="bottom"/>
            <w:hideMark/>
          </w:tcPr>
          <w:p w14:paraId="507A4397" w14:textId="77777777" w:rsidR="005B5953" w:rsidRPr="00E571C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31/03/2023</w:t>
            </w:r>
          </w:p>
        </w:tc>
        <w:tc>
          <w:tcPr>
            <w:tcW w:w="588" w:type="pct"/>
            <w:shd w:val="clear" w:color="auto" w:fill="D0CECE" w:themeFill="background2" w:themeFillShade="E6"/>
            <w:noWrap/>
            <w:vAlign w:val="bottom"/>
            <w:hideMark/>
          </w:tcPr>
          <w:p w14:paraId="7D7FDD4E" w14:textId="77777777" w:rsidR="005B5953" w:rsidRPr="00E571C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31/03/2022</w:t>
            </w:r>
          </w:p>
        </w:tc>
        <w:tc>
          <w:tcPr>
            <w:tcW w:w="596" w:type="pct"/>
            <w:shd w:val="clear" w:color="auto" w:fill="D0CECE" w:themeFill="background2" w:themeFillShade="E6"/>
            <w:noWrap/>
            <w:vAlign w:val="bottom"/>
            <w:hideMark/>
          </w:tcPr>
          <w:p w14:paraId="2D59F74B" w14:textId="77777777" w:rsidR="005B5953" w:rsidRPr="00E571CE" w:rsidRDefault="005B5953" w:rsidP="00250DAC">
            <w:pPr>
              <w:spacing w:after="0" w:line="240" w:lineRule="auto"/>
              <w:jc w:val="center"/>
              <w:rPr>
                <w:rFonts w:ascii="Times New Roman" w:hAnsi="Times New Roman"/>
                <w:b/>
                <w:bCs/>
                <w:sz w:val="20"/>
                <w:szCs w:val="20"/>
              </w:rPr>
            </w:pPr>
            <w:r w:rsidRPr="005B12AE">
              <w:rPr>
                <w:rFonts w:ascii="Times New Roman" w:hAnsi="Times New Roman"/>
                <w:b/>
                <w:bCs/>
                <w:sz w:val="20"/>
                <w:szCs w:val="20"/>
              </w:rPr>
              <w:t>31/03/2021</w:t>
            </w:r>
          </w:p>
        </w:tc>
      </w:tr>
      <w:tr w:rsidR="005B5953" w:rsidRPr="005B12AE" w14:paraId="2D064512" w14:textId="77777777" w:rsidTr="00250DAC">
        <w:trPr>
          <w:trHeight w:val="20"/>
        </w:trPr>
        <w:tc>
          <w:tcPr>
            <w:tcW w:w="3162" w:type="pct"/>
            <w:shd w:val="clear" w:color="auto" w:fill="auto"/>
            <w:noWrap/>
            <w:vAlign w:val="bottom"/>
            <w:hideMark/>
          </w:tcPr>
          <w:p w14:paraId="526CD360" w14:textId="77777777" w:rsidR="005B5953" w:rsidRPr="00E571CE" w:rsidRDefault="005B5953" w:rsidP="00250DAC">
            <w:pPr>
              <w:spacing w:after="0" w:line="240" w:lineRule="auto"/>
              <w:jc w:val="both"/>
              <w:rPr>
                <w:rFonts w:ascii="Times New Roman" w:hAnsi="Times New Roman"/>
                <w:sz w:val="20"/>
                <w:szCs w:val="20"/>
              </w:rPr>
            </w:pPr>
            <w:r w:rsidRPr="00E571CE">
              <w:rPr>
                <w:rFonts w:ascii="Times New Roman" w:hAnsi="Times New Roman"/>
                <w:sz w:val="20"/>
                <w:szCs w:val="20"/>
              </w:rPr>
              <w:t>Net Worth (A)</w:t>
            </w:r>
          </w:p>
        </w:tc>
        <w:tc>
          <w:tcPr>
            <w:tcW w:w="654" w:type="pct"/>
            <w:shd w:val="clear" w:color="auto" w:fill="auto"/>
            <w:noWrap/>
            <w:vAlign w:val="bottom"/>
            <w:hideMark/>
          </w:tcPr>
          <w:p w14:paraId="33F5EF1B"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4,642.12</w:t>
            </w:r>
          </w:p>
        </w:tc>
        <w:tc>
          <w:tcPr>
            <w:tcW w:w="588" w:type="pct"/>
            <w:shd w:val="clear" w:color="auto" w:fill="auto"/>
            <w:noWrap/>
            <w:vAlign w:val="bottom"/>
            <w:hideMark/>
          </w:tcPr>
          <w:p w14:paraId="7CE2A17E"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3,876.71</w:t>
            </w:r>
          </w:p>
        </w:tc>
        <w:tc>
          <w:tcPr>
            <w:tcW w:w="596" w:type="pct"/>
            <w:shd w:val="clear" w:color="auto" w:fill="auto"/>
            <w:noWrap/>
            <w:vAlign w:val="bottom"/>
            <w:hideMark/>
          </w:tcPr>
          <w:p w14:paraId="1D5A51F1"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3,554.23</w:t>
            </w:r>
          </w:p>
        </w:tc>
      </w:tr>
      <w:tr w:rsidR="005B5953" w:rsidRPr="005B12AE" w14:paraId="26FF16B1" w14:textId="77777777" w:rsidTr="00250DAC">
        <w:trPr>
          <w:trHeight w:val="20"/>
        </w:trPr>
        <w:tc>
          <w:tcPr>
            <w:tcW w:w="3162" w:type="pct"/>
            <w:shd w:val="clear" w:color="auto" w:fill="auto"/>
            <w:noWrap/>
            <w:vAlign w:val="bottom"/>
            <w:hideMark/>
          </w:tcPr>
          <w:p w14:paraId="6494980E" w14:textId="77777777" w:rsidR="005B5953" w:rsidRPr="00E571CE" w:rsidRDefault="005B5953" w:rsidP="00250DAC">
            <w:pPr>
              <w:spacing w:after="0" w:line="240" w:lineRule="auto"/>
              <w:jc w:val="both"/>
              <w:rPr>
                <w:rFonts w:ascii="Times New Roman" w:hAnsi="Times New Roman"/>
                <w:sz w:val="20"/>
                <w:szCs w:val="20"/>
              </w:rPr>
            </w:pPr>
            <w:r w:rsidRPr="00E571CE">
              <w:rPr>
                <w:rFonts w:ascii="Times New Roman" w:hAnsi="Times New Roman"/>
                <w:sz w:val="20"/>
                <w:szCs w:val="20"/>
              </w:rPr>
              <w:t>Adjusted Profit after Tax (B)</w:t>
            </w:r>
          </w:p>
        </w:tc>
        <w:tc>
          <w:tcPr>
            <w:tcW w:w="654" w:type="pct"/>
            <w:shd w:val="clear" w:color="auto" w:fill="auto"/>
            <w:noWrap/>
            <w:vAlign w:val="bottom"/>
            <w:hideMark/>
          </w:tcPr>
          <w:p w14:paraId="339A4D18"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765.42</w:t>
            </w:r>
          </w:p>
        </w:tc>
        <w:tc>
          <w:tcPr>
            <w:tcW w:w="588" w:type="pct"/>
            <w:shd w:val="clear" w:color="auto" w:fill="auto"/>
            <w:noWrap/>
            <w:vAlign w:val="bottom"/>
            <w:hideMark/>
          </w:tcPr>
          <w:p w14:paraId="418C5CCC"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322.47</w:t>
            </w:r>
          </w:p>
        </w:tc>
        <w:tc>
          <w:tcPr>
            <w:tcW w:w="596" w:type="pct"/>
            <w:shd w:val="clear" w:color="auto" w:fill="auto"/>
            <w:noWrap/>
            <w:vAlign w:val="bottom"/>
            <w:hideMark/>
          </w:tcPr>
          <w:p w14:paraId="40D0D819"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142.28</w:t>
            </w:r>
          </w:p>
        </w:tc>
      </w:tr>
      <w:tr w:rsidR="005B5953" w:rsidRPr="005B12AE" w14:paraId="7B160F48" w14:textId="77777777" w:rsidTr="00250DAC">
        <w:trPr>
          <w:trHeight w:val="20"/>
        </w:trPr>
        <w:tc>
          <w:tcPr>
            <w:tcW w:w="3162" w:type="pct"/>
            <w:shd w:val="clear" w:color="auto" w:fill="auto"/>
            <w:noWrap/>
            <w:vAlign w:val="bottom"/>
            <w:hideMark/>
          </w:tcPr>
          <w:p w14:paraId="23165573" w14:textId="77777777" w:rsidR="005B5953" w:rsidRPr="00E571CE" w:rsidRDefault="005B5953" w:rsidP="00250DAC">
            <w:pPr>
              <w:spacing w:after="0" w:line="240" w:lineRule="auto"/>
              <w:jc w:val="both"/>
              <w:rPr>
                <w:rFonts w:ascii="Times New Roman" w:hAnsi="Times New Roman"/>
                <w:sz w:val="20"/>
                <w:szCs w:val="20"/>
              </w:rPr>
            </w:pPr>
            <w:r w:rsidRPr="00E571CE">
              <w:rPr>
                <w:rFonts w:ascii="Times New Roman" w:hAnsi="Times New Roman"/>
                <w:sz w:val="20"/>
                <w:szCs w:val="20"/>
              </w:rPr>
              <w:t>Number of Equity Share outstanding as on the End of Year (</w:t>
            </w:r>
            <w:r w:rsidRPr="005B12AE">
              <w:rPr>
                <w:rFonts w:ascii="Times New Roman" w:hAnsi="Times New Roman"/>
                <w:sz w:val="20"/>
                <w:szCs w:val="20"/>
              </w:rPr>
              <w:t>C</w:t>
            </w:r>
            <w:r w:rsidRPr="00E571CE">
              <w:rPr>
                <w:rFonts w:ascii="Times New Roman" w:hAnsi="Times New Roman"/>
                <w:sz w:val="20"/>
                <w:szCs w:val="20"/>
              </w:rPr>
              <w:t>)</w:t>
            </w:r>
          </w:p>
        </w:tc>
        <w:tc>
          <w:tcPr>
            <w:tcW w:w="654" w:type="pct"/>
            <w:shd w:val="clear" w:color="auto" w:fill="auto"/>
            <w:noWrap/>
            <w:vAlign w:val="bottom"/>
            <w:hideMark/>
          </w:tcPr>
          <w:p w14:paraId="2AD8EBC1"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1,38,05,500</w:t>
            </w:r>
          </w:p>
        </w:tc>
        <w:tc>
          <w:tcPr>
            <w:tcW w:w="588" w:type="pct"/>
            <w:shd w:val="clear" w:color="auto" w:fill="auto"/>
            <w:noWrap/>
            <w:vAlign w:val="bottom"/>
            <w:hideMark/>
          </w:tcPr>
          <w:p w14:paraId="5ED90FD2"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1,38,05,500</w:t>
            </w:r>
          </w:p>
        </w:tc>
        <w:tc>
          <w:tcPr>
            <w:tcW w:w="596" w:type="pct"/>
            <w:shd w:val="clear" w:color="auto" w:fill="auto"/>
            <w:noWrap/>
            <w:vAlign w:val="bottom"/>
            <w:hideMark/>
          </w:tcPr>
          <w:p w14:paraId="4840DAC8"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1,38,05,500</w:t>
            </w:r>
          </w:p>
        </w:tc>
      </w:tr>
      <w:tr w:rsidR="005B5953" w:rsidRPr="005B12AE" w14:paraId="097BA597" w14:textId="77777777" w:rsidTr="00250DAC">
        <w:trPr>
          <w:trHeight w:val="20"/>
        </w:trPr>
        <w:tc>
          <w:tcPr>
            <w:tcW w:w="3162" w:type="pct"/>
            <w:shd w:val="clear" w:color="auto" w:fill="auto"/>
            <w:vAlign w:val="bottom"/>
            <w:hideMark/>
          </w:tcPr>
          <w:p w14:paraId="18553B30" w14:textId="77777777" w:rsidR="005B5953" w:rsidRPr="00E571CE" w:rsidRDefault="005B5953" w:rsidP="00250DAC">
            <w:pPr>
              <w:spacing w:after="0" w:line="240" w:lineRule="auto"/>
              <w:jc w:val="both"/>
              <w:rPr>
                <w:rFonts w:ascii="Times New Roman" w:hAnsi="Times New Roman"/>
                <w:sz w:val="20"/>
                <w:szCs w:val="20"/>
              </w:rPr>
            </w:pPr>
            <w:r w:rsidRPr="00E571CE">
              <w:rPr>
                <w:rFonts w:ascii="Times New Roman" w:hAnsi="Times New Roman"/>
                <w:sz w:val="20"/>
                <w:szCs w:val="20"/>
              </w:rPr>
              <w:t xml:space="preserve">Weighted average no of Equity shares at the time of end of the year (D) </w:t>
            </w:r>
          </w:p>
        </w:tc>
        <w:tc>
          <w:tcPr>
            <w:tcW w:w="654" w:type="pct"/>
            <w:shd w:val="clear" w:color="auto" w:fill="auto"/>
            <w:noWrap/>
            <w:vAlign w:val="bottom"/>
            <w:hideMark/>
          </w:tcPr>
          <w:p w14:paraId="18CC67FF"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1,38,05,500</w:t>
            </w:r>
          </w:p>
        </w:tc>
        <w:tc>
          <w:tcPr>
            <w:tcW w:w="588" w:type="pct"/>
            <w:shd w:val="clear" w:color="auto" w:fill="auto"/>
            <w:noWrap/>
            <w:vAlign w:val="bottom"/>
            <w:hideMark/>
          </w:tcPr>
          <w:p w14:paraId="74BE6704"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1,38,05,500</w:t>
            </w:r>
          </w:p>
        </w:tc>
        <w:tc>
          <w:tcPr>
            <w:tcW w:w="596" w:type="pct"/>
            <w:shd w:val="clear" w:color="auto" w:fill="auto"/>
            <w:noWrap/>
            <w:vAlign w:val="bottom"/>
            <w:hideMark/>
          </w:tcPr>
          <w:p w14:paraId="47830C4C"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1,38,05,500</w:t>
            </w:r>
          </w:p>
        </w:tc>
      </w:tr>
      <w:tr w:rsidR="005B5953" w:rsidRPr="005B12AE" w14:paraId="3959CF50" w14:textId="77777777" w:rsidTr="00250DAC">
        <w:trPr>
          <w:trHeight w:val="20"/>
        </w:trPr>
        <w:tc>
          <w:tcPr>
            <w:tcW w:w="3162" w:type="pct"/>
            <w:shd w:val="clear" w:color="auto" w:fill="auto"/>
            <w:noWrap/>
            <w:vAlign w:val="bottom"/>
            <w:hideMark/>
          </w:tcPr>
          <w:p w14:paraId="678C4D7F" w14:textId="77777777" w:rsidR="005B5953" w:rsidRPr="00E571CE" w:rsidRDefault="005B5953" w:rsidP="00250DAC">
            <w:pPr>
              <w:spacing w:after="0" w:line="240" w:lineRule="auto"/>
              <w:jc w:val="both"/>
              <w:rPr>
                <w:rFonts w:ascii="Times New Roman" w:hAnsi="Times New Roman"/>
                <w:sz w:val="20"/>
                <w:szCs w:val="20"/>
              </w:rPr>
            </w:pPr>
            <w:r w:rsidRPr="00E571CE">
              <w:rPr>
                <w:rFonts w:ascii="Times New Roman" w:hAnsi="Times New Roman"/>
                <w:sz w:val="20"/>
                <w:szCs w:val="20"/>
              </w:rPr>
              <w:t>Face Value per Share</w:t>
            </w:r>
          </w:p>
        </w:tc>
        <w:tc>
          <w:tcPr>
            <w:tcW w:w="654" w:type="pct"/>
            <w:shd w:val="clear" w:color="auto" w:fill="auto"/>
            <w:noWrap/>
            <w:vAlign w:val="bottom"/>
            <w:hideMark/>
          </w:tcPr>
          <w:p w14:paraId="0C85F175"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10.00</w:t>
            </w:r>
          </w:p>
        </w:tc>
        <w:tc>
          <w:tcPr>
            <w:tcW w:w="588" w:type="pct"/>
            <w:shd w:val="clear" w:color="auto" w:fill="auto"/>
            <w:noWrap/>
            <w:vAlign w:val="bottom"/>
            <w:hideMark/>
          </w:tcPr>
          <w:p w14:paraId="098CD3B3"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10.00</w:t>
            </w:r>
          </w:p>
        </w:tc>
        <w:tc>
          <w:tcPr>
            <w:tcW w:w="596" w:type="pct"/>
            <w:shd w:val="clear" w:color="auto" w:fill="auto"/>
            <w:noWrap/>
            <w:vAlign w:val="bottom"/>
            <w:hideMark/>
          </w:tcPr>
          <w:p w14:paraId="7AA2245C"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10.00</w:t>
            </w:r>
          </w:p>
        </w:tc>
      </w:tr>
      <w:tr w:rsidR="005B5953" w:rsidRPr="005B12AE" w14:paraId="32C3B700" w14:textId="77777777" w:rsidTr="00250DAC">
        <w:trPr>
          <w:trHeight w:val="20"/>
        </w:trPr>
        <w:tc>
          <w:tcPr>
            <w:tcW w:w="3162" w:type="pct"/>
            <w:shd w:val="clear" w:color="auto" w:fill="auto"/>
            <w:noWrap/>
            <w:vAlign w:val="bottom"/>
            <w:hideMark/>
          </w:tcPr>
          <w:p w14:paraId="45730D80" w14:textId="77777777" w:rsidR="005B5953" w:rsidRPr="00E571CE" w:rsidRDefault="005B5953" w:rsidP="00250DAC">
            <w:pPr>
              <w:spacing w:after="0" w:line="240" w:lineRule="auto"/>
              <w:jc w:val="both"/>
              <w:rPr>
                <w:rFonts w:ascii="Times New Roman" w:hAnsi="Times New Roman"/>
                <w:sz w:val="20"/>
                <w:szCs w:val="20"/>
              </w:rPr>
            </w:pPr>
            <w:r w:rsidRPr="00E571CE">
              <w:rPr>
                <w:rFonts w:ascii="Times New Roman" w:hAnsi="Times New Roman"/>
                <w:sz w:val="20"/>
                <w:szCs w:val="20"/>
              </w:rPr>
              <w:t>Restated Basic and Diluted Earning</w:t>
            </w:r>
            <w:r w:rsidRPr="005B12AE">
              <w:rPr>
                <w:rFonts w:ascii="Times New Roman" w:hAnsi="Times New Roman"/>
                <w:sz w:val="20"/>
                <w:szCs w:val="20"/>
              </w:rPr>
              <w:t>s</w:t>
            </w:r>
            <w:r w:rsidRPr="00E571CE">
              <w:rPr>
                <w:rFonts w:ascii="Times New Roman" w:hAnsi="Times New Roman"/>
                <w:sz w:val="20"/>
                <w:szCs w:val="20"/>
              </w:rPr>
              <w:t xml:space="preserve"> Per Share (</w:t>
            </w:r>
            <w:r w:rsidRPr="005B12AE">
              <w:rPr>
                <w:rFonts w:ascii="Times New Roman" w:hAnsi="Times New Roman"/>
                <w:sz w:val="20"/>
                <w:szCs w:val="20"/>
              </w:rPr>
              <w:t>₹</w:t>
            </w:r>
            <w:r w:rsidRPr="00E571CE">
              <w:rPr>
                <w:rFonts w:ascii="Times New Roman" w:hAnsi="Times New Roman"/>
                <w:sz w:val="20"/>
                <w:szCs w:val="20"/>
              </w:rPr>
              <w:t xml:space="preserve">) (B/D) </w:t>
            </w:r>
          </w:p>
        </w:tc>
        <w:tc>
          <w:tcPr>
            <w:tcW w:w="654" w:type="pct"/>
            <w:shd w:val="clear" w:color="auto" w:fill="auto"/>
            <w:noWrap/>
            <w:vAlign w:val="bottom"/>
            <w:hideMark/>
          </w:tcPr>
          <w:p w14:paraId="69D9AE61"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5.54</w:t>
            </w:r>
          </w:p>
        </w:tc>
        <w:tc>
          <w:tcPr>
            <w:tcW w:w="588" w:type="pct"/>
            <w:shd w:val="clear" w:color="auto" w:fill="auto"/>
            <w:noWrap/>
            <w:vAlign w:val="bottom"/>
            <w:hideMark/>
          </w:tcPr>
          <w:p w14:paraId="5F03B8FF"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2.34</w:t>
            </w:r>
          </w:p>
        </w:tc>
        <w:tc>
          <w:tcPr>
            <w:tcW w:w="596" w:type="pct"/>
            <w:shd w:val="clear" w:color="auto" w:fill="auto"/>
            <w:noWrap/>
            <w:vAlign w:val="bottom"/>
            <w:hideMark/>
          </w:tcPr>
          <w:p w14:paraId="2CDCEED9"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1.03</w:t>
            </w:r>
          </w:p>
        </w:tc>
      </w:tr>
      <w:tr w:rsidR="005B5953" w:rsidRPr="005B12AE" w14:paraId="678EA949" w14:textId="77777777" w:rsidTr="00250DAC">
        <w:trPr>
          <w:trHeight w:val="20"/>
        </w:trPr>
        <w:tc>
          <w:tcPr>
            <w:tcW w:w="3162" w:type="pct"/>
            <w:shd w:val="clear" w:color="auto" w:fill="auto"/>
            <w:noWrap/>
            <w:vAlign w:val="bottom"/>
            <w:hideMark/>
          </w:tcPr>
          <w:p w14:paraId="19504F5F" w14:textId="77777777" w:rsidR="005B5953" w:rsidRPr="00E571CE" w:rsidRDefault="005B5953" w:rsidP="00250DAC">
            <w:pPr>
              <w:spacing w:after="0" w:line="240" w:lineRule="auto"/>
              <w:jc w:val="both"/>
              <w:rPr>
                <w:rFonts w:ascii="Times New Roman" w:hAnsi="Times New Roman"/>
                <w:sz w:val="20"/>
                <w:szCs w:val="20"/>
              </w:rPr>
            </w:pPr>
            <w:r w:rsidRPr="00E571CE">
              <w:rPr>
                <w:rFonts w:ascii="Times New Roman" w:hAnsi="Times New Roman"/>
                <w:sz w:val="20"/>
                <w:szCs w:val="20"/>
              </w:rPr>
              <w:t>Return on Net worth (%) (B/A)</w:t>
            </w:r>
          </w:p>
        </w:tc>
        <w:tc>
          <w:tcPr>
            <w:tcW w:w="654" w:type="pct"/>
            <w:shd w:val="clear" w:color="auto" w:fill="auto"/>
            <w:noWrap/>
            <w:vAlign w:val="bottom"/>
            <w:hideMark/>
          </w:tcPr>
          <w:p w14:paraId="3901B738"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16.49%</w:t>
            </w:r>
          </w:p>
        </w:tc>
        <w:tc>
          <w:tcPr>
            <w:tcW w:w="588" w:type="pct"/>
            <w:shd w:val="clear" w:color="auto" w:fill="auto"/>
            <w:noWrap/>
            <w:vAlign w:val="bottom"/>
            <w:hideMark/>
          </w:tcPr>
          <w:p w14:paraId="11DEB2AB"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8.32%</w:t>
            </w:r>
          </w:p>
        </w:tc>
        <w:tc>
          <w:tcPr>
            <w:tcW w:w="596" w:type="pct"/>
            <w:shd w:val="clear" w:color="auto" w:fill="auto"/>
            <w:noWrap/>
            <w:vAlign w:val="bottom"/>
            <w:hideMark/>
          </w:tcPr>
          <w:p w14:paraId="2778FD00"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4.00%</w:t>
            </w:r>
          </w:p>
        </w:tc>
      </w:tr>
      <w:tr w:rsidR="005B5953" w:rsidRPr="005B12AE" w14:paraId="28871AF4" w14:textId="77777777" w:rsidTr="00250DAC">
        <w:trPr>
          <w:trHeight w:val="20"/>
        </w:trPr>
        <w:tc>
          <w:tcPr>
            <w:tcW w:w="3162" w:type="pct"/>
            <w:shd w:val="clear" w:color="auto" w:fill="auto"/>
            <w:vAlign w:val="bottom"/>
            <w:hideMark/>
          </w:tcPr>
          <w:p w14:paraId="67014FE0" w14:textId="77777777" w:rsidR="005B5953" w:rsidRPr="00E571CE" w:rsidRDefault="005B5953" w:rsidP="00250DAC">
            <w:pPr>
              <w:spacing w:after="0" w:line="240" w:lineRule="auto"/>
              <w:jc w:val="both"/>
              <w:rPr>
                <w:rFonts w:ascii="Times New Roman" w:hAnsi="Times New Roman"/>
                <w:sz w:val="20"/>
                <w:szCs w:val="20"/>
              </w:rPr>
            </w:pPr>
            <w:r w:rsidRPr="00E571CE">
              <w:rPr>
                <w:rFonts w:ascii="Times New Roman" w:hAnsi="Times New Roman"/>
                <w:sz w:val="20"/>
                <w:szCs w:val="20"/>
              </w:rPr>
              <w:t xml:space="preserve">Net asset value per share (A/C) (Face Value of </w:t>
            </w:r>
            <w:r w:rsidRPr="005B12AE">
              <w:rPr>
                <w:rFonts w:ascii="Times New Roman" w:hAnsi="Times New Roman"/>
                <w:sz w:val="20"/>
                <w:szCs w:val="20"/>
              </w:rPr>
              <w:t>₹</w:t>
            </w:r>
            <w:r w:rsidRPr="00E571CE">
              <w:rPr>
                <w:rFonts w:ascii="Times New Roman" w:hAnsi="Times New Roman"/>
                <w:sz w:val="20"/>
                <w:szCs w:val="20"/>
              </w:rPr>
              <w:t xml:space="preserve"> 10 Each) (Based on Actual Number of Shares) </w:t>
            </w:r>
          </w:p>
        </w:tc>
        <w:tc>
          <w:tcPr>
            <w:tcW w:w="654" w:type="pct"/>
            <w:shd w:val="clear" w:color="auto" w:fill="auto"/>
            <w:noWrap/>
            <w:vAlign w:val="bottom"/>
            <w:hideMark/>
          </w:tcPr>
          <w:p w14:paraId="386235F8"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33.63</w:t>
            </w:r>
          </w:p>
        </w:tc>
        <w:tc>
          <w:tcPr>
            <w:tcW w:w="588" w:type="pct"/>
            <w:shd w:val="clear" w:color="auto" w:fill="auto"/>
            <w:noWrap/>
            <w:vAlign w:val="bottom"/>
            <w:hideMark/>
          </w:tcPr>
          <w:p w14:paraId="2ABD2CA8"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28.08</w:t>
            </w:r>
          </w:p>
        </w:tc>
        <w:tc>
          <w:tcPr>
            <w:tcW w:w="596" w:type="pct"/>
            <w:shd w:val="clear" w:color="auto" w:fill="auto"/>
            <w:noWrap/>
            <w:vAlign w:val="bottom"/>
            <w:hideMark/>
          </w:tcPr>
          <w:p w14:paraId="36670066"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25.75</w:t>
            </w:r>
          </w:p>
        </w:tc>
      </w:tr>
      <w:tr w:rsidR="005B5953" w:rsidRPr="005B12AE" w14:paraId="0265BAEE" w14:textId="77777777" w:rsidTr="00250DAC">
        <w:trPr>
          <w:trHeight w:val="20"/>
        </w:trPr>
        <w:tc>
          <w:tcPr>
            <w:tcW w:w="3162" w:type="pct"/>
            <w:shd w:val="clear" w:color="auto" w:fill="auto"/>
            <w:vAlign w:val="bottom"/>
            <w:hideMark/>
          </w:tcPr>
          <w:p w14:paraId="6221CA92" w14:textId="77777777" w:rsidR="005B5953" w:rsidRPr="00E571CE" w:rsidRDefault="005B5953" w:rsidP="00250DAC">
            <w:pPr>
              <w:spacing w:after="0" w:line="240" w:lineRule="auto"/>
              <w:jc w:val="both"/>
              <w:rPr>
                <w:rFonts w:ascii="Times New Roman" w:hAnsi="Times New Roman"/>
                <w:sz w:val="20"/>
                <w:szCs w:val="20"/>
              </w:rPr>
            </w:pPr>
            <w:r w:rsidRPr="00E571CE">
              <w:rPr>
                <w:rFonts w:ascii="Times New Roman" w:hAnsi="Times New Roman"/>
                <w:sz w:val="20"/>
                <w:szCs w:val="20"/>
              </w:rPr>
              <w:t xml:space="preserve">Net asset value per share (A/C) (Face Value of </w:t>
            </w:r>
            <w:r w:rsidRPr="005B12AE">
              <w:rPr>
                <w:rFonts w:ascii="Times New Roman" w:hAnsi="Times New Roman"/>
                <w:sz w:val="20"/>
                <w:szCs w:val="20"/>
              </w:rPr>
              <w:t>₹</w:t>
            </w:r>
            <w:r w:rsidRPr="00E571CE">
              <w:rPr>
                <w:rFonts w:ascii="Times New Roman" w:hAnsi="Times New Roman"/>
                <w:sz w:val="20"/>
                <w:szCs w:val="20"/>
              </w:rPr>
              <w:t xml:space="preserve"> 10 Each) (Based on Weighted Average Number of Shares) </w:t>
            </w:r>
          </w:p>
        </w:tc>
        <w:tc>
          <w:tcPr>
            <w:tcW w:w="654" w:type="pct"/>
            <w:shd w:val="clear" w:color="auto" w:fill="auto"/>
            <w:noWrap/>
            <w:vAlign w:val="bottom"/>
            <w:hideMark/>
          </w:tcPr>
          <w:p w14:paraId="45652B44"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33.63</w:t>
            </w:r>
          </w:p>
        </w:tc>
        <w:tc>
          <w:tcPr>
            <w:tcW w:w="588" w:type="pct"/>
            <w:shd w:val="clear" w:color="auto" w:fill="auto"/>
            <w:noWrap/>
            <w:vAlign w:val="bottom"/>
            <w:hideMark/>
          </w:tcPr>
          <w:p w14:paraId="55399C94"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28.08</w:t>
            </w:r>
          </w:p>
        </w:tc>
        <w:tc>
          <w:tcPr>
            <w:tcW w:w="596" w:type="pct"/>
            <w:shd w:val="clear" w:color="auto" w:fill="auto"/>
            <w:noWrap/>
            <w:vAlign w:val="bottom"/>
            <w:hideMark/>
          </w:tcPr>
          <w:p w14:paraId="1E38C18B"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25.75</w:t>
            </w:r>
          </w:p>
        </w:tc>
      </w:tr>
      <w:tr w:rsidR="005B5953" w:rsidRPr="005B12AE" w14:paraId="30561B8C" w14:textId="77777777" w:rsidTr="00250DAC">
        <w:trPr>
          <w:trHeight w:val="20"/>
        </w:trPr>
        <w:tc>
          <w:tcPr>
            <w:tcW w:w="3162" w:type="pct"/>
            <w:shd w:val="clear" w:color="auto" w:fill="auto"/>
            <w:noWrap/>
            <w:vAlign w:val="bottom"/>
            <w:hideMark/>
          </w:tcPr>
          <w:p w14:paraId="13C0F03D" w14:textId="77777777" w:rsidR="005B5953" w:rsidRPr="00E571CE" w:rsidRDefault="005B5953" w:rsidP="00250DAC">
            <w:pPr>
              <w:spacing w:after="0" w:line="240" w:lineRule="auto"/>
              <w:rPr>
                <w:rFonts w:ascii="Times New Roman" w:hAnsi="Times New Roman"/>
                <w:sz w:val="20"/>
                <w:szCs w:val="20"/>
              </w:rPr>
            </w:pPr>
            <w:r w:rsidRPr="00E571CE">
              <w:rPr>
                <w:rFonts w:ascii="Times New Roman" w:hAnsi="Times New Roman"/>
                <w:sz w:val="20"/>
                <w:szCs w:val="20"/>
              </w:rPr>
              <w:t>EBITDA</w:t>
            </w:r>
          </w:p>
        </w:tc>
        <w:tc>
          <w:tcPr>
            <w:tcW w:w="654" w:type="pct"/>
            <w:shd w:val="clear" w:color="auto" w:fill="auto"/>
            <w:noWrap/>
            <w:vAlign w:val="bottom"/>
            <w:hideMark/>
          </w:tcPr>
          <w:p w14:paraId="6BCD1B58"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1,157.48</w:t>
            </w:r>
          </w:p>
        </w:tc>
        <w:tc>
          <w:tcPr>
            <w:tcW w:w="588" w:type="pct"/>
            <w:shd w:val="clear" w:color="auto" w:fill="auto"/>
            <w:noWrap/>
            <w:vAlign w:val="bottom"/>
            <w:hideMark/>
          </w:tcPr>
          <w:p w14:paraId="369EDEE1"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513.94</w:t>
            </w:r>
          </w:p>
        </w:tc>
        <w:tc>
          <w:tcPr>
            <w:tcW w:w="596" w:type="pct"/>
            <w:shd w:val="clear" w:color="auto" w:fill="auto"/>
            <w:noWrap/>
            <w:vAlign w:val="bottom"/>
            <w:hideMark/>
          </w:tcPr>
          <w:p w14:paraId="07D92466" w14:textId="77777777" w:rsidR="005B5953" w:rsidRPr="00E571CE" w:rsidRDefault="005B5953" w:rsidP="00250DAC">
            <w:pPr>
              <w:spacing w:after="0" w:line="240" w:lineRule="auto"/>
              <w:jc w:val="center"/>
              <w:rPr>
                <w:rFonts w:ascii="Times New Roman" w:hAnsi="Times New Roman"/>
                <w:sz w:val="20"/>
                <w:szCs w:val="20"/>
              </w:rPr>
            </w:pPr>
            <w:r w:rsidRPr="00E571CE">
              <w:rPr>
                <w:rFonts w:ascii="Times New Roman" w:hAnsi="Times New Roman"/>
                <w:sz w:val="20"/>
                <w:szCs w:val="20"/>
              </w:rPr>
              <w:t>375.97</w:t>
            </w:r>
          </w:p>
        </w:tc>
      </w:tr>
    </w:tbl>
    <w:p w14:paraId="726B9010" w14:textId="77777777" w:rsidR="005B5953" w:rsidRPr="005B12AE" w:rsidRDefault="005B5953" w:rsidP="005B5953">
      <w:pPr>
        <w:spacing w:after="0"/>
        <w:rPr>
          <w:rFonts w:ascii="Times New Roman" w:hAnsi="Times New Roman"/>
          <w:color w:val="000000"/>
          <w:sz w:val="20"/>
          <w:szCs w:val="20"/>
        </w:rPr>
      </w:pPr>
      <w:r w:rsidRPr="005B12AE">
        <w:rPr>
          <w:rFonts w:ascii="Times New Roman" w:hAnsi="Times New Roman"/>
          <w:color w:val="000000"/>
          <w:sz w:val="20"/>
          <w:szCs w:val="20"/>
        </w:rPr>
        <w:t>Note:</w:t>
      </w:r>
    </w:p>
    <w:p w14:paraId="2382BD96" w14:textId="77777777" w:rsidR="005B5953" w:rsidRPr="005B12AE" w:rsidRDefault="005B5953">
      <w:pPr>
        <w:pStyle w:val="ListParagraph"/>
        <w:numPr>
          <w:ilvl w:val="0"/>
          <w:numId w:val="330"/>
        </w:numPr>
        <w:suppressAutoHyphens w:val="0"/>
        <w:autoSpaceDE/>
        <w:autoSpaceDN/>
        <w:adjustRightInd/>
        <w:spacing w:line="259" w:lineRule="auto"/>
        <w:ind w:left="360"/>
        <w:contextualSpacing/>
        <w:jc w:val="both"/>
        <w:textAlignment w:val="auto"/>
        <w:rPr>
          <w:sz w:val="20"/>
          <w:szCs w:val="20"/>
        </w:rPr>
      </w:pPr>
      <w:r w:rsidRPr="005B12AE">
        <w:rPr>
          <w:sz w:val="20"/>
          <w:szCs w:val="20"/>
        </w:rPr>
        <w:t>The ratios have been computed as below: The Below ratio's have not been annualized for the period ended 31st March, 2023.</w:t>
      </w:r>
    </w:p>
    <w:p w14:paraId="69AFDC10" w14:textId="77777777" w:rsidR="005B5953" w:rsidRPr="005B12AE" w:rsidRDefault="005B5953">
      <w:pPr>
        <w:pStyle w:val="ListParagraph"/>
        <w:numPr>
          <w:ilvl w:val="1"/>
          <w:numId w:val="330"/>
        </w:numPr>
        <w:suppressAutoHyphens w:val="0"/>
        <w:autoSpaceDE/>
        <w:autoSpaceDN/>
        <w:adjustRightInd/>
        <w:spacing w:line="259" w:lineRule="auto"/>
        <w:ind w:left="720"/>
        <w:contextualSpacing/>
        <w:jc w:val="both"/>
        <w:textAlignment w:val="auto"/>
        <w:rPr>
          <w:sz w:val="20"/>
          <w:szCs w:val="20"/>
        </w:rPr>
      </w:pPr>
      <w:r w:rsidRPr="005B12AE">
        <w:rPr>
          <w:sz w:val="20"/>
          <w:szCs w:val="20"/>
        </w:rPr>
        <w:t>Basic earnings per share (₹): Net profit after tax as restated for calculating basic EPS/ Weighted average number of equity shares outstanding at the end of the period or year</w:t>
      </w:r>
    </w:p>
    <w:p w14:paraId="1A9A30F9" w14:textId="77777777" w:rsidR="005B5953" w:rsidRPr="005B12AE" w:rsidRDefault="005B5953">
      <w:pPr>
        <w:pStyle w:val="ListParagraph"/>
        <w:numPr>
          <w:ilvl w:val="1"/>
          <w:numId w:val="330"/>
        </w:numPr>
        <w:suppressAutoHyphens w:val="0"/>
        <w:autoSpaceDE/>
        <w:autoSpaceDN/>
        <w:adjustRightInd/>
        <w:spacing w:line="259" w:lineRule="auto"/>
        <w:ind w:left="720"/>
        <w:contextualSpacing/>
        <w:jc w:val="both"/>
        <w:textAlignment w:val="auto"/>
        <w:rPr>
          <w:sz w:val="20"/>
          <w:szCs w:val="20"/>
        </w:rPr>
      </w:pPr>
      <w:r w:rsidRPr="005B12AE">
        <w:rPr>
          <w:sz w:val="20"/>
          <w:szCs w:val="20"/>
        </w:rPr>
        <w:t>Diluted earnings per share (₹):  Net profit after tax as restated for calculating diluted EPS/ Weighted average number of equity shares outstanding at the end of the period or year for diluted EPS</w:t>
      </w:r>
    </w:p>
    <w:p w14:paraId="28558E29" w14:textId="77777777" w:rsidR="005B5953" w:rsidRPr="005B12AE" w:rsidRDefault="005B5953">
      <w:pPr>
        <w:pStyle w:val="ListParagraph"/>
        <w:numPr>
          <w:ilvl w:val="1"/>
          <w:numId w:val="330"/>
        </w:numPr>
        <w:suppressAutoHyphens w:val="0"/>
        <w:autoSpaceDE/>
        <w:autoSpaceDN/>
        <w:adjustRightInd/>
        <w:spacing w:line="259" w:lineRule="auto"/>
        <w:ind w:left="720"/>
        <w:contextualSpacing/>
        <w:jc w:val="both"/>
        <w:textAlignment w:val="auto"/>
        <w:rPr>
          <w:sz w:val="20"/>
          <w:szCs w:val="20"/>
        </w:rPr>
      </w:pPr>
      <w:r w:rsidRPr="005B12AE">
        <w:rPr>
          <w:sz w:val="20"/>
          <w:szCs w:val="20"/>
        </w:rPr>
        <w:t>Return on net worth (%): Net profit after tax (as restated)/ Net worth at the end of the period or year</w:t>
      </w:r>
    </w:p>
    <w:p w14:paraId="753B7C3B" w14:textId="77777777" w:rsidR="005B5953" w:rsidRPr="005B12AE" w:rsidRDefault="005B5953">
      <w:pPr>
        <w:pStyle w:val="ListParagraph"/>
        <w:numPr>
          <w:ilvl w:val="1"/>
          <w:numId w:val="330"/>
        </w:numPr>
        <w:suppressAutoHyphens w:val="0"/>
        <w:autoSpaceDE/>
        <w:autoSpaceDN/>
        <w:adjustRightInd/>
        <w:spacing w:line="259" w:lineRule="auto"/>
        <w:ind w:left="720"/>
        <w:contextualSpacing/>
        <w:jc w:val="both"/>
        <w:textAlignment w:val="auto"/>
        <w:rPr>
          <w:sz w:val="20"/>
          <w:szCs w:val="20"/>
        </w:rPr>
      </w:pPr>
      <w:r w:rsidRPr="005B12AE">
        <w:rPr>
          <w:sz w:val="20"/>
          <w:szCs w:val="20"/>
        </w:rPr>
        <w:t>Net assets value per share: Net Worth at the end of the period or year/ Total number of equity shares outstanding at the end of the period or year</w:t>
      </w:r>
    </w:p>
    <w:p w14:paraId="0619CC43" w14:textId="77777777" w:rsidR="005B5953" w:rsidRPr="005B12AE" w:rsidRDefault="005B5953">
      <w:pPr>
        <w:pStyle w:val="ListParagraph"/>
        <w:numPr>
          <w:ilvl w:val="0"/>
          <w:numId w:val="330"/>
        </w:numPr>
        <w:suppressAutoHyphens w:val="0"/>
        <w:autoSpaceDE/>
        <w:autoSpaceDN/>
        <w:adjustRightInd/>
        <w:spacing w:line="259" w:lineRule="auto"/>
        <w:ind w:left="360"/>
        <w:contextualSpacing/>
        <w:jc w:val="both"/>
        <w:textAlignment w:val="auto"/>
        <w:rPr>
          <w:sz w:val="20"/>
          <w:szCs w:val="20"/>
        </w:rPr>
      </w:pPr>
      <w:r w:rsidRPr="005B12AE">
        <w:rPr>
          <w:sz w:val="20"/>
          <w:szCs w:val="20"/>
        </w:rPr>
        <w:t>Weighted average number of equity shares is the number of equity shares outstanding at the beginning of the period/year adjusted by the number of equity shares issued during period/year multiplied by the time weighting factor. The time weighting factor is the number of days for which the specific shares are outstanding as a proportion of total number of days during the period/year.</w:t>
      </w:r>
    </w:p>
    <w:p w14:paraId="26BDDE50" w14:textId="77777777" w:rsidR="005B5953" w:rsidRPr="005B12AE" w:rsidRDefault="005B5953">
      <w:pPr>
        <w:pStyle w:val="ListParagraph"/>
        <w:numPr>
          <w:ilvl w:val="0"/>
          <w:numId w:val="330"/>
        </w:numPr>
        <w:suppressAutoHyphens w:val="0"/>
        <w:autoSpaceDE/>
        <w:autoSpaceDN/>
        <w:adjustRightInd/>
        <w:spacing w:line="259" w:lineRule="auto"/>
        <w:ind w:left="360"/>
        <w:contextualSpacing/>
        <w:jc w:val="both"/>
        <w:textAlignment w:val="auto"/>
        <w:rPr>
          <w:sz w:val="20"/>
          <w:szCs w:val="20"/>
        </w:rPr>
      </w:pPr>
      <w:r w:rsidRPr="005B12AE">
        <w:rPr>
          <w:sz w:val="20"/>
          <w:szCs w:val="20"/>
        </w:rPr>
        <w:t>Net worth for ratios mentioned in note 1(c) and 1(d) is = Equity share capital + Reserves and surplus (including, Securities Premium, General Reserve and surplus in statement of profit and loss).</w:t>
      </w:r>
    </w:p>
    <w:p w14:paraId="381CA4DC" w14:textId="77777777" w:rsidR="007A781D" w:rsidRDefault="005B5953">
      <w:pPr>
        <w:pStyle w:val="ListParagraph"/>
        <w:numPr>
          <w:ilvl w:val="0"/>
          <w:numId w:val="330"/>
        </w:numPr>
        <w:suppressAutoHyphens w:val="0"/>
        <w:autoSpaceDE/>
        <w:autoSpaceDN/>
        <w:adjustRightInd/>
        <w:spacing w:line="259" w:lineRule="auto"/>
        <w:ind w:left="360"/>
        <w:contextualSpacing/>
        <w:jc w:val="both"/>
        <w:textAlignment w:val="auto"/>
        <w:rPr>
          <w:sz w:val="20"/>
          <w:szCs w:val="20"/>
        </w:rPr>
      </w:pPr>
      <w:r w:rsidRPr="007A781D">
        <w:rPr>
          <w:sz w:val="20"/>
          <w:szCs w:val="20"/>
        </w:rPr>
        <w:t>The figures disclosed above are based on the estated summary statements of the Company.</w:t>
      </w:r>
    </w:p>
    <w:p w14:paraId="5438F7D4" w14:textId="31F25110" w:rsidR="005B5953" w:rsidRDefault="005B5953">
      <w:pPr>
        <w:pStyle w:val="ListParagraph"/>
        <w:numPr>
          <w:ilvl w:val="0"/>
          <w:numId w:val="330"/>
        </w:numPr>
        <w:suppressAutoHyphens w:val="0"/>
        <w:autoSpaceDE/>
        <w:autoSpaceDN/>
        <w:adjustRightInd/>
        <w:spacing w:line="259" w:lineRule="auto"/>
        <w:ind w:left="360"/>
        <w:contextualSpacing/>
        <w:jc w:val="both"/>
        <w:textAlignment w:val="auto"/>
        <w:rPr>
          <w:sz w:val="20"/>
          <w:szCs w:val="20"/>
        </w:rPr>
      </w:pPr>
      <w:r w:rsidRPr="007A781D">
        <w:rPr>
          <w:sz w:val="20"/>
          <w:szCs w:val="20"/>
        </w:rPr>
        <w:t>EBITDA has been calculated as Profit before tax + Depreciation + Interest Expenses – Other Income.</w:t>
      </w:r>
    </w:p>
    <w:p w14:paraId="4CA72C7B" w14:textId="77777777" w:rsidR="0083687D" w:rsidRDefault="0083687D" w:rsidP="0083687D">
      <w:pPr>
        <w:spacing w:after="0" w:line="259" w:lineRule="auto"/>
        <w:rPr>
          <w:rFonts w:ascii="Times New Roman" w:hAnsi="Times New Roman"/>
          <w:sz w:val="20"/>
          <w:szCs w:val="20"/>
        </w:rPr>
      </w:pPr>
    </w:p>
    <w:p w14:paraId="73A88136" w14:textId="77777777" w:rsidR="0083687D" w:rsidRDefault="0083687D" w:rsidP="0083687D">
      <w:pPr>
        <w:spacing w:after="0" w:line="259" w:lineRule="auto"/>
        <w:rPr>
          <w:rFonts w:ascii="Times New Roman" w:hAnsi="Times New Roman"/>
          <w:sz w:val="20"/>
          <w:szCs w:val="20"/>
        </w:rPr>
      </w:pPr>
    </w:p>
    <w:p w14:paraId="09372920" w14:textId="77777777" w:rsidR="0083687D" w:rsidRDefault="0083687D" w:rsidP="0083687D">
      <w:pPr>
        <w:spacing w:after="0" w:line="259" w:lineRule="auto"/>
        <w:rPr>
          <w:rFonts w:ascii="Times New Roman" w:hAnsi="Times New Roman"/>
          <w:sz w:val="20"/>
          <w:szCs w:val="20"/>
        </w:rPr>
      </w:pPr>
    </w:p>
    <w:p w14:paraId="165B654D" w14:textId="77777777" w:rsidR="0083687D" w:rsidRDefault="0083687D" w:rsidP="0083687D">
      <w:pPr>
        <w:spacing w:after="0" w:line="259" w:lineRule="auto"/>
        <w:rPr>
          <w:rFonts w:ascii="Times New Roman" w:hAnsi="Times New Roman"/>
          <w:sz w:val="20"/>
          <w:szCs w:val="20"/>
        </w:rPr>
      </w:pPr>
    </w:p>
    <w:p w14:paraId="6F30993B" w14:textId="77777777" w:rsidR="0083687D" w:rsidRPr="0083687D" w:rsidRDefault="0083687D" w:rsidP="0083687D">
      <w:pPr>
        <w:spacing w:after="0" w:line="259" w:lineRule="auto"/>
        <w:rPr>
          <w:rFonts w:ascii="Times New Roman" w:hAnsi="Times New Roman"/>
          <w:sz w:val="20"/>
          <w:szCs w:val="20"/>
        </w:rPr>
      </w:pPr>
    </w:p>
    <w:p w14:paraId="7FC392E3" w14:textId="77777777" w:rsidR="0083687D" w:rsidRDefault="0083687D" w:rsidP="0083687D">
      <w:pPr>
        <w:spacing w:after="0"/>
        <w:rPr>
          <w:rFonts w:ascii="Times New Roman" w:hAnsi="Times New Roman"/>
          <w:b/>
          <w:bCs/>
          <w:color w:val="000000"/>
          <w:sz w:val="20"/>
          <w:szCs w:val="20"/>
        </w:rPr>
      </w:pPr>
      <w:r w:rsidRPr="00634FDB">
        <w:rPr>
          <w:rFonts w:ascii="Times New Roman" w:hAnsi="Times New Roman"/>
          <w:b/>
          <w:bCs/>
          <w:color w:val="000000"/>
          <w:sz w:val="20"/>
          <w:szCs w:val="20"/>
        </w:rPr>
        <w:t>Analytical Ratios for Financial Year 2022-23 and 2021-22</w:t>
      </w:r>
    </w:p>
    <w:p w14:paraId="0CE71890" w14:textId="77777777" w:rsidR="0083687D" w:rsidRDefault="0083687D" w:rsidP="0083687D">
      <w:pPr>
        <w:spacing w:after="0"/>
        <w:rPr>
          <w:rFonts w:ascii="Times New Roman" w:hAnsi="Times New Roman"/>
          <w:b/>
          <w:bCs/>
          <w:color w:val="000000"/>
          <w:sz w:val="20"/>
          <w:szCs w:val="20"/>
        </w:rPr>
      </w:pPr>
    </w:p>
    <w:tbl>
      <w:tblPr>
        <w:tblW w:w="10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7"/>
        <w:gridCol w:w="2247"/>
        <w:gridCol w:w="1217"/>
        <w:gridCol w:w="1310"/>
        <w:gridCol w:w="1123"/>
        <w:gridCol w:w="2737"/>
      </w:tblGrid>
      <w:tr w:rsidR="0083687D" w:rsidRPr="00634FDB" w14:paraId="1E151071" w14:textId="77777777" w:rsidTr="0083687D">
        <w:trPr>
          <w:trHeight w:val="20"/>
        </w:trPr>
        <w:tc>
          <w:tcPr>
            <w:tcW w:w="1867" w:type="dxa"/>
            <w:shd w:val="clear" w:color="auto" w:fill="D0CECE" w:themeFill="background2" w:themeFillShade="E6"/>
            <w:vAlign w:val="center"/>
            <w:hideMark/>
          </w:tcPr>
          <w:p w14:paraId="18A5F6CD" w14:textId="77777777" w:rsidR="0083687D" w:rsidRPr="00634FDB" w:rsidRDefault="0083687D" w:rsidP="00250DAC">
            <w:pPr>
              <w:spacing w:after="0" w:line="240" w:lineRule="auto"/>
              <w:jc w:val="both"/>
              <w:rPr>
                <w:rFonts w:ascii="Times New Roman" w:hAnsi="Times New Roman"/>
                <w:b/>
                <w:bCs/>
                <w:sz w:val="20"/>
                <w:szCs w:val="20"/>
              </w:rPr>
            </w:pPr>
            <w:r w:rsidRPr="00634FDB">
              <w:rPr>
                <w:rFonts w:ascii="Times New Roman" w:hAnsi="Times New Roman"/>
                <w:b/>
                <w:bCs/>
                <w:sz w:val="20"/>
                <w:szCs w:val="20"/>
              </w:rPr>
              <w:t>Particulars</w:t>
            </w:r>
          </w:p>
        </w:tc>
        <w:tc>
          <w:tcPr>
            <w:tcW w:w="2247" w:type="dxa"/>
            <w:shd w:val="clear" w:color="auto" w:fill="D0CECE" w:themeFill="background2" w:themeFillShade="E6"/>
            <w:vAlign w:val="center"/>
            <w:hideMark/>
          </w:tcPr>
          <w:p w14:paraId="31F9C993" w14:textId="77777777" w:rsidR="0083687D" w:rsidRPr="00634FDB" w:rsidRDefault="0083687D" w:rsidP="00250DAC">
            <w:pPr>
              <w:spacing w:after="0" w:line="240" w:lineRule="auto"/>
              <w:jc w:val="center"/>
              <w:rPr>
                <w:rFonts w:ascii="Times New Roman" w:hAnsi="Times New Roman"/>
                <w:b/>
                <w:bCs/>
                <w:sz w:val="20"/>
                <w:szCs w:val="20"/>
              </w:rPr>
            </w:pPr>
            <w:r w:rsidRPr="00634FDB">
              <w:rPr>
                <w:rFonts w:ascii="Times New Roman" w:hAnsi="Times New Roman"/>
                <w:b/>
                <w:bCs/>
                <w:sz w:val="20"/>
                <w:szCs w:val="20"/>
              </w:rPr>
              <w:t>Numerator/</w:t>
            </w:r>
            <w:r>
              <w:rPr>
                <w:rFonts w:ascii="Times New Roman" w:hAnsi="Times New Roman"/>
                <w:b/>
                <w:bCs/>
                <w:sz w:val="20"/>
                <w:szCs w:val="20"/>
              </w:rPr>
              <w:t xml:space="preserve"> </w:t>
            </w:r>
            <w:r w:rsidRPr="00634FDB">
              <w:rPr>
                <w:rFonts w:ascii="Times New Roman" w:hAnsi="Times New Roman"/>
                <w:b/>
                <w:bCs/>
                <w:sz w:val="20"/>
                <w:szCs w:val="20"/>
              </w:rPr>
              <w:t>Denominator</w:t>
            </w:r>
          </w:p>
        </w:tc>
        <w:tc>
          <w:tcPr>
            <w:tcW w:w="1217" w:type="dxa"/>
            <w:shd w:val="clear" w:color="auto" w:fill="D0CECE" w:themeFill="background2" w:themeFillShade="E6"/>
            <w:vAlign w:val="center"/>
            <w:hideMark/>
          </w:tcPr>
          <w:p w14:paraId="56B6E198" w14:textId="77777777" w:rsidR="0083687D" w:rsidRPr="00634FDB" w:rsidRDefault="0083687D" w:rsidP="00250DAC">
            <w:pPr>
              <w:spacing w:after="0" w:line="240" w:lineRule="auto"/>
              <w:jc w:val="center"/>
              <w:rPr>
                <w:rFonts w:ascii="Times New Roman" w:hAnsi="Times New Roman"/>
                <w:b/>
                <w:bCs/>
                <w:sz w:val="20"/>
                <w:szCs w:val="20"/>
              </w:rPr>
            </w:pPr>
            <w:r>
              <w:rPr>
                <w:rFonts w:ascii="Times New Roman" w:hAnsi="Times New Roman"/>
                <w:b/>
                <w:bCs/>
                <w:sz w:val="20"/>
                <w:szCs w:val="20"/>
              </w:rPr>
              <w:t>31/03/2023</w:t>
            </w:r>
          </w:p>
        </w:tc>
        <w:tc>
          <w:tcPr>
            <w:tcW w:w="1310" w:type="dxa"/>
            <w:shd w:val="clear" w:color="auto" w:fill="D0CECE" w:themeFill="background2" w:themeFillShade="E6"/>
            <w:vAlign w:val="center"/>
            <w:hideMark/>
          </w:tcPr>
          <w:p w14:paraId="40F97237" w14:textId="77777777" w:rsidR="0083687D" w:rsidRPr="00634FDB" w:rsidRDefault="0083687D" w:rsidP="00250DAC">
            <w:pPr>
              <w:spacing w:after="0" w:line="240" w:lineRule="auto"/>
              <w:jc w:val="center"/>
              <w:rPr>
                <w:rFonts w:ascii="Times New Roman" w:hAnsi="Times New Roman"/>
                <w:b/>
                <w:bCs/>
                <w:sz w:val="20"/>
                <w:szCs w:val="20"/>
              </w:rPr>
            </w:pPr>
            <w:r>
              <w:rPr>
                <w:rFonts w:ascii="Times New Roman" w:hAnsi="Times New Roman"/>
                <w:b/>
                <w:bCs/>
                <w:sz w:val="20"/>
                <w:szCs w:val="20"/>
              </w:rPr>
              <w:t>31/03/2022</w:t>
            </w:r>
          </w:p>
        </w:tc>
        <w:tc>
          <w:tcPr>
            <w:tcW w:w="1123" w:type="dxa"/>
            <w:shd w:val="clear" w:color="auto" w:fill="D0CECE" w:themeFill="background2" w:themeFillShade="E6"/>
            <w:vAlign w:val="center"/>
            <w:hideMark/>
          </w:tcPr>
          <w:p w14:paraId="3C9F7455" w14:textId="77777777" w:rsidR="0083687D" w:rsidRPr="00634FDB" w:rsidRDefault="0083687D" w:rsidP="00250DAC">
            <w:pPr>
              <w:spacing w:after="0" w:line="240" w:lineRule="auto"/>
              <w:jc w:val="center"/>
              <w:rPr>
                <w:rFonts w:ascii="Times New Roman" w:hAnsi="Times New Roman"/>
                <w:b/>
                <w:bCs/>
                <w:sz w:val="20"/>
                <w:szCs w:val="20"/>
              </w:rPr>
            </w:pPr>
            <w:r w:rsidRPr="00634FDB">
              <w:rPr>
                <w:rFonts w:ascii="Times New Roman" w:hAnsi="Times New Roman"/>
                <w:b/>
                <w:bCs/>
                <w:sz w:val="20"/>
                <w:szCs w:val="20"/>
              </w:rPr>
              <w:t>Change in %</w:t>
            </w:r>
          </w:p>
        </w:tc>
        <w:tc>
          <w:tcPr>
            <w:tcW w:w="2737" w:type="dxa"/>
            <w:shd w:val="clear" w:color="auto" w:fill="D0CECE" w:themeFill="background2" w:themeFillShade="E6"/>
            <w:vAlign w:val="center"/>
            <w:hideMark/>
          </w:tcPr>
          <w:p w14:paraId="4C3EBE3D" w14:textId="77777777" w:rsidR="0083687D" w:rsidRPr="00634FDB" w:rsidRDefault="0083687D" w:rsidP="00250DAC">
            <w:pPr>
              <w:spacing w:after="0" w:line="240" w:lineRule="auto"/>
              <w:jc w:val="both"/>
              <w:rPr>
                <w:rFonts w:ascii="Times New Roman" w:hAnsi="Times New Roman"/>
                <w:b/>
                <w:bCs/>
                <w:sz w:val="20"/>
                <w:szCs w:val="20"/>
              </w:rPr>
            </w:pPr>
            <w:r w:rsidRPr="00634FDB">
              <w:rPr>
                <w:rFonts w:ascii="Times New Roman" w:hAnsi="Times New Roman"/>
                <w:b/>
                <w:bCs/>
                <w:sz w:val="20"/>
                <w:szCs w:val="20"/>
              </w:rPr>
              <w:t xml:space="preserve">Reasons for more </w:t>
            </w:r>
            <w:r w:rsidRPr="00634FDB">
              <w:rPr>
                <w:rFonts w:ascii="Times New Roman" w:hAnsi="Times New Roman"/>
                <w:b/>
                <w:bCs/>
                <w:sz w:val="20"/>
                <w:szCs w:val="20"/>
              </w:rPr>
              <w:br/>
              <w:t>than 25% Variance</w:t>
            </w:r>
          </w:p>
        </w:tc>
      </w:tr>
      <w:tr w:rsidR="0083687D" w:rsidRPr="00634FDB" w14:paraId="00AE02CB" w14:textId="77777777" w:rsidTr="0083687D">
        <w:trPr>
          <w:trHeight w:val="20"/>
        </w:trPr>
        <w:tc>
          <w:tcPr>
            <w:tcW w:w="1867" w:type="dxa"/>
            <w:vMerge w:val="restart"/>
            <w:shd w:val="clear" w:color="000000" w:fill="FFFFFF"/>
            <w:noWrap/>
            <w:vAlign w:val="center"/>
            <w:hideMark/>
          </w:tcPr>
          <w:p w14:paraId="29247035" w14:textId="77777777" w:rsidR="0083687D" w:rsidRPr="00634FDB" w:rsidRDefault="0083687D" w:rsidP="00250DAC">
            <w:pPr>
              <w:spacing w:after="0" w:line="240" w:lineRule="auto"/>
              <w:jc w:val="both"/>
              <w:rPr>
                <w:rFonts w:ascii="Times New Roman" w:hAnsi="Times New Roman"/>
                <w:sz w:val="20"/>
                <w:szCs w:val="20"/>
              </w:rPr>
            </w:pPr>
            <w:r w:rsidRPr="00634FDB">
              <w:rPr>
                <w:rFonts w:ascii="Times New Roman" w:hAnsi="Times New Roman"/>
                <w:sz w:val="20"/>
                <w:szCs w:val="20"/>
              </w:rPr>
              <w:t>(a) Current Ratio</w:t>
            </w:r>
          </w:p>
        </w:tc>
        <w:tc>
          <w:tcPr>
            <w:tcW w:w="2247" w:type="dxa"/>
            <w:tcBorders>
              <w:bottom w:val="nil"/>
            </w:tcBorders>
            <w:shd w:val="clear" w:color="000000" w:fill="FFFFFF"/>
            <w:noWrap/>
            <w:vAlign w:val="bottom"/>
            <w:hideMark/>
          </w:tcPr>
          <w:p w14:paraId="75F15AB9" w14:textId="77777777" w:rsidR="0083687D" w:rsidRPr="00634FDB" w:rsidRDefault="0083687D" w:rsidP="00250DAC">
            <w:pPr>
              <w:spacing w:after="0" w:line="240" w:lineRule="auto"/>
              <w:jc w:val="center"/>
              <w:rPr>
                <w:rFonts w:ascii="Times New Roman" w:hAnsi="Times New Roman"/>
                <w:sz w:val="20"/>
                <w:szCs w:val="20"/>
                <w:u w:val="single"/>
              </w:rPr>
            </w:pPr>
            <w:r w:rsidRPr="00634FDB">
              <w:rPr>
                <w:rFonts w:ascii="Times New Roman" w:hAnsi="Times New Roman"/>
                <w:sz w:val="20"/>
                <w:szCs w:val="20"/>
                <w:u w:val="single"/>
              </w:rPr>
              <w:t>Current Assets</w:t>
            </w:r>
          </w:p>
        </w:tc>
        <w:tc>
          <w:tcPr>
            <w:tcW w:w="1217" w:type="dxa"/>
            <w:vMerge w:val="restart"/>
            <w:shd w:val="clear" w:color="000000" w:fill="FFFFFF"/>
            <w:noWrap/>
            <w:vAlign w:val="center"/>
            <w:hideMark/>
          </w:tcPr>
          <w:p w14:paraId="47325142"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1.46</w:t>
            </w:r>
          </w:p>
        </w:tc>
        <w:tc>
          <w:tcPr>
            <w:tcW w:w="1310" w:type="dxa"/>
            <w:vMerge w:val="restart"/>
            <w:shd w:val="clear" w:color="000000" w:fill="FFFFFF"/>
            <w:noWrap/>
            <w:vAlign w:val="center"/>
            <w:hideMark/>
          </w:tcPr>
          <w:p w14:paraId="70643A19"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1.58</w:t>
            </w:r>
          </w:p>
        </w:tc>
        <w:tc>
          <w:tcPr>
            <w:tcW w:w="1123" w:type="dxa"/>
            <w:vMerge w:val="restart"/>
            <w:shd w:val="clear" w:color="000000" w:fill="FFFFFF"/>
            <w:noWrap/>
            <w:vAlign w:val="center"/>
            <w:hideMark/>
          </w:tcPr>
          <w:p w14:paraId="5015CB37"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-7.23%</w:t>
            </w:r>
          </w:p>
        </w:tc>
        <w:tc>
          <w:tcPr>
            <w:tcW w:w="2737" w:type="dxa"/>
            <w:vMerge w:val="restart"/>
            <w:shd w:val="clear" w:color="000000" w:fill="FFFFFF"/>
            <w:vAlign w:val="center"/>
            <w:hideMark/>
          </w:tcPr>
          <w:p w14:paraId="6F21D9D0" w14:textId="77777777" w:rsidR="0083687D" w:rsidRPr="00634FDB" w:rsidRDefault="0083687D" w:rsidP="00250DAC">
            <w:pPr>
              <w:spacing w:after="0" w:line="240" w:lineRule="auto"/>
              <w:jc w:val="both"/>
              <w:rPr>
                <w:rFonts w:ascii="Times New Roman" w:hAnsi="Times New Roman"/>
                <w:sz w:val="20"/>
                <w:szCs w:val="20"/>
              </w:rPr>
            </w:pPr>
            <w:r w:rsidRPr="00634FDB">
              <w:rPr>
                <w:rFonts w:ascii="Times New Roman" w:hAnsi="Times New Roman"/>
                <w:sz w:val="20"/>
                <w:szCs w:val="20"/>
              </w:rPr>
              <w:t>-</w:t>
            </w:r>
          </w:p>
        </w:tc>
      </w:tr>
      <w:tr w:rsidR="0083687D" w:rsidRPr="00634FDB" w14:paraId="7C5AC1F5" w14:textId="77777777" w:rsidTr="0083687D">
        <w:trPr>
          <w:trHeight w:val="20"/>
        </w:trPr>
        <w:tc>
          <w:tcPr>
            <w:tcW w:w="1867" w:type="dxa"/>
            <w:vMerge/>
            <w:vAlign w:val="center"/>
            <w:hideMark/>
          </w:tcPr>
          <w:p w14:paraId="2EADCD89" w14:textId="77777777" w:rsidR="0083687D" w:rsidRPr="00634FDB" w:rsidRDefault="0083687D" w:rsidP="00250DAC">
            <w:pPr>
              <w:spacing w:after="0" w:line="240" w:lineRule="auto"/>
              <w:jc w:val="both"/>
              <w:rPr>
                <w:rFonts w:ascii="Times New Roman" w:hAnsi="Times New Roman"/>
                <w:sz w:val="20"/>
                <w:szCs w:val="20"/>
              </w:rPr>
            </w:pPr>
          </w:p>
        </w:tc>
        <w:tc>
          <w:tcPr>
            <w:tcW w:w="2247" w:type="dxa"/>
            <w:tcBorders>
              <w:top w:val="nil"/>
            </w:tcBorders>
            <w:shd w:val="clear" w:color="000000" w:fill="FFFFFF"/>
            <w:noWrap/>
            <w:hideMark/>
          </w:tcPr>
          <w:p w14:paraId="5CB2C58E"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Current Liabilities</w:t>
            </w:r>
          </w:p>
        </w:tc>
        <w:tc>
          <w:tcPr>
            <w:tcW w:w="1217" w:type="dxa"/>
            <w:vMerge/>
            <w:vAlign w:val="center"/>
            <w:hideMark/>
          </w:tcPr>
          <w:p w14:paraId="5151B42F" w14:textId="77777777" w:rsidR="0083687D" w:rsidRPr="00634FDB" w:rsidRDefault="0083687D" w:rsidP="00250DAC">
            <w:pPr>
              <w:spacing w:after="0" w:line="240" w:lineRule="auto"/>
              <w:jc w:val="center"/>
              <w:rPr>
                <w:rFonts w:ascii="Times New Roman" w:hAnsi="Times New Roman"/>
                <w:sz w:val="20"/>
                <w:szCs w:val="20"/>
              </w:rPr>
            </w:pPr>
          </w:p>
        </w:tc>
        <w:tc>
          <w:tcPr>
            <w:tcW w:w="1310" w:type="dxa"/>
            <w:vMerge/>
            <w:vAlign w:val="center"/>
            <w:hideMark/>
          </w:tcPr>
          <w:p w14:paraId="467A5E45" w14:textId="77777777" w:rsidR="0083687D" w:rsidRPr="00634FDB" w:rsidRDefault="0083687D" w:rsidP="00250DAC">
            <w:pPr>
              <w:spacing w:after="0" w:line="240" w:lineRule="auto"/>
              <w:jc w:val="center"/>
              <w:rPr>
                <w:rFonts w:ascii="Times New Roman" w:hAnsi="Times New Roman"/>
                <w:sz w:val="20"/>
                <w:szCs w:val="20"/>
              </w:rPr>
            </w:pPr>
          </w:p>
        </w:tc>
        <w:tc>
          <w:tcPr>
            <w:tcW w:w="1123" w:type="dxa"/>
            <w:vMerge/>
            <w:vAlign w:val="center"/>
            <w:hideMark/>
          </w:tcPr>
          <w:p w14:paraId="5F7F45D2" w14:textId="77777777" w:rsidR="0083687D" w:rsidRPr="00634FDB" w:rsidRDefault="0083687D" w:rsidP="00250DAC">
            <w:pPr>
              <w:spacing w:after="0" w:line="240" w:lineRule="auto"/>
              <w:jc w:val="center"/>
              <w:rPr>
                <w:rFonts w:ascii="Times New Roman" w:hAnsi="Times New Roman"/>
                <w:sz w:val="20"/>
                <w:szCs w:val="20"/>
              </w:rPr>
            </w:pPr>
          </w:p>
        </w:tc>
        <w:tc>
          <w:tcPr>
            <w:tcW w:w="2737" w:type="dxa"/>
            <w:vMerge/>
            <w:vAlign w:val="center"/>
            <w:hideMark/>
          </w:tcPr>
          <w:p w14:paraId="30A67171" w14:textId="77777777" w:rsidR="0083687D" w:rsidRPr="00634FDB" w:rsidRDefault="0083687D" w:rsidP="00250DAC">
            <w:pPr>
              <w:spacing w:after="0" w:line="240" w:lineRule="auto"/>
              <w:jc w:val="both"/>
              <w:rPr>
                <w:rFonts w:ascii="Times New Roman" w:hAnsi="Times New Roman"/>
                <w:sz w:val="20"/>
                <w:szCs w:val="20"/>
              </w:rPr>
            </w:pPr>
          </w:p>
        </w:tc>
      </w:tr>
      <w:tr w:rsidR="0083687D" w:rsidRPr="00634FDB" w14:paraId="13B407F9" w14:textId="77777777" w:rsidTr="0083687D">
        <w:trPr>
          <w:trHeight w:val="584"/>
        </w:trPr>
        <w:tc>
          <w:tcPr>
            <w:tcW w:w="1867" w:type="dxa"/>
            <w:vMerge w:val="restart"/>
            <w:shd w:val="clear" w:color="000000" w:fill="FFFFFF"/>
            <w:noWrap/>
            <w:vAlign w:val="center"/>
            <w:hideMark/>
          </w:tcPr>
          <w:p w14:paraId="40CFBFE7" w14:textId="77777777" w:rsidR="0083687D" w:rsidRPr="00634FDB" w:rsidRDefault="0083687D" w:rsidP="00250DAC">
            <w:pPr>
              <w:spacing w:after="0" w:line="240" w:lineRule="auto"/>
              <w:jc w:val="both"/>
              <w:rPr>
                <w:rFonts w:ascii="Times New Roman" w:hAnsi="Times New Roman"/>
                <w:sz w:val="20"/>
                <w:szCs w:val="20"/>
              </w:rPr>
            </w:pPr>
            <w:r w:rsidRPr="00634FDB">
              <w:rPr>
                <w:rFonts w:ascii="Times New Roman" w:hAnsi="Times New Roman"/>
                <w:sz w:val="20"/>
                <w:szCs w:val="20"/>
              </w:rPr>
              <w:lastRenderedPageBreak/>
              <w:t>(b) Debt-Equity Ratio</w:t>
            </w:r>
          </w:p>
        </w:tc>
        <w:tc>
          <w:tcPr>
            <w:tcW w:w="2247" w:type="dxa"/>
            <w:tcBorders>
              <w:bottom w:val="nil"/>
            </w:tcBorders>
            <w:shd w:val="clear" w:color="000000" w:fill="FFFFFF"/>
            <w:noWrap/>
            <w:vAlign w:val="bottom"/>
            <w:hideMark/>
          </w:tcPr>
          <w:p w14:paraId="7D01C9F8" w14:textId="77777777" w:rsidR="0083687D" w:rsidRPr="00634FDB" w:rsidRDefault="0083687D" w:rsidP="00250DAC">
            <w:pPr>
              <w:spacing w:after="0" w:line="240" w:lineRule="auto"/>
              <w:jc w:val="center"/>
              <w:rPr>
                <w:rFonts w:ascii="Times New Roman" w:hAnsi="Times New Roman"/>
                <w:sz w:val="20"/>
                <w:szCs w:val="20"/>
                <w:u w:val="single"/>
              </w:rPr>
            </w:pPr>
            <w:r w:rsidRPr="00634FDB">
              <w:rPr>
                <w:rFonts w:ascii="Times New Roman" w:hAnsi="Times New Roman"/>
                <w:sz w:val="20"/>
                <w:szCs w:val="20"/>
                <w:u w:val="single"/>
              </w:rPr>
              <w:t>Total Debts</w:t>
            </w:r>
          </w:p>
        </w:tc>
        <w:tc>
          <w:tcPr>
            <w:tcW w:w="1217" w:type="dxa"/>
            <w:vMerge w:val="restart"/>
            <w:shd w:val="clear" w:color="000000" w:fill="FFFFFF"/>
            <w:noWrap/>
            <w:vAlign w:val="center"/>
            <w:hideMark/>
          </w:tcPr>
          <w:p w14:paraId="48AE331E"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1.44</w:t>
            </w:r>
          </w:p>
        </w:tc>
        <w:tc>
          <w:tcPr>
            <w:tcW w:w="1310" w:type="dxa"/>
            <w:vMerge w:val="restart"/>
            <w:shd w:val="clear" w:color="000000" w:fill="FFFFFF"/>
            <w:noWrap/>
            <w:vAlign w:val="center"/>
            <w:hideMark/>
          </w:tcPr>
          <w:p w14:paraId="5DEBE1D5"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0.73</w:t>
            </w:r>
          </w:p>
        </w:tc>
        <w:tc>
          <w:tcPr>
            <w:tcW w:w="1123" w:type="dxa"/>
            <w:vMerge w:val="restart"/>
            <w:shd w:val="clear" w:color="000000" w:fill="FFFFFF"/>
            <w:noWrap/>
            <w:vAlign w:val="center"/>
            <w:hideMark/>
          </w:tcPr>
          <w:p w14:paraId="3D43A3B6"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98.55%</w:t>
            </w:r>
          </w:p>
        </w:tc>
        <w:tc>
          <w:tcPr>
            <w:tcW w:w="2737" w:type="dxa"/>
            <w:vMerge w:val="restart"/>
            <w:shd w:val="clear" w:color="000000" w:fill="FFFFFF"/>
            <w:vAlign w:val="center"/>
            <w:hideMark/>
          </w:tcPr>
          <w:p w14:paraId="66EC5634" w14:textId="77777777" w:rsidR="0083687D" w:rsidRPr="00634FDB" w:rsidRDefault="0083687D" w:rsidP="00250DAC">
            <w:pPr>
              <w:spacing w:after="0" w:line="240" w:lineRule="auto"/>
              <w:jc w:val="both"/>
              <w:rPr>
                <w:rFonts w:ascii="Times New Roman" w:hAnsi="Times New Roman"/>
                <w:sz w:val="20"/>
                <w:szCs w:val="20"/>
              </w:rPr>
            </w:pPr>
            <w:r w:rsidRPr="00634FDB">
              <w:rPr>
                <w:rFonts w:ascii="Times New Roman" w:hAnsi="Times New Roman"/>
                <w:sz w:val="20"/>
                <w:szCs w:val="20"/>
              </w:rPr>
              <w:t>As per our opinion the change in Debt Equity Ratio is due to increase in Debt in current year as compared to previous year.</w:t>
            </w:r>
          </w:p>
        </w:tc>
      </w:tr>
      <w:tr w:rsidR="0083687D" w:rsidRPr="00634FDB" w14:paraId="11D9E145" w14:textId="77777777" w:rsidTr="0083687D">
        <w:trPr>
          <w:trHeight w:val="20"/>
        </w:trPr>
        <w:tc>
          <w:tcPr>
            <w:tcW w:w="1867" w:type="dxa"/>
            <w:vMerge/>
            <w:vAlign w:val="center"/>
            <w:hideMark/>
          </w:tcPr>
          <w:p w14:paraId="7CA29154" w14:textId="77777777" w:rsidR="0083687D" w:rsidRPr="00634FDB" w:rsidRDefault="0083687D" w:rsidP="00250DAC">
            <w:pPr>
              <w:spacing w:after="0" w:line="240" w:lineRule="auto"/>
              <w:jc w:val="both"/>
              <w:rPr>
                <w:rFonts w:ascii="Times New Roman" w:hAnsi="Times New Roman"/>
                <w:sz w:val="20"/>
                <w:szCs w:val="20"/>
              </w:rPr>
            </w:pPr>
          </w:p>
        </w:tc>
        <w:tc>
          <w:tcPr>
            <w:tcW w:w="2247" w:type="dxa"/>
            <w:tcBorders>
              <w:top w:val="nil"/>
            </w:tcBorders>
            <w:shd w:val="clear" w:color="000000" w:fill="FFFFFF"/>
            <w:noWrap/>
            <w:hideMark/>
          </w:tcPr>
          <w:p w14:paraId="03AE345D"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Equity</w:t>
            </w:r>
          </w:p>
        </w:tc>
        <w:tc>
          <w:tcPr>
            <w:tcW w:w="1217" w:type="dxa"/>
            <w:vMerge/>
            <w:vAlign w:val="center"/>
            <w:hideMark/>
          </w:tcPr>
          <w:p w14:paraId="4D1B762D" w14:textId="77777777" w:rsidR="0083687D" w:rsidRPr="00634FDB" w:rsidRDefault="0083687D" w:rsidP="00250DAC">
            <w:pPr>
              <w:spacing w:after="0" w:line="240" w:lineRule="auto"/>
              <w:jc w:val="center"/>
              <w:rPr>
                <w:rFonts w:ascii="Times New Roman" w:hAnsi="Times New Roman"/>
                <w:sz w:val="20"/>
                <w:szCs w:val="20"/>
              </w:rPr>
            </w:pPr>
          </w:p>
        </w:tc>
        <w:tc>
          <w:tcPr>
            <w:tcW w:w="1310" w:type="dxa"/>
            <w:vMerge/>
            <w:vAlign w:val="center"/>
            <w:hideMark/>
          </w:tcPr>
          <w:p w14:paraId="31918480" w14:textId="77777777" w:rsidR="0083687D" w:rsidRPr="00634FDB" w:rsidRDefault="0083687D" w:rsidP="00250DAC">
            <w:pPr>
              <w:spacing w:after="0" w:line="240" w:lineRule="auto"/>
              <w:jc w:val="center"/>
              <w:rPr>
                <w:rFonts w:ascii="Times New Roman" w:hAnsi="Times New Roman"/>
                <w:sz w:val="20"/>
                <w:szCs w:val="20"/>
              </w:rPr>
            </w:pPr>
          </w:p>
        </w:tc>
        <w:tc>
          <w:tcPr>
            <w:tcW w:w="1123" w:type="dxa"/>
            <w:vMerge/>
            <w:vAlign w:val="center"/>
            <w:hideMark/>
          </w:tcPr>
          <w:p w14:paraId="3694E869" w14:textId="77777777" w:rsidR="0083687D" w:rsidRPr="00634FDB" w:rsidRDefault="0083687D" w:rsidP="00250DAC">
            <w:pPr>
              <w:spacing w:after="0" w:line="240" w:lineRule="auto"/>
              <w:jc w:val="center"/>
              <w:rPr>
                <w:rFonts w:ascii="Times New Roman" w:hAnsi="Times New Roman"/>
                <w:sz w:val="20"/>
                <w:szCs w:val="20"/>
              </w:rPr>
            </w:pPr>
          </w:p>
        </w:tc>
        <w:tc>
          <w:tcPr>
            <w:tcW w:w="2737" w:type="dxa"/>
            <w:vMerge/>
            <w:vAlign w:val="center"/>
            <w:hideMark/>
          </w:tcPr>
          <w:p w14:paraId="09A4C9AE" w14:textId="77777777" w:rsidR="0083687D" w:rsidRPr="00634FDB" w:rsidRDefault="0083687D" w:rsidP="00250DAC">
            <w:pPr>
              <w:spacing w:after="0" w:line="240" w:lineRule="auto"/>
              <w:jc w:val="both"/>
              <w:rPr>
                <w:rFonts w:ascii="Times New Roman" w:hAnsi="Times New Roman"/>
                <w:sz w:val="20"/>
                <w:szCs w:val="20"/>
              </w:rPr>
            </w:pPr>
          </w:p>
        </w:tc>
      </w:tr>
      <w:tr w:rsidR="0083687D" w:rsidRPr="00634FDB" w14:paraId="06EC9412" w14:textId="77777777" w:rsidTr="0083687D">
        <w:trPr>
          <w:trHeight w:val="20"/>
        </w:trPr>
        <w:tc>
          <w:tcPr>
            <w:tcW w:w="1867" w:type="dxa"/>
            <w:vMerge w:val="restart"/>
            <w:shd w:val="clear" w:color="000000" w:fill="FFFFFF"/>
            <w:noWrap/>
            <w:vAlign w:val="center"/>
            <w:hideMark/>
          </w:tcPr>
          <w:p w14:paraId="6EA3CB5C" w14:textId="77777777" w:rsidR="0083687D" w:rsidRPr="00634FDB" w:rsidRDefault="0083687D" w:rsidP="00250DAC">
            <w:pPr>
              <w:spacing w:after="0" w:line="240" w:lineRule="auto"/>
              <w:jc w:val="both"/>
              <w:rPr>
                <w:rFonts w:ascii="Times New Roman" w:hAnsi="Times New Roman"/>
                <w:sz w:val="20"/>
                <w:szCs w:val="20"/>
              </w:rPr>
            </w:pPr>
            <w:r w:rsidRPr="00634FDB">
              <w:rPr>
                <w:rFonts w:ascii="Times New Roman" w:hAnsi="Times New Roman"/>
                <w:sz w:val="20"/>
                <w:szCs w:val="20"/>
              </w:rPr>
              <w:t>(c) Debt Service Coverage Ratio</w:t>
            </w:r>
          </w:p>
        </w:tc>
        <w:tc>
          <w:tcPr>
            <w:tcW w:w="2247" w:type="dxa"/>
            <w:tcBorders>
              <w:bottom w:val="nil"/>
            </w:tcBorders>
            <w:shd w:val="clear" w:color="000000" w:fill="FFFFFF"/>
            <w:noWrap/>
            <w:vAlign w:val="center"/>
            <w:hideMark/>
          </w:tcPr>
          <w:p w14:paraId="1CBD8A93" w14:textId="77777777" w:rsidR="0083687D" w:rsidRPr="00634FDB" w:rsidRDefault="0083687D" w:rsidP="00250DAC">
            <w:pPr>
              <w:spacing w:after="0" w:line="240" w:lineRule="auto"/>
              <w:jc w:val="center"/>
              <w:rPr>
                <w:rFonts w:ascii="Times New Roman" w:hAnsi="Times New Roman"/>
                <w:sz w:val="20"/>
                <w:szCs w:val="20"/>
                <w:u w:val="single"/>
              </w:rPr>
            </w:pPr>
            <w:r w:rsidRPr="00634FDB">
              <w:rPr>
                <w:rFonts w:ascii="Times New Roman" w:hAnsi="Times New Roman"/>
                <w:sz w:val="20"/>
                <w:szCs w:val="20"/>
                <w:u w:val="single"/>
              </w:rPr>
              <w:t>Earning available for Debt Service</w:t>
            </w:r>
          </w:p>
        </w:tc>
        <w:tc>
          <w:tcPr>
            <w:tcW w:w="1217" w:type="dxa"/>
            <w:vMerge w:val="restart"/>
            <w:shd w:val="clear" w:color="000000" w:fill="FFFFFF"/>
            <w:noWrap/>
            <w:vAlign w:val="center"/>
            <w:hideMark/>
          </w:tcPr>
          <w:p w14:paraId="2E79F083"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6.82</w:t>
            </w:r>
          </w:p>
        </w:tc>
        <w:tc>
          <w:tcPr>
            <w:tcW w:w="1310" w:type="dxa"/>
            <w:vMerge w:val="restart"/>
            <w:shd w:val="clear" w:color="000000" w:fill="FFFFFF"/>
            <w:noWrap/>
            <w:vAlign w:val="center"/>
            <w:hideMark/>
          </w:tcPr>
          <w:p w14:paraId="170C9388"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10.97</w:t>
            </w:r>
          </w:p>
        </w:tc>
        <w:tc>
          <w:tcPr>
            <w:tcW w:w="1123" w:type="dxa"/>
            <w:vMerge w:val="restart"/>
            <w:shd w:val="clear" w:color="000000" w:fill="FFFFFF"/>
            <w:noWrap/>
            <w:vAlign w:val="center"/>
            <w:hideMark/>
          </w:tcPr>
          <w:p w14:paraId="588475E3"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-37.87%</w:t>
            </w:r>
          </w:p>
        </w:tc>
        <w:tc>
          <w:tcPr>
            <w:tcW w:w="2737" w:type="dxa"/>
            <w:vMerge w:val="restart"/>
            <w:shd w:val="clear" w:color="000000" w:fill="FFFFFF"/>
            <w:vAlign w:val="center"/>
            <w:hideMark/>
          </w:tcPr>
          <w:p w14:paraId="6CAB691E" w14:textId="77777777" w:rsidR="0083687D" w:rsidRPr="00634FDB" w:rsidRDefault="0083687D" w:rsidP="00250DAC">
            <w:pPr>
              <w:spacing w:after="0" w:line="240" w:lineRule="auto"/>
              <w:jc w:val="both"/>
              <w:rPr>
                <w:rFonts w:ascii="Times New Roman" w:hAnsi="Times New Roman"/>
                <w:sz w:val="20"/>
                <w:szCs w:val="20"/>
              </w:rPr>
            </w:pPr>
            <w:r w:rsidRPr="00634FDB">
              <w:rPr>
                <w:rFonts w:ascii="Times New Roman" w:hAnsi="Times New Roman"/>
                <w:sz w:val="20"/>
                <w:szCs w:val="20"/>
              </w:rPr>
              <w:t>DSCR decreased due to higher debt and interest payments</w:t>
            </w:r>
          </w:p>
        </w:tc>
      </w:tr>
      <w:tr w:rsidR="0083687D" w:rsidRPr="00634FDB" w14:paraId="41878FCD" w14:textId="77777777" w:rsidTr="0083687D">
        <w:trPr>
          <w:trHeight w:val="20"/>
        </w:trPr>
        <w:tc>
          <w:tcPr>
            <w:tcW w:w="1867" w:type="dxa"/>
            <w:vMerge/>
            <w:vAlign w:val="center"/>
            <w:hideMark/>
          </w:tcPr>
          <w:p w14:paraId="3CF926DE" w14:textId="77777777" w:rsidR="0083687D" w:rsidRPr="00634FDB" w:rsidRDefault="0083687D" w:rsidP="00250DAC">
            <w:pPr>
              <w:spacing w:after="0" w:line="240" w:lineRule="auto"/>
              <w:jc w:val="both"/>
              <w:rPr>
                <w:rFonts w:ascii="Times New Roman" w:hAnsi="Times New Roman"/>
                <w:sz w:val="20"/>
                <w:szCs w:val="20"/>
              </w:rPr>
            </w:pPr>
          </w:p>
        </w:tc>
        <w:tc>
          <w:tcPr>
            <w:tcW w:w="2247" w:type="dxa"/>
            <w:tcBorders>
              <w:top w:val="nil"/>
            </w:tcBorders>
            <w:shd w:val="clear" w:color="000000" w:fill="FFFFFF"/>
            <w:noWrap/>
            <w:vAlign w:val="center"/>
            <w:hideMark/>
          </w:tcPr>
          <w:p w14:paraId="3D54F28F"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Interest + Installments</w:t>
            </w:r>
          </w:p>
        </w:tc>
        <w:tc>
          <w:tcPr>
            <w:tcW w:w="1217" w:type="dxa"/>
            <w:vMerge/>
            <w:vAlign w:val="center"/>
            <w:hideMark/>
          </w:tcPr>
          <w:p w14:paraId="7EEA1E9A" w14:textId="77777777" w:rsidR="0083687D" w:rsidRPr="00634FDB" w:rsidRDefault="0083687D" w:rsidP="00250DAC">
            <w:pPr>
              <w:spacing w:after="0" w:line="240" w:lineRule="auto"/>
              <w:jc w:val="center"/>
              <w:rPr>
                <w:rFonts w:ascii="Times New Roman" w:hAnsi="Times New Roman"/>
                <w:sz w:val="20"/>
                <w:szCs w:val="20"/>
              </w:rPr>
            </w:pPr>
          </w:p>
        </w:tc>
        <w:tc>
          <w:tcPr>
            <w:tcW w:w="1310" w:type="dxa"/>
            <w:vMerge/>
            <w:vAlign w:val="center"/>
            <w:hideMark/>
          </w:tcPr>
          <w:p w14:paraId="76A50529" w14:textId="77777777" w:rsidR="0083687D" w:rsidRPr="00634FDB" w:rsidRDefault="0083687D" w:rsidP="00250DAC">
            <w:pPr>
              <w:spacing w:after="0" w:line="240" w:lineRule="auto"/>
              <w:jc w:val="center"/>
              <w:rPr>
                <w:rFonts w:ascii="Times New Roman" w:hAnsi="Times New Roman"/>
                <w:sz w:val="20"/>
                <w:szCs w:val="20"/>
              </w:rPr>
            </w:pPr>
          </w:p>
        </w:tc>
        <w:tc>
          <w:tcPr>
            <w:tcW w:w="1123" w:type="dxa"/>
            <w:vMerge/>
            <w:vAlign w:val="center"/>
            <w:hideMark/>
          </w:tcPr>
          <w:p w14:paraId="33C3E29E" w14:textId="77777777" w:rsidR="0083687D" w:rsidRPr="00634FDB" w:rsidRDefault="0083687D" w:rsidP="00250DAC">
            <w:pPr>
              <w:spacing w:after="0" w:line="240" w:lineRule="auto"/>
              <w:jc w:val="center"/>
              <w:rPr>
                <w:rFonts w:ascii="Times New Roman" w:hAnsi="Times New Roman"/>
                <w:sz w:val="20"/>
                <w:szCs w:val="20"/>
              </w:rPr>
            </w:pPr>
          </w:p>
        </w:tc>
        <w:tc>
          <w:tcPr>
            <w:tcW w:w="2737" w:type="dxa"/>
            <w:vMerge/>
            <w:vAlign w:val="center"/>
            <w:hideMark/>
          </w:tcPr>
          <w:p w14:paraId="7CD99073" w14:textId="77777777" w:rsidR="0083687D" w:rsidRPr="00634FDB" w:rsidRDefault="0083687D" w:rsidP="00250DAC">
            <w:pPr>
              <w:spacing w:after="0" w:line="240" w:lineRule="auto"/>
              <w:jc w:val="both"/>
              <w:rPr>
                <w:rFonts w:ascii="Times New Roman" w:hAnsi="Times New Roman"/>
                <w:sz w:val="20"/>
                <w:szCs w:val="20"/>
              </w:rPr>
            </w:pPr>
          </w:p>
        </w:tc>
      </w:tr>
      <w:tr w:rsidR="0083687D" w:rsidRPr="00634FDB" w14:paraId="290A1189" w14:textId="77777777" w:rsidTr="0083687D">
        <w:trPr>
          <w:trHeight w:val="438"/>
        </w:trPr>
        <w:tc>
          <w:tcPr>
            <w:tcW w:w="1867" w:type="dxa"/>
            <w:vMerge w:val="restart"/>
            <w:shd w:val="clear" w:color="000000" w:fill="FFFFFF"/>
            <w:noWrap/>
            <w:vAlign w:val="center"/>
            <w:hideMark/>
          </w:tcPr>
          <w:p w14:paraId="08A4876A" w14:textId="77777777" w:rsidR="0083687D" w:rsidRPr="00634FDB" w:rsidRDefault="0083687D" w:rsidP="00250DAC">
            <w:pPr>
              <w:spacing w:after="0" w:line="240" w:lineRule="auto"/>
              <w:jc w:val="both"/>
              <w:rPr>
                <w:rFonts w:ascii="Times New Roman" w:hAnsi="Times New Roman"/>
                <w:sz w:val="20"/>
                <w:szCs w:val="20"/>
              </w:rPr>
            </w:pPr>
            <w:r w:rsidRPr="00634FDB">
              <w:rPr>
                <w:rFonts w:ascii="Times New Roman" w:hAnsi="Times New Roman"/>
                <w:sz w:val="20"/>
                <w:szCs w:val="20"/>
              </w:rPr>
              <w:t>(d) Return on Equity Ratio</w:t>
            </w:r>
          </w:p>
        </w:tc>
        <w:tc>
          <w:tcPr>
            <w:tcW w:w="2247" w:type="dxa"/>
            <w:tcBorders>
              <w:bottom w:val="nil"/>
            </w:tcBorders>
            <w:shd w:val="clear" w:color="000000" w:fill="FFFFFF"/>
            <w:noWrap/>
            <w:vAlign w:val="bottom"/>
            <w:hideMark/>
          </w:tcPr>
          <w:p w14:paraId="2AEB9C1D" w14:textId="77777777" w:rsidR="0083687D" w:rsidRPr="00634FDB" w:rsidRDefault="0083687D" w:rsidP="00250DAC">
            <w:pPr>
              <w:spacing w:after="0" w:line="240" w:lineRule="auto"/>
              <w:jc w:val="center"/>
              <w:rPr>
                <w:rFonts w:ascii="Times New Roman" w:hAnsi="Times New Roman"/>
                <w:sz w:val="20"/>
                <w:szCs w:val="20"/>
                <w:u w:val="single"/>
              </w:rPr>
            </w:pPr>
            <w:r w:rsidRPr="00634FDB">
              <w:rPr>
                <w:rFonts w:ascii="Times New Roman" w:hAnsi="Times New Roman"/>
                <w:sz w:val="20"/>
                <w:szCs w:val="20"/>
                <w:u w:val="single"/>
              </w:rPr>
              <w:t>Profit after Tax</w:t>
            </w:r>
          </w:p>
        </w:tc>
        <w:tc>
          <w:tcPr>
            <w:tcW w:w="1217" w:type="dxa"/>
            <w:vMerge w:val="restart"/>
            <w:shd w:val="clear" w:color="000000" w:fill="FFFFFF"/>
            <w:noWrap/>
            <w:vAlign w:val="center"/>
            <w:hideMark/>
          </w:tcPr>
          <w:p w14:paraId="2BD0DDA0"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0.18</w:t>
            </w:r>
          </w:p>
        </w:tc>
        <w:tc>
          <w:tcPr>
            <w:tcW w:w="1310" w:type="dxa"/>
            <w:vMerge w:val="restart"/>
            <w:shd w:val="clear" w:color="000000" w:fill="FFFFFF"/>
            <w:noWrap/>
            <w:vAlign w:val="center"/>
            <w:hideMark/>
          </w:tcPr>
          <w:p w14:paraId="06D31BD8"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0.09</w:t>
            </w:r>
          </w:p>
        </w:tc>
        <w:tc>
          <w:tcPr>
            <w:tcW w:w="1123" w:type="dxa"/>
            <w:vMerge w:val="restart"/>
            <w:shd w:val="clear" w:color="000000" w:fill="FFFFFF"/>
            <w:noWrap/>
            <w:vAlign w:val="center"/>
            <w:hideMark/>
          </w:tcPr>
          <w:p w14:paraId="6BDFE357"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107.05%</w:t>
            </w:r>
          </w:p>
        </w:tc>
        <w:tc>
          <w:tcPr>
            <w:tcW w:w="2737" w:type="dxa"/>
            <w:vMerge w:val="restart"/>
            <w:shd w:val="clear" w:color="000000" w:fill="FFFFFF"/>
            <w:vAlign w:val="center"/>
            <w:hideMark/>
          </w:tcPr>
          <w:p w14:paraId="07217174" w14:textId="77777777" w:rsidR="0083687D" w:rsidRPr="00634FDB" w:rsidRDefault="0083687D" w:rsidP="00250DAC">
            <w:pPr>
              <w:spacing w:after="0" w:line="240" w:lineRule="auto"/>
              <w:jc w:val="both"/>
              <w:rPr>
                <w:rFonts w:ascii="Times New Roman" w:hAnsi="Times New Roman"/>
                <w:sz w:val="20"/>
                <w:szCs w:val="20"/>
              </w:rPr>
            </w:pPr>
            <w:r w:rsidRPr="00634FDB">
              <w:rPr>
                <w:rFonts w:ascii="Times New Roman" w:hAnsi="Times New Roman"/>
                <w:sz w:val="20"/>
                <w:szCs w:val="20"/>
              </w:rPr>
              <w:t>Return of Equity ratio is improved due to higher profit earned this year compared to previous year.</w:t>
            </w:r>
          </w:p>
        </w:tc>
      </w:tr>
      <w:tr w:rsidR="0083687D" w:rsidRPr="00634FDB" w14:paraId="1001F227" w14:textId="77777777" w:rsidTr="0083687D">
        <w:trPr>
          <w:trHeight w:val="20"/>
        </w:trPr>
        <w:tc>
          <w:tcPr>
            <w:tcW w:w="1867" w:type="dxa"/>
            <w:vMerge/>
            <w:vAlign w:val="center"/>
            <w:hideMark/>
          </w:tcPr>
          <w:p w14:paraId="024F7690" w14:textId="77777777" w:rsidR="0083687D" w:rsidRPr="00634FDB" w:rsidRDefault="0083687D" w:rsidP="00250DAC">
            <w:pPr>
              <w:spacing w:after="0" w:line="240" w:lineRule="auto"/>
              <w:jc w:val="both"/>
              <w:rPr>
                <w:rFonts w:ascii="Times New Roman" w:hAnsi="Times New Roman"/>
                <w:sz w:val="20"/>
                <w:szCs w:val="20"/>
              </w:rPr>
            </w:pPr>
          </w:p>
        </w:tc>
        <w:tc>
          <w:tcPr>
            <w:tcW w:w="2247" w:type="dxa"/>
            <w:tcBorders>
              <w:top w:val="nil"/>
            </w:tcBorders>
            <w:shd w:val="clear" w:color="000000" w:fill="FFFFFF"/>
            <w:noWrap/>
            <w:hideMark/>
          </w:tcPr>
          <w:p w14:paraId="3D8411DC"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Average Shareholder’s Equity</w:t>
            </w:r>
          </w:p>
        </w:tc>
        <w:tc>
          <w:tcPr>
            <w:tcW w:w="1217" w:type="dxa"/>
            <w:vMerge/>
            <w:vAlign w:val="center"/>
            <w:hideMark/>
          </w:tcPr>
          <w:p w14:paraId="0EADEA76" w14:textId="77777777" w:rsidR="0083687D" w:rsidRPr="00634FDB" w:rsidRDefault="0083687D" w:rsidP="00250DAC">
            <w:pPr>
              <w:spacing w:after="0" w:line="240" w:lineRule="auto"/>
              <w:jc w:val="center"/>
              <w:rPr>
                <w:rFonts w:ascii="Times New Roman" w:hAnsi="Times New Roman"/>
                <w:sz w:val="20"/>
                <w:szCs w:val="20"/>
              </w:rPr>
            </w:pPr>
          </w:p>
        </w:tc>
        <w:tc>
          <w:tcPr>
            <w:tcW w:w="1310" w:type="dxa"/>
            <w:vMerge/>
            <w:vAlign w:val="center"/>
            <w:hideMark/>
          </w:tcPr>
          <w:p w14:paraId="41086A90" w14:textId="77777777" w:rsidR="0083687D" w:rsidRPr="00634FDB" w:rsidRDefault="0083687D" w:rsidP="00250DAC">
            <w:pPr>
              <w:spacing w:after="0" w:line="240" w:lineRule="auto"/>
              <w:jc w:val="center"/>
              <w:rPr>
                <w:rFonts w:ascii="Times New Roman" w:hAnsi="Times New Roman"/>
                <w:sz w:val="20"/>
                <w:szCs w:val="20"/>
              </w:rPr>
            </w:pPr>
          </w:p>
        </w:tc>
        <w:tc>
          <w:tcPr>
            <w:tcW w:w="1123" w:type="dxa"/>
            <w:vMerge/>
            <w:vAlign w:val="center"/>
            <w:hideMark/>
          </w:tcPr>
          <w:p w14:paraId="7AECEAE7" w14:textId="77777777" w:rsidR="0083687D" w:rsidRPr="00634FDB" w:rsidRDefault="0083687D" w:rsidP="00250DAC">
            <w:pPr>
              <w:spacing w:after="0" w:line="240" w:lineRule="auto"/>
              <w:jc w:val="center"/>
              <w:rPr>
                <w:rFonts w:ascii="Times New Roman" w:hAnsi="Times New Roman"/>
                <w:sz w:val="20"/>
                <w:szCs w:val="20"/>
              </w:rPr>
            </w:pPr>
          </w:p>
        </w:tc>
        <w:tc>
          <w:tcPr>
            <w:tcW w:w="2737" w:type="dxa"/>
            <w:vMerge/>
            <w:vAlign w:val="center"/>
            <w:hideMark/>
          </w:tcPr>
          <w:p w14:paraId="6DFCA2E4" w14:textId="77777777" w:rsidR="0083687D" w:rsidRPr="00634FDB" w:rsidRDefault="0083687D" w:rsidP="00250DAC">
            <w:pPr>
              <w:spacing w:after="0" w:line="240" w:lineRule="auto"/>
              <w:jc w:val="both"/>
              <w:rPr>
                <w:rFonts w:ascii="Times New Roman" w:hAnsi="Times New Roman"/>
                <w:sz w:val="20"/>
                <w:szCs w:val="20"/>
              </w:rPr>
            </w:pPr>
          </w:p>
        </w:tc>
      </w:tr>
      <w:tr w:rsidR="0083687D" w:rsidRPr="00634FDB" w14:paraId="2D4E9699" w14:textId="77777777" w:rsidTr="0083687D">
        <w:trPr>
          <w:trHeight w:val="584"/>
        </w:trPr>
        <w:tc>
          <w:tcPr>
            <w:tcW w:w="1867" w:type="dxa"/>
            <w:vMerge w:val="restart"/>
            <w:shd w:val="clear" w:color="000000" w:fill="FFFFFF"/>
            <w:noWrap/>
            <w:vAlign w:val="center"/>
            <w:hideMark/>
          </w:tcPr>
          <w:p w14:paraId="35B3763E" w14:textId="77777777" w:rsidR="0083687D" w:rsidRPr="00634FDB" w:rsidRDefault="0083687D" w:rsidP="00250DAC">
            <w:pPr>
              <w:spacing w:after="0" w:line="240" w:lineRule="auto"/>
              <w:jc w:val="both"/>
              <w:rPr>
                <w:rFonts w:ascii="Times New Roman" w:hAnsi="Times New Roman"/>
                <w:sz w:val="20"/>
                <w:szCs w:val="20"/>
              </w:rPr>
            </w:pPr>
            <w:r w:rsidRPr="00634FDB">
              <w:rPr>
                <w:rFonts w:ascii="Times New Roman" w:hAnsi="Times New Roman"/>
                <w:sz w:val="20"/>
                <w:szCs w:val="20"/>
              </w:rPr>
              <w:t>(e) Inventory turnover ratio</w:t>
            </w:r>
          </w:p>
        </w:tc>
        <w:tc>
          <w:tcPr>
            <w:tcW w:w="2247" w:type="dxa"/>
            <w:tcBorders>
              <w:bottom w:val="nil"/>
            </w:tcBorders>
            <w:shd w:val="clear" w:color="000000" w:fill="FFFFFF"/>
            <w:noWrap/>
            <w:vAlign w:val="bottom"/>
            <w:hideMark/>
          </w:tcPr>
          <w:p w14:paraId="40CC0B94" w14:textId="77777777" w:rsidR="0083687D" w:rsidRPr="00634FDB" w:rsidRDefault="0083687D" w:rsidP="00250DAC">
            <w:pPr>
              <w:spacing w:after="0" w:line="240" w:lineRule="auto"/>
              <w:jc w:val="center"/>
              <w:rPr>
                <w:rFonts w:ascii="Times New Roman" w:hAnsi="Times New Roman"/>
                <w:sz w:val="20"/>
                <w:szCs w:val="20"/>
                <w:u w:val="single"/>
              </w:rPr>
            </w:pPr>
            <w:r w:rsidRPr="00634FDB">
              <w:rPr>
                <w:rFonts w:ascii="Times New Roman" w:hAnsi="Times New Roman"/>
                <w:sz w:val="20"/>
                <w:szCs w:val="20"/>
                <w:u w:val="single"/>
              </w:rPr>
              <w:t>Total Turnover</w:t>
            </w:r>
          </w:p>
        </w:tc>
        <w:tc>
          <w:tcPr>
            <w:tcW w:w="1217" w:type="dxa"/>
            <w:vMerge w:val="restart"/>
            <w:shd w:val="clear" w:color="000000" w:fill="FFFFFF"/>
            <w:noWrap/>
            <w:vAlign w:val="center"/>
            <w:hideMark/>
          </w:tcPr>
          <w:p w14:paraId="6EE50B8C"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22.17</w:t>
            </w:r>
          </w:p>
        </w:tc>
        <w:tc>
          <w:tcPr>
            <w:tcW w:w="1310" w:type="dxa"/>
            <w:vMerge w:val="restart"/>
            <w:shd w:val="clear" w:color="000000" w:fill="FFFFFF"/>
            <w:noWrap/>
            <w:vAlign w:val="center"/>
            <w:hideMark/>
          </w:tcPr>
          <w:p w14:paraId="63F8F171"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15.88</w:t>
            </w:r>
          </w:p>
        </w:tc>
        <w:tc>
          <w:tcPr>
            <w:tcW w:w="1123" w:type="dxa"/>
            <w:vMerge w:val="restart"/>
            <w:shd w:val="clear" w:color="000000" w:fill="FFFFFF"/>
            <w:noWrap/>
            <w:vAlign w:val="center"/>
            <w:hideMark/>
          </w:tcPr>
          <w:p w14:paraId="6053785B"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39.62%</w:t>
            </w:r>
          </w:p>
        </w:tc>
        <w:tc>
          <w:tcPr>
            <w:tcW w:w="2737" w:type="dxa"/>
            <w:vMerge w:val="restart"/>
            <w:shd w:val="clear" w:color="000000" w:fill="FFFFFF"/>
            <w:vAlign w:val="center"/>
            <w:hideMark/>
          </w:tcPr>
          <w:p w14:paraId="7D3D2202" w14:textId="77777777" w:rsidR="0083687D" w:rsidRPr="00634FDB" w:rsidRDefault="0083687D" w:rsidP="00250DAC">
            <w:pPr>
              <w:spacing w:after="0" w:line="240" w:lineRule="auto"/>
              <w:jc w:val="both"/>
              <w:rPr>
                <w:rFonts w:ascii="Times New Roman" w:hAnsi="Times New Roman"/>
                <w:sz w:val="20"/>
                <w:szCs w:val="20"/>
              </w:rPr>
            </w:pPr>
            <w:r w:rsidRPr="00634FDB">
              <w:rPr>
                <w:rFonts w:ascii="Times New Roman" w:hAnsi="Times New Roman"/>
                <w:sz w:val="20"/>
                <w:szCs w:val="20"/>
              </w:rPr>
              <w:t>As per our opinion change in Inventory Turnover Ratio is due to increase in Cost of Goods Sold in current year as compared to last year.</w:t>
            </w:r>
          </w:p>
        </w:tc>
      </w:tr>
      <w:tr w:rsidR="0083687D" w:rsidRPr="00634FDB" w14:paraId="7BA2CFD8" w14:textId="77777777" w:rsidTr="0083687D">
        <w:trPr>
          <w:trHeight w:val="20"/>
        </w:trPr>
        <w:tc>
          <w:tcPr>
            <w:tcW w:w="1867" w:type="dxa"/>
            <w:vMerge/>
            <w:vAlign w:val="center"/>
            <w:hideMark/>
          </w:tcPr>
          <w:p w14:paraId="3AF42667" w14:textId="77777777" w:rsidR="0083687D" w:rsidRPr="00634FDB" w:rsidRDefault="0083687D" w:rsidP="00250DAC">
            <w:pPr>
              <w:spacing w:after="0" w:line="240" w:lineRule="auto"/>
              <w:jc w:val="both"/>
              <w:rPr>
                <w:rFonts w:ascii="Times New Roman" w:hAnsi="Times New Roman"/>
                <w:sz w:val="20"/>
                <w:szCs w:val="20"/>
              </w:rPr>
            </w:pPr>
          </w:p>
        </w:tc>
        <w:tc>
          <w:tcPr>
            <w:tcW w:w="2247" w:type="dxa"/>
            <w:tcBorders>
              <w:top w:val="nil"/>
            </w:tcBorders>
            <w:shd w:val="clear" w:color="000000" w:fill="FFFFFF"/>
            <w:noWrap/>
            <w:hideMark/>
          </w:tcPr>
          <w:p w14:paraId="43720772"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Average Inventories</w:t>
            </w:r>
          </w:p>
        </w:tc>
        <w:tc>
          <w:tcPr>
            <w:tcW w:w="1217" w:type="dxa"/>
            <w:vMerge/>
            <w:vAlign w:val="center"/>
            <w:hideMark/>
          </w:tcPr>
          <w:p w14:paraId="08948BF1" w14:textId="77777777" w:rsidR="0083687D" w:rsidRPr="00634FDB" w:rsidRDefault="0083687D" w:rsidP="00250DAC">
            <w:pPr>
              <w:spacing w:after="0" w:line="240" w:lineRule="auto"/>
              <w:jc w:val="center"/>
              <w:rPr>
                <w:rFonts w:ascii="Times New Roman" w:hAnsi="Times New Roman"/>
                <w:sz w:val="20"/>
                <w:szCs w:val="20"/>
              </w:rPr>
            </w:pPr>
          </w:p>
        </w:tc>
        <w:tc>
          <w:tcPr>
            <w:tcW w:w="1310" w:type="dxa"/>
            <w:vMerge/>
            <w:vAlign w:val="center"/>
            <w:hideMark/>
          </w:tcPr>
          <w:p w14:paraId="45C942C4" w14:textId="77777777" w:rsidR="0083687D" w:rsidRPr="00634FDB" w:rsidRDefault="0083687D" w:rsidP="00250DAC">
            <w:pPr>
              <w:spacing w:after="0" w:line="240" w:lineRule="auto"/>
              <w:jc w:val="center"/>
              <w:rPr>
                <w:rFonts w:ascii="Times New Roman" w:hAnsi="Times New Roman"/>
                <w:sz w:val="20"/>
                <w:szCs w:val="20"/>
              </w:rPr>
            </w:pPr>
          </w:p>
        </w:tc>
        <w:tc>
          <w:tcPr>
            <w:tcW w:w="1123" w:type="dxa"/>
            <w:vMerge/>
            <w:vAlign w:val="center"/>
            <w:hideMark/>
          </w:tcPr>
          <w:p w14:paraId="5513251B" w14:textId="77777777" w:rsidR="0083687D" w:rsidRPr="00634FDB" w:rsidRDefault="0083687D" w:rsidP="00250DAC">
            <w:pPr>
              <w:spacing w:after="0" w:line="240" w:lineRule="auto"/>
              <w:jc w:val="center"/>
              <w:rPr>
                <w:rFonts w:ascii="Times New Roman" w:hAnsi="Times New Roman"/>
                <w:sz w:val="20"/>
                <w:szCs w:val="20"/>
              </w:rPr>
            </w:pPr>
          </w:p>
        </w:tc>
        <w:tc>
          <w:tcPr>
            <w:tcW w:w="2737" w:type="dxa"/>
            <w:vMerge/>
            <w:vAlign w:val="center"/>
            <w:hideMark/>
          </w:tcPr>
          <w:p w14:paraId="5A8356B9" w14:textId="77777777" w:rsidR="0083687D" w:rsidRPr="00634FDB" w:rsidRDefault="0083687D" w:rsidP="00250DAC">
            <w:pPr>
              <w:spacing w:after="0" w:line="240" w:lineRule="auto"/>
              <w:jc w:val="both"/>
              <w:rPr>
                <w:rFonts w:ascii="Times New Roman" w:hAnsi="Times New Roman"/>
                <w:sz w:val="20"/>
                <w:szCs w:val="20"/>
              </w:rPr>
            </w:pPr>
          </w:p>
        </w:tc>
      </w:tr>
      <w:tr w:rsidR="0083687D" w:rsidRPr="00634FDB" w14:paraId="15385ED8" w14:textId="77777777" w:rsidTr="0083687D">
        <w:trPr>
          <w:trHeight w:val="584"/>
        </w:trPr>
        <w:tc>
          <w:tcPr>
            <w:tcW w:w="1867" w:type="dxa"/>
            <w:vMerge w:val="restart"/>
            <w:shd w:val="clear" w:color="000000" w:fill="FFFFFF"/>
            <w:noWrap/>
            <w:vAlign w:val="center"/>
            <w:hideMark/>
          </w:tcPr>
          <w:p w14:paraId="300C8D1A" w14:textId="77777777" w:rsidR="0083687D" w:rsidRPr="00634FDB" w:rsidRDefault="0083687D" w:rsidP="00250DAC">
            <w:pPr>
              <w:spacing w:after="0" w:line="240" w:lineRule="auto"/>
              <w:jc w:val="both"/>
              <w:rPr>
                <w:rFonts w:ascii="Times New Roman" w:hAnsi="Times New Roman"/>
                <w:sz w:val="20"/>
                <w:szCs w:val="20"/>
              </w:rPr>
            </w:pPr>
            <w:r w:rsidRPr="00634FDB">
              <w:rPr>
                <w:rFonts w:ascii="Times New Roman" w:hAnsi="Times New Roman"/>
                <w:sz w:val="20"/>
                <w:szCs w:val="20"/>
              </w:rPr>
              <w:t>(f) Trade receivables turnover ratio</w:t>
            </w:r>
          </w:p>
        </w:tc>
        <w:tc>
          <w:tcPr>
            <w:tcW w:w="2247" w:type="dxa"/>
            <w:tcBorders>
              <w:bottom w:val="nil"/>
            </w:tcBorders>
            <w:shd w:val="clear" w:color="000000" w:fill="FFFFFF"/>
            <w:noWrap/>
            <w:vAlign w:val="bottom"/>
            <w:hideMark/>
          </w:tcPr>
          <w:p w14:paraId="6C8DED31" w14:textId="77777777" w:rsidR="0083687D" w:rsidRPr="00634FDB" w:rsidRDefault="0083687D" w:rsidP="00250DAC">
            <w:pPr>
              <w:spacing w:after="0" w:line="240" w:lineRule="auto"/>
              <w:jc w:val="center"/>
              <w:rPr>
                <w:rFonts w:ascii="Times New Roman" w:hAnsi="Times New Roman"/>
                <w:sz w:val="20"/>
                <w:szCs w:val="20"/>
                <w:u w:val="single"/>
              </w:rPr>
            </w:pPr>
            <w:r w:rsidRPr="00634FDB">
              <w:rPr>
                <w:rFonts w:ascii="Times New Roman" w:hAnsi="Times New Roman"/>
                <w:sz w:val="20"/>
                <w:szCs w:val="20"/>
                <w:u w:val="single"/>
              </w:rPr>
              <w:t>Total Turnover</w:t>
            </w:r>
          </w:p>
        </w:tc>
        <w:tc>
          <w:tcPr>
            <w:tcW w:w="1217" w:type="dxa"/>
            <w:vMerge w:val="restart"/>
            <w:shd w:val="clear" w:color="000000" w:fill="FFFFFF"/>
            <w:noWrap/>
            <w:vAlign w:val="center"/>
            <w:hideMark/>
          </w:tcPr>
          <w:p w14:paraId="1BD16D56"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14.45</w:t>
            </w:r>
          </w:p>
        </w:tc>
        <w:tc>
          <w:tcPr>
            <w:tcW w:w="1310" w:type="dxa"/>
            <w:vMerge w:val="restart"/>
            <w:shd w:val="clear" w:color="000000" w:fill="FFFFFF"/>
            <w:noWrap/>
            <w:vAlign w:val="center"/>
            <w:hideMark/>
          </w:tcPr>
          <w:p w14:paraId="4C5C2B86"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11.09</w:t>
            </w:r>
          </w:p>
        </w:tc>
        <w:tc>
          <w:tcPr>
            <w:tcW w:w="1123" w:type="dxa"/>
            <w:vMerge w:val="restart"/>
            <w:shd w:val="clear" w:color="000000" w:fill="FFFFFF"/>
            <w:noWrap/>
            <w:vAlign w:val="center"/>
            <w:hideMark/>
          </w:tcPr>
          <w:p w14:paraId="06FE7EC3"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30.26%</w:t>
            </w:r>
          </w:p>
        </w:tc>
        <w:tc>
          <w:tcPr>
            <w:tcW w:w="2737" w:type="dxa"/>
            <w:vMerge w:val="restart"/>
            <w:shd w:val="clear" w:color="000000" w:fill="FFFFFF"/>
            <w:vAlign w:val="center"/>
            <w:hideMark/>
          </w:tcPr>
          <w:p w14:paraId="6C51B277" w14:textId="77777777" w:rsidR="0083687D" w:rsidRPr="00634FDB" w:rsidRDefault="0083687D" w:rsidP="00250DAC">
            <w:pPr>
              <w:spacing w:after="0" w:line="240" w:lineRule="auto"/>
              <w:jc w:val="both"/>
              <w:rPr>
                <w:rFonts w:ascii="Times New Roman" w:hAnsi="Times New Roman"/>
                <w:sz w:val="20"/>
                <w:szCs w:val="20"/>
              </w:rPr>
            </w:pPr>
            <w:r w:rsidRPr="00634FDB">
              <w:rPr>
                <w:rFonts w:ascii="Times New Roman" w:hAnsi="Times New Roman"/>
                <w:sz w:val="20"/>
                <w:szCs w:val="20"/>
              </w:rPr>
              <w:t>As per our opinion change in Trade Receivables Turnover Ratio is improved due to increase in Credit Sales as compared to last year.</w:t>
            </w:r>
          </w:p>
        </w:tc>
      </w:tr>
      <w:tr w:rsidR="0083687D" w:rsidRPr="00634FDB" w14:paraId="79C5ECD4" w14:textId="77777777" w:rsidTr="0083687D">
        <w:trPr>
          <w:trHeight w:val="20"/>
        </w:trPr>
        <w:tc>
          <w:tcPr>
            <w:tcW w:w="1867" w:type="dxa"/>
            <w:vMerge/>
            <w:vAlign w:val="center"/>
            <w:hideMark/>
          </w:tcPr>
          <w:p w14:paraId="2E9B2F41" w14:textId="77777777" w:rsidR="0083687D" w:rsidRPr="00634FDB" w:rsidRDefault="0083687D" w:rsidP="00250DAC">
            <w:pPr>
              <w:spacing w:after="0" w:line="240" w:lineRule="auto"/>
              <w:jc w:val="both"/>
              <w:rPr>
                <w:rFonts w:ascii="Times New Roman" w:hAnsi="Times New Roman"/>
                <w:sz w:val="20"/>
                <w:szCs w:val="20"/>
              </w:rPr>
            </w:pPr>
          </w:p>
        </w:tc>
        <w:tc>
          <w:tcPr>
            <w:tcW w:w="2247" w:type="dxa"/>
            <w:tcBorders>
              <w:top w:val="nil"/>
            </w:tcBorders>
            <w:shd w:val="clear" w:color="000000" w:fill="FFFFFF"/>
            <w:noWrap/>
            <w:hideMark/>
          </w:tcPr>
          <w:p w14:paraId="12709F97"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Average Account Receivable</w:t>
            </w:r>
          </w:p>
        </w:tc>
        <w:tc>
          <w:tcPr>
            <w:tcW w:w="1217" w:type="dxa"/>
            <w:vMerge/>
            <w:vAlign w:val="center"/>
            <w:hideMark/>
          </w:tcPr>
          <w:p w14:paraId="05A72892" w14:textId="77777777" w:rsidR="0083687D" w:rsidRPr="00634FDB" w:rsidRDefault="0083687D" w:rsidP="00250DAC">
            <w:pPr>
              <w:spacing w:after="0" w:line="240" w:lineRule="auto"/>
              <w:jc w:val="center"/>
              <w:rPr>
                <w:rFonts w:ascii="Times New Roman" w:hAnsi="Times New Roman"/>
                <w:sz w:val="20"/>
                <w:szCs w:val="20"/>
              </w:rPr>
            </w:pPr>
          </w:p>
        </w:tc>
        <w:tc>
          <w:tcPr>
            <w:tcW w:w="1310" w:type="dxa"/>
            <w:vMerge/>
            <w:vAlign w:val="center"/>
            <w:hideMark/>
          </w:tcPr>
          <w:p w14:paraId="78CC0BCD" w14:textId="77777777" w:rsidR="0083687D" w:rsidRPr="00634FDB" w:rsidRDefault="0083687D" w:rsidP="00250DAC">
            <w:pPr>
              <w:spacing w:after="0" w:line="240" w:lineRule="auto"/>
              <w:jc w:val="center"/>
              <w:rPr>
                <w:rFonts w:ascii="Times New Roman" w:hAnsi="Times New Roman"/>
                <w:sz w:val="20"/>
                <w:szCs w:val="20"/>
              </w:rPr>
            </w:pPr>
          </w:p>
        </w:tc>
        <w:tc>
          <w:tcPr>
            <w:tcW w:w="1123" w:type="dxa"/>
            <w:vMerge/>
            <w:vAlign w:val="center"/>
            <w:hideMark/>
          </w:tcPr>
          <w:p w14:paraId="46EDC277" w14:textId="77777777" w:rsidR="0083687D" w:rsidRPr="00634FDB" w:rsidRDefault="0083687D" w:rsidP="00250DAC">
            <w:pPr>
              <w:spacing w:after="0" w:line="240" w:lineRule="auto"/>
              <w:jc w:val="center"/>
              <w:rPr>
                <w:rFonts w:ascii="Times New Roman" w:hAnsi="Times New Roman"/>
                <w:sz w:val="20"/>
                <w:szCs w:val="20"/>
              </w:rPr>
            </w:pPr>
          </w:p>
        </w:tc>
        <w:tc>
          <w:tcPr>
            <w:tcW w:w="2737" w:type="dxa"/>
            <w:vMerge/>
            <w:vAlign w:val="center"/>
            <w:hideMark/>
          </w:tcPr>
          <w:p w14:paraId="2A4A26F9" w14:textId="77777777" w:rsidR="0083687D" w:rsidRPr="00634FDB" w:rsidRDefault="0083687D" w:rsidP="00250DAC">
            <w:pPr>
              <w:spacing w:after="0" w:line="240" w:lineRule="auto"/>
              <w:jc w:val="both"/>
              <w:rPr>
                <w:rFonts w:ascii="Times New Roman" w:hAnsi="Times New Roman"/>
                <w:sz w:val="20"/>
                <w:szCs w:val="20"/>
              </w:rPr>
            </w:pPr>
          </w:p>
        </w:tc>
      </w:tr>
      <w:tr w:rsidR="0083687D" w:rsidRPr="00634FDB" w14:paraId="2CDAA90E" w14:textId="77777777" w:rsidTr="0083687D">
        <w:trPr>
          <w:trHeight w:val="438"/>
        </w:trPr>
        <w:tc>
          <w:tcPr>
            <w:tcW w:w="1867" w:type="dxa"/>
            <w:vMerge w:val="restart"/>
            <w:shd w:val="clear" w:color="000000" w:fill="FFFFFF"/>
            <w:noWrap/>
            <w:vAlign w:val="center"/>
            <w:hideMark/>
          </w:tcPr>
          <w:p w14:paraId="391B8112" w14:textId="77777777" w:rsidR="0083687D" w:rsidRPr="00634FDB" w:rsidRDefault="0083687D" w:rsidP="00250DAC">
            <w:pPr>
              <w:spacing w:after="0" w:line="240" w:lineRule="auto"/>
              <w:jc w:val="both"/>
              <w:rPr>
                <w:rFonts w:ascii="Times New Roman" w:hAnsi="Times New Roman"/>
                <w:sz w:val="20"/>
                <w:szCs w:val="20"/>
              </w:rPr>
            </w:pPr>
            <w:r w:rsidRPr="00634FDB">
              <w:rPr>
                <w:rFonts w:ascii="Times New Roman" w:hAnsi="Times New Roman"/>
                <w:sz w:val="20"/>
                <w:szCs w:val="20"/>
              </w:rPr>
              <w:t>(g) Trade payables turnover ratio</w:t>
            </w:r>
          </w:p>
        </w:tc>
        <w:tc>
          <w:tcPr>
            <w:tcW w:w="2247" w:type="dxa"/>
            <w:tcBorders>
              <w:bottom w:val="nil"/>
            </w:tcBorders>
            <w:shd w:val="clear" w:color="000000" w:fill="FFFFFF"/>
            <w:noWrap/>
            <w:vAlign w:val="bottom"/>
            <w:hideMark/>
          </w:tcPr>
          <w:p w14:paraId="6F335359" w14:textId="77777777" w:rsidR="0083687D" w:rsidRPr="00634FDB" w:rsidRDefault="0083687D" w:rsidP="00250DAC">
            <w:pPr>
              <w:spacing w:after="0" w:line="240" w:lineRule="auto"/>
              <w:jc w:val="center"/>
              <w:rPr>
                <w:rFonts w:ascii="Times New Roman" w:hAnsi="Times New Roman"/>
                <w:sz w:val="20"/>
                <w:szCs w:val="20"/>
                <w:u w:val="single"/>
              </w:rPr>
            </w:pPr>
            <w:r w:rsidRPr="00634FDB">
              <w:rPr>
                <w:rFonts w:ascii="Times New Roman" w:hAnsi="Times New Roman"/>
                <w:sz w:val="20"/>
                <w:szCs w:val="20"/>
                <w:u w:val="single"/>
              </w:rPr>
              <w:t>Total Purchases</w:t>
            </w:r>
          </w:p>
        </w:tc>
        <w:tc>
          <w:tcPr>
            <w:tcW w:w="1217" w:type="dxa"/>
            <w:vMerge w:val="restart"/>
            <w:shd w:val="clear" w:color="000000" w:fill="FFFFFF"/>
            <w:noWrap/>
            <w:vAlign w:val="center"/>
            <w:hideMark/>
          </w:tcPr>
          <w:p w14:paraId="1F1165EF"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17.61</w:t>
            </w:r>
          </w:p>
        </w:tc>
        <w:tc>
          <w:tcPr>
            <w:tcW w:w="1310" w:type="dxa"/>
            <w:vMerge w:val="restart"/>
            <w:shd w:val="clear" w:color="000000" w:fill="FFFFFF"/>
            <w:noWrap/>
            <w:vAlign w:val="center"/>
            <w:hideMark/>
          </w:tcPr>
          <w:p w14:paraId="79804B2D"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13.62</w:t>
            </w:r>
          </w:p>
        </w:tc>
        <w:tc>
          <w:tcPr>
            <w:tcW w:w="1123" w:type="dxa"/>
            <w:vMerge w:val="restart"/>
            <w:shd w:val="clear" w:color="000000" w:fill="FFFFFF"/>
            <w:noWrap/>
            <w:vAlign w:val="center"/>
            <w:hideMark/>
          </w:tcPr>
          <w:p w14:paraId="49D0F6E2"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29.35%</w:t>
            </w:r>
          </w:p>
        </w:tc>
        <w:tc>
          <w:tcPr>
            <w:tcW w:w="2737" w:type="dxa"/>
            <w:vMerge w:val="restart"/>
            <w:shd w:val="clear" w:color="000000" w:fill="FFFFFF"/>
            <w:vAlign w:val="center"/>
            <w:hideMark/>
          </w:tcPr>
          <w:p w14:paraId="709C078D" w14:textId="77777777" w:rsidR="0083687D" w:rsidRPr="00634FDB" w:rsidRDefault="0083687D" w:rsidP="00250DAC">
            <w:pPr>
              <w:spacing w:after="0" w:line="240" w:lineRule="auto"/>
              <w:jc w:val="both"/>
              <w:rPr>
                <w:rFonts w:ascii="Times New Roman" w:hAnsi="Times New Roman"/>
                <w:sz w:val="20"/>
                <w:szCs w:val="20"/>
              </w:rPr>
            </w:pPr>
            <w:r w:rsidRPr="00634FDB">
              <w:rPr>
                <w:rFonts w:ascii="Times New Roman" w:hAnsi="Times New Roman"/>
                <w:sz w:val="20"/>
                <w:szCs w:val="20"/>
              </w:rPr>
              <w:t>As per our opinion change in Trade Payables Turnover Ratio is improved due to increase in Credit Purchase as compared to last year.</w:t>
            </w:r>
          </w:p>
        </w:tc>
      </w:tr>
      <w:tr w:rsidR="0083687D" w:rsidRPr="00634FDB" w14:paraId="72FE101D" w14:textId="77777777" w:rsidTr="0083687D">
        <w:trPr>
          <w:trHeight w:val="20"/>
        </w:trPr>
        <w:tc>
          <w:tcPr>
            <w:tcW w:w="1867" w:type="dxa"/>
            <w:vMerge/>
            <w:vAlign w:val="center"/>
            <w:hideMark/>
          </w:tcPr>
          <w:p w14:paraId="5B94493D" w14:textId="77777777" w:rsidR="0083687D" w:rsidRPr="00634FDB" w:rsidRDefault="0083687D" w:rsidP="00250DAC">
            <w:pPr>
              <w:spacing w:after="0" w:line="240" w:lineRule="auto"/>
              <w:jc w:val="both"/>
              <w:rPr>
                <w:rFonts w:ascii="Times New Roman" w:hAnsi="Times New Roman"/>
                <w:sz w:val="20"/>
                <w:szCs w:val="20"/>
              </w:rPr>
            </w:pPr>
          </w:p>
        </w:tc>
        <w:tc>
          <w:tcPr>
            <w:tcW w:w="2247" w:type="dxa"/>
            <w:tcBorders>
              <w:top w:val="nil"/>
            </w:tcBorders>
            <w:shd w:val="clear" w:color="000000" w:fill="FFFFFF"/>
            <w:noWrap/>
            <w:hideMark/>
          </w:tcPr>
          <w:p w14:paraId="62CA8A1E"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Average Account Payable</w:t>
            </w:r>
          </w:p>
        </w:tc>
        <w:tc>
          <w:tcPr>
            <w:tcW w:w="1217" w:type="dxa"/>
            <w:vMerge/>
            <w:vAlign w:val="center"/>
            <w:hideMark/>
          </w:tcPr>
          <w:p w14:paraId="0F217C64" w14:textId="77777777" w:rsidR="0083687D" w:rsidRPr="00634FDB" w:rsidRDefault="0083687D" w:rsidP="00250DAC">
            <w:pPr>
              <w:spacing w:after="0" w:line="240" w:lineRule="auto"/>
              <w:jc w:val="center"/>
              <w:rPr>
                <w:rFonts w:ascii="Times New Roman" w:hAnsi="Times New Roman"/>
                <w:sz w:val="20"/>
                <w:szCs w:val="20"/>
              </w:rPr>
            </w:pPr>
          </w:p>
        </w:tc>
        <w:tc>
          <w:tcPr>
            <w:tcW w:w="1310" w:type="dxa"/>
            <w:vMerge/>
            <w:vAlign w:val="center"/>
            <w:hideMark/>
          </w:tcPr>
          <w:p w14:paraId="12ADB37D" w14:textId="77777777" w:rsidR="0083687D" w:rsidRPr="00634FDB" w:rsidRDefault="0083687D" w:rsidP="00250DAC">
            <w:pPr>
              <w:spacing w:after="0" w:line="240" w:lineRule="auto"/>
              <w:jc w:val="center"/>
              <w:rPr>
                <w:rFonts w:ascii="Times New Roman" w:hAnsi="Times New Roman"/>
                <w:sz w:val="20"/>
                <w:szCs w:val="20"/>
              </w:rPr>
            </w:pPr>
          </w:p>
        </w:tc>
        <w:tc>
          <w:tcPr>
            <w:tcW w:w="1123" w:type="dxa"/>
            <w:vMerge/>
            <w:vAlign w:val="center"/>
            <w:hideMark/>
          </w:tcPr>
          <w:p w14:paraId="2CCB8DDD" w14:textId="77777777" w:rsidR="0083687D" w:rsidRPr="00634FDB" w:rsidRDefault="0083687D" w:rsidP="00250DAC">
            <w:pPr>
              <w:spacing w:after="0" w:line="240" w:lineRule="auto"/>
              <w:jc w:val="center"/>
              <w:rPr>
                <w:rFonts w:ascii="Times New Roman" w:hAnsi="Times New Roman"/>
                <w:sz w:val="20"/>
                <w:szCs w:val="20"/>
              </w:rPr>
            </w:pPr>
          </w:p>
        </w:tc>
        <w:tc>
          <w:tcPr>
            <w:tcW w:w="2737" w:type="dxa"/>
            <w:vMerge/>
            <w:vAlign w:val="center"/>
            <w:hideMark/>
          </w:tcPr>
          <w:p w14:paraId="180E2DC1" w14:textId="77777777" w:rsidR="0083687D" w:rsidRPr="00634FDB" w:rsidRDefault="0083687D" w:rsidP="00250DAC">
            <w:pPr>
              <w:spacing w:after="0" w:line="240" w:lineRule="auto"/>
              <w:jc w:val="both"/>
              <w:rPr>
                <w:rFonts w:ascii="Times New Roman" w:hAnsi="Times New Roman"/>
                <w:sz w:val="20"/>
                <w:szCs w:val="20"/>
              </w:rPr>
            </w:pPr>
          </w:p>
        </w:tc>
      </w:tr>
      <w:tr w:rsidR="0083687D" w:rsidRPr="00634FDB" w14:paraId="343644B9" w14:textId="77777777" w:rsidTr="0083687D">
        <w:trPr>
          <w:trHeight w:val="20"/>
        </w:trPr>
        <w:tc>
          <w:tcPr>
            <w:tcW w:w="1867" w:type="dxa"/>
            <w:vMerge w:val="restart"/>
            <w:shd w:val="clear" w:color="000000" w:fill="FFFFFF"/>
            <w:noWrap/>
            <w:vAlign w:val="center"/>
            <w:hideMark/>
          </w:tcPr>
          <w:p w14:paraId="17BD21EC" w14:textId="77777777" w:rsidR="0083687D" w:rsidRPr="00634FDB" w:rsidRDefault="0083687D" w:rsidP="00250DAC">
            <w:pPr>
              <w:spacing w:after="0" w:line="240" w:lineRule="auto"/>
              <w:jc w:val="both"/>
              <w:rPr>
                <w:rFonts w:ascii="Times New Roman" w:hAnsi="Times New Roman"/>
                <w:sz w:val="20"/>
                <w:szCs w:val="20"/>
              </w:rPr>
            </w:pPr>
            <w:r w:rsidRPr="00634FDB">
              <w:rPr>
                <w:rFonts w:ascii="Times New Roman" w:hAnsi="Times New Roman"/>
                <w:sz w:val="20"/>
                <w:szCs w:val="20"/>
              </w:rPr>
              <w:t>(h) Net capital turnover ratio</w:t>
            </w:r>
          </w:p>
        </w:tc>
        <w:tc>
          <w:tcPr>
            <w:tcW w:w="2247" w:type="dxa"/>
            <w:tcBorders>
              <w:bottom w:val="nil"/>
            </w:tcBorders>
            <w:shd w:val="clear" w:color="000000" w:fill="FFFFFF"/>
            <w:noWrap/>
            <w:vAlign w:val="center"/>
            <w:hideMark/>
          </w:tcPr>
          <w:p w14:paraId="4DCB181A" w14:textId="77777777" w:rsidR="0083687D" w:rsidRPr="00634FDB" w:rsidRDefault="0083687D" w:rsidP="00250DAC">
            <w:pPr>
              <w:spacing w:after="0" w:line="240" w:lineRule="auto"/>
              <w:jc w:val="center"/>
              <w:rPr>
                <w:rFonts w:ascii="Times New Roman" w:hAnsi="Times New Roman"/>
                <w:sz w:val="20"/>
                <w:szCs w:val="20"/>
                <w:u w:val="single"/>
              </w:rPr>
            </w:pPr>
            <w:r w:rsidRPr="00634FDB">
              <w:rPr>
                <w:rFonts w:ascii="Times New Roman" w:hAnsi="Times New Roman"/>
                <w:sz w:val="20"/>
                <w:szCs w:val="20"/>
                <w:u w:val="single"/>
              </w:rPr>
              <w:t>Total Turnover</w:t>
            </w:r>
          </w:p>
        </w:tc>
        <w:tc>
          <w:tcPr>
            <w:tcW w:w="1217" w:type="dxa"/>
            <w:vMerge w:val="restart"/>
            <w:shd w:val="clear" w:color="000000" w:fill="FFFFFF"/>
            <w:noWrap/>
            <w:vAlign w:val="center"/>
            <w:hideMark/>
          </w:tcPr>
          <w:p w14:paraId="03686E39"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12.61</w:t>
            </w:r>
          </w:p>
        </w:tc>
        <w:tc>
          <w:tcPr>
            <w:tcW w:w="1310" w:type="dxa"/>
            <w:vMerge w:val="restart"/>
            <w:shd w:val="clear" w:color="000000" w:fill="FFFFFF"/>
            <w:noWrap/>
            <w:vAlign w:val="center"/>
            <w:hideMark/>
          </w:tcPr>
          <w:p w14:paraId="58592CD7"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11.08</w:t>
            </w:r>
          </w:p>
        </w:tc>
        <w:tc>
          <w:tcPr>
            <w:tcW w:w="1123" w:type="dxa"/>
            <w:vMerge w:val="restart"/>
            <w:shd w:val="clear" w:color="000000" w:fill="FFFFFF"/>
            <w:noWrap/>
            <w:vAlign w:val="center"/>
            <w:hideMark/>
          </w:tcPr>
          <w:p w14:paraId="701A0D6B"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13.78%</w:t>
            </w:r>
          </w:p>
        </w:tc>
        <w:tc>
          <w:tcPr>
            <w:tcW w:w="2737" w:type="dxa"/>
            <w:vMerge w:val="restart"/>
            <w:shd w:val="clear" w:color="000000" w:fill="FFFFFF"/>
            <w:noWrap/>
            <w:vAlign w:val="center"/>
            <w:hideMark/>
          </w:tcPr>
          <w:p w14:paraId="3281AF7E" w14:textId="77777777" w:rsidR="0083687D" w:rsidRPr="00634FDB" w:rsidRDefault="0083687D" w:rsidP="00250DAC">
            <w:pPr>
              <w:spacing w:after="0" w:line="240" w:lineRule="auto"/>
              <w:jc w:val="both"/>
              <w:rPr>
                <w:rFonts w:ascii="Times New Roman" w:hAnsi="Times New Roman"/>
                <w:sz w:val="20"/>
                <w:szCs w:val="20"/>
              </w:rPr>
            </w:pPr>
            <w:r w:rsidRPr="00634FDB">
              <w:rPr>
                <w:rFonts w:ascii="Times New Roman" w:hAnsi="Times New Roman"/>
                <w:sz w:val="20"/>
                <w:szCs w:val="20"/>
              </w:rPr>
              <w:t>-</w:t>
            </w:r>
          </w:p>
        </w:tc>
      </w:tr>
      <w:tr w:rsidR="0083687D" w:rsidRPr="00634FDB" w14:paraId="2411E970" w14:textId="77777777" w:rsidTr="0083687D">
        <w:trPr>
          <w:trHeight w:val="20"/>
        </w:trPr>
        <w:tc>
          <w:tcPr>
            <w:tcW w:w="1867" w:type="dxa"/>
            <w:vMerge/>
            <w:vAlign w:val="center"/>
            <w:hideMark/>
          </w:tcPr>
          <w:p w14:paraId="20F73FC8" w14:textId="77777777" w:rsidR="0083687D" w:rsidRPr="00634FDB" w:rsidRDefault="0083687D" w:rsidP="00250DAC">
            <w:pPr>
              <w:spacing w:after="0" w:line="240" w:lineRule="auto"/>
              <w:jc w:val="both"/>
              <w:rPr>
                <w:rFonts w:ascii="Times New Roman" w:hAnsi="Times New Roman"/>
                <w:sz w:val="20"/>
                <w:szCs w:val="20"/>
              </w:rPr>
            </w:pPr>
          </w:p>
        </w:tc>
        <w:tc>
          <w:tcPr>
            <w:tcW w:w="2247" w:type="dxa"/>
            <w:tcBorders>
              <w:top w:val="nil"/>
            </w:tcBorders>
            <w:shd w:val="clear" w:color="000000" w:fill="FFFFFF"/>
            <w:noWrap/>
            <w:vAlign w:val="center"/>
            <w:hideMark/>
          </w:tcPr>
          <w:p w14:paraId="48569593"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Net Working Capital</w:t>
            </w:r>
          </w:p>
        </w:tc>
        <w:tc>
          <w:tcPr>
            <w:tcW w:w="1217" w:type="dxa"/>
            <w:vMerge/>
            <w:vAlign w:val="center"/>
            <w:hideMark/>
          </w:tcPr>
          <w:p w14:paraId="3CB511E7" w14:textId="77777777" w:rsidR="0083687D" w:rsidRPr="00634FDB" w:rsidRDefault="0083687D" w:rsidP="00250DAC">
            <w:pPr>
              <w:spacing w:after="0" w:line="240" w:lineRule="auto"/>
              <w:jc w:val="center"/>
              <w:rPr>
                <w:rFonts w:ascii="Times New Roman" w:hAnsi="Times New Roman"/>
                <w:sz w:val="20"/>
                <w:szCs w:val="20"/>
              </w:rPr>
            </w:pPr>
          </w:p>
        </w:tc>
        <w:tc>
          <w:tcPr>
            <w:tcW w:w="1310" w:type="dxa"/>
            <w:vMerge/>
            <w:vAlign w:val="center"/>
            <w:hideMark/>
          </w:tcPr>
          <w:p w14:paraId="097C9B2B" w14:textId="77777777" w:rsidR="0083687D" w:rsidRPr="00634FDB" w:rsidRDefault="0083687D" w:rsidP="00250DAC">
            <w:pPr>
              <w:spacing w:after="0" w:line="240" w:lineRule="auto"/>
              <w:jc w:val="center"/>
              <w:rPr>
                <w:rFonts w:ascii="Times New Roman" w:hAnsi="Times New Roman"/>
                <w:sz w:val="20"/>
                <w:szCs w:val="20"/>
              </w:rPr>
            </w:pPr>
          </w:p>
        </w:tc>
        <w:tc>
          <w:tcPr>
            <w:tcW w:w="1123" w:type="dxa"/>
            <w:vMerge/>
            <w:vAlign w:val="center"/>
            <w:hideMark/>
          </w:tcPr>
          <w:p w14:paraId="0C5988B5" w14:textId="77777777" w:rsidR="0083687D" w:rsidRPr="00634FDB" w:rsidRDefault="0083687D" w:rsidP="00250DAC">
            <w:pPr>
              <w:spacing w:after="0" w:line="240" w:lineRule="auto"/>
              <w:jc w:val="center"/>
              <w:rPr>
                <w:rFonts w:ascii="Times New Roman" w:hAnsi="Times New Roman"/>
                <w:sz w:val="20"/>
                <w:szCs w:val="20"/>
              </w:rPr>
            </w:pPr>
          </w:p>
        </w:tc>
        <w:tc>
          <w:tcPr>
            <w:tcW w:w="2737" w:type="dxa"/>
            <w:vMerge/>
            <w:vAlign w:val="center"/>
            <w:hideMark/>
          </w:tcPr>
          <w:p w14:paraId="61DE3130" w14:textId="77777777" w:rsidR="0083687D" w:rsidRPr="00634FDB" w:rsidRDefault="0083687D" w:rsidP="00250DAC">
            <w:pPr>
              <w:spacing w:after="0" w:line="240" w:lineRule="auto"/>
              <w:jc w:val="both"/>
              <w:rPr>
                <w:rFonts w:ascii="Times New Roman" w:hAnsi="Times New Roman"/>
                <w:sz w:val="20"/>
                <w:szCs w:val="20"/>
              </w:rPr>
            </w:pPr>
          </w:p>
        </w:tc>
      </w:tr>
      <w:tr w:rsidR="0083687D" w:rsidRPr="00634FDB" w14:paraId="78AA9A9F" w14:textId="77777777" w:rsidTr="0083687D">
        <w:trPr>
          <w:trHeight w:val="584"/>
        </w:trPr>
        <w:tc>
          <w:tcPr>
            <w:tcW w:w="1867" w:type="dxa"/>
            <w:vMerge w:val="restart"/>
            <w:shd w:val="clear" w:color="000000" w:fill="FFFFFF"/>
            <w:noWrap/>
            <w:vAlign w:val="center"/>
            <w:hideMark/>
          </w:tcPr>
          <w:p w14:paraId="5E352FD9" w14:textId="77777777" w:rsidR="0083687D" w:rsidRPr="00634FDB" w:rsidRDefault="0083687D" w:rsidP="00250DAC">
            <w:pPr>
              <w:spacing w:after="0" w:line="240" w:lineRule="auto"/>
              <w:jc w:val="both"/>
              <w:rPr>
                <w:rFonts w:ascii="Times New Roman" w:hAnsi="Times New Roman"/>
                <w:sz w:val="20"/>
                <w:szCs w:val="20"/>
              </w:rPr>
            </w:pPr>
            <w:r w:rsidRPr="00634FDB">
              <w:rPr>
                <w:rFonts w:ascii="Times New Roman" w:hAnsi="Times New Roman"/>
                <w:sz w:val="20"/>
                <w:szCs w:val="20"/>
              </w:rPr>
              <w:t>(i) Net profit ratio</w:t>
            </w:r>
          </w:p>
        </w:tc>
        <w:tc>
          <w:tcPr>
            <w:tcW w:w="2247" w:type="dxa"/>
            <w:tcBorders>
              <w:bottom w:val="nil"/>
            </w:tcBorders>
            <w:shd w:val="clear" w:color="000000" w:fill="FFFFFF"/>
            <w:noWrap/>
            <w:vAlign w:val="bottom"/>
            <w:hideMark/>
          </w:tcPr>
          <w:p w14:paraId="39798095" w14:textId="77777777" w:rsidR="0083687D" w:rsidRPr="00634FDB" w:rsidRDefault="0083687D" w:rsidP="00250DAC">
            <w:pPr>
              <w:spacing w:after="0" w:line="240" w:lineRule="auto"/>
              <w:jc w:val="center"/>
              <w:rPr>
                <w:rFonts w:ascii="Times New Roman" w:hAnsi="Times New Roman"/>
                <w:sz w:val="20"/>
                <w:szCs w:val="20"/>
                <w:u w:val="single"/>
              </w:rPr>
            </w:pPr>
            <w:r w:rsidRPr="00634FDB">
              <w:rPr>
                <w:rFonts w:ascii="Times New Roman" w:hAnsi="Times New Roman"/>
                <w:sz w:val="20"/>
                <w:szCs w:val="20"/>
                <w:u w:val="single"/>
              </w:rPr>
              <w:t>Net Profit</w:t>
            </w:r>
          </w:p>
        </w:tc>
        <w:tc>
          <w:tcPr>
            <w:tcW w:w="1217" w:type="dxa"/>
            <w:vMerge w:val="restart"/>
            <w:shd w:val="clear" w:color="000000" w:fill="FFFFFF"/>
            <w:noWrap/>
            <w:vAlign w:val="center"/>
            <w:hideMark/>
          </w:tcPr>
          <w:p w14:paraId="0546AB6D"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1.55</w:t>
            </w:r>
          </w:p>
        </w:tc>
        <w:tc>
          <w:tcPr>
            <w:tcW w:w="1310" w:type="dxa"/>
            <w:vMerge w:val="restart"/>
            <w:shd w:val="clear" w:color="000000" w:fill="FFFFFF"/>
            <w:noWrap/>
            <w:vAlign w:val="center"/>
            <w:hideMark/>
          </w:tcPr>
          <w:p w14:paraId="032B192B"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0.76</w:t>
            </w:r>
          </w:p>
        </w:tc>
        <w:tc>
          <w:tcPr>
            <w:tcW w:w="1123" w:type="dxa"/>
            <w:vMerge w:val="restart"/>
            <w:shd w:val="clear" w:color="000000" w:fill="FFFFFF"/>
            <w:noWrap/>
            <w:vAlign w:val="center"/>
            <w:hideMark/>
          </w:tcPr>
          <w:p w14:paraId="27712C50"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103.82%</w:t>
            </w:r>
          </w:p>
        </w:tc>
        <w:tc>
          <w:tcPr>
            <w:tcW w:w="2737" w:type="dxa"/>
            <w:vMerge w:val="restart"/>
            <w:shd w:val="clear" w:color="000000" w:fill="FFFFFF"/>
            <w:vAlign w:val="center"/>
            <w:hideMark/>
          </w:tcPr>
          <w:p w14:paraId="3BBDBA8E" w14:textId="77777777" w:rsidR="0083687D" w:rsidRPr="00634FDB" w:rsidRDefault="0083687D" w:rsidP="00250DAC">
            <w:pPr>
              <w:spacing w:after="0" w:line="240" w:lineRule="auto"/>
              <w:jc w:val="both"/>
              <w:rPr>
                <w:rFonts w:ascii="Times New Roman" w:hAnsi="Times New Roman"/>
                <w:sz w:val="20"/>
                <w:szCs w:val="20"/>
              </w:rPr>
            </w:pPr>
            <w:r w:rsidRPr="00634FDB">
              <w:rPr>
                <w:rFonts w:ascii="Times New Roman" w:hAnsi="Times New Roman"/>
                <w:sz w:val="20"/>
                <w:szCs w:val="20"/>
              </w:rPr>
              <w:t>As per our opinion, the decrease in Net Profit Ratio is due to decrease in Profit in Current year as compared to last year.</w:t>
            </w:r>
          </w:p>
        </w:tc>
      </w:tr>
      <w:tr w:rsidR="0083687D" w:rsidRPr="00634FDB" w14:paraId="53F135C8" w14:textId="77777777" w:rsidTr="0083687D">
        <w:trPr>
          <w:trHeight w:val="20"/>
        </w:trPr>
        <w:tc>
          <w:tcPr>
            <w:tcW w:w="1867" w:type="dxa"/>
            <w:vMerge/>
            <w:vAlign w:val="center"/>
            <w:hideMark/>
          </w:tcPr>
          <w:p w14:paraId="43FAB914" w14:textId="77777777" w:rsidR="0083687D" w:rsidRPr="00634FDB" w:rsidRDefault="0083687D" w:rsidP="00250DAC">
            <w:pPr>
              <w:spacing w:after="0" w:line="240" w:lineRule="auto"/>
              <w:jc w:val="both"/>
              <w:rPr>
                <w:rFonts w:ascii="Times New Roman" w:hAnsi="Times New Roman"/>
                <w:sz w:val="20"/>
                <w:szCs w:val="20"/>
              </w:rPr>
            </w:pPr>
          </w:p>
        </w:tc>
        <w:tc>
          <w:tcPr>
            <w:tcW w:w="2247" w:type="dxa"/>
            <w:tcBorders>
              <w:top w:val="nil"/>
            </w:tcBorders>
            <w:shd w:val="clear" w:color="000000" w:fill="FFFFFF"/>
            <w:noWrap/>
            <w:hideMark/>
          </w:tcPr>
          <w:p w14:paraId="049AFCBA"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Total Turnover</w:t>
            </w:r>
          </w:p>
        </w:tc>
        <w:tc>
          <w:tcPr>
            <w:tcW w:w="1217" w:type="dxa"/>
            <w:vMerge/>
            <w:vAlign w:val="center"/>
            <w:hideMark/>
          </w:tcPr>
          <w:p w14:paraId="48DE117C" w14:textId="77777777" w:rsidR="0083687D" w:rsidRPr="00634FDB" w:rsidRDefault="0083687D" w:rsidP="00250DAC">
            <w:pPr>
              <w:spacing w:after="0" w:line="240" w:lineRule="auto"/>
              <w:jc w:val="center"/>
              <w:rPr>
                <w:rFonts w:ascii="Times New Roman" w:hAnsi="Times New Roman"/>
                <w:sz w:val="20"/>
                <w:szCs w:val="20"/>
              </w:rPr>
            </w:pPr>
          </w:p>
        </w:tc>
        <w:tc>
          <w:tcPr>
            <w:tcW w:w="1310" w:type="dxa"/>
            <w:vMerge/>
            <w:vAlign w:val="center"/>
            <w:hideMark/>
          </w:tcPr>
          <w:p w14:paraId="0A519871" w14:textId="77777777" w:rsidR="0083687D" w:rsidRPr="00634FDB" w:rsidRDefault="0083687D" w:rsidP="00250DAC">
            <w:pPr>
              <w:spacing w:after="0" w:line="240" w:lineRule="auto"/>
              <w:jc w:val="center"/>
              <w:rPr>
                <w:rFonts w:ascii="Times New Roman" w:hAnsi="Times New Roman"/>
                <w:sz w:val="20"/>
                <w:szCs w:val="20"/>
              </w:rPr>
            </w:pPr>
          </w:p>
        </w:tc>
        <w:tc>
          <w:tcPr>
            <w:tcW w:w="1123" w:type="dxa"/>
            <w:vMerge/>
            <w:vAlign w:val="center"/>
            <w:hideMark/>
          </w:tcPr>
          <w:p w14:paraId="7751EB15" w14:textId="77777777" w:rsidR="0083687D" w:rsidRPr="00634FDB" w:rsidRDefault="0083687D" w:rsidP="00250DAC">
            <w:pPr>
              <w:spacing w:after="0" w:line="240" w:lineRule="auto"/>
              <w:jc w:val="center"/>
              <w:rPr>
                <w:rFonts w:ascii="Times New Roman" w:hAnsi="Times New Roman"/>
                <w:sz w:val="20"/>
                <w:szCs w:val="20"/>
              </w:rPr>
            </w:pPr>
          </w:p>
        </w:tc>
        <w:tc>
          <w:tcPr>
            <w:tcW w:w="2737" w:type="dxa"/>
            <w:vMerge/>
            <w:vAlign w:val="center"/>
            <w:hideMark/>
          </w:tcPr>
          <w:p w14:paraId="1CB48223" w14:textId="77777777" w:rsidR="0083687D" w:rsidRPr="00634FDB" w:rsidRDefault="0083687D" w:rsidP="00250DAC">
            <w:pPr>
              <w:spacing w:after="0" w:line="240" w:lineRule="auto"/>
              <w:jc w:val="both"/>
              <w:rPr>
                <w:rFonts w:ascii="Times New Roman" w:hAnsi="Times New Roman"/>
                <w:sz w:val="20"/>
                <w:szCs w:val="20"/>
              </w:rPr>
            </w:pPr>
          </w:p>
        </w:tc>
      </w:tr>
      <w:tr w:rsidR="0083687D" w:rsidRPr="00634FDB" w14:paraId="22B26296" w14:textId="77777777" w:rsidTr="0083687D">
        <w:trPr>
          <w:trHeight w:val="438"/>
        </w:trPr>
        <w:tc>
          <w:tcPr>
            <w:tcW w:w="1867" w:type="dxa"/>
            <w:vMerge w:val="restart"/>
            <w:shd w:val="clear" w:color="000000" w:fill="FFFFFF"/>
            <w:noWrap/>
            <w:vAlign w:val="center"/>
            <w:hideMark/>
          </w:tcPr>
          <w:p w14:paraId="67A914EB" w14:textId="77777777" w:rsidR="0083687D" w:rsidRPr="00634FDB" w:rsidRDefault="0083687D" w:rsidP="00250DAC">
            <w:pPr>
              <w:spacing w:after="0" w:line="240" w:lineRule="auto"/>
              <w:jc w:val="both"/>
              <w:rPr>
                <w:rFonts w:ascii="Times New Roman" w:hAnsi="Times New Roman"/>
                <w:sz w:val="20"/>
                <w:szCs w:val="20"/>
              </w:rPr>
            </w:pPr>
            <w:r w:rsidRPr="00634FDB">
              <w:rPr>
                <w:rFonts w:ascii="Times New Roman" w:hAnsi="Times New Roman"/>
                <w:sz w:val="20"/>
                <w:szCs w:val="20"/>
              </w:rPr>
              <w:t>(j) Return on Capital employed</w:t>
            </w:r>
          </w:p>
        </w:tc>
        <w:tc>
          <w:tcPr>
            <w:tcW w:w="2247" w:type="dxa"/>
            <w:tcBorders>
              <w:bottom w:val="nil"/>
            </w:tcBorders>
            <w:shd w:val="clear" w:color="000000" w:fill="FFFFFF"/>
            <w:noWrap/>
            <w:vAlign w:val="bottom"/>
            <w:hideMark/>
          </w:tcPr>
          <w:p w14:paraId="5C945E5A" w14:textId="77777777" w:rsidR="0083687D" w:rsidRPr="00634FDB" w:rsidRDefault="0083687D" w:rsidP="00250DAC">
            <w:pPr>
              <w:spacing w:after="0" w:line="240" w:lineRule="auto"/>
              <w:jc w:val="center"/>
              <w:rPr>
                <w:rFonts w:ascii="Times New Roman" w:hAnsi="Times New Roman"/>
                <w:sz w:val="20"/>
                <w:szCs w:val="20"/>
                <w:u w:val="single"/>
              </w:rPr>
            </w:pPr>
            <w:r w:rsidRPr="00634FDB">
              <w:rPr>
                <w:rFonts w:ascii="Times New Roman" w:hAnsi="Times New Roman"/>
                <w:sz w:val="20"/>
                <w:szCs w:val="20"/>
                <w:u w:val="single"/>
              </w:rPr>
              <w:t>Net Profit</w:t>
            </w:r>
          </w:p>
        </w:tc>
        <w:tc>
          <w:tcPr>
            <w:tcW w:w="1217" w:type="dxa"/>
            <w:vMerge w:val="restart"/>
            <w:shd w:val="clear" w:color="000000" w:fill="FFFFFF"/>
            <w:noWrap/>
            <w:vAlign w:val="center"/>
            <w:hideMark/>
          </w:tcPr>
          <w:p w14:paraId="42F47A83"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13.42</w:t>
            </w:r>
          </w:p>
        </w:tc>
        <w:tc>
          <w:tcPr>
            <w:tcW w:w="1310" w:type="dxa"/>
            <w:vMerge w:val="restart"/>
            <w:shd w:val="clear" w:color="000000" w:fill="FFFFFF"/>
            <w:noWrap/>
            <w:vAlign w:val="center"/>
            <w:hideMark/>
          </w:tcPr>
          <w:p w14:paraId="380CC8EF"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10.38</w:t>
            </w:r>
          </w:p>
        </w:tc>
        <w:tc>
          <w:tcPr>
            <w:tcW w:w="1123" w:type="dxa"/>
            <w:vMerge w:val="restart"/>
            <w:shd w:val="clear" w:color="000000" w:fill="FFFFFF"/>
            <w:noWrap/>
            <w:vAlign w:val="center"/>
            <w:hideMark/>
          </w:tcPr>
          <w:p w14:paraId="5D854E64"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29.36%</w:t>
            </w:r>
          </w:p>
        </w:tc>
        <w:tc>
          <w:tcPr>
            <w:tcW w:w="2737" w:type="dxa"/>
            <w:vMerge w:val="restart"/>
            <w:shd w:val="clear" w:color="000000" w:fill="FFFFFF"/>
            <w:vAlign w:val="center"/>
            <w:hideMark/>
          </w:tcPr>
          <w:p w14:paraId="5E1D3CCD" w14:textId="77777777" w:rsidR="0083687D" w:rsidRPr="00634FDB" w:rsidRDefault="0083687D" w:rsidP="00250DAC">
            <w:pPr>
              <w:spacing w:after="0" w:line="240" w:lineRule="auto"/>
              <w:jc w:val="both"/>
              <w:rPr>
                <w:rFonts w:ascii="Times New Roman" w:hAnsi="Times New Roman"/>
                <w:sz w:val="20"/>
                <w:szCs w:val="20"/>
              </w:rPr>
            </w:pPr>
            <w:r w:rsidRPr="00634FDB">
              <w:rPr>
                <w:rFonts w:ascii="Times New Roman" w:hAnsi="Times New Roman"/>
                <w:sz w:val="20"/>
                <w:szCs w:val="20"/>
              </w:rPr>
              <w:t>As per our opinion, the increase in Ratio is due to increase in income in Current year as compared to last year.</w:t>
            </w:r>
          </w:p>
        </w:tc>
      </w:tr>
      <w:tr w:rsidR="0083687D" w:rsidRPr="00634FDB" w14:paraId="6C2A1A96" w14:textId="77777777" w:rsidTr="0083687D">
        <w:trPr>
          <w:trHeight w:val="20"/>
        </w:trPr>
        <w:tc>
          <w:tcPr>
            <w:tcW w:w="1867" w:type="dxa"/>
            <w:vMerge/>
            <w:vAlign w:val="center"/>
            <w:hideMark/>
          </w:tcPr>
          <w:p w14:paraId="307CCD5D" w14:textId="77777777" w:rsidR="0083687D" w:rsidRPr="00634FDB" w:rsidRDefault="0083687D" w:rsidP="00250DAC">
            <w:pPr>
              <w:spacing w:after="0" w:line="240" w:lineRule="auto"/>
              <w:jc w:val="both"/>
              <w:rPr>
                <w:rFonts w:ascii="Times New Roman" w:hAnsi="Times New Roman"/>
                <w:sz w:val="20"/>
                <w:szCs w:val="20"/>
              </w:rPr>
            </w:pPr>
          </w:p>
        </w:tc>
        <w:tc>
          <w:tcPr>
            <w:tcW w:w="2247" w:type="dxa"/>
            <w:tcBorders>
              <w:top w:val="nil"/>
            </w:tcBorders>
            <w:shd w:val="clear" w:color="000000" w:fill="FFFFFF"/>
            <w:noWrap/>
            <w:hideMark/>
          </w:tcPr>
          <w:p w14:paraId="3EDF3D74"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Capital Employed</w:t>
            </w:r>
          </w:p>
        </w:tc>
        <w:tc>
          <w:tcPr>
            <w:tcW w:w="1217" w:type="dxa"/>
            <w:vMerge/>
            <w:vAlign w:val="center"/>
            <w:hideMark/>
          </w:tcPr>
          <w:p w14:paraId="15456EB9" w14:textId="77777777" w:rsidR="0083687D" w:rsidRPr="00634FDB" w:rsidRDefault="0083687D" w:rsidP="00250DAC">
            <w:pPr>
              <w:spacing w:after="0" w:line="240" w:lineRule="auto"/>
              <w:rPr>
                <w:rFonts w:ascii="Times New Roman" w:hAnsi="Times New Roman"/>
                <w:sz w:val="20"/>
                <w:szCs w:val="20"/>
              </w:rPr>
            </w:pPr>
          </w:p>
        </w:tc>
        <w:tc>
          <w:tcPr>
            <w:tcW w:w="1310" w:type="dxa"/>
            <w:vMerge/>
            <w:vAlign w:val="center"/>
            <w:hideMark/>
          </w:tcPr>
          <w:p w14:paraId="23B5720C" w14:textId="77777777" w:rsidR="0083687D" w:rsidRPr="00634FDB" w:rsidRDefault="0083687D" w:rsidP="00250DAC">
            <w:pPr>
              <w:spacing w:after="0" w:line="240" w:lineRule="auto"/>
              <w:rPr>
                <w:rFonts w:ascii="Times New Roman" w:hAnsi="Times New Roman"/>
                <w:sz w:val="20"/>
                <w:szCs w:val="20"/>
              </w:rPr>
            </w:pPr>
          </w:p>
        </w:tc>
        <w:tc>
          <w:tcPr>
            <w:tcW w:w="1123" w:type="dxa"/>
            <w:vMerge/>
            <w:vAlign w:val="center"/>
            <w:hideMark/>
          </w:tcPr>
          <w:p w14:paraId="02E4EABD" w14:textId="77777777" w:rsidR="0083687D" w:rsidRPr="00634FDB" w:rsidRDefault="0083687D" w:rsidP="00250DAC">
            <w:pPr>
              <w:spacing w:after="0" w:line="240" w:lineRule="auto"/>
              <w:rPr>
                <w:rFonts w:ascii="Times New Roman" w:hAnsi="Times New Roman"/>
                <w:sz w:val="20"/>
                <w:szCs w:val="20"/>
              </w:rPr>
            </w:pPr>
          </w:p>
        </w:tc>
        <w:tc>
          <w:tcPr>
            <w:tcW w:w="2737" w:type="dxa"/>
            <w:vMerge/>
            <w:vAlign w:val="center"/>
            <w:hideMark/>
          </w:tcPr>
          <w:p w14:paraId="230E06DD" w14:textId="77777777" w:rsidR="0083687D" w:rsidRPr="00634FDB" w:rsidRDefault="0083687D" w:rsidP="00250DAC">
            <w:pPr>
              <w:spacing w:after="0" w:line="240" w:lineRule="auto"/>
              <w:jc w:val="both"/>
              <w:rPr>
                <w:rFonts w:ascii="Times New Roman" w:hAnsi="Times New Roman"/>
                <w:sz w:val="20"/>
                <w:szCs w:val="20"/>
              </w:rPr>
            </w:pPr>
          </w:p>
        </w:tc>
      </w:tr>
      <w:tr w:rsidR="0083687D" w:rsidRPr="00634FDB" w14:paraId="2603DA33" w14:textId="77777777" w:rsidTr="0083687D">
        <w:trPr>
          <w:trHeight w:val="438"/>
        </w:trPr>
        <w:tc>
          <w:tcPr>
            <w:tcW w:w="1867" w:type="dxa"/>
            <w:vMerge w:val="restart"/>
            <w:shd w:val="clear" w:color="000000" w:fill="FFFFFF"/>
            <w:noWrap/>
            <w:vAlign w:val="center"/>
            <w:hideMark/>
          </w:tcPr>
          <w:p w14:paraId="264AD638" w14:textId="77777777" w:rsidR="0083687D" w:rsidRPr="00634FDB" w:rsidRDefault="0083687D" w:rsidP="00250DAC">
            <w:pPr>
              <w:spacing w:after="0" w:line="240" w:lineRule="auto"/>
              <w:jc w:val="both"/>
              <w:rPr>
                <w:rFonts w:ascii="Times New Roman" w:hAnsi="Times New Roman"/>
                <w:sz w:val="20"/>
                <w:szCs w:val="20"/>
              </w:rPr>
            </w:pPr>
            <w:r w:rsidRPr="00634FDB">
              <w:rPr>
                <w:rFonts w:ascii="Times New Roman" w:hAnsi="Times New Roman"/>
                <w:sz w:val="20"/>
                <w:szCs w:val="20"/>
              </w:rPr>
              <w:t>(k) Return on investment (%)</w:t>
            </w:r>
          </w:p>
        </w:tc>
        <w:tc>
          <w:tcPr>
            <w:tcW w:w="2247" w:type="dxa"/>
            <w:tcBorders>
              <w:bottom w:val="nil"/>
            </w:tcBorders>
            <w:shd w:val="clear" w:color="000000" w:fill="FFFFFF"/>
            <w:noWrap/>
            <w:vAlign w:val="bottom"/>
            <w:hideMark/>
          </w:tcPr>
          <w:p w14:paraId="2008E136" w14:textId="77777777" w:rsidR="0083687D" w:rsidRPr="00634FDB" w:rsidRDefault="0083687D" w:rsidP="00250DAC">
            <w:pPr>
              <w:spacing w:after="0" w:line="240" w:lineRule="auto"/>
              <w:jc w:val="center"/>
              <w:rPr>
                <w:rFonts w:ascii="Times New Roman" w:hAnsi="Times New Roman"/>
                <w:sz w:val="20"/>
                <w:szCs w:val="20"/>
                <w:u w:val="single"/>
              </w:rPr>
            </w:pPr>
            <w:r w:rsidRPr="00634FDB">
              <w:rPr>
                <w:rFonts w:ascii="Times New Roman" w:hAnsi="Times New Roman"/>
                <w:sz w:val="20"/>
                <w:szCs w:val="20"/>
                <w:u w:val="single"/>
              </w:rPr>
              <w:t>Return on Investment</w:t>
            </w:r>
          </w:p>
        </w:tc>
        <w:tc>
          <w:tcPr>
            <w:tcW w:w="1217" w:type="dxa"/>
            <w:vMerge w:val="restart"/>
            <w:shd w:val="clear" w:color="000000" w:fill="FFFFFF"/>
            <w:noWrap/>
            <w:vAlign w:val="center"/>
            <w:hideMark/>
          </w:tcPr>
          <w:p w14:paraId="0FB4974F"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w:t>
            </w:r>
          </w:p>
        </w:tc>
        <w:tc>
          <w:tcPr>
            <w:tcW w:w="1310" w:type="dxa"/>
            <w:vMerge w:val="restart"/>
            <w:shd w:val="clear" w:color="000000" w:fill="FFFFFF"/>
            <w:noWrap/>
            <w:vAlign w:val="center"/>
            <w:hideMark/>
          </w:tcPr>
          <w:p w14:paraId="1E1D5824"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w:t>
            </w:r>
          </w:p>
        </w:tc>
        <w:tc>
          <w:tcPr>
            <w:tcW w:w="1123" w:type="dxa"/>
            <w:vMerge w:val="restart"/>
            <w:shd w:val="clear" w:color="000000" w:fill="FFFFFF"/>
            <w:noWrap/>
            <w:vAlign w:val="center"/>
            <w:hideMark/>
          </w:tcPr>
          <w:p w14:paraId="66CB1785" w14:textId="77777777" w:rsidR="0083687D" w:rsidRPr="00634FDB" w:rsidRDefault="0083687D" w:rsidP="00250DAC">
            <w:pPr>
              <w:spacing w:after="0" w:line="240" w:lineRule="auto"/>
              <w:jc w:val="center"/>
              <w:rPr>
                <w:rFonts w:ascii="Times New Roman" w:hAnsi="Times New Roman"/>
                <w:sz w:val="20"/>
                <w:szCs w:val="20"/>
              </w:rPr>
            </w:pPr>
            <w:r>
              <w:rPr>
                <w:rFonts w:ascii="Times New Roman" w:hAnsi="Times New Roman"/>
                <w:sz w:val="20"/>
                <w:szCs w:val="20"/>
              </w:rPr>
              <w:t>-</w:t>
            </w:r>
          </w:p>
        </w:tc>
        <w:tc>
          <w:tcPr>
            <w:tcW w:w="2737" w:type="dxa"/>
            <w:vMerge w:val="restart"/>
            <w:shd w:val="clear" w:color="000000" w:fill="FFFFFF"/>
            <w:vAlign w:val="center"/>
            <w:hideMark/>
          </w:tcPr>
          <w:p w14:paraId="18523D3C" w14:textId="77777777" w:rsidR="0083687D" w:rsidRPr="00634FDB" w:rsidRDefault="0083687D" w:rsidP="00250DAC">
            <w:pPr>
              <w:spacing w:after="0" w:line="240" w:lineRule="auto"/>
              <w:jc w:val="both"/>
              <w:rPr>
                <w:rFonts w:ascii="Times New Roman" w:hAnsi="Times New Roman"/>
                <w:sz w:val="20"/>
                <w:szCs w:val="20"/>
              </w:rPr>
            </w:pPr>
            <w:r w:rsidRPr="00634FDB">
              <w:rPr>
                <w:rFonts w:ascii="Times New Roman" w:hAnsi="Times New Roman"/>
                <w:sz w:val="20"/>
                <w:szCs w:val="20"/>
              </w:rPr>
              <w:t>The increase in Return of Investment is due to increase in Net Income after Tax as compared to last year.</w:t>
            </w:r>
          </w:p>
        </w:tc>
      </w:tr>
      <w:tr w:rsidR="0083687D" w:rsidRPr="00634FDB" w14:paraId="368D023A" w14:textId="77777777" w:rsidTr="0083687D">
        <w:trPr>
          <w:trHeight w:val="20"/>
        </w:trPr>
        <w:tc>
          <w:tcPr>
            <w:tcW w:w="1867" w:type="dxa"/>
            <w:vMerge/>
            <w:vAlign w:val="center"/>
            <w:hideMark/>
          </w:tcPr>
          <w:p w14:paraId="7CD6A13A" w14:textId="77777777" w:rsidR="0083687D" w:rsidRPr="00634FDB" w:rsidRDefault="0083687D" w:rsidP="00250DAC">
            <w:pPr>
              <w:spacing w:after="0" w:line="240" w:lineRule="auto"/>
              <w:jc w:val="both"/>
              <w:rPr>
                <w:rFonts w:ascii="Times New Roman" w:hAnsi="Times New Roman"/>
                <w:sz w:val="20"/>
                <w:szCs w:val="20"/>
              </w:rPr>
            </w:pPr>
          </w:p>
        </w:tc>
        <w:tc>
          <w:tcPr>
            <w:tcW w:w="2247" w:type="dxa"/>
            <w:tcBorders>
              <w:top w:val="nil"/>
            </w:tcBorders>
            <w:shd w:val="clear" w:color="000000" w:fill="FFFFFF"/>
            <w:noWrap/>
            <w:hideMark/>
          </w:tcPr>
          <w:p w14:paraId="50F431F2"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Total Investment</w:t>
            </w:r>
          </w:p>
        </w:tc>
        <w:tc>
          <w:tcPr>
            <w:tcW w:w="1217" w:type="dxa"/>
            <w:vMerge/>
            <w:vAlign w:val="center"/>
            <w:hideMark/>
          </w:tcPr>
          <w:p w14:paraId="432CDEC4" w14:textId="77777777" w:rsidR="0083687D" w:rsidRPr="00634FDB" w:rsidRDefault="0083687D" w:rsidP="00250DAC">
            <w:pPr>
              <w:spacing w:after="0" w:line="240" w:lineRule="auto"/>
              <w:rPr>
                <w:rFonts w:ascii="Times New Roman" w:hAnsi="Times New Roman"/>
                <w:sz w:val="20"/>
                <w:szCs w:val="20"/>
              </w:rPr>
            </w:pPr>
          </w:p>
        </w:tc>
        <w:tc>
          <w:tcPr>
            <w:tcW w:w="1310" w:type="dxa"/>
            <w:vMerge/>
            <w:vAlign w:val="center"/>
            <w:hideMark/>
          </w:tcPr>
          <w:p w14:paraId="2B6AD47B" w14:textId="77777777" w:rsidR="0083687D" w:rsidRPr="00634FDB" w:rsidRDefault="0083687D" w:rsidP="00250DAC">
            <w:pPr>
              <w:spacing w:after="0" w:line="240" w:lineRule="auto"/>
              <w:rPr>
                <w:rFonts w:ascii="Times New Roman" w:hAnsi="Times New Roman"/>
                <w:sz w:val="20"/>
                <w:szCs w:val="20"/>
              </w:rPr>
            </w:pPr>
          </w:p>
        </w:tc>
        <w:tc>
          <w:tcPr>
            <w:tcW w:w="1123" w:type="dxa"/>
            <w:vMerge/>
            <w:vAlign w:val="center"/>
            <w:hideMark/>
          </w:tcPr>
          <w:p w14:paraId="3C662CE7" w14:textId="77777777" w:rsidR="0083687D" w:rsidRPr="00634FDB" w:rsidRDefault="0083687D" w:rsidP="00250DAC">
            <w:pPr>
              <w:spacing w:after="0" w:line="240" w:lineRule="auto"/>
              <w:rPr>
                <w:rFonts w:ascii="Times New Roman" w:hAnsi="Times New Roman"/>
                <w:sz w:val="20"/>
                <w:szCs w:val="20"/>
              </w:rPr>
            </w:pPr>
          </w:p>
        </w:tc>
        <w:tc>
          <w:tcPr>
            <w:tcW w:w="2737" w:type="dxa"/>
            <w:vMerge/>
            <w:vAlign w:val="center"/>
            <w:hideMark/>
          </w:tcPr>
          <w:p w14:paraId="36D578EE" w14:textId="77777777" w:rsidR="0083687D" w:rsidRPr="00634FDB" w:rsidRDefault="0083687D" w:rsidP="00250DAC">
            <w:pPr>
              <w:spacing w:after="0" w:line="240" w:lineRule="auto"/>
              <w:jc w:val="both"/>
              <w:rPr>
                <w:rFonts w:ascii="Times New Roman" w:hAnsi="Times New Roman"/>
                <w:sz w:val="20"/>
                <w:szCs w:val="20"/>
              </w:rPr>
            </w:pPr>
          </w:p>
        </w:tc>
      </w:tr>
    </w:tbl>
    <w:p w14:paraId="5A9B34A6" w14:textId="77777777" w:rsidR="0083687D" w:rsidRDefault="0083687D" w:rsidP="0083687D">
      <w:pPr>
        <w:spacing w:after="0"/>
        <w:rPr>
          <w:rFonts w:ascii="Times New Roman" w:hAnsi="Times New Roman"/>
          <w:b/>
          <w:bCs/>
          <w:color w:val="000000"/>
          <w:sz w:val="20"/>
          <w:szCs w:val="20"/>
        </w:rPr>
      </w:pPr>
    </w:p>
    <w:p w14:paraId="0F3FAC62" w14:textId="77777777" w:rsidR="0083687D" w:rsidRDefault="0083687D" w:rsidP="0083687D">
      <w:pPr>
        <w:spacing w:after="0"/>
        <w:rPr>
          <w:rFonts w:ascii="Times New Roman" w:hAnsi="Times New Roman"/>
          <w:b/>
          <w:bCs/>
          <w:color w:val="000000"/>
          <w:sz w:val="20"/>
          <w:szCs w:val="20"/>
        </w:rPr>
      </w:pPr>
      <w:r w:rsidRPr="00634FDB">
        <w:rPr>
          <w:rFonts w:ascii="Times New Roman" w:hAnsi="Times New Roman"/>
          <w:b/>
          <w:bCs/>
          <w:color w:val="000000"/>
          <w:sz w:val="20"/>
          <w:szCs w:val="20"/>
        </w:rPr>
        <w:t>Analytical Ratios for Financial Year 2021-22 and 2020-21</w:t>
      </w:r>
    </w:p>
    <w:p w14:paraId="18C4EA8B" w14:textId="77777777" w:rsidR="0083687D" w:rsidRDefault="0083687D" w:rsidP="0083687D">
      <w:pPr>
        <w:spacing w:after="0"/>
        <w:rPr>
          <w:rFonts w:ascii="Times New Roman" w:hAnsi="Times New Roman"/>
          <w:b/>
          <w:bCs/>
          <w:color w:val="000000"/>
          <w:sz w:val="20"/>
          <w:szCs w:val="20"/>
        </w:rPr>
      </w:pPr>
    </w:p>
    <w:tbl>
      <w:tblPr>
        <w:tblW w:w="10520" w:type="dxa"/>
        <w:tblLayout w:type="fixed"/>
        <w:tblLook w:val="04A0" w:firstRow="1" w:lastRow="0" w:firstColumn="1" w:lastColumn="0" w:noHBand="0" w:noVBand="1"/>
      </w:tblPr>
      <w:tblGrid>
        <w:gridCol w:w="1871"/>
        <w:gridCol w:w="2252"/>
        <w:gridCol w:w="1220"/>
        <w:gridCol w:w="1313"/>
        <w:gridCol w:w="1126"/>
        <w:gridCol w:w="2738"/>
      </w:tblGrid>
      <w:tr w:rsidR="0083687D" w:rsidRPr="00634FDB" w14:paraId="3D4BFF48" w14:textId="77777777" w:rsidTr="0083687D">
        <w:trPr>
          <w:trHeight w:val="20"/>
          <w:tblHeader/>
        </w:trPr>
        <w:tc>
          <w:tcPr>
            <w:tcW w:w="1871"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566A026" w14:textId="77777777" w:rsidR="0083687D" w:rsidRPr="00634FDB" w:rsidRDefault="0083687D" w:rsidP="00250DAC">
            <w:pPr>
              <w:spacing w:after="0" w:line="240" w:lineRule="auto"/>
              <w:jc w:val="both"/>
              <w:rPr>
                <w:rFonts w:ascii="Times New Roman" w:hAnsi="Times New Roman"/>
                <w:b/>
                <w:bCs/>
                <w:sz w:val="20"/>
                <w:szCs w:val="20"/>
              </w:rPr>
            </w:pPr>
            <w:r w:rsidRPr="00634FDB">
              <w:rPr>
                <w:rFonts w:ascii="Times New Roman" w:hAnsi="Times New Roman"/>
                <w:b/>
                <w:bCs/>
                <w:sz w:val="20"/>
                <w:szCs w:val="20"/>
              </w:rPr>
              <w:t>Particulars</w:t>
            </w:r>
          </w:p>
        </w:tc>
        <w:tc>
          <w:tcPr>
            <w:tcW w:w="225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D1AC0D9" w14:textId="77777777" w:rsidR="0083687D" w:rsidRPr="00634FDB" w:rsidRDefault="0083687D" w:rsidP="00250DAC">
            <w:pPr>
              <w:spacing w:after="0" w:line="240" w:lineRule="auto"/>
              <w:jc w:val="center"/>
              <w:rPr>
                <w:rFonts w:ascii="Times New Roman" w:hAnsi="Times New Roman"/>
                <w:b/>
                <w:bCs/>
                <w:sz w:val="20"/>
                <w:szCs w:val="20"/>
              </w:rPr>
            </w:pPr>
            <w:r w:rsidRPr="00634FDB">
              <w:rPr>
                <w:rFonts w:ascii="Times New Roman" w:hAnsi="Times New Roman"/>
                <w:b/>
                <w:bCs/>
                <w:sz w:val="20"/>
                <w:szCs w:val="20"/>
              </w:rPr>
              <w:t>Numerator/</w:t>
            </w:r>
            <w:r>
              <w:rPr>
                <w:rFonts w:ascii="Times New Roman" w:hAnsi="Times New Roman"/>
                <w:b/>
                <w:bCs/>
                <w:sz w:val="20"/>
                <w:szCs w:val="20"/>
              </w:rPr>
              <w:t xml:space="preserve"> </w:t>
            </w:r>
            <w:r w:rsidRPr="00634FDB">
              <w:rPr>
                <w:rFonts w:ascii="Times New Roman" w:hAnsi="Times New Roman"/>
                <w:b/>
                <w:bCs/>
                <w:sz w:val="20"/>
                <w:szCs w:val="20"/>
              </w:rPr>
              <w:t>Denominator</w:t>
            </w:r>
          </w:p>
        </w:tc>
        <w:tc>
          <w:tcPr>
            <w:tcW w:w="1220"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66652603" w14:textId="77777777" w:rsidR="0083687D" w:rsidRPr="00634FDB" w:rsidRDefault="0083687D" w:rsidP="00250DAC">
            <w:pPr>
              <w:spacing w:after="0" w:line="240" w:lineRule="auto"/>
              <w:jc w:val="center"/>
              <w:rPr>
                <w:rFonts w:ascii="Times New Roman" w:hAnsi="Times New Roman"/>
                <w:b/>
                <w:bCs/>
                <w:sz w:val="20"/>
                <w:szCs w:val="20"/>
              </w:rPr>
            </w:pPr>
            <w:r w:rsidRPr="00634FDB">
              <w:rPr>
                <w:rFonts w:ascii="Times New Roman" w:hAnsi="Times New Roman"/>
                <w:b/>
                <w:bCs/>
                <w:sz w:val="20"/>
                <w:szCs w:val="20"/>
              </w:rPr>
              <w:t>31-03-22</w:t>
            </w:r>
          </w:p>
        </w:tc>
        <w:tc>
          <w:tcPr>
            <w:tcW w:w="1313"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5170317B" w14:textId="77777777" w:rsidR="0083687D" w:rsidRPr="00634FDB" w:rsidRDefault="0083687D" w:rsidP="00250DAC">
            <w:pPr>
              <w:spacing w:after="0" w:line="240" w:lineRule="auto"/>
              <w:jc w:val="center"/>
              <w:rPr>
                <w:rFonts w:ascii="Times New Roman" w:hAnsi="Times New Roman"/>
                <w:b/>
                <w:bCs/>
                <w:sz w:val="20"/>
                <w:szCs w:val="20"/>
              </w:rPr>
            </w:pPr>
            <w:r w:rsidRPr="00634FDB">
              <w:rPr>
                <w:rFonts w:ascii="Times New Roman" w:hAnsi="Times New Roman"/>
                <w:b/>
                <w:bCs/>
                <w:sz w:val="20"/>
                <w:szCs w:val="20"/>
              </w:rPr>
              <w:t>31-03-21</w:t>
            </w:r>
          </w:p>
        </w:tc>
        <w:tc>
          <w:tcPr>
            <w:tcW w:w="1126"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58272734" w14:textId="77777777" w:rsidR="0083687D" w:rsidRPr="00634FDB" w:rsidRDefault="0083687D" w:rsidP="00250DAC">
            <w:pPr>
              <w:spacing w:after="0" w:line="240" w:lineRule="auto"/>
              <w:jc w:val="center"/>
              <w:rPr>
                <w:rFonts w:ascii="Times New Roman" w:hAnsi="Times New Roman"/>
                <w:b/>
                <w:bCs/>
                <w:sz w:val="20"/>
                <w:szCs w:val="20"/>
              </w:rPr>
            </w:pPr>
            <w:r w:rsidRPr="00634FDB">
              <w:rPr>
                <w:rFonts w:ascii="Times New Roman" w:hAnsi="Times New Roman"/>
                <w:b/>
                <w:bCs/>
                <w:sz w:val="20"/>
                <w:szCs w:val="20"/>
              </w:rPr>
              <w:t>Change in %</w:t>
            </w:r>
          </w:p>
        </w:tc>
        <w:tc>
          <w:tcPr>
            <w:tcW w:w="2738" w:type="dxa"/>
            <w:tcBorders>
              <w:top w:val="single" w:sz="4" w:space="0" w:color="auto"/>
              <w:left w:val="nil"/>
              <w:bottom w:val="single" w:sz="4" w:space="0" w:color="auto"/>
              <w:right w:val="single" w:sz="8" w:space="0" w:color="auto"/>
            </w:tcBorders>
            <w:shd w:val="clear" w:color="auto" w:fill="D0CECE" w:themeFill="background2" w:themeFillShade="E6"/>
            <w:vAlign w:val="center"/>
            <w:hideMark/>
          </w:tcPr>
          <w:p w14:paraId="7117E8D4" w14:textId="77777777" w:rsidR="0083687D" w:rsidRPr="00634FDB" w:rsidRDefault="0083687D" w:rsidP="00250DAC">
            <w:pPr>
              <w:spacing w:after="0" w:line="240" w:lineRule="auto"/>
              <w:jc w:val="both"/>
              <w:rPr>
                <w:rFonts w:ascii="Times New Roman" w:hAnsi="Times New Roman"/>
                <w:b/>
                <w:bCs/>
                <w:sz w:val="20"/>
                <w:szCs w:val="20"/>
              </w:rPr>
            </w:pPr>
            <w:r w:rsidRPr="00634FDB">
              <w:rPr>
                <w:rFonts w:ascii="Times New Roman" w:hAnsi="Times New Roman"/>
                <w:b/>
                <w:bCs/>
                <w:sz w:val="20"/>
                <w:szCs w:val="20"/>
              </w:rPr>
              <w:t xml:space="preserve">Reasons for more </w:t>
            </w:r>
            <w:r w:rsidRPr="00634FDB">
              <w:rPr>
                <w:rFonts w:ascii="Times New Roman" w:hAnsi="Times New Roman"/>
                <w:b/>
                <w:bCs/>
                <w:sz w:val="20"/>
                <w:szCs w:val="20"/>
              </w:rPr>
              <w:br/>
              <w:t>than 25% Variance</w:t>
            </w:r>
          </w:p>
        </w:tc>
      </w:tr>
      <w:tr w:rsidR="0083687D" w:rsidRPr="00634FDB" w14:paraId="63F9A3BE" w14:textId="77777777" w:rsidTr="0083687D">
        <w:trPr>
          <w:trHeight w:val="20"/>
        </w:trPr>
        <w:tc>
          <w:tcPr>
            <w:tcW w:w="1871" w:type="dxa"/>
            <w:vMerge w:val="restart"/>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278D4726" w14:textId="77777777" w:rsidR="0083687D" w:rsidRPr="00634FDB" w:rsidRDefault="0083687D" w:rsidP="00250DAC">
            <w:pPr>
              <w:spacing w:after="0" w:line="240" w:lineRule="auto"/>
              <w:jc w:val="both"/>
              <w:rPr>
                <w:rFonts w:ascii="Times New Roman" w:hAnsi="Times New Roman"/>
                <w:sz w:val="20"/>
                <w:szCs w:val="20"/>
              </w:rPr>
            </w:pPr>
            <w:r w:rsidRPr="00634FDB">
              <w:rPr>
                <w:rFonts w:ascii="Times New Roman" w:hAnsi="Times New Roman"/>
                <w:sz w:val="20"/>
                <w:szCs w:val="20"/>
              </w:rPr>
              <w:t>(a) Current Ratio</w:t>
            </w:r>
          </w:p>
        </w:tc>
        <w:tc>
          <w:tcPr>
            <w:tcW w:w="2252" w:type="dxa"/>
            <w:tcBorders>
              <w:top w:val="nil"/>
              <w:left w:val="nil"/>
              <w:right w:val="single" w:sz="4" w:space="0" w:color="auto"/>
            </w:tcBorders>
            <w:shd w:val="clear" w:color="000000" w:fill="FFFFFF"/>
            <w:noWrap/>
            <w:vAlign w:val="center"/>
            <w:hideMark/>
          </w:tcPr>
          <w:p w14:paraId="71EF360C" w14:textId="77777777" w:rsidR="0083687D" w:rsidRPr="00634FDB" w:rsidRDefault="0083687D" w:rsidP="00250DAC">
            <w:pPr>
              <w:spacing w:after="0" w:line="240" w:lineRule="auto"/>
              <w:jc w:val="center"/>
              <w:rPr>
                <w:rFonts w:ascii="Times New Roman" w:hAnsi="Times New Roman"/>
                <w:sz w:val="20"/>
                <w:szCs w:val="20"/>
                <w:u w:val="single"/>
              </w:rPr>
            </w:pPr>
            <w:r w:rsidRPr="00634FDB">
              <w:rPr>
                <w:rFonts w:ascii="Times New Roman" w:hAnsi="Times New Roman"/>
                <w:sz w:val="20"/>
                <w:szCs w:val="20"/>
                <w:u w:val="single"/>
              </w:rPr>
              <w:t>Current Assets</w:t>
            </w:r>
          </w:p>
        </w:tc>
        <w:tc>
          <w:tcPr>
            <w:tcW w:w="122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F961E0"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1.58</w:t>
            </w:r>
          </w:p>
        </w:tc>
        <w:tc>
          <w:tcPr>
            <w:tcW w:w="1313"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2C770F"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1.93</w:t>
            </w:r>
          </w:p>
        </w:tc>
        <w:tc>
          <w:tcPr>
            <w:tcW w:w="1126"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E06C7E"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-18.34%</w:t>
            </w:r>
          </w:p>
        </w:tc>
        <w:tc>
          <w:tcPr>
            <w:tcW w:w="2738"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AEEE52" w14:textId="77777777" w:rsidR="0083687D" w:rsidRPr="00634FDB" w:rsidRDefault="0083687D" w:rsidP="00250DAC">
            <w:pPr>
              <w:spacing w:after="0" w:line="240" w:lineRule="auto"/>
              <w:jc w:val="both"/>
              <w:rPr>
                <w:rFonts w:ascii="Times New Roman" w:hAnsi="Times New Roman"/>
                <w:sz w:val="20"/>
                <w:szCs w:val="20"/>
              </w:rPr>
            </w:pPr>
            <w:r w:rsidRPr="00634FDB">
              <w:rPr>
                <w:rFonts w:ascii="Times New Roman" w:hAnsi="Times New Roman"/>
                <w:sz w:val="20"/>
                <w:szCs w:val="20"/>
              </w:rPr>
              <w:t>-</w:t>
            </w:r>
          </w:p>
        </w:tc>
      </w:tr>
      <w:tr w:rsidR="0083687D" w:rsidRPr="00634FDB" w14:paraId="4296A73B" w14:textId="77777777" w:rsidTr="0083687D">
        <w:trPr>
          <w:trHeight w:val="20"/>
        </w:trPr>
        <w:tc>
          <w:tcPr>
            <w:tcW w:w="1871" w:type="dxa"/>
            <w:vMerge/>
            <w:tcBorders>
              <w:top w:val="nil"/>
              <w:left w:val="single" w:sz="8" w:space="0" w:color="auto"/>
              <w:bottom w:val="single" w:sz="4" w:space="0" w:color="auto"/>
              <w:right w:val="single" w:sz="8" w:space="0" w:color="auto"/>
            </w:tcBorders>
            <w:vAlign w:val="center"/>
            <w:hideMark/>
          </w:tcPr>
          <w:p w14:paraId="7B0B95B3" w14:textId="77777777" w:rsidR="0083687D" w:rsidRPr="00634FDB" w:rsidRDefault="0083687D" w:rsidP="00250DAC">
            <w:pPr>
              <w:spacing w:after="0" w:line="240" w:lineRule="auto"/>
              <w:jc w:val="both"/>
              <w:rPr>
                <w:rFonts w:ascii="Times New Roman" w:hAnsi="Times New Roman"/>
                <w:sz w:val="20"/>
                <w:szCs w:val="20"/>
              </w:rPr>
            </w:pPr>
          </w:p>
        </w:tc>
        <w:tc>
          <w:tcPr>
            <w:tcW w:w="2252" w:type="dxa"/>
            <w:tcBorders>
              <w:top w:val="nil"/>
              <w:left w:val="nil"/>
              <w:bottom w:val="single" w:sz="4" w:space="0" w:color="auto"/>
              <w:right w:val="single" w:sz="4" w:space="0" w:color="auto"/>
            </w:tcBorders>
            <w:shd w:val="clear" w:color="000000" w:fill="FFFFFF"/>
            <w:noWrap/>
            <w:vAlign w:val="center"/>
            <w:hideMark/>
          </w:tcPr>
          <w:p w14:paraId="067AE087"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Current Liabilities</w:t>
            </w: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33044F1F" w14:textId="77777777" w:rsidR="0083687D" w:rsidRPr="00634FDB" w:rsidRDefault="0083687D" w:rsidP="00250DAC">
            <w:pPr>
              <w:spacing w:after="0" w:line="240" w:lineRule="auto"/>
              <w:jc w:val="center"/>
              <w:rPr>
                <w:rFonts w:ascii="Times New Roman" w:hAnsi="Times New Roman"/>
                <w:sz w:val="20"/>
                <w:szCs w:val="20"/>
              </w:rPr>
            </w:pPr>
          </w:p>
        </w:tc>
        <w:tc>
          <w:tcPr>
            <w:tcW w:w="1313" w:type="dxa"/>
            <w:vMerge/>
            <w:tcBorders>
              <w:top w:val="single" w:sz="4" w:space="0" w:color="auto"/>
              <w:left w:val="single" w:sz="4" w:space="0" w:color="auto"/>
              <w:bottom w:val="single" w:sz="4" w:space="0" w:color="auto"/>
              <w:right w:val="single" w:sz="4" w:space="0" w:color="auto"/>
            </w:tcBorders>
            <w:vAlign w:val="center"/>
            <w:hideMark/>
          </w:tcPr>
          <w:p w14:paraId="475C14F4" w14:textId="77777777" w:rsidR="0083687D" w:rsidRPr="00634FDB" w:rsidRDefault="0083687D" w:rsidP="00250DAC">
            <w:pPr>
              <w:spacing w:after="0" w:line="240" w:lineRule="auto"/>
              <w:jc w:val="center"/>
              <w:rPr>
                <w:rFonts w:ascii="Times New Roman" w:hAnsi="Times New Roman"/>
                <w:sz w:val="20"/>
                <w:szCs w:val="20"/>
              </w:rPr>
            </w:pPr>
          </w:p>
        </w:tc>
        <w:tc>
          <w:tcPr>
            <w:tcW w:w="1126" w:type="dxa"/>
            <w:vMerge/>
            <w:tcBorders>
              <w:top w:val="single" w:sz="4" w:space="0" w:color="auto"/>
              <w:left w:val="single" w:sz="4" w:space="0" w:color="auto"/>
              <w:bottom w:val="single" w:sz="4" w:space="0" w:color="auto"/>
              <w:right w:val="single" w:sz="4" w:space="0" w:color="auto"/>
            </w:tcBorders>
            <w:vAlign w:val="center"/>
            <w:hideMark/>
          </w:tcPr>
          <w:p w14:paraId="329CB36D" w14:textId="77777777" w:rsidR="0083687D" w:rsidRPr="00634FDB" w:rsidRDefault="0083687D" w:rsidP="00250DAC">
            <w:pPr>
              <w:spacing w:after="0" w:line="240" w:lineRule="auto"/>
              <w:jc w:val="center"/>
              <w:rPr>
                <w:rFonts w:ascii="Times New Roman" w:hAnsi="Times New Roman"/>
                <w:sz w:val="20"/>
                <w:szCs w:val="20"/>
              </w:rPr>
            </w:pPr>
          </w:p>
        </w:tc>
        <w:tc>
          <w:tcPr>
            <w:tcW w:w="2738" w:type="dxa"/>
            <w:vMerge/>
            <w:tcBorders>
              <w:top w:val="single" w:sz="4" w:space="0" w:color="auto"/>
              <w:left w:val="single" w:sz="4" w:space="0" w:color="auto"/>
              <w:bottom w:val="single" w:sz="4" w:space="0" w:color="auto"/>
              <w:right w:val="single" w:sz="4" w:space="0" w:color="auto"/>
            </w:tcBorders>
            <w:vAlign w:val="center"/>
            <w:hideMark/>
          </w:tcPr>
          <w:p w14:paraId="409C2DD2" w14:textId="77777777" w:rsidR="0083687D" w:rsidRPr="00634FDB" w:rsidRDefault="0083687D" w:rsidP="00250DAC">
            <w:pPr>
              <w:spacing w:after="0" w:line="240" w:lineRule="auto"/>
              <w:jc w:val="both"/>
              <w:rPr>
                <w:rFonts w:ascii="Times New Roman" w:hAnsi="Times New Roman"/>
                <w:sz w:val="20"/>
                <w:szCs w:val="20"/>
              </w:rPr>
            </w:pPr>
          </w:p>
        </w:tc>
      </w:tr>
      <w:tr w:rsidR="0083687D" w:rsidRPr="00634FDB" w14:paraId="696C461C" w14:textId="77777777" w:rsidTr="0083687D">
        <w:trPr>
          <w:trHeight w:val="432"/>
        </w:trPr>
        <w:tc>
          <w:tcPr>
            <w:tcW w:w="1871" w:type="dxa"/>
            <w:vMerge w:val="restart"/>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289A6963" w14:textId="77777777" w:rsidR="0083687D" w:rsidRPr="00634FDB" w:rsidRDefault="0083687D" w:rsidP="00250DAC">
            <w:pPr>
              <w:spacing w:after="0" w:line="240" w:lineRule="auto"/>
              <w:jc w:val="both"/>
              <w:rPr>
                <w:rFonts w:ascii="Times New Roman" w:hAnsi="Times New Roman"/>
                <w:sz w:val="20"/>
                <w:szCs w:val="20"/>
              </w:rPr>
            </w:pPr>
            <w:r w:rsidRPr="00634FDB">
              <w:rPr>
                <w:rFonts w:ascii="Times New Roman" w:hAnsi="Times New Roman"/>
                <w:sz w:val="20"/>
                <w:szCs w:val="20"/>
              </w:rPr>
              <w:t>(b) Debt-Equity Ratio</w:t>
            </w:r>
          </w:p>
        </w:tc>
        <w:tc>
          <w:tcPr>
            <w:tcW w:w="2252" w:type="dxa"/>
            <w:tcBorders>
              <w:top w:val="single" w:sz="4" w:space="0" w:color="auto"/>
              <w:left w:val="nil"/>
              <w:right w:val="single" w:sz="8" w:space="0" w:color="auto"/>
            </w:tcBorders>
            <w:shd w:val="clear" w:color="000000" w:fill="FFFFFF"/>
            <w:noWrap/>
            <w:vAlign w:val="bottom"/>
            <w:hideMark/>
          </w:tcPr>
          <w:p w14:paraId="46C9C478" w14:textId="77777777" w:rsidR="0083687D" w:rsidRPr="00634FDB" w:rsidRDefault="0083687D" w:rsidP="00250DAC">
            <w:pPr>
              <w:spacing w:after="0" w:line="240" w:lineRule="auto"/>
              <w:jc w:val="center"/>
              <w:rPr>
                <w:rFonts w:ascii="Times New Roman" w:hAnsi="Times New Roman"/>
                <w:sz w:val="20"/>
                <w:szCs w:val="20"/>
                <w:u w:val="single"/>
              </w:rPr>
            </w:pPr>
            <w:r w:rsidRPr="00634FDB">
              <w:rPr>
                <w:rFonts w:ascii="Times New Roman" w:hAnsi="Times New Roman"/>
                <w:sz w:val="20"/>
                <w:szCs w:val="20"/>
                <w:u w:val="single"/>
              </w:rPr>
              <w:t>Total Debts</w:t>
            </w:r>
          </w:p>
        </w:tc>
        <w:tc>
          <w:tcPr>
            <w:tcW w:w="1220" w:type="dxa"/>
            <w:vMerge w:val="restart"/>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458310B3"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0.73</w:t>
            </w:r>
          </w:p>
        </w:tc>
        <w:tc>
          <w:tcPr>
            <w:tcW w:w="1313" w:type="dxa"/>
            <w:vMerge w:val="restart"/>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50248C73"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0.82</w:t>
            </w:r>
          </w:p>
        </w:tc>
        <w:tc>
          <w:tcPr>
            <w:tcW w:w="1126" w:type="dxa"/>
            <w:vMerge w:val="restart"/>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252D076C"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-11.78%</w:t>
            </w:r>
          </w:p>
        </w:tc>
        <w:tc>
          <w:tcPr>
            <w:tcW w:w="2738" w:type="dxa"/>
            <w:vMerge w:val="restart"/>
            <w:tcBorders>
              <w:top w:val="single" w:sz="4" w:space="0" w:color="auto"/>
              <w:left w:val="single" w:sz="8" w:space="0" w:color="auto"/>
              <w:bottom w:val="single" w:sz="4" w:space="0" w:color="000000"/>
              <w:right w:val="single" w:sz="8" w:space="0" w:color="auto"/>
            </w:tcBorders>
            <w:shd w:val="clear" w:color="000000" w:fill="FFFFFF"/>
            <w:vAlign w:val="center"/>
            <w:hideMark/>
          </w:tcPr>
          <w:p w14:paraId="4B828670" w14:textId="77777777" w:rsidR="0083687D" w:rsidRPr="00634FDB" w:rsidRDefault="0083687D" w:rsidP="00250DAC">
            <w:pPr>
              <w:spacing w:after="0" w:line="240" w:lineRule="auto"/>
              <w:jc w:val="both"/>
              <w:rPr>
                <w:rFonts w:ascii="Times New Roman" w:hAnsi="Times New Roman"/>
                <w:sz w:val="20"/>
                <w:szCs w:val="20"/>
              </w:rPr>
            </w:pPr>
            <w:r w:rsidRPr="00634FDB">
              <w:rPr>
                <w:rFonts w:ascii="Times New Roman" w:hAnsi="Times New Roman"/>
                <w:sz w:val="20"/>
                <w:szCs w:val="20"/>
              </w:rPr>
              <w:t>As per our opinion the change in Debt Equity Ratio is due to increase in Debt in current year as compared to previous year.</w:t>
            </w:r>
          </w:p>
        </w:tc>
      </w:tr>
      <w:tr w:rsidR="0083687D" w:rsidRPr="00634FDB" w14:paraId="0C7DF601" w14:textId="77777777" w:rsidTr="0083687D">
        <w:trPr>
          <w:trHeight w:val="20"/>
        </w:trPr>
        <w:tc>
          <w:tcPr>
            <w:tcW w:w="1871" w:type="dxa"/>
            <w:vMerge/>
            <w:tcBorders>
              <w:top w:val="nil"/>
              <w:left w:val="single" w:sz="8" w:space="0" w:color="auto"/>
              <w:bottom w:val="single" w:sz="4" w:space="0" w:color="auto"/>
              <w:right w:val="single" w:sz="8" w:space="0" w:color="auto"/>
            </w:tcBorders>
            <w:vAlign w:val="center"/>
            <w:hideMark/>
          </w:tcPr>
          <w:p w14:paraId="79CA8EB0" w14:textId="77777777" w:rsidR="0083687D" w:rsidRPr="00634FDB" w:rsidRDefault="0083687D" w:rsidP="00250DAC">
            <w:pPr>
              <w:spacing w:after="0" w:line="240" w:lineRule="auto"/>
              <w:jc w:val="both"/>
              <w:rPr>
                <w:rFonts w:ascii="Times New Roman" w:hAnsi="Times New Roman"/>
                <w:sz w:val="20"/>
                <w:szCs w:val="20"/>
              </w:rPr>
            </w:pPr>
          </w:p>
        </w:tc>
        <w:tc>
          <w:tcPr>
            <w:tcW w:w="2252" w:type="dxa"/>
            <w:tcBorders>
              <w:top w:val="nil"/>
              <w:left w:val="nil"/>
              <w:bottom w:val="single" w:sz="4" w:space="0" w:color="auto"/>
              <w:right w:val="single" w:sz="8" w:space="0" w:color="auto"/>
            </w:tcBorders>
            <w:shd w:val="clear" w:color="000000" w:fill="FFFFFF"/>
            <w:noWrap/>
            <w:hideMark/>
          </w:tcPr>
          <w:p w14:paraId="6AD0F311"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Equity</w:t>
            </w:r>
          </w:p>
        </w:tc>
        <w:tc>
          <w:tcPr>
            <w:tcW w:w="1220" w:type="dxa"/>
            <w:vMerge/>
            <w:tcBorders>
              <w:top w:val="nil"/>
              <w:left w:val="single" w:sz="8" w:space="0" w:color="auto"/>
              <w:bottom w:val="single" w:sz="4" w:space="0" w:color="auto"/>
              <w:right w:val="single" w:sz="8" w:space="0" w:color="auto"/>
            </w:tcBorders>
            <w:vAlign w:val="center"/>
            <w:hideMark/>
          </w:tcPr>
          <w:p w14:paraId="6D09BA33" w14:textId="77777777" w:rsidR="0083687D" w:rsidRPr="00634FDB" w:rsidRDefault="0083687D" w:rsidP="00250DAC">
            <w:pPr>
              <w:spacing w:after="0" w:line="240" w:lineRule="auto"/>
              <w:jc w:val="center"/>
              <w:rPr>
                <w:rFonts w:ascii="Times New Roman" w:hAnsi="Times New Roman"/>
                <w:sz w:val="20"/>
                <w:szCs w:val="20"/>
              </w:rPr>
            </w:pPr>
          </w:p>
        </w:tc>
        <w:tc>
          <w:tcPr>
            <w:tcW w:w="1313" w:type="dxa"/>
            <w:vMerge/>
            <w:tcBorders>
              <w:top w:val="nil"/>
              <w:left w:val="single" w:sz="8" w:space="0" w:color="auto"/>
              <w:bottom w:val="single" w:sz="4" w:space="0" w:color="auto"/>
              <w:right w:val="single" w:sz="8" w:space="0" w:color="auto"/>
            </w:tcBorders>
            <w:vAlign w:val="center"/>
            <w:hideMark/>
          </w:tcPr>
          <w:p w14:paraId="29392D71" w14:textId="77777777" w:rsidR="0083687D" w:rsidRPr="00634FDB" w:rsidRDefault="0083687D" w:rsidP="00250DAC">
            <w:pPr>
              <w:spacing w:after="0" w:line="240" w:lineRule="auto"/>
              <w:jc w:val="center"/>
              <w:rPr>
                <w:rFonts w:ascii="Times New Roman" w:hAnsi="Times New Roman"/>
                <w:sz w:val="20"/>
                <w:szCs w:val="20"/>
              </w:rPr>
            </w:pPr>
          </w:p>
        </w:tc>
        <w:tc>
          <w:tcPr>
            <w:tcW w:w="1126" w:type="dxa"/>
            <w:vMerge/>
            <w:tcBorders>
              <w:top w:val="nil"/>
              <w:left w:val="single" w:sz="8" w:space="0" w:color="auto"/>
              <w:bottom w:val="single" w:sz="4" w:space="0" w:color="auto"/>
              <w:right w:val="single" w:sz="8" w:space="0" w:color="auto"/>
            </w:tcBorders>
            <w:vAlign w:val="center"/>
            <w:hideMark/>
          </w:tcPr>
          <w:p w14:paraId="119105B8" w14:textId="77777777" w:rsidR="0083687D" w:rsidRPr="00634FDB" w:rsidRDefault="0083687D" w:rsidP="00250DAC">
            <w:pPr>
              <w:spacing w:after="0" w:line="240" w:lineRule="auto"/>
              <w:jc w:val="center"/>
              <w:rPr>
                <w:rFonts w:ascii="Times New Roman" w:hAnsi="Times New Roman"/>
                <w:sz w:val="20"/>
                <w:szCs w:val="20"/>
              </w:rPr>
            </w:pPr>
          </w:p>
        </w:tc>
        <w:tc>
          <w:tcPr>
            <w:tcW w:w="2738" w:type="dxa"/>
            <w:vMerge/>
            <w:tcBorders>
              <w:top w:val="nil"/>
              <w:left w:val="single" w:sz="8" w:space="0" w:color="auto"/>
              <w:bottom w:val="single" w:sz="4" w:space="0" w:color="auto"/>
              <w:right w:val="single" w:sz="8" w:space="0" w:color="auto"/>
            </w:tcBorders>
            <w:vAlign w:val="center"/>
            <w:hideMark/>
          </w:tcPr>
          <w:p w14:paraId="03952A21" w14:textId="77777777" w:rsidR="0083687D" w:rsidRPr="00634FDB" w:rsidRDefault="0083687D" w:rsidP="00250DAC">
            <w:pPr>
              <w:spacing w:after="0" w:line="240" w:lineRule="auto"/>
              <w:jc w:val="both"/>
              <w:rPr>
                <w:rFonts w:ascii="Times New Roman" w:hAnsi="Times New Roman"/>
                <w:sz w:val="20"/>
                <w:szCs w:val="20"/>
              </w:rPr>
            </w:pPr>
          </w:p>
        </w:tc>
      </w:tr>
      <w:tr w:rsidR="0083687D" w:rsidRPr="00634FDB" w14:paraId="6712EE3F" w14:textId="77777777" w:rsidTr="0083687D">
        <w:trPr>
          <w:trHeight w:val="729"/>
        </w:trPr>
        <w:tc>
          <w:tcPr>
            <w:tcW w:w="1871" w:type="dxa"/>
            <w:vMerge w:val="restart"/>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575338D0" w14:textId="77777777" w:rsidR="0083687D" w:rsidRPr="00634FDB" w:rsidRDefault="0083687D" w:rsidP="00250DAC">
            <w:pPr>
              <w:spacing w:after="0" w:line="240" w:lineRule="auto"/>
              <w:jc w:val="both"/>
              <w:rPr>
                <w:rFonts w:ascii="Times New Roman" w:hAnsi="Times New Roman"/>
                <w:sz w:val="20"/>
                <w:szCs w:val="20"/>
              </w:rPr>
            </w:pPr>
            <w:r w:rsidRPr="00634FDB">
              <w:rPr>
                <w:rFonts w:ascii="Times New Roman" w:hAnsi="Times New Roman"/>
                <w:sz w:val="20"/>
                <w:szCs w:val="20"/>
              </w:rPr>
              <w:t>(c) Debt Service Coverage Ratio</w:t>
            </w:r>
          </w:p>
        </w:tc>
        <w:tc>
          <w:tcPr>
            <w:tcW w:w="2252" w:type="dxa"/>
            <w:tcBorders>
              <w:top w:val="single" w:sz="4" w:space="0" w:color="auto"/>
              <w:left w:val="nil"/>
              <w:right w:val="single" w:sz="8" w:space="0" w:color="auto"/>
            </w:tcBorders>
            <w:shd w:val="clear" w:color="000000" w:fill="FFFFFF"/>
            <w:noWrap/>
            <w:vAlign w:val="bottom"/>
            <w:hideMark/>
          </w:tcPr>
          <w:p w14:paraId="2EB76319" w14:textId="77777777" w:rsidR="0083687D" w:rsidRPr="00634FDB" w:rsidRDefault="0083687D" w:rsidP="00250DAC">
            <w:pPr>
              <w:spacing w:after="0" w:line="240" w:lineRule="auto"/>
              <w:jc w:val="center"/>
              <w:rPr>
                <w:rFonts w:ascii="Times New Roman" w:hAnsi="Times New Roman"/>
                <w:sz w:val="20"/>
                <w:szCs w:val="20"/>
                <w:u w:val="single"/>
              </w:rPr>
            </w:pPr>
            <w:r w:rsidRPr="00634FDB">
              <w:rPr>
                <w:rFonts w:ascii="Times New Roman" w:hAnsi="Times New Roman"/>
                <w:sz w:val="20"/>
                <w:szCs w:val="20"/>
                <w:u w:val="single"/>
              </w:rPr>
              <w:t>Earning available for Debt Service</w:t>
            </w:r>
          </w:p>
        </w:tc>
        <w:tc>
          <w:tcPr>
            <w:tcW w:w="1220" w:type="dxa"/>
            <w:vMerge w:val="restart"/>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4C618043"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10.97</w:t>
            </w:r>
          </w:p>
        </w:tc>
        <w:tc>
          <w:tcPr>
            <w:tcW w:w="1313" w:type="dxa"/>
            <w:vMerge w:val="restart"/>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53825D6F"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2.19</w:t>
            </w:r>
          </w:p>
        </w:tc>
        <w:tc>
          <w:tcPr>
            <w:tcW w:w="1126" w:type="dxa"/>
            <w:vMerge w:val="restart"/>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4B475606"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402.02%</w:t>
            </w:r>
          </w:p>
        </w:tc>
        <w:tc>
          <w:tcPr>
            <w:tcW w:w="2738" w:type="dxa"/>
            <w:vMerge w:val="restart"/>
            <w:tcBorders>
              <w:top w:val="single" w:sz="4" w:space="0" w:color="auto"/>
              <w:left w:val="single" w:sz="8" w:space="0" w:color="auto"/>
              <w:bottom w:val="single" w:sz="4" w:space="0" w:color="000000"/>
              <w:right w:val="single" w:sz="8" w:space="0" w:color="auto"/>
            </w:tcBorders>
            <w:shd w:val="clear" w:color="000000" w:fill="FFFFFF"/>
            <w:vAlign w:val="center"/>
            <w:hideMark/>
          </w:tcPr>
          <w:p w14:paraId="0ABBF0D6" w14:textId="77777777" w:rsidR="0083687D" w:rsidRPr="00634FDB" w:rsidRDefault="0083687D" w:rsidP="00250DAC">
            <w:pPr>
              <w:spacing w:after="0" w:line="240" w:lineRule="auto"/>
              <w:jc w:val="both"/>
              <w:rPr>
                <w:rFonts w:ascii="Times New Roman" w:hAnsi="Times New Roman"/>
                <w:sz w:val="20"/>
                <w:szCs w:val="20"/>
              </w:rPr>
            </w:pPr>
            <w:r w:rsidRPr="00634FDB">
              <w:rPr>
                <w:rFonts w:ascii="Times New Roman" w:hAnsi="Times New Roman"/>
                <w:sz w:val="20"/>
                <w:szCs w:val="20"/>
              </w:rPr>
              <w:t>As per our opinion the change in Debt Service Coberage Ratio is due to increase in Debt and the payment of the principal in current year as compared to previous year.</w:t>
            </w:r>
          </w:p>
        </w:tc>
      </w:tr>
      <w:tr w:rsidR="0083687D" w:rsidRPr="00634FDB" w14:paraId="7778D827" w14:textId="77777777" w:rsidTr="0083687D">
        <w:trPr>
          <w:trHeight w:val="20"/>
        </w:trPr>
        <w:tc>
          <w:tcPr>
            <w:tcW w:w="1871" w:type="dxa"/>
            <w:vMerge/>
            <w:tcBorders>
              <w:top w:val="nil"/>
              <w:left w:val="single" w:sz="8" w:space="0" w:color="auto"/>
              <w:bottom w:val="single" w:sz="4" w:space="0" w:color="auto"/>
              <w:right w:val="single" w:sz="8" w:space="0" w:color="auto"/>
            </w:tcBorders>
            <w:vAlign w:val="center"/>
            <w:hideMark/>
          </w:tcPr>
          <w:p w14:paraId="5C4AE30B" w14:textId="77777777" w:rsidR="0083687D" w:rsidRPr="00634FDB" w:rsidRDefault="0083687D" w:rsidP="00250DAC">
            <w:pPr>
              <w:spacing w:after="0" w:line="240" w:lineRule="auto"/>
              <w:jc w:val="both"/>
              <w:rPr>
                <w:rFonts w:ascii="Times New Roman" w:hAnsi="Times New Roman"/>
                <w:sz w:val="20"/>
                <w:szCs w:val="20"/>
              </w:rPr>
            </w:pPr>
          </w:p>
        </w:tc>
        <w:tc>
          <w:tcPr>
            <w:tcW w:w="2252" w:type="dxa"/>
            <w:tcBorders>
              <w:top w:val="nil"/>
              <w:left w:val="nil"/>
              <w:bottom w:val="single" w:sz="4" w:space="0" w:color="auto"/>
              <w:right w:val="single" w:sz="8" w:space="0" w:color="auto"/>
            </w:tcBorders>
            <w:shd w:val="clear" w:color="000000" w:fill="FFFFFF"/>
            <w:noWrap/>
            <w:hideMark/>
          </w:tcPr>
          <w:p w14:paraId="3FF4F603"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Interest + Installments</w:t>
            </w:r>
          </w:p>
        </w:tc>
        <w:tc>
          <w:tcPr>
            <w:tcW w:w="1220" w:type="dxa"/>
            <w:vMerge/>
            <w:tcBorders>
              <w:top w:val="nil"/>
              <w:left w:val="single" w:sz="8" w:space="0" w:color="auto"/>
              <w:bottom w:val="single" w:sz="4" w:space="0" w:color="auto"/>
              <w:right w:val="single" w:sz="8" w:space="0" w:color="auto"/>
            </w:tcBorders>
            <w:vAlign w:val="center"/>
            <w:hideMark/>
          </w:tcPr>
          <w:p w14:paraId="338EA2D6" w14:textId="77777777" w:rsidR="0083687D" w:rsidRPr="00634FDB" w:rsidRDefault="0083687D" w:rsidP="00250DAC">
            <w:pPr>
              <w:spacing w:after="0" w:line="240" w:lineRule="auto"/>
              <w:jc w:val="center"/>
              <w:rPr>
                <w:rFonts w:ascii="Times New Roman" w:hAnsi="Times New Roman"/>
                <w:sz w:val="20"/>
                <w:szCs w:val="20"/>
              </w:rPr>
            </w:pPr>
          </w:p>
        </w:tc>
        <w:tc>
          <w:tcPr>
            <w:tcW w:w="1313" w:type="dxa"/>
            <w:vMerge/>
            <w:tcBorders>
              <w:top w:val="nil"/>
              <w:left w:val="single" w:sz="8" w:space="0" w:color="auto"/>
              <w:bottom w:val="single" w:sz="4" w:space="0" w:color="auto"/>
              <w:right w:val="single" w:sz="8" w:space="0" w:color="auto"/>
            </w:tcBorders>
            <w:vAlign w:val="center"/>
            <w:hideMark/>
          </w:tcPr>
          <w:p w14:paraId="0209CC1B" w14:textId="77777777" w:rsidR="0083687D" w:rsidRPr="00634FDB" w:rsidRDefault="0083687D" w:rsidP="00250DAC">
            <w:pPr>
              <w:spacing w:after="0" w:line="240" w:lineRule="auto"/>
              <w:jc w:val="center"/>
              <w:rPr>
                <w:rFonts w:ascii="Times New Roman" w:hAnsi="Times New Roman"/>
                <w:sz w:val="20"/>
                <w:szCs w:val="20"/>
              </w:rPr>
            </w:pPr>
          </w:p>
        </w:tc>
        <w:tc>
          <w:tcPr>
            <w:tcW w:w="1126" w:type="dxa"/>
            <w:vMerge/>
            <w:tcBorders>
              <w:top w:val="nil"/>
              <w:left w:val="single" w:sz="8" w:space="0" w:color="auto"/>
              <w:bottom w:val="single" w:sz="4" w:space="0" w:color="auto"/>
              <w:right w:val="single" w:sz="8" w:space="0" w:color="auto"/>
            </w:tcBorders>
            <w:vAlign w:val="center"/>
            <w:hideMark/>
          </w:tcPr>
          <w:p w14:paraId="4CE7CB8D" w14:textId="77777777" w:rsidR="0083687D" w:rsidRPr="00634FDB" w:rsidRDefault="0083687D" w:rsidP="00250DAC">
            <w:pPr>
              <w:spacing w:after="0" w:line="240" w:lineRule="auto"/>
              <w:jc w:val="center"/>
              <w:rPr>
                <w:rFonts w:ascii="Times New Roman" w:hAnsi="Times New Roman"/>
                <w:sz w:val="20"/>
                <w:szCs w:val="20"/>
              </w:rPr>
            </w:pPr>
          </w:p>
        </w:tc>
        <w:tc>
          <w:tcPr>
            <w:tcW w:w="2738" w:type="dxa"/>
            <w:vMerge/>
            <w:tcBorders>
              <w:top w:val="nil"/>
              <w:left w:val="single" w:sz="8" w:space="0" w:color="auto"/>
              <w:bottom w:val="single" w:sz="4" w:space="0" w:color="000000"/>
              <w:right w:val="single" w:sz="8" w:space="0" w:color="auto"/>
            </w:tcBorders>
            <w:vAlign w:val="center"/>
            <w:hideMark/>
          </w:tcPr>
          <w:p w14:paraId="7378AC59" w14:textId="77777777" w:rsidR="0083687D" w:rsidRPr="00634FDB" w:rsidRDefault="0083687D" w:rsidP="00250DAC">
            <w:pPr>
              <w:spacing w:after="0" w:line="240" w:lineRule="auto"/>
              <w:jc w:val="both"/>
              <w:rPr>
                <w:rFonts w:ascii="Times New Roman" w:hAnsi="Times New Roman"/>
                <w:sz w:val="20"/>
                <w:szCs w:val="20"/>
              </w:rPr>
            </w:pPr>
          </w:p>
        </w:tc>
      </w:tr>
      <w:tr w:rsidR="0083687D" w:rsidRPr="00634FDB" w14:paraId="6819FD76" w14:textId="77777777" w:rsidTr="0083687D">
        <w:trPr>
          <w:trHeight w:val="20"/>
        </w:trPr>
        <w:tc>
          <w:tcPr>
            <w:tcW w:w="1871" w:type="dxa"/>
            <w:vMerge w:val="restart"/>
            <w:tcBorders>
              <w:top w:val="nil"/>
              <w:left w:val="single" w:sz="8" w:space="0" w:color="auto"/>
              <w:bottom w:val="single" w:sz="4" w:space="0" w:color="auto"/>
              <w:right w:val="single" w:sz="8" w:space="0" w:color="auto"/>
            </w:tcBorders>
            <w:shd w:val="clear" w:color="000000" w:fill="FFFFFF"/>
            <w:noWrap/>
            <w:vAlign w:val="center"/>
            <w:hideMark/>
          </w:tcPr>
          <w:p w14:paraId="720939E4" w14:textId="77777777" w:rsidR="0083687D" w:rsidRPr="00634FDB" w:rsidRDefault="0083687D" w:rsidP="00250DAC">
            <w:pPr>
              <w:spacing w:after="0" w:line="240" w:lineRule="auto"/>
              <w:jc w:val="both"/>
              <w:rPr>
                <w:rFonts w:ascii="Times New Roman" w:hAnsi="Times New Roman"/>
                <w:sz w:val="20"/>
                <w:szCs w:val="20"/>
              </w:rPr>
            </w:pPr>
            <w:r w:rsidRPr="00634FDB">
              <w:rPr>
                <w:rFonts w:ascii="Times New Roman" w:hAnsi="Times New Roman"/>
                <w:sz w:val="20"/>
                <w:szCs w:val="20"/>
              </w:rPr>
              <w:t>(d) Return on Equity Ratio</w:t>
            </w:r>
          </w:p>
        </w:tc>
        <w:tc>
          <w:tcPr>
            <w:tcW w:w="2252" w:type="dxa"/>
            <w:tcBorders>
              <w:top w:val="single" w:sz="4" w:space="0" w:color="auto"/>
              <w:left w:val="nil"/>
              <w:right w:val="single" w:sz="8" w:space="0" w:color="auto"/>
            </w:tcBorders>
            <w:shd w:val="clear" w:color="000000" w:fill="FFFFFF"/>
            <w:noWrap/>
            <w:vAlign w:val="center"/>
            <w:hideMark/>
          </w:tcPr>
          <w:p w14:paraId="66FEC50E" w14:textId="77777777" w:rsidR="0083687D" w:rsidRPr="00634FDB" w:rsidRDefault="0083687D" w:rsidP="00250DAC">
            <w:pPr>
              <w:spacing w:after="0" w:line="240" w:lineRule="auto"/>
              <w:jc w:val="center"/>
              <w:rPr>
                <w:rFonts w:ascii="Times New Roman" w:hAnsi="Times New Roman"/>
                <w:sz w:val="20"/>
                <w:szCs w:val="20"/>
                <w:u w:val="single"/>
              </w:rPr>
            </w:pPr>
            <w:r w:rsidRPr="00634FDB">
              <w:rPr>
                <w:rFonts w:ascii="Times New Roman" w:hAnsi="Times New Roman"/>
                <w:sz w:val="20"/>
                <w:szCs w:val="20"/>
                <w:u w:val="single"/>
              </w:rPr>
              <w:t>Profit after Tax</w:t>
            </w:r>
          </w:p>
        </w:tc>
        <w:tc>
          <w:tcPr>
            <w:tcW w:w="1220" w:type="dxa"/>
            <w:vMerge w:val="restart"/>
            <w:tcBorders>
              <w:top w:val="nil"/>
              <w:left w:val="single" w:sz="8" w:space="0" w:color="auto"/>
              <w:bottom w:val="single" w:sz="4" w:space="0" w:color="auto"/>
              <w:right w:val="single" w:sz="8" w:space="0" w:color="auto"/>
            </w:tcBorders>
            <w:shd w:val="clear" w:color="000000" w:fill="FFFFFF"/>
            <w:noWrap/>
            <w:vAlign w:val="center"/>
            <w:hideMark/>
          </w:tcPr>
          <w:p w14:paraId="56DA9336"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0.09</w:t>
            </w:r>
          </w:p>
        </w:tc>
        <w:tc>
          <w:tcPr>
            <w:tcW w:w="1313" w:type="dxa"/>
            <w:vMerge w:val="restart"/>
            <w:tcBorders>
              <w:top w:val="nil"/>
              <w:left w:val="single" w:sz="8" w:space="0" w:color="auto"/>
              <w:bottom w:val="single" w:sz="4" w:space="0" w:color="auto"/>
              <w:right w:val="single" w:sz="8" w:space="0" w:color="auto"/>
            </w:tcBorders>
            <w:shd w:val="clear" w:color="000000" w:fill="FFFFFF"/>
            <w:noWrap/>
            <w:vAlign w:val="center"/>
            <w:hideMark/>
          </w:tcPr>
          <w:p w14:paraId="1A4E5264"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0.08</w:t>
            </w:r>
          </w:p>
        </w:tc>
        <w:tc>
          <w:tcPr>
            <w:tcW w:w="1126" w:type="dxa"/>
            <w:vMerge w:val="restart"/>
            <w:tcBorders>
              <w:top w:val="nil"/>
              <w:left w:val="single" w:sz="8" w:space="0" w:color="auto"/>
              <w:bottom w:val="single" w:sz="4" w:space="0" w:color="auto"/>
              <w:right w:val="single" w:sz="8" w:space="0" w:color="auto"/>
            </w:tcBorders>
            <w:shd w:val="clear" w:color="000000" w:fill="FFFFFF"/>
            <w:noWrap/>
            <w:vAlign w:val="center"/>
            <w:hideMark/>
          </w:tcPr>
          <w:p w14:paraId="49BB7CA7"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8.41%</w:t>
            </w:r>
          </w:p>
        </w:tc>
        <w:tc>
          <w:tcPr>
            <w:tcW w:w="2738" w:type="dxa"/>
            <w:vMerge w:val="restart"/>
            <w:tcBorders>
              <w:top w:val="nil"/>
              <w:left w:val="single" w:sz="8" w:space="0" w:color="auto"/>
              <w:bottom w:val="single" w:sz="4" w:space="0" w:color="000000"/>
              <w:right w:val="single" w:sz="8" w:space="0" w:color="auto"/>
            </w:tcBorders>
            <w:shd w:val="clear" w:color="000000" w:fill="FFFFFF"/>
            <w:vAlign w:val="center"/>
            <w:hideMark/>
          </w:tcPr>
          <w:p w14:paraId="38A9E098" w14:textId="77777777" w:rsidR="0083687D" w:rsidRPr="00634FDB" w:rsidRDefault="0083687D" w:rsidP="00250DAC">
            <w:pPr>
              <w:spacing w:after="0" w:line="240" w:lineRule="auto"/>
              <w:jc w:val="both"/>
              <w:rPr>
                <w:rFonts w:ascii="Times New Roman" w:hAnsi="Times New Roman"/>
                <w:sz w:val="20"/>
                <w:szCs w:val="20"/>
              </w:rPr>
            </w:pPr>
          </w:p>
        </w:tc>
      </w:tr>
      <w:tr w:rsidR="0083687D" w:rsidRPr="00634FDB" w14:paraId="45F57854" w14:textId="77777777" w:rsidTr="0083687D">
        <w:trPr>
          <w:trHeight w:val="20"/>
        </w:trPr>
        <w:tc>
          <w:tcPr>
            <w:tcW w:w="1871" w:type="dxa"/>
            <w:vMerge/>
            <w:tcBorders>
              <w:top w:val="nil"/>
              <w:left w:val="single" w:sz="8" w:space="0" w:color="auto"/>
              <w:bottom w:val="single" w:sz="4" w:space="0" w:color="auto"/>
              <w:right w:val="single" w:sz="8" w:space="0" w:color="auto"/>
            </w:tcBorders>
            <w:vAlign w:val="center"/>
            <w:hideMark/>
          </w:tcPr>
          <w:p w14:paraId="481D7454" w14:textId="77777777" w:rsidR="0083687D" w:rsidRPr="00634FDB" w:rsidRDefault="0083687D" w:rsidP="00250DAC">
            <w:pPr>
              <w:spacing w:after="0" w:line="240" w:lineRule="auto"/>
              <w:jc w:val="both"/>
              <w:rPr>
                <w:rFonts w:ascii="Times New Roman" w:hAnsi="Times New Roman"/>
                <w:sz w:val="20"/>
                <w:szCs w:val="20"/>
              </w:rPr>
            </w:pPr>
          </w:p>
        </w:tc>
        <w:tc>
          <w:tcPr>
            <w:tcW w:w="2252" w:type="dxa"/>
            <w:tcBorders>
              <w:top w:val="nil"/>
              <w:left w:val="nil"/>
              <w:bottom w:val="single" w:sz="4" w:space="0" w:color="auto"/>
              <w:right w:val="single" w:sz="8" w:space="0" w:color="auto"/>
            </w:tcBorders>
            <w:shd w:val="clear" w:color="000000" w:fill="FFFFFF"/>
            <w:noWrap/>
            <w:vAlign w:val="center"/>
            <w:hideMark/>
          </w:tcPr>
          <w:p w14:paraId="2D0499E7"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Average Shareholder’s Equity</w:t>
            </w:r>
          </w:p>
        </w:tc>
        <w:tc>
          <w:tcPr>
            <w:tcW w:w="1220" w:type="dxa"/>
            <w:vMerge/>
            <w:tcBorders>
              <w:top w:val="nil"/>
              <w:left w:val="single" w:sz="8" w:space="0" w:color="auto"/>
              <w:bottom w:val="single" w:sz="4" w:space="0" w:color="auto"/>
              <w:right w:val="single" w:sz="8" w:space="0" w:color="auto"/>
            </w:tcBorders>
            <w:vAlign w:val="center"/>
            <w:hideMark/>
          </w:tcPr>
          <w:p w14:paraId="2490EF2A" w14:textId="77777777" w:rsidR="0083687D" w:rsidRPr="00634FDB" w:rsidRDefault="0083687D" w:rsidP="00250DAC">
            <w:pPr>
              <w:spacing w:after="0" w:line="240" w:lineRule="auto"/>
              <w:jc w:val="center"/>
              <w:rPr>
                <w:rFonts w:ascii="Times New Roman" w:hAnsi="Times New Roman"/>
                <w:sz w:val="20"/>
                <w:szCs w:val="20"/>
              </w:rPr>
            </w:pPr>
          </w:p>
        </w:tc>
        <w:tc>
          <w:tcPr>
            <w:tcW w:w="1313" w:type="dxa"/>
            <w:vMerge/>
            <w:tcBorders>
              <w:top w:val="nil"/>
              <w:left w:val="single" w:sz="8" w:space="0" w:color="auto"/>
              <w:bottom w:val="single" w:sz="4" w:space="0" w:color="auto"/>
              <w:right w:val="single" w:sz="8" w:space="0" w:color="auto"/>
            </w:tcBorders>
            <w:vAlign w:val="center"/>
            <w:hideMark/>
          </w:tcPr>
          <w:p w14:paraId="6733D33B" w14:textId="77777777" w:rsidR="0083687D" w:rsidRPr="00634FDB" w:rsidRDefault="0083687D" w:rsidP="00250DAC">
            <w:pPr>
              <w:spacing w:after="0" w:line="240" w:lineRule="auto"/>
              <w:jc w:val="center"/>
              <w:rPr>
                <w:rFonts w:ascii="Times New Roman" w:hAnsi="Times New Roman"/>
                <w:sz w:val="20"/>
                <w:szCs w:val="20"/>
              </w:rPr>
            </w:pPr>
          </w:p>
        </w:tc>
        <w:tc>
          <w:tcPr>
            <w:tcW w:w="1126" w:type="dxa"/>
            <w:vMerge/>
            <w:tcBorders>
              <w:top w:val="nil"/>
              <w:left w:val="single" w:sz="8" w:space="0" w:color="auto"/>
              <w:bottom w:val="single" w:sz="4" w:space="0" w:color="auto"/>
              <w:right w:val="single" w:sz="8" w:space="0" w:color="auto"/>
            </w:tcBorders>
            <w:vAlign w:val="center"/>
            <w:hideMark/>
          </w:tcPr>
          <w:p w14:paraId="4A3B6862" w14:textId="77777777" w:rsidR="0083687D" w:rsidRPr="00634FDB" w:rsidRDefault="0083687D" w:rsidP="00250DAC">
            <w:pPr>
              <w:spacing w:after="0" w:line="240" w:lineRule="auto"/>
              <w:jc w:val="center"/>
              <w:rPr>
                <w:rFonts w:ascii="Times New Roman" w:hAnsi="Times New Roman"/>
                <w:sz w:val="20"/>
                <w:szCs w:val="20"/>
              </w:rPr>
            </w:pPr>
          </w:p>
        </w:tc>
        <w:tc>
          <w:tcPr>
            <w:tcW w:w="2738" w:type="dxa"/>
            <w:vMerge/>
            <w:tcBorders>
              <w:top w:val="nil"/>
              <w:left w:val="single" w:sz="8" w:space="0" w:color="auto"/>
              <w:bottom w:val="single" w:sz="4" w:space="0" w:color="000000"/>
              <w:right w:val="single" w:sz="8" w:space="0" w:color="auto"/>
            </w:tcBorders>
            <w:vAlign w:val="center"/>
            <w:hideMark/>
          </w:tcPr>
          <w:p w14:paraId="64204B4B" w14:textId="77777777" w:rsidR="0083687D" w:rsidRPr="00634FDB" w:rsidRDefault="0083687D" w:rsidP="00250DAC">
            <w:pPr>
              <w:spacing w:after="0" w:line="240" w:lineRule="auto"/>
              <w:jc w:val="both"/>
              <w:rPr>
                <w:rFonts w:ascii="Times New Roman" w:hAnsi="Times New Roman"/>
                <w:sz w:val="20"/>
                <w:szCs w:val="20"/>
              </w:rPr>
            </w:pPr>
          </w:p>
        </w:tc>
      </w:tr>
      <w:tr w:rsidR="0083687D" w:rsidRPr="00634FDB" w14:paraId="69DE67CE" w14:textId="77777777" w:rsidTr="0083687D">
        <w:trPr>
          <w:trHeight w:val="583"/>
        </w:trPr>
        <w:tc>
          <w:tcPr>
            <w:tcW w:w="1871" w:type="dxa"/>
            <w:vMerge w:val="restart"/>
            <w:tcBorders>
              <w:top w:val="nil"/>
              <w:left w:val="single" w:sz="8" w:space="0" w:color="auto"/>
              <w:bottom w:val="single" w:sz="4" w:space="0" w:color="auto"/>
              <w:right w:val="single" w:sz="8" w:space="0" w:color="auto"/>
            </w:tcBorders>
            <w:shd w:val="clear" w:color="000000" w:fill="FFFFFF"/>
            <w:noWrap/>
            <w:vAlign w:val="center"/>
            <w:hideMark/>
          </w:tcPr>
          <w:p w14:paraId="7516008F" w14:textId="77777777" w:rsidR="0083687D" w:rsidRPr="00634FDB" w:rsidRDefault="0083687D" w:rsidP="00250DAC">
            <w:pPr>
              <w:spacing w:after="0" w:line="240" w:lineRule="auto"/>
              <w:jc w:val="both"/>
              <w:rPr>
                <w:rFonts w:ascii="Times New Roman" w:hAnsi="Times New Roman"/>
                <w:sz w:val="20"/>
                <w:szCs w:val="20"/>
              </w:rPr>
            </w:pPr>
            <w:r w:rsidRPr="00634FDB">
              <w:rPr>
                <w:rFonts w:ascii="Times New Roman" w:hAnsi="Times New Roman"/>
                <w:sz w:val="20"/>
                <w:szCs w:val="20"/>
              </w:rPr>
              <w:lastRenderedPageBreak/>
              <w:t>(e) Inventory turnover ratio</w:t>
            </w:r>
          </w:p>
        </w:tc>
        <w:tc>
          <w:tcPr>
            <w:tcW w:w="2252" w:type="dxa"/>
            <w:tcBorders>
              <w:top w:val="single" w:sz="4" w:space="0" w:color="auto"/>
              <w:left w:val="nil"/>
              <w:right w:val="single" w:sz="8" w:space="0" w:color="auto"/>
            </w:tcBorders>
            <w:shd w:val="clear" w:color="000000" w:fill="FFFFFF"/>
            <w:noWrap/>
            <w:vAlign w:val="bottom"/>
            <w:hideMark/>
          </w:tcPr>
          <w:p w14:paraId="68206A2E" w14:textId="77777777" w:rsidR="0083687D" w:rsidRPr="00634FDB" w:rsidRDefault="0083687D" w:rsidP="00250DAC">
            <w:pPr>
              <w:spacing w:after="0" w:line="240" w:lineRule="auto"/>
              <w:jc w:val="center"/>
              <w:rPr>
                <w:rFonts w:ascii="Times New Roman" w:hAnsi="Times New Roman"/>
                <w:sz w:val="20"/>
                <w:szCs w:val="20"/>
                <w:u w:val="single"/>
              </w:rPr>
            </w:pPr>
            <w:r w:rsidRPr="00634FDB">
              <w:rPr>
                <w:rFonts w:ascii="Times New Roman" w:hAnsi="Times New Roman"/>
                <w:sz w:val="20"/>
                <w:szCs w:val="20"/>
                <w:u w:val="single"/>
              </w:rPr>
              <w:t>Total Turnover</w:t>
            </w:r>
          </w:p>
        </w:tc>
        <w:tc>
          <w:tcPr>
            <w:tcW w:w="1220" w:type="dxa"/>
            <w:vMerge w:val="restart"/>
            <w:tcBorders>
              <w:top w:val="nil"/>
              <w:left w:val="single" w:sz="8" w:space="0" w:color="auto"/>
              <w:bottom w:val="single" w:sz="4" w:space="0" w:color="auto"/>
              <w:right w:val="single" w:sz="8" w:space="0" w:color="auto"/>
            </w:tcBorders>
            <w:shd w:val="clear" w:color="000000" w:fill="FFFFFF"/>
            <w:noWrap/>
            <w:vAlign w:val="center"/>
            <w:hideMark/>
          </w:tcPr>
          <w:p w14:paraId="3E9646D8"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15.88</w:t>
            </w:r>
          </w:p>
        </w:tc>
        <w:tc>
          <w:tcPr>
            <w:tcW w:w="1313" w:type="dxa"/>
            <w:vMerge w:val="restart"/>
            <w:tcBorders>
              <w:top w:val="nil"/>
              <w:left w:val="single" w:sz="8" w:space="0" w:color="auto"/>
              <w:bottom w:val="single" w:sz="4" w:space="0" w:color="auto"/>
              <w:right w:val="single" w:sz="8" w:space="0" w:color="auto"/>
            </w:tcBorders>
            <w:shd w:val="clear" w:color="000000" w:fill="FFFFFF"/>
            <w:noWrap/>
            <w:vAlign w:val="center"/>
            <w:hideMark/>
          </w:tcPr>
          <w:p w14:paraId="2628A808"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4.19</w:t>
            </w:r>
          </w:p>
        </w:tc>
        <w:tc>
          <w:tcPr>
            <w:tcW w:w="1126" w:type="dxa"/>
            <w:vMerge w:val="restart"/>
            <w:tcBorders>
              <w:top w:val="nil"/>
              <w:left w:val="single" w:sz="8" w:space="0" w:color="auto"/>
              <w:bottom w:val="single" w:sz="4" w:space="0" w:color="auto"/>
              <w:right w:val="single" w:sz="8" w:space="0" w:color="auto"/>
            </w:tcBorders>
            <w:shd w:val="clear" w:color="000000" w:fill="FFFFFF"/>
            <w:noWrap/>
            <w:vAlign w:val="center"/>
            <w:hideMark/>
          </w:tcPr>
          <w:p w14:paraId="00C31367"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278.75%</w:t>
            </w:r>
          </w:p>
        </w:tc>
        <w:tc>
          <w:tcPr>
            <w:tcW w:w="2738" w:type="dxa"/>
            <w:vMerge w:val="restart"/>
            <w:tcBorders>
              <w:top w:val="nil"/>
              <w:left w:val="single" w:sz="8" w:space="0" w:color="auto"/>
              <w:bottom w:val="single" w:sz="4" w:space="0" w:color="000000"/>
              <w:right w:val="single" w:sz="8" w:space="0" w:color="auto"/>
            </w:tcBorders>
            <w:shd w:val="clear" w:color="000000" w:fill="FFFFFF"/>
            <w:vAlign w:val="center"/>
            <w:hideMark/>
          </w:tcPr>
          <w:p w14:paraId="56CBF763" w14:textId="77777777" w:rsidR="0083687D" w:rsidRPr="00634FDB" w:rsidRDefault="0083687D" w:rsidP="00250DAC">
            <w:pPr>
              <w:spacing w:after="0" w:line="240" w:lineRule="auto"/>
              <w:jc w:val="both"/>
              <w:rPr>
                <w:rFonts w:ascii="Times New Roman" w:hAnsi="Times New Roman"/>
                <w:sz w:val="20"/>
                <w:szCs w:val="20"/>
              </w:rPr>
            </w:pPr>
            <w:r w:rsidRPr="00634FDB">
              <w:rPr>
                <w:rFonts w:ascii="Times New Roman" w:hAnsi="Times New Roman"/>
                <w:sz w:val="20"/>
                <w:szCs w:val="20"/>
              </w:rPr>
              <w:t>As per our opinion change in Inventory Turnover Ratio is due to increase in Cost of Goods Sold in current year as compared to last year.</w:t>
            </w:r>
          </w:p>
        </w:tc>
      </w:tr>
      <w:tr w:rsidR="0083687D" w:rsidRPr="00634FDB" w14:paraId="66185503" w14:textId="77777777" w:rsidTr="0083687D">
        <w:trPr>
          <w:trHeight w:val="20"/>
        </w:trPr>
        <w:tc>
          <w:tcPr>
            <w:tcW w:w="1871" w:type="dxa"/>
            <w:vMerge/>
            <w:tcBorders>
              <w:top w:val="nil"/>
              <w:left w:val="single" w:sz="8" w:space="0" w:color="auto"/>
              <w:bottom w:val="single" w:sz="4" w:space="0" w:color="auto"/>
              <w:right w:val="single" w:sz="8" w:space="0" w:color="auto"/>
            </w:tcBorders>
            <w:vAlign w:val="center"/>
            <w:hideMark/>
          </w:tcPr>
          <w:p w14:paraId="14414326" w14:textId="77777777" w:rsidR="0083687D" w:rsidRPr="00634FDB" w:rsidRDefault="0083687D" w:rsidP="00250DAC">
            <w:pPr>
              <w:spacing w:after="0" w:line="240" w:lineRule="auto"/>
              <w:jc w:val="both"/>
              <w:rPr>
                <w:rFonts w:ascii="Times New Roman" w:hAnsi="Times New Roman"/>
                <w:sz w:val="20"/>
                <w:szCs w:val="20"/>
              </w:rPr>
            </w:pPr>
          </w:p>
        </w:tc>
        <w:tc>
          <w:tcPr>
            <w:tcW w:w="2252" w:type="dxa"/>
            <w:tcBorders>
              <w:top w:val="nil"/>
              <w:left w:val="nil"/>
              <w:bottom w:val="single" w:sz="4" w:space="0" w:color="auto"/>
              <w:right w:val="single" w:sz="8" w:space="0" w:color="auto"/>
            </w:tcBorders>
            <w:shd w:val="clear" w:color="000000" w:fill="FFFFFF"/>
            <w:noWrap/>
            <w:hideMark/>
          </w:tcPr>
          <w:p w14:paraId="26B9BF34"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Average Inventories</w:t>
            </w:r>
          </w:p>
        </w:tc>
        <w:tc>
          <w:tcPr>
            <w:tcW w:w="1220" w:type="dxa"/>
            <w:vMerge/>
            <w:tcBorders>
              <w:top w:val="nil"/>
              <w:left w:val="single" w:sz="8" w:space="0" w:color="auto"/>
              <w:bottom w:val="single" w:sz="4" w:space="0" w:color="auto"/>
              <w:right w:val="single" w:sz="8" w:space="0" w:color="auto"/>
            </w:tcBorders>
            <w:vAlign w:val="center"/>
            <w:hideMark/>
          </w:tcPr>
          <w:p w14:paraId="3EE902C9" w14:textId="77777777" w:rsidR="0083687D" w:rsidRPr="00634FDB" w:rsidRDefault="0083687D" w:rsidP="00250DAC">
            <w:pPr>
              <w:spacing w:after="0" w:line="240" w:lineRule="auto"/>
              <w:jc w:val="center"/>
              <w:rPr>
                <w:rFonts w:ascii="Times New Roman" w:hAnsi="Times New Roman"/>
                <w:sz w:val="20"/>
                <w:szCs w:val="20"/>
              </w:rPr>
            </w:pPr>
          </w:p>
        </w:tc>
        <w:tc>
          <w:tcPr>
            <w:tcW w:w="1313" w:type="dxa"/>
            <w:vMerge/>
            <w:tcBorders>
              <w:top w:val="nil"/>
              <w:left w:val="single" w:sz="8" w:space="0" w:color="auto"/>
              <w:bottom w:val="single" w:sz="4" w:space="0" w:color="auto"/>
              <w:right w:val="single" w:sz="8" w:space="0" w:color="auto"/>
            </w:tcBorders>
            <w:vAlign w:val="center"/>
            <w:hideMark/>
          </w:tcPr>
          <w:p w14:paraId="0C1CAB25" w14:textId="77777777" w:rsidR="0083687D" w:rsidRPr="00634FDB" w:rsidRDefault="0083687D" w:rsidP="00250DAC">
            <w:pPr>
              <w:spacing w:after="0" w:line="240" w:lineRule="auto"/>
              <w:jc w:val="center"/>
              <w:rPr>
                <w:rFonts w:ascii="Times New Roman" w:hAnsi="Times New Roman"/>
                <w:sz w:val="20"/>
                <w:szCs w:val="20"/>
              </w:rPr>
            </w:pPr>
          </w:p>
        </w:tc>
        <w:tc>
          <w:tcPr>
            <w:tcW w:w="1126" w:type="dxa"/>
            <w:vMerge/>
            <w:tcBorders>
              <w:top w:val="nil"/>
              <w:left w:val="single" w:sz="8" w:space="0" w:color="auto"/>
              <w:bottom w:val="single" w:sz="4" w:space="0" w:color="auto"/>
              <w:right w:val="single" w:sz="8" w:space="0" w:color="auto"/>
            </w:tcBorders>
            <w:vAlign w:val="center"/>
            <w:hideMark/>
          </w:tcPr>
          <w:p w14:paraId="42DE60EA" w14:textId="77777777" w:rsidR="0083687D" w:rsidRPr="00634FDB" w:rsidRDefault="0083687D" w:rsidP="00250DAC">
            <w:pPr>
              <w:spacing w:after="0" w:line="240" w:lineRule="auto"/>
              <w:jc w:val="center"/>
              <w:rPr>
                <w:rFonts w:ascii="Times New Roman" w:hAnsi="Times New Roman"/>
                <w:sz w:val="20"/>
                <w:szCs w:val="20"/>
              </w:rPr>
            </w:pPr>
          </w:p>
        </w:tc>
        <w:tc>
          <w:tcPr>
            <w:tcW w:w="2738" w:type="dxa"/>
            <w:vMerge/>
            <w:tcBorders>
              <w:top w:val="nil"/>
              <w:left w:val="single" w:sz="8" w:space="0" w:color="auto"/>
              <w:bottom w:val="single" w:sz="4" w:space="0" w:color="000000"/>
              <w:right w:val="single" w:sz="8" w:space="0" w:color="auto"/>
            </w:tcBorders>
            <w:vAlign w:val="center"/>
            <w:hideMark/>
          </w:tcPr>
          <w:p w14:paraId="6838CCDE" w14:textId="77777777" w:rsidR="0083687D" w:rsidRPr="00634FDB" w:rsidRDefault="0083687D" w:rsidP="00250DAC">
            <w:pPr>
              <w:spacing w:after="0" w:line="240" w:lineRule="auto"/>
              <w:jc w:val="both"/>
              <w:rPr>
                <w:rFonts w:ascii="Times New Roman" w:hAnsi="Times New Roman"/>
                <w:sz w:val="20"/>
                <w:szCs w:val="20"/>
              </w:rPr>
            </w:pPr>
          </w:p>
        </w:tc>
      </w:tr>
      <w:tr w:rsidR="0083687D" w:rsidRPr="00634FDB" w14:paraId="49BF4BD8" w14:textId="77777777" w:rsidTr="0083687D">
        <w:trPr>
          <w:trHeight w:val="437"/>
        </w:trPr>
        <w:tc>
          <w:tcPr>
            <w:tcW w:w="1871" w:type="dxa"/>
            <w:vMerge w:val="restart"/>
            <w:tcBorders>
              <w:top w:val="nil"/>
              <w:left w:val="single" w:sz="8" w:space="0" w:color="auto"/>
              <w:bottom w:val="single" w:sz="4" w:space="0" w:color="auto"/>
              <w:right w:val="single" w:sz="8" w:space="0" w:color="auto"/>
            </w:tcBorders>
            <w:shd w:val="clear" w:color="000000" w:fill="FFFFFF"/>
            <w:noWrap/>
            <w:vAlign w:val="center"/>
            <w:hideMark/>
          </w:tcPr>
          <w:p w14:paraId="4E82314D" w14:textId="77777777" w:rsidR="0083687D" w:rsidRPr="00634FDB" w:rsidRDefault="0083687D" w:rsidP="00250DAC">
            <w:pPr>
              <w:spacing w:after="0" w:line="240" w:lineRule="auto"/>
              <w:jc w:val="both"/>
              <w:rPr>
                <w:rFonts w:ascii="Times New Roman" w:hAnsi="Times New Roman"/>
                <w:sz w:val="20"/>
                <w:szCs w:val="20"/>
              </w:rPr>
            </w:pPr>
            <w:r w:rsidRPr="00634FDB">
              <w:rPr>
                <w:rFonts w:ascii="Times New Roman" w:hAnsi="Times New Roman"/>
                <w:sz w:val="20"/>
                <w:szCs w:val="20"/>
              </w:rPr>
              <w:t>(f) Trade receivables turnover ratio</w:t>
            </w:r>
          </w:p>
        </w:tc>
        <w:tc>
          <w:tcPr>
            <w:tcW w:w="2252" w:type="dxa"/>
            <w:tcBorders>
              <w:top w:val="single" w:sz="4" w:space="0" w:color="auto"/>
              <w:left w:val="nil"/>
              <w:right w:val="single" w:sz="8" w:space="0" w:color="auto"/>
            </w:tcBorders>
            <w:shd w:val="clear" w:color="000000" w:fill="FFFFFF"/>
            <w:noWrap/>
            <w:vAlign w:val="bottom"/>
            <w:hideMark/>
          </w:tcPr>
          <w:p w14:paraId="73AA2F4F" w14:textId="77777777" w:rsidR="0083687D" w:rsidRPr="00634FDB" w:rsidRDefault="0083687D" w:rsidP="00250DAC">
            <w:pPr>
              <w:spacing w:after="0" w:line="240" w:lineRule="auto"/>
              <w:jc w:val="center"/>
              <w:rPr>
                <w:rFonts w:ascii="Times New Roman" w:hAnsi="Times New Roman"/>
                <w:sz w:val="20"/>
                <w:szCs w:val="20"/>
                <w:u w:val="single"/>
              </w:rPr>
            </w:pPr>
            <w:r w:rsidRPr="00634FDB">
              <w:rPr>
                <w:rFonts w:ascii="Times New Roman" w:hAnsi="Times New Roman"/>
                <w:sz w:val="20"/>
                <w:szCs w:val="20"/>
                <w:u w:val="single"/>
              </w:rPr>
              <w:t>Total Turnover</w:t>
            </w:r>
          </w:p>
        </w:tc>
        <w:tc>
          <w:tcPr>
            <w:tcW w:w="1220" w:type="dxa"/>
            <w:vMerge w:val="restart"/>
            <w:tcBorders>
              <w:top w:val="nil"/>
              <w:left w:val="single" w:sz="8" w:space="0" w:color="auto"/>
              <w:bottom w:val="single" w:sz="4" w:space="0" w:color="auto"/>
              <w:right w:val="single" w:sz="8" w:space="0" w:color="auto"/>
            </w:tcBorders>
            <w:shd w:val="clear" w:color="000000" w:fill="FFFFFF"/>
            <w:noWrap/>
            <w:vAlign w:val="center"/>
            <w:hideMark/>
          </w:tcPr>
          <w:p w14:paraId="62E5EFD2"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11.09</w:t>
            </w:r>
          </w:p>
        </w:tc>
        <w:tc>
          <w:tcPr>
            <w:tcW w:w="1313" w:type="dxa"/>
            <w:vMerge w:val="restart"/>
            <w:tcBorders>
              <w:top w:val="nil"/>
              <w:left w:val="single" w:sz="8" w:space="0" w:color="auto"/>
              <w:bottom w:val="single" w:sz="4" w:space="0" w:color="auto"/>
              <w:right w:val="single" w:sz="8" w:space="0" w:color="auto"/>
            </w:tcBorders>
            <w:shd w:val="clear" w:color="000000" w:fill="FFFFFF"/>
            <w:noWrap/>
            <w:vAlign w:val="center"/>
            <w:hideMark/>
          </w:tcPr>
          <w:p w14:paraId="2A2E2A86"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3.11</w:t>
            </w:r>
          </w:p>
        </w:tc>
        <w:tc>
          <w:tcPr>
            <w:tcW w:w="1126" w:type="dxa"/>
            <w:vMerge w:val="restart"/>
            <w:tcBorders>
              <w:top w:val="nil"/>
              <w:left w:val="single" w:sz="8" w:space="0" w:color="auto"/>
              <w:bottom w:val="single" w:sz="4" w:space="0" w:color="auto"/>
              <w:right w:val="single" w:sz="8" w:space="0" w:color="auto"/>
            </w:tcBorders>
            <w:shd w:val="clear" w:color="000000" w:fill="FFFFFF"/>
            <w:noWrap/>
            <w:vAlign w:val="center"/>
            <w:hideMark/>
          </w:tcPr>
          <w:p w14:paraId="48222B59"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256.79%</w:t>
            </w:r>
          </w:p>
        </w:tc>
        <w:tc>
          <w:tcPr>
            <w:tcW w:w="2738" w:type="dxa"/>
            <w:vMerge w:val="restart"/>
            <w:tcBorders>
              <w:top w:val="nil"/>
              <w:left w:val="single" w:sz="8" w:space="0" w:color="auto"/>
              <w:bottom w:val="single" w:sz="4" w:space="0" w:color="000000"/>
              <w:right w:val="single" w:sz="8" w:space="0" w:color="auto"/>
            </w:tcBorders>
            <w:shd w:val="clear" w:color="000000" w:fill="FFFFFF"/>
            <w:vAlign w:val="center"/>
            <w:hideMark/>
          </w:tcPr>
          <w:p w14:paraId="61E5D8E9" w14:textId="77777777" w:rsidR="0083687D" w:rsidRPr="00634FDB" w:rsidRDefault="0083687D" w:rsidP="00250DAC">
            <w:pPr>
              <w:spacing w:after="0" w:line="240" w:lineRule="auto"/>
              <w:jc w:val="both"/>
              <w:rPr>
                <w:rFonts w:ascii="Times New Roman" w:hAnsi="Times New Roman"/>
                <w:sz w:val="20"/>
                <w:szCs w:val="20"/>
              </w:rPr>
            </w:pPr>
            <w:r w:rsidRPr="00634FDB">
              <w:rPr>
                <w:rFonts w:ascii="Times New Roman" w:hAnsi="Times New Roman"/>
                <w:sz w:val="20"/>
                <w:szCs w:val="20"/>
              </w:rPr>
              <w:t>As per our opinion change in Trade Receivables Turnover Ratio is improved due to increase in Credit Sales as compared to last year.</w:t>
            </w:r>
          </w:p>
        </w:tc>
      </w:tr>
      <w:tr w:rsidR="0083687D" w:rsidRPr="00634FDB" w14:paraId="1FD7F7D2" w14:textId="77777777" w:rsidTr="0083687D">
        <w:trPr>
          <w:trHeight w:val="20"/>
        </w:trPr>
        <w:tc>
          <w:tcPr>
            <w:tcW w:w="1871" w:type="dxa"/>
            <w:vMerge/>
            <w:tcBorders>
              <w:top w:val="nil"/>
              <w:left w:val="single" w:sz="8" w:space="0" w:color="auto"/>
              <w:bottom w:val="single" w:sz="4" w:space="0" w:color="auto"/>
              <w:right w:val="single" w:sz="8" w:space="0" w:color="auto"/>
            </w:tcBorders>
            <w:vAlign w:val="center"/>
            <w:hideMark/>
          </w:tcPr>
          <w:p w14:paraId="4ACD7835" w14:textId="77777777" w:rsidR="0083687D" w:rsidRPr="00634FDB" w:rsidRDefault="0083687D" w:rsidP="00250DAC">
            <w:pPr>
              <w:spacing w:after="0" w:line="240" w:lineRule="auto"/>
              <w:jc w:val="both"/>
              <w:rPr>
                <w:rFonts w:ascii="Times New Roman" w:hAnsi="Times New Roman"/>
                <w:sz w:val="20"/>
                <w:szCs w:val="20"/>
              </w:rPr>
            </w:pPr>
          </w:p>
        </w:tc>
        <w:tc>
          <w:tcPr>
            <w:tcW w:w="2252" w:type="dxa"/>
            <w:tcBorders>
              <w:top w:val="nil"/>
              <w:left w:val="nil"/>
              <w:bottom w:val="single" w:sz="4" w:space="0" w:color="auto"/>
              <w:right w:val="single" w:sz="8" w:space="0" w:color="auto"/>
            </w:tcBorders>
            <w:shd w:val="clear" w:color="000000" w:fill="FFFFFF"/>
            <w:noWrap/>
            <w:hideMark/>
          </w:tcPr>
          <w:p w14:paraId="478961D2"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Average Account Receivable</w:t>
            </w:r>
          </w:p>
        </w:tc>
        <w:tc>
          <w:tcPr>
            <w:tcW w:w="1220" w:type="dxa"/>
            <w:vMerge/>
            <w:tcBorders>
              <w:top w:val="nil"/>
              <w:left w:val="single" w:sz="8" w:space="0" w:color="auto"/>
              <w:bottom w:val="single" w:sz="4" w:space="0" w:color="auto"/>
              <w:right w:val="single" w:sz="8" w:space="0" w:color="auto"/>
            </w:tcBorders>
            <w:vAlign w:val="center"/>
            <w:hideMark/>
          </w:tcPr>
          <w:p w14:paraId="7C7A8396" w14:textId="77777777" w:rsidR="0083687D" w:rsidRPr="00634FDB" w:rsidRDefault="0083687D" w:rsidP="00250DAC">
            <w:pPr>
              <w:spacing w:after="0" w:line="240" w:lineRule="auto"/>
              <w:jc w:val="center"/>
              <w:rPr>
                <w:rFonts w:ascii="Times New Roman" w:hAnsi="Times New Roman"/>
                <w:sz w:val="20"/>
                <w:szCs w:val="20"/>
              </w:rPr>
            </w:pPr>
          </w:p>
        </w:tc>
        <w:tc>
          <w:tcPr>
            <w:tcW w:w="1313" w:type="dxa"/>
            <w:vMerge/>
            <w:tcBorders>
              <w:top w:val="nil"/>
              <w:left w:val="single" w:sz="8" w:space="0" w:color="auto"/>
              <w:bottom w:val="single" w:sz="4" w:space="0" w:color="auto"/>
              <w:right w:val="single" w:sz="8" w:space="0" w:color="auto"/>
            </w:tcBorders>
            <w:vAlign w:val="center"/>
            <w:hideMark/>
          </w:tcPr>
          <w:p w14:paraId="03170A95" w14:textId="77777777" w:rsidR="0083687D" w:rsidRPr="00634FDB" w:rsidRDefault="0083687D" w:rsidP="00250DAC">
            <w:pPr>
              <w:spacing w:after="0" w:line="240" w:lineRule="auto"/>
              <w:jc w:val="center"/>
              <w:rPr>
                <w:rFonts w:ascii="Times New Roman" w:hAnsi="Times New Roman"/>
                <w:sz w:val="20"/>
                <w:szCs w:val="20"/>
              </w:rPr>
            </w:pPr>
          </w:p>
        </w:tc>
        <w:tc>
          <w:tcPr>
            <w:tcW w:w="1126" w:type="dxa"/>
            <w:vMerge/>
            <w:tcBorders>
              <w:top w:val="nil"/>
              <w:left w:val="single" w:sz="8" w:space="0" w:color="auto"/>
              <w:bottom w:val="single" w:sz="4" w:space="0" w:color="auto"/>
              <w:right w:val="single" w:sz="8" w:space="0" w:color="auto"/>
            </w:tcBorders>
            <w:vAlign w:val="center"/>
            <w:hideMark/>
          </w:tcPr>
          <w:p w14:paraId="25FD97A0" w14:textId="77777777" w:rsidR="0083687D" w:rsidRPr="00634FDB" w:rsidRDefault="0083687D" w:rsidP="00250DAC">
            <w:pPr>
              <w:spacing w:after="0" w:line="240" w:lineRule="auto"/>
              <w:jc w:val="center"/>
              <w:rPr>
                <w:rFonts w:ascii="Times New Roman" w:hAnsi="Times New Roman"/>
                <w:sz w:val="20"/>
                <w:szCs w:val="20"/>
              </w:rPr>
            </w:pPr>
          </w:p>
        </w:tc>
        <w:tc>
          <w:tcPr>
            <w:tcW w:w="2738" w:type="dxa"/>
            <w:vMerge/>
            <w:tcBorders>
              <w:top w:val="nil"/>
              <w:left w:val="single" w:sz="8" w:space="0" w:color="auto"/>
              <w:bottom w:val="single" w:sz="4" w:space="0" w:color="000000"/>
              <w:right w:val="single" w:sz="8" w:space="0" w:color="auto"/>
            </w:tcBorders>
            <w:vAlign w:val="center"/>
            <w:hideMark/>
          </w:tcPr>
          <w:p w14:paraId="0CAE9006" w14:textId="77777777" w:rsidR="0083687D" w:rsidRPr="00634FDB" w:rsidRDefault="0083687D" w:rsidP="00250DAC">
            <w:pPr>
              <w:spacing w:after="0" w:line="240" w:lineRule="auto"/>
              <w:jc w:val="both"/>
              <w:rPr>
                <w:rFonts w:ascii="Times New Roman" w:hAnsi="Times New Roman"/>
                <w:sz w:val="20"/>
                <w:szCs w:val="20"/>
              </w:rPr>
            </w:pPr>
          </w:p>
        </w:tc>
      </w:tr>
      <w:tr w:rsidR="0083687D" w:rsidRPr="00634FDB" w14:paraId="3E53DAA7" w14:textId="77777777" w:rsidTr="0083687D">
        <w:trPr>
          <w:trHeight w:val="437"/>
        </w:trPr>
        <w:tc>
          <w:tcPr>
            <w:tcW w:w="1871" w:type="dxa"/>
            <w:vMerge w:val="restart"/>
            <w:tcBorders>
              <w:top w:val="nil"/>
              <w:left w:val="single" w:sz="8" w:space="0" w:color="auto"/>
              <w:bottom w:val="single" w:sz="4" w:space="0" w:color="auto"/>
              <w:right w:val="single" w:sz="8" w:space="0" w:color="auto"/>
            </w:tcBorders>
            <w:shd w:val="clear" w:color="000000" w:fill="FFFFFF"/>
            <w:noWrap/>
            <w:vAlign w:val="center"/>
            <w:hideMark/>
          </w:tcPr>
          <w:p w14:paraId="3B4AEB43" w14:textId="77777777" w:rsidR="0083687D" w:rsidRPr="00634FDB" w:rsidRDefault="0083687D" w:rsidP="00250DAC">
            <w:pPr>
              <w:spacing w:after="0" w:line="240" w:lineRule="auto"/>
              <w:jc w:val="both"/>
              <w:rPr>
                <w:rFonts w:ascii="Times New Roman" w:hAnsi="Times New Roman"/>
                <w:sz w:val="20"/>
                <w:szCs w:val="20"/>
              </w:rPr>
            </w:pPr>
            <w:r w:rsidRPr="00634FDB">
              <w:rPr>
                <w:rFonts w:ascii="Times New Roman" w:hAnsi="Times New Roman"/>
                <w:sz w:val="20"/>
                <w:szCs w:val="20"/>
              </w:rPr>
              <w:t>(g) Trade payables turnover ratio</w:t>
            </w:r>
          </w:p>
        </w:tc>
        <w:tc>
          <w:tcPr>
            <w:tcW w:w="2252" w:type="dxa"/>
            <w:tcBorders>
              <w:top w:val="single" w:sz="4" w:space="0" w:color="auto"/>
              <w:left w:val="nil"/>
              <w:right w:val="single" w:sz="8" w:space="0" w:color="auto"/>
            </w:tcBorders>
            <w:shd w:val="clear" w:color="000000" w:fill="FFFFFF"/>
            <w:noWrap/>
            <w:vAlign w:val="bottom"/>
            <w:hideMark/>
          </w:tcPr>
          <w:p w14:paraId="4430371E" w14:textId="77777777" w:rsidR="0083687D" w:rsidRPr="00634FDB" w:rsidRDefault="0083687D" w:rsidP="00250DAC">
            <w:pPr>
              <w:spacing w:after="0" w:line="240" w:lineRule="auto"/>
              <w:jc w:val="center"/>
              <w:rPr>
                <w:rFonts w:ascii="Times New Roman" w:hAnsi="Times New Roman"/>
                <w:sz w:val="20"/>
                <w:szCs w:val="20"/>
                <w:u w:val="single"/>
              </w:rPr>
            </w:pPr>
            <w:r w:rsidRPr="00634FDB">
              <w:rPr>
                <w:rFonts w:ascii="Times New Roman" w:hAnsi="Times New Roman"/>
                <w:sz w:val="20"/>
                <w:szCs w:val="20"/>
                <w:u w:val="single"/>
              </w:rPr>
              <w:t>Total Purchases</w:t>
            </w:r>
          </w:p>
        </w:tc>
        <w:tc>
          <w:tcPr>
            <w:tcW w:w="1220" w:type="dxa"/>
            <w:vMerge w:val="restart"/>
            <w:tcBorders>
              <w:top w:val="nil"/>
              <w:left w:val="single" w:sz="8" w:space="0" w:color="auto"/>
              <w:bottom w:val="single" w:sz="4" w:space="0" w:color="auto"/>
              <w:right w:val="single" w:sz="8" w:space="0" w:color="auto"/>
            </w:tcBorders>
            <w:shd w:val="clear" w:color="000000" w:fill="FFFFFF"/>
            <w:noWrap/>
            <w:vAlign w:val="center"/>
            <w:hideMark/>
          </w:tcPr>
          <w:p w14:paraId="08BF4235"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13.62</w:t>
            </w:r>
          </w:p>
        </w:tc>
        <w:tc>
          <w:tcPr>
            <w:tcW w:w="1313" w:type="dxa"/>
            <w:vMerge w:val="restart"/>
            <w:tcBorders>
              <w:top w:val="nil"/>
              <w:left w:val="single" w:sz="8" w:space="0" w:color="auto"/>
              <w:bottom w:val="single" w:sz="4" w:space="0" w:color="auto"/>
              <w:right w:val="single" w:sz="8" w:space="0" w:color="auto"/>
            </w:tcBorders>
            <w:shd w:val="clear" w:color="000000" w:fill="FFFFFF"/>
            <w:noWrap/>
            <w:vAlign w:val="center"/>
            <w:hideMark/>
          </w:tcPr>
          <w:p w14:paraId="2C5BA999"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5.09</w:t>
            </w:r>
          </w:p>
        </w:tc>
        <w:tc>
          <w:tcPr>
            <w:tcW w:w="1126" w:type="dxa"/>
            <w:vMerge w:val="restart"/>
            <w:tcBorders>
              <w:top w:val="nil"/>
              <w:left w:val="single" w:sz="8" w:space="0" w:color="auto"/>
              <w:bottom w:val="single" w:sz="4" w:space="0" w:color="auto"/>
              <w:right w:val="single" w:sz="8" w:space="0" w:color="auto"/>
            </w:tcBorders>
            <w:shd w:val="clear" w:color="000000" w:fill="FFFFFF"/>
            <w:noWrap/>
            <w:vAlign w:val="center"/>
            <w:hideMark/>
          </w:tcPr>
          <w:p w14:paraId="53860ADA"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167.41%</w:t>
            </w:r>
          </w:p>
        </w:tc>
        <w:tc>
          <w:tcPr>
            <w:tcW w:w="2738" w:type="dxa"/>
            <w:vMerge w:val="restart"/>
            <w:tcBorders>
              <w:top w:val="nil"/>
              <w:left w:val="single" w:sz="8" w:space="0" w:color="auto"/>
              <w:bottom w:val="single" w:sz="4" w:space="0" w:color="000000"/>
              <w:right w:val="single" w:sz="8" w:space="0" w:color="auto"/>
            </w:tcBorders>
            <w:shd w:val="clear" w:color="000000" w:fill="FFFFFF"/>
            <w:vAlign w:val="center"/>
            <w:hideMark/>
          </w:tcPr>
          <w:p w14:paraId="585B36D8" w14:textId="77777777" w:rsidR="0083687D" w:rsidRPr="00634FDB" w:rsidRDefault="0083687D" w:rsidP="00250DAC">
            <w:pPr>
              <w:spacing w:after="0" w:line="240" w:lineRule="auto"/>
              <w:jc w:val="both"/>
              <w:rPr>
                <w:rFonts w:ascii="Times New Roman" w:hAnsi="Times New Roman"/>
                <w:sz w:val="20"/>
                <w:szCs w:val="20"/>
              </w:rPr>
            </w:pPr>
            <w:r w:rsidRPr="00634FDB">
              <w:rPr>
                <w:rFonts w:ascii="Times New Roman" w:hAnsi="Times New Roman"/>
                <w:sz w:val="20"/>
                <w:szCs w:val="20"/>
              </w:rPr>
              <w:t>As per our opinion change in Trade Payables Turnover Ratio is improved due to increase in Credit Purchase as compared to last year.</w:t>
            </w:r>
          </w:p>
        </w:tc>
      </w:tr>
      <w:tr w:rsidR="0083687D" w:rsidRPr="00634FDB" w14:paraId="2600506E" w14:textId="77777777" w:rsidTr="0083687D">
        <w:trPr>
          <w:trHeight w:val="20"/>
        </w:trPr>
        <w:tc>
          <w:tcPr>
            <w:tcW w:w="1871" w:type="dxa"/>
            <w:vMerge/>
            <w:tcBorders>
              <w:top w:val="nil"/>
              <w:left w:val="single" w:sz="8" w:space="0" w:color="auto"/>
              <w:bottom w:val="single" w:sz="4" w:space="0" w:color="auto"/>
              <w:right w:val="single" w:sz="8" w:space="0" w:color="auto"/>
            </w:tcBorders>
            <w:vAlign w:val="center"/>
            <w:hideMark/>
          </w:tcPr>
          <w:p w14:paraId="31F81EDF" w14:textId="77777777" w:rsidR="0083687D" w:rsidRPr="00634FDB" w:rsidRDefault="0083687D" w:rsidP="00250DAC">
            <w:pPr>
              <w:spacing w:after="0" w:line="240" w:lineRule="auto"/>
              <w:jc w:val="both"/>
              <w:rPr>
                <w:rFonts w:ascii="Times New Roman" w:hAnsi="Times New Roman"/>
                <w:sz w:val="20"/>
                <w:szCs w:val="20"/>
              </w:rPr>
            </w:pPr>
          </w:p>
        </w:tc>
        <w:tc>
          <w:tcPr>
            <w:tcW w:w="2252" w:type="dxa"/>
            <w:tcBorders>
              <w:top w:val="nil"/>
              <w:left w:val="nil"/>
              <w:bottom w:val="single" w:sz="4" w:space="0" w:color="auto"/>
              <w:right w:val="single" w:sz="8" w:space="0" w:color="auto"/>
            </w:tcBorders>
            <w:shd w:val="clear" w:color="000000" w:fill="FFFFFF"/>
            <w:noWrap/>
            <w:hideMark/>
          </w:tcPr>
          <w:p w14:paraId="16C52190"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Average Account Payable</w:t>
            </w:r>
          </w:p>
        </w:tc>
        <w:tc>
          <w:tcPr>
            <w:tcW w:w="1220" w:type="dxa"/>
            <w:vMerge/>
            <w:tcBorders>
              <w:top w:val="nil"/>
              <w:left w:val="single" w:sz="8" w:space="0" w:color="auto"/>
              <w:bottom w:val="single" w:sz="4" w:space="0" w:color="auto"/>
              <w:right w:val="single" w:sz="8" w:space="0" w:color="auto"/>
            </w:tcBorders>
            <w:vAlign w:val="center"/>
            <w:hideMark/>
          </w:tcPr>
          <w:p w14:paraId="23A54EE8" w14:textId="77777777" w:rsidR="0083687D" w:rsidRPr="00634FDB" w:rsidRDefault="0083687D" w:rsidP="00250DAC">
            <w:pPr>
              <w:spacing w:after="0" w:line="240" w:lineRule="auto"/>
              <w:jc w:val="center"/>
              <w:rPr>
                <w:rFonts w:ascii="Times New Roman" w:hAnsi="Times New Roman"/>
                <w:sz w:val="20"/>
                <w:szCs w:val="20"/>
              </w:rPr>
            </w:pPr>
          </w:p>
        </w:tc>
        <w:tc>
          <w:tcPr>
            <w:tcW w:w="1313" w:type="dxa"/>
            <w:vMerge/>
            <w:tcBorders>
              <w:top w:val="nil"/>
              <w:left w:val="single" w:sz="8" w:space="0" w:color="auto"/>
              <w:bottom w:val="single" w:sz="4" w:space="0" w:color="auto"/>
              <w:right w:val="single" w:sz="8" w:space="0" w:color="auto"/>
            </w:tcBorders>
            <w:vAlign w:val="center"/>
            <w:hideMark/>
          </w:tcPr>
          <w:p w14:paraId="17D0D999" w14:textId="77777777" w:rsidR="0083687D" w:rsidRPr="00634FDB" w:rsidRDefault="0083687D" w:rsidP="00250DAC">
            <w:pPr>
              <w:spacing w:after="0" w:line="240" w:lineRule="auto"/>
              <w:jc w:val="center"/>
              <w:rPr>
                <w:rFonts w:ascii="Times New Roman" w:hAnsi="Times New Roman"/>
                <w:sz w:val="20"/>
                <w:szCs w:val="20"/>
              </w:rPr>
            </w:pPr>
          </w:p>
        </w:tc>
        <w:tc>
          <w:tcPr>
            <w:tcW w:w="1126" w:type="dxa"/>
            <w:vMerge/>
            <w:tcBorders>
              <w:top w:val="nil"/>
              <w:left w:val="single" w:sz="8" w:space="0" w:color="auto"/>
              <w:bottom w:val="single" w:sz="4" w:space="0" w:color="auto"/>
              <w:right w:val="single" w:sz="8" w:space="0" w:color="auto"/>
            </w:tcBorders>
            <w:vAlign w:val="center"/>
            <w:hideMark/>
          </w:tcPr>
          <w:p w14:paraId="423888B7" w14:textId="77777777" w:rsidR="0083687D" w:rsidRPr="00634FDB" w:rsidRDefault="0083687D" w:rsidP="00250DAC">
            <w:pPr>
              <w:spacing w:after="0" w:line="240" w:lineRule="auto"/>
              <w:jc w:val="center"/>
              <w:rPr>
                <w:rFonts w:ascii="Times New Roman" w:hAnsi="Times New Roman"/>
                <w:sz w:val="20"/>
                <w:szCs w:val="20"/>
              </w:rPr>
            </w:pPr>
          </w:p>
        </w:tc>
        <w:tc>
          <w:tcPr>
            <w:tcW w:w="2738" w:type="dxa"/>
            <w:vMerge/>
            <w:tcBorders>
              <w:top w:val="nil"/>
              <w:left w:val="single" w:sz="8" w:space="0" w:color="auto"/>
              <w:bottom w:val="single" w:sz="4" w:space="0" w:color="000000"/>
              <w:right w:val="single" w:sz="8" w:space="0" w:color="auto"/>
            </w:tcBorders>
            <w:vAlign w:val="center"/>
            <w:hideMark/>
          </w:tcPr>
          <w:p w14:paraId="0DE1AEEC" w14:textId="77777777" w:rsidR="0083687D" w:rsidRPr="00634FDB" w:rsidRDefault="0083687D" w:rsidP="00250DAC">
            <w:pPr>
              <w:spacing w:after="0" w:line="240" w:lineRule="auto"/>
              <w:jc w:val="both"/>
              <w:rPr>
                <w:rFonts w:ascii="Times New Roman" w:hAnsi="Times New Roman"/>
                <w:sz w:val="20"/>
                <w:szCs w:val="20"/>
              </w:rPr>
            </w:pPr>
          </w:p>
        </w:tc>
      </w:tr>
      <w:tr w:rsidR="0083687D" w:rsidRPr="00634FDB" w14:paraId="5F77C460" w14:textId="77777777" w:rsidTr="0083687D">
        <w:trPr>
          <w:trHeight w:val="583"/>
        </w:trPr>
        <w:tc>
          <w:tcPr>
            <w:tcW w:w="1871" w:type="dxa"/>
            <w:vMerge w:val="restart"/>
            <w:tcBorders>
              <w:top w:val="nil"/>
              <w:left w:val="single" w:sz="8" w:space="0" w:color="auto"/>
              <w:bottom w:val="single" w:sz="4" w:space="0" w:color="auto"/>
              <w:right w:val="single" w:sz="8" w:space="0" w:color="auto"/>
            </w:tcBorders>
            <w:shd w:val="clear" w:color="000000" w:fill="FFFFFF"/>
            <w:noWrap/>
            <w:vAlign w:val="center"/>
            <w:hideMark/>
          </w:tcPr>
          <w:p w14:paraId="751A4461" w14:textId="77777777" w:rsidR="0083687D" w:rsidRPr="00634FDB" w:rsidRDefault="0083687D" w:rsidP="00250DAC">
            <w:pPr>
              <w:spacing w:after="0" w:line="240" w:lineRule="auto"/>
              <w:jc w:val="both"/>
              <w:rPr>
                <w:rFonts w:ascii="Times New Roman" w:hAnsi="Times New Roman"/>
                <w:sz w:val="20"/>
                <w:szCs w:val="20"/>
              </w:rPr>
            </w:pPr>
            <w:r w:rsidRPr="00634FDB">
              <w:rPr>
                <w:rFonts w:ascii="Times New Roman" w:hAnsi="Times New Roman"/>
                <w:sz w:val="20"/>
                <w:szCs w:val="20"/>
              </w:rPr>
              <w:t>(h) Net capital turnover ratio</w:t>
            </w:r>
          </w:p>
        </w:tc>
        <w:tc>
          <w:tcPr>
            <w:tcW w:w="2252" w:type="dxa"/>
            <w:tcBorders>
              <w:top w:val="single" w:sz="4" w:space="0" w:color="auto"/>
              <w:left w:val="nil"/>
              <w:right w:val="single" w:sz="8" w:space="0" w:color="auto"/>
            </w:tcBorders>
            <w:shd w:val="clear" w:color="000000" w:fill="FFFFFF"/>
            <w:noWrap/>
            <w:vAlign w:val="bottom"/>
            <w:hideMark/>
          </w:tcPr>
          <w:p w14:paraId="0BBE34D4" w14:textId="77777777" w:rsidR="0083687D" w:rsidRPr="00634FDB" w:rsidRDefault="0083687D" w:rsidP="00250DAC">
            <w:pPr>
              <w:spacing w:after="0" w:line="240" w:lineRule="auto"/>
              <w:jc w:val="center"/>
              <w:rPr>
                <w:rFonts w:ascii="Times New Roman" w:hAnsi="Times New Roman"/>
                <w:sz w:val="20"/>
                <w:szCs w:val="20"/>
                <w:u w:val="single"/>
              </w:rPr>
            </w:pPr>
            <w:r w:rsidRPr="00634FDB">
              <w:rPr>
                <w:rFonts w:ascii="Times New Roman" w:hAnsi="Times New Roman"/>
                <w:sz w:val="20"/>
                <w:szCs w:val="20"/>
                <w:u w:val="single"/>
              </w:rPr>
              <w:t>Total Turnover</w:t>
            </w:r>
          </w:p>
        </w:tc>
        <w:tc>
          <w:tcPr>
            <w:tcW w:w="1220" w:type="dxa"/>
            <w:vMerge w:val="restart"/>
            <w:tcBorders>
              <w:top w:val="nil"/>
              <w:left w:val="single" w:sz="8" w:space="0" w:color="auto"/>
              <w:bottom w:val="single" w:sz="4" w:space="0" w:color="auto"/>
              <w:right w:val="single" w:sz="8" w:space="0" w:color="auto"/>
            </w:tcBorders>
            <w:shd w:val="clear" w:color="000000" w:fill="FFFFFF"/>
            <w:noWrap/>
            <w:vAlign w:val="center"/>
            <w:hideMark/>
          </w:tcPr>
          <w:p w14:paraId="1AFD5899"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11.08</w:t>
            </w:r>
          </w:p>
        </w:tc>
        <w:tc>
          <w:tcPr>
            <w:tcW w:w="1313" w:type="dxa"/>
            <w:vMerge w:val="restart"/>
            <w:tcBorders>
              <w:top w:val="nil"/>
              <w:left w:val="single" w:sz="8" w:space="0" w:color="auto"/>
              <w:bottom w:val="single" w:sz="4" w:space="0" w:color="auto"/>
              <w:right w:val="single" w:sz="8" w:space="0" w:color="auto"/>
            </w:tcBorders>
            <w:shd w:val="clear" w:color="000000" w:fill="FFFFFF"/>
            <w:noWrap/>
            <w:vAlign w:val="center"/>
            <w:hideMark/>
          </w:tcPr>
          <w:p w14:paraId="043CA62D"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5.50</w:t>
            </w:r>
          </w:p>
        </w:tc>
        <w:tc>
          <w:tcPr>
            <w:tcW w:w="1126" w:type="dxa"/>
            <w:vMerge w:val="restart"/>
            <w:tcBorders>
              <w:top w:val="nil"/>
              <w:left w:val="single" w:sz="8" w:space="0" w:color="auto"/>
              <w:bottom w:val="single" w:sz="4" w:space="0" w:color="auto"/>
              <w:right w:val="single" w:sz="8" w:space="0" w:color="auto"/>
            </w:tcBorders>
            <w:shd w:val="clear" w:color="000000" w:fill="FFFFFF"/>
            <w:noWrap/>
            <w:vAlign w:val="center"/>
            <w:hideMark/>
          </w:tcPr>
          <w:p w14:paraId="25BFAF7E"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101.56%</w:t>
            </w:r>
          </w:p>
        </w:tc>
        <w:tc>
          <w:tcPr>
            <w:tcW w:w="2738" w:type="dxa"/>
            <w:vMerge w:val="restart"/>
            <w:tcBorders>
              <w:top w:val="nil"/>
              <w:left w:val="single" w:sz="8" w:space="0" w:color="auto"/>
              <w:bottom w:val="single" w:sz="4" w:space="0" w:color="000000"/>
              <w:right w:val="single" w:sz="8" w:space="0" w:color="auto"/>
            </w:tcBorders>
            <w:shd w:val="clear" w:color="000000" w:fill="FFFFFF"/>
            <w:vAlign w:val="center"/>
            <w:hideMark/>
          </w:tcPr>
          <w:p w14:paraId="45BC2F84" w14:textId="77777777" w:rsidR="0083687D" w:rsidRPr="00634FDB" w:rsidRDefault="0083687D" w:rsidP="00250DAC">
            <w:pPr>
              <w:spacing w:after="0" w:line="240" w:lineRule="auto"/>
              <w:jc w:val="both"/>
              <w:rPr>
                <w:rFonts w:ascii="Times New Roman" w:hAnsi="Times New Roman"/>
                <w:sz w:val="20"/>
                <w:szCs w:val="20"/>
              </w:rPr>
            </w:pPr>
            <w:r w:rsidRPr="00634FDB">
              <w:rPr>
                <w:rFonts w:ascii="Times New Roman" w:hAnsi="Times New Roman"/>
                <w:sz w:val="20"/>
                <w:szCs w:val="20"/>
              </w:rPr>
              <w:t>As per our opinion, the change in Net Capital Turnover Ratio since the Total Sales has increased and Working Capital has decreased.</w:t>
            </w:r>
          </w:p>
        </w:tc>
      </w:tr>
      <w:tr w:rsidR="0083687D" w:rsidRPr="00634FDB" w14:paraId="730F90F4" w14:textId="77777777" w:rsidTr="0083687D">
        <w:trPr>
          <w:trHeight w:val="20"/>
        </w:trPr>
        <w:tc>
          <w:tcPr>
            <w:tcW w:w="1871" w:type="dxa"/>
            <w:vMerge/>
            <w:tcBorders>
              <w:top w:val="nil"/>
              <w:left w:val="single" w:sz="8" w:space="0" w:color="auto"/>
              <w:bottom w:val="single" w:sz="4" w:space="0" w:color="auto"/>
              <w:right w:val="single" w:sz="8" w:space="0" w:color="auto"/>
            </w:tcBorders>
            <w:vAlign w:val="center"/>
            <w:hideMark/>
          </w:tcPr>
          <w:p w14:paraId="10B58685" w14:textId="77777777" w:rsidR="0083687D" w:rsidRPr="00634FDB" w:rsidRDefault="0083687D" w:rsidP="00250DAC">
            <w:pPr>
              <w:spacing w:after="0" w:line="240" w:lineRule="auto"/>
              <w:jc w:val="both"/>
              <w:rPr>
                <w:rFonts w:ascii="Times New Roman" w:hAnsi="Times New Roman"/>
                <w:sz w:val="20"/>
                <w:szCs w:val="20"/>
              </w:rPr>
            </w:pPr>
          </w:p>
        </w:tc>
        <w:tc>
          <w:tcPr>
            <w:tcW w:w="2252" w:type="dxa"/>
            <w:tcBorders>
              <w:top w:val="nil"/>
              <w:left w:val="nil"/>
              <w:bottom w:val="single" w:sz="4" w:space="0" w:color="auto"/>
              <w:right w:val="single" w:sz="8" w:space="0" w:color="auto"/>
            </w:tcBorders>
            <w:shd w:val="clear" w:color="000000" w:fill="FFFFFF"/>
            <w:noWrap/>
            <w:hideMark/>
          </w:tcPr>
          <w:p w14:paraId="1EF66885"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Net Working Capital</w:t>
            </w:r>
          </w:p>
        </w:tc>
        <w:tc>
          <w:tcPr>
            <w:tcW w:w="1220" w:type="dxa"/>
            <w:vMerge/>
            <w:tcBorders>
              <w:top w:val="nil"/>
              <w:left w:val="single" w:sz="8" w:space="0" w:color="auto"/>
              <w:bottom w:val="single" w:sz="4" w:space="0" w:color="auto"/>
              <w:right w:val="single" w:sz="8" w:space="0" w:color="auto"/>
            </w:tcBorders>
            <w:vAlign w:val="center"/>
            <w:hideMark/>
          </w:tcPr>
          <w:p w14:paraId="6E1485BD" w14:textId="77777777" w:rsidR="0083687D" w:rsidRPr="00634FDB" w:rsidRDefault="0083687D" w:rsidP="00250DAC">
            <w:pPr>
              <w:spacing w:after="0" w:line="240" w:lineRule="auto"/>
              <w:jc w:val="center"/>
              <w:rPr>
                <w:rFonts w:ascii="Times New Roman" w:hAnsi="Times New Roman"/>
                <w:sz w:val="20"/>
                <w:szCs w:val="20"/>
              </w:rPr>
            </w:pPr>
          </w:p>
        </w:tc>
        <w:tc>
          <w:tcPr>
            <w:tcW w:w="1313" w:type="dxa"/>
            <w:vMerge/>
            <w:tcBorders>
              <w:top w:val="nil"/>
              <w:left w:val="single" w:sz="8" w:space="0" w:color="auto"/>
              <w:bottom w:val="single" w:sz="4" w:space="0" w:color="auto"/>
              <w:right w:val="single" w:sz="8" w:space="0" w:color="auto"/>
            </w:tcBorders>
            <w:vAlign w:val="center"/>
            <w:hideMark/>
          </w:tcPr>
          <w:p w14:paraId="245B922E" w14:textId="77777777" w:rsidR="0083687D" w:rsidRPr="00634FDB" w:rsidRDefault="0083687D" w:rsidP="00250DAC">
            <w:pPr>
              <w:spacing w:after="0" w:line="240" w:lineRule="auto"/>
              <w:jc w:val="center"/>
              <w:rPr>
                <w:rFonts w:ascii="Times New Roman" w:hAnsi="Times New Roman"/>
                <w:sz w:val="20"/>
                <w:szCs w:val="20"/>
              </w:rPr>
            </w:pPr>
          </w:p>
        </w:tc>
        <w:tc>
          <w:tcPr>
            <w:tcW w:w="1126" w:type="dxa"/>
            <w:vMerge/>
            <w:tcBorders>
              <w:top w:val="nil"/>
              <w:left w:val="single" w:sz="8" w:space="0" w:color="auto"/>
              <w:bottom w:val="single" w:sz="4" w:space="0" w:color="auto"/>
              <w:right w:val="single" w:sz="8" w:space="0" w:color="auto"/>
            </w:tcBorders>
            <w:vAlign w:val="center"/>
            <w:hideMark/>
          </w:tcPr>
          <w:p w14:paraId="6803C58D" w14:textId="77777777" w:rsidR="0083687D" w:rsidRPr="00634FDB" w:rsidRDefault="0083687D" w:rsidP="00250DAC">
            <w:pPr>
              <w:spacing w:after="0" w:line="240" w:lineRule="auto"/>
              <w:jc w:val="center"/>
              <w:rPr>
                <w:rFonts w:ascii="Times New Roman" w:hAnsi="Times New Roman"/>
                <w:sz w:val="20"/>
                <w:szCs w:val="20"/>
              </w:rPr>
            </w:pPr>
          </w:p>
        </w:tc>
        <w:tc>
          <w:tcPr>
            <w:tcW w:w="2738" w:type="dxa"/>
            <w:vMerge/>
            <w:tcBorders>
              <w:top w:val="nil"/>
              <w:left w:val="single" w:sz="8" w:space="0" w:color="auto"/>
              <w:bottom w:val="single" w:sz="4" w:space="0" w:color="000000"/>
              <w:right w:val="single" w:sz="8" w:space="0" w:color="auto"/>
            </w:tcBorders>
            <w:vAlign w:val="center"/>
            <w:hideMark/>
          </w:tcPr>
          <w:p w14:paraId="73BEA011" w14:textId="77777777" w:rsidR="0083687D" w:rsidRPr="00634FDB" w:rsidRDefault="0083687D" w:rsidP="00250DAC">
            <w:pPr>
              <w:spacing w:after="0" w:line="240" w:lineRule="auto"/>
              <w:jc w:val="both"/>
              <w:rPr>
                <w:rFonts w:ascii="Times New Roman" w:hAnsi="Times New Roman"/>
                <w:sz w:val="20"/>
                <w:szCs w:val="20"/>
              </w:rPr>
            </w:pPr>
          </w:p>
        </w:tc>
      </w:tr>
      <w:tr w:rsidR="0083687D" w:rsidRPr="00634FDB" w14:paraId="4CFD0991" w14:textId="77777777" w:rsidTr="0083687D">
        <w:trPr>
          <w:trHeight w:val="583"/>
        </w:trPr>
        <w:tc>
          <w:tcPr>
            <w:tcW w:w="1871" w:type="dxa"/>
            <w:vMerge w:val="restart"/>
            <w:tcBorders>
              <w:top w:val="nil"/>
              <w:left w:val="single" w:sz="8" w:space="0" w:color="auto"/>
              <w:bottom w:val="single" w:sz="4" w:space="0" w:color="auto"/>
              <w:right w:val="single" w:sz="8" w:space="0" w:color="auto"/>
            </w:tcBorders>
            <w:shd w:val="clear" w:color="000000" w:fill="FFFFFF"/>
            <w:noWrap/>
            <w:vAlign w:val="center"/>
            <w:hideMark/>
          </w:tcPr>
          <w:p w14:paraId="3738C652" w14:textId="77777777" w:rsidR="0083687D" w:rsidRPr="00634FDB" w:rsidRDefault="0083687D" w:rsidP="00250DAC">
            <w:pPr>
              <w:spacing w:after="0" w:line="240" w:lineRule="auto"/>
              <w:jc w:val="both"/>
              <w:rPr>
                <w:rFonts w:ascii="Times New Roman" w:hAnsi="Times New Roman"/>
                <w:sz w:val="20"/>
                <w:szCs w:val="20"/>
              </w:rPr>
            </w:pPr>
            <w:r w:rsidRPr="00634FDB">
              <w:rPr>
                <w:rFonts w:ascii="Times New Roman" w:hAnsi="Times New Roman"/>
                <w:sz w:val="20"/>
                <w:szCs w:val="20"/>
              </w:rPr>
              <w:t>(i) Net profit ratio</w:t>
            </w:r>
          </w:p>
        </w:tc>
        <w:tc>
          <w:tcPr>
            <w:tcW w:w="2252" w:type="dxa"/>
            <w:tcBorders>
              <w:top w:val="single" w:sz="4" w:space="0" w:color="auto"/>
              <w:left w:val="nil"/>
              <w:right w:val="single" w:sz="8" w:space="0" w:color="auto"/>
            </w:tcBorders>
            <w:shd w:val="clear" w:color="000000" w:fill="FFFFFF"/>
            <w:noWrap/>
            <w:vAlign w:val="bottom"/>
            <w:hideMark/>
          </w:tcPr>
          <w:p w14:paraId="181CFE00" w14:textId="77777777" w:rsidR="0083687D" w:rsidRPr="00634FDB" w:rsidRDefault="0083687D" w:rsidP="00250DAC">
            <w:pPr>
              <w:spacing w:after="0" w:line="240" w:lineRule="auto"/>
              <w:jc w:val="center"/>
              <w:rPr>
                <w:rFonts w:ascii="Times New Roman" w:hAnsi="Times New Roman"/>
                <w:sz w:val="20"/>
                <w:szCs w:val="20"/>
                <w:u w:val="single"/>
              </w:rPr>
            </w:pPr>
            <w:r w:rsidRPr="00634FDB">
              <w:rPr>
                <w:rFonts w:ascii="Times New Roman" w:hAnsi="Times New Roman"/>
                <w:sz w:val="20"/>
                <w:szCs w:val="20"/>
                <w:u w:val="single"/>
              </w:rPr>
              <w:t>Net Profit</w:t>
            </w:r>
          </w:p>
        </w:tc>
        <w:tc>
          <w:tcPr>
            <w:tcW w:w="1220" w:type="dxa"/>
            <w:vMerge w:val="restart"/>
            <w:tcBorders>
              <w:top w:val="nil"/>
              <w:left w:val="single" w:sz="8" w:space="0" w:color="auto"/>
              <w:bottom w:val="single" w:sz="4" w:space="0" w:color="auto"/>
              <w:right w:val="single" w:sz="8" w:space="0" w:color="auto"/>
            </w:tcBorders>
            <w:shd w:val="clear" w:color="000000" w:fill="FFFFFF"/>
            <w:noWrap/>
            <w:vAlign w:val="center"/>
            <w:hideMark/>
          </w:tcPr>
          <w:p w14:paraId="2B49010C"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0.76</w:t>
            </w:r>
          </w:p>
        </w:tc>
        <w:tc>
          <w:tcPr>
            <w:tcW w:w="1313" w:type="dxa"/>
            <w:vMerge w:val="restart"/>
            <w:tcBorders>
              <w:top w:val="nil"/>
              <w:left w:val="single" w:sz="8" w:space="0" w:color="auto"/>
              <w:bottom w:val="single" w:sz="4" w:space="0" w:color="auto"/>
              <w:right w:val="single" w:sz="8" w:space="0" w:color="auto"/>
            </w:tcBorders>
            <w:shd w:val="clear" w:color="000000" w:fill="FFFFFF"/>
            <w:noWrap/>
            <w:vAlign w:val="center"/>
            <w:hideMark/>
          </w:tcPr>
          <w:p w14:paraId="2AB9E1EF"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1.03</w:t>
            </w:r>
          </w:p>
        </w:tc>
        <w:tc>
          <w:tcPr>
            <w:tcW w:w="1126" w:type="dxa"/>
            <w:vMerge w:val="restart"/>
            <w:tcBorders>
              <w:top w:val="nil"/>
              <w:left w:val="single" w:sz="8" w:space="0" w:color="auto"/>
              <w:bottom w:val="single" w:sz="4" w:space="0" w:color="auto"/>
              <w:right w:val="single" w:sz="8" w:space="0" w:color="auto"/>
            </w:tcBorders>
            <w:shd w:val="clear" w:color="000000" w:fill="FFFFFF"/>
            <w:noWrap/>
            <w:vAlign w:val="center"/>
            <w:hideMark/>
          </w:tcPr>
          <w:p w14:paraId="381D469F"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-25.74%</w:t>
            </w:r>
          </w:p>
        </w:tc>
        <w:tc>
          <w:tcPr>
            <w:tcW w:w="2738" w:type="dxa"/>
            <w:vMerge w:val="restart"/>
            <w:tcBorders>
              <w:top w:val="nil"/>
              <w:left w:val="single" w:sz="8" w:space="0" w:color="auto"/>
              <w:bottom w:val="single" w:sz="4" w:space="0" w:color="000000"/>
              <w:right w:val="single" w:sz="8" w:space="0" w:color="auto"/>
            </w:tcBorders>
            <w:shd w:val="clear" w:color="000000" w:fill="FFFFFF"/>
            <w:vAlign w:val="center"/>
            <w:hideMark/>
          </w:tcPr>
          <w:p w14:paraId="562B0F76" w14:textId="77777777" w:rsidR="0083687D" w:rsidRPr="00634FDB" w:rsidRDefault="0083687D" w:rsidP="00250DAC">
            <w:pPr>
              <w:spacing w:after="0" w:line="240" w:lineRule="auto"/>
              <w:jc w:val="both"/>
              <w:rPr>
                <w:rFonts w:ascii="Times New Roman" w:hAnsi="Times New Roman"/>
                <w:sz w:val="20"/>
                <w:szCs w:val="20"/>
              </w:rPr>
            </w:pPr>
            <w:r w:rsidRPr="00634FDB">
              <w:rPr>
                <w:rFonts w:ascii="Times New Roman" w:hAnsi="Times New Roman"/>
                <w:sz w:val="20"/>
                <w:szCs w:val="20"/>
              </w:rPr>
              <w:t>As per our opinion, the decrease in Net Profit Ratio is due to decrease in Profit in Current year as compared to last year.</w:t>
            </w:r>
          </w:p>
        </w:tc>
      </w:tr>
      <w:tr w:rsidR="0083687D" w:rsidRPr="00634FDB" w14:paraId="5231A507" w14:textId="77777777" w:rsidTr="0083687D">
        <w:trPr>
          <w:trHeight w:val="20"/>
        </w:trPr>
        <w:tc>
          <w:tcPr>
            <w:tcW w:w="1871" w:type="dxa"/>
            <w:vMerge/>
            <w:tcBorders>
              <w:top w:val="nil"/>
              <w:left w:val="single" w:sz="8" w:space="0" w:color="auto"/>
              <w:bottom w:val="single" w:sz="4" w:space="0" w:color="auto"/>
              <w:right w:val="single" w:sz="8" w:space="0" w:color="auto"/>
            </w:tcBorders>
            <w:vAlign w:val="center"/>
            <w:hideMark/>
          </w:tcPr>
          <w:p w14:paraId="2264E881" w14:textId="77777777" w:rsidR="0083687D" w:rsidRPr="00634FDB" w:rsidRDefault="0083687D" w:rsidP="00250DAC">
            <w:pPr>
              <w:spacing w:after="0" w:line="240" w:lineRule="auto"/>
              <w:jc w:val="both"/>
              <w:rPr>
                <w:rFonts w:ascii="Times New Roman" w:hAnsi="Times New Roman"/>
                <w:sz w:val="20"/>
                <w:szCs w:val="20"/>
              </w:rPr>
            </w:pPr>
          </w:p>
        </w:tc>
        <w:tc>
          <w:tcPr>
            <w:tcW w:w="2252" w:type="dxa"/>
            <w:tcBorders>
              <w:top w:val="nil"/>
              <w:left w:val="nil"/>
              <w:bottom w:val="single" w:sz="4" w:space="0" w:color="auto"/>
              <w:right w:val="single" w:sz="8" w:space="0" w:color="auto"/>
            </w:tcBorders>
            <w:shd w:val="clear" w:color="000000" w:fill="FFFFFF"/>
            <w:noWrap/>
            <w:hideMark/>
          </w:tcPr>
          <w:p w14:paraId="143854C3"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Total Turnover</w:t>
            </w:r>
          </w:p>
        </w:tc>
        <w:tc>
          <w:tcPr>
            <w:tcW w:w="1220" w:type="dxa"/>
            <w:vMerge/>
            <w:tcBorders>
              <w:top w:val="nil"/>
              <w:left w:val="single" w:sz="8" w:space="0" w:color="auto"/>
              <w:bottom w:val="single" w:sz="4" w:space="0" w:color="auto"/>
              <w:right w:val="single" w:sz="8" w:space="0" w:color="auto"/>
            </w:tcBorders>
            <w:vAlign w:val="center"/>
            <w:hideMark/>
          </w:tcPr>
          <w:p w14:paraId="501883A5" w14:textId="77777777" w:rsidR="0083687D" w:rsidRPr="00634FDB" w:rsidRDefault="0083687D" w:rsidP="00250DAC">
            <w:pPr>
              <w:spacing w:after="0" w:line="240" w:lineRule="auto"/>
              <w:jc w:val="center"/>
              <w:rPr>
                <w:rFonts w:ascii="Times New Roman" w:hAnsi="Times New Roman"/>
                <w:sz w:val="20"/>
                <w:szCs w:val="20"/>
              </w:rPr>
            </w:pPr>
          </w:p>
        </w:tc>
        <w:tc>
          <w:tcPr>
            <w:tcW w:w="1313" w:type="dxa"/>
            <w:vMerge/>
            <w:tcBorders>
              <w:top w:val="nil"/>
              <w:left w:val="single" w:sz="8" w:space="0" w:color="auto"/>
              <w:bottom w:val="single" w:sz="4" w:space="0" w:color="auto"/>
              <w:right w:val="single" w:sz="8" w:space="0" w:color="auto"/>
            </w:tcBorders>
            <w:vAlign w:val="center"/>
            <w:hideMark/>
          </w:tcPr>
          <w:p w14:paraId="577F43BB" w14:textId="77777777" w:rsidR="0083687D" w:rsidRPr="00634FDB" w:rsidRDefault="0083687D" w:rsidP="00250DAC">
            <w:pPr>
              <w:spacing w:after="0" w:line="240" w:lineRule="auto"/>
              <w:jc w:val="center"/>
              <w:rPr>
                <w:rFonts w:ascii="Times New Roman" w:hAnsi="Times New Roman"/>
                <w:sz w:val="20"/>
                <w:szCs w:val="20"/>
              </w:rPr>
            </w:pPr>
          </w:p>
        </w:tc>
        <w:tc>
          <w:tcPr>
            <w:tcW w:w="1126" w:type="dxa"/>
            <w:vMerge/>
            <w:tcBorders>
              <w:top w:val="nil"/>
              <w:left w:val="single" w:sz="8" w:space="0" w:color="auto"/>
              <w:bottom w:val="single" w:sz="4" w:space="0" w:color="auto"/>
              <w:right w:val="single" w:sz="8" w:space="0" w:color="auto"/>
            </w:tcBorders>
            <w:vAlign w:val="center"/>
            <w:hideMark/>
          </w:tcPr>
          <w:p w14:paraId="48564143" w14:textId="77777777" w:rsidR="0083687D" w:rsidRPr="00634FDB" w:rsidRDefault="0083687D" w:rsidP="00250DAC">
            <w:pPr>
              <w:spacing w:after="0" w:line="240" w:lineRule="auto"/>
              <w:jc w:val="center"/>
              <w:rPr>
                <w:rFonts w:ascii="Times New Roman" w:hAnsi="Times New Roman"/>
                <w:sz w:val="20"/>
                <w:szCs w:val="20"/>
              </w:rPr>
            </w:pPr>
          </w:p>
        </w:tc>
        <w:tc>
          <w:tcPr>
            <w:tcW w:w="2738" w:type="dxa"/>
            <w:vMerge/>
            <w:tcBorders>
              <w:top w:val="nil"/>
              <w:left w:val="single" w:sz="8" w:space="0" w:color="auto"/>
              <w:bottom w:val="single" w:sz="4" w:space="0" w:color="000000"/>
              <w:right w:val="single" w:sz="8" w:space="0" w:color="auto"/>
            </w:tcBorders>
            <w:vAlign w:val="center"/>
            <w:hideMark/>
          </w:tcPr>
          <w:p w14:paraId="3012897F" w14:textId="77777777" w:rsidR="0083687D" w:rsidRPr="00634FDB" w:rsidRDefault="0083687D" w:rsidP="00250DAC">
            <w:pPr>
              <w:spacing w:after="0" w:line="240" w:lineRule="auto"/>
              <w:jc w:val="both"/>
              <w:rPr>
                <w:rFonts w:ascii="Times New Roman" w:hAnsi="Times New Roman"/>
                <w:sz w:val="20"/>
                <w:szCs w:val="20"/>
              </w:rPr>
            </w:pPr>
          </w:p>
        </w:tc>
      </w:tr>
      <w:tr w:rsidR="0083687D" w:rsidRPr="00634FDB" w14:paraId="51F275EA" w14:textId="77777777" w:rsidTr="0083687D">
        <w:trPr>
          <w:trHeight w:val="437"/>
        </w:trPr>
        <w:tc>
          <w:tcPr>
            <w:tcW w:w="1871" w:type="dxa"/>
            <w:vMerge w:val="restart"/>
            <w:tcBorders>
              <w:top w:val="nil"/>
              <w:left w:val="single" w:sz="8" w:space="0" w:color="auto"/>
              <w:bottom w:val="single" w:sz="4" w:space="0" w:color="auto"/>
              <w:right w:val="single" w:sz="8" w:space="0" w:color="auto"/>
            </w:tcBorders>
            <w:shd w:val="clear" w:color="000000" w:fill="FFFFFF"/>
            <w:noWrap/>
            <w:vAlign w:val="center"/>
            <w:hideMark/>
          </w:tcPr>
          <w:p w14:paraId="5594D9DB" w14:textId="77777777" w:rsidR="0083687D" w:rsidRPr="00634FDB" w:rsidRDefault="0083687D" w:rsidP="00250DAC">
            <w:pPr>
              <w:spacing w:after="0" w:line="240" w:lineRule="auto"/>
              <w:jc w:val="both"/>
              <w:rPr>
                <w:rFonts w:ascii="Times New Roman" w:hAnsi="Times New Roman"/>
                <w:sz w:val="20"/>
                <w:szCs w:val="20"/>
              </w:rPr>
            </w:pPr>
            <w:r w:rsidRPr="00634FDB">
              <w:rPr>
                <w:rFonts w:ascii="Times New Roman" w:hAnsi="Times New Roman"/>
                <w:sz w:val="20"/>
                <w:szCs w:val="20"/>
              </w:rPr>
              <w:t>(j) Return on Capital employed</w:t>
            </w:r>
          </w:p>
        </w:tc>
        <w:tc>
          <w:tcPr>
            <w:tcW w:w="2252" w:type="dxa"/>
            <w:tcBorders>
              <w:top w:val="single" w:sz="4" w:space="0" w:color="auto"/>
              <w:left w:val="nil"/>
              <w:right w:val="single" w:sz="8" w:space="0" w:color="auto"/>
            </w:tcBorders>
            <w:shd w:val="clear" w:color="000000" w:fill="FFFFFF"/>
            <w:noWrap/>
            <w:vAlign w:val="bottom"/>
            <w:hideMark/>
          </w:tcPr>
          <w:p w14:paraId="4A767801" w14:textId="77777777" w:rsidR="0083687D" w:rsidRPr="00634FDB" w:rsidRDefault="0083687D" w:rsidP="00250DAC">
            <w:pPr>
              <w:spacing w:after="0" w:line="240" w:lineRule="auto"/>
              <w:jc w:val="center"/>
              <w:rPr>
                <w:rFonts w:ascii="Times New Roman" w:hAnsi="Times New Roman"/>
                <w:sz w:val="20"/>
                <w:szCs w:val="20"/>
                <w:u w:val="single"/>
              </w:rPr>
            </w:pPr>
            <w:r w:rsidRPr="00634FDB">
              <w:rPr>
                <w:rFonts w:ascii="Times New Roman" w:hAnsi="Times New Roman"/>
                <w:sz w:val="20"/>
                <w:szCs w:val="20"/>
                <w:u w:val="single"/>
              </w:rPr>
              <w:t>Net Profit</w:t>
            </w:r>
          </w:p>
        </w:tc>
        <w:tc>
          <w:tcPr>
            <w:tcW w:w="1220" w:type="dxa"/>
            <w:vMerge w:val="restart"/>
            <w:tcBorders>
              <w:top w:val="nil"/>
              <w:left w:val="single" w:sz="8" w:space="0" w:color="auto"/>
              <w:bottom w:val="single" w:sz="4" w:space="0" w:color="auto"/>
              <w:right w:val="single" w:sz="8" w:space="0" w:color="auto"/>
            </w:tcBorders>
            <w:shd w:val="clear" w:color="000000" w:fill="FFFFFF"/>
            <w:noWrap/>
            <w:vAlign w:val="center"/>
            <w:hideMark/>
          </w:tcPr>
          <w:p w14:paraId="3DE6A936"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10.38</w:t>
            </w:r>
          </w:p>
        </w:tc>
        <w:tc>
          <w:tcPr>
            <w:tcW w:w="1313" w:type="dxa"/>
            <w:vMerge w:val="restart"/>
            <w:tcBorders>
              <w:top w:val="nil"/>
              <w:left w:val="single" w:sz="8" w:space="0" w:color="auto"/>
              <w:bottom w:val="single" w:sz="4" w:space="0" w:color="auto"/>
              <w:right w:val="single" w:sz="8" w:space="0" w:color="auto"/>
            </w:tcBorders>
            <w:shd w:val="clear" w:color="000000" w:fill="FFFFFF"/>
            <w:noWrap/>
            <w:vAlign w:val="center"/>
            <w:hideMark/>
          </w:tcPr>
          <w:p w14:paraId="54F65734"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5.39</w:t>
            </w:r>
          </w:p>
        </w:tc>
        <w:tc>
          <w:tcPr>
            <w:tcW w:w="1126" w:type="dxa"/>
            <w:vMerge w:val="restart"/>
            <w:tcBorders>
              <w:top w:val="nil"/>
              <w:left w:val="single" w:sz="8" w:space="0" w:color="auto"/>
              <w:bottom w:val="single" w:sz="4" w:space="0" w:color="auto"/>
              <w:right w:val="single" w:sz="8" w:space="0" w:color="auto"/>
            </w:tcBorders>
            <w:shd w:val="clear" w:color="000000" w:fill="FFFFFF"/>
            <w:noWrap/>
            <w:vAlign w:val="center"/>
            <w:hideMark/>
          </w:tcPr>
          <w:p w14:paraId="097C56E3"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92.65%</w:t>
            </w:r>
          </w:p>
        </w:tc>
        <w:tc>
          <w:tcPr>
            <w:tcW w:w="2738" w:type="dxa"/>
            <w:vMerge w:val="restart"/>
            <w:tcBorders>
              <w:top w:val="nil"/>
              <w:left w:val="single" w:sz="8" w:space="0" w:color="auto"/>
              <w:bottom w:val="single" w:sz="4" w:space="0" w:color="000000"/>
              <w:right w:val="single" w:sz="8" w:space="0" w:color="auto"/>
            </w:tcBorders>
            <w:shd w:val="clear" w:color="000000" w:fill="FFFFFF"/>
            <w:vAlign w:val="center"/>
            <w:hideMark/>
          </w:tcPr>
          <w:p w14:paraId="021DF2A6" w14:textId="77777777" w:rsidR="0083687D" w:rsidRPr="00634FDB" w:rsidRDefault="0083687D" w:rsidP="00250DAC">
            <w:pPr>
              <w:spacing w:after="0" w:line="240" w:lineRule="auto"/>
              <w:jc w:val="both"/>
              <w:rPr>
                <w:rFonts w:ascii="Times New Roman" w:hAnsi="Times New Roman"/>
                <w:sz w:val="20"/>
                <w:szCs w:val="20"/>
              </w:rPr>
            </w:pPr>
            <w:r w:rsidRPr="00634FDB">
              <w:rPr>
                <w:rFonts w:ascii="Times New Roman" w:hAnsi="Times New Roman"/>
                <w:sz w:val="20"/>
                <w:szCs w:val="20"/>
              </w:rPr>
              <w:t>As per our opinion, the increase in Ratio is due to increase in income in Current year as compared to last year.</w:t>
            </w:r>
          </w:p>
        </w:tc>
      </w:tr>
      <w:tr w:rsidR="0083687D" w:rsidRPr="00634FDB" w14:paraId="5CD98629" w14:textId="77777777" w:rsidTr="0083687D">
        <w:trPr>
          <w:trHeight w:val="20"/>
        </w:trPr>
        <w:tc>
          <w:tcPr>
            <w:tcW w:w="1871" w:type="dxa"/>
            <w:vMerge/>
            <w:tcBorders>
              <w:top w:val="nil"/>
              <w:left w:val="single" w:sz="8" w:space="0" w:color="auto"/>
              <w:bottom w:val="single" w:sz="4" w:space="0" w:color="auto"/>
              <w:right w:val="single" w:sz="8" w:space="0" w:color="auto"/>
            </w:tcBorders>
            <w:vAlign w:val="center"/>
            <w:hideMark/>
          </w:tcPr>
          <w:p w14:paraId="5DA260E8" w14:textId="77777777" w:rsidR="0083687D" w:rsidRPr="00634FDB" w:rsidRDefault="0083687D" w:rsidP="00250DAC">
            <w:pPr>
              <w:spacing w:after="0" w:line="240" w:lineRule="auto"/>
              <w:jc w:val="both"/>
              <w:rPr>
                <w:rFonts w:ascii="Times New Roman" w:hAnsi="Times New Roman"/>
                <w:sz w:val="20"/>
                <w:szCs w:val="20"/>
              </w:rPr>
            </w:pPr>
          </w:p>
        </w:tc>
        <w:tc>
          <w:tcPr>
            <w:tcW w:w="2252" w:type="dxa"/>
            <w:tcBorders>
              <w:top w:val="nil"/>
              <w:left w:val="nil"/>
              <w:bottom w:val="single" w:sz="4" w:space="0" w:color="auto"/>
              <w:right w:val="single" w:sz="8" w:space="0" w:color="auto"/>
            </w:tcBorders>
            <w:shd w:val="clear" w:color="000000" w:fill="FFFFFF"/>
            <w:noWrap/>
            <w:hideMark/>
          </w:tcPr>
          <w:p w14:paraId="396C9F64"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Capital Employed</w:t>
            </w:r>
          </w:p>
        </w:tc>
        <w:tc>
          <w:tcPr>
            <w:tcW w:w="1220" w:type="dxa"/>
            <w:vMerge/>
            <w:tcBorders>
              <w:top w:val="nil"/>
              <w:left w:val="single" w:sz="8" w:space="0" w:color="auto"/>
              <w:bottom w:val="single" w:sz="4" w:space="0" w:color="auto"/>
              <w:right w:val="single" w:sz="8" w:space="0" w:color="auto"/>
            </w:tcBorders>
            <w:vAlign w:val="center"/>
            <w:hideMark/>
          </w:tcPr>
          <w:p w14:paraId="172B8384" w14:textId="77777777" w:rsidR="0083687D" w:rsidRPr="00634FDB" w:rsidRDefault="0083687D" w:rsidP="00250DAC">
            <w:pPr>
              <w:spacing w:after="0" w:line="240" w:lineRule="auto"/>
              <w:jc w:val="center"/>
              <w:rPr>
                <w:rFonts w:ascii="Times New Roman" w:hAnsi="Times New Roman"/>
                <w:sz w:val="20"/>
                <w:szCs w:val="20"/>
              </w:rPr>
            </w:pPr>
          </w:p>
        </w:tc>
        <w:tc>
          <w:tcPr>
            <w:tcW w:w="1313" w:type="dxa"/>
            <w:vMerge/>
            <w:tcBorders>
              <w:top w:val="nil"/>
              <w:left w:val="single" w:sz="8" w:space="0" w:color="auto"/>
              <w:bottom w:val="single" w:sz="4" w:space="0" w:color="auto"/>
              <w:right w:val="single" w:sz="8" w:space="0" w:color="auto"/>
            </w:tcBorders>
            <w:vAlign w:val="center"/>
            <w:hideMark/>
          </w:tcPr>
          <w:p w14:paraId="7B611DAA" w14:textId="77777777" w:rsidR="0083687D" w:rsidRPr="00634FDB" w:rsidRDefault="0083687D" w:rsidP="00250DAC">
            <w:pPr>
              <w:spacing w:after="0" w:line="240" w:lineRule="auto"/>
              <w:jc w:val="center"/>
              <w:rPr>
                <w:rFonts w:ascii="Times New Roman" w:hAnsi="Times New Roman"/>
                <w:sz w:val="20"/>
                <w:szCs w:val="20"/>
              </w:rPr>
            </w:pPr>
          </w:p>
        </w:tc>
        <w:tc>
          <w:tcPr>
            <w:tcW w:w="1126" w:type="dxa"/>
            <w:vMerge/>
            <w:tcBorders>
              <w:top w:val="nil"/>
              <w:left w:val="single" w:sz="8" w:space="0" w:color="auto"/>
              <w:bottom w:val="single" w:sz="4" w:space="0" w:color="auto"/>
              <w:right w:val="single" w:sz="8" w:space="0" w:color="auto"/>
            </w:tcBorders>
            <w:vAlign w:val="center"/>
            <w:hideMark/>
          </w:tcPr>
          <w:p w14:paraId="57BC043C" w14:textId="77777777" w:rsidR="0083687D" w:rsidRPr="00634FDB" w:rsidRDefault="0083687D" w:rsidP="00250DAC">
            <w:pPr>
              <w:spacing w:after="0" w:line="240" w:lineRule="auto"/>
              <w:jc w:val="center"/>
              <w:rPr>
                <w:rFonts w:ascii="Times New Roman" w:hAnsi="Times New Roman"/>
                <w:sz w:val="20"/>
                <w:szCs w:val="20"/>
              </w:rPr>
            </w:pPr>
          </w:p>
        </w:tc>
        <w:tc>
          <w:tcPr>
            <w:tcW w:w="2738" w:type="dxa"/>
            <w:vMerge/>
            <w:tcBorders>
              <w:top w:val="nil"/>
              <w:left w:val="single" w:sz="8" w:space="0" w:color="auto"/>
              <w:bottom w:val="single" w:sz="4" w:space="0" w:color="000000"/>
              <w:right w:val="single" w:sz="8" w:space="0" w:color="auto"/>
            </w:tcBorders>
            <w:vAlign w:val="center"/>
            <w:hideMark/>
          </w:tcPr>
          <w:p w14:paraId="62FB46D7" w14:textId="77777777" w:rsidR="0083687D" w:rsidRPr="00634FDB" w:rsidRDefault="0083687D" w:rsidP="00250DAC">
            <w:pPr>
              <w:spacing w:after="0" w:line="240" w:lineRule="auto"/>
              <w:jc w:val="both"/>
              <w:rPr>
                <w:rFonts w:ascii="Times New Roman" w:hAnsi="Times New Roman"/>
                <w:sz w:val="20"/>
                <w:szCs w:val="20"/>
              </w:rPr>
            </w:pPr>
          </w:p>
        </w:tc>
      </w:tr>
      <w:tr w:rsidR="0083687D" w:rsidRPr="00634FDB" w14:paraId="03E53ECF" w14:textId="77777777" w:rsidTr="0083687D">
        <w:trPr>
          <w:trHeight w:val="437"/>
        </w:trPr>
        <w:tc>
          <w:tcPr>
            <w:tcW w:w="1871" w:type="dxa"/>
            <w:vMerge w:val="restart"/>
            <w:tcBorders>
              <w:top w:val="nil"/>
              <w:left w:val="single" w:sz="8" w:space="0" w:color="auto"/>
              <w:bottom w:val="single" w:sz="4" w:space="0" w:color="auto"/>
              <w:right w:val="single" w:sz="8" w:space="0" w:color="auto"/>
            </w:tcBorders>
            <w:shd w:val="clear" w:color="000000" w:fill="FFFFFF"/>
            <w:noWrap/>
            <w:vAlign w:val="center"/>
            <w:hideMark/>
          </w:tcPr>
          <w:p w14:paraId="1FFCCDDB" w14:textId="77777777" w:rsidR="0083687D" w:rsidRPr="00634FDB" w:rsidRDefault="0083687D" w:rsidP="00250DAC">
            <w:pPr>
              <w:spacing w:after="0" w:line="240" w:lineRule="auto"/>
              <w:jc w:val="both"/>
              <w:rPr>
                <w:rFonts w:ascii="Times New Roman" w:hAnsi="Times New Roman"/>
                <w:sz w:val="20"/>
                <w:szCs w:val="20"/>
              </w:rPr>
            </w:pPr>
            <w:r w:rsidRPr="00634FDB">
              <w:rPr>
                <w:rFonts w:ascii="Times New Roman" w:hAnsi="Times New Roman"/>
                <w:sz w:val="20"/>
                <w:szCs w:val="20"/>
              </w:rPr>
              <w:t>(k) Return on investment (%)</w:t>
            </w:r>
          </w:p>
        </w:tc>
        <w:tc>
          <w:tcPr>
            <w:tcW w:w="2252" w:type="dxa"/>
            <w:tcBorders>
              <w:top w:val="single" w:sz="4" w:space="0" w:color="auto"/>
              <w:left w:val="nil"/>
              <w:right w:val="single" w:sz="8" w:space="0" w:color="auto"/>
            </w:tcBorders>
            <w:shd w:val="clear" w:color="000000" w:fill="FFFFFF"/>
            <w:noWrap/>
            <w:vAlign w:val="bottom"/>
            <w:hideMark/>
          </w:tcPr>
          <w:p w14:paraId="407200CF" w14:textId="77777777" w:rsidR="0083687D" w:rsidRPr="00634FDB" w:rsidRDefault="0083687D" w:rsidP="00250DAC">
            <w:pPr>
              <w:spacing w:after="0" w:line="240" w:lineRule="auto"/>
              <w:jc w:val="center"/>
              <w:rPr>
                <w:rFonts w:ascii="Times New Roman" w:hAnsi="Times New Roman"/>
                <w:sz w:val="20"/>
                <w:szCs w:val="20"/>
                <w:u w:val="single"/>
              </w:rPr>
            </w:pPr>
            <w:r w:rsidRPr="00634FDB">
              <w:rPr>
                <w:rFonts w:ascii="Times New Roman" w:hAnsi="Times New Roman"/>
                <w:sz w:val="20"/>
                <w:szCs w:val="20"/>
                <w:u w:val="single"/>
              </w:rPr>
              <w:t>Return on Investment</w:t>
            </w:r>
          </w:p>
        </w:tc>
        <w:tc>
          <w:tcPr>
            <w:tcW w:w="1220" w:type="dxa"/>
            <w:vMerge w:val="restart"/>
            <w:tcBorders>
              <w:top w:val="nil"/>
              <w:left w:val="single" w:sz="8" w:space="0" w:color="auto"/>
              <w:bottom w:val="single" w:sz="4" w:space="0" w:color="auto"/>
              <w:right w:val="single" w:sz="8" w:space="0" w:color="auto"/>
            </w:tcBorders>
            <w:shd w:val="clear" w:color="000000" w:fill="FFFFFF"/>
            <w:noWrap/>
            <w:vAlign w:val="center"/>
            <w:hideMark/>
          </w:tcPr>
          <w:p w14:paraId="7095CC27"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w:t>
            </w:r>
          </w:p>
        </w:tc>
        <w:tc>
          <w:tcPr>
            <w:tcW w:w="1313" w:type="dxa"/>
            <w:vMerge w:val="restart"/>
            <w:tcBorders>
              <w:top w:val="nil"/>
              <w:left w:val="single" w:sz="8" w:space="0" w:color="auto"/>
              <w:bottom w:val="single" w:sz="4" w:space="0" w:color="auto"/>
              <w:right w:val="single" w:sz="8" w:space="0" w:color="auto"/>
            </w:tcBorders>
            <w:shd w:val="clear" w:color="000000" w:fill="FFFFFF"/>
            <w:noWrap/>
            <w:vAlign w:val="center"/>
            <w:hideMark/>
          </w:tcPr>
          <w:p w14:paraId="3DC5F4E5"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w:t>
            </w:r>
          </w:p>
        </w:tc>
        <w:tc>
          <w:tcPr>
            <w:tcW w:w="1126" w:type="dxa"/>
            <w:vMerge w:val="restart"/>
            <w:tcBorders>
              <w:top w:val="nil"/>
              <w:left w:val="single" w:sz="8" w:space="0" w:color="auto"/>
              <w:bottom w:val="single" w:sz="4" w:space="0" w:color="auto"/>
              <w:right w:val="single" w:sz="8" w:space="0" w:color="auto"/>
            </w:tcBorders>
            <w:shd w:val="clear" w:color="000000" w:fill="FFFFFF"/>
            <w:noWrap/>
            <w:vAlign w:val="center"/>
            <w:hideMark/>
          </w:tcPr>
          <w:p w14:paraId="6E50D16D" w14:textId="77777777" w:rsidR="0083687D" w:rsidRPr="00634FDB" w:rsidRDefault="0083687D" w:rsidP="00250DAC">
            <w:pPr>
              <w:spacing w:after="0" w:line="240" w:lineRule="auto"/>
              <w:jc w:val="center"/>
              <w:rPr>
                <w:rFonts w:ascii="Times New Roman" w:hAnsi="Times New Roman"/>
                <w:sz w:val="20"/>
                <w:szCs w:val="20"/>
              </w:rPr>
            </w:pPr>
            <w:r>
              <w:rPr>
                <w:rFonts w:ascii="Times New Roman" w:hAnsi="Times New Roman"/>
                <w:sz w:val="20"/>
                <w:szCs w:val="20"/>
              </w:rPr>
              <w:t>-</w:t>
            </w:r>
          </w:p>
        </w:tc>
        <w:tc>
          <w:tcPr>
            <w:tcW w:w="2738"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D7F3371" w14:textId="77777777" w:rsidR="0083687D" w:rsidRPr="00634FDB" w:rsidRDefault="0083687D" w:rsidP="00250DAC">
            <w:pPr>
              <w:spacing w:after="0" w:line="240" w:lineRule="auto"/>
              <w:jc w:val="both"/>
              <w:rPr>
                <w:rFonts w:ascii="Times New Roman" w:hAnsi="Times New Roman"/>
                <w:sz w:val="20"/>
                <w:szCs w:val="20"/>
              </w:rPr>
            </w:pPr>
            <w:r w:rsidRPr="00634FDB">
              <w:rPr>
                <w:rFonts w:ascii="Times New Roman" w:hAnsi="Times New Roman"/>
                <w:sz w:val="20"/>
                <w:szCs w:val="20"/>
              </w:rPr>
              <w:t>The increase in Return of Investment is due to increase in Net Income after Tax as compared to last year.</w:t>
            </w:r>
          </w:p>
        </w:tc>
      </w:tr>
      <w:tr w:rsidR="0083687D" w:rsidRPr="00634FDB" w14:paraId="0B76D463" w14:textId="77777777" w:rsidTr="0083687D">
        <w:trPr>
          <w:trHeight w:val="20"/>
        </w:trPr>
        <w:tc>
          <w:tcPr>
            <w:tcW w:w="1871" w:type="dxa"/>
            <w:vMerge/>
            <w:tcBorders>
              <w:top w:val="nil"/>
              <w:left w:val="single" w:sz="8" w:space="0" w:color="auto"/>
              <w:bottom w:val="single" w:sz="4" w:space="0" w:color="auto"/>
              <w:right w:val="single" w:sz="8" w:space="0" w:color="auto"/>
            </w:tcBorders>
            <w:vAlign w:val="center"/>
            <w:hideMark/>
          </w:tcPr>
          <w:p w14:paraId="0CA74CFD" w14:textId="77777777" w:rsidR="0083687D" w:rsidRPr="00634FDB" w:rsidRDefault="0083687D" w:rsidP="00250DAC">
            <w:pPr>
              <w:spacing w:after="0" w:line="240" w:lineRule="auto"/>
              <w:jc w:val="both"/>
              <w:rPr>
                <w:rFonts w:ascii="Times New Roman" w:hAnsi="Times New Roman"/>
                <w:sz w:val="20"/>
                <w:szCs w:val="20"/>
              </w:rPr>
            </w:pPr>
          </w:p>
        </w:tc>
        <w:tc>
          <w:tcPr>
            <w:tcW w:w="2252" w:type="dxa"/>
            <w:tcBorders>
              <w:top w:val="nil"/>
              <w:left w:val="nil"/>
              <w:bottom w:val="single" w:sz="4" w:space="0" w:color="auto"/>
              <w:right w:val="single" w:sz="8" w:space="0" w:color="auto"/>
            </w:tcBorders>
            <w:shd w:val="clear" w:color="000000" w:fill="FFFFFF"/>
            <w:noWrap/>
            <w:hideMark/>
          </w:tcPr>
          <w:p w14:paraId="09414BD2" w14:textId="77777777" w:rsidR="0083687D" w:rsidRPr="00634FDB" w:rsidRDefault="0083687D" w:rsidP="00250DAC">
            <w:pPr>
              <w:spacing w:after="0" w:line="240" w:lineRule="auto"/>
              <w:jc w:val="center"/>
              <w:rPr>
                <w:rFonts w:ascii="Times New Roman" w:hAnsi="Times New Roman"/>
                <w:sz w:val="20"/>
                <w:szCs w:val="20"/>
              </w:rPr>
            </w:pPr>
            <w:r w:rsidRPr="00634FDB">
              <w:rPr>
                <w:rFonts w:ascii="Times New Roman" w:hAnsi="Times New Roman"/>
                <w:sz w:val="20"/>
                <w:szCs w:val="20"/>
              </w:rPr>
              <w:t>Total Investment</w:t>
            </w:r>
          </w:p>
        </w:tc>
        <w:tc>
          <w:tcPr>
            <w:tcW w:w="1220" w:type="dxa"/>
            <w:vMerge/>
            <w:tcBorders>
              <w:top w:val="nil"/>
              <w:left w:val="single" w:sz="8" w:space="0" w:color="auto"/>
              <w:bottom w:val="single" w:sz="4" w:space="0" w:color="auto"/>
              <w:right w:val="single" w:sz="8" w:space="0" w:color="auto"/>
            </w:tcBorders>
            <w:vAlign w:val="center"/>
            <w:hideMark/>
          </w:tcPr>
          <w:p w14:paraId="29067CD3" w14:textId="77777777" w:rsidR="0083687D" w:rsidRPr="00634FDB" w:rsidRDefault="0083687D" w:rsidP="00250DAC">
            <w:pPr>
              <w:spacing w:after="0" w:line="240" w:lineRule="auto"/>
              <w:rPr>
                <w:rFonts w:ascii="Times New Roman" w:hAnsi="Times New Roman"/>
                <w:sz w:val="20"/>
                <w:szCs w:val="20"/>
              </w:rPr>
            </w:pPr>
          </w:p>
        </w:tc>
        <w:tc>
          <w:tcPr>
            <w:tcW w:w="1313" w:type="dxa"/>
            <w:vMerge/>
            <w:tcBorders>
              <w:top w:val="nil"/>
              <w:left w:val="single" w:sz="8" w:space="0" w:color="auto"/>
              <w:bottom w:val="single" w:sz="4" w:space="0" w:color="auto"/>
              <w:right w:val="single" w:sz="8" w:space="0" w:color="auto"/>
            </w:tcBorders>
            <w:vAlign w:val="center"/>
            <w:hideMark/>
          </w:tcPr>
          <w:p w14:paraId="78EF73B4" w14:textId="77777777" w:rsidR="0083687D" w:rsidRPr="00634FDB" w:rsidRDefault="0083687D" w:rsidP="00250DAC">
            <w:pPr>
              <w:spacing w:after="0" w:line="240" w:lineRule="auto"/>
              <w:rPr>
                <w:rFonts w:ascii="Times New Roman" w:hAnsi="Times New Roman"/>
                <w:sz w:val="20"/>
                <w:szCs w:val="20"/>
              </w:rPr>
            </w:pPr>
          </w:p>
        </w:tc>
        <w:tc>
          <w:tcPr>
            <w:tcW w:w="1126" w:type="dxa"/>
            <w:vMerge/>
            <w:tcBorders>
              <w:top w:val="nil"/>
              <w:left w:val="single" w:sz="8" w:space="0" w:color="auto"/>
              <w:bottom w:val="single" w:sz="4" w:space="0" w:color="auto"/>
              <w:right w:val="single" w:sz="8" w:space="0" w:color="auto"/>
            </w:tcBorders>
            <w:vAlign w:val="center"/>
            <w:hideMark/>
          </w:tcPr>
          <w:p w14:paraId="1536C46B" w14:textId="77777777" w:rsidR="0083687D" w:rsidRPr="00634FDB" w:rsidRDefault="0083687D" w:rsidP="00250DAC">
            <w:pPr>
              <w:spacing w:after="0" w:line="240" w:lineRule="auto"/>
              <w:rPr>
                <w:rFonts w:ascii="Times New Roman" w:hAnsi="Times New Roman"/>
                <w:sz w:val="20"/>
                <w:szCs w:val="20"/>
              </w:rPr>
            </w:pPr>
          </w:p>
        </w:tc>
        <w:tc>
          <w:tcPr>
            <w:tcW w:w="2738" w:type="dxa"/>
            <w:vMerge/>
            <w:tcBorders>
              <w:top w:val="nil"/>
              <w:left w:val="single" w:sz="8" w:space="0" w:color="auto"/>
              <w:bottom w:val="single" w:sz="8" w:space="0" w:color="000000"/>
              <w:right w:val="single" w:sz="8" w:space="0" w:color="auto"/>
            </w:tcBorders>
            <w:vAlign w:val="center"/>
            <w:hideMark/>
          </w:tcPr>
          <w:p w14:paraId="7119F271" w14:textId="77777777" w:rsidR="0083687D" w:rsidRPr="00634FDB" w:rsidRDefault="0083687D" w:rsidP="00250DAC">
            <w:pPr>
              <w:spacing w:after="0" w:line="240" w:lineRule="auto"/>
              <w:jc w:val="both"/>
              <w:rPr>
                <w:rFonts w:ascii="Times New Roman" w:hAnsi="Times New Roman"/>
                <w:sz w:val="20"/>
                <w:szCs w:val="20"/>
              </w:rPr>
            </w:pPr>
          </w:p>
        </w:tc>
      </w:tr>
    </w:tbl>
    <w:p w14:paraId="4311E67A" w14:textId="23108ABD" w:rsidR="007A781D" w:rsidRDefault="007A781D">
      <w:pPr>
        <w:spacing w:after="160" w:line="259" w:lineRule="auto"/>
        <w:rPr>
          <w:sz w:val="20"/>
          <w:szCs w:val="20"/>
        </w:rPr>
      </w:pPr>
      <w:r>
        <w:rPr>
          <w:sz w:val="20"/>
          <w:szCs w:val="20"/>
        </w:rPr>
        <w:br w:type="page"/>
      </w:r>
    </w:p>
    <w:p w14:paraId="07078C13" w14:textId="3E10FEF8" w:rsidR="007A781D" w:rsidRDefault="007A781D" w:rsidP="007A781D">
      <w:pPr>
        <w:spacing w:after="0" w:line="259" w:lineRule="auto"/>
        <w:contextualSpacing/>
        <w:jc w:val="center"/>
        <w:rPr>
          <w:rFonts w:ascii="Times New Roman" w:hAnsi="Times New Roman"/>
          <w:b/>
          <w:bCs/>
          <w:sz w:val="20"/>
          <w:szCs w:val="20"/>
          <w:u w:val="single"/>
        </w:rPr>
      </w:pPr>
      <w:r w:rsidRPr="007A781D">
        <w:rPr>
          <w:rFonts w:ascii="Times New Roman" w:hAnsi="Times New Roman"/>
          <w:b/>
          <w:bCs/>
          <w:sz w:val="20"/>
          <w:szCs w:val="20"/>
          <w:u w:val="single"/>
        </w:rPr>
        <w:lastRenderedPageBreak/>
        <w:t>OTHER FINANCIAL INFORMATION</w:t>
      </w:r>
    </w:p>
    <w:p w14:paraId="09F52DF7" w14:textId="77777777" w:rsidR="007A781D" w:rsidRDefault="007A781D" w:rsidP="007A781D">
      <w:pPr>
        <w:spacing w:after="0" w:line="259" w:lineRule="auto"/>
        <w:contextualSpacing/>
        <w:jc w:val="center"/>
        <w:rPr>
          <w:rFonts w:ascii="Times New Roman" w:hAnsi="Times New Roman"/>
          <w:b/>
          <w:bCs/>
          <w:sz w:val="20"/>
          <w:szCs w:val="20"/>
          <w:u w:val="single"/>
        </w:rPr>
      </w:pPr>
    </w:p>
    <w:p w14:paraId="2A18E1F0" w14:textId="1CB40393" w:rsidR="007A781D" w:rsidRPr="007A781D" w:rsidRDefault="007A781D" w:rsidP="007A781D">
      <w:pPr>
        <w:spacing w:after="0" w:line="259" w:lineRule="auto"/>
        <w:contextualSpacing/>
        <w:jc w:val="both"/>
        <w:rPr>
          <w:rFonts w:ascii="Times New Roman" w:hAnsi="Times New Roman"/>
          <w:sz w:val="20"/>
          <w:szCs w:val="20"/>
        </w:rPr>
      </w:pPr>
      <w:r w:rsidRPr="007A781D">
        <w:rPr>
          <w:rFonts w:ascii="Times New Roman" w:hAnsi="Times New Roman"/>
          <w:sz w:val="20"/>
          <w:szCs w:val="20"/>
        </w:rPr>
        <w:t>The audited financial statements of our Company as at and for the financial year ended March 31, 2023, March 31, 2022 and March</w:t>
      </w:r>
      <w:r>
        <w:rPr>
          <w:rFonts w:ascii="Times New Roman" w:hAnsi="Times New Roman"/>
          <w:sz w:val="20"/>
          <w:szCs w:val="20"/>
        </w:rPr>
        <w:t xml:space="preserve"> </w:t>
      </w:r>
      <w:r w:rsidRPr="007A781D">
        <w:rPr>
          <w:rFonts w:ascii="Times New Roman" w:hAnsi="Times New Roman"/>
          <w:sz w:val="20"/>
          <w:szCs w:val="20"/>
        </w:rPr>
        <w:t>31, 2021 and their respective Audit reports thereon (Audited Financial Statements) are available at</w:t>
      </w:r>
      <w:r w:rsidRPr="007A781D">
        <w:t xml:space="preserve"> </w:t>
      </w:r>
      <w:hyperlink r:id="rId85" w:history="1">
        <w:r w:rsidRPr="00241637">
          <w:rPr>
            <w:rStyle w:val="Hyperlink"/>
            <w:rFonts w:ascii="Times New Roman" w:hAnsi="Times New Roman"/>
            <w:sz w:val="20"/>
            <w:szCs w:val="20"/>
          </w:rPr>
          <w:t>www.siyaramindustries.co.in</w:t>
        </w:r>
      </w:hyperlink>
      <w:r>
        <w:rPr>
          <w:rFonts w:ascii="Times New Roman" w:hAnsi="Times New Roman"/>
          <w:sz w:val="20"/>
          <w:szCs w:val="20"/>
        </w:rPr>
        <w:t xml:space="preserve">. </w:t>
      </w:r>
    </w:p>
    <w:p w14:paraId="676C4842" w14:textId="77777777" w:rsidR="007A781D" w:rsidRDefault="007A781D" w:rsidP="007A781D">
      <w:pPr>
        <w:spacing w:after="0" w:line="259" w:lineRule="auto"/>
        <w:contextualSpacing/>
        <w:jc w:val="both"/>
        <w:rPr>
          <w:rFonts w:ascii="Times New Roman" w:hAnsi="Times New Roman"/>
          <w:sz w:val="20"/>
          <w:szCs w:val="20"/>
        </w:rPr>
      </w:pPr>
    </w:p>
    <w:p w14:paraId="6BF4FBA3" w14:textId="77777777" w:rsidR="007A781D" w:rsidRDefault="007A781D" w:rsidP="007A781D">
      <w:pPr>
        <w:spacing w:after="0" w:line="259" w:lineRule="auto"/>
        <w:contextualSpacing/>
        <w:jc w:val="both"/>
        <w:rPr>
          <w:rFonts w:ascii="Times New Roman" w:hAnsi="Times New Roman"/>
          <w:sz w:val="20"/>
          <w:szCs w:val="20"/>
        </w:rPr>
      </w:pPr>
      <w:r w:rsidRPr="007A781D">
        <w:rPr>
          <w:rFonts w:ascii="Times New Roman" w:hAnsi="Times New Roman"/>
          <w:sz w:val="20"/>
          <w:szCs w:val="20"/>
        </w:rPr>
        <w:t>Our Company is providing a link to this website solely to comply with the requirements specified in the Securities and Exchange</w:t>
      </w:r>
      <w:r>
        <w:rPr>
          <w:rFonts w:ascii="Times New Roman" w:hAnsi="Times New Roman"/>
          <w:sz w:val="20"/>
          <w:szCs w:val="20"/>
        </w:rPr>
        <w:t xml:space="preserve"> </w:t>
      </w:r>
      <w:r w:rsidRPr="007A781D">
        <w:rPr>
          <w:rFonts w:ascii="Times New Roman" w:hAnsi="Times New Roman"/>
          <w:sz w:val="20"/>
          <w:szCs w:val="20"/>
        </w:rPr>
        <w:t>Board of India (Issue of Capital and Disclosure Requirement) Regulations, 2018. The Audited Financial Statements do not</w:t>
      </w:r>
      <w:r>
        <w:rPr>
          <w:rFonts w:ascii="Times New Roman" w:hAnsi="Times New Roman"/>
          <w:sz w:val="20"/>
          <w:szCs w:val="20"/>
        </w:rPr>
        <w:t xml:space="preserve"> </w:t>
      </w:r>
      <w:r w:rsidRPr="007A781D">
        <w:rPr>
          <w:rFonts w:ascii="Times New Roman" w:hAnsi="Times New Roman"/>
          <w:sz w:val="20"/>
          <w:szCs w:val="20"/>
        </w:rPr>
        <w:t>constitute, (i) a part of this Draft Red Herring Prospectus; or (ii) Red Herring Prospectus (iii) Prospectus, a statement in lieu of a</w:t>
      </w:r>
      <w:r>
        <w:rPr>
          <w:rFonts w:ascii="Times New Roman" w:hAnsi="Times New Roman"/>
          <w:sz w:val="20"/>
          <w:szCs w:val="20"/>
        </w:rPr>
        <w:t xml:space="preserve"> </w:t>
      </w:r>
      <w:r w:rsidRPr="007A781D">
        <w:rPr>
          <w:rFonts w:ascii="Times New Roman" w:hAnsi="Times New Roman"/>
          <w:sz w:val="20"/>
          <w:szCs w:val="20"/>
        </w:rPr>
        <w:t>prospectus, an advertisement, an offer or a solicitation of any offer or an offer document to purchase or sell any securities under the</w:t>
      </w:r>
      <w:r>
        <w:rPr>
          <w:rFonts w:ascii="Times New Roman" w:hAnsi="Times New Roman"/>
          <w:sz w:val="20"/>
          <w:szCs w:val="20"/>
        </w:rPr>
        <w:t xml:space="preserve"> </w:t>
      </w:r>
      <w:r w:rsidRPr="007A781D">
        <w:rPr>
          <w:rFonts w:ascii="Times New Roman" w:hAnsi="Times New Roman"/>
          <w:sz w:val="20"/>
          <w:szCs w:val="20"/>
        </w:rPr>
        <w:t>Companies Act, 2013, the Securities and Exchange Board of India (Issue of Capital and Disclosure Requirement) Regulations, 2018,</w:t>
      </w:r>
      <w:r>
        <w:rPr>
          <w:rFonts w:ascii="Times New Roman" w:hAnsi="Times New Roman"/>
          <w:sz w:val="20"/>
          <w:szCs w:val="20"/>
        </w:rPr>
        <w:t xml:space="preserve"> </w:t>
      </w:r>
      <w:r w:rsidRPr="007A781D">
        <w:rPr>
          <w:rFonts w:ascii="Times New Roman" w:hAnsi="Times New Roman"/>
          <w:sz w:val="20"/>
          <w:szCs w:val="20"/>
        </w:rPr>
        <w:t>or any other applicable law in India or elsewhere in the world. The Audited Financial Statements should not be considered as part</w:t>
      </w:r>
      <w:r>
        <w:rPr>
          <w:rFonts w:ascii="Times New Roman" w:hAnsi="Times New Roman"/>
          <w:sz w:val="20"/>
          <w:szCs w:val="20"/>
        </w:rPr>
        <w:t xml:space="preserve"> </w:t>
      </w:r>
      <w:r w:rsidRPr="007A781D">
        <w:rPr>
          <w:rFonts w:ascii="Times New Roman" w:hAnsi="Times New Roman"/>
          <w:sz w:val="20"/>
          <w:szCs w:val="20"/>
        </w:rPr>
        <w:t>of information that any investor should consider subscribing for or purchase any securities of our Company and should not be relied</w:t>
      </w:r>
      <w:r>
        <w:rPr>
          <w:rFonts w:ascii="Times New Roman" w:hAnsi="Times New Roman"/>
          <w:sz w:val="20"/>
          <w:szCs w:val="20"/>
        </w:rPr>
        <w:t xml:space="preserve"> </w:t>
      </w:r>
      <w:r w:rsidRPr="007A781D">
        <w:rPr>
          <w:rFonts w:ascii="Times New Roman" w:hAnsi="Times New Roman"/>
          <w:sz w:val="20"/>
          <w:szCs w:val="20"/>
        </w:rPr>
        <w:t>upon or used as a basis for any investment decision. Neither our Company, nor BRLM, nor any of their respective employees,</w:t>
      </w:r>
      <w:r>
        <w:rPr>
          <w:rFonts w:ascii="Times New Roman" w:hAnsi="Times New Roman"/>
          <w:sz w:val="20"/>
          <w:szCs w:val="20"/>
        </w:rPr>
        <w:t xml:space="preserve"> </w:t>
      </w:r>
      <w:r w:rsidRPr="007A781D">
        <w:rPr>
          <w:rFonts w:ascii="Times New Roman" w:hAnsi="Times New Roman"/>
          <w:sz w:val="20"/>
          <w:szCs w:val="20"/>
        </w:rPr>
        <w:t>directors, affiliates, agents or representatives accept any liability whatsoever for any loss, direct or indirect, arising from any</w:t>
      </w:r>
      <w:r>
        <w:rPr>
          <w:rFonts w:ascii="Times New Roman" w:hAnsi="Times New Roman"/>
          <w:sz w:val="20"/>
          <w:szCs w:val="20"/>
        </w:rPr>
        <w:t xml:space="preserve"> </w:t>
      </w:r>
      <w:r w:rsidRPr="007A781D">
        <w:rPr>
          <w:rFonts w:ascii="Times New Roman" w:hAnsi="Times New Roman"/>
          <w:sz w:val="20"/>
          <w:szCs w:val="20"/>
        </w:rPr>
        <w:t>information presented or contained in the Audited Financial Statements, or the opinions expressed therein.</w:t>
      </w:r>
    </w:p>
    <w:p w14:paraId="6C158068" w14:textId="77777777" w:rsidR="007A781D" w:rsidRDefault="007A781D" w:rsidP="007A781D">
      <w:pPr>
        <w:spacing w:after="0" w:line="259" w:lineRule="auto"/>
        <w:contextualSpacing/>
        <w:jc w:val="both"/>
        <w:rPr>
          <w:rFonts w:ascii="Times New Roman" w:hAnsi="Times New Roman"/>
          <w:sz w:val="20"/>
          <w:szCs w:val="20"/>
        </w:rPr>
      </w:pPr>
    </w:p>
    <w:p w14:paraId="46D072DA" w14:textId="796380B5" w:rsidR="007A781D" w:rsidRDefault="007A781D" w:rsidP="007A781D">
      <w:pPr>
        <w:spacing w:after="0" w:line="259" w:lineRule="auto"/>
        <w:contextualSpacing/>
        <w:jc w:val="both"/>
        <w:rPr>
          <w:rFonts w:ascii="Times New Roman" w:hAnsi="Times New Roman"/>
          <w:sz w:val="20"/>
          <w:szCs w:val="20"/>
        </w:rPr>
      </w:pPr>
      <w:r w:rsidRPr="007A781D">
        <w:rPr>
          <w:rFonts w:ascii="Times New Roman" w:hAnsi="Times New Roman"/>
          <w:sz w:val="20"/>
          <w:szCs w:val="20"/>
        </w:rPr>
        <w:t xml:space="preserve">The accounting ratios required under Clause 11 of Part A of Schedule VI of the SEBI ICDR Regulations are given below: </w:t>
      </w:r>
    </w:p>
    <w:p w14:paraId="70FF2870" w14:textId="77777777" w:rsidR="007A781D" w:rsidRDefault="007A781D" w:rsidP="007A781D">
      <w:pPr>
        <w:spacing w:after="0" w:line="259" w:lineRule="auto"/>
        <w:contextualSpacing/>
        <w:jc w:val="both"/>
        <w:rPr>
          <w:rFonts w:ascii="Times New Roman" w:hAnsi="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6"/>
        <w:gridCol w:w="1468"/>
        <w:gridCol w:w="1269"/>
        <w:gridCol w:w="1363"/>
      </w:tblGrid>
      <w:tr w:rsidR="007A781D" w:rsidRPr="00712F3C" w14:paraId="1C8B1975" w14:textId="77777777" w:rsidTr="007A781D">
        <w:trPr>
          <w:trHeight w:val="20"/>
        </w:trPr>
        <w:tc>
          <w:tcPr>
            <w:tcW w:w="3039"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068B07B" w14:textId="77777777" w:rsidR="007A781D" w:rsidRPr="00712F3C" w:rsidRDefault="007A781D" w:rsidP="00250DAC">
            <w:pPr>
              <w:spacing w:after="0" w:line="240" w:lineRule="auto"/>
              <w:jc w:val="center"/>
              <w:rPr>
                <w:rFonts w:ascii="Times New Roman" w:hAnsi="Times New Roman"/>
                <w:b/>
                <w:sz w:val="20"/>
                <w:szCs w:val="20"/>
              </w:rPr>
            </w:pPr>
            <w:r w:rsidRPr="00712F3C">
              <w:rPr>
                <w:rFonts w:ascii="Times New Roman" w:hAnsi="Times New Roman"/>
                <w:b/>
                <w:sz w:val="20"/>
                <w:szCs w:val="20"/>
              </w:rPr>
              <w:t>Particulars</w:t>
            </w:r>
          </w:p>
        </w:tc>
        <w:tc>
          <w:tcPr>
            <w:tcW w:w="702"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8D9E132" w14:textId="3E8BF059" w:rsidR="007A781D" w:rsidRPr="00712F3C" w:rsidRDefault="007A781D" w:rsidP="00250DAC">
            <w:pPr>
              <w:spacing w:after="0" w:line="240" w:lineRule="auto"/>
              <w:jc w:val="center"/>
              <w:rPr>
                <w:rFonts w:ascii="Times New Roman" w:hAnsi="Times New Roman"/>
                <w:b/>
                <w:sz w:val="20"/>
                <w:szCs w:val="20"/>
              </w:rPr>
            </w:pPr>
            <w:r w:rsidRPr="00712F3C">
              <w:rPr>
                <w:rFonts w:ascii="Times New Roman" w:hAnsi="Times New Roman"/>
                <w:b/>
                <w:sz w:val="20"/>
                <w:szCs w:val="20"/>
              </w:rPr>
              <w:t>March 31, 202</w:t>
            </w:r>
            <w:r>
              <w:rPr>
                <w:rFonts w:ascii="Times New Roman" w:hAnsi="Times New Roman"/>
                <w:b/>
                <w:sz w:val="20"/>
                <w:szCs w:val="20"/>
              </w:rPr>
              <w:t>3</w:t>
            </w:r>
          </w:p>
        </w:tc>
        <w:tc>
          <w:tcPr>
            <w:tcW w:w="607"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A13752" w14:textId="12811E8E" w:rsidR="007A781D" w:rsidRPr="00712F3C" w:rsidRDefault="007A781D" w:rsidP="00250DAC">
            <w:pPr>
              <w:spacing w:after="0" w:line="240" w:lineRule="auto"/>
              <w:jc w:val="center"/>
              <w:rPr>
                <w:rFonts w:ascii="Times New Roman" w:hAnsi="Times New Roman"/>
                <w:b/>
                <w:sz w:val="20"/>
                <w:szCs w:val="20"/>
              </w:rPr>
            </w:pPr>
            <w:r w:rsidRPr="00712F3C">
              <w:rPr>
                <w:rFonts w:ascii="Times New Roman" w:hAnsi="Times New Roman"/>
                <w:b/>
                <w:sz w:val="20"/>
                <w:szCs w:val="20"/>
              </w:rPr>
              <w:t>March 31, 202</w:t>
            </w:r>
            <w:r>
              <w:rPr>
                <w:rFonts w:ascii="Times New Roman" w:hAnsi="Times New Roman"/>
                <w:b/>
                <w:sz w:val="20"/>
                <w:szCs w:val="20"/>
              </w:rPr>
              <w:t>2</w:t>
            </w:r>
          </w:p>
        </w:tc>
        <w:tc>
          <w:tcPr>
            <w:tcW w:w="652"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8D41DE2" w14:textId="5B26AC23" w:rsidR="007A781D" w:rsidRPr="00712F3C" w:rsidRDefault="007A781D" w:rsidP="00250DAC">
            <w:pPr>
              <w:spacing w:after="0" w:line="240" w:lineRule="auto"/>
              <w:jc w:val="center"/>
              <w:rPr>
                <w:rFonts w:ascii="Times New Roman" w:hAnsi="Times New Roman"/>
                <w:b/>
                <w:sz w:val="20"/>
                <w:szCs w:val="20"/>
              </w:rPr>
            </w:pPr>
            <w:r w:rsidRPr="00712F3C">
              <w:rPr>
                <w:rFonts w:ascii="Times New Roman" w:hAnsi="Times New Roman"/>
                <w:b/>
                <w:sz w:val="20"/>
                <w:szCs w:val="20"/>
              </w:rPr>
              <w:t>March 31, 202</w:t>
            </w:r>
            <w:r>
              <w:rPr>
                <w:rFonts w:ascii="Times New Roman" w:hAnsi="Times New Roman"/>
                <w:b/>
                <w:sz w:val="20"/>
                <w:szCs w:val="20"/>
              </w:rPr>
              <w:t>1</w:t>
            </w:r>
          </w:p>
        </w:tc>
      </w:tr>
      <w:tr w:rsidR="007A781D" w:rsidRPr="00712F3C" w14:paraId="03AD9E76" w14:textId="77777777" w:rsidTr="007A781D">
        <w:trPr>
          <w:trHeight w:val="20"/>
        </w:trPr>
        <w:tc>
          <w:tcPr>
            <w:tcW w:w="3039" w:type="pct"/>
            <w:tcBorders>
              <w:top w:val="single" w:sz="4" w:space="0" w:color="auto"/>
              <w:left w:val="single" w:sz="4" w:space="0" w:color="auto"/>
              <w:bottom w:val="single" w:sz="4" w:space="0" w:color="auto"/>
              <w:right w:val="single" w:sz="4" w:space="0" w:color="auto"/>
            </w:tcBorders>
            <w:hideMark/>
          </w:tcPr>
          <w:p w14:paraId="1F5C5361" w14:textId="77777777" w:rsidR="007A781D" w:rsidRPr="00712F3C" w:rsidRDefault="007A781D" w:rsidP="00250DAC">
            <w:pPr>
              <w:spacing w:after="0" w:line="240" w:lineRule="auto"/>
              <w:jc w:val="both"/>
              <w:rPr>
                <w:rFonts w:ascii="Times New Roman" w:hAnsi="Times New Roman"/>
                <w:sz w:val="20"/>
                <w:szCs w:val="20"/>
              </w:rPr>
            </w:pPr>
            <w:r w:rsidRPr="00712F3C">
              <w:rPr>
                <w:rFonts w:ascii="Times New Roman" w:hAnsi="Times New Roman"/>
                <w:sz w:val="20"/>
                <w:szCs w:val="20"/>
              </w:rPr>
              <w:t>Profit After Tax (₹ in lakhs)</w:t>
            </w:r>
          </w:p>
        </w:tc>
        <w:tc>
          <w:tcPr>
            <w:tcW w:w="702" w:type="pct"/>
            <w:tcBorders>
              <w:top w:val="single" w:sz="4" w:space="0" w:color="auto"/>
              <w:left w:val="single" w:sz="4" w:space="0" w:color="auto"/>
              <w:bottom w:val="single" w:sz="4" w:space="0" w:color="auto"/>
              <w:right w:val="single" w:sz="4" w:space="0" w:color="auto"/>
            </w:tcBorders>
            <w:vAlign w:val="center"/>
          </w:tcPr>
          <w:p w14:paraId="382BAD73" w14:textId="61710953" w:rsidR="007A781D" w:rsidRPr="00712F3C" w:rsidRDefault="007A781D" w:rsidP="00250DAC">
            <w:pPr>
              <w:spacing w:after="0" w:line="240" w:lineRule="auto"/>
              <w:jc w:val="center"/>
              <w:rPr>
                <w:rFonts w:ascii="Times New Roman" w:hAnsi="Times New Roman"/>
                <w:sz w:val="20"/>
                <w:szCs w:val="20"/>
              </w:rPr>
            </w:pPr>
            <w:r>
              <w:rPr>
                <w:rFonts w:ascii="Times New Roman" w:hAnsi="Times New Roman"/>
                <w:sz w:val="20"/>
              </w:rPr>
              <w:t>765.42</w:t>
            </w:r>
          </w:p>
        </w:tc>
        <w:tc>
          <w:tcPr>
            <w:tcW w:w="607" w:type="pct"/>
            <w:tcBorders>
              <w:top w:val="single" w:sz="4" w:space="0" w:color="auto"/>
              <w:left w:val="single" w:sz="4" w:space="0" w:color="auto"/>
              <w:bottom w:val="single" w:sz="4" w:space="0" w:color="auto"/>
              <w:right w:val="single" w:sz="4" w:space="0" w:color="auto"/>
            </w:tcBorders>
            <w:vAlign w:val="center"/>
          </w:tcPr>
          <w:p w14:paraId="7EA9EEFD" w14:textId="160663B0" w:rsidR="007A781D" w:rsidRPr="00712F3C" w:rsidRDefault="007A781D" w:rsidP="00250DAC">
            <w:pPr>
              <w:spacing w:after="0" w:line="240" w:lineRule="auto"/>
              <w:jc w:val="center"/>
              <w:rPr>
                <w:rFonts w:ascii="Times New Roman" w:hAnsi="Times New Roman"/>
                <w:sz w:val="20"/>
                <w:szCs w:val="20"/>
              </w:rPr>
            </w:pPr>
            <w:r>
              <w:rPr>
                <w:rFonts w:ascii="Times New Roman" w:hAnsi="Times New Roman"/>
                <w:sz w:val="20"/>
              </w:rPr>
              <w:t>322.47</w:t>
            </w:r>
          </w:p>
        </w:tc>
        <w:tc>
          <w:tcPr>
            <w:tcW w:w="652" w:type="pct"/>
            <w:tcBorders>
              <w:top w:val="single" w:sz="4" w:space="0" w:color="auto"/>
              <w:left w:val="single" w:sz="4" w:space="0" w:color="auto"/>
              <w:bottom w:val="single" w:sz="4" w:space="0" w:color="auto"/>
              <w:right w:val="single" w:sz="4" w:space="0" w:color="auto"/>
            </w:tcBorders>
            <w:vAlign w:val="center"/>
          </w:tcPr>
          <w:p w14:paraId="5842546C" w14:textId="65625817" w:rsidR="007A781D" w:rsidRPr="00712F3C" w:rsidRDefault="007A781D" w:rsidP="00250DAC">
            <w:pPr>
              <w:spacing w:after="0" w:line="240" w:lineRule="auto"/>
              <w:jc w:val="center"/>
              <w:rPr>
                <w:rFonts w:ascii="Times New Roman" w:hAnsi="Times New Roman"/>
                <w:sz w:val="20"/>
                <w:szCs w:val="20"/>
              </w:rPr>
            </w:pPr>
            <w:r>
              <w:rPr>
                <w:rFonts w:ascii="Times New Roman" w:hAnsi="Times New Roman"/>
                <w:sz w:val="20"/>
              </w:rPr>
              <w:t>142.28</w:t>
            </w:r>
          </w:p>
        </w:tc>
      </w:tr>
      <w:tr w:rsidR="007A781D" w:rsidRPr="00712F3C" w14:paraId="041262F0" w14:textId="77777777" w:rsidTr="007A781D">
        <w:trPr>
          <w:trHeight w:val="20"/>
        </w:trPr>
        <w:tc>
          <w:tcPr>
            <w:tcW w:w="3039" w:type="pct"/>
            <w:tcBorders>
              <w:top w:val="single" w:sz="4" w:space="0" w:color="auto"/>
              <w:left w:val="single" w:sz="4" w:space="0" w:color="auto"/>
              <w:bottom w:val="single" w:sz="4" w:space="0" w:color="auto"/>
              <w:right w:val="single" w:sz="4" w:space="0" w:color="auto"/>
            </w:tcBorders>
            <w:hideMark/>
          </w:tcPr>
          <w:p w14:paraId="36A4C592" w14:textId="77777777" w:rsidR="007A781D" w:rsidRPr="00712F3C" w:rsidRDefault="007A781D" w:rsidP="00250DAC">
            <w:pPr>
              <w:spacing w:after="0" w:line="240" w:lineRule="auto"/>
              <w:jc w:val="both"/>
              <w:rPr>
                <w:rFonts w:ascii="Times New Roman" w:hAnsi="Times New Roman"/>
                <w:sz w:val="20"/>
                <w:szCs w:val="20"/>
              </w:rPr>
            </w:pPr>
            <w:r w:rsidRPr="00712F3C">
              <w:rPr>
                <w:rFonts w:ascii="Times New Roman" w:hAnsi="Times New Roman"/>
                <w:sz w:val="20"/>
                <w:szCs w:val="20"/>
              </w:rPr>
              <w:t>Basic &amp; Diluted Earnings per Share (Based in Weighted Average Number of Shares)</w:t>
            </w:r>
          </w:p>
        </w:tc>
        <w:tc>
          <w:tcPr>
            <w:tcW w:w="702" w:type="pct"/>
            <w:tcBorders>
              <w:top w:val="single" w:sz="4" w:space="0" w:color="auto"/>
              <w:left w:val="single" w:sz="4" w:space="0" w:color="auto"/>
              <w:bottom w:val="single" w:sz="4" w:space="0" w:color="auto"/>
              <w:right w:val="single" w:sz="4" w:space="0" w:color="auto"/>
            </w:tcBorders>
            <w:vAlign w:val="center"/>
          </w:tcPr>
          <w:p w14:paraId="26998404" w14:textId="66252639" w:rsidR="007A781D" w:rsidRPr="00712F3C" w:rsidRDefault="007A781D" w:rsidP="00250DAC">
            <w:pPr>
              <w:spacing w:after="0" w:line="240" w:lineRule="auto"/>
              <w:jc w:val="center"/>
              <w:rPr>
                <w:rFonts w:ascii="Times New Roman" w:hAnsi="Times New Roman"/>
                <w:sz w:val="20"/>
                <w:szCs w:val="20"/>
              </w:rPr>
            </w:pPr>
            <w:r>
              <w:rPr>
                <w:rFonts w:ascii="Times New Roman" w:hAnsi="Times New Roman"/>
                <w:sz w:val="20"/>
              </w:rPr>
              <w:t>5.54</w:t>
            </w:r>
          </w:p>
        </w:tc>
        <w:tc>
          <w:tcPr>
            <w:tcW w:w="607" w:type="pct"/>
            <w:tcBorders>
              <w:top w:val="single" w:sz="4" w:space="0" w:color="auto"/>
              <w:left w:val="single" w:sz="4" w:space="0" w:color="auto"/>
              <w:bottom w:val="single" w:sz="4" w:space="0" w:color="auto"/>
              <w:right w:val="single" w:sz="4" w:space="0" w:color="auto"/>
            </w:tcBorders>
            <w:vAlign w:val="center"/>
          </w:tcPr>
          <w:p w14:paraId="6A6A4DD0" w14:textId="4C2ABFD8" w:rsidR="007A781D" w:rsidRPr="00712F3C" w:rsidRDefault="007A781D" w:rsidP="00250DAC">
            <w:pPr>
              <w:spacing w:after="0" w:line="240" w:lineRule="auto"/>
              <w:jc w:val="center"/>
              <w:rPr>
                <w:rFonts w:ascii="Times New Roman" w:hAnsi="Times New Roman"/>
                <w:sz w:val="20"/>
                <w:szCs w:val="20"/>
              </w:rPr>
            </w:pPr>
            <w:r>
              <w:rPr>
                <w:rFonts w:ascii="Times New Roman" w:hAnsi="Times New Roman"/>
                <w:sz w:val="20"/>
              </w:rPr>
              <w:t>2.34</w:t>
            </w:r>
          </w:p>
        </w:tc>
        <w:tc>
          <w:tcPr>
            <w:tcW w:w="652" w:type="pct"/>
            <w:tcBorders>
              <w:top w:val="single" w:sz="4" w:space="0" w:color="auto"/>
              <w:left w:val="single" w:sz="4" w:space="0" w:color="auto"/>
              <w:bottom w:val="single" w:sz="4" w:space="0" w:color="auto"/>
              <w:right w:val="single" w:sz="4" w:space="0" w:color="auto"/>
            </w:tcBorders>
            <w:vAlign w:val="center"/>
          </w:tcPr>
          <w:p w14:paraId="0B3825E4" w14:textId="5E3F89F4" w:rsidR="007A781D" w:rsidRPr="00712F3C" w:rsidRDefault="007A781D" w:rsidP="00250DAC">
            <w:pPr>
              <w:spacing w:after="0" w:line="240" w:lineRule="auto"/>
              <w:jc w:val="center"/>
              <w:rPr>
                <w:rFonts w:ascii="Times New Roman" w:hAnsi="Times New Roman"/>
                <w:sz w:val="20"/>
                <w:szCs w:val="20"/>
              </w:rPr>
            </w:pPr>
            <w:r>
              <w:rPr>
                <w:rFonts w:ascii="Times New Roman" w:hAnsi="Times New Roman"/>
                <w:sz w:val="20"/>
              </w:rPr>
              <w:t>1.03</w:t>
            </w:r>
          </w:p>
        </w:tc>
      </w:tr>
      <w:tr w:rsidR="007A781D" w:rsidRPr="00712F3C" w14:paraId="44CECF55" w14:textId="77777777" w:rsidTr="007A781D">
        <w:trPr>
          <w:trHeight w:val="20"/>
        </w:trPr>
        <w:tc>
          <w:tcPr>
            <w:tcW w:w="3039" w:type="pct"/>
            <w:tcBorders>
              <w:top w:val="single" w:sz="4" w:space="0" w:color="auto"/>
              <w:left w:val="single" w:sz="4" w:space="0" w:color="auto"/>
              <w:bottom w:val="single" w:sz="4" w:space="0" w:color="auto"/>
              <w:right w:val="single" w:sz="4" w:space="0" w:color="auto"/>
            </w:tcBorders>
            <w:hideMark/>
          </w:tcPr>
          <w:p w14:paraId="506A5320" w14:textId="77777777" w:rsidR="007A781D" w:rsidRPr="00712F3C" w:rsidRDefault="007A781D" w:rsidP="00250DAC">
            <w:pPr>
              <w:spacing w:after="0" w:line="240" w:lineRule="auto"/>
              <w:jc w:val="both"/>
              <w:rPr>
                <w:rFonts w:ascii="Times New Roman" w:hAnsi="Times New Roman"/>
                <w:sz w:val="20"/>
                <w:szCs w:val="20"/>
              </w:rPr>
            </w:pPr>
            <w:r w:rsidRPr="00712F3C">
              <w:rPr>
                <w:rFonts w:ascii="Times New Roman" w:hAnsi="Times New Roman"/>
                <w:sz w:val="20"/>
                <w:szCs w:val="20"/>
              </w:rPr>
              <w:t>Return on Net Worth (%)</w:t>
            </w:r>
          </w:p>
        </w:tc>
        <w:tc>
          <w:tcPr>
            <w:tcW w:w="702" w:type="pct"/>
            <w:tcBorders>
              <w:top w:val="single" w:sz="4" w:space="0" w:color="auto"/>
              <w:left w:val="single" w:sz="4" w:space="0" w:color="auto"/>
              <w:bottom w:val="single" w:sz="4" w:space="0" w:color="auto"/>
              <w:right w:val="single" w:sz="4" w:space="0" w:color="auto"/>
            </w:tcBorders>
            <w:vAlign w:val="center"/>
          </w:tcPr>
          <w:p w14:paraId="1DE1CD40" w14:textId="432AB5AE" w:rsidR="007A781D" w:rsidRPr="00712F3C" w:rsidRDefault="007A781D" w:rsidP="00250DAC">
            <w:pPr>
              <w:spacing w:after="0" w:line="240" w:lineRule="auto"/>
              <w:jc w:val="center"/>
              <w:rPr>
                <w:rFonts w:ascii="Times New Roman" w:hAnsi="Times New Roman"/>
                <w:sz w:val="20"/>
                <w:szCs w:val="20"/>
              </w:rPr>
            </w:pPr>
            <w:r>
              <w:rPr>
                <w:rFonts w:ascii="Times New Roman" w:hAnsi="Times New Roman"/>
                <w:sz w:val="20"/>
                <w:szCs w:val="20"/>
              </w:rPr>
              <w:t>16.49%</w:t>
            </w:r>
          </w:p>
        </w:tc>
        <w:tc>
          <w:tcPr>
            <w:tcW w:w="607" w:type="pct"/>
            <w:tcBorders>
              <w:top w:val="single" w:sz="4" w:space="0" w:color="auto"/>
              <w:left w:val="single" w:sz="4" w:space="0" w:color="auto"/>
              <w:bottom w:val="single" w:sz="4" w:space="0" w:color="auto"/>
              <w:right w:val="single" w:sz="4" w:space="0" w:color="auto"/>
            </w:tcBorders>
            <w:vAlign w:val="center"/>
          </w:tcPr>
          <w:p w14:paraId="7A8BDA0D" w14:textId="1F9F5AAC" w:rsidR="007A781D" w:rsidRPr="00712F3C" w:rsidRDefault="007A781D" w:rsidP="00250DAC">
            <w:pPr>
              <w:spacing w:after="0" w:line="240" w:lineRule="auto"/>
              <w:jc w:val="center"/>
              <w:rPr>
                <w:rFonts w:ascii="Times New Roman" w:hAnsi="Times New Roman"/>
                <w:sz w:val="20"/>
                <w:szCs w:val="20"/>
              </w:rPr>
            </w:pPr>
            <w:r>
              <w:rPr>
                <w:rFonts w:ascii="Times New Roman" w:hAnsi="Times New Roman"/>
                <w:sz w:val="20"/>
              </w:rPr>
              <w:t>8.32%</w:t>
            </w:r>
          </w:p>
        </w:tc>
        <w:tc>
          <w:tcPr>
            <w:tcW w:w="652" w:type="pct"/>
            <w:tcBorders>
              <w:top w:val="single" w:sz="4" w:space="0" w:color="auto"/>
              <w:left w:val="single" w:sz="4" w:space="0" w:color="auto"/>
              <w:bottom w:val="single" w:sz="4" w:space="0" w:color="auto"/>
              <w:right w:val="single" w:sz="4" w:space="0" w:color="auto"/>
            </w:tcBorders>
            <w:vAlign w:val="center"/>
          </w:tcPr>
          <w:p w14:paraId="623921B4" w14:textId="1F788067" w:rsidR="007A781D" w:rsidRPr="00712F3C" w:rsidRDefault="007A781D" w:rsidP="00250DAC">
            <w:pPr>
              <w:spacing w:after="0" w:line="240" w:lineRule="auto"/>
              <w:jc w:val="center"/>
              <w:rPr>
                <w:rFonts w:ascii="Times New Roman" w:hAnsi="Times New Roman"/>
                <w:sz w:val="20"/>
                <w:szCs w:val="20"/>
              </w:rPr>
            </w:pPr>
            <w:r>
              <w:rPr>
                <w:rFonts w:ascii="Times New Roman" w:hAnsi="Times New Roman"/>
                <w:sz w:val="20"/>
              </w:rPr>
              <w:t>4.00%</w:t>
            </w:r>
          </w:p>
        </w:tc>
      </w:tr>
      <w:tr w:rsidR="007A781D" w:rsidRPr="00712F3C" w14:paraId="5AE62C06" w14:textId="77777777" w:rsidTr="007A781D">
        <w:trPr>
          <w:trHeight w:val="20"/>
        </w:trPr>
        <w:tc>
          <w:tcPr>
            <w:tcW w:w="3039" w:type="pct"/>
            <w:tcBorders>
              <w:top w:val="single" w:sz="4" w:space="0" w:color="auto"/>
              <w:left w:val="single" w:sz="4" w:space="0" w:color="auto"/>
              <w:bottom w:val="single" w:sz="4" w:space="0" w:color="auto"/>
              <w:right w:val="single" w:sz="4" w:space="0" w:color="auto"/>
            </w:tcBorders>
            <w:hideMark/>
          </w:tcPr>
          <w:p w14:paraId="4CF4BAA8" w14:textId="77777777" w:rsidR="007A781D" w:rsidRPr="00712F3C" w:rsidRDefault="007A781D" w:rsidP="00250DAC">
            <w:pPr>
              <w:spacing w:after="0" w:line="240" w:lineRule="auto"/>
              <w:jc w:val="both"/>
              <w:rPr>
                <w:rFonts w:ascii="Times New Roman" w:hAnsi="Times New Roman"/>
                <w:sz w:val="20"/>
                <w:szCs w:val="20"/>
              </w:rPr>
            </w:pPr>
            <w:r w:rsidRPr="00712F3C">
              <w:rPr>
                <w:rFonts w:ascii="Times New Roman" w:hAnsi="Times New Roman"/>
                <w:sz w:val="20"/>
                <w:szCs w:val="20"/>
              </w:rPr>
              <w:t>NAV per Equity Shares (Based on Actual Number of Shares)</w:t>
            </w:r>
          </w:p>
        </w:tc>
        <w:tc>
          <w:tcPr>
            <w:tcW w:w="702" w:type="pct"/>
            <w:tcBorders>
              <w:top w:val="single" w:sz="4" w:space="0" w:color="auto"/>
              <w:left w:val="single" w:sz="4" w:space="0" w:color="auto"/>
              <w:bottom w:val="single" w:sz="4" w:space="0" w:color="auto"/>
              <w:right w:val="single" w:sz="4" w:space="0" w:color="auto"/>
            </w:tcBorders>
            <w:vAlign w:val="center"/>
          </w:tcPr>
          <w:p w14:paraId="7DF2A251" w14:textId="5E601EFB" w:rsidR="007A781D" w:rsidRPr="00712F3C" w:rsidRDefault="007A781D" w:rsidP="00250DAC">
            <w:pPr>
              <w:spacing w:after="0" w:line="240" w:lineRule="auto"/>
              <w:jc w:val="center"/>
              <w:rPr>
                <w:rFonts w:ascii="Times New Roman" w:hAnsi="Times New Roman"/>
                <w:sz w:val="20"/>
                <w:szCs w:val="20"/>
              </w:rPr>
            </w:pPr>
            <w:r>
              <w:rPr>
                <w:rFonts w:ascii="Times New Roman" w:hAnsi="Times New Roman"/>
                <w:sz w:val="20"/>
              </w:rPr>
              <w:t>33.63</w:t>
            </w:r>
          </w:p>
        </w:tc>
        <w:tc>
          <w:tcPr>
            <w:tcW w:w="607" w:type="pct"/>
            <w:tcBorders>
              <w:top w:val="single" w:sz="4" w:space="0" w:color="auto"/>
              <w:left w:val="single" w:sz="4" w:space="0" w:color="auto"/>
              <w:bottom w:val="single" w:sz="4" w:space="0" w:color="auto"/>
              <w:right w:val="single" w:sz="4" w:space="0" w:color="auto"/>
            </w:tcBorders>
            <w:vAlign w:val="center"/>
          </w:tcPr>
          <w:p w14:paraId="6049F370" w14:textId="101E3F0B" w:rsidR="007A781D" w:rsidRPr="00712F3C" w:rsidRDefault="007A781D" w:rsidP="00250DAC">
            <w:pPr>
              <w:spacing w:after="0" w:line="240" w:lineRule="auto"/>
              <w:jc w:val="center"/>
              <w:rPr>
                <w:rFonts w:ascii="Times New Roman" w:hAnsi="Times New Roman"/>
                <w:sz w:val="20"/>
                <w:szCs w:val="20"/>
              </w:rPr>
            </w:pPr>
            <w:r>
              <w:rPr>
                <w:rFonts w:ascii="Times New Roman" w:hAnsi="Times New Roman"/>
                <w:sz w:val="20"/>
              </w:rPr>
              <w:t>28.08</w:t>
            </w:r>
          </w:p>
        </w:tc>
        <w:tc>
          <w:tcPr>
            <w:tcW w:w="652" w:type="pct"/>
            <w:tcBorders>
              <w:top w:val="single" w:sz="4" w:space="0" w:color="auto"/>
              <w:left w:val="single" w:sz="4" w:space="0" w:color="auto"/>
              <w:bottom w:val="single" w:sz="4" w:space="0" w:color="auto"/>
              <w:right w:val="single" w:sz="4" w:space="0" w:color="auto"/>
            </w:tcBorders>
            <w:vAlign w:val="center"/>
          </w:tcPr>
          <w:p w14:paraId="100CECD4" w14:textId="3392A514" w:rsidR="007A781D" w:rsidRPr="00712F3C" w:rsidRDefault="007A781D" w:rsidP="00250DAC">
            <w:pPr>
              <w:spacing w:after="0" w:line="240" w:lineRule="auto"/>
              <w:jc w:val="center"/>
              <w:rPr>
                <w:rFonts w:ascii="Times New Roman" w:hAnsi="Times New Roman"/>
                <w:sz w:val="20"/>
                <w:szCs w:val="20"/>
              </w:rPr>
            </w:pPr>
            <w:r>
              <w:rPr>
                <w:rFonts w:ascii="Times New Roman" w:hAnsi="Times New Roman"/>
                <w:sz w:val="20"/>
              </w:rPr>
              <w:t>25.75</w:t>
            </w:r>
          </w:p>
        </w:tc>
      </w:tr>
      <w:tr w:rsidR="007A781D" w:rsidRPr="00712F3C" w14:paraId="7041B718" w14:textId="77777777" w:rsidTr="007A781D">
        <w:trPr>
          <w:trHeight w:val="20"/>
        </w:trPr>
        <w:tc>
          <w:tcPr>
            <w:tcW w:w="3039" w:type="pct"/>
            <w:tcBorders>
              <w:top w:val="single" w:sz="4" w:space="0" w:color="auto"/>
              <w:left w:val="single" w:sz="4" w:space="0" w:color="auto"/>
              <w:bottom w:val="single" w:sz="4" w:space="0" w:color="auto"/>
              <w:right w:val="single" w:sz="4" w:space="0" w:color="auto"/>
            </w:tcBorders>
            <w:hideMark/>
          </w:tcPr>
          <w:p w14:paraId="4B33C60F" w14:textId="514E0CE7" w:rsidR="007A781D" w:rsidRPr="00712F3C" w:rsidRDefault="007A781D" w:rsidP="00250DAC">
            <w:pPr>
              <w:spacing w:after="0" w:line="240" w:lineRule="auto"/>
              <w:jc w:val="both"/>
              <w:rPr>
                <w:rFonts w:ascii="Times New Roman" w:hAnsi="Times New Roman"/>
                <w:sz w:val="20"/>
                <w:szCs w:val="20"/>
              </w:rPr>
            </w:pPr>
            <w:r w:rsidRPr="00712F3C">
              <w:rPr>
                <w:rFonts w:ascii="Times New Roman" w:hAnsi="Times New Roman"/>
                <w:sz w:val="20"/>
                <w:szCs w:val="20"/>
              </w:rPr>
              <w:t>NAV per Equity Shares (Based on Weighted Average Number of Shares)</w:t>
            </w:r>
          </w:p>
        </w:tc>
        <w:tc>
          <w:tcPr>
            <w:tcW w:w="702" w:type="pct"/>
            <w:tcBorders>
              <w:top w:val="single" w:sz="4" w:space="0" w:color="auto"/>
              <w:left w:val="single" w:sz="4" w:space="0" w:color="auto"/>
              <w:bottom w:val="single" w:sz="4" w:space="0" w:color="auto"/>
              <w:right w:val="single" w:sz="4" w:space="0" w:color="auto"/>
            </w:tcBorders>
            <w:vAlign w:val="center"/>
          </w:tcPr>
          <w:p w14:paraId="2CD94B26" w14:textId="3B98115B" w:rsidR="007A781D" w:rsidRPr="00712F3C" w:rsidRDefault="007A781D" w:rsidP="00250DAC">
            <w:pPr>
              <w:spacing w:after="0" w:line="240" w:lineRule="auto"/>
              <w:jc w:val="center"/>
              <w:rPr>
                <w:rFonts w:ascii="Times New Roman" w:hAnsi="Times New Roman"/>
                <w:sz w:val="20"/>
                <w:szCs w:val="20"/>
              </w:rPr>
            </w:pPr>
            <w:r>
              <w:rPr>
                <w:rFonts w:ascii="Times New Roman" w:hAnsi="Times New Roman"/>
                <w:sz w:val="20"/>
              </w:rPr>
              <w:t>33.63</w:t>
            </w:r>
          </w:p>
        </w:tc>
        <w:tc>
          <w:tcPr>
            <w:tcW w:w="607" w:type="pct"/>
            <w:tcBorders>
              <w:top w:val="single" w:sz="4" w:space="0" w:color="auto"/>
              <w:left w:val="single" w:sz="4" w:space="0" w:color="auto"/>
              <w:bottom w:val="single" w:sz="4" w:space="0" w:color="auto"/>
              <w:right w:val="single" w:sz="4" w:space="0" w:color="auto"/>
            </w:tcBorders>
            <w:vAlign w:val="center"/>
          </w:tcPr>
          <w:p w14:paraId="2724CADF" w14:textId="55277E03" w:rsidR="007A781D" w:rsidRPr="00712F3C" w:rsidRDefault="007A781D" w:rsidP="00250DAC">
            <w:pPr>
              <w:spacing w:after="0" w:line="240" w:lineRule="auto"/>
              <w:jc w:val="center"/>
              <w:rPr>
                <w:rFonts w:ascii="Times New Roman" w:hAnsi="Times New Roman"/>
                <w:sz w:val="20"/>
                <w:szCs w:val="20"/>
              </w:rPr>
            </w:pPr>
            <w:r>
              <w:rPr>
                <w:rFonts w:ascii="Times New Roman" w:hAnsi="Times New Roman"/>
                <w:sz w:val="20"/>
              </w:rPr>
              <w:t>28.08</w:t>
            </w:r>
          </w:p>
        </w:tc>
        <w:tc>
          <w:tcPr>
            <w:tcW w:w="652" w:type="pct"/>
            <w:tcBorders>
              <w:top w:val="single" w:sz="4" w:space="0" w:color="auto"/>
              <w:left w:val="single" w:sz="4" w:space="0" w:color="auto"/>
              <w:bottom w:val="single" w:sz="4" w:space="0" w:color="auto"/>
              <w:right w:val="single" w:sz="4" w:space="0" w:color="auto"/>
            </w:tcBorders>
            <w:vAlign w:val="center"/>
          </w:tcPr>
          <w:p w14:paraId="49878D3A" w14:textId="46E595F7" w:rsidR="007A781D" w:rsidRPr="00712F3C" w:rsidRDefault="007A781D" w:rsidP="00250DAC">
            <w:pPr>
              <w:spacing w:after="0" w:line="240" w:lineRule="auto"/>
              <w:jc w:val="center"/>
              <w:rPr>
                <w:rFonts w:ascii="Times New Roman" w:hAnsi="Times New Roman"/>
                <w:sz w:val="20"/>
                <w:szCs w:val="20"/>
              </w:rPr>
            </w:pPr>
            <w:r>
              <w:rPr>
                <w:rFonts w:ascii="Times New Roman" w:hAnsi="Times New Roman"/>
                <w:sz w:val="20"/>
              </w:rPr>
              <w:t>25.75</w:t>
            </w:r>
          </w:p>
        </w:tc>
      </w:tr>
      <w:tr w:rsidR="007A781D" w:rsidRPr="00712F3C" w14:paraId="553DF6F5" w14:textId="77777777" w:rsidTr="007A781D">
        <w:trPr>
          <w:trHeight w:val="20"/>
        </w:trPr>
        <w:tc>
          <w:tcPr>
            <w:tcW w:w="3039" w:type="pct"/>
            <w:tcBorders>
              <w:top w:val="single" w:sz="4" w:space="0" w:color="auto"/>
              <w:left w:val="single" w:sz="4" w:space="0" w:color="auto"/>
              <w:bottom w:val="single" w:sz="4" w:space="0" w:color="auto"/>
              <w:right w:val="single" w:sz="4" w:space="0" w:color="auto"/>
            </w:tcBorders>
            <w:hideMark/>
          </w:tcPr>
          <w:p w14:paraId="241A096F" w14:textId="77777777" w:rsidR="007A781D" w:rsidRPr="00712F3C" w:rsidRDefault="007A781D" w:rsidP="00250DAC">
            <w:pPr>
              <w:spacing w:after="0" w:line="240" w:lineRule="auto"/>
              <w:jc w:val="both"/>
              <w:rPr>
                <w:rFonts w:ascii="Times New Roman" w:hAnsi="Times New Roman"/>
                <w:sz w:val="20"/>
                <w:szCs w:val="20"/>
              </w:rPr>
            </w:pPr>
            <w:r w:rsidRPr="00712F3C">
              <w:rPr>
                <w:rFonts w:ascii="Times New Roman" w:hAnsi="Times New Roman"/>
                <w:sz w:val="20"/>
                <w:szCs w:val="20"/>
              </w:rPr>
              <w:t>Earnings before interest, tax, depreciation and amortization (EBITDA)</w:t>
            </w:r>
          </w:p>
        </w:tc>
        <w:tc>
          <w:tcPr>
            <w:tcW w:w="702" w:type="pct"/>
            <w:tcBorders>
              <w:top w:val="single" w:sz="4" w:space="0" w:color="auto"/>
              <w:left w:val="single" w:sz="4" w:space="0" w:color="auto"/>
              <w:bottom w:val="single" w:sz="4" w:space="0" w:color="auto"/>
              <w:right w:val="single" w:sz="4" w:space="0" w:color="auto"/>
            </w:tcBorders>
            <w:vAlign w:val="center"/>
          </w:tcPr>
          <w:p w14:paraId="1998645A" w14:textId="00918C7D" w:rsidR="007A781D" w:rsidRPr="00712F3C" w:rsidRDefault="007A781D" w:rsidP="00250DAC">
            <w:pPr>
              <w:spacing w:after="0" w:line="240" w:lineRule="auto"/>
              <w:jc w:val="center"/>
              <w:rPr>
                <w:rFonts w:ascii="Times New Roman" w:hAnsi="Times New Roman"/>
                <w:sz w:val="20"/>
                <w:szCs w:val="20"/>
              </w:rPr>
            </w:pPr>
            <w:r>
              <w:rPr>
                <w:rFonts w:ascii="Times New Roman" w:hAnsi="Times New Roman"/>
                <w:sz w:val="20"/>
              </w:rPr>
              <w:t>11157.48</w:t>
            </w:r>
          </w:p>
        </w:tc>
        <w:tc>
          <w:tcPr>
            <w:tcW w:w="607" w:type="pct"/>
            <w:tcBorders>
              <w:top w:val="single" w:sz="4" w:space="0" w:color="auto"/>
              <w:left w:val="single" w:sz="4" w:space="0" w:color="auto"/>
              <w:bottom w:val="single" w:sz="4" w:space="0" w:color="auto"/>
              <w:right w:val="single" w:sz="4" w:space="0" w:color="auto"/>
            </w:tcBorders>
            <w:vAlign w:val="center"/>
          </w:tcPr>
          <w:p w14:paraId="064E8CB7" w14:textId="791A0698" w:rsidR="007A781D" w:rsidRPr="00712F3C" w:rsidRDefault="007A781D" w:rsidP="00250DAC">
            <w:pPr>
              <w:spacing w:after="0" w:line="240" w:lineRule="auto"/>
              <w:jc w:val="center"/>
              <w:rPr>
                <w:rFonts w:ascii="Times New Roman" w:hAnsi="Times New Roman"/>
                <w:sz w:val="20"/>
                <w:szCs w:val="20"/>
              </w:rPr>
            </w:pPr>
            <w:r>
              <w:rPr>
                <w:rFonts w:ascii="Times New Roman" w:hAnsi="Times New Roman"/>
                <w:sz w:val="20"/>
              </w:rPr>
              <w:t>513.94</w:t>
            </w:r>
          </w:p>
        </w:tc>
        <w:tc>
          <w:tcPr>
            <w:tcW w:w="652" w:type="pct"/>
            <w:tcBorders>
              <w:top w:val="single" w:sz="4" w:space="0" w:color="auto"/>
              <w:left w:val="single" w:sz="4" w:space="0" w:color="auto"/>
              <w:bottom w:val="single" w:sz="4" w:space="0" w:color="auto"/>
              <w:right w:val="single" w:sz="4" w:space="0" w:color="auto"/>
            </w:tcBorders>
            <w:vAlign w:val="center"/>
          </w:tcPr>
          <w:p w14:paraId="0E790EEB" w14:textId="5FBD69D2" w:rsidR="007A781D" w:rsidRPr="00712F3C" w:rsidRDefault="007A781D" w:rsidP="00250DAC">
            <w:pPr>
              <w:spacing w:after="0" w:line="240" w:lineRule="auto"/>
              <w:jc w:val="center"/>
              <w:rPr>
                <w:rFonts w:ascii="Times New Roman" w:hAnsi="Times New Roman"/>
                <w:sz w:val="20"/>
                <w:szCs w:val="20"/>
              </w:rPr>
            </w:pPr>
            <w:r>
              <w:rPr>
                <w:rFonts w:ascii="Times New Roman" w:hAnsi="Times New Roman"/>
                <w:sz w:val="20"/>
              </w:rPr>
              <w:t>375.97</w:t>
            </w:r>
          </w:p>
        </w:tc>
      </w:tr>
    </w:tbl>
    <w:p w14:paraId="4F3647AE" w14:textId="77777777" w:rsidR="007A781D" w:rsidRDefault="007A781D" w:rsidP="007A781D">
      <w:pPr>
        <w:spacing w:after="0" w:line="259" w:lineRule="auto"/>
        <w:contextualSpacing/>
        <w:jc w:val="both"/>
        <w:rPr>
          <w:rFonts w:ascii="Times New Roman" w:hAnsi="Times New Roman"/>
          <w:sz w:val="20"/>
          <w:szCs w:val="20"/>
        </w:rPr>
      </w:pPr>
    </w:p>
    <w:p w14:paraId="2FC8B2AF" w14:textId="417BC116" w:rsidR="0073469A" w:rsidRDefault="0073469A">
      <w:pPr>
        <w:spacing w:after="160" w:line="259" w:lineRule="auto"/>
        <w:rPr>
          <w:rFonts w:ascii="Times New Roman" w:hAnsi="Times New Roman"/>
          <w:sz w:val="20"/>
          <w:szCs w:val="20"/>
        </w:rPr>
      </w:pPr>
      <w:r>
        <w:rPr>
          <w:rFonts w:ascii="Times New Roman" w:hAnsi="Times New Roman"/>
          <w:sz w:val="20"/>
          <w:szCs w:val="20"/>
        </w:rPr>
        <w:br w:type="page"/>
      </w:r>
    </w:p>
    <w:p w14:paraId="43AB36D8" w14:textId="64967BB8" w:rsidR="0073469A" w:rsidRDefault="0073469A" w:rsidP="0073469A">
      <w:pPr>
        <w:spacing w:after="0" w:line="259" w:lineRule="auto"/>
        <w:contextualSpacing/>
        <w:jc w:val="center"/>
        <w:rPr>
          <w:rFonts w:ascii="Times New Roman" w:hAnsi="Times New Roman"/>
          <w:b/>
          <w:bCs/>
          <w:sz w:val="20"/>
          <w:szCs w:val="20"/>
          <w:u w:val="single"/>
        </w:rPr>
      </w:pPr>
      <w:r w:rsidRPr="008C56D4">
        <w:rPr>
          <w:rFonts w:ascii="Times New Roman" w:hAnsi="Times New Roman"/>
          <w:b/>
          <w:bCs/>
          <w:sz w:val="20"/>
          <w:szCs w:val="20"/>
          <w:highlight w:val="yellow"/>
          <w:u w:val="single"/>
        </w:rPr>
        <w:lastRenderedPageBreak/>
        <w:t>STATEMENT OF FINANCIAL INDEBTEDNESS</w:t>
      </w:r>
    </w:p>
    <w:p w14:paraId="29168326" w14:textId="77777777" w:rsidR="00807EC4" w:rsidRDefault="00807EC4" w:rsidP="0073469A">
      <w:pPr>
        <w:spacing w:after="0" w:line="259" w:lineRule="auto"/>
        <w:contextualSpacing/>
        <w:jc w:val="center"/>
        <w:rPr>
          <w:rFonts w:ascii="Times New Roman" w:hAnsi="Times New Roman"/>
          <w:b/>
          <w:bCs/>
          <w:sz w:val="20"/>
          <w:szCs w:val="20"/>
          <w:u w:val="single"/>
        </w:rPr>
      </w:pPr>
    </w:p>
    <w:p w14:paraId="4B5BB9FD" w14:textId="71FCEEB3" w:rsidR="00807EC4" w:rsidRDefault="00807EC4">
      <w:pPr>
        <w:spacing w:after="160" w:line="259" w:lineRule="auto"/>
        <w:rPr>
          <w:rFonts w:ascii="Times New Roman" w:hAnsi="Times New Roman"/>
          <w:b/>
          <w:bCs/>
          <w:sz w:val="20"/>
          <w:szCs w:val="20"/>
          <w:u w:val="single"/>
        </w:rPr>
      </w:pPr>
      <w:r>
        <w:rPr>
          <w:rFonts w:ascii="Times New Roman" w:hAnsi="Times New Roman"/>
          <w:b/>
          <w:bCs/>
          <w:sz w:val="20"/>
          <w:szCs w:val="20"/>
          <w:u w:val="single"/>
        </w:rPr>
        <w:br w:type="page"/>
      </w:r>
    </w:p>
    <w:p w14:paraId="0F5E41F7" w14:textId="426059D1" w:rsidR="00807EC4" w:rsidRDefault="00807EC4" w:rsidP="00807EC4">
      <w:pPr>
        <w:spacing w:after="0" w:line="259" w:lineRule="auto"/>
        <w:contextualSpacing/>
        <w:jc w:val="center"/>
        <w:rPr>
          <w:rFonts w:ascii="Times New Roman" w:hAnsi="Times New Roman"/>
          <w:b/>
          <w:bCs/>
          <w:sz w:val="20"/>
          <w:szCs w:val="20"/>
          <w:u w:val="single"/>
        </w:rPr>
      </w:pPr>
      <w:r w:rsidRPr="00807EC4">
        <w:rPr>
          <w:rFonts w:ascii="Times New Roman" w:hAnsi="Times New Roman"/>
          <w:b/>
          <w:bCs/>
          <w:sz w:val="20"/>
          <w:szCs w:val="20"/>
          <w:u w:val="single"/>
        </w:rPr>
        <w:lastRenderedPageBreak/>
        <w:t>MANAGEMENT’S DISCUSSION AND ANALYSIS OF FINANCIAL CONDITIONS AND RESULTS OF</w:t>
      </w:r>
      <w:r>
        <w:rPr>
          <w:rFonts w:ascii="Times New Roman" w:hAnsi="Times New Roman"/>
          <w:b/>
          <w:bCs/>
          <w:sz w:val="20"/>
          <w:szCs w:val="20"/>
          <w:u w:val="single"/>
        </w:rPr>
        <w:t xml:space="preserve"> </w:t>
      </w:r>
      <w:r w:rsidRPr="00807EC4">
        <w:rPr>
          <w:rFonts w:ascii="Times New Roman" w:hAnsi="Times New Roman"/>
          <w:b/>
          <w:bCs/>
          <w:sz w:val="20"/>
          <w:szCs w:val="20"/>
          <w:u w:val="single"/>
        </w:rPr>
        <w:t>OPERATIONS</w:t>
      </w:r>
    </w:p>
    <w:p w14:paraId="2DE47D08" w14:textId="77777777" w:rsidR="00807EC4" w:rsidRPr="00807EC4" w:rsidRDefault="00807EC4" w:rsidP="00807EC4">
      <w:pPr>
        <w:spacing w:after="0" w:line="259" w:lineRule="auto"/>
        <w:contextualSpacing/>
        <w:jc w:val="center"/>
        <w:rPr>
          <w:rFonts w:ascii="Times New Roman" w:hAnsi="Times New Roman"/>
          <w:b/>
          <w:bCs/>
          <w:i/>
          <w:iCs/>
          <w:sz w:val="20"/>
          <w:szCs w:val="20"/>
          <w:u w:val="single"/>
        </w:rPr>
      </w:pPr>
    </w:p>
    <w:p w14:paraId="302621F5" w14:textId="77777777" w:rsidR="00113B44" w:rsidRPr="00712F3C" w:rsidRDefault="00113B44" w:rsidP="00113B44">
      <w:pPr>
        <w:spacing w:after="0" w:line="240" w:lineRule="auto"/>
        <w:jc w:val="both"/>
        <w:rPr>
          <w:rFonts w:ascii="Times New Roman" w:hAnsi="Times New Roman"/>
          <w:i/>
          <w:sz w:val="20"/>
          <w:szCs w:val="20"/>
        </w:rPr>
      </w:pPr>
      <w:r w:rsidRPr="00712F3C">
        <w:rPr>
          <w:rFonts w:ascii="Times New Roman" w:hAnsi="Times New Roman"/>
          <w:i/>
          <w:sz w:val="20"/>
          <w:szCs w:val="20"/>
        </w:rPr>
        <w:t xml:space="preserve">You should read the following discussion in conjunction with our restated financial statements attached in the chapter titled </w:t>
      </w:r>
      <w:r w:rsidRPr="00712F3C">
        <w:rPr>
          <w:rFonts w:ascii="Times New Roman" w:hAnsi="Times New Roman"/>
          <w:b/>
          <w:i/>
          <w:sz w:val="20"/>
          <w:szCs w:val="20"/>
        </w:rPr>
        <w:t>“Financial Information of the Company”</w:t>
      </w:r>
      <w:r w:rsidRPr="00712F3C">
        <w:rPr>
          <w:rFonts w:ascii="Times New Roman" w:hAnsi="Times New Roman"/>
          <w:i/>
          <w:sz w:val="20"/>
          <w:szCs w:val="20"/>
        </w:rPr>
        <w:t xml:space="preserve"> beginning on page </w:t>
      </w:r>
      <w:r>
        <w:rPr>
          <w:rFonts w:ascii="Times New Roman" w:hAnsi="Times New Roman"/>
          <w:i/>
          <w:sz w:val="20"/>
          <w:szCs w:val="20"/>
        </w:rPr>
        <w:t>130</w:t>
      </w:r>
      <w:r w:rsidRPr="00712F3C">
        <w:rPr>
          <w:rFonts w:ascii="Times New Roman" w:hAnsi="Times New Roman"/>
          <w:i/>
          <w:sz w:val="20"/>
          <w:szCs w:val="20"/>
        </w:rPr>
        <w:t xml:space="preserve">. You should also read the section titled </w:t>
      </w:r>
      <w:r w:rsidRPr="00712F3C">
        <w:rPr>
          <w:rFonts w:ascii="Times New Roman" w:hAnsi="Times New Roman"/>
          <w:b/>
          <w:i/>
          <w:sz w:val="20"/>
          <w:szCs w:val="20"/>
        </w:rPr>
        <w:t>“Risk Factors”</w:t>
      </w:r>
      <w:r w:rsidRPr="00712F3C">
        <w:rPr>
          <w:rFonts w:ascii="Times New Roman" w:hAnsi="Times New Roman"/>
          <w:i/>
          <w:sz w:val="20"/>
          <w:szCs w:val="20"/>
        </w:rPr>
        <w:t xml:space="preserve"> on page </w:t>
      </w:r>
      <w:r>
        <w:rPr>
          <w:rFonts w:ascii="Times New Roman" w:hAnsi="Times New Roman"/>
          <w:i/>
          <w:sz w:val="20"/>
          <w:szCs w:val="20"/>
        </w:rPr>
        <w:t>25</w:t>
      </w:r>
      <w:r w:rsidRPr="00712F3C">
        <w:rPr>
          <w:rFonts w:ascii="Times New Roman" w:hAnsi="Times New Roman"/>
          <w:i/>
          <w:sz w:val="20"/>
          <w:szCs w:val="20"/>
        </w:rPr>
        <w:t xml:space="preserve"> and the section titled </w:t>
      </w:r>
      <w:r w:rsidRPr="00712F3C">
        <w:rPr>
          <w:rFonts w:ascii="Times New Roman" w:hAnsi="Times New Roman"/>
          <w:b/>
          <w:i/>
          <w:sz w:val="20"/>
          <w:szCs w:val="20"/>
        </w:rPr>
        <w:t>“Forward Looking Statements”</w:t>
      </w:r>
      <w:r w:rsidRPr="00712F3C">
        <w:rPr>
          <w:rFonts w:ascii="Times New Roman" w:hAnsi="Times New Roman"/>
          <w:i/>
          <w:sz w:val="20"/>
          <w:szCs w:val="20"/>
        </w:rPr>
        <w:t xml:space="preserve"> on page </w:t>
      </w:r>
      <w:r>
        <w:rPr>
          <w:rFonts w:ascii="Times New Roman" w:hAnsi="Times New Roman"/>
          <w:i/>
          <w:sz w:val="20"/>
          <w:szCs w:val="20"/>
        </w:rPr>
        <w:t>17</w:t>
      </w:r>
      <w:r w:rsidRPr="00712F3C">
        <w:rPr>
          <w:rFonts w:ascii="Times New Roman" w:hAnsi="Times New Roman"/>
          <w:i/>
          <w:sz w:val="20"/>
          <w:szCs w:val="20"/>
        </w:rPr>
        <w:t xml:space="preserve"> of this Draft Red Herring Prospectus, which discusses a number of factors and contingencies that could affect our financial condition and results of operations. The following discussion relates to us, and, unless otherwise stated or the context requires otherwise, is based on our Restated financial Statements. </w:t>
      </w:r>
    </w:p>
    <w:p w14:paraId="41F17D0F" w14:textId="77777777" w:rsidR="00113B44" w:rsidRPr="00712F3C" w:rsidRDefault="00113B44" w:rsidP="00113B44">
      <w:pPr>
        <w:spacing w:after="0" w:line="240" w:lineRule="auto"/>
        <w:jc w:val="both"/>
        <w:rPr>
          <w:rFonts w:ascii="Times New Roman" w:hAnsi="Times New Roman"/>
          <w:i/>
          <w:sz w:val="20"/>
          <w:szCs w:val="20"/>
        </w:rPr>
      </w:pPr>
    </w:p>
    <w:p w14:paraId="02E3B04B" w14:textId="77777777" w:rsidR="00113B44" w:rsidRDefault="00113B44" w:rsidP="00113B44">
      <w:pPr>
        <w:spacing w:after="0" w:line="259" w:lineRule="auto"/>
        <w:jc w:val="both"/>
        <w:rPr>
          <w:rFonts w:ascii="Times New Roman" w:hAnsi="Times New Roman"/>
          <w:i/>
          <w:sz w:val="20"/>
          <w:szCs w:val="20"/>
        </w:rPr>
      </w:pPr>
      <w:r w:rsidRPr="00712F3C">
        <w:rPr>
          <w:rFonts w:ascii="Times New Roman" w:hAnsi="Times New Roman"/>
          <w:i/>
          <w:sz w:val="20"/>
          <w:szCs w:val="20"/>
        </w:rPr>
        <w:t xml:space="preserve">Our financial statements have been prepared in accordance with Indian GAAP, the Companies Act and the SEBI (ICDR) Regulations and restated as described in the report of our auditor March 23, 2023 which is included in this Draft Red Herring Prospectus under </w:t>
      </w:r>
      <w:r w:rsidRPr="00712F3C">
        <w:rPr>
          <w:rFonts w:ascii="Times New Roman" w:hAnsi="Times New Roman"/>
          <w:b/>
          <w:i/>
          <w:sz w:val="20"/>
          <w:szCs w:val="20"/>
        </w:rPr>
        <w:t>“Financial Statements”</w:t>
      </w:r>
      <w:r w:rsidRPr="00712F3C">
        <w:rPr>
          <w:rFonts w:ascii="Times New Roman" w:hAnsi="Times New Roman"/>
          <w:i/>
          <w:sz w:val="20"/>
          <w:szCs w:val="20"/>
        </w:rPr>
        <w:t>. The Restated Financial Information has been prepared on a basis that differs in certain material respects from generally accepted accounting principles in other jurisdictions, including US GAAP and IFRS. Our financial year ends on March 31 of each year, and all references to a particular financial year are to the twelve-month period ended March 31 of that year</w:t>
      </w:r>
    </w:p>
    <w:p w14:paraId="2D72336B" w14:textId="77777777" w:rsidR="00113B44" w:rsidRDefault="00113B44" w:rsidP="00113B44">
      <w:pPr>
        <w:spacing w:after="0" w:line="259" w:lineRule="auto"/>
        <w:jc w:val="both"/>
        <w:rPr>
          <w:rFonts w:ascii="Times New Roman" w:hAnsi="Times New Roman"/>
          <w:i/>
          <w:sz w:val="20"/>
          <w:szCs w:val="20"/>
        </w:rPr>
      </w:pPr>
    </w:p>
    <w:p w14:paraId="36852EB0" w14:textId="77777777" w:rsidR="00113B44" w:rsidRPr="00712F3C" w:rsidRDefault="00113B44" w:rsidP="00113B44">
      <w:pPr>
        <w:spacing w:after="0" w:line="240" w:lineRule="auto"/>
        <w:jc w:val="both"/>
        <w:rPr>
          <w:rFonts w:ascii="Times New Roman" w:hAnsi="Times New Roman"/>
          <w:b/>
          <w:sz w:val="20"/>
          <w:szCs w:val="20"/>
          <w:u w:val="single"/>
        </w:rPr>
      </w:pPr>
      <w:r w:rsidRPr="00712F3C">
        <w:rPr>
          <w:rFonts w:ascii="Times New Roman" w:hAnsi="Times New Roman"/>
          <w:b/>
          <w:sz w:val="20"/>
          <w:szCs w:val="20"/>
          <w:u w:val="single"/>
        </w:rPr>
        <w:t>OVERVIEW</w:t>
      </w:r>
    </w:p>
    <w:p w14:paraId="362AB05A" w14:textId="77777777" w:rsidR="00113B44" w:rsidRDefault="00113B44" w:rsidP="00113B44">
      <w:pPr>
        <w:spacing w:after="0" w:line="259" w:lineRule="auto"/>
        <w:jc w:val="both"/>
        <w:rPr>
          <w:rFonts w:ascii="Times New Roman" w:eastAsia="MS Mincho" w:hAnsi="Times New Roman"/>
          <w:bCs/>
          <w:sz w:val="20"/>
          <w:szCs w:val="20"/>
        </w:rPr>
      </w:pPr>
    </w:p>
    <w:p w14:paraId="1EBC3887" w14:textId="77777777" w:rsidR="00113B44" w:rsidRPr="00F038BD" w:rsidRDefault="00113B44" w:rsidP="00113B44">
      <w:pPr>
        <w:spacing w:after="0" w:line="240" w:lineRule="auto"/>
        <w:jc w:val="both"/>
        <w:textAlignment w:val="baseline"/>
        <w:outlineLvl w:val="2"/>
        <w:rPr>
          <w:rFonts w:ascii="Times New Roman" w:hAnsi="Times New Roman"/>
          <w:sz w:val="20"/>
          <w:szCs w:val="20"/>
        </w:rPr>
      </w:pPr>
      <w:r w:rsidRPr="00F038BD">
        <w:rPr>
          <w:rFonts w:ascii="Times New Roman" w:hAnsi="Times New Roman"/>
          <w:sz w:val="20"/>
          <w:szCs w:val="20"/>
        </w:rPr>
        <w:t>Incorporated in 2007, we are primarily engaged in (i) segregation of brass scrap (ii) manufacturing of brass ingots, billets and brass rods and (iii) manufacturing of brass based components (plumbing and sanitary parts).</w:t>
      </w:r>
    </w:p>
    <w:p w14:paraId="35D14B17" w14:textId="77777777" w:rsidR="00113B44" w:rsidRPr="00F038BD" w:rsidRDefault="00113B44" w:rsidP="00113B44">
      <w:pPr>
        <w:spacing w:after="0" w:line="240" w:lineRule="auto"/>
        <w:jc w:val="both"/>
        <w:textAlignment w:val="baseline"/>
        <w:outlineLvl w:val="2"/>
        <w:rPr>
          <w:rFonts w:ascii="Times New Roman" w:hAnsi="Times New Roman"/>
          <w:sz w:val="20"/>
          <w:szCs w:val="20"/>
        </w:rPr>
      </w:pPr>
    </w:p>
    <w:p w14:paraId="393A861A" w14:textId="6F9778DA" w:rsidR="00113B44" w:rsidRPr="00F038BD" w:rsidRDefault="00113B44" w:rsidP="00113B44">
      <w:pPr>
        <w:spacing w:after="0" w:line="240" w:lineRule="auto"/>
        <w:jc w:val="both"/>
        <w:textAlignment w:val="baseline"/>
        <w:outlineLvl w:val="2"/>
        <w:rPr>
          <w:rFonts w:ascii="Times New Roman" w:hAnsi="Times New Roman"/>
          <w:sz w:val="20"/>
          <w:szCs w:val="20"/>
        </w:rPr>
      </w:pPr>
      <w:r w:rsidRPr="00F038BD">
        <w:rPr>
          <w:rFonts w:ascii="Times New Roman" w:hAnsi="Times New Roman"/>
          <w:b/>
          <w:bCs/>
          <w:sz w:val="20"/>
          <w:szCs w:val="20"/>
        </w:rPr>
        <w:t>Manufacturing of brass based components (plumbing and sanitary parts)</w:t>
      </w:r>
      <w:r>
        <w:rPr>
          <w:rFonts w:ascii="Times New Roman" w:hAnsi="Times New Roman"/>
          <w:b/>
          <w:bCs/>
          <w:sz w:val="20"/>
          <w:szCs w:val="20"/>
        </w:rPr>
        <w:t xml:space="preserve">- </w:t>
      </w:r>
      <w:r w:rsidRPr="00F038BD">
        <w:rPr>
          <w:rFonts w:ascii="Times New Roman" w:hAnsi="Times New Roman"/>
          <w:sz w:val="20"/>
          <w:szCs w:val="20"/>
        </w:rPr>
        <w:t>We manufacture various brass components (plumbing and sanitary parts) such as brass inserts, brass ceramic cartridges (brass spindles), brass valves, extension nipples etc. as per the customer’s requirements, from our two manufacturing units (Unit-I and Unit</w:t>
      </w:r>
      <w:r>
        <w:rPr>
          <w:rFonts w:ascii="Times New Roman" w:hAnsi="Times New Roman"/>
          <w:sz w:val="20"/>
          <w:szCs w:val="20"/>
        </w:rPr>
        <w:t>-</w:t>
      </w:r>
      <w:r w:rsidRPr="00F038BD">
        <w:rPr>
          <w:rFonts w:ascii="Times New Roman" w:hAnsi="Times New Roman"/>
          <w:sz w:val="20"/>
          <w:szCs w:val="20"/>
        </w:rPr>
        <w:t xml:space="preserve">II) located at village Lakhabaval, district Jamnagar. Some of the renowned brands which are our customers include Hindware, ROCA, Eauset, Somany, Supreme, AGI Greenpac (formerly known as HSIL) and Ashirvad Pipes. For Fiscal 2022 and 2023, our revenue from brass based components were </w:t>
      </w:r>
      <w:r w:rsidR="001706A2" w:rsidRPr="00712F3C">
        <w:rPr>
          <w:rFonts w:ascii="Times New Roman" w:eastAsia="MS Mincho" w:hAnsi="Times New Roman"/>
          <w:sz w:val="20"/>
          <w:szCs w:val="20"/>
        </w:rPr>
        <w:t>₹</w:t>
      </w:r>
      <w:r w:rsidRPr="00F038BD">
        <w:rPr>
          <w:rFonts w:ascii="Times New Roman" w:hAnsi="Times New Roman"/>
          <w:sz w:val="20"/>
          <w:szCs w:val="20"/>
        </w:rPr>
        <w:t xml:space="preserve"> 5</w:t>
      </w:r>
      <w:r w:rsidR="001706A2">
        <w:rPr>
          <w:rFonts w:ascii="Times New Roman" w:hAnsi="Times New Roman"/>
          <w:sz w:val="20"/>
          <w:szCs w:val="20"/>
        </w:rPr>
        <w:t>,</w:t>
      </w:r>
      <w:r w:rsidRPr="00F038BD">
        <w:rPr>
          <w:rFonts w:ascii="Times New Roman" w:hAnsi="Times New Roman"/>
          <w:sz w:val="20"/>
          <w:szCs w:val="20"/>
        </w:rPr>
        <w:t xml:space="preserve">985.54 lakhs and </w:t>
      </w:r>
      <w:r w:rsidR="001706A2" w:rsidRPr="00712F3C">
        <w:rPr>
          <w:rFonts w:ascii="Times New Roman" w:eastAsia="MS Mincho" w:hAnsi="Times New Roman"/>
          <w:sz w:val="20"/>
          <w:szCs w:val="20"/>
        </w:rPr>
        <w:t>₹</w:t>
      </w:r>
      <w:r w:rsidRPr="00F038BD">
        <w:rPr>
          <w:rFonts w:ascii="Times New Roman" w:hAnsi="Times New Roman"/>
          <w:sz w:val="20"/>
          <w:szCs w:val="20"/>
        </w:rPr>
        <w:t xml:space="preserve"> 4</w:t>
      </w:r>
      <w:r w:rsidR="001706A2">
        <w:rPr>
          <w:rFonts w:ascii="Times New Roman" w:hAnsi="Times New Roman"/>
          <w:sz w:val="20"/>
          <w:szCs w:val="20"/>
        </w:rPr>
        <w:t>,</w:t>
      </w:r>
      <w:r w:rsidRPr="00F038BD">
        <w:rPr>
          <w:rFonts w:ascii="Times New Roman" w:hAnsi="Times New Roman"/>
          <w:sz w:val="20"/>
          <w:szCs w:val="20"/>
        </w:rPr>
        <w:t xml:space="preserve">096.54 lakhs respectively, which contributed 14.14% and 8.31% respectively of our revenue from operations. </w:t>
      </w:r>
    </w:p>
    <w:p w14:paraId="153757A2" w14:textId="77777777" w:rsidR="00113B44" w:rsidRPr="00F038BD" w:rsidRDefault="00113B44" w:rsidP="00113B44">
      <w:pPr>
        <w:spacing w:after="0" w:line="240" w:lineRule="auto"/>
        <w:jc w:val="both"/>
        <w:textAlignment w:val="baseline"/>
        <w:outlineLvl w:val="2"/>
        <w:rPr>
          <w:rFonts w:ascii="Times New Roman" w:hAnsi="Times New Roman"/>
          <w:sz w:val="20"/>
          <w:szCs w:val="20"/>
        </w:rPr>
      </w:pPr>
    </w:p>
    <w:p w14:paraId="0729A092" w14:textId="3D5178D8" w:rsidR="00113B44" w:rsidRPr="00F038BD" w:rsidRDefault="00113B44" w:rsidP="00113B44">
      <w:pPr>
        <w:spacing w:after="0" w:line="240" w:lineRule="auto"/>
        <w:jc w:val="both"/>
        <w:textAlignment w:val="baseline"/>
        <w:outlineLvl w:val="2"/>
        <w:rPr>
          <w:rFonts w:ascii="Times New Roman" w:hAnsi="Times New Roman"/>
          <w:b/>
          <w:bCs/>
          <w:sz w:val="20"/>
          <w:szCs w:val="20"/>
        </w:rPr>
      </w:pPr>
      <w:r w:rsidRPr="00F038BD">
        <w:rPr>
          <w:rFonts w:ascii="Times New Roman" w:hAnsi="Times New Roman"/>
          <w:b/>
          <w:bCs/>
          <w:sz w:val="20"/>
          <w:szCs w:val="20"/>
        </w:rPr>
        <w:t>Manufacturing of brass ingots, billets and rods</w:t>
      </w:r>
      <w:r w:rsidRPr="00F038BD">
        <w:rPr>
          <w:rFonts w:ascii="Times New Roman" w:hAnsi="Times New Roman"/>
          <w:sz w:val="20"/>
          <w:szCs w:val="20"/>
        </w:rPr>
        <w:t xml:space="preserve"> – We manufacture brass ingots, billets and rods through brass scrap from our manufacturing unit-II located at Village Lakhabaval, District Jamnagar. We mainly export these products to China. Additionally, we supply brass ingots to esteemed customers in India such as Astral Limited, Kajaria Bathware and AGI Greenpac (formerly known as HSIL). For Fiscal 2022 and 2023, our revenue from sale of brass ingots, billets and rods were </w:t>
      </w:r>
      <w:r w:rsidR="001706A2" w:rsidRPr="00712F3C">
        <w:rPr>
          <w:rFonts w:ascii="Times New Roman" w:eastAsia="MS Mincho" w:hAnsi="Times New Roman"/>
          <w:sz w:val="20"/>
          <w:szCs w:val="20"/>
        </w:rPr>
        <w:t>₹</w:t>
      </w:r>
      <w:r w:rsidRPr="00F038BD">
        <w:rPr>
          <w:rFonts w:ascii="Times New Roman" w:hAnsi="Times New Roman"/>
          <w:sz w:val="20"/>
          <w:szCs w:val="20"/>
        </w:rPr>
        <w:t xml:space="preserve"> 12</w:t>
      </w:r>
      <w:r w:rsidR="001706A2">
        <w:rPr>
          <w:rFonts w:ascii="Times New Roman" w:hAnsi="Times New Roman"/>
          <w:sz w:val="20"/>
          <w:szCs w:val="20"/>
        </w:rPr>
        <w:t>,</w:t>
      </w:r>
      <w:r w:rsidRPr="00F038BD">
        <w:rPr>
          <w:rFonts w:ascii="Times New Roman" w:hAnsi="Times New Roman"/>
          <w:sz w:val="20"/>
          <w:szCs w:val="20"/>
        </w:rPr>
        <w:t xml:space="preserve">849.73 lakhs and </w:t>
      </w:r>
      <w:r w:rsidR="001706A2" w:rsidRPr="00712F3C">
        <w:rPr>
          <w:rFonts w:ascii="Times New Roman" w:eastAsia="MS Mincho" w:hAnsi="Times New Roman"/>
          <w:sz w:val="20"/>
          <w:szCs w:val="20"/>
        </w:rPr>
        <w:t>₹</w:t>
      </w:r>
      <w:r w:rsidRPr="00F038BD">
        <w:rPr>
          <w:rFonts w:ascii="Times New Roman" w:hAnsi="Times New Roman"/>
          <w:sz w:val="20"/>
          <w:szCs w:val="20"/>
        </w:rPr>
        <w:t xml:space="preserve"> 19</w:t>
      </w:r>
      <w:r w:rsidR="001706A2">
        <w:rPr>
          <w:rFonts w:ascii="Times New Roman" w:hAnsi="Times New Roman"/>
          <w:sz w:val="20"/>
          <w:szCs w:val="20"/>
        </w:rPr>
        <w:t>,</w:t>
      </w:r>
      <w:r w:rsidRPr="00F038BD">
        <w:rPr>
          <w:rFonts w:ascii="Times New Roman" w:hAnsi="Times New Roman"/>
          <w:sz w:val="20"/>
          <w:szCs w:val="20"/>
        </w:rPr>
        <w:t>836.99 respectively, which contributed 30.36% and 40.25% respectively of our revenue from operations.</w:t>
      </w:r>
    </w:p>
    <w:p w14:paraId="6301B5C9" w14:textId="77777777" w:rsidR="00113B44" w:rsidRPr="00F038BD" w:rsidRDefault="00113B44" w:rsidP="00113B44">
      <w:pPr>
        <w:spacing w:after="0" w:line="240" w:lineRule="auto"/>
        <w:jc w:val="both"/>
        <w:textAlignment w:val="baseline"/>
        <w:outlineLvl w:val="2"/>
        <w:rPr>
          <w:rFonts w:ascii="Times New Roman" w:hAnsi="Times New Roman"/>
          <w:b/>
          <w:bCs/>
          <w:sz w:val="20"/>
          <w:szCs w:val="20"/>
        </w:rPr>
      </w:pPr>
    </w:p>
    <w:p w14:paraId="53A7DB6D" w14:textId="1876BDB2" w:rsidR="00113B44" w:rsidRPr="00F038BD" w:rsidRDefault="00113B44" w:rsidP="00113B44">
      <w:pPr>
        <w:spacing w:after="0" w:line="240" w:lineRule="auto"/>
        <w:jc w:val="both"/>
        <w:textAlignment w:val="baseline"/>
        <w:outlineLvl w:val="2"/>
        <w:rPr>
          <w:rFonts w:ascii="Times New Roman" w:hAnsi="Times New Roman"/>
          <w:sz w:val="20"/>
          <w:szCs w:val="20"/>
        </w:rPr>
      </w:pPr>
      <w:r w:rsidRPr="00F038BD">
        <w:rPr>
          <w:rFonts w:ascii="Times New Roman" w:hAnsi="Times New Roman"/>
          <w:b/>
          <w:bCs/>
          <w:sz w:val="20"/>
          <w:szCs w:val="20"/>
        </w:rPr>
        <w:t xml:space="preserve">Segregation of brass scrap </w:t>
      </w:r>
      <w:r w:rsidRPr="00F038BD">
        <w:rPr>
          <w:rFonts w:ascii="Times New Roman" w:hAnsi="Times New Roman"/>
          <w:sz w:val="20"/>
          <w:szCs w:val="20"/>
        </w:rPr>
        <w:t xml:space="preserve">– We procure brass scrap mainly from international market such as USA, UK, Europe and Middle East. Post procurement, segregation of brass is done at our unit-III located at Village Lakhabaval, District Jamnagar. Post segregation, the segregated brass is termed as Brass scrap honey. The brass scrap is mainly sold by us in Gujarat. For Fiscal 2022 and 2023, our revenue from sale of brass scrap were </w:t>
      </w:r>
      <w:r w:rsidR="001706A2" w:rsidRPr="00712F3C">
        <w:rPr>
          <w:rFonts w:ascii="Times New Roman" w:eastAsia="MS Mincho" w:hAnsi="Times New Roman"/>
          <w:sz w:val="20"/>
          <w:szCs w:val="20"/>
        </w:rPr>
        <w:t>₹</w:t>
      </w:r>
      <w:r w:rsidRPr="00F038BD">
        <w:rPr>
          <w:rFonts w:ascii="Times New Roman" w:hAnsi="Times New Roman"/>
          <w:sz w:val="20"/>
          <w:szCs w:val="20"/>
        </w:rPr>
        <w:t xml:space="preserve"> 23,442.30 lakhs and </w:t>
      </w:r>
      <w:r w:rsidR="001706A2" w:rsidRPr="00712F3C">
        <w:rPr>
          <w:rFonts w:ascii="Times New Roman" w:eastAsia="MS Mincho" w:hAnsi="Times New Roman"/>
          <w:sz w:val="20"/>
          <w:szCs w:val="20"/>
        </w:rPr>
        <w:t>₹</w:t>
      </w:r>
      <w:r w:rsidRPr="00F038BD">
        <w:rPr>
          <w:rFonts w:ascii="Times New Roman" w:hAnsi="Times New Roman"/>
          <w:sz w:val="20"/>
          <w:szCs w:val="20"/>
        </w:rPr>
        <w:t xml:space="preserve"> 2</w:t>
      </w:r>
      <w:r w:rsidR="001706A2">
        <w:rPr>
          <w:rFonts w:ascii="Times New Roman" w:hAnsi="Times New Roman"/>
          <w:sz w:val="20"/>
          <w:szCs w:val="20"/>
        </w:rPr>
        <w:t>,</w:t>
      </w:r>
      <w:r w:rsidRPr="00F038BD">
        <w:rPr>
          <w:rFonts w:ascii="Times New Roman" w:hAnsi="Times New Roman"/>
          <w:sz w:val="20"/>
          <w:szCs w:val="20"/>
        </w:rPr>
        <w:t xml:space="preserve">533.04 lakhs respectively, which contributed 55.39% and 51.39% respectively of our revenue from operations. </w:t>
      </w:r>
    </w:p>
    <w:p w14:paraId="6999C4A7" w14:textId="77777777" w:rsidR="00113B44" w:rsidRPr="00F038BD" w:rsidRDefault="00113B44" w:rsidP="00113B44">
      <w:pPr>
        <w:spacing w:after="0" w:line="240" w:lineRule="auto"/>
        <w:jc w:val="both"/>
        <w:textAlignment w:val="baseline"/>
        <w:outlineLvl w:val="2"/>
        <w:rPr>
          <w:rFonts w:ascii="Times New Roman" w:hAnsi="Times New Roman"/>
          <w:sz w:val="20"/>
          <w:szCs w:val="20"/>
        </w:rPr>
      </w:pPr>
    </w:p>
    <w:p w14:paraId="4B1A35A0" w14:textId="77777777" w:rsidR="00113B44" w:rsidRPr="00F038BD" w:rsidRDefault="00113B44" w:rsidP="00113B44">
      <w:pPr>
        <w:spacing w:after="0" w:line="240" w:lineRule="auto"/>
        <w:jc w:val="both"/>
        <w:textAlignment w:val="baseline"/>
        <w:outlineLvl w:val="2"/>
        <w:rPr>
          <w:rFonts w:ascii="Times New Roman" w:hAnsi="Times New Roman"/>
          <w:sz w:val="20"/>
          <w:szCs w:val="20"/>
        </w:rPr>
      </w:pPr>
      <w:r w:rsidRPr="00F038BD">
        <w:rPr>
          <w:rFonts w:ascii="Times New Roman" w:hAnsi="Times New Roman"/>
          <w:sz w:val="20"/>
          <w:szCs w:val="20"/>
        </w:rPr>
        <w:t xml:space="preserve">Brass is an alloy generally made from Copper and Zinc. Copper is a malleable and ductile metallic element that is an excellent conductor of heat and electricity as well as being corrosion resistant and antimicrobial. (Source: </w:t>
      </w:r>
      <w:hyperlink r:id="rId86" w:history="1">
        <w:r w:rsidRPr="00F038BD">
          <w:rPr>
            <w:rFonts w:ascii="Times New Roman" w:hAnsi="Times New Roman"/>
            <w:color w:val="0000FF"/>
            <w:sz w:val="20"/>
            <w:szCs w:val="20"/>
            <w:u w:val="single"/>
          </w:rPr>
          <w:t>https://mines.gov.in/webportal/copper</w:t>
        </w:r>
      </w:hyperlink>
      <w:r w:rsidRPr="00F038BD">
        <w:rPr>
          <w:rFonts w:ascii="Times New Roman" w:hAnsi="Times New Roman"/>
          <w:sz w:val="20"/>
          <w:szCs w:val="20"/>
        </w:rPr>
        <w:t xml:space="preserve">). The ability to conduct electricity and heat are two of the most important properties of copper. When alloyed with other metals, it acquires additional properties including increased hardness, tensile strength and improved corrosion resistance. Brass and Bronze are two of the most important alloys of copper. Copper and brass are the materials of choice for plumbing, taps, valves and fittings for their aesthetic appeals. (Source: </w:t>
      </w:r>
      <w:hyperlink r:id="rId87" w:history="1">
        <w:r w:rsidRPr="00F038BD">
          <w:rPr>
            <w:rFonts w:ascii="Times New Roman" w:hAnsi="Times New Roman"/>
            <w:color w:val="0000FF"/>
            <w:sz w:val="20"/>
            <w:szCs w:val="20"/>
            <w:u w:val="single"/>
          </w:rPr>
          <w:t>https://ibm.gov.in/writereaddata/files/07072014112340marketsurvey_copper.pdf</w:t>
        </w:r>
      </w:hyperlink>
      <w:r w:rsidRPr="00F038BD">
        <w:rPr>
          <w:rFonts w:ascii="Times New Roman" w:hAnsi="Times New Roman"/>
          <w:sz w:val="20"/>
          <w:szCs w:val="20"/>
        </w:rPr>
        <w:t xml:space="preserve">). Owing to its corrosion resistance in varied types of environment, zinc is used for protecting steel by way of galvanising. (Source: </w:t>
      </w:r>
      <w:hyperlink r:id="rId88" w:history="1">
        <w:r w:rsidRPr="00F038BD">
          <w:rPr>
            <w:rFonts w:ascii="Times New Roman" w:hAnsi="Times New Roman"/>
            <w:color w:val="0000FF"/>
            <w:sz w:val="20"/>
            <w:szCs w:val="20"/>
            <w:u w:val="single"/>
          </w:rPr>
          <w:t>https://mines.gov.in/webportal/internationalmineralscenario</w:t>
        </w:r>
      </w:hyperlink>
      <w:r w:rsidRPr="00F038BD">
        <w:rPr>
          <w:rFonts w:ascii="Times New Roman" w:hAnsi="Times New Roman"/>
          <w:sz w:val="20"/>
          <w:szCs w:val="20"/>
        </w:rPr>
        <w:t>).</w:t>
      </w:r>
    </w:p>
    <w:p w14:paraId="478817BC" w14:textId="77777777" w:rsidR="00113B44" w:rsidRPr="00F038BD" w:rsidRDefault="00113B44" w:rsidP="00113B44">
      <w:pPr>
        <w:spacing w:after="0" w:line="240" w:lineRule="auto"/>
        <w:jc w:val="both"/>
        <w:textAlignment w:val="baseline"/>
        <w:outlineLvl w:val="2"/>
        <w:rPr>
          <w:rFonts w:ascii="Times New Roman" w:hAnsi="Times New Roman"/>
          <w:sz w:val="20"/>
          <w:szCs w:val="20"/>
        </w:rPr>
      </w:pPr>
    </w:p>
    <w:p w14:paraId="4B03749E" w14:textId="77777777" w:rsidR="00113B44" w:rsidRPr="00F038BD" w:rsidRDefault="00113B44" w:rsidP="00113B44">
      <w:pPr>
        <w:spacing w:line="240" w:lineRule="auto"/>
        <w:jc w:val="both"/>
        <w:outlineLvl w:val="2"/>
        <w:rPr>
          <w:rFonts w:ascii="Times New Roman" w:hAnsi="Times New Roman"/>
          <w:sz w:val="20"/>
          <w:szCs w:val="20"/>
        </w:rPr>
      </w:pPr>
      <w:r w:rsidRPr="00F038BD">
        <w:rPr>
          <w:rFonts w:ascii="Times New Roman" w:hAnsi="Times New Roman"/>
          <w:sz w:val="20"/>
          <w:szCs w:val="20"/>
        </w:rPr>
        <w:t>Recycling brass helps to conserve natural resources by reducing the need to mine and extract new metals. Recycling also reduces energy consumption, as it takes less energy to recycle brass than it does to produce new brass. Additionally, recycling brass helps to minimise the environmental impact of mining and processing new metals, as well as reducing waste in landfills. Brass is used in a wide range of applications which include:</w:t>
      </w:r>
    </w:p>
    <w:p w14:paraId="5E9DABC3" w14:textId="77777777" w:rsidR="00113B44" w:rsidRPr="00F038BD" w:rsidRDefault="00113B44" w:rsidP="00113B44">
      <w:pPr>
        <w:spacing w:after="0" w:line="240" w:lineRule="auto"/>
        <w:jc w:val="both"/>
        <w:outlineLvl w:val="2"/>
        <w:rPr>
          <w:rFonts w:ascii="Times New Roman" w:hAnsi="Times New Roman"/>
          <w:sz w:val="20"/>
          <w:szCs w:val="20"/>
        </w:rPr>
      </w:pPr>
      <w:r w:rsidRPr="00F038BD">
        <w:rPr>
          <w:rFonts w:ascii="Times New Roman" w:hAnsi="Times New Roman"/>
          <w:sz w:val="20"/>
          <w:szCs w:val="20"/>
        </w:rPr>
        <w:t>- Plumbing fixtures and fittings such as valves, faucets, sanitary and other plumbing components;</w:t>
      </w:r>
    </w:p>
    <w:p w14:paraId="61D333ED" w14:textId="77777777" w:rsidR="00113B44" w:rsidRPr="00F038BD" w:rsidRDefault="00113B44" w:rsidP="00113B44">
      <w:pPr>
        <w:spacing w:after="0" w:line="240" w:lineRule="auto"/>
        <w:jc w:val="both"/>
        <w:outlineLvl w:val="2"/>
        <w:rPr>
          <w:rFonts w:ascii="Times New Roman" w:hAnsi="Times New Roman"/>
          <w:sz w:val="20"/>
          <w:szCs w:val="20"/>
        </w:rPr>
      </w:pPr>
      <w:r w:rsidRPr="00F038BD">
        <w:rPr>
          <w:rFonts w:ascii="Times New Roman" w:hAnsi="Times New Roman"/>
          <w:sz w:val="20"/>
          <w:szCs w:val="20"/>
        </w:rPr>
        <w:t>- Electrical connectors and terminals such as electrical connectors, terminals, and switches;</w:t>
      </w:r>
    </w:p>
    <w:p w14:paraId="7E7BEE00" w14:textId="77777777" w:rsidR="00113B44" w:rsidRPr="00F038BD" w:rsidRDefault="00113B44" w:rsidP="00113B44">
      <w:pPr>
        <w:spacing w:after="0" w:line="240" w:lineRule="auto"/>
        <w:jc w:val="both"/>
        <w:outlineLvl w:val="2"/>
        <w:rPr>
          <w:rFonts w:ascii="Times New Roman" w:hAnsi="Times New Roman"/>
          <w:sz w:val="20"/>
          <w:szCs w:val="20"/>
        </w:rPr>
      </w:pPr>
      <w:r w:rsidRPr="00F038BD">
        <w:rPr>
          <w:rFonts w:ascii="Times New Roman" w:hAnsi="Times New Roman"/>
          <w:sz w:val="20"/>
          <w:szCs w:val="20"/>
        </w:rPr>
        <w:t>- Decorative objects such as sculptures, ornaments and doorknobs; and</w:t>
      </w:r>
    </w:p>
    <w:p w14:paraId="73666D35" w14:textId="77777777" w:rsidR="00113B44" w:rsidRPr="00F038BD" w:rsidRDefault="00113B44" w:rsidP="00113B44">
      <w:pPr>
        <w:spacing w:after="0" w:line="240" w:lineRule="auto"/>
        <w:jc w:val="both"/>
        <w:outlineLvl w:val="2"/>
        <w:rPr>
          <w:rFonts w:ascii="Times New Roman" w:hAnsi="Times New Roman"/>
          <w:sz w:val="20"/>
          <w:szCs w:val="20"/>
        </w:rPr>
      </w:pPr>
      <w:r w:rsidRPr="00F038BD">
        <w:rPr>
          <w:rFonts w:ascii="Times New Roman" w:hAnsi="Times New Roman"/>
          <w:sz w:val="20"/>
          <w:szCs w:val="20"/>
        </w:rPr>
        <w:t>- Mechanical components such as gears, bearings, and bushings</w:t>
      </w:r>
    </w:p>
    <w:p w14:paraId="3B788A28" w14:textId="77777777" w:rsidR="00113B44" w:rsidRPr="00F038BD" w:rsidRDefault="00113B44" w:rsidP="00113B44">
      <w:pPr>
        <w:spacing w:after="0"/>
        <w:jc w:val="both"/>
        <w:outlineLvl w:val="2"/>
        <w:rPr>
          <w:rFonts w:ascii="Times New Roman" w:hAnsi="Times New Roman"/>
          <w:sz w:val="20"/>
          <w:szCs w:val="20"/>
        </w:rPr>
      </w:pPr>
    </w:p>
    <w:p w14:paraId="1A58FCC5" w14:textId="77777777" w:rsidR="00113B44" w:rsidRPr="00F038BD" w:rsidRDefault="00113B44" w:rsidP="00113B44">
      <w:pPr>
        <w:spacing w:after="0" w:line="240" w:lineRule="auto"/>
        <w:jc w:val="both"/>
        <w:textAlignment w:val="baseline"/>
        <w:outlineLvl w:val="2"/>
        <w:rPr>
          <w:rFonts w:ascii="Times New Roman" w:hAnsi="Times New Roman"/>
          <w:sz w:val="20"/>
          <w:szCs w:val="20"/>
        </w:rPr>
      </w:pPr>
      <w:r w:rsidRPr="00F038BD">
        <w:rPr>
          <w:rFonts w:ascii="Times New Roman" w:hAnsi="Times New Roman"/>
          <w:sz w:val="20"/>
          <w:szCs w:val="20"/>
        </w:rPr>
        <w:t>We currently operate through 3 facilities, all of which are located in the district of Jamnagar, which is considered as a hub of brass components. Our unit-I is situated at land of 4970 sq. mtrs. and has an installed capacity of ____ for ________________. Our unit-</w:t>
      </w:r>
      <w:r w:rsidRPr="00F038BD">
        <w:rPr>
          <w:rFonts w:ascii="Times New Roman" w:hAnsi="Times New Roman"/>
          <w:sz w:val="20"/>
          <w:szCs w:val="20"/>
        </w:rPr>
        <w:lastRenderedPageBreak/>
        <w:t xml:space="preserve">II, situated at land of 3629 sq. mtrs. has an installed capacity of _______ for ___________________________. And, our Unit-III, situated at land of 3346 sq. mtrs. has an installed capacity of _________ for _________________________________. </w:t>
      </w:r>
      <w:r w:rsidRPr="00F038BD">
        <w:rPr>
          <w:rFonts w:ascii="Times New Roman" w:hAnsi="Times New Roman"/>
          <w:color w:val="000000"/>
          <w:sz w:val="20"/>
          <w:szCs w:val="20"/>
          <w:shd w:val="clear" w:color="auto" w:fill="FFFFFF"/>
        </w:rPr>
        <w:t>O</w:t>
      </w:r>
      <w:r w:rsidRPr="00F038BD">
        <w:rPr>
          <w:rFonts w:ascii="Times New Roman" w:hAnsi="Times New Roman"/>
          <w:sz w:val="20"/>
          <w:szCs w:val="20"/>
        </w:rPr>
        <w:t>ur units have requisite testing equipments to ensure that the products conform with the pre-determined standards.</w:t>
      </w:r>
    </w:p>
    <w:p w14:paraId="62E5DC0B" w14:textId="32A6407A" w:rsidR="00113B44" w:rsidRPr="00F038BD" w:rsidRDefault="00113B44" w:rsidP="00113B44">
      <w:pPr>
        <w:autoSpaceDE w:val="0"/>
        <w:autoSpaceDN w:val="0"/>
        <w:adjustRightInd w:val="0"/>
        <w:spacing w:after="0" w:line="240" w:lineRule="auto"/>
        <w:jc w:val="both"/>
        <w:rPr>
          <w:rFonts w:ascii="Times New Roman" w:hAnsi="Times New Roman"/>
          <w:sz w:val="20"/>
          <w:szCs w:val="20"/>
        </w:rPr>
      </w:pPr>
      <w:r w:rsidRPr="00F038BD">
        <w:rPr>
          <w:rFonts w:ascii="Times New Roman" w:hAnsi="Times New Roman"/>
          <w:sz w:val="20"/>
          <w:szCs w:val="20"/>
        </w:rPr>
        <w:t xml:space="preserve">Currently, we market our products to around 18 states &amp; Union Territories in India of which majority portion of the revenue comes from the state of Gujarat. We also export our products to countries such as China, Germany, Belgium and Oman. Our revenue from exports for fiscal 2023 and 2022 was </w:t>
      </w:r>
      <w:r w:rsidR="001706A2" w:rsidRPr="00712F3C">
        <w:rPr>
          <w:rFonts w:ascii="Times New Roman" w:eastAsia="MS Mincho" w:hAnsi="Times New Roman"/>
          <w:sz w:val="20"/>
          <w:szCs w:val="20"/>
        </w:rPr>
        <w:t>₹</w:t>
      </w:r>
      <w:r w:rsidRPr="00F038BD">
        <w:rPr>
          <w:rFonts w:ascii="Times New Roman" w:hAnsi="Times New Roman"/>
          <w:sz w:val="20"/>
          <w:szCs w:val="20"/>
        </w:rPr>
        <w:t xml:space="preserve"> 16</w:t>
      </w:r>
      <w:r w:rsidR="001706A2">
        <w:rPr>
          <w:rFonts w:ascii="Times New Roman" w:hAnsi="Times New Roman"/>
          <w:sz w:val="20"/>
          <w:szCs w:val="20"/>
        </w:rPr>
        <w:t>,</w:t>
      </w:r>
      <w:r w:rsidRPr="00F038BD">
        <w:rPr>
          <w:rFonts w:ascii="Times New Roman" w:hAnsi="Times New Roman"/>
          <w:sz w:val="20"/>
          <w:szCs w:val="20"/>
        </w:rPr>
        <w:t xml:space="preserve">235.87 lakhs and </w:t>
      </w:r>
      <w:r w:rsidR="001706A2" w:rsidRPr="00712F3C">
        <w:rPr>
          <w:rFonts w:ascii="Times New Roman" w:eastAsia="MS Mincho" w:hAnsi="Times New Roman"/>
          <w:sz w:val="20"/>
          <w:szCs w:val="20"/>
        </w:rPr>
        <w:t>₹</w:t>
      </w:r>
      <w:r w:rsidRPr="00F038BD">
        <w:rPr>
          <w:rFonts w:ascii="Times New Roman" w:hAnsi="Times New Roman"/>
          <w:sz w:val="20"/>
          <w:szCs w:val="20"/>
        </w:rPr>
        <w:t xml:space="preserve"> 11</w:t>
      </w:r>
      <w:r w:rsidR="001706A2">
        <w:rPr>
          <w:rFonts w:ascii="Times New Roman" w:hAnsi="Times New Roman"/>
          <w:sz w:val="20"/>
          <w:szCs w:val="20"/>
        </w:rPr>
        <w:t>,</w:t>
      </w:r>
      <w:r w:rsidRPr="00F038BD">
        <w:rPr>
          <w:rFonts w:ascii="Times New Roman" w:hAnsi="Times New Roman"/>
          <w:sz w:val="20"/>
          <w:szCs w:val="20"/>
        </w:rPr>
        <w:t xml:space="preserve">335.13 lakhs respectively which constituted 32.94% and 26.78% of our revenue from operations for the respective fiscal. </w:t>
      </w:r>
    </w:p>
    <w:p w14:paraId="273780F7" w14:textId="77777777" w:rsidR="00113B44" w:rsidRPr="00F038BD" w:rsidRDefault="00113B44" w:rsidP="00113B44">
      <w:pPr>
        <w:autoSpaceDE w:val="0"/>
        <w:autoSpaceDN w:val="0"/>
        <w:adjustRightInd w:val="0"/>
        <w:spacing w:after="0" w:line="240" w:lineRule="auto"/>
        <w:jc w:val="both"/>
        <w:rPr>
          <w:rFonts w:ascii="Times New Roman" w:hAnsi="Times New Roman"/>
          <w:sz w:val="20"/>
          <w:szCs w:val="20"/>
        </w:rPr>
      </w:pPr>
    </w:p>
    <w:p w14:paraId="175B5DF2" w14:textId="420B08A0" w:rsidR="00113B44" w:rsidRPr="00F038BD" w:rsidRDefault="00113B44" w:rsidP="00113B44">
      <w:pPr>
        <w:autoSpaceDE w:val="0"/>
        <w:autoSpaceDN w:val="0"/>
        <w:adjustRightInd w:val="0"/>
        <w:spacing w:after="0" w:line="240" w:lineRule="auto"/>
        <w:jc w:val="both"/>
        <w:rPr>
          <w:rFonts w:ascii="Times New Roman" w:eastAsia="MS Mincho" w:hAnsi="Times New Roman"/>
          <w:bCs/>
          <w:sz w:val="20"/>
          <w:szCs w:val="20"/>
        </w:rPr>
      </w:pPr>
      <w:r w:rsidRPr="00F038BD">
        <w:rPr>
          <w:rFonts w:ascii="Times New Roman" w:eastAsia="MS Mincho" w:hAnsi="Times New Roman"/>
          <w:bCs/>
          <w:sz w:val="20"/>
          <w:szCs w:val="20"/>
        </w:rPr>
        <w:t xml:space="preserve">Our existing Promoters, Mr. Ramgopal Ochhavlal Maheshwari and Mr. Bhavesh Ramgopal Maheshwari has more than </w:t>
      </w:r>
      <w:r w:rsidR="001B70BE">
        <w:rPr>
          <w:rFonts w:ascii="Times New Roman" w:eastAsia="MS Mincho" w:hAnsi="Times New Roman"/>
          <w:bCs/>
          <w:sz w:val="20"/>
          <w:szCs w:val="20"/>
        </w:rPr>
        <w:t>34</w:t>
      </w:r>
      <w:r w:rsidRPr="00F038BD">
        <w:rPr>
          <w:rFonts w:ascii="Times New Roman" w:eastAsia="MS Mincho" w:hAnsi="Times New Roman"/>
          <w:bCs/>
          <w:sz w:val="20"/>
          <w:szCs w:val="20"/>
        </w:rPr>
        <w:t xml:space="preserve"> years and 6 years of experience in the brass industry. We have benefited immensely from the vast experience of our promoters on account of their sound knowledge of the brass market, high contacts with clients and suppliers and better decision-making power.</w:t>
      </w:r>
    </w:p>
    <w:p w14:paraId="71F3DFF5" w14:textId="77777777" w:rsidR="00113B44" w:rsidRDefault="00113B44" w:rsidP="00113B44">
      <w:pPr>
        <w:spacing w:after="0" w:line="259" w:lineRule="auto"/>
        <w:jc w:val="both"/>
        <w:rPr>
          <w:rFonts w:ascii="Times New Roman" w:eastAsia="MS Mincho" w:hAnsi="Times New Roman"/>
          <w:bCs/>
          <w:sz w:val="20"/>
          <w:szCs w:val="20"/>
        </w:rPr>
      </w:pPr>
    </w:p>
    <w:p w14:paraId="49C92852" w14:textId="77777777" w:rsidR="007515CC" w:rsidRPr="00F038BD" w:rsidRDefault="007515CC" w:rsidP="007515CC">
      <w:pPr>
        <w:autoSpaceDE w:val="0"/>
        <w:autoSpaceDN w:val="0"/>
        <w:adjustRightInd w:val="0"/>
        <w:spacing w:after="0" w:line="240" w:lineRule="auto"/>
        <w:jc w:val="both"/>
        <w:rPr>
          <w:rFonts w:ascii="Times New Roman" w:eastAsia="MS Mincho" w:hAnsi="Times New Roman"/>
          <w:b/>
          <w:bCs/>
          <w:sz w:val="20"/>
          <w:szCs w:val="20"/>
        </w:rPr>
      </w:pPr>
      <w:r w:rsidRPr="00F038BD">
        <w:rPr>
          <w:rFonts w:ascii="Times New Roman" w:eastAsia="MS Mincho" w:hAnsi="Times New Roman"/>
          <w:b/>
          <w:bCs/>
          <w:sz w:val="20"/>
          <w:szCs w:val="20"/>
        </w:rPr>
        <w:t>Key performance indicators of our Company</w:t>
      </w:r>
    </w:p>
    <w:p w14:paraId="451C9CF1" w14:textId="77777777" w:rsidR="007515CC" w:rsidRPr="00F038BD" w:rsidRDefault="007515CC" w:rsidP="007515CC">
      <w:pPr>
        <w:autoSpaceDE w:val="0"/>
        <w:autoSpaceDN w:val="0"/>
        <w:adjustRightInd w:val="0"/>
        <w:spacing w:after="0" w:line="240" w:lineRule="auto"/>
        <w:jc w:val="right"/>
        <w:rPr>
          <w:rFonts w:ascii="Times New Roman" w:eastAsia="MS Mincho" w:hAnsi="Times New Roman"/>
          <w:b/>
          <w:bCs/>
          <w:sz w:val="20"/>
          <w:szCs w:val="20"/>
        </w:rPr>
      </w:pPr>
      <w:r w:rsidRPr="00F038BD">
        <w:rPr>
          <w:rFonts w:ascii="Times New Roman" w:eastAsia="Calibri" w:hAnsi="Times New Roman"/>
          <w:b/>
          <w:bCs/>
          <w:sz w:val="20"/>
          <w:szCs w:val="20"/>
          <w:lang w:val="en-IN"/>
        </w:rPr>
        <w:t>(</w:t>
      </w:r>
      <w:r w:rsidRPr="00F038BD">
        <w:rPr>
          <w:rFonts w:ascii="Times New Roman" w:eastAsia="Calibri" w:hAnsi="Times New Roman"/>
          <w:b/>
          <w:i/>
          <w:sz w:val="20"/>
          <w:szCs w:val="20"/>
        </w:rPr>
        <w:t>₹</w:t>
      </w:r>
      <w:r w:rsidRPr="00F038BD">
        <w:rPr>
          <w:rFonts w:ascii="Times New Roman" w:eastAsia="Calibri" w:hAnsi="Times New Roman"/>
          <w:b/>
          <w:bCs/>
          <w:i/>
          <w:sz w:val="20"/>
          <w:szCs w:val="20"/>
          <w:lang w:val="en-IN"/>
        </w:rPr>
        <w:t xml:space="preserve"> In Lakhs except percentages and ratios)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4"/>
        <w:gridCol w:w="2614"/>
        <w:gridCol w:w="2614"/>
        <w:gridCol w:w="2614"/>
      </w:tblGrid>
      <w:tr w:rsidR="007515CC" w:rsidRPr="00F038BD" w14:paraId="6F5A4548" w14:textId="77777777" w:rsidTr="009C1E14">
        <w:tc>
          <w:tcPr>
            <w:tcW w:w="2614" w:type="dxa"/>
            <w:shd w:val="clear" w:color="auto" w:fill="D0CECE" w:themeFill="background2" w:themeFillShade="E6"/>
          </w:tcPr>
          <w:p w14:paraId="75BDAA81" w14:textId="77777777" w:rsidR="007515CC" w:rsidRPr="00F038BD" w:rsidRDefault="007515CC" w:rsidP="009C1E14">
            <w:pPr>
              <w:autoSpaceDE w:val="0"/>
              <w:autoSpaceDN w:val="0"/>
              <w:adjustRightInd w:val="0"/>
              <w:spacing w:after="0" w:line="240" w:lineRule="auto"/>
              <w:jc w:val="center"/>
              <w:rPr>
                <w:rFonts w:ascii="Times New Roman" w:eastAsia="MS Mincho" w:hAnsi="Times New Roman"/>
                <w:b/>
                <w:bCs/>
                <w:sz w:val="20"/>
                <w:szCs w:val="20"/>
              </w:rPr>
            </w:pPr>
            <w:r w:rsidRPr="00F038BD">
              <w:rPr>
                <w:rFonts w:ascii="Times New Roman" w:eastAsia="MS Mincho" w:hAnsi="Times New Roman"/>
                <w:b/>
                <w:bCs/>
                <w:sz w:val="20"/>
                <w:szCs w:val="20"/>
              </w:rPr>
              <w:t>Key performace indicator</w:t>
            </w:r>
          </w:p>
        </w:tc>
        <w:tc>
          <w:tcPr>
            <w:tcW w:w="2614" w:type="dxa"/>
            <w:shd w:val="clear" w:color="auto" w:fill="D0CECE" w:themeFill="background2" w:themeFillShade="E6"/>
            <w:vAlign w:val="center"/>
          </w:tcPr>
          <w:p w14:paraId="084318B8" w14:textId="77777777" w:rsidR="007515CC" w:rsidRPr="00F038BD" w:rsidRDefault="007515CC" w:rsidP="009C1E14">
            <w:pPr>
              <w:autoSpaceDE w:val="0"/>
              <w:autoSpaceDN w:val="0"/>
              <w:adjustRightInd w:val="0"/>
              <w:spacing w:after="0" w:line="240" w:lineRule="auto"/>
              <w:jc w:val="center"/>
              <w:rPr>
                <w:rFonts w:ascii="Times New Roman" w:eastAsia="MS Mincho" w:hAnsi="Times New Roman"/>
                <w:b/>
                <w:bCs/>
                <w:sz w:val="20"/>
                <w:szCs w:val="20"/>
              </w:rPr>
            </w:pPr>
            <w:r w:rsidRPr="00F038BD">
              <w:rPr>
                <w:rFonts w:ascii="Times New Roman" w:eastAsia="MS Mincho" w:hAnsi="Times New Roman"/>
                <w:b/>
                <w:bCs/>
                <w:sz w:val="20"/>
                <w:szCs w:val="20"/>
              </w:rPr>
              <w:t>F.Y. 2022-23</w:t>
            </w:r>
          </w:p>
        </w:tc>
        <w:tc>
          <w:tcPr>
            <w:tcW w:w="2614" w:type="dxa"/>
            <w:shd w:val="clear" w:color="auto" w:fill="D0CECE" w:themeFill="background2" w:themeFillShade="E6"/>
            <w:vAlign w:val="center"/>
          </w:tcPr>
          <w:p w14:paraId="1117F615" w14:textId="77777777" w:rsidR="007515CC" w:rsidRPr="00F038BD" w:rsidRDefault="007515CC" w:rsidP="009C1E14">
            <w:pPr>
              <w:autoSpaceDE w:val="0"/>
              <w:autoSpaceDN w:val="0"/>
              <w:adjustRightInd w:val="0"/>
              <w:spacing w:after="0" w:line="240" w:lineRule="auto"/>
              <w:jc w:val="center"/>
              <w:rPr>
                <w:rFonts w:ascii="Times New Roman" w:eastAsia="MS Mincho" w:hAnsi="Times New Roman"/>
                <w:b/>
                <w:bCs/>
                <w:sz w:val="20"/>
                <w:szCs w:val="20"/>
              </w:rPr>
            </w:pPr>
            <w:r w:rsidRPr="00F038BD">
              <w:rPr>
                <w:rFonts w:ascii="Times New Roman" w:eastAsia="MS Mincho" w:hAnsi="Times New Roman"/>
                <w:b/>
                <w:bCs/>
                <w:sz w:val="20"/>
                <w:szCs w:val="20"/>
              </w:rPr>
              <w:t>F.Y. 2021-22</w:t>
            </w:r>
          </w:p>
        </w:tc>
        <w:tc>
          <w:tcPr>
            <w:tcW w:w="2614" w:type="dxa"/>
            <w:shd w:val="clear" w:color="auto" w:fill="D0CECE" w:themeFill="background2" w:themeFillShade="E6"/>
            <w:vAlign w:val="center"/>
          </w:tcPr>
          <w:p w14:paraId="5F482FAF" w14:textId="77777777" w:rsidR="007515CC" w:rsidRPr="00F038BD" w:rsidRDefault="007515CC" w:rsidP="009C1E14">
            <w:pPr>
              <w:autoSpaceDE w:val="0"/>
              <w:autoSpaceDN w:val="0"/>
              <w:adjustRightInd w:val="0"/>
              <w:spacing w:after="0" w:line="240" w:lineRule="auto"/>
              <w:jc w:val="center"/>
              <w:rPr>
                <w:rFonts w:ascii="Times New Roman" w:eastAsia="MS Mincho" w:hAnsi="Times New Roman"/>
                <w:b/>
                <w:bCs/>
                <w:sz w:val="20"/>
                <w:szCs w:val="20"/>
              </w:rPr>
            </w:pPr>
            <w:r w:rsidRPr="00F038BD">
              <w:rPr>
                <w:rFonts w:ascii="Times New Roman" w:eastAsia="MS Mincho" w:hAnsi="Times New Roman"/>
                <w:b/>
                <w:bCs/>
                <w:sz w:val="20"/>
                <w:szCs w:val="20"/>
              </w:rPr>
              <w:t>F.Y. 2020-21</w:t>
            </w:r>
          </w:p>
        </w:tc>
      </w:tr>
      <w:tr w:rsidR="007515CC" w:rsidRPr="00F038BD" w14:paraId="278614E4" w14:textId="77777777" w:rsidTr="009C1E14">
        <w:tc>
          <w:tcPr>
            <w:tcW w:w="2614" w:type="dxa"/>
            <w:shd w:val="clear" w:color="auto" w:fill="auto"/>
            <w:vAlign w:val="center"/>
          </w:tcPr>
          <w:p w14:paraId="7520CCE5" w14:textId="77777777" w:rsidR="007515CC" w:rsidRPr="00F038BD" w:rsidRDefault="007515CC" w:rsidP="009C1E14">
            <w:pPr>
              <w:autoSpaceDE w:val="0"/>
              <w:autoSpaceDN w:val="0"/>
              <w:adjustRightInd w:val="0"/>
              <w:spacing w:after="0" w:line="240" w:lineRule="auto"/>
              <w:jc w:val="both"/>
              <w:rPr>
                <w:rFonts w:ascii="Times New Roman" w:eastAsia="MS Mincho" w:hAnsi="Times New Roman"/>
                <w:b/>
                <w:bCs/>
                <w:sz w:val="20"/>
                <w:szCs w:val="20"/>
              </w:rPr>
            </w:pPr>
            <w:r w:rsidRPr="00F038BD">
              <w:rPr>
                <w:rFonts w:ascii="Times New Roman" w:eastAsia="MS Mincho" w:hAnsi="Times New Roman"/>
                <w:bCs/>
                <w:sz w:val="20"/>
                <w:szCs w:val="20"/>
                <w:lang w:val="en-IN"/>
              </w:rPr>
              <w:t>Revenue from operations</w:t>
            </w:r>
            <w:r w:rsidRPr="00F038BD">
              <w:rPr>
                <w:rFonts w:ascii="Times New Roman" w:eastAsia="MS Mincho" w:hAnsi="Times New Roman"/>
                <w:bCs/>
                <w:sz w:val="20"/>
                <w:szCs w:val="20"/>
                <w:vertAlign w:val="superscript"/>
                <w:lang w:val="en-IN"/>
              </w:rPr>
              <w:t>(1)</w:t>
            </w:r>
          </w:p>
        </w:tc>
        <w:tc>
          <w:tcPr>
            <w:tcW w:w="2614" w:type="dxa"/>
            <w:shd w:val="clear" w:color="auto" w:fill="auto"/>
            <w:vAlign w:val="center"/>
          </w:tcPr>
          <w:p w14:paraId="06616335" w14:textId="77777777" w:rsidR="007515CC" w:rsidRPr="00F038BD" w:rsidRDefault="007515CC" w:rsidP="009C1E14">
            <w:pPr>
              <w:autoSpaceDE w:val="0"/>
              <w:autoSpaceDN w:val="0"/>
              <w:adjustRightInd w:val="0"/>
              <w:spacing w:after="0" w:line="240" w:lineRule="auto"/>
              <w:jc w:val="center"/>
              <w:rPr>
                <w:rFonts w:ascii="Times New Roman" w:eastAsia="MS Mincho" w:hAnsi="Times New Roman"/>
                <w:b/>
                <w:bCs/>
                <w:sz w:val="20"/>
                <w:szCs w:val="20"/>
              </w:rPr>
            </w:pPr>
            <w:r w:rsidRPr="00F038BD">
              <w:rPr>
                <w:rFonts w:ascii="Times New Roman" w:hAnsi="Times New Roman"/>
              </w:rPr>
              <w:t>49,287.35</w:t>
            </w:r>
          </w:p>
        </w:tc>
        <w:tc>
          <w:tcPr>
            <w:tcW w:w="2614" w:type="dxa"/>
            <w:shd w:val="clear" w:color="auto" w:fill="auto"/>
            <w:vAlign w:val="center"/>
          </w:tcPr>
          <w:p w14:paraId="61279F06" w14:textId="77777777" w:rsidR="007515CC" w:rsidRPr="00F038BD" w:rsidRDefault="007515CC" w:rsidP="009C1E14">
            <w:pPr>
              <w:autoSpaceDE w:val="0"/>
              <w:autoSpaceDN w:val="0"/>
              <w:adjustRightInd w:val="0"/>
              <w:spacing w:after="0" w:line="240" w:lineRule="auto"/>
              <w:jc w:val="center"/>
              <w:rPr>
                <w:rFonts w:ascii="Times New Roman" w:eastAsia="MS Mincho" w:hAnsi="Times New Roman"/>
                <w:b/>
                <w:bCs/>
                <w:sz w:val="20"/>
                <w:szCs w:val="20"/>
              </w:rPr>
            </w:pPr>
            <w:r w:rsidRPr="00F038BD">
              <w:rPr>
                <w:rFonts w:ascii="Times New Roman" w:hAnsi="Times New Roman"/>
              </w:rPr>
              <w:t>42,323.27</w:t>
            </w:r>
          </w:p>
        </w:tc>
        <w:tc>
          <w:tcPr>
            <w:tcW w:w="2614" w:type="dxa"/>
            <w:shd w:val="clear" w:color="auto" w:fill="auto"/>
            <w:vAlign w:val="center"/>
          </w:tcPr>
          <w:p w14:paraId="480CA0EA" w14:textId="77777777" w:rsidR="007515CC" w:rsidRPr="00F038BD" w:rsidRDefault="007515CC" w:rsidP="009C1E14">
            <w:pPr>
              <w:autoSpaceDE w:val="0"/>
              <w:autoSpaceDN w:val="0"/>
              <w:adjustRightInd w:val="0"/>
              <w:spacing w:after="0" w:line="240" w:lineRule="auto"/>
              <w:jc w:val="center"/>
              <w:rPr>
                <w:rFonts w:ascii="Times New Roman" w:eastAsia="MS Mincho" w:hAnsi="Times New Roman"/>
                <w:b/>
                <w:bCs/>
                <w:sz w:val="20"/>
                <w:szCs w:val="20"/>
              </w:rPr>
            </w:pPr>
            <w:r w:rsidRPr="00F038BD">
              <w:rPr>
                <w:rFonts w:ascii="Times New Roman" w:hAnsi="Times New Roman"/>
              </w:rPr>
              <w:t>13,867.05</w:t>
            </w:r>
          </w:p>
        </w:tc>
      </w:tr>
      <w:tr w:rsidR="007515CC" w:rsidRPr="00F038BD" w14:paraId="4270615D" w14:textId="77777777" w:rsidTr="009C1E14">
        <w:tc>
          <w:tcPr>
            <w:tcW w:w="2614" w:type="dxa"/>
            <w:shd w:val="clear" w:color="auto" w:fill="auto"/>
            <w:vAlign w:val="center"/>
          </w:tcPr>
          <w:p w14:paraId="5DDC272C" w14:textId="77777777" w:rsidR="007515CC" w:rsidRPr="00F038BD" w:rsidRDefault="007515CC" w:rsidP="009C1E14">
            <w:pPr>
              <w:autoSpaceDE w:val="0"/>
              <w:autoSpaceDN w:val="0"/>
              <w:adjustRightInd w:val="0"/>
              <w:spacing w:after="0" w:line="240" w:lineRule="auto"/>
              <w:jc w:val="both"/>
              <w:rPr>
                <w:rFonts w:ascii="Times New Roman" w:eastAsia="MS Mincho" w:hAnsi="Times New Roman"/>
                <w:b/>
                <w:bCs/>
                <w:sz w:val="20"/>
                <w:szCs w:val="20"/>
              </w:rPr>
            </w:pPr>
            <w:r w:rsidRPr="00F038BD">
              <w:rPr>
                <w:rFonts w:ascii="Times New Roman" w:eastAsia="MS Mincho" w:hAnsi="Times New Roman"/>
                <w:bCs/>
                <w:sz w:val="20"/>
                <w:szCs w:val="20"/>
                <w:lang w:val="en-IN"/>
              </w:rPr>
              <w:t>EBITDA</w:t>
            </w:r>
            <w:r w:rsidRPr="00F038BD">
              <w:rPr>
                <w:rFonts w:ascii="Times New Roman" w:eastAsia="MS Mincho" w:hAnsi="Times New Roman"/>
                <w:bCs/>
                <w:sz w:val="20"/>
                <w:szCs w:val="20"/>
                <w:vertAlign w:val="superscript"/>
                <w:lang w:val="en-IN"/>
              </w:rPr>
              <w:t>(2)</w:t>
            </w:r>
          </w:p>
        </w:tc>
        <w:tc>
          <w:tcPr>
            <w:tcW w:w="2614" w:type="dxa"/>
            <w:shd w:val="clear" w:color="auto" w:fill="auto"/>
          </w:tcPr>
          <w:p w14:paraId="61D7B39A" w14:textId="77777777" w:rsidR="007515CC" w:rsidRPr="00F038BD" w:rsidRDefault="007515CC" w:rsidP="009C1E14">
            <w:pPr>
              <w:autoSpaceDE w:val="0"/>
              <w:autoSpaceDN w:val="0"/>
              <w:adjustRightInd w:val="0"/>
              <w:spacing w:after="0" w:line="240" w:lineRule="auto"/>
              <w:jc w:val="center"/>
              <w:rPr>
                <w:rFonts w:ascii="Times New Roman" w:eastAsia="MS Mincho" w:hAnsi="Times New Roman"/>
                <w:b/>
                <w:bCs/>
                <w:sz w:val="20"/>
                <w:szCs w:val="20"/>
              </w:rPr>
            </w:pPr>
            <w:r w:rsidRPr="00F038BD">
              <w:rPr>
                <w:rFonts w:ascii="Times New Roman" w:hAnsi="Times New Roman"/>
              </w:rPr>
              <w:t>1,157.48</w:t>
            </w:r>
          </w:p>
        </w:tc>
        <w:tc>
          <w:tcPr>
            <w:tcW w:w="2614" w:type="dxa"/>
            <w:shd w:val="clear" w:color="auto" w:fill="auto"/>
          </w:tcPr>
          <w:p w14:paraId="2B11F503" w14:textId="77777777" w:rsidR="007515CC" w:rsidRPr="00F038BD" w:rsidRDefault="007515CC" w:rsidP="009C1E14">
            <w:pPr>
              <w:autoSpaceDE w:val="0"/>
              <w:autoSpaceDN w:val="0"/>
              <w:adjustRightInd w:val="0"/>
              <w:spacing w:after="0" w:line="240" w:lineRule="auto"/>
              <w:jc w:val="center"/>
              <w:rPr>
                <w:rFonts w:ascii="Times New Roman" w:eastAsia="MS Mincho" w:hAnsi="Times New Roman"/>
                <w:b/>
                <w:bCs/>
                <w:sz w:val="20"/>
                <w:szCs w:val="20"/>
              </w:rPr>
            </w:pPr>
            <w:r w:rsidRPr="00F038BD">
              <w:rPr>
                <w:rFonts w:ascii="Times New Roman" w:hAnsi="Times New Roman"/>
              </w:rPr>
              <w:t>513.94</w:t>
            </w:r>
          </w:p>
        </w:tc>
        <w:tc>
          <w:tcPr>
            <w:tcW w:w="2614" w:type="dxa"/>
            <w:shd w:val="clear" w:color="auto" w:fill="auto"/>
          </w:tcPr>
          <w:p w14:paraId="6AF1344D" w14:textId="77777777" w:rsidR="007515CC" w:rsidRPr="00F038BD" w:rsidRDefault="007515CC" w:rsidP="009C1E14">
            <w:pPr>
              <w:autoSpaceDE w:val="0"/>
              <w:autoSpaceDN w:val="0"/>
              <w:adjustRightInd w:val="0"/>
              <w:spacing w:after="0" w:line="240" w:lineRule="auto"/>
              <w:jc w:val="center"/>
              <w:rPr>
                <w:rFonts w:ascii="Times New Roman" w:eastAsia="MS Mincho" w:hAnsi="Times New Roman"/>
                <w:b/>
                <w:bCs/>
                <w:sz w:val="20"/>
                <w:szCs w:val="20"/>
              </w:rPr>
            </w:pPr>
            <w:r w:rsidRPr="00F038BD">
              <w:rPr>
                <w:rFonts w:ascii="Times New Roman" w:hAnsi="Times New Roman"/>
              </w:rPr>
              <w:t>375.97</w:t>
            </w:r>
          </w:p>
        </w:tc>
      </w:tr>
      <w:tr w:rsidR="007515CC" w:rsidRPr="00F038BD" w14:paraId="40320351" w14:textId="77777777" w:rsidTr="009C1E14">
        <w:tc>
          <w:tcPr>
            <w:tcW w:w="2614" w:type="dxa"/>
            <w:shd w:val="clear" w:color="auto" w:fill="auto"/>
            <w:vAlign w:val="center"/>
          </w:tcPr>
          <w:p w14:paraId="6C53FC22" w14:textId="77777777" w:rsidR="007515CC" w:rsidRPr="00F038BD" w:rsidRDefault="007515CC" w:rsidP="009C1E14">
            <w:pPr>
              <w:autoSpaceDE w:val="0"/>
              <w:autoSpaceDN w:val="0"/>
              <w:adjustRightInd w:val="0"/>
              <w:spacing w:after="0" w:line="240" w:lineRule="auto"/>
              <w:jc w:val="both"/>
              <w:rPr>
                <w:rFonts w:ascii="Times New Roman" w:eastAsia="MS Mincho" w:hAnsi="Times New Roman"/>
                <w:b/>
                <w:bCs/>
                <w:sz w:val="20"/>
                <w:szCs w:val="20"/>
              </w:rPr>
            </w:pPr>
            <w:r w:rsidRPr="00F038BD">
              <w:rPr>
                <w:rFonts w:ascii="Times New Roman" w:eastAsia="MS Mincho" w:hAnsi="Times New Roman"/>
                <w:bCs/>
                <w:sz w:val="20"/>
                <w:szCs w:val="20"/>
                <w:lang w:val="en-IN"/>
              </w:rPr>
              <w:t>EBITDA Margin</w:t>
            </w:r>
            <w:r w:rsidRPr="00F038BD">
              <w:rPr>
                <w:rFonts w:ascii="Times New Roman" w:eastAsia="MS Mincho" w:hAnsi="Times New Roman"/>
                <w:bCs/>
                <w:sz w:val="20"/>
                <w:szCs w:val="20"/>
                <w:vertAlign w:val="superscript"/>
                <w:lang w:val="en-IN"/>
              </w:rPr>
              <w:t>(3)</w:t>
            </w:r>
          </w:p>
        </w:tc>
        <w:tc>
          <w:tcPr>
            <w:tcW w:w="2614" w:type="dxa"/>
            <w:shd w:val="clear" w:color="auto" w:fill="auto"/>
            <w:vAlign w:val="center"/>
          </w:tcPr>
          <w:p w14:paraId="6CFC8BE6" w14:textId="77777777" w:rsidR="007515CC" w:rsidRPr="00F038BD" w:rsidRDefault="007515CC" w:rsidP="009C1E14">
            <w:pPr>
              <w:autoSpaceDE w:val="0"/>
              <w:autoSpaceDN w:val="0"/>
              <w:adjustRightInd w:val="0"/>
              <w:spacing w:after="0" w:line="240" w:lineRule="auto"/>
              <w:jc w:val="center"/>
              <w:rPr>
                <w:rFonts w:ascii="Times New Roman" w:eastAsia="MS Mincho" w:hAnsi="Times New Roman"/>
                <w:b/>
                <w:bCs/>
                <w:sz w:val="20"/>
                <w:szCs w:val="20"/>
              </w:rPr>
            </w:pPr>
            <w:r w:rsidRPr="00F038BD">
              <w:rPr>
                <w:rFonts w:ascii="Times New Roman" w:hAnsi="Times New Roman"/>
              </w:rPr>
              <w:t>2.35%</w:t>
            </w:r>
          </w:p>
        </w:tc>
        <w:tc>
          <w:tcPr>
            <w:tcW w:w="2614" w:type="dxa"/>
            <w:shd w:val="clear" w:color="auto" w:fill="auto"/>
            <w:vAlign w:val="center"/>
          </w:tcPr>
          <w:p w14:paraId="2F8FF7F5" w14:textId="77777777" w:rsidR="007515CC" w:rsidRPr="00F038BD" w:rsidRDefault="007515CC" w:rsidP="009C1E14">
            <w:pPr>
              <w:autoSpaceDE w:val="0"/>
              <w:autoSpaceDN w:val="0"/>
              <w:adjustRightInd w:val="0"/>
              <w:spacing w:after="0" w:line="240" w:lineRule="auto"/>
              <w:jc w:val="center"/>
              <w:rPr>
                <w:rFonts w:ascii="Times New Roman" w:eastAsia="MS Mincho" w:hAnsi="Times New Roman"/>
                <w:b/>
                <w:bCs/>
                <w:sz w:val="20"/>
                <w:szCs w:val="20"/>
              </w:rPr>
            </w:pPr>
            <w:r w:rsidRPr="00F038BD">
              <w:rPr>
                <w:rFonts w:ascii="Times New Roman" w:hAnsi="Times New Roman"/>
              </w:rPr>
              <w:t>1.21%</w:t>
            </w:r>
          </w:p>
        </w:tc>
        <w:tc>
          <w:tcPr>
            <w:tcW w:w="2614" w:type="dxa"/>
            <w:shd w:val="clear" w:color="auto" w:fill="auto"/>
            <w:vAlign w:val="center"/>
          </w:tcPr>
          <w:p w14:paraId="41284028" w14:textId="77777777" w:rsidR="007515CC" w:rsidRPr="00F038BD" w:rsidRDefault="007515CC" w:rsidP="009C1E14">
            <w:pPr>
              <w:autoSpaceDE w:val="0"/>
              <w:autoSpaceDN w:val="0"/>
              <w:adjustRightInd w:val="0"/>
              <w:spacing w:after="0" w:line="240" w:lineRule="auto"/>
              <w:jc w:val="center"/>
              <w:rPr>
                <w:rFonts w:ascii="Times New Roman" w:eastAsia="MS Mincho" w:hAnsi="Times New Roman"/>
                <w:b/>
                <w:bCs/>
                <w:sz w:val="20"/>
                <w:szCs w:val="20"/>
              </w:rPr>
            </w:pPr>
            <w:r w:rsidRPr="00F038BD">
              <w:rPr>
                <w:rFonts w:ascii="Times New Roman" w:hAnsi="Times New Roman"/>
              </w:rPr>
              <w:t>2.71%</w:t>
            </w:r>
          </w:p>
        </w:tc>
      </w:tr>
      <w:tr w:rsidR="007515CC" w:rsidRPr="00F038BD" w14:paraId="4CF4D83E" w14:textId="77777777" w:rsidTr="009C1E14">
        <w:tc>
          <w:tcPr>
            <w:tcW w:w="2614" w:type="dxa"/>
            <w:shd w:val="clear" w:color="auto" w:fill="auto"/>
            <w:vAlign w:val="center"/>
          </w:tcPr>
          <w:p w14:paraId="59B60A86" w14:textId="77777777" w:rsidR="007515CC" w:rsidRPr="00F038BD" w:rsidRDefault="007515CC" w:rsidP="009C1E14">
            <w:pPr>
              <w:autoSpaceDE w:val="0"/>
              <w:autoSpaceDN w:val="0"/>
              <w:adjustRightInd w:val="0"/>
              <w:spacing w:after="0" w:line="240" w:lineRule="auto"/>
              <w:jc w:val="both"/>
              <w:rPr>
                <w:rFonts w:ascii="Times New Roman" w:eastAsia="MS Mincho" w:hAnsi="Times New Roman"/>
                <w:b/>
                <w:bCs/>
                <w:sz w:val="20"/>
                <w:szCs w:val="20"/>
              </w:rPr>
            </w:pPr>
            <w:r w:rsidRPr="00F038BD">
              <w:rPr>
                <w:rFonts w:ascii="Times New Roman" w:eastAsia="MS Mincho" w:hAnsi="Times New Roman"/>
                <w:bCs/>
                <w:sz w:val="20"/>
                <w:szCs w:val="20"/>
                <w:lang w:val="en-IN"/>
              </w:rPr>
              <w:t>PAT</w:t>
            </w:r>
            <w:r w:rsidRPr="00F038BD">
              <w:rPr>
                <w:rFonts w:ascii="Times New Roman" w:eastAsia="MS Mincho" w:hAnsi="Times New Roman"/>
                <w:bCs/>
                <w:sz w:val="20"/>
                <w:szCs w:val="20"/>
                <w:vertAlign w:val="superscript"/>
                <w:lang w:val="en-IN"/>
              </w:rPr>
              <w:t>(4)</w:t>
            </w:r>
          </w:p>
        </w:tc>
        <w:tc>
          <w:tcPr>
            <w:tcW w:w="2614" w:type="dxa"/>
            <w:shd w:val="clear" w:color="auto" w:fill="auto"/>
            <w:vAlign w:val="center"/>
          </w:tcPr>
          <w:p w14:paraId="37BE9730" w14:textId="77777777" w:rsidR="007515CC" w:rsidRPr="00F038BD" w:rsidRDefault="007515CC" w:rsidP="009C1E14">
            <w:pPr>
              <w:autoSpaceDE w:val="0"/>
              <w:autoSpaceDN w:val="0"/>
              <w:adjustRightInd w:val="0"/>
              <w:spacing w:after="0" w:line="240" w:lineRule="auto"/>
              <w:jc w:val="center"/>
              <w:rPr>
                <w:rFonts w:ascii="Times New Roman" w:eastAsia="MS Mincho" w:hAnsi="Times New Roman"/>
                <w:b/>
                <w:bCs/>
                <w:sz w:val="20"/>
                <w:szCs w:val="20"/>
              </w:rPr>
            </w:pPr>
            <w:r w:rsidRPr="00F038BD">
              <w:rPr>
                <w:rFonts w:ascii="Times New Roman" w:hAnsi="Times New Roman"/>
              </w:rPr>
              <w:t>765.42</w:t>
            </w:r>
          </w:p>
        </w:tc>
        <w:tc>
          <w:tcPr>
            <w:tcW w:w="2614" w:type="dxa"/>
            <w:shd w:val="clear" w:color="auto" w:fill="auto"/>
            <w:vAlign w:val="center"/>
          </w:tcPr>
          <w:p w14:paraId="25BAE47B" w14:textId="77777777" w:rsidR="007515CC" w:rsidRPr="00F038BD" w:rsidRDefault="007515CC" w:rsidP="009C1E14">
            <w:pPr>
              <w:autoSpaceDE w:val="0"/>
              <w:autoSpaceDN w:val="0"/>
              <w:adjustRightInd w:val="0"/>
              <w:spacing w:after="0" w:line="240" w:lineRule="auto"/>
              <w:jc w:val="center"/>
              <w:rPr>
                <w:rFonts w:ascii="Times New Roman" w:eastAsia="MS Mincho" w:hAnsi="Times New Roman"/>
                <w:b/>
                <w:bCs/>
                <w:sz w:val="20"/>
                <w:szCs w:val="20"/>
              </w:rPr>
            </w:pPr>
            <w:r w:rsidRPr="00F038BD">
              <w:rPr>
                <w:rFonts w:ascii="Times New Roman" w:hAnsi="Times New Roman"/>
                <w:bCs/>
              </w:rPr>
              <w:t>322.47</w:t>
            </w:r>
          </w:p>
        </w:tc>
        <w:tc>
          <w:tcPr>
            <w:tcW w:w="2614" w:type="dxa"/>
            <w:shd w:val="clear" w:color="auto" w:fill="auto"/>
            <w:vAlign w:val="center"/>
          </w:tcPr>
          <w:p w14:paraId="0DDC0692" w14:textId="77777777" w:rsidR="007515CC" w:rsidRPr="00F038BD" w:rsidRDefault="007515CC" w:rsidP="009C1E14">
            <w:pPr>
              <w:autoSpaceDE w:val="0"/>
              <w:autoSpaceDN w:val="0"/>
              <w:adjustRightInd w:val="0"/>
              <w:spacing w:after="0" w:line="240" w:lineRule="auto"/>
              <w:jc w:val="center"/>
              <w:rPr>
                <w:rFonts w:ascii="Times New Roman" w:eastAsia="MS Mincho" w:hAnsi="Times New Roman"/>
                <w:b/>
                <w:bCs/>
                <w:sz w:val="20"/>
                <w:szCs w:val="20"/>
              </w:rPr>
            </w:pPr>
            <w:r w:rsidRPr="00F038BD">
              <w:rPr>
                <w:rFonts w:ascii="Times New Roman" w:hAnsi="Times New Roman"/>
              </w:rPr>
              <w:t>142.28</w:t>
            </w:r>
          </w:p>
        </w:tc>
      </w:tr>
      <w:tr w:rsidR="007515CC" w:rsidRPr="00F038BD" w14:paraId="185CC414" w14:textId="77777777" w:rsidTr="009C1E14">
        <w:tc>
          <w:tcPr>
            <w:tcW w:w="2614" w:type="dxa"/>
            <w:shd w:val="clear" w:color="auto" w:fill="auto"/>
            <w:vAlign w:val="center"/>
          </w:tcPr>
          <w:p w14:paraId="6818AE1E" w14:textId="77777777" w:rsidR="007515CC" w:rsidRPr="00F038BD" w:rsidRDefault="007515CC" w:rsidP="009C1E14">
            <w:pPr>
              <w:autoSpaceDE w:val="0"/>
              <w:autoSpaceDN w:val="0"/>
              <w:adjustRightInd w:val="0"/>
              <w:spacing w:after="0" w:line="240" w:lineRule="auto"/>
              <w:jc w:val="both"/>
              <w:rPr>
                <w:rFonts w:ascii="Times New Roman" w:eastAsia="MS Mincho" w:hAnsi="Times New Roman"/>
                <w:bCs/>
                <w:sz w:val="20"/>
                <w:szCs w:val="20"/>
                <w:lang w:val="en-IN"/>
              </w:rPr>
            </w:pPr>
            <w:r w:rsidRPr="00F038BD">
              <w:rPr>
                <w:rFonts w:ascii="Times New Roman" w:eastAsia="MS Mincho" w:hAnsi="Times New Roman"/>
                <w:bCs/>
                <w:sz w:val="20"/>
                <w:szCs w:val="20"/>
                <w:lang w:val="en-IN"/>
              </w:rPr>
              <w:t>PAT Margin</w:t>
            </w:r>
            <w:r w:rsidRPr="00F038BD">
              <w:rPr>
                <w:rFonts w:ascii="Times New Roman" w:eastAsia="MS Mincho" w:hAnsi="Times New Roman"/>
                <w:bCs/>
                <w:sz w:val="20"/>
                <w:szCs w:val="20"/>
                <w:vertAlign w:val="superscript"/>
                <w:lang w:val="en-IN"/>
              </w:rPr>
              <w:t>(5)</w:t>
            </w:r>
          </w:p>
        </w:tc>
        <w:tc>
          <w:tcPr>
            <w:tcW w:w="2614" w:type="dxa"/>
            <w:shd w:val="clear" w:color="auto" w:fill="auto"/>
            <w:vAlign w:val="center"/>
          </w:tcPr>
          <w:p w14:paraId="15DCAECF" w14:textId="77777777" w:rsidR="007515CC" w:rsidRPr="00F038BD" w:rsidRDefault="007515CC" w:rsidP="009C1E14">
            <w:pPr>
              <w:autoSpaceDE w:val="0"/>
              <w:autoSpaceDN w:val="0"/>
              <w:adjustRightInd w:val="0"/>
              <w:spacing w:after="0" w:line="240" w:lineRule="auto"/>
              <w:jc w:val="center"/>
              <w:rPr>
                <w:rFonts w:ascii="Times New Roman" w:eastAsia="MS Mincho" w:hAnsi="Times New Roman"/>
                <w:bCs/>
                <w:sz w:val="20"/>
                <w:szCs w:val="20"/>
              </w:rPr>
            </w:pPr>
            <w:r w:rsidRPr="00F038BD">
              <w:rPr>
                <w:rFonts w:ascii="Times New Roman" w:hAnsi="Times New Roman"/>
              </w:rPr>
              <w:t>1.55%</w:t>
            </w:r>
          </w:p>
        </w:tc>
        <w:tc>
          <w:tcPr>
            <w:tcW w:w="2614" w:type="dxa"/>
            <w:shd w:val="clear" w:color="auto" w:fill="auto"/>
            <w:vAlign w:val="center"/>
          </w:tcPr>
          <w:p w14:paraId="4E2B02FB" w14:textId="77777777" w:rsidR="007515CC" w:rsidRPr="00F038BD" w:rsidRDefault="007515CC" w:rsidP="009C1E14">
            <w:pPr>
              <w:autoSpaceDE w:val="0"/>
              <w:autoSpaceDN w:val="0"/>
              <w:adjustRightInd w:val="0"/>
              <w:spacing w:after="0" w:line="240" w:lineRule="auto"/>
              <w:jc w:val="center"/>
              <w:rPr>
                <w:rFonts w:ascii="Times New Roman" w:eastAsia="MS Mincho" w:hAnsi="Times New Roman"/>
                <w:bCs/>
                <w:sz w:val="20"/>
                <w:szCs w:val="20"/>
              </w:rPr>
            </w:pPr>
            <w:r w:rsidRPr="00F038BD">
              <w:rPr>
                <w:rFonts w:ascii="Times New Roman" w:hAnsi="Times New Roman"/>
              </w:rPr>
              <w:t>0.76%</w:t>
            </w:r>
          </w:p>
        </w:tc>
        <w:tc>
          <w:tcPr>
            <w:tcW w:w="2614" w:type="dxa"/>
            <w:shd w:val="clear" w:color="auto" w:fill="auto"/>
            <w:vAlign w:val="center"/>
          </w:tcPr>
          <w:p w14:paraId="631E3178" w14:textId="77777777" w:rsidR="007515CC" w:rsidRPr="00F038BD" w:rsidRDefault="007515CC" w:rsidP="009C1E14">
            <w:pPr>
              <w:autoSpaceDE w:val="0"/>
              <w:autoSpaceDN w:val="0"/>
              <w:adjustRightInd w:val="0"/>
              <w:spacing w:after="0" w:line="240" w:lineRule="auto"/>
              <w:jc w:val="center"/>
              <w:rPr>
                <w:rFonts w:ascii="Times New Roman" w:eastAsia="MS Mincho" w:hAnsi="Times New Roman"/>
                <w:bCs/>
                <w:sz w:val="20"/>
                <w:szCs w:val="20"/>
              </w:rPr>
            </w:pPr>
            <w:r w:rsidRPr="00F038BD">
              <w:rPr>
                <w:rFonts w:ascii="Times New Roman" w:hAnsi="Times New Roman"/>
              </w:rPr>
              <w:t>1.03%</w:t>
            </w:r>
          </w:p>
        </w:tc>
      </w:tr>
      <w:tr w:rsidR="007515CC" w:rsidRPr="00F038BD" w14:paraId="043532C3" w14:textId="77777777" w:rsidTr="009C1E14">
        <w:tc>
          <w:tcPr>
            <w:tcW w:w="2614" w:type="dxa"/>
            <w:shd w:val="clear" w:color="auto" w:fill="auto"/>
            <w:vAlign w:val="center"/>
          </w:tcPr>
          <w:p w14:paraId="39DAF3EE" w14:textId="77777777" w:rsidR="007515CC" w:rsidRPr="00F038BD" w:rsidRDefault="007515CC" w:rsidP="009C1E14">
            <w:pPr>
              <w:autoSpaceDE w:val="0"/>
              <w:autoSpaceDN w:val="0"/>
              <w:adjustRightInd w:val="0"/>
              <w:spacing w:after="0" w:line="240" w:lineRule="auto"/>
              <w:jc w:val="both"/>
              <w:rPr>
                <w:rFonts w:ascii="Times New Roman" w:eastAsia="MS Mincho" w:hAnsi="Times New Roman"/>
                <w:bCs/>
                <w:sz w:val="20"/>
                <w:szCs w:val="20"/>
                <w:lang w:val="en-IN"/>
              </w:rPr>
            </w:pPr>
            <w:r w:rsidRPr="00F038BD">
              <w:rPr>
                <w:rFonts w:ascii="Times New Roman" w:eastAsia="MS Mincho" w:hAnsi="Times New Roman"/>
                <w:bCs/>
                <w:sz w:val="20"/>
                <w:szCs w:val="20"/>
                <w:lang w:val="en-IN"/>
              </w:rPr>
              <w:t>RoE(%)</w:t>
            </w:r>
            <w:r w:rsidRPr="00F038BD">
              <w:rPr>
                <w:rFonts w:ascii="Times New Roman" w:eastAsia="MS Mincho" w:hAnsi="Times New Roman"/>
                <w:bCs/>
                <w:sz w:val="20"/>
                <w:szCs w:val="20"/>
                <w:vertAlign w:val="superscript"/>
                <w:lang w:val="en-IN"/>
              </w:rPr>
              <w:t>(6)</w:t>
            </w:r>
          </w:p>
        </w:tc>
        <w:tc>
          <w:tcPr>
            <w:tcW w:w="2614" w:type="dxa"/>
            <w:shd w:val="clear" w:color="auto" w:fill="auto"/>
            <w:vAlign w:val="center"/>
          </w:tcPr>
          <w:p w14:paraId="1FCCC1F0" w14:textId="77777777" w:rsidR="007515CC" w:rsidRPr="00F038BD" w:rsidRDefault="007515CC" w:rsidP="009C1E14">
            <w:pPr>
              <w:autoSpaceDE w:val="0"/>
              <w:autoSpaceDN w:val="0"/>
              <w:adjustRightInd w:val="0"/>
              <w:spacing w:after="0" w:line="240" w:lineRule="auto"/>
              <w:jc w:val="center"/>
              <w:rPr>
                <w:rFonts w:ascii="Times New Roman" w:eastAsia="MS Mincho" w:hAnsi="Times New Roman"/>
                <w:bCs/>
                <w:sz w:val="20"/>
                <w:szCs w:val="20"/>
              </w:rPr>
            </w:pPr>
            <w:r w:rsidRPr="00F038BD">
              <w:rPr>
                <w:rFonts w:ascii="Times New Roman" w:hAnsi="Times New Roman"/>
                <w:bCs/>
              </w:rPr>
              <w:t>17.97%</w:t>
            </w:r>
          </w:p>
        </w:tc>
        <w:tc>
          <w:tcPr>
            <w:tcW w:w="2614" w:type="dxa"/>
            <w:shd w:val="clear" w:color="auto" w:fill="auto"/>
            <w:vAlign w:val="center"/>
          </w:tcPr>
          <w:p w14:paraId="0D38CAD0" w14:textId="77777777" w:rsidR="007515CC" w:rsidRPr="00F038BD" w:rsidRDefault="007515CC" w:rsidP="009C1E14">
            <w:pPr>
              <w:autoSpaceDE w:val="0"/>
              <w:autoSpaceDN w:val="0"/>
              <w:adjustRightInd w:val="0"/>
              <w:spacing w:after="0" w:line="240" w:lineRule="auto"/>
              <w:jc w:val="center"/>
              <w:rPr>
                <w:rFonts w:ascii="Times New Roman" w:eastAsia="MS Mincho" w:hAnsi="Times New Roman"/>
                <w:bCs/>
                <w:sz w:val="20"/>
                <w:szCs w:val="20"/>
              </w:rPr>
            </w:pPr>
            <w:r w:rsidRPr="00F038BD">
              <w:rPr>
                <w:rFonts w:ascii="Times New Roman" w:hAnsi="Times New Roman"/>
                <w:bCs/>
              </w:rPr>
              <w:t>8.68%</w:t>
            </w:r>
          </w:p>
        </w:tc>
        <w:tc>
          <w:tcPr>
            <w:tcW w:w="2614" w:type="dxa"/>
            <w:shd w:val="clear" w:color="auto" w:fill="auto"/>
            <w:vAlign w:val="center"/>
          </w:tcPr>
          <w:p w14:paraId="56C950FF" w14:textId="77777777" w:rsidR="007515CC" w:rsidRPr="00F038BD" w:rsidRDefault="007515CC" w:rsidP="009C1E14">
            <w:pPr>
              <w:autoSpaceDE w:val="0"/>
              <w:autoSpaceDN w:val="0"/>
              <w:adjustRightInd w:val="0"/>
              <w:spacing w:after="0" w:line="240" w:lineRule="auto"/>
              <w:jc w:val="center"/>
              <w:rPr>
                <w:rFonts w:ascii="Times New Roman" w:eastAsia="MS Mincho" w:hAnsi="Times New Roman"/>
                <w:bCs/>
                <w:sz w:val="20"/>
                <w:szCs w:val="20"/>
              </w:rPr>
            </w:pPr>
            <w:r w:rsidRPr="00F038BD">
              <w:rPr>
                <w:rFonts w:ascii="Times New Roman" w:hAnsi="Times New Roman"/>
                <w:bCs/>
              </w:rPr>
              <w:t>8.01%</w:t>
            </w:r>
          </w:p>
        </w:tc>
      </w:tr>
      <w:tr w:rsidR="007515CC" w:rsidRPr="00F038BD" w14:paraId="54C8631F" w14:textId="77777777" w:rsidTr="009C1E14">
        <w:tc>
          <w:tcPr>
            <w:tcW w:w="2614" w:type="dxa"/>
            <w:shd w:val="clear" w:color="auto" w:fill="auto"/>
            <w:vAlign w:val="center"/>
          </w:tcPr>
          <w:p w14:paraId="07E91A71" w14:textId="77777777" w:rsidR="007515CC" w:rsidRPr="00F038BD" w:rsidRDefault="007515CC" w:rsidP="009C1E14">
            <w:pPr>
              <w:autoSpaceDE w:val="0"/>
              <w:autoSpaceDN w:val="0"/>
              <w:adjustRightInd w:val="0"/>
              <w:spacing w:after="0" w:line="240" w:lineRule="auto"/>
              <w:jc w:val="both"/>
              <w:rPr>
                <w:rFonts w:ascii="Times New Roman" w:eastAsia="MS Mincho" w:hAnsi="Times New Roman"/>
                <w:bCs/>
                <w:sz w:val="20"/>
                <w:szCs w:val="20"/>
                <w:lang w:val="en-IN"/>
              </w:rPr>
            </w:pPr>
            <w:r w:rsidRPr="00F038BD">
              <w:rPr>
                <w:rFonts w:ascii="Times New Roman" w:eastAsia="MS Mincho" w:hAnsi="Times New Roman"/>
                <w:bCs/>
                <w:sz w:val="20"/>
                <w:szCs w:val="20"/>
                <w:lang w:val="en-IN"/>
              </w:rPr>
              <w:t>RoCE (%)</w:t>
            </w:r>
            <w:r w:rsidRPr="00F038BD">
              <w:rPr>
                <w:rFonts w:ascii="Times New Roman" w:eastAsia="MS Mincho" w:hAnsi="Times New Roman"/>
                <w:bCs/>
                <w:sz w:val="20"/>
                <w:szCs w:val="20"/>
                <w:vertAlign w:val="superscript"/>
                <w:lang w:val="en-IN"/>
              </w:rPr>
              <w:t>(7)</w:t>
            </w:r>
          </w:p>
        </w:tc>
        <w:tc>
          <w:tcPr>
            <w:tcW w:w="2614" w:type="dxa"/>
            <w:shd w:val="clear" w:color="auto" w:fill="auto"/>
          </w:tcPr>
          <w:p w14:paraId="14A80BFD" w14:textId="77777777" w:rsidR="007515CC" w:rsidRPr="00F038BD" w:rsidRDefault="007515CC" w:rsidP="009C1E14">
            <w:pPr>
              <w:autoSpaceDE w:val="0"/>
              <w:autoSpaceDN w:val="0"/>
              <w:adjustRightInd w:val="0"/>
              <w:spacing w:after="0" w:line="240" w:lineRule="auto"/>
              <w:jc w:val="center"/>
              <w:rPr>
                <w:rFonts w:ascii="Times New Roman" w:eastAsia="MS Mincho" w:hAnsi="Times New Roman"/>
                <w:bCs/>
                <w:sz w:val="20"/>
                <w:szCs w:val="20"/>
              </w:rPr>
            </w:pPr>
            <w:r w:rsidRPr="00F038BD">
              <w:rPr>
                <w:rFonts w:ascii="Times New Roman" w:hAnsi="Times New Roman"/>
                <w:bCs/>
              </w:rPr>
              <w:t>13.42%</w:t>
            </w:r>
          </w:p>
        </w:tc>
        <w:tc>
          <w:tcPr>
            <w:tcW w:w="2614" w:type="dxa"/>
            <w:shd w:val="clear" w:color="auto" w:fill="auto"/>
          </w:tcPr>
          <w:p w14:paraId="0DE09F76" w14:textId="77777777" w:rsidR="007515CC" w:rsidRPr="00F038BD" w:rsidRDefault="007515CC" w:rsidP="009C1E14">
            <w:pPr>
              <w:autoSpaceDE w:val="0"/>
              <w:autoSpaceDN w:val="0"/>
              <w:adjustRightInd w:val="0"/>
              <w:spacing w:after="0" w:line="240" w:lineRule="auto"/>
              <w:jc w:val="center"/>
              <w:rPr>
                <w:rFonts w:ascii="Times New Roman" w:eastAsia="MS Mincho" w:hAnsi="Times New Roman"/>
                <w:bCs/>
                <w:sz w:val="20"/>
                <w:szCs w:val="20"/>
              </w:rPr>
            </w:pPr>
            <w:r w:rsidRPr="00F038BD">
              <w:rPr>
                <w:rFonts w:ascii="Times New Roman" w:hAnsi="Times New Roman"/>
                <w:bCs/>
              </w:rPr>
              <w:t>10.38%</w:t>
            </w:r>
          </w:p>
        </w:tc>
        <w:tc>
          <w:tcPr>
            <w:tcW w:w="2614" w:type="dxa"/>
            <w:shd w:val="clear" w:color="auto" w:fill="auto"/>
          </w:tcPr>
          <w:p w14:paraId="7D522E55" w14:textId="77777777" w:rsidR="007515CC" w:rsidRPr="00F038BD" w:rsidRDefault="007515CC" w:rsidP="009C1E14">
            <w:pPr>
              <w:autoSpaceDE w:val="0"/>
              <w:autoSpaceDN w:val="0"/>
              <w:adjustRightInd w:val="0"/>
              <w:spacing w:after="0" w:line="240" w:lineRule="auto"/>
              <w:jc w:val="center"/>
              <w:rPr>
                <w:rFonts w:ascii="Times New Roman" w:eastAsia="MS Mincho" w:hAnsi="Times New Roman"/>
                <w:bCs/>
                <w:sz w:val="20"/>
                <w:szCs w:val="20"/>
              </w:rPr>
            </w:pPr>
            <w:r w:rsidRPr="00F038BD">
              <w:rPr>
                <w:rFonts w:ascii="Times New Roman" w:hAnsi="Times New Roman"/>
                <w:bCs/>
              </w:rPr>
              <w:t>5.39%</w:t>
            </w:r>
          </w:p>
        </w:tc>
      </w:tr>
    </w:tbl>
    <w:p w14:paraId="268F7A00" w14:textId="77777777" w:rsidR="007515CC" w:rsidRPr="00F038BD" w:rsidRDefault="007515CC" w:rsidP="007515CC">
      <w:pPr>
        <w:autoSpaceDE w:val="0"/>
        <w:autoSpaceDN w:val="0"/>
        <w:adjustRightInd w:val="0"/>
        <w:spacing w:after="0" w:line="240" w:lineRule="auto"/>
        <w:jc w:val="both"/>
        <w:rPr>
          <w:rFonts w:ascii="Times New Roman" w:eastAsia="MS Mincho" w:hAnsi="Times New Roman"/>
          <w:b/>
          <w:bCs/>
          <w:i/>
          <w:iCs/>
          <w:sz w:val="20"/>
          <w:szCs w:val="20"/>
          <w:lang w:val="en-IN"/>
        </w:rPr>
      </w:pPr>
      <w:r w:rsidRPr="00F038BD">
        <w:rPr>
          <w:rFonts w:ascii="Times New Roman" w:eastAsia="MS Mincho" w:hAnsi="Times New Roman"/>
          <w:b/>
          <w:bCs/>
          <w:i/>
          <w:iCs/>
          <w:sz w:val="20"/>
          <w:szCs w:val="20"/>
          <w:lang w:val="en-IN"/>
        </w:rPr>
        <w:t>Notes:</w:t>
      </w:r>
    </w:p>
    <w:p w14:paraId="69480E64" w14:textId="77777777" w:rsidR="007515CC" w:rsidRPr="00F038BD" w:rsidRDefault="007515CC" w:rsidP="007515CC">
      <w:pPr>
        <w:autoSpaceDE w:val="0"/>
        <w:autoSpaceDN w:val="0"/>
        <w:adjustRightInd w:val="0"/>
        <w:spacing w:after="0" w:line="240" w:lineRule="auto"/>
        <w:jc w:val="both"/>
        <w:rPr>
          <w:rFonts w:ascii="Times New Roman" w:eastAsia="MS Mincho" w:hAnsi="Times New Roman"/>
          <w:sz w:val="20"/>
          <w:szCs w:val="20"/>
          <w:lang w:val="en-IN"/>
        </w:rPr>
      </w:pPr>
      <w:r w:rsidRPr="00F038BD">
        <w:rPr>
          <w:rFonts w:ascii="Times New Roman" w:eastAsia="MS Mincho" w:hAnsi="Times New Roman"/>
          <w:sz w:val="20"/>
          <w:szCs w:val="20"/>
          <w:vertAlign w:val="superscript"/>
          <w:lang w:val="en-IN"/>
        </w:rPr>
        <w:t xml:space="preserve">(1) </w:t>
      </w:r>
      <w:r w:rsidRPr="00F038BD">
        <w:rPr>
          <w:rFonts w:ascii="Times New Roman" w:eastAsia="MS Mincho" w:hAnsi="Times New Roman"/>
          <w:sz w:val="20"/>
          <w:szCs w:val="20"/>
          <w:lang w:val="en-IN"/>
        </w:rPr>
        <w:t>Revenue from operation means revenue from sales, service and other operating revenues</w:t>
      </w:r>
    </w:p>
    <w:p w14:paraId="0C5CFB9B" w14:textId="77777777" w:rsidR="007515CC" w:rsidRPr="00F038BD" w:rsidRDefault="007515CC" w:rsidP="007515CC">
      <w:pPr>
        <w:autoSpaceDE w:val="0"/>
        <w:autoSpaceDN w:val="0"/>
        <w:adjustRightInd w:val="0"/>
        <w:spacing w:after="0" w:line="240" w:lineRule="auto"/>
        <w:jc w:val="both"/>
        <w:rPr>
          <w:rFonts w:ascii="Times New Roman" w:eastAsia="MS Mincho" w:hAnsi="Times New Roman"/>
          <w:sz w:val="20"/>
          <w:szCs w:val="20"/>
          <w:lang w:val="en-IN"/>
        </w:rPr>
      </w:pPr>
      <w:r w:rsidRPr="00F038BD">
        <w:rPr>
          <w:rFonts w:ascii="Times New Roman" w:eastAsia="MS Mincho" w:hAnsi="Times New Roman"/>
          <w:sz w:val="20"/>
          <w:szCs w:val="20"/>
          <w:vertAlign w:val="superscript"/>
          <w:lang w:val="en-IN"/>
        </w:rPr>
        <w:t xml:space="preserve">(2) </w:t>
      </w:r>
      <w:r w:rsidRPr="00F038BD">
        <w:rPr>
          <w:rFonts w:ascii="Times New Roman" w:eastAsia="MS Mincho" w:hAnsi="Times New Roman"/>
          <w:sz w:val="20"/>
          <w:szCs w:val="20"/>
          <w:lang w:val="en-IN"/>
        </w:rPr>
        <w:t>EBITDA is calculated as Profit before tax + Depreciation + Interest Expenses - Other Income</w:t>
      </w:r>
    </w:p>
    <w:p w14:paraId="662D24A6" w14:textId="77777777" w:rsidR="007515CC" w:rsidRPr="00F038BD" w:rsidRDefault="007515CC" w:rsidP="007515CC">
      <w:pPr>
        <w:autoSpaceDE w:val="0"/>
        <w:autoSpaceDN w:val="0"/>
        <w:adjustRightInd w:val="0"/>
        <w:spacing w:after="0" w:line="240" w:lineRule="auto"/>
        <w:jc w:val="both"/>
        <w:rPr>
          <w:rFonts w:ascii="Times New Roman" w:eastAsia="MS Mincho" w:hAnsi="Times New Roman"/>
          <w:sz w:val="20"/>
          <w:szCs w:val="20"/>
          <w:lang w:val="en-IN"/>
        </w:rPr>
      </w:pPr>
      <w:r w:rsidRPr="00F038BD">
        <w:rPr>
          <w:rFonts w:ascii="Times New Roman" w:eastAsia="MS Mincho" w:hAnsi="Times New Roman"/>
          <w:sz w:val="20"/>
          <w:szCs w:val="20"/>
          <w:vertAlign w:val="superscript"/>
          <w:lang w:val="en-IN"/>
        </w:rPr>
        <w:t xml:space="preserve">(3) </w:t>
      </w:r>
      <w:r w:rsidRPr="00F038BD">
        <w:rPr>
          <w:rFonts w:ascii="Times New Roman" w:eastAsia="MS Mincho" w:hAnsi="Times New Roman"/>
          <w:sz w:val="20"/>
          <w:szCs w:val="20"/>
          <w:lang w:val="en-IN"/>
        </w:rPr>
        <w:t>EBITDA Margin is calculated as EBITDA divided by Revenue from Operations</w:t>
      </w:r>
    </w:p>
    <w:p w14:paraId="6CE3EF1C" w14:textId="77777777" w:rsidR="007515CC" w:rsidRPr="00F038BD" w:rsidRDefault="007515CC" w:rsidP="007515CC">
      <w:pPr>
        <w:autoSpaceDE w:val="0"/>
        <w:autoSpaceDN w:val="0"/>
        <w:adjustRightInd w:val="0"/>
        <w:spacing w:after="0" w:line="240" w:lineRule="auto"/>
        <w:jc w:val="both"/>
        <w:rPr>
          <w:rFonts w:ascii="Times New Roman" w:eastAsia="MS Mincho" w:hAnsi="Times New Roman"/>
          <w:sz w:val="20"/>
          <w:szCs w:val="20"/>
          <w:lang w:val="en-IN"/>
        </w:rPr>
      </w:pPr>
      <w:r w:rsidRPr="00F038BD">
        <w:rPr>
          <w:rFonts w:ascii="Times New Roman" w:eastAsia="MS Mincho" w:hAnsi="Times New Roman"/>
          <w:sz w:val="20"/>
          <w:szCs w:val="20"/>
          <w:vertAlign w:val="superscript"/>
          <w:lang w:val="en-IN"/>
        </w:rPr>
        <w:t xml:space="preserve">(4) </w:t>
      </w:r>
      <w:r w:rsidRPr="00F038BD">
        <w:rPr>
          <w:rFonts w:ascii="Times New Roman" w:eastAsia="MS Mincho" w:hAnsi="Times New Roman"/>
          <w:sz w:val="20"/>
          <w:szCs w:val="20"/>
          <w:lang w:val="en-IN"/>
        </w:rPr>
        <w:t>PAT is calculated as Profit before tax – Tax Expenses</w:t>
      </w:r>
    </w:p>
    <w:p w14:paraId="7F58FA35" w14:textId="77777777" w:rsidR="007515CC" w:rsidRPr="00F038BD" w:rsidRDefault="007515CC" w:rsidP="007515CC">
      <w:pPr>
        <w:autoSpaceDE w:val="0"/>
        <w:autoSpaceDN w:val="0"/>
        <w:adjustRightInd w:val="0"/>
        <w:spacing w:after="0" w:line="240" w:lineRule="auto"/>
        <w:jc w:val="both"/>
        <w:rPr>
          <w:rFonts w:ascii="Times New Roman" w:eastAsia="MS Mincho" w:hAnsi="Times New Roman"/>
          <w:sz w:val="20"/>
          <w:szCs w:val="20"/>
          <w:lang w:val="en-IN"/>
        </w:rPr>
      </w:pPr>
      <w:r w:rsidRPr="00F038BD">
        <w:rPr>
          <w:rFonts w:ascii="Times New Roman" w:eastAsia="MS Mincho" w:hAnsi="Times New Roman"/>
          <w:sz w:val="20"/>
          <w:szCs w:val="20"/>
          <w:vertAlign w:val="superscript"/>
          <w:lang w:val="en-IN"/>
        </w:rPr>
        <w:t>(5)</w:t>
      </w:r>
      <w:r w:rsidRPr="00F038BD">
        <w:rPr>
          <w:rFonts w:ascii="Times New Roman" w:eastAsia="MS Mincho" w:hAnsi="Times New Roman"/>
          <w:sz w:val="20"/>
          <w:szCs w:val="20"/>
          <w:lang w:val="en-IN"/>
        </w:rPr>
        <w:t xml:space="preserve"> PAT Margin is calculated as PAT for the period/year divided by revenue from operations.</w:t>
      </w:r>
    </w:p>
    <w:p w14:paraId="1383B8F8" w14:textId="77777777" w:rsidR="007515CC" w:rsidRPr="00F038BD" w:rsidRDefault="007515CC" w:rsidP="007515CC">
      <w:pPr>
        <w:autoSpaceDE w:val="0"/>
        <w:autoSpaceDN w:val="0"/>
        <w:adjustRightInd w:val="0"/>
        <w:spacing w:after="0" w:line="240" w:lineRule="auto"/>
        <w:jc w:val="both"/>
        <w:rPr>
          <w:rFonts w:ascii="Times New Roman" w:eastAsia="MS Mincho" w:hAnsi="Times New Roman"/>
          <w:sz w:val="20"/>
          <w:szCs w:val="20"/>
          <w:lang w:val="en-IN"/>
        </w:rPr>
      </w:pPr>
      <w:r w:rsidRPr="00F038BD">
        <w:rPr>
          <w:rFonts w:ascii="Times New Roman" w:eastAsia="MS Mincho" w:hAnsi="Times New Roman"/>
          <w:sz w:val="20"/>
          <w:szCs w:val="20"/>
          <w:vertAlign w:val="superscript"/>
          <w:lang w:val="en-IN"/>
        </w:rPr>
        <w:t>(6)</w:t>
      </w:r>
      <w:r w:rsidRPr="00F038BD">
        <w:rPr>
          <w:rFonts w:ascii="Times New Roman" w:eastAsia="MS Mincho" w:hAnsi="Times New Roman"/>
          <w:sz w:val="20"/>
          <w:szCs w:val="20"/>
          <w:lang w:val="en-IN"/>
        </w:rPr>
        <w:t xml:space="preserve"> Return on Equity is ratio of Profit after Tax and Average Shareholder Equity</w:t>
      </w:r>
    </w:p>
    <w:p w14:paraId="3F5BC35B" w14:textId="77777777" w:rsidR="007515CC" w:rsidRPr="00F038BD" w:rsidRDefault="007515CC" w:rsidP="007515CC">
      <w:pPr>
        <w:autoSpaceDE w:val="0"/>
        <w:autoSpaceDN w:val="0"/>
        <w:adjustRightInd w:val="0"/>
        <w:spacing w:after="0" w:line="240" w:lineRule="auto"/>
        <w:jc w:val="both"/>
        <w:rPr>
          <w:rFonts w:ascii="Times New Roman" w:eastAsia="MS Mincho" w:hAnsi="Times New Roman"/>
          <w:sz w:val="20"/>
          <w:szCs w:val="20"/>
        </w:rPr>
      </w:pPr>
      <w:r w:rsidRPr="00F038BD">
        <w:rPr>
          <w:rFonts w:ascii="Times New Roman" w:eastAsia="MS Mincho" w:hAnsi="Times New Roman"/>
          <w:sz w:val="20"/>
          <w:szCs w:val="20"/>
          <w:vertAlign w:val="superscript"/>
          <w:lang w:val="en-IN"/>
        </w:rPr>
        <w:t xml:space="preserve">(7) </w:t>
      </w:r>
      <w:r w:rsidRPr="00F038BD">
        <w:rPr>
          <w:rFonts w:ascii="Times New Roman" w:eastAsia="MS Mincho" w:hAnsi="Times New Roman"/>
          <w:sz w:val="20"/>
          <w:szCs w:val="20"/>
        </w:rPr>
        <w:t>Return on Capital Employed is calculated as EBIT divided by capital employed, which is defined as shareholders’ equity plus Long term borrowings and Short term borrowings.</w:t>
      </w:r>
    </w:p>
    <w:p w14:paraId="7348DF19" w14:textId="77777777" w:rsidR="007515CC" w:rsidRDefault="007515CC" w:rsidP="00113B44">
      <w:pPr>
        <w:spacing w:after="0" w:line="259" w:lineRule="auto"/>
        <w:jc w:val="both"/>
        <w:rPr>
          <w:rFonts w:ascii="Times New Roman" w:eastAsia="MS Mincho" w:hAnsi="Times New Roman"/>
          <w:bCs/>
          <w:sz w:val="20"/>
          <w:szCs w:val="20"/>
        </w:rPr>
      </w:pPr>
    </w:p>
    <w:p w14:paraId="4DA3A85C" w14:textId="77777777" w:rsidR="007515CC" w:rsidRPr="00712F3C" w:rsidRDefault="007515CC" w:rsidP="007515CC">
      <w:pPr>
        <w:spacing w:after="0" w:line="240" w:lineRule="auto"/>
        <w:jc w:val="both"/>
        <w:textAlignment w:val="baseline"/>
        <w:outlineLvl w:val="2"/>
        <w:rPr>
          <w:rFonts w:ascii="Times New Roman" w:hAnsi="Times New Roman"/>
          <w:b/>
          <w:bCs/>
          <w:sz w:val="20"/>
          <w:szCs w:val="20"/>
        </w:rPr>
      </w:pPr>
      <w:r w:rsidRPr="00712F3C">
        <w:rPr>
          <w:rFonts w:ascii="Times New Roman" w:hAnsi="Times New Roman"/>
          <w:b/>
          <w:bCs/>
          <w:sz w:val="20"/>
          <w:szCs w:val="20"/>
        </w:rPr>
        <w:t>Explanation for KPI metrics</w:t>
      </w:r>
    </w:p>
    <w:p w14:paraId="1A7EA904" w14:textId="77777777" w:rsidR="007515CC" w:rsidRPr="00712F3C" w:rsidRDefault="007515CC" w:rsidP="007515CC">
      <w:pPr>
        <w:spacing w:after="0" w:line="240" w:lineRule="auto"/>
        <w:jc w:val="both"/>
        <w:textAlignment w:val="baseline"/>
        <w:outlineLvl w:val="2"/>
        <w:rPr>
          <w:rFonts w:ascii="Times New Roman" w:hAnsi="Times New Roman"/>
          <w:b/>
          <w:bCs/>
          <w:sz w:val="20"/>
          <w:szCs w:val="20"/>
        </w:rPr>
      </w:pPr>
    </w:p>
    <w:tbl>
      <w:tblPr>
        <w:tblStyle w:val="TableGrid"/>
        <w:tblW w:w="5000" w:type="pct"/>
        <w:tblLook w:val="04A0" w:firstRow="1" w:lastRow="0" w:firstColumn="1" w:lastColumn="0" w:noHBand="0" w:noVBand="1"/>
      </w:tblPr>
      <w:tblGrid>
        <w:gridCol w:w="1980"/>
        <w:gridCol w:w="8476"/>
      </w:tblGrid>
      <w:tr w:rsidR="007515CC" w:rsidRPr="00712F3C" w14:paraId="39BA85D4" w14:textId="77777777" w:rsidTr="009C1E14">
        <w:trPr>
          <w:trHeight w:val="23"/>
        </w:trPr>
        <w:tc>
          <w:tcPr>
            <w:tcW w:w="947" w:type="pct"/>
            <w:tcBorders>
              <w:top w:val="single" w:sz="4" w:space="0" w:color="000000"/>
              <w:left w:val="single" w:sz="4" w:space="0" w:color="000000"/>
              <w:bottom w:val="single" w:sz="4" w:space="0" w:color="000000"/>
              <w:right w:val="single" w:sz="4" w:space="0" w:color="000000"/>
            </w:tcBorders>
            <w:shd w:val="clear" w:color="auto" w:fill="D0CECE"/>
            <w:hideMark/>
          </w:tcPr>
          <w:p w14:paraId="0826BEE5" w14:textId="77777777" w:rsidR="007515CC" w:rsidRPr="00712F3C" w:rsidRDefault="007515CC" w:rsidP="009C1E14">
            <w:pPr>
              <w:spacing w:after="0" w:line="240" w:lineRule="auto"/>
              <w:contextualSpacing/>
              <w:jc w:val="both"/>
              <w:rPr>
                <w:rFonts w:ascii="Times New Roman" w:eastAsia="Calibri" w:hAnsi="Times New Roman"/>
                <w:b/>
                <w:bCs/>
              </w:rPr>
            </w:pPr>
            <w:r w:rsidRPr="00712F3C">
              <w:rPr>
                <w:rFonts w:ascii="Times New Roman" w:eastAsia="Calibri" w:hAnsi="Times New Roman"/>
                <w:b/>
                <w:bCs/>
              </w:rPr>
              <w:t>KPI</w:t>
            </w:r>
          </w:p>
        </w:tc>
        <w:tc>
          <w:tcPr>
            <w:tcW w:w="4053" w:type="pct"/>
            <w:tcBorders>
              <w:top w:val="single" w:sz="4" w:space="0" w:color="000000"/>
              <w:left w:val="single" w:sz="4" w:space="0" w:color="000000"/>
              <w:bottom w:val="single" w:sz="4" w:space="0" w:color="000000"/>
              <w:right w:val="single" w:sz="4" w:space="0" w:color="000000"/>
            </w:tcBorders>
            <w:shd w:val="clear" w:color="auto" w:fill="D0CECE"/>
            <w:hideMark/>
          </w:tcPr>
          <w:p w14:paraId="517612C2" w14:textId="77777777" w:rsidR="007515CC" w:rsidRPr="00712F3C" w:rsidRDefault="007515CC" w:rsidP="009C1E14">
            <w:pPr>
              <w:spacing w:after="0" w:line="240" w:lineRule="auto"/>
              <w:contextualSpacing/>
              <w:jc w:val="both"/>
              <w:rPr>
                <w:rFonts w:ascii="Times New Roman" w:eastAsia="Calibri" w:hAnsi="Times New Roman"/>
                <w:b/>
                <w:bCs/>
              </w:rPr>
            </w:pPr>
            <w:r w:rsidRPr="00712F3C">
              <w:rPr>
                <w:rFonts w:ascii="Times New Roman" w:eastAsia="Calibri" w:hAnsi="Times New Roman"/>
                <w:b/>
                <w:bCs/>
              </w:rPr>
              <w:t>Explanations</w:t>
            </w:r>
          </w:p>
        </w:tc>
      </w:tr>
      <w:tr w:rsidR="007515CC" w:rsidRPr="00712F3C" w14:paraId="1EB8AD28" w14:textId="77777777" w:rsidTr="009C1E14">
        <w:trPr>
          <w:trHeight w:val="23"/>
        </w:trPr>
        <w:tc>
          <w:tcPr>
            <w:tcW w:w="947" w:type="pct"/>
            <w:tcBorders>
              <w:top w:val="single" w:sz="4" w:space="0" w:color="000000"/>
              <w:left w:val="single" w:sz="4" w:space="0" w:color="000000"/>
              <w:bottom w:val="single" w:sz="4" w:space="0" w:color="000000"/>
              <w:right w:val="single" w:sz="4" w:space="0" w:color="000000"/>
            </w:tcBorders>
            <w:hideMark/>
          </w:tcPr>
          <w:p w14:paraId="43ACD854" w14:textId="77777777" w:rsidR="007515CC" w:rsidRPr="00712F3C" w:rsidRDefault="007515CC" w:rsidP="009C1E14">
            <w:pPr>
              <w:spacing w:after="0" w:line="240" w:lineRule="auto"/>
              <w:contextualSpacing/>
              <w:jc w:val="both"/>
              <w:rPr>
                <w:rFonts w:ascii="Times New Roman" w:eastAsia="Calibri" w:hAnsi="Times New Roman"/>
                <w:bCs/>
              </w:rPr>
            </w:pPr>
            <w:r w:rsidRPr="00712F3C">
              <w:rPr>
                <w:rFonts w:ascii="Times New Roman" w:eastAsia="Calibri" w:hAnsi="Times New Roman"/>
              </w:rPr>
              <w:t>Revenue from Operations</w:t>
            </w:r>
          </w:p>
        </w:tc>
        <w:tc>
          <w:tcPr>
            <w:tcW w:w="4053" w:type="pct"/>
            <w:tcBorders>
              <w:top w:val="single" w:sz="4" w:space="0" w:color="000000"/>
              <w:left w:val="single" w:sz="4" w:space="0" w:color="000000"/>
              <w:bottom w:val="single" w:sz="4" w:space="0" w:color="000000"/>
              <w:right w:val="single" w:sz="4" w:space="0" w:color="000000"/>
            </w:tcBorders>
            <w:hideMark/>
          </w:tcPr>
          <w:p w14:paraId="58F3DED6" w14:textId="77777777" w:rsidR="007515CC" w:rsidRPr="00712F3C" w:rsidRDefault="007515CC" w:rsidP="009C1E14">
            <w:pPr>
              <w:spacing w:after="0" w:line="240" w:lineRule="auto"/>
              <w:contextualSpacing/>
              <w:jc w:val="both"/>
              <w:rPr>
                <w:rFonts w:ascii="Times New Roman" w:eastAsia="Calibri" w:hAnsi="Times New Roman"/>
                <w:bCs/>
              </w:rPr>
            </w:pPr>
            <w:r w:rsidRPr="00712F3C">
              <w:rPr>
                <w:rFonts w:ascii="Times New Roman" w:eastAsia="Calibri" w:hAnsi="Times New Roman"/>
                <w:bCs/>
              </w:rPr>
              <w:t>Revenue from Operations is used by our management to track the revenue profile of the business and in turn helps to assess the overall financial performance of our Company and volume of our business</w:t>
            </w:r>
          </w:p>
        </w:tc>
      </w:tr>
      <w:tr w:rsidR="007515CC" w:rsidRPr="00712F3C" w14:paraId="5906C621" w14:textId="77777777" w:rsidTr="009C1E14">
        <w:trPr>
          <w:trHeight w:val="23"/>
        </w:trPr>
        <w:tc>
          <w:tcPr>
            <w:tcW w:w="947" w:type="pct"/>
            <w:tcBorders>
              <w:top w:val="single" w:sz="4" w:space="0" w:color="000000"/>
              <w:left w:val="single" w:sz="4" w:space="0" w:color="000000"/>
              <w:bottom w:val="single" w:sz="4" w:space="0" w:color="000000"/>
              <w:right w:val="single" w:sz="4" w:space="0" w:color="000000"/>
            </w:tcBorders>
            <w:hideMark/>
          </w:tcPr>
          <w:p w14:paraId="2DD7A336" w14:textId="77777777" w:rsidR="007515CC" w:rsidRPr="00712F3C" w:rsidRDefault="007515CC" w:rsidP="009C1E14">
            <w:pPr>
              <w:spacing w:after="0" w:line="240" w:lineRule="auto"/>
              <w:contextualSpacing/>
              <w:jc w:val="both"/>
              <w:rPr>
                <w:rFonts w:ascii="Times New Roman" w:eastAsia="Calibri" w:hAnsi="Times New Roman"/>
                <w:bCs/>
              </w:rPr>
            </w:pPr>
            <w:r w:rsidRPr="00712F3C">
              <w:rPr>
                <w:rFonts w:ascii="Times New Roman" w:eastAsia="Calibri" w:hAnsi="Times New Roman"/>
              </w:rPr>
              <w:t>EBITDA</w:t>
            </w:r>
          </w:p>
        </w:tc>
        <w:tc>
          <w:tcPr>
            <w:tcW w:w="4053" w:type="pct"/>
            <w:tcBorders>
              <w:top w:val="single" w:sz="4" w:space="0" w:color="000000"/>
              <w:left w:val="single" w:sz="4" w:space="0" w:color="000000"/>
              <w:bottom w:val="single" w:sz="4" w:space="0" w:color="000000"/>
              <w:right w:val="single" w:sz="4" w:space="0" w:color="000000"/>
            </w:tcBorders>
            <w:hideMark/>
          </w:tcPr>
          <w:p w14:paraId="449D13A0" w14:textId="77777777" w:rsidR="007515CC" w:rsidRPr="00712F3C" w:rsidRDefault="007515CC" w:rsidP="009C1E14">
            <w:pPr>
              <w:spacing w:after="0" w:line="240" w:lineRule="auto"/>
              <w:contextualSpacing/>
              <w:jc w:val="both"/>
              <w:rPr>
                <w:rFonts w:ascii="Times New Roman" w:eastAsia="Calibri" w:hAnsi="Times New Roman"/>
                <w:bCs/>
              </w:rPr>
            </w:pPr>
            <w:r w:rsidRPr="00712F3C">
              <w:rPr>
                <w:rFonts w:ascii="Times New Roman" w:eastAsia="Calibri" w:hAnsi="Times New Roman"/>
              </w:rPr>
              <w:t>EBITDA provides information regarding the operational efficiency of the business</w:t>
            </w:r>
          </w:p>
        </w:tc>
      </w:tr>
      <w:tr w:rsidR="007515CC" w:rsidRPr="00712F3C" w14:paraId="6E5F88C9" w14:textId="77777777" w:rsidTr="009C1E14">
        <w:trPr>
          <w:trHeight w:val="23"/>
        </w:trPr>
        <w:tc>
          <w:tcPr>
            <w:tcW w:w="947" w:type="pct"/>
            <w:tcBorders>
              <w:top w:val="single" w:sz="4" w:space="0" w:color="000000"/>
              <w:left w:val="single" w:sz="4" w:space="0" w:color="000000"/>
              <w:bottom w:val="single" w:sz="4" w:space="0" w:color="000000"/>
              <w:right w:val="single" w:sz="4" w:space="0" w:color="000000"/>
            </w:tcBorders>
            <w:hideMark/>
          </w:tcPr>
          <w:p w14:paraId="73EBB421" w14:textId="77777777" w:rsidR="007515CC" w:rsidRPr="00712F3C" w:rsidRDefault="007515CC" w:rsidP="009C1E14">
            <w:pPr>
              <w:spacing w:after="0" w:line="240" w:lineRule="auto"/>
              <w:contextualSpacing/>
              <w:jc w:val="both"/>
              <w:rPr>
                <w:rFonts w:ascii="Times New Roman" w:eastAsia="Calibri" w:hAnsi="Times New Roman"/>
                <w:bCs/>
              </w:rPr>
            </w:pPr>
            <w:r w:rsidRPr="00712F3C">
              <w:rPr>
                <w:rFonts w:ascii="Times New Roman" w:eastAsia="Calibri" w:hAnsi="Times New Roman"/>
              </w:rPr>
              <w:t>EBITDA Margin (%)</w:t>
            </w:r>
          </w:p>
        </w:tc>
        <w:tc>
          <w:tcPr>
            <w:tcW w:w="4053" w:type="pct"/>
            <w:tcBorders>
              <w:top w:val="single" w:sz="4" w:space="0" w:color="000000"/>
              <w:left w:val="single" w:sz="4" w:space="0" w:color="000000"/>
              <w:bottom w:val="single" w:sz="4" w:space="0" w:color="000000"/>
              <w:right w:val="single" w:sz="4" w:space="0" w:color="000000"/>
            </w:tcBorders>
            <w:hideMark/>
          </w:tcPr>
          <w:p w14:paraId="346A5584" w14:textId="77777777" w:rsidR="007515CC" w:rsidRPr="00712F3C" w:rsidRDefault="007515CC" w:rsidP="009C1E14">
            <w:pPr>
              <w:autoSpaceDE w:val="0"/>
              <w:autoSpaceDN w:val="0"/>
              <w:adjustRightInd w:val="0"/>
              <w:spacing w:after="0" w:line="240" w:lineRule="auto"/>
              <w:jc w:val="both"/>
              <w:rPr>
                <w:rFonts w:ascii="Times New Roman" w:eastAsia="Calibri" w:hAnsi="Times New Roman"/>
                <w:bCs/>
              </w:rPr>
            </w:pPr>
            <w:r w:rsidRPr="00712F3C">
              <w:rPr>
                <w:rFonts w:ascii="Times New Roman" w:eastAsia="Calibri" w:hAnsi="Times New Roman"/>
              </w:rPr>
              <w:t>EBITDA Margin (%) is an indicator of the operational profitability and financial performance of our business</w:t>
            </w:r>
          </w:p>
        </w:tc>
      </w:tr>
      <w:tr w:rsidR="007515CC" w:rsidRPr="00712F3C" w14:paraId="75693186" w14:textId="77777777" w:rsidTr="009C1E14">
        <w:trPr>
          <w:trHeight w:val="23"/>
        </w:trPr>
        <w:tc>
          <w:tcPr>
            <w:tcW w:w="947" w:type="pct"/>
            <w:tcBorders>
              <w:top w:val="single" w:sz="4" w:space="0" w:color="000000"/>
              <w:left w:val="single" w:sz="4" w:space="0" w:color="000000"/>
              <w:bottom w:val="single" w:sz="4" w:space="0" w:color="000000"/>
              <w:right w:val="single" w:sz="4" w:space="0" w:color="000000"/>
            </w:tcBorders>
            <w:hideMark/>
          </w:tcPr>
          <w:p w14:paraId="620F6D12" w14:textId="77777777" w:rsidR="007515CC" w:rsidRPr="00712F3C" w:rsidRDefault="007515CC" w:rsidP="009C1E14">
            <w:pPr>
              <w:spacing w:after="0" w:line="240" w:lineRule="auto"/>
              <w:contextualSpacing/>
              <w:jc w:val="both"/>
              <w:rPr>
                <w:rFonts w:ascii="Times New Roman" w:eastAsia="Calibri" w:hAnsi="Times New Roman"/>
                <w:bCs/>
              </w:rPr>
            </w:pPr>
            <w:r w:rsidRPr="00712F3C">
              <w:rPr>
                <w:rFonts w:ascii="Times New Roman" w:eastAsia="Calibri" w:hAnsi="Times New Roman"/>
              </w:rPr>
              <w:t>PAT</w:t>
            </w:r>
          </w:p>
        </w:tc>
        <w:tc>
          <w:tcPr>
            <w:tcW w:w="4053" w:type="pct"/>
            <w:tcBorders>
              <w:top w:val="single" w:sz="4" w:space="0" w:color="000000"/>
              <w:left w:val="single" w:sz="4" w:space="0" w:color="000000"/>
              <w:bottom w:val="single" w:sz="4" w:space="0" w:color="000000"/>
              <w:right w:val="single" w:sz="4" w:space="0" w:color="000000"/>
            </w:tcBorders>
            <w:hideMark/>
          </w:tcPr>
          <w:p w14:paraId="04D834AB" w14:textId="77777777" w:rsidR="007515CC" w:rsidRPr="00712F3C" w:rsidRDefault="007515CC" w:rsidP="009C1E14">
            <w:pPr>
              <w:spacing w:after="0" w:line="240" w:lineRule="auto"/>
              <w:contextualSpacing/>
              <w:jc w:val="both"/>
              <w:rPr>
                <w:rFonts w:ascii="Times New Roman" w:eastAsia="Calibri" w:hAnsi="Times New Roman"/>
                <w:bCs/>
              </w:rPr>
            </w:pPr>
            <w:r w:rsidRPr="00712F3C">
              <w:rPr>
                <w:rFonts w:ascii="Times New Roman" w:eastAsia="Calibri" w:hAnsi="Times New Roman"/>
                <w:bCs/>
              </w:rPr>
              <w:t>Profit after tax provides information regarding the overall profitability of the business.</w:t>
            </w:r>
          </w:p>
        </w:tc>
      </w:tr>
      <w:tr w:rsidR="007515CC" w:rsidRPr="00712F3C" w14:paraId="48A35909" w14:textId="77777777" w:rsidTr="009C1E14">
        <w:trPr>
          <w:trHeight w:val="23"/>
        </w:trPr>
        <w:tc>
          <w:tcPr>
            <w:tcW w:w="947" w:type="pct"/>
            <w:tcBorders>
              <w:top w:val="single" w:sz="4" w:space="0" w:color="000000"/>
              <w:left w:val="single" w:sz="4" w:space="0" w:color="000000"/>
              <w:bottom w:val="single" w:sz="4" w:space="0" w:color="000000"/>
              <w:right w:val="single" w:sz="4" w:space="0" w:color="000000"/>
            </w:tcBorders>
            <w:hideMark/>
          </w:tcPr>
          <w:p w14:paraId="5F9DE4BA" w14:textId="77777777" w:rsidR="007515CC" w:rsidRPr="00712F3C" w:rsidRDefault="007515CC" w:rsidP="009C1E14">
            <w:pPr>
              <w:spacing w:after="0" w:line="240" w:lineRule="auto"/>
              <w:contextualSpacing/>
              <w:jc w:val="both"/>
              <w:rPr>
                <w:rFonts w:ascii="Times New Roman" w:eastAsia="Calibri" w:hAnsi="Times New Roman"/>
              </w:rPr>
            </w:pPr>
            <w:r w:rsidRPr="00712F3C">
              <w:rPr>
                <w:rFonts w:ascii="Times New Roman" w:eastAsia="Calibri" w:hAnsi="Times New Roman"/>
              </w:rPr>
              <w:t>PAT Margin (%)</w:t>
            </w:r>
          </w:p>
        </w:tc>
        <w:tc>
          <w:tcPr>
            <w:tcW w:w="4053" w:type="pct"/>
            <w:tcBorders>
              <w:top w:val="single" w:sz="4" w:space="0" w:color="000000"/>
              <w:left w:val="single" w:sz="4" w:space="0" w:color="000000"/>
              <w:bottom w:val="single" w:sz="4" w:space="0" w:color="000000"/>
              <w:right w:val="single" w:sz="4" w:space="0" w:color="000000"/>
            </w:tcBorders>
            <w:hideMark/>
          </w:tcPr>
          <w:p w14:paraId="475CA7EF" w14:textId="77777777" w:rsidR="007515CC" w:rsidRPr="00712F3C" w:rsidRDefault="007515CC" w:rsidP="009C1E14">
            <w:pPr>
              <w:spacing w:after="0" w:line="240" w:lineRule="auto"/>
              <w:contextualSpacing/>
              <w:jc w:val="both"/>
              <w:rPr>
                <w:rFonts w:ascii="Times New Roman" w:eastAsia="Calibri" w:hAnsi="Times New Roman"/>
                <w:bCs/>
              </w:rPr>
            </w:pPr>
            <w:r w:rsidRPr="00712F3C">
              <w:rPr>
                <w:rFonts w:ascii="Times New Roman" w:eastAsia="Calibri" w:hAnsi="Times New Roman"/>
                <w:bCs/>
              </w:rPr>
              <w:t>PAT Margin (%) is an indicator of the overall profitability and financial performance of our business.</w:t>
            </w:r>
          </w:p>
        </w:tc>
      </w:tr>
      <w:tr w:rsidR="007515CC" w:rsidRPr="00712F3C" w14:paraId="03D2D10D" w14:textId="77777777" w:rsidTr="009C1E14">
        <w:trPr>
          <w:trHeight w:val="23"/>
        </w:trPr>
        <w:tc>
          <w:tcPr>
            <w:tcW w:w="947" w:type="pct"/>
            <w:tcBorders>
              <w:top w:val="single" w:sz="4" w:space="0" w:color="000000"/>
              <w:left w:val="single" w:sz="4" w:space="0" w:color="000000"/>
              <w:bottom w:val="single" w:sz="4" w:space="0" w:color="000000"/>
              <w:right w:val="single" w:sz="4" w:space="0" w:color="000000"/>
            </w:tcBorders>
            <w:vAlign w:val="center"/>
          </w:tcPr>
          <w:p w14:paraId="3D9B869C" w14:textId="77777777" w:rsidR="007515CC" w:rsidRPr="00712F3C" w:rsidRDefault="007515CC" w:rsidP="009C1E14">
            <w:pPr>
              <w:spacing w:after="0" w:line="240" w:lineRule="auto"/>
              <w:contextualSpacing/>
              <w:rPr>
                <w:rFonts w:ascii="Times New Roman" w:eastAsiaTheme="minorHAnsi" w:hAnsi="Times New Roman"/>
              </w:rPr>
            </w:pPr>
            <w:r w:rsidRPr="00712F3C">
              <w:rPr>
                <w:rFonts w:ascii="Times New Roman" w:eastAsiaTheme="minorHAnsi" w:hAnsi="Times New Roman"/>
              </w:rPr>
              <w:t>RoE(%)</w:t>
            </w:r>
          </w:p>
        </w:tc>
        <w:tc>
          <w:tcPr>
            <w:tcW w:w="4053" w:type="pct"/>
            <w:tcBorders>
              <w:top w:val="single" w:sz="4" w:space="0" w:color="000000"/>
              <w:left w:val="single" w:sz="4" w:space="0" w:color="000000"/>
              <w:bottom w:val="single" w:sz="4" w:space="0" w:color="000000"/>
              <w:right w:val="single" w:sz="4" w:space="0" w:color="000000"/>
            </w:tcBorders>
          </w:tcPr>
          <w:p w14:paraId="1287EE6F" w14:textId="77777777" w:rsidR="007515CC" w:rsidRPr="00712F3C" w:rsidRDefault="007515CC" w:rsidP="009C1E14">
            <w:pPr>
              <w:spacing w:after="0" w:line="240" w:lineRule="auto"/>
              <w:contextualSpacing/>
              <w:jc w:val="both"/>
              <w:rPr>
                <w:rFonts w:ascii="Times New Roman" w:hAnsi="Times New Roman"/>
                <w:bCs/>
              </w:rPr>
            </w:pPr>
            <w:r w:rsidRPr="00712F3C">
              <w:rPr>
                <w:rFonts w:ascii="Times New Roman" w:hAnsi="Times New Roman"/>
                <w:bCs/>
              </w:rPr>
              <w:t>RoE provides how efficiently our Company generates profits from shareholders’ funds.</w:t>
            </w:r>
          </w:p>
        </w:tc>
      </w:tr>
      <w:tr w:rsidR="007515CC" w:rsidRPr="00712F3C" w14:paraId="15584CCD" w14:textId="77777777" w:rsidTr="009C1E14">
        <w:trPr>
          <w:trHeight w:val="23"/>
        </w:trPr>
        <w:tc>
          <w:tcPr>
            <w:tcW w:w="947" w:type="pct"/>
            <w:tcBorders>
              <w:top w:val="single" w:sz="4" w:space="0" w:color="000000"/>
              <w:left w:val="single" w:sz="4" w:space="0" w:color="000000"/>
              <w:bottom w:val="single" w:sz="4" w:space="0" w:color="000000"/>
              <w:right w:val="single" w:sz="4" w:space="0" w:color="000000"/>
            </w:tcBorders>
            <w:vAlign w:val="center"/>
          </w:tcPr>
          <w:p w14:paraId="49AA8017" w14:textId="77777777" w:rsidR="007515CC" w:rsidRPr="00712F3C" w:rsidRDefault="007515CC" w:rsidP="009C1E14">
            <w:pPr>
              <w:spacing w:after="0" w:line="240" w:lineRule="auto"/>
              <w:contextualSpacing/>
              <w:rPr>
                <w:rFonts w:ascii="Times New Roman" w:eastAsiaTheme="minorHAnsi" w:hAnsi="Times New Roman"/>
              </w:rPr>
            </w:pPr>
            <w:r w:rsidRPr="00712F3C">
              <w:rPr>
                <w:rFonts w:ascii="Times New Roman" w:eastAsiaTheme="minorHAnsi" w:hAnsi="Times New Roman"/>
              </w:rPr>
              <w:t>RoCE (%)</w:t>
            </w:r>
          </w:p>
        </w:tc>
        <w:tc>
          <w:tcPr>
            <w:tcW w:w="4053" w:type="pct"/>
            <w:tcBorders>
              <w:top w:val="single" w:sz="4" w:space="0" w:color="000000"/>
              <w:left w:val="single" w:sz="4" w:space="0" w:color="000000"/>
              <w:bottom w:val="single" w:sz="4" w:space="0" w:color="000000"/>
              <w:right w:val="single" w:sz="4" w:space="0" w:color="000000"/>
            </w:tcBorders>
          </w:tcPr>
          <w:p w14:paraId="2D00DE2E" w14:textId="77777777" w:rsidR="007515CC" w:rsidRPr="00712F3C" w:rsidRDefault="007515CC" w:rsidP="009C1E14">
            <w:pPr>
              <w:spacing w:after="0" w:line="240" w:lineRule="auto"/>
              <w:contextualSpacing/>
              <w:jc w:val="both"/>
              <w:rPr>
                <w:rFonts w:ascii="Times New Roman" w:hAnsi="Times New Roman"/>
                <w:bCs/>
              </w:rPr>
            </w:pPr>
            <w:r w:rsidRPr="00712F3C">
              <w:rPr>
                <w:rFonts w:ascii="Times New Roman" w:hAnsi="Times New Roman"/>
                <w:bCs/>
              </w:rPr>
              <w:t>RoCE provides how efficiently our Company generates earnings from the capital employed in the business.</w:t>
            </w:r>
          </w:p>
        </w:tc>
      </w:tr>
    </w:tbl>
    <w:p w14:paraId="04E3A303" w14:textId="77777777" w:rsidR="007515CC" w:rsidRDefault="007515CC" w:rsidP="00113B44">
      <w:pPr>
        <w:spacing w:after="0" w:line="259" w:lineRule="auto"/>
        <w:jc w:val="both"/>
        <w:rPr>
          <w:rFonts w:ascii="Times New Roman" w:eastAsia="MS Mincho" w:hAnsi="Times New Roman"/>
          <w:bCs/>
          <w:sz w:val="20"/>
          <w:szCs w:val="20"/>
        </w:rPr>
      </w:pPr>
    </w:p>
    <w:p w14:paraId="2BF14BE2" w14:textId="77777777" w:rsidR="007515CC" w:rsidRPr="00712F3C" w:rsidRDefault="007515CC" w:rsidP="007515CC">
      <w:pPr>
        <w:tabs>
          <w:tab w:val="left" w:pos="2370"/>
        </w:tabs>
        <w:spacing w:after="0" w:line="240" w:lineRule="auto"/>
        <w:jc w:val="both"/>
        <w:rPr>
          <w:rFonts w:ascii="Times New Roman" w:eastAsia="Calibri" w:hAnsi="Times New Roman"/>
          <w:b/>
          <w:sz w:val="20"/>
          <w:szCs w:val="20"/>
          <w:u w:val="single"/>
        </w:rPr>
      </w:pPr>
      <w:r w:rsidRPr="00712F3C">
        <w:rPr>
          <w:rFonts w:ascii="Times New Roman" w:eastAsia="Calibri" w:hAnsi="Times New Roman"/>
          <w:b/>
          <w:sz w:val="20"/>
          <w:szCs w:val="20"/>
          <w:u w:val="single"/>
        </w:rPr>
        <w:t>STATEMENT OF SIGNIFICANT ACCOUNTING POLICIES</w:t>
      </w:r>
    </w:p>
    <w:p w14:paraId="62F8F3DE" w14:textId="77777777" w:rsidR="007515CC" w:rsidRPr="00712F3C" w:rsidRDefault="007515CC" w:rsidP="007515CC">
      <w:pPr>
        <w:tabs>
          <w:tab w:val="left" w:pos="2370"/>
        </w:tabs>
        <w:spacing w:after="0" w:line="240" w:lineRule="auto"/>
        <w:jc w:val="both"/>
        <w:rPr>
          <w:rFonts w:ascii="Times New Roman" w:eastAsia="Calibri" w:hAnsi="Times New Roman"/>
          <w:b/>
          <w:sz w:val="20"/>
          <w:szCs w:val="20"/>
          <w:u w:val="single"/>
        </w:rPr>
      </w:pPr>
    </w:p>
    <w:p w14:paraId="03B07287" w14:textId="77777777" w:rsidR="007515CC" w:rsidRPr="00712F3C" w:rsidRDefault="007515CC" w:rsidP="007515CC">
      <w:pPr>
        <w:spacing w:after="0" w:line="240" w:lineRule="auto"/>
        <w:jc w:val="both"/>
        <w:rPr>
          <w:rFonts w:ascii="Times New Roman" w:hAnsi="Times New Roman"/>
          <w:sz w:val="20"/>
          <w:szCs w:val="20"/>
        </w:rPr>
      </w:pPr>
      <w:r w:rsidRPr="00712F3C">
        <w:rPr>
          <w:rFonts w:ascii="Times New Roman" w:hAnsi="Times New Roman"/>
          <w:sz w:val="20"/>
          <w:szCs w:val="20"/>
        </w:rPr>
        <w:t xml:space="preserve">For details in respect of Statement of Significant Accounting Policies, please refer to </w:t>
      </w:r>
      <w:r w:rsidRPr="00712F3C">
        <w:rPr>
          <w:rFonts w:ascii="Times New Roman" w:hAnsi="Times New Roman"/>
          <w:b/>
          <w:i/>
          <w:sz w:val="20"/>
          <w:szCs w:val="20"/>
        </w:rPr>
        <w:t xml:space="preserve">“Annexure IV of Restated Financial Statements” </w:t>
      </w:r>
      <w:r w:rsidRPr="00712F3C">
        <w:rPr>
          <w:rFonts w:ascii="Times New Roman" w:hAnsi="Times New Roman"/>
          <w:sz w:val="20"/>
          <w:szCs w:val="20"/>
        </w:rPr>
        <w:t xml:space="preserve">beginning on page </w:t>
      </w:r>
      <w:r>
        <w:rPr>
          <w:rFonts w:ascii="Times New Roman" w:hAnsi="Times New Roman"/>
          <w:sz w:val="20"/>
          <w:szCs w:val="20"/>
        </w:rPr>
        <w:t>136</w:t>
      </w:r>
      <w:r w:rsidRPr="00712F3C">
        <w:rPr>
          <w:rFonts w:ascii="Times New Roman" w:hAnsi="Times New Roman"/>
          <w:sz w:val="20"/>
          <w:szCs w:val="20"/>
        </w:rPr>
        <w:t xml:space="preserve"> of this Draft Red Herring Prospectus.</w:t>
      </w:r>
    </w:p>
    <w:p w14:paraId="23266795" w14:textId="77777777" w:rsidR="007515CC" w:rsidRPr="00712F3C" w:rsidRDefault="007515CC" w:rsidP="007515CC">
      <w:pPr>
        <w:spacing w:after="0" w:line="240" w:lineRule="auto"/>
        <w:rPr>
          <w:rFonts w:ascii="Times New Roman" w:hAnsi="Times New Roman"/>
          <w:b/>
          <w:sz w:val="20"/>
          <w:szCs w:val="20"/>
        </w:rPr>
      </w:pPr>
    </w:p>
    <w:p w14:paraId="13607DFF" w14:textId="77777777" w:rsidR="007515CC" w:rsidRPr="00712F3C" w:rsidRDefault="007515CC" w:rsidP="007515CC">
      <w:pPr>
        <w:spacing w:after="0" w:line="240" w:lineRule="auto"/>
        <w:rPr>
          <w:rFonts w:ascii="Times New Roman" w:hAnsi="Times New Roman"/>
          <w:b/>
          <w:sz w:val="20"/>
          <w:szCs w:val="20"/>
        </w:rPr>
      </w:pPr>
      <w:r w:rsidRPr="00712F3C">
        <w:rPr>
          <w:rFonts w:ascii="Times New Roman" w:hAnsi="Times New Roman"/>
          <w:b/>
          <w:sz w:val="20"/>
          <w:szCs w:val="20"/>
        </w:rPr>
        <w:t>Factors Affecting our Results of Operations</w:t>
      </w:r>
    </w:p>
    <w:p w14:paraId="77CE6252" w14:textId="77777777" w:rsidR="007515CC" w:rsidRPr="00712F3C" w:rsidRDefault="007515CC" w:rsidP="007515CC">
      <w:pPr>
        <w:spacing w:after="0" w:line="240" w:lineRule="auto"/>
        <w:rPr>
          <w:rFonts w:ascii="Times New Roman" w:hAnsi="Times New Roman"/>
          <w:b/>
          <w:sz w:val="20"/>
          <w:szCs w:val="20"/>
        </w:rPr>
      </w:pPr>
    </w:p>
    <w:p w14:paraId="439ED6F4" w14:textId="77777777" w:rsidR="007515CC" w:rsidRPr="00712F3C" w:rsidRDefault="007515CC" w:rsidP="007515CC">
      <w:pPr>
        <w:spacing w:after="0" w:line="240" w:lineRule="auto"/>
        <w:jc w:val="both"/>
        <w:rPr>
          <w:rFonts w:ascii="Times New Roman" w:hAnsi="Times New Roman"/>
          <w:sz w:val="20"/>
          <w:szCs w:val="20"/>
        </w:rPr>
      </w:pPr>
      <w:r w:rsidRPr="00712F3C">
        <w:rPr>
          <w:rFonts w:ascii="Times New Roman" w:hAnsi="Times New Roman"/>
          <w:sz w:val="20"/>
          <w:szCs w:val="20"/>
        </w:rPr>
        <w:t xml:space="preserve">Our business is subjected to various risks and uncertainties, including those discussed in the section titled </w:t>
      </w:r>
      <w:r w:rsidRPr="00712F3C">
        <w:rPr>
          <w:rFonts w:ascii="Times New Roman" w:hAnsi="Times New Roman"/>
          <w:b/>
          <w:sz w:val="20"/>
          <w:szCs w:val="20"/>
        </w:rPr>
        <w:t>“</w:t>
      </w:r>
      <w:r w:rsidRPr="00712F3C">
        <w:rPr>
          <w:rFonts w:ascii="Times New Roman" w:hAnsi="Times New Roman"/>
          <w:b/>
          <w:i/>
          <w:sz w:val="20"/>
          <w:szCs w:val="20"/>
        </w:rPr>
        <w:t>Risk Factors</w:t>
      </w:r>
      <w:r w:rsidRPr="00712F3C">
        <w:rPr>
          <w:rFonts w:ascii="Times New Roman" w:hAnsi="Times New Roman"/>
          <w:b/>
          <w:sz w:val="20"/>
          <w:szCs w:val="20"/>
        </w:rPr>
        <w:t>”</w:t>
      </w:r>
      <w:r w:rsidRPr="00712F3C">
        <w:rPr>
          <w:rFonts w:ascii="Times New Roman" w:hAnsi="Times New Roman"/>
          <w:sz w:val="20"/>
          <w:szCs w:val="20"/>
        </w:rPr>
        <w:t xml:space="preserve"> beginning on page </w:t>
      </w:r>
      <w:r>
        <w:rPr>
          <w:rFonts w:ascii="Times New Roman" w:hAnsi="Times New Roman"/>
          <w:sz w:val="20"/>
          <w:szCs w:val="20"/>
        </w:rPr>
        <w:t>25</w:t>
      </w:r>
      <w:r w:rsidRPr="00712F3C">
        <w:rPr>
          <w:rFonts w:ascii="Times New Roman" w:hAnsi="Times New Roman"/>
          <w:sz w:val="20"/>
          <w:szCs w:val="20"/>
        </w:rPr>
        <w:t xml:space="preserve"> of this Draft Red Herring Prospectus. Our results of operations and financial conditions are affected by numerous factors including the following:</w:t>
      </w:r>
    </w:p>
    <w:p w14:paraId="722E98FD" w14:textId="77777777" w:rsidR="007515CC" w:rsidRDefault="007515CC" w:rsidP="00113B44">
      <w:pPr>
        <w:spacing w:after="0" w:line="259" w:lineRule="auto"/>
        <w:jc w:val="both"/>
        <w:rPr>
          <w:rFonts w:ascii="Times New Roman" w:eastAsia="MS Mincho" w:hAnsi="Times New Roman"/>
          <w:bCs/>
          <w:sz w:val="20"/>
          <w:szCs w:val="20"/>
        </w:rPr>
      </w:pPr>
    </w:p>
    <w:p w14:paraId="00B0189A" w14:textId="77777777" w:rsidR="007515CC" w:rsidRPr="00712F3C" w:rsidRDefault="007515CC" w:rsidP="007515CC">
      <w:pPr>
        <w:pStyle w:val="Default"/>
        <w:numPr>
          <w:ilvl w:val="0"/>
          <w:numId w:val="99"/>
        </w:numPr>
        <w:tabs>
          <w:tab w:val="left" w:pos="360"/>
        </w:tabs>
        <w:ind w:left="360"/>
        <w:jc w:val="both"/>
        <w:rPr>
          <w:bCs/>
          <w:sz w:val="20"/>
          <w:szCs w:val="20"/>
          <w:lang w:bidi="en-US"/>
        </w:rPr>
      </w:pPr>
      <w:r w:rsidRPr="00712F3C">
        <w:rPr>
          <w:bCs/>
          <w:sz w:val="20"/>
          <w:szCs w:val="20"/>
          <w:lang w:bidi="en-US"/>
        </w:rPr>
        <w:t>General economic and business conditions in the markets in which we operate and in the local, regional, national and international economies;</w:t>
      </w:r>
    </w:p>
    <w:p w14:paraId="7EAC74A1" w14:textId="77777777" w:rsidR="007515CC" w:rsidRPr="00712F3C" w:rsidRDefault="007515CC" w:rsidP="007515CC">
      <w:pPr>
        <w:pStyle w:val="Default"/>
        <w:numPr>
          <w:ilvl w:val="0"/>
          <w:numId w:val="99"/>
        </w:numPr>
        <w:tabs>
          <w:tab w:val="left" w:pos="360"/>
        </w:tabs>
        <w:ind w:left="0" w:firstLine="0"/>
        <w:jc w:val="both"/>
        <w:rPr>
          <w:bCs/>
          <w:sz w:val="20"/>
          <w:szCs w:val="20"/>
          <w:lang w:bidi="en-US"/>
        </w:rPr>
      </w:pPr>
      <w:r w:rsidRPr="00712F3C">
        <w:rPr>
          <w:sz w:val="20"/>
          <w:szCs w:val="20"/>
        </w:rPr>
        <w:t xml:space="preserve">Changes in consumer demand; </w:t>
      </w:r>
    </w:p>
    <w:p w14:paraId="39033688" w14:textId="77777777" w:rsidR="007515CC" w:rsidRPr="00712F3C" w:rsidRDefault="007515CC" w:rsidP="007515CC">
      <w:pPr>
        <w:pStyle w:val="Default"/>
        <w:numPr>
          <w:ilvl w:val="0"/>
          <w:numId w:val="99"/>
        </w:numPr>
        <w:tabs>
          <w:tab w:val="left" w:pos="360"/>
        </w:tabs>
        <w:ind w:left="0" w:firstLine="0"/>
        <w:jc w:val="both"/>
        <w:rPr>
          <w:bCs/>
          <w:sz w:val="20"/>
          <w:szCs w:val="20"/>
          <w:lang w:bidi="en-US"/>
        </w:rPr>
      </w:pPr>
      <w:r w:rsidRPr="00712F3C">
        <w:rPr>
          <w:sz w:val="20"/>
          <w:szCs w:val="20"/>
        </w:rPr>
        <w:t xml:space="preserve">Failure to successfully upgrade our product portfolio, from time to time; </w:t>
      </w:r>
    </w:p>
    <w:p w14:paraId="4B4FCFF4" w14:textId="77777777" w:rsidR="007515CC" w:rsidRPr="00712F3C" w:rsidRDefault="007515CC" w:rsidP="007515CC">
      <w:pPr>
        <w:pStyle w:val="Default"/>
        <w:numPr>
          <w:ilvl w:val="0"/>
          <w:numId w:val="99"/>
        </w:numPr>
        <w:tabs>
          <w:tab w:val="left" w:pos="360"/>
        </w:tabs>
        <w:ind w:left="0" w:firstLine="0"/>
        <w:jc w:val="both"/>
        <w:rPr>
          <w:bCs/>
          <w:sz w:val="20"/>
          <w:szCs w:val="20"/>
          <w:lang w:bidi="en-US"/>
        </w:rPr>
      </w:pPr>
      <w:r w:rsidRPr="00712F3C">
        <w:rPr>
          <w:bCs/>
          <w:sz w:val="20"/>
          <w:szCs w:val="20"/>
          <w:lang w:bidi="en-US"/>
        </w:rPr>
        <w:t>Any change in government policies resulting in increases in taxes payable by us;</w:t>
      </w:r>
    </w:p>
    <w:p w14:paraId="4FE9A798" w14:textId="77777777" w:rsidR="007515CC" w:rsidRPr="00712F3C" w:rsidRDefault="007515CC" w:rsidP="007515CC">
      <w:pPr>
        <w:pStyle w:val="Default"/>
        <w:numPr>
          <w:ilvl w:val="0"/>
          <w:numId w:val="99"/>
        </w:numPr>
        <w:tabs>
          <w:tab w:val="left" w:pos="360"/>
        </w:tabs>
        <w:ind w:left="0" w:firstLine="0"/>
        <w:jc w:val="both"/>
        <w:rPr>
          <w:bCs/>
          <w:sz w:val="20"/>
          <w:szCs w:val="20"/>
          <w:lang w:bidi="en-US"/>
        </w:rPr>
      </w:pPr>
      <w:r w:rsidRPr="00712F3C">
        <w:rPr>
          <w:bCs/>
          <w:sz w:val="20"/>
          <w:szCs w:val="20"/>
          <w:lang w:bidi="en-US"/>
        </w:rPr>
        <w:lastRenderedPageBreak/>
        <w:t>Our ability to retain our key managements persons and other employees;</w:t>
      </w:r>
    </w:p>
    <w:p w14:paraId="51CF57E5" w14:textId="77777777" w:rsidR="007515CC" w:rsidRPr="00712F3C" w:rsidRDefault="007515CC" w:rsidP="007515CC">
      <w:pPr>
        <w:pStyle w:val="Default"/>
        <w:numPr>
          <w:ilvl w:val="0"/>
          <w:numId w:val="99"/>
        </w:numPr>
        <w:tabs>
          <w:tab w:val="left" w:pos="360"/>
        </w:tabs>
        <w:ind w:left="0" w:firstLine="0"/>
        <w:jc w:val="both"/>
        <w:rPr>
          <w:bCs/>
          <w:sz w:val="20"/>
          <w:szCs w:val="20"/>
          <w:lang w:bidi="en-US"/>
        </w:rPr>
      </w:pPr>
      <w:r w:rsidRPr="00712F3C">
        <w:rPr>
          <w:bCs/>
          <w:sz w:val="20"/>
          <w:szCs w:val="20"/>
          <w:lang w:bidi="en-US"/>
        </w:rPr>
        <w:t>Changes in laws and regulations that apply to the industries in which we operate.</w:t>
      </w:r>
    </w:p>
    <w:p w14:paraId="1A6BD8B1" w14:textId="77777777" w:rsidR="007515CC" w:rsidRPr="00712F3C" w:rsidRDefault="007515CC" w:rsidP="007515CC">
      <w:pPr>
        <w:pStyle w:val="Default"/>
        <w:numPr>
          <w:ilvl w:val="0"/>
          <w:numId w:val="99"/>
        </w:numPr>
        <w:tabs>
          <w:tab w:val="left" w:pos="360"/>
        </w:tabs>
        <w:ind w:left="0" w:firstLine="0"/>
        <w:jc w:val="both"/>
        <w:rPr>
          <w:bCs/>
          <w:sz w:val="20"/>
          <w:szCs w:val="20"/>
          <w:lang w:bidi="en-US"/>
        </w:rPr>
      </w:pPr>
      <w:r w:rsidRPr="00712F3C">
        <w:rPr>
          <w:sz w:val="20"/>
          <w:szCs w:val="20"/>
        </w:rPr>
        <w:t xml:space="preserve">Our failure to keep pace with rapid changes in technology; </w:t>
      </w:r>
    </w:p>
    <w:p w14:paraId="3664B260" w14:textId="77777777" w:rsidR="007515CC" w:rsidRPr="00712F3C" w:rsidRDefault="007515CC" w:rsidP="007515CC">
      <w:pPr>
        <w:pStyle w:val="Default"/>
        <w:numPr>
          <w:ilvl w:val="0"/>
          <w:numId w:val="99"/>
        </w:numPr>
        <w:tabs>
          <w:tab w:val="left" w:pos="360"/>
        </w:tabs>
        <w:ind w:left="0" w:firstLine="0"/>
        <w:jc w:val="both"/>
        <w:rPr>
          <w:bCs/>
          <w:sz w:val="20"/>
          <w:szCs w:val="20"/>
          <w:lang w:bidi="en-US"/>
        </w:rPr>
      </w:pPr>
      <w:r w:rsidRPr="00712F3C">
        <w:rPr>
          <w:bCs/>
          <w:sz w:val="20"/>
          <w:szCs w:val="20"/>
          <w:lang w:bidi="en-US"/>
        </w:rPr>
        <w:t>Our ability to grow our business;</w:t>
      </w:r>
    </w:p>
    <w:p w14:paraId="501BEFEE" w14:textId="77777777" w:rsidR="007515CC" w:rsidRPr="00712F3C" w:rsidRDefault="007515CC" w:rsidP="007515CC">
      <w:pPr>
        <w:pStyle w:val="Default"/>
        <w:numPr>
          <w:ilvl w:val="0"/>
          <w:numId w:val="99"/>
        </w:numPr>
        <w:tabs>
          <w:tab w:val="left" w:pos="360"/>
        </w:tabs>
        <w:ind w:left="360"/>
        <w:jc w:val="both"/>
        <w:rPr>
          <w:bCs/>
          <w:sz w:val="20"/>
          <w:szCs w:val="20"/>
          <w:lang w:bidi="en-US"/>
        </w:rPr>
      </w:pPr>
      <w:r w:rsidRPr="00712F3C">
        <w:rPr>
          <w:bCs/>
          <w:sz w:val="20"/>
          <w:szCs w:val="20"/>
          <w:lang w:bidi="en-US"/>
        </w:rPr>
        <w:t>Our ability to make interest and principal payments on our existing debt obligations and satisfy the other covenants contained in our existing debt agreements;</w:t>
      </w:r>
    </w:p>
    <w:p w14:paraId="5AD05C3E" w14:textId="77777777" w:rsidR="007515CC" w:rsidRPr="00712F3C" w:rsidRDefault="007515CC" w:rsidP="007515CC">
      <w:pPr>
        <w:pStyle w:val="Default"/>
        <w:numPr>
          <w:ilvl w:val="0"/>
          <w:numId w:val="99"/>
        </w:numPr>
        <w:tabs>
          <w:tab w:val="left" w:pos="360"/>
        </w:tabs>
        <w:ind w:left="0" w:firstLine="0"/>
        <w:jc w:val="both"/>
        <w:rPr>
          <w:bCs/>
          <w:sz w:val="20"/>
          <w:szCs w:val="20"/>
          <w:lang w:bidi="en-US"/>
        </w:rPr>
      </w:pPr>
      <w:r w:rsidRPr="00712F3C">
        <w:rPr>
          <w:bCs/>
          <w:sz w:val="20"/>
          <w:szCs w:val="20"/>
          <w:lang w:bidi="en-US"/>
        </w:rPr>
        <w:t>general economic, political and other risks that are out of our control;</w:t>
      </w:r>
    </w:p>
    <w:p w14:paraId="066FAE1D" w14:textId="77777777" w:rsidR="007515CC" w:rsidRPr="00712F3C" w:rsidRDefault="007515CC" w:rsidP="007515CC">
      <w:pPr>
        <w:pStyle w:val="Default"/>
        <w:numPr>
          <w:ilvl w:val="0"/>
          <w:numId w:val="99"/>
        </w:numPr>
        <w:tabs>
          <w:tab w:val="left" w:pos="360"/>
        </w:tabs>
        <w:ind w:left="0" w:firstLine="0"/>
        <w:jc w:val="both"/>
        <w:rPr>
          <w:bCs/>
          <w:sz w:val="20"/>
          <w:szCs w:val="20"/>
          <w:lang w:bidi="en-US"/>
        </w:rPr>
      </w:pPr>
      <w:r w:rsidRPr="00712F3C">
        <w:rPr>
          <w:bCs/>
          <w:sz w:val="20"/>
          <w:szCs w:val="20"/>
          <w:lang w:bidi="en-US"/>
        </w:rPr>
        <w:t>Inflation, deflation, unanticipated turbulence in interest rates, equity prices or other rates or prices;</w:t>
      </w:r>
    </w:p>
    <w:p w14:paraId="05773E1E" w14:textId="77777777" w:rsidR="007515CC" w:rsidRPr="00712F3C" w:rsidRDefault="007515CC" w:rsidP="007515CC">
      <w:pPr>
        <w:pStyle w:val="Default"/>
        <w:numPr>
          <w:ilvl w:val="0"/>
          <w:numId w:val="99"/>
        </w:numPr>
        <w:tabs>
          <w:tab w:val="left" w:pos="360"/>
        </w:tabs>
        <w:ind w:left="0" w:firstLine="0"/>
        <w:jc w:val="both"/>
        <w:rPr>
          <w:bCs/>
          <w:color w:val="auto"/>
          <w:sz w:val="20"/>
          <w:szCs w:val="20"/>
          <w:lang w:bidi="en-US"/>
        </w:rPr>
      </w:pPr>
      <w:r w:rsidRPr="00712F3C">
        <w:rPr>
          <w:bCs/>
          <w:color w:val="auto"/>
          <w:sz w:val="20"/>
          <w:szCs w:val="20"/>
          <w:lang w:bidi="en-US"/>
        </w:rPr>
        <w:t>Company’s ability to successfully implement its growth strategy and expansion plans;</w:t>
      </w:r>
    </w:p>
    <w:p w14:paraId="4A96C57C" w14:textId="77777777" w:rsidR="007515CC" w:rsidRPr="00712F3C" w:rsidRDefault="007515CC" w:rsidP="007515CC">
      <w:pPr>
        <w:pStyle w:val="Default"/>
        <w:numPr>
          <w:ilvl w:val="0"/>
          <w:numId w:val="99"/>
        </w:numPr>
        <w:tabs>
          <w:tab w:val="left" w:pos="360"/>
        </w:tabs>
        <w:ind w:left="0" w:firstLine="0"/>
        <w:jc w:val="both"/>
        <w:rPr>
          <w:color w:val="auto"/>
          <w:sz w:val="20"/>
          <w:szCs w:val="20"/>
        </w:rPr>
      </w:pPr>
      <w:r w:rsidRPr="00712F3C">
        <w:rPr>
          <w:bCs/>
          <w:color w:val="auto"/>
          <w:sz w:val="20"/>
          <w:szCs w:val="20"/>
          <w:lang w:bidi="en-US"/>
        </w:rPr>
        <w:t xml:space="preserve">failure to comply with regulations prescribed by authorities of the jurisdictions in which we operate; </w:t>
      </w:r>
    </w:p>
    <w:p w14:paraId="152315EB" w14:textId="77777777" w:rsidR="007515CC" w:rsidRPr="00712F3C" w:rsidRDefault="007515CC" w:rsidP="007515CC">
      <w:pPr>
        <w:pStyle w:val="Default"/>
        <w:numPr>
          <w:ilvl w:val="0"/>
          <w:numId w:val="99"/>
        </w:numPr>
        <w:tabs>
          <w:tab w:val="left" w:pos="360"/>
        </w:tabs>
        <w:ind w:left="0" w:firstLine="0"/>
        <w:jc w:val="both"/>
        <w:rPr>
          <w:bCs/>
          <w:color w:val="auto"/>
          <w:sz w:val="20"/>
          <w:szCs w:val="20"/>
          <w:lang w:bidi="en-US"/>
        </w:rPr>
      </w:pPr>
      <w:r w:rsidRPr="00712F3C">
        <w:rPr>
          <w:bCs/>
          <w:color w:val="auto"/>
          <w:sz w:val="20"/>
          <w:szCs w:val="20"/>
          <w:lang w:bidi="en-US"/>
        </w:rPr>
        <w:t>inability to successfully obtain registrations in a timely manner or at all;</w:t>
      </w:r>
    </w:p>
    <w:p w14:paraId="7E0C931D" w14:textId="77777777" w:rsidR="007515CC" w:rsidRPr="00712F3C" w:rsidRDefault="007515CC" w:rsidP="007515CC">
      <w:pPr>
        <w:pStyle w:val="Default"/>
        <w:numPr>
          <w:ilvl w:val="0"/>
          <w:numId w:val="99"/>
        </w:numPr>
        <w:tabs>
          <w:tab w:val="left" w:pos="360"/>
        </w:tabs>
        <w:ind w:left="0" w:firstLine="0"/>
        <w:jc w:val="both"/>
        <w:rPr>
          <w:bCs/>
          <w:color w:val="auto"/>
          <w:sz w:val="20"/>
          <w:szCs w:val="20"/>
          <w:lang w:bidi="en-US"/>
        </w:rPr>
      </w:pPr>
      <w:r w:rsidRPr="00712F3C">
        <w:rPr>
          <w:bCs/>
          <w:color w:val="auto"/>
          <w:sz w:val="20"/>
          <w:szCs w:val="20"/>
          <w:lang w:bidi="en-US"/>
        </w:rPr>
        <w:t>occurrence of Environmental Problems &amp; Uninsured Losses;</w:t>
      </w:r>
    </w:p>
    <w:p w14:paraId="4374A8F6" w14:textId="77777777" w:rsidR="007515CC" w:rsidRPr="00712F3C" w:rsidRDefault="007515CC" w:rsidP="007515CC">
      <w:pPr>
        <w:pStyle w:val="Default"/>
        <w:numPr>
          <w:ilvl w:val="0"/>
          <w:numId w:val="99"/>
        </w:numPr>
        <w:tabs>
          <w:tab w:val="left" w:pos="360"/>
        </w:tabs>
        <w:ind w:left="0" w:firstLine="0"/>
        <w:jc w:val="both"/>
        <w:rPr>
          <w:bCs/>
          <w:color w:val="auto"/>
          <w:sz w:val="20"/>
          <w:szCs w:val="20"/>
          <w:lang w:bidi="en-US"/>
        </w:rPr>
      </w:pPr>
      <w:r w:rsidRPr="00712F3C">
        <w:rPr>
          <w:bCs/>
          <w:color w:val="auto"/>
          <w:sz w:val="20"/>
          <w:szCs w:val="20"/>
          <w:lang w:bidi="en-US"/>
        </w:rPr>
        <w:t xml:space="preserve">conflicts of interest with affiliated companies, the promoter group and other related parties; </w:t>
      </w:r>
    </w:p>
    <w:p w14:paraId="6D82AEB8" w14:textId="77777777" w:rsidR="007515CC" w:rsidRPr="00712F3C" w:rsidRDefault="007515CC" w:rsidP="007515CC">
      <w:pPr>
        <w:pStyle w:val="Default"/>
        <w:numPr>
          <w:ilvl w:val="0"/>
          <w:numId w:val="99"/>
        </w:numPr>
        <w:tabs>
          <w:tab w:val="left" w:pos="360"/>
        </w:tabs>
        <w:ind w:left="0" w:firstLine="0"/>
        <w:jc w:val="both"/>
        <w:rPr>
          <w:bCs/>
          <w:color w:val="auto"/>
          <w:sz w:val="20"/>
          <w:szCs w:val="20"/>
          <w:lang w:bidi="en-US"/>
        </w:rPr>
      </w:pPr>
      <w:r w:rsidRPr="00712F3C">
        <w:rPr>
          <w:bCs/>
          <w:color w:val="auto"/>
          <w:sz w:val="20"/>
          <w:szCs w:val="20"/>
          <w:lang w:bidi="en-US"/>
        </w:rPr>
        <w:t>any adverse outcome in the legal proceedings in which we are involved;</w:t>
      </w:r>
    </w:p>
    <w:p w14:paraId="4975C261" w14:textId="77777777" w:rsidR="007515CC" w:rsidRPr="00712F3C" w:rsidRDefault="007515CC" w:rsidP="007515CC">
      <w:pPr>
        <w:pStyle w:val="Default"/>
        <w:numPr>
          <w:ilvl w:val="0"/>
          <w:numId w:val="99"/>
        </w:numPr>
        <w:tabs>
          <w:tab w:val="left" w:pos="360"/>
        </w:tabs>
        <w:ind w:left="0" w:firstLine="0"/>
        <w:jc w:val="both"/>
        <w:rPr>
          <w:bCs/>
          <w:color w:val="auto"/>
          <w:sz w:val="20"/>
          <w:szCs w:val="20"/>
          <w:lang w:bidi="en-US"/>
        </w:rPr>
      </w:pPr>
      <w:r w:rsidRPr="00712F3C">
        <w:rPr>
          <w:bCs/>
          <w:color w:val="auto"/>
          <w:sz w:val="20"/>
          <w:szCs w:val="20"/>
          <w:lang w:bidi="en-US"/>
        </w:rPr>
        <w:t>Concentration of ownership among our Promoter;</w:t>
      </w:r>
    </w:p>
    <w:p w14:paraId="45AECEB1" w14:textId="77777777" w:rsidR="007515CC" w:rsidRPr="00712F3C" w:rsidRDefault="007515CC" w:rsidP="007515CC">
      <w:pPr>
        <w:pStyle w:val="ListParagraph"/>
        <w:numPr>
          <w:ilvl w:val="0"/>
          <w:numId w:val="99"/>
        </w:numPr>
        <w:spacing w:line="240" w:lineRule="auto"/>
        <w:ind w:left="360"/>
        <w:rPr>
          <w:rFonts w:eastAsia="Calibri"/>
          <w:bCs/>
          <w:color w:val="auto"/>
          <w:sz w:val="20"/>
          <w:szCs w:val="20"/>
          <w:lang w:bidi="en-US"/>
        </w:rPr>
      </w:pPr>
      <w:r w:rsidRPr="00712F3C">
        <w:rPr>
          <w:rFonts w:eastAsia="Calibri"/>
          <w:bCs/>
          <w:color w:val="auto"/>
          <w:sz w:val="20"/>
          <w:szCs w:val="20"/>
          <w:lang w:bidi="en-US"/>
        </w:rPr>
        <w:t>The performance of the financial markets in India and globally</w:t>
      </w:r>
      <w:r w:rsidRPr="00712F3C">
        <w:rPr>
          <w:rFonts w:eastAsia="Calibri"/>
          <w:bCs/>
          <w:color w:val="auto"/>
          <w:sz w:val="20"/>
          <w:szCs w:val="20"/>
          <w:lang w:val="en-US" w:bidi="en-US"/>
        </w:rPr>
        <w:t>;</w:t>
      </w:r>
    </w:p>
    <w:p w14:paraId="71DF6A92" w14:textId="77777777" w:rsidR="007515CC" w:rsidRDefault="007515CC" w:rsidP="007515CC">
      <w:pPr>
        <w:pStyle w:val="ListParagraph"/>
        <w:numPr>
          <w:ilvl w:val="0"/>
          <w:numId w:val="99"/>
        </w:numPr>
        <w:spacing w:line="240" w:lineRule="auto"/>
        <w:ind w:left="360"/>
        <w:rPr>
          <w:rFonts w:eastAsia="Calibri"/>
          <w:bCs/>
          <w:color w:val="auto"/>
          <w:sz w:val="20"/>
          <w:szCs w:val="20"/>
          <w:lang w:bidi="en-US"/>
        </w:rPr>
      </w:pPr>
      <w:r w:rsidRPr="00712F3C">
        <w:rPr>
          <w:rFonts w:eastAsia="Calibri"/>
          <w:bCs/>
          <w:color w:val="auto"/>
          <w:sz w:val="20"/>
          <w:szCs w:val="20"/>
          <w:lang w:val="en-GB" w:bidi="en-US"/>
        </w:rPr>
        <w:t>Global distress due to pandemic, war or by any other reason.</w:t>
      </w:r>
      <w:r w:rsidRPr="00712F3C">
        <w:rPr>
          <w:rFonts w:eastAsia="Calibri"/>
          <w:bCs/>
          <w:color w:val="auto"/>
          <w:sz w:val="20"/>
          <w:szCs w:val="20"/>
          <w:lang w:bidi="en-US"/>
        </w:rPr>
        <w:cr/>
      </w:r>
    </w:p>
    <w:p w14:paraId="302BC064" w14:textId="77777777" w:rsidR="007515CC" w:rsidRPr="007515CC" w:rsidRDefault="007515CC" w:rsidP="007515CC">
      <w:pPr>
        <w:spacing w:after="0" w:line="240" w:lineRule="auto"/>
        <w:rPr>
          <w:rFonts w:ascii="Times New Roman" w:eastAsia="MS Mincho" w:hAnsi="Times New Roman"/>
          <w:b/>
          <w:sz w:val="20"/>
          <w:szCs w:val="20"/>
        </w:rPr>
      </w:pPr>
      <w:r w:rsidRPr="007515CC">
        <w:rPr>
          <w:rFonts w:ascii="Times New Roman" w:eastAsia="MS Mincho" w:hAnsi="Times New Roman"/>
          <w:b/>
          <w:sz w:val="20"/>
          <w:szCs w:val="20"/>
        </w:rPr>
        <w:t>Discussion on Result of Operations</w:t>
      </w:r>
    </w:p>
    <w:p w14:paraId="198084C9" w14:textId="77777777" w:rsidR="007515CC" w:rsidRPr="007515CC" w:rsidRDefault="007515CC" w:rsidP="007515CC">
      <w:pPr>
        <w:spacing w:after="0" w:line="240" w:lineRule="auto"/>
        <w:rPr>
          <w:rFonts w:ascii="Times New Roman" w:eastAsia="MS Mincho" w:hAnsi="Times New Roman"/>
          <w:bCs/>
          <w:sz w:val="20"/>
          <w:szCs w:val="20"/>
        </w:rPr>
      </w:pPr>
    </w:p>
    <w:p w14:paraId="0912789B" w14:textId="77777777" w:rsidR="007515CC" w:rsidRDefault="007515CC" w:rsidP="007515CC">
      <w:pPr>
        <w:spacing w:after="0" w:line="240" w:lineRule="auto"/>
        <w:jc w:val="both"/>
        <w:rPr>
          <w:rFonts w:ascii="Times New Roman" w:eastAsia="MS Mincho" w:hAnsi="Times New Roman"/>
          <w:bCs/>
          <w:sz w:val="20"/>
          <w:szCs w:val="20"/>
        </w:rPr>
      </w:pPr>
      <w:r w:rsidRPr="007515CC">
        <w:rPr>
          <w:rFonts w:ascii="Times New Roman" w:eastAsia="MS Mincho" w:hAnsi="Times New Roman"/>
          <w:bCs/>
          <w:sz w:val="20"/>
          <w:szCs w:val="20"/>
        </w:rPr>
        <w:t>The following discussion on results of operations should be read in conjunction with the Restated Financial Statements for the financial years ended on March 31, 2023, March 31, 2022 and March 31, 2021.</w:t>
      </w:r>
    </w:p>
    <w:p w14:paraId="16A0C024" w14:textId="77777777" w:rsidR="007515CC" w:rsidRDefault="007515CC" w:rsidP="007515CC">
      <w:pPr>
        <w:spacing w:after="0" w:line="240" w:lineRule="auto"/>
        <w:jc w:val="both"/>
        <w:rPr>
          <w:rFonts w:ascii="Times New Roman" w:eastAsia="MS Mincho" w:hAnsi="Times New Roman"/>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6"/>
        <w:gridCol w:w="1280"/>
        <w:gridCol w:w="1280"/>
        <w:gridCol w:w="1237"/>
        <w:gridCol w:w="1184"/>
        <w:gridCol w:w="1280"/>
        <w:gridCol w:w="1247"/>
      </w:tblGrid>
      <w:tr w:rsidR="007515CC" w:rsidRPr="007515CC" w14:paraId="42049587" w14:textId="77777777" w:rsidTr="007515CC">
        <w:trPr>
          <w:trHeight w:val="20"/>
        </w:trPr>
        <w:tc>
          <w:tcPr>
            <w:tcW w:w="2926" w:type="dxa"/>
            <w:shd w:val="clear" w:color="000000" w:fill="D0CECE"/>
            <w:vAlign w:val="center"/>
            <w:hideMark/>
          </w:tcPr>
          <w:p w14:paraId="2FF7F361" w14:textId="77777777" w:rsidR="007515CC" w:rsidRPr="007515CC" w:rsidRDefault="007515CC" w:rsidP="007515CC">
            <w:pPr>
              <w:spacing w:after="0" w:line="240" w:lineRule="auto"/>
              <w:jc w:val="both"/>
              <w:rPr>
                <w:rFonts w:ascii="Times New Roman" w:hAnsi="Times New Roman"/>
                <w:b/>
                <w:bCs/>
                <w:color w:val="000000"/>
                <w:sz w:val="20"/>
                <w:szCs w:val="20"/>
                <w:lang w:val="en-IN" w:eastAsia="en-IN"/>
              </w:rPr>
            </w:pPr>
            <w:r w:rsidRPr="007515CC">
              <w:rPr>
                <w:rFonts w:ascii="Times New Roman" w:hAnsi="Times New Roman"/>
                <w:b/>
                <w:bCs/>
                <w:color w:val="000000"/>
                <w:sz w:val="20"/>
                <w:szCs w:val="20"/>
                <w:lang w:eastAsia="en-IN"/>
              </w:rPr>
              <w:t>Particulars</w:t>
            </w:r>
          </w:p>
        </w:tc>
        <w:tc>
          <w:tcPr>
            <w:tcW w:w="1280" w:type="dxa"/>
            <w:shd w:val="clear" w:color="000000" w:fill="D0CECE"/>
            <w:hideMark/>
          </w:tcPr>
          <w:p w14:paraId="5640A2F5" w14:textId="77777777" w:rsidR="007515CC" w:rsidRPr="007515CC" w:rsidRDefault="007515CC" w:rsidP="007515CC">
            <w:pPr>
              <w:spacing w:after="0" w:line="240" w:lineRule="auto"/>
              <w:jc w:val="center"/>
              <w:rPr>
                <w:rFonts w:ascii="Times New Roman" w:hAnsi="Times New Roman"/>
                <w:b/>
                <w:bCs/>
                <w:color w:val="000000"/>
                <w:sz w:val="20"/>
                <w:szCs w:val="20"/>
                <w:lang w:val="en-IN" w:eastAsia="en-IN"/>
              </w:rPr>
            </w:pPr>
            <w:r w:rsidRPr="007515CC">
              <w:rPr>
                <w:rFonts w:ascii="Times New Roman" w:hAnsi="Times New Roman"/>
                <w:b/>
                <w:bCs/>
                <w:color w:val="000000"/>
                <w:sz w:val="20"/>
                <w:szCs w:val="20"/>
                <w:lang w:eastAsia="en-IN"/>
              </w:rPr>
              <w:t>March 31, 2023</w:t>
            </w:r>
          </w:p>
        </w:tc>
        <w:tc>
          <w:tcPr>
            <w:tcW w:w="1280" w:type="dxa"/>
            <w:shd w:val="clear" w:color="000000" w:fill="D0CECE"/>
            <w:hideMark/>
          </w:tcPr>
          <w:p w14:paraId="08B87F3A" w14:textId="77777777" w:rsidR="007515CC" w:rsidRPr="007515CC" w:rsidRDefault="007515CC" w:rsidP="007515CC">
            <w:pPr>
              <w:spacing w:after="0" w:line="240" w:lineRule="auto"/>
              <w:jc w:val="center"/>
              <w:rPr>
                <w:rFonts w:ascii="Times New Roman" w:hAnsi="Times New Roman"/>
                <w:b/>
                <w:bCs/>
                <w:color w:val="000000"/>
                <w:sz w:val="20"/>
                <w:szCs w:val="20"/>
                <w:lang w:val="en-IN" w:eastAsia="en-IN"/>
              </w:rPr>
            </w:pPr>
            <w:r w:rsidRPr="007515CC">
              <w:rPr>
                <w:rFonts w:ascii="Times New Roman" w:hAnsi="Times New Roman"/>
                <w:b/>
                <w:bCs/>
                <w:color w:val="000000"/>
                <w:sz w:val="20"/>
                <w:szCs w:val="20"/>
                <w:lang w:eastAsia="en-IN"/>
              </w:rPr>
              <w:t>% of Total Income</w:t>
            </w:r>
          </w:p>
        </w:tc>
        <w:tc>
          <w:tcPr>
            <w:tcW w:w="1237" w:type="dxa"/>
            <w:shd w:val="clear" w:color="000000" w:fill="D0CECE"/>
            <w:hideMark/>
          </w:tcPr>
          <w:p w14:paraId="28F58EF7" w14:textId="77777777" w:rsidR="007515CC" w:rsidRPr="007515CC" w:rsidRDefault="007515CC" w:rsidP="007515CC">
            <w:pPr>
              <w:spacing w:after="0" w:line="240" w:lineRule="auto"/>
              <w:jc w:val="center"/>
              <w:rPr>
                <w:rFonts w:ascii="Times New Roman" w:hAnsi="Times New Roman"/>
                <w:b/>
                <w:bCs/>
                <w:color w:val="000000"/>
                <w:sz w:val="20"/>
                <w:szCs w:val="20"/>
                <w:lang w:val="en-IN" w:eastAsia="en-IN"/>
              </w:rPr>
            </w:pPr>
            <w:r w:rsidRPr="007515CC">
              <w:rPr>
                <w:rFonts w:ascii="Times New Roman" w:hAnsi="Times New Roman"/>
                <w:b/>
                <w:bCs/>
                <w:color w:val="000000"/>
                <w:sz w:val="20"/>
                <w:szCs w:val="20"/>
                <w:lang w:eastAsia="en-IN"/>
              </w:rPr>
              <w:t>March 31, 2022</w:t>
            </w:r>
          </w:p>
        </w:tc>
        <w:tc>
          <w:tcPr>
            <w:tcW w:w="1184" w:type="dxa"/>
            <w:shd w:val="clear" w:color="000000" w:fill="D0CECE"/>
            <w:hideMark/>
          </w:tcPr>
          <w:p w14:paraId="6F7A6ABA" w14:textId="77777777" w:rsidR="007515CC" w:rsidRPr="007515CC" w:rsidRDefault="007515CC" w:rsidP="007515CC">
            <w:pPr>
              <w:spacing w:after="0" w:line="240" w:lineRule="auto"/>
              <w:jc w:val="center"/>
              <w:rPr>
                <w:rFonts w:ascii="Times New Roman" w:hAnsi="Times New Roman"/>
                <w:b/>
                <w:bCs/>
                <w:color w:val="000000"/>
                <w:sz w:val="20"/>
                <w:szCs w:val="20"/>
                <w:lang w:val="en-IN" w:eastAsia="en-IN"/>
              </w:rPr>
            </w:pPr>
            <w:r w:rsidRPr="007515CC">
              <w:rPr>
                <w:rFonts w:ascii="Times New Roman" w:hAnsi="Times New Roman"/>
                <w:b/>
                <w:bCs/>
                <w:color w:val="000000"/>
                <w:sz w:val="20"/>
                <w:szCs w:val="20"/>
                <w:lang w:eastAsia="en-IN"/>
              </w:rPr>
              <w:t>% of Total Income</w:t>
            </w:r>
          </w:p>
        </w:tc>
        <w:tc>
          <w:tcPr>
            <w:tcW w:w="1280" w:type="dxa"/>
            <w:shd w:val="clear" w:color="000000" w:fill="D0CECE"/>
            <w:hideMark/>
          </w:tcPr>
          <w:p w14:paraId="465D48F9" w14:textId="77777777" w:rsidR="007515CC" w:rsidRPr="007515CC" w:rsidRDefault="007515CC" w:rsidP="007515CC">
            <w:pPr>
              <w:spacing w:after="0" w:line="240" w:lineRule="auto"/>
              <w:jc w:val="center"/>
              <w:rPr>
                <w:rFonts w:ascii="Times New Roman" w:hAnsi="Times New Roman"/>
                <w:b/>
                <w:bCs/>
                <w:color w:val="000000"/>
                <w:sz w:val="20"/>
                <w:szCs w:val="20"/>
                <w:lang w:val="en-IN" w:eastAsia="en-IN"/>
              </w:rPr>
            </w:pPr>
            <w:r w:rsidRPr="007515CC">
              <w:rPr>
                <w:rFonts w:ascii="Times New Roman" w:hAnsi="Times New Roman"/>
                <w:b/>
                <w:bCs/>
                <w:color w:val="000000"/>
                <w:sz w:val="20"/>
                <w:szCs w:val="20"/>
                <w:lang w:eastAsia="en-IN"/>
              </w:rPr>
              <w:t>March 31, 2021</w:t>
            </w:r>
          </w:p>
        </w:tc>
        <w:tc>
          <w:tcPr>
            <w:tcW w:w="1247" w:type="dxa"/>
            <w:shd w:val="clear" w:color="000000" w:fill="D0CECE"/>
            <w:hideMark/>
          </w:tcPr>
          <w:p w14:paraId="03C5456A" w14:textId="77777777" w:rsidR="007515CC" w:rsidRPr="007515CC" w:rsidRDefault="007515CC" w:rsidP="007515CC">
            <w:pPr>
              <w:spacing w:after="0" w:line="240" w:lineRule="auto"/>
              <w:jc w:val="center"/>
              <w:rPr>
                <w:rFonts w:ascii="Times New Roman" w:hAnsi="Times New Roman"/>
                <w:b/>
                <w:bCs/>
                <w:color w:val="000000"/>
                <w:sz w:val="20"/>
                <w:szCs w:val="20"/>
                <w:lang w:val="en-IN" w:eastAsia="en-IN"/>
              </w:rPr>
            </w:pPr>
            <w:r w:rsidRPr="007515CC">
              <w:rPr>
                <w:rFonts w:ascii="Times New Roman" w:hAnsi="Times New Roman"/>
                <w:b/>
                <w:bCs/>
                <w:color w:val="000000"/>
                <w:sz w:val="20"/>
                <w:szCs w:val="20"/>
                <w:lang w:eastAsia="en-IN"/>
              </w:rPr>
              <w:t>% of Total Income</w:t>
            </w:r>
          </w:p>
        </w:tc>
      </w:tr>
      <w:tr w:rsidR="007515CC" w:rsidRPr="007515CC" w14:paraId="44EB4217" w14:textId="77777777" w:rsidTr="007515CC">
        <w:trPr>
          <w:trHeight w:val="20"/>
        </w:trPr>
        <w:tc>
          <w:tcPr>
            <w:tcW w:w="2926" w:type="dxa"/>
            <w:shd w:val="clear" w:color="auto" w:fill="auto"/>
            <w:vAlign w:val="center"/>
            <w:hideMark/>
          </w:tcPr>
          <w:p w14:paraId="44E9215A" w14:textId="77777777" w:rsidR="007515CC" w:rsidRPr="007515CC" w:rsidRDefault="007515CC" w:rsidP="007515CC">
            <w:pPr>
              <w:spacing w:after="0" w:line="240" w:lineRule="auto"/>
              <w:jc w:val="both"/>
              <w:rPr>
                <w:rFonts w:ascii="Times New Roman" w:hAnsi="Times New Roman"/>
                <w:color w:val="000000"/>
                <w:sz w:val="20"/>
                <w:szCs w:val="20"/>
                <w:lang w:val="en-IN"/>
              </w:rPr>
            </w:pPr>
            <w:r w:rsidRPr="007515CC">
              <w:rPr>
                <w:rFonts w:ascii="Times New Roman" w:hAnsi="Times New Roman"/>
                <w:color w:val="000000"/>
                <w:sz w:val="20"/>
                <w:szCs w:val="20"/>
              </w:rPr>
              <w:t>Revenue from operations</w:t>
            </w:r>
          </w:p>
        </w:tc>
        <w:tc>
          <w:tcPr>
            <w:tcW w:w="1280" w:type="dxa"/>
            <w:shd w:val="clear" w:color="auto" w:fill="auto"/>
            <w:noWrap/>
            <w:vAlign w:val="center"/>
            <w:hideMark/>
          </w:tcPr>
          <w:p w14:paraId="3EB15436"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49,287.35</w:t>
            </w:r>
          </w:p>
        </w:tc>
        <w:tc>
          <w:tcPr>
            <w:tcW w:w="1280" w:type="dxa"/>
            <w:shd w:val="clear" w:color="auto" w:fill="auto"/>
            <w:noWrap/>
            <w:vAlign w:val="center"/>
            <w:hideMark/>
          </w:tcPr>
          <w:p w14:paraId="33F85F47"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99.00%</w:t>
            </w:r>
          </w:p>
        </w:tc>
        <w:tc>
          <w:tcPr>
            <w:tcW w:w="1237" w:type="dxa"/>
            <w:shd w:val="clear" w:color="auto" w:fill="auto"/>
            <w:noWrap/>
            <w:vAlign w:val="center"/>
            <w:hideMark/>
          </w:tcPr>
          <w:p w14:paraId="5A6C0174"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42,323.27</w:t>
            </w:r>
          </w:p>
        </w:tc>
        <w:tc>
          <w:tcPr>
            <w:tcW w:w="1184" w:type="dxa"/>
            <w:shd w:val="clear" w:color="auto" w:fill="auto"/>
            <w:noWrap/>
            <w:vAlign w:val="center"/>
            <w:hideMark/>
          </w:tcPr>
          <w:p w14:paraId="7C80B719"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99.25%</w:t>
            </w:r>
          </w:p>
        </w:tc>
        <w:tc>
          <w:tcPr>
            <w:tcW w:w="1280" w:type="dxa"/>
            <w:shd w:val="clear" w:color="auto" w:fill="auto"/>
            <w:noWrap/>
            <w:vAlign w:val="center"/>
            <w:hideMark/>
          </w:tcPr>
          <w:p w14:paraId="70FD32DD"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13,867.05</w:t>
            </w:r>
          </w:p>
        </w:tc>
        <w:tc>
          <w:tcPr>
            <w:tcW w:w="1247" w:type="dxa"/>
            <w:shd w:val="clear" w:color="auto" w:fill="auto"/>
            <w:noWrap/>
            <w:vAlign w:val="center"/>
            <w:hideMark/>
          </w:tcPr>
          <w:p w14:paraId="3C9540FF"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99.24%</w:t>
            </w:r>
          </w:p>
        </w:tc>
      </w:tr>
      <w:tr w:rsidR="007515CC" w:rsidRPr="007515CC" w14:paraId="4CACF7F8" w14:textId="77777777" w:rsidTr="007515CC">
        <w:trPr>
          <w:trHeight w:val="20"/>
        </w:trPr>
        <w:tc>
          <w:tcPr>
            <w:tcW w:w="2926" w:type="dxa"/>
            <w:shd w:val="clear" w:color="auto" w:fill="auto"/>
            <w:vAlign w:val="center"/>
            <w:hideMark/>
          </w:tcPr>
          <w:p w14:paraId="105342D3" w14:textId="77777777" w:rsidR="007515CC" w:rsidRPr="007515CC" w:rsidRDefault="007515CC" w:rsidP="007515CC">
            <w:pPr>
              <w:spacing w:after="0" w:line="240" w:lineRule="auto"/>
              <w:jc w:val="both"/>
              <w:rPr>
                <w:rFonts w:ascii="Times New Roman" w:hAnsi="Times New Roman"/>
                <w:color w:val="000000"/>
                <w:sz w:val="20"/>
                <w:szCs w:val="20"/>
              </w:rPr>
            </w:pPr>
            <w:r w:rsidRPr="007515CC">
              <w:rPr>
                <w:rFonts w:ascii="Times New Roman" w:hAnsi="Times New Roman"/>
                <w:color w:val="000000"/>
                <w:sz w:val="20"/>
                <w:szCs w:val="20"/>
              </w:rPr>
              <w:t>Other income</w:t>
            </w:r>
          </w:p>
        </w:tc>
        <w:tc>
          <w:tcPr>
            <w:tcW w:w="1280" w:type="dxa"/>
            <w:shd w:val="clear" w:color="auto" w:fill="auto"/>
            <w:noWrap/>
            <w:vAlign w:val="center"/>
            <w:hideMark/>
          </w:tcPr>
          <w:p w14:paraId="653763A7"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498.91</w:t>
            </w:r>
          </w:p>
        </w:tc>
        <w:tc>
          <w:tcPr>
            <w:tcW w:w="1280" w:type="dxa"/>
            <w:shd w:val="clear" w:color="auto" w:fill="auto"/>
            <w:noWrap/>
            <w:vAlign w:val="center"/>
            <w:hideMark/>
          </w:tcPr>
          <w:p w14:paraId="18F6F70E"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1.00%</w:t>
            </w:r>
          </w:p>
        </w:tc>
        <w:tc>
          <w:tcPr>
            <w:tcW w:w="1237" w:type="dxa"/>
            <w:shd w:val="clear" w:color="auto" w:fill="auto"/>
            <w:noWrap/>
            <w:vAlign w:val="center"/>
            <w:hideMark/>
          </w:tcPr>
          <w:p w14:paraId="55709174"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321.07</w:t>
            </w:r>
          </w:p>
        </w:tc>
        <w:tc>
          <w:tcPr>
            <w:tcW w:w="1184" w:type="dxa"/>
            <w:shd w:val="clear" w:color="auto" w:fill="auto"/>
            <w:noWrap/>
            <w:vAlign w:val="center"/>
            <w:hideMark/>
          </w:tcPr>
          <w:p w14:paraId="5A88DFE9"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0.75%</w:t>
            </w:r>
          </w:p>
        </w:tc>
        <w:tc>
          <w:tcPr>
            <w:tcW w:w="1280" w:type="dxa"/>
            <w:shd w:val="clear" w:color="auto" w:fill="auto"/>
            <w:noWrap/>
            <w:vAlign w:val="center"/>
            <w:hideMark/>
          </w:tcPr>
          <w:p w14:paraId="5002E681"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105.88</w:t>
            </w:r>
          </w:p>
        </w:tc>
        <w:tc>
          <w:tcPr>
            <w:tcW w:w="1247" w:type="dxa"/>
            <w:shd w:val="clear" w:color="auto" w:fill="auto"/>
            <w:noWrap/>
            <w:vAlign w:val="center"/>
            <w:hideMark/>
          </w:tcPr>
          <w:p w14:paraId="1A51BC2E"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0.76%</w:t>
            </w:r>
          </w:p>
        </w:tc>
      </w:tr>
      <w:tr w:rsidR="007515CC" w:rsidRPr="007515CC" w14:paraId="4BCBC13D" w14:textId="77777777" w:rsidTr="007515CC">
        <w:trPr>
          <w:trHeight w:val="20"/>
        </w:trPr>
        <w:tc>
          <w:tcPr>
            <w:tcW w:w="2926" w:type="dxa"/>
            <w:shd w:val="clear" w:color="auto" w:fill="auto"/>
            <w:vAlign w:val="center"/>
            <w:hideMark/>
          </w:tcPr>
          <w:p w14:paraId="22B1B4F8" w14:textId="77777777" w:rsidR="007515CC" w:rsidRPr="007515CC" w:rsidRDefault="007515CC" w:rsidP="007515CC">
            <w:pPr>
              <w:spacing w:after="0" w:line="240" w:lineRule="auto"/>
              <w:jc w:val="both"/>
              <w:rPr>
                <w:rFonts w:ascii="Times New Roman" w:hAnsi="Times New Roman"/>
                <w:color w:val="000000"/>
                <w:sz w:val="20"/>
                <w:szCs w:val="20"/>
              </w:rPr>
            </w:pPr>
            <w:r w:rsidRPr="007515CC">
              <w:rPr>
                <w:rFonts w:ascii="Times New Roman" w:hAnsi="Times New Roman"/>
                <w:color w:val="000000"/>
                <w:sz w:val="20"/>
                <w:szCs w:val="20"/>
              </w:rPr>
              <w:t>Total Income</w:t>
            </w:r>
          </w:p>
        </w:tc>
        <w:tc>
          <w:tcPr>
            <w:tcW w:w="1280" w:type="dxa"/>
            <w:shd w:val="clear" w:color="auto" w:fill="auto"/>
            <w:noWrap/>
            <w:vAlign w:val="center"/>
            <w:hideMark/>
          </w:tcPr>
          <w:p w14:paraId="167859B3"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49,786.27</w:t>
            </w:r>
          </w:p>
        </w:tc>
        <w:tc>
          <w:tcPr>
            <w:tcW w:w="1280" w:type="dxa"/>
            <w:shd w:val="clear" w:color="auto" w:fill="auto"/>
            <w:noWrap/>
            <w:vAlign w:val="center"/>
            <w:hideMark/>
          </w:tcPr>
          <w:p w14:paraId="2215E612"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100.00%</w:t>
            </w:r>
          </w:p>
        </w:tc>
        <w:tc>
          <w:tcPr>
            <w:tcW w:w="1237" w:type="dxa"/>
            <w:shd w:val="clear" w:color="auto" w:fill="auto"/>
            <w:noWrap/>
            <w:vAlign w:val="center"/>
            <w:hideMark/>
          </w:tcPr>
          <w:p w14:paraId="3D28034D"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42,644.34</w:t>
            </w:r>
          </w:p>
        </w:tc>
        <w:tc>
          <w:tcPr>
            <w:tcW w:w="1184" w:type="dxa"/>
            <w:shd w:val="clear" w:color="auto" w:fill="auto"/>
            <w:noWrap/>
            <w:vAlign w:val="center"/>
            <w:hideMark/>
          </w:tcPr>
          <w:p w14:paraId="431374BE"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100.00%</w:t>
            </w:r>
          </w:p>
        </w:tc>
        <w:tc>
          <w:tcPr>
            <w:tcW w:w="1280" w:type="dxa"/>
            <w:shd w:val="clear" w:color="auto" w:fill="auto"/>
            <w:noWrap/>
            <w:vAlign w:val="center"/>
            <w:hideMark/>
          </w:tcPr>
          <w:p w14:paraId="5C7279B5"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13,972.93</w:t>
            </w:r>
          </w:p>
        </w:tc>
        <w:tc>
          <w:tcPr>
            <w:tcW w:w="1247" w:type="dxa"/>
            <w:shd w:val="clear" w:color="auto" w:fill="auto"/>
            <w:noWrap/>
            <w:vAlign w:val="center"/>
            <w:hideMark/>
          </w:tcPr>
          <w:p w14:paraId="2EB4090B"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100.00%</w:t>
            </w:r>
          </w:p>
        </w:tc>
      </w:tr>
      <w:tr w:rsidR="007515CC" w:rsidRPr="007515CC" w14:paraId="4E4108B7" w14:textId="77777777" w:rsidTr="007515CC">
        <w:trPr>
          <w:trHeight w:val="20"/>
        </w:trPr>
        <w:tc>
          <w:tcPr>
            <w:tcW w:w="2926" w:type="dxa"/>
            <w:shd w:val="clear" w:color="auto" w:fill="auto"/>
            <w:noWrap/>
            <w:vAlign w:val="center"/>
            <w:hideMark/>
          </w:tcPr>
          <w:p w14:paraId="62C11D9F" w14:textId="77777777" w:rsidR="007515CC" w:rsidRPr="007515CC" w:rsidRDefault="007515CC" w:rsidP="007515CC">
            <w:pPr>
              <w:spacing w:after="0" w:line="240" w:lineRule="auto"/>
              <w:jc w:val="both"/>
              <w:rPr>
                <w:rFonts w:ascii="Times New Roman" w:hAnsi="Times New Roman"/>
                <w:b/>
                <w:bCs/>
                <w:color w:val="000000"/>
                <w:sz w:val="20"/>
                <w:szCs w:val="20"/>
              </w:rPr>
            </w:pPr>
            <w:r w:rsidRPr="007515CC">
              <w:rPr>
                <w:rFonts w:ascii="Times New Roman" w:hAnsi="Times New Roman"/>
                <w:b/>
                <w:bCs/>
                <w:color w:val="000000"/>
                <w:sz w:val="20"/>
                <w:szCs w:val="20"/>
              </w:rPr>
              <w:t>Expenses</w:t>
            </w:r>
          </w:p>
        </w:tc>
        <w:tc>
          <w:tcPr>
            <w:tcW w:w="1280" w:type="dxa"/>
            <w:shd w:val="clear" w:color="auto" w:fill="auto"/>
            <w:noWrap/>
            <w:vAlign w:val="center"/>
          </w:tcPr>
          <w:p w14:paraId="259A3C26" w14:textId="593992A5" w:rsidR="007515CC" w:rsidRPr="007515CC" w:rsidRDefault="007515CC" w:rsidP="007515CC">
            <w:pPr>
              <w:spacing w:after="0" w:line="240" w:lineRule="auto"/>
              <w:jc w:val="center"/>
              <w:rPr>
                <w:rFonts w:ascii="Times New Roman" w:hAnsi="Times New Roman"/>
                <w:color w:val="000000"/>
                <w:sz w:val="20"/>
                <w:szCs w:val="20"/>
              </w:rPr>
            </w:pPr>
          </w:p>
        </w:tc>
        <w:tc>
          <w:tcPr>
            <w:tcW w:w="1280" w:type="dxa"/>
            <w:shd w:val="clear" w:color="auto" w:fill="auto"/>
            <w:noWrap/>
            <w:vAlign w:val="center"/>
          </w:tcPr>
          <w:p w14:paraId="29023A0C" w14:textId="10BB9CD0" w:rsidR="007515CC" w:rsidRPr="007515CC" w:rsidRDefault="007515CC" w:rsidP="007515CC">
            <w:pPr>
              <w:spacing w:after="0" w:line="240" w:lineRule="auto"/>
              <w:jc w:val="center"/>
              <w:rPr>
                <w:rFonts w:ascii="Times New Roman" w:hAnsi="Times New Roman"/>
                <w:color w:val="000000"/>
                <w:sz w:val="20"/>
                <w:szCs w:val="20"/>
              </w:rPr>
            </w:pPr>
          </w:p>
        </w:tc>
        <w:tc>
          <w:tcPr>
            <w:tcW w:w="1237" w:type="dxa"/>
            <w:shd w:val="clear" w:color="auto" w:fill="auto"/>
            <w:noWrap/>
            <w:vAlign w:val="center"/>
          </w:tcPr>
          <w:p w14:paraId="5579B9B2" w14:textId="087B8C04" w:rsidR="007515CC" w:rsidRPr="007515CC" w:rsidRDefault="007515CC" w:rsidP="007515CC">
            <w:pPr>
              <w:spacing w:after="0" w:line="240" w:lineRule="auto"/>
              <w:jc w:val="center"/>
              <w:rPr>
                <w:rFonts w:ascii="Times New Roman" w:hAnsi="Times New Roman"/>
                <w:color w:val="000000"/>
                <w:sz w:val="20"/>
                <w:szCs w:val="20"/>
              </w:rPr>
            </w:pPr>
          </w:p>
        </w:tc>
        <w:tc>
          <w:tcPr>
            <w:tcW w:w="1184" w:type="dxa"/>
            <w:shd w:val="clear" w:color="auto" w:fill="auto"/>
            <w:noWrap/>
            <w:vAlign w:val="center"/>
          </w:tcPr>
          <w:p w14:paraId="39D5CB9D" w14:textId="06B72EA1" w:rsidR="007515CC" w:rsidRPr="007515CC" w:rsidRDefault="007515CC" w:rsidP="007515CC">
            <w:pPr>
              <w:spacing w:after="0" w:line="240" w:lineRule="auto"/>
              <w:jc w:val="center"/>
              <w:rPr>
                <w:rFonts w:ascii="Times New Roman" w:hAnsi="Times New Roman"/>
                <w:color w:val="000000"/>
                <w:sz w:val="20"/>
                <w:szCs w:val="20"/>
              </w:rPr>
            </w:pPr>
          </w:p>
        </w:tc>
        <w:tc>
          <w:tcPr>
            <w:tcW w:w="1280" w:type="dxa"/>
            <w:shd w:val="clear" w:color="auto" w:fill="auto"/>
            <w:noWrap/>
            <w:vAlign w:val="center"/>
          </w:tcPr>
          <w:p w14:paraId="59F119BB" w14:textId="3C847A4E" w:rsidR="007515CC" w:rsidRPr="007515CC" w:rsidRDefault="007515CC" w:rsidP="007515CC">
            <w:pPr>
              <w:spacing w:after="0" w:line="240" w:lineRule="auto"/>
              <w:jc w:val="center"/>
              <w:rPr>
                <w:rFonts w:ascii="Times New Roman" w:hAnsi="Times New Roman"/>
                <w:color w:val="000000"/>
                <w:sz w:val="20"/>
                <w:szCs w:val="20"/>
              </w:rPr>
            </w:pPr>
          </w:p>
        </w:tc>
        <w:tc>
          <w:tcPr>
            <w:tcW w:w="1247" w:type="dxa"/>
            <w:shd w:val="clear" w:color="auto" w:fill="auto"/>
            <w:noWrap/>
            <w:vAlign w:val="center"/>
          </w:tcPr>
          <w:p w14:paraId="1174F0A8" w14:textId="4154D56F" w:rsidR="007515CC" w:rsidRPr="007515CC" w:rsidRDefault="007515CC" w:rsidP="007515CC">
            <w:pPr>
              <w:spacing w:after="0" w:line="240" w:lineRule="auto"/>
              <w:jc w:val="center"/>
              <w:rPr>
                <w:rFonts w:ascii="Times New Roman" w:hAnsi="Times New Roman"/>
                <w:color w:val="000000"/>
                <w:sz w:val="20"/>
                <w:szCs w:val="20"/>
              </w:rPr>
            </w:pPr>
          </w:p>
        </w:tc>
      </w:tr>
      <w:tr w:rsidR="007515CC" w:rsidRPr="007515CC" w14:paraId="2210476C" w14:textId="77777777" w:rsidTr="007515CC">
        <w:trPr>
          <w:trHeight w:val="20"/>
        </w:trPr>
        <w:tc>
          <w:tcPr>
            <w:tcW w:w="2926" w:type="dxa"/>
            <w:shd w:val="clear" w:color="auto" w:fill="auto"/>
            <w:noWrap/>
            <w:vAlign w:val="center"/>
            <w:hideMark/>
          </w:tcPr>
          <w:p w14:paraId="2FF82A59" w14:textId="77777777" w:rsidR="007515CC" w:rsidRPr="007515CC" w:rsidRDefault="007515CC" w:rsidP="007515CC">
            <w:pPr>
              <w:spacing w:after="0" w:line="240" w:lineRule="auto"/>
              <w:jc w:val="both"/>
              <w:rPr>
                <w:rFonts w:ascii="Times New Roman" w:hAnsi="Times New Roman"/>
                <w:color w:val="000000"/>
                <w:sz w:val="20"/>
                <w:szCs w:val="20"/>
              </w:rPr>
            </w:pPr>
            <w:r w:rsidRPr="007515CC">
              <w:rPr>
                <w:rFonts w:ascii="Times New Roman" w:hAnsi="Times New Roman"/>
                <w:bCs/>
                <w:color w:val="000000"/>
                <w:sz w:val="20"/>
                <w:szCs w:val="20"/>
              </w:rPr>
              <w:t xml:space="preserve">Raw Material Consumption </w:t>
            </w:r>
          </w:p>
        </w:tc>
        <w:tc>
          <w:tcPr>
            <w:tcW w:w="1280" w:type="dxa"/>
            <w:shd w:val="clear" w:color="auto" w:fill="auto"/>
            <w:noWrap/>
            <w:vAlign w:val="center"/>
            <w:hideMark/>
          </w:tcPr>
          <w:p w14:paraId="5E7D7850"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45,130.06</w:t>
            </w:r>
          </w:p>
        </w:tc>
        <w:tc>
          <w:tcPr>
            <w:tcW w:w="1280" w:type="dxa"/>
            <w:shd w:val="clear" w:color="auto" w:fill="auto"/>
            <w:noWrap/>
            <w:vAlign w:val="center"/>
            <w:hideMark/>
          </w:tcPr>
          <w:p w14:paraId="0E7D890E"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90.65%</w:t>
            </w:r>
          </w:p>
        </w:tc>
        <w:tc>
          <w:tcPr>
            <w:tcW w:w="1237" w:type="dxa"/>
            <w:shd w:val="clear" w:color="auto" w:fill="auto"/>
            <w:noWrap/>
            <w:vAlign w:val="center"/>
            <w:hideMark/>
          </w:tcPr>
          <w:p w14:paraId="00FF9876"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37,024.95</w:t>
            </w:r>
          </w:p>
        </w:tc>
        <w:tc>
          <w:tcPr>
            <w:tcW w:w="1184" w:type="dxa"/>
            <w:shd w:val="clear" w:color="auto" w:fill="auto"/>
            <w:noWrap/>
            <w:vAlign w:val="center"/>
            <w:hideMark/>
          </w:tcPr>
          <w:p w14:paraId="68888716"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86.82%</w:t>
            </w:r>
          </w:p>
        </w:tc>
        <w:tc>
          <w:tcPr>
            <w:tcW w:w="1280" w:type="dxa"/>
            <w:shd w:val="clear" w:color="auto" w:fill="auto"/>
            <w:noWrap/>
            <w:vAlign w:val="center"/>
            <w:hideMark/>
          </w:tcPr>
          <w:p w14:paraId="58B334E1"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11,961.74</w:t>
            </w:r>
          </w:p>
        </w:tc>
        <w:tc>
          <w:tcPr>
            <w:tcW w:w="1247" w:type="dxa"/>
            <w:shd w:val="clear" w:color="auto" w:fill="auto"/>
            <w:noWrap/>
            <w:vAlign w:val="center"/>
            <w:hideMark/>
          </w:tcPr>
          <w:p w14:paraId="6E007187"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85.61%</w:t>
            </w:r>
          </w:p>
        </w:tc>
      </w:tr>
      <w:tr w:rsidR="007515CC" w:rsidRPr="007515CC" w14:paraId="50C753A3" w14:textId="77777777" w:rsidTr="007515CC">
        <w:trPr>
          <w:trHeight w:val="20"/>
        </w:trPr>
        <w:tc>
          <w:tcPr>
            <w:tcW w:w="2926" w:type="dxa"/>
            <w:shd w:val="clear" w:color="auto" w:fill="auto"/>
            <w:noWrap/>
            <w:vAlign w:val="center"/>
            <w:hideMark/>
          </w:tcPr>
          <w:p w14:paraId="6590CBFB" w14:textId="77777777" w:rsidR="007515CC" w:rsidRPr="007515CC" w:rsidRDefault="007515CC" w:rsidP="007515CC">
            <w:pPr>
              <w:spacing w:after="0" w:line="240" w:lineRule="auto"/>
              <w:jc w:val="both"/>
              <w:rPr>
                <w:rFonts w:ascii="Times New Roman" w:hAnsi="Times New Roman"/>
                <w:color w:val="000000"/>
                <w:sz w:val="20"/>
                <w:szCs w:val="20"/>
              </w:rPr>
            </w:pPr>
            <w:r w:rsidRPr="007515CC">
              <w:rPr>
                <w:rFonts w:ascii="Times New Roman" w:hAnsi="Times New Roman"/>
                <w:bCs/>
                <w:color w:val="000000"/>
                <w:sz w:val="20"/>
                <w:szCs w:val="20"/>
              </w:rPr>
              <w:t>Change in inventories of finished goods, work in progress and stock in trade</w:t>
            </w:r>
          </w:p>
        </w:tc>
        <w:tc>
          <w:tcPr>
            <w:tcW w:w="1280" w:type="dxa"/>
            <w:shd w:val="clear" w:color="auto" w:fill="auto"/>
            <w:noWrap/>
            <w:vAlign w:val="center"/>
            <w:hideMark/>
          </w:tcPr>
          <w:p w14:paraId="7EEE3C8A"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-0.2</w:t>
            </w:r>
          </w:p>
        </w:tc>
        <w:tc>
          <w:tcPr>
            <w:tcW w:w="1280" w:type="dxa"/>
            <w:shd w:val="clear" w:color="auto" w:fill="auto"/>
            <w:noWrap/>
            <w:vAlign w:val="center"/>
            <w:hideMark/>
          </w:tcPr>
          <w:p w14:paraId="14956A9A"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0.00%</w:t>
            </w:r>
          </w:p>
        </w:tc>
        <w:tc>
          <w:tcPr>
            <w:tcW w:w="1237" w:type="dxa"/>
            <w:shd w:val="clear" w:color="auto" w:fill="auto"/>
            <w:noWrap/>
            <w:vAlign w:val="center"/>
            <w:hideMark/>
          </w:tcPr>
          <w:p w14:paraId="43276226"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592.26</w:t>
            </w:r>
          </w:p>
        </w:tc>
        <w:tc>
          <w:tcPr>
            <w:tcW w:w="1184" w:type="dxa"/>
            <w:shd w:val="clear" w:color="auto" w:fill="auto"/>
            <w:noWrap/>
            <w:vAlign w:val="center"/>
            <w:hideMark/>
          </w:tcPr>
          <w:p w14:paraId="58ED1B3A"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1.39%</w:t>
            </w:r>
          </w:p>
        </w:tc>
        <w:tc>
          <w:tcPr>
            <w:tcW w:w="1280" w:type="dxa"/>
            <w:shd w:val="clear" w:color="auto" w:fill="auto"/>
            <w:noWrap/>
            <w:vAlign w:val="center"/>
            <w:hideMark/>
          </w:tcPr>
          <w:p w14:paraId="1B3A6E98"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450.75</w:t>
            </w:r>
          </w:p>
        </w:tc>
        <w:tc>
          <w:tcPr>
            <w:tcW w:w="1247" w:type="dxa"/>
            <w:shd w:val="clear" w:color="auto" w:fill="auto"/>
            <w:noWrap/>
            <w:vAlign w:val="center"/>
            <w:hideMark/>
          </w:tcPr>
          <w:p w14:paraId="2BB16DA0"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3.23%</w:t>
            </w:r>
          </w:p>
        </w:tc>
      </w:tr>
      <w:tr w:rsidR="007515CC" w:rsidRPr="007515CC" w14:paraId="1F9E4C1A" w14:textId="77777777" w:rsidTr="007515CC">
        <w:trPr>
          <w:trHeight w:val="20"/>
        </w:trPr>
        <w:tc>
          <w:tcPr>
            <w:tcW w:w="2926" w:type="dxa"/>
            <w:shd w:val="clear" w:color="auto" w:fill="auto"/>
            <w:noWrap/>
            <w:vAlign w:val="center"/>
            <w:hideMark/>
          </w:tcPr>
          <w:p w14:paraId="09E07D1E" w14:textId="77777777" w:rsidR="007515CC" w:rsidRPr="007515CC" w:rsidRDefault="007515CC" w:rsidP="007515CC">
            <w:pPr>
              <w:spacing w:after="0" w:line="240" w:lineRule="auto"/>
              <w:jc w:val="both"/>
              <w:rPr>
                <w:rFonts w:ascii="Times New Roman" w:hAnsi="Times New Roman"/>
                <w:color w:val="000000"/>
                <w:sz w:val="20"/>
                <w:szCs w:val="20"/>
              </w:rPr>
            </w:pPr>
            <w:r w:rsidRPr="007515CC">
              <w:rPr>
                <w:rFonts w:ascii="Times New Roman" w:hAnsi="Times New Roman"/>
                <w:bCs/>
                <w:color w:val="000000"/>
                <w:sz w:val="20"/>
                <w:szCs w:val="20"/>
              </w:rPr>
              <w:t>Employee Benefit Expenses</w:t>
            </w:r>
          </w:p>
        </w:tc>
        <w:tc>
          <w:tcPr>
            <w:tcW w:w="1280" w:type="dxa"/>
            <w:shd w:val="clear" w:color="auto" w:fill="auto"/>
            <w:noWrap/>
            <w:vAlign w:val="center"/>
            <w:hideMark/>
          </w:tcPr>
          <w:p w14:paraId="042CA6C4"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342.03</w:t>
            </w:r>
          </w:p>
        </w:tc>
        <w:tc>
          <w:tcPr>
            <w:tcW w:w="1280" w:type="dxa"/>
            <w:shd w:val="clear" w:color="auto" w:fill="auto"/>
            <w:noWrap/>
            <w:vAlign w:val="center"/>
            <w:hideMark/>
          </w:tcPr>
          <w:p w14:paraId="40066FE4"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0.69%</w:t>
            </w:r>
          </w:p>
        </w:tc>
        <w:tc>
          <w:tcPr>
            <w:tcW w:w="1237" w:type="dxa"/>
            <w:shd w:val="clear" w:color="auto" w:fill="auto"/>
            <w:noWrap/>
            <w:vAlign w:val="center"/>
            <w:hideMark/>
          </w:tcPr>
          <w:p w14:paraId="51FF4AA1"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325.32</w:t>
            </w:r>
          </w:p>
        </w:tc>
        <w:tc>
          <w:tcPr>
            <w:tcW w:w="1184" w:type="dxa"/>
            <w:shd w:val="clear" w:color="auto" w:fill="auto"/>
            <w:noWrap/>
            <w:vAlign w:val="center"/>
            <w:hideMark/>
          </w:tcPr>
          <w:p w14:paraId="49DEE34C"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0.76%</w:t>
            </w:r>
          </w:p>
        </w:tc>
        <w:tc>
          <w:tcPr>
            <w:tcW w:w="1280" w:type="dxa"/>
            <w:shd w:val="clear" w:color="auto" w:fill="auto"/>
            <w:noWrap/>
            <w:vAlign w:val="center"/>
            <w:hideMark/>
          </w:tcPr>
          <w:p w14:paraId="06C2A82A"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352.02</w:t>
            </w:r>
          </w:p>
        </w:tc>
        <w:tc>
          <w:tcPr>
            <w:tcW w:w="1247" w:type="dxa"/>
            <w:shd w:val="clear" w:color="auto" w:fill="auto"/>
            <w:noWrap/>
            <w:vAlign w:val="center"/>
            <w:hideMark/>
          </w:tcPr>
          <w:p w14:paraId="74BA06A8"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2.52%</w:t>
            </w:r>
          </w:p>
        </w:tc>
      </w:tr>
      <w:tr w:rsidR="007515CC" w:rsidRPr="007515CC" w14:paraId="39AC1B5B" w14:textId="77777777" w:rsidTr="007515CC">
        <w:trPr>
          <w:trHeight w:val="20"/>
        </w:trPr>
        <w:tc>
          <w:tcPr>
            <w:tcW w:w="2926" w:type="dxa"/>
            <w:shd w:val="clear" w:color="auto" w:fill="auto"/>
            <w:vAlign w:val="center"/>
            <w:hideMark/>
          </w:tcPr>
          <w:p w14:paraId="16DA38AC" w14:textId="77777777" w:rsidR="007515CC" w:rsidRPr="007515CC" w:rsidRDefault="007515CC" w:rsidP="007515CC">
            <w:pPr>
              <w:spacing w:after="0" w:line="240" w:lineRule="auto"/>
              <w:jc w:val="both"/>
              <w:rPr>
                <w:rFonts w:ascii="Times New Roman" w:hAnsi="Times New Roman"/>
                <w:color w:val="000000"/>
                <w:sz w:val="20"/>
                <w:szCs w:val="20"/>
              </w:rPr>
            </w:pPr>
            <w:r w:rsidRPr="007515CC">
              <w:rPr>
                <w:rFonts w:ascii="Times New Roman" w:hAnsi="Times New Roman"/>
                <w:color w:val="000000"/>
                <w:sz w:val="20"/>
                <w:szCs w:val="20"/>
              </w:rPr>
              <w:t>Finance Costs</w:t>
            </w:r>
          </w:p>
        </w:tc>
        <w:tc>
          <w:tcPr>
            <w:tcW w:w="1280" w:type="dxa"/>
            <w:shd w:val="clear" w:color="auto" w:fill="auto"/>
            <w:noWrap/>
            <w:vAlign w:val="center"/>
            <w:hideMark/>
          </w:tcPr>
          <w:p w14:paraId="4CBCCCF1"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442.82</w:t>
            </w:r>
          </w:p>
        </w:tc>
        <w:tc>
          <w:tcPr>
            <w:tcW w:w="1280" w:type="dxa"/>
            <w:shd w:val="clear" w:color="auto" w:fill="auto"/>
            <w:noWrap/>
            <w:vAlign w:val="center"/>
            <w:hideMark/>
          </w:tcPr>
          <w:p w14:paraId="020F04B5"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0.89%</w:t>
            </w:r>
          </w:p>
        </w:tc>
        <w:tc>
          <w:tcPr>
            <w:tcW w:w="1237" w:type="dxa"/>
            <w:shd w:val="clear" w:color="auto" w:fill="auto"/>
            <w:noWrap/>
            <w:vAlign w:val="center"/>
            <w:hideMark/>
          </w:tcPr>
          <w:p w14:paraId="15344E5A"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245.24</w:t>
            </w:r>
          </w:p>
        </w:tc>
        <w:tc>
          <w:tcPr>
            <w:tcW w:w="1184" w:type="dxa"/>
            <w:shd w:val="clear" w:color="auto" w:fill="auto"/>
            <w:noWrap/>
            <w:vAlign w:val="center"/>
            <w:hideMark/>
          </w:tcPr>
          <w:p w14:paraId="12AE87D3"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0.58%</w:t>
            </w:r>
          </w:p>
        </w:tc>
        <w:tc>
          <w:tcPr>
            <w:tcW w:w="1280" w:type="dxa"/>
            <w:shd w:val="clear" w:color="auto" w:fill="auto"/>
            <w:noWrap/>
            <w:vAlign w:val="center"/>
            <w:hideMark/>
          </w:tcPr>
          <w:p w14:paraId="4C9D6BD0"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153.89</w:t>
            </w:r>
          </w:p>
        </w:tc>
        <w:tc>
          <w:tcPr>
            <w:tcW w:w="1247" w:type="dxa"/>
            <w:shd w:val="clear" w:color="auto" w:fill="auto"/>
            <w:noWrap/>
            <w:vAlign w:val="center"/>
            <w:hideMark/>
          </w:tcPr>
          <w:p w14:paraId="4E3DF350"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1.10%</w:t>
            </w:r>
          </w:p>
        </w:tc>
      </w:tr>
      <w:tr w:rsidR="007515CC" w:rsidRPr="007515CC" w14:paraId="000FAFAC" w14:textId="77777777" w:rsidTr="007515CC">
        <w:trPr>
          <w:trHeight w:val="20"/>
        </w:trPr>
        <w:tc>
          <w:tcPr>
            <w:tcW w:w="2926" w:type="dxa"/>
            <w:shd w:val="clear" w:color="auto" w:fill="auto"/>
            <w:vAlign w:val="center"/>
            <w:hideMark/>
          </w:tcPr>
          <w:p w14:paraId="1AA23CFD" w14:textId="77777777" w:rsidR="007515CC" w:rsidRPr="007515CC" w:rsidRDefault="007515CC" w:rsidP="007515CC">
            <w:pPr>
              <w:spacing w:after="0" w:line="240" w:lineRule="auto"/>
              <w:jc w:val="both"/>
              <w:rPr>
                <w:rFonts w:ascii="Times New Roman" w:hAnsi="Times New Roman"/>
                <w:color w:val="000000"/>
                <w:sz w:val="20"/>
                <w:szCs w:val="20"/>
              </w:rPr>
            </w:pPr>
            <w:r w:rsidRPr="007515CC">
              <w:rPr>
                <w:rFonts w:ascii="Times New Roman" w:hAnsi="Times New Roman"/>
                <w:color w:val="000000"/>
                <w:sz w:val="20"/>
                <w:szCs w:val="20"/>
              </w:rPr>
              <w:t>Depreciation and Amortisation Expenses</w:t>
            </w:r>
          </w:p>
        </w:tc>
        <w:tc>
          <w:tcPr>
            <w:tcW w:w="1280" w:type="dxa"/>
            <w:shd w:val="clear" w:color="auto" w:fill="auto"/>
            <w:noWrap/>
            <w:vAlign w:val="center"/>
            <w:hideMark/>
          </w:tcPr>
          <w:p w14:paraId="5D0A81F6"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169.07</w:t>
            </w:r>
          </w:p>
        </w:tc>
        <w:tc>
          <w:tcPr>
            <w:tcW w:w="1280" w:type="dxa"/>
            <w:shd w:val="clear" w:color="auto" w:fill="auto"/>
            <w:noWrap/>
            <w:vAlign w:val="center"/>
            <w:hideMark/>
          </w:tcPr>
          <w:p w14:paraId="7728A237"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0.34%</w:t>
            </w:r>
          </w:p>
        </w:tc>
        <w:tc>
          <w:tcPr>
            <w:tcW w:w="1237" w:type="dxa"/>
            <w:shd w:val="clear" w:color="auto" w:fill="auto"/>
            <w:noWrap/>
            <w:vAlign w:val="center"/>
            <w:hideMark/>
          </w:tcPr>
          <w:p w14:paraId="6CE40EBD"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177.68</w:t>
            </w:r>
          </w:p>
        </w:tc>
        <w:tc>
          <w:tcPr>
            <w:tcW w:w="1184" w:type="dxa"/>
            <w:shd w:val="clear" w:color="auto" w:fill="auto"/>
            <w:noWrap/>
            <w:vAlign w:val="center"/>
            <w:hideMark/>
          </w:tcPr>
          <w:p w14:paraId="0416651F"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0.42%</w:t>
            </w:r>
          </w:p>
        </w:tc>
        <w:tc>
          <w:tcPr>
            <w:tcW w:w="1280" w:type="dxa"/>
            <w:shd w:val="clear" w:color="auto" w:fill="auto"/>
            <w:noWrap/>
            <w:vAlign w:val="center"/>
            <w:hideMark/>
          </w:tcPr>
          <w:p w14:paraId="6A31FE7F"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135.74</w:t>
            </w:r>
          </w:p>
        </w:tc>
        <w:tc>
          <w:tcPr>
            <w:tcW w:w="1247" w:type="dxa"/>
            <w:shd w:val="clear" w:color="auto" w:fill="auto"/>
            <w:noWrap/>
            <w:vAlign w:val="center"/>
            <w:hideMark/>
          </w:tcPr>
          <w:p w14:paraId="1AFD3CBC"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0.97%</w:t>
            </w:r>
          </w:p>
        </w:tc>
      </w:tr>
      <w:tr w:rsidR="007515CC" w:rsidRPr="007515CC" w14:paraId="16A35D51" w14:textId="77777777" w:rsidTr="007515CC">
        <w:trPr>
          <w:trHeight w:val="20"/>
        </w:trPr>
        <w:tc>
          <w:tcPr>
            <w:tcW w:w="2926" w:type="dxa"/>
            <w:shd w:val="clear" w:color="auto" w:fill="auto"/>
            <w:vAlign w:val="center"/>
            <w:hideMark/>
          </w:tcPr>
          <w:p w14:paraId="74D315E0" w14:textId="77777777" w:rsidR="007515CC" w:rsidRPr="007515CC" w:rsidRDefault="007515CC" w:rsidP="007515CC">
            <w:pPr>
              <w:spacing w:after="0" w:line="240" w:lineRule="auto"/>
              <w:jc w:val="both"/>
              <w:rPr>
                <w:rFonts w:ascii="Times New Roman" w:hAnsi="Times New Roman"/>
                <w:color w:val="000000"/>
                <w:sz w:val="20"/>
                <w:szCs w:val="20"/>
              </w:rPr>
            </w:pPr>
            <w:r w:rsidRPr="007515CC">
              <w:rPr>
                <w:rFonts w:ascii="Times New Roman" w:hAnsi="Times New Roman"/>
                <w:color w:val="000000"/>
                <w:sz w:val="20"/>
                <w:szCs w:val="20"/>
              </w:rPr>
              <w:t>Other Expenses</w:t>
            </w:r>
          </w:p>
        </w:tc>
        <w:tc>
          <w:tcPr>
            <w:tcW w:w="1280" w:type="dxa"/>
            <w:shd w:val="clear" w:color="auto" w:fill="auto"/>
            <w:noWrap/>
            <w:vAlign w:val="center"/>
            <w:hideMark/>
          </w:tcPr>
          <w:p w14:paraId="60FB1BA6"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2,621.92</w:t>
            </w:r>
          </w:p>
        </w:tc>
        <w:tc>
          <w:tcPr>
            <w:tcW w:w="1280" w:type="dxa"/>
            <w:shd w:val="clear" w:color="auto" w:fill="auto"/>
            <w:noWrap/>
            <w:vAlign w:val="center"/>
            <w:hideMark/>
          </w:tcPr>
          <w:p w14:paraId="1C609EBA"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5.27%</w:t>
            </w:r>
          </w:p>
        </w:tc>
        <w:tc>
          <w:tcPr>
            <w:tcW w:w="1237" w:type="dxa"/>
            <w:shd w:val="clear" w:color="auto" w:fill="auto"/>
            <w:noWrap/>
            <w:vAlign w:val="center"/>
            <w:hideMark/>
          </w:tcPr>
          <w:p w14:paraId="41B5FCDE"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3,829.13</w:t>
            </w:r>
          </w:p>
        </w:tc>
        <w:tc>
          <w:tcPr>
            <w:tcW w:w="1184" w:type="dxa"/>
            <w:shd w:val="clear" w:color="auto" w:fill="auto"/>
            <w:noWrap/>
            <w:vAlign w:val="center"/>
            <w:hideMark/>
          </w:tcPr>
          <w:p w14:paraId="7DB2AC6F"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8.98%</w:t>
            </w:r>
          </w:p>
        </w:tc>
        <w:tc>
          <w:tcPr>
            <w:tcW w:w="1280" w:type="dxa"/>
            <w:shd w:val="clear" w:color="auto" w:fill="auto"/>
            <w:noWrap/>
            <w:vAlign w:val="center"/>
            <w:hideMark/>
          </w:tcPr>
          <w:p w14:paraId="4A8E0BB8"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723.35</w:t>
            </w:r>
          </w:p>
        </w:tc>
        <w:tc>
          <w:tcPr>
            <w:tcW w:w="1247" w:type="dxa"/>
            <w:shd w:val="clear" w:color="auto" w:fill="auto"/>
            <w:noWrap/>
            <w:vAlign w:val="center"/>
            <w:hideMark/>
          </w:tcPr>
          <w:p w14:paraId="4664732D"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5.18%</w:t>
            </w:r>
          </w:p>
        </w:tc>
      </w:tr>
      <w:tr w:rsidR="007515CC" w:rsidRPr="007515CC" w14:paraId="09B7B0AB" w14:textId="77777777" w:rsidTr="007515CC">
        <w:trPr>
          <w:trHeight w:val="20"/>
        </w:trPr>
        <w:tc>
          <w:tcPr>
            <w:tcW w:w="2926" w:type="dxa"/>
            <w:shd w:val="clear" w:color="auto" w:fill="auto"/>
            <w:vAlign w:val="center"/>
            <w:hideMark/>
          </w:tcPr>
          <w:p w14:paraId="143FA958" w14:textId="77777777" w:rsidR="007515CC" w:rsidRPr="007515CC" w:rsidRDefault="007515CC" w:rsidP="007515CC">
            <w:pPr>
              <w:spacing w:after="0" w:line="240" w:lineRule="auto"/>
              <w:jc w:val="both"/>
              <w:rPr>
                <w:rFonts w:ascii="Times New Roman" w:hAnsi="Times New Roman"/>
                <w:b/>
                <w:bCs/>
                <w:color w:val="000000"/>
                <w:sz w:val="20"/>
                <w:szCs w:val="20"/>
              </w:rPr>
            </w:pPr>
            <w:r w:rsidRPr="007515CC">
              <w:rPr>
                <w:rFonts w:ascii="Times New Roman" w:hAnsi="Times New Roman"/>
                <w:b/>
                <w:bCs/>
                <w:color w:val="000000"/>
                <w:sz w:val="20"/>
                <w:szCs w:val="20"/>
              </w:rPr>
              <w:t>Total expenses</w:t>
            </w:r>
          </w:p>
        </w:tc>
        <w:tc>
          <w:tcPr>
            <w:tcW w:w="1280" w:type="dxa"/>
            <w:shd w:val="clear" w:color="auto" w:fill="auto"/>
            <w:noWrap/>
            <w:vAlign w:val="center"/>
            <w:hideMark/>
          </w:tcPr>
          <w:p w14:paraId="6950624B" w14:textId="77777777" w:rsidR="007515CC" w:rsidRPr="007515CC" w:rsidRDefault="007515CC" w:rsidP="007515CC">
            <w:pPr>
              <w:spacing w:after="0" w:line="240" w:lineRule="auto"/>
              <w:jc w:val="center"/>
              <w:rPr>
                <w:rFonts w:ascii="Times New Roman" w:hAnsi="Times New Roman"/>
                <w:b/>
                <w:bCs/>
                <w:color w:val="000000"/>
                <w:sz w:val="20"/>
                <w:szCs w:val="20"/>
              </w:rPr>
            </w:pPr>
            <w:r w:rsidRPr="007515CC">
              <w:rPr>
                <w:rFonts w:ascii="Times New Roman" w:hAnsi="Times New Roman"/>
                <w:b/>
                <w:bCs/>
                <w:color w:val="000000"/>
                <w:sz w:val="20"/>
                <w:szCs w:val="20"/>
              </w:rPr>
              <w:t>48,705.71</w:t>
            </w:r>
          </w:p>
        </w:tc>
        <w:tc>
          <w:tcPr>
            <w:tcW w:w="1280" w:type="dxa"/>
            <w:shd w:val="clear" w:color="auto" w:fill="auto"/>
            <w:noWrap/>
            <w:vAlign w:val="center"/>
            <w:hideMark/>
          </w:tcPr>
          <w:p w14:paraId="4BD7C278" w14:textId="77777777" w:rsidR="007515CC" w:rsidRPr="007515CC" w:rsidRDefault="007515CC" w:rsidP="007515CC">
            <w:pPr>
              <w:spacing w:after="0" w:line="240" w:lineRule="auto"/>
              <w:jc w:val="center"/>
              <w:rPr>
                <w:rFonts w:ascii="Times New Roman" w:hAnsi="Times New Roman"/>
                <w:b/>
                <w:bCs/>
                <w:color w:val="000000"/>
                <w:sz w:val="20"/>
                <w:szCs w:val="20"/>
              </w:rPr>
            </w:pPr>
            <w:r w:rsidRPr="007515CC">
              <w:rPr>
                <w:rFonts w:ascii="Times New Roman" w:hAnsi="Times New Roman"/>
                <w:b/>
                <w:bCs/>
                <w:color w:val="000000"/>
                <w:sz w:val="20"/>
                <w:szCs w:val="20"/>
              </w:rPr>
              <w:t>97.83%</w:t>
            </w:r>
          </w:p>
        </w:tc>
        <w:tc>
          <w:tcPr>
            <w:tcW w:w="1237" w:type="dxa"/>
            <w:shd w:val="clear" w:color="auto" w:fill="auto"/>
            <w:noWrap/>
            <w:vAlign w:val="center"/>
            <w:hideMark/>
          </w:tcPr>
          <w:p w14:paraId="2F4C4CA9" w14:textId="77777777" w:rsidR="007515CC" w:rsidRPr="007515CC" w:rsidRDefault="007515CC" w:rsidP="007515CC">
            <w:pPr>
              <w:spacing w:after="0" w:line="240" w:lineRule="auto"/>
              <w:jc w:val="center"/>
              <w:rPr>
                <w:rFonts w:ascii="Times New Roman" w:hAnsi="Times New Roman"/>
                <w:b/>
                <w:bCs/>
                <w:color w:val="000000"/>
                <w:sz w:val="20"/>
                <w:szCs w:val="20"/>
              </w:rPr>
            </w:pPr>
            <w:r w:rsidRPr="007515CC">
              <w:rPr>
                <w:rFonts w:ascii="Times New Roman" w:hAnsi="Times New Roman"/>
                <w:b/>
                <w:bCs/>
                <w:color w:val="000000"/>
                <w:sz w:val="20"/>
                <w:szCs w:val="20"/>
              </w:rPr>
              <w:t>42,194.59</w:t>
            </w:r>
          </w:p>
        </w:tc>
        <w:tc>
          <w:tcPr>
            <w:tcW w:w="1184" w:type="dxa"/>
            <w:shd w:val="clear" w:color="auto" w:fill="auto"/>
            <w:noWrap/>
            <w:vAlign w:val="center"/>
            <w:hideMark/>
          </w:tcPr>
          <w:p w14:paraId="1D25CBC9" w14:textId="77777777" w:rsidR="007515CC" w:rsidRPr="007515CC" w:rsidRDefault="007515CC" w:rsidP="007515CC">
            <w:pPr>
              <w:spacing w:after="0" w:line="240" w:lineRule="auto"/>
              <w:jc w:val="center"/>
              <w:rPr>
                <w:rFonts w:ascii="Times New Roman" w:hAnsi="Times New Roman"/>
                <w:b/>
                <w:bCs/>
                <w:color w:val="000000"/>
                <w:sz w:val="20"/>
                <w:szCs w:val="20"/>
              </w:rPr>
            </w:pPr>
            <w:r w:rsidRPr="007515CC">
              <w:rPr>
                <w:rFonts w:ascii="Times New Roman" w:hAnsi="Times New Roman"/>
                <w:b/>
                <w:bCs/>
                <w:color w:val="000000"/>
                <w:sz w:val="20"/>
                <w:szCs w:val="20"/>
              </w:rPr>
              <w:t>98.95%</w:t>
            </w:r>
          </w:p>
        </w:tc>
        <w:tc>
          <w:tcPr>
            <w:tcW w:w="1280" w:type="dxa"/>
            <w:shd w:val="clear" w:color="auto" w:fill="auto"/>
            <w:noWrap/>
            <w:vAlign w:val="center"/>
            <w:hideMark/>
          </w:tcPr>
          <w:p w14:paraId="4E079012" w14:textId="77777777" w:rsidR="007515CC" w:rsidRPr="007515CC" w:rsidRDefault="007515CC" w:rsidP="007515CC">
            <w:pPr>
              <w:spacing w:after="0" w:line="240" w:lineRule="auto"/>
              <w:jc w:val="center"/>
              <w:rPr>
                <w:rFonts w:ascii="Times New Roman" w:hAnsi="Times New Roman"/>
                <w:b/>
                <w:bCs/>
                <w:color w:val="000000"/>
                <w:sz w:val="20"/>
                <w:szCs w:val="20"/>
              </w:rPr>
            </w:pPr>
            <w:r w:rsidRPr="007515CC">
              <w:rPr>
                <w:rFonts w:ascii="Times New Roman" w:hAnsi="Times New Roman"/>
                <w:b/>
                <w:bCs/>
                <w:color w:val="000000"/>
                <w:sz w:val="20"/>
                <w:szCs w:val="20"/>
              </w:rPr>
              <w:t>13,777.48</w:t>
            </w:r>
          </w:p>
        </w:tc>
        <w:tc>
          <w:tcPr>
            <w:tcW w:w="1247" w:type="dxa"/>
            <w:shd w:val="clear" w:color="auto" w:fill="auto"/>
            <w:noWrap/>
            <w:vAlign w:val="center"/>
            <w:hideMark/>
          </w:tcPr>
          <w:p w14:paraId="132EE945" w14:textId="77777777" w:rsidR="007515CC" w:rsidRPr="007515CC" w:rsidRDefault="007515CC" w:rsidP="007515CC">
            <w:pPr>
              <w:spacing w:after="0" w:line="240" w:lineRule="auto"/>
              <w:jc w:val="center"/>
              <w:rPr>
                <w:rFonts w:ascii="Times New Roman" w:hAnsi="Times New Roman"/>
                <w:b/>
                <w:bCs/>
                <w:color w:val="000000"/>
                <w:sz w:val="20"/>
                <w:szCs w:val="20"/>
              </w:rPr>
            </w:pPr>
            <w:r w:rsidRPr="007515CC">
              <w:rPr>
                <w:rFonts w:ascii="Times New Roman" w:hAnsi="Times New Roman"/>
                <w:b/>
                <w:bCs/>
                <w:color w:val="000000"/>
                <w:sz w:val="20"/>
                <w:szCs w:val="20"/>
              </w:rPr>
              <w:t>98.60%</w:t>
            </w:r>
          </w:p>
        </w:tc>
      </w:tr>
      <w:tr w:rsidR="007515CC" w:rsidRPr="007515CC" w14:paraId="570A8A37" w14:textId="77777777" w:rsidTr="007515CC">
        <w:trPr>
          <w:trHeight w:val="20"/>
        </w:trPr>
        <w:tc>
          <w:tcPr>
            <w:tcW w:w="2926" w:type="dxa"/>
            <w:shd w:val="clear" w:color="auto" w:fill="auto"/>
            <w:vAlign w:val="center"/>
          </w:tcPr>
          <w:p w14:paraId="6701573A" w14:textId="77777777" w:rsidR="007515CC" w:rsidRPr="007515CC" w:rsidRDefault="007515CC" w:rsidP="007515CC">
            <w:pPr>
              <w:spacing w:after="0" w:line="240" w:lineRule="auto"/>
              <w:jc w:val="both"/>
              <w:rPr>
                <w:rFonts w:ascii="Times New Roman" w:hAnsi="Times New Roman"/>
                <w:b/>
                <w:bCs/>
                <w:color w:val="000000"/>
                <w:sz w:val="20"/>
                <w:szCs w:val="20"/>
              </w:rPr>
            </w:pPr>
            <w:r w:rsidRPr="007515CC">
              <w:rPr>
                <w:rFonts w:ascii="Times New Roman" w:hAnsi="Times New Roman"/>
                <w:b/>
                <w:bCs/>
                <w:color w:val="000000"/>
                <w:sz w:val="20"/>
                <w:szCs w:val="20"/>
              </w:rPr>
              <w:t>Profit/(Loss) Before Exceptional &amp; extraordinary items &amp; Tax</w:t>
            </w:r>
          </w:p>
        </w:tc>
        <w:tc>
          <w:tcPr>
            <w:tcW w:w="1280" w:type="dxa"/>
            <w:shd w:val="clear" w:color="auto" w:fill="auto"/>
            <w:noWrap/>
            <w:vAlign w:val="center"/>
          </w:tcPr>
          <w:p w14:paraId="397C345F" w14:textId="77777777" w:rsidR="007515CC" w:rsidRPr="007515CC" w:rsidRDefault="007515CC" w:rsidP="007515CC">
            <w:pPr>
              <w:spacing w:after="0" w:line="240" w:lineRule="auto"/>
              <w:jc w:val="center"/>
              <w:rPr>
                <w:rFonts w:ascii="Times New Roman" w:hAnsi="Times New Roman"/>
                <w:b/>
                <w:bCs/>
                <w:color w:val="000000"/>
                <w:sz w:val="20"/>
                <w:szCs w:val="20"/>
              </w:rPr>
            </w:pPr>
            <w:r w:rsidRPr="007515CC">
              <w:rPr>
                <w:rFonts w:ascii="Times New Roman" w:hAnsi="Times New Roman"/>
                <w:b/>
                <w:bCs/>
                <w:color w:val="000000"/>
                <w:sz w:val="20"/>
                <w:szCs w:val="20"/>
              </w:rPr>
              <w:t>1,080.56</w:t>
            </w:r>
          </w:p>
        </w:tc>
        <w:tc>
          <w:tcPr>
            <w:tcW w:w="1280" w:type="dxa"/>
            <w:shd w:val="clear" w:color="auto" w:fill="auto"/>
            <w:noWrap/>
            <w:vAlign w:val="center"/>
          </w:tcPr>
          <w:p w14:paraId="6CF1F45B" w14:textId="77777777" w:rsidR="007515CC" w:rsidRPr="007515CC" w:rsidRDefault="007515CC" w:rsidP="007515CC">
            <w:pPr>
              <w:spacing w:after="0" w:line="240" w:lineRule="auto"/>
              <w:jc w:val="center"/>
              <w:rPr>
                <w:rFonts w:ascii="Times New Roman" w:hAnsi="Times New Roman"/>
                <w:b/>
                <w:bCs/>
                <w:color w:val="000000"/>
                <w:sz w:val="20"/>
                <w:szCs w:val="20"/>
              </w:rPr>
            </w:pPr>
            <w:r w:rsidRPr="007515CC">
              <w:rPr>
                <w:rFonts w:ascii="Times New Roman" w:hAnsi="Times New Roman"/>
                <w:b/>
                <w:bCs/>
                <w:color w:val="000000"/>
                <w:sz w:val="20"/>
                <w:szCs w:val="20"/>
              </w:rPr>
              <w:t>2.17%</w:t>
            </w:r>
          </w:p>
        </w:tc>
        <w:tc>
          <w:tcPr>
            <w:tcW w:w="1237" w:type="dxa"/>
            <w:shd w:val="clear" w:color="auto" w:fill="auto"/>
            <w:noWrap/>
            <w:vAlign w:val="center"/>
          </w:tcPr>
          <w:p w14:paraId="19382AB7" w14:textId="77777777" w:rsidR="007515CC" w:rsidRPr="007515CC" w:rsidRDefault="007515CC" w:rsidP="007515CC">
            <w:pPr>
              <w:spacing w:after="0" w:line="240" w:lineRule="auto"/>
              <w:jc w:val="center"/>
              <w:rPr>
                <w:rFonts w:ascii="Times New Roman" w:hAnsi="Times New Roman"/>
                <w:b/>
                <w:bCs/>
                <w:color w:val="000000"/>
                <w:sz w:val="20"/>
                <w:szCs w:val="20"/>
              </w:rPr>
            </w:pPr>
            <w:r w:rsidRPr="007515CC">
              <w:rPr>
                <w:rFonts w:ascii="Times New Roman" w:hAnsi="Times New Roman"/>
                <w:b/>
                <w:bCs/>
                <w:color w:val="000000"/>
                <w:sz w:val="20"/>
                <w:szCs w:val="20"/>
              </w:rPr>
              <w:t>449.75</w:t>
            </w:r>
          </w:p>
        </w:tc>
        <w:tc>
          <w:tcPr>
            <w:tcW w:w="1184" w:type="dxa"/>
            <w:shd w:val="clear" w:color="auto" w:fill="auto"/>
            <w:noWrap/>
            <w:vAlign w:val="center"/>
          </w:tcPr>
          <w:p w14:paraId="1ACB7870" w14:textId="77777777" w:rsidR="007515CC" w:rsidRPr="007515CC" w:rsidRDefault="007515CC" w:rsidP="007515CC">
            <w:pPr>
              <w:spacing w:after="0" w:line="240" w:lineRule="auto"/>
              <w:jc w:val="center"/>
              <w:rPr>
                <w:rFonts w:ascii="Times New Roman" w:hAnsi="Times New Roman"/>
                <w:b/>
                <w:bCs/>
                <w:color w:val="000000"/>
                <w:sz w:val="20"/>
                <w:szCs w:val="20"/>
              </w:rPr>
            </w:pPr>
            <w:r w:rsidRPr="007515CC">
              <w:rPr>
                <w:rFonts w:ascii="Times New Roman" w:hAnsi="Times New Roman"/>
                <w:b/>
                <w:bCs/>
                <w:color w:val="000000"/>
                <w:sz w:val="20"/>
                <w:szCs w:val="20"/>
              </w:rPr>
              <w:t>1.05%</w:t>
            </w:r>
          </w:p>
        </w:tc>
        <w:tc>
          <w:tcPr>
            <w:tcW w:w="1280" w:type="dxa"/>
            <w:shd w:val="clear" w:color="auto" w:fill="auto"/>
            <w:noWrap/>
            <w:vAlign w:val="center"/>
          </w:tcPr>
          <w:p w14:paraId="0AD81EE2" w14:textId="77777777" w:rsidR="007515CC" w:rsidRPr="007515CC" w:rsidRDefault="007515CC" w:rsidP="007515CC">
            <w:pPr>
              <w:spacing w:after="0" w:line="240" w:lineRule="auto"/>
              <w:jc w:val="center"/>
              <w:rPr>
                <w:rFonts w:ascii="Times New Roman" w:hAnsi="Times New Roman"/>
                <w:b/>
                <w:bCs/>
                <w:color w:val="000000"/>
                <w:sz w:val="20"/>
                <w:szCs w:val="20"/>
              </w:rPr>
            </w:pPr>
            <w:r w:rsidRPr="007515CC">
              <w:rPr>
                <w:rFonts w:ascii="Times New Roman" w:hAnsi="Times New Roman"/>
                <w:b/>
                <w:bCs/>
                <w:color w:val="000000"/>
                <w:sz w:val="20"/>
                <w:szCs w:val="20"/>
              </w:rPr>
              <w:t>195.45</w:t>
            </w:r>
          </w:p>
        </w:tc>
        <w:tc>
          <w:tcPr>
            <w:tcW w:w="1247" w:type="dxa"/>
            <w:shd w:val="clear" w:color="auto" w:fill="auto"/>
            <w:noWrap/>
            <w:vAlign w:val="center"/>
          </w:tcPr>
          <w:p w14:paraId="20256E70" w14:textId="77777777" w:rsidR="007515CC" w:rsidRPr="007515CC" w:rsidRDefault="007515CC" w:rsidP="007515CC">
            <w:pPr>
              <w:spacing w:after="0" w:line="240" w:lineRule="auto"/>
              <w:jc w:val="center"/>
              <w:rPr>
                <w:rFonts w:ascii="Times New Roman" w:hAnsi="Times New Roman"/>
                <w:b/>
                <w:bCs/>
                <w:color w:val="000000"/>
                <w:sz w:val="20"/>
                <w:szCs w:val="20"/>
              </w:rPr>
            </w:pPr>
            <w:r w:rsidRPr="007515CC">
              <w:rPr>
                <w:rFonts w:ascii="Times New Roman" w:hAnsi="Times New Roman"/>
                <w:b/>
                <w:bCs/>
                <w:color w:val="000000"/>
                <w:sz w:val="20"/>
                <w:szCs w:val="20"/>
              </w:rPr>
              <w:t>1.40%</w:t>
            </w:r>
          </w:p>
        </w:tc>
      </w:tr>
      <w:tr w:rsidR="007515CC" w:rsidRPr="007515CC" w14:paraId="3D4C8FD5" w14:textId="77777777" w:rsidTr="007515CC">
        <w:trPr>
          <w:trHeight w:val="20"/>
        </w:trPr>
        <w:tc>
          <w:tcPr>
            <w:tcW w:w="2926" w:type="dxa"/>
            <w:shd w:val="clear" w:color="auto" w:fill="auto"/>
            <w:vAlign w:val="center"/>
          </w:tcPr>
          <w:p w14:paraId="4A653D6A" w14:textId="77777777" w:rsidR="007515CC" w:rsidRPr="007515CC" w:rsidRDefault="007515CC" w:rsidP="007515CC">
            <w:pPr>
              <w:spacing w:after="0" w:line="240" w:lineRule="auto"/>
              <w:jc w:val="both"/>
              <w:rPr>
                <w:rFonts w:ascii="Times New Roman" w:hAnsi="Times New Roman"/>
                <w:color w:val="000000"/>
                <w:sz w:val="20"/>
                <w:szCs w:val="20"/>
              </w:rPr>
            </w:pPr>
            <w:r w:rsidRPr="007515CC">
              <w:rPr>
                <w:rFonts w:ascii="Times New Roman" w:hAnsi="Times New Roman"/>
                <w:color w:val="000000"/>
                <w:sz w:val="20"/>
                <w:szCs w:val="20"/>
              </w:rPr>
              <w:t>Exceptional and Extra-ordinary items</w:t>
            </w:r>
          </w:p>
        </w:tc>
        <w:tc>
          <w:tcPr>
            <w:tcW w:w="1280" w:type="dxa"/>
            <w:shd w:val="clear" w:color="auto" w:fill="auto"/>
            <w:noWrap/>
            <w:vAlign w:val="center"/>
          </w:tcPr>
          <w:p w14:paraId="28F1F8C1"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w:t>
            </w:r>
          </w:p>
        </w:tc>
        <w:tc>
          <w:tcPr>
            <w:tcW w:w="1280" w:type="dxa"/>
            <w:shd w:val="clear" w:color="auto" w:fill="auto"/>
            <w:noWrap/>
            <w:vAlign w:val="center"/>
          </w:tcPr>
          <w:p w14:paraId="65E0D782" w14:textId="6E8CC7A8" w:rsidR="007515CC" w:rsidRPr="007515CC" w:rsidRDefault="007515CC" w:rsidP="007515CC">
            <w:pPr>
              <w:spacing w:after="0" w:line="240" w:lineRule="auto"/>
              <w:jc w:val="center"/>
              <w:rPr>
                <w:rFonts w:ascii="Times New Roman" w:hAnsi="Times New Roman"/>
                <w:color w:val="000000"/>
                <w:sz w:val="20"/>
                <w:szCs w:val="20"/>
              </w:rPr>
            </w:pPr>
          </w:p>
        </w:tc>
        <w:tc>
          <w:tcPr>
            <w:tcW w:w="1237" w:type="dxa"/>
            <w:shd w:val="clear" w:color="auto" w:fill="auto"/>
            <w:noWrap/>
            <w:vAlign w:val="center"/>
          </w:tcPr>
          <w:p w14:paraId="7DB8766E"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w:t>
            </w:r>
          </w:p>
        </w:tc>
        <w:tc>
          <w:tcPr>
            <w:tcW w:w="1184" w:type="dxa"/>
            <w:shd w:val="clear" w:color="auto" w:fill="auto"/>
            <w:noWrap/>
            <w:vAlign w:val="center"/>
          </w:tcPr>
          <w:p w14:paraId="28A462DB" w14:textId="29D46B0C" w:rsidR="007515CC" w:rsidRPr="007515CC" w:rsidRDefault="007515CC" w:rsidP="007515CC">
            <w:pPr>
              <w:spacing w:after="0" w:line="240" w:lineRule="auto"/>
              <w:jc w:val="center"/>
              <w:rPr>
                <w:rFonts w:ascii="Times New Roman" w:hAnsi="Times New Roman"/>
                <w:color w:val="000000"/>
                <w:sz w:val="20"/>
                <w:szCs w:val="20"/>
              </w:rPr>
            </w:pPr>
          </w:p>
        </w:tc>
        <w:tc>
          <w:tcPr>
            <w:tcW w:w="1280" w:type="dxa"/>
            <w:shd w:val="clear" w:color="auto" w:fill="auto"/>
            <w:noWrap/>
            <w:vAlign w:val="center"/>
          </w:tcPr>
          <w:p w14:paraId="45714001"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w:t>
            </w:r>
          </w:p>
        </w:tc>
        <w:tc>
          <w:tcPr>
            <w:tcW w:w="1247" w:type="dxa"/>
            <w:shd w:val="clear" w:color="auto" w:fill="auto"/>
            <w:noWrap/>
            <w:vAlign w:val="center"/>
          </w:tcPr>
          <w:p w14:paraId="24B1350A" w14:textId="551B7E4E" w:rsidR="007515CC" w:rsidRPr="007515CC" w:rsidRDefault="007515CC" w:rsidP="007515CC">
            <w:pPr>
              <w:spacing w:after="0" w:line="240" w:lineRule="auto"/>
              <w:jc w:val="center"/>
              <w:rPr>
                <w:rFonts w:ascii="Times New Roman" w:hAnsi="Times New Roman"/>
                <w:color w:val="000000"/>
                <w:sz w:val="20"/>
                <w:szCs w:val="20"/>
              </w:rPr>
            </w:pPr>
          </w:p>
        </w:tc>
      </w:tr>
      <w:tr w:rsidR="007515CC" w:rsidRPr="007515CC" w14:paraId="025C19D8" w14:textId="77777777" w:rsidTr="007515CC">
        <w:trPr>
          <w:trHeight w:val="20"/>
        </w:trPr>
        <w:tc>
          <w:tcPr>
            <w:tcW w:w="2926" w:type="dxa"/>
            <w:shd w:val="clear" w:color="auto" w:fill="auto"/>
            <w:vAlign w:val="center"/>
          </w:tcPr>
          <w:p w14:paraId="3D36B7FE" w14:textId="77777777" w:rsidR="007515CC" w:rsidRPr="007515CC" w:rsidRDefault="007515CC" w:rsidP="007515CC">
            <w:pPr>
              <w:spacing w:after="0" w:line="240" w:lineRule="auto"/>
              <w:jc w:val="both"/>
              <w:rPr>
                <w:rFonts w:ascii="Times New Roman" w:hAnsi="Times New Roman"/>
                <w:b/>
                <w:bCs/>
                <w:color w:val="000000"/>
                <w:sz w:val="20"/>
                <w:szCs w:val="20"/>
              </w:rPr>
            </w:pPr>
            <w:r w:rsidRPr="007515CC">
              <w:rPr>
                <w:rFonts w:ascii="Times New Roman" w:hAnsi="Times New Roman"/>
                <w:b/>
                <w:bCs/>
                <w:color w:val="000000"/>
                <w:sz w:val="20"/>
                <w:szCs w:val="20"/>
              </w:rPr>
              <w:t xml:space="preserve">Profit/(Loss) Before Tax </w:t>
            </w:r>
          </w:p>
        </w:tc>
        <w:tc>
          <w:tcPr>
            <w:tcW w:w="1280" w:type="dxa"/>
            <w:shd w:val="clear" w:color="auto" w:fill="auto"/>
            <w:noWrap/>
            <w:vAlign w:val="center"/>
          </w:tcPr>
          <w:p w14:paraId="773D6E67" w14:textId="77777777" w:rsidR="007515CC" w:rsidRPr="007515CC" w:rsidRDefault="007515CC" w:rsidP="007515CC">
            <w:pPr>
              <w:spacing w:after="0" w:line="240" w:lineRule="auto"/>
              <w:jc w:val="center"/>
              <w:rPr>
                <w:rFonts w:ascii="Times New Roman" w:hAnsi="Times New Roman"/>
                <w:b/>
                <w:bCs/>
                <w:color w:val="000000"/>
                <w:sz w:val="20"/>
                <w:szCs w:val="20"/>
              </w:rPr>
            </w:pPr>
            <w:r w:rsidRPr="007515CC">
              <w:rPr>
                <w:rFonts w:ascii="Times New Roman" w:hAnsi="Times New Roman"/>
                <w:b/>
                <w:bCs/>
                <w:color w:val="000000"/>
                <w:sz w:val="20"/>
                <w:szCs w:val="20"/>
              </w:rPr>
              <w:t>1,080.56</w:t>
            </w:r>
          </w:p>
        </w:tc>
        <w:tc>
          <w:tcPr>
            <w:tcW w:w="1280" w:type="dxa"/>
            <w:shd w:val="clear" w:color="auto" w:fill="auto"/>
            <w:noWrap/>
            <w:vAlign w:val="center"/>
          </w:tcPr>
          <w:p w14:paraId="0AC14B2D" w14:textId="77777777" w:rsidR="007515CC" w:rsidRPr="007515CC" w:rsidRDefault="007515CC" w:rsidP="007515CC">
            <w:pPr>
              <w:spacing w:after="0" w:line="240" w:lineRule="auto"/>
              <w:jc w:val="center"/>
              <w:rPr>
                <w:rFonts w:ascii="Times New Roman" w:hAnsi="Times New Roman"/>
                <w:b/>
                <w:bCs/>
                <w:color w:val="000000"/>
                <w:sz w:val="20"/>
                <w:szCs w:val="20"/>
              </w:rPr>
            </w:pPr>
            <w:r w:rsidRPr="007515CC">
              <w:rPr>
                <w:rFonts w:ascii="Times New Roman" w:hAnsi="Times New Roman"/>
                <w:b/>
                <w:bCs/>
                <w:color w:val="000000"/>
                <w:sz w:val="20"/>
                <w:szCs w:val="20"/>
              </w:rPr>
              <w:t>2.17%</w:t>
            </w:r>
          </w:p>
        </w:tc>
        <w:tc>
          <w:tcPr>
            <w:tcW w:w="1237" w:type="dxa"/>
            <w:shd w:val="clear" w:color="auto" w:fill="auto"/>
            <w:noWrap/>
            <w:vAlign w:val="center"/>
          </w:tcPr>
          <w:p w14:paraId="346DA43D" w14:textId="77777777" w:rsidR="007515CC" w:rsidRPr="007515CC" w:rsidRDefault="007515CC" w:rsidP="007515CC">
            <w:pPr>
              <w:spacing w:after="0" w:line="240" w:lineRule="auto"/>
              <w:jc w:val="center"/>
              <w:rPr>
                <w:rFonts w:ascii="Times New Roman" w:hAnsi="Times New Roman"/>
                <w:b/>
                <w:bCs/>
                <w:color w:val="000000"/>
                <w:sz w:val="20"/>
                <w:szCs w:val="20"/>
              </w:rPr>
            </w:pPr>
            <w:r w:rsidRPr="007515CC">
              <w:rPr>
                <w:rFonts w:ascii="Times New Roman" w:hAnsi="Times New Roman"/>
                <w:b/>
                <w:bCs/>
                <w:color w:val="000000"/>
                <w:sz w:val="20"/>
                <w:szCs w:val="20"/>
              </w:rPr>
              <w:t>449.75</w:t>
            </w:r>
          </w:p>
        </w:tc>
        <w:tc>
          <w:tcPr>
            <w:tcW w:w="1184" w:type="dxa"/>
            <w:shd w:val="clear" w:color="auto" w:fill="auto"/>
            <w:noWrap/>
            <w:vAlign w:val="center"/>
          </w:tcPr>
          <w:p w14:paraId="6D42760C" w14:textId="77777777" w:rsidR="007515CC" w:rsidRPr="007515CC" w:rsidRDefault="007515CC" w:rsidP="007515CC">
            <w:pPr>
              <w:spacing w:after="0" w:line="240" w:lineRule="auto"/>
              <w:jc w:val="center"/>
              <w:rPr>
                <w:rFonts w:ascii="Times New Roman" w:hAnsi="Times New Roman"/>
                <w:b/>
                <w:bCs/>
                <w:color w:val="000000"/>
                <w:sz w:val="20"/>
                <w:szCs w:val="20"/>
              </w:rPr>
            </w:pPr>
            <w:r w:rsidRPr="007515CC">
              <w:rPr>
                <w:rFonts w:ascii="Times New Roman" w:hAnsi="Times New Roman"/>
                <w:b/>
                <w:bCs/>
                <w:color w:val="000000"/>
                <w:sz w:val="20"/>
                <w:szCs w:val="20"/>
              </w:rPr>
              <w:t>1.05%</w:t>
            </w:r>
          </w:p>
        </w:tc>
        <w:tc>
          <w:tcPr>
            <w:tcW w:w="1280" w:type="dxa"/>
            <w:shd w:val="clear" w:color="auto" w:fill="auto"/>
            <w:noWrap/>
            <w:vAlign w:val="center"/>
          </w:tcPr>
          <w:p w14:paraId="29B7ABE9" w14:textId="77777777" w:rsidR="007515CC" w:rsidRPr="007515CC" w:rsidRDefault="007515CC" w:rsidP="007515CC">
            <w:pPr>
              <w:spacing w:after="0" w:line="240" w:lineRule="auto"/>
              <w:jc w:val="center"/>
              <w:rPr>
                <w:rFonts w:ascii="Times New Roman" w:hAnsi="Times New Roman"/>
                <w:b/>
                <w:bCs/>
                <w:color w:val="000000"/>
                <w:sz w:val="20"/>
                <w:szCs w:val="20"/>
              </w:rPr>
            </w:pPr>
            <w:r w:rsidRPr="007515CC">
              <w:rPr>
                <w:rFonts w:ascii="Times New Roman" w:hAnsi="Times New Roman"/>
                <w:b/>
                <w:bCs/>
                <w:color w:val="000000"/>
                <w:sz w:val="20"/>
                <w:szCs w:val="20"/>
              </w:rPr>
              <w:t>195.45</w:t>
            </w:r>
          </w:p>
        </w:tc>
        <w:tc>
          <w:tcPr>
            <w:tcW w:w="1247" w:type="dxa"/>
            <w:shd w:val="clear" w:color="auto" w:fill="auto"/>
            <w:noWrap/>
            <w:vAlign w:val="center"/>
          </w:tcPr>
          <w:p w14:paraId="064AE5BC" w14:textId="77777777" w:rsidR="007515CC" w:rsidRPr="007515CC" w:rsidRDefault="007515CC" w:rsidP="007515CC">
            <w:pPr>
              <w:spacing w:after="0" w:line="240" w:lineRule="auto"/>
              <w:jc w:val="center"/>
              <w:rPr>
                <w:rFonts w:ascii="Times New Roman" w:hAnsi="Times New Roman"/>
                <w:b/>
                <w:bCs/>
                <w:color w:val="000000"/>
                <w:sz w:val="20"/>
                <w:szCs w:val="20"/>
              </w:rPr>
            </w:pPr>
            <w:r w:rsidRPr="007515CC">
              <w:rPr>
                <w:rFonts w:ascii="Times New Roman" w:hAnsi="Times New Roman"/>
                <w:b/>
                <w:bCs/>
                <w:color w:val="000000"/>
                <w:sz w:val="20"/>
                <w:szCs w:val="20"/>
              </w:rPr>
              <w:t>1.40%</w:t>
            </w:r>
          </w:p>
        </w:tc>
      </w:tr>
      <w:tr w:rsidR="007515CC" w:rsidRPr="007515CC" w14:paraId="40C58AF7" w14:textId="77777777" w:rsidTr="007515CC">
        <w:trPr>
          <w:trHeight w:val="20"/>
        </w:trPr>
        <w:tc>
          <w:tcPr>
            <w:tcW w:w="2926" w:type="dxa"/>
            <w:shd w:val="clear" w:color="auto" w:fill="auto"/>
            <w:vAlign w:val="center"/>
          </w:tcPr>
          <w:p w14:paraId="22581DF5" w14:textId="77777777" w:rsidR="007515CC" w:rsidRPr="007515CC" w:rsidRDefault="007515CC" w:rsidP="007515CC">
            <w:pPr>
              <w:spacing w:after="0" w:line="240" w:lineRule="auto"/>
              <w:jc w:val="both"/>
              <w:rPr>
                <w:rFonts w:ascii="Times New Roman" w:hAnsi="Times New Roman"/>
                <w:b/>
                <w:bCs/>
                <w:color w:val="000000"/>
                <w:sz w:val="20"/>
                <w:szCs w:val="20"/>
              </w:rPr>
            </w:pPr>
            <w:r w:rsidRPr="007515CC">
              <w:rPr>
                <w:rFonts w:ascii="Times New Roman" w:hAnsi="Times New Roman"/>
                <w:b/>
                <w:bCs/>
                <w:color w:val="000000"/>
                <w:sz w:val="20"/>
                <w:szCs w:val="20"/>
              </w:rPr>
              <w:t>Tax Expense:</w:t>
            </w:r>
          </w:p>
        </w:tc>
        <w:tc>
          <w:tcPr>
            <w:tcW w:w="1280" w:type="dxa"/>
            <w:shd w:val="clear" w:color="auto" w:fill="auto"/>
            <w:noWrap/>
            <w:vAlign w:val="center"/>
          </w:tcPr>
          <w:p w14:paraId="2981F31C" w14:textId="1AC9531A" w:rsidR="007515CC" w:rsidRPr="007515CC" w:rsidRDefault="007515CC" w:rsidP="007515CC">
            <w:pPr>
              <w:spacing w:after="0" w:line="240" w:lineRule="auto"/>
              <w:jc w:val="center"/>
              <w:rPr>
                <w:rFonts w:ascii="Times New Roman" w:hAnsi="Times New Roman"/>
                <w:color w:val="000000"/>
                <w:sz w:val="20"/>
                <w:szCs w:val="20"/>
              </w:rPr>
            </w:pPr>
          </w:p>
        </w:tc>
        <w:tc>
          <w:tcPr>
            <w:tcW w:w="1280" w:type="dxa"/>
            <w:shd w:val="clear" w:color="auto" w:fill="auto"/>
            <w:noWrap/>
            <w:vAlign w:val="center"/>
          </w:tcPr>
          <w:p w14:paraId="79583F00" w14:textId="3885BAFA" w:rsidR="007515CC" w:rsidRPr="007515CC" w:rsidRDefault="007515CC" w:rsidP="007515CC">
            <w:pPr>
              <w:spacing w:after="0" w:line="240" w:lineRule="auto"/>
              <w:jc w:val="center"/>
              <w:rPr>
                <w:rFonts w:ascii="Times New Roman" w:hAnsi="Times New Roman"/>
                <w:color w:val="000000"/>
                <w:sz w:val="20"/>
                <w:szCs w:val="20"/>
              </w:rPr>
            </w:pPr>
          </w:p>
        </w:tc>
        <w:tc>
          <w:tcPr>
            <w:tcW w:w="1237" w:type="dxa"/>
            <w:shd w:val="clear" w:color="auto" w:fill="auto"/>
            <w:noWrap/>
            <w:vAlign w:val="center"/>
          </w:tcPr>
          <w:p w14:paraId="4975EE4B" w14:textId="7D62DAF0" w:rsidR="007515CC" w:rsidRPr="007515CC" w:rsidRDefault="007515CC" w:rsidP="007515CC">
            <w:pPr>
              <w:spacing w:after="0" w:line="240" w:lineRule="auto"/>
              <w:jc w:val="center"/>
              <w:rPr>
                <w:rFonts w:ascii="Times New Roman" w:hAnsi="Times New Roman"/>
                <w:color w:val="000000"/>
                <w:sz w:val="20"/>
                <w:szCs w:val="20"/>
              </w:rPr>
            </w:pPr>
          </w:p>
        </w:tc>
        <w:tc>
          <w:tcPr>
            <w:tcW w:w="1184" w:type="dxa"/>
            <w:shd w:val="clear" w:color="auto" w:fill="auto"/>
            <w:noWrap/>
            <w:vAlign w:val="center"/>
          </w:tcPr>
          <w:p w14:paraId="4C43807F" w14:textId="54762C63" w:rsidR="007515CC" w:rsidRPr="007515CC" w:rsidRDefault="007515CC" w:rsidP="007515CC">
            <w:pPr>
              <w:spacing w:after="0" w:line="240" w:lineRule="auto"/>
              <w:jc w:val="center"/>
              <w:rPr>
                <w:rFonts w:ascii="Times New Roman" w:hAnsi="Times New Roman"/>
                <w:color w:val="000000"/>
                <w:sz w:val="20"/>
                <w:szCs w:val="20"/>
              </w:rPr>
            </w:pPr>
          </w:p>
        </w:tc>
        <w:tc>
          <w:tcPr>
            <w:tcW w:w="1280" w:type="dxa"/>
            <w:shd w:val="clear" w:color="auto" w:fill="auto"/>
            <w:noWrap/>
            <w:vAlign w:val="center"/>
          </w:tcPr>
          <w:p w14:paraId="54A56C64" w14:textId="5491ADE7" w:rsidR="007515CC" w:rsidRPr="007515CC" w:rsidRDefault="007515CC" w:rsidP="007515CC">
            <w:pPr>
              <w:spacing w:after="0" w:line="240" w:lineRule="auto"/>
              <w:jc w:val="center"/>
              <w:rPr>
                <w:rFonts w:ascii="Times New Roman" w:hAnsi="Times New Roman"/>
                <w:color w:val="000000"/>
                <w:sz w:val="20"/>
                <w:szCs w:val="20"/>
              </w:rPr>
            </w:pPr>
          </w:p>
        </w:tc>
        <w:tc>
          <w:tcPr>
            <w:tcW w:w="1247" w:type="dxa"/>
            <w:shd w:val="clear" w:color="auto" w:fill="auto"/>
            <w:noWrap/>
            <w:vAlign w:val="center"/>
          </w:tcPr>
          <w:p w14:paraId="693C1383" w14:textId="73C94BE2" w:rsidR="007515CC" w:rsidRPr="007515CC" w:rsidRDefault="007515CC" w:rsidP="007515CC">
            <w:pPr>
              <w:spacing w:after="0" w:line="240" w:lineRule="auto"/>
              <w:jc w:val="center"/>
              <w:rPr>
                <w:rFonts w:ascii="Times New Roman" w:hAnsi="Times New Roman"/>
                <w:color w:val="000000"/>
                <w:sz w:val="20"/>
                <w:szCs w:val="20"/>
              </w:rPr>
            </w:pPr>
          </w:p>
        </w:tc>
      </w:tr>
      <w:tr w:rsidR="007515CC" w:rsidRPr="007515CC" w14:paraId="4C96A20B" w14:textId="77777777" w:rsidTr="007515CC">
        <w:trPr>
          <w:trHeight w:val="20"/>
        </w:trPr>
        <w:tc>
          <w:tcPr>
            <w:tcW w:w="2926" w:type="dxa"/>
            <w:shd w:val="clear" w:color="auto" w:fill="auto"/>
            <w:vAlign w:val="center"/>
          </w:tcPr>
          <w:p w14:paraId="757101AA" w14:textId="77777777" w:rsidR="007515CC" w:rsidRPr="007515CC" w:rsidRDefault="007515CC" w:rsidP="007515CC">
            <w:pPr>
              <w:spacing w:after="0" w:line="240" w:lineRule="auto"/>
              <w:jc w:val="both"/>
              <w:rPr>
                <w:rFonts w:ascii="Times New Roman" w:hAnsi="Times New Roman"/>
                <w:color w:val="000000"/>
                <w:sz w:val="20"/>
                <w:szCs w:val="20"/>
              </w:rPr>
            </w:pPr>
            <w:r w:rsidRPr="007515CC">
              <w:rPr>
                <w:rFonts w:ascii="Times New Roman" w:hAnsi="Times New Roman"/>
                <w:color w:val="000000"/>
                <w:sz w:val="20"/>
                <w:szCs w:val="20"/>
              </w:rPr>
              <w:t>Tax Expense for Current Year</w:t>
            </w:r>
          </w:p>
        </w:tc>
        <w:tc>
          <w:tcPr>
            <w:tcW w:w="1280" w:type="dxa"/>
            <w:shd w:val="clear" w:color="auto" w:fill="auto"/>
            <w:noWrap/>
            <w:vAlign w:val="center"/>
          </w:tcPr>
          <w:p w14:paraId="0B59D218"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314.08</w:t>
            </w:r>
          </w:p>
        </w:tc>
        <w:tc>
          <w:tcPr>
            <w:tcW w:w="1280" w:type="dxa"/>
            <w:shd w:val="clear" w:color="auto" w:fill="auto"/>
            <w:noWrap/>
            <w:vAlign w:val="center"/>
          </w:tcPr>
          <w:p w14:paraId="0FDD9599"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0.63%</w:t>
            </w:r>
          </w:p>
        </w:tc>
        <w:tc>
          <w:tcPr>
            <w:tcW w:w="1237" w:type="dxa"/>
            <w:shd w:val="clear" w:color="auto" w:fill="auto"/>
            <w:noWrap/>
            <w:vAlign w:val="center"/>
          </w:tcPr>
          <w:p w14:paraId="42C0CEDF"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152.97</w:t>
            </w:r>
          </w:p>
        </w:tc>
        <w:tc>
          <w:tcPr>
            <w:tcW w:w="1184" w:type="dxa"/>
            <w:shd w:val="clear" w:color="auto" w:fill="auto"/>
            <w:noWrap/>
            <w:vAlign w:val="center"/>
          </w:tcPr>
          <w:p w14:paraId="79CD1501"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0.36%</w:t>
            </w:r>
          </w:p>
        </w:tc>
        <w:tc>
          <w:tcPr>
            <w:tcW w:w="1280" w:type="dxa"/>
            <w:shd w:val="clear" w:color="auto" w:fill="auto"/>
            <w:noWrap/>
            <w:vAlign w:val="center"/>
          </w:tcPr>
          <w:p w14:paraId="4BABB8F4"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67.88</w:t>
            </w:r>
          </w:p>
        </w:tc>
        <w:tc>
          <w:tcPr>
            <w:tcW w:w="1247" w:type="dxa"/>
            <w:shd w:val="clear" w:color="auto" w:fill="auto"/>
            <w:noWrap/>
            <w:vAlign w:val="center"/>
          </w:tcPr>
          <w:p w14:paraId="15E35092"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0.49%</w:t>
            </w:r>
          </w:p>
        </w:tc>
      </w:tr>
      <w:tr w:rsidR="007515CC" w:rsidRPr="007515CC" w14:paraId="3D81FC1D" w14:textId="77777777" w:rsidTr="007515CC">
        <w:trPr>
          <w:trHeight w:val="20"/>
        </w:trPr>
        <w:tc>
          <w:tcPr>
            <w:tcW w:w="2926" w:type="dxa"/>
            <w:shd w:val="clear" w:color="auto" w:fill="auto"/>
            <w:vAlign w:val="center"/>
          </w:tcPr>
          <w:p w14:paraId="49D351E4" w14:textId="77777777" w:rsidR="007515CC" w:rsidRPr="007515CC" w:rsidRDefault="007515CC" w:rsidP="007515CC">
            <w:pPr>
              <w:spacing w:after="0" w:line="240" w:lineRule="auto"/>
              <w:jc w:val="both"/>
              <w:rPr>
                <w:rFonts w:ascii="Times New Roman" w:hAnsi="Times New Roman"/>
                <w:color w:val="000000"/>
                <w:sz w:val="20"/>
                <w:szCs w:val="20"/>
              </w:rPr>
            </w:pPr>
            <w:r w:rsidRPr="007515CC">
              <w:rPr>
                <w:rFonts w:ascii="Times New Roman" w:hAnsi="Times New Roman"/>
                <w:color w:val="000000"/>
                <w:sz w:val="20"/>
                <w:szCs w:val="20"/>
              </w:rPr>
              <w:t>Less: MAT Credit entitlement</w:t>
            </w:r>
          </w:p>
        </w:tc>
        <w:tc>
          <w:tcPr>
            <w:tcW w:w="1280" w:type="dxa"/>
            <w:shd w:val="clear" w:color="auto" w:fill="auto"/>
            <w:noWrap/>
            <w:vAlign w:val="center"/>
          </w:tcPr>
          <w:p w14:paraId="4AF9861F"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w:t>
            </w:r>
          </w:p>
        </w:tc>
        <w:tc>
          <w:tcPr>
            <w:tcW w:w="1280" w:type="dxa"/>
            <w:shd w:val="clear" w:color="auto" w:fill="auto"/>
            <w:noWrap/>
            <w:vAlign w:val="center"/>
          </w:tcPr>
          <w:p w14:paraId="619B3B7C" w14:textId="0C711C8F" w:rsidR="007515CC" w:rsidRPr="007515CC" w:rsidRDefault="007515CC" w:rsidP="007515CC">
            <w:pPr>
              <w:spacing w:after="0" w:line="240" w:lineRule="auto"/>
              <w:jc w:val="center"/>
              <w:rPr>
                <w:rFonts w:ascii="Times New Roman" w:hAnsi="Times New Roman"/>
                <w:color w:val="000000"/>
                <w:sz w:val="20"/>
                <w:szCs w:val="20"/>
              </w:rPr>
            </w:pPr>
          </w:p>
        </w:tc>
        <w:tc>
          <w:tcPr>
            <w:tcW w:w="1237" w:type="dxa"/>
            <w:shd w:val="clear" w:color="auto" w:fill="auto"/>
            <w:noWrap/>
            <w:vAlign w:val="center"/>
          </w:tcPr>
          <w:p w14:paraId="1B45F74A" w14:textId="7577176D" w:rsidR="007515CC" w:rsidRPr="007515CC" w:rsidRDefault="007515CC" w:rsidP="007515C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r w:rsidRPr="007515CC">
              <w:rPr>
                <w:rFonts w:ascii="Times New Roman" w:hAnsi="Times New Roman"/>
                <w:color w:val="000000"/>
                <w:sz w:val="20"/>
                <w:szCs w:val="20"/>
              </w:rPr>
              <w:t>11.4</w:t>
            </w:r>
            <w:r>
              <w:rPr>
                <w:rFonts w:ascii="Times New Roman" w:hAnsi="Times New Roman"/>
                <w:color w:val="000000"/>
                <w:sz w:val="20"/>
                <w:szCs w:val="20"/>
              </w:rPr>
              <w:t>0)</w:t>
            </w:r>
          </w:p>
        </w:tc>
        <w:tc>
          <w:tcPr>
            <w:tcW w:w="1184" w:type="dxa"/>
            <w:shd w:val="clear" w:color="auto" w:fill="auto"/>
            <w:noWrap/>
            <w:vAlign w:val="center"/>
          </w:tcPr>
          <w:p w14:paraId="662C934B" w14:textId="39B7F912" w:rsidR="007515CC" w:rsidRPr="007515CC" w:rsidRDefault="007515CC" w:rsidP="007515C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1280" w:type="dxa"/>
            <w:shd w:val="clear" w:color="auto" w:fill="auto"/>
            <w:noWrap/>
            <w:vAlign w:val="center"/>
          </w:tcPr>
          <w:p w14:paraId="571B940A" w14:textId="00C25B07" w:rsidR="007515CC" w:rsidRPr="007515CC" w:rsidRDefault="007515CC" w:rsidP="007515C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r w:rsidRPr="007515CC">
              <w:rPr>
                <w:rFonts w:ascii="Times New Roman" w:hAnsi="Times New Roman"/>
                <w:color w:val="000000"/>
                <w:sz w:val="20"/>
                <w:szCs w:val="20"/>
              </w:rPr>
              <w:t>22.73</w:t>
            </w:r>
            <w:r>
              <w:rPr>
                <w:rFonts w:ascii="Times New Roman" w:hAnsi="Times New Roman"/>
                <w:color w:val="000000"/>
                <w:sz w:val="20"/>
                <w:szCs w:val="20"/>
              </w:rPr>
              <w:t>)</w:t>
            </w:r>
          </w:p>
        </w:tc>
        <w:tc>
          <w:tcPr>
            <w:tcW w:w="1247" w:type="dxa"/>
            <w:shd w:val="clear" w:color="auto" w:fill="auto"/>
            <w:noWrap/>
            <w:vAlign w:val="center"/>
          </w:tcPr>
          <w:p w14:paraId="580B1DC5" w14:textId="3B2AD696" w:rsidR="007515CC" w:rsidRPr="007515CC" w:rsidRDefault="007515CC" w:rsidP="007515C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r w:rsidR="007515CC" w:rsidRPr="007515CC" w14:paraId="12B70C6D" w14:textId="77777777" w:rsidTr="007515CC">
        <w:trPr>
          <w:trHeight w:val="20"/>
        </w:trPr>
        <w:tc>
          <w:tcPr>
            <w:tcW w:w="2926" w:type="dxa"/>
            <w:shd w:val="clear" w:color="auto" w:fill="auto"/>
            <w:vAlign w:val="center"/>
          </w:tcPr>
          <w:p w14:paraId="3EB1AD71" w14:textId="77777777" w:rsidR="007515CC" w:rsidRPr="007515CC" w:rsidRDefault="007515CC" w:rsidP="007515CC">
            <w:pPr>
              <w:spacing w:after="0" w:line="240" w:lineRule="auto"/>
              <w:jc w:val="both"/>
              <w:rPr>
                <w:rFonts w:ascii="Times New Roman" w:hAnsi="Times New Roman"/>
                <w:color w:val="000000"/>
                <w:sz w:val="20"/>
                <w:szCs w:val="20"/>
              </w:rPr>
            </w:pPr>
            <w:r w:rsidRPr="007515CC">
              <w:rPr>
                <w:rFonts w:ascii="Times New Roman" w:hAnsi="Times New Roman"/>
                <w:color w:val="000000"/>
                <w:sz w:val="20"/>
                <w:szCs w:val="20"/>
              </w:rPr>
              <w:t>Deferred Tax</w:t>
            </w:r>
          </w:p>
        </w:tc>
        <w:tc>
          <w:tcPr>
            <w:tcW w:w="1280" w:type="dxa"/>
            <w:shd w:val="clear" w:color="auto" w:fill="auto"/>
            <w:noWrap/>
            <w:vAlign w:val="center"/>
          </w:tcPr>
          <w:p w14:paraId="415797C6"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1.06</w:t>
            </w:r>
          </w:p>
        </w:tc>
        <w:tc>
          <w:tcPr>
            <w:tcW w:w="1280" w:type="dxa"/>
            <w:shd w:val="clear" w:color="auto" w:fill="auto"/>
            <w:noWrap/>
            <w:vAlign w:val="center"/>
          </w:tcPr>
          <w:p w14:paraId="58666AF5"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0.00%</w:t>
            </w:r>
          </w:p>
        </w:tc>
        <w:tc>
          <w:tcPr>
            <w:tcW w:w="1237" w:type="dxa"/>
            <w:shd w:val="clear" w:color="auto" w:fill="auto"/>
            <w:noWrap/>
            <w:vAlign w:val="center"/>
          </w:tcPr>
          <w:p w14:paraId="6C2225A6" w14:textId="3BB190E2" w:rsidR="007515CC" w:rsidRPr="007515CC" w:rsidRDefault="007515CC" w:rsidP="007515C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r w:rsidRPr="007515CC">
              <w:rPr>
                <w:rFonts w:ascii="Times New Roman" w:hAnsi="Times New Roman"/>
                <w:color w:val="000000"/>
                <w:sz w:val="20"/>
                <w:szCs w:val="20"/>
              </w:rPr>
              <w:t>14.3</w:t>
            </w:r>
            <w:r>
              <w:rPr>
                <w:rFonts w:ascii="Times New Roman" w:hAnsi="Times New Roman"/>
                <w:color w:val="000000"/>
                <w:sz w:val="20"/>
                <w:szCs w:val="20"/>
              </w:rPr>
              <w:t>0)</w:t>
            </w:r>
          </w:p>
        </w:tc>
        <w:tc>
          <w:tcPr>
            <w:tcW w:w="1184" w:type="dxa"/>
            <w:shd w:val="clear" w:color="auto" w:fill="auto"/>
            <w:noWrap/>
            <w:vAlign w:val="center"/>
          </w:tcPr>
          <w:p w14:paraId="750B39AD" w14:textId="7680793C" w:rsidR="007515CC" w:rsidRPr="007515CC" w:rsidRDefault="007515CC" w:rsidP="007515C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r w:rsidRPr="007515CC">
              <w:rPr>
                <w:rFonts w:ascii="Times New Roman" w:hAnsi="Times New Roman"/>
                <w:color w:val="000000"/>
                <w:sz w:val="20"/>
                <w:szCs w:val="20"/>
              </w:rPr>
              <w:t>0.03%</w:t>
            </w:r>
            <w:r>
              <w:rPr>
                <w:rFonts w:ascii="Times New Roman" w:hAnsi="Times New Roman"/>
                <w:color w:val="000000"/>
                <w:sz w:val="20"/>
                <w:szCs w:val="20"/>
              </w:rPr>
              <w:t>)</w:t>
            </w:r>
          </w:p>
        </w:tc>
        <w:tc>
          <w:tcPr>
            <w:tcW w:w="1280" w:type="dxa"/>
            <w:shd w:val="clear" w:color="auto" w:fill="auto"/>
            <w:noWrap/>
            <w:vAlign w:val="center"/>
          </w:tcPr>
          <w:p w14:paraId="4AB0A319"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8.02</w:t>
            </w:r>
          </w:p>
        </w:tc>
        <w:tc>
          <w:tcPr>
            <w:tcW w:w="1247" w:type="dxa"/>
            <w:shd w:val="clear" w:color="auto" w:fill="auto"/>
            <w:noWrap/>
            <w:vAlign w:val="center"/>
          </w:tcPr>
          <w:p w14:paraId="756DDCA8" w14:textId="77777777" w:rsidR="007515CC" w:rsidRPr="007515CC" w:rsidRDefault="007515CC" w:rsidP="007515CC">
            <w:pPr>
              <w:spacing w:after="0" w:line="240" w:lineRule="auto"/>
              <w:jc w:val="center"/>
              <w:rPr>
                <w:rFonts w:ascii="Times New Roman" w:hAnsi="Times New Roman"/>
                <w:color w:val="000000"/>
                <w:sz w:val="20"/>
                <w:szCs w:val="20"/>
              </w:rPr>
            </w:pPr>
            <w:r w:rsidRPr="007515CC">
              <w:rPr>
                <w:rFonts w:ascii="Times New Roman" w:hAnsi="Times New Roman"/>
                <w:color w:val="000000"/>
                <w:sz w:val="20"/>
                <w:szCs w:val="20"/>
              </w:rPr>
              <w:t>0.06%</w:t>
            </w:r>
          </w:p>
        </w:tc>
      </w:tr>
      <w:tr w:rsidR="007515CC" w:rsidRPr="007515CC" w14:paraId="744AC3CD" w14:textId="77777777" w:rsidTr="007515CC">
        <w:trPr>
          <w:trHeight w:val="20"/>
        </w:trPr>
        <w:tc>
          <w:tcPr>
            <w:tcW w:w="2926" w:type="dxa"/>
            <w:shd w:val="clear" w:color="auto" w:fill="auto"/>
            <w:vAlign w:val="center"/>
          </w:tcPr>
          <w:p w14:paraId="13645A96" w14:textId="77777777" w:rsidR="007515CC" w:rsidRPr="007515CC" w:rsidRDefault="007515CC" w:rsidP="007515CC">
            <w:pPr>
              <w:spacing w:after="0" w:line="240" w:lineRule="auto"/>
              <w:jc w:val="both"/>
              <w:rPr>
                <w:rFonts w:ascii="Times New Roman" w:hAnsi="Times New Roman"/>
                <w:b/>
                <w:bCs/>
                <w:color w:val="000000"/>
                <w:sz w:val="20"/>
                <w:szCs w:val="20"/>
              </w:rPr>
            </w:pPr>
            <w:r w:rsidRPr="007515CC">
              <w:rPr>
                <w:rFonts w:ascii="Times New Roman" w:hAnsi="Times New Roman"/>
                <w:b/>
                <w:bCs/>
                <w:color w:val="000000"/>
                <w:sz w:val="20"/>
                <w:szCs w:val="20"/>
              </w:rPr>
              <w:t>Net Current Tax Expenses</w:t>
            </w:r>
          </w:p>
        </w:tc>
        <w:tc>
          <w:tcPr>
            <w:tcW w:w="1280" w:type="dxa"/>
            <w:shd w:val="clear" w:color="auto" w:fill="auto"/>
            <w:noWrap/>
            <w:vAlign w:val="center"/>
          </w:tcPr>
          <w:p w14:paraId="0BF3EDAF" w14:textId="77777777" w:rsidR="007515CC" w:rsidRPr="007515CC" w:rsidRDefault="007515CC" w:rsidP="007515CC">
            <w:pPr>
              <w:spacing w:after="0" w:line="240" w:lineRule="auto"/>
              <w:jc w:val="center"/>
              <w:rPr>
                <w:rFonts w:ascii="Times New Roman" w:hAnsi="Times New Roman"/>
                <w:b/>
                <w:bCs/>
                <w:color w:val="000000"/>
                <w:sz w:val="20"/>
                <w:szCs w:val="20"/>
              </w:rPr>
            </w:pPr>
            <w:r w:rsidRPr="007515CC">
              <w:rPr>
                <w:rFonts w:ascii="Times New Roman" w:hAnsi="Times New Roman"/>
                <w:b/>
                <w:bCs/>
                <w:color w:val="000000"/>
                <w:sz w:val="20"/>
                <w:szCs w:val="20"/>
              </w:rPr>
              <w:t>315.14</w:t>
            </w:r>
          </w:p>
        </w:tc>
        <w:tc>
          <w:tcPr>
            <w:tcW w:w="1280" w:type="dxa"/>
            <w:shd w:val="clear" w:color="auto" w:fill="auto"/>
            <w:noWrap/>
            <w:vAlign w:val="center"/>
          </w:tcPr>
          <w:p w14:paraId="27F2071A" w14:textId="77777777" w:rsidR="007515CC" w:rsidRPr="007515CC" w:rsidRDefault="007515CC" w:rsidP="007515CC">
            <w:pPr>
              <w:spacing w:after="0" w:line="240" w:lineRule="auto"/>
              <w:jc w:val="center"/>
              <w:rPr>
                <w:rFonts w:ascii="Times New Roman" w:hAnsi="Times New Roman"/>
                <w:b/>
                <w:bCs/>
                <w:color w:val="000000"/>
                <w:sz w:val="20"/>
                <w:szCs w:val="20"/>
              </w:rPr>
            </w:pPr>
            <w:r w:rsidRPr="007515CC">
              <w:rPr>
                <w:rFonts w:ascii="Times New Roman" w:hAnsi="Times New Roman"/>
                <w:b/>
                <w:bCs/>
                <w:color w:val="000000"/>
                <w:sz w:val="20"/>
                <w:szCs w:val="20"/>
              </w:rPr>
              <w:t>0.63%</w:t>
            </w:r>
          </w:p>
        </w:tc>
        <w:tc>
          <w:tcPr>
            <w:tcW w:w="1237" w:type="dxa"/>
            <w:shd w:val="clear" w:color="auto" w:fill="auto"/>
            <w:noWrap/>
            <w:vAlign w:val="center"/>
          </w:tcPr>
          <w:p w14:paraId="0B073096" w14:textId="77777777" w:rsidR="007515CC" w:rsidRPr="007515CC" w:rsidRDefault="007515CC" w:rsidP="007515CC">
            <w:pPr>
              <w:spacing w:after="0" w:line="240" w:lineRule="auto"/>
              <w:jc w:val="center"/>
              <w:rPr>
                <w:rFonts w:ascii="Times New Roman" w:hAnsi="Times New Roman"/>
                <w:b/>
                <w:bCs/>
                <w:color w:val="000000"/>
                <w:sz w:val="20"/>
                <w:szCs w:val="20"/>
              </w:rPr>
            </w:pPr>
            <w:r w:rsidRPr="007515CC">
              <w:rPr>
                <w:rFonts w:ascii="Times New Roman" w:hAnsi="Times New Roman"/>
                <w:b/>
                <w:bCs/>
                <w:color w:val="000000"/>
                <w:sz w:val="20"/>
                <w:szCs w:val="20"/>
              </w:rPr>
              <w:t>127.28</w:t>
            </w:r>
          </w:p>
        </w:tc>
        <w:tc>
          <w:tcPr>
            <w:tcW w:w="1184" w:type="dxa"/>
            <w:shd w:val="clear" w:color="auto" w:fill="auto"/>
            <w:noWrap/>
            <w:vAlign w:val="center"/>
          </w:tcPr>
          <w:p w14:paraId="2DDFB08D" w14:textId="77777777" w:rsidR="007515CC" w:rsidRPr="007515CC" w:rsidRDefault="007515CC" w:rsidP="007515CC">
            <w:pPr>
              <w:spacing w:after="0" w:line="240" w:lineRule="auto"/>
              <w:jc w:val="center"/>
              <w:rPr>
                <w:rFonts w:ascii="Times New Roman" w:hAnsi="Times New Roman"/>
                <w:b/>
                <w:bCs/>
                <w:color w:val="000000"/>
                <w:sz w:val="20"/>
                <w:szCs w:val="20"/>
              </w:rPr>
            </w:pPr>
            <w:r w:rsidRPr="007515CC">
              <w:rPr>
                <w:rFonts w:ascii="Times New Roman" w:hAnsi="Times New Roman"/>
                <w:b/>
                <w:bCs/>
                <w:color w:val="000000"/>
                <w:sz w:val="20"/>
                <w:szCs w:val="20"/>
              </w:rPr>
              <w:t>0.30%</w:t>
            </w:r>
          </w:p>
        </w:tc>
        <w:tc>
          <w:tcPr>
            <w:tcW w:w="1280" w:type="dxa"/>
            <w:shd w:val="clear" w:color="auto" w:fill="auto"/>
            <w:noWrap/>
            <w:vAlign w:val="center"/>
          </w:tcPr>
          <w:p w14:paraId="7984E4B1" w14:textId="77777777" w:rsidR="007515CC" w:rsidRPr="007515CC" w:rsidRDefault="007515CC" w:rsidP="007515CC">
            <w:pPr>
              <w:spacing w:after="0" w:line="240" w:lineRule="auto"/>
              <w:jc w:val="center"/>
              <w:rPr>
                <w:rFonts w:ascii="Times New Roman" w:hAnsi="Times New Roman"/>
                <w:b/>
                <w:bCs/>
                <w:color w:val="000000"/>
                <w:sz w:val="20"/>
                <w:szCs w:val="20"/>
              </w:rPr>
            </w:pPr>
            <w:r w:rsidRPr="007515CC">
              <w:rPr>
                <w:rFonts w:ascii="Times New Roman" w:hAnsi="Times New Roman"/>
                <w:b/>
                <w:bCs/>
                <w:color w:val="000000"/>
                <w:sz w:val="20"/>
                <w:szCs w:val="20"/>
              </w:rPr>
              <w:t>53.17</w:t>
            </w:r>
          </w:p>
        </w:tc>
        <w:tc>
          <w:tcPr>
            <w:tcW w:w="1247" w:type="dxa"/>
            <w:shd w:val="clear" w:color="auto" w:fill="auto"/>
            <w:noWrap/>
            <w:vAlign w:val="center"/>
          </w:tcPr>
          <w:p w14:paraId="7A464179" w14:textId="77777777" w:rsidR="007515CC" w:rsidRPr="007515CC" w:rsidRDefault="007515CC" w:rsidP="007515CC">
            <w:pPr>
              <w:spacing w:after="0" w:line="240" w:lineRule="auto"/>
              <w:jc w:val="center"/>
              <w:rPr>
                <w:rFonts w:ascii="Times New Roman" w:hAnsi="Times New Roman"/>
                <w:b/>
                <w:bCs/>
                <w:color w:val="000000"/>
                <w:sz w:val="20"/>
                <w:szCs w:val="20"/>
              </w:rPr>
            </w:pPr>
            <w:r w:rsidRPr="007515CC">
              <w:rPr>
                <w:rFonts w:ascii="Times New Roman" w:hAnsi="Times New Roman"/>
                <w:b/>
                <w:bCs/>
                <w:color w:val="000000"/>
                <w:sz w:val="20"/>
                <w:szCs w:val="20"/>
              </w:rPr>
              <w:t>0.38%</w:t>
            </w:r>
          </w:p>
        </w:tc>
      </w:tr>
      <w:tr w:rsidR="007515CC" w:rsidRPr="007515CC" w14:paraId="0DB63C54" w14:textId="77777777" w:rsidTr="007515CC">
        <w:trPr>
          <w:trHeight w:val="20"/>
        </w:trPr>
        <w:tc>
          <w:tcPr>
            <w:tcW w:w="2926" w:type="dxa"/>
            <w:shd w:val="clear" w:color="auto" w:fill="auto"/>
            <w:noWrap/>
            <w:vAlign w:val="center"/>
            <w:hideMark/>
          </w:tcPr>
          <w:p w14:paraId="7346919F" w14:textId="77777777" w:rsidR="007515CC" w:rsidRPr="007515CC" w:rsidRDefault="007515CC" w:rsidP="007515CC">
            <w:pPr>
              <w:spacing w:after="0" w:line="240" w:lineRule="auto"/>
              <w:jc w:val="both"/>
              <w:rPr>
                <w:rFonts w:ascii="Times New Roman" w:hAnsi="Times New Roman"/>
                <w:b/>
                <w:bCs/>
                <w:color w:val="000000"/>
                <w:sz w:val="20"/>
                <w:szCs w:val="20"/>
              </w:rPr>
            </w:pPr>
            <w:r w:rsidRPr="007515CC">
              <w:rPr>
                <w:rFonts w:ascii="Times New Roman" w:hAnsi="Times New Roman"/>
                <w:b/>
                <w:bCs/>
                <w:color w:val="000000"/>
                <w:sz w:val="20"/>
                <w:szCs w:val="20"/>
              </w:rPr>
              <w:t xml:space="preserve">Profit/(Loss) for the Year </w:t>
            </w:r>
          </w:p>
        </w:tc>
        <w:tc>
          <w:tcPr>
            <w:tcW w:w="1280" w:type="dxa"/>
            <w:shd w:val="clear" w:color="auto" w:fill="auto"/>
            <w:noWrap/>
            <w:vAlign w:val="center"/>
            <w:hideMark/>
          </w:tcPr>
          <w:p w14:paraId="754D6E3B" w14:textId="77777777" w:rsidR="007515CC" w:rsidRPr="007515CC" w:rsidRDefault="007515CC" w:rsidP="007515CC">
            <w:pPr>
              <w:spacing w:after="0" w:line="240" w:lineRule="auto"/>
              <w:jc w:val="center"/>
              <w:rPr>
                <w:rFonts w:ascii="Times New Roman" w:hAnsi="Times New Roman"/>
                <w:b/>
                <w:bCs/>
                <w:color w:val="000000"/>
                <w:sz w:val="20"/>
                <w:szCs w:val="20"/>
              </w:rPr>
            </w:pPr>
            <w:r w:rsidRPr="007515CC">
              <w:rPr>
                <w:rFonts w:ascii="Times New Roman" w:hAnsi="Times New Roman"/>
                <w:b/>
                <w:bCs/>
                <w:color w:val="000000"/>
                <w:sz w:val="20"/>
                <w:szCs w:val="20"/>
              </w:rPr>
              <w:t>765.42</w:t>
            </w:r>
          </w:p>
        </w:tc>
        <w:tc>
          <w:tcPr>
            <w:tcW w:w="1280" w:type="dxa"/>
            <w:shd w:val="clear" w:color="auto" w:fill="auto"/>
            <w:noWrap/>
            <w:vAlign w:val="center"/>
            <w:hideMark/>
          </w:tcPr>
          <w:p w14:paraId="368AB5CF" w14:textId="77777777" w:rsidR="007515CC" w:rsidRPr="007515CC" w:rsidRDefault="007515CC" w:rsidP="007515CC">
            <w:pPr>
              <w:spacing w:after="0" w:line="240" w:lineRule="auto"/>
              <w:jc w:val="center"/>
              <w:rPr>
                <w:rFonts w:ascii="Times New Roman" w:hAnsi="Times New Roman"/>
                <w:b/>
                <w:bCs/>
                <w:color w:val="000000"/>
                <w:sz w:val="20"/>
                <w:szCs w:val="20"/>
              </w:rPr>
            </w:pPr>
            <w:r w:rsidRPr="007515CC">
              <w:rPr>
                <w:rFonts w:ascii="Times New Roman" w:hAnsi="Times New Roman"/>
                <w:b/>
                <w:bCs/>
                <w:color w:val="000000"/>
                <w:sz w:val="20"/>
                <w:szCs w:val="20"/>
              </w:rPr>
              <w:t>1.54%</w:t>
            </w:r>
          </w:p>
        </w:tc>
        <w:tc>
          <w:tcPr>
            <w:tcW w:w="1237" w:type="dxa"/>
            <w:shd w:val="clear" w:color="auto" w:fill="auto"/>
            <w:noWrap/>
            <w:vAlign w:val="center"/>
            <w:hideMark/>
          </w:tcPr>
          <w:p w14:paraId="026DA117" w14:textId="77777777" w:rsidR="007515CC" w:rsidRPr="007515CC" w:rsidRDefault="007515CC" w:rsidP="007515CC">
            <w:pPr>
              <w:spacing w:after="0" w:line="240" w:lineRule="auto"/>
              <w:jc w:val="center"/>
              <w:rPr>
                <w:rFonts w:ascii="Times New Roman" w:hAnsi="Times New Roman"/>
                <w:b/>
                <w:bCs/>
                <w:color w:val="000000"/>
                <w:sz w:val="20"/>
                <w:szCs w:val="20"/>
              </w:rPr>
            </w:pPr>
            <w:r w:rsidRPr="007515CC">
              <w:rPr>
                <w:rFonts w:ascii="Times New Roman" w:hAnsi="Times New Roman"/>
                <w:b/>
                <w:bCs/>
                <w:color w:val="000000"/>
                <w:sz w:val="20"/>
                <w:szCs w:val="20"/>
              </w:rPr>
              <w:t>322.47</w:t>
            </w:r>
          </w:p>
        </w:tc>
        <w:tc>
          <w:tcPr>
            <w:tcW w:w="1184" w:type="dxa"/>
            <w:shd w:val="clear" w:color="auto" w:fill="auto"/>
            <w:noWrap/>
            <w:vAlign w:val="center"/>
            <w:hideMark/>
          </w:tcPr>
          <w:p w14:paraId="42C9AF7F" w14:textId="77777777" w:rsidR="007515CC" w:rsidRPr="007515CC" w:rsidRDefault="007515CC" w:rsidP="007515CC">
            <w:pPr>
              <w:spacing w:after="0" w:line="240" w:lineRule="auto"/>
              <w:jc w:val="center"/>
              <w:rPr>
                <w:rFonts w:ascii="Times New Roman" w:hAnsi="Times New Roman"/>
                <w:b/>
                <w:bCs/>
                <w:color w:val="000000"/>
                <w:sz w:val="20"/>
                <w:szCs w:val="20"/>
              </w:rPr>
            </w:pPr>
            <w:r w:rsidRPr="007515CC">
              <w:rPr>
                <w:rFonts w:ascii="Times New Roman" w:hAnsi="Times New Roman"/>
                <w:b/>
                <w:bCs/>
                <w:color w:val="000000"/>
                <w:sz w:val="20"/>
                <w:szCs w:val="20"/>
              </w:rPr>
              <w:t>0.76%</w:t>
            </w:r>
          </w:p>
        </w:tc>
        <w:tc>
          <w:tcPr>
            <w:tcW w:w="1280" w:type="dxa"/>
            <w:shd w:val="clear" w:color="auto" w:fill="auto"/>
            <w:noWrap/>
            <w:vAlign w:val="center"/>
            <w:hideMark/>
          </w:tcPr>
          <w:p w14:paraId="4E5E6132" w14:textId="77777777" w:rsidR="007515CC" w:rsidRPr="007515CC" w:rsidRDefault="007515CC" w:rsidP="007515CC">
            <w:pPr>
              <w:spacing w:after="0" w:line="240" w:lineRule="auto"/>
              <w:jc w:val="center"/>
              <w:rPr>
                <w:rFonts w:ascii="Times New Roman" w:hAnsi="Times New Roman"/>
                <w:b/>
                <w:bCs/>
                <w:color w:val="000000"/>
                <w:sz w:val="20"/>
                <w:szCs w:val="20"/>
              </w:rPr>
            </w:pPr>
            <w:r w:rsidRPr="007515CC">
              <w:rPr>
                <w:rFonts w:ascii="Times New Roman" w:hAnsi="Times New Roman"/>
                <w:b/>
                <w:bCs/>
                <w:color w:val="000000"/>
                <w:sz w:val="20"/>
                <w:szCs w:val="20"/>
              </w:rPr>
              <w:t>142.28</w:t>
            </w:r>
          </w:p>
        </w:tc>
        <w:tc>
          <w:tcPr>
            <w:tcW w:w="1247" w:type="dxa"/>
            <w:shd w:val="clear" w:color="auto" w:fill="auto"/>
            <w:noWrap/>
            <w:vAlign w:val="center"/>
            <w:hideMark/>
          </w:tcPr>
          <w:p w14:paraId="15C3A5A4" w14:textId="77777777" w:rsidR="007515CC" w:rsidRPr="007515CC" w:rsidRDefault="007515CC" w:rsidP="007515CC">
            <w:pPr>
              <w:spacing w:after="0" w:line="240" w:lineRule="auto"/>
              <w:jc w:val="center"/>
              <w:rPr>
                <w:rFonts w:ascii="Times New Roman" w:hAnsi="Times New Roman"/>
                <w:b/>
                <w:bCs/>
                <w:color w:val="000000"/>
                <w:sz w:val="20"/>
                <w:szCs w:val="20"/>
              </w:rPr>
            </w:pPr>
            <w:r w:rsidRPr="007515CC">
              <w:rPr>
                <w:rFonts w:ascii="Times New Roman" w:hAnsi="Times New Roman"/>
                <w:b/>
                <w:bCs/>
                <w:color w:val="000000"/>
                <w:sz w:val="20"/>
                <w:szCs w:val="20"/>
              </w:rPr>
              <w:t>1.02%</w:t>
            </w:r>
          </w:p>
        </w:tc>
      </w:tr>
    </w:tbl>
    <w:p w14:paraId="5DC38692" w14:textId="77777777" w:rsidR="007515CC" w:rsidRDefault="007515CC" w:rsidP="007515CC">
      <w:pPr>
        <w:spacing w:after="0" w:line="240" w:lineRule="auto"/>
        <w:jc w:val="both"/>
        <w:rPr>
          <w:rFonts w:eastAsia="MS Mincho"/>
          <w:bCs/>
          <w:sz w:val="20"/>
          <w:szCs w:val="20"/>
        </w:rPr>
      </w:pPr>
    </w:p>
    <w:p w14:paraId="310E6881" w14:textId="77777777" w:rsidR="007515CC" w:rsidRPr="007515CC" w:rsidRDefault="007515CC" w:rsidP="007515CC">
      <w:pPr>
        <w:spacing w:after="0" w:line="240" w:lineRule="auto"/>
        <w:contextualSpacing/>
        <w:rPr>
          <w:rFonts w:ascii="Times New Roman" w:hAnsi="Times New Roman"/>
          <w:b/>
          <w:bCs/>
          <w:iCs/>
          <w:sz w:val="20"/>
          <w:szCs w:val="20"/>
        </w:rPr>
      </w:pPr>
      <w:r w:rsidRPr="007515CC">
        <w:rPr>
          <w:rFonts w:ascii="Times New Roman" w:hAnsi="Times New Roman"/>
          <w:b/>
          <w:bCs/>
          <w:iCs/>
          <w:sz w:val="20"/>
          <w:szCs w:val="20"/>
        </w:rPr>
        <w:t>Revenue from operations:</w:t>
      </w:r>
    </w:p>
    <w:p w14:paraId="10CBF20F" w14:textId="77777777" w:rsidR="007515CC" w:rsidRPr="007515CC" w:rsidRDefault="007515CC" w:rsidP="007515CC">
      <w:pPr>
        <w:spacing w:after="0" w:line="240" w:lineRule="auto"/>
        <w:contextualSpacing/>
        <w:jc w:val="both"/>
        <w:rPr>
          <w:rFonts w:ascii="Times New Roman" w:hAnsi="Times New Roman"/>
          <w:sz w:val="20"/>
          <w:szCs w:val="20"/>
        </w:rPr>
      </w:pPr>
    </w:p>
    <w:p w14:paraId="7B11F114" w14:textId="77777777" w:rsidR="007515CC" w:rsidRPr="007515CC" w:rsidRDefault="007515CC" w:rsidP="007515CC">
      <w:pPr>
        <w:spacing w:after="0" w:line="240" w:lineRule="auto"/>
        <w:contextualSpacing/>
        <w:jc w:val="both"/>
        <w:rPr>
          <w:rFonts w:ascii="Times New Roman" w:hAnsi="Times New Roman"/>
          <w:color w:val="000000"/>
          <w:sz w:val="20"/>
          <w:szCs w:val="20"/>
        </w:rPr>
      </w:pPr>
      <w:r w:rsidRPr="007515CC">
        <w:rPr>
          <w:rFonts w:ascii="Times New Roman" w:hAnsi="Times New Roman"/>
          <w:color w:val="000000"/>
          <w:sz w:val="20"/>
          <w:szCs w:val="20"/>
        </w:rPr>
        <w:t xml:space="preserve">Revenue from operations mainly consists of </w:t>
      </w:r>
      <w:r w:rsidRPr="007515CC">
        <w:rPr>
          <w:rFonts w:ascii="Times New Roman" w:hAnsi="Times New Roman"/>
          <w:sz w:val="20"/>
          <w:szCs w:val="20"/>
        </w:rPr>
        <w:t>segregation of brass scrap, manufacturing of brass ingots, billets and brass rods and manufacturing of brass based components (plumbing and sanitary parts).</w:t>
      </w:r>
    </w:p>
    <w:p w14:paraId="7A5A7EFA" w14:textId="77777777" w:rsidR="007515CC" w:rsidRPr="007515CC" w:rsidRDefault="007515CC" w:rsidP="007515CC">
      <w:pPr>
        <w:spacing w:after="0" w:line="240" w:lineRule="auto"/>
        <w:contextualSpacing/>
        <w:jc w:val="both"/>
        <w:rPr>
          <w:rFonts w:ascii="Times New Roman" w:hAnsi="Times New Roman"/>
          <w:b/>
          <w:bCs/>
          <w:iCs/>
          <w:sz w:val="20"/>
          <w:szCs w:val="20"/>
        </w:rPr>
      </w:pPr>
    </w:p>
    <w:p w14:paraId="7CC6409E" w14:textId="77777777" w:rsidR="007515CC" w:rsidRPr="007515CC" w:rsidRDefault="007515CC" w:rsidP="007515CC">
      <w:pPr>
        <w:spacing w:after="0" w:line="240" w:lineRule="auto"/>
        <w:contextualSpacing/>
        <w:rPr>
          <w:rFonts w:ascii="Times New Roman" w:hAnsi="Times New Roman"/>
          <w:b/>
          <w:bCs/>
          <w:iCs/>
          <w:sz w:val="20"/>
          <w:szCs w:val="20"/>
        </w:rPr>
      </w:pPr>
      <w:r w:rsidRPr="007515CC">
        <w:rPr>
          <w:rFonts w:ascii="Times New Roman" w:hAnsi="Times New Roman"/>
          <w:b/>
          <w:bCs/>
          <w:iCs/>
          <w:sz w:val="20"/>
          <w:szCs w:val="20"/>
        </w:rPr>
        <w:t>Other Income:</w:t>
      </w:r>
    </w:p>
    <w:p w14:paraId="5CA9DAB8" w14:textId="77777777" w:rsidR="007515CC" w:rsidRPr="007515CC" w:rsidRDefault="007515CC" w:rsidP="007515CC">
      <w:pPr>
        <w:spacing w:after="0" w:line="240" w:lineRule="auto"/>
        <w:contextualSpacing/>
        <w:rPr>
          <w:rFonts w:ascii="Times New Roman" w:hAnsi="Times New Roman"/>
          <w:b/>
          <w:bCs/>
          <w:iCs/>
          <w:sz w:val="20"/>
          <w:szCs w:val="20"/>
        </w:rPr>
      </w:pPr>
    </w:p>
    <w:p w14:paraId="7B389F47" w14:textId="77777777" w:rsidR="007515CC" w:rsidRPr="007515CC" w:rsidRDefault="007515CC" w:rsidP="007515CC">
      <w:pPr>
        <w:spacing w:after="0" w:line="240" w:lineRule="auto"/>
        <w:contextualSpacing/>
        <w:jc w:val="both"/>
        <w:rPr>
          <w:rFonts w:ascii="Times New Roman" w:hAnsi="Times New Roman"/>
          <w:sz w:val="20"/>
          <w:szCs w:val="20"/>
        </w:rPr>
      </w:pPr>
      <w:r w:rsidRPr="007515CC">
        <w:rPr>
          <w:rFonts w:ascii="Times New Roman" w:hAnsi="Times New Roman"/>
          <w:sz w:val="20"/>
          <w:szCs w:val="20"/>
        </w:rPr>
        <w:t>Our other income primarily comprises of discount income, scrap, interest income and other miscellaneous income.</w:t>
      </w:r>
    </w:p>
    <w:p w14:paraId="46437036" w14:textId="77777777" w:rsidR="007515CC" w:rsidRPr="007515CC" w:rsidRDefault="007515CC" w:rsidP="007515CC">
      <w:pPr>
        <w:spacing w:after="0" w:line="240" w:lineRule="auto"/>
        <w:contextualSpacing/>
        <w:jc w:val="both"/>
        <w:rPr>
          <w:rFonts w:ascii="Times New Roman" w:hAnsi="Times New Roman"/>
          <w:b/>
          <w:bCs/>
          <w:sz w:val="20"/>
          <w:szCs w:val="20"/>
        </w:rPr>
      </w:pPr>
    </w:p>
    <w:p w14:paraId="2434A68E" w14:textId="77777777" w:rsidR="007515CC" w:rsidRPr="007515CC" w:rsidRDefault="007515CC" w:rsidP="007515CC">
      <w:pPr>
        <w:spacing w:after="0" w:line="240" w:lineRule="auto"/>
        <w:contextualSpacing/>
        <w:jc w:val="both"/>
        <w:rPr>
          <w:rFonts w:ascii="Times New Roman" w:hAnsi="Times New Roman"/>
          <w:b/>
          <w:bCs/>
          <w:iCs/>
          <w:sz w:val="20"/>
          <w:szCs w:val="20"/>
        </w:rPr>
      </w:pPr>
      <w:r w:rsidRPr="007515CC">
        <w:rPr>
          <w:rFonts w:ascii="Times New Roman" w:hAnsi="Times New Roman"/>
          <w:b/>
          <w:bCs/>
          <w:iCs/>
          <w:sz w:val="20"/>
          <w:szCs w:val="20"/>
        </w:rPr>
        <w:t>Expenses:</w:t>
      </w:r>
    </w:p>
    <w:p w14:paraId="12E64E62" w14:textId="77777777" w:rsidR="007515CC" w:rsidRPr="007515CC" w:rsidRDefault="007515CC" w:rsidP="007515CC">
      <w:pPr>
        <w:spacing w:after="0" w:line="240" w:lineRule="auto"/>
        <w:contextualSpacing/>
        <w:jc w:val="both"/>
        <w:rPr>
          <w:rFonts w:ascii="Times New Roman" w:hAnsi="Times New Roman"/>
          <w:b/>
          <w:bCs/>
          <w:iCs/>
          <w:sz w:val="20"/>
          <w:szCs w:val="20"/>
        </w:rPr>
      </w:pPr>
    </w:p>
    <w:p w14:paraId="2859D34E" w14:textId="77777777" w:rsidR="007515CC" w:rsidRPr="007515CC" w:rsidRDefault="007515CC" w:rsidP="007515CC">
      <w:pPr>
        <w:spacing w:after="0" w:line="240" w:lineRule="auto"/>
        <w:contextualSpacing/>
        <w:jc w:val="both"/>
        <w:rPr>
          <w:rFonts w:ascii="Times New Roman" w:hAnsi="Times New Roman"/>
          <w:bCs/>
          <w:iCs/>
          <w:sz w:val="20"/>
          <w:szCs w:val="20"/>
        </w:rPr>
      </w:pPr>
      <w:r w:rsidRPr="007515CC">
        <w:rPr>
          <w:rFonts w:ascii="Times New Roman" w:hAnsi="Times New Roman"/>
          <w:bCs/>
          <w:iCs/>
          <w:sz w:val="20"/>
          <w:szCs w:val="20"/>
        </w:rPr>
        <w:lastRenderedPageBreak/>
        <w:t>Company’s expenses consist of r</w:t>
      </w:r>
      <w:r w:rsidRPr="007515CC">
        <w:rPr>
          <w:rFonts w:ascii="Times New Roman" w:hAnsi="Times New Roman"/>
          <w:bCs/>
          <w:color w:val="000000"/>
          <w:sz w:val="20"/>
          <w:szCs w:val="20"/>
        </w:rPr>
        <w:t>aw material consumption, change in inventories of finished goods, work in progress and stock in trade</w:t>
      </w:r>
      <w:r w:rsidRPr="007515CC">
        <w:rPr>
          <w:rFonts w:ascii="Times New Roman" w:hAnsi="Times New Roman"/>
          <w:bCs/>
          <w:iCs/>
          <w:sz w:val="20"/>
          <w:szCs w:val="20"/>
        </w:rPr>
        <w:t>, Employee benefits expense, Finance costs, Depreciation and amortization and other expenses.</w:t>
      </w:r>
    </w:p>
    <w:p w14:paraId="190C18AD" w14:textId="77777777" w:rsidR="007515CC" w:rsidRPr="007515CC" w:rsidRDefault="007515CC" w:rsidP="007515CC">
      <w:pPr>
        <w:spacing w:after="0" w:line="240" w:lineRule="auto"/>
        <w:contextualSpacing/>
        <w:jc w:val="both"/>
        <w:rPr>
          <w:rFonts w:ascii="Times New Roman" w:hAnsi="Times New Roman"/>
          <w:bCs/>
          <w:iCs/>
          <w:sz w:val="20"/>
          <w:szCs w:val="20"/>
        </w:rPr>
      </w:pPr>
    </w:p>
    <w:p w14:paraId="001B6750" w14:textId="77777777" w:rsidR="007515CC" w:rsidRPr="007515CC" w:rsidRDefault="007515CC" w:rsidP="007515CC">
      <w:pPr>
        <w:spacing w:after="0" w:line="240" w:lineRule="auto"/>
        <w:contextualSpacing/>
        <w:jc w:val="both"/>
        <w:rPr>
          <w:rFonts w:ascii="Times New Roman" w:hAnsi="Times New Roman"/>
          <w:b/>
          <w:bCs/>
          <w:iCs/>
          <w:sz w:val="20"/>
          <w:szCs w:val="20"/>
        </w:rPr>
      </w:pPr>
      <w:r w:rsidRPr="007515CC">
        <w:rPr>
          <w:rFonts w:ascii="Times New Roman" w:hAnsi="Times New Roman"/>
          <w:b/>
          <w:bCs/>
          <w:iCs/>
          <w:sz w:val="20"/>
          <w:szCs w:val="20"/>
        </w:rPr>
        <w:t>Raw material consumption:</w:t>
      </w:r>
    </w:p>
    <w:p w14:paraId="36571FF6" w14:textId="77777777" w:rsidR="007515CC" w:rsidRPr="007515CC" w:rsidRDefault="007515CC" w:rsidP="007515CC">
      <w:pPr>
        <w:spacing w:after="0" w:line="240" w:lineRule="auto"/>
        <w:contextualSpacing/>
        <w:rPr>
          <w:rFonts w:ascii="Times New Roman" w:hAnsi="Times New Roman"/>
          <w:bCs/>
          <w:sz w:val="20"/>
          <w:szCs w:val="20"/>
        </w:rPr>
      </w:pPr>
    </w:p>
    <w:p w14:paraId="4771E72D" w14:textId="77777777" w:rsidR="007515CC" w:rsidRPr="007515CC" w:rsidRDefault="007515CC" w:rsidP="007515CC">
      <w:pPr>
        <w:spacing w:after="0" w:line="240" w:lineRule="auto"/>
        <w:contextualSpacing/>
        <w:rPr>
          <w:rFonts w:ascii="Times New Roman" w:hAnsi="Times New Roman"/>
          <w:bCs/>
          <w:sz w:val="20"/>
          <w:szCs w:val="20"/>
        </w:rPr>
      </w:pPr>
      <w:r w:rsidRPr="007515CC">
        <w:rPr>
          <w:rFonts w:ascii="Times New Roman" w:hAnsi="Times New Roman"/>
          <w:bCs/>
          <w:sz w:val="20"/>
          <w:szCs w:val="20"/>
        </w:rPr>
        <w:t>Our Raw Material consumption comprises primarily of brass scrap for manufacturing of</w:t>
      </w:r>
      <w:r w:rsidRPr="007515CC">
        <w:rPr>
          <w:rFonts w:ascii="Times New Roman" w:hAnsi="Times New Roman"/>
          <w:sz w:val="20"/>
          <w:szCs w:val="20"/>
        </w:rPr>
        <w:t xml:space="preserve"> brass ingots, billets and brass rods and manufacturing of brass based components (plumbing and sanitary parts).</w:t>
      </w:r>
      <w:r w:rsidRPr="007515CC">
        <w:rPr>
          <w:rFonts w:ascii="Times New Roman" w:hAnsi="Times New Roman"/>
          <w:bCs/>
          <w:sz w:val="20"/>
          <w:szCs w:val="20"/>
        </w:rPr>
        <w:t xml:space="preserve"> </w:t>
      </w:r>
    </w:p>
    <w:p w14:paraId="77BE8428" w14:textId="77777777" w:rsidR="007515CC" w:rsidRPr="007515CC" w:rsidRDefault="007515CC" w:rsidP="007515CC">
      <w:pPr>
        <w:spacing w:after="0" w:line="240" w:lineRule="auto"/>
        <w:contextualSpacing/>
        <w:rPr>
          <w:rFonts w:ascii="Times New Roman" w:hAnsi="Times New Roman"/>
          <w:b/>
          <w:bCs/>
          <w:sz w:val="20"/>
          <w:szCs w:val="20"/>
        </w:rPr>
      </w:pPr>
    </w:p>
    <w:p w14:paraId="62E0F86D" w14:textId="77777777" w:rsidR="007515CC" w:rsidRPr="007515CC" w:rsidRDefault="007515CC" w:rsidP="007515CC">
      <w:pPr>
        <w:spacing w:after="0" w:line="240" w:lineRule="auto"/>
        <w:contextualSpacing/>
        <w:jc w:val="both"/>
        <w:rPr>
          <w:rFonts w:ascii="Times New Roman" w:hAnsi="Times New Roman"/>
          <w:b/>
          <w:bCs/>
          <w:iCs/>
          <w:sz w:val="20"/>
          <w:szCs w:val="20"/>
          <w:lang w:val="en-IN"/>
        </w:rPr>
      </w:pPr>
      <w:r w:rsidRPr="007515CC">
        <w:rPr>
          <w:rFonts w:ascii="Times New Roman" w:hAnsi="Times New Roman"/>
          <w:b/>
          <w:bCs/>
          <w:iCs/>
          <w:sz w:val="20"/>
          <w:szCs w:val="20"/>
        </w:rPr>
        <w:t>Change in inventories of finished goods, work in progress and stock in trade:</w:t>
      </w:r>
    </w:p>
    <w:p w14:paraId="6BA75E36" w14:textId="77777777" w:rsidR="007515CC" w:rsidRPr="007515CC" w:rsidRDefault="007515CC" w:rsidP="007515CC">
      <w:pPr>
        <w:spacing w:after="0" w:line="240" w:lineRule="auto"/>
        <w:contextualSpacing/>
        <w:rPr>
          <w:rFonts w:ascii="Times New Roman" w:hAnsi="Times New Roman"/>
          <w:bCs/>
          <w:sz w:val="20"/>
          <w:szCs w:val="20"/>
        </w:rPr>
      </w:pPr>
    </w:p>
    <w:p w14:paraId="0ED63E0C" w14:textId="77777777" w:rsidR="007515CC" w:rsidRPr="007515CC" w:rsidRDefault="007515CC" w:rsidP="007515CC">
      <w:pPr>
        <w:spacing w:after="0" w:line="240" w:lineRule="auto"/>
        <w:contextualSpacing/>
        <w:rPr>
          <w:rFonts w:ascii="Times New Roman" w:hAnsi="Times New Roman"/>
          <w:bCs/>
          <w:sz w:val="20"/>
          <w:szCs w:val="20"/>
        </w:rPr>
      </w:pPr>
      <w:r w:rsidRPr="007515CC">
        <w:rPr>
          <w:rFonts w:ascii="Times New Roman" w:hAnsi="Times New Roman"/>
          <w:bCs/>
          <w:sz w:val="20"/>
          <w:szCs w:val="20"/>
        </w:rPr>
        <w:t>Our changes in the inventory comprises of changes in the finished goods, work in progress and stock in trade.</w:t>
      </w:r>
    </w:p>
    <w:p w14:paraId="4C1712B9" w14:textId="77777777" w:rsidR="007515CC" w:rsidRPr="007515CC" w:rsidRDefault="007515CC" w:rsidP="007515CC">
      <w:pPr>
        <w:spacing w:after="0" w:line="240" w:lineRule="auto"/>
        <w:contextualSpacing/>
        <w:rPr>
          <w:rFonts w:ascii="Times New Roman" w:hAnsi="Times New Roman"/>
          <w:b/>
          <w:bCs/>
          <w:sz w:val="20"/>
          <w:szCs w:val="20"/>
        </w:rPr>
      </w:pPr>
    </w:p>
    <w:p w14:paraId="2C361E2C" w14:textId="77777777" w:rsidR="007515CC" w:rsidRPr="007515CC" w:rsidRDefault="007515CC" w:rsidP="007515CC">
      <w:pPr>
        <w:spacing w:after="0" w:line="240" w:lineRule="auto"/>
        <w:contextualSpacing/>
        <w:rPr>
          <w:rFonts w:ascii="Times New Roman" w:hAnsi="Times New Roman"/>
          <w:b/>
          <w:bCs/>
          <w:sz w:val="20"/>
          <w:szCs w:val="20"/>
        </w:rPr>
      </w:pPr>
      <w:r w:rsidRPr="007515CC">
        <w:rPr>
          <w:rFonts w:ascii="Times New Roman" w:hAnsi="Times New Roman"/>
          <w:b/>
          <w:bCs/>
          <w:sz w:val="20"/>
          <w:szCs w:val="20"/>
        </w:rPr>
        <w:t>Employee benefits expense:</w:t>
      </w:r>
    </w:p>
    <w:p w14:paraId="33304518" w14:textId="77777777" w:rsidR="007515CC" w:rsidRPr="007515CC" w:rsidRDefault="007515CC" w:rsidP="007515CC">
      <w:pPr>
        <w:spacing w:after="0" w:line="240" w:lineRule="auto"/>
        <w:contextualSpacing/>
        <w:rPr>
          <w:rFonts w:ascii="Times New Roman" w:hAnsi="Times New Roman"/>
          <w:b/>
          <w:bCs/>
          <w:sz w:val="20"/>
          <w:szCs w:val="20"/>
        </w:rPr>
      </w:pPr>
    </w:p>
    <w:p w14:paraId="5DD76BA7" w14:textId="77777777" w:rsidR="007515CC" w:rsidRPr="007515CC" w:rsidRDefault="007515CC" w:rsidP="007515CC">
      <w:pPr>
        <w:spacing w:after="0" w:line="240" w:lineRule="auto"/>
        <w:contextualSpacing/>
        <w:jc w:val="both"/>
        <w:rPr>
          <w:rFonts w:ascii="Times New Roman" w:hAnsi="Times New Roman"/>
          <w:sz w:val="20"/>
          <w:szCs w:val="20"/>
        </w:rPr>
      </w:pPr>
      <w:r w:rsidRPr="007515CC">
        <w:rPr>
          <w:rFonts w:ascii="Times New Roman" w:hAnsi="Times New Roman"/>
          <w:sz w:val="20"/>
          <w:szCs w:val="20"/>
        </w:rPr>
        <w:t>Our employee benefits expense primarily comprises of Salary &amp; Wages, Managerial Remuneration and Staff Welfare Expenses.</w:t>
      </w:r>
    </w:p>
    <w:p w14:paraId="2C49DFE1" w14:textId="77777777" w:rsidR="007515CC" w:rsidRPr="007515CC" w:rsidRDefault="007515CC" w:rsidP="007515CC">
      <w:pPr>
        <w:spacing w:after="0" w:line="240" w:lineRule="auto"/>
        <w:contextualSpacing/>
        <w:rPr>
          <w:rFonts w:ascii="Times New Roman" w:hAnsi="Times New Roman"/>
          <w:b/>
          <w:bCs/>
          <w:sz w:val="20"/>
          <w:szCs w:val="20"/>
        </w:rPr>
      </w:pPr>
    </w:p>
    <w:p w14:paraId="291E7808" w14:textId="77777777" w:rsidR="007515CC" w:rsidRPr="007515CC" w:rsidRDefault="007515CC" w:rsidP="007515CC">
      <w:pPr>
        <w:spacing w:after="0" w:line="240" w:lineRule="auto"/>
        <w:contextualSpacing/>
        <w:rPr>
          <w:rFonts w:ascii="Times New Roman" w:hAnsi="Times New Roman"/>
          <w:b/>
          <w:bCs/>
          <w:sz w:val="20"/>
          <w:szCs w:val="20"/>
        </w:rPr>
      </w:pPr>
      <w:r w:rsidRPr="007515CC">
        <w:rPr>
          <w:rFonts w:ascii="Times New Roman" w:hAnsi="Times New Roman"/>
          <w:b/>
          <w:bCs/>
          <w:sz w:val="20"/>
          <w:szCs w:val="20"/>
        </w:rPr>
        <w:t>Finance Costs:</w:t>
      </w:r>
    </w:p>
    <w:p w14:paraId="10EF94B7" w14:textId="77777777" w:rsidR="007515CC" w:rsidRPr="007515CC" w:rsidRDefault="007515CC" w:rsidP="007515CC">
      <w:pPr>
        <w:spacing w:after="0" w:line="240" w:lineRule="auto"/>
        <w:contextualSpacing/>
        <w:rPr>
          <w:rFonts w:ascii="Times New Roman" w:hAnsi="Times New Roman"/>
          <w:b/>
          <w:bCs/>
          <w:sz w:val="20"/>
          <w:szCs w:val="20"/>
        </w:rPr>
      </w:pPr>
    </w:p>
    <w:p w14:paraId="5228E0BC" w14:textId="77777777" w:rsidR="007515CC" w:rsidRPr="007515CC" w:rsidRDefault="007515CC" w:rsidP="007515CC">
      <w:pPr>
        <w:spacing w:after="0" w:line="240" w:lineRule="auto"/>
        <w:contextualSpacing/>
        <w:jc w:val="both"/>
        <w:rPr>
          <w:rFonts w:ascii="Times New Roman" w:hAnsi="Times New Roman"/>
          <w:sz w:val="20"/>
          <w:szCs w:val="20"/>
        </w:rPr>
      </w:pPr>
      <w:r w:rsidRPr="007515CC">
        <w:rPr>
          <w:rFonts w:ascii="Times New Roman" w:hAnsi="Times New Roman"/>
          <w:sz w:val="20"/>
          <w:szCs w:val="20"/>
        </w:rPr>
        <w:t>Our finance cost includes Interest expense and Other Borrowing cost.</w:t>
      </w:r>
    </w:p>
    <w:p w14:paraId="0542653E" w14:textId="77777777" w:rsidR="007515CC" w:rsidRPr="007515CC" w:rsidRDefault="007515CC" w:rsidP="007515CC">
      <w:pPr>
        <w:spacing w:after="0" w:line="240" w:lineRule="auto"/>
        <w:contextualSpacing/>
        <w:jc w:val="both"/>
        <w:rPr>
          <w:rFonts w:ascii="Times New Roman" w:hAnsi="Times New Roman"/>
          <w:sz w:val="20"/>
          <w:szCs w:val="20"/>
        </w:rPr>
      </w:pPr>
    </w:p>
    <w:p w14:paraId="5F329FF0" w14:textId="77777777" w:rsidR="007515CC" w:rsidRPr="007515CC" w:rsidRDefault="007515CC" w:rsidP="007515CC">
      <w:pPr>
        <w:spacing w:after="0" w:line="240" w:lineRule="auto"/>
        <w:contextualSpacing/>
        <w:jc w:val="both"/>
        <w:rPr>
          <w:rFonts w:ascii="Times New Roman" w:hAnsi="Times New Roman"/>
          <w:b/>
          <w:bCs/>
          <w:sz w:val="20"/>
          <w:szCs w:val="20"/>
        </w:rPr>
      </w:pPr>
      <w:r w:rsidRPr="007515CC">
        <w:rPr>
          <w:rFonts w:ascii="Times New Roman" w:hAnsi="Times New Roman"/>
          <w:b/>
          <w:bCs/>
          <w:sz w:val="20"/>
          <w:szCs w:val="20"/>
        </w:rPr>
        <w:t>Depreciation and Amortization Expenses:</w:t>
      </w:r>
    </w:p>
    <w:p w14:paraId="342E9EAB" w14:textId="77777777" w:rsidR="007515CC" w:rsidRPr="007515CC" w:rsidRDefault="007515CC" w:rsidP="007515CC">
      <w:pPr>
        <w:spacing w:after="0" w:line="240" w:lineRule="auto"/>
        <w:contextualSpacing/>
        <w:jc w:val="both"/>
        <w:rPr>
          <w:rFonts w:ascii="Times New Roman" w:hAnsi="Times New Roman"/>
          <w:sz w:val="20"/>
          <w:szCs w:val="20"/>
        </w:rPr>
      </w:pPr>
    </w:p>
    <w:p w14:paraId="7B89CFD9" w14:textId="77777777" w:rsidR="007515CC" w:rsidRPr="007515CC" w:rsidRDefault="007515CC" w:rsidP="007515CC">
      <w:pPr>
        <w:spacing w:after="0" w:line="240" w:lineRule="auto"/>
        <w:contextualSpacing/>
        <w:jc w:val="both"/>
        <w:rPr>
          <w:rFonts w:ascii="Times New Roman" w:hAnsi="Times New Roman"/>
          <w:sz w:val="20"/>
          <w:szCs w:val="20"/>
        </w:rPr>
      </w:pPr>
      <w:r w:rsidRPr="007515CC">
        <w:rPr>
          <w:rFonts w:ascii="Times New Roman" w:hAnsi="Times New Roman"/>
          <w:sz w:val="20"/>
          <w:szCs w:val="20"/>
        </w:rPr>
        <w:t>Depreciation includes depreciation on Property, Plant &amp; Equipments etc.</w:t>
      </w:r>
    </w:p>
    <w:p w14:paraId="70F7ADD7" w14:textId="77777777" w:rsidR="007515CC" w:rsidRPr="007515CC" w:rsidRDefault="007515CC" w:rsidP="007515CC">
      <w:pPr>
        <w:spacing w:after="0" w:line="240" w:lineRule="auto"/>
        <w:contextualSpacing/>
        <w:jc w:val="both"/>
        <w:rPr>
          <w:rFonts w:ascii="Times New Roman" w:hAnsi="Times New Roman"/>
          <w:sz w:val="20"/>
          <w:szCs w:val="20"/>
        </w:rPr>
      </w:pPr>
    </w:p>
    <w:p w14:paraId="68D5149A" w14:textId="77777777" w:rsidR="007515CC" w:rsidRPr="007515CC" w:rsidRDefault="007515CC" w:rsidP="007515CC">
      <w:pPr>
        <w:spacing w:after="0" w:line="240" w:lineRule="auto"/>
        <w:contextualSpacing/>
        <w:jc w:val="both"/>
        <w:rPr>
          <w:rFonts w:ascii="Times New Roman" w:hAnsi="Times New Roman"/>
          <w:b/>
          <w:bCs/>
          <w:sz w:val="20"/>
          <w:szCs w:val="20"/>
        </w:rPr>
      </w:pPr>
      <w:r w:rsidRPr="007515CC">
        <w:rPr>
          <w:rFonts w:ascii="Times New Roman" w:hAnsi="Times New Roman"/>
          <w:b/>
          <w:bCs/>
          <w:sz w:val="20"/>
          <w:szCs w:val="20"/>
        </w:rPr>
        <w:t>Other Expenses:</w:t>
      </w:r>
    </w:p>
    <w:p w14:paraId="51844FC1" w14:textId="77777777" w:rsidR="007515CC" w:rsidRPr="007515CC" w:rsidRDefault="007515CC" w:rsidP="007515CC">
      <w:pPr>
        <w:spacing w:after="0" w:line="240" w:lineRule="auto"/>
        <w:contextualSpacing/>
        <w:jc w:val="both"/>
        <w:rPr>
          <w:rFonts w:ascii="Times New Roman" w:hAnsi="Times New Roman"/>
          <w:sz w:val="20"/>
          <w:szCs w:val="20"/>
        </w:rPr>
      </w:pPr>
    </w:p>
    <w:p w14:paraId="4F5D7CF4" w14:textId="50DCEC29" w:rsidR="007515CC" w:rsidRPr="007515CC" w:rsidRDefault="007515CC" w:rsidP="007515CC">
      <w:pPr>
        <w:spacing w:after="0" w:line="240" w:lineRule="auto"/>
        <w:contextualSpacing/>
        <w:jc w:val="both"/>
        <w:rPr>
          <w:rFonts w:ascii="Times New Roman" w:hAnsi="Times New Roman"/>
          <w:sz w:val="20"/>
          <w:szCs w:val="20"/>
        </w:rPr>
      </w:pPr>
      <w:r w:rsidRPr="007515CC">
        <w:rPr>
          <w:rFonts w:ascii="Times New Roman" w:hAnsi="Times New Roman"/>
          <w:sz w:val="20"/>
          <w:szCs w:val="20"/>
        </w:rPr>
        <w:t>Our other expenses includes Manufacturing Expenses such as Job work expenses, Custom duty, Motive Power Expenses etc., also includes Import Expenses such as Clearing &amp; Forwarding (Import), Ocean Freight, THC Charges on Import, Transportation (Import) and includes Export Expenses such as Insurance Expenses (Export)</w:t>
      </w:r>
      <w:r>
        <w:rPr>
          <w:rFonts w:ascii="Times New Roman" w:hAnsi="Times New Roman"/>
          <w:sz w:val="20"/>
          <w:szCs w:val="20"/>
        </w:rPr>
        <w:t xml:space="preserve">, </w:t>
      </w:r>
      <w:r w:rsidRPr="007515CC">
        <w:rPr>
          <w:rFonts w:ascii="Times New Roman" w:hAnsi="Times New Roman"/>
          <w:sz w:val="20"/>
          <w:szCs w:val="20"/>
        </w:rPr>
        <w:t xml:space="preserve">Transportation (Export), Air Freight, Commission/Service Charges. It also includes Administrative and general Expenses such as Insurance Premium, GST Expenses, Rent Expenses, Travelling Expenses, Discount Charges etc. </w:t>
      </w:r>
    </w:p>
    <w:p w14:paraId="508F8DA2" w14:textId="77777777" w:rsidR="007515CC" w:rsidRPr="007515CC" w:rsidRDefault="007515CC" w:rsidP="007515CC">
      <w:pPr>
        <w:spacing w:after="0" w:line="240" w:lineRule="auto"/>
        <w:contextualSpacing/>
        <w:jc w:val="both"/>
        <w:rPr>
          <w:rFonts w:ascii="Times New Roman" w:hAnsi="Times New Roman"/>
          <w:sz w:val="20"/>
          <w:szCs w:val="20"/>
        </w:rPr>
      </w:pPr>
    </w:p>
    <w:p w14:paraId="2E395665" w14:textId="77777777" w:rsidR="007515CC" w:rsidRPr="007515CC" w:rsidRDefault="007515CC" w:rsidP="007515CC">
      <w:pPr>
        <w:autoSpaceDE w:val="0"/>
        <w:autoSpaceDN w:val="0"/>
        <w:adjustRightInd w:val="0"/>
        <w:spacing w:after="0" w:line="240" w:lineRule="auto"/>
        <w:jc w:val="both"/>
        <w:rPr>
          <w:rFonts w:ascii="Times New Roman" w:eastAsiaTheme="minorHAnsi" w:hAnsi="Times New Roman"/>
          <w:b/>
          <w:bCs/>
          <w:i/>
          <w:sz w:val="20"/>
          <w:szCs w:val="20"/>
          <w:u w:val="single"/>
          <w:lang w:val="en-IN"/>
        </w:rPr>
      </w:pPr>
      <w:r w:rsidRPr="007515CC">
        <w:rPr>
          <w:rFonts w:ascii="Times New Roman" w:eastAsiaTheme="minorHAnsi" w:hAnsi="Times New Roman"/>
          <w:b/>
          <w:bCs/>
          <w:sz w:val="20"/>
          <w:szCs w:val="20"/>
          <w:u w:val="single"/>
          <w:lang w:val="en-IN"/>
        </w:rPr>
        <w:t xml:space="preserve">Comparison of Financial Year 2023 with Financial Year 2022 </w:t>
      </w:r>
      <w:r w:rsidRPr="007515CC">
        <w:rPr>
          <w:rFonts w:ascii="Times New Roman" w:eastAsiaTheme="minorHAnsi" w:hAnsi="Times New Roman"/>
          <w:b/>
          <w:bCs/>
          <w:i/>
          <w:sz w:val="20"/>
          <w:szCs w:val="20"/>
          <w:u w:val="single"/>
          <w:lang w:val="en-IN"/>
        </w:rPr>
        <w:t>(Based on Restated Financial Statements)</w:t>
      </w:r>
    </w:p>
    <w:p w14:paraId="68B432A9" w14:textId="77777777" w:rsidR="007515CC" w:rsidRPr="007515CC" w:rsidRDefault="007515CC" w:rsidP="007515CC">
      <w:pPr>
        <w:autoSpaceDE w:val="0"/>
        <w:autoSpaceDN w:val="0"/>
        <w:adjustRightInd w:val="0"/>
        <w:spacing w:after="0" w:line="240" w:lineRule="auto"/>
        <w:rPr>
          <w:rFonts w:ascii="Times New Roman" w:hAnsi="Times New Roman"/>
          <w:i/>
          <w:sz w:val="20"/>
          <w:szCs w:val="20"/>
          <w:u w:val="single"/>
        </w:rPr>
      </w:pPr>
    </w:p>
    <w:p w14:paraId="640872A8" w14:textId="77777777" w:rsidR="007515CC" w:rsidRPr="007515CC" w:rsidRDefault="007515CC" w:rsidP="007515CC">
      <w:pPr>
        <w:spacing w:after="0" w:line="240" w:lineRule="auto"/>
        <w:contextualSpacing/>
        <w:jc w:val="both"/>
        <w:rPr>
          <w:rFonts w:ascii="Times New Roman" w:hAnsi="Times New Roman"/>
          <w:b/>
          <w:sz w:val="20"/>
          <w:szCs w:val="20"/>
        </w:rPr>
      </w:pPr>
      <w:r w:rsidRPr="007515CC">
        <w:rPr>
          <w:rFonts w:ascii="Times New Roman" w:hAnsi="Times New Roman"/>
          <w:b/>
          <w:sz w:val="20"/>
          <w:szCs w:val="20"/>
        </w:rPr>
        <w:t>Total Income:</w:t>
      </w:r>
    </w:p>
    <w:p w14:paraId="33237B23" w14:textId="77777777" w:rsidR="007515CC" w:rsidRPr="007515CC" w:rsidRDefault="007515CC" w:rsidP="007515CC">
      <w:pPr>
        <w:spacing w:after="0" w:line="240" w:lineRule="auto"/>
        <w:contextualSpacing/>
        <w:jc w:val="both"/>
        <w:rPr>
          <w:rFonts w:ascii="Times New Roman" w:hAnsi="Times New Roman"/>
          <w:sz w:val="20"/>
          <w:szCs w:val="20"/>
        </w:rPr>
      </w:pPr>
    </w:p>
    <w:p w14:paraId="7337BAF7" w14:textId="77777777" w:rsidR="007515CC" w:rsidRPr="007515CC" w:rsidRDefault="007515CC" w:rsidP="007515CC">
      <w:pPr>
        <w:spacing w:after="0" w:line="240" w:lineRule="auto"/>
        <w:contextualSpacing/>
        <w:jc w:val="both"/>
        <w:rPr>
          <w:rFonts w:ascii="Times New Roman" w:hAnsi="Times New Roman"/>
          <w:sz w:val="20"/>
          <w:szCs w:val="20"/>
        </w:rPr>
      </w:pPr>
      <w:r w:rsidRPr="007515CC">
        <w:rPr>
          <w:rFonts w:ascii="Times New Roman" w:hAnsi="Times New Roman"/>
          <w:sz w:val="20"/>
          <w:szCs w:val="20"/>
        </w:rPr>
        <w:t xml:space="preserve">Total income for the financial year 2022-23 stood at ₹ 49,786.27 Lakhs whereas in Financial Year 2021-22 the same stood at </w:t>
      </w:r>
      <w:bookmarkStart w:id="22" w:name="_Hlk146193798"/>
      <w:r w:rsidRPr="007515CC">
        <w:rPr>
          <w:rFonts w:ascii="Times New Roman" w:hAnsi="Times New Roman"/>
          <w:sz w:val="20"/>
          <w:szCs w:val="20"/>
        </w:rPr>
        <w:t>₹</w:t>
      </w:r>
      <w:bookmarkEnd w:id="22"/>
      <w:r w:rsidRPr="007515CC">
        <w:rPr>
          <w:rFonts w:ascii="Times New Roman" w:hAnsi="Times New Roman"/>
          <w:sz w:val="20"/>
          <w:szCs w:val="20"/>
        </w:rPr>
        <w:t xml:space="preserve"> 42,644.34 Lakhs representing significant increase of 16.75%. The main reason of increase in total income was:</w:t>
      </w:r>
    </w:p>
    <w:p w14:paraId="3C0C79FC" w14:textId="77777777" w:rsidR="007515CC" w:rsidRPr="007515CC" w:rsidRDefault="007515CC" w:rsidP="007515CC">
      <w:pPr>
        <w:spacing w:after="0" w:line="240" w:lineRule="auto"/>
        <w:contextualSpacing/>
        <w:jc w:val="both"/>
        <w:rPr>
          <w:rFonts w:ascii="Times New Roman" w:hAnsi="Times New Roman"/>
          <w:sz w:val="20"/>
          <w:szCs w:val="20"/>
        </w:rPr>
      </w:pPr>
    </w:p>
    <w:p w14:paraId="45B093E2" w14:textId="7DFCD48C" w:rsidR="007515CC" w:rsidRPr="007515CC" w:rsidRDefault="007515CC">
      <w:pPr>
        <w:pStyle w:val="ListParagraph"/>
        <w:numPr>
          <w:ilvl w:val="0"/>
          <w:numId w:val="356"/>
        </w:numPr>
        <w:spacing w:line="240" w:lineRule="auto"/>
        <w:contextualSpacing/>
        <w:jc w:val="both"/>
        <w:rPr>
          <w:sz w:val="20"/>
          <w:szCs w:val="20"/>
        </w:rPr>
      </w:pPr>
      <w:r w:rsidRPr="007515CC">
        <w:rPr>
          <w:sz w:val="20"/>
          <w:szCs w:val="20"/>
          <w:lang w:val="en-US"/>
        </w:rPr>
        <w:t xml:space="preserve">Increase in revenue from sale of Brass Ingots from </w:t>
      </w:r>
      <w:r w:rsidRPr="007515CC">
        <w:rPr>
          <w:sz w:val="20"/>
          <w:szCs w:val="20"/>
        </w:rPr>
        <w:t>₹</w:t>
      </w:r>
      <w:r w:rsidRPr="007515CC">
        <w:rPr>
          <w:sz w:val="20"/>
          <w:szCs w:val="20"/>
          <w:lang w:val="en-US"/>
        </w:rPr>
        <w:t xml:space="preserve"> 10780.13 lakhs in FY 2021-22 to </w:t>
      </w:r>
      <w:r w:rsidRPr="007515CC">
        <w:rPr>
          <w:sz w:val="20"/>
          <w:szCs w:val="20"/>
        </w:rPr>
        <w:t>₹</w:t>
      </w:r>
      <w:r w:rsidRPr="007515CC">
        <w:rPr>
          <w:sz w:val="20"/>
          <w:szCs w:val="20"/>
          <w:lang w:val="en-US"/>
        </w:rPr>
        <w:t xml:space="preserve"> 17,227.54 lakhs in F.Y. 2022-23, representing an increase of 59.81% (y-o-y)</w:t>
      </w:r>
    </w:p>
    <w:p w14:paraId="22262F0D" w14:textId="77777777" w:rsidR="007515CC" w:rsidRPr="007515CC" w:rsidRDefault="007515CC" w:rsidP="007515CC">
      <w:pPr>
        <w:pStyle w:val="ListParagraph"/>
        <w:spacing w:line="240" w:lineRule="auto"/>
        <w:contextualSpacing/>
        <w:jc w:val="both"/>
        <w:rPr>
          <w:sz w:val="20"/>
          <w:szCs w:val="20"/>
        </w:rPr>
      </w:pPr>
    </w:p>
    <w:p w14:paraId="2DE7D96B" w14:textId="4729ABE0" w:rsidR="007515CC" w:rsidRPr="007515CC" w:rsidRDefault="007515CC">
      <w:pPr>
        <w:pStyle w:val="ListParagraph"/>
        <w:numPr>
          <w:ilvl w:val="0"/>
          <w:numId w:val="356"/>
        </w:numPr>
        <w:spacing w:line="240" w:lineRule="auto"/>
        <w:contextualSpacing/>
        <w:jc w:val="both"/>
        <w:rPr>
          <w:sz w:val="20"/>
          <w:szCs w:val="20"/>
        </w:rPr>
      </w:pPr>
      <w:r w:rsidRPr="007515CC">
        <w:rPr>
          <w:sz w:val="20"/>
          <w:szCs w:val="20"/>
          <w:lang w:val="en-US"/>
        </w:rPr>
        <w:t xml:space="preserve">Increase in revenue from sale of Brass Rods from </w:t>
      </w:r>
      <w:r w:rsidRPr="007515CC">
        <w:rPr>
          <w:sz w:val="20"/>
          <w:szCs w:val="20"/>
        </w:rPr>
        <w:t>₹</w:t>
      </w:r>
      <w:r w:rsidRPr="007515CC">
        <w:rPr>
          <w:sz w:val="20"/>
          <w:szCs w:val="20"/>
          <w:lang w:val="en-US"/>
        </w:rPr>
        <w:t xml:space="preserve"> 2069.61 lakhs in F.Y. 2021-22 to </w:t>
      </w:r>
      <w:r w:rsidRPr="007515CC">
        <w:rPr>
          <w:sz w:val="20"/>
          <w:szCs w:val="20"/>
        </w:rPr>
        <w:t>₹</w:t>
      </w:r>
      <w:r w:rsidRPr="007515CC">
        <w:rPr>
          <w:sz w:val="20"/>
          <w:szCs w:val="20"/>
          <w:lang w:val="en-US"/>
        </w:rPr>
        <w:t xml:space="preserve"> 2609.61 lakhs in F.Y. 2022-23, representing an increase of 26.08% (y-o-y)</w:t>
      </w:r>
    </w:p>
    <w:p w14:paraId="328CB397" w14:textId="77777777" w:rsidR="007515CC" w:rsidRPr="007515CC" w:rsidRDefault="007515CC" w:rsidP="007515CC">
      <w:pPr>
        <w:spacing w:after="0" w:line="240" w:lineRule="auto"/>
        <w:contextualSpacing/>
        <w:jc w:val="both"/>
        <w:rPr>
          <w:rFonts w:ascii="Times New Roman" w:hAnsi="Times New Roman"/>
          <w:b/>
          <w:sz w:val="20"/>
          <w:szCs w:val="20"/>
        </w:rPr>
      </w:pPr>
    </w:p>
    <w:p w14:paraId="5AD279E7" w14:textId="77777777" w:rsidR="007515CC" w:rsidRPr="007515CC" w:rsidRDefault="007515CC" w:rsidP="007515CC">
      <w:pPr>
        <w:spacing w:after="0" w:line="240" w:lineRule="auto"/>
        <w:contextualSpacing/>
        <w:jc w:val="both"/>
        <w:rPr>
          <w:rFonts w:ascii="Times New Roman" w:hAnsi="Times New Roman"/>
          <w:sz w:val="20"/>
          <w:szCs w:val="20"/>
        </w:rPr>
      </w:pPr>
      <w:r w:rsidRPr="007515CC">
        <w:rPr>
          <w:rFonts w:ascii="Times New Roman" w:hAnsi="Times New Roman"/>
          <w:b/>
          <w:sz w:val="20"/>
          <w:szCs w:val="20"/>
        </w:rPr>
        <w:t>Revenue from Operations:</w:t>
      </w:r>
    </w:p>
    <w:p w14:paraId="579B68C9" w14:textId="77777777" w:rsidR="007515CC" w:rsidRPr="007515CC" w:rsidRDefault="007515CC" w:rsidP="007515CC">
      <w:pPr>
        <w:spacing w:after="0" w:line="240" w:lineRule="auto"/>
        <w:contextualSpacing/>
        <w:jc w:val="both"/>
        <w:rPr>
          <w:rFonts w:ascii="Times New Roman" w:hAnsi="Times New Roman"/>
          <w:sz w:val="20"/>
          <w:szCs w:val="20"/>
        </w:rPr>
      </w:pPr>
    </w:p>
    <w:p w14:paraId="000FC702" w14:textId="77777777" w:rsidR="007515CC" w:rsidRPr="007515CC" w:rsidRDefault="007515CC" w:rsidP="007515CC">
      <w:pPr>
        <w:spacing w:after="0" w:line="240" w:lineRule="auto"/>
        <w:contextualSpacing/>
        <w:jc w:val="both"/>
        <w:rPr>
          <w:rFonts w:ascii="Times New Roman" w:hAnsi="Times New Roman"/>
          <w:sz w:val="20"/>
          <w:szCs w:val="20"/>
        </w:rPr>
      </w:pPr>
      <w:r w:rsidRPr="007515CC">
        <w:rPr>
          <w:rFonts w:ascii="Times New Roman" w:hAnsi="Times New Roman"/>
          <w:sz w:val="20"/>
          <w:szCs w:val="20"/>
        </w:rPr>
        <w:t>Revenue from Operations for the F.Y. 2022-</w:t>
      </w:r>
      <w:r w:rsidRPr="007515CC">
        <w:rPr>
          <w:rFonts w:ascii="Times New Roman" w:hAnsi="Times New Roman"/>
          <w:sz w:val="20"/>
          <w:szCs w:val="20"/>
        </w:rPr>
        <w:tab/>
        <w:t>23 stood at ₹ 49,287.35 Lakhs whereas in F.Y. 2021-22 the same stood at ₹ 42,323.27 Lakhs representing an increase of 16.45%. The main reason for increase in revenue from operations were:</w:t>
      </w:r>
    </w:p>
    <w:p w14:paraId="78523EFC" w14:textId="77777777" w:rsidR="007515CC" w:rsidRPr="007515CC" w:rsidRDefault="007515CC" w:rsidP="007515CC">
      <w:pPr>
        <w:spacing w:after="0" w:line="240" w:lineRule="auto"/>
        <w:contextualSpacing/>
        <w:jc w:val="both"/>
        <w:rPr>
          <w:rFonts w:ascii="Times New Roman" w:hAnsi="Times New Roman"/>
          <w:sz w:val="20"/>
          <w:szCs w:val="20"/>
        </w:rPr>
      </w:pPr>
    </w:p>
    <w:p w14:paraId="064750A6" w14:textId="10151626" w:rsidR="007515CC" w:rsidRPr="007515CC" w:rsidRDefault="007515CC">
      <w:pPr>
        <w:pStyle w:val="ListParagraph"/>
        <w:numPr>
          <w:ilvl w:val="0"/>
          <w:numId w:val="356"/>
        </w:numPr>
        <w:spacing w:line="240" w:lineRule="auto"/>
        <w:contextualSpacing/>
        <w:jc w:val="both"/>
        <w:rPr>
          <w:sz w:val="20"/>
          <w:szCs w:val="20"/>
        </w:rPr>
      </w:pPr>
      <w:r w:rsidRPr="007515CC">
        <w:rPr>
          <w:sz w:val="20"/>
          <w:szCs w:val="20"/>
          <w:lang w:val="en-US"/>
        </w:rPr>
        <w:t xml:space="preserve">Increase in revenue from sale of Brass Ingots from </w:t>
      </w:r>
      <w:r w:rsidRPr="007515CC">
        <w:rPr>
          <w:sz w:val="20"/>
          <w:szCs w:val="20"/>
        </w:rPr>
        <w:t>₹</w:t>
      </w:r>
      <w:r w:rsidRPr="007515CC">
        <w:rPr>
          <w:sz w:val="20"/>
          <w:szCs w:val="20"/>
          <w:lang w:val="en-US"/>
        </w:rPr>
        <w:t xml:space="preserve"> 10780.13 lakhs in FY 2021-22 to </w:t>
      </w:r>
      <w:r w:rsidRPr="007515CC">
        <w:rPr>
          <w:sz w:val="20"/>
          <w:szCs w:val="20"/>
        </w:rPr>
        <w:t>₹</w:t>
      </w:r>
      <w:r w:rsidRPr="007515CC">
        <w:rPr>
          <w:sz w:val="20"/>
          <w:szCs w:val="20"/>
          <w:lang w:val="en-US"/>
        </w:rPr>
        <w:t xml:space="preserve"> 17,227.54 lakhs in F.Y. 2022-23, representing an increase of 59.81% (y-o-y)</w:t>
      </w:r>
    </w:p>
    <w:p w14:paraId="78ED9E3C" w14:textId="77777777" w:rsidR="007515CC" w:rsidRPr="007515CC" w:rsidRDefault="007515CC" w:rsidP="007515CC">
      <w:pPr>
        <w:pStyle w:val="ListParagraph"/>
        <w:spacing w:line="240" w:lineRule="auto"/>
        <w:contextualSpacing/>
        <w:jc w:val="both"/>
        <w:rPr>
          <w:sz w:val="20"/>
          <w:szCs w:val="20"/>
        </w:rPr>
      </w:pPr>
    </w:p>
    <w:p w14:paraId="4EDC4AE6" w14:textId="5928638A" w:rsidR="007515CC" w:rsidRPr="007515CC" w:rsidRDefault="007515CC">
      <w:pPr>
        <w:pStyle w:val="ListParagraph"/>
        <w:numPr>
          <w:ilvl w:val="0"/>
          <w:numId w:val="356"/>
        </w:numPr>
        <w:spacing w:line="240" w:lineRule="auto"/>
        <w:contextualSpacing/>
        <w:jc w:val="both"/>
        <w:rPr>
          <w:sz w:val="20"/>
          <w:szCs w:val="20"/>
        </w:rPr>
      </w:pPr>
      <w:r w:rsidRPr="007515CC">
        <w:rPr>
          <w:sz w:val="20"/>
          <w:szCs w:val="20"/>
          <w:lang w:val="en-US"/>
        </w:rPr>
        <w:t xml:space="preserve">Increase in revenue from sale of Brass Rods from </w:t>
      </w:r>
      <w:r w:rsidRPr="007515CC">
        <w:rPr>
          <w:sz w:val="20"/>
          <w:szCs w:val="20"/>
        </w:rPr>
        <w:t>₹</w:t>
      </w:r>
      <w:r w:rsidRPr="007515CC">
        <w:rPr>
          <w:sz w:val="20"/>
          <w:szCs w:val="20"/>
          <w:lang w:val="en-US"/>
        </w:rPr>
        <w:t xml:space="preserve"> 2069.61 lakhs in F.Y. 2021-22 to </w:t>
      </w:r>
      <w:r w:rsidRPr="007515CC">
        <w:rPr>
          <w:sz w:val="20"/>
          <w:szCs w:val="20"/>
        </w:rPr>
        <w:t>₹</w:t>
      </w:r>
      <w:r w:rsidRPr="007515CC">
        <w:rPr>
          <w:sz w:val="20"/>
          <w:szCs w:val="20"/>
          <w:lang w:val="en-US"/>
        </w:rPr>
        <w:t xml:space="preserve"> 2609.61 lakhs in F.Y. 2022-23, representing an increase of 26.08% (y-o-y)</w:t>
      </w:r>
    </w:p>
    <w:p w14:paraId="743230FE" w14:textId="77777777" w:rsidR="007515CC" w:rsidRPr="007515CC" w:rsidRDefault="007515CC" w:rsidP="007515CC">
      <w:pPr>
        <w:spacing w:after="0" w:line="240" w:lineRule="auto"/>
        <w:ind w:left="360"/>
        <w:contextualSpacing/>
        <w:jc w:val="both"/>
        <w:rPr>
          <w:rFonts w:ascii="Times New Roman" w:hAnsi="Times New Roman"/>
          <w:sz w:val="20"/>
          <w:szCs w:val="20"/>
        </w:rPr>
      </w:pPr>
    </w:p>
    <w:p w14:paraId="448E7F80" w14:textId="77777777" w:rsidR="007515CC" w:rsidRPr="007515CC" w:rsidRDefault="007515CC" w:rsidP="007515CC">
      <w:pPr>
        <w:spacing w:after="0" w:line="240" w:lineRule="auto"/>
        <w:contextualSpacing/>
        <w:jc w:val="both"/>
        <w:rPr>
          <w:rFonts w:ascii="Times New Roman" w:hAnsi="Times New Roman"/>
          <w:b/>
          <w:iCs/>
          <w:sz w:val="20"/>
          <w:szCs w:val="20"/>
        </w:rPr>
      </w:pPr>
      <w:r w:rsidRPr="007515CC">
        <w:rPr>
          <w:rFonts w:ascii="Times New Roman" w:hAnsi="Times New Roman"/>
          <w:b/>
          <w:iCs/>
          <w:sz w:val="20"/>
          <w:szCs w:val="20"/>
        </w:rPr>
        <w:t>Other Income:</w:t>
      </w:r>
    </w:p>
    <w:p w14:paraId="29BE3BD3" w14:textId="77777777" w:rsidR="007515CC" w:rsidRPr="007515CC" w:rsidRDefault="007515CC" w:rsidP="007515CC">
      <w:pPr>
        <w:spacing w:after="0" w:line="240" w:lineRule="auto"/>
        <w:contextualSpacing/>
        <w:jc w:val="both"/>
        <w:rPr>
          <w:rFonts w:ascii="Times New Roman" w:hAnsi="Times New Roman"/>
          <w:b/>
          <w:iCs/>
          <w:sz w:val="20"/>
          <w:szCs w:val="20"/>
        </w:rPr>
      </w:pPr>
    </w:p>
    <w:p w14:paraId="0209DDD4" w14:textId="77777777" w:rsidR="007515CC" w:rsidRPr="007515CC" w:rsidRDefault="007515CC" w:rsidP="007515CC">
      <w:pPr>
        <w:spacing w:after="0" w:line="240" w:lineRule="auto"/>
        <w:contextualSpacing/>
        <w:jc w:val="both"/>
        <w:rPr>
          <w:rFonts w:ascii="Times New Roman" w:hAnsi="Times New Roman"/>
          <w:sz w:val="20"/>
          <w:szCs w:val="20"/>
        </w:rPr>
      </w:pPr>
      <w:r w:rsidRPr="007515CC">
        <w:rPr>
          <w:rFonts w:ascii="Times New Roman" w:hAnsi="Times New Roman"/>
          <w:sz w:val="20"/>
          <w:szCs w:val="20"/>
        </w:rPr>
        <w:t>For F.Y. 2022-23, other income has been increased to ₹ 498.91 Lakhs as against ₹ 321.07 Lakhs in the Financial Year 2021-22 representing an increase of 55.39% which is mainly due to increase in income from Duty Drawback and Freight on Sales.</w:t>
      </w:r>
    </w:p>
    <w:p w14:paraId="4F8FCF21" w14:textId="77777777" w:rsidR="007515CC" w:rsidRPr="007515CC" w:rsidRDefault="007515CC" w:rsidP="007515CC">
      <w:pPr>
        <w:spacing w:after="0" w:line="240" w:lineRule="auto"/>
        <w:contextualSpacing/>
        <w:jc w:val="both"/>
        <w:rPr>
          <w:rFonts w:ascii="Times New Roman" w:hAnsi="Times New Roman"/>
          <w:b/>
          <w:sz w:val="20"/>
          <w:szCs w:val="20"/>
        </w:rPr>
      </w:pPr>
    </w:p>
    <w:p w14:paraId="5B09F8E9" w14:textId="77777777" w:rsidR="007515CC" w:rsidRPr="007515CC" w:rsidRDefault="007515CC" w:rsidP="007515CC">
      <w:pPr>
        <w:spacing w:after="0" w:line="240" w:lineRule="auto"/>
        <w:contextualSpacing/>
        <w:jc w:val="both"/>
        <w:rPr>
          <w:rFonts w:ascii="Times New Roman" w:hAnsi="Times New Roman"/>
          <w:b/>
          <w:sz w:val="20"/>
          <w:szCs w:val="20"/>
        </w:rPr>
      </w:pPr>
      <w:r w:rsidRPr="007515CC">
        <w:rPr>
          <w:rFonts w:ascii="Times New Roman" w:hAnsi="Times New Roman"/>
          <w:b/>
          <w:sz w:val="20"/>
          <w:szCs w:val="20"/>
        </w:rPr>
        <w:t>Total Expenses:</w:t>
      </w:r>
    </w:p>
    <w:p w14:paraId="289EDDE9" w14:textId="77777777" w:rsidR="007515CC" w:rsidRPr="007515CC" w:rsidRDefault="007515CC" w:rsidP="007515CC">
      <w:pPr>
        <w:spacing w:after="0" w:line="240" w:lineRule="auto"/>
        <w:contextualSpacing/>
        <w:jc w:val="both"/>
        <w:rPr>
          <w:rFonts w:ascii="Times New Roman" w:hAnsi="Times New Roman"/>
          <w:b/>
          <w:sz w:val="20"/>
          <w:szCs w:val="20"/>
        </w:rPr>
      </w:pPr>
    </w:p>
    <w:p w14:paraId="71B3F042" w14:textId="7D7F95D2" w:rsidR="007515CC" w:rsidRPr="007515CC" w:rsidRDefault="007515CC" w:rsidP="007515CC">
      <w:pPr>
        <w:spacing w:after="0" w:line="240" w:lineRule="auto"/>
        <w:contextualSpacing/>
        <w:jc w:val="both"/>
        <w:rPr>
          <w:rFonts w:ascii="Times New Roman" w:hAnsi="Times New Roman"/>
          <w:sz w:val="20"/>
          <w:szCs w:val="20"/>
        </w:rPr>
      </w:pPr>
      <w:r w:rsidRPr="007515CC">
        <w:rPr>
          <w:rFonts w:ascii="Times New Roman" w:hAnsi="Times New Roman"/>
          <w:sz w:val="20"/>
          <w:szCs w:val="20"/>
        </w:rPr>
        <w:lastRenderedPageBreak/>
        <w:t>For F.Y. 2022-23, total expense has significantly increased to ₹ 47,750.35 Lakhs from ₹ 42,194.59 Lakhs in the financial year 2021-22 representing a significant increase of 13.17%. Such increase was due to increase in the volume of business operations of the Company.</w:t>
      </w:r>
    </w:p>
    <w:p w14:paraId="1F151228" w14:textId="77777777" w:rsidR="007515CC" w:rsidRPr="007515CC" w:rsidRDefault="007515CC" w:rsidP="007515CC">
      <w:pPr>
        <w:spacing w:after="0" w:line="240" w:lineRule="auto"/>
        <w:contextualSpacing/>
        <w:jc w:val="both"/>
        <w:rPr>
          <w:rFonts w:ascii="Times New Roman" w:hAnsi="Times New Roman"/>
          <w:b/>
          <w:sz w:val="20"/>
          <w:szCs w:val="20"/>
        </w:rPr>
      </w:pPr>
    </w:p>
    <w:p w14:paraId="06665DE1" w14:textId="77777777" w:rsidR="007515CC" w:rsidRPr="007515CC" w:rsidRDefault="007515CC" w:rsidP="007515CC">
      <w:pPr>
        <w:spacing w:after="0" w:line="240" w:lineRule="auto"/>
        <w:contextualSpacing/>
        <w:jc w:val="both"/>
        <w:rPr>
          <w:rFonts w:ascii="Times New Roman" w:hAnsi="Times New Roman"/>
          <w:b/>
          <w:sz w:val="20"/>
          <w:szCs w:val="20"/>
        </w:rPr>
      </w:pPr>
      <w:r w:rsidRPr="007515CC">
        <w:rPr>
          <w:rFonts w:ascii="Times New Roman" w:hAnsi="Times New Roman"/>
          <w:b/>
          <w:bCs/>
          <w:iCs/>
          <w:sz w:val="20"/>
          <w:szCs w:val="20"/>
        </w:rPr>
        <w:t>Raw material consumption</w:t>
      </w:r>
      <w:r w:rsidRPr="007515CC">
        <w:rPr>
          <w:rFonts w:ascii="Times New Roman" w:hAnsi="Times New Roman"/>
          <w:b/>
          <w:sz w:val="20"/>
          <w:szCs w:val="20"/>
        </w:rPr>
        <w:t>:</w:t>
      </w:r>
    </w:p>
    <w:p w14:paraId="202C2FF2" w14:textId="77777777" w:rsidR="007515CC" w:rsidRPr="007515CC" w:rsidRDefault="007515CC" w:rsidP="007515CC">
      <w:pPr>
        <w:spacing w:after="0" w:line="240" w:lineRule="auto"/>
        <w:contextualSpacing/>
        <w:jc w:val="both"/>
        <w:rPr>
          <w:rFonts w:ascii="Times New Roman" w:hAnsi="Times New Roman"/>
          <w:sz w:val="20"/>
          <w:szCs w:val="20"/>
        </w:rPr>
      </w:pPr>
    </w:p>
    <w:p w14:paraId="5A381B06" w14:textId="77777777" w:rsidR="007515CC" w:rsidRPr="007515CC" w:rsidRDefault="007515CC" w:rsidP="007515CC">
      <w:pPr>
        <w:spacing w:after="0" w:line="240" w:lineRule="auto"/>
        <w:contextualSpacing/>
        <w:jc w:val="both"/>
        <w:rPr>
          <w:rFonts w:ascii="Times New Roman" w:hAnsi="Times New Roman"/>
          <w:sz w:val="20"/>
          <w:szCs w:val="20"/>
        </w:rPr>
      </w:pPr>
      <w:r w:rsidRPr="007515CC">
        <w:rPr>
          <w:rFonts w:ascii="Times New Roman" w:hAnsi="Times New Roman"/>
          <w:sz w:val="20"/>
          <w:szCs w:val="20"/>
        </w:rPr>
        <w:t>For F.Y. 2022-23, raw material consumption was increased to ₹ 45,130.06 lakhs from ₹ 37,024.95 lakhs in the F.Y. 2021-22 representing an increase of 21.89%. Such increase was due to increase in volume of business operations of the Company.</w:t>
      </w:r>
    </w:p>
    <w:p w14:paraId="3571934A" w14:textId="77777777" w:rsidR="007515CC" w:rsidRPr="007515CC" w:rsidRDefault="007515CC" w:rsidP="007515CC">
      <w:pPr>
        <w:spacing w:after="0" w:line="240" w:lineRule="auto"/>
        <w:contextualSpacing/>
        <w:jc w:val="both"/>
        <w:rPr>
          <w:rFonts w:ascii="Times New Roman" w:hAnsi="Times New Roman"/>
          <w:b/>
          <w:sz w:val="20"/>
          <w:szCs w:val="20"/>
        </w:rPr>
      </w:pPr>
    </w:p>
    <w:p w14:paraId="612C5D1D" w14:textId="77777777" w:rsidR="007515CC" w:rsidRPr="007515CC" w:rsidRDefault="007515CC" w:rsidP="007515CC">
      <w:pPr>
        <w:spacing w:after="0" w:line="240" w:lineRule="auto"/>
        <w:contextualSpacing/>
        <w:jc w:val="both"/>
        <w:rPr>
          <w:rFonts w:ascii="Times New Roman" w:hAnsi="Times New Roman"/>
          <w:b/>
          <w:sz w:val="20"/>
          <w:szCs w:val="20"/>
        </w:rPr>
      </w:pPr>
      <w:r w:rsidRPr="007515CC">
        <w:rPr>
          <w:rFonts w:ascii="Times New Roman" w:hAnsi="Times New Roman"/>
          <w:b/>
          <w:bCs/>
          <w:iCs/>
          <w:sz w:val="20"/>
          <w:szCs w:val="20"/>
        </w:rPr>
        <w:t>Change in inventories of finished goods, work in progress and stock in trade</w:t>
      </w:r>
      <w:r w:rsidRPr="007515CC">
        <w:rPr>
          <w:rFonts w:ascii="Times New Roman" w:hAnsi="Times New Roman"/>
          <w:b/>
          <w:sz w:val="20"/>
          <w:szCs w:val="20"/>
        </w:rPr>
        <w:t xml:space="preserve">: </w:t>
      </w:r>
    </w:p>
    <w:p w14:paraId="7DFD1C90" w14:textId="77777777" w:rsidR="007515CC" w:rsidRPr="007515CC" w:rsidRDefault="007515CC" w:rsidP="007515CC">
      <w:pPr>
        <w:spacing w:after="0" w:line="240" w:lineRule="auto"/>
        <w:contextualSpacing/>
        <w:jc w:val="both"/>
        <w:rPr>
          <w:rFonts w:ascii="Times New Roman" w:hAnsi="Times New Roman"/>
          <w:b/>
          <w:sz w:val="20"/>
          <w:szCs w:val="20"/>
        </w:rPr>
      </w:pPr>
    </w:p>
    <w:p w14:paraId="723DCA41" w14:textId="77777777" w:rsidR="007515CC" w:rsidRPr="007515CC" w:rsidRDefault="007515CC" w:rsidP="007515CC">
      <w:pPr>
        <w:spacing w:after="0" w:line="240" w:lineRule="auto"/>
        <w:contextualSpacing/>
        <w:jc w:val="both"/>
        <w:rPr>
          <w:rFonts w:ascii="Times New Roman" w:hAnsi="Times New Roman"/>
          <w:sz w:val="20"/>
          <w:szCs w:val="20"/>
        </w:rPr>
      </w:pPr>
      <w:r w:rsidRPr="007515CC">
        <w:rPr>
          <w:rFonts w:ascii="Times New Roman" w:hAnsi="Times New Roman"/>
          <w:sz w:val="20"/>
          <w:szCs w:val="20"/>
        </w:rPr>
        <w:t>The Change in inventories of finished goods, work in progress and stock in trade for the financial year ended on March 31, 2023 stood at ₹ (0.20) Lakhs. There is increase in the inventory of finished goods, work in progress and stock in trade for financial year 2022-23 as compared to the financial year 2021-22, due to increase in closing stock of finished goods and stock in trade and decrease in work-in-progress as on March 31, 2023.</w:t>
      </w:r>
    </w:p>
    <w:p w14:paraId="478508E3" w14:textId="77777777" w:rsidR="007515CC" w:rsidRPr="007515CC" w:rsidRDefault="007515CC" w:rsidP="007515CC">
      <w:pPr>
        <w:tabs>
          <w:tab w:val="left" w:pos="2592"/>
        </w:tabs>
        <w:spacing w:after="0" w:line="240" w:lineRule="auto"/>
        <w:contextualSpacing/>
        <w:jc w:val="both"/>
        <w:rPr>
          <w:rFonts w:ascii="Times New Roman" w:hAnsi="Times New Roman"/>
          <w:sz w:val="20"/>
          <w:szCs w:val="20"/>
        </w:rPr>
      </w:pPr>
      <w:r w:rsidRPr="007515CC">
        <w:rPr>
          <w:rFonts w:ascii="Times New Roman" w:hAnsi="Times New Roman"/>
          <w:sz w:val="20"/>
          <w:szCs w:val="20"/>
        </w:rPr>
        <w:tab/>
      </w:r>
    </w:p>
    <w:p w14:paraId="55B2CE3F" w14:textId="77777777" w:rsidR="007515CC" w:rsidRPr="007515CC" w:rsidRDefault="007515CC" w:rsidP="007515CC">
      <w:pPr>
        <w:spacing w:after="0" w:line="240" w:lineRule="auto"/>
        <w:contextualSpacing/>
        <w:jc w:val="both"/>
        <w:rPr>
          <w:rFonts w:ascii="Times New Roman" w:hAnsi="Times New Roman"/>
          <w:sz w:val="20"/>
          <w:szCs w:val="20"/>
        </w:rPr>
      </w:pPr>
      <w:r w:rsidRPr="007515CC">
        <w:rPr>
          <w:rFonts w:ascii="Times New Roman" w:hAnsi="Times New Roman"/>
          <w:b/>
          <w:sz w:val="20"/>
          <w:szCs w:val="20"/>
        </w:rPr>
        <w:t xml:space="preserve">Employee benefits expense: </w:t>
      </w:r>
    </w:p>
    <w:p w14:paraId="479F224D" w14:textId="77777777" w:rsidR="007515CC" w:rsidRPr="007515CC" w:rsidRDefault="007515CC" w:rsidP="007515CC">
      <w:pPr>
        <w:spacing w:after="0" w:line="240" w:lineRule="auto"/>
        <w:contextualSpacing/>
        <w:jc w:val="both"/>
        <w:rPr>
          <w:rFonts w:ascii="Times New Roman" w:hAnsi="Times New Roman"/>
          <w:sz w:val="20"/>
          <w:szCs w:val="20"/>
        </w:rPr>
      </w:pPr>
    </w:p>
    <w:p w14:paraId="3EF3AE87" w14:textId="77777777" w:rsidR="007515CC" w:rsidRPr="007515CC" w:rsidRDefault="007515CC" w:rsidP="007515CC">
      <w:pPr>
        <w:spacing w:after="0" w:line="240" w:lineRule="auto"/>
        <w:contextualSpacing/>
        <w:jc w:val="both"/>
        <w:rPr>
          <w:rFonts w:ascii="Times New Roman" w:hAnsi="Times New Roman"/>
          <w:sz w:val="20"/>
          <w:szCs w:val="20"/>
        </w:rPr>
      </w:pPr>
      <w:r w:rsidRPr="007515CC">
        <w:rPr>
          <w:rFonts w:ascii="Times New Roman" w:hAnsi="Times New Roman"/>
          <w:sz w:val="20"/>
          <w:szCs w:val="20"/>
        </w:rPr>
        <w:t>Our Company has incurred employee benefits expenses of ₹ 342.03 Lakhs during the financial year 2022-23 as compared to ₹ 325.32 Lakhs in the financial year 2021-22, representing an increase of 5.14%. The said increase is due the increase in salaries and wages.</w:t>
      </w:r>
    </w:p>
    <w:p w14:paraId="257B409E" w14:textId="77777777" w:rsidR="007515CC" w:rsidRPr="007515CC" w:rsidRDefault="007515CC" w:rsidP="007515CC">
      <w:pPr>
        <w:spacing w:after="0" w:line="240" w:lineRule="auto"/>
        <w:contextualSpacing/>
        <w:jc w:val="both"/>
        <w:rPr>
          <w:rFonts w:ascii="Times New Roman" w:hAnsi="Times New Roman"/>
          <w:b/>
          <w:sz w:val="20"/>
          <w:szCs w:val="20"/>
        </w:rPr>
      </w:pPr>
    </w:p>
    <w:p w14:paraId="046AC37F" w14:textId="77777777" w:rsidR="007515CC" w:rsidRPr="007515CC" w:rsidRDefault="007515CC" w:rsidP="007515CC">
      <w:pPr>
        <w:spacing w:after="0" w:line="240" w:lineRule="auto"/>
        <w:contextualSpacing/>
        <w:jc w:val="both"/>
        <w:rPr>
          <w:rFonts w:ascii="Times New Roman" w:hAnsi="Times New Roman"/>
          <w:sz w:val="20"/>
          <w:szCs w:val="20"/>
        </w:rPr>
      </w:pPr>
      <w:r w:rsidRPr="007515CC">
        <w:rPr>
          <w:rFonts w:ascii="Times New Roman" w:hAnsi="Times New Roman"/>
          <w:b/>
          <w:sz w:val="20"/>
          <w:szCs w:val="20"/>
        </w:rPr>
        <w:t xml:space="preserve">Finance costs: </w:t>
      </w:r>
    </w:p>
    <w:p w14:paraId="0EDA874D" w14:textId="77777777" w:rsidR="007515CC" w:rsidRPr="007515CC" w:rsidRDefault="007515CC" w:rsidP="007515CC">
      <w:pPr>
        <w:spacing w:after="0" w:line="240" w:lineRule="auto"/>
        <w:contextualSpacing/>
        <w:jc w:val="both"/>
        <w:rPr>
          <w:rFonts w:ascii="Times New Roman" w:hAnsi="Times New Roman"/>
          <w:sz w:val="20"/>
          <w:szCs w:val="20"/>
        </w:rPr>
      </w:pPr>
    </w:p>
    <w:p w14:paraId="7085563C" w14:textId="77777777" w:rsidR="007515CC" w:rsidRPr="007515CC" w:rsidRDefault="007515CC" w:rsidP="007515CC">
      <w:pPr>
        <w:spacing w:after="0" w:line="240" w:lineRule="auto"/>
        <w:contextualSpacing/>
        <w:jc w:val="both"/>
        <w:rPr>
          <w:rFonts w:ascii="Times New Roman" w:hAnsi="Times New Roman"/>
          <w:sz w:val="20"/>
          <w:szCs w:val="20"/>
        </w:rPr>
      </w:pPr>
      <w:r w:rsidRPr="007515CC">
        <w:rPr>
          <w:rFonts w:ascii="Times New Roman" w:hAnsi="Times New Roman"/>
          <w:sz w:val="20"/>
          <w:szCs w:val="20"/>
        </w:rPr>
        <w:t>Finance costs for the F.Y. 2022-23 has increased to ₹ 442.82 Lakhs as against ₹ 245.24 Lakhs during the financial year 2021-22, representing an increase of 80.56%, which is mainly due to the increase in Interest Expenses.</w:t>
      </w:r>
    </w:p>
    <w:p w14:paraId="464A1DA7" w14:textId="77777777" w:rsidR="007515CC" w:rsidRPr="007515CC" w:rsidRDefault="007515CC" w:rsidP="007515CC">
      <w:pPr>
        <w:spacing w:after="0" w:line="240" w:lineRule="auto"/>
        <w:contextualSpacing/>
        <w:jc w:val="both"/>
        <w:rPr>
          <w:rFonts w:ascii="Times New Roman" w:hAnsi="Times New Roman"/>
          <w:sz w:val="20"/>
          <w:szCs w:val="20"/>
        </w:rPr>
      </w:pPr>
    </w:p>
    <w:p w14:paraId="24607233" w14:textId="77777777" w:rsidR="007515CC" w:rsidRPr="007515CC" w:rsidRDefault="007515CC" w:rsidP="007515CC">
      <w:pPr>
        <w:spacing w:after="0" w:line="240" w:lineRule="auto"/>
        <w:contextualSpacing/>
        <w:jc w:val="both"/>
        <w:rPr>
          <w:rFonts w:ascii="Times New Roman" w:hAnsi="Times New Roman"/>
          <w:b/>
          <w:bCs/>
          <w:sz w:val="20"/>
          <w:szCs w:val="20"/>
        </w:rPr>
      </w:pPr>
      <w:r w:rsidRPr="007515CC">
        <w:rPr>
          <w:rFonts w:ascii="Times New Roman" w:hAnsi="Times New Roman"/>
          <w:b/>
          <w:bCs/>
          <w:sz w:val="20"/>
          <w:szCs w:val="20"/>
        </w:rPr>
        <w:t>Depreciation and Amortization Expenses:</w:t>
      </w:r>
    </w:p>
    <w:p w14:paraId="2309E2E6" w14:textId="77777777" w:rsidR="007515CC" w:rsidRPr="007515CC" w:rsidRDefault="007515CC" w:rsidP="007515CC">
      <w:pPr>
        <w:spacing w:after="0" w:line="240" w:lineRule="auto"/>
        <w:contextualSpacing/>
        <w:jc w:val="both"/>
        <w:rPr>
          <w:rFonts w:ascii="Times New Roman" w:hAnsi="Times New Roman"/>
          <w:b/>
          <w:bCs/>
          <w:sz w:val="20"/>
          <w:szCs w:val="20"/>
        </w:rPr>
      </w:pPr>
    </w:p>
    <w:p w14:paraId="4D525943" w14:textId="77777777" w:rsidR="007515CC" w:rsidRPr="007515CC" w:rsidRDefault="007515CC" w:rsidP="007515CC">
      <w:pPr>
        <w:spacing w:after="0" w:line="240" w:lineRule="auto"/>
        <w:contextualSpacing/>
        <w:jc w:val="both"/>
        <w:rPr>
          <w:rFonts w:ascii="Times New Roman" w:hAnsi="Times New Roman"/>
          <w:sz w:val="20"/>
          <w:szCs w:val="20"/>
        </w:rPr>
      </w:pPr>
      <w:r w:rsidRPr="007515CC">
        <w:rPr>
          <w:rFonts w:ascii="Times New Roman" w:hAnsi="Times New Roman"/>
          <w:sz w:val="20"/>
          <w:szCs w:val="20"/>
        </w:rPr>
        <w:t>Depreciation for F.Y. 2022-23 stood at ₹ 169.07 Lakhs as against ₹ 177.68 Lakhs during the financial year 2021-22, representing a decrease of 4.85% due to no significant addition in assets in F.Y. 2022-23.</w:t>
      </w:r>
    </w:p>
    <w:p w14:paraId="6B3732A8" w14:textId="77777777" w:rsidR="007515CC" w:rsidRPr="007515CC" w:rsidRDefault="007515CC" w:rsidP="007515CC">
      <w:pPr>
        <w:spacing w:after="0" w:line="240" w:lineRule="auto"/>
        <w:contextualSpacing/>
        <w:jc w:val="both"/>
        <w:rPr>
          <w:rFonts w:ascii="Times New Roman" w:hAnsi="Times New Roman"/>
          <w:sz w:val="20"/>
          <w:szCs w:val="20"/>
        </w:rPr>
      </w:pPr>
    </w:p>
    <w:p w14:paraId="3F9F56A2" w14:textId="77777777" w:rsidR="007515CC" w:rsidRPr="007515CC" w:rsidRDefault="007515CC" w:rsidP="007515CC">
      <w:pPr>
        <w:spacing w:after="0" w:line="240" w:lineRule="auto"/>
        <w:contextualSpacing/>
        <w:jc w:val="both"/>
        <w:rPr>
          <w:rFonts w:ascii="Times New Roman" w:hAnsi="Times New Roman"/>
          <w:sz w:val="20"/>
          <w:szCs w:val="20"/>
        </w:rPr>
      </w:pPr>
      <w:r w:rsidRPr="007515CC">
        <w:rPr>
          <w:rFonts w:ascii="Times New Roman" w:hAnsi="Times New Roman"/>
          <w:b/>
          <w:sz w:val="20"/>
          <w:szCs w:val="20"/>
        </w:rPr>
        <w:t>Other Expenses:</w:t>
      </w:r>
    </w:p>
    <w:p w14:paraId="5ECB6B94" w14:textId="77777777" w:rsidR="007515CC" w:rsidRPr="007515CC" w:rsidRDefault="007515CC" w:rsidP="007515CC">
      <w:pPr>
        <w:spacing w:after="0" w:line="240" w:lineRule="auto"/>
        <w:contextualSpacing/>
        <w:jc w:val="both"/>
        <w:rPr>
          <w:rFonts w:ascii="Times New Roman" w:hAnsi="Times New Roman"/>
          <w:sz w:val="20"/>
          <w:szCs w:val="20"/>
        </w:rPr>
      </w:pPr>
    </w:p>
    <w:p w14:paraId="3CEAE7BB" w14:textId="77777777" w:rsidR="007515CC" w:rsidRPr="007515CC" w:rsidRDefault="007515CC" w:rsidP="007515CC">
      <w:pPr>
        <w:spacing w:after="0" w:line="240" w:lineRule="auto"/>
        <w:contextualSpacing/>
        <w:jc w:val="both"/>
        <w:rPr>
          <w:rFonts w:ascii="Times New Roman" w:hAnsi="Times New Roman"/>
          <w:sz w:val="20"/>
          <w:szCs w:val="20"/>
        </w:rPr>
      </w:pPr>
      <w:r w:rsidRPr="007515CC">
        <w:rPr>
          <w:rFonts w:ascii="Times New Roman" w:hAnsi="Times New Roman"/>
          <w:sz w:val="20"/>
          <w:szCs w:val="20"/>
        </w:rPr>
        <w:t>For F.Y. 2022-23, other expenses were ₹ 2621.92 Lakhs as against ₹ 3,829.13 Lakhs during the financial year 2021-22. The decrease of 31.53% was mainly due to decrease in job work charges and sundry balance written off expenses.</w:t>
      </w:r>
    </w:p>
    <w:p w14:paraId="1AC8B80B" w14:textId="77777777" w:rsidR="007515CC" w:rsidRPr="007515CC" w:rsidRDefault="007515CC" w:rsidP="007515CC">
      <w:pPr>
        <w:spacing w:after="0" w:line="240" w:lineRule="auto"/>
        <w:contextualSpacing/>
        <w:jc w:val="both"/>
        <w:rPr>
          <w:rFonts w:ascii="Times New Roman" w:hAnsi="Times New Roman"/>
          <w:sz w:val="20"/>
          <w:szCs w:val="20"/>
        </w:rPr>
      </w:pPr>
    </w:p>
    <w:p w14:paraId="21493FEF" w14:textId="77777777" w:rsidR="007515CC" w:rsidRPr="007515CC" w:rsidRDefault="007515CC" w:rsidP="007515CC">
      <w:pPr>
        <w:spacing w:after="0" w:line="240" w:lineRule="auto"/>
        <w:contextualSpacing/>
        <w:jc w:val="both"/>
        <w:rPr>
          <w:rFonts w:ascii="Times New Roman" w:hAnsi="Times New Roman"/>
          <w:sz w:val="20"/>
          <w:szCs w:val="20"/>
        </w:rPr>
      </w:pPr>
      <w:r w:rsidRPr="007515CC">
        <w:rPr>
          <w:rFonts w:ascii="Times New Roman" w:hAnsi="Times New Roman"/>
          <w:b/>
          <w:sz w:val="20"/>
          <w:szCs w:val="20"/>
        </w:rPr>
        <w:t xml:space="preserve">Restated Profit/ (Loss) before tax: </w:t>
      </w:r>
    </w:p>
    <w:p w14:paraId="122687AC" w14:textId="77777777" w:rsidR="007515CC" w:rsidRPr="007515CC" w:rsidRDefault="007515CC" w:rsidP="007515CC">
      <w:pPr>
        <w:spacing w:after="0" w:line="240" w:lineRule="auto"/>
        <w:contextualSpacing/>
        <w:jc w:val="both"/>
        <w:rPr>
          <w:rFonts w:ascii="Times New Roman" w:hAnsi="Times New Roman"/>
          <w:sz w:val="20"/>
          <w:szCs w:val="20"/>
        </w:rPr>
      </w:pPr>
    </w:p>
    <w:p w14:paraId="6B2F8EC6" w14:textId="22A3A0B0" w:rsidR="007515CC" w:rsidRPr="007515CC" w:rsidRDefault="007515CC" w:rsidP="007515CC">
      <w:pPr>
        <w:spacing w:after="0" w:line="240" w:lineRule="auto"/>
        <w:contextualSpacing/>
        <w:jc w:val="both"/>
        <w:rPr>
          <w:rFonts w:ascii="Times New Roman" w:hAnsi="Times New Roman"/>
          <w:sz w:val="20"/>
          <w:szCs w:val="20"/>
        </w:rPr>
      </w:pPr>
      <w:r w:rsidRPr="007515CC">
        <w:rPr>
          <w:rFonts w:ascii="Times New Roman" w:hAnsi="Times New Roman"/>
          <w:sz w:val="20"/>
          <w:szCs w:val="20"/>
        </w:rPr>
        <w:t>For financial year 2022-23, it has increased to ₹ 1080.56 Lakhs as compared to ₹ 449.75 Lakhs in the financial year 2021-22, representing an increase of 140.26% majorly due to:</w:t>
      </w:r>
    </w:p>
    <w:p w14:paraId="1A85321A" w14:textId="77777777" w:rsidR="007515CC" w:rsidRPr="007515CC" w:rsidRDefault="007515CC" w:rsidP="007515CC">
      <w:pPr>
        <w:spacing w:after="0" w:line="240" w:lineRule="auto"/>
        <w:contextualSpacing/>
        <w:jc w:val="both"/>
        <w:rPr>
          <w:rFonts w:ascii="Times New Roman" w:hAnsi="Times New Roman"/>
          <w:sz w:val="20"/>
          <w:szCs w:val="20"/>
        </w:rPr>
      </w:pPr>
    </w:p>
    <w:p w14:paraId="02DFBFC7" w14:textId="4F5DA64B" w:rsidR="007515CC" w:rsidRPr="007515CC" w:rsidRDefault="007515CC">
      <w:pPr>
        <w:pStyle w:val="ListParagraph"/>
        <w:numPr>
          <w:ilvl w:val="2"/>
          <w:numId w:val="332"/>
        </w:numPr>
        <w:spacing w:line="240" w:lineRule="auto"/>
        <w:ind w:left="450"/>
        <w:contextualSpacing/>
        <w:jc w:val="both"/>
        <w:rPr>
          <w:sz w:val="20"/>
          <w:szCs w:val="20"/>
        </w:rPr>
      </w:pPr>
      <w:r w:rsidRPr="007515CC">
        <w:rPr>
          <w:sz w:val="20"/>
          <w:szCs w:val="20"/>
        </w:rPr>
        <w:t xml:space="preserve">Total income of the company has increased from </w:t>
      </w:r>
      <w:r w:rsidR="001706A2" w:rsidRPr="00712F3C">
        <w:rPr>
          <w:rFonts w:eastAsia="MS Mincho"/>
          <w:sz w:val="20"/>
          <w:szCs w:val="20"/>
        </w:rPr>
        <w:t>₹</w:t>
      </w:r>
      <w:r w:rsidRPr="007515CC">
        <w:rPr>
          <w:sz w:val="20"/>
          <w:szCs w:val="20"/>
        </w:rPr>
        <w:t xml:space="preserve"> 42644.34 lakhs in F.Y. 2021-22 to</w:t>
      </w:r>
      <w:r w:rsidR="001706A2">
        <w:rPr>
          <w:sz w:val="20"/>
          <w:szCs w:val="20"/>
          <w:lang w:val="en-US"/>
        </w:rPr>
        <w:t xml:space="preserve"> </w:t>
      </w:r>
      <w:r w:rsidR="001706A2" w:rsidRPr="00712F3C">
        <w:rPr>
          <w:rFonts w:eastAsia="MS Mincho"/>
          <w:sz w:val="20"/>
          <w:szCs w:val="20"/>
        </w:rPr>
        <w:t>₹</w:t>
      </w:r>
      <w:r w:rsidR="001706A2">
        <w:rPr>
          <w:rFonts w:eastAsia="MS Mincho"/>
          <w:sz w:val="20"/>
          <w:szCs w:val="20"/>
          <w:lang w:val="en-US"/>
        </w:rPr>
        <w:t xml:space="preserve"> </w:t>
      </w:r>
      <w:r w:rsidRPr="007515CC">
        <w:rPr>
          <w:sz w:val="20"/>
          <w:szCs w:val="20"/>
        </w:rPr>
        <w:t>49786.27 lakhs in F.Y. 2022-23.</w:t>
      </w:r>
    </w:p>
    <w:p w14:paraId="5CCCEED6" w14:textId="77777777" w:rsidR="007515CC" w:rsidRPr="007515CC" w:rsidRDefault="007515CC" w:rsidP="007515CC">
      <w:pPr>
        <w:spacing w:after="0" w:line="240" w:lineRule="auto"/>
        <w:ind w:left="450"/>
        <w:contextualSpacing/>
        <w:jc w:val="both"/>
        <w:rPr>
          <w:rFonts w:ascii="Times New Roman" w:hAnsi="Times New Roman"/>
          <w:sz w:val="20"/>
          <w:szCs w:val="20"/>
        </w:rPr>
      </w:pPr>
    </w:p>
    <w:p w14:paraId="3CF374C4" w14:textId="00B04ED9" w:rsidR="007515CC" w:rsidRPr="007515CC" w:rsidRDefault="007515CC">
      <w:pPr>
        <w:pStyle w:val="ListParagraph"/>
        <w:numPr>
          <w:ilvl w:val="2"/>
          <w:numId w:val="332"/>
        </w:numPr>
        <w:spacing w:line="240" w:lineRule="auto"/>
        <w:ind w:left="450"/>
        <w:contextualSpacing/>
        <w:jc w:val="both"/>
        <w:rPr>
          <w:sz w:val="20"/>
          <w:szCs w:val="20"/>
        </w:rPr>
      </w:pPr>
      <w:r w:rsidRPr="007515CC">
        <w:rPr>
          <w:sz w:val="20"/>
          <w:szCs w:val="20"/>
        </w:rPr>
        <w:t xml:space="preserve">EBITDA margin has increased from 1.21% in F.Y. 2021-22 to 2.35% in F.Y. 2022-23, since the total expenses has not increased in proportion in F.Y. 2022-23 as compared to F.Y. 2021-22. </w:t>
      </w:r>
    </w:p>
    <w:p w14:paraId="62D358B2" w14:textId="77777777" w:rsidR="007515CC" w:rsidRPr="007515CC" w:rsidRDefault="007515CC" w:rsidP="007515CC">
      <w:pPr>
        <w:spacing w:after="0" w:line="240" w:lineRule="auto"/>
        <w:contextualSpacing/>
        <w:jc w:val="both"/>
        <w:rPr>
          <w:rFonts w:ascii="Times New Roman" w:hAnsi="Times New Roman"/>
          <w:sz w:val="20"/>
          <w:szCs w:val="20"/>
        </w:rPr>
      </w:pPr>
    </w:p>
    <w:p w14:paraId="60FE882B" w14:textId="77777777" w:rsidR="007515CC" w:rsidRPr="007515CC" w:rsidRDefault="007515CC" w:rsidP="007515CC">
      <w:pPr>
        <w:spacing w:after="0" w:line="240" w:lineRule="auto"/>
        <w:contextualSpacing/>
        <w:jc w:val="both"/>
        <w:rPr>
          <w:rFonts w:ascii="Times New Roman" w:hAnsi="Times New Roman"/>
          <w:b/>
          <w:i/>
          <w:sz w:val="20"/>
          <w:szCs w:val="20"/>
        </w:rPr>
      </w:pPr>
      <w:r w:rsidRPr="007515CC">
        <w:rPr>
          <w:rFonts w:ascii="Times New Roman" w:hAnsi="Times New Roman"/>
          <w:b/>
          <w:sz w:val="20"/>
          <w:szCs w:val="20"/>
        </w:rPr>
        <w:t>Restated Profit/ (Loss) after tax</w:t>
      </w:r>
      <w:r w:rsidRPr="007515CC">
        <w:rPr>
          <w:rFonts w:ascii="Times New Roman" w:hAnsi="Times New Roman"/>
          <w:b/>
          <w:i/>
          <w:sz w:val="20"/>
          <w:szCs w:val="20"/>
        </w:rPr>
        <w:t>:</w:t>
      </w:r>
    </w:p>
    <w:p w14:paraId="1FBABBDB" w14:textId="77777777" w:rsidR="007515CC" w:rsidRPr="007515CC" w:rsidRDefault="007515CC" w:rsidP="007515CC">
      <w:pPr>
        <w:spacing w:after="0" w:line="240" w:lineRule="auto"/>
        <w:contextualSpacing/>
        <w:jc w:val="both"/>
        <w:rPr>
          <w:rFonts w:ascii="Times New Roman" w:hAnsi="Times New Roman"/>
          <w:sz w:val="20"/>
          <w:szCs w:val="20"/>
        </w:rPr>
      </w:pPr>
    </w:p>
    <w:p w14:paraId="59C5790E" w14:textId="77777777" w:rsidR="007515CC" w:rsidRPr="007515CC" w:rsidRDefault="007515CC" w:rsidP="007515CC">
      <w:pPr>
        <w:spacing w:after="0" w:line="240" w:lineRule="auto"/>
        <w:jc w:val="both"/>
        <w:rPr>
          <w:rFonts w:ascii="Times New Roman" w:hAnsi="Times New Roman"/>
          <w:sz w:val="20"/>
          <w:szCs w:val="20"/>
        </w:rPr>
      </w:pPr>
      <w:r w:rsidRPr="007515CC">
        <w:rPr>
          <w:rFonts w:ascii="Times New Roman" w:hAnsi="Times New Roman"/>
          <w:sz w:val="20"/>
          <w:szCs w:val="20"/>
        </w:rPr>
        <w:t>The Company reported Restated Profit after tax for the financial year 2022-23 at ₹ 765.42 Lakhs in comparison to ₹</w:t>
      </w:r>
      <w:r w:rsidRPr="007515CC">
        <w:rPr>
          <w:rFonts w:ascii="Times New Roman" w:hAnsi="Times New Roman"/>
          <w:color w:val="000000"/>
          <w:sz w:val="20"/>
          <w:szCs w:val="20"/>
          <w:lang w:val="en-IN" w:eastAsia="en-IN"/>
        </w:rPr>
        <w:t xml:space="preserve"> 322.47 </w:t>
      </w:r>
      <w:r w:rsidRPr="007515CC">
        <w:rPr>
          <w:rFonts w:ascii="Times New Roman" w:hAnsi="Times New Roman"/>
          <w:sz w:val="20"/>
          <w:szCs w:val="20"/>
        </w:rPr>
        <w:t>Lakhs in the financial year 2021-22, representing an increase of 137.36% majorly due to:-</w:t>
      </w:r>
    </w:p>
    <w:p w14:paraId="07C1E648" w14:textId="77777777" w:rsidR="007515CC" w:rsidRPr="007515CC" w:rsidRDefault="007515CC" w:rsidP="007515CC">
      <w:pPr>
        <w:spacing w:after="0" w:line="240" w:lineRule="auto"/>
        <w:jc w:val="both"/>
        <w:rPr>
          <w:rFonts w:ascii="Times New Roman" w:hAnsi="Times New Roman"/>
          <w:sz w:val="20"/>
          <w:szCs w:val="20"/>
        </w:rPr>
      </w:pPr>
    </w:p>
    <w:p w14:paraId="34AC039E" w14:textId="36D0649D" w:rsidR="007515CC" w:rsidRPr="007515CC" w:rsidRDefault="007515CC">
      <w:pPr>
        <w:pStyle w:val="ListParagraph"/>
        <w:numPr>
          <w:ilvl w:val="2"/>
          <w:numId w:val="332"/>
        </w:numPr>
        <w:spacing w:line="240" w:lineRule="auto"/>
        <w:ind w:left="450"/>
        <w:contextualSpacing/>
        <w:jc w:val="both"/>
        <w:rPr>
          <w:sz w:val="20"/>
          <w:szCs w:val="20"/>
        </w:rPr>
      </w:pPr>
      <w:r w:rsidRPr="007515CC">
        <w:rPr>
          <w:sz w:val="20"/>
          <w:szCs w:val="20"/>
        </w:rPr>
        <w:t>Total income of the company has increased from ₹ 42644.34 lakhs in F.Y. 2021-22 to ₹ 49786.27 lakhs in F.Y. 2022-23.</w:t>
      </w:r>
    </w:p>
    <w:p w14:paraId="4613855C" w14:textId="77777777" w:rsidR="007515CC" w:rsidRPr="007515CC" w:rsidRDefault="007515CC" w:rsidP="007515CC">
      <w:pPr>
        <w:pStyle w:val="ListParagraph"/>
        <w:spacing w:line="240" w:lineRule="auto"/>
        <w:ind w:left="450"/>
        <w:contextualSpacing/>
        <w:jc w:val="both"/>
        <w:rPr>
          <w:sz w:val="20"/>
          <w:szCs w:val="20"/>
        </w:rPr>
      </w:pPr>
    </w:p>
    <w:p w14:paraId="75F006C4" w14:textId="6E3BC2F6" w:rsidR="007515CC" w:rsidRPr="007515CC" w:rsidRDefault="007515CC">
      <w:pPr>
        <w:pStyle w:val="ListParagraph"/>
        <w:numPr>
          <w:ilvl w:val="2"/>
          <w:numId w:val="332"/>
        </w:numPr>
        <w:spacing w:line="240" w:lineRule="auto"/>
        <w:ind w:left="450"/>
        <w:contextualSpacing/>
        <w:jc w:val="both"/>
        <w:rPr>
          <w:sz w:val="20"/>
          <w:szCs w:val="20"/>
        </w:rPr>
      </w:pPr>
      <w:r w:rsidRPr="007515CC">
        <w:rPr>
          <w:sz w:val="20"/>
          <w:szCs w:val="20"/>
        </w:rPr>
        <w:t xml:space="preserve">EBITDA margin has increased from 1.21% in F.Y. 2021-22 to 2.35% in F.Y. 2022-23, since the total expenses has not increased in proportion in F.Y. 2022-23 as compared to F.Y. 2021-22. </w:t>
      </w:r>
    </w:p>
    <w:p w14:paraId="14408012" w14:textId="77777777" w:rsidR="007515CC" w:rsidRPr="007515CC" w:rsidRDefault="007515CC" w:rsidP="007515CC">
      <w:pPr>
        <w:spacing w:after="0" w:line="240" w:lineRule="auto"/>
        <w:jc w:val="both"/>
        <w:rPr>
          <w:rFonts w:ascii="Times New Roman" w:hAnsi="Times New Roman"/>
          <w:sz w:val="20"/>
          <w:szCs w:val="20"/>
        </w:rPr>
      </w:pPr>
    </w:p>
    <w:p w14:paraId="097DF78D" w14:textId="77777777" w:rsidR="007515CC" w:rsidRPr="007515CC" w:rsidRDefault="007515CC" w:rsidP="007515CC">
      <w:pPr>
        <w:spacing w:after="0" w:line="240" w:lineRule="auto"/>
        <w:contextualSpacing/>
        <w:jc w:val="both"/>
        <w:rPr>
          <w:rFonts w:ascii="Times New Roman" w:hAnsi="Times New Roman"/>
          <w:b/>
          <w:sz w:val="20"/>
          <w:szCs w:val="20"/>
          <w:u w:val="single"/>
        </w:rPr>
      </w:pPr>
      <w:r w:rsidRPr="007515CC">
        <w:rPr>
          <w:rFonts w:ascii="Times New Roman" w:hAnsi="Times New Roman"/>
          <w:b/>
          <w:sz w:val="20"/>
          <w:szCs w:val="20"/>
          <w:u w:val="single"/>
        </w:rPr>
        <w:t xml:space="preserve">Financial Year 2022 Compared to Financial Year 2021 </w:t>
      </w:r>
      <w:r w:rsidRPr="007515CC">
        <w:rPr>
          <w:rFonts w:ascii="Times New Roman" w:hAnsi="Times New Roman"/>
          <w:b/>
          <w:i/>
          <w:sz w:val="20"/>
          <w:szCs w:val="20"/>
          <w:u w:val="single"/>
        </w:rPr>
        <w:t>(Based on Restated Financial Statements)</w:t>
      </w:r>
    </w:p>
    <w:p w14:paraId="408E9ADD" w14:textId="77777777" w:rsidR="007515CC" w:rsidRPr="007515CC" w:rsidRDefault="007515CC" w:rsidP="007515CC">
      <w:pPr>
        <w:spacing w:after="0" w:line="240" w:lineRule="auto"/>
        <w:contextualSpacing/>
        <w:jc w:val="both"/>
        <w:rPr>
          <w:rFonts w:ascii="Times New Roman" w:hAnsi="Times New Roman"/>
          <w:sz w:val="20"/>
          <w:szCs w:val="20"/>
        </w:rPr>
      </w:pPr>
    </w:p>
    <w:p w14:paraId="39D7E46E" w14:textId="77777777" w:rsidR="007515CC" w:rsidRPr="007515CC" w:rsidRDefault="007515CC" w:rsidP="007515CC">
      <w:pPr>
        <w:spacing w:after="0" w:line="240" w:lineRule="auto"/>
        <w:contextualSpacing/>
        <w:jc w:val="both"/>
        <w:rPr>
          <w:rFonts w:ascii="Times New Roman" w:hAnsi="Times New Roman"/>
          <w:b/>
          <w:sz w:val="20"/>
          <w:szCs w:val="20"/>
        </w:rPr>
      </w:pPr>
      <w:r w:rsidRPr="007515CC">
        <w:rPr>
          <w:rFonts w:ascii="Times New Roman" w:hAnsi="Times New Roman"/>
          <w:b/>
          <w:sz w:val="20"/>
          <w:szCs w:val="20"/>
        </w:rPr>
        <w:t>Total Income:</w:t>
      </w:r>
    </w:p>
    <w:p w14:paraId="2A632921" w14:textId="77777777" w:rsidR="007515CC" w:rsidRPr="007515CC" w:rsidRDefault="007515CC" w:rsidP="007515CC">
      <w:pPr>
        <w:spacing w:after="0" w:line="240" w:lineRule="auto"/>
        <w:contextualSpacing/>
        <w:jc w:val="both"/>
        <w:rPr>
          <w:rFonts w:ascii="Times New Roman" w:hAnsi="Times New Roman"/>
          <w:sz w:val="20"/>
          <w:szCs w:val="20"/>
        </w:rPr>
      </w:pPr>
    </w:p>
    <w:p w14:paraId="392D904F" w14:textId="5F29565B" w:rsidR="007515CC" w:rsidRPr="007515CC" w:rsidRDefault="007515CC" w:rsidP="007515CC">
      <w:pPr>
        <w:spacing w:after="0" w:line="240" w:lineRule="auto"/>
        <w:contextualSpacing/>
        <w:jc w:val="both"/>
        <w:rPr>
          <w:rFonts w:ascii="Times New Roman" w:hAnsi="Times New Roman"/>
          <w:sz w:val="20"/>
          <w:szCs w:val="20"/>
        </w:rPr>
      </w:pPr>
      <w:r w:rsidRPr="007515CC">
        <w:rPr>
          <w:rFonts w:ascii="Times New Roman" w:hAnsi="Times New Roman"/>
          <w:sz w:val="20"/>
          <w:szCs w:val="20"/>
        </w:rPr>
        <w:t>Total income for the financial year 2021-22 stood at ₹ 42,644.34 Lakhs as compared to ₹ 13,972.93 Lakhs in Financial Year 2020-21 representing an increase of 205.19% which was on account of below reasons:</w:t>
      </w:r>
    </w:p>
    <w:p w14:paraId="2405FED1" w14:textId="77777777" w:rsidR="007515CC" w:rsidRPr="007515CC" w:rsidRDefault="007515CC" w:rsidP="007515CC">
      <w:pPr>
        <w:spacing w:after="0" w:line="240" w:lineRule="auto"/>
        <w:contextualSpacing/>
        <w:jc w:val="both"/>
        <w:rPr>
          <w:rFonts w:ascii="Times New Roman" w:hAnsi="Times New Roman"/>
          <w:sz w:val="20"/>
          <w:szCs w:val="20"/>
        </w:rPr>
      </w:pPr>
    </w:p>
    <w:p w14:paraId="150D62C8" w14:textId="2C91B1E9" w:rsidR="007515CC" w:rsidRPr="007515CC" w:rsidRDefault="007515CC">
      <w:pPr>
        <w:numPr>
          <w:ilvl w:val="0"/>
          <w:numId w:val="356"/>
        </w:numPr>
        <w:spacing w:after="0" w:line="240" w:lineRule="auto"/>
        <w:contextualSpacing/>
        <w:jc w:val="both"/>
        <w:rPr>
          <w:rFonts w:ascii="Times New Roman" w:hAnsi="Times New Roman"/>
          <w:sz w:val="20"/>
          <w:szCs w:val="20"/>
          <w:lang w:val="x-none"/>
        </w:rPr>
      </w:pPr>
      <w:r w:rsidRPr="007515CC">
        <w:rPr>
          <w:rFonts w:ascii="Times New Roman" w:hAnsi="Times New Roman"/>
          <w:sz w:val="20"/>
          <w:szCs w:val="20"/>
        </w:rPr>
        <w:lastRenderedPageBreak/>
        <w:t>Increase in revenue from segregated scrap from ₹ 6078.15 lakhs in FY 2020-21 to ₹ 23442.30 lakhs in F.Y. 2021-22, representing an increase of 285.68% (y-o-y)</w:t>
      </w:r>
    </w:p>
    <w:p w14:paraId="3D9357BE" w14:textId="77777777" w:rsidR="007515CC" w:rsidRPr="007515CC" w:rsidRDefault="007515CC" w:rsidP="007515CC">
      <w:pPr>
        <w:spacing w:after="0" w:line="240" w:lineRule="auto"/>
        <w:contextualSpacing/>
        <w:jc w:val="both"/>
        <w:rPr>
          <w:rFonts w:ascii="Times New Roman" w:hAnsi="Times New Roman"/>
          <w:sz w:val="20"/>
          <w:szCs w:val="20"/>
          <w:lang w:val="x-none"/>
        </w:rPr>
      </w:pPr>
    </w:p>
    <w:p w14:paraId="5899D9A1" w14:textId="13971FE6" w:rsidR="007515CC" w:rsidRPr="007515CC" w:rsidRDefault="007515CC">
      <w:pPr>
        <w:numPr>
          <w:ilvl w:val="0"/>
          <w:numId w:val="356"/>
        </w:numPr>
        <w:spacing w:after="0" w:line="240" w:lineRule="auto"/>
        <w:contextualSpacing/>
        <w:jc w:val="both"/>
        <w:rPr>
          <w:rFonts w:ascii="Times New Roman" w:hAnsi="Times New Roman"/>
          <w:sz w:val="20"/>
          <w:szCs w:val="20"/>
          <w:lang w:val="x-none"/>
        </w:rPr>
      </w:pPr>
      <w:r w:rsidRPr="007515CC">
        <w:rPr>
          <w:rFonts w:ascii="Times New Roman" w:hAnsi="Times New Roman"/>
          <w:sz w:val="20"/>
          <w:szCs w:val="20"/>
        </w:rPr>
        <w:t>Increase in revenue from sale of Brass rods and Brass Ingot from ₹ 949.82 lakhs and ₹</w:t>
      </w:r>
      <w:r>
        <w:rPr>
          <w:rFonts w:ascii="Times New Roman" w:hAnsi="Times New Roman"/>
          <w:sz w:val="20"/>
          <w:szCs w:val="20"/>
        </w:rPr>
        <w:t xml:space="preserve"> </w:t>
      </w:r>
      <w:r w:rsidRPr="007515CC">
        <w:rPr>
          <w:rFonts w:ascii="Times New Roman" w:hAnsi="Times New Roman"/>
          <w:sz w:val="20"/>
          <w:szCs w:val="20"/>
        </w:rPr>
        <w:t xml:space="preserve">1900.63 </w:t>
      </w:r>
      <w:r>
        <w:rPr>
          <w:rFonts w:ascii="Times New Roman" w:hAnsi="Times New Roman"/>
          <w:sz w:val="20"/>
          <w:szCs w:val="20"/>
        </w:rPr>
        <w:t xml:space="preserve">Lakhs </w:t>
      </w:r>
      <w:r w:rsidRPr="007515CC">
        <w:rPr>
          <w:rFonts w:ascii="Times New Roman" w:hAnsi="Times New Roman"/>
          <w:sz w:val="20"/>
          <w:szCs w:val="20"/>
        </w:rPr>
        <w:t>in F.Y. 2020-21 to ₹ 2069.61 lakhs and ₹</w:t>
      </w:r>
      <w:r>
        <w:rPr>
          <w:rFonts w:ascii="Times New Roman" w:hAnsi="Times New Roman"/>
          <w:sz w:val="20"/>
          <w:szCs w:val="20"/>
        </w:rPr>
        <w:t xml:space="preserve"> </w:t>
      </w:r>
      <w:r w:rsidRPr="007515CC">
        <w:rPr>
          <w:rFonts w:ascii="Times New Roman" w:hAnsi="Times New Roman"/>
          <w:sz w:val="20"/>
          <w:szCs w:val="20"/>
        </w:rPr>
        <w:t>10</w:t>
      </w:r>
      <w:r>
        <w:rPr>
          <w:rFonts w:ascii="Times New Roman" w:hAnsi="Times New Roman"/>
          <w:sz w:val="20"/>
          <w:szCs w:val="20"/>
        </w:rPr>
        <w:t>,</w:t>
      </w:r>
      <w:r w:rsidRPr="007515CC">
        <w:rPr>
          <w:rFonts w:ascii="Times New Roman" w:hAnsi="Times New Roman"/>
          <w:sz w:val="20"/>
          <w:szCs w:val="20"/>
        </w:rPr>
        <w:t xml:space="preserve">780.13 </w:t>
      </w:r>
      <w:r>
        <w:rPr>
          <w:rFonts w:ascii="Times New Roman" w:hAnsi="Times New Roman"/>
          <w:sz w:val="20"/>
          <w:szCs w:val="20"/>
        </w:rPr>
        <w:t xml:space="preserve">Lakhs </w:t>
      </w:r>
      <w:r w:rsidRPr="007515CC">
        <w:rPr>
          <w:rFonts w:ascii="Times New Roman" w:hAnsi="Times New Roman"/>
          <w:sz w:val="20"/>
          <w:szCs w:val="20"/>
        </w:rPr>
        <w:t>lakhs in F.Y. 2021-22, representing an increase of 117.90% and 467.19% (y-o-y) respectively.</w:t>
      </w:r>
    </w:p>
    <w:p w14:paraId="213EEBE1" w14:textId="77777777" w:rsidR="007515CC" w:rsidRPr="007515CC" w:rsidRDefault="007515CC" w:rsidP="007515CC">
      <w:pPr>
        <w:spacing w:after="0" w:line="240" w:lineRule="auto"/>
        <w:contextualSpacing/>
        <w:jc w:val="both"/>
        <w:rPr>
          <w:rFonts w:ascii="Times New Roman" w:hAnsi="Times New Roman"/>
          <w:sz w:val="20"/>
          <w:szCs w:val="20"/>
        </w:rPr>
      </w:pPr>
    </w:p>
    <w:p w14:paraId="05EBC9EB" w14:textId="77777777" w:rsidR="007515CC" w:rsidRPr="007515CC" w:rsidRDefault="007515CC" w:rsidP="007515CC">
      <w:pPr>
        <w:spacing w:after="0" w:line="240" w:lineRule="auto"/>
        <w:contextualSpacing/>
        <w:jc w:val="both"/>
        <w:rPr>
          <w:rFonts w:ascii="Times New Roman" w:hAnsi="Times New Roman"/>
          <w:sz w:val="20"/>
          <w:szCs w:val="20"/>
        </w:rPr>
      </w:pPr>
      <w:r w:rsidRPr="007515CC">
        <w:rPr>
          <w:rFonts w:ascii="Times New Roman" w:hAnsi="Times New Roman"/>
          <w:b/>
          <w:sz w:val="20"/>
          <w:szCs w:val="20"/>
        </w:rPr>
        <w:t>Revenue from Operations:</w:t>
      </w:r>
    </w:p>
    <w:p w14:paraId="41ADF22B" w14:textId="77777777" w:rsidR="007515CC" w:rsidRPr="007515CC" w:rsidRDefault="007515CC" w:rsidP="007515CC">
      <w:pPr>
        <w:spacing w:after="0" w:line="240" w:lineRule="auto"/>
        <w:contextualSpacing/>
        <w:jc w:val="both"/>
        <w:rPr>
          <w:rFonts w:ascii="Times New Roman" w:hAnsi="Times New Roman"/>
          <w:sz w:val="20"/>
          <w:szCs w:val="20"/>
        </w:rPr>
      </w:pPr>
    </w:p>
    <w:p w14:paraId="4930457F" w14:textId="3EB9D6D0" w:rsidR="007515CC" w:rsidRPr="007515CC" w:rsidRDefault="007515CC" w:rsidP="007515CC">
      <w:pPr>
        <w:spacing w:after="0" w:line="240" w:lineRule="auto"/>
        <w:contextualSpacing/>
        <w:jc w:val="both"/>
        <w:rPr>
          <w:rFonts w:ascii="Times New Roman" w:hAnsi="Times New Roman"/>
          <w:sz w:val="20"/>
          <w:szCs w:val="20"/>
        </w:rPr>
      </w:pPr>
      <w:r w:rsidRPr="007515CC">
        <w:rPr>
          <w:rFonts w:ascii="Times New Roman" w:hAnsi="Times New Roman"/>
          <w:sz w:val="20"/>
          <w:szCs w:val="20"/>
        </w:rPr>
        <w:t>During the financial year 2021-22 the revenue from operation of our Company increased to ₹</w:t>
      </w:r>
      <w:r>
        <w:rPr>
          <w:rFonts w:ascii="Times New Roman" w:hAnsi="Times New Roman"/>
          <w:sz w:val="20"/>
          <w:szCs w:val="20"/>
        </w:rPr>
        <w:t xml:space="preserve"> </w:t>
      </w:r>
      <w:r w:rsidRPr="007515CC">
        <w:rPr>
          <w:rFonts w:ascii="Times New Roman" w:hAnsi="Times New Roman"/>
          <w:sz w:val="20"/>
          <w:szCs w:val="20"/>
        </w:rPr>
        <w:t>42,323.27 Lakhs as against ₹  13,867.05 lakhs in the Financial Year 2020-21, representing increase of 205.21% which was on account of below reasons:-</w:t>
      </w:r>
    </w:p>
    <w:p w14:paraId="5BE6E5DD" w14:textId="77777777" w:rsidR="007515CC" w:rsidRPr="007515CC" w:rsidRDefault="007515CC" w:rsidP="007515CC">
      <w:pPr>
        <w:spacing w:after="0" w:line="240" w:lineRule="auto"/>
        <w:contextualSpacing/>
        <w:jc w:val="both"/>
        <w:rPr>
          <w:rFonts w:ascii="Times New Roman" w:hAnsi="Times New Roman"/>
          <w:sz w:val="20"/>
          <w:szCs w:val="20"/>
        </w:rPr>
      </w:pPr>
    </w:p>
    <w:p w14:paraId="440D2920" w14:textId="0B5F9679" w:rsidR="007515CC" w:rsidRPr="007515CC" w:rsidRDefault="007515CC">
      <w:pPr>
        <w:numPr>
          <w:ilvl w:val="0"/>
          <w:numId w:val="356"/>
        </w:numPr>
        <w:spacing w:after="0" w:line="240" w:lineRule="auto"/>
        <w:contextualSpacing/>
        <w:jc w:val="both"/>
        <w:rPr>
          <w:rFonts w:ascii="Times New Roman" w:hAnsi="Times New Roman"/>
          <w:sz w:val="20"/>
          <w:szCs w:val="20"/>
          <w:lang w:val="x-none"/>
        </w:rPr>
      </w:pPr>
      <w:r w:rsidRPr="007515CC">
        <w:rPr>
          <w:rFonts w:ascii="Times New Roman" w:hAnsi="Times New Roman"/>
          <w:sz w:val="20"/>
          <w:szCs w:val="20"/>
        </w:rPr>
        <w:t>Increase in revenue from segregated scrap from ₹ 6078.15 lakhs in FY 2020-21 to ₹ 23442.30 lakhs in F.Y. 2021-22, representing an increase of 285.68% (y-o-y)</w:t>
      </w:r>
    </w:p>
    <w:p w14:paraId="47EF824C" w14:textId="77777777" w:rsidR="007515CC" w:rsidRPr="007515CC" w:rsidRDefault="007515CC" w:rsidP="007515CC">
      <w:pPr>
        <w:spacing w:after="0" w:line="240" w:lineRule="auto"/>
        <w:contextualSpacing/>
        <w:jc w:val="both"/>
        <w:rPr>
          <w:rFonts w:ascii="Times New Roman" w:hAnsi="Times New Roman"/>
          <w:sz w:val="20"/>
          <w:szCs w:val="20"/>
          <w:lang w:val="x-none"/>
        </w:rPr>
      </w:pPr>
    </w:p>
    <w:p w14:paraId="4A667700" w14:textId="002FC7FA" w:rsidR="007515CC" w:rsidRPr="007515CC" w:rsidRDefault="007515CC">
      <w:pPr>
        <w:numPr>
          <w:ilvl w:val="0"/>
          <w:numId w:val="356"/>
        </w:numPr>
        <w:spacing w:after="0" w:line="240" w:lineRule="auto"/>
        <w:contextualSpacing/>
        <w:jc w:val="both"/>
        <w:rPr>
          <w:rFonts w:ascii="Times New Roman" w:hAnsi="Times New Roman"/>
          <w:sz w:val="20"/>
          <w:szCs w:val="20"/>
          <w:lang w:val="x-none"/>
        </w:rPr>
      </w:pPr>
      <w:r w:rsidRPr="007515CC">
        <w:rPr>
          <w:rFonts w:ascii="Times New Roman" w:hAnsi="Times New Roman"/>
          <w:sz w:val="20"/>
          <w:szCs w:val="20"/>
        </w:rPr>
        <w:t>Increase in revenue from sale of Brass rods and Brass Ingot from ₹ 949.82 lakhs and ₹</w:t>
      </w:r>
      <w:r>
        <w:rPr>
          <w:rFonts w:ascii="Times New Roman" w:hAnsi="Times New Roman"/>
          <w:sz w:val="20"/>
          <w:szCs w:val="20"/>
        </w:rPr>
        <w:t xml:space="preserve"> </w:t>
      </w:r>
      <w:r w:rsidRPr="007515CC">
        <w:rPr>
          <w:rFonts w:ascii="Times New Roman" w:hAnsi="Times New Roman"/>
          <w:sz w:val="20"/>
          <w:szCs w:val="20"/>
        </w:rPr>
        <w:t xml:space="preserve">1900.63 </w:t>
      </w:r>
      <w:r>
        <w:rPr>
          <w:rFonts w:ascii="Times New Roman" w:hAnsi="Times New Roman"/>
          <w:sz w:val="20"/>
          <w:szCs w:val="20"/>
        </w:rPr>
        <w:t xml:space="preserve">Lakhs </w:t>
      </w:r>
      <w:r w:rsidRPr="007515CC">
        <w:rPr>
          <w:rFonts w:ascii="Times New Roman" w:hAnsi="Times New Roman"/>
          <w:sz w:val="20"/>
          <w:szCs w:val="20"/>
        </w:rPr>
        <w:t>in F.Y. 2020-21 to ₹</w:t>
      </w:r>
      <w:r>
        <w:rPr>
          <w:rFonts w:ascii="Times New Roman" w:hAnsi="Times New Roman"/>
          <w:sz w:val="20"/>
          <w:szCs w:val="20"/>
        </w:rPr>
        <w:t xml:space="preserve"> </w:t>
      </w:r>
      <w:r w:rsidRPr="007515CC">
        <w:rPr>
          <w:rFonts w:ascii="Times New Roman" w:hAnsi="Times New Roman"/>
          <w:sz w:val="20"/>
          <w:szCs w:val="20"/>
        </w:rPr>
        <w:t>2</w:t>
      </w:r>
      <w:r>
        <w:rPr>
          <w:rFonts w:ascii="Times New Roman" w:hAnsi="Times New Roman"/>
          <w:sz w:val="20"/>
          <w:szCs w:val="20"/>
        </w:rPr>
        <w:t>,</w:t>
      </w:r>
      <w:r w:rsidRPr="007515CC">
        <w:rPr>
          <w:rFonts w:ascii="Times New Roman" w:hAnsi="Times New Roman"/>
          <w:sz w:val="20"/>
          <w:szCs w:val="20"/>
        </w:rPr>
        <w:t>069.61 lakhs and ₹</w:t>
      </w:r>
      <w:r>
        <w:rPr>
          <w:rFonts w:ascii="Times New Roman" w:hAnsi="Times New Roman"/>
          <w:sz w:val="20"/>
          <w:szCs w:val="20"/>
        </w:rPr>
        <w:t xml:space="preserve"> </w:t>
      </w:r>
      <w:r w:rsidRPr="007515CC">
        <w:rPr>
          <w:rFonts w:ascii="Times New Roman" w:hAnsi="Times New Roman"/>
          <w:sz w:val="20"/>
          <w:szCs w:val="20"/>
        </w:rPr>
        <w:t>10</w:t>
      </w:r>
      <w:r>
        <w:rPr>
          <w:rFonts w:ascii="Times New Roman" w:hAnsi="Times New Roman"/>
          <w:sz w:val="20"/>
          <w:szCs w:val="20"/>
        </w:rPr>
        <w:t>,</w:t>
      </w:r>
      <w:r w:rsidRPr="007515CC">
        <w:rPr>
          <w:rFonts w:ascii="Times New Roman" w:hAnsi="Times New Roman"/>
          <w:sz w:val="20"/>
          <w:szCs w:val="20"/>
        </w:rPr>
        <w:t>780.13 lakhs in F.Y. 2021-22, representing an increase of 117.90% and 467.19% (y-o-y) respectively.</w:t>
      </w:r>
    </w:p>
    <w:p w14:paraId="57F00939" w14:textId="77777777" w:rsidR="007515CC" w:rsidRPr="007515CC" w:rsidRDefault="007515CC" w:rsidP="007515CC">
      <w:pPr>
        <w:spacing w:after="0" w:line="240" w:lineRule="auto"/>
        <w:contextualSpacing/>
        <w:jc w:val="both"/>
        <w:rPr>
          <w:rFonts w:ascii="Times New Roman" w:hAnsi="Times New Roman"/>
          <w:sz w:val="20"/>
          <w:szCs w:val="20"/>
        </w:rPr>
      </w:pPr>
    </w:p>
    <w:p w14:paraId="2E9EC1D3" w14:textId="77777777" w:rsidR="007515CC" w:rsidRPr="007515CC" w:rsidRDefault="007515CC" w:rsidP="007515CC">
      <w:pPr>
        <w:spacing w:after="0" w:line="240" w:lineRule="auto"/>
        <w:contextualSpacing/>
        <w:jc w:val="both"/>
        <w:rPr>
          <w:rFonts w:ascii="Times New Roman" w:hAnsi="Times New Roman"/>
          <w:b/>
          <w:iCs/>
          <w:sz w:val="20"/>
          <w:szCs w:val="20"/>
        </w:rPr>
      </w:pPr>
      <w:r w:rsidRPr="007515CC">
        <w:rPr>
          <w:rFonts w:ascii="Times New Roman" w:hAnsi="Times New Roman"/>
          <w:b/>
          <w:iCs/>
          <w:sz w:val="20"/>
          <w:szCs w:val="20"/>
        </w:rPr>
        <w:t>Other Income:</w:t>
      </w:r>
    </w:p>
    <w:p w14:paraId="1B7E87A2" w14:textId="77777777" w:rsidR="007515CC" w:rsidRPr="007515CC" w:rsidRDefault="007515CC" w:rsidP="007515CC">
      <w:pPr>
        <w:spacing w:after="0" w:line="240" w:lineRule="auto"/>
        <w:contextualSpacing/>
        <w:jc w:val="both"/>
        <w:rPr>
          <w:rFonts w:ascii="Times New Roman" w:hAnsi="Times New Roman"/>
          <w:b/>
          <w:iCs/>
          <w:sz w:val="20"/>
          <w:szCs w:val="20"/>
        </w:rPr>
      </w:pPr>
    </w:p>
    <w:p w14:paraId="60260C5E" w14:textId="77777777" w:rsidR="007515CC" w:rsidRPr="007515CC" w:rsidRDefault="007515CC" w:rsidP="007515CC">
      <w:pPr>
        <w:spacing w:after="0" w:line="240" w:lineRule="auto"/>
        <w:contextualSpacing/>
        <w:jc w:val="both"/>
        <w:rPr>
          <w:rFonts w:ascii="Times New Roman" w:hAnsi="Times New Roman"/>
          <w:sz w:val="20"/>
          <w:szCs w:val="20"/>
        </w:rPr>
      </w:pPr>
      <w:r w:rsidRPr="007515CC">
        <w:rPr>
          <w:rFonts w:ascii="Times New Roman" w:hAnsi="Times New Roman"/>
          <w:sz w:val="20"/>
          <w:szCs w:val="20"/>
        </w:rPr>
        <w:t xml:space="preserve">During the F.Y. 2021-22, the other income of our Company increased to ₹ 321.07 Lakhs as against ₹ 105.88 lakhs in the Financial Year 2020-21. The increase in the other income was mainly due to currency rate difference and duty drawback received. </w:t>
      </w:r>
    </w:p>
    <w:p w14:paraId="2EB56D08" w14:textId="77777777" w:rsidR="007515CC" w:rsidRPr="007515CC" w:rsidRDefault="007515CC" w:rsidP="007515CC">
      <w:pPr>
        <w:spacing w:after="0" w:line="240" w:lineRule="auto"/>
        <w:contextualSpacing/>
        <w:jc w:val="both"/>
        <w:rPr>
          <w:rFonts w:ascii="Times New Roman" w:hAnsi="Times New Roman"/>
          <w:b/>
          <w:sz w:val="20"/>
          <w:szCs w:val="20"/>
        </w:rPr>
      </w:pPr>
    </w:p>
    <w:p w14:paraId="0124A18E" w14:textId="77777777" w:rsidR="007515CC" w:rsidRPr="007515CC" w:rsidRDefault="007515CC" w:rsidP="007515CC">
      <w:pPr>
        <w:spacing w:after="0" w:line="240" w:lineRule="auto"/>
        <w:contextualSpacing/>
        <w:jc w:val="both"/>
        <w:rPr>
          <w:rFonts w:ascii="Times New Roman" w:hAnsi="Times New Roman"/>
          <w:b/>
          <w:sz w:val="20"/>
          <w:szCs w:val="20"/>
        </w:rPr>
      </w:pPr>
      <w:r w:rsidRPr="007515CC">
        <w:rPr>
          <w:rFonts w:ascii="Times New Roman" w:hAnsi="Times New Roman"/>
          <w:b/>
          <w:sz w:val="20"/>
          <w:szCs w:val="20"/>
        </w:rPr>
        <w:t>Total Expenses:</w:t>
      </w:r>
    </w:p>
    <w:p w14:paraId="7556694C" w14:textId="77777777" w:rsidR="007515CC" w:rsidRPr="007515CC" w:rsidRDefault="007515CC" w:rsidP="007515CC">
      <w:pPr>
        <w:spacing w:after="0" w:line="240" w:lineRule="auto"/>
        <w:contextualSpacing/>
        <w:jc w:val="both"/>
        <w:rPr>
          <w:rFonts w:ascii="Times New Roman" w:hAnsi="Times New Roman"/>
          <w:b/>
          <w:sz w:val="20"/>
          <w:szCs w:val="20"/>
        </w:rPr>
      </w:pPr>
    </w:p>
    <w:p w14:paraId="0F1288F7" w14:textId="77777777" w:rsidR="007515CC" w:rsidRPr="007515CC" w:rsidRDefault="007515CC" w:rsidP="007515CC">
      <w:pPr>
        <w:spacing w:after="0" w:line="240" w:lineRule="auto"/>
        <w:contextualSpacing/>
        <w:jc w:val="both"/>
        <w:rPr>
          <w:rFonts w:ascii="Times New Roman" w:hAnsi="Times New Roman"/>
          <w:sz w:val="20"/>
          <w:szCs w:val="20"/>
        </w:rPr>
      </w:pPr>
      <w:r w:rsidRPr="007515CC">
        <w:rPr>
          <w:rFonts w:ascii="Times New Roman" w:hAnsi="Times New Roman"/>
          <w:sz w:val="20"/>
          <w:szCs w:val="20"/>
        </w:rPr>
        <w:t xml:space="preserve">The Total Expenses for the financial year 2021-22 increased to ₹ 42,194.59 Lakhs from ₹ 13,777.48 lakhs in the Financial Year 2020-21 representing increase of 206.26%. Such increase was due to increase in the volume of business operations of the Company. </w:t>
      </w:r>
    </w:p>
    <w:p w14:paraId="551D3097" w14:textId="77777777" w:rsidR="007515CC" w:rsidRPr="007515CC" w:rsidRDefault="007515CC" w:rsidP="007515CC">
      <w:pPr>
        <w:spacing w:after="0" w:line="240" w:lineRule="auto"/>
        <w:contextualSpacing/>
        <w:jc w:val="both"/>
        <w:rPr>
          <w:rFonts w:ascii="Times New Roman" w:hAnsi="Times New Roman"/>
          <w:b/>
          <w:sz w:val="20"/>
          <w:szCs w:val="20"/>
        </w:rPr>
      </w:pPr>
    </w:p>
    <w:p w14:paraId="5BDDE7EC" w14:textId="77777777" w:rsidR="007515CC" w:rsidRPr="007515CC" w:rsidRDefault="007515CC" w:rsidP="007515CC">
      <w:pPr>
        <w:spacing w:after="0" w:line="240" w:lineRule="auto"/>
        <w:contextualSpacing/>
        <w:jc w:val="both"/>
        <w:rPr>
          <w:rFonts w:ascii="Times New Roman" w:hAnsi="Times New Roman"/>
          <w:b/>
          <w:sz w:val="20"/>
          <w:szCs w:val="20"/>
        </w:rPr>
      </w:pPr>
      <w:r w:rsidRPr="007515CC">
        <w:rPr>
          <w:rFonts w:ascii="Times New Roman" w:hAnsi="Times New Roman"/>
          <w:b/>
          <w:sz w:val="20"/>
          <w:szCs w:val="20"/>
        </w:rPr>
        <w:t>Raw material consumption:</w:t>
      </w:r>
    </w:p>
    <w:p w14:paraId="6B17251E" w14:textId="77777777" w:rsidR="007515CC" w:rsidRPr="007515CC" w:rsidRDefault="007515CC" w:rsidP="007515CC">
      <w:pPr>
        <w:spacing w:after="0" w:line="240" w:lineRule="auto"/>
        <w:contextualSpacing/>
        <w:jc w:val="both"/>
        <w:rPr>
          <w:rFonts w:ascii="Times New Roman" w:hAnsi="Times New Roman"/>
          <w:b/>
          <w:sz w:val="20"/>
          <w:szCs w:val="20"/>
        </w:rPr>
      </w:pPr>
    </w:p>
    <w:p w14:paraId="71F7EEAD" w14:textId="77777777" w:rsidR="007515CC" w:rsidRPr="007515CC" w:rsidRDefault="007515CC" w:rsidP="007515CC">
      <w:pPr>
        <w:spacing w:after="0" w:line="240" w:lineRule="auto"/>
        <w:jc w:val="both"/>
        <w:rPr>
          <w:rFonts w:ascii="Times New Roman" w:hAnsi="Times New Roman"/>
          <w:color w:val="000000"/>
          <w:sz w:val="20"/>
          <w:szCs w:val="20"/>
          <w:lang w:val="en-IN" w:eastAsia="en-IN"/>
        </w:rPr>
      </w:pPr>
      <w:r w:rsidRPr="007515CC">
        <w:rPr>
          <w:rFonts w:ascii="Times New Roman" w:hAnsi="Times New Roman"/>
          <w:sz w:val="20"/>
          <w:szCs w:val="20"/>
        </w:rPr>
        <w:t xml:space="preserve">The Raw material consumption for the financial year 2021-22 stood ₹ 37,024.95 Lakhs against ₹ </w:t>
      </w:r>
      <w:r w:rsidRPr="007515CC">
        <w:rPr>
          <w:rFonts w:ascii="Times New Roman" w:hAnsi="Times New Roman"/>
          <w:color w:val="000000"/>
          <w:sz w:val="20"/>
          <w:szCs w:val="20"/>
          <w:lang w:val="en-IN" w:eastAsia="en-IN"/>
        </w:rPr>
        <w:t xml:space="preserve">11,961.74 </w:t>
      </w:r>
      <w:r w:rsidRPr="007515CC">
        <w:rPr>
          <w:rFonts w:ascii="Times New Roman" w:hAnsi="Times New Roman"/>
          <w:sz w:val="20"/>
          <w:szCs w:val="20"/>
        </w:rPr>
        <w:t>Lakhs in the Financial Year 2020-21 representing an increase of 209.53%. Such increase was due to increase in business operations of the Company.</w:t>
      </w:r>
    </w:p>
    <w:p w14:paraId="4F8C4993" w14:textId="77777777" w:rsidR="007515CC" w:rsidRPr="007515CC" w:rsidRDefault="007515CC" w:rsidP="007515CC">
      <w:pPr>
        <w:spacing w:after="0" w:line="240" w:lineRule="auto"/>
        <w:contextualSpacing/>
        <w:jc w:val="both"/>
        <w:rPr>
          <w:rFonts w:ascii="Times New Roman" w:hAnsi="Times New Roman"/>
          <w:b/>
          <w:sz w:val="20"/>
          <w:szCs w:val="20"/>
        </w:rPr>
      </w:pPr>
    </w:p>
    <w:p w14:paraId="53EF6770" w14:textId="77777777" w:rsidR="007515CC" w:rsidRPr="007515CC" w:rsidRDefault="007515CC" w:rsidP="007515CC">
      <w:pPr>
        <w:spacing w:after="0" w:line="240" w:lineRule="auto"/>
        <w:contextualSpacing/>
        <w:jc w:val="both"/>
        <w:rPr>
          <w:rFonts w:ascii="Times New Roman" w:hAnsi="Times New Roman"/>
          <w:b/>
          <w:sz w:val="20"/>
          <w:szCs w:val="20"/>
        </w:rPr>
      </w:pPr>
      <w:r w:rsidRPr="007515CC">
        <w:rPr>
          <w:rFonts w:ascii="Times New Roman" w:hAnsi="Times New Roman"/>
          <w:b/>
          <w:bCs/>
          <w:iCs/>
          <w:sz w:val="20"/>
          <w:szCs w:val="20"/>
        </w:rPr>
        <w:t>Change in inventories of finished goods, work in progress and stock in trade</w:t>
      </w:r>
      <w:r w:rsidRPr="007515CC">
        <w:rPr>
          <w:rFonts w:ascii="Times New Roman" w:hAnsi="Times New Roman"/>
          <w:b/>
          <w:sz w:val="20"/>
          <w:szCs w:val="20"/>
        </w:rPr>
        <w:t xml:space="preserve">: </w:t>
      </w:r>
    </w:p>
    <w:p w14:paraId="22602821" w14:textId="77777777" w:rsidR="007515CC" w:rsidRPr="007515CC" w:rsidRDefault="007515CC" w:rsidP="007515CC">
      <w:pPr>
        <w:spacing w:after="0" w:line="240" w:lineRule="auto"/>
        <w:contextualSpacing/>
        <w:jc w:val="both"/>
        <w:rPr>
          <w:rFonts w:ascii="Times New Roman" w:hAnsi="Times New Roman"/>
          <w:b/>
          <w:sz w:val="20"/>
          <w:szCs w:val="20"/>
        </w:rPr>
      </w:pPr>
    </w:p>
    <w:p w14:paraId="5DF037CD" w14:textId="77777777" w:rsidR="007515CC" w:rsidRPr="007515CC" w:rsidRDefault="007515CC" w:rsidP="007515CC">
      <w:pPr>
        <w:spacing w:after="0" w:line="240" w:lineRule="auto"/>
        <w:contextualSpacing/>
        <w:jc w:val="both"/>
        <w:rPr>
          <w:rFonts w:ascii="Times New Roman" w:hAnsi="Times New Roman"/>
          <w:sz w:val="20"/>
          <w:szCs w:val="20"/>
        </w:rPr>
      </w:pPr>
      <w:r w:rsidRPr="007515CC">
        <w:rPr>
          <w:rFonts w:ascii="Times New Roman" w:hAnsi="Times New Roman"/>
          <w:sz w:val="20"/>
          <w:szCs w:val="20"/>
        </w:rPr>
        <w:t>The Change in inventories of finished goods, work in progress and stock in trade for financial year 2021-22 has been increase as compared to the financial year 2020-21 of 31.40% was due to decrease in closing stock of finished goods and work in progress as on March 31, 2022.</w:t>
      </w:r>
    </w:p>
    <w:p w14:paraId="6399AE0E" w14:textId="77777777" w:rsidR="007515CC" w:rsidRPr="007515CC" w:rsidRDefault="007515CC" w:rsidP="007515CC">
      <w:pPr>
        <w:spacing w:after="0" w:line="240" w:lineRule="auto"/>
        <w:contextualSpacing/>
        <w:jc w:val="both"/>
        <w:rPr>
          <w:rFonts w:ascii="Times New Roman" w:hAnsi="Times New Roman"/>
          <w:sz w:val="20"/>
          <w:szCs w:val="20"/>
        </w:rPr>
      </w:pPr>
    </w:p>
    <w:p w14:paraId="19B72F39" w14:textId="77777777" w:rsidR="007515CC" w:rsidRPr="007515CC" w:rsidRDefault="007515CC" w:rsidP="007515CC">
      <w:pPr>
        <w:spacing w:after="0" w:line="240" w:lineRule="auto"/>
        <w:contextualSpacing/>
        <w:jc w:val="both"/>
        <w:rPr>
          <w:rFonts w:ascii="Times New Roman" w:hAnsi="Times New Roman"/>
          <w:sz w:val="20"/>
          <w:szCs w:val="20"/>
        </w:rPr>
      </w:pPr>
      <w:r w:rsidRPr="007515CC">
        <w:rPr>
          <w:rFonts w:ascii="Times New Roman" w:hAnsi="Times New Roman"/>
          <w:b/>
          <w:sz w:val="20"/>
          <w:szCs w:val="20"/>
        </w:rPr>
        <w:t xml:space="preserve">Employee benefits expense: </w:t>
      </w:r>
    </w:p>
    <w:p w14:paraId="239B52E8" w14:textId="77777777" w:rsidR="007515CC" w:rsidRPr="007515CC" w:rsidRDefault="007515CC" w:rsidP="007515CC">
      <w:pPr>
        <w:spacing w:after="0" w:line="240" w:lineRule="auto"/>
        <w:contextualSpacing/>
        <w:jc w:val="both"/>
        <w:rPr>
          <w:rFonts w:ascii="Times New Roman" w:hAnsi="Times New Roman"/>
          <w:sz w:val="20"/>
          <w:szCs w:val="20"/>
        </w:rPr>
      </w:pPr>
    </w:p>
    <w:p w14:paraId="18C866C6" w14:textId="77777777" w:rsidR="007515CC" w:rsidRPr="007515CC" w:rsidRDefault="007515CC" w:rsidP="007515CC">
      <w:pPr>
        <w:spacing w:after="0" w:line="240" w:lineRule="auto"/>
        <w:contextualSpacing/>
        <w:jc w:val="both"/>
        <w:rPr>
          <w:rFonts w:ascii="Times New Roman" w:hAnsi="Times New Roman"/>
          <w:sz w:val="20"/>
          <w:szCs w:val="20"/>
        </w:rPr>
      </w:pPr>
      <w:r w:rsidRPr="007515CC">
        <w:rPr>
          <w:rFonts w:ascii="Times New Roman" w:hAnsi="Times New Roman"/>
          <w:sz w:val="20"/>
          <w:szCs w:val="20"/>
        </w:rPr>
        <w:t>Our Company has incurred ₹ 325.32 Lakhs as Employee benefits expense during the financial year 2021-22 as compared to ₹ 352.02 Lakhs in the financial year 2020-21 representing a decrease of 7.59%, which was on account of decrease in salary and wages and Gratuity expenses.</w:t>
      </w:r>
    </w:p>
    <w:p w14:paraId="5B1B8143" w14:textId="77777777" w:rsidR="007515CC" w:rsidRPr="007515CC" w:rsidRDefault="007515CC" w:rsidP="007515CC">
      <w:pPr>
        <w:spacing w:after="0" w:line="240" w:lineRule="auto"/>
        <w:contextualSpacing/>
        <w:jc w:val="both"/>
        <w:rPr>
          <w:rFonts w:ascii="Times New Roman" w:hAnsi="Times New Roman"/>
          <w:b/>
          <w:sz w:val="20"/>
          <w:szCs w:val="20"/>
        </w:rPr>
      </w:pPr>
    </w:p>
    <w:p w14:paraId="493ABE2E" w14:textId="77777777" w:rsidR="007515CC" w:rsidRPr="007515CC" w:rsidRDefault="007515CC" w:rsidP="007515CC">
      <w:pPr>
        <w:spacing w:after="0" w:line="240" w:lineRule="auto"/>
        <w:contextualSpacing/>
        <w:jc w:val="both"/>
        <w:rPr>
          <w:rFonts w:ascii="Times New Roman" w:hAnsi="Times New Roman"/>
          <w:sz w:val="20"/>
          <w:szCs w:val="20"/>
        </w:rPr>
      </w:pPr>
      <w:r w:rsidRPr="007515CC">
        <w:rPr>
          <w:rFonts w:ascii="Times New Roman" w:hAnsi="Times New Roman"/>
          <w:b/>
          <w:sz w:val="20"/>
          <w:szCs w:val="20"/>
        </w:rPr>
        <w:t xml:space="preserve">Finance costs: </w:t>
      </w:r>
    </w:p>
    <w:p w14:paraId="6D9ED88E" w14:textId="77777777" w:rsidR="007515CC" w:rsidRPr="007515CC" w:rsidRDefault="007515CC" w:rsidP="007515CC">
      <w:pPr>
        <w:spacing w:after="0" w:line="240" w:lineRule="auto"/>
        <w:contextualSpacing/>
        <w:jc w:val="both"/>
        <w:rPr>
          <w:rFonts w:ascii="Times New Roman" w:hAnsi="Times New Roman"/>
          <w:sz w:val="20"/>
          <w:szCs w:val="20"/>
        </w:rPr>
      </w:pPr>
    </w:p>
    <w:p w14:paraId="01E6A45E" w14:textId="77777777" w:rsidR="007515CC" w:rsidRPr="007515CC" w:rsidRDefault="007515CC" w:rsidP="007515CC">
      <w:pPr>
        <w:spacing w:after="0" w:line="240" w:lineRule="auto"/>
        <w:contextualSpacing/>
        <w:jc w:val="both"/>
        <w:rPr>
          <w:rFonts w:ascii="Times New Roman" w:hAnsi="Times New Roman"/>
          <w:sz w:val="20"/>
          <w:szCs w:val="20"/>
        </w:rPr>
      </w:pPr>
      <w:r w:rsidRPr="007515CC">
        <w:rPr>
          <w:rFonts w:ascii="Times New Roman" w:hAnsi="Times New Roman"/>
          <w:sz w:val="20"/>
          <w:szCs w:val="20"/>
        </w:rPr>
        <w:t>These costs were for the financial Year 2021-22 increase to ₹ 245.24 Lakhs as against ₹153.89 Lakhs during the financial year 2020-21, representing an increase of 59.36% which was due to increase in interest expenses.</w:t>
      </w:r>
    </w:p>
    <w:p w14:paraId="083C6977" w14:textId="77777777" w:rsidR="007515CC" w:rsidRPr="007515CC" w:rsidRDefault="007515CC" w:rsidP="007515CC">
      <w:pPr>
        <w:spacing w:after="0" w:line="240" w:lineRule="auto"/>
        <w:contextualSpacing/>
        <w:jc w:val="both"/>
        <w:rPr>
          <w:rFonts w:ascii="Times New Roman" w:hAnsi="Times New Roman"/>
          <w:b/>
          <w:bCs/>
          <w:sz w:val="20"/>
          <w:szCs w:val="20"/>
        </w:rPr>
      </w:pPr>
    </w:p>
    <w:p w14:paraId="10A6C05E" w14:textId="77777777" w:rsidR="007515CC" w:rsidRPr="007515CC" w:rsidRDefault="007515CC" w:rsidP="007515CC">
      <w:pPr>
        <w:tabs>
          <w:tab w:val="left" w:pos="6098"/>
        </w:tabs>
        <w:spacing w:after="0" w:line="240" w:lineRule="auto"/>
        <w:contextualSpacing/>
        <w:jc w:val="both"/>
        <w:rPr>
          <w:rFonts w:ascii="Times New Roman" w:hAnsi="Times New Roman"/>
          <w:b/>
          <w:bCs/>
          <w:sz w:val="20"/>
          <w:szCs w:val="20"/>
        </w:rPr>
      </w:pPr>
      <w:r w:rsidRPr="007515CC">
        <w:rPr>
          <w:rFonts w:ascii="Times New Roman" w:hAnsi="Times New Roman"/>
          <w:b/>
          <w:bCs/>
          <w:sz w:val="20"/>
          <w:szCs w:val="20"/>
        </w:rPr>
        <w:t>Depreciation and Amortization Expenses:</w:t>
      </w:r>
      <w:r w:rsidRPr="007515CC">
        <w:rPr>
          <w:rFonts w:ascii="Times New Roman" w:hAnsi="Times New Roman"/>
          <w:b/>
          <w:bCs/>
          <w:sz w:val="20"/>
          <w:szCs w:val="20"/>
        </w:rPr>
        <w:tab/>
      </w:r>
    </w:p>
    <w:p w14:paraId="682EA137" w14:textId="77777777" w:rsidR="007515CC" w:rsidRPr="007515CC" w:rsidRDefault="007515CC" w:rsidP="007515CC">
      <w:pPr>
        <w:spacing w:after="0" w:line="240" w:lineRule="auto"/>
        <w:contextualSpacing/>
        <w:jc w:val="both"/>
        <w:rPr>
          <w:rFonts w:ascii="Times New Roman" w:hAnsi="Times New Roman"/>
          <w:b/>
          <w:sz w:val="20"/>
          <w:szCs w:val="20"/>
        </w:rPr>
      </w:pPr>
    </w:p>
    <w:p w14:paraId="5FEBAC15" w14:textId="77777777" w:rsidR="007515CC" w:rsidRPr="007515CC" w:rsidRDefault="007515CC" w:rsidP="007515CC">
      <w:pPr>
        <w:spacing w:after="0" w:line="240" w:lineRule="auto"/>
        <w:contextualSpacing/>
        <w:jc w:val="both"/>
        <w:rPr>
          <w:rFonts w:ascii="Times New Roman" w:hAnsi="Times New Roman"/>
          <w:sz w:val="20"/>
          <w:szCs w:val="20"/>
        </w:rPr>
      </w:pPr>
      <w:r w:rsidRPr="007515CC">
        <w:rPr>
          <w:rFonts w:ascii="Times New Roman" w:hAnsi="Times New Roman"/>
          <w:sz w:val="20"/>
          <w:szCs w:val="20"/>
        </w:rPr>
        <w:t>Depreciation for the financial year 2021-22 stood at ₹ 177.68 Lakhs as against ₹ 135.74 Lakhs during the financial year 2020-21, representing an increase of 30.90% which was due to significant increase in fixed assets.</w:t>
      </w:r>
    </w:p>
    <w:p w14:paraId="6F3595C4" w14:textId="77777777" w:rsidR="007515CC" w:rsidRPr="007515CC" w:rsidRDefault="007515CC" w:rsidP="007515CC">
      <w:pPr>
        <w:spacing w:after="0" w:line="240" w:lineRule="auto"/>
        <w:contextualSpacing/>
        <w:jc w:val="both"/>
        <w:rPr>
          <w:rFonts w:ascii="Times New Roman" w:hAnsi="Times New Roman"/>
          <w:sz w:val="20"/>
          <w:szCs w:val="20"/>
        </w:rPr>
      </w:pPr>
    </w:p>
    <w:p w14:paraId="75BF6EDF" w14:textId="77777777" w:rsidR="007515CC" w:rsidRPr="007515CC" w:rsidRDefault="007515CC" w:rsidP="007515CC">
      <w:pPr>
        <w:spacing w:after="0" w:line="240" w:lineRule="auto"/>
        <w:contextualSpacing/>
        <w:jc w:val="both"/>
        <w:rPr>
          <w:rFonts w:ascii="Times New Roman" w:hAnsi="Times New Roman"/>
          <w:sz w:val="20"/>
          <w:szCs w:val="20"/>
        </w:rPr>
      </w:pPr>
      <w:r w:rsidRPr="007515CC">
        <w:rPr>
          <w:rFonts w:ascii="Times New Roman" w:hAnsi="Times New Roman"/>
          <w:b/>
          <w:sz w:val="20"/>
          <w:szCs w:val="20"/>
        </w:rPr>
        <w:t>Other Expenses:</w:t>
      </w:r>
    </w:p>
    <w:p w14:paraId="4C0D45CA" w14:textId="77777777" w:rsidR="007515CC" w:rsidRPr="007515CC" w:rsidRDefault="007515CC" w:rsidP="007515CC">
      <w:pPr>
        <w:spacing w:after="0" w:line="240" w:lineRule="auto"/>
        <w:contextualSpacing/>
        <w:jc w:val="both"/>
        <w:rPr>
          <w:rFonts w:ascii="Times New Roman" w:hAnsi="Times New Roman"/>
          <w:sz w:val="20"/>
          <w:szCs w:val="20"/>
        </w:rPr>
      </w:pPr>
    </w:p>
    <w:p w14:paraId="343B3C10" w14:textId="5285DB96" w:rsidR="007515CC" w:rsidRPr="007515CC" w:rsidRDefault="007515CC" w:rsidP="007515CC">
      <w:pPr>
        <w:spacing w:after="0" w:line="240" w:lineRule="auto"/>
        <w:jc w:val="both"/>
        <w:rPr>
          <w:rFonts w:ascii="Times New Roman" w:hAnsi="Times New Roman"/>
          <w:sz w:val="20"/>
          <w:szCs w:val="20"/>
        </w:rPr>
      </w:pPr>
      <w:r w:rsidRPr="007515CC">
        <w:rPr>
          <w:rFonts w:ascii="Times New Roman" w:hAnsi="Times New Roman"/>
          <w:sz w:val="20"/>
          <w:szCs w:val="20"/>
        </w:rPr>
        <w:t>Our Company has incurred ₹ 3,829.13 Lakhs during the Financial Year 2021-22 on other expenses as against ₹ 723.35 Lakhs during the financial year 2020-21 representing increase of 429.36%</w:t>
      </w:r>
      <w:r w:rsidRPr="007515CC">
        <w:rPr>
          <w:rFonts w:ascii="Times New Roman" w:hAnsi="Times New Roman"/>
          <w:sz w:val="20"/>
          <w:szCs w:val="20"/>
          <w:lang w:val="en-IN" w:eastAsia="en-IN"/>
        </w:rPr>
        <w:t xml:space="preserve"> due to increase in Custom duty, job work expenses, THC charges on import and Transportation charges.</w:t>
      </w:r>
    </w:p>
    <w:p w14:paraId="5F7BF7F2" w14:textId="77777777" w:rsidR="007515CC" w:rsidRPr="007515CC" w:rsidRDefault="007515CC" w:rsidP="007515CC">
      <w:pPr>
        <w:spacing w:after="0" w:line="240" w:lineRule="auto"/>
        <w:contextualSpacing/>
        <w:jc w:val="both"/>
        <w:rPr>
          <w:rFonts w:ascii="Times New Roman" w:hAnsi="Times New Roman"/>
          <w:sz w:val="20"/>
          <w:szCs w:val="20"/>
        </w:rPr>
      </w:pPr>
    </w:p>
    <w:p w14:paraId="31E3D95B" w14:textId="77777777" w:rsidR="007515CC" w:rsidRPr="007515CC" w:rsidRDefault="007515CC" w:rsidP="007515CC">
      <w:pPr>
        <w:spacing w:after="0" w:line="240" w:lineRule="auto"/>
        <w:contextualSpacing/>
        <w:jc w:val="both"/>
        <w:rPr>
          <w:rFonts w:ascii="Times New Roman" w:hAnsi="Times New Roman"/>
          <w:sz w:val="20"/>
          <w:szCs w:val="20"/>
        </w:rPr>
      </w:pPr>
      <w:r w:rsidRPr="007515CC">
        <w:rPr>
          <w:rFonts w:ascii="Times New Roman" w:hAnsi="Times New Roman"/>
          <w:b/>
          <w:sz w:val="20"/>
          <w:szCs w:val="20"/>
        </w:rPr>
        <w:t xml:space="preserve">Restated Profit/ (Loss) before tax: </w:t>
      </w:r>
    </w:p>
    <w:p w14:paraId="0D1634C1" w14:textId="77777777" w:rsidR="007515CC" w:rsidRPr="007515CC" w:rsidRDefault="007515CC" w:rsidP="007515CC">
      <w:pPr>
        <w:spacing w:after="0" w:line="240" w:lineRule="auto"/>
        <w:contextualSpacing/>
        <w:jc w:val="both"/>
        <w:rPr>
          <w:rFonts w:ascii="Times New Roman" w:hAnsi="Times New Roman"/>
          <w:sz w:val="20"/>
          <w:szCs w:val="20"/>
        </w:rPr>
      </w:pPr>
    </w:p>
    <w:p w14:paraId="27F28889" w14:textId="510ECC93" w:rsidR="007515CC" w:rsidRPr="007515CC" w:rsidRDefault="007515CC" w:rsidP="007515CC">
      <w:pPr>
        <w:spacing w:after="0" w:line="240" w:lineRule="auto"/>
        <w:contextualSpacing/>
        <w:jc w:val="both"/>
        <w:rPr>
          <w:rFonts w:ascii="Times New Roman" w:hAnsi="Times New Roman"/>
          <w:sz w:val="20"/>
          <w:szCs w:val="20"/>
        </w:rPr>
      </w:pPr>
      <w:r w:rsidRPr="007515CC">
        <w:rPr>
          <w:rFonts w:ascii="Times New Roman" w:hAnsi="Times New Roman"/>
          <w:sz w:val="20"/>
          <w:szCs w:val="20"/>
        </w:rPr>
        <w:lastRenderedPageBreak/>
        <w:t>Restated Profit before Tax for the financial year 2021-22 was ₹ 449.75 Lakhs as compared to Restated Profit before Tax of ₹</w:t>
      </w:r>
      <w:r>
        <w:rPr>
          <w:rFonts w:ascii="Times New Roman" w:hAnsi="Times New Roman"/>
          <w:sz w:val="20"/>
          <w:szCs w:val="20"/>
        </w:rPr>
        <w:t xml:space="preserve"> </w:t>
      </w:r>
      <w:r w:rsidRPr="007515CC">
        <w:rPr>
          <w:rFonts w:ascii="Times New Roman" w:hAnsi="Times New Roman"/>
          <w:sz w:val="20"/>
          <w:szCs w:val="20"/>
        </w:rPr>
        <w:t>195.45 Lakhs during the financial year 2020-21, representing an increase of 130.11%</w:t>
      </w:r>
    </w:p>
    <w:p w14:paraId="1E6CC0FF" w14:textId="77777777" w:rsidR="007515CC" w:rsidRPr="007515CC" w:rsidRDefault="007515CC" w:rsidP="007515CC">
      <w:pPr>
        <w:spacing w:after="0" w:line="240" w:lineRule="auto"/>
        <w:contextualSpacing/>
        <w:jc w:val="both"/>
        <w:rPr>
          <w:rFonts w:ascii="Times New Roman" w:hAnsi="Times New Roman"/>
          <w:sz w:val="20"/>
          <w:szCs w:val="20"/>
        </w:rPr>
      </w:pPr>
    </w:p>
    <w:p w14:paraId="4D34A637" w14:textId="77777777" w:rsidR="007515CC" w:rsidRPr="007515CC" w:rsidRDefault="007515CC" w:rsidP="007515CC">
      <w:pPr>
        <w:spacing w:after="0" w:line="240" w:lineRule="auto"/>
        <w:contextualSpacing/>
        <w:jc w:val="both"/>
        <w:rPr>
          <w:rFonts w:ascii="Times New Roman" w:hAnsi="Times New Roman"/>
          <w:b/>
          <w:i/>
          <w:sz w:val="20"/>
          <w:szCs w:val="20"/>
        </w:rPr>
      </w:pPr>
      <w:r w:rsidRPr="007515CC">
        <w:rPr>
          <w:rFonts w:ascii="Times New Roman" w:hAnsi="Times New Roman"/>
          <w:b/>
          <w:sz w:val="20"/>
          <w:szCs w:val="20"/>
        </w:rPr>
        <w:t>Restated Profit/ (Loss) after tax</w:t>
      </w:r>
      <w:r w:rsidRPr="007515CC">
        <w:rPr>
          <w:rFonts w:ascii="Times New Roman" w:hAnsi="Times New Roman"/>
          <w:b/>
          <w:i/>
          <w:sz w:val="20"/>
          <w:szCs w:val="20"/>
        </w:rPr>
        <w:t>:</w:t>
      </w:r>
    </w:p>
    <w:p w14:paraId="77D972EE" w14:textId="77777777" w:rsidR="007515CC" w:rsidRPr="007515CC" w:rsidRDefault="007515CC" w:rsidP="007515CC">
      <w:pPr>
        <w:spacing w:after="0" w:line="240" w:lineRule="auto"/>
        <w:contextualSpacing/>
        <w:jc w:val="both"/>
        <w:rPr>
          <w:rFonts w:ascii="Times New Roman" w:hAnsi="Times New Roman"/>
          <w:sz w:val="20"/>
          <w:szCs w:val="20"/>
        </w:rPr>
      </w:pPr>
    </w:p>
    <w:p w14:paraId="6C1B0454" w14:textId="77777777" w:rsidR="007515CC" w:rsidRPr="007515CC" w:rsidRDefault="007515CC" w:rsidP="007515CC">
      <w:pPr>
        <w:spacing w:after="0" w:line="240" w:lineRule="auto"/>
        <w:contextualSpacing/>
        <w:jc w:val="both"/>
        <w:rPr>
          <w:rFonts w:ascii="Times New Roman" w:hAnsi="Times New Roman"/>
          <w:sz w:val="20"/>
          <w:szCs w:val="20"/>
        </w:rPr>
      </w:pPr>
      <w:r w:rsidRPr="007515CC">
        <w:rPr>
          <w:rFonts w:ascii="Times New Roman" w:hAnsi="Times New Roman"/>
          <w:sz w:val="20"/>
          <w:szCs w:val="20"/>
        </w:rPr>
        <w:t>The Restated Profit after tax for the financial year 2021-22 was ₹ 322.47 Lakhs as compared to Restated Profit after Tax of ₹ 142.28 lakhs during the financial year 2020-21, representing an increase of 126.65% on account of below reasons:</w:t>
      </w:r>
    </w:p>
    <w:p w14:paraId="6381EBB2" w14:textId="77777777" w:rsidR="007515CC" w:rsidRPr="007515CC" w:rsidRDefault="007515CC" w:rsidP="007515CC">
      <w:pPr>
        <w:spacing w:after="0" w:line="240" w:lineRule="auto"/>
        <w:contextualSpacing/>
        <w:jc w:val="both"/>
        <w:rPr>
          <w:rFonts w:ascii="Times New Roman" w:hAnsi="Times New Roman"/>
          <w:sz w:val="20"/>
          <w:szCs w:val="20"/>
        </w:rPr>
      </w:pPr>
    </w:p>
    <w:p w14:paraId="3473B9BE" w14:textId="0CC54C3D" w:rsidR="007515CC" w:rsidRDefault="007515CC" w:rsidP="007515CC">
      <w:pPr>
        <w:spacing w:after="0" w:line="240" w:lineRule="auto"/>
        <w:jc w:val="both"/>
        <w:rPr>
          <w:sz w:val="20"/>
          <w:szCs w:val="20"/>
        </w:rPr>
      </w:pPr>
      <w:r w:rsidRPr="007515CC">
        <w:rPr>
          <w:rFonts w:ascii="Times New Roman" w:hAnsi="Times New Roman"/>
          <w:sz w:val="20"/>
          <w:szCs w:val="20"/>
        </w:rPr>
        <w:t xml:space="preserve">- Total income of the company has increased to </w:t>
      </w:r>
      <w:r w:rsidR="001706A2" w:rsidRPr="00712F3C">
        <w:rPr>
          <w:rFonts w:ascii="Times New Roman" w:eastAsia="MS Mincho" w:hAnsi="Times New Roman"/>
          <w:sz w:val="20"/>
          <w:szCs w:val="20"/>
        </w:rPr>
        <w:t>₹</w:t>
      </w:r>
      <w:r w:rsidRPr="007515CC">
        <w:rPr>
          <w:rFonts w:ascii="Times New Roman" w:hAnsi="Times New Roman"/>
          <w:sz w:val="20"/>
          <w:szCs w:val="20"/>
        </w:rPr>
        <w:t xml:space="preserve"> 42,644.34 lakhs in F.Y. 2021-22 from </w:t>
      </w:r>
      <w:r w:rsidR="001706A2" w:rsidRPr="00712F3C">
        <w:rPr>
          <w:rFonts w:ascii="Times New Roman" w:eastAsia="MS Mincho" w:hAnsi="Times New Roman"/>
          <w:sz w:val="20"/>
          <w:szCs w:val="20"/>
        </w:rPr>
        <w:t>₹</w:t>
      </w:r>
      <w:r w:rsidRPr="007515CC">
        <w:rPr>
          <w:rFonts w:ascii="Times New Roman" w:hAnsi="Times New Roman"/>
          <w:sz w:val="20"/>
          <w:szCs w:val="20"/>
        </w:rPr>
        <w:t xml:space="preserve"> 13,972.93 lakhs</w:t>
      </w:r>
      <w:r w:rsidRPr="001706A2">
        <w:rPr>
          <w:rFonts w:ascii="Times New Roman" w:hAnsi="Times New Roman"/>
          <w:sz w:val="20"/>
          <w:szCs w:val="20"/>
        </w:rPr>
        <w:t xml:space="preserve"> in F.Y. 2020-21.</w:t>
      </w:r>
    </w:p>
    <w:p w14:paraId="41A87121" w14:textId="77777777" w:rsidR="007515CC" w:rsidRDefault="007515CC" w:rsidP="007515CC">
      <w:pPr>
        <w:spacing w:after="0" w:line="240" w:lineRule="auto"/>
        <w:jc w:val="both"/>
        <w:rPr>
          <w:sz w:val="20"/>
          <w:szCs w:val="20"/>
        </w:rPr>
      </w:pPr>
    </w:p>
    <w:p w14:paraId="7608D215" w14:textId="77777777" w:rsidR="007515CC" w:rsidRPr="00712F3C" w:rsidRDefault="007515CC" w:rsidP="007515CC">
      <w:pPr>
        <w:autoSpaceDE w:val="0"/>
        <w:autoSpaceDN w:val="0"/>
        <w:adjustRightInd w:val="0"/>
        <w:spacing w:after="0" w:line="240" w:lineRule="auto"/>
        <w:jc w:val="both"/>
        <w:rPr>
          <w:rFonts w:ascii="Times New Roman" w:hAnsi="Times New Roman"/>
          <w:b/>
          <w:sz w:val="20"/>
          <w:szCs w:val="20"/>
          <w:u w:val="single"/>
          <w:lang w:bidi="hi-IN"/>
        </w:rPr>
      </w:pPr>
      <w:r w:rsidRPr="00712F3C">
        <w:rPr>
          <w:rFonts w:ascii="Times New Roman" w:hAnsi="Times New Roman"/>
          <w:b/>
          <w:sz w:val="20"/>
          <w:szCs w:val="20"/>
          <w:u w:val="single"/>
          <w:lang w:bidi="hi-IN"/>
        </w:rPr>
        <w:t>Information required as per Item (II) (C) (iv) of Part A of Schedule VI to the SEBI Regulations:</w:t>
      </w:r>
    </w:p>
    <w:p w14:paraId="4B705A54" w14:textId="77777777" w:rsidR="007515CC" w:rsidRPr="00E079C3" w:rsidRDefault="007515CC" w:rsidP="007515CC">
      <w:pPr>
        <w:autoSpaceDE w:val="0"/>
        <w:autoSpaceDN w:val="0"/>
        <w:adjustRightInd w:val="0"/>
        <w:spacing w:after="0" w:line="240" w:lineRule="auto"/>
        <w:jc w:val="both"/>
        <w:rPr>
          <w:rFonts w:ascii="Times New Roman" w:hAnsi="Times New Roman"/>
          <w:b/>
          <w:sz w:val="16"/>
          <w:szCs w:val="20"/>
          <w:lang w:bidi="hi-IN"/>
        </w:rPr>
      </w:pPr>
    </w:p>
    <w:p w14:paraId="3046152B" w14:textId="77777777" w:rsidR="007515CC" w:rsidRPr="00712F3C" w:rsidRDefault="007515CC" w:rsidP="007515CC">
      <w:pPr>
        <w:autoSpaceDE w:val="0"/>
        <w:autoSpaceDN w:val="0"/>
        <w:adjustRightInd w:val="0"/>
        <w:spacing w:after="0" w:line="240" w:lineRule="auto"/>
        <w:jc w:val="both"/>
        <w:rPr>
          <w:rFonts w:ascii="Times New Roman" w:hAnsi="Times New Roman"/>
          <w:b/>
          <w:sz w:val="20"/>
          <w:szCs w:val="20"/>
          <w:lang w:bidi="hi-IN"/>
        </w:rPr>
      </w:pPr>
      <w:r w:rsidRPr="00712F3C">
        <w:rPr>
          <w:rFonts w:ascii="Times New Roman" w:hAnsi="Times New Roman"/>
          <w:b/>
          <w:sz w:val="20"/>
          <w:szCs w:val="20"/>
          <w:lang w:bidi="hi-IN"/>
        </w:rPr>
        <w:t>An analysis of reasons for the changes in significant items of income and expenditure is given hereunder:</w:t>
      </w:r>
    </w:p>
    <w:p w14:paraId="0BA6E57F" w14:textId="77777777" w:rsidR="007515CC" w:rsidRPr="00712F3C" w:rsidRDefault="007515CC" w:rsidP="007515CC">
      <w:pPr>
        <w:spacing w:after="0" w:line="240" w:lineRule="auto"/>
        <w:jc w:val="both"/>
        <w:rPr>
          <w:rFonts w:ascii="Times New Roman" w:hAnsi="Times New Roman"/>
          <w:sz w:val="20"/>
          <w:szCs w:val="20"/>
        </w:rPr>
      </w:pPr>
    </w:p>
    <w:p w14:paraId="1CBEE892" w14:textId="77777777" w:rsidR="007515CC" w:rsidRPr="00712F3C" w:rsidRDefault="007515CC">
      <w:pPr>
        <w:numPr>
          <w:ilvl w:val="0"/>
          <w:numId w:val="281"/>
        </w:numPr>
        <w:autoSpaceDE w:val="0"/>
        <w:autoSpaceDN w:val="0"/>
        <w:adjustRightInd w:val="0"/>
        <w:spacing w:after="0" w:line="240" w:lineRule="auto"/>
        <w:ind w:left="360"/>
        <w:jc w:val="both"/>
        <w:rPr>
          <w:rFonts w:ascii="Times New Roman" w:hAnsi="Times New Roman"/>
          <w:b/>
          <w:i/>
          <w:sz w:val="20"/>
          <w:szCs w:val="20"/>
        </w:rPr>
      </w:pPr>
      <w:r w:rsidRPr="00712F3C">
        <w:rPr>
          <w:rFonts w:ascii="Times New Roman" w:hAnsi="Times New Roman"/>
          <w:b/>
          <w:i/>
          <w:sz w:val="20"/>
          <w:szCs w:val="20"/>
        </w:rPr>
        <w:t>Unusual or infrequent events or transactions</w:t>
      </w:r>
    </w:p>
    <w:p w14:paraId="62ECDBB0" w14:textId="77777777" w:rsidR="007515CC" w:rsidRPr="00E079C3" w:rsidRDefault="007515CC" w:rsidP="007515CC">
      <w:pPr>
        <w:autoSpaceDE w:val="0"/>
        <w:autoSpaceDN w:val="0"/>
        <w:adjustRightInd w:val="0"/>
        <w:spacing w:after="0" w:line="240" w:lineRule="auto"/>
        <w:ind w:left="360"/>
        <w:jc w:val="both"/>
        <w:rPr>
          <w:rFonts w:ascii="Times New Roman" w:hAnsi="Times New Roman"/>
          <w:b/>
          <w:i/>
          <w:sz w:val="16"/>
          <w:szCs w:val="20"/>
        </w:rPr>
      </w:pPr>
    </w:p>
    <w:p w14:paraId="33B4E70C" w14:textId="77777777" w:rsidR="007515CC" w:rsidRPr="00712F3C" w:rsidRDefault="007515CC" w:rsidP="007515CC">
      <w:pPr>
        <w:autoSpaceDE w:val="0"/>
        <w:autoSpaceDN w:val="0"/>
        <w:adjustRightInd w:val="0"/>
        <w:spacing w:after="0" w:line="240" w:lineRule="auto"/>
        <w:jc w:val="both"/>
        <w:rPr>
          <w:rFonts w:ascii="Times New Roman" w:hAnsi="Times New Roman"/>
          <w:sz w:val="20"/>
          <w:szCs w:val="20"/>
        </w:rPr>
      </w:pPr>
      <w:r w:rsidRPr="00712F3C">
        <w:rPr>
          <w:rFonts w:ascii="Times New Roman" w:hAnsi="Times New Roman"/>
          <w:sz w:val="20"/>
          <w:szCs w:val="20"/>
        </w:rPr>
        <w:t>There has not been any unusual trend on account of our business activity. Except as disclosed in this Draft Red Herring Prospectus, there are no unusual or infrequent events or transactions in our Company.</w:t>
      </w:r>
    </w:p>
    <w:p w14:paraId="3E1097B8" w14:textId="77777777" w:rsidR="007515CC" w:rsidRPr="00712F3C" w:rsidRDefault="007515CC" w:rsidP="007515CC">
      <w:pPr>
        <w:autoSpaceDE w:val="0"/>
        <w:autoSpaceDN w:val="0"/>
        <w:adjustRightInd w:val="0"/>
        <w:spacing w:after="0" w:line="240" w:lineRule="auto"/>
        <w:jc w:val="both"/>
        <w:rPr>
          <w:rFonts w:ascii="Times New Roman" w:hAnsi="Times New Roman"/>
          <w:i/>
          <w:sz w:val="20"/>
          <w:szCs w:val="20"/>
        </w:rPr>
      </w:pPr>
    </w:p>
    <w:p w14:paraId="1D9937F3" w14:textId="77777777" w:rsidR="007515CC" w:rsidRPr="00712F3C" w:rsidRDefault="007515CC">
      <w:pPr>
        <w:numPr>
          <w:ilvl w:val="0"/>
          <w:numId w:val="281"/>
        </w:numPr>
        <w:autoSpaceDE w:val="0"/>
        <w:autoSpaceDN w:val="0"/>
        <w:adjustRightInd w:val="0"/>
        <w:spacing w:after="0" w:line="240" w:lineRule="auto"/>
        <w:ind w:left="360"/>
        <w:jc w:val="both"/>
        <w:rPr>
          <w:rFonts w:ascii="Times New Roman" w:hAnsi="Times New Roman"/>
          <w:b/>
          <w:i/>
          <w:sz w:val="20"/>
          <w:szCs w:val="20"/>
        </w:rPr>
      </w:pPr>
      <w:r w:rsidRPr="00712F3C">
        <w:rPr>
          <w:rFonts w:ascii="Times New Roman" w:hAnsi="Times New Roman"/>
          <w:b/>
          <w:i/>
          <w:sz w:val="20"/>
          <w:szCs w:val="20"/>
        </w:rPr>
        <w:t>Significant economic changes that materially affected or are likely to affect income from continuing operations.</w:t>
      </w:r>
    </w:p>
    <w:p w14:paraId="1A043168" w14:textId="77777777" w:rsidR="007515CC" w:rsidRPr="00E079C3" w:rsidRDefault="007515CC" w:rsidP="007515CC">
      <w:pPr>
        <w:autoSpaceDE w:val="0"/>
        <w:autoSpaceDN w:val="0"/>
        <w:adjustRightInd w:val="0"/>
        <w:spacing w:after="0" w:line="240" w:lineRule="auto"/>
        <w:jc w:val="both"/>
        <w:rPr>
          <w:rFonts w:ascii="Times New Roman" w:hAnsi="Times New Roman"/>
          <w:b/>
          <w:i/>
          <w:sz w:val="16"/>
          <w:szCs w:val="20"/>
        </w:rPr>
      </w:pPr>
    </w:p>
    <w:p w14:paraId="2DE82B3D" w14:textId="77777777" w:rsidR="007515CC" w:rsidRPr="00712F3C" w:rsidRDefault="007515CC" w:rsidP="007515CC">
      <w:pPr>
        <w:autoSpaceDE w:val="0"/>
        <w:autoSpaceDN w:val="0"/>
        <w:adjustRightInd w:val="0"/>
        <w:spacing w:after="0" w:line="240" w:lineRule="auto"/>
        <w:jc w:val="both"/>
        <w:rPr>
          <w:rFonts w:ascii="Times New Roman" w:hAnsi="Times New Roman"/>
          <w:sz w:val="20"/>
          <w:szCs w:val="20"/>
        </w:rPr>
      </w:pPr>
      <w:r w:rsidRPr="00712F3C">
        <w:rPr>
          <w:rFonts w:ascii="Times New Roman" w:hAnsi="Times New Roman"/>
          <w:sz w:val="20"/>
          <w:szCs w:val="20"/>
        </w:rPr>
        <w:t>There are no significant economic changes that may materially affect or likely to affect income from continuing operations.</w:t>
      </w:r>
    </w:p>
    <w:p w14:paraId="3ECF8F70" w14:textId="77777777" w:rsidR="007515CC" w:rsidRPr="00712F3C" w:rsidRDefault="007515CC" w:rsidP="007515CC">
      <w:pPr>
        <w:autoSpaceDE w:val="0"/>
        <w:autoSpaceDN w:val="0"/>
        <w:adjustRightInd w:val="0"/>
        <w:spacing w:after="0" w:line="240" w:lineRule="auto"/>
        <w:jc w:val="both"/>
        <w:rPr>
          <w:rFonts w:ascii="Times New Roman" w:hAnsi="Times New Roman"/>
          <w:sz w:val="20"/>
          <w:szCs w:val="20"/>
        </w:rPr>
      </w:pPr>
    </w:p>
    <w:p w14:paraId="3BBE9215" w14:textId="77777777" w:rsidR="007515CC" w:rsidRPr="00712F3C" w:rsidRDefault="007515CC">
      <w:pPr>
        <w:numPr>
          <w:ilvl w:val="0"/>
          <w:numId w:val="281"/>
        </w:numPr>
        <w:autoSpaceDE w:val="0"/>
        <w:autoSpaceDN w:val="0"/>
        <w:adjustRightInd w:val="0"/>
        <w:spacing w:after="0" w:line="240" w:lineRule="auto"/>
        <w:ind w:left="360"/>
        <w:jc w:val="both"/>
        <w:rPr>
          <w:rFonts w:ascii="Times New Roman" w:hAnsi="Times New Roman"/>
          <w:b/>
          <w:i/>
          <w:sz w:val="20"/>
          <w:szCs w:val="20"/>
        </w:rPr>
      </w:pPr>
      <w:r w:rsidRPr="00712F3C">
        <w:rPr>
          <w:rFonts w:ascii="Times New Roman" w:hAnsi="Times New Roman"/>
          <w:b/>
          <w:i/>
          <w:sz w:val="20"/>
          <w:szCs w:val="20"/>
        </w:rPr>
        <w:t>Known trends or uncertainties that have had or are expected to have a material adverse impact on sales, revenue or income from continuing operations.</w:t>
      </w:r>
    </w:p>
    <w:p w14:paraId="18F6F3AB" w14:textId="77777777" w:rsidR="007515CC" w:rsidRPr="00E079C3" w:rsidRDefault="007515CC" w:rsidP="007515CC">
      <w:pPr>
        <w:autoSpaceDE w:val="0"/>
        <w:autoSpaceDN w:val="0"/>
        <w:adjustRightInd w:val="0"/>
        <w:spacing w:after="0" w:line="240" w:lineRule="auto"/>
        <w:ind w:left="360"/>
        <w:jc w:val="both"/>
        <w:rPr>
          <w:rFonts w:ascii="Times New Roman" w:hAnsi="Times New Roman"/>
          <w:b/>
          <w:i/>
          <w:sz w:val="16"/>
          <w:szCs w:val="20"/>
        </w:rPr>
      </w:pPr>
    </w:p>
    <w:p w14:paraId="54EE97E6" w14:textId="77777777" w:rsidR="007515CC" w:rsidRPr="00712F3C" w:rsidRDefault="007515CC" w:rsidP="007515CC">
      <w:pPr>
        <w:autoSpaceDE w:val="0"/>
        <w:autoSpaceDN w:val="0"/>
        <w:adjustRightInd w:val="0"/>
        <w:spacing w:after="0" w:line="240" w:lineRule="auto"/>
        <w:jc w:val="both"/>
        <w:rPr>
          <w:rFonts w:ascii="Times New Roman" w:hAnsi="Times New Roman"/>
          <w:sz w:val="20"/>
          <w:szCs w:val="20"/>
        </w:rPr>
      </w:pPr>
      <w:r w:rsidRPr="00712F3C">
        <w:rPr>
          <w:rFonts w:ascii="Times New Roman" w:hAnsi="Times New Roman"/>
          <w:sz w:val="20"/>
          <w:szCs w:val="20"/>
        </w:rPr>
        <w:t xml:space="preserve">Apart from the risks as disclosed under Section </w:t>
      </w:r>
      <w:r w:rsidRPr="00712F3C">
        <w:rPr>
          <w:rFonts w:ascii="Times New Roman" w:hAnsi="Times New Roman"/>
          <w:b/>
          <w:iCs/>
          <w:sz w:val="20"/>
          <w:szCs w:val="20"/>
        </w:rPr>
        <w:t>“</w:t>
      </w:r>
      <w:r w:rsidRPr="00712F3C">
        <w:rPr>
          <w:rFonts w:ascii="Times New Roman" w:hAnsi="Times New Roman"/>
          <w:b/>
          <w:i/>
          <w:iCs/>
          <w:sz w:val="20"/>
          <w:szCs w:val="20"/>
        </w:rPr>
        <w:t>Risk Factors</w:t>
      </w:r>
      <w:r w:rsidRPr="00712F3C">
        <w:rPr>
          <w:rFonts w:ascii="Times New Roman" w:hAnsi="Times New Roman"/>
          <w:b/>
          <w:iCs/>
          <w:sz w:val="20"/>
          <w:szCs w:val="20"/>
        </w:rPr>
        <w:t>”</w:t>
      </w:r>
      <w:r w:rsidRPr="00712F3C">
        <w:rPr>
          <w:rFonts w:ascii="Times New Roman" w:hAnsi="Times New Roman"/>
          <w:iCs/>
          <w:sz w:val="20"/>
          <w:szCs w:val="20"/>
        </w:rPr>
        <w:t xml:space="preserve"> beginning on page </w:t>
      </w:r>
      <w:r>
        <w:rPr>
          <w:rFonts w:ascii="Times New Roman" w:hAnsi="Times New Roman"/>
          <w:iCs/>
          <w:sz w:val="20"/>
          <w:szCs w:val="20"/>
        </w:rPr>
        <w:t>25</w:t>
      </w:r>
      <w:r w:rsidRPr="00712F3C">
        <w:rPr>
          <w:rFonts w:ascii="Times New Roman" w:hAnsi="Times New Roman"/>
          <w:iCs/>
          <w:sz w:val="20"/>
          <w:szCs w:val="20"/>
        </w:rPr>
        <w:t xml:space="preserve"> of the Draft </w:t>
      </w:r>
      <w:r w:rsidRPr="00712F3C">
        <w:rPr>
          <w:rFonts w:ascii="Times New Roman" w:hAnsi="Times New Roman"/>
          <w:sz w:val="20"/>
          <w:szCs w:val="20"/>
        </w:rPr>
        <w:t xml:space="preserve">Red Herring </w:t>
      </w:r>
      <w:r w:rsidRPr="00712F3C">
        <w:rPr>
          <w:rFonts w:ascii="Times New Roman" w:hAnsi="Times New Roman"/>
          <w:iCs/>
          <w:sz w:val="20"/>
          <w:szCs w:val="20"/>
        </w:rPr>
        <w:t>Prospectus</w:t>
      </w:r>
      <w:r w:rsidRPr="00712F3C">
        <w:rPr>
          <w:rFonts w:ascii="Times New Roman" w:hAnsi="Times New Roman"/>
          <w:sz w:val="20"/>
          <w:szCs w:val="20"/>
        </w:rPr>
        <w:t>, in our opinion there are no other known trends or uncertainties that have had or are expected to have a material adverse impact on revenue or income from continuing operations.</w:t>
      </w:r>
    </w:p>
    <w:p w14:paraId="604635E8" w14:textId="77777777" w:rsidR="007515CC" w:rsidRPr="00712F3C" w:rsidRDefault="007515CC" w:rsidP="007515CC">
      <w:pPr>
        <w:autoSpaceDE w:val="0"/>
        <w:autoSpaceDN w:val="0"/>
        <w:adjustRightInd w:val="0"/>
        <w:spacing w:after="0" w:line="240" w:lineRule="auto"/>
        <w:jc w:val="both"/>
        <w:rPr>
          <w:rFonts w:ascii="Times New Roman" w:hAnsi="Times New Roman"/>
          <w:sz w:val="20"/>
          <w:szCs w:val="20"/>
        </w:rPr>
      </w:pPr>
    </w:p>
    <w:p w14:paraId="008EFFF1" w14:textId="77777777" w:rsidR="007515CC" w:rsidRPr="00712F3C" w:rsidRDefault="007515CC">
      <w:pPr>
        <w:numPr>
          <w:ilvl w:val="0"/>
          <w:numId w:val="281"/>
        </w:numPr>
        <w:autoSpaceDE w:val="0"/>
        <w:autoSpaceDN w:val="0"/>
        <w:adjustRightInd w:val="0"/>
        <w:spacing w:after="0" w:line="240" w:lineRule="auto"/>
        <w:ind w:left="360"/>
        <w:jc w:val="both"/>
        <w:rPr>
          <w:rFonts w:ascii="Times New Roman" w:hAnsi="Times New Roman"/>
          <w:b/>
          <w:i/>
          <w:sz w:val="20"/>
          <w:szCs w:val="20"/>
        </w:rPr>
      </w:pPr>
      <w:r w:rsidRPr="00712F3C">
        <w:rPr>
          <w:rFonts w:ascii="Times New Roman" w:hAnsi="Times New Roman"/>
          <w:b/>
          <w:i/>
          <w:sz w:val="20"/>
          <w:szCs w:val="20"/>
        </w:rPr>
        <w:t>Future changes in relationship between costs and revenues</w:t>
      </w:r>
    </w:p>
    <w:p w14:paraId="08FD814B" w14:textId="77777777" w:rsidR="007515CC" w:rsidRPr="00E079C3" w:rsidRDefault="007515CC" w:rsidP="007515CC">
      <w:pPr>
        <w:autoSpaceDE w:val="0"/>
        <w:autoSpaceDN w:val="0"/>
        <w:adjustRightInd w:val="0"/>
        <w:spacing w:after="0" w:line="240" w:lineRule="auto"/>
        <w:ind w:left="360"/>
        <w:jc w:val="both"/>
        <w:rPr>
          <w:rFonts w:ascii="Times New Roman" w:hAnsi="Times New Roman"/>
          <w:b/>
          <w:i/>
          <w:sz w:val="18"/>
          <w:szCs w:val="20"/>
        </w:rPr>
      </w:pPr>
    </w:p>
    <w:p w14:paraId="0055CB54" w14:textId="77777777" w:rsidR="007515CC" w:rsidRPr="00712F3C" w:rsidRDefault="007515CC" w:rsidP="007515CC">
      <w:pPr>
        <w:autoSpaceDE w:val="0"/>
        <w:autoSpaceDN w:val="0"/>
        <w:adjustRightInd w:val="0"/>
        <w:spacing w:after="0" w:line="240" w:lineRule="auto"/>
        <w:jc w:val="both"/>
        <w:rPr>
          <w:rFonts w:ascii="Times New Roman" w:hAnsi="Times New Roman"/>
          <w:sz w:val="20"/>
          <w:szCs w:val="20"/>
        </w:rPr>
      </w:pPr>
      <w:r w:rsidRPr="00712F3C">
        <w:rPr>
          <w:rFonts w:ascii="Times New Roman" w:hAnsi="Times New Roman"/>
          <w:sz w:val="20"/>
          <w:szCs w:val="20"/>
        </w:rPr>
        <w:t xml:space="preserve">Other than as described in the sections </w:t>
      </w:r>
      <w:r w:rsidRPr="00712F3C">
        <w:rPr>
          <w:rFonts w:ascii="Times New Roman" w:hAnsi="Times New Roman"/>
          <w:b/>
          <w:i/>
          <w:sz w:val="20"/>
          <w:szCs w:val="20"/>
        </w:rPr>
        <w:t>“Risk Factors”</w:t>
      </w:r>
      <w:r w:rsidRPr="00712F3C">
        <w:rPr>
          <w:rFonts w:ascii="Times New Roman" w:hAnsi="Times New Roman"/>
          <w:sz w:val="20"/>
          <w:szCs w:val="20"/>
        </w:rPr>
        <w:t xml:space="preserve">, </w:t>
      </w:r>
      <w:r w:rsidRPr="00712F3C">
        <w:rPr>
          <w:rFonts w:ascii="Times New Roman" w:hAnsi="Times New Roman"/>
          <w:b/>
          <w:i/>
          <w:sz w:val="20"/>
          <w:szCs w:val="20"/>
        </w:rPr>
        <w:t>“Our Business”</w:t>
      </w:r>
      <w:r w:rsidRPr="00712F3C">
        <w:rPr>
          <w:rFonts w:ascii="Times New Roman" w:hAnsi="Times New Roman"/>
          <w:sz w:val="20"/>
          <w:szCs w:val="20"/>
        </w:rPr>
        <w:t xml:space="preserve"> and </w:t>
      </w:r>
      <w:r w:rsidRPr="00712F3C">
        <w:rPr>
          <w:rFonts w:ascii="Times New Roman" w:hAnsi="Times New Roman"/>
          <w:b/>
          <w:i/>
          <w:sz w:val="20"/>
          <w:szCs w:val="20"/>
        </w:rPr>
        <w:t>“Management’s Discussion and Analysis of Financial Condition and Results of Operations”</w:t>
      </w:r>
      <w:r w:rsidRPr="00712F3C">
        <w:rPr>
          <w:rFonts w:ascii="Times New Roman" w:hAnsi="Times New Roman"/>
          <w:sz w:val="20"/>
          <w:szCs w:val="20"/>
        </w:rPr>
        <w:t xml:space="preserve"> on pages </w:t>
      </w:r>
      <w:r>
        <w:rPr>
          <w:rFonts w:ascii="Times New Roman" w:hAnsi="Times New Roman"/>
          <w:sz w:val="20"/>
          <w:szCs w:val="20"/>
        </w:rPr>
        <w:t>25</w:t>
      </w:r>
      <w:r w:rsidRPr="00712F3C">
        <w:rPr>
          <w:rFonts w:ascii="Times New Roman" w:hAnsi="Times New Roman"/>
          <w:sz w:val="20"/>
          <w:szCs w:val="20"/>
        </w:rPr>
        <w:t xml:space="preserve">, </w:t>
      </w:r>
      <w:r>
        <w:rPr>
          <w:rFonts w:ascii="Times New Roman" w:hAnsi="Times New Roman"/>
          <w:sz w:val="20"/>
          <w:szCs w:val="20"/>
        </w:rPr>
        <w:t>91</w:t>
      </w:r>
      <w:r w:rsidRPr="00712F3C">
        <w:rPr>
          <w:rFonts w:ascii="Times New Roman" w:hAnsi="Times New Roman"/>
          <w:sz w:val="20"/>
          <w:szCs w:val="20"/>
        </w:rPr>
        <w:t xml:space="preserve"> and </w:t>
      </w:r>
      <w:r>
        <w:rPr>
          <w:rFonts w:ascii="Times New Roman" w:hAnsi="Times New Roman"/>
          <w:sz w:val="20"/>
          <w:szCs w:val="20"/>
        </w:rPr>
        <w:t>177</w:t>
      </w:r>
      <w:r w:rsidRPr="00712F3C">
        <w:rPr>
          <w:rFonts w:ascii="Times New Roman" w:hAnsi="Times New Roman"/>
          <w:sz w:val="20"/>
          <w:szCs w:val="20"/>
        </w:rPr>
        <w:t xml:space="preserve"> respectively, to our knowledge, no future relationship between expenditure and income is expected to have a material adverse impact on our operations and finances.</w:t>
      </w:r>
    </w:p>
    <w:p w14:paraId="76661384" w14:textId="77777777" w:rsidR="007515CC" w:rsidRPr="00712F3C" w:rsidRDefault="007515CC" w:rsidP="007515CC">
      <w:pPr>
        <w:autoSpaceDE w:val="0"/>
        <w:autoSpaceDN w:val="0"/>
        <w:adjustRightInd w:val="0"/>
        <w:spacing w:after="0" w:line="240" w:lineRule="auto"/>
        <w:jc w:val="both"/>
        <w:rPr>
          <w:rFonts w:ascii="Times New Roman" w:hAnsi="Times New Roman"/>
          <w:sz w:val="20"/>
          <w:szCs w:val="20"/>
        </w:rPr>
      </w:pPr>
    </w:p>
    <w:p w14:paraId="4507A7C7" w14:textId="77777777" w:rsidR="007515CC" w:rsidRPr="00712F3C" w:rsidRDefault="007515CC">
      <w:pPr>
        <w:numPr>
          <w:ilvl w:val="0"/>
          <w:numId w:val="281"/>
        </w:numPr>
        <w:autoSpaceDE w:val="0"/>
        <w:autoSpaceDN w:val="0"/>
        <w:adjustRightInd w:val="0"/>
        <w:spacing w:after="0" w:line="240" w:lineRule="auto"/>
        <w:ind w:left="360"/>
        <w:jc w:val="both"/>
        <w:rPr>
          <w:rFonts w:ascii="Times New Roman" w:hAnsi="Times New Roman"/>
          <w:b/>
          <w:i/>
          <w:sz w:val="20"/>
          <w:szCs w:val="20"/>
        </w:rPr>
      </w:pPr>
      <w:r w:rsidRPr="00712F3C">
        <w:rPr>
          <w:rFonts w:ascii="Times New Roman" w:hAnsi="Times New Roman"/>
          <w:b/>
          <w:i/>
          <w:sz w:val="20"/>
          <w:szCs w:val="20"/>
        </w:rPr>
        <w:t>Total turnover of each major industry segment in which our Company operates</w:t>
      </w:r>
    </w:p>
    <w:p w14:paraId="51BC4E71" w14:textId="77777777" w:rsidR="007515CC" w:rsidRPr="00E079C3" w:rsidRDefault="007515CC" w:rsidP="007515CC">
      <w:pPr>
        <w:autoSpaceDE w:val="0"/>
        <w:autoSpaceDN w:val="0"/>
        <w:adjustRightInd w:val="0"/>
        <w:spacing w:after="0" w:line="240" w:lineRule="auto"/>
        <w:ind w:left="360"/>
        <w:jc w:val="both"/>
        <w:rPr>
          <w:rFonts w:ascii="Times New Roman" w:hAnsi="Times New Roman"/>
          <w:b/>
          <w:i/>
          <w:sz w:val="16"/>
          <w:szCs w:val="20"/>
        </w:rPr>
      </w:pPr>
    </w:p>
    <w:p w14:paraId="401A1407" w14:textId="2397A6E2" w:rsidR="007515CC" w:rsidRPr="00712F3C" w:rsidRDefault="007515CC" w:rsidP="007515CC">
      <w:pPr>
        <w:autoSpaceDE w:val="0"/>
        <w:autoSpaceDN w:val="0"/>
        <w:adjustRightInd w:val="0"/>
        <w:spacing w:after="0" w:line="240" w:lineRule="auto"/>
        <w:jc w:val="both"/>
        <w:rPr>
          <w:rFonts w:ascii="Times New Roman" w:hAnsi="Times New Roman"/>
          <w:sz w:val="20"/>
          <w:szCs w:val="20"/>
        </w:rPr>
      </w:pPr>
      <w:r w:rsidRPr="00712F3C">
        <w:rPr>
          <w:rFonts w:ascii="Times New Roman" w:hAnsi="Times New Roman"/>
          <w:sz w:val="20"/>
          <w:szCs w:val="20"/>
        </w:rPr>
        <w:t>Our business activity primarily falls within a single business and geographical segment, i.e.</w:t>
      </w:r>
      <w:r w:rsidR="008F10D3">
        <w:rPr>
          <w:rFonts w:ascii="Times New Roman" w:hAnsi="Times New Roman"/>
          <w:sz w:val="20"/>
          <w:szCs w:val="20"/>
        </w:rPr>
        <w:t>,</w:t>
      </w:r>
      <w:r w:rsidRPr="00712F3C">
        <w:rPr>
          <w:rFonts w:ascii="Times New Roman" w:hAnsi="Times New Roman"/>
          <w:sz w:val="20"/>
          <w:szCs w:val="20"/>
        </w:rPr>
        <w:t xml:space="preserve"> is engaged in the business of event management services, wedding planning services and adventure tourism, as disclosed in </w:t>
      </w:r>
      <w:r w:rsidRPr="00712F3C">
        <w:rPr>
          <w:rFonts w:ascii="Times New Roman" w:hAnsi="Times New Roman"/>
          <w:b/>
          <w:i/>
          <w:sz w:val="20"/>
          <w:szCs w:val="20"/>
        </w:rPr>
        <w:t>“Restated Financial Statements”</w:t>
      </w:r>
      <w:r w:rsidRPr="00712F3C">
        <w:rPr>
          <w:rFonts w:ascii="Times New Roman" w:hAnsi="Times New Roman"/>
          <w:sz w:val="20"/>
          <w:szCs w:val="20"/>
        </w:rPr>
        <w:t xml:space="preserve"> on page </w:t>
      </w:r>
      <w:r>
        <w:rPr>
          <w:rFonts w:ascii="Times New Roman" w:hAnsi="Times New Roman"/>
          <w:sz w:val="20"/>
          <w:szCs w:val="20"/>
        </w:rPr>
        <w:t>130</w:t>
      </w:r>
      <w:r w:rsidRPr="00712F3C">
        <w:rPr>
          <w:rFonts w:ascii="Times New Roman" w:hAnsi="Times New Roman"/>
          <w:sz w:val="20"/>
          <w:szCs w:val="20"/>
        </w:rPr>
        <w:t>, we do not follow any other segment reporting.</w:t>
      </w:r>
    </w:p>
    <w:p w14:paraId="437F1541" w14:textId="77777777" w:rsidR="007515CC" w:rsidRPr="00712F3C" w:rsidRDefault="007515CC" w:rsidP="007515CC">
      <w:pPr>
        <w:autoSpaceDE w:val="0"/>
        <w:autoSpaceDN w:val="0"/>
        <w:adjustRightInd w:val="0"/>
        <w:spacing w:after="0" w:line="240" w:lineRule="auto"/>
        <w:jc w:val="both"/>
        <w:rPr>
          <w:rFonts w:ascii="Times New Roman" w:hAnsi="Times New Roman"/>
          <w:sz w:val="20"/>
          <w:szCs w:val="20"/>
        </w:rPr>
      </w:pPr>
    </w:p>
    <w:p w14:paraId="7D5F27BD" w14:textId="77777777" w:rsidR="007515CC" w:rsidRPr="00712F3C" w:rsidRDefault="007515CC">
      <w:pPr>
        <w:numPr>
          <w:ilvl w:val="0"/>
          <w:numId w:val="281"/>
        </w:numPr>
        <w:autoSpaceDE w:val="0"/>
        <w:autoSpaceDN w:val="0"/>
        <w:adjustRightInd w:val="0"/>
        <w:spacing w:after="0" w:line="240" w:lineRule="auto"/>
        <w:ind w:left="360"/>
        <w:jc w:val="both"/>
        <w:rPr>
          <w:rFonts w:ascii="Times New Roman" w:hAnsi="Times New Roman"/>
          <w:b/>
          <w:bCs/>
          <w:i/>
          <w:sz w:val="20"/>
          <w:szCs w:val="20"/>
        </w:rPr>
      </w:pPr>
      <w:r w:rsidRPr="00712F3C">
        <w:rPr>
          <w:rFonts w:ascii="Times New Roman" w:hAnsi="Times New Roman"/>
          <w:b/>
          <w:bCs/>
          <w:i/>
          <w:sz w:val="20"/>
          <w:szCs w:val="20"/>
        </w:rPr>
        <w:t>Status of any publicly announced New Products or Business Segment</w:t>
      </w:r>
    </w:p>
    <w:p w14:paraId="468488A7" w14:textId="77777777" w:rsidR="007515CC" w:rsidRPr="00E079C3" w:rsidRDefault="007515CC" w:rsidP="007515CC">
      <w:pPr>
        <w:autoSpaceDE w:val="0"/>
        <w:autoSpaceDN w:val="0"/>
        <w:adjustRightInd w:val="0"/>
        <w:spacing w:after="0" w:line="240" w:lineRule="auto"/>
        <w:ind w:left="360"/>
        <w:jc w:val="both"/>
        <w:rPr>
          <w:rFonts w:ascii="Times New Roman" w:hAnsi="Times New Roman"/>
          <w:b/>
          <w:bCs/>
          <w:i/>
          <w:sz w:val="16"/>
          <w:szCs w:val="20"/>
        </w:rPr>
      </w:pPr>
    </w:p>
    <w:p w14:paraId="657B4668" w14:textId="77777777" w:rsidR="007515CC" w:rsidRPr="00712F3C" w:rsidRDefault="007515CC" w:rsidP="007515CC">
      <w:pPr>
        <w:autoSpaceDE w:val="0"/>
        <w:autoSpaceDN w:val="0"/>
        <w:adjustRightInd w:val="0"/>
        <w:spacing w:after="0" w:line="240" w:lineRule="auto"/>
        <w:jc w:val="both"/>
        <w:rPr>
          <w:rFonts w:ascii="Times New Roman" w:hAnsi="Times New Roman"/>
          <w:sz w:val="20"/>
          <w:szCs w:val="20"/>
        </w:rPr>
      </w:pPr>
      <w:r w:rsidRPr="00712F3C">
        <w:rPr>
          <w:rFonts w:ascii="Times New Roman" w:hAnsi="Times New Roman"/>
          <w:sz w:val="20"/>
          <w:szCs w:val="20"/>
        </w:rPr>
        <w:t xml:space="preserve">Except as disclosed in the Chapter </w:t>
      </w:r>
      <w:r w:rsidRPr="00712F3C">
        <w:rPr>
          <w:rFonts w:ascii="Times New Roman" w:hAnsi="Times New Roman"/>
          <w:b/>
          <w:i/>
          <w:sz w:val="20"/>
          <w:szCs w:val="20"/>
        </w:rPr>
        <w:t xml:space="preserve">“Our Business” </w:t>
      </w:r>
      <w:r w:rsidRPr="00712F3C">
        <w:rPr>
          <w:rFonts w:ascii="Times New Roman" w:hAnsi="Times New Roman"/>
          <w:sz w:val="20"/>
          <w:szCs w:val="20"/>
        </w:rPr>
        <w:t xml:space="preserve">on page </w:t>
      </w:r>
      <w:r>
        <w:rPr>
          <w:rFonts w:ascii="Times New Roman" w:hAnsi="Times New Roman"/>
          <w:sz w:val="20"/>
          <w:szCs w:val="20"/>
        </w:rPr>
        <w:t>91</w:t>
      </w:r>
      <w:r w:rsidRPr="00712F3C">
        <w:rPr>
          <w:rFonts w:ascii="Times New Roman" w:hAnsi="Times New Roman"/>
          <w:sz w:val="20"/>
          <w:szCs w:val="20"/>
        </w:rPr>
        <w:t>, our Company has not announced any new product or service.</w:t>
      </w:r>
    </w:p>
    <w:p w14:paraId="4548F885" w14:textId="77777777" w:rsidR="007515CC" w:rsidRDefault="007515CC" w:rsidP="007515CC">
      <w:pPr>
        <w:autoSpaceDE w:val="0"/>
        <w:autoSpaceDN w:val="0"/>
        <w:adjustRightInd w:val="0"/>
        <w:spacing w:after="0" w:line="240" w:lineRule="auto"/>
        <w:ind w:left="360" w:hanging="360"/>
        <w:jc w:val="both"/>
        <w:rPr>
          <w:rFonts w:ascii="Times New Roman" w:hAnsi="Times New Roman"/>
          <w:i/>
          <w:sz w:val="20"/>
          <w:szCs w:val="20"/>
        </w:rPr>
      </w:pPr>
    </w:p>
    <w:p w14:paraId="1B72E002" w14:textId="77777777" w:rsidR="007515CC" w:rsidRPr="00712F3C" w:rsidRDefault="007515CC">
      <w:pPr>
        <w:numPr>
          <w:ilvl w:val="0"/>
          <w:numId w:val="281"/>
        </w:numPr>
        <w:autoSpaceDE w:val="0"/>
        <w:autoSpaceDN w:val="0"/>
        <w:adjustRightInd w:val="0"/>
        <w:spacing w:after="0" w:line="240" w:lineRule="auto"/>
        <w:ind w:left="360"/>
        <w:jc w:val="both"/>
        <w:rPr>
          <w:rFonts w:ascii="Times New Roman" w:hAnsi="Times New Roman"/>
          <w:b/>
          <w:bCs/>
          <w:i/>
          <w:sz w:val="20"/>
          <w:szCs w:val="20"/>
        </w:rPr>
      </w:pPr>
      <w:r w:rsidRPr="00712F3C">
        <w:rPr>
          <w:rFonts w:ascii="Times New Roman" w:hAnsi="Times New Roman"/>
          <w:b/>
          <w:bCs/>
          <w:i/>
          <w:sz w:val="20"/>
          <w:szCs w:val="20"/>
        </w:rPr>
        <w:t>Seasonality of business</w:t>
      </w:r>
    </w:p>
    <w:p w14:paraId="21087077" w14:textId="77777777" w:rsidR="007515CC" w:rsidRPr="00E079C3" w:rsidRDefault="007515CC" w:rsidP="007515CC">
      <w:pPr>
        <w:autoSpaceDE w:val="0"/>
        <w:autoSpaceDN w:val="0"/>
        <w:adjustRightInd w:val="0"/>
        <w:spacing w:after="0" w:line="240" w:lineRule="auto"/>
        <w:ind w:left="360"/>
        <w:jc w:val="both"/>
        <w:rPr>
          <w:rFonts w:ascii="Times New Roman" w:hAnsi="Times New Roman"/>
          <w:b/>
          <w:bCs/>
          <w:i/>
          <w:sz w:val="16"/>
          <w:szCs w:val="20"/>
        </w:rPr>
      </w:pPr>
    </w:p>
    <w:p w14:paraId="5BCF407F" w14:textId="77777777" w:rsidR="007515CC" w:rsidRDefault="007515CC" w:rsidP="007515CC">
      <w:pPr>
        <w:autoSpaceDE w:val="0"/>
        <w:autoSpaceDN w:val="0"/>
        <w:adjustRightInd w:val="0"/>
        <w:spacing w:after="0" w:line="240" w:lineRule="auto"/>
        <w:jc w:val="both"/>
        <w:rPr>
          <w:rFonts w:ascii="Times New Roman" w:hAnsi="Times New Roman"/>
          <w:sz w:val="20"/>
          <w:szCs w:val="20"/>
        </w:rPr>
      </w:pPr>
      <w:r w:rsidRPr="00712F3C">
        <w:rPr>
          <w:rFonts w:ascii="Times New Roman" w:hAnsi="Times New Roman"/>
          <w:color w:val="000000"/>
          <w:sz w:val="20"/>
          <w:szCs w:val="20"/>
          <w:lang w:val="x-none" w:eastAsia="x-none"/>
        </w:rPr>
        <w:t xml:space="preserve">Our business is not subject to seasonality. For further information, see </w:t>
      </w:r>
      <w:r w:rsidRPr="00712F3C">
        <w:rPr>
          <w:rFonts w:ascii="Times New Roman" w:hAnsi="Times New Roman"/>
          <w:b/>
          <w:i/>
          <w:color w:val="000000"/>
          <w:sz w:val="20"/>
          <w:szCs w:val="20"/>
          <w:lang w:val="x-none" w:eastAsia="x-none"/>
        </w:rPr>
        <w:t>“Industry Overview”</w:t>
      </w:r>
      <w:r w:rsidRPr="00712F3C">
        <w:rPr>
          <w:rFonts w:ascii="Times New Roman" w:hAnsi="Times New Roman"/>
          <w:color w:val="000000"/>
          <w:sz w:val="20"/>
          <w:szCs w:val="20"/>
          <w:lang w:val="x-none" w:eastAsia="x-none"/>
        </w:rPr>
        <w:t xml:space="preserve"> and </w:t>
      </w:r>
      <w:r w:rsidRPr="00712F3C">
        <w:rPr>
          <w:rFonts w:ascii="Times New Roman" w:hAnsi="Times New Roman"/>
          <w:b/>
          <w:i/>
          <w:color w:val="000000"/>
          <w:sz w:val="20"/>
          <w:szCs w:val="20"/>
          <w:lang w:val="x-none" w:eastAsia="x-none"/>
        </w:rPr>
        <w:t>“Our Business”</w:t>
      </w:r>
      <w:r w:rsidRPr="00712F3C">
        <w:rPr>
          <w:rFonts w:ascii="Times New Roman" w:hAnsi="Times New Roman"/>
          <w:color w:val="000000"/>
          <w:sz w:val="20"/>
          <w:szCs w:val="20"/>
          <w:lang w:val="x-none" w:eastAsia="x-none"/>
        </w:rPr>
        <w:t xml:space="preserve"> on pages </w:t>
      </w:r>
      <w:r>
        <w:rPr>
          <w:rFonts w:ascii="Times New Roman" w:hAnsi="Times New Roman"/>
          <w:color w:val="000000"/>
          <w:sz w:val="20"/>
          <w:szCs w:val="20"/>
          <w:lang w:val="en-IN" w:eastAsia="x-none"/>
        </w:rPr>
        <w:t>82</w:t>
      </w:r>
      <w:r w:rsidRPr="00712F3C">
        <w:rPr>
          <w:rFonts w:ascii="Times New Roman" w:hAnsi="Times New Roman"/>
          <w:color w:val="000000"/>
          <w:sz w:val="20"/>
          <w:szCs w:val="20"/>
          <w:lang w:val="en-IN" w:eastAsia="x-none"/>
        </w:rPr>
        <w:t xml:space="preserve"> </w:t>
      </w:r>
      <w:r w:rsidRPr="00712F3C">
        <w:rPr>
          <w:rFonts w:ascii="Times New Roman" w:hAnsi="Times New Roman"/>
          <w:color w:val="000000"/>
          <w:sz w:val="20"/>
          <w:szCs w:val="20"/>
          <w:lang w:val="x-none" w:eastAsia="x-none"/>
        </w:rPr>
        <w:t xml:space="preserve">and </w:t>
      </w:r>
      <w:r>
        <w:rPr>
          <w:rFonts w:ascii="Times New Roman" w:hAnsi="Times New Roman"/>
          <w:color w:val="000000"/>
          <w:sz w:val="20"/>
          <w:szCs w:val="20"/>
          <w:lang w:val="en-GB" w:eastAsia="x-none"/>
        </w:rPr>
        <w:t>91</w:t>
      </w:r>
      <w:r w:rsidRPr="00712F3C">
        <w:rPr>
          <w:rFonts w:ascii="Times New Roman" w:hAnsi="Times New Roman"/>
          <w:color w:val="000000"/>
          <w:sz w:val="20"/>
          <w:szCs w:val="20"/>
          <w:lang w:val="x-none" w:eastAsia="x-none"/>
        </w:rPr>
        <w:t>,</w:t>
      </w:r>
      <w:r w:rsidRPr="00712F3C">
        <w:rPr>
          <w:rFonts w:ascii="Times New Roman" w:hAnsi="Times New Roman"/>
          <w:color w:val="000000"/>
          <w:sz w:val="20"/>
          <w:szCs w:val="20"/>
          <w:lang w:val="en-GB" w:eastAsia="x-none"/>
        </w:rPr>
        <w:t xml:space="preserve"> </w:t>
      </w:r>
      <w:r w:rsidRPr="00712F3C">
        <w:rPr>
          <w:rFonts w:ascii="Times New Roman" w:hAnsi="Times New Roman"/>
          <w:color w:val="000000"/>
          <w:sz w:val="20"/>
          <w:szCs w:val="20"/>
          <w:lang w:val="x-none" w:eastAsia="x-none"/>
        </w:rPr>
        <w:t>respectively</w:t>
      </w:r>
      <w:r w:rsidRPr="00712F3C">
        <w:rPr>
          <w:rFonts w:ascii="Times New Roman" w:hAnsi="Times New Roman"/>
          <w:sz w:val="20"/>
          <w:szCs w:val="20"/>
        </w:rPr>
        <w:t>.</w:t>
      </w:r>
    </w:p>
    <w:p w14:paraId="38EA3BFA" w14:textId="77777777" w:rsidR="007515CC" w:rsidRPr="00712F3C" w:rsidRDefault="007515CC" w:rsidP="007515CC">
      <w:pPr>
        <w:autoSpaceDE w:val="0"/>
        <w:autoSpaceDN w:val="0"/>
        <w:adjustRightInd w:val="0"/>
        <w:spacing w:after="0" w:line="240" w:lineRule="auto"/>
        <w:jc w:val="both"/>
        <w:rPr>
          <w:rFonts w:ascii="Times New Roman" w:hAnsi="Times New Roman"/>
          <w:sz w:val="20"/>
          <w:szCs w:val="20"/>
        </w:rPr>
      </w:pPr>
    </w:p>
    <w:p w14:paraId="0D0BB89F" w14:textId="77777777" w:rsidR="007515CC" w:rsidRPr="00712F3C" w:rsidRDefault="007515CC">
      <w:pPr>
        <w:numPr>
          <w:ilvl w:val="0"/>
          <w:numId w:val="281"/>
        </w:numPr>
        <w:autoSpaceDE w:val="0"/>
        <w:autoSpaceDN w:val="0"/>
        <w:adjustRightInd w:val="0"/>
        <w:spacing w:after="0" w:line="240" w:lineRule="auto"/>
        <w:ind w:left="360"/>
        <w:jc w:val="both"/>
        <w:rPr>
          <w:rFonts w:ascii="Times New Roman" w:hAnsi="Times New Roman"/>
          <w:b/>
          <w:bCs/>
          <w:i/>
          <w:sz w:val="20"/>
          <w:szCs w:val="20"/>
        </w:rPr>
      </w:pPr>
      <w:r w:rsidRPr="00712F3C">
        <w:rPr>
          <w:rFonts w:ascii="Times New Roman" w:hAnsi="Times New Roman"/>
          <w:b/>
          <w:bCs/>
          <w:i/>
          <w:sz w:val="20"/>
          <w:szCs w:val="20"/>
        </w:rPr>
        <w:t>Dependence on single or few customers</w:t>
      </w:r>
    </w:p>
    <w:p w14:paraId="15B6543A" w14:textId="77777777" w:rsidR="007515CC" w:rsidRPr="00E079C3" w:rsidRDefault="007515CC" w:rsidP="007515CC">
      <w:pPr>
        <w:autoSpaceDE w:val="0"/>
        <w:autoSpaceDN w:val="0"/>
        <w:adjustRightInd w:val="0"/>
        <w:spacing w:after="0" w:line="240" w:lineRule="auto"/>
        <w:jc w:val="both"/>
        <w:rPr>
          <w:rFonts w:ascii="Times New Roman" w:hAnsi="Times New Roman"/>
          <w:bCs/>
          <w:sz w:val="16"/>
          <w:szCs w:val="20"/>
        </w:rPr>
      </w:pPr>
    </w:p>
    <w:p w14:paraId="0EC9EBD9" w14:textId="77777777" w:rsidR="007515CC" w:rsidRPr="00712F3C" w:rsidRDefault="007515CC" w:rsidP="007515CC">
      <w:pPr>
        <w:suppressAutoHyphens/>
        <w:autoSpaceDE w:val="0"/>
        <w:autoSpaceDN w:val="0"/>
        <w:adjustRightInd w:val="0"/>
        <w:spacing w:after="0" w:line="240" w:lineRule="auto"/>
        <w:contextualSpacing/>
        <w:jc w:val="both"/>
        <w:textAlignment w:val="center"/>
        <w:rPr>
          <w:rFonts w:ascii="Times New Roman" w:hAnsi="Times New Roman"/>
          <w:b/>
          <w:bCs/>
          <w:i/>
          <w:iCs/>
          <w:color w:val="000000"/>
          <w:sz w:val="20"/>
          <w:szCs w:val="20"/>
          <w:lang w:val="x-none" w:eastAsia="x-none"/>
        </w:rPr>
      </w:pPr>
      <w:r w:rsidRPr="00712F3C">
        <w:rPr>
          <w:rFonts w:ascii="Times New Roman" w:hAnsi="Times New Roman"/>
          <w:color w:val="000000"/>
          <w:sz w:val="20"/>
          <w:szCs w:val="20"/>
          <w:lang w:val="x-none" w:eastAsia="x-none"/>
        </w:rPr>
        <w:t>Substantial portion of our revenues has been dependent upon few customers, which are mainly our dealers. For instance, our top ten customers for the nine months period ended Dec.’22 and F.Y. ended March 31, 2022 accounted for 32.33% and 37.68% of our revenue from operations for the respective period/year. Our reliance on a limited number of customers for our business exposes us to risks, that may include, but are not limited to, reductions, delays or cancellation of orders from our significant customers, a failure to negotiate favourable terms with our key customers or the loss of these customers, all of which would have a material adverse effect on the business, financial condition, results of operations, cash flows and future prospects of our Company</w:t>
      </w:r>
      <w:r w:rsidRPr="00712F3C">
        <w:rPr>
          <w:rFonts w:ascii="Times New Roman" w:eastAsia="MS Mincho" w:hAnsi="Times New Roman"/>
          <w:color w:val="000000"/>
          <w:sz w:val="20"/>
          <w:szCs w:val="20"/>
          <w:lang w:val="en-GB" w:eastAsia="x-none"/>
        </w:rPr>
        <w:t xml:space="preserve">. </w:t>
      </w:r>
      <w:r w:rsidRPr="00712F3C">
        <w:rPr>
          <w:rFonts w:ascii="Times New Roman" w:hAnsi="Times New Roman"/>
          <w:bCs/>
          <w:color w:val="000000"/>
          <w:sz w:val="20"/>
          <w:szCs w:val="20"/>
          <w:lang w:val="x-none" w:eastAsia="x-none"/>
        </w:rPr>
        <w:t>For further details, refer Risk Factor</w:t>
      </w:r>
      <w:r w:rsidRPr="00712F3C">
        <w:rPr>
          <w:rFonts w:ascii="Times New Roman" w:hAnsi="Times New Roman"/>
          <w:b/>
          <w:bCs/>
          <w:i/>
          <w:iCs/>
          <w:color w:val="000000"/>
          <w:sz w:val="20"/>
          <w:szCs w:val="20"/>
          <w:lang w:val="x-none" w:eastAsia="x-none"/>
        </w:rPr>
        <w:t xml:space="preserve"> “Substantial portion of our revenues has been dependent upon few customers, with which we do not have any firm commitments. The loss of any one or more of our major customer would have a material adverse effect on our business, cash flows, results of operations and financial condition” </w:t>
      </w:r>
      <w:r w:rsidRPr="00712F3C">
        <w:rPr>
          <w:rFonts w:ascii="Times New Roman" w:hAnsi="Times New Roman"/>
          <w:bCs/>
          <w:iCs/>
          <w:color w:val="000000"/>
          <w:sz w:val="20"/>
          <w:szCs w:val="20"/>
          <w:lang w:val="x-none" w:eastAsia="x-none"/>
        </w:rPr>
        <w:t xml:space="preserve">on page </w:t>
      </w:r>
      <w:r>
        <w:rPr>
          <w:rFonts w:ascii="Times New Roman" w:hAnsi="Times New Roman"/>
          <w:bCs/>
          <w:iCs/>
          <w:color w:val="000000"/>
          <w:sz w:val="20"/>
          <w:szCs w:val="20"/>
          <w:lang w:eastAsia="x-none"/>
        </w:rPr>
        <w:t>30</w:t>
      </w:r>
      <w:r w:rsidRPr="00712F3C">
        <w:rPr>
          <w:rFonts w:ascii="Times New Roman" w:hAnsi="Times New Roman"/>
          <w:bCs/>
          <w:iCs/>
          <w:color w:val="000000"/>
          <w:sz w:val="20"/>
          <w:szCs w:val="20"/>
          <w:lang w:val="en-GB" w:eastAsia="x-none"/>
        </w:rPr>
        <w:t xml:space="preserve"> </w:t>
      </w:r>
      <w:r w:rsidRPr="00712F3C">
        <w:rPr>
          <w:rFonts w:ascii="Times New Roman" w:hAnsi="Times New Roman"/>
          <w:bCs/>
          <w:iCs/>
          <w:color w:val="000000"/>
          <w:sz w:val="20"/>
          <w:szCs w:val="20"/>
          <w:lang w:val="x-none" w:eastAsia="x-none"/>
        </w:rPr>
        <w:t xml:space="preserve">of this Draft </w:t>
      </w:r>
      <w:r w:rsidRPr="00712F3C">
        <w:rPr>
          <w:rFonts w:ascii="Times New Roman" w:hAnsi="Times New Roman"/>
          <w:sz w:val="20"/>
          <w:szCs w:val="20"/>
        </w:rPr>
        <w:t xml:space="preserve">Red Herring </w:t>
      </w:r>
      <w:r w:rsidRPr="00712F3C">
        <w:rPr>
          <w:rFonts w:ascii="Times New Roman" w:hAnsi="Times New Roman"/>
          <w:bCs/>
          <w:iCs/>
          <w:color w:val="000000"/>
          <w:sz w:val="20"/>
          <w:szCs w:val="20"/>
          <w:lang w:val="x-none" w:eastAsia="x-none"/>
        </w:rPr>
        <w:t>Prospectus.</w:t>
      </w:r>
    </w:p>
    <w:p w14:paraId="73698ED7" w14:textId="77777777" w:rsidR="007515CC" w:rsidRPr="00712F3C" w:rsidRDefault="007515CC" w:rsidP="007515CC">
      <w:pPr>
        <w:shd w:val="clear" w:color="auto" w:fill="FFFFFF"/>
        <w:spacing w:after="0" w:line="240" w:lineRule="auto"/>
        <w:contextualSpacing/>
        <w:jc w:val="both"/>
        <w:rPr>
          <w:rFonts w:ascii="Times New Roman" w:hAnsi="Times New Roman"/>
          <w:color w:val="000000"/>
          <w:sz w:val="20"/>
          <w:szCs w:val="20"/>
          <w:lang w:val="x-none" w:eastAsia="x-none"/>
        </w:rPr>
      </w:pPr>
    </w:p>
    <w:p w14:paraId="3399B1FC" w14:textId="77777777" w:rsidR="007515CC" w:rsidRPr="00712F3C" w:rsidRDefault="007515CC">
      <w:pPr>
        <w:numPr>
          <w:ilvl w:val="0"/>
          <w:numId w:val="281"/>
        </w:numPr>
        <w:autoSpaceDE w:val="0"/>
        <w:autoSpaceDN w:val="0"/>
        <w:adjustRightInd w:val="0"/>
        <w:spacing w:after="0" w:line="240" w:lineRule="auto"/>
        <w:ind w:left="360"/>
        <w:contextualSpacing/>
        <w:jc w:val="both"/>
        <w:rPr>
          <w:rFonts w:ascii="Times New Roman" w:hAnsi="Times New Roman"/>
          <w:b/>
          <w:bCs/>
          <w:i/>
          <w:sz w:val="20"/>
          <w:szCs w:val="20"/>
          <w:lang w:val="x-none" w:eastAsia="x-none"/>
        </w:rPr>
      </w:pPr>
      <w:r w:rsidRPr="00712F3C">
        <w:rPr>
          <w:rFonts w:ascii="Times New Roman" w:hAnsi="Times New Roman"/>
          <w:b/>
          <w:bCs/>
          <w:i/>
          <w:sz w:val="20"/>
          <w:szCs w:val="20"/>
          <w:lang w:val="x-none" w:eastAsia="x-none"/>
        </w:rPr>
        <w:t>Competitive conditions</w:t>
      </w:r>
    </w:p>
    <w:p w14:paraId="2A4DEF55" w14:textId="77777777" w:rsidR="007515CC" w:rsidRPr="00712F3C" w:rsidRDefault="007515CC" w:rsidP="007515CC">
      <w:pPr>
        <w:suppressAutoHyphens/>
        <w:autoSpaceDE w:val="0"/>
        <w:autoSpaceDN w:val="0"/>
        <w:adjustRightInd w:val="0"/>
        <w:spacing w:after="0" w:line="240" w:lineRule="auto"/>
        <w:ind w:left="720"/>
        <w:jc w:val="both"/>
        <w:textAlignment w:val="center"/>
        <w:rPr>
          <w:rFonts w:ascii="Times New Roman" w:hAnsi="Times New Roman"/>
          <w:b/>
          <w:bCs/>
          <w:i/>
          <w:sz w:val="20"/>
          <w:szCs w:val="20"/>
          <w:lang w:val="x-none" w:eastAsia="x-none"/>
        </w:rPr>
      </w:pPr>
    </w:p>
    <w:p w14:paraId="0AE3611B" w14:textId="77777777" w:rsidR="007515CC" w:rsidRPr="00712F3C" w:rsidRDefault="007515CC" w:rsidP="007515CC">
      <w:pPr>
        <w:autoSpaceDE w:val="0"/>
        <w:autoSpaceDN w:val="0"/>
        <w:adjustRightInd w:val="0"/>
        <w:spacing w:after="0" w:line="240" w:lineRule="auto"/>
        <w:jc w:val="both"/>
        <w:rPr>
          <w:rFonts w:ascii="Times New Roman" w:hAnsi="Times New Roman"/>
          <w:bCs/>
          <w:iCs/>
          <w:sz w:val="20"/>
          <w:szCs w:val="20"/>
        </w:rPr>
      </w:pPr>
      <w:r w:rsidRPr="00712F3C">
        <w:rPr>
          <w:rFonts w:ascii="Times New Roman" w:hAnsi="Times New Roman"/>
          <w:bCs/>
          <w:sz w:val="20"/>
          <w:szCs w:val="20"/>
        </w:rPr>
        <w:lastRenderedPageBreak/>
        <w:t xml:space="preserve">Competitive conditions are as described under the </w:t>
      </w:r>
      <w:r w:rsidRPr="00712F3C">
        <w:rPr>
          <w:rFonts w:ascii="Times New Roman" w:hAnsi="Times New Roman"/>
          <w:bCs/>
          <w:iCs/>
          <w:sz w:val="20"/>
          <w:szCs w:val="20"/>
        </w:rPr>
        <w:t xml:space="preserve">Chapters </w:t>
      </w:r>
      <w:r w:rsidRPr="00712F3C">
        <w:rPr>
          <w:rFonts w:ascii="Times New Roman" w:hAnsi="Times New Roman"/>
          <w:b/>
          <w:bCs/>
          <w:iCs/>
          <w:sz w:val="20"/>
          <w:szCs w:val="20"/>
        </w:rPr>
        <w:t>“</w:t>
      </w:r>
      <w:r w:rsidRPr="00712F3C">
        <w:rPr>
          <w:rFonts w:ascii="Times New Roman" w:hAnsi="Times New Roman"/>
          <w:b/>
          <w:bCs/>
          <w:i/>
          <w:iCs/>
          <w:sz w:val="20"/>
          <w:szCs w:val="20"/>
        </w:rPr>
        <w:t>Industry Overview</w:t>
      </w:r>
      <w:r w:rsidRPr="00712F3C">
        <w:rPr>
          <w:rFonts w:ascii="Times New Roman" w:hAnsi="Times New Roman"/>
          <w:b/>
          <w:bCs/>
          <w:iCs/>
          <w:sz w:val="20"/>
          <w:szCs w:val="20"/>
        </w:rPr>
        <w:t>”</w:t>
      </w:r>
      <w:r w:rsidRPr="00712F3C">
        <w:rPr>
          <w:rFonts w:ascii="Times New Roman" w:hAnsi="Times New Roman"/>
          <w:bCs/>
          <w:iCs/>
          <w:sz w:val="20"/>
          <w:szCs w:val="20"/>
        </w:rPr>
        <w:t xml:space="preserve"> and </w:t>
      </w:r>
      <w:r w:rsidRPr="00712F3C">
        <w:rPr>
          <w:rFonts w:ascii="Times New Roman" w:hAnsi="Times New Roman"/>
          <w:b/>
          <w:bCs/>
          <w:iCs/>
          <w:sz w:val="20"/>
          <w:szCs w:val="20"/>
        </w:rPr>
        <w:t>“</w:t>
      </w:r>
      <w:r w:rsidRPr="00712F3C">
        <w:rPr>
          <w:rFonts w:ascii="Times New Roman" w:hAnsi="Times New Roman"/>
          <w:b/>
          <w:bCs/>
          <w:i/>
          <w:iCs/>
          <w:sz w:val="20"/>
          <w:szCs w:val="20"/>
        </w:rPr>
        <w:t>Our Business</w:t>
      </w:r>
      <w:r w:rsidRPr="00712F3C">
        <w:rPr>
          <w:rFonts w:ascii="Times New Roman" w:hAnsi="Times New Roman"/>
          <w:b/>
          <w:bCs/>
          <w:iCs/>
          <w:sz w:val="20"/>
          <w:szCs w:val="20"/>
        </w:rPr>
        <w:t>”</w:t>
      </w:r>
      <w:r w:rsidRPr="00712F3C">
        <w:rPr>
          <w:rFonts w:ascii="Times New Roman" w:hAnsi="Times New Roman"/>
          <w:bCs/>
          <w:iCs/>
          <w:sz w:val="20"/>
          <w:szCs w:val="20"/>
        </w:rPr>
        <w:t xml:space="preserve"> beginning on pages </w:t>
      </w:r>
      <w:r>
        <w:rPr>
          <w:rFonts w:ascii="Times New Roman" w:hAnsi="Times New Roman"/>
          <w:bCs/>
          <w:iCs/>
          <w:sz w:val="20"/>
          <w:szCs w:val="20"/>
        </w:rPr>
        <w:t>82</w:t>
      </w:r>
      <w:r w:rsidRPr="00712F3C">
        <w:rPr>
          <w:rFonts w:ascii="Times New Roman" w:hAnsi="Times New Roman"/>
          <w:bCs/>
          <w:iCs/>
          <w:sz w:val="20"/>
          <w:szCs w:val="20"/>
        </w:rPr>
        <w:t xml:space="preserve"> and </w:t>
      </w:r>
      <w:r>
        <w:rPr>
          <w:rFonts w:ascii="Times New Roman" w:hAnsi="Times New Roman"/>
          <w:bCs/>
          <w:iCs/>
          <w:sz w:val="20"/>
          <w:szCs w:val="20"/>
        </w:rPr>
        <w:t>91</w:t>
      </w:r>
      <w:r w:rsidRPr="00712F3C">
        <w:rPr>
          <w:rFonts w:ascii="Times New Roman" w:hAnsi="Times New Roman"/>
          <w:bCs/>
          <w:iCs/>
          <w:sz w:val="20"/>
          <w:szCs w:val="20"/>
        </w:rPr>
        <w:t xml:space="preserve"> respectively of this Draft </w:t>
      </w:r>
      <w:r w:rsidRPr="00712F3C">
        <w:rPr>
          <w:rFonts w:ascii="Times New Roman" w:hAnsi="Times New Roman"/>
          <w:sz w:val="20"/>
          <w:szCs w:val="20"/>
        </w:rPr>
        <w:t xml:space="preserve">Red Herring </w:t>
      </w:r>
      <w:r w:rsidRPr="00712F3C">
        <w:rPr>
          <w:rFonts w:ascii="Times New Roman" w:hAnsi="Times New Roman"/>
          <w:bCs/>
          <w:iCs/>
          <w:sz w:val="20"/>
          <w:szCs w:val="20"/>
        </w:rPr>
        <w:t>Prospectus.</w:t>
      </w:r>
    </w:p>
    <w:p w14:paraId="5010F863" w14:textId="77777777" w:rsidR="007515CC" w:rsidRPr="00712F3C" w:rsidRDefault="007515CC" w:rsidP="007515CC">
      <w:pPr>
        <w:autoSpaceDE w:val="0"/>
        <w:autoSpaceDN w:val="0"/>
        <w:adjustRightInd w:val="0"/>
        <w:spacing w:after="0" w:line="240" w:lineRule="auto"/>
        <w:jc w:val="both"/>
        <w:rPr>
          <w:rFonts w:ascii="Times New Roman" w:hAnsi="Times New Roman"/>
          <w:bCs/>
          <w:iCs/>
          <w:sz w:val="20"/>
          <w:szCs w:val="20"/>
        </w:rPr>
      </w:pPr>
    </w:p>
    <w:p w14:paraId="3615D4EB" w14:textId="53CAB659" w:rsidR="007515CC" w:rsidRPr="008F10D3" w:rsidRDefault="007515CC">
      <w:pPr>
        <w:numPr>
          <w:ilvl w:val="0"/>
          <w:numId w:val="281"/>
        </w:numPr>
        <w:autoSpaceDE w:val="0"/>
        <w:autoSpaceDN w:val="0"/>
        <w:adjustRightInd w:val="0"/>
        <w:spacing w:after="0" w:line="240" w:lineRule="auto"/>
        <w:ind w:left="360"/>
        <w:contextualSpacing/>
        <w:jc w:val="both"/>
        <w:rPr>
          <w:rFonts w:ascii="Times New Roman" w:hAnsi="Times New Roman"/>
          <w:b/>
          <w:bCs/>
          <w:i/>
          <w:sz w:val="20"/>
          <w:szCs w:val="20"/>
          <w:lang w:val="x-none" w:eastAsia="x-none"/>
        </w:rPr>
      </w:pPr>
      <w:r w:rsidRPr="00712F3C">
        <w:rPr>
          <w:rFonts w:ascii="Times New Roman" w:hAnsi="Times New Roman"/>
          <w:b/>
          <w:bCs/>
          <w:i/>
          <w:sz w:val="20"/>
          <w:szCs w:val="20"/>
          <w:lang w:val="x-none" w:eastAsia="x-none"/>
        </w:rPr>
        <w:t xml:space="preserve">Details of material developments after the date of last balance sheet i.e. </w:t>
      </w:r>
      <w:r w:rsidR="008F10D3">
        <w:rPr>
          <w:rFonts w:ascii="Times New Roman" w:hAnsi="Times New Roman"/>
          <w:b/>
          <w:bCs/>
          <w:i/>
          <w:sz w:val="20"/>
          <w:szCs w:val="20"/>
          <w:lang w:val="en-GB" w:eastAsia="x-none"/>
        </w:rPr>
        <w:t>March 31, 2023</w:t>
      </w:r>
    </w:p>
    <w:p w14:paraId="130A01FD" w14:textId="77777777" w:rsidR="008F10D3" w:rsidRDefault="008F10D3" w:rsidP="008F10D3">
      <w:pPr>
        <w:autoSpaceDE w:val="0"/>
        <w:autoSpaceDN w:val="0"/>
        <w:adjustRightInd w:val="0"/>
        <w:spacing w:after="0" w:line="240" w:lineRule="auto"/>
        <w:contextualSpacing/>
        <w:jc w:val="both"/>
        <w:rPr>
          <w:rFonts w:ascii="Times New Roman" w:hAnsi="Times New Roman"/>
          <w:b/>
          <w:bCs/>
          <w:i/>
          <w:sz w:val="20"/>
          <w:szCs w:val="20"/>
          <w:lang w:val="en-GB" w:eastAsia="x-none"/>
        </w:rPr>
      </w:pPr>
    </w:p>
    <w:p w14:paraId="13F17ED0" w14:textId="1690B6C3" w:rsidR="008F10D3" w:rsidRDefault="008F10D3" w:rsidP="008F10D3">
      <w:pPr>
        <w:autoSpaceDE w:val="0"/>
        <w:autoSpaceDN w:val="0"/>
        <w:adjustRightInd w:val="0"/>
        <w:spacing w:after="0" w:line="240" w:lineRule="auto"/>
        <w:contextualSpacing/>
        <w:rPr>
          <w:rFonts w:ascii="Times New Roman" w:hAnsi="Times New Roman"/>
          <w:iCs/>
          <w:sz w:val="20"/>
          <w:szCs w:val="20"/>
          <w:lang w:val="x-none" w:eastAsia="x-none"/>
        </w:rPr>
      </w:pPr>
      <w:r w:rsidRPr="008F10D3">
        <w:rPr>
          <w:rFonts w:ascii="Times New Roman" w:hAnsi="Times New Roman"/>
          <w:iCs/>
          <w:sz w:val="20"/>
          <w:szCs w:val="20"/>
          <w:lang w:val="x-none" w:eastAsia="x-none"/>
        </w:rPr>
        <w:t>After the date of last Balance sheet i.e.</w:t>
      </w:r>
      <w:r>
        <w:rPr>
          <w:rFonts w:ascii="Times New Roman" w:hAnsi="Times New Roman"/>
          <w:iCs/>
          <w:sz w:val="20"/>
          <w:szCs w:val="20"/>
          <w:lang w:eastAsia="x-none"/>
        </w:rPr>
        <w:t>,</w:t>
      </w:r>
      <w:r w:rsidRPr="008F10D3">
        <w:rPr>
          <w:rFonts w:ascii="Times New Roman" w:hAnsi="Times New Roman"/>
          <w:iCs/>
          <w:sz w:val="20"/>
          <w:szCs w:val="20"/>
          <w:lang w:val="x-none" w:eastAsia="x-none"/>
        </w:rPr>
        <w:t xml:space="preserve"> March 31, 2023, the following material events have occurred after the last audited</w:t>
      </w:r>
      <w:r>
        <w:rPr>
          <w:rFonts w:ascii="Times New Roman" w:hAnsi="Times New Roman"/>
          <w:iCs/>
          <w:sz w:val="20"/>
          <w:szCs w:val="20"/>
          <w:lang w:eastAsia="x-none"/>
        </w:rPr>
        <w:t xml:space="preserve"> </w:t>
      </w:r>
      <w:r w:rsidRPr="008F10D3">
        <w:rPr>
          <w:rFonts w:ascii="Times New Roman" w:hAnsi="Times New Roman"/>
          <w:iCs/>
          <w:sz w:val="20"/>
          <w:szCs w:val="20"/>
          <w:lang w:val="x-none" w:eastAsia="x-none"/>
        </w:rPr>
        <w:t>period</w:t>
      </w:r>
    </w:p>
    <w:p w14:paraId="0CC29B4C" w14:textId="77777777" w:rsidR="008F10D3" w:rsidRDefault="008F10D3" w:rsidP="008F10D3">
      <w:pPr>
        <w:autoSpaceDE w:val="0"/>
        <w:autoSpaceDN w:val="0"/>
        <w:adjustRightInd w:val="0"/>
        <w:spacing w:after="0" w:line="240" w:lineRule="auto"/>
        <w:contextualSpacing/>
        <w:rPr>
          <w:rFonts w:ascii="Times New Roman" w:hAnsi="Times New Roman"/>
          <w:iCs/>
          <w:sz w:val="20"/>
          <w:szCs w:val="20"/>
          <w:lang w:val="x-none" w:eastAsia="x-none"/>
        </w:rPr>
      </w:pPr>
    </w:p>
    <w:p w14:paraId="5BD712C7" w14:textId="5A020706" w:rsidR="008F10D3" w:rsidRDefault="008F10D3">
      <w:pPr>
        <w:pStyle w:val="ListParagraph"/>
        <w:numPr>
          <w:ilvl w:val="0"/>
          <w:numId w:val="357"/>
        </w:numPr>
        <w:spacing w:line="240" w:lineRule="auto"/>
        <w:contextualSpacing/>
        <w:jc w:val="both"/>
        <w:rPr>
          <w:iCs/>
          <w:sz w:val="20"/>
          <w:szCs w:val="20"/>
        </w:rPr>
      </w:pPr>
      <w:r w:rsidRPr="008F10D3">
        <w:rPr>
          <w:iCs/>
          <w:sz w:val="20"/>
          <w:szCs w:val="20"/>
        </w:rPr>
        <w:t xml:space="preserve">The Authorized Share Capital of the Company was increased from </w:t>
      </w:r>
      <w:r w:rsidRPr="007515CC">
        <w:rPr>
          <w:sz w:val="20"/>
          <w:szCs w:val="20"/>
        </w:rPr>
        <w:t>₹</w:t>
      </w:r>
      <w:r w:rsidRPr="008F10D3">
        <w:rPr>
          <w:iCs/>
          <w:sz w:val="20"/>
          <w:szCs w:val="20"/>
        </w:rPr>
        <w:t xml:space="preserve"> 14</w:t>
      </w:r>
      <w:r>
        <w:rPr>
          <w:iCs/>
          <w:sz w:val="20"/>
          <w:szCs w:val="20"/>
          <w:lang w:val="en-US"/>
        </w:rPr>
        <w:t>,</w:t>
      </w:r>
      <w:r w:rsidRPr="008F10D3">
        <w:rPr>
          <w:iCs/>
          <w:sz w:val="20"/>
          <w:szCs w:val="20"/>
        </w:rPr>
        <w:t>00</w:t>
      </w:r>
      <w:r>
        <w:rPr>
          <w:iCs/>
          <w:sz w:val="20"/>
          <w:szCs w:val="20"/>
          <w:lang w:val="en-US"/>
        </w:rPr>
        <w:t>,</w:t>
      </w:r>
      <w:r w:rsidRPr="008F10D3">
        <w:rPr>
          <w:iCs/>
          <w:sz w:val="20"/>
          <w:szCs w:val="20"/>
        </w:rPr>
        <w:t>00</w:t>
      </w:r>
      <w:r>
        <w:rPr>
          <w:iCs/>
          <w:sz w:val="20"/>
          <w:szCs w:val="20"/>
          <w:lang w:val="en-US"/>
        </w:rPr>
        <w:t>,</w:t>
      </w:r>
      <w:r w:rsidRPr="008F10D3">
        <w:rPr>
          <w:iCs/>
          <w:sz w:val="20"/>
          <w:szCs w:val="20"/>
        </w:rPr>
        <w:t>00</w:t>
      </w:r>
      <w:r>
        <w:rPr>
          <w:iCs/>
          <w:sz w:val="20"/>
          <w:szCs w:val="20"/>
          <w:lang w:val="en-US"/>
        </w:rPr>
        <w:t>0</w:t>
      </w:r>
      <w:r w:rsidRPr="008F10D3">
        <w:rPr>
          <w:iCs/>
          <w:sz w:val="20"/>
          <w:szCs w:val="20"/>
        </w:rPr>
        <w:t xml:space="preserve">/- divided into </w:t>
      </w:r>
      <w:r>
        <w:rPr>
          <w:iCs/>
          <w:sz w:val="20"/>
          <w:szCs w:val="20"/>
          <w:lang w:val="en-US"/>
        </w:rPr>
        <w:t>1,40,00,000</w:t>
      </w:r>
      <w:r w:rsidRPr="008F10D3">
        <w:rPr>
          <w:iCs/>
          <w:sz w:val="20"/>
          <w:szCs w:val="20"/>
        </w:rPr>
        <w:t xml:space="preserve"> Equity Shares of </w:t>
      </w:r>
      <w:r w:rsidRPr="007515CC">
        <w:rPr>
          <w:sz w:val="20"/>
          <w:szCs w:val="20"/>
        </w:rPr>
        <w:t>₹</w:t>
      </w:r>
      <w:r>
        <w:rPr>
          <w:sz w:val="20"/>
          <w:szCs w:val="20"/>
          <w:lang w:val="en-US"/>
        </w:rPr>
        <w:t xml:space="preserve"> </w:t>
      </w:r>
      <w:r w:rsidRPr="008F10D3">
        <w:rPr>
          <w:iCs/>
          <w:sz w:val="20"/>
          <w:szCs w:val="20"/>
        </w:rPr>
        <w:t xml:space="preserve">10/- each to </w:t>
      </w:r>
      <w:r w:rsidRPr="007515CC">
        <w:rPr>
          <w:sz w:val="20"/>
          <w:szCs w:val="20"/>
        </w:rPr>
        <w:t>₹</w:t>
      </w:r>
      <w:r w:rsidRPr="008F10D3">
        <w:rPr>
          <w:iCs/>
          <w:sz w:val="20"/>
          <w:szCs w:val="20"/>
        </w:rPr>
        <w:t xml:space="preserve"> </w:t>
      </w:r>
      <w:r>
        <w:rPr>
          <w:iCs/>
          <w:sz w:val="20"/>
          <w:szCs w:val="20"/>
          <w:lang w:val="en-US"/>
        </w:rPr>
        <w:t>20,</w:t>
      </w:r>
      <w:r w:rsidRPr="008F10D3">
        <w:rPr>
          <w:iCs/>
          <w:sz w:val="20"/>
          <w:szCs w:val="20"/>
        </w:rPr>
        <w:t>00</w:t>
      </w:r>
      <w:r>
        <w:rPr>
          <w:iCs/>
          <w:sz w:val="20"/>
          <w:szCs w:val="20"/>
          <w:lang w:val="en-US"/>
        </w:rPr>
        <w:t>,</w:t>
      </w:r>
      <w:r w:rsidRPr="008F10D3">
        <w:rPr>
          <w:iCs/>
          <w:sz w:val="20"/>
          <w:szCs w:val="20"/>
        </w:rPr>
        <w:t>00</w:t>
      </w:r>
      <w:r>
        <w:rPr>
          <w:iCs/>
          <w:sz w:val="20"/>
          <w:szCs w:val="20"/>
          <w:lang w:val="en-US"/>
        </w:rPr>
        <w:t>,</w:t>
      </w:r>
      <w:r w:rsidRPr="008F10D3">
        <w:rPr>
          <w:iCs/>
          <w:sz w:val="20"/>
          <w:szCs w:val="20"/>
        </w:rPr>
        <w:t>00</w:t>
      </w:r>
      <w:r>
        <w:rPr>
          <w:iCs/>
          <w:sz w:val="20"/>
          <w:szCs w:val="20"/>
          <w:lang w:val="en-US"/>
        </w:rPr>
        <w:t xml:space="preserve">0 </w:t>
      </w:r>
      <w:r w:rsidRPr="008F10D3">
        <w:rPr>
          <w:iCs/>
          <w:sz w:val="20"/>
          <w:szCs w:val="20"/>
        </w:rPr>
        <w:t xml:space="preserve">divided into </w:t>
      </w:r>
      <w:r>
        <w:rPr>
          <w:iCs/>
          <w:sz w:val="20"/>
          <w:szCs w:val="20"/>
          <w:lang w:val="en-US"/>
        </w:rPr>
        <w:t>2,00,00,000</w:t>
      </w:r>
      <w:r w:rsidRPr="008F10D3">
        <w:rPr>
          <w:iCs/>
          <w:sz w:val="20"/>
          <w:szCs w:val="20"/>
        </w:rPr>
        <w:t xml:space="preserve"> vide Extra Ordinary General Meeting held on </w:t>
      </w:r>
      <w:r>
        <w:rPr>
          <w:iCs/>
          <w:sz w:val="20"/>
          <w:szCs w:val="20"/>
          <w:lang w:val="en-US"/>
        </w:rPr>
        <w:t>July 24, 2023</w:t>
      </w:r>
      <w:r w:rsidRPr="008F10D3">
        <w:rPr>
          <w:iCs/>
          <w:sz w:val="20"/>
          <w:szCs w:val="20"/>
        </w:rPr>
        <w:t>.</w:t>
      </w:r>
    </w:p>
    <w:p w14:paraId="3C336976" w14:textId="77777777" w:rsidR="008F10D3" w:rsidRDefault="008F10D3" w:rsidP="008F10D3">
      <w:pPr>
        <w:pStyle w:val="ListParagraph"/>
        <w:spacing w:line="240" w:lineRule="auto"/>
        <w:contextualSpacing/>
        <w:jc w:val="both"/>
        <w:rPr>
          <w:iCs/>
          <w:sz w:val="20"/>
          <w:szCs w:val="20"/>
        </w:rPr>
      </w:pPr>
    </w:p>
    <w:p w14:paraId="1BEC8936" w14:textId="5D51944F" w:rsidR="008F10D3" w:rsidRDefault="008F10D3">
      <w:pPr>
        <w:pStyle w:val="ListParagraph"/>
        <w:numPr>
          <w:ilvl w:val="0"/>
          <w:numId w:val="357"/>
        </w:numPr>
        <w:spacing w:line="240" w:lineRule="auto"/>
        <w:contextualSpacing/>
        <w:jc w:val="both"/>
        <w:rPr>
          <w:iCs/>
          <w:sz w:val="20"/>
          <w:szCs w:val="20"/>
        </w:rPr>
      </w:pPr>
      <w:r w:rsidRPr="008F10D3">
        <w:rPr>
          <w:iCs/>
          <w:sz w:val="20"/>
          <w:szCs w:val="20"/>
        </w:rPr>
        <w:t xml:space="preserve">A special resolution was passed by the shareholders at the Extra Ordinary General Meeting held on </w:t>
      </w:r>
      <w:r w:rsidRPr="008F10D3">
        <w:rPr>
          <w:iCs/>
          <w:sz w:val="20"/>
          <w:szCs w:val="20"/>
          <w:lang w:val="en-US"/>
        </w:rPr>
        <w:t>July 24</w:t>
      </w:r>
      <w:r w:rsidRPr="008F10D3">
        <w:rPr>
          <w:iCs/>
          <w:sz w:val="20"/>
          <w:szCs w:val="20"/>
        </w:rPr>
        <w:t>, 2023 for</w:t>
      </w:r>
      <w:r w:rsidRPr="008F10D3">
        <w:rPr>
          <w:iCs/>
          <w:sz w:val="20"/>
          <w:szCs w:val="20"/>
          <w:lang w:val="en-US"/>
        </w:rPr>
        <w:t xml:space="preserve"> </w:t>
      </w:r>
      <w:r w:rsidRPr="008F10D3">
        <w:rPr>
          <w:iCs/>
          <w:sz w:val="20"/>
          <w:szCs w:val="20"/>
        </w:rPr>
        <w:t xml:space="preserve">change of name of the Company from </w:t>
      </w:r>
      <w:r>
        <w:rPr>
          <w:iCs/>
          <w:sz w:val="20"/>
          <w:szCs w:val="20"/>
          <w:lang w:val="en-US"/>
        </w:rPr>
        <w:t>“</w:t>
      </w:r>
      <w:r w:rsidRPr="008F10D3">
        <w:rPr>
          <w:iCs/>
          <w:sz w:val="20"/>
          <w:szCs w:val="20"/>
        </w:rPr>
        <w:t>Siyaram Impex Private Limited</w:t>
      </w:r>
      <w:r>
        <w:rPr>
          <w:iCs/>
          <w:sz w:val="20"/>
          <w:szCs w:val="20"/>
          <w:lang w:val="en-US"/>
        </w:rPr>
        <w:t>”</w:t>
      </w:r>
      <w:r w:rsidRPr="008F10D3">
        <w:rPr>
          <w:iCs/>
          <w:sz w:val="20"/>
          <w:szCs w:val="20"/>
        </w:rPr>
        <w:t xml:space="preserve"> to </w:t>
      </w:r>
      <w:r>
        <w:rPr>
          <w:iCs/>
          <w:sz w:val="20"/>
          <w:szCs w:val="20"/>
          <w:lang w:val="en-US"/>
        </w:rPr>
        <w:t>“</w:t>
      </w:r>
      <w:r w:rsidRPr="008F10D3">
        <w:rPr>
          <w:iCs/>
          <w:sz w:val="20"/>
          <w:szCs w:val="20"/>
        </w:rPr>
        <w:t>Siyaram</w:t>
      </w:r>
      <w:r>
        <w:rPr>
          <w:iCs/>
          <w:sz w:val="20"/>
          <w:szCs w:val="20"/>
          <w:lang w:val="en-US"/>
        </w:rPr>
        <w:t xml:space="preserve"> </w:t>
      </w:r>
      <w:r w:rsidRPr="008F10D3">
        <w:rPr>
          <w:iCs/>
          <w:sz w:val="20"/>
          <w:szCs w:val="20"/>
        </w:rPr>
        <w:t>Recycling Industries Private Limited</w:t>
      </w:r>
      <w:r>
        <w:rPr>
          <w:iCs/>
          <w:sz w:val="20"/>
          <w:szCs w:val="20"/>
          <w:lang w:val="en-US"/>
        </w:rPr>
        <w:t>”</w:t>
      </w:r>
      <w:r w:rsidRPr="008F10D3">
        <w:rPr>
          <w:iCs/>
          <w:sz w:val="20"/>
          <w:szCs w:val="20"/>
        </w:rPr>
        <w:t xml:space="preserve"> and a fresh certificate of incorporation pursuant to change of name</w:t>
      </w:r>
      <w:r>
        <w:rPr>
          <w:iCs/>
          <w:sz w:val="20"/>
          <w:szCs w:val="20"/>
          <w:lang w:val="en-US"/>
        </w:rPr>
        <w:t xml:space="preserve"> </w:t>
      </w:r>
      <w:r w:rsidRPr="008F10D3">
        <w:rPr>
          <w:iCs/>
          <w:sz w:val="20"/>
          <w:szCs w:val="20"/>
        </w:rPr>
        <w:t xml:space="preserve">was issued by the Registrar of Companies, </w:t>
      </w:r>
      <w:r>
        <w:rPr>
          <w:iCs/>
          <w:sz w:val="20"/>
          <w:szCs w:val="20"/>
          <w:lang w:val="en-US"/>
        </w:rPr>
        <w:t>Ahmedabad</w:t>
      </w:r>
      <w:r w:rsidRPr="008F10D3">
        <w:rPr>
          <w:iCs/>
          <w:sz w:val="20"/>
          <w:szCs w:val="20"/>
        </w:rPr>
        <w:t xml:space="preserve"> vide its letter dated</w:t>
      </w:r>
      <w:r w:rsidRPr="008F10D3">
        <w:rPr>
          <w:iCs/>
          <w:sz w:val="20"/>
          <w:szCs w:val="20"/>
          <w:lang w:val="en-US"/>
        </w:rPr>
        <w:t xml:space="preserve"> </w:t>
      </w:r>
      <w:r>
        <w:rPr>
          <w:iCs/>
          <w:sz w:val="20"/>
          <w:szCs w:val="20"/>
          <w:lang w:val="en-US"/>
        </w:rPr>
        <w:t>July 27</w:t>
      </w:r>
      <w:r w:rsidRPr="008F10D3">
        <w:rPr>
          <w:iCs/>
          <w:sz w:val="20"/>
          <w:szCs w:val="20"/>
        </w:rPr>
        <w:t>, 2023.</w:t>
      </w:r>
    </w:p>
    <w:p w14:paraId="18A66957" w14:textId="77777777" w:rsidR="00D74722" w:rsidRPr="00D74722" w:rsidRDefault="00D74722" w:rsidP="00D74722">
      <w:pPr>
        <w:pStyle w:val="ListParagraph"/>
        <w:rPr>
          <w:iCs/>
          <w:sz w:val="20"/>
          <w:szCs w:val="20"/>
        </w:rPr>
      </w:pPr>
    </w:p>
    <w:p w14:paraId="366D42BF" w14:textId="4C2CF1C6" w:rsidR="00D74722" w:rsidRPr="00D74722" w:rsidRDefault="00D74722">
      <w:pPr>
        <w:widowControl w:val="0"/>
        <w:numPr>
          <w:ilvl w:val="0"/>
          <w:numId w:val="357"/>
        </w:numPr>
        <w:autoSpaceDE w:val="0"/>
        <w:autoSpaceDN w:val="0"/>
        <w:adjustRightInd w:val="0"/>
        <w:spacing w:after="0" w:line="240" w:lineRule="auto"/>
        <w:contextualSpacing/>
        <w:jc w:val="both"/>
        <w:rPr>
          <w:rFonts w:ascii="Times New Roman" w:eastAsia="MS Mincho" w:hAnsi="Times New Roman"/>
          <w:bCs/>
          <w:sz w:val="20"/>
          <w:szCs w:val="20"/>
        </w:rPr>
      </w:pPr>
      <w:r w:rsidRPr="00712F3C">
        <w:rPr>
          <w:rFonts w:ascii="Times New Roman" w:eastAsia="MS Mincho" w:hAnsi="Times New Roman"/>
          <w:bCs/>
          <w:sz w:val="20"/>
          <w:szCs w:val="20"/>
        </w:rPr>
        <w:t xml:space="preserve">A special resolution passed by the shareholders at the Extra Ordinary General Meeting held on </w:t>
      </w:r>
      <w:r>
        <w:rPr>
          <w:rFonts w:ascii="Times New Roman" w:eastAsia="MS Mincho" w:hAnsi="Times New Roman"/>
          <w:bCs/>
          <w:sz w:val="20"/>
          <w:szCs w:val="20"/>
        </w:rPr>
        <w:t>August 05</w:t>
      </w:r>
      <w:r w:rsidRPr="00712F3C">
        <w:rPr>
          <w:rFonts w:ascii="Times New Roman" w:eastAsia="MS Mincho" w:hAnsi="Times New Roman"/>
          <w:bCs/>
          <w:sz w:val="20"/>
          <w:szCs w:val="20"/>
        </w:rPr>
        <w:t xml:space="preserve">, 2023, the </w:t>
      </w:r>
      <w:r>
        <w:rPr>
          <w:rFonts w:ascii="Times New Roman" w:eastAsia="MS Mincho" w:hAnsi="Times New Roman"/>
          <w:bCs/>
          <w:sz w:val="20"/>
          <w:szCs w:val="20"/>
        </w:rPr>
        <w:t>tatus</w:t>
      </w:r>
      <w:r w:rsidRPr="00712F3C">
        <w:rPr>
          <w:rFonts w:ascii="Times New Roman" w:eastAsia="MS Mincho" w:hAnsi="Times New Roman"/>
          <w:bCs/>
          <w:sz w:val="20"/>
          <w:szCs w:val="20"/>
        </w:rPr>
        <w:t xml:space="preserve"> of our Company was changed </w:t>
      </w:r>
      <w:r>
        <w:rPr>
          <w:rFonts w:ascii="Times New Roman" w:eastAsia="MS Mincho" w:hAnsi="Times New Roman"/>
          <w:bCs/>
          <w:sz w:val="20"/>
          <w:szCs w:val="20"/>
        </w:rPr>
        <w:t xml:space="preserve">from Private Limited Company to Public Limited Company consequent the name of the company was changed </w:t>
      </w:r>
      <w:r w:rsidRPr="00712F3C">
        <w:rPr>
          <w:rFonts w:ascii="Times New Roman" w:eastAsia="MS Mincho" w:hAnsi="Times New Roman"/>
          <w:bCs/>
          <w:sz w:val="20"/>
          <w:szCs w:val="20"/>
        </w:rPr>
        <w:t>from “</w:t>
      </w:r>
      <w:r w:rsidRPr="00D74722">
        <w:rPr>
          <w:rFonts w:ascii="Times New Roman" w:eastAsia="MS Mincho" w:hAnsi="Times New Roman"/>
          <w:bCs/>
          <w:sz w:val="20"/>
          <w:szCs w:val="20"/>
        </w:rPr>
        <w:t>Siyaram Recycling Industries Private Limited</w:t>
      </w:r>
      <w:r w:rsidRPr="00712F3C">
        <w:rPr>
          <w:rFonts w:ascii="Times New Roman" w:eastAsia="MS Mincho" w:hAnsi="Times New Roman"/>
          <w:bCs/>
          <w:sz w:val="20"/>
          <w:szCs w:val="20"/>
        </w:rPr>
        <w:t>” to “</w:t>
      </w:r>
      <w:r w:rsidRPr="00D74722">
        <w:rPr>
          <w:rFonts w:ascii="Times New Roman" w:eastAsia="MS Mincho" w:hAnsi="Times New Roman"/>
          <w:bCs/>
          <w:sz w:val="20"/>
          <w:szCs w:val="20"/>
        </w:rPr>
        <w:t>Siyaram Recycling Industries Limited</w:t>
      </w:r>
      <w:r w:rsidRPr="00712F3C">
        <w:rPr>
          <w:rFonts w:ascii="Times New Roman" w:eastAsia="MS Mincho" w:hAnsi="Times New Roman"/>
          <w:bCs/>
          <w:sz w:val="20"/>
          <w:szCs w:val="20"/>
        </w:rPr>
        <w:t xml:space="preserve">” and a </w:t>
      </w:r>
      <w:r w:rsidRPr="00D74722">
        <w:rPr>
          <w:rFonts w:ascii="Times New Roman" w:eastAsia="MS Mincho" w:hAnsi="Times New Roman"/>
          <w:bCs/>
          <w:sz w:val="20"/>
          <w:szCs w:val="20"/>
        </w:rPr>
        <w:t xml:space="preserve">Certificate of Incorporation Consequent upon conversion to public company </w:t>
      </w:r>
      <w:r w:rsidRPr="00712F3C">
        <w:rPr>
          <w:rFonts w:ascii="Times New Roman" w:eastAsia="MS Mincho" w:hAnsi="Times New Roman"/>
          <w:bCs/>
          <w:sz w:val="20"/>
          <w:szCs w:val="20"/>
        </w:rPr>
        <w:t>was issued by the Registrar of Companies, Ahemdabad</w:t>
      </w:r>
      <w:r w:rsidR="0025741A">
        <w:rPr>
          <w:rFonts w:ascii="Times New Roman" w:eastAsia="MS Mincho" w:hAnsi="Times New Roman"/>
          <w:bCs/>
          <w:sz w:val="20"/>
          <w:szCs w:val="20"/>
        </w:rPr>
        <w:t xml:space="preserve"> </w:t>
      </w:r>
      <w:r w:rsidR="0025741A" w:rsidRPr="00712F3C">
        <w:rPr>
          <w:rFonts w:ascii="Times New Roman" w:eastAsia="MS Mincho" w:hAnsi="Times New Roman"/>
          <w:bCs/>
          <w:sz w:val="20"/>
          <w:szCs w:val="20"/>
        </w:rPr>
        <w:t xml:space="preserve">dated </w:t>
      </w:r>
      <w:r w:rsidR="0025741A">
        <w:rPr>
          <w:rFonts w:ascii="Times New Roman" w:eastAsia="MS Mincho" w:hAnsi="Times New Roman"/>
          <w:bCs/>
          <w:sz w:val="20"/>
          <w:szCs w:val="20"/>
        </w:rPr>
        <w:t>August 24</w:t>
      </w:r>
      <w:r w:rsidR="0025741A" w:rsidRPr="00712F3C">
        <w:rPr>
          <w:rFonts w:ascii="Times New Roman" w:eastAsia="MS Mincho" w:hAnsi="Times New Roman"/>
          <w:bCs/>
          <w:sz w:val="20"/>
          <w:szCs w:val="20"/>
        </w:rPr>
        <w:t>, 2023</w:t>
      </w:r>
      <w:r w:rsidRPr="00712F3C">
        <w:rPr>
          <w:rFonts w:ascii="Times New Roman" w:eastAsia="MS Mincho" w:hAnsi="Times New Roman"/>
          <w:bCs/>
          <w:sz w:val="20"/>
          <w:szCs w:val="20"/>
        </w:rPr>
        <w:t>.</w:t>
      </w:r>
    </w:p>
    <w:p w14:paraId="5D267201" w14:textId="77777777" w:rsidR="008F10D3" w:rsidRDefault="008F10D3" w:rsidP="008F10D3">
      <w:pPr>
        <w:pStyle w:val="ListParagraph"/>
        <w:spacing w:line="240" w:lineRule="auto"/>
        <w:contextualSpacing/>
        <w:jc w:val="both"/>
        <w:rPr>
          <w:iCs/>
          <w:sz w:val="20"/>
          <w:szCs w:val="20"/>
        </w:rPr>
      </w:pPr>
    </w:p>
    <w:p w14:paraId="7CB85729" w14:textId="3D66CCB3" w:rsidR="008F10D3" w:rsidRPr="008F10D3" w:rsidRDefault="008F10D3">
      <w:pPr>
        <w:pStyle w:val="ListParagraph"/>
        <w:numPr>
          <w:ilvl w:val="0"/>
          <w:numId w:val="357"/>
        </w:numPr>
        <w:spacing w:line="240" w:lineRule="auto"/>
        <w:contextualSpacing/>
        <w:jc w:val="both"/>
        <w:rPr>
          <w:iCs/>
          <w:sz w:val="20"/>
          <w:szCs w:val="20"/>
        </w:rPr>
      </w:pPr>
      <w:r w:rsidRPr="008F10D3">
        <w:rPr>
          <w:iCs/>
          <w:sz w:val="20"/>
          <w:szCs w:val="20"/>
        </w:rPr>
        <w:t xml:space="preserve">We have passed a Resolution in the meeting of Board of Directors dated </w:t>
      </w:r>
      <w:r w:rsidR="00D74722">
        <w:rPr>
          <w:iCs/>
          <w:sz w:val="20"/>
          <w:szCs w:val="20"/>
          <w:lang w:val="en-US"/>
        </w:rPr>
        <w:t>August 25</w:t>
      </w:r>
      <w:r w:rsidRPr="008F10D3">
        <w:rPr>
          <w:iCs/>
          <w:sz w:val="20"/>
          <w:szCs w:val="20"/>
        </w:rPr>
        <w:t>, 2023 authorizing the Board of</w:t>
      </w:r>
      <w:r>
        <w:rPr>
          <w:iCs/>
          <w:sz w:val="20"/>
          <w:szCs w:val="20"/>
          <w:lang w:val="en-US"/>
        </w:rPr>
        <w:t xml:space="preserve"> </w:t>
      </w:r>
      <w:r w:rsidRPr="008F10D3">
        <w:rPr>
          <w:iCs/>
          <w:sz w:val="20"/>
          <w:szCs w:val="20"/>
        </w:rPr>
        <w:t>Directors to raise funds by making an Initial Public Offering.</w:t>
      </w:r>
    </w:p>
    <w:p w14:paraId="72D8FF85" w14:textId="77777777" w:rsidR="008F10D3" w:rsidRDefault="008F10D3" w:rsidP="008F10D3">
      <w:pPr>
        <w:pStyle w:val="ListParagraph"/>
        <w:spacing w:line="240" w:lineRule="auto"/>
        <w:contextualSpacing/>
        <w:jc w:val="both"/>
        <w:rPr>
          <w:iCs/>
          <w:sz w:val="20"/>
          <w:szCs w:val="20"/>
        </w:rPr>
      </w:pPr>
    </w:p>
    <w:p w14:paraId="675884E9" w14:textId="2E89E750" w:rsidR="008F10D3" w:rsidRDefault="008F10D3">
      <w:pPr>
        <w:pStyle w:val="ListParagraph"/>
        <w:numPr>
          <w:ilvl w:val="0"/>
          <w:numId w:val="357"/>
        </w:numPr>
        <w:spacing w:line="240" w:lineRule="auto"/>
        <w:contextualSpacing/>
        <w:jc w:val="both"/>
        <w:rPr>
          <w:iCs/>
          <w:sz w:val="20"/>
          <w:szCs w:val="20"/>
        </w:rPr>
      </w:pPr>
      <w:r w:rsidRPr="008F10D3">
        <w:rPr>
          <w:iCs/>
          <w:sz w:val="20"/>
          <w:szCs w:val="20"/>
        </w:rPr>
        <w:t xml:space="preserve">We have passed a special resolution in the Extra-ordinary General meeting dated </w:t>
      </w:r>
      <w:r w:rsidR="00D74722">
        <w:rPr>
          <w:iCs/>
          <w:sz w:val="20"/>
          <w:szCs w:val="20"/>
          <w:lang w:val="en-US"/>
        </w:rPr>
        <w:t>August 25</w:t>
      </w:r>
      <w:r w:rsidRPr="008F10D3">
        <w:rPr>
          <w:iCs/>
          <w:sz w:val="20"/>
          <w:szCs w:val="20"/>
        </w:rPr>
        <w:t>, 2023 authorizing the Board of</w:t>
      </w:r>
      <w:r>
        <w:rPr>
          <w:iCs/>
          <w:sz w:val="20"/>
          <w:szCs w:val="20"/>
          <w:lang w:val="en-US"/>
        </w:rPr>
        <w:t xml:space="preserve"> </w:t>
      </w:r>
      <w:r w:rsidRPr="008F10D3">
        <w:rPr>
          <w:iCs/>
          <w:sz w:val="20"/>
          <w:szCs w:val="20"/>
        </w:rPr>
        <w:t>Directors to raise funds by making an Initial Public Offering.</w:t>
      </w:r>
    </w:p>
    <w:p w14:paraId="7C3F1F5A" w14:textId="77777777" w:rsidR="008F10D3" w:rsidRDefault="008F10D3" w:rsidP="008F10D3">
      <w:pPr>
        <w:pStyle w:val="ListParagraph"/>
        <w:spacing w:line="240" w:lineRule="auto"/>
        <w:contextualSpacing/>
        <w:jc w:val="both"/>
        <w:rPr>
          <w:iCs/>
          <w:sz w:val="20"/>
          <w:szCs w:val="20"/>
        </w:rPr>
      </w:pPr>
    </w:p>
    <w:p w14:paraId="3706D664" w14:textId="4F600C92" w:rsidR="00D74722" w:rsidRDefault="00D74722">
      <w:pPr>
        <w:pStyle w:val="ListParagraph"/>
        <w:numPr>
          <w:ilvl w:val="0"/>
          <w:numId w:val="357"/>
        </w:numPr>
        <w:spacing w:line="240" w:lineRule="auto"/>
        <w:contextualSpacing/>
        <w:jc w:val="both"/>
        <w:rPr>
          <w:iCs/>
          <w:sz w:val="20"/>
          <w:szCs w:val="20"/>
        </w:rPr>
      </w:pPr>
      <w:r w:rsidRPr="008F10D3">
        <w:rPr>
          <w:iCs/>
          <w:sz w:val="20"/>
          <w:szCs w:val="20"/>
        </w:rPr>
        <w:t xml:space="preserve">Our company has approved the </w:t>
      </w:r>
      <w:r>
        <w:rPr>
          <w:iCs/>
          <w:sz w:val="20"/>
          <w:szCs w:val="20"/>
          <w:lang w:val="en-US"/>
        </w:rPr>
        <w:t xml:space="preserve">restated </w:t>
      </w:r>
      <w:r w:rsidRPr="008F10D3">
        <w:rPr>
          <w:iCs/>
          <w:sz w:val="20"/>
          <w:szCs w:val="20"/>
        </w:rPr>
        <w:t>audited financial statements for the financial year ending March 31, 2023</w:t>
      </w:r>
      <w:r>
        <w:rPr>
          <w:iCs/>
          <w:sz w:val="20"/>
          <w:szCs w:val="20"/>
          <w:lang w:val="en-US"/>
        </w:rPr>
        <w:t xml:space="preserve">, </w:t>
      </w:r>
      <w:r w:rsidRPr="008F10D3">
        <w:rPr>
          <w:iCs/>
          <w:sz w:val="20"/>
          <w:szCs w:val="20"/>
        </w:rPr>
        <w:t>March 31, 202</w:t>
      </w:r>
      <w:r>
        <w:rPr>
          <w:iCs/>
          <w:sz w:val="20"/>
          <w:szCs w:val="20"/>
          <w:lang w:val="en-US"/>
        </w:rPr>
        <w:t xml:space="preserve">2, and </w:t>
      </w:r>
      <w:r w:rsidRPr="008F10D3">
        <w:rPr>
          <w:iCs/>
          <w:sz w:val="20"/>
          <w:szCs w:val="20"/>
        </w:rPr>
        <w:t>March 31, 202</w:t>
      </w:r>
      <w:r>
        <w:rPr>
          <w:iCs/>
          <w:sz w:val="20"/>
          <w:szCs w:val="20"/>
          <w:lang w:val="en-US"/>
        </w:rPr>
        <w:t>1</w:t>
      </w:r>
      <w:r w:rsidRPr="008F10D3">
        <w:rPr>
          <w:iCs/>
          <w:sz w:val="20"/>
          <w:szCs w:val="20"/>
        </w:rPr>
        <w:t xml:space="preserve"> in the Board</w:t>
      </w:r>
      <w:r>
        <w:rPr>
          <w:iCs/>
          <w:sz w:val="20"/>
          <w:szCs w:val="20"/>
          <w:lang w:val="en-US"/>
        </w:rPr>
        <w:t xml:space="preserve"> </w:t>
      </w:r>
      <w:r w:rsidRPr="008F10D3">
        <w:rPr>
          <w:iCs/>
          <w:sz w:val="20"/>
          <w:szCs w:val="20"/>
        </w:rPr>
        <w:t xml:space="preserve">meeting dated </w:t>
      </w:r>
      <w:r>
        <w:rPr>
          <w:iCs/>
          <w:sz w:val="20"/>
          <w:szCs w:val="20"/>
          <w:lang w:val="en-US"/>
        </w:rPr>
        <w:t>September 12</w:t>
      </w:r>
      <w:r w:rsidRPr="008F10D3">
        <w:rPr>
          <w:iCs/>
          <w:sz w:val="20"/>
          <w:szCs w:val="20"/>
        </w:rPr>
        <w:t>, 2023</w:t>
      </w:r>
    </w:p>
    <w:p w14:paraId="1C5B9AEA" w14:textId="77777777" w:rsidR="00D74722" w:rsidRPr="00D74722" w:rsidRDefault="00D74722" w:rsidP="00D74722">
      <w:pPr>
        <w:pStyle w:val="ListParagraph"/>
        <w:rPr>
          <w:iCs/>
          <w:sz w:val="20"/>
          <w:szCs w:val="20"/>
        </w:rPr>
      </w:pPr>
    </w:p>
    <w:p w14:paraId="4A303C8B" w14:textId="76A1C4C6" w:rsidR="008F10D3" w:rsidRPr="008F10D3" w:rsidRDefault="008F10D3">
      <w:pPr>
        <w:pStyle w:val="ListParagraph"/>
        <w:numPr>
          <w:ilvl w:val="0"/>
          <w:numId w:val="357"/>
        </w:numPr>
        <w:spacing w:line="240" w:lineRule="auto"/>
        <w:contextualSpacing/>
        <w:jc w:val="both"/>
        <w:rPr>
          <w:iCs/>
          <w:sz w:val="20"/>
          <w:szCs w:val="20"/>
        </w:rPr>
      </w:pPr>
      <w:r w:rsidRPr="008F10D3">
        <w:rPr>
          <w:iCs/>
          <w:sz w:val="20"/>
          <w:szCs w:val="20"/>
        </w:rPr>
        <w:t xml:space="preserve">Our Company has approved the Draft Red Herring Prospectus vide resolution in the Board Meeting dated </w:t>
      </w:r>
      <w:r w:rsidR="00D74722">
        <w:rPr>
          <w:iCs/>
          <w:sz w:val="20"/>
          <w:szCs w:val="20"/>
          <w:lang w:val="en-US"/>
        </w:rPr>
        <w:t>September 23</w:t>
      </w:r>
      <w:r w:rsidRPr="008F10D3">
        <w:rPr>
          <w:iCs/>
          <w:sz w:val="20"/>
          <w:szCs w:val="20"/>
        </w:rPr>
        <w:t>, 2023</w:t>
      </w:r>
    </w:p>
    <w:p w14:paraId="225DFF75" w14:textId="56A98D8E" w:rsidR="004047F2" w:rsidRPr="008F10D3" w:rsidRDefault="004047F2" w:rsidP="008F10D3">
      <w:pPr>
        <w:spacing w:after="0" w:line="240" w:lineRule="auto"/>
        <w:rPr>
          <w:rFonts w:eastAsia="Calibri"/>
          <w:iCs/>
          <w:sz w:val="20"/>
          <w:szCs w:val="20"/>
          <w:lang w:bidi="en-US"/>
        </w:rPr>
      </w:pPr>
      <w:r w:rsidRPr="008F10D3">
        <w:rPr>
          <w:rFonts w:eastAsia="MS Mincho"/>
          <w:iCs/>
          <w:sz w:val="20"/>
          <w:szCs w:val="20"/>
        </w:rPr>
        <w:br w:type="page"/>
      </w:r>
    </w:p>
    <w:p w14:paraId="6D30039B" w14:textId="3919F47C" w:rsidR="00807EC4" w:rsidRDefault="004047F2" w:rsidP="004047F2">
      <w:pPr>
        <w:widowControl w:val="0"/>
        <w:autoSpaceDE w:val="0"/>
        <w:autoSpaceDN w:val="0"/>
        <w:adjustRightInd w:val="0"/>
        <w:spacing w:after="0" w:line="240" w:lineRule="auto"/>
        <w:contextualSpacing/>
        <w:jc w:val="center"/>
        <w:rPr>
          <w:rFonts w:ascii="Times New Roman" w:eastAsia="MS Mincho" w:hAnsi="Times New Roman"/>
          <w:b/>
          <w:sz w:val="20"/>
          <w:szCs w:val="20"/>
          <w:u w:val="single"/>
        </w:rPr>
      </w:pPr>
      <w:r w:rsidRPr="004047F2">
        <w:rPr>
          <w:rFonts w:ascii="Times New Roman" w:eastAsia="MS Mincho" w:hAnsi="Times New Roman"/>
          <w:b/>
          <w:sz w:val="20"/>
          <w:szCs w:val="20"/>
          <w:u w:val="single"/>
        </w:rPr>
        <w:lastRenderedPageBreak/>
        <w:t>CAPITALISATION STATEMENT</w:t>
      </w:r>
    </w:p>
    <w:p w14:paraId="2913AFEB" w14:textId="77777777" w:rsidR="004047F2" w:rsidRDefault="004047F2" w:rsidP="004047F2">
      <w:pPr>
        <w:widowControl w:val="0"/>
        <w:autoSpaceDE w:val="0"/>
        <w:autoSpaceDN w:val="0"/>
        <w:adjustRightInd w:val="0"/>
        <w:spacing w:after="0" w:line="240" w:lineRule="auto"/>
        <w:contextualSpacing/>
        <w:jc w:val="center"/>
        <w:rPr>
          <w:rFonts w:ascii="Times New Roman" w:eastAsia="MS Mincho" w:hAnsi="Times New Roman"/>
          <w:b/>
          <w:sz w:val="20"/>
          <w:szCs w:val="20"/>
          <w:u w:val="single"/>
        </w:rPr>
      </w:pPr>
    </w:p>
    <w:p w14:paraId="1D3C2456" w14:textId="77777777" w:rsidR="004047F2" w:rsidRPr="005B12AE" w:rsidRDefault="004047F2" w:rsidP="004047F2">
      <w:pPr>
        <w:spacing w:after="0"/>
        <w:jc w:val="right"/>
        <w:rPr>
          <w:rFonts w:ascii="Times New Roman" w:hAnsi="Times New Roman"/>
          <w:b/>
          <w:bCs/>
          <w:sz w:val="20"/>
          <w:szCs w:val="20"/>
        </w:rPr>
      </w:pPr>
      <w:r w:rsidRPr="005B12AE">
        <w:rPr>
          <w:rFonts w:ascii="Times New Roman" w:hAnsi="Times New Roman"/>
          <w:b/>
          <w:bCs/>
          <w:sz w:val="20"/>
          <w:szCs w:val="20"/>
        </w:rPr>
        <w:t>(₹ in Lakhs)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8"/>
        <w:gridCol w:w="2683"/>
        <w:gridCol w:w="2445"/>
      </w:tblGrid>
      <w:tr w:rsidR="004047F2" w:rsidRPr="005B12AE" w14:paraId="28454607" w14:textId="77777777" w:rsidTr="00250DAC">
        <w:trPr>
          <w:trHeight w:val="20"/>
        </w:trPr>
        <w:tc>
          <w:tcPr>
            <w:tcW w:w="2548" w:type="pct"/>
            <w:shd w:val="clear" w:color="auto" w:fill="D0CECE" w:themeFill="background2" w:themeFillShade="E6"/>
            <w:noWrap/>
            <w:vAlign w:val="center"/>
            <w:hideMark/>
          </w:tcPr>
          <w:p w14:paraId="274ACA0A" w14:textId="77777777" w:rsidR="004047F2" w:rsidRPr="00E571CE" w:rsidRDefault="004047F2" w:rsidP="00250DAC">
            <w:pPr>
              <w:spacing w:after="0" w:line="240" w:lineRule="auto"/>
              <w:rPr>
                <w:rFonts w:ascii="Times New Roman" w:hAnsi="Times New Roman"/>
                <w:b/>
                <w:bCs/>
                <w:color w:val="000000"/>
                <w:sz w:val="20"/>
                <w:szCs w:val="20"/>
              </w:rPr>
            </w:pPr>
            <w:r w:rsidRPr="00E571CE">
              <w:rPr>
                <w:rFonts w:ascii="Times New Roman" w:hAnsi="Times New Roman"/>
                <w:b/>
                <w:bCs/>
                <w:color w:val="000000"/>
                <w:sz w:val="20"/>
                <w:szCs w:val="20"/>
              </w:rPr>
              <w:t>Particulars</w:t>
            </w:r>
          </w:p>
        </w:tc>
        <w:tc>
          <w:tcPr>
            <w:tcW w:w="1283" w:type="pct"/>
            <w:shd w:val="clear" w:color="auto" w:fill="D0CECE" w:themeFill="background2" w:themeFillShade="E6"/>
            <w:noWrap/>
            <w:vAlign w:val="center"/>
            <w:hideMark/>
          </w:tcPr>
          <w:p w14:paraId="7B35B074" w14:textId="77777777" w:rsidR="004047F2" w:rsidRPr="00E571CE" w:rsidRDefault="004047F2" w:rsidP="00250DAC">
            <w:pPr>
              <w:spacing w:after="0" w:line="240" w:lineRule="auto"/>
              <w:jc w:val="center"/>
              <w:rPr>
                <w:rFonts w:ascii="Times New Roman" w:hAnsi="Times New Roman"/>
                <w:b/>
                <w:bCs/>
                <w:color w:val="000000"/>
                <w:sz w:val="20"/>
                <w:szCs w:val="20"/>
              </w:rPr>
            </w:pPr>
            <w:r w:rsidRPr="00E571CE">
              <w:rPr>
                <w:rFonts w:ascii="Times New Roman" w:hAnsi="Times New Roman"/>
                <w:b/>
                <w:bCs/>
                <w:color w:val="000000"/>
                <w:sz w:val="20"/>
                <w:szCs w:val="20"/>
              </w:rPr>
              <w:t>Pre</w:t>
            </w:r>
            <w:r w:rsidRPr="005B12AE">
              <w:rPr>
                <w:rFonts w:ascii="Times New Roman" w:hAnsi="Times New Roman"/>
                <w:b/>
                <w:bCs/>
                <w:color w:val="000000"/>
                <w:sz w:val="20"/>
                <w:szCs w:val="20"/>
              </w:rPr>
              <w:t>-</w:t>
            </w:r>
            <w:r w:rsidRPr="00E571CE">
              <w:rPr>
                <w:rFonts w:ascii="Times New Roman" w:hAnsi="Times New Roman"/>
                <w:b/>
                <w:bCs/>
                <w:color w:val="000000"/>
                <w:sz w:val="20"/>
                <w:szCs w:val="20"/>
              </w:rPr>
              <w:t>Issue</w:t>
            </w:r>
          </w:p>
        </w:tc>
        <w:tc>
          <w:tcPr>
            <w:tcW w:w="1169" w:type="pct"/>
            <w:shd w:val="clear" w:color="auto" w:fill="D0CECE" w:themeFill="background2" w:themeFillShade="E6"/>
            <w:noWrap/>
            <w:vAlign w:val="center"/>
            <w:hideMark/>
          </w:tcPr>
          <w:p w14:paraId="55BF55A4" w14:textId="77777777" w:rsidR="004047F2" w:rsidRPr="00E571CE" w:rsidRDefault="004047F2" w:rsidP="00250DAC">
            <w:pPr>
              <w:spacing w:after="0" w:line="240" w:lineRule="auto"/>
              <w:jc w:val="center"/>
              <w:rPr>
                <w:rFonts w:ascii="Times New Roman" w:hAnsi="Times New Roman"/>
                <w:b/>
                <w:bCs/>
                <w:color w:val="000000"/>
                <w:sz w:val="20"/>
                <w:szCs w:val="20"/>
              </w:rPr>
            </w:pPr>
            <w:r w:rsidRPr="00E571CE">
              <w:rPr>
                <w:rFonts w:ascii="Times New Roman" w:hAnsi="Times New Roman"/>
                <w:b/>
                <w:bCs/>
                <w:color w:val="000000"/>
                <w:sz w:val="20"/>
                <w:szCs w:val="20"/>
              </w:rPr>
              <w:t>Post</w:t>
            </w:r>
            <w:r w:rsidRPr="005B12AE">
              <w:rPr>
                <w:rFonts w:ascii="Times New Roman" w:hAnsi="Times New Roman"/>
                <w:b/>
                <w:bCs/>
                <w:color w:val="000000"/>
                <w:sz w:val="20"/>
                <w:szCs w:val="20"/>
              </w:rPr>
              <w:t>-</w:t>
            </w:r>
            <w:r w:rsidRPr="00E571CE">
              <w:rPr>
                <w:rFonts w:ascii="Times New Roman" w:hAnsi="Times New Roman"/>
                <w:b/>
                <w:bCs/>
                <w:color w:val="000000"/>
                <w:sz w:val="20"/>
                <w:szCs w:val="20"/>
              </w:rPr>
              <w:t>Issue</w:t>
            </w:r>
          </w:p>
        </w:tc>
      </w:tr>
      <w:tr w:rsidR="004047F2" w:rsidRPr="00E571CE" w14:paraId="07F827BB" w14:textId="77777777" w:rsidTr="00250DAC">
        <w:trPr>
          <w:trHeight w:val="20"/>
        </w:trPr>
        <w:tc>
          <w:tcPr>
            <w:tcW w:w="2548" w:type="pct"/>
            <w:shd w:val="clear" w:color="auto" w:fill="auto"/>
            <w:vAlign w:val="center"/>
            <w:hideMark/>
          </w:tcPr>
          <w:p w14:paraId="049C3F08" w14:textId="77777777" w:rsidR="004047F2" w:rsidRPr="00E571CE" w:rsidRDefault="004047F2" w:rsidP="00250DAC">
            <w:pPr>
              <w:spacing w:after="0" w:line="240" w:lineRule="auto"/>
              <w:jc w:val="both"/>
              <w:rPr>
                <w:rFonts w:ascii="Times New Roman" w:hAnsi="Times New Roman"/>
                <w:b/>
                <w:bCs/>
                <w:color w:val="000000"/>
                <w:sz w:val="20"/>
                <w:szCs w:val="20"/>
              </w:rPr>
            </w:pPr>
            <w:r w:rsidRPr="00E571CE">
              <w:rPr>
                <w:rFonts w:ascii="Times New Roman" w:hAnsi="Times New Roman"/>
                <w:b/>
                <w:bCs/>
                <w:color w:val="000000"/>
                <w:sz w:val="20"/>
                <w:szCs w:val="20"/>
              </w:rPr>
              <w:t>Borrowings</w:t>
            </w:r>
          </w:p>
        </w:tc>
        <w:tc>
          <w:tcPr>
            <w:tcW w:w="1283" w:type="pct"/>
            <w:shd w:val="clear" w:color="auto" w:fill="auto"/>
            <w:noWrap/>
            <w:vAlign w:val="center"/>
            <w:hideMark/>
          </w:tcPr>
          <w:p w14:paraId="792ACA21" w14:textId="77777777" w:rsidR="004047F2" w:rsidRPr="00E571CE" w:rsidRDefault="004047F2" w:rsidP="00250DAC">
            <w:pPr>
              <w:spacing w:after="0" w:line="240" w:lineRule="auto"/>
              <w:rPr>
                <w:rFonts w:ascii="Times New Roman" w:hAnsi="Times New Roman"/>
                <w:color w:val="000000"/>
                <w:sz w:val="20"/>
                <w:szCs w:val="20"/>
              </w:rPr>
            </w:pPr>
            <w:r w:rsidRPr="00E571CE">
              <w:rPr>
                <w:rFonts w:ascii="Times New Roman" w:hAnsi="Times New Roman"/>
                <w:color w:val="000000"/>
                <w:sz w:val="20"/>
                <w:szCs w:val="20"/>
              </w:rPr>
              <w:t> </w:t>
            </w:r>
          </w:p>
        </w:tc>
        <w:tc>
          <w:tcPr>
            <w:tcW w:w="1169" w:type="pct"/>
            <w:shd w:val="clear" w:color="auto" w:fill="auto"/>
            <w:noWrap/>
            <w:vAlign w:val="center"/>
            <w:hideMark/>
          </w:tcPr>
          <w:p w14:paraId="799944FA" w14:textId="77777777" w:rsidR="004047F2" w:rsidRPr="00E571CE" w:rsidRDefault="004047F2" w:rsidP="00250DAC">
            <w:pPr>
              <w:spacing w:after="0" w:line="240" w:lineRule="auto"/>
              <w:rPr>
                <w:rFonts w:ascii="Times New Roman" w:hAnsi="Times New Roman"/>
                <w:color w:val="000000"/>
                <w:sz w:val="20"/>
                <w:szCs w:val="20"/>
              </w:rPr>
            </w:pPr>
            <w:r w:rsidRPr="00E571CE">
              <w:rPr>
                <w:rFonts w:ascii="Times New Roman" w:hAnsi="Times New Roman"/>
                <w:color w:val="000000"/>
                <w:sz w:val="20"/>
                <w:szCs w:val="20"/>
              </w:rPr>
              <w:t> </w:t>
            </w:r>
          </w:p>
        </w:tc>
      </w:tr>
      <w:tr w:rsidR="004047F2" w:rsidRPr="00E571CE" w14:paraId="4EA62490" w14:textId="77777777" w:rsidTr="00250DAC">
        <w:trPr>
          <w:trHeight w:val="20"/>
        </w:trPr>
        <w:tc>
          <w:tcPr>
            <w:tcW w:w="2548" w:type="pct"/>
            <w:shd w:val="clear" w:color="auto" w:fill="auto"/>
            <w:noWrap/>
            <w:vAlign w:val="center"/>
            <w:hideMark/>
          </w:tcPr>
          <w:p w14:paraId="5618DC9E" w14:textId="77777777" w:rsidR="004047F2" w:rsidRPr="00E571CE" w:rsidRDefault="004047F2" w:rsidP="00250DAC">
            <w:pPr>
              <w:spacing w:after="0" w:line="240" w:lineRule="auto"/>
              <w:rPr>
                <w:rFonts w:ascii="Times New Roman" w:hAnsi="Times New Roman"/>
                <w:color w:val="000000"/>
                <w:sz w:val="20"/>
                <w:szCs w:val="20"/>
              </w:rPr>
            </w:pPr>
            <w:r w:rsidRPr="00E571CE">
              <w:rPr>
                <w:rFonts w:ascii="Times New Roman" w:hAnsi="Times New Roman"/>
                <w:color w:val="000000"/>
                <w:sz w:val="20"/>
                <w:szCs w:val="20"/>
              </w:rPr>
              <w:t>Short term debt (A)</w:t>
            </w:r>
          </w:p>
        </w:tc>
        <w:tc>
          <w:tcPr>
            <w:tcW w:w="1283" w:type="pct"/>
            <w:shd w:val="clear" w:color="auto" w:fill="auto"/>
            <w:noWrap/>
            <w:vAlign w:val="center"/>
            <w:hideMark/>
          </w:tcPr>
          <w:p w14:paraId="12D46F45" w14:textId="77777777" w:rsidR="004047F2" w:rsidRPr="00E571CE" w:rsidRDefault="004047F2" w:rsidP="00250DAC">
            <w:pPr>
              <w:spacing w:after="0" w:line="240" w:lineRule="auto"/>
              <w:jc w:val="center"/>
              <w:rPr>
                <w:rFonts w:ascii="Times New Roman" w:hAnsi="Times New Roman"/>
                <w:color w:val="000000"/>
                <w:sz w:val="20"/>
                <w:szCs w:val="20"/>
              </w:rPr>
            </w:pPr>
            <w:r w:rsidRPr="00E571CE">
              <w:rPr>
                <w:rFonts w:ascii="Times New Roman" w:hAnsi="Times New Roman"/>
                <w:color w:val="000000"/>
                <w:sz w:val="20"/>
                <w:szCs w:val="20"/>
              </w:rPr>
              <w:t>6</w:t>
            </w:r>
            <w:r w:rsidRPr="005B12AE">
              <w:rPr>
                <w:rFonts w:ascii="Times New Roman" w:hAnsi="Times New Roman"/>
                <w:color w:val="000000"/>
                <w:sz w:val="20"/>
                <w:szCs w:val="20"/>
              </w:rPr>
              <w:t>,</w:t>
            </w:r>
            <w:r w:rsidRPr="00E571CE">
              <w:rPr>
                <w:rFonts w:ascii="Times New Roman" w:hAnsi="Times New Roman"/>
                <w:color w:val="000000"/>
                <w:sz w:val="20"/>
                <w:szCs w:val="20"/>
              </w:rPr>
              <w:t>004.14</w:t>
            </w:r>
          </w:p>
        </w:tc>
        <w:tc>
          <w:tcPr>
            <w:tcW w:w="1169" w:type="pct"/>
            <w:shd w:val="clear" w:color="auto" w:fill="auto"/>
            <w:noWrap/>
            <w:vAlign w:val="center"/>
            <w:hideMark/>
          </w:tcPr>
          <w:p w14:paraId="7ABD63AF" w14:textId="19F822C9" w:rsidR="004047F2" w:rsidRPr="00FF3D95" w:rsidRDefault="00FF3D95" w:rsidP="00250DAC">
            <w:pPr>
              <w:spacing w:after="0" w:line="240" w:lineRule="auto"/>
              <w:jc w:val="center"/>
              <w:rPr>
                <w:rFonts w:ascii="Times New Roman" w:hAnsi="Times New Roman"/>
                <w:color w:val="000000"/>
                <w:sz w:val="20"/>
                <w:szCs w:val="20"/>
              </w:rPr>
            </w:pPr>
            <w:r w:rsidRPr="00FF3D95">
              <w:rPr>
                <w:rFonts w:ascii="Times New Roman" w:hAnsi="Times New Roman"/>
                <w:color w:val="000000"/>
                <w:sz w:val="20"/>
                <w:szCs w:val="20"/>
              </w:rPr>
              <w:t>*</w:t>
            </w:r>
          </w:p>
        </w:tc>
      </w:tr>
      <w:tr w:rsidR="004047F2" w:rsidRPr="00E571CE" w14:paraId="1F991105" w14:textId="77777777" w:rsidTr="00250DAC">
        <w:trPr>
          <w:trHeight w:val="20"/>
        </w:trPr>
        <w:tc>
          <w:tcPr>
            <w:tcW w:w="2548" w:type="pct"/>
            <w:shd w:val="clear" w:color="auto" w:fill="auto"/>
            <w:vAlign w:val="center"/>
            <w:hideMark/>
          </w:tcPr>
          <w:p w14:paraId="56D5890B" w14:textId="77777777" w:rsidR="004047F2" w:rsidRPr="00E571CE" w:rsidRDefault="004047F2" w:rsidP="00250DAC">
            <w:pPr>
              <w:spacing w:after="0" w:line="240" w:lineRule="auto"/>
              <w:jc w:val="both"/>
              <w:rPr>
                <w:rFonts w:ascii="Times New Roman" w:hAnsi="Times New Roman"/>
                <w:color w:val="000000"/>
                <w:sz w:val="20"/>
                <w:szCs w:val="20"/>
              </w:rPr>
            </w:pPr>
            <w:r w:rsidRPr="00E571CE">
              <w:rPr>
                <w:rFonts w:ascii="Times New Roman" w:hAnsi="Times New Roman"/>
                <w:color w:val="000000"/>
                <w:sz w:val="20"/>
                <w:szCs w:val="20"/>
              </w:rPr>
              <w:t>Long Term Debt (B)</w:t>
            </w:r>
          </w:p>
        </w:tc>
        <w:tc>
          <w:tcPr>
            <w:tcW w:w="1283" w:type="pct"/>
            <w:shd w:val="clear" w:color="auto" w:fill="auto"/>
            <w:noWrap/>
            <w:vAlign w:val="center"/>
            <w:hideMark/>
          </w:tcPr>
          <w:p w14:paraId="58F757F1" w14:textId="77777777" w:rsidR="004047F2" w:rsidRPr="00E571CE" w:rsidRDefault="004047F2" w:rsidP="00250DAC">
            <w:pPr>
              <w:spacing w:after="0" w:line="240" w:lineRule="auto"/>
              <w:jc w:val="center"/>
              <w:rPr>
                <w:rFonts w:ascii="Times New Roman" w:hAnsi="Times New Roman"/>
                <w:color w:val="000000"/>
                <w:sz w:val="20"/>
                <w:szCs w:val="20"/>
              </w:rPr>
            </w:pPr>
            <w:r w:rsidRPr="00E571CE">
              <w:rPr>
                <w:rFonts w:ascii="Times New Roman" w:hAnsi="Times New Roman"/>
                <w:color w:val="000000"/>
                <w:sz w:val="20"/>
                <w:szCs w:val="20"/>
              </w:rPr>
              <w:t>702.81</w:t>
            </w:r>
          </w:p>
        </w:tc>
        <w:tc>
          <w:tcPr>
            <w:tcW w:w="1169" w:type="pct"/>
            <w:shd w:val="clear" w:color="auto" w:fill="auto"/>
            <w:noWrap/>
            <w:vAlign w:val="center"/>
            <w:hideMark/>
          </w:tcPr>
          <w:p w14:paraId="23F59670" w14:textId="493C84FF" w:rsidR="004047F2" w:rsidRPr="00FF3D95" w:rsidRDefault="00FF3D95" w:rsidP="00250DAC">
            <w:pPr>
              <w:spacing w:after="0" w:line="240" w:lineRule="auto"/>
              <w:jc w:val="center"/>
              <w:rPr>
                <w:rFonts w:ascii="Times New Roman" w:hAnsi="Times New Roman"/>
                <w:color w:val="000000"/>
                <w:sz w:val="20"/>
                <w:szCs w:val="20"/>
              </w:rPr>
            </w:pPr>
            <w:r w:rsidRPr="00FF3D95">
              <w:rPr>
                <w:rFonts w:ascii="Times New Roman" w:hAnsi="Times New Roman"/>
                <w:color w:val="000000"/>
                <w:sz w:val="20"/>
                <w:szCs w:val="20"/>
              </w:rPr>
              <w:t>*</w:t>
            </w:r>
          </w:p>
        </w:tc>
      </w:tr>
      <w:tr w:rsidR="004047F2" w:rsidRPr="00E571CE" w14:paraId="28C0089B" w14:textId="77777777" w:rsidTr="00250DAC">
        <w:trPr>
          <w:trHeight w:val="20"/>
        </w:trPr>
        <w:tc>
          <w:tcPr>
            <w:tcW w:w="2548" w:type="pct"/>
            <w:shd w:val="clear" w:color="auto" w:fill="auto"/>
            <w:vAlign w:val="center"/>
            <w:hideMark/>
          </w:tcPr>
          <w:p w14:paraId="4E2EA77C" w14:textId="77777777" w:rsidR="004047F2" w:rsidRPr="00E571CE" w:rsidRDefault="004047F2" w:rsidP="00250DAC">
            <w:pPr>
              <w:spacing w:after="0" w:line="240" w:lineRule="auto"/>
              <w:jc w:val="both"/>
              <w:rPr>
                <w:rFonts w:ascii="Times New Roman" w:hAnsi="Times New Roman"/>
                <w:b/>
                <w:bCs/>
                <w:color w:val="000000"/>
                <w:sz w:val="20"/>
                <w:szCs w:val="20"/>
              </w:rPr>
            </w:pPr>
            <w:r w:rsidRPr="00E571CE">
              <w:rPr>
                <w:rFonts w:ascii="Times New Roman" w:hAnsi="Times New Roman"/>
                <w:b/>
                <w:bCs/>
                <w:color w:val="000000"/>
                <w:sz w:val="20"/>
                <w:szCs w:val="20"/>
              </w:rPr>
              <w:t>Total debts (C)</w:t>
            </w:r>
          </w:p>
        </w:tc>
        <w:tc>
          <w:tcPr>
            <w:tcW w:w="1283" w:type="pct"/>
            <w:shd w:val="clear" w:color="auto" w:fill="auto"/>
            <w:noWrap/>
            <w:vAlign w:val="center"/>
            <w:hideMark/>
          </w:tcPr>
          <w:p w14:paraId="6EDC2280" w14:textId="77777777" w:rsidR="004047F2" w:rsidRPr="00E571CE" w:rsidRDefault="004047F2" w:rsidP="00250DAC">
            <w:pPr>
              <w:spacing w:after="0" w:line="240" w:lineRule="auto"/>
              <w:jc w:val="center"/>
              <w:rPr>
                <w:rFonts w:ascii="Times New Roman" w:hAnsi="Times New Roman"/>
                <w:b/>
                <w:bCs/>
                <w:color w:val="000000"/>
                <w:sz w:val="20"/>
                <w:szCs w:val="20"/>
              </w:rPr>
            </w:pPr>
            <w:r w:rsidRPr="00E571CE">
              <w:rPr>
                <w:rFonts w:ascii="Times New Roman" w:hAnsi="Times New Roman"/>
                <w:b/>
                <w:bCs/>
                <w:color w:val="000000"/>
                <w:sz w:val="20"/>
                <w:szCs w:val="20"/>
              </w:rPr>
              <w:t>6</w:t>
            </w:r>
            <w:r w:rsidRPr="005B12AE">
              <w:rPr>
                <w:rFonts w:ascii="Times New Roman" w:hAnsi="Times New Roman"/>
                <w:b/>
                <w:bCs/>
                <w:color w:val="000000"/>
                <w:sz w:val="20"/>
                <w:szCs w:val="20"/>
              </w:rPr>
              <w:t>,</w:t>
            </w:r>
            <w:r w:rsidRPr="00E571CE">
              <w:rPr>
                <w:rFonts w:ascii="Times New Roman" w:hAnsi="Times New Roman"/>
                <w:b/>
                <w:bCs/>
                <w:color w:val="000000"/>
                <w:sz w:val="20"/>
                <w:szCs w:val="20"/>
              </w:rPr>
              <w:t>706.95</w:t>
            </w:r>
          </w:p>
        </w:tc>
        <w:tc>
          <w:tcPr>
            <w:tcW w:w="1169" w:type="pct"/>
            <w:shd w:val="clear" w:color="auto" w:fill="auto"/>
            <w:noWrap/>
            <w:vAlign w:val="center"/>
            <w:hideMark/>
          </w:tcPr>
          <w:p w14:paraId="0E247C45" w14:textId="3B260C71" w:rsidR="004047F2" w:rsidRPr="00FF3D95" w:rsidRDefault="00FF3D95" w:rsidP="00250DAC">
            <w:pPr>
              <w:spacing w:after="0" w:line="240" w:lineRule="auto"/>
              <w:jc w:val="center"/>
              <w:rPr>
                <w:rFonts w:ascii="Times New Roman" w:hAnsi="Times New Roman"/>
                <w:b/>
                <w:bCs/>
                <w:color w:val="000000"/>
                <w:sz w:val="20"/>
                <w:szCs w:val="20"/>
              </w:rPr>
            </w:pPr>
            <w:r w:rsidRPr="00FF3D95">
              <w:rPr>
                <w:rFonts w:ascii="Times New Roman" w:hAnsi="Times New Roman"/>
                <w:b/>
                <w:bCs/>
                <w:color w:val="000000"/>
                <w:sz w:val="20"/>
                <w:szCs w:val="20"/>
              </w:rPr>
              <w:t>*</w:t>
            </w:r>
          </w:p>
        </w:tc>
      </w:tr>
      <w:tr w:rsidR="004047F2" w:rsidRPr="00E571CE" w14:paraId="7C3C288B" w14:textId="77777777" w:rsidTr="00250DAC">
        <w:trPr>
          <w:trHeight w:val="20"/>
        </w:trPr>
        <w:tc>
          <w:tcPr>
            <w:tcW w:w="2548" w:type="pct"/>
            <w:shd w:val="clear" w:color="auto" w:fill="auto"/>
            <w:noWrap/>
            <w:vAlign w:val="center"/>
            <w:hideMark/>
          </w:tcPr>
          <w:p w14:paraId="6A16FC38" w14:textId="77777777" w:rsidR="004047F2" w:rsidRPr="00E571CE" w:rsidRDefault="004047F2" w:rsidP="00250DAC">
            <w:pPr>
              <w:spacing w:after="0" w:line="240" w:lineRule="auto"/>
              <w:rPr>
                <w:rFonts w:ascii="Times New Roman" w:hAnsi="Times New Roman"/>
                <w:b/>
                <w:bCs/>
                <w:color w:val="000000"/>
                <w:sz w:val="20"/>
                <w:szCs w:val="20"/>
              </w:rPr>
            </w:pPr>
            <w:r w:rsidRPr="00E571CE">
              <w:rPr>
                <w:rFonts w:ascii="Times New Roman" w:hAnsi="Times New Roman"/>
                <w:b/>
                <w:bCs/>
                <w:color w:val="000000"/>
                <w:sz w:val="20"/>
                <w:szCs w:val="20"/>
              </w:rPr>
              <w:t>Shareholders’ funds</w:t>
            </w:r>
          </w:p>
        </w:tc>
        <w:tc>
          <w:tcPr>
            <w:tcW w:w="1283" w:type="pct"/>
            <w:shd w:val="clear" w:color="auto" w:fill="auto"/>
            <w:noWrap/>
            <w:vAlign w:val="bottom"/>
            <w:hideMark/>
          </w:tcPr>
          <w:p w14:paraId="0ED6EF5A" w14:textId="77777777" w:rsidR="004047F2" w:rsidRPr="00E571CE" w:rsidRDefault="004047F2" w:rsidP="00250DAC">
            <w:pPr>
              <w:spacing w:after="0" w:line="240" w:lineRule="auto"/>
              <w:rPr>
                <w:rFonts w:ascii="Times New Roman" w:hAnsi="Times New Roman"/>
                <w:color w:val="000000"/>
                <w:sz w:val="20"/>
                <w:szCs w:val="20"/>
              </w:rPr>
            </w:pPr>
            <w:r w:rsidRPr="00E571CE">
              <w:rPr>
                <w:rFonts w:ascii="Times New Roman" w:hAnsi="Times New Roman"/>
                <w:color w:val="000000"/>
                <w:sz w:val="20"/>
                <w:szCs w:val="20"/>
              </w:rPr>
              <w:t> </w:t>
            </w:r>
          </w:p>
        </w:tc>
        <w:tc>
          <w:tcPr>
            <w:tcW w:w="1169" w:type="pct"/>
            <w:shd w:val="clear" w:color="auto" w:fill="auto"/>
            <w:noWrap/>
            <w:vAlign w:val="bottom"/>
            <w:hideMark/>
          </w:tcPr>
          <w:p w14:paraId="66A8FE99" w14:textId="77777777" w:rsidR="004047F2" w:rsidRPr="00E571CE" w:rsidRDefault="004047F2" w:rsidP="00250DAC">
            <w:pPr>
              <w:spacing w:after="0" w:line="240" w:lineRule="auto"/>
              <w:rPr>
                <w:rFonts w:ascii="Times New Roman" w:hAnsi="Times New Roman"/>
                <w:color w:val="000000"/>
                <w:sz w:val="20"/>
                <w:szCs w:val="20"/>
              </w:rPr>
            </w:pPr>
            <w:r w:rsidRPr="00E571CE">
              <w:rPr>
                <w:rFonts w:ascii="Times New Roman" w:hAnsi="Times New Roman"/>
                <w:color w:val="000000"/>
                <w:sz w:val="20"/>
                <w:szCs w:val="20"/>
              </w:rPr>
              <w:t> </w:t>
            </w:r>
          </w:p>
        </w:tc>
      </w:tr>
      <w:tr w:rsidR="004047F2" w:rsidRPr="00E571CE" w14:paraId="19B24373" w14:textId="77777777" w:rsidTr="00250DAC">
        <w:trPr>
          <w:trHeight w:val="20"/>
        </w:trPr>
        <w:tc>
          <w:tcPr>
            <w:tcW w:w="2548" w:type="pct"/>
            <w:shd w:val="clear" w:color="auto" w:fill="auto"/>
            <w:noWrap/>
            <w:vAlign w:val="center"/>
            <w:hideMark/>
          </w:tcPr>
          <w:p w14:paraId="2AEC4B18" w14:textId="77777777" w:rsidR="004047F2" w:rsidRPr="00E571CE" w:rsidRDefault="004047F2" w:rsidP="00250DAC">
            <w:pPr>
              <w:spacing w:after="0" w:line="240" w:lineRule="auto"/>
              <w:rPr>
                <w:rFonts w:ascii="Times New Roman" w:hAnsi="Times New Roman"/>
                <w:color w:val="000000"/>
                <w:sz w:val="20"/>
                <w:szCs w:val="20"/>
              </w:rPr>
            </w:pPr>
            <w:r w:rsidRPr="00E571CE">
              <w:rPr>
                <w:rFonts w:ascii="Times New Roman" w:hAnsi="Times New Roman"/>
                <w:color w:val="000000"/>
                <w:sz w:val="20"/>
                <w:szCs w:val="20"/>
              </w:rPr>
              <w:t>Equity share capital</w:t>
            </w:r>
          </w:p>
        </w:tc>
        <w:tc>
          <w:tcPr>
            <w:tcW w:w="1283" w:type="pct"/>
            <w:shd w:val="clear" w:color="auto" w:fill="auto"/>
            <w:noWrap/>
            <w:vAlign w:val="center"/>
            <w:hideMark/>
          </w:tcPr>
          <w:p w14:paraId="46098F17" w14:textId="77777777" w:rsidR="004047F2" w:rsidRPr="00E571CE" w:rsidRDefault="004047F2" w:rsidP="00250DAC">
            <w:pPr>
              <w:spacing w:after="0" w:line="240" w:lineRule="auto"/>
              <w:jc w:val="center"/>
              <w:rPr>
                <w:rFonts w:ascii="Times New Roman" w:hAnsi="Times New Roman"/>
                <w:color w:val="000000"/>
                <w:sz w:val="20"/>
                <w:szCs w:val="20"/>
              </w:rPr>
            </w:pPr>
            <w:r w:rsidRPr="00E571CE">
              <w:rPr>
                <w:rFonts w:ascii="Times New Roman" w:hAnsi="Times New Roman"/>
                <w:color w:val="000000"/>
                <w:sz w:val="20"/>
                <w:szCs w:val="20"/>
              </w:rPr>
              <w:t>1,380.55</w:t>
            </w:r>
          </w:p>
        </w:tc>
        <w:tc>
          <w:tcPr>
            <w:tcW w:w="1169" w:type="pct"/>
            <w:shd w:val="clear" w:color="auto" w:fill="auto"/>
            <w:noWrap/>
            <w:vAlign w:val="center"/>
            <w:hideMark/>
          </w:tcPr>
          <w:p w14:paraId="77C3481C" w14:textId="77777777" w:rsidR="004047F2" w:rsidRPr="00E571CE" w:rsidRDefault="004047F2" w:rsidP="00250DAC">
            <w:pPr>
              <w:spacing w:after="0" w:line="240" w:lineRule="auto"/>
              <w:jc w:val="center"/>
              <w:rPr>
                <w:rFonts w:ascii="Times New Roman" w:hAnsi="Times New Roman"/>
                <w:b/>
                <w:bCs/>
                <w:color w:val="000000"/>
                <w:sz w:val="20"/>
                <w:szCs w:val="20"/>
              </w:rPr>
            </w:pPr>
            <w:r w:rsidRPr="00E571CE">
              <w:rPr>
                <w:rFonts w:ascii="Times New Roman" w:hAnsi="Times New Roman"/>
                <w:b/>
                <w:bCs/>
                <w:color w:val="000000"/>
                <w:sz w:val="20"/>
                <w:szCs w:val="20"/>
              </w:rPr>
              <w:t>*</w:t>
            </w:r>
          </w:p>
        </w:tc>
      </w:tr>
      <w:tr w:rsidR="004047F2" w:rsidRPr="00E571CE" w14:paraId="7057985C" w14:textId="77777777" w:rsidTr="00250DAC">
        <w:trPr>
          <w:trHeight w:val="20"/>
        </w:trPr>
        <w:tc>
          <w:tcPr>
            <w:tcW w:w="2548" w:type="pct"/>
            <w:shd w:val="clear" w:color="auto" w:fill="auto"/>
            <w:noWrap/>
            <w:vAlign w:val="center"/>
            <w:hideMark/>
          </w:tcPr>
          <w:p w14:paraId="66D24E32" w14:textId="77777777" w:rsidR="004047F2" w:rsidRPr="00E571CE" w:rsidRDefault="004047F2" w:rsidP="00250DAC">
            <w:pPr>
              <w:spacing w:after="0" w:line="240" w:lineRule="auto"/>
              <w:rPr>
                <w:rFonts w:ascii="Times New Roman" w:hAnsi="Times New Roman"/>
                <w:color w:val="000000"/>
                <w:sz w:val="20"/>
                <w:szCs w:val="20"/>
              </w:rPr>
            </w:pPr>
            <w:r w:rsidRPr="00E571CE">
              <w:rPr>
                <w:rFonts w:ascii="Times New Roman" w:hAnsi="Times New Roman"/>
                <w:color w:val="000000"/>
                <w:sz w:val="20"/>
                <w:szCs w:val="20"/>
              </w:rPr>
              <w:t xml:space="preserve">Reserve and surplus - as restated </w:t>
            </w:r>
          </w:p>
        </w:tc>
        <w:tc>
          <w:tcPr>
            <w:tcW w:w="1283" w:type="pct"/>
            <w:shd w:val="clear" w:color="auto" w:fill="auto"/>
            <w:noWrap/>
            <w:vAlign w:val="center"/>
            <w:hideMark/>
          </w:tcPr>
          <w:p w14:paraId="2D0EAF94" w14:textId="77777777" w:rsidR="004047F2" w:rsidRPr="00E571CE" w:rsidRDefault="004047F2" w:rsidP="00250DAC">
            <w:pPr>
              <w:spacing w:after="0" w:line="240" w:lineRule="auto"/>
              <w:jc w:val="center"/>
              <w:rPr>
                <w:rFonts w:ascii="Times New Roman" w:hAnsi="Times New Roman"/>
                <w:color w:val="000000"/>
                <w:sz w:val="20"/>
                <w:szCs w:val="20"/>
              </w:rPr>
            </w:pPr>
            <w:r w:rsidRPr="00E571CE">
              <w:rPr>
                <w:rFonts w:ascii="Times New Roman" w:hAnsi="Times New Roman"/>
                <w:color w:val="000000"/>
                <w:sz w:val="20"/>
                <w:szCs w:val="20"/>
              </w:rPr>
              <w:t>3,261.57</w:t>
            </w:r>
          </w:p>
        </w:tc>
        <w:tc>
          <w:tcPr>
            <w:tcW w:w="1169" w:type="pct"/>
            <w:shd w:val="clear" w:color="auto" w:fill="auto"/>
            <w:noWrap/>
            <w:vAlign w:val="center"/>
            <w:hideMark/>
          </w:tcPr>
          <w:p w14:paraId="27728B52" w14:textId="77777777" w:rsidR="004047F2" w:rsidRPr="00E571CE" w:rsidRDefault="004047F2" w:rsidP="00250DAC">
            <w:pPr>
              <w:spacing w:after="0" w:line="240" w:lineRule="auto"/>
              <w:jc w:val="center"/>
              <w:rPr>
                <w:rFonts w:ascii="Times New Roman" w:hAnsi="Times New Roman"/>
                <w:b/>
                <w:bCs/>
                <w:color w:val="000000"/>
                <w:sz w:val="20"/>
                <w:szCs w:val="20"/>
              </w:rPr>
            </w:pPr>
            <w:r w:rsidRPr="00E571CE">
              <w:rPr>
                <w:rFonts w:ascii="Times New Roman" w:hAnsi="Times New Roman"/>
                <w:b/>
                <w:bCs/>
                <w:color w:val="000000"/>
                <w:sz w:val="20"/>
                <w:szCs w:val="20"/>
              </w:rPr>
              <w:t>*</w:t>
            </w:r>
          </w:p>
        </w:tc>
      </w:tr>
      <w:tr w:rsidR="004047F2" w:rsidRPr="00E571CE" w14:paraId="3924E359" w14:textId="77777777" w:rsidTr="00250DAC">
        <w:trPr>
          <w:trHeight w:val="20"/>
        </w:trPr>
        <w:tc>
          <w:tcPr>
            <w:tcW w:w="2548" w:type="pct"/>
            <w:shd w:val="clear" w:color="auto" w:fill="auto"/>
            <w:noWrap/>
            <w:vAlign w:val="center"/>
            <w:hideMark/>
          </w:tcPr>
          <w:p w14:paraId="6B7CFDE0" w14:textId="77777777" w:rsidR="004047F2" w:rsidRPr="00E571CE" w:rsidRDefault="004047F2" w:rsidP="00250DAC">
            <w:pPr>
              <w:spacing w:after="0" w:line="240" w:lineRule="auto"/>
              <w:rPr>
                <w:rFonts w:ascii="Times New Roman" w:hAnsi="Times New Roman"/>
                <w:color w:val="000000"/>
                <w:sz w:val="20"/>
                <w:szCs w:val="20"/>
              </w:rPr>
            </w:pPr>
            <w:r w:rsidRPr="00E571CE">
              <w:rPr>
                <w:rFonts w:ascii="Times New Roman" w:hAnsi="Times New Roman"/>
                <w:color w:val="000000"/>
                <w:sz w:val="20"/>
                <w:szCs w:val="20"/>
              </w:rPr>
              <w:t> </w:t>
            </w:r>
          </w:p>
        </w:tc>
        <w:tc>
          <w:tcPr>
            <w:tcW w:w="1283" w:type="pct"/>
            <w:shd w:val="clear" w:color="auto" w:fill="auto"/>
            <w:noWrap/>
            <w:vAlign w:val="bottom"/>
            <w:hideMark/>
          </w:tcPr>
          <w:p w14:paraId="35246F57" w14:textId="77777777" w:rsidR="004047F2" w:rsidRPr="00E571CE" w:rsidRDefault="004047F2" w:rsidP="00250DAC">
            <w:pPr>
              <w:spacing w:after="0" w:line="240" w:lineRule="auto"/>
              <w:rPr>
                <w:rFonts w:ascii="Times New Roman" w:hAnsi="Times New Roman"/>
                <w:color w:val="000000"/>
                <w:sz w:val="20"/>
                <w:szCs w:val="20"/>
              </w:rPr>
            </w:pPr>
            <w:r w:rsidRPr="00E571CE">
              <w:rPr>
                <w:rFonts w:ascii="Times New Roman" w:hAnsi="Times New Roman"/>
                <w:color w:val="000000"/>
                <w:sz w:val="20"/>
                <w:szCs w:val="20"/>
              </w:rPr>
              <w:t> </w:t>
            </w:r>
          </w:p>
        </w:tc>
        <w:tc>
          <w:tcPr>
            <w:tcW w:w="1169" w:type="pct"/>
            <w:shd w:val="clear" w:color="auto" w:fill="auto"/>
            <w:noWrap/>
            <w:vAlign w:val="bottom"/>
            <w:hideMark/>
          </w:tcPr>
          <w:p w14:paraId="51D024E9" w14:textId="77777777" w:rsidR="004047F2" w:rsidRPr="00E571CE" w:rsidRDefault="004047F2" w:rsidP="00250DAC">
            <w:pPr>
              <w:spacing w:after="0" w:line="240" w:lineRule="auto"/>
              <w:rPr>
                <w:rFonts w:ascii="Times New Roman" w:hAnsi="Times New Roman"/>
                <w:color w:val="000000"/>
                <w:sz w:val="20"/>
                <w:szCs w:val="20"/>
              </w:rPr>
            </w:pPr>
            <w:r w:rsidRPr="00E571CE">
              <w:rPr>
                <w:rFonts w:ascii="Times New Roman" w:hAnsi="Times New Roman"/>
                <w:color w:val="000000"/>
                <w:sz w:val="20"/>
                <w:szCs w:val="20"/>
              </w:rPr>
              <w:t> </w:t>
            </w:r>
          </w:p>
        </w:tc>
      </w:tr>
      <w:tr w:rsidR="004047F2" w:rsidRPr="00E571CE" w14:paraId="491CEC70" w14:textId="77777777" w:rsidTr="00250DAC">
        <w:trPr>
          <w:trHeight w:val="20"/>
        </w:trPr>
        <w:tc>
          <w:tcPr>
            <w:tcW w:w="2548" w:type="pct"/>
            <w:shd w:val="clear" w:color="auto" w:fill="auto"/>
            <w:vAlign w:val="center"/>
            <w:hideMark/>
          </w:tcPr>
          <w:p w14:paraId="5732ABF7" w14:textId="77777777" w:rsidR="004047F2" w:rsidRPr="00E571CE" w:rsidRDefault="004047F2" w:rsidP="00250DAC">
            <w:pPr>
              <w:spacing w:after="0" w:line="240" w:lineRule="auto"/>
              <w:jc w:val="both"/>
              <w:rPr>
                <w:rFonts w:ascii="Times New Roman" w:hAnsi="Times New Roman"/>
                <w:b/>
                <w:bCs/>
                <w:color w:val="000000"/>
                <w:sz w:val="20"/>
                <w:szCs w:val="20"/>
              </w:rPr>
            </w:pPr>
            <w:r w:rsidRPr="00E571CE">
              <w:rPr>
                <w:rFonts w:ascii="Times New Roman" w:hAnsi="Times New Roman"/>
                <w:b/>
                <w:bCs/>
                <w:color w:val="000000"/>
                <w:sz w:val="20"/>
                <w:szCs w:val="20"/>
              </w:rPr>
              <w:t>Total shareholders’ funds</w:t>
            </w:r>
          </w:p>
        </w:tc>
        <w:tc>
          <w:tcPr>
            <w:tcW w:w="1283" w:type="pct"/>
            <w:shd w:val="clear" w:color="auto" w:fill="auto"/>
            <w:noWrap/>
            <w:vAlign w:val="center"/>
            <w:hideMark/>
          </w:tcPr>
          <w:p w14:paraId="4DFC0C61" w14:textId="77777777" w:rsidR="004047F2" w:rsidRPr="00E571CE" w:rsidRDefault="004047F2" w:rsidP="00250DAC">
            <w:pPr>
              <w:spacing w:after="0" w:line="240" w:lineRule="auto"/>
              <w:jc w:val="center"/>
              <w:rPr>
                <w:rFonts w:ascii="Times New Roman" w:hAnsi="Times New Roman"/>
                <w:color w:val="000000"/>
                <w:sz w:val="20"/>
                <w:szCs w:val="20"/>
              </w:rPr>
            </w:pPr>
            <w:r w:rsidRPr="00E571CE">
              <w:rPr>
                <w:rFonts w:ascii="Times New Roman" w:hAnsi="Times New Roman"/>
                <w:color w:val="000000"/>
                <w:sz w:val="20"/>
                <w:szCs w:val="20"/>
              </w:rPr>
              <w:t>4,642.12</w:t>
            </w:r>
          </w:p>
        </w:tc>
        <w:tc>
          <w:tcPr>
            <w:tcW w:w="1169" w:type="pct"/>
            <w:shd w:val="clear" w:color="auto" w:fill="auto"/>
            <w:noWrap/>
            <w:vAlign w:val="center"/>
            <w:hideMark/>
          </w:tcPr>
          <w:p w14:paraId="5973C36C" w14:textId="77777777" w:rsidR="004047F2" w:rsidRPr="00E571CE" w:rsidRDefault="004047F2" w:rsidP="00250DAC">
            <w:pPr>
              <w:spacing w:after="0" w:line="240" w:lineRule="auto"/>
              <w:jc w:val="center"/>
              <w:rPr>
                <w:rFonts w:ascii="Times New Roman" w:hAnsi="Times New Roman"/>
                <w:color w:val="000000"/>
                <w:sz w:val="20"/>
                <w:szCs w:val="20"/>
              </w:rPr>
            </w:pPr>
            <w:r w:rsidRPr="00E571CE">
              <w:rPr>
                <w:rFonts w:ascii="Times New Roman" w:hAnsi="Times New Roman"/>
                <w:color w:val="000000"/>
                <w:sz w:val="20"/>
                <w:szCs w:val="20"/>
              </w:rPr>
              <w:t>*</w:t>
            </w:r>
          </w:p>
        </w:tc>
      </w:tr>
      <w:tr w:rsidR="004047F2" w:rsidRPr="00E571CE" w14:paraId="089F72D7" w14:textId="77777777" w:rsidTr="00250DAC">
        <w:trPr>
          <w:trHeight w:val="20"/>
        </w:trPr>
        <w:tc>
          <w:tcPr>
            <w:tcW w:w="2548" w:type="pct"/>
            <w:shd w:val="clear" w:color="auto" w:fill="auto"/>
            <w:noWrap/>
            <w:vAlign w:val="center"/>
            <w:hideMark/>
          </w:tcPr>
          <w:p w14:paraId="75A7553C" w14:textId="77777777" w:rsidR="004047F2" w:rsidRPr="00E571CE" w:rsidRDefault="004047F2" w:rsidP="00250DAC">
            <w:pPr>
              <w:spacing w:after="0" w:line="240" w:lineRule="auto"/>
              <w:rPr>
                <w:rFonts w:ascii="Times New Roman" w:hAnsi="Times New Roman"/>
                <w:color w:val="000000"/>
                <w:sz w:val="20"/>
                <w:szCs w:val="20"/>
              </w:rPr>
            </w:pPr>
            <w:r w:rsidRPr="00E571CE">
              <w:rPr>
                <w:rFonts w:ascii="Times New Roman" w:hAnsi="Times New Roman"/>
                <w:color w:val="000000"/>
                <w:sz w:val="20"/>
                <w:szCs w:val="20"/>
              </w:rPr>
              <w:t> </w:t>
            </w:r>
          </w:p>
        </w:tc>
        <w:tc>
          <w:tcPr>
            <w:tcW w:w="1283" w:type="pct"/>
            <w:shd w:val="clear" w:color="auto" w:fill="auto"/>
            <w:noWrap/>
            <w:vAlign w:val="bottom"/>
            <w:hideMark/>
          </w:tcPr>
          <w:p w14:paraId="2F7DC2C1" w14:textId="77777777" w:rsidR="004047F2" w:rsidRPr="00E571CE" w:rsidRDefault="004047F2" w:rsidP="00250DAC">
            <w:pPr>
              <w:spacing w:after="0" w:line="240" w:lineRule="auto"/>
              <w:rPr>
                <w:rFonts w:ascii="Times New Roman" w:hAnsi="Times New Roman"/>
                <w:color w:val="000000"/>
                <w:sz w:val="20"/>
                <w:szCs w:val="20"/>
              </w:rPr>
            </w:pPr>
            <w:r w:rsidRPr="00E571CE">
              <w:rPr>
                <w:rFonts w:ascii="Times New Roman" w:hAnsi="Times New Roman"/>
                <w:color w:val="000000"/>
                <w:sz w:val="20"/>
                <w:szCs w:val="20"/>
              </w:rPr>
              <w:t> </w:t>
            </w:r>
          </w:p>
        </w:tc>
        <w:tc>
          <w:tcPr>
            <w:tcW w:w="1169" w:type="pct"/>
            <w:shd w:val="clear" w:color="auto" w:fill="auto"/>
            <w:noWrap/>
            <w:vAlign w:val="bottom"/>
            <w:hideMark/>
          </w:tcPr>
          <w:p w14:paraId="06A52595" w14:textId="77777777" w:rsidR="004047F2" w:rsidRPr="00E571CE" w:rsidRDefault="004047F2" w:rsidP="00250DAC">
            <w:pPr>
              <w:spacing w:after="0" w:line="240" w:lineRule="auto"/>
              <w:rPr>
                <w:rFonts w:ascii="Times New Roman" w:hAnsi="Times New Roman"/>
                <w:color w:val="000000"/>
                <w:sz w:val="20"/>
                <w:szCs w:val="20"/>
              </w:rPr>
            </w:pPr>
            <w:r w:rsidRPr="00E571CE">
              <w:rPr>
                <w:rFonts w:ascii="Times New Roman" w:hAnsi="Times New Roman"/>
                <w:color w:val="000000"/>
                <w:sz w:val="20"/>
                <w:szCs w:val="20"/>
              </w:rPr>
              <w:t> </w:t>
            </w:r>
          </w:p>
        </w:tc>
      </w:tr>
      <w:tr w:rsidR="004047F2" w:rsidRPr="00E571CE" w14:paraId="3E8B5AD4" w14:textId="77777777" w:rsidTr="00250DAC">
        <w:trPr>
          <w:trHeight w:val="20"/>
        </w:trPr>
        <w:tc>
          <w:tcPr>
            <w:tcW w:w="2548" w:type="pct"/>
            <w:shd w:val="clear" w:color="auto" w:fill="auto"/>
            <w:vAlign w:val="center"/>
            <w:hideMark/>
          </w:tcPr>
          <w:p w14:paraId="68054DF0" w14:textId="77777777" w:rsidR="004047F2" w:rsidRPr="00E571CE" w:rsidRDefault="004047F2" w:rsidP="00250DAC">
            <w:pPr>
              <w:spacing w:after="0" w:line="240" w:lineRule="auto"/>
              <w:jc w:val="both"/>
              <w:rPr>
                <w:rFonts w:ascii="Times New Roman" w:hAnsi="Times New Roman"/>
                <w:b/>
                <w:bCs/>
                <w:color w:val="000000"/>
                <w:sz w:val="20"/>
                <w:szCs w:val="20"/>
              </w:rPr>
            </w:pPr>
            <w:r w:rsidRPr="00E571CE">
              <w:rPr>
                <w:rFonts w:ascii="Times New Roman" w:hAnsi="Times New Roman"/>
                <w:b/>
                <w:bCs/>
                <w:color w:val="000000"/>
                <w:sz w:val="20"/>
                <w:szCs w:val="20"/>
              </w:rPr>
              <w:t xml:space="preserve">Long term debt/ shareholders funds (in </w:t>
            </w:r>
            <w:r w:rsidRPr="005B12AE">
              <w:rPr>
                <w:rFonts w:ascii="Times New Roman" w:hAnsi="Times New Roman"/>
                <w:b/>
                <w:bCs/>
                <w:color w:val="000000"/>
                <w:sz w:val="20"/>
                <w:szCs w:val="20"/>
              </w:rPr>
              <w:t>₹</w:t>
            </w:r>
            <w:r w:rsidRPr="00E571CE">
              <w:rPr>
                <w:rFonts w:ascii="Times New Roman" w:hAnsi="Times New Roman"/>
                <w:b/>
                <w:bCs/>
                <w:color w:val="000000"/>
                <w:sz w:val="20"/>
                <w:szCs w:val="20"/>
              </w:rPr>
              <w:t>)</w:t>
            </w:r>
          </w:p>
        </w:tc>
        <w:tc>
          <w:tcPr>
            <w:tcW w:w="1283" w:type="pct"/>
            <w:shd w:val="clear" w:color="auto" w:fill="auto"/>
            <w:noWrap/>
            <w:vAlign w:val="center"/>
            <w:hideMark/>
          </w:tcPr>
          <w:p w14:paraId="2E8BD3FE" w14:textId="77777777" w:rsidR="004047F2" w:rsidRPr="00E571CE" w:rsidRDefault="004047F2" w:rsidP="00250DAC">
            <w:pPr>
              <w:spacing w:after="0" w:line="240" w:lineRule="auto"/>
              <w:jc w:val="center"/>
              <w:rPr>
                <w:rFonts w:ascii="Times New Roman" w:hAnsi="Times New Roman"/>
                <w:color w:val="000000"/>
                <w:sz w:val="20"/>
                <w:szCs w:val="20"/>
              </w:rPr>
            </w:pPr>
            <w:r w:rsidRPr="00E571CE">
              <w:rPr>
                <w:rFonts w:ascii="Times New Roman" w:hAnsi="Times New Roman"/>
                <w:color w:val="000000"/>
                <w:sz w:val="20"/>
                <w:szCs w:val="20"/>
              </w:rPr>
              <w:t>0.15</w:t>
            </w:r>
          </w:p>
        </w:tc>
        <w:tc>
          <w:tcPr>
            <w:tcW w:w="1169" w:type="pct"/>
            <w:shd w:val="clear" w:color="auto" w:fill="auto"/>
            <w:noWrap/>
            <w:vAlign w:val="center"/>
            <w:hideMark/>
          </w:tcPr>
          <w:p w14:paraId="45508F04" w14:textId="77777777" w:rsidR="004047F2" w:rsidRPr="00E571CE" w:rsidRDefault="004047F2" w:rsidP="00250DAC">
            <w:pPr>
              <w:spacing w:after="0" w:line="240" w:lineRule="auto"/>
              <w:jc w:val="center"/>
              <w:rPr>
                <w:rFonts w:ascii="Times New Roman" w:hAnsi="Times New Roman"/>
                <w:b/>
                <w:bCs/>
                <w:color w:val="000000"/>
                <w:sz w:val="20"/>
                <w:szCs w:val="20"/>
              </w:rPr>
            </w:pPr>
            <w:r w:rsidRPr="00E571CE">
              <w:rPr>
                <w:rFonts w:ascii="Times New Roman" w:hAnsi="Times New Roman"/>
                <w:b/>
                <w:bCs/>
                <w:color w:val="000000"/>
                <w:sz w:val="20"/>
                <w:szCs w:val="20"/>
              </w:rPr>
              <w:t>*</w:t>
            </w:r>
          </w:p>
        </w:tc>
      </w:tr>
      <w:tr w:rsidR="004047F2" w:rsidRPr="00E571CE" w14:paraId="470A5E7A" w14:textId="77777777" w:rsidTr="00250DAC">
        <w:trPr>
          <w:trHeight w:val="20"/>
        </w:trPr>
        <w:tc>
          <w:tcPr>
            <w:tcW w:w="2548" w:type="pct"/>
            <w:shd w:val="clear" w:color="auto" w:fill="auto"/>
            <w:vAlign w:val="center"/>
            <w:hideMark/>
          </w:tcPr>
          <w:p w14:paraId="032850B5" w14:textId="77777777" w:rsidR="004047F2" w:rsidRPr="00E571CE" w:rsidRDefault="004047F2" w:rsidP="00250DAC">
            <w:pPr>
              <w:spacing w:after="0" w:line="240" w:lineRule="auto"/>
              <w:jc w:val="both"/>
              <w:rPr>
                <w:rFonts w:ascii="Times New Roman" w:hAnsi="Times New Roman"/>
                <w:b/>
                <w:bCs/>
                <w:color w:val="000000"/>
                <w:sz w:val="20"/>
                <w:szCs w:val="20"/>
              </w:rPr>
            </w:pPr>
            <w:r w:rsidRPr="00E571CE">
              <w:rPr>
                <w:rFonts w:ascii="Times New Roman" w:hAnsi="Times New Roman"/>
                <w:b/>
                <w:bCs/>
                <w:color w:val="000000"/>
                <w:sz w:val="20"/>
                <w:szCs w:val="20"/>
              </w:rPr>
              <w:t xml:space="preserve">Total debt/ shareholders funds (in </w:t>
            </w:r>
            <w:r w:rsidRPr="005B12AE">
              <w:rPr>
                <w:rFonts w:ascii="Times New Roman" w:hAnsi="Times New Roman"/>
                <w:b/>
                <w:bCs/>
                <w:color w:val="000000"/>
                <w:sz w:val="20"/>
                <w:szCs w:val="20"/>
              </w:rPr>
              <w:t>₹</w:t>
            </w:r>
            <w:r w:rsidRPr="00E571CE">
              <w:rPr>
                <w:rFonts w:ascii="Times New Roman" w:hAnsi="Times New Roman"/>
                <w:b/>
                <w:bCs/>
                <w:color w:val="000000"/>
                <w:sz w:val="20"/>
                <w:szCs w:val="20"/>
              </w:rPr>
              <w:t>)</w:t>
            </w:r>
          </w:p>
        </w:tc>
        <w:tc>
          <w:tcPr>
            <w:tcW w:w="1283" w:type="pct"/>
            <w:shd w:val="clear" w:color="auto" w:fill="auto"/>
            <w:noWrap/>
            <w:vAlign w:val="center"/>
            <w:hideMark/>
          </w:tcPr>
          <w:p w14:paraId="3CACF37D" w14:textId="77777777" w:rsidR="004047F2" w:rsidRPr="00E571CE" w:rsidRDefault="004047F2" w:rsidP="00250DAC">
            <w:pPr>
              <w:spacing w:after="0" w:line="240" w:lineRule="auto"/>
              <w:jc w:val="center"/>
              <w:rPr>
                <w:rFonts w:ascii="Times New Roman" w:hAnsi="Times New Roman"/>
                <w:color w:val="000000"/>
                <w:sz w:val="20"/>
                <w:szCs w:val="20"/>
              </w:rPr>
            </w:pPr>
            <w:r w:rsidRPr="00E571CE">
              <w:rPr>
                <w:rFonts w:ascii="Times New Roman" w:hAnsi="Times New Roman"/>
                <w:color w:val="000000"/>
                <w:sz w:val="20"/>
                <w:szCs w:val="20"/>
              </w:rPr>
              <w:t>1.44</w:t>
            </w:r>
          </w:p>
        </w:tc>
        <w:tc>
          <w:tcPr>
            <w:tcW w:w="1169" w:type="pct"/>
            <w:shd w:val="clear" w:color="auto" w:fill="auto"/>
            <w:noWrap/>
            <w:vAlign w:val="center"/>
            <w:hideMark/>
          </w:tcPr>
          <w:p w14:paraId="5205E40B" w14:textId="77777777" w:rsidR="004047F2" w:rsidRPr="00E571CE" w:rsidRDefault="004047F2" w:rsidP="00250DAC">
            <w:pPr>
              <w:spacing w:after="0" w:line="240" w:lineRule="auto"/>
              <w:jc w:val="center"/>
              <w:rPr>
                <w:rFonts w:ascii="Times New Roman" w:hAnsi="Times New Roman"/>
                <w:b/>
                <w:bCs/>
                <w:color w:val="000000"/>
                <w:sz w:val="20"/>
                <w:szCs w:val="20"/>
              </w:rPr>
            </w:pPr>
            <w:r w:rsidRPr="00E571CE">
              <w:rPr>
                <w:rFonts w:ascii="Times New Roman" w:hAnsi="Times New Roman"/>
                <w:b/>
                <w:bCs/>
                <w:color w:val="000000"/>
                <w:sz w:val="20"/>
                <w:szCs w:val="20"/>
              </w:rPr>
              <w:t>*</w:t>
            </w:r>
          </w:p>
        </w:tc>
      </w:tr>
    </w:tbl>
    <w:p w14:paraId="73D7380C" w14:textId="77777777" w:rsidR="004047F2" w:rsidRPr="005B12AE" w:rsidRDefault="004047F2" w:rsidP="004047F2">
      <w:pPr>
        <w:spacing w:after="0"/>
        <w:rPr>
          <w:rFonts w:ascii="Times New Roman" w:hAnsi="Times New Roman"/>
          <w:color w:val="000000"/>
          <w:sz w:val="20"/>
          <w:szCs w:val="20"/>
        </w:rPr>
      </w:pPr>
      <w:r w:rsidRPr="005B12AE">
        <w:rPr>
          <w:rFonts w:ascii="Times New Roman" w:hAnsi="Times New Roman"/>
          <w:color w:val="000000"/>
          <w:sz w:val="20"/>
          <w:szCs w:val="20"/>
        </w:rPr>
        <w:t>(*) The corresponding post issue figures are not determinable at this stage pending the completion of public issue and hence have not been furnished.</w:t>
      </w:r>
    </w:p>
    <w:p w14:paraId="228E1A60" w14:textId="77777777" w:rsidR="004047F2" w:rsidRPr="005B12AE" w:rsidRDefault="004047F2" w:rsidP="004047F2">
      <w:pPr>
        <w:spacing w:after="0"/>
        <w:rPr>
          <w:rFonts w:ascii="Times New Roman" w:hAnsi="Times New Roman"/>
          <w:color w:val="000000"/>
          <w:sz w:val="20"/>
          <w:szCs w:val="20"/>
        </w:rPr>
      </w:pPr>
      <w:r w:rsidRPr="005B12AE">
        <w:rPr>
          <w:rFonts w:ascii="Times New Roman" w:hAnsi="Times New Roman"/>
          <w:color w:val="000000"/>
          <w:sz w:val="20"/>
          <w:szCs w:val="20"/>
        </w:rPr>
        <w:t>Notes:</w:t>
      </w:r>
    </w:p>
    <w:p w14:paraId="40968BA6" w14:textId="77777777" w:rsidR="004047F2" w:rsidRPr="005B12AE" w:rsidRDefault="004047F2">
      <w:pPr>
        <w:pStyle w:val="ListParagraph"/>
        <w:numPr>
          <w:ilvl w:val="0"/>
          <w:numId w:val="329"/>
        </w:numPr>
        <w:suppressAutoHyphens w:val="0"/>
        <w:autoSpaceDE/>
        <w:autoSpaceDN/>
        <w:adjustRightInd/>
        <w:spacing w:line="259" w:lineRule="auto"/>
        <w:ind w:left="360"/>
        <w:contextualSpacing/>
        <w:textAlignment w:val="auto"/>
        <w:rPr>
          <w:sz w:val="20"/>
          <w:szCs w:val="20"/>
        </w:rPr>
      </w:pPr>
      <w:r w:rsidRPr="005B12AE">
        <w:rPr>
          <w:sz w:val="20"/>
          <w:szCs w:val="20"/>
        </w:rPr>
        <w:t>Short term Debts represent which are expected to be paid/payable within 12 months.</w:t>
      </w:r>
    </w:p>
    <w:p w14:paraId="6A7830AD" w14:textId="77777777" w:rsidR="004047F2" w:rsidRPr="005B12AE" w:rsidRDefault="004047F2">
      <w:pPr>
        <w:pStyle w:val="ListParagraph"/>
        <w:numPr>
          <w:ilvl w:val="0"/>
          <w:numId w:val="329"/>
        </w:numPr>
        <w:suppressAutoHyphens w:val="0"/>
        <w:autoSpaceDE/>
        <w:autoSpaceDN/>
        <w:adjustRightInd/>
        <w:spacing w:line="259" w:lineRule="auto"/>
        <w:ind w:left="360"/>
        <w:contextualSpacing/>
        <w:textAlignment w:val="auto"/>
        <w:rPr>
          <w:sz w:val="20"/>
          <w:szCs w:val="20"/>
        </w:rPr>
      </w:pPr>
      <w:r w:rsidRPr="005B12AE">
        <w:rPr>
          <w:sz w:val="20"/>
          <w:szCs w:val="20"/>
        </w:rPr>
        <w:t>Long term Debts represent debts other than Short term Debts as defined above but excludes installment of term loans repayable within 12 months grouped under other current liabilities.</w:t>
      </w:r>
    </w:p>
    <w:p w14:paraId="1FF040BB" w14:textId="77777777" w:rsidR="004047F2" w:rsidRPr="005B12AE" w:rsidRDefault="004047F2">
      <w:pPr>
        <w:pStyle w:val="ListParagraph"/>
        <w:numPr>
          <w:ilvl w:val="0"/>
          <w:numId w:val="329"/>
        </w:numPr>
        <w:suppressAutoHyphens w:val="0"/>
        <w:autoSpaceDE/>
        <w:autoSpaceDN/>
        <w:adjustRightInd/>
        <w:spacing w:line="259" w:lineRule="auto"/>
        <w:ind w:left="360"/>
        <w:contextualSpacing/>
        <w:textAlignment w:val="auto"/>
        <w:rPr>
          <w:sz w:val="20"/>
          <w:szCs w:val="20"/>
        </w:rPr>
      </w:pPr>
      <w:r w:rsidRPr="005B12AE">
        <w:rPr>
          <w:sz w:val="20"/>
          <w:szCs w:val="20"/>
        </w:rPr>
        <w:t>The figures disclosed above are based on restated statement of Assets and Liabilities of the Company as at 31.03.2023</w:t>
      </w:r>
    </w:p>
    <w:p w14:paraId="7282B94B" w14:textId="7487EC35" w:rsidR="004047F2" w:rsidRDefault="004047F2">
      <w:pPr>
        <w:spacing w:after="160" w:line="259" w:lineRule="auto"/>
        <w:rPr>
          <w:rFonts w:ascii="Times New Roman" w:eastAsia="MS Mincho" w:hAnsi="Times New Roman"/>
          <w:bCs/>
          <w:sz w:val="20"/>
          <w:szCs w:val="20"/>
          <w:lang w:val="x-none"/>
        </w:rPr>
      </w:pPr>
      <w:r>
        <w:rPr>
          <w:rFonts w:ascii="Times New Roman" w:eastAsia="MS Mincho" w:hAnsi="Times New Roman"/>
          <w:bCs/>
          <w:sz w:val="20"/>
          <w:szCs w:val="20"/>
          <w:lang w:val="x-none"/>
        </w:rPr>
        <w:br w:type="page"/>
      </w:r>
    </w:p>
    <w:p w14:paraId="269380D8" w14:textId="77777777" w:rsidR="004047F2" w:rsidRPr="004047F2" w:rsidRDefault="004047F2" w:rsidP="004047F2">
      <w:pPr>
        <w:widowControl w:val="0"/>
        <w:autoSpaceDE w:val="0"/>
        <w:autoSpaceDN w:val="0"/>
        <w:adjustRightInd w:val="0"/>
        <w:spacing w:after="0" w:line="240" w:lineRule="auto"/>
        <w:contextualSpacing/>
        <w:jc w:val="center"/>
        <w:rPr>
          <w:rFonts w:ascii="Times New Roman" w:eastAsia="MS Mincho" w:hAnsi="Times New Roman"/>
          <w:b/>
          <w:sz w:val="20"/>
          <w:szCs w:val="20"/>
          <w:u w:val="single"/>
          <w:lang w:val="x-none"/>
        </w:rPr>
      </w:pPr>
      <w:r w:rsidRPr="004047F2">
        <w:rPr>
          <w:rFonts w:ascii="Times New Roman" w:eastAsia="MS Mincho" w:hAnsi="Times New Roman"/>
          <w:b/>
          <w:sz w:val="20"/>
          <w:szCs w:val="20"/>
          <w:u w:val="single"/>
          <w:lang w:val="x-none"/>
        </w:rPr>
        <w:lastRenderedPageBreak/>
        <w:t>SECTION VII – LEGAL AND OTHER INFORMATION</w:t>
      </w:r>
    </w:p>
    <w:p w14:paraId="579AEE72" w14:textId="77777777" w:rsidR="004047F2" w:rsidRPr="004047F2" w:rsidRDefault="004047F2" w:rsidP="004047F2">
      <w:pPr>
        <w:widowControl w:val="0"/>
        <w:autoSpaceDE w:val="0"/>
        <w:autoSpaceDN w:val="0"/>
        <w:adjustRightInd w:val="0"/>
        <w:spacing w:after="0" w:line="240" w:lineRule="auto"/>
        <w:contextualSpacing/>
        <w:jc w:val="center"/>
        <w:rPr>
          <w:rFonts w:ascii="Times New Roman" w:eastAsia="MS Mincho" w:hAnsi="Times New Roman"/>
          <w:b/>
          <w:sz w:val="20"/>
          <w:szCs w:val="20"/>
          <w:u w:val="single"/>
          <w:lang w:val="x-none"/>
        </w:rPr>
      </w:pPr>
    </w:p>
    <w:p w14:paraId="1D7DA225" w14:textId="03C2970B" w:rsidR="004047F2" w:rsidRDefault="004047F2" w:rsidP="004047F2">
      <w:pPr>
        <w:widowControl w:val="0"/>
        <w:autoSpaceDE w:val="0"/>
        <w:autoSpaceDN w:val="0"/>
        <w:adjustRightInd w:val="0"/>
        <w:spacing w:after="0" w:line="240" w:lineRule="auto"/>
        <w:contextualSpacing/>
        <w:jc w:val="center"/>
        <w:rPr>
          <w:rFonts w:ascii="Times New Roman" w:eastAsia="MS Mincho" w:hAnsi="Times New Roman"/>
          <w:b/>
          <w:sz w:val="20"/>
          <w:szCs w:val="20"/>
          <w:u w:val="single"/>
          <w:lang w:val="x-none"/>
        </w:rPr>
      </w:pPr>
      <w:r w:rsidRPr="004047F2">
        <w:rPr>
          <w:rFonts w:ascii="Times New Roman" w:eastAsia="MS Mincho" w:hAnsi="Times New Roman"/>
          <w:b/>
          <w:sz w:val="20"/>
          <w:szCs w:val="20"/>
          <w:u w:val="single"/>
          <w:lang w:val="x-none"/>
        </w:rPr>
        <w:t>OUTSTANDING LITIGATIONS AND MATERIAL DEVELOPMENTS</w:t>
      </w:r>
    </w:p>
    <w:p w14:paraId="24DF085D" w14:textId="77777777" w:rsidR="004047F2" w:rsidRDefault="004047F2" w:rsidP="004047F2">
      <w:pPr>
        <w:widowControl w:val="0"/>
        <w:autoSpaceDE w:val="0"/>
        <w:autoSpaceDN w:val="0"/>
        <w:adjustRightInd w:val="0"/>
        <w:spacing w:after="0" w:line="240" w:lineRule="auto"/>
        <w:contextualSpacing/>
        <w:jc w:val="center"/>
        <w:rPr>
          <w:rFonts w:ascii="Times New Roman" w:eastAsia="MS Mincho" w:hAnsi="Times New Roman"/>
          <w:b/>
          <w:sz w:val="20"/>
          <w:szCs w:val="20"/>
          <w:u w:val="single"/>
          <w:lang w:val="x-none"/>
        </w:rPr>
      </w:pPr>
    </w:p>
    <w:p w14:paraId="7CA7D340" w14:textId="4D602CEB" w:rsidR="004047F2" w:rsidRDefault="004047F2">
      <w:pPr>
        <w:spacing w:after="160" w:line="259" w:lineRule="auto"/>
        <w:rPr>
          <w:rFonts w:ascii="Times New Roman" w:eastAsia="MS Mincho" w:hAnsi="Times New Roman"/>
          <w:b/>
          <w:sz w:val="20"/>
          <w:szCs w:val="20"/>
          <w:u w:val="single"/>
          <w:lang w:val="x-none"/>
        </w:rPr>
      </w:pPr>
      <w:r>
        <w:rPr>
          <w:rFonts w:ascii="Times New Roman" w:eastAsia="MS Mincho" w:hAnsi="Times New Roman"/>
          <w:b/>
          <w:sz w:val="20"/>
          <w:szCs w:val="20"/>
          <w:u w:val="single"/>
          <w:lang w:val="x-none"/>
        </w:rPr>
        <w:br w:type="page"/>
      </w:r>
    </w:p>
    <w:p w14:paraId="7DA81825" w14:textId="5FAB5401" w:rsidR="004047F2" w:rsidRDefault="004047F2" w:rsidP="004047F2">
      <w:pPr>
        <w:widowControl w:val="0"/>
        <w:autoSpaceDE w:val="0"/>
        <w:autoSpaceDN w:val="0"/>
        <w:adjustRightInd w:val="0"/>
        <w:spacing w:after="0" w:line="240" w:lineRule="auto"/>
        <w:contextualSpacing/>
        <w:jc w:val="center"/>
        <w:rPr>
          <w:rFonts w:ascii="Times New Roman" w:eastAsia="MS Mincho" w:hAnsi="Times New Roman"/>
          <w:b/>
          <w:sz w:val="20"/>
          <w:szCs w:val="20"/>
          <w:u w:val="single"/>
          <w:lang w:val="x-none"/>
        </w:rPr>
      </w:pPr>
      <w:r w:rsidRPr="004047F2">
        <w:rPr>
          <w:rFonts w:ascii="Times New Roman" w:eastAsia="MS Mincho" w:hAnsi="Times New Roman"/>
          <w:b/>
          <w:sz w:val="20"/>
          <w:szCs w:val="20"/>
          <w:u w:val="single"/>
          <w:lang w:val="x-none"/>
        </w:rPr>
        <w:lastRenderedPageBreak/>
        <w:t>GOVERNMENT AND OTHER APPROVALS</w:t>
      </w:r>
    </w:p>
    <w:p w14:paraId="614829D1" w14:textId="77777777" w:rsidR="00FF3D95" w:rsidRDefault="00FF3D95" w:rsidP="00FF3D95">
      <w:pPr>
        <w:spacing w:after="0" w:line="259" w:lineRule="auto"/>
        <w:rPr>
          <w:rFonts w:ascii="Times New Roman" w:eastAsia="MS Mincho" w:hAnsi="Times New Roman"/>
          <w:b/>
          <w:sz w:val="20"/>
          <w:szCs w:val="20"/>
          <w:u w:val="single"/>
          <w:lang w:val="x-none"/>
        </w:rPr>
      </w:pPr>
    </w:p>
    <w:p w14:paraId="287914BD" w14:textId="77777777" w:rsidR="00FF3D95" w:rsidRPr="00712F3C" w:rsidRDefault="00FF3D95" w:rsidP="00FF3D95">
      <w:pPr>
        <w:spacing w:after="0" w:line="240" w:lineRule="auto"/>
        <w:ind w:right="-16"/>
        <w:jc w:val="both"/>
        <w:outlineLvl w:val="3"/>
        <w:rPr>
          <w:rFonts w:ascii="Times New Roman" w:hAnsi="Times New Roman"/>
          <w:bCs/>
          <w:iCs/>
          <w:sz w:val="20"/>
          <w:szCs w:val="20"/>
          <w:lang w:bidi="en-US"/>
        </w:rPr>
      </w:pPr>
      <w:r w:rsidRPr="00712F3C">
        <w:rPr>
          <w:rFonts w:ascii="Times New Roman" w:hAnsi="Times New Roman"/>
          <w:bCs/>
          <w:iCs/>
          <w:sz w:val="20"/>
          <w:szCs w:val="20"/>
          <w:lang w:bidi="en-US"/>
        </w:rPr>
        <w:t xml:space="preserve">Except as mentioned below, our Company has received the necessary consents, licenses, permissions, registrations and approvals from the Central and State Governments and other government agencies/ regulatory authorities/ certification bodies required to undertake the Issue or continue our business activities and no further approvals are required for carrying on our present or proposed business activities. It must, however, be distinctly understood that in granting the above approvals, the Government of India and other authorities do not take any responsibility for the financial soundness of our Company or for the correctness of any of the statements or any commitments made or opinions expressed in this behalf. Unless otherwise stated, these approvals are all valid as of the date of this Draft </w:t>
      </w:r>
      <w:r w:rsidRPr="00712F3C">
        <w:rPr>
          <w:rFonts w:ascii="Times New Roman" w:hAnsi="Times New Roman"/>
          <w:sz w:val="20"/>
          <w:szCs w:val="20"/>
        </w:rPr>
        <w:t xml:space="preserve">Red Herring </w:t>
      </w:r>
      <w:r w:rsidRPr="00712F3C">
        <w:rPr>
          <w:rFonts w:ascii="Times New Roman" w:hAnsi="Times New Roman"/>
          <w:bCs/>
          <w:iCs/>
          <w:sz w:val="20"/>
          <w:szCs w:val="20"/>
          <w:lang w:bidi="en-US"/>
        </w:rPr>
        <w:t xml:space="preserve">Prospectus. </w:t>
      </w:r>
    </w:p>
    <w:p w14:paraId="481D5A05" w14:textId="77777777" w:rsidR="00FF3D95" w:rsidRPr="00712F3C" w:rsidRDefault="00FF3D95" w:rsidP="00FF3D95">
      <w:pPr>
        <w:spacing w:after="0" w:line="240" w:lineRule="auto"/>
        <w:ind w:left="147" w:right="-16"/>
        <w:jc w:val="both"/>
        <w:outlineLvl w:val="3"/>
        <w:rPr>
          <w:rFonts w:ascii="Times New Roman" w:hAnsi="Times New Roman"/>
          <w:bCs/>
          <w:iCs/>
          <w:sz w:val="20"/>
          <w:szCs w:val="20"/>
          <w:lang w:bidi="en-US"/>
        </w:rPr>
      </w:pPr>
    </w:p>
    <w:p w14:paraId="291356F9" w14:textId="77777777" w:rsidR="00FF3D95" w:rsidRPr="00712F3C" w:rsidRDefault="00FF3D95" w:rsidP="00FF3D95">
      <w:pPr>
        <w:spacing w:after="0" w:line="240" w:lineRule="auto"/>
        <w:ind w:right="-16"/>
        <w:jc w:val="both"/>
        <w:outlineLvl w:val="3"/>
        <w:rPr>
          <w:rFonts w:ascii="Times New Roman" w:hAnsi="Times New Roman"/>
          <w:bCs/>
          <w:iCs/>
          <w:sz w:val="20"/>
          <w:szCs w:val="20"/>
          <w:lang w:bidi="en-US"/>
        </w:rPr>
      </w:pPr>
      <w:r w:rsidRPr="00712F3C">
        <w:rPr>
          <w:rFonts w:ascii="Times New Roman" w:hAnsi="Times New Roman"/>
          <w:bCs/>
          <w:iCs/>
          <w:sz w:val="20"/>
          <w:szCs w:val="20"/>
          <w:lang w:bidi="en-US"/>
        </w:rPr>
        <w:t xml:space="preserve">For details in connection with the regulatory and legal framework within which we operate, see the section titled </w:t>
      </w:r>
      <w:r w:rsidRPr="00712F3C">
        <w:rPr>
          <w:rFonts w:ascii="Times New Roman" w:hAnsi="Times New Roman"/>
          <w:b/>
          <w:bCs/>
          <w:i/>
          <w:iCs/>
          <w:sz w:val="20"/>
          <w:szCs w:val="20"/>
          <w:lang w:bidi="en-US"/>
        </w:rPr>
        <w:t>“Key Industrial Regulations and Policies”</w:t>
      </w:r>
      <w:r w:rsidRPr="00712F3C">
        <w:rPr>
          <w:rFonts w:ascii="Times New Roman" w:hAnsi="Times New Roman"/>
          <w:bCs/>
          <w:iCs/>
          <w:sz w:val="20"/>
          <w:szCs w:val="20"/>
          <w:lang w:bidi="en-US"/>
        </w:rPr>
        <w:t xml:space="preserve"> at page </w:t>
      </w:r>
      <w:r>
        <w:rPr>
          <w:rFonts w:ascii="Times New Roman" w:hAnsi="Times New Roman"/>
          <w:bCs/>
          <w:iCs/>
          <w:sz w:val="20"/>
          <w:szCs w:val="20"/>
          <w:lang w:bidi="en-US"/>
        </w:rPr>
        <w:t>101</w:t>
      </w:r>
      <w:r w:rsidRPr="00712F3C">
        <w:rPr>
          <w:rFonts w:ascii="Times New Roman" w:hAnsi="Times New Roman"/>
          <w:bCs/>
          <w:iCs/>
          <w:sz w:val="20"/>
          <w:szCs w:val="20"/>
          <w:lang w:bidi="en-US"/>
        </w:rPr>
        <w:t xml:space="preserve"> of this Draft </w:t>
      </w:r>
      <w:r w:rsidRPr="00712F3C">
        <w:rPr>
          <w:rFonts w:ascii="Times New Roman" w:hAnsi="Times New Roman"/>
          <w:sz w:val="20"/>
          <w:szCs w:val="20"/>
        </w:rPr>
        <w:t xml:space="preserve">Red Herring </w:t>
      </w:r>
      <w:r w:rsidRPr="00712F3C">
        <w:rPr>
          <w:rFonts w:ascii="Times New Roman" w:hAnsi="Times New Roman"/>
          <w:bCs/>
          <w:iCs/>
          <w:sz w:val="20"/>
          <w:szCs w:val="20"/>
          <w:lang w:bidi="en-US"/>
        </w:rPr>
        <w:t xml:space="preserve">Prospectus. </w:t>
      </w:r>
      <w:r w:rsidRPr="00712F3C">
        <w:rPr>
          <w:rFonts w:ascii="Times New Roman" w:hAnsi="Times New Roman"/>
          <w:sz w:val="20"/>
          <w:szCs w:val="20"/>
        </w:rPr>
        <w:t>The main objects clause of the Memorandum of Association of our Company and the objects incidental, enable our Company to carry out its activities.</w:t>
      </w:r>
    </w:p>
    <w:p w14:paraId="65FC4A2C" w14:textId="77777777" w:rsidR="00FF3D95" w:rsidRPr="00712F3C" w:rsidRDefault="00FF3D95" w:rsidP="00FF3D95">
      <w:pPr>
        <w:spacing w:after="0" w:line="240" w:lineRule="auto"/>
        <w:ind w:left="147" w:right="-16"/>
        <w:jc w:val="both"/>
        <w:rPr>
          <w:rFonts w:ascii="Times New Roman" w:hAnsi="Times New Roman"/>
          <w:sz w:val="20"/>
          <w:szCs w:val="20"/>
        </w:rPr>
      </w:pPr>
    </w:p>
    <w:p w14:paraId="1AB67146" w14:textId="77777777" w:rsidR="00FF3D95" w:rsidRPr="00712F3C" w:rsidRDefault="00FF3D95" w:rsidP="00FF3D95">
      <w:pPr>
        <w:spacing w:after="0" w:line="240" w:lineRule="auto"/>
        <w:ind w:right="-16"/>
        <w:jc w:val="both"/>
        <w:rPr>
          <w:rFonts w:ascii="Times New Roman" w:hAnsi="Times New Roman"/>
          <w:sz w:val="20"/>
          <w:szCs w:val="20"/>
          <w:lang w:val="en-GB"/>
        </w:rPr>
      </w:pPr>
      <w:r w:rsidRPr="00712F3C">
        <w:rPr>
          <w:rFonts w:ascii="Times New Roman" w:hAnsi="Times New Roman"/>
          <w:sz w:val="20"/>
          <w:szCs w:val="20"/>
          <w:lang w:val="en-GB"/>
        </w:rPr>
        <w:t>The Company has got following licenses/ registrations/ approvals/ consents/ permissions from the Government and various other Government agencies required for its present business.</w:t>
      </w:r>
    </w:p>
    <w:p w14:paraId="6424447F" w14:textId="77777777" w:rsidR="00FF3D95" w:rsidRPr="00712F3C" w:rsidRDefault="00FF3D95" w:rsidP="00FF3D95">
      <w:pPr>
        <w:spacing w:after="0" w:line="240" w:lineRule="auto"/>
        <w:ind w:right="-16"/>
        <w:jc w:val="both"/>
        <w:rPr>
          <w:rFonts w:ascii="Times New Roman" w:hAnsi="Times New Roman"/>
          <w:b/>
          <w:sz w:val="20"/>
          <w:szCs w:val="20"/>
          <w:lang w:val="en-GB"/>
        </w:rPr>
      </w:pPr>
    </w:p>
    <w:p w14:paraId="5E64B392" w14:textId="77777777" w:rsidR="00FF3D95" w:rsidRPr="00712F3C" w:rsidRDefault="00FF3D95">
      <w:pPr>
        <w:widowControl w:val="0"/>
        <w:numPr>
          <w:ilvl w:val="1"/>
          <w:numId w:val="347"/>
        </w:numPr>
        <w:spacing w:after="0" w:line="240" w:lineRule="auto"/>
        <w:ind w:left="426" w:right="-16" w:hanging="404"/>
        <w:jc w:val="both"/>
        <w:outlineLvl w:val="2"/>
        <w:rPr>
          <w:rFonts w:ascii="Times New Roman" w:hAnsi="Times New Roman"/>
          <w:bCs/>
          <w:sz w:val="20"/>
          <w:szCs w:val="20"/>
          <w:u w:val="single"/>
          <w:lang w:bidi="en-US"/>
        </w:rPr>
      </w:pPr>
      <w:r w:rsidRPr="00712F3C">
        <w:rPr>
          <w:rFonts w:ascii="Times New Roman" w:hAnsi="Times New Roman"/>
          <w:b/>
          <w:bCs/>
          <w:sz w:val="20"/>
          <w:szCs w:val="20"/>
          <w:u w:val="single"/>
          <w:lang w:bidi="en-US"/>
        </w:rPr>
        <w:t>APPROVALS FOR THE ISSUE</w:t>
      </w:r>
    </w:p>
    <w:p w14:paraId="5849D668" w14:textId="77777777" w:rsidR="00FF3D95" w:rsidRPr="00712F3C" w:rsidRDefault="00FF3D95" w:rsidP="00FF3D95">
      <w:pPr>
        <w:tabs>
          <w:tab w:val="left" w:pos="688"/>
          <w:tab w:val="left" w:pos="689"/>
        </w:tabs>
        <w:spacing w:after="0" w:line="240" w:lineRule="auto"/>
        <w:ind w:left="688" w:right="-16"/>
        <w:jc w:val="both"/>
        <w:outlineLvl w:val="2"/>
        <w:rPr>
          <w:rFonts w:ascii="Times New Roman" w:hAnsi="Times New Roman"/>
          <w:b/>
          <w:bCs/>
          <w:sz w:val="20"/>
          <w:szCs w:val="20"/>
          <w:u w:val="single"/>
          <w:lang w:bidi="en-US"/>
        </w:rPr>
      </w:pPr>
    </w:p>
    <w:p w14:paraId="23B342FA" w14:textId="77777777" w:rsidR="00FF3D95" w:rsidRPr="00712F3C" w:rsidRDefault="00FF3D95" w:rsidP="00FF3D95">
      <w:pPr>
        <w:autoSpaceDE w:val="0"/>
        <w:autoSpaceDN w:val="0"/>
        <w:adjustRightInd w:val="0"/>
        <w:spacing w:after="0" w:line="240" w:lineRule="auto"/>
        <w:ind w:firstLine="567"/>
        <w:jc w:val="both"/>
        <w:rPr>
          <w:rFonts w:ascii="Times New Roman" w:hAnsi="Times New Roman"/>
          <w:sz w:val="20"/>
          <w:szCs w:val="20"/>
        </w:rPr>
      </w:pPr>
      <w:r w:rsidRPr="00712F3C">
        <w:rPr>
          <w:rFonts w:ascii="Times New Roman" w:hAnsi="Times New Roman"/>
          <w:sz w:val="20"/>
          <w:szCs w:val="20"/>
        </w:rPr>
        <w:t>The following approvals have been obtained in connection with the Issue:</w:t>
      </w:r>
    </w:p>
    <w:p w14:paraId="2F1D3994" w14:textId="77777777" w:rsidR="00FF3D95" w:rsidRPr="00712F3C" w:rsidRDefault="00FF3D95" w:rsidP="00FF3D95">
      <w:pPr>
        <w:autoSpaceDE w:val="0"/>
        <w:autoSpaceDN w:val="0"/>
        <w:adjustRightInd w:val="0"/>
        <w:spacing w:after="0" w:line="240" w:lineRule="auto"/>
        <w:ind w:firstLine="567"/>
        <w:jc w:val="both"/>
        <w:rPr>
          <w:rFonts w:ascii="Times New Roman" w:hAnsi="Times New Roman"/>
          <w:sz w:val="20"/>
          <w:szCs w:val="20"/>
        </w:rPr>
      </w:pPr>
    </w:p>
    <w:p w14:paraId="0F36A48E" w14:textId="77777777" w:rsidR="00FF3D95" w:rsidRPr="00712F3C" w:rsidRDefault="00FF3D95" w:rsidP="00FF3D95">
      <w:pPr>
        <w:autoSpaceDE w:val="0"/>
        <w:autoSpaceDN w:val="0"/>
        <w:adjustRightInd w:val="0"/>
        <w:spacing w:after="0" w:line="240" w:lineRule="auto"/>
        <w:ind w:firstLine="567"/>
        <w:jc w:val="both"/>
        <w:rPr>
          <w:rFonts w:ascii="Times New Roman" w:hAnsi="Times New Roman"/>
          <w:b/>
          <w:i/>
          <w:sz w:val="20"/>
          <w:szCs w:val="20"/>
        </w:rPr>
      </w:pPr>
      <w:r w:rsidRPr="00712F3C">
        <w:rPr>
          <w:rFonts w:ascii="Times New Roman" w:hAnsi="Times New Roman"/>
          <w:b/>
          <w:i/>
          <w:sz w:val="20"/>
          <w:szCs w:val="20"/>
          <w:u w:val="single"/>
        </w:rPr>
        <w:t>Corporate Approvals:</w:t>
      </w:r>
    </w:p>
    <w:p w14:paraId="3E53A17F" w14:textId="77777777" w:rsidR="00FF3D95" w:rsidRPr="00712F3C" w:rsidRDefault="00FF3D95" w:rsidP="00FF3D95">
      <w:pPr>
        <w:spacing w:after="0" w:line="240" w:lineRule="auto"/>
        <w:ind w:right="-16"/>
        <w:jc w:val="both"/>
        <w:rPr>
          <w:rFonts w:ascii="Times New Roman" w:hAnsi="Times New Roman"/>
          <w:b/>
          <w:sz w:val="20"/>
          <w:szCs w:val="20"/>
          <w:lang w:val="en-GB"/>
        </w:rPr>
      </w:pPr>
    </w:p>
    <w:p w14:paraId="29674AAC" w14:textId="77777777" w:rsidR="00FF3D95" w:rsidRPr="00712F3C" w:rsidRDefault="00FF3D95">
      <w:pPr>
        <w:widowControl w:val="0"/>
        <w:numPr>
          <w:ilvl w:val="0"/>
          <w:numId w:val="350"/>
        </w:numPr>
        <w:spacing w:after="0" w:line="240" w:lineRule="auto"/>
        <w:ind w:left="567" w:right="-16" w:hanging="411"/>
        <w:jc w:val="both"/>
        <w:rPr>
          <w:rFonts w:ascii="Times New Roman" w:hAnsi="Times New Roman"/>
          <w:color w:val="000000"/>
          <w:sz w:val="20"/>
          <w:szCs w:val="20"/>
        </w:rPr>
      </w:pPr>
      <w:r w:rsidRPr="00712F3C">
        <w:rPr>
          <w:rFonts w:ascii="Times New Roman" w:hAnsi="Times New Roman"/>
          <w:color w:val="000000"/>
          <w:sz w:val="20"/>
          <w:szCs w:val="20"/>
        </w:rPr>
        <w:t xml:space="preserve">The Board of Directors have, pursuant to Section 62(1)(c) of the Companies Act, 2013, by a resolution passed at its meeting held on </w:t>
      </w:r>
      <w:r>
        <w:rPr>
          <w:rFonts w:ascii="Times New Roman" w:hAnsi="Times New Roman"/>
          <w:color w:val="000000"/>
          <w:sz w:val="20"/>
          <w:szCs w:val="20"/>
        </w:rPr>
        <w:t>August 25, 2023</w:t>
      </w:r>
      <w:r w:rsidRPr="00712F3C">
        <w:rPr>
          <w:rFonts w:ascii="Times New Roman" w:hAnsi="Times New Roman"/>
          <w:color w:val="000000"/>
          <w:sz w:val="20"/>
          <w:szCs w:val="20"/>
        </w:rPr>
        <w:t xml:space="preserve"> authorized the Issue, subject to the approval of the shareholders and such other authorities as may be necessary.</w:t>
      </w:r>
    </w:p>
    <w:p w14:paraId="7AA87189" w14:textId="77777777" w:rsidR="00FF3D95" w:rsidRPr="00712F3C" w:rsidRDefault="00FF3D95" w:rsidP="00FF3D95">
      <w:pPr>
        <w:widowControl w:val="0"/>
        <w:spacing w:after="0" w:line="240" w:lineRule="auto"/>
        <w:ind w:left="567" w:right="-16"/>
        <w:jc w:val="both"/>
        <w:rPr>
          <w:rFonts w:ascii="Times New Roman" w:hAnsi="Times New Roman"/>
          <w:color w:val="000000"/>
          <w:sz w:val="20"/>
          <w:szCs w:val="20"/>
        </w:rPr>
      </w:pPr>
    </w:p>
    <w:p w14:paraId="2B1898CB" w14:textId="77777777" w:rsidR="00FF3D95" w:rsidRPr="00712F3C" w:rsidRDefault="00FF3D95">
      <w:pPr>
        <w:widowControl w:val="0"/>
        <w:numPr>
          <w:ilvl w:val="0"/>
          <w:numId w:val="350"/>
        </w:numPr>
        <w:spacing w:after="0" w:line="240" w:lineRule="auto"/>
        <w:ind w:left="567" w:right="-16" w:hanging="411"/>
        <w:jc w:val="both"/>
        <w:rPr>
          <w:rFonts w:ascii="Times New Roman" w:hAnsi="Times New Roman"/>
          <w:color w:val="000000"/>
          <w:sz w:val="20"/>
          <w:szCs w:val="20"/>
        </w:rPr>
      </w:pPr>
      <w:r w:rsidRPr="00712F3C">
        <w:rPr>
          <w:rFonts w:ascii="Times New Roman" w:hAnsi="Times New Roman"/>
          <w:color w:val="000000"/>
          <w:sz w:val="20"/>
          <w:szCs w:val="20"/>
        </w:rPr>
        <w:t xml:space="preserve">The shareholders of our Company have, pursuant to Section 62(1)(c) of the Companies Act, 2013, by a Special Resolution passed in the Extra Ordinary General Meeting held on </w:t>
      </w:r>
      <w:r>
        <w:rPr>
          <w:rFonts w:ascii="Times New Roman" w:hAnsi="Times New Roman"/>
          <w:color w:val="000000"/>
          <w:sz w:val="20"/>
          <w:szCs w:val="20"/>
        </w:rPr>
        <w:t>August 25, 2023</w:t>
      </w:r>
      <w:r w:rsidRPr="00712F3C">
        <w:rPr>
          <w:rFonts w:ascii="Times New Roman" w:hAnsi="Times New Roman"/>
          <w:color w:val="000000"/>
          <w:sz w:val="20"/>
          <w:szCs w:val="20"/>
        </w:rPr>
        <w:t xml:space="preserve"> authorized the Issue.</w:t>
      </w:r>
    </w:p>
    <w:p w14:paraId="69AA7FAE" w14:textId="77777777" w:rsidR="00FF3D95" w:rsidRPr="00712F3C" w:rsidRDefault="00FF3D95" w:rsidP="00FF3D95">
      <w:pPr>
        <w:widowControl w:val="0"/>
        <w:spacing w:after="0" w:line="240" w:lineRule="auto"/>
        <w:ind w:left="567" w:right="-16"/>
        <w:jc w:val="both"/>
        <w:rPr>
          <w:rFonts w:ascii="Times New Roman" w:hAnsi="Times New Roman"/>
          <w:color w:val="000000"/>
          <w:sz w:val="20"/>
          <w:szCs w:val="20"/>
        </w:rPr>
      </w:pPr>
    </w:p>
    <w:p w14:paraId="4CF1318B" w14:textId="2041E563" w:rsidR="00FF3D95" w:rsidRPr="00712F3C" w:rsidRDefault="00FF3D95">
      <w:pPr>
        <w:widowControl w:val="0"/>
        <w:numPr>
          <w:ilvl w:val="0"/>
          <w:numId w:val="350"/>
        </w:numPr>
        <w:tabs>
          <w:tab w:val="left" w:pos="7938"/>
        </w:tabs>
        <w:spacing w:after="0" w:line="240" w:lineRule="auto"/>
        <w:ind w:left="567" w:right="-16" w:hanging="411"/>
        <w:jc w:val="both"/>
        <w:rPr>
          <w:rFonts w:ascii="Times New Roman" w:hAnsi="Times New Roman"/>
          <w:color w:val="000000"/>
          <w:sz w:val="20"/>
          <w:szCs w:val="20"/>
        </w:rPr>
      </w:pPr>
      <w:r w:rsidRPr="00712F3C">
        <w:rPr>
          <w:rFonts w:ascii="Times New Roman" w:hAnsi="Times New Roman"/>
          <w:color w:val="000000"/>
          <w:sz w:val="20"/>
          <w:szCs w:val="20"/>
        </w:rPr>
        <w:t xml:space="preserve">Our Board approved the Draft </w:t>
      </w:r>
      <w:r w:rsidRPr="00712F3C">
        <w:rPr>
          <w:rFonts w:ascii="Times New Roman" w:hAnsi="Times New Roman"/>
          <w:sz w:val="20"/>
          <w:szCs w:val="20"/>
        </w:rPr>
        <w:t xml:space="preserve">Red Herring </w:t>
      </w:r>
      <w:r w:rsidRPr="00712F3C">
        <w:rPr>
          <w:rFonts w:ascii="Times New Roman" w:hAnsi="Times New Roman"/>
          <w:color w:val="000000"/>
          <w:sz w:val="20"/>
          <w:szCs w:val="20"/>
        </w:rPr>
        <w:t xml:space="preserve">Prospectus pursuant to its resolution dated </w:t>
      </w:r>
      <w:r w:rsidR="00223E07">
        <w:rPr>
          <w:rFonts w:ascii="Times New Roman" w:hAnsi="Times New Roman"/>
          <w:color w:val="000000"/>
          <w:sz w:val="20"/>
          <w:szCs w:val="20"/>
          <w:highlight w:val="yellow"/>
        </w:rPr>
        <w:t>September 23</w:t>
      </w:r>
      <w:r w:rsidRPr="008D1EB0">
        <w:rPr>
          <w:rFonts w:ascii="Times New Roman" w:hAnsi="Times New Roman"/>
          <w:color w:val="000000"/>
          <w:sz w:val="20"/>
          <w:szCs w:val="20"/>
          <w:highlight w:val="yellow"/>
        </w:rPr>
        <w:t>, 2023</w:t>
      </w:r>
      <w:r w:rsidRPr="00712F3C">
        <w:rPr>
          <w:rFonts w:ascii="Times New Roman" w:hAnsi="Times New Roman"/>
          <w:color w:val="000000"/>
          <w:sz w:val="20"/>
          <w:szCs w:val="20"/>
        </w:rPr>
        <w:t>.</w:t>
      </w:r>
    </w:p>
    <w:p w14:paraId="5C067A96" w14:textId="77777777" w:rsidR="00FF3D95" w:rsidRPr="00712F3C" w:rsidRDefault="00FF3D95" w:rsidP="00FF3D95">
      <w:pPr>
        <w:widowControl w:val="0"/>
        <w:spacing w:after="0" w:line="240" w:lineRule="auto"/>
        <w:ind w:left="695" w:right="-16"/>
        <w:jc w:val="both"/>
        <w:rPr>
          <w:rFonts w:ascii="Times New Roman" w:hAnsi="Times New Roman"/>
          <w:color w:val="000000"/>
          <w:sz w:val="20"/>
          <w:szCs w:val="20"/>
        </w:rPr>
      </w:pPr>
    </w:p>
    <w:p w14:paraId="7F99A534" w14:textId="77777777" w:rsidR="00FF3D95" w:rsidRPr="00712F3C" w:rsidRDefault="00FF3D95" w:rsidP="00FF3D95">
      <w:pPr>
        <w:autoSpaceDE w:val="0"/>
        <w:autoSpaceDN w:val="0"/>
        <w:adjustRightInd w:val="0"/>
        <w:spacing w:after="0" w:line="240" w:lineRule="auto"/>
        <w:ind w:firstLine="567"/>
        <w:jc w:val="both"/>
        <w:rPr>
          <w:rFonts w:ascii="Times New Roman" w:hAnsi="Times New Roman"/>
          <w:b/>
          <w:i/>
          <w:sz w:val="20"/>
          <w:szCs w:val="20"/>
          <w:u w:val="single"/>
        </w:rPr>
      </w:pPr>
      <w:r w:rsidRPr="00712F3C">
        <w:rPr>
          <w:rFonts w:ascii="Times New Roman" w:hAnsi="Times New Roman"/>
          <w:b/>
          <w:i/>
          <w:sz w:val="20"/>
          <w:szCs w:val="20"/>
          <w:u w:val="single"/>
        </w:rPr>
        <w:t>Approval from the Stock Exchange:</w:t>
      </w:r>
    </w:p>
    <w:p w14:paraId="4463BE7E" w14:textId="77777777" w:rsidR="00FF3D95" w:rsidRPr="00712F3C" w:rsidRDefault="00FF3D95" w:rsidP="00FF3D95">
      <w:pPr>
        <w:spacing w:after="0" w:line="240" w:lineRule="auto"/>
        <w:ind w:right="-16"/>
        <w:jc w:val="both"/>
        <w:rPr>
          <w:rFonts w:ascii="Times New Roman" w:hAnsi="Times New Roman"/>
          <w:sz w:val="20"/>
          <w:szCs w:val="20"/>
          <w:u w:val="single"/>
          <w:lang w:val="en-GB"/>
        </w:rPr>
      </w:pPr>
    </w:p>
    <w:p w14:paraId="418FB254" w14:textId="77777777" w:rsidR="00FF3D95" w:rsidRPr="00712F3C" w:rsidRDefault="00FF3D95">
      <w:pPr>
        <w:widowControl w:val="0"/>
        <w:numPr>
          <w:ilvl w:val="0"/>
          <w:numId w:val="350"/>
        </w:numPr>
        <w:spacing w:after="0" w:line="240" w:lineRule="auto"/>
        <w:ind w:left="567" w:right="-16" w:hanging="411"/>
        <w:jc w:val="both"/>
        <w:rPr>
          <w:rFonts w:ascii="Times New Roman" w:hAnsi="Times New Roman"/>
          <w:color w:val="000000"/>
          <w:sz w:val="20"/>
          <w:szCs w:val="20"/>
        </w:rPr>
      </w:pPr>
      <w:r w:rsidRPr="00712F3C">
        <w:rPr>
          <w:rFonts w:ascii="Times New Roman" w:hAnsi="Times New Roman"/>
          <w:color w:val="000000"/>
          <w:sz w:val="20"/>
          <w:szCs w:val="20"/>
        </w:rPr>
        <w:t>In-principle approval dated [●] from BSE for using the name of the Exchange in the offer documents for listing of the Equity Shares on SME Platform of BSE, issued by our Company pursuant to the Issue.</w:t>
      </w:r>
    </w:p>
    <w:p w14:paraId="40B91017" w14:textId="77777777" w:rsidR="00FF3D95" w:rsidRPr="00712F3C" w:rsidRDefault="00FF3D95" w:rsidP="00FF3D95">
      <w:pPr>
        <w:spacing w:after="0" w:line="240" w:lineRule="auto"/>
        <w:ind w:right="-16"/>
        <w:jc w:val="both"/>
        <w:rPr>
          <w:rFonts w:ascii="Times New Roman" w:hAnsi="Times New Roman"/>
          <w:sz w:val="20"/>
          <w:szCs w:val="20"/>
          <w:lang w:val="en-GB"/>
        </w:rPr>
      </w:pPr>
    </w:p>
    <w:p w14:paraId="16AB1873" w14:textId="77777777" w:rsidR="00FF3D95" w:rsidRPr="00712F3C" w:rsidRDefault="00FF3D95" w:rsidP="00FF3D95">
      <w:pPr>
        <w:autoSpaceDE w:val="0"/>
        <w:autoSpaceDN w:val="0"/>
        <w:adjustRightInd w:val="0"/>
        <w:spacing w:after="0" w:line="240" w:lineRule="auto"/>
        <w:ind w:firstLine="567"/>
        <w:jc w:val="both"/>
        <w:rPr>
          <w:rFonts w:ascii="Times New Roman" w:hAnsi="Times New Roman"/>
          <w:b/>
          <w:i/>
          <w:sz w:val="20"/>
          <w:szCs w:val="20"/>
          <w:u w:val="single"/>
        </w:rPr>
      </w:pPr>
      <w:r w:rsidRPr="00712F3C">
        <w:rPr>
          <w:rFonts w:ascii="Times New Roman" w:hAnsi="Times New Roman"/>
          <w:b/>
          <w:i/>
          <w:sz w:val="20"/>
          <w:szCs w:val="20"/>
          <w:u w:val="single"/>
        </w:rPr>
        <w:t>Agreements with NSDL and CDSL:</w:t>
      </w:r>
    </w:p>
    <w:p w14:paraId="3CD5C24D" w14:textId="77777777" w:rsidR="00FF3D95" w:rsidRPr="00712F3C" w:rsidRDefault="00FF3D95" w:rsidP="00FF3D95">
      <w:pPr>
        <w:tabs>
          <w:tab w:val="left" w:pos="688"/>
          <w:tab w:val="left" w:pos="689"/>
        </w:tabs>
        <w:spacing w:after="0" w:line="240" w:lineRule="auto"/>
        <w:ind w:left="688" w:right="-16"/>
        <w:jc w:val="both"/>
        <w:outlineLvl w:val="2"/>
        <w:rPr>
          <w:rFonts w:ascii="Times New Roman" w:hAnsi="Times New Roman"/>
          <w:b/>
          <w:bCs/>
          <w:sz w:val="20"/>
          <w:szCs w:val="20"/>
          <w:u w:val="single"/>
          <w:lang w:bidi="en-US"/>
        </w:rPr>
      </w:pPr>
    </w:p>
    <w:p w14:paraId="6F8BEB99" w14:textId="77777777" w:rsidR="00FF3D95" w:rsidRPr="00712F3C" w:rsidRDefault="00FF3D95">
      <w:pPr>
        <w:widowControl w:val="0"/>
        <w:numPr>
          <w:ilvl w:val="0"/>
          <w:numId w:val="350"/>
        </w:numPr>
        <w:spacing w:after="0" w:line="240" w:lineRule="auto"/>
        <w:ind w:left="567" w:right="-16" w:hanging="411"/>
        <w:jc w:val="both"/>
        <w:rPr>
          <w:rFonts w:ascii="Times New Roman" w:hAnsi="Times New Roman"/>
          <w:color w:val="000000"/>
          <w:sz w:val="20"/>
          <w:szCs w:val="20"/>
        </w:rPr>
      </w:pPr>
      <w:r w:rsidRPr="00712F3C">
        <w:rPr>
          <w:rFonts w:ascii="Times New Roman" w:hAnsi="Times New Roman"/>
          <w:color w:val="000000"/>
          <w:sz w:val="20"/>
          <w:szCs w:val="20"/>
        </w:rPr>
        <w:t xml:space="preserve">The company has entered into an agreement dated </w:t>
      </w:r>
      <w:r>
        <w:rPr>
          <w:rFonts w:ascii="Times New Roman" w:eastAsia="Calibri" w:hAnsi="Times New Roman"/>
          <w:color w:val="000000"/>
          <w:sz w:val="20"/>
          <w:szCs w:val="20"/>
        </w:rPr>
        <w:t>August 04, 2023</w:t>
      </w:r>
      <w:r w:rsidRPr="00712F3C">
        <w:rPr>
          <w:rFonts w:ascii="Times New Roman" w:eastAsia="Calibri" w:hAnsi="Times New Roman"/>
          <w:color w:val="000000"/>
          <w:sz w:val="20"/>
          <w:szCs w:val="20"/>
        </w:rPr>
        <w:t xml:space="preserve"> </w:t>
      </w:r>
      <w:r w:rsidRPr="00712F3C">
        <w:rPr>
          <w:rFonts w:ascii="Times New Roman" w:hAnsi="Times New Roman"/>
          <w:color w:val="000000"/>
          <w:sz w:val="20"/>
          <w:szCs w:val="20"/>
        </w:rPr>
        <w:t xml:space="preserve">with the Central Depository Services (India) Limited (“CDSL”) and the Registrar and Transfer Agent, who in this case is, </w:t>
      </w:r>
      <w:r w:rsidRPr="00CA0713">
        <w:rPr>
          <w:rFonts w:ascii="Times New Roman" w:hAnsi="Times New Roman"/>
          <w:sz w:val="20"/>
          <w:szCs w:val="20"/>
        </w:rPr>
        <w:t xml:space="preserve">Cameo Corporate Services Limited </w:t>
      </w:r>
      <w:r w:rsidRPr="00712F3C">
        <w:rPr>
          <w:rFonts w:ascii="Times New Roman" w:hAnsi="Times New Roman"/>
          <w:color w:val="000000"/>
          <w:sz w:val="20"/>
          <w:szCs w:val="20"/>
        </w:rPr>
        <w:t>for the dematerialization of its shares.</w:t>
      </w:r>
    </w:p>
    <w:p w14:paraId="65DA2E70" w14:textId="77777777" w:rsidR="00FF3D95" w:rsidRPr="00712F3C" w:rsidRDefault="00FF3D95" w:rsidP="00FF3D95">
      <w:pPr>
        <w:widowControl w:val="0"/>
        <w:spacing w:after="0" w:line="240" w:lineRule="auto"/>
        <w:ind w:left="567" w:right="-16"/>
        <w:jc w:val="both"/>
        <w:rPr>
          <w:rFonts w:ascii="Times New Roman" w:hAnsi="Times New Roman"/>
          <w:color w:val="000000"/>
          <w:sz w:val="20"/>
          <w:szCs w:val="20"/>
        </w:rPr>
      </w:pPr>
    </w:p>
    <w:p w14:paraId="7E346137" w14:textId="77777777" w:rsidR="00FF3D95" w:rsidRPr="00712F3C" w:rsidRDefault="00FF3D95">
      <w:pPr>
        <w:widowControl w:val="0"/>
        <w:numPr>
          <w:ilvl w:val="0"/>
          <w:numId w:val="350"/>
        </w:numPr>
        <w:spacing w:after="0" w:line="240" w:lineRule="auto"/>
        <w:ind w:left="567" w:right="-16" w:hanging="411"/>
        <w:jc w:val="both"/>
        <w:rPr>
          <w:rFonts w:ascii="Times New Roman" w:hAnsi="Times New Roman"/>
          <w:color w:val="000000"/>
          <w:sz w:val="20"/>
          <w:szCs w:val="20"/>
        </w:rPr>
      </w:pPr>
      <w:r w:rsidRPr="00712F3C">
        <w:rPr>
          <w:rFonts w:ascii="Times New Roman" w:hAnsi="Times New Roman"/>
          <w:color w:val="000000"/>
          <w:sz w:val="20"/>
          <w:szCs w:val="20"/>
        </w:rPr>
        <w:t xml:space="preserve">Similarly, the Company has also entered into an agreement dated </w:t>
      </w:r>
      <w:r>
        <w:rPr>
          <w:rFonts w:ascii="Times New Roman" w:hAnsi="Times New Roman"/>
          <w:sz w:val="20"/>
          <w:szCs w:val="20"/>
        </w:rPr>
        <w:t>August 07, 2023</w:t>
      </w:r>
      <w:r w:rsidRPr="00CA0713">
        <w:rPr>
          <w:rFonts w:ascii="Times New Roman" w:hAnsi="Times New Roman"/>
          <w:sz w:val="20"/>
          <w:szCs w:val="20"/>
        </w:rPr>
        <w:t xml:space="preserve"> </w:t>
      </w:r>
      <w:r w:rsidRPr="00712F3C">
        <w:rPr>
          <w:rFonts w:ascii="Times New Roman" w:hAnsi="Times New Roman"/>
          <w:color w:val="000000"/>
          <w:sz w:val="20"/>
          <w:szCs w:val="20"/>
        </w:rPr>
        <w:t xml:space="preserve">with the National Securities Depository Limited </w:t>
      </w:r>
      <w:r w:rsidRPr="00712F3C">
        <w:rPr>
          <w:rFonts w:ascii="Times New Roman" w:hAnsi="Times New Roman"/>
          <w:i/>
          <w:color w:val="000000"/>
          <w:sz w:val="20"/>
          <w:szCs w:val="20"/>
        </w:rPr>
        <w:t>(“NSDL”)</w:t>
      </w:r>
      <w:r w:rsidRPr="00712F3C">
        <w:rPr>
          <w:rFonts w:ascii="Times New Roman" w:hAnsi="Times New Roman"/>
          <w:color w:val="000000"/>
          <w:sz w:val="20"/>
          <w:szCs w:val="20"/>
        </w:rPr>
        <w:t xml:space="preserve"> and the Registrar and Transfer Agent, who in this case is </w:t>
      </w:r>
      <w:r w:rsidRPr="00CA0713">
        <w:rPr>
          <w:rFonts w:ascii="Times New Roman" w:hAnsi="Times New Roman"/>
          <w:sz w:val="20"/>
          <w:szCs w:val="20"/>
        </w:rPr>
        <w:t xml:space="preserve">Cameo Corporate Services Limited </w:t>
      </w:r>
      <w:r w:rsidRPr="00712F3C">
        <w:rPr>
          <w:rFonts w:ascii="Times New Roman" w:hAnsi="Times New Roman"/>
          <w:color w:val="000000"/>
          <w:sz w:val="20"/>
          <w:szCs w:val="20"/>
        </w:rPr>
        <w:t>for the dematerialization of its shares.</w:t>
      </w:r>
    </w:p>
    <w:p w14:paraId="3A8275B7" w14:textId="77777777" w:rsidR="00FF3D95" w:rsidRPr="00712F3C" w:rsidRDefault="00FF3D95" w:rsidP="00FF3D95">
      <w:pPr>
        <w:spacing w:after="0" w:line="240" w:lineRule="auto"/>
        <w:ind w:right="-16"/>
        <w:jc w:val="both"/>
        <w:rPr>
          <w:rFonts w:ascii="Times New Roman" w:hAnsi="Times New Roman"/>
          <w:sz w:val="20"/>
          <w:szCs w:val="20"/>
          <w:lang w:val="en-GB"/>
        </w:rPr>
      </w:pPr>
    </w:p>
    <w:p w14:paraId="39EAB556" w14:textId="77777777" w:rsidR="00FF3D95" w:rsidRPr="00712F3C" w:rsidRDefault="00FF3D95">
      <w:pPr>
        <w:widowControl w:val="0"/>
        <w:numPr>
          <w:ilvl w:val="0"/>
          <w:numId w:val="350"/>
        </w:numPr>
        <w:tabs>
          <w:tab w:val="left" w:pos="696"/>
        </w:tabs>
        <w:spacing w:after="0" w:line="240" w:lineRule="auto"/>
        <w:ind w:right="-16" w:hanging="411"/>
        <w:jc w:val="both"/>
        <w:rPr>
          <w:rFonts w:ascii="Times New Roman" w:hAnsi="Times New Roman"/>
          <w:color w:val="000000"/>
          <w:sz w:val="20"/>
          <w:szCs w:val="20"/>
        </w:rPr>
      </w:pPr>
      <w:r w:rsidRPr="00712F3C">
        <w:rPr>
          <w:rFonts w:ascii="Times New Roman" w:hAnsi="Times New Roman"/>
          <w:color w:val="000000"/>
          <w:sz w:val="20"/>
          <w:szCs w:val="20"/>
        </w:rPr>
        <w:t xml:space="preserve">The International Securities Identification Number (ISIN) of our Company is </w:t>
      </w:r>
      <w:r w:rsidRPr="008D1EB0">
        <w:rPr>
          <w:rFonts w:ascii="Times New Roman" w:hAnsi="Times New Roman"/>
          <w:color w:val="000000"/>
          <w:sz w:val="20"/>
          <w:szCs w:val="20"/>
        </w:rPr>
        <w:t>INE0QSK01017</w:t>
      </w:r>
      <w:r w:rsidRPr="00712F3C">
        <w:rPr>
          <w:rFonts w:ascii="Times New Roman" w:hAnsi="Times New Roman"/>
          <w:color w:val="000000"/>
          <w:sz w:val="20"/>
          <w:szCs w:val="20"/>
        </w:rPr>
        <w:t>.</w:t>
      </w:r>
    </w:p>
    <w:p w14:paraId="7C3B857F" w14:textId="77777777" w:rsidR="00FF3D95" w:rsidRPr="00712F3C" w:rsidRDefault="00FF3D95" w:rsidP="00FF3D95">
      <w:pPr>
        <w:suppressAutoHyphens/>
        <w:autoSpaceDE w:val="0"/>
        <w:autoSpaceDN w:val="0"/>
        <w:adjustRightInd w:val="0"/>
        <w:spacing w:after="0" w:line="240" w:lineRule="auto"/>
        <w:ind w:left="720"/>
        <w:textAlignment w:val="center"/>
        <w:rPr>
          <w:rFonts w:ascii="Times New Roman" w:hAnsi="Times New Roman"/>
          <w:color w:val="000000"/>
          <w:sz w:val="20"/>
          <w:szCs w:val="20"/>
        </w:rPr>
      </w:pPr>
    </w:p>
    <w:p w14:paraId="127D5080" w14:textId="77777777" w:rsidR="00FF3D95" w:rsidRPr="00712F3C" w:rsidRDefault="00FF3D95">
      <w:pPr>
        <w:widowControl w:val="0"/>
        <w:numPr>
          <w:ilvl w:val="1"/>
          <w:numId w:val="347"/>
        </w:numPr>
        <w:spacing w:after="0" w:line="240" w:lineRule="auto"/>
        <w:ind w:left="426" w:right="-16" w:hanging="404"/>
        <w:jc w:val="both"/>
        <w:outlineLvl w:val="2"/>
        <w:rPr>
          <w:rFonts w:ascii="Times New Roman" w:hAnsi="Times New Roman"/>
          <w:b/>
          <w:bCs/>
          <w:sz w:val="20"/>
          <w:szCs w:val="20"/>
          <w:u w:val="single"/>
          <w:lang w:bidi="en-US"/>
        </w:rPr>
      </w:pPr>
      <w:r w:rsidRPr="00712F3C">
        <w:rPr>
          <w:rFonts w:ascii="Times New Roman" w:hAnsi="Times New Roman"/>
          <w:b/>
          <w:bCs/>
          <w:sz w:val="20"/>
          <w:szCs w:val="20"/>
          <w:u w:val="single"/>
          <w:lang w:bidi="en-US"/>
        </w:rPr>
        <w:t>APPROVALS PERTAINING TO INCORPORATION, NAME AND CONSTITUTION OF OUR COMPANY</w:t>
      </w:r>
    </w:p>
    <w:p w14:paraId="6C85FF9C" w14:textId="77777777" w:rsidR="00FF3D95" w:rsidRPr="00712F3C" w:rsidRDefault="00FF3D95" w:rsidP="00FF3D95">
      <w:pPr>
        <w:tabs>
          <w:tab w:val="left" w:pos="696"/>
        </w:tabs>
        <w:suppressAutoHyphens/>
        <w:autoSpaceDE w:val="0"/>
        <w:autoSpaceDN w:val="0"/>
        <w:adjustRightInd w:val="0"/>
        <w:spacing w:after="0" w:line="240" w:lineRule="auto"/>
        <w:ind w:left="695" w:right="-16"/>
        <w:jc w:val="both"/>
        <w:textAlignment w:val="center"/>
        <w:rPr>
          <w:rFonts w:ascii="Times New Roman" w:hAnsi="Times New Roman"/>
          <w:color w:val="000000"/>
          <w:sz w:val="20"/>
          <w:szCs w:val="20"/>
        </w:rPr>
      </w:pPr>
    </w:p>
    <w:tbl>
      <w:tblPr>
        <w:tblStyle w:val="TableGrid"/>
        <w:tblW w:w="5000" w:type="pct"/>
        <w:tblLook w:val="04A0" w:firstRow="1" w:lastRow="0" w:firstColumn="1" w:lastColumn="0" w:noHBand="0" w:noVBand="1"/>
      </w:tblPr>
      <w:tblGrid>
        <w:gridCol w:w="608"/>
        <w:gridCol w:w="2469"/>
        <w:gridCol w:w="2450"/>
        <w:gridCol w:w="1226"/>
        <w:gridCol w:w="1183"/>
        <w:gridCol w:w="1451"/>
        <w:gridCol w:w="1069"/>
      </w:tblGrid>
      <w:tr w:rsidR="00FF3D95" w:rsidRPr="00712F3C" w14:paraId="3487C0E9" w14:textId="77777777" w:rsidTr="009C1E14">
        <w:trPr>
          <w:trHeight w:val="20"/>
          <w:tblHeader/>
        </w:trPr>
        <w:tc>
          <w:tcPr>
            <w:tcW w:w="307" w:type="pct"/>
            <w:shd w:val="clear" w:color="auto" w:fill="D0CECE" w:themeFill="background2" w:themeFillShade="E6"/>
            <w:vAlign w:val="center"/>
          </w:tcPr>
          <w:p w14:paraId="6BABFDF4" w14:textId="77777777" w:rsidR="00FF3D95" w:rsidRPr="00712F3C" w:rsidRDefault="00FF3D95" w:rsidP="009C1E14">
            <w:pPr>
              <w:spacing w:after="0" w:line="240" w:lineRule="auto"/>
              <w:ind w:right="-16"/>
              <w:jc w:val="center"/>
              <w:rPr>
                <w:rFonts w:ascii="Times New Roman" w:hAnsi="Times New Roman"/>
                <w:b/>
                <w:lang w:val="en-GB"/>
              </w:rPr>
            </w:pPr>
            <w:r w:rsidRPr="00712F3C">
              <w:rPr>
                <w:rFonts w:ascii="Times New Roman" w:hAnsi="Times New Roman"/>
                <w:b/>
                <w:lang w:val="en-GB"/>
              </w:rPr>
              <w:t>S. No.</w:t>
            </w:r>
          </w:p>
        </w:tc>
        <w:tc>
          <w:tcPr>
            <w:tcW w:w="1197" w:type="pct"/>
            <w:shd w:val="clear" w:color="auto" w:fill="D0CECE" w:themeFill="background2" w:themeFillShade="E6"/>
            <w:vAlign w:val="center"/>
          </w:tcPr>
          <w:p w14:paraId="403A6444" w14:textId="77777777" w:rsidR="00FF3D95" w:rsidRPr="00712F3C" w:rsidRDefault="00FF3D95" w:rsidP="009C1E14">
            <w:pPr>
              <w:spacing w:after="0" w:line="240" w:lineRule="auto"/>
              <w:ind w:right="-16"/>
              <w:jc w:val="center"/>
              <w:rPr>
                <w:rFonts w:ascii="Times New Roman" w:hAnsi="Times New Roman"/>
                <w:b/>
                <w:lang w:val="en-GB"/>
              </w:rPr>
            </w:pPr>
            <w:r w:rsidRPr="00712F3C">
              <w:rPr>
                <w:rFonts w:ascii="Times New Roman" w:hAnsi="Times New Roman"/>
                <w:b/>
                <w:lang w:val="en-GB"/>
              </w:rPr>
              <w:t>Nature of Registration</w:t>
            </w:r>
          </w:p>
        </w:tc>
        <w:tc>
          <w:tcPr>
            <w:tcW w:w="1076" w:type="pct"/>
            <w:shd w:val="clear" w:color="auto" w:fill="D0CECE" w:themeFill="background2" w:themeFillShade="E6"/>
            <w:vAlign w:val="center"/>
          </w:tcPr>
          <w:p w14:paraId="1B254A77" w14:textId="77777777" w:rsidR="00FF3D95" w:rsidRPr="00712F3C" w:rsidRDefault="00FF3D95" w:rsidP="009C1E14">
            <w:pPr>
              <w:spacing w:after="0" w:line="240" w:lineRule="auto"/>
              <w:ind w:right="-16"/>
              <w:jc w:val="center"/>
              <w:rPr>
                <w:rFonts w:ascii="Times New Roman" w:hAnsi="Times New Roman"/>
                <w:b/>
                <w:lang w:val="en-GB"/>
              </w:rPr>
            </w:pPr>
            <w:r w:rsidRPr="00712F3C">
              <w:rPr>
                <w:rFonts w:ascii="Times New Roman" w:hAnsi="Times New Roman"/>
                <w:b/>
                <w:lang w:val="en-GB"/>
              </w:rPr>
              <w:t>CIN</w:t>
            </w:r>
          </w:p>
        </w:tc>
        <w:tc>
          <w:tcPr>
            <w:tcW w:w="602" w:type="pct"/>
            <w:shd w:val="clear" w:color="auto" w:fill="D0CECE" w:themeFill="background2" w:themeFillShade="E6"/>
            <w:vAlign w:val="center"/>
          </w:tcPr>
          <w:p w14:paraId="00A66ED5" w14:textId="77777777" w:rsidR="00FF3D95" w:rsidRPr="00712F3C" w:rsidRDefault="00FF3D95" w:rsidP="009C1E14">
            <w:pPr>
              <w:spacing w:after="0" w:line="240" w:lineRule="auto"/>
              <w:ind w:right="-16"/>
              <w:jc w:val="center"/>
              <w:rPr>
                <w:rFonts w:ascii="Times New Roman" w:hAnsi="Times New Roman"/>
                <w:b/>
                <w:lang w:val="en-GB"/>
              </w:rPr>
            </w:pPr>
            <w:r w:rsidRPr="00712F3C">
              <w:rPr>
                <w:rFonts w:ascii="Times New Roman" w:hAnsi="Times New Roman"/>
                <w:b/>
                <w:lang w:val="en-GB"/>
              </w:rPr>
              <w:t>Applicable Laws</w:t>
            </w:r>
          </w:p>
        </w:tc>
        <w:tc>
          <w:tcPr>
            <w:tcW w:w="578" w:type="pct"/>
            <w:shd w:val="clear" w:color="auto" w:fill="D0CECE" w:themeFill="background2" w:themeFillShade="E6"/>
            <w:vAlign w:val="center"/>
          </w:tcPr>
          <w:p w14:paraId="0BF68C51" w14:textId="77777777" w:rsidR="00FF3D95" w:rsidRPr="00712F3C" w:rsidRDefault="00FF3D95" w:rsidP="009C1E14">
            <w:pPr>
              <w:spacing w:after="0" w:line="240" w:lineRule="auto"/>
              <w:ind w:right="-16"/>
              <w:jc w:val="center"/>
              <w:rPr>
                <w:rFonts w:ascii="Times New Roman" w:hAnsi="Times New Roman"/>
                <w:b/>
                <w:lang w:val="en-GB"/>
              </w:rPr>
            </w:pPr>
            <w:r w:rsidRPr="00712F3C">
              <w:rPr>
                <w:rFonts w:ascii="Times New Roman" w:hAnsi="Times New Roman"/>
                <w:b/>
                <w:lang w:val="en-GB"/>
              </w:rPr>
              <w:t>Issuing Authority</w:t>
            </w:r>
          </w:p>
        </w:tc>
        <w:tc>
          <w:tcPr>
            <w:tcW w:w="713" w:type="pct"/>
            <w:shd w:val="clear" w:color="auto" w:fill="D0CECE" w:themeFill="background2" w:themeFillShade="E6"/>
            <w:vAlign w:val="center"/>
          </w:tcPr>
          <w:p w14:paraId="0C71B5FA" w14:textId="77777777" w:rsidR="00FF3D95" w:rsidRPr="00712F3C" w:rsidRDefault="00FF3D95" w:rsidP="009C1E14">
            <w:pPr>
              <w:spacing w:after="0" w:line="240" w:lineRule="auto"/>
              <w:ind w:right="-16"/>
              <w:jc w:val="center"/>
              <w:rPr>
                <w:rFonts w:ascii="Times New Roman" w:hAnsi="Times New Roman"/>
                <w:b/>
                <w:lang w:val="en-GB"/>
              </w:rPr>
            </w:pPr>
            <w:r w:rsidRPr="00712F3C">
              <w:rPr>
                <w:rFonts w:ascii="Times New Roman" w:hAnsi="Times New Roman"/>
                <w:b/>
                <w:lang w:val="en-GB"/>
              </w:rPr>
              <w:t>Date of Issue</w:t>
            </w:r>
          </w:p>
        </w:tc>
        <w:tc>
          <w:tcPr>
            <w:tcW w:w="527" w:type="pct"/>
            <w:shd w:val="clear" w:color="auto" w:fill="D0CECE" w:themeFill="background2" w:themeFillShade="E6"/>
            <w:vAlign w:val="center"/>
          </w:tcPr>
          <w:p w14:paraId="015EFFCB" w14:textId="77777777" w:rsidR="00FF3D95" w:rsidRPr="00712F3C" w:rsidRDefault="00FF3D95" w:rsidP="009C1E14">
            <w:pPr>
              <w:spacing w:after="0" w:line="240" w:lineRule="auto"/>
              <w:ind w:right="-16"/>
              <w:jc w:val="center"/>
              <w:rPr>
                <w:rFonts w:ascii="Times New Roman" w:hAnsi="Times New Roman"/>
                <w:b/>
                <w:lang w:val="en-GB"/>
              </w:rPr>
            </w:pPr>
            <w:r w:rsidRPr="00712F3C">
              <w:rPr>
                <w:rFonts w:ascii="Times New Roman" w:hAnsi="Times New Roman"/>
                <w:b/>
                <w:lang w:val="en-GB"/>
              </w:rPr>
              <w:t>Date of Expiry</w:t>
            </w:r>
          </w:p>
        </w:tc>
      </w:tr>
      <w:tr w:rsidR="00FF3D95" w:rsidRPr="00712F3C" w14:paraId="12B76478" w14:textId="77777777" w:rsidTr="009C1E14">
        <w:trPr>
          <w:trHeight w:val="20"/>
        </w:trPr>
        <w:tc>
          <w:tcPr>
            <w:tcW w:w="307" w:type="pct"/>
            <w:vAlign w:val="center"/>
          </w:tcPr>
          <w:p w14:paraId="570088A4" w14:textId="77777777" w:rsidR="00FF3D95" w:rsidRPr="00712F3C" w:rsidRDefault="00FF3D95" w:rsidP="009C1E14">
            <w:pPr>
              <w:spacing w:after="0" w:line="240" w:lineRule="auto"/>
              <w:ind w:right="-16"/>
              <w:jc w:val="center"/>
              <w:rPr>
                <w:rFonts w:ascii="Times New Roman" w:hAnsi="Times New Roman"/>
                <w:lang w:val="en-GB"/>
              </w:rPr>
            </w:pPr>
            <w:r w:rsidRPr="00712F3C">
              <w:rPr>
                <w:rFonts w:ascii="Times New Roman" w:hAnsi="Times New Roman"/>
                <w:lang w:val="en-GB"/>
              </w:rPr>
              <w:t>1.</w:t>
            </w:r>
          </w:p>
        </w:tc>
        <w:tc>
          <w:tcPr>
            <w:tcW w:w="1197" w:type="pct"/>
          </w:tcPr>
          <w:p w14:paraId="4A86EF0B" w14:textId="77777777" w:rsidR="00FF3D95" w:rsidRPr="00712F3C" w:rsidRDefault="00FF3D95" w:rsidP="009C1E14">
            <w:pPr>
              <w:spacing w:after="0" w:line="240" w:lineRule="auto"/>
              <w:ind w:right="-16"/>
              <w:jc w:val="both"/>
              <w:rPr>
                <w:rFonts w:ascii="Times New Roman" w:hAnsi="Times New Roman"/>
                <w:lang w:val="en-GB"/>
              </w:rPr>
            </w:pPr>
            <w:r w:rsidRPr="00CA0713">
              <w:rPr>
                <w:rFonts w:ascii="Times New Roman" w:hAnsi="Times New Roman"/>
              </w:rPr>
              <w:t>Certificate of Incorporation</w:t>
            </w:r>
          </w:p>
        </w:tc>
        <w:tc>
          <w:tcPr>
            <w:tcW w:w="1076" w:type="pct"/>
          </w:tcPr>
          <w:p w14:paraId="358D4F50" w14:textId="77777777" w:rsidR="00FF3D95" w:rsidRPr="00712F3C" w:rsidRDefault="00FF3D95" w:rsidP="009C1E14">
            <w:pPr>
              <w:spacing w:after="0" w:line="240" w:lineRule="auto"/>
              <w:ind w:right="-16"/>
              <w:jc w:val="both"/>
              <w:rPr>
                <w:rFonts w:ascii="Times New Roman" w:hAnsi="Times New Roman"/>
                <w:lang w:val="en-GB"/>
              </w:rPr>
            </w:pPr>
            <w:r w:rsidRPr="00CA0713">
              <w:rPr>
                <w:rFonts w:ascii="Times New Roman" w:hAnsi="Times New Roman"/>
              </w:rPr>
              <w:t>U27106GJ2007PTC049999</w:t>
            </w:r>
          </w:p>
        </w:tc>
        <w:tc>
          <w:tcPr>
            <w:tcW w:w="602" w:type="pct"/>
          </w:tcPr>
          <w:p w14:paraId="0928937F" w14:textId="77777777" w:rsidR="00FF3D95" w:rsidRPr="005578EE" w:rsidRDefault="00FF3D95" w:rsidP="009C1E14">
            <w:pPr>
              <w:jc w:val="both"/>
              <w:rPr>
                <w:rFonts w:ascii="Times New Roman" w:hAnsi="Times New Roman"/>
              </w:rPr>
            </w:pPr>
            <w:r w:rsidRPr="00CA0713">
              <w:rPr>
                <w:rFonts w:ascii="Times New Roman" w:hAnsi="Times New Roman"/>
              </w:rPr>
              <w:t>Companies Act, 1956</w:t>
            </w:r>
          </w:p>
        </w:tc>
        <w:tc>
          <w:tcPr>
            <w:tcW w:w="578" w:type="pct"/>
          </w:tcPr>
          <w:p w14:paraId="74AF2409" w14:textId="77777777" w:rsidR="00FF3D95" w:rsidRPr="00712F3C" w:rsidRDefault="00FF3D95" w:rsidP="009C1E14">
            <w:pPr>
              <w:spacing w:after="0" w:line="240" w:lineRule="auto"/>
              <w:ind w:right="-16"/>
              <w:jc w:val="both"/>
              <w:rPr>
                <w:rFonts w:ascii="Times New Roman" w:hAnsi="Times New Roman"/>
                <w:lang w:val="en-GB"/>
              </w:rPr>
            </w:pPr>
            <w:r w:rsidRPr="00CA0713">
              <w:rPr>
                <w:rFonts w:ascii="Times New Roman" w:hAnsi="Times New Roman"/>
              </w:rPr>
              <w:t>Registrar of Companies, Ahmedabad</w:t>
            </w:r>
          </w:p>
        </w:tc>
        <w:tc>
          <w:tcPr>
            <w:tcW w:w="713" w:type="pct"/>
          </w:tcPr>
          <w:p w14:paraId="7E06503F" w14:textId="77777777" w:rsidR="00FF3D95" w:rsidRPr="00712F3C" w:rsidRDefault="00FF3D95" w:rsidP="009C1E14">
            <w:pPr>
              <w:spacing w:after="0" w:line="240" w:lineRule="auto"/>
              <w:ind w:right="-16"/>
              <w:jc w:val="center"/>
              <w:rPr>
                <w:rFonts w:ascii="Times New Roman" w:hAnsi="Times New Roman"/>
                <w:lang w:val="en-GB"/>
              </w:rPr>
            </w:pPr>
            <w:r w:rsidRPr="00CA0713">
              <w:rPr>
                <w:rFonts w:ascii="Times New Roman" w:hAnsi="Times New Roman"/>
              </w:rPr>
              <w:t>February 12, 2007</w:t>
            </w:r>
          </w:p>
        </w:tc>
        <w:tc>
          <w:tcPr>
            <w:tcW w:w="527" w:type="pct"/>
          </w:tcPr>
          <w:p w14:paraId="53417F24" w14:textId="77777777" w:rsidR="00FF3D95" w:rsidRPr="00712F3C" w:rsidRDefault="00FF3D95" w:rsidP="009C1E14">
            <w:pPr>
              <w:spacing w:after="0" w:line="240" w:lineRule="auto"/>
              <w:ind w:right="-16"/>
              <w:jc w:val="center"/>
              <w:rPr>
                <w:rFonts w:ascii="Times New Roman" w:hAnsi="Times New Roman"/>
                <w:lang w:val="en-GB"/>
              </w:rPr>
            </w:pPr>
            <w:r w:rsidRPr="00CA0713">
              <w:rPr>
                <w:rFonts w:ascii="Times New Roman" w:hAnsi="Times New Roman"/>
              </w:rPr>
              <w:t>Valid until cancelled</w:t>
            </w:r>
          </w:p>
        </w:tc>
      </w:tr>
      <w:tr w:rsidR="00FF3D95" w:rsidRPr="00712F3C" w14:paraId="2A07267F" w14:textId="77777777" w:rsidTr="009C1E14">
        <w:trPr>
          <w:trHeight w:val="20"/>
        </w:trPr>
        <w:tc>
          <w:tcPr>
            <w:tcW w:w="307" w:type="pct"/>
            <w:vAlign w:val="center"/>
          </w:tcPr>
          <w:p w14:paraId="209601A6" w14:textId="77777777" w:rsidR="00FF3D95" w:rsidRPr="00712F3C" w:rsidRDefault="00FF3D95" w:rsidP="009C1E14">
            <w:pPr>
              <w:spacing w:after="0" w:line="240" w:lineRule="auto"/>
              <w:ind w:right="-16"/>
              <w:jc w:val="center"/>
              <w:rPr>
                <w:rFonts w:ascii="Times New Roman" w:hAnsi="Times New Roman"/>
                <w:lang w:val="en-GB"/>
              </w:rPr>
            </w:pPr>
            <w:r w:rsidRPr="00712F3C">
              <w:rPr>
                <w:rFonts w:ascii="Times New Roman" w:hAnsi="Times New Roman"/>
                <w:lang w:val="en-GB"/>
              </w:rPr>
              <w:t>2.</w:t>
            </w:r>
          </w:p>
        </w:tc>
        <w:tc>
          <w:tcPr>
            <w:tcW w:w="1197" w:type="pct"/>
          </w:tcPr>
          <w:p w14:paraId="35C9FDAB" w14:textId="3AD63477" w:rsidR="00FF3D95" w:rsidRPr="00712F3C" w:rsidRDefault="00FF3D95" w:rsidP="009C1E14">
            <w:pPr>
              <w:spacing w:after="0" w:line="240" w:lineRule="auto"/>
              <w:ind w:right="-16"/>
              <w:jc w:val="both"/>
              <w:rPr>
                <w:rFonts w:ascii="Times New Roman" w:hAnsi="Times New Roman"/>
                <w:lang w:val="en-GB"/>
              </w:rPr>
            </w:pPr>
            <w:r w:rsidRPr="00424BAE">
              <w:rPr>
                <w:rFonts w:ascii="Times New Roman" w:hAnsi="Times New Roman"/>
              </w:rPr>
              <w:t xml:space="preserve">Certificate of Incorporation </w:t>
            </w:r>
            <w:r w:rsidRPr="00872C40">
              <w:rPr>
                <w:rFonts w:ascii="Times New Roman" w:hAnsi="Times New Roman"/>
              </w:rPr>
              <w:t>pursuant to</w:t>
            </w:r>
            <w:r>
              <w:rPr>
                <w:rFonts w:ascii="Times New Roman" w:hAnsi="Times New Roman"/>
              </w:rPr>
              <w:t xml:space="preserve"> </w:t>
            </w:r>
            <w:r w:rsidRPr="00424BAE">
              <w:rPr>
                <w:rFonts w:ascii="Times New Roman" w:hAnsi="Times New Roman"/>
              </w:rPr>
              <w:t>change of name</w:t>
            </w:r>
          </w:p>
        </w:tc>
        <w:tc>
          <w:tcPr>
            <w:tcW w:w="1076" w:type="pct"/>
          </w:tcPr>
          <w:p w14:paraId="21156416" w14:textId="77777777" w:rsidR="00FF3D95" w:rsidRPr="00712F3C" w:rsidRDefault="00FF3D95" w:rsidP="009C1E14">
            <w:pPr>
              <w:spacing w:after="0" w:line="240" w:lineRule="auto"/>
              <w:ind w:right="-16"/>
              <w:jc w:val="both"/>
              <w:rPr>
                <w:rFonts w:ascii="Times New Roman" w:hAnsi="Times New Roman"/>
                <w:lang w:val="en-GB"/>
              </w:rPr>
            </w:pPr>
            <w:r w:rsidRPr="00CA0713">
              <w:rPr>
                <w:rFonts w:ascii="Times New Roman" w:hAnsi="Times New Roman"/>
              </w:rPr>
              <w:t>U27106GJ2007PTC049999</w:t>
            </w:r>
          </w:p>
        </w:tc>
        <w:tc>
          <w:tcPr>
            <w:tcW w:w="602" w:type="pct"/>
          </w:tcPr>
          <w:p w14:paraId="4CAD6719" w14:textId="77777777" w:rsidR="00FF3D95" w:rsidRPr="00712F3C" w:rsidRDefault="00FF3D95" w:rsidP="009C1E14">
            <w:pPr>
              <w:spacing w:after="0" w:line="240" w:lineRule="auto"/>
              <w:ind w:right="-16"/>
              <w:jc w:val="both"/>
              <w:rPr>
                <w:rFonts w:ascii="Times New Roman" w:hAnsi="Times New Roman"/>
                <w:lang w:val="en-GB"/>
              </w:rPr>
            </w:pPr>
            <w:r w:rsidRPr="00CA0713">
              <w:rPr>
                <w:rFonts w:ascii="Times New Roman" w:hAnsi="Times New Roman"/>
              </w:rPr>
              <w:t>Companies Act, 2013</w:t>
            </w:r>
          </w:p>
        </w:tc>
        <w:tc>
          <w:tcPr>
            <w:tcW w:w="578" w:type="pct"/>
          </w:tcPr>
          <w:p w14:paraId="33591262" w14:textId="77777777" w:rsidR="00FF3D95" w:rsidRPr="00712F3C" w:rsidRDefault="00FF3D95" w:rsidP="009C1E14">
            <w:pPr>
              <w:spacing w:after="0" w:line="240" w:lineRule="auto"/>
              <w:ind w:right="-16"/>
              <w:jc w:val="both"/>
              <w:rPr>
                <w:rFonts w:ascii="Times New Roman" w:hAnsi="Times New Roman"/>
                <w:lang w:val="en-GB"/>
              </w:rPr>
            </w:pPr>
            <w:r w:rsidRPr="00CA0713">
              <w:rPr>
                <w:rFonts w:ascii="Times New Roman" w:hAnsi="Times New Roman"/>
              </w:rPr>
              <w:t>Registrar of Companies, Ahmedabad</w:t>
            </w:r>
          </w:p>
        </w:tc>
        <w:tc>
          <w:tcPr>
            <w:tcW w:w="713" w:type="pct"/>
            <w:shd w:val="clear" w:color="auto" w:fill="auto"/>
          </w:tcPr>
          <w:p w14:paraId="7B230D71" w14:textId="77777777" w:rsidR="00FF3D95" w:rsidRPr="00712F3C" w:rsidRDefault="00FF3D95" w:rsidP="009C1E14">
            <w:pPr>
              <w:spacing w:after="0" w:line="240" w:lineRule="auto"/>
              <w:ind w:right="-16"/>
              <w:jc w:val="center"/>
              <w:rPr>
                <w:rFonts w:ascii="Times New Roman" w:hAnsi="Times New Roman"/>
                <w:lang w:val="en-GB"/>
              </w:rPr>
            </w:pPr>
            <w:r w:rsidRPr="00424BAE">
              <w:rPr>
                <w:rFonts w:ascii="Times New Roman" w:hAnsi="Times New Roman"/>
              </w:rPr>
              <w:t>July 27, 2023</w:t>
            </w:r>
          </w:p>
        </w:tc>
        <w:tc>
          <w:tcPr>
            <w:tcW w:w="527" w:type="pct"/>
          </w:tcPr>
          <w:p w14:paraId="0AC7B213" w14:textId="77777777" w:rsidR="00FF3D95" w:rsidRPr="00712F3C" w:rsidRDefault="00FF3D95" w:rsidP="009C1E14">
            <w:pPr>
              <w:spacing w:after="0" w:line="240" w:lineRule="auto"/>
              <w:ind w:right="-16"/>
              <w:jc w:val="center"/>
              <w:rPr>
                <w:rFonts w:ascii="Times New Roman" w:hAnsi="Times New Roman"/>
                <w:lang w:val="en-GB"/>
              </w:rPr>
            </w:pPr>
            <w:r w:rsidRPr="00CA0713">
              <w:rPr>
                <w:rFonts w:ascii="Times New Roman" w:hAnsi="Times New Roman"/>
              </w:rPr>
              <w:t>Valid until cancelled</w:t>
            </w:r>
          </w:p>
        </w:tc>
      </w:tr>
      <w:tr w:rsidR="00FF3D95" w:rsidRPr="00712F3C" w14:paraId="22ED2F16" w14:textId="77777777" w:rsidTr="009C1E14">
        <w:trPr>
          <w:trHeight w:val="20"/>
        </w:trPr>
        <w:tc>
          <w:tcPr>
            <w:tcW w:w="307" w:type="pct"/>
            <w:vAlign w:val="center"/>
          </w:tcPr>
          <w:p w14:paraId="6F5C9453" w14:textId="77777777" w:rsidR="00FF3D95" w:rsidRPr="00712F3C" w:rsidRDefault="00FF3D95" w:rsidP="009C1E14">
            <w:pPr>
              <w:spacing w:after="0" w:line="240" w:lineRule="auto"/>
              <w:ind w:right="-16"/>
              <w:jc w:val="center"/>
              <w:rPr>
                <w:rFonts w:ascii="Times New Roman" w:hAnsi="Times New Roman"/>
                <w:lang w:val="en-GB"/>
              </w:rPr>
            </w:pPr>
            <w:r>
              <w:rPr>
                <w:rFonts w:ascii="Times New Roman" w:hAnsi="Times New Roman"/>
                <w:lang w:val="en-GB"/>
              </w:rPr>
              <w:t>3.</w:t>
            </w:r>
          </w:p>
        </w:tc>
        <w:tc>
          <w:tcPr>
            <w:tcW w:w="1197" w:type="pct"/>
          </w:tcPr>
          <w:p w14:paraId="4DB32B37" w14:textId="77777777" w:rsidR="00FF3D95" w:rsidRPr="00712F3C" w:rsidRDefault="00FF3D95" w:rsidP="009C1E14">
            <w:pPr>
              <w:spacing w:after="0" w:line="240" w:lineRule="auto"/>
              <w:ind w:right="-16"/>
              <w:jc w:val="both"/>
              <w:rPr>
                <w:rFonts w:ascii="Times New Roman" w:hAnsi="Times New Roman"/>
                <w:lang w:val="en-GB"/>
              </w:rPr>
            </w:pPr>
            <w:r w:rsidRPr="00CA0713">
              <w:rPr>
                <w:rFonts w:ascii="Times New Roman" w:hAnsi="Times New Roman"/>
              </w:rPr>
              <w:t xml:space="preserve">Fresh Certificate of Incorporation Consequent upon Conversion from </w:t>
            </w:r>
            <w:r w:rsidRPr="00CA0713">
              <w:rPr>
                <w:rFonts w:ascii="Times New Roman" w:hAnsi="Times New Roman"/>
              </w:rPr>
              <w:lastRenderedPageBreak/>
              <w:t>Private Company to Public Company</w:t>
            </w:r>
          </w:p>
        </w:tc>
        <w:tc>
          <w:tcPr>
            <w:tcW w:w="1076" w:type="pct"/>
          </w:tcPr>
          <w:p w14:paraId="6D8DA895" w14:textId="77777777" w:rsidR="00FF3D95" w:rsidRPr="00712F3C" w:rsidRDefault="00FF3D95" w:rsidP="009C1E14">
            <w:pPr>
              <w:spacing w:after="0" w:line="240" w:lineRule="auto"/>
              <w:ind w:right="-16"/>
              <w:jc w:val="both"/>
              <w:rPr>
                <w:rFonts w:ascii="Times New Roman" w:hAnsi="Times New Roman"/>
                <w:lang w:val="en-GB"/>
              </w:rPr>
            </w:pPr>
            <w:r w:rsidRPr="00AE3B23">
              <w:rPr>
                <w:rFonts w:ascii="Times New Roman" w:hAnsi="Times New Roman"/>
              </w:rPr>
              <w:lastRenderedPageBreak/>
              <w:t>U27106GJ2007P</w:t>
            </w:r>
            <w:r>
              <w:rPr>
                <w:rFonts w:ascii="Times New Roman" w:hAnsi="Times New Roman"/>
              </w:rPr>
              <w:t>L</w:t>
            </w:r>
            <w:r w:rsidRPr="00AE3B23">
              <w:rPr>
                <w:rFonts w:ascii="Times New Roman" w:hAnsi="Times New Roman"/>
              </w:rPr>
              <w:t>C049999</w:t>
            </w:r>
          </w:p>
        </w:tc>
        <w:tc>
          <w:tcPr>
            <w:tcW w:w="602" w:type="pct"/>
          </w:tcPr>
          <w:p w14:paraId="6E894088" w14:textId="77777777" w:rsidR="00FF3D95" w:rsidRPr="00712F3C" w:rsidRDefault="00FF3D95" w:rsidP="009C1E14">
            <w:pPr>
              <w:spacing w:after="0" w:line="240" w:lineRule="auto"/>
              <w:ind w:right="-16"/>
              <w:jc w:val="both"/>
              <w:rPr>
                <w:rFonts w:ascii="Times New Roman" w:hAnsi="Times New Roman"/>
                <w:lang w:val="en-GB"/>
              </w:rPr>
            </w:pPr>
            <w:r w:rsidRPr="00CA0713">
              <w:rPr>
                <w:rFonts w:ascii="Times New Roman" w:hAnsi="Times New Roman"/>
              </w:rPr>
              <w:t>Companies Act, 2013</w:t>
            </w:r>
          </w:p>
        </w:tc>
        <w:tc>
          <w:tcPr>
            <w:tcW w:w="578" w:type="pct"/>
          </w:tcPr>
          <w:p w14:paraId="227D8A88" w14:textId="77777777" w:rsidR="00FF3D95" w:rsidRPr="00712F3C" w:rsidRDefault="00FF3D95" w:rsidP="009C1E14">
            <w:pPr>
              <w:spacing w:after="0" w:line="240" w:lineRule="auto"/>
              <w:ind w:right="-16"/>
              <w:jc w:val="both"/>
              <w:rPr>
                <w:rFonts w:ascii="Times New Roman" w:hAnsi="Times New Roman"/>
                <w:lang w:val="en-GB"/>
              </w:rPr>
            </w:pPr>
            <w:r w:rsidRPr="00CA0713">
              <w:rPr>
                <w:rFonts w:ascii="Times New Roman" w:hAnsi="Times New Roman"/>
              </w:rPr>
              <w:t>Registrar of Companies, Ahmedabad</w:t>
            </w:r>
          </w:p>
        </w:tc>
        <w:tc>
          <w:tcPr>
            <w:tcW w:w="713" w:type="pct"/>
            <w:shd w:val="clear" w:color="auto" w:fill="auto"/>
          </w:tcPr>
          <w:p w14:paraId="45385740" w14:textId="77777777" w:rsidR="00FF3D95" w:rsidRPr="00712F3C" w:rsidRDefault="00FF3D95" w:rsidP="009C1E14">
            <w:pPr>
              <w:spacing w:after="0" w:line="240" w:lineRule="auto"/>
              <w:ind w:right="-16"/>
              <w:jc w:val="center"/>
              <w:rPr>
                <w:rFonts w:ascii="Times New Roman" w:hAnsi="Times New Roman"/>
                <w:lang w:val="en-GB"/>
              </w:rPr>
            </w:pPr>
            <w:r w:rsidRPr="00AE3B23">
              <w:rPr>
                <w:rFonts w:ascii="Times New Roman" w:hAnsi="Times New Roman"/>
                <w:lang w:val="en-US"/>
              </w:rPr>
              <w:t>August 24, 2023</w:t>
            </w:r>
          </w:p>
        </w:tc>
        <w:tc>
          <w:tcPr>
            <w:tcW w:w="527" w:type="pct"/>
          </w:tcPr>
          <w:p w14:paraId="1D7815E8" w14:textId="77777777" w:rsidR="00FF3D95" w:rsidRPr="00712F3C" w:rsidRDefault="00FF3D95" w:rsidP="009C1E14">
            <w:pPr>
              <w:spacing w:after="0" w:line="240" w:lineRule="auto"/>
              <w:ind w:right="-16"/>
              <w:jc w:val="center"/>
              <w:rPr>
                <w:rFonts w:ascii="Times New Roman" w:hAnsi="Times New Roman"/>
                <w:lang w:val="en-GB"/>
              </w:rPr>
            </w:pPr>
            <w:r w:rsidRPr="00CA0713">
              <w:rPr>
                <w:rFonts w:ascii="Times New Roman" w:hAnsi="Times New Roman"/>
              </w:rPr>
              <w:t>Valid until cancelled</w:t>
            </w:r>
          </w:p>
        </w:tc>
      </w:tr>
    </w:tbl>
    <w:p w14:paraId="0034359D" w14:textId="77777777" w:rsidR="00FF3D95" w:rsidRDefault="00FF3D95" w:rsidP="00FF3D95">
      <w:pPr>
        <w:widowControl w:val="0"/>
        <w:spacing w:after="0" w:line="240" w:lineRule="auto"/>
        <w:ind w:left="426" w:right="-16"/>
        <w:jc w:val="both"/>
        <w:outlineLvl w:val="2"/>
        <w:rPr>
          <w:rFonts w:ascii="Times New Roman" w:hAnsi="Times New Roman"/>
          <w:b/>
          <w:bCs/>
          <w:sz w:val="20"/>
          <w:szCs w:val="20"/>
          <w:u w:val="single"/>
          <w:lang w:bidi="en-US"/>
        </w:rPr>
      </w:pPr>
    </w:p>
    <w:p w14:paraId="6DF97A9C" w14:textId="77777777" w:rsidR="00FF3D95" w:rsidRPr="00712F3C" w:rsidRDefault="00FF3D95">
      <w:pPr>
        <w:widowControl w:val="0"/>
        <w:numPr>
          <w:ilvl w:val="1"/>
          <w:numId w:val="347"/>
        </w:numPr>
        <w:spacing w:after="0" w:line="240" w:lineRule="auto"/>
        <w:ind w:left="426" w:right="-16" w:hanging="404"/>
        <w:jc w:val="both"/>
        <w:outlineLvl w:val="2"/>
        <w:rPr>
          <w:rFonts w:ascii="Times New Roman" w:hAnsi="Times New Roman"/>
          <w:b/>
          <w:bCs/>
          <w:sz w:val="20"/>
          <w:szCs w:val="20"/>
          <w:u w:val="single"/>
          <w:lang w:bidi="en-US"/>
        </w:rPr>
      </w:pPr>
      <w:r w:rsidRPr="00712F3C">
        <w:rPr>
          <w:rFonts w:ascii="Times New Roman" w:hAnsi="Times New Roman"/>
          <w:b/>
          <w:bCs/>
          <w:sz w:val="20"/>
          <w:szCs w:val="20"/>
          <w:u w:val="single"/>
          <w:lang w:bidi="en-US"/>
        </w:rPr>
        <w:t>GENERAL APPROVALS</w:t>
      </w:r>
    </w:p>
    <w:p w14:paraId="16E1A3D1" w14:textId="77777777" w:rsidR="00FF3D95" w:rsidRPr="00712F3C" w:rsidRDefault="00FF3D95" w:rsidP="00FF3D95">
      <w:pPr>
        <w:widowControl w:val="0"/>
        <w:spacing w:after="0" w:line="240" w:lineRule="auto"/>
        <w:ind w:left="567" w:right="-16"/>
        <w:jc w:val="both"/>
        <w:outlineLvl w:val="2"/>
        <w:rPr>
          <w:rFonts w:ascii="Times New Roman" w:hAnsi="Times New Roman"/>
          <w:b/>
          <w:bCs/>
          <w:sz w:val="14"/>
          <w:szCs w:val="20"/>
          <w:u w:val="single"/>
          <w:lang w:bidi="en-US"/>
        </w:rPr>
      </w:pPr>
    </w:p>
    <w:p w14:paraId="6956556D" w14:textId="77777777" w:rsidR="00FF3D95" w:rsidRPr="00712F3C" w:rsidRDefault="00FF3D95" w:rsidP="00FF3D95">
      <w:pPr>
        <w:widowControl w:val="0"/>
        <w:spacing w:after="0" w:line="240" w:lineRule="auto"/>
        <w:ind w:right="-16"/>
        <w:jc w:val="both"/>
        <w:outlineLvl w:val="2"/>
        <w:rPr>
          <w:rFonts w:ascii="Times New Roman" w:hAnsi="Times New Roman"/>
          <w:b/>
          <w:bCs/>
          <w:sz w:val="20"/>
          <w:szCs w:val="20"/>
          <w:u w:val="single"/>
          <w:lang w:bidi="en-US"/>
        </w:rPr>
      </w:pPr>
      <w:r w:rsidRPr="00712F3C">
        <w:rPr>
          <w:rFonts w:ascii="Times New Roman" w:hAnsi="Times New Roman"/>
          <w:bCs/>
          <w:sz w:val="20"/>
          <w:szCs w:val="20"/>
          <w:lang w:bidi="en-US"/>
        </w:rPr>
        <w:t>We require various approvals and/ or licenses under various rules and regulations to conduct our business. Some of the material approvals required by us to undertake our business activities are set out below:</w:t>
      </w:r>
    </w:p>
    <w:p w14:paraId="301821E5" w14:textId="77777777" w:rsidR="00FF3D95" w:rsidRPr="00712F3C" w:rsidRDefault="00FF3D95" w:rsidP="00FF3D95">
      <w:pPr>
        <w:tabs>
          <w:tab w:val="left" w:pos="688"/>
          <w:tab w:val="left" w:pos="689"/>
        </w:tabs>
        <w:spacing w:after="0" w:line="240" w:lineRule="auto"/>
        <w:ind w:left="688" w:right="-16"/>
        <w:jc w:val="both"/>
        <w:outlineLvl w:val="2"/>
        <w:rPr>
          <w:rFonts w:ascii="Times New Roman" w:hAnsi="Times New Roman"/>
          <w:bCs/>
          <w:sz w:val="14"/>
          <w:szCs w:val="20"/>
          <w:lang w:bidi="en-US"/>
        </w:rPr>
      </w:pPr>
    </w:p>
    <w:p w14:paraId="28D92C3A" w14:textId="77777777" w:rsidR="00FF3D95" w:rsidRPr="00712F3C" w:rsidRDefault="00FF3D95">
      <w:pPr>
        <w:widowControl w:val="0"/>
        <w:numPr>
          <w:ilvl w:val="0"/>
          <w:numId w:val="348"/>
        </w:numPr>
        <w:spacing w:after="0" w:line="240" w:lineRule="auto"/>
        <w:jc w:val="both"/>
        <w:rPr>
          <w:rFonts w:ascii="Times New Roman" w:hAnsi="Times New Roman"/>
          <w:b/>
          <w:color w:val="000000"/>
          <w:sz w:val="20"/>
          <w:szCs w:val="20"/>
          <w:u w:val="single"/>
        </w:rPr>
      </w:pPr>
      <w:r w:rsidRPr="00712F3C">
        <w:rPr>
          <w:rFonts w:ascii="Times New Roman" w:hAnsi="Times New Roman"/>
          <w:b/>
          <w:color w:val="000000"/>
          <w:sz w:val="20"/>
          <w:szCs w:val="20"/>
          <w:u w:val="single"/>
        </w:rPr>
        <w:t>TAX RELATED APPROVALS:</w:t>
      </w:r>
    </w:p>
    <w:p w14:paraId="2E828556" w14:textId="77777777" w:rsidR="00FF3D95" w:rsidRPr="00712F3C" w:rsidRDefault="00FF3D95" w:rsidP="00FF3D95">
      <w:pPr>
        <w:suppressAutoHyphens/>
        <w:autoSpaceDE w:val="0"/>
        <w:autoSpaceDN w:val="0"/>
        <w:adjustRightInd w:val="0"/>
        <w:spacing w:after="0" w:line="240" w:lineRule="auto"/>
        <w:ind w:left="1080"/>
        <w:jc w:val="both"/>
        <w:textAlignment w:val="center"/>
        <w:rPr>
          <w:rFonts w:ascii="Times New Roman" w:hAnsi="Times New Roman"/>
          <w:b/>
          <w:color w:val="000000"/>
          <w:sz w:val="14"/>
          <w:szCs w:val="20"/>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0"/>
        <w:gridCol w:w="1870"/>
        <w:gridCol w:w="1742"/>
        <w:gridCol w:w="1644"/>
        <w:gridCol w:w="2005"/>
        <w:gridCol w:w="1297"/>
        <w:gridCol w:w="1288"/>
      </w:tblGrid>
      <w:tr w:rsidR="00FF3D95" w:rsidRPr="00712F3C" w14:paraId="6E585B47" w14:textId="77777777" w:rsidTr="009C1E14">
        <w:trPr>
          <w:tblHeader/>
        </w:trPr>
        <w:tc>
          <w:tcPr>
            <w:tcW w:w="291" w:type="pct"/>
            <w:shd w:val="clear" w:color="auto" w:fill="D0CECE" w:themeFill="background2" w:themeFillShade="E6"/>
            <w:vAlign w:val="center"/>
          </w:tcPr>
          <w:p w14:paraId="60420D08" w14:textId="77777777" w:rsidR="00FF3D95" w:rsidRPr="00712F3C" w:rsidRDefault="00FF3D95" w:rsidP="009C1E14">
            <w:pPr>
              <w:suppressAutoHyphens/>
              <w:autoSpaceDE w:val="0"/>
              <w:autoSpaceDN w:val="0"/>
              <w:adjustRightInd w:val="0"/>
              <w:spacing w:after="0" w:line="240" w:lineRule="auto"/>
              <w:jc w:val="both"/>
              <w:textAlignment w:val="center"/>
              <w:rPr>
                <w:rFonts w:ascii="Times New Roman" w:hAnsi="Times New Roman"/>
                <w:b/>
                <w:color w:val="000000"/>
                <w:sz w:val="20"/>
                <w:szCs w:val="20"/>
              </w:rPr>
            </w:pPr>
            <w:r w:rsidRPr="00712F3C">
              <w:rPr>
                <w:rFonts w:ascii="Times New Roman" w:hAnsi="Times New Roman"/>
                <w:b/>
                <w:color w:val="000000"/>
                <w:sz w:val="20"/>
                <w:szCs w:val="20"/>
              </w:rPr>
              <w:t>Sr. No</w:t>
            </w:r>
          </w:p>
        </w:tc>
        <w:tc>
          <w:tcPr>
            <w:tcW w:w="894" w:type="pct"/>
            <w:shd w:val="clear" w:color="auto" w:fill="D0CECE" w:themeFill="background2" w:themeFillShade="E6"/>
            <w:vAlign w:val="center"/>
          </w:tcPr>
          <w:p w14:paraId="60FACF1C" w14:textId="77777777" w:rsidR="00FF3D95" w:rsidRPr="00712F3C" w:rsidRDefault="00FF3D95" w:rsidP="009C1E14">
            <w:pPr>
              <w:suppressAutoHyphens/>
              <w:autoSpaceDE w:val="0"/>
              <w:autoSpaceDN w:val="0"/>
              <w:adjustRightInd w:val="0"/>
              <w:spacing w:after="0" w:line="240" w:lineRule="auto"/>
              <w:jc w:val="both"/>
              <w:textAlignment w:val="center"/>
              <w:rPr>
                <w:rFonts w:ascii="Times New Roman" w:hAnsi="Times New Roman"/>
                <w:b/>
                <w:color w:val="000000"/>
                <w:sz w:val="20"/>
                <w:szCs w:val="20"/>
              </w:rPr>
            </w:pPr>
            <w:r w:rsidRPr="00712F3C">
              <w:rPr>
                <w:rFonts w:ascii="Times New Roman" w:hAnsi="Times New Roman"/>
                <w:b/>
                <w:color w:val="000000"/>
                <w:sz w:val="20"/>
                <w:szCs w:val="20"/>
              </w:rPr>
              <w:t>Description</w:t>
            </w:r>
          </w:p>
        </w:tc>
        <w:tc>
          <w:tcPr>
            <w:tcW w:w="833" w:type="pct"/>
            <w:shd w:val="clear" w:color="auto" w:fill="D0CECE" w:themeFill="background2" w:themeFillShade="E6"/>
            <w:vAlign w:val="center"/>
          </w:tcPr>
          <w:p w14:paraId="10E851E5" w14:textId="77777777" w:rsidR="00FF3D95" w:rsidRPr="00712F3C" w:rsidRDefault="00FF3D95" w:rsidP="009C1E14">
            <w:pPr>
              <w:suppressAutoHyphens/>
              <w:autoSpaceDE w:val="0"/>
              <w:autoSpaceDN w:val="0"/>
              <w:adjustRightInd w:val="0"/>
              <w:spacing w:after="0" w:line="240" w:lineRule="auto"/>
              <w:jc w:val="both"/>
              <w:textAlignment w:val="center"/>
              <w:rPr>
                <w:rFonts w:ascii="Times New Roman" w:hAnsi="Times New Roman"/>
                <w:b/>
                <w:color w:val="000000"/>
                <w:sz w:val="20"/>
                <w:szCs w:val="20"/>
              </w:rPr>
            </w:pPr>
            <w:r w:rsidRPr="00712F3C">
              <w:rPr>
                <w:rFonts w:ascii="Times New Roman" w:hAnsi="Times New Roman"/>
                <w:b/>
                <w:color w:val="000000"/>
                <w:sz w:val="20"/>
                <w:szCs w:val="20"/>
              </w:rPr>
              <w:t>Applicable laws</w:t>
            </w:r>
          </w:p>
        </w:tc>
        <w:tc>
          <w:tcPr>
            <w:tcW w:w="786" w:type="pct"/>
            <w:shd w:val="clear" w:color="auto" w:fill="D0CECE" w:themeFill="background2" w:themeFillShade="E6"/>
            <w:vAlign w:val="center"/>
          </w:tcPr>
          <w:p w14:paraId="3B9A872C" w14:textId="77777777" w:rsidR="00FF3D95" w:rsidRPr="00712F3C" w:rsidRDefault="00FF3D95" w:rsidP="009C1E14">
            <w:pPr>
              <w:suppressAutoHyphens/>
              <w:autoSpaceDE w:val="0"/>
              <w:autoSpaceDN w:val="0"/>
              <w:adjustRightInd w:val="0"/>
              <w:spacing w:after="0" w:line="240" w:lineRule="auto"/>
              <w:jc w:val="both"/>
              <w:textAlignment w:val="center"/>
              <w:rPr>
                <w:rFonts w:ascii="Times New Roman" w:hAnsi="Times New Roman"/>
                <w:b/>
                <w:color w:val="000000"/>
                <w:sz w:val="20"/>
                <w:szCs w:val="20"/>
              </w:rPr>
            </w:pPr>
            <w:r w:rsidRPr="00712F3C">
              <w:rPr>
                <w:rFonts w:ascii="Times New Roman" w:hAnsi="Times New Roman"/>
                <w:b/>
                <w:color w:val="000000"/>
                <w:sz w:val="20"/>
                <w:szCs w:val="20"/>
              </w:rPr>
              <w:t>Authority</w:t>
            </w:r>
          </w:p>
        </w:tc>
        <w:tc>
          <w:tcPr>
            <w:tcW w:w="959" w:type="pct"/>
            <w:shd w:val="clear" w:color="auto" w:fill="D0CECE" w:themeFill="background2" w:themeFillShade="E6"/>
            <w:vAlign w:val="center"/>
          </w:tcPr>
          <w:p w14:paraId="324079AD" w14:textId="77777777" w:rsidR="00FF3D95" w:rsidRPr="00712F3C" w:rsidRDefault="00FF3D95" w:rsidP="009C1E14">
            <w:pPr>
              <w:suppressAutoHyphens/>
              <w:autoSpaceDE w:val="0"/>
              <w:autoSpaceDN w:val="0"/>
              <w:adjustRightInd w:val="0"/>
              <w:spacing w:after="0" w:line="240" w:lineRule="auto"/>
              <w:jc w:val="both"/>
              <w:textAlignment w:val="center"/>
              <w:rPr>
                <w:rFonts w:ascii="Times New Roman" w:hAnsi="Times New Roman"/>
                <w:b/>
                <w:color w:val="000000"/>
                <w:sz w:val="20"/>
                <w:szCs w:val="20"/>
              </w:rPr>
            </w:pPr>
            <w:r w:rsidRPr="00712F3C">
              <w:rPr>
                <w:rFonts w:ascii="Times New Roman" w:hAnsi="Times New Roman"/>
                <w:b/>
                <w:color w:val="000000"/>
                <w:sz w:val="20"/>
                <w:szCs w:val="20"/>
              </w:rPr>
              <w:t>Registration number</w:t>
            </w:r>
          </w:p>
        </w:tc>
        <w:tc>
          <w:tcPr>
            <w:tcW w:w="620" w:type="pct"/>
            <w:shd w:val="clear" w:color="auto" w:fill="D0CECE" w:themeFill="background2" w:themeFillShade="E6"/>
            <w:vAlign w:val="center"/>
          </w:tcPr>
          <w:p w14:paraId="6E88C1C1" w14:textId="77777777" w:rsidR="00FF3D95" w:rsidRPr="00712F3C" w:rsidRDefault="00FF3D95" w:rsidP="009C1E14">
            <w:pPr>
              <w:suppressAutoHyphens/>
              <w:autoSpaceDE w:val="0"/>
              <w:autoSpaceDN w:val="0"/>
              <w:adjustRightInd w:val="0"/>
              <w:spacing w:after="0" w:line="240" w:lineRule="auto"/>
              <w:jc w:val="both"/>
              <w:textAlignment w:val="center"/>
              <w:rPr>
                <w:rFonts w:ascii="Times New Roman" w:hAnsi="Times New Roman"/>
                <w:b/>
                <w:color w:val="000000"/>
                <w:sz w:val="20"/>
                <w:szCs w:val="20"/>
              </w:rPr>
            </w:pPr>
            <w:r w:rsidRPr="00712F3C">
              <w:rPr>
                <w:rFonts w:ascii="Times New Roman" w:hAnsi="Times New Roman"/>
                <w:b/>
                <w:color w:val="000000"/>
                <w:sz w:val="20"/>
                <w:szCs w:val="20"/>
              </w:rPr>
              <w:t>Date of Certificate</w:t>
            </w:r>
          </w:p>
        </w:tc>
        <w:tc>
          <w:tcPr>
            <w:tcW w:w="616" w:type="pct"/>
            <w:shd w:val="clear" w:color="auto" w:fill="D0CECE" w:themeFill="background2" w:themeFillShade="E6"/>
            <w:vAlign w:val="center"/>
          </w:tcPr>
          <w:p w14:paraId="0F7DF623" w14:textId="77777777" w:rsidR="00FF3D95" w:rsidRPr="00712F3C" w:rsidRDefault="00FF3D95" w:rsidP="009C1E14">
            <w:pPr>
              <w:suppressAutoHyphens/>
              <w:autoSpaceDE w:val="0"/>
              <w:autoSpaceDN w:val="0"/>
              <w:adjustRightInd w:val="0"/>
              <w:spacing w:after="0" w:line="240" w:lineRule="auto"/>
              <w:jc w:val="both"/>
              <w:textAlignment w:val="center"/>
              <w:rPr>
                <w:rFonts w:ascii="Times New Roman" w:hAnsi="Times New Roman"/>
                <w:b/>
                <w:color w:val="000000"/>
                <w:sz w:val="20"/>
                <w:szCs w:val="20"/>
              </w:rPr>
            </w:pPr>
            <w:r w:rsidRPr="00712F3C">
              <w:rPr>
                <w:rFonts w:ascii="Times New Roman" w:hAnsi="Times New Roman"/>
                <w:b/>
                <w:color w:val="000000"/>
                <w:sz w:val="20"/>
                <w:szCs w:val="20"/>
              </w:rPr>
              <w:t>Date of Expiry</w:t>
            </w:r>
          </w:p>
        </w:tc>
      </w:tr>
      <w:tr w:rsidR="00FF3D95" w:rsidRPr="00712F3C" w14:paraId="4FE724CF" w14:textId="77777777" w:rsidTr="009C1E14">
        <w:tc>
          <w:tcPr>
            <w:tcW w:w="291" w:type="pct"/>
            <w:vAlign w:val="center"/>
          </w:tcPr>
          <w:p w14:paraId="4EB2A655" w14:textId="77777777" w:rsidR="00FF3D95" w:rsidRPr="00712F3C" w:rsidRDefault="00FF3D95">
            <w:pPr>
              <w:numPr>
                <w:ilvl w:val="0"/>
                <w:numId w:val="352"/>
              </w:numPr>
              <w:suppressAutoHyphens/>
              <w:autoSpaceDE w:val="0"/>
              <w:autoSpaceDN w:val="0"/>
              <w:adjustRightInd w:val="0"/>
              <w:spacing w:after="0" w:line="240" w:lineRule="auto"/>
              <w:ind w:left="313"/>
              <w:jc w:val="right"/>
              <w:textAlignment w:val="center"/>
              <w:rPr>
                <w:rFonts w:ascii="Times New Roman" w:hAnsi="Times New Roman"/>
                <w:sz w:val="20"/>
                <w:szCs w:val="20"/>
              </w:rPr>
            </w:pPr>
          </w:p>
        </w:tc>
        <w:tc>
          <w:tcPr>
            <w:tcW w:w="894" w:type="pct"/>
          </w:tcPr>
          <w:p w14:paraId="36A3E851" w14:textId="77777777" w:rsidR="00FF3D95" w:rsidRPr="00712F3C" w:rsidRDefault="00FF3D95" w:rsidP="009C1E14">
            <w:pPr>
              <w:widowControl w:val="0"/>
              <w:tabs>
                <w:tab w:val="left" w:pos="1009"/>
              </w:tabs>
              <w:spacing w:after="0" w:line="240" w:lineRule="auto"/>
              <w:ind w:right="-16"/>
              <w:jc w:val="both"/>
              <w:rPr>
                <w:rFonts w:ascii="Times New Roman" w:hAnsi="Times New Roman"/>
                <w:sz w:val="20"/>
                <w:szCs w:val="20"/>
              </w:rPr>
            </w:pPr>
            <w:r w:rsidRPr="00CA0713">
              <w:rPr>
                <w:rFonts w:ascii="Times New Roman" w:hAnsi="Times New Roman"/>
                <w:sz w:val="20"/>
                <w:szCs w:val="20"/>
              </w:rPr>
              <w:t>Permanent Account Number (PAN)</w:t>
            </w:r>
          </w:p>
        </w:tc>
        <w:tc>
          <w:tcPr>
            <w:tcW w:w="833" w:type="pct"/>
          </w:tcPr>
          <w:p w14:paraId="4914324F" w14:textId="77777777" w:rsidR="00FF3D95" w:rsidRPr="00712F3C" w:rsidRDefault="00FF3D95" w:rsidP="009C1E14">
            <w:pPr>
              <w:suppressAutoHyphens/>
              <w:autoSpaceDE w:val="0"/>
              <w:autoSpaceDN w:val="0"/>
              <w:adjustRightInd w:val="0"/>
              <w:spacing w:after="0" w:line="240" w:lineRule="auto"/>
              <w:jc w:val="both"/>
              <w:textAlignment w:val="center"/>
              <w:rPr>
                <w:rFonts w:ascii="Times New Roman" w:hAnsi="Times New Roman"/>
                <w:sz w:val="20"/>
                <w:szCs w:val="20"/>
              </w:rPr>
            </w:pPr>
            <w:r w:rsidRPr="00CA0713">
              <w:rPr>
                <w:rFonts w:ascii="Times New Roman" w:hAnsi="Times New Roman"/>
                <w:sz w:val="20"/>
                <w:szCs w:val="20"/>
              </w:rPr>
              <w:t>Income Tax Act, 1961</w:t>
            </w:r>
          </w:p>
        </w:tc>
        <w:tc>
          <w:tcPr>
            <w:tcW w:w="786" w:type="pct"/>
          </w:tcPr>
          <w:p w14:paraId="26DAD419" w14:textId="77777777" w:rsidR="00FF3D95" w:rsidRPr="00712F3C" w:rsidRDefault="00FF3D95" w:rsidP="009C1E14">
            <w:pPr>
              <w:suppressAutoHyphens/>
              <w:autoSpaceDE w:val="0"/>
              <w:autoSpaceDN w:val="0"/>
              <w:adjustRightInd w:val="0"/>
              <w:spacing w:after="0" w:line="240" w:lineRule="auto"/>
              <w:jc w:val="both"/>
              <w:textAlignment w:val="center"/>
              <w:rPr>
                <w:rFonts w:ascii="Times New Roman" w:hAnsi="Times New Roman"/>
                <w:sz w:val="20"/>
                <w:szCs w:val="20"/>
              </w:rPr>
            </w:pPr>
            <w:r w:rsidRPr="00CA0713">
              <w:rPr>
                <w:rFonts w:ascii="Times New Roman" w:hAnsi="Times New Roman"/>
                <w:sz w:val="20"/>
                <w:szCs w:val="20"/>
              </w:rPr>
              <w:t>Income Tax Department, Government of India</w:t>
            </w:r>
          </w:p>
        </w:tc>
        <w:tc>
          <w:tcPr>
            <w:tcW w:w="959" w:type="pct"/>
          </w:tcPr>
          <w:p w14:paraId="34077CED" w14:textId="77777777" w:rsidR="00FF3D95" w:rsidRPr="00712F3C" w:rsidRDefault="00FF3D95" w:rsidP="009C1E14">
            <w:pPr>
              <w:suppressAutoHyphens/>
              <w:autoSpaceDE w:val="0"/>
              <w:autoSpaceDN w:val="0"/>
              <w:adjustRightInd w:val="0"/>
              <w:spacing w:after="0" w:line="240" w:lineRule="auto"/>
              <w:jc w:val="both"/>
              <w:textAlignment w:val="center"/>
              <w:rPr>
                <w:rFonts w:ascii="Times New Roman" w:hAnsi="Times New Roman"/>
                <w:sz w:val="20"/>
                <w:szCs w:val="20"/>
              </w:rPr>
            </w:pPr>
            <w:r w:rsidRPr="00CA0713">
              <w:rPr>
                <w:rFonts w:ascii="Times New Roman" w:hAnsi="Times New Roman"/>
                <w:sz w:val="20"/>
                <w:szCs w:val="20"/>
              </w:rPr>
              <w:t>AAKCS5857Q</w:t>
            </w:r>
          </w:p>
        </w:tc>
        <w:tc>
          <w:tcPr>
            <w:tcW w:w="620" w:type="pct"/>
          </w:tcPr>
          <w:p w14:paraId="1E5072A1" w14:textId="77777777" w:rsidR="00FF3D95" w:rsidRPr="00CA0713" w:rsidRDefault="00FF3D95" w:rsidP="009C1E14">
            <w:pPr>
              <w:jc w:val="both"/>
              <w:rPr>
                <w:rFonts w:ascii="Times New Roman" w:hAnsi="Times New Roman"/>
                <w:sz w:val="20"/>
                <w:szCs w:val="20"/>
              </w:rPr>
            </w:pPr>
            <w:r>
              <w:rPr>
                <w:rFonts w:ascii="Times New Roman" w:hAnsi="Times New Roman"/>
                <w:sz w:val="20"/>
                <w:szCs w:val="20"/>
              </w:rPr>
              <w:t>March 04, 2007</w:t>
            </w:r>
          </w:p>
          <w:p w14:paraId="0F4A5EDC" w14:textId="77777777" w:rsidR="00FF3D95" w:rsidRPr="00712F3C" w:rsidRDefault="00FF3D95" w:rsidP="009C1E14">
            <w:pPr>
              <w:suppressAutoHyphens/>
              <w:autoSpaceDE w:val="0"/>
              <w:autoSpaceDN w:val="0"/>
              <w:adjustRightInd w:val="0"/>
              <w:spacing w:after="0" w:line="240" w:lineRule="auto"/>
              <w:jc w:val="both"/>
              <w:textAlignment w:val="center"/>
              <w:rPr>
                <w:rFonts w:ascii="Times New Roman" w:hAnsi="Times New Roman"/>
                <w:sz w:val="20"/>
                <w:szCs w:val="20"/>
              </w:rPr>
            </w:pPr>
          </w:p>
        </w:tc>
        <w:tc>
          <w:tcPr>
            <w:tcW w:w="616" w:type="pct"/>
          </w:tcPr>
          <w:p w14:paraId="3325E5A1" w14:textId="77777777" w:rsidR="00FF3D95" w:rsidRPr="00712F3C" w:rsidRDefault="00FF3D95" w:rsidP="009C1E14">
            <w:pPr>
              <w:suppressAutoHyphens/>
              <w:autoSpaceDE w:val="0"/>
              <w:autoSpaceDN w:val="0"/>
              <w:adjustRightInd w:val="0"/>
              <w:spacing w:after="0" w:line="240" w:lineRule="auto"/>
              <w:jc w:val="both"/>
              <w:textAlignment w:val="center"/>
              <w:rPr>
                <w:rFonts w:ascii="Times New Roman" w:hAnsi="Times New Roman"/>
                <w:sz w:val="20"/>
                <w:szCs w:val="20"/>
              </w:rPr>
            </w:pPr>
            <w:r w:rsidRPr="00CA0713">
              <w:rPr>
                <w:rFonts w:ascii="Times New Roman" w:hAnsi="Times New Roman"/>
                <w:sz w:val="20"/>
                <w:szCs w:val="20"/>
              </w:rPr>
              <w:t>Valid until cancelled</w:t>
            </w:r>
          </w:p>
        </w:tc>
      </w:tr>
      <w:tr w:rsidR="00FF3D95" w:rsidRPr="00712F3C" w14:paraId="406A51BB" w14:textId="77777777" w:rsidTr="009C1E14">
        <w:tc>
          <w:tcPr>
            <w:tcW w:w="291" w:type="pct"/>
            <w:vAlign w:val="center"/>
          </w:tcPr>
          <w:p w14:paraId="717BF270" w14:textId="77777777" w:rsidR="00FF3D95" w:rsidRPr="00712F3C" w:rsidRDefault="00FF3D95">
            <w:pPr>
              <w:numPr>
                <w:ilvl w:val="0"/>
                <w:numId w:val="352"/>
              </w:numPr>
              <w:suppressAutoHyphens/>
              <w:autoSpaceDE w:val="0"/>
              <w:autoSpaceDN w:val="0"/>
              <w:adjustRightInd w:val="0"/>
              <w:spacing w:after="0" w:line="240" w:lineRule="auto"/>
              <w:ind w:left="313"/>
              <w:jc w:val="right"/>
              <w:textAlignment w:val="center"/>
              <w:rPr>
                <w:rFonts w:ascii="Times New Roman" w:hAnsi="Times New Roman"/>
                <w:sz w:val="20"/>
                <w:szCs w:val="20"/>
              </w:rPr>
            </w:pPr>
          </w:p>
        </w:tc>
        <w:tc>
          <w:tcPr>
            <w:tcW w:w="894" w:type="pct"/>
          </w:tcPr>
          <w:p w14:paraId="3B109957" w14:textId="77777777" w:rsidR="00FF3D95" w:rsidRPr="00712F3C" w:rsidRDefault="00FF3D95" w:rsidP="009C1E14">
            <w:pPr>
              <w:suppressAutoHyphens/>
              <w:autoSpaceDE w:val="0"/>
              <w:autoSpaceDN w:val="0"/>
              <w:adjustRightInd w:val="0"/>
              <w:spacing w:after="0" w:line="240" w:lineRule="auto"/>
              <w:jc w:val="both"/>
              <w:textAlignment w:val="center"/>
              <w:rPr>
                <w:rFonts w:ascii="Times New Roman" w:hAnsi="Times New Roman"/>
                <w:sz w:val="20"/>
                <w:szCs w:val="20"/>
              </w:rPr>
            </w:pPr>
            <w:r w:rsidRPr="00CA0713">
              <w:rPr>
                <w:rFonts w:ascii="Times New Roman" w:hAnsi="Times New Roman"/>
                <w:sz w:val="20"/>
                <w:szCs w:val="20"/>
              </w:rPr>
              <w:t>Tax Deduction Account Number (TAN)</w:t>
            </w:r>
          </w:p>
        </w:tc>
        <w:tc>
          <w:tcPr>
            <w:tcW w:w="833" w:type="pct"/>
          </w:tcPr>
          <w:p w14:paraId="06D772C1" w14:textId="77777777" w:rsidR="00FF3D95" w:rsidRPr="00712F3C" w:rsidRDefault="00FF3D95" w:rsidP="009C1E14">
            <w:pPr>
              <w:suppressAutoHyphens/>
              <w:autoSpaceDE w:val="0"/>
              <w:autoSpaceDN w:val="0"/>
              <w:adjustRightInd w:val="0"/>
              <w:spacing w:after="0" w:line="240" w:lineRule="auto"/>
              <w:jc w:val="both"/>
              <w:textAlignment w:val="center"/>
              <w:rPr>
                <w:rFonts w:ascii="Times New Roman" w:hAnsi="Times New Roman"/>
                <w:sz w:val="20"/>
                <w:szCs w:val="20"/>
              </w:rPr>
            </w:pPr>
            <w:r w:rsidRPr="00CA0713">
              <w:rPr>
                <w:rFonts w:ascii="Times New Roman" w:hAnsi="Times New Roman"/>
                <w:sz w:val="20"/>
                <w:szCs w:val="20"/>
              </w:rPr>
              <w:t>Income Tax Act, 1961</w:t>
            </w:r>
          </w:p>
        </w:tc>
        <w:tc>
          <w:tcPr>
            <w:tcW w:w="786" w:type="pct"/>
          </w:tcPr>
          <w:p w14:paraId="125A08EB" w14:textId="77777777" w:rsidR="00FF3D95" w:rsidRPr="00712F3C" w:rsidRDefault="00FF3D95" w:rsidP="009C1E14">
            <w:pPr>
              <w:suppressAutoHyphens/>
              <w:autoSpaceDE w:val="0"/>
              <w:autoSpaceDN w:val="0"/>
              <w:adjustRightInd w:val="0"/>
              <w:spacing w:after="0" w:line="240" w:lineRule="auto"/>
              <w:jc w:val="both"/>
              <w:textAlignment w:val="center"/>
              <w:rPr>
                <w:rFonts w:ascii="Times New Roman" w:hAnsi="Times New Roman"/>
                <w:sz w:val="20"/>
                <w:szCs w:val="20"/>
              </w:rPr>
            </w:pPr>
            <w:r w:rsidRPr="00CA0713">
              <w:rPr>
                <w:rFonts w:ascii="Times New Roman" w:hAnsi="Times New Roman"/>
                <w:sz w:val="20"/>
                <w:szCs w:val="20"/>
              </w:rPr>
              <w:t>Income Tax Department, Government of India</w:t>
            </w:r>
          </w:p>
        </w:tc>
        <w:tc>
          <w:tcPr>
            <w:tcW w:w="959" w:type="pct"/>
          </w:tcPr>
          <w:p w14:paraId="2314D8B1" w14:textId="77777777" w:rsidR="00FF3D95" w:rsidRPr="00712F3C" w:rsidRDefault="00FF3D95" w:rsidP="009C1E14">
            <w:pPr>
              <w:suppressAutoHyphens/>
              <w:autoSpaceDE w:val="0"/>
              <w:autoSpaceDN w:val="0"/>
              <w:adjustRightInd w:val="0"/>
              <w:spacing w:after="0" w:line="240" w:lineRule="auto"/>
              <w:jc w:val="both"/>
              <w:textAlignment w:val="center"/>
              <w:rPr>
                <w:rFonts w:ascii="Times New Roman" w:eastAsia="Calibri" w:hAnsi="Times New Roman"/>
                <w:sz w:val="20"/>
                <w:szCs w:val="20"/>
                <w:highlight w:val="yellow"/>
                <w:lang w:val="en-IN"/>
              </w:rPr>
            </w:pPr>
            <w:r w:rsidRPr="00CA0713">
              <w:rPr>
                <w:rFonts w:ascii="Times New Roman" w:hAnsi="Times New Roman"/>
                <w:sz w:val="20"/>
                <w:szCs w:val="20"/>
              </w:rPr>
              <w:t>RKTS05I62D</w:t>
            </w:r>
          </w:p>
        </w:tc>
        <w:tc>
          <w:tcPr>
            <w:tcW w:w="620" w:type="pct"/>
            <w:shd w:val="clear" w:color="auto" w:fill="auto"/>
          </w:tcPr>
          <w:p w14:paraId="71C9D66A" w14:textId="77777777" w:rsidR="00FF3D95" w:rsidRPr="00712F3C" w:rsidRDefault="00FF3D95" w:rsidP="009C1E14">
            <w:pPr>
              <w:suppressAutoHyphens/>
              <w:autoSpaceDE w:val="0"/>
              <w:autoSpaceDN w:val="0"/>
              <w:adjustRightInd w:val="0"/>
              <w:spacing w:after="0" w:line="240" w:lineRule="auto"/>
              <w:jc w:val="both"/>
              <w:textAlignment w:val="center"/>
              <w:rPr>
                <w:rFonts w:ascii="Times New Roman" w:hAnsi="Times New Roman"/>
                <w:sz w:val="20"/>
                <w:szCs w:val="20"/>
                <w:lang w:val="en-IN"/>
              </w:rPr>
            </w:pPr>
            <w:r w:rsidRPr="00CA0713">
              <w:rPr>
                <w:rFonts w:ascii="Times New Roman" w:hAnsi="Times New Roman"/>
                <w:sz w:val="20"/>
                <w:szCs w:val="20"/>
              </w:rPr>
              <w:t>August 14, 2007</w:t>
            </w:r>
          </w:p>
        </w:tc>
        <w:tc>
          <w:tcPr>
            <w:tcW w:w="616" w:type="pct"/>
          </w:tcPr>
          <w:p w14:paraId="673391B9" w14:textId="77777777" w:rsidR="00FF3D95" w:rsidRPr="00712F3C" w:rsidRDefault="00FF3D95" w:rsidP="009C1E14">
            <w:pPr>
              <w:suppressAutoHyphens/>
              <w:autoSpaceDE w:val="0"/>
              <w:autoSpaceDN w:val="0"/>
              <w:adjustRightInd w:val="0"/>
              <w:spacing w:after="0" w:line="240" w:lineRule="auto"/>
              <w:jc w:val="both"/>
              <w:textAlignment w:val="center"/>
              <w:rPr>
                <w:rFonts w:ascii="Times New Roman" w:hAnsi="Times New Roman"/>
                <w:sz w:val="20"/>
                <w:szCs w:val="20"/>
              </w:rPr>
            </w:pPr>
            <w:r w:rsidRPr="00CA0713">
              <w:rPr>
                <w:rFonts w:ascii="Times New Roman" w:hAnsi="Times New Roman"/>
                <w:sz w:val="20"/>
                <w:szCs w:val="20"/>
              </w:rPr>
              <w:t>Valid until cancelled</w:t>
            </w:r>
          </w:p>
        </w:tc>
      </w:tr>
      <w:tr w:rsidR="00FF3D95" w:rsidRPr="00712F3C" w14:paraId="48035476" w14:textId="77777777" w:rsidTr="009C1E14">
        <w:tc>
          <w:tcPr>
            <w:tcW w:w="291" w:type="pct"/>
            <w:vAlign w:val="center"/>
          </w:tcPr>
          <w:p w14:paraId="49CE3F83" w14:textId="77777777" w:rsidR="00FF3D95" w:rsidRPr="00712F3C" w:rsidRDefault="00FF3D95">
            <w:pPr>
              <w:numPr>
                <w:ilvl w:val="0"/>
                <w:numId w:val="352"/>
              </w:numPr>
              <w:suppressAutoHyphens/>
              <w:autoSpaceDE w:val="0"/>
              <w:autoSpaceDN w:val="0"/>
              <w:adjustRightInd w:val="0"/>
              <w:spacing w:after="0" w:line="240" w:lineRule="auto"/>
              <w:ind w:left="313"/>
              <w:jc w:val="right"/>
              <w:textAlignment w:val="center"/>
              <w:rPr>
                <w:rFonts w:ascii="Times New Roman" w:hAnsi="Times New Roman"/>
                <w:sz w:val="20"/>
                <w:szCs w:val="20"/>
              </w:rPr>
            </w:pPr>
          </w:p>
        </w:tc>
        <w:tc>
          <w:tcPr>
            <w:tcW w:w="894" w:type="pct"/>
          </w:tcPr>
          <w:p w14:paraId="0867507F" w14:textId="77777777" w:rsidR="00FF3D95" w:rsidRPr="00712F3C" w:rsidRDefault="00FF3D95" w:rsidP="009C1E14">
            <w:pPr>
              <w:suppressAutoHyphens/>
              <w:autoSpaceDE w:val="0"/>
              <w:autoSpaceDN w:val="0"/>
              <w:adjustRightInd w:val="0"/>
              <w:spacing w:after="0" w:line="240" w:lineRule="auto"/>
              <w:jc w:val="both"/>
              <w:textAlignment w:val="center"/>
              <w:rPr>
                <w:rFonts w:ascii="Times New Roman" w:hAnsi="Times New Roman"/>
                <w:sz w:val="20"/>
                <w:szCs w:val="20"/>
              </w:rPr>
            </w:pPr>
            <w:r w:rsidRPr="00CA0713">
              <w:rPr>
                <w:rFonts w:ascii="Times New Roman" w:hAnsi="Times New Roman"/>
                <w:sz w:val="20"/>
                <w:szCs w:val="20"/>
              </w:rPr>
              <w:t>Certificate of Registration of Goods and Services Tax (Gujarat)</w:t>
            </w:r>
          </w:p>
        </w:tc>
        <w:tc>
          <w:tcPr>
            <w:tcW w:w="833" w:type="pct"/>
          </w:tcPr>
          <w:p w14:paraId="7E87CBAF" w14:textId="77777777" w:rsidR="00FF3D95" w:rsidRPr="00712F3C" w:rsidRDefault="00FF3D95" w:rsidP="009C1E14">
            <w:pPr>
              <w:suppressAutoHyphens/>
              <w:autoSpaceDE w:val="0"/>
              <w:autoSpaceDN w:val="0"/>
              <w:adjustRightInd w:val="0"/>
              <w:spacing w:after="0" w:line="240" w:lineRule="auto"/>
              <w:jc w:val="both"/>
              <w:textAlignment w:val="center"/>
              <w:rPr>
                <w:rFonts w:ascii="Times New Roman" w:hAnsi="Times New Roman"/>
                <w:sz w:val="20"/>
                <w:szCs w:val="20"/>
              </w:rPr>
            </w:pPr>
            <w:r w:rsidRPr="00CA0713">
              <w:rPr>
                <w:rFonts w:ascii="Times New Roman" w:hAnsi="Times New Roman"/>
                <w:sz w:val="20"/>
                <w:szCs w:val="20"/>
              </w:rPr>
              <w:t>Centre Goods and Services Tax Act, 2017</w:t>
            </w:r>
          </w:p>
        </w:tc>
        <w:tc>
          <w:tcPr>
            <w:tcW w:w="786" w:type="pct"/>
          </w:tcPr>
          <w:p w14:paraId="3A9DF794" w14:textId="77777777" w:rsidR="00FF3D95" w:rsidRPr="00712F3C" w:rsidRDefault="00FF3D95" w:rsidP="009C1E14">
            <w:pPr>
              <w:suppressAutoHyphens/>
              <w:autoSpaceDE w:val="0"/>
              <w:autoSpaceDN w:val="0"/>
              <w:adjustRightInd w:val="0"/>
              <w:spacing w:after="0" w:line="240" w:lineRule="auto"/>
              <w:jc w:val="both"/>
              <w:textAlignment w:val="center"/>
              <w:rPr>
                <w:rFonts w:ascii="Times New Roman" w:hAnsi="Times New Roman"/>
                <w:sz w:val="20"/>
                <w:szCs w:val="20"/>
              </w:rPr>
            </w:pPr>
            <w:r w:rsidRPr="00CA0713">
              <w:rPr>
                <w:rFonts w:ascii="Times New Roman" w:hAnsi="Times New Roman"/>
                <w:sz w:val="20"/>
                <w:szCs w:val="20"/>
              </w:rPr>
              <w:t>Assistant Commissioner of State Tax</w:t>
            </w:r>
          </w:p>
        </w:tc>
        <w:tc>
          <w:tcPr>
            <w:tcW w:w="959" w:type="pct"/>
          </w:tcPr>
          <w:p w14:paraId="592FBE1C" w14:textId="77777777" w:rsidR="00FF3D95" w:rsidRPr="00712F3C" w:rsidRDefault="00FF3D95" w:rsidP="009C1E14">
            <w:pPr>
              <w:suppressAutoHyphens/>
              <w:autoSpaceDE w:val="0"/>
              <w:autoSpaceDN w:val="0"/>
              <w:adjustRightInd w:val="0"/>
              <w:spacing w:after="0" w:line="240" w:lineRule="auto"/>
              <w:jc w:val="both"/>
              <w:textAlignment w:val="center"/>
              <w:rPr>
                <w:rFonts w:ascii="Times New Roman" w:hAnsi="Times New Roman"/>
                <w:sz w:val="20"/>
                <w:szCs w:val="20"/>
              </w:rPr>
            </w:pPr>
            <w:r w:rsidRPr="00CA0713">
              <w:rPr>
                <w:rFonts w:ascii="Times New Roman" w:hAnsi="Times New Roman"/>
                <w:sz w:val="20"/>
                <w:szCs w:val="20"/>
              </w:rPr>
              <w:t>24AAKCS5857Q1ZG</w:t>
            </w:r>
          </w:p>
        </w:tc>
        <w:tc>
          <w:tcPr>
            <w:tcW w:w="620" w:type="pct"/>
          </w:tcPr>
          <w:p w14:paraId="179D0DBE" w14:textId="77777777" w:rsidR="00FF3D95" w:rsidRPr="00712F3C" w:rsidRDefault="00FF3D95" w:rsidP="009C1E14">
            <w:pPr>
              <w:suppressAutoHyphens/>
              <w:autoSpaceDE w:val="0"/>
              <w:autoSpaceDN w:val="0"/>
              <w:adjustRightInd w:val="0"/>
              <w:spacing w:after="0" w:line="240" w:lineRule="auto"/>
              <w:jc w:val="both"/>
              <w:textAlignment w:val="center"/>
              <w:rPr>
                <w:rFonts w:ascii="Times New Roman" w:hAnsi="Times New Roman"/>
                <w:sz w:val="20"/>
                <w:szCs w:val="20"/>
              </w:rPr>
            </w:pPr>
            <w:r w:rsidRPr="00B44CFA">
              <w:rPr>
                <w:rFonts w:ascii="Times New Roman" w:hAnsi="Times New Roman"/>
                <w:sz w:val="20"/>
                <w:szCs w:val="20"/>
              </w:rPr>
              <w:t>Valid from</w:t>
            </w:r>
            <w:r>
              <w:rPr>
                <w:rFonts w:ascii="Times New Roman" w:hAnsi="Times New Roman"/>
                <w:sz w:val="20"/>
                <w:szCs w:val="20"/>
              </w:rPr>
              <w:t xml:space="preserve"> September 19, 2017</w:t>
            </w:r>
            <w:r w:rsidRPr="00B44CFA">
              <w:rPr>
                <w:rFonts w:ascii="Times New Roman" w:hAnsi="Times New Roman"/>
                <w:sz w:val="20"/>
                <w:szCs w:val="20"/>
              </w:rPr>
              <w:t xml:space="preserve"> and</w:t>
            </w:r>
            <w:r>
              <w:rPr>
                <w:rFonts w:ascii="Times New Roman" w:hAnsi="Times New Roman"/>
                <w:sz w:val="20"/>
                <w:szCs w:val="20"/>
              </w:rPr>
              <w:t xml:space="preserve"> </w:t>
            </w:r>
            <w:r w:rsidRPr="00B44CFA">
              <w:rPr>
                <w:rFonts w:ascii="Times New Roman" w:hAnsi="Times New Roman"/>
                <w:sz w:val="20"/>
                <w:szCs w:val="20"/>
              </w:rPr>
              <w:t>Date of Issue</w:t>
            </w:r>
            <w:r>
              <w:rPr>
                <w:rFonts w:ascii="Times New Roman" w:hAnsi="Times New Roman"/>
                <w:sz w:val="20"/>
                <w:szCs w:val="20"/>
              </w:rPr>
              <w:t xml:space="preserve"> </w:t>
            </w:r>
            <w:r w:rsidRPr="00B44CFA">
              <w:rPr>
                <w:rFonts w:ascii="Times New Roman" w:hAnsi="Times New Roman"/>
                <w:sz w:val="20"/>
                <w:szCs w:val="20"/>
              </w:rPr>
              <w:t>of renewed</w:t>
            </w:r>
            <w:r>
              <w:rPr>
                <w:rFonts w:ascii="Times New Roman" w:hAnsi="Times New Roman"/>
                <w:sz w:val="20"/>
                <w:szCs w:val="20"/>
              </w:rPr>
              <w:t xml:space="preserve"> </w:t>
            </w:r>
            <w:r w:rsidRPr="00B44CFA">
              <w:rPr>
                <w:rFonts w:ascii="Times New Roman" w:hAnsi="Times New Roman"/>
                <w:sz w:val="20"/>
                <w:szCs w:val="20"/>
              </w:rPr>
              <w:t>certificate</w:t>
            </w:r>
            <w:r>
              <w:rPr>
                <w:rFonts w:ascii="Times New Roman" w:hAnsi="Times New Roman"/>
                <w:sz w:val="20"/>
                <w:szCs w:val="20"/>
              </w:rPr>
              <w:t xml:space="preserve"> </w:t>
            </w:r>
            <w:r w:rsidRPr="00CA0713">
              <w:rPr>
                <w:rFonts w:ascii="Times New Roman" w:hAnsi="Times New Roman"/>
                <w:sz w:val="20"/>
                <w:szCs w:val="20"/>
              </w:rPr>
              <w:t>February 08, 2022</w:t>
            </w:r>
          </w:p>
        </w:tc>
        <w:tc>
          <w:tcPr>
            <w:tcW w:w="616" w:type="pct"/>
          </w:tcPr>
          <w:p w14:paraId="7F24F621" w14:textId="77777777" w:rsidR="00FF3D95" w:rsidRPr="00712F3C" w:rsidRDefault="00FF3D95" w:rsidP="009C1E14">
            <w:pPr>
              <w:suppressAutoHyphens/>
              <w:autoSpaceDE w:val="0"/>
              <w:autoSpaceDN w:val="0"/>
              <w:adjustRightInd w:val="0"/>
              <w:spacing w:after="0" w:line="240" w:lineRule="auto"/>
              <w:jc w:val="both"/>
              <w:textAlignment w:val="center"/>
              <w:rPr>
                <w:rFonts w:ascii="Times New Roman" w:hAnsi="Times New Roman"/>
                <w:sz w:val="20"/>
                <w:szCs w:val="20"/>
              </w:rPr>
            </w:pPr>
            <w:r w:rsidRPr="00CA0713">
              <w:rPr>
                <w:rFonts w:ascii="Times New Roman" w:hAnsi="Times New Roman"/>
                <w:sz w:val="20"/>
                <w:szCs w:val="20"/>
              </w:rPr>
              <w:t>Valid until cancelled</w:t>
            </w:r>
          </w:p>
        </w:tc>
      </w:tr>
    </w:tbl>
    <w:p w14:paraId="42CC121A" w14:textId="77777777" w:rsidR="00FF3D95" w:rsidRPr="00712F3C" w:rsidRDefault="00FF3D95" w:rsidP="00FF3D95">
      <w:pPr>
        <w:widowControl w:val="0"/>
        <w:tabs>
          <w:tab w:val="left" w:pos="688"/>
          <w:tab w:val="left" w:pos="689"/>
        </w:tabs>
        <w:spacing w:after="0" w:line="240" w:lineRule="auto"/>
        <w:ind w:right="-16"/>
        <w:jc w:val="both"/>
        <w:outlineLvl w:val="2"/>
        <w:rPr>
          <w:rFonts w:ascii="Times New Roman" w:hAnsi="Times New Roman"/>
          <w:bCs/>
          <w:i/>
          <w:sz w:val="20"/>
          <w:szCs w:val="20"/>
          <w:lang w:val="en-IN" w:bidi="en-US"/>
        </w:rPr>
      </w:pPr>
    </w:p>
    <w:p w14:paraId="29DF441E" w14:textId="77777777" w:rsidR="00FF3D95" w:rsidRPr="00712F3C" w:rsidRDefault="00FF3D95">
      <w:pPr>
        <w:widowControl w:val="0"/>
        <w:numPr>
          <w:ilvl w:val="0"/>
          <w:numId w:val="348"/>
        </w:numPr>
        <w:tabs>
          <w:tab w:val="left" w:pos="688"/>
          <w:tab w:val="left" w:pos="689"/>
        </w:tabs>
        <w:spacing w:after="0" w:line="240" w:lineRule="auto"/>
        <w:ind w:right="-16"/>
        <w:jc w:val="both"/>
        <w:outlineLvl w:val="2"/>
        <w:rPr>
          <w:rFonts w:ascii="Times New Roman" w:hAnsi="Times New Roman"/>
          <w:b/>
          <w:bCs/>
          <w:sz w:val="20"/>
          <w:szCs w:val="20"/>
          <w:u w:val="single"/>
          <w:lang w:bidi="en-US"/>
        </w:rPr>
      </w:pPr>
      <w:r w:rsidRPr="00712F3C">
        <w:rPr>
          <w:rFonts w:ascii="Times New Roman" w:hAnsi="Times New Roman"/>
          <w:b/>
          <w:bCs/>
          <w:sz w:val="20"/>
          <w:szCs w:val="20"/>
          <w:u w:val="single"/>
          <w:lang w:bidi="en-US"/>
        </w:rPr>
        <w:t>INDUSTRIAL AND LABOUR LAW RELATED APPROVALS:</w:t>
      </w:r>
    </w:p>
    <w:p w14:paraId="7544F01D" w14:textId="77777777" w:rsidR="00FF3D95" w:rsidRPr="00712F3C" w:rsidRDefault="00FF3D95" w:rsidP="00FF3D95">
      <w:pPr>
        <w:tabs>
          <w:tab w:val="left" w:pos="688"/>
          <w:tab w:val="left" w:pos="689"/>
        </w:tabs>
        <w:spacing w:after="0" w:line="240" w:lineRule="auto"/>
        <w:ind w:right="-16"/>
        <w:jc w:val="both"/>
        <w:outlineLvl w:val="2"/>
        <w:rPr>
          <w:rFonts w:ascii="Times New Roman" w:hAnsi="Times New Roman"/>
          <w:b/>
          <w:bCs/>
          <w:sz w:val="20"/>
          <w:szCs w:val="20"/>
          <w:u w:val="single"/>
          <w:lang w:bidi="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8"/>
        <w:gridCol w:w="1652"/>
        <w:gridCol w:w="1564"/>
        <w:gridCol w:w="2311"/>
        <w:gridCol w:w="1755"/>
        <w:gridCol w:w="1524"/>
        <w:gridCol w:w="1102"/>
      </w:tblGrid>
      <w:tr w:rsidR="00FF3D95" w:rsidRPr="00F6245D" w14:paraId="6E2497DB" w14:textId="77777777" w:rsidTr="009C1E14">
        <w:trPr>
          <w:trHeight w:val="20"/>
          <w:tblHeader/>
        </w:trPr>
        <w:tc>
          <w:tcPr>
            <w:tcW w:w="262" w:type="pct"/>
            <w:shd w:val="clear" w:color="auto" w:fill="D0CECE" w:themeFill="background2" w:themeFillShade="E6"/>
            <w:vAlign w:val="center"/>
          </w:tcPr>
          <w:p w14:paraId="70BC71BB" w14:textId="77777777" w:rsidR="00FF3D95" w:rsidRPr="00F6245D" w:rsidRDefault="00FF3D95" w:rsidP="009C1E14">
            <w:pPr>
              <w:suppressAutoHyphens/>
              <w:autoSpaceDE w:val="0"/>
              <w:autoSpaceDN w:val="0"/>
              <w:adjustRightInd w:val="0"/>
              <w:spacing w:after="0" w:line="240" w:lineRule="auto"/>
              <w:jc w:val="center"/>
              <w:textAlignment w:val="center"/>
              <w:rPr>
                <w:rFonts w:ascii="Times New Roman" w:hAnsi="Times New Roman"/>
                <w:b/>
                <w:sz w:val="20"/>
                <w:szCs w:val="20"/>
              </w:rPr>
            </w:pPr>
            <w:r w:rsidRPr="00F6245D">
              <w:rPr>
                <w:rFonts w:ascii="Times New Roman" w:hAnsi="Times New Roman"/>
                <w:b/>
                <w:sz w:val="20"/>
                <w:szCs w:val="20"/>
              </w:rPr>
              <w:t>Sr. No</w:t>
            </w:r>
          </w:p>
        </w:tc>
        <w:tc>
          <w:tcPr>
            <w:tcW w:w="790" w:type="pct"/>
            <w:shd w:val="clear" w:color="auto" w:fill="D0CECE" w:themeFill="background2" w:themeFillShade="E6"/>
            <w:vAlign w:val="center"/>
          </w:tcPr>
          <w:p w14:paraId="0864140A" w14:textId="77777777" w:rsidR="00FF3D95" w:rsidRPr="00F6245D" w:rsidRDefault="00FF3D95" w:rsidP="009C1E14">
            <w:pPr>
              <w:suppressAutoHyphens/>
              <w:autoSpaceDE w:val="0"/>
              <w:autoSpaceDN w:val="0"/>
              <w:adjustRightInd w:val="0"/>
              <w:spacing w:after="0" w:line="240" w:lineRule="auto"/>
              <w:jc w:val="center"/>
              <w:textAlignment w:val="center"/>
              <w:rPr>
                <w:rFonts w:ascii="Times New Roman" w:hAnsi="Times New Roman"/>
                <w:b/>
                <w:sz w:val="20"/>
                <w:szCs w:val="20"/>
              </w:rPr>
            </w:pPr>
            <w:r w:rsidRPr="00F6245D">
              <w:rPr>
                <w:rFonts w:ascii="Times New Roman" w:hAnsi="Times New Roman"/>
                <w:b/>
                <w:sz w:val="20"/>
                <w:szCs w:val="20"/>
              </w:rPr>
              <w:t>Description</w:t>
            </w:r>
          </w:p>
        </w:tc>
        <w:tc>
          <w:tcPr>
            <w:tcW w:w="748" w:type="pct"/>
            <w:shd w:val="clear" w:color="auto" w:fill="D0CECE" w:themeFill="background2" w:themeFillShade="E6"/>
            <w:vAlign w:val="center"/>
          </w:tcPr>
          <w:p w14:paraId="026175EA" w14:textId="77777777" w:rsidR="00FF3D95" w:rsidRPr="00F6245D" w:rsidRDefault="00FF3D95" w:rsidP="009C1E14">
            <w:pPr>
              <w:suppressAutoHyphens/>
              <w:autoSpaceDE w:val="0"/>
              <w:autoSpaceDN w:val="0"/>
              <w:adjustRightInd w:val="0"/>
              <w:spacing w:after="0" w:line="240" w:lineRule="auto"/>
              <w:jc w:val="center"/>
              <w:textAlignment w:val="center"/>
              <w:rPr>
                <w:rFonts w:ascii="Times New Roman" w:hAnsi="Times New Roman"/>
                <w:b/>
                <w:sz w:val="20"/>
                <w:szCs w:val="20"/>
              </w:rPr>
            </w:pPr>
            <w:r w:rsidRPr="00F6245D">
              <w:rPr>
                <w:rFonts w:ascii="Times New Roman" w:hAnsi="Times New Roman"/>
                <w:b/>
                <w:sz w:val="20"/>
                <w:szCs w:val="20"/>
              </w:rPr>
              <w:t>Applicable laws</w:t>
            </w:r>
          </w:p>
        </w:tc>
        <w:tc>
          <w:tcPr>
            <w:tcW w:w="1105" w:type="pct"/>
            <w:shd w:val="clear" w:color="auto" w:fill="D0CECE" w:themeFill="background2" w:themeFillShade="E6"/>
            <w:vAlign w:val="center"/>
          </w:tcPr>
          <w:p w14:paraId="6FF540E9" w14:textId="77777777" w:rsidR="00FF3D95" w:rsidRPr="00F6245D" w:rsidRDefault="00FF3D95" w:rsidP="009C1E14">
            <w:pPr>
              <w:suppressAutoHyphens/>
              <w:autoSpaceDE w:val="0"/>
              <w:autoSpaceDN w:val="0"/>
              <w:adjustRightInd w:val="0"/>
              <w:spacing w:after="0" w:line="240" w:lineRule="auto"/>
              <w:jc w:val="center"/>
              <w:textAlignment w:val="center"/>
              <w:rPr>
                <w:rFonts w:ascii="Times New Roman" w:hAnsi="Times New Roman"/>
                <w:b/>
                <w:sz w:val="20"/>
                <w:szCs w:val="20"/>
              </w:rPr>
            </w:pPr>
            <w:r w:rsidRPr="00F6245D">
              <w:rPr>
                <w:rFonts w:ascii="Times New Roman" w:hAnsi="Times New Roman"/>
                <w:b/>
                <w:sz w:val="20"/>
                <w:szCs w:val="20"/>
              </w:rPr>
              <w:t>Authority</w:t>
            </w:r>
          </w:p>
        </w:tc>
        <w:tc>
          <w:tcPr>
            <w:tcW w:w="839" w:type="pct"/>
            <w:shd w:val="clear" w:color="auto" w:fill="D0CECE" w:themeFill="background2" w:themeFillShade="E6"/>
            <w:vAlign w:val="center"/>
          </w:tcPr>
          <w:p w14:paraId="2EC81F9C" w14:textId="77777777" w:rsidR="00FF3D95" w:rsidRPr="00F6245D" w:rsidRDefault="00FF3D95" w:rsidP="009C1E14">
            <w:pPr>
              <w:suppressAutoHyphens/>
              <w:autoSpaceDE w:val="0"/>
              <w:autoSpaceDN w:val="0"/>
              <w:adjustRightInd w:val="0"/>
              <w:spacing w:after="0" w:line="240" w:lineRule="auto"/>
              <w:jc w:val="center"/>
              <w:textAlignment w:val="center"/>
              <w:rPr>
                <w:rFonts w:ascii="Times New Roman" w:hAnsi="Times New Roman"/>
                <w:b/>
                <w:sz w:val="20"/>
                <w:szCs w:val="20"/>
              </w:rPr>
            </w:pPr>
            <w:r w:rsidRPr="00F6245D">
              <w:rPr>
                <w:rFonts w:ascii="Times New Roman" w:hAnsi="Times New Roman"/>
                <w:b/>
                <w:sz w:val="20"/>
                <w:szCs w:val="20"/>
              </w:rPr>
              <w:t>Registration number</w:t>
            </w:r>
          </w:p>
        </w:tc>
        <w:tc>
          <w:tcPr>
            <w:tcW w:w="729" w:type="pct"/>
            <w:shd w:val="clear" w:color="auto" w:fill="D0CECE" w:themeFill="background2" w:themeFillShade="E6"/>
            <w:vAlign w:val="center"/>
          </w:tcPr>
          <w:p w14:paraId="4E7182E8" w14:textId="77777777" w:rsidR="00FF3D95" w:rsidRPr="00F6245D" w:rsidRDefault="00FF3D95" w:rsidP="009C1E14">
            <w:pPr>
              <w:suppressAutoHyphens/>
              <w:autoSpaceDE w:val="0"/>
              <w:autoSpaceDN w:val="0"/>
              <w:adjustRightInd w:val="0"/>
              <w:spacing w:after="0" w:line="240" w:lineRule="auto"/>
              <w:jc w:val="center"/>
              <w:textAlignment w:val="center"/>
              <w:rPr>
                <w:rFonts w:ascii="Times New Roman" w:hAnsi="Times New Roman"/>
                <w:b/>
                <w:sz w:val="20"/>
                <w:szCs w:val="20"/>
              </w:rPr>
            </w:pPr>
            <w:r w:rsidRPr="00F6245D">
              <w:rPr>
                <w:rFonts w:ascii="Times New Roman" w:hAnsi="Times New Roman"/>
                <w:b/>
                <w:sz w:val="20"/>
                <w:szCs w:val="20"/>
              </w:rPr>
              <w:t>Date of Certificate</w:t>
            </w:r>
          </w:p>
        </w:tc>
        <w:tc>
          <w:tcPr>
            <w:tcW w:w="527" w:type="pct"/>
            <w:shd w:val="clear" w:color="auto" w:fill="D0CECE" w:themeFill="background2" w:themeFillShade="E6"/>
            <w:vAlign w:val="center"/>
          </w:tcPr>
          <w:p w14:paraId="73B7D2F3" w14:textId="77777777" w:rsidR="00FF3D95" w:rsidRPr="00F6245D" w:rsidRDefault="00FF3D95" w:rsidP="009C1E14">
            <w:pPr>
              <w:suppressAutoHyphens/>
              <w:autoSpaceDE w:val="0"/>
              <w:autoSpaceDN w:val="0"/>
              <w:adjustRightInd w:val="0"/>
              <w:spacing w:after="0" w:line="240" w:lineRule="auto"/>
              <w:jc w:val="center"/>
              <w:textAlignment w:val="center"/>
              <w:rPr>
                <w:rFonts w:ascii="Times New Roman" w:hAnsi="Times New Roman"/>
                <w:b/>
                <w:sz w:val="20"/>
                <w:szCs w:val="20"/>
              </w:rPr>
            </w:pPr>
            <w:r w:rsidRPr="00F6245D">
              <w:rPr>
                <w:rFonts w:ascii="Times New Roman" w:hAnsi="Times New Roman"/>
                <w:b/>
                <w:sz w:val="20"/>
                <w:szCs w:val="20"/>
              </w:rPr>
              <w:t>Date of Expiry</w:t>
            </w:r>
          </w:p>
        </w:tc>
      </w:tr>
      <w:tr w:rsidR="00FF3D95" w:rsidRPr="00F6245D" w14:paraId="3AB09416" w14:textId="77777777" w:rsidTr="009C1E14">
        <w:trPr>
          <w:trHeight w:val="20"/>
        </w:trPr>
        <w:tc>
          <w:tcPr>
            <w:tcW w:w="262" w:type="pct"/>
            <w:shd w:val="clear" w:color="auto" w:fill="auto"/>
            <w:vAlign w:val="center"/>
          </w:tcPr>
          <w:p w14:paraId="0CE295D6" w14:textId="77777777" w:rsidR="00FF3D95" w:rsidRPr="00F6245D" w:rsidRDefault="00FF3D95">
            <w:pPr>
              <w:numPr>
                <w:ilvl w:val="0"/>
                <w:numId w:val="351"/>
              </w:numPr>
              <w:suppressAutoHyphens/>
              <w:autoSpaceDE w:val="0"/>
              <w:autoSpaceDN w:val="0"/>
              <w:adjustRightInd w:val="0"/>
              <w:spacing w:after="0" w:line="240" w:lineRule="auto"/>
              <w:ind w:left="313"/>
              <w:jc w:val="right"/>
              <w:textAlignment w:val="center"/>
              <w:rPr>
                <w:rFonts w:ascii="Times New Roman" w:hAnsi="Times New Roman"/>
                <w:sz w:val="20"/>
                <w:szCs w:val="20"/>
              </w:rPr>
            </w:pPr>
          </w:p>
        </w:tc>
        <w:tc>
          <w:tcPr>
            <w:tcW w:w="790" w:type="pct"/>
            <w:shd w:val="clear" w:color="auto" w:fill="auto"/>
          </w:tcPr>
          <w:p w14:paraId="6B9AEE28" w14:textId="77777777" w:rsidR="00FF3D95" w:rsidRPr="00F6245D" w:rsidRDefault="00FF3D95" w:rsidP="009C1E14">
            <w:pPr>
              <w:suppressAutoHyphens/>
              <w:autoSpaceDE w:val="0"/>
              <w:autoSpaceDN w:val="0"/>
              <w:adjustRightInd w:val="0"/>
              <w:spacing w:after="0" w:line="240" w:lineRule="auto"/>
              <w:jc w:val="both"/>
              <w:textAlignment w:val="center"/>
              <w:rPr>
                <w:rFonts w:ascii="Times New Roman" w:hAnsi="Times New Roman"/>
                <w:sz w:val="20"/>
                <w:szCs w:val="20"/>
              </w:rPr>
            </w:pPr>
            <w:r w:rsidRPr="00F6245D">
              <w:rPr>
                <w:rFonts w:ascii="Times New Roman" w:hAnsi="Times New Roman"/>
                <w:sz w:val="20"/>
                <w:szCs w:val="20"/>
              </w:rPr>
              <w:t>Udyam Registration Certificate</w:t>
            </w:r>
          </w:p>
        </w:tc>
        <w:tc>
          <w:tcPr>
            <w:tcW w:w="748" w:type="pct"/>
            <w:shd w:val="clear" w:color="auto" w:fill="auto"/>
          </w:tcPr>
          <w:p w14:paraId="31AF764F" w14:textId="77777777" w:rsidR="00FF3D95" w:rsidRPr="00F6245D" w:rsidRDefault="00FF3D95" w:rsidP="009C1E14">
            <w:pPr>
              <w:suppressAutoHyphens/>
              <w:autoSpaceDE w:val="0"/>
              <w:autoSpaceDN w:val="0"/>
              <w:adjustRightInd w:val="0"/>
              <w:spacing w:after="0" w:line="240" w:lineRule="auto"/>
              <w:jc w:val="both"/>
              <w:textAlignment w:val="center"/>
              <w:rPr>
                <w:rFonts w:ascii="Times New Roman" w:hAnsi="Times New Roman"/>
                <w:sz w:val="20"/>
                <w:szCs w:val="20"/>
              </w:rPr>
            </w:pPr>
            <w:r w:rsidRPr="00F6245D">
              <w:rPr>
                <w:rFonts w:ascii="Times New Roman" w:hAnsi="Times New Roman"/>
                <w:sz w:val="20"/>
                <w:szCs w:val="20"/>
              </w:rPr>
              <w:t>MSME Development Act, 2006</w:t>
            </w:r>
          </w:p>
        </w:tc>
        <w:tc>
          <w:tcPr>
            <w:tcW w:w="1105" w:type="pct"/>
            <w:shd w:val="clear" w:color="auto" w:fill="auto"/>
          </w:tcPr>
          <w:p w14:paraId="335A7F41" w14:textId="77777777" w:rsidR="00FF3D95" w:rsidRPr="00F6245D" w:rsidRDefault="00FF3D95" w:rsidP="009C1E14">
            <w:pPr>
              <w:spacing w:after="0" w:line="240" w:lineRule="auto"/>
              <w:jc w:val="both"/>
              <w:rPr>
                <w:rFonts w:ascii="Times New Roman" w:hAnsi="Times New Roman"/>
                <w:sz w:val="20"/>
                <w:szCs w:val="20"/>
              </w:rPr>
            </w:pPr>
            <w:r w:rsidRPr="00F6245D">
              <w:rPr>
                <w:rFonts w:ascii="Times New Roman" w:hAnsi="Times New Roman"/>
                <w:sz w:val="20"/>
                <w:szCs w:val="20"/>
              </w:rPr>
              <w:t>Ministry of Micro Small &amp; Medium Enterprises, Government of India</w:t>
            </w:r>
          </w:p>
        </w:tc>
        <w:tc>
          <w:tcPr>
            <w:tcW w:w="839" w:type="pct"/>
            <w:shd w:val="clear" w:color="auto" w:fill="auto"/>
          </w:tcPr>
          <w:p w14:paraId="31D0B030" w14:textId="77777777" w:rsidR="00FF3D95" w:rsidRPr="00F6245D" w:rsidRDefault="00FF3D95" w:rsidP="009C1E14">
            <w:pPr>
              <w:suppressAutoHyphens/>
              <w:autoSpaceDE w:val="0"/>
              <w:autoSpaceDN w:val="0"/>
              <w:adjustRightInd w:val="0"/>
              <w:spacing w:after="0" w:line="240" w:lineRule="auto"/>
              <w:jc w:val="both"/>
              <w:textAlignment w:val="center"/>
              <w:rPr>
                <w:rFonts w:ascii="Times New Roman" w:hAnsi="Times New Roman"/>
                <w:sz w:val="20"/>
                <w:szCs w:val="20"/>
              </w:rPr>
            </w:pPr>
            <w:r w:rsidRPr="00F6245D">
              <w:rPr>
                <w:rFonts w:ascii="Times New Roman" w:hAnsi="Times New Roman"/>
                <w:sz w:val="20"/>
                <w:szCs w:val="20"/>
              </w:rPr>
              <w:t>UDYAM-GJ-10-0000945</w:t>
            </w:r>
          </w:p>
        </w:tc>
        <w:tc>
          <w:tcPr>
            <w:tcW w:w="729" w:type="pct"/>
            <w:shd w:val="clear" w:color="auto" w:fill="auto"/>
          </w:tcPr>
          <w:p w14:paraId="2E03F788" w14:textId="77777777" w:rsidR="00FF3D95" w:rsidRPr="00F6245D" w:rsidRDefault="00FF3D95" w:rsidP="009C1E14">
            <w:pPr>
              <w:suppressAutoHyphens/>
              <w:autoSpaceDE w:val="0"/>
              <w:autoSpaceDN w:val="0"/>
              <w:adjustRightInd w:val="0"/>
              <w:spacing w:after="0" w:line="240" w:lineRule="auto"/>
              <w:jc w:val="both"/>
              <w:textAlignment w:val="center"/>
              <w:rPr>
                <w:rFonts w:ascii="Times New Roman" w:hAnsi="Times New Roman"/>
                <w:sz w:val="20"/>
                <w:szCs w:val="20"/>
              </w:rPr>
            </w:pPr>
            <w:r w:rsidRPr="00F6245D">
              <w:rPr>
                <w:rFonts w:ascii="Times New Roman" w:hAnsi="Times New Roman"/>
                <w:sz w:val="20"/>
                <w:szCs w:val="20"/>
              </w:rPr>
              <w:t>September 26, 2020</w:t>
            </w:r>
          </w:p>
        </w:tc>
        <w:tc>
          <w:tcPr>
            <w:tcW w:w="527" w:type="pct"/>
            <w:shd w:val="clear" w:color="auto" w:fill="auto"/>
          </w:tcPr>
          <w:p w14:paraId="693BEAEE" w14:textId="77777777" w:rsidR="00FF3D95" w:rsidRPr="00F6245D" w:rsidRDefault="00FF3D95" w:rsidP="009C1E14">
            <w:pPr>
              <w:suppressAutoHyphens/>
              <w:autoSpaceDE w:val="0"/>
              <w:autoSpaceDN w:val="0"/>
              <w:adjustRightInd w:val="0"/>
              <w:spacing w:after="0" w:line="240" w:lineRule="auto"/>
              <w:jc w:val="both"/>
              <w:textAlignment w:val="center"/>
              <w:rPr>
                <w:rFonts w:ascii="Times New Roman" w:hAnsi="Times New Roman"/>
                <w:sz w:val="20"/>
                <w:szCs w:val="20"/>
              </w:rPr>
            </w:pPr>
            <w:r w:rsidRPr="00F6245D">
              <w:rPr>
                <w:rFonts w:ascii="Times New Roman" w:hAnsi="Times New Roman"/>
                <w:sz w:val="20"/>
                <w:szCs w:val="20"/>
              </w:rPr>
              <w:t>Valid until cancelled</w:t>
            </w:r>
          </w:p>
        </w:tc>
      </w:tr>
      <w:tr w:rsidR="00FF3D95" w:rsidRPr="00F6245D" w14:paraId="66FC0A21" w14:textId="77777777" w:rsidTr="009C1E14">
        <w:trPr>
          <w:trHeight w:val="20"/>
        </w:trPr>
        <w:tc>
          <w:tcPr>
            <w:tcW w:w="262" w:type="pct"/>
            <w:shd w:val="clear" w:color="auto" w:fill="auto"/>
            <w:vAlign w:val="center"/>
          </w:tcPr>
          <w:p w14:paraId="232DF1DA" w14:textId="77777777" w:rsidR="00FF3D95" w:rsidRPr="00F6245D" w:rsidRDefault="00FF3D95">
            <w:pPr>
              <w:numPr>
                <w:ilvl w:val="0"/>
                <w:numId w:val="351"/>
              </w:numPr>
              <w:suppressAutoHyphens/>
              <w:autoSpaceDE w:val="0"/>
              <w:autoSpaceDN w:val="0"/>
              <w:adjustRightInd w:val="0"/>
              <w:spacing w:after="0" w:line="240" w:lineRule="auto"/>
              <w:ind w:left="313"/>
              <w:jc w:val="center"/>
              <w:textAlignment w:val="center"/>
              <w:rPr>
                <w:rFonts w:ascii="Times New Roman" w:hAnsi="Times New Roman"/>
                <w:sz w:val="20"/>
                <w:szCs w:val="20"/>
              </w:rPr>
            </w:pPr>
          </w:p>
        </w:tc>
        <w:tc>
          <w:tcPr>
            <w:tcW w:w="790" w:type="pct"/>
            <w:shd w:val="clear" w:color="auto" w:fill="auto"/>
          </w:tcPr>
          <w:p w14:paraId="34A3F437" w14:textId="77777777" w:rsidR="00FF3D95" w:rsidRPr="00F6245D" w:rsidRDefault="00FF3D95" w:rsidP="009C1E14">
            <w:pPr>
              <w:spacing w:after="0" w:line="240" w:lineRule="auto"/>
              <w:jc w:val="both"/>
              <w:rPr>
                <w:rFonts w:ascii="Times New Roman" w:hAnsi="Times New Roman"/>
                <w:sz w:val="20"/>
                <w:szCs w:val="20"/>
              </w:rPr>
            </w:pPr>
            <w:r w:rsidRPr="00F6245D">
              <w:rPr>
                <w:rFonts w:ascii="Times New Roman" w:hAnsi="Times New Roman"/>
                <w:sz w:val="20"/>
                <w:szCs w:val="20"/>
              </w:rPr>
              <w:t>Factory License</w:t>
            </w:r>
          </w:p>
          <w:p w14:paraId="10DCA86B" w14:textId="77777777" w:rsidR="00FF3D95" w:rsidRPr="00F6245D" w:rsidRDefault="00FF3D95" w:rsidP="009C1E14">
            <w:pPr>
              <w:suppressAutoHyphens/>
              <w:autoSpaceDE w:val="0"/>
              <w:autoSpaceDN w:val="0"/>
              <w:adjustRightInd w:val="0"/>
              <w:spacing w:after="0" w:line="240" w:lineRule="auto"/>
              <w:jc w:val="both"/>
              <w:textAlignment w:val="center"/>
              <w:rPr>
                <w:rFonts w:ascii="Times New Roman" w:hAnsi="Times New Roman"/>
                <w:sz w:val="20"/>
                <w:szCs w:val="20"/>
              </w:rPr>
            </w:pPr>
            <w:r w:rsidRPr="00F6245D">
              <w:rPr>
                <w:rFonts w:ascii="Times New Roman" w:hAnsi="Times New Roman"/>
                <w:sz w:val="20"/>
                <w:szCs w:val="20"/>
              </w:rPr>
              <w:t>for factory unit situated at Plot No. 6 &amp; 7 Lakhabavad, Jamnagar</w:t>
            </w:r>
          </w:p>
        </w:tc>
        <w:tc>
          <w:tcPr>
            <w:tcW w:w="748" w:type="pct"/>
            <w:shd w:val="clear" w:color="auto" w:fill="auto"/>
          </w:tcPr>
          <w:p w14:paraId="7C35BA74" w14:textId="77777777" w:rsidR="00FF3D95" w:rsidRPr="00F6245D" w:rsidRDefault="00FF3D95" w:rsidP="009C1E14">
            <w:pPr>
              <w:suppressAutoHyphens/>
              <w:autoSpaceDE w:val="0"/>
              <w:autoSpaceDN w:val="0"/>
              <w:adjustRightInd w:val="0"/>
              <w:spacing w:after="0" w:line="240" w:lineRule="auto"/>
              <w:jc w:val="both"/>
              <w:textAlignment w:val="center"/>
              <w:rPr>
                <w:rFonts w:ascii="Times New Roman" w:hAnsi="Times New Roman"/>
                <w:sz w:val="20"/>
                <w:szCs w:val="20"/>
              </w:rPr>
            </w:pPr>
            <w:r w:rsidRPr="00F6245D">
              <w:rPr>
                <w:rFonts w:ascii="Times New Roman" w:hAnsi="Times New Roman"/>
                <w:sz w:val="20"/>
                <w:szCs w:val="20"/>
              </w:rPr>
              <w:t>Factories Act, 1948</w:t>
            </w:r>
          </w:p>
        </w:tc>
        <w:tc>
          <w:tcPr>
            <w:tcW w:w="1105" w:type="pct"/>
            <w:shd w:val="clear" w:color="auto" w:fill="auto"/>
          </w:tcPr>
          <w:p w14:paraId="343EED13" w14:textId="77777777" w:rsidR="00FF3D95" w:rsidRPr="00F6245D" w:rsidRDefault="00FF3D95" w:rsidP="009C1E14">
            <w:pPr>
              <w:spacing w:after="0" w:line="240" w:lineRule="auto"/>
              <w:jc w:val="both"/>
              <w:rPr>
                <w:rFonts w:ascii="Times New Roman" w:hAnsi="Times New Roman"/>
                <w:sz w:val="20"/>
                <w:szCs w:val="20"/>
              </w:rPr>
            </w:pPr>
            <w:r w:rsidRPr="00F6245D">
              <w:rPr>
                <w:rFonts w:ascii="Times New Roman" w:hAnsi="Times New Roman"/>
                <w:sz w:val="20"/>
                <w:szCs w:val="20"/>
              </w:rPr>
              <w:t>Deputy Director of Industrial Safety and Health, Jamnagar</w:t>
            </w:r>
          </w:p>
        </w:tc>
        <w:tc>
          <w:tcPr>
            <w:tcW w:w="839" w:type="pct"/>
            <w:shd w:val="clear" w:color="auto" w:fill="auto"/>
          </w:tcPr>
          <w:p w14:paraId="6D19D255" w14:textId="77777777" w:rsidR="00FF3D95" w:rsidRPr="00F6245D" w:rsidRDefault="00FF3D95" w:rsidP="009C1E14">
            <w:pPr>
              <w:spacing w:after="0" w:line="240" w:lineRule="auto"/>
              <w:jc w:val="both"/>
              <w:rPr>
                <w:rFonts w:ascii="Times New Roman" w:hAnsi="Times New Roman"/>
                <w:sz w:val="20"/>
                <w:szCs w:val="20"/>
              </w:rPr>
            </w:pPr>
            <w:r w:rsidRPr="00F6245D">
              <w:rPr>
                <w:rFonts w:ascii="Times New Roman" w:hAnsi="Times New Roman"/>
                <w:sz w:val="20"/>
                <w:szCs w:val="20"/>
              </w:rPr>
              <w:t>55398/27202/2015</w:t>
            </w:r>
          </w:p>
          <w:p w14:paraId="12A6FE51" w14:textId="77777777" w:rsidR="00FF3D95" w:rsidRPr="00F6245D" w:rsidRDefault="00FF3D95" w:rsidP="009C1E14">
            <w:pPr>
              <w:spacing w:after="0" w:line="240" w:lineRule="auto"/>
              <w:jc w:val="both"/>
              <w:rPr>
                <w:rFonts w:ascii="Times New Roman" w:hAnsi="Times New Roman"/>
                <w:sz w:val="20"/>
                <w:szCs w:val="20"/>
              </w:rPr>
            </w:pPr>
          </w:p>
          <w:p w14:paraId="2B773195" w14:textId="77777777" w:rsidR="00FF3D95" w:rsidRPr="00F6245D" w:rsidRDefault="00FF3D95" w:rsidP="009C1E14">
            <w:pPr>
              <w:spacing w:after="0" w:line="240" w:lineRule="auto"/>
              <w:jc w:val="both"/>
              <w:rPr>
                <w:rFonts w:ascii="Times New Roman" w:hAnsi="Times New Roman"/>
                <w:sz w:val="20"/>
                <w:szCs w:val="20"/>
              </w:rPr>
            </w:pPr>
            <w:r w:rsidRPr="00F6245D">
              <w:rPr>
                <w:rFonts w:ascii="Times New Roman" w:hAnsi="Times New Roman"/>
                <w:sz w:val="20"/>
                <w:szCs w:val="20"/>
              </w:rPr>
              <w:t>License No:</w:t>
            </w:r>
          </w:p>
          <w:p w14:paraId="16B5F7E6" w14:textId="77777777" w:rsidR="00FF3D95" w:rsidRPr="00F6245D" w:rsidRDefault="00FF3D95" w:rsidP="009C1E14">
            <w:pPr>
              <w:suppressAutoHyphens/>
              <w:autoSpaceDE w:val="0"/>
              <w:autoSpaceDN w:val="0"/>
              <w:adjustRightInd w:val="0"/>
              <w:spacing w:after="0" w:line="240" w:lineRule="auto"/>
              <w:textAlignment w:val="center"/>
              <w:rPr>
                <w:rFonts w:ascii="Times New Roman" w:hAnsi="Times New Roman"/>
                <w:sz w:val="20"/>
                <w:szCs w:val="20"/>
              </w:rPr>
            </w:pPr>
            <w:r w:rsidRPr="00F6245D">
              <w:rPr>
                <w:rFonts w:ascii="Times New Roman" w:hAnsi="Times New Roman"/>
                <w:sz w:val="20"/>
                <w:szCs w:val="20"/>
              </w:rPr>
              <w:t>31400</w:t>
            </w:r>
          </w:p>
        </w:tc>
        <w:tc>
          <w:tcPr>
            <w:tcW w:w="729" w:type="pct"/>
            <w:shd w:val="clear" w:color="auto" w:fill="auto"/>
          </w:tcPr>
          <w:p w14:paraId="5DF3F311" w14:textId="77777777" w:rsidR="00FF3D95" w:rsidRPr="00F6245D" w:rsidRDefault="00FF3D95" w:rsidP="009C1E14">
            <w:pPr>
              <w:suppressAutoHyphens/>
              <w:autoSpaceDE w:val="0"/>
              <w:autoSpaceDN w:val="0"/>
              <w:adjustRightInd w:val="0"/>
              <w:spacing w:after="0" w:line="240" w:lineRule="auto"/>
              <w:jc w:val="both"/>
              <w:textAlignment w:val="center"/>
              <w:rPr>
                <w:rFonts w:ascii="Times New Roman" w:hAnsi="Times New Roman"/>
                <w:sz w:val="20"/>
                <w:szCs w:val="20"/>
              </w:rPr>
            </w:pPr>
            <w:r w:rsidRPr="00F6245D">
              <w:rPr>
                <w:rFonts w:ascii="Times New Roman" w:hAnsi="Times New Roman"/>
                <w:sz w:val="20"/>
                <w:szCs w:val="20"/>
              </w:rPr>
              <w:t>January 20, 2023</w:t>
            </w:r>
          </w:p>
        </w:tc>
        <w:tc>
          <w:tcPr>
            <w:tcW w:w="527" w:type="pct"/>
            <w:shd w:val="clear" w:color="auto" w:fill="auto"/>
          </w:tcPr>
          <w:p w14:paraId="72C0BC13" w14:textId="77777777" w:rsidR="00FF3D95" w:rsidRPr="00F6245D" w:rsidRDefault="00FF3D95" w:rsidP="009C1E14">
            <w:pPr>
              <w:suppressAutoHyphens/>
              <w:autoSpaceDE w:val="0"/>
              <w:autoSpaceDN w:val="0"/>
              <w:adjustRightInd w:val="0"/>
              <w:spacing w:after="0" w:line="240" w:lineRule="auto"/>
              <w:jc w:val="both"/>
              <w:textAlignment w:val="center"/>
              <w:rPr>
                <w:rFonts w:ascii="Times New Roman" w:hAnsi="Times New Roman"/>
                <w:sz w:val="20"/>
                <w:szCs w:val="20"/>
              </w:rPr>
            </w:pPr>
            <w:r w:rsidRPr="00F6245D">
              <w:rPr>
                <w:rFonts w:ascii="Times New Roman" w:hAnsi="Times New Roman"/>
                <w:sz w:val="20"/>
                <w:szCs w:val="20"/>
              </w:rPr>
              <w:t>December 31, 2027</w:t>
            </w:r>
          </w:p>
        </w:tc>
      </w:tr>
      <w:tr w:rsidR="00FF3D95" w:rsidRPr="00F6245D" w14:paraId="7B5ADE98" w14:textId="77777777" w:rsidTr="009C1E14">
        <w:trPr>
          <w:trHeight w:val="20"/>
        </w:trPr>
        <w:tc>
          <w:tcPr>
            <w:tcW w:w="262" w:type="pct"/>
            <w:shd w:val="clear" w:color="auto" w:fill="auto"/>
            <w:vAlign w:val="center"/>
          </w:tcPr>
          <w:p w14:paraId="23902316" w14:textId="77777777" w:rsidR="00FF3D95" w:rsidRPr="00F6245D" w:rsidRDefault="00FF3D95">
            <w:pPr>
              <w:numPr>
                <w:ilvl w:val="0"/>
                <w:numId w:val="351"/>
              </w:numPr>
              <w:suppressAutoHyphens/>
              <w:autoSpaceDE w:val="0"/>
              <w:autoSpaceDN w:val="0"/>
              <w:adjustRightInd w:val="0"/>
              <w:spacing w:after="0" w:line="240" w:lineRule="auto"/>
              <w:ind w:left="313"/>
              <w:jc w:val="center"/>
              <w:textAlignment w:val="center"/>
              <w:rPr>
                <w:rFonts w:ascii="Times New Roman" w:hAnsi="Times New Roman"/>
                <w:sz w:val="20"/>
                <w:szCs w:val="20"/>
              </w:rPr>
            </w:pPr>
          </w:p>
        </w:tc>
        <w:tc>
          <w:tcPr>
            <w:tcW w:w="790" w:type="pct"/>
            <w:shd w:val="clear" w:color="auto" w:fill="auto"/>
          </w:tcPr>
          <w:p w14:paraId="6B9EB8B7" w14:textId="7CB1F27F" w:rsidR="00FF3D95" w:rsidRPr="00FD2E9E" w:rsidRDefault="008E46D2" w:rsidP="009C1E14">
            <w:pPr>
              <w:spacing w:after="0" w:line="240" w:lineRule="auto"/>
              <w:jc w:val="both"/>
              <w:rPr>
                <w:rFonts w:ascii="Times New Roman" w:hAnsi="Times New Roman"/>
                <w:sz w:val="20"/>
                <w:szCs w:val="20"/>
              </w:rPr>
            </w:pPr>
            <w:r>
              <w:rPr>
                <w:rFonts w:ascii="Times New Roman" w:hAnsi="Times New Roman"/>
                <w:sz w:val="20"/>
                <w:szCs w:val="20"/>
              </w:rPr>
              <w:t>Letter of Permission (LOP)</w:t>
            </w:r>
          </w:p>
        </w:tc>
        <w:tc>
          <w:tcPr>
            <w:tcW w:w="748" w:type="pct"/>
            <w:shd w:val="clear" w:color="auto" w:fill="auto"/>
          </w:tcPr>
          <w:p w14:paraId="43212763" w14:textId="77777777" w:rsidR="00FF3D95" w:rsidRPr="00FD2E9E" w:rsidRDefault="00FF3D95" w:rsidP="009C1E14">
            <w:pPr>
              <w:suppressAutoHyphens/>
              <w:autoSpaceDE w:val="0"/>
              <w:autoSpaceDN w:val="0"/>
              <w:adjustRightInd w:val="0"/>
              <w:spacing w:after="0" w:line="240" w:lineRule="auto"/>
              <w:jc w:val="both"/>
              <w:textAlignment w:val="center"/>
              <w:rPr>
                <w:rFonts w:ascii="Times New Roman" w:hAnsi="Times New Roman"/>
                <w:sz w:val="20"/>
                <w:szCs w:val="20"/>
              </w:rPr>
            </w:pPr>
            <w:r w:rsidRPr="00FD2E9E">
              <w:rPr>
                <w:rFonts w:ascii="Times New Roman" w:hAnsi="Times New Roman"/>
                <w:sz w:val="20"/>
                <w:szCs w:val="20"/>
              </w:rPr>
              <w:t>EOU Scheme to the Development Commissioner, Kandla Special Economic Zone</w:t>
            </w:r>
          </w:p>
        </w:tc>
        <w:tc>
          <w:tcPr>
            <w:tcW w:w="1105" w:type="pct"/>
            <w:shd w:val="clear" w:color="auto" w:fill="auto"/>
          </w:tcPr>
          <w:p w14:paraId="69F0D1CF" w14:textId="77777777" w:rsidR="00FF3D95" w:rsidRPr="00FD2E9E" w:rsidRDefault="00FF3D95" w:rsidP="009C1E14">
            <w:pPr>
              <w:suppressAutoHyphens/>
              <w:autoSpaceDE w:val="0"/>
              <w:autoSpaceDN w:val="0"/>
              <w:adjustRightInd w:val="0"/>
              <w:spacing w:after="0" w:line="240" w:lineRule="auto"/>
              <w:jc w:val="both"/>
              <w:textAlignment w:val="center"/>
              <w:rPr>
                <w:rFonts w:ascii="Times New Roman" w:hAnsi="Times New Roman"/>
                <w:sz w:val="20"/>
                <w:szCs w:val="20"/>
              </w:rPr>
            </w:pPr>
            <w:r w:rsidRPr="00FD2E9E">
              <w:rPr>
                <w:rFonts w:ascii="Times New Roman" w:hAnsi="Times New Roman"/>
                <w:sz w:val="20"/>
                <w:szCs w:val="20"/>
              </w:rPr>
              <w:t>Development Commissioner, Kandla Special Economic Zone</w:t>
            </w:r>
          </w:p>
        </w:tc>
        <w:tc>
          <w:tcPr>
            <w:tcW w:w="839" w:type="pct"/>
            <w:shd w:val="clear" w:color="auto" w:fill="auto"/>
          </w:tcPr>
          <w:p w14:paraId="56ADF207" w14:textId="77777777" w:rsidR="00FF3D95" w:rsidRPr="00F6245D" w:rsidRDefault="00FF3D95" w:rsidP="009C1E14">
            <w:pPr>
              <w:suppressAutoHyphens/>
              <w:autoSpaceDE w:val="0"/>
              <w:autoSpaceDN w:val="0"/>
              <w:adjustRightInd w:val="0"/>
              <w:spacing w:after="0" w:line="240" w:lineRule="auto"/>
              <w:jc w:val="both"/>
              <w:textAlignment w:val="center"/>
              <w:rPr>
                <w:rFonts w:ascii="Times New Roman" w:hAnsi="Times New Roman"/>
                <w:sz w:val="20"/>
                <w:szCs w:val="20"/>
              </w:rPr>
            </w:pPr>
            <w:r>
              <w:rPr>
                <w:rFonts w:ascii="Times New Roman" w:hAnsi="Times New Roman"/>
                <w:sz w:val="20"/>
                <w:szCs w:val="20"/>
              </w:rPr>
              <w:t>KAEZ/100%EOU/II/03/2007-2008/1717</w:t>
            </w:r>
          </w:p>
        </w:tc>
        <w:tc>
          <w:tcPr>
            <w:tcW w:w="729" w:type="pct"/>
            <w:shd w:val="clear" w:color="auto" w:fill="auto"/>
          </w:tcPr>
          <w:p w14:paraId="6A2ACBBC" w14:textId="77777777" w:rsidR="00FF3D95" w:rsidRPr="00F6245D" w:rsidRDefault="00FF3D95" w:rsidP="009C1E14">
            <w:pPr>
              <w:suppressAutoHyphens/>
              <w:autoSpaceDE w:val="0"/>
              <w:autoSpaceDN w:val="0"/>
              <w:adjustRightInd w:val="0"/>
              <w:spacing w:after="0" w:line="240" w:lineRule="auto"/>
              <w:jc w:val="both"/>
              <w:textAlignment w:val="center"/>
              <w:rPr>
                <w:rFonts w:ascii="Times New Roman" w:hAnsi="Times New Roman"/>
                <w:sz w:val="20"/>
                <w:szCs w:val="20"/>
                <w:lang w:val="en-GB"/>
              </w:rPr>
            </w:pPr>
            <w:r>
              <w:rPr>
                <w:rFonts w:ascii="Times New Roman" w:hAnsi="Times New Roman"/>
                <w:sz w:val="20"/>
                <w:szCs w:val="20"/>
                <w:lang w:val="en-GB"/>
              </w:rPr>
              <w:t>May 15, 2007</w:t>
            </w:r>
          </w:p>
        </w:tc>
        <w:tc>
          <w:tcPr>
            <w:tcW w:w="527" w:type="pct"/>
            <w:shd w:val="clear" w:color="auto" w:fill="auto"/>
          </w:tcPr>
          <w:p w14:paraId="06D6D94C" w14:textId="77777777" w:rsidR="00FF3D95" w:rsidRPr="00F6245D" w:rsidRDefault="00FF3D95" w:rsidP="009C1E14">
            <w:pPr>
              <w:suppressAutoHyphens/>
              <w:autoSpaceDE w:val="0"/>
              <w:autoSpaceDN w:val="0"/>
              <w:adjustRightInd w:val="0"/>
              <w:spacing w:after="0" w:line="240" w:lineRule="auto"/>
              <w:jc w:val="both"/>
              <w:textAlignment w:val="center"/>
              <w:rPr>
                <w:rFonts w:ascii="Times New Roman" w:hAnsi="Times New Roman"/>
                <w:sz w:val="20"/>
                <w:szCs w:val="20"/>
              </w:rPr>
            </w:pPr>
            <w:r w:rsidRPr="00F6245D">
              <w:rPr>
                <w:rFonts w:ascii="Times New Roman" w:hAnsi="Times New Roman"/>
                <w:sz w:val="20"/>
                <w:szCs w:val="20"/>
              </w:rPr>
              <w:t>Valid until cancelled</w:t>
            </w:r>
          </w:p>
        </w:tc>
      </w:tr>
      <w:tr w:rsidR="00FF3D95" w:rsidRPr="00F6245D" w14:paraId="4BE9C66C" w14:textId="77777777" w:rsidTr="009C1E14">
        <w:trPr>
          <w:trHeight w:val="20"/>
        </w:trPr>
        <w:tc>
          <w:tcPr>
            <w:tcW w:w="262" w:type="pct"/>
            <w:shd w:val="clear" w:color="auto" w:fill="auto"/>
            <w:vAlign w:val="center"/>
          </w:tcPr>
          <w:p w14:paraId="681A70F1" w14:textId="77777777" w:rsidR="00FF3D95" w:rsidRPr="00F6245D" w:rsidRDefault="00FF3D95">
            <w:pPr>
              <w:numPr>
                <w:ilvl w:val="0"/>
                <w:numId w:val="351"/>
              </w:numPr>
              <w:suppressAutoHyphens/>
              <w:autoSpaceDE w:val="0"/>
              <w:autoSpaceDN w:val="0"/>
              <w:adjustRightInd w:val="0"/>
              <w:spacing w:after="0" w:line="240" w:lineRule="auto"/>
              <w:ind w:left="313"/>
              <w:jc w:val="center"/>
              <w:textAlignment w:val="center"/>
              <w:rPr>
                <w:rFonts w:ascii="Times New Roman" w:hAnsi="Times New Roman"/>
                <w:sz w:val="20"/>
                <w:szCs w:val="20"/>
              </w:rPr>
            </w:pPr>
          </w:p>
        </w:tc>
        <w:tc>
          <w:tcPr>
            <w:tcW w:w="790" w:type="pct"/>
            <w:shd w:val="clear" w:color="auto" w:fill="auto"/>
          </w:tcPr>
          <w:p w14:paraId="596BB3FA" w14:textId="77777777" w:rsidR="00FF3D95" w:rsidRPr="00F6245D" w:rsidRDefault="00FF3D95" w:rsidP="009C1E14">
            <w:pPr>
              <w:suppressAutoHyphens/>
              <w:autoSpaceDE w:val="0"/>
              <w:autoSpaceDN w:val="0"/>
              <w:adjustRightInd w:val="0"/>
              <w:spacing w:after="0" w:line="240" w:lineRule="auto"/>
              <w:jc w:val="both"/>
              <w:textAlignment w:val="center"/>
              <w:rPr>
                <w:rFonts w:ascii="Times New Roman" w:hAnsi="Times New Roman"/>
                <w:sz w:val="20"/>
                <w:szCs w:val="20"/>
              </w:rPr>
            </w:pPr>
            <w:r w:rsidRPr="00F6245D">
              <w:rPr>
                <w:rFonts w:ascii="Times New Roman" w:hAnsi="Times New Roman"/>
                <w:sz w:val="20"/>
                <w:szCs w:val="20"/>
              </w:rPr>
              <w:t>LEI Certificate</w:t>
            </w:r>
          </w:p>
        </w:tc>
        <w:tc>
          <w:tcPr>
            <w:tcW w:w="748" w:type="pct"/>
          </w:tcPr>
          <w:p w14:paraId="13E46347" w14:textId="77777777" w:rsidR="00FF3D95" w:rsidRPr="00F6245D" w:rsidRDefault="00FF3D95" w:rsidP="009C1E14">
            <w:pPr>
              <w:pStyle w:val="ListParagraph"/>
              <w:spacing w:line="240" w:lineRule="auto"/>
              <w:ind w:left="0"/>
              <w:jc w:val="both"/>
              <w:rPr>
                <w:color w:val="auto"/>
                <w:sz w:val="20"/>
                <w:szCs w:val="20"/>
              </w:rPr>
            </w:pPr>
            <w:r w:rsidRPr="00F6245D">
              <w:rPr>
                <w:sz w:val="20"/>
                <w:szCs w:val="20"/>
              </w:rPr>
              <w:t>Legal Entity Identifier India Limited</w:t>
            </w:r>
          </w:p>
        </w:tc>
        <w:tc>
          <w:tcPr>
            <w:tcW w:w="1105" w:type="pct"/>
          </w:tcPr>
          <w:p w14:paraId="3BC14C05" w14:textId="77777777" w:rsidR="00FF3D95" w:rsidRPr="00F6245D" w:rsidRDefault="00FF3D95" w:rsidP="009C1E14">
            <w:pPr>
              <w:pStyle w:val="ListParagraph"/>
              <w:spacing w:line="240" w:lineRule="auto"/>
              <w:ind w:left="0"/>
              <w:jc w:val="both"/>
              <w:rPr>
                <w:color w:val="auto"/>
                <w:sz w:val="20"/>
                <w:szCs w:val="20"/>
              </w:rPr>
            </w:pPr>
            <w:r w:rsidRPr="00F6245D">
              <w:rPr>
                <w:sz w:val="20"/>
                <w:szCs w:val="20"/>
                <w:lang w:val="pt-BR" w:eastAsia="zh-CN"/>
              </w:rPr>
              <w:t>LEI Register India Private Limited</w:t>
            </w:r>
          </w:p>
        </w:tc>
        <w:tc>
          <w:tcPr>
            <w:tcW w:w="839" w:type="pct"/>
          </w:tcPr>
          <w:p w14:paraId="018E429F" w14:textId="77777777" w:rsidR="00FF3D95" w:rsidRPr="00F6245D" w:rsidRDefault="00FF3D95" w:rsidP="009C1E14">
            <w:pPr>
              <w:suppressAutoHyphens/>
              <w:autoSpaceDE w:val="0"/>
              <w:autoSpaceDN w:val="0"/>
              <w:adjustRightInd w:val="0"/>
              <w:spacing w:after="0" w:line="240" w:lineRule="auto"/>
              <w:jc w:val="both"/>
              <w:textAlignment w:val="center"/>
              <w:rPr>
                <w:rFonts w:ascii="Times New Roman" w:hAnsi="Times New Roman"/>
                <w:sz w:val="20"/>
                <w:szCs w:val="20"/>
              </w:rPr>
            </w:pPr>
            <w:r w:rsidRPr="00F6245D">
              <w:rPr>
                <w:rFonts w:ascii="Times New Roman" w:hAnsi="Times New Roman"/>
                <w:color w:val="000000"/>
                <w:sz w:val="20"/>
                <w:szCs w:val="20"/>
                <w:lang w:eastAsia="zh-CN"/>
              </w:rPr>
              <w:t>9845005383FIFCADA464</w:t>
            </w:r>
          </w:p>
        </w:tc>
        <w:tc>
          <w:tcPr>
            <w:tcW w:w="729" w:type="pct"/>
          </w:tcPr>
          <w:p w14:paraId="499E8954" w14:textId="77777777" w:rsidR="00FF3D95" w:rsidRPr="00F6245D" w:rsidRDefault="00FF3D95" w:rsidP="009C1E14">
            <w:pPr>
              <w:suppressAutoHyphens/>
              <w:autoSpaceDE w:val="0"/>
              <w:autoSpaceDN w:val="0"/>
              <w:adjustRightInd w:val="0"/>
              <w:spacing w:after="0" w:line="240" w:lineRule="auto"/>
              <w:jc w:val="both"/>
              <w:textAlignment w:val="center"/>
              <w:rPr>
                <w:rFonts w:ascii="Times New Roman" w:hAnsi="Times New Roman"/>
                <w:sz w:val="20"/>
                <w:szCs w:val="20"/>
              </w:rPr>
            </w:pPr>
            <w:r w:rsidRPr="00F6245D">
              <w:rPr>
                <w:rFonts w:ascii="Times New Roman" w:hAnsi="Times New Roman"/>
                <w:sz w:val="20"/>
                <w:szCs w:val="20"/>
              </w:rPr>
              <w:t>January 29, 2021</w:t>
            </w:r>
          </w:p>
        </w:tc>
        <w:tc>
          <w:tcPr>
            <w:tcW w:w="527" w:type="pct"/>
          </w:tcPr>
          <w:p w14:paraId="620744DD" w14:textId="77777777" w:rsidR="00FF3D95" w:rsidRPr="00F6245D" w:rsidRDefault="00FF3D95" w:rsidP="009C1E14">
            <w:pPr>
              <w:suppressAutoHyphens/>
              <w:autoSpaceDE w:val="0"/>
              <w:autoSpaceDN w:val="0"/>
              <w:adjustRightInd w:val="0"/>
              <w:spacing w:after="0" w:line="240" w:lineRule="auto"/>
              <w:jc w:val="both"/>
              <w:textAlignment w:val="center"/>
              <w:rPr>
                <w:rFonts w:ascii="Times New Roman" w:hAnsi="Times New Roman"/>
                <w:sz w:val="20"/>
                <w:szCs w:val="20"/>
              </w:rPr>
            </w:pPr>
            <w:r w:rsidRPr="00F6245D">
              <w:rPr>
                <w:rFonts w:ascii="Times New Roman" w:hAnsi="Times New Roman"/>
                <w:sz w:val="20"/>
                <w:szCs w:val="20"/>
              </w:rPr>
              <w:t>January 29, 2025</w:t>
            </w:r>
          </w:p>
        </w:tc>
      </w:tr>
      <w:tr w:rsidR="00FF3D95" w:rsidRPr="00F6245D" w14:paraId="77523234" w14:textId="77777777" w:rsidTr="009C1E14">
        <w:trPr>
          <w:trHeight w:val="20"/>
        </w:trPr>
        <w:tc>
          <w:tcPr>
            <w:tcW w:w="262" w:type="pct"/>
            <w:vAlign w:val="center"/>
          </w:tcPr>
          <w:p w14:paraId="626E0BE7" w14:textId="77777777" w:rsidR="00FF3D95" w:rsidRPr="00F6245D" w:rsidRDefault="00FF3D95">
            <w:pPr>
              <w:numPr>
                <w:ilvl w:val="0"/>
                <w:numId w:val="351"/>
              </w:numPr>
              <w:suppressAutoHyphens/>
              <w:autoSpaceDE w:val="0"/>
              <w:autoSpaceDN w:val="0"/>
              <w:adjustRightInd w:val="0"/>
              <w:spacing w:after="0" w:line="240" w:lineRule="auto"/>
              <w:ind w:left="313"/>
              <w:jc w:val="center"/>
              <w:textAlignment w:val="center"/>
              <w:rPr>
                <w:rFonts w:ascii="Times New Roman" w:hAnsi="Times New Roman"/>
                <w:sz w:val="20"/>
                <w:szCs w:val="20"/>
              </w:rPr>
            </w:pPr>
          </w:p>
        </w:tc>
        <w:tc>
          <w:tcPr>
            <w:tcW w:w="790" w:type="pct"/>
          </w:tcPr>
          <w:p w14:paraId="32CB819F" w14:textId="77777777" w:rsidR="00FF3D95" w:rsidRPr="00F6245D" w:rsidRDefault="00FF3D95" w:rsidP="009C1E14">
            <w:pPr>
              <w:widowControl w:val="0"/>
              <w:autoSpaceDE w:val="0"/>
              <w:autoSpaceDN w:val="0"/>
              <w:adjustRightInd w:val="0"/>
              <w:spacing w:after="0" w:line="240" w:lineRule="auto"/>
              <w:contextualSpacing/>
              <w:jc w:val="both"/>
              <w:rPr>
                <w:rFonts w:ascii="Times New Roman" w:hAnsi="Times New Roman"/>
                <w:sz w:val="20"/>
                <w:szCs w:val="20"/>
              </w:rPr>
            </w:pPr>
            <w:r w:rsidRPr="00F6245D">
              <w:rPr>
                <w:rFonts w:ascii="Times New Roman" w:hAnsi="Times New Roman"/>
                <w:sz w:val="20"/>
                <w:szCs w:val="20"/>
              </w:rPr>
              <w:t>Certificate of Importer- Exporter</w:t>
            </w:r>
          </w:p>
          <w:p w14:paraId="44388F65" w14:textId="77777777" w:rsidR="00FF3D95" w:rsidRPr="00F6245D" w:rsidRDefault="00FF3D95" w:rsidP="009C1E14">
            <w:pPr>
              <w:suppressAutoHyphens/>
              <w:autoSpaceDE w:val="0"/>
              <w:autoSpaceDN w:val="0"/>
              <w:adjustRightInd w:val="0"/>
              <w:spacing w:after="0" w:line="240" w:lineRule="auto"/>
              <w:jc w:val="both"/>
              <w:textAlignment w:val="center"/>
              <w:rPr>
                <w:rFonts w:ascii="Times New Roman" w:hAnsi="Times New Roman"/>
                <w:sz w:val="20"/>
                <w:szCs w:val="20"/>
              </w:rPr>
            </w:pPr>
            <w:r w:rsidRPr="00F6245D">
              <w:rPr>
                <w:rFonts w:ascii="Times New Roman" w:hAnsi="Times New Roman"/>
                <w:sz w:val="20"/>
                <w:szCs w:val="20"/>
              </w:rPr>
              <w:t>Code (IEC)</w:t>
            </w:r>
          </w:p>
        </w:tc>
        <w:tc>
          <w:tcPr>
            <w:tcW w:w="748" w:type="pct"/>
          </w:tcPr>
          <w:p w14:paraId="48E1FF57" w14:textId="77777777" w:rsidR="00FF3D95" w:rsidRPr="00F6245D" w:rsidRDefault="00FF3D95" w:rsidP="009C1E14">
            <w:pPr>
              <w:suppressAutoHyphens/>
              <w:autoSpaceDE w:val="0"/>
              <w:autoSpaceDN w:val="0"/>
              <w:adjustRightInd w:val="0"/>
              <w:spacing w:after="0" w:line="240" w:lineRule="auto"/>
              <w:jc w:val="both"/>
              <w:textAlignment w:val="center"/>
              <w:rPr>
                <w:rFonts w:ascii="Times New Roman" w:hAnsi="Times New Roman"/>
                <w:sz w:val="20"/>
                <w:szCs w:val="20"/>
              </w:rPr>
            </w:pPr>
            <w:r w:rsidRPr="00F6245D">
              <w:rPr>
                <w:rFonts w:ascii="Times New Roman" w:hAnsi="Times New Roman"/>
                <w:color w:val="000000"/>
                <w:sz w:val="20"/>
                <w:szCs w:val="20"/>
                <w:lang w:eastAsia="zh-CN"/>
              </w:rPr>
              <w:t>Foreign Trade (Development and Regulation) Act, 1992</w:t>
            </w:r>
          </w:p>
        </w:tc>
        <w:tc>
          <w:tcPr>
            <w:tcW w:w="1105" w:type="pct"/>
          </w:tcPr>
          <w:p w14:paraId="210D8ACB" w14:textId="77777777" w:rsidR="00FF3D95" w:rsidRPr="00F6245D" w:rsidRDefault="00FF3D95" w:rsidP="009C1E14">
            <w:pPr>
              <w:widowControl w:val="0"/>
              <w:autoSpaceDE w:val="0"/>
              <w:autoSpaceDN w:val="0"/>
              <w:adjustRightInd w:val="0"/>
              <w:spacing w:after="0" w:line="240" w:lineRule="auto"/>
              <w:contextualSpacing/>
              <w:jc w:val="both"/>
              <w:rPr>
                <w:rFonts w:ascii="Times New Roman" w:hAnsi="Times New Roman"/>
                <w:color w:val="000000"/>
                <w:sz w:val="20"/>
                <w:szCs w:val="20"/>
                <w:lang w:eastAsia="zh-CN"/>
              </w:rPr>
            </w:pPr>
            <w:r w:rsidRPr="00F6245D">
              <w:rPr>
                <w:rFonts w:ascii="Times New Roman" w:hAnsi="Times New Roman"/>
                <w:color w:val="000000"/>
                <w:sz w:val="20"/>
                <w:szCs w:val="20"/>
                <w:lang w:eastAsia="zh-CN"/>
              </w:rPr>
              <w:t>Ministry of</w:t>
            </w:r>
          </w:p>
          <w:p w14:paraId="1F924D96" w14:textId="77777777" w:rsidR="00FF3D95" w:rsidRPr="00F6245D" w:rsidRDefault="00FF3D95" w:rsidP="009C1E14">
            <w:pPr>
              <w:widowControl w:val="0"/>
              <w:autoSpaceDE w:val="0"/>
              <w:autoSpaceDN w:val="0"/>
              <w:adjustRightInd w:val="0"/>
              <w:spacing w:after="0" w:line="240" w:lineRule="auto"/>
              <w:contextualSpacing/>
              <w:jc w:val="both"/>
              <w:rPr>
                <w:rFonts w:ascii="Times New Roman" w:hAnsi="Times New Roman"/>
                <w:color w:val="000000"/>
                <w:sz w:val="20"/>
                <w:szCs w:val="20"/>
                <w:lang w:eastAsia="zh-CN"/>
              </w:rPr>
            </w:pPr>
            <w:r w:rsidRPr="00F6245D">
              <w:rPr>
                <w:rFonts w:ascii="Times New Roman" w:hAnsi="Times New Roman"/>
                <w:color w:val="000000"/>
                <w:sz w:val="20"/>
                <w:szCs w:val="20"/>
                <w:lang w:eastAsia="zh-CN"/>
              </w:rPr>
              <w:t>Commerce &amp;</w:t>
            </w:r>
          </w:p>
          <w:p w14:paraId="4AB7440A" w14:textId="77777777" w:rsidR="00FF3D95" w:rsidRPr="00F6245D" w:rsidRDefault="00FF3D95" w:rsidP="009C1E14">
            <w:pPr>
              <w:suppressAutoHyphens/>
              <w:autoSpaceDE w:val="0"/>
              <w:autoSpaceDN w:val="0"/>
              <w:adjustRightInd w:val="0"/>
              <w:spacing w:after="0" w:line="240" w:lineRule="auto"/>
              <w:jc w:val="both"/>
              <w:textAlignment w:val="center"/>
              <w:rPr>
                <w:rFonts w:ascii="Times New Roman" w:hAnsi="Times New Roman"/>
                <w:sz w:val="20"/>
                <w:szCs w:val="20"/>
              </w:rPr>
            </w:pPr>
            <w:r w:rsidRPr="00F6245D">
              <w:rPr>
                <w:rFonts w:ascii="Times New Roman" w:hAnsi="Times New Roman"/>
                <w:color w:val="000000"/>
                <w:sz w:val="20"/>
                <w:szCs w:val="20"/>
                <w:lang w:eastAsia="zh-CN"/>
              </w:rPr>
              <w:t>Industry, Office of the Joint Director General of Foreign Trade, Rajkot</w:t>
            </w:r>
          </w:p>
        </w:tc>
        <w:tc>
          <w:tcPr>
            <w:tcW w:w="839" w:type="pct"/>
          </w:tcPr>
          <w:p w14:paraId="73BA1796" w14:textId="77777777" w:rsidR="00FF3D95" w:rsidRPr="00F6245D" w:rsidRDefault="00FF3D95" w:rsidP="009C1E14">
            <w:pPr>
              <w:suppressAutoHyphens/>
              <w:autoSpaceDE w:val="0"/>
              <w:autoSpaceDN w:val="0"/>
              <w:adjustRightInd w:val="0"/>
              <w:spacing w:after="0" w:line="240" w:lineRule="auto"/>
              <w:jc w:val="both"/>
              <w:textAlignment w:val="center"/>
              <w:rPr>
                <w:rFonts w:ascii="Times New Roman" w:hAnsi="Times New Roman"/>
                <w:sz w:val="20"/>
                <w:szCs w:val="20"/>
              </w:rPr>
            </w:pPr>
            <w:r w:rsidRPr="00F6245D">
              <w:rPr>
                <w:rFonts w:ascii="Times New Roman" w:hAnsi="Times New Roman"/>
                <w:color w:val="000000"/>
                <w:sz w:val="20"/>
                <w:szCs w:val="20"/>
                <w:lang w:eastAsia="zh-CN"/>
              </w:rPr>
              <w:t>2407001338</w:t>
            </w:r>
          </w:p>
        </w:tc>
        <w:tc>
          <w:tcPr>
            <w:tcW w:w="729" w:type="pct"/>
          </w:tcPr>
          <w:p w14:paraId="4527BB2B" w14:textId="77777777" w:rsidR="00FF3D95" w:rsidRPr="00F6245D" w:rsidRDefault="00FF3D95" w:rsidP="009C1E14">
            <w:pPr>
              <w:suppressAutoHyphens/>
              <w:autoSpaceDE w:val="0"/>
              <w:autoSpaceDN w:val="0"/>
              <w:adjustRightInd w:val="0"/>
              <w:spacing w:after="0" w:line="240" w:lineRule="auto"/>
              <w:jc w:val="both"/>
              <w:textAlignment w:val="center"/>
              <w:rPr>
                <w:rFonts w:ascii="Times New Roman" w:hAnsi="Times New Roman"/>
                <w:sz w:val="20"/>
                <w:szCs w:val="20"/>
              </w:rPr>
            </w:pPr>
            <w:r w:rsidRPr="00F6245D">
              <w:rPr>
                <w:rFonts w:ascii="Times New Roman" w:hAnsi="Times New Roman"/>
                <w:color w:val="000000"/>
                <w:sz w:val="20"/>
                <w:szCs w:val="20"/>
                <w:lang w:eastAsia="zh-CN"/>
              </w:rPr>
              <w:t>May 23, 2007</w:t>
            </w:r>
          </w:p>
        </w:tc>
        <w:tc>
          <w:tcPr>
            <w:tcW w:w="527" w:type="pct"/>
          </w:tcPr>
          <w:p w14:paraId="20444D32" w14:textId="77777777" w:rsidR="00FF3D95" w:rsidRPr="00F6245D" w:rsidRDefault="00FF3D95" w:rsidP="009C1E14">
            <w:pPr>
              <w:suppressAutoHyphens/>
              <w:autoSpaceDE w:val="0"/>
              <w:autoSpaceDN w:val="0"/>
              <w:adjustRightInd w:val="0"/>
              <w:spacing w:after="0" w:line="240" w:lineRule="auto"/>
              <w:jc w:val="both"/>
              <w:textAlignment w:val="center"/>
              <w:rPr>
                <w:rFonts w:ascii="Times New Roman" w:hAnsi="Times New Roman"/>
                <w:sz w:val="20"/>
                <w:szCs w:val="20"/>
              </w:rPr>
            </w:pPr>
            <w:r w:rsidRPr="00F6245D">
              <w:rPr>
                <w:rFonts w:ascii="Times New Roman" w:hAnsi="Times New Roman"/>
                <w:color w:val="000000"/>
                <w:sz w:val="20"/>
                <w:szCs w:val="20"/>
                <w:lang w:eastAsia="zh-CN"/>
              </w:rPr>
              <w:t>Valid until cancelled</w:t>
            </w:r>
          </w:p>
        </w:tc>
      </w:tr>
      <w:tr w:rsidR="00FF3D95" w:rsidRPr="00F6245D" w14:paraId="16BDAF82" w14:textId="77777777" w:rsidTr="009C1E14">
        <w:trPr>
          <w:trHeight w:val="20"/>
        </w:trPr>
        <w:tc>
          <w:tcPr>
            <w:tcW w:w="262" w:type="pct"/>
            <w:vAlign w:val="center"/>
          </w:tcPr>
          <w:p w14:paraId="275CFA31" w14:textId="77777777" w:rsidR="00FF3D95" w:rsidRPr="00F6245D" w:rsidRDefault="00FF3D95">
            <w:pPr>
              <w:numPr>
                <w:ilvl w:val="0"/>
                <w:numId w:val="351"/>
              </w:numPr>
              <w:suppressAutoHyphens/>
              <w:autoSpaceDE w:val="0"/>
              <w:autoSpaceDN w:val="0"/>
              <w:adjustRightInd w:val="0"/>
              <w:spacing w:after="0" w:line="240" w:lineRule="auto"/>
              <w:ind w:left="313"/>
              <w:jc w:val="center"/>
              <w:textAlignment w:val="center"/>
              <w:rPr>
                <w:rFonts w:ascii="Times New Roman" w:hAnsi="Times New Roman"/>
                <w:sz w:val="20"/>
                <w:szCs w:val="20"/>
              </w:rPr>
            </w:pPr>
          </w:p>
        </w:tc>
        <w:tc>
          <w:tcPr>
            <w:tcW w:w="790" w:type="pct"/>
            <w:vAlign w:val="center"/>
          </w:tcPr>
          <w:p w14:paraId="34F6E2AC" w14:textId="77777777" w:rsidR="00FF3D95" w:rsidRPr="00F6245D" w:rsidRDefault="00FF3D95" w:rsidP="009C1E14">
            <w:pPr>
              <w:spacing w:after="0" w:line="240" w:lineRule="auto"/>
              <w:jc w:val="both"/>
              <w:rPr>
                <w:rFonts w:ascii="Times New Roman" w:hAnsi="Times New Roman"/>
                <w:sz w:val="20"/>
                <w:szCs w:val="20"/>
              </w:rPr>
            </w:pPr>
            <w:r w:rsidRPr="00F6245D">
              <w:rPr>
                <w:rFonts w:ascii="Times New Roman" w:hAnsi="Times New Roman"/>
                <w:color w:val="000000"/>
                <w:sz w:val="20"/>
                <w:szCs w:val="20"/>
                <w:lang w:eastAsia="zh-CN"/>
              </w:rPr>
              <w:t>Registration under Employees’ Provident Funds</w:t>
            </w:r>
          </w:p>
        </w:tc>
        <w:tc>
          <w:tcPr>
            <w:tcW w:w="748" w:type="pct"/>
            <w:vAlign w:val="center"/>
          </w:tcPr>
          <w:p w14:paraId="7E62B526" w14:textId="77777777" w:rsidR="00FF3D95" w:rsidRPr="00F6245D" w:rsidRDefault="00FF3D95" w:rsidP="009C1E14">
            <w:pPr>
              <w:suppressAutoHyphens/>
              <w:autoSpaceDE w:val="0"/>
              <w:autoSpaceDN w:val="0"/>
              <w:adjustRightInd w:val="0"/>
              <w:spacing w:after="0" w:line="240" w:lineRule="auto"/>
              <w:jc w:val="both"/>
              <w:textAlignment w:val="center"/>
              <w:rPr>
                <w:rFonts w:ascii="Times New Roman" w:hAnsi="Times New Roman"/>
                <w:sz w:val="20"/>
                <w:szCs w:val="20"/>
              </w:rPr>
            </w:pPr>
            <w:r w:rsidRPr="00F6245D">
              <w:rPr>
                <w:rFonts w:ascii="Times New Roman" w:hAnsi="Times New Roman"/>
                <w:color w:val="000000"/>
                <w:sz w:val="20"/>
                <w:szCs w:val="20"/>
                <w:lang w:eastAsia="zh-CN"/>
              </w:rPr>
              <w:t>Employees (Provident Fund and Miscellaneous Provisions) Act, 1952</w:t>
            </w:r>
          </w:p>
        </w:tc>
        <w:tc>
          <w:tcPr>
            <w:tcW w:w="1105" w:type="pct"/>
            <w:vAlign w:val="center"/>
          </w:tcPr>
          <w:p w14:paraId="2BCC7CC0" w14:textId="77777777" w:rsidR="00FF3D95" w:rsidRPr="00F6245D" w:rsidRDefault="00FF3D95" w:rsidP="009C1E14">
            <w:pPr>
              <w:suppressAutoHyphens/>
              <w:autoSpaceDE w:val="0"/>
              <w:autoSpaceDN w:val="0"/>
              <w:adjustRightInd w:val="0"/>
              <w:spacing w:after="0" w:line="240" w:lineRule="auto"/>
              <w:jc w:val="both"/>
              <w:textAlignment w:val="center"/>
              <w:rPr>
                <w:rFonts w:ascii="Times New Roman" w:hAnsi="Times New Roman"/>
                <w:sz w:val="20"/>
                <w:szCs w:val="20"/>
              </w:rPr>
            </w:pPr>
            <w:r w:rsidRPr="00F6245D">
              <w:rPr>
                <w:rFonts w:ascii="Times New Roman" w:hAnsi="Times New Roman"/>
                <w:color w:val="000000"/>
                <w:sz w:val="20"/>
                <w:szCs w:val="20"/>
                <w:lang w:eastAsia="zh-CN"/>
              </w:rPr>
              <w:t>Employees' Provident Fund Organisation</w:t>
            </w:r>
          </w:p>
        </w:tc>
        <w:tc>
          <w:tcPr>
            <w:tcW w:w="839" w:type="pct"/>
            <w:vAlign w:val="center"/>
          </w:tcPr>
          <w:p w14:paraId="5EDA94A9" w14:textId="77777777" w:rsidR="00FF3D95" w:rsidRPr="00F6245D" w:rsidRDefault="00FF3D95" w:rsidP="009C1E14">
            <w:pPr>
              <w:suppressAutoHyphens/>
              <w:autoSpaceDE w:val="0"/>
              <w:autoSpaceDN w:val="0"/>
              <w:adjustRightInd w:val="0"/>
              <w:spacing w:after="0" w:line="240" w:lineRule="auto"/>
              <w:jc w:val="both"/>
              <w:textAlignment w:val="center"/>
              <w:rPr>
                <w:rFonts w:ascii="Times New Roman" w:hAnsi="Times New Roman"/>
                <w:sz w:val="20"/>
                <w:szCs w:val="20"/>
              </w:rPr>
            </w:pPr>
            <w:r w:rsidRPr="00F6245D">
              <w:rPr>
                <w:rFonts w:ascii="Times New Roman" w:hAnsi="Times New Roman"/>
                <w:sz w:val="20"/>
                <w:szCs w:val="20"/>
              </w:rPr>
              <w:t>GJRAJ2674386000</w:t>
            </w:r>
          </w:p>
        </w:tc>
        <w:tc>
          <w:tcPr>
            <w:tcW w:w="729" w:type="pct"/>
            <w:vAlign w:val="center"/>
          </w:tcPr>
          <w:p w14:paraId="0285F91B" w14:textId="77777777" w:rsidR="00FF3D95" w:rsidRPr="00F6245D" w:rsidRDefault="00FF3D95" w:rsidP="009C1E14">
            <w:pPr>
              <w:suppressAutoHyphens/>
              <w:autoSpaceDE w:val="0"/>
              <w:autoSpaceDN w:val="0"/>
              <w:adjustRightInd w:val="0"/>
              <w:spacing w:after="0" w:line="240" w:lineRule="auto"/>
              <w:jc w:val="both"/>
              <w:textAlignment w:val="center"/>
              <w:rPr>
                <w:rFonts w:ascii="Times New Roman" w:hAnsi="Times New Roman"/>
                <w:sz w:val="20"/>
                <w:szCs w:val="20"/>
              </w:rPr>
            </w:pPr>
            <w:r w:rsidRPr="00F6245D">
              <w:rPr>
                <w:rFonts w:ascii="Times New Roman" w:hAnsi="Times New Roman"/>
                <w:sz w:val="20"/>
                <w:szCs w:val="20"/>
              </w:rPr>
              <w:t>June 01, 2022</w:t>
            </w:r>
          </w:p>
        </w:tc>
        <w:tc>
          <w:tcPr>
            <w:tcW w:w="527" w:type="pct"/>
            <w:vAlign w:val="center"/>
          </w:tcPr>
          <w:p w14:paraId="68B22EE3" w14:textId="77777777" w:rsidR="00FF3D95" w:rsidRPr="00F6245D" w:rsidRDefault="00FF3D95" w:rsidP="009C1E14">
            <w:pPr>
              <w:suppressAutoHyphens/>
              <w:autoSpaceDE w:val="0"/>
              <w:autoSpaceDN w:val="0"/>
              <w:adjustRightInd w:val="0"/>
              <w:spacing w:after="0" w:line="240" w:lineRule="auto"/>
              <w:jc w:val="both"/>
              <w:textAlignment w:val="center"/>
              <w:rPr>
                <w:rFonts w:ascii="Times New Roman" w:hAnsi="Times New Roman"/>
                <w:sz w:val="20"/>
                <w:szCs w:val="20"/>
              </w:rPr>
            </w:pPr>
            <w:r w:rsidRPr="00F6245D">
              <w:rPr>
                <w:rFonts w:ascii="Times New Roman" w:hAnsi="Times New Roman"/>
                <w:color w:val="000000"/>
                <w:sz w:val="20"/>
                <w:szCs w:val="20"/>
                <w:lang w:eastAsia="zh-CN"/>
              </w:rPr>
              <w:t>Valid until cancelled</w:t>
            </w:r>
            <w:r w:rsidRPr="00F6245D">
              <w:rPr>
                <w:rFonts w:ascii="Times New Roman" w:hAnsi="Times New Roman"/>
                <w:sz w:val="20"/>
                <w:szCs w:val="20"/>
              </w:rPr>
              <w:t xml:space="preserve"> </w:t>
            </w:r>
          </w:p>
        </w:tc>
      </w:tr>
    </w:tbl>
    <w:p w14:paraId="0602CE12" w14:textId="77777777" w:rsidR="00FF3D95" w:rsidRPr="00712F3C" w:rsidRDefault="00FF3D95">
      <w:pPr>
        <w:widowControl w:val="0"/>
        <w:numPr>
          <w:ilvl w:val="0"/>
          <w:numId w:val="348"/>
        </w:numPr>
        <w:tabs>
          <w:tab w:val="left" w:pos="688"/>
          <w:tab w:val="left" w:pos="689"/>
        </w:tabs>
        <w:spacing w:after="0" w:line="240" w:lineRule="auto"/>
        <w:ind w:right="-16"/>
        <w:jc w:val="both"/>
        <w:outlineLvl w:val="2"/>
        <w:rPr>
          <w:rFonts w:ascii="Times New Roman" w:hAnsi="Times New Roman"/>
          <w:b/>
          <w:bCs/>
          <w:sz w:val="20"/>
          <w:szCs w:val="20"/>
          <w:u w:val="single"/>
          <w:lang w:bidi="en-US"/>
        </w:rPr>
      </w:pPr>
      <w:r w:rsidRPr="00712F3C">
        <w:rPr>
          <w:rFonts w:ascii="Times New Roman" w:hAnsi="Times New Roman"/>
          <w:b/>
          <w:bCs/>
          <w:sz w:val="20"/>
          <w:szCs w:val="20"/>
          <w:u w:val="single"/>
          <w:lang w:bidi="en-US"/>
        </w:rPr>
        <w:lastRenderedPageBreak/>
        <w:t>ENVIRONMENTAL LAW RELATED APPROVALS:</w:t>
      </w:r>
    </w:p>
    <w:p w14:paraId="34A832BA" w14:textId="77777777" w:rsidR="00FF3D95" w:rsidRPr="00712F3C" w:rsidRDefault="00FF3D95" w:rsidP="00FF3D95">
      <w:pPr>
        <w:tabs>
          <w:tab w:val="left" w:pos="688"/>
          <w:tab w:val="left" w:pos="689"/>
        </w:tabs>
        <w:spacing w:after="0" w:line="240" w:lineRule="auto"/>
        <w:ind w:left="1080" w:right="-16"/>
        <w:jc w:val="both"/>
        <w:outlineLvl w:val="2"/>
        <w:rPr>
          <w:rFonts w:ascii="Times New Roman" w:hAnsi="Times New Roman"/>
          <w:b/>
          <w:bCs/>
          <w:sz w:val="20"/>
          <w:szCs w:val="20"/>
          <w:u w:val="single"/>
          <w:lang w:bidi="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2"/>
        <w:gridCol w:w="2453"/>
        <w:gridCol w:w="2250"/>
        <w:gridCol w:w="1261"/>
        <w:gridCol w:w="1370"/>
        <w:gridCol w:w="1330"/>
        <w:gridCol w:w="1190"/>
      </w:tblGrid>
      <w:tr w:rsidR="00FF3D95" w:rsidRPr="00712F3C" w14:paraId="676D67CA" w14:textId="77777777" w:rsidTr="009C1E14">
        <w:trPr>
          <w:trHeight w:val="20"/>
          <w:tblHeader/>
        </w:trPr>
        <w:tc>
          <w:tcPr>
            <w:tcW w:w="288" w:type="pct"/>
            <w:shd w:val="clear" w:color="auto" w:fill="D0CECE" w:themeFill="background2" w:themeFillShade="E6"/>
            <w:vAlign w:val="center"/>
          </w:tcPr>
          <w:p w14:paraId="33AEC72A" w14:textId="77777777" w:rsidR="00FF3D95" w:rsidRPr="00712F3C" w:rsidRDefault="00FF3D95" w:rsidP="009C1E14">
            <w:pPr>
              <w:suppressAutoHyphens/>
              <w:autoSpaceDE w:val="0"/>
              <w:autoSpaceDN w:val="0"/>
              <w:adjustRightInd w:val="0"/>
              <w:spacing w:after="0" w:line="240" w:lineRule="auto"/>
              <w:jc w:val="both"/>
              <w:textAlignment w:val="center"/>
              <w:rPr>
                <w:rFonts w:ascii="Times New Roman" w:hAnsi="Times New Roman"/>
                <w:b/>
                <w:color w:val="000000"/>
                <w:sz w:val="20"/>
                <w:szCs w:val="20"/>
              </w:rPr>
            </w:pPr>
            <w:r w:rsidRPr="00712F3C">
              <w:rPr>
                <w:rFonts w:ascii="Times New Roman" w:hAnsi="Times New Roman"/>
                <w:b/>
                <w:color w:val="000000"/>
                <w:sz w:val="20"/>
                <w:szCs w:val="20"/>
              </w:rPr>
              <w:t>Sr. No</w:t>
            </w:r>
          </w:p>
        </w:tc>
        <w:tc>
          <w:tcPr>
            <w:tcW w:w="1173" w:type="pct"/>
            <w:shd w:val="clear" w:color="auto" w:fill="D0CECE" w:themeFill="background2" w:themeFillShade="E6"/>
            <w:vAlign w:val="center"/>
          </w:tcPr>
          <w:p w14:paraId="531B5592" w14:textId="77777777" w:rsidR="00FF3D95" w:rsidRPr="00712F3C" w:rsidRDefault="00FF3D95" w:rsidP="009C1E14">
            <w:pPr>
              <w:suppressAutoHyphens/>
              <w:autoSpaceDE w:val="0"/>
              <w:autoSpaceDN w:val="0"/>
              <w:adjustRightInd w:val="0"/>
              <w:spacing w:after="0" w:line="240" w:lineRule="auto"/>
              <w:jc w:val="both"/>
              <w:textAlignment w:val="center"/>
              <w:rPr>
                <w:rFonts w:ascii="Times New Roman" w:hAnsi="Times New Roman"/>
                <w:b/>
                <w:color w:val="000000"/>
                <w:sz w:val="20"/>
                <w:szCs w:val="20"/>
              </w:rPr>
            </w:pPr>
            <w:r w:rsidRPr="00712F3C">
              <w:rPr>
                <w:rFonts w:ascii="Times New Roman" w:hAnsi="Times New Roman"/>
                <w:b/>
                <w:color w:val="000000"/>
                <w:sz w:val="20"/>
                <w:szCs w:val="20"/>
              </w:rPr>
              <w:t>Description</w:t>
            </w:r>
          </w:p>
        </w:tc>
        <w:tc>
          <w:tcPr>
            <w:tcW w:w="1076" w:type="pct"/>
            <w:shd w:val="clear" w:color="auto" w:fill="D0CECE" w:themeFill="background2" w:themeFillShade="E6"/>
            <w:vAlign w:val="center"/>
          </w:tcPr>
          <w:p w14:paraId="5AAEAE89" w14:textId="77777777" w:rsidR="00FF3D95" w:rsidRPr="00712F3C" w:rsidRDefault="00FF3D95" w:rsidP="009C1E14">
            <w:pPr>
              <w:suppressAutoHyphens/>
              <w:autoSpaceDE w:val="0"/>
              <w:autoSpaceDN w:val="0"/>
              <w:adjustRightInd w:val="0"/>
              <w:spacing w:after="0" w:line="240" w:lineRule="auto"/>
              <w:jc w:val="both"/>
              <w:textAlignment w:val="center"/>
              <w:rPr>
                <w:rFonts w:ascii="Times New Roman" w:hAnsi="Times New Roman"/>
                <w:b/>
                <w:color w:val="000000"/>
                <w:sz w:val="20"/>
                <w:szCs w:val="20"/>
              </w:rPr>
            </w:pPr>
            <w:r w:rsidRPr="00712F3C">
              <w:rPr>
                <w:rFonts w:ascii="Times New Roman" w:hAnsi="Times New Roman"/>
                <w:b/>
                <w:color w:val="000000"/>
                <w:sz w:val="20"/>
                <w:szCs w:val="20"/>
              </w:rPr>
              <w:t>Applicable law</w:t>
            </w:r>
          </w:p>
        </w:tc>
        <w:tc>
          <w:tcPr>
            <w:tcW w:w="603" w:type="pct"/>
            <w:shd w:val="clear" w:color="auto" w:fill="D0CECE" w:themeFill="background2" w:themeFillShade="E6"/>
            <w:vAlign w:val="center"/>
          </w:tcPr>
          <w:p w14:paraId="7A6A9834" w14:textId="77777777" w:rsidR="00FF3D95" w:rsidRPr="00712F3C" w:rsidRDefault="00FF3D95" w:rsidP="009C1E14">
            <w:pPr>
              <w:suppressAutoHyphens/>
              <w:autoSpaceDE w:val="0"/>
              <w:autoSpaceDN w:val="0"/>
              <w:adjustRightInd w:val="0"/>
              <w:spacing w:after="0" w:line="240" w:lineRule="auto"/>
              <w:jc w:val="both"/>
              <w:textAlignment w:val="center"/>
              <w:rPr>
                <w:rFonts w:ascii="Times New Roman" w:hAnsi="Times New Roman"/>
                <w:b/>
                <w:color w:val="000000"/>
                <w:sz w:val="20"/>
                <w:szCs w:val="20"/>
              </w:rPr>
            </w:pPr>
            <w:r w:rsidRPr="00CA0713">
              <w:rPr>
                <w:rFonts w:ascii="Times New Roman" w:hAnsi="Times New Roman"/>
                <w:b/>
                <w:sz w:val="20"/>
                <w:szCs w:val="20"/>
              </w:rPr>
              <w:t xml:space="preserve">Issuing </w:t>
            </w:r>
            <w:r w:rsidRPr="00712F3C">
              <w:rPr>
                <w:rFonts w:ascii="Times New Roman" w:hAnsi="Times New Roman"/>
                <w:b/>
                <w:color w:val="000000"/>
                <w:sz w:val="20"/>
                <w:szCs w:val="20"/>
              </w:rPr>
              <w:t>Authority</w:t>
            </w:r>
          </w:p>
        </w:tc>
        <w:tc>
          <w:tcPr>
            <w:tcW w:w="655" w:type="pct"/>
            <w:shd w:val="clear" w:color="auto" w:fill="D0CECE" w:themeFill="background2" w:themeFillShade="E6"/>
            <w:vAlign w:val="center"/>
          </w:tcPr>
          <w:p w14:paraId="665E0C4F" w14:textId="77777777" w:rsidR="00FF3D95" w:rsidRPr="00712F3C" w:rsidRDefault="00FF3D95" w:rsidP="009C1E14">
            <w:pPr>
              <w:suppressAutoHyphens/>
              <w:autoSpaceDE w:val="0"/>
              <w:autoSpaceDN w:val="0"/>
              <w:adjustRightInd w:val="0"/>
              <w:spacing w:after="0" w:line="240" w:lineRule="auto"/>
              <w:jc w:val="both"/>
              <w:textAlignment w:val="center"/>
              <w:rPr>
                <w:rFonts w:ascii="Times New Roman" w:hAnsi="Times New Roman"/>
                <w:b/>
                <w:color w:val="000000"/>
                <w:sz w:val="20"/>
                <w:szCs w:val="20"/>
              </w:rPr>
            </w:pPr>
            <w:r w:rsidRPr="00712F3C">
              <w:rPr>
                <w:rFonts w:ascii="Times New Roman" w:hAnsi="Times New Roman"/>
                <w:b/>
                <w:color w:val="000000"/>
                <w:sz w:val="20"/>
                <w:szCs w:val="20"/>
              </w:rPr>
              <w:t>Registration number</w:t>
            </w:r>
          </w:p>
        </w:tc>
        <w:tc>
          <w:tcPr>
            <w:tcW w:w="636" w:type="pct"/>
            <w:shd w:val="clear" w:color="auto" w:fill="D0CECE" w:themeFill="background2" w:themeFillShade="E6"/>
            <w:vAlign w:val="center"/>
          </w:tcPr>
          <w:p w14:paraId="410B11A2" w14:textId="77777777" w:rsidR="00FF3D95" w:rsidRPr="00712F3C" w:rsidRDefault="00FF3D95" w:rsidP="009C1E14">
            <w:pPr>
              <w:suppressAutoHyphens/>
              <w:autoSpaceDE w:val="0"/>
              <w:autoSpaceDN w:val="0"/>
              <w:adjustRightInd w:val="0"/>
              <w:spacing w:after="0" w:line="240" w:lineRule="auto"/>
              <w:jc w:val="both"/>
              <w:textAlignment w:val="center"/>
              <w:rPr>
                <w:rFonts w:ascii="Times New Roman" w:hAnsi="Times New Roman"/>
                <w:b/>
                <w:color w:val="000000"/>
                <w:sz w:val="20"/>
                <w:szCs w:val="20"/>
              </w:rPr>
            </w:pPr>
            <w:r w:rsidRPr="00712F3C">
              <w:rPr>
                <w:rFonts w:ascii="Times New Roman" w:hAnsi="Times New Roman"/>
                <w:b/>
                <w:color w:val="000000"/>
                <w:sz w:val="20"/>
                <w:szCs w:val="20"/>
              </w:rPr>
              <w:t>Date of Certificate</w:t>
            </w:r>
          </w:p>
        </w:tc>
        <w:tc>
          <w:tcPr>
            <w:tcW w:w="569" w:type="pct"/>
            <w:shd w:val="clear" w:color="auto" w:fill="D0CECE" w:themeFill="background2" w:themeFillShade="E6"/>
            <w:vAlign w:val="center"/>
          </w:tcPr>
          <w:p w14:paraId="60B05302" w14:textId="77777777" w:rsidR="00FF3D95" w:rsidRPr="00712F3C" w:rsidRDefault="00FF3D95" w:rsidP="009C1E14">
            <w:pPr>
              <w:suppressAutoHyphens/>
              <w:autoSpaceDE w:val="0"/>
              <w:autoSpaceDN w:val="0"/>
              <w:adjustRightInd w:val="0"/>
              <w:spacing w:after="0" w:line="240" w:lineRule="auto"/>
              <w:jc w:val="both"/>
              <w:textAlignment w:val="center"/>
              <w:rPr>
                <w:rFonts w:ascii="Times New Roman" w:hAnsi="Times New Roman"/>
                <w:b/>
                <w:color w:val="000000"/>
                <w:sz w:val="20"/>
                <w:szCs w:val="20"/>
              </w:rPr>
            </w:pPr>
            <w:r w:rsidRPr="00712F3C">
              <w:rPr>
                <w:rFonts w:ascii="Times New Roman" w:hAnsi="Times New Roman"/>
                <w:b/>
                <w:color w:val="000000"/>
                <w:sz w:val="20"/>
                <w:szCs w:val="20"/>
              </w:rPr>
              <w:t>Date of Expiry</w:t>
            </w:r>
          </w:p>
        </w:tc>
      </w:tr>
      <w:tr w:rsidR="00FF3D95" w:rsidRPr="00712F3C" w14:paraId="7474CF9B" w14:textId="77777777" w:rsidTr="009C1E14">
        <w:trPr>
          <w:trHeight w:val="20"/>
        </w:trPr>
        <w:tc>
          <w:tcPr>
            <w:tcW w:w="288" w:type="pct"/>
            <w:vAlign w:val="center"/>
          </w:tcPr>
          <w:p w14:paraId="6B339815" w14:textId="77777777" w:rsidR="00FF3D95" w:rsidRPr="00712F3C" w:rsidRDefault="00FF3D95">
            <w:pPr>
              <w:numPr>
                <w:ilvl w:val="0"/>
                <w:numId w:val="353"/>
              </w:numPr>
              <w:suppressAutoHyphens/>
              <w:autoSpaceDE w:val="0"/>
              <w:autoSpaceDN w:val="0"/>
              <w:adjustRightInd w:val="0"/>
              <w:spacing w:after="0" w:line="240" w:lineRule="auto"/>
              <w:ind w:left="313"/>
              <w:jc w:val="right"/>
              <w:textAlignment w:val="center"/>
              <w:rPr>
                <w:rFonts w:ascii="Times New Roman" w:hAnsi="Times New Roman"/>
                <w:sz w:val="20"/>
                <w:szCs w:val="20"/>
              </w:rPr>
            </w:pPr>
          </w:p>
        </w:tc>
        <w:tc>
          <w:tcPr>
            <w:tcW w:w="1173" w:type="pct"/>
            <w:vAlign w:val="center"/>
          </w:tcPr>
          <w:p w14:paraId="355E4674" w14:textId="77777777" w:rsidR="00FF3D95" w:rsidRPr="00CA0713" w:rsidRDefault="00FF3D95" w:rsidP="009C1E14">
            <w:pPr>
              <w:widowControl w:val="0"/>
              <w:autoSpaceDE w:val="0"/>
              <w:autoSpaceDN w:val="0"/>
              <w:adjustRightInd w:val="0"/>
              <w:spacing w:after="0" w:line="240" w:lineRule="auto"/>
              <w:contextualSpacing/>
              <w:jc w:val="both"/>
              <w:rPr>
                <w:rFonts w:ascii="Times New Roman" w:hAnsi="Times New Roman"/>
                <w:color w:val="000000"/>
                <w:sz w:val="20"/>
                <w:szCs w:val="20"/>
                <w:lang w:eastAsia="zh-CN"/>
              </w:rPr>
            </w:pPr>
            <w:r w:rsidRPr="00CA0713">
              <w:rPr>
                <w:rFonts w:ascii="Times New Roman" w:hAnsi="Times New Roman"/>
                <w:color w:val="000000"/>
                <w:sz w:val="20"/>
                <w:szCs w:val="20"/>
                <w:lang w:eastAsia="zh-CN"/>
              </w:rPr>
              <w:t>Authorisation as importer for importing Non</w:t>
            </w:r>
            <w:r>
              <w:rPr>
                <w:rFonts w:ascii="Times New Roman" w:hAnsi="Times New Roman"/>
                <w:color w:val="000000"/>
                <w:sz w:val="20"/>
                <w:szCs w:val="20"/>
                <w:lang w:eastAsia="zh-CN"/>
              </w:rPr>
              <w:t>-</w:t>
            </w:r>
            <w:r w:rsidRPr="00CA0713">
              <w:rPr>
                <w:rFonts w:ascii="Times New Roman" w:hAnsi="Times New Roman"/>
                <w:color w:val="000000"/>
                <w:sz w:val="20"/>
                <w:szCs w:val="20"/>
                <w:lang w:eastAsia="zh-CN"/>
              </w:rPr>
              <w:t>Hazardous Waste</w:t>
            </w:r>
          </w:p>
          <w:p w14:paraId="7CC1AE79" w14:textId="77777777" w:rsidR="00FF3D95" w:rsidRPr="00CA0713" w:rsidRDefault="00FF3D95" w:rsidP="009C1E14">
            <w:pPr>
              <w:widowControl w:val="0"/>
              <w:autoSpaceDE w:val="0"/>
              <w:autoSpaceDN w:val="0"/>
              <w:adjustRightInd w:val="0"/>
              <w:spacing w:after="0" w:line="240" w:lineRule="auto"/>
              <w:contextualSpacing/>
              <w:jc w:val="both"/>
              <w:rPr>
                <w:rFonts w:ascii="Times New Roman" w:hAnsi="Times New Roman"/>
                <w:color w:val="000000"/>
                <w:sz w:val="20"/>
                <w:szCs w:val="20"/>
                <w:lang w:eastAsia="zh-CN"/>
              </w:rPr>
            </w:pPr>
          </w:p>
          <w:p w14:paraId="2D4F4C19" w14:textId="77777777" w:rsidR="00FF3D95" w:rsidRPr="00CA0713" w:rsidRDefault="00FF3D95" w:rsidP="009C1E14">
            <w:pPr>
              <w:widowControl w:val="0"/>
              <w:autoSpaceDE w:val="0"/>
              <w:autoSpaceDN w:val="0"/>
              <w:adjustRightInd w:val="0"/>
              <w:spacing w:after="0" w:line="240" w:lineRule="auto"/>
              <w:contextualSpacing/>
              <w:jc w:val="both"/>
              <w:rPr>
                <w:rFonts w:ascii="Times New Roman" w:hAnsi="Times New Roman"/>
                <w:sz w:val="20"/>
                <w:szCs w:val="20"/>
              </w:rPr>
            </w:pPr>
            <w:r w:rsidRPr="00CA0713">
              <w:rPr>
                <w:rFonts w:ascii="Times New Roman" w:hAnsi="Times New Roman"/>
                <w:sz w:val="20"/>
                <w:szCs w:val="20"/>
              </w:rPr>
              <w:t>Address: Plot 10, Naghedi, Post-Khodiyar Colony, Lakhabavad – 361006</w:t>
            </w:r>
          </w:p>
          <w:p w14:paraId="56272389" w14:textId="77777777" w:rsidR="00FF3D95" w:rsidRPr="00712F3C" w:rsidRDefault="00FF3D95" w:rsidP="009C1E14">
            <w:pPr>
              <w:suppressAutoHyphens/>
              <w:autoSpaceDE w:val="0"/>
              <w:autoSpaceDN w:val="0"/>
              <w:adjustRightInd w:val="0"/>
              <w:spacing w:after="0" w:line="240" w:lineRule="auto"/>
              <w:jc w:val="both"/>
              <w:textAlignment w:val="center"/>
              <w:rPr>
                <w:rFonts w:ascii="Times New Roman" w:hAnsi="Times New Roman"/>
                <w:sz w:val="20"/>
                <w:szCs w:val="20"/>
              </w:rPr>
            </w:pPr>
            <w:r w:rsidRPr="00CA0713">
              <w:rPr>
                <w:rFonts w:ascii="Times New Roman" w:hAnsi="Times New Roman"/>
                <w:sz w:val="20"/>
                <w:szCs w:val="20"/>
              </w:rPr>
              <w:t>Dist. Jamnagar</w:t>
            </w:r>
          </w:p>
        </w:tc>
        <w:tc>
          <w:tcPr>
            <w:tcW w:w="1076" w:type="pct"/>
            <w:vAlign w:val="center"/>
          </w:tcPr>
          <w:p w14:paraId="368B3169" w14:textId="77777777" w:rsidR="00FF3D95" w:rsidRPr="00712F3C" w:rsidRDefault="00FF3D95" w:rsidP="009C1E14">
            <w:pPr>
              <w:suppressAutoHyphens/>
              <w:autoSpaceDE w:val="0"/>
              <w:autoSpaceDN w:val="0"/>
              <w:adjustRightInd w:val="0"/>
              <w:spacing w:after="0" w:line="240" w:lineRule="auto"/>
              <w:jc w:val="both"/>
              <w:textAlignment w:val="center"/>
              <w:rPr>
                <w:rFonts w:ascii="Times New Roman" w:hAnsi="Times New Roman"/>
                <w:sz w:val="20"/>
                <w:szCs w:val="20"/>
              </w:rPr>
            </w:pPr>
            <w:r w:rsidRPr="00CA0713">
              <w:rPr>
                <w:rFonts w:ascii="Times New Roman" w:hAnsi="Times New Roman"/>
                <w:color w:val="000000"/>
                <w:sz w:val="20"/>
                <w:szCs w:val="20"/>
                <w:lang w:eastAsia="zh-CN"/>
              </w:rPr>
              <w:t>Schedule III, Part D of Hazardous and Other Waste (Management and Transboundry Movement) Rules, 2016</w:t>
            </w:r>
          </w:p>
        </w:tc>
        <w:tc>
          <w:tcPr>
            <w:tcW w:w="603" w:type="pct"/>
            <w:vAlign w:val="center"/>
          </w:tcPr>
          <w:p w14:paraId="14F35F8A" w14:textId="77777777" w:rsidR="00FF3D95" w:rsidRPr="00712F3C" w:rsidRDefault="00FF3D95" w:rsidP="009C1E14">
            <w:pPr>
              <w:suppressAutoHyphens/>
              <w:autoSpaceDE w:val="0"/>
              <w:autoSpaceDN w:val="0"/>
              <w:adjustRightInd w:val="0"/>
              <w:spacing w:after="0" w:line="240" w:lineRule="auto"/>
              <w:jc w:val="both"/>
              <w:textAlignment w:val="center"/>
              <w:rPr>
                <w:rFonts w:ascii="Times New Roman" w:hAnsi="Times New Roman"/>
                <w:sz w:val="20"/>
                <w:szCs w:val="20"/>
              </w:rPr>
            </w:pPr>
            <w:r w:rsidRPr="00CA0713">
              <w:rPr>
                <w:rFonts w:ascii="Times New Roman" w:hAnsi="Times New Roman"/>
                <w:sz w:val="20"/>
                <w:szCs w:val="20"/>
              </w:rPr>
              <w:t>Gujarat Pollution Control Board- Unit Head- Hazardous Waste Cell</w:t>
            </w:r>
          </w:p>
        </w:tc>
        <w:tc>
          <w:tcPr>
            <w:tcW w:w="655" w:type="pct"/>
            <w:vAlign w:val="center"/>
          </w:tcPr>
          <w:p w14:paraId="57A4F52B" w14:textId="77777777" w:rsidR="00FF3D95" w:rsidRPr="008D1EB0" w:rsidRDefault="00FF3D95" w:rsidP="009C1E14">
            <w:pPr>
              <w:suppressAutoHyphens/>
              <w:autoSpaceDE w:val="0"/>
              <w:autoSpaceDN w:val="0"/>
              <w:adjustRightInd w:val="0"/>
              <w:spacing w:after="0" w:line="240" w:lineRule="auto"/>
              <w:jc w:val="center"/>
              <w:textAlignment w:val="center"/>
              <w:rPr>
                <w:rFonts w:ascii="Times New Roman" w:hAnsi="Times New Roman"/>
                <w:sz w:val="20"/>
                <w:szCs w:val="20"/>
                <w:lang w:val="pt-BR"/>
              </w:rPr>
            </w:pPr>
            <w:r w:rsidRPr="00424BAE">
              <w:rPr>
                <w:rFonts w:ascii="Times New Roman" w:hAnsi="Times New Roman"/>
                <w:color w:val="000000"/>
                <w:sz w:val="20"/>
                <w:szCs w:val="20"/>
                <w:lang w:val="pt-BR" w:eastAsia="zh-CN"/>
              </w:rPr>
              <w:t>No. GPCB/HAZ-R-JMN-655/744724</w:t>
            </w:r>
          </w:p>
        </w:tc>
        <w:tc>
          <w:tcPr>
            <w:tcW w:w="636" w:type="pct"/>
            <w:vAlign w:val="center"/>
          </w:tcPr>
          <w:p w14:paraId="6E5E49C3" w14:textId="77777777" w:rsidR="00FF3D95" w:rsidRPr="00712F3C" w:rsidRDefault="00FF3D95" w:rsidP="009C1E14">
            <w:pPr>
              <w:suppressAutoHyphens/>
              <w:autoSpaceDE w:val="0"/>
              <w:autoSpaceDN w:val="0"/>
              <w:adjustRightInd w:val="0"/>
              <w:spacing w:after="0" w:line="240" w:lineRule="auto"/>
              <w:jc w:val="both"/>
              <w:textAlignment w:val="center"/>
              <w:rPr>
                <w:rFonts w:ascii="Times New Roman" w:hAnsi="Times New Roman"/>
                <w:sz w:val="20"/>
                <w:szCs w:val="20"/>
              </w:rPr>
            </w:pPr>
            <w:r w:rsidRPr="00CA0713">
              <w:rPr>
                <w:rFonts w:ascii="Times New Roman" w:hAnsi="Times New Roman"/>
                <w:color w:val="000000"/>
                <w:sz w:val="20"/>
                <w:szCs w:val="20"/>
                <w:lang w:eastAsia="zh-CN"/>
              </w:rPr>
              <w:t>June 13, 2023</w:t>
            </w:r>
          </w:p>
        </w:tc>
        <w:tc>
          <w:tcPr>
            <w:tcW w:w="569" w:type="pct"/>
            <w:vAlign w:val="center"/>
          </w:tcPr>
          <w:p w14:paraId="3240A132" w14:textId="77777777" w:rsidR="00FF3D95" w:rsidRPr="008D1EB0" w:rsidRDefault="00FF3D95" w:rsidP="009C1E14">
            <w:pPr>
              <w:widowControl w:val="0"/>
              <w:autoSpaceDE w:val="0"/>
              <w:autoSpaceDN w:val="0"/>
              <w:adjustRightInd w:val="0"/>
              <w:spacing w:after="0" w:line="240" w:lineRule="auto"/>
              <w:contextualSpacing/>
              <w:jc w:val="both"/>
              <w:rPr>
                <w:rFonts w:ascii="Times New Roman" w:hAnsi="Times New Roman"/>
                <w:color w:val="000000"/>
                <w:sz w:val="20"/>
                <w:szCs w:val="20"/>
                <w:lang w:eastAsia="zh-CN"/>
              </w:rPr>
            </w:pPr>
            <w:r w:rsidRPr="00CA0713">
              <w:rPr>
                <w:rFonts w:ascii="Times New Roman" w:hAnsi="Times New Roman"/>
                <w:color w:val="000000"/>
                <w:sz w:val="20"/>
                <w:szCs w:val="20"/>
                <w:lang w:eastAsia="zh-CN"/>
              </w:rPr>
              <w:t>Valid till Import of Material</w:t>
            </w:r>
          </w:p>
        </w:tc>
      </w:tr>
      <w:tr w:rsidR="00FF3D95" w:rsidRPr="00712F3C" w14:paraId="32440A17" w14:textId="77777777" w:rsidTr="009C1E14">
        <w:trPr>
          <w:trHeight w:val="20"/>
        </w:trPr>
        <w:tc>
          <w:tcPr>
            <w:tcW w:w="288" w:type="pct"/>
            <w:vAlign w:val="center"/>
          </w:tcPr>
          <w:p w14:paraId="404D6259" w14:textId="77777777" w:rsidR="00FF3D95" w:rsidRPr="00712F3C" w:rsidRDefault="00FF3D95">
            <w:pPr>
              <w:numPr>
                <w:ilvl w:val="0"/>
                <w:numId w:val="353"/>
              </w:numPr>
              <w:suppressAutoHyphens/>
              <w:autoSpaceDE w:val="0"/>
              <w:autoSpaceDN w:val="0"/>
              <w:adjustRightInd w:val="0"/>
              <w:spacing w:after="0" w:line="240" w:lineRule="auto"/>
              <w:ind w:left="313"/>
              <w:jc w:val="right"/>
              <w:textAlignment w:val="center"/>
              <w:rPr>
                <w:rFonts w:ascii="Times New Roman" w:hAnsi="Times New Roman"/>
                <w:sz w:val="20"/>
                <w:szCs w:val="20"/>
              </w:rPr>
            </w:pPr>
          </w:p>
        </w:tc>
        <w:tc>
          <w:tcPr>
            <w:tcW w:w="1173" w:type="pct"/>
          </w:tcPr>
          <w:p w14:paraId="73C2BFAE" w14:textId="77777777" w:rsidR="00FF3D95" w:rsidRPr="00CA0713" w:rsidRDefault="00FF3D95" w:rsidP="009C1E14">
            <w:pPr>
              <w:widowControl w:val="0"/>
              <w:autoSpaceDE w:val="0"/>
              <w:autoSpaceDN w:val="0"/>
              <w:adjustRightInd w:val="0"/>
              <w:spacing w:after="0" w:line="240" w:lineRule="auto"/>
              <w:contextualSpacing/>
              <w:jc w:val="both"/>
              <w:rPr>
                <w:rFonts w:ascii="Times New Roman" w:hAnsi="Times New Roman"/>
                <w:sz w:val="20"/>
                <w:szCs w:val="20"/>
              </w:rPr>
            </w:pPr>
            <w:bookmarkStart w:id="23" w:name="_Hlk142903417"/>
            <w:r w:rsidRPr="00CA0713">
              <w:rPr>
                <w:rFonts w:ascii="Times New Roman" w:hAnsi="Times New Roman"/>
                <w:sz w:val="20"/>
                <w:szCs w:val="20"/>
              </w:rPr>
              <w:t>Consolidated Consent and Authorization from Gujarat Pollution Control Board under: - Water Act, 1974 - Air Act, 1981 - Environment Protection Act, 1986</w:t>
            </w:r>
          </w:p>
          <w:p w14:paraId="11405DC4" w14:textId="77777777" w:rsidR="00FF3D95" w:rsidRPr="00CA0713" w:rsidRDefault="00FF3D95" w:rsidP="009C1E14">
            <w:pPr>
              <w:widowControl w:val="0"/>
              <w:autoSpaceDE w:val="0"/>
              <w:autoSpaceDN w:val="0"/>
              <w:adjustRightInd w:val="0"/>
              <w:spacing w:after="0" w:line="240" w:lineRule="auto"/>
              <w:contextualSpacing/>
              <w:jc w:val="both"/>
              <w:rPr>
                <w:rFonts w:ascii="Times New Roman" w:hAnsi="Times New Roman"/>
                <w:sz w:val="20"/>
                <w:szCs w:val="20"/>
              </w:rPr>
            </w:pPr>
          </w:p>
          <w:p w14:paraId="2B7B71D1" w14:textId="5033943D" w:rsidR="00FF3D95" w:rsidRPr="00712F3C" w:rsidRDefault="00FF3D95" w:rsidP="008E46D2">
            <w:pPr>
              <w:widowControl w:val="0"/>
              <w:autoSpaceDE w:val="0"/>
              <w:autoSpaceDN w:val="0"/>
              <w:adjustRightInd w:val="0"/>
              <w:spacing w:after="0" w:line="240" w:lineRule="auto"/>
              <w:contextualSpacing/>
              <w:jc w:val="both"/>
              <w:rPr>
                <w:rFonts w:ascii="Times New Roman" w:hAnsi="Times New Roman"/>
                <w:sz w:val="20"/>
                <w:szCs w:val="20"/>
              </w:rPr>
            </w:pPr>
            <w:r w:rsidRPr="00CA0713">
              <w:rPr>
                <w:rFonts w:ascii="Times New Roman" w:hAnsi="Times New Roman"/>
                <w:sz w:val="20"/>
                <w:szCs w:val="20"/>
              </w:rPr>
              <w:t>Address: Plot 12 and 14, Naghedi, Post-Khodiyar Colony, Lakhabavad – 361006</w:t>
            </w:r>
            <w:r w:rsidR="008E46D2">
              <w:rPr>
                <w:rFonts w:ascii="Times New Roman" w:hAnsi="Times New Roman"/>
                <w:sz w:val="20"/>
                <w:szCs w:val="20"/>
              </w:rPr>
              <w:t xml:space="preserve"> </w:t>
            </w:r>
            <w:r w:rsidRPr="00CA0713">
              <w:rPr>
                <w:rFonts w:ascii="Times New Roman" w:hAnsi="Times New Roman"/>
                <w:sz w:val="20"/>
                <w:szCs w:val="20"/>
              </w:rPr>
              <w:t>Dist. Jamnagar</w:t>
            </w:r>
            <w:bookmarkEnd w:id="23"/>
          </w:p>
        </w:tc>
        <w:tc>
          <w:tcPr>
            <w:tcW w:w="1076" w:type="pct"/>
            <w:vAlign w:val="center"/>
          </w:tcPr>
          <w:p w14:paraId="39CA1CE4" w14:textId="77777777" w:rsidR="00FF3D95" w:rsidRPr="00CA0713" w:rsidRDefault="00FF3D95" w:rsidP="009C1E14">
            <w:pPr>
              <w:spacing w:after="0" w:line="240" w:lineRule="auto"/>
              <w:jc w:val="both"/>
              <w:rPr>
                <w:rFonts w:ascii="Times New Roman" w:hAnsi="Times New Roman"/>
                <w:sz w:val="20"/>
                <w:szCs w:val="20"/>
              </w:rPr>
            </w:pPr>
            <w:r w:rsidRPr="00CA0713">
              <w:rPr>
                <w:rFonts w:ascii="Times New Roman" w:hAnsi="Times New Roman"/>
                <w:sz w:val="20"/>
                <w:szCs w:val="20"/>
              </w:rPr>
              <w:t>Water (Prevention and Control of Pollution) Act, 1971</w:t>
            </w:r>
          </w:p>
          <w:p w14:paraId="19C338FD" w14:textId="77777777" w:rsidR="00FF3D95" w:rsidRPr="00CA0713" w:rsidRDefault="00FF3D95" w:rsidP="009C1E14">
            <w:pPr>
              <w:spacing w:after="0" w:line="240" w:lineRule="auto"/>
              <w:jc w:val="both"/>
              <w:rPr>
                <w:rFonts w:ascii="Times New Roman" w:hAnsi="Times New Roman"/>
                <w:sz w:val="20"/>
                <w:szCs w:val="20"/>
              </w:rPr>
            </w:pPr>
            <w:r w:rsidRPr="00CA0713">
              <w:rPr>
                <w:rFonts w:ascii="Times New Roman" w:hAnsi="Times New Roman"/>
                <w:sz w:val="20"/>
                <w:szCs w:val="20"/>
              </w:rPr>
              <w:t>Air (Prevention and Control of Pollution) Act, 1981</w:t>
            </w:r>
          </w:p>
          <w:p w14:paraId="716DF36F" w14:textId="77777777" w:rsidR="00FF3D95" w:rsidRPr="00712F3C" w:rsidRDefault="00FF3D95" w:rsidP="009C1E14">
            <w:pPr>
              <w:suppressAutoHyphens/>
              <w:autoSpaceDE w:val="0"/>
              <w:autoSpaceDN w:val="0"/>
              <w:adjustRightInd w:val="0"/>
              <w:spacing w:after="0" w:line="240" w:lineRule="auto"/>
              <w:jc w:val="both"/>
              <w:textAlignment w:val="center"/>
              <w:rPr>
                <w:rFonts w:ascii="Times New Roman" w:hAnsi="Times New Roman"/>
                <w:sz w:val="20"/>
                <w:szCs w:val="20"/>
              </w:rPr>
            </w:pPr>
            <w:r w:rsidRPr="00CA0713">
              <w:rPr>
                <w:rFonts w:ascii="Times New Roman" w:hAnsi="Times New Roman"/>
                <w:sz w:val="20"/>
                <w:szCs w:val="20"/>
              </w:rPr>
              <w:t>Hazardous Waste (Management, Handling and Trans Boundary Movement) Rules, 2008 framed under the Environmental Protection Act, 1986</w:t>
            </w:r>
          </w:p>
        </w:tc>
        <w:tc>
          <w:tcPr>
            <w:tcW w:w="603" w:type="pct"/>
            <w:vAlign w:val="center"/>
          </w:tcPr>
          <w:p w14:paraId="2220EC00" w14:textId="77777777" w:rsidR="00FF3D95" w:rsidRPr="00712F3C" w:rsidRDefault="00FF3D95" w:rsidP="009C1E14">
            <w:pPr>
              <w:suppressAutoHyphens/>
              <w:autoSpaceDE w:val="0"/>
              <w:autoSpaceDN w:val="0"/>
              <w:adjustRightInd w:val="0"/>
              <w:spacing w:after="0" w:line="240" w:lineRule="auto"/>
              <w:jc w:val="both"/>
              <w:textAlignment w:val="center"/>
              <w:rPr>
                <w:rFonts w:ascii="Times New Roman" w:hAnsi="Times New Roman"/>
                <w:sz w:val="20"/>
                <w:szCs w:val="20"/>
              </w:rPr>
            </w:pPr>
            <w:r w:rsidRPr="00CA0713">
              <w:rPr>
                <w:rFonts w:ascii="Times New Roman" w:hAnsi="Times New Roman"/>
                <w:sz w:val="20"/>
                <w:szCs w:val="20"/>
              </w:rPr>
              <w:t>Gujarat Pollution Control Board</w:t>
            </w:r>
          </w:p>
        </w:tc>
        <w:tc>
          <w:tcPr>
            <w:tcW w:w="655" w:type="pct"/>
            <w:vAlign w:val="center"/>
          </w:tcPr>
          <w:p w14:paraId="640A8D72" w14:textId="77777777" w:rsidR="00FF3D95" w:rsidRPr="00712F3C" w:rsidRDefault="00FF3D95" w:rsidP="009C1E14">
            <w:pPr>
              <w:suppressAutoHyphens/>
              <w:autoSpaceDE w:val="0"/>
              <w:autoSpaceDN w:val="0"/>
              <w:adjustRightInd w:val="0"/>
              <w:spacing w:after="0" w:line="240" w:lineRule="auto"/>
              <w:jc w:val="center"/>
              <w:textAlignment w:val="center"/>
              <w:rPr>
                <w:rFonts w:ascii="Times New Roman" w:hAnsi="Times New Roman"/>
                <w:sz w:val="20"/>
                <w:szCs w:val="20"/>
              </w:rPr>
            </w:pPr>
            <w:r w:rsidRPr="00CA0713">
              <w:rPr>
                <w:rFonts w:ascii="Times New Roman" w:hAnsi="Times New Roman"/>
                <w:color w:val="000000"/>
                <w:sz w:val="20"/>
                <w:szCs w:val="20"/>
                <w:lang w:eastAsia="zh-CN"/>
              </w:rPr>
              <w:t>AWH-104150</w:t>
            </w:r>
          </w:p>
        </w:tc>
        <w:tc>
          <w:tcPr>
            <w:tcW w:w="636" w:type="pct"/>
            <w:vAlign w:val="center"/>
          </w:tcPr>
          <w:p w14:paraId="03E13944" w14:textId="77777777" w:rsidR="00FF3D95" w:rsidRPr="00712F3C" w:rsidRDefault="00FF3D95" w:rsidP="009C1E14">
            <w:pPr>
              <w:suppressAutoHyphens/>
              <w:autoSpaceDE w:val="0"/>
              <w:autoSpaceDN w:val="0"/>
              <w:adjustRightInd w:val="0"/>
              <w:spacing w:after="0" w:line="240" w:lineRule="auto"/>
              <w:jc w:val="both"/>
              <w:textAlignment w:val="center"/>
              <w:rPr>
                <w:rFonts w:ascii="Times New Roman" w:hAnsi="Times New Roman"/>
                <w:sz w:val="20"/>
                <w:szCs w:val="20"/>
              </w:rPr>
            </w:pPr>
            <w:r w:rsidRPr="00CA0713">
              <w:rPr>
                <w:rFonts w:ascii="Times New Roman" w:hAnsi="Times New Roman"/>
                <w:color w:val="000000"/>
                <w:sz w:val="20"/>
                <w:szCs w:val="20"/>
                <w:lang w:eastAsia="zh-CN"/>
              </w:rPr>
              <w:t>September 23, 2019</w:t>
            </w:r>
          </w:p>
        </w:tc>
        <w:tc>
          <w:tcPr>
            <w:tcW w:w="569" w:type="pct"/>
            <w:vAlign w:val="center"/>
          </w:tcPr>
          <w:p w14:paraId="725E99ED" w14:textId="77777777" w:rsidR="00FF3D95" w:rsidRPr="00712F3C" w:rsidRDefault="00FF3D95" w:rsidP="009C1E14">
            <w:pPr>
              <w:suppressAutoHyphens/>
              <w:autoSpaceDE w:val="0"/>
              <w:autoSpaceDN w:val="0"/>
              <w:adjustRightInd w:val="0"/>
              <w:spacing w:after="0" w:line="240" w:lineRule="auto"/>
              <w:jc w:val="both"/>
              <w:textAlignment w:val="center"/>
              <w:rPr>
                <w:rFonts w:ascii="Times New Roman" w:hAnsi="Times New Roman"/>
                <w:sz w:val="20"/>
                <w:szCs w:val="20"/>
              </w:rPr>
            </w:pPr>
            <w:r w:rsidRPr="00CA0713">
              <w:rPr>
                <w:rFonts w:ascii="Times New Roman" w:hAnsi="Times New Roman"/>
                <w:color w:val="000000"/>
                <w:sz w:val="20"/>
                <w:szCs w:val="20"/>
                <w:lang w:eastAsia="zh-CN"/>
              </w:rPr>
              <w:t>August 25, 2024</w:t>
            </w:r>
          </w:p>
        </w:tc>
      </w:tr>
    </w:tbl>
    <w:p w14:paraId="7743EAE5" w14:textId="77777777" w:rsidR="00FF3D95" w:rsidRPr="00712F3C" w:rsidRDefault="00FF3D95" w:rsidP="00FF3D95">
      <w:pPr>
        <w:suppressAutoHyphens/>
        <w:autoSpaceDE w:val="0"/>
        <w:autoSpaceDN w:val="0"/>
        <w:adjustRightInd w:val="0"/>
        <w:spacing w:after="0" w:line="240" w:lineRule="auto"/>
        <w:jc w:val="both"/>
        <w:textAlignment w:val="center"/>
        <w:rPr>
          <w:rFonts w:ascii="Times New Roman" w:hAnsi="Times New Roman"/>
          <w:sz w:val="20"/>
          <w:szCs w:val="20"/>
          <w:u w:val="single"/>
        </w:rPr>
      </w:pPr>
    </w:p>
    <w:p w14:paraId="03974B88" w14:textId="77777777" w:rsidR="00FF3D95" w:rsidRPr="00712F3C" w:rsidRDefault="00FF3D95">
      <w:pPr>
        <w:widowControl w:val="0"/>
        <w:numPr>
          <w:ilvl w:val="0"/>
          <w:numId w:val="348"/>
        </w:numPr>
        <w:tabs>
          <w:tab w:val="left" w:pos="688"/>
          <w:tab w:val="left" w:pos="689"/>
        </w:tabs>
        <w:spacing w:after="0" w:line="240" w:lineRule="auto"/>
        <w:ind w:right="-16"/>
        <w:jc w:val="both"/>
        <w:outlineLvl w:val="2"/>
        <w:rPr>
          <w:rFonts w:ascii="Times New Roman" w:hAnsi="Times New Roman"/>
          <w:b/>
          <w:sz w:val="20"/>
          <w:szCs w:val="20"/>
          <w:u w:val="single"/>
          <w:lang w:bidi="en-US"/>
        </w:rPr>
      </w:pPr>
      <w:r w:rsidRPr="00712F3C">
        <w:rPr>
          <w:rFonts w:ascii="Times New Roman" w:hAnsi="Times New Roman"/>
          <w:b/>
          <w:sz w:val="20"/>
          <w:szCs w:val="20"/>
          <w:u w:val="single"/>
          <w:lang w:bidi="en-US"/>
        </w:rPr>
        <w:t>QUALITY CERTIFICATIONS:</w:t>
      </w:r>
    </w:p>
    <w:p w14:paraId="5E394917" w14:textId="77777777" w:rsidR="00FF3D95" w:rsidRPr="00712F3C" w:rsidRDefault="00FF3D95" w:rsidP="00FF3D95">
      <w:pPr>
        <w:widowControl w:val="0"/>
        <w:tabs>
          <w:tab w:val="left" w:pos="688"/>
          <w:tab w:val="left" w:pos="689"/>
        </w:tabs>
        <w:spacing w:after="0" w:line="240" w:lineRule="auto"/>
        <w:ind w:right="-16"/>
        <w:jc w:val="both"/>
        <w:outlineLvl w:val="2"/>
        <w:rPr>
          <w:rFonts w:ascii="Times New Roman" w:hAnsi="Times New Roman"/>
          <w:b/>
          <w:sz w:val="20"/>
          <w:szCs w:val="20"/>
          <w:u w:val="single"/>
          <w:lang w:bidi="en-US"/>
        </w:rPr>
      </w:pPr>
    </w:p>
    <w:tbl>
      <w:tblPr>
        <w:tblStyle w:val="TableGrid"/>
        <w:tblW w:w="5000" w:type="pct"/>
        <w:tblLayout w:type="fixed"/>
        <w:tblLook w:val="04A0" w:firstRow="1" w:lastRow="0" w:firstColumn="1" w:lastColumn="0" w:noHBand="0" w:noVBand="1"/>
      </w:tblPr>
      <w:tblGrid>
        <w:gridCol w:w="545"/>
        <w:gridCol w:w="3499"/>
        <w:gridCol w:w="1531"/>
        <w:gridCol w:w="1192"/>
        <w:gridCol w:w="1389"/>
        <w:gridCol w:w="1200"/>
        <w:gridCol w:w="1100"/>
      </w:tblGrid>
      <w:tr w:rsidR="00FF3D95" w:rsidRPr="00712F3C" w14:paraId="63E7BEE2" w14:textId="77777777" w:rsidTr="009C1E14">
        <w:trPr>
          <w:tblHeader/>
        </w:trPr>
        <w:tc>
          <w:tcPr>
            <w:tcW w:w="261" w:type="pct"/>
            <w:shd w:val="clear" w:color="auto" w:fill="D0CECE" w:themeFill="background2" w:themeFillShade="E6"/>
          </w:tcPr>
          <w:p w14:paraId="56B5E965" w14:textId="77777777" w:rsidR="00FF3D95" w:rsidRPr="00712F3C" w:rsidRDefault="00FF3D95" w:rsidP="009C1E14">
            <w:pPr>
              <w:widowControl w:val="0"/>
              <w:tabs>
                <w:tab w:val="left" w:pos="688"/>
                <w:tab w:val="left" w:pos="689"/>
              </w:tabs>
              <w:spacing w:after="0" w:line="240" w:lineRule="auto"/>
              <w:ind w:right="-16"/>
              <w:jc w:val="both"/>
              <w:outlineLvl w:val="2"/>
              <w:rPr>
                <w:rFonts w:ascii="Times New Roman" w:hAnsi="Times New Roman"/>
                <w:b/>
                <w:lang w:bidi="en-US"/>
              </w:rPr>
            </w:pPr>
            <w:r w:rsidRPr="00712F3C">
              <w:rPr>
                <w:rFonts w:ascii="Times New Roman" w:hAnsi="Times New Roman"/>
                <w:b/>
              </w:rPr>
              <w:t>Sr. No</w:t>
            </w:r>
          </w:p>
        </w:tc>
        <w:tc>
          <w:tcPr>
            <w:tcW w:w="1673" w:type="pct"/>
            <w:shd w:val="clear" w:color="auto" w:fill="D0CECE" w:themeFill="background2" w:themeFillShade="E6"/>
          </w:tcPr>
          <w:p w14:paraId="1BC7B311" w14:textId="77777777" w:rsidR="00FF3D95" w:rsidRPr="00712F3C" w:rsidRDefault="00FF3D95" w:rsidP="009C1E14">
            <w:pPr>
              <w:widowControl w:val="0"/>
              <w:tabs>
                <w:tab w:val="left" w:pos="688"/>
                <w:tab w:val="left" w:pos="689"/>
              </w:tabs>
              <w:spacing w:after="0" w:line="240" w:lineRule="auto"/>
              <w:ind w:right="-16"/>
              <w:jc w:val="both"/>
              <w:outlineLvl w:val="2"/>
              <w:rPr>
                <w:rFonts w:ascii="Times New Roman" w:hAnsi="Times New Roman"/>
                <w:b/>
                <w:lang w:bidi="en-US"/>
              </w:rPr>
            </w:pPr>
            <w:r w:rsidRPr="00712F3C">
              <w:rPr>
                <w:rFonts w:ascii="Times New Roman" w:hAnsi="Times New Roman"/>
                <w:b/>
                <w:lang w:bidi="en-US"/>
              </w:rPr>
              <w:t>Nature of Registration</w:t>
            </w:r>
          </w:p>
        </w:tc>
        <w:tc>
          <w:tcPr>
            <w:tcW w:w="732" w:type="pct"/>
            <w:shd w:val="clear" w:color="auto" w:fill="D0CECE" w:themeFill="background2" w:themeFillShade="E6"/>
          </w:tcPr>
          <w:p w14:paraId="572D51D1" w14:textId="77777777" w:rsidR="00FF3D95" w:rsidRPr="00712F3C" w:rsidRDefault="00FF3D95" w:rsidP="009C1E14">
            <w:pPr>
              <w:widowControl w:val="0"/>
              <w:tabs>
                <w:tab w:val="left" w:pos="688"/>
                <w:tab w:val="left" w:pos="689"/>
              </w:tabs>
              <w:spacing w:after="0" w:line="240" w:lineRule="auto"/>
              <w:ind w:right="-16"/>
              <w:jc w:val="both"/>
              <w:outlineLvl w:val="2"/>
              <w:rPr>
                <w:rFonts w:ascii="Times New Roman" w:hAnsi="Times New Roman"/>
                <w:b/>
                <w:lang w:bidi="en-US"/>
              </w:rPr>
            </w:pPr>
            <w:r w:rsidRPr="00712F3C">
              <w:rPr>
                <w:rFonts w:ascii="Times New Roman" w:hAnsi="Times New Roman"/>
                <w:b/>
                <w:lang w:bidi="en-US"/>
              </w:rPr>
              <w:t>Registration/ Licence</w:t>
            </w:r>
          </w:p>
        </w:tc>
        <w:tc>
          <w:tcPr>
            <w:tcW w:w="570" w:type="pct"/>
            <w:shd w:val="clear" w:color="auto" w:fill="D0CECE" w:themeFill="background2" w:themeFillShade="E6"/>
          </w:tcPr>
          <w:p w14:paraId="00A89313" w14:textId="77777777" w:rsidR="00FF3D95" w:rsidRPr="00712F3C" w:rsidRDefault="00FF3D95" w:rsidP="009C1E14">
            <w:pPr>
              <w:widowControl w:val="0"/>
              <w:tabs>
                <w:tab w:val="left" w:pos="688"/>
                <w:tab w:val="left" w:pos="689"/>
              </w:tabs>
              <w:spacing w:after="0" w:line="240" w:lineRule="auto"/>
              <w:ind w:right="-16"/>
              <w:jc w:val="both"/>
              <w:outlineLvl w:val="2"/>
              <w:rPr>
                <w:rFonts w:ascii="Times New Roman" w:hAnsi="Times New Roman"/>
                <w:b/>
                <w:lang w:bidi="en-US"/>
              </w:rPr>
            </w:pPr>
            <w:r w:rsidRPr="00712F3C">
              <w:rPr>
                <w:rFonts w:ascii="Times New Roman" w:hAnsi="Times New Roman"/>
                <w:b/>
                <w:lang w:bidi="en-US"/>
              </w:rPr>
              <w:t xml:space="preserve">Licence No. </w:t>
            </w:r>
          </w:p>
        </w:tc>
        <w:tc>
          <w:tcPr>
            <w:tcW w:w="664" w:type="pct"/>
            <w:shd w:val="clear" w:color="auto" w:fill="D0CECE" w:themeFill="background2" w:themeFillShade="E6"/>
          </w:tcPr>
          <w:p w14:paraId="5E1EF2B4" w14:textId="77777777" w:rsidR="00FF3D95" w:rsidRPr="00712F3C" w:rsidRDefault="00FF3D95" w:rsidP="009C1E14">
            <w:pPr>
              <w:widowControl w:val="0"/>
              <w:tabs>
                <w:tab w:val="left" w:pos="688"/>
                <w:tab w:val="left" w:pos="689"/>
              </w:tabs>
              <w:spacing w:after="0" w:line="240" w:lineRule="auto"/>
              <w:ind w:right="-16"/>
              <w:jc w:val="both"/>
              <w:outlineLvl w:val="2"/>
              <w:rPr>
                <w:rFonts w:ascii="Times New Roman" w:hAnsi="Times New Roman"/>
                <w:b/>
                <w:lang w:bidi="en-US"/>
              </w:rPr>
            </w:pPr>
            <w:r w:rsidRPr="00712F3C">
              <w:rPr>
                <w:rFonts w:ascii="Times New Roman" w:hAnsi="Times New Roman"/>
                <w:b/>
                <w:lang w:bidi="en-US"/>
              </w:rPr>
              <w:t>Issuing Authority</w:t>
            </w:r>
          </w:p>
        </w:tc>
        <w:tc>
          <w:tcPr>
            <w:tcW w:w="574" w:type="pct"/>
            <w:shd w:val="clear" w:color="auto" w:fill="D0CECE" w:themeFill="background2" w:themeFillShade="E6"/>
          </w:tcPr>
          <w:p w14:paraId="6451C313" w14:textId="77777777" w:rsidR="00FF3D95" w:rsidRPr="00712F3C" w:rsidRDefault="00FF3D95" w:rsidP="009C1E14">
            <w:pPr>
              <w:widowControl w:val="0"/>
              <w:tabs>
                <w:tab w:val="left" w:pos="688"/>
                <w:tab w:val="left" w:pos="689"/>
              </w:tabs>
              <w:spacing w:after="0" w:line="240" w:lineRule="auto"/>
              <w:ind w:right="-16"/>
              <w:jc w:val="both"/>
              <w:outlineLvl w:val="2"/>
              <w:rPr>
                <w:rFonts w:ascii="Times New Roman" w:hAnsi="Times New Roman"/>
                <w:b/>
                <w:lang w:bidi="en-US"/>
              </w:rPr>
            </w:pPr>
            <w:r w:rsidRPr="00712F3C">
              <w:rPr>
                <w:rFonts w:ascii="Times New Roman" w:hAnsi="Times New Roman"/>
                <w:b/>
                <w:lang w:bidi="en-US"/>
              </w:rPr>
              <w:t xml:space="preserve">Date of Issue </w:t>
            </w:r>
          </w:p>
        </w:tc>
        <w:tc>
          <w:tcPr>
            <w:tcW w:w="526" w:type="pct"/>
            <w:shd w:val="clear" w:color="auto" w:fill="D0CECE" w:themeFill="background2" w:themeFillShade="E6"/>
          </w:tcPr>
          <w:p w14:paraId="2FB5937C" w14:textId="77777777" w:rsidR="00FF3D95" w:rsidRPr="00712F3C" w:rsidRDefault="00FF3D95" w:rsidP="009C1E14">
            <w:pPr>
              <w:widowControl w:val="0"/>
              <w:tabs>
                <w:tab w:val="left" w:pos="688"/>
                <w:tab w:val="left" w:pos="689"/>
              </w:tabs>
              <w:spacing w:after="0" w:line="240" w:lineRule="auto"/>
              <w:ind w:right="-16"/>
              <w:jc w:val="both"/>
              <w:outlineLvl w:val="2"/>
              <w:rPr>
                <w:rFonts w:ascii="Times New Roman" w:hAnsi="Times New Roman"/>
                <w:b/>
                <w:lang w:bidi="en-US"/>
              </w:rPr>
            </w:pPr>
            <w:r w:rsidRPr="00712F3C">
              <w:rPr>
                <w:rFonts w:ascii="Times New Roman" w:hAnsi="Times New Roman"/>
                <w:b/>
                <w:lang w:bidi="en-US"/>
              </w:rPr>
              <w:t>Date of Expiry</w:t>
            </w:r>
          </w:p>
        </w:tc>
      </w:tr>
      <w:tr w:rsidR="00FF3D95" w:rsidRPr="00712F3C" w14:paraId="2E95986D" w14:textId="77777777" w:rsidTr="009C1E14">
        <w:tc>
          <w:tcPr>
            <w:tcW w:w="261" w:type="pct"/>
            <w:vAlign w:val="center"/>
          </w:tcPr>
          <w:p w14:paraId="4C92BED7" w14:textId="77777777" w:rsidR="00FF3D95" w:rsidRPr="00712F3C" w:rsidRDefault="00FF3D95" w:rsidP="009C1E14">
            <w:pPr>
              <w:widowControl w:val="0"/>
              <w:tabs>
                <w:tab w:val="left" w:pos="688"/>
                <w:tab w:val="left" w:pos="689"/>
              </w:tabs>
              <w:spacing w:after="0" w:line="240" w:lineRule="auto"/>
              <w:ind w:right="-16"/>
              <w:jc w:val="center"/>
              <w:outlineLvl w:val="2"/>
              <w:rPr>
                <w:rFonts w:ascii="Times New Roman" w:hAnsi="Times New Roman"/>
                <w:lang w:bidi="en-US"/>
              </w:rPr>
            </w:pPr>
            <w:r w:rsidRPr="00712F3C">
              <w:rPr>
                <w:rFonts w:ascii="Times New Roman" w:hAnsi="Times New Roman"/>
                <w:lang w:bidi="en-US"/>
              </w:rPr>
              <w:t>1.</w:t>
            </w:r>
          </w:p>
        </w:tc>
        <w:tc>
          <w:tcPr>
            <w:tcW w:w="1673" w:type="pct"/>
            <w:vAlign w:val="center"/>
          </w:tcPr>
          <w:p w14:paraId="34B016AC" w14:textId="77777777" w:rsidR="00FF3D95" w:rsidRDefault="00FF3D95" w:rsidP="009C1E14">
            <w:pPr>
              <w:spacing w:after="0" w:line="240" w:lineRule="auto"/>
              <w:jc w:val="both"/>
              <w:rPr>
                <w:rFonts w:ascii="Times New Roman" w:hAnsi="Times New Roman"/>
              </w:rPr>
            </w:pPr>
            <w:r w:rsidRPr="00CA0713">
              <w:rPr>
                <w:rFonts w:ascii="Times New Roman" w:hAnsi="Times New Roman"/>
              </w:rPr>
              <w:t xml:space="preserve">ISO </w:t>
            </w:r>
            <w:r>
              <w:rPr>
                <w:rFonts w:ascii="Times New Roman" w:hAnsi="Times New Roman"/>
              </w:rPr>
              <w:t>9001</w:t>
            </w:r>
            <w:r w:rsidRPr="00CA0713">
              <w:rPr>
                <w:rFonts w:ascii="Times New Roman" w:hAnsi="Times New Roman"/>
              </w:rPr>
              <w:t>:2015</w:t>
            </w:r>
            <w:r>
              <w:rPr>
                <w:rFonts w:ascii="Times New Roman" w:hAnsi="Times New Roman"/>
              </w:rPr>
              <w:t xml:space="preserve"> for </w:t>
            </w:r>
            <w:r w:rsidRPr="003A10CD">
              <w:rPr>
                <w:rFonts w:ascii="Times New Roman" w:hAnsi="Times New Roman"/>
              </w:rPr>
              <w:t>Quality Management System standard</w:t>
            </w:r>
          </w:p>
          <w:p w14:paraId="626292C8" w14:textId="77777777" w:rsidR="00FF3D95" w:rsidRPr="00CA0713" w:rsidRDefault="00FF3D95" w:rsidP="009C1E14">
            <w:pPr>
              <w:spacing w:after="0" w:line="240" w:lineRule="auto"/>
              <w:jc w:val="both"/>
              <w:rPr>
                <w:rFonts w:ascii="Times New Roman" w:hAnsi="Times New Roman"/>
              </w:rPr>
            </w:pPr>
          </w:p>
          <w:p w14:paraId="7AA5FBBD" w14:textId="77777777" w:rsidR="00FF3D95" w:rsidRPr="00712F3C" w:rsidRDefault="00FF3D95" w:rsidP="009C1E14">
            <w:pPr>
              <w:widowControl w:val="0"/>
              <w:tabs>
                <w:tab w:val="left" w:pos="688"/>
                <w:tab w:val="left" w:pos="689"/>
              </w:tabs>
              <w:spacing w:after="0" w:line="240" w:lineRule="auto"/>
              <w:ind w:right="-16"/>
              <w:jc w:val="both"/>
              <w:outlineLvl w:val="2"/>
              <w:rPr>
                <w:rFonts w:ascii="Times New Roman" w:hAnsi="Times New Roman"/>
                <w:lang w:bidi="en-US"/>
              </w:rPr>
            </w:pPr>
            <w:r w:rsidRPr="00CA0713">
              <w:rPr>
                <w:rFonts w:ascii="Times New Roman" w:hAnsi="Times New Roman"/>
              </w:rPr>
              <w:t>Manufacturer and Exporter of Copper alloy ingots,</w:t>
            </w:r>
            <w:r>
              <w:rPr>
                <w:rFonts w:ascii="Times New Roman" w:hAnsi="Times New Roman"/>
              </w:rPr>
              <w:t xml:space="preserve"> </w:t>
            </w:r>
            <w:r w:rsidRPr="00CA0713">
              <w:rPr>
                <w:rFonts w:ascii="Times New Roman" w:hAnsi="Times New Roman"/>
              </w:rPr>
              <w:t>Brass Rods &amp; Sections and Sanitary, Plumbing &amp;</w:t>
            </w:r>
            <w:r>
              <w:rPr>
                <w:rFonts w:ascii="Times New Roman" w:hAnsi="Times New Roman"/>
              </w:rPr>
              <w:t xml:space="preserve"> </w:t>
            </w:r>
            <w:r w:rsidRPr="00CA0713">
              <w:rPr>
                <w:rFonts w:ascii="Times New Roman" w:hAnsi="Times New Roman"/>
              </w:rPr>
              <w:t>Electrical parts</w:t>
            </w:r>
          </w:p>
        </w:tc>
        <w:tc>
          <w:tcPr>
            <w:tcW w:w="732" w:type="pct"/>
            <w:vAlign w:val="center"/>
          </w:tcPr>
          <w:p w14:paraId="4CB76FE1" w14:textId="77777777" w:rsidR="00FF3D95" w:rsidRPr="00712F3C" w:rsidRDefault="00FF3D95" w:rsidP="009C1E14">
            <w:pPr>
              <w:widowControl w:val="0"/>
              <w:tabs>
                <w:tab w:val="left" w:pos="688"/>
                <w:tab w:val="left" w:pos="689"/>
              </w:tabs>
              <w:spacing w:after="0" w:line="240" w:lineRule="auto"/>
              <w:ind w:right="-16"/>
              <w:jc w:val="center"/>
              <w:outlineLvl w:val="2"/>
              <w:rPr>
                <w:rFonts w:ascii="Times New Roman" w:hAnsi="Times New Roman"/>
                <w:lang w:bidi="en-US"/>
              </w:rPr>
            </w:pPr>
            <w:r w:rsidRPr="00CA0713">
              <w:rPr>
                <w:rFonts w:ascii="Times New Roman" w:hAnsi="Times New Roman"/>
              </w:rPr>
              <w:t xml:space="preserve">ISO </w:t>
            </w:r>
            <w:r>
              <w:rPr>
                <w:rFonts w:ascii="Times New Roman" w:hAnsi="Times New Roman"/>
              </w:rPr>
              <w:t>9001</w:t>
            </w:r>
            <w:r w:rsidRPr="00CA0713">
              <w:rPr>
                <w:rFonts w:ascii="Times New Roman" w:hAnsi="Times New Roman"/>
              </w:rPr>
              <w:t>:2015</w:t>
            </w:r>
          </w:p>
        </w:tc>
        <w:tc>
          <w:tcPr>
            <w:tcW w:w="570" w:type="pct"/>
            <w:vAlign w:val="center"/>
          </w:tcPr>
          <w:p w14:paraId="344BEC12" w14:textId="77777777" w:rsidR="00FF3D95" w:rsidRPr="00712F3C" w:rsidRDefault="00FF3D95" w:rsidP="009C1E14">
            <w:pPr>
              <w:widowControl w:val="0"/>
              <w:tabs>
                <w:tab w:val="left" w:pos="688"/>
                <w:tab w:val="left" w:pos="689"/>
              </w:tabs>
              <w:spacing w:after="0" w:line="240" w:lineRule="auto"/>
              <w:ind w:right="-16"/>
              <w:jc w:val="center"/>
              <w:outlineLvl w:val="2"/>
              <w:rPr>
                <w:rFonts w:ascii="Times New Roman" w:hAnsi="Times New Roman"/>
                <w:lang w:bidi="en-US"/>
              </w:rPr>
            </w:pPr>
            <w:r w:rsidRPr="00CA0713">
              <w:rPr>
                <w:rFonts w:ascii="Times New Roman" w:hAnsi="Times New Roman"/>
              </w:rPr>
              <w:t>IN121257A</w:t>
            </w:r>
          </w:p>
        </w:tc>
        <w:tc>
          <w:tcPr>
            <w:tcW w:w="664" w:type="pct"/>
            <w:vAlign w:val="center"/>
          </w:tcPr>
          <w:p w14:paraId="5FAC4681" w14:textId="77777777" w:rsidR="00FF3D95" w:rsidRPr="00712F3C" w:rsidRDefault="00FF3D95" w:rsidP="009C1E14">
            <w:pPr>
              <w:widowControl w:val="0"/>
              <w:tabs>
                <w:tab w:val="left" w:pos="688"/>
                <w:tab w:val="left" w:pos="689"/>
              </w:tabs>
              <w:spacing w:after="0" w:line="240" w:lineRule="auto"/>
              <w:ind w:right="-16"/>
              <w:jc w:val="both"/>
              <w:outlineLvl w:val="2"/>
              <w:rPr>
                <w:rFonts w:ascii="Times New Roman" w:hAnsi="Times New Roman"/>
                <w:lang w:bidi="en-US"/>
              </w:rPr>
            </w:pPr>
            <w:r w:rsidRPr="00CA0713">
              <w:rPr>
                <w:rFonts w:ascii="Times New Roman" w:hAnsi="Times New Roman"/>
              </w:rPr>
              <w:t>LMS Certifications Private Limited</w:t>
            </w:r>
          </w:p>
        </w:tc>
        <w:tc>
          <w:tcPr>
            <w:tcW w:w="574" w:type="pct"/>
            <w:vAlign w:val="center"/>
          </w:tcPr>
          <w:p w14:paraId="6F19A624" w14:textId="77777777" w:rsidR="00FF3D95" w:rsidRPr="00712F3C" w:rsidRDefault="00FF3D95" w:rsidP="009C1E14">
            <w:pPr>
              <w:widowControl w:val="0"/>
              <w:tabs>
                <w:tab w:val="left" w:pos="688"/>
                <w:tab w:val="left" w:pos="689"/>
              </w:tabs>
              <w:spacing w:after="0" w:line="240" w:lineRule="auto"/>
              <w:ind w:right="-16"/>
              <w:jc w:val="center"/>
              <w:outlineLvl w:val="2"/>
              <w:rPr>
                <w:rFonts w:ascii="Times New Roman" w:hAnsi="Times New Roman"/>
                <w:lang w:bidi="en-US"/>
              </w:rPr>
            </w:pPr>
            <w:r w:rsidRPr="00CA0713">
              <w:rPr>
                <w:rFonts w:ascii="Times New Roman" w:hAnsi="Times New Roman"/>
              </w:rPr>
              <w:t>November 24, 2022</w:t>
            </w:r>
          </w:p>
        </w:tc>
        <w:tc>
          <w:tcPr>
            <w:tcW w:w="526" w:type="pct"/>
            <w:vAlign w:val="center"/>
          </w:tcPr>
          <w:p w14:paraId="4607A6C4" w14:textId="77777777" w:rsidR="00FF3D95" w:rsidRPr="00712F3C" w:rsidRDefault="00FF3D95" w:rsidP="009C1E14">
            <w:pPr>
              <w:widowControl w:val="0"/>
              <w:tabs>
                <w:tab w:val="left" w:pos="688"/>
                <w:tab w:val="left" w:pos="689"/>
              </w:tabs>
              <w:spacing w:after="0" w:line="240" w:lineRule="auto"/>
              <w:ind w:right="-16"/>
              <w:jc w:val="center"/>
              <w:outlineLvl w:val="2"/>
              <w:rPr>
                <w:rFonts w:ascii="Times New Roman" w:hAnsi="Times New Roman"/>
                <w:lang w:bidi="en-US"/>
              </w:rPr>
            </w:pPr>
            <w:r w:rsidRPr="00CA0713">
              <w:rPr>
                <w:rFonts w:ascii="Times New Roman" w:hAnsi="Times New Roman"/>
              </w:rPr>
              <w:t>November 23, 2025</w:t>
            </w:r>
          </w:p>
        </w:tc>
      </w:tr>
    </w:tbl>
    <w:p w14:paraId="3C0564AA" w14:textId="77777777" w:rsidR="00FF3D95" w:rsidRPr="00712F3C" w:rsidRDefault="00FF3D95" w:rsidP="00FF3D95">
      <w:pPr>
        <w:widowControl w:val="0"/>
        <w:tabs>
          <w:tab w:val="left" w:pos="688"/>
          <w:tab w:val="left" w:pos="689"/>
        </w:tabs>
        <w:spacing w:after="0" w:line="240" w:lineRule="auto"/>
        <w:ind w:right="-16"/>
        <w:jc w:val="both"/>
        <w:outlineLvl w:val="2"/>
        <w:rPr>
          <w:rFonts w:ascii="Times New Roman" w:hAnsi="Times New Roman"/>
          <w:b/>
          <w:sz w:val="20"/>
          <w:szCs w:val="20"/>
          <w:u w:val="single"/>
          <w:lang w:bidi="en-US"/>
        </w:rPr>
      </w:pPr>
    </w:p>
    <w:p w14:paraId="35F3AA25" w14:textId="399D3483" w:rsidR="00FF3D95" w:rsidRPr="00712F3C" w:rsidRDefault="00FF3D95">
      <w:pPr>
        <w:widowControl w:val="0"/>
        <w:numPr>
          <w:ilvl w:val="1"/>
          <w:numId w:val="347"/>
        </w:numPr>
        <w:spacing w:after="0" w:line="240" w:lineRule="auto"/>
        <w:ind w:left="426" w:right="-16" w:hanging="404"/>
        <w:jc w:val="both"/>
        <w:outlineLvl w:val="2"/>
        <w:rPr>
          <w:rFonts w:ascii="Times New Roman" w:hAnsi="Times New Roman"/>
          <w:sz w:val="20"/>
          <w:szCs w:val="20"/>
          <w:lang w:bidi="en-US"/>
        </w:rPr>
      </w:pPr>
      <w:r w:rsidRPr="00712F3C">
        <w:rPr>
          <w:rFonts w:ascii="Times New Roman" w:hAnsi="Times New Roman"/>
          <w:b/>
          <w:bCs/>
          <w:sz w:val="20"/>
          <w:szCs w:val="20"/>
          <w:lang w:bidi="en-US"/>
        </w:rPr>
        <w:t>Approvals or Licenses applied</w:t>
      </w:r>
      <w:r w:rsidR="008E46D2">
        <w:rPr>
          <w:rFonts w:ascii="Times New Roman" w:hAnsi="Times New Roman"/>
          <w:b/>
          <w:bCs/>
          <w:sz w:val="20"/>
          <w:szCs w:val="20"/>
          <w:lang w:bidi="en-US"/>
        </w:rPr>
        <w:t xml:space="preserve"> to be received</w:t>
      </w:r>
      <w:r w:rsidRPr="00712F3C">
        <w:rPr>
          <w:rFonts w:ascii="Times New Roman" w:hAnsi="Times New Roman"/>
          <w:b/>
          <w:bCs/>
          <w:sz w:val="20"/>
          <w:szCs w:val="20"/>
          <w:lang w:bidi="en-US"/>
        </w:rPr>
        <w:t>:</w:t>
      </w:r>
    </w:p>
    <w:p w14:paraId="5FD325DB" w14:textId="77777777" w:rsidR="00FF3D95" w:rsidRPr="00712F3C" w:rsidRDefault="00FF3D95" w:rsidP="00FF3D95">
      <w:pPr>
        <w:widowControl w:val="0"/>
        <w:tabs>
          <w:tab w:val="left" w:pos="450"/>
        </w:tabs>
        <w:spacing w:after="0" w:line="240" w:lineRule="auto"/>
        <w:ind w:left="360"/>
        <w:contextualSpacing/>
        <w:jc w:val="both"/>
        <w:rPr>
          <w:rFonts w:ascii="Times New Roman" w:hAnsi="Times New Roman"/>
          <w:bCs/>
          <w:color w:val="000000"/>
          <w:sz w:val="20"/>
          <w:szCs w:val="20"/>
        </w:rPr>
      </w:pPr>
    </w:p>
    <w:p w14:paraId="42602949" w14:textId="5B60E942" w:rsidR="00FF3D95" w:rsidRDefault="00FF3D95">
      <w:pPr>
        <w:pStyle w:val="ListParagraph"/>
        <w:numPr>
          <w:ilvl w:val="0"/>
          <w:numId w:val="349"/>
        </w:numPr>
        <w:suppressAutoHyphens w:val="0"/>
        <w:autoSpaceDE/>
        <w:autoSpaceDN/>
        <w:adjustRightInd/>
        <w:spacing w:line="240" w:lineRule="auto"/>
        <w:contextualSpacing/>
        <w:jc w:val="both"/>
        <w:textAlignment w:val="auto"/>
        <w:rPr>
          <w:sz w:val="20"/>
          <w:szCs w:val="20"/>
        </w:rPr>
      </w:pPr>
      <w:bookmarkStart w:id="24" w:name="_Hlk146211555"/>
      <w:r>
        <w:rPr>
          <w:sz w:val="20"/>
          <w:szCs w:val="20"/>
        </w:rPr>
        <w:t xml:space="preserve">Company has applied for renewal of </w:t>
      </w:r>
      <w:r w:rsidRPr="00A823D3">
        <w:rPr>
          <w:sz w:val="20"/>
          <w:szCs w:val="20"/>
        </w:rPr>
        <w:t xml:space="preserve">Consolidated Consent and Authorization from Gujarat Pollution Control Board under: - Water Act, 1974 - Air Act, 1981 - Environment Protection Act, 1986 </w:t>
      </w:r>
      <w:r>
        <w:rPr>
          <w:sz w:val="20"/>
          <w:szCs w:val="20"/>
        </w:rPr>
        <w:t>for the factory situated</w:t>
      </w:r>
      <w:r w:rsidRPr="00A823D3">
        <w:rPr>
          <w:sz w:val="20"/>
          <w:szCs w:val="20"/>
        </w:rPr>
        <w:t xml:space="preserve"> Plot 6 and 7, Naghedi, Post-Khodiyar Colony, Lakhabavad – 361006</w:t>
      </w:r>
      <w:r>
        <w:rPr>
          <w:sz w:val="20"/>
          <w:szCs w:val="20"/>
        </w:rPr>
        <w:t xml:space="preserve"> </w:t>
      </w:r>
      <w:r w:rsidRPr="00A823D3">
        <w:rPr>
          <w:sz w:val="20"/>
          <w:szCs w:val="20"/>
        </w:rPr>
        <w:t>Dist. Jamnagar</w:t>
      </w:r>
      <w:r w:rsidR="00B62BBA">
        <w:rPr>
          <w:sz w:val="20"/>
          <w:szCs w:val="20"/>
          <w:lang w:val="en-US"/>
        </w:rPr>
        <w:t xml:space="preserve">, </w:t>
      </w:r>
      <w:r w:rsidR="00B62BBA" w:rsidRPr="00B62BBA">
        <w:rPr>
          <w:sz w:val="20"/>
          <w:szCs w:val="20"/>
          <w:lang w:val="en-US"/>
        </w:rPr>
        <w:t>which is pending for approval.</w:t>
      </w:r>
    </w:p>
    <w:p w14:paraId="4DD035C7" w14:textId="77777777" w:rsidR="008E46D2" w:rsidRDefault="008E46D2" w:rsidP="008E46D2">
      <w:pPr>
        <w:pStyle w:val="ListParagraph"/>
        <w:suppressAutoHyphens w:val="0"/>
        <w:autoSpaceDE/>
        <w:autoSpaceDN/>
        <w:adjustRightInd/>
        <w:spacing w:line="240" w:lineRule="auto"/>
        <w:ind w:left="360"/>
        <w:contextualSpacing/>
        <w:jc w:val="both"/>
        <w:textAlignment w:val="auto"/>
        <w:rPr>
          <w:sz w:val="20"/>
          <w:szCs w:val="20"/>
        </w:rPr>
      </w:pPr>
    </w:p>
    <w:p w14:paraId="4A9D6289" w14:textId="1C6D4E38" w:rsidR="008E46D2" w:rsidRPr="00D95C11" w:rsidRDefault="008E46D2" w:rsidP="008E46D2">
      <w:pPr>
        <w:pStyle w:val="ListParagraph"/>
        <w:numPr>
          <w:ilvl w:val="0"/>
          <w:numId w:val="349"/>
        </w:numPr>
        <w:suppressAutoHyphens w:val="0"/>
        <w:autoSpaceDE/>
        <w:autoSpaceDN/>
        <w:adjustRightInd/>
        <w:spacing w:line="240" w:lineRule="auto"/>
        <w:contextualSpacing/>
        <w:jc w:val="both"/>
        <w:textAlignment w:val="auto"/>
        <w:rPr>
          <w:sz w:val="20"/>
          <w:szCs w:val="20"/>
        </w:rPr>
      </w:pPr>
      <w:r w:rsidRPr="008E46D2">
        <w:rPr>
          <w:sz w:val="20"/>
          <w:szCs w:val="20"/>
        </w:rPr>
        <w:t xml:space="preserve">Company has applied for factory licence </w:t>
      </w:r>
      <w:r w:rsidR="00B62BBA">
        <w:rPr>
          <w:sz w:val="20"/>
          <w:szCs w:val="20"/>
          <w:lang w:val="en-US"/>
        </w:rPr>
        <w:t xml:space="preserve">with Director Industrial Safety and Health, Jamnagar </w:t>
      </w:r>
      <w:r w:rsidRPr="008E46D2">
        <w:rPr>
          <w:sz w:val="20"/>
          <w:szCs w:val="20"/>
        </w:rPr>
        <w:t xml:space="preserve">for </w:t>
      </w:r>
      <w:r w:rsidR="00B62BBA">
        <w:rPr>
          <w:sz w:val="20"/>
          <w:szCs w:val="20"/>
          <w:lang w:val="en-US"/>
        </w:rPr>
        <w:t xml:space="preserve">the premises situated at </w:t>
      </w:r>
      <w:r w:rsidRPr="00CA0713">
        <w:rPr>
          <w:sz w:val="20"/>
          <w:szCs w:val="20"/>
        </w:rPr>
        <w:t>Plot 10, Naghedi, Post-Khodiyar Colony, Lakhabavad – 361006</w:t>
      </w:r>
      <w:r>
        <w:rPr>
          <w:sz w:val="20"/>
          <w:szCs w:val="20"/>
        </w:rPr>
        <w:t xml:space="preserve"> </w:t>
      </w:r>
      <w:r w:rsidRPr="008E46D2">
        <w:rPr>
          <w:sz w:val="20"/>
          <w:szCs w:val="20"/>
        </w:rPr>
        <w:t>Dist. Jamnagar</w:t>
      </w:r>
      <w:r w:rsidR="00B62BBA">
        <w:rPr>
          <w:sz w:val="20"/>
          <w:szCs w:val="20"/>
          <w:lang w:val="en-US"/>
        </w:rPr>
        <w:t xml:space="preserve">, which is pending for approval. </w:t>
      </w:r>
    </w:p>
    <w:bookmarkEnd w:id="24"/>
    <w:p w14:paraId="2CFD7302" w14:textId="77777777" w:rsidR="00D95C11" w:rsidRPr="00D95C11" w:rsidRDefault="00D95C11" w:rsidP="00D95C11">
      <w:pPr>
        <w:pStyle w:val="ListParagraph"/>
        <w:suppressAutoHyphens w:val="0"/>
        <w:autoSpaceDE/>
        <w:autoSpaceDN/>
        <w:adjustRightInd/>
        <w:spacing w:line="240" w:lineRule="auto"/>
        <w:ind w:left="360"/>
        <w:contextualSpacing/>
        <w:jc w:val="both"/>
        <w:textAlignment w:val="auto"/>
        <w:rPr>
          <w:sz w:val="20"/>
          <w:szCs w:val="20"/>
        </w:rPr>
      </w:pPr>
    </w:p>
    <w:p w14:paraId="5F7E01CC" w14:textId="570B579B" w:rsidR="00D95C11" w:rsidRPr="008E46D2" w:rsidRDefault="00D95C11" w:rsidP="008E46D2">
      <w:pPr>
        <w:pStyle w:val="ListParagraph"/>
        <w:numPr>
          <w:ilvl w:val="0"/>
          <w:numId w:val="349"/>
        </w:numPr>
        <w:suppressAutoHyphens w:val="0"/>
        <w:autoSpaceDE/>
        <w:autoSpaceDN/>
        <w:adjustRightInd/>
        <w:spacing w:line="240" w:lineRule="auto"/>
        <w:contextualSpacing/>
        <w:jc w:val="both"/>
        <w:textAlignment w:val="auto"/>
        <w:rPr>
          <w:sz w:val="20"/>
          <w:szCs w:val="20"/>
        </w:rPr>
      </w:pPr>
      <w:r>
        <w:rPr>
          <w:sz w:val="20"/>
          <w:szCs w:val="20"/>
          <w:lang w:val="en-US"/>
        </w:rPr>
        <w:t xml:space="preserve">Company has applied for debonding of EOU-Letter of Permission (exit of EOU) with Commissioner, Kandla SEZ, which is pending for approval. </w:t>
      </w:r>
    </w:p>
    <w:p w14:paraId="7E1CB07B" w14:textId="77777777" w:rsidR="00FF3D95" w:rsidRDefault="00FF3D95" w:rsidP="00FF3D95">
      <w:pPr>
        <w:pStyle w:val="ListParagraph"/>
        <w:spacing w:line="240" w:lineRule="auto"/>
        <w:jc w:val="both"/>
        <w:rPr>
          <w:sz w:val="20"/>
          <w:szCs w:val="20"/>
        </w:rPr>
      </w:pPr>
    </w:p>
    <w:p w14:paraId="4B4AF0B7" w14:textId="77777777" w:rsidR="00FF3D95" w:rsidRDefault="00FF3D95">
      <w:pPr>
        <w:widowControl w:val="0"/>
        <w:numPr>
          <w:ilvl w:val="1"/>
          <w:numId w:val="347"/>
        </w:numPr>
        <w:spacing w:after="0" w:line="240" w:lineRule="auto"/>
        <w:ind w:left="426" w:right="-16" w:hanging="404"/>
        <w:jc w:val="both"/>
        <w:outlineLvl w:val="2"/>
        <w:rPr>
          <w:rFonts w:ascii="Times New Roman" w:hAnsi="Times New Roman"/>
          <w:b/>
          <w:bCs/>
          <w:sz w:val="20"/>
          <w:szCs w:val="20"/>
          <w:lang w:bidi="en-US"/>
        </w:rPr>
      </w:pPr>
      <w:r w:rsidRPr="00712F3C">
        <w:rPr>
          <w:rFonts w:ascii="Times New Roman" w:hAnsi="Times New Roman"/>
          <w:b/>
          <w:bCs/>
          <w:sz w:val="20"/>
          <w:szCs w:val="20"/>
          <w:lang w:bidi="en-US"/>
        </w:rPr>
        <w:t>Approvals or Licenses applied but not received:</w:t>
      </w:r>
    </w:p>
    <w:p w14:paraId="5477D7B8" w14:textId="77777777" w:rsidR="008E46D2" w:rsidRDefault="008E46D2" w:rsidP="008E46D2">
      <w:pPr>
        <w:widowControl w:val="0"/>
        <w:spacing w:after="0" w:line="240" w:lineRule="auto"/>
        <w:ind w:left="426" w:right="-16"/>
        <w:jc w:val="both"/>
        <w:outlineLvl w:val="2"/>
        <w:rPr>
          <w:rFonts w:ascii="Times New Roman" w:hAnsi="Times New Roman"/>
          <w:b/>
          <w:bCs/>
          <w:sz w:val="20"/>
          <w:szCs w:val="20"/>
          <w:lang w:bidi="en-US"/>
        </w:rPr>
      </w:pPr>
    </w:p>
    <w:p w14:paraId="4558B743" w14:textId="699BF909" w:rsidR="008E46D2" w:rsidRPr="008E46D2" w:rsidRDefault="00B62BBA" w:rsidP="008E46D2">
      <w:pPr>
        <w:pStyle w:val="ListParagraph"/>
        <w:numPr>
          <w:ilvl w:val="0"/>
          <w:numId w:val="360"/>
        </w:numPr>
        <w:suppressAutoHyphens w:val="0"/>
        <w:autoSpaceDE/>
        <w:autoSpaceDN/>
        <w:adjustRightInd/>
        <w:spacing w:line="240" w:lineRule="auto"/>
        <w:contextualSpacing/>
        <w:jc w:val="both"/>
        <w:textAlignment w:val="auto"/>
        <w:rPr>
          <w:sz w:val="20"/>
          <w:szCs w:val="20"/>
        </w:rPr>
      </w:pPr>
      <w:bookmarkStart w:id="25" w:name="_Hlk146211538"/>
      <w:r>
        <w:rPr>
          <w:sz w:val="20"/>
          <w:szCs w:val="20"/>
          <w:lang w:val="en-US"/>
        </w:rPr>
        <w:t>We are yet to make an a</w:t>
      </w:r>
      <w:r w:rsidR="008E46D2">
        <w:rPr>
          <w:sz w:val="20"/>
          <w:szCs w:val="20"/>
          <w:lang w:val="en-US"/>
        </w:rPr>
        <w:t xml:space="preserve">pplication for obtaining Factory licence </w:t>
      </w:r>
      <w:r w:rsidRPr="00B62BBA">
        <w:rPr>
          <w:sz w:val="20"/>
          <w:szCs w:val="20"/>
          <w:lang w:val="en-US"/>
        </w:rPr>
        <w:t>with Director Industrial Safety and Health, Jamnagar</w:t>
      </w:r>
      <w:r w:rsidRPr="00B62BBA">
        <w:rPr>
          <w:sz w:val="20"/>
          <w:szCs w:val="20"/>
          <w:lang w:val="en-US"/>
        </w:rPr>
        <w:t xml:space="preserve"> </w:t>
      </w:r>
      <w:r w:rsidR="008E46D2">
        <w:rPr>
          <w:sz w:val="20"/>
          <w:szCs w:val="20"/>
          <w:lang w:val="en-US"/>
        </w:rPr>
        <w:t xml:space="preserve">for </w:t>
      </w:r>
      <w:r w:rsidR="00D95C11">
        <w:rPr>
          <w:sz w:val="20"/>
          <w:szCs w:val="20"/>
          <w:lang w:val="en-US"/>
        </w:rPr>
        <w:t xml:space="preserve">our </w:t>
      </w:r>
      <w:r w:rsidR="008E46D2">
        <w:rPr>
          <w:sz w:val="20"/>
          <w:szCs w:val="20"/>
          <w:lang w:val="en-US"/>
        </w:rPr>
        <w:t xml:space="preserve">manufacturing unit at </w:t>
      </w:r>
      <w:r w:rsidR="008E46D2" w:rsidRPr="008E46D2">
        <w:rPr>
          <w:sz w:val="20"/>
          <w:szCs w:val="20"/>
          <w:lang w:val="en-US"/>
        </w:rPr>
        <w:t>Plot 12 and 14, Naghedi, Post-Khodiyar Colony, Lakhabavad – 361006 Dist. Jamnagar</w:t>
      </w:r>
      <w:r w:rsidR="008E46D2">
        <w:rPr>
          <w:sz w:val="20"/>
          <w:szCs w:val="20"/>
          <w:lang w:val="en-US"/>
        </w:rPr>
        <w:t>.</w:t>
      </w:r>
    </w:p>
    <w:bookmarkEnd w:id="25"/>
    <w:p w14:paraId="5BBA3BB4" w14:textId="77777777" w:rsidR="008E46D2" w:rsidRDefault="008E46D2" w:rsidP="008E46D2">
      <w:pPr>
        <w:pStyle w:val="ListParagraph"/>
        <w:suppressAutoHyphens w:val="0"/>
        <w:autoSpaceDE/>
        <w:autoSpaceDN/>
        <w:adjustRightInd/>
        <w:spacing w:line="240" w:lineRule="auto"/>
        <w:ind w:left="360"/>
        <w:contextualSpacing/>
        <w:jc w:val="both"/>
        <w:textAlignment w:val="auto"/>
        <w:rPr>
          <w:sz w:val="20"/>
          <w:szCs w:val="20"/>
        </w:rPr>
      </w:pPr>
    </w:p>
    <w:p w14:paraId="149B7D7F" w14:textId="50FE42E2" w:rsidR="008E46D2" w:rsidRDefault="008E46D2" w:rsidP="008E46D2">
      <w:pPr>
        <w:pStyle w:val="ListParagraph"/>
        <w:numPr>
          <w:ilvl w:val="0"/>
          <w:numId w:val="360"/>
        </w:numPr>
        <w:suppressAutoHyphens w:val="0"/>
        <w:autoSpaceDE/>
        <w:autoSpaceDN/>
        <w:adjustRightInd/>
        <w:spacing w:line="240" w:lineRule="auto"/>
        <w:contextualSpacing/>
        <w:jc w:val="both"/>
        <w:textAlignment w:val="auto"/>
        <w:rPr>
          <w:sz w:val="20"/>
          <w:szCs w:val="20"/>
        </w:rPr>
      </w:pPr>
      <w:r w:rsidRPr="008E46D2">
        <w:rPr>
          <w:sz w:val="20"/>
          <w:szCs w:val="20"/>
        </w:rPr>
        <w:t>Change in name of all the licenses and approvals which are in the name of “Siyaram Impex Private Limited”, the same are required to be updated/ changed with various government/ semi government authorities and various organization consequent to the change in name and conversion of the Company to Public Company i.e., Siyaram Recycling Industries Limited;</w:t>
      </w:r>
    </w:p>
    <w:p w14:paraId="042939B7" w14:textId="77777777" w:rsidR="008E46D2" w:rsidRPr="008E46D2" w:rsidRDefault="008E46D2" w:rsidP="008E46D2">
      <w:pPr>
        <w:pStyle w:val="ListParagraph"/>
        <w:suppressAutoHyphens w:val="0"/>
        <w:autoSpaceDE/>
        <w:autoSpaceDN/>
        <w:adjustRightInd/>
        <w:spacing w:line="240" w:lineRule="auto"/>
        <w:ind w:left="360"/>
        <w:contextualSpacing/>
        <w:jc w:val="both"/>
        <w:textAlignment w:val="auto"/>
        <w:rPr>
          <w:sz w:val="20"/>
          <w:szCs w:val="20"/>
        </w:rPr>
      </w:pPr>
    </w:p>
    <w:p w14:paraId="3580FFDF" w14:textId="77777777" w:rsidR="008E46D2" w:rsidRPr="008E46D2" w:rsidRDefault="008E46D2" w:rsidP="008E46D2">
      <w:pPr>
        <w:pStyle w:val="ListParagraph"/>
        <w:suppressAutoHyphens w:val="0"/>
        <w:autoSpaceDE/>
        <w:autoSpaceDN/>
        <w:adjustRightInd/>
        <w:spacing w:line="240" w:lineRule="auto"/>
        <w:ind w:left="360"/>
        <w:contextualSpacing/>
        <w:jc w:val="both"/>
        <w:textAlignment w:val="auto"/>
        <w:rPr>
          <w:sz w:val="20"/>
          <w:szCs w:val="20"/>
        </w:rPr>
      </w:pPr>
    </w:p>
    <w:p w14:paraId="15016DB5" w14:textId="77777777" w:rsidR="00FF3D95" w:rsidRPr="00712F3C" w:rsidRDefault="00FF3D95" w:rsidP="00FF3D95">
      <w:pPr>
        <w:widowControl w:val="0"/>
        <w:spacing w:after="0" w:line="240" w:lineRule="auto"/>
        <w:ind w:left="426" w:right="-16"/>
        <w:jc w:val="both"/>
        <w:outlineLvl w:val="2"/>
        <w:rPr>
          <w:rFonts w:ascii="Times New Roman" w:hAnsi="Times New Roman"/>
          <w:b/>
          <w:bCs/>
          <w:sz w:val="20"/>
          <w:szCs w:val="20"/>
          <w:lang w:bidi="en-US"/>
        </w:rPr>
      </w:pPr>
    </w:p>
    <w:p w14:paraId="72DA6855" w14:textId="46729410" w:rsidR="00FF3D95" w:rsidRPr="008D1EB0" w:rsidRDefault="00FF3D95" w:rsidP="00FF3D95">
      <w:pPr>
        <w:spacing w:after="0" w:line="240" w:lineRule="auto"/>
        <w:ind w:firstLine="360"/>
        <w:jc w:val="both"/>
        <w:rPr>
          <w:lang w:val="en-IN"/>
        </w:rPr>
      </w:pPr>
    </w:p>
    <w:p w14:paraId="4AC2A58C" w14:textId="5C8ACDDC" w:rsidR="004047F2" w:rsidRDefault="004047F2" w:rsidP="008E46D2">
      <w:pPr>
        <w:pStyle w:val="ListParagraph"/>
        <w:numPr>
          <w:ilvl w:val="0"/>
          <w:numId w:val="360"/>
        </w:numPr>
        <w:suppressAutoHyphens w:val="0"/>
        <w:autoSpaceDE/>
        <w:autoSpaceDN/>
        <w:adjustRightInd/>
        <w:spacing w:line="240" w:lineRule="auto"/>
        <w:contextualSpacing/>
        <w:jc w:val="both"/>
        <w:textAlignment w:val="auto"/>
        <w:rPr>
          <w:rFonts w:eastAsia="MS Mincho"/>
          <w:b/>
          <w:sz w:val="20"/>
          <w:szCs w:val="20"/>
          <w:u w:val="single"/>
        </w:rPr>
      </w:pPr>
      <w:r>
        <w:rPr>
          <w:rFonts w:eastAsia="MS Mincho"/>
          <w:b/>
          <w:sz w:val="20"/>
          <w:szCs w:val="20"/>
          <w:u w:val="single"/>
        </w:rPr>
        <w:br w:type="page"/>
      </w:r>
    </w:p>
    <w:p w14:paraId="10CE915D" w14:textId="755F0C72" w:rsidR="004047F2" w:rsidRDefault="004047F2" w:rsidP="004047F2">
      <w:pPr>
        <w:widowControl w:val="0"/>
        <w:autoSpaceDE w:val="0"/>
        <w:autoSpaceDN w:val="0"/>
        <w:adjustRightInd w:val="0"/>
        <w:spacing w:after="0" w:line="240" w:lineRule="auto"/>
        <w:contextualSpacing/>
        <w:jc w:val="center"/>
        <w:rPr>
          <w:rFonts w:ascii="Times New Roman" w:eastAsia="MS Mincho" w:hAnsi="Times New Roman"/>
          <w:b/>
          <w:sz w:val="20"/>
          <w:szCs w:val="20"/>
          <w:u w:val="single"/>
          <w:lang w:val="x-none"/>
        </w:rPr>
      </w:pPr>
      <w:r w:rsidRPr="004047F2">
        <w:rPr>
          <w:rFonts w:ascii="Times New Roman" w:eastAsia="MS Mincho" w:hAnsi="Times New Roman"/>
          <w:b/>
          <w:sz w:val="20"/>
          <w:szCs w:val="20"/>
          <w:u w:val="single"/>
          <w:lang w:val="x-none"/>
        </w:rPr>
        <w:lastRenderedPageBreak/>
        <w:t>OUR GROUP COMPANIES</w:t>
      </w:r>
    </w:p>
    <w:p w14:paraId="2F84FBFF" w14:textId="77777777" w:rsidR="004047F2" w:rsidRDefault="004047F2" w:rsidP="004047F2">
      <w:pPr>
        <w:widowControl w:val="0"/>
        <w:autoSpaceDE w:val="0"/>
        <w:autoSpaceDN w:val="0"/>
        <w:adjustRightInd w:val="0"/>
        <w:spacing w:after="0" w:line="240" w:lineRule="auto"/>
        <w:contextualSpacing/>
        <w:jc w:val="center"/>
        <w:rPr>
          <w:rFonts w:ascii="Times New Roman" w:eastAsia="MS Mincho" w:hAnsi="Times New Roman"/>
          <w:b/>
          <w:sz w:val="20"/>
          <w:szCs w:val="20"/>
          <w:u w:val="single"/>
          <w:lang w:val="x-none"/>
        </w:rPr>
      </w:pPr>
    </w:p>
    <w:p w14:paraId="1FC9FADB" w14:textId="77777777" w:rsidR="004047F2" w:rsidRPr="00712F3C" w:rsidRDefault="004047F2" w:rsidP="004047F2">
      <w:pPr>
        <w:autoSpaceDE w:val="0"/>
        <w:autoSpaceDN w:val="0"/>
        <w:adjustRightInd w:val="0"/>
        <w:spacing w:after="0" w:line="240" w:lineRule="auto"/>
        <w:jc w:val="both"/>
        <w:rPr>
          <w:rFonts w:ascii="Times New Roman" w:hAnsi="Times New Roman"/>
          <w:sz w:val="20"/>
          <w:szCs w:val="20"/>
        </w:rPr>
      </w:pPr>
      <w:r w:rsidRPr="00712F3C">
        <w:rPr>
          <w:rFonts w:ascii="Times New Roman" w:hAnsi="Times New Roman"/>
          <w:sz w:val="20"/>
          <w:szCs w:val="20"/>
        </w:rPr>
        <w:t xml:space="preserve">As per the SEBI (ICDR) Regulations, 2018, for the purpose of identification of Group Companies, our Company has considered those companies as our Group companies with which there were related party transactions as per the Restated Financial Statements of our Company in any of the last three financial years and stub period and other Companies as considered material by our Board. Further, pursuant to a resolution of our Board dated </w:t>
      </w:r>
      <w:r>
        <w:rPr>
          <w:rFonts w:ascii="Times New Roman" w:hAnsi="Times New Roman"/>
          <w:sz w:val="20"/>
          <w:szCs w:val="20"/>
        </w:rPr>
        <w:t>August 24, 2023</w:t>
      </w:r>
      <w:r w:rsidRPr="00712F3C">
        <w:rPr>
          <w:rFonts w:ascii="Times New Roman" w:hAnsi="Times New Roman"/>
          <w:sz w:val="20"/>
          <w:szCs w:val="20"/>
        </w:rPr>
        <w:t xml:space="preserve"> for the purpose of disclosure in relation to Group companies in connection with the Issue, a company shall be considered material and disclosed as a Group compan</w:t>
      </w:r>
      <w:r>
        <w:rPr>
          <w:rFonts w:ascii="Times New Roman" w:hAnsi="Times New Roman"/>
          <w:sz w:val="20"/>
          <w:szCs w:val="20"/>
        </w:rPr>
        <w:t>y</w:t>
      </w:r>
      <w:r w:rsidRPr="00712F3C">
        <w:rPr>
          <w:rFonts w:ascii="Times New Roman" w:hAnsi="Times New Roman"/>
          <w:sz w:val="20"/>
          <w:szCs w:val="20"/>
        </w:rPr>
        <w:t xml:space="preserve"> if such company fulfills both the below mentioned conditions:</w:t>
      </w:r>
    </w:p>
    <w:p w14:paraId="22A96F3D" w14:textId="77777777" w:rsidR="004047F2" w:rsidRPr="00712F3C" w:rsidRDefault="004047F2" w:rsidP="004047F2">
      <w:pPr>
        <w:autoSpaceDE w:val="0"/>
        <w:autoSpaceDN w:val="0"/>
        <w:adjustRightInd w:val="0"/>
        <w:spacing w:after="0" w:line="240" w:lineRule="auto"/>
        <w:jc w:val="both"/>
        <w:rPr>
          <w:rFonts w:ascii="Times New Roman" w:hAnsi="Times New Roman"/>
          <w:sz w:val="20"/>
          <w:szCs w:val="20"/>
        </w:rPr>
      </w:pPr>
    </w:p>
    <w:p w14:paraId="591D3C2B" w14:textId="77777777" w:rsidR="004047F2" w:rsidRPr="00712F3C" w:rsidRDefault="004047F2">
      <w:pPr>
        <w:numPr>
          <w:ilvl w:val="2"/>
          <w:numId w:val="197"/>
        </w:numPr>
        <w:autoSpaceDE w:val="0"/>
        <w:autoSpaceDN w:val="0"/>
        <w:adjustRightInd w:val="0"/>
        <w:spacing w:after="0" w:line="240" w:lineRule="auto"/>
        <w:ind w:left="360"/>
        <w:jc w:val="both"/>
        <w:rPr>
          <w:rFonts w:ascii="Times New Roman" w:eastAsia="Calibri" w:hAnsi="Times New Roman"/>
          <w:sz w:val="20"/>
          <w:szCs w:val="20"/>
          <w:lang w:bidi="en-US"/>
        </w:rPr>
      </w:pPr>
      <w:r w:rsidRPr="00712F3C">
        <w:rPr>
          <w:rFonts w:ascii="Times New Roman" w:eastAsia="Calibri" w:hAnsi="Times New Roman"/>
          <w:sz w:val="20"/>
          <w:szCs w:val="20"/>
          <w:lang w:bidi="en-US"/>
        </w:rPr>
        <w:t xml:space="preserve">Such company that forms part of the Promoter Group of our Company in terms of Regulation 2(1)(pp) of the SEBI (ICDR) Regulations; and </w:t>
      </w:r>
    </w:p>
    <w:p w14:paraId="519A22A0" w14:textId="77777777" w:rsidR="004047F2" w:rsidRPr="00712F3C" w:rsidRDefault="004047F2" w:rsidP="004047F2">
      <w:pPr>
        <w:autoSpaceDE w:val="0"/>
        <w:autoSpaceDN w:val="0"/>
        <w:adjustRightInd w:val="0"/>
        <w:spacing w:after="0" w:line="240" w:lineRule="auto"/>
        <w:jc w:val="both"/>
        <w:rPr>
          <w:rFonts w:ascii="Times New Roman" w:eastAsia="Calibri" w:hAnsi="Times New Roman"/>
          <w:sz w:val="20"/>
          <w:szCs w:val="20"/>
          <w:lang w:bidi="en-US"/>
        </w:rPr>
      </w:pPr>
    </w:p>
    <w:p w14:paraId="212F2846" w14:textId="77777777" w:rsidR="004047F2" w:rsidRPr="00712F3C" w:rsidRDefault="004047F2">
      <w:pPr>
        <w:numPr>
          <w:ilvl w:val="2"/>
          <w:numId w:val="197"/>
        </w:numPr>
        <w:autoSpaceDE w:val="0"/>
        <w:autoSpaceDN w:val="0"/>
        <w:adjustRightInd w:val="0"/>
        <w:spacing w:after="0" w:line="240" w:lineRule="auto"/>
        <w:ind w:left="360"/>
        <w:jc w:val="both"/>
        <w:rPr>
          <w:rFonts w:ascii="Times New Roman" w:eastAsia="Calibri" w:hAnsi="Times New Roman"/>
          <w:sz w:val="20"/>
          <w:szCs w:val="20"/>
          <w:lang w:bidi="en-US"/>
        </w:rPr>
      </w:pPr>
      <w:r w:rsidRPr="00712F3C">
        <w:rPr>
          <w:rFonts w:ascii="Times New Roman" w:eastAsia="Calibri" w:hAnsi="Times New Roman"/>
          <w:sz w:val="20"/>
          <w:szCs w:val="20"/>
          <w:lang w:bidi="en-US"/>
        </w:rPr>
        <w:t xml:space="preserve">Our Company has entered into one or more transactions with such company in preceding fiscal or audit period as the case may be exceeding 10.00% of total revenue of the company as per Restated Financial Statements. </w:t>
      </w:r>
    </w:p>
    <w:p w14:paraId="2928B83C" w14:textId="77777777" w:rsidR="004047F2" w:rsidRPr="00712F3C" w:rsidRDefault="004047F2" w:rsidP="004047F2">
      <w:pPr>
        <w:autoSpaceDE w:val="0"/>
        <w:autoSpaceDN w:val="0"/>
        <w:adjustRightInd w:val="0"/>
        <w:spacing w:after="0" w:line="240" w:lineRule="auto"/>
        <w:jc w:val="both"/>
        <w:rPr>
          <w:rFonts w:ascii="Times New Roman" w:eastAsia="Calibri" w:hAnsi="Times New Roman"/>
          <w:sz w:val="20"/>
          <w:szCs w:val="20"/>
          <w:lang w:bidi="en-US"/>
        </w:rPr>
      </w:pPr>
    </w:p>
    <w:p w14:paraId="1A308F1F" w14:textId="77777777" w:rsidR="004047F2" w:rsidRPr="00712F3C" w:rsidRDefault="004047F2" w:rsidP="004047F2">
      <w:pPr>
        <w:autoSpaceDE w:val="0"/>
        <w:autoSpaceDN w:val="0"/>
        <w:adjustRightInd w:val="0"/>
        <w:spacing w:after="0" w:line="240" w:lineRule="auto"/>
        <w:jc w:val="both"/>
        <w:rPr>
          <w:rFonts w:ascii="Times New Roman" w:hAnsi="Times New Roman"/>
          <w:sz w:val="20"/>
          <w:szCs w:val="20"/>
        </w:rPr>
      </w:pPr>
      <w:r w:rsidRPr="00712F3C">
        <w:rPr>
          <w:rFonts w:ascii="Times New Roman" w:hAnsi="Times New Roman"/>
          <w:sz w:val="20"/>
          <w:szCs w:val="20"/>
        </w:rPr>
        <w:t>Based on the above, the following Companies are identified as our Group Companies:</w:t>
      </w:r>
    </w:p>
    <w:p w14:paraId="53EF4A03" w14:textId="77777777" w:rsidR="004047F2" w:rsidRPr="00712F3C" w:rsidRDefault="004047F2" w:rsidP="004047F2">
      <w:pPr>
        <w:spacing w:after="0" w:line="240" w:lineRule="auto"/>
        <w:rPr>
          <w:rFonts w:ascii="Times New Roman" w:hAnsi="Times New Roman"/>
          <w:spacing w:val="-27"/>
          <w:sz w:val="20"/>
          <w:szCs w:val="20"/>
          <w:shd w:val="clear" w:color="auto" w:fill="D9D9D9"/>
        </w:rPr>
      </w:pPr>
    </w:p>
    <w:p w14:paraId="1DF7464F" w14:textId="77777777" w:rsidR="004047F2" w:rsidRPr="00712F3C" w:rsidRDefault="004047F2">
      <w:pPr>
        <w:pStyle w:val="ListParagraph"/>
        <w:numPr>
          <w:ilvl w:val="0"/>
          <w:numId w:val="196"/>
        </w:numPr>
        <w:spacing w:line="240" w:lineRule="auto"/>
        <w:rPr>
          <w:sz w:val="20"/>
          <w:szCs w:val="20"/>
        </w:rPr>
      </w:pPr>
      <w:r w:rsidRPr="00D527F9">
        <w:rPr>
          <w:sz w:val="20"/>
          <w:szCs w:val="20"/>
          <w:lang w:val="en-IN"/>
        </w:rPr>
        <w:t xml:space="preserve">Apex Devcon </w:t>
      </w:r>
      <w:r w:rsidRPr="00712F3C">
        <w:rPr>
          <w:sz w:val="20"/>
          <w:szCs w:val="20"/>
          <w:lang w:val="en-IN"/>
        </w:rPr>
        <w:t>Private Limited</w:t>
      </w:r>
    </w:p>
    <w:p w14:paraId="325109C9" w14:textId="77777777" w:rsidR="004047F2" w:rsidRPr="00712F3C" w:rsidRDefault="004047F2">
      <w:pPr>
        <w:pStyle w:val="ListParagraph"/>
        <w:numPr>
          <w:ilvl w:val="0"/>
          <w:numId w:val="196"/>
        </w:numPr>
        <w:spacing w:line="240" w:lineRule="auto"/>
        <w:rPr>
          <w:sz w:val="20"/>
          <w:szCs w:val="20"/>
        </w:rPr>
      </w:pPr>
      <w:r w:rsidRPr="00D527F9">
        <w:rPr>
          <w:sz w:val="20"/>
          <w:szCs w:val="20"/>
          <w:lang w:val="en-IN"/>
        </w:rPr>
        <w:t xml:space="preserve">Dwarkesh Alloys Private </w:t>
      </w:r>
      <w:r w:rsidRPr="00712F3C">
        <w:rPr>
          <w:sz w:val="20"/>
          <w:szCs w:val="20"/>
          <w:lang w:val="en-IN"/>
        </w:rPr>
        <w:t>Limited</w:t>
      </w:r>
    </w:p>
    <w:p w14:paraId="69F129A0" w14:textId="77777777" w:rsidR="004047F2" w:rsidRPr="00A325D2" w:rsidRDefault="004047F2">
      <w:pPr>
        <w:pStyle w:val="ListParagraph"/>
        <w:numPr>
          <w:ilvl w:val="0"/>
          <w:numId w:val="196"/>
        </w:numPr>
        <w:spacing w:line="240" w:lineRule="auto"/>
        <w:rPr>
          <w:sz w:val="20"/>
          <w:szCs w:val="20"/>
        </w:rPr>
      </w:pPr>
      <w:r w:rsidRPr="00A325D2">
        <w:rPr>
          <w:sz w:val="20"/>
          <w:szCs w:val="20"/>
          <w:lang w:val="en-IN"/>
        </w:rPr>
        <w:t>Simpex Overseas Private Limited</w:t>
      </w:r>
    </w:p>
    <w:p w14:paraId="63D6D583" w14:textId="77777777" w:rsidR="004047F2" w:rsidRPr="00712F3C" w:rsidRDefault="004047F2" w:rsidP="004047F2">
      <w:pPr>
        <w:pStyle w:val="ListParagraph"/>
        <w:spacing w:line="240" w:lineRule="auto"/>
        <w:rPr>
          <w:sz w:val="20"/>
          <w:szCs w:val="20"/>
        </w:rPr>
      </w:pPr>
      <w:r w:rsidRPr="00712F3C">
        <w:rPr>
          <w:sz w:val="20"/>
          <w:szCs w:val="20"/>
          <w:lang w:val="en-US"/>
        </w:rPr>
        <w:t xml:space="preserve"> </w:t>
      </w:r>
    </w:p>
    <w:p w14:paraId="43C9DC21" w14:textId="77777777" w:rsidR="004047F2" w:rsidRPr="00712F3C" w:rsidRDefault="004047F2" w:rsidP="004047F2">
      <w:pPr>
        <w:pStyle w:val="BodyText"/>
        <w:rPr>
          <w:rFonts w:ascii="Times New Roman" w:hAnsi="Times New Roman" w:cs="Times New Roman"/>
          <w:b/>
          <w:sz w:val="20"/>
          <w:szCs w:val="20"/>
          <w:u w:val="single"/>
        </w:rPr>
      </w:pPr>
      <w:r w:rsidRPr="00712F3C">
        <w:rPr>
          <w:rFonts w:ascii="Times New Roman" w:hAnsi="Times New Roman" w:cs="Times New Roman"/>
          <w:b/>
          <w:sz w:val="20"/>
          <w:szCs w:val="20"/>
          <w:u w:val="single"/>
        </w:rPr>
        <w:t xml:space="preserve">Details of our Group Companies: </w:t>
      </w:r>
    </w:p>
    <w:p w14:paraId="320EBA27" w14:textId="77777777" w:rsidR="004047F2" w:rsidRPr="00712F3C" w:rsidRDefault="004047F2" w:rsidP="004047F2">
      <w:pPr>
        <w:pStyle w:val="ListParagraph"/>
        <w:spacing w:line="240" w:lineRule="auto"/>
        <w:ind w:left="360"/>
        <w:rPr>
          <w:b/>
          <w:sz w:val="20"/>
          <w:szCs w:val="20"/>
        </w:rPr>
      </w:pPr>
    </w:p>
    <w:p w14:paraId="7A082DAD" w14:textId="77777777" w:rsidR="004047F2" w:rsidRPr="00712F3C" w:rsidRDefault="004047F2">
      <w:pPr>
        <w:pStyle w:val="ListParagraph"/>
        <w:numPr>
          <w:ilvl w:val="0"/>
          <w:numId w:val="198"/>
        </w:numPr>
        <w:spacing w:line="240" w:lineRule="auto"/>
        <w:rPr>
          <w:b/>
          <w:sz w:val="20"/>
          <w:szCs w:val="20"/>
        </w:rPr>
      </w:pPr>
      <w:r w:rsidRPr="00A325D2">
        <w:rPr>
          <w:b/>
          <w:sz w:val="20"/>
          <w:szCs w:val="20"/>
          <w:lang w:val="en-GB"/>
        </w:rPr>
        <w:t xml:space="preserve">Apex Devcon </w:t>
      </w:r>
      <w:r w:rsidRPr="00712F3C">
        <w:rPr>
          <w:b/>
          <w:sz w:val="20"/>
          <w:szCs w:val="20"/>
          <w:lang w:val="en-GB"/>
        </w:rPr>
        <w:t>Private Limited</w:t>
      </w:r>
    </w:p>
    <w:p w14:paraId="26CD38F0" w14:textId="77777777" w:rsidR="004047F2" w:rsidRPr="00712F3C" w:rsidRDefault="004047F2" w:rsidP="004047F2">
      <w:pPr>
        <w:pStyle w:val="Heading2"/>
        <w:spacing w:before="0" w:line="240" w:lineRule="auto"/>
        <w:rPr>
          <w:rFonts w:ascii="Times New Roman" w:hAnsi="Times New Roman"/>
          <w:b w:val="0"/>
          <w:sz w:val="20"/>
          <w:szCs w:val="20"/>
        </w:rPr>
      </w:pPr>
    </w:p>
    <w:p w14:paraId="2A0E2907" w14:textId="77777777" w:rsidR="004047F2" w:rsidRPr="00712F3C" w:rsidRDefault="004047F2" w:rsidP="004047F2">
      <w:pPr>
        <w:spacing w:after="0" w:line="240" w:lineRule="auto"/>
        <w:jc w:val="both"/>
        <w:rPr>
          <w:rFonts w:ascii="Times New Roman" w:hAnsi="Times New Roman"/>
          <w:sz w:val="20"/>
          <w:szCs w:val="20"/>
          <w:lang w:val="en-GB"/>
        </w:rPr>
      </w:pPr>
      <w:r w:rsidRPr="00A325D2">
        <w:rPr>
          <w:rFonts w:ascii="Times New Roman" w:hAnsi="Times New Roman"/>
          <w:sz w:val="20"/>
          <w:szCs w:val="20"/>
          <w:lang w:val="en-GB"/>
        </w:rPr>
        <w:t xml:space="preserve">Apex Devcon </w:t>
      </w:r>
      <w:r w:rsidRPr="00712F3C">
        <w:rPr>
          <w:rFonts w:ascii="Times New Roman" w:hAnsi="Times New Roman"/>
          <w:sz w:val="20"/>
          <w:szCs w:val="20"/>
          <w:lang w:val="en-GB"/>
        </w:rPr>
        <w:t xml:space="preserve">Private Limited was incorporated on </w:t>
      </w:r>
      <w:r>
        <w:rPr>
          <w:rFonts w:ascii="Times New Roman" w:hAnsi="Times New Roman"/>
          <w:sz w:val="20"/>
          <w:szCs w:val="20"/>
          <w:lang w:val="en-GB"/>
        </w:rPr>
        <w:t>July 20, 2009</w:t>
      </w:r>
      <w:r w:rsidRPr="00712F3C">
        <w:rPr>
          <w:rFonts w:ascii="Times New Roman" w:hAnsi="Times New Roman"/>
          <w:sz w:val="20"/>
          <w:szCs w:val="20"/>
          <w:lang w:val="en-GB"/>
        </w:rPr>
        <w:t xml:space="preserve"> as a private limited company under the Companies Act, 1956 </w:t>
      </w:r>
      <w:r>
        <w:rPr>
          <w:rFonts w:ascii="Times New Roman" w:hAnsi="Times New Roman"/>
          <w:sz w:val="20"/>
          <w:szCs w:val="20"/>
          <w:lang w:val="en-GB"/>
        </w:rPr>
        <w:t>in the</w:t>
      </w:r>
      <w:r w:rsidRPr="00712F3C">
        <w:rPr>
          <w:rFonts w:ascii="Times New Roman" w:hAnsi="Times New Roman"/>
          <w:sz w:val="20"/>
          <w:szCs w:val="20"/>
          <w:lang w:val="en-GB"/>
        </w:rPr>
        <w:t xml:space="preserve"> name “</w:t>
      </w:r>
      <w:r w:rsidRPr="00D02D60">
        <w:rPr>
          <w:rFonts w:ascii="Times New Roman" w:hAnsi="Times New Roman"/>
          <w:sz w:val="20"/>
          <w:szCs w:val="20"/>
          <w:lang w:val="en-GB"/>
        </w:rPr>
        <w:t>Marc Alloys Private Limited</w:t>
      </w:r>
      <w:r w:rsidRPr="00712F3C">
        <w:rPr>
          <w:rFonts w:ascii="Times New Roman" w:hAnsi="Times New Roman"/>
          <w:sz w:val="20"/>
          <w:szCs w:val="20"/>
          <w:lang w:val="en-GB"/>
        </w:rPr>
        <w:t xml:space="preserve">” pursuant to a certificate of incorporation issued by the Registrar of Companies, </w:t>
      </w:r>
      <w:r w:rsidRPr="00D02D60">
        <w:rPr>
          <w:rFonts w:ascii="Times New Roman" w:hAnsi="Times New Roman"/>
          <w:sz w:val="20"/>
          <w:szCs w:val="20"/>
          <w:lang w:val="en-GB"/>
        </w:rPr>
        <w:t>National Capital Territory of Delhi and Haryana</w:t>
      </w:r>
      <w:r w:rsidRPr="00712F3C">
        <w:rPr>
          <w:rFonts w:ascii="Times New Roman" w:hAnsi="Times New Roman"/>
          <w:sz w:val="20"/>
          <w:szCs w:val="20"/>
          <w:lang w:val="en-GB"/>
        </w:rPr>
        <w:t>. Further, the company has changed its name from “</w:t>
      </w:r>
      <w:r w:rsidRPr="00D02D60">
        <w:rPr>
          <w:rFonts w:ascii="Times New Roman" w:hAnsi="Times New Roman"/>
          <w:sz w:val="20"/>
          <w:szCs w:val="20"/>
          <w:lang w:val="en-GB"/>
        </w:rPr>
        <w:t>Marc Alloys Private Limited</w:t>
      </w:r>
      <w:r w:rsidRPr="00712F3C">
        <w:rPr>
          <w:rFonts w:ascii="Times New Roman" w:hAnsi="Times New Roman"/>
          <w:sz w:val="20"/>
          <w:szCs w:val="20"/>
          <w:lang w:val="en-GB"/>
        </w:rPr>
        <w:t>” to “</w:t>
      </w:r>
      <w:r>
        <w:rPr>
          <w:rFonts w:ascii="Times New Roman" w:hAnsi="Times New Roman"/>
          <w:sz w:val="20"/>
          <w:szCs w:val="20"/>
          <w:lang w:val="en-GB"/>
        </w:rPr>
        <w:t>Apex Devcon</w:t>
      </w:r>
      <w:r w:rsidRPr="00712F3C">
        <w:rPr>
          <w:rFonts w:ascii="Times New Roman" w:hAnsi="Times New Roman"/>
          <w:sz w:val="20"/>
          <w:szCs w:val="20"/>
          <w:lang w:val="en-GB"/>
        </w:rPr>
        <w:t xml:space="preserve"> Private Limited” vide </w:t>
      </w:r>
      <w:r w:rsidRPr="00D02D60">
        <w:rPr>
          <w:rFonts w:ascii="Times New Roman" w:hAnsi="Times New Roman"/>
          <w:sz w:val="20"/>
          <w:szCs w:val="20"/>
          <w:lang w:val="en-GB"/>
        </w:rPr>
        <w:t xml:space="preserve">Fresh Certificate of Incorporation Consequent upon Change of Name </w:t>
      </w:r>
      <w:r w:rsidRPr="00712F3C">
        <w:rPr>
          <w:rFonts w:ascii="Times New Roman" w:hAnsi="Times New Roman"/>
          <w:sz w:val="20"/>
          <w:szCs w:val="20"/>
          <w:lang w:val="en-GB"/>
        </w:rPr>
        <w:t xml:space="preserve">dated </w:t>
      </w:r>
      <w:r>
        <w:rPr>
          <w:rFonts w:ascii="Times New Roman" w:hAnsi="Times New Roman"/>
          <w:sz w:val="20"/>
          <w:szCs w:val="20"/>
          <w:lang w:val="en-GB"/>
        </w:rPr>
        <w:t>October 04, 2011</w:t>
      </w:r>
      <w:r w:rsidRPr="00712F3C">
        <w:rPr>
          <w:rFonts w:ascii="Times New Roman" w:hAnsi="Times New Roman"/>
          <w:sz w:val="20"/>
          <w:szCs w:val="20"/>
          <w:lang w:val="en-GB"/>
        </w:rPr>
        <w:t xml:space="preserve">, issued by the Registrar of Companies, </w:t>
      </w:r>
      <w:r w:rsidRPr="00D02D60">
        <w:rPr>
          <w:rFonts w:ascii="Times New Roman" w:hAnsi="Times New Roman"/>
          <w:sz w:val="20"/>
          <w:szCs w:val="20"/>
          <w:lang w:val="en-GB"/>
        </w:rPr>
        <w:t>National Capital Territory of Delhi and Haryana</w:t>
      </w:r>
      <w:r w:rsidRPr="00712F3C">
        <w:rPr>
          <w:rFonts w:ascii="Times New Roman" w:hAnsi="Times New Roman"/>
          <w:sz w:val="20"/>
          <w:szCs w:val="20"/>
          <w:lang w:val="en-GB"/>
        </w:rPr>
        <w:t>.</w:t>
      </w:r>
    </w:p>
    <w:p w14:paraId="7C48C336" w14:textId="77777777" w:rsidR="004047F2" w:rsidRPr="00712F3C" w:rsidRDefault="004047F2" w:rsidP="004047F2">
      <w:pPr>
        <w:spacing w:after="0" w:line="240" w:lineRule="auto"/>
        <w:jc w:val="both"/>
        <w:rPr>
          <w:rFonts w:ascii="Times New Roman" w:hAnsi="Times New Roman"/>
          <w:sz w:val="20"/>
          <w:szCs w:val="20"/>
          <w:lang w:val="en-GB"/>
        </w:rPr>
      </w:pPr>
    </w:p>
    <w:tbl>
      <w:tblPr>
        <w:tblW w:w="494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7"/>
        <w:gridCol w:w="8566"/>
      </w:tblGrid>
      <w:tr w:rsidR="004047F2" w:rsidRPr="00712F3C" w14:paraId="74C87E48" w14:textId="77777777" w:rsidTr="00250DAC">
        <w:tc>
          <w:tcPr>
            <w:tcW w:w="859" w:type="pct"/>
            <w:shd w:val="clear" w:color="auto" w:fill="D0CECE"/>
            <w:vAlign w:val="center"/>
          </w:tcPr>
          <w:p w14:paraId="0E75EE60" w14:textId="77777777" w:rsidR="004047F2" w:rsidRPr="00712F3C" w:rsidRDefault="004047F2" w:rsidP="00250DAC">
            <w:pPr>
              <w:spacing w:after="0" w:line="240" w:lineRule="auto"/>
              <w:jc w:val="both"/>
              <w:rPr>
                <w:rFonts w:ascii="Times New Roman" w:hAnsi="Times New Roman"/>
                <w:b/>
                <w:sz w:val="20"/>
                <w:szCs w:val="20"/>
                <w:lang w:val="en-GB"/>
              </w:rPr>
            </w:pPr>
            <w:r w:rsidRPr="00712F3C">
              <w:rPr>
                <w:rFonts w:ascii="Times New Roman" w:hAnsi="Times New Roman"/>
                <w:b/>
                <w:sz w:val="20"/>
                <w:szCs w:val="20"/>
                <w:lang w:val="en-GB"/>
              </w:rPr>
              <w:t>CIN</w:t>
            </w:r>
          </w:p>
        </w:tc>
        <w:tc>
          <w:tcPr>
            <w:tcW w:w="4141" w:type="pct"/>
            <w:vAlign w:val="center"/>
          </w:tcPr>
          <w:p w14:paraId="5D4680CF" w14:textId="77777777" w:rsidR="004047F2" w:rsidRPr="00712F3C" w:rsidRDefault="004047F2" w:rsidP="00250DAC">
            <w:pPr>
              <w:spacing w:after="0" w:line="240" w:lineRule="auto"/>
              <w:jc w:val="both"/>
              <w:rPr>
                <w:rFonts w:ascii="Times New Roman" w:eastAsia="MS Mincho" w:hAnsi="Times New Roman"/>
                <w:sz w:val="20"/>
                <w:szCs w:val="20"/>
              </w:rPr>
            </w:pPr>
            <w:r w:rsidRPr="00D02D60">
              <w:rPr>
                <w:rFonts w:ascii="Times New Roman" w:eastAsia="MS Mincho" w:hAnsi="Times New Roman"/>
                <w:sz w:val="20"/>
                <w:szCs w:val="20"/>
              </w:rPr>
              <w:t>U45203DL2009PTC192387</w:t>
            </w:r>
          </w:p>
        </w:tc>
      </w:tr>
      <w:tr w:rsidR="004047F2" w:rsidRPr="00712F3C" w14:paraId="54E66B38" w14:textId="77777777" w:rsidTr="00250DAC">
        <w:tc>
          <w:tcPr>
            <w:tcW w:w="859" w:type="pct"/>
            <w:shd w:val="clear" w:color="auto" w:fill="D0CECE"/>
            <w:vAlign w:val="center"/>
          </w:tcPr>
          <w:p w14:paraId="4AA17E60" w14:textId="77777777" w:rsidR="004047F2" w:rsidRPr="00712F3C" w:rsidRDefault="004047F2" w:rsidP="00250DAC">
            <w:pPr>
              <w:spacing w:after="0" w:line="240" w:lineRule="auto"/>
              <w:jc w:val="both"/>
              <w:rPr>
                <w:rFonts w:ascii="Times New Roman" w:hAnsi="Times New Roman"/>
                <w:b/>
                <w:sz w:val="20"/>
                <w:szCs w:val="20"/>
                <w:lang w:val="en-GB"/>
              </w:rPr>
            </w:pPr>
            <w:r w:rsidRPr="00712F3C">
              <w:rPr>
                <w:rFonts w:ascii="Times New Roman" w:hAnsi="Times New Roman"/>
                <w:b/>
                <w:sz w:val="20"/>
                <w:szCs w:val="20"/>
                <w:lang w:val="en-GB"/>
              </w:rPr>
              <w:t>PAN</w:t>
            </w:r>
          </w:p>
        </w:tc>
        <w:tc>
          <w:tcPr>
            <w:tcW w:w="4141" w:type="pct"/>
            <w:vAlign w:val="center"/>
          </w:tcPr>
          <w:p w14:paraId="307A0A35" w14:textId="77777777" w:rsidR="004047F2" w:rsidRPr="00712F3C" w:rsidRDefault="004047F2" w:rsidP="00250DAC">
            <w:pPr>
              <w:spacing w:after="0" w:line="240" w:lineRule="auto"/>
              <w:jc w:val="both"/>
              <w:rPr>
                <w:rFonts w:ascii="Times New Roman" w:eastAsia="MS Mincho" w:hAnsi="Times New Roman"/>
                <w:sz w:val="20"/>
                <w:szCs w:val="20"/>
              </w:rPr>
            </w:pPr>
            <w:r w:rsidRPr="00D02D60">
              <w:rPr>
                <w:rFonts w:ascii="Times New Roman" w:hAnsi="Times New Roman"/>
                <w:sz w:val="20"/>
                <w:szCs w:val="20"/>
                <w:lang w:val="en-IN" w:eastAsia="en-IN"/>
              </w:rPr>
              <w:t>AAHCM0691F</w:t>
            </w:r>
          </w:p>
        </w:tc>
      </w:tr>
      <w:tr w:rsidR="004047F2" w:rsidRPr="00712F3C" w14:paraId="3C3C4800" w14:textId="77777777" w:rsidTr="00250DAC">
        <w:trPr>
          <w:trHeight w:val="229"/>
        </w:trPr>
        <w:tc>
          <w:tcPr>
            <w:tcW w:w="859" w:type="pct"/>
            <w:shd w:val="clear" w:color="auto" w:fill="D0CECE"/>
            <w:vAlign w:val="center"/>
          </w:tcPr>
          <w:p w14:paraId="26AC26A0" w14:textId="77777777" w:rsidR="004047F2" w:rsidRPr="00712F3C" w:rsidRDefault="004047F2" w:rsidP="00250DAC">
            <w:pPr>
              <w:autoSpaceDE w:val="0"/>
              <w:autoSpaceDN w:val="0"/>
              <w:adjustRightInd w:val="0"/>
              <w:spacing w:after="0" w:line="240" w:lineRule="auto"/>
              <w:rPr>
                <w:rFonts w:ascii="Times New Roman" w:hAnsi="Times New Roman"/>
                <w:b/>
                <w:color w:val="000000"/>
                <w:sz w:val="20"/>
                <w:szCs w:val="20"/>
                <w:lang w:val="en-IN" w:eastAsia="en-IN"/>
              </w:rPr>
            </w:pPr>
            <w:r w:rsidRPr="00712F3C">
              <w:rPr>
                <w:rFonts w:ascii="Times New Roman" w:hAnsi="Times New Roman"/>
                <w:b/>
                <w:color w:val="000000"/>
                <w:sz w:val="20"/>
                <w:szCs w:val="20"/>
                <w:lang w:val="en-IN" w:eastAsia="en-IN"/>
              </w:rPr>
              <w:t>Registered Office</w:t>
            </w:r>
          </w:p>
        </w:tc>
        <w:tc>
          <w:tcPr>
            <w:tcW w:w="4141" w:type="pct"/>
            <w:vAlign w:val="center"/>
          </w:tcPr>
          <w:p w14:paraId="35529574" w14:textId="77777777" w:rsidR="004047F2" w:rsidRPr="00712F3C" w:rsidRDefault="004047F2" w:rsidP="00250DAC">
            <w:pPr>
              <w:autoSpaceDE w:val="0"/>
              <w:autoSpaceDN w:val="0"/>
              <w:adjustRightInd w:val="0"/>
              <w:spacing w:after="0" w:line="240" w:lineRule="auto"/>
              <w:rPr>
                <w:rFonts w:ascii="Times New Roman" w:hAnsi="Times New Roman"/>
                <w:color w:val="000000"/>
                <w:sz w:val="20"/>
                <w:szCs w:val="20"/>
                <w:lang w:val="en-IN" w:eastAsia="en-IN"/>
              </w:rPr>
            </w:pPr>
            <w:r w:rsidRPr="00D02D60">
              <w:rPr>
                <w:rFonts w:ascii="Times New Roman" w:eastAsia="Calibri" w:hAnsi="Times New Roman"/>
                <w:color w:val="000000"/>
                <w:sz w:val="20"/>
                <w:szCs w:val="20"/>
              </w:rPr>
              <w:t>Kh. No. 37/10, Plot No. 4, Street 2 Block-Hshahbad, Daulatpur New Delhi</w:t>
            </w:r>
            <w:r>
              <w:rPr>
                <w:rFonts w:ascii="Times New Roman" w:eastAsia="Calibri" w:hAnsi="Times New Roman"/>
                <w:color w:val="000000"/>
                <w:sz w:val="20"/>
                <w:szCs w:val="20"/>
              </w:rPr>
              <w:t>-1</w:t>
            </w:r>
            <w:r w:rsidRPr="00D02D60">
              <w:rPr>
                <w:rFonts w:ascii="Times New Roman" w:eastAsia="Calibri" w:hAnsi="Times New Roman"/>
                <w:color w:val="000000"/>
                <w:sz w:val="20"/>
                <w:szCs w:val="20"/>
              </w:rPr>
              <w:t>10042</w:t>
            </w:r>
          </w:p>
        </w:tc>
      </w:tr>
    </w:tbl>
    <w:p w14:paraId="6FA2FF10" w14:textId="77777777" w:rsidR="004047F2" w:rsidRPr="00712F3C" w:rsidRDefault="004047F2" w:rsidP="004047F2">
      <w:pPr>
        <w:spacing w:after="0" w:line="240" w:lineRule="auto"/>
        <w:ind w:firstLine="460"/>
        <w:rPr>
          <w:rFonts w:ascii="Times New Roman" w:hAnsi="Times New Roman"/>
          <w:sz w:val="20"/>
          <w:szCs w:val="20"/>
        </w:rPr>
      </w:pPr>
    </w:p>
    <w:p w14:paraId="5B200B90" w14:textId="77777777" w:rsidR="004047F2" w:rsidRPr="00712F3C" w:rsidRDefault="004047F2">
      <w:pPr>
        <w:pStyle w:val="ListParagraph"/>
        <w:numPr>
          <w:ilvl w:val="0"/>
          <w:numId w:val="198"/>
        </w:numPr>
        <w:spacing w:line="240" w:lineRule="auto"/>
        <w:rPr>
          <w:b/>
          <w:sz w:val="20"/>
          <w:szCs w:val="20"/>
        </w:rPr>
      </w:pPr>
      <w:r w:rsidRPr="00D02D60">
        <w:rPr>
          <w:b/>
          <w:sz w:val="20"/>
          <w:szCs w:val="20"/>
          <w:lang w:val="en-IN"/>
        </w:rPr>
        <w:t xml:space="preserve">Dwarkesh Alloys </w:t>
      </w:r>
      <w:r w:rsidRPr="00712F3C">
        <w:rPr>
          <w:b/>
          <w:sz w:val="20"/>
          <w:szCs w:val="20"/>
          <w:lang w:val="en-IN"/>
        </w:rPr>
        <w:t xml:space="preserve">Private Limited </w:t>
      </w:r>
    </w:p>
    <w:p w14:paraId="77686BCD" w14:textId="77777777" w:rsidR="004047F2" w:rsidRPr="00712F3C" w:rsidRDefault="004047F2" w:rsidP="004047F2">
      <w:pPr>
        <w:pStyle w:val="ListParagraph"/>
        <w:spacing w:line="240" w:lineRule="auto"/>
        <w:ind w:left="360"/>
        <w:rPr>
          <w:b/>
          <w:sz w:val="20"/>
          <w:szCs w:val="20"/>
        </w:rPr>
      </w:pPr>
    </w:p>
    <w:p w14:paraId="7BFC852A" w14:textId="77777777" w:rsidR="004047F2" w:rsidRPr="00712F3C" w:rsidRDefault="004047F2" w:rsidP="004047F2">
      <w:pPr>
        <w:spacing w:after="0" w:line="240" w:lineRule="auto"/>
        <w:jc w:val="both"/>
        <w:rPr>
          <w:rFonts w:ascii="Times New Roman" w:hAnsi="Times New Roman"/>
          <w:sz w:val="20"/>
          <w:szCs w:val="20"/>
          <w:lang w:val="en-GB"/>
        </w:rPr>
      </w:pPr>
      <w:r w:rsidRPr="00D02D60">
        <w:rPr>
          <w:rFonts w:ascii="Times New Roman" w:hAnsi="Times New Roman"/>
          <w:sz w:val="20"/>
          <w:szCs w:val="20"/>
          <w:lang w:val="en-GB"/>
        </w:rPr>
        <w:t xml:space="preserve">Dwarkesh Alloys </w:t>
      </w:r>
      <w:r w:rsidRPr="00712F3C">
        <w:rPr>
          <w:rFonts w:ascii="Times New Roman" w:hAnsi="Times New Roman"/>
          <w:sz w:val="20"/>
          <w:szCs w:val="20"/>
          <w:lang w:val="en-GB"/>
        </w:rPr>
        <w:t xml:space="preserve">Private Limited was incorporated on </w:t>
      </w:r>
      <w:r>
        <w:rPr>
          <w:rFonts w:ascii="Times New Roman" w:hAnsi="Times New Roman"/>
          <w:sz w:val="20"/>
          <w:szCs w:val="20"/>
          <w:lang w:val="en-GB"/>
        </w:rPr>
        <w:t>July 23, 1993</w:t>
      </w:r>
      <w:r w:rsidRPr="00712F3C">
        <w:rPr>
          <w:rFonts w:ascii="Times New Roman" w:hAnsi="Times New Roman"/>
          <w:sz w:val="20"/>
          <w:szCs w:val="20"/>
          <w:lang w:val="en-GB"/>
        </w:rPr>
        <w:t xml:space="preserve"> as a private limited company under the Companies Act, </w:t>
      </w:r>
      <w:r>
        <w:rPr>
          <w:rFonts w:ascii="Times New Roman" w:hAnsi="Times New Roman"/>
          <w:sz w:val="20"/>
          <w:szCs w:val="20"/>
          <w:lang w:val="en-GB"/>
        </w:rPr>
        <w:t>1956</w:t>
      </w:r>
      <w:r w:rsidRPr="00712F3C">
        <w:rPr>
          <w:rFonts w:ascii="Times New Roman" w:hAnsi="Times New Roman"/>
          <w:sz w:val="20"/>
          <w:szCs w:val="20"/>
          <w:lang w:val="en-GB"/>
        </w:rPr>
        <w:t xml:space="preserve"> with name “</w:t>
      </w:r>
      <w:r w:rsidRPr="00AF047A">
        <w:rPr>
          <w:rFonts w:ascii="Times New Roman" w:hAnsi="Times New Roman"/>
          <w:sz w:val="20"/>
          <w:szCs w:val="20"/>
          <w:lang w:val="en-GB"/>
        </w:rPr>
        <w:t xml:space="preserve">Exotic Software </w:t>
      </w:r>
      <w:r w:rsidRPr="00712F3C">
        <w:rPr>
          <w:rFonts w:ascii="Times New Roman" w:hAnsi="Times New Roman"/>
          <w:sz w:val="20"/>
          <w:szCs w:val="20"/>
          <w:lang w:val="en-GB"/>
        </w:rPr>
        <w:t xml:space="preserve">Private Limited” pursuant to a certificate of incorporation issued by the Registrar of Companies, </w:t>
      </w:r>
      <w:r>
        <w:rPr>
          <w:rFonts w:ascii="Times New Roman" w:hAnsi="Times New Roman"/>
          <w:sz w:val="20"/>
          <w:szCs w:val="20"/>
          <w:lang w:val="en-GB"/>
        </w:rPr>
        <w:t>Maharashtra</w:t>
      </w:r>
      <w:r w:rsidRPr="00712F3C">
        <w:rPr>
          <w:rFonts w:ascii="Times New Roman" w:hAnsi="Times New Roman"/>
          <w:sz w:val="20"/>
          <w:szCs w:val="20"/>
          <w:lang w:val="en-GB"/>
        </w:rPr>
        <w:t>. Further, company has changed its name from “</w:t>
      </w:r>
      <w:r w:rsidRPr="00AF047A">
        <w:rPr>
          <w:rFonts w:ascii="Times New Roman" w:hAnsi="Times New Roman"/>
          <w:sz w:val="20"/>
          <w:szCs w:val="20"/>
          <w:lang w:val="en-GB"/>
        </w:rPr>
        <w:t xml:space="preserve">Exotic Software </w:t>
      </w:r>
      <w:r w:rsidRPr="00712F3C">
        <w:rPr>
          <w:rFonts w:ascii="Times New Roman" w:hAnsi="Times New Roman"/>
          <w:sz w:val="20"/>
          <w:szCs w:val="20"/>
          <w:lang w:val="en-GB"/>
        </w:rPr>
        <w:t>Private Limited” to “</w:t>
      </w:r>
      <w:r w:rsidRPr="00AF047A">
        <w:rPr>
          <w:rFonts w:ascii="Times New Roman" w:hAnsi="Times New Roman"/>
          <w:sz w:val="20"/>
          <w:szCs w:val="20"/>
          <w:lang w:val="en-GB"/>
        </w:rPr>
        <w:t xml:space="preserve">Parth Metalloys </w:t>
      </w:r>
      <w:r w:rsidRPr="00712F3C">
        <w:rPr>
          <w:rFonts w:ascii="Times New Roman" w:hAnsi="Times New Roman"/>
          <w:sz w:val="20"/>
          <w:szCs w:val="20"/>
          <w:lang w:val="en-GB"/>
        </w:rPr>
        <w:t xml:space="preserve">Private Limited” vide </w:t>
      </w:r>
      <w:r w:rsidRPr="00AF047A">
        <w:rPr>
          <w:rFonts w:ascii="Times New Roman" w:hAnsi="Times New Roman"/>
          <w:sz w:val="20"/>
          <w:szCs w:val="20"/>
          <w:lang w:val="en-GB"/>
        </w:rPr>
        <w:t xml:space="preserve">Fresh Certificate of Incorporation Consequent upon Change of Name </w:t>
      </w:r>
      <w:r w:rsidRPr="00712F3C">
        <w:rPr>
          <w:rFonts w:ascii="Times New Roman" w:hAnsi="Times New Roman"/>
          <w:sz w:val="20"/>
          <w:szCs w:val="20"/>
          <w:lang w:val="en-GB"/>
        </w:rPr>
        <w:t xml:space="preserve">dated </w:t>
      </w:r>
      <w:r>
        <w:rPr>
          <w:rFonts w:ascii="Times New Roman" w:hAnsi="Times New Roman"/>
          <w:sz w:val="20"/>
          <w:szCs w:val="20"/>
          <w:lang w:val="en-GB"/>
        </w:rPr>
        <w:t>September 11, 2008</w:t>
      </w:r>
      <w:r w:rsidRPr="00712F3C">
        <w:rPr>
          <w:rFonts w:ascii="Times New Roman" w:hAnsi="Times New Roman"/>
          <w:sz w:val="20"/>
          <w:szCs w:val="20"/>
          <w:lang w:val="en-GB"/>
        </w:rPr>
        <w:t xml:space="preserve"> issued by the Registrar of Companies</w:t>
      </w:r>
      <w:r>
        <w:rPr>
          <w:rFonts w:ascii="Times New Roman" w:hAnsi="Times New Roman"/>
          <w:sz w:val="20"/>
          <w:szCs w:val="20"/>
          <w:lang w:val="en-GB"/>
        </w:rPr>
        <w:t>,</w:t>
      </w:r>
      <w:r w:rsidRPr="00AF047A">
        <w:rPr>
          <w:rFonts w:ascii="Times New Roman" w:hAnsi="Times New Roman"/>
          <w:sz w:val="20"/>
          <w:szCs w:val="20"/>
          <w:lang w:val="en-GB"/>
        </w:rPr>
        <w:t xml:space="preserve"> National Capital Territory of Delhi and Haryana</w:t>
      </w:r>
      <w:r>
        <w:rPr>
          <w:rFonts w:ascii="Times New Roman" w:hAnsi="Times New Roman"/>
          <w:sz w:val="20"/>
          <w:szCs w:val="20"/>
          <w:lang w:val="en-GB"/>
        </w:rPr>
        <w:t xml:space="preserve"> and </w:t>
      </w:r>
      <w:r w:rsidRPr="00712F3C">
        <w:rPr>
          <w:rFonts w:ascii="Times New Roman" w:hAnsi="Times New Roman"/>
          <w:sz w:val="20"/>
          <w:szCs w:val="20"/>
          <w:lang w:val="en-GB"/>
        </w:rPr>
        <w:t>from “</w:t>
      </w:r>
      <w:r w:rsidRPr="00AF047A">
        <w:rPr>
          <w:rFonts w:ascii="Times New Roman" w:hAnsi="Times New Roman"/>
          <w:sz w:val="20"/>
          <w:szCs w:val="20"/>
          <w:lang w:val="en-GB"/>
        </w:rPr>
        <w:t xml:space="preserve">Parth Metalloys </w:t>
      </w:r>
      <w:r w:rsidRPr="00712F3C">
        <w:rPr>
          <w:rFonts w:ascii="Times New Roman" w:hAnsi="Times New Roman"/>
          <w:sz w:val="20"/>
          <w:szCs w:val="20"/>
          <w:lang w:val="en-GB"/>
        </w:rPr>
        <w:t>Private Limited” to “</w:t>
      </w:r>
      <w:r w:rsidRPr="00D02D60">
        <w:rPr>
          <w:rFonts w:ascii="Times New Roman" w:hAnsi="Times New Roman"/>
          <w:sz w:val="20"/>
          <w:szCs w:val="20"/>
          <w:lang w:val="en-GB"/>
        </w:rPr>
        <w:t xml:space="preserve">Dwarkesh Alloys </w:t>
      </w:r>
      <w:r w:rsidRPr="00712F3C">
        <w:rPr>
          <w:rFonts w:ascii="Times New Roman" w:hAnsi="Times New Roman"/>
          <w:sz w:val="20"/>
          <w:szCs w:val="20"/>
          <w:lang w:val="en-GB"/>
        </w:rPr>
        <w:t xml:space="preserve">Private Limited” vide </w:t>
      </w:r>
      <w:r w:rsidRPr="00AF047A">
        <w:rPr>
          <w:rFonts w:ascii="Times New Roman" w:hAnsi="Times New Roman"/>
          <w:sz w:val="20"/>
          <w:szCs w:val="20"/>
          <w:lang w:val="en-GB"/>
        </w:rPr>
        <w:t xml:space="preserve">Fresh Certificate of Incorporation Consequent upon Change of Name </w:t>
      </w:r>
      <w:r w:rsidRPr="00712F3C">
        <w:rPr>
          <w:rFonts w:ascii="Times New Roman" w:hAnsi="Times New Roman"/>
          <w:sz w:val="20"/>
          <w:szCs w:val="20"/>
          <w:lang w:val="en-GB"/>
        </w:rPr>
        <w:t xml:space="preserve">dated </w:t>
      </w:r>
      <w:r>
        <w:rPr>
          <w:rFonts w:ascii="Times New Roman" w:hAnsi="Times New Roman"/>
          <w:sz w:val="20"/>
          <w:szCs w:val="20"/>
          <w:lang w:val="en-GB"/>
        </w:rPr>
        <w:t>April 03, 2009</w:t>
      </w:r>
      <w:r w:rsidRPr="00712F3C">
        <w:rPr>
          <w:rFonts w:ascii="Times New Roman" w:hAnsi="Times New Roman"/>
          <w:sz w:val="20"/>
          <w:szCs w:val="20"/>
          <w:lang w:val="en-GB"/>
        </w:rPr>
        <w:t xml:space="preserve"> issued by the Registrar of Companies</w:t>
      </w:r>
      <w:r>
        <w:rPr>
          <w:rFonts w:ascii="Times New Roman" w:hAnsi="Times New Roman"/>
          <w:sz w:val="20"/>
          <w:szCs w:val="20"/>
          <w:lang w:val="en-GB"/>
        </w:rPr>
        <w:t xml:space="preserve">, </w:t>
      </w:r>
      <w:r w:rsidRPr="00AF047A">
        <w:rPr>
          <w:rFonts w:ascii="Times New Roman" w:hAnsi="Times New Roman"/>
          <w:sz w:val="20"/>
          <w:szCs w:val="20"/>
          <w:lang w:val="en-GB"/>
        </w:rPr>
        <w:t>National Capital Territory of Delhi and Haryana</w:t>
      </w:r>
      <w:r>
        <w:rPr>
          <w:rFonts w:ascii="Times New Roman" w:hAnsi="Times New Roman"/>
          <w:sz w:val="20"/>
          <w:szCs w:val="20"/>
          <w:lang w:val="en-GB"/>
        </w:rPr>
        <w:t>.</w:t>
      </w:r>
    </w:p>
    <w:p w14:paraId="218D9977" w14:textId="77777777" w:rsidR="004047F2" w:rsidRPr="00712F3C" w:rsidRDefault="004047F2" w:rsidP="004047F2">
      <w:pPr>
        <w:spacing w:after="0" w:line="240" w:lineRule="auto"/>
        <w:jc w:val="both"/>
        <w:rPr>
          <w:rFonts w:ascii="Times New Roman" w:hAnsi="Times New Roman"/>
          <w:sz w:val="20"/>
          <w:szCs w:val="20"/>
          <w:lang w:val="en-GB"/>
        </w:rPr>
      </w:pPr>
    </w:p>
    <w:tbl>
      <w:tblPr>
        <w:tblW w:w="494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7"/>
        <w:gridCol w:w="8566"/>
      </w:tblGrid>
      <w:tr w:rsidR="004047F2" w:rsidRPr="00712F3C" w14:paraId="07C95BB0" w14:textId="77777777" w:rsidTr="00250DAC">
        <w:tc>
          <w:tcPr>
            <w:tcW w:w="859" w:type="pct"/>
            <w:shd w:val="clear" w:color="auto" w:fill="D0CECE"/>
            <w:vAlign w:val="center"/>
          </w:tcPr>
          <w:p w14:paraId="504531C9" w14:textId="77777777" w:rsidR="004047F2" w:rsidRPr="00712F3C" w:rsidRDefault="004047F2" w:rsidP="00250DAC">
            <w:pPr>
              <w:spacing w:after="0" w:line="240" w:lineRule="auto"/>
              <w:jc w:val="both"/>
              <w:rPr>
                <w:rFonts w:ascii="Times New Roman" w:hAnsi="Times New Roman"/>
                <w:b/>
                <w:sz w:val="20"/>
                <w:szCs w:val="20"/>
                <w:lang w:val="en-GB"/>
              </w:rPr>
            </w:pPr>
            <w:r w:rsidRPr="00712F3C">
              <w:rPr>
                <w:rFonts w:ascii="Times New Roman" w:hAnsi="Times New Roman"/>
                <w:b/>
                <w:sz w:val="20"/>
                <w:szCs w:val="20"/>
                <w:lang w:val="en-GB"/>
              </w:rPr>
              <w:t>CIN</w:t>
            </w:r>
          </w:p>
        </w:tc>
        <w:tc>
          <w:tcPr>
            <w:tcW w:w="4141" w:type="pct"/>
            <w:shd w:val="clear" w:color="auto" w:fill="auto"/>
            <w:vAlign w:val="center"/>
          </w:tcPr>
          <w:p w14:paraId="0993D7C5" w14:textId="77777777" w:rsidR="004047F2" w:rsidRPr="00712F3C" w:rsidRDefault="004047F2" w:rsidP="00250DAC">
            <w:pPr>
              <w:spacing w:after="0" w:line="240" w:lineRule="auto"/>
              <w:jc w:val="both"/>
              <w:rPr>
                <w:rFonts w:ascii="Times New Roman" w:eastAsia="MS Mincho" w:hAnsi="Times New Roman"/>
                <w:sz w:val="20"/>
                <w:szCs w:val="20"/>
              </w:rPr>
            </w:pPr>
            <w:r w:rsidRPr="00AF047A">
              <w:rPr>
                <w:rFonts w:ascii="Times New Roman" w:eastAsia="MS Mincho" w:hAnsi="Times New Roman"/>
                <w:sz w:val="20"/>
                <w:szCs w:val="20"/>
              </w:rPr>
              <w:t>U72900DL1993PTC181989</w:t>
            </w:r>
          </w:p>
        </w:tc>
      </w:tr>
      <w:tr w:rsidR="004047F2" w:rsidRPr="00712F3C" w14:paraId="603D6C7F" w14:textId="77777777" w:rsidTr="00250DAC">
        <w:tc>
          <w:tcPr>
            <w:tcW w:w="859" w:type="pct"/>
            <w:shd w:val="clear" w:color="auto" w:fill="D0CECE"/>
            <w:vAlign w:val="center"/>
          </w:tcPr>
          <w:p w14:paraId="52CF2E7A" w14:textId="77777777" w:rsidR="004047F2" w:rsidRPr="00712F3C" w:rsidRDefault="004047F2" w:rsidP="00250DAC">
            <w:pPr>
              <w:spacing w:after="0" w:line="240" w:lineRule="auto"/>
              <w:jc w:val="both"/>
              <w:rPr>
                <w:rFonts w:ascii="Times New Roman" w:hAnsi="Times New Roman"/>
                <w:b/>
                <w:sz w:val="20"/>
                <w:szCs w:val="20"/>
                <w:lang w:val="en-GB"/>
              </w:rPr>
            </w:pPr>
            <w:r w:rsidRPr="00712F3C">
              <w:rPr>
                <w:rFonts w:ascii="Times New Roman" w:hAnsi="Times New Roman"/>
                <w:b/>
                <w:sz w:val="20"/>
                <w:szCs w:val="20"/>
                <w:lang w:val="en-GB"/>
              </w:rPr>
              <w:t>PAN</w:t>
            </w:r>
          </w:p>
        </w:tc>
        <w:tc>
          <w:tcPr>
            <w:tcW w:w="4141" w:type="pct"/>
            <w:shd w:val="clear" w:color="auto" w:fill="auto"/>
            <w:vAlign w:val="center"/>
          </w:tcPr>
          <w:p w14:paraId="7136D95B" w14:textId="77777777" w:rsidR="004047F2" w:rsidRPr="00712F3C" w:rsidRDefault="004047F2" w:rsidP="00250DAC">
            <w:pPr>
              <w:spacing w:after="0" w:line="240" w:lineRule="auto"/>
              <w:jc w:val="both"/>
              <w:rPr>
                <w:rFonts w:ascii="Times New Roman" w:eastAsia="MS Mincho" w:hAnsi="Times New Roman"/>
                <w:sz w:val="20"/>
                <w:szCs w:val="20"/>
              </w:rPr>
            </w:pPr>
            <w:r w:rsidRPr="00AF047A">
              <w:rPr>
                <w:rFonts w:ascii="Times New Roman" w:hAnsi="Times New Roman"/>
                <w:sz w:val="20"/>
                <w:szCs w:val="20"/>
                <w:lang w:val="en-IN" w:eastAsia="en-IN"/>
              </w:rPr>
              <w:t>AAACE7045E</w:t>
            </w:r>
          </w:p>
        </w:tc>
      </w:tr>
      <w:tr w:rsidR="004047F2" w:rsidRPr="00712F3C" w14:paraId="574D90DB" w14:textId="77777777" w:rsidTr="00250DAC">
        <w:tc>
          <w:tcPr>
            <w:tcW w:w="859" w:type="pct"/>
            <w:shd w:val="clear" w:color="auto" w:fill="D0CECE"/>
            <w:vAlign w:val="center"/>
          </w:tcPr>
          <w:p w14:paraId="2F782878" w14:textId="77777777" w:rsidR="004047F2" w:rsidRPr="00712F3C" w:rsidRDefault="004047F2" w:rsidP="00250DAC">
            <w:pPr>
              <w:spacing w:after="0" w:line="240" w:lineRule="auto"/>
              <w:jc w:val="both"/>
              <w:rPr>
                <w:rFonts w:ascii="Times New Roman" w:hAnsi="Times New Roman"/>
                <w:b/>
                <w:sz w:val="20"/>
                <w:szCs w:val="20"/>
                <w:lang w:val="en-GB"/>
              </w:rPr>
            </w:pPr>
            <w:r w:rsidRPr="00712F3C">
              <w:rPr>
                <w:rFonts w:ascii="Times New Roman" w:hAnsi="Times New Roman"/>
                <w:b/>
                <w:sz w:val="20"/>
                <w:szCs w:val="20"/>
                <w:lang w:val="en-GB"/>
              </w:rPr>
              <w:t>Registered Office</w:t>
            </w:r>
          </w:p>
        </w:tc>
        <w:tc>
          <w:tcPr>
            <w:tcW w:w="4141" w:type="pct"/>
            <w:shd w:val="clear" w:color="auto" w:fill="auto"/>
            <w:vAlign w:val="center"/>
          </w:tcPr>
          <w:p w14:paraId="2FB53F63" w14:textId="77777777" w:rsidR="004047F2" w:rsidRPr="00712F3C" w:rsidRDefault="004047F2" w:rsidP="00250DAC">
            <w:pPr>
              <w:spacing w:after="0" w:line="240" w:lineRule="auto"/>
              <w:rPr>
                <w:rFonts w:ascii="Times New Roman" w:eastAsia="MS Mincho" w:hAnsi="Times New Roman"/>
                <w:sz w:val="20"/>
                <w:szCs w:val="20"/>
              </w:rPr>
            </w:pPr>
            <w:r w:rsidRPr="00AF047A">
              <w:rPr>
                <w:rFonts w:ascii="Times New Roman" w:eastAsia="Calibri" w:hAnsi="Times New Roman"/>
                <w:color w:val="000000"/>
                <w:sz w:val="20"/>
                <w:szCs w:val="20"/>
              </w:rPr>
              <w:t>Khasra No. 38/06, Shahbad Daulatpur</w:t>
            </w:r>
            <w:r>
              <w:rPr>
                <w:rFonts w:ascii="Times New Roman" w:eastAsia="Calibri" w:hAnsi="Times New Roman"/>
                <w:color w:val="000000"/>
                <w:sz w:val="20"/>
                <w:szCs w:val="20"/>
              </w:rPr>
              <w:t xml:space="preserve">, </w:t>
            </w:r>
            <w:r w:rsidRPr="00AF047A">
              <w:rPr>
                <w:rFonts w:ascii="Times New Roman" w:eastAsia="Calibri" w:hAnsi="Times New Roman"/>
                <w:color w:val="000000"/>
                <w:sz w:val="20"/>
                <w:szCs w:val="20"/>
              </w:rPr>
              <w:t>New Delhi</w:t>
            </w:r>
            <w:r>
              <w:rPr>
                <w:rFonts w:ascii="Times New Roman" w:eastAsia="Calibri" w:hAnsi="Times New Roman"/>
                <w:color w:val="000000"/>
                <w:sz w:val="20"/>
                <w:szCs w:val="20"/>
              </w:rPr>
              <w:t>-</w:t>
            </w:r>
            <w:r w:rsidRPr="00AF047A">
              <w:rPr>
                <w:rFonts w:ascii="Times New Roman" w:eastAsia="Calibri" w:hAnsi="Times New Roman"/>
                <w:color w:val="000000"/>
                <w:sz w:val="20"/>
                <w:szCs w:val="20"/>
              </w:rPr>
              <w:t>110042</w:t>
            </w:r>
          </w:p>
        </w:tc>
      </w:tr>
    </w:tbl>
    <w:p w14:paraId="55BAFDDF" w14:textId="77777777" w:rsidR="004047F2" w:rsidRPr="00712F3C" w:rsidRDefault="004047F2" w:rsidP="004047F2">
      <w:pPr>
        <w:pStyle w:val="Heading2"/>
        <w:spacing w:before="0" w:line="240" w:lineRule="auto"/>
        <w:rPr>
          <w:rFonts w:ascii="Times New Roman" w:hAnsi="Times New Roman"/>
          <w:sz w:val="20"/>
          <w:szCs w:val="20"/>
          <w:u w:val="single"/>
          <w:lang w:val="en-US"/>
        </w:rPr>
      </w:pPr>
    </w:p>
    <w:p w14:paraId="01AA2577" w14:textId="77777777" w:rsidR="004047F2" w:rsidRPr="00712F3C" w:rsidRDefault="004047F2">
      <w:pPr>
        <w:pStyle w:val="ListParagraph"/>
        <w:numPr>
          <w:ilvl w:val="0"/>
          <w:numId w:val="198"/>
        </w:numPr>
        <w:spacing w:line="240" w:lineRule="auto"/>
        <w:rPr>
          <w:b/>
          <w:sz w:val="20"/>
          <w:szCs w:val="20"/>
        </w:rPr>
      </w:pPr>
      <w:r>
        <w:rPr>
          <w:b/>
          <w:sz w:val="20"/>
          <w:szCs w:val="20"/>
          <w:lang w:val="en-GB"/>
        </w:rPr>
        <w:t>Simpex Overseas</w:t>
      </w:r>
      <w:r w:rsidRPr="00712F3C">
        <w:rPr>
          <w:b/>
          <w:sz w:val="20"/>
          <w:szCs w:val="20"/>
          <w:lang w:val="en-GB"/>
        </w:rPr>
        <w:t xml:space="preserve"> Private Limited </w:t>
      </w:r>
    </w:p>
    <w:p w14:paraId="776BE459" w14:textId="77777777" w:rsidR="004047F2" w:rsidRPr="00712F3C" w:rsidRDefault="004047F2" w:rsidP="004047F2">
      <w:pPr>
        <w:pStyle w:val="BodyText"/>
        <w:ind w:right="456"/>
        <w:rPr>
          <w:rFonts w:ascii="Times New Roman" w:hAnsi="Times New Roman" w:cs="Times New Roman"/>
          <w:sz w:val="20"/>
          <w:szCs w:val="20"/>
        </w:rPr>
      </w:pPr>
    </w:p>
    <w:p w14:paraId="01242B4A" w14:textId="77777777" w:rsidR="004047F2" w:rsidRPr="00E3486D" w:rsidRDefault="004047F2" w:rsidP="004047F2">
      <w:pPr>
        <w:spacing w:after="0" w:line="240" w:lineRule="auto"/>
        <w:jc w:val="both"/>
        <w:rPr>
          <w:rFonts w:ascii="Times New Roman" w:hAnsi="Times New Roman"/>
          <w:sz w:val="20"/>
          <w:szCs w:val="20"/>
          <w:lang w:val="en-GB"/>
        </w:rPr>
      </w:pPr>
      <w:r w:rsidRPr="00E3486D">
        <w:rPr>
          <w:rFonts w:ascii="Times New Roman" w:hAnsi="Times New Roman"/>
          <w:sz w:val="20"/>
          <w:szCs w:val="20"/>
          <w:lang w:val="en-GB"/>
        </w:rPr>
        <w:t xml:space="preserve">Simpex Overseas Private Limited was incorporated on April 15, 1995 as a private limited company under the Companies Act, 1956 pursuant to a certificate of incorporation issued by the Registrar of Companies, NCT of Delhi &amp; Haryana. Further, company was converted into a public limited company and consequent to which the name of the company was changed from “Simpex Overseas Private Limited” to “Simpex Overseas Limited” vide Certificate of Incorporation dated July 01, 1997 issued by the Registrar of Companies, NCT of Delhi &amp; Haryana and furthermore, got converted into Private limited and consequent to which the name of the company was changed from “Simpex Overseas Limited” to “Simpex Overseas Private Limited” vide Fresh Certificate of Incorporation Consequent upon Change of Name on Conversion to Private Limited Company dated </w:t>
      </w:r>
      <w:r>
        <w:rPr>
          <w:rFonts w:ascii="Times New Roman" w:hAnsi="Times New Roman"/>
          <w:sz w:val="20"/>
          <w:szCs w:val="20"/>
          <w:lang w:val="en-GB"/>
        </w:rPr>
        <w:t>April 25, 2007</w:t>
      </w:r>
      <w:r w:rsidRPr="00E3486D">
        <w:rPr>
          <w:rFonts w:ascii="Times New Roman" w:hAnsi="Times New Roman"/>
          <w:sz w:val="20"/>
          <w:szCs w:val="20"/>
          <w:lang w:val="en-GB"/>
        </w:rPr>
        <w:t xml:space="preserve"> issued by the Registrar of Companies, National Capital Territory of Delhi and Haryana.</w:t>
      </w:r>
    </w:p>
    <w:p w14:paraId="639D65C3" w14:textId="77777777" w:rsidR="004047F2" w:rsidRPr="00712F3C" w:rsidRDefault="004047F2" w:rsidP="004047F2">
      <w:pPr>
        <w:pStyle w:val="ListParagraph"/>
        <w:spacing w:line="240" w:lineRule="auto"/>
        <w:ind w:left="0"/>
        <w:rPr>
          <w:sz w:val="20"/>
          <w:szCs w:val="20"/>
          <w:lang w:val="en-GB"/>
        </w:rPr>
      </w:pPr>
    </w:p>
    <w:tbl>
      <w:tblPr>
        <w:tblW w:w="494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7"/>
        <w:gridCol w:w="8566"/>
      </w:tblGrid>
      <w:tr w:rsidR="004047F2" w:rsidRPr="00712F3C" w14:paraId="4CCCECE0" w14:textId="77777777" w:rsidTr="00250DAC">
        <w:tc>
          <w:tcPr>
            <w:tcW w:w="859" w:type="pct"/>
            <w:shd w:val="clear" w:color="auto" w:fill="D0CECE"/>
            <w:vAlign w:val="center"/>
          </w:tcPr>
          <w:p w14:paraId="2855C64E" w14:textId="77777777" w:rsidR="004047F2" w:rsidRPr="00712F3C" w:rsidRDefault="004047F2" w:rsidP="00250DAC">
            <w:pPr>
              <w:spacing w:after="0" w:line="240" w:lineRule="auto"/>
              <w:jc w:val="both"/>
              <w:rPr>
                <w:rFonts w:ascii="Times New Roman" w:hAnsi="Times New Roman"/>
                <w:b/>
                <w:sz w:val="20"/>
                <w:szCs w:val="20"/>
                <w:lang w:val="en-GB"/>
              </w:rPr>
            </w:pPr>
            <w:r w:rsidRPr="00712F3C">
              <w:rPr>
                <w:rFonts w:ascii="Times New Roman" w:hAnsi="Times New Roman"/>
                <w:b/>
                <w:sz w:val="20"/>
                <w:szCs w:val="20"/>
                <w:lang w:val="en-GB"/>
              </w:rPr>
              <w:t>CIN</w:t>
            </w:r>
          </w:p>
        </w:tc>
        <w:tc>
          <w:tcPr>
            <w:tcW w:w="4141" w:type="pct"/>
            <w:shd w:val="clear" w:color="auto" w:fill="auto"/>
            <w:vAlign w:val="center"/>
          </w:tcPr>
          <w:p w14:paraId="7DA562D1" w14:textId="77777777" w:rsidR="004047F2" w:rsidRPr="00712F3C" w:rsidRDefault="004047F2" w:rsidP="00250DAC">
            <w:pPr>
              <w:spacing w:after="0" w:line="240" w:lineRule="auto"/>
              <w:jc w:val="both"/>
              <w:rPr>
                <w:rFonts w:ascii="Times New Roman" w:eastAsia="MS Mincho" w:hAnsi="Times New Roman"/>
                <w:sz w:val="20"/>
                <w:szCs w:val="20"/>
              </w:rPr>
            </w:pPr>
            <w:r w:rsidRPr="00E3486D">
              <w:rPr>
                <w:rFonts w:ascii="Times New Roman" w:eastAsia="MS Mincho" w:hAnsi="Times New Roman"/>
                <w:sz w:val="20"/>
                <w:szCs w:val="20"/>
              </w:rPr>
              <w:t>U74899DL1994PTC058423</w:t>
            </w:r>
          </w:p>
        </w:tc>
      </w:tr>
      <w:tr w:rsidR="004047F2" w:rsidRPr="00712F3C" w14:paraId="291C2C2A" w14:textId="77777777" w:rsidTr="00250DAC">
        <w:tc>
          <w:tcPr>
            <w:tcW w:w="859" w:type="pct"/>
            <w:shd w:val="clear" w:color="auto" w:fill="D0CECE"/>
            <w:vAlign w:val="center"/>
          </w:tcPr>
          <w:p w14:paraId="6CA83E70" w14:textId="77777777" w:rsidR="004047F2" w:rsidRPr="00712F3C" w:rsidRDefault="004047F2" w:rsidP="00250DAC">
            <w:pPr>
              <w:spacing w:after="0" w:line="240" w:lineRule="auto"/>
              <w:jc w:val="both"/>
              <w:rPr>
                <w:rFonts w:ascii="Times New Roman" w:hAnsi="Times New Roman"/>
                <w:b/>
                <w:sz w:val="20"/>
                <w:szCs w:val="20"/>
                <w:lang w:val="en-GB"/>
              </w:rPr>
            </w:pPr>
            <w:r w:rsidRPr="00712F3C">
              <w:rPr>
                <w:rFonts w:ascii="Times New Roman" w:hAnsi="Times New Roman"/>
                <w:b/>
                <w:sz w:val="20"/>
                <w:szCs w:val="20"/>
                <w:lang w:val="en-GB"/>
              </w:rPr>
              <w:t>PAN</w:t>
            </w:r>
          </w:p>
        </w:tc>
        <w:tc>
          <w:tcPr>
            <w:tcW w:w="4141" w:type="pct"/>
            <w:shd w:val="clear" w:color="auto" w:fill="auto"/>
            <w:vAlign w:val="center"/>
          </w:tcPr>
          <w:p w14:paraId="0D705291" w14:textId="77777777" w:rsidR="004047F2" w:rsidRPr="00712F3C" w:rsidRDefault="004047F2" w:rsidP="00250DAC">
            <w:pPr>
              <w:spacing w:after="0" w:line="240" w:lineRule="auto"/>
              <w:jc w:val="both"/>
              <w:rPr>
                <w:rFonts w:ascii="Times New Roman" w:eastAsia="MS Mincho" w:hAnsi="Times New Roman"/>
                <w:sz w:val="20"/>
                <w:szCs w:val="20"/>
              </w:rPr>
            </w:pPr>
            <w:r w:rsidRPr="00E3486D">
              <w:rPr>
                <w:rFonts w:ascii="Times New Roman" w:eastAsia="MS Mincho" w:hAnsi="Times New Roman"/>
                <w:sz w:val="20"/>
                <w:szCs w:val="20"/>
              </w:rPr>
              <w:t>AAACS2808K</w:t>
            </w:r>
          </w:p>
        </w:tc>
      </w:tr>
      <w:tr w:rsidR="004047F2" w:rsidRPr="00E3486D" w14:paraId="3C0BABEB" w14:textId="77777777" w:rsidTr="00250DAC">
        <w:tc>
          <w:tcPr>
            <w:tcW w:w="859" w:type="pct"/>
            <w:shd w:val="clear" w:color="auto" w:fill="D0CECE"/>
            <w:vAlign w:val="center"/>
          </w:tcPr>
          <w:p w14:paraId="38D71688" w14:textId="77777777" w:rsidR="004047F2" w:rsidRPr="00712F3C" w:rsidRDefault="004047F2" w:rsidP="00250DAC">
            <w:pPr>
              <w:spacing w:after="0" w:line="240" w:lineRule="auto"/>
              <w:jc w:val="both"/>
              <w:rPr>
                <w:rFonts w:ascii="Times New Roman" w:hAnsi="Times New Roman"/>
                <w:b/>
                <w:sz w:val="20"/>
                <w:szCs w:val="20"/>
                <w:lang w:val="en-GB"/>
              </w:rPr>
            </w:pPr>
            <w:r w:rsidRPr="00712F3C">
              <w:rPr>
                <w:rFonts w:ascii="Times New Roman" w:hAnsi="Times New Roman"/>
                <w:b/>
                <w:sz w:val="20"/>
                <w:szCs w:val="20"/>
                <w:lang w:val="en-GB"/>
              </w:rPr>
              <w:t>Registered Office</w:t>
            </w:r>
          </w:p>
        </w:tc>
        <w:tc>
          <w:tcPr>
            <w:tcW w:w="4141" w:type="pct"/>
            <w:shd w:val="clear" w:color="auto" w:fill="auto"/>
            <w:vAlign w:val="center"/>
          </w:tcPr>
          <w:p w14:paraId="2E883FFD" w14:textId="77777777" w:rsidR="004047F2" w:rsidRPr="00E3486D" w:rsidRDefault="004047F2" w:rsidP="00250DAC">
            <w:pPr>
              <w:spacing w:after="0" w:line="240" w:lineRule="auto"/>
              <w:jc w:val="both"/>
              <w:rPr>
                <w:rFonts w:ascii="Times New Roman" w:eastAsia="MS Mincho" w:hAnsi="Times New Roman"/>
                <w:sz w:val="20"/>
                <w:szCs w:val="20"/>
              </w:rPr>
            </w:pPr>
            <w:r w:rsidRPr="00E3486D">
              <w:rPr>
                <w:rFonts w:ascii="Times New Roman" w:eastAsia="MS Mincho" w:hAnsi="Times New Roman"/>
                <w:sz w:val="20"/>
                <w:szCs w:val="20"/>
              </w:rPr>
              <w:t>Khasra</w:t>
            </w:r>
            <w:r>
              <w:rPr>
                <w:rFonts w:ascii="Times New Roman" w:eastAsia="MS Mincho" w:hAnsi="Times New Roman"/>
                <w:sz w:val="20"/>
                <w:szCs w:val="20"/>
              </w:rPr>
              <w:t xml:space="preserve"> </w:t>
            </w:r>
            <w:r w:rsidRPr="00E3486D">
              <w:rPr>
                <w:rFonts w:ascii="Times New Roman" w:eastAsia="MS Mincho" w:hAnsi="Times New Roman"/>
                <w:sz w:val="20"/>
                <w:szCs w:val="20"/>
              </w:rPr>
              <w:t>no.</w:t>
            </w:r>
            <w:r>
              <w:rPr>
                <w:rFonts w:ascii="Times New Roman" w:eastAsia="MS Mincho" w:hAnsi="Times New Roman"/>
                <w:sz w:val="20"/>
                <w:szCs w:val="20"/>
              </w:rPr>
              <w:t xml:space="preserve"> </w:t>
            </w:r>
            <w:r w:rsidRPr="00E3486D">
              <w:rPr>
                <w:rFonts w:ascii="Times New Roman" w:eastAsia="MS Mincho" w:hAnsi="Times New Roman"/>
                <w:sz w:val="20"/>
                <w:szCs w:val="20"/>
              </w:rPr>
              <w:t>37/10,</w:t>
            </w:r>
            <w:r>
              <w:rPr>
                <w:rFonts w:ascii="Times New Roman" w:eastAsia="MS Mincho" w:hAnsi="Times New Roman"/>
                <w:sz w:val="20"/>
                <w:szCs w:val="20"/>
              </w:rPr>
              <w:t xml:space="preserve"> </w:t>
            </w:r>
            <w:r w:rsidRPr="00E3486D">
              <w:rPr>
                <w:rFonts w:ascii="Times New Roman" w:eastAsia="MS Mincho" w:hAnsi="Times New Roman"/>
                <w:sz w:val="20"/>
                <w:szCs w:val="20"/>
              </w:rPr>
              <w:t>Street N</w:t>
            </w:r>
            <w:r>
              <w:rPr>
                <w:rFonts w:ascii="Times New Roman" w:eastAsia="MS Mincho" w:hAnsi="Times New Roman"/>
                <w:sz w:val="20"/>
                <w:szCs w:val="20"/>
              </w:rPr>
              <w:t>o</w:t>
            </w:r>
            <w:r w:rsidRPr="00E3486D">
              <w:rPr>
                <w:rFonts w:ascii="Times New Roman" w:eastAsia="MS Mincho" w:hAnsi="Times New Roman"/>
                <w:sz w:val="20"/>
                <w:szCs w:val="20"/>
              </w:rPr>
              <w:t>.2, H-Block,</w:t>
            </w:r>
            <w:r>
              <w:rPr>
                <w:rFonts w:ascii="Times New Roman" w:eastAsia="MS Mincho" w:hAnsi="Times New Roman"/>
                <w:sz w:val="20"/>
                <w:szCs w:val="20"/>
              </w:rPr>
              <w:t xml:space="preserve"> </w:t>
            </w:r>
            <w:r w:rsidRPr="00E3486D">
              <w:rPr>
                <w:rFonts w:ascii="Times New Roman" w:eastAsia="MS Mincho" w:hAnsi="Times New Roman"/>
                <w:sz w:val="20"/>
                <w:szCs w:val="20"/>
              </w:rPr>
              <w:t>Sahabad Daulatpur</w:t>
            </w:r>
            <w:r>
              <w:rPr>
                <w:rFonts w:ascii="Times New Roman" w:eastAsia="MS Mincho" w:hAnsi="Times New Roman"/>
                <w:sz w:val="20"/>
                <w:szCs w:val="20"/>
              </w:rPr>
              <w:t xml:space="preserve"> </w:t>
            </w:r>
            <w:r w:rsidRPr="00E3486D">
              <w:rPr>
                <w:rFonts w:ascii="Times New Roman" w:eastAsia="MS Mincho" w:hAnsi="Times New Roman"/>
                <w:sz w:val="20"/>
                <w:szCs w:val="20"/>
              </w:rPr>
              <w:t>North West</w:t>
            </w:r>
            <w:r>
              <w:rPr>
                <w:rFonts w:ascii="Times New Roman" w:eastAsia="MS Mincho" w:hAnsi="Times New Roman"/>
                <w:sz w:val="20"/>
                <w:szCs w:val="20"/>
              </w:rPr>
              <w:t>, New Delhi-</w:t>
            </w:r>
            <w:r w:rsidRPr="00E3486D">
              <w:rPr>
                <w:rFonts w:ascii="Times New Roman" w:eastAsia="MS Mincho" w:hAnsi="Times New Roman"/>
                <w:sz w:val="20"/>
                <w:szCs w:val="20"/>
              </w:rPr>
              <w:t>110042</w:t>
            </w:r>
          </w:p>
        </w:tc>
      </w:tr>
    </w:tbl>
    <w:p w14:paraId="26CF3C80" w14:textId="77777777" w:rsidR="004047F2" w:rsidRPr="00712F3C" w:rsidRDefault="004047F2" w:rsidP="004047F2">
      <w:pPr>
        <w:tabs>
          <w:tab w:val="left" w:pos="360"/>
        </w:tabs>
        <w:autoSpaceDE w:val="0"/>
        <w:autoSpaceDN w:val="0"/>
        <w:adjustRightInd w:val="0"/>
        <w:spacing w:after="0" w:line="240" w:lineRule="auto"/>
        <w:rPr>
          <w:rFonts w:ascii="Times New Roman" w:hAnsi="Times New Roman"/>
          <w:b/>
          <w:iCs/>
          <w:sz w:val="20"/>
          <w:szCs w:val="20"/>
          <w:u w:val="single"/>
        </w:rPr>
      </w:pPr>
      <w:r w:rsidRPr="00712F3C">
        <w:rPr>
          <w:rFonts w:ascii="Times New Roman" w:hAnsi="Times New Roman"/>
          <w:b/>
          <w:iCs/>
          <w:sz w:val="20"/>
          <w:szCs w:val="20"/>
          <w:u w:val="single"/>
        </w:rPr>
        <w:lastRenderedPageBreak/>
        <w:t>Financial Information</w:t>
      </w:r>
    </w:p>
    <w:p w14:paraId="7750C414" w14:textId="77777777" w:rsidR="004047F2" w:rsidRPr="00712F3C" w:rsidRDefault="004047F2" w:rsidP="004047F2">
      <w:pPr>
        <w:tabs>
          <w:tab w:val="left" w:pos="360"/>
        </w:tabs>
        <w:autoSpaceDE w:val="0"/>
        <w:autoSpaceDN w:val="0"/>
        <w:adjustRightInd w:val="0"/>
        <w:spacing w:after="0" w:line="240" w:lineRule="auto"/>
        <w:rPr>
          <w:rFonts w:ascii="Times New Roman" w:hAnsi="Times New Roman"/>
          <w:iCs/>
          <w:sz w:val="20"/>
          <w:szCs w:val="20"/>
        </w:rPr>
      </w:pPr>
    </w:p>
    <w:p w14:paraId="707F1B57" w14:textId="77777777" w:rsidR="004047F2" w:rsidRPr="00712F3C" w:rsidRDefault="004047F2" w:rsidP="004047F2">
      <w:pPr>
        <w:tabs>
          <w:tab w:val="left" w:pos="360"/>
        </w:tabs>
        <w:autoSpaceDE w:val="0"/>
        <w:autoSpaceDN w:val="0"/>
        <w:adjustRightInd w:val="0"/>
        <w:spacing w:after="0" w:line="240" w:lineRule="auto"/>
        <w:jc w:val="both"/>
        <w:rPr>
          <w:rFonts w:ascii="Times New Roman" w:hAnsi="Times New Roman"/>
          <w:iCs/>
          <w:sz w:val="20"/>
          <w:szCs w:val="20"/>
        </w:rPr>
      </w:pPr>
      <w:r w:rsidRPr="00712F3C">
        <w:rPr>
          <w:rFonts w:ascii="Times New Roman" w:hAnsi="Times New Roman"/>
          <w:iCs/>
          <w:sz w:val="20"/>
          <w:szCs w:val="20"/>
        </w:rPr>
        <w:t xml:space="preserve">in accordance with the SEBI ICDR Regulations, details of reserves (excluding revaluation reserves), sales, profit after tax, basic earnings per share, diluted earnings per share and Net Asset Value, derived from the latest audited financial statements available on a standalone basis of our group companies are available on the website of our company at </w:t>
      </w:r>
      <w:hyperlink r:id="rId89" w:history="1">
        <w:r w:rsidRPr="00332B37">
          <w:rPr>
            <w:rStyle w:val="Hyperlink"/>
            <w:rFonts w:ascii="Times New Roman" w:hAnsi="Times New Roman"/>
          </w:rPr>
          <w:t>www.siyaramindustries.co.in</w:t>
        </w:r>
      </w:hyperlink>
      <w:r>
        <w:rPr>
          <w:rFonts w:ascii="Times New Roman" w:hAnsi="Times New Roman"/>
          <w:iCs/>
          <w:sz w:val="20"/>
          <w:szCs w:val="20"/>
        </w:rPr>
        <w:t xml:space="preserve">. </w:t>
      </w:r>
    </w:p>
    <w:p w14:paraId="5748BDFB" w14:textId="77777777" w:rsidR="004047F2" w:rsidRPr="00712F3C" w:rsidRDefault="004047F2" w:rsidP="004047F2">
      <w:pPr>
        <w:tabs>
          <w:tab w:val="left" w:pos="360"/>
        </w:tabs>
        <w:autoSpaceDE w:val="0"/>
        <w:autoSpaceDN w:val="0"/>
        <w:adjustRightInd w:val="0"/>
        <w:spacing w:after="0" w:line="240" w:lineRule="auto"/>
        <w:rPr>
          <w:rFonts w:ascii="Times New Roman" w:hAnsi="Times New Roman"/>
          <w:iCs/>
          <w:sz w:val="20"/>
          <w:szCs w:val="20"/>
        </w:rPr>
      </w:pPr>
    </w:p>
    <w:p w14:paraId="1CAD3D3F" w14:textId="77777777" w:rsidR="004047F2" w:rsidRPr="00712F3C" w:rsidRDefault="004047F2" w:rsidP="004047F2">
      <w:pPr>
        <w:tabs>
          <w:tab w:val="left" w:pos="360"/>
        </w:tabs>
        <w:autoSpaceDE w:val="0"/>
        <w:autoSpaceDN w:val="0"/>
        <w:adjustRightInd w:val="0"/>
        <w:spacing w:after="0" w:line="240" w:lineRule="auto"/>
        <w:jc w:val="both"/>
        <w:rPr>
          <w:rFonts w:ascii="Times New Roman" w:hAnsi="Times New Roman"/>
          <w:iCs/>
          <w:sz w:val="20"/>
          <w:szCs w:val="20"/>
        </w:rPr>
      </w:pPr>
      <w:r w:rsidRPr="00712F3C">
        <w:rPr>
          <w:rFonts w:ascii="Times New Roman" w:hAnsi="Times New Roman"/>
          <w:iCs/>
          <w:sz w:val="20"/>
          <w:szCs w:val="20"/>
        </w:rPr>
        <w:t xml:space="preserve">It is clarified that such details available on our group companies’ websites do not form a part of this Draft </w:t>
      </w:r>
      <w:r w:rsidRPr="00712F3C">
        <w:rPr>
          <w:rFonts w:ascii="Times New Roman" w:hAnsi="Times New Roman"/>
          <w:sz w:val="20"/>
          <w:szCs w:val="20"/>
        </w:rPr>
        <w:t xml:space="preserve">Red Herring </w:t>
      </w:r>
      <w:r w:rsidRPr="00712F3C">
        <w:rPr>
          <w:rFonts w:ascii="Times New Roman" w:hAnsi="Times New Roman"/>
          <w:iCs/>
          <w:sz w:val="20"/>
          <w:szCs w:val="20"/>
        </w:rPr>
        <w:t>Prospectus. Anyone placing reliance on any other source of information, including our Group Companies’ website, as mentioned above, would be doing so at their own risk.</w:t>
      </w:r>
    </w:p>
    <w:p w14:paraId="3D13656A" w14:textId="77777777" w:rsidR="004047F2" w:rsidRPr="00712F3C" w:rsidRDefault="004047F2" w:rsidP="004047F2">
      <w:pPr>
        <w:tabs>
          <w:tab w:val="left" w:pos="360"/>
        </w:tabs>
        <w:autoSpaceDE w:val="0"/>
        <w:autoSpaceDN w:val="0"/>
        <w:adjustRightInd w:val="0"/>
        <w:spacing w:after="0" w:line="240" w:lineRule="auto"/>
        <w:jc w:val="both"/>
        <w:rPr>
          <w:rFonts w:ascii="Times New Roman" w:hAnsi="Times New Roman"/>
          <w:b/>
          <w:iCs/>
          <w:sz w:val="20"/>
          <w:szCs w:val="20"/>
          <w:u w:val="single"/>
        </w:rPr>
      </w:pPr>
    </w:p>
    <w:p w14:paraId="2C2670F2" w14:textId="77777777" w:rsidR="004047F2" w:rsidRPr="00712F3C" w:rsidRDefault="004047F2" w:rsidP="004047F2">
      <w:pPr>
        <w:tabs>
          <w:tab w:val="left" w:pos="360"/>
        </w:tabs>
        <w:autoSpaceDE w:val="0"/>
        <w:autoSpaceDN w:val="0"/>
        <w:adjustRightInd w:val="0"/>
        <w:spacing w:after="0" w:line="240" w:lineRule="auto"/>
        <w:jc w:val="both"/>
        <w:rPr>
          <w:rFonts w:ascii="Times New Roman" w:hAnsi="Times New Roman"/>
          <w:b/>
          <w:iCs/>
          <w:sz w:val="20"/>
          <w:szCs w:val="20"/>
          <w:u w:val="single"/>
        </w:rPr>
      </w:pPr>
      <w:r w:rsidRPr="00712F3C">
        <w:rPr>
          <w:rFonts w:ascii="Times New Roman" w:hAnsi="Times New Roman"/>
          <w:b/>
          <w:iCs/>
          <w:sz w:val="20"/>
          <w:szCs w:val="20"/>
          <w:u w:val="single"/>
        </w:rPr>
        <w:t>Litigations</w:t>
      </w:r>
    </w:p>
    <w:p w14:paraId="59C7BACC" w14:textId="77777777" w:rsidR="004047F2" w:rsidRPr="00712F3C" w:rsidRDefault="004047F2" w:rsidP="004047F2">
      <w:pPr>
        <w:tabs>
          <w:tab w:val="left" w:pos="360"/>
        </w:tabs>
        <w:autoSpaceDE w:val="0"/>
        <w:autoSpaceDN w:val="0"/>
        <w:adjustRightInd w:val="0"/>
        <w:spacing w:after="0" w:line="240" w:lineRule="auto"/>
        <w:jc w:val="both"/>
        <w:rPr>
          <w:rFonts w:ascii="Times New Roman" w:hAnsi="Times New Roman"/>
          <w:b/>
          <w:iCs/>
          <w:sz w:val="20"/>
          <w:szCs w:val="20"/>
          <w:u w:val="single"/>
        </w:rPr>
      </w:pPr>
    </w:p>
    <w:p w14:paraId="5E55F781" w14:textId="77777777" w:rsidR="004047F2" w:rsidRPr="00712F3C" w:rsidRDefault="004047F2" w:rsidP="004047F2">
      <w:pPr>
        <w:tabs>
          <w:tab w:val="left" w:pos="360"/>
        </w:tabs>
        <w:autoSpaceDE w:val="0"/>
        <w:autoSpaceDN w:val="0"/>
        <w:adjustRightInd w:val="0"/>
        <w:spacing w:after="0" w:line="240" w:lineRule="auto"/>
        <w:jc w:val="both"/>
        <w:rPr>
          <w:rFonts w:ascii="Times New Roman" w:hAnsi="Times New Roman"/>
          <w:iCs/>
          <w:sz w:val="20"/>
          <w:szCs w:val="20"/>
        </w:rPr>
      </w:pPr>
      <w:r>
        <w:rPr>
          <w:rFonts w:ascii="Times New Roman" w:hAnsi="Times New Roman"/>
          <w:iCs/>
          <w:sz w:val="20"/>
          <w:szCs w:val="20"/>
        </w:rPr>
        <w:t>O</w:t>
      </w:r>
      <w:r w:rsidRPr="00DC2567">
        <w:rPr>
          <w:rFonts w:ascii="Times New Roman" w:hAnsi="Times New Roman"/>
          <w:iCs/>
          <w:sz w:val="20"/>
          <w:szCs w:val="20"/>
        </w:rPr>
        <w:t>ur Group Companies does not have</w:t>
      </w:r>
      <w:r>
        <w:rPr>
          <w:rFonts w:ascii="Times New Roman" w:hAnsi="Times New Roman"/>
          <w:iCs/>
          <w:sz w:val="20"/>
          <w:szCs w:val="20"/>
        </w:rPr>
        <w:t xml:space="preserve"> </w:t>
      </w:r>
      <w:r w:rsidRPr="00DC2567">
        <w:rPr>
          <w:rFonts w:ascii="Times New Roman" w:hAnsi="Times New Roman"/>
          <w:iCs/>
          <w:sz w:val="20"/>
          <w:szCs w:val="20"/>
        </w:rPr>
        <w:t>any pending litigation which can have a material impact on our Company</w:t>
      </w:r>
      <w:r w:rsidRPr="00712F3C">
        <w:rPr>
          <w:rFonts w:ascii="Times New Roman" w:hAnsi="Times New Roman"/>
          <w:iCs/>
          <w:sz w:val="20"/>
          <w:szCs w:val="20"/>
        </w:rPr>
        <w:t>.</w:t>
      </w:r>
    </w:p>
    <w:p w14:paraId="2304F013" w14:textId="77777777" w:rsidR="004047F2" w:rsidRPr="00712F3C" w:rsidRDefault="004047F2" w:rsidP="004047F2">
      <w:pPr>
        <w:tabs>
          <w:tab w:val="left" w:pos="360"/>
        </w:tabs>
        <w:autoSpaceDE w:val="0"/>
        <w:autoSpaceDN w:val="0"/>
        <w:adjustRightInd w:val="0"/>
        <w:spacing w:after="0" w:line="240" w:lineRule="auto"/>
        <w:jc w:val="both"/>
        <w:rPr>
          <w:rFonts w:ascii="Times New Roman" w:hAnsi="Times New Roman"/>
          <w:b/>
          <w:iCs/>
          <w:sz w:val="20"/>
          <w:szCs w:val="20"/>
          <w:u w:val="single"/>
        </w:rPr>
      </w:pPr>
    </w:p>
    <w:p w14:paraId="0F7AC513" w14:textId="77777777" w:rsidR="004047F2" w:rsidRPr="00712F3C" w:rsidRDefault="004047F2" w:rsidP="004047F2">
      <w:pPr>
        <w:tabs>
          <w:tab w:val="left" w:pos="360"/>
        </w:tabs>
        <w:autoSpaceDE w:val="0"/>
        <w:autoSpaceDN w:val="0"/>
        <w:adjustRightInd w:val="0"/>
        <w:spacing w:after="0" w:line="240" w:lineRule="auto"/>
        <w:jc w:val="both"/>
        <w:rPr>
          <w:rFonts w:ascii="Times New Roman" w:hAnsi="Times New Roman"/>
          <w:b/>
          <w:iCs/>
          <w:sz w:val="20"/>
          <w:szCs w:val="20"/>
          <w:u w:val="single"/>
        </w:rPr>
      </w:pPr>
      <w:r w:rsidRPr="00712F3C">
        <w:rPr>
          <w:rFonts w:ascii="Times New Roman" w:hAnsi="Times New Roman"/>
          <w:b/>
          <w:iCs/>
          <w:sz w:val="20"/>
          <w:szCs w:val="20"/>
          <w:u w:val="single"/>
        </w:rPr>
        <w:t>Common pursuits among Group Companies</w:t>
      </w:r>
    </w:p>
    <w:p w14:paraId="73E717E8" w14:textId="77777777" w:rsidR="004047F2" w:rsidRPr="00712F3C" w:rsidRDefault="004047F2" w:rsidP="004047F2">
      <w:pPr>
        <w:tabs>
          <w:tab w:val="left" w:pos="360"/>
        </w:tabs>
        <w:autoSpaceDE w:val="0"/>
        <w:autoSpaceDN w:val="0"/>
        <w:adjustRightInd w:val="0"/>
        <w:spacing w:after="0" w:line="240" w:lineRule="auto"/>
        <w:jc w:val="both"/>
        <w:rPr>
          <w:rFonts w:ascii="Times New Roman" w:hAnsi="Times New Roman"/>
          <w:b/>
          <w:iCs/>
          <w:sz w:val="20"/>
          <w:szCs w:val="20"/>
          <w:u w:val="single"/>
        </w:rPr>
      </w:pPr>
    </w:p>
    <w:p w14:paraId="038D0D5B" w14:textId="77777777" w:rsidR="004047F2" w:rsidRPr="00712F3C" w:rsidRDefault="004047F2" w:rsidP="004047F2">
      <w:pPr>
        <w:tabs>
          <w:tab w:val="left" w:pos="360"/>
        </w:tabs>
        <w:autoSpaceDE w:val="0"/>
        <w:autoSpaceDN w:val="0"/>
        <w:adjustRightInd w:val="0"/>
        <w:spacing w:after="0" w:line="240" w:lineRule="auto"/>
        <w:jc w:val="both"/>
        <w:rPr>
          <w:rFonts w:ascii="Times New Roman" w:hAnsi="Times New Roman"/>
          <w:iCs/>
          <w:sz w:val="20"/>
          <w:szCs w:val="20"/>
        </w:rPr>
      </w:pPr>
      <w:r w:rsidRPr="00D02D60">
        <w:rPr>
          <w:rFonts w:ascii="Times New Roman" w:hAnsi="Times New Roman"/>
          <w:sz w:val="20"/>
          <w:szCs w:val="20"/>
          <w:lang w:val="en-GB"/>
        </w:rPr>
        <w:t xml:space="preserve">Dwarkesh Alloys </w:t>
      </w:r>
      <w:r w:rsidRPr="00712F3C">
        <w:rPr>
          <w:rFonts w:ascii="Times New Roman" w:hAnsi="Times New Roman"/>
          <w:sz w:val="20"/>
          <w:szCs w:val="20"/>
          <w:lang w:val="en-GB"/>
        </w:rPr>
        <w:t xml:space="preserve">Private Limited </w:t>
      </w:r>
      <w:r>
        <w:rPr>
          <w:rFonts w:ascii="Times New Roman" w:hAnsi="Times New Roman"/>
          <w:sz w:val="20"/>
          <w:szCs w:val="20"/>
          <w:lang w:val="en-GB"/>
        </w:rPr>
        <w:t xml:space="preserve">and </w:t>
      </w:r>
      <w:r w:rsidRPr="00E3486D">
        <w:rPr>
          <w:rFonts w:ascii="Times New Roman" w:hAnsi="Times New Roman"/>
          <w:iCs/>
          <w:sz w:val="20"/>
          <w:szCs w:val="20"/>
        </w:rPr>
        <w:t xml:space="preserve">Simpex Overseas </w:t>
      </w:r>
      <w:r>
        <w:rPr>
          <w:rFonts w:ascii="Times New Roman" w:hAnsi="Times New Roman"/>
          <w:iCs/>
          <w:sz w:val="20"/>
          <w:szCs w:val="20"/>
        </w:rPr>
        <w:t>Private Limited are</w:t>
      </w:r>
      <w:r w:rsidRPr="00712F3C">
        <w:rPr>
          <w:rFonts w:ascii="Times New Roman" w:hAnsi="Times New Roman"/>
          <w:iCs/>
          <w:sz w:val="20"/>
          <w:szCs w:val="20"/>
        </w:rPr>
        <w:t xml:space="preserve"> engaged in the business of </w:t>
      </w:r>
      <w:r>
        <w:rPr>
          <w:rFonts w:ascii="Times New Roman" w:hAnsi="Times New Roman"/>
          <w:iCs/>
          <w:sz w:val="20"/>
          <w:szCs w:val="20"/>
        </w:rPr>
        <w:t xml:space="preserve">dealing in all kinds of </w:t>
      </w:r>
      <w:r w:rsidRPr="00E3486D">
        <w:rPr>
          <w:rFonts w:ascii="Times New Roman" w:hAnsi="Times New Roman"/>
          <w:iCs/>
          <w:sz w:val="20"/>
          <w:szCs w:val="20"/>
        </w:rPr>
        <w:t>ferrous and</w:t>
      </w:r>
      <w:r>
        <w:rPr>
          <w:rFonts w:ascii="Times New Roman" w:hAnsi="Times New Roman"/>
          <w:iCs/>
          <w:sz w:val="20"/>
          <w:szCs w:val="20"/>
        </w:rPr>
        <w:t xml:space="preserve"> </w:t>
      </w:r>
      <w:r w:rsidRPr="00E3486D">
        <w:rPr>
          <w:rFonts w:ascii="Times New Roman" w:hAnsi="Times New Roman"/>
          <w:iCs/>
          <w:sz w:val="20"/>
          <w:szCs w:val="20"/>
        </w:rPr>
        <w:t xml:space="preserve">non-ferrous </w:t>
      </w:r>
      <w:r>
        <w:rPr>
          <w:rFonts w:ascii="Times New Roman" w:hAnsi="Times New Roman"/>
          <w:iCs/>
          <w:sz w:val="20"/>
          <w:szCs w:val="20"/>
        </w:rPr>
        <w:t xml:space="preserve">metals including Brass </w:t>
      </w:r>
      <w:r w:rsidRPr="00712F3C">
        <w:rPr>
          <w:rFonts w:ascii="Times New Roman" w:hAnsi="Times New Roman"/>
          <w:iCs/>
          <w:sz w:val="20"/>
          <w:szCs w:val="20"/>
        </w:rPr>
        <w:t xml:space="preserve">other </w:t>
      </w:r>
      <w:r>
        <w:rPr>
          <w:rFonts w:ascii="Times New Roman" w:hAnsi="Times New Roman"/>
          <w:iCs/>
          <w:sz w:val="20"/>
          <w:szCs w:val="20"/>
        </w:rPr>
        <w:t xml:space="preserve">related </w:t>
      </w:r>
      <w:r w:rsidRPr="00712F3C">
        <w:rPr>
          <w:rFonts w:ascii="Times New Roman" w:hAnsi="Times New Roman"/>
          <w:iCs/>
          <w:sz w:val="20"/>
          <w:szCs w:val="20"/>
        </w:rPr>
        <w:t xml:space="preserve">products, which is similar line of business as of our Company. Our Company will ensure necessary procedures and practices as permitted by laws and regulatory guidelines to address situations of conflict of interest as and when they arise. For further details, see </w:t>
      </w:r>
      <w:r w:rsidRPr="00712F3C">
        <w:rPr>
          <w:rFonts w:ascii="Times New Roman" w:hAnsi="Times New Roman"/>
          <w:b/>
          <w:i/>
          <w:iCs/>
          <w:sz w:val="20"/>
          <w:szCs w:val="20"/>
        </w:rPr>
        <w:t>“Risk Factor”</w:t>
      </w:r>
      <w:r w:rsidRPr="00712F3C">
        <w:rPr>
          <w:rFonts w:ascii="Times New Roman" w:hAnsi="Times New Roman"/>
          <w:iCs/>
          <w:sz w:val="20"/>
          <w:szCs w:val="20"/>
        </w:rPr>
        <w:t xml:space="preserve"> on page </w:t>
      </w:r>
      <w:r>
        <w:rPr>
          <w:rFonts w:ascii="Times New Roman" w:hAnsi="Times New Roman"/>
          <w:iCs/>
          <w:sz w:val="20"/>
          <w:szCs w:val="20"/>
        </w:rPr>
        <w:t>25</w:t>
      </w:r>
      <w:r w:rsidRPr="00712F3C">
        <w:rPr>
          <w:rFonts w:ascii="Times New Roman" w:hAnsi="Times New Roman"/>
          <w:iCs/>
          <w:sz w:val="20"/>
          <w:szCs w:val="20"/>
        </w:rPr>
        <w:t>.</w:t>
      </w:r>
    </w:p>
    <w:p w14:paraId="55460917" w14:textId="77777777" w:rsidR="004047F2" w:rsidRPr="00712F3C" w:rsidRDefault="004047F2" w:rsidP="004047F2">
      <w:pPr>
        <w:tabs>
          <w:tab w:val="left" w:pos="360"/>
        </w:tabs>
        <w:autoSpaceDE w:val="0"/>
        <w:autoSpaceDN w:val="0"/>
        <w:adjustRightInd w:val="0"/>
        <w:spacing w:after="0" w:line="240" w:lineRule="auto"/>
        <w:jc w:val="both"/>
        <w:rPr>
          <w:rFonts w:ascii="Times New Roman" w:hAnsi="Times New Roman"/>
          <w:b/>
          <w:iCs/>
          <w:sz w:val="20"/>
          <w:szCs w:val="20"/>
          <w:u w:val="single"/>
        </w:rPr>
      </w:pPr>
    </w:p>
    <w:p w14:paraId="7AD7978F" w14:textId="77777777" w:rsidR="004047F2" w:rsidRPr="00712F3C" w:rsidRDefault="004047F2" w:rsidP="004047F2">
      <w:pPr>
        <w:tabs>
          <w:tab w:val="left" w:pos="360"/>
        </w:tabs>
        <w:autoSpaceDE w:val="0"/>
        <w:autoSpaceDN w:val="0"/>
        <w:adjustRightInd w:val="0"/>
        <w:spacing w:after="0" w:line="240" w:lineRule="auto"/>
        <w:jc w:val="both"/>
        <w:rPr>
          <w:rFonts w:ascii="Times New Roman" w:hAnsi="Times New Roman"/>
          <w:sz w:val="20"/>
          <w:szCs w:val="20"/>
        </w:rPr>
      </w:pPr>
      <w:r w:rsidRPr="00712F3C">
        <w:rPr>
          <w:rFonts w:ascii="Times New Roman" w:hAnsi="Times New Roman"/>
          <w:b/>
          <w:iCs/>
          <w:sz w:val="20"/>
          <w:szCs w:val="20"/>
          <w:u w:val="single"/>
        </w:rPr>
        <w:t>Nature and Extent of Interest of Group Companies</w:t>
      </w:r>
    </w:p>
    <w:p w14:paraId="3BDE51D8" w14:textId="77777777" w:rsidR="004047F2" w:rsidRPr="00712F3C" w:rsidRDefault="004047F2" w:rsidP="004047F2">
      <w:pPr>
        <w:tabs>
          <w:tab w:val="left" w:pos="360"/>
        </w:tabs>
        <w:autoSpaceDE w:val="0"/>
        <w:autoSpaceDN w:val="0"/>
        <w:adjustRightInd w:val="0"/>
        <w:spacing w:after="0" w:line="240" w:lineRule="auto"/>
        <w:jc w:val="both"/>
        <w:rPr>
          <w:rFonts w:ascii="Times New Roman" w:hAnsi="Times New Roman"/>
          <w:sz w:val="20"/>
          <w:szCs w:val="20"/>
        </w:rPr>
      </w:pPr>
    </w:p>
    <w:p w14:paraId="5AF69FE9" w14:textId="77777777" w:rsidR="004047F2" w:rsidRPr="00712F3C" w:rsidRDefault="004047F2">
      <w:pPr>
        <w:pStyle w:val="ListParagraph"/>
        <w:numPr>
          <w:ilvl w:val="0"/>
          <w:numId w:val="195"/>
        </w:numPr>
        <w:tabs>
          <w:tab w:val="left" w:pos="360"/>
        </w:tabs>
        <w:suppressAutoHyphens w:val="0"/>
        <w:spacing w:line="240" w:lineRule="auto"/>
        <w:ind w:left="360"/>
        <w:contextualSpacing/>
        <w:jc w:val="both"/>
        <w:textAlignment w:val="auto"/>
        <w:rPr>
          <w:b/>
          <w:i/>
          <w:iCs/>
          <w:sz w:val="20"/>
          <w:szCs w:val="20"/>
          <w:u w:val="single"/>
        </w:rPr>
      </w:pPr>
      <w:r w:rsidRPr="00712F3C">
        <w:rPr>
          <w:b/>
          <w:i/>
          <w:iCs/>
          <w:sz w:val="20"/>
          <w:szCs w:val="20"/>
          <w:u w:val="single"/>
        </w:rPr>
        <w:t>In the promotion of our Company:</w:t>
      </w:r>
    </w:p>
    <w:p w14:paraId="4261A2AF" w14:textId="77777777" w:rsidR="004047F2" w:rsidRPr="00712F3C" w:rsidRDefault="004047F2" w:rsidP="004047F2">
      <w:pPr>
        <w:pStyle w:val="ListParagraph"/>
        <w:tabs>
          <w:tab w:val="left" w:pos="360"/>
        </w:tabs>
        <w:spacing w:line="240" w:lineRule="auto"/>
        <w:ind w:left="360"/>
        <w:jc w:val="both"/>
        <w:rPr>
          <w:iCs/>
          <w:sz w:val="20"/>
          <w:szCs w:val="20"/>
        </w:rPr>
      </w:pPr>
    </w:p>
    <w:p w14:paraId="36AAE2C6" w14:textId="77777777" w:rsidR="004047F2" w:rsidRPr="00712F3C" w:rsidRDefault="004047F2" w:rsidP="004047F2">
      <w:pPr>
        <w:pStyle w:val="NoSpacing"/>
        <w:spacing w:line="240" w:lineRule="auto"/>
        <w:ind w:left="360"/>
        <w:jc w:val="both"/>
        <w:rPr>
          <w:iCs/>
          <w:lang w:val="en-US"/>
        </w:rPr>
      </w:pPr>
      <w:r w:rsidRPr="00712F3C">
        <w:t>Our Group Companies</w:t>
      </w:r>
      <w:r w:rsidRPr="00712F3C">
        <w:rPr>
          <w:lang w:val="en-US"/>
        </w:rPr>
        <w:t xml:space="preserve"> </w:t>
      </w:r>
      <w:r w:rsidRPr="00712F3C">
        <w:rPr>
          <w:iCs/>
        </w:rPr>
        <w:t>does not have any interest in the promotion of our Company.</w:t>
      </w:r>
      <w:r w:rsidRPr="00712F3C">
        <w:rPr>
          <w:iCs/>
          <w:lang w:val="en-US"/>
        </w:rPr>
        <w:t xml:space="preserve"> </w:t>
      </w:r>
    </w:p>
    <w:p w14:paraId="54CA9F8B" w14:textId="77777777" w:rsidR="004047F2" w:rsidRPr="00712F3C" w:rsidRDefault="004047F2" w:rsidP="004047F2">
      <w:pPr>
        <w:pStyle w:val="NoSpacing"/>
        <w:spacing w:line="240" w:lineRule="auto"/>
        <w:ind w:left="360"/>
        <w:jc w:val="both"/>
      </w:pPr>
    </w:p>
    <w:p w14:paraId="7C577A9F" w14:textId="77777777" w:rsidR="004047F2" w:rsidRPr="00712F3C" w:rsidRDefault="004047F2">
      <w:pPr>
        <w:pStyle w:val="ListParagraph"/>
        <w:numPr>
          <w:ilvl w:val="0"/>
          <w:numId w:val="195"/>
        </w:numPr>
        <w:tabs>
          <w:tab w:val="left" w:pos="360"/>
        </w:tabs>
        <w:suppressAutoHyphens w:val="0"/>
        <w:spacing w:line="240" w:lineRule="auto"/>
        <w:ind w:left="360"/>
        <w:contextualSpacing/>
        <w:jc w:val="both"/>
        <w:textAlignment w:val="auto"/>
        <w:rPr>
          <w:b/>
          <w:i/>
          <w:iCs/>
          <w:sz w:val="20"/>
          <w:szCs w:val="20"/>
          <w:u w:val="single"/>
        </w:rPr>
      </w:pPr>
      <w:r w:rsidRPr="00712F3C">
        <w:rPr>
          <w:b/>
          <w:i/>
          <w:iCs/>
          <w:sz w:val="20"/>
          <w:szCs w:val="20"/>
          <w:u w:val="single"/>
        </w:rPr>
        <w:t xml:space="preserve">In the properties acquired or proposed to be acquired by our Company in the past two years before filing the </w:t>
      </w:r>
      <w:r w:rsidRPr="00712F3C">
        <w:rPr>
          <w:b/>
          <w:i/>
          <w:iCs/>
          <w:sz w:val="20"/>
          <w:szCs w:val="20"/>
          <w:u w:val="single"/>
          <w:lang w:val="en-IN"/>
        </w:rPr>
        <w:t xml:space="preserve">Draft Red Herring </w:t>
      </w:r>
      <w:r w:rsidRPr="00712F3C">
        <w:rPr>
          <w:b/>
          <w:i/>
          <w:iCs/>
          <w:sz w:val="20"/>
          <w:szCs w:val="20"/>
          <w:u w:val="single"/>
        </w:rPr>
        <w:t>Prospectus with stock exchange:</w:t>
      </w:r>
    </w:p>
    <w:p w14:paraId="430831E1" w14:textId="77777777" w:rsidR="004047F2" w:rsidRPr="00712F3C" w:rsidRDefault="004047F2" w:rsidP="004047F2">
      <w:pPr>
        <w:pStyle w:val="ListParagraph"/>
        <w:tabs>
          <w:tab w:val="left" w:pos="360"/>
        </w:tabs>
        <w:suppressAutoHyphens w:val="0"/>
        <w:spacing w:line="240" w:lineRule="auto"/>
        <w:ind w:left="360"/>
        <w:contextualSpacing/>
        <w:jc w:val="both"/>
        <w:textAlignment w:val="auto"/>
        <w:rPr>
          <w:b/>
          <w:i/>
          <w:iCs/>
          <w:sz w:val="20"/>
          <w:szCs w:val="20"/>
          <w:u w:val="single"/>
        </w:rPr>
      </w:pPr>
    </w:p>
    <w:p w14:paraId="2C6E51FE" w14:textId="77777777" w:rsidR="004047F2" w:rsidRPr="00712F3C" w:rsidRDefault="004047F2" w:rsidP="004047F2">
      <w:pPr>
        <w:pStyle w:val="ListParagraph"/>
        <w:tabs>
          <w:tab w:val="left" w:pos="360"/>
        </w:tabs>
        <w:spacing w:line="240" w:lineRule="auto"/>
        <w:ind w:left="360"/>
        <w:jc w:val="both"/>
        <w:rPr>
          <w:iCs/>
          <w:sz w:val="20"/>
          <w:szCs w:val="20"/>
          <w:lang w:val="en-US"/>
        </w:rPr>
      </w:pPr>
      <w:r>
        <w:rPr>
          <w:sz w:val="20"/>
          <w:szCs w:val="20"/>
          <w:lang w:val="en-US"/>
        </w:rPr>
        <w:t xml:space="preserve">Our </w:t>
      </w:r>
      <w:r w:rsidRPr="00712F3C">
        <w:rPr>
          <w:sz w:val="20"/>
          <w:szCs w:val="20"/>
        </w:rPr>
        <w:t>Group Companies</w:t>
      </w:r>
      <w:r w:rsidRPr="00712F3C">
        <w:rPr>
          <w:sz w:val="20"/>
          <w:szCs w:val="20"/>
          <w:lang w:val="en-US"/>
        </w:rPr>
        <w:t xml:space="preserve"> </w:t>
      </w:r>
      <w:r w:rsidRPr="00712F3C">
        <w:rPr>
          <w:iCs/>
          <w:sz w:val="20"/>
          <w:szCs w:val="20"/>
        </w:rPr>
        <w:t>does not have any interest in the properties acquired or proposed to be acquired by our Company in the past two years before filing the Draft Red Herring Prospectus with Stock Exchange</w:t>
      </w:r>
      <w:r w:rsidRPr="00712F3C">
        <w:rPr>
          <w:iCs/>
          <w:sz w:val="20"/>
          <w:szCs w:val="20"/>
          <w:lang w:val="en-US"/>
        </w:rPr>
        <w:t>.</w:t>
      </w:r>
    </w:p>
    <w:p w14:paraId="1F4C3B2B" w14:textId="77777777" w:rsidR="004047F2" w:rsidRPr="00712F3C" w:rsidRDefault="004047F2" w:rsidP="004047F2">
      <w:pPr>
        <w:pStyle w:val="ListParagraph"/>
        <w:tabs>
          <w:tab w:val="left" w:pos="360"/>
        </w:tabs>
        <w:spacing w:line="240" w:lineRule="auto"/>
        <w:ind w:left="360"/>
        <w:jc w:val="both"/>
        <w:rPr>
          <w:iCs/>
          <w:sz w:val="20"/>
          <w:szCs w:val="20"/>
          <w:lang w:val="en-US"/>
        </w:rPr>
      </w:pPr>
      <w:r w:rsidRPr="00712F3C">
        <w:rPr>
          <w:iCs/>
          <w:sz w:val="20"/>
          <w:szCs w:val="20"/>
          <w:lang w:val="en-US"/>
        </w:rPr>
        <w:t xml:space="preserve"> </w:t>
      </w:r>
    </w:p>
    <w:p w14:paraId="4A869572" w14:textId="77777777" w:rsidR="004047F2" w:rsidRPr="00712F3C" w:rsidRDefault="004047F2">
      <w:pPr>
        <w:pStyle w:val="ListParagraph"/>
        <w:numPr>
          <w:ilvl w:val="0"/>
          <w:numId w:val="195"/>
        </w:numPr>
        <w:tabs>
          <w:tab w:val="left" w:pos="360"/>
        </w:tabs>
        <w:suppressAutoHyphens w:val="0"/>
        <w:spacing w:line="240" w:lineRule="auto"/>
        <w:ind w:left="360"/>
        <w:contextualSpacing/>
        <w:jc w:val="both"/>
        <w:textAlignment w:val="auto"/>
        <w:rPr>
          <w:b/>
          <w:i/>
          <w:iCs/>
          <w:sz w:val="20"/>
          <w:szCs w:val="20"/>
          <w:u w:val="single"/>
        </w:rPr>
      </w:pPr>
      <w:r w:rsidRPr="00712F3C">
        <w:rPr>
          <w:b/>
          <w:i/>
          <w:iCs/>
          <w:sz w:val="20"/>
          <w:szCs w:val="20"/>
          <w:u w:val="single"/>
        </w:rPr>
        <w:t>In transactions for acquisition of land, construction of building and supply of machinery</w:t>
      </w:r>
      <w:r w:rsidRPr="00712F3C">
        <w:rPr>
          <w:b/>
          <w:i/>
          <w:iCs/>
          <w:sz w:val="20"/>
          <w:szCs w:val="20"/>
          <w:u w:val="single"/>
          <w:lang w:val="en-IN"/>
        </w:rPr>
        <w:t>:</w:t>
      </w:r>
    </w:p>
    <w:p w14:paraId="2820126E" w14:textId="77777777" w:rsidR="004047F2" w:rsidRPr="00712F3C" w:rsidRDefault="004047F2" w:rsidP="004047F2">
      <w:pPr>
        <w:tabs>
          <w:tab w:val="left" w:pos="360"/>
        </w:tabs>
        <w:autoSpaceDE w:val="0"/>
        <w:autoSpaceDN w:val="0"/>
        <w:adjustRightInd w:val="0"/>
        <w:spacing w:after="0" w:line="240" w:lineRule="auto"/>
        <w:jc w:val="both"/>
        <w:rPr>
          <w:rFonts w:ascii="Times New Roman" w:hAnsi="Times New Roman"/>
          <w:iCs/>
          <w:sz w:val="20"/>
          <w:szCs w:val="20"/>
        </w:rPr>
      </w:pPr>
    </w:p>
    <w:p w14:paraId="716FBB88" w14:textId="77777777" w:rsidR="004047F2" w:rsidRPr="00712F3C" w:rsidRDefault="004047F2" w:rsidP="004047F2">
      <w:pPr>
        <w:pStyle w:val="ListParagraph"/>
        <w:tabs>
          <w:tab w:val="left" w:pos="360"/>
        </w:tabs>
        <w:spacing w:line="240" w:lineRule="auto"/>
        <w:ind w:left="360"/>
        <w:jc w:val="both"/>
        <w:rPr>
          <w:iCs/>
          <w:sz w:val="20"/>
          <w:szCs w:val="20"/>
          <w:lang w:val="en-US"/>
        </w:rPr>
      </w:pPr>
      <w:r>
        <w:rPr>
          <w:sz w:val="20"/>
          <w:szCs w:val="20"/>
          <w:lang w:val="en-US"/>
        </w:rPr>
        <w:t>N</w:t>
      </w:r>
      <w:r w:rsidRPr="00712F3C">
        <w:rPr>
          <w:sz w:val="20"/>
          <w:szCs w:val="20"/>
          <w:lang w:val="en-US"/>
        </w:rPr>
        <w:t xml:space="preserve">one of our Group Companies </w:t>
      </w:r>
      <w:r w:rsidRPr="00712F3C">
        <w:rPr>
          <w:iCs/>
          <w:sz w:val="20"/>
          <w:szCs w:val="20"/>
          <w:lang w:val="en-US"/>
        </w:rPr>
        <w:t>have any interest in any transactions for the acquisition of land, construction of building or supply of machinery</w:t>
      </w:r>
    </w:p>
    <w:p w14:paraId="667A4BBC" w14:textId="77777777" w:rsidR="004047F2" w:rsidRPr="00712F3C" w:rsidRDefault="004047F2" w:rsidP="004047F2">
      <w:pPr>
        <w:pStyle w:val="ListParagraph"/>
        <w:tabs>
          <w:tab w:val="left" w:pos="360"/>
        </w:tabs>
        <w:spacing w:line="240" w:lineRule="auto"/>
        <w:ind w:left="630"/>
        <w:jc w:val="both"/>
        <w:rPr>
          <w:iCs/>
          <w:sz w:val="20"/>
          <w:szCs w:val="20"/>
          <w:lang w:val="en-US"/>
        </w:rPr>
      </w:pPr>
    </w:p>
    <w:p w14:paraId="7CB86AE5" w14:textId="77777777" w:rsidR="004047F2" w:rsidRPr="00712F3C" w:rsidRDefault="004047F2" w:rsidP="004047F2">
      <w:pPr>
        <w:autoSpaceDE w:val="0"/>
        <w:autoSpaceDN w:val="0"/>
        <w:adjustRightInd w:val="0"/>
        <w:spacing w:after="0" w:line="240" w:lineRule="auto"/>
        <w:jc w:val="both"/>
        <w:rPr>
          <w:rFonts w:ascii="Times New Roman" w:hAnsi="Times New Roman"/>
          <w:b/>
          <w:bCs/>
          <w:sz w:val="20"/>
          <w:szCs w:val="20"/>
          <w:u w:val="single"/>
        </w:rPr>
      </w:pPr>
      <w:r w:rsidRPr="00712F3C">
        <w:rPr>
          <w:rFonts w:ascii="Times New Roman" w:hAnsi="Times New Roman"/>
          <w:b/>
          <w:bCs/>
          <w:sz w:val="20"/>
          <w:szCs w:val="20"/>
          <w:u w:val="single"/>
        </w:rPr>
        <w:t>Related business transactions and their significance on the financial performance of our Company</w:t>
      </w:r>
    </w:p>
    <w:p w14:paraId="49E9E035" w14:textId="77777777" w:rsidR="004047F2" w:rsidRPr="00712F3C" w:rsidRDefault="004047F2" w:rsidP="004047F2">
      <w:pPr>
        <w:autoSpaceDE w:val="0"/>
        <w:autoSpaceDN w:val="0"/>
        <w:adjustRightInd w:val="0"/>
        <w:spacing w:after="0" w:line="240" w:lineRule="auto"/>
        <w:jc w:val="both"/>
        <w:rPr>
          <w:rFonts w:ascii="Times New Roman" w:hAnsi="Times New Roman"/>
          <w:b/>
          <w:bCs/>
          <w:sz w:val="20"/>
          <w:szCs w:val="20"/>
          <w:u w:val="single"/>
        </w:rPr>
      </w:pPr>
    </w:p>
    <w:p w14:paraId="2C4B2566" w14:textId="77777777" w:rsidR="004047F2" w:rsidRPr="00712F3C" w:rsidRDefault="004047F2" w:rsidP="004047F2">
      <w:pPr>
        <w:autoSpaceDE w:val="0"/>
        <w:autoSpaceDN w:val="0"/>
        <w:adjustRightInd w:val="0"/>
        <w:spacing w:after="0" w:line="240" w:lineRule="auto"/>
        <w:jc w:val="both"/>
        <w:rPr>
          <w:rFonts w:ascii="Times New Roman" w:hAnsi="Times New Roman"/>
          <w:bCs/>
          <w:sz w:val="20"/>
          <w:szCs w:val="20"/>
        </w:rPr>
      </w:pPr>
      <w:r w:rsidRPr="00712F3C">
        <w:rPr>
          <w:rFonts w:ascii="Times New Roman" w:hAnsi="Times New Roman"/>
          <w:bCs/>
          <w:sz w:val="20"/>
          <w:szCs w:val="20"/>
        </w:rPr>
        <w:t xml:space="preserve">Other than the transactions disclosed in the section </w:t>
      </w:r>
      <w:r w:rsidRPr="00712F3C">
        <w:rPr>
          <w:rFonts w:ascii="Times New Roman" w:hAnsi="Times New Roman"/>
          <w:b/>
          <w:bCs/>
          <w:i/>
          <w:sz w:val="20"/>
          <w:szCs w:val="20"/>
        </w:rPr>
        <w:t>“Restated Financial Statements-Related Party Transactions”</w:t>
      </w:r>
      <w:r w:rsidRPr="00712F3C">
        <w:rPr>
          <w:rFonts w:ascii="Times New Roman" w:hAnsi="Times New Roman"/>
          <w:bCs/>
          <w:sz w:val="20"/>
          <w:szCs w:val="20"/>
        </w:rPr>
        <w:t xml:space="preserve"> on page </w:t>
      </w:r>
      <w:r>
        <w:rPr>
          <w:rFonts w:ascii="Times New Roman" w:hAnsi="Times New Roman"/>
          <w:bCs/>
          <w:sz w:val="20"/>
          <w:szCs w:val="20"/>
        </w:rPr>
        <w:t>161</w:t>
      </w:r>
      <w:r w:rsidRPr="00712F3C">
        <w:rPr>
          <w:rFonts w:ascii="Times New Roman" w:hAnsi="Times New Roman"/>
          <w:bCs/>
          <w:sz w:val="20"/>
          <w:szCs w:val="20"/>
        </w:rPr>
        <w:t>, there are no related business transactions between the Group Companies and our Company.</w:t>
      </w:r>
    </w:p>
    <w:p w14:paraId="59E69338" w14:textId="77777777" w:rsidR="004047F2" w:rsidRPr="00712F3C" w:rsidRDefault="004047F2" w:rsidP="004047F2">
      <w:pPr>
        <w:autoSpaceDE w:val="0"/>
        <w:autoSpaceDN w:val="0"/>
        <w:adjustRightInd w:val="0"/>
        <w:spacing w:after="0" w:line="240" w:lineRule="auto"/>
        <w:jc w:val="both"/>
        <w:rPr>
          <w:rFonts w:ascii="Times New Roman" w:hAnsi="Times New Roman"/>
          <w:bCs/>
          <w:sz w:val="20"/>
          <w:szCs w:val="20"/>
        </w:rPr>
      </w:pPr>
    </w:p>
    <w:p w14:paraId="7DAAAB06" w14:textId="77777777" w:rsidR="004047F2" w:rsidRPr="00712F3C" w:rsidRDefault="004047F2" w:rsidP="004047F2">
      <w:pPr>
        <w:autoSpaceDE w:val="0"/>
        <w:autoSpaceDN w:val="0"/>
        <w:adjustRightInd w:val="0"/>
        <w:spacing w:after="0" w:line="240" w:lineRule="auto"/>
        <w:jc w:val="both"/>
        <w:rPr>
          <w:rFonts w:ascii="Times New Roman" w:eastAsia="Calibri" w:hAnsi="Times New Roman"/>
          <w:b/>
          <w:sz w:val="20"/>
          <w:szCs w:val="20"/>
          <w:u w:val="single"/>
          <w:lang w:val="en-GB"/>
        </w:rPr>
      </w:pPr>
      <w:r w:rsidRPr="00712F3C">
        <w:rPr>
          <w:rFonts w:ascii="Times New Roman" w:eastAsia="Calibri" w:hAnsi="Times New Roman"/>
          <w:b/>
          <w:sz w:val="20"/>
          <w:szCs w:val="20"/>
          <w:u w:val="single"/>
          <w:lang w:val="en-GB"/>
        </w:rPr>
        <w:t>Business interest of our Group Companies in our Company</w:t>
      </w:r>
    </w:p>
    <w:p w14:paraId="177003A9" w14:textId="77777777" w:rsidR="004047F2" w:rsidRPr="00712F3C" w:rsidRDefault="004047F2" w:rsidP="004047F2">
      <w:pPr>
        <w:autoSpaceDE w:val="0"/>
        <w:autoSpaceDN w:val="0"/>
        <w:adjustRightInd w:val="0"/>
        <w:spacing w:after="0" w:line="240" w:lineRule="auto"/>
        <w:jc w:val="both"/>
        <w:rPr>
          <w:rFonts w:ascii="Times New Roman" w:eastAsia="Calibri" w:hAnsi="Times New Roman"/>
          <w:sz w:val="20"/>
          <w:szCs w:val="20"/>
          <w:lang w:val="en-GB"/>
        </w:rPr>
      </w:pPr>
    </w:p>
    <w:p w14:paraId="3F493540" w14:textId="77777777" w:rsidR="004047F2" w:rsidRPr="00712F3C" w:rsidRDefault="004047F2" w:rsidP="004047F2">
      <w:pPr>
        <w:autoSpaceDE w:val="0"/>
        <w:autoSpaceDN w:val="0"/>
        <w:adjustRightInd w:val="0"/>
        <w:spacing w:after="0" w:line="240" w:lineRule="auto"/>
        <w:jc w:val="both"/>
        <w:rPr>
          <w:rFonts w:ascii="Times New Roman" w:eastAsia="Calibri" w:hAnsi="Times New Roman"/>
          <w:sz w:val="20"/>
          <w:szCs w:val="20"/>
          <w:lang w:val="en-GB"/>
        </w:rPr>
      </w:pPr>
      <w:r w:rsidRPr="00712F3C">
        <w:rPr>
          <w:rFonts w:ascii="Times New Roman" w:eastAsia="Calibri" w:hAnsi="Times New Roman"/>
          <w:sz w:val="20"/>
          <w:szCs w:val="20"/>
          <w:lang w:val="en-GB"/>
        </w:rPr>
        <w:t xml:space="preserve">Except as disclosed in the section </w:t>
      </w:r>
      <w:r w:rsidRPr="00712F3C">
        <w:rPr>
          <w:rFonts w:ascii="Times New Roman" w:eastAsia="Calibri" w:hAnsi="Times New Roman"/>
          <w:b/>
          <w:i/>
          <w:sz w:val="20"/>
          <w:szCs w:val="20"/>
          <w:lang w:val="en-GB"/>
        </w:rPr>
        <w:t>“Other Financial Information–Related Party Transactions”</w:t>
      </w:r>
      <w:r w:rsidRPr="00712F3C">
        <w:rPr>
          <w:rFonts w:ascii="Times New Roman" w:eastAsia="Calibri" w:hAnsi="Times New Roman"/>
          <w:sz w:val="20"/>
          <w:szCs w:val="20"/>
          <w:lang w:val="en-GB"/>
        </w:rPr>
        <w:t xml:space="preserve"> and </w:t>
      </w:r>
      <w:r w:rsidRPr="00712F3C">
        <w:rPr>
          <w:rFonts w:ascii="Times New Roman" w:eastAsia="Calibri" w:hAnsi="Times New Roman"/>
          <w:b/>
          <w:i/>
          <w:sz w:val="20"/>
          <w:szCs w:val="20"/>
          <w:lang w:val="en-GB"/>
        </w:rPr>
        <w:t>“History and certain Corporate Structure”</w:t>
      </w:r>
      <w:r w:rsidRPr="00712F3C">
        <w:rPr>
          <w:rFonts w:ascii="Times New Roman" w:eastAsia="Calibri" w:hAnsi="Times New Roman"/>
          <w:sz w:val="20"/>
          <w:szCs w:val="20"/>
          <w:lang w:val="en-GB"/>
        </w:rPr>
        <w:t xml:space="preserve"> on page </w:t>
      </w:r>
      <w:r>
        <w:rPr>
          <w:rFonts w:ascii="Times New Roman" w:eastAsia="Calibri" w:hAnsi="Times New Roman"/>
          <w:sz w:val="20"/>
          <w:szCs w:val="20"/>
          <w:lang w:val="en-GB"/>
        </w:rPr>
        <w:t>161</w:t>
      </w:r>
      <w:r w:rsidRPr="00712F3C">
        <w:rPr>
          <w:rFonts w:ascii="Times New Roman" w:eastAsia="Calibri" w:hAnsi="Times New Roman"/>
          <w:sz w:val="20"/>
          <w:szCs w:val="20"/>
          <w:lang w:val="en-GB"/>
        </w:rPr>
        <w:t xml:space="preserve"> and page </w:t>
      </w:r>
      <w:r>
        <w:rPr>
          <w:rFonts w:ascii="Times New Roman" w:eastAsia="Calibri" w:hAnsi="Times New Roman"/>
          <w:sz w:val="20"/>
          <w:szCs w:val="20"/>
          <w:lang w:val="en-GB"/>
        </w:rPr>
        <w:t>109</w:t>
      </w:r>
      <w:r w:rsidRPr="00712F3C">
        <w:rPr>
          <w:rFonts w:ascii="Times New Roman" w:eastAsia="Calibri" w:hAnsi="Times New Roman"/>
          <w:sz w:val="20"/>
          <w:szCs w:val="20"/>
          <w:lang w:val="en-GB"/>
        </w:rPr>
        <w:t>, our Group Companies have no business interests in our Company.</w:t>
      </w:r>
    </w:p>
    <w:p w14:paraId="768C9D55" w14:textId="77777777" w:rsidR="004047F2" w:rsidRPr="00712F3C" w:rsidRDefault="004047F2" w:rsidP="004047F2">
      <w:pPr>
        <w:autoSpaceDE w:val="0"/>
        <w:autoSpaceDN w:val="0"/>
        <w:adjustRightInd w:val="0"/>
        <w:spacing w:after="0" w:line="240" w:lineRule="auto"/>
        <w:jc w:val="both"/>
        <w:rPr>
          <w:rFonts w:ascii="Times New Roman" w:eastAsia="Calibri" w:hAnsi="Times New Roman"/>
          <w:sz w:val="20"/>
          <w:szCs w:val="20"/>
          <w:lang w:val="en-GB"/>
        </w:rPr>
      </w:pPr>
    </w:p>
    <w:p w14:paraId="0B7CB1DB" w14:textId="77777777" w:rsidR="004047F2" w:rsidRPr="00712F3C" w:rsidRDefault="004047F2" w:rsidP="004047F2">
      <w:pPr>
        <w:autoSpaceDE w:val="0"/>
        <w:autoSpaceDN w:val="0"/>
        <w:adjustRightInd w:val="0"/>
        <w:spacing w:after="0" w:line="240" w:lineRule="auto"/>
        <w:jc w:val="both"/>
        <w:rPr>
          <w:rFonts w:ascii="Times New Roman" w:eastAsia="Calibri" w:hAnsi="Times New Roman"/>
          <w:b/>
          <w:sz w:val="20"/>
          <w:szCs w:val="20"/>
          <w:u w:val="single"/>
          <w:lang w:val="en-GB"/>
        </w:rPr>
      </w:pPr>
      <w:r w:rsidRPr="00712F3C">
        <w:rPr>
          <w:rFonts w:ascii="Times New Roman" w:eastAsia="Calibri" w:hAnsi="Times New Roman"/>
          <w:b/>
          <w:sz w:val="20"/>
          <w:szCs w:val="20"/>
          <w:u w:val="single"/>
          <w:lang w:val="en-GB"/>
        </w:rPr>
        <w:t>Other confirmations</w:t>
      </w:r>
    </w:p>
    <w:p w14:paraId="49BFC84B" w14:textId="77777777" w:rsidR="004047F2" w:rsidRPr="00712F3C" w:rsidRDefault="004047F2" w:rsidP="004047F2">
      <w:pPr>
        <w:autoSpaceDE w:val="0"/>
        <w:autoSpaceDN w:val="0"/>
        <w:adjustRightInd w:val="0"/>
        <w:spacing w:after="0" w:line="240" w:lineRule="auto"/>
        <w:jc w:val="both"/>
        <w:rPr>
          <w:rFonts w:ascii="Times New Roman" w:eastAsia="Calibri" w:hAnsi="Times New Roman"/>
          <w:b/>
          <w:sz w:val="20"/>
          <w:szCs w:val="20"/>
          <w:u w:val="single"/>
          <w:lang w:val="en-GB"/>
        </w:rPr>
      </w:pPr>
    </w:p>
    <w:p w14:paraId="5D73C5C1" w14:textId="77777777" w:rsidR="004047F2" w:rsidRPr="00712F3C" w:rsidRDefault="004047F2">
      <w:pPr>
        <w:numPr>
          <w:ilvl w:val="0"/>
          <w:numId w:val="199"/>
        </w:numPr>
        <w:autoSpaceDE w:val="0"/>
        <w:autoSpaceDN w:val="0"/>
        <w:adjustRightInd w:val="0"/>
        <w:spacing w:after="0" w:line="240" w:lineRule="auto"/>
        <w:jc w:val="both"/>
        <w:rPr>
          <w:rFonts w:ascii="Times New Roman" w:eastAsia="Calibri" w:hAnsi="Times New Roman"/>
          <w:sz w:val="20"/>
          <w:szCs w:val="20"/>
          <w:lang w:val="en-GB"/>
        </w:rPr>
      </w:pPr>
      <w:r w:rsidRPr="00712F3C">
        <w:rPr>
          <w:rFonts w:ascii="Times New Roman" w:eastAsia="Calibri" w:hAnsi="Times New Roman"/>
          <w:sz w:val="20"/>
          <w:szCs w:val="20"/>
          <w:lang w:val="en-GB"/>
        </w:rPr>
        <w:t>None of the above-mentioned Group Companies has made any public and/ or rights issue of securities in the preceding three years.</w:t>
      </w:r>
    </w:p>
    <w:p w14:paraId="3D765528" w14:textId="77777777" w:rsidR="004047F2" w:rsidRPr="00712F3C" w:rsidRDefault="004047F2" w:rsidP="004047F2">
      <w:pPr>
        <w:autoSpaceDE w:val="0"/>
        <w:autoSpaceDN w:val="0"/>
        <w:adjustRightInd w:val="0"/>
        <w:spacing w:after="0" w:line="240" w:lineRule="auto"/>
        <w:ind w:left="720"/>
        <w:jc w:val="both"/>
        <w:rPr>
          <w:rFonts w:ascii="Times New Roman" w:eastAsia="Calibri" w:hAnsi="Times New Roman"/>
          <w:sz w:val="20"/>
          <w:szCs w:val="20"/>
          <w:lang w:val="en-GB"/>
        </w:rPr>
      </w:pPr>
    </w:p>
    <w:p w14:paraId="7FADA36A" w14:textId="77777777" w:rsidR="004047F2" w:rsidRPr="00712F3C" w:rsidRDefault="004047F2">
      <w:pPr>
        <w:numPr>
          <w:ilvl w:val="0"/>
          <w:numId w:val="199"/>
        </w:numPr>
        <w:autoSpaceDE w:val="0"/>
        <w:autoSpaceDN w:val="0"/>
        <w:adjustRightInd w:val="0"/>
        <w:spacing w:after="0" w:line="240" w:lineRule="auto"/>
        <w:jc w:val="both"/>
        <w:rPr>
          <w:rFonts w:ascii="Times New Roman" w:eastAsia="Calibri" w:hAnsi="Times New Roman"/>
          <w:sz w:val="20"/>
          <w:szCs w:val="20"/>
          <w:lang w:val="en-GB"/>
        </w:rPr>
      </w:pPr>
      <w:r w:rsidRPr="00712F3C">
        <w:rPr>
          <w:rFonts w:ascii="Times New Roman" w:eastAsia="Calibri" w:hAnsi="Times New Roman"/>
          <w:sz w:val="20"/>
          <w:szCs w:val="20"/>
          <w:lang w:val="en-GB"/>
        </w:rPr>
        <w:t>None of the above-mentioned Group Companies are in defaults in meeting any Statutory/ bank/ institutional dues and no proceedings have been initiated for economic offences against any of the Group Companies.</w:t>
      </w:r>
    </w:p>
    <w:p w14:paraId="43630913" w14:textId="77777777" w:rsidR="004047F2" w:rsidRPr="00712F3C" w:rsidRDefault="004047F2" w:rsidP="004047F2">
      <w:pPr>
        <w:autoSpaceDE w:val="0"/>
        <w:autoSpaceDN w:val="0"/>
        <w:adjustRightInd w:val="0"/>
        <w:spacing w:after="0" w:line="240" w:lineRule="auto"/>
        <w:ind w:left="720"/>
        <w:jc w:val="both"/>
        <w:rPr>
          <w:rFonts w:ascii="Times New Roman" w:eastAsia="Calibri" w:hAnsi="Times New Roman"/>
          <w:sz w:val="20"/>
          <w:szCs w:val="20"/>
          <w:lang w:val="en-GB"/>
        </w:rPr>
      </w:pPr>
    </w:p>
    <w:p w14:paraId="49600993" w14:textId="77777777" w:rsidR="004047F2" w:rsidRPr="00712F3C" w:rsidRDefault="004047F2">
      <w:pPr>
        <w:numPr>
          <w:ilvl w:val="0"/>
          <w:numId w:val="199"/>
        </w:numPr>
        <w:autoSpaceDE w:val="0"/>
        <w:autoSpaceDN w:val="0"/>
        <w:adjustRightInd w:val="0"/>
        <w:spacing w:after="0" w:line="240" w:lineRule="auto"/>
        <w:jc w:val="both"/>
        <w:rPr>
          <w:rFonts w:ascii="Times New Roman" w:eastAsia="Calibri" w:hAnsi="Times New Roman"/>
          <w:sz w:val="20"/>
          <w:szCs w:val="20"/>
          <w:lang w:val="en-GB"/>
        </w:rPr>
      </w:pPr>
      <w:r w:rsidRPr="00712F3C">
        <w:rPr>
          <w:rFonts w:ascii="Times New Roman" w:eastAsia="Calibri" w:hAnsi="Times New Roman"/>
          <w:sz w:val="20"/>
          <w:szCs w:val="20"/>
          <w:lang w:val="en-GB"/>
        </w:rPr>
        <w:t>Our Group Companies has not been debarred from accessing the capital market for any reasons by the SEBI or any other authorities.</w:t>
      </w:r>
    </w:p>
    <w:p w14:paraId="045C26EB" w14:textId="77777777" w:rsidR="004047F2" w:rsidRPr="00712F3C" w:rsidRDefault="004047F2" w:rsidP="004047F2">
      <w:pPr>
        <w:autoSpaceDE w:val="0"/>
        <w:autoSpaceDN w:val="0"/>
        <w:adjustRightInd w:val="0"/>
        <w:spacing w:after="0" w:line="240" w:lineRule="auto"/>
        <w:jc w:val="both"/>
        <w:rPr>
          <w:rFonts w:ascii="Times New Roman" w:eastAsia="Calibri" w:hAnsi="Times New Roman"/>
          <w:sz w:val="20"/>
          <w:szCs w:val="20"/>
          <w:lang w:val="en-GB"/>
        </w:rPr>
      </w:pPr>
    </w:p>
    <w:p w14:paraId="5E4DC908" w14:textId="77777777" w:rsidR="004047F2" w:rsidRPr="00712F3C" w:rsidRDefault="004047F2" w:rsidP="004047F2">
      <w:pPr>
        <w:autoSpaceDE w:val="0"/>
        <w:autoSpaceDN w:val="0"/>
        <w:adjustRightInd w:val="0"/>
        <w:spacing w:after="0" w:line="240" w:lineRule="auto"/>
        <w:jc w:val="both"/>
        <w:rPr>
          <w:rFonts w:ascii="Times New Roman" w:eastAsia="Calibri" w:hAnsi="Times New Roman"/>
          <w:b/>
          <w:sz w:val="20"/>
          <w:szCs w:val="20"/>
          <w:u w:val="single"/>
          <w:lang w:val="en-GB"/>
        </w:rPr>
      </w:pPr>
      <w:r w:rsidRPr="00712F3C">
        <w:rPr>
          <w:rFonts w:ascii="Times New Roman" w:eastAsia="Calibri" w:hAnsi="Times New Roman"/>
          <w:b/>
          <w:sz w:val="20"/>
          <w:szCs w:val="20"/>
          <w:u w:val="single"/>
          <w:lang w:val="en-GB"/>
        </w:rPr>
        <w:t>Undertaking/ Confirmations by our Group Companies</w:t>
      </w:r>
    </w:p>
    <w:p w14:paraId="69261291" w14:textId="77777777" w:rsidR="004047F2" w:rsidRPr="00712F3C" w:rsidRDefault="004047F2" w:rsidP="004047F2">
      <w:pPr>
        <w:autoSpaceDE w:val="0"/>
        <w:autoSpaceDN w:val="0"/>
        <w:adjustRightInd w:val="0"/>
        <w:spacing w:after="0" w:line="240" w:lineRule="auto"/>
        <w:jc w:val="both"/>
        <w:rPr>
          <w:rFonts w:ascii="Times New Roman" w:eastAsia="Calibri" w:hAnsi="Times New Roman"/>
          <w:b/>
          <w:sz w:val="20"/>
          <w:szCs w:val="20"/>
          <w:u w:val="single"/>
          <w:lang w:val="en-GB"/>
        </w:rPr>
      </w:pPr>
    </w:p>
    <w:p w14:paraId="74A33CA2" w14:textId="77777777" w:rsidR="004047F2" w:rsidRPr="00712F3C" w:rsidRDefault="004047F2" w:rsidP="004047F2">
      <w:pPr>
        <w:autoSpaceDE w:val="0"/>
        <w:autoSpaceDN w:val="0"/>
        <w:adjustRightInd w:val="0"/>
        <w:spacing w:after="0" w:line="240" w:lineRule="auto"/>
        <w:jc w:val="both"/>
        <w:rPr>
          <w:rFonts w:ascii="Times New Roman" w:eastAsia="Calibri" w:hAnsi="Times New Roman"/>
          <w:sz w:val="20"/>
          <w:szCs w:val="20"/>
          <w:lang w:val="en-GB"/>
        </w:rPr>
      </w:pPr>
      <w:r w:rsidRPr="00712F3C">
        <w:rPr>
          <w:rFonts w:ascii="Times New Roman" w:eastAsia="Calibri" w:hAnsi="Times New Roman"/>
          <w:sz w:val="20"/>
          <w:szCs w:val="20"/>
          <w:lang w:val="en-GB"/>
        </w:rPr>
        <w:t>None of our Promoters or Promoter Group or Group companies or person in control of our Company has been:</w:t>
      </w:r>
    </w:p>
    <w:p w14:paraId="355A0BA3" w14:textId="77777777" w:rsidR="004047F2" w:rsidRPr="00712F3C" w:rsidRDefault="004047F2" w:rsidP="004047F2">
      <w:pPr>
        <w:autoSpaceDE w:val="0"/>
        <w:autoSpaceDN w:val="0"/>
        <w:adjustRightInd w:val="0"/>
        <w:spacing w:after="0" w:line="240" w:lineRule="auto"/>
        <w:jc w:val="both"/>
        <w:rPr>
          <w:rFonts w:ascii="Times New Roman" w:eastAsia="Calibri" w:hAnsi="Times New Roman"/>
          <w:sz w:val="20"/>
          <w:szCs w:val="20"/>
          <w:lang w:val="en-GB"/>
        </w:rPr>
      </w:pPr>
    </w:p>
    <w:p w14:paraId="5A7D3E8F" w14:textId="77777777" w:rsidR="004047F2" w:rsidRPr="00712F3C" w:rsidRDefault="004047F2">
      <w:pPr>
        <w:numPr>
          <w:ilvl w:val="0"/>
          <w:numId w:val="200"/>
        </w:numPr>
        <w:autoSpaceDE w:val="0"/>
        <w:autoSpaceDN w:val="0"/>
        <w:adjustRightInd w:val="0"/>
        <w:spacing w:after="0" w:line="240" w:lineRule="auto"/>
        <w:jc w:val="both"/>
        <w:rPr>
          <w:rFonts w:ascii="Times New Roman" w:eastAsia="Calibri" w:hAnsi="Times New Roman"/>
          <w:sz w:val="20"/>
          <w:szCs w:val="20"/>
          <w:lang w:val="en-GB"/>
        </w:rPr>
      </w:pPr>
      <w:r w:rsidRPr="00712F3C">
        <w:rPr>
          <w:rFonts w:ascii="Times New Roman" w:eastAsia="Calibri" w:hAnsi="Times New Roman"/>
          <w:sz w:val="20"/>
          <w:szCs w:val="20"/>
          <w:lang w:val="en-GB"/>
        </w:rPr>
        <w:lastRenderedPageBreak/>
        <w:t>Prohibited from accessing or operating in the capital market or restrained from buying, selling or dealing in securities under any order or direction passed by SEBI or any other authority; or</w:t>
      </w:r>
    </w:p>
    <w:p w14:paraId="11D5E5B2" w14:textId="77777777" w:rsidR="004047F2" w:rsidRPr="00712F3C" w:rsidRDefault="004047F2" w:rsidP="004047F2">
      <w:pPr>
        <w:autoSpaceDE w:val="0"/>
        <w:autoSpaceDN w:val="0"/>
        <w:adjustRightInd w:val="0"/>
        <w:spacing w:after="0" w:line="240" w:lineRule="auto"/>
        <w:ind w:left="720"/>
        <w:jc w:val="both"/>
        <w:rPr>
          <w:rFonts w:ascii="Times New Roman" w:eastAsia="Calibri" w:hAnsi="Times New Roman"/>
          <w:sz w:val="20"/>
          <w:szCs w:val="20"/>
          <w:lang w:val="en-GB"/>
        </w:rPr>
      </w:pPr>
    </w:p>
    <w:p w14:paraId="55D986CC" w14:textId="77777777" w:rsidR="004047F2" w:rsidRPr="00712F3C" w:rsidRDefault="004047F2">
      <w:pPr>
        <w:numPr>
          <w:ilvl w:val="0"/>
          <w:numId w:val="200"/>
        </w:numPr>
        <w:autoSpaceDE w:val="0"/>
        <w:autoSpaceDN w:val="0"/>
        <w:adjustRightInd w:val="0"/>
        <w:spacing w:after="0" w:line="240" w:lineRule="auto"/>
        <w:jc w:val="both"/>
        <w:rPr>
          <w:rFonts w:ascii="Times New Roman" w:eastAsia="Calibri" w:hAnsi="Times New Roman"/>
          <w:sz w:val="20"/>
          <w:szCs w:val="20"/>
          <w:lang w:val="en-GB"/>
        </w:rPr>
      </w:pPr>
      <w:r w:rsidRPr="00712F3C">
        <w:rPr>
          <w:rFonts w:ascii="Times New Roman" w:eastAsia="Calibri" w:hAnsi="Times New Roman"/>
          <w:sz w:val="20"/>
          <w:szCs w:val="20"/>
          <w:lang w:val="en-GB"/>
        </w:rPr>
        <w:t>Refused listing of any of the securities issued by such entity by any stock exchange, in India or abroad.</w:t>
      </w:r>
    </w:p>
    <w:p w14:paraId="1515359A" w14:textId="77777777" w:rsidR="004047F2" w:rsidRPr="00712F3C" w:rsidRDefault="004047F2" w:rsidP="004047F2">
      <w:pPr>
        <w:autoSpaceDE w:val="0"/>
        <w:autoSpaceDN w:val="0"/>
        <w:adjustRightInd w:val="0"/>
        <w:spacing w:after="0" w:line="240" w:lineRule="auto"/>
        <w:jc w:val="both"/>
        <w:rPr>
          <w:rFonts w:ascii="Times New Roman" w:eastAsia="Calibri" w:hAnsi="Times New Roman"/>
          <w:sz w:val="20"/>
          <w:szCs w:val="20"/>
          <w:lang w:val="en-GB"/>
        </w:rPr>
      </w:pPr>
    </w:p>
    <w:p w14:paraId="69B6013A" w14:textId="77777777" w:rsidR="004047F2" w:rsidRPr="00712F3C" w:rsidRDefault="004047F2" w:rsidP="004047F2">
      <w:pPr>
        <w:autoSpaceDE w:val="0"/>
        <w:autoSpaceDN w:val="0"/>
        <w:adjustRightInd w:val="0"/>
        <w:spacing w:after="0" w:line="240" w:lineRule="auto"/>
        <w:jc w:val="both"/>
        <w:rPr>
          <w:rFonts w:ascii="Times New Roman" w:eastAsia="Calibri" w:hAnsi="Times New Roman"/>
          <w:sz w:val="20"/>
          <w:szCs w:val="20"/>
          <w:lang w:val="en-GB"/>
        </w:rPr>
      </w:pPr>
      <w:r w:rsidRPr="00712F3C">
        <w:rPr>
          <w:rFonts w:ascii="Times New Roman" w:eastAsia="Calibri" w:hAnsi="Times New Roman"/>
          <w:sz w:val="20"/>
          <w:szCs w:val="20"/>
          <w:lang w:val="en-GB"/>
        </w:rPr>
        <w:t>None of our Promoters, person in control of our Company have ever been a Promoters, Director or person in control of any other Company which is debarred from accessing the capital markets under any order or direction passed by the SEBI or any other authority.</w:t>
      </w:r>
    </w:p>
    <w:p w14:paraId="0659F553" w14:textId="77777777" w:rsidR="004047F2" w:rsidRPr="00712F3C" w:rsidRDefault="004047F2" w:rsidP="004047F2">
      <w:pPr>
        <w:autoSpaceDE w:val="0"/>
        <w:autoSpaceDN w:val="0"/>
        <w:adjustRightInd w:val="0"/>
        <w:spacing w:after="0" w:line="240" w:lineRule="auto"/>
        <w:jc w:val="both"/>
        <w:rPr>
          <w:rFonts w:ascii="Times New Roman" w:eastAsia="Calibri" w:hAnsi="Times New Roman"/>
          <w:sz w:val="20"/>
          <w:szCs w:val="20"/>
          <w:lang w:val="en-GB"/>
        </w:rPr>
      </w:pPr>
    </w:p>
    <w:p w14:paraId="4425302B" w14:textId="77777777" w:rsidR="004047F2" w:rsidRPr="00712F3C" w:rsidRDefault="004047F2" w:rsidP="004047F2">
      <w:pPr>
        <w:autoSpaceDE w:val="0"/>
        <w:autoSpaceDN w:val="0"/>
        <w:adjustRightInd w:val="0"/>
        <w:spacing w:after="0" w:line="240" w:lineRule="auto"/>
        <w:jc w:val="both"/>
        <w:rPr>
          <w:rFonts w:ascii="Times New Roman" w:eastAsia="Calibri" w:hAnsi="Times New Roman"/>
          <w:sz w:val="20"/>
          <w:szCs w:val="20"/>
          <w:lang w:val="en-GB"/>
        </w:rPr>
      </w:pPr>
      <w:r w:rsidRPr="00712F3C">
        <w:rPr>
          <w:rFonts w:ascii="Times New Roman" w:eastAsia="Calibri" w:hAnsi="Times New Roman"/>
          <w:sz w:val="20"/>
          <w:szCs w:val="20"/>
          <w:lang w:val="en-GB"/>
        </w:rPr>
        <w:t>Further, neither our Promoters, the relatives of our individual Promoters (as defined under the Companies Act) nor our Group companies/ Promoter Group entities have been declared as a willful defaulter or economic offender by the RBI or any other government authority and there are no violations of securities laws committed by them or any entities they are connected with in the past and no proceedings for violation of securities laws are pending against them.</w:t>
      </w:r>
    </w:p>
    <w:p w14:paraId="61B5B23E" w14:textId="77777777" w:rsidR="004047F2" w:rsidRPr="00712F3C" w:rsidRDefault="004047F2" w:rsidP="004047F2">
      <w:pPr>
        <w:autoSpaceDE w:val="0"/>
        <w:autoSpaceDN w:val="0"/>
        <w:adjustRightInd w:val="0"/>
        <w:spacing w:after="0" w:line="240" w:lineRule="auto"/>
        <w:jc w:val="both"/>
        <w:rPr>
          <w:rFonts w:ascii="Times New Roman" w:eastAsia="Calibri" w:hAnsi="Times New Roman"/>
          <w:sz w:val="20"/>
          <w:szCs w:val="20"/>
          <w:lang w:val="en-GB"/>
        </w:rPr>
      </w:pPr>
    </w:p>
    <w:p w14:paraId="5248628D" w14:textId="0B387EC5" w:rsidR="004047F2" w:rsidRDefault="004047F2" w:rsidP="004047F2">
      <w:pPr>
        <w:widowControl w:val="0"/>
        <w:autoSpaceDE w:val="0"/>
        <w:autoSpaceDN w:val="0"/>
        <w:adjustRightInd w:val="0"/>
        <w:spacing w:after="0" w:line="240" w:lineRule="auto"/>
        <w:contextualSpacing/>
        <w:jc w:val="both"/>
        <w:rPr>
          <w:rFonts w:ascii="Times New Roman" w:eastAsia="Calibri" w:hAnsi="Times New Roman"/>
          <w:sz w:val="20"/>
          <w:szCs w:val="20"/>
          <w:lang w:val="en-GB"/>
        </w:rPr>
      </w:pPr>
      <w:r w:rsidRPr="00712F3C">
        <w:rPr>
          <w:rFonts w:ascii="Times New Roman" w:eastAsia="Calibri" w:hAnsi="Times New Roman"/>
          <w:sz w:val="20"/>
          <w:szCs w:val="20"/>
          <w:lang w:val="en-GB"/>
        </w:rPr>
        <w:t>The information as required by the SEBI ICDR Regulations with regards to the Group companies, are also available on the website of our company i.e.</w:t>
      </w:r>
      <w:r>
        <w:rPr>
          <w:rFonts w:ascii="Times New Roman" w:eastAsia="Calibri" w:hAnsi="Times New Roman"/>
          <w:sz w:val="20"/>
          <w:szCs w:val="20"/>
          <w:lang w:val="en-GB"/>
        </w:rPr>
        <w:t xml:space="preserve">, </w:t>
      </w:r>
      <w:hyperlink r:id="rId90" w:history="1">
        <w:r w:rsidRPr="00241637">
          <w:rPr>
            <w:rStyle w:val="Hyperlink"/>
            <w:rFonts w:ascii="Times New Roman" w:eastAsia="Calibri" w:hAnsi="Times New Roman"/>
            <w:sz w:val="20"/>
            <w:szCs w:val="20"/>
            <w:lang w:val="en-GB"/>
          </w:rPr>
          <w:t>www.siyaramindustries.co.in</w:t>
        </w:r>
      </w:hyperlink>
      <w:r>
        <w:rPr>
          <w:rFonts w:ascii="Times New Roman" w:eastAsia="Calibri" w:hAnsi="Times New Roman"/>
          <w:sz w:val="20"/>
          <w:szCs w:val="20"/>
          <w:lang w:val="en-GB"/>
        </w:rPr>
        <w:t xml:space="preserve">. </w:t>
      </w:r>
    </w:p>
    <w:p w14:paraId="1164039E" w14:textId="77777777" w:rsidR="004047F2" w:rsidRDefault="004047F2">
      <w:pPr>
        <w:spacing w:after="160" w:line="259" w:lineRule="auto"/>
        <w:rPr>
          <w:rFonts w:ascii="Times New Roman" w:eastAsia="Calibri" w:hAnsi="Times New Roman"/>
          <w:sz w:val="20"/>
          <w:szCs w:val="20"/>
          <w:lang w:val="en-GB"/>
        </w:rPr>
      </w:pPr>
      <w:r>
        <w:rPr>
          <w:rFonts w:ascii="Times New Roman" w:eastAsia="Calibri" w:hAnsi="Times New Roman"/>
          <w:sz w:val="20"/>
          <w:szCs w:val="20"/>
          <w:lang w:val="en-GB"/>
        </w:rPr>
        <w:br w:type="page"/>
      </w:r>
    </w:p>
    <w:p w14:paraId="44EB72C7" w14:textId="77777777" w:rsidR="004047F2" w:rsidRPr="00712F3C" w:rsidRDefault="004047F2" w:rsidP="004047F2">
      <w:pPr>
        <w:spacing w:after="0" w:line="240" w:lineRule="auto"/>
        <w:jc w:val="center"/>
        <w:rPr>
          <w:rFonts w:ascii="Times New Roman" w:hAnsi="Times New Roman"/>
          <w:b/>
          <w:sz w:val="20"/>
          <w:szCs w:val="20"/>
          <w:u w:val="single"/>
        </w:rPr>
      </w:pPr>
      <w:r w:rsidRPr="00712F3C">
        <w:rPr>
          <w:rFonts w:ascii="Times New Roman" w:hAnsi="Times New Roman"/>
          <w:b/>
          <w:sz w:val="20"/>
          <w:szCs w:val="20"/>
          <w:u w:val="single"/>
        </w:rPr>
        <w:lastRenderedPageBreak/>
        <w:t>OTHER REGULATORY AND STATUTORY DISCLOSURES</w:t>
      </w:r>
    </w:p>
    <w:p w14:paraId="179F26D8" w14:textId="77777777" w:rsidR="004047F2" w:rsidRPr="00712F3C" w:rsidRDefault="004047F2" w:rsidP="004047F2">
      <w:pPr>
        <w:spacing w:after="0" w:line="240" w:lineRule="auto"/>
        <w:rPr>
          <w:rFonts w:ascii="Times New Roman" w:hAnsi="Times New Roman"/>
          <w:sz w:val="20"/>
          <w:szCs w:val="20"/>
        </w:rPr>
      </w:pPr>
    </w:p>
    <w:p w14:paraId="4FA1EB2F" w14:textId="77777777" w:rsidR="004047F2" w:rsidRPr="00712F3C" w:rsidRDefault="004047F2" w:rsidP="004047F2">
      <w:pPr>
        <w:spacing w:after="0" w:line="240" w:lineRule="auto"/>
        <w:jc w:val="both"/>
        <w:rPr>
          <w:rFonts w:ascii="Times New Roman" w:hAnsi="Times New Roman"/>
          <w:b/>
          <w:sz w:val="20"/>
          <w:szCs w:val="20"/>
        </w:rPr>
      </w:pPr>
      <w:r w:rsidRPr="00712F3C">
        <w:rPr>
          <w:rFonts w:ascii="Times New Roman" w:hAnsi="Times New Roman"/>
          <w:b/>
          <w:sz w:val="20"/>
          <w:szCs w:val="20"/>
        </w:rPr>
        <w:t>Authority for the Issue</w:t>
      </w:r>
    </w:p>
    <w:p w14:paraId="11C84531" w14:textId="77777777" w:rsidR="004047F2" w:rsidRPr="00712F3C" w:rsidRDefault="004047F2" w:rsidP="004047F2">
      <w:pPr>
        <w:spacing w:after="0" w:line="240" w:lineRule="auto"/>
        <w:jc w:val="both"/>
        <w:rPr>
          <w:rFonts w:ascii="Times New Roman" w:hAnsi="Times New Roman"/>
          <w:b/>
          <w:sz w:val="20"/>
          <w:szCs w:val="20"/>
        </w:rPr>
      </w:pPr>
    </w:p>
    <w:p w14:paraId="4B13177B" w14:textId="77777777" w:rsidR="004047F2" w:rsidRPr="00712F3C" w:rsidRDefault="004047F2" w:rsidP="004047F2">
      <w:pPr>
        <w:spacing w:after="0" w:line="240" w:lineRule="auto"/>
        <w:jc w:val="both"/>
        <w:rPr>
          <w:rFonts w:ascii="Times New Roman" w:hAnsi="Times New Roman"/>
          <w:b/>
          <w:sz w:val="20"/>
          <w:szCs w:val="20"/>
        </w:rPr>
      </w:pPr>
      <w:r w:rsidRPr="00712F3C">
        <w:rPr>
          <w:rFonts w:ascii="Times New Roman" w:hAnsi="Times New Roman"/>
          <w:b/>
          <w:sz w:val="20"/>
          <w:szCs w:val="20"/>
        </w:rPr>
        <w:t>Corporate Approvals</w:t>
      </w:r>
    </w:p>
    <w:p w14:paraId="3678A9BE" w14:textId="77777777" w:rsidR="004047F2" w:rsidRPr="00712F3C" w:rsidRDefault="004047F2" w:rsidP="004047F2">
      <w:pPr>
        <w:spacing w:after="0" w:line="240" w:lineRule="auto"/>
        <w:jc w:val="both"/>
        <w:rPr>
          <w:rFonts w:ascii="Times New Roman" w:hAnsi="Times New Roman"/>
          <w:sz w:val="20"/>
          <w:szCs w:val="20"/>
        </w:rPr>
      </w:pPr>
    </w:p>
    <w:p w14:paraId="4E14B29E" w14:textId="12D485FA"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 xml:space="preserve">The Board of Directors, pursuant to a resolution passed at their meeting held on </w:t>
      </w:r>
      <w:r w:rsidR="007C1DBA" w:rsidRPr="007C1DBA">
        <w:rPr>
          <w:rFonts w:ascii="Times New Roman" w:hAnsi="Times New Roman"/>
          <w:color w:val="000000"/>
          <w:sz w:val="20"/>
          <w:szCs w:val="20"/>
        </w:rPr>
        <w:t xml:space="preserve">August 25, 2023 </w:t>
      </w:r>
      <w:r w:rsidRPr="00712F3C">
        <w:rPr>
          <w:rFonts w:ascii="Times New Roman" w:hAnsi="Times New Roman"/>
          <w:sz w:val="20"/>
          <w:szCs w:val="20"/>
        </w:rPr>
        <w:t xml:space="preserve">authorized the Issue, subject to the approval of the shareholders of our Company under Section 62(1)(c) of the Companies Act, 2013, and such other authorities as may be necessary. The shareholders of our Company have, pursuant to a special resolution passed under Section 62(1)(c) of the Companies Act, 2013 at an Extra-Ordinary General Meeting held on </w:t>
      </w:r>
      <w:r w:rsidR="007C1DBA" w:rsidRPr="007C1DBA">
        <w:rPr>
          <w:rFonts w:ascii="Times New Roman" w:hAnsi="Times New Roman"/>
          <w:color w:val="000000"/>
          <w:sz w:val="20"/>
          <w:szCs w:val="20"/>
        </w:rPr>
        <w:t xml:space="preserve">August 25, 2023 </w:t>
      </w:r>
      <w:r w:rsidRPr="00712F3C">
        <w:rPr>
          <w:rFonts w:ascii="Times New Roman" w:hAnsi="Times New Roman"/>
          <w:sz w:val="20"/>
          <w:szCs w:val="20"/>
        </w:rPr>
        <w:t>authorized the Issue.</w:t>
      </w:r>
    </w:p>
    <w:p w14:paraId="0B153403" w14:textId="77777777" w:rsidR="004047F2" w:rsidRPr="00712F3C" w:rsidRDefault="004047F2" w:rsidP="004047F2">
      <w:pPr>
        <w:spacing w:after="0" w:line="240" w:lineRule="auto"/>
        <w:jc w:val="both"/>
        <w:rPr>
          <w:rFonts w:ascii="Times New Roman" w:hAnsi="Times New Roman"/>
          <w:sz w:val="20"/>
          <w:szCs w:val="20"/>
        </w:rPr>
      </w:pPr>
    </w:p>
    <w:p w14:paraId="47791E0C" w14:textId="77777777" w:rsidR="004047F2" w:rsidRPr="00712F3C" w:rsidRDefault="004047F2" w:rsidP="004047F2">
      <w:pPr>
        <w:spacing w:after="0" w:line="240" w:lineRule="auto"/>
        <w:jc w:val="both"/>
        <w:rPr>
          <w:rFonts w:ascii="Times New Roman" w:hAnsi="Times New Roman"/>
          <w:b/>
          <w:sz w:val="20"/>
          <w:szCs w:val="20"/>
        </w:rPr>
      </w:pPr>
      <w:r w:rsidRPr="00712F3C">
        <w:rPr>
          <w:rFonts w:ascii="Times New Roman" w:hAnsi="Times New Roman"/>
          <w:b/>
          <w:sz w:val="20"/>
          <w:szCs w:val="20"/>
        </w:rPr>
        <w:t>In-principal Approval</w:t>
      </w:r>
    </w:p>
    <w:p w14:paraId="0C828CBA" w14:textId="77777777" w:rsidR="004047F2" w:rsidRPr="00712F3C" w:rsidRDefault="004047F2" w:rsidP="004047F2">
      <w:pPr>
        <w:spacing w:after="0" w:line="240" w:lineRule="auto"/>
        <w:jc w:val="both"/>
        <w:rPr>
          <w:rFonts w:ascii="Times New Roman" w:hAnsi="Times New Roman"/>
          <w:sz w:val="20"/>
          <w:szCs w:val="20"/>
        </w:rPr>
      </w:pPr>
    </w:p>
    <w:p w14:paraId="075D714C"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Our Company has obtained in-principal approval from the SME Platform of BSE (BSE SME) for using its name in this Draft Red Herring Prospectus/ Red Herring Prospectus/ Prospectus pursuant to an approval letter dated [●] BSE which is the Designated Stock Exchange.</w:t>
      </w:r>
    </w:p>
    <w:p w14:paraId="26D02D27" w14:textId="77777777" w:rsidR="004047F2" w:rsidRPr="00712F3C" w:rsidRDefault="004047F2" w:rsidP="004047F2">
      <w:pPr>
        <w:spacing w:after="0" w:line="240" w:lineRule="auto"/>
        <w:jc w:val="both"/>
        <w:rPr>
          <w:rFonts w:ascii="Times New Roman" w:hAnsi="Times New Roman"/>
          <w:sz w:val="20"/>
          <w:szCs w:val="20"/>
        </w:rPr>
      </w:pPr>
    </w:p>
    <w:p w14:paraId="1B610205" w14:textId="77777777" w:rsidR="004047F2" w:rsidRPr="00712F3C" w:rsidRDefault="004047F2" w:rsidP="004047F2">
      <w:pPr>
        <w:spacing w:after="0" w:line="240" w:lineRule="auto"/>
        <w:jc w:val="both"/>
        <w:rPr>
          <w:rFonts w:ascii="Times New Roman" w:hAnsi="Times New Roman"/>
          <w:b/>
          <w:sz w:val="20"/>
          <w:szCs w:val="20"/>
        </w:rPr>
      </w:pPr>
      <w:r w:rsidRPr="00712F3C">
        <w:rPr>
          <w:rFonts w:ascii="Times New Roman" w:hAnsi="Times New Roman"/>
          <w:b/>
          <w:sz w:val="20"/>
          <w:szCs w:val="20"/>
        </w:rPr>
        <w:t>Prohibition by SEBI, RBI or governmental authorities</w:t>
      </w:r>
    </w:p>
    <w:p w14:paraId="73972CEA" w14:textId="77777777" w:rsidR="004047F2" w:rsidRPr="00712F3C" w:rsidRDefault="004047F2" w:rsidP="004047F2">
      <w:pPr>
        <w:spacing w:after="0" w:line="240" w:lineRule="auto"/>
        <w:jc w:val="both"/>
        <w:rPr>
          <w:rFonts w:ascii="Times New Roman" w:hAnsi="Times New Roman"/>
          <w:sz w:val="20"/>
          <w:szCs w:val="20"/>
        </w:rPr>
      </w:pPr>
    </w:p>
    <w:p w14:paraId="09A30891" w14:textId="342B546F"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 xml:space="preserve">As on date of this Draft Red Herring Prospectus, we confirm that our Company, our Promoters, our Promoter Group, our </w:t>
      </w:r>
      <w:r w:rsidR="007C1DBA">
        <w:rPr>
          <w:rFonts w:ascii="Times New Roman" w:hAnsi="Times New Roman"/>
          <w:sz w:val="20"/>
          <w:szCs w:val="20"/>
        </w:rPr>
        <w:t>d</w:t>
      </w:r>
      <w:r w:rsidRPr="00712F3C">
        <w:rPr>
          <w:rFonts w:ascii="Times New Roman" w:hAnsi="Times New Roman"/>
          <w:sz w:val="20"/>
          <w:szCs w:val="20"/>
        </w:rPr>
        <w:t>irectors, person(s) in control of the promoter, our Group Companies or the natural person(s) in control of our Company are not prohibited from accessing the capital market or debarred from buying, selling or dealing in securities under any order or direction passed by the Board or any securities market regulator in any other jurisdiction or any other authority/court.</w:t>
      </w:r>
    </w:p>
    <w:p w14:paraId="4E8C6A62" w14:textId="77777777" w:rsidR="004047F2" w:rsidRPr="00712F3C" w:rsidRDefault="004047F2" w:rsidP="004047F2">
      <w:pPr>
        <w:spacing w:after="0" w:line="240" w:lineRule="auto"/>
        <w:jc w:val="both"/>
        <w:rPr>
          <w:rFonts w:ascii="Times New Roman" w:hAnsi="Times New Roman"/>
          <w:sz w:val="20"/>
          <w:szCs w:val="20"/>
        </w:rPr>
      </w:pPr>
    </w:p>
    <w:p w14:paraId="7BDA04EB" w14:textId="59F0F4E4"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 xml:space="preserve">The companies, with which our </w:t>
      </w:r>
      <w:r w:rsidR="007C1DBA">
        <w:rPr>
          <w:rFonts w:ascii="Times New Roman" w:hAnsi="Times New Roman"/>
          <w:sz w:val="20"/>
          <w:szCs w:val="20"/>
        </w:rPr>
        <w:t>d</w:t>
      </w:r>
      <w:r w:rsidRPr="00712F3C">
        <w:rPr>
          <w:rFonts w:ascii="Times New Roman" w:hAnsi="Times New Roman"/>
          <w:sz w:val="20"/>
          <w:szCs w:val="20"/>
        </w:rPr>
        <w:t>irectors are or were associated as promoter, directors or persons in control are not prohibited or debarred from accessing capital markets under any order or direction passed by SEBI or any other regulatory authority.</w:t>
      </w:r>
    </w:p>
    <w:p w14:paraId="75FBAAF9" w14:textId="77777777" w:rsidR="004047F2" w:rsidRPr="00712F3C" w:rsidRDefault="004047F2" w:rsidP="004047F2">
      <w:pPr>
        <w:spacing w:after="0" w:line="240" w:lineRule="auto"/>
        <w:jc w:val="both"/>
        <w:rPr>
          <w:rFonts w:ascii="Times New Roman" w:hAnsi="Times New Roman"/>
          <w:sz w:val="20"/>
          <w:szCs w:val="20"/>
        </w:rPr>
      </w:pPr>
    </w:p>
    <w:p w14:paraId="52DAF92F" w14:textId="05572C1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 xml:space="preserve">None of our Directors or the entities that our </w:t>
      </w:r>
      <w:r w:rsidR="007C1DBA">
        <w:rPr>
          <w:rFonts w:ascii="Times New Roman" w:hAnsi="Times New Roman"/>
          <w:sz w:val="20"/>
          <w:szCs w:val="20"/>
        </w:rPr>
        <w:t>d</w:t>
      </w:r>
      <w:r w:rsidRPr="00712F3C">
        <w:rPr>
          <w:rFonts w:ascii="Times New Roman" w:hAnsi="Times New Roman"/>
          <w:sz w:val="20"/>
          <w:szCs w:val="20"/>
        </w:rPr>
        <w:t>irectors are associated with as promoter or directors is in any manner associated with the securities market and there has been no action taken by the SEBI against our Directors or any entity in which our Directors are associated with as promoter or directors.</w:t>
      </w:r>
    </w:p>
    <w:p w14:paraId="35965B1D" w14:textId="77777777" w:rsidR="004047F2" w:rsidRPr="00712F3C" w:rsidRDefault="004047F2" w:rsidP="004047F2">
      <w:pPr>
        <w:spacing w:after="0" w:line="240" w:lineRule="auto"/>
        <w:jc w:val="both"/>
        <w:rPr>
          <w:rFonts w:ascii="Times New Roman" w:hAnsi="Times New Roman"/>
          <w:sz w:val="20"/>
          <w:szCs w:val="20"/>
        </w:rPr>
      </w:pPr>
    </w:p>
    <w:p w14:paraId="6432359C" w14:textId="77777777" w:rsidR="004047F2" w:rsidRPr="00712F3C" w:rsidRDefault="004047F2" w:rsidP="004047F2">
      <w:pPr>
        <w:spacing w:after="0" w:line="240" w:lineRule="auto"/>
        <w:jc w:val="both"/>
        <w:rPr>
          <w:rFonts w:ascii="Times New Roman" w:hAnsi="Times New Roman"/>
          <w:b/>
          <w:sz w:val="20"/>
          <w:szCs w:val="20"/>
        </w:rPr>
      </w:pPr>
      <w:r w:rsidRPr="00712F3C">
        <w:rPr>
          <w:rFonts w:ascii="Times New Roman" w:hAnsi="Times New Roman"/>
          <w:b/>
          <w:sz w:val="20"/>
          <w:szCs w:val="20"/>
        </w:rPr>
        <w:t>Prohibition with respect to wilful defaulter or a fraudulent borrower</w:t>
      </w:r>
    </w:p>
    <w:p w14:paraId="753F85D9" w14:textId="77777777" w:rsidR="004047F2" w:rsidRPr="00712F3C" w:rsidRDefault="004047F2" w:rsidP="004047F2">
      <w:pPr>
        <w:spacing w:after="0" w:line="240" w:lineRule="auto"/>
        <w:jc w:val="both"/>
        <w:rPr>
          <w:rFonts w:ascii="Times New Roman" w:hAnsi="Times New Roman"/>
          <w:sz w:val="20"/>
          <w:szCs w:val="20"/>
        </w:rPr>
      </w:pPr>
    </w:p>
    <w:p w14:paraId="20FED06B"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Neither our Company, our Promoter, our Directors, Group Companies, relatives (as per Companies Act, 2013) of Promoter or the person(s) in control of our Company have been identified as wilful defaulter or a fraudulent borrower as defined by the SEBI ICDR Regulations, 2018.</w:t>
      </w:r>
    </w:p>
    <w:p w14:paraId="6A8E52A3" w14:textId="77777777" w:rsidR="004047F2" w:rsidRPr="00712F3C" w:rsidRDefault="004047F2" w:rsidP="004047F2">
      <w:pPr>
        <w:spacing w:after="0" w:line="240" w:lineRule="auto"/>
        <w:jc w:val="both"/>
        <w:rPr>
          <w:rFonts w:ascii="Times New Roman" w:hAnsi="Times New Roman"/>
          <w:sz w:val="20"/>
          <w:szCs w:val="20"/>
        </w:rPr>
      </w:pPr>
    </w:p>
    <w:p w14:paraId="71053923" w14:textId="77777777" w:rsidR="004047F2" w:rsidRPr="00712F3C" w:rsidRDefault="004047F2" w:rsidP="004047F2">
      <w:pPr>
        <w:spacing w:after="0" w:line="240" w:lineRule="auto"/>
        <w:jc w:val="both"/>
        <w:rPr>
          <w:rFonts w:ascii="Times New Roman" w:hAnsi="Times New Roman"/>
          <w:b/>
          <w:sz w:val="20"/>
          <w:szCs w:val="20"/>
        </w:rPr>
      </w:pPr>
      <w:r w:rsidRPr="00712F3C">
        <w:rPr>
          <w:rFonts w:ascii="Times New Roman" w:hAnsi="Times New Roman"/>
          <w:b/>
          <w:sz w:val="20"/>
          <w:szCs w:val="20"/>
        </w:rPr>
        <w:t>Compliance with the Companies (Significant Beneficial Ownership) Rules, 2018</w:t>
      </w:r>
    </w:p>
    <w:p w14:paraId="706DF291" w14:textId="77777777" w:rsidR="004047F2" w:rsidRPr="00712F3C" w:rsidRDefault="004047F2" w:rsidP="004047F2">
      <w:pPr>
        <w:spacing w:after="0" w:line="240" w:lineRule="auto"/>
        <w:jc w:val="both"/>
        <w:rPr>
          <w:rFonts w:ascii="Times New Roman" w:hAnsi="Times New Roman"/>
          <w:sz w:val="20"/>
          <w:szCs w:val="20"/>
        </w:rPr>
      </w:pPr>
    </w:p>
    <w:p w14:paraId="44FF9272"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 xml:space="preserve">Our Company, Promoters and Promoter Group are in compliance with the Companies (Significant Beneficial Ownership) Rules, 2018 to the extent applicable to each of them as on the date of the Draft Red Herring Prospectus. </w:t>
      </w:r>
    </w:p>
    <w:p w14:paraId="1BA1FD4D" w14:textId="77777777" w:rsidR="004047F2" w:rsidRPr="00712F3C" w:rsidRDefault="004047F2" w:rsidP="004047F2">
      <w:pPr>
        <w:spacing w:after="0" w:line="240" w:lineRule="auto"/>
        <w:jc w:val="both"/>
        <w:rPr>
          <w:rFonts w:ascii="Times New Roman" w:hAnsi="Times New Roman"/>
          <w:sz w:val="20"/>
          <w:szCs w:val="20"/>
        </w:rPr>
      </w:pPr>
    </w:p>
    <w:p w14:paraId="307F3D4E" w14:textId="77777777" w:rsidR="004047F2" w:rsidRPr="00712F3C" w:rsidRDefault="004047F2" w:rsidP="004047F2">
      <w:pPr>
        <w:spacing w:after="0" w:line="240" w:lineRule="auto"/>
        <w:jc w:val="both"/>
        <w:rPr>
          <w:rFonts w:ascii="Times New Roman" w:hAnsi="Times New Roman"/>
          <w:b/>
          <w:sz w:val="20"/>
          <w:szCs w:val="20"/>
        </w:rPr>
      </w:pPr>
      <w:r w:rsidRPr="00712F3C">
        <w:rPr>
          <w:rFonts w:ascii="Times New Roman" w:hAnsi="Times New Roman"/>
          <w:b/>
          <w:sz w:val="20"/>
          <w:szCs w:val="20"/>
        </w:rPr>
        <w:t>Eligibility for the Issue</w:t>
      </w:r>
    </w:p>
    <w:p w14:paraId="1C5F9402" w14:textId="77777777" w:rsidR="004047F2" w:rsidRPr="00712F3C" w:rsidRDefault="004047F2" w:rsidP="004047F2">
      <w:pPr>
        <w:spacing w:after="0" w:line="240" w:lineRule="auto"/>
        <w:jc w:val="both"/>
        <w:rPr>
          <w:rFonts w:ascii="Times New Roman" w:hAnsi="Times New Roman"/>
          <w:sz w:val="20"/>
          <w:szCs w:val="20"/>
        </w:rPr>
      </w:pPr>
    </w:p>
    <w:p w14:paraId="19BDCCD2"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 xml:space="preserve">Our Company is eligible in terms of Regulations 230 of SEBI (ICDR) Regulations for this issue. </w:t>
      </w:r>
    </w:p>
    <w:p w14:paraId="216761B1" w14:textId="77777777" w:rsidR="004047F2" w:rsidRPr="00712F3C" w:rsidRDefault="004047F2" w:rsidP="004047F2">
      <w:pPr>
        <w:spacing w:after="0" w:line="240" w:lineRule="auto"/>
        <w:jc w:val="both"/>
        <w:rPr>
          <w:rFonts w:ascii="Times New Roman" w:hAnsi="Times New Roman"/>
          <w:sz w:val="20"/>
          <w:szCs w:val="20"/>
        </w:rPr>
      </w:pPr>
    </w:p>
    <w:p w14:paraId="161B8F22"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Our Company is an “Unlisted Issuer” in terms of the SEBI (ICDR) Regulations; and this issue is an Initial Public Issue in terms of the SEBI (ICDR) Regulations.</w:t>
      </w:r>
    </w:p>
    <w:p w14:paraId="3A4EB7EF" w14:textId="77777777" w:rsidR="004047F2" w:rsidRPr="00712F3C" w:rsidRDefault="004047F2" w:rsidP="004047F2">
      <w:pPr>
        <w:spacing w:after="0" w:line="240" w:lineRule="auto"/>
        <w:jc w:val="both"/>
        <w:rPr>
          <w:rFonts w:ascii="Times New Roman" w:hAnsi="Times New Roman"/>
          <w:sz w:val="20"/>
          <w:szCs w:val="20"/>
        </w:rPr>
      </w:pPr>
    </w:p>
    <w:p w14:paraId="78F32895"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eastAsia="MS Mincho" w:hAnsi="Times New Roman"/>
          <w:sz w:val="20"/>
          <w:szCs w:val="20"/>
          <w:lang w:val="en-GB"/>
        </w:rPr>
        <w:t xml:space="preserve">Our Company is eligible for the Issue in accordance with Regulation 229(2) and other provisions of Chapter IX of the SEBI (ICDR) Regulations, as we are an Issuer whose post issue paid up capital is more than ten crore rupees and we may hence issue Equity Shares to the public and propose to list the same on the Small and Medium Enterprise Exchange </w:t>
      </w:r>
      <w:r w:rsidRPr="00712F3C">
        <w:rPr>
          <w:rFonts w:ascii="Times New Roman" w:hAnsi="Times New Roman"/>
          <w:sz w:val="20"/>
          <w:szCs w:val="20"/>
        </w:rPr>
        <w:t>[in this case being the “SME Platform of BSE (BSE SME)”].</w:t>
      </w:r>
    </w:p>
    <w:p w14:paraId="2368D763" w14:textId="77777777" w:rsidR="004047F2" w:rsidRPr="00712F3C" w:rsidRDefault="004047F2" w:rsidP="004047F2">
      <w:pPr>
        <w:spacing w:after="0" w:line="240" w:lineRule="auto"/>
        <w:jc w:val="both"/>
        <w:rPr>
          <w:rFonts w:ascii="Times New Roman" w:hAnsi="Times New Roman"/>
          <w:sz w:val="20"/>
          <w:szCs w:val="20"/>
        </w:rPr>
      </w:pPr>
    </w:p>
    <w:p w14:paraId="081BC32A" w14:textId="77777777" w:rsidR="004047F2" w:rsidRPr="00712F3C" w:rsidRDefault="004047F2" w:rsidP="004047F2">
      <w:pPr>
        <w:spacing w:after="0" w:line="240" w:lineRule="auto"/>
        <w:jc w:val="both"/>
        <w:rPr>
          <w:rFonts w:ascii="Times New Roman" w:hAnsi="Times New Roman"/>
          <w:b/>
          <w:sz w:val="20"/>
          <w:szCs w:val="20"/>
        </w:rPr>
      </w:pPr>
      <w:r w:rsidRPr="00712F3C">
        <w:rPr>
          <w:rFonts w:ascii="Times New Roman" w:hAnsi="Times New Roman"/>
          <w:b/>
          <w:sz w:val="20"/>
          <w:szCs w:val="20"/>
        </w:rPr>
        <w:t>We confirm that:</w:t>
      </w:r>
    </w:p>
    <w:p w14:paraId="2C1ADFB3" w14:textId="77777777" w:rsidR="004047F2" w:rsidRPr="00712F3C" w:rsidRDefault="004047F2" w:rsidP="004047F2">
      <w:pPr>
        <w:spacing w:after="0" w:line="240" w:lineRule="auto"/>
        <w:jc w:val="both"/>
        <w:rPr>
          <w:rFonts w:ascii="Times New Roman" w:hAnsi="Times New Roman"/>
          <w:sz w:val="20"/>
          <w:szCs w:val="20"/>
        </w:rPr>
      </w:pPr>
    </w:p>
    <w:p w14:paraId="1E04ADC5" w14:textId="77777777" w:rsidR="004047F2" w:rsidRPr="00A3756F" w:rsidRDefault="004047F2">
      <w:pPr>
        <w:pStyle w:val="ListParagraph"/>
        <w:numPr>
          <w:ilvl w:val="1"/>
          <w:numId w:val="277"/>
        </w:numPr>
        <w:tabs>
          <w:tab w:val="clear" w:pos="1080"/>
          <w:tab w:val="num" w:pos="360"/>
        </w:tabs>
        <w:suppressAutoHyphens w:val="0"/>
        <w:autoSpaceDE/>
        <w:autoSpaceDN/>
        <w:adjustRightInd/>
        <w:spacing w:line="240" w:lineRule="auto"/>
        <w:ind w:left="360"/>
        <w:contextualSpacing/>
        <w:jc w:val="both"/>
        <w:textAlignment w:val="auto"/>
        <w:rPr>
          <w:sz w:val="20"/>
          <w:szCs w:val="20"/>
        </w:rPr>
      </w:pPr>
      <w:r w:rsidRPr="00A3756F">
        <w:rPr>
          <w:sz w:val="20"/>
          <w:szCs w:val="20"/>
        </w:rPr>
        <w:t xml:space="preserve">In accordance with Regulation 260 of the SEBI (ICDR) Regulations, this issue will be 100% underwritten and that the </w:t>
      </w:r>
      <w:r w:rsidRPr="00A3756F">
        <w:rPr>
          <w:sz w:val="20"/>
          <w:szCs w:val="20"/>
          <w:lang w:val="en-GB"/>
        </w:rPr>
        <w:t>BR</w:t>
      </w:r>
      <w:r w:rsidRPr="00A3756F">
        <w:rPr>
          <w:sz w:val="20"/>
          <w:szCs w:val="20"/>
        </w:rPr>
        <w:t xml:space="preserve">LM to the Issue shall underwrite minimum 15% of the Total Issue Size. For further details pertaining to said underwriting please refer to section titled </w:t>
      </w:r>
      <w:r w:rsidRPr="00A3756F">
        <w:rPr>
          <w:b/>
          <w:i/>
          <w:sz w:val="20"/>
          <w:szCs w:val="20"/>
        </w:rPr>
        <w:t>“General Information – Underwriting”</w:t>
      </w:r>
      <w:r w:rsidRPr="00A3756F">
        <w:rPr>
          <w:sz w:val="20"/>
          <w:szCs w:val="20"/>
        </w:rPr>
        <w:t xml:space="preserve"> beginning on page </w:t>
      </w:r>
      <w:r w:rsidRPr="00A3756F">
        <w:rPr>
          <w:sz w:val="20"/>
          <w:szCs w:val="20"/>
          <w:lang w:val="en-US"/>
        </w:rPr>
        <w:t>54</w:t>
      </w:r>
      <w:r w:rsidRPr="00A3756F">
        <w:rPr>
          <w:sz w:val="20"/>
          <w:szCs w:val="20"/>
        </w:rPr>
        <w:t xml:space="preserve"> of this Draft Red Herring Prospectus.</w:t>
      </w:r>
    </w:p>
    <w:p w14:paraId="348B2CF1" w14:textId="77777777" w:rsidR="004047F2" w:rsidRPr="00A3756F" w:rsidRDefault="004047F2" w:rsidP="004047F2">
      <w:pPr>
        <w:spacing w:after="0" w:line="240" w:lineRule="auto"/>
        <w:jc w:val="both"/>
        <w:rPr>
          <w:rFonts w:ascii="Times New Roman" w:hAnsi="Times New Roman"/>
          <w:sz w:val="20"/>
          <w:szCs w:val="20"/>
        </w:rPr>
      </w:pPr>
    </w:p>
    <w:p w14:paraId="5A47F33D" w14:textId="77777777" w:rsidR="004047F2" w:rsidRPr="00A3756F" w:rsidRDefault="004047F2">
      <w:pPr>
        <w:pStyle w:val="ListParagraph"/>
        <w:numPr>
          <w:ilvl w:val="1"/>
          <w:numId w:val="277"/>
        </w:numPr>
        <w:tabs>
          <w:tab w:val="clear" w:pos="1080"/>
          <w:tab w:val="num" w:pos="360"/>
        </w:tabs>
        <w:suppressAutoHyphens w:val="0"/>
        <w:autoSpaceDE/>
        <w:autoSpaceDN/>
        <w:adjustRightInd/>
        <w:spacing w:line="240" w:lineRule="auto"/>
        <w:ind w:left="360"/>
        <w:contextualSpacing/>
        <w:jc w:val="both"/>
        <w:textAlignment w:val="auto"/>
        <w:rPr>
          <w:sz w:val="20"/>
          <w:szCs w:val="20"/>
        </w:rPr>
      </w:pPr>
      <w:r w:rsidRPr="00A3756F">
        <w:rPr>
          <w:sz w:val="20"/>
          <w:szCs w:val="20"/>
        </w:rPr>
        <w:t xml:space="preserve">In accordance with Regulation 268 of the SEBI (ICDR) Regulations, we shall ensure that the total number of proposed allottees in the Issue shall be greater than or Equal to fifty (50), otherwise, the entire application money will be unblocked forthwith. If such money is not repaid within eight (8) Working Days from the date our Company becomes liable to repay it, then our </w:t>
      </w:r>
      <w:r w:rsidRPr="00A3756F">
        <w:rPr>
          <w:sz w:val="20"/>
          <w:szCs w:val="20"/>
        </w:rPr>
        <w:lastRenderedPageBreak/>
        <w:t>Company and every officer in default shall, on and from expiry of eight (8) Working Days, be liable to repay such application money, with an interest at the rate as prescribed under the Companies Act, 2013.</w:t>
      </w:r>
    </w:p>
    <w:p w14:paraId="154B5543" w14:textId="77777777" w:rsidR="004047F2" w:rsidRPr="00A3756F" w:rsidRDefault="004047F2" w:rsidP="004047F2">
      <w:pPr>
        <w:spacing w:after="0" w:line="240" w:lineRule="auto"/>
        <w:jc w:val="both"/>
        <w:rPr>
          <w:rFonts w:ascii="Times New Roman" w:hAnsi="Times New Roman"/>
          <w:sz w:val="20"/>
          <w:szCs w:val="20"/>
        </w:rPr>
      </w:pPr>
    </w:p>
    <w:p w14:paraId="0612A69D" w14:textId="77777777" w:rsidR="004047F2" w:rsidRPr="00A3756F" w:rsidRDefault="004047F2">
      <w:pPr>
        <w:pStyle w:val="ListParagraph"/>
        <w:numPr>
          <w:ilvl w:val="1"/>
          <w:numId w:val="277"/>
        </w:numPr>
        <w:tabs>
          <w:tab w:val="clear" w:pos="1080"/>
          <w:tab w:val="num" w:pos="360"/>
        </w:tabs>
        <w:suppressAutoHyphens w:val="0"/>
        <w:autoSpaceDE/>
        <w:autoSpaceDN/>
        <w:adjustRightInd/>
        <w:spacing w:line="240" w:lineRule="auto"/>
        <w:ind w:left="360"/>
        <w:contextualSpacing/>
        <w:jc w:val="both"/>
        <w:textAlignment w:val="auto"/>
        <w:rPr>
          <w:sz w:val="20"/>
          <w:szCs w:val="20"/>
        </w:rPr>
      </w:pPr>
      <w:r w:rsidRPr="00A3756F">
        <w:rPr>
          <w:sz w:val="20"/>
          <w:szCs w:val="20"/>
        </w:rPr>
        <w:t xml:space="preserve">In terms of Regulation 246(5) of the SEBI (ICDR) Regulations, we shall ensure that our Book Running Lead Manager submits a copy of the Prospectus along with a Due Diligence Certificate including additional confirmations as required to SEBI at the time of filing the Prospectus with Stock Exchange and the Registrar of Companies. Further, in terms of Regulation 246(2), SEBI shall not issue observation on the Draft Red Herring Prospectus/ </w:t>
      </w:r>
      <w:r w:rsidRPr="00A3756F">
        <w:rPr>
          <w:sz w:val="20"/>
          <w:szCs w:val="20"/>
          <w:lang w:val="en-GB"/>
        </w:rPr>
        <w:t xml:space="preserve">Red Herring Prospectus/ </w:t>
      </w:r>
      <w:r w:rsidRPr="00A3756F">
        <w:rPr>
          <w:sz w:val="20"/>
          <w:szCs w:val="20"/>
        </w:rPr>
        <w:t>Prospectus.</w:t>
      </w:r>
    </w:p>
    <w:p w14:paraId="148E7C27" w14:textId="77777777" w:rsidR="004047F2" w:rsidRPr="00A3756F" w:rsidRDefault="004047F2" w:rsidP="004047F2">
      <w:pPr>
        <w:spacing w:after="0" w:line="240" w:lineRule="auto"/>
        <w:jc w:val="both"/>
        <w:rPr>
          <w:rFonts w:ascii="Times New Roman" w:hAnsi="Times New Roman"/>
          <w:sz w:val="20"/>
          <w:szCs w:val="20"/>
        </w:rPr>
      </w:pPr>
    </w:p>
    <w:p w14:paraId="393D909A" w14:textId="77777777" w:rsidR="004047F2" w:rsidRPr="00712F3C" w:rsidRDefault="004047F2">
      <w:pPr>
        <w:pStyle w:val="ListParagraph"/>
        <w:numPr>
          <w:ilvl w:val="1"/>
          <w:numId w:val="277"/>
        </w:numPr>
        <w:tabs>
          <w:tab w:val="clear" w:pos="1080"/>
          <w:tab w:val="num" w:pos="360"/>
        </w:tabs>
        <w:suppressAutoHyphens w:val="0"/>
        <w:autoSpaceDE/>
        <w:autoSpaceDN/>
        <w:adjustRightInd/>
        <w:spacing w:line="240" w:lineRule="auto"/>
        <w:ind w:left="360"/>
        <w:contextualSpacing/>
        <w:jc w:val="both"/>
        <w:textAlignment w:val="auto"/>
        <w:rPr>
          <w:sz w:val="20"/>
          <w:szCs w:val="20"/>
        </w:rPr>
      </w:pPr>
      <w:r w:rsidRPr="00A3756F">
        <w:rPr>
          <w:sz w:val="20"/>
          <w:szCs w:val="20"/>
        </w:rPr>
        <w:t xml:space="preserve">In accordance with Regulation 261(1) of the SEBI (ICDR) Regulations, we hereby confirm that we will enter into an agreement with the Book Running Lead Manager and with Market Maker to ensure compulsory Market Making for a minimum period of three (3) years from the date of listing of Equity Shares on the SME Platform of BSE (BSE SME). For further details of the arrangement of market making please refer to section titled </w:t>
      </w:r>
      <w:r w:rsidRPr="00A3756F">
        <w:rPr>
          <w:b/>
          <w:i/>
          <w:sz w:val="20"/>
          <w:szCs w:val="20"/>
        </w:rPr>
        <w:t>“General Information- Details of the Market Making Arrangements for this Issue”</w:t>
      </w:r>
      <w:r w:rsidRPr="00A3756F">
        <w:rPr>
          <w:sz w:val="20"/>
          <w:szCs w:val="20"/>
        </w:rPr>
        <w:t xml:space="preserve"> beginning on page</w:t>
      </w:r>
      <w:r w:rsidRPr="00A3756F">
        <w:rPr>
          <w:sz w:val="20"/>
          <w:szCs w:val="20"/>
          <w:lang w:val="en-GB"/>
        </w:rPr>
        <w:t xml:space="preserve"> </w:t>
      </w:r>
      <w:r>
        <w:rPr>
          <w:sz w:val="20"/>
          <w:szCs w:val="20"/>
          <w:lang w:val="en-GB"/>
        </w:rPr>
        <w:t>54</w:t>
      </w:r>
      <w:r w:rsidRPr="00A3756F">
        <w:rPr>
          <w:sz w:val="20"/>
          <w:szCs w:val="20"/>
          <w:lang w:val="en-GB"/>
        </w:rPr>
        <w:t xml:space="preserve"> </w:t>
      </w:r>
      <w:r w:rsidRPr="00A3756F">
        <w:rPr>
          <w:sz w:val="20"/>
          <w:szCs w:val="20"/>
        </w:rPr>
        <w:t>of this Draft Red Herring</w:t>
      </w:r>
      <w:r w:rsidRPr="00712F3C">
        <w:rPr>
          <w:sz w:val="20"/>
          <w:szCs w:val="20"/>
        </w:rPr>
        <w:t xml:space="preserve"> Prospectus.</w:t>
      </w:r>
    </w:p>
    <w:p w14:paraId="09E132C6" w14:textId="77777777" w:rsidR="004047F2" w:rsidRPr="00712F3C" w:rsidRDefault="004047F2" w:rsidP="004047F2">
      <w:pPr>
        <w:pStyle w:val="ListParagraph"/>
        <w:spacing w:line="240" w:lineRule="auto"/>
        <w:ind w:left="360"/>
        <w:contextualSpacing/>
        <w:jc w:val="both"/>
        <w:rPr>
          <w:sz w:val="20"/>
          <w:szCs w:val="20"/>
        </w:rPr>
      </w:pPr>
    </w:p>
    <w:p w14:paraId="1F658CB4" w14:textId="77777777" w:rsidR="004047F2" w:rsidRPr="00712F3C" w:rsidRDefault="004047F2">
      <w:pPr>
        <w:pStyle w:val="ListParagraph"/>
        <w:numPr>
          <w:ilvl w:val="1"/>
          <w:numId w:val="277"/>
        </w:numPr>
        <w:tabs>
          <w:tab w:val="clear" w:pos="1080"/>
          <w:tab w:val="num" w:pos="360"/>
        </w:tabs>
        <w:spacing w:line="240" w:lineRule="auto"/>
        <w:ind w:left="360"/>
        <w:contextualSpacing/>
        <w:jc w:val="both"/>
        <w:rPr>
          <w:sz w:val="20"/>
          <w:szCs w:val="20"/>
        </w:rPr>
      </w:pPr>
      <w:r w:rsidRPr="00712F3C">
        <w:rPr>
          <w:sz w:val="20"/>
          <w:szCs w:val="20"/>
        </w:rPr>
        <w:t>In accordance with Regulation 228(c) of the SEBI (ICDR) Regulations, Neither the issuer nor any of its promoters or directors is a wilful defaulter or a fraudulent borrower.</w:t>
      </w:r>
    </w:p>
    <w:p w14:paraId="15D3A6C4" w14:textId="77777777" w:rsidR="004047F2" w:rsidRPr="00712F3C" w:rsidRDefault="004047F2" w:rsidP="004047F2">
      <w:pPr>
        <w:pStyle w:val="ListParagraph"/>
        <w:spacing w:line="240" w:lineRule="auto"/>
        <w:ind w:left="360"/>
        <w:contextualSpacing/>
        <w:jc w:val="both"/>
        <w:rPr>
          <w:sz w:val="20"/>
          <w:szCs w:val="20"/>
        </w:rPr>
      </w:pPr>
    </w:p>
    <w:p w14:paraId="73B16AB7" w14:textId="77777777" w:rsidR="004047F2" w:rsidRPr="00712F3C" w:rsidRDefault="004047F2">
      <w:pPr>
        <w:pStyle w:val="ListParagraph"/>
        <w:numPr>
          <w:ilvl w:val="1"/>
          <w:numId w:val="277"/>
        </w:numPr>
        <w:tabs>
          <w:tab w:val="clear" w:pos="1080"/>
          <w:tab w:val="num" w:pos="360"/>
        </w:tabs>
        <w:spacing w:line="240" w:lineRule="auto"/>
        <w:ind w:left="360"/>
        <w:contextualSpacing/>
        <w:jc w:val="both"/>
        <w:rPr>
          <w:sz w:val="20"/>
          <w:szCs w:val="20"/>
        </w:rPr>
      </w:pPr>
      <w:r w:rsidRPr="00712F3C">
        <w:rPr>
          <w:sz w:val="20"/>
          <w:szCs w:val="20"/>
        </w:rPr>
        <w:t>In accordance with Regulation 228(d) of the SEBI (ICDR) Regulations, None of the Issuer’s promoters or directors is a fugitive economic offender.</w:t>
      </w:r>
    </w:p>
    <w:p w14:paraId="7857F38D" w14:textId="77777777" w:rsidR="004047F2" w:rsidRPr="00712F3C" w:rsidRDefault="004047F2" w:rsidP="004047F2">
      <w:pPr>
        <w:pStyle w:val="ListParagraph"/>
        <w:spacing w:line="240" w:lineRule="auto"/>
        <w:ind w:left="360"/>
        <w:contextualSpacing/>
        <w:jc w:val="both"/>
        <w:rPr>
          <w:sz w:val="20"/>
          <w:szCs w:val="20"/>
        </w:rPr>
      </w:pPr>
    </w:p>
    <w:p w14:paraId="612758D7" w14:textId="77777777" w:rsidR="004047F2" w:rsidRPr="00712F3C" w:rsidRDefault="004047F2">
      <w:pPr>
        <w:pStyle w:val="ListParagraph"/>
        <w:numPr>
          <w:ilvl w:val="1"/>
          <w:numId w:val="277"/>
        </w:numPr>
        <w:tabs>
          <w:tab w:val="clear" w:pos="1080"/>
          <w:tab w:val="num" w:pos="360"/>
        </w:tabs>
        <w:spacing w:line="240" w:lineRule="auto"/>
        <w:ind w:left="360"/>
        <w:contextualSpacing/>
        <w:jc w:val="both"/>
        <w:rPr>
          <w:sz w:val="20"/>
          <w:szCs w:val="20"/>
        </w:rPr>
      </w:pPr>
      <w:r w:rsidRPr="00712F3C">
        <w:rPr>
          <w:sz w:val="20"/>
          <w:szCs w:val="20"/>
        </w:rPr>
        <w:t>In accordance with Regulation 230(1)(a) of the SEBI (ICDR) Regulations, Application is being made to SME Platform of BSE and BSE Ltd. is the Designated Stock Exchange.</w:t>
      </w:r>
    </w:p>
    <w:p w14:paraId="3D880A3F" w14:textId="77777777" w:rsidR="004047F2" w:rsidRPr="00712F3C" w:rsidRDefault="004047F2" w:rsidP="004047F2">
      <w:pPr>
        <w:pStyle w:val="ListParagraph"/>
        <w:spacing w:line="240" w:lineRule="auto"/>
        <w:ind w:left="360"/>
        <w:contextualSpacing/>
        <w:jc w:val="both"/>
        <w:rPr>
          <w:sz w:val="20"/>
          <w:szCs w:val="20"/>
        </w:rPr>
      </w:pPr>
    </w:p>
    <w:p w14:paraId="26FDDA12" w14:textId="77777777" w:rsidR="004047F2" w:rsidRPr="00712F3C" w:rsidRDefault="004047F2">
      <w:pPr>
        <w:pStyle w:val="ListParagraph"/>
        <w:numPr>
          <w:ilvl w:val="1"/>
          <w:numId w:val="277"/>
        </w:numPr>
        <w:tabs>
          <w:tab w:val="clear" w:pos="1080"/>
          <w:tab w:val="num" w:pos="360"/>
        </w:tabs>
        <w:spacing w:line="240" w:lineRule="auto"/>
        <w:ind w:left="360"/>
        <w:contextualSpacing/>
        <w:jc w:val="both"/>
        <w:rPr>
          <w:sz w:val="20"/>
          <w:szCs w:val="20"/>
        </w:rPr>
      </w:pPr>
      <w:r w:rsidRPr="00712F3C">
        <w:rPr>
          <w:sz w:val="20"/>
          <w:szCs w:val="20"/>
        </w:rPr>
        <w:t>In accordance with Regulation 230(1)(b) of the SEBI (ICDR) Regulations, our Company has entered into agreement with depositories for dematerialisation of specified securities already issued and proposed to be issued.</w:t>
      </w:r>
    </w:p>
    <w:p w14:paraId="73A3AD71" w14:textId="77777777" w:rsidR="004047F2" w:rsidRPr="00712F3C" w:rsidRDefault="004047F2" w:rsidP="004047F2">
      <w:pPr>
        <w:pStyle w:val="ListParagraph"/>
        <w:spacing w:line="240" w:lineRule="auto"/>
        <w:ind w:left="360"/>
        <w:contextualSpacing/>
        <w:jc w:val="both"/>
        <w:rPr>
          <w:sz w:val="20"/>
          <w:szCs w:val="20"/>
        </w:rPr>
      </w:pPr>
    </w:p>
    <w:p w14:paraId="6941BE23" w14:textId="77777777" w:rsidR="004047F2" w:rsidRPr="00712F3C" w:rsidRDefault="004047F2">
      <w:pPr>
        <w:pStyle w:val="ListParagraph"/>
        <w:numPr>
          <w:ilvl w:val="1"/>
          <w:numId w:val="277"/>
        </w:numPr>
        <w:tabs>
          <w:tab w:val="clear" w:pos="1080"/>
          <w:tab w:val="num" w:pos="360"/>
        </w:tabs>
        <w:spacing w:line="240" w:lineRule="auto"/>
        <w:ind w:left="360"/>
        <w:contextualSpacing/>
        <w:jc w:val="both"/>
        <w:rPr>
          <w:sz w:val="20"/>
          <w:szCs w:val="20"/>
        </w:rPr>
      </w:pPr>
      <w:r w:rsidRPr="00712F3C">
        <w:rPr>
          <w:sz w:val="20"/>
          <w:szCs w:val="20"/>
        </w:rPr>
        <w:t>In accordance with Regulation 230(1)(c) of the SEBI (ICDR) Regulations, all the present Equity share Capital is fully Paid-up.</w:t>
      </w:r>
    </w:p>
    <w:p w14:paraId="1A2828BF" w14:textId="77777777" w:rsidR="004047F2" w:rsidRPr="00712F3C" w:rsidRDefault="004047F2" w:rsidP="004047F2">
      <w:pPr>
        <w:pStyle w:val="ListParagraph"/>
        <w:suppressAutoHyphens w:val="0"/>
        <w:autoSpaceDE/>
        <w:autoSpaceDN/>
        <w:adjustRightInd/>
        <w:spacing w:line="240" w:lineRule="auto"/>
        <w:ind w:left="360"/>
        <w:contextualSpacing/>
        <w:jc w:val="both"/>
        <w:textAlignment w:val="auto"/>
        <w:rPr>
          <w:sz w:val="20"/>
          <w:szCs w:val="20"/>
        </w:rPr>
      </w:pPr>
    </w:p>
    <w:p w14:paraId="11AFEDAC" w14:textId="77777777" w:rsidR="004047F2" w:rsidRPr="00712F3C" w:rsidRDefault="004047F2">
      <w:pPr>
        <w:pStyle w:val="ListParagraph"/>
        <w:numPr>
          <w:ilvl w:val="1"/>
          <w:numId w:val="277"/>
        </w:numPr>
        <w:tabs>
          <w:tab w:val="clear" w:pos="1080"/>
          <w:tab w:val="num" w:pos="360"/>
        </w:tabs>
        <w:suppressAutoHyphens w:val="0"/>
        <w:autoSpaceDE/>
        <w:autoSpaceDN/>
        <w:adjustRightInd/>
        <w:spacing w:line="240" w:lineRule="auto"/>
        <w:ind w:left="360"/>
        <w:contextualSpacing/>
        <w:jc w:val="both"/>
        <w:textAlignment w:val="auto"/>
        <w:rPr>
          <w:sz w:val="20"/>
          <w:szCs w:val="20"/>
        </w:rPr>
      </w:pPr>
      <w:r w:rsidRPr="00712F3C">
        <w:rPr>
          <w:sz w:val="20"/>
          <w:szCs w:val="20"/>
        </w:rPr>
        <w:t>In accordance with Regulation 230(1)(d) of the SEBI (ICDR) Regulations, all the specified securities held by the promoters are already in dematerialised form.</w:t>
      </w:r>
    </w:p>
    <w:p w14:paraId="253DA180" w14:textId="77777777" w:rsidR="004047F2" w:rsidRPr="00712F3C" w:rsidRDefault="004047F2" w:rsidP="004047F2">
      <w:pPr>
        <w:pStyle w:val="ListParagraph"/>
        <w:suppressAutoHyphens w:val="0"/>
        <w:autoSpaceDE/>
        <w:autoSpaceDN/>
        <w:adjustRightInd/>
        <w:spacing w:line="240" w:lineRule="auto"/>
        <w:ind w:left="360"/>
        <w:contextualSpacing/>
        <w:jc w:val="both"/>
        <w:textAlignment w:val="auto"/>
        <w:rPr>
          <w:sz w:val="20"/>
          <w:szCs w:val="20"/>
        </w:rPr>
      </w:pPr>
    </w:p>
    <w:p w14:paraId="48695FF3" w14:textId="77777777" w:rsidR="004047F2" w:rsidRPr="00712F3C" w:rsidRDefault="004047F2">
      <w:pPr>
        <w:pStyle w:val="ListParagraph"/>
        <w:numPr>
          <w:ilvl w:val="1"/>
          <w:numId w:val="277"/>
        </w:numPr>
        <w:tabs>
          <w:tab w:val="clear" w:pos="1080"/>
          <w:tab w:val="num" w:pos="360"/>
        </w:tabs>
        <w:suppressAutoHyphens w:val="0"/>
        <w:autoSpaceDE/>
        <w:autoSpaceDN/>
        <w:adjustRightInd/>
        <w:spacing w:line="240" w:lineRule="auto"/>
        <w:ind w:left="360"/>
        <w:contextualSpacing/>
        <w:jc w:val="both"/>
        <w:textAlignment w:val="auto"/>
        <w:rPr>
          <w:sz w:val="20"/>
          <w:szCs w:val="20"/>
        </w:rPr>
      </w:pPr>
      <w:r w:rsidRPr="00712F3C">
        <w:rPr>
          <w:sz w:val="20"/>
          <w:szCs w:val="20"/>
        </w:rPr>
        <w:t xml:space="preserve">Our Company shall mandatorily facilitate trading in Demat securities for which we have entered into an agreement with the Central Depositary Services Limited (CDSL) dated </w:t>
      </w:r>
      <w:r w:rsidRPr="00712F3C">
        <w:rPr>
          <w:bCs/>
          <w:sz w:val="20"/>
          <w:szCs w:val="20"/>
        </w:rPr>
        <w:t xml:space="preserve">March 09, 2023 </w:t>
      </w:r>
      <w:r w:rsidRPr="00712F3C">
        <w:rPr>
          <w:sz w:val="20"/>
          <w:szCs w:val="20"/>
        </w:rPr>
        <w:t xml:space="preserve">and National Securities Depository Limited (NSDL) dated </w:t>
      </w:r>
      <w:r w:rsidRPr="00712F3C">
        <w:rPr>
          <w:bCs/>
          <w:sz w:val="20"/>
          <w:szCs w:val="20"/>
        </w:rPr>
        <w:t xml:space="preserve">March 10, 2023 </w:t>
      </w:r>
      <w:r w:rsidRPr="00712F3C">
        <w:rPr>
          <w:sz w:val="20"/>
          <w:szCs w:val="20"/>
        </w:rPr>
        <w:t>for establishing connectivity.</w:t>
      </w:r>
    </w:p>
    <w:p w14:paraId="0D92CCD0" w14:textId="77777777" w:rsidR="004047F2" w:rsidRPr="00712F3C" w:rsidRDefault="004047F2" w:rsidP="004047F2">
      <w:pPr>
        <w:spacing w:after="0" w:line="240" w:lineRule="auto"/>
        <w:ind w:left="450"/>
        <w:jc w:val="both"/>
        <w:rPr>
          <w:rFonts w:ascii="Times New Roman" w:hAnsi="Times New Roman"/>
          <w:sz w:val="20"/>
          <w:szCs w:val="20"/>
        </w:rPr>
      </w:pPr>
    </w:p>
    <w:p w14:paraId="53C811BE" w14:textId="498F39D1" w:rsidR="004047F2" w:rsidRPr="00712F3C" w:rsidRDefault="004047F2">
      <w:pPr>
        <w:pStyle w:val="ListParagraph"/>
        <w:numPr>
          <w:ilvl w:val="1"/>
          <w:numId w:val="277"/>
        </w:numPr>
        <w:tabs>
          <w:tab w:val="clear" w:pos="1080"/>
          <w:tab w:val="num" w:pos="360"/>
        </w:tabs>
        <w:suppressAutoHyphens w:val="0"/>
        <w:autoSpaceDE/>
        <w:autoSpaceDN/>
        <w:adjustRightInd/>
        <w:spacing w:line="240" w:lineRule="auto"/>
        <w:ind w:left="360"/>
        <w:contextualSpacing/>
        <w:jc w:val="both"/>
        <w:textAlignment w:val="auto"/>
        <w:rPr>
          <w:sz w:val="20"/>
          <w:szCs w:val="20"/>
        </w:rPr>
      </w:pPr>
      <w:r w:rsidRPr="00712F3C">
        <w:rPr>
          <w:sz w:val="20"/>
          <w:szCs w:val="20"/>
        </w:rPr>
        <w:t xml:space="preserve">Our Company has a website i.e. </w:t>
      </w:r>
      <w:hyperlink r:id="rId91" w:history="1">
        <w:r w:rsidR="007C1DBA" w:rsidRPr="00241637">
          <w:rPr>
            <w:rStyle w:val="Hyperlink"/>
            <w:sz w:val="20"/>
            <w:szCs w:val="20"/>
            <w:lang w:val="en-US"/>
          </w:rPr>
          <w:t>www.siyaramindustries.co.in</w:t>
        </w:r>
      </w:hyperlink>
      <w:r w:rsidR="007C1DBA">
        <w:rPr>
          <w:sz w:val="20"/>
          <w:szCs w:val="20"/>
          <w:lang w:val="en-US"/>
        </w:rPr>
        <w:t xml:space="preserve"> </w:t>
      </w:r>
    </w:p>
    <w:p w14:paraId="3D5D791F" w14:textId="77777777" w:rsidR="004047F2" w:rsidRPr="00712F3C" w:rsidRDefault="004047F2" w:rsidP="004047F2">
      <w:pPr>
        <w:pStyle w:val="ListParagraph"/>
        <w:suppressAutoHyphens w:val="0"/>
        <w:autoSpaceDE/>
        <w:autoSpaceDN/>
        <w:adjustRightInd/>
        <w:spacing w:line="240" w:lineRule="auto"/>
        <w:ind w:left="360"/>
        <w:contextualSpacing/>
        <w:jc w:val="both"/>
        <w:textAlignment w:val="auto"/>
        <w:rPr>
          <w:sz w:val="20"/>
          <w:szCs w:val="20"/>
        </w:rPr>
      </w:pPr>
    </w:p>
    <w:p w14:paraId="45FC5E99" w14:textId="77777777" w:rsidR="004047F2" w:rsidRPr="00712F3C" w:rsidRDefault="004047F2">
      <w:pPr>
        <w:pStyle w:val="ListParagraph"/>
        <w:numPr>
          <w:ilvl w:val="1"/>
          <w:numId w:val="277"/>
        </w:numPr>
        <w:tabs>
          <w:tab w:val="clear" w:pos="1080"/>
          <w:tab w:val="num" w:pos="360"/>
        </w:tabs>
        <w:suppressAutoHyphens w:val="0"/>
        <w:autoSpaceDE/>
        <w:autoSpaceDN/>
        <w:adjustRightInd/>
        <w:spacing w:line="240" w:lineRule="auto"/>
        <w:ind w:left="360"/>
        <w:contextualSpacing/>
        <w:jc w:val="both"/>
        <w:textAlignment w:val="auto"/>
        <w:rPr>
          <w:sz w:val="20"/>
          <w:szCs w:val="20"/>
        </w:rPr>
      </w:pPr>
      <w:r w:rsidRPr="00712F3C">
        <w:rPr>
          <w:sz w:val="20"/>
          <w:szCs w:val="20"/>
        </w:rPr>
        <w:t>There has been no change in the promoters of the Company in the preceding one year from date of filing application to SME Platform of BSE.</w:t>
      </w:r>
    </w:p>
    <w:p w14:paraId="7DC5E03B" w14:textId="77777777" w:rsidR="004047F2" w:rsidRPr="00712F3C" w:rsidRDefault="004047F2" w:rsidP="004047F2">
      <w:pPr>
        <w:spacing w:after="0" w:line="240" w:lineRule="auto"/>
        <w:jc w:val="both"/>
        <w:rPr>
          <w:rFonts w:ascii="Times New Roman" w:hAnsi="Times New Roman"/>
          <w:sz w:val="20"/>
          <w:szCs w:val="20"/>
        </w:rPr>
      </w:pPr>
    </w:p>
    <w:p w14:paraId="2B3830AB"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We further confirm that we shall be complying with all the other requirements as laid down for such an issue under Chapter IX of SEBI (ICDR) Regulations, as amended from time to time and subsequent circulars and guidelines issued by SEBI and the Stock Exchange.</w:t>
      </w:r>
    </w:p>
    <w:p w14:paraId="25AFE611" w14:textId="77777777" w:rsidR="004047F2" w:rsidRPr="00712F3C" w:rsidRDefault="004047F2" w:rsidP="004047F2">
      <w:pPr>
        <w:spacing w:after="0" w:line="240" w:lineRule="auto"/>
        <w:jc w:val="both"/>
        <w:rPr>
          <w:rFonts w:ascii="Times New Roman" w:hAnsi="Times New Roman"/>
          <w:sz w:val="20"/>
          <w:szCs w:val="20"/>
        </w:rPr>
      </w:pPr>
    </w:p>
    <w:p w14:paraId="6819DAC3" w14:textId="42A8AD82"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We confirm that we comply with all the below requirements / conditions so as to be eligible to be listed on the SME Platform of BSE:</w:t>
      </w:r>
    </w:p>
    <w:p w14:paraId="42EA5AB5" w14:textId="77777777" w:rsidR="004047F2" w:rsidRPr="00712F3C" w:rsidRDefault="004047F2" w:rsidP="004047F2">
      <w:pPr>
        <w:spacing w:after="0" w:line="240" w:lineRule="auto"/>
        <w:jc w:val="both"/>
        <w:rPr>
          <w:rFonts w:ascii="Times New Roman" w:hAnsi="Times New Roman"/>
          <w:sz w:val="20"/>
          <w:szCs w:val="20"/>
        </w:rPr>
      </w:pPr>
    </w:p>
    <w:p w14:paraId="33A6B2DD" w14:textId="1D562066" w:rsidR="004047F2" w:rsidRPr="00712F3C" w:rsidRDefault="007C1DBA">
      <w:pPr>
        <w:pStyle w:val="ListParagraph"/>
        <w:numPr>
          <w:ilvl w:val="0"/>
          <w:numId w:val="278"/>
        </w:numPr>
        <w:tabs>
          <w:tab w:val="clear" w:pos="720"/>
          <w:tab w:val="num" w:pos="360"/>
        </w:tabs>
        <w:suppressAutoHyphens w:val="0"/>
        <w:autoSpaceDE/>
        <w:autoSpaceDN/>
        <w:adjustRightInd/>
        <w:spacing w:line="240" w:lineRule="auto"/>
        <w:ind w:left="360"/>
        <w:contextualSpacing/>
        <w:jc w:val="both"/>
        <w:textAlignment w:val="auto"/>
        <w:rPr>
          <w:sz w:val="20"/>
          <w:szCs w:val="20"/>
        </w:rPr>
      </w:pPr>
      <w:r w:rsidRPr="00712F3C">
        <w:rPr>
          <w:sz w:val="20"/>
          <w:szCs w:val="20"/>
        </w:rPr>
        <w:t>Our Company was originally incorporated as a private limited Company under the name of “</w:t>
      </w:r>
      <w:r>
        <w:rPr>
          <w:sz w:val="20"/>
          <w:szCs w:val="20"/>
        </w:rPr>
        <w:t>Siyaram Impex</w:t>
      </w:r>
      <w:r w:rsidRPr="00712F3C">
        <w:rPr>
          <w:sz w:val="20"/>
          <w:szCs w:val="20"/>
        </w:rPr>
        <w:t xml:space="preserve"> Private Limited” on </w:t>
      </w:r>
      <w:r>
        <w:rPr>
          <w:sz w:val="20"/>
          <w:szCs w:val="20"/>
        </w:rPr>
        <w:t>February 12, 2007</w:t>
      </w:r>
      <w:r w:rsidRPr="00712F3C">
        <w:rPr>
          <w:sz w:val="20"/>
          <w:szCs w:val="20"/>
        </w:rPr>
        <w:t xml:space="preserve"> under the provisions of the Companies Act, </w:t>
      </w:r>
      <w:r>
        <w:rPr>
          <w:sz w:val="20"/>
          <w:szCs w:val="20"/>
        </w:rPr>
        <w:t>1956</w:t>
      </w:r>
      <w:r w:rsidRPr="00712F3C">
        <w:rPr>
          <w:sz w:val="20"/>
          <w:szCs w:val="20"/>
        </w:rPr>
        <w:t xml:space="preserve"> with the Registrar of Companies, </w:t>
      </w:r>
      <w:r w:rsidRPr="002A2E99">
        <w:rPr>
          <w:sz w:val="20"/>
          <w:szCs w:val="20"/>
        </w:rPr>
        <w:t>Gujarat, Dadra and Nagar Havelli</w:t>
      </w:r>
      <w:r w:rsidRPr="00712F3C">
        <w:rPr>
          <w:sz w:val="20"/>
          <w:szCs w:val="20"/>
        </w:rPr>
        <w:t xml:space="preserve">, bearing registration number as </w:t>
      </w:r>
      <w:r w:rsidRPr="002A2E99">
        <w:rPr>
          <w:sz w:val="20"/>
          <w:szCs w:val="20"/>
        </w:rPr>
        <w:t>049999</w:t>
      </w:r>
      <w:r w:rsidRPr="00712F3C">
        <w:rPr>
          <w:sz w:val="20"/>
          <w:szCs w:val="20"/>
        </w:rPr>
        <w:t>.</w:t>
      </w:r>
      <w:r>
        <w:rPr>
          <w:sz w:val="20"/>
          <w:szCs w:val="20"/>
        </w:rPr>
        <w:t xml:space="preserve"> </w:t>
      </w:r>
      <w:r w:rsidRPr="002A2E99">
        <w:rPr>
          <w:sz w:val="20"/>
          <w:szCs w:val="20"/>
        </w:rPr>
        <w:t>Further, pursuant to Special Resolution passed by the shareholders at the Extra Ordinary</w:t>
      </w:r>
      <w:r>
        <w:rPr>
          <w:sz w:val="20"/>
          <w:szCs w:val="20"/>
        </w:rPr>
        <w:t xml:space="preserve"> </w:t>
      </w:r>
      <w:r w:rsidRPr="002A2E99">
        <w:rPr>
          <w:sz w:val="20"/>
          <w:szCs w:val="20"/>
        </w:rPr>
        <w:t xml:space="preserve">General Meeting held on </w:t>
      </w:r>
      <w:r>
        <w:rPr>
          <w:sz w:val="20"/>
          <w:szCs w:val="20"/>
        </w:rPr>
        <w:t>July 24, 2023</w:t>
      </w:r>
      <w:r w:rsidRPr="002A2E99">
        <w:rPr>
          <w:sz w:val="20"/>
          <w:szCs w:val="20"/>
        </w:rPr>
        <w:t>, the name of our Company was changed from “</w:t>
      </w:r>
      <w:r>
        <w:rPr>
          <w:sz w:val="20"/>
          <w:szCs w:val="20"/>
        </w:rPr>
        <w:t>Siyaram Impex</w:t>
      </w:r>
      <w:r w:rsidRPr="00712F3C">
        <w:rPr>
          <w:sz w:val="20"/>
          <w:szCs w:val="20"/>
        </w:rPr>
        <w:t xml:space="preserve"> </w:t>
      </w:r>
      <w:r w:rsidRPr="002A2E99">
        <w:rPr>
          <w:sz w:val="20"/>
          <w:szCs w:val="20"/>
        </w:rPr>
        <w:t>Private Limited” to “Siyaram Recycling Industries Private Limited” and a</w:t>
      </w:r>
      <w:r>
        <w:rPr>
          <w:sz w:val="20"/>
          <w:szCs w:val="20"/>
        </w:rPr>
        <w:t xml:space="preserve"> </w:t>
      </w:r>
      <w:r w:rsidRPr="002A2E99">
        <w:rPr>
          <w:sz w:val="20"/>
          <w:szCs w:val="20"/>
        </w:rPr>
        <w:t xml:space="preserve">fresh certificate of incorporation pursuant to change of name was issued by the Registrar of Companies, Ahmedabad vide </w:t>
      </w:r>
      <w:r>
        <w:rPr>
          <w:sz w:val="20"/>
          <w:szCs w:val="20"/>
        </w:rPr>
        <w:t>certificate</w:t>
      </w:r>
      <w:r w:rsidRPr="002A2E99">
        <w:rPr>
          <w:sz w:val="20"/>
          <w:szCs w:val="20"/>
        </w:rPr>
        <w:t xml:space="preserve"> dated </w:t>
      </w:r>
      <w:r>
        <w:rPr>
          <w:sz w:val="20"/>
          <w:szCs w:val="20"/>
        </w:rPr>
        <w:t xml:space="preserve">July 27, 2023. </w:t>
      </w:r>
      <w:r w:rsidRPr="002A2E99">
        <w:rPr>
          <w:sz w:val="20"/>
          <w:szCs w:val="20"/>
        </w:rPr>
        <w:t>Subsequently, pursuant to Special Resolution passed by the Shareholders at the Extra Ordinary General Meeting,</w:t>
      </w:r>
      <w:r>
        <w:rPr>
          <w:sz w:val="20"/>
          <w:szCs w:val="20"/>
        </w:rPr>
        <w:t xml:space="preserve"> </w:t>
      </w:r>
      <w:r w:rsidRPr="002A2E99">
        <w:rPr>
          <w:sz w:val="20"/>
          <w:szCs w:val="20"/>
        </w:rPr>
        <w:t xml:space="preserve">held on </w:t>
      </w:r>
      <w:r>
        <w:rPr>
          <w:sz w:val="20"/>
          <w:szCs w:val="20"/>
        </w:rPr>
        <w:t>August 05, 2023</w:t>
      </w:r>
      <w:r w:rsidRPr="002A2E99">
        <w:rPr>
          <w:sz w:val="20"/>
          <w:szCs w:val="20"/>
        </w:rPr>
        <w:t xml:space="preserve"> our Company was converted into a Public Limited Company and consequently the name of our Company was changed from “Siyaram Recycling Industries Private Limited” to “Siyaram Recycling Industries Limited” vide a fresh certificate of incorporation consequent upon conversion from private company to public company dated</w:t>
      </w:r>
      <w:r>
        <w:rPr>
          <w:sz w:val="20"/>
          <w:szCs w:val="20"/>
        </w:rPr>
        <w:t xml:space="preserve"> August 24, 2023</w:t>
      </w:r>
      <w:r w:rsidRPr="002A2E99">
        <w:rPr>
          <w:sz w:val="20"/>
          <w:szCs w:val="20"/>
        </w:rPr>
        <w:t xml:space="preserve"> issued by the Registrar of Companies, Ahmedabad bearing CIN U27106GJ2007P</w:t>
      </w:r>
      <w:r>
        <w:rPr>
          <w:sz w:val="20"/>
          <w:szCs w:val="20"/>
        </w:rPr>
        <w:t>L</w:t>
      </w:r>
      <w:r w:rsidRPr="002A2E99">
        <w:rPr>
          <w:sz w:val="20"/>
          <w:szCs w:val="20"/>
        </w:rPr>
        <w:t>C049999</w:t>
      </w:r>
      <w:r w:rsidR="004047F2" w:rsidRPr="00712F3C">
        <w:rPr>
          <w:sz w:val="20"/>
          <w:szCs w:val="20"/>
        </w:rPr>
        <w:t xml:space="preserve">.  </w:t>
      </w:r>
    </w:p>
    <w:p w14:paraId="1D288B59" w14:textId="77777777" w:rsidR="004047F2" w:rsidRPr="00712F3C" w:rsidRDefault="004047F2" w:rsidP="004047F2">
      <w:pPr>
        <w:spacing w:after="0" w:line="240" w:lineRule="auto"/>
        <w:jc w:val="both"/>
        <w:rPr>
          <w:rFonts w:ascii="Times New Roman" w:hAnsi="Times New Roman"/>
          <w:sz w:val="20"/>
          <w:szCs w:val="20"/>
        </w:rPr>
      </w:pPr>
    </w:p>
    <w:p w14:paraId="37769E9D" w14:textId="38C60579" w:rsidR="004047F2" w:rsidRPr="00712F3C" w:rsidRDefault="004047F2">
      <w:pPr>
        <w:pStyle w:val="ListParagraph"/>
        <w:numPr>
          <w:ilvl w:val="0"/>
          <w:numId w:val="278"/>
        </w:numPr>
        <w:tabs>
          <w:tab w:val="clear" w:pos="720"/>
          <w:tab w:val="num" w:pos="360"/>
        </w:tabs>
        <w:suppressAutoHyphens w:val="0"/>
        <w:autoSpaceDE/>
        <w:autoSpaceDN/>
        <w:adjustRightInd/>
        <w:spacing w:line="240" w:lineRule="auto"/>
        <w:ind w:left="360"/>
        <w:contextualSpacing/>
        <w:jc w:val="both"/>
        <w:textAlignment w:val="auto"/>
        <w:rPr>
          <w:sz w:val="20"/>
          <w:szCs w:val="20"/>
        </w:rPr>
      </w:pPr>
      <w:r w:rsidRPr="00712F3C">
        <w:rPr>
          <w:sz w:val="20"/>
          <w:szCs w:val="20"/>
        </w:rPr>
        <w:t>The post issue paid up capital of the company will be up</w:t>
      </w:r>
      <w:r w:rsidR="007C1DBA">
        <w:rPr>
          <w:sz w:val="20"/>
          <w:szCs w:val="20"/>
          <w:lang w:val="en-US"/>
        </w:rPr>
        <w:t xml:space="preserve"> </w:t>
      </w:r>
      <w:r w:rsidRPr="00712F3C">
        <w:rPr>
          <w:sz w:val="20"/>
          <w:szCs w:val="20"/>
        </w:rPr>
        <w:t xml:space="preserve">to </w:t>
      </w:r>
      <w:r w:rsidR="007C1DBA">
        <w:rPr>
          <w:sz w:val="20"/>
          <w:szCs w:val="20"/>
          <w:lang w:val="en-US"/>
        </w:rPr>
        <w:t>1,87,97,500</w:t>
      </w:r>
      <w:r w:rsidRPr="00712F3C">
        <w:rPr>
          <w:rFonts w:eastAsia="Calibri"/>
          <w:sz w:val="20"/>
          <w:szCs w:val="20"/>
        </w:rPr>
        <w:t xml:space="preserve"> </w:t>
      </w:r>
      <w:r w:rsidRPr="00712F3C">
        <w:rPr>
          <w:sz w:val="20"/>
          <w:szCs w:val="20"/>
        </w:rPr>
        <w:t xml:space="preserve">shares of face value of </w:t>
      </w:r>
      <w:r w:rsidRPr="00712F3C">
        <w:rPr>
          <w:rFonts w:eastAsia="Calibri"/>
          <w:sz w:val="20"/>
          <w:szCs w:val="20"/>
        </w:rPr>
        <w:t xml:space="preserve">₹ </w:t>
      </w:r>
      <w:r w:rsidRPr="00712F3C">
        <w:rPr>
          <w:sz w:val="20"/>
          <w:szCs w:val="20"/>
        </w:rPr>
        <w:t xml:space="preserve">10/- aggregating up to </w:t>
      </w:r>
      <w:r w:rsidRPr="00712F3C">
        <w:rPr>
          <w:rFonts w:eastAsia="Calibri"/>
          <w:sz w:val="20"/>
          <w:szCs w:val="20"/>
        </w:rPr>
        <w:t xml:space="preserve">₹ </w:t>
      </w:r>
      <w:r w:rsidR="007C1DBA">
        <w:rPr>
          <w:rFonts w:eastAsia="Calibri"/>
          <w:sz w:val="20"/>
          <w:szCs w:val="20"/>
          <w:lang w:val="en-US"/>
        </w:rPr>
        <w:t>18.79</w:t>
      </w:r>
      <w:r w:rsidRPr="00712F3C">
        <w:rPr>
          <w:sz w:val="20"/>
          <w:szCs w:val="20"/>
        </w:rPr>
        <w:t xml:space="preserve"> Crores which is less than </w:t>
      </w:r>
      <w:r w:rsidRPr="00712F3C">
        <w:rPr>
          <w:rFonts w:eastAsia="Calibri"/>
          <w:sz w:val="20"/>
          <w:szCs w:val="20"/>
        </w:rPr>
        <w:t>₹</w:t>
      </w:r>
      <w:r w:rsidRPr="00712F3C">
        <w:rPr>
          <w:sz w:val="20"/>
          <w:szCs w:val="20"/>
        </w:rPr>
        <w:t xml:space="preserve"> 25 Crores.</w:t>
      </w:r>
    </w:p>
    <w:p w14:paraId="5CAFB93C" w14:textId="77777777" w:rsidR="004047F2" w:rsidRPr="00712F3C" w:rsidRDefault="004047F2" w:rsidP="004047F2">
      <w:pPr>
        <w:spacing w:after="0" w:line="240" w:lineRule="auto"/>
        <w:jc w:val="both"/>
        <w:rPr>
          <w:rFonts w:ascii="Times New Roman" w:hAnsi="Times New Roman"/>
          <w:sz w:val="20"/>
          <w:szCs w:val="20"/>
        </w:rPr>
      </w:pPr>
    </w:p>
    <w:p w14:paraId="5C622895" w14:textId="77777777" w:rsidR="004047F2" w:rsidRPr="00712F3C" w:rsidRDefault="004047F2">
      <w:pPr>
        <w:pStyle w:val="ListParagraph"/>
        <w:numPr>
          <w:ilvl w:val="0"/>
          <w:numId w:val="278"/>
        </w:numPr>
        <w:tabs>
          <w:tab w:val="clear" w:pos="720"/>
          <w:tab w:val="num" w:pos="360"/>
        </w:tabs>
        <w:suppressAutoHyphens w:val="0"/>
        <w:autoSpaceDE/>
        <w:autoSpaceDN/>
        <w:adjustRightInd/>
        <w:spacing w:line="240" w:lineRule="auto"/>
        <w:ind w:left="360"/>
        <w:contextualSpacing/>
        <w:jc w:val="both"/>
        <w:textAlignment w:val="auto"/>
        <w:rPr>
          <w:sz w:val="20"/>
          <w:szCs w:val="20"/>
        </w:rPr>
      </w:pPr>
      <w:r w:rsidRPr="00712F3C">
        <w:rPr>
          <w:sz w:val="20"/>
          <w:szCs w:val="20"/>
        </w:rPr>
        <w:t>The Company has a track record of at least 3 years as on the date of filling Draft Red Herring Prospectus.</w:t>
      </w:r>
    </w:p>
    <w:p w14:paraId="3CBBCAA6" w14:textId="77777777" w:rsidR="004047F2" w:rsidRPr="00712F3C" w:rsidRDefault="004047F2" w:rsidP="004047F2">
      <w:pPr>
        <w:pStyle w:val="ListParagraph"/>
        <w:suppressAutoHyphens w:val="0"/>
        <w:autoSpaceDE/>
        <w:autoSpaceDN/>
        <w:adjustRightInd/>
        <w:spacing w:line="240" w:lineRule="auto"/>
        <w:ind w:left="360"/>
        <w:contextualSpacing/>
        <w:jc w:val="both"/>
        <w:textAlignment w:val="auto"/>
        <w:rPr>
          <w:sz w:val="20"/>
          <w:szCs w:val="20"/>
        </w:rPr>
      </w:pPr>
    </w:p>
    <w:p w14:paraId="0B5A1913" w14:textId="28FA9954" w:rsidR="004047F2" w:rsidRPr="00712F3C" w:rsidRDefault="004047F2">
      <w:pPr>
        <w:pStyle w:val="ListParagraph"/>
        <w:numPr>
          <w:ilvl w:val="0"/>
          <w:numId w:val="278"/>
        </w:numPr>
        <w:tabs>
          <w:tab w:val="clear" w:pos="720"/>
          <w:tab w:val="num" w:pos="360"/>
        </w:tabs>
        <w:suppressAutoHyphens w:val="0"/>
        <w:autoSpaceDE/>
        <w:autoSpaceDN/>
        <w:adjustRightInd/>
        <w:spacing w:line="240" w:lineRule="auto"/>
        <w:ind w:left="360"/>
        <w:contextualSpacing/>
        <w:jc w:val="both"/>
        <w:textAlignment w:val="auto"/>
        <w:rPr>
          <w:sz w:val="20"/>
          <w:szCs w:val="20"/>
        </w:rPr>
      </w:pPr>
      <w:r w:rsidRPr="00712F3C">
        <w:rPr>
          <w:sz w:val="20"/>
          <w:szCs w:val="20"/>
        </w:rPr>
        <w:lastRenderedPageBreak/>
        <w:t xml:space="preserve">As on </w:t>
      </w:r>
      <w:r w:rsidR="007C1DBA">
        <w:rPr>
          <w:sz w:val="20"/>
          <w:szCs w:val="20"/>
          <w:lang w:val="en-GB"/>
        </w:rPr>
        <w:t>March 31, 2023</w:t>
      </w:r>
      <w:r w:rsidRPr="00712F3C">
        <w:rPr>
          <w:sz w:val="20"/>
          <w:szCs w:val="20"/>
        </w:rPr>
        <w:t xml:space="preserve">, the Company has net tangible assets of </w:t>
      </w:r>
      <w:r w:rsidRPr="00712F3C">
        <w:rPr>
          <w:rFonts w:eastAsia="Calibri"/>
          <w:sz w:val="20"/>
          <w:szCs w:val="20"/>
        </w:rPr>
        <w:t xml:space="preserve">₹ </w:t>
      </w:r>
      <w:r w:rsidR="007C1DBA">
        <w:rPr>
          <w:sz w:val="20"/>
          <w:szCs w:val="20"/>
          <w:lang w:val="en-US"/>
        </w:rPr>
        <w:t xml:space="preserve">15,136.31 </w:t>
      </w:r>
      <w:r w:rsidRPr="00712F3C">
        <w:rPr>
          <w:sz w:val="20"/>
          <w:szCs w:val="20"/>
        </w:rPr>
        <w:t>Lakhs.</w:t>
      </w:r>
    </w:p>
    <w:p w14:paraId="1A80AE6B" w14:textId="77777777" w:rsidR="004047F2" w:rsidRPr="00712F3C" w:rsidRDefault="004047F2" w:rsidP="004047F2">
      <w:pPr>
        <w:spacing w:after="0" w:line="240" w:lineRule="auto"/>
        <w:jc w:val="both"/>
        <w:rPr>
          <w:rFonts w:ascii="Times New Roman" w:hAnsi="Times New Roman"/>
          <w:sz w:val="20"/>
          <w:szCs w:val="20"/>
        </w:rPr>
      </w:pPr>
    </w:p>
    <w:p w14:paraId="55B00168" w14:textId="6269A1A2" w:rsidR="004047F2" w:rsidRPr="00712F3C" w:rsidRDefault="004047F2">
      <w:pPr>
        <w:pStyle w:val="ListParagraph"/>
        <w:numPr>
          <w:ilvl w:val="0"/>
          <w:numId w:val="278"/>
        </w:numPr>
        <w:tabs>
          <w:tab w:val="clear" w:pos="720"/>
          <w:tab w:val="num" w:pos="360"/>
        </w:tabs>
        <w:suppressAutoHyphens w:val="0"/>
        <w:autoSpaceDE/>
        <w:autoSpaceDN/>
        <w:adjustRightInd/>
        <w:spacing w:line="240" w:lineRule="auto"/>
        <w:ind w:left="360"/>
        <w:contextualSpacing/>
        <w:jc w:val="both"/>
        <w:textAlignment w:val="auto"/>
        <w:rPr>
          <w:sz w:val="20"/>
          <w:szCs w:val="20"/>
        </w:rPr>
      </w:pPr>
      <w:r w:rsidRPr="00712F3C">
        <w:rPr>
          <w:sz w:val="20"/>
          <w:szCs w:val="20"/>
          <w:lang w:bidi="en-US"/>
        </w:rPr>
        <w:t xml:space="preserve">The Company confirms that it has operating profits (earnings before interest, depreciation and tax) from operations for atleast </w:t>
      </w:r>
      <w:r w:rsidRPr="00712F3C">
        <w:rPr>
          <w:sz w:val="20"/>
          <w:szCs w:val="20"/>
        </w:rPr>
        <w:t>2 financial years out of preceding three financial years and its net-worth as on March 31, 20</w:t>
      </w:r>
      <w:r w:rsidR="007C1DBA">
        <w:rPr>
          <w:sz w:val="20"/>
          <w:szCs w:val="20"/>
          <w:lang w:val="en-US"/>
        </w:rPr>
        <w:t>23</w:t>
      </w:r>
      <w:r w:rsidRPr="00712F3C">
        <w:rPr>
          <w:sz w:val="20"/>
          <w:szCs w:val="20"/>
        </w:rPr>
        <w:t>, March 31</w:t>
      </w:r>
      <w:r w:rsidRPr="00712F3C">
        <w:rPr>
          <w:sz w:val="20"/>
          <w:szCs w:val="20"/>
          <w:lang w:val="en-GB"/>
        </w:rPr>
        <w:t xml:space="preserve">, </w:t>
      </w:r>
      <w:r w:rsidRPr="00712F3C">
        <w:rPr>
          <w:sz w:val="20"/>
          <w:szCs w:val="20"/>
        </w:rPr>
        <w:t>202</w:t>
      </w:r>
      <w:r w:rsidR="007C1DBA">
        <w:rPr>
          <w:sz w:val="20"/>
          <w:szCs w:val="20"/>
          <w:lang w:val="en-US"/>
        </w:rPr>
        <w:t xml:space="preserve">2 </w:t>
      </w:r>
      <w:r w:rsidRPr="00712F3C">
        <w:rPr>
          <w:sz w:val="20"/>
          <w:szCs w:val="20"/>
          <w:lang w:val="en-GB"/>
        </w:rPr>
        <w:t xml:space="preserve">and </w:t>
      </w:r>
      <w:r w:rsidRPr="00712F3C">
        <w:rPr>
          <w:sz w:val="20"/>
          <w:szCs w:val="20"/>
        </w:rPr>
        <w:t>March 31</w:t>
      </w:r>
      <w:r w:rsidRPr="00712F3C">
        <w:rPr>
          <w:sz w:val="20"/>
          <w:szCs w:val="20"/>
          <w:lang w:val="en-GB"/>
        </w:rPr>
        <w:t>, 202</w:t>
      </w:r>
      <w:r w:rsidR="007C1DBA">
        <w:rPr>
          <w:sz w:val="20"/>
          <w:szCs w:val="20"/>
          <w:lang w:val="en-GB"/>
        </w:rPr>
        <w:t xml:space="preserve">1 </w:t>
      </w:r>
      <w:r w:rsidRPr="00712F3C">
        <w:rPr>
          <w:sz w:val="20"/>
          <w:szCs w:val="20"/>
        </w:rPr>
        <w:t>is positive.</w:t>
      </w:r>
    </w:p>
    <w:p w14:paraId="5C32D802" w14:textId="77777777" w:rsidR="004047F2" w:rsidRPr="00712F3C" w:rsidRDefault="004047F2" w:rsidP="004047F2">
      <w:pPr>
        <w:widowControl w:val="0"/>
        <w:autoSpaceDE w:val="0"/>
        <w:autoSpaceDN w:val="0"/>
        <w:adjustRightInd w:val="0"/>
        <w:spacing w:after="0" w:line="240" w:lineRule="auto"/>
        <w:ind w:left="360"/>
        <w:contextualSpacing/>
        <w:jc w:val="right"/>
        <w:rPr>
          <w:rFonts w:ascii="Times New Roman" w:hAnsi="Times New Roman"/>
          <w:color w:val="000000"/>
          <w:sz w:val="20"/>
          <w:szCs w:val="20"/>
          <w:lang w:bidi="en-US"/>
        </w:rPr>
      </w:pPr>
      <w:r w:rsidRPr="00712F3C">
        <w:rPr>
          <w:rFonts w:ascii="Times New Roman" w:hAnsi="Times New Roman"/>
          <w:color w:val="000000"/>
          <w:sz w:val="20"/>
          <w:szCs w:val="20"/>
          <w:lang w:bidi="en-US"/>
        </w:rPr>
        <w:tab/>
      </w:r>
      <w:r w:rsidRPr="00712F3C">
        <w:rPr>
          <w:rFonts w:ascii="Times New Roman" w:hAnsi="Times New Roman"/>
          <w:color w:val="000000"/>
          <w:sz w:val="20"/>
          <w:szCs w:val="20"/>
          <w:lang w:bidi="en-US"/>
        </w:rPr>
        <w:tab/>
      </w:r>
      <w:r w:rsidRPr="00712F3C">
        <w:rPr>
          <w:rFonts w:ascii="Times New Roman" w:hAnsi="Times New Roman"/>
          <w:color w:val="000000"/>
          <w:sz w:val="20"/>
          <w:szCs w:val="20"/>
          <w:lang w:bidi="en-US"/>
        </w:rPr>
        <w:tab/>
      </w:r>
      <w:r w:rsidRPr="00712F3C">
        <w:rPr>
          <w:rFonts w:ascii="Times New Roman" w:hAnsi="Times New Roman"/>
          <w:color w:val="000000"/>
          <w:sz w:val="20"/>
          <w:szCs w:val="20"/>
          <w:lang w:bidi="en-US"/>
        </w:rPr>
        <w:tab/>
      </w:r>
      <w:r w:rsidRPr="00712F3C">
        <w:rPr>
          <w:rFonts w:ascii="Times New Roman" w:hAnsi="Times New Roman"/>
          <w:color w:val="000000"/>
          <w:sz w:val="20"/>
          <w:szCs w:val="20"/>
          <w:lang w:bidi="en-US"/>
        </w:rPr>
        <w:tab/>
      </w:r>
      <w:r w:rsidRPr="00712F3C">
        <w:rPr>
          <w:rFonts w:ascii="Times New Roman" w:hAnsi="Times New Roman"/>
          <w:color w:val="000000"/>
          <w:sz w:val="20"/>
          <w:szCs w:val="20"/>
          <w:lang w:bidi="en-US"/>
        </w:rPr>
        <w:tab/>
      </w:r>
      <w:r w:rsidRPr="00712F3C">
        <w:rPr>
          <w:rFonts w:ascii="Times New Roman" w:hAnsi="Times New Roman"/>
          <w:color w:val="000000"/>
          <w:sz w:val="20"/>
          <w:szCs w:val="20"/>
          <w:lang w:bidi="en-US"/>
        </w:rPr>
        <w:tab/>
      </w:r>
      <w:r w:rsidRPr="00712F3C">
        <w:rPr>
          <w:rFonts w:ascii="Times New Roman" w:hAnsi="Times New Roman"/>
          <w:color w:val="000000"/>
          <w:sz w:val="20"/>
          <w:szCs w:val="20"/>
          <w:lang w:bidi="en-US"/>
        </w:rPr>
        <w:tab/>
      </w:r>
      <w:r w:rsidRPr="00712F3C">
        <w:rPr>
          <w:rFonts w:ascii="Times New Roman" w:hAnsi="Times New Roman"/>
          <w:color w:val="000000"/>
          <w:sz w:val="20"/>
          <w:szCs w:val="20"/>
          <w:lang w:bidi="en-US"/>
        </w:rPr>
        <w:tab/>
      </w:r>
      <w:r w:rsidRPr="00712F3C">
        <w:rPr>
          <w:rFonts w:ascii="Times New Roman" w:hAnsi="Times New Roman"/>
          <w:color w:val="000000"/>
          <w:sz w:val="20"/>
          <w:szCs w:val="20"/>
          <w:lang w:bidi="en-US"/>
        </w:rPr>
        <w:tab/>
      </w:r>
    </w:p>
    <w:p w14:paraId="2595ADC7" w14:textId="77777777" w:rsidR="004047F2" w:rsidRPr="00712F3C" w:rsidRDefault="004047F2" w:rsidP="004047F2">
      <w:pPr>
        <w:widowControl w:val="0"/>
        <w:autoSpaceDE w:val="0"/>
        <w:autoSpaceDN w:val="0"/>
        <w:adjustRightInd w:val="0"/>
        <w:spacing w:after="0" w:line="240" w:lineRule="auto"/>
        <w:ind w:left="360"/>
        <w:contextualSpacing/>
        <w:jc w:val="right"/>
        <w:rPr>
          <w:rFonts w:ascii="Times New Roman" w:hAnsi="Times New Roman"/>
          <w:color w:val="000000"/>
          <w:sz w:val="20"/>
          <w:szCs w:val="20"/>
          <w:lang w:bidi="en-US"/>
        </w:rPr>
      </w:pPr>
      <w:r w:rsidRPr="00712F3C">
        <w:rPr>
          <w:rFonts w:ascii="Times New Roman" w:hAnsi="Times New Roman"/>
          <w:b/>
          <w:color w:val="000000"/>
          <w:sz w:val="20"/>
          <w:szCs w:val="20"/>
          <w:lang w:bidi="en-US"/>
        </w:rPr>
        <w:t>(</w:t>
      </w:r>
      <w:r w:rsidRPr="00712F3C">
        <w:rPr>
          <w:rFonts w:ascii="Times New Roman" w:eastAsia="Calibri" w:hAnsi="Times New Roman"/>
          <w:sz w:val="20"/>
          <w:szCs w:val="20"/>
        </w:rPr>
        <w:t xml:space="preserve">₹ </w:t>
      </w:r>
      <w:r w:rsidRPr="00712F3C">
        <w:rPr>
          <w:rFonts w:ascii="Times New Roman" w:hAnsi="Times New Roman"/>
          <w:b/>
          <w:color w:val="000000"/>
          <w:sz w:val="20"/>
          <w:szCs w:val="20"/>
          <w:lang w:bidi="en-US"/>
        </w:rPr>
        <w:t>Lakhs)</w:t>
      </w:r>
    </w:p>
    <w:tbl>
      <w:tblPr>
        <w:tblW w:w="4830" w:type="pct"/>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41"/>
        <w:gridCol w:w="2075"/>
        <w:gridCol w:w="2186"/>
        <w:gridCol w:w="2198"/>
      </w:tblGrid>
      <w:tr w:rsidR="007C1DBA" w:rsidRPr="00712F3C" w14:paraId="6F0EB3D5" w14:textId="77777777" w:rsidTr="007C1DBA">
        <w:tc>
          <w:tcPr>
            <w:tcW w:w="1802" w:type="pct"/>
            <w:tcBorders>
              <w:top w:val="single" w:sz="4" w:space="0" w:color="000000"/>
              <w:left w:val="single" w:sz="4" w:space="0" w:color="000000"/>
              <w:bottom w:val="single" w:sz="4" w:space="0" w:color="000000"/>
              <w:right w:val="single" w:sz="4" w:space="0" w:color="000000"/>
            </w:tcBorders>
            <w:shd w:val="clear" w:color="auto" w:fill="D0CECE"/>
          </w:tcPr>
          <w:p w14:paraId="7A387817" w14:textId="77777777" w:rsidR="007C1DBA" w:rsidRPr="00712F3C" w:rsidRDefault="007C1DBA" w:rsidP="007C1DBA">
            <w:pPr>
              <w:spacing w:after="0" w:line="240" w:lineRule="auto"/>
              <w:jc w:val="both"/>
              <w:rPr>
                <w:rFonts w:ascii="Times New Roman" w:eastAsia="MS Mincho" w:hAnsi="Times New Roman"/>
                <w:color w:val="000000"/>
                <w:sz w:val="20"/>
                <w:szCs w:val="20"/>
                <w:lang w:val="en-GB"/>
              </w:rPr>
            </w:pPr>
            <w:r w:rsidRPr="00712F3C">
              <w:rPr>
                <w:rFonts w:ascii="Times New Roman" w:eastAsia="Calibri" w:hAnsi="Times New Roman"/>
                <w:b/>
                <w:bCs/>
                <w:color w:val="000000"/>
                <w:sz w:val="20"/>
                <w:szCs w:val="20"/>
                <w:lang w:bidi="en-US"/>
              </w:rPr>
              <w:t>Particulars</w:t>
            </w:r>
          </w:p>
        </w:tc>
        <w:tc>
          <w:tcPr>
            <w:tcW w:w="1027" w:type="pct"/>
            <w:tcBorders>
              <w:top w:val="single" w:sz="4" w:space="0" w:color="000000"/>
              <w:left w:val="single" w:sz="4" w:space="0" w:color="000000"/>
              <w:bottom w:val="single" w:sz="4" w:space="0" w:color="000000"/>
              <w:right w:val="single" w:sz="4" w:space="0" w:color="000000"/>
            </w:tcBorders>
            <w:shd w:val="clear" w:color="auto" w:fill="D0CECE"/>
          </w:tcPr>
          <w:p w14:paraId="11013599" w14:textId="43066AF2" w:rsidR="007C1DBA" w:rsidRPr="00712F3C" w:rsidRDefault="007C1DBA" w:rsidP="007C1DBA">
            <w:pPr>
              <w:widowControl w:val="0"/>
              <w:autoSpaceDE w:val="0"/>
              <w:autoSpaceDN w:val="0"/>
              <w:adjustRightInd w:val="0"/>
              <w:spacing w:after="0" w:line="240" w:lineRule="auto"/>
              <w:contextualSpacing/>
              <w:jc w:val="center"/>
              <w:rPr>
                <w:rFonts w:ascii="Times New Roman" w:eastAsia="Calibri" w:hAnsi="Times New Roman"/>
                <w:b/>
                <w:bCs/>
                <w:color w:val="000000"/>
                <w:sz w:val="20"/>
                <w:szCs w:val="20"/>
                <w:lang w:bidi="en-US"/>
              </w:rPr>
            </w:pPr>
            <w:r w:rsidRPr="00712F3C">
              <w:rPr>
                <w:rFonts w:ascii="Times New Roman" w:eastAsia="Calibri" w:hAnsi="Times New Roman"/>
                <w:b/>
                <w:bCs/>
                <w:color w:val="000000"/>
                <w:sz w:val="20"/>
                <w:szCs w:val="20"/>
                <w:lang w:bidi="en-US"/>
              </w:rPr>
              <w:t>March 31, 202</w:t>
            </w:r>
            <w:r>
              <w:rPr>
                <w:rFonts w:ascii="Times New Roman" w:eastAsia="Calibri" w:hAnsi="Times New Roman"/>
                <w:b/>
                <w:bCs/>
                <w:color w:val="000000"/>
                <w:sz w:val="20"/>
                <w:szCs w:val="20"/>
                <w:lang w:bidi="en-US"/>
              </w:rPr>
              <w:t>3</w:t>
            </w:r>
          </w:p>
        </w:tc>
        <w:tc>
          <w:tcPr>
            <w:tcW w:w="1082" w:type="pct"/>
            <w:tcBorders>
              <w:top w:val="single" w:sz="4" w:space="0" w:color="000000"/>
              <w:left w:val="single" w:sz="4" w:space="0" w:color="000000"/>
              <w:bottom w:val="single" w:sz="4" w:space="0" w:color="000000"/>
              <w:right w:val="single" w:sz="4" w:space="0" w:color="000000"/>
            </w:tcBorders>
            <w:shd w:val="clear" w:color="auto" w:fill="D0CECE"/>
          </w:tcPr>
          <w:p w14:paraId="7671E1FB" w14:textId="045203D8" w:rsidR="007C1DBA" w:rsidRPr="00712F3C" w:rsidRDefault="007C1DBA" w:rsidP="007C1DBA">
            <w:pPr>
              <w:widowControl w:val="0"/>
              <w:autoSpaceDE w:val="0"/>
              <w:autoSpaceDN w:val="0"/>
              <w:adjustRightInd w:val="0"/>
              <w:spacing w:after="0" w:line="240" w:lineRule="auto"/>
              <w:contextualSpacing/>
              <w:jc w:val="center"/>
              <w:rPr>
                <w:rFonts w:ascii="Times New Roman" w:eastAsia="Calibri" w:hAnsi="Times New Roman"/>
                <w:b/>
                <w:bCs/>
                <w:color w:val="000000"/>
                <w:sz w:val="20"/>
                <w:szCs w:val="20"/>
                <w:lang w:bidi="en-US"/>
              </w:rPr>
            </w:pPr>
            <w:r w:rsidRPr="00712F3C">
              <w:rPr>
                <w:rFonts w:ascii="Times New Roman" w:eastAsia="Calibri" w:hAnsi="Times New Roman"/>
                <w:b/>
                <w:bCs/>
                <w:color w:val="000000"/>
                <w:sz w:val="20"/>
                <w:szCs w:val="20"/>
                <w:lang w:bidi="en-US"/>
              </w:rPr>
              <w:t>March 31, 2022</w:t>
            </w:r>
          </w:p>
        </w:tc>
        <w:tc>
          <w:tcPr>
            <w:tcW w:w="1088" w:type="pct"/>
            <w:tcBorders>
              <w:top w:val="single" w:sz="4" w:space="0" w:color="000000"/>
              <w:left w:val="single" w:sz="4" w:space="0" w:color="000000"/>
              <w:bottom w:val="single" w:sz="4" w:space="0" w:color="000000"/>
              <w:right w:val="single" w:sz="4" w:space="0" w:color="000000"/>
            </w:tcBorders>
            <w:shd w:val="clear" w:color="auto" w:fill="D0CECE"/>
          </w:tcPr>
          <w:p w14:paraId="09F74B41" w14:textId="57F3E61F" w:rsidR="007C1DBA" w:rsidRPr="00712F3C" w:rsidRDefault="007C1DBA" w:rsidP="007C1DBA">
            <w:pPr>
              <w:widowControl w:val="0"/>
              <w:autoSpaceDE w:val="0"/>
              <w:autoSpaceDN w:val="0"/>
              <w:adjustRightInd w:val="0"/>
              <w:spacing w:after="0" w:line="240" w:lineRule="auto"/>
              <w:contextualSpacing/>
              <w:jc w:val="center"/>
              <w:rPr>
                <w:rFonts w:ascii="Times New Roman" w:eastAsia="Calibri" w:hAnsi="Times New Roman"/>
                <w:b/>
                <w:bCs/>
                <w:color w:val="000000"/>
                <w:sz w:val="20"/>
                <w:szCs w:val="20"/>
                <w:lang w:bidi="en-US"/>
              </w:rPr>
            </w:pPr>
            <w:r w:rsidRPr="00712F3C">
              <w:rPr>
                <w:rFonts w:ascii="Times New Roman" w:eastAsia="Calibri" w:hAnsi="Times New Roman"/>
                <w:b/>
                <w:bCs/>
                <w:color w:val="000000"/>
                <w:sz w:val="20"/>
                <w:szCs w:val="20"/>
                <w:lang w:bidi="en-US"/>
              </w:rPr>
              <w:t>March 31, 2021</w:t>
            </w:r>
          </w:p>
        </w:tc>
      </w:tr>
      <w:tr w:rsidR="007C1DBA" w:rsidRPr="00712F3C" w14:paraId="4D557237" w14:textId="77777777" w:rsidTr="007C1DBA">
        <w:tc>
          <w:tcPr>
            <w:tcW w:w="1802" w:type="pct"/>
            <w:tcBorders>
              <w:top w:val="single" w:sz="4" w:space="0" w:color="000000"/>
              <w:left w:val="single" w:sz="4" w:space="0" w:color="000000"/>
              <w:bottom w:val="single" w:sz="4" w:space="0" w:color="000000"/>
              <w:right w:val="single" w:sz="4" w:space="0" w:color="000000"/>
            </w:tcBorders>
            <w:shd w:val="clear" w:color="auto" w:fill="auto"/>
          </w:tcPr>
          <w:p w14:paraId="2215ED90" w14:textId="77777777" w:rsidR="007C1DBA" w:rsidRPr="00712F3C" w:rsidRDefault="007C1DBA" w:rsidP="007C1DBA">
            <w:pPr>
              <w:spacing w:after="0" w:line="240" w:lineRule="auto"/>
              <w:jc w:val="both"/>
              <w:rPr>
                <w:rFonts w:ascii="Times New Roman" w:eastAsia="MS Mincho" w:hAnsi="Times New Roman"/>
                <w:color w:val="000000"/>
                <w:sz w:val="20"/>
                <w:szCs w:val="20"/>
                <w:lang w:val="en-GB"/>
              </w:rPr>
            </w:pPr>
            <w:r w:rsidRPr="00712F3C">
              <w:rPr>
                <w:rFonts w:ascii="Times New Roman" w:eastAsia="MS Mincho" w:hAnsi="Times New Roman"/>
                <w:color w:val="000000"/>
                <w:sz w:val="20"/>
                <w:szCs w:val="20"/>
                <w:lang w:val="en-GB"/>
              </w:rPr>
              <w:t>EBITDA</w:t>
            </w:r>
          </w:p>
        </w:tc>
        <w:tc>
          <w:tcPr>
            <w:tcW w:w="1027" w:type="pct"/>
            <w:tcBorders>
              <w:top w:val="single" w:sz="4" w:space="0" w:color="000000"/>
              <w:left w:val="single" w:sz="4" w:space="0" w:color="000000"/>
              <w:bottom w:val="single" w:sz="4" w:space="0" w:color="000000"/>
              <w:right w:val="single" w:sz="4" w:space="0" w:color="000000"/>
            </w:tcBorders>
            <w:shd w:val="clear" w:color="auto" w:fill="auto"/>
            <w:vAlign w:val="bottom"/>
          </w:tcPr>
          <w:p w14:paraId="56E54E30" w14:textId="19900ADA" w:rsidR="007C1DBA" w:rsidRPr="00712F3C" w:rsidRDefault="007C1DBA" w:rsidP="007C1DBA">
            <w:pPr>
              <w:spacing w:after="0" w:line="240" w:lineRule="auto"/>
              <w:jc w:val="center"/>
              <w:rPr>
                <w:rFonts w:ascii="Times New Roman" w:eastAsia="MS Mincho" w:hAnsi="Times New Roman"/>
                <w:color w:val="000000"/>
                <w:sz w:val="20"/>
                <w:szCs w:val="20"/>
                <w:lang w:val="en-GB"/>
              </w:rPr>
            </w:pPr>
            <w:r>
              <w:rPr>
                <w:rFonts w:ascii="Times New Roman" w:eastAsia="MS Mincho" w:hAnsi="Times New Roman"/>
                <w:color w:val="000000"/>
                <w:sz w:val="20"/>
                <w:szCs w:val="20"/>
                <w:lang w:val="en-GB"/>
              </w:rPr>
              <w:t>1,157.48</w:t>
            </w:r>
          </w:p>
        </w:tc>
        <w:tc>
          <w:tcPr>
            <w:tcW w:w="1082" w:type="pct"/>
            <w:tcBorders>
              <w:top w:val="single" w:sz="4" w:space="0" w:color="000000"/>
              <w:left w:val="single" w:sz="4" w:space="0" w:color="000000"/>
              <w:bottom w:val="single" w:sz="4" w:space="0" w:color="000000"/>
              <w:right w:val="single" w:sz="4" w:space="0" w:color="000000"/>
            </w:tcBorders>
            <w:shd w:val="clear" w:color="auto" w:fill="auto"/>
            <w:vAlign w:val="bottom"/>
          </w:tcPr>
          <w:p w14:paraId="35F562ED" w14:textId="3D43A80E" w:rsidR="007C1DBA" w:rsidRPr="00712F3C" w:rsidRDefault="007C1DBA" w:rsidP="007C1DBA">
            <w:pPr>
              <w:spacing w:after="0" w:line="240" w:lineRule="auto"/>
              <w:jc w:val="center"/>
              <w:rPr>
                <w:rFonts w:ascii="Times New Roman" w:eastAsia="MS Mincho" w:hAnsi="Times New Roman"/>
                <w:color w:val="000000"/>
                <w:sz w:val="20"/>
                <w:szCs w:val="20"/>
                <w:lang w:val="en-GB"/>
              </w:rPr>
            </w:pPr>
            <w:r>
              <w:rPr>
                <w:rFonts w:ascii="Times New Roman" w:eastAsia="MS Mincho" w:hAnsi="Times New Roman"/>
                <w:color w:val="000000"/>
                <w:sz w:val="20"/>
                <w:szCs w:val="20"/>
                <w:lang w:val="en-GB"/>
              </w:rPr>
              <w:t>513.94</w:t>
            </w:r>
          </w:p>
        </w:tc>
        <w:tc>
          <w:tcPr>
            <w:tcW w:w="1088"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1E0EF9F" w14:textId="29A4279A" w:rsidR="007C1DBA" w:rsidRPr="00712F3C" w:rsidRDefault="007C1DBA" w:rsidP="007C1DBA">
            <w:pPr>
              <w:spacing w:after="0" w:line="240" w:lineRule="auto"/>
              <w:jc w:val="center"/>
              <w:rPr>
                <w:rFonts w:ascii="Times New Roman" w:eastAsia="MS Mincho" w:hAnsi="Times New Roman"/>
                <w:color w:val="000000"/>
                <w:sz w:val="20"/>
                <w:szCs w:val="20"/>
                <w:lang w:val="en-GB"/>
              </w:rPr>
            </w:pPr>
            <w:r>
              <w:rPr>
                <w:rFonts w:ascii="Times New Roman" w:eastAsia="MS Mincho" w:hAnsi="Times New Roman"/>
                <w:color w:val="000000"/>
                <w:sz w:val="20"/>
                <w:szCs w:val="20"/>
                <w:lang w:val="en-GB"/>
              </w:rPr>
              <w:t>375.97</w:t>
            </w:r>
          </w:p>
        </w:tc>
      </w:tr>
      <w:tr w:rsidR="007C1DBA" w:rsidRPr="00712F3C" w14:paraId="6A1B99A1" w14:textId="77777777" w:rsidTr="007C1DBA">
        <w:tc>
          <w:tcPr>
            <w:tcW w:w="1802" w:type="pct"/>
            <w:tcBorders>
              <w:top w:val="single" w:sz="4" w:space="0" w:color="000000"/>
              <w:left w:val="single" w:sz="4" w:space="0" w:color="000000"/>
              <w:bottom w:val="single" w:sz="4" w:space="0" w:color="000000"/>
              <w:right w:val="single" w:sz="4" w:space="0" w:color="000000"/>
            </w:tcBorders>
            <w:shd w:val="clear" w:color="auto" w:fill="auto"/>
          </w:tcPr>
          <w:p w14:paraId="620B7E72" w14:textId="77777777" w:rsidR="007C1DBA" w:rsidRPr="00712F3C" w:rsidRDefault="007C1DBA" w:rsidP="007C1DBA">
            <w:pPr>
              <w:spacing w:after="0" w:line="240" w:lineRule="auto"/>
              <w:jc w:val="both"/>
              <w:rPr>
                <w:rFonts w:ascii="Times New Roman" w:eastAsia="MS Mincho" w:hAnsi="Times New Roman"/>
                <w:color w:val="000000"/>
                <w:sz w:val="20"/>
                <w:szCs w:val="20"/>
                <w:lang w:val="en-GB"/>
              </w:rPr>
            </w:pPr>
            <w:r w:rsidRPr="00712F3C">
              <w:rPr>
                <w:rFonts w:ascii="Times New Roman" w:eastAsia="MS Mincho" w:hAnsi="Times New Roman"/>
                <w:color w:val="000000"/>
                <w:sz w:val="20"/>
                <w:szCs w:val="20"/>
                <w:lang w:val="en-GB"/>
              </w:rPr>
              <w:t xml:space="preserve">Networth </w:t>
            </w:r>
          </w:p>
        </w:tc>
        <w:tc>
          <w:tcPr>
            <w:tcW w:w="1027" w:type="pct"/>
            <w:tcBorders>
              <w:top w:val="single" w:sz="4" w:space="0" w:color="000000"/>
              <w:left w:val="single" w:sz="4" w:space="0" w:color="000000"/>
              <w:bottom w:val="single" w:sz="4" w:space="0" w:color="000000"/>
              <w:right w:val="single" w:sz="4" w:space="0" w:color="000000"/>
            </w:tcBorders>
            <w:shd w:val="clear" w:color="auto" w:fill="auto"/>
          </w:tcPr>
          <w:p w14:paraId="6302E7AD" w14:textId="0599EB74" w:rsidR="007C1DBA" w:rsidRPr="00712F3C" w:rsidRDefault="007C1DBA" w:rsidP="007C1DBA">
            <w:pPr>
              <w:spacing w:after="0" w:line="240" w:lineRule="auto"/>
              <w:jc w:val="center"/>
              <w:rPr>
                <w:rFonts w:ascii="Times New Roman" w:hAnsi="Times New Roman"/>
                <w:sz w:val="20"/>
                <w:szCs w:val="20"/>
              </w:rPr>
            </w:pPr>
            <w:r>
              <w:rPr>
                <w:rFonts w:ascii="Times New Roman" w:hAnsi="Times New Roman"/>
                <w:sz w:val="20"/>
                <w:szCs w:val="20"/>
              </w:rPr>
              <w:t>4,642.12</w:t>
            </w:r>
          </w:p>
        </w:tc>
        <w:tc>
          <w:tcPr>
            <w:tcW w:w="1082" w:type="pct"/>
            <w:tcBorders>
              <w:top w:val="single" w:sz="4" w:space="0" w:color="000000"/>
              <w:left w:val="single" w:sz="4" w:space="0" w:color="000000"/>
              <w:bottom w:val="single" w:sz="4" w:space="0" w:color="000000"/>
              <w:right w:val="single" w:sz="4" w:space="0" w:color="000000"/>
            </w:tcBorders>
            <w:shd w:val="clear" w:color="auto" w:fill="auto"/>
          </w:tcPr>
          <w:p w14:paraId="017EBB95" w14:textId="27D08563" w:rsidR="007C1DBA" w:rsidRPr="00712F3C" w:rsidRDefault="007C1DBA" w:rsidP="007C1DBA">
            <w:pPr>
              <w:spacing w:after="0" w:line="240" w:lineRule="auto"/>
              <w:jc w:val="center"/>
              <w:rPr>
                <w:rFonts w:ascii="Times New Roman" w:hAnsi="Times New Roman"/>
                <w:sz w:val="20"/>
                <w:szCs w:val="20"/>
              </w:rPr>
            </w:pPr>
            <w:r>
              <w:rPr>
                <w:rFonts w:ascii="Times New Roman" w:hAnsi="Times New Roman"/>
                <w:sz w:val="20"/>
                <w:szCs w:val="20"/>
              </w:rPr>
              <w:t>3,876.71</w:t>
            </w:r>
          </w:p>
        </w:tc>
        <w:tc>
          <w:tcPr>
            <w:tcW w:w="1088" w:type="pct"/>
            <w:tcBorders>
              <w:top w:val="single" w:sz="4" w:space="0" w:color="000000"/>
              <w:left w:val="single" w:sz="4" w:space="0" w:color="000000"/>
              <w:bottom w:val="single" w:sz="4" w:space="0" w:color="000000"/>
              <w:right w:val="single" w:sz="4" w:space="0" w:color="000000"/>
            </w:tcBorders>
            <w:shd w:val="clear" w:color="auto" w:fill="auto"/>
          </w:tcPr>
          <w:p w14:paraId="75EEED89" w14:textId="1F9164B0" w:rsidR="007C1DBA" w:rsidRPr="00712F3C" w:rsidRDefault="007C1DBA" w:rsidP="007C1DBA">
            <w:pPr>
              <w:spacing w:after="0" w:line="240" w:lineRule="auto"/>
              <w:jc w:val="center"/>
              <w:rPr>
                <w:rFonts w:ascii="Times New Roman" w:hAnsi="Times New Roman"/>
                <w:sz w:val="20"/>
                <w:szCs w:val="20"/>
              </w:rPr>
            </w:pPr>
            <w:r>
              <w:rPr>
                <w:rFonts w:ascii="Times New Roman" w:hAnsi="Times New Roman"/>
                <w:sz w:val="20"/>
                <w:szCs w:val="20"/>
              </w:rPr>
              <w:t>3,554.23</w:t>
            </w:r>
          </w:p>
        </w:tc>
      </w:tr>
      <w:tr w:rsidR="007C1DBA" w:rsidRPr="00712F3C" w14:paraId="790310C3" w14:textId="77777777" w:rsidTr="007C1DBA">
        <w:tc>
          <w:tcPr>
            <w:tcW w:w="1802" w:type="pct"/>
            <w:tcBorders>
              <w:top w:val="single" w:sz="4" w:space="0" w:color="000000"/>
              <w:left w:val="single" w:sz="4" w:space="0" w:color="000000"/>
              <w:bottom w:val="single" w:sz="4" w:space="0" w:color="000000"/>
              <w:right w:val="single" w:sz="4" w:space="0" w:color="000000"/>
            </w:tcBorders>
            <w:shd w:val="clear" w:color="auto" w:fill="auto"/>
          </w:tcPr>
          <w:p w14:paraId="26A8CBE9" w14:textId="0E104404" w:rsidR="007C1DBA" w:rsidRPr="00712F3C" w:rsidRDefault="007C1DBA" w:rsidP="007C1DBA">
            <w:pPr>
              <w:spacing w:after="0" w:line="240" w:lineRule="auto"/>
              <w:jc w:val="both"/>
              <w:rPr>
                <w:rFonts w:ascii="Times New Roman" w:eastAsia="MS Mincho" w:hAnsi="Times New Roman"/>
                <w:color w:val="000000"/>
                <w:sz w:val="20"/>
                <w:szCs w:val="20"/>
                <w:lang w:val="en-GB"/>
              </w:rPr>
            </w:pPr>
            <w:r>
              <w:rPr>
                <w:rFonts w:ascii="Times New Roman" w:eastAsia="MS Mincho" w:hAnsi="Times New Roman"/>
                <w:color w:val="000000"/>
                <w:sz w:val="20"/>
                <w:szCs w:val="20"/>
                <w:lang w:val="en-GB"/>
              </w:rPr>
              <w:t>Cash Accruals</w:t>
            </w:r>
          </w:p>
        </w:tc>
        <w:tc>
          <w:tcPr>
            <w:tcW w:w="1027" w:type="pct"/>
            <w:tcBorders>
              <w:top w:val="single" w:sz="4" w:space="0" w:color="000000"/>
              <w:left w:val="single" w:sz="4" w:space="0" w:color="000000"/>
              <w:bottom w:val="single" w:sz="4" w:space="0" w:color="000000"/>
              <w:right w:val="single" w:sz="4" w:space="0" w:color="000000"/>
            </w:tcBorders>
            <w:shd w:val="clear" w:color="auto" w:fill="auto"/>
          </w:tcPr>
          <w:p w14:paraId="34A37313" w14:textId="57F5FC70" w:rsidR="007C1DBA" w:rsidRPr="00712F3C" w:rsidRDefault="007C1DBA" w:rsidP="007C1DBA">
            <w:pPr>
              <w:spacing w:after="0" w:line="240" w:lineRule="auto"/>
              <w:jc w:val="center"/>
              <w:rPr>
                <w:rFonts w:ascii="Times New Roman" w:hAnsi="Times New Roman"/>
                <w:sz w:val="20"/>
                <w:szCs w:val="20"/>
              </w:rPr>
            </w:pPr>
            <w:r>
              <w:rPr>
                <w:rFonts w:ascii="Times New Roman" w:hAnsi="Times New Roman"/>
                <w:sz w:val="20"/>
                <w:szCs w:val="20"/>
              </w:rPr>
              <w:t>1,249.63</w:t>
            </w:r>
          </w:p>
        </w:tc>
        <w:tc>
          <w:tcPr>
            <w:tcW w:w="1082" w:type="pct"/>
            <w:tcBorders>
              <w:top w:val="single" w:sz="4" w:space="0" w:color="000000"/>
              <w:left w:val="single" w:sz="4" w:space="0" w:color="000000"/>
              <w:bottom w:val="single" w:sz="4" w:space="0" w:color="000000"/>
              <w:right w:val="single" w:sz="4" w:space="0" w:color="000000"/>
            </w:tcBorders>
            <w:shd w:val="clear" w:color="auto" w:fill="auto"/>
          </w:tcPr>
          <w:p w14:paraId="7D827A0A" w14:textId="5405E024" w:rsidR="007C1DBA" w:rsidRPr="00712F3C" w:rsidRDefault="007C1DBA" w:rsidP="007C1DBA">
            <w:pPr>
              <w:spacing w:after="0" w:line="240" w:lineRule="auto"/>
              <w:jc w:val="center"/>
              <w:rPr>
                <w:rFonts w:ascii="Times New Roman" w:hAnsi="Times New Roman"/>
                <w:sz w:val="20"/>
                <w:szCs w:val="20"/>
              </w:rPr>
            </w:pPr>
            <w:r>
              <w:rPr>
                <w:rFonts w:ascii="Times New Roman" w:hAnsi="Times New Roman"/>
                <w:sz w:val="20"/>
                <w:szCs w:val="20"/>
              </w:rPr>
              <w:t>627.43</w:t>
            </w:r>
          </w:p>
        </w:tc>
        <w:tc>
          <w:tcPr>
            <w:tcW w:w="1088" w:type="pct"/>
            <w:tcBorders>
              <w:top w:val="single" w:sz="4" w:space="0" w:color="000000"/>
              <w:left w:val="single" w:sz="4" w:space="0" w:color="000000"/>
              <w:bottom w:val="single" w:sz="4" w:space="0" w:color="000000"/>
              <w:right w:val="single" w:sz="4" w:space="0" w:color="000000"/>
            </w:tcBorders>
            <w:shd w:val="clear" w:color="auto" w:fill="auto"/>
          </w:tcPr>
          <w:p w14:paraId="1190BF2E" w14:textId="27FD1F6E" w:rsidR="007C1DBA" w:rsidRPr="00712F3C" w:rsidRDefault="007C1DBA" w:rsidP="007C1DBA">
            <w:pPr>
              <w:spacing w:after="0" w:line="240" w:lineRule="auto"/>
              <w:jc w:val="center"/>
              <w:rPr>
                <w:rFonts w:ascii="Times New Roman" w:hAnsi="Times New Roman"/>
                <w:sz w:val="20"/>
                <w:szCs w:val="20"/>
              </w:rPr>
            </w:pPr>
            <w:r>
              <w:rPr>
                <w:rFonts w:ascii="Times New Roman" w:hAnsi="Times New Roman"/>
                <w:sz w:val="20"/>
                <w:szCs w:val="20"/>
              </w:rPr>
              <w:t>331.19</w:t>
            </w:r>
          </w:p>
        </w:tc>
      </w:tr>
    </w:tbl>
    <w:p w14:paraId="3FE19A6B" w14:textId="77777777" w:rsidR="004047F2" w:rsidRPr="00712F3C" w:rsidRDefault="004047F2" w:rsidP="004047F2">
      <w:pPr>
        <w:pStyle w:val="ListParagraph"/>
        <w:suppressAutoHyphens w:val="0"/>
        <w:autoSpaceDE/>
        <w:autoSpaceDN/>
        <w:adjustRightInd/>
        <w:spacing w:line="240" w:lineRule="auto"/>
        <w:ind w:left="360"/>
        <w:contextualSpacing/>
        <w:jc w:val="both"/>
        <w:textAlignment w:val="auto"/>
        <w:rPr>
          <w:sz w:val="20"/>
          <w:szCs w:val="20"/>
        </w:rPr>
      </w:pPr>
    </w:p>
    <w:p w14:paraId="4CEDC80C" w14:textId="77777777" w:rsidR="004047F2" w:rsidRPr="00712F3C" w:rsidRDefault="004047F2">
      <w:pPr>
        <w:pStyle w:val="ListParagraph"/>
        <w:numPr>
          <w:ilvl w:val="0"/>
          <w:numId w:val="278"/>
        </w:numPr>
        <w:tabs>
          <w:tab w:val="clear" w:pos="720"/>
          <w:tab w:val="num" w:pos="360"/>
        </w:tabs>
        <w:suppressAutoHyphens w:val="0"/>
        <w:autoSpaceDE/>
        <w:autoSpaceDN/>
        <w:adjustRightInd/>
        <w:spacing w:line="240" w:lineRule="auto"/>
        <w:ind w:left="360"/>
        <w:contextualSpacing/>
        <w:jc w:val="both"/>
        <w:textAlignment w:val="auto"/>
        <w:rPr>
          <w:sz w:val="20"/>
          <w:szCs w:val="20"/>
        </w:rPr>
      </w:pPr>
      <w:r w:rsidRPr="00712F3C">
        <w:rPr>
          <w:sz w:val="20"/>
          <w:szCs w:val="20"/>
        </w:rPr>
        <w:t>Our Company confirms that there is no material regulatory or disciplinary action by a stock exchange or regulatory authority in the past one year in respect of promoter, Group Companies, companies promoted by the promoter of the Company;</w:t>
      </w:r>
    </w:p>
    <w:p w14:paraId="592051A5" w14:textId="77777777" w:rsidR="004047F2" w:rsidRPr="00712F3C" w:rsidRDefault="004047F2" w:rsidP="004047F2">
      <w:pPr>
        <w:pStyle w:val="ListParagraph"/>
        <w:spacing w:line="240" w:lineRule="auto"/>
        <w:ind w:left="360"/>
        <w:jc w:val="both"/>
        <w:rPr>
          <w:sz w:val="20"/>
          <w:szCs w:val="20"/>
        </w:rPr>
      </w:pPr>
    </w:p>
    <w:p w14:paraId="47E90640" w14:textId="77777777" w:rsidR="004047F2" w:rsidRPr="00712F3C" w:rsidRDefault="004047F2">
      <w:pPr>
        <w:pStyle w:val="ListParagraph"/>
        <w:numPr>
          <w:ilvl w:val="0"/>
          <w:numId w:val="278"/>
        </w:numPr>
        <w:tabs>
          <w:tab w:val="clear" w:pos="720"/>
          <w:tab w:val="num" w:pos="360"/>
        </w:tabs>
        <w:suppressAutoHyphens w:val="0"/>
        <w:autoSpaceDE/>
        <w:autoSpaceDN/>
        <w:adjustRightInd/>
        <w:spacing w:line="240" w:lineRule="auto"/>
        <w:ind w:left="360"/>
        <w:contextualSpacing/>
        <w:jc w:val="both"/>
        <w:textAlignment w:val="auto"/>
        <w:rPr>
          <w:sz w:val="20"/>
          <w:szCs w:val="20"/>
        </w:rPr>
      </w:pPr>
      <w:r w:rsidRPr="00712F3C">
        <w:rPr>
          <w:sz w:val="20"/>
          <w:szCs w:val="20"/>
        </w:rPr>
        <w:t>Our Company has not been referred to the Board for Industrial and Financial Reconstruction (BIFR);</w:t>
      </w:r>
    </w:p>
    <w:p w14:paraId="51A1A0E3" w14:textId="77777777" w:rsidR="004047F2" w:rsidRPr="00712F3C" w:rsidRDefault="004047F2" w:rsidP="004047F2">
      <w:pPr>
        <w:pStyle w:val="ListParagraph"/>
        <w:spacing w:line="240" w:lineRule="auto"/>
        <w:ind w:left="360"/>
        <w:jc w:val="both"/>
        <w:rPr>
          <w:sz w:val="20"/>
          <w:szCs w:val="20"/>
        </w:rPr>
      </w:pPr>
    </w:p>
    <w:p w14:paraId="40A603EC" w14:textId="77777777" w:rsidR="004047F2" w:rsidRPr="00712F3C" w:rsidRDefault="004047F2">
      <w:pPr>
        <w:pStyle w:val="ListParagraph"/>
        <w:numPr>
          <w:ilvl w:val="0"/>
          <w:numId w:val="278"/>
        </w:numPr>
        <w:tabs>
          <w:tab w:val="clear" w:pos="720"/>
          <w:tab w:val="num" w:pos="360"/>
        </w:tabs>
        <w:suppressAutoHyphens w:val="0"/>
        <w:autoSpaceDE/>
        <w:autoSpaceDN/>
        <w:adjustRightInd/>
        <w:spacing w:line="240" w:lineRule="auto"/>
        <w:ind w:left="360"/>
        <w:contextualSpacing/>
        <w:jc w:val="both"/>
        <w:textAlignment w:val="auto"/>
        <w:rPr>
          <w:sz w:val="20"/>
          <w:szCs w:val="20"/>
        </w:rPr>
      </w:pPr>
      <w:r w:rsidRPr="00712F3C">
        <w:rPr>
          <w:sz w:val="20"/>
          <w:szCs w:val="20"/>
        </w:rPr>
        <w:t>There is no winding up petition against our Company that has been admitted by the Court or a liquidator has not been appointed of competent Jurisdiction against the Company.</w:t>
      </w:r>
    </w:p>
    <w:p w14:paraId="3BF15E4F" w14:textId="77777777" w:rsidR="004047F2" w:rsidRPr="00712F3C" w:rsidRDefault="004047F2" w:rsidP="004047F2">
      <w:pPr>
        <w:pStyle w:val="ListParagraph"/>
        <w:spacing w:line="240" w:lineRule="auto"/>
        <w:ind w:left="360"/>
        <w:jc w:val="both"/>
        <w:rPr>
          <w:sz w:val="20"/>
          <w:szCs w:val="20"/>
        </w:rPr>
      </w:pPr>
    </w:p>
    <w:p w14:paraId="35BBD3EB" w14:textId="77777777" w:rsidR="004047F2" w:rsidRPr="00712F3C" w:rsidRDefault="004047F2">
      <w:pPr>
        <w:pStyle w:val="ListParagraph"/>
        <w:numPr>
          <w:ilvl w:val="0"/>
          <w:numId w:val="278"/>
        </w:numPr>
        <w:tabs>
          <w:tab w:val="clear" w:pos="720"/>
          <w:tab w:val="num" w:pos="360"/>
        </w:tabs>
        <w:suppressAutoHyphens w:val="0"/>
        <w:autoSpaceDE/>
        <w:autoSpaceDN/>
        <w:adjustRightInd/>
        <w:spacing w:line="240" w:lineRule="auto"/>
        <w:ind w:left="360"/>
        <w:contextualSpacing/>
        <w:jc w:val="both"/>
        <w:textAlignment w:val="auto"/>
        <w:rPr>
          <w:sz w:val="20"/>
          <w:szCs w:val="20"/>
        </w:rPr>
      </w:pPr>
      <w:r w:rsidRPr="00712F3C">
        <w:rPr>
          <w:sz w:val="20"/>
          <w:szCs w:val="20"/>
        </w:rPr>
        <w:t>No material regulatory or disciplinary action by a stock exchange or regulatory authority in the past three years against the company</w:t>
      </w:r>
    </w:p>
    <w:p w14:paraId="01BDA256" w14:textId="77777777" w:rsidR="004047F2" w:rsidRPr="00712F3C" w:rsidRDefault="004047F2" w:rsidP="004047F2">
      <w:pPr>
        <w:pStyle w:val="ListParagraph"/>
        <w:spacing w:line="240" w:lineRule="auto"/>
        <w:ind w:left="360"/>
        <w:jc w:val="both"/>
        <w:rPr>
          <w:sz w:val="20"/>
          <w:szCs w:val="20"/>
        </w:rPr>
      </w:pPr>
    </w:p>
    <w:p w14:paraId="6309670D" w14:textId="77777777" w:rsidR="004047F2" w:rsidRPr="00712F3C" w:rsidRDefault="004047F2">
      <w:pPr>
        <w:pStyle w:val="ListParagraph"/>
        <w:numPr>
          <w:ilvl w:val="0"/>
          <w:numId w:val="278"/>
        </w:numPr>
        <w:tabs>
          <w:tab w:val="clear" w:pos="720"/>
          <w:tab w:val="num" w:pos="360"/>
        </w:tabs>
        <w:suppressAutoHyphens w:val="0"/>
        <w:autoSpaceDE/>
        <w:autoSpaceDN/>
        <w:adjustRightInd/>
        <w:spacing w:line="240" w:lineRule="auto"/>
        <w:ind w:left="360"/>
        <w:contextualSpacing/>
        <w:jc w:val="both"/>
        <w:textAlignment w:val="auto"/>
        <w:rPr>
          <w:sz w:val="20"/>
          <w:szCs w:val="20"/>
        </w:rPr>
      </w:pPr>
      <w:r w:rsidRPr="00712F3C">
        <w:rPr>
          <w:sz w:val="20"/>
          <w:szCs w:val="20"/>
        </w:rPr>
        <w:t>The directors of the issuer are not associated with the securities market in any manner, and there is no outstanding action against them initiated by the Board in the past five years</w:t>
      </w:r>
    </w:p>
    <w:p w14:paraId="7AC34533" w14:textId="77777777" w:rsidR="004047F2" w:rsidRPr="00712F3C" w:rsidRDefault="004047F2" w:rsidP="004047F2">
      <w:pPr>
        <w:spacing w:after="0" w:line="240" w:lineRule="auto"/>
        <w:jc w:val="both"/>
        <w:rPr>
          <w:rFonts w:ascii="Times New Roman" w:hAnsi="Times New Roman"/>
          <w:sz w:val="20"/>
          <w:szCs w:val="20"/>
        </w:rPr>
      </w:pPr>
    </w:p>
    <w:p w14:paraId="3042A074" w14:textId="77777777" w:rsidR="004047F2" w:rsidRPr="00712F3C" w:rsidRDefault="004047F2" w:rsidP="004047F2">
      <w:pPr>
        <w:spacing w:after="0" w:line="240" w:lineRule="auto"/>
        <w:jc w:val="both"/>
        <w:rPr>
          <w:rFonts w:ascii="Times New Roman" w:hAnsi="Times New Roman"/>
          <w:b/>
          <w:sz w:val="20"/>
          <w:szCs w:val="20"/>
        </w:rPr>
      </w:pPr>
      <w:r w:rsidRPr="00712F3C">
        <w:rPr>
          <w:rFonts w:ascii="Times New Roman" w:hAnsi="Times New Roman"/>
          <w:b/>
          <w:sz w:val="20"/>
          <w:szCs w:val="20"/>
        </w:rPr>
        <w:t>DISCLAIMER CLAUSE OF SEBI</w:t>
      </w:r>
    </w:p>
    <w:p w14:paraId="07123D6A" w14:textId="77777777" w:rsidR="004047F2" w:rsidRPr="00712F3C" w:rsidRDefault="004047F2" w:rsidP="004047F2">
      <w:pPr>
        <w:spacing w:after="0" w:line="240" w:lineRule="auto"/>
        <w:jc w:val="both"/>
        <w:rPr>
          <w:rFonts w:ascii="Times New Roman" w:hAnsi="Times New Roman"/>
          <w:b/>
          <w:sz w:val="20"/>
          <w:szCs w:val="20"/>
        </w:rPr>
      </w:pPr>
    </w:p>
    <w:p w14:paraId="61CAB29E" w14:textId="77777777" w:rsidR="004047F2" w:rsidRPr="00712F3C" w:rsidRDefault="004047F2" w:rsidP="004047F2">
      <w:pPr>
        <w:spacing w:after="0" w:line="240" w:lineRule="auto"/>
        <w:jc w:val="both"/>
        <w:rPr>
          <w:rFonts w:ascii="Times New Roman" w:hAnsi="Times New Roman"/>
          <w:b/>
          <w:sz w:val="20"/>
          <w:szCs w:val="20"/>
        </w:rPr>
      </w:pPr>
      <w:r w:rsidRPr="00712F3C">
        <w:rPr>
          <w:rFonts w:ascii="Times New Roman" w:hAnsi="Times New Roman"/>
          <w:b/>
          <w:sz w:val="20"/>
          <w:szCs w:val="20"/>
        </w:rPr>
        <w:t>IT IS TO BE DISTINCTLY UNDERSTOOD THAT SUBMISSION OF DRAFT OFFER DOCUMENT/ OFFER DOCUMENT TO THE SECURITIES AND EXCHANGE BOARD OF INDIA (SEBI) SHOULD NOT IN ANY WAY BE DEEMED OR CONSTRUED THAT THE SAME HAS BEEN CLEARED OR APPROVED BY SEBI. SEBI DOES NOT TAKE ANY RESPONSIBILITY EITHER FOR THE FINANCIAL SOUNDNESS OF ANY SCHEME OR THE PROJECT FOR WHICH THE OFFER IS PROPOSED TO BE MADE OR FOR THE CORRECTNESS OF THE STATEMENTS MADE OR OPINIONS EXPRESSED IN THE DRAFT OFFER DOCUMENT/ OFFER DOCUMENT. THE BOOK RUNNING</w:t>
      </w:r>
      <w:r w:rsidRPr="00712F3C">
        <w:rPr>
          <w:rFonts w:ascii="Times New Roman" w:hAnsi="Times New Roman"/>
          <w:sz w:val="20"/>
          <w:szCs w:val="20"/>
        </w:rPr>
        <w:t xml:space="preserve"> </w:t>
      </w:r>
      <w:r w:rsidRPr="00712F3C">
        <w:rPr>
          <w:rFonts w:ascii="Times New Roman" w:hAnsi="Times New Roman"/>
          <w:b/>
          <w:sz w:val="20"/>
          <w:szCs w:val="20"/>
        </w:rPr>
        <w:t>LEAD MANAGER, HEM SECURITIES LIMITED HAS CERTIFIED THAT THE DISCLOSURES MADE IN THE DRAFT OFFER DOCUMENT/ OFFER DOCUMENT ARE GENERALLY ADEQUATE AND ARE IN CONFORMITY WITH THE SEBI (ISSUE OF CAPITAL AND DISCLOSURE REQUIREMENTS) REGULATIONS, 2018 IN FORCE FOR THE TIME BEING. THIS REQUIREMENT IS TO FACILITATE INVESTORS TO TAKE AN INFORMED DECISION FOR MAKING INVESTMENT IN THE PROPOSED ISSUE.</w:t>
      </w:r>
    </w:p>
    <w:p w14:paraId="3833508F" w14:textId="77777777" w:rsidR="004047F2" w:rsidRPr="00712F3C" w:rsidRDefault="004047F2" w:rsidP="004047F2">
      <w:pPr>
        <w:spacing w:after="0" w:line="240" w:lineRule="auto"/>
        <w:jc w:val="both"/>
        <w:rPr>
          <w:rFonts w:ascii="Times New Roman" w:hAnsi="Times New Roman"/>
          <w:b/>
          <w:sz w:val="20"/>
          <w:szCs w:val="20"/>
        </w:rPr>
      </w:pPr>
    </w:p>
    <w:p w14:paraId="23A64CC7" w14:textId="0B610692" w:rsidR="004047F2" w:rsidRPr="00712F3C" w:rsidRDefault="004047F2" w:rsidP="004047F2">
      <w:pPr>
        <w:spacing w:after="0" w:line="240" w:lineRule="auto"/>
        <w:jc w:val="both"/>
        <w:rPr>
          <w:rFonts w:ascii="Times New Roman" w:hAnsi="Times New Roman"/>
          <w:b/>
          <w:sz w:val="20"/>
          <w:szCs w:val="20"/>
        </w:rPr>
      </w:pPr>
      <w:r w:rsidRPr="00712F3C">
        <w:rPr>
          <w:rFonts w:ascii="Times New Roman" w:hAnsi="Times New Roman"/>
          <w:b/>
          <w:sz w:val="20"/>
          <w:szCs w:val="20"/>
        </w:rPr>
        <w:t>IT SHOULD ALSO BE CLEARLY UNDERSTOOD THAT WHILE THE ISSUER IS PRIMARILY RESPONSIBLE FOR THE CORRECTNESS, ADEQUACY AND DISCLOSURE OF ALL RELEVANT INFORMATION IN THE DRAFT OFFER DOCUMENT/ OFFER DOCUMENT, THE BOOK RUNNING</w:t>
      </w:r>
      <w:r w:rsidRPr="00712F3C">
        <w:rPr>
          <w:rFonts w:ascii="Times New Roman" w:hAnsi="Times New Roman"/>
          <w:sz w:val="20"/>
          <w:szCs w:val="20"/>
        </w:rPr>
        <w:t xml:space="preserve"> </w:t>
      </w:r>
      <w:r w:rsidRPr="00712F3C">
        <w:rPr>
          <w:rFonts w:ascii="Times New Roman" w:hAnsi="Times New Roman"/>
          <w:b/>
          <w:sz w:val="20"/>
          <w:szCs w:val="20"/>
        </w:rPr>
        <w:t xml:space="preserve">LEAD MANAGER, HEM SECURITIES LIMITED IS EXPECTED TO EXERCISE DUE DILIGENCE TO ENSURE </w:t>
      </w:r>
      <w:r>
        <w:rPr>
          <w:rFonts w:ascii="Times New Roman" w:hAnsi="Times New Roman"/>
          <w:b/>
          <w:sz w:val="20"/>
          <w:szCs w:val="20"/>
        </w:rPr>
        <w:t xml:space="preserve">THAT THE ISSUER DISCHARGES ITS </w:t>
      </w:r>
      <w:r w:rsidRPr="00712F3C">
        <w:rPr>
          <w:rFonts w:ascii="Times New Roman" w:hAnsi="Times New Roman"/>
          <w:b/>
          <w:sz w:val="20"/>
          <w:szCs w:val="20"/>
        </w:rPr>
        <w:t>RESPONSIBILITY ADEQUATELY IN THIS BEHALF AND TOWARDS THIS PURPOSE, THE BOOK RUNNING</w:t>
      </w:r>
      <w:r w:rsidRPr="00712F3C">
        <w:rPr>
          <w:rFonts w:ascii="Times New Roman" w:hAnsi="Times New Roman"/>
          <w:sz w:val="20"/>
          <w:szCs w:val="20"/>
        </w:rPr>
        <w:t xml:space="preserve"> </w:t>
      </w:r>
      <w:r w:rsidRPr="00712F3C">
        <w:rPr>
          <w:rFonts w:ascii="Times New Roman" w:hAnsi="Times New Roman"/>
          <w:b/>
          <w:sz w:val="20"/>
          <w:szCs w:val="20"/>
        </w:rPr>
        <w:t>LEAD MANAGER, HEM SECURITIES LIMITED, HAS FURNISHED TO SEBI A DUE DILIGENCE CERTIFICATE DATE</w:t>
      </w:r>
      <w:r w:rsidRPr="007C1DBA">
        <w:rPr>
          <w:rFonts w:ascii="Times New Roman" w:hAnsi="Times New Roman"/>
          <w:b/>
          <w:sz w:val="20"/>
          <w:szCs w:val="20"/>
          <w:highlight w:val="yellow"/>
        </w:rPr>
        <w:t xml:space="preserve">D </w:t>
      </w:r>
      <w:r w:rsidR="000B2756">
        <w:rPr>
          <w:rFonts w:ascii="Times New Roman" w:hAnsi="Times New Roman"/>
          <w:b/>
          <w:sz w:val="20"/>
          <w:szCs w:val="20"/>
          <w:highlight w:val="yellow"/>
        </w:rPr>
        <w:t>SEPTEMBER 23</w:t>
      </w:r>
      <w:r w:rsidRPr="007C1DBA">
        <w:rPr>
          <w:rFonts w:ascii="Times New Roman" w:hAnsi="Times New Roman"/>
          <w:b/>
          <w:sz w:val="20"/>
          <w:szCs w:val="20"/>
          <w:highlight w:val="yellow"/>
        </w:rPr>
        <w:t>, 2023</w:t>
      </w:r>
      <w:r w:rsidRPr="00712F3C">
        <w:rPr>
          <w:rFonts w:ascii="Times New Roman" w:hAnsi="Times New Roman"/>
          <w:b/>
          <w:sz w:val="20"/>
          <w:szCs w:val="20"/>
        </w:rPr>
        <w:t xml:space="preserve"> IN THE FORMAT PRESCRIBED UNDER SCHEDULE V(A)OF THE SEBI (ISSUE OF CAPITAL AND DISCLOSURE REQUIREMENTS) REGULATIONS, 2018.</w:t>
      </w:r>
    </w:p>
    <w:p w14:paraId="3DDC2511" w14:textId="77777777" w:rsidR="004047F2" w:rsidRPr="00712F3C" w:rsidRDefault="004047F2" w:rsidP="004047F2">
      <w:pPr>
        <w:spacing w:after="0" w:line="240" w:lineRule="auto"/>
        <w:jc w:val="both"/>
        <w:rPr>
          <w:rFonts w:ascii="Times New Roman" w:hAnsi="Times New Roman"/>
          <w:sz w:val="20"/>
          <w:szCs w:val="20"/>
        </w:rPr>
      </w:pPr>
    </w:p>
    <w:p w14:paraId="4186CE8C" w14:textId="77777777" w:rsidR="004047F2" w:rsidRPr="00712F3C" w:rsidRDefault="004047F2" w:rsidP="004047F2">
      <w:pPr>
        <w:spacing w:after="0" w:line="240" w:lineRule="auto"/>
        <w:jc w:val="both"/>
        <w:rPr>
          <w:rFonts w:ascii="Times New Roman" w:hAnsi="Times New Roman"/>
          <w:b/>
          <w:sz w:val="20"/>
          <w:szCs w:val="20"/>
        </w:rPr>
      </w:pPr>
      <w:r w:rsidRPr="00712F3C">
        <w:rPr>
          <w:rFonts w:ascii="Times New Roman" w:hAnsi="Times New Roman"/>
          <w:b/>
          <w:sz w:val="20"/>
          <w:szCs w:val="20"/>
        </w:rPr>
        <w:t>THE FILING OF THIS DRAFT OFFER DOCUMENT/ OFFER DOCUMENT DOES NOT, HOWEVER, ABSOLVE OUR COMPANY FROM ANY LIABILITIES UNDER THE COMPANIES ACT, 2013 OR FROM THE REQUIREMENT OF OBTAINING SUCH STATUTORY AND/ OR OTHER CLEARANCES AS MAY BE REQUIRED FOR THE PURPOSE OF THE PROPOSED ISSUE. SEBI FURTHER RESERVES THE RIGHT TO TAKE UP AT ANY POINT OF TIME, WITH THE BOOK RUNNING</w:t>
      </w:r>
      <w:r w:rsidRPr="00712F3C">
        <w:rPr>
          <w:rFonts w:ascii="Times New Roman" w:hAnsi="Times New Roman"/>
          <w:sz w:val="20"/>
          <w:szCs w:val="20"/>
        </w:rPr>
        <w:t xml:space="preserve"> </w:t>
      </w:r>
      <w:r w:rsidRPr="00712F3C">
        <w:rPr>
          <w:rFonts w:ascii="Times New Roman" w:hAnsi="Times New Roman"/>
          <w:b/>
          <w:sz w:val="20"/>
          <w:szCs w:val="20"/>
        </w:rPr>
        <w:t>LEAD MANAGER ANY IRREGULARITIES OR LAPSES IN THE DRAFT OFFER DOCUMENT/ OFFER DOCUMENT.</w:t>
      </w:r>
    </w:p>
    <w:p w14:paraId="6BAEB4BD" w14:textId="77777777" w:rsidR="004047F2" w:rsidRPr="00712F3C" w:rsidRDefault="004047F2" w:rsidP="004047F2">
      <w:pPr>
        <w:spacing w:after="0" w:line="240" w:lineRule="auto"/>
        <w:jc w:val="both"/>
        <w:rPr>
          <w:rFonts w:ascii="Times New Roman" w:hAnsi="Times New Roman"/>
          <w:sz w:val="20"/>
          <w:szCs w:val="20"/>
        </w:rPr>
      </w:pPr>
    </w:p>
    <w:p w14:paraId="2858955F"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All legal requirements pertaining to the Issue will be complied with at the time of registration of the Draft Red Herring Prospectus with the Registrar of Companies, Ahmedabad in terms of sections 26 and 33 of the Companies Act, 2013.</w:t>
      </w:r>
    </w:p>
    <w:p w14:paraId="696727C3" w14:textId="77777777" w:rsidR="004047F2" w:rsidRPr="00712F3C" w:rsidRDefault="004047F2" w:rsidP="004047F2">
      <w:pPr>
        <w:spacing w:after="0" w:line="240" w:lineRule="auto"/>
        <w:contextualSpacing/>
        <w:jc w:val="both"/>
        <w:rPr>
          <w:rFonts w:ascii="Times New Roman" w:hAnsi="Times New Roman"/>
          <w:b/>
          <w:bCs/>
          <w:color w:val="000000"/>
          <w:sz w:val="20"/>
          <w:szCs w:val="20"/>
        </w:rPr>
      </w:pPr>
    </w:p>
    <w:p w14:paraId="356D6445" w14:textId="77777777" w:rsidR="004047F2" w:rsidRPr="00712F3C" w:rsidRDefault="004047F2" w:rsidP="004047F2">
      <w:pPr>
        <w:spacing w:after="0" w:line="240" w:lineRule="auto"/>
        <w:contextualSpacing/>
        <w:jc w:val="both"/>
        <w:rPr>
          <w:rFonts w:ascii="Times New Roman" w:hAnsi="Times New Roman"/>
          <w:b/>
          <w:bCs/>
          <w:color w:val="000000"/>
          <w:sz w:val="20"/>
          <w:szCs w:val="20"/>
        </w:rPr>
      </w:pPr>
      <w:r w:rsidRPr="00712F3C">
        <w:rPr>
          <w:rFonts w:ascii="Times New Roman" w:hAnsi="Times New Roman"/>
          <w:b/>
          <w:bCs/>
          <w:color w:val="000000"/>
          <w:sz w:val="20"/>
          <w:szCs w:val="20"/>
        </w:rPr>
        <w:t>Statement on Price Information of Past Issues handled by Hem Securities Limited:</w:t>
      </w:r>
    </w:p>
    <w:p w14:paraId="40AC6B48" w14:textId="77777777" w:rsidR="004047F2" w:rsidRPr="00712F3C" w:rsidRDefault="004047F2" w:rsidP="004047F2">
      <w:pPr>
        <w:spacing w:after="0" w:line="240" w:lineRule="auto"/>
        <w:contextualSpacing/>
        <w:jc w:val="both"/>
        <w:rPr>
          <w:rFonts w:ascii="Times New Roman" w:hAnsi="Times New Roman"/>
          <w:b/>
          <w:bCs/>
          <w:color w:val="000000"/>
          <w:sz w:val="20"/>
          <w:szCs w:val="20"/>
        </w:rPr>
      </w:pPr>
    </w:p>
    <w:tbl>
      <w:tblPr>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58"/>
        <w:gridCol w:w="1419"/>
        <w:gridCol w:w="800"/>
        <w:gridCol w:w="1027"/>
        <w:gridCol w:w="1331"/>
        <w:gridCol w:w="1210"/>
        <w:gridCol w:w="1450"/>
        <w:gridCol w:w="1450"/>
        <w:gridCol w:w="1171"/>
      </w:tblGrid>
      <w:tr w:rsidR="007C1DBA" w:rsidRPr="00F83A3C" w14:paraId="40A63C8E" w14:textId="77777777" w:rsidTr="00250DAC">
        <w:trPr>
          <w:trHeight w:val="1898"/>
        </w:trPr>
        <w:tc>
          <w:tcPr>
            <w:tcW w:w="268" w:type="pct"/>
            <w:shd w:val="clear" w:color="auto" w:fill="D0CECE"/>
            <w:tcMar>
              <w:top w:w="0" w:type="dxa"/>
              <w:left w:w="108" w:type="dxa"/>
              <w:bottom w:w="0" w:type="dxa"/>
              <w:right w:w="108" w:type="dxa"/>
            </w:tcMar>
          </w:tcPr>
          <w:p w14:paraId="5362951B" w14:textId="77777777" w:rsidR="007C1DBA" w:rsidRPr="00F83A3C" w:rsidRDefault="007C1DBA" w:rsidP="00250DAC">
            <w:pPr>
              <w:spacing w:after="0" w:line="240" w:lineRule="auto"/>
              <w:jc w:val="both"/>
              <w:rPr>
                <w:rFonts w:ascii="Times New Roman" w:hAnsi="Times New Roman"/>
                <w:b/>
                <w:bCs/>
                <w:sz w:val="20"/>
                <w:szCs w:val="20"/>
              </w:rPr>
            </w:pPr>
            <w:r w:rsidRPr="00F83A3C">
              <w:rPr>
                <w:rFonts w:ascii="Times New Roman" w:hAnsi="Times New Roman"/>
                <w:b/>
                <w:bCs/>
                <w:sz w:val="20"/>
                <w:szCs w:val="20"/>
              </w:rPr>
              <w:lastRenderedPageBreak/>
              <w:t>Sr. No.</w:t>
            </w:r>
          </w:p>
        </w:tc>
        <w:tc>
          <w:tcPr>
            <w:tcW w:w="681" w:type="pct"/>
            <w:shd w:val="clear" w:color="auto" w:fill="D0CECE"/>
            <w:tcMar>
              <w:top w:w="0" w:type="dxa"/>
              <w:left w:w="108" w:type="dxa"/>
              <w:bottom w:w="0" w:type="dxa"/>
              <w:right w:w="108" w:type="dxa"/>
            </w:tcMar>
            <w:hideMark/>
          </w:tcPr>
          <w:p w14:paraId="07FEFE1C" w14:textId="77777777" w:rsidR="007C1DBA" w:rsidRPr="00F83A3C" w:rsidRDefault="007C1DBA" w:rsidP="00250DAC">
            <w:pPr>
              <w:spacing w:after="0" w:line="240" w:lineRule="auto"/>
              <w:jc w:val="both"/>
              <w:rPr>
                <w:rFonts w:ascii="Times New Roman" w:hAnsi="Times New Roman"/>
                <w:b/>
                <w:bCs/>
                <w:sz w:val="20"/>
                <w:szCs w:val="20"/>
              </w:rPr>
            </w:pPr>
            <w:r w:rsidRPr="00F83A3C">
              <w:rPr>
                <w:rFonts w:ascii="Times New Roman" w:hAnsi="Times New Roman"/>
                <w:b/>
                <w:bCs/>
                <w:sz w:val="20"/>
                <w:szCs w:val="20"/>
              </w:rPr>
              <w:t>Issue name</w:t>
            </w:r>
          </w:p>
        </w:tc>
        <w:tc>
          <w:tcPr>
            <w:tcW w:w="384" w:type="pct"/>
            <w:shd w:val="clear" w:color="auto" w:fill="D0CECE"/>
            <w:tcMar>
              <w:top w:w="0" w:type="dxa"/>
              <w:left w:w="108" w:type="dxa"/>
              <w:bottom w:w="0" w:type="dxa"/>
              <w:right w:w="108" w:type="dxa"/>
            </w:tcMar>
            <w:hideMark/>
          </w:tcPr>
          <w:p w14:paraId="5C672EB8" w14:textId="77777777" w:rsidR="007C1DBA" w:rsidRPr="00F83A3C" w:rsidRDefault="007C1DBA" w:rsidP="00250DAC">
            <w:pPr>
              <w:spacing w:after="0" w:line="240" w:lineRule="auto"/>
              <w:jc w:val="both"/>
              <w:rPr>
                <w:rFonts w:ascii="Times New Roman" w:hAnsi="Times New Roman"/>
                <w:b/>
                <w:bCs/>
                <w:sz w:val="20"/>
                <w:szCs w:val="20"/>
              </w:rPr>
            </w:pPr>
            <w:r w:rsidRPr="00F83A3C">
              <w:rPr>
                <w:rFonts w:ascii="Times New Roman" w:hAnsi="Times New Roman"/>
                <w:b/>
                <w:bCs/>
                <w:sz w:val="20"/>
                <w:szCs w:val="20"/>
              </w:rPr>
              <w:t>Issue size (</w:t>
            </w:r>
            <w:r w:rsidRPr="00F83A3C">
              <w:rPr>
                <w:rFonts w:ascii="Times New Roman" w:hAnsi="Times New Roman"/>
                <w:sz w:val="20"/>
                <w:szCs w:val="20"/>
              </w:rPr>
              <w:t xml:space="preserve">₹ </w:t>
            </w:r>
            <w:r w:rsidRPr="00F83A3C">
              <w:rPr>
                <w:rFonts w:ascii="Times New Roman" w:hAnsi="Times New Roman"/>
                <w:b/>
                <w:bCs/>
                <w:sz w:val="20"/>
                <w:szCs w:val="20"/>
              </w:rPr>
              <w:t>in Cr.)</w:t>
            </w:r>
          </w:p>
        </w:tc>
        <w:tc>
          <w:tcPr>
            <w:tcW w:w="493" w:type="pct"/>
            <w:shd w:val="clear" w:color="auto" w:fill="D0CECE"/>
            <w:tcMar>
              <w:top w:w="0" w:type="dxa"/>
              <w:left w:w="108" w:type="dxa"/>
              <w:bottom w:w="0" w:type="dxa"/>
              <w:right w:w="108" w:type="dxa"/>
            </w:tcMar>
            <w:hideMark/>
          </w:tcPr>
          <w:p w14:paraId="7D782BAC" w14:textId="77777777" w:rsidR="007C1DBA" w:rsidRPr="00F83A3C" w:rsidRDefault="007C1DBA" w:rsidP="00250DAC">
            <w:pPr>
              <w:spacing w:after="0" w:line="240" w:lineRule="auto"/>
              <w:jc w:val="both"/>
              <w:rPr>
                <w:rFonts w:ascii="Times New Roman" w:hAnsi="Times New Roman"/>
                <w:b/>
                <w:bCs/>
                <w:sz w:val="20"/>
                <w:szCs w:val="20"/>
              </w:rPr>
            </w:pPr>
            <w:r w:rsidRPr="00F83A3C">
              <w:rPr>
                <w:rFonts w:ascii="Times New Roman" w:hAnsi="Times New Roman"/>
                <w:b/>
                <w:bCs/>
                <w:sz w:val="20"/>
                <w:szCs w:val="20"/>
              </w:rPr>
              <w:t>Issue Price (</w:t>
            </w:r>
            <w:r w:rsidRPr="00F83A3C">
              <w:rPr>
                <w:rFonts w:ascii="Times New Roman" w:hAnsi="Times New Roman"/>
                <w:sz w:val="20"/>
                <w:szCs w:val="20"/>
              </w:rPr>
              <w:t>₹</w:t>
            </w:r>
            <w:r w:rsidRPr="00F83A3C">
              <w:rPr>
                <w:rFonts w:ascii="Times New Roman" w:hAnsi="Times New Roman"/>
                <w:b/>
                <w:bCs/>
                <w:sz w:val="20"/>
                <w:szCs w:val="20"/>
              </w:rPr>
              <w:t>)</w:t>
            </w:r>
          </w:p>
        </w:tc>
        <w:tc>
          <w:tcPr>
            <w:tcW w:w="639" w:type="pct"/>
            <w:shd w:val="clear" w:color="auto" w:fill="D0CECE"/>
            <w:tcMar>
              <w:top w:w="0" w:type="dxa"/>
              <w:left w:w="108" w:type="dxa"/>
              <w:bottom w:w="0" w:type="dxa"/>
              <w:right w:w="108" w:type="dxa"/>
            </w:tcMar>
            <w:hideMark/>
          </w:tcPr>
          <w:p w14:paraId="063055BB" w14:textId="77777777" w:rsidR="007C1DBA" w:rsidRPr="00F83A3C" w:rsidRDefault="007C1DBA" w:rsidP="00250DAC">
            <w:pPr>
              <w:spacing w:after="0" w:line="240" w:lineRule="auto"/>
              <w:jc w:val="both"/>
              <w:rPr>
                <w:rFonts w:ascii="Times New Roman" w:hAnsi="Times New Roman"/>
                <w:b/>
                <w:bCs/>
                <w:sz w:val="20"/>
                <w:szCs w:val="20"/>
              </w:rPr>
            </w:pPr>
            <w:r w:rsidRPr="00F83A3C">
              <w:rPr>
                <w:rFonts w:ascii="Times New Roman" w:hAnsi="Times New Roman"/>
                <w:b/>
                <w:bCs/>
                <w:sz w:val="20"/>
                <w:szCs w:val="20"/>
              </w:rPr>
              <w:t>Listing date</w:t>
            </w:r>
          </w:p>
        </w:tc>
        <w:tc>
          <w:tcPr>
            <w:tcW w:w="581" w:type="pct"/>
            <w:shd w:val="clear" w:color="auto" w:fill="D0CECE"/>
            <w:tcMar>
              <w:top w:w="0" w:type="dxa"/>
              <w:left w:w="108" w:type="dxa"/>
              <w:bottom w:w="0" w:type="dxa"/>
              <w:right w:w="108" w:type="dxa"/>
            </w:tcMar>
            <w:hideMark/>
          </w:tcPr>
          <w:p w14:paraId="07559E4F" w14:textId="77777777" w:rsidR="007C1DBA" w:rsidRPr="00F83A3C" w:rsidRDefault="007C1DBA" w:rsidP="00250DAC">
            <w:pPr>
              <w:spacing w:after="0" w:line="240" w:lineRule="auto"/>
              <w:jc w:val="both"/>
              <w:rPr>
                <w:rFonts w:ascii="Times New Roman" w:hAnsi="Times New Roman"/>
                <w:b/>
                <w:bCs/>
                <w:sz w:val="20"/>
                <w:szCs w:val="20"/>
              </w:rPr>
            </w:pPr>
            <w:r w:rsidRPr="00F83A3C">
              <w:rPr>
                <w:rFonts w:ascii="Times New Roman" w:hAnsi="Times New Roman"/>
                <w:b/>
                <w:bCs/>
                <w:sz w:val="20"/>
                <w:szCs w:val="20"/>
              </w:rPr>
              <w:t>Opening Price on listing date</w:t>
            </w:r>
          </w:p>
        </w:tc>
        <w:tc>
          <w:tcPr>
            <w:tcW w:w="696" w:type="pct"/>
            <w:shd w:val="clear" w:color="auto" w:fill="D0CECE"/>
            <w:tcMar>
              <w:top w:w="0" w:type="dxa"/>
              <w:left w:w="108" w:type="dxa"/>
              <w:bottom w:w="0" w:type="dxa"/>
              <w:right w:w="108" w:type="dxa"/>
            </w:tcMar>
            <w:hideMark/>
          </w:tcPr>
          <w:p w14:paraId="7AA6F917" w14:textId="77777777" w:rsidR="007C1DBA" w:rsidRPr="00F83A3C" w:rsidRDefault="007C1DBA" w:rsidP="00250DAC">
            <w:pPr>
              <w:spacing w:after="0" w:line="240" w:lineRule="auto"/>
              <w:jc w:val="both"/>
              <w:rPr>
                <w:rFonts w:ascii="Times New Roman" w:hAnsi="Times New Roman"/>
                <w:b/>
                <w:bCs/>
                <w:sz w:val="20"/>
                <w:szCs w:val="20"/>
              </w:rPr>
            </w:pPr>
            <w:r w:rsidRPr="00F83A3C">
              <w:rPr>
                <w:rFonts w:ascii="Times New Roman" w:hAnsi="Times New Roman"/>
                <w:b/>
                <w:bCs/>
                <w:sz w:val="20"/>
                <w:szCs w:val="20"/>
              </w:rPr>
              <w:t>+/-% change in closing price, [+/- % change in closing benchmark]- 30</w:t>
            </w:r>
            <w:r w:rsidRPr="00F83A3C">
              <w:rPr>
                <w:rFonts w:ascii="Times New Roman" w:hAnsi="Times New Roman"/>
                <w:b/>
                <w:bCs/>
                <w:sz w:val="20"/>
                <w:szCs w:val="20"/>
                <w:vertAlign w:val="superscript"/>
              </w:rPr>
              <w:t>th</w:t>
            </w:r>
            <w:r w:rsidRPr="00F83A3C">
              <w:rPr>
                <w:rFonts w:ascii="Times New Roman" w:hAnsi="Times New Roman"/>
                <w:b/>
                <w:bCs/>
                <w:sz w:val="20"/>
                <w:szCs w:val="20"/>
              </w:rPr>
              <w:t xml:space="preserve"> calendar days from listing</w:t>
            </w:r>
          </w:p>
        </w:tc>
        <w:tc>
          <w:tcPr>
            <w:tcW w:w="696" w:type="pct"/>
            <w:shd w:val="clear" w:color="auto" w:fill="D0CECE"/>
            <w:tcMar>
              <w:top w:w="0" w:type="dxa"/>
              <w:left w:w="108" w:type="dxa"/>
              <w:bottom w:w="0" w:type="dxa"/>
              <w:right w:w="108" w:type="dxa"/>
            </w:tcMar>
            <w:hideMark/>
          </w:tcPr>
          <w:p w14:paraId="72AED0A1" w14:textId="77777777" w:rsidR="007C1DBA" w:rsidRPr="00F83A3C" w:rsidRDefault="007C1DBA" w:rsidP="00250DAC">
            <w:pPr>
              <w:spacing w:after="0" w:line="240" w:lineRule="auto"/>
              <w:jc w:val="both"/>
              <w:rPr>
                <w:rFonts w:ascii="Times New Roman" w:hAnsi="Times New Roman"/>
                <w:b/>
                <w:bCs/>
                <w:sz w:val="20"/>
                <w:szCs w:val="20"/>
              </w:rPr>
            </w:pPr>
            <w:r w:rsidRPr="00F83A3C">
              <w:rPr>
                <w:rFonts w:ascii="Times New Roman" w:hAnsi="Times New Roman"/>
                <w:b/>
                <w:bCs/>
                <w:sz w:val="20"/>
                <w:szCs w:val="20"/>
              </w:rPr>
              <w:t>+/- % change in closing price, [+/- % change in closing benchmark]- 90</w:t>
            </w:r>
            <w:r w:rsidRPr="00F83A3C">
              <w:rPr>
                <w:rFonts w:ascii="Times New Roman" w:hAnsi="Times New Roman"/>
                <w:b/>
                <w:bCs/>
                <w:sz w:val="20"/>
                <w:szCs w:val="20"/>
                <w:vertAlign w:val="superscript"/>
              </w:rPr>
              <w:t>th</w:t>
            </w:r>
            <w:r w:rsidRPr="00F83A3C">
              <w:rPr>
                <w:rFonts w:ascii="Times New Roman" w:hAnsi="Times New Roman"/>
                <w:b/>
                <w:bCs/>
                <w:sz w:val="20"/>
                <w:szCs w:val="20"/>
              </w:rPr>
              <w:t xml:space="preserve"> calendar days from listing</w:t>
            </w:r>
          </w:p>
        </w:tc>
        <w:tc>
          <w:tcPr>
            <w:tcW w:w="562" w:type="pct"/>
            <w:shd w:val="clear" w:color="auto" w:fill="D0CECE"/>
            <w:tcMar>
              <w:top w:w="0" w:type="dxa"/>
              <w:left w:w="108" w:type="dxa"/>
              <w:bottom w:w="0" w:type="dxa"/>
              <w:right w:w="108" w:type="dxa"/>
            </w:tcMar>
            <w:hideMark/>
          </w:tcPr>
          <w:p w14:paraId="37869245" w14:textId="77777777" w:rsidR="007C1DBA" w:rsidRPr="00F83A3C" w:rsidRDefault="007C1DBA" w:rsidP="00250DAC">
            <w:pPr>
              <w:spacing w:after="0" w:line="240" w:lineRule="auto"/>
              <w:jc w:val="both"/>
              <w:rPr>
                <w:rFonts w:ascii="Times New Roman" w:hAnsi="Times New Roman"/>
                <w:b/>
                <w:bCs/>
                <w:sz w:val="20"/>
                <w:szCs w:val="20"/>
              </w:rPr>
            </w:pPr>
            <w:r w:rsidRPr="00F83A3C">
              <w:rPr>
                <w:rFonts w:ascii="Times New Roman" w:hAnsi="Times New Roman"/>
                <w:b/>
                <w:bCs/>
                <w:sz w:val="20"/>
                <w:szCs w:val="20"/>
              </w:rPr>
              <w:t>+/- % change in closing price, [+/- % change in closing benchmark]- 180</w:t>
            </w:r>
            <w:r w:rsidRPr="00F83A3C">
              <w:rPr>
                <w:rFonts w:ascii="Times New Roman" w:hAnsi="Times New Roman"/>
                <w:b/>
                <w:bCs/>
                <w:sz w:val="20"/>
                <w:szCs w:val="20"/>
                <w:vertAlign w:val="superscript"/>
              </w:rPr>
              <w:t>th</w:t>
            </w:r>
            <w:r w:rsidRPr="00F83A3C">
              <w:rPr>
                <w:rFonts w:ascii="Times New Roman" w:hAnsi="Times New Roman"/>
                <w:b/>
                <w:bCs/>
                <w:sz w:val="20"/>
                <w:szCs w:val="20"/>
              </w:rPr>
              <w:t xml:space="preserve"> calendar days from listing</w:t>
            </w:r>
          </w:p>
        </w:tc>
      </w:tr>
      <w:tr w:rsidR="007C1DBA" w:rsidRPr="00F83A3C" w14:paraId="1E21A668" w14:textId="77777777" w:rsidTr="00250DAC">
        <w:trPr>
          <w:trHeight w:val="20"/>
        </w:trPr>
        <w:tc>
          <w:tcPr>
            <w:tcW w:w="268" w:type="pct"/>
            <w:shd w:val="clear" w:color="auto" w:fill="auto"/>
            <w:tcMar>
              <w:top w:w="0" w:type="dxa"/>
              <w:left w:w="108" w:type="dxa"/>
              <w:bottom w:w="0" w:type="dxa"/>
              <w:right w:w="108" w:type="dxa"/>
            </w:tcMar>
            <w:vAlign w:val="center"/>
          </w:tcPr>
          <w:p w14:paraId="446DE51C" w14:textId="77777777" w:rsidR="007C1DBA" w:rsidRPr="00E042AE" w:rsidRDefault="007C1DBA">
            <w:pPr>
              <w:pStyle w:val="ListParagraph"/>
              <w:numPr>
                <w:ilvl w:val="0"/>
                <w:numId w:val="342"/>
              </w:numPr>
              <w:spacing w:line="240" w:lineRule="auto"/>
              <w:ind w:left="267"/>
              <w:jc w:val="right"/>
              <w:rPr>
                <w:sz w:val="20"/>
                <w:szCs w:val="20"/>
              </w:rPr>
            </w:pPr>
          </w:p>
        </w:tc>
        <w:tc>
          <w:tcPr>
            <w:tcW w:w="681" w:type="pct"/>
            <w:shd w:val="clear" w:color="auto" w:fill="auto"/>
            <w:tcMar>
              <w:top w:w="0" w:type="dxa"/>
              <w:left w:w="108" w:type="dxa"/>
              <w:bottom w:w="0" w:type="dxa"/>
              <w:right w:w="108" w:type="dxa"/>
            </w:tcMar>
          </w:tcPr>
          <w:p w14:paraId="46FB2EA0" w14:textId="77777777" w:rsidR="007C1DBA" w:rsidRPr="00F83A3C" w:rsidRDefault="007C1DBA" w:rsidP="00250DAC">
            <w:pPr>
              <w:spacing w:after="0" w:line="240" w:lineRule="auto"/>
              <w:jc w:val="both"/>
              <w:rPr>
                <w:rFonts w:ascii="Times New Roman" w:hAnsi="Times New Roman"/>
                <w:sz w:val="20"/>
                <w:szCs w:val="20"/>
              </w:rPr>
            </w:pPr>
            <w:r w:rsidRPr="00F83A3C">
              <w:rPr>
                <w:rFonts w:ascii="Times New Roman" w:hAnsi="Times New Roman"/>
                <w:sz w:val="20"/>
                <w:szCs w:val="20"/>
              </w:rPr>
              <w:t>Earthstahl &amp; Alloys Limited</w:t>
            </w:r>
          </w:p>
        </w:tc>
        <w:tc>
          <w:tcPr>
            <w:tcW w:w="384" w:type="pct"/>
            <w:shd w:val="clear" w:color="auto" w:fill="auto"/>
            <w:tcMar>
              <w:top w:w="0" w:type="dxa"/>
              <w:left w:w="108" w:type="dxa"/>
              <w:bottom w:w="0" w:type="dxa"/>
              <w:right w:w="108" w:type="dxa"/>
            </w:tcMar>
          </w:tcPr>
          <w:p w14:paraId="2D388698" w14:textId="77777777" w:rsidR="007C1DBA" w:rsidRPr="00F83A3C" w:rsidRDefault="007C1DBA" w:rsidP="00250DAC">
            <w:pPr>
              <w:spacing w:after="0" w:line="240" w:lineRule="auto"/>
              <w:jc w:val="center"/>
              <w:rPr>
                <w:rFonts w:ascii="Times New Roman" w:hAnsi="Times New Roman"/>
                <w:color w:val="000000"/>
                <w:sz w:val="20"/>
                <w:szCs w:val="20"/>
              </w:rPr>
            </w:pPr>
            <w:r w:rsidRPr="00F83A3C">
              <w:rPr>
                <w:rFonts w:ascii="Times New Roman" w:hAnsi="Times New Roman"/>
                <w:color w:val="000000"/>
                <w:sz w:val="20"/>
                <w:szCs w:val="20"/>
              </w:rPr>
              <w:t>12.96</w:t>
            </w:r>
          </w:p>
        </w:tc>
        <w:tc>
          <w:tcPr>
            <w:tcW w:w="493" w:type="pct"/>
            <w:shd w:val="clear" w:color="auto" w:fill="auto"/>
            <w:tcMar>
              <w:top w:w="0" w:type="dxa"/>
              <w:left w:w="108" w:type="dxa"/>
              <w:bottom w:w="0" w:type="dxa"/>
              <w:right w:w="108" w:type="dxa"/>
            </w:tcMar>
          </w:tcPr>
          <w:p w14:paraId="6C904038" w14:textId="77777777" w:rsidR="007C1DBA" w:rsidRPr="00F83A3C" w:rsidRDefault="007C1DBA" w:rsidP="00250DAC">
            <w:pPr>
              <w:spacing w:after="0" w:line="240" w:lineRule="auto"/>
              <w:jc w:val="center"/>
              <w:rPr>
                <w:rFonts w:ascii="Times New Roman" w:hAnsi="Times New Roman"/>
                <w:color w:val="000000"/>
                <w:sz w:val="20"/>
                <w:szCs w:val="20"/>
              </w:rPr>
            </w:pPr>
            <w:r w:rsidRPr="00F83A3C">
              <w:rPr>
                <w:rFonts w:ascii="Times New Roman" w:hAnsi="Times New Roman"/>
                <w:color w:val="000000"/>
                <w:sz w:val="20"/>
                <w:szCs w:val="20"/>
              </w:rPr>
              <w:t>40.00</w:t>
            </w:r>
          </w:p>
        </w:tc>
        <w:tc>
          <w:tcPr>
            <w:tcW w:w="639" w:type="pct"/>
            <w:shd w:val="clear" w:color="auto" w:fill="auto"/>
            <w:tcMar>
              <w:top w:w="0" w:type="dxa"/>
              <w:left w:w="108" w:type="dxa"/>
              <w:bottom w:w="0" w:type="dxa"/>
              <w:right w:w="108" w:type="dxa"/>
            </w:tcMar>
          </w:tcPr>
          <w:p w14:paraId="74FC9DBA" w14:textId="77777777" w:rsidR="007C1DBA" w:rsidRPr="00F83A3C" w:rsidRDefault="007C1DBA" w:rsidP="00250DAC">
            <w:pPr>
              <w:spacing w:after="0" w:line="240" w:lineRule="auto"/>
              <w:jc w:val="center"/>
              <w:rPr>
                <w:rFonts w:ascii="Times New Roman" w:hAnsi="Times New Roman"/>
                <w:color w:val="000000"/>
                <w:sz w:val="20"/>
                <w:szCs w:val="20"/>
              </w:rPr>
            </w:pPr>
            <w:r w:rsidRPr="00F83A3C">
              <w:rPr>
                <w:rFonts w:ascii="Times New Roman" w:hAnsi="Times New Roman"/>
                <w:color w:val="000000"/>
                <w:sz w:val="20"/>
                <w:szCs w:val="20"/>
              </w:rPr>
              <w:t>February 08, 2023</w:t>
            </w:r>
          </w:p>
        </w:tc>
        <w:tc>
          <w:tcPr>
            <w:tcW w:w="581" w:type="pct"/>
            <w:shd w:val="clear" w:color="auto" w:fill="auto"/>
            <w:tcMar>
              <w:top w:w="0" w:type="dxa"/>
              <w:left w:w="108" w:type="dxa"/>
              <w:bottom w:w="0" w:type="dxa"/>
              <w:right w:w="108" w:type="dxa"/>
            </w:tcMar>
          </w:tcPr>
          <w:p w14:paraId="1A3BCC4D" w14:textId="77777777" w:rsidR="007C1DBA" w:rsidRPr="00F83A3C" w:rsidRDefault="007C1DBA" w:rsidP="00250DAC">
            <w:pPr>
              <w:spacing w:after="0" w:line="240" w:lineRule="auto"/>
              <w:jc w:val="center"/>
              <w:rPr>
                <w:rFonts w:ascii="Times New Roman" w:hAnsi="Times New Roman"/>
                <w:color w:val="000000"/>
                <w:sz w:val="20"/>
                <w:szCs w:val="20"/>
              </w:rPr>
            </w:pPr>
            <w:r w:rsidRPr="00F83A3C">
              <w:rPr>
                <w:rFonts w:ascii="Times New Roman" w:hAnsi="Times New Roman"/>
                <w:color w:val="000000"/>
                <w:sz w:val="20"/>
                <w:szCs w:val="20"/>
              </w:rPr>
              <w:t>55.00</w:t>
            </w:r>
          </w:p>
        </w:tc>
        <w:tc>
          <w:tcPr>
            <w:tcW w:w="696" w:type="pct"/>
            <w:shd w:val="clear" w:color="auto" w:fill="auto"/>
            <w:tcMar>
              <w:top w:w="0" w:type="dxa"/>
              <w:left w:w="108" w:type="dxa"/>
              <w:bottom w:w="0" w:type="dxa"/>
              <w:right w:w="108" w:type="dxa"/>
            </w:tcMar>
          </w:tcPr>
          <w:p w14:paraId="031976D3" w14:textId="77777777" w:rsidR="007C1DBA" w:rsidRPr="00F83A3C" w:rsidRDefault="007C1DBA" w:rsidP="00250DAC">
            <w:pPr>
              <w:spacing w:after="0" w:line="240" w:lineRule="auto"/>
              <w:contextualSpacing/>
              <w:jc w:val="center"/>
              <w:rPr>
                <w:rFonts w:ascii="Times New Roman" w:hAnsi="Times New Roman"/>
                <w:sz w:val="20"/>
                <w:szCs w:val="20"/>
              </w:rPr>
            </w:pPr>
            <w:r w:rsidRPr="00F83A3C">
              <w:rPr>
                <w:rFonts w:ascii="Times New Roman" w:hAnsi="Times New Roman"/>
                <w:sz w:val="20"/>
                <w:szCs w:val="20"/>
              </w:rPr>
              <w:t>22.50%</w:t>
            </w:r>
          </w:p>
          <w:p w14:paraId="02F02FC2" w14:textId="77777777" w:rsidR="007C1DBA" w:rsidRPr="00F83A3C" w:rsidRDefault="007C1DBA" w:rsidP="00250DAC">
            <w:pPr>
              <w:spacing w:after="0" w:line="240" w:lineRule="auto"/>
              <w:jc w:val="center"/>
              <w:rPr>
                <w:rFonts w:ascii="Times New Roman" w:hAnsi="Times New Roman"/>
                <w:sz w:val="20"/>
                <w:szCs w:val="20"/>
              </w:rPr>
            </w:pPr>
            <w:r w:rsidRPr="00F83A3C">
              <w:rPr>
                <w:rFonts w:ascii="Times New Roman" w:hAnsi="Times New Roman"/>
                <w:sz w:val="20"/>
                <w:szCs w:val="20"/>
              </w:rPr>
              <w:t>[1.41%]</w:t>
            </w:r>
          </w:p>
        </w:tc>
        <w:tc>
          <w:tcPr>
            <w:tcW w:w="696" w:type="pct"/>
            <w:shd w:val="clear" w:color="auto" w:fill="auto"/>
            <w:tcMar>
              <w:top w:w="0" w:type="dxa"/>
              <w:left w:w="108" w:type="dxa"/>
              <w:bottom w:w="0" w:type="dxa"/>
              <w:right w:w="108" w:type="dxa"/>
            </w:tcMar>
          </w:tcPr>
          <w:p w14:paraId="5364D44F" w14:textId="77777777" w:rsidR="007C1DBA" w:rsidRPr="00F83A3C" w:rsidRDefault="007C1DBA" w:rsidP="00250DAC">
            <w:pPr>
              <w:spacing w:after="0" w:line="240" w:lineRule="auto"/>
              <w:jc w:val="center"/>
              <w:rPr>
                <w:rFonts w:ascii="Times New Roman" w:hAnsi="Times New Roman"/>
                <w:sz w:val="20"/>
                <w:szCs w:val="20"/>
              </w:rPr>
            </w:pPr>
            <w:r w:rsidRPr="00F83A3C">
              <w:rPr>
                <w:rFonts w:ascii="Times New Roman" w:hAnsi="Times New Roman"/>
                <w:sz w:val="20"/>
                <w:szCs w:val="20"/>
              </w:rPr>
              <w:t>45.83%</w:t>
            </w:r>
          </w:p>
          <w:p w14:paraId="5E31B954" w14:textId="77777777" w:rsidR="007C1DBA" w:rsidRPr="00F83A3C" w:rsidRDefault="007C1DBA" w:rsidP="00250DAC">
            <w:pPr>
              <w:spacing w:after="0" w:line="240" w:lineRule="auto"/>
              <w:jc w:val="center"/>
              <w:rPr>
                <w:rFonts w:ascii="Times New Roman" w:hAnsi="Times New Roman"/>
                <w:sz w:val="20"/>
                <w:szCs w:val="20"/>
              </w:rPr>
            </w:pPr>
            <w:r w:rsidRPr="00F83A3C">
              <w:rPr>
                <w:rFonts w:ascii="Times New Roman" w:hAnsi="Times New Roman"/>
                <w:sz w:val="20"/>
                <w:szCs w:val="20"/>
              </w:rPr>
              <w:t>[1.81%]</w:t>
            </w:r>
          </w:p>
        </w:tc>
        <w:tc>
          <w:tcPr>
            <w:tcW w:w="562" w:type="pct"/>
            <w:shd w:val="clear" w:color="auto" w:fill="auto"/>
            <w:tcMar>
              <w:top w:w="0" w:type="dxa"/>
              <w:left w:w="108" w:type="dxa"/>
              <w:bottom w:w="0" w:type="dxa"/>
              <w:right w:w="108" w:type="dxa"/>
            </w:tcMar>
          </w:tcPr>
          <w:p w14:paraId="349FAD86" w14:textId="77777777" w:rsidR="007C1DBA" w:rsidRDefault="007C1DBA" w:rsidP="00250DA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54.18%</w:t>
            </w:r>
          </w:p>
          <w:p w14:paraId="6CD0B7A2" w14:textId="77777777" w:rsidR="007C1DBA" w:rsidRPr="00E042AE" w:rsidRDefault="007C1DBA" w:rsidP="00250DAC">
            <w:pPr>
              <w:spacing w:after="0" w:line="240" w:lineRule="auto"/>
              <w:jc w:val="center"/>
              <w:rPr>
                <w:rFonts w:ascii="Times New Roman" w:hAnsi="Times New Roman"/>
                <w:sz w:val="20"/>
                <w:szCs w:val="20"/>
              </w:rPr>
            </w:pPr>
            <w:r>
              <w:rPr>
                <w:rFonts w:ascii="Times New Roman" w:hAnsi="Times New Roman"/>
                <w:color w:val="000000"/>
                <w:sz w:val="20"/>
                <w:szCs w:val="20"/>
              </w:rPr>
              <w:t>[8.72%]</w:t>
            </w:r>
          </w:p>
        </w:tc>
      </w:tr>
      <w:tr w:rsidR="007C1DBA" w:rsidRPr="00F83A3C" w14:paraId="2254F438" w14:textId="77777777" w:rsidTr="00250DAC">
        <w:trPr>
          <w:trHeight w:val="20"/>
        </w:trPr>
        <w:tc>
          <w:tcPr>
            <w:tcW w:w="268" w:type="pct"/>
            <w:shd w:val="clear" w:color="auto" w:fill="auto"/>
            <w:tcMar>
              <w:top w:w="0" w:type="dxa"/>
              <w:left w:w="108" w:type="dxa"/>
              <w:bottom w:w="0" w:type="dxa"/>
              <w:right w:w="108" w:type="dxa"/>
            </w:tcMar>
            <w:vAlign w:val="center"/>
          </w:tcPr>
          <w:p w14:paraId="0BF9B4A2" w14:textId="77777777" w:rsidR="007C1DBA" w:rsidRPr="00E042AE" w:rsidRDefault="007C1DBA">
            <w:pPr>
              <w:pStyle w:val="ListParagraph"/>
              <w:numPr>
                <w:ilvl w:val="0"/>
                <w:numId w:val="342"/>
              </w:numPr>
              <w:spacing w:line="240" w:lineRule="auto"/>
              <w:ind w:left="267"/>
              <w:jc w:val="right"/>
              <w:rPr>
                <w:sz w:val="20"/>
                <w:szCs w:val="20"/>
              </w:rPr>
            </w:pPr>
          </w:p>
        </w:tc>
        <w:tc>
          <w:tcPr>
            <w:tcW w:w="681" w:type="pct"/>
            <w:shd w:val="clear" w:color="auto" w:fill="auto"/>
            <w:tcMar>
              <w:top w:w="0" w:type="dxa"/>
              <w:left w:w="108" w:type="dxa"/>
              <w:bottom w:w="0" w:type="dxa"/>
              <w:right w:w="108" w:type="dxa"/>
            </w:tcMar>
          </w:tcPr>
          <w:p w14:paraId="05935DF5" w14:textId="77777777" w:rsidR="007C1DBA" w:rsidRPr="00F83A3C" w:rsidRDefault="007C1DBA" w:rsidP="00250DAC">
            <w:pPr>
              <w:spacing w:after="0" w:line="240" w:lineRule="auto"/>
              <w:jc w:val="both"/>
              <w:rPr>
                <w:rFonts w:ascii="Times New Roman" w:hAnsi="Times New Roman"/>
                <w:sz w:val="20"/>
                <w:szCs w:val="20"/>
              </w:rPr>
            </w:pPr>
            <w:r w:rsidRPr="00F83A3C">
              <w:rPr>
                <w:rFonts w:ascii="Times New Roman" w:hAnsi="Times New Roman"/>
                <w:sz w:val="20"/>
                <w:szCs w:val="20"/>
              </w:rPr>
              <w:t>Macfos Limited</w:t>
            </w:r>
          </w:p>
        </w:tc>
        <w:tc>
          <w:tcPr>
            <w:tcW w:w="384" w:type="pct"/>
            <w:shd w:val="clear" w:color="auto" w:fill="auto"/>
            <w:tcMar>
              <w:top w:w="0" w:type="dxa"/>
              <w:left w:w="108" w:type="dxa"/>
              <w:bottom w:w="0" w:type="dxa"/>
              <w:right w:w="108" w:type="dxa"/>
            </w:tcMar>
          </w:tcPr>
          <w:p w14:paraId="01882ED7" w14:textId="77777777" w:rsidR="007C1DBA" w:rsidRPr="00F83A3C" w:rsidRDefault="007C1DBA" w:rsidP="00250DAC">
            <w:pPr>
              <w:spacing w:after="0" w:line="240" w:lineRule="auto"/>
              <w:jc w:val="center"/>
              <w:rPr>
                <w:rFonts w:ascii="Times New Roman" w:hAnsi="Times New Roman"/>
                <w:color w:val="000000"/>
                <w:sz w:val="20"/>
                <w:szCs w:val="20"/>
              </w:rPr>
            </w:pPr>
            <w:r w:rsidRPr="00F83A3C">
              <w:rPr>
                <w:rFonts w:ascii="Times New Roman" w:hAnsi="Times New Roman"/>
                <w:color w:val="000000"/>
                <w:sz w:val="20"/>
                <w:szCs w:val="20"/>
              </w:rPr>
              <w:t>23.75</w:t>
            </w:r>
          </w:p>
        </w:tc>
        <w:tc>
          <w:tcPr>
            <w:tcW w:w="493" w:type="pct"/>
            <w:shd w:val="clear" w:color="auto" w:fill="auto"/>
            <w:tcMar>
              <w:top w:w="0" w:type="dxa"/>
              <w:left w:w="108" w:type="dxa"/>
              <w:bottom w:w="0" w:type="dxa"/>
              <w:right w:w="108" w:type="dxa"/>
            </w:tcMar>
          </w:tcPr>
          <w:p w14:paraId="60798F5F" w14:textId="77777777" w:rsidR="007C1DBA" w:rsidRPr="00F83A3C" w:rsidRDefault="007C1DBA" w:rsidP="00250DAC">
            <w:pPr>
              <w:spacing w:after="0" w:line="240" w:lineRule="auto"/>
              <w:jc w:val="center"/>
              <w:rPr>
                <w:rFonts w:ascii="Times New Roman" w:hAnsi="Times New Roman"/>
                <w:color w:val="000000"/>
                <w:sz w:val="20"/>
                <w:szCs w:val="20"/>
              </w:rPr>
            </w:pPr>
            <w:r w:rsidRPr="00F83A3C">
              <w:rPr>
                <w:rFonts w:ascii="Times New Roman" w:hAnsi="Times New Roman"/>
                <w:color w:val="000000"/>
                <w:sz w:val="20"/>
                <w:szCs w:val="20"/>
              </w:rPr>
              <w:t>102.00</w:t>
            </w:r>
          </w:p>
        </w:tc>
        <w:tc>
          <w:tcPr>
            <w:tcW w:w="639" w:type="pct"/>
            <w:shd w:val="clear" w:color="auto" w:fill="auto"/>
            <w:tcMar>
              <w:top w:w="0" w:type="dxa"/>
              <w:left w:w="108" w:type="dxa"/>
              <w:bottom w:w="0" w:type="dxa"/>
              <w:right w:w="108" w:type="dxa"/>
            </w:tcMar>
          </w:tcPr>
          <w:p w14:paraId="327E223B" w14:textId="77777777" w:rsidR="007C1DBA" w:rsidRPr="00F83A3C" w:rsidRDefault="007C1DBA" w:rsidP="00250DAC">
            <w:pPr>
              <w:spacing w:after="0" w:line="240" w:lineRule="auto"/>
              <w:jc w:val="center"/>
              <w:rPr>
                <w:rFonts w:ascii="Times New Roman" w:hAnsi="Times New Roman"/>
                <w:color w:val="000000"/>
                <w:sz w:val="20"/>
                <w:szCs w:val="20"/>
              </w:rPr>
            </w:pPr>
            <w:r w:rsidRPr="00F83A3C">
              <w:rPr>
                <w:rFonts w:ascii="Times New Roman" w:hAnsi="Times New Roman"/>
                <w:color w:val="000000"/>
                <w:sz w:val="20"/>
                <w:szCs w:val="20"/>
              </w:rPr>
              <w:t>March 01, 2023</w:t>
            </w:r>
          </w:p>
        </w:tc>
        <w:tc>
          <w:tcPr>
            <w:tcW w:w="581" w:type="pct"/>
            <w:shd w:val="clear" w:color="auto" w:fill="auto"/>
            <w:tcMar>
              <w:top w:w="0" w:type="dxa"/>
              <w:left w:w="108" w:type="dxa"/>
              <w:bottom w:w="0" w:type="dxa"/>
              <w:right w:w="108" w:type="dxa"/>
            </w:tcMar>
          </w:tcPr>
          <w:p w14:paraId="2BF3F3E6" w14:textId="77777777" w:rsidR="007C1DBA" w:rsidRPr="00F83A3C" w:rsidRDefault="007C1DBA" w:rsidP="00250DAC">
            <w:pPr>
              <w:spacing w:after="0" w:line="240" w:lineRule="auto"/>
              <w:jc w:val="center"/>
              <w:rPr>
                <w:rFonts w:ascii="Times New Roman" w:hAnsi="Times New Roman"/>
                <w:color w:val="000000"/>
                <w:sz w:val="20"/>
                <w:szCs w:val="20"/>
              </w:rPr>
            </w:pPr>
            <w:r w:rsidRPr="00F83A3C">
              <w:rPr>
                <w:rFonts w:ascii="Times New Roman" w:hAnsi="Times New Roman"/>
                <w:color w:val="000000"/>
                <w:sz w:val="20"/>
                <w:szCs w:val="20"/>
              </w:rPr>
              <w:t>184.00</w:t>
            </w:r>
          </w:p>
        </w:tc>
        <w:tc>
          <w:tcPr>
            <w:tcW w:w="696" w:type="pct"/>
            <w:shd w:val="clear" w:color="auto" w:fill="auto"/>
            <w:tcMar>
              <w:top w:w="0" w:type="dxa"/>
              <w:left w:w="108" w:type="dxa"/>
              <w:bottom w:w="0" w:type="dxa"/>
              <w:right w:w="108" w:type="dxa"/>
            </w:tcMar>
          </w:tcPr>
          <w:p w14:paraId="48E07673" w14:textId="77777777" w:rsidR="007C1DBA" w:rsidRPr="00F83A3C" w:rsidRDefault="007C1DBA" w:rsidP="00250DAC">
            <w:pPr>
              <w:spacing w:after="0" w:line="240" w:lineRule="auto"/>
              <w:jc w:val="center"/>
              <w:rPr>
                <w:rFonts w:ascii="Times New Roman" w:hAnsi="Times New Roman"/>
                <w:sz w:val="20"/>
                <w:szCs w:val="20"/>
              </w:rPr>
            </w:pPr>
            <w:r w:rsidRPr="00F83A3C">
              <w:rPr>
                <w:rFonts w:ascii="Times New Roman" w:hAnsi="Times New Roman"/>
                <w:sz w:val="20"/>
                <w:szCs w:val="20"/>
              </w:rPr>
              <w:t>69.61%</w:t>
            </w:r>
          </w:p>
          <w:p w14:paraId="662D06F2" w14:textId="77777777" w:rsidR="007C1DBA" w:rsidRPr="00F83A3C" w:rsidRDefault="007C1DBA" w:rsidP="00250DAC">
            <w:pPr>
              <w:spacing w:after="0" w:line="240" w:lineRule="auto"/>
              <w:jc w:val="center"/>
              <w:rPr>
                <w:rFonts w:ascii="Times New Roman" w:hAnsi="Times New Roman"/>
                <w:sz w:val="20"/>
                <w:szCs w:val="20"/>
              </w:rPr>
            </w:pPr>
            <w:r w:rsidRPr="00F83A3C">
              <w:rPr>
                <w:rFonts w:ascii="Times New Roman" w:hAnsi="Times New Roman"/>
                <w:sz w:val="20"/>
                <w:szCs w:val="20"/>
              </w:rPr>
              <w:t>[0.71%]</w:t>
            </w:r>
          </w:p>
        </w:tc>
        <w:tc>
          <w:tcPr>
            <w:tcW w:w="696" w:type="pct"/>
            <w:shd w:val="clear" w:color="auto" w:fill="auto"/>
            <w:tcMar>
              <w:top w:w="0" w:type="dxa"/>
              <w:left w:w="108" w:type="dxa"/>
              <w:bottom w:w="0" w:type="dxa"/>
              <w:right w:w="108" w:type="dxa"/>
            </w:tcMar>
          </w:tcPr>
          <w:p w14:paraId="687064B4" w14:textId="77777777" w:rsidR="007C1DBA" w:rsidRPr="00F83A3C" w:rsidRDefault="007C1DBA" w:rsidP="00250DAC">
            <w:pPr>
              <w:spacing w:after="0" w:line="240" w:lineRule="auto"/>
              <w:jc w:val="center"/>
              <w:rPr>
                <w:rFonts w:ascii="Times New Roman" w:hAnsi="Times New Roman"/>
                <w:sz w:val="20"/>
                <w:szCs w:val="20"/>
              </w:rPr>
            </w:pPr>
            <w:r w:rsidRPr="00F83A3C">
              <w:rPr>
                <w:rFonts w:ascii="Times New Roman" w:hAnsi="Times New Roman"/>
                <w:sz w:val="20"/>
                <w:szCs w:val="20"/>
              </w:rPr>
              <w:t>174.41%</w:t>
            </w:r>
          </w:p>
          <w:p w14:paraId="3AD431B8" w14:textId="77777777" w:rsidR="007C1DBA" w:rsidRPr="00F83A3C" w:rsidRDefault="007C1DBA" w:rsidP="00250DAC">
            <w:pPr>
              <w:spacing w:after="0" w:line="240" w:lineRule="auto"/>
              <w:jc w:val="center"/>
              <w:rPr>
                <w:rFonts w:ascii="Times New Roman" w:hAnsi="Times New Roman"/>
                <w:sz w:val="20"/>
                <w:szCs w:val="20"/>
              </w:rPr>
            </w:pPr>
            <w:r w:rsidRPr="00F83A3C">
              <w:rPr>
                <w:rFonts w:ascii="Times New Roman" w:hAnsi="Times New Roman"/>
                <w:sz w:val="20"/>
                <w:szCs w:val="20"/>
              </w:rPr>
              <w:t>[5.99%]</w:t>
            </w:r>
          </w:p>
        </w:tc>
        <w:tc>
          <w:tcPr>
            <w:tcW w:w="562" w:type="pct"/>
            <w:shd w:val="clear" w:color="auto" w:fill="auto"/>
            <w:tcMar>
              <w:top w:w="0" w:type="dxa"/>
              <w:left w:w="108" w:type="dxa"/>
              <w:bottom w:w="0" w:type="dxa"/>
              <w:right w:w="108" w:type="dxa"/>
            </w:tcMar>
          </w:tcPr>
          <w:p w14:paraId="798441FF" w14:textId="77777777" w:rsidR="007C1DBA" w:rsidRDefault="007C1DBA" w:rsidP="00250DA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264.71%</w:t>
            </w:r>
          </w:p>
          <w:p w14:paraId="61E4D1E4" w14:textId="77777777" w:rsidR="007C1DBA" w:rsidRPr="00F83A3C" w:rsidRDefault="007C1DBA" w:rsidP="00250DAC">
            <w:pPr>
              <w:spacing w:after="0" w:line="240" w:lineRule="auto"/>
              <w:jc w:val="center"/>
              <w:rPr>
                <w:rFonts w:ascii="Times New Roman" w:hAnsi="Times New Roman"/>
                <w:sz w:val="20"/>
                <w:szCs w:val="20"/>
              </w:rPr>
            </w:pPr>
            <w:r>
              <w:rPr>
                <w:rFonts w:ascii="Times New Roman" w:hAnsi="Times New Roman"/>
                <w:color w:val="000000"/>
                <w:sz w:val="20"/>
                <w:szCs w:val="20"/>
              </w:rPr>
              <w:t>[9.40%]</w:t>
            </w:r>
          </w:p>
        </w:tc>
      </w:tr>
      <w:tr w:rsidR="007C1DBA" w:rsidRPr="00F83A3C" w14:paraId="4BD7E6D7" w14:textId="77777777" w:rsidTr="00250DAC">
        <w:trPr>
          <w:trHeight w:val="20"/>
        </w:trPr>
        <w:tc>
          <w:tcPr>
            <w:tcW w:w="268" w:type="pct"/>
            <w:shd w:val="clear" w:color="auto" w:fill="auto"/>
            <w:tcMar>
              <w:top w:w="0" w:type="dxa"/>
              <w:left w:w="108" w:type="dxa"/>
              <w:bottom w:w="0" w:type="dxa"/>
              <w:right w:w="108" w:type="dxa"/>
            </w:tcMar>
            <w:vAlign w:val="center"/>
          </w:tcPr>
          <w:p w14:paraId="3029BA66" w14:textId="77777777" w:rsidR="007C1DBA" w:rsidRPr="00E042AE" w:rsidRDefault="007C1DBA">
            <w:pPr>
              <w:pStyle w:val="ListParagraph"/>
              <w:numPr>
                <w:ilvl w:val="0"/>
                <w:numId w:val="342"/>
              </w:numPr>
              <w:spacing w:line="240" w:lineRule="auto"/>
              <w:ind w:left="267"/>
              <w:jc w:val="right"/>
              <w:rPr>
                <w:sz w:val="20"/>
                <w:szCs w:val="20"/>
              </w:rPr>
            </w:pPr>
          </w:p>
        </w:tc>
        <w:tc>
          <w:tcPr>
            <w:tcW w:w="681" w:type="pct"/>
            <w:shd w:val="clear" w:color="auto" w:fill="auto"/>
            <w:tcMar>
              <w:top w:w="0" w:type="dxa"/>
              <w:left w:w="108" w:type="dxa"/>
              <w:bottom w:w="0" w:type="dxa"/>
              <w:right w:w="108" w:type="dxa"/>
            </w:tcMar>
          </w:tcPr>
          <w:p w14:paraId="4BE09B6B" w14:textId="77777777" w:rsidR="007C1DBA" w:rsidRPr="00F83A3C" w:rsidRDefault="007C1DBA" w:rsidP="00250DAC">
            <w:pPr>
              <w:spacing w:after="0" w:line="240" w:lineRule="auto"/>
              <w:jc w:val="both"/>
              <w:rPr>
                <w:rFonts w:ascii="Times New Roman" w:hAnsi="Times New Roman"/>
                <w:sz w:val="20"/>
                <w:szCs w:val="20"/>
              </w:rPr>
            </w:pPr>
            <w:r w:rsidRPr="00F83A3C">
              <w:rPr>
                <w:rFonts w:ascii="Times New Roman" w:hAnsi="Times New Roman"/>
                <w:sz w:val="20"/>
                <w:szCs w:val="20"/>
              </w:rPr>
              <w:t>Systango Technologies Limited</w:t>
            </w:r>
          </w:p>
        </w:tc>
        <w:tc>
          <w:tcPr>
            <w:tcW w:w="384" w:type="pct"/>
            <w:shd w:val="clear" w:color="auto" w:fill="auto"/>
            <w:tcMar>
              <w:top w:w="0" w:type="dxa"/>
              <w:left w:w="108" w:type="dxa"/>
              <w:bottom w:w="0" w:type="dxa"/>
              <w:right w:w="108" w:type="dxa"/>
            </w:tcMar>
          </w:tcPr>
          <w:p w14:paraId="02B732D7" w14:textId="77777777" w:rsidR="007C1DBA" w:rsidRPr="00F83A3C" w:rsidRDefault="007C1DBA" w:rsidP="00250DAC">
            <w:pPr>
              <w:spacing w:after="0" w:line="240" w:lineRule="auto"/>
              <w:jc w:val="center"/>
              <w:rPr>
                <w:rFonts w:ascii="Times New Roman" w:hAnsi="Times New Roman"/>
                <w:color w:val="000000"/>
                <w:sz w:val="20"/>
                <w:szCs w:val="20"/>
              </w:rPr>
            </w:pPr>
            <w:r w:rsidRPr="00F83A3C">
              <w:rPr>
                <w:rFonts w:ascii="Times New Roman" w:hAnsi="Times New Roman"/>
                <w:color w:val="000000"/>
                <w:sz w:val="20"/>
                <w:szCs w:val="20"/>
              </w:rPr>
              <w:t>34.82</w:t>
            </w:r>
          </w:p>
        </w:tc>
        <w:tc>
          <w:tcPr>
            <w:tcW w:w="493" w:type="pct"/>
            <w:shd w:val="clear" w:color="auto" w:fill="auto"/>
            <w:tcMar>
              <w:top w:w="0" w:type="dxa"/>
              <w:left w:w="108" w:type="dxa"/>
              <w:bottom w:w="0" w:type="dxa"/>
              <w:right w:w="108" w:type="dxa"/>
            </w:tcMar>
          </w:tcPr>
          <w:p w14:paraId="492602D9" w14:textId="77777777" w:rsidR="007C1DBA" w:rsidRPr="00F83A3C" w:rsidRDefault="007C1DBA" w:rsidP="00250DAC">
            <w:pPr>
              <w:spacing w:after="0" w:line="240" w:lineRule="auto"/>
              <w:jc w:val="center"/>
              <w:rPr>
                <w:rFonts w:ascii="Times New Roman" w:hAnsi="Times New Roman"/>
                <w:color w:val="000000"/>
                <w:sz w:val="20"/>
                <w:szCs w:val="20"/>
              </w:rPr>
            </w:pPr>
            <w:r w:rsidRPr="00F83A3C">
              <w:rPr>
                <w:rFonts w:ascii="Times New Roman" w:hAnsi="Times New Roman"/>
                <w:color w:val="000000"/>
                <w:sz w:val="20"/>
                <w:szCs w:val="20"/>
              </w:rPr>
              <w:t>90.00</w:t>
            </w:r>
          </w:p>
        </w:tc>
        <w:tc>
          <w:tcPr>
            <w:tcW w:w="639" w:type="pct"/>
            <w:shd w:val="clear" w:color="auto" w:fill="auto"/>
            <w:tcMar>
              <w:top w:w="0" w:type="dxa"/>
              <w:left w:w="108" w:type="dxa"/>
              <w:bottom w:w="0" w:type="dxa"/>
              <w:right w:w="108" w:type="dxa"/>
            </w:tcMar>
          </w:tcPr>
          <w:p w14:paraId="52482722" w14:textId="77777777" w:rsidR="007C1DBA" w:rsidRPr="00F83A3C" w:rsidRDefault="007C1DBA" w:rsidP="00250DAC">
            <w:pPr>
              <w:spacing w:after="0" w:line="240" w:lineRule="auto"/>
              <w:jc w:val="center"/>
              <w:rPr>
                <w:rFonts w:ascii="Times New Roman" w:hAnsi="Times New Roman"/>
                <w:color w:val="000000"/>
                <w:sz w:val="20"/>
                <w:szCs w:val="20"/>
              </w:rPr>
            </w:pPr>
            <w:r w:rsidRPr="00F83A3C">
              <w:rPr>
                <w:rFonts w:ascii="Times New Roman" w:hAnsi="Times New Roman"/>
                <w:sz w:val="20"/>
                <w:szCs w:val="20"/>
              </w:rPr>
              <w:t>March 15, 2023</w:t>
            </w:r>
          </w:p>
        </w:tc>
        <w:tc>
          <w:tcPr>
            <w:tcW w:w="581" w:type="pct"/>
            <w:shd w:val="clear" w:color="auto" w:fill="auto"/>
            <w:tcMar>
              <w:top w:w="0" w:type="dxa"/>
              <w:left w:w="108" w:type="dxa"/>
              <w:bottom w:w="0" w:type="dxa"/>
              <w:right w:w="108" w:type="dxa"/>
            </w:tcMar>
          </w:tcPr>
          <w:p w14:paraId="35122E33" w14:textId="77777777" w:rsidR="007C1DBA" w:rsidRPr="00F83A3C" w:rsidRDefault="007C1DBA" w:rsidP="00250DAC">
            <w:pPr>
              <w:spacing w:after="0" w:line="240" w:lineRule="auto"/>
              <w:jc w:val="center"/>
              <w:rPr>
                <w:rFonts w:ascii="Times New Roman" w:hAnsi="Times New Roman"/>
                <w:color w:val="000000"/>
                <w:sz w:val="20"/>
                <w:szCs w:val="20"/>
              </w:rPr>
            </w:pPr>
            <w:r w:rsidRPr="00F83A3C">
              <w:rPr>
                <w:rFonts w:ascii="Times New Roman" w:hAnsi="Times New Roman"/>
                <w:color w:val="000000"/>
                <w:sz w:val="20"/>
                <w:szCs w:val="20"/>
              </w:rPr>
              <w:t>98.00</w:t>
            </w:r>
          </w:p>
        </w:tc>
        <w:tc>
          <w:tcPr>
            <w:tcW w:w="696" w:type="pct"/>
            <w:shd w:val="clear" w:color="auto" w:fill="auto"/>
            <w:tcMar>
              <w:top w:w="0" w:type="dxa"/>
              <w:left w:w="108" w:type="dxa"/>
              <w:bottom w:w="0" w:type="dxa"/>
              <w:right w:w="108" w:type="dxa"/>
            </w:tcMar>
          </w:tcPr>
          <w:p w14:paraId="1583351E" w14:textId="77777777" w:rsidR="007C1DBA" w:rsidRPr="00F83A3C" w:rsidRDefault="007C1DBA" w:rsidP="00250DAC">
            <w:pPr>
              <w:spacing w:after="0" w:line="240" w:lineRule="auto"/>
              <w:jc w:val="center"/>
              <w:rPr>
                <w:rFonts w:ascii="Times New Roman" w:hAnsi="Times New Roman"/>
                <w:color w:val="000000"/>
                <w:sz w:val="20"/>
                <w:szCs w:val="20"/>
              </w:rPr>
            </w:pPr>
            <w:r w:rsidRPr="00F83A3C">
              <w:rPr>
                <w:rFonts w:ascii="Times New Roman" w:hAnsi="Times New Roman"/>
                <w:sz w:val="20"/>
                <w:szCs w:val="20"/>
              </w:rPr>
              <w:t>110.56%</w:t>
            </w:r>
          </w:p>
          <w:p w14:paraId="65998A86" w14:textId="77777777" w:rsidR="007C1DBA" w:rsidRPr="00F83A3C" w:rsidRDefault="007C1DBA" w:rsidP="00250DAC">
            <w:pPr>
              <w:spacing w:after="0" w:line="240" w:lineRule="auto"/>
              <w:jc w:val="center"/>
              <w:rPr>
                <w:rFonts w:ascii="Times New Roman" w:hAnsi="Times New Roman"/>
                <w:sz w:val="20"/>
                <w:szCs w:val="20"/>
              </w:rPr>
            </w:pPr>
            <w:r w:rsidRPr="00F83A3C">
              <w:rPr>
                <w:rFonts w:ascii="Times New Roman" w:hAnsi="Times New Roman"/>
                <w:color w:val="000000"/>
                <w:sz w:val="20"/>
                <w:szCs w:val="20"/>
              </w:rPr>
              <w:t>[5.00%]</w:t>
            </w:r>
          </w:p>
        </w:tc>
        <w:tc>
          <w:tcPr>
            <w:tcW w:w="696" w:type="pct"/>
            <w:shd w:val="clear" w:color="auto" w:fill="auto"/>
            <w:tcMar>
              <w:top w:w="0" w:type="dxa"/>
              <w:left w:w="108" w:type="dxa"/>
              <w:bottom w:w="0" w:type="dxa"/>
              <w:right w:w="108" w:type="dxa"/>
            </w:tcMar>
          </w:tcPr>
          <w:p w14:paraId="4E643396" w14:textId="77777777" w:rsidR="007C1DBA" w:rsidRPr="00F83A3C" w:rsidRDefault="007C1DBA" w:rsidP="00250DAC">
            <w:pPr>
              <w:spacing w:after="0" w:line="240" w:lineRule="auto"/>
              <w:jc w:val="center"/>
              <w:rPr>
                <w:rFonts w:ascii="Times New Roman" w:hAnsi="Times New Roman"/>
                <w:sz w:val="20"/>
                <w:szCs w:val="20"/>
              </w:rPr>
            </w:pPr>
            <w:r w:rsidRPr="00F83A3C">
              <w:rPr>
                <w:rFonts w:ascii="Times New Roman" w:hAnsi="Times New Roman"/>
                <w:sz w:val="20"/>
                <w:szCs w:val="20"/>
              </w:rPr>
              <w:t>132.56%</w:t>
            </w:r>
          </w:p>
          <w:p w14:paraId="751BD376" w14:textId="77777777" w:rsidR="007C1DBA" w:rsidRPr="00F83A3C" w:rsidRDefault="007C1DBA" w:rsidP="00250DAC">
            <w:pPr>
              <w:spacing w:after="0" w:line="240" w:lineRule="auto"/>
              <w:jc w:val="center"/>
              <w:rPr>
                <w:rFonts w:ascii="Times New Roman" w:hAnsi="Times New Roman"/>
                <w:sz w:val="20"/>
                <w:szCs w:val="20"/>
              </w:rPr>
            </w:pPr>
            <w:r w:rsidRPr="00F83A3C">
              <w:rPr>
                <w:rFonts w:ascii="Times New Roman" w:hAnsi="Times New Roman"/>
                <w:sz w:val="20"/>
                <w:szCs w:val="20"/>
              </w:rPr>
              <w:t>[10.28%]</w:t>
            </w:r>
          </w:p>
        </w:tc>
        <w:tc>
          <w:tcPr>
            <w:tcW w:w="562" w:type="pct"/>
            <w:shd w:val="clear" w:color="auto" w:fill="auto"/>
            <w:tcMar>
              <w:top w:w="0" w:type="dxa"/>
              <w:left w:w="108" w:type="dxa"/>
              <w:bottom w:w="0" w:type="dxa"/>
              <w:right w:w="108" w:type="dxa"/>
            </w:tcMar>
          </w:tcPr>
          <w:p w14:paraId="478C4B21" w14:textId="77777777" w:rsidR="007C1DBA" w:rsidRDefault="007C1DBA" w:rsidP="00250DA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206.22%</w:t>
            </w:r>
          </w:p>
          <w:p w14:paraId="6C2B152A" w14:textId="77777777" w:rsidR="007C1DBA" w:rsidRPr="00F83A3C" w:rsidRDefault="007C1DBA" w:rsidP="00250DAC">
            <w:pPr>
              <w:spacing w:after="0" w:line="240" w:lineRule="auto"/>
              <w:jc w:val="center"/>
              <w:rPr>
                <w:rFonts w:ascii="Times New Roman" w:hAnsi="Times New Roman"/>
                <w:sz w:val="20"/>
                <w:szCs w:val="20"/>
              </w:rPr>
            </w:pPr>
            <w:r>
              <w:rPr>
                <w:rFonts w:ascii="Times New Roman" w:hAnsi="Times New Roman"/>
                <w:sz w:val="20"/>
                <w:szCs w:val="20"/>
              </w:rPr>
              <w:t>[17.82%]</w:t>
            </w:r>
          </w:p>
        </w:tc>
      </w:tr>
      <w:tr w:rsidR="007C1DBA" w:rsidRPr="00F83A3C" w14:paraId="790475FA" w14:textId="77777777" w:rsidTr="00250DAC">
        <w:trPr>
          <w:trHeight w:val="20"/>
        </w:trPr>
        <w:tc>
          <w:tcPr>
            <w:tcW w:w="268" w:type="pct"/>
            <w:shd w:val="clear" w:color="auto" w:fill="auto"/>
            <w:tcMar>
              <w:top w:w="0" w:type="dxa"/>
              <w:left w:w="108" w:type="dxa"/>
              <w:bottom w:w="0" w:type="dxa"/>
              <w:right w:w="108" w:type="dxa"/>
            </w:tcMar>
            <w:vAlign w:val="center"/>
          </w:tcPr>
          <w:p w14:paraId="34BFA63D" w14:textId="77777777" w:rsidR="007C1DBA" w:rsidRPr="00E042AE" w:rsidRDefault="007C1DBA">
            <w:pPr>
              <w:pStyle w:val="ListParagraph"/>
              <w:numPr>
                <w:ilvl w:val="0"/>
                <w:numId w:val="342"/>
              </w:numPr>
              <w:spacing w:line="240" w:lineRule="auto"/>
              <w:ind w:left="267"/>
              <w:jc w:val="right"/>
              <w:rPr>
                <w:sz w:val="20"/>
                <w:szCs w:val="20"/>
              </w:rPr>
            </w:pPr>
          </w:p>
        </w:tc>
        <w:tc>
          <w:tcPr>
            <w:tcW w:w="681" w:type="pct"/>
            <w:shd w:val="clear" w:color="auto" w:fill="auto"/>
            <w:tcMar>
              <w:top w:w="0" w:type="dxa"/>
              <w:left w:w="108" w:type="dxa"/>
              <w:bottom w:w="0" w:type="dxa"/>
              <w:right w:w="108" w:type="dxa"/>
            </w:tcMar>
          </w:tcPr>
          <w:p w14:paraId="37594DB9" w14:textId="77777777" w:rsidR="007C1DBA" w:rsidRPr="00F83A3C" w:rsidRDefault="007C1DBA" w:rsidP="00250DAC">
            <w:pPr>
              <w:spacing w:after="0" w:line="240" w:lineRule="auto"/>
              <w:jc w:val="both"/>
              <w:rPr>
                <w:rFonts w:ascii="Times New Roman" w:hAnsi="Times New Roman"/>
                <w:sz w:val="20"/>
                <w:szCs w:val="20"/>
              </w:rPr>
            </w:pPr>
            <w:r w:rsidRPr="00F83A3C">
              <w:rPr>
                <w:rFonts w:ascii="Times New Roman" w:hAnsi="Times New Roman"/>
                <w:sz w:val="20"/>
                <w:szCs w:val="20"/>
              </w:rPr>
              <w:t>Labelkraft Technologies Limited</w:t>
            </w:r>
          </w:p>
        </w:tc>
        <w:tc>
          <w:tcPr>
            <w:tcW w:w="384" w:type="pct"/>
            <w:shd w:val="clear" w:color="auto" w:fill="auto"/>
            <w:tcMar>
              <w:top w:w="0" w:type="dxa"/>
              <w:left w:w="108" w:type="dxa"/>
              <w:bottom w:w="0" w:type="dxa"/>
              <w:right w:w="108" w:type="dxa"/>
            </w:tcMar>
          </w:tcPr>
          <w:p w14:paraId="78078AB2" w14:textId="77777777" w:rsidR="007C1DBA" w:rsidRPr="00F83A3C" w:rsidRDefault="007C1DBA" w:rsidP="00250DAC">
            <w:pPr>
              <w:spacing w:after="0" w:line="240" w:lineRule="auto"/>
              <w:jc w:val="center"/>
              <w:rPr>
                <w:rFonts w:ascii="Times New Roman" w:hAnsi="Times New Roman"/>
                <w:color w:val="000000"/>
                <w:sz w:val="20"/>
                <w:szCs w:val="20"/>
              </w:rPr>
            </w:pPr>
            <w:r w:rsidRPr="00F83A3C">
              <w:rPr>
                <w:rFonts w:ascii="Times New Roman" w:hAnsi="Times New Roman"/>
                <w:color w:val="000000"/>
                <w:sz w:val="20"/>
                <w:szCs w:val="20"/>
              </w:rPr>
              <w:t>4.75</w:t>
            </w:r>
          </w:p>
        </w:tc>
        <w:tc>
          <w:tcPr>
            <w:tcW w:w="493" w:type="pct"/>
            <w:shd w:val="clear" w:color="auto" w:fill="auto"/>
            <w:tcMar>
              <w:top w:w="0" w:type="dxa"/>
              <w:left w:w="108" w:type="dxa"/>
              <w:bottom w:w="0" w:type="dxa"/>
              <w:right w:w="108" w:type="dxa"/>
            </w:tcMar>
          </w:tcPr>
          <w:p w14:paraId="5460BC5C" w14:textId="77777777" w:rsidR="007C1DBA" w:rsidRPr="00F83A3C" w:rsidRDefault="007C1DBA" w:rsidP="00250DAC">
            <w:pPr>
              <w:spacing w:after="0" w:line="240" w:lineRule="auto"/>
              <w:jc w:val="center"/>
              <w:rPr>
                <w:rFonts w:ascii="Times New Roman" w:hAnsi="Times New Roman"/>
                <w:color w:val="000000"/>
                <w:sz w:val="20"/>
                <w:szCs w:val="20"/>
              </w:rPr>
            </w:pPr>
            <w:r w:rsidRPr="00F83A3C">
              <w:rPr>
                <w:rFonts w:ascii="Times New Roman" w:hAnsi="Times New Roman"/>
                <w:color w:val="000000"/>
                <w:sz w:val="20"/>
                <w:szCs w:val="20"/>
              </w:rPr>
              <w:t>55.00</w:t>
            </w:r>
          </w:p>
        </w:tc>
        <w:tc>
          <w:tcPr>
            <w:tcW w:w="639" w:type="pct"/>
            <w:shd w:val="clear" w:color="auto" w:fill="auto"/>
            <w:tcMar>
              <w:top w:w="0" w:type="dxa"/>
              <w:left w:w="108" w:type="dxa"/>
              <w:bottom w:w="0" w:type="dxa"/>
              <w:right w:w="108" w:type="dxa"/>
            </w:tcMar>
          </w:tcPr>
          <w:p w14:paraId="1E26EC44" w14:textId="77777777" w:rsidR="007C1DBA" w:rsidRPr="00F83A3C" w:rsidRDefault="007C1DBA" w:rsidP="00250DAC">
            <w:pPr>
              <w:spacing w:after="0" w:line="240" w:lineRule="auto"/>
              <w:jc w:val="center"/>
              <w:rPr>
                <w:rFonts w:ascii="Times New Roman" w:hAnsi="Times New Roman"/>
                <w:sz w:val="20"/>
                <w:szCs w:val="20"/>
              </w:rPr>
            </w:pPr>
            <w:r w:rsidRPr="00F83A3C">
              <w:rPr>
                <w:rFonts w:ascii="Times New Roman" w:hAnsi="Times New Roman"/>
                <w:sz w:val="20"/>
                <w:szCs w:val="20"/>
              </w:rPr>
              <w:t>March 23, 2023</w:t>
            </w:r>
          </w:p>
        </w:tc>
        <w:tc>
          <w:tcPr>
            <w:tcW w:w="581" w:type="pct"/>
            <w:shd w:val="clear" w:color="auto" w:fill="auto"/>
            <w:tcMar>
              <w:top w:w="0" w:type="dxa"/>
              <w:left w:w="108" w:type="dxa"/>
              <w:bottom w:w="0" w:type="dxa"/>
              <w:right w:w="108" w:type="dxa"/>
            </w:tcMar>
          </w:tcPr>
          <w:p w14:paraId="5642B42F" w14:textId="77777777" w:rsidR="007C1DBA" w:rsidRPr="00F83A3C" w:rsidRDefault="007C1DBA" w:rsidP="00250DAC">
            <w:pPr>
              <w:spacing w:after="0" w:line="240" w:lineRule="auto"/>
              <w:jc w:val="center"/>
              <w:rPr>
                <w:rFonts w:ascii="Times New Roman" w:hAnsi="Times New Roman"/>
                <w:color w:val="000000"/>
                <w:sz w:val="20"/>
                <w:szCs w:val="20"/>
              </w:rPr>
            </w:pPr>
            <w:r w:rsidRPr="00F83A3C">
              <w:rPr>
                <w:rFonts w:ascii="Times New Roman" w:hAnsi="Times New Roman"/>
                <w:color w:val="000000"/>
                <w:sz w:val="20"/>
                <w:szCs w:val="20"/>
              </w:rPr>
              <w:t>56.00</w:t>
            </w:r>
          </w:p>
        </w:tc>
        <w:tc>
          <w:tcPr>
            <w:tcW w:w="696" w:type="pct"/>
            <w:shd w:val="clear" w:color="auto" w:fill="auto"/>
            <w:tcMar>
              <w:top w:w="0" w:type="dxa"/>
              <w:left w:w="108" w:type="dxa"/>
              <w:bottom w:w="0" w:type="dxa"/>
              <w:right w:w="108" w:type="dxa"/>
            </w:tcMar>
          </w:tcPr>
          <w:p w14:paraId="580753DA" w14:textId="77777777" w:rsidR="007C1DBA" w:rsidRPr="00F83A3C" w:rsidRDefault="007C1DBA" w:rsidP="00250DAC">
            <w:pPr>
              <w:spacing w:after="0" w:line="240" w:lineRule="auto"/>
              <w:jc w:val="center"/>
              <w:rPr>
                <w:rFonts w:ascii="Times New Roman" w:hAnsi="Times New Roman"/>
                <w:color w:val="000000"/>
                <w:sz w:val="20"/>
                <w:szCs w:val="20"/>
              </w:rPr>
            </w:pPr>
            <w:r w:rsidRPr="00F83A3C">
              <w:rPr>
                <w:rFonts w:ascii="Times New Roman" w:hAnsi="Times New Roman"/>
                <w:color w:val="000000"/>
                <w:sz w:val="20"/>
                <w:szCs w:val="20"/>
              </w:rPr>
              <w:t>0.27%</w:t>
            </w:r>
          </w:p>
          <w:p w14:paraId="2C28B7CD" w14:textId="77777777" w:rsidR="007C1DBA" w:rsidRPr="00F83A3C" w:rsidRDefault="007C1DBA" w:rsidP="00250DAC">
            <w:pPr>
              <w:spacing w:after="0" w:line="240" w:lineRule="auto"/>
              <w:jc w:val="center"/>
              <w:rPr>
                <w:rFonts w:ascii="Times New Roman" w:hAnsi="Times New Roman"/>
                <w:color w:val="000000"/>
                <w:sz w:val="20"/>
                <w:szCs w:val="20"/>
              </w:rPr>
            </w:pPr>
            <w:r w:rsidRPr="00F83A3C">
              <w:rPr>
                <w:rFonts w:ascii="Times New Roman" w:hAnsi="Times New Roman"/>
                <w:color w:val="000000"/>
                <w:sz w:val="20"/>
                <w:szCs w:val="20"/>
              </w:rPr>
              <w:t>[3.68%]</w:t>
            </w:r>
          </w:p>
        </w:tc>
        <w:tc>
          <w:tcPr>
            <w:tcW w:w="696" w:type="pct"/>
            <w:shd w:val="clear" w:color="auto" w:fill="auto"/>
            <w:tcMar>
              <w:top w:w="0" w:type="dxa"/>
              <w:left w:w="108" w:type="dxa"/>
              <w:bottom w:w="0" w:type="dxa"/>
              <w:right w:w="108" w:type="dxa"/>
            </w:tcMar>
          </w:tcPr>
          <w:p w14:paraId="311FF2A3" w14:textId="77777777" w:rsidR="007C1DBA" w:rsidRPr="00F83A3C" w:rsidRDefault="007C1DBA" w:rsidP="00250DAC">
            <w:pPr>
              <w:spacing w:after="0" w:line="240" w:lineRule="auto"/>
              <w:jc w:val="center"/>
              <w:rPr>
                <w:rFonts w:ascii="Times New Roman" w:hAnsi="Times New Roman"/>
                <w:sz w:val="20"/>
                <w:szCs w:val="20"/>
              </w:rPr>
            </w:pPr>
            <w:r w:rsidRPr="00F83A3C">
              <w:rPr>
                <w:rFonts w:ascii="Times New Roman" w:hAnsi="Times New Roman"/>
                <w:sz w:val="20"/>
                <w:szCs w:val="20"/>
              </w:rPr>
              <w:t>24.55%</w:t>
            </w:r>
          </w:p>
          <w:p w14:paraId="31AC35C7" w14:textId="77777777" w:rsidR="007C1DBA" w:rsidRPr="00F83A3C" w:rsidRDefault="007C1DBA" w:rsidP="00250DAC">
            <w:pPr>
              <w:spacing w:after="0" w:line="240" w:lineRule="auto"/>
              <w:jc w:val="center"/>
              <w:rPr>
                <w:rFonts w:ascii="Times New Roman" w:hAnsi="Times New Roman"/>
                <w:sz w:val="20"/>
                <w:szCs w:val="20"/>
              </w:rPr>
            </w:pPr>
            <w:r w:rsidRPr="00F83A3C">
              <w:rPr>
                <w:rFonts w:ascii="Times New Roman" w:hAnsi="Times New Roman"/>
                <w:sz w:val="20"/>
                <w:szCs w:val="20"/>
              </w:rPr>
              <w:t>[9.66%]</w:t>
            </w:r>
          </w:p>
        </w:tc>
        <w:tc>
          <w:tcPr>
            <w:tcW w:w="562" w:type="pct"/>
            <w:shd w:val="clear" w:color="auto" w:fill="auto"/>
            <w:tcMar>
              <w:top w:w="0" w:type="dxa"/>
              <w:left w:w="108" w:type="dxa"/>
              <w:bottom w:w="0" w:type="dxa"/>
              <w:right w:w="108" w:type="dxa"/>
            </w:tcMar>
          </w:tcPr>
          <w:p w14:paraId="0B0F7844" w14:textId="77777777" w:rsidR="00FF3D95" w:rsidRDefault="00FF3D95" w:rsidP="00FF3D9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58.18%</w:t>
            </w:r>
          </w:p>
          <w:p w14:paraId="3697CF9C" w14:textId="6B858697" w:rsidR="007C1DBA" w:rsidRPr="00F83A3C" w:rsidRDefault="00FF3D95" w:rsidP="00FF3D95">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[15.32%]</w:t>
            </w:r>
          </w:p>
        </w:tc>
      </w:tr>
      <w:tr w:rsidR="007C1DBA" w:rsidRPr="00F83A3C" w14:paraId="68E4478B" w14:textId="77777777" w:rsidTr="00250DAC">
        <w:trPr>
          <w:trHeight w:val="20"/>
        </w:trPr>
        <w:tc>
          <w:tcPr>
            <w:tcW w:w="268" w:type="pct"/>
            <w:shd w:val="clear" w:color="auto" w:fill="auto"/>
            <w:tcMar>
              <w:top w:w="0" w:type="dxa"/>
              <w:left w:w="108" w:type="dxa"/>
              <w:bottom w:w="0" w:type="dxa"/>
              <w:right w:w="108" w:type="dxa"/>
            </w:tcMar>
            <w:vAlign w:val="center"/>
          </w:tcPr>
          <w:p w14:paraId="3B2EDDA6" w14:textId="77777777" w:rsidR="007C1DBA" w:rsidRPr="00E042AE" w:rsidRDefault="007C1DBA">
            <w:pPr>
              <w:pStyle w:val="ListParagraph"/>
              <w:numPr>
                <w:ilvl w:val="0"/>
                <w:numId w:val="342"/>
              </w:numPr>
              <w:spacing w:line="240" w:lineRule="auto"/>
              <w:ind w:left="267"/>
              <w:jc w:val="right"/>
              <w:rPr>
                <w:sz w:val="20"/>
                <w:szCs w:val="20"/>
              </w:rPr>
            </w:pPr>
          </w:p>
        </w:tc>
        <w:tc>
          <w:tcPr>
            <w:tcW w:w="681" w:type="pct"/>
            <w:shd w:val="clear" w:color="auto" w:fill="auto"/>
            <w:tcMar>
              <w:top w:w="0" w:type="dxa"/>
              <w:left w:w="108" w:type="dxa"/>
              <w:bottom w:w="0" w:type="dxa"/>
              <w:right w:w="108" w:type="dxa"/>
            </w:tcMar>
          </w:tcPr>
          <w:p w14:paraId="0FF9FD74" w14:textId="77777777" w:rsidR="007C1DBA" w:rsidRPr="00F83A3C" w:rsidRDefault="007C1DBA" w:rsidP="00250DAC">
            <w:pPr>
              <w:spacing w:after="0" w:line="240" w:lineRule="auto"/>
              <w:jc w:val="both"/>
              <w:rPr>
                <w:rFonts w:ascii="Times New Roman" w:hAnsi="Times New Roman"/>
                <w:sz w:val="20"/>
                <w:szCs w:val="20"/>
              </w:rPr>
            </w:pPr>
            <w:r w:rsidRPr="00F83A3C">
              <w:rPr>
                <w:rFonts w:ascii="Times New Roman" w:hAnsi="Times New Roman"/>
                <w:sz w:val="20"/>
                <w:szCs w:val="20"/>
              </w:rPr>
              <w:t>Vasa Denticity Limited</w:t>
            </w:r>
          </w:p>
        </w:tc>
        <w:tc>
          <w:tcPr>
            <w:tcW w:w="384" w:type="pct"/>
            <w:shd w:val="clear" w:color="auto" w:fill="auto"/>
            <w:tcMar>
              <w:top w:w="0" w:type="dxa"/>
              <w:left w:w="108" w:type="dxa"/>
              <w:bottom w:w="0" w:type="dxa"/>
              <w:right w:w="108" w:type="dxa"/>
            </w:tcMar>
          </w:tcPr>
          <w:p w14:paraId="047CFDF2" w14:textId="77777777" w:rsidR="007C1DBA" w:rsidRPr="00F83A3C" w:rsidRDefault="007C1DBA" w:rsidP="00250DAC">
            <w:pPr>
              <w:spacing w:after="0" w:line="240" w:lineRule="auto"/>
              <w:jc w:val="center"/>
              <w:rPr>
                <w:rFonts w:ascii="Times New Roman" w:hAnsi="Times New Roman"/>
                <w:color w:val="000000"/>
                <w:sz w:val="20"/>
                <w:szCs w:val="20"/>
              </w:rPr>
            </w:pPr>
            <w:r w:rsidRPr="00F83A3C">
              <w:rPr>
                <w:rFonts w:ascii="Times New Roman" w:hAnsi="Times New Roman"/>
                <w:color w:val="000000"/>
                <w:sz w:val="20"/>
                <w:szCs w:val="20"/>
              </w:rPr>
              <w:t>54.06</w:t>
            </w:r>
          </w:p>
        </w:tc>
        <w:tc>
          <w:tcPr>
            <w:tcW w:w="493" w:type="pct"/>
            <w:shd w:val="clear" w:color="auto" w:fill="auto"/>
            <w:tcMar>
              <w:top w:w="0" w:type="dxa"/>
              <w:left w:w="108" w:type="dxa"/>
              <w:bottom w:w="0" w:type="dxa"/>
              <w:right w:w="108" w:type="dxa"/>
            </w:tcMar>
          </w:tcPr>
          <w:p w14:paraId="4A26E63C" w14:textId="77777777" w:rsidR="007C1DBA" w:rsidRPr="00F83A3C" w:rsidRDefault="007C1DBA" w:rsidP="00250DAC">
            <w:pPr>
              <w:spacing w:after="0" w:line="240" w:lineRule="auto"/>
              <w:jc w:val="center"/>
              <w:rPr>
                <w:rFonts w:ascii="Times New Roman" w:hAnsi="Times New Roman"/>
                <w:color w:val="000000"/>
                <w:sz w:val="20"/>
                <w:szCs w:val="20"/>
              </w:rPr>
            </w:pPr>
            <w:r w:rsidRPr="00F83A3C">
              <w:rPr>
                <w:rFonts w:ascii="Times New Roman" w:hAnsi="Times New Roman"/>
                <w:color w:val="000000"/>
                <w:sz w:val="20"/>
                <w:szCs w:val="20"/>
              </w:rPr>
              <w:t>128.00</w:t>
            </w:r>
          </w:p>
        </w:tc>
        <w:tc>
          <w:tcPr>
            <w:tcW w:w="639" w:type="pct"/>
            <w:shd w:val="clear" w:color="auto" w:fill="auto"/>
            <w:tcMar>
              <w:top w:w="0" w:type="dxa"/>
              <w:left w:w="108" w:type="dxa"/>
              <w:bottom w:w="0" w:type="dxa"/>
              <w:right w:w="108" w:type="dxa"/>
            </w:tcMar>
          </w:tcPr>
          <w:p w14:paraId="515B63E9" w14:textId="77777777" w:rsidR="007C1DBA" w:rsidRPr="00F83A3C" w:rsidRDefault="007C1DBA" w:rsidP="00250DAC">
            <w:pPr>
              <w:spacing w:after="0" w:line="240" w:lineRule="auto"/>
              <w:jc w:val="center"/>
              <w:rPr>
                <w:rFonts w:ascii="Times New Roman" w:hAnsi="Times New Roman"/>
                <w:sz w:val="20"/>
                <w:szCs w:val="20"/>
              </w:rPr>
            </w:pPr>
            <w:r w:rsidRPr="00F83A3C">
              <w:rPr>
                <w:rFonts w:ascii="Times New Roman" w:hAnsi="Times New Roman"/>
                <w:sz w:val="20"/>
                <w:szCs w:val="20"/>
              </w:rPr>
              <w:t>June 02, 2023</w:t>
            </w:r>
          </w:p>
        </w:tc>
        <w:tc>
          <w:tcPr>
            <w:tcW w:w="581" w:type="pct"/>
            <w:shd w:val="clear" w:color="auto" w:fill="auto"/>
            <w:tcMar>
              <w:top w:w="0" w:type="dxa"/>
              <w:left w:w="108" w:type="dxa"/>
              <w:bottom w:w="0" w:type="dxa"/>
              <w:right w:w="108" w:type="dxa"/>
            </w:tcMar>
          </w:tcPr>
          <w:p w14:paraId="3A14D2DD" w14:textId="77777777" w:rsidR="007C1DBA" w:rsidRPr="00F83A3C" w:rsidRDefault="007C1DBA" w:rsidP="00250DAC">
            <w:pPr>
              <w:spacing w:after="0" w:line="240" w:lineRule="auto"/>
              <w:jc w:val="center"/>
              <w:rPr>
                <w:rFonts w:ascii="Times New Roman" w:hAnsi="Times New Roman"/>
                <w:color w:val="000000"/>
                <w:sz w:val="20"/>
                <w:szCs w:val="20"/>
              </w:rPr>
            </w:pPr>
            <w:r w:rsidRPr="00F83A3C">
              <w:rPr>
                <w:rFonts w:ascii="Times New Roman" w:hAnsi="Times New Roman"/>
                <w:color w:val="000000"/>
                <w:sz w:val="20"/>
                <w:szCs w:val="20"/>
              </w:rPr>
              <w:t>211.00</w:t>
            </w:r>
          </w:p>
        </w:tc>
        <w:tc>
          <w:tcPr>
            <w:tcW w:w="696" w:type="pct"/>
            <w:shd w:val="clear" w:color="auto" w:fill="auto"/>
            <w:tcMar>
              <w:top w:w="0" w:type="dxa"/>
              <w:left w:w="108" w:type="dxa"/>
              <w:bottom w:w="0" w:type="dxa"/>
              <w:right w:w="108" w:type="dxa"/>
            </w:tcMar>
          </w:tcPr>
          <w:p w14:paraId="4BEA2D5E" w14:textId="77777777" w:rsidR="007C1DBA" w:rsidRPr="00F83A3C" w:rsidRDefault="007C1DBA" w:rsidP="00250DAC">
            <w:pPr>
              <w:spacing w:after="0" w:line="240" w:lineRule="auto"/>
              <w:jc w:val="center"/>
              <w:rPr>
                <w:rFonts w:ascii="Times New Roman" w:hAnsi="Times New Roman"/>
                <w:sz w:val="20"/>
                <w:szCs w:val="20"/>
              </w:rPr>
            </w:pPr>
            <w:r w:rsidRPr="00F83A3C">
              <w:rPr>
                <w:rFonts w:ascii="Times New Roman" w:hAnsi="Times New Roman"/>
                <w:sz w:val="20"/>
                <w:szCs w:val="20"/>
              </w:rPr>
              <w:t>156.13%</w:t>
            </w:r>
          </w:p>
          <w:p w14:paraId="71DB5B1E" w14:textId="77777777" w:rsidR="007C1DBA" w:rsidRPr="00F83A3C" w:rsidRDefault="007C1DBA" w:rsidP="00250DAC">
            <w:pPr>
              <w:spacing w:after="0" w:line="240" w:lineRule="auto"/>
              <w:jc w:val="center"/>
              <w:rPr>
                <w:rFonts w:ascii="Times New Roman" w:hAnsi="Times New Roman"/>
                <w:color w:val="000000"/>
                <w:sz w:val="20"/>
                <w:szCs w:val="20"/>
              </w:rPr>
            </w:pPr>
            <w:r w:rsidRPr="00F83A3C">
              <w:rPr>
                <w:rFonts w:ascii="Times New Roman" w:hAnsi="Times New Roman"/>
                <w:sz w:val="20"/>
                <w:szCs w:val="20"/>
              </w:rPr>
              <w:t>[3.53%]</w:t>
            </w:r>
          </w:p>
        </w:tc>
        <w:tc>
          <w:tcPr>
            <w:tcW w:w="696" w:type="pct"/>
            <w:shd w:val="clear" w:color="auto" w:fill="auto"/>
            <w:tcMar>
              <w:top w:w="0" w:type="dxa"/>
              <w:left w:w="108" w:type="dxa"/>
              <w:bottom w:w="0" w:type="dxa"/>
              <w:right w:w="108" w:type="dxa"/>
            </w:tcMar>
          </w:tcPr>
          <w:p w14:paraId="0743844A" w14:textId="77777777" w:rsidR="007C1DBA" w:rsidRDefault="007C1DBA" w:rsidP="00250DA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295.12%</w:t>
            </w:r>
          </w:p>
          <w:p w14:paraId="4436BE0F" w14:textId="77777777" w:rsidR="007C1DBA" w:rsidRPr="00F83A3C" w:rsidRDefault="007C1DBA" w:rsidP="00250DAC">
            <w:pPr>
              <w:spacing w:after="0" w:line="240" w:lineRule="auto"/>
              <w:jc w:val="center"/>
              <w:rPr>
                <w:rFonts w:ascii="Times New Roman" w:hAnsi="Times New Roman"/>
                <w:sz w:val="20"/>
                <w:szCs w:val="20"/>
              </w:rPr>
            </w:pPr>
            <w:r>
              <w:rPr>
                <w:rFonts w:ascii="Times New Roman" w:hAnsi="Times New Roman"/>
                <w:sz w:val="20"/>
                <w:szCs w:val="20"/>
              </w:rPr>
              <w:t>[3.88%]</w:t>
            </w:r>
          </w:p>
        </w:tc>
        <w:tc>
          <w:tcPr>
            <w:tcW w:w="562" w:type="pct"/>
            <w:shd w:val="clear" w:color="auto" w:fill="auto"/>
            <w:tcMar>
              <w:top w:w="0" w:type="dxa"/>
              <w:left w:w="108" w:type="dxa"/>
              <w:bottom w:w="0" w:type="dxa"/>
              <w:right w:w="108" w:type="dxa"/>
            </w:tcMar>
          </w:tcPr>
          <w:p w14:paraId="0326219D" w14:textId="77777777" w:rsidR="007C1DBA" w:rsidRPr="00F83A3C" w:rsidRDefault="007C1DBA" w:rsidP="00250DAC">
            <w:pPr>
              <w:spacing w:after="0" w:line="240" w:lineRule="auto"/>
              <w:jc w:val="center"/>
              <w:rPr>
                <w:rFonts w:ascii="Times New Roman" w:hAnsi="Times New Roman"/>
                <w:color w:val="000000"/>
                <w:sz w:val="20"/>
                <w:szCs w:val="20"/>
              </w:rPr>
            </w:pPr>
            <w:r w:rsidRPr="00F83A3C">
              <w:rPr>
                <w:rFonts w:ascii="Times New Roman" w:hAnsi="Times New Roman"/>
                <w:color w:val="000000"/>
                <w:sz w:val="20"/>
                <w:szCs w:val="20"/>
              </w:rPr>
              <w:t>N.A.</w:t>
            </w:r>
          </w:p>
        </w:tc>
      </w:tr>
      <w:tr w:rsidR="007C1DBA" w:rsidRPr="00F83A3C" w14:paraId="3E216796" w14:textId="77777777" w:rsidTr="00250DAC">
        <w:trPr>
          <w:trHeight w:val="20"/>
        </w:trPr>
        <w:tc>
          <w:tcPr>
            <w:tcW w:w="268" w:type="pct"/>
            <w:shd w:val="clear" w:color="auto" w:fill="auto"/>
            <w:tcMar>
              <w:top w:w="0" w:type="dxa"/>
              <w:left w:w="108" w:type="dxa"/>
              <w:bottom w:w="0" w:type="dxa"/>
              <w:right w:w="108" w:type="dxa"/>
            </w:tcMar>
            <w:vAlign w:val="center"/>
          </w:tcPr>
          <w:p w14:paraId="18999297" w14:textId="77777777" w:rsidR="007C1DBA" w:rsidRPr="00E042AE" w:rsidRDefault="007C1DBA">
            <w:pPr>
              <w:pStyle w:val="ListParagraph"/>
              <w:numPr>
                <w:ilvl w:val="0"/>
                <w:numId w:val="342"/>
              </w:numPr>
              <w:spacing w:line="240" w:lineRule="auto"/>
              <w:ind w:left="267"/>
              <w:jc w:val="right"/>
              <w:rPr>
                <w:sz w:val="20"/>
                <w:szCs w:val="20"/>
              </w:rPr>
            </w:pPr>
          </w:p>
        </w:tc>
        <w:tc>
          <w:tcPr>
            <w:tcW w:w="681" w:type="pct"/>
            <w:shd w:val="clear" w:color="auto" w:fill="auto"/>
            <w:tcMar>
              <w:top w:w="0" w:type="dxa"/>
              <w:left w:w="108" w:type="dxa"/>
              <w:bottom w:w="0" w:type="dxa"/>
              <w:right w:w="108" w:type="dxa"/>
            </w:tcMar>
          </w:tcPr>
          <w:p w14:paraId="56997555" w14:textId="77777777" w:rsidR="007C1DBA" w:rsidRPr="00F83A3C" w:rsidRDefault="007C1DBA" w:rsidP="00250DAC">
            <w:pPr>
              <w:spacing w:after="0" w:line="240" w:lineRule="auto"/>
              <w:jc w:val="both"/>
              <w:rPr>
                <w:rFonts w:ascii="Times New Roman" w:hAnsi="Times New Roman"/>
                <w:sz w:val="20"/>
                <w:szCs w:val="20"/>
              </w:rPr>
            </w:pPr>
            <w:r w:rsidRPr="00F83A3C">
              <w:rPr>
                <w:rFonts w:ascii="Times New Roman" w:hAnsi="Times New Roman"/>
                <w:sz w:val="20"/>
                <w:szCs w:val="20"/>
              </w:rPr>
              <w:t>Hemant Surgical Industries Limited</w:t>
            </w:r>
          </w:p>
        </w:tc>
        <w:tc>
          <w:tcPr>
            <w:tcW w:w="384" w:type="pct"/>
            <w:shd w:val="clear" w:color="auto" w:fill="auto"/>
            <w:tcMar>
              <w:top w:w="0" w:type="dxa"/>
              <w:left w:w="108" w:type="dxa"/>
              <w:bottom w:w="0" w:type="dxa"/>
              <w:right w:w="108" w:type="dxa"/>
            </w:tcMar>
          </w:tcPr>
          <w:p w14:paraId="58372CD9" w14:textId="77777777" w:rsidR="007C1DBA" w:rsidRPr="00F83A3C" w:rsidRDefault="007C1DBA" w:rsidP="00250DAC">
            <w:pPr>
              <w:spacing w:after="0" w:line="240" w:lineRule="auto"/>
              <w:jc w:val="center"/>
              <w:rPr>
                <w:rFonts w:ascii="Times New Roman" w:hAnsi="Times New Roman"/>
                <w:color w:val="000000"/>
                <w:sz w:val="20"/>
                <w:szCs w:val="20"/>
              </w:rPr>
            </w:pPr>
            <w:r w:rsidRPr="00F83A3C">
              <w:rPr>
                <w:rFonts w:ascii="Times New Roman" w:hAnsi="Times New Roman"/>
                <w:color w:val="000000"/>
                <w:sz w:val="20"/>
                <w:szCs w:val="20"/>
              </w:rPr>
              <w:t>24.84</w:t>
            </w:r>
          </w:p>
        </w:tc>
        <w:tc>
          <w:tcPr>
            <w:tcW w:w="493" w:type="pct"/>
            <w:shd w:val="clear" w:color="auto" w:fill="auto"/>
            <w:tcMar>
              <w:top w:w="0" w:type="dxa"/>
              <w:left w:w="108" w:type="dxa"/>
              <w:bottom w:w="0" w:type="dxa"/>
              <w:right w:w="108" w:type="dxa"/>
            </w:tcMar>
          </w:tcPr>
          <w:p w14:paraId="57C05B0B" w14:textId="77777777" w:rsidR="007C1DBA" w:rsidRPr="00F83A3C" w:rsidRDefault="007C1DBA" w:rsidP="00250DAC">
            <w:pPr>
              <w:spacing w:after="0" w:line="240" w:lineRule="auto"/>
              <w:jc w:val="center"/>
              <w:rPr>
                <w:rFonts w:ascii="Times New Roman" w:hAnsi="Times New Roman"/>
                <w:color w:val="000000"/>
                <w:sz w:val="20"/>
                <w:szCs w:val="20"/>
              </w:rPr>
            </w:pPr>
            <w:r w:rsidRPr="00F83A3C">
              <w:rPr>
                <w:rFonts w:ascii="Times New Roman" w:hAnsi="Times New Roman"/>
                <w:color w:val="000000"/>
                <w:sz w:val="20"/>
                <w:szCs w:val="20"/>
              </w:rPr>
              <w:t>90.00</w:t>
            </w:r>
          </w:p>
        </w:tc>
        <w:tc>
          <w:tcPr>
            <w:tcW w:w="639" w:type="pct"/>
            <w:shd w:val="clear" w:color="auto" w:fill="auto"/>
            <w:tcMar>
              <w:top w:w="0" w:type="dxa"/>
              <w:left w:w="108" w:type="dxa"/>
              <w:bottom w:w="0" w:type="dxa"/>
              <w:right w:w="108" w:type="dxa"/>
            </w:tcMar>
          </w:tcPr>
          <w:p w14:paraId="0971A983" w14:textId="77777777" w:rsidR="007C1DBA" w:rsidRPr="00F83A3C" w:rsidRDefault="007C1DBA" w:rsidP="00250DAC">
            <w:pPr>
              <w:spacing w:after="0" w:line="240" w:lineRule="auto"/>
              <w:jc w:val="center"/>
              <w:rPr>
                <w:rFonts w:ascii="Times New Roman" w:hAnsi="Times New Roman"/>
                <w:sz w:val="20"/>
                <w:szCs w:val="20"/>
              </w:rPr>
            </w:pPr>
            <w:r w:rsidRPr="00F83A3C">
              <w:rPr>
                <w:rFonts w:ascii="Times New Roman" w:hAnsi="Times New Roman"/>
                <w:sz w:val="20"/>
                <w:szCs w:val="20"/>
              </w:rPr>
              <w:t>June 05, 2023</w:t>
            </w:r>
          </w:p>
        </w:tc>
        <w:tc>
          <w:tcPr>
            <w:tcW w:w="581" w:type="pct"/>
            <w:shd w:val="clear" w:color="auto" w:fill="auto"/>
            <w:tcMar>
              <w:top w:w="0" w:type="dxa"/>
              <w:left w:w="108" w:type="dxa"/>
              <w:bottom w:w="0" w:type="dxa"/>
              <w:right w:w="108" w:type="dxa"/>
            </w:tcMar>
          </w:tcPr>
          <w:p w14:paraId="6880CB5F" w14:textId="77777777" w:rsidR="007C1DBA" w:rsidRPr="00F83A3C" w:rsidRDefault="007C1DBA" w:rsidP="00250DAC">
            <w:pPr>
              <w:spacing w:after="0" w:line="240" w:lineRule="auto"/>
              <w:jc w:val="center"/>
              <w:rPr>
                <w:rFonts w:ascii="Times New Roman" w:hAnsi="Times New Roman"/>
                <w:color w:val="000000"/>
                <w:sz w:val="20"/>
                <w:szCs w:val="20"/>
              </w:rPr>
            </w:pPr>
            <w:r w:rsidRPr="00F83A3C">
              <w:rPr>
                <w:rFonts w:ascii="Times New Roman" w:hAnsi="Times New Roman"/>
                <w:color w:val="000000"/>
                <w:sz w:val="20"/>
                <w:szCs w:val="20"/>
              </w:rPr>
              <w:t>171.00</w:t>
            </w:r>
          </w:p>
        </w:tc>
        <w:tc>
          <w:tcPr>
            <w:tcW w:w="696" w:type="pct"/>
            <w:shd w:val="clear" w:color="auto" w:fill="auto"/>
            <w:tcMar>
              <w:top w:w="0" w:type="dxa"/>
              <w:left w:w="108" w:type="dxa"/>
              <w:bottom w:w="0" w:type="dxa"/>
              <w:right w:w="108" w:type="dxa"/>
            </w:tcMar>
          </w:tcPr>
          <w:p w14:paraId="3006F1FA" w14:textId="77777777" w:rsidR="007C1DBA" w:rsidRPr="00F83A3C" w:rsidRDefault="007C1DBA" w:rsidP="00250DAC">
            <w:pPr>
              <w:spacing w:after="0" w:line="240" w:lineRule="auto"/>
              <w:jc w:val="center"/>
              <w:rPr>
                <w:rFonts w:ascii="Times New Roman" w:hAnsi="Times New Roman"/>
                <w:color w:val="000000"/>
                <w:sz w:val="20"/>
                <w:szCs w:val="20"/>
              </w:rPr>
            </w:pPr>
            <w:r w:rsidRPr="00F83A3C">
              <w:rPr>
                <w:rFonts w:ascii="Times New Roman" w:hAnsi="Times New Roman"/>
                <w:color w:val="000000"/>
                <w:sz w:val="20"/>
                <w:szCs w:val="20"/>
              </w:rPr>
              <w:t>34.30%</w:t>
            </w:r>
          </w:p>
          <w:p w14:paraId="157DBDF8" w14:textId="77777777" w:rsidR="007C1DBA" w:rsidRPr="00F83A3C" w:rsidRDefault="007C1DBA" w:rsidP="00250DAC">
            <w:pPr>
              <w:spacing w:after="0" w:line="240" w:lineRule="auto"/>
              <w:jc w:val="center"/>
              <w:rPr>
                <w:rFonts w:ascii="Times New Roman" w:hAnsi="Times New Roman"/>
                <w:color w:val="000000"/>
                <w:sz w:val="20"/>
                <w:szCs w:val="20"/>
              </w:rPr>
            </w:pPr>
            <w:r w:rsidRPr="00F83A3C">
              <w:rPr>
                <w:rFonts w:ascii="Times New Roman" w:hAnsi="Times New Roman"/>
                <w:color w:val="000000"/>
                <w:sz w:val="20"/>
                <w:szCs w:val="20"/>
              </w:rPr>
              <w:t>[4.23%]</w:t>
            </w:r>
          </w:p>
        </w:tc>
        <w:tc>
          <w:tcPr>
            <w:tcW w:w="696" w:type="pct"/>
            <w:shd w:val="clear" w:color="auto" w:fill="auto"/>
            <w:tcMar>
              <w:top w:w="0" w:type="dxa"/>
              <w:left w:w="108" w:type="dxa"/>
              <w:bottom w:w="0" w:type="dxa"/>
              <w:right w:w="108" w:type="dxa"/>
            </w:tcMar>
          </w:tcPr>
          <w:p w14:paraId="13ED84C6" w14:textId="77777777" w:rsidR="007C1DBA" w:rsidRDefault="007C1DBA" w:rsidP="00250DA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40.41%</w:t>
            </w:r>
          </w:p>
          <w:p w14:paraId="1A0B63D1" w14:textId="77777777" w:rsidR="007C1DBA" w:rsidRPr="00F20A18" w:rsidRDefault="007C1DBA" w:rsidP="00250DA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[4.52]</w:t>
            </w:r>
          </w:p>
        </w:tc>
        <w:tc>
          <w:tcPr>
            <w:tcW w:w="562" w:type="pct"/>
            <w:shd w:val="clear" w:color="auto" w:fill="auto"/>
            <w:tcMar>
              <w:top w:w="0" w:type="dxa"/>
              <w:left w:w="108" w:type="dxa"/>
              <w:bottom w:w="0" w:type="dxa"/>
              <w:right w:w="108" w:type="dxa"/>
            </w:tcMar>
          </w:tcPr>
          <w:p w14:paraId="42011222" w14:textId="77777777" w:rsidR="007C1DBA" w:rsidRPr="00F83A3C" w:rsidRDefault="007C1DBA" w:rsidP="00250DAC">
            <w:pPr>
              <w:spacing w:after="0" w:line="240" w:lineRule="auto"/>
              <w:jc w:val="center"/>
              <w:rPr>
                <w:rFonts w:ascii="Times New Roman" w:hAnsi="Times New Roman"/>
                <w:color w:val="000000"/>
                <w:sz w:val="20"/>
                <w:szCs w:val="20"/>
              </w:rPr>
            </w:pPr>
            <w:r w:rsidRPr="00F83A3C">
              <w:rPr>
                <w:rFonts w:ascii="Times New Roman" w:hAnsi="Times New Roman"/>
                <w:color w:val="000000"/>
                <w:sz w:val="20"/>
                <w:szCs w:val="20"/>
              </w:rPr>
              <w:t>N.A.</w:t>
            </w:r>
          </w:p>
        </w:tc>
      </w:tr>
      <w:tr w:rsidR="007C1DBA" w:rsidRPr="00F83A3C" w14:paraId="47E4EC1B" w14:textId="77777777" w:rsidTr="00250DAC">
        <w:trPr>
          <w:trHeight w:val="20"/>
        </w:trPr>
        <w:tc>
          <w:tcPr>
            <w:tcW w:w="268" w:type="pct"/>
            <w:shd w:val="clear" w:color="auto" w:fill="auto"/>
            <w:tcMar>
              <w:top w:w="0" w:type="dxa"/>
              <w:left w:w="108" w:type="dxa"/>
              <w:bottom w:w="0" w:type="dxa"/>
              <w:right w:w="108" w:type="dxa"/>
            </w:tcMar>
            <w:vAlign w:val="center"/>
          </w:tcPr>
          <w:p w14:paraId="228FB90A" w14:textId="77777777" w:rsidR="007C1DBA" w:rsidRPr="00E042AE" w:rsidRDefault="007C1DBA">
            <w:pPr>
              <w:pStyle w:val="ListParagraph"/>
              <w:numPr>
                <w:ilvl w:val="0"/>
                <w:numId w:val="342"/>
              </w:numPr>
              <w:spacing w:line="240" w:lineRule="auto"/>
              <w:ind w:left="267"/>
              <w:jc w:val="right"/>
              <w:rPr>
                <w:sz w:val="20"/>
                <w:szCs w:val="20"/>
              </w:rPr>
            </w:pPr>
          </w:p>
        </w:tc>
        <w:tc>
          <w:tcPr>
            <w:tcW w:w="681" w:type="pct"/>
            <w:shd w:val="clear" w:color="auto" w:fill="auto"/>
            <w:tcMar>
              <w:top w:w="0" w:type="dxa"/>
              <w:left w:w="108" w:type="dxa"/>
              <w:bottom w:w="0" w:type="dxa"/>
              <w:right w:w="108" w:type="dxa"/>
            </w:tcMar>
          </w:tcPr>
          <w:p w14:paraId="7EBA7C69" w14:textId="77777777" w:rsidR="007C1DBA" w:rsidRPr="00F83A3C" w:rsidRDefault="007C1DBA" w:rsidP="00250DAC">
            <w:pPr>
              <w:spacing w:after="0" w:line="240" w:lineRule="auto"/>
              <w:jc w:val="both"/>
              <w:rPr>
                <w:rFonts w:ascii="Times New Roman" w:hAnsi="Times New Roman"/>
                <w:sz w:val="20"/>
                <w:szCs w:val="20"/>
              </w:rPr>
            </w:pPr>
            <w:r w:rsidRPr="00F83A3C">
              <w:rPr>
                <w:rFonts w:ascii="Times New Roman" w:hAnsi="Times New Roman"/>
                <w:sz w:val="20"/>
                <w:szCs w:val="20"/>
              </w:rPr>
              <w:t>Greenchef Appliances Limited</w:t>
            </w:r>
          </w:p>
        </w:tc>
        <w:tc>
          <w:tcPr>
            <w:tcW w:w="384" w:type="pct"/>
            <w:shd w:val="clear" w:color="auto" w:fill="auto"/>
            <w:tcMar>
              <w:top w:w="0" w:type="dxa"/>
              <w:left w:w="108" w:type="dxa"/>
              <w:bottom w:w="0" w:type="dxa"/>
              <w:right w:w="108" w:type="dxa"/>
            </w:tcMar>
          </w:tcPr>
          <w:p w14:paraId="5343C8CC" w14:textId="77777777" w:rsidR="007C1DBA" w:rsidRPr="00F83A3C" w:rsidRDefault="007C1DBA" w:rsidP="00250DAC">
            <w:pPr>
              <w:spacing w:after="0" w:line="240" w:lineRule="auto"/>
              <w:jc w:val="center"/>
              <w:rPr>
                <w:rFonts w:ascii="Times New Roman" w:hAnsi="Times New Roman"/>
                <w:color w:val="000000"/>
                <w:sz w:val="20"/>
                <w:szCs w:val="20"/>
              </w:rPr>
            </w:pPr>
            <w:r w:rsidRPr="00F83A3C">
              <w:rPr>
                <w:rFonts w:ascii="Times New Roman" w:hAnsi="Times New Roman"/>
                <w:color w:val="000000"/>
                <w:sz w:val="20"/>
                <w:szCs w:val="20"/>
              </w:rPr>
              <w:t>53.62</w:t>
            </w:r>
          </w:p>
        </w:tc>
        <w:tc>
          <w:tcPr>
            <w:tcW w:w="493" w:type="pct"/>
            <w:shd w:val="clear" w:color="auto" w:fill="auto"/>
            <w:tcMar>
              <w:top w:w="0" w:type="dxa"/>
              <w:left w:w="108" w:type="dxa"/>
              <w:bottom w:w="0" w:type="dxa"/>
              <w:right w:w="108" w:type="dxa"/>
            </w:tcMar>
          </w:tcPr>
          <w:p w14:paraId="6A7B0F4D" w14:textId="77777777" w:rsidR="007C1DBA" w:rsidRPr="00F83A3C" w:rsidRDefault="007C1DBA" w:rsidP="00250DAC">
            <w:pPr>
              <w:spacing w:after="0" w:line="240" w:lineRule="auto"/>
              <w:jc w:val="center"/>
              <w:rPr>
                <w:rFonts w:ascii="Times New Roman" w:hAnsi="Times New Roman"/>
                <w:color w:val="000000"/>
                <w:sz w:val="20"/>
                <w:szCs w:val="20"/>
              </w:rPr>
            </w:pPr>
            <w:r w:rsidRPr="00F83A3C">
              <w:rPr>
                <w:rFonts w:ascii="Times New Roman" w:hAnsi="Times New Roman"/>
                <w:color w:val="000000"/>
                <w:sz w:val="20"/>
                <w:szCs w:val="20"/>
              </w:rPr>
              <w:t>87.00</w:t>
            </w:r>
          </w:p>
        </w:tc>
        <w:tc>
          <w:tcPr>
            <w:tcW w:w="639" w:type="pct"/>
            <w:shd w:val="clear" w:color="auto" w:fill="auto"/>
            <w:tcMar>
              <w:top w:w="0" w:type="dxa"/>
              <w:left w:w="108" w:type="dxa"/>
              <w:bottom w:w="0" w:type="dxa"/>
              <w:right w:w="108" w:type="dxa"/>
            </w:tcMar>
          </w:tcPr>
          <w:p w14:paraId="0E06EAF9" w14:textId="77777777" w:rsidR="007C1DBA" w:rsidRPr="00F83A3C" w:rsidRDefault="007C1DBA" w:rsidP="00250DAC">
            <w:pPr>
              <w:spacing w:after="0" w:line="240" w:lineRule="auto"/>
              <w:jc w:val="center"/>
              <w:rPr>
                <w:rFonts w:ascii="Times New Roman" w:hAnsi="Times New Roman"/>
                <w:sz w:val="20"/>
                <w:szCs w:val="20"/>
              </w:rPr>
            </w:pPr>
            <w:r w:rsidRPr="00F83A3C">
              <w:rPr>
                <w:rFonts w:ascii="Times New Roman" w:hAnsi="Times New Roman"/>
                <w:sz w:val="20"/>
                <w:szCs w:val="20"/>
              </w:rPr>
              <w:t>July 06, 2023</w:t>
            </w:r>
          </w:p>
        </w:tc>
        <w:tc>
          <w:tcPr>
            <w:tcW w:w="581" w:type="pct"/>
            <w:shd w:val="clear" w:color="auto" w:fill="auto"/>
            <w:tcMar>
              <w:top w:w="0" w:type="dxa"/>
              <w:left w:w="108" w:type="dxa"/>
              <w:bottom w:w="0" w:type="dxa"/>
              <w:right w:w="108" w:type="dxa"/>
            </w:tcMar>
          </w:tcPr>
          <w:p w14:paraId="3A70F872" w14:textId="77777777" w:rsidR="007C1DBA" w:rsidRPr="00F83A3C" w:rsidRDefault="007C1DBA" w:rsidP="00250DAC">
            <w:pPr>
              <w:spacing w:after="0" w:line="240" w:lineRule="auto"/>
              <w:jc w:val="center"/>
              <w:rPr>
                <w:rFonts w:ascii="Times New Roman" w:hAnsi="Times New Roman"/>
                <w:color w:val="000000"/>
                <w:sz w:val="20"/>
                <w:szCs w:val="20"/>
              </w:rPr>
            </w:pPr>
            <w:r w:rsidRPr="00F83A3C">
              <w:rPr>
                <w:rFonts w:ascii="Times New Roman" w:hAnsi="Times New Roman"/>
                <w:color w:val="000000"/>
                <w:sz w:val="20"/>
                <w:szCs w:val="20"/>
              </w:rPr>
              <w:t>104.00</w:t>
            </w:r>
          </w:p>
        </w:tc>
        <w:tc>
          <w:tcPr>
            <w:tcW w:w="696" w:type="pct"/>
            <w:shd w:val="clear" w:color="auto" w:fill="auto"/>
            <w:tcMar>
              <w:top w:w="0" w:type="dxa"/>
              <w:left w:w="108" w:type="dxa"/>
              <w:bottom w:w="0" w:type="dxa"/>
              <w:right w:w="108" w:type="dxa"/>
            </w:tcMar>
          </w:tcPr>
          <w:p w14:paraId="1AF80AC7" w14:textId="77777777" w:rsidR="007C1DBA" w:rsidRPr="004B6689" w:rsidRDefault="007C1DBA" w:rsidP="00250DAC">
            <w:pPr>
              <w:tabs>
                <w:tab w:val="left" w:pos="264"/>
                <w:tab w:val="center" w:pos="617"/>
              </w:tabs>
              <w:spacing w:after="0" w:line="240" w:lineRule="auto"/>
              <w:jc w:val="center"/>
              <w:rPr>
                <w:rFonts w:ascii="Times New Roman" w:hAnsi="Times New Roman"/>
                <w:sz w:val="20"/>
                <w:szCs w:val="20"/>
              </w:rPr>
            </w:pPr>
            <w:r w:rsidRPr="004B6689">
              <w:rPr>
                <w:rFonts w:ascii="Times New Roman" w:hAnsi="Times New Roman"/>
                <w:sz w:val="20"/>
                <w:szCs w:val="20"/>
              </w:rPr>
              <w:t>28.91%</w:t>
            </w:r>
          </w:p>
          <w:p w14:paraId="38C23435" w14:textId="77777777" w:rsidR="007C1DBA" w:rsidRPr="00E042AE" w:rsidRDefault="007C1DBA" w:rsidP="00250DAC">
            <w:pPr>
              <w:spacing w:after="0" w:line="240" w:lineRule="auto"/>
              <w:jc w:val="center"/>
              <w:rPr>
                <w:rFonts w:ascii="Times New Roman" w:hAnsi="Times New Roman"/>
                <w:color w:val="000000"/>
                <w:sz w:val="20"/>
                <w:szCs w:val="20"/>
              </w:rPr>
            </w:pPr>
            <w:r w:rsidRPr="004B6689">
              <w:rPr>
                <w:rFonts w:ascii="Times New Roman" w:hAnsi="Times New Roman"/>
                <w:sz w:val="20"/>
                <w:szCs w:val="20"/>
              </w:rPr>
              <w:t>[0.51%]</w:t>
            </w:r>
          </w:p>
        </w:tc>
        <w:tc>
          <w:tcPr>
            <w:tcW w:w="696" w:type="pct"/>
            <w:shd w:val="clear" w:color="auto" w:fill="auto"/>
            <w:tcMar>
              <w:top w:w="0" w:type="dxa"/>
              <w:left w:w="108" w:type="dxa"/>
              <w:bottom w:w="0" w:type="dxa"/>
              <w:right w:w="108" w:type="dxa"/>
            </w:tcMar>
          </w:tcPr>
          <w:p w14:paraId="0D59ACC6" w14:textId="77777777" w:rsidR="007C1DBA" w:rsidRPr="00F83A3C" w:rsidRDefault="007C1DBA" w:rsidP="00250DAC">
            <w:pPr>
              <w:spacing w:after="0" w:line="240" w:lineRule="auto"/>
              <w:jc w:val="center"/>
              <w:rPr>
                <w:rFonts w:ascii="Times New Roman" w:hAnsi="Times New Roman"/>
                <w:color w:val="000000"/>
                <w:sz w:val="20"/>
                <w:szCs w:val="20"/>
              </w:rPr>
            </w:pPr>
            <w:r w:rsidRPr="00F83A3C">
              <w:rPr>
                <w:rFonts w:ascii="Times New Roman" w:hAnsi="Times New Roman"/>
                <w:color w:val="000000"/>
                <w:sz w:val="20"/>
                <w:szCs w:val="20"/>
              </w:rPr>
              <w:t>N.A.</w:t>
            </w:r>
          </w:p>
        </w:tc>
        <w:tc>
          <w:tcPr>
            <w:tcW w:w="562" w:type="pct"/>
            <w:shd w:val="clear" w:color="auto" w:fill="auto"/>
            <w:tcMar>
              <w:top w:w="0" w:type="dxa"/>
              <w:left w:w="108" w:type="dxa"/>
              <w:bottom w:w="0" w:type="dxa"/>
              <w:right w:w="108" w:type="dxa"/>
            </w:tcMar>
          </w:tcPr>
          <w:p w14:paraId="4445E166" w14:textId="77777777" w:rsidR="007C1DBA" w:rsidRPr="00F83A3C" w:rsidRDefault="007C1DBA" w:rsidP="00250DAC">
            <w:pPr>
              <w:spacing w:after="0" w:line="240" w:lineRule="auto"/>
              <w:jc w:val="center"/>
              <w:rPr>
                <w:rFonts w:ascii="Times New Roman" w:hAnsi="Times New Roman"/>
                <w:color w:val="000000"/>
                <w:sz w:val="20"/>
                <w:szCs w:val="20"/>
              </w:rPr>
            </w:pPr>
            <w:r w:rsidRPr="00F83A3C">
              <w:rPr>
                <w:rFonts w:ascii="Times New Roman" w:hAnsi="Times New Roman"/>
                <w:color w:val="000000"/>
                <w:sz w:val="20"/>
                <w:szCs w:val="20"/>
              </w:rPr>
              <w:t>N.A.</w:t>
            </w:r>
          </w:p>
        </w:tc>
      </w:tr>
      <w:tr w:rsidR="007C1DBA" w:rsidRPr="00F83A3C" w14:paraId="71E280FA" w14:textId="77777777" w:rsidTr="00250DAC">
        <w:trPr>
          <w:trHeight w:val="20"/>
        </w:trPr>
        <w:tc>
          <w:tcPr>
            <w:tcW w:w="268" w:type="pct"/>
            <w:shd w:val="clear" w:color="auto" w:fill="auto"/>
            <w:tcMar>
              <w:top w:w="0" w:type="dxa"/>
              <w:left w:w="108" w:type="dxa"/>
              <w:bottom w:w="0" w:type="dxa"/>
              <w:right w:w="108" w:type="dxa"/>
            </w:tcMar>
            <w:vAlign w:val="center"/>
          </w:tcPr>
          <w:p w14:paraId="3442B0C9" w14:textId="77777777" w:rsidR="007C1DBA" w:rsidRPr="00E042AE" w:rsidRDefault="007C1DBA">
            <w:pPr>
              <w:pStyle w:val="ListParagraph"/>
              <w:numPr>
                <w:ilvl w:val="0"/>
                <w:numId w:val="342"/>
              </w:numPr>
              <w:spacing w:line="240" w:lineRule="auto"/>
              <w:ind w:left="267"/>
              <w:jc w:val="right"/>
              <w:rPr>
                <w:sz w:val="20"/>
                <w:szCs w:val="20"/>
              </w:rPr>
            </w:pPr>
          </w:p>
        </w:tc>
        <w:tc>
          <w:tcPr>
            <w:tcW w:w="681" w:type="pct"/>
            <w:shd w:val="clear" w:color="auto" w:fill="auto"/>
            <w:tcMar>
              <w:top w:w="0" w:type="dxa"/>
              <w:left w:w="108" w:type="dxa"/>
              <w:bottom w:w="0" w:type="dxa"/>
              <w:right w:w="108" w:type="dxa"/>
            </w:tcMar>
          </w:tcPr>
          <w:p w14:paraId="7D84D4D9" w14:textId="77777777" w:rsidR="007C1DBA" w:rsidRPr="00F83A3C" w:rsidRDefault="007C1DBA" w:rsidP="00250DAC">
            <w:pPr>
              <w:spacing w:after="0" w:line="240" w:lineRule="auto"/>
              <w:jc w:val="both"/>
              <w:rPr>
                <w:rFonts w:ascii="Times New Roman" w:hAnsi="Times New Roman"/>
                <w:sz w:val="20"/>
                <w:szCs w:val="20"/>
              </w:rPr>
            </w:pPr>
            <w:r w:rsidRPr="00F83A3C">
              <w:rPr>
                <w:rFonts w:ascii="Times New Roman" w:hAnsi="Times New Roman"/>
                <w:sz w:val="20"/>
                <w:szCs w:val="20"/>
              </w:rPr>
              <w:t>Kaka Industries Limited</w:t>
            </w:r>
          </w:p>
        </w:tc>
        <w:tc>
          <w:tcPr>
            <w:tcW w:w="384" w:type="pct"/>
            <w:shd w:val="clear" w:color="auto" w:fill="auto"/>
            <w:tcMar>
              <w:top w:w="0" w:type="dxa"/>
              <w:left w:w="108" w:type="dxa"/>
              <w:bottom w:w="0" w:type="dxa"/>
              <w:right w:w="108" w:type="dxa"/>
            </w:tcMar>
          </w:tcPr>
          <w:p w14:paraId="6BE6941F" w14:textId="77777777" w:rsidR="007C1DBA" w:rsidRPr="00F83A3C" w:rsidRDefault="007C1DBA" w:rsidP="00250DAC">
            <w:pPr>
              <w:spacing w:after="0" w:line="240" w:lineRule="auto"/>
              <w:jc w:val="center"/>
              <w:rPr>
                <w:rFonts w:ascii="Times New Roman" w:hAnsi="Times New Roman"/>
                <w:color w:val="000000"/>
                <w:sz w:val="20"/>
                <w:szCs w:val="20"/>
              </w:rPr>
            </w:pPr>
            <w:r w:rsidRPr="00F83A3C">
              <w:rPr>
                <w:rFonts w:ascii="Times New Roman" w:hAnsi="Times New Roman"/>
                <w:color w:val="000000"/>
                <w:sz w:val="20"/>
                <w:szCs w:val="20"/>
              </w:rPr>
              <w:t>21.23</w:t>
            </w:r>
          </w:p>
        </w:tc>
        <w:tc>
          <w:tcPr>
            <w:tcW w:w="493" w:type="pct"/>
            <w:shd w:val="clear" w:color="auto" w:fill="auto"/>
            <w:tcMar>
              <w:top w:w="0" w:type="dxa"/>
              <w:left w:w="108" w:type="dxa"/>
              <w:bottom w:w="0" w:type="dxa"/>
              <w:right w:w="108" w:type="dxa"/>
            </w:tcMar>
          </w:tcPr>
          <w:p w14:paraId="07CD5CE1" w14:textId="77777777" w:rsidR="007C1DBA" w:rsidRPr="00F83A3C" w:rsidRDefault="007C1DBA" w:rsidP="00250DAC">
            <w:pPr>
              <w:spacing w:after="0" w:line="240" w:lineRule="auto"/>
              <w:jc w:val="center"/>
              <w:rPr>
                <w:rFonts w:ascii="Times New Roman" w:hAnsi="Times New Roman"/>
                <w:color w:val="000000"/>
                <w:sz w:val="20"/>
                <w:szCs w:val="20"/>
              </w:rPr>
            </w:pPr>
            <w:r w:rsidRPr="00F83A3C">
              <w:rPr>
                <w:rFonts w:ascii="Times New Roman" w:hAnsi="Times New Roman"/>
                <w:color w:val="000000"/>
                <w:sz w:val="20"/>
                <w:szCs w:val="20"/>
              </w:rPr>
              <w:t>58.00</w:t>
            </w:r>
          </w:p>
        </w:tc>
        <w:tc>
          <w:tcPr>
            <w:tcW w:w="639" w:type="pct"/>
            <w:shd w:val="clear" w:color="auto" w:fill="auto"/>
            <w:tcMar>
              <w:top w:w="0" w:type="dxa"/>
              <w:left w:w="108" w:type="dxa"/>
              <w:bottom w:w="0" w:type="dxa"/>
              <w:right w:w="108" w:type="dxa"/>
            </w:tcMar>
          </w:tcPr>
          <w:p w14:paraId="6C70E1B4" w14:textId="77777777" w:rsidR="007C1DBA" w:rsidRPr="00F83A3C" w:rsidRDefault="007C1DBA" w:rsidP="00250DAC">
            <w:pPr>
              <w:spacing w:after="0" w:line="240" w:lineRule="auto"/>
              <w:jc w:val="center"/>
              <w:rPr>
                <w:rFonts w:ascii="Times New Roman" w:hAnsi="Times New Roman"/>
                <w:sz w:val="20"/>
                <w:szCs w:val="20"/>
              </w:rPr>
            </w:pPr>
            <w:r w:rsidRPr="00F83A3C">
              <w:rPr>
                <w:rFonts w:ascii="Times New Roman" w:hAnsi="Times New Roman"/>
                <w:sz w:val="20"/>
                <w:szCs w:val="20"/>
              </w:rPr>
              <w:t>July 19, 2023</w:t>
            </w:r>
          </w:p>
        </w:tc>
        <w:tc>
          <w:tcPr>
            <w:tcW w:w="581" w:type="pct"/>
            <w:shd w:val="clear" w:color="auto" w:fill="auto"/>
            <w:tcMar>
              <w:top w:w="0" w:type="dxa"/>
              <w:left w:w="108" w:type="dxa"/>
              <w:bottom w:w="0" w:type="dxa"/>
              <w:right w:w="108" w:type="dxa"/>
            </w:tcMar>
          </w:tcPr>
          <w:p w14:paraId="418F988C" w14:textId="77777777" w:rsidR="007C1DBA" w:rsidRPr="00F83A3C" w:rsidRDefault="007C1DBA" w:rsidP="00250DAC">
            <w:pPr>
              <w:spacing w:after="0" w:line="240" w:lineRule="auto"/>
              <w:jc w:val="center"/>
              <w:rPr>
                <w:rFonts w:ascii="Times New Roman" w:hAnsi="Times New Roman"/>
                <w:color w:val="000000"/>
                <w:sz w:val="20"/>
                <w:szCs w:val="20"/>
              </w:rPr>
            </w:pPr>
            <w:r w:rsidRPr="00F83A3C">
              <w:rPr>
                <w:rFonts w:ascii="Times New Roman" w:hAnsi="Times New Roman"/>
                <w:color w:val="000000"/>
                <w:sz w:val="20"/>
                <w:szCs w:val="20"/>
              </w:rPr>
              <w:t>110.20</w:t>
            </w:r>
          </w:p>
        </w:tc>
        <w:tc>
          <w:tcPr>
            <w:tcW w:w="696" w:type="pct"/>
            <w:shd w:val="clear" w:color="auto" w:fill="auto"/>
            <w:tcMar>
              <w:top w:w="0" w:type="dxa"/>
              <w:left w:w="108" w:type="dxa"/>
              <w:bottom w:w="0" w:type="dxa"/>
              <w:right w:w="108" w:type="dxa"/>
            </w:tcMar>
          </w:tcPr>
          <w:p w14:paraId="3CDC0AE7" w14:textId="77777777" w:rsidR="007C1DBA" w:rsidRDefault="007C1DBA" w:rsidP="00250DAC">
            <w:pPr>
              <w:spacing w:after="0" w:line="240" w:lineRule="auto"/>
              <w:jc w:val="center"/>
              <w:rPr>
                <w:rFonts w:ascii="Times New Roman" w:hAnsi="Times New Roman"/>
                <w:sz w:val="20"/>
                <w:szCs w:val="20"/>
              </w:rPr>
            </w:pPr>
            <w:r>
              <w:rPr>
                <w:rFonts w:ascii="Times New Roman" w:hAnsi="Times New Roman"/>
                <w:sz w:val="20"/>
                <w:szCs w:val="20"/>
              </w:rPr>
              <w:t>170.78%</w:t>
            </w:r>
          </w:p>
          <w:p w14:paraId="609B03CD" w14:textId="77777777" w:rsidR="007C1DBA" w:rsidRPr="00F83A3C" w:rsidRDefault="007C1DBA" w:rsidP="00250DAC">
            <w:pPr>
              <w:spacing w:after="0" w:line="240" w:lineRule="auto"/>
              <w:jc w:val="center"/>
              <w:rPr>
                <w:rFonts w:ascii="Times New Roman" w:hAnsi="Times New Roman"/>
                <w:sz w:val="20"/>
                <w:szCs w:val="20"/>
              </w:rPr>
            </w:pPr>
            <w:r>
              <w:rPr>
                <w:rFonts w:ascii="Times New Roman" w:hAnsi="Times New Roman"/>
                <w:sz w:val="20"/>
                <w:szCs w:val="20"/>
              </w:rPr>
              <w:t>[-3.20%]</w:t>
            </w:r>
          </w:p>
        </w:tc>
        <w:tc>
          <w:tcPr>
            <w:tcW w:w="696" w:type="pct"/>
            <w:shd w:val="clear" w:color="auto" w:fill="auto"/>
            <w:tcMar>
              <w:top w:w="0" w:type="dxa"/>
              <w:left w:w="108" w:type="dxa"/>
              <w:bottom w:w="0" w:type="dxa"/>
              <w:right w:w="108" w:type="dxa"/>
            </w:tcMar>
          </w:tcPr>
          <w:p w14:paraId="35EDBF0B" w14:textId="77777777" w:rsidR="007C1DBA" w:rsidRPr="00F83A3C" w:rsidRDefault="007C1DBA" w:rsidP="00250DAC">
            <w:pPr>
              <w:spacing w:after="0" w:line="240" w:lineRule="auto"/>
              <w:jc w:val="center"/>
              <w:rPr>
                <w:rFonts w:ascii="Times New Roman" w:hAnsi="Times New Roman"/>
                <w:color w:val="000000"/>
                <w:sz w:val="20"/>
                <w:szCs w:val="20"/>
              </w:rPr>
            </w:pPr>
            <w:r w:rsidRPr="00F83A3C">
              <w:rPr>
                <w:rFonts w:ascii="Times New Roman" w:hAnsi="Times New Roman"/>
                <w:color w:val="000000"/>
                <w:sz w:val="20"/>
                <w:szCs w:val="20"/>
              </w:rPr>
              <w:t>N.A.</w:t>
            </w:r>
          </w:p>
        </w:tc>
        <w:tc>
          <w:tcPr>
            <w:tcW w:w="562" w:type="pct"/>
            <w:shd w:val="clear" w:color="auto" w:fill="auto"/>
            <w:tcMar>
              <w:top w:w="0" w:type="dxa"/>
              <w:left w:w="108" w:type="dxa"/>
              <w:bottom w:w="0" w:type="dxa"/>
              <w:right w:w="108" w:type="dxa"/>
            </w:tcMar>
          </w:tcPr>
          <w:p w14:paraId="7CC6CE3A" w14:textId="77777777" w:rsidR="007C1DBA" w:rsidRPr="00F83A3C" w:rsidRDefault="007C1DBA" w:rsidP="00250DAC">
            <w:pPr>
              <w:spacing w:after="0" w:line="240" w:lineRule="auto"/>
              <w:jc w:val="center"/>
              <w:rPr>
                <w:rFonts w:ascii="Times New Roman" w:hAnsi="Times New Roman"/>
                <w:color w:val="000000"/>
                <w:sz w:val="20"/>
                <w:szCs w:val="20"/>
              </w:rPr>
            </w:pPr>
            <w:r w:rsidRPr="00F83A3C">
              <w:rPr>
                <w:rFonts w:ascii="Times New Roman" w:hAnsi="Times New Roman"/>
                <w:color w:val="000000"/>
                <w:sz w:val="20"/>
                <w:szCs w:val="20"/>
              </w:rPr>
              <w:t>N.A.</w:t>
            </w:r>
          </w:p>
        </w:tc>
      </w:tr>
      <w:tr w:rsidR="007C1DBA" w:rsidRPr="00F83A3C" w14:paraId="61D5A94C" w14:textId="77777777" w:rsidTr="00250DAC">
        <w:trPr>
          <w:trHeight w:val="20"/>
        </w:trPr>
        <w:tc>
          <w:tcPr>
            <w:tcW w:w="268" w:type="pct"/>
            <w:shd w:val="clear" w:color="auto" w:fill="auto"/>
            <w:tcMar>
              <w:top w:w="0" w:type="dxa"/>
              <w:left w:w="108" w:type="dxa"/>
              <w:bottom w:w="0" w:type="dxa"/>
              <w:right w:w="108" w:type="dxa"/>
            </w:tcMar>
            <w:vAlign w:val="center"/>
          </w:tcPr>
          <w:p w14:paraId="197AE50B" w14:textId="77777777" w:rsidR="007C1DBA" w:rsidRPr="00E042AE" w:rsidRDefault="007C1DBA">
            <w:pPr>
              <w:pStyle w:val="ListParagraph"/>
              <w:numPr>
                <w:ilvl w:val="0"/>
                <w:numId w:val="342"/>
              </w:numPr>
              <w:spacing w:line="240" w:lineRule="auto"/>
              <w:ind w:left="267"/>
              <w:jc w:val="right"/>
              <w:rPr>
                <w:sz w:val="20"/>
                <w:szCs w:val="20"/>
              </w:rPr>
            </w:pPr>
          </w:p>
        </w:tc>
        <w:tc>
          <w:tcPr>
            <w:tcW w:w="681" w:type="pct"/>
            <w:shd w:val="clear" w:color="auto" w:fill="auto"/>
            <w:tcMar>
              <w:top w:w="0" w:type="dxa"/>
              <w:left w:w="108" w:type="dxa"/>
              <w:bottom w:w="0" w:type="dxa"/>
              <w:right w:w="108" w:type="dxa"/>
            </w:tcMar>
          </w:tcPr>
          <w:p w14:paraId="1AB191F8" w14:textId="77777777" w:rsidR="007C1DBA" w:rsidRPr="00F83A3C" w:rsidRDefault="007C1DBA" w:rsidP="00250DAC">
            <w:pPr>
              <w:spacing w:after="0" w:line="240" w:lineRule="auto"/>
              <w:jc w:val="both"/>
              <w:rPr>
                <w:rFonts w:ascii="Times New Roman" w:hAnsi="Times New Roman"/>
                <w:sz w:val="20"/>
                <w:szCs w:val="20"/>
              </w:rPr>
            </w:pPr>
            <w:r w:rsidRPr="00F83A3C">
              <w:rPr>
                <w:rFonts w:ascii="Times New Roman" w:hAnsi="Times New Roman"/>
                <w:sz w:val="20"/>
                <w:szCs w:val="20"/>
              </w:rPr>
              <w:t>Asarfi Hospital Limited</w:t>
            </w:r>
          </w:p>
        </w:tc>
        <w:tc>
          <w:tcPr>
            <w:tcW w:w="384" w:type="pct"/>
            <w:shd w:val="clear" w:color="auto" w:fill="auto"/>
            <w:tcMar>
              <w:top w:w="0" w:type="dxa"/>
              <w:left w:w="108" w:type="dxa"/>
              <w:bottom w:w="0" w:type="dxa"/>
              <w:right w:w="108" w:type="dxa"/>
            </w:tcMar>
          </w:tcPr>
          <w:p w14:paraId="293988B3" w14:textId="77777777" w:rsidR="007C1DBA" w:rsidRPr="00F83A3C" w:rsidRDefault="007C1DBA" w:rsidP="00250DAC">
            <w:pPr>
              <w:spacing w:after="0" w:line="240" w:lineRule="auto"/>
              <w:jc w:val="center"/>
              <w:rPr>
                <w:rFonts w:ascii="Times New Roman" w:hAnsi="Times New Roman"/>
                <w:color w:val="000000"/>
                <w:sz w:val="20"/>
                <w:szCs w:val="20"/>
              </w:rPr>
            </w:pPr>
            <w:r w:rsidRPr="00F83A3C">
              <w:rPr>
                <w:rFonts w:ascii="Times New Roman" w:hAnsi="Times New Roman"/>
                <w:color w:val="000000"/>
                <w:sz w:val="20"/>
                <w:szCs w:val="20"/>
              </w:rPr>
              <w:t>26.94</w:t>
            </w:r>
          </w:p>
        </w:tc>
        <w:tc>
          <w:tcPr>
            <w:tcW w:w="493" w:type="pct"/>
            <w:shd w:val="clear" w:color="auto" w:fill="auto"/>
            <w:tcMar>
              <w:top w:w="0" w:type="dxa"/>
              <w:left w:w="108" w:type="dxa"/>
              <w:bottom w:w="0" w:type="dxa"/>
              <w:right w:w="108" w:type="dxa"/>
            </w:tcMar>
          </w:tcPr>
          <w:p w14:paraId="1F3DF7F2" w14:textId="77777777" w:rsidR="007C1DBA" w:rsidRPr="00F83A3C" w:rsidRDefault="007C1DBA" w:rsidP="00250DAC">
            <w:pPr>
              <w:spacing w:after="0" w:line="240" w:lineRule="auto"/>
              <w:jc w:val="center"/>
              <w:rPr>
                <w:rFonts w:ascii="Times New Roman" w:hAnsi="Times New Roman"/>
                <w:color w:val="000000"/>
                <w:sz w:val="20"/>
                <w:szCs w:val="20"/>
              </w:rPr>
            </w:pPr>
            <w:r w:rsidRPr="00F83A3C">
              <w:rPr>
                <w:rFonts w:ascii="Times New Roman" w:hAnsi="Times New Roman"/>
                <w:color w:val="000000"/>
                <w:sz w:val="20"/>
                <w:szCs w:val="20"/>
              </w:rPr>
              <w:t>52.00</w:t>
            </w:r>
          </w:p>
        </w:tc>
        <w:tc>
          <w:tcPr>
            <w:tcW w:w="639" w:type="pct"/>
            <w:shd w:val="clear" w:color="auto" w:fill="auto"/>
            <w:tcMar>
              <w:top w:w="0" w:type="dxa"/>
              <w:left w:w="108" w:type="dxa"/>
              <w:bottom w:w="0" w:type="dxa"/>
              <w:right w:w="108" w:type="dxa"/>
            </w:tcMar>
          </w:tcPr>
          <w:p w14:paraId="275DCC3E" w14:textId="77777777" w:rsidR="007C1DBA" w:rsidRPr="00F83A3C" w:rsidRDefault="007C1DBA" w:rsidP="00250DAC">
            <w:pPr>
              <w:spacing w:after="0" w:line="240" w:lineRule="auto"/>
              <w:jc w:val="center"/>
              <w:rPr>
                <w:rFonts w:ascii="Times New Roman" w:hAnsi="Times New Roman"/>
                <w:sz w:val="20"/>
                <w:szCs w:val="20"/>
              </w:rPr>
            </w:pPr>
            <w:r w:rsidRPr="00F83A3C">
              <w:rPr>
                <w:rFonts w:ascii="Times New Roman" w:hAnsi="Times New Roman"/>
                <w:sz w:val="20"/>
                <w:szCs w:val="20"/>
              </w:rPr>
              <w:t>July 26, 2023</w:t>
            </w:r>
          </w:p>
        </w:tc>
        <w:tc>
          <w:tcPr>
            <w:tcW w:w="581" w:type="pct"/>
            <w:shd w:val="clear" w:color="auto" w:fill="auto"/>
            <w:tcMar>
              <w:top w:w="0" w:type="dxa"/>
              <w:left w:w="108" w:type="dxa"/>
              <w:bottom w:w="0" w:type="dxa"/>
              <w:right w:w="108" w:type="dxa"/>
            </w:tcMar>
          </w:tcPr>
          <w:p w14:paraId="54712B62" w14:textId="77777777" w:rsidR="007C1DBA" w:rsidRPr="00F83A3C" w:rsidRDefault="007C1DBA" w:rsidP="00250DAC">
            <w:pPr>
              <w:spacing w:after="0" w:line="240" w:lineRule="auto"/>
              <w:jc w:val="center"/>
              <w:rPr>
                <w:rFonts w:ascii="Times New Roman" w:hAnsi="Times New Roman"/>
                <w:color w:val="000000"/>
                <w:sz w:val="20"/>
                <w:szCs w:val="20"/>
              </w:rPr>
            </w:pPr>
            <w:r w:rsidRPr="00F83A3C">
              <w:rPr>
                <w:rFonts w:ascii="Times New Roman" w:hAnsi="Times New Roman"/>
                <w:color w:val="000000"/>
                <w:sz w:val="20"/>
                <w:szCs w:val="20"/>
              </w:rPr>
              <w:t>98.80</w:t>
            </w:r>
          </w:p>
        </w:tc>
        <w:tc>
          <w:tcPr>
            <w:tcW w:w="696" w:type="pct"/>
            <w:shd w:val="clear" w:color="auto" w:fill="auto"/>
            <w:tcMar>
              <w:top w:w="0" w:type="dxa"/>
              <w:left w:w="108" w:type="dxa"/>
              <w:bottom w:w="0" w:type="dxa"/>
              <w:right w:w="108" w:type="dxa"/>
            </w:tcMar>
          </w:tcPr>
          <w:p w14:paraId="149A25AC" w14:textId="77777777" w:rsidR="007C1DBA" w:rsidRDefault="007C1DBA" w:rsidP="00250DAC">
            <w:pPr>
              <w:spacing w:after="0" w:line="240" w:lineRule="auto"/>
              <w:jc w:val="center"/>
              <w:rPr>
                <w:rFonts w:ascii="Times New Roman" w:hAnsi="Times New Roman"/>
                <w:sz w:val="20"/>
                <w:szCs w:val="20"/>
              </w:rPr>
            </w:pPr>
            <w:r>
              <w:rPr>
                <w:rFonts w:ascii="Times New Roman" w:hAnsi="Times New Roman"/>
                <w:sz w:val="20"/>
                <w:szCs w:val="20"/>
              </w:rPr>
              <w:t>154.04%</w:t>
            </w:r>
          </w:p>
          <w:p w14:paraId="78A3ED81" w14:textId="77777777" w:rsidR="007C1DBA" w:rsidRPr="00F83A3C" w:rsidRDefault="007C1DBA" w:rsidP="00250DAC">
            <w:pPr>
              <w:spacing w:after="0" w:line="240" w:lineRule="auto"/>
              <w:jc w:val="center"/>
              <w:rPr>
                <w:rFonts w:ascii="Times New Roman" w:hAnsi="Times New Roman"/>
                <w:sz w:val="20"/>
                <w:szCs w:val="20"/>
              </w:rPr>
            </w:pPr>
            <w:r>
              <w:rPr>
                <w:rFonts w:ascii="Times New Roman" w:hAnsi="Times New Roman"/>
                <w:sz w:val="20"/>
                <w:szCs w:val="20"/>
              </w:rPr>
              <w:t>[-2.73%]</w:t>
            </w:r>
          </w:p>
        </w:tc>
        <w:tc>
          <w:tcPr>
            <w:tcW w:w="696" w:type="pct"/>
            <w:shd w:val="clear" w:color="auto" w:fill="auto"/>
            <w:tcMar>
              <w:top w:w="0" w:type="dxa"/>
              <w:left w:w="108" w:type="dxa"/>
              <w:bottom w:w="0" w:type="dxa"/>
              <w:right w:w="108" w:type="dxa"/>
            </w:tcMar>
          </w:tcPr>
          <w:p w14:paraId="43DB6CA4" w14:textId="77777777" w:rsidR="007C1DBA" w:rsidRPr="00F83A3C" w:rsidRDefault="007C1DBA" w:rsidP="00250DAC">
            <w:pPr>
              <w:spacing w:after="0" w:line="240" w:lineRule="auto"/>
              <w:jc w:val="center"/>
              <w:rPr>
                <w:rFonts w:ascii="Times New Roman" w:hAnsi="Times New Roman"/>
                <w:color w:val="000000"/>
                <w:sz w:val="20"/>
                <w:szCs w:val="20"/>
              </w:rPr>
            </w:pPr>
            <w:r w:rsidRPr="00F83A3C">
              <w:rPr>
                <w:rFonts w:ascii="Times New Roman" w:hAnsi="Times New Roman"/>
                <w:color w:val="000000"/>
                <w:sz w:val="20"/>
                <w:szCs w:val="20"/>
              </w:rPr>
              <w:t>N.A.</w:t>
            </w:r>
          </w:p>
        </w:tc>
        <w:tc>
          <w:tcPr>
            <w:tcW w:w="562" w:type="pct"/>
            <w:shd w:val="clear" w:color="auto" w:fill="auto"/>
            <w:tcMar>
              <w:top w:w="0" w:type="dxa"/>
              <w:left w:w="108" w:type="dxa"/>
              <w:bottom w:w="0" w:type="dxa"/>
              <w:right w:w="108" w:type="dxa"/>
            </w:tcMar>
          </w:tcPr>
          <w:p w14:paraId="53E3B64E" w14:textId="77777777" w:rsidR="007C1DBA" w:rsidRPr="00F83A3C" w:rsidRDefault="007C1DBA" w:rsidP="00250DAC">
            <w:pPr>
              <w:spacing w:after="0" w:line="240" w:lineRule="auto"/>
              <w:jc w:val="center"/>
              <w:rPr>
                <w:rFonts w:ascii="Times New Roman" w:hAnsi="Times New Roman"/>
                <w:color w:val="000000"/>
                <w:sz w:val="20"/>
                <w:szCs w:val="20"/>
              </w:rPr>
            </w:pPr>
            <w:r w:rsidRPr="00F83A3C">
              <w:rPr>
                <w:rFonts w:ascii="Times New Roman" w:hAnsi="Times New Roman"/>
                <w:color w:val="000000"/>
                <w:sz w:val="20"/>
                <w:szCs w:val="20"/>
              </w:rPr>
              <w:t>N.A.</w:t>
            </w:r>
          </w:p>
        </w:tc>
      </w:tr>
      <w:tr w:rsidR="007C1DBA" w:rsidRPr="00F83A3C" w14:paraId="1DA23EE4" w14:textId="77777777" w:rsidTr="00250DAC">
        <w:trPr>
          <w:trHeight w:val="20"/>
        </w:trPr>
        <w:tc>
          <w:tcPr>
            <w:tcW w:w="268" w:type="pct"/>
            <w:shd w:val="clear" w:color="auto" w:fill="auto"/>
            <w:tcMar>
              <w:top w:w="0" w:type="dxa"/>
              <w:left w:w="108" w:type="dxa"/>
              <w:bottom w:w="0" w:type="dxa"/>
              <w:right w:w="108" w:type="dxa"/>
            </w:tcMar>
            <w:vAlign w:val="center"/>
          </w:tcPr>
          <w:p w14:paraId="5CCCB614" w14:textId="77777777" w:rsidR="007C1DBA" w:rsidRPr="00E042AE" w:rsidRDefault="007C1DBA">
            <w:pPr>
              <w:pStyle w:val="ListParagraph"/>
              <w:numPr>
                <w:ilvl w:val="0"/>
                <w:numId w:val="342"/>
              </w:numPr>
              <w:spacing w:line="240" w:lineRule="auto"/>
              <w:ind w:left="267"/>
              <w:jc w:val="right"/>
              <w:rPr>
                <w:sz w:val="20"/>
                <w:szCs w:val="20"/>
              </w:rPr>
            </w:pPr>
          </w:p>
        </w:tc>
        <w:tc>
          <w:tcPr>
            <w:tcW w:w="681" w:type="pct"/>
            <w:shd w:val="clear" w:color="auto" w:fill="auto"/>
            <w:tcMar>
              <w:top w:w="0" w:type="dxa"/>
              <w:left w:w="108" w:type="dxa"/>
              <w:bottom w:w="0" w:type="dxa"/>
              <w:right w:w="108" w:type="dxa"/>
            </w:tcMar>
          </w:tcPr>
          <w:p w14:paraId="34720591" w14:textId="77777777" w:rsidR="007C1DBA" w:rsidRPr="00F83A3C" w:rsidRDefault="007C1DBA" w:rsidP="00250DAC">
            <w:pPr>
              <w:spacing w:after="0" w:line="240" w:lineRule="auto"/>
              <w:jc w:val="both"/>
              <w:rPr>
                <w:rFonts w:ascii="Times New Roman" w:hAnsi="Times New Roman"/>
                <w:sz w:val="20"/>
                <w:szCs w:val="20"/>
              </w:rPr>
            </w:pPr>
            <w:r>
              <w:rPr>
                <w:rFonts w:ascii="Times New Roman" w:hAnsi="Times New Roman"/>
                <w:sz w:val="20"/>
                <w:szCs w:val="20"/>
              </w:rPr>
              <w:t>Kahan Packaging Limited</w:t>
            </w:r>
          </w:p>
        </w:tc>
        <w:tc>
          <w:tcPr>
            <w:tcW w:w="384" w:type="pct"/>
            <w:shd w:val="clear" w:color="auto" w:fill="auto"/>
            <w:tcMar>
              <w:top w:w="0" w:type="dxa"/>
              <w:left w:w="108" w:type="dxa"/>
              <w:bottom w:w="0" w:type="dxa"/>
              <w:right w:w="108" w:type="dxa"/>
            </w:tcMar>
          </w:tcPr>
          <w:p w14:paraId="154C5F86" w14:textId="77777777" w:rsidR="007C1DBA" w:rsidRPr="00F83A3C" w:rsidRDefault="007C1DBA" w:rsidP="00250DA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5.76</w:t>
            </w:r>
          </w:p>
        </w:tc>
        <w:tc>
          <w:tcPr>
            <w:tcW w:w="493" w:type="pct"/>
            <w:shd w:val="clear" w:color="auto" w:fill="auto"/>
            <w:tcMar>
              <w:top w:w="0" w:type="dxa"/>
              <w:left w:w="108" w:type="dxa"/>
              <w:bottom w:w="0" w:type="dxa"/>
              <w:right w:w="108" w:type="dxa"/>
            </w:tcMar>
          </w:tcPr>
          <w:p w14:paraId="2DF954F9" w14:textId="77777777" w:rsidR="007C1DBA" w:rsidRPr="00F83A3C" w:rsidRDefault="007C1DBA" w:rsidP="00250DA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80.00</w:t>
            </w:r>
          </w:p>
        </w:tc>
        <w:tc>
          <w:tcPr>
            <w:tcW w:w="639" w:type="pct"/>
            <w:shd w:val="clear" w:color="auto" w:fill="auto"/>
            <w:tcMar>
              <w:top w:w="0" w:type="dxa"/>
              <w:left w:w="108" w:type="dxa"/>
              <w:bottom w:w="0" w:type="dxa"/>
              <w:right w:w="108" w:type="dxa"/>
            </w:tcMar>
          </w:tcPr>
          <w:p w14:paraId="513D9E43" w14:textId="77777777" w:rsidR="007C1DBA" w:rsidRPr="00F83A3C" w:rsidRDefault="007C1DBA" w:rsidP="00250DAC">
            <w:pPr>
              <w:spacing w:after="0" w:line="240" w:lineRule="auto"/>
              <w:jc w:val="center"/>
              <w:rPr>
                <w:rFonts w:ascii="Times New Roman" w:hAnsi="Times New Roman"/>
                <w:sz w:val="20"/>
                <w:szCs w:val="20"/>
              </w:rPr>
            </w:pPr>
            <w:r>
              <w:rPr>
                <w:rFonts w:ascii="Times New Roman" w:hAnsi="Times New Roman"/>
                <w:sz w:val="20"/>
                <w:szCs w:val="20"/>
              </w:rPr>
              <w:t>September 15, 2023</w:t>
            </w:r>
          </w:p>
        </w:tc>
        <w:tc>
          <w:tcPr>
            <w:tcW w:w="581" w:type="pct"/>
            <w:shd w:val="clear" w:color="auto" w:fill="auto"/>
            <w:tcMar>
              <w:top w:w="0" w:type="dxa"/>
              <w:left w:w="108" w:type="dxa"/>
              <w:bottom w:w="0" w:type="dxa"/>
              <w:right w:w="108" w:type="dxa"/>
            </w:tcMar>
          </w:tcPr>
          <w:p w14:paraId="43ED46F5" w14:textId="77777777" w:rsidR="007C1DBA" w:rsidRPr="00F83A3C" w:rsidRDefault="007C1DBA" w:rsidP="00250DA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152.00</w:t>
            </w:r>
          </w:p>
        </w:tc>
        <w:tc>
          <w:tcPr>
            <w:tcW w:w="696" w:type="pct"/>
            <w:shd w:val="clear" w:color="auto" w:fill="auto"/>
            <w:tcMar>
              <w:top w:w="0" w:type="dxa"/>
              <w:left w:w="108" w:type="dxa"/>
              <w:bottom w:w="0" w:type="dxa"/>
              <w:right w:w="108" w:type="dxa"/>
            </w:tcMar>
          </w:tcPr>
          <w:p w14:paraId="00C7FDF3" w14:textId="77777777" w:rsidR="007C1DBA" w:rsidRPr="00F83A3C" w:rsidDel="005A3BF9" w:rsidRDefault="007C1DBA" w:rsidP="00250DAC">
            <w:pPr>
              <w:spacing w:after="0" w:line="240" w:lineRule="auto"/>
              <w:jc w:val="center"/>
              <w:rPr>
                <w:rFonts w:ascii="Times New Roman" w:hAnsi="Times New Roman"/>
                <w:sz w:val="20"/>
                <w:szCs w:val="20"/>
              </w:rPr>
            </w:pPr>
            <w:r w:rsidRPr="00F83A3C">
              <w:rPr>
                <w:rFonts w:ascii="Times New Roman" w:hAnsi="Times New Roman"/>
                <w:color w:val="000000"/>
                <w:sz w:val="20"/>
                <w:szCs w:val="20"/>
              </w:rPr>
              <w:t>N.A.</w:t>
            </w:r>
          </w:p>
        </w:tc>
        <w:tc>
          <w:tcPr>
            <w:tcW w:w="696" w:type="pct"/>
            <w:shd w:val="clear" w:color="auto" w:fill="auto"/>
            <w:tcMar>
              <w:top w:w="0" w:type="dxa"/>
              <w:left w:w="108" w:type="dxa"/>
              <w:bottom w:w="0" w:type="dxa"/>
              <w:right w:w="108" w:type="dxa"/>
            </w:tcMar>
          </w:tcPr>
          <w:p w14:paraId="1365F7B2" w14:textId="77777777" w:rsidR="007C1DBA" w:rsidRPr="00F83A3C" w:rsidRDefault="007C1DBA" w:rsidP="00250DAC">
            <w:pPr>
              <w:spacing w:after="0" w:line="240" w:lineRule="auto"/>
              <w:jc w:val="center"/>
              <w:rPr>
                <w:rFonts w:ascii="Times New Roman" w:hAnsi="Times New Roman"/>
                <w:color w:val="000000"/>
                <w:sz w:val="20"/>
                <w:szCs w:val="20"/>
              </w:rPr>
            </w:pPr>
            <w:r w:rsidRPr="00F83A3C">
              <w:rPr>
                <w:rFonts w:ascii="Times New Roman" w:hAnsi="Times New Roman"/>
                <w:color w:val="000000"/>
                <w:sz w:val="20"/>
                <w:szCs w:val="20"/>
              </w:rPr>
              <w:t>N.A.</w:t>
            </w:r>
          </w:p>
        </w:tc>
        <w:tc>
          <w:tcPr>
            <w:tcW w:w="562" w:type="pct"/>
            <w:shd w:val="clear" w:color="auto" w:fill="auto"/>
            <w:tcMar>
              <w:top w:w="0" w:type="dxa"/>
              <w:left w:w="108" w:type="dxa"/>
              <w:bottom w:w="0" w:type="dxa"/>
              <w:right w:w="108" w:type="dxa"/>
            </w:tcMar>
          </w:tcPr>
          <w:p w14:paraId="49DC25C8" w14:textId="77777777" w:rsidR="007C1DBA" w:rsidRPr="00F83A3C" w:rsidRDefault="007C1DBA" w:rsidP="00250DAC">
            <w:pPr>
              <w:spacing w:after="0" w:line="240" w:lineRule="auto"/>
              <w:jc w:val="center"/>
              <w:rPr>
                <w:rFonts w:ascii="Times New Roman" w:hAnsi="Times New Roman"/>
                <w:color w:val="000000"/>
                <w:sz w:val="20"/>
                <w:szCs w:val="20"/>
              </w:rPr>
            </w:pPr>
            <w:r w:rsidRPr="00F83A3C">
              <w:rPr>
                <w:rFonts w:ascii="Times New Roman" w:hAnsi="Times New Roman"/>
                <w:color w:val="000000"/>
                <w:sz w:val="20"/>
                <w:szCs w:val="20"/>
              </w:rPr>
              <w:t>N.A.</w:t>
            </w:r>
          </w:p>
        </w:tc>
      </w:tr>
    </w:tbl>
    <w:p w14:paraId="30FCE4D2" w14:textId="77777777" w:rsidR="004047F2" w:rsidRPr="00712F3C" w:rsidRDefault="004047F2" w:rsidP="004047F2">
      <w:pPr>
        <w:spacing w:after="0" w:line="240" w:lineRule="auto"/>
        <w:jc w:val="both"/>
        <w:rPr>
          <w:rFonts w:ascii="Times New Roman" w:hAnsi="Times New Roman"/>
          <w:i/>
          <w:iCs/>
          <w:sz w:val="20"/>
          <w:szCs w:val="20"/>
        </w:rPr>
      </w:pPr>
      <w:r w:rsidRPr="00712F3C">
        <w:rPr>
          <w:rFonts w:ascii="Times New Roman" w:hAnsi="Times New Roman"/>
          <w:i/>
          <w:iCs/>
          <w:sz w:val="20"/>
          <w:szCs w:val="20"/>
        </w:rPr>
        <w:t xml:space="preserve">Source: Price Information </w:t>
      </w:r>
      <w:hyperlink r:id="rId92" w:history="1">
        <w:r w:rsidRPr="00712F3C">
          <w:rPr>
            <w:rFonts w:ascii="Times New Roman" w:hAnsi="Times New Roman"/>
            <w:i/>
            <w:color w:val="0000FF"/>
            <w:sz w:val="20"/>
            <w:szCs w:val="20"/>
            <w:u w:val="single"/>
          </w:rPr>
          <w:t>www.bseindia.com.&amp;</w:t>
        </w:r>
      </w:hyperlink>
      <w:r w:rsidRPr="00712F3C">
        <w:rPr>
          <w:rFonts w:ascii="Times New Roman" w:hAnsi="Times New Roman"/>
          <w:i/>
          <w:color w:val="0000FF"/>
          <w:sz w:val="20"/>
          <w:szCs w:val="20"/>
          <w:u w:val="single"/>
        </w:rPr>
        <w:t xml:space="preserve"> </w:t>
      </w:r>
      <w:hyperlink r:id="rId93" w:history="1">
        <w:r w:rsidRPr="00712F3C">
          <w:rPr>
            <w:rFonts w:ascii="Times New Roman" w:hAnsi="Times New Roman"/>
            <w:i/>
            <w:color w:val="0000FF"/>
            <w:sz w:val="20"/>
            <w:szCs w:val="20"/>
            <w:u w:val="single"/>
          </w:rPr>
          <w:t>www.nseindia.com</w:t>
        </w:r>
      </w:hyperlink>
      <w:r w:rsidRPr="00712F3C">
        <w:rPr>
          <w:rFonts w:ascii="Times New Roman" w:hAnsi="Times New Roman"/>
          <w:i/>
          <w:iCs/>
          <w:sz w:val="20"/>
          <w:szCs w:val="20"/>
        </w:rPr>
        <w:t xml:space="preserve"> , Issue Information from respective Prospectus.</w:t>
      </w:r>
    </w:p>
    <w:p w14:paraId="70E31B1C" w14:textId="77777777" w:rsidR="004047F2" w:rsidRPr="00712F3C" w:rsidRDefault="004047F2" w:rsidP="004047F2">
      <w:pPr>
        <w:pStyle w:val="ListParagraph"/>
        <w:spacing w:line="240" w:lineRule="auto"/>
        <w:ind w:left="426"/>
        <w:rPr>
          <w:b/>
          <w:bCs/>
          <w:sz w:val="20"/>
          <w:szCs w:val="20"/>
        </w:rPr>
      </w:pPr>
    </w:p>
    <w:p w14:paraId="539404AC" w14:textId="571C4EA2" w:rsidR="004047F2" w:rsidRPr="00712F3C" w:rsidRDefault="007C1DBA">
      <w:pPr>
        <w:pStyle w:val="ListParagraph"/>
        <w:numPr>
          <w:ilvl w:val="0"/>
          <w:numId w:val="313"/>
        </w:numPr>
        <w:spacing w:line="240" w:lineRule="auto"/>
        <w:ind w:left="426"/>
        <w:jc w:val="both"/>
        <w:rPr>
          <w:b/>
          <w:bCs/>
          <w:sz w:val="20"/>
          <w:szCs w:val="20"/>
        </w:rPr>
      </w:pPr>
      <w:r w:rsidRPr="00F83A3C">
        <w:rPr>
          <w:i/>
          <w:iCs/>
          <w:sz w:val="20"/>
          <w:szCs w:val="20"/>
        </w:rPr>
        <w:t xml:space="preserve">The </w:t>
      </w:r>
      <w:bookmarkStart w:id="26" w:name="_Hlk143678553"/>
      <w:r w:rsidRPr="00F83A3C">
        <w:rPr>
          <w:i/>
          <w:iCs/>
          <w:sz w:val="20"/>
          <w:szCs w:val="20"/>
        </w:rPr>
        <w:t>scrip of Vasa Denticity Limited</w:t>
      </w:r>
      <w:r>
        <w:rPr>
          <w:i/>
          <w:iCs/>
          <w:sz w:val="20"/>
          <w:szCs w:val="20"/>
          <w:lang w:val="en-US"/>
        </w:rPr>
        <w:t xml:space="preserve"> and</w:t>
      </w:r>
      <w:r w:rsidRPr="00F83A3C">
        <w:rPr>
          <w:i/>
          <w:iCs/>
          <w:sz w:val="20"/>
          <w:szCs w:val="20"/>
          <w:lang w:val="en-US"/>
        </w:rPr>
        <w:t xml:space="preserve"> </w:t>
      </w:r>
      <w:r w:rsidRPr="00F83A3C">
        <w:rPr>
          <w:i/>
          <w:iCs/>
          <w:sz w:val="20"/>
          <w:szCs w:val="20"/>
        </w:rPr>
        <w:t>Hemant Surgical Industries Limited</w:t>
      </w:r>
      <w:r w:rsidRPr="00F83A3C">
        <w:rPr>
          <w:i/>
          <w:iCs/>
          <w:sz w:val="20"/>
          <w:szCs w:val="20"/>
          <w:lang w:val="en-GB"/>
        </w:rPr>
        <w:t xml:space="preserve"> has </w:t>
      </w:r>
      <w:r w:rsidRPr="00F83A3C">
        <w:rPr>
          <w:i/>
          <w:iCs/>
          <w:sz w:val="20"/>
          <w:szCs w:val="20"/>
        </w:rPr>
        <w:t>not completed its 180</w:t>
      </w:r>
      <w:r w:rsidRPr="00F83A3C">
        <w:rPr>
          <w:i/>
          <w:iCs/>
          <w:sz w:val="20"/>
          <w:szCs w:val="20"/>
          <w:vertAlign w:val="superscript"/>
        </w:rPr>
        <w:t>th</w:t>
      </w:r>
      <w:r w:rsidRPr="00F83A3C">
        <w:rPr>
          <w:i/>
          <w:iCs/>
          <w:sz w:val="20"/>
          <w:szCs w:val="20"/>
        </w:rPr>
        <w:t xml:space="preserve"> day</w:t>
      </w:r>
      <w:r w:rsidRPr="00F83A3C">
        <w:rPr>
          <w:i/>
          <w:iCs/>
          <w:sz w:val="20"/>
          <w:szCs w:val="20"/>
          <w:lang w:val="en-IN"/>
        </w:rPr>
        <w:t>s</w:t>
      </w:r>
      <w:r w:rsidRPr="00F83A3C">
        <w:rPr>
          <w:i/>
          <w:iCs/>
          <w:sz w:val="20"/>
          <w:szCs w:val="20"/>
        </w:rPr>
        <w:t xml:space="preserve"> from the date of listing;</w:t>
      </w:r>
      <w:r>
        <w:rPr>
          <w:i/>
          <w:iCs/>
          <w:sz w:val="20"/>
          <w:szCs w:val="20"/>
          <w:lang w:val="en-US"/>
        </w:rPr>
        <w:t xml:space="preserve"> </w:t>
      </w:r>
      <w:r w:rsidRPr="00F83A3C">
        <w:rPr>
          <w:i/>
          <w:iCs/>
          <w:sz w:val="20"/>
          <w:szCs w:val="20"/>
        </w:rPr>
        <w:t>Greenchef Appliances Limited</w:t>
      </w:r>
      <w:r>
        <w:rPr>
          <w:i/>
          <w:iCs/>
          <w:sz w:val="20"/>
          <w:szCs w:val="20"/>
          <w:lang w:val="en-US"/>
        </w:rPr>
        <w:t xml:space="preserve">, </w:t>
      </w:r>
      <w:r w:rsidRPr="00F83A3C">
        <w:rPr>
          <w:i/>
          <w:iCs/>
          <w:sz w:val="20"/>
          <w:szCs w:val="20"/>
          <w:lang w:val="en-US"/>
        </w:rPr>
        <w:t xml:space="preserve">Kaka Industries Limited </w:t>
      </w:r>
      <w:r>
        <w:rPr>
          <w:i/>
          <w:iCs/>
          <w:sz w:val="20"/>
          <w:szCs w:val="20"/>
          <w:lang w:val="en-US"/>
        </w:rPr>
        <w:t xml:space="preserve">and </w:t>
      </w:r>
      <w:r w:rsidRPr="00F83A3C">
        <w:rPr>
          <w:i/>
          <w:iCs/>
          <w:sz w:val="20"/>
          <w:szCs w:val="20"/>
          <w:lang w:val="en-US"/>
        </w:rPr>
        <w:t xml:space="preserve">Asarfi Hospital Limited </w:t>
      </w:r>
      <w:r w:rsidRPr="00F83A3C">
        <w:rPr>
          <w:i/>
          <w:iCs/>
          <w:sz w:val="20"/>
          <w:szCs w:val="20"/>
        </w:rPr>
        <w:t>has not completed its 90</w:t>
      </w:r>
      <w:r w:rsidRPr="00F83A3C">
        <w:rPr>
          <w:i/>
          <w:iCs/>
          <w:sz w:val="20"/>
          <w:szCs w:val="20"/>
          <w:vertAlign w:val="superscript"/>
        </w:rPr>
        <w:t>th</w:t>
      </w:r>
      <w:r w:rsidRPr="00F83A3C">
        <w:rPr>
          <w:i/>
          <w:iCs/>
          <w:sz w:val="20"/>
          <w:szCs w:val="20"/>
        </w:rPr>
        <w:t xml:space="preserve"> day from the date of listing </w:t>
      </w:r>
      <w:r>
        <w:rPr>
          <w:i/>
          <w:iCs/>
          <w:sz w:val="20"/>
          <w:szCs w:val="20"/>
          <w:lang w:val="en-US"/>
        </w:rPr>
        <w:t xml:space="preserve">and </w:t>
      </w:r>
      <w:r w:rsidRPr="000F25CC">
        <w:rPr>
          <w:i/>
          <w:iCs/>
          <w:sz w:val="20"/>
          <w:szCs w:val="20"/>
          <w:lang w:val="en-US"/>
        </w:rPr>
        <w:t>Kahan Packaging Limited</w:t>
      </w:r>
      <w:r w:rsidRPr="000F25CC" w:rsidDel="000F25CC">
        <w:rPr>
          <w:i/>
          <w:iCs/>
          <w:sz w:val="20"/>
          <w:szCs w:val="20"/>
          <w:lang w:val="en-US"/>
        </w:rPr>
        <w:t xml:space="preserve"> </w:t>
      </w:r>
      <w:r w:rsidRPr="00F83A3C">
        <w:rPr>
          <w:i/>
          <w:iCs/>
          <w:sz w:val="20"/>
          <w:szCs w:val="20"/>
        </w:rPr>
        <w:t>has not completed its 30</w:t>
      </w:r>
      <w:r w:rsidRPr="00F83A3C">
        <w:rPr>
          <w:i/>
          <w:iCs/>
          <w:sz w:val="20"/>
          <w:szCs w:val="20"/>
          <w:vertAlign w:val="superscript"/>
        </w:rPr>
        <w:t>th</w:t>
      </w:r>
      <w:r w:rsidRPr="00F83A3C">
        <w:rPr>
          <w:i/>
          <w:iCs/>
          <w:sz w:val="20"/>
          <w:szCs w:val="20"/>
        </w:rPr>
        <w:t xml:space="preserve"> day from the date of</w:t>
      </w:r>
      <w:bookmarkEnd w:id="26"/>
      <w:r w:rsidRPr="00F83A3C">
        <w:rPr>
          <w:i/>
          <w:iCs/>
          <w:sz w:val="20"/>
          <w:szCs w:val="20"/>
        </w:rPr>
        <w:t xml:space="preserve"> listing</w:t>
      </w:r>
      <w:r w:rsidR="004047F2" w:rsidRPr="00712F3C">
        <w:rPr>
          <w:i/>
          <w:iCs/>
          <w:sz w:val="20"/>
          <w:szCs w:val="20"/>
        </w:rPr>
        <w:t>.</w:t>
      </w:r>
    </w:p>
    <w:p w14:paraId="70840BEE" w14:textId="77777777" w:rsidR="004047F2" w:rsidRPr="00712F3C" w:rsidRDefault="004047F2" w:rsidP="004047F2">
      <w:pPr>
        <w:pStyle w:val="ListParagraph"/>
        <w:spacing w:line="240" w:lineRule="auto"/>
        <w:ind w:left="426"/>
        <w:rPr>
          <w:b/>
          <w:bCs/>
          <w:sz w:val="20"/>
          <w:szCs w:val="20"/>
        </w:rPr>
      </w:pPr>
    </w:p>
    <w:p w14:paraId="14CA9450" w14:textId="77777777" w:rsidR="004047F2" w:rsidRPr="00712F3C" w:rsidRDefault="004047F2" w:rsidP="004047F2">
      <w:pPr>
        <w:spacing w:after="0" w:line="240" w:lineRule="auto"/>
        <w:rPr>
          <w:rFonts w:ascii="Times New Roman" w:hAnsi="Times New Roman"/>
          <w:b/>
          <w:bCs/>
          <w:color w:val="000000"/>
          <w:sz w:val="20"/>
          <w:szCs w:val="20"/>
        </w:rPr>
      </w:pPr>
      <w:r w:rsidRPr="00712F3C">
        <w:rPr>
          <w:rFonts w:ascii="Times New Roman" w:hAnsi="Times New Roman"/>
          <w:b/>
          <w:bCs/>
          <w:color w:val="000000"/>
          <w:sz w:val="20"/>
          <w:szCs w:val="20"/>
        </w:rPr>
        <w:t>Summary statement of Disclosure: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26"/>
        <w:gridCol w:w="620"/>
        <w:gridCol w:w="798"/>
        <w:gridCol w:w="601"/>
        <w:gridCol w:w="856"/>
        <w:gridCol w:w="571"/>
        <w:gridCol w:w="601"/>
        <w:gridCol w:w="856"/>
        <w:gridCol w:w="571"/>
        <w:gridCol w:w="601"/>
        <w:gridCol w:w="856"/>
        <w:gridCol w:w="571"/>
        <w:gridCol w:w="601"/>
        <w:gridCol w:w="856"/>
        <w:gridCol w:w="571"/>
      </w:tblGrid>
      <w:tr w:rsidR="004047F2" w:rsidRPr="00712F3C" w14:paraId="10154553" w14:textId="77777777" w:rsidTr="00250DAC">
        <w:trPr>
          <w:trHeight w:val="20"/>
        </w:trPr>
        <w:tc>
          <w:tcPr>
            <w:tcW w:w="443" w:type="pct"/>
            <w:vMerge w:val="restart"/>
            <w:shd w:val="clear" w:color="auto" w:fill="D0CECE"/>
            <w:tcMar>
              <w:top w:w="0" w:type="dxa"/>
              <w:left w:w="108" w:type="dxa"/>
              <w:bottom w:w="0" w:type="dxa"/>
              <w:right w:w="108" w:type="dxa"/>
            </w:tcMar>
            <w:hideMark/>
          </w:tcPr>
          <w:p w14:paraId="3AA87570" w14:textId="77777777" w:rsidR="004047F2" w:rsidRPr="00712F3C" w:rsidRDefault="004047F2" w:rsidP="00250DAC">
            <w:pPr>
              <w:spacing w:after="0" w:line="240" w:lineRule="auto"/>
              <w:jc w:val="both"/>
              <w:rPr>
                <w:rFonts w:ascii="Times New Roman" w:hAnsi="Times New Roman"/>
                <w:b/>
                <w:bCs/>
                <w:sz w:val="20"/>
                <w:szCs w:val="20"/>
              </w:rPr>
            </w:pPr>
            <w:r w:rsidRPr="00712F3C">
              <w:rPr>
                <w:rFonts w:ascii="Times New Roman" w:hAnsi="Times New Roman"/>
                <w:b/>
                <w:bCs/>
                <w:sz w:val="20"/>
                <w:szCs w:val="20"/>
              </w:rPr>
              <w:t>Financial Year</w:t>
            </w:r>
          </w:p>
        </w:tc>
        <w:tc>
          <w:tcPr>
            <w:tcW w:w="296" w:type="pct"/>
            <w:vMerge w:val="restart"/>
            <w:shd w:val="clear" w:color="auto" w:fill="D0CECE"/>
            <w:tcMar>
              <w:top w:w="0" w:type="dxa"/>
              <w:left w:w="108" w:type="dxa"/>
              <w:bottom w:w="0" w:type="dxa"/>
              <w:right w:w="108" w:type="dxa"/>
            </w:tcMar>
            <w:hideMark/>
          </w:tcPr>
          <w:p w14:paraId="6BAE2240" w14:textId="77777777" w:rsidR="004047F2" w:rsidRPr="00712F3C" w:rsidRDefault="004047F2" w:rsidP="00250DAC">
            <w:pPr>
              <w:spacing w:after="0" w:line="240" w:lineRule="auto"/>
              <w:jc w:val="both"/>
              <w:rPr>
                <w:rFonts w:ascii="Times New Roman" w:hAnsi="Times New Roman"/>
                <w:b/>
                <w:bCs/>
                <w:sz w:val="20"/>
                <w:szCs w:val="20"/>
              </w:rPr>
            </w:pPr>
            <w:r w:rsidRPr="00712F3C">
              <w:rPr>
                <w:rFonts w:ascii="Times New Roman" w:hAnsi="Times New Roman"/>
                <w:b/>
                <w:bCs/>
                <w:sz w:val="20"/>
                <w:szCs w:val="20"/>
              </w:rPr>
              <w:t>Total no. of IPOs</w:t>
            </w:r>
          </w:p>
        </w:tc>
        <w:tc>
          <w:tcPr>
            <w:tcW w:w="382" w:type="pct"/>
            <w:vMerge w:val="restart"/>
            <w:shd w:val="clear" w:color="auto" w:fill="D0CECE"/>
            <w:tcMar>
              <w:top w:w="0" w:type="dxa"/>
              <w:left w:w="108" w:type="dxa"/>
              <w:bottom w:w="0" w:type="dxa"/>
              <w:right w:w="108" w:type="dxa"/>
            </w:tcMar>
            <w:hideMark/>
          </w:tcPr>
          <w:p w14:paraId="1264E5EB" w14:textId="77777777" w:rsidR="004047F2" w:rsidRPr="00712F3C" w:rsidRDefault="004047F2" w:rsidP="00250DAC">
            <w:pPr>
              <w:spacing w:after="0" w:line="240" w:lineRule="auto"/>
              <w:jc w:val="both"/>
              <w:rPr>
                <w:rFonts w:ascii="Times New Roman" w:hAnsi="Times New Roman"/>
                <w:b/>
                <w:bCs/>
                <w:sz w:val="20"/>
                <w:szCs w:val="20"/>
              </w:rPr>
            </w:pPr>
            <w:r w:rsidRPr="00712F3C">
              <w:rPr>
                <w:rFonts w:ascii="Times New Roman" w:hAnsi="Times New Roman"/>
                <w:b/>
                <w:bCs/>
                <w:sz w:val="20"/>
                <w:szCs w:val="20"/>
              </w:rPr>
              <w:t>Total amount of funds raised (</w:t>
            </w:r>
            <w:r w:rsidRPr="00712F3C">
              <w:rPr>
                <w:rFonts w:ascii="Times New Roman" w:hAnsi="Times New Roman"/>
                <w:sz w:val="20"/>
                <w:szCs w:val="20"/>
              </w:rPr>
              <w:t>₹</w:t>
            </w:r>
            <w:r w:rsidRPr="00712F3C">
              <w:rPr>
                <w:rFonts w:ascii="Times New Roman" w:hAnsi="Times New Roman"/>
                <w:b/>
                <w:bCs/>
                <w:sz w:val="20"/>
                <w:szCs w:val="20"/>
              </w:rPr>
              <w:t xml:space="preserve"> Cr.)</w:t>
            </w:r>
          </w:p>
        </w:tc>
        <w:tc>
          <w:tcPr>
            <w:tcW w:w="970" w:type="pct"/>
            <w:gridSpan w:val="3"/>
            <w:shd w:val="clear" w:color="auto" w:fill="D0CECE"/>
            <w:tcMar>
              <w:top w:w="0" w:type="dxa"/>
              <w:left w:w="108" w:type="dxa"/>
              <w:bottom w:w="0" w:type="dxa"/>
              <w:right w:w="108" w:type="dxa"/>
            </w:tcMar>
            <w:hideMark/>
          </w:tcPr>
          <w:p w14:paraId="43D514CE" w14:textId="77777777" w:rsidR="004047F2" w:rsidRPr="00712F3C" w:rsidRDefault="004047F2" w:rsidP="00250DAC">
            <w:pPr>
              <w:spacing w:after="0" w:line="240" w:lineRule="auto"/>
              <w:jc w:val="both"/>
              <w:rPr>
                <w:rFonts w:ascii="Times New Roman" w:hAnsi="Times New Roman"/>
                <w:b/>
                <w:bCs/>
                <w:sz w:val="20"/>
                <w:szCs w:val="20"/>
              </w:rPr>
            </w:pPr>
            <w:r w:rsidRPr="00712F3C">
              <w:rPr>
                <w:rFonts w:ascii="Times New Roman" w:hAnsi="Times New Roman"/>
                <w:b/>
                <w:bCs/>
                <w:sz w:val="20"/>
                <w:szCs w:val="20"/>
              </w:rPr>
              <w:t>No. of IPOs trading at discount- 30</w:t>
            </w:r>
            <w:r w:rsidRPr="00712F3C">
              <w:rPr>
                <w:rFonts w:ascii="Times New Roman" w:hAnsi="Times New Roman"/>
                <w:b/>
                <w:bCs/>
                <w:sz w:val="20"/>
                <w:szCs w:val="20"/>
                <w:vertAlign w:val="superscript"/>
              </w:rPr>
              <w:t>th</w:t>
            </w:r>
            <w:r w:rsidRPr="00712F3C">
              <w:rPr>
                <w:rFonts w:ascii="Times New Roman" w:hAnsi="Times New Roman"/>
                <w:b/>
                <w:bCs/>
                <w:sz w:val="20"/>
                <w:szCs w:val="20"/>
              </w:rPr>
              <w:t xml:space="preserve"> calendar days from listing</w:t>
            </w:r>
          </w:p>
        </w:tc>
        <w:tc>
          <w:tcPr>
            <w:tcW w:w="970" w:type="pct"/>
            <w:gridSpan w:val="3"/>
            <w:shd w:val="clear" w:color="auto" w:fill="D0CECE"/>
            <w:tcMar>
              <w:top w:w="0" w:type="dxa"/>
              <w:left w:w="108" w:type="dxa"/>
              <w:bottom w:w="0" w:type="dxa"/>
              <w:right w:w="108" w:type="dxa"/>
            </w:tcMar>
            <w:hideMark/>
          </w:tcPr>
          <w:p w14:paraId="608BF1A9" w14:textId="77777777" w:rsidR="004047F2" w:rsidRPr="00712F3C" w:rsidRDefault="004047F2" w:rsidP="00250DAC">
            <w:pPr>
              <w:spacing w:after="0" w:line="240" w:lineRule="auto"/>
              <w:jc w:val="both"/>
              <w:rPr>
                <w:rFonts w:ascii="Times New Roman" w:hAnsi="Times New Roman"/>
                <w:b/>
                <w:bCs/>
                <w:sz w:val="20"/>
                <w:szCs w:val="20"/>
              </w:rPr>
            </w:pPr>
            <w:r w:rsidRPr="00712F3C">
              <w:rPr>
                <w:rFonts w:ascii="Times New Roman" w:hAnsi="Times New Roman"/>
                <w:b/>
                <w:bCs/>
                <w:sz w:val="20"/>
                <w:szCs w:val="20"/>
              </w:rPr>
              <w:t>No. of IPOs trading at Premium- 30</w:t>
            </w:r>
            <w:r w:rsidRPr="00712F3C">
              <w:rPr>
                <w:rFonts w:ascii="Times New Roman" w:hAnsi="Times New Roman"/>
                <w:b/>
                <w:bCs/>
                <w:sz w:val="20"/>
                <w:szCs w:val="20"/>
                <w:vertAlign w:val="superscript"/>
              </w:rPr>
              <w:t>th</w:t>
            </w:r>
            <w:r w:rsidRPr="00712F3C">
              <w:rPr>
                <w:rFonts w:ascii="Times New Roman" w:hAnsi="Times New Roman"/>
                <w:b/>
                <w:bCs/>
                <w:sz w:val="20"/>
                <w:szCs w:val="20"/>
              </w:rPr>
              <w:t xml:space="preserve"> calendar days from listing</w:t>
            </w:r>
          </w:p>
        </w:tc>
        <w:tc>
          <w:tcPr>
            <w:tcW w:w="970" w:type="pct"/>
            <w:gridSpan w:val="3"/>
            <w:shd w:val="clear" w:color="auto" w:fill="D0CECE"/>
            <w:tcMar>
              <w:top w:w="0" w:type="dxa"/>
              <w:left w:w="108" w:type="dxa"/>
              <w:bottom w:w="0" w:type="dxa"/>
              <w:right w:w="108" w:type="dxa"/>
            </w:tcMar>
            <w:hideMark/>
          </w:tcPr>
          <w:p w14:paraId="73C2BD87" w14:textId="77777777" w:rsidR="004047F2" w:rsidRPr="00712F3C" w:rsidRDefault="004047F2" w:rsidP="00250DAC">
            <w:pPr>
              <w:spacing w:after="0" w:line="240" w:lineRule="auto"/>
              <w:jc w:val="both"/>
              <w:rPr>
                <w:rFonts w:ascii="Times New Roman" w:hAnsi="Times New Roman"/>
                <w:b/>
                <w:bCs/>
                <w:sz w:val="20"/>
                <w:szCs w:val="20"/>
              </w:rPr>
            </w:pPr>
            <w:r w:rsidRPr="00712F3C">
              <w:rPr>
                <w:rFonts w:ascii="Times New Roman" w:hAnsi="Times New Roman"/>
                <w:b/>
                <w:bCs/>
                <w:sz w:val="20"/>
                <w:szCs w:val="20"/>
              </w:rPr>
              <w:t>No. of IPOs trading at discount- 180</w:t>
            </w:r>
            <w:r w:rsidRPr="00712F3C">
              <w:rPr>
                <w:rFonts w:ascii="Times New Roman" w:hAnsi="Times New Roman"/>
                <w:b/>
                <w:bCs/>
                <w:sz w:val="20"/>
                <w:szCs w:val="20"/>
                <w:vertAlign w:val="superscript"/>
              </w:rPr>
              <w:t>th</w:t>
            </w:r>
            <w:r w:rsidRPr="00712F3C">
              <w:rPr>
                <w:rFonts w:ascii="Times New Roman" w:hAnsi="Times New Roman"/>
                <w:b/>
                <w:bCs/>
                <w:sz w:val="20"/>
                <w:szCs w:val="20"/>
              </w:rPr>
              <w:t xml:space="preserve"> calendar days from listing</w:t>
            </w:r>
          </w:p>
        </w:tc>
        <w:tc>
          <w:tcPr>
            <w:tcW w:w="970" w:type="pct"/>
            <w:gridSpan w:val="3"/>
            <w:shd w:val="clear" w:color="auto" w:fill="D0CECE"/>
            <w:tcMar>
              <w:top w:w="0" w:type="dxa"/>
              <w:left w:w="108" w:type="dxa"/>
              <w:bottom w:w="0" w:type="dxa"/>
              <w:right w:w="108" w:type="dxa"/>
            </w:tcMar>
            <w:hideMark/>
          </w:tcPr>
          <w:p w14:paraId="10EDDBC8" w14:textId="77777777" w:rsidR="004047F2" w:rsidRPr="00712F3C" w:rsidRDefault="004047F2" w:rsidP="00250DAC">
            <w:pPr>
              <w:spacing w:after="0" w:line="240" w:lineRule="auto"/>
              <w:jc w:val="both"/>
              <w:rPr>
                <w:rFonts w:ascii="Times New Roman" w:hAnsi="Times New Roman"/>
                <w:b/>
                <w:bCs/>
                <w:sz w:val="20"/>
                <w:szCs w:val="20"/>
              </w:rPr>
            </w:pPr>
            <w:r w:rsidRPr="00712F3C">
              <w:rPr>
                <w:rFonts w:ascii="Times New Roman" w:hAnsi="Times New Roman"/>
                <w:b/>
                <w:bCs/>
                <w:sz w:val="20"/>
                <w:szCs w:val="20"/>
              </w:rPr>
              <w:t>No. of IPOs trading at Premium- 180</w:t>
            </w:r>
            <w:r w:rsidRPr="00712F3C">
              <w:rPr>
                <w:rFonts w:ascii="Times New Roman" w:hAnsi="Times New Roman"/>
                <w:b/>
                <w:bCs/>
                <w:sz w:val="20"/>
                <w:szCs w:val="20"/>
                <w:vertAlign w:val="superscript"/>
              </w:rPr>
              <w:t>th</w:t>
            </w:r>
            <w:r w:rsidRPr="00712F3C">
              <w:rPr>
                <w:rFonts w:ascii="Times New Roman" w:hAnsi="Times New Roman"/>
                <w:b/>
                <w:bCs/>
                <w:sz w:val="20"/>
                <w:szCs w:val="20"/>
              </w:rPr>
              <w:t xml:space="preserve"> calendar days from listing</w:t>
            </w:r>
          </w:p>
        </w:tc>
      </w:tr>
      <w:tr w:rsidR="004047F2" w:rsidRPr="00712F3C" w14:paraId="74D9D10D" w14:textId="77777777" w:rsidTr="00250DAC">
        <w:trPr>
          <w:trHeight w:val="20"/>
        </w:trPr>
        <w:tc>
          <w:tcPr>
            <w:tcW w:w="443" w:type="pct"/>
            <w:vMerge/>
            <w:shd w:val="clear" w:color="auto" w:fill="D0CECE"/>
            <w:tcMar>
              <w:top w:w="0" w:type="dxa"/>
              <w:left w:w="108" w:type="dxa"/>
              <w:bottom w:w="0" w:type="dxa"/>
              <w:right w:w="108" w:type="dxa"/>
            </w:tcMar>
          </w:tcPr>
          <w:p w14:paraId="1B114770" w14:textId="77777777" w:rsidR="004047F2" w:rsidRPr="00712F3C" w:rsidRDefault="004047F2" w:rsidP="00250DAC">
            <w:pPr>
              <w:spacing w:after="0" w:line="240" w:lineRule="auto"/>
              <w:jc w:val="both"/>
              <w:rPr>
                <w:rFonts w:ascii="Times New Roman" w:hAnsi="Times New Roman"/>
                <w:b/>
                <w:bCs/>
                <w:sz w:val="20"/>
                <w:szCs w:val="20"/>
              </w:rPr>
            </w:pPr>
          </w:p>
        </w:tc>
        <w:tc>
          <w:tcPr>
            <w:tcW w:w="296" w:type="pct"/>
            <w:vMerge/>
            <w:shd w:val="clear" w:color="auto" w:fill="D0CECE"/>
            <w:tcMar>
              <w:top w:w="0" w:type="dxa"/>
              <w:left w:w="108" w:type="dxa"/>
              <w:bottom w:w="0" w:type="dxa"/>
              <w:right w:w="108" w:type="dxa"/>
            </w:tcMar>
          </w:tcPr>
          <w:p w14:paraId="00EE55B4" w14:textId="77777777" w:rsidR="004047F2" w:rsidRPr="00712F3C" w:rsidRDefault="004047F2" w:rsidP="00250DAC">
            <w:pPr>
              <w:spacing w:after="0" w:line="240" w:lineRule="auto"/>
              <w:jc w:val="both"/>
              <w:rPr>
                <w:rFonts w:ascii="Times New Roman" w:hAnsi="Times New Roman"/>
                <w:b/>
                <w:bCs/>
                <w:sz w:val="20"/>
                <w:szCs w:val="20"/>
              </w:rPr>
            </w:pPr>
          </w:p>
        </w:tc>
        <w:tc>
          <w:tcPr>
            <w:tcW w:w="382" w:type="pct"/>
            <w:vMerge/>
            <w:shd w:val="clear" w:color="auto" w:fill="D0CECE"/>
            <w:tcMar>
              <w:top w:w="0" w:type="dxa"/>
              <w:left w:w="108" w:type="dxa"/>
              <w:bottom w:w="0" w:type="dxa"/>
              <w:right w:w="108" w:type="dxa"/>
            </w:tcMar>
          </w:tcPr>
          <w:p w14:paraId="525A8ED7" w14:textId="77777777" w:rsidR="004047F2" w:rsidRPr="00712F3C" w:rsidRDefault="004047F2" w:rsidP="00250DAC">
            <w:pPr>
              <w:spacing w:after="0" w:line="240" w:lineRule="auto"/>
              <w:jc w:val="both"/>
              <w:rPr>
                <w:rFonts w:ascii="Times New Roman" w:hAnsi="Times New Roman"/>
                <w:b/>
                <w:bCs/>
                <w:sz w:val="20"/>
                <w:szCs w:val="20"/>
              </w:rPr>
            </w:pPr>
          </w:p>
        </w:tc>
        <w:tc>
          <w:tcPr>
            <w:tcW w:w="287" w:type="pct"/>
            <w:shd w:val="clear" w:color="auto" w:fill="D0CECE"/>
            <w:tcMar>
              <w:top w:w="0" w:type="dxa"/>
              <w:left w:w="108" w:type="dxa"/>
              <w:bottom w:w="0" w:type="dxa"/>
              <w:right w:w="108" w:type="dxa"/>
            </w:tcMar>
            <w:hideMark/>
          </w:tcPr>
          <w:p w14:paraId="7726ADA3" w14:textId="77777777" w:rsidR="004047F2" w:rsidRPr="00712F3C" w:rsidRDefault="004047F2" w:rsidP="00250DAC">
            <w:pPr>
              <w:spacing w:after="0" w:line="240" w:lineRule="auto"/>
              <w:jc w:val="both"/>
              <w:rPr>
                <w:rFonts w:ascii="Times New Roman" w:hAnsi="Times New Roman"/>
                <w:b/>
                <w:bCs/>
                <w:sz w:val="20"/>
                <w:szCs w:val="20"/>
              </w:rPr>
            </w:pPr>
            <w:r w:rsidRPr="00712F3C">
              <w:rPr>
                <w:rFonts w:ascii="Times New Roman" w:hAnsi="Times New Roman"/>
                <w:b/>
                <w:bCs/>
                <w:sz w:val="20"/>
                <w:szCs w:val="20"/>
              </w:rPr>
              <w:t>Over 50%</w:t>
            </w:r>
          </w:p>
        </w:tc>
        <w:tc>
          <w:tcPr>
            <w:tcW w:w="409" w:type="pct"/>
            <w:shd w:val="clear" w:color="auto" w:fill="D0CECE"/>
            <w:tcMar>
              <w:top w:w="0" w:type="dxa"/>
              <w:left w:w="108" w:type="dxa"/>
              <w:bottom w:w="0" w:type="dxa"/>
              <w:right w:w="108" w:type="dxa"/>
            </w:tcMar>
            <w:hideMark/>
          </w:tcPr>
          <w:p w14:paraId="21E04239" w14:textId="77777777" w:rsidR="004047F2" w:rsidRPr="00712F3C" w:rsidRDefault="004047F2" w:rsidP="00250DAC">
            <w:pPr>
              <w:spacing w:after="0" w:line="240" w:lineRule="auto"/>
              <w:jc w:val="both"/>
              <w:rPr>
                <w:rFonts w:ascii="Times New Roman" w:hAnsi="Times New Roman"/>
                <w:b/>
                <w:bCs/>
                <w:sz w:val="20"/>
                <w:szCs w:val="20"/>
              </w:rPr>
            </w:pPr>
            <w:r w:rsidRPr="00712F3C">
              <w:rPr>
                <w:rFonts w:ascii="Times New Roman" w:hAnsi="Times New Roman"/>
                <w:b/>
                <w:bCs/>
                <w:sz w:val="20"/>
                <w:szCs w:val="20"/>
              </w:rPr>
              <w:t>Between 25-50%</w:t>
            </w:r>
          </w:p>
        </w:tc>
        <w:tc>
          <w:tcPr>
            <w:tcW w:w="273" w:type="pct"/>
            <w:shd w:val="clear" w:color="auto" w:fill="D0CECE"/>
            <w:tcMar>
              <w:top w:w="0" w:type="dxa"/>
              <w:left w:w="108" w:type="dxa"/>
              <w:bottom w:w="0" w:type="dxa"/>
              <w:right w:w="108" w:type="dxa"/>
            </w:tcMar>
            <w:hideMark/>
          </w:tcPr>
          <w:p w14:paraId="33594FDC" w14:textId="77777777" w:rsidR="004047F2" w:rsidRPr="00712F3C" w:rsidRDefault="004047F2" w:rsidP="00250DAC">
            <w:pPr>
              <w:spacing w:after="0" w:line="240" w:lineRule="auto"/>
              <w:jc w:val="both"/>
              <w:rPr>
                <w:rFonts w:ascii="Times New Roman" w:hAnsi="Times New Roman"/>
                <w:b/>
                <w:bCs/>
                <w:sz w:val="20"/>
                <w:szCs w:val="20"/>
              </w:rPr>
            </w:pPr>
            <w:r w:rsidRPr="00712F3C">
              <w:rPr>
                <w:rFonts w:ascii="Times New Roman" w:hAnsi="Times New Roman"/>
                <w:b/>
                <w:bCs/>
                <w:sz w:val="20"/>
                <w:szCs w:val="20"/>
              </w:rPr>
              <w:t>Less than 25%</w:t>
            </w:r>
          </w:p>
        </w:tc>
        <w:tc>
          <w:tcPr>
            <w:tcW w:w="287" w:type="pct"/>
            <w:shd w:val="clear" w:color="auto" w:fill="D0CECE"/>
            <w:tcMar>
              <w:top w:w="0" w:type="dxa"/>
              <w:left w:w="108" w:type="dxa"/>
              <w:bottom w:w="0" w:type="dxa"/>
              <w:right w:w="108" w:type="dxa"/>
            </w:tcMar>
            <w:hideMark/>
          </w:tcPr>
          <w:p w14:paraId="04598BE2" w14:textId="77777777" w:rsidR="004047F2" w:rsidRPr="00712F3C" w:rsidRDefault="004047F2" w:rsidP="00250DAC">
            <w:pPr>
              <w:spacing w:after="0" w:line="240" w:lineRule="auto"/>
              <w:jc w:val="both"/>
              <w:rPr>
                <w:rFonts w:ascii="Times New Roman" w:hAnsi="Times New Roman"/>
                <w:b/>
                <w:bCs/>
                <w:sz w:val="20"/>
                <w:szCs w:val="20"/>
              </w:rPr>
            </w:pPr>
            <w:r w:rsidRPr="00712F3C">
              <w:rPr>
                <w:rFonts w:ascii="Times New Roman" w:hAnsi="Times New Roman"/>
                <w:b/>
                <w:bCs/>
                <w:sz w:val="20"/>
                <w:szCs w:val="20"/>
              </w:rPr>
              <w:t>Over 50%</w:t>
            </w:r>
          </w:p>
        </w:tc>
        <w:tc>
          <w:tcPr>
            <w:tcW w:w="409" w:type="pct"/>
            <w:shd w:val="clear" w:color="auto" w:fill="D0CECE"/>
            <w:tcMar>
              <w:top w:w="0" w:type="dxa"/>
              <w:left w:w="108" w:type="dxa"/>
              <w:bottom w:w="0" w:type="dxa"/>
              <w:right w:w="108" w:type="dxa"/>
            </w:tcMar>
            <w:hideMark/>
          </w:tcPr>
          <w:p w14:paraId="7A581239" w14:textId="77777777" w:rsidR="004047F2" w:rsidRPr="00712F3C" w:rsidRDefault="004047F2" w:rsidP="00250DAC">
            <w:pPr>
              <w:spacing w:after="0" w:line="240" w:lineRule="auto"/>
              <w:jc w:val="both"/>
              <w:rPr>
                <w:rFonts w:ascii="Times New Roman" w:hAnsi="Times New Roman"/>
                <w:b/>
                <w:bCs/>
                <w:sz w:val="20"/>
                <w:szCs w:val="20"/>
              </w:rPr>
            </w:pPr>
            <w:r w:rsidRPr="00712F3C">
              <w:rPr>
                <w:rFonts w:ascii="Times New Roman" w:hAnsi="Times New Roman"/>
                <w:b/>
                <w:bCs/>
                <w:sz w:val="20"/>
                <w:szCs w:val="20"/>
              </w:rPr>
              <w:t>Between 25-50%</w:t>
            </w:r>
          </w:p>
        </w:tc>
        <w:tc>
          <w:tcPr>
            <w:tcW w:w="273" w:type="pct"/>
            <w:shd w:val="clear" w:color="auto" w:fill="D0CECE"/>
            <w:tcMar>
              <w:top w:w="0" w:type="dxa"/>
              <w:left w:w="108" w:type="dxa"/>
              <w:bottom w:w="0" w:type="dxa"/>
              <w:right w:w="108" w:type="dxa"/>
            </w:tcMar>
            <w:hideMark/>
          </w:tcPr>
          <w:p w14:paraId="1FC00C98" w14:textId="77777777" w:rsidR="004047F2" w:rsidRPr="00712F3C" w:rsidRDefault="004047F2" w:rsidP="00250DAC">
            <w:pPr>
              <w:spacing w:after="0" w:line="240" w:lineRule="auto"/>
              <w:jc w:val="both"/>
              <w:rPr>
                <w:rFonts w:ascii="Times New Roman" w:hAnsi="Times New Roman"/>
                <w:b/>
                <w:bCs/>
                <w:sz w:val="20"/>
                <w:szCs w:val="20"/>
              </w:rPr>
            </w:pPr>
            <w:r w:rsidRPr="00712F3C">
              <w:rPr>
                <w:rFonts w:ascii="Times New Roman" w:hAnsi="Times New Roman"/>
                <w:b/>
                <w:bCs/>
                <w:sz w:val="20"/>
                <w:szCs w:val="20"/>
              </w:rPr>
              <w:t>Less than 25%</w:t>
            </w:r>
          </w:p>
        </w:tc>
        <w:tc>
          <w:tcPr>
            <w:tcW w:w="287" w:type="pct"/>
            <w:shd w:val="clear" w:color="auto" w:fill="D0CECE"/>
            <w:tcMar>
              <w:top w:w="0" w:type="dxa"/>
              <w:left w:w="108" w:type="dxa"/>
              <w:bottom w:w="0" w:type="dxa"/>
              <w:right w:w="108" w:type="dxa"/>
            </w:tcMar>
            <w:hideMark/>
          </w:tcPr>
          <w:p w14:paraId="25AFEEAC" w14:textId="77777777" w:rsidR="004047F2" w:rsidRPr="00712F3C" w:rsidRDefault="004047F2" w:rsidP="00250DAC">
            <w:pPr>
              <w:spacing w:after="0" w:line="240" w:lineRule="auto"/>
              <w:jc w:val="both"/>
              <w:rPr>
                <w:rFonts w:ascii="Times New Roman" w:hAnsi="Times New Roman"/>
                <w:b/>
                <w:bCs/>
                <w:sz w:val="20"/>
                <w:szCs w:val="20"/>
              </w:rPr>
            </w:pPr>
            <w:r w:rsidRPr="00712F3C">
              <w:rPr>
                <w:rFonts w:ascii="Times New Roman" w:hAnsi="Times New Roman"/>
                <w:b/>
                <w:bCs/>
                <w:sz w:val="20"/>
                <w:szCs w:val="20"/>
              </w:rPr>
              <w:t>Over 50%</w:t>
            </w:r>
          </w:p>
        </w:tc>
        <w:tc>
          <w:tcPr>
            <w:tcW w:w="409" w:type="pct"/>
            <w:shd w:val="clear" w:color="auto" w:fill="D0CECE"/>
            <w:tcMar>
              <w:top w:w="0" w:type="dxa"/>
              <w:left w:w="108" w:type="dxa"/>
              <w:bottom w:w="0" w:type="dxa"/>
              <w:right w:w="108" w:type="dxa"/>
            </w:tcMar>
            <w:hideMark/>
          </w:tcPr>
          <w:p w14:paraId="696412F3" w14:textId="77777777" w:rsidR="004047F2" w:rsidRPr="00712F3C" w:rsidRDefault="004047F2" w:rsidP="00250DAC">
            <w:pPr>
              <w:spacing w:after="0" w:line="240" w:lineRule="auto"/>
              <w:jc w:val="both"/>
              <w:rPr>
                <w:rFonts w:ascii="Times New Roman" w:hAnsi="Times New Roman"/>
                <w:b/>
                <w:bCs/>
                <w:sz w:val="20"/>
                <w:szCs w:val="20"/>
              </w:rPr>
            </w:pPr>
            <w:r w:rsidRPr="00712F3C">
              <w:rPr>
                <w:rFonts w:ascii="Times New Roman" w:hAnsi="Times New Roman"/>
                <w:b/>
                <w:bCs/>
                <w:sz w:val="20"/>
                <w:szCs w:val="20"/>
              </w:rPr>
              <w:t>Between 25-50%</w:t>
            </w:r>
          </w:p>
        </w:tc>
        <w:tc>
          <w:tcPr>
            <w:tcW w:w="273" w:type="pct"/>
            <w:shd w:val="clear" w:color="auto" w:fill="D0CECE"/>
            <w:tcMar>
              <w:top w:w="0" w:type="dxa"/>
              <w:left w:w="108" w:type="dxa"/>
              <w:bottom w:w="0" w:type="dxa"/>
              <w:right w:w="108" w:type="dxa"/>
            </w:tcMar>
            <w:hideMark/>
          </w:tcPr>
          <w:p w14:paraId="3F37E5A5" w14:textId="77777777" w:rsidR="004047F2" w:rsidRPr="00712F3C" w:rsidRDefault="004047F2" w:rsidP="00250DAC">
            <w:pPr>
              <w:spacing w:after="0" w:line="240" w:lineRule="auto"/>
              <w:jc w:val="both"/>
              <w:rPr>
                <w:rFonts w:ascii="Times New Roman" w:hAnsi="Times New Roman"/>
                <w:b/>
                <w:bCs/>
                <w:sz w:val="20"/>
                <w:szCs w:val="20"/>
              </w:rPr>
            </w:pPr>
            <w:r w:rsidRPr="00712F3C">
              <w:rPr>
                <w:rFonts w:ascii="Times New Roman" w:hAnsi="Times New Roman"/>
                <w:b/>
                <w:bCs/>
                <w:sz w:val="20"/>
                <w:szCs w:val="20"/>
              </w:rPr>
              <w:t>Less than 25%</w:t>
            </w:r>
          </w:p>
        </w:tc>
        <w:tc>
          <w:tcPr>
            <w:tcW w:w="287" w:type="pct"/>
            <w:shd w:val="clear" w:color="auto" w:fill="D0CECE"/>
            <w:tcMar>
              <w:top w:w="0" w:type="dxa"/>
              <w:left w:w="108" w:type="dxa"/>
              <w:bottom w:w="0" w:type="dxa"/>
              <w:right w:w="108" w:type="dxa"/>
            </w:tcMar>
            <w:hideMark/>
          </w:tcPr>
          <w:p w14:paraId="5E71BDF6" w14:textId="77777777" w:rsidR="004047F2" w:rsidRPr="00712F3C" w:rsidRDefault="004047F2" w:rsidP="00250DAC">
            <w:pPr>
              <w:spacing w:after="0" w:line="240" w:lineRule="auto"/>
              <w:jc w:val="both"/>
              <w:rPr>
                <w:rFonts w:ascii="Times New Roman" w:hAnsi="Times New Roman"/>
                <w:b/>
                <w:bCs/>
                <w:sz w:val="20"/>
                <w:szCs w:val="20"/>
              </w:rPr>
            </w:pPr>
            <w:r w:rsidRPr="00712F3C">
              <w:rPr>
                <w:rFonts w:ascii="Times New Roman" w:hAnsi="Times New Roman"/>
                <w:b/>
                <w:bCs/>
                <w:sz w:val="20"/>
                <w:szCs w:val="20"/>
              </w:rPr>
              <w:t>Over 50%</w:t>
            </w:r>
          </w:p>
        </w:tc>
        <w:tc>
          <w:tcPr>
            <w:tcW w:w="409" w:type="pct"/>
            <w:shd w:val="clear" w:color="auto" w:fill="D0CECE"/>
            <w:tcMar>
              <w:top w:w="0" w:type="dxa"/>
              <w:left w:w="108" w:type="dxa"/>
              <w:bottom w:w="0" w:type="dxa"/>
              <w:right w:w="108" w:type="dxa"/>
            </w:tcMar>
            <w:hideMark/>
          </w:tcPr>
          <w:p w14:paraId="4C916A19" w14:textId="77777777" w:rsidR="004047F2" w:rsidRPr="00712F3C" w:rsidRDefault="004047F2" w:rsidP="00250DAC">
            <w:pPr>
              <w:spacing w:after="0" w:line="240" w:lineRule="auto"/>
              <w:jc w:val="both"/>
              <w:rPr>
                <w:rFonts w:ascii="Times New Roman" w:hAnsi="Times New Roman"/>
                <w:b/>
                <w:bCs/>
                <w:sz w:val="20"/>
                <w:szCs w:val="20"/>
              </w:rPr>
            </w:pPr>
            <w:r w:rsidRPr="00712F3C">
              <w:rPr>
                <w:rFonts w:ascii="Times New Roman" w:hAnsi="Times New Roman"/>
                <w:b/>
                <w:bCs/>
                <w:sz w:val="20"/>
                <w:szCs w:val="20"/>
              </w:rPr>
              <w:t>Between 25-50%</w:t>
            </w:r>
          </w:p>
        </w:tc>
        <w:tc>
          <w:tcPr>
            <w:tcW w:w="273" w:type="pct"/>
            <w:shd w:val="clear" w:color="auto" w:fill="D0CECE"/>
            <w:tcMar>
              <w:top w:w="0" w:type="dxa"/>
              <w:left w:w="108" w:type="dxa"/>
              <w:bottom w:w="0" w:type="dxa"/>
              <w:right w:w="108" w:type="dxa"/>
            </w:tcMar>
            <w:hideMark/>
          </w:tcPr>
          <w:p w14:paraId="01A011DC" w14:textId="77777777" w:rsidR="004047F2" w:rsidRPr="00712F3C" w:rsidRDefault="004047F2" w:rsidP="00250DAC">
            <w:pPr>
              <w:spacing w:after="0" w:line="240" w:lineRule="auto"/>
              <w:jc w:val="both"/>
              <w:rPr>
                <w:rFonts w:ascii="Times New Roman" w:hAnsi="Times New Roman"/>
                <w:b/>
                <w:bCs/>
                <w:sz w:val="20"/>
                <w:szCs w:val="20"/>
              </w:rPr>
            </w:pPr>
            <w:r w:rsidRPr="00712F3C">
              <w:rPr>
                <w:rFonts w:ascii="Times New Roman" w:hAnsi="Times New Roman"/>
                <w:b/>
                <w:bCs/>
                <w:sz w:val="20"/>
                <w:szCs w:val="20"/>
              </w:rPr>
              <w:t>Less than 25%</w:t>
            </w:r>
          </w:p>
        </w:tc>
      </w:tr>
      <w:tr w:rsidR="007C1DBA" w:rsidRPr="00712F3C" w14:paraId="1AB2B37D" w14:textId="77777777" w:rsidTr="00250DAC">
        <w:trPr>
          <w:trHeight w:val="20"/>
        </w:trPr>
        <w:tc>
          <w:tcPr>
            <w:tcW w:w="44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35DF66" w14:textId="77777777" w:rsidR="007C1DBA" w:rsidRPr="00712F3C" w:rsidRDefault="007C1DBA" w:rsidP="007C1DBA">
            <w:pPr>
              <w:spacing w:after="0" w:line="240" w:lineRule="auto"/>
              <w:jc w:val="both"/>
              <w:rPr>
                <w:rFonts w:ascii="Times New Roman" w:hAnsi="Times New Roman"/>
                <w:sz w:val="20"/>
                <w:szCs w:val="20"/>
              </w:rPr>
            </w:pPr>
            <w:r w:rsidRPr="00712F3C">
              <w:rPr>
                <w:rFonts w:ascii="Times New Roman" w:hAnsi="Times New Roman"/>
                <w:sz w:val="20"/>
                <w:szCs w:val="20"/>
              </w:rPr>
              <w:t>2020-21</w:t>
            </w:r>
          </w:p>
        </w:tc>
        <w:tc>
          <w:tcPr>
            <w:tcW w:w="29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4C84537" w14:textId="7A656D31" w:rsidR="007C1DBA" w:rsidRPr="00712F3C" w:rsidRDefault="007C1DBA" w:rsidP="007C1DBA">
            <w:pPr>
              <w:spacing w:after="0" w:line="240" w:lineRule="auto"/>
              <w:jc w:val="center"/>
              <w:rPr>
                <w:rFonts w:ascii="Times New Roman" w:hAnsi="Times New Roman"/>
                <w:sz w:val="20"/>
                <w:szCs w:val="20"/>
              </w:rPr>
            </w:pPr>
            <w:r w:rsidRPr="00F83A3C">
              <w:rPr>
                <w:rFonts w:ascii="Times New Roman" w:hAnsi="Times New Roman"/>
                <w:sz w:val="20"/>
                <w:szCs w:val="20"/>
              </w:rPr>
              <w:t>6</w:t>
            </w:r>
            <w:r w:rsidRPr="00F83A3C">
              <w:rPr>
                <w:rFonts w:ascii="Times New Roman" w:hAnsi="Times New Roman"/>
                <w:sz w:val="20"/>
                <w:szCs w:val="20"/>
                <w:vertAlign w:val="superscript"/>
              </w:rPr>
              <w:t>(1)</w:t>
            </w:r>
          </w:p>
        </w:tc>
        <w:tc>
          <w:tcPr>
            <w:tcW w:w="38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2141DCE" w14:textId="414F6B22" w:rsidR="007C1DBA" w:rsidRPr="00712F3C" w:rsidRDefault="007C1DBA" w:rsidP="007C1DBA">
            <w:pPr>
              <w:spacing w:after="0" w:line="240" w:lineRule="auto"/>
              <w:jc w:val="center"/>
              <w:rPr>
                <w:rFonts w:ascii="Times New Roman" w:hAnsi="Times New Roman"/>
                <w:sz w:val="20"/>
                <w:szCs w:val="20"/>
              </w:rPr>
            </w:pPr>
            <w:r w:rsidRPr="00F83A3C">
              <w:rPr>
                <w:rFonts w:ascii="Times New Roman" w:hAnsi="Times New Roman"/>
                <w:sz w:val="20"/>
                <w:szCs w:val="20"/>
              </w:rPr>
              <w:t>130.40</w:t>
            </w:r>
          </w:p>
        </w:tc>
        <w:tc>
          <w:tcPr>
            <w:tcW w:w="28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8C844F9" w14:textId="577206E5" w:rsidR="007C1DBA" w:rsidRPr="00712F3C" w:rsidRDefault="007C1DBA" w:rsidP="007C1DBA">
            <w:pPr>
              <w:spacing w:after="0" w:line="240" w:lineRule="auto"/>
              <w:jc w:val="center"/>
              <w:rPr>
                <w:rFonts w:ascii="Times New Roman" w:hAnsi="Times New Roman"/>
                <w:sz w:val="20"/>
                <w:szCs w:val="20"/>
              </w:rPr>
            </w:pPr>
            <w:r w:rsidRPr="00F83A3C">
              <w:rPr>
                <w:rFonts w:ascii="Times New Roman" w:hAnsi="Times New Roman"/>
                <w:sz w:val="20"/>
                <w:szCs w:val="20"/>
              </w:rPr>
              <w:t>-</w:t>
            </w:r>
          </w:p>
        </w:tc>
        <w:tc>
          <w:tcPr>
            <w:tcW w:w="40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60AD5D4" w14:textId="5027CFCE" w:rsidR="007C1DBA" w:rsidRPr="00712F3C" w:rsidRDefault="007C1DBA" w:rsidP="007C1DBA">
            <w:pPr>
              <w:spacing w:after="0" w:line="240" w:lineRule="auto"/>
              <w:jc w:val="center"/>
              <w:rPr>
                <w:rFonts w:ascii="Times New Roman" w:hAnsi="Times New Roman"/>
                <w:sz w:val="20"/>
                <w:szCs w:val="20"/>
              </w:rPr>
            </w:pPr>
            <w:r w:rsidRPr="00F83A3C">
              <w:rPr>
                <w:rFonts w:ascii="Times New Roman" w:hAnsi="Times New Roman"/>
                <w:sz w:val="20"/>
                <w:szCs w:val="20"/>
              </w:rPr>
              <w:t>-</w:t>
            </w:r>
          </w:p>
        </w:tc>
        <w:tc>
          <w:tcPr>
            <w:tcW w:w="27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8BA09E6" w14:textId="3D196A40" w:rsidR="007C1DBA" w:rsidRPr="00712F3C" w:rsidRDefault="007C1DBA" w:rsidP="007C1DBA">
            <w:pPr>
              <w:spacing w:after="0" w:line="240" w:lineRule="auto"/>
              <w:jc w:val="center"/>
              <w:rPr>
                <w:rFonts w:ascii="Times New Roman" w:hAnsi="Times New Roman"/>
                <w:sz w:val="20"/>
                <w:szCs w:val="20"/>
              </w:rPr>
            </w:pPr>
            <w:r w:rsidRPr="00F83A3C">
              <w:rPr>
                <w:rFonts w:ascii="Times New Roman" w:hAnsi="Times New Roman"/>
                <w:sz w:val="20"/>
                <w:szCs w:val="20"/>
              </w:rPr>
              <w:t>-</w:t>
            </w:r>
          </w:p>
        </w:tc>
        <w:tc>
          <w:tcPr>
            <w:tcW w:w="28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41A74E8" w14:textId="1919AC32" w:rsidR="007C1DBA" w:rsidRPr="00712F3C" w:rsidRDefault="007C1DBA" w:rsidP="007C1DBA">
            <w:pPr>
              <w:spacing w:after="0" w:line="240" w:lineRule="auto"/>
              <w:jc w:val="center"/>
              <w:rPr>
                <w:rFonts w:ascii="Times New Roman" w:hAnsi="Times New Roman"/>
                <w:sz w:val="20"/>
                <w:szCs w:val="20"/>
              </w:rPr>
            </w:pPr>
            <w:r w:rsidRPr="00F83A3C">
              <w:rPr>
                <w:rFonts w:ascii="Times New Roman" w:hAnsi="Times New Roman"/>
                <w:sz w:val="20"/>
                <w:szCs w:val="20"/>
              </w:rPr>
              <w:t>4</w:t>
            </w:r>
          </w:p>
        </w:tc>
        <w:tc>
          <w:tcPr>
            <w:tcW w:w="40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6038C2D" w14:textId="6DA32139" w:rsidR="007C1DBA" w:rsidRPr="00712F3C" w:rsidRDefault="007C1DBA" w:rsidP="007C1DBA">
            <w:pPr>
              <w:spacing w:after="0" w:line="240" w:lineRule="auto"/>
              <w:jc w:val="center"/>
              <w:rPr>
                <w:rFonts w:ascii="Times New Roman" w:hAnsi="Times New Roman"/>
                <w:sz w:val="20"/>
                <w:szCs w:val="20"/>
              </w:rPr>
            </w:pPr>
            <w:r w:rsidRPr="00F83A3C">
              <w:rPr>
                <w:rFonts w:ascii="Times New Roman" w:hAnsi="Times New Roman"/>
                <w:sz w:val="20"/>
                <w:szCs w:val="20"/>
              </w:rPr>
              <w:t>-</w:t>
            </w:r>
          </w:p>
        </w:tc>
        <w:tc>
          <w:tcPr>
            <w:tcW w:w="27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1254E0C" w14:textId="44D48B4A" w:rsidR="007C1DBA" w:rsidRPr="00712F3C" w:rsidRDefault="007C1DBA" w:rsidP="007C1DBA">
            <w:pPr>
              <w:spacing w:after="0" w:line="240" w:lineRule="auto"/>
              <w:jc w:val="center"/>
              <w:rPr>
                <w:rFonts w:ascii="Times New Roman" w:hAnsi="Times New Roman"/>
                <w:sz w:val="20"/>
                <w:szCs w:val="20"/>
              </w:rPr>
            </w:pPr>
            <w:r w:rsidRPr="00F83A3C">
              <w:rPr>
                <w:rFonts w:ascii="Times New Roman" w:hAnsi="Times New Roman"/>
                <w:sz w:val="20"/>
                <w:szCs w:val="20"/>
              </w:rPr>
              <w:t>2</w:t>
            </w:r>
          </w:p>
        </w:tc>
        <w:tc>
          <w:tcPr>
            <w:tcW w:w="28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F3008F0" w14:textId="2B98F6C4" w:rsidR="007C1DBA" w:rsidRPr="00712F3C" w:rsidRDefault="007C1DBA" w:rsidP="007C1DBA">
            <w:pPr>
              <w:spacing w:after="0" w:line="240" w:lineRule="auto"/>
              <w:jc w:val="center"/>
              <w:rPr>
                <w:rFonts w:ascii="Times New Roman" w:hAnsi="Times New Roman"/>
                <w:sz w:val="20"/>
                <w:szCs w:val="20"/>
              </w:rPr>
            </w:pPr>
            <w:r w:rsidRPr="00F83A3C">
              <w:rPr>
                <w:rFonts w:ascii="Times New Roman" w:hAnsi="Times New Roman"/>
                <w:sz w:val="20"/>
                <w:szCs w:val="20"/>
              </w:rPr>
              <w:t>-</w:t>
            </w:r>
          </w:p>
        </w:tc>
        <w:tc>
          <w:tcPr>
            <w:tcW w:w="40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0D3AC38" w14:textId="71082D5D" w:rsidR="007C1DBA" w:rsidRPr="00712F3C" w:rsidRDefault="007C1DBA" w:rsidP="007C1DBA">
            <w:pPr>
              <w:spacing w:after="0" w:line="240" w:lineRule="auto"/>
              <w:jc w:val="center"/>
              <w:rPr>
                <w:rFonts w:ascii="Times New Roman" w:hAnsi="Times New Roman"/>
                <w:sz w:val="20"/>
                <w:szCs w:val="20"/>
              </w:rPr>
            </w:pPr>
            <w:r w:rsidRPr="00F83A3C">
              <w:rPr>
                <w:rFonts w:ascii="Times New Roman" w:hAnsi="Times New Roman"/>
                <w:sz w:val="20"/>
                <w:szCs w:val="20"/>
              </w:rPr>
              <w:t>-</w:t>
            </w:r>
          </w:p>
        </w:tc>
        <w:tc>
          <w:tcPr>
            <w:tcW w:w="27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3828955" w14:textId="4CB59F47" w:rsidR="007C1DBA" w:rsidRPr="00712F3C" w:rsidRDefault="007C1DBA" w:rsidP="007C1DBA">
            <w:pPr>
              <w:spacing w:after="0" w:line="240" w:lineRule="auto"/>
              <w:jc w:val="center"/>
              <w:rPr>
                <w:rFonts w:ascii="Times New Roman" w:hAnsi="Times New Roman"/>
                <w:sz w:val="20"/>
                <w:szCs w:val="20"/>
              </w:rPr>
            </w:pPr>
            <w:r w:rsidRPr="00F83A3C">
              <w:rPr>
                <w:rFonts w:ascii="Times New Roman" w:hAnsi="Times New Roman"/>
                <w:sz w:val="20"/>
                <w:szCs w:val="20"/>
              </w:rPr>
              <w:t>-</w:t>
            </w:r>
          </w:p>
        </w:tc>
        <w:tc>
          <w:tcPr>
            <w:tcW w:w="28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1DB4311" w14:textId="628E6922" w:rsidR="007C1DBA" w:rsidRPr="00712F3C" w:rsidRDefault="007C1DBA" w:rsidP="007C1DBA">
            <w:pPr>
              <w:spacing w:after="0" w:line="240" w:lineRule="auto"/>
              <w:jc w:val="center"/>
              <w:rPr>
                <w:rFonts w:ascii="Times New Roman" w:hAnsi="Times New Roman"/>
                <w:sz w:val="20"/>
                <w:szCs w:val="20"/>
              </w:rPr>
            </w:pPr>
            <w:r w:rsidRPr="00F83A3C">
              <w:rPr>
                <w:rFonts w:ascii="Times New Roman" w:hAnsi="Times New Roman"/>
                <w:sz w:val="20"/>
                <w:szCs w:val="20"/>
              </w:rPr>
              <w:t>6</w:t>
            </w:r>
          </w:p>
        </w:tc>
        <w:tc>
          <w:tcPr>
            <w:tcW w:w="40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3A8BE11" w14:textId="780B36C3" w:rsidR="007C1DBA" w:rsidRPr="00712F3C" w:rsidRDefault="007C1DBA" w:rsidP="007C1DBA">
            <w:pPr>
              <w:spacing w:after="0" w:line="240" w:lineRule="auto"/>
              <w:jc w:val="center"/>
              <w:rPr>
                <w:rFonts w:ascii="Times New Roman" w:hAnsi="Times New Roman"/>
                <w:sz w:val="20"/>
                <w:szCs w:val="20"/>
              </w:rPr>
            </w:pPr>
            <w:r w:rsidRPr="00F83A3C">
              <w:rPr>
                <w:rFonts w:ascii="Times New Roman" w:hAnsi="Times New Roman"/>
                <w:sz w:val="20"/>
                <w:szCs w:val="20"/>
              </w:rPr>
              <w:t>-</w:t>
            </w:r>
          </w:p>
        </w:tc>
        <w:tc>
          <w:tcPr>
            <w:tcW w:w="27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B905250" w14:textId="0D3C2D21" w:rsidR="007C1DBA" w:rsidRPr="00712F3C" w:rsidRDefault="007C1DBA" w:rsidP="007C1DBA">
            <w:pPr>
              <w:spacing w:after="0" w:line="240" w:lineRule="auto"/>
              <w:jc w:val="center"/>
              <w:rPr>
                <w:rFonts w:ascii="Times New Roman" w:hAnsi="Times New Roman"/>
                <w:sz w:val="20"/>
                <w:szCs w:val="20"/>
              </w:rPr>
            </w:pPr>
            <w:r w:rsidRPr="00F83A3C">
              <w:rPr>
                <w:rFonts w:ascii="Times New Roman" w:hAnsi="Times New Roman"/>
                <w:sz w:val="20"/>
                <w:szCs w:val="20"/>
              </w:rPr>
              <w:t>-</w:t>
            </w:r>
          </w:p>
        </w:tc>
      </w:tr>
      <w:tr w:rsidR="007C1DBA" w:rsidRPr="00712F3C" w14:paraId="72D771BE" w14:textId="77777777" w:rsidTr="00250DAC">
        <w:trPr>
          <w:trHeight w:val="20"/>
        </w:trPr>
        <w:tc>
          <w:tcPr>
            <w:tcW w:w="44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49C6F97" w14:textId="77777777" w:rsidR="007C1DBA" w:rsidRPr="00712F3C" w:rsidRDefault="007C1DBA" w:rsidP="007C1DBA">
            <w:pPr>
              <w:spacing w:after="0" w:line="240" w:lineRule="auto"/>
              <w:jc w:val="both"/>
              <w:rPr>
                <w:rFonts w:ascii="Times New Roman" w:hAnsi="Times New Roman"/>
                <w:sz w:val="20"/>
                <w:szCs w:val="20"/>
              </w:rPr>
            </w:pPr>
            <w:r w:rsidRPr="00712F3C">
              <w:rPr>
                <w:rFonts w:ascii="Times New Roman" w:hAnsi="Times New Roman"/>
                <w:sz w:val="20"/>
                <w:szCs w:val="20"/>
              </w:rPr>
              <w:t>2021-22</w:t>
            </w:r>
          </w:p>
        </w:tc>
        <w:tc>
          <w:tcPr>
            <w:tcW w:w="2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071E201" w14:textId="73F98757" w:rsidR="007C1DBA" w:rsidRPr="00712F3C" w:rsidRDefault="007C1DBA" w:rsidP="007C1DBA">
            <w:pPr>
              <w:spacing w:after="0" w:line="240" w:lineRule="auto"/>
              <w:jc w:val="center"/>
              <w:rPr>
                <w:rFonts w:ascii="Times New Roman" w:hAnsi="Times New Roman"/>
                <w:sz w:val="20"/>
                <w:szCs w:val="20"/>
              </w:rPr>
            </w:pPr>
            <w:r w:rsidRPr="00F83A3C">
              <w:rPr>
                <w:rFonts w:ascii="Times New Roman" w:hAnsi="Times New Roman"/>
                <w:sz w:val="20"/>
                <w:szCs w:val="20"/>
              </w:rPr>
              <w:t>15</w:t>
            </w:r>
            <w:r w:rsidRPr="00F83A3C">
              <w:rPr>
                <w:rFonts w:ascii="Times New Roman" w:hAnsi="Times New Roman"/>
                <w:sz w:val="20"/>
                <w:szCs w:val="20"/>
                <w:vertAlign w:val="superscript"/>
              </w:rPr>
              <w:t>(2)</w:t>
            </w:r>
          </w:p>
        </w:tc>
        <w:tc>
          <w:tcPr>
            <w:tcW w:w="38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BF7F449" w14:textId="4DECA4A5" w:rsidR="007C1DBA" w:rsidRPr="00712F3C" w:rsidRDefault="007C1DBA" w:rsidP="007C1DBA">
            <w:pPr>
              <w:spacing w:after="0" w:line="240" w:lineRule="auto"/>
              <w:jc w:val="center"/>
              <w:rPr>
                <w:rFonts w:ascii="Times New Roman" w:hAnsi="Times New Roman"/>
                <w:sz w:val="20"/>
                <w:szCs w:val="20"/>
              </w:rPr>
            </w:pPr>
            <w:r w:rsidRPr="00F83A3C">
              <w:rPr>
                <w:rFonts w:ascii="Times New Roman" w:hAnsi="Times New Roman"/>
                <w:sz w:val="20"/>
                <w:szCs w:val="20"/>
              </w:rPr>
              <w:t>220.57</w:t>
            </w:r>
          </w:p>
        </w:tc>
        <w:tc>
          <w:tcPr>
            <w:tcW w:w="28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2639000" w14:textId="49B52A26" w:rsidR="007C1DBA" w:rsidRPr="00712F3C" w:rsidRDefault="007C1DBA" w:rsidP="007C1DBA">
            <w:pPr>
              <w:spacing w:after="0" w:line="240" w:lineRule="auto"/>
              <w:jc w:val="center"/>
              <w:rPr>
                <w:rFonts w:ascii="Times New Roman" w:hAnsi="Times New Roman"/>
                <w:sz w:val="20"/>
                <w:szCs w:val="20"/>
              </w:rPr>
            </w:pPr>
            <w:r w:rsidRPr="00F83A3C">
              <w:rPr>
                <w:rFonts w:ascii="Times New Roman" w:hAnsi="Times New Roman"/>
                <w:sz w:val="20"/>
                <w:szCs w:val="20"/>
              </w:rPr>
              <w:t>-</w:t>
            </w:r>
          </w:p>
        </w:tc>
        <w:tc>
          <w:tcPr>
            <w:tcW w:w="40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0983706" w14:textId="2864D1DD" w:rsidR="007C1DBA" w:rsidRPr="00712F3C" w:rsidRDefault="007C1DBA" w:rsidP="007C1DBA">
            <w:pPr>
              <w:spacing w:after="0" w:line="240" w:lineRule="auto"/>
              <w:jc w:val="center"/>
              <w:rPr>
                <w:rFonts w:ascii="Times New Roman" w:hAnsi="Times New Roman"/>
                <w:sz w:val="20"/>
                <w:szCs w:val="20"/>
              </w:rPr>
            </w:pPr>
            <w:r w:rsidRPr="00F83A3C">
              <w:rPr>
                <w:rFonts w:ascii="Times New Roman" w:hAnsi="Times New Roman"/>
                <w:sz w:val="20"/>
                <w:szCs w:val="20"/>
              </w:rPr>
              <w:t>-</w:t>
            </w:r>
          </w:p>
        </w:tc>
        <w:tc>
          <w:tcPr>
            <w:tcW w:w="27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A83D818" w14:textId="5EA89539" w:rsidR="007C1DBA" w:rsidRPr="00712F3C" w:rsidRDefault="007C1DBA" w:rsidP="007C1DBA">
            <w:pPr>
              <w:spacing w:after="0" w:line="240" w:lineRule="auto"/>
              <w:jc w:val="center"/>
              <w:rPr>
                <w:rFonts w:ascii="Times New Roman" w:hAnsi="Times New Roman"/>
                <w:sz w:val="20"/>
                <w:szCs w:val="20"/>
              </w:rPr>
            </w:pPr>
            <w:r w:rsidRPr="00F83A3C">
              <w:rPr>
                <w:rFonts w:ascii="Times New Roman" w:hAnsi="Times New Roman"/>
                <w:sz w:val="20"/>
                <w:szCs w:val="20"/>
              </w:rPr>
              <w:t>-</w:t>
            </w:r>
          </w:p>
        </w:tc>
        <w:tc>
          <w:tcPr>
            <w:tcW w:w="28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F05CE62" w14:textId="13F76832" w:rsidR="007C1DBA" w:rsidRPr="00712F3C" w:rsidRDefault="007C1DBA" w:rsidP="007C1DBA">
            <w:pPr>
              <w:spacing w:after="0" w:line="240" w:lineRule="auto"/>
              <w:jc w:val="center"/>
              <w:rPr>
                <w:rFonts w:ascii="Times New Roman" w:hAnsi="Times New Roman"/>
                <w:sz w:val="20"/>
                <w:szCs w:val="20"/>
              </w:rPr>
            </w:pPr>
            <w:r w:rsidRPr="00F83A3C">
              <w:rPr>
                <w:rFonts w:ascii="Times New Roman" w:hAnsi="Times New Roman"/>
                <w:sz w:val="20"/>
                <w:szCs w:val="20"/>
              </w:rPr>
              <w:t>6</w:t>
            </w:r>
          </w:p>
        </w:tc>
        <w:tc>
          <w:tcPr>
            <w:tcW w:w="40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CCB7240" w14:textId="5F4DE8CA" w:rsidR="007C1DBA" w:rsidRPr="00712F3C" w:rsidRDefault="007C1DBA" w:rsidP="007C1DBA">
            <w:pPr>
              <w:spacing w:after="0" w:line="240" w:lineRule="auto"/>
              <w:jc w:val="center"/>
              <w:rPr>
                <w:rFonts w:ascii="Times New Roman" w:hAnsi="Times New Roman"/>
                <w:sz w:val="20"/>
                <w:szCs w:val="20"/>
              </w:rPr>
            </w:pPr>
            <w:r>
              <w:rPr>
                <w:rFonts w:ascii="Times New Roman" w:hAnsi="Times New Roman"/>
                <w:sz w:val="20"/>
                <w:szCs w:val="20"/>
              </w:rPr>
              <w:t>6</w:t>
            </w:r>
          </w:p>
        </w:tc>
        <w:tc>
          <w:tcPr>
            <w:tcW w:w="27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3EAC344" w14:textId="5398872D" w:rsidR="007C1DBA" w:rsidRPr="00712F3C" w:rsidRDefault="007C1DBA" w:rsidP="007C1DBA">
            <w:pPr>
              <w:spacing w:after="0" w:line="240" w:lineRule="auto"/>
              <w:jc w:val="center"/>
              <w:rPr>
                <w:rFonts w:ascii="Times New Roman" w:hAnsi="Times New Roman"/>
                <w:sz w:val="20"/>
                <w:szCs w:val="20"/>
              </w:rPr>
            </w:pPr>
            <w:r w:rsidRPr="00F83A3C">
              <w:rPr>
                <w:rFonts w:ascii="Times New Roman" w:hAnsi="Times New Roman"/>
                <w:sz w:val="20"/>
                <w:szCs w:val="20"/>
              </w:rPr>
              <w:t>3</w:t>
            </w:r>
          </w:p>
        </w:tc>
        <w:tc>
          <w:tcPr>
            <w:tcW w:w="28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051BC27" w14:textId="5290CA34" w:rsidR="007C1DBA" w:rsidRPr="00712F3C" w:rsidRDefault="007C1DBA" w:rsidP="007C1DBA">
            <w:pPr>
              <w:spacing w:after="0" w:line="240" w:lineRule="auto"/>
              <w:jc w:val="center"/>
              <w:rPr>
                <w:rFonts w:ascii="Times New Roman" w:hAnsi="Times New Roman"/>
                <w:sz w:val="20"/>
                <w:szCs w:val="20"/>
              </w:rPr>
            </w:pPr>
            <w:r w:rsidRPr="00F83A3C">
              <w:rPr>
                <w:rFonts w:ascii="Times New Roman" w:hAnsi="Times New Roman"/>
                <w:sz w:val="20"/>
                <w:szCs w:val="20"/>
              </w:rPr>
              <w:t>-</w:t>
            </w:r>
          </w:p>
        </w:tc>
        <w:tc>
          <w:tcPr>
            <w:tcW w:w="40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AAC03B4" w14:textId="6F86747A" w:rsidR="007C1DBA" w:rsidRPr="00712F3C" w:rsidRDefault="007C1DBA" w:rsidP="007C1DBA">
            <w:pPr>
              <w:spacing w:after="0" w:line="240" w:lineRule="auto"/>
              <w:jc w:val="center"/>
              <w:rPr>
                <w:rFonts w:ascii="Times New Roman" w:hAnsi="Times New Roman"/>
                <w:sz w:val="20"/>
                <w:szCs w:val="20"/>
              </w:rPr>
            </w:pPr>
            <w:r w:rsidRPr="00F83A3C">
              <w:rPr>
                <w:rFonts w:ascii="Times New Roman" w:hAnsi="Times New Roman"/>
                <w:sz w:val="20"/>
                <w:szCs w:val="20"/>
              </w:rPr>
              <w:t>-</w:t>
            </w:r>
          </w:p>
        </w:tc>
        <w:tc>
          <w:tcPr>
            <w:tcW w:w="27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416DA92" w14:textId="769A6E15" w:rsidR="007C1DBA" w:rsidRPr="00712F3C" w:rsidRDefault="007C1DBA" w:rsidP="007C1DBA">
            <w:pPr>
              <w:spacing w:after="0" w:line="240" w:lineRule="auto"/>
              <w:jc w:val="center"/>
              <w:rPr>
                <w:rFonts w:ascii="Times New Roman" w:hAnsi="Times New Roman"/>
                <w:sz w:val="20"/>
                <w:szCs w:val="20"/>
              </w:rPr>
            </w:pPr>
            <w:r w:rsidRPr="00F83A3C">
              <w:rPr>
                <w:rFonts w:ascii="Times New Roman" w:hAnsi="Times New Roman"/>
                <w:sz w:val="20"/>
                <w:szCs w:val="20"/>
              </w:rPr>
              <w:t>-</w:t>
            </w:r>
          </w:p>
        </w:tc>
        <w:tc>
          <w:tcPr>
            <w:tcW w:w="28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BCBE623" w14:textId="74973BBA" w:rsidR="007C1DBA" w:rsidRPr="00712F3C" w:rsidRDefault="007C1DBA" w:rsidP="007C1DBA">
            <w:pPr>
              <w:spacing w:after="0" w:line="240" w:lineRule="auto"/>
              <w:jc w:val="center"/>
              <w:rPr>
                <w:rFonts w:ascii="Times New Roman" w:hAnsi="Times New Roman"/>
                <w:sz w:val="20"/>
                <w:szCs w:val="20"/>
              </w:rPr>
            </w:pPr>
            <w:r>
              <w:rPr>
                <w:rFonts w:ascii="Times New Roman" w:hAnsi="Times New Roman"/>
                <w:sz w:val="20"/>
                <w:szCs w:val="20"/>
              </w:rPr>
              <w:t>1</w:t>
            </w:r>
            <w:r w:rsidR="002A5501">
              <w:rPr>
                <w:rFonts w:ascii="Times New Roman" w:hAnsi="Times New Roman"/>
                <w:sz w:val="20"/>
                <w:szCs w:val="20"/>
              </w:rPr>
              <w:t>2</w:t>
            </w:r>
          </w:p>
        </w:tc>
        <w:tc>
          <w:tcPr>
            <w:tcW w:w="40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848910D" w14:textId="453A441C" w:rsidR="007C1DBA" w:rsidRPr="00712F3C" w:rsidRDefault="007C1DBA" w:rsidP="007C1DBA">
            <w:pPr>
              <w:spacing w:after="0" w:line="240" w:lineRule="auto"/>
              <w:jc w:val="center"/>
              <w:rPr>
                <w:rFonts w:ascii="Times New Roman" w:hAnsi="Times New Roman"/>
                <w:sz w:val="20"/>
                <w:szCs w:val="20"/>
              </w:rPr>
            </w:pPr>
            <w:r w:rsidRPr="00F83A3C">
              <w:rPr>
                <w:rFonts w:ascii="Times New Roman" w:hAnsi="Times New Roman"/>
                <w:sz w:val="20"/>
                <w:szCs w:val="20"/>
              </w:rPr>
              <w:t>-</w:t>
            </w:r>
          </w:p>
        </w:tc>
        <w:tc>
          <w:tcPr>
            <w:tcW w:w="27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2F16C60" w14:textId="1119FA5D" w:rsidR="007C1DBA" w:rsidRPr="00712F3C" w:rsidRDefault="007C1DBA" w:rsidP="007C1DBA">
            <w:pPr>
              <w:spacing w:after="0" w:line="240" w:lineRule="auto"/>
              <w:jc w:val="center"/>
              <w:rPr>
                <w:rFonts w:ascii="Times New Roman" w:hAnsi="Times New Roman"/>
                <w:sz w:val="20"/>
                <w:szCs w:val="20"/>
              </w:rPr>
            </w:pPr>
            <w:r w:rsidRPr="00F83A3C">
              <w:rPr>
                <w:rFonts w:ascii="Times New Roman" w:hAnsi="Times New Roman"/>
                <w:sz w:val="20"/>
                <w:szCs w:val="20"/>
              </w:rPr>
              <w:t>3</w:t>
            </w:r>
          </w:p>
        </w:tc>
      </w:tr>
      <w:tr w:rsidR="007C1DBA" w:rsidRPr="00712F3C" w14:paraId="55D5523F" w14:textId="77777777" w:rsidTr="00250DAC">
        <w:trPr>
          <w:trHeight w:val="20"/>
        </w:trPr>
        <w:tc>
          <w:tcPr>
            <w:tcW w:w="44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33822E" w14:textId="77777777" w:rsidR="007C1DBA" w:rsidRPr="00712F3C" w:rsidRDefault="007C1DBA" w:rsidP="007C1DBA">
            <w:pPr>
              <w:spacing w:after="0" w:line="240" w:lineRule="auto"/>
              <w:jc w:val="both"/>
              <w:rPr>
                <w:rFonts w:ascii="Times New Roman" w:hAnsi="Times New Roman"/>
                <w:sz w:val="20"/>
                <w:szCs w:val="20"/>
              </w:rPr>
            </w:pPr>
            <w:r w:rsidRPr="00712F3C">
              <w:rPr>
                <w:rFonts w:ascii="Times New Roman" w:hAnsi="Times New Roman"/>
                <w:sz w:val="20"/>
                <w:szCs w:val="20"/>
              </w:rPr>
              <w:t>2022-23</w:t>
            </w:r>
          </w:p>
        </w:tc>
        <w:tc>
          <w:tcPr>
            <w:tcW w:w="29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915F7CD" w14:textId="088301CD" w:rsidR="007C1DBA" w:rsidRPr="00712F3C" w:rsidRDefault="007C1DBA" w:rsidP="007C1DBA">
            <w:pPr>
              <w:spacing w:after="0" w:line="240" w:lineRule="auto"/>
              <w:jc w:val="center"/>
              <w:rPr>
                <w:rFonts w:ascii="Times New Roman" w:hAnsi="Times New Roman"/>
                <w:sz w:val="20"/>
                <w:szCs w:val="20"/>
              </w:rPr>
            </w:pPr>
            <w:r w:rsidRPr="00F83A3C">
              <w:rPr>
                <w:rFonts w:ascii="Times New Roman" w:hAnsi="Times New Roman"/>
                <w:sz w:val="20"/>
                <w:szCs w:val="20"/>
              </w:rPr>
              <w:t>5</w:t>
            </w:r>
            <w:r w:rsidRPr="00F83A3C">
              <w:rPr>
                <w:rFonts w:ascii="Times New Roman" w:hAnsi="Times New Roman"/>
                <w:sz w:val="20"/>
                <w:szCs w:val="20"/>
                <w:vertAlign w:val="superscript"/>
              </w:rPr>
              <w:t>(3)</w:t>
            </w:r>
          </w:p>
        </w:tc>
        <w:tc>
          <w:tcPr>
            <w:tcW w:w="382"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AD04C30" w14:textId="113B4669" w:rsidR="007C1DBA" w:rsidRPr="00712F3C" w:rsidRDefault="007C1DBA" w:rsidP="007C1DBA">
            <w:pPr>
              <w:spacing w:after="0" w:line="240" w:lineRule="auto"/>
              <w:jc w:val="center"/>
              <w:rPr>
                <w:rFonts w:ascii="Times New Roman" w:hAnsi="Times New Roman"/>
                <w:sz w:val="20"/>
                <w:szCs w:val="20"/>
              </w:rPr>
            </w:pPr>
            <w:r w:rsidRPr="00F83A3C">
              <w:rPr>
                <w:rFonts w:ascii="Times New Roman" w:hAnsi="Times New Roman"/>
                <w:sz w:val="20"/>
                <w:szCs w:val="20"/>
              </w:rPr>
              <w:t>180.69</w:t>
            </w:r>
          </w:p>
        </w:tc>
        <w:tc>
          <w:tcPr>
            <w:tcW w:w="28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407A9AD" w14:textId="31560C7F" w:rsidR="007C1DBA" w:rsidRPr="00712F3C" w:rsidRDefault="007C1DBA" w:rsidP="007C1DBA">
            <w:pPr>
              <w:spacing w:after="0" w:line="240" w:lineRule="auto"/>
              <w:jc w:val="center"/>
              <w:rPr>
                <w:rFonts w:ascii="Times New Roman" w:hAnsi="Times New Roman"/>
                <w:sz w:val="20"/>
                <w:szCs w:val="20"/>
              </w:rPr>
            </w:pPr>
            <w:r w:rsidRPr="00F83A3C">
              <w:rPr>
                <w:rFonts w:ascii="Times New Roman" w:hAnsi="Times New Roman"/>
                <w:sz w:val="20"/>
                <w:szCs w:val="20"/>
              </w:rPr>
              <w:t>-</w:t>
            </w:r>
          </w:p>
        </w:tc>
        <w:tc>
          <w:tcPr>
            <w:tcW w:w="40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5051C54" w14:textId="65037ABF" w:rsidR="007C1DBA" w:rsidRPr="00712F3C" w:rsidRDefault="007C1DBA" w:rsidP="007C1DBA">
            <w:pPr>
              <w:spacing w:after="0" w:line="240" w:lineRule="auto"/>
              <w:jc w:val="center"/>
              <w:rPr>
                <w:rFonts w:ascii="Times New Roman" w:hAnsi="Times New Roman"/>
                <w:sz w:val="20"/>
                <w:szCs w:val="20"/>
              </w:rPr>
            </w:pPr>
            <w:r w:rsidRPr="00F83A3C">
              <w:rPr>
                <w:rFonts w:ascii="Times New Roman" w:hAnsi="Times New Roman"/>
                <w:sz w:val="20"/>
                <w:szCs w:val="20"/>
              </w:rPr>
              <w:t>-</w:t>
            </w:r>
          </w:p>
        </w:tc>
        <w:tc>
          <w:tcPr>
            <w:tcW w:w="27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01C8B1F" w14:textId="0961D0CE" w:rsidR="007C1DBA" w:rsidRPr="00712F3C" w:rsidRDefault="007C1DBA" w:rsidP="007C1DBA">
            <w:pPr>
              <w:spacing w:after="0" w:line="240" w:lineRule="auto"/>
              <w:jc w:val="center"/>
              <w:rPr>
                <w:rFonts w:ascii="Times New Roman" w:hAnsi="Times New Roman"/>
                <w:sz w:val="20"/>
                <w:szCs w:val="20"/>
              </w:rPr>
            </w:pPr>
            <w:r w:rsidRPr="00F83A3C">
              <w:rPr>
                <w:rFonts w:ascii="Times New Roman" w:hAnsi="Times New Roman"/>
                <w:sz w:val="20"/>
                <w:szCs w:val="20"/>
              </w:rPr>
              <w:t>-</w:t>
            </w:r>
          </w:p>
        </w:tc>
        <w:tc>
          <w:tcPr>
            <w:tcW w:w="28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211FE79" w14:textId="35798E4C" w:rsidR="007C1DBA" w:rsidRPr="00712F3C" w:rsidRDefault="007C1DBA" w:rsidP="007C1DBA">
            <w:pPr>
              <w:spacing w:after="0" w:line="240" w:lineRule="auto"/>
              <w:jc w:val="center"/>
              <w:rPr>
                <w:rFonts w:ascii="Times New Roman" w:hAnsi="Times New Roman"/>
                <w:sz w:val="20"/>
                <w:szCs w:val="20"/>
              </w:rPr>
            </w:pPr>
            <w:r>
              <w:rPr>
                <w:rFonts w:ascii="Times New Roman" w:hAnsi="Times New Roman"/>
                <w:sz w:val="20"/>
                <w:szCs w:val="20"/>
              </w:rPr>
              <w:t>3</w:t>
            </w:r>
          </w:p>
        </w:tc>
        <w:tc>
          <w:tcPr>
            <w:tcW w:w="40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75C5C79" w14:textId="35FEEE72" w:rsidR="007C1DBA" w:rsidRPr="00712F3C" w:rsidRDefault="007C1DBA" w:rsidP="007C1DBA">
            <w:pPr>
              <w:spacing w:after="0" w:line="240" w:lineRule="auto"/>
              <w:jc w:val="center"/>
              <w:rPr>
                <w:rFonts w:ascii="Times New Roman" w:hAnsi="Times New Roman"/>
                <w:sz w:val="20"/>
                <w:szCs w:val="20"/>
              </w:rPr>
            </w:pPr>
            <w:r>
              <w:rPr>
                <w:rFonts w:ascii="Times New Roman" w:hAnsi="Times New Roman"/>
                <w:sz w:val="20"/>
                <w:szCs w:val="20"/>
              </w:rPr>
              <w:t>2</w:t>
            </w:r>
          </w:p>
        </w:tc>
        <w:tc>
          <w:tcPr>
            <w:tcW w:w="27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D5452D0" w14:textId="10E53C18" w:rsidR="007C1DBA" w:rsidRPr="00712F3C" w:rsidRDefault="007C1DBA" w:rsidP="007C1DBA">
            <w:pPr>
              <w:spacing w:after="0" w:line="240" w:lineRule="auto"/>
              <w:jc w:val="center"/>
              <w:rPr>
                <w:rFonts w:ascii="Times New Roman" w:hAnsi="Times New Roman"/>
                <w:sz w:val="20"/>
                <w:szCs w:val="20"/>
              </w:rPr>
            </w:pPr>
            <w:r w:rsidRPr="00F83A3C">
              <w:rPr>
                <w:rFonts w:ascii="Times New Roman" w:hAnsi="Times New Roman"/>
                <w:sz w:val="20"/>
                <w:szCs w:val="20"/>
              </w:rPr>
              <w:t>-</w:t>
            </w:r>
          </w:p>
        </w:tc>
        <w:tc>
          <w:tcPr>
            <w:tcW w:w="28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6F9F2FE" w14:textId="210BA247" w:rsidR="007C1DBA" w:rsidRPr="00712F3C" w:rsidRDefault="007C1DBA" w:rsidP="007C1DBA">
            <w:pPr>
              <w:spacing w:after="0" w:line="240" w:lineRule="auto"/>
              <w:jc w:val="center"/>
              <w:rPr>
                <w:rFonts w:ascii="Times New Roman" w:hAnsi="Times New Roman"/>
                <w:sz w:val="20"/>
                <w:szCs w:val="20"/>
              </w:rPr>
            </w:pPr>
            <w:r w:rsidRPr="00F83A3C">
              <w:rPr>
                <w:rFonts w:ascii="Times New Roman" w:hAnsi="Times New Roman"/>
                <w:sz w:val="20"/>
                <w:szCs w:val="20"/>
              </w:rPr>
              <w:t>-</w:t>
            </w:r>
          </w:p>
        </w:tc>
        <w:tc>
          <w:tcPr>
            <w:tcW w:w="40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DEBD6CF" w14:textId="52573D4B" w:rsidR="007C1DBA" w:rsidRPr="00712F3C" w:rsidRDefault="007C1DBA" w:rsidP="007C1DBA">
            <w:pPr>
              <w:spacing w:after="0" w:line="240" w:lineRule="auto"/>
              <w:jc w:val="center"/>
              <w:rPr>
                <w:rFonts w:ascii="Times New Roman" w:hAnsi="Times New Roman"/>
                <w:sz w:val="20"/>
                <w:szCs w:val="20"/>
              </w:rPr>
            </w:pPr>
            <w:r w:rsidRPr="00F83A3C">
              <w:rPr>
                <w:rFonts w:ascii="Times New Roman" w:hAnsi="Times New Roman"/>
                <w:sz w:val="20"/>
                <w:szCs w:val="20"/>
              </w:rPr>
              <w:t>-</w:t>
            </w:r>
          </w:p>
        </w:tc>
        <w:tc>
          <w:tcPr>
            <w:tcW w:w="27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B9CA98D" w14:textId="1BB35046" w:rsidR="007C1DBA" w:rsidRPr="00712F3C" w:rsidRDefault="007C1DBA" w:rsidP="007C1DBA">
            <w:pPr>
              <w:spacing w:after="0" w:line="240" w:lineRule="auto"/>
              <w:jc w:val="center"/>
              <w:rPr>
                <w:rFonts w:ascii="Times New Roman" w:hAnsi="Times New Roman"/>
                <w:sz w:val="20"/>
                <w:szCs w:val="20"/>
              </w:rPr>
            </w:pPr>
            <w:r w:rsidRPr="00F83A3C">
              <w:rPr>
                <w:rFonts w:ascii="Times New Roman" w:hAnsi="Times New Roman"/>
                <w:sz w:val="20"/>
                <w:szCs w:val="20"/>
              </w:rPr>
              <w:t>-</w:t>
            </w:r>
          </w:p>
        </w:tc>
        <w:tc>
          <w:tcPr>
            <w:tcW w:w="28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42164B4" w14:textId="491B4BD8" w:rsidR="007C1DBA" w:rsidRPr="00712F3C" w:rsidRDefault="007C1DBA" w:rsidP="007C1DBA">
            <w:pPr>
              <w:spacing w:after="0" w:line="240" w:lineRule="auto"/>
              <w:jc w:val="center"/>
              <w:rPr>
                <w:rFonts w:ascii="Times New Roman" w:hAnsi="Times New Roman"/>
                <w:sz w:val="20"/>
                <w:szCs w:val="20"/>
              </w:rPr>
            </w:pPr>
          </w:p>
        </w:tc>
        <w:tc>
          <w:tcPr>
            <w:tcW w:w="409"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0214F8B" w14:textId="34662F11" w:rsidR="007C1DBA" w:rsidRPr="00712F3C" w:rsidRDefault="007C1DBA" w:rsidP="007C1DBA">
            <w:pPr>
              <w:spacing w:after="0" w:line="240" w:lineRule="auto"/>
              <w:jc w:val="center"/>
              <w:rPr>
                <w:rFonts w:ascii="Times New Roman" w:hAnsi="Times New Roman"/>
                <w:sz w:val="20"/>
                <w:szCs w:val="20"/>
              </w:rPr>
            </w:pPr>
            <w:r w:rsidRPr="00F83A3C">
              <w:rPr>
                <w:rFonts w:ascii="Times New Roman" w:hAnsi="Times New Roman"/>
                <w:sz w:val="20"/>
                <w:szCs w:val="20"/>
              </w:rPr>
              <w:t>-</w:t>
            </w:r>
          </w:p>
        </w:tc>
        <w:tc>
          <w:tcPr>
            <w:tcW w:w="27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8F54E9A" w14:textId="5F6C77FA" w:rsidR="007C1DBA" w:rsidRPr="00712F3C" w:rsidRDefault="007C1DBA" w:rsidP="007C1DBA">
            <w:pPr>
              <w:spacing w:after="0" w:line="240" w:lineRule="auto"/>
              <w:jc w:val="center"/>
              <w:rPr>
                <w:rFonts w:ascii="Times New Roman" w:hAnsi="Times New Roman"/>
                <w:sz w:val="20"/>
                <w:szCs w:val="20"/>
              </w:rPr>
            </w:pPr>
            <w:r w:rsidRPr="00F83A3C">
              <w:rPr>
                <w:rFonts w:ascii="Times New Roman" w:hAnsi="Times New Roman"/>
                <w:sz w:val="20"/>
                <w:szCs w:val="20"/>
              </w:rPr>
              <w:t>-</w:t>
            </w:r>
          </w:p>
        </w:tc>
      </w:tr>
    </w:tbl>
    <w:p w14:paraId="73C10EBB" w14:textId="77777777" w:rsidR="004047F2" w:rsidRPr="00712F3C" w:rsidRDefault="004047F2" w:rsidP="004047F2">
      <w:pPr>
        <w:spacing w:after="0" w:line="240" w:lineRule="auto"/>
        <w:jc w:val="both"/>
        <w:rPr>
          <w:rFonts w:ascii="Times New Roman" w:hAnsi="Times New Roman"/>
          <w:b/>
          <w:bCs/>
          <w:color w:val="000000"/>
          <w:sz w:val="20"/>
          <w:szCs w:val="20"/>
        </w:rPr>
      </w:pPr>
    </w:p>
    <w:p w14:paraId="0CBEB982" w14:textId="77777777" w:rsidR="007C1DBA" w:rsidRPr="00F83A3C" w:rsidRDefault="007C1DBA">
      <w:pPr>
        <w:numPr>
          <w:ilvl w:val="0"/>
          <w:numId w:val="276"/>
        </w:numPr>
        <w:spacing w:after="0" w:line="240" w:lineRule="auto"/>
        <w:ind w:left="360"/>
        <w:jc w:val="both"/>
        <w:rPr>
          <w:rFonts w:ascii="Times New Roman" w:hAnsi="Times New Roman"/>
          <w:i/>
          <w:iCs/>
          <w:sz w:val="20"/>
          <w:szCs w:val="20"/>
        </w:rPr>
      </w:pPr>
      <w:r w:rsidRPr="00E042AE">
        <w:rPr>
          <w:rFonts w:ascii="Times New Roman" w:hAnsi="Times New Roman"/>
          <w:i/>
          <w:iCs/>
          <w:sz w:val="20"/>
          <w:szCs w:val="20"/>
        </w:rPr>
        <w:lastRenderedPageBreak/>
        <w:t>The scrip of EKI Energy Services Limited, DU Digital Technologies Limited, Prevest Denpro Limited, Jainam Ferro Alloys (I) Limited, Shri Venkatesh Refineries Ltd. and KN Agri Resources Limited was listed on April 7, 2021, August 26, 2021, September 27, 2</w:t>
      </w:r>
      <w:r w:rsidRPr="00F83A3C">
        <w:rPr>
          <w:rFonts w:ascii="Times New Roman" w:hAnsi="Times New Roman"/>
          <w:i/>
          <w:iCs/>
          <w:sz w:val="20"/>
          <w:szCs w:val="20"/>
        </w:rPr>
        <w:t>021, October 08, 2021, October 11, 2021and March 28, 2022 respectively;</w:t>
      </w:r>
    </w:p>
    <w:p w14:paraId="0BDF588B" w14:textId="77777777" w:rsidR="007C1DBA" w:rsidRPr="00F83A3C" w:rsidRDefault="007C1DBA" w:rsidP="007C1DBA">
      <w:pPr>
        <w:spacing w:after="0" w:line="240" w:lineRule="auto"/>
        <w:jc w:val="both"/>
        <w:rPr>
          <w:rFonts w:ascii="Times New Roman" w:hAnsi="Times New Roman"/>
          <w:i/>
          <w:iCs/>
          <w:sz w:val="20"/>
          <w:szCs w:val="20"/>
        </w:rPr>
      </w:pPr>
    </w:p>
    <w:p w14:paraId="12547556" w14:textId="77777777" w:rsidR="007C1DBA" w:rsidRPr="00F83A3C" w:rsidRDefault="007C1DBA">
      <w:pPr>
        <w:numPr>
          <w:ilvl w:val="0"/>
          <w:numId w:val="276"/>
        </w:numPr>
        <w:spacing w:after="0" w:line="240" w:lineRule="auto"/>
        <w:ind w:left="426"/>
        <w:jc w:val="both"/>
        <w:rPr>
          <w:rFonts w:ascii="Times New Roman" w:hAnsi="Times New Roman"/>
          <w:i/>
          <w:iCs/>
          <w:sz w:val="20"/>
          <w:szCs w:val="20"/>
        </w:rPr>
      </w:pPr>
      <w:r w:rsidRPr="00F83A3C">
        <w:rPr>
          <w:rFonts w:ascii="Times New Roman" w:hAnsi="Times New Roman"/>
          <w:i/>
          <w:iCs/>
          <w:sz w:val="20"/>
          <w:szCs w:val="20"/>
        </w:rPr>
        <w:t>The scrip of Krishna Defence and Allied Industries Limited was listed on April 6, 2022; Eighty Jewellers Limited was listed on April 13, 2022; Kesar India Limited was listed on July 12, 2022; Silicon Rental Solutions Limited was listed on October 10, 2022; Cargosol Logistics Limited was listed on October 10, 2022; Cargotrans Maritime Limited was listed on October 10, 2022; Concord Control Systems Limited was listed on October 10, 2022; Lloyds Luxuries Limited was listed on October 11, 2022; Vedant Asset Limited was listed on October 12, 2022;</w:t>
      </w:r>
      <w:r w:rsidRPr="00F83A3C">
        <w:rPr>
          <w:rFonts w:ascii="Times New Roman" w:hAnsi="Times New Roman"/>
          <w:sz w:val="20"/>
          <w:szCs w:val="20"/>
        </w:rPr>
        <w:t xml:space="preserve"> </w:t>
      </w:r>
      <w:r w:rsidRPr="00F83A3C">
        <w:rPr>
          <w:rFonts w:ascii="Times New Roman" w:hAnsi="Times New Roman"/>
          <w:i/>
          <w:iCs/>
          <w:sz w:val="20"/>
          <w:szCs w:val="20"/>
        </w:rPr>
        <w:t>Baheti Recycling Industries Limited was listed on December 08, 2022; Chaman Metallics Limited was listed on January 16, 2023; Earthstahl &amp; Alloys Limited was listed on February 08, 2023; Macfos Limited</w:t>
      </w:r>
      <w:r w:rsidRPr="00F83A3C" w:rsidDel="00246CBF">
        <w:rPr>
          <w:rFonts w:ascii="Times New Roman" w:hAnsi="Times New Roman"/>
          <w:i/>
          <w:iCs/>
          <w:sz w:val="20"/>
          <w:szCs w:val="20"/>
        </w:rPr>
        <w:t xml:space="preserve"> </w:t>
      </w:r>
      <w:r w:rsidRPr="00F83A3C">
        <w:rPr>
          <w:rFonts w:ascii="Times New Roman" w:hAnsi="Times New Roman"/>
          <w:i/>
          <w:iCs/>
          <w:sz w:val="20"/>
          <w:szCs w:val="20"/>
        </w:rPr>
        <w:t>was listed on March 01, 2023; Systango Technologies Limited was listed on March 15, 2023 and Labelkraft Technologies Limited</w:t>
      </w:r>
      <w:r w:rsidRPr="00F83A3C" w:rsidDel="00246CBF">
        <w:rPr>
          <w:rFonts w:ascii="Times New Roman" w:hAnsi="Times New Roman"/>
          <w:i/>
          <w:iCs/>
          <w:sz w:val="20"/>
          <w:szCs w:val="20"/>
        </w:rPr>
        <w:t xml:space="preserve"> </w:t>
      </w:r>
      <w:r w:rsidRPr="00F83A3C">
        <w:rPr>
          <w:rFonts w:ascii="Times New Roman" w:hAnsi="Times New Roman"/>
          <w:i/>
          <w:iCs/>
          <w:sz w:val="20"/>
          <w:szCs w:val="20"/>
        </w:rPr>
        <w:t>was listed on March 23, 2023;</w:t>
      </w:r>
    </w:p>
    <w:p w14:paraId="4D26177E" w14:textId="77777777" w:rsidR="007C1DBA" w:rsidRPr="00F83A3C" w:rsidRDefault="007C1DBA" w:rsidP="007C1DBA">
      <w:pPr>
        <w:spacing w:after="0" w:line="240" w:lineRule="auto"/>
        <w:ind w:left="426"/>
        <w:jc w:val="both"/>
        <w:rPr>
          <w:rFonts w:ascii="Times New Roman" w:hAnsi="Times New Roman"/>
          <w:i/>
          <w:iCs/>
          <w:sz w:val="20"/>
          <w:szCs w:val="20"/>
        </w:rPr>
      </w:pPr>
    </w:p>
    <w:p w14:paraId="49601FE7" w14:textId="77777777" w:rsidR="007C1DBA" w:rsidRPr="00F83A3C" w:rsidRDefault="007C1DBA">
      <w:pPr>
        <w:numPr>
          <w:ilvl w:val="0"/>
          <w:numId w:val="276"/>
        </w:numPr>
        <w:spacing w:after="0" w:line="240" w:lineRule="auto"/>
        <w:ind w:left="426"/>
        <w:jc w:val="both"/>
        <w:rPr>
          <w:rFonts w:ascii="Times New Roman" w:hAnsi="Times New Roman"/>
          <w:i/>
          <w:iCs/>
          <w:sz w:val="20"/>
          <w:szCs w:val="20"/>
        </w:rPr>
      </w:pPr>
      <w:r w:rsidRPr="00F83A3C">
        <w:rPr>
          <w:rFonts w:ascii="Times New Roman" w:hAnsi="Times New Roman"/>
          <w:i/>
          <w:iCs/>
          <w:sz w:val="20"/>
          <w:szCs w:val="20"/>
        </w:rPr>
        <w:t xml:space="preserve">The scrip of </w:t>
      </w:r>
      <w:r w:rsidRPr="00F83A3C">
        <w:rPr>
          <w:rFonts w:ascii="Times New Roman" w:hAnsi="Times New Roman"/>
          <w:i/>
          <w:sz w:val="20"/>
          <w:szCs w:val="20"/>
        </w:rPr>
        <w:t>Vasa Denticity Limited</w:t>
      </w:r>
      <w:r w:rsidRPr="00F83A3C">
        <w:rPr>
          <w:rFonts w:ascii="Times New Roman" w:hAnsi="Times New Roman"/>
          <w:i/>
          <w:iCs/>
          <w:sz w:val="20"/>
          <w:szCs w:val="20"/>
        </w:rPr>
        <w:t xml:space="preserve"> was listed on June 02, 2023;</w:t>
      </w:r>
      <w:r w:rsidRPr="00F83A3C">
        <w:rPr>
          <w:rFonts w:ascii="Times New Roman" w:hAnsi="Times New Roman"/>
          <w:sz w:val="20"/>
          <w:szCs w:val="20"/>
        </w:rPr>
        <w:t xml:space="preserve"> </w:t>
      </w:r>
      <w:r w:rsidRPr="00F83A3C">
        <w:rPr>
          <w:rFonts w:ascii="Times New Roman" w:hAnsi="Times New Roman"/>
          <w:i/>
          <w:sz w:val="20"/>
          <w:szCs w:val="20"/>
        </w:rPr>
        <w:t xml:space="preserve">Hemant Surgical Industries Limited was listed on June 05, 2023; Greenchef Appliances Limited was listed on July 06, 2023; </w:t>
      </w:r>
      <w:r w:rsidRPr="00F83A3C">
        <w:rPr>
          <w:rFonts w:ascii="Times New Roman" w:hAnsi="Times New Roman"/>
          <w:i/>
          <w:iCs/>
          <w:sz w:val="20"/>
          <w:szCs w:val="20"/>
        </w:rPr>
        <w:t xml:space="preserve">Kaka Industries Limited </w:t>
      </w:r>
      <w:r w:rsidRPr="00F83A3C">
        <w:rPr>
          <w:rFonts w:ascii="Times New Roman" w:hAnsi="Times New Roman"/>
          <w:i/>
          <w:sz w:val="20"/>
          <w:szCs w:val="20"/>
        </w:rPr>
        <w:t>was listed on July 19, 2023;</w:t>
      </w:r>
      <w:r w:rsidRPr="00F83A3C">
        <w:rPr>
          <w:rFonts w:ascii="Times New Roman" w:hAnsi="Times New Roman"/>
          <w:i/>
          <w:iCs/>
          <w:sz w:val="20"/>
          <w:szCs w:val="20"/>
        </w:rPr>
        <w:t xml:space="preserve"> Asarfi Hospital Limited </w:t>
      </w:r>
      <w:r w:rsidRPr="00F83A3C">
        <w:rPr>
          <w:rFonts w:ascii="Times New Roman" w:hAnsi="Times New Roman"/>
          <w:i/>
          <w:sz w:val="20"/>
          <w:szCs w:val="20"/>
        </w:rPr>
        <w:t>was listed on July 26, 2023</w:t>
      </w:r>
      <w:r>
        <w:rPr>
          <w:rFonts w:ascii="Times New Roman" w:hAnsi="Times New Roman"/>
          <w:i/>
          <w:sz w:val="20"/>
          <w:szCs w:val="20"/>
        </w:rPr>
        <w:t xml:space="preserve">; </w:t>
      </w:r>
      <w:r>
        <w:rPr>
          <w:rFonts w:ascii="Times New Roman" w:hAnsi="Times New Roman"/>
          <w:i/>
          <w:iCs/>
          <w:sz w:val="20"/>
          <w:szCs w:val="20"/>
        </w:rPr>
        <w:t>Kahan Packaging</w:t>
      </w:r>
      <w:r w:rsidRPr="00F83A3C">
        <w:rPr>
          <w:rFonts w:ascii="Times New Roman" w:hAnsi="Times New Roman"/>
          <w:i/>
          <w:iCs/>
          <w:sz w:val="20"/>
          <w:szCs w:val="20"/>
        </w:rPr>
        <w:t xml:space="preserve"> Limited </w:t>
      </w:r>
      <w:r w:rsidRPr="00F83A3C">
        <w:rPr>
          <w:rFonts w:ascii="Times New Roman" w:hAnsi="Times New Roman"/>
          <w:i/>
          <w:sz w:val="20"/>
          <w:szCs w:val="20"/>
        </w:rPr>
        <w:t xml:space="preserve">was listed on </w:t>
      </w:r>
      <w:r>
        <w:rPr>
          <w:rFonts w:ascii="Times New Roman" w:hAnsi="Times New Roman"/>
          <w:i/>
          <w:sz w:val="20"/>
          <w:szCs w:val="20"/>
        </w:rPr>
        <w:t>September 15</w:t>
      </w:r>
      <w:r w:rsidRPr="00F83A3C">
        <w:rPr>
          <w:rFonts w:ascii="Times New Roman" w:hAnsi="Times New Roman"/>
          <w:i/>
          <w:sz w:val="20"/>
          <w:szCs w:val="20"/>
        </w:rPr>
        <w:t xml:space="preserve">, 2023. </w:t>
      </w:r>
    </w:p>
    <w:p w14:paraId="6DECD0CA" w14:textId="77777777" w:rsidR="004047F2" w:rsidRPr="00712F3C" w:rsidRDefault="004047F2" w:rsidP="004047F2">
      <w:pPr>
        <w:spacing w:after="0" w:line="240" w:lineRule="auto"/>
        <w:ind w:left="360"/>
        <w:jc w:val="both"/>
        <w:rPr>
          <w:rFonts w:ascii="Times New Roman" w:hAnsi="Times New Roman"/>
          <w:i/>
          <w:iCs/>
          <w:sz w:val="20"/>
          <w:szCs w:val="20"/>
        </w:rPr>
      </w:pPr>
    </w:p>
    <w:p w14:paraId="3112C2A1" w14:textId="77777777" w:rsidR="004047F2" w:rsidRPr="00712F3C" w:rsidRDefault="004047F2" w:rsidP="004047F2">
      <w:pPr>
        <w:spacing w:after="0" w:line="240" w:lineRule="auto"/>
        <w:jc w:val="both"/>
        <w:rPr>
          <w:rFonts w:ascii="Times New Roman" w:hAnsi="Times New Roman"/>
          <w:b/>
          <w:sz w:val="20"/>
          <w:szCs w:val="20"/>
        </w:rPr>
      </w:pPr>
      <w:r w:rsidRPr="00712F3C">
        <w:rPr>
          <w:rFonts w:ascii="Times New Roman" w:hAnsi="Times New Roman"/>
          <w:b/>
          <w:sz w:val="20"/>
          <w:szCs w:val="20"/>
          <w:u w:val="single"/>
        </w:rPr>
        <w:t>Note:</w:t>
      </w:r>
    </w:p>
    <w:p w14:paraId="37C16E09" w14:textId="77777777" w:rsidR="004047F2" w:rsidRPr="00712F3C" w:rsidRDefault="004047F2">
      <w:pPr>
        <w:numPr>
          <w:ilvl w:val="0"/>
          <w:numId w:val="275"/>
        </w:numPr>
        <w:autoSpaceDE w:val="0"/>
        <w:autoSpaceDN w:val="0"/>
        <w:spacing w:after="0" w:line="240" w:lineRule="auto"/>
        <w:ind w:left="450"/>
        <w:jc w:val="both"/>
        <w:textAlignment w:val="center"/>
        <w:rPr>
          <w:rFonts w:ascii="Times New Roman" w:hAnsi="Times New Roman"/>
          <w:sz w:val="20"/>
          <w:szCs w:val="20"/>
        </w:rPr>
      </w:pPr>
      <w:r w:rsidRPr="00712F3C">
        <w:rPr>
          <w:rFonts w:ascii="Times New Roman" w:hAnsi="Times New Roman"/>
          <w:sz w:val="20"/>
          <w:szCs w:val="20"/>
        </w:rPr>
        <w:t>Based on date of listing.</w:t>
      </w:r>
    </w:p>
    <w:p w14:paraId="12A7170E" w14:textId="77777777" w:rsidR="004047F2" w:rsidRPr="00712F3C" w:rsidRDefault="004047F2">
      <w:pPr>
        <w:numPr>
          <w:ilvl w:val="0"/>
          <w:numId w:val="275"/>
        </w:numPr>
        <w:autoSpaceDE w:val="0"/>
        <w:autoSpaceDN w:val="0"/>
        <w:spacing w:after="0" w:line="240" w:lineRule="auto"/>
        <w:ind w:left="450"/>
        <w:jc w:val="both"/>
        <w:textAlignment w:val="center"/>
        <w:rPr>
          <w:rFonts w:ascii="Times New Roman" w:hAnsi="Times New Roman"/>
          <w:sz w:val="20"/>
          <w:szCs w:val="20"/>
        </w:rPr>
      </w:pPr>
      <w:r w:rsidRPr="00712F3C">
        <w:rPr>
          <w:rFonts w:ascii="Times New Roman" w:hAnsi="Times New Roman"/>
          <w:sz w:val="20"/>
          <w:szCs w:val="20"/>
        </w:rPr>
        <w:t>BSE SENSEX and CNX NIFTY have been considered as the benchmark index.</w:t>
      </w:r>
    </w:p>
    <w:p w14:paraId="2F2C2803" w14:textId="77777777" w:rsidR="004047F2" w:rsidRPr="00712F3C" w:rsidRDefault="004047F2">
      <w:pPr>
        <w:numPr>
          <w:ilvl w:val="0"/>
          <w:numId w:val="275"/>
        </w:numPr>
        <w:autoSpaceDE w:val="0"/>
        <w:autoSpaceDN w:val="0"/>
        <w:spacing w:after="0" w:line="240" w:lineRule="auto"/>
        <w:ind w:left="450"/>
        <w:jc w:val="both"/>
        <w:textAlignment w:val="center"/>
        <w:rPr>
          <w:rFonts w:ascii="Times New Roman" w:hAnsi="Times New Roman"/>
          <w:sz w:val="20"/>
          <w:szCs w:val="20"/>
        </w:rPr>
      </w:pPr>
      <w:r w:rsidRPr="00712F3C">
        <w:rPr>
          <w:rFonts w:ascii="Times New Roman" w:hAnsi="Times New Roman"/>
          <w:sz w:val="20"/>
          <w:szCs w:val="20"/>
        </w:rPr>
        <w:t>Prices on BSE/NSE are considered for all of the above calculations.</w:t>
      </w:r>
    </w:p>
    <w:p w14:paraId="4C07D035" w14:textId="77777777" w:rsidR="004047F2" w:rsidRPr="00712F3C" w:rsidRDefault="004047F2">
      <w:pPr>
        <w:numPr>
          <w:ilvl w:val="0"/>
          <w:numId w:val="275"/>
        </w:numPr>
        <w:autoSpaceDE w:val="0"/>
        <w:autoSpaceDN w:val="0"/>
        <w:spacing w:after="0" w:line="240" w:lineRule="auto"/>
        <w:ind w:left="450"/>
        <w:jc w:val="both"/>
        <w:textAlignment w:val="center"/>
        <w:rPr>
          <w:rFonts w:ascii="Times New Roman" w:hAnsi="Times New Roman"/>
          <w:sz w:val="20"/>
          <w:szCs w:val="20"/>
        </w:rPr>
      </w:pPr>
      <w:r w:rsidRPr="00712F3C">
        <w:rPr>
          <w:rFonts w:ascii="Times New Roman" w:hAnsi="Times New Roman"/>
          <w:sz w:val="20"/>
          <w:szCs w:val="20"/>
        </w:rPr>
        <w:t>In case 30</w:t>
      </w:r>
      <w:r w:rsidRPr="00712F3C">
        <w:rPr>
          <w:rFonts w:ascii="Times New Roman" w:hAnsi="Times New Roman"/>
          <w:sz w:val="20"/>
          <w:szCs w:val="20"/>
          <w:vertAlign w:val="superscript"/>
        </w:rPr>
        <w:t>th</w:t>
      </w:r>
      <w:r w:rsidRPr="00712F3C">
        <w:rPr>
          <w:rFonts w:ascii="Times New Roman" w:hAnsi="Times New Roman"/>
          <w:sz w:val="20"/>
          <w:szCs w:val="20"/>
        </w:rPr>
        <w:t xml:space="preserve"> /90</w:t>
      </w:r>
      <w:r w:rsidRPr="00712F3C">
        <w:rPr>
          <w:rFonts w:ascii="Times New Roman" w:hAnsi="Times New Roman"/>
          <w:sz w:val="20"/>
          <w:szCs w:val="20"/>
          <w:vertAlign w:val="superscript"/>
        </w:rPr>
        <w:t>th</w:t>
      </w:r>
      <w:r w:rsidRPr="00712F3C">
        <w:rPr>
          <w:rFonts w:ascii="Times New Roman" w:hAnsi="Times New Roman"/>
          <w:sz w:val="20"/>
          <w:szCs w:val="20"/>
        </w:rPr>
        <w:t xml:space="preserve"> /180</w:t>
      </w:r>
      <w:r w:rsidRPr="00712F3C">
        <w:rPr>
          <w:rFonts w:ascii="Times New Roman" w:hAnsi="Times New Roman"/>
          <w:sz w:val="20"/>
          <w:szCs w:val="20"/>
          <w:vertAlign w:val="superscript"/>
        </w:rPr>
        <w:t>th</w:t>
      </w:r>
      <w:r w:rsidRPr="00712F3C">
        <w:rPr>
          <w:rFonts w:ascii="Times New Roman" w:hAnsi="Times New Roman"/>
          <w:sz w:val="20"/>
          <w:szCs w:val="20"/>
        </w:rPr>
        <w:t xml:space="preserve"> day is not a trading day, closing price on BSE/NSE of the next trading day has been considered.</w:t>
      </w:r>
    </w:p>
    <w:p w14:paraId="62CB6847" w14:textId="77777777" w:rsidR="004047F2" w:rsidRPr="00712F3C" w:rsidRDefault="004047F2">
      <w:pPr>
        <w:numPr>
          <w:ilvl w:val="0"/>
          <w:numId w:val="275"/>
        </w:numPr>
        <w:autoSpaceDE w:val="0"/>
        <w:autoSpaceDN w:val="0"/>
        <w:spacing w:after="0" w:line="240" w:lineRule="auto"/>
        <w:ind w:left="450"/>
        <w:jc w:val="both"/>
        <w:textAlignment w:val="center"/>
        <w:rPr>
          <w:rFonts w:ascii="Times New Roman" w:hAnsi="Times New Roman"/>
          <w:sz w:val="20"/>
          <w:szCs w:val="20"/>
        </w:rPr>
      </w:pPr>
      <w:r w:rsidRPr="00712F3C">
        <w:rPr>
          <w:rFonts w:ascii="Times New Roman" w:hAnsi="Times New Roman"/>
          <w:sz w:val="20"/>
          <w:szCs w:val="20"/>
        </w:rPr>
        <w:t>In case 30</w:t>
      </w:r>
      <w:r w:rsidRPr="00712F3C">
        <w:rPr>
          <w:rFonts w:ascii="Times New Roman" w:hAnsi="Times New Roman"/>
          <w:sz w:val="20"/>
          <w:szCs w:val="20"/>
          <w:vertAlign w:val="superscript"/>
        </w:rPr>
        <w:t>th</w:t>
      </w:r>
      <w:r w:rsidRPr="00712F3C">
        <w:rPr>
          <w:rFonts w:ascii="Times New Roman" w:hAnsi="Times New Roman"/>
          <w:sz w:val="20"/>
          <w:szCs w:val="20"/>
        </w:rPr>
        <w:t xml:space="preserve"> /90</w:t>
      </w:r>
      <w:r w:rsidRPr="00712F3C">
        <w:rPr>
          <w:rFonts w:ascii="Times New Roman" w:hAnsi="Times New Roman"/>
          <w:sz w:val="20"/>
          <w:szCs w:val="20"/>
          <w:vertAlign w:val="superscript"/>
        </w:rPr>
        <w:t>th</w:t>
      </w:r>
      <w:r w:rsidRPr="00712F3C">
        <w:rPr>
          <w:rFonts w:ascii="Times New Roman" w:hAnsi="Times New Roman"/>
          <w:sz w:val="20"/>
          <w:szCs w:val="20"/>
        </w:rPr>
        <w:t xml:space="preserve"> /180</w:t>
      </w:r>
      <w:r w:rsidRPr="00712F3C">
        <w:rPr>
          <w:rFonts w:ascii="Times New Roman" w:hAnsi="Times New Roman"/>
          <w:sz w:val="20"/>
          <w:szCs w:val="20"/>
          <w:vertAlign w:val="superscript"/>
        </w:rPr>
        <w:t>th</w:t>
      </w:r>
      <w:r w:rsidRPr="00712F3C">
        <w:rPr>
          <w:rFonts w:ascii="Times New Roman" w:hAnsi="Times New Roman"/>
          <w:sz w:val="20"/>
          <w:szCs w:val="20"/>
        </w:rPr>
        <w:t xml:space="preserve"> day, scrips are not traded then last trading price has been considered.</w:t>
      </w:r>
    </w:p>
    <w:p w14:paraId="306C62A1" w14:textId="77777777" w:rsidR="004047F2" w:rsidRPr="00712F3C" w:rsidRDefault="004047F2">
      <w:pPr>
        <w:numPr>
          <w:ilvl w:val="0"/>
          <w:numId w:val="275"/>
        </w:numPr>
        <w:autoSpaceDE w:val="0"/>
        <w:autoSpaceDN w:val="0"/>
        <w:spacing w:after="0" w:line="240" w:lineRule="auto"/>
        <w:ind w:left="450"/>
        <w:jc w:val="both"/>
        <w:textAlignment w:val="center"/>
        <w:rPr>
          <w:rFonts w:ascii="Times New Roman" w:hAnsi="Times New Roman"/>
          <w:sz w:val="20"/>
          <w:szCs w:val="20"/>
        </w:rPr>
      </w:pPr>
      <w:r w:rsidRPr="00712F3C">
        <w:rPr>
          <w:rFonts w:ascii="Times New Roman" w:hAnsi="Times New Roman"/>
          <w:sz w:val="20"/>
          <w:szCs w:val="20"/>
        </w:rPr>
        <w:t xml:space="preserve">N.A. </w:t>
      </w:r>
      <w:r w:rsidRPr="00712F3C">
        <w:rPr>
          <w:rFonts w:ascii="Times New Roman" w:eastAsia="TimesNewRoman-Identity-H" w:hAnsi="Times New Roman"/>
          <w:sz w:val="20"/>
          <w:szCs w:val="20"/>
        </w:rPr>
        <w:t xml:space="preserve">– </w:t>
      </w:r>
      <w:r w:rsidRPr="00712F3C">
        <w:rPr>
          <w:rFonts w:ascii="Times New Roman" w:hAnsi="Times New Roman"/>
          <w:sz w:val="20"/>
          <w:szCs w:val="20"/>
        </w:rPr>
        <w:t>Period not completed.</w:t>
      </w:r>
    </w:p>
    <w:p w14:paraId="49109779" w14:textId="77777777" w:rsidR="004047F2" w:rsidRPr="00712F3C" w:rsidRDefault="004047F2">
      <w:pPr>
        <w:numPr>
          <w:ilvl w:val="0"/>
          <w:numId w:val="275"/>
        </w:numPr>
        <w:autoSpaceDE w:val="0"/>
        <w:autoSpaceDN w:val="0"/>
        <w:spacing w:after="0" w:line="240" w:lineRule="auto"/>
        <w:ind w:left="450"/>
        <w:jc w:val="both"/>
        <w:textAlignment w:val="center"/>
        <w:rPr>
          <w:rFonts w:ascii="Times New Roman" w:hAnsi="Times New Roman"/>
          <w:sz w:val="20"/>
          <w:szCs w:val="20"/>
        </w:rPr>
      </w:pPr>
      <w:r w:rsidRPr="00145E9F">
        <w:rPr>
          <w:rFonts w:ascii="Times New Roman" w:hAnsi="Times New Roman"/>
          <w:sz w:val="20"/>
          <w:szCs w:val="20"/>
          <w:lang w:val="pt-BR"/>
        </w:rPr>
        <w:t xml:space="preserve">As per SEBI Circular No. </w:t>
      </w:r>
      <w:r w:rsidRPr="00712F3C">
        <w:rPr>
          <w:rFonts w:ascii="Times New Roman" w:hAnsi="Times New Roman"/>
          <w:sz w:val="20"/>
          <w:szCs w:val="20"/>
        </w:rPr>
        <w:t>CIR/CFD/DIL/7/2015 dated October 30, 2015, the above table should reflect max. 10 issues (initial public offerings) managed by the Book Running Lead Manager. Hence, disclosures pertaining to recent 10 issues handled by Book Running Lead Manager are provided.</w:t>
      </w:r>
    </w:p>
    <w:p w14:paraId="1C8FE6C2" w14:textId="77777777" w:rsidR="004047F2" w:rsidRPr="00712F3C" w:rsidRDefault="004047F2" w:rsidP="004047F2">
      <w:pPr>
        <w:spacing w:after="0" w:line="240" w:lineRule="auto"/>
        <w:jc w:val="both"/>
        <w:rPr>
          <w:rFonts w:ascii="Times New Roman" w:hAnsi="Times New Roman"/>
          <w:sz w:val="20"/>
          <w:szCs w:val="20"/>
        </w:rPr>
      </w:pPr>
    </w:p>
    <w:p w14:paraId="5794663C" w14:textId="77777777" w:rsidR="004047F2" w:rsidRPr="00712F3C" w:rsidRDefault="004047F2" w:rsidP="004047F2">
      <w:pPr>
        <w:spacing w:after="0" w:line="240" w:lineRule="auto"/>
        <w:jc w:val="both"/>
        <w:rPr>
          <w:rFonts w:ascii="Times New Roman" w:hAnsi="Times New Roman"/>
          <w:b/>
          <w:sz w:val="20"/>
          <w:szCs w:val="20"/>
        </w:rPr>
      </w:pPr>
      <w:r w:rsidRPr="00712F3C">
        <w:rPr>
          <w:rFonts w:ascii="Times New Roman" w:hAnsi="Times New Roman"/>
          <w:b/>
          <w:sz w:val="20"/>
          <w:szCs w:val="20"/>
        </w:rPr>
        <w:t xml:space="preserve">Track Record of past issues handled by Hem Securities Limited </w:t>
      </w:r>
    </w:p>
    <w:p w14:paraId="7322E9C1" w14:textId="77777777" w:rsidR="004047F2" w:rsidRPr="00712F3C" w:rsidRDefault="004047F2" w:rsidP="004047F2">
      <w:pPr>
        <w:spacing w:after="0" w:line="240" w:lineRule="auto"/>
        <w:jc w:val="both"/>
        <w:rPr>
          <w:rFonts w:ascii="Times New Roman" w:hAnsi="Times New Roman"/>
          <w:sz w:val="20"/>
          <w:szCs w:val="20"/>
        </w:rPr>
      </w:pPr>
    </w:p>
    <w:p w14:paraId="1D6E88C7"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 xml:space="preserve">For details regarding track record of BRLM to the Issue as specified in the Circular reference no. CIR/MIRSD/1/2012 dated January 10, 2012 issued by the SEBI, please refer the website of the BRLM at </w:t>
      </w:r>
      <w:hyperlink r:id="rId94" w:history="1">
        <w:r w:rsidRPr="00712F3C">
          <w:rPr>
            <w:rStyle w:val="Hyperlink"/>
            <w:rFonts w:ascii="Times New Roman" w:hAnsi="Times New Roman"/>
            <w:sz w:val="20"/>
            <w:szCs w:val="20"/>
          </w:rPr>
          <w:t>www.hesecurities.com</w:t>
        </w:r>
      </w:hyperlink>
      <w:r w:rsidRPr="00712F3C">
        <w:rPr>
          <w:rFonts w:ascii="Times New Roman" w:hAnsi="Times New Roman"/>
          <w:sz w:val="20"/>
          <w:szCs w:val="20"/>
        </w:rPr>
        <w:t xml:space="preserve"> . </w:t>
      </w:r>
    </w:p>
    <w:p w14:paraId="3481F0EB" w14:textId="77777777" w:rsidR="004047F2" w:rsidRPr="00712F3C" w:rsidRDefault="004047F2" w:rsidP="004047F2">
      <w:pPr>
        <w:spacing w:after="0" w:line="240" w:lineRule="auto"/>
        <w:jc w:val="both"/>
        <w:rPr>
          <w:rFonts w:ascii="Times New Roman" w:hAnsi="Times New Roman"/>
          <w:sz w:val="20"/>
          <w:szCs w:val="20"/>
        </w:rPr>
      </w:pPr>
    </w:p>
    <w:p w14:paraId="78042ACE" w14:textId="77777777" w:rsidR="004047F2" w:rsidRPr="00712F3C" w:rsidRDefault="004047F2" w:rsidP="004047F2">
      <w:pPr>
        <w:spacing w:after="0" w:line="240" w:lineRule="auto"/>
        <w:jc w:val="both"/>
        <w:rPr>
          <w:rFonts w:ascii="Times New Roman" w:hAnsi="Times New Roman"/>
          <w:b/>
          <w:sz w:val="20"/>
          <w:szCs w:val="20"/>
        </w:rPr>
      </w:pPr>
      <w:r w:rsidRPr="00712F3C">
        <w:rPr>
          <w:rFonts w:ascii="Times New Roman" w:hAnsi="Times New Roman"/>
          <w:b/>
          <w:sz w:val="20"/>
          <w:szCs w:val="20"/>
        </w:rPr>
        <w:t xml:space="preserve">Disclaimer from our Company and the Book Running Lead Manager </w:t>
      </w:r>
    </w:p>
    <w:p w14:paraId="52EB0CF5" w14:textId="77777777" w:rsidR="004047F2" w:rsidRPr="00712F3C" w:rsidRDefault="004047F2" w:rsidP="004047F2">
      <w:pPr>
        <w:spacing w:after="0" w:line="240" w:lineRule="auto"/>
        <w:jc w:val="both"/>
        <w:rPr>
          <w:rFonts w:ascii="Times New Roman" w:hAnsi="Times New Roman"/>
          <w:sz w:val="20"/>
          <w:szCs w:val="20"/>
        </w:rPr>
      </w:pPr>
    </w:p>
    <w:p w14:paraId="1E5CF10B"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Our Company, the Directors and the Book Running Lead Manager accept no responsibility for statements made otherwise than those contained in this Draft Red Herring Prospectus or, in case of the Company, in the advertisements or any other material issued by or at the instance of the Company and anyone placing reliance on any other source of information would be doing so at their own risk.</w:t>
      </w:r>
    </w:p>
    <w:p w14:paraId="6E97E4E5" w14:textId="77777777" w:rsidR="004047F2" w:rsidRPr="00712F3C" w:rsidRDefault="004047F2" w:rsidP="004047F2">
      <w:pPr>
        <w:spacing w:after="0" w:line="240" w:lineRule="auto"/>
        <w:jc w:val="both"/>
        <w:rPr>
          <w:rFonts w:ascii="Times New Roman" w:hAnsi="Times New Roman"/>
          <w:sz w:val="20"/>
          <w:szCs w:val="20"/>
        </w:rPr>
      </w:pPr>
    </w:p>
    <w:p w14:paraId="54352458" w14:textId="377E8E0F"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 xml:space="preserve">The BRLM accept no responsibility, save to the limited </w:t>
      </w:r>
      <w:r w:rsidRPr="004D3270">
        <w:rPr>
          <w:rFonts w:ascii="Times New Roman" w:hAnsi="Times New Roman"/>
          <w:sz w:val="20"/>
          <w:szCs w:val="20"/>
        </w:rPr>
        <w:t xml:space="preserve">extent as provided in the Agreement entered between the BRLM (Hem securities Limited), and our Company on </w:t>
      </w:r>
      <w:r w:rsidR="004D3270" w:rsidRPr="004D3270">
        <w:rPr>
          <w:rFonts w:ascii="Times New Roman" w:hAnsi="Times New Roman"/>
          <w:bCs/>
          <w:sz w:val="20"/>
          <w:szCs w:val="20"/>
        </w:rPr>
        <w:t>September 18</w:t>
      </w:r>
      <w:r w:rsidRPr="004D3270">
        <w:rPr>
          <w:rFonts w:ascii="Times New Roman" w:hAnsi="Times New Roman"/>
          <w:bCs/>
          <w:sz w:val="20"/>
          <w:szCs w:val="20"/>
        </w:rPr>
        <w:t xml:space="preserve">, 2023 </w:t>
      </w:r>
      <w:r w:rsidRPr="004D3270">
        <w:rPr>
          <w:rFonts w:ascii="Times New Roman" w:hAnsi="Times New Roman"/>
          <w:sz w:val="20"/>
          <w:szCs w:val="20"/>
        </w:rPr>
        <w:t>and</w:t>
      </w:r>
      <w:r w:rsidRPr="00712F3C">
        <w:rPr>
          <w:rFonts w:ascii="Times New Roman" w:hAnsi="Times New Roman"/>
          <w:sz w:val="20"/>
          <w:szCs w:val="20"/>
        </w:rPr>
        <w:t xml:space="preserve"> the Underwriting Agreement dated [●] entered into between the Underwriter, and our Company and the Market Making Agreement dated [●] entered into among the Market Maker and our Company. </w:t>
      </w:r>
    </w:p>
    <w:p w14:paraId="15C02740" w14:textId="77777777" w:rsidR="004047F2" w:rsidRPr="00712F3C" w:rsidRDefault="004047F2" w:rsidP="004047F2">
      <w:pPr>
        <w:spacing w:after="0" w:line="240" w:lineRule="auto"/>
        <w:jc w:val="both"/>
        <w:rPr>
          <w:rFonts w:ascii="Times New Roman" w:hAnsi="Times New Roman"/>
          <w:sz w:val="20"/>
          <w:szCs w:val="20"/>
        </w:rPr>
      </w:pPr>
    </w:p>
    <w:p w14:paraId="07AE8F94"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All information shall be made available by our Company, and the Book Running Lead Manager to the public and investors at large and no selective or additional information would be available for a section of the investors in any manner whatsoever including at road show presentations, in research or sales reports, at collection centres or elsewhere.</w:t>
      </w:r>
    </w:p>
    <w:p w14:paraId="4EC6E5A0" w14:textId="77777777" w:rsidR="004047F2" w:rsidRPr="00712F3C" w:rsidRDefault="004047F2" w:rsidP="004047F2">
      <w:pPr>
        <w:spacing w:after="0" w:line="240" w:lineRule="auto"/>
        <w:jc w:val="both"/>
        <w:rPr>
          <w:rFonts w:ascii="Times New Roman" w:hAnsi="Times New Roman"/>
          <w:sz w:val="20"/>
          <w:szCs w:val="20"/>
        </w:rPr>
      </w:pPr>
    </w:p>
    <w:p w14:paraId="3F640231"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The Book Running Lead Manager and their respective associates and affiliates may engage in transactions with, and perform services for, our Company, our Promoter Group, Group Companies, or our affiliates or associates in the ordinary course of business and have engaged, or may in future engage, in commercial banking and investment banking transactions with our Company, our Promoter Group, Group Companies, and our affiliates or associates for which they have received and may in future receive compensation.</w:t>
      </w:r>
    </w:p>
    <w:p w14:paraId="7AB4EE2F" w14:textId="77777777" w:rsidR="004047F2" w:rsidRPr="00712F3C" w:rsidRDefault="004047F2" w:rsidP="004047F2">
      <w:pPr>
        <w:spacing w:after="0" w:line="240" w:lineRule="auto"/>
        <w:jc w:val="both"/>
        <w:rPr>
          <w:rFonts w:ascii="Times New Roman" w:hAnsi="Times New Roman"/>
          <w:sz w:val="20"/>
          <w:szCs w:val="20"/>
        </w:rPr>
      </w:pPr>
    </w:p>
    <w:p w14:paraId="0A227FDB" w14:textId="77777777" w:rsidR="004047F2" w:rsidRPr="00712F3C" w:rsidRDefault="004047F2" w:rsidP="004047F2">
      <w:pPr>
        <w:spacing w:after="0" w:line="240" w:lineRule="auto"/>
        <w:jc w:val="both"/>
        <w:rPr>
          <w:rFonts w:ascii="Times New Roman" w:hAnsi="Times New Roman"/>
          <w:b/>
          <w:sz w:val="20"/>
          <w:szCs w:val="20"/>
        </w:rPr>
      </w:pPr>
      <w:r w:rsidRPr="00712F3C">
        <w:rPr>
          <w:rFonts w:ascii="Times New Roman" w:hAnsi="Times New Roman"/>
          <w:b/>
          <w:sz w:val="20"/>
          <w:szCs w:val="20"/>
        </w:rPr>
        <w:t>Note:</w:t>
      </w:r>
    </w:p>
    <w:p w14:paraId="688FB4EB" w14:textId="77777777" w:rsidR="004047F2" w:rsidRPr="00712F3C" w:rsidRDefault="004047F2" w:rsidP="004047F2">
      <w:pPr>
        <w:spacing w:after="0" w:line="240" w:lineRule="auto"/>
        <w:jc w:val="both"/>
        <w:rPr>
          <w:rFonts w:ascii="Times New Roman" w:hAnsi="Times New Roman"/>
          <w:sz w:val="20"/>
          <w:szCs w:val="20"/>
        </w:rPr>
      </w:pPr>
    </w:p>
    <w:p w14:paraId="6C1C9CB2"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Investors who apply in the Issue will be required to confirm and will be deemed to have represented to our Company, and the Underwriter and their respective directors, officers, agents, affiliates and representatives that they are eligible under all applicable laws, rules, regulations, guidelines and approvals to acquire Equity Shares of our Company and will not offer, sell, pledge or transfer the Equity Shares of our Company to any person who is not eligible under applicable laws, rules, regulations, guidelines and approvals to acquire Equity Shares of our Company. Our Company, the Underwriter and their respective Directors, officers, agents, affiliates and representatives accept no responsibility or liability for advising any investor on whether such investor is eligible to acquire the Equity Shares in the issue.</w:t>
      </w:r>
    </w:p>
    <w:p w14:paraId="3BDA7F23" w14:textId="77777777" w:rsidR="004047F2" w:rsidRPr="00712F3C" w:rsidRDefault="004047F2" w:rsidP="004047F2">
      <w:pPr>
        <w:spacing w:after="0" w:line="240" w:lineRule="auto"/>
        <w:jc w:val="both"/>
        <w:rPr>
          <w:rFonts w:ascii="Times New Roman" w:hAnsi="Times New Roman"/>
          <w:b/>
          <w:sz w:val="20"/>
          <w:szCs w:val="20"/>
        </w:rPr>
      </w:pPr>
      <w:r w:rsidRPr="00712F3C">
        <w:rPr>
          <w:rFonts w:ascii="Times New Roman" w:hAnsi="Times New Roman"/>
          <w:b/>
          <w:sz w:val="20"/>
          <w:szCs w:val="20"/>
        </w:rPr>
        <w:lastRenderedPageBreak/>
        <w:t>Disclaimer in Respect of Jurisdiction</w:t>
      </w:r>
    </w:p>
    <w:p w14:paraId="484C2BE5" w14:textId="77777777" w:rsidR="004047F2" w:rsidRPr="00712F3C" w:rsidRDefault="004047F2" w:rsidP="004047F2">
      <w:pPr>
        <w:spacing w:after="0" w:line="240" w:lineRule="auto"/>
        <w:jc w:val="both"/>
        <w:rPr>
          <w:rFonts w:ascii="Times New Roman" w:hAnsi="Times New Roman"/>
          <w:sz w:val="20"/>
          <w:szCs w:val="20"/>
        </w:rPr>
      </w:pPr>
    </w:p>
    <w:p w14:paraId="2D3CC34A" w14:textId="46AF5BD8"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 xml:space="preserve">This Issue is being made in India to persons resident in India (including Indian nationals resident in India who are majors, HUFs, companies, corporate bodies and societies registered under applicable laws in India and authorized to invest in shares, Indian mutual funds registered with SEBI, Indian financial institutions, commercial banks, regional rural banks, cooperative banks (subject to RBI permission), or trusts under applicable trust law and who are authorized under their constitution to hold and invest in shares, public financial institutions as specified in Section 2(72) of the Companies Act, 2013, VCFs, state industrial development corporations, insurance companies registered with the Insurance Regulatory and Development Authority, provident funds (subject to applicable law) with a minimum corpus of </w:t>
      </w:r>
      <w:r w:rsidRPr="00712F3C">
        <w:rPr>
          <w:rFonts w:ascii="Times New Roman" w:eastAsia="Calibri" w:hAnsi="Times New Roman"/>
          <w:sz w:val="20"/>
          <w:szCs w:val="20"/>
        </w:rPr>
        <w:t xml:space="preserve">₹ </w:t>
      </w:r>
      <w:r w:rsidRPr="00712F3C">
        <w:rPr>
          <w:rFonts w:ascii="Times New Roman" w:hAnsi="Times New Roman"/>
          <w:sz w:val="20"/>
          <w:szCs w:val="20"/>
        </w:rPr>
        <w:t xml:space="preserve">2,500.00 Lakhs and pension funds with a minimum corpus of </w:t>
      </w:r>
      <w:r w:rsidRPr="00712F3C">
        <w:rPr>
          <w:rFonts w:ascii="Times New Roman" w:eastAsia="Calibri" w:hAnsi="Times New Roman"/>
          <w:sz w:val="20"/>
          <w:szCs w:val="20"/>
        </w:rPr>
        <w:t xml:space="preserve">₹ </w:t>
      </w:r>
      <w:r w:rsidRPr="00712F3C">
        <w:rPr>
          <w:rFonts w:ascii="Times New Roman" w:hAnsi="Times New Roman"/>
          <w:sz w:val="20"/>
          <w:szCs w:val="20"/>
        </w:rPr>
        <w:t xml:space="preserve">2,500.00 Lakhs, and permitted non-residents including FIIs, Eligible NRIs, multilateral and bilateral development financial institutions, FVCIs and eligible foreign investors, insurance funds set up and managed by army, navy or air force of the Union of India and insurance funds set up and managed by the Department of Posts, India provided that they are eligible under all applicable laws and regulations to hold Equity Shares of our Company. This Draft Red Herring Prospectus does not, however, constitute an offer to sell or an invitation to subscribe for Equity Shares offered hereby in any jurisdiction other than India to any person to whom it is unlawful to make an offer or invitation in such jurisdiction. Any person into whose possession this Draft Red Herring Prospectus comes is required to inform himself or herself about, and to observe, any such restrictions. Any dispute arising out of this Issue will be subject to jurisdiction of the competent court(s) in </w:t>
      </w:r>
      <w:r w:rsidR="000B2756">
        <w:rPr>
          <w:rFonts w:ascii="Times New Roman" w:hAnsi="Times New Roman"/>
          <w:sz w:val="20"/>
          <w:szCs w:val="20"/>
        </w:rPr>
        <w:t>Jamnagar</w:t>
      </w:r>
      <w:r w:rsidRPr="00712F3C">
        <w:rPr>
          <w:rFonts w:ascii="Times New Roman" w:hAnsi="Times New Roman"/>
          <w:sz w:val="20"/>
          <w:szCs w:val="20"/>
        </w:rPr>
        <w:t>, Gujarat, India only.</w:t>
      </w:r>
    </w:p>
    <w:p w14:paraId="0F1CB239" w14:textId="77777777" w:rsidR="004047F2" w:rsidRPr="00712F3C" w:rsidRDefault="004047F2" w:rsidP="004047F2">
      <w:pPr>
        <w:spacing w:after="0" w:line="240" w:lineRule="auto"/>
        <w:jc w:val="both"/>
        <w:rPr>
          <w:rFonts w:ascii="Times New Roman" w:hAnsi="Times New Roman"/>
          <w:sz w:val="20"/>
          <w:szCs w:val="20"/>
        </w:rPr>
      </w:pPr>
    </w:p>
    <w:p w14:paraId="5AEDDAFE"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No action has been, or will be, taken to permit a public offering in any jurisdiction where action would be required for that purpose. Accordingly, the Equity Shares represented hereby may not be offered or sold, directly or indirectly, and this Draft Red Herring Prospectus may not be distributed in any jurisdiction, except in accordance with the legal requirements applicable in such jurisdiction. Neither the delivery of this Draft Red Herring Prospectus nor any sale hereunder shall, under any circumstances, create any implication that there has been no change in the affairs of our Company from the date hereof or that the information contained herein is correct as of any time subsequent to this date.</w:t>
      </w:r>
    </w:p>
    <w:p w14:paraId="71F73B81" w14:textId="77777777" w:rsidR="004047F2" w:rsidRPr="00712F3C" w:rsidRDefault="004047F2" w:rsidP="004047F2">
      <w:pPr>
        <w:spacing w:after="0" w:line="240" w:lineRule="auto"/>
        <w:jc w:val="both"/>
        <w:rPr>
          <w:rFonts w:ascii="Times New Roman" w:hAnsi="Times New Roman"/>
          <w:sz w:val="20"/>
          <w:szCs w:val="20"/>
        </w:rPr>
      </w:pPr>
    </w:p>
    <w:p w14:paraId="34B2C005" w14:textId="77777777" w:rsidR="004047F2" w:rsidRPr="00712F3C" w:rsidRDefault="004047F2" w:rsidP="004047F2">
      <w:pPr>
        <w:spacing w:after="0" w:line="240" w:lineRule="auto"/>
        <w:jc w:val="both"/>
        <w:rPr>
          <w:rFonts w:ascii="Times New Roman" w:hAnsi="Times New Roman"/>
          <w:b/>
          <w:sz w:val="20"/>
          <w:szCs w:val="20"/>
        </w:rPr>
      </w:pPr>
      <w:r w:rsidRPr="00712F3C">
        <w:rPr>
          <w:rFonts w:ascii="Times New Roman" w:hAnsi="Times New Roman"/>
          <w:b/>
          <w:sz w:val="20"/>
          <w:szCs w:val="20"/>
        </w:rPr>
        <w:t>Disclaimer Clause of the SME Platform of BSE</w:t>
      </w:r>
    </w:p>
    <w:p w14:paraId="487D58E8" w14:textId="77777777" w:rsidR="004047F2" w:rsidRPr="00712F3C" w:rsidRDefault="004047F2" w:rsidP="004047F2">
      <w:pPr>
        <w:spacing w:after="0" w:line="240" w:lineRule="auto"/>
        <w:jc w:val="both"/>
        <w:rPr>
          <w:rFonts w:ascii="Times New Roman" w:hAnsi="Times New Roman"/>
          <w:sz w:val="20"/>
          <w:szCs w:val="20"/>
        </w:rPr>
      </w:pPr>
    </w:p>
    <w:p w14:paraId="0BC89500" w14:textId="0D523566"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As required, a copy of this Offer Document has been submitted to BSE Limited (hereinafter referred to as BSE). BSE has given vide its letter [●] permission to the Issuer to use the Exchange’s name in this Offer Document as one of the stock exchanges on which this Issuer ‘s securities are proposed to be listed. The Exchange has scrutinized draft offer document for its limited internal purpose of deciding on the matter of granting the aforesaid permission to this Issuer. It is to be distinctly understood that the aforesaid permission given by BSE should not in any way be deemed or construed that the offer document has been cleared or approved by BSE; nor does it in any manner warrant, certify or endorse the correctness or completeness of any of the contents of this offer document; nor does it warrant that this Issuer‘s securities will be listed or will continue to be listed on the Exchange; nor does it take any responsibility for the financial or other soundness of this Issuer, its Promoter, its management or any scheme or project of this Issuer. Every person who desires to apply for or otherwise acquire any securities of this Issuer may do so pursuant to independent inquiry, investigation and analysis and shall not have any claim against the Exchange whatsoever by reason of any loss which may be suffered by such person consequent to or in connection with such subscription/ acquisition whether by reason of anything stated or omitted to be stated herein or any other reason whatsoever.</w:t>
      </w:r>
    </w:p>
    <w:p w14:paraId="2908D6E0" w14:textId="77777777" w:rsidR="004047F2" w:rsidRPr="00712F3C" w:rsidRDefault="004047F2" w:rsidP="004047F2">
      <w:pPr>
        <w:spacing w:after="0" w:line="240" w:lineRule="auto"/>
        <w:jc w:val="both"/>
        <w:rPr>
          <w:rFonts w:ascii="Times New Roman" w:hAnsi="Times New Roman"/>
          <w:sz w:val="20"/>
          <w:szCs w:val="20"/>
        </w:rPr>
      </w:pPr>
    </w:p>
    <w:p w14:paraId="532819DA" w14:textId="77777777" w:rsidR="004047F2" w:rsidRPr="00712F3C" w:rsidRDefault="004047F2" w:rsidP="004047F2">
      <w:pPr>
        <w:spacing w:after="0" w:line="240" w:lineRule="auto"/>
        <w:jc w:val="both"/>
        <w:rPr>
          <w:rFonts w:ascii="Times New Roman" w:hAnsi="Times New Roman"/>
          <w:b/>
          <w:sz w:val="20"/>
          <w:szCs w:val="20"/>
        </w:rPr>
      </w:pPr>
      <w:r w:rsidRPr="00712F3C">
        <w:rPr>
          <w:rFonts w:ascii="Times New Roman" w:hAnsi="Times New Roman"/>
          <w:b/>
          <w:sz w:val="20"/>
          <w:szCs w:val="20"/>
        </w:rPr>
        <w:t>Disclaimer Clause under Rule 144A of the U.S. Securities Act</w:t>
      </w:r>
    </w:p>
    <w:p w14:paraId="4474AF2A" w14:textId="77777777" w:rsidR="004047F2" w:rsidRPr="00712F3C" w:rsidRDefault="004047F2" w:rsidP="004047F2">
      <w:pPr>
        <w:spacing w:after="0" w:line="240" w:lineRule="auto"/>
        <w:jc w:val="both"/>
        <w:rPr>
          <w:rFonts w:ascii="Times New Roman" w:hAnsi="Times New Roman"/>
          <w:sz w:val="20"/>
          <w:szCs w:val="20"/>
        </w:rPr>
      </w:pPr>
    </w:p>
    <w:p w14:paraId="4B70B879"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The Equity Shares have not been, and will not be, registered under the U.S. Securities Act 1933, as amended (the “Securities Act”) or any state securities laws in the United States and may not be offered or sold within the United States or to, or for the account or benefit of, “U.S. persons” (as defined in Regulations under the Securities Act), except pursuant to an exemption from, or in a transaction not subject to, the registration requirements of the Securities Act. Accordingly, the Equity Shares will be offered and sold outside the United States in compliance with Regulations of the Securities Act and the applicable laws of the jurisdiction where those offers and sales occur. The Equity Shares have not been, and will not be, registered, listed or otherwise qualified in any other jurisdiction outside India and may not be offered or sold, and Applications may not be made by persons in any such jurisdiction, except in compliance with the applicable laws of such jurisdiction.</w:t>
      </w:r>
    </w:p>
    <w:p w14:paraId="3E61C81C" w14:textId="77777777" w:rsidR="004047F2" w:rsidRPr="00712F3C" w:rsidRDefault="004047F2" w:rsidP="004047F2">
      <w:pPr>
        <w:spacing w:after="0" w:line="240" w:lineRule="auto"/>
        <w:jc w:val="both"/>
        <w:rPr>
          <w:rFonts w:ascii="Times New Roman" w:hAnsi="Times New Roman"/>
          <w:sz w:val="20"/>
          <w:szCs w:val="20"/>
        </w:rPr>
      </w:pPr>
    </w:p>
    <w:p w14:paraId="48469EF5"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Further, each Applicant where required agrees that such Applicant will not sell or transfer any Equity Shares or create any economic interest therein, including any off-shore derivative instruments, such as participatory notes, issued against the Equity Shares or any similar security, other than pursuant to an exemption from, or in a transaction not subject to, the registration requirements of the Securities Act and in compliance with applicable laws and legislations in each jurisdiction, including India.</w:t>
      </w:r>
    </w:p>
    <w:p w14:paraId="584CED1A" w14:textId="77777777" w:rsidR="004047F2" w:rsidRPr="00712F3C" w:rsidRDefault="004047F2" w:rsidP="004047F2">
      <w:pPr>
        <w:spacing w:after="0" w:line="240" w:lineRule="auto"/>
        <w:jc w:val="both"/>
        <w:rPr>
          <w:rFonts w:ascii="Times New Roman" w:hAnsi="Times New Roman"/>
          <w:sz w:val="20"/>
          <w:szCs w:val="20"/>
        </w:rPr>
      </w:pPr>
    </w:p>
    <w:p w14:paraId="1A30DEF5" w14:textId="77777777" w:rsidR="004047F2" w:rsidRPr="00712F3C" w:rsidRDefault="004047F2" w:rsidP="004047F2">
      <w:pPr>
        <w:spacing w:after="0" w:line="240" w:lineRule="auto"/>
        <w:jc w:val="both"/>
        <w:rPr>
          <w:rFonts w:ascii="Times New Roman" w:hAnsi="Times New Roman"/>
          <w:b/>
          <w:sz w:val="20"/>
          <w:szCs w:val="20"/>
        </w:rPr>
      </w:pPr>
      <w:r w:rsidRPr="00712F3C">
        <w:rPr>
          <w:rFonts w:ascii="Times New Roman" w:hAnsi="Times New Roman"/>
          <w:b/>
          <w:sz w:val="20"/>
          <w:szCs w:val="20"/>
        </w:rPr>
        <w:t>Filing of Draft Red Herring Prospectus/ Red Herring Prospectus/ Prospectus with the SEBI/ RoC</w:t>
      </w:r>
    </w:p>
    <w:p w14:paraId="5FE60EAE" w14:textId="77777777" w:rsidR="004047F2" w:rsidRPr="00712F3C" w:rsidRDefault="004047F2" w:rsidP="004047F2">
      <w:pPr>
        <w:spacing w:after="0" w:line="240" w:lineRule="auto"/>
        <w:jc w:val="both"/>
        <w:rPr>
          <w:rFonts w:ascii="Times New Roman" w:hAnsi="Times New Roman"/>
          <w:sz w:val="20"/>
          <w:szCs w:val="20"/>
        </w:rPr>
      </w:pPr>
    </w:p>
    <w:p w14:paraId="17CE1376"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The Draft Red Herring Prospectus is being filed with BSE Ltd., Phiroze Jeejeebhoy Towers, Dalal Street, Mumbai-400001 Maharashtra, India.</w:t>
      </w:r>
    </w:p>
    <w:p w14:paraId="57CD5F12" w14:textId="77777777" w:rsidR="004047F2" w:rsidRPr="00712F3C" w:rsidRDefault="004047F2" w:rsidP="004047F2">
      <w:pPr>
        <w:spacing w:after="0" w:line="240" w:lineRule="auto"/>
        <w:jc w:val="both"/>
        <w:rPr>
          <w:rFonts w:ascii="Times New Roman" w:hAnsi="Times New Roman"/>
          <w:sz w:val="20"/>
          <w:szCs w:val="20"/>
        </w:rPr>
      </w:pPr>
    </w:p>
    <w:p w14:paraId="7CC52122" w14:textId="77777777" w:rsidR="004047F2" w:rsidRPr="00712F3C" w:rsidRDefault="004047F2" w:rsidP="004047F2">
      <w:pPr>
        <w:spacing w:after="0" w:line="240" w:lineRule="auto"/>
        <w:ind w:right="-90"/>
        <w:jc w:val="both"/>
        <w:rPr>
          <w:rFonts w:ascii="Times New Roman" w:hAnsi="Times New Roman"/>
          <w:sz w:val="20"/>
          <w:szCs w:val="20"/>
        </w:rPr>
      </w:pPr>
      <w:r w:rsidRPr="00712F3C">
        <w:rPr>
          <w:rFonts w:ascii="Times New Roman" w:hAnsi="Times New Roman"/>
          <w:sz w:val="20"/>
          <w:szCs w:val="20"/>
        </w:rPr>
        <w:t xml:space="preserve">The Draft Red Herring Prospectus will not be filed with SEBI, nor will SEBI issue any observation on the Offer Document in terms of Regulation 246(2) of SEBI (ICDR) Regulations, 2018. Pursuant to Regulation 246(5) of SEBI (ICDR) Regulations, 2018 and </w:t>
      </w:r>
      <w:r w:rsidRPr="00712F3C">
        <w:rPr>
          <w:rFonts w:ascii="Times New Roman" w:hAnsi="Times New Roman"/>
          <w:sz w:val="20"/>
          <w:szCs w:val="20"/>
        </w:rPr>
        <w:lastRenderedPageBreak/>
        <w:t xml:space="preserve">SEBI Circular Number SEBI/HO/CFD/DIL1/CIR/P/2018/011 dated January 19, 2018, a copy of Red Herring Prospectus/ Prospectus will be filed online through SEBI Intermediary Portal at </w:t>
      </w:r>
      <w:hyperlink r:id="rId95">
        <w:r w:rsidRPr="00712F3C">
          <w:rPr>
            <w:rFonts w:ascii="Times New Roman" w:hAnsi="Times New Roman"/>
            <w:color w:val="0000FF"/>
            <w:sz w:val="20"/>
            <w:szCs w:val="20"/>
            <w:u w:val="single"/>
          </w:rPr>
          <w:t>https://siportal.sebi.gov.in</w:t>
        </w:r>
      </w:hyperlink>
      <w:r w:rsidRPr="00712F3C">
        <w:rPr>
          <w:rFonts w:ascii="Times New Roman" w:hAnsi="Times New Roman"/>
          <w:sz w:val="20"/>
          <w:szCs w:val="20"/>
        </w:rPr>
        <w:t>.</w:t>
      </w:r>
    </w:p>
    <w:p w14:paraId="31950F43" w14:textId="77777777" w:rsidR="004047F2" w:rsidRPr="00712F3C" w:rsidRDefault="004047F2" w:rsidP="004047F2">
      <w:pPr>
        <w:spacing w:after="0" w:line="240" w:lineRule="auto"/>
        <w:jc w:val="both"/>
        <w:rPr>
          <w:rFonts w:ascii="Times New Roman" w:hAnsi="Times New Roman"/>
          <w:sz w:val="20"/>
          <w:szCs w:val="20"/>
        </w:rPr>
      </w:pPr>
    </w:p>
    <w:p w14:paraId="3E774532" w14:textId="41FEA903"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 xml:space="preserve">A copy of the Red Herring Prospectus/ Prospectus, along with the </w:t>
      </w:r>
      <w:r w:rsidR="007C1DBA">
        <w:rPr>
          <w:rFonts w:ascii="Times New Roman" w:hAnsi="Times New Roman"/>
          <w:sz w:val="20"/>
          <w:szCs w:val="20"/>
        </w:rPr>
        <w:t xml:space="preserve">material contract &amp; </w:t>
      </w:r>
      <w:r w:rsidRPr="00712F3C">
        <w:rPr>
          <w:rFonts w:ascii="Times New Roman" w:hAnsi="Times New Roman"/>
          <w:sz w:val="20"/>
          <w:szCs w:val="20"/>
        </w:rPr>
        <w:t xml:space="preserve">documents required to be filed, will be </w:t>
      </w:r>
      <w:r w:rsidR="007C1DBA">
        <w:rPr>
          <w:rFonts w:ascii="Times New Roman" w:hAnsi="Times New Roman"/>
          <w:sz w:val="20"/>
          <w:szCs w:val="20"/>
        </w:rPr>
        <w:t xml:space="preserve">filed </w:t>
      </w:r>
      <w:r w:rsidR="007C1DBA" w:rsidRPr="0076718C">
        <w:rPr>
          <w:rFonts w:ascii="Times New Roman" w:hAnsi="Times New Roman"/>
          <w:sz w:val="20"/>
          <w:szCs w:val="20"/>
        </w:rPr>
        <w:t xml:space="preserve">with the RoC through the electronic portal at </w:t>
      </w:r>
      <w:hyperlink r:id="rId96" w:history="1">
        <w:r w:rsidR="007C1DBA" w:rsidRPr="00F3593F">
          <w:rPr>
            <w:rStyle w:val="Hyperlink"/>
            <w:rFonts w:ascii="Times New Roman" w:hAnsi="Times New Roman"/>
            <w:sz w:val="20"/>
            <w:szCs w:val="20"/>
          </w:rPr>
          <w:t>http://www.mca.gov.in</w:t>
        </w:r>
      </w:hyperlink>
      <w:r w:rsidR="007C1DBA">
        <w:rPr>
          <w:rStyle w:val="Hyperlink"/>
          <w:rFonts w:ascii="Times New Roman" w:hAnsi="Times New Roman"/>
          <w:sz w:val="20"/>
          <w:szCs w:val="20"/>
        </w:rPr>
        <w:t>.</w:t>
      </w:r>
    </w:p>
    <w:p w14:paraId="00A6706D" w14:textId="77777777" w:rsidR="004047F2" w:rsidRPr="00712F3C" w:rsidRDefault="004047F2" w:rsidP="004047F2">
      <w:pPr>
        <w:spacing w:after="0" w:line="240" w:lineRule="auto"/>
        <w:jc w:val="both"/>
        <w:rPr>
          <w:rFonts w:ascii="Times New Roman" w:hAnsi="Times New Roman"/>
          <w:sz w:val="20"/>
          <w:szCs w:val="20"/>
        </w:rPr>
      </w:pPr>
    </w:p>
    <w:p w14:paraId="0C33B03C" w14:textId="77777777" w:rsidR="004047F2" w:rsidRPr="00712F3C" w:rsidRDefault="004047F2" w:rsidP="004047F2">
      <w:pPr>
        <w:spacing w:after="0" w:line="240" w:lineRule="auto"/>
        <w:jc w:val="both"/>
        <w:rPr>
          <w:rFonts w:ascii="Times New Roman" w:hAnsi="Times New Roman"/>
          <w:b/>
          <w:sz w:val="20"/>
          <w:szCs w:val="20"/>
        </w:rPr>
      </w:pPr>
      <w:r w:rsidRPr="00712F3C">
        <w:rPr>
          <w:rFonts w:ascii="Times New Roman" w:hAnsi="Times New Roman"/>
          <w:b/>
          <w:sz w:val="20"/>
          <w:szCs w:val="20"/>
        </w:rPr>
        <w:t>Listing</w:t>
      </w:r>
    </w:p>
    <w:p w14:paraId="35FCAED6" w14:textId="77777777" w:rsidR="004047F2" w:rsidRPr="00712F3C" w:rsidRDefault="004047F2" w:rsidP="004047F2">
      <w:pPr>
        <w:spacing w:after="0" w:line="240" w:lineRule="auto"/>
        <w:jc w:val="both"/>
        <w:rPr>
          <w:rFonts w:ascii="Times New Roman" w:hAnsi="Times New Roman"/>
          <w:sz w:val="20"/>
          <w:szCs w:val="20"/>
        </w:rPr>
      </w:pPr>
    </w:p>
    <w:p w14:paraId="39CC2032"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The Equity Shares of our Company are proposed to be listed on BSE SME. Our Company has obtained in-principle approval from BSE Limited by way of its letter dated [●] for listing of equity shares on SME Platform of BSE (BSE SME).</w:t>
      </w:r>
    </w:p>
    <w:p w14:paraId="66FBF53B" w14:textId="77777777" w:rsidR="004047F2" w:rsidRPr="00712F3C" w:rsidRDefault="004047F2" w:rsidP="004047F2">
      <w:pPr>
        <w:spacing w:after="0" w:line="240" w:lineRule="auto"/>
        <w:jc w:val="both"/>
        <w:rPr>
          <w:rFonts w:ascii="Times New Roman" w:hAnsi="Times New Roman"/>
          <w:sz w:val="20"/>
          <w:szCs w:val="20"/>
        </w:rPr>
      </w:pPr>
    </w:p>
    <w:p w14:paraId="6AFBB4D1"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BSE will be the Designated Stock Exchange, with which the Basis of Allotment will be finalized for the Issue. If the permission to deal in and for an official quotation of the Equity Shares on the BSE SME is not granted by BSE, our Company shall forthwith repay, all moneys received from the applicants in pursuance of the Draft Red Herring Prospectus. If such money is not repaid within the prescribed time, then our Company becomes liable to repay it, then our Company and every officer in default shall, shall be liable to repay such application money, with interest, as prescribed under the applicable law.</w:t>
      </w:r>
    </w:p>
    <w:p w14:paraId="5554B4B4" w14:textId="77777777" w:rsidR="004047F2" w:rsidRPr="00712F3C" w:rsidRDefault="004047F2" w:rsidP="004047F2">
      <w:pPr>
        <w:spacing w:after="0" w:line="240" w:lineRule="auto"/>
        <w:jc w:val="both"/>
        <w:rPr>
          <w:rFonts w:ascii="Times New Roman" w:hAnsi="Times New Roman"/>
          <w:sz w:val="20"/>
          <w:szCs w:val="20"/>
        </w:rPr>
      </w:pPr>
    </w:p>
    <w:p w14:paraId="2DA5441E"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Our Company shall ensure that all steps for the completion of the necessary formalities for listing and commencement of trading at the BSE SME mentioned above are taken within Six (6) Working Days of the Bid/Issue Closing Date. If Equity Shares are not Allotted pursuant to the Issue within Six (6) Working Days from the Bid/Issue Closing Date or within such timeline as prescribed by the SEBI, our Company shall repay with interest all monies received from applicants, failing which interest shall be due to be paid to the applicants at the rate of 15% per annum for the delayed period.</w:t>
      </w:r>
    </w:p>
    <w:p w14:paraId="38330DDD"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ab/>
      </w:r>
    </w:p>
    <w:p w14:paraId="19A79E65" w14:textId="77777777" w:rsidR="004047F2" w:rsidRPr="00712F3C" w:rsidRDefault="004047F2" w:rsidP="004047F2">
      <w:pPr>
        <w:spacing w:after="0" w:line="240" w:lineRule="auto"/>
        <w:jc w:val="both"/>
        <w:rPr>
          <w:rFonts w:ascii="Times New Roman" w:hAnsi="Times New Roman"/>
          <w:b/>
          <w:sz w:val="20"/>
          <w:szCs w:val="20"/>
        </w:rPr>
      </w:pPr>
      <w:r w:rsidRPr="00712F3C">
        <w:rPr>
          <w:rFonts w:ascii="Times New Roman" w:hAnsi="Times New Roman"/>
          <w:b/>
          <w:sz w:val="20"/>
          <w:szCs w:val="20"/>
        </w:rPr>
        <w:t>Impersonation</w:t>
      </w:r>
    </w:p>
    <w:p w14:paraId="4E744AA1" w14:textId="77777777" w:rsidR="004047F2" w:rsidRPr="00712F3C" w:rsidRDefault="004047F2" w:rsidP="004047F2">
      <w:pPr>
        <w:spacing w:after="0" w:line="240" w:lineRule="auto"/>
        <w:jc w:val="both"/>
        <w:rPr>
          <w:rFonts w:ascii="Times New Roman" w:hAnsi="Times New Roman"/>
          <w:sz w:val="20"/>
          <w:szCs w:val="20"/>
        </w:rPr>
      </w:pPr>
    </w:p>
    <w:p w14:paraId="5E5FD655"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Attention of the Applicants is specifically drawn to the provisions of sub-section (1) of Section 38 of the Companies Act, 2013 which is reproduced below:</w:t>
      </w:r>
    </w:p>
    <w:p w14:paraId="1DAE5E89" w14:textId="77777777" w:rsidR="004047F2" w:rsidRPr="00712F3C" w:rsidRDefault="004047F2" w:rsidP="004047F2">
      <w:pPr>
        <w:spacing w:after="0" w:line="240" w:lineRule="auto"/>
        <w:jc w:val="both"/>
        <w:rPr>
          <w:rFonts w:ascii="Times New Roman" w:hAnsi="Times New Roman"/>
          <w:sz w:val="20"/>
          <w:szCs w:val="20"/>
        </w:rPr>
      </w:pPr>
    </w:p>
    <w:p w14:paraId="456D7793"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Any person who-</w:t>
      </w:r>
    </w:p>
    <w:p w14:paraId="13911906" w14:textId="77777777" w:rsidR="004047F2" w:rsidRPr="00712F3C" w:rsidRDefault="004047F2" w:rsidP="004047F2">
      <w:pPr>
        <w:spacing w:after="0" w:line="240" w:lineRule="auto"/>
        <w:jc w:val="both"/>
        <w:rPr>
          <w:rFonts w:ascii="Times New Roman" w:hAnsi="Times New Roman"/>
          <w:sz w:val="20"/>
          <w:szCs w:val="20"/>
        </w:rPr>
      </w:pPr>
    </w:p>
    <w:p w14:paraId="4079ADC2" w14:textId="77777777" w:rsidR="004047F2" w:rsidRPr="00712F3C" w:rsidRDefault="004047F2">
      <w:pPr>
        <w:pStyle w:val="ListParagraph"/>
        <w:numPr>
          <w:ilvl w:val="0"/>
          <w:numId w:val="279"/>
        </w:numPr>
        <w:suppressAutoHyphens w:val="0"/>
        <w:autoSpaceDE/>
        <w:autoSpaceDN/>
        <w:adjustRightInd/>
        <w:spacing w:line="240" w:lineRule="auto"/>
        <w:ind w:left="360"/>
        <w:contextualSpacing/>
        <w:jc w:val="both"/>
        <w:textAlignment w:val="auto"/>
        <w:rPr>
          <w:sz w:val="20"/>
          <w:szCs w:val="20"/>
        </w:rPr>
      </w:pPr>
      <w:r w:rsidRPr="00712F3C">
        <w:rPr>
          <w:sz w:val="20"/>
          <w:szCs w:val="20"/>
        </w:rPr>
        <w:t>Makes or abets making of an application in a fictitious name to a company for acquiring, or subscribing for, its securities; or</w:t>
      </w:r>
    </w:p>
    <w:p w14:paraId="170BB642" w14:textId="77777777" w:rsidR="004047F2" w:rsidRPr="00712F3C" w:rsidRDefault="004047F2" w:rsidP="004047F2">
      <w:pPr>
        <w:spacing w:after="0" w:line="240" w:lineRule="auto"/>
        <w:jc w:val="both"/>
        <w:rPr>
          <w:rFonts w:ascii="Times New Roman" w:hAnsi="Times New Roman"/>
          <w:sz w:val="20"/>
          <w:szCs w:val="20"/>
        </w:rPr>
      </w:pPr>
    </w:p>
    <w:p w14:paraId="375BC018" w14:textId="77777777" w:rsidR="004047F2" w:rsidRPr="00712F3C" w:rsidRDefault="004047F2">
      <w:pPr>
        <w:pStyle w:val="ListParagraph"/>
        <w:numPr>
          <w:ilvl w:val="0"/>
          <w:numId w:val="279"/>
        </w:numPr>
        <w:suppressAutoHyphens w:val="0"/>
        <w:autoSpaceDE/>
        <w:autoSpaceDN/>
        <w:adjustRightInd/>
        <w:spacing w:line="240" w:lineRule="auto"/>
        <w:ind w:left="360"/>
        <w:contextualSpacing/>
        <w:jc w:val="both"/>
        <w:textAlignment w:val="auto"/>
        <w:rPr>
          <w:sz w:val="20"/>
          <w:szCs w:val="20"/>
        </w:rPr>
      </w:pPr>
      <w:r w:rsidRPr="00712F3C">
        <w:rPr>
          <w:sz w:val="20"/>
          <w:szCs w:val="20"/>
        </w:rPr>
        <w:t>Makes or abets making of multiple applications to a company in different names or in different combinations of his name or surname for acquiring or subscribing for its securities; or</w:t>
      </w:r>
    </w:p>
    <w:p w14:paraId="55E52272" w14:textId="77777777" w:rsidR="004047F2" w:rsidRPr="00712F3C" w:rsidRDefault="004047F2" w:rsidP="004047F2">
      <w:pPr>
        <w:spacing w:after="0" w:line="240" w:lineRule="auto"/>
        <w:jc w:val="both"/>
        <w:rPr>
          <w:rFonts w:ascii="Times New Roman" w:hAnsi="Times New Roman"/>
          <w:sz w:val="20"/>
          <w:szCs w:val="20"/>
        </w:rPr>
      </w:pPr>
    </w:p>
    <w:p w14:paraId="5267656D" w14:textId="77777777" w:rsidR="004047F2" w:rsidRPr="00712F3C" w:rsidRDefault="004047F2">
      <w:pPr>
        <w:pStyle w:val="ListParagraph"/>
        <w:numPr>
          <w:ilvl w:val="0"/>
          <w:numId w:val="279"/>
        </w:numPr>
        <w:suppressAutoHyphens w:val="0"/>
        <w:autoSpaceDE/>
        <w:autoSpaceDN/>
        <w:adjustRightInd/>
        <w:spacing w:line="240" w:lineRule="auto"/>
        <w:ind w:left="360"/>
        <w:contextualSpacing/>
        <w:jc w:val="both"/>
        <w:textAlignment w:val="auto"/>
        <w:rPr>
          <w:sz w:val="20"/>
          <w:szCs w:val="20"/>
        </w:rPr>
      </w:pPr>
      <w:r w:rsidRPr="00712F3C">
        <w:rPr>
          <w:sz w:val="20"/>
          <w:szCs w:val="20"/>
        </w:rPr>
        <w:t xml:space="preserve">Otherwise induces directly or indirectly a company to allot, or register any transfer of, securities to him, or to any other person in a fictitious name, </w:t>
      </w:r>
    </w:p>
    <w:p w14:paraId="63AAE3A8" w14:textId="77777777" w:rsidR="004047F2" w:rsidRPr="00712F3C" w:rsidRDefault="004047F2" w:rsidP="004047F2">
      <w:pPr>
        <w:spacing w:after="0" w:line="240" w:lineRule="auto"/>
        <w:jc w:val="both"/>
        <w:rPr>
          <w:rFonts w:ascii="Times New Roman" w:hAnsi="Times New Roman"/>
          <w:sz w:val="20"/>
          <w:szCs w:val="20"/>
        </w:rPr>
      </w:pPr>
    </w:p>
    <w:p w14:paraId="2DEC94CD"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Shall be liable to action under section 447 of the Companies, Act 2013</w:t>
      </w:r>
    </w:p>
    <w:p w14:paraId="68153E1C" w14:textId="77777777" w:rsidR="004047F2" w:rsidRPr="00712F3C" w:rsidRDefault="004047F2" w:rsidP="004047F2">
      <w:pPr>
        <w:spacing w:after="0" w:line="240" w:lineRule="auto"/>
        <w:jc w:val="both"/>
        <w:rPr>
          <w:rFonts w:ascii="Times New Roman" w:hAnsi="Times New Roman"/>
          <w:sz w:val="20"/>
          <w:szCs w:val="20"/>
        </w:rPr>
      </w:pPr>
    </w:p>
    <w:p w14:paraId="11FC9682" w14:textId="77777777" w:rsidR="004047F2" w:rsidRPr="00712F3C" w:rsidRDefault="004047F2" w:rsidP="004047F2">
      <w:pPr>
        <w:spacing w:after="0" w:line="240" w:lineRule="auto"/>
        <w:jc w:val="both"/>
        <w:rPr>
          <w:rFonts w:ascii="Times New Roman" w:hAnsi="Times New Roman"/>
          <w:b/>
          <w:sz w:val="20"/>
          <w:szCs w:val="20"/>
        </w:rPr>
      </w:pPr>
      <w:r w:rsidRPr="00712F3C">
        <w:rPr>
          <w:rFonts w:ascii="Times New Roman" w:hAnsi="Times New Roman"/>
          <w:b/>
          <w:sz w:val="20"/>
          <w:szCs w:val="20"/>
        </w:rPr>
        <w:t>Consents</w:t>
      </w:r>
    </w:p>
    <w:p w14:paraId="2226C701" w14:textId="77777777" w:rsidR="004047F2" w:rsidRPr="00712F3C" w:rsidRDefault="004047F2" w:rsidP="004047F2">
      <w:pPr>
        <w:spacing w:after="0" w:line="240" w:lineRule="auto"/>
        <w:jc w:val="both"/>
        <w:rPr>
          <w:rFonts w:ascii="Times New Roman" w:hAnsi="Times New Roman"/>
          <w:sz w:val="20"/>
          <w:szCs w:val="20"/>
        </w:rPr>
      </w:pPr>
    </w:p>
    <w:p w14:paraId="44AD39AB"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 xml:space="preserve">Consents in writing of Our Directors, Our Promoter, Our Company Secretary &amp; Compliance Officer, Chief Financial Officer, Our Statutory Auditor, Our Banker to the Company, Book Running Lead Manager, Registrar to the Issue, Legal Advisor to the Issue, Banker to the Issue/ Sponsor Bank*, Syndicate Members*, Underwriter to the Issue* and Market Maker to the Issue* to act in their respective capacities have been be obtained as required under section 26 and 32 of the Companies Act, 2013 and shall be filed along with a copy of the Red Herring Prospectus/ Prospectus with the RoC, as required under Sections 32 of the Companies Act, 2013 and such consents will not be withdrawn up </w:t>
      </w:r>
      <w:r>
        <w:rPr>
          <w:rFonts w:ascii="Times New Roman" w:hAnsi="Times New Roman"/>
          <w:sz w:val="20"/>
          <w:szCs w:val="20"/>
        </w:rPr>
        <w:t xml:space="preserve">to the time of delivery of the </w:t>
      </w:r>
      <w:r w:rsidRPr="00712F3C">
        <w:rPr>
          <w:rFonts w:ascii="Times New Roman" w:hAnsi="Times New Roman"/>
          <w:sz w:val="20"/>
          <w:szCs w:val="20"/>
        </w:rPr>
        <w:t>Red Herring Prospectus/ Prospectus for registration with the RoC.</w:t>
      </w:r>
    </w:p>
    <w:p w14:paraId="448A39D3" w14:textId="77777777" w:rsidR="004047F2" w:rsidRPr="00712F3C" w:rsidRDefault="004047F2" w:rsidP="004047F2">
      <w:pPr>
        <w:spacing w:after="0" w:line="240" w:lineRule="auto"/>
        <w:jc w:val="both"/>
        <w:rPr>
          <w:rFonts w:ascii="Times New Roman" w:hAnsi="Times New Roman"/>
          <w:sz w:val="20"/>
          <w:szCs w:val="20"/>
        </w:rPr>
      </w:pPr>
    </w:p>
    <w:p w14:paraId="05D9324A" w14:textId="77777777" w:rsidR="004047F2" w:rsidRPr="00712F3C" w:rsidRDefault="004047F2" w:rsidP="004047F2">
      <w:pPr>
        <w:spacing w:after="0" w:line="240" w:lineRule="auto"/>
        <w:jc w:val="both"/>
        <w:rPr>
          <w:rFonts w:ascii="Times New Roman" w:hAnsi="Times New Roman"/>
          <w:i/>
          <w:sz w:val="20"/>
          <w:szCs w:val="20"/>
        </w:rPr>
      </w:pPr>
      <w:r w:rsidRPr="00712F3C">
        <w:rPr>
          <w:rFonts w:ascii="Times New Roman" w:hAnsi="Times New Roman"/>
          <w:i/>
          <w:sz w:val="20"/>
          <w:szCs w:val="20"/>
        </w:rPr>
        <w:t xml:space="preserve">*The aforesaid will be appointed prior to filing of Red Herring Prospectus with RoC and their consents as above would be obtained prior to the filing of the Red Herring Prospectus with RoC. </w:t>
      </w:r>
    </w:p>
    <w:p w14:paraId="786B042A" w14:textId="77777777" w:rsidR="004047F2" w:rsidRPr="00712F3C" w:rsidRDefault="004047F2" w:rsidP="004047F2">
      <w:pPr>
        <w:spacing w:after="0" w:line="240" w:lineRule="auto"/>
        <w:jc w:val="both"/>
        <w:rPr>
          <w:rFonts w:ascii="Times New Roman" w:hAnsi="Times New Roman"/>
          <w:sz w:val="20"/>
          <w:szCs w:val="20"/>
        </w:rPr>
      </w:pPr>
    </w:p>
    <w:p w14:paraId="3C8BC3CE"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 xml:space="preserve">In accordance with the Companies Act and the SEBI (ICDR) Regulations, 2018, </w:t>
      </w:r>
      <w:r w:rsidRPr="00712F3C">
        <w:rPr>
          <w:rFonts w:ascii="Times New Roman" w:eastAsia="MS Mincho" w:hAnsi="Times New Roman"/>
          <w:bCs/>
          <w:color w:val="000000"/>
          <w:sz w:val="20"/>
          <w:szCs w:val="20"/>
        </w:rPr>
        <w:t>M/s. Amit Goyal &amp; Co.</w:t>
      </w:r>
      <w:r w:rsidRPr="00712F3C">
        <w:rPr>
          <w:rFonts w:ascii="Times New Roman" w:hAnsi="Times New Roman"/>
          <w:sz w:val="20"/>
          <w:szCs w:val="20"/>
        </w:rPr>
        <w:t xml:space="preserve">, Chartered Accountants, Statutory Auditors of the Company has agreed to provide their written consent to the inclusion of their respective reports on Statement of Possible Tax Benefits relating to the possible tax benefits and restated financial statements as included in this Draft </w:t>
      </w:r>
      <w:r w:rsidRPr="00712F3C">
        <w:rPr>
          <w:rFonts w:ascii="Times New Roman" w:eastAsia="Calibri" w:hAnsi="Times New Roman"/>
          <w:bCs/>
          <w:sz w:val="20"/>
          <w:szCs w:val="20"/>
          <w:lang w:bidi="en-US"/>
        </w:rPr>
        <w:t xml:space="preserve">Red Herring </w:t>
      </w:r>
      <w:r w:rsidRPr="00712F3C">
        <w:rPr>
          <w:rFonts w:ascii="Times New Roman" w:hAnsi="Times New Roman"/>
          <w:sz w:val="20"/>
          <w:szCs w:val="20"/>
        </w:rPr>
        <w:t>Prospectus/ Prospectus in the form and context in which they appear therein and such consent and reports will not be withdrawn up to the time of delivery of the Red Herring Prospectus/ Prospectus for registration with the RoC.</w:t>
      </w:r>
    </w:p>
    <w:p w14:paraId="58E39C1D" w14:textId="77777777" w:rsidR="004047F2" w:rsidRDefault="004047F2" w:rsidP="004047F2">
      <w:pPr>
        <w:spacing w:after="0" w:line="240" w:lineRule="auto"/>
        <w:jc w:val="both"/>
        <w:rPr>
          <w:rFonts w:ascii="Times New Roman" w:hAnsi="Times New Roman"/>
          <w:sz w:val="20"/>
          <w:szCs w:val="20"/>
        </w:rPr>
      </w:pPr>
    </w:p>
    <w:p w14:paraId="05F133A4" w14:textId="797CCDF1" w:rsidR="004047F2" w:rsidRPr="00712F3C" w:rsidRDefault="00D83D95" w:rsidP="004047F2">
      <w:pPr>
        <w:spacing w:after="0" w:line="240" w:lineRule="auto"/>
        <w:jc w:val="both"/>
        <w:rPr>
          <w:rFonts w:ascii="Times New Roman" w:hAnsi="Times New Roman"/>
          <w:b/>
          <w:sz w:val="20"/>
          <w:szCs w:val="20"/>
        </w:rPr>
      </w:pPr>
      <w:r>
        <w:rPr>
          <w:rFonts w:ascii="Times New Roman" w:hAnsi="Times New Roman"/>
          <w:b/>
          <w:sz w:val="20"/>
          <w:szCs w:val="20"/>
        </w:rPr>
        <w:t>E</w:t>
      </w:r>
      <w:r w:rsidR="004047F2" w:rsidRPr="00712F3C">
        <w:rPr>
          <w:rFonts w:ascii="Times New Roman" w:hAnsi="Times New Roman"/>
          <w:b/>
          <w:sz w:val="20"/>
          <w:szCs w:val="20"/>
        </w:rPr>
        <w:t xml:space="preserve">xperts Opinion </w:t>
      </w:r>
    </w:p>
    <w:p w14:paraId="1156DD31" w14:textId="77777777" w:rsidR="004047F2" w:rsidRPr="00712F3C" w:rsidRDefault="004047F2" w:rsidP="004047F2">
      <w:pPr>
        <w:spacing w:after="0" w:line="240" w:lineRule="auto"/>
        <w:jc w:val="both"/>
        <w:rPr>
          <w:rFonts w:ascii="Times New Roman" w:hAnsi="Times New Roman"/>
          <w:sz w:val="20"/>
          <w:szCs w:val="20"/>
        </w:rPr>
      </w:pPr>
    </w:p>
    <w:p w14:paraId="4C7066A2"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 xml:space="preserve">Except for the reports in the section titled </w:t>
      </w:r>
      <w:r w:rsidRPr="00712F3C">
        <w:rPr>
          <w:rFonts w:ascii="Times New Roman" w:hAnsi="Times New Roman"/>
          <w:b/>
          <w:i/>
          <w:sz w:val="20"/>
          <w:szCs w:val="20"/>
        </w:rPr>
        <w:t>“Financial Statements”</w:t>
      </w:r>
      <w:r w:rsidRPr="00712F3C">
        <w:rPr>
          <w:rFonts w:ascii="Times New Roman" w:hAnsi="Times New Roman"/>
          <w:sz w:val="20"/>
          <w:szCs w:val="20"/>
        </w:rPr>
        <w:t xml:space="preserve"> and </w:t>
      </w:r>
      <w:r w:rsidRPr="00712F3C">
        <w:rPr>
          <w:rFonts w:ascii="Times New Roman" w:hAnsi="Times New Roman"/>
          <w:b/>
          <w:i/>
          <w:sz w:val="20"/>
          <w:szCs w:val="20"/>
        </w:rPr>
        <w:t>“Statement of Special Tax Benefits”</w:t>
      </w:r>
      <w:r w:rsidRPr="00712F3C">
        <w:rPr>
          <w:rFonts w:ascii="Times New Roman" w:hAnsi="Times New Roman"/>
          <w:sz w:val="20"/>
          <w:szCs w:val="20"/>
        </w:rPr>
        <w:t xml:space="preserve"> on page </w:t>
      </w:r>
      <w:r>
        <w:rPr>
          <w:rFonts w:ascii="Times New Roman" w:hAnsi="Times New Roman"/>
          <w:sz w:val="20"/>
          <w:szCs w:val="20"/>
        </w:rPr>
        <w:t>130</w:t>
      </w:r>
      <w:r w:rsidRPr="00712F3C">
        <w:rPr>
          <w:rFonts w:ascii="Times New Roman" w:hAnsi="Times New Roman"/>
          <w:sz w:val="20"/>
          <w:szCs w:val="20"/>
        </w:rPr>
        <w:t xml:space="preserve"> and </w:t>
      </w:r>
      <w:r>
        <w:rPr>
          <w:rFonts w:ascii="Times New Roman" w:hAnsi="Times New Roman"/>
          <w:sz w:val="20"/>
          <w:szCs w:val="20"/>
        </w:rPr>
        <w:t>80</w:t>
      </w:r>
      <w:r w:rsidRPr="00712F3C">
        <w:rPr>
          <w:rFonts w:ascii="Times New Roman" w:hAnsi="Times New Roman"/>
          <w:sz w:val="20"/>
          <w:szCs w:val="20"/>
        </w:rPr>
        <w:t xml:space="preserve"> respectively of this Draft Red Herring Prospectus from the Statutory Auditor, our Company has not obtained any expert opinions. However, the term “expert” shall not be construed to mean an “expert” as defined under the U.S. Securities Act 1933.</w:t>
      </w:r>
    </w:p>
    <w:p w14:paraId="159B7AD6" w14:textId="77777777" w:rsidR="004047F2" w:rsidRPr="00712F3C" w:rsidRDefault="004047F2" w:rsidP="004047F2">
      <w:pPr>
        <w:spacing w:after="0" w:line="240" w:lineRule="auto"/>
        <w:jc w:val="both"/>
        <w:rPr>
          <w:rFonts w:ascii="Times New Roman" w:hAnsi="Times New Roman"/>
          <w:b/>
          <w:sz w:val="20"/>
          <w:szCs w:val="20"/>
        </w:rPr>
      </w:pPr>
      <w:r w:rsidRPr="00712F3C">
        <w:rPr>
          <w:rFonts w:ascii="Times New Roman" w:hAnsi="Times New Roman"/>
          <w:b/>
          <w:sz w:val="20"/>
          <w:szCs w:val="20"/>
        </w:rPr>
        <w:lastRenderedPageBreak/>
        <w:t xml:space="preserve">Fees, Brokerage and Selling Commission payable </w:t>
      </w:r>
    </w:p>
    <w:p w14:paraId="08C41AAB" w14:textId="77777777" w:rsidR="004047F2" w:rsidRPr="00712F3C" w:rsidRDefault="004047F2" w:rsidP="004047F2">
      <w:pPr>
        <w:spacing w:after="0" w:line="240" w:lineRule="auto"/>
        <w:jc w:val="both"/>
        <w:rPr>
          <w:rFonts w:ascii="Times New Roman" w:hAnsi="Times New Roman"/>
          <w:sz w:val="20"/>
          <w:szCs w:val="20"/>
        </w:rPr>
      </w:pPr>
    </w:p>
    <w:p w14:paraId="663FCB11" w14:textId="1BD531DE" w:rsidR="004047F2" w:rsidRPr="004D3270"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 xml:space="preserve">The total fees payable to the Book Running Lead Manager will be as per the (i) </w:t>
      </w:r>
      <w:r w:rsidRPr="004D3270">
        <w:rPr>
          <w:rFonts w:ascii="Times New Roman" w:hAnsi="Times New Roman"/>
          <w:sz w:val="20"/>
          <w:szCs w:val="20"/>
        </w:rPr>
        <w:t xml:space="preserve">Agreement dated </w:t>
      </w:r>
      <w:r w:rsidR="004D3270" w:rsidRPr="004D3270">
        <w:rPr>
          <w:rFonts w:ascii="Times New Roman" w:hAnsi="Times New Roman"/>
          <w:sz w:val="20"/>
          <w:szCs w:val="20"/>
        </w:rPr>
        <w:t>September 18</w:t>
      </w:r>
      <w:r w:rsidRPr="004D3270">
        <w:rPr>
          <w:rFonts w:ascii="Times New Roman" w:hAnsi="Times New Roman"/>
          <w:sz w:val="20"/>
          <w:szCs w:val="20"/>
        </w:rPr>
        <w:t>, 2023 with the Book Running Lead Manager, (ii) the Underwriting Agreement dated [●] with the Underwriter and (iii) the Market Making Agreement [●] with the Market Maker, a copy of which is available for inspection at our Corporate Office from 10.00 AM to 5.00 PM on Working Days from the date of the Draft Red Herring Prospectus until the Bid/Issue Closing Date.</w:t>
      </w:r>
    </w:p>
    <w:p w14:paraId="385E26D0" w14:textId="77777777" w:rsidR="004047F2" w:rsidRPr="004D3270" w:rsidRDefault="004047F2" w:rsidP="004047F2">
      <w:pPr>
        <w:spacing w:after="0" w:line="240" w:lineRule="auto"/>
        <w:jc w:val="both"/>
        <w:rPr>
          <w:rFonts w:ascii="Times New Roman" w:hAnsi="Times New Roman"/>
          <w:sz w:val="20"/>
          <w:szCs w:val="20"/>
        </w:rPr>
      </w:pPr>
    </w:p>
    <w:p w14:paraId="0F03D906" w14:textId="77777777" w:rsidR="004047F2" w:rsidRPr="004D3270" w:rsidRDefault="004047F2" w:rsidP="004047F2">
      <w:pPr>
        <w:spacing w:after="0" w:line="240" w:lineRule="auto"/>
        <w:jc w:val="both"/>
        <w:rPr>
          <w:rFonts w:ascii="Times New Roman" w:hAnsi="Times New Roman"/>
          <w:b/>
          <w:sz w:val="20"/>
          <w:szCs w:val="20"/>
        </w:rPr>
      </w:pPr>
      <w:r w:rsidRPr="004D3270">
        <w:rPr>
          <w:rFonts w:ascii="Times New Roman" w:hAnsi="Times New Roman"/>
          <w:b/>
          <w:sz w:val="20"/>
          <w:szCs w:val="20"/>
        </w:rPr>
        <w:t>Fees Payable to the Registrar to the Issue</w:t>
      </w:r>
    </w:p>
    <w:p w14:paraId="21A97E64" w14:textId="77777777" w:rsidR="004047F2" w:rsidRPr="004D3270" w:rsidRDefault="004047F2" w:rsidP="004047F2">
      <w:pPr>
        <w:spacing w:after="0" w:line="240" w:lineRule="auto"/>
        <w:jc w:val="both"/>
        <w:rPr>
          <w:rFonts w:ascii="Times New Roman" w:hAnsi="Times New Roman"/>
          <w:sz w:val="20"/>
          <w:szCs w:val="20"/>
        </w:rPr>
      </w:pPr>
    </w:p>
    <w:p w14:paraId="7E62998B" w14:textId="55A5FC1A" w:rsidR="004047F2" w:rsidRPr="00712F3C" w:rsidRDefault="004047F2" w:rsidP="004047F2">
      <w:pPr>
        <w:spacing w:after="0" w:line="240" w:lineRule="auto"/>
        <w:jc w:val="both"/>
        <w:rPr>
          <w:rFonts w:ascii="Times New Roman" w:hAnsi="Times New Roman"/>
          <w:sz w:val="20"/>
          <w:szCs w:val="20"/>
        </w:rPr>
      </w:pPr>
      <w:r w:rsidRPr="004D3270">
        <w:rPr>
          <w:rFonts w:ascii="Times New Roman" w:hAnsi="Times New Roman"/>
          <w:sz w:val="20"/>
          <w:szCs w:val="20"/>
        </w:rPr>
        <w:t xml:space="preserve">The fees payable to the Registrar to the Issue for processing of applications, data entry, printing of CAN, tape and printing of bulk mailing register will be as per the agreement between our Company, and the Registrar to the Issue dated </w:t>
      </w:r>
      <w:r w:rsidR="004D3270" w:rsidRPr="004D3270">
        <w:rPr>
          <w:rFonts w:ascii="Times New Roman" w:hAnsi="Times New Roman"/>
          <w:sz w:val="20"/>
          <w:szCs w:val="20"/>
        </w:rPr>
        <w:t>September 18</w:t>
      </w:r>
      <w:r w:rsidRPr="004D3270">
        <w:rPr>
          <w:rFonts w:ascii="Times New Roman" w:hAnsi="Times New Roman"/>
          <w:sz w:val="20"/>
          <w:szCs w:val="20"/>
        </w:rPr>
        <w:t>, 2023, a copy of which is available for inspection at our Company’s Registered Office.</w:t>
      </w:r>
    </w:p>
    <w:p w14:paraId="27A953D2" w14:textId="77777777" w:rsidR="004047F2" w:rsidRPr="00712F3C" w:rsidRDefault="004047F2" w:rsidP="004047F2">
      <w:pPr>
        <w:spacing w:after="0" w:line="240" w:lineRule="auto"/>
        <w:jc w:val="both"/>
        <w:rPr>
          <w:rFonts w:ascii="Times New Roman" w:hAnsi="Times New Roman"/>
          <w:sz w:val="20"/>
          <w:szCs w:val="20"/>
        </w:rPr>
      </w:pPr>
    </w:p>
    <w:p w14:paraId="26016F8A"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The Registrar to the Issue will be reimbursed for all out-of-pocket expenses including cost of stationery, postage, stamp duty, and communication expenses. Adequate funds will be provided to the Registrar to the Issue to enable it to send allotment advice by registered post/speed post.</w:t>
      </w:r>
    </w:p>
    <w:p w14:paraId="2020C937" w14:textId="77777777" w:rsidR="004047F2" w:rsidRPr="00712F3C" w:rsidRDefault="004047F2" w:rsidP="004047F2">
      <w:pPr>
        <w:spacing w:after="0" w:line="240" w:lineRule="auto"/>
        <w:jc w:val="both"/>
        <w:rPr>
          <w:rFonts w:ascii="Times New Roman" w:hAnsi="Times New Roman"/>
          <w:sz w:val="20"/>
          <w:szCs w:val="20"/>
        </w:rPr>
      </w:pPr>
    </w:p>
    <w:p w14:paraId="24D412C8" w14:textId="77777777" w:rsidR="004047F2" w:rsidRPr="00712F3C" w:rsidRDefault="004047F2" w:rsidP="004047F2">
      <w:pPr>
        <w:spacing w:after="0" w:line="240" w:lineRule="auto"/>
        <w:jc w:val="both"/>
        <w:rPr>
          <w:rFonts w:ascii="Times New Roman" w:hAnsi="Times New Roman"/>
          <w:b/>
          <w:sz w:val="20"/>
          <w:szCs w:val="20"/>
        </w:rPr>
      </w:pPr>
      <w:r w:rsidRPr="00712F3C">
        <w:rPr>
          <w:rFonts w:ascii="Times New Roman" w:hAnsi="Times New Roman"/>
          <w:b/>
          <w:sz w:val="20"/>
          <w:szCs w:val="20"/>
        </w:rPr>
        <w:t>Particulars regarding Public or Rights Issues during the last five (5) years</w:t>
      </w:r>
    </w:p>
    <w:p w14:paraId="76E1474A" w14:textId="77777777" w:rsidR="004047F2" w:rsidRPr="00712F3C" w:rsidRDefault="004047F2" w:rsidP="004047F2">
      <w:pPr>
        <w:spacing w:after="0" w:line="240" w:lineRule="auto"/>
        <w:jc w:val="both"/>
        <w:rPr>
          <w:rFonts w:ascii="Times New Roman" w:hAnsi="Times New Roman"/>
          <w:sz w:val="20"/>
          <w:szCs w:val="20"/>
        </w:rPr>
      </w:pPr>
    </w:p>
    <w:p w14:paraId="3B78CA69"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Our Company has not made any previous public or rights issue in India or Abroad the five (5) years preceding the date of this Draft Red Herring Prospectus.</w:t>
      </w:r>
    </w:p>
    <w:p w14:paraId="23F9E09C" w14:textId="77777777" w:rsidR="004047F2" w:rsidRPr="00712F3C" w:rsidRDefault="004047F2" w:rsidP="004047F2">
      <w:pPr>
        <w:spacing w:after="0" w:line="240" w:lineRule="auto"/>
        <w:jc w:val="both"/>
        <w:rPr>
          <w:rFonts w:ascii="Times New Roman" w:hAnsi="Times New Roman"/>
          <w:sz w:val="20"/>
          <w:szCs w:val="20"/>
        </w:rPr>
      </w:pPr>
    </w:p>
    <w:p w14:paraId="442A7892" w14:textId="77777777" w:rsidR="004047F2" w:rsidRPr="00712F3C" w:rsidRDefault="004047F2" w:rsidP="004047F2">
      <w:pPr>
        <w:spacing w:after="0" w:line="240" w:lineRule="auto"/>
        <w:jc w:val="both"/>
        <w:rPr>
          <w:rFonts w:ascii="Times New Roman" w:hAnsi="Times New Roman"/>
          <w:b/>
          <w:sz w:val="20"/>
          <w:szCs w:val="20"/>
        </w:rPr>
      </w:pPr>
      <w:r w:rsidRPr="00712F3C">
        <w:rPr>
          <w:rFonts w:ascii="Times New Roman" w:hAnsi="Times New Roman"/>
          <w:b/>
          <w:sz w:val="20"/>
          <w:szCs w:val="20"/>
        </w:rPr>
        <w:t>Previous issues of Equity Shares otherwise than for cash</w:t>
      </w:r>
    </w:p>
    <w:p w14:paraId="2C603FD9" w14:textId="77777777" w:rsidR="004047F2" w:rsidRPr="00712F3C" w:rsidRDefault="004047F2" w:rsidP="004047F2">
      <w:pPr>
        <w:spacing w:after="0" w:line="240" w:lineRule="auto"/>
        <w:jc w:val="both"/>
        <w:rPr>
          <w:rFonts w:ascii="Times New Roman" w:hAnsi="Times New Roman"/>
          <w:sz w:val="20"/>
          <w:szCs w:val="20"/>
        </w:rPr>
      </w:pPr>
    </w:p>
    <w:p w14:paraId="037E3443"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 xml:space="preserve">For detailed description please refer to the section titled </w:t>
      </w:r>
      <w:r w:rsidRPr="00712F3C">
        <w:rPr>
          <w:rFonts w:ascii="Times New Roman" w:hAnsi="Times New Roman"/>
          <w:b/>
          <w:i/>
          <w:sz w:val="20"/>
          <w:szCs w:val="20"/>
        </w:rPr>
        <w:t>“Capital Structure”</w:t>
      </w:r>
      <w:r w:rsidRPr="00712F3C">
        <w:rPr>
          <w:rFonts w:ascii="Times New Roman" w:hAnsi="Times New Roman"/>
          <w:sz w:val="20"/>
          <w:szCs w:val="20"/>
        </w:rPr>
        <w:t xml:space="preserve"> beginning on page </w:t>
      </w:r>
      <w:r>
        <w:rPr>
          <w:rFonts w:ascii="Times New Roman" w:hAnsi="Times New Roman"/>
          <w:sz w:val="20"/>
          <w:szCs w:val="20"/>
        </w:rPr>
        <w:t>57</w:t>
      </w:r>
      <w:r w:rsidRPr="00712F3C">
        <w:rPr>
          <w:rFonts w:ascii="Times New Roman" w:hAnsi="Times New Roman"/>
          <w:sz w:val="20"/>
          <w:szCs w:val="20"/>
        </w:rPr>
        <w:t xml:space="preserve"> of this Draft Red Herring Prospectus.</w:t>
      </w:r>
    </w:p>
    <w:p w14:paraId="1BA7AC4F" w14:textId="77777777" w:rsidR="004047F2" w:rsidRPr="00712F3C" w:rsidRDefault="004047F2" w:rsidP="004047F2">
      <w:pPr>
        <w:spacing w:after="0" w:line="240" w:lineRule="auto"/>
        <w:jc w:val="both"/>
        <w:rPr>
          <w:rFonts w:ascii="Times New Roman" w:hAnsi="Times New Roman"/>
          <w:sz w:val="20"/>
          <w:szCs w:val="20"/>
        </w:rPr>
      </w:pPr>
    </w:p>
    <w:p w14:paraId="0A8A0E7F" w14:textId="77777777" w:rsidR="004047F2" w:rsidRPr="00712F3C" w:rsidRDefault="004047F2" w:rsidP="004047F2">
      <w:pPr>
        <w:spacing w:after="0" w:line="240" w:lineRule="auto"/>
        <w:jc w:val="both"/>
        <w:rPr>
          <w:rFonts w:ascii="Times New Roman" w:hAnsi="Times New Roman"/>
          <w:b/>
          <w:sz w:val="20"/>
          <w:szCs w:val="20"/>
        </w:rPr>
      </w:pPr>
      <w:r w:rsidRPr="00712F3C">
        <w:rPr>
          <w:rFonts w:ascii="Times New Roman" w:hAnsi="Times New Roman"/>
          <w:b/>
          <w:sz w:val="20"/>
          <w:szCs w:val="20"/>
        </w:rPr>
        <w:t>Underwriting Commission, brokerage and selling commission on Previous Issues</w:t>
      </w:r>
    </w:p>
    <w:p w14:paraId="6D5ACFA9" w14:textId="77777777" w:rsidR="004047F2" w:rsidRPr="00712F3C" w:rsidRDefault="004047F2" w:rsidP="004047F2">
      <w:pPr>
        <w:spacing w:after="0" w:line="240" w:lineRule="auto"/>
        <w:jc w:val="both"/>
        <w:rPr>
          <w:rFonts w:ascii="Times New Roman" w:hAnsi="Times New Roman"/>
          <w:sz w:val="20"/>
          <w:szCs w:val="20"/>
        </w:rPr>
      </w:pPr>
    </w:p>
    <w:p w14:paraId="4FDD8912"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Since this is the initial public offering of our Company’s Equity Shares, no sum has been paid or has been payable as commission or brokerage for subscribing for or procuring or agreeing to procure subscription for any of the Equity Shares since our incorporation.</w:t>
      </w:r>
    </w:p>
    <w:p w14:paraId="00E048FE" w14:textId="77777777" w:rsidR="004047F2" w:rsidRPr="00712F3C" w:rsidRDefault="004047F2" w:rsidP="004047F2">
      <w:pPr>
        <w:spacing w:after="0" w:line="240" w:lineRule="auto"/>
        <w:jc w:val="both"/>
        <w:rPr>
          <w:rFonts w:ascii="Times New Roman" w:hAnsi="Times New Roman"/>
          <w:sz w:val="20"/>
          <w:szCs w:val="20"/>
        </w:rPr>
      </w:pPr>
    </w:p>
    <w:p w14:paraId="375CD665" w14:textId="77777777" w:rsidR="004047F2" w:rsidRPr="00712F3C" w:rsidRDefault="004047F2" w:rsidP="004047F2">
      <w:pPr>
        <w:spacing w:after="0" w:line="240" w:lineRule="auto"/>
        <w:jc w:val="both"/>
        <w:rPr>
          <w:rFonts w:ascii="Times New Roman" w:hAnsi="Times New Roman"/>
          <w:b/>
          <w:sz w:val="20"/>
          <w:szCs w:val="20"/>
        </w:rPr>
      </w:pPr>
      <w:r w:rsidRPr="00712F3C">
        <w:rPr>
          <w:rFonts w:ascii="Times New Roman" w:hAnsi="Times New Roman"/>
          <w:b/>
          <w:sz w:val="20"/>
          <w:szCs w:val="20"/>
        </w:rPr>
        <w:t>Previous capital issue during the last three years by listed Group Companies of our Company</w:t>
      </w:r>
    </w:p>
    <w:p w14:paraId="7F99BB47" w14:textId="77777777" w:rsidR="004047F2" w:rsidRPr="00712F3C" w:rsidRDefault="004047F2" w:rsidP="004047F2">
      <w:pPr>
        <w:spacing w:after="0" w:line="240" w:lineRule="auto"/>
        <w:jc w:val="both"/>
        <w:rPr>
          <w:rFonts w:ascii="Times New Roman" w:hAnsi="Times New Roman"/>
          <w:sz w:val="20"/>
          <w:szCs w:val="20"/>
        </w:rPr>
      </w:pPr>
    </w:p>
    <w:p w14:paraId="47B28F40" w14:textId="28AF178B" w:rsidR="004047F2" w:rsidRPr="00712F3C" w:rsidRDefault="00142011" w:rsidP="00142011">
      <w:pPr>
        <w:spacing w:after="0" w:line="240" w:lineRule="auto"/>
        <w:jc w:val="both"/>
        <w:rPr>
          <w:rFonts w:ascii="Times New Roman" w:hAnsi="Times New Roman"/>
          <w:sz w:val="20"/>
          <w:szCs w:val="20"/>
        </w:rPr>
      </w:pPr>
      <w:r w:rsidRPr="00142011">
        <w:rPr>
          <w:rFonts w:ascii="Times New Roman" w:hAnsi="Times New Roman"/>
          <w:sz w:val="20"/>
          <w:szCs w:val="20"/>
        </w:rPr>
        <w:t>None of our Group Companies are listed. Further, none of our Group Companies have made any capital issue of</w:t>
      </w:r>
      <w:r>
        <w:rPr>
          <w:rFonts w:ascii="Times New Roman" w:hAnsi="Times New Roman"/>
          <w:sz w:val="20"/>
          <w:szCs w:val="20"/>
        </w:rPr>
        <w:t xml:space="preserve"> </w:t>
      </w:r>
      <w:r w:rsidRPr="00142011">
        <w:rPr>
          <w:rFonts w:ascii="Times New Roman" w:hAnsi="Times New Roman"/>
          <w:sz w:val="20"/>
          <w:szCs w:val="20"/>
        </w:rPr>
        <w:t>securities in the preceding three years</w:t>
      </w:r>
      <w:r>
        <w:rPr>
          <w:rFonts w:ascii="Times New Roman" w:hAnsi="Times New Roman"/>
          <w:sz w:val="20"/>
          <w:szCs w:val="20"/>
        </w:rPr>
        <w:t>.</w:t>
      </w:r>
      <w:r w:rsidR="004047F2" w:rsidRPr="00712F3C">
        <w:rPr>
          <w:rFonts w:ascii="Times New Roman" w:hAnsi="Times New Roman"/>
          <w:sz w:val="20"/>
          <w:szCs w:val="20"/>
        </w:rPr>
        <w:t xml:space="preserve"> </w:t>
      </w:r>
      <w:r w:rsidR="004047F2" w:rsidRPr="00712F3C">
        <w:rPr>
          <w:rFonts w:ascii="Times New Roman" w:hAnsi="Times New Roman"/>
          <w:sz w:val="20"/>
          <w:szCs w:val="20"/>
        </w:rPr>
        <w:cr/>
      </w:r>
    </w:p>
    <w:p w14:paraId="282E58DA" w14:textId="77777777" w:rsidR="004047F2" w:rsidRPr="00712F3C" w:rsidRDefault="004047F2" w:rsidP="004047F2">
      <w:pPr>
        <w:spacing w:after="0" w:line="240" w:lineRule="auto"/>
        <w:jc w:val="both"/>
        <w:rPr>
          <w:rFonts w:ascii="Times New Roman" w:hAnsi="Times New Roman"/>
          <w:b/>
          <w:sz w:val="20"/>
          <w:szCs w:val="20"/>
        </w:rPr>
      </w:pPr>
      <w:r w:rsidRPr="00712F3C">
        <w:rPr>
          <w:rFonts w:ascii="Times New Roman" w:hAnsi="Times New Roman"/>
          <w:b/>
          <w:sz w:val="20"/>
          <w:szCs w:val="20"/>
        </w:rPr>
        <w:t>Performance vis-à-vis objects</w:t>
      </w:r>
    </w:p>
    <w:p w14:paraId="15136B6E" w14:textId="77777777" w:rsidR="004047F2" w:rsidRPr="00712F3C" w:rsidRDefault="004047F2" w:rsidP="004047F2">
      <w:pPr>
        <w:spacing w:after="0" w:line="240" w:lineRule="auto"/>
        <w:jc w:val="both"/>
        <w:rPr>
          <w:rFonts w:ascii="Times New Roman" w:hAnsi="Times New Roman"/>
          <w:sz w:val="20"/>
          <w:szCs w:val="20"/>
        </w:rPr>
      </w:pPr>
    </w:p>
    <w:p w14:paraId="250D1256"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Our Company is an “Unlisted Issuer” in terms of the SEBI (ICDR) Regulations, and this Issue is an “Initial Public Offering” in terms of the SEBI (ICDR) Regulations. Therefore, data regarding promise versus performance is not applicable to us.</w:t>
      </w:r>
    </w:p>
    <w:p w14:paraId="018529A3" w14:textId="77777777" w:rsidR="004047F2" w:rsidRPr="00712F3C" w:rsidRDefault="004047F2" w:rsidP="004047F2">
      <w:pPr>
        <w:spacing w:after="0" w:line="240" w:lineRule="auto"/>
        <w:jc w:val="both"/>
        <w:rPr>
          <w:rFonts w:ascii="Times New Roman" w:hAnsi="Times New Roman"/>
          <w:sz w:val="20"/>
          <w:szCs w:val="20"/>
        </w:rPr>
      </w:pPr>
    </w:p>
    <w:p w14:paraId="6C9B1520" w14:textId="77777777" w:rsidR="004047F2" w:rsidRPr="00712F3C" w:rsidRDefault="004047F2" w:rsidP="004047F2">
      <w:pPr>
        <w:spacing w:after="0" w:line="240" w:lineRule="auto"/>
        <w:jc w:val="both"/>
        <w:rPr>
          <w:rFonts w:ascii="Times New Roman" w:hAnsi="Times New Roman"/>
          <w:b/>
          <w:sz w:val="20"/>
          <w:szCs w:val="20"/>
        </w:rPr>
      </w:pPr>
      <w:r w:rsidRPr="00712F3C">
        <w:rPr>
          <w:rFonts w:ascii="Times New Roman" w:hAnsi="Times New Roman"/>
          <w:b/>
          <w:sz w:val="20"/>
          <w:szCs w:val="20"/>
        </w:rPr>
        <w:t xml:space="preserve">Outstanding Debentures or Bond Issues or Redeemable Preference Shares </w:t>
      </w:r>
    </w:p>
    <w:p w14:paraId="14864E56" w14:textId="77777777" w:rsidR="004047F2" w:rsidRPr="00712F3C" w:rsidRDefault="004047F2" w:rsidP="004047F2">
      <w:pPr>
        <w:spacing w:after="0" w:line="240" w:lineRule="auto"/>
        <w:jc w:val="both"/>
        <w:rPr>
          <w:rFonts w:ascii="Times New Roman" w:hAnsi="Times New Roman"/>
          <w:sz w:val="20"/>
          <w:szCs w:val="20"/>
        </w:rPr>
      </w:pPr>
    </w:p>
    <w:p w14:paraId="7F77F2DC"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 xml:space="preserve">As on the date of this Draft Red Herring Prospectus, our Company has no outstanding debentures, bonds or redeemable preference shares. </w:t>
      </w:r>
    </w:p>
    <w:p w14:paraId="37ACD5E9" w14:textId="77777777" w:rsidR="004047F2" w:rsidRPr="00712F3C" w:rsidRDefault="004047F2" w:rsidP="004047F2">
      <w:pPr>
        <w:spacing w:after="0" w:line="240" w:lineRule="auto"/>
        <w:jc w:val="both"/>
        <w:rPr>
          <w:rFonts w:ascii="Times New Roman" w:hAnsi="Times New Roman"/>
          <w:sz w:val="20"/>
          <w:szCs w:val="20"/>
        </w:rPr>
      </w:pPr>
    </w:p>
    <w:p w14:paraId="7C972C60" w14:textId="77777777" w:rsidR="004047F2" w:rsidRPr="00712F3C" w:rsidRDefault="004047F2" w:rsidP="004047F2">
      <w:pPr>
        <w:spacing w:after="0" w:line="240" w:lineRule="auto"/>
        <w:jc w:val="both"/>
        <w:rPr>
          <w:rFonts w:ascii="Times New Roman" w:hAnsi="Times New Roman"/>
          <w:b/>
          <w:sz w:val="20"/>
          <w:szCs w:val="20"/>
        </w:rPr>
      </w:pPr>
      <w:r w:rsidRPr="00712F3C">
        <w:rPr>
          <w:rFonts w:ascii="Times New Roman" w:hAnsi="Times New Roman"/>
          <w:b/>
          <w:sz w:val="20"/>
          <w:szCs w:val="20"/>
        </w:rPr>
        <w:t>Partly Paid-Up Shares</w:t>
      </w:r>
    </w:p>
    <w:p w14:paraId="4E8E4BD2" w14:textId="77777777" w:rsidR="004047F2" w:rsidRPr="00712F3C" w:rsidRDefault="004047F2" w:rsidP="004047F2">
      <w:pPr>
        <w:spacing w:after="0" w:line="240" w:lineRule="auto"/>
        <w:jc w:val="both"/>
        <w:rPr>
          <w:rFonts w:ascii="Times New Roman" w:hAnsi="Times New Roman"/>
          <w:sz w:val="20"/>
          <w:szCs w:val="20"/>
        </w:rPr>
      </w:pPr>
    </w:p>
    <w:p w14:paraId="43FF9553"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 xml:space="preserve">As on the date of this Draft Red Herring Prospectus, there are no partly paid-up Equity Shares of our Company. </w:t>
      </w:r>
    </w:p>
    <w:p w14:paraId="3F10696B" w14:textId="77777777" w:rsidR="004047F2" w:rsidRPr="00712F3C" w:rsidRDefault="004047F2" w:rsidP="004047F2">
      <w:pPr>
        <w:spacing w:after="0" w:line="240" w:lineRule="auto"/>
        <w:jc w:val="both"/>
        <w:rPr>
          <w:rFonts w:ascii="Times New Roman" w:hAnsi="Times New Roman"/>
          <w:sz w:val="20"/>
          <w:szCs w:val="20"/>
        </w:rPr>
      </w:pPr>
    </w:p>
    <w:p w14:paraId="73A906A9" w14:textId="77777777" w:rsidR="004047F2" w:rsidRPr="00712F3C" w:rsidRDefault="004047F2" w:rsidP="004047F2">
      <w:pPr>
        <w:spacing w:after="0" w:line="240" w:lineRule="auto"/>
        <w:jc w:val="both"/>
        <w:rPr>
          <w:rFonts w:ascii="Times New Roman" w:hAnsi="Times New Roman"/>
          <w:b/>
          <w:sz w:val="20"/>
          <w:szCs w:val="20"/>
        </w:rPr>
      </w:pPr>
      <w:r w:rsidRPr="00712F3C">
        <w:rPr>
          <w:rFonts w:ascii="Times New Roman" w:hAnsi="Times New Roman"/>
          <w:b/>
          <w:sz w:val="20"/>
          <w:szCs w:val="20"/>
        </w:rPr>
        <w:t>Outstanding Convertible Instruments</w:t>
      </w:r>
    </w:p>
    <w:p w14:paraId="3671649A" w14:textId="77777777" w:rsidR="004047F2" w:rsidRPr="00712F3C" w:rsidRDefault="004047F2" w:rsidP="004047F2">
      <w:pPr>
        <w:spacing w:after="0" w:line="240" w:lineRule="auto"/>
        <w:jc w:val="both"/>
        <w:rPr>
          <w:rFonts w:ascii="Times New Roman" w:hAnsi="Times New Roman"/>
          <w:sz w:val="20"/>
          <w:szCs w:val="20"/>
        </w:rPr>
      </w:pPr>
    </w:p>
    <w:p w14:paraId="372D2E4E"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Our Company does not have any outstanding convertible instruments as on the date of filing this Draft Red Herring Prospectus.</w:t>
      </w:r>
    </w:p>
    <w:p w14:paraId="5B562F51" w14:textId="77777777" w:rsidR="004047F2" w:rsidRPr="00712F3C" w:rsidRDefault="004047F2" w:rsidP="004047F2">
      <w:pPr>
        <w:spacing w:after="0" w:line="240" w:lineRule="auto"/>
        <w:jc w:val="both"/>
        <w:rPr>
          <w:rFonts w:ascii="Times New Roman" w:hAnsi="Times New Roman"/>
          <w:sz w:val="20"/>
          <w:szCs w:val="20"/>
        </w:rPr>
      </w:pPr>
    </w:p>
    <w:p w14:paraId="14620D1F" w14:textId="77777777" w:rsidR="004047F2" w:rsidRPr="00712F3C" w:rsidRDefault="004047F2" w:rsidP="004047F2">
      <w:pPr>
        <w:spacing w:after="0" w:line="240" w:lineRule="auto"/>
        <w:jc w:val="both"/>
        <w:rPr>
          <w:rFonts w:ascii="Times New Roman" w:hAnsi="Times New Roman"/>
          <w:b/>
          <w:sz w:val="20"/>
          <w:szCs w:val="20"/>
        </w:rPr>
      </w:pPr>
      <w:r w:rsidRPr="00712F3C">
        <w:rPr>
          <w:rFonts w:ascii="Times New Roman" w:hAnsi="Times New Roman"/>
          <w:b/>
          <w:sz w:val="20"/>
          <w:szCs w:val="20"/>
        </w:rPr>
        <w:t>Option to Subscribe</w:t>
      </w:r>
    </w:p>
    <w:p w14:paraId="109E17CF" w14:textId="77777777" w:rsidR="004047F2" w:rsidRPr="00712F3C" w:rsidRDefault="004047F2" w:rsidP="004047F2">
      <w:pPr>
        <w:spacing w:after="0" w:line="240" w:lineRule="auto"/>
        <w:jc w:val="both"/>
        <w:rPr>
          <w:rFonts w:ascii="Times New Roman" w:hAnsi="Times New Roman"/>
          <w:sz w:val="20"/>
          <w:szCs w:val="20"/>
        </w:rPr>
      </w:pPr>
    </w:p>
    <w:p w14:paraId="1C0426DC" w14:textId="77777777" w:rsidR="004047F2" w:rsidRPr="00712F3C" w:rsidRDefault="004047F2">
      <w:pPr>
        <w:pStyle w:val="ListParagraph"/>
        <w:numPr>
          <w:ilvl w:val="1"/>
          <w:numId w:val="280"/>
        </w:numPr>
        <w:spacing w:line="240" w:lineRule="auto"/>
        <w:ind w:left="540"/>
        <w:jc w:val="both"/>
        <w:rPr>
          <w:sz w:val="20"/>
          <w:szCs w:val="20"/>
        </w:rPr>
      </w:pPr>
      <w:r w:rsidRPr="00712F3C">
        <w:rPr>
          <w:sz w:val="20"/>
          <w:szCs w:val="20"/>
        </w:rPr>
        <w:t>Investors will get the allotment of specified securities in dematerialization form only.</w:t>
      </w:r>
    </w:p>
    <w:p w14:paraId="66538469" w14:textId="77777777" w:rsidR="004047F2" w:rsidRPr="00712F3C" w:rsidRDefault="004047F2">
      <w:pPr>
        <w:pStyle w:val="ListParagraph"/>
        <w:numPr>
          <w:ilvl w:val="1"/>
          <w:numId w:val="280"/>
        </w:numPr>
        <w:spacing w:line="240" w:lineRule="auto"/>
        <w:ind w:left="540"/>
        <w:jc w:val="both"/>
        <w:rPr>
          <w:sz w:val="20"/>
          <w:szCs w:val="20"/>
        </w:rPr>
      </w:pPr>
      <w:r w:rsidRPr="00712F3C">
        <w:rPr>
          <w:sz w:val="20"/>
          <w:szCs w:val="20"/>
        </w:rPr>
        <w:t xml:space="preserve">The equity shares, on allotment, shall be traded on stock exchange in Demat segment only. </w:t>
      </w:r>
    </w:p>
    <w:p w14:paraId="2D0B9CB8" w14:textId="77777777" w:rsidR="004047F2" w:rsidRPr="00712F3C" w:rsidRDefault="004047F2" w:rsidP="004047F2">
      <w:pPr>
        <w:spacing w:after="0" w:line="240" w:lineRule="auto"/>
        <w:jc w:val="both"/>
        <w:rPr>
          <w:rFonts w:ascii="Times New Roman" w:hAnsi="Times New Roman"/>
          <w:sz w:val="20"/>
          <w:szCs w:val="20"/>
        </w:rPr>
      </w:pPr>
    </w:p>
    <w:p w14:paraId="3187F9E3" w14:textId="77777777" w:rsidR="004047F2" w:rsidRPr="00712F3C" w:rsidRDefault="004047F2" w:rsidP="004047F2">
      <w:pPr>
        <w:spacing w:after="0" w:line="240" w:lineRule="auto"/>
        <w:jc w:val="both"/>
        <w:rPr>
          <w:rFonts w:ascii="Times New Roman" w:hAnsi="Times New Roman"/>
          <w:b/>
          <w:sz w:val="20"/>
          <w:szCs w:val="20"/>
        </w:rPr>
      </w:pPr>
      <w:r w:rsidRPr="00712F3C">
        <w:rPr>
          <w:rFonts w:ascii="Times New Roman" w:hAnsi="Times New Roman"/>
          <w:b/>
          <w:sz w:val="20"/>
          <w:szCs w:val="20"/>
        </w:rPr>
        <w:t>Stock Market Data for our Equity Shares</w:t>
      </w:r>
    </w:p>
    <w:p w14:paraId="488A5866" w14:textId="77777777" w:rsidR="004047F2" w:rsidRPr="00712F3C" w:rsidRDefault="004047F2" w:rsidP="004047F2">
      <w:pPr>
        <w:spacing w:after="0" w:line="240" w:lineRule="auto"/>
        <w:jc w:val="both"/>
        <w:rPr>
          <w:rFonts w:ascii="Times New Roman" w:hAnsi="Times New Roman"/>
          <w:sz w:val="20"/>
          <w:szCs w:val="20"/>
        </w:rPr>
      </w:pPr>
    </w:p>
    <w:p w14:paraId="7E6E2036"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Our Company is an “Unlisted Issuer” in terms of the SEBI (ICDR) Regulations, and this Issue is an “Initial Public Offering” in terms of the SEBI (ICDR) Regulations. Thus, there is no stock market data available for the Equity Shares of our Company.</w:t>
      </w:r>
    </w:p>
    <w:p w14:paraId="038519FE" w14:textId="77777777" w:rsidR="004047F2" w:rsidRPr="00712F3C" w:rsidRDefault="004047F2" w:rsidP="004047F2">
      <w:pPr>
        <w:spacing w:after="0" w:line="240" w:lineRule="auto"/>
        <w:jc w:val="both"/>
        <w:rPr>
          <w:rFonts w:ascii="Times New Roman" w:hAnsi="Times New Roman"/>
          <w:b/>
          <w:sz w:val="20"/>
          <w:szCs w:val="20"/>
        </w:rPr>
      </w:pPr>
      <w:r w:rsidRPr="00712F3C">
        <w:rPr>
          <w:rFonts w:ascii="Times New Roman" w:hAnsi="Times New Roman"/>
          <w:b/>
          <w:sz w:val="20"/>
          <w:szCs w:val="20"/>
        </w:rPr>
        <w:lastRenderedPageBreak/>
        <w:t>Investor Grievances and Redressal System</w:t>
      </w:r>
    </w:p>
    <w:p w14:paraId="2442C858" w14:textId="77777777" w:rsidR="004047F2" w:rsidRPr="00712F3C" w:rsidRDefault="004047F2" w:rsidP="004047F2">
      <w:pPr>
        <w:spacing w:after="0" w:line="240" w:lineRule="auto"/>
        <w:jc w:val="both"/>
        <w:rPr>
          <w:rFonts w:ascii="Times New Roman" w:hAnsi="Times New Roman"/>
          <w:sz w:val="20"/>
          <w:szCs w:val="20"/>
        </w:rPr>
      </w:pPr>
    </w:p>
    <w:p w14:paraId="310C8BBF"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 xml:space="preserve">The agreement between the Registrar to the Issue, our Company provides for retention of records with the Registrar to the Issue for a period of at least three (3) years from the last date of dispatch of the letters of allotment and Demat credit to enable the investors to approach the Registrar to the Issue for redressal of their grievances. </w:t>
      </w:r>
    </w:p>
    <w:p w14:paraId="4959E591" w14:textId="77777777" w:rsidR="004047F2" w:rsidRPr="00712F3C" w:rsidRDefault="004047F2" w:rsidP="004047F2">
      <w:pPr>
        <w:spacing w:after="0" w:line="240" w:lineRule="auto"/>
        <w:jc w:val="both"/>
        <w:rPr>
          <w:rFonts w:ascii="Times New Roman" w:hAnsi="Times New Roman"/>
          <w:sz w:val="20"/>
          <w:szCs w:val="20"/>
        </w:rPr>
      </w:pPr>
    </w:p>
    <w:p w14:paraId="18C8DAF2"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 xml:space="preserve">We hereby confirm that there are no investors complaints received during the three years preceding the filing of this Draft Red Herring Prospectus. Since there are no investors complaints received, none are pending as on the date of filing of this Draft Red Herring Prospectus. </w:t>
      </w:r>
    </w:p>
    <w:p w14:paraId="6C8445A3" w14:textId="77777777" w:rsidR="004047F2" w:rsidRPr="00712F3C" w:rsidRDefault="004047F2" w:rsidP="004047F2">
      <w:pPr>
        <w:spacing w:after="0" w:line="240" w:lineRule="auto"/>
        <w:jc w:val="both"/>
        <w:rPr>
          <w:rFonts w:ascii="Times New Roman" w:hAnsi="Times New Roman"/>
          <w:sz w:val="20"/>
          <w:szCs w:val="20"/>
        </w:rPr>
      </w:pPr>
    </w:p>
    <w:p w14:paraId="2970623F"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Investors may contact the BRLM for any complaint pertaining to the Issue. All grievances, may be addressed to the Registrar to the Issue, with a copy to the relevant Designated Intermediary, where the Application Form was submitted, quoting the full name of the sole or first Applicant, Application Form number, Applicants‘ DP ID, Client ID, PAN, address of the Applicant, number of Equity Shares applied for, date of Application Form, name and address of the relevant Designated Intermediary, where the Bid was submitted and ASBA Account number in which the amount equivalent to the Bid Amount was blocked. Further, the Applicant shall enclose the Acknowledgement Slip or provide the acknowledgement number received from the Designated Intermediaries in addition to the documents/information mentioned hereinabove. Our Company, BRLM and the Registrar accept no responsibility for errors, omissions, commission of any acts of the Designated Intermediaries, including any defaults in complying with its obligations under the SEBI ICDR Regulations.</w:t>
      </w:r>
    </w:p>
    <w:p w14:paraId="5775D13E" w14:textId="77777777" w:rsidR="004047F2" w:rsidRPr="00712F3C" w:rsidRDefault="004047F2" w:rsidP="004047F2">
      <w:pPr>
        <w:spacing w:after="0" w:line="240" w:lineRule="auto"/>
        <w:jc w:val="both"/>
        <w:rPr>
          <w:rFonts w:ascii="Times New Roman" w:hAnsi="Times New Roman"/>
          <w:sz w:val="20"/>
          <w:szCs w:val="20"/>
        </w:rPr>
      </w:pPr>
    </w:p>
    <w:p w14:paraId="5DE926DE" w14:textId="77777777" w:rsidR="004047F2" w:rsidRPr="00712F3C" w:rsidRDefault="004047F2" w:rsidP="004047F2">
      <w:pPr>
        <w:spacing w:after="0" w:line="240" w:lineRule="auto"/>
        <w:jc w:val="both"/>
        <w:rPr>
          <w:rFonts w:ascii="Times New Roman" w:hAnsi="Times New Roman"/>
          <w:b/>
          <w:sz w:val="20"/>
          <w:szCs w:val="20"/>
        </w:rPr>
      </w:pPr>
      <w:r w:rsidRPr="00712F3C">
        <w:rPr>
          <w:rFonts w:ascii="Times New Roman" w:hAnsi="Times New Roman"/>
          <w:b/>
          <w:sz w:val="20"/>
          <w:szCs w:val="20"/>
        </w:rPr>
        <w:t xml:space="preserve">Disposal of Investor Grievances by our Company </w:t>
      </w:r>
    </w:p>
    <w:p w14:paraId="5484E957" w14:textId="77777777" w:rsidR="004047F2" w:rsidRPr="00712F3C" w:rsidRDefault="004047F2" w:rsidP="004047F2">
      <w:pPr>
        <w:spacing w:after="0" w:line="240" w:lineRule="auto"/>
        <w:jc w:val="both"/>
        <w:rPr>
          <w:rFonts w:ascii="Times New Roman" w:hAnsi="Times New Roman"/>
          <w:sz w:val="20"/>
          <w:szCs w:val="20"/>
        </w:rPr>
      </w:pPr>
    </w:p>
    <w:p w14:paraId="09F88E84"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 xml:space="preserve">Our Company estimates that the average time required by our Company or the Registrar to the Issue for the redressal of routine investor grievances shall be within 15 Working Days from the date of receipt of the complaint. In case of complaints that are not routine or where external agencies are involved, our Company will seek to redress these complaints as expeditiously as possible. </w:t>
      </w:r>
    </w:p>
    <w:p w14:paraId="1F80249D" w14:textId="77777777" w:rsidR="004047F2" w:rsidRPr="00712F3C" w:rsidRDefault="004047F2" w:rsidP="004047F2">
      <w:pPr>
        <w:spacing w:after="0" w:line="240" w:lineRule="auto"/>
        <w:jc w:val="both"/>
        <w:rPr>
          <w:rFonts w:ascii="Times New Roman" w:hAnsi="Times New Roman"/>
          <w:sz w:val="20"/>
          <w:szCs w:val="20"/>
        </w:rPr>
      </w:pPr>
    </w:p>
    <w:p w14:paraId="12095987"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 xml:space="preserve">Our Company has appointed Vandana Arun Baldi, as the Company Secretary and Compliance Officer to redress complaints, if any, of the investors participating in the Issue. Contact details for our Company Secretary and Compliance Officer are as follows: </w:t>
      </w:r>
    </w:p>
    <w:p w14:paraId="0BBC5641" w14:textId="77777777" w:rsidR="004047F2" w:rsidRPr="00712F3C" w:rsidRDefault="004047F2" w:rsidP="004047F2">
      <w:pPr>
        <w:spacing w:after="0" w:line="240" w:lineRule="auto"/>
        <w:jc w:val="both"/>
        <w:rPr>
          <w:rFonts w:ascii="Times New Roman" w:hAnsi="Times New Roman"/>
          <w:sz w:val="20"/>
          <w:szCs w:val="20"/>
        </w:rPr>
      </w:pPr>
    </w:p>
    <w:p w14:paraId="5345B6A8" w14:textId="4C77DBC2" w:rsidR="004047F2" w:rsidRPr="00142011" w:rsidRDefault="00142011" w:rsidP="004047F2">
      <w:pPr>
        <w:spacing w:after="0" w:line="240" w:lineRule="auto"/>
        <w:contextualSpacing/>
        <w:jc w:val="both"/>
        <w:rPr>
          <w:rFonts w:ascii="Times New Roman" w:hAnsi="Times New Roman"/>
          <w:sz w:val="20"/>
          <w:szCs w:val="20"/>
        </w:rPr>
      </w:pPr>
      <w:r w:rsidRPr="00142011">
        <w:rPr>
          <w:rFonts w:ascii="Times New Roman" w:hAnsi="Times New Roman"/>
          <w:sz w:val="20"/>
          <w:szCs w:val="20"/>
        </w:rPr>
        <w:t>Kiran Parmanand</w:t>
      </w:r>
      <w:r>
        <w:rPr>
          <w:rFonts w:ascii="Times New Roman" w:hAnsi="Times New Roman"/>
          <w:sz w:val="20"/>
          <w:szCs w:val="20"/>
        </w:rPr>
        <w:t xml:space="preserve"> </w:t>
      </w:r>
      <w:r w:rsidRPr="00142011">
        <w:rPr>
          <w:rFonts w:ascii="Times New Roman" w:hAnsi="Times New Roman"/>
          <w:sz w:val="20"/>
          <w:szCs w:val="20"/>
        </w:rPr>
        <w:t>Goklani</w:t>
      </w:r>
    </w:p>
    <w:p w14:paraId="347D29F7" w14:textId="77777777" w:rsidR="004047F2" w:rsidRPr="00142011" w:rsidRDefault="004047F2" w:rsidP="004047F2">
      <w:pPr>
        <w:spacing w:after="0" w:line="240" w:lineRule="auto"/>
        <w:contextualSpacing/>
        <w:jc w:val="both"/>
        <w:rPr>
          <w:rFonts w:ascii="Times New Roman" w:hAnsi="Times New Roman"/>
          <w:sz w:val="20"/>
          <w:szCs w:val="20"/>
        </w:rPr>
      </w:pPr>
      <w:r w:rsidRPr="00142011">
        <w:rPr>
          <w:rFonts w:ascii="Times New Roman" w:hAnsi="Times New Roman"/>
          <w:sz w:val="20"/>
          <w:szCs w:val="20"/>
        </w:rPr>
        <w:t>Company Secretary and Compliance Officer</w:t>
      </w:r>
    </w:p>
    <w:p w14:paraId="40BFC7E4" w14:textId="748EC697" w:rsidR="004047F2" w:rsidRPr="00142011" w:rsidRDefault="00142011" w:rsidP="00142011">
      <w:pPr>
        <w:spacing w:after="0" w:line="240" w:lineRule="auto"/>
        <w:ind w:right="-90"/>
        <w:jc w:val="both"/>
        <w:rPr>
          <w:rFonts w:ascii="Times New Roman" w:hAnsi="Times New Roman"/>
          <w:b/>
          <w:sz w:val="20"/>
          <w:szCs w:val="20"/>
        </w:rPr>
      </w:pPr>
      <w:r w:rsidRPr="00142011">
        <w:rPr>
          <w:rFonts w:ascii="Times New Roman" w:hAnsi="Times New Roman"/>
          <w:b/>
          <w:sz w:val="20"/>
          <w:szCs w:val="20"/>
        </w:rPr>
        <w:t xml:space="preserve">Siyaram Recycling Industries </w:t>
      </w:r>
      <w:r w:rsidR="004047F2" w:rsidRPr="00142011">
        <w:rPr>
          <w:rFonts w:ascii="Times New Roman" w:hAnsi="Times New Roman"/>
          <w:b/>
          <w:sz w:val="20"/>
          <w:szCs w:val="20"/>
        </w:rPr>
        <w:t>Limited</w:t>
      </w:r>
    </w:p>
    <w:p w14:paraId="416A5B07" w14:textId="77777777" w:rsidR="00142011" w:rsidRPr="00142011" w:rsidRDefault="004047F2" w:rsidP="00142011">
      <w:pPr>
        <w:spacing w:after="0" w:line="240" w:lineRule="auto"/>
        <w:ind w:right="-90"/>
        <w:rPr>
          <w:rFonts w:ascii="Times New Roman" w:hAnsi="Times New Roman"/>
          <w:sz w:val="20"/>
          <w:szCs w:val="20"/>
        </w:rPr>
      </w:pPr>
      <w:r w:rsidRPr="00142011">
        <w:rPr>
          <w:rFonts w:ascii="Times New Roman" w:hAnsi="Times New Roman"/>
          <w:b/>
          <w:sz w:val="20"/>
          <w:szCs w:val="20"/>
        </w:rPr>
        <w:t>Address:</w:t>
      </w:r>
      <w:r w:rsidRPr="00142011">
        <w:rPr>
          <w:rFonts w:ascii="Times New Roman" w:hAnsi="Times New Roman"/>
          <w:sz w:val="20"/>
          <w:szCs w:val="20"/>
        </w:rPr>
        <w:t xml:space="preserve"> </w:t>
      </w:r>
      <w:r w:rsidR="00142011" w:rsidRPr="00142011">
        <w:rPr>
          <w:rFonts w:ascii="Times New Roman" w:hAnsi="Times New Roman"/>
          <w:sz w:val="20"/>
          <w:szCs w:val="20"/>
        </w:rPr>
        <w:t>Plot No. 6 &amp; 7, Village: Lakhabaval Post: Khodiyar Colony (Naghedi), Jamnagar-361006 Gujarat</w:t>
      </w:r>
    </w:p>
    <w:p w14:paraId="0A6E56DA" w14:textId="6C4E8FFC" w:rsidR="004047F2" w:rsidRPr="00142011" w:rsidRDefault="004047F2" w:rsidP="00142011">
      <w:pPr>
        <w:spacing w:after="0" w:line="240" w:lineRule="auto"/>
        <w:ind w:right="-90"/>
        <w:rPr>
          <w:rFonts w:ascii="Times New Roman" w:hAnsi="Times New Roman"/>
          <w:b/>
          <w:sz w:val="20"/>
          <w:szCs w:val="20"/>
        </w:rPr>
      </w:pPr>
      <w:r w:rsidRPr="00142011">
        <w:rPr>
          <w:rFonts w:ascii="Times New Roman" w:hAnsi="Times New Roman"/>
          <w:b/>
          <w:sz w:val="20"/>
          <w:szCs w:val="20"/>
        </w:rPr>
        <w:t>Tel. No.:</w:t>
      </w:r>
      <w:r w:rsidRPr="00142011">
        <w:rPr>
          <w:rFonts w:ascii="Times New Roman" w:hAnsi="Times New Roman"/>
          <w:sz w:val="20"/>
          <w:szCs w:val="20"/>
        </w:rPr>
        <w:t xml:space="preserve"> +</w:t>
      </w:r>
      <w:r w:rsidR="00142011" w:rsidRPr="00142011">
        <w:rPr>
          <w:rFonts w:ascii="Times New Roman" w:hAnsi="Times New Roman"/>
          <w:sz w:val="20"/>
          <w:szCs w:val="20"/>
        </w:rPr>
        <w:t>91-7575020500</w:t>
      </w:r>
    </w:p>
    <w:p w14:paraId="565FB575" w14:textId="0B99BF09" w:rsidR="00142011" w:rsidRPr="00142011" w:rsidRDefault="004047F2" w:rsidP="004047F2">
      <w:pPr>
        <w:spacing w:after="0" w:line="240" w:lineRule="auto"/>
        <w:jc w:val="both"/>
        <w:rPr>
          <w:rFonts w:ascii="Times New Roman" w:hAnsi="Times New Roman"/>
          <w:sz w:val="20"/>
          <w:szCs w:val="20"/>
        </w:rPr>
      </w:pPr>
      <w:r w:rsidRPr="00142011">
        <w:rPr>
          <w:rFonts w:ascii="Times New Roman" w:hAnsi="Times New Roman"/>
          <w:b/>
          <w:sz w:val="20"/>
          <w:szCs w:val="20"/>
        </w:rPr>
        <w:t>Email:</w:t>
      </w:r>
      <w:r w:rsidRPr="00142011">
        <w:rPr>
          <w:rFonts w:ascii="Times New Roman" w:hAnsi="Times New Roman"/>
          <w:sz w:val="20"/>
          <w:szCs w:val="20"/>
        </w:rPr>
        <w:t xml:space="preserve"> </w:t>
      </w:r>
      <w:r w:rsidR="00142011" w:rsidRPr="00142011">
        <w:rPr>
          <w:rFonts w:ascii="Times New Roman" w:hAnsi="Times New Roman"/>
          <w:sz w:val="20"/>
          <w:szCs w:val="20"/>
          <w:highlight w:val="yellow"/>
        </w:rPr>
        <w:t>…..</w:t>
      </w:r>
    </w:p>
    <w:p w14:paraId="075EDC88" w14:textId="2E3C8905" w:rsidR="004047F2" w:rsidRPr="00712F3C" w:rsidRDefault="004047F2" w:rsidP="004047F2">
      <w:pPr>
        <w:spacing w:after="0" w:line="240" w:lineRule="auto"/>
        <w:jc w:val="both"/>
        <w:rPr>
          <w:rFonts w:ascii="Times New Roman" w:hAnsi="Times New Roman"/>
          <w:sz w:val="20"/>
          <w:szCs w:val="20"/>
        </w:rPr>
      </w:pPr>
      <w:r w:rsidRPr="00142011">
        <w:rPr>
          <w:rFonts w:ascii="Times New Roman" w:hAnsi="Times New Roman"/>
          <w:b/>
          <w:sz w:val="20"/>
          <w:szCs w:val="20"/>
        </w:rPr>
        <w:t xml:space="preserve">Website: </w:t>
      </w:r>
      <w:hyperlink r:id="rId97" w:history="1">
        <w:r w:rsidR="00142011" w:rsidRPr="00142011">
          <w:rPr>
            <w:rStyle w:val="Hyperlink"/>
            <w:rFonts w:ascii="Times New Roman" w:hAnsi="Times New Roman"/>
            <w:bCs/>
            <w:sz w:val="20"/>
            <w:szCs w:val="20"/>
          </w:rPr>
          <w:t>www.siyaramindustries.co.in</w:t>
        </w:r>
      </w:hyperlink>
      <w:r w:rsidR="00142011">
        <w:rPr>
          <w:rFonts w:ascii="Times New Roman" w:hAnsi="Times New Roman"/>
          <w:bCs/>
          <w:sz w:val="20"/>
          <w:szCs w:val="20"/>
        </w:rPr>
        <w:t xml:space="preserve"> </w:t>
      </w:r>
      <w:r w:rsidR="00142011">
        <w:rPr>
          <w:rStyle w:val="Hyperlink"/>
          <w:rFonts w:ascii="Times New Roman" w:hAnsi="Times New Roman"/>
          <w:sz w:val="20"/>
          <w:szCs w:val="20"/>
        </w:rPr>
        <w:t xml:space="preserve"> </w:t>
      </w:r>
    </w:p>
    <w:p w14:paraId="5D3EF378" w14:textId="2C15CA9B" w:rsidR="004047F2" w:rsidRPr="00712F3C" w:rsidRDefault="00142011" w:rsidP="004047F2">
      <w:pPr>
        <w:spacing w:after="0" w:line="240" w:lineRule="auto"/>
        <w:contextualSpacing/>
        <w:jc w:val="both"/>
        <w:rPr>
          <w:rFonts w:ascii="Times New Roman" w:eastAsia="MS Mincho" w:hAnsi="Times New Roman"/>
          <w:sz w:val="20"/>
          <w:szCs w:val="20"/>
        </w:rPr>
      </w:pPr>
      <w:r>
        <w:rPr>
          <w:rFonts w:ascii="Times New Roman" w:eastAsia="MS Mincho" w:hAnsi="Times New Roman"/>
          <w:sz w:val="20"/>
          <w:szCs w:val="20"/>
        </w:rPr>
        <w:t xml:space="preserve"> </w:t>
      </w:r>
    </w:p>
    <w:p w14:paraId="530F26EC"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 xml:space="preserve">Investors can contact the Compliance Officer or the Registrar in case of any pre-Issue or post-Issue related problems such as non-receipt of letters of allocation, credit of allotted Equity Shares in the respective beneficiary account etc. </w:t>
      </w:r>
    </w:p>
    <w:p w14:paraId="07550DE5" w14:textId="77777777" w:rsidR="004047F2" w:rsidRPr="00712F3C" w:rsidRDefault="004047F2" w:rsidP="004047F2">
      <w:pPr>
        <w:spacing w:after="0" w:line="240" w:lineRule="auto"/>
        <w:jc w:val="both"/>
        <w:rPr>
          <w:rFonts w:ascii="Times New Roman" w:hAnsi="Times New Roman"/>
          <w:sz w:val="20"/>
          <w:szCs w:val="20"/>
        </w:rPr>
      </w:pPr>
    </w:p>
    <w:p w14:paraId="6502BBB8"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 xml:space="preserve">Pursuant to the press release no. PR. No. 85/2011 dated June 8, 2011, SEBI has launched a centralized web-based complaints redress system “SCORES”. This would enable investors to lodge and follow up their complaints and track the status of redressal of such complaints from anywhere. For more details, investors are requested to visit the website </w:t>
      </w:r>
      <w:hyperlink r:id="rId98" w:history="1">
        <w:r w:rsidRPr="00712F3C">
          <w:rPr>
            <w:rFonts w:ascii="Times New Roman" w:hAnsi="Times New Roman"/>
            <w:sz w:val="20"/>
            <w:szCs w:val="20"/>
          </w:rPr>
          <w:t>www.scores.gov.in</w:t>
        </w:r>
      </w:hyperlink>
      <w:r w:rsidRPr="00712F3C">
        <w:rPr>
          <w:rFonts w:ascii="Times New Roman" w:hAnsi="Times New Roman"/>
          <w:sz w:val="20"/>
          <w:szCs w:val="20"/>
        </w:rPr>
        <w:t xml:space="preserve">.  </w:t>
      </w:r>
    </w:p>
    <w:p w14:paraId="34E85E28" w14:textId="77777777" w:rsidR="004047F2" w:rsidRPr="00712F3C" w:rsidRDefault="004047F2" w:rsidP="004047F2">
      <w:pPr>
        <w:spacing w:after="0" w:line="240" w:lineRule="auto"/>
        <w:jc w:val="both"/>
        <w:rPr>
          <w:rFonts w:ascii="Times New Roman" w:hAnsi="Times New Roman"/>
          <w:sz w:val="20"/>
          <w:szCs w:val="20"/>
        </w:rPr>
      </w:pPr>
    </w:p>
    <w:p w14:paraId="5170F5FA" w14:textId="0E7F1959"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 xml:space="preserve">Our Board by a resolution on </w:t>
      </w:r>
      <w:r w:rsidR="00142011">
        <w:rPr>
          <w:rFonts w:ascii="Times New Roman" w:hAnsi="Times New Roman"/>
          <w:sz w:val="20"/>
          <w:szCs w:val="20"/>
        </w:rPr>
        <w:t>August 24, 2023</w:t>
      </w:r>
      <w:r w:rsidRPr="00712F3C">
        <w:rPr>
          <w:rFonts w:ascii="Times New Roman" w:hAnsi="Times New Roman"/>
          <w:sz w:val="20"/>
          <w:szCs w:val="20"/>
        </w:rPr>
        <w:t xml:space="preserve"> constituted a Stakeholders Relationship Committee. For further details, please refer to section titled </w:t>
      </w:r>
      <w:r w:rsidRPr="00712F3C">
        <w:rPr>
          <w:rFonts w:ascii="Times New Roman" w:hAnsi="Times New Roman"/>
          <w:b/>
          <w:i/>
          <w:sz w:val="20"/>
          <w:szCs w:val="20"/>
        </w:rPr>
        <w:t xml:space="preserve">“Our Management” </w:t>
      </w:r>
      <w:r w:rsidRPr="00712F3C">
        <w:rPr>
          <w:rFonts w:ascii="Times New Roman" w:hAnsi="Times New Roman"/>
          <w:sz w:val="20"/>
          <w:szCs w:val="20"/>
        </w:rPr>
        <w:t xml:space="preserve">beginning on page </w:t>
      </w:r>
      <w:r>
        <w:rPr>
          <w:rFonts w:ascii="Times New Roman" w:hAnsi="Times New Roman"/>
          <w:sz w:val="20"/>
          <w:szCs w:val="20"/>
        </w:rPr>
        <w:t>111</w:t>
      </w:r>
      <w:r w:rsidRPr="00712F3C">
        <w:rPr>
          <w:rFonts w:ascii="Times New Roman" w:hAnsi="Times New Roman"/>
          <w:sz w:val="20"/>
          <w:szCs w:val="20"/>
        </w:rPr>
        <w:t xml:space="preserve"> of this Draft Red Herring Prospectus. </w:t>
      </w:r>
    </w:p>
    <w:p w14:paraId="759962AA" w14:textId="77777777" w:rsidR="004047F2" w:rsidRPr="00712F3C" w:rsidRDefault="004047F2" w:rsidP="004047F2">
      <w:pPr>
        <w:spacing w:after="0" w:line="240" w:lineRule="auto"/>
        <w:jc w:val="both"/>
        <w:rPr>
          <w:rFonts w:ascii="Times New Roman" w:hAnsi="Times New Roman"/>
          <w:sz w:val="20"/>
          <w:szCs w:val="20"/>
        </w:rPr>
      </w:pPr>
    </w:p>
    <w:p w14:paraId="186B14B6" w14:textId="77777777" w:rsidR="004047F2" w:rsidRPr="00712F3C" w:rsidRDefault="004047F2" w:rsidP="004047F2">
      <w:pPr>
        <w:spacing w:after="0" w:line="240" w:lineRule="auto"/>
        <w:jc w:val="both"/>
        <w:rPr>
          <w:rFonts w:ascii="Times New Roman" w:hAnsi="Times New Roman"/>
          <w:b/>
          <w:sz w:val="20"/>
          <w:szCs w:val="20"/>
        </w:rPr>
      </w:pPr>
      <w:r w:rsidRPr="00712F3C">
        <w:rPr>
          <w:rFonts w:ascii="Times New Roman" w:hAnsi="Times New Roman"/>
          <w:b/>
          <w:sz w:val="20"/>
          <w:szCs w:val="20"/>
        </w:rPr>
        <w:t xml:space="preserve">Status of Investor Complaints </w:t>
      </w:r>
    </w:p>
    <w:p w14:paraId="5F0654D2" w14:textId="77777777" w:rsidR="004047F2" w:rsidRPr="00712F3C" w:rsidRDefault="004047F2" w:rsidP="004047F2">
      <w:pPr>
        <w:spacing w:after="0" w:line="240" w:lineRule="auto"/>
        <w:jc w:val="both"/>
        <w:rPr>
          <w:rFonts w:ascii="Times New Roman" w:hAnsi="Times New Roman"/>
          <w:sz w:val="20"/>
          <w:szCs w:val="20"/>
        </w:rPr>
      </w:pPr>
    </w:p>
    <w:p w14:paraId="10F0D9CE"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 xml:space="preserve">We confirm that we have not received any investor compliant during the three years preceding the date of this Draft Red Herring Prospectus and hence there are no pending investor complaints as on the date of this Draft Red Herring Prospectus. </w:t>
      </w:r>
    </w:p>
    <w:p w14:paraId="02E05B54" w14:textId="77777777" w:rsidR="004047F2" w:rsidRPr="00712F3C" w:rsidRDefault="004047F2" w:rsidP="004047F2">
      <w:pPr>
        <w:spacing w:after="0" w:line="240" w:lineRule="auto"/>
        <w:jc w:val="both"/>
        <w:rPr>
          <w:rFonts w:ascii="Times New Roman" w:hAnsi="Times New Roman"/>
          <w:sz w:val="20"/>
          <w:szCs w:val="20"/>
        </w:rPr>
      </w:pPr>
    </w:p>
    <w:p w14:paraId="741C4E6C" w14:textId="77777777" w:rsidR="004047F2" w:rsidRPr="00712F3C" w:rsidRDefault="004047F2" w:rsidP="004047F2">
      <w:pPr>
        <w:spacing w:after="0" w:line="240" w:lineRule="auto"/>
        <w:jc w:val="both"/>
        <w:rPr>
          <w:rFonts w:ascii="Times New Roman" w:hAnsi="Times New Roman"/>
          <w:b/>
          <w:sz w:val="20"/>
          <w:szCs w:val="20"/>
        </w:rPr>
      </w:pPr>
      <w:r w:rsidRPr="00712F3C">
        <w:rPr>
          <w:rFonts w:ascii="Times New Roman" w:hAnsi="Times New Roman"/>
          <w:b/>
          <w:sz w:val="20"/>
          <w:szCs w:val="20"/>
        </w:rPr>
        <w:t xml:space="preserve">Disposal of investor grievances by listed companies under the same management as our Company </w:t>
      </w:r>
    </w:p>
    <w:p w14:paraId="7CF98C2E" w14:textId="77777777" w:rsidR="004047F2" w:rsidRPr="00712F3C" w:rsidRDefault="004047F2" w:rsidP="004047F2">
      <w:pPr>
        <w:spacing w:after="0" w:line="240" w:lineRule="auto"/>
        <w:jc w:val="both"/>
        <w:rPr>
          <w:rFonts w:ascii="Times New Roman" w:hAnsi="Times New Roman"/>
          <w:sz w:val="20"/>
          <w:szCs w:val="20"/>
        </w:rPr>
      </w:pPr>
    </w:p>
    <w:p w14:paraId="0C83B6BA" w14:textId="77777777" w:rsidR="004047F2"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We do not have any listed company under the same management.</w:t>
      </w:r>
    </w:p>
    <w:p w14:paraId="30EBA937" w14:textId="77777777" w:rsidR="00142011" w:rsidRPr="00712F3C" w:rsidRDefault="00142011" w:rsidP="004047F2">
      <w:pPr>
        <w:spacing w:after="0" w:line="240" w:lineRule="auto"/>
        <w:jc w:val="both"/>
        <w:rPr>
          <w:rFonts w:ascii="Times New Roman" w:hAnsi="Times New Roman"/>
          <w:sz w:val="20"/>
          <w:szCs w:val="20"/>
        </w:rPr>
      </w:pPr>
    </w:p>
    <w:p w14:paraId="3405B458" w14:textId="77777777" w:rsidR="004047F2" w:rsidRPr="00712F3C" w:rsidRDefault="004047F2" w:rsidP="004047F2">
      <w:pPr>
        <w:spacing w:after="0" w:line="240" w:lineRule="auto"/>
        <w:jc w:val="both"/>
        <w:rPr>
          <w:rFonts w:ascii="Times New Roman" w:hAnsi="Times New Roman"/>
          <w:b/>
          <w:sz w:val="20"/>
          <w:szCs w:val="20"/>
        </w:rPr>
      </w:pPr>
      <w:r w:rsidRPr="00712F3C">
        <w:rPr>
          <w:rFonts w:ascii="Times New Roman" w:hAnsi="Times New Roman"/>
          <w:b/>
          <w:sz w:val="20"/>
          <w:szCs w:val="20"/>
        </w:rPr>
        <w:t>Tax Implications</w:t>
      </w:r>
    </w:p>
    <w:p w14:paraId="59E46557" w14:textId="77777777" w:rsidR="004047F2" w:rsidRPr="00712F3C" w:rsidRDefault="004047F2" w:rsidP="004047F2">
      <w:pPr>
        <w:spacing w:after="0" w:line="240" w:lineRule="auto"/>
        <w:jc w:val="both"/>
        <w:rPr>
          <w:rFonts w:ascii="Times New Roman" w:hAnsi="Times New Roman"/>
          <w:sz w:val="20"/>
          <w:szCs w:val="20"/>
        </w:rPr>
      </w:pPr>
    </w:p>
    <w:p w14:paraId="2A109E7D"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 xml:space="preserve">Investors who are allotted Equity Shares in the Issue will be subject to capital gains tax on any resale of the Equity Shares at applicable rates, depending on the duration for which the investors have held the Equity Shares prior to such resale and whether the Equity Shares are sold on the Stock Exchanges. For details, please refer the section titled </w:t>
      </w:r>
      <w:r w:rsidRPr="00712F3C">
        <w:rPr>
          <w:rFonts w:ascii="Times New Roman" w:hAnsi="Times New Roman"/>
          <w:b/>
          <w:i/>
          <w:sz w:val="20"/>
          <w:szCs w:val="20"/>
        </w:rPr>
        <w:t>“Statement of Special Tax Benefits”</w:t>
      </w:r>
      <w:r w:rsidRPr="00712F3C">
        <w:rPr>
          <w:rFonts w:ascii="Times New Roman" w:hAnsi="Times New Roman"/>
          <w:sz w:val="20"/>
          <w:szCs w:val="20"/>
        </w:rPr>
        <w:t xml:space="preserve"> beginning on page </w:t>
      </w:r>
      <w:r>
        <w:rPr>
          <w:rFonts w:ascii="Times New Roman" w:hAnsi="Times New Roman"/>
          <w:sz w:val="20"/>
          <w:szCs w:val="20"/>
        </w:rPr>
        <w:t>80</w:t>
      </w:r>
      <w:r w:rsidRPr="00712F3C">
        <w:rPr>
          <w:rFonts w:ascii="Times New Roman" w:hAnsi="Times New Roman"/>
          <w:sz w:val="20"/>
          <w:szCs w:val="20"/>
        </w:rPr>
        <w:t xml:space="preserve"> of this Draft Red Herring Prospectus.</w:t>
      </w:r>
    </w:p>
    <w:p w14:paraId="5A9CD9C1" w14:textId="77777777" w:rsidR="004047F2" w:rsidRDefault="004047F2" w:rsidP="004047F2">
      <w:pPr>
        <w:spacing w:after="0" w:line="240" w:lineRule="auto"/>
        <w:jc w:val="both"/>
        <w:rPr>
          <w:rFonts w:ascii="Times New Roman" w:hAnsi="Times New Roman"/>
          <w:sz w:val="20"/>
          <w:szCs w:val="20"/>
        </w:rPr>
      </w:pPr>
    </w:p>
    <w:p w14:paraId="0D182C78" w14:textId="77777777" w:rsidR="00142011" w:rsidRPr="00712F3C" w:rsidRDefault="00142011" w:rsidP="004047F2">
      <w:pPr>
        <w:spacing w:after="0" w:line="240" w:lineRule="auto"/>
        <w:jc w:val="both"/>
        <w:rPr>
          <w:rFonts w:ascii="Times New Roman" w:hAnsi="Times New Roman"/>
          <w:sz w:val="20"/>
          <w:szCs w:val="20"/>
        </w:rPr>
      </w:pPr>
    </w:p>
    <w:p w14:paraId="4E5AB1BB" w14:textId="77777777" w:rsidR="004047F2" w:rsidRPr="00712F3C" w:rsidRDefault="004047F2" w:rsidP="004047F2">
      <w:pPr>
        <w:spacing w:after="0" w:line="240" w:lineRule="auto"/>
        <w:jc w:val="both"/>
        <w:rPr>
          <w:rFonts w:ascii="Times New Roman" w:hAnsi="Times New Roman"/>
          <w:b/>
          <w:sz w:val="20"/>
          <w:szCs w:val="20"/>
        </w:rPr>
      </w:pPr>
      <w:r w:rsidRPr="00712F3C">
        <w:rPr>
          <w:rFonts w:ascii="Times New Roman" w:hAnsi="Times New Roman"/>
          <w:b/>
          <w:sz w:val="20"/>
          <w:szCs w:val="20"/>
        </w:rPr>
        <w:lastRenderedPageBreak/>
        <w:t>Purchase of Property</w:t>
      </w:r>
    </w:p>
    <w:p w14:paraId="08612D00" w14:textId="77777777" w:rsidR="004047F2" w:rsidRPr="00712F3C" w:rsidRDefault="004047F2" w:rsidP="004047F2">
      <w:pPr>
        <w:spacing w:after="0" w:line="240" w:lineRule="auto"/>
        <w:jc w:val="both"/>
        <w:rPr>
          <w:rFonts w:ascii="Times New Roman" w:hAnsi="Times New Roman"/>
          <w:b/>
          <w:sz w:val="20"/>
          <w:szCs w:val="20"/>
        </w:rPr>
      </w:pPr>
    </w:p>
    <w:p w14:paraId="13081937"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 xml:space="preserve">Other than as disclosed in Section </w:t>
      </w:r>
      <w:r w:rsidRPr="00712F3C">
        <w:rPr>
          <w:rFonts w:ascii="Times New Roman" w:hAnsi="Times New Roman"/>
          <w:b/>
          <w:i/>
          <w:sz w:val="20"/>
          <w:szCs w:val="20"/>
        </w:rPr>
        <w:t>“Our Business”</w:t>
      </w:r>
      <w:r w:rsidRPr="00712F3C">
        <w:rPr>
          <w:rFonts w:ascii="Times New Roman" w:hAnsi="Times New Roman"/>
          <w:sz w:val="20"/>
          <w:szCs w:val="20"/>
        </w:rPr>
        <w:t xml:space="preserve"> beginning on page </w:t>
      </w:r>
      <w:r>
        <w:rPr>
          <w:rFonts w:ascii="Times New Roman" w:hAnsi="Times New Roman"/>
          <w:sz w:val="20"/>
          <w:szCs w:val="20"/>
        </w:rPr>
        <w:t>91</w:t>
      </w:r>
      <w:r w:rsidRPr="00712F3C">
        <w:rPr>
          <w:rFonts w:ascii="Times New Roman" w:hAnsi="Times New Roman"/>
          <w:sz w:val="20"/>
          <w:szCs w:val="20"/>
        </w:rPr>
        <w:t xml:space="preserve"> of this Draft Red Herring Prospectus there is no property which has been purchased or acquired or is proposed to be purchased or acquired which is to be paid for wholly or partly from the proceeds of the present Issue or the purchase or acquisition of which has not been completed on the date of this Draft Red Herring Prospectus.</w:t>
      </w:r>
    </w:p>
    <w:p w14:paraId="38BC2002" w14:textId="77777777" w:rsidR="004047F2" w:rsidRPr="00712F3C" w:rsidRDefault="004047F2" w:rsidP="004047F2">
      <w:pPr>
        <w:spacing w:after="0" w:line="240" w:lineRule="auto"/>
        <w:jc w:val="both"/>
        <w:rPr>
          <w:rFonts w:ascii="Times New Roman" w:hAnsi="Times New Roman"/>
          <w:sz w:val="20"/>
          <w:szCs w:val="20"/>
        </w:rPr>
      </w:pPr>
    </w:p>
    <w:p w14:paraId="2424BC14"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Except as stated elsewhere in this Draft Red Herring Prospectus, our Company has not purchased any property in which the Promoters and/or Directors have any direct or indirect interest in any payment made there under.</w:t>
      </w:r>
    </w:p>
    <w:p w14:paraId="30500C74" w14:textId="77777777" w:rsidR="004047F2" w:rsidRPr="00712F3C" w:rsidRDefault="004047F2" w:rsidP="004047F2">
      <w:pPr>
        <w:spacing w:after="0" w:line="240" w:lineRule="auto"/>
        <w:jc w:val="both"/>
        <w:rPr>
          <w:rFonts w:ascii="Times New Roman" w:hAnsi="Times New Roman"/>
          <w:b/>
          <w:sz w:val="20"/>
          <w:szCs w:val="20"/>
        </w:rPr>
      </w:pPr>
    </w:p>
    <w:p w14:paraId="09FA9908" w14:textId="77777777" w:rsidR="004047F2" w:rsidRPr="00712F3C" w:rsidRDefault="004047F2" w:rsidP="004047F2">
      <w:pPr>
        <w:spacing w:after="0" w:line="240" w:lineRule="auto"/>
        <w:jc w:val="both"/>
        <w:rPr>
          <w:rFonts w:ascii="Times New Roman" w:hAnsi="Times New Roman"/>
          <w:b/>
          <w:sz w:val="20"/>
          <w:szCs w:val="20"/>
        </w:rPr>
      </w:pPr>
      <w:r w:rsidRPr="00712F3C">
        <w:rPr>
          <w:rFonts w:ascii="Times New Roman" w:hAnsi="Times New Roman"/>
          <w:b/>
          <w:sz w:val="20"/>
          <w:szCs w:val="20"/>
        </w:rPr>
        <w:t>Capitalization of Reserves or Profits</w:t>
      </w:r>
    </w:p>
    <w:p w14:paraId="6DCD880B" w14:textId="77777777" w:rsidR="004047F2" w:rsidRPr="00712F3C" w:rsidRDefault="004047F2" w:rsidP="004047F2">
      <w:pPr>
        <w:spacing w:after="0" w:line="240" w:lineRule="auto"/>
        <w:jc w:val="both"/>
        <w:rPr>
          <w:rFonts w:ascii="Times New Roman" w:hAnsi="Times New Roman"/>
          <w:sz w:val="20"/>
          <w:szCs w:val="20"/>
        </w:rPr>
      </w:pPr>
    </w:p>
    <w:p w14:paraId="00E8FA6C"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 xml:space="preserve">Save and except as stated in </w:t>
      </w:r>
      <w:r w:rsidRPr="00712F3C">
        <w:rPr>
          <w:rFonts w:ascii="Times New Roman" w:hAnsi="Times New Roman"/>
          <w:b/>
          <w:i/>
          <w:sz w:val="20"/>
          <w:szCs w:val="20"/>
        </w:rPr>
        <w:t>“Capital Structure”</w:t>
      </w:r>
      <w:r w:rsidRPr="00712F3C">
        <w:rPr>
          <w:rFonts w:ascii="Times New Roman" w:hAnsi="Times New Roman"/>
          <w:sz w:val="20"/>
          <w:szCs w:val="20"/>
        </w:rPr>
        <w:t xml:space="preserve"> on page </w:t>
      </w:r>
      <w:r>
        <w:rPr>
          <w:rFonts w:ascii="Times New Roman" w:hAnsi="Times New Roman"/>
          <w:sz w:val="20"/>
          <w:szCs w:val="20"/>
        </w:rPr>
        <w:t>57</w:t>
      </w:r>
      <w:r w:rsidRPr="00712F3C">
        <w:rPr>
          <w:rFonts w:ascii="Times New Roman" w:hAnsi="Times New Roman"/>
          <w:sz w:val="20"/>
          <w:szCs w:val="20"/>
        </w:rPr>
        <w:t xml:space="preserve"> of this Draft Red Herring Prospectus, our Company has not capitalized its reserves or profits at any time since inception.</w:t>
      </w:r>
    </w:p>
    <w:p w14:paraId="04DBAE6C" w14:textId="77777777" w:rsidR="004047F2" w:rsidRPr="00712F3C" w:rsidRDefault="004047F2" w:rsidP="004047F2">
      <w:pPr>
        <w:spacing w:after="0" w:line="240" w:lineRule="auto"/>
        <w:jc w:val="both"/>
        <w:rPr>
          <w:rFonts w:ascii="Times New Roman" w:hAnsi="Times New Roman"/>
          <w:sz w:val="20"/>
          <w:szCs w:val="20"/>
        </w:rPr>
      </w:pPr>
    </w:p>
    <w:p w14:paraId="7ABF06A6" w14:textId="77777777" w:rsidR="004047F2" w:rsidRPr="00712F3C" w:rsidRDefault="004047F2" w:rsidP="004047F2">
      <w:pPr>
        <w:spacing w:after="0" w:line="240" w:lineRule="auto"/>
        <w:jc w:val="both"/>
        <w:rPr>
          <w:rFonts w:ascii="Times New Roman" w:hAnsi="Times New Roman"/>
          <w:b/>
          <w:sz w:val="20"/>
          <w:szCs w:val="20"/>
        </w:rPr>
      </w:pPr>
      <w:r w:rsidRPr="00712F3C">
        <w:rPr>
          <w:rFonts w:ascii="Times New Roman" w:hAnsi="Times New Roman"/>
          <w:b/>
          <w:sz w:val="20"/>
          <w:szCs w:val="20"/>
        </w:rPr>
        <w:t>Revaluation of assets</w:t>
      </w:r>
    </w:p>
    <w:p w14:paraId="0D6F1A75" w14:textId="77777777" w:rsidR="004047F2" w:rsidRPr="00712F3C" w:rsidRDefault="004047F2" w:rsidP="004047F2">
      <w:pPr>
        <w:spacing w:after="0" w:line="240" w:lineRule="auto"/>
        <w:jc w:val="both"/>
        <w:rPr>
          <w:rFonts w:ascii="Times New Roman" w:hAnsi="Times New Roman"/>
          <w:sz w:val="20"/>
          <w:szCs w:val="20"/>
        </w:rPr>
      </w:pPr>
    </w:p>
    <w:p w14:paraId="7A56B060"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There has not been any revaluation of assets since incorporation of the Company.</w:t>
      </w:r>
    </w:p>
    <w:p w14:paraId="6AB943B7" w14:textId="77777777" w:rsidR="004047F2" w:rsidRPr="00712F3C" w:rsidRDefault="004047F2" w:rsidP="004047F2">
      <w:pPr>
        <w:spacing w:after="0" w:line="240" w:lineRule="auto"/>
        <w:jc w:val="both"/>
        <w:rPr>
          <w:rFonts w:ascii="Times New Roman" w:hAnsi="Times New Roman"/>
          <w:sz w:val="20"/>
          <w:szCs w:val="20"/>
        </w:rPr>
      </w:pPr>
    </w:p>
    <w:p w14:paraId="6067B299" w14:textId="77777777" w:rsidR="004047F2" w:rsidRPr="00712F3C" w:rsidRDefault="004047F2" w:rsidP="004047F2">
      <w:pPr>
        <w:spacing w:after="0" w:line="240" w:lineRule="auto"/>
        <w:jc w:val="both"/>
        <w:rPr>
          <w:rFonts w:ascii="Times New Roman" w:hAnsi="Times New Roman"/>
          <w:b/>
          <w:sz w:val="20"/>
          <w:szCs w:val="20"/>
        </w:rPr>
      </w:pPr>
      <w:r w:rsidRPr="00712F3C">
        <w:rPr>
          <w:rFonts w:ascii="Times New Roman" w:hAnsi="Times New Roman"/>
          <w:b/>
          <w:sz w:val="20"/>
          <w:szCs w:val="20"/>
        </w:rPr>
        <w:t xml:space="preserve">Servicing Behavior </w:t>
      </w:r>
    </w:p>
    <w:p w14:paraId="053B7FBC" w14:textId="77777777" w:rsidR="004047F2" w:rsidRPr="00712F3C" w:rsidRDefault="004047F2" w:rsidP="004047F2">
      <w:pPr>
        <w:spacing w:after="0" w:line="240" w:lineRule="auto"/>
        <w:jc w:val="both"/>
        <w:rPr>
          <w:rFonts w:ascii="Times New Roman" w:hAnsi="Times New Roman"/>
          <w:sz w:val="20"/>
          <w:szCs w:val="20"/>
        </w:rPr>
      </w:pPr>
    </w:p>
    <w:p w14:paraId="56A01534"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 xml:space="preserve">There has been no default in payment of statutory dues or of interest or principal in respect of our borrowings or deposits. </w:t>
      </w:r>
    </w:p>
    <w:p w14:paraId="565A57C9" w14:textId="77777777" w:rsidR="004047F2" w:rsidRPr="00712F3C" w:rsidRDefault="004047F2" w:rsidP="004047F2">
      <w:pPr>
        <w:spacing w:after="0" w:line="240" w:lineRule="auto"/>
        <w:jc w:val="both"/>
        <w:rPr>
          <w:rFonts w:ascii="Times New Roman" w:hAnsi="Times New Roman"/>
          <w:sz w:val="20"/>
          <w:szCs w:val="20"/>
        </w:rPr>
      </w:pPr>
    </w:p>
    <w:p w14:paraId="62E6A970" w14:textId="77777777" w:rsidR="004047F2" w:rsidRPr="00712F3C" w:rsidRDefault="004047F2" w:rsidP="004047F2">
      <w:pPr>
        <w:spacing w:after="0" w:line="240" w:lineRule="auto"/>
        <w:jc w:val="both"/>
        <w:rPr>
          <w:rFonts w:ascii="Times New Roman" w:hAnsi="Times New Roman"/>
          <w:b/>
          <w:sz w:val="20"/>
          <w:szCs w:val="20"/>
        </w:rPr>
      </w:pPr>
      <w:r w:rsidRPr="00712F3C">
        <w:rPr>
          <w:rFonts w:ascii="Times New Roman" w:hAnsi="Times New Roman"/>
          <w:b/>
          <w:sz w:val="20"/>
          <w:szCs w:val="20"/>
        </w:rPr>
        <w:t>Payment or benefit to officers of Our Company</w:t>
      </w:r>
    </w:p>
    <w:p w14:paraId="45FF0B59" w14:textId="77777777" w:rsidR="004047F2" w:rsidRPr="00712F3C" w:rsidRDefault="004047F2" w:rsidP="004047F2">
      <w:pPr>
        <w:spacing w:after="0" w:line="240" w:lineRule="auto"/>
        <w:jc w:val="both"/>
        <w:rPr>
          <w:rFonts w:ascii="Times New Roman" w:hAnsi="Times New Roman"/>
          <w:sz w:val="20"/>
          <w:szCs w:val="20"/>
        </w:rPr>
      </w:pPr>
    </w:p>
    <w:p w14:paraId="6463311E"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 xml:space="preserve">Except statutory benefits upon termination of their employment in our Company or superannuation, no officer of our Company is entitled to any benefit upon termination of his employment in our Company or superannuation. </w:t>
      </w:r>
    </w:p>
    <w:p w14:paraId="4C60394B" w14:textId="77777777" w:rsidR="004047F2" w:rsidRPr="00712F3C" w:rsidRDefault="004047F2" w:rsidP="004047F2">
      <w:pPr>
        <w:spacing w:after="0" w:line="240" w:lineRule="auto"/>
        <w:jc w:val="both"/>
        <w:rPr>
          <w:rFonts w:ascii="Times New Roman" w:hAnsi="Times New Roman"/>
          <w:sz w:val="20"/>
          <w:szCs w:val="20"/>
        </w:rPr>
      </w:pPr>
    </w:p>
    <w:p w14:paraId="2282D394"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 xml:space="preserve">Except as disclosed under chapter titled </w:t>
      </w:r>
      <w:r w:rsidRPr="00712F3C">
        <w:rPr>
          <w:rFonts w:ascii="Times New Roman" w:hAnsi="Times New Roman"/>
          <w:b/>
          <w:i/>
          <w:sz w:val="20"/>
          <w:szCs w:val="20"/>
        </w:rPr>
        <w:t xml:space="preserve">“Our Management” </w:t>
      </w:r>
      <w:r w:rsidRPr="00712F3C">
        <w:rPr>
          <w:rFonts w:ascii="Times New Roman" w:hAnsi="Times New Roman"/>
          <w:sz w:val="20"/>
          <w:szCs w:val="20"/>
        </w:rPr>
        <w:t xml:space="preserve">beginning on page </w:t>
      </w:r>
      <w:r>
        <w:rPr>
          <w:rFonts w:ascii="Times New Roman" w:hAnsi="Times New Roman"/>
          <w:sz w:val="20"/>
          <w:szCs w:val="20"/>
        </w:rPr>
        <w:t>111</w:t>
      </w:r>
      <w:r w:rsidRPr="00712F3C">
        <w:rPr>
          <w:rFonts w:ascii="Times New Roman" w:hAnsi="Times New Roman"/>
          <w:sz w:val="20"/>
          <w:szCs w:val="20"/>
        </w:rPr>
        <w:t xml:space="preserve"> and chapter </w:t>
      </w:r>
      <w:r w:rsidRPr="00712F3C">
        <w:rPr>
          <w:rFonts w:ascii="Times New Roman" w:hAnsi="Times New Roman"/>
          <w:b/>
          <w:i/>
          <w:sz w:val="20"/>
          <w:szCs w:val="20"/>
        </w:rPr>
        <w:t>“Financial Information”</w:t>
      </w:r>
      <w:r w:rsidRPr="00712F3C">
        <w:rPr>
          <w:rFonts w:ascii="Times New Roman" w:hAnsi="Times New Roman"/>
          <w:sz w:val="20"/>
          <w:szCs w:val="20"/>
        </w:rPr>
        <w:t xml:space="preserve"> beginning on page </w:t>
      </w:r>
      <w:r>
        <w:rPr>
          <w:rFonts w:ascii="Times New Roman" w:hAnsi="Times New Roman"/>
          <w:sz w:val="20"/>
          <w:szCs w:val="20"/>
        </w:rPr>
        <w:t>130</w:t>
      </w:r>
      <w:r w:rsidRPr="00712F3C">
        <w:rPr>
          <w:rFonts w:ascii="Times New Roman" w:hAnsi="Times New Roman"/>
          <w:sz w:val="20"/>
          <w:szCs w:val="20"/>
        </w:rPr>
        <w:t xml:space="preserve"> of this Draft Red Herring Prospectus none of the beneficiaries of loans and advances and sundry debtors are related to the Directors of our Company.  </w:t>
      </w:r>
    </w:p>
    <w:p w14:paraId="0FFBACBC" w14:textId="77777777" w:rsidR="004047F2" w:rsidRPr="00712F3C" w:rsidRDefault="004047F2" w:rsidP="004047F2">
      <w:pPr>
        <w:spacing w:after="0" w:line="240" w:lineRule="auto"/>
        <w:jc w:val="both"/>
        <w:rPr>
          <w:rFonts w:ascii="Times New Roman" w:hAnsi="Times New Roman"/>
          <w:sz w:val="20"/>
          <w:szCs w:val="20"/>
        </w:rPr>
      </w:pPr>
    </w:p>
    <w:p w14:paraId="451E6537"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b/>
          <w:sz w:val="20"/>
          <w:szCs w:val="20"/>
        </w:rPr>
        <w:t>Exemption from complying with any provisions of securities laws, if any</w:t>
      </w:r>
    </w:p>
    <w:p w14:paraId="3A1DBC4F" w14:textId="77777777" w:rsidR="004047F2" w:rsidRPr="00712F3C" w:rsidRDefault="004047F2" w:rsidP="004047F2">
      <w:pPr>
        <w:spacing w:after="0" w:line="240" w:lineRule="auto"/>
        <w:jc w:val="both"/>
        <w:rPr>
          <w:rFonts w:ascii="Times New Roman" w:hAnsi="Times New Roman"/>
          <w:sz w:val="20"/>
          <w:szCs w:val="20"/>
        </w:rPr>
      </w:pPr>
    </w:p>
    <w:p w14:paraId="21CDE78F" w14:textId="77777777" w:rsidR="004047F2" w:rsidRPr="00712F3C" w:rsidRDefault="004047F2" w:rsidP="004047F2">
      <w:pPr>
        <w:spacing w:after="0" w:line="240" w:lineRule="auto"/>
        <w:rPr>
          <w:rFonts w:ascii="Times New Roman" w:hAnsi="Times New Roman"/>
        </w:rPr>
      </w:pPr>
      <w:r w:rsidRPr="00712F3C">
        <w:rPr>
          <w:rFonts w:ascii="Times New Roman" w:hAnsi="Times New Roman"/>
          <w:sz w:val="20"/>
          <w:szCs w:val="20"/>
        </w:rPr>
        <w:t>As on date of the Draft Red Herring Prospectus, our Company has not availed any exemption from complying with any provisions of securities laws granted by SEBI.</w:t>
      </w:r>
      <w:r w:rsidRPr="00712F3C">
        <w:rPr>
          <w:rFonts w:ascii="Times New Roman" w:hAnsi="Times New Roman"/>
          <w:iCs/>
          <w:sz w:val="20"/>
          <w:szCs w:val="20"/>
        </w:rPr>
        <w:br w:type="page"/>
      </w:r>
    </w:p>
    <w:p w14:paraId="73393003" w14:textId="77777777" w:rsidR="004047F2" w:rsidRPr="00712F3C" w:rsidRDefault="004047F2" w:rsidP="004047F2">
      <w:pPr>
        <w:spacing w:after="0" w:line="240" w:lineRule="auto"/>
        <w:jc w:val="center"/>
        <w:rPr>
          <w:rFonts w:ascii="Times New Roman" w:hAnsi="Times New Roman"/>
          <w:b/>
          <w:sz w:val="20"/>
          <w:szCs w:val="20"/>
          <w:u w:val="single"/>
        </w:rPr>
      </w:pPr>
      <w:r w:rsidRPr="00712F3C">
        <w:rPr>
          <w:rFonts w:ascii="Times New Roman" w:hAnsi="Times New Roman"/>
          <w:b/>
          <w:sz w:val="20"/>
          <w:szCs w:val="20"/>
          <w:u w:val="single"/>
        </w:rPr>
        <w:lastRenderedPageBreak/>
        <w:t>SECTION VIII: ISSUE RELATED INFORMATION</w:t>
      </w:r>
    </w:p>
    <w:p w14:paraId="73F3E5D6" w14:textId="77777777" w:rsidR="004047F2" w:rsidRPr="00712F3C" w:rsidRDefault="004047F2" w:rsidP="004047F2">
      <w:pPr>
        <w:spacing w:after="0" w:line="240" w:lineRule="auto"/>
        <w:jc w:val="center"/>
        <w:rPr>
          <w:rFonts w:ascii="Times New Roman" w:hAnsi="Times New Roman"/>
          <w:b/>
          <w:bCs/>
          <w:sz w:val="20"/>
          <w:szCs w:val="20"/>
          <w:u w:val="single"/>
        </w:rPr>
      </w:pPr>
    </w:p>
    <w:p w14:paraId="6EC54198" w14:textId="77777777" w:rsidR="004047F2" w:rsidRPr="00712F3C" w:rsidRDefault="004047F2" w:rsidP="004047F2">
      <w:pPr>
        <w:keepNext/>
        <w:keepLines/>
        <w:spacing w:after="0" w:line="240" w:lineRule="auto"/>
        <w:jc w:val="center"/>
        <w:outlineLvl w:val="2"/>
        <w:rPr>
          <w:rFonts w:ascii="Times New Roman" w:hAnsi="Times New Roman"/>
          <w:b/>
          <w:sz w:val="20"/>
          <w:szCs w:val="20"/>
          <w:u w:val="single"/>
        </w:rPr>
      </w:pPr>
      <w:r w:rsidRPr="00712F3C">
        <w:rPr>
          <w:rFonts w:ascii="Times New Roman" w:hAnsi="Times New Roman"/>
          <w:b/>
          <w:sz w:val="20"/>
          <w:szCs w:val="20"/>
          <w:u w:val="single"/>
        </w:rPr>
        <w:t xml:space="preserve">TERMS OF THE ISSUE </w:t>
      </w:r>
    </w:p>
    <w:p w14:paraId="207251FE" w14:textId="77777777" w:rsidR="004047F2" w:rsidRPr="00712F3C" w:rsidRDefault="004047F2" w:rsidP="004047F2">
      <w:pPr>
        <w:spacing w:after="0" w:line="240" w:lineRule="auto"/>
        <w:rPr>
          <w:rFonts w:ascii="Times New Roman" w:eastAsia="Calibri" w:hAnsi="Times New Roman"/>
          <w:sz w:val="20"/>
          <w:szCs w:val="20"/>
        </w:rPr>
      </w:pPr>
    </w:p>
    <w:p w14:paraId="5CC034CB" w14:textId="77777777" w:rsidR="004047F2" w:rsidRPr="00712F3C" w:rsidRDefault="004047F2" w:rsidP="004047F2">
      <w:pPr>
        <w:widowControl w:val="0"/>
        <w:spacing w:after="0" w:line="240" w:lineRule="auto"/>
        <w:jc w:val="both"/>
        <w:rPr>
          <w:rFonts w:ascii="Times New Roman" w:eastAsia="Calibri" w:hAnsi="Times New Roman"/>
          <w:bCs/>
          <w:i/>
          <w:iCs/>
          <w:sz w:val="20"/>
          <w:szCs w:val="20"/>
          <w:lang w:bidi="en-US"/>
        </w:rPr>
      </w:pPr>
      <w:r w:rsidRPr="00712F3C">
        <w:rPr>
          <w:rFonts w:ascii="Times New Roman" w:eastAsia="Calibri" w:hAnsi="Times New Roman"/>
          <w:bCs/>
          <w:i/>
          <w:iCs/>
          <w:sz w:val="20"/>
          <w:szCs w:val="20"/>
          <w:lang w:bidi="en-US"/>
        </w:rPr>
        <w:t>The Equity Shares being Issued are subject to the provisions of the Companies Act, SCRA, SCRR, SEBI (ICDR) Regulations, the SEBI Listing Regulations, our Memorandum and Articles of Association, the terms of the Draft Red Herring Prospectus, Prospectus, Application Form, any Confirmation of Allocation Note (“CAN”), the Revision Form, Allotment advices, and other terms and conditions as may be incorporated in the Allotment advices and other documents/certificates that may be executed in respect of the Issue. The Equity Shares shall also be subject to all applicable laws, guidelines, rules, notifications and regulations relating to the issue of capital and listing and trading of securities issued from time to time by SEBI, the GoI, the Stock Exchange, the RoC, the RBI and/or other authorities, as in force on the date of the Issue and to the extent applicable or such other conditions as may be prescribed by SEBI, RBI, the GoI, the Stock Exchange, the RoC and/or any other authorities while granting its approval for the Issue.</w:t>
      </w:r>
    </w:p>
    <w:p w14:paraId="54B64070" w14:textId="77777777" w:rsidR="004047F2" w:rsidRPr="00712F3C" w:rsidRDefault="004047F2" w:rsidP="004047F2">
      <w:pPr>
        <w:widowControl w:val="0"/>
        <w:spacing w:after="0" w:line="240" w:lineRule="auto"/>
        <w:jc w:val="both"/>
        <w:rPr>
          <w:rFonts w:ascii="Times New Roman" w:eastAsia="Calibri" w:hAnsi="Times New Roman"/>
          <w:bCs/>
          <w:i/>
          <w:iCs/>
          <w:sz w:val="20"/>
          <w:szCs w:val="20"/>
          <w:lang w:bidi="en-US"/>
        </w:rPr>
      </w:pPr>
    </w:p>
    <w:p w14:paraId="6ED2E9B8" w14:textId="77777777" w:rsidR="004047F2" w:rsidRPr="00712F3C" w:rsidRDefault="004047F2" w:rsidP="004047F2">
      <w:pPr>
        <w:widowControl w:val="0"/>
        <w:spacing w:after="0" w:line="240" w:lineRule="auto"/>
        <w:jc w:val="both"/>
        <w:rPr>
          <w:rFonts w:ascii="Times New Roman" w:hAnsi="Times New Roman"/>
          <w:bCs/>
          <w:i/>
          <w:iCs/>
          <w:sz w:val="20"/>
          <w:szCs w:val="20"/>
          <w:lang w:bidi="en-US"/>
        </w:rPr>
      </w:pPr>
      <w:r w:rsidRPr="00712F3C">
        <w:rPr>
          <w:rFonts w:ascii="Times New Roman" w:hAnsi="Times New Roman"/>
          <w:bCs/>
          <w:i/>
          <w:iCs/>
          <w:sz w:val="20"/>
          <w:szCs w:val="20"/>
          <w:lang w:bidi="en-US"/>
        </w:rPr>
        <w:t>Please note that, in terms of SEBI Circular No. CIR/CFD/POLICYCELL/11/2015 dated November 10, 2015 and the SEBI (Issue of Capital and Disclosure Requirements) Regulations, 2018, all the investors applying in a public issue shall use only Application Supported by Blocked Amount (ASBA) process for application providing details of the bank account which will be blocked by the Self Certified Syndicate Banks (SCSBs) for the same. Further, SEBI through its circular no. SEBI/HO/CFD/DIL2/CIR/P/2018/138 dated November 1, 2018 read with its circular no. SEBI/HO/CFD/DIL2/CIR/P/2019/50 dated April 3, 2019, circular no. SEBI/HO/CFD/DIL2/CIR/P/2019/76 dated June 28, 2019, circular (SEBI/HO/CFD/DIL2/CIR/P/2019/85) dated July 26, 2019 and circular (SEBI/HO/CFD/DCR2/CIR/P/2019/133) dated November 8, 2019, the circular no. SEBI/HO/CFD/DIL2/CIR/P/2020/50 dated March 30, 2020, SEBI circular no. SEBI/HO/CFD/DIL1/CIR/P/2021/47 dated March 31, 2021 and any subsequent circulars issued by SEBI in this regard, SEBI has introduced an alternate payment mechanism using Unified Payments Interface (UPI) and consequent reduction in timelines for listing in a phased manner. From January 1, 2019, the UPI Mechanism for RIIs applying through Designated Intermediaries was made effective along with the existing process and existing timeline of T+6 days. (“UPI Phase I”). The UPI Phase I was effective till June 30, 2019. With effect from July 1, 2019, with respect to Application by retail individual investors through Designated Intermediaries (other than SCSBs), the existing process of physical movement of forms from such Designated Intermediaries to SCSBs for blocking of funds has been discontinued and only the UPI Mechanism for such Applicants with existing timeline of T+6 days will continue for a period of three months or launch of five main board public issues, whichever is later (“UPI Phase II”). Subsequently, the final reduced timeline will be made effective using the UPI Mechanism for applications by retail individual investors (“UPI Phase III”), as may be prescribed by SEBI.</w:t>
      </w:r>
    </w:p>
    <w:p w14:paraId="2C5D1A4D" w14:textId="77777777" w:rsidR="004047F2" w:rsidRPr="00712F3C" w:rsidRDefault="004047F2" w:rsidP="004047F2">
      <w:pPr>
        <w:widowControl w:val="0"/>
        <w:spacing w:after="0" w:line="240" w:lineRule="auto"/>
        <w:jc w:val="both"/>
        <w:rPr>
          <w:rFonts w:ascii="Times New Roman" w:hAnsi="Times New Roman"/>
          <w:bCs/>
          <w:i/>
          <w:iCs/>
          <w:sz w:val="20"/>
          <w:szCs w:val="20"/>
          <w:lang w:bidi="en-US"/>
        </w:rPr>
      </w:pPr>
    </w:p>
    <w:p w14:paraId="0AC6C987" w14:textId="77777777" w:rsidR="004047F2" w:rsidRPr="00712F3C" w:rsidRDefault="004047F2" w:rsidP="004047F2">
      <w:pPr>
        <w:widowControl w:val="0"/>
        <w:spacing w:after="0" w:line="240" w:lineRule="auto"/>
        <w:jc w:val="both"/>
        <w:rPr>
          <w:rFonts w:ascii="Times New Roman" w:eastAsia="Calibri" w:hAnsi="Times New Roman"/>
          <w:bCs/>
          <w:i/>
          <w:iCs/>
          <w:sz w:val="20"/>
          <w:szCs w:val="20"/>
          <w:lang w:bidi="en-US"/>
        </w:rPr>
      </w:pPr>
      <w:r w:rsidRPr="00712F3C">
        <w:rPr>
          <w:rFonts w:ascii="Times New Roman" w:hAnsi="Times New Roman"/>
          <w:bCs/>
          <w:i/>
          <w:iCs/>
          <w:sz w:val="20"/>
          <w:szCs w:val="20"/>
          <w:lang w:bidi="en-US"/>
        </w:rPr>
        <w:t>Further vide the said circular Registrar to the Issue and Depository Participants have been also authorized to collect the Bid-cum-Application forms. Investor may visit the official website of the concerned for any information on operational utilization of this facility of form collection by the Registrar to the Issue and Depository Participants as and when the same is made available.</w:t>
      </w:r>
    </w:p>
    <w:p w14:paraId="072DF373" w14:textId="77777777" w:rsidR="004047F2" w:rsidRPr="00712F3C" w:rsidRDefault="004047F2" w:rsidP="004047F2">
      <w:pPr>
        <w:widowControl w:val="0"/>
        <w:spacing w:after="0" w:line="240" w:lineRule="auto"/>
        <w:jc w:val="both"/>
        <w:rPr>
          <w:rFonts w:ascii="Times New Roman" w:eastAsia="Calibri" w:hAnsi="Times New Roman"/>
          <w:b/>
          <w:bCs/>
          <w:sz w:val="20"/>
          <w:szCs w:val="20"/>
          <w:lang w:bidi="en-US"/>
        </w:rPr>
      </w:pPr>
    </w:p>
    <w:p w14:paraId="08E1271F" w14:textId="77777777" w:rsidR="004047F2" w:rsidRPr="00712F3C" w:rsidRDefault="004047F2" w:rsidP="004047F2">
      <w:pPr>
        <w:widowControl w:val="0"/>
        <w:spacing w:after="0" w:line="240" w:lineRule="auto"/>
        <w:jc w:val="both"/>
        <w:rPr>
          <w:rFonts w:ascii="Times New Roman" w:eastAsia="Calibri" w:hAnsi="Times New Roman"/>
          <w:b/>
          <w:bCs/>
          <w:sz w:val="20"/>
          <w:szCs w:val="20"/>
          <w:lang w:bidi="en-US"/>
        </w:rPr>
      </w:pPr>
      <w:r w:rsidRPr="00712F3C">
        <w:rPr>
          <w:rFonts w:ascii="Times New Roman" w:eastAsia="Calibri" w:hAnsi="Times New Roman"/>
          <w:b/>
          <w:bCs/>
          <w:sz w:val="20"/>
          <w:szCs w:val="20"/>
          <w:lang w:bidi="en-US"/>
        </w:rPr>
        <w:t>Authority for the Issue</w:t>
      </w:r>
    </w:p>
    <w:p w14:paraId="40A68769" w14:textId="77777777" w:rsidR="004047F2" w:rsidRPr="00712F3C" w:rsidRDefault="004047F2" w:rsidP="004047F2">
      <w:pPr>
        <w:widowControl w:val="0"/>
        <w:spacing w:after="0" w:line="240" w:lineRule="auto"/>
        <w:rPr>
          <w:rFonts w:ascii="Times New Roman" w:eastAsia="Calibri" w:hAnsi="Times New Roman"/>
          <w:bCs/>
          <w:sz w:val="20"/>
          <w:szCs w:val="20"/>
          <w:lang w:bidi="en-US"/>
        </w:rPr>
      </w:pPr>
    </w:p>
    <w:p w14:paraId="4FA594FF" w14:textId="25B879F0" w:rsidR="004047F2" w:rsidRPr="00712F3C" w:rsidRDefault="004047F2" w:rsidP="004047F2">
      <w:pPr>
        <w:widowControl w:val="0"/>
        <w:spacing w:after="0" w:line="240" w:lineRule="auto"/>
        <w:jc w:val="both"/>
        <w:rPr>
          <w:rFonts w:ascii="Times New Roman" w:eastAsia="Calibri" w:hAnsi="Times New Roman"/>
          <w:bCs/>
          <w:sz w:val="20"/>
          <w:szCs w:val="20"/>
          <w:lang w:bidi="en-US"/>
        </w:rPr>
      </w:pPr>
      <w:r w:rsidRPr="00712F3C">
        <w:rPr>
          <w:rFonts w:ascii="Times New Roman" w:eastAsia="Calibri" w:hAnsi="Times New Roman"/>
          <w:bCs/>
          <w:sz w:val="20"/>
          <w:szCs w:val="20"/>
          <w:lang w:bidi="en-US"/>
        </w:rPr>
        <w:t xml:space="preserve">The present Public Issue of upto </w:t>
      </w:r>
      <w:r w:rsidR="00142011">
        <w:rPr>
          <w:rFonts w:ascii="Times New Roman" w:eastAsia="Calibri" w:hAnsi="Times New Roman"/>
          <w:bCs/>
          <w:sz w:val="20"/>
          <w:szCs w:val="20"/>
          <w:lang w:bidi="en-US"/>
        </w:rPr>
        <w:t>49,92</w:t>
      </w:r>
      <w:r w:rsidRPr="00712F3C">
        <w:rPr>
          <w:rFonts w:ascii="Times New Roman" w:eastAsia="Calibri" w:hAnsi="Times New Roman"/>
          <w:bCs/>
          <w:sz w:val="20"/>
          <w:szCs w:val="20"/>
          <w:lang w:bidi="en-US"/>
        </w:rPr>
        <w:t xml:space="preserve">,000 Equity Shares has been authorized by a resolution of the Board of Directors of our Company at their meeting held on </w:t>
      </w:r>
      <w:r w:rsidR="00142011">
        <w:rPr>
          <w:rFonts w:ascii="Times New Roman" w:eastAsia="Calibri" w:hAnsi="Times New Roman"/>
          <w:bCs/>
          <w:sz w:val="20"/>
          <w:szCs w:val="20"/>
          <w:lang w:bidi="en-US"/>
        </w:rPr>
        <w:t>August 25, 2023</w:t>
      </w:r>
      <w:r w:rsidRPr="00712F3C">
        <w:rPr>
          <w:rFonts w:ascii="Times New Roman" w:eastAsia="Calibri" w:hAnsi="Times New Roman"/>
          <w:bCs/>
          <w:sz w:val="20"/>
          <w:szCs w:val="20"/>
          <w:lang w:bidi="en-US"/>
        </w:rPr>
        <w:t xml:space="preserve"> and was approved by the Shareholders of the Company by passing Special Resolution at the Extra Ordinary General Meeting held on </w:t>
      </w:r>
      <w:r w:rsidR="00142011">
        <w:rPr>
          <w:rFonts w:ascii="Times New Roman" w:eastAsia="Calibri" w:hAnsi="Times New Roman"/>
          <w:bCs/>
          <w:sz w:val="20"/>
          <w:szCs w:val="20"/>
          <w:lang w:bidi="en-US"/>
        </w:rPr>
        <w:t>August 25, 2023</w:t>
      </w:r>
      <w:r w:rsidR="00142011" w:rsidRPr="00712F3C">
        <w:rPr>
          <w:rFonts w:ascii="Times New Roman" w:eastAsia="Calibri" w:hAnsi="Times New Roman"/>
          <w:bCs/>
          <w:sz w:val="20"/>
          <w:szCs w:val="20"/>
          <w:lang w:bidi="en-US"/>
        </w:rPr>
        <w:t xml:space="preserve"> </w:t>
      </w:r>
      <w:r w:rsidRPr="00712F3C">
        <w:rPr>
          <w:rFonts w:ascii="Times New Roman" w:eastAsia="Calibri" w:hAnsi="Times New Roman"/>
          <w:bCs/>
          <w:sz w:val="20"/>
          <w:szCs w:val="20"/>
          <w:lang w:bidi="en-US"/>
        </w:rPr>
        <w:t>in accordance with the provisions of Section 62(1)(c) of the Companies Act, 2013.</w:t>
      </w:r>
    </w:p>
    <w:p w14:paraId="1E51C9EA" w14:textId="77777777" w:rsidR="004047F2" w:rsidRPr="00712F3C" w:rsidRDefault="004047F2" w:rsidP="004047F2">
      <w:pPr>
        <w:widowControl w:val="0"/>
        <w:spacing w:after="0" w:line="240" w:lineRule="auto"/>
        <w:rPr>
          <w:rFonts w:ascii="Times New Roman" w:eastAsia="Calibri" w:hAnsi="Times New Roman"/>
          <w:bCs/>
          <w:sz w:val="20"/>
          <w:szCs w:val="20"/>
          <w:lang w:bidi="en-US"/>
        </w:rPr>
      </w:pPr>
    </w:p>
    <w:p w14:paraId="42BBD03A" w14:textId="77777777" w:rsidR="004047F2" w:rsidRPr="00712F3C" w:rsidRDefault="004047F2" w:rsidP="004047F2">
      <w:pPr>
        <w:widowControl w:val="0"/>
        <w:spacing w:after="0" w:line="240" w:lineRule="auto"/>
        <w:jc w:val="both"/>
        <w:rPr>
          <w:rFonts w:ascii="Times New Roman" w:eastAsia="Calibri" w:hAnsi="Times New Roman"/>
          <w:b/>
          <w:bCs/>
          <w:sz w:val="20"/>
          <w:szCs w:val="20"/>
          <w:lang w:bidi="en-US"/>
        </w:rPr>
      </w:pPr>
      <w:r w:rsidRPr="00712F3C">
        <w:rPr>
          <w:rFonts w:ascii="Times New Roman" w:eastAsia="Calibri" w:hAnsi="Times New Roman"/>
          <w:b/>
          <w:bCs/>
          <w:sz w:val="20"/>
          <w:szCs w:val="20"/>
          <w:lang w:bidi="en-US"/>
        </w:rPr>
        <w:t>Ranking of Equity Shares</w:t>
      </w:r>
    </w:p>
    <w:p w14:paraId="3A302014" w14:textId="77777777" w:rsidR="004047F2" w:rsidRPr="00712F3C" w:rsidRDefault="004047F2" w:rsidP="004047F2">
      <w:pPr>
        <w:widowControl w:val="0"/>
        <w:spacing w:after="0" w:line="240" w:lineRule="auto"/>
        <w:rPr>
          <w:rFonts w:ascii="Times New Roman" w:eastAsia="Calibri" w:hAnsi="Times New Roman"/>
          <w:bCs/>
          <w:sz w:val="20"/>
          <w:szCs w:val="20"/>
          <w:lang w:bidi="en-US"/>
        </w:rPr>
      </w:pPr>
    </w:p>
    <w:p w14:paraId="634B8564" w14:textId="77777777" w:rsidR="004047F2" w:rsidRPr="00712F3C" w:rsidRDefault="004047F2" w:rsidP="004047F2">
      <w:pPr>
        <w:widowControl w:val="0"/>
        <w:spacing w:after="0" w:line="240" w:lineRule="auto"/>
        <w:jc w:val="both"/>
        <w:rPr>
          <w:rFonts w:ascii="Times New Roman" w:eastAsia="Calibri" w:hAnsi="Times New Roman"/>
          <w:bCs/>
          <w:sz w:val="20"/>
          <w:szCs w:val="20"/>
          <w:lang w:bidi="en-US"/>
        </w:rPr>
      </w:pPr>
      <w:r w:rsidRPr="00712F3C">
        <w:rPr>
          <w:rFonts w:ascii="Times New Roman" w:eastAsia="Calibri" w:hAnsi="Times New Roman"/>
          <w:bCs/>
          <w:sz w:val="20"/>
          <w:szCs w:val="20"/>
          <w:lang w:bidi="en-US"/>
        </w:rPr>
        <w:t xml:space="preserve">The Equity Shares being issued shall be subject to the provisions of the Companies Act, 2013 and our MOA and AOA and shall rank pari-passu in all respects with the existing Equity Shares of our Company including rights in respect of dividend. The Allottees, upon Allotment of Equity Shares under this Issue, will be entitled to receive dividends and other corporate benefits, if any, declared by our Company after the date of Allotment. For further details, please refer to section titled, </w:t>
      </w:r>
      <w:r w:rsidRPr="00712F3C">
        <w:rPr>
          <w:rFonts w:ascii="Times New Roman" w:eastAsia="Calibri" w:hAnsi="Times New Roman"/>
          <w:b/>
          <w:bCs/>
          <w:i/>
          <w:sz w:val="20"/>
          <w:szCs w:val="20"/>
          <w:lang w:bidi="en-US"/>
        </w:rPr>
        <w:t>“Main Provisions of Article of Association”</w:t>
      </w:r>
      <w:r w:rsidRPr="00712F3C">
        <w:rPr>
          <w:rFonts w:ascii="Times New Roman" w:eastAsia="Calibri" w:hAnsi="Times New Roman"/>
          <w:bCs/>
          <w:sz w:val="20"/>
          <w:szCs w:val="20"/>
          <w:lang w:bidi="en-US"/>
        </w:rPr>
        <w:t xml:space="preserve">, beginning on page </w:t>
      </w:r>
      <w:r>
        <w:rPr>
          <w:rFonts w:ascii="Times New Roman" w:eastAsia="Calibri" w:hAnsi="Times New Roman"/>
          <w:bCs/>
          <w:sz w:val="20"/>
          <w:szCs w:val="20"/>
          <w:lang w:bidi="en-US"/>
        </w:rPr>
        <w:t>243</w:t>
      </w:r>
      <w:r w:rsidRPr="00712F3C">
        <w:rPr>
          <w:rFonts w:ascii="Times New Roman" w:eastAsia="Calibri" w:hAnsi="Times New Roman"/>
          <w:bCs/>
          <w:sz w:val="20"/>
          <w:szCs w:val="20"/>
          <w:lang w:bidi="en-US"/>
        </w:rPr>
        <w:t xml:space="preserve"> of this Draft Red Herring Prospectus.</w:t>
      </w:r>
    </w:p>
    <w:p w14:paraId="63493D45" w14:textId="77777777" w:rsidR="004047F2" w:rsidRPr="00712F3C" w:rsidRDefault="004047F2" w:rsidP="004047F2">
      <w:pPr>
        <w:widowControl w:val="0"/>
        <w:spacing w:after="0" w:line="240" w:lineRule="auto"/>
        <w:jc w:val="both"/>
        <w:rPr>
          <w:rFonts w:ascii="Times New Roman" w:eastAsia="Calibri" w:hAnsi="Times New Roman"/>
          <w:bCs/>
          <w:sz w:val="20"/>
          <w:szCs w:val="20"/>
          <w:lang w:bidi="en-US"/>
        </w:rPr>
      </w:pPr>
    </w:p>
    <w:p w14:paraId="0BC06825" w14:textId="77777777" w:rsidR="004047F2" w:rsidRPr="00712F3C" w:rsidRDefault="004047F2" w:rsidP="004047F2">
      <w:pPr>
        <w:widowControl w:val="0"/>
        <w:spacing w:after="0" w:line="240" w:lineRule="auto"/>
        <w:jc w:val="both"/>
        <w:rPr>
          <w:rFonts w:ascii="Times New Roman" w:eastAsia="Calibri" w:hAnsi="Times New Roman"/>
          <w:b/>
          <w:bCs/>
          <w:sz w:val="20"/>
          <w:szCs w:val="20"/>
          <w:lang w:bidi="en-US"/>
        </w:rPr>
      </w:pPr>
      <w:r w:rsidRPr="00712F3C">
        <w:rPr>
          <w:rFonts w:ascii="Times New Roman" w:eastAsia="Calibri" w:hAnsi="Times New Roman"/>
          <w:b/>
          <w:bCs/>
          <w:sz w:val="20"/>
          <w:szCs w:val="20"/>
          <w:lang w:bidi="en-US"/>
        </w:rPr>
        <w:t>Mode of Payment of Dividend</w:t>
      </w:r>
    </w:p>
    <w:p w14:paraId="6F681261" w14:textId="77777777" w:rsidR="004047F2" w:rsidRPr="00712F3C" w:rsidRDefault="004047F2" w:rsidP="004047F2">
      <w:pPr>
        <w:widowControl w:val="0"/>
        <w:spacing w:after="0" w:line="240" w:lineRule="auto"/>
        <w:rPr>
          <w:rFonts w:ascii="Times New Roman" w:eastAsia="Calibri" w:hAnsi="Times New Roman"/>
          <w:bCs/>
          <w:sz w:val="20"/>
          <w:szCs w:val="20"/>
          <w:lang w:bidi="en-US"/>
        </w:rPr>
      </w:pPr>
    </w:p>
    <w:p w14:paraId="06960343" w14:textId="77777777" w:rsidR="004047F2" w:rsidRPr="00712F3C" w:rsidRDefault="004047F2" w:rsidP="004047F2">
      <w:pPr>
        <w:widowControl w:val="0"/>
        <w:spacing w:after="0" w:line="240" w:lineRule="auto"/>
        <w:jc w:val="both"/>
        <w:rPr>
          <w:rFonts w:ascii="Times New Roman" w:eastAsia="Calibri" w:hAnsi="Times New Roman"/>
          <w:bCs/>
          <w:sz w:val="20"/>
          <w:szCs w:val="20"/>
          <w:lang w:bidi="en-US"/>
        </w:rPr>
      </w:pPr>
      <w:r w:rsidRPr="00712F3C">
        <w:rPr>
          <w:rFonts w:ascii="Times New Roman" w:eastAsia="Calibri" w:hAnsi="Times New Roman"/>
          <w:bCs/>
          <w:sz w:val="20"/>
          <w:szCs w:val="20"/>
          <w:lang w:bidi="en-US"/>
        </w:rPr>
        <w:t>The declaration and payment of dividend will be as per the provisions of Companies Act, the Articles of Association, the provision of the SEBI (Listing Obligations and Disclosure Requirements) Regulations, 2015 and any other rules, regulations or guidelines as may be issued by the Government of India in con</w:t>
      </w:r>
      <w:r>
        <w:rPr>
          <w:rFonts w:ascii="Times New Roman" w:eastAsia="Calibri" w:hAnsi="Times New Roman"/>
          <w:bCs/>
          <w:sz w:val="20"/>
          <w:szCs w:val="20"/>
          <w:lang w:bidi="en-US"/>
        </w:rPr>
        <w:t xml:space="preserve">nection thereto and as per the </w:t>
      </w:r>
      <w:r w:rsidRPr="00712F3C">
        <w:rPr>
          <w:rFonts w:ascii="Times New Roman" w:eastAsia="Calibri" w:hAnsi="Times New Roman"/>
          <w:bCs/>
          <w:sz w:val="20"/>
          <w:szCs w:val="20"/>
          <w:lang w:bidi="en-US"/>
        </w:rPr>
        <w:t xml:space="preserve">recommendation by the Board of Directors and the Shareholders at their discretion and will depend on a number of factors, including but not limited to earnings, capital requirements and overall financial condition of our Company. We shall pay dividends in cash and as per provisions of the Companies Act and our Articles of Association. Further Interim Dividend (if any declared) will be approved by the Board of Directors. For further details, please refer to section titled </w:t>
      </w:r>
      <w:r w:rsidRPr="00712F3C">
        <w:rPr>
          <w:rFonts w:ascii="Times New Roman" w:eastAsia="Calibri" w:hAnsi="Times New Roman"/>
          <w:b/>
          <w:bCs/>
          <w:i/>
          <w:sz w:val="20"/>
          <w:szCs w:val="20"/>
          <w:lang w:bidi="en-US"/>
        </w:rPr>
        <w:t>“Dividend Policy”</w:t>
      </w:r>
      <w:r w:rsidRPr="00712F3C">
        <w:rPr>
          <w:rFonts w:ascii="Times New Roman" w:eastAsia="Calibri" w:hAnsi="Times New Roman"/>
          <w:bCs/>
          <w:sz w:val="20"/>
          <w:szCs w:val="20"/>
          <w:lang w:bidi="en-US"/>
        </w:rPr>
        <w:t xml:space="preserve"> and </w:t>
      </w:r>
      <w:r w:rsidRPr="00712F3C">
        <w:rPr>
          <w:rFonts w:ascii="Times New Roman" w:eastAsia="Calibri" w:hAnsi="Times New Roman"/>
          <w:b/>
          <w:bCs/>
          <w:i/>
          <w:sz w:val="20"/>
          <w:szCs w:val="20"/>
          <w:lang w:bidi="en-US"/>
        </w:rPr>
        <w:t>“Main Provisions of Article of Association”</w:t>
      </w:r>
      <w:r w:rsidRPr="00712F3C">
        <w:rPr>
          <w:rFonts w:ascii="Times New Roman" w:eastAsia="Calibri" w:hAnsi="Times New Roman"/>
          <w:bCs/>
          <w:sz w:val="20"/>
          <w:szCs w:val="20"/>
          <w:lang w:bidi="en-US"/>
        </w:rPr>
        <w:t xml:space="preserve"> beginning on page </w:t>
      </w:r>
      <w:r>
        <w:rPr>
          <w:rFonts w:ascii="Times New Roman" w:eastAsia="Calibri" w:hAnsi="Times New Roman"/>
          <w:bCs/>
          <w:sz w:val="20"/>
          <w:szCs w:val="20"/>
          <w:lang w:bidi="en-US"/>
        </w:rPr>
        <w:t>129</w:t>
      </w:r>
      <w:r w:rsidRPr="00712F3C">
        <w:rPr>
          <w:rFonts w:ascii="Times New Roman" w:eastAsia="Calibri" w:hAnsi="Times New Roman"/>
          <w:bCs/>
          <w:sz w:val="20"/>
          <w:szCs w:val="20"/>
          <w:lang w:bidi="en-US"/>
        </w:rPr>
        <w:t xml:space="preserve"> and 243 respectively of this Draft Red Herring Prospectus. </w:t>
      </w:r>
    </w:p>
    <w:p w14:paraId="4407C3BB" w14:textId="77777777" w:rsidR="004047F2" w:rsidRPr="00712F3C" w:rsidRDefault="004047F2" w:rsidP="004047F2">
      <w:pPr>
        <w:widowControl w:val="0"/>
        <w:spacing w:after="0" w:line="240" w:lineRule="auto"/>
        <w:rPr>
          <w:rFonts w:ascii="Times New Roman" w:eastAsia="Calibri" w:hAnsi="Times New Roman"/>
          <w:bCs/>
          <w:sz w:val="20"/>
          <w:szCs w:val="20"/>
          <w:lang w:bidi="en-US"/>
        </w:rPr>
      </w:pPr>
    </w:p>
    <w:p w14:paraId="78ECC515" w14:textId="77777777" w:rsidR="004047F2" w:rsidRPr="00712F3C" w:rsidRDefault="004047F2" w:rsidP="004047F2">
      <w:pPr>
        <w:widowControl w:val="0"/>
        <w:spacing w:after="0" w:line="240" w:lineRule="auto"/>
        <w:rPr>
          <w:rFonts w:ascii="Times New Roman" w:eastAsia="Calibri" w:hAnsi="Times New Roman"/>
          <w:bCs/>
          <w:sz w:val="20"/>
          <w:szCs w:val="20"/>
          <w:lang w:bidi="en-US"/>
        </w:rPr>
      </w:pPr>
    </w:p>
    <w:p w14:paraId="2E51A2E7" w14:textId="77777777" w:rsidR="004047F2" w:rsidRPr="00712F3C" w:rsidRDefault="004047F2" w:rsidP="004047F2">
      <w:pPr>
        <w:widowControl w:val="0"/>
        <w:spacing w:after="0" w:line="240" w:lineRule="auto"/>
        <w:rPr>
          <w:rFonts w:ascii="Times New Roman" w:eastAsia="Calibri" w:hAnsi="Times New Roman"/>
          <w:bCs/>
          <w:sz w:val="20"/>
          <w:szCs w:val="20"/>
          <w:lang w:bidi="en-US"/>
        </w:rPr>
      </w:pPr>
    </w:p>
    <w:p w14:paraId="0CE33D88" w14:textId="77777777" w:rsidR="004047F2" w:rsidRPr="00712F3C" w:rsidRDefault="004047F2" w:rsidP="004047F2">
      <w:pPr>
        <w:widowControl w:val="0"/>
        <w:spacing w:after="0" w:line="240" w:lineRule="auto"/>
        <w:jc w:val="both"/>
        <w:rPr>
          <w:rFonts w:ascii="Times New Roman" w:eastAsia="Calibri" w:hAnsi="Times New Roman"/>
          <w:b/>
          <w:bCs/>
          <w:sz w:val="20"/>
          <w:szCs w:val="20"/>
          <w:lang w:bidi="en-US"/>
        </w:rPr>
      </w:pPr>
      <w:r w:rsidRPr="00712F3C">
        <w:rPr>
          <w:rFonts w:ascii="Times New Roman" w:eastAsia="Calibri" w:hAnsi="Times New Roman"/>
          <w:b/>
          <w:bCs/>
          <w:sz w:val="20"/>
          <w:szCs w:val="20"/>
          <w:lang w:bidi="en-US"/>
        </w:rPr>
        <w:lastRenderedPageBreak/>
        <w:t>Face Value and Issue Price</w:t>
      </w:r>
    </w:p>
    <w:p w14:paraId="04BC3412" w14:textId="77777777" w:rsidR="004047F2" w:rsidRPr="00712F3C" w:rsidRDefault="004047F2" w:rsidP="004047F2">
      <w:pPr>
        <w:widowControl w:val="0"/>
        <w:spacing w:after="0" w:line="240" w:lineRule="auto"/>
        <w:rPr>
          <w:rFonts w:ascii="Times New Roman" w:eastAsia="Calibri" w:hAnsi="Times New Roman"/>
          <w:bCs/>
          <w:sz w:val="20"/>
          <w:szCs w:val="20"/>
          <w:lang w:bidi="en-US"/>
        </w:rPr>
      </w:pPr>
    </w:p>
    <w:p w14:paraId="432649B7" w14:textId="77777777" w:rsidR="004047F2" w:rsidRPr="00712F3C" w:rsidRDefault="004047F2" w:rsidP="004047F2">
      <w:pPr>
        <w:widowControl w:val="0"/>
        <w:spacing w:after="0" w:line="240" w:lineRule="auto"/>
        <w:jc w:val="both"/>
        <w:rPr>
          <w:rFonts w:ascii="Times New Roman" w:eastAsia="Calibri" w:hAnsi="Times New Roman"/>
          <w:bCs/>
          <w:sz w:val="20"/>
          <w:szCs w:val="20"/>
          <w:lang w:bidi="en-US"/>
        </w:rPr>
      </w:pPr>
      <w:r w:rsidRPr="00712F3C">
        <w:rPr>
          <w:rFonts w:ascii="Times New Roman" w:eastAsiaTheme="minorHAnsi" w:hAnsi="Times New Roman"/>
          <w:sz w:val="20"/>
          <w:szCs w:val="20"/>
        </w:rPr>
        <w:t xml:space="preserve">The face value of each Equity Share is ₹ 10.00 and the Issue Price at the lower end of the Price Band is ₹ </w:t>
      </w:r>
      <w:r w:rsidRPr="00712F3C">
        <w:rPr>
          <w:rFonts w:ascii="Times New Roman" w:eastAsia="Calibri" w:hAnsi="Times New Roman"/>
          <w:sz w:val="20"/>
          <w:szCs w:val="20"/>
        </w:rPr>
        <w:t>[●]</w:t>
      </w:r>
      <w:r w:rsidRPr="00712F3C">
        <w:rPr>
          <w:rFonts w:ascii="Times New Roman" w:eastAsiaTheme="minorHAnsi" w:hAnsi="Times New Roman"/>
          <w:sz w:val="20"/>
          <w:szCs w:val="20"/>
        </w:rPr>
        <w:t xml:space="preserve"> per Equity Share (“Floor Price”) and at the higher end of the Price Band is ₹ </w:t>
      </w:r>
      <w:r w:rsidRPr="00712F3C">
        <w:rPr>
          <w:rFonts w:ascii="Times New Roman" w:eastAsia="Calibri" w:hAnsi="Times New Roman"/>
          <w:sz w:val="20"/>
          <w:szCs w:val="20"/>
        </w:rPr>
        <w:t>[●]</w:t>
      </w:r>
      <w:r w:rsidRPr="00712F3C">
        <w:rPr>
          <w:rFonts w:ascii="Times New Roman" w:eastAsiaTheme="minorHAnsi" w:hAnsi="Times New Roman"/>
          <w:sz w:val="20"/>
          <w:szCs w:val="20"/>
        </w:rPr>
        <w:t xml:space="preserve"> per Equity Share (“Cap Price”). The Anchor Investor Issue Price is ₹ </w:t>
      </w:r>
      <w:r w:rsidRPr="00712F3C">
        <w:rPr>
          <w:rFonts w:ascii="Times New Roman" w:eastAsia="Calibri" w:hAnsi="Times New Roman"/>
          <w:sz w:val="20"/>
          <w:szCs w:val="20"/>
        </w:rPr>
        <w:t>[●]</w:t>
      </w:r>
      <w:r w:rsidRPr="00712F3C">
        <w:rPr>
          <w:rFonts w:ascii="Times New Roman" w:eastAsiaTheme="minorHAnsi" w:hAnsi="Times New Roman"/>
          <w:sz w:val="20"/>
          <w:szCs w:val="20"/>
        </w:rPr>
        <w:t xml:space="preserve"> per Equity Share.</w:t>
      </w:r>
      <w:r w:rsidRPr="00712F3C" w:rsidDel="003265BD">
        <w:rPr>
          <w:rFonts w:ascii="Times New Roman" w:eastAsia="Calibri" w:hAnsi="Times New Roman"/>
          <w:bCs/>
          <w:sz w:val="20"/>
          <w:szCs w:val="20"/>
          <w:lang w:bidi="en-US"/>
        </w:rPr>
        <w:t xml:space="preserve"> </w:t>
      </w:r>
    </w:p>
    <w:p w14:paraId="2EE6CDA5" w14:textId="77777777" w:rsidR="004047F2" w:rsidRPr="00712F3C" w:rsidRDefault="004047F2" w:rsidP="004047F2">
      <w:pPr>
        <w:widowControl w:val="0"/>
        <w:spacing w:after="0" w:line="240" w:lineRule="auto"/>
        <w:jc w:val="both"/>
        <w:rPr>
          <w:rFonts w:ascii="Times New Roman" w:eastAsia="Calibri" w:hAnsi="Times New Roman"/>
          <w:bCs/>
          <w:sz w:val="20"/>
          <w:szCs w:val="20"/>
          <w:lang w:bidi="en-US"/>
        </w:rPr>
      </w:pPr>
    </w:p>
    <w:p w14:paraId="676BF673" w14:textId="7676F793" w:rsidR="004047F2" w:rsidRPr="00712F3C" w:rsidRDefault="004047F2" w:rsidP="004047F2">
      <w:pPr>
        <w:widowControl w:val="0"/>
        <w:spacing w:after="0" w:line="240" w:lineRule="auto"/>
        <w:jc w:val="both"/>
        <w:rPr>
          <w:rFonts w:ascii="Times New Roman" w:eastAsia="Calibri" w:hAnsi="Times New Roman"/>
          <w:bCs/>
          <w:sz w:val="20"/>
          <w:szCs w:val="20"/>
          <w:lang w:bidi="en-US"/>
        </w:rPr>
      </w:pPr>
      <w:r w:rsidRPr="00712F3C">
        <w:rPr>
          <w:rFonts w:ascii="Times New Roman" w:eastAsia="Calibri" w:hAnsi="Times New Roman"/>
          <w:bCs/>
          <w:sz w:val="20"/>
          <w:szCs w:val="20"/>
          <w:lang w:bidi="en-US"/>
        </w:rPr>
        <w:t xml:space="preserve">The Price Band and the minimum Bid Lot size will be decided by our Company in consultation with the BRLM, and will be advertised, at least two Working Days prior to the Bid/ Issue Opening Date, in all editions of [●], an </w:t>
      </w:r>
      <w:r w:rsidR="00D83D95" w:rsidRPr="00D83D95">
        <w:rPr>
          <w:rFonts w:ascii="Times New Roman" w:eastAsia="Calibri" w:hAnsi="Times New Roman"/>
          <w:bCs/>
          <w:sz w:val="20"/>
          <w:szCs w:val="20"/>
          <w:lang w:bidi="en-US"/>
        </w:rPr>
        <w:t xml:space="preserve">English national daily newspaper and all editions of [●], a Hindi national daily newspaper and Jamnagar edition of [●], a regional newspaper each with wide circulation </w:t>
      </w:r>
      <w:r w:rsidRPr="00712F3C">
        <w:rPr>
          <w:rFonts w:ascii="Times New Roman" w:eastAsia="Calibri" w:hAnsi="Times New Roman"/>
          <w:bCs/>
          <w:sz w:val="20"/>
          <w:szCs w:val="20"/>
          <w:lang w:bidi="en-US"/>
        </w:rPr>
        <w:t xml:space="preserve">and shall be made available to the Stock Exchange for the purpose of uploading on its website. The Price Band, along with the relevant financial ratios calculated at the Floor Price and at the Cap Price, shall be pre filled in the Bid cum Application Forms available on the website of the Stock Exchange. The Issue Price shall be determined by our Company and in consultation with the BRLM, after the Bid/ Issue Closing Date, on the basis of assessment of market demand for the Equity Shares offered by way of Book Building Process. </w:t>
      </w:r>
      <w:r w:rsidRPr="00712F3C">
        <w:rPr>
          <w:rFonts w:ascii="Times New Roman" w:hAnsi="Times New Roman"/>
          <w:bCs/>
          <w:color w:val="000000"/>
          <w:sz w:val="20"/>
          <w:szCs w:val="20"/>
        </w:rPr>
        <w:t>At any given point of time there shall be only one denomination of the Equity Shares of our Company, subject to applicable laws</w:t>
      </w:r>
      <w:r w:rsidRPr="00712F3C">
        <w:rPr>
          <w:rFonts w:ascii="Times New Roman" w:eastAsia="Calibri" w:hAnsi="Times New Roman"/>
          <w:bCs/>
          <w:sz w:val="20"/>
          <w:szCs w:val="20"/>
          <w:lang w:bidi="en-US"/>
        </w:rPr>
        <w:t>.</w:t>
      </w:r>
    </w:p>
    <w:p w14:paraId="33DA8CDE" w14:textId="77777777" w:rsidR="004047F2" w:rsidRPr="00712F3C" w:rsidRDefault="004047F2" w:rsidP="004047F2">
      <w:pPr>
        <w:widowControl w:val="0"/>
        <w:spacing w:after="0" w:line="240" w:lineRule="auto"/>
        <w:jc w:val="both"/>
        <w:outlineLvl w:val="0"/>
        <w:rPr>
          <w:rFonts w:ascii="Times New Roman" w:eastAsia="Calibri" w:hAnsi="Times New Roman"/>
          <w:b/>
          <w:bCs/>
          <w:sz w:val="20"/>
          <w:szCs w:val="20"/>
          <w:lang w:bidi="en-US"/>
        </w:rPr>
      </w:pPr>
    </w:p>
    <w:p w14:paraId="625AFA7C" w14:textId="77777777" w:rsidR="004047F2" w:rsidRPr="00712F3C" w:rsidRDefault="004047F2" w:rsidP="004047F2">
      <w:pPr>
        <w:widowControl w:val="0"/>
        <w:spacing w:after="0" w:line="240" w:lineRule="auto"/>
        <w:jc w:val="both"/>
        <w:rPr>
          <w:rFonts w:ascii="Times New Roman" w:eastAsia="Calibri" w:hAnsi="Times New Roman"/>
          <w:b/>
          <w:bCs/>
          <w:sz w:val="20"/>
          <w:szCs w:val="20"/>
          <w:lang w:bidi="en-US"/>
        </w:rPr>
      </w:pPr>
      <w:r w:rsidRPr="00712F3C">
        <w:rPr>
          <w:rFonts w:ascii="Times New Roman" w:eastAsia="Calibri" w:hAnsi="Times New Roman"/>
          <w:b/>
          <w:bCs/>
          <w:sz w:val="20"/>
          <w:szCs w:val="20"/>
          <w:lang w:bidi="en-US"/>
        </w:rPr>
        <w:t xml:space="preserve">Compliance with SEBI ICDR Regulations, 2018 </w:t>
      </w:r>
    </w:p>
    <w:p w14:paraId="57485F15" w14:textId="77777777" w:rsidR="004047F2" w:rsidRPr="00712F3C" w:rsidRDefault="004047F2" w:rsidP="004047F2">
      <w:pPr>
        <w:widowControl w:val="0"/>
        <w:spacing w:after="0" w:line="240" w:lineRule="auto"/>
        <w:jc w:val="both"/>
        <w:rPr>
          <w:rFonts w:ascii="Times New Roman" w:eastAsia="Calibri" w:hAnsi="Times New Roman"/>
          <w:b/>
          <w:bCs/>
          <w:sz w:val="20"/>
          <w:szCs w:val="20"/>
          <w:lang w:bidi="en-US"/>
        </w:rPr>
      </w:pPr>
    </w:p>
    <w:p w14:paraId="0E748206" w14:textId="77777777" w:rsidR="004047F2" w:rsidRPr="00712F3C" w:rsidRDefault="004047F2" w:rsidP="004047F2">
      <w:pPr>
        <w:widowControl w:val="0"/>
        <w:spacing w:after="0" w:line="240" w:lineRule="auto"/>
        <w:jc w:val="both"/>
        <w:rPr>
          <w:rFonts w:ascii="Times New Roman" w:eastAsia="Calibri" w:hAnsi="Times New Roman"/>
          <w:bCs/>
          <w:sz w:val="20"/>
          <w:szCs w:val="20"/>
          <w:lang w:bidi="en-US"/>
        </w:rPr>
      </w:pPr>
      <w:r w:rsidRPr="00712F3C">
        <w:rPr>
          <w:rFonts w:ascii="Times New Roman" w:eastAsia="Calibri" w:hAnsi="Times New Roman"/>
          <w:bCs/>
          <w:sz w:val="20"/>
          <w:szCs w:val="20"/>
          <w:lang w:bidi="en-US"/>
        </w:rPr>
        <w:t xml:space="preserve">Our Company shall comply with all requirements of the SEBI (ICDR) Regulations. Our Company shall comply with all disclosure and accounting norms as specified by SEBI from time to time. </w:t>
      </w:r>
    </w:p>
    <w:p w14:paraId="26ACC80B" w14:textId="77777777" w:rsidR="004047F2" w:rsidRPr="00712F3C" w:rsidRDefault="004047F2" w:rsidP="004047F2">
      <w:pPr>
        <w:widowControl w:val="0"/>
        <w:spacing w:after="0" w:line="240" w:lineRule="auto"/>
        <w:jc w:val="both"/>
        <w:rPr>
          <w:rFonts w:ascii="Times New Roman" w:eastAsia="Calibri" w:hAnsi="Times New Roman"/>
          <w:bCs/>
          <w:sz w:val="20"/>
          <w:szCs w:val="20"/>
          <w:lang w:bidi="en-US"/>
        </w:rPr>
      </w:pPr>
    </w:p>
    <w:p w14:paraId="4D8319C0" w14:textId="77777777" w:rsidR="004047F2" w:rsidRPr="00712F3C" w:rsidRDefault="004047F2" w:rsidP="004047F2">
      <w:pPr>
        <w:widowControl w:val="0"/>
        <w:spacing w:after="0" w:line="240" w:lineRule="auto"/>
        <w:jc w:val="both"/>
        <w:rPr>
          <w:rFonts w:ascii="Times New Roman" w:eastAsia="Calibri" w:hAnsi="Times New Roman"/>
          <w:b/>
          <w:sz w:val="20"/>
          <w:szCs w:val="20"/>
        </w:rPr>
      </w:pPr>
      <w:r w:rsidRPr="00712F3C">
        <w:rPr>
          <w:rFonts w:ascii="Times New Roman" w:eastAsia="Calibri" w:hAnsi="Times New Roman"/>
          <w:b/>
          <w:sz w:val="20"/>
          <w:szCs w:val="20"/>
        </w:rPr>
        <w:t xml:space="preserve">Compliance with Disclosure and Accounting Norms </w:t>
      </w:r>
    </w:p>
    <w:p w14:paraId="397FA6BA" w14:textId="77777777" w:rsidR="004047F2" w:rsidRPr="00712F3C" w:rsidRDefault="004047F2" w:rsidP="004047F2">
      <w:pPr>
        <w:widowControl w:val="0"/>
        <w:spacing w:after="0" w:line="240" w:lineRule="auto"/>
        <w:jc w:val="both"/>
        <w:rPr>
          <w:rFonts w:ascii="Times New Roman" w:eastAsia="Calibri" w:hAnsi="Times New Roman"/>
          <w:sz w:val="20"/>
          <w:szCs w:val="20"/>
        </w:rPr>
      </w:pPr>
    </w:p>
    <w:p w14:paraId="712C0E73" w14:textId="77777777" w:rsidR="004047F2" w:rsidRPr="00712F3C" w:rsidRDefault="004047F2" w:rsidP="004047F2">
      <w:pPr>
        <w:widowControl w:val="0"/>
        <w:spacing w:after="0" w:line="240" w:lineRule="auto"/>
        <w:jc w:val="both"/>
        <w:rPr>
          <w:rFonts w:ascii="Times New Roman" w:eastAsia="Calibri" w:hAnsi="Times New Roman"/>
          <w:bCs/>
          <w:sz w:val="20"/>
          <w:szCs w:val="20"/>
          <w:lang w:bidi="en-US"/>
        </w:rPr>
      </w:pPr>
      <w:r w:rsidRPr="00712F3C">
        <w:rPr>
          <w:rFonts w:ascii="Times New Roman" w:eastAsia="Calibri" w:hAnsi="Times New Roman"/>
          <w:sz w:val="20"/>
          <w:szCs w:val="20"/>
        </w:rPr>
        <w:t>Our Company shall comply with all disclosure and accounting norms as specified by SEBI from time to time.</w:t>
      </w:r>
    </w:p>
    <w:p w14:paraId="42334CA9" w14:textId="77777777" w:rsidR="004047F2" w:rsidRPr="00712F3C" w:rsidRDefault="004047F2" w:rsidP="004047F2">
      <w:pPr>
        <w:widowControl w:val="0"/>
        <w:spacing w:after="0" w:line="240" w:lineRule="auto"/>
        <w:jc w:val="both"/>
        <w:rPr>
          <w:rFonts w:ascii="Times New Roman" w:eastAsia="Calibri" w:hAnsi="Times New Roman"/>
          <w:bCs/>
          <w:sz w:val="20"/>
          <w:szCs w:val="20"/>
          <w:lang w:bidi="en-US"/>
        </w:rPr>
      </w:pPr>
    </w:p>
    <w:p w14:paraId="4510C50A" w14:textId="77777777" w:rsidR="004047F2" w:rsidRPr="00712F3C" w:rsidRDefault="004047F2" w:rsidP="004047F2">
      <w:pPr>
        <w:widowControl w:val="0"/>
        <w:spacing w:after="0" w:line="240" w:lineRule="auto"/>
        <w:jc w:val="both"/>
        <w:rPr>
          <w:rFonts w:ascii="Times New Roman" w:eastAsia="Calibri" w:hAnsi="Times New Roman"/>
          <w:b/>
          <w:bCs/>
          <w:sz w:val="20"/>
          <w:szCs w:val="20"/>
          <w:lang w:bidi="en-US"/>
        </w:rPr>
      </w:pPr>
      <w:r w:rsidRPr="00712F3C">
        <w:rPr>
          <w:rFonts w:ascii="Times New Roman" w:eastAsia="Calibri" w:hAnsi="Times New Roman"/>
          <w:b/>
          <w:bCs/>
          <w:sz w:val="20"/>
          <w:szCs w:val="20"/>
          <w:lang w:bidi="en-US"/>
        </w:rPr>
        <w:t>Rights of the Equity Shareholders</w:t>
      </w:r>
    </w:p>
    <w:p w14:paraId="2F63DBB6" w14:textId="77777777" w:rsidR="004047F2" w:rsidRPr="00712F3C" w:rsidRDefault="004047F2" w:rsidP="004047F2">
      <w:pPr>
        <w:widowControl w:val="0"/>
        <w:spacing w:after="0" w:line="240" w:lineRule="auto"/>
        <w:rPr>
          <w:rFonts w:ascii="Times New Roman" w:eastAsia="Calibri" w:hAnsi="Times New Roman"/>
          <w:bCs/>
          <w:sz w:val="20"/>
          <w:szCs w:val="20"/>
          <w:lang w:bidi="en-US"/>
        </w:rPr>
      </w:pPr>
    </w:p>
    <w:p w14:paraId="24F0AF1C" w14:textId="77777777" w:rsidR="004047F2" w:rsidRPr="00712F3C" w:rsidRDefault="004047F2" w:rsidP="004047F2">
      <w:pPr>
        <w:widowControl w:val="0"/>
        <w:spacing w:after="0" w:line="240" w:lineRule="auto"/>
        <w:jc w:val="both"/>
        <w:rPr>
          <w:rFonts w:ascii="Times New Roman" w:eastAsia="Calibri" w:hAnsi="Times New Roman"/>
          <w:bCs/>
          <w:sz w:val="20"/>
          <w:szCs w:val="20"/>
          <w:lang w:bidi="en-US"/>
        </w:rPr>
      </w:pPr>
      <w:r w:rsidRPr="00712F3C">
        <w:rPr>
          <w:rFonts w:ascii="Times New Roman" w:eastAsia="Calibri" w:hAnsi="Times New Roman"/>
          <w:bCs/>
          <w:sz w:val="20"/>
          <w:szCs w:val="20"/>
          <w:lang w:bidi="en-US"/>
        </w:rPr>
        <w:t>Subject to applicable laws, rules, regulations and guidelines and the Articles of Association, the equity shareholders shall have the following rights:</w:t>
      </w:r>
    </w:p>
    <w:p w14:paraId="407A7E6B" w14:textId="77777777" w:rsidR="004047F2" w:rsidRPr="00712F3C" w:rsidRDefault="004047F2" w:rsidP="004047F2">
      <w:pPr>
        <w:widowControl w:val="0"/>
        <w:spacing w:after="0" w:line="240" w:lineRule="auto"/>
        <w:ind w:left="426"/>
        <w:rPr>
          <w:rFonts w:ascii="Times New Roman" w:eastAsia="Calibri" w:hAnsi="Times New Roman"/>
          <w:bCs/>
          <w:sz w:val="20"/>
          <w:szCs w:val="20"/>
          <w:lang w:bidi="en-US"/>
        </w:rPr>
      </w:pPr>
    </w:p>
    <w:p w14:paraId="3650A005" w14:textId="77777777" w:rsidR="004047F2" w:rsidRPr="00712F3C" w:rsidRDefault="004047F2">
      <w:pPr>
        <w:widowControl w:val="0"/>
        <w:numPr>
          <w:ilvl w:val="0"/>
          <w:numId w:val="201"/>
        </w:numPr>
        <w:spacing w:after="0" w:line="240" w:lineRule="auto"/>
        <w:rPr>
          <w:rFonts w:ascii="Times New Roman" w:eastAsia="Calibri" w:hAnsi="Times New Roman"/>
          <w:bCs/>
          <w:sz w:val="20"/>
          <w:szCs w:val="20"/>
          <w:lang w:bidi="en-US"/>
        </w:rPr>
      </w:pPr>
      <w:r w:rsidRPr="00712F3C">
        <w:rPr>
          <w:rFonts w:ascii="Times New Roman" w:eastAsia="Calibri" w:hAnsi="Times New Roman"/>
          <w:bCs/>
          <w:sz w:val="20"/>
          <w:szCs w:val="20"/>
          <w:lang w:bidi="en-US"/>
        </w:rPr>
        <w:t>Right to receive dividend, if declared;</w:t>
      </w:r>
    </w:p>
    <w:p w14:paraId="4E17AECA" w14:textId="77777777" w:rsidR="004047F2" w:rsidRPr="00712F3C" w:rsidRDefault="004047F2">
      <w:pPr>
        <w:widowControl w:val="0"/>
        <w:numPr>
          <w:ilvl w:val="0"/>
          <w:numId w:val="201"/>
        </w:numPr>
        <w:autoSpaceDE w:val="0"/>
        <w:autoSpaceDN w:val="0"/>
        <w:adjustRightInd w:val="0"/>
        <w:spacing w:after="0" w:line="240" w:lineRule="auto"/>
        <w:rPr>
          <w:rFonts w:ascii="Times New Roman" w:hAnsi="Times New Roman"/>
          <w:bCs/>
          <w:sz w:val="20"/>
          <w:szCs w:val="20"/>
          <w:lang w:val="en-IN" w:bidi="en-US"/>
        </w:rPr>
      </w:pPr>
      <w:r w:rsidRPr="00712F3C">
        <w:rPr>
          <w:rFonts w:ascii="Times New Roman" w:hAnsi="Times New Roman"/>
          <w:bCs/>
          <w:sz w:val="20"/>
          <w:szCs w:val="20"/>
          <w:lang w:val="en-IN" w:bidi="en-US"/>
        </w:rPr>
        <w:t xml:space="preserve">Right to receive Annual Reports and notices to members; </w:t>
      </w:r>
    </w:p>
    <w:p w14:paraId="7D996674" w14:textId="77777777" w:rsidR="004047F2" w:rsidRPr="00712F3C" w:rsidRDefault="004047F2">
      <w:pPr>
        <w:widowControl w:val="0"/>
        <w:numPr>
          <w:ilvl w:val="0"/>
          <w:numId w:val="201"/>
        </w:numPr>
        <w:spacing w:after="0" w:line="240" w:lineRule="auto"/>
        <w:rPr>
          <w:rFonts w:ascii="Times New Roman" w:eastAsia="Calibri" w:hAnsi="Times New Roman"/>
          <w:bCs/>
          <w:sz w:val="20"/>
          <w:szCs w:val="20"/>
          <w:lang w:bidi="en-US"/>
        </w:rPr>
      </w:pPr>
      <w:r w:rsidRPr="00712F3C">
        <w:rPr>
          <w:rFonts w:ascii="Times New Roman" w:eastAsia="Calibri" w:hAnsi="Times New Roman"/>
          <w:bCs/>
          <w:sz w:val="20"/>
          <w:szCs w:val="20"/>
          <w:lang w:bidi="en-US"/>
        </w:rPr>
        <w:t>Right to attend general meetings and exercise voting rights, unless prohibited by law;</w:t>
      </w:r>
    </w:p>
    <w:p w14:paraId="00FC5FA3" w14:textId="77777777" w:rsidR="004047F2" w:rsidRPr="00712F3C" w:rsidRDefault="004047F2">
      <w:pPr>
        <w:widowControl w:val="0"/>
        <w:numPr>
          <w:ilvl w:val="0"/>
          <w:numId w:val="201"/>
        </w:numPr>
        <w:spacing w:after="0" w:line="240" w:lineRule="auto"/>
        <w:rPr>
          <w:rFonts w:ascii="Times New Roman" w:eastAsia="Calibri" w:hAnsi="Times New Roman"/>
          <w:bCs/>
          <w:sz w:val="20"/>
          <w:szCs w:val="20"/>
          <w:lang w:bidi="en-US"/>
        </w:rPr>
      </w:pPr>
      <w:r w:rsidRPr="00712F3C">
        <w:rPr>
          <w:rFonts w:ascii="Times New Roman" w:eastAsia="Calibri" w:hAnsi="Times New Roman"/>
          <w:bCs/>
          <w:sz w:val="20"/>
          <w:szCs w:val="20"/>
          <w:lang w:bidi="en-US"/>
        </w:rPr>
        <w:t>Right to vote on a poll either in person or by proxy;</w:t>
      </w:r>
    </w:p>
    <w:p w14:paraId="6CEDAE7A" w14:textId="77777777" w:rsidR="004047F2" w:rsidRPr="00712F3C" w:rsidRDefault="004047F2">
      <w:pPr>
        <w:widowControl w:val="0"/>
        <w:numPr>
          <w:ilvl w:val="0"/>
          <w:numId w:val="201"/>
        </w:numPr>
        <w:spacing w:after="0" w:line="240" w:lineRule="auto"/>
        <w:rPr>
          <w:rFonts w:ascii="Times New Roman" w:eastAsia="Calibri" w:hAnsi="Times New Roman"/>
          <w:bCs/>
          <w:sz w:val="20"/>
          <w:szCs w:val="20"/>
          <w:lang w:bidi="en-US"/>
        </w:rPr>
      </w:pPr>
      <w:r w:rsidRPr="00712F3C">
        <w:rPr>
          <w:rFonts w:ascii="Times New Roman" w:eastAsia="Calibri" w:hAnsi="Times New Roman"/>
          <w:bCs/>
          <w:sz w:val="20"/>
          <w:szCs w:val="20"/>
          <w:lang w:bidi="en-US"/>
        </w:rPr>
        <w:t>Right to receive offer for rights shares and be allotted bonus shares, if announced;</w:t>
      </w:r>
    </w:p>
    <w:p w14:paraId="754B7C59" w14:textId="77777777" w:rsidR="004047F2" w:rsidRPr="00712F3C" w:rsidRDefault="004047F2">
      <w:pPr>
        <w:widowControl w:val="0"/>
        <w:numPr>
          <w:ilvl w:val="0"/>
          <w:numId w:val="201"/>
        </w:numPr>
        <w:spacing w:after="0" w:line="240" w:lineRule="auto"/>
        <w:rPr>
          <w:rFonts w:ascii="Times New Roman" w:eastAsia="Calibri" w:hAnsi="Times New Roman"/>
          <w:bCs/>
          <w:sz w:val="20"/>
          <w:szCs w:val="20"/>
          <w:lang w:bidi="en-US"/>
        </w:rPr>
      </w:pPr>
      <w:r w:rsidRPr="00712F3C">
        <w:rPr>
          <w:rFonts w:ascii="Times New Roman" w:eastAsia="Calibri" w:hAnsi="Times New Roman"/>
          <w:bCs/>
          <w:sz w:val="20"/>
          <w:szCs w:val="20"/>
          <w:lang w:bidi="en-US"/>
        </w:rPr>
        <w:t>Right to receive surplus on liquidation; subject to any statutory or preferential claims being satisfied;</w:t>
      </w:r>
    </w:p>
    <w:p w14:paraId="6BEE5BA3" w14:textId="77777777" w:rsidR="004047F2" w:rsidRPr="00712F3C" w:rsidRDefault="004047F2">
      <w:pPr>
        <w:widowControl w:val="0"/>
        <w:numPr>
          <w:ilvl w:val="0"/>
          <w:numId w:val="201"/>
        </w:numPr>
        <w:spacing w:after="0" w:line="240" w:lineRule="auto"/>
        <w:rPr>
          <w:rFonts w:ascii="Times New Roman" w:eastAsia="Calibri" w:hAnsi="Times New Roman"/>
          <w:bCs/>
          <w:sz w:val="20"/>
          <w:szCs w:val="20"/>
          <w:lang w:bidi="en-US"/>
        </w:rPr>
      </w:pPr>
      <w:r w:rsidRPr="00712F3C">
        <w:rPr>
          <w:rFonts w:ascii="Times New Roman" w:eastAsia="Calibri" w:hAnsi="Times New Roman"/>
          <w:bCs/>
          <w:sz w:val="20"/>
          <w:szCs w:val="20"/>
          <w:lang w:bidi="en-US"/>
        </w:rPr>
        <w:t xml:space="preserve">Right of free transferability of the Equity Shares; and </w:t>
      </w:r>
    </w:p>
    <w:p w14:paraId="323E7F6A" w14:textId="77777777" w:rsidR="004047F2" w:rsidRPr="00712F3C" w:rsidRDefault="004047F2">
      <w:pPr>
        <w:widowControl w:val="0"/>
        <w:numPr>
          <w:ilvl w:val="0"/>
          <w:numId w:val="201"/>
        </w:numPr>
        <w:spacing w:after="0" w:line="240" w:lineRule="auto"/>
        <w:jc w:val="both"/>
        <w:rPr>
          <w:rFonts w:ascii="Times New Roman" w:eastAsia="Calibri" w:hAnsi="Times New Roman"/>
          <w:bCs/>
          <w:sz w:val="20"/>
          <w:szCs w:val="20"/>
          <w:lang w:bidi="en-US"/>
        </w:rPr>
      </w:pPr>
      <w:r w:rsidRPr="00712F3C">
        <w:rPr>
          <w:rFonts w:ascii="Times New Roman" w:eastAsia="Calibri" w:hAnsi="Times New Roman"/>
          <w:bCs/>
          <w:sz w:val="20"/>
          <w:szCs w:val="20"/>
          <w:lang w:bidi="en-US"/>
        </w:rPr>
        <w:t>Such other rights, as may be available to a shareholder of a listed Public Limited Company under the Companies Act, terms of the SEBI (Listing Obligations and Disclosure Requirements) Regulations, 2015 and the Memorandum and Articles of Association of our Company.</w:t>
      </w:r>
    </w:p>
    <w:p w14:paraId="22AAE172" w14:textId="77777777" w:rsidR="004047F2" w:rsidRPr="00712F3C" w:rsidRDefault="004047F2" w:rsidP="004047F2">
      <w:pPr>
        <w:widowControl w:val="0"/>
        <w:spacing w:after="0" w:line="240" w:lineRule="auto"/>
        <w:rPr>
          <w:rFonts w:ascii="Times New Roman" w:eastAsia="Calibri" w:hAnsi="Times New Roman"/>
          <w:bCs/>
          <w:sz w:val="20"/>
          <w:szCs w:val="20"/>
          <w:lang w:bidi="en-US"/>
        </w:rPr>
      </w:pPr>
    </w:p>
    <w:p w14:paraId="1097A763" w14:textId="77777777" w:rsidR="004047F2" w:rsidRPr="00712F3C" w:rsidRDefault="004047F2" w:rsidP="004047F2">
      <w:pPr>
        <w:widowControl w:val="0"/>
        <w:spacing w:after="0" w:line="240" w:lineRule="auto"/>
        <w:jc w:val="both"/>
        <w:rPr>
          <w:rFonts w:ascii="Times New Roman" w:eastAsia="Calibri" w:hAnsi="Times New Roman"/>
          <w:bCs/>
          <w:sz w:val="20"/>
          <w:szCs w:val="20"/>
          <w:lang w:bidi="en-US"/>
        </w:rPr>
      </w:pPr>
      <w:r w:rsidRPr="00712F3C">
        <w:rPr>
          <w:rFonts w:ascii="Times New Roman" w:eastAsia="Calibri" w:hAnsi="Times New Roman"/>
          <w:bCs/>
          <w:sz w:val="20"/>
          <w:szCs w:val="20"/>
          <w:lang w:bidi="en-US"/>
        </w:rPr>
        <w:t xml:space="preserve">For a detailed description of the main provision of the Articles of Association of our Company relating to voting rights, dividend, forfeiture and lien, transfer, transmission and/ or consolidation/ splitting, etc., please refer to section titled </w:t>
      </w:r>
      <w:r w:rsidRPr="00712F3C">
        <w:rPr>
          <w:rFonts w:ascii="Times New Roman" w:eastAsia="Calibri" w:hAnsi="Times New Roman"/>
          <w:b/>
          <w:bCs/>
          <w:i/>
          <w:sz w:val="20"/>
          <w:szCs w:val="20"/>
          <w:lang w:bidi="en-US"/>
        </w:rPr>
        <w:t>“Main Provisions of the Articles of Association”</w:t>
      </w:r>
      <w:r w:rsidRPr="00712F3C">
        <w:rPr>
          <w:rFonts w:ascii="Times New Roman" w:eastAsia="Calibri" w:hAnsi="Times New Roman"/>
          <w:bCs/>
          <w:sz w:val="20"/>
          <w:szCs w:val="20"/>
          <w:lang w:bidi="en-US"/>
        </w:rPr>
        <w:t xml:space="preserve"> beginning on page 243 of this Draft Red Herring Prospectus.</w:t>
      </w:r>
    </w:p>
    <w:p w14:paraId="24FD33B1" w14:textId="77777777" w:rsidR="004047F2" w:rsidRPr="00712F3C" w:rsidRDefault="004047F2" w:rsidP="004047F2">
      <w:pPr>
        <w:widowControl w:val="0"/>
        <w:spacing w:after="0" w:line="240" w:lineRule="auto"/>
        <w:rPr>
          <w:rFonts w:ascii="Times New Roman" w:eastAsia="Calibri" w:hAnsi="Times New Roman"/>
          <w:bCs/>
          <w:sz w:val="20"/>
          <w:szCs w:val="20"/>
          <w:lang w:bidi="en-US"/>
        </w:rPr>
      </w:pPr>
    </w:p>
    <w:p w14:paraId="20B4E605" w14:textId="77777777" w:rsidR="004047F2" w:rsidRPr="00712F3C" w:rsidRDefault="004047F2" w:rsidP="004047F2">
      <w:pPr>
        <w:widowControl w:val="0"/>
        <w:spacing w:after="0" w:line="240" w:lineRule="auto"/>
        <w:jc w:val="both"/>
        <w:rPr>
          <w:rFonts w:ascii="Times New Roman" w:eastAsia="Calibri" w:hAnsi="Times New Roman"/>
          <w:b/>
          <w:bCs/>
          <w:sz w:val="20"/>
          <w:szCs w:val="20"/>
          <w:lang w:bidi="en-US"/>
        </w:rPr>
      </w:pPr>
      <w:r w:rsidRPr="00712F3C">
        <w:rPr>
          <w:rFonts w:ascii="Times New Roman" w:eastAsia="Calibri" w:hAnsi="Times New Roman"/>
          <w:b/>
          <w:bCs/>
          <w:sz w:val="20"/>
          <w:szCs w:val="20"/>
          <w:lang w:bidi="en-US"/>
        </w:rPr>
        <w:t>Minimum Application Value, Market Lot and Trading Lot</w:t>
      </w:r>
    </w:p>
    <w:p w14:paraId="56E903B0" w14:textId="77777777" w:rsidR="004047F2" w:rsidRPr="00712F3C" w:rsidRDefault="004047F2" w:rsidP="004047F2">
      <w:pPr>
        <w:widowControl w:val="0"/>
        <w:spacing w:after="0" w:line="240" w:lineRule="auto"/>
        <w:jc w:val="both"/>
        <w:rPr>
          <w:rFonts w:ascii="Times New Roman" w:eastAsia="Calibri" w:hAnsi="Times New Roman"/>
          <w:b/>
          <w:bCs/>
          <w:sz w:val="20"/>
          <w:szCs w:val="20"/>
          <w:lang w:bidi="en-US"/>
        </w:rPr>
      </w:pPr>
    </w:p>
    <w:p w14:paraId="443F67C8" w14:textId="77777777" w:rsidR="004047F2" w:rsidRPr="00712F3C" w:rsidRDefault="004047F2" w:rsidP="004047F2">
      <w:pPr>
        <w:widowControl w:val="0"/>
        <w:spacing w:after="0" w:line="240" w:lineRule="auto"/>
        <w:jc w:val="both"/>
        <w:rPr>
          <w:rFonts w:ascii="Times New Roman" w:eastAsia="Calibri" w:hAnsi="Times New Roman"/>
          <w:bCs/>
          <w:sz w:val="20"/>
          <w:szCs w:val="20"/>
          <w:lang w:bidi="en-US"/>
        </w:rPr>
      </w:pPr>
      <w:r w:rsidRPr="00712F3C">
        <w:rPr>
          <w:rFonts w:ascii="Times New Roman" w:eastAsia="Calibri" w:hAnsi="Times New Roman"/>
          <w:bCs/>
          <w:sz w:val="20"/>
          <w:szCs w:val="20"/>
          <w:lang w:bidi="en-US"/>
        </w:rPr>
        <w:t>As per regulations made under and Section 29(1) of the Companies Act, 2013 the Equity Shares to be allotted must be in Dematerialized form i.e., not in the form of physical certificates but be fungible and be represented by the statement issued through electronic mode. Hence, the Equity Shares being issued can be applied for in the dematerialized form only. In this context, two agreements shall be signed among our Company, the respective Depositories and Registrar to the Issue.</w:t>
      </w:r>
    </w:p>
    <w:p w14:paraId="4F7D2C43" w14:textId="77777777" w:rsidR="004047F2" w:rsidRPr="00712F3C" w:rsidRDefault="004047F2" w:rsidP="004047F2">
      <w:pPr>
        <w:widowControl w:val="0"/>
        <w:spacing w:after="0" w:line="240" w:lineRule="auto"/>
        <w:jc w:val="both"/>
        <w:rPr>
          <w:rFonts w:ascii="Times New Roman" w:eastAsia="Calibri" w:hAnsi="Times New Roman"/>
          <w:bCs/>
          <w:sz w:val="20"/>
          <w:szCs w:val="20"/>
          <w:lang w:bidi="en-US"/>
        </w:rPr>
      </w:pPr>
    </w:p>
    <w:p w14:paraId="1017E08F" w14:textId="6CFC2EEE" w:rsidR="004047F2" w:rsidRPr="00712F3C" w:rsidRDefault="004047F2" w:rsidP="004047F2">
      <w:pPr>
        <w:widowControl w:val="0"/>
        <w:spacing w:after="0" w:line="240" w:lineRule="auto"/>
        <w:jc w:val="both"/>
        <w:rPr>
          <w:rFonts w:ascii="Times New Roman" w:eastAsia="Calibri" w:hAnsi="Times New Roman"/>
          <w:bCs/>
          <w:sz w:val="20"/>
          <w:szCs w:val="20"/>
          <w:lang w:bidi="en-US"/>
        </w:rPr>
      </w:pPr>
      <w:r w:rsidRPr="00712F3C">
        <w:rPr>
          <w:rFonts w:ascii="Times New Roman" w:eastAsia="Calibri" w:hAnsi="Times New Roman"/>
          <w:bCs/>
          <w:sz w:val="20"/>
          <w:szCs w:val="20"/>
          <w:lang w:bidi="en-US"/>
        </w:rPr>
        <w:t xml:space="preserve">Tripartite Agreement dated </w:t>
      </w:r>
      <w:r w:rsidR="00D83D95">
        <w:rPr>
          <w:rFonts w:ascii="Times New Roman" w:eastAsia="Calibri" w:hAnsi="Times New Roman"/>
          <w:color w:val="000000"/>
          <w:sz w:val="20"/>
          <w:szCs w:val="20"/>
        </w:rPr>
        <w:t>August 07, 2023</w:t>
      </w:r>
      <w:r w:rsidR="00D83D95" w:rsidRPr="00712F3C">
        <w:rPr>
          <w:rFonts w:ascii="Times New Roman" w:eastAsia="Calibri" w:hAnsi="Times New Roman"/>
          <w:color w:val="000000"/>
          <w:sz w:val="20"/>
          <w:szCs w:val="20"/>
        </w:rPr>
        <w:t xml:space="preserve"> </w:t>
      </w:r>
      <w:r w:rsidRPr="00712F3C">
        <w:rPr>
          <w:rFonts w:ascii="Times New Roman" w:eastAsia="Calibri" w:hAnsi="Times New Roman"/>
          <w:bCs/>
          <w:sz w:val="20"/>
          <w:szCs w:val="20"/>
          <w:lang w:bidi="en-US"/>
        </w:rPr>
        <w:t>between NSDL, our Company and Registrar to the Issue; and</w:t>
      </w:r>
    </w:p>
    <w:p w14:paraId="7F0E75BC" w14:textId="4ED207BA" w:rsidR="004047F2" w:rsidRPr="00712F3C" w:rsidRDefault="004047F2" w:rsidP="004047F2">
      <w:pPr>
        <w:widowControl w:val="0"/>
        <w:spacing w:after="0" w:line="240" w:lineRule="auto"/>
        <w:jc w:val="both"/>
        <w:rPr>
          <w:rFonts w:ascii="Times New Roman" w:eastAsia="Calibri" w:hAnsi="Times New Roman"/>
          <w:bCs/>
          <w:sz w:val="20"/>
          <w:szCs w:val="20"/>
          <w:lang w:bidi="en-US"/>
        </w:rPr>
      </w:pPr>
      <w:r w:rsidRPr="00712F3C">
        <w:rPr>
          <w:rFonts w:ascii="Times New Roman" w:eastAsia="Calibri" w:hAnsi="Times New Roman"/>
          <w:bCs/>
          <w:sz w:val="20"/>
          <w:szCs w:val="20"/>
          <w:lang w:bidi="en-US"/>
        </w:rPr>
        <w:t xml:space="preserve">Tripartite Agreement dated </w:t>
      </w:r>
      <w:r w:rsidR="00D83D95">
        <w:rPr>
          <w:rFonts w:ascii="Times New Roman" w:eastAsia="Calibri" w:hAnsi="Times New Roman"/>
          <w:color w:val="000000"/>
          <w:sz w:val="20"/>
          <w:szCs w:val="20"/>
        </w:rPr>
        <w:t>August 04, 2023</w:t>
      </w:r>
      <w:r w:rsidRPr="00712F3C">
        <w:rPr>
          <w:rFonts w:ascii="Times New Roman" w:eastAsia="Calibri" w:hAnsi="Times New Roman"/>
          <w:color w:val="000000"/>
          <w:sz w:val="20"/>
          <w:szCs w:val="20"/>
        </w:rPr>
        <w:t xml:space="preserve"> </w:t>
      </w:r>
      <w:r w:rsidRPr="00712F3C">
        <w:rPr>
          <w:rFonts w:ascii="Times New Roman" w:eastAsia="Calibri" w:hAnsi="Times New Roman"/>
          <w:bCs/>
          <w:sz w:val="20"/>
          <w:szCs w:val="20"/>
          <w:lang w:bidi="en-US"/>
        </w:rPr>
        <w:t>between CDSL, our Company and Registrar to the Issue;</w:t>
      </w:r>
    </w:p>
    <w:p w14:paraId="68C79871" w14:textId="77777777" w:rsidR="004047F2" w:rsidRPr="00712F3C" w:rsidRDefault="004047F2" w:rsidP="004047F2">
      <w:pPr>
        <w:widowControl w:val="0"/>
        <w:spacing w:after="0" w:line="240" w:lineRule="auto"/>
        <w:jc w:val="both"/>
        <w:rPr>
          <w:rFonts w:ascii="Times New Roman" w:eastAsia="Calibri" w:hAnsi="Times New Roman"/>
          <w:bCs/>
          <w:sz w:val="20"/>
          <w:szCs w:val="20"/>
          <w:lang w:bidi="en-US"/>
        </w:rPr>
      </w:pPr>
    </w:p>
    <w:p w14:paraId="4C301DA9" w14:textId="77777777" w:rsidR="004047F2" w:rsidRPr="00712F3C" w:rsidRDefault="004047F2" w:rsidP="004047F2">
      <w:pPr>
        <w:widowControl w:val="0"/>
        <w:spacing w:after="0" w:line="240" w:lineRule="auto"/>
        <w:jc w:val="both"/>
        <w:rPr>
          <w:rFonts w:ascii="Times New Roman" w:eastAsia="Calibri" w:hAnsi="Times New Roman"/>
          <w:bCs/>
          <w:sz w:val="20"/>
          <w:szCs w:val="20"/>
          <w:lang w:bidi="en-US"/>
        </w:rPr>
      </w:pPr>
      <w:r w:rsidRPr="00712F3C">
        <w:rPr>
          <w:rFonts w:ascii="Times New Roman" w:eastAsia="Calibri" w:hAnsi="Times New Roman"/>
          <w:bCs/>
          <w:sz w:val="20"/>
          <w:szCs w:val="20"/>
          <w:lang w:bidi="en-US"/>
        </w:rPr>
        <w:t>The trading of the Equity Shares will happen in the minimum contract size of [●] Equity Shares and the same may be modified by the SME Platform of BSE (BSE SME) from time to time by giving prior notice to investors at large.</w:t>
      </w:r>
    </w:p>
    <w:p w14:paraId="6CEECAD6" w14:textId="77777777" w:rsidR="004047F2" w:rsidRPr="00712F3C" w:rsidRDefault="004047F2" w:rsidP="004047F2">
      <w:pPr>
        <w:widowControl w:val="0"/>
        <w:spacing w:after="0" w:line="240" w:lineRule="auto"/>
        <w:jc w:val="both"/>
        <w:rPr>
          <w:rFonts w:ascii="Times New Roman" w:eastAsia="Calibri" w:hAnsi="Times New Roman"/>
          <w:bCs/>
          <w:sz w:val="20"/>
          <w:szCs w:val="20"/>
          <w:lang w:bidi="en-US"/>
        </w:rPr>
      </w:pPr>
    </w:p>
    <w:p w14:paraId="1FE869E8" w14:textId="77777777" w:rsidR="004047F2" w:rsidRPr="00712F3C" w:rsidRDefault="004047F2" w:rsidP="004047F2">
      <w:pPr>
        <w:widowControl w:val="0"/>
        <w:spacing w:after="0" w:line="240" w:lineRule="auto"/>
        <w:jc w:val="both"/>
        <w:rPr>
          <w:rFonts w:ascii="Times New Roman" w:eastAsia="Calibri" w:hAnsi="Times New Roman"/>
          <w:bCs/>
          <w:sz w:val="20"/>
          <w:szCs w:val="20"/>
          <w:lang w:bidi="en-US"/>
        </w:rPr>
      </w:pPr>
      <w:r w:rsidRPr="00712F3C">
        <w:rPr>
          <w:rFonts w:ascii="Times New Roman" w:eastAsia="Calibri" w:hAnsi="Times New Roman"/>
          <w:bCs/>
          <w:sz w:val="20"/>
          <w:szCs w:val="20"/>
          <w:lang w:bidi="en-US"/>
        </w:rPr>
        <w:t>Allocation and allotment of Equity Shares through this issue will be done in multiples of [●] Equity Shares and is subject to a minimum allotment of [●] Equity Shares to the successful applicants in terms of the SEBI circular No. CIR/MRD/DSA/06/2012 dated February 21, 2012.</w:t>
      </w:r>
    </w:p>
    <w:p w14:paraId="3233ADFE" w14:textId="77777777" w:rsidR="004047F2" w:rsidRDefault="004047F2" w:rsidP="004047F2">
      <w:pPr>
        <w:widowControl w:val="0"/>
        <w:spacing w:after="0" w:line="240" w:lineRule="auto"/>
        <w:jc w:val="both"/>
        <w:rPr>
          <w:rFonts w:ascii="Times New Roman" w:eastAsia="Calibri" w:hAnsi="Times New Roman"/>
          <w:b/>
          <w:bCs/>
          <w:sz w:val="20"/>
          <w:szCs w:val="20"/>
          <w:lang w:bidi="en-US"/>
        </w:rPr>
      </w:pPr>
    </w:p>
    <w:p w14:paraId="432F17BC" w14:textId="77777777" w:rsidR="00D83D95" w:rsidRDefault="00D83D95" w:rsidP="004047F2">
      <w:pPr>
        <w:widowControl w:val="0"/>
        <w:spacing w:after="0" w:line="240" w:lineRule="auto"/>
        <w:jc w:val="both"/>
        <w:rPr>
          <w:rFonts w:ascii="Times New Roman" w:eastAsia="Calibri" w:hAnsi="Times New Roman"/>
          <w:b/>
          <w:bCs/>
          <w:sz w:val="20"/>
          <w:szCs w:val="20"/>
          <w:lang w:bidi="en-US"/>
        </w:rPr>
      </w:pPr>
    </w:p>
    <w:p w14:paraId="3C4A3377" w14:textId="77777777" w:rsidR="00D83D95" w:rsidRPr="00712F3C" w:rsidRDefault="00D83D95" w:rsidP="004047F2">
      <w:pPr>
        <w:widowControl w:val="0"/>
        <w:spacing w:after="0" w:line="240" w:lineRule="auto"/>
        <w:jc w:val="both"/>
        <w:rPr>
          <w:rFonts w:ascii="Times New Roman" w:eastAsia="Calibri" w:hAnsi="Times New Roman"/>
          <w:b/>
          <w:bCs/>
          <w:sz w:val="20"/>
          <w:szCs w:val="20"/>
          <w:lang w:bidi="en-US"/>
        </w:rPr>
      </w:pPr>
    </w:p>
    <w:p w14:paraId="03A6B268" w14:textId="77777777" w:rsidR="004047F2" w:rsidRPr="00712F3C" w:rsidRDefault="004047F2" w:rsidP="004047F2">
      <w:pPr>
        <w:widowControl w:val="0"/>
        <w:spacing w:after="0" w:line="240" w:lineRule="auto"/>
        <w:jc w:val="both"/>
        <w:rPr>
          <w:rFonts w:ascii="Times New Roman" w:eastAsia="Calibri" w:hAnsi="Times New Roman"/>
          <w:b/>
          <w:bCs/>
          <w:sz w:val="20"/>
          <w:szCs w:val="20"/>
          <w:lang w:bidi="en-US"/>
        </w:rPr>
      </w:pPr>
      <w:r w:rsidRPr="00712F3C">
        <w:rPr>
          <w:rFonts w:ascii="Times New Roman" w:eastAsia="Calibri" w:hAnsi="Times New Roman"/>
          <w:b/>
          <w:bCs/>
          <w:sz w:val="20"/>
          <w:szCs w:val="20"/>
          <w:lang w:bidi="en-US"/>
        </w:rPr>
        <w:lastRenderedPageBreak/>
        <w:t>Minimum Number of Allottees</w:t>
      </w:r>
    </w:p>
    <w:p w14:paraId="2D16FE0C" w14:textId="77777777" w:rsidR="004047F2" w:rsidRPr="00712F3C" w:rsidRDefault="004047F2" w:rsidP="004047F2">
      <w:pPr>
        <w:widowControl w:val="0"/>
        <w:spacing w:after="0" w:line="240" w:lineRule="auto"/>
        <w:rPr>
          <w:rFonts w:ascii="Times New Roman" w:eastAsia="Calibri" w:hAnsi="Times New Roman"/>
          <w:bCs/>
          <w:sz w:val="20"/>
          <w:szCs w:val="20"/>
          <w:lang w:bidi="en-US"/>
        </w:rPr>
      </w:pPr>
    </w:p>
    <w:p w14:paraId="661CEA06" w14:textId="77777777" w:rsidR="004047F2" w:rsidRPr="00712F3C" w:rsidRDefault="004047F2" w:rsidP="004047F2">
      <w:pPr>
        <w:widowControl w:val="0"/>
        <w:spacing w:after="0" w:line="240" w:lineRule="auto"/>
        <w:jc w:val="both"/>
        <w:rPr>
          <w:rFonts w:ascii="Times New Roman" w:eastAsia="Calibri" w:hAnsi="Times New Roman"/>
          <w:bCs/>
          <w:sz w:val="20"/>
          <w:szCs w:val="20"/>
          <w:lang w:bidi="en-US"/>
        </w:rPr>
      </w:pPr>
      <w:r w:rsidRPr="00712F3C">
        <w:rPr>
          <w:rFonts w:ascii="Times New Roman" w:eastAsia="Calibri" w:hAnsi="Times New Roman"/>
          <w:bCs/>
          <w:sz w:val="20"/>
          <w:szCs w:val="20"/>
          <w:lang w:bidi="en-US"/>
        </w:rPr>
        <w:t xml:space="preserve">In accordance with Regulation 268 of SEBI (ICDR) Regulations, 2018 the minimum number of allottees in the </w:t>
      </w:r>
      <w:r>
        <w:rPr>
          <w:rFonts w:ascii="Times New Roman" w:eastAsia="Calibri" w:hAnsi="Times New Roman"/>
          <w:bCs/>
          <w:sz w:val="20"/>
          <w:szCs w:val="20"/>
          <w:lang w:bidi="en-US"/>
        </w:rPr>
        <w:t>Issue shall be 50 shareholders.</w:t>
      </w:r>
      <w:r w:rsidRPr="00712F3C">
        <w:rPr>
          <w:rFonts w:ascii="Times New Roman" w:eastAsia="Calibri" w:hAnsi="Times New Roman"/>
          <w:bCs/>
          <w:sz w:val="20"/>
          <w:szCs w:val="20"/>
          <w:lang w:bidi="en-US"/>
        </w:rPr>
        <w:t xml:space="preserve"> In case the minimum number of prospective allottees is less than 50, no allotment will be made pursuant to this Issue and the monies collected shall be unblocked forthwith.</w:t>
      </w:r>
    </w:p>
    <w:p w14:paraId="7E4AD5F2" w14:textId="77777777" w:rsidR="004047F2" w:rsidRPr="00712F3C" w:rsidRDefault="004047F2" w:rsidP="004047F2">
      <w:pPr>
        <w:widowControl w:val="0"/>
        <w:spacing w:after="0" w:line="240" w:lineRule="auto"/>
        <w:rPr>
          <w:rFonts w:ascii="Times New Roman" w:eastAsia="Calibri" w:hAnsi="Times New Roman"/>
          <w:bCs/>
          <w:sz w:val="20"/>
          <w:szCs w:val="20"/>
          <w:lang w:bidi="en-US"/>
        </w:rPr>
      </w:pPr>
    </w:p>
    <w:p w14:paraId="17FEA917" w14:textId="77777777" w:rsidR="004047F2" w:rsidRPr="00712F3C" w:rsidRDefault="004047F2" w:rsidP="004047F2">
      <w:pPr>
        <w:widowControl w:val="0"/>
        <w:spacing w:after="0" w:line="240" w:lineRule="auto"/>
        <w:jc w:val="both"/>
        <w:rPr>
          <w:rFonts w:ascii="Times New Roman" w:eastAsia="Calibri" w:hAnsi="Times New Roman"/>
          <w:b/>
          <w:bCs/>
          <w:sz w:val="20"/>
          <w:szCs w:val="20"/>
          <w:lang w:bidi="en-US"/>
        </w:rPr>
      </w:pPr>
      <w:r w:rsidRPr="00712F3C">
        <w:rPr>
          <w:rFonts w:ascii="Times New Roman" w:eastAsia="Calibri" w:hAnsi="Times New Roman"/>
          <w:b/>
          <w:bCs/>
          <w:sz w:val="20"/>
          <w:szCs w:val="20"/>
          <w:lang w:bidi="en-US"/>
        </w:rPr>
        <w:t>Jurisdiction</w:t>
      </w:r>
    </w:p>
    <w:p w14:paraId="1FA99AB8" w14:textId="77777777" w:rsidR="004047F2" w:rsidRPr="00712F3C" w:rsidRDefault="004047F2" w:rsidP="004047F2">
      <w:pPr>
        <w:widowControl w:val="0"/>
        <w:spacing w:after="0" w:line="240" w:lineRule="auto"/>
        <w:rPr>
          <w:rFonts w:ascii="Times New Roman" w:eastAsia="Calibri" w:hAnsi="Times New Roman"/>
          <w:bCs/>
          <w:sz w:val="20"/>
          <w:szCs w:val="20"/>
          <w:lang w:bidi="en-US"/>
        </w:rPr>
      </w:pPr>
    </w:p>
    <w:p w14:paraId="48A143A2" w14:textId="50E4AD79" w:rsidR="004047F2" w:rsidRPr="00712F3C" w:rsidRDefault="004047F2" w:rsidP="004047F2">
      <w:pPr>
        <w:widowControl w:val="0"/>
        <w:spacing w:after="0" w:line="240" w:lineRule="auto"/>
        <w:jc w:val="both"/>
        <w:rPr>
          <w:rFonts w:ascii="Times New Roman" w:eastAsia="Calibri" w:hAnsi="Times New Roman"/>
          <w:bCs/>
          <w:sz w:val="20"/>
          <w:szCs w:val="20"/>
          <w:lang w:bidi="en-US"/>
        </w:rPr>
      </w:pPr>
      <w:r w:rsidRPr="00712F3C">
        <w:rPr>
          <w:rFonts w:ascii="Times New Roman" w:eastAsia="Calibri" w:hAnsi="Times New Roman"/>
          <w:bCs/>
          <w:sz w:val="20"/>
          <w:szCs w:val="20"/>
          <w:lang w:bidi="en-US"/>
        </w:rPr>
        <w:t xml:space="preserve">Exclusive jurisdiction for the purpose of this Issue is with the competent courts/ authorities in </w:t>
      </w:r>
      <w:r w:rsidR="000B2756">
        <w:rPr>
          <w:rFonts w:ascii="Times New Roman" w:eastAsia="Calibri" w:hAnsi="Times New Roman"/>
          <w:bCs/>
          <w:sz w:val="20"/>
          <w:szCs w:val="20"/>
          <w:lang w:bidi="en-US"/>
        </w:rPr>
        <w:t>Jamnagar</w:t>
      </w:r>
      <w:r w:rsidRPr="00712F3C">
        <w:rPr>
          <w:rFonts w:ascii="Times New Roman" w:eastAsia="Calibri" w:hAnsi="Times New Roman"/>
          <w:bCs/>
          <w:sz w:val="20"/>
          <w:szCs w:val="20"/>
          <w:lang w:bidi="en-US"/>
        </w:rPr>
        <w:t>, Gujarat.</w:t>
      </w:r>
    </w:p>
    <w:p w14:paraId="6DAC7FEE" w14:textId="77777777" w:rsidR="004047F2" w:rsidRPr="00712F3C" w:rsidRDefault="004047F2" w:rsidP="004047F2">
      <w:pPr>
        <w:widowControl w:val="0"/>
        <w:spacing w:after="0" w:line="240" w:lineRule="auto"/>
        <w:jc w:val="both"/>
        <w:rPr>
          <w:rFonts w:ascii="Times New Roman" w:eastAsia="Calibri" w:hAnsi="Times New Roman"/>
          <w:b/>
          <w:bCs/>
          <w:sz w:val="20"/>
          <w:szCs w:val="20"/>
          <w:lang w:bidi="en-US"/>
        </w:rPr>
      </w:pPr>
    </w:p>
    <w:p w14:paraId="0DB4C4C0" w14:textId="77777777" w:rsidR="004047F2" w:rsidRPr="00712F3C" w:rsidRDefault="004047F2" w:rsidP="004047F2">
      <w:pPr>
        <w:widowControl w:val="0"/>
        <w:spacing w:after="0" w:line="240" w:lineRule="auto"/>
        <w:jc w:val="both"/>
        <w:rPr>
          <w:rFonts w:ascii="Times New Roman" w:eastAsia="Calibri" w:hAnsi="Times New Roman"/>
          <w:b/>
          <w:bCs/>
          <w:sz w:val="20"/>
          <w:szCs w:val="20"/>
          <w:lang w:bidi="en-US"/>
        </w:rPr>
      </w:pPr>
      <w:r w:rsidRPr="00712F3C">
        <w:rPr>
          <w:rFonts w:ascii="Times New Roman" w:eastAsia="Calibri" w:hAnsi="Times New Roman"/>
          <w:b/>
          <w:bCs/>
          <w:sz w:val="20"/>
          <w:szCs w:val="20"/>
          <w:lang w:bidi="en-US"/>
        </w:rPr>
        <w:t>The Equity Shares have not been and will not be registered under the Securities Act or any state securities laws in the United States, and may not be offered or sold within the United States, except pursuant to an exemption from or in a transaction not subject to, registration requirements of the Securities Act. Accordingly, the Equity Shares are only being offered or sold outside the United States in compliance with Regulation S under the Securities Act and the applicable laws of the jurisdictions where those offers and sales occur.</w:t>
      </w:r>
    </w:p>
    <w:p w14:paraId="6AECB3D1" w14:textId="77777777" w:rsidR="004047F2" w:rsidRPr="00712F3C" w:rsidRDefault="004047F2" w:rsidP="004047F2">
      <w:pPr>
        <w:widowControl w:val="0"/>
        <w:spacing w:after="0" w:line="240" w:lineRule="auto"/>
        <w:jc w:val="both"/>
        <w:rPr>
          <w:rFonts w:ascii="Times New Roman" w:eastAsia="Calibri" w:hAnsi="Times New Roman"/>
          <w:b/>
          <w:bCs/>
          <w:sz w:val="20"/>
          <w:szCs w:val="20"/>
          <w:lang w:bidi="en-US"/>
        </w:rPr>
      </w:pPr>
    </w:p>
    <w:p w14:paraId="15BB505D" w14:textId="77777777" w:rsidR="004047F2" w:rsidRPr="00712F3C" w:rsidRDefault="004047F2" w:rsidP="004047F2">
      <w:pPr>
        <w:widowControl w:val="0"/>
        <w:spacing w:after="0" w:line="240" w:lineRule="auto"/>
        <w:jc w:val="both"/>
        <w:rPr>
          <w:rFonts w:ascii="Times New Roman" w:eastAsia="Calibri" w:hAnsi="Times New Roman"/>
          <w:b/>
          <w:bCs/>
          <w:sz w:val="20"/>
          <w:szCs w:val="20"/>
          <w:lang w:bidi="en-US"/>
        </w:rPr>
      </w:pPr>
      <w:r w:rsidRPr="00712F3C">
        <w:rPr>
          <w:rFonts w:ascii="Times New Roman" w:eastAsia="Calibri" w:hAnsi="Times New Roman"/>
          <w:b/>
          <w:bCs/>
          <w:sz w:val="20"/>
          <w:szCs w:val="20"/>
          <w:lang w:bidi="en-US"/>
        </w:rPr>
        <w:t>The Equity Shares have not been and will not be registered, listed or otherwise qualified in any other jurisdiction outside India and may not be offered or sold, and applications may not be made by persons in any such jurisdiction, except in compliance with the applicable laws of such jurisdiction.</w:t>
      </w:r>
    </w:p>
    <w:p w14:paraId="4E06C7F1" w14:textId="77777777" w:rsidR="004047F2" w:rsidRPr="00712F3C" w:rsidRDefault="004047F2" w:rsidP="004047F2">
      <w:pPr>
        <w:widowControl w:val="0"/>
        <w:spacing w:after="0" w:line="240" w:lineRule="auto"/>
        <w:jc w:val="both"/>
        <w:rPr>
          <w:rFonts w:ascii="Times New Roman" w:eastAsia="Calibri" w:hAnsi="Times New Roman"/>
          <w:b/>
          <w:bCs/>
          <w:sz w:val="20"/>
          <w:szCs w:val="20"/>
          <w:lang w:bidi="en-US"/>
        </w:rPr>
      </w:pPr>
    </w:p>
    <w:p w14:paraId="75313F51" w14:textId="77777777" w:rsidR="004047F2" w:rsidRPr="00712F3C" w:rsidRDefault="004047F2" w:rsidP="004047F2">
      <w:pPr>
        <w:widowControl w:val="0"/>
        <w:spacing w:after="0" w:line="240" w:lineRule="auto"/>
        <w:jc w:val="both"/>
        <w:rPr>
          <w:rFonts w:ascii="Times New Roman" w:eastAsia="Calibri" w:hAnsi="Times New Roman"/>
          <w:b/>
          <w:bCs/>
          <w:sz w:val="20"/>
          <w:szCs w:val="20"/>
          <w:lang w:bidi="en-US"/>
        </w:rPr>
      </w:pPr>
      <w:r w:rsidRPr="00712F3C">
        <w:rPr>
          <w:rFonts w:ascii="Times New Roman" w:eastAsia="Calibri" w:hAnsi="Times New Roman"/>
          <w:b/>
          <w:bCs/>
          <w:sz w:val="20"/>
          <w:szCs w:val="20"/>
          <w:lang w:bidi="en-US"/>
        </w:rPr>
        <w:t>Joint Holders</w:t>
      </w:r>
    </w:p>
    <w:p w14:paraId="7D56ED4D" w14:textId="77777777" w:rsidR="004047F2" w:rsidRPr="00712F3C" w:rsidRDefault="004047F2" w:rsidP="004047F2">
      <w:pPr>
        <w:widowControl w:val="0"/>
        <w:spacing w:after="0" w:line="240" w:lineRule="auto"/>
        <w:rPr>
          <w:rFonts w:ascii="Times New Roman" w:eastAsia="Calibri" w:hAnsi="Times New Roman"/>
          <w:bCs/>
          <w:sz w:val="20"/>
          <w:szCs w:val="20"/>
          <w:lang w:bidi="en-US"/>
        </w:rPr>
      </w:pPr>
    </w:p>
    <w:p w14:paraId="0ADA8BF3" w14:textId="77777777" w:rsidR="004047F2" w:rsidRPr="00712F3C" w:rsidRDefault="004047F2" w:rsidP="004047F2">
      <w:pPr>
        <w:widowControl w:val="0"/>
        <w:spacing w:after="0" w:line="240" w:lineRule="auto"/>
        <w:jc w:val="both"/>
        <w:rPr>
          <w:rFonts w:ascii="Times New Roman" w:eastAsia="Calibri" w:hAnsi="Times New Roman"/>
          <w:bCs/>
          <w:sz w:val="20"/>
          <w:szCs w:val="20"/>
          <w:lang w:bidi="en-US"/>
        </w:rPr>
      </w:pPr>
      <w:r w:rsidRPr="00712F3C">
        <w:rPr>
          <w:rFonts w:ascii="Times New Roman" w:eastAsia="Calibri" w:hAnsi="Times New Roman"/>
          <w:bCs/>
          <w:sz w:val="20"/>
          <w:szCs w:val="20"/>
          <w:lang w:bidi="en-US"/>
        </w:rPr>
        <w:t>Where 2 (two) or more persons are registered as the holders of any Equity Shares, they will be deemed to hold such Equity Shares as joint-holders with benefits of survivorship.</w:t>
      </w:r>
    </w:p>
    <w:p w14:paraId="7D37AF2F" w14:textId="77777777" w:rsidR="004047F2" w:rsidRPr="00712F3C" w:rsidRDefault="004047F2" w:rsidP="004047F2">
      <w:pPr>
        <w:widowControl w:val="0"/>
        <w:spacing w:after="0" w:line="240" w:lineRule="auto"/>
        <w:rPr>
          <w:rFonts w:ascii="Times New Roman" w:eastAsia="Calibri" w:hAnsi="Times New Roman"/>
          <w:bCs/>
          <w:sz w:val="20"/>
          <w:szCs w:val="20"/>
          <w:lang w:bidi="en-US"/>
        </w:rPr>
      </w:pPr>
    </w:p>
    <w:p w14:paraId="5C4889F8" w14:textId="77777777" w:rsidR="004047F2" w:rsidRPr="00712F3C" w:rsidRDefault="004047F2" w:rsidP="004047F2">
      <w:pPr>
        <w:widowControl w:val="0"/>
        <w:spacing w:after="0" w:line="240" w:lineRule="auto"/>
        <w:jc w:val="both"/>
        <w:rPr>
          <w:rFonts w:ascii="Times New Roman" w:eastAsia="Calibri" w:hAnsi="Times New Roman"/>
          <w:b/>
          <w:bCs/>
          <w:sz w:val="20"/>
          <w:szCs w:val="20"/>
          <w:lang w:bidi="en-US"/>
        </w:rPr>
      </w:pPr>
      <w:r w:rsidRPr="00712F3C">
        <w:rPr>
          <w:rFonts w:ascii="Times New Roman" w:eastAsia="Calibri" w:hAnsi="Times New Roman"/>
          <w:b/>
          <w:bCs/>
          <w:sz w:val="20"/>
          <w:szCs w:val="20"/>
          <w:lang w:bidi="en-US"/>
        </w:rPr>
        <w:t>Nomination Facility to Investor</w:t>
      </w:r>
    </w:p>
    <w:p w14:paraId="65E1DE83" w14:textId="77777777" w:rsidR="004047F2" w:rsidRPr="00712F3C" w:rsidRDefault="004047F2" w:rsidP="004047F2">
      <w:pPr>
        <w:widowControl w:val="0"/>
        <w:spacing w:after="0" w:line="240" w:lineRule="auto"/>
        <w:rPr>
          <w:rFonts w:ascii="Times New Roman" w:eastAsia="Calibri" w:hAnsi="Times New Roman"/>
          <w:bCs/>
          <w:sz w:val="20"/>
          <w:szCs w:val="20"/>
          <w:lang w:bidi="en-US"/>
        </w:rPr>
      </w:pPr>
    </w:p>
    <w:p w14:paraId="25222541" w14:textId="77777777" w:rsidR="004047F2" w:rsidRPr="00712F3C" w:rsidRDefault="004047F2" w:rsidP="004047F2">
      <w:pPr>
        <w:widowControl w:val="0"/>
        <w:spacing w:after="0" w:line="240" w:lineRule="auto"/>
        <w:jc w:val="both"/>
        <w:rPr>
          <w:rFonts w:ascii="Times New Roman" w:eastAsia="Calibri" w:hAnsi="Times New Roman"/>
          <w:bCs/>
          <w:sz w:val="20"/>
          <w:szCs w:val="20"/>
          <w:lang w:bidi="en-US"/>
        </w:rPr>
      </w:pPr>
      <w:r w:rsidRPr="00712F3C">
        <w:rPr>
          <w:rFonts w:ascii="Times New Roman" w:eastAsia="Calibri" w:hAnsi="Times New Roman"/>
          <w:bCs/>
          <w:sz w:val="20"/>
          <w:szCs w:val="20"/>
          <w:lang w:bidi="en-US"/>
        </w:rPr>
        <w:t>In accordance with Section 72 of the Companies Act, 2013 the sole or first applicant, along with other joint applicant, may nominate any one person in whom, in the event of the death of sole applicant or in case of joint applicant, death of all the applicants, as the case may be, the Equity Shares allotted, if any, shall vest. A person, being a nominee, entitled to the Equity Shares by reason of the death of the original holder(s), shall in accordance with Section 72 of the Companies Act, 2013 be entitled to the same advantages to which he or she would be entitled if he or she were the registered holder of the Equity Share(s). Where the nominee is a minor, the holder(s) may make a nomination to appoint, in the prescribed manner, any person to become entitled to Equity Share(s) in the event of his or her death during the minority. A nomination shall stand rescinded upon a sale of equity share(s) by the person nominating. A buyer will be entitled to make a fresh nomination in the manner prescribed. Fresh nomination can be made only on the prescribed form available on request at the Registered Office of our Company or to the Registrar and Transfer Agents of our Company.</w:t>
      </w:r>
    </w:p>
    <w:p w14:paraId="29FBE40A" w14:textId="77777777" w:rsidR="004047F2" w:rsidRPr="00712F3C" w:rsidRDefault="004047F2" w:rsidP="004047F2">
      <w:pPr>
        <w:widowControl w:val="0"/>
        <w:spacing w:after="0" w:line="240" w:lineRule="auto"/>
        <w:jc w:val="both"/>
        <w:rPr>
          <w:rFonts w:ascii="Times New Roman" w:eastAsia="Calibri" w:hAnsi="Times New Roman"/>
          <w:bCs/>
          <w:sz w:val="20"/>
          <w:szCs w:val="20"/>
          <w:lang w:bidi="en-US"/>
        </w:rPr>
      </w:pPr>
    </w:p>
    <w:p w14:paraId="3F681AAA" w14:textId="77777777" w:rsidR="004047F2" w:rsidRPr="00712F3C" w:rsidRDefault="004047F2" w:rsidP="004047F2">
      <w:pPr>
        <w:widowControl w:val="0"/>
        <w:spacing w:after="0" w:line="240" w:lineRule="auto"/>
        <w:jc w:val="both"/>
        <w:rPr>
          <w:rFonts w:ascii="Times New Roman" w:eastAsia="Calibri" w:hAnsi="Times New Roman"/>
          <w:bCs/>
          <w:sz w:val="20"/>
          <w:szCs w:val="20"/>
          <w:lang w:bidi="en-US"/>
        </w:rPr>
      </w:pPr>
      <w:r w:rsidRPr="00712F3C">
        <w:rPr>
          <w:rFonts w:ascii="Times New Roman" w:eastAsia="Calibri" w:hAnsi="Times New Roman"/>
          <w:bCs/>
          <w:sz w:val="20"/>
          <w:szCs w:val="20"/>
          <w:lang w:bidi="en-US"/>
        </w:rPr>
        <w:t>In accordance with Section 72 of the Companies Act, 2013 any Person who becomes a nominee by virtue of Section 72 of the Companies Act, 2013 shall upon the production of such evidence as may be required by the Board, elect either:</w:t>
      </w:r>
    </w:p>
    <w:p w14:paraId="17D3CD18" w14:textId="77777777" w:rsidR="004047F2" w:rsidRPr="00712F3C" w:rsidRDefault="004047F2" w:rsidP="004047F2">
      <w:pPr>
        <w:widowControl w:val="0"/>
        <w:spacing w:after="0" w:line="240" w:lineRule="auto"/>
        <w:rPr>
          <w:rFonts w:ascii="Times New Roman" w:eastAsia="Calibri" w:hAnsi="Times New Roman"/>
          <w:bCs/>
          <w:sz w:val="20"/>
          <w:szCs w:val="20"/>
          <w:lang w:bidi="en-US"/>
        </w:rPr>
      </w:pPr>
    </w:p>
    <w:p w14:paraId="336FC353" w14:textId="77777777" w:rsidR="004047F2" w:rsidRPr="00712F3C" w:rsidRDefault="004047F2">
      <w:pPr>
        <w:pStyle w:val="ListParagraph"/>
        <w:widowControl w:val="0"/>
        <w:numPr>
          <w:ilvl w:val="0"/>
          <w:numId w:val="202"/>
        </w:numPr>
        <w:suppressAutoHyphens w:val="0"/>
        <w:autoSpaceDE/>
        <w:autoSpaceDN/>
        <w:adjustRightInd/>
        <w:spacing w:line="240" w:lineRule="auto"/>
        <w:contextualSpacing/>
        <w:textAlignment w:val="auto"/>
        <w:rPr>
          <w:rFonts w:eastAsia="Calibri"/>
          <w:bCs/>
          <w:sz w:val="20"/>
          <w:szCs w:val="20"/>
          <w:lang w:bidi="en-US"/>
        </w:rPr>
      </w:pPr>
      <w:r w:rsidRPr="00712F3C">
        <w:rPr>
          <w:rFonts w:eastAsia="Calibri"/>
          <w:bCs/>
          <w:sz w:val="20"/>
          <w:szCs w:val="20"/>
          <w:lang w:bidi="en-US"/>
        </w:rPr>
        <w:t>to register himself or herself as the holder of the Equity Shares; or</w:t>
      </w:r>
    </w:p>
    <w:p w14:paraId="61A50411" w14:textId="77777777" w:rsidR="004047F2" w:rsidRPr="00712F3C" w:rsidRDefault="004047F2">
      <w:pPr>
        <w:pStyle w:val="ListParagraph"/>
        <w:widowControl w:val="0"/>
        <w:numPr>
          <w:ilvl w:val="0"/>
          <w:numId w:val="202"/>
        </w:numPr>
        <w:suppressAutoHyphens w:val="0"/>
        <w:autoSpaceDE/>
        <w:autoSpaceDN/>
        <w:adjustRightInd/>
        <w:spacing w:line="240" w:lineRule="auto"/>
        <w:contextualSpacing/>
        <w:textAlignment w:val="auto"/>
        <w:rPr>
          <w:rFonts w:eastAsia="Calibri"/>
          <w:bCs/>
          <w:sz w:val="20"/>
          <w:szCs w:val="20"/>
          <w:lang w:bidi="en-US"/>
        </w:rPr>
      </w:pPr>
      <w:r w:rsidRPr="00712F3C">
        <w:rPr>
          <w:rFonts w:eastAsia="Calibri"/>
          <w:bCs/>
          <w:sz w:val="20"/>
          <w:szCs w:val="20"/>
          <w:lang w:bidi="en-US"/>
        </w:rPr>
        <w:t>to make such transfer of the Equity Shares, as the deceased holder could have made.</w:t>
      </w:r>
    </w:p>
    <w:p w14:paraId="1299F3DE" w14:textId="77777777" w:rsidR="004047F2" w:rsidRPr="00712F3C" w:rsidRDefault="004047F2" w:rsidP="004047F2">
      <w:pPr>
        <w:widowControl w:val="0"/>
        <w:spacing w:after="0" w:line="240" w:lineRule="auto"/>
        <w:rPr>
          <w:rFonts w:ascii="Times New Roman" w:eastAsia="Calibri" w:hAnsi="Times New Roman"/>
          <w:bCs/>
          <w:sz w:val="20"/>
          <w:szCs w:val="20"/>
          <w:lang w:bidi="en-US"/>
        </w:rPr>
      </w:pPr>
    </w:p>
    <w:p w14:paraId="372D5082" w14:textId="77777777" w:rsidR="004047F2" w:rsidRPr="00712F3C" w:rsidRDefault="004047F2" w:rsidP="004047F2">
      <w:pPr>
        <w:widowControl w:val="0"/>
        <w:spacing w:after="0" w:line="240" w:lineRule="auto"/>
        <w:jc w:val="both"/>
        <w:rPr>
          <w:rFonts w:ascii="Times New Roman" w:eastAsia="Calibri" w:hAnsi="Times New Roman"/>
          <w:bCs/>
          <w:sz w:val="20"/>
          <w:szCs w:val="20"/>
          <w:lang w:bidi="en-US"/>
        </w:rPr>
      </w:pPr>
      <w:r w:rsidRPr="00712F3C">
        <w:rPr>
          <w:rFonts w:ascii="Times New Roman" w:eastAsia="Calibri" w:hAnsi="Times New Roman"/>
          <w:bCs/>
          <w:sz w:val="20"/>
          <w:szCs w:val="20"/>
          <w:lang w:bidi="en-US"/>
        </w:rPr>
        <w:t>Further, the Board may at any time give notice requiring any nominee to choose either to be registered himself or herself or to transfer the Equity Shares, and if the notice is not complied with within a period of 90 (ninety) days, the Board may thereafter withhold payment of all dividends, bonuses or other moneys payable in respect of the Equity Shares, until the requirements of the notice have been complied with.</w:t>
      </w:r>
    </w:p>
    <w:p w14:paraId="6076624B" w14:textId="77777777" w:rsidR="004047F2" w:rsidRPr="00712F3C" w:rsidRDefault="004047F2" w:rsidP="004047F2">
      <w:pPr>
        <w:widowControl w:val="0"/>
        <w:spacing w:after="0" w:line="240" w:lineRule="auto"/>
        <w:jc w:val="both"/>
        <w:rPr>
          <w:rFonts w:ascii="Times New Roman" w:eastAsia="Calibri" w:hAnsi="Times New Roman"/>
          <w:bCs/>
          <w:sz w:val="20"/>
          <w:szCs w:val="20"/>
          <w:lang w:bidi="en-US"/>
        </w:rPr>
      </w:pPr>
    </w:p>
    <w:p w14:paraId="38A5B3A2" w14:textId="77777777" w:rsidR="004047F2" w:rsidRPr="00712F3C" w:rsidRDefault="004047F2" w:rsidP="004047F2">
      <w:pPr>
        <w:widowControl w:val="0"/>
        <w:spacing w:after="0" w:line="240" w:lineRule="auto"/>
        <w:jc w:val="both"/>
        <w:rPr>
          <w:rFonts w:ascii="Times New Roman" w:eastAsia="Calibri" w:hAnsi="Times New Roman"/>
          <w:bCs/>
          <w:sz w:val="20"/>
          <w:szCs w:val="20"/>
          <w:lang w:bidi="en-US"/>
        </w:rPr>
      </w:pPr>
      <w:r w:rsidRPr="00712F3C">
        <w:rPr>
          <w:rFonts w:ascii="Times New Roman" w:eastAsia="Calibri" w:hAnsi="Times New Roman"/>
          <w:bCs/>
          <w:sz w:val="20"/>
          <w:szCs w:val="20"/>
          <w:lang w:bidi="en-US"/>
        </w:rPr>
        <w:t>Since the allotment of Equity Shares in the Issue is in dematerialized form, there is no need to make a separate nomination with us. Nominations registered with the respective depository participant of the applicant would prevail. If the investors require changing the nomination, they are requested to inform their respective depository participant.</w:t>
      </w:r>
    </w:p>
    <w:p w14:paraId="47E92644" w14:textId="77777777" w:rsidR="004047F2" w:rsidRPr="00712F3C" w:rsidRDefault="004047F2" w:rsidP="004047F2">
      <w:pPr>
        <w:widowControl w:val="0"/>
        <w:spacing w:after="0" w:line="240" w:lineRule="auto"/>
        <w:rPr>
          <w:rFonts w:ascii="Times New Roman" w:eastAsia="Calibri" w:hAnsi="Times New Roman"/>
          <w:b/>
          <w:bCs/>
          <w:sz w:val="20"/>
          <w:szCs w:val="20"/>
          <w:lang w:bidi="en-US"/>
        </w:rPr>
      </w:pPr>
    </w:p>
    <w:p w14:paraId="566DE56E" w14:textId="77777777" w:rsidR="004047F2" w:rsidRPr="00712F3C" w:rsidRDefault="004047F2" w:rsidP="004047F2">
      <w:pPr>
        <w:widowControl w:val="0"/>
        <w:spacing w:after="0" w:line="240" w:lineRule="auto"/>
        <w:rPr>
          <w:rFonts w:ascii="Times New Roman" w:eastAsia="Calibri" w:hAnsi="Times New Roman"/>
          <w:b/>
          <w:bCs/>
          <w:sz w:val="20"/>
          <w:szCs w:val="20"/>
          <w:lang w:bidi="en-US"/>
        </w:rPr>
      </w:pPr>
      <w:r w:rsidRPr="00712F3C">
        <w:rPr>
          <w:rFonts w:ascii="Times New Roman" w:eastAsia="Calibri" w:hAnsi="Times New Roman"/>
          <w:b/>
          <w:bCs/>
          <w:sz w:val="20"/>
          <w:szCs w:val="20"/>
          <w:lang w:bidi="en-US"/>
        </w:rPr>
        <w:t>Issue Program</w:t>
      </w:r>
    </w:p>
    <w:p w14:paraId="510787EC" w14:textId="77777777" w:rsidR="004047F2" w:rsidRPr="00712F3C" w:rsidRDefault="004047F2" w:rsidP="004047F2">
      <w:pPr>
        <w:widowControl w:val="0"/>
        <w:spacing w:after="0" w:line="240" w:lineRule="auto"/>
        <w:rPr>
          <w:rFonts w:ascii="Times New Roman" w:eastAsia="Calibri" w:hAnsi="Times New Roman"/>
          <w:bCs/>
          <w:sz w:val="20"/>
          <w:szCs w:val="20"/>
          <w:lang w:bidi="en-US"/>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6268"/>
        <w:gridCol w:w="4182"/>
      </w:tblGrid>
      <w:tr w:rsidR="004047F2" w:rsidRPr="00712F3C" w14:paraId="3512B8A6" w14:textId="77777777" w:rsidTr="00250DAC">
        <w:trPr>
          <w:tblHeader/>
        </w:trPr>
        <w:tc>
          <w:tcPr>
            <w:tcW w:w="2999" w:type="pct"/>
            <w:tcBorders>
              <w:top w:val="single" w:sz="6" w:space="0" w:color="000000"/>
              <w:left w:val="single" w:sz="6" w:space="0" w:color="000000"/>
              <w:bottom w:val="single" w:sz="6" w:space="0" w:color="000000"/>
              <w:right w:val="single" w:sz="6" w:space="0" w:color="000000"/>
            </w:tcBorders>
            <w:shd w:val="clear" w:color="auto" w:fill="D0CECE" w:themeFill="background2" w:themeFillShade="E6"/>
            <w:hideMark/>
          </w:tcPr>
          <w:p w14:paraId="28F65635" w14:textId="77777777" w:rsidR="004047F2" w:rsidRPr="00712F3C" w:rsidRDefault="004047F2" w:rsidP="00250DAC">
            <w:pPr>
              <w:widowControl w:val="0"/>
              <w:spacing w:after="0" w:line="240" w:lineRule="auto"/>
              <w:jc w:val="center"/>
              <w:rPr>
                <w:rFonts w:ascii="Times New Roman" w:eastAsia="Calibri" w:hAnsi="Times New Roman"/>
                <w:b/>
                <w:bCs/>
                <w:sz w:val="20"/>
                <w:szCs w:val="20"/>
                <w:lang w:val="en-IN" w:bidi="en-US"/>
              </w:rPr>
            </w:pPr>
            <w:r w:rsidRPr="00712F3C">
              <w:rPr>
                <w:rFonts w:ascii="Times New Roman" w:eastAsia="Calibri" w:hAnsi="Times New Roman"/>
                <w:b/>
                <w:bCs/>
                <w:sz w:val="20"/>
                <w:szCs w:val="20"/>
                <w:lang w:val="en-IN" w:bidi="en-US"/>
              </w:rPr>
              <w:t>Event</w:t>
            </w:r>
          </w:p>
        </w:tc>
        <w:tc>
          <w:tcPr>
            <w:tcW w:w="2001" w:type="pct"/>
            <w:tcBorders>
              <w:top w:val="single" w:sz="6" w:space="0" w:color="000000"/>
              <w:left w:val="single" w:sz="6" w:space="0" w:color="000000"/>
              <w:bottom w:val="single" w:sz="6" w:space="0" w:color="000000"/>
              <w:right w:val="single" w:sz="6" w:space="0" w:color="000000"/>
            </w:tcBorders>
            <w:shd w:val="clear" w:color="auto" w:fill="D0CECE" w:themeFill="background2" w:themeFillShade="E6"/>
            <w:hideMark/>
          </w:tcPr>
          <w:p w14:paraId="0D55F132" w14:textId="77777777" w:rsidR="004047F2" w:rsidRPr="00712F3C" w:rsidRDefault="004047F2" w:rsidP="00250DAC">
            <w:pPr>
              <w:widowControl w:val="0"/>
              <w:spacing w:after="0" w:line="240" w:lineRule="auto"/>
              <w:jc w:val="center"/>
              <w:rPr>
                <w:rFonts w:ascii="Times New Roman" w:eastAsia="Calibri" w:hAnsi="Times New Roman"/>
                <w:b/>
                <w:sz w:val="20"/>
                <w:szCs w:val="20"/>
                <w:lang w:val="en-IN" w:bidi="en-US"/>
              </w:rPr>
            </w:pPr>
            <w:r w:rsidRPr="00712F3C">
              <w:rPr>
                <w:rFonts w:ascii="Times New Roman" w:eastAsia="Calibri" w:hAnsi="Times New Roman"/>
                <w:b/>
                <w:sz w:val="20"/>
                <w:szCs w:val="20"/>
                <w:lang w:val="en-IN" w:bidi="en-US"/>
              </w:rPr>
              <w:t>Indicative Date</w:t>
            </w:r>
          </w:p>
        </w:tc>
      </w:tr>
      <w:tr w:rsidR="004047F2" w:rsidRPr="00712F3C" w14:paraId="4DCE0495" w14:textId="77777777" w:rsidTr="00250DAC">
        <w:tc>
          <w:tcPr>
            <w:tcW w:w="2999" w:type="pct"/>
            <w:tcBorders>
              <w:top w:val="single" w:sz="6" w:space="0" w:color="000000"/>
              <w:left w:val="single" w:sz="6" w:space="0" w:color="000000"/>
              <w:bottom w:val="single" w:sz="6" w:space="0" w:color="000000"/>
              <w:right w:val="single" w:sz="6" w:space="0" w:color="000000"/>
            </w:tcBorders>
            <w:hideMark/>
          </w:tcPr>
          <w:p w14:paraId="2A427599" w14:textId="77777777" w:rsidR="004047F2" w:rsidRPr="00712F3C" w:rsidRDefault="004047F2" w:rsidP="00250DAC">
            <w:pPr>
              <w:widowControl w:val="0"/>
              <w:spacing w:after="0" w:line="240" w:lineRule="auto"/>
              <w:jc w:val="both"/>
              <w:rPr>
                <w:rFonts w:ascii="Times New Roman" w:eastAsia="Calibri" w:hAnsi="Times New Roman"/>
                <w:bCs/>
                <w:sz w:val="20"/>
                <w:szCs w:val="20"/>
                <w:lang w:val="en-IN" w:bidi="en-US"/>
              </w:rPr>
            </w:pPr>
            <w:r w:rsidRPr="00712F3C">
              <w:rPr>
                <w:rFonts w:ascii="Times New Roman" w:hAnsi="Times New Roman"/>
                <w:sz w:val="20"/>
                <w:szCs w:val="20"/>
              </w:rPr>
              <w:t xml:space="preserve">Bid/ Issue </w:t>
            </w:r>
            <w:r w:rsidRPr="00712F3C">
              <w:rPr>
                <w:rFonts w:ascii="Times New Roman" w:eastAsia="Calibri" w:hAnsi="Times New Roman"/>
                <w:sz w:val="20"/>
                <w:szCs w:val="20"/>
                <w:lang w:val="en-IN"/>
              </w:rPr>
              <w:t>Opening Date</w:t>
            </w:r>
          </w:p>
        </w:tc>
        <w:tc>
          <w:tcPr>
            <w:tcW w:w="2001" w:type="pct"/>
            <w:tcBorders>
              <w:top w:val="single" w:sz="6" w:space="0" w:color="000000"/>
              <w:left w:val="single" w:sz="6" w:space="0" w:color="000000"/>
              <w:bottom w:val="single" w:sz="6" w:space="0" w:color="000000"/>
              <w:right w:val="single" w:sz="6" w:space="0" w:color="000000"/>
            </w:tcBorders>
            <w:hideMark/>
          </w:tcPr>
          <w:p w14:paraId="52A63863" w14:textId="77777777" w:rsidR="004047F2" w:rsidRPr="00712F3C" w:rsidRDefault="004047F2" w:rsidP="00250DAC">
            <w:pPr>
              <w:widowControl w:val="0"/>
              <w:spacing w:after="0" w:line="240" w:lineRule="auto"/>
              <w:jc w:val="center"/>
              <w:rPr>
                <w:rFonts w:ascii="Times New Roman" w:eastAsia="Calibri" w:hAnsi="Times New Roman"/>
                <w:sz w:val="20"/>
                <w:szCs w:val="20"/>
                <w:lang w:val="en-IN" w:bidi="en-US"/>
              </w:rPr>
            </w:pPr>
            <w:r w:rsidRPr="00712F3C">
              <w:rPr>
                <w:rFonts w:ascii="Times New Roman" w:eastAsia="Calibri" w:hAnsi="Times New Roman"/>
                <w:sz w:val="20"/>
                <w:szCs w:val="20"/>
                <w:lang w:val="en-IN"/>
              </w:rPr>
              <w:t>[●]</w:t>
            </w:r>
            <w:r w:rsidRPr="00712F3C">
              <w:rPr>
                <w:rFonts w:ascii="Times New Roman" w:eastAsia="Calibri" w:hAnsi="Times New Roman"/>
                <w:sz w:val="20"/>
                <w:szCs w:val="20"/>
                <w:vertAlign w:val="superscript"/>
                <w:lang w:val="en-IN"/>
              </w:rPr>
              <w:t>1</w:t>
            </w:r>
          </w:p>
        </w:tc>
      </w:tr>
      <w:tr w:rsidR="004047F2" w:rsidRPr="00712F3C" w14:paraId="5A44DA0E" w14:textId="77777777" w:rsidTr="00250DAC">
        <w:tc>
          <w:tcPr>
            <w:tcW w:w="2999" w:type="pct"/>
            <w:tcBorders>
              <w:top w:val="single" w:sz="6" w:space="0" w:color="000000"/>
              <w:left w:val="single" w:sz="6" w:space="0" w:color="000000"/>
              <w:bottom w:val="single" w:sz="6" w:space="0" w:color="000000"/>
              <w:right w:val="single" w:sz="6" w:space="0" w:color="000000"/>
            </w:tcBorders>
            <w:hideMark/>
          </w:tcPr>
          <w:p w14:paraId="7392A111" w14:textId="77777777" w:rsidR="004047F2" w:rsidRPr="00712F3C" w:rsidRDefault="004047F2" w:rsidP="00250DAC">
            <w:pPr>
              <w:widowControl w:val="0"/>
              <w:spacing w:after="0" w:line="240" w:lineRule="auto"/>
              <w:jc w:val="both"/>
              <w:rPr>
                <w:rFonts w:ascii="Times New Roman" w:eastAsia="Calibri" w:hAnsi="Times New Roman"/>
                <w:bCs/>
                <w:sz w:val="20"/>
                <w:szCs w:val="20"/>
                <w:lang w:val="en-IN" w:bidi="en-US"/>
              </w:rPr>
            </w:pPr>
            <w:r w:rsidRPr="00712F3C">
              <w:rPr>
                <w:rFonts w:ascii="Times New Roman" w:hAnsi="Times New Roman"/>
                <w:sz w:val="20"/>
                <w:szCs w:val="20"/>
              </w:rPr>
              <w:t xml:space="preserve">Bid/ Issue </w:t>
            </w:r>
            <w:r w:rsidRPr="00712F3C">
              <w:rPr>
                <w:rFonts w:ascii="Times New Roman" w:eastAsia="Calibri" w:hAnsi="Times New Roman"/>
                <w:bCs/>
                <w:sz w:val="20"/>
                <w:szCs w:val="20"/>
                <w:lang w:val="en-IN" w:bidi="en-US"/>
              </w:rPr>
              <w:t>Closing Date</w:t>
            </w:r>
          </w:p>
        </w:tc>
        <w:tc>
          <w:tcPr>
            <w:tcW w:w="2001" w:type="pct"/>
            <w:tcBorders>
              <w:top w:val="single" w:sz="6" w:space="0" w:color="000000"/>
              <w:left w:val="single" w:sz="6" w:space="0" w:color="000000"/>
              <w:bottom w:val="single" w:sz="6" w:space="0" w:color="000000"/>
              <w:right w:val="single" w:sz="6" w:space="0" w:color="000000"/>
            </w:tcBorders>
            <w:hideMark/>
          </w:tcPr>
          <w:p w14:paraId="5B39FA51" w14:textId="77777777" w:rsidR="004047F2" w:rsidRPr="00712F3C" w:rsidRDefault="004047F2" w:rsidP="00250DAC">
            <w:pPr>
              <w:widowControl w:val="0"/>
              <w:spacing w:after="0" w:line="240" w:lineRule="auto"/>
              <w:jc w:val="center"/>
              <w:rPr>
                <w:rFonts w:ascii="Times New Roman" w:eastAsia="Calibri" w:hAnsi="Times New Roman"/>
                <w:sz w:val="20"/>
                <w:szCs w:val="20"/>
                <w:lang w:val="en-IN" w:bidi="en-US"/>
              </w:rPr>
            </w:pPr>
            <w:r w:rsidRPr="00712F3C">
              <w:rPr>
                <w:rFonts w:ascii="Times New Roman" w:eastAsia="Calibri" w:hAnsi="Times New Roman"/>
                <w:sz w:val="20"/>
                <w:szCs w:val="20"/>
                <w:lang w:val="en-IN"/>
              </w:rPr>
              <w:t>[●]</w:t>
            </w:r>
            <w:r w:rsidRPr="00712F3C">
              <w:rPr>
                <w:rFonts w:ascii="Times New Roman" w:eastAsia="Calibri" w:hAnsi="Times New Roman"/>
                <w:sz w:val="20"/>
                <w:szCs w:val="20"/>
                <w:vertAlign w:val="superscript"/>
                <w:lang w:val="en-IN"/>
              </w:rPr>
              <w:t>2</w:t>
            </w:r>
          </w:p>
        </w:tc>
      </w:tr>
      <w:tr w:rsidR="004047F2" w:rsidRPr="00712F3C" w14:paraId="3B6B8521" w14:textId="77777777" w:rsidTr="00250DAC">
        <w:tc>
          <w:tcPr>
            <w:tcW w:w="2999" w:type="pct"/>
            <w:tcBorders>
              <w:top w:val="single" w:sz="6" w:space="0" w:color="000000"/>
              <w:left w:val="single" w:sz="6" w:space="0" w:color="000000"/>
              <w:bottom w:val="single" w:sz="6" w:space="0" w:color="000000"/>
              <w:right w:val="single" w:sz="6" w:space="0" w:color="000000"/>
            </w:tcBorders>
            <w:hideMark/>
          </w:tcPr>
          <w:p w14:paraId="1E6E22C1" w14:textId="77777777" w:rsidR="004047F2" w:rsidRPr="00712F3C" w:rsidRDefault="004047F2" w:rsidP="00250DAC">
            <w:pPr>
              <w:widowControl w:val="0"/>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bCs/>
                <w:sz w:val="20"/>
                <w:szCs w:val="20"/>
                <w:lang w:val="en-IN" w:bidi="en-US"/>
              </w:rPr>
              <w:t>Finalization of Basis of Allotment with the Designated Stock Exchange</w:t>
            </w:r>
          </w:p>
        </w:tc>
        <w:tc>
          <w:tcPr>
            <w:tcW w:w="2001" w:type="pct"/>
            <w:tcBorders>
              <w:top w:val="single" w:sz="6" w:space="0" w:color="000000"/>
              <w:left w:val="single" w:sz="6" w:space="0" w:color="000000"/>
              <w:bottom w:val="single" w:sz="6" w:space="0" w:color="000000"/>
              <w:right w:val="single" w:sz="6" w:space="0" w:color="000000"/>
            </w:tcBorders>
            <w:hideMark/>
          </w:tcPr>
          <w:p w14:paraId="02380D86" w14:textId="77777777" w:rsidR="004047F2" w:rsidRPr="00712F3C" w:rsidRDefault="004047F2" w:rsidP="00250DAC">
            <w:pPr>
              <w:widowControl w:val="0"/>
              <w:spacing w:after="0" w:line="240" w:lineRule="auto"/>
              <w:jc w:val="center"/>
              <w:rPr>
                <w:rFonts w:ascii="Times New Roman" w:eastAsia="Calibri" w:hAnsi="Times New Roman"/>
                <w:sz w:val="20"/>
                <w:szCs w:val="20"/>
                <w:lang w:val="en-IN" w:bidi="en-US"/>
              </w:rPr>
            </w:pPr>
            <w:r w:rsidRPr="00712F3C">
              <w:rPr>
                <w:rFonts w:ascii="Times New Roman" w:eastAsia="Calibri" w:hAnsi="Times New Roman"/>
                <w:sz w:val="20"/>
                <w:szCs w:val="20"/>
                <w:lang w:val="en-IN"/>
              </w:rPr>
              <w:t>On or about [●]</w:t>
            </w:r>
          </w:p>
        </w:tc>
      </w:tr>
      <w:tr w:rsidR="004047F2" w:rsidRPr="00712F3C" w14:paraId="0265146E" w14:textId="77777777" w:rsidTr="00250DAC">
        <w:tc>
          <w:tcPr>
            <w:tcW w:w="2999" w:type="pct"/>
            <w:tcBorders>
              <w:top w:val="single" w:sz="6" w:space="0" w:color="000000"/>
              <w:left w:val="single" w:sz="6" w:space="0" w:color="000000"/>
              <w:bottom w:val="single" w:sz="6" w:space="0" w:color="000000"/>
              <w:right w:val="single" w:sz="6" w:space="0" w:color="000000"/>
            </w:tcBorders>
            <w:hideMark/>
          </w:tcPr>
          <w:p w14:paraId="26DF065A" w14:textId="77777777" w:rsidR="004047F2" w:rsidRPr="00712F3C" w:rsidRDefault="004047F2" w:rsidP="00250DAC">
            <w:pPr>
              <w:widowControl w:val="0"/>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sz w:val="20"/>
                <w:szCs w:val="20"/>
                <w:lang w:val="en-IN"/>
              </w:rPr>
              <w:t>Initiation of Allotment/ Refunds/ Unblocking of Funds from ASBA Account or UPI Id Linked Bank Account*</w:t>
            </w:r>
          </w:p>
        </w:tc>
        <w:tc>
          <w:tcPr>
            <w:tcW w:w="2001" w:type="pct"/>
            <w:tcBorders>
              <w:top w:val="single" w:sz="6" w:space="0" w:color="000000"/>
              <w:left w:val="single" w:sz="6" w:space="0" w:color="000000"/>
              <w:bottom w:val="single" w:sz="6" w:space="0" w:color="000000"/>
              <w:right w:val="single" w:sz="6" w:space="0" w:color="000000"/>
            </w:tcBorders>
            <w:hideMark/>
          </w:tcPr>
          <w:p w14:paraId="5503807D" w14:textId="77777777" w:rsidR="004047F2" w:rsidRPr="00712F3C" w:rsidRDefault="004047F2" w:rsidP="00250DAC">
            <w:pPr>
              <w:widowControl w:val="0"/>
              <w:spacing w:after="0" w:line="240" w:lineRule="auto"/>
              <w:jc w:val="center"/>
              <w:rPr>
                <w:rFonts w:ascii="Times New Roman" w:eastAsia="Calibri" w:hAnsi="Times New Roman"/>
                <w:sz w:val="20"/>
                <w:szCs w:val="20"/>
                <w:lang w:val="en-IN" w:bidi="en-US"/>
              </w:rPr>
            </w:pPr>
            <w:r w:rsidRPr="00712F3C">
              <w:rPr>
                <w:rFonts w:ascii="Times New Roman" w:eastAsia="Calibri" w:hAnsi="Times New Roman"/>
                <w:sz w:val="20"/>
                <w:szCs w:val="20"/>
                <w:lang w:val="en-IN"/>
              </w:rPr>
              <w:t>On or about [●]</w:t>
            </w:r>
          </w:p>
        </w:tc>
      </w:tr>
      <w:tr w:rsidR="004047F2" w:rsidRPr="00712F3C" w14:paraId="3A394AB3" w14:textId="77777777" w:rsidTr="00250DAC">
        <w:tc>
          <w:tcPr>
            <w:tcW w:w="2999" w:type="pct"/>
            <w:tcBorders>
              <w:top w:val="single" w:sz="6" w:space="0" w:color="000000"/>
              <w:left w:val="single" w:sz="6" w:space="0" w:color="000000"/>
              <w:bottom w:val="single" w:sz="6" w:space="0" w:color="000000"/>
              <w:right w:val="single" w:sz="6" w:space="0" w:color="000000"/>
            </w:tcBorders>
            <w:hideMark/>
          </w:tcPr>
          <w:p w14:paraId="7ACD6B57" w14:textId="77777777" w:rsidR="004047F2" w:rsidRPr="00712F3C" w:rsidRDefault="004047F2" w:rsidP="00250DAC">
            <w:pPr>
              <w:widowControl w:val="0"/>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sz w:val="20"/>
                <w:szCs w:val="20"/>
                <w:lang w:val="en-IN"/>
              </w:rPr>
              <w:t>Credit of Equity Shares to Demat Accounts of Allottees</w:t>
            </w:r>
          </w:p>
        </w:tc>
        <w:tc>
          <w:tcPr>
            <w:tcW w:w="2001" w:type="pct"/>
            <w:tcBorders>
              <w:top w:val="single" w:sz="6" w:space="0" w:color="000000"/>
              <w:left w:val="single" w:sz="6" w:space="0" w:color="000000"/>
              <w:bottom w:val="single" w:sz="6" w:space="0" w:color="000000"/>
              <w:right w:val="single" w:sz="6" w:space="0" w:color="000000"/>
            </w:tcBorders>
            <w:hideMark/>
          </w:tcPr>
          <w:p w14:paraId="359BEF54" w14:textId="77777777" w:rsidR="004047F2" w:rsidRPr="00712F3C" w:rsidRDefault="004047F2" w:rsidP="00250DAC">
            <w:pPr>
              <w:widowControl w:val="0"/>
              <w:spacing w:after="0" w:line="240" w:lineRule="auto"/>
              <w:jc w:val="center"/>
              <w:rPr>
                <w:rFonts w:ascii="Times New Roman" w:eastAsia="Calibri" w:hAnsi="Times New Roman"/>
                <w:sz w:val="20"/>
                <w:szCs w:val="20"/>
                <w:lang w:val="en-IN" w:bidi="en-US"/>
              </w:rPr>
            </w:pPr>
            <w:r w:rsidRPr="00712F3C">
              <w:rPr>
                <w:rFonts w:ascii="Times New Roman" w:eastAsia="Calibri" w:hAnsi="Times New Roman"/>
                <w:sz w:val="20"/>
                <w:szCs w:val="20"/>
                <w:lang w:val="en-IN"/>
              </w:rPr>
              <w:t>On or about [●]</w:t>
            </w:r>
          </w:p>
        </w:tc>
      </w:tr>
      <w:tr w:rsidR="004047F2" w:rsidRPr="00712F3C" w14:paraId="41225840" w14:textId="77777777" w:rsidTr="00250DAC">
        <w:tc>
          <w:tcPr>
            <w:tcW w:w="2999" w:type="pct"/>
            <w:tcBorders>
              <w:top w:val="single" w:sz="6" w:space="0" w:color="000000"/>
              <w:left w:val="single" w:sz="6" w:space="0" w:color="000000"/>
              <w:bottom w:val="single" w:sz="6" w:space="0" w:color="000000"/>
              <w:right w:val="single" w:sz="6" w:space="0" w:color="000000"/>
            </w:tcBorders>
            <w:hideMark/>
          </w:tcPr>
          <w:p w14:paraId="42F37F0F" w14:textId="77777777" w:rsidR="004047F2" w:rsidRPr="00712F3C" w:rsidRDefault="004047F2" w:rsidP="00250DAC">
            <w:pPr>
              <w:widowControl w:val="0"/>
              <w:spacing w:after="0" w:line="240" w:lineRule="auto"/>
              <w:jc w:val="both"/>
              <w:rPr>
                <w:rFonts w:ascii="Times New Roman" w:eastAsia="Calibri" w:hAnsi="Times New Roman"/>
                <w:bCs/>
                <w:sz w:val="20"/>
                <w:szCs w:val="20"/>
                <w:lang w:val="en-IN" w:bidi="en-US"/>
              </w:rPr>
            </w:pPr>
            <w:r w:rsidRPr="00712F3C">
              <w:rPr>
                <w:rFonts w:ascii="Times New Roman" w:eastAsia="Calibri" w:hAnsi="Times New Roman"/>
                <w:sz w:val="20"/>
                <w:szCs w:val="20"/>
                <w:lang w:val="en-IN"/>
              </w:rPr>
              <w:t>Commencement of Trading of The Equity Shares on the Stock Exchange</w:t>
            </w:r>
          </w:p>
        </w:tc>
        <w:tc>
          <w:tcPr>
            <w:tcW w:w="2001" w:type="pct"/>
            <w:tcBorders>
              <w:top w:val="single" w:sz="6" w:space="0" w:color="000000"/>
              <w:left w:val="single" w:sz="6" w:space="0" w:color="000000"/>
              <w:bottom w:val="single" w:sz="6" w:space="0" w:color="000000"/>
              <w:right w:val="single" w:sz="6" w:space="0" w:color="000000"/>
            </w:tcBorders>
            <w:hideMark/>
          </w:tcPr>
          <w:p w14:paraId="125E279C" w14:textId="77777777" w:rsidR="004047F2" w:rsidRPr="00712F3C" w:rsidRDefault="004047F2" w:rsidP="00250DAC">
            <w:pPr>
              <w:widowControl w:val="0"/>
              <w:spacing w:after="0" w:line="240" w:lineRule="auto"/>
              <w:jc w:val="center"/>
              <w:rPr>
                <w:rFonts w:ascii="Times New Roman" w:eastAsia="Calibri" w:hAnsi="Times New Roman"/>
                <w:sz w:val="20"/>
                <w:szCs w:val="20"/>
                <w:lang w:val="en-IN" w:bidi="en-US"/>
              </w:rPr>
            </w:pPr>
            <w:r w:rsidRPr="00712F3C">
              <w:rPr>
                <w:rFonts w:ascii="Times New Roman" w:eastAsia="Calibri" w:hAnsi="Times New Roman"/>
                <w:sz w:val="20"/>
                <w:szCs w:val="20"/>
                <w:lang w:val="en-IN"/>
              </w:rPr>
              <w:t>On or about [●]</w:t>
            </w:r>
          </w:p>
        </w:tc>
      </w:tr>
    </w:tbl>
    <w:p w14:paraId="5DA05B27" w14:textId="77777777" w:rsidR="004047F2" w:rsidRPr="00712F3C" w:rsidRDefault="004047F2" w:rsidP="004047F2">
      <w:pPr>
        <w:autoSpaceDE w:val="0"/>
        <w:autoSpaceDN w:val="0"/>
        <w:adjustRightInd w:val="0"/>
        <w:spacing w:after="0" w:line="240" w:lineRule="auto"/>
        <w:contextualSpacing/>
        <w:jc w:val="both"/>
        <w:rPr>
          <w:rFonts w:ascii="Times New Roman" w:hAnsi="Times New Roman"/>
          <w:i/>
          <w:iCs/>
          <w:sz w:val="20"/>
          <w:szCs w:val="20"/>
        </w:rPr>
      </w:pPr>
      <w:r w:rsidRPr="00712F3C">
        <w:rPr>
          <w:rFonts w:ascii="Times New Roman" w:hAnsi="Times New Roman"/>
          <w:i/>
          <w:iCs/>
          <w:sz w:val="20"/>
          <w:szCs w:val="20"/>
        </w:rPr>
        <w:lastRenderedPageBreak/>
        <w:t xml:space="preserve">Note </w:t>
      </w:r>
      <w:r w:rsidRPr="00712F3C">
        <w:rPr>
          <w:rFonts w:ascii="Times New Roman" w:hAnsi="Times New Roman"/>
          <w:i/>
          <w:iCs/>
          <w:sz w:val="20"/>
          <w:szCs w:val="20"/>
          <w:vertAlign w:val="superscript"/>
        </w:rPr>
        <w:t>1</w:t>
      </w:r>
      <w:r w:rsidRPr="00712F3C">
        <w:rPr>
          <w:rFonts w:ascii="Times New Roman" w:hAnsi="Times New Roman"/>
          <w:i/>
          <w:iCs/>
          <w:sz w:val="20"/>
          <w:szCs w:val="20"/>
        </w:rPr>
        <w:t>Our Company in consultation with the Book Running Lead Manager, may consider participation by Anchor Investors in accordance with the SEBI ICDR Regulations. The Anchor Investor Bid/Issue Period shall be one Working Day prior to the Bid/Issue Opening Date in accordance with the SEBI ICDR Regulations</w:t>
      </w:r>
    </w:p>
    <w:p w14:paraId="6BD5C114" w14:textId="77777777" w:rsidR="004047F2" w:rsidRPr="00712F3C" w:rsidRDefault="004047F2" w:rsidP="004047F2">
      <w:pPr>
        <w:autoSpaceDE w:val="0"/>
        <w:autoSpaceDN w:val="0"/>
        <w:adjustRightInd w:val="0"/>
        <w:spacing w:after="0" w:line="240" w:lineRule="auto"/>
        <w:contextualSpacing/>
        <w:jc w:val="both"/>
        <w:rPr>
          <w:rFonts w:ascii="Times New Roman" w:hAnsi="Times New Roman"/>
          <w:i/>
          <w:iCs/>
          <w:sz w:val="20"/>
          <w:szCs w:val="20"/>
        </w:rPr>
      </w:pPr>
    </w:p>
    <w:p w14:paraId="025D1B46" w14:textId="77777777" w:rsidR="004047F2" w:rsidRPr="00712F3C" w:rsidRDefault="004047F2" w:rsidP="004047F2">
      <w:pPr>
        <w:autoSpaceDE w:val="0"/>
        <w:autoSpaceDN w:val="0"/>
        <w:adjustRightInd w:val="0"/>
        <w:spacing w:after="0" w:line="240" w:lineRule="auto"/>
        <w:jc w:val="both"/>
        <w:rPr>
          <w:rFonts w:ascii="Times New Roman" w:eastAsiaTheme="minorHAnsi" w:hAnsi="Times New Roman"/>
          <w:i/>
          <w:iCs/>
          <w:sz w:val="20"/>
          <w:szCs w:val="20"/>
        </w:rPr>
      </w:pPr>
      <w:r w:rsidRPr="00712F3C">
        <w:rPr>
          <w:rFonts w:ascii="Times New Roman" w:hAnsi="Times New Roman"/>
          <w:i/>
          <w:iCs/>
          <w:sz w:val="20"/>
          <w:szCs w:val="20"/>
          <w:vertAlign w:val="superscript"/>
        </w:rPr>
        <w:t>2</w:t>
      </w:r>
      <w:r w:rsidRPr="00712F3C">
        <w:rPr>
          <w:rFonts w:ascii="Times New Roman" w:eastAsiaTheme="minorHAnsi" w:hAnsi="Times New Roman"/>
          <w:i/>
          <w:iCs/>
          <w:sz w:val="20"/>
          <w:szCs w:val="20"/>
        </w:rPr>
        <w:t>Our Company in consultation with the BRLM, consider closing the Bid/Issue Period for QIBs one Working Day prior to the Bid/Issue Closing Date in accordance with the SEBI ICDR Regulations.</w:t>
      </w:r>
    </w:p>
    <w:p w14:paraId="48EBFB69" w14:textId="77777777" w:rsidR="004047F2" w:rsidRPr="00712F3C" w:rsidRDefault="004047F2" w:rsidP="004047F2">
      <w:pPr>
        <w:widowControl w:val="0"/>
        <w:spacing w:after="0" w:line="240" w:lineRule="auto"/>
        <w:rPr>
          <w:rFonts w:ascii="Times New Roman" w:eastAsia="Calibri" w:hAnsi="Times New Roman"/>
          <w:bCs/>
          <w:sz w:val="20"/>
          <w:szCs w:val="20"/>
          <w:lang w:bidi="en-US"/>
        </w:rPr>
      </w:pPr>
    </w:p>
    <w:p w14:paraId="2018C0B8" w14:textId="77777777" w:rsidR="004047F2" w:rsidRPr="00712F3C" w:rsidRDefault="004047F2" w:rsidP="004047F2">
      <w:pPr>
        <w:widowControl w:val="0"/>
        <w:spacing w:after="0" w:line="240" w:lineRule="auto"/>
        <w:jc w:val="both"/>
        <w:rPr>
          <w:rFonts w:ascii="Times New Roman" w:hAnsi="Times New Roman"/>
          <w:sz w:val="20"/>
          <w:szCs w:val="20"/>
        </w:rPr>
      </w:pPr>
      <w:r w:rsidRPr="00712F3C">
        <w:rPr>
          <w:rFonts w:ascii="Times New Roman" w:hAnsi="Times New Roman"/>
          <w:sz w:val="20"/>
          <w:szCs w:val="20"/>
        </w:rPr>
        <w:t>*</w:t>
      </w:r>
      <w:r w:rsidRPr="00712F3C">
        <w:rPr>
          <w:rFonts w:ascii="Times New Roman" w:eastAsiaTheme="minorHAnsi" w:hAnsi="Times New Roman"/>
          <w:sz w:val="20"/>
          <w:szCs w:val="20"/>
        </w:rPr>
        <w:t>In case of any delay in unblocking of amounts in the ASBA Accounts (including amounts blocked through the UPI Mechanism) exceeding four Working Days from the Bid/ Issue Closing Date, the Bidder shall be compensated at a uniform rate of ₹ 100 per day for the entire duration of delay exceeding four Working Days from the Bid/ Issue Closing Date by the intermediary responsible for causing such delay in unblocking. The BRLM shall, in their sole discretion, identify and fix the liability on such intermediary or entity responsible for such delay in unblocking. For the avoidance of doubt, the provisions of the SEBI circular dated March 16, 2021, as amended pursuant to SEBI circular dated June 2, 2021 shall be deemed to be incorporated in the agreements to be entered into by and between the Company and the relevant intermediaries, to the extent applicable</w:t>
      </w:r>
      <w:r w:rsidRPr="00712F3C">
        <w:rPr>
          <w:rFonts w:ascii="Times New Roman" w:hAnsi="Times New Roman"/>
          <w:sz w:val="20"/>
          <w:szCs w:val="20"/>
        </w:rPr>
        <w:t>.</w:t>
      </w:r>
    </w:p>
    <w:p w14:paraId="70A60797" w14:textId="77777777" w:rsidR="004047F2" w:rsidRPr="00712F3C" w:rsidRDefault="004047F2" w:rsidP="004047F2">
      <w:pPr>
        <w:widowControl w:val="0"/>
        <w:spacing w:after="0" w:line="240" w:lineRule="auto"/>
        <w:jc w:val="both"/>
        <w:rPr>
          <w:rFonts w:ascii="Times New Roman" w:hAnsi="Times New Roman"/>
          <w:sz w:val="20"/>
          <w:szCs w:val="20"/>
        </w:rPr>
      </w:pPr>
    </w:p>
    <w:p w14:paraId="2C7E2744" w14:textId="77777777" w:rsidR="004047F2" w:rsidRPr="00712F3C" w:rsidRDefault="004047F2" w:rsidP="004047F2">
      <w:pPr>
        <w:widowControl w:val="0"/>
        <w:spacing w:after="0" w:line="240" w:lineRule="auto"/>
        <w:jc w:val="both"/>
        <w:rPr>
          <w:rFonts w:ascii="Times New Roman" w:hAnsi="Times New Roman"/>
          <w:sz w:val="20"/>
          <w:szCs w:val="20"/>
        </w:rPr>
      </w:pPr>
      <w:r w:rsidRPr="00712F3C">
        <w:rPr>
          <w:rFonts w:ascii="Times New Roman" w:hAnsi="Times New Roman"/>
          <w:sz w:val="20"/>
          <w:szCs w:val="20"/>
        </w:rPr>
        <w:t>The above timetable is indicative and does not constitute any obligation on our Company or the Book Running Lead Manager. Whilst our Company shall ensure that all steps for the completion of the necessary formalities for the listing and the commencement of trading of the Equity Shares on the Stock Exchange are taken within 6 Working Days of the Bid/Issue Closing Date, the timetable may change due to various factors, such as extension of the Bid/Issue Period by our Company, revision of the Price Band or any delays in receiving the final listing and trading approval from the Stock Exchange. The Commencement of trading of the Equity Shares will be entirely at the discretion of the Stock Exchange and in accordance with the applicable laws.</w:t>
      </w:r>
    </w:p>
    <w:p w14:paraId="7EB51578" w14:textId="77777777" w:rsidR="004047F2" w:rsidRPr="00712F3C" w:rsidRDefault="004047F2" w:rsidP="004047F2">
      <w:pPr>
        <w:widowControl w:val="0"/>
        <w:spacing w:after="0" w:line="240" w:lineRule="auto"/>
        <w:jc w:val="both"/>
        <w:rPr>
          <w:rFonts w:ascii="Times New Roman" w:hAnsi="Times New Roman"/>
          <w:sz w:val="20"/>
          <w:szCs w:val="20"/>
        </w:rPr>
      </w:pPr>
    </w:p>
    <w:p w14:paraId="04059E86" w14:textId="77777777" w:rsidR="004047F2" w:rsidRPr="00712F3C" w:rsidRDefault="004047F2" w:rsidP="004047F2">
      <w:pPr>
        <w:widowControl w:val="0"/>
        <w:spacing w:after="0" w:line="240" w:lineRule="auto"/>
        <w:jc w:val="both"/>
        <w:rPr>
          <w:rFonts w:ascii="Times New Roman" w:hAnsi="Times New Roman"/>
          <w:sz w:val="20"/>
          <w:szCs w:val="20"/>
        </w:rPr>
      </w:pPr>
      <w:r w:rsidRPr="00712F3C">
        <w:rPr>
          <w:rFonts w:ascii="Times New Roman" w:hAnsi="Times New Roman"/>
          <w:sz w:val="20"/>
          <w:szCs w:val="20"/>
        </w:rPr>
        <w:t xml:space="preserve">Bid-Cum Application Forms and any revisions to the same will be accepted only between 10.00 A.M. to 5.00 P.M. (IST) during the Issue Period (except for the </w:t>
      </w:r>
      <w:r w:rsidRPr="00712F3C">
        <w:rPr>
          <w:rFonts w:ascii="Times New Roman" w:hAnsi="Times New Roman"/>
          <w:color w:val="000000"/>
          <w:sz w:val="20"/>
          <w:szCs w:val="20"/>
        </w:rPr>
        <w:t xml:space="preserve">Bid/ Issue </w:t>
      </w:r>
      <w:r w:rsidRPr="00712F3C">
        <w:rPr>
          <w:rFonts w:ascii="Times New Roman" w:hAnsi="Times New Roman"/>
          <w:sz w:val="20"/>
          <w:szCs w:val="20"/>
        </w:rPr>
        <w:t xml:space="preserve">Closing Date). On the </w:t>
      </w:r>
      <w:r w:rsidRPr="00712F3C">
        <w:rPr>
          <w:rFonts w:ascii="Times New Roman" w:hAnsi="Times New Roman"/>
          <w:color w:val="000000"/>
          <w:sz w:val="20"/>
          <w:szCs w:val="20"/>
        </w:rPr>
        <w:t xml:space="preserve">Bid/ Issue </w:t>
      </w:r>
      <w:r w:rsidRPr="00712F3C">
        <w:rPr>
          <w:rFonts w:ascii="Times New Roman" w:hAnsi="Times New Roman"/>
          <w:sz w:val="20"/>
          <w:szCs w:val="20"/>
        </w:rPr>
        <w:t xml:space="preserve">Closing Date, the Application Forms will be accepted only between 10.00 a.m. to 3.00 p.m. (IST) for retail and non-retail Applicants. The time for applying for Retail Individual Applicants on </w:t>
      </w:r>
      <w:r w:rsidRPr="00712F3C">
        <w:rPr>
          <w:rFonts w:ascii="Times New Roman" w:hAnsi="Times New Roman"/>
          <w:color w:val="000000"/>
          <w:sz w:val="20"/>
          <w:szCs w:val="20"/>
        </w:rPr>
        <w:t xml:space="preserve">Bid/ Issue </w:t>
      </w:r>
      <w:r w:rsidRPr="00712F3C">
        <w:rPr>
          <w:rFonts w:ascii="Times New Roman" w:hAnsi="Times New Roman"/>
          <w:sz w:val="20"/>
          <w:szCs w:val="20"/>
        </w:rPr>
        <w:t>Closing Date maybe extended in consultation with the BRLM, RTA and BSE SME taking into account the total number of applications received up to the closure of timings.</w:t>
      </w:r>
    </w:p>
    <w:p w14:paraId="669F2CF4" w14:textId="77777777" w:rsidR="004047F2" w:rsidRPr="00712F3C" w:rsidRDefault="004047F2" w:rsidP="004047F2">
      <w:pPr>
        <w:widowControl w:val="0"/>
        <w:spacing w:after="0" w:line="240" w:lineRule="auto"/>
        <w:jc w:val="both"/>
        <w:rPr>
          <w:rFonts w:ascii="Times New Roman" w:hAnsi="Times New Roman"/>
          <w:sz w:val="20"/>
          <w:szCs w:val="20"/>
        </w:rPr>
      </w:pPr>
    </w:p>
    <w:p w14:paraId="038C8847" w14:textId="77777777" w:rsidR="004047F2" w:rsidRPr="00712F3C" w:rsidRDefault="004047F2" w:rsidP="004047F2">
      <w:pPr>
        <w:autoSpaceDE w:val="0"/>
        <w:autoSpaceDN w:val="0"/>
        <w:adjustRightInd w:val="0"/>
        <w:spacing w:after="0" w:line="240" w:lineRule="auto"/>
        <w:jc w:val="both"/>
        <w:rPr>
          <w:rFonts w:ascii="Times New Roman" w:eastAsiaTheme="minorHAnsi" w:hAnsi="Times New Roman"/>
          <w:bCs/>
          <w:sz w:val="20"/>
          <w:szCs w:val="20"/>
        </w:rPr>
      </w:pPr>
      <w:r w:rsidRPr="00712F3C">
        <w:rPr>
          <w:rFonts w:ascii="Times New Roman" w:eastAsiaTheme="minorHAnsi" w:hAnsi="Times New Roman"/>
          <w:bCs/>
          <w:sz w:val="20"/>
          <w:szCs w:val="20"/>
        </w:rPr>
        <w:t>On the Bid/ Issue Closing Date, the Bids shall be uploaded until:</w:t>
      </w:r>
    </w:p>
    <w:p w14:paraId="4154B408" w14:textId="77777777" w:rsidR="004047F2" w:rsidRPr="00712F3C" w:rsidRDefault="004047F2" w:rsidP="004047F2">
      <w:pPr>
        <w:autoSpaceDE w:val="0"/>
        <w:autoSpaceDN w:val="0"/>
        <w:adjustRightInd w:val="0"/>
        <w:spacing w:after="0" w:line="240" w:lineRule="auto"/>
        <w:jc w:val="both"/>
        <w:rPr>
          <w:rFonts w:ascii="Times New Roman" w:eastAsiaTheme="minorHAnsi" w:hAnsi="Times New Roman"/>
          <w:bCs/>
          <w:sz w:val="20"/>
          <w:szCs w:val="20"/>
        </w:rPr>
      </w:pPr>
    </w:p>
    <w:p w14:paraId="698B5F23" w14:textId="77777777" w:rsidR="004047F2" w:rsidRPr="00712F3C" w:rsidRDefault="004047F2">
      <w:pPr>
        <w:pStyle w:val="ListParagraph"/>
        <w:numPr>
          <w:ilvl w:val="0"/>
          <w:numId w:val="287"/>
        </w:numPr>
        <w:suppressAutoHyphens w:val="0"/>
        <w:spacing w:line="240" w:lineRule="auto"/>
        <w:ind w:left="426"/>
        <w:contextualSpacing/>
        <w:jc w:val="both"/>
        <w:textAlignment w:val="auto"/>
        <w:rPr>
          <w:rFonts w:eastAsiaTheme="minorHAnsi"/>
          <w:sz w:val="20"/>
          <w:szCs w:val="20"/>
        </w:rPr>
      </w:pPr>
      <w:r w:rsidRPr="00712F3C">
        <w:rPr>
          <w:rFonts w:eastAsiaTheme="minorHAnsi"/>
          <w:sz w:val="20"/>
          <w:szCs w:val="20"/>
        </w:rPr>
        <w:t>4.00 P.M. IST in case of Bids by QIBs and Non-Institutional Bidders, and</w:t>
      </w:r>
    </w:p>
    <w:p w14:paraId="22CD9F74" w14:textId="77777777" w:rsidR="004047F2" w:rsidRPr="00712F3C" w:rsidRDefault="004047F2">
      <w:pPr>
        <w:pStyle w:val="ListParagraph"/>
        <w:numPr>
          <w:ilvl w:val="0"/>
          <w:numId w:val="287"/>
        </w:numPr>
        <w:suppressAutoHyphens w:val="0"/>
        <w:spacing w:line="240" w:lineRule="auto"/>
        <w:ind w:left="426"/>
        <w:contextualSpacing/>
        <w:jc w:val="both"/>
        <w:textAlignment w:val="auto"/>
        <w:rPr>
          <w:rFonts w:eastAsiaTheme="minorHAnsi"/>
          <w:sz w:val="20"/>
          <w:szCs w:val="20"/>
        </w:rPr>
      </w:pPr>
      <w:r w:rsidRPr="00712F3C">
        <w:rPr>
          <w:rFonts w:eastAsiaTheme="minorHAnsi"/>
          <w:sz w:val="20"/>
          <w:szCs w:val="20"/>
        </w:rPr>
        <w:t>until 5.00 P.M. IST or such extended time as permitted by the Stock Exchange, in case of Bids by Retail Individual Bidders.</w:t>
      </w:r>
    </w:p>
    <w:p w14:paraId="456AE188" w14:textId="77777777" w:rsidR="004047F2" w:rsidRPr="00712F3C" w:rsidRDefault="004047F2" w:rsidP="004047F2">
      <w:pPr>
        <w:autoSpaceDE w:val="0"/>
        <w:autoSpaceDN w:val="0"/>
        <w:adjustRightInd w:val="0"/>
        <w:spacing w:after="0" w:line="240" w:lineRule="auto"/>
        <w:jc w:val="both"/>
        <w:rPr>
          <w:rFonts w:ascii="Times New Roman" w:eastAsiaTheme="minorHAnsi" w:hAnsi="Times New Roman"/>
          <w:sz w:val="20"/>
          <w:szCs w:val="20"/>
        </w:rPr>
      </w:pPr>
    </w:p>
    <w:p w14:paraId="305B07AF" w14:textId="77777777" w:rsidR="004047F2" w:rsidRPr="00712F3C" w:rsidRDefault="004047F2" w:rsidP="004047F2">
      <w:pPr>
        <w:autoSpaceDE w:val="0"/>
        <w:autoSpaceDN w:val="0"/>
        <w:adjustRightInd w:val="0"/>
        <w:spacing w:after="0" w:line="240" w:lineRule="auto"/>
        <w:jc w:val="both"/>
        <w:rPr>
          <w:rFonts w:ascii="Times New Roman" w:eastAsiaTheme="minorHAnsi" w:hAnsi="Times New Roman"/>
          <w:sz w:val="20"/>
          <w:szCs w:val="20"/>
        </w:rPr>
      </w:pPr>
      <w:r w:rsidRPr="00712F3C">
        <w:rPr>
          <w:rFonts w:ascii="Times New Roman" w:eastAsiaTheme="minorHAnsi" w:hAnsi="Times New Roman"/>
          <w:sz w:val="20"/>
          <w:szCs w:val="20"/>
        </w:rPr>
        <w:t xml:space="preserve">On the Bid/ Issue Closing Date, extension of time will be granted by the Stock Exchange only for uploading Bids received from Retail Individual Bidders after taking into account the total number of Bids received and as reported by the BRLM to the Stock Exchange. </w:t>
      </w:r>
    </w:p>
    <w:p w14:paraId="2F427FEB" w14:textId="77777777" w:rsidR="004047F2" w:rsidRPr="00712F3C" w:rsidRDefault="004047F2" w:rsidP="004047F2">
      <w:pPr>
        <w:autoSpaceDE w:val="0"/>
        <w:autoSpaceDN w:val="0"/>
        <w:adjustRightInd w:val="0"/>
        <w:spacing w:after="0" w:line="240" w:lineRule="auto"/>
        <w:jc w:val="both"/>
        <w:rPr>
          <w:rFonts w:ascii="Times New Roman" w:eastAsiaTheme="minorHAnsi" w:hAnsi="Times New Roman"/>
          <w:sz w:val="20"/>
          <w:szCs w:val="20"/>
        </w:rPr>
      </w:pPr>
    </w:p>
    <w:p w14:paraId="25322ED1" w14:textId="77777777" w:rsidR="004047F2" w:rsidRPr="00712F3C" w:rsidRDefault="004047F2" w:rsidP="004047F2">
      <w:pPr>
        <w:autoSpaceDE w:val="0"/>
        <w:autoSpaceDN w:val="0"/>
        <w:adjustRightInd w:val="0"/>
        <w:spacing w:after="0" w:line="240" w:lineRule="auto"/>
        <w:jc w:val="both"/>
        <w:rPr>
          <w:rFonts w:ascii="Times New Roman" w:eastAsiaTheme="minorHAnsi" w:hAnsi="Times New Roman"/>
          <w:sz w:val="20"/>
          <w:szCs w:val="20"/>
        </w:rPr>
      </w:pPr>
      <w:r w:rsidRPr="00712F3C">
        <w:rPr>
          <w:rFonts w:ascii="Times New Roman" w:eastAsiaTheme="minorHAnsi" w:hAnsi="Times New Roman"/>
          <w:sz w:val="20"/>
          <w:szCs w:val="20"/>
        </w:rPr>
        <w:t>The Registrar to the Issue shall submit the details of cancelled/ withdrawn/ deleted applications to the SCSBs on a daily basis within 60 minutes of the Bid closure time from the Bid/ Issue Opening Date till the Bid/ Issue Closing Date by obtaining the same from the Stock Exchanges. The SCSBs shall unblock such applications by the closing hours of the Working Day and submit the confirmation to the BRLM and the RTA on a daily basis.</w:t>
      </w:r>
    </w:p>
    <w:p w14:paraId="113AD69B" w14:textId="77777777" w:rsidR="004047F2" w:rsidRPr="00712F3C" w:rsidRDefault="004047F2" w:rsidP="004047F2">
      <w:pPr>
        <w:widowControl w:val="0"/>
        <w:spacing w:after="0" w:line="240" w:lineRule="auto"/>
        <w:contextualSpacing/>
        <w:jc w:val="both"/>
        <w:rPr>
          <w:rFonts w:ascii="Times New Roman" w:hAnsi="Times New Roman"/>
          <w:sz w:val="20"/>
          <w:szCs w:val="20"/>
        </w:rPr>
      </w:pPr>
    </w:p>
    <w:p w14:paraId="1947A126" w14:textId="77777777" w:rsidR="004047F2" w:rsidRPr="00712F3C" w:rsidRDefault="004047F2" w:rsidP="004047F2">
      <w:pPr>
        <w:autoSpaceDE w:val="0"/>
        <w:autoSpaceDN w:val="0"/>
        <w:adjustRightInd w:val="0"/>
        <w:spacing w:after="0" w:line="240" w:lineRule="auto"/>
        <w:rPr>
          <w:rFonts w:ascii="Times New Roman" w:eastAsiaTheme="minorHAnsi" w:hAnsi="Times New Roman"/>
          <w:sz w:val="20"/>
          <w:szCs w:val="20"/>
        </w:rPr>
      </w:pPr>
      <w:r w:rsidRPr="00712F3C">
        <w:rPr>
          <w:rFonts w:ascii="Times New Roman" w:eastAsiaTheme="minorHAnsi" w:hAnsi="Times New Roman"/>
          <w:sz w:val="20"/>
          <w:szCs w:val="20"/>
        </w:rPr>
        <w:t>To avoid duplication, the facility of re-initiation provided to Syndicate Members, if any shall preferably be allowed only once per Bid/batch and as deemed fit by the Stock Exchange, after closure of the time for uploading Bids.</w:t>
      </w:r>
    </w:p>
    <w:p w14:paraId="6BFDE20E" w14:textId="77777777" w:rsidR="004047F2" w:rsidRPr="00712F3C" w:rsidRDefault="004047F2" w:rsidP="004047F2">
      <w:pPr>
        <w:autoSpaceDE w:val="0"/>
        <w:autoSpaceDN w:val="0"/>
        <w:adjustRightInd w:val="0"/>
        <w:spacing w:after="0" w:line="240" w:lineRule="auto"/>
        <w:rPr>
          <w:rFonts w:ascii="Times New Roman" w:eastAsiaTheme="minorHAnsi" w:hAnsi="Times New Roman"/>
          <w:sz w:val="20"/>
          <w:szCs w:val="20"/>
        </w:rPr>
      </w:pPr>
    </w:p>
    <w:p w14:paraId="05D61638" w14:textId="77777777" w:rsidR="004047F2" w:rsidRPr="00712F3C" w:rsidRDefault="004047F2" w:rsidP="004047F2">
      <w:pPr>
        <w:autoSpaceDE w:val="0"/>
        <w:autoSpaceDN w:val="0"/>
        <w:adjustRightInd w:val="0"/>
        <w:spacing w:after="0" w:line="240" w:lineRule="auto"/>
        <w:jc w:val="both"/>
        <w:rPr>
          <w:rFonts w:ascii="Times New Roman" w:eastAsiaTheme="minorHAnsi" w:hAnsi="Times New Roman"/>
          <w:bCs/>
          <w:sz w:val="20"/>
          <w:szCs w:val="20"/>
        </w:rPr>
      </w:pPr>
      <w:r w:rsidRPr="00712F3C">
        <w:rPr>
          <w:rFonts w:ascii="Times New Roman" w:eastAsiaTheme="minorHAnsi" w:hAnsi="Times New Roman"/>
          <w:bCs/>
          <w:sz w:val="20"/>
          <w:szCs w:val="20"/>
        </w:rPr>
        <w:t>It is clarified that Bids not uploaded on the electronic bidding system or in respect of which the full Bid Amount is not blocked by SCSBs or not blocked under the UPI Mechanism in the relevant ASBA Account, as the case may be, would be rejected.</w:t>
      </w:r>
    </w:p>
    <w:p w14:paraId="011F21D0" w14:textId="77777777" w:rsidR="004047F2" w:rsidRPr="00712F3C" w:rsidRDefault="004047F2" w:rsidP="004047F2">
      <w:pPr>
        <w:widowControl w:val="0"/>
        <w:spacing w:after="0" w:line="240" w:lineRule="auto"/>
        <w:contextualSpacing/>
        <w:jc w:val="both"/>
        <w:rPr>
          <w:rFonts w:ascii="Times New Roman" w:hAnsi="Times New Roman"/>
          <w:sz w:val="20"/>
          <w:szCs w:val="20"/>
        </w:rPr>
      </w:pPr>
    </w:p>
    <w:p w14:paraId="2260D645" w14:textId="77777777" w:rsidR="004047F2" w:rsidRPr="00712F3C" w:rsidRDefault="004047F2" w:rsidP="004047F2">
      <w:pPr>
        <w:widowControl w:val="0"/>
        <w:spacing w:after="0" w:line="240" w:lineRule="auto"/>
        <w:contextualSpacing/>
        <w:jc w:val="both"/>
        <w:rPr>
          <w:rFonts w:ascii="Times New Roman" w:hAnsi="Times New Roman"/>
          <w:sz w:val="20"/>
          <w:szCs w:val="20"/>
        </w:rPr>
      </w:pPr>
      <w:r w:rsidRPr="00712F3C">
        <w:rPr>
          <w:rFonts w:ascii="Times New Roman" w:hAnsi="Times New Roman"/>
          <w:sz w:val="20"/>
          <w:szCs w:val="20"/>
        </w:rPr>
        <w:t xml:space="preserve">Due to the limitation of time available for uploading the Bid-Cum-Application Forms on the </w:t>
      </w:r>
      <w:r w:rsidRPr="00712F3C">
        <w:rPr>
          <w:rFonts w:ascii="Times New Roman" w:hAnsi="Times New Roman"/>
          <w:color w:val="000000"/>
          <w:sz w:val="20"/>
          <w:szCs w:val="20"/>
        </w:rPr>
        <w:t>Bid/ Issue Closing</w:t>
      </w:r>
      <w:r w:rsidRPr="00712F3C">
        <w:rPr>
          <w:rFonts w:ascii="Times New Roman" w:hAnsi="Times New Roman"/>
          <w:sz w:val="20"/>
          <w:szCs w:val="20"/>
        </w:rPr>
        <w:t xml:space="preserve"> Date, Bidders are advised to submit their applications one (1) day prior to the Bid/ Issue Closing Date and, in any case, not later than 3.00 P.M. (IST) on the Bid/ Issue Closing Date. Any time mentioned in this Draft Red Herring Prospectus is IST. Bidders are cautioned that, in the event a large number of Bid-Cum- Application Forms are received on the Bid/ Issue Closing Date, as is typically experienced in public Issue, some Bid-Cum- Application Forms may not get uploaded due to the lack of sufficient time. Such Bid-Cum- Application Forms that cannot be uploaded will not be considered for allocation under this Issue. Applications will be accepted only on Working Days, i.e., Monday to Friday (excluding any public holidays). Neither our Company nor the BRLM is liable for any failure in uploading the Bid-Cum- Application Forms due to faults in any software/hardware system or otherwise.</w:t>
      </w:r>
    </w:p>
    <w:p w14:paraId="7808E743" w14:textId="77777777" w:rsidR="004047F2" w:rsidRPr="00712F3C" w:rsidRDefault="004047F2" w:rsidP="004047F2">
      <w:pPr>
        <w:widowControl w:val="0"/>
        <w:spacing w:after="0" w:line="240" w:lineRule="auto"/>
        <w:contextualSpacing/>
        <w:jc w:val="both"/>
        <w:rPr>
          <w:rFonts w:ascii="Times New Roman" w:hAnsi="Times New Roman"/>
          <w:sz w:val="20"/>
          <w:szCs w:val="20"/>
        </w:rPr>
      </w:pPr>
    </w:p>
    <w:p w14:paraId="089CE4A6" w14:textId="77777777" w:rsidR="004047F2" w:rsidRDefault="004047F2" w:rsidP="004047F2">
      <w:pPr>
        <w:widowControl w:val="0"/>
        <w:spacing w:after="0" w:line="240" w:lineRule="auto"/>
        <w:contextualSpacing/>
        <w:jc w:val="both"/>
        <w:rPr>
          <w:rFonts w:ascii="Times New Roman" w:hAnsi="Times New Roman"/>
          <w:sz w:val="20"/>
          <w:szCs w:val="20"/>
        </w:rPr>
      </w:pPr>
      <w:r w:rsidRPr="00712F3C">
        <w:rPr>
          <w:rFonts w:ascii="Times New Roman" w:hAnsi="Times New Roman"/>
          <w:sz w:val="20"/>
          <w:szCs w:val="20"/>
        </w:rPr>
        <w:t>In accordance with SEBI ICDR Regulations, QIBs and Non-Institutional Bidders are not allowed to withdraw or lower the size of their Application (in terms of the quantity of the Equity Shares or the Application amount) at any stage. Retail Individual Bidders can revise or withdraw their Bid-Cum- Application Forms prior to the Bid/ Issue Closing Date. Allocation to Retail Individual Bidders, in this Issue will be on a proportionate basis.</w:t>
      </w:r>
    </w:p>
    <w:p w14:paraId="2E4ECB38" w14:textId="77777777" w:rsidR="00D83D95" w:rsidRPr="00712F3C" w:rsidRDefault="00D83D95" w:rsidP="004047F2">
      <w:pPr>
        <w:widowControl w:val="0"/>
        <w:spacing w:after="0" w:line="240" w:lineRule="auto"/>
        <w:contextualSpacing/>
        <w:jc w:val="both"/>
        <w:rPr>
          <w:rFonts w:ascii="Times New Roman" w:hAnsi="Times New Roman"/>
          <w:sz w:val="20"/>
          <w:szCs w:val="20"/>
        </w:rPr>
      </w:pPr>
    </w:p>
    <w:p w14:paraId="05FC745F" w14:textId="77777777" w:rsidR="004047F2" w:rsidRPr="00712F3C" w:rsidRDefault="004047F2" w:rsidP="004047F2">
      <w:pPr>
        <w:widowControl w:val="0"/>
        <w:spacing w:after="0" w:line="240" w:lineRule="auto"/>
        <w:contextualSpacing/>
        <w:jc w:val="both"/>
        <w:rPr>
          <w:rFonts w:ascii="Times New Roman" w:hAnsi="Times New Roman"/>
          <w:sz w:val="20"/>
          <w:szCs w:val="20"/>
        </w:rPr>
      </w:pPr>
      <w:r w:rsidRPr="00712F3C">
        <w:rPr>
          <w:rFonts w:ascii="Times New Roman" w:hAnsi="Times New Roman"/>
          <w:sz w:val="20"/>
          <w:szCs w:val="20"/>
        </w:rPr>
        <w:t xml:space="preserve">In case of discrepancy in the data entered in the electronic book vis-à-vis the data contained in the physical Bid-Cum- Application Form, for a particular Bidder, the details as per the file received from Stock Exchange may be taken as the final data for the purpose </w:t>
      </w:r>
      <w:r w:rsidRPr="00712F3C">
        <w:rPr>
          <w:rFonts w:ascii="Times New Roman" w:hAnsi="Times New Roman"/>
          <w:sz w:val="20"/>
          <w:szCs w:val="20"/>
        </w:rPr>
        <w:lastRenderedPageBreak/>
        <w:t>of Allotment. In case of discrepancy in the data entered in the electronic book vis-à-vis the data contained in the physical or electronic Bid-Cum- Application Form, for a particular ASBA Bidder, the Registrar to the Issue shall ask the relevant SCSBs / RTAs / DPs / stock brokers, as the case may be, for the rectified data.</w:t>
      </w:r>
    </w:p>
    <w:p w14:paraId="41091F9A" w14:textId="77777777" w:rsidR="004047F2" w:rsidRPr="00712F3C" w:rsidRDefault="004047F2" w:rsidP="004047F2">
      <w:pPr>
        <w:widowControl w:val="0"/>
        <w:spacing w:after="0" w:line="240" w:lineRule="auto"/>
        <w:contextualSpacing/>
        <w:jc w:val="both"/>
        <w:rPr>
          <w:rFonts w:ascii="Times New Roman" w:hAnsi="Times New Roman"/>
          <w:sz w:val="20"/>
          <w:szCs w:val="20"/>
        </w:rPr>
      </w:pPr>
    </w:p>
    <w:p w14:paraId="160E2E8A" w14:textId="77777777" w:rsidR="004047F2" w:rsidRPr="00712F3C" w:rsidRDefault="004047F2" w:rsidP="004047F2">
      <w:pPr>
        <w:widowControl w:val="0"/>
        <w:autoSpaceDE w:val="0"/>
        <w:autoSpaceDN w:val="0"/>
        <w:adjustRightInd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Our Company in consultation with the BRLM, reserves the right to revise the Price Band during the Bid/ Issue Period. The revision in the Price Band shall not exceed 20% on either side, i.e. the Floor Price can move up or down to the extent of 20% of the Floor Price and the Cap Price will be revised accordingly. The Floor Price shall not be less than the face value of the Equity Shares.</w:t>
      </w:r>
    </w:p>
    <w:p w14:paraId="391C2492" w14:textId="77777777" w:rsidR="004047F2" w:rsidRPr="00712F3C" w:rsidRDefault="004047F2" w:rsidP="004047F2">
      <w:pPr>
        <w:widowControl w:val="0"/>
        <w:autoSpaceDE w:val="0"/>
        <w:autoSpaceDN w:val="0"/>
        <w:adjustRightInd w:val="0"/>
        <w:spacing w:after="0" w:line="240" w:lineRule="auto"/>
        <w:contextualSpacing/>
        <w:jc w:val="both"/>
        <w:rPr>
          <w:rFonts w:ascii="Times New Roman" w:eastAsia="Calibri" w:hAnsi="Times New Roman"/>
          <w:sz w:val="20"/>
          <w:szCs w:val="20"/>
          <w:lang w:bidi="en-US"/>
        </w:rPr>
      </w:pPr>
    </w:p>
    <w:p w14:paraId="07B3D6F9" w14:textId="77777777" w:rsidR="004047F2" w:rsidRPr="00712F3C" w:rsidRDefault="004047F2" w:rsidP="004047F2">
      <w:pPr>
        <w:widowControl w:val="0"/>
        <w:spacing w:after="0" w:line="240" w:lineRule="auto"/>
        <w:jc w:val="both"/>
        <w:rPr>
          <w:rFonts w:ascii="Times New Roman" w:eastAsiaTheme="minorHAnsi" w:hAnsi="Times New Roman"/>
          <w:b/>
          <w:bCs/>
          <w:sz w:val="20"/>
          <w:szCs w:val="20"/>
        </w:rPr>
      </w:pPr>
      <w:r w:rsidRPr="00712F3C">
        <w:rPr>
          <w:rFonts w:ascii="Times New Roman" w:eastAsiaTheme="minorHAnsi" w:hAnsi="Times New Roman"/>
          <w:bCs/>
          <w:sz w:val="20"/>
          <w:szCs w:val="20"/>
        </w:rPr>
        <w:t>In case of any revision to the Price Band, the Bid/ Issue Period will be extended by at least three additional Working Days following such revision of the Price Band, subject to the Bid/ Issue Period not exceeding a total of 10 Working Days. In cases of force majeure, banking strike or similar circumstances, our Company in consultation with the BRLM, for reasons to be recorded in writing, extend the Bid/ Issue Period for a minimum of three Working Days, subject to the Bid/ Issue Period not exceeding 10 Working Days. Any revision in the Price Band and the revised Bid/ Issue Period, if applicable, will be widely disseminated by notification to the Stock Exchange, by issuing a public notice, and also by indicating the change on the respective websites of the BRLM and the terminals of the Syndicate Members, if any and by intimation to SCSBs, other Designated Intermediaries and the Sponsor Bank, as applicable. In case of revision of Price Band, the Bid Lot shall remain the same</w:t>
      </w:r>
      <w:r w:rsidRPr="00712F3C">
        <w:rPr>
          <w:rFonts w:ascii="Times New Roman" w:eastAsiaTheme="minorHAnsi" w:hAnsi="Times New Roman"/>
          <w:b/>
          <w:bCs/>
          <w:sz w:val="20"/>
          <w:szCs w:val="20"/>
        </w:rPr>
        <w:t>.</w:t>
      </w:r>
    </w:p>
    <w:p w14:paraId="194AD172" w14:textId="77777777" w:rsidR="004047F2" w:rsidRPr="00712F3C" w:rsidRDefault="004047F2" w:rsidP="004047F2">
      <w:pPr>
        <w:widowControl w:val="0"/>
        <w:spacing w:after="0" w:line="240" w:lineRule="auto"/>
        <w:rPr>
          <w:rFonts w:ascii="Times New Roman" w:eastAsia="Calibri" w:hAnsi="Times New Roman"/>
          <w:b/>
          <w:sz w:val="20"/>
          <w:szCs w:val="20"/>
        </w:rPr>
      </w:pPr>
    </w:p>
    <w:p w14:paraId="6651C4B9" w14:textId="77777777" w:rsidR="004047F2" w:rsidRPr="00712F3C" w:rsidRDefault="004047F2" w:rsidP="004047F2">
      <w:pPr>
        <w:widowControl w:val="0"/>
        <w:spacing w:after="0" w:line="240" w:lineRule="auto"/>
        <w:rPr>
          <w:rFonts w:ascii="Times New Roman" w:eastAsia="Calibri" w:hAnsi="Times New Roman"/>
          <w:b/>
          <w:sz w:val="20"/>
          <w:szCs w:val="20"/>
        </w:rPr>
      </w:pPr>
      <w:r w:rsidRPr="00712F3C">
        <w:rPr>
          <w:rFonts w:ascii="Times New Roman" w:eastAsia="Calibri" w:hAnsi="Times New Roman"/>
          <w:b/>
          <w:sz w:val="20"/>
          <w:szCs w:val="20"/>
        </w:rPr>
        <w:t xml:space="preserve">Minimum Subscription and Underwriting </w:t>
      </w:r>
    </w:p>
    <w:p w14:paraId="69F4E3E4" w14:textId="77777777" w:rsidR="004047F2" w:rsidRPr="00712F3C" w:rsidRDefault="004047F2" w:rsidP="004047F2">
      <w:pPr>
        <w:widowControl w:val="0"/>
        <w:spacing w:after="0" w:line="240" w:lineRule="auto"/>
        <w:rPr>
          <w:rFonts w:ascii="Times New Roman" w:eastAsia="Calibri" w:hAnsi="Times New Roman"/>
          <w:sz w:val="20"/>
          <w:szCs w:val="20"/>
        </w:rPr>
      </w:pPr>
    </w:p>
    <w:p w14:paraId="72D7973D" w14:textId="77777777" w:rsidR="004047F2" w:rsidRPr="00712F3C" w:rsidRDefault="004047F2" w:rsidP="004047F2">
      <w:pPr>
        <w:widowControl w:val="0"/>
        <w:spacing w:after="0" w:line="240" w:lineRule="auto"/>
        <w:jc w:val="both"/>
        <w:rPr>
          <w:rFonts w:ascii="Times New Roman" w:eastAsia="Calibri" w:hAnsi="Times New Roman"/>
          <w:sz w:val="20"/>
          <w:szCs w:val="20"/>
        </w:rPr>
      </w:pPr>
      <w:r w:rsidRPr="00712F3C">
        <w:rPr>
          <w:rFonts w:ascii="Times New Roman" w:eastAsia="Calibri" w:hAnsi="Times New Roman"/>
          <w:sz w:val="20"/>
          <w:szCs w:val="20"/>
        </w:rPr>
        <w:t xml:space="preserve">This Issue is not restricted to any minimum subscription level and is 100% underwritten. As per Section 39 of the Companies Act, 2013, if the stated minimum amount‖ has not be subscribed and the sum payable on application is not received within a period of 30 days from the date of the Prospectus, the application money has to be returned within such period as may be prescribed. If our Company does not receive the 100% subscription of the issue through the Issue Document including devolvement of Underwriters, if any, within sixty (60) days from the date of closure of the issue, our Company shall forthwith refund the entire subscription amount received. If there is a delay beyond eight days after our Company becomes liable to pay the amount, our Company and every officer in default will, on and from the expiry of this period, be jointly and severally liable to repay the money, with interest or other penalty as prescribed under the SEBI Regulations, the Companies Act 2013 and applicable law. </w:t>
      </w:r>
    </w:p>
    <w:p w14:paraId="53D1F133" w14:textId="77777777" w:rsidR="004047F2" w:rsidRPr="00712F3C" w:rsidRDefault="004047F2" w:rsidP="004047F2">
      <w:pPr>
        <w:widowControl w:val="0"/>
        <w:spacing w:after="0" w:line="240" w:lineRule="auto"/>
        <w:jc w:val="both"/>
        <w:rPr>
          <w:rFonts w:ascii="Times New Roman" w:eastAsia="Calibri" w:hAnsi="Times New Roman"/>
          <w:sz w:val="20"/>
          <w:szCs w:val="20"/>
        </w:rPr>
      </w:pPr>
    </w:p>
    <w:p w14:paraId="381F1D0D" w14:textId="77777777" w:rsidR="004047F2" w:rsidRPr="00A3756F" w:rsidRDefault="004047F2" w:rsidP="004047F2">
      <w:pPr>
        <w:widowControl w:val="0"/>
        <w:spacing w:after="0" w:line="240" w:lineRule="auto"/>
        <w:jc w:val="both"/>
        <w:rPr>
          <w:rFonts w:ascii="Times New Roman" w:eastAsia="Calibri" w:hAnsi="Times New Roman"/>
          <w:sz w:val="20"/>
          <w:szCs w:val="20"/>
        </w:rPr>
      </w:pPr>
      <w:r w:rsidRPr="00712F3C">
        <w:rPr>
          <w:rFonts w:ascii="Times New Roman" w:eastAsia="Calibri" w:hAnsi="Times New Roman"/>
          <w:sz w:val="20"/>
          <w:szCs w:val="20"/>
        </w:rPr>
        <w:t>In terms of Regulation 272(2) of SEBI ICDR Regulations, in case the Company fails to obtain listing or trading permission from the stock exchanges where the specified securities are proposed to be listed, it shall refund through verifiable means the entire monies received within four days of receipt of intimation from stock exchange(s) rejecting the application for listing of specified securities, and if any such money is not repaid within four days after the issuer becomes liable to repay it, the issuer and every director of the company who is an officer in default shall, on and from the expiry of the fourth day, be jointly and severally liable to repay that money with interest at the r</w:t>
      </w:r>
      <w:r w:rsidRPr="00A3756F">
        <w:rPr>
          <w:rFonts w:ascii="Times New Roman" w:eastAsia="Calibri" w:hAnsi="Times New Roman"/>
          <w:sz w:val="20"/>
          <w:szCs w:val="20"/>
        </w:rPr>
        <w:t>ate of fifteen per cent per annum.</w:t>
      </w:r>
    </w:p>
    <w:p w14:paraId="1CAA484D" w14:textId="77777777" w:rsidR="004047F2" w:rsidRPr="00A3756F" w:rsidRDefault="004047F2" w:rsidP="004047F2">
      <w:pPr>
        <w:widowControl w:val="0"/>
        <w:spacing w:after="0" w:line="240" w:lineRule="auto"/>
        <w:jc w:val="both"/>
        <w:rPr>
          <w:rFonts w:ascii="Times New Roman" w:eastAsia="Calibri" w:hAnsi="Times New Roman"/>
          <w:sz w:val="20"/>
          <w:szCs w:val="20"/>
        </w:rPr>
      </w:pPr>
    </w:p>
    <w:p w14:paraId="4BA47DE0" w14:textId="77777777" w:rsidR="004047F2" w:rsidRPr="00A3756F" w:rsidRDefault="004047F2" w:rsidP="004047F2">
      <w:pPr>
        <w:widowControl w:val="0"/>
        <w:spacing w:after="0" w:line="240" w:lineRule="auto"/>
        <w:jc w:val="both"/>
        <w:rPr>
          <w:rFonts w:ascii="Times New Roman" w:eastAsia="Calibri" w:hAnsi="Times New Roman"/>
          <w:sz w:val="20"/>
          <w:szCs w:val="20"/>
        </w:rPr>
      </w:pPr>
      <w:r w:rsidRPr="00A3756F">
        <w:rPr>
          <w:rFonts w:ascii="Times New Roman" w:eastAsia="Calibri" w:hAnsi="Times New Roman"/>
          <w:sz w:val="20"/>
          <w:szCs w:val="20"/>
        </w:rPr>
        <w:t xml:space="preserve">In terms of Regulation 260 of the SEBI (ICDR) Regulations, 2018, the Issue is 100% underwritten. For details of underwriting arrangement, kindly refer the chapter titled </w:t>
      </w:r>
      <w:r w:rsidRPr="00A3756F">
        <w:rPr>
          <w:rFonts w:ascii="Times New Roman" w:eastAsia="Calibri" w:hAnsi="Times New Roman"/>
          <w:b/>
          <w:i/>
          <w:sz w:val="20"/>
          <w:szCs w:val="20"/>
        </w:rPr>
        <w:t>“General Information - Underwriting”</w:t>
      </w:r>
      <w:r w:rsidRPr="00A3756F">
        <w:rPr>
          <w:rFonts w:ascii="Times New Roman" w:eastAsia="Calibri" w:hAnsi="Times New Roman"/>
          <w:sz w:val="20"/>
          <w:szCs w:val="20"/>
        </w:rPr>
        <w:t xml:space="preserve"> on page 54 of this Draft </w:t>
      </w:r>
      <w:r w:rsidRPr="00A3756F">
        <w:rPr>
          <w:rFonts w:ascii="Times New Roman" w:eastAsia="Calibri" w:hAnsi="Times New Roman"/>
          <w:bCs/>
          <w:sz w:val="20"/>
          <w:szCs w:val="20"/>
          <w:lang w:bidi="en-US"/>
        </w:rPr>
        <w:t xml:space="preserve">Red Herring </w:t>
      </w:r>
      <w:r w:rsidRPr="00A3756F">
        <w:rPr>
          <w:rFonts w:ascii="Times New Roman" w:eastAsia="Calibri" w:hAnsi="Times New Roman"/>
          <w:sz w:val="20"/>
          <w:szCs w:val="20"/>
        </w:rPr>
        <w:t xml:space="preserve">Prospectus. </w:t>
      </w:r>
    </w:p>
    <w:p w14:paraId="007DD44B" w14:textId="77777777" w:rsidR="004047F2" w:rsidRPr="00A3756F" w:rsidRDefault="004047F2" w:rsidP="004047F2">
      <w:pPr>
        <w:widowControl w:val="0"/>
        <w:spacing w:after="0" w:line="240" w:lineRule="auto"/>
        <w:jc w:val="both"/>
        <w:rPr>
          <w:rFonts w:ascii="Times New Roman" w:eastAsia="Calibri" w:hAnsi="Times New Roman"/>
          <w:sz w:val="20"/>
          <w:szCs w:val="20"/>
        </w:rPr>
      </w:pPr>
    </w:p>
    <w:p w14:paraId="7645F385" w14:textId="77777777" w:rsidR="004047F2" w:rsidRPr="00A3756F" w:rsidRDefault="004047F2" w:rsidP="004047F2">
      <w:pPr>
        <w:widowControl w:val="0"/>
        <w:spacing w:after="0" w:line="240" w:lineRule="auto"/>
        <w:jc w:val="both"/>
        <w:rPr>
          <w:rFonts w:ascii="Times New Roman" w:eastAsia="Calibri" w:hAnsi="Times New Roman"/>
          <w:sz w:val="20"/>
          <w:szCs w:val="20"/>
        </w:rPr>
      </w:pPr>
      <w:r w:rsidRPr="00A3756F">
        <w:rPr>
          <w:rFonts w:ascii="Times New Roman" w:eastAsia="Calibri" w:hAnsi="Times New Roman"/>
          <w:sz w:val="20"/>
          <w:szCs w:val="20"/>
        </w:rPr>
        <w:t xml:space="preserve">Further, in accordance with Regulation 267 of the SEBI (ICDR) Regulations, 2018, the minimum application size in terms of number of specified securities shall not be less than Rupees One Lakh per application. </w:t>
      </w:r>
    </w:p>
    <w:p w14:paraId="749C30F2" w14:textId="77777777" w:rsidR="004047F2" w:rsidRPr="00A3756F" w:rsidRDefault="004047F2" w:rsidP="004047F2">
      <w:pPr>
        <w:widowControl w:val="0"/>
        <w:spacing w:after="0" w:line="240" w:lineRule="auto"/>
        <w:rPr>
          <w:rFonts w:ascii="Times New Roman" w:eastAsia="Calibri" w:hAnsi="Times New Roman"/>
          <w:b/>
          <w:bCs/>
          <w:sz w:val="20"/>
          <w:szCs w:val="20"/>
          <w:lang w:bidi="en-US"/>
        </w:rPr>
      </w:pPr>
    </w:p>
    <w:p w14:paraId="270EB46B" w14:textId="77777777" w:rsidR="004047F2" w:rsidRPr="00A3756F" w:rsidRDefault="004047F2" w:rsidP="004047F2">
      <w:pPr>
        <w:widowControl w:val="0"/>
        <w:spacing w:after="0" w:line="240" w:lineRule="auto"/>
        <w:jc w:val="both"/>
        <w:rPr>
          <w:rFonts w:ascii="Times New Roman" w:eastAsia="Calibri" w:hAnsi="Times New Roman"/>
          <w:b/>
          <w:bCs/>
          <w:sz w:val="20"/>
          <w:szCs w:val="20"/>
          <w:lang w:bidi="en-US"/>
        </w:rPr>
      </w:pPr>
      <w:r w:rsidRPr="00A3756F">
        <w:rPr>
          <w:rFonts w:ascii="Times New Roman" w:eastAsia="Calibri" w:hAnsi="Times New Roman"/>
          <w:b/>
          <w:bCs/>
          <w:sz w:val="20"/>
          <w:szCs w:val="20"/>
          <w:lang w:bidi="en-US"/>
        </w:rPr>
        <w:t>Migration to Main Board</w:t>
      </w:r>
    </w:p>
    <w:p w14:paraId="7A2C3420" w14:textId="77777777" w:rsidR="004047F2" w:rsidRPr="00A3756F" w:rsidRDefault="004047F2" w:rsidP="004047F2">
      <w:pPr>
        <w:widowControl w:val="0"/>
        <w:spacing w:after="0" w:line="240" w:lineRule="auto"/>
        <w:rPr>
          <w:rFonts w:ascii="Times New Roman" w:eastAsia="Calibri" w:hAnsi="Times New Roman"/>
          <w:bCs/>
          <w:sz w:val="20"/>
          <w:szCs w:val="20"/>
          <w:lang w:bidi="en-US"/>
        </w:rPr>
      </w:pPr>
      <w:r w:rsidRPr="00A3756F">
        <w:rPr>
          <w:rFonts w:ascii="Times New Roman" w:eastAsia="Calibri" w:hAnsi="Times New Roman"/>
          <w:bCs/>
          <w:sz w:val="20"/>
          <w:szCs w:val="20"/>
          <w:lang w:bidi="en-US"/>
        </w:rPr>
        <w:tab/>
      </w:r>
    </w:p>
    <w:p w14:paraId="0CD8A5DE" w14:textId="77777777" w:rsidR="004047F2" w:rsidRPr="00A3756F" w:rsidRDefault="004047F2" w:rsidP="004047F2">
      <w:pPr>
        <w:widowControl w:val="0"/>
        <w:suppressAutoHyphens/>
        <w:autoSpaceDE w:val="0"/>
        <w:autoSpaceDN w:val="0"/>
        <w:adjustRightInd w:val="0"/>
        <w:spacing w:after="0" w:line="240" w:lineRule="auto"/>
        <w:jc w:val="both"/>
        <w:textAlignment w:val="center"/>
        <w:outlineLvl w:val="0"/>
        <w:rPr>
          <w:rFonts w:ascii="Times New Roman" w:eastAsia="Calibri" w:hAnsi="Times New Roman"/>
          <w:sz w:val="20"/>
          <w:szCs w:val="20"/>
        </w:rPr>
      </w:pPr>
      <w:r w:rsidRPr="00A3756F">
        <w:rPr>
          <w:rFonts w:ascii="Times New Roman" w:eastAsia="Calibri" w:hAnsi="Times New Roman"/>
          <w:sz w:val="20"/>
          <w:szCs w:val="20"/>
        </w:rPr>
        <w:t xml:space="preserve">As per the provisions of the Chapter IX of the SEBI (ICDR) Regulation, 2018, our Company may migrate to the main board of BSE from the SME Exchange on a later date subject to the following: </w:t>
      </w:r>
    </w:p>
    <w:p w14:paraId="6E5FDB09" w14:textId="77777777" w:rsidR="004047F2" w:rsidRPr="00A3756F" w:rsidRDefault="004047F2" w:rsidP="004047F2">
      <w:pPr>
        <w:widowControl w:val="0"/>
        <w:suppressAutoHyphens/>
        <w:autoSpaceDE w:val="0"/>
        <w:autoSpaceDN w:val="0"/>
        <w:adjustRightInd w:val="0"/>
        <w:spacing w:after="0" w:line="240" w:lineRule="auto"/>
        <w:jc w:val="both"/>
        <w:textAlignment w:val="center"/>
        <w:outlineLvl w:val="0"/>
        <w:rPr>
          <w:rFonts w:ascii="Times New Roman" w:eastAsia="Calibri" w:hAnsi="Times New Roman"/>
          <w:sz w:val="20"/>
          <w:szCs w:val="20"/>
        </w:rPr>
      </w:pPr>
    </w:p>
    <w:p w14:paraId="6E62DA9C" w14:textId="77777777" w:rsidR="004047F2" w:rsidRPr="00A3756F" w:rsidRDefault="004047F2" w:rsidP="004047F2">
      <w:pPr>
        <w:widowControl w:val="0"/>
        <w:suppressAutoHyphens/>
        <w:autoSpaceDE w:val="0"/>
        <w:autoSpaceDN w:val="0"/>
        <w:adjustRightInd w:val="0"/>
        <w:spacing w:after="0" w:line="240" w:lineRule="auto"/>
        <w:jc w:val="both"/>
        <w:textAlignment w:val="center"/>
        <w:outlineLvl w:val="0"/>
        <w:rPr>
          <w:rFonts w:ascii="Times New Roman" w:eastAsia="Calibri" w:hAnsi="Times New Roman"/>
          <w:sz w:val="20"/>
          <w:szCs w:val="20"/>
        </w:rPr>
      </w:pPr>
      <w:r w:rsidRPr="00A3756F">
        <w:rPr>
          <w:rFonts w:ascii="Times New Roman" w:eastAsia="Calibri" w:hAnsi="Times New Roman"/>
          <w:sz w:val="20"/>
          <w:szCs w:val="20"/>
        </w:rPr>
        <w:t>If the Paid-up Capital of the company is likely to increase above ₹ 25 crores by virtue of any further issue of capital by way of rights, preferential issue, bonus issue etc. (which has been approved by a special resolution through postal ballot wherein the votes cast by the shareholders other than the promoter in favour of the proposal amount to at least two times the number of votes cast by shareholders other than promoter shareholders against the proposal and for which the company has obtained in-principal approval from the main board), we shall have to apply to BSE for listing our shares on its Main Board subject to the fulfillment of the eligibility criteria for listing of specified securities laid down by the Main Board.</w:t>
      </w:r>
    </w:p>
    <w:p w14:paraId="616973B4" w14:textId="77777777" w:rsidR="004047F2" w:rsidRPr="00A3756F" w:rsidRDefault="004047F2" w:rsidP="004047F2">
      <w:pPr>
        <w:widowControl w:val="0"/>
        <w:suppressAutoHyphens/>
        <w:autoSpaceDE w:val="0"/>
        <w:autoSpaceDN w:val="0"/>
        <w:adjustRightInd w:val="0"/>
        <w:spacing w:after="0" w:line="240" w:lineRule="auto"/>
        <w:jc w:val="both"/>
        <w:textAlignment w:val="center"/>
        <w:outlineLvl w:val="0"/>
        <w:rPr>
          <w:rFonts w:ascii="Times New Roman" w:eastAsia="Calibri" w:hAnsi="Times New Roman"/>
          <w:sz w:val="20"/>
          <w:szCs w:val="20"/>
        </w:rPr>
      </w:pPr>
    </w:p>
    <w:p w14:paraId="2588A2EC" w14:textId="77777777" w:rsidR="004047F2" w:rsidRPr="00A3756F" w:rsidRDefault="004047F2" w:rsidP="004047F2">
      <w:pPr>
        <w:widowControl w:val="0"/>
        <w:suppressAutoHyphens/>
        <w:autoSpaceDE w:val="0"/>
        <w:autoSpaceDN w:val="0"/>
        <w:adjustRightInd w:val="0"/>
        <w:spacing w:after="0" w:line="240" w:lineRule="auto"/>
        <w:jc w:val="both"/>
        <w:textAlignment w:val="center"/>
        <w:outlineLvl w:val="0"/>
        <w:rPr>
          <w:rFonts w:ascii="Times New Roman" w:eastAsia="Calibri" w:hAnsi="Times New Roman"/>
          <w:sz w:val="20"/>
          <w:szCs w:val="20"/>
        </w:rPr>
      </w:pPr>
      <w:r w:rsidRPr="00A3756F">
        <w:rPr>
          <w:rFonts w:ascii="Times New Roman" w:eastAsia="Calibri" w:hAnsi="Times New Roman"/>
          <w:sz w:val="20"/>
          <w:szCs w:val="20"/>
        </w:rPr>
        <w:t>If the Paid-up Capital of the company is more than ₹ 10 crores but below ₹ 25 crores, we may still apply for migration to the main board if the same has been approved by a special resolution through postal ballot wherein the votes cast by the shareholders other than the promoter in favour of the proposal amount to at least two times the number of votes cast by shareholders other than promoter shareholders against the proposal.</w:t>
      </w:r>
    </w:p>
    <w:p w14:paraId="05DF0C1C" w14:textId="77777777" w:rsidR="004047F2" w:rsidRPr="00A3756F" w:rsidRDefault="004047F2" w:rsidP="004047F2">
      <w:pPr>
        <w:widowControl w:val="0"/>
        <w:suppressAutoHyphens/>
        <w:autoSpaceDE w:val="0"/>
        <w:autoSpaceDN w:val="0"/>
        <w:adjustRightInd w:val="0"/>
        <w:spacing w:after="0" w:line="240" w:lineRule="auto"/>
        <w:jc w:val="both"/>
        <w:textAlignment w:val="center"/>
        <w:outlineLvl w:val="0"/>
        <w:rPr>
          <w:rFonts w:ascii="Times New Roman" w:eastAsia="Calibri" w:hAnsi="Times New Roman"/>
          <w:b/>
          <w:bCs/>
          <w:sz w:val="20"/>
          <w:szCs w:val="20"/>
          <w:lang w:bidi="en-US"/>
        </w:rPr>
      </w:pPr>
    </w:p>
    <w:p w14:paraId="0B8662C7" w14:textId="77777777" w:rsidR="004047F2" w:rsidRPr="00A3756F" w:rsidRDefault="004047F2" w:rsidP="004047F2">
      <w:pPr>
        <w:suppressAutoHyphens/>
        <w:autoSpaceDE w:val="0"/>
        <w:autoSpaceDN w:val="0"/>
        <w:adjustRightInd w:val="0"/>
        <w:spacing w:after="0" w:line="240" w:lineRule="auto"/>
        <w:textAlignment w:val="center"/>
        <w:outlineLvl w:val="0"/>
        <w:rPr>
          <w:rFonts w:ascii="Times New Roman" w:eastAsia="Calibri" w:hAnsi="Times New Roman"/>
          <w:b/>
          <w:bCs/>
          <w:sz w:val="20"/>
          <w:szCs w:val="20"/>
        </w:rPr>
      </w:pPr>
      <w:r w:rsidRPr="00A3756F">
        <w:rPr>
          <w:rFonts w:ascii="Times New Roman" w:eastAsia="Calibri" w:hAnsi="Times New Roman"/>
          <w:b/>
          <w:bCs/>
          <w:sz w:val="20"/>
          <w:szCs w:val="20"/>
        </w:rPr>
        <w:t>Market Making</w:t>
      </w:r>
    </w:p>
    <w:p w14:paraId="3D8819ED" w14:textId="77777777" w:rsidR="004047F2" w:rsidRPr="00A3756F" w:rsidRDefault="004047F2" w:rsidP="004047F2">
      <w:pPr>
        <w:suppressAutoHyphens/>
        <w:autoSpaceDE w:val="0"/>
        <w:autoSpaceDN w:val="0"/>
        <w:adjustRightInd w:val="0"/>
        <w:spacing w:after="0" w:line="240" w:lineRule="auto"/>
        <w:textAlignment w:val="center"/>
        <w:rPr>
          <w:rFonts w:ascii="Times New Roman" w:eastAsia="Calibri" w:hAnsi="Times New Roman"/>
          <w:bCs/>
          <w:sz w:val="20"/>
          <w:szCs w:val="20"/>
        </w:rPr>
      </w:pPr>
    </w:p>
    <w:p w14:paraId="29576454" w14:textId="77777777" w:rsidR="004047F2" w:rsidRPr="00A3756F" w:rsidRDefault="004047F2" w:rsidP="004047F2">
      <w:pPr>
        <w:suppressAutoHyphens/>
        <w:autoSpaceDE w:val="0"/>
        <w:autoSpaceDN w:val="0"/>
        <w:adjustRightInd w:val="0"/>
        <w:spacing w:after="0" w:line="240" w:lineRule="auto"/>
        <w:jc w:val="both"/>
        <w:textAlignment w:val="center"/>
        <w:rPr>
          <w:rFonts w:ascii="Times New Roman" w:eastAsia="Calibri" w:hAnsi="Times New Roman"/>
          <w:bCs/>
          <w:sz w:val="20"/>
          <w:szCs w:val="20"/>
        </w:rPr>
      </w:pPr>
      <w:r w:rsidRPr="00A3756F">
        <w:rPr>
          <w:rFonts w:ascii="Times New Roman" w:eastAsia="Calibri" w:hAnsi="Times New Roman"/>
          <w:bCs/>
          <w:sz w:val="20"/>
          <w:szCs w:val="20"/>
        </w:rPr>
        <w:t xml:space="preserve">The shares offered through this Issue are proposed to be listed on the </w:t>
      </w:r>
      <w:r w:rsidRPr="00A3756F">
        <w:rPr>
          <w:rFonts w:ascii="Times New Roman" w:eastAsia="Calibri" w:hAnsi="Times New Roman"/>
          <w:bCs/>
          <w:sz w:val="20"/>
          <w:szCs w:val="20"/>
          <w:lang w:bidi="en-US"/>
        </w:rPr>
        <w:t>SME Platform of BSE (B</w:t>
      </w:r>
      <w:r w:rsidRPr="00A3756F">
        <w:rPr>
          <w:rFonts w:ascii="Times New Roman" w:hAnsi="Times New Roman"/>
          <w:sz w:val="20"/>
          <w:szCs w:val="20"/>
        </w:rPr>
        <w:t>SE SME</w:t>
      </w:r>
      <w:r w:rsidRPr="00A3756F">
        <w:rPr>
          <w:rFonts w:ascii="Times New Roman" w:eastAsia="Calibri" w:hAnsi="Times New Roman"/>
          <w:bCs/>
          <w:sz w:val="20"/>
          <w:szCs w:val="20"/>
          <w:lang w:bidi="en-US"/>
        </w:rPr>
        <w:t>),</w:t>
      </w:r>
      <w:r w:rsidRPr="00A3756F">
        <w:rPr>
          <w:rFonts w:ascii="Times New Roman" w:eastAsia="Calibri" w:hAnsi="Times New Roman"/>
          <w:bCs/>
          <w:sz w:val="20"/>
          <w:szCs w:val="20"/>
        </w:rPr>
        <w:t xml:space="preserve"> wherein the Book Running Lead Manager to this Issue shall ensure compulsory Market Making through the registered Market Makers </w:t>
      </w:r>
      <w:r w:rsidRPr="00A3756F">
        <w:rPr>
          <w:rFonts w:ascii="Times New Roman" w:eastAsia="Calibri" w:hAnsi="Times New Roman"/>
          <w:bCs/>
          <w:sz w:val="20"/>
          <w:szCs w:val="20"/>
          <w:lang w:bidi="en-US"/>
        </w:rPr>
        <w:t xml:space="preserve">of the SME Exchange </w:t>
      </w:r>
      <w:r w:rsidRPr="00A3756F">
        <w:rPr>
          <w:rFonts w:ascii="Times New Roman" w:eastAsia="Calibri" w:hAnsi="Times New Roman"/>
          <w:bCs/>
          <w:sz w:val="20"/>
          <w:szCs w:val="20"/>
        </w:rPr>
        <w:t xml:space="preserve">for a minimum period of 3 (three) years from the date of listing on the </w:t>
      </w:r>
      <w:r w:rsidRPr="00A3756F">
        <w:rPr>
          <w:rFonts w:ascii="Times New Roman" w:hAnsi="Times New Roman"/>
          <w:sz w:val="20"/>
          <w:szCs w:val="20"/>
        </w:rPr>
        <w:t>SME platform</w:t>
      </w:r>
      <w:r w:rsidRPr="00A3756F">
        <w:rPr>
          <w:rFonts w:ascii="Times New Roman" w:eastAsia="Calibri" w:hAnsi="Times New Roman"/>
          <w:bCs/>
          <w:sz w:val="20"/>
          <w:szCs w:val="20"/>
        </w:rPr>
        <w:t xml:space="preserve"> of BSE. </w:t>
      </w:r>
    </w:p>
    <w:p w14:paraId="18B0AC15" w14:textId="77777777" w:rsidR="004047F2" w:rsidRPr="00A3756F" w:rsidRDefault="004047F2" w:rsidP="004047F2">
      <w:pPr>
        <w:suppressAutoHyphens/>
        <w:autoSpaceDE w:val="0"/>
        <w:autoSpaceDN w:val="0"/>
        <w:adjustRightInd w:val="0"/>
        <w:spacing w:after="0" w:line="240" w:lineRule="auto"/>
        <w:jc w:val="both"/>
        <w:textAlignment w:val="center"/>
        <w:rPr>
          <w:rFonts w:ascii="Times New Roman" w:eastAsia="Calibri" w:hAnsi="Times New Roman"/>
          <w:bCs/>
          <w:sz w:val="20"/>
          <w:szCs w:val="20"/>
        </w:rPr>
      </w:pPr>
    </w:p>
    <w:p w14:paraId="4CC652A2" w14:textId="77777777" w:rsidR="004047F2" w:rsidRPr="00712F3C" w:rsidRDefault="004047F2" w:rsidP="004047F2">
      <w:pPr>
        <w:suppressAutoHyphens/>
        <w:autoSpaceDE w:val="0"/>
        <w:autoSpaceDN w:val="0"/>
        <w:adjustRightInd w:val="0"/>
        <w:spacing w:after="0" w:line="240" w:lineRule="auto"/>
        <w:jc w:val="both"/>
        <w:textAlignment w:val="center"/>
        <w:rPr>
          <w:rFonts w:ascii="Times New Roman" w:eastAsia="Calibri" w:hAnsi="Times New Roman"/>
          <w:bCs/>
          <w:sz w:val="20"/>
          <w:szCs w:val="20"/>
        </w:rPr>
      </w:pPr>
      <w:r w:rsidRPr="00A3756F">
        <w:rPr>
          <w:rFonts w:ascii="Times New Roman" w:eastAsia="Calibri" w:hAnsi="Times New Roman"/>
          <w:bCs/>
          <w:sz w:val="20"/>
          <w:szCs w:val="20"/>
        </w:rPr>
        <w:lastRenderedPageBreak/>
        <w:t xml:space="preserve">For further details of the agreement entered into between the Company, the Book Running Lead Manager and the Market Maker please refer to section titled </w:t>
      </w:r>
      <w:r w:rsidRPr="00A3756F">
        <w:rPr>
          <w:rFonts w:ascii="Times New Roman" w:eastAsia="Calibri" w:hAnsi="Times New Roman"/>
          <w:b/>
          <w:bCs/>
          <w:i/>
          <w:iCs/>
          <w:sz w:val="20"/>
          <w:szCs w:val="20"/>
        </w:rPr>
        <w:t xml:space="preserve">“General Information - Details of the Market Making Arrangements for this Issue” </w:t>
      </w:r>
      <w:r w:rsidRPr="00A3756F">
        <w:rPr>
          <w:rFonts w:ascii="Times New Roman" w:eastAsia="Calibri" w:hAnsi="Times New Roman"/>
          <w:bCs/>
          <w:sz w:val="20"/>
          <w:szCs w:val="20"/>
        </w:rPr>
        <w:t xml:space="preserve">on page 54 of this Draft </w:t>
      </w:r>
      <w:r w:rsidRPr="00A3756F">
        <w:rPr>
          <w:rFonts w:ascii="Times New Roman" w:eastAsia="Calibri" w:hAnsi="Times New Roman"/>
          <w:bCs/>
          <w:sz w:val="20"/>
          <w:szCs w:val="20"/>
          <w:lang w:bidi="en-US"/>
        </w:rPr>
        <w:t xml:space="preserve">Red Herring </w:t>
      </w:r>
      <w:r w:rsidRPr="00A3756F">
        <w:rPr>
          <w:rFonts w:ascii="Times New Roman" w:eastAsia="Calibri" w:hAnsi="Times New Roman"/>
          <w:bCs/>
          <w:sz w:val="20"/>
          <w:szCs w:val="20"/>
        </w:rPr>
        <w:t>Prospectus</w:t>
      </w:r>
      <w:r w:rsidRPr="00712F3C">
        <w:rPr>
          <w:rFonts w:ascii="Times New Roman" w:eastAsia="Calibri" w:hAnsi="Times New Roman"/>
          <w:bCs/>
          <w:sz w:val="20"/>
          <w:szCs w:val="20"/>
        </w:rPr>
        <w:t>.</w:t>
      </w:r>
    </w:p>
    <w:p w14:paraId="6F5CE2BF" w14:textId="77777777" w:rsidR="004047F2" w:rsidRPr="00712F3C" w:rsidRDefault="004047F2" w:rsidP="004047F2">
      <w:pPr>
        <w:suppressAutoHyphens/>
        <w:autoSpaceDE w:val="0"/>
        <w:autoSpaceDN w:val="0"/>
        <w:adjustRightInd w:val="0"/>
        <w:spacing w:after="0" w:line="240" w:lineRule="auto"/>
        <w:textAlignment w:val="center"/>
        <w:rPr>
          <w:rFonts w:ascii="Times New Roman" w:eastAsia="Calibri" w:hAnsi="Times New Roman"/>
          <w:bCs/>
          <w:sz w:val="20"/>
          <w:szCs w:val="20"/>
        </w:rPr>
      </w:pPr>
    </w:p>
    <w:p w14:paraId="5973A7AE" w14:textId="77777777" w:rsidR="004047F2" w:rsidRPr="00712F3C" w:rsidRDefault="004047F2" w:rsidP="004047F2">
      <w:pPr>
        <w:widowControl w:val="0"/>
        <w:spacing w:after="0" w:line="240" w:lineRule="auto"/>
        <w:jc w:val="both"/>
        <w:rPr>
          <w:rFonts w:ascii="Times New Roman" w:eastAsia="Calibri" w:hAnsi="Times New Roman"/>
          <w:b/>
          <w:bCs/>
          <w:sz w:val="20"/>
          <w:szCs w:val="20"/>
          <w:lang w:bidi="en-US"/>
        </w:rPr>
      </w:pPr>
      <w:r w:rsidRPr="00712F3C">
        <w:rPr>
          <w:rFonts w:ascii="Times New Roman" w:eastAsia="Calibri" w:hAnsi="Times New Roman"/>
          <w:b/>
          <w:bCs/>
          <w:sz w:val="20"/>
          <w:szCs w:val="20"/>
          <w:lang w:bidi="en-US"/>
        </w:rPr>
        <w:t>Arrangements for disposal of odd lots</w:t>
      </w:r>
    </w:p>
    <w:p w14:paraId="44F4A670" w14:textId="77777777" w:rsidR="004047F2" w:rsidRPr="00712F3C" w:rsidRDefault="004047F2" w:rsidP="004047F2">
      <w:pPr>
        <w:widowControl w:val="0"/>
        <w:spacing w:after="0" w:line="240" w:lineRule="auto"/>
        <w:jc w:val="both"/>
        <w:rPr>
          <w:rFonts w:ascii="Times New Roman" w:eastAsia="Calibri" w:hAnsi="Times New Roman"/>
          <w:bCs/>
          <w:sz w:val="20"/>
          <w:szCs w:val="20"/>
          <w:lang w:bidi="en-US"/>
        </w:rPr>
      </w:pPr>
    </w:p>
    <w:p w14:paraId="78A1E390" w14:textId="77777777" w:rsidR="004047F2" w:rsidRPr="00712F3C" w:rsidRDefault="004047F2" w:rsidP="004047F2">
      <w:pPr>
        <w:widowControl w:val="0"/>
        <w:spacing w:after="0" w:line="240" w:lineRule="auto"/>
        <w:jc w:val="both"/>
        <w:rPr>
          <w:rFonts w:ascii="Times New Roman" w:eastAsia="Calibri" w:hAnsi="Times New Roman"/>
          <w:bCs/>
          <w:sz w:val="20"/>
          <w:szCs w:val="20"/>
          <w:lang w:bidi="en-US"/>
        </w:rPr>
      </w:pPr>
      <w:r w:rsidRPr="00712F3C">
        <w:rPr>
          <w:rFonts w:ascii="Times New Roman" w:eastAsia="Calibri" w:hAnsi="Times New Roman"/>
          <w:bCs/>
          <w:sz w:val="20"/>
          <w:szCs w:val="20"/>
          <w:lang w:bidi="en-US"/>
        </w:rPr>
        <w:t xml:space="preserve">The trading of the Equity Shares will happen in the minimum contract size of </w:t>
      </w:r>
      <w:r w:rsidRPr="00712F3C">
        <w:rPr>
          <w:rFonts w:ascii="Times New Roman" w:eastAsia="Calibri" w:hAnsi="Times New Roman"/>
          <w:sz w:val="20"/>
          <w:szCs w:val="20"/>
        </w:rPr>
        <w:t xml:space="preserve">[●] </w:t>
      </w:r>
      <w:r w:rsidRPr="00712F3C">
        <w:rPr>
          <w:rFonts w:ascii="Times New Roman" w:eastAsia="Calibri" w:hAnsi="Times New Roman"/>
          <w:bCs/>
          <w:sz w:val="20"/>
          <w:szCs w:val="20"/>
          <w:lang w:bidi="en-US"/>
        </w:rPr>
        <w:t xml:space="preserve">shares in terms of the SEBI circular No. CIR/MRD/DSA/06/2012 dated February 21, 2012. However, the Market Maker shall buy the entire shareholding of a shareholder in one lot, where value of such shareholding is less than the minimum contract size allowed for trading on the </w:t>
      </w:r>
      <w:r w:rsidRPr="00712F3C">
        <w:rPr>
          <w:rFonts w:ascii="Times New Roman" w:hAnsi="Times New Roman"/>
          <w:sz w:val="20"/>
          <w:szCs w:val="20"/>
        </w:rPr>
        <w:t>SME platform</w:t>
      </w:r>
      <w:r w:rsidRPr="00712F3C">
        <w:rPr>
          <w:rFonts w:ascii="Times New Roman" w:eastAsia="Calibri" w:hAnsi="Times New Roman"/>
          <w:bCs/>
          <w:sz w:val="20"/>
          <w:szCs w:val="20"/>
          <w:lang w:bidi="en-US"/>
        </w:rPr>
        <w:t xml:space="preserve"> of BSE Limited. </w:t>
      </w:r>
    </w:p>
    <w:p w14:paraId="75A3F316" w14:textId="77777777" w:rsidR="004047F2" w:rsidRPr="00712F3C" w:rsidRDefault="004047F2" w:rsidP="004047F2">
      <w:pPr>
        <w:widowControl w:val="0"/>
        <w:spacing w:after="0" w:line="240" w:lineRule="auto"/>
        <w:jc w:val="both"/>
        <w:rPr>
          <w:rFonts w:ascii="Times New Roman" w:eastAsia="Calibri" w:hAnsi="Times New Roman"/>
          <w:b/>
          <w:bCs/>
          <w:sz w:val="20"/>
          <w:szCs w:val="20"/>
          <w:lang w:bidi="en-US"/>
        </w:rPr>
      </w:pPr>
    </w:p>
    <w:p w14:paraId="2DB182DD" w14:textId="77777777" w:rsidR="004047F2" w:rsidRPr="00712F3C" w:rsidRDefault="004047F2" w:rsidP="004047F2">
      <w:pPr>
        <w:widowControl w:val="0"/>
        <w:spacing w:after="0" w:line="240" w:lineRule="auto"/>
        <w:jc w:val="both"/>
        <w:rPr>
          <w:rFonts w:ascii="Times New Roman" w:eastAsia="Calibri" w:hAnsi="Times New Roman"/>
          <w:b/>
          <w:bCs/>
          <w:sz w:val="20"/>
          <w:szCs w:val="20"/>
          <w:lang w:bidi="en-US"/>
        </w:rPr>
      </w:pPr>
      <w:r w:rsidRPr="00712F3C">
        <w:rPr>
          <w:rFonts w:ascii="Times New Roman" w:eastAsia="Calibri" w:hAnsi="Times New Roman"/>
          <w:b/>
          <w:bCs/>
          <w:sz w:val="20"/>
          <w:szCs w:val="20"/>
          <w:lang w:bidi="en-US"/>
        </w:rPr>
        <w:t>As per the extent Guideline of the Government of India, OCBs cannot participate in this Issue</w:t>
      </w:r>
    </w:p>
    <w:p w14:paraId="0DF6131B" w14:textId="77777777" w:rsidR="004047F2" w:rsidRPr="00712F3C" w:rsidRDefault="004047F2" w:rsidP="004047F2">
      <w:pPr>
        <w:widowControl w:val="0"/>
        <w:spacing w:after="0" w:line="240" w:lineRule="auto"/>
        <w:jc w:val="both"/>
        <w:rPr>
          <w:rFonts w:ascii="Times New Roman" w:eastAsia="Calibri" w:hAnsi="Times New Roman"/>
          <w:b/>
          <w:bCs/>
          <w:sz w:val="20"/>
          <w:szCs w:val="20"/>
          <w:lang w:bidi="en-US"/>
        </w:rPr>
      </w:pPr>
    </w:p>
    <w:p w14:paraId="3447BCD7" w14:textId="77777777" w:rsidR="004047F2" w:rsidRPr="00712F3C" w:rsidRDefault="004047F2" w:rsidP="004047F2">
      <w:pPr>
        <w:widowControl w:val="0"/>
        <w:spacing w:after="0" w:line="240" w:lineRule="auto"/>
        <w:jc w:val="both"/>
        <w:rPr>
          <w:rFonts w:ascii="Times New Roman" w:eastAsia="Calibri" w:hAnsi="Times New Roman"/>
          <w:bCs/>
          <w:sz w:val="20"/>
          <w:szCs w:val="20"/>
          <w:lang w:bidi="en-US"/>
        </w:rPr>
      </w:pPr>
      <w:r w:rsidRPr="00712F3C">
        <w:rPr>
          <w:rFonts w:ascii="Times New Roman" w:eastAsia="Calibri" w:hAnsi="Times New Roman"/>
          <w:bCs/>
          <w:sz w:val="20"/>
          <w:szCs w:val="20"/>
          <w:lang w:bidi="en-US"/>
        </w:rPr>
        <w:t xml:space="preserve">The current provisions of the Foreign Exchange Management (Transfer or Issue of Security by a Person Resident outside India) Regulations, 2000, provides a general permission for the NRIs, FPIs and foreign venture capital investors registered with SEBI to invest in shares of Indian companies by way of subscription in an IPO. However, such investments would be subject to other investment restrictions under the Foreign Exchange Management (Transfer or Issue of Security by a Person Resident outside India) Regulations, 2000, RBI and/or SEBI regulations as may be applicable to such investors. </w:t>
      </w:r>
    </w:p>
    <w:p w14:paraId="3F244944" w14:textId="77777777" w:rsidR="004047F2" w:rsidRPr="00712F3C" w:rsidRDefault="004047F2" w:rsidP="004047F2">
      <w:pPr>
        <w:widowControl w:val="0"/>
        <w:spacing w:after="0" w:line="240" w:lineRule="auto"/>
        <w:jc w:val="both"/>
        <w:outlineLvl w:val="0"/>
        <w:rPr>
          <w:rFonts w:ascii="Times New Roman" w:eastAsia="Calibri" w:hAnsi="Times New Roman"/>
          <w:bCs/>
          <w:sz w:val="20"/>
          <w:szCs w:val="20"/>
          <w:lang w:bidi="en-US"/>
        </w:rPr>
      </w:pPr>
    </w:p>
    <w:p w14:paraId="6E1B8247" w14:textId="77777777" w:rsidR="004047F2" w:rsidRPr="00712F3C" w:rsidRDefault="004047F2" w:rsidP="004047F2">
      <w:pPr>
        <w:widowControl w:val="0"/>
        <w:spacing w:after="0" w:line="240" w:lineRule="auto"/>
        <w:jc w:val="both"/>
        <w:rPr>
          <w:rFonts w:ascii="Times New Roman" w:eastAsia="Calibri" w:hAnsi="Times New Roman"/>
          <w:bCs/>
          <w:sz w:val="20"/>
          <w:szCs w:val="20"/>
          <w:lang w:bidi="en-US"/>
        </w:rPr>
      </w:pPr>
      <w:r w:rsidRPr="00712F3C">
        <w:rPr>
          <w:rFonts w:ascii="Times New Roman" w:eastAsia="Calibri" w:hAnsi="Times New Roman"/>
          <w:bCs/>
          <w:sz w:val="20"/>
          <w:szCs w:val="20"/>
          <w:lang w:bidi="en-US"/>
        </w:rPr>
        <w:t>The Allotment of the Equity Shares to Non-Residents shall be subject to the conditions, if any, as may be prescribed by the Government of India/RBI while granting such approvals.</w:t>
      </w:r>
    </w:p>
    <w:p w14:paraId="3061D00F" w14:textId="77777777" w:rsidR="004047F2" w:rsidRPr="00712F3C" w:rsidRDefault="004047F2" w:rsidP="004047F2">
      <w:pPr>
        <w:widowControl w:val="0"/>
        <w:spacing w:after="0" w:line="240" w:lineRule="auto"/>
        <w:jc w:val="both"/>
        <w:rPr>
          <w:rFonts w:ascii="Times New Roman" w:eastAsia="Calibri" w:hAnsi="Times New Roman"/>
          <w:bCs/>
          <w:sz w:val="20"/>
          <w:szCs w:val="20"/>
          <w:lang w:bidi="en-US"/>
        </w:rPr>
      </w:pPr>
    </w:p>
    <w:p w14:paraId="3377A970" w14:textId="77777777" w:rsidR="004047F2" w:rsidRPr="00712F3C" w:rsidRDefault="004047F2" w:rsidP="004047F2">
      <w:pPr>
        <w:widowControl w:val="0"/>
        <w:spacing w:after="0" w:line="240" w:lineRule="auto"/>
        <w:jc w:val="both"/>
        <w:rPr>
          <w:rFonts w:ascii="Times New Roman" w:eastAsia="Calibri" w:hAnsi="Times New Roman"/>
          <w:b/>
          <w:bCs/>
          <w:sz w:val="20"/>
          <w:szCs w:val="20"/>
          <w:lang w:bidi="en-US"/>
        </w:rPr>
      </w:pPr>
      <w:r w:rsidRPr="00712F3C">
        <w:rPr>
          <w:rFonts w:ascii="Times New Roman" w:eastAsia="Calibri" w:hAnsi="Times New Roman"/>
          <w:b/>
          <w:bCs/>
          <w:sz w:val="20"/>
          <w:szCs w:val="20"/>
          <w:lang w:bidi="en-US"/>
        </w:rPr>
        <w:t>Allotment of Equity Shares in Dematerialized Form</w:t>
      </w:r>
    </w:p>
    <w:p w14:paraId="10AC0D4D" w14:textId="77777777" w:rsidR="004047F2" w:rsidRPr="00712F3C" w:rsidRDefault="004047F2" w:rsidP="004047F2">
      <w:pPr>
        <w:widowControl w:val="0"/>
        <w:spacing w:after="0" w:line="240" w:lineRule="auto"/>
        <w:rPr>
          <w:rFonts w:ascii="Times New Roman" w:eastAsia="Calibri" w:hAnsi="Times New Roman"/>
          <w:bCs/>
          <w:sz w:val="20"/>
          <w:szCs w:val="20"/>
          <w:lang w:bidi="en-US"/>
        </w:rPr>
      </w:pPr>
    </w:p>
    <w:p w14:paraId="3386EDC2" w14:textId="77777777" w:rsidR="004047F2" w:rsidRPr="00712F3C" w:rsidRDefault="004047F2" w:rsidP="004047F2">
      <w:pPr>
        <w:widowControl w:val="0"/>
        <w:spacing w:after="0" w:line="240" w:lineRule="auto"/>
        <w:jc w:val="both"/>
        <w:rPr>
          <w:rFonts w:ascii="Times New Roman" w:eastAsia="Calibri" w:hAnsi="Times New Roman"/>
          <w:sz w:val="20"/>
          <w:szCs w:val="20"/>
        </w:rPr>
      </w:pPr>
      <w:r w:rsidRPr="00712F3C">
        <w:rPr>
          <w:rFonts w:ascii="Times New Roman" w:eastAsia="Calibri" w:hAnsi="Times New Roman"/>
          <w:sz w:val="20"/>
          <w:szCs w:val="20"/>
        </w:rPr>
        <w:t>Pursuant to Section 29 of the Companies Act, 2013, the Equity Shares in the Issue shall be allotted only in dematerialized form. Further, as per the SEBI ICDR Regulations, the trading of the Equity Shares shall only be in dematerialized form on the Stock Exchange.</w:t>
      </w:r>
    </w:p>
    <w:p w14:paraId="5A5BFA73" w14:textId="77777777" w:rsidR="004047F2" w:rsidRPr="00712F3C" w:rsidRDefault="004047F2" w:rsidP="004047F2">
      <w:pPr>
        <w:widowControl w:val="0"/>
        <w:spacing w:after="0" w:line="240" w:lineRule="auto"/>
        <w:jc w:val="both"/>
        <w:rPr>
          <w:rFonts w:ascii="Times New Roman" w:eastAsia="Calibri" w:hAnsi="Times New Roman"/>
          <w:b/>
          <w:bCs/>
          <w:sz w:val="20"/>
          <w:szCs w:val="20"/>
          <w:lang w:bidi="en-US"/>
        </w:rPr>
      </w:pPr>
    </w:p>
    <w:p w14:paraId="15A3F8DA" w14:textId="77777777" w:rsidR="004047F2" w:rsidRPr="00712F3C" w:rsidRDefault="004047F2" w:rsidP="004047F2">
      <w:pPr>
        <w:widowControl w:val="0"/>
        <w:spacing w:after="0" w:line="240" w:lineRule="auto"/>
        <w:jc w:val="both"/>
        <w:rPr>
          <w:rFonts w:ascii="Times New Roman" w:eastAsia="Calibri" w:hAnsi="Times New Roman"/>
          <w:b/>
          <w:bCs/>
          <w:sz w:val="20"/>
          <w:szCs w:val="20"/>
          <w:lang w:bidi="en-US"/>
        </w:rPr>
      </w:pPr>
      <w:r w:rsidRPr="00712F3C">
        <w:rPr>
          <w:rFonts w:ascii="Times New Roman" w:eastAsia="Calibri" w:hAnsi="Times New Roman"/>
          <w:b/>
          <w:bCs/>
          <w:sz w:val="20"/>
          <w:szCs w:val="20"/>
          <w:lang w:bidi="en-US"/>
        </w:rPr>
        <w:t>New Financial Instruments</w:t>
      </w:r>
    </w:p>
    <w:p w14:paraId="4E8E8C53" w14:textId="77777777" w:rsidR="004047F2" w:rsidRPr="00712F3C" w:rsidRDefault="004047F2" w:rsidP="004047F2">
      <w:pPr>
        <w:widowControl w:val="0"/>
        <w:spacing w:after="0" w:line="240" w:lineRule="auto"/>
        <w:jc w:val="both"/>
        <w:rPr>
          <w:rFonts w:ascii="Times New Roman" w:eastAsia="Calibri" w:hAnsi="Times New Roman"/>
          <w:b/>
          <w:bCs/>
          <w:sz w:val="20"/>
          <w:szCs w:val="20"/>
          <w:lang w:bidi="en-US"/>
        </w:rPr>
      </w:pPr>
    </w:p>
    <w:p w14:paraId="4DAA30C8" w14:textId="77777777" w:rsidR="004047F2" w:rsidRPr="00712F3C" w:rsidRDefault="004047F2" w:rsidP="004047F2">
      <w:pPr>
        <w:widowControl w:val="0"/>
        <w:spacing w:after="0" w:line="240" w:lineRule="auto"/>
        <w:jc w:val="both"/>
        <w:rPr>
          <w:rFonts w:ascii="Times New Roman" w:eastAsia="Calibri" w:hAnsi="Times New Roman"/>
          <w:bCs/>
          <w:sz w:val="20"/>
          <w:szCs w:val="20"/>
          <w:lang w:bidi="en-US"/>
        </w:rPr>
      </w:pPr>
      <w:r w:rsidRPr="00712F3C">
        <w:rPr>
          <w:rFonts w:ascii="Times New Roman" w:eastAsia="Calibri" w:hAnsi="Times New Roman"/>
          <w:bCs/>
          <w:sz w:val="20"/>
          <w:szCs w:val="20"/>
          <w:lang w:bidi="en-US"/>
        </w:rPr>
        <w:t>There are no new financial instruments such as deep discounted bonds, debenture, warrants, secured premium notes, etc. issued by our Company through this Issue.</w:t>
      </w:r>
    </w:p>
    <w:p w14:paraId="151E4053" w14:textId="77777777" w:rsidR="004047F2" w:rsidRPr="00712F3C" w:rsidRDefault="004047F2" w:rsidP="004047F2">
      <w:pPr>
        <w:widowControl w:val="0"/>
        <w:spacing w:after="0" w:line="240" w:lineRule="auto"/>
        <w:jc w:val="both"/>
        <w:rPr>
          <w:rFonts w:ascii="Times New Roman" w:eastAsia="Calibri" w:hAnsi="Times New Roman"/>
          <w:bCs/>
          <w:sz w:val="20"/>
          <w:szCs w:val="20"/>
          <w:lang w:bidi="en-US"/>
        </w:rPr>
      </w:pPr>
    </w:p>
    <w:p w14:paraId="4496778F" w14:textId="77777777" w:rsidR="004047F2" w:rsidRPr="00712F3C" w:rsidRDefault="004047F2" w:rsidP="004047F2">
      <w:pPr>
        <w:widowControl w:val="0"/>
        <w:spacing w:after="0" w:line="240" w:lineRule="auto"/>
        <w:jc w:val="both"/>
        <w:rPr>
          <w:rFonts w:ascii="Times New Roman" w:eastAsia="Calibri" w:hAnsi="Times New Roman"/>
          <w:b/>
          <w:bCs/>
          <w:sz w:val="20"/>
          <w:szCs w:val="20"/>
          <w:lang w:bidi="en-US"/>
        </w:rPr>
      </w:pPr>
      <w:r w:rsidRPr="00712F3C">
        <w:rPr>
          <w:rFonts w:ascii="Times New Roman" w:eastAsia="Calibri" w:hAnsi="Times New Roman"/>
          <w:b/>
          <w:bCs/>
          <w:sz w:val="20"/>
          <w:szCs w:val="20"/>
          <w:lang w:bidi="en-US"/>
        </w:rPr>
        <w:t xml:space="preserve">Application by Eligible NRI’s, FPI’s, VCF’s, AIF’s registered with SEBI </w:t>
      </w:r>
    </w:p>
    <w:p w14:paraId="5B7586C2" w14:textId="77777777" w:rsidR="004047F2" w:rsidRPr="00712F3C" w:rsidRDefault="004047F2" w:rsidP="004047F2">
      <w:pPr>
        <w:widowControl w:val="0"/>
        <w:spacing w:after="0" w:line="240" w:lineRule="auto"/>
        <w:jc w:val="both"/>
        <w:rPr>
          <w:rFonts w:ascii="Times New Roman" w:eastAsia="Calibri" w:hAnsi="Times New Roman"/>
          <w:b/>
          <w:bCs/>
          <w:sz w:val="20"/>
          <w:szCs w:val="20"/>
          <w:lang w:bidi="en-US"/>
        </w:rPr>
      </w:pPr>
    </w:p>
    <w:p w14:paraId="46BFAA33" w14:textId="77777777" w:rsidR="004047F2" w:rsidRPr="00712F3C" w:rsidRDefault="004047F2" w:rsidP="004047F2">
      <w:pPr>
        <w:widowControl w:val="0"/>
        <w:spacing w:after="0" w:line="240" w:lineRule="auto"/>
        <w:jc w:val="both"/>
        <w:rPr>
          <w:rFonts w:ascii="Times New Roman" w:eastAsia="Calibri" w:hAnsi="Times New Roman"/>
          <w:bCs/>
          <w:sz w:val="20"/>
          <w:szCs w:val="20"/>
          <w:lang w:bidi="en-US"/>
        </w:rPr>
      </w:pPr>
      <w:r w:rsidRPr="00712F3C">
        <w:rPr>
          <w:rFonts w:ascii="Times New Roman" w:eastAsia="Calibri" w:hAnsi="Times New Roman"/>
          <w:bCs/>
          <w:sz w:val="20"/>
          <w:szCs w:val="20"/>
          <w:lang w:bidi="en-US"/>
        </w:rPr>
        <w:t>It is to be understood that there is no reservation for Eligible NRIs, FPIs or VCF registered with SEBI. Such Eligible NRIs, FPIs or VCF registered with SEBI will be treated on the same basis with other categories for the purpose of Allocation.</w:t>
      </w:r>
    </w:p>
    <w:p w14:paraId="41F14BAE" w14:textId="77777777" w:rsidR="004047F2" w:rsidRPr="00712F3C" w:rsidRDefault="004047F2" w:rsidP="004047F2">
      <w:pPr>
        <w:widowControl w:val="0"/>
        <w:spacing w:after="0" w:line="240" w:lineRule="auto"/>
        <w:jc w:val="both"/>
        <w:outlineLvl w:val="0"/>
        <w:rPr>
          <w:rFonts w:ascii="Times New Roman" w:eastAsia="Calibri" w:hAnsi="Times New Roman"/>
          <w:b/>
          <w:bCs/>
          <w:sz w:val="20"/>
          <w:szCs w:val="20"/>
          <w:lang w:bidi="en-US"/>
        </w:rPr>
      </w:pPr>
    </w:p>
    <w:p w14:paraId="60F1344A" w14:textId="77777777" w:rsidR="004047F2" w:rsidRPr="00712F3C" w:rsidRDefault="004047F2" w:rsidP="004047F2">
      <w:pPr>
        <w:widowControl w:val="0"/>
        <w:spacing w:after="0" w:line="240" w:lineRule="auto"/>
        <w:jc w:val="both"/>
        <w:rPr>
          <w:rFonts w:ascii="Times New Roman" w:eastAsia="Calibri" w:hAnsi="Times New Roman"/>
          <w:b/>
          <w:bCs/>
          <w:sz w:val="20"/>
          <w:szCs w:val="20"/>
          <w:lang w:bidi="en-US"/>
        </w:rPr>
      </w:pPr>
      <w:r w:rsidRPr="00712F3C">
        <w:rPr>
          <w:rFonts w:ascii="Times New Roman" w:eastAsia="Calibri" w:hAnsi="Times New Roman"/>
          <w:b/>
          <w:bCs/>
          <w:sz w:val="20"/>
          <w:szCs w:val="20"/>
          <w:lang w:bidi="en-US"/>
        </w:rPr>
        <w:t>Restrictions on transfer and transmission of shares or debentures and on their consolidation or splitting</w:t>
      </w:r>
    </w:p>
    <w:p w14:paraId="206FF22C" w14:textId="77777777" w:rsidR="004047F2" w:rsidRPr="00712F3C" w:rsidRDefault="004047F2" w:rsidP="004047F2">
      <w:pPr>
        <w:widowControl w:val="0"/>
        <w:spacing w:after="0" w:line="240" w:lineRule="auto"/>
        <w:rPr>
          <w:rFonts w:ascii="Times New Roman" w:eastAsia="Calibri" w:hAnsi="Times New Roman"/>
          <w:bCs/>
          <w:sz w:val="20"/>
          <w:szCs w:val="20"/>
          <w:lang w:bidi="en-US"/>
        </w:rPr>
      </w:pPr>
    </w:p>
    <w:p w14:paraId="01AA3C0F" w14:textId="77777777" w:rsidR="004047F2" w:rsidRPr="00712F3C" w:rsidRDefault="004047F2" w:rsidP="004047F2">
      <w:pPr>
        <w:widowControl w:val="0"/>
        <w:spacing w:after="0" w:line="240" w:lineRule="auto"/>
        <w:jc w:val="both"/>
        <w:rPr>
          <w:rFonts w:ascii="Times New Roman" w:eastAsia="Calibri" w:hAnsi="Times New Roman"/>
          <w:bCs/>
          <w:sz w:val="20"/>
          <w:szCs w:val="20"/>
          <w:lang w:bidi="en-US"/>
        </w:rPr>
      </w:pPr>
      <w:r w:rsidRPr="00712F3C">
        <w:rPr>
          <w:rFonts w:ascii="Times New Roman" w:eastAsia="Calibri" w:hAnsi="Times New Roman"/>
          <w:bCs/>
          <w:sz w:val="20"/>
          <w:szCs w:val="20"/>
          <w:lang w:bidi="en-US"/>
        </w:rPr>
        <w:t xml:space="preserve">Except for lock-in of the Pre- Issue Equity Shares and Promoter minimum contribution in the Issue as detailed under section titled </w:t>
      </w:r>
      <w:r w:rsidRPr="00712F3C">
        <w:rPr>
          <w:rFonts w:ascii="Times New Roman" w:eastAsia="Calibri" w:hAnsi="Times New Roman"/>
          <w:b/>
          <w:bCs/>
          <w:i/>
          <w:sz w:val="20"/>
          <w:szCs w:val="20"/>
          <w:lang w:bidi="en-US"/>
        </w:rPr>
        <w:t>“Capital Structure”</w:t>
      </w:r>
      <w:r w:rsidRPr="00712F3C">
        <w:rPr>
          <w:rFonts w:ascii="Times New Roman" w:eastAsia="Calibri" w:hAnsi="Times New Roman"/>
          <w:bCs/>
          <w:sz w:val="20"/>
          <w:szCs w:val="20"/>
          <w:lang w:bidi="en-US"/>
        </w:rPr>
        <w:t xml:space="preserve"> beginning on page </w:t>
      </w:r>
      <w:r>
        <w:rPr>
          <w:rFonts w:ascii="Times New Roman" w:eastAsia="Calibri" w:hAnsi="Times New Roman"/>
          <w:bCs/>
          <w:sz w:val="20"/>
          <w:szCs w:val="20"/>
          <w:lang w:bidi="en-US"/>
        </w:rPr>
        <w:t>57</w:t>
      </w:r>
      <w:r w:rsidRPr="00712F3C">
        <w:rPr>
          <w:rFonts w:ascii="Times New Roman" w:eastAsia="Calibri" w:hAnsi="Times New Roman"/>
          <w:bCs/>
          <w:sz w:val="20"/>
          <w:szCs w:val="20"/>
          <w:lang w:bidi="en-US"/>
        </w:rPr>
        <w:t xml:space="preserve"> of this Draft Red Herring Prospectus, and except as provided in the Articles of Association of our Company, there are no restrictions on transfers of Equity Shares. There are no restrictions on transfer and transmission of shares/ debentures and on their consolidation/ splitting except as provided in the Articles of Association. For further details, please refer to section titled </w:t>
      </w:r>
      <w:r w:rsidRPr="00712F3C">
        <w:rPr>
          <w:rFonts w:ascii="Times New Roman" w:eastAsia="Calibri" w:hAnsi="Times New Roman"/>
          <w:b/>
          <w:bCs/>
          <w:i/>
          <w:sz w:val="20"/>
          <w:szCs w:val="20"/>
          <w:lang w:bidi="en-US"/>
        </w:rPr>
        <w:t>“Main Provisions of the Articles of Association”</w:t>
      </w:r>
      <w:r w:rsidRPr="00712F3C">
        <w:rPr>
          <w:rFonts w:ascii="Times New Roman" w:eastAsia="Calibri" w:hAnsi="Times New Roman"/>
          <w:bCs/>
          <w:sz w:val="20"/>
          <w:szCs w:val="20"/>
          <w:lang w:bidi="en-US"/>
        </w:rPr>
        <w:t xml:space="preserve"> beginning on page 243</w:t>
      </w:r>
      <w:r w:rsidRPr="00712F3C">
        <w:rPr>
          <w:rFonts w:ascii="Times New Roman" w:eastAsia="Calibri" w:hAnsi="Times New Roman"/>
          <w:sz w:val="20"/>
          <w:szCs w:val="20"/>
        </w:rPr>
        <w:t xml:space="preserve"> </w:t>
      </w:r>
      <w:r w:rsidRPr="00712F3C">
        <w:rPr>
          <w:rFonts w:ascii="Times New Roman" w:eastAsia="Calibri" w:hAnsi="Times New Roman"/>
          <w:bCs/>
          <w:sz w:val="20"/>
          <w:szCs w:val="20"/>
          <w:lang w:bidi="en-US"/>
        </w:rPr>
        <w:t>of this Draft Red Herring Prospectus.</w:t>
      </w:r>
    </w:p>
    <w:p w14:paraId="7ACEB628" w14:textId="77777777" w:rsidR="004047F2" w:rsidRPr="00712F3C" w:rsidRDefault="004047F2" w:rsidP="004047F2">
      <w:pPr>
        <w:widowControl w:val="0"/>
        <w:spacing w:after="0" w:line="240" w:lineRule="auto"/>
        <w:jc w:val="both"/>
        <w:rPr>
          <w:rFonts w:ascii="Times New Roman" w:eastAsia="Calibri" w:hAnsi="Times New Roman"/>
          <w:b/>
          <w:bCs/>
          <w:sz w:val="20"/>
          <w:szCs w:val="20"/>
          <w:lang w:bidi="en-US"/>
        </w:rPr>
      </w:pPr>
    </w:p>
    <w:p w14:paraId="672F0AE6" w14:textId="77777777" w:rsidR="004047F2" w:rsidRPr="00712F3C" w:rsidRDefault="004047F2" w:rsidP="004047F2">
      <w:pPr>
        <w:widowControl w:val="0"/>
        <w:spacing w:after="0" w:line="240" w:lineRule="auto"/>
        <w:jc w:val="both"/>
        <w:rPr>
          <w:rFonts w:ascii="Times New Roman" w:eastAsia="Calibri" w:hAnsi="Times New Roman"/>
          <w:b/>
          <w:bCs/>
          <w:sz w:val="20"/>
          <w:szCs w:val="20"/>
          <w:lang w:bidi="en-US"/>
        </w:rPr>
      </w:pPr>
      <w:r w:rsidRPr="00712F3C">
        <w:rPr>
          <w:rFonts w:ascii="Times New Roman" w:eastAsia="Calibri" w:hAnsi="Times New Roman"/>
          <w:b/>
          <w:bCs/>
          <w:sz w:val="20"/>
          <w:szCs w:val="20"/>
          <w:lang w:bidi="en-US"/>
        </w:rPr>
        <w:t>Pre-Issue Advertisement</w:t>
      </w:r>
    </w:p>
    <w:p w14:paraId="12C2145E" w14:textId="77777777" w:rsidR="004047F2" w:rsidRPr="00712F3C" w:rsidRDefault="004047F2" w:rsidP="004047F2">
      <w:pPr>
        <w:widowControl w:val="0"/>
        <w:spacing w:after="0" w:line="240" w:lineRule="auto"/>
        <w:jc w:val="both"/>
        <w:rPr>
          <w:rFonts w:ascii="Times New Roman" w:eastAsia="Calibri" w:hAnsi="Times New Roman"/>
          <w:b/>
          <w:bCs/>
          <w:sz w:val="20"/>
          <w:szCs w:val="20"/>
          <w:lang w:bidi="en-US"/>
        </w:rPr>
      </w:pPr>
    </w:p>
    <w:p w14:paraId="3A940276" w14:textId="77777777" w:rsidR="004047F2" w:rsidRPr="00712F3C" w:rsidRDefault="004047F2" w:rsidP="004047F2">
      <w:pPr>
        <w:widowControl w:val="0"/>
        <w:autoSpaceDE w:val="0"/>
        <w:autoSpaceDN w:val="0"/>
        <w:adjustRightInd w:val="0"/>
        <w:spacing w:after="0" w:line="240" w:lineRule="auto"/>
        <w:jc w:val="both"/>
        <w:rPr>
          <w:rFonts w:ascii="Times New Roman" w:eastAsia="Calibri" w:hAnsi="Times New Roman"/>
          <w:sz w:val="20"/>
          <w:szCs w:val="20"/>
        </w:rPr>
      </w:pPr>
      <w:r w:rsidRPr="00712F3C">
        <w:rPr>
          <w:rFonts w:ascii="Times New Roman" w:eastAsia="Calibri" w:hAnsi="Times New Roman"/>
          <w:sz w:val="20"/>
          <w:szCs w:val="20"/>
        </w:rPr>
        <w:t>Subject to Section 30 of the Companies Act, 2013 our Company shall, after filing the Red Herring Prospecuts/ Prospectus with the RoC publish a pre-Issue advertisement, in the form prescribed by the SEBI (ICDR) Regulations, in one widely circulated English language national daily newspaper; one widely circulated Hindi language national daily newspaper and one regional newspaper with wide circulation where the Registered Office of our Company is situated.</w:t>
      </w:r>
    </w:p>
    <w:p w14:paraId="5B2F3811" w14:textId="77777777" w:rsidR="004047F2" w:rsidRDefault="004047F2" w:rsidP="004047F2">
      <w:pPr>
        <w:widowControl w:val="0"/>
        <w:spacing w:after="0" w:line="240" w:lineRule="auto"/>
        <w:jc w:val="both"/>
        <w:rPr>
          <w:rFonts w:ascii="Times New Roman" w:eastAsia="Calibri" w:hAnsi="Times New Roman"/>
          <w:b/>
          <w:bCs/>
          <w:sz w:val="20"/>
          <w:szCs w:val="20"/>
          <w:lang w:bidi="en-US"/>
        </w:rPr>
      </w:pPr>
    </w:p>
    <w:p w14:paraId="11A92139" w14:textId="77777777" w:rsidR="004047F2" w:rsidRPr="00712F3C" w:rsidRDefault="004047F2" w:rsidP="004047F2">
      <w:pPr>
        <w:spacing w:after="0" w:line="240" w:lineRule="auto"/>
        <w:jc w:val="both"/>
        <w:rPr>
          <w:rFonts w:ascii="Times New Roman" w:eastAsia="Calibri" w:hAnsi="Times New Roman"/>
          <w:b/>
          <w:sz w:val="20"/>
          <w:szCs w:val="20"/>
          <w:lang w:bidi="en-US"/>
        </w:rPr>
      </w:pPr>
      <w:r w:rsidRPr="00712F3C">
        <w:rPr>
          <w:rFonts w:ascii="Times New Roman" w:eastAsia="Calibri" w:hAnsi="Times New Roman"/>
          <w:b/>
          <w:sz w:val="20"/>
          <w:szCs w:val="20"/>
          <w:lang w:bidi="en-US"/>
        </w:rPr>
        <w:t>Withdrawal of the Issue</w:t>
      </w:r>
    </w:p>
    <w:p w14:paraId="206C459A" w14:textId="77777777" w:rsidR="004047F2" w:rsidRPr="00712F3C" w:rsidRDefault="004047F2" w:rsidP="004047F2">
      <w:pPr>
        <w:spacing w:after="0" w:line="240" w:lineRule="auto"/>
        <w:jc w:val="both"/>
        <w:rPr>
          <w:rFonts w:ascii="Times New Roman" w:eastAsia="Calibri" w:hAnsi="Times New Roman"/>
          <w:sz w:val="20"/>
          <w:szCs w:val="20"/>
          <w:lang w:bidi="en-US"/>
        </w:rPr>
      </w:pPr>
    </w:p>
    <w:p w14:paraId="74B6D9C4" w14:textId="77777777" w:rsidR="004047F2" w:rsidRPr="00712F3C" w:rsidRDefault="004047F2" w:rsidP="004047F2">
      <w:pPr>
        <w:spacing w:after="0" w:line="240" w:lineRule="auto"/>
        <w:jc w:val="both"/>
        <w:rPr>
          <w:rFonts w:ascii="Times New Roman" w:eastAsia="Calibri" w:hAnsi="Times New Roman"/>
          <w:sz w:val="20"/>
          <w:szCs w:val="20"/>
          <w:lang w:bidi="en-US"/>
        </w:rPr>
      </w:pPr>
      <w:r w:rsidRPr="00712F3C">
        <w:rPr>
          <w:rFonts w:ascii="Times New Roman" w:eastAsia="Calibri" w:hAnsi="Times New Roman"/>
          <w:sz w:val="20"/>
          <w:szCs w:val="20"/>
          <w:lang w:bidi="en-US"/>
        </w:rPr>
        <w:t>Our Company in consultation with the BRLM, reserve the right to not to proceed with the issue after the Bid/ Issue Opening date but before the Allotment. In such an event, our Company would issue a public notice in the newspaper in which the pre-issue advertisements were published, within two days of the Bid/ Issue Closing date or such other time as may be prescribed by SEBI, providing reasons for not proceeding with the issue. The BRLM through, the Registrar of the issue, shall notify the SCSBs to unblock the bank accounts of the ASBA Bidders within one working day from the date of receipt of such notification. Our Company shall also inform the same to the stock exchange on which equity shares are proposed to be listed.</w:t>
      </w:r>
      <w:r w:rsidRPr="00712F3C">
        <w:rPr>
          <w:rFonts w:ascii="Times New Roman" w:eastAsia="Calibri" w:hAnsi="Times New Roman"/>
          <w:sz w:val="20"/>
          <w:szCs w:val="20"/>
          <w:lang w:bidi="en-US"/>
        </w:rPr>
        <w:cr/>
      </w:r>
    </w:p>
    <w:p w14:paraId="25CD3695" w14:textId="77777777" w:rsidR="004047F2" w:rsidRPr="00712F3C" w:rsidRDefault="004047F2" w:rsidP="004047F2">
      <w:pPr>
        <w:spacing w:after="0" w:line="240" w:lineRule="auto"/>
        <w:jc w:val="both"/>
        <w:rPr>
          <w:rFonts w:ascii="Times New Roman" w:eastAsia="Calibri" w:hAnsi="Times New Roman"/>
          <w:bCs/>
          <w:i/>
          <w:sz w:val="20"/>
          <w:szCs w:val="20"/>
          <w:lang w:bidi="en-US"/>
        </w:rPr>
      </w:pPr>
      <w:r w:rsidRPr="00712F3C">
        <w:rPr>
          <w:rFonts w:ascii="Times New Roman" w:eastAsia="Calibri" w:hAnsi="Times New Roman"/>
          <w:i/>
          <w:sz w:val="20"/>
          <w:szCs w:val="20"/>
          <w:lang w:bidi="en-US"/>
        </w:rPr>
        <w:lastRenderedPageBreak/>
        <w:t xml:space="preserve">The above information </w:t>
      </w:r>
      <w:r w:rsidRPr="00712F3C">
        <w:rPr>
          <w:rFonts w:ascii="Times New Roman" w:eastAsia="Calibri" w:hAnsi="Times New Roman"/>
          <w:bCs/>
          <w:i/>
          <w:sz w:val="20"/>
          <w:szCs w:val="20"/>
          <w:lang w:bidi="en-US"/>
        </w:rPr>
        <w:t xml:space="preserve">is given for the benefit of the Applicants. The Applicants are advised to make their own enquiries about the limits applicable to them. Our Company and the </w:t>
      </w:r>
      <w:r w:rsidRPr="00712F3C">
        <w:rPr>
          <w:rFonts w:ascii="Times New Roman" w:eastAsia="Calibri" w:hAnsi="Times New Roman"/>
          <w:bCs/>
          <w:i/>
          <w:sz w:val="20"/>
          <w:szCs w:val="20"/>
        </w:rPr>
        <w:t>Book Running</w:t>
      </w:r>
      <w:r w:rsidRPr="00712F3C">
        <w:rPr>
          <w:rFonts w:ascii="Times New Roman" w:eastAsia="Calibri" w:hAnsi="Times New Roman"/>
          <w:bCs/>
          <w:sz w:val="20"/>
          <w:szCs w:val="20"/>
        </w:rPr>
        <w:t xml:space="preserve"> </w:t>
      </w:r>
      <w:r w:rsidRPr="00712F3C">
        <w:rPr>
          <w:rFonts w:ascii="Times New Roman" w:eastAsia="Calibri" w:hAnsi="Times New Roman"/>
          <w:bCs/>
          <w:i/>
          <w:sz w:val="20"/>
          <w:szCs w:val="20"/>
          <w:lang w:bidi="en-US"/>
        </w:rPr>
        <w:t xml:space="preserve">Lead Manager do not accept any responsibility for the completeness and accuracy of the information stated hereinabove. Our Company and the </w:t>
      </w:r>
      <w:r w:rsidRPr="00712F3C">
        <w:rPr>
          <w:rFonts w:ascii="Times New Roman" w:eastAsia="Calibri" w:hAnsi="Times New Roman"/>
          <w:bCs/>
          <w:i/>
          <w:sz w:val="20"/>
          <w:szCs w:val="20"/>
        </w:rPr>
        <w:t>Book Running</w:t>
      </w:r>
      <w:r w:rsidRPr="00712F3C">
        <w:rPr>
          <w:rFonts w:ascii="Times New Roman" w:eastAsia="Calibri" w:hAnsi="Times New Roman"/>
          <w:bCs/>
          <w:sz w:val="20"/>
          <w:szCs w:val="20"/>
        </w:rPr>
        <w:t xml:space="preserve"> </w:t>
      </w:r>
      <w:r w:rsidRPr="00712F3C">
        <w:rPr>
          <w:rFonts w:ascii="Times New Roman" w:eastAsia="Calibri" w:hAnsi="Times New Roman"/>
          <w:bCs/>
          <w:i/>
          <w:sz w:val="20"/>
          <w:szCs w:val="20"/>
          <w:lang w:bidi="en-US"/>
        </w:rPr>
        <w:t>Lead Manager are not liable to inform the investors of any amendments or modifications or changes in applicable laws and regulations, which may occur after the date of this Draft Red Herring Prospectus. Applicants are advised to make their independent investigations and ensure that the number of Equity Shares applied for do not exceed the applicable limits under laws and regulations.</w:t>
      </w:r>
    </w:p>
    <w:p w14:paraId="4CB3A7B4" w14:textId="77777777" w:rsidR="004047F2" w:rsidRPr="00712F3C" w:rsidRDefault="004047F2" w:rsidP="004047F2">
      <w:pPr>
        <w:spacing w:after="0" w:line="240" w:lineRule="auto"/>
        <w:rPr>
          <w:rFonts w:ascii="Times New Roman" w:eastAsia="Calibri" w:hAnsi="Times New Roman"/>
          <w:bCs/>
          <w:i/>
          <w:sz w:val="20"/>
          <w:szCs w:val="20"/>
          <w:lang w:bidi="en-US"/>
        </w:rPr>
      </w:pPr>
      <w:r w:rsidRPr="00712F3C">
        <w:rPr>
          <w:rFonts w:ascii="Times New Roman" w:eastAsia="Calibri" w:hAnsi="Times New Roman"/>
          <w:bCs/>
          <w:i/>
          <w:sz w:val="20"/>
          <w:szCs w:val="20"/>
          <w:lang w:bidi="en-US"/>
        </w:rPr>
        <w:br w:type="page"/>
      </w:r>
    </w:p>
    <w:p w14:paraId="2335795D" w14:textId="77777777" w:rsidR="004047F2" w:rsidRPr="002A5501" w:rsidRDefault="004047F2" w:rsidP="004047F2">
      <w:pPr>
        <w:spacing w:after="0" w:line="240" w:lineRule="auto"/>
        <w:jc w:val="center"/>
        <w:rPr>
          <w:rFonts w:ascii="Times New Roman" w:hAnsi="Times New Roman"/>
          <w:b/>
          <w:bCs/>
          <w:sz w:val="20"/>
          <w:szCs w:val="20"/>
          <w:u w:val="single"/>
        </w:rPr>
      </w:pPr>
      <w:r w:rsidRPr="002A5501">
        <w:rPr>
          <w:rFonts w:ascii="Times New Roman" w:hAnsi="Times New Roman"/>
          <w:b/>
          <w:bCs/>
          <w:sz w:val="20"/>
          <w:szCs w:val="20"/>
          <w:u w:val="single"/>
        </w:rPr>
        <w:lastRenderedPageBreak/>
        <w:t>ISSUE STRUCTURE</w:t>
      </w:r>
    </w:p>
    <w:p w14:paraId="557D9783" w14:textId="77777777" w:rsidR="004047F2" w:rsidRPr="002A5501" w:rsidRDefault="004047F2" w:rsidP="004047F2">
      <w:pPr>
        <w:spacing w:after="0" w:line="240" w:lineRule="auto"/>
        <w:jc w:val="center"/>
        <w:rPr>
          <w:rFonts w:ascii="Times New Roman" w:hAnsi="Times New Roman"/>
          <w:b/>
          <w:bCs/>
          <w:sz w:val="20"/>
          <w:szCs w:val="20"/>
          <w:u w:val="single"/>
        </w:rPr>
      </w:pPr>
    </w:p>
    <w:p w14:paraId="4E2A554E" w14:textId="1FD6F325" w:rsidR="004047F2" w:rsidRPr="002A5501" w:rsidRDefault="004047F2" w:rsidP="004047F2">
      <w:pPr>
        <w:spacing w:after="0" w:line="240" w:lineRule="auto"/>
        <w:jc w:val="both"/>
        <w:rPr>
          <w:rFonts w:ascii="Times New Roman" w:eastAsia="PMingLiU" w:hAnsi="Times New Roman"/>
          <w:sz w:val="20"/>
          <w:szCs w:val="20"/>
          <w:lang w:bidi="en-US"/>
        </w:rPr>
      </w:pPr>
      <w:r w:rsidRPr="002A5501">
        <w:rPr>
          <w:rFonts w:ascii="Times New Roman" w:eastAsia="PMingLiU" w:hAnsi="Times New Roman"/>
          <w:sz w:val="20"/>
          <w:szCs w:val="20"/>
          <w:lang w:bidi="en-US"/>
        </w:rPr>
        <w:t>This Issue is being made in terms of Regulation 229(2) of Chapter IX of SEBI (ICDR) Regulations, 2018, as amended from time to time, whereby, an issuer whose post issue paid up capital is less than or equal to ten Crore rupees, shall issue shares to the public and propose to list the same on the Small and Medium Enterprise Exchange (</w:t>
      </w:r>
      <w:r w:rsidRPr="002A5501">
        <w:rPr>
          <w:rFonts w:ascii="Times New Roman" w:eastAsia="PMingLiU" w:hAnsi="Times New Roman"/>
          <w:b/>
          <w:sz w:val="20"/>
          <w:szCs w:val="20"/>
          <w:lang w:bidi="en-US"/>
        </w:rPr>
        <w:t>“</w:t>
      </w:r>
      <w:r w:rsidRPr="002A5501">
        <w:rPr>
          <w:rFonts w:ascii="Times New Roman" w:eastAsia="PMingLiU" w:hAnsi="Times New Roman"/>
          <w:b/>
          <w:i/>
          <w:sz w:val="20"/>
          <w:szCs w:val="20"/>
          <w:lang w:bidi="en-US"/>
        </w:rPr>
        <w:t>SME Exchange</w:t>
      </w:r>
      <w:r w:rsidRPr="002A5501">
        <w:rPr>
          <w:rFonts w:ascii="Times New Roman" w:eastAsia="PMingLiU" w:hAnsi="Times New Roman"/>
          <w:b/>
          <w:sz w:val="20"/>
          <w:szCs w:val="20"/>
          <w:lang w:bidi="en-US"/>
        </w:rPr>
        <w:t>”</w:t>
      </w:r>
      <w:r w:rsidRPr="002A5501">
        <w:rPr>
          <w:rFonts w:ascii="Times New Roman" w:eastAsia="PMingLiU" w:hAnsi="Times New Roman"/>
          <w:sz w:val="20"/>
          <w:szCs w:val="20"/>
          <w:lang w:bidi="en-US"/>
        </w:rPr>
        <w:t>, in this case being the BSE SME i.e.</w:t>
      </w:r>
      <w:r w:rsidR="00D83D95" w:rsidRPr="002A5501">
        <w:rPr>
          <w:rFonts w:ascii="Times New Roman" w:eastAsia="PMingLiU" w:hAnsi="Times New Roman"/>
          <w:sz w:val="20"/>
          <w:szCs w:val="20"/>
          <w:lang w:bidi="en-US"/>
        </w:rPr>
        <w:t>,</w:t>
      </w:r>
      <w:r w:rsidRPr="002A5501">
        <w:rPr>
          <w:rFonts w:ascii="Times New Roman" w:eastAsia="PMingLiU" w:hAnsi="Times New Roman"/>
          <w:sz w:val="20"/>
          <w:szCs w:val="20"/>
          <w:lang w:bidi="en-US"/>
        </w:rPr>
        <w:t xml:space="preserve"> </w:t>
      </w:r>
      <w:r w:rsidRPr="002A5501">
        <w:rPr>
          <w:rFonts w:ascii="Times New Roman" w:hAnsi="Times New Roman"/>
          <w:sz w:val="20"/>
          <w:szCs w:val="20"/>
        </w:rPr>
        <w:t>SME platform</w:t>
      </w:r>
      <w:r w:rsidRPr="002A5501">
        <w:rPr>
          <w:rFonts w:ascii="Times New Roman" w:eastAsia="PMingLiU" w:hAnsi="Times New Roman"/>
          <w:sz w:val="20"/>
          <w:szCs w:val="20"/>
          <w:lang w:bidi="en-US"/>
        </w:rPr>
        <w:t xml:space="preserve"> of BSE). For further details regarding the salient features and terms of such an issue please refer chapter titled </w:t>
      </w:r>
      <w:r w:rsidRPr="002A5501">
        <w:rPr>
          <w:rFonts w:ascii="Times New Roman" w:eastAsia="PMingLiU" w:hAnsi="Times New Roman"/>
          <w:b/>
          <w:iCs/>
          <w:sz w:val="20"/>
          <w:szCs w:val="20"/>
          <w:lang w:bidi="en-US"/>
        </w:rPr>
        <w:t>“</w:t>
      </w:r>
      <w:r w:rsidRPr="002A5501">
        <w:rPr>
          <w:rFonts w:ascii="Times New Roman" w:eastAsia="PMingLiU" w:hAnsi="Times New Roman"/>
          <w:b/>
          <w:i/>
          <w:iCs/>
          <w:sz w:val="20"/>
          <w:szCs w:val="20"/>
          <w:lang w:bidi="en-US"/>
        </w:rPr>
        <w:t>Terms of the Issue</w:t>
      </w:r>
      <w:r w:rsidRPr="002A5501">
        <w:rPr>
          <w:rFonts w:ascii="Times New Roman" w:eastAsia="PMingLiU" w:hAnsi="Times New Roman"/>
          <w:b/>
          <w:iCs/>
          <w:sz w:val="20"/>
          <w:szCs w:val="20"/>
          <w:lang w:bidi="en-US"/>
        </w:rPr>
        <w:t>”</w:t>
      </w:r>
      <w:r w:rsidRPr="002A5501">
        <w:rPr>
          <w:rFonts w:ascii="Times New Roman" w:eastAsia="PMingLiU" w:hAnsi="Times New Roman"/>
          <w:iCs/>
          <w:sz w:val="20"/>
          <w:szCs w:val="20"/>
          <w:lang w:bidi="en-US"/>
        </w:rPr>
        <w:t xml:space="preserve"> </w:t>
      </w:r>
      <w:r w:rsidRPr="002A5501">
        <w:rPr>
          <w:rFonts w:ascii="Times New Roman" w:eastAsia="PMingLiU" w:hAnsi="Times New Roman"/>
          <w:sz w:val="20"/>
          <w:szCs w:val="20"/>
          <w:lang w:bidi="en-US"/>
        </w:rPr>
        <w:t xml:space="preserve">and </w:t>
      </w:r>
      <w:r w:rsidRPr="002A5501">
        <w:rPr>
          <w:rFonts w:ascii="Times New Roman" w:eastAsia="PMingLiU" w:hAnsi="Times New Roman"/>
          <w:b/>
          <w:iCs/>
          <w:sz w:val="20"/>
          <w:szCs w:val="20"/>
          <w:lang w:bidi="en-US"/>
        </w:rPr>
        <w:t>“</w:t>
      </w:r>
      <w:r w:rsidRPr="002A5501">
        <w:rPr>
          <w:rFonts w:ascii="Times New Roman" w:eastAsia="PMingLiU" w:hAnsi="Times New Roman"/>
          <w:b/>
          <w:i/>
          <w:iCs/>
          <w:sz w:val="20"/>
          <w:szCs w:val="20"/>
          <w:lang w:bidi="en-US"/>
        </w:rPr>
        <w:t>Issue Procedure</w:t>
      </w:r>
      <w:r w:rsidRPr="002A5501">
        <w:rPr>
          <w:rFonts w:ascii="Times New Roman" w:eastAsia="PMingLiU" w:hAnsi="Times New Roman"/>
          <w:b/>
          <w:iCs/>
          <w:sz w:val="20"/>
          <w:szCs w:val="20"/>
          <w:lang w:bidi="en-US"/>
        </w:rPr>
        <w:t>”</w:t>
      </w:r>
      <w:r w:rsidRPr="002A5501">
        <w:rPr>
          <w:rFonts w:ascii="Times New Roman" w:eastAsia="PMingLiU" w:hAnsi="Times New Roman"/>
          <w:sz w:val="20"/>
          <w:szCs w:val="20"/>
          <w:lang w:bidi="en-US"/>
        </w:rPr>
        <w:t xml:space="preserve"> on page 206 and 216 of this Draft Red Herring Prospectus.</w:t>
      </w:r>
    </w:p>
    <w:p w14:paraId="49176D93" w14:textId="77777777" w:rsidR="004047F2" w:rsidRPr="002A5501" w:rsidRDefault="004047F2" w:rsidP="004047F2">
      <w:pPr>
        <w:spacing w:after="0" w:line="240" w:lineRule="auto"/>
        <w:rPr>
          <w:rFonts w:ascii="Times New Roman" w:eastAsia="Calibri" w:hAnsi="Times New Roman"/>
          <w:sz w:val="20"/>
          <w:szCs w:val="20"/>
          <w:lang w:bidi="en-US"/>
        </w:rPr>
      </w:pPr>
    </w:p>
    <w:p w14:paraId="22D36AE2" w14:textId="77777777" w:rsidR="004047F2" w:rsidRPr="002A5501" w:rsidRDefault="004047F2" w:rsidP="004047F2">
      <w:pPr>
        <w:spacing w:after="0" w:line="240" w:lineRule="auto"/>
        <w:jc w:val="both"/>
        <w:rPr>
          <w:rFonts w:ascii="Times New Roman" w:eastAsia="PMingLiU" w:hAnsi="Times New Roman"/>
          <w:b/>
          <w:sz w:val="20"/>
          <w:szCs w:val="20"/>
          <w:lang w:bidi="en-US"/>
        </w:rPr>
      </w:pPr>
      <w:r w:rsidRPr="002A5501">
        <w:rPr>
          <w:rFonts w:ascii="Times New Roman" w:eastAsia="PMingLiU" w:hAnsi="Times New Roman"/>
          <w:b/>
          <w:sz w:val="20"/>
          <w:szCs w:val="20"/>
          <w:lang w:bidi="en-US"/>
        </w:rPr>
        <w:t>Issue Structure:</w:t>
      </w:r>
      <w:r w:rsidRPr="002A5501">
        <w:rPr>
          <w:rFonts w:ascii="Times New Roman" w:eastAsia="PMingLiU" w:hAnsi="Times New Roman"/>
          <w:b/>
          <w:sz w:val="20"/>
          <w:szCs w:val="20"/>
          <w:lang w:bidi="en-US"/>
        </w:rPr>
        <w:cr/>
      </w:r>
    </w:p>
    <w:p w14:paraId="23B828B6" w14:textId="06165D24" w:rsidR="004047F2" w:rsidRPr="002A5501" w:rsidRDefault="004047F2" w:rsidP="004047F2">
      <w:pPr>
        <w:spacing w:after="0" w:line="240" w:lineRule="auto"/>
        <w:jc w:val="both"/>
        <w:rPr>
          <w:rFonts w:ascii="Times New Roman" w:eastAsia="Calibri" w:hAnsi="Times New Roman"/>
          <w:sz w:val="20"/>
          <w:szCs w:val="20"/>
        </w:rPr>
      </w:pPr>
      <w:r w:rsidRPr="002A5501">
        <w:rPr>
          <w:rFonts w:ascii="Times New Roman" w:eastAsia="Calibri" w:hAnsi="Times New Roman"/>
          <w:sz w:val="20"/>
          <w:szCs w:val="20"/>
        </w:rPr>
        <w:t xml:space="preserve">Initial Public Issue of upto </w:t>
      </w:r>
      <w:r w:rsidR="00D83D95" w:rsidRPr="002A5501">
        <w:rPr>
          <w:rFonts w:ascii="Times New Roman" w:eastAsia="Calibri" w:hAnsi="Times New Roman"/>
          <w:sz w:val="20"/>
          <w:szCs w:val="20"/>
        </w:rPr>
        <w:t>49,92</w:t>
      </w:r>
      <w:r w:rsidRPr="002A5501">
        <w:rPr>
          <w:rFonts w:ascii="Times New Roman" w:eastAsia="Calibri" w:hAnsi="Times New Roman"/>
          <w:sz w:val="20"/>
          <w:szCs w:val="20"/>
        </w:rPr>
        <w:t xml:space="preserve">,000 Equity Shares of ₹ 10 each </w:t>
      </w:r>
      <w:r w:rsidRPr="002A5501">
        <w:rPr>
          <w:rFonts w:ascii="Times New Roman" w:eastAsia="Calibri" w:hAnsi="Times New Roman"/>
          <w:i/>
          <w:sz w:val="20"/>
          <w:szCs w:val="20"/>
        </w:rPr>
        <w:t xml:space="preserve">(the “Equity Shares”) </w:t>
      </w:r>
      <w:r w:rsidRPr="002A5501">
        <w:rPr>
          <w:rFonts w:ascii="Times New Roman" w:eastAsia="Calibri" w:hAnsi="Times New Roman"/>
          <w:sz w:val="20"/>
          <w:szCs w:val="20"/>
        </w:rPr>
        <w:t xml:space="preserve">for cash at a price of ₹. [●] per Equity Share (including a Share Premium of ₹ [●] per Equity Share), aggregating up to ₹ [●] Lakhs </w:t>
      </w:r>
      <w:r w:rsidRPr="002A5501">
        <w:rPr>
          <w:rFonts w:ascii="Times New Roman" w:eastAsia="Calibri" w:hAnsi="Times New Roman"/>
          <w:i/>
          <w:sz w:val="20"/>
          <w:szCs w:val="20"/>
        </w:rPr>
        <w:t>(“the Issue”)</w:t>
      </w:r>
      <w:r w:rsidRPr="002A5501">
        <w:rPr>
          <w:rFonts w:ascii="Times New Roman" w:eastAsia="Calibri" w:hAnsi="Times New Roman"/>
          <w:sz w:val="20"/>
          <w:szCs w:val="20"/>
        </w:rPr>
        <w:t xml:space="preserve"> by the issuer Company (the “Company”).  </w:t>
      </w:r>
    </w:p>
    <w:p w14:paraId="6AFE81F7" w14:textId="77777777" w:rsidR="004047F2" w:rsidRPr="002A5501" w:rsidRDefault="004047F2" w:rsidP="004047F2">
      <w:pPr>
        <w:spacing w:after="0" w:line="240" w:lineRule="auto"/>
        <w:jc w:val="both"/>
        <w:rPr>
          <w:rFonts w:ascii="Times New Roman" w:eastAsia="Calibri" w:hAnsi="Times New Roman"/>
          <w:sz w:val="20"/>
          <w:szCs w:val="20"/>
        </w:rPr>
      </w:pPr>
    </w:p>
    <w:p w14:paraId="40CCD53F" w14:textId="77777777" w:rsidR="004047F2" w:rsidRPr="00712F3C" w:rsidRDefault="004047F2" w:rsidP="004047F2">
      <w:pPr>
        <w:spacing w:after="0" w:line="240" w:lineRule="auto"/>
        <w:jc w:val="both"/>
        <w:rPr>
          <w:rFonts w:ascii="Times New Roman" w:eastAsia="Calibri" w:hAnsi="Times New Roman"/>
          <w:sz w:val="20"/>
          <w:szCs w:val="20"/>
        </w:rPr>
      </w:pPr>
      <w:r w:rsidRPr="002A5501">
        <w:rPr>
          <w:rFonts w:ascii="Times New Roman" w:eastAsia="Calibri" w:hAnsi="Times New Roman"/>
          <w:sz w:val="20"/>
          <w:szCs w:val="20"/>
        </w:rPr>
        <w:t xml:space="preserve">The Issue comprises a reservation of upto [●] Equity Shares of ₹ 10 each for subscription by the designated Market Maker </w:t>
      </w:r>
      <w:r w:rsidRPr="002A5501">
        <w:rPr>
          <w:rFonts w:ascii="Times New Roman" w:eastAsia="Calibri" w:hAnsi="Times New Roman"/>
          <w:i/>
          <w:sz w:val="20"/>
          <w:szCs w:val="20"/>
        </w:rPr>
        <w:t xml:space="preserve">(“the Market Maker Reservation Portion”) </w:t>
      </w:r>
      <w:r w:rsidRPr="002A5501">
        <w:rPr>
          <w:rFonts w:ascii="Times New Roman" w:eastAsia="Calibri" w:hAnsi="Times New Roman"/>
          <w:sz w:val="20"/>
          <w:szCs w:val="20"/>
        </w:rPr>
        <w:t xml:space="preserve">and Net Issue to Public of upto [●] Equity Shares of ₹ 10 each </w:t>
      </w:r>
      <w:r w:rsidRPr="002A5501">
        <w:rPr>
          <w:rFonts w:ascii="Times New Roman" w:eastAsia="Calibri" w:hAnsi="Times New Roman"/>
          <w:i/>
          <w:sz w:val="20"/>
          <w:szCs w:val="20"/>
        </w:rPr>
        <w:t>(“the Net Issue”).</w:t>
      </w:r>
      <w:r w:rsidRPr="002A5501">
        <w:rPr>
          <w:rFonts w:ascii="Times New Roman" w:eastAsia="Calibri" w:hAnsi="Times New Roman"/>
          <w:sz w:val="20"/>
          <w:szCs w:val="20"/>
        </w:rPr>
        <w:t xml:space="preserve"> The Issue and the Net Issue will constitute 26.79% and [●] %, respectively of the post Issue paid up equity share capital of the Company. The Issue is being made through the Book Building Process.</w:t>
      </w:r>
    </w:p>
    <w:p w14:paraId="0D1D96C0" w14:textId="77777777" w:rsidR="004047F2" w:rsidRPr="00712F3C" w:rsidRDefault="004047F2" w:rsidP="004047F2">
      <w:pPr>
        <w:spacing w:after="0" w:line="240" w:lineRule="auto"/>
        <w:jc w:val="both"/>
        <w:rPr>
          <w:rFonts w:ascii="Times New Roman" w:eastAsia="Calibri" w:hAnsi="Times New Roman"/>
          <w:sz w:val="20"/>
          <w:szCs w:val="20"/>
        </w:rPr>
      </w:pPr>
    </w:p>
    <w:tbl>
      <w:tblPr>
        <w:tblW w:w="4981" w:type="pct"/>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40" w:type="dxa"/>
          <w:bottom w:w="14" w:type="dxa"/>
          <w:right w:w="40" w:type="dxa"/>
        </w:tblCellMar>
        <w:tblLook w:val="04A0" w:firstRow="1" w:lastRow="0" w:firstColumn="1" w:lastColumn="0" w:noHBand="0" w:noVBand="1"/>
      </w:tblPr>
      <w:tblGrid>
        <w:gridCol w:w="1786"/>
        <w:gridCol w:w="1748"/>
        <w:gridCol w:w="2296"/>
        <w:gridCol w:w="2292"/>
        <w:gridCol w:w="2294"/>
      </w:tblGrid>
      <w:tr w:rsidR="004047F2" w:rsidRPr="00712F3C" w14:paraId="6032A208" w14:textId="77777777" w:rsidTr="00250DAC">
        <w:trPr>
          <w:tblHeader/>
        </w:trPr>
        <w:tc>
          <w:tcPr>
            <w:tcW w:w="858"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32CF474" w14:textId="77777777" w:rsidR="004047F2" w:rsidRPr="00712F3C" w:rsidRDefault="004047F2" w:rsidP="00250DAC">
            <w:pPr>
              <w:spacing w:after="0" w:line="240" w:lineRule="auto"/>
              <w:ind w:left="50" w:right="42"/>
              <w:contextualSpacing/>
              <w:jc w:val="center"/>
              <w:rPr>
                <w:rFonts w:ascii="Times New Roman" w:eastAsia="PMingLiU" w:hAnsi="Times New Roman"/>
                <w:b/>
                <w:bCs/>
                <w:sz w:val="20"/>
                <w:szCs w:val="20"/>
                <w:lang w:bidi="en-US"/>
              </w:rPr>
            </w:pPr>
            <w:r w:rsidRPr="00712F3C">
              <w:rPr>
                <w:rFonts w:ascii="Times New Roman" w:eastAsia="PMingLiU" w:hAnsi="Times New Roman"/>
                <w:b/>
                <w:bCs/>
                <w:sz w:val="20"/>
                <w:szCs w:val="20"/>
                <w:lang w:bidi="en-US"/>
              </w:rPr>
              <w:t>Particulars of the Issue</w:t>
            </w:r>
            <w:r w:rsidRPr="00712F3C">
              <w:rPr>
                <w:rFonts w:ascii="Times New Roman" w:eastAsia="PMingLiU" w:hAnsi="Times New Roman"/>
                <w:b/>
                <w:bCs/>
                <w:sz w:val="20"/>
                <w:szCs w:val="20"/>
                <w:vertAlign w:val="superscript"/>
                <w:lang w:bidi="en-US"/>
              </w:rPr>
              <w:t>(2)</w:t>
            </w:r>
          </w:p>
        </w:tc>
        <w:tc>
          <w:tcPr>
            <w:tcW w:w="839"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EAAE287" w14:textId="77777777" w:rsidR="004047F2" w:rsidRPr="00712F3C" w:rsidRDefault="004047F2" w:rsidP="00250DAC">
            <w:pPr>
              <w:spacing w:after="0" w:line="240" w:lineRule="auto"/>
              <w:ind w:left="50" w:right="42"/>
              <w:contextualSpacing/>
              <w:jc w:val="center"/>
              <w:rPr>
                <w:rFonts w:ascii="Times New Roman" w:eastAsia="PMingLiU" w:hAnsi="Times New Roman"/>
                <w:b/>
                <w:bCs/>
                <w:sz w:val="20"/>
                <w:szCs w:val="20"/>
                <w:lang w:bidi="en-US"/>
              </w:rPr>
            </w:pPr>
            <w:r w:rsidRPr="00712F3C">
              <w:rPr>
                <w:rFonts w:ascii="Times New Roman" w:eastAsia="PMingLiU" w:hAnsi="Times New Roman"/>
                <w:b/>
                <w:bCs/>
                <w:sz w:val="20"/>
                <w:szCs w:val="20"/>
                <w:lang w:bidi="en-US"/>
              </w:rPr>
              <w:t>Market Maker Reservation Portion</w:t>
            </w:r>
          </w:p>
        </w:tc>
        <w:tc>
          <w:tcPr>
            <w:tcW w:w="1102"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CC12D75" w14:textId="77777777" w:rsidR="004047F2" w:rsidRPr="00712F3C" w:rsidRDefault="004047F2" w:rsidP="00250DAC">
            <w:pPr>
              <w:pStyle w:val="Default"/>
              <w:jc w:val="center"/>
              <w:rPr>
                <w:b/>
                <w:bCs/>
                <w:sz w:val="20"/>
                <w:szCs w:val="20"/>
              </w:rPr>
            </w:pPr>
            <w:r w:rsidRPr="00712F3C">
              <w:rPr>
                <w:b/>
                <w:bCs/>
                <w:sz w:val="20"/>
                <w:szCs w:val="20"/>
              </w:rPr>
              <w:t>QIBs</w:t>
            </w:r>
            <w:r w:rsidRPr="00712F3C">
              <w:rPr>
                <w:b/>
                <w:bCs/>
                <w:sz w:val="20"/>
                <w:szCs w:val="20"/>
                <w:vertAlign w:val="superscript"/>
              </w:rPr>
              <w:t>(1)</w:t>
            </w:r>
          </w:p>
        </w:tc>
        <w:tc>
          <w:tcPr>
            <w:tcW w:w="1100"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9F9C83B" w14:textId="77777777" w:rsidR="004047F2" w:rsidRPr="00712F3C" w:rsidRDefault="004047F2" w:rsidP="00250DAC">
            <w:pPr>
              <w:pStyle w:val="Default"/>
              <w:jc w:val="center"/>
              <w:rPr>
                <w:b/>
                <w:bCs/>
                <w:sz w:val="20"/>
                <w:szCs w:val="20"/>
              </w:rPr>
            </w:pPr>
            <w:r w:rsidRPr="00712F3C">
              <w:rPr>
                <w:b/>
                <w:bCs/>
                <w:sz w:val="20"/>
                <w:szCs w:val="20"/>
              </w:rPr>
              <w:t>Non-Institutional Investors</w:t>
            </w:r>
          </w:p>
        </w:tc>
        <w:tc>
          <w:tcPr>
            <w:tcW w:w="1101"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E835A7A" w14:textId="77777777" w:rsidR="004047F2" w:rsidRPr="00712F3C" w:rsidRDefault="004047F2" w:rsidP="00250DAC">
            <w:pPr>
              <w:pStyle w:val="Default"/>
              <w:jc w:val="center"/>
              <w:rPr>
                <w:b/>
                <w:bCs/>
                <w:sz w:val="20"/>
                <w:szCs w:val="20"/>
              </w:rPr>
            </w:pPr>
            <w:r w:rsidRPr="00712F3C">
              <w:rPr>
                <w:b/>
                <w:bCs/>
                <w:sz w:val="20"/>
                <w:szCs w:val="20"/>
              </w:rPr>
              <w:t>Retail Individual Investors</w:t>
            </w:r>
          </w:p>
        </w:tc>
      </w:tr>
      <w:tr w:rsidR="004047F2" w:rsidRPr="00712F3C" w14:paraId="1D3DE8EC" w14:textId="77777777" w:rsidTr="00250DAC">
        <w:tc>
          <w:tcPr>
            <w:tcW w:w="858" w:type="pct"/>
            <w:tcBorders>
              <w:top w:val="single" w:sz="4" w:space="0" w:color="auto"/>
              <w:left w:val="single" w:sz="4" w:space="0" w:color="auto"/>
              <w:bottom w:val="single" w:sz="4" w:space="0" w:color="auto"/>
              <w:right w:val="single" w:sz="4" w:space="0" w:color="auto"/>
            </w:tcBorders>
            <w:shd w:val="clear" w:color="auto" w:fill="FFFFFF"/>
            <w:hideMark/>
          </w:tcPr>
          <w:p w14:paraId="117EF117" w14:textId="77777777" w:rsidR="004047F2" w:rsidRPr="00712F3C" w:rsidRDefault="004047F2" w:rsidP="00250DAC">
            <w:pPr>
              <w:spacing w:after="0" w:line="240" w:lineRule="auto"/>
              <w:ind w:left="50" w:right="42"/>
              <w:contextualSpacing/>
              <w:jc w:val="both"/>
              <w:rPr>
                <w:rFonts w:ascii="Times New Roman" w:eastAsia="PMingLiU" w:hAnsi="Times New Roman"/>
                <w:b/>
                <w:sz w:val="20"/>
                <w:szCs w:val="20"/>
                <w:lang w:bidi="en-US"/>
              </w:rPr>
            </w:pPr>
            <w:r w:rsidRPr="00712F3C">
              <w:rPr>
                <w:rFonts w:ascii="Times New Roman" w:eastAsia="PMingLiU" w:hAnsi="Times New Roman"/>
                <w:b/>
                <w:sz w:val="20"/>
                <w:szCs w:val="20"/>
                <w:lang w:bidi="en-US"/>
              </w:rPr>
              <w:t>Number of Equity Shares available for allocation</w:t>
            </w:r>
          </w:p>
        </w:tc>
        <w:tc>
          <w:tcPr>
            <w:tcW w:w="839" w:type="pct"/>
            <w:tcBorders>
              <w:top w:val="single" w:sz="4" w:space="0" w:color="auto"/>
              <w:left w:val="single" w:sz="4" w:space="0" w:color="auto"/>
              <w:bottom w:val="single" w:sz="4" w:space="0" w:color="auto"/>
              <w:right w:val="single" w:sz="4" w:space="0" w:color="auto"/>
            </w:tcBorders>
          </w:tcPr>
          <w:p w14:paraId="4DF3AD36" w14:textId="77777777" w:rsidR="004047F2" w:rsidRPr="00712F3C" w:rsidRDefault="004047F2" w:rsidP="00250DAC">
            <w:pPr>
              <w:tabs>
                <w:tab w:val="left" w:pos="3912"/>
              </w:tabs>
              <w:spacing w:after="0" w:line="240" w:lineRule="auto"/>
              <w:ind w:left="50" w:right="42"/>
              <w:contextualSpacing/>
              <w:jc w:val="both"/>
              <w:rPr>
                <w:rFonts w:ascii="Times New Roman" w:eastAsia="PMingLiU" w:hAnsi="Times New Roman"/>
                <w:sz w:val="20"/>
                <w:szCs w:val="20"/>
                <w:lang w:bidi="en-US"/>
              </w:rPr>
            </w:pPr>
            <w:r w:rsidRPr="00712F3C">
              <w:rPr>
                <w:rFonts w:ascii="Times New Roman" w:hAnsi="Times New Roman"/>
                <w:sz w:val="20"/>
                <w:szCs w:val="20"/>
              </w:rPr>
              <w:t xml:space="preserve">Upto [●] </w:t>
            </w:r>
            <w:r w:rsidRPr="00712F3C">
              <w:rPr>
                <w:rFonts w:ascii="Times New Roman" w:eastAsia="PMingLiU" w:hAnsi="Times New Roman"/>
                <w:sz w:val="20"/>
                <w:szCs w:val="20"/>
                <w:lang w:bidi="en-US"/>
              </w:rPr>
              <w:t>Equity Shares</w:t>
            </w:r>
          </w:p>
        </w:tc>
        <w:tc>
          <w:tcPr>
            <w:tcW w:w="1102" w:type="pct"/>
            <w:tcBorders>
              <w:top w:val="single" w:sz="4" w:space="0" w:color="auto"/>
              <w:left w:val="single" w:sz="4" w:space="0" w:color="auto"/>
              <w:bottom w:val="single" w:sz="4" w:space="0" w:color="auto"/>
              <w:right w:val="single" w:sz="4" w:space="0" w:color="auto"/>
            </w:tcBorders>
          </w:tcPr>
          <w:p w14:paraId="1848D0C1" w14:textId="77777777" w:rsidR="004047F2" w:rsidRPr="00712F3C" w:rsidRDefault="004047F2" w:rsidP="00250DAC">
            <w:pPr>
              <w:spacing w:after="0" w:line="240" w:lineRule="auto"/>
              <w:ind w:left="50" w:right="42"/>
              <w:contextualSpacing/>
              <w:jc w:val="both"/>
              <w:rPr>
                <w:rFonts w:ascii="Times New Roman" w:eastAsia="PMingLiU" w:hAnsi="Times New Roman"/>
                <w:sz w:val="20"/>
                <w:szCs w:val="20"/>
                <w:lang w:bidi="en-US"/>
              </w:rPr>
            </w:pPr>
            <w:r w:rsidRPr="00712F3C">
              <w:rPr>
                <w:rFonts w:ascii="Times New Roman" w:hAnsi="Times New Roman"/>
                <w:sz w:val="20"/>
                <w:szCs w:val="20"/>
              </w:rPr>
              <w:t>Not more than [●] Equity Shares</w:t>
            </w:r>
          </w:p>
        </w:tc>
        <w:tc>
          <w:tcPr>
            <w:tcW w:w="1100" w:type="pct"/>
            <w:tcBorders>
              <w:top w:val="single" w:sz="4" w:space="0" w:color="auto"/>
              <w:left w:val="single" w:sz="4" w:space="0" w:color="auto"/>
              <w:bottom w:val="single" w:sz="4" w:space="0" w:color="auto"/>
              <w:right w:val="single" w:sz="4" w:space="0" w:color="auto"/>
            </w:tcBorders>
          </w:tcPr>
          <w:p w14:paraId="3C7D3150" w14:textId="77777777" w:rsidR="004047F2" w:rsidRPr="00712F3C" w:rsidRDefault="004047F2" w:rsidP="00250DAC">
            <w:pPr>
              <w:spacing w:after="0" w:line="240" w:lineRule="auto"/>
              <w:ind w:left="50" w:right="42"/>
              <w:contextualSpacing/>
              <w:jc w:val="both"/>
              <w:rPr>
                <w:rFonts w:ascii="Times New Roman" w:hAnsi="Times New Roman"/>
                <w:sz w:val="20"/>
                <w:szCs w:val="20"/>
              </w:rPr>
            </w:pPr>
            <w:r w:rsidRPr="00712F3C">
              <w:rPr>
                <w:rFonts w:ascii="Times New Roman" w:hAnsi="Times New Roman"/>
                <w:sz w:val="20"/>
                <w:szCs w:val="20"/>
              </w:rPr>
              <w:t xml:space="preserve">Not less than [●] Equity Shares </w:t>
            </w:r>
          </w:p>
        </w:tc>
        <w:tc>
          <w:tcPr>
            <w:tcW w:w="1101" w:type="pct"/>
            <w:tcBorders>
              <w:top w:val="single" w:sz="4" w:space="0" w:color="auto"/>
              <w:left w:val="single" w:sz="4" w:space="0" w:color="auto"/>
              <w:bottom w:val="single" w:sz="4" w:space="0" w:color="auto"/>
              <w:right w:val="single" w:sz="4" w:space="0" w:color="auto"/>
            </w:tcBorders>
          </w:tcPr>
          <w:p w14:paraId="29D9A28E" w14:textId="77777777" w:rsidR="004047F2" w:rsidRPr="00712F3C" w:rsidRDefault="004047F2" w:rsidP="00250DAC">
            <w:pPr>
              <w:spacing w:after="0" w:line="240" w:lineRule="auto"/>
              <w:ind w:left="50" w:right="42"/>
              <w:contextualSpacing/>
              <w:jc w:val="both"/>
              <w:rPr>
                <w:rFonts w:ascii="Times New Roman" w:hAnsi="Times New Roman"/>
                <w:sz w:val="20"/>
                <w:szCs w:val="20"/>
              </w:rPr>
            </w:pPr>
            <w:r w:rsidRPr="00712F3C">
              <w:rPr>
                <w:rFonts w:ascii="Times New Roman" w:hAnsi="Times New Roman"/>
                <w:sz w:val="20"/>
                <w:szCs w:val="20"/>
              </w:rPr>
              <w:t xml:space="preserve">Not less than [●] Equity Shares </w:t>
            </w:r>
          </w:p>
        </w:tc>
      </w:tr>
      <w:tr w:rsidR="004047F2" w:rsidRPr="00712F3C" w14:paraId="09CB1ADD" w14:textId="77777777" w:rsidTr="00250DAC">
        <w:tc>
          <w:tcPr>
            <w:tcW w:w="858" w:type="pct"/>
            <w:tcBorders>
              <w:top w:val="single" w:sz="4" w:space="0" w:color="auto"/>
              <w:left w:val="single" w:sz="4" w:space="0" w:color="auto"/>
              <w:bottom w:val="single" w:sz="4" w:space="0" w:color="auto"/>
              <w:right w:val="single" w:sz="4" w:space="0" w:color="auto"/>
            </w:tcBorders>
            <w:shd w:val="clear" w:color="auto" w:fill="FFFFFF"/>
            <w:hideMark/>
          </w:tcPr>
          <w:p w14:paraId="6B1D5636" w14:textId="77777777" w:rsidR="004047F2" w:rsidRPr="00712F3C" w:rsidRDefault="004047F2" w:rsidP="00250DAC">
            <w:pPr>
              <w:spacing w:after="0" w:line="240" w:lineRule="auto"/>
              <w:ind w:left="50" w:right="42"/>
              <w:contextualSpacing/>
              <w:jc w:val="both"/>
              <w:rPr>
                <w:rFonts w:ascii="Times New Roman" w:eastAsia="PMingLiU" w:hAnsi="Times New Roman"/>
                <w:b/>
                <w:sz w:val="20"/>
                <w:szCs w:val="20"/>
                <w:lang w:bidi="en-US"/>
              </w:rPr>
            </w:pPr>
            <w:r w:rsidRPr="00712F3C">
              <w:rPr>
                <w:rFonts w:ascii="Times New Roman" w:eastAsia="PMingLiU" w:hAnsi="Times New Roman"/>
                <w:b/>
                <w:sz w:val="20"/>
                <w:szCs w:val="20"/>
                <w:lang w:bidi="en-US"/>
              </w:rPr>
              <w:t>Percentage of Issue Size available for allocation</w:t>
            </w:r>
          </w:p>
        </w:tc>
        <w:tc>
          <w:tcPr>
            <w:tcW w:w="839" w:type="pct"/>
            <w:tcBorders>
              <w:top w:val="single" w:sz="4" w:space="0" w:color="auto"/>
              <w:left w:val="single" w:sz="4" w:space="0" w:color="auto"/>
              <w:bottom w:val="single" w:sz="4" w:space="0" w:color="auto"/>
              <w:right w:val="single" w:sz="4" w:space="0" w:color="auto"/>
            </w:tcBorders>
            <w:shd w:val="clear" w:color="auto" w:fill="FFFFFF"/>
          </w:tcPr>
          <w:p w14:paraId="5F814376" w14:textId="77777777" w:rsidR="004047F2" w:rsidRPr="00712F3C" w:rsidRDefault="004047F2" w:rsidP="00250DAC">
            <w:pPr>
              <w:spacing w:after="0" w:line="240" w:lineRule="auto"/>
              <w:ind w:left="50" w:right="42"/>
              <w:contextualSpacing/>
              <w:jc w:val="both"/>
              <w:rPr>
                <w:rFonts w:ascii="Times New Roman" w:eastAsia="PMingLiU" w:hAnsi="Times New Roman"/>
                <w:sz w:val="20"/>
                <w:szCs w:val="20"/>
                <w:lang w:bidi="en-US"/>
              </w:rPr>
            </w:pPr>
            <w:r>
              <w:rPr>
                <w:rFonts w:ascii="Times New Roman" w:hAnsi="Times New Roman"/>
                <w:sz w:val="20"/>
                <w:szCs w:val="20"/>
              </w:rPr>
              <w:t>[●]</w:t>
            </w:r>
            <w:r w:rsidRPr="00712F3C">
              <w:rPr>
                <w:rFonts w:ascii="Times New Roman" w:eastAsia="PMingLiU" w:hAnsi="Times New Roman"/>
                <w:sz w:val="20"/>
                <w:szCs w:val="20"/>
                <w:lang w:bidi="en-US"/>
              </w:rPr>
              <w:t xml:space="preserve"> of the Issue Size</w:t>
            </w:r>
          </w:p>
        </w:tc>
        <w:tc>
          <w:tcPr>
            <w:tcW w:w="1102" w:type="pct"/>
            <w:tcBorders>
              <w:top w:val="single" w:sz="4" w:space="0" w:color="auto"/>
              <w:left w:val="single" w:sz="4" w:space="0" w:color="auto"/>
              <w:bottom w:val="single" w:sz="4" w:space="0" w:color="auto"/>
              <w:right w:val="single" w:sz="4" w:space="0" w:color="auto"/>
            </w:tcBorders>
            <w:shd w:val="clear" w:color="auto" w:fill="FFFFFF"/>
          </w:tcPr>
          <w:p w14:paraId="7D05EACB" w14:textId="77777777" w:rsidR="004047F2" w:rsidRPr="00712F3C" w:rsidRDefault="004047F2" w:rsidP="00250DAC">
            <w:pPr>
              <w:spacing w:after="0" w:line="240" w:lineRule="auto"/>
              <w:ind w:left="50" w:right="42"/>
              <w:contextualSpacing/>
              <w:jc w:val="both"/>
              <w:rPr>
                <w:rFonts w:ascii="Times New Roman" w:eastAsia="PMingLiU" w:hAnsi="Times New Roman"/>
                <w:sz w:val="20"/>
                <w:szCs w:val="20"/>
                <w:lang w:bidi="en-US"/>
              </w:rPr>
            </w:pPr>
            <w:r w:rsidRPr="00712F3C">
              <w:rPr>
                <w:rFonts w:ascii="Times New Roman" w:hAnsi="Times New Roman"/>
                <w:sz w:val="20"/>
                <w:szCs w:val="20"/>
              </w:rPr>
              <w:t>Not more than 50% of the Net Issue being available for allocation to QIB Bidders. However, up to 5% of the Net QIB Portion will be available for allocation proportionately to Mutual Funds only. Mutual Funds participating in the Mutual Fund Portion will also be eligible for allocation in the remaining QIB Portion. The unsubscribed portion in the Mutual Fund Portion will be added to the Net QIB Portion</w:t>
            </w:r>
          </w:p>
        </w:tc>
        <w:tc>
          <w:tcPr>
            <w:tcW w:w="1100" w:type="pct"/>
            <w:tcBorders>
              <w:top w:val="single" w:sz="4" w:space="0" w:color="auto"/>
              <w:left w:val="single" w:sz="4" w:space="0" w:color="auto"/>
              <w:bottom w:val="single" w:sz="4" w:space="0" w:color="auto"/>
              <w:right w:val="single" w:sz="4" w:space="0" w:color="auto"/>
            </w:tcBorders>
            <w:shd w:val="clear" w:color="auto" w:fill="FFFFFF"/>
          </w:tcPr>
          <w:p w14:paraId="670D6149" w14:textId="77777777" w:rsidR="004047F2" w:rsidRPr="00712F3C" w:rsidRDefault="004047F2" w:rsidP="00250DAC">
            <w:pPr>
              <w:spacing w:after="0" w:line="240" w:lineRule="auto"/>
              <w:ind w:left="50" w:right="42"/>
              <w:contextualSpacing/>
              <w:jc w:val="both"/>
              <w:rPr>
                <w:rFonts w:ascii="Times New Roman" w:hAnsi="Times New Roman"/>
                <w:sz w:val="20"/>
                <w:szCs w:val="20"/>
              </w:rPr>
            </w:pPr>
            <w:r w:rsidRPr="00712F3C">
              <w:rPr>
                <w:rFonts w:ascii="Times New Roman" w:hAnsi="Times New Roman"/>
                <w:sz w:val="20"/>
                <w:szCs w:val="20"/>
              </w:rPr>
              <w:t xml:space="preserve">Not less than 15% of the Net Issue </w:t>
            </w:r>
          </w:p>
          <w:p w14:paraId="075A0AF5" w14:textId="77777777" w:rsidR="004047F2" w:rsidRPr="00712F3C" w:rsidRDefault="004047F2" w:rsidP="00250DAC">
            <w:pPr>
              <w:spacing w:after="0" w:line="240" w:lineRule="auto"/>
              <w:ind w:right="42"/>
              <w:contextualSpacing/>
              <w:jc w:val="both"/>
              <w:rPr>
                <w:rFonts w:ascii="Times New Roman" w:eastAsia="PMingLiU" w:hAnsi="Times New Roman"/>
                <w:sz w:val="20"/>
                <w:szCs w:val="20"/>
                <w:lang w:bidi="en-US"/>
              </w:rPr>
            </w:pPr>
          </w:p>
        </w:tc>
        <w:tc>
          <w:tcPr>
            <w:tcW w:w="1101" w:type="pct"/>
            <w:tcBorders>
              <w:top w:val="single" w:sz="4" w:space="0" w:color="auto"/>
              <w:left w:val="single" w:sz="4" w:space="0" w:color="auto"/>
              <w:bottom w:val="single" w:sz="4" w:space="0" w:color="auto"/>
              <w:right w:val="single" w:sz="4" w:space="0" w:color="auto"/>
            </w:tcBorders>
            <w:shd w:val="clear" w:color="auto" w:fill="FFFFFF"/>
          </w:tcPr>
          <w:p w14:paraId="24631FE3" w14:textId="77777777" w:rsidR="004047F2" w:rsidRPr="00712F3C" w:rsidRDefault="004047F2" w:rsidP="00250DAC">
            <w:pPr>
              <w:spacing w:after="0" w:line="240" w:lineRule="auto"/>
              <w:ind w:left="50" w:right="42"/>
              <w:contextualSpacing/>
              <w:jc w:val="both"/>
              <w:rPr>
                <w:rFonts w:ascii="Times New Roman" w:hAnsi="Times New Roman"/>
                <w:sz w:val="20"/>
                <w:szCs w:val="20"/>
              </w:rPr>
            </w:pPr>
            <w:r w:rsidRPr="00712F3C">
              <w:rPr>
                <w:rFonts w:ascii="Times New Roman" w:hAnsi="Times New Roman"/>
                <w:sz w:val="20"/>
                <w:szCs w:val="20"/>
              </w:rPr>
              <w:t xml:space="preserve">Not less than 35% of the Net Issue </w:t>
            </w:r>
          </w:p>
        </w:tc>
      </w:tr>
      <w:tr w:rsidR="004047F2" w:rsidRPr="00712F3C" w14:paraId="5507BC57" w14:textId="77777777" w:rsidTr="00250DAC">
        <w:tc>
          <w:tcPr>
            <w:tcW w:w="858" w:type="pct"/>
            <w:tcBorders>
              <w:top w:val="single" w:sz="4" w:space="0" w:color="auto"/>
              <w:left w:val="single" w:sz="4" w:space="0" w:color="auto"/>
              <w:bottom w:val="single" w:sz="4" w:space="0" w:color="auto"/>
              <w:right w:val="single" w:sz="4" w:space="0" w:color="auto"/>
            </w:tcBorders>
            <w:shd w:val="clear" w:color="auto" w:fill="FFFFFF"/>
            <w:hideMark/>
          </w:tcPr>
          <w:p w14:paraId="4FD24A21" w14:textId="77777777" w:rsidR="004047F2" w:rsidRPr="00712F3C" w:rsidRDefault="004047F2" w:rsidP="00250DAC">
            <w:pPr>
              <w:spacing w:after="0" w:line="240" w:lineRule="auto"/>
              <w:ind w:left="50" w:right="42"/>
              <w:contextualSpacing/>
              <w:jc w:val="both"/>
              <w:rPr>
                <w:rFonts w:ascii="Times New Roman" w:eastAsia="PMingLiU" w:hAnsi="Times New Roman"/>
                <w:b/>
                <w:sz w:val="20"/>
                <w:szCs w:val="20"/>
                <w:lang w:bidi="en-US"/>
              </w:rPr>
            </w:pPr>
            <w:r w:rsidRPr="00712F3C">
              <w:rPr>
                <w:rFonts w:ascii="Times New Roman" w:eastAsia="PMingLiU" w:hAnsi="Times New Roman"/>
                <w:b/>
                <w:sz w:val="20"/>
                <w:szCs w:val="20"/>
                <w:lang w:bidi="en-US"/>
              </w:rPr>
              <w:t>Basis of Allotment</w:t>
            </w:r>
            <w:r w:rsidRPr="00712F3C">
              <w:rPr>
                <w:rFonts w:ascii="Times New Roman" w:eastAsia="PMingLiU" w:hAnsi="Times New Roman"/>
                <w:b/>
                <w:sz w:val="20"/>
                <w:szCs w:val="20"/>
                <w:vertAlign w:val="superscript"/>
                <w:lang w:bidi="en-US"/>
              </w:rPr>
              <w:t>(3)</w:t>
            </w:r>
          </w:p>
        </w:tc>
        <w:tc>
          <w:tcPr>
            <w:tcW w:w="839" w:type="pct"/>
            <w:tcBorders>
              <w:top w:val="single" w:sz="4" w:space="0" w:color="auto"/>
              <w:left w:val="single" w:sz="4" w:space="0" w:color="auto"/>
              <w:bottom w:val="single" w:sz="4" w:space="0" w:color="auto"/>
              <w:right w:val="single" w:sz="4" w:space="0" w:color="auto"/>
            </w:tcBorders>
          </w:tcPr>
          <w:p w14:paraId="5172B685" w14:textId="77777777" w:rsidR="004047F2" w:rsidRPr="00712F3C" w:rsidRDefault="004047F2" w:rsidP="00250DAC">
            <w:pPr>
              <w:spacing w:after="0" w:line="240" w:lineRule="auto"/>
              <w:ind w:left="50" w:right="42"/>
              <w:contextualSpacing/>
              <w:jc w:val="both"/>
              <w:rPr>
                <w:rFonts w:ascii="Times New Roman" w:eastAsia="PMingLiU" w:hAnsi="Times New Roman"/>
                <w:sz w:val="20"/>
                <w:szCs w:val="20"/>
                <w:lang w:bidi="en-US"/>
              </w:rPr>
            </w:pPr>
            <w:r w:rsidRPr="00712F3C">
              <w:rPr>
                <w:rFonts w:ascii="Times New Roman" w:eastAsia="PMingLiU" w:hAnsi="Times New Roman"/>
                <w:sz w:val="20"/>
                <w:szCs w:val="20"/>
                <w:lang w:bidi="en-US"/>
              </w:rPr>
              <w:t>Firm Allotment</w:t>
            </w:r>
          </w:p>
        </w:tc>
        <w:tc>
          <w:tcPr>
            <w:tcW w:w="1102" w:type="pct"/>
            <w:tcBorders>
              <w:top w:val="single" w:sz="4" w:space="0" w:color="auto"/>
              <w:left w:val="single" w:sz="4" w:space="0" w:color="auto"/>
              <w:bottom w:val="single" w:sz="4" w:space="0" w:color="auto"/>
              <w:right w:val="single" w:sz="4" w:space="0" w:color="auto"/>
            </w:tcBorders>
            <w:shd w:val="clear" w:color="auto" w:fill="auto"/>
          </w:tcPr>
          <w:p w14:paraId="38D0E0B0" w14:textId="77777777" w:rsidR="004047F2" w:rsidRPr="00712F3C" w:rsidRDefault="004047F2" w:rsidP="00250DAC">
            <w:pPr>
              <w:spacing w:after="0" w:line="240" w:lineRule="auto"/>
              <w:ind w:left="50" w:right="42"/>
              <w:contextualSpacing/>
              <w:jc w:val="both"/>
              <w:rPr>
                <w:rFonts w:ascii="Times New Roman" w:eastAsia="PMingLiU" w:hAnsi="Times New Roman"/>
                <w:sz w:val="20"/>
                <w:szCs w:val="20"/>
                <w:lang w:bidi="en-US"/>
              </w:rPr>
            </w:pPr>
            <w:r w:rsidRPr="00712F3C">
              <w:rPr>
                <w:rFonts w:ascii="Times New Roman" w:eastAsia="PMingLiU" w:hAnsi="Times New Roman"/>
                <w:sz w:val="20"/>
                <w:szCs w:val="20"/>
                <w:lang w:bidi="en-US"/>
              </w:rPr>
              <w:t>Proportionate as follows (excluding the Anchor Investor Portion):</w:t>
            </w:r>
          </w:p>
          <w:p w14:paraId="404887A5" w14:textId="77777777" w:rsidR="004047F2" w:rsidRPr="00712F3C" w:rsidRDefault="004047F2" w:rsidP="00250DAC">
            <w:pPr>
              <w:spacing w:after="0" w:line="240" w:lineRule="auto"/>
              <w:ind w:left="50" w:right="42"/>
              <w:contextualSpacing/>
              <w:jc w:val="both"/>
              <w:rPr>
                <w:rFonts w:ascii="Times New Roman" w:eastAsia="PMingLiU" w:hAnsi="Times New Roman"/>
                <w:sz w:val="20"/>
                <w:szCs w:val="20"/>
                <w:lang w:bidi="en-US"/>
              </w:rPr>
            </w:pPr>
            <w:r w:rsidRPr="00712F3C">
              <w:rPr>
                <w:rFonts w:ascii="Times New Roman" w:eastAsia="PMingLiU" w:hAnsi="Times New Roman"/>
                <w:sz w:val="20"/>
                <w:szCs w:val="20"/>
                <w:lang w:bidi="en-US"/>
              </w:rPr>
              <w:t>(a) Up to [●] Equity Shares shall be available for allocation on a proportionate basis to Mutual Funds only; and</w:t>
            </w:r>
          </w:p>
          <w:p w14:paraId="39889843" w14:textId="77777777" w:rsidR="004047F2" w:rsidRPr="00712F3C" w:rsidRDefault="004047F2" w:rsidP="00250DAC">
            <w:pPr>
              <w:spacing w:after="0" w:line="240" w:lineRule="auto"/>
              <w:ind w:left="50" w:right="42"/>
              <w:contextualSpacing/>
              <w:jc w:val="both"/>
              <w:rPr>
                <w:rFonts w:ascii="Times New Roman" w:eastAsia="PMingLiU" w:hAnsi="Times New Roman"/>
                <w:sz w:val="20"/>
                <w:szCs w:val="20"/>
                <w:lang w:bidi="en-US"/>
              </w:rPr>
            </w:pPr>
            <w:r w:rsidRPr="00712F3C">
              <w:rPr>
                <w:rFonts w:ascii="Times New Roman" w:eastAsia="PMingLiU" w:hAnsi="Times New Roman"/>
                <w:sz w:val="20"/>
                <w:szCs w:val="20"/>
                <w:lang w:bidi="en-US"/>
              </w:rPr>
              <w:t>(b) Up to [●] Equity Shares shall be available for allocation on a proportionate basis to all QIBs, including Mutual Funds receiving allocation as per (a) above.</w:t>
            </w:r>
          </w:p>
          <w:p w14:paraId="48461B94" w14:textId="77777777" w:rsidR="004047F2" w:rsidRPr="00712F3C" w:rsidRDefault="004047F2" w:rsidP="00250DAC">
            <w:pPr>
              <w:spacing w:after="0" w:line="240" w:lineRule="auto"/>
              <w:ind w:left="50" w:right="42"/>
              <w:contextualSpacing/>
              <w:jc w:val="both"/>
              <w:rPr>
                <w:rFonts w:ascii="Times New Roman" w:eastAsia="PMingLiU" w:hAnsi="Times New Roman"/>
                <w:sz w:val="20"/>
                <w:szCs w:val="20"/>
                <w:lang w:bidi="en-US"/>
              </w:rPr>
            </w:pPr>
          </w:p>
          <w:p w14:paraId="449CE36B" w14:textId="77777777" w:rsidR="004047F2" w:rsidRPr="00712F3C" w:rsidRDefault="004047F2" w:rsidP="00250DAC">
            <w:pPr>
              <w:spacing w:after="0" w:line="240" w:lineRule="auto"/>
              <w:ind w:left="50" w:right="42"/>
              <w:contextualSpacing/>
              <w:jc w:val="both"/>
              <w:rPr>
                <w:rFonts w:ascii="Times New Roman" w:eastAsia="PMingLiU" w:hAnsi="Times New Roman"/>
                <w:sz w:val="20"/>
                <w:szCs w:val="20"/>
                <w:lang w:bidi="en-US"/>
              </w:rPr>
            </w:pPr>
            <w:r w:rsidRPr="00712F3C">
              <w:rPr>
                <w:rFonts w:ascii="Times New Roman" w:eastAsia="PMingLiU" w:hAnsi="Times New Roman"/>
                <w:sz w:val="20"/>
                <w:szCs w:val="20"/>
                <w:lang w:bidi="en-US"/>
              </w:rPr>
              <w:t xml:space="preserve">Up to 60% of the QIB Portion (of up to [●] Equity Shares may be allocated on a </w:t>
            </w:r>
            <w:r w:rsidRPr="00712F3C">
              <w:rPr>
                <w:rFonts w:ascii="Times New Roman" w:eastAsia="PMingLiU" w:hAnsi="Times New Roman"/>
                <w:sz w:val="20"/>
                <w:szCs w:val="20"/>
                <w:lang w:bidi="en-US"/>
              </w:rPr>
              <w:lastRenderedPageBreak/>
              <w:t>discretionary basis to Anchor Investors of which</w:t>
            </w:r>
          </w:p>
          <w:p w14:paraId="51CD53DD" w14:textId="77777777" w:rsidR="004047F2" w:rsidRPr="00712F3C" w:rsidRDefault="004047F2" w:rsidP="00250DAC">
            <w:pPr>
              <w:spacing w:after="0" w:line="240" w:lineRule="auto"/>
              <w:ind w:left="50" w:right="42"/>
              <w:contextualSpacing/>
              <w:jc w:val="both"/>
              <w:rPr>
                <w:rFonts w:ascii="Times New Roman" w:eastAsia="PMingLiU" w:hAnsi="Times New Roman"/>
                <w:sz w:val="20"/>
                <w:szCs w:val="20"/>
                <w:lang w:bidi="en-US"/>
              </w:rPr>
            </w:pPr>
            <w:r w:rsidRPr="00712F3C">
              <w:rPr>
                <w:rFonts w:ascii="Times New Roman" w:eastAsia="PMingLiU" w:hAnsi="Times New Roman"/>
                <w:sz w:val="20"/>
                <w:szCs w:val="20"/>
                <w:lang w:bidi="en-US"/>
              </w:rPr>
              <w:t xml:space="preserve">one-third shall be available for allocation to Mutual Funds only, subject to valid Bid received from Mutual Funds at or above the Anchor Investor Allocation Price </w:t>
            </w:r>
          </w:p>
        </w:tc>
        <w:tc>
          <w:tcPr>
            <w:tcW w:w="1100" w:type="pct"/>
            <w:tcBorders>
              <w:top w:val="single" w:sz="4" w:space="0" w:color="auto"/>
              <w:left w:val="single" w:sz="4" w:space="0" w:color="auto"/>
              <w:bottom w:val="single" w:sz="4" w:space="0" w:color="auto"/>
              <w:right w:val="single" w:sz="4" w:space="0" w:color="auto"/>
            </w:tcBorders>
            <w:shd w:val="clear" w:color="auto" w:fill="auto"/>
          </w:tcPr>
          <w:p w14:paraId="4D1736E0" w14:textId="77777777" w:rsidR="004047F2" w:rsidRPr="00712F3C" w:rsidRDefault="004047F2" w:rsidP="00250DAC">
            <w:pPr>
              <w:spacing w:after="0" w:line="240" w:lineRule="auto"/>
              <w:ind w:left="50" w:right="42"/>
              <w:contextualSpacing/>
              <w:jc w:val="both"/>
              <w:rPr>
                <w:rFonts w:ascii="Times New Roman" w:eastAsia="PMingLiU" w:hAnsi="Times New Roman"/>
                <w:sz w:val="20"/>
                <w:szCs w:val="20"/>
                <w:lang w:bidi="en-US"/>
              </w:rPr>
            </w:pPr>
            <w:r w:rsidRPr="00712F3C">
              <w:rPr>
                <w:rFonts w:ascii="Times New Roman" w:eastAsia="PMingLiU" w:hAnsi="Times New Roman"/>
                <w:sz w:val="20"/>
                <w:szCs w:val="20"/>
                <w:lang w:bidi="en-US"/>
              </w:rPr>
              <w:lastRenderedPageBreak/>
              <w:t>Proportionate basis subject to minimum allotment of [●] Equity Shares and further allotment in multiples of [●] Equity Shares.</w:t>
            </w:r>
          </w:p>
        </w:tc>
        <w:tc>
          <w:tcPr>
            <w:tcW w:w="1101" w:type="pct"/>
            <w:tcBorders>
              <w:top w:val="single" w:sz="4" w:space="0" w:color="auto"/>
              <w:left w:val="single" w:sz="4" w:space="0" w:color="auto"/>
              <w:bottom w:val="single" w:sz="4" w:space="0" w:color="auto"/>
              <w:right w:val="single" w:sz="4" w:space="0" w:color="auto"/>
            </w:tcBorders>
            <w:shd w:val="clear" w:color="auto" w:fill="auto"/>
          </w:tcPr>
          <w:p w14:paraId="0EA1174E" w14:textId="77777777" w:rsidR="004047F2" w:rsidRPr="00712F3C" w:rsidRDefault="004047F2" w:rsidP="00250DAC">
            <w:pPr>
              <w:spacing w:after="0" w:line="240" w:lineRule="auto"/>
              <w:ind w:left="50" w:right="42"/>
              <w:contextualSpacing/>
              <w:jc w:val="both"/>
              <w:rPr>
                <w:rFonts w:ascii="Times New Roman" w:hAnsi="Times New Roman"/>
              </w:rPr>
            </w:pPr>
            <w:r w:rsidRPr="00712F3C">
              <w:rPr>
                <w:rFonts w:ascii="Times New Roman" w:hAnsi="Times New Roman"/>
                <w:sz w:val="20"/>
                <w:szCs w:val="20"/>
              </w:rPr>
              <w:t xml:space="preserve">Proportionate basis </w:t>
            </w:r>
            <w:r w:rsidRPr="00712F3C">
              <w:rPr>
                <w:rFonts w:ascii="Times New Roman" w:hAnsi="Times New Roman"/>
                <w:sz w:val="20"/>
                <w:szCs w:val="20"/>
                <w:lang w:bidi="en-US"/>
              </w:rPr>
              <w:t>subject to minimum allotment of [●] Equity Shares</w:t>
            </w:r>
          </w:p>
        </w:tc>
      </w:tr>
      <w:tr w:rsidR="004047F2" w:rsidRPr="00712F3C" w14:paraId="25001EF9" w14:textId="77777777" w:rsidTr="00250DAC">
        <w:tc>
          <w:tcPr>
            <w:tcW w:w="858" w:type="pct"/>
            <w:tcBorders>
              <w:top w:val="single" w:sz="4" w:space="0" w:color="auto"/>
              <w:left w:val="single" w:sz="4" w:space="0" w:color="auto"/>
              <w:bottom w:val="single" w:sz="4" w:space="0" w:color="auto"/>
              <w:right w:val="single" w:sz="4" w:space="0" w:color="auto"/>
            </w:tcBorders>
            <w:shd w:val="clear" w:color="auto" w:fill="FFFFFF"/>
            <w:hideMark/>
          </w:tcPr>
          <w:p w14:paraId="24D12781" w14:textId="77777777" w:rsidR="004047F2" w:rsidRPr="00712F3C" w:rsidRDefault="004047F2" w:rsidP="00250DAC">
            <w:pPr>
              <w:spacing w:after="0" w:line="240" w:lineRule="auto"/>
              <w:ind w:left="50" w:right="42"/>
              <w:contextualSpacing/>
              <w:jc w:val="both"/>
              <w:rPr>
                <w:rFonts w:ascii="Times New Roman" w:eastAsia="PMingLiU" w:hAnsi="Times New Roman"/>
                <w:b/>
                <w:sz w:val="20"/>
                <w:szCs w:val="20"/>
                <w:lang w:bidi="en-US"/>
              </w:rPr>
            </w:pPr>
            <w:r w:rsidRPr="00712F3C">
              <w:rPr>
                <w:rFonts w:ascii="Times New Roman" w:eastAsia="PMingLiU" w:hAnsi="Times New Roman"/>
                <w:b/>
                <w:sz w:val="20"/>
                <w:szCs w:val="20"/>
                <w:lang w:bidi="en-US"/>
              </w:rPr>
              <w:t>Mode of Allotment</w:t>
            </w:r>
          </w:p>
        </w:tc>
        <w:tc>
          <w:tcPr>
            <w:tcW w:w="4142" w:type="pct"/>
            <w:gridSpan w:val="4"/>
            <w:tcBorders>
              <w:top w:val="single" w:sz="4" w:space="0" w:color="auto"/>
              <w:left w:val="single" w:sz="4" w:space="0" w:color="auto"/>
              <w:bottom w:val="single" w:sz="4" w:space="0" w:color="auto"/>
              <w:right w:val="single" w:sz="4" w:space="0" w:color="auto"/>
            </w:tcBorders>
          </w:tcPr>
          <w:p w14:paraId="06E547CC" w14:textId="77777777" w:rsidR="004047F2" w:rsidRPr="00712F3C" w:rsidRDefault="004047F2" w:rsidP="00250DAC">
            <w:pPr>
              <w:spacing w:after="0" w:line="240" w:lineRule="auto"/>
              <w:ind w:left="50" w:right="42"/>
              <w:contextualSpacing/>
              <w:jc w:val="center"/>
              <w:rPr>
                <w:rFonts w:ascii="Times New Roman" w:eastAsia="PMingLiU" w:hAnsi="Times New Roman"/>
                <w:sz w:val="20"/>
                <w:szCs w:val="20"/>
                <w:lang w:bidi="en-US"/>
              </w:rPr>
            </w:pPr>
            <w:r w:rsidRPr="00712F3C">
              <w:rPr>
                <w:rFonts w:ascii="Times New Roman" w:eastAsia="PMingLiU" w:hAnsi="Times New Roman"/>
                <w:sz w:val="20"/>
                <w:szCs w:val="20"/>
                <w:lang w:bidi="en-US"/>
              </w:rPr>
              <w:t>Compulsorily in dematerialized form.</w:t>
            </w:r>
          </w:p>
        </w:tc>
      </w:tr>
      <w:tr w:rsidR="004047F2" w:rsidRPr="00712F3C" w14:paraId="4BCCA48D" w14:textId="77777777" w:rsidTr="00250DAC">
        <w:tc>
          <w:tcPr>
            <w:tcW w:w="858" w:type="pct"/>
            <w:tcBorders>
              <w:top w:val="single" w:sz="4" w:space="0" w:color="auto"/>
              <w:left w:val="single" w:sz="4" w:space="0" w:color="auto"/>
              <w:bottom w:val="single" w:sz="4" w:space="0" w:color="auto"/>
              <w:right w:val="single" w:sz="4" w:space="0" w:color="auto"/>
            </w:tcBorders>
            <w:shd w:val="clear" w:color="auto" w:fill="FFFFFF"/>
            <w:hideMark/>
          </w:tcPr>
          <w:p w14:paraId="10B10356" w14:textId="77777777" w:rsidR="004047F2" w:rsidRPr="00712F3C" w:rsidRDefault="004047F2" w:rsidP="00250DAC">
            <w:pPr>
              <w:spacing w:after="0" w:line="240" w:lineRule="auto"/>
              <w:ind w:left="50" w:right="42"/>
              <w:contextualSpacing/>
              <w:jc w:val="both"/>
              <w:rPr>
                <w:rFonts w:ascii="Times New Roman" w:eastAsia="PMingLiU" w:hAnsi="Times New Roman"/>
                <w:b/>
                <w:sz w:val="20"/>
                <w:szCs w:val="20"/>
                <w:lang w:bidi="en-US"/>
              </w:rPr>
            </w:pPr>
            <w:r w:rsidRPr="00712F3C">
              <w:rPr>
                <w:rFonts w:ascii="Times New Roman" w:eastAsia="PMingLiU" w:hAnsi="Times New Roman"/>
                <w:b/>
                <w:sz w:val="20"/>
                <w:szCs w:val="20"/>
                <w:lang w:bidi="en-US"/>
              </w:rPr>
              <w:t>Minimum Bid Size</w:t>
            </w:r>
          </w:p>
        </w:tc>
        <w:tc>
          <w:tcPr>
            <w:tcW w:w="839" w:type="pct"/>
            <w:tcBorders>
              <w:top w:val="single" w:sz="4" w:space="0" w:color="auto"/>
              <w:left w:val="single" w:sz="4" w:space="0" w:color="auto"/>
              <w:bottom w:val="single" w:sz="4" w:space="0" w:color="auto"/>
              <w:right w:val="single" w:sz="4" w:space="0" w:color="auto"/>
            </w:tcBorders>
          </w:tcPr>
          <w:p w14:paraId="71D9BBA7" w14:textId="77777777" w:rsidR="004047F2" w:rsidRPr="00712F3C" w:rsidRDefault="004047F2" w:rsidP="00250DAC">
            <w:pPr>
              <w:spacing w:after="0" w:line="240" w:lineRule="auto"/>
              <w:ind w:right="42"/>
              <w:contextualSpacing/>
              <w:jc w:val="both"/>
              <w:rPr>
                <w:rFonts w:ascii="Times New Roman" w:eastAsia="PMingLiU" w:hAnsi="Times New Roman"/>
                <w:sz w:val="20"/>
                <w:szCs w:val="20"/>
                <w:lang w:bidi="en-US"/>
              </w:rPr>
            </w:pPr>
            <w:r w:rsidRPr="00712F3C">
              <w:rPr>
                <w:rFonts w:ascii="Times New Roman" w:hAnsi="Times New Roman"/>
                <w:sz w:val="20"/>
                <w:szCs w:val="20"/>
              </w:rPr>
              <w:t xml:space="preserve">[●] </w:t>
            </w:r>
            <w:r w:rsidRPr="00712F3C">
              <w:rPr>
                <w:rFonts w:ascii="Times New Roman" w:eastAsia="PMingLiU" w:hAnsi="Times New Roman"/>
                <w:sz w:val="20"/>
                <w:szCs w:val="20"/>
                <w:lang w:bidi="en-US"/>
              </w:rPr>
              <w:t>Equity Shares</w:t>
            </w:r>
          </w:p>
        </w:tc>
        <w:tc>
          <w:tcPr>
            <w:tcW w:w="1102" w:type="pct"/>
            <w:tcBorders>
              <w:top w:val="single" w:sz="4" w:space="0" w:color="auto"/>
              <w:left w:val="single" w:sz="4" w:space="0" w:color="auto"/>
              <w:bottom w:val="single" w:sz="4" w:space="0" w:color="auto"/>
              <w:right w:val="single" w:sz="4" w:space="0" w:color="auto"/>
            </w:tcBorders>
          </w:tcPr>
          <w:p w14:paraId="4900E576" w14:textId="77777777" w:rsidR="004047F2" w:rsidRPr="00712F3C" w:rsidRDefault="004047F2" w:rsidP="00250DAC">
            <w:pPr>
              <w:pStyle w:val="Default"/>
              <w:jc w:val="both"/>
              <w:rPr>
                <w:rFonts w:eastAsia="PMingLiU"/>
                <w:color w:val="auto"/>
                <w:sz w:val="20"/>
                <w:szCs w:val="20"/>
                <w:lang w:bidi="en-US"/>
              </w:rPr>
            </w:pPr>
            <w:r w:rsidRPr="00712F3C">
              <w:rPr>
                <w:rFonts w:eastAsia="PMingLiU"/>
                <w:color w:val="auto"/>
                <w:sz w:val="20"/>
                <w:szCs w:val="20"/>
                <w:lang w:bidi="en-US"/>
              </w:rPr>
              <w:t>Such number of Equity Shares and in multiples of [●] Equity Shares that the Bid Amount exceeds ₹200,000</w:t>
            </w:r>
          </w:p>
        </w:tc>
        <w:tc>
          <w:tcPr>
            <w:tcW w:w="1100" w:type="pct"/>
            <w:tcBorders>
              <w:top w:val="single" w:sz="4" w:space="0" w:color="auto"/>
              <w:left w:val="single" w:sz="4" w:space="0" w:color="auto"/>
              <w:bottom w:val="single" w:sz="4" w:space="0" w:color="auto"/>
              <w:right w:val="single" w:sz="4" w:space="0" w:color="auto"/>
            </w:tcBorders>
          </w:tcPr>
          <w:p w14:paraId="426FBA02" w14:textId="77777777" w:rsidR="004047F2" w:rsidRPr="00712F3C" w:rsidRDefault="004047F2" w:rsidP="00250DAC">
            <w:pPr>
              <w:spacing w:after="0" w:line="240" w:lineRule="auto"/>
              <w:ind w:left="50" w:right="42"/>
              <w:contextualSpacing/>
              <w:jc w:val="both"/>
              <w:rPr>
                <w:rFonts w:ascii="Times New Roman" w:eastAsia="PMingLiU" w:hAnsi="Times New Roman"/>
                <w:sz w:val="20"/>
                <w:szCs w:val="20"/>
                <w:lang w:bidi="en-US"/>
              </w:rPr>
            </w:pPr>
            <w:r w:rsidRPr="00712F3C">
              <w:rPr>
                <w:rFonts w:ascii="Times New Roman" w:eastAsia="PMingLiU" w:hAnsi="Times New Roman"/>
                <w:sz w:val="20"/>
                <w:szCs w:val="20"/>
                <w:lang w:bidi="en-US"/>
              </w:rPr>
              <w:t>Such number of Equity Shares and in multiples of [●] Equity Shares that the Bid Amount exceeds ₹200,000</w:t>
            </w:r>
          </w:p>
        </w:tc>
        <w:tc>
          <w:tcPr>
            <w:tcW w:w="1101" w:type="pct"/>
            <w:tcBorders>
              <w:top w:val="single" w:sz="4" w:space="0" w:color="auto"/>
              <w:left w:val="single" w:sz="4" w:space="0" w:color="auto"/>
              <w:bottom w:val="single" w:sz="4" w:space="0" w:color="auto"/>
              <w:right w:val="single" w:sz="4" w:space="0" w:color="auto"/>
            </w:tcBorders>
          </w:tcPr>
          <w:p w14:paraId="533FA5E8" w14:textId="77777777" w:rsidR="004047F2" w:rsidRPr="00712F3C" w:rsidRDefault="004047F2" w:rsidP="00250DAC">
            <w:pPr>
              <w:spacing w:after="0" w:line="240" w:lineRule="auto"/>
              <w:ind w:left="50" w:right="42"/>
              <w:contextualSpacing/>
              <w:jc w:val="both"/>
              <w:rPr>
                <w:rFonts w:ascii="Times New Roman" w:eastAsia="PMingLiU" w:hAnsi="Times New Roman"/>
                <w:sz w:val="20"/>
                <w:szCs w:val="20"/>
                <w:lang w:bidi="en-US"/>
              </w:rPr>
            </w:pPr>
            <w:r w:rsidRPr="00712F3C">
              <w:rPr>
                <w:rFonts w:ascii="Times New Roman" w:hAnsi="Times New Roman"/>
                <w:sz w:val="20"/>
                <w:szCs w:val="20"/>
              </w:rPr>
              <w:t>[●] Equity Shares</w:t>
            </w:r>
          </w:p>
        </w:tc>
      </w:tr>
      <w:tr w:rsidR="004047F2" w:rsidRPr="00712F3C" w14:paraId="33ECB23B" w14:textId="77777777" w:rsidTr="00250DAC">
        <w:trPr>
          <w:trHeight w:val="246"/>
        </w:trPr>
        <w:tc>
          <w:tcPr>
            <w:tcW w:w="858" w:type="pct"/>
            <w:tcBorders>
              <w:top w:val="single" w:sz="4" w:space="0" w:color="auto"/>
              <w:left w:val="single" w:sz="4" w:space="0" w:color="auto"/>
              <w:bottom w:val="single" w:sz="4" w:space="0" w:color="auto"/>
              <w:right w:val="single" w:sz="4" w:space="0" w:color="auto"/>
            </w:tcBorders>
            <w:shd w:val="clear" w:color="auto" w:fill="FFFFFF"/>
            <w:hideMark/>
          </w:tcPr>
          <w:p w14:paraId="04D184F3" w14:textId="77777777" w:rsidR="004047F2" w:rsidRPr="00712F3C" w:rsidRDefault="004047F2" w:rsidP="00250DAC">
            <w:pPr>
              <w:spacing w:after="0" w:line="240" w:lineRule="auto"/>
              <w:ind w:left="50" w:right="42"/>
              <w:contextualSpacing/>
              <w:jc w:val="both"/>
              <w:rPr>
                <w:rFonts w:ascii="Times New Roman" w:eastAsia="PMingLiU" w:hAnsi="Times New Roman"/>
                <w:b/>
                <w:sz w:val="20"/>
                <w:szCs w:val="20"/>
                <w:lang w:bidi="en-US"/>
              </w:rPr>
            </w:pPr>
            <w:r w:rsidRPr="00712F3C">
              <w:rPr>
                <w:rFonts w:ascii="Times New Roman" w:eastAsia="PMingLiU" w:hAnsi="Times New Roman"/>
                <w:b/>
                <w:sz w:val="20"/>
                <w:szCs w:val="20"/>
                <w:lang w:bidi="en-US"/>
              </w:rPr>
              <w:t>Maximum Bid Size</w:t>
            </w:r>
          </w:p>
        </w:tc>
        <w:tc>
          <w:tcPr>
            <w:tcW w:w="839" w:type="pct"/>
            <w:tcBorders>
              <w:top w:val="single" w:sz="4" w:space="0" w:color="auto"/>
              <w:left w:val="single" w:sz="4" w:space="0" w:color="auto"/>
              <w:bottom w:val="single" w:sz="4" w:space="0" w:color="auto"/>
              <w:right w:val="single" w:sz="4" w:space="0" w:color="auto"/>
            </w:tcBorders>
          </w:tcPr>
          <w:p w14:paraId="74E61BF1" w14:textId="77777777" w:rsidR="004047F2" w:rsidRPr="00712F3C" w:rsidRDefault="004047F2" w:rsidP="00250DAC">
            <w:pPr>
              <w:spacing w:after="0" w:line="240" w:lineRule="auto"/>
              <w:ind w:left="50" w:right="42"/>
              <w:contextualSpacing/>
              <w:jc w:val="both"/>
              <w:rPr>
                <w:rFonts w:ascii="Times New Roman" w:eastAsia="PMingLiU" w:hAnsi="Times New Roman"/>
                <w:iCs/>
                <w:sz w:val="20"/>
                <w:szCs w:val="20"/>
                <w:lang w:bidi="en-US"/>
              </w:rPr>
            </w:pPr>
            <w:r w:rsidRPr="00712F3C">
              <w:rPr>
                <w:rFonts w:ascii="Times New Roman" w:hAnsi="Times New Roman"/>
                <w:sz w:val="20"/>
                <w:szCs w:val="20"/>
              </w:rPr>
              <w:t>[●]</w:t>
            </w:r>
            <w:r w:rsidRPr="00712F3C">
              <w:rPr>
                <w:rFonts w:ascii="Times New Roman" w:eastAsia="PMingLiU" w:hAnsi="Times New Roman"/>
                <w:sz w:val="20"/>
                <w:szCs w:val="20"/>
                <w:lang w:bidi="en-US"/>
              </w:rPr>
              <w:t xml:space="preserve"> Equity Shares</w:t>
            </w:r>
          </w:p>
        </w:tc>
        <w:tc>
          <w:tcPr>
            <w:tcW w:w="1102" w:type="pct"/>
            <w:tcBorders>
              <w:top w:val="single" w:sz="4" w:space="0" w:color="auto"/>
              <w:left w:val="single" w:sz="4" w:space="0" w:color="auto"/>
              <w:bottom w:val="single" w:sz="4" w:space="0" w:color="auto"/>
              <w:right w:val="single" w:sz="4" w:space="0" w:color="auto"/>
            </w:tcBorders>
          </w:tcPr>
          <w:p w14:paraId="3ACAD933" w14:textId="77777777" w:rsidR="004047F2" w:rsidRPr="00712F3C" w:rsidRDefault="004047F2" w:rsidP="00250DAC">
            <w:pPr>
              <w:spacing w:after="0" w:line="240" w:lineRule="auto"/>
              <w:ind w:left="50" w:right="42"/>
              <w:contextualSpacing/>
              <w:jc w:val="both"/>
              <w:rPr>
                <w:rFonts w:ascii="Times New Roman" w:eastAsia="PMingLiU" w:hAnsi="Times New Roman"/>
                <w:sz w:val="20"/>
                <w:szCs w:val="20"/>
                <w:lang w:bidi="en-US"/>
              </w:rPr>
            </w:pPr>
            <w:r w:rsidRPr="00712F3C">
              <w:rPr>
                <w:rFonts w:ascii="Times New Roman" w:hAnsi="Times New Roman"/>
                <w:sz w:val="20"/>
                <w:szCs w:val="20"/>
              </w:rPr>
              <w:t>Such number of Equity Shares in multiples of [●] Equity Shares not exceeding the size of the Net Issue, subject to applicable limits</w:t>
            </w:r>
          </w:p>
        </w:tc>
        <w:tc>
          <w:tcPr>
            <w:tcW w:w="1100" w:type="pct"/>
            <w:tcBorders>
              <w:top w:val="single" w:sz="4" w:space="0" w:color="auto"/>
              <w:left w:val="single" w:sz="4" w:space="0" w:color="auto"/>
              <w:bottom w:val="single" w:sz="4" w:space="0" w:color="auto"/>
              <w:right w:val="single" w:sz="4" w:space="0" w:color="auto"/>
            </w:tcBorders>
          </w:tcPr>
          <w:p w14:paraId="12FB3BB1" w14:textId="77777777" w:rsidR="004047F2" w:rsidRPr="00712F3C" w:rsidRDefault="004047F2" w:rsidP="00250DAC">
            <w:pPr>
              <w:spacing w:after="0" w:line="240" w:lineRule="auto"/>
              <w:ind w:left="50" w:right="42"/>
              <w:contextualSpacing/>
              <w:jc w:val="both"/>
              <w:rPr>
                <w:rFonts w:ascii="Times New Roman" w:eastAsia="PMingLiU" w:hAnsi="Times New Roman"/>
                <w:sz w:val="20"/>
                <w:szCs w:val="20"/>
                <w:lang w:bidi="en-US"/>
              </w:rPr>
            </w:pPr>
            <w:r w:rsidRPr="00712F3C">
              <w:rPr>
                <w:rFonts w:ascii="Times New Roman" w:hAnsi="Times New Roman"/>
                <w:sz w:val="20"/>
                <w:szCs w:val="20"/>
              </w:rPr>
              <w:t>Such number of Equity Shares in multiples of [●] Equity Shares not exceeding the size of the Net Issue (excluding the QIB portion), subject to applicable limits</w:t>
            </w:r>
          </w:p>
        </w:tc>
        <w:tc>
          <w:tcPr>
            <w:tcW w:w="1101" w:type="pct"/>
            <w:tcBorders>
              <w:top w:val="single" w:sz="4" w:space="0" w:color="auto"/>
              <w:left w:val="single" w:sz="4" w:space="0" w:color="auto"/>
              <w:bottom w:val="single" w:sz="4" w:space="0" w:color="auto"/>
              <w:right w:val="single" w:sz="4" w:space="0" w:color="auto"/>
            </w:tcBorders>
          </w:tcPr>
          <w:p w14:paraId="4B2DB7B0" w14:textId="77777777" w:rsidR="004047F2" w:rsidRPr="00712F3C" w:rsidRDefault="004047F2" w:rsidP="00250DAC">
            <w:pPr>
              <w:spacing w:after="0" w:line="240" w:lineRule="auto"/>
              <w:ind w:left="50" w:right="42"/>
              <w:contextualSpacing/>
              <w:jc w:val="both"/>
              <w:rPr>
                <w:rFonts w:ascii="Times New Roman" w:eastAsia="PMingLiU" w:hAnsi="Times New Roman"/>
                <w:sz w:val="20"/>
                <w:szCs w:val="20"/>
                <w:lang w:bidi="en-US"/>
              </w:rPr>
            </w:pPr>
            <w:r w:rsidRPr="00712F3C">
              <w:rPr>
                <w:rFonts w:ascii="Times New Roman" w:hAnsi="Times New Roman"/>
                <w:sz w:val="20"/>
                <w:szCs w:val="20"/>
              </w:rPr>
              <w:t>[●] Equity Shares</w:t>
            </w:r>
          </w:p>
        </w:tc>
      </w:tr>
      <w:tr w:rsidR="004047F2" w:rsidRPr="00712F3C" w14:paraId="1400AE36" w14:textId="77777777" w:rsidTr="00250DAC">
        <w:tc>
          <w:tcPr>
            <w:tcW w:w="858" w:type="pct"/>
            <w:tcBorders>
              <w:top w:val="single" w:sz="4" w:space="0" w:color="auto"/>
              <w:left w:val="single" w:sz="4" w:space="0" w:color="auto"/>
              <w:bottom w:val="single" w:sz="4" w:space="0" w:color="auto"/>
              <w:right w:val="single" w:sz="4" w:space="0" w:color="auto"/>
            </w:tcBorders>
            <w:shd w:val="clear" w:color="auto" w:fill="FFFFFF"/>
            <w:hideMark/>
          </w:tcPr>
          <w:p w14:paraId="1A7E4C5D" w14:textId="77777777" w:rsidR="004047F2" w:rsidRPr="00712F3C" w:rsidRDefault="004047F2" w:rsidP="00250DAC">
            <w:pPr>
              <w:spacing w:after="0" w:line="240" w:lineRule="auto"/>
              <w:ind w:left="50" w:right="42"/>
              <w:contextualSpacing/>
              <w:jc w:val="both"/>
              <w:rPr>
                <w:rFonts w:ascii="Times New Roman" w:eastAsia="PMingLiU" w:hAnsi="Times New Roman"/>
                <w:b/>
                <w:sz w:val="20"/>
                <w:szCs w:val="20"/>
                <w:lang w:bidi="en-US"/>
              </w:rPr>
            </w:pPr>
            <w:r w:rsidRPr="00712F3C">
              <w:rPr>
                <w:rFonts w:ascii="Times New Roman" w:eastAsia="PMingLiU" w:hAnsi="Times New Roman"/>
                <w:b/>
                <w:sz w:val="20"/>
                <w:szCs w:val="20"/>
                <w:lang w:bidi="en-US"/>
              </w:rPr>
              <w:t>Trading Lot</w:t>
            </w:r>
          </w:p>
        </w:tc>
        <w:tc>
          <w:tcPr>
            <w:tcW w:w="839" w:type="pct"/>
            <w:tcBorders>
              <w:top w:val="single" w:sz="4" w:space="0" w:color="auto"/>
              <w:left w:val="single" w:sz="4" w:space="0" w:color="auto"/>
              <w:bottom w:val="single" w:sz="4" w:space="0" w:color="auto"/>
              <w:right w:val="single" w:sz="4" w:space="0" w:color="auto"/>
            </w:tcBorders>
          </w:tcPr>
          <w:p w14:paraId="7A4457D6" w14:textId="77777777" w:rsidR="004047F2" w:rsidRPr="00712F3C" w:rsidRDefault="004047F2" w:rsidP="00250DAC">
            <w:pPr>
              <w:spacing w:after="0" w:line="240" w:lineRule="auto"/>
              <w:ind w:left="50" w:right="42"/>
              <w:contextualSpacing/>
              <w:jc w:val="both"/>
              <w:rPr>
                <w:rFonts w:ascii="Times New Roman" w:eastAsia="PMingLiU" w:hAnsi="Times New Roman"/>
                <w:sz w:val="20"/>
                <w:szCs w:val="20"/>
                <w:lang w:bidi="en-US"/>
              </w:rPr>
            </w:pPr>
            <w:r w:rsidRPr="00712F3C">
              <w:rPr>
                <w:rFonts w:ascii="Times New Roman" w:hAnsi="Times New Roman"/>
                <w:sz w:val="20"/>
                <w:szCs w:val="20"/>
              </w:rPr>
              <w:t>[●]</w:t>
            </w:r>
            <w:r w:rsidRPr="00712F3C">
              <w:rPr>
                <w:rFonts w:ascii="Times New Roman" w:eastAsia="PMingLiU" w:hAnsi="Times New Roman"/>
                <w:sz w:val="20"/>
                <w:szCs w:val="20"/>
                <w:lang w:bidi="en-US"/>
              </w:rPr>
              <w:t xml:space="preserve"> Equity Shares, However the Market Maker may accept odd lots if any in the market as required under the SEBI (ICDR) Regulations, 2018.</w:t>
            </w:r>
          </w:p>
        </w:tc>
        <w:tc>
          <w:tcPr>
            <w:tcW w:w="1102" w:type="pct"/>
            <w:tcBorders>
              <w:top w:val="single" w:sz="4" w:space="0" w:color="auto"/>
              <w:left w:val="single" w:sz="4" w:space="0" w:color="auto"/>
              <w:bottom w:val="single" w:sz="4" w:space="0" w:color="auto"/>
              <w:right w:val="single" w:sz="4" w:space="0" w:color="auto"/>
            </w:tcBorders>
          </w:tcPr>
          <w:p w14:paraId="2AEA9498" w14:textId="77777777" w:rsidR="004047F2" w:rsidRPr="00712F3C" w:rsidRDefault="004047F2" w:rsidP="00250DAC">
            <w:pPr>
              <w:spacing w:after="0" w:line="240" w:lineRule="auto"/>
              <w:ind w:left="50" w:right="42"/>
              <w:contextualSpacing/>
              <w:jc w:val="both"/>
              <w:rPr>
                <w:rFonts w:ascii="Times New Roman" w:eastAsia="PMingLiU" w:hAnsi="Times New Roman"/>
                <w:sz w:val="20"/>
                <w:szCs w:val="20"/>
                <w:lang w:bidi="en-US"/>
              </w:rPr>
            </w:pPr>
            <w:r w:rsidRPr="00712F3C">
              <w:rPr>
                <w:rFonts w:ascii="Times New Roman" w:hAnsi="Times New Roman"/>
                <w:sz w:val="20"/>
                <w:szCs w:val="20"/>
              </w:rPr>
              <w:t>[●]</w:t>
            </w:r>
            <w:r w:rsidRPr="00712F3C">
              <w:rPr>
                <w:rFonts w:ascii="Times New Roman" w:eastAsia="PMingLiU" w:hAnsi="Times New Roman"/>
                <w:sz w:val="20"/>
                <w:szCs w:val="20"/>
                <w:lang w:bidi="en-US"/>
              </w:rPr>
              <w:t xml:space="preserve"> Equity Shares and in multiples thereof</w:t>
            </w:r>
          </w:p>
        </w:tc>
        <w:tc>
          <w:tcPr>
            <w:tcW w:w="1100" w:type="pct"/>
            <w:tcBorders>
              <w:top w:val="single" w:sz="4" w:space="0" w:color="auto"/>
              <w:left w:val="single" w:sz="4" w:space="0" w:color="auto"/>
              <w:bottom w:val="single" w:sz="4" w:space="0" w:color="auto"/>
              <w:right w:val="single" w:sz="4" w:space="0" w:color="auto"/>
            </w:tcBorders>
          </w:tcPr>
          <w:p w14:paraId="04535BC5" w14:textId="77777777" w:rsidR="004047F2" w:rsidRPr="00712F3C" w:rsidRDefault="004047F2" w:rsidP="00250DAC">
            <w:pPr>
              <w:spacing w:after="0" w:line="240" w:lineRule="auto"/>
              <w:ind w:left="50" w:right="42"/>
              <w:contextualSpacing/>
              <w:jc w:val="both"/>
              <w:rPr>
                <w:rFonts w:ascii="Times New Roman" w:eastAsia="PMingLiU" w:hAnsi="Times New Roman"/>
                <w:sz w:val="20"/>
                <w:szCs w:val="20"/>
                <w:lang w:bidi="en-US"/>
              </w:rPr>
            </w:pPr>
            <w:r w:rsidRPr="00712F3C">
              <w:rPr>
                <w:rFonts w:ascii="Times New Roman" w:hAnsi="Times New Roman"/>
                <w:sz w:val="20"/>
                <w:szCs w:val="20"/>
              </w:rPr>
              <w:t>[●]</w:t>
            </w:r>
            <w:r w:rsidRPr="00712F3C">
              <w:rPr>
                <w:rFonts w:ascii="Times New Roman" w:eastAsia="PMingLiU" w:hAnsi="Times New Roman"/>
                <w:sz w:val="20"/>
                <w:szCs w:val="20"/>
                <w:lang w:bidi="en-US"/>
              </w:rPr>
              <w:t xml:space="preserve"> Equity Shares and in multiples thereof</w:t>
            </w:r>
          </w:p>
        </w:tc>
        <w:tc>
          <w:tcPr>
            <w:tcW w:w="1101" w:type="pct"/>
            <w:tcBorders>
              <w:top w:val="single" w:sz="4" w:space="0" w:color="auto"/>
              <w:left w:val="single" w:sz="4" w:space="0" w:color="auto"/>
              <w:bottom w:val="single" w:sz="4" w:space="0" w:color="auto"/>
              <w:right w:val="single" w:sz="4" w:space="0" w:color="auto"/>
            </w:tcBorders>
          </w:tcPr>
          <w:p w14:paraId="0CF45229" w14:textId="77777777" w:rsidR="004047F2" w:rsidRPr="00712F3C" w:rsidRDefault="004047F2" w:rsidP="00250DAC">
            <w:pPr>
              <w:spacing w:after="0" w:line="240" w:lineRule="auto"/>
              <w:ind w:left="50" w:right="42"/>
              <w:contextualSpacing/>
              <w:jc w:val="both"/>
              <w:rPr>
                <w:rFonts w:ascii="Times New Roman" w:eastAsia="PMingLiU" w:hAnsi="Times New Roman"/>
                <w:sz w:val="20"/>
                <w:szCs w:val="20"/>
                <w:lang w:bidi="en-US"/>
              </w:rPr>
            </w:pPr>
            <w:r w:rsidRPr="00712F3C">
              <w:rPr>
                <w:rFonts w:ascii="Times New Roman" w:hAnsi="Times New Roman"/>
                <w:sz w:val="20"/>
                <w:szCs w:val="20"/>
              </w:rPr>
              <w:t>[●]</w:t>
            </w:r>
            <w:r w:rsidRPr="00712F3C">
              <w:rPr>
                <w:rFonts w:ascii="Times New Roman" w:eastAsia="PMingLiU" w:hAnsi="Times New Roman"/>
                <w:sz w:val="20"/>
                <w:szCs w:val="20"/>
                <w:lang w:bidi="en-US"/>
              </w:rPr>
              <w:t xml:space="preserve"> Equity Shares and in multiples thereof</w:t>
            </w:r>
          </w:p>
        </w:tc>
      </w:tr>
      <w:tr w:rsidR="004047F2" w:rsidRPr="00712F3C" w14:paraId="0A711F92" w14:textId="77777777" w:rsidTr="00250DAC">
        <w:tc>
          <w:tcPr>
            <w:tcW w:w="858" w:type="pct"/>
            <w:tcBorders>
              <w:top w:val="single" w:sz="4" w:space="0" w:color="auto"/>
              <w:left w:val="single" w:sz="4" w:space="0" w:color="auto"/>
              <w:bottom w:val="single" w:sz="4" w:space="0" w:color="auto"/>
              <w:right w:val="single" w:sz="4" w:space="0" w:color="auto"/>
            </w:tcBorders>
            <w:shd w:val="clear" w:color="auto" w:fill="FFFFFF"/>
            <w:hideMark/>
          </w:tcPr>
          <w:p w14:paraId="792813BF" w14:textId="77777777" w:rsidR="004047F2" w:rsidRPr="00712F3C" w:rsidRDefault="004047F2" w:rsidP="00250DAC">
            <w:pPr>
              <w:spacing w:after="0" w:line="240" w:lineRule="auto"/>
              <w:ind w:left="50" w:right="42"/>
              <w:contextualSpacing/>
              <w:jc w:val="both"/>
              <w:rPr>
                <w:rFonts w:ascii="Times New Roman" w:eastAsia="PMingLiU" w:hAnsi="Times New Roman"/>
                <w:b/>
                <w:sz w:val="20"/>
                <w:szCs w:val="20"/>
                <w:lang w:bidi="en-US"/>
              </w:rPr>
            </w:pPr>
            <w:r w:rsidRPr="00712F3C">
              <w:rPr>
                <w:rFonts w:ascii="Times New Roman" w:eastAsia="PMingLiU" w:hAnsi="Times New Roman"/>
                <w:b/>
                <w:sz w:val="20"/>
                <w:szCs w:val="20"/>
                <w:lang w:bidi="en-US"/>
              </w:rPr>
              <w:t>Terms of Payment</w:t>
            </w:r>
          </w:p>
        </w:tc>
        <w:tc>
          <w:tcPr>
            <w:tcW w:w="4142" w:type="pct"/>
            <w:gridSpan w:val="4"/>
            <w:tcBorders>
              <w:top w:val="single" w:sz="4" w:space="0" w:color="auto"/>
              <w:left w:val="single" w:sz="4" w:space="0" w:color="auto"/>
              <w:bottom w:val="single" w:sz="4" w:space="0" w:color="auto"/>
              <w:right w:val="single" w:sz="4" w:space="0" w:color="auto"/>
            </w:tcBorders>
            <w:hideMark/>
          </w:tcPr>
          <w:p w14:paraId="118A8731" w14:textId="77777777" w:rsidR="004047F2" w:rsidRPr="00712F3C" w:rsidRDefault="004047F2" w:rsidP="00250DAC">
            <w:pPr>
              <w:autoSpaceDE w:val="0"/>
              <w:autoSpaceDN w:val="0"/>
              <w:adjustRightInd w:val="0"/>
              <w:spacing w:after="0" w:line="240" w:lineRule="auto"/>
              <w:contextualSpacing/>
              <w:jc w:val="both"/>
              <w:rPr>
                <w:rFonts w:ascii="Times New Roman" w:eastAsia="PMingLiU" w:hAnsi="Times New Roman"/>
                <w:sz w:val="20"/>
                <w:szCs w:val="20"/>
                <w:lang w:bidi="en-US"/>
              </w:rPr>
            </w:pPr>
            <w:r w:rsidRPr="00712F3C">
              <w:rPr>
                <w:rFonts w:ascii="Times New Roman" w:eastAsia="PMingLiU" w:hAnsi="Times New Roman"/>
                <w:sz w:val="20"/>
                <w:szCs w:val="20"/>
                <w:lang w:bidi="en-US"/>
              </w:rPr>
              <w:t>Full Bid Amount shall be blocked by the SCSBs in the bank account of the ASBA Bidder (other than Anchor Investors) or by the Sponsor Bank through the UPI Mechanism, that is specified in the ASBA Form at the time of submission of the ASBA Form. In case of Anchor Investors: Full Bid Amount shall be payable by the Anchor Investors at the time of submission of their Bids</w:t>
            </w:r>
            <w:r w:rsidRPr="00712F3C">
              <w:rPr>
                <w:rFonts w:ascii="Times New Roman" w:eastAsia="PMingLiU" w:hAnsi="Times New Roman"/>
                <w:sz w:val="20"/>
                <w:szCs w:val="20"/>
                <w:vertAlign w:val="superscript"/>
                <w:lang w:bidi="en-US"/>
              </w:rPr>
              <w:t>(4)</w:t>
            </w:r>
          </w:p>
        </w:tc>
      </w:tr>
      <w:tr w:rsidR="004047F2" w:rsidRPr="00712F3C" w14:paraId="79346C6F" w14:textId="77777777" w:rsidTr="00250DAC">
        <w:tc>
          <w:tcPr>
            <w:tcW w:w="858" w:type="pct"/>
            <w:tcBorders>
              <w:top w:val="single" w:sz="4" w:space="0" w:color="auto"/>
              <w:left w:val="single" w:sz="4" w:space="0" w:color="auto"/>
              <w:bottom w:val="single" w:sz="4" w:space="0" w:color="auto"/>
              <w:right w:val="single" w:sz="4" w:space="0" w:color="auto"/>
            </w:tcBorders>
            <w:shd w:val="clear" w:color="auto" w:fill="FFFFFF"/>
          </w:tcPr>
          <w:p w14:paraId="30D4E36E" w14:textId="77777777" w:rsidR="004047F2" w:rsidRPr="00712F3C" w:rsidRDefault="004047F2" w:rsidP="00250DAC">
            <w:pPr>
              <w:spacing w:after="0" w:line="240" w:lineRule="auto"/>
              <w:ind w:left="50" w:right="42"/>
              <w:contextualSpacing/>
              <w:jc w:val="both"/>
              <w:rPr>
                <w:rFonts w:ascii="Times New Roman" w:eastAsia="PMingLiU" w:hAnsi="Times New Roman"/>
                <w:b/>
                <w:sz w:val="20"/>
                <w:szCs w:val="20"/>
                <w:lang w:bidi="en-US"/>
              </w:rPr>
            </w:pPr>
            <w:r w:rsidRPr="00712F3C">
              <w:rPr>
                <w:rFonts w:ascii="Times New Roman" w:eastAsia="PMingLiU" w:hAnsi="Times New Roman"/>
                <w:b/>
                <w:sz w:val="20"/>
                <w:szCs w:val="20"/>
                <w:lang w:bidi="en-US"/>
              </w:rPr>
              <w:t>Mode of Bid</w:t>
            </w:r>
          </w:p>
        </w:tc>
        <w:tc>
          <w:tcPr>
            <w:tcW w:w="839" w:type="pct"/>
            <w:tcBorders>
              <w:top w:val="single" w:sz="4" w:space="0" w:color="auto"/>
              <w:left w:val="single" w:sz="4" w:space="0" w:color="auto"/>
              <w:bottom w:val="single" w:sz="4" w:space="0" w:color="auto"/>
              <w:right w:val="single" w:sz="4" w:space="0" w:color="auto"/>
            </w:tcBorders>
          </w:tcPr>
          <w:p w14:paraId="7225C00F" w14:textId="77777777" w:rsidR="004047F2" w:rsidRPr="00712F3C" w:rsidRDefault="004047F2" w:rsidP="00250DAC">
            <w:pPr>
              <w:autoSpaceDE w:val="0"/>
              <w:autoSpaceDN w:val="0"/>
              <w:adjustRightInd w:val="0"/>
              <w:spacing w:after="0" w:line="240" w:lineRule="auto"/>
              <w:contextualSpacing/>
              <w:jc w:val="both"/>
              <w:rPr>
                <w:rFonts w:ascii="Times New Roman" w:eastAsia="PMingLiU" w:hAnsi="Times New Roman"/>
                <w:sz w:val="20"/>
                <w:szCs w:val="20"/>
                <w:lang w:bidi="en-US"/>
              </w:rPr>
            </w:pPr>
            <w:r w:rsidRPr="00712F3C">
              <w:rPr>
                <w:rFonts w:ascii="Times New Roman" w:eastAsia="PMingLiU" w:hAnsi="Times New Roman"/>
                <w:sz w:val="20"/>
                <w:szCs w:val="20"/>
                <w:lang w:bidi="en-US"/>
              </w:rPr>
              <w:t>Only through the ASBA process.</w:t>
            </w:r>
          </w:p>
        </w:tc>
        <w:tc>
          <w:tcPr>
            <w:tcW w:w="1102" w:type="pct"/>
            <w:tcBorders>
              <w:top w:val="single" w:sz="4" w:space="0" w:color="auto"/>
              <w:left w:val="single" w:sz="4" w:space="0" w:color="auto"/>
              <w:bottom w:val="single" w:sz="4" w:space="0" w:color="auto"/>
              <w:right w:val="single" w:sz="4" w:space="0" w:color="auto"/>
            </w:tcBorders>
          </w:tcPr>
          <w:p w14:paraId="2D45FC22" w14:textId="77777777" w:rsidR="004047F2" w:rsidRPr="00712F3C" w:rsidRDefault="004047F2" w:rsidP="00250DAC">
            <w:pPr>
              <w:autoSpaceDE w:val="0"/>
              <w:autoSpaceDN w:val="0"/>
              <w:adjustRightInd w:val="0"/>
              <w:spacing w:after="0" w:line="240" w:lineRule="auto"/>
              <w:contextualSpacing/>
              <w:jc w:val="both"/>
              <w:rPr>
                <w:rFonts w:ascii="Times New Roman" w:eastAsia="PMingLiU" w:hAnsi="Times New Roman"/>
                <w:sz w:val="20"/>
                <w:szCs w:val="20"/>
                <w:lang w:bidi="en-US"/>
              </w:rPr>
            </w:pPr>
            <w:r w:rsidRPr="00712F3C">
              <w:rPr>
                <w:rFonts w:ascii="Times New Roman" w:eastAsia="PMingLiU" w:hAnsi="Times New Roman"/>
                <w:sz w:val="20"/>
                <w:szCs w:val="20"/>
                <w:lang w:bidi="en-US"/>
              </w:rPr>
              <w:t>Only through the ASBA process. (Except for Anchor investors)</w:t>
            </w:r>
          </w:p>
        </w:tc>
        <w:tc>
          <w:tcPr>
            <w:tcW w:w="1100" w:type="pct"/>
            <w:tcBorders>
              <w:top w:val="single" w:sz="4" w:space="0" w:color="auto"/>
              <w:left w:val="single" w:sz="4" w:space="0" w:color="auto"/>
              <w:bottom w:val="single" w:sz="4" w:space="0" w:color="auto"/>
              <w:right w:val="single" w:sz="4" w:space="0" w:color="auto"/>
            </w:tcBorders>
          </w:tcPr>
          <w:p w14:paraId="70E6616A" w14:textId="77777777" w:rsidR="004047F2" w:rsidRPr="00712F3C" w:rsidRDefault="004047F2" w:rsidP="00250DAC">
            <w:pPr>
              <w:autoSpaceDE w:val="0"/>
              <w:autoSpaceDN w:val="0"/>
              <w:adjustRightInd w:val="0"/>
              <w:spacing w:after="0" w:line="240" w:lineRule="auto"/>
              <w:contextualSpacing/>
              <w:jc w:val="both"/>
              <w:rPr>
                <w:rFonts w:ascii="Times New Roman" w:eastAsia="PMingLiU" w:hAnsi="Times New Roman"/>
                <w:sz w:val="20"/>
                <w:szCs w:val="20"/>
                <w:lang w:bidi="en-US"/>
              </w:rPr>
            </w:pPr>
            <w:r w:rsidRPr="00712F3C">
              <w:rPr>
                <w:rFonts w:ascii="Times New Roman" w:eastAsia="PMingLiU" w:hAnsi="Times New Roman"/>
                <w:sz w:val="20"/>
                <w:szCs w:val="20"/>
                <w:lang w:bidi="en-US"/>
              </w:rPr>
              <w:t>Only through the ASBA process</w:t>
            </w:r>
          </w:p>
        </w:tc>
        <w:tc>
          <w:tcPr>
            <w:tcW w:w="1101" w:type="pct"/>
            <w:tcBorders>
              <w:top w:val="single" w:sz="4" w:space="0" w:color="auto"/>
              <w:left w:val="single" w:sz="4" w:space="0" w:color="auto"/>
              <w:bottom w:val="single" w:sz="4" w:space="0" w:color="auto"/>
              <w:right w:val="single" w:sz="4" w:space="0" w:color="auto"/>
            </w:tcBorders>
          </w:tcPr>
          <w:p w14:paraId="51342122" w14:textId="77777777" w:rsidR="004047F2" w:rsidRPr="00712F3C" w:rsidRDefault="004047F2" w:rsidP="00250DAC">
            <w:pPr>
              <w:autoSpaceDE w:val="0"/>
              <w:autoSpaceDN w:val="0"/>
              <w:adjustRightInd w:val="0"/>
              <w:spacing w:after="0" w:line="240" w:lineRule="auto"/>
              <w:contextualSpacing/>
              <w:jc w:val="both"/>
              <w:rPr>
                <w:rFonts w:ascii="Times New Roman" w:eastAsia="PMingLiU" w:hAnsi="Times New Roman"/>
                <w:sz w:val="20"/>
                <w:szCs w:val="20"/>
                <w:lang w:bidi="en-US"/>
              </w:rPr>
            </w:pPr>
            <w:r w:rsidRPr="00712F3C">
              <w:rPr>
                <w:rFonts w:ascii="Times New Roman" w:eastAsia="PMingLiU" w:hAnsi="Times New Roman"/>
                <w:sz w:val="20"/>
                <w:szCs w:val="20"/>
                <w:lang w:bidi="en-US"/>
              </w:rPr>
              <w:t>Through ASBA Process</w:t>
            </w:r>
          </w:p>
          <w:p w14:paraId="57E7F87B" w14:textId="77777777" w:rsidR="004047F2" w:rsidRPr="00712F3C" w:rsidRDefault="004047F2" w:rsidP="00250DAC">
            <w:pPr>
              <w:autoSpaceDE w:val="0"/>
              <w:autoSpaceDN w:val="0"/>
              <w:adjustRightInd w:val="0"/>
              <w:spacing w:after="0" w:line="240" w:lineRule="auto"/>
              <w:contextualSpacing/>
              <w:jc w:val="both"/>
              <w:rPr>
                <w:rFonts w:ascii="Times New Roman" w:eastAsia="PMingLiU" w:hAnsi="Times New Roman"/>
                <w:sz w:val="20"/>
                <w:szCs w:val="20"/>
                <w:lang w:bidi="en-US"/>
              </w:rPr>
            </w:pPr>
            <w:r w:rsidRPr="00712F3C">
              <w:rPr>
                <w:rFonts w:ascii="Times New Roman" w:eastAsia="PMingLiU" w:hAnsi="Times New Roman"/>
                <w:sz w:val="20"/>
                <w:szCs w:val="20"/>
                <w:lang w:bidi="en-US"/>
              </w:rPr>
              <w:t>via Banks or by using UPI ID for payment</w:t>
            </w:r>
          </w:p>
        </w:tc>
      </w:tr>
    </w:tbl>
    <w:p w14:paraId="6B30D1C9" w14:textId="77777777" w:rsidR="004047F2" w:rsidRPr="00712F3C" w:rsidRDefault="004047F2" w:rsidP="004047F2">
      <w:pPr>
        <w:spacing w:after="0" w:line="240" w:lineRule="auto"/>
        <w:jc w:val="both"/>
        <w:rPr>
          <w:rFonts w:ascii="Times New Roman" w:eastAsia="Calibri" w:hAnsi="Times New Roman"/>
          <w:sz w:val="20"/>
          <w:szCs w:val="20"/>
        </w:rPr>
      </w:pPr>
    </w:p>
    <w:p w14:paraId="4AED08C6" w14:textId="77777777" w:rsidR="004047F2" w:rsidRPr="00712F3C" w:rsidRDefault="004047F2" w:rsidP="004047F2">
      <w:pPr>
        <w:spacing w:after="0" w:line="240" w:lineRule="auto"/>
        <w:jc w:val="both"/>
        <w:rPr>
          <w:rFonts w:ascii="Times New Roman" w:eastAsia="Calibri" w:hAnsi="Times New Roman"/>
          <w:sz w:val="20"/>
          <w:szCs w:val="20"/>
          <w:lang w:bidi="en-US"/>
        </w:rPr>
      </w:pPr>
    </w:p>
    <w:p w14:paraId="02767E68" w14:textId="77777777" w:rsidR="004047F2" w:rsidRPr="00712F3C" w:rsidRDefault="004047F2" w:rsidP="004047F2">
      <w:pPr>
        <w:spacing w:after="0" w:line="240" w:lineRule="auto"/>
        <w:contextualSpacing/>
        <w:jc w:val="both"/>
        <w:rPr>
          <w:rFonts w:ascii="Times New Roman" w:hAnsi="Times New Roman"/>
          <w:i/>
          <w:sz w:val="20"/>
          <w:szCs w:val="20"/>
          <w:lang w:bidi="en-US"/>
        </w:rPr>
      </w:pPr>
      <w:r w:rsidRPr="00712F3C">
        <w:rPr>
          <w:rFonts w:ascii="Times New Roman" w:hAnsi="Times New Roman"/>
          <w:i/>
          <w:sz w:val="20"/>
          <w:szCs w:val="20"/>
          <w:lang w:bidi="en-US"/>
        </w:rPr>
        <w:t>This Issue is being made in terms of Chapter IX of the SEBI (ICDR) Regulations, 2018, as amended from time to time.</w:t>
      </w:r>
    </w:p>
    <w:p w14:paraId="16DC1388" w14:textId="77777777" w:rsidR="004047F2" w:rsidRPr="00712F3C" w:rsidRDefault="004047F2" w:rsidP="004047F2">
      <w:pPr>
        <w:spacing w:after="0" w:line="240" w:lineRule="auto"/>
        <w:contextualSpacing/>
        <w:jc w:val="both"/>
        <w:rPr>
          <w:rFonts w:ascii="Times New Roman" w:hAnsi="Times New Roman"/>
          <w:i/>
          <w:sz w:val="20"/>
          <w:szCs w:val="20"/>
        </w:rPr>
      </w:pPr>
    </w:p>
    <w:p w14:paraId="13E60148" w14:textId="77777777" w:rsidR="004047F2" w:rsidRPr="00712F3C" w:rsidRDefault="004047F2">
      <w:pPr>
        <w:pStyle w:val="ListParagraph"/>
        <w:numPr>
          <w:ilvl w:val="2"/>
          <w:numId w:val="288"/>
        </w:numPr>
        <w:spacing w:line="240" w:lineRule="auto"/>
        <w:ind w:left="284" w:hanging="284"/>
        <w:contextualSpacing/>
        <w:jc w:val="both"/>
        <w:rPr>
          <w:i/>
          <w:sz w:val="20"/>
          <w:szCs w:val="20"/>
          <w:lang w:bidi="en-US"/>
        </w:rPr>
      </w:pPr>
      <w:r w:rsidRPr="00712F3C">
        <w:rPr>
          <w:i/>
          <w:sz w:val="20"/>
          <w:szCs w:val="20"/>
          <w:lang w:bidi="en-US"/>
        </w:rPr>
        <w:t>Our Company may, in consultation with the Book Running Lead Managers, allocate up to 60% of the QIB Portion to Anchor Investors on a discretionary basis in accordance with the SEBI ICDR Regulations. One-third of the Anchor Investor Portion shall be reserved for domestic Mutual Funds, subject to valid Bids being received from domestic Mutual Funds at or above the price Anchor Investor Allocation Price.</w:t>
      </w:r>
    </w:p>
    <w:p w14:paraId="79CBEC76" w14:textId="77777777" w:rsidR="004047F2" w:rsidRPr="00712F3C" w:rsidRDefault="004047F2">
      <w:pPr>
        <w:pStyle w:val="ListParagraph"/>
        <w:numPr>
          <w:ilvl w:val="2"/>
          <w:numId w:val="288"/>
        </w:numPr>
        <w:spacing w:line="240" w:lineRule="auto"/>
        <w:ind w:left="284" w:hanging="284"/>
        <w:contextualSpacing/>
        <w:jc w:val="both"/>
        <w:rPr>
          <w:i/>
          <w:sz w:val="20"/>
          <w:szCs w:val="20"/>
          <w:lang w:bidi="en-US"/>
        </w:rPr>
      </w:pPr>
      <w:r w:rsidRPr="00712F3C">
        <w:rPr>
          <w:i/>
          <w:sz w:val="20"/>
          <w:szCs w:val="20"/>
          <w:lang w:bidi="en-US"/>
        </w:rPr>
        <w:t>In terms of Rule 19(2) of the SCRR read with Regulation 252 of the SEBI (ICDR) Regulations, 2018 this is an Issue for at least 25% of the post issue paid-up Equity share capital of the Company. This Issue is being made through Book Building Process, wherein allocation to the public shall be as per Regulation 252 of the SEBI (ICDR) Regulations.</w:t>
      </w:r>
    </w:p>
    <w:p w14:paraId="1F3B6BBF" w14:textId="77777777" w:rsidR="004047F2" w:rsidRPr="00712F3C" w:rsidRDefault="004047F2">
      <w:pPr>
        <w:pStyle w:val="ListParagraph"/>
        <w:numPr>
          <w:ilvl w:val="2"/>
          <w:numId w:val="288"/>
        </w:numPr>
        <w:spacing w:line="240" w:lineRule="auto"/>
        <w:ind w:left="284" w:hanging="284"/>
        <w:contextualSpacing/>
        <w:jc w:val="both"/>
        <w:rPr>
          <w:i/>
          <w:sz w:val="20"/>
          <w:szCs w:val="20"/>
          <w:lang w:bidi="en-US"/>
        </w:rPr>
      </w:pPr>
      <w:r w:rsidRPr="00712F3C">
        <w:rPr>
          <w:i/>
          <w:sz w:val="20"/>
          <w:szCs w:val="20"/>
          <w:lang w:bidi="en-US"/>
        </w:rPr>
        <w:t xml:space="preserve">Subject to valid Bids being received at or above the Issue Price, undersubscription, if any, in any category, except in the QIB Portion, would be allowed to be met with spill-over from any other category or combination of categories of Bidders at the discretion of our Company in consultation with the Book Running Lead Managers and the Designated Stock Exchange, subject to applicable laws. </w:t>
      </w:r>
    </w:p>
    <w:p w14:paraId="45A1420C" w14:textId="77777777" w:rsidR="004047F2" w:rsidRPr="00712F3C" w:rsidRDefault="004047F2">
      <w:pPr>
        <w:pStyle w:val="ListParagraph"/>
        <w:numPr>
          <w:ilvl w:val="2"/>
          <w:numId w:val="288"/>
        </w:numPr>
        <w:spacing w:line="240" w:lineRule="auto"/>
        <w:ind w:left="284" w:hanging="284"/>
        <w:contextualSpacing/>
        <w:jc w:val="both"/>
        <w:rPr>
          <w:i/>
          <w:sz w:val="20"/>
          <w:szCs w:val="20"/>
          <w:lang w:bidi="en-US"/>
        </w:rPr>
      </w:pPr>
      <w:r w:rsidRPr="00712F3C">
        <w:rPr>
          <w:i/>
          <w:sz w:val="20"/>
          <w:szCs w:val="20"/>
          <w:lang w:bidi="en-US"/>
        </w:rPr>
        <w:t xml:space="preserve">Full Bid Amount shall be payable by the Anchor Investors at the time of submission of the Anchor Investor </w:t>
      </w:r>
      <w:r w:rsidRPr="00712F3C">
        <w:rPr>
          <w:i/>
          <w:sz w:val="20"/>
          <w:szCs w:val="20"/>
          <w:lang w:val="en-IN" w:bidi="en-US"/>
        </w:rPr>
        <w:t xml:space="preserve">Bid-cum- </w:t>
      </w:r>
      <w:r w:rsidRPr="00712F3C">
        <w:rPr>
          <w:i/>
          <w:sz w:val="20"/>
          <w:szCs w:val="20"/>
          <w:lang w:bidi="en-US"/>
        </w:rPr>
        <w:t xml:space="preserve">Application Forms provided that any difference between the Anchor Investor Allocation Price and the Anchor Investor </w:t>
      </w:r>
      <w:r w:rsidRPr="00712F3C">
        <w:rPr>
          <w:i/>
          <w:sz w:val="20"/>
          <w:szCs w:val="20"/>
          <w:lang w:val="en-GB" w:bidi="en-US"/>
        </w:rPr>
        <w:t>Issue</w:t>
      </w:r>
      <w:r w:rsidRPr="00712F3C">
        <w:rPr>
          <w:i/>
          <w:sz w:val="20"/>
          <w:szCs w:val="20"/>
          <w:lang w:bidi="en-US"/>
        </w:rPr>
        <w:t xml:space="preserve"> Price shall be payable by the Anchor Investor Pay-In Date as indicated in the CAN.</w:t>
      </w:r>
    </w:p>
    <w:p w14:paraId="566FA106" w14:textId="77777777" w:rsidR="004047F2" w:rsidRPr="00712F3C" w:rsidRDefault="004047F2" w:rsidP="004047F2">
      <w:pPr>
        <w:spacing w:after="0" w:line="240" w:lineRule="auto"/>
        <w:contextualSpacing/>
        <w:jc w:val="both"/>
        <w:rPr>
          <w:rFonts w:ascii="Times New Roman" w:hAnsi="Times New Roman"/>
          <w:sz w:val="20"/>
          <w:szCs w:val="20"/>
          <w:lang w:bidi="en-US"/>
        </w:rPr>
      </w:pPr>
    </w:p>
    <w:p w14:paraId="138134C8" w14:textId="77777777" w:rsidR="004047F2" w:rsidRPr="00712F3C" w:rsidRDefault="004047F2" w:rsidP="004047F2">
      <w:pPr>
        <w:spacing w:after="0" w:line="240" w:lineRule="auto"/>
        <w:contextualSpacing/>
        <w:jc w:val="both"/>
        <w:rPr>
          <w:rFonts w:ascii="Times New Roman" w:hAnsi="Times New Roman"/>
          <w:sz w:val="20"/>
          <w:szCs w:val="20"/>
          <w:lang w:bidi="en-US"/>
        </w:rPr>
      </w:pPr>
      <w:r w:rsidRPr="00712F3C">
        <w:rPr>
          <w:rFonts w:ascii="Times New Roman" w:hAnsi="Times New Roman"/>
          <w:sz w:val="20"/>
          <w:szCs w:val="20"/>
          <w:lang w:bidi="en-US"/>
        </w:rPr>
        <w:lastRenderedPageBreak/>
        <w:t xml:space="preserve">The Bids by FPIs with certain structures as described under </w:t>
      </w:r>
      <w:r w:rsidRPr="00712F3C">
        <w:rPr>
          <w:rFonts w:ascii="Times New Roman" w:hAnsi="Times New Roman"/>
          <w:b/>
          <w:bCs/>
          <w:i/>
          <w:iCs/>
          <w:sz w:val="20"/>
          <w:szCs w:val="20"/>
          <w:lang w:bidi="en-US"/>
        </w:rPr>
        <w:t xml:space="preserve">“Issue Procedure - Bids by FPIs” </w:t>
      </w:r>
      <w:r w:rsidRPr="00712F3C">
        <w:rPr>
          <w:rFonts w:ascii="Times New Roman" w:hAnsi="Times New Roman"/>
          <w:bCs/>
          <w:iCs/>
          <w:sz w:val="20"/>
          <w:szCs w:val="20"/>
          <w:lang w:bidi="en-US"/>
        </w:rPr>
        <w:t xml:space="preserve">on pages </w:t>
      </w:r>
      <w:r>
        <w:rPr>
          <w:rFonts w:ascii="Times New Roman" w:hAnsi="Times New Roman"/>
          <w:bCs/>
          <w:iCs/>
          <w:sz w:val="20"/>
          <w:szCs w:val="20"/>
          <w:lang w:bidi="en-US"/>
        </w:rPr>
        <w:t>225</w:t>
      </w:r>
      <w:r w:rsidRPr="00712F3C">
        <w:rPr>
          <w:rFonts w:ascii="Times New Roman" w:hAnsi="Times New Roman"/>
          <w:b/>
          <w:bCs/>
          <w:i/>
          <w:iCs/>
          <w:sz w:val="20"/>
          <w:szCs w:val="20"/>
          <w:lang w:bidi="en-US"/>
        </w:rPr>
        <w:t xml:space="preserve"> </w:t>
      </w:r>
      <w:r w:rsidRPr="00712F3C">
        <w:rPr>
          <w:rFonts w:ascii="Times New Roman" w:hAnsi="Times New Roman"/>
          <w:bCs/>
          <w:iCs/>
          <w:sz w:val="20"/>
          <w:szCs w:val="20"/>
          <w:lang w:bidi="en-US"/>
        </w:rPr>
        <w:t xml:space="preserve">and </w:t>
      </w:r>
      <w:r w:rsidRPr="00712F3C">
        <w:rPr>
          <w:rFonts w:ascii="Times New Roman" w:hAnsi="Times New Roman"/>
          <w:sz w:val="20"/>
          <w:szCs w:val="20"/>
          <w:lang w:bidi="en-US"/>
        </w:rPr>
        <w:t>having same PAN may be collated and identified as a single Bid in the Bidding process. The Equity Shares Allocated and Allotted to such successful Bidders (with same PAN) may be proportionately distributed.</w:t>
      </w:r>
    </w:p>
    <w:p w14:paraId="5ED288B6" w14:textId="77777777" w:rsidR="004047F2" w:rsidRPr="00E079C3" w:rsidRDefault="004047F2" w:rsidP="004047F2">
      <w:pPr>
        <w:spacing w:after="0" w:line="240" w:lineRule="auto"/>
        <w:contextualSpacing/>
        <w:jc w:val="both"/>
        <w:rPr>
          <w:rFonts w:ascii="Times New Roman" w:hAnsi="Times New Roman"/>
          <w:sz w:val="16"/>
          <w:szCs w:val="20"/>
          <w:lang w:bidi="en-US"/>
        </w:rPr>
      </w:pPr>
    </w:p>
    <w:p w14:paraId="4DD3A6D3" w14:textId="77777777" w:rsidR="004047F2" w:rsidRPr="00712F3C" w:rsidRDefault="004047F2" w:rsidP="004047F2">
      <w:pPr>
        <w:spacing w:after="0" w:line="240" w:lineRule="auto"/>
        <w:contextualSpacing/>
        <w:jc w:val="both"/>
        <w:rPr>
          <w:rFonts w:ascii="Times New Roman" w:hAnsi="Times New Roman"/>
          <w:sz w:val="20"/>
          <w:szCs w:val="20"/>
          <w:lang w:bidi="en-US"/>
        </w:rPr>
      </w:pPr>
      <w:r w:rsidRPr="00712F3C">
        <w:rPr>
          <w:rFonts w:ascii="Times New Roman" w:hAnsi="Times New Roman"/>
          <w:sz w:val="20"/>
          <w:szCs w:val="20"/>
          <w:lang w:bidi="en-US"/>
        </w:rPr>
        <w:t>If the Bid is submitted in joint names, the Bid cum Application Form should contain only the name of the first Bidder whose name should also appear as the first holder of the depository account held in joint names. The signature of only the first Bidder would be required in the Bid cum Application Form and such first Bidder would be deemed to have signed on behalf of the joint holders. Bidders will be required to confirm and will be deemed to have represented to our Company, the Underwriters, their respective directors, officers, agents, affiliates and representatives that they are eligible under applicable law, rules, regulations, guidelines and approvals to acquire the Equity Shares.</w:t>
      </w:r>
    </w:p>
    <w:p w14:paraId="4BB3DE65" w14:textId="77777777" w:rsidR="004047F2" w:rsidRPr="00E079C3" w:rsidRDefault="004047F2" w:rsidP="004047F2">
      <w:pPr>
        <w:spacing w:after="0" w:line="240" w:lineRule="auto"/>
        <w:jc w:val="both"/>
        <w:rPr>
          <w:rFonts w:ascii="Times New Roman" w:eastAsia="Calibri" w:hAnsi="Times New Roman"/>
          <w:sz w:val="16"/>
          <w:szCs w:val="20"/>
          <w:lang w:bidi="en-US"/>
        </w:rPr>
      </w:pPr>
    </w:p>
    <w:p w14:paraId="4E679831" w14:textId="77777777" w:rsidR="004047F2" w:rsidRPr="00712F3C" w:rsidRDefault="004047F2" w:rsidP="004047F2">
      <w:pPr>
        <w:spacing w:after="0" w:line="240" w:lineRule="auto"/>
        <w:jc w:val="both"/>
        <w:rPr>
          <w:rFonts w:ascii="Times New Roman" w:eastAsia="PMingLiU" w:hAnsi="Times New Roman"/>
          <w:b/>
          <w:bCs/>
          <w:sz w:val="20"/>
          <w:szCs w:val="20"/>
          <w:lang w:bidi="en-US"/>
        </w:rPr>
      </w:pPr>
      <w:r w:rsidRPr="00712F3C">
        <w:rPr>
          <w:rFonts w:ascii="Times New Roman" w:eastAsia="PMingLiU" w:hAnsi="Times New Roman"/>
          <w:b/>
          <w:bCs/>
          <w:sz w:val="20"/>
          <w:szCs w:val="20"/>
          <w:lang w:bidi="en-US"/>
        </w:rPr>
        <w:t>Withdrawal of the Issue</w:t>
      </w:r>
    </w:p>
    <w:p w14:paraId="77465EEC" w14:textId="77777777" w:rsidR="004047F2" w:rsidRPr="00E079C3" w:rsidRDefault="004047F2" w:rsidP="004047F2">
      <w:pPr>
        <w:spacing w:after="0" w:line="240" w:lineRule="auto"/>
        <w:jc w:val="both"/>
        <w:rPr>
          <w:rFonts w:ascii="Times New Roman" w:eastAsia="PMingLiU" w:hAnsi="Times New Roman"/>
          <w:b/>
          <w:bCs/>
          <w:sz w:val="12"/>
          <w:szCs w:val="20"/>
          <w:lang w:bidi="en-US"/>
        </w:rPr>
      </w:pPr>
    </w:p>
    <w:p w14:paraId="61B47CBE" w14:textId="77777777" w:rsidR="004047F2" w:rsidRPr="00712F3C" w:rsidRDefault="004047F2" w:rsidP="004047F2">
      <w:pPr>
        <w:autoSpaceDE w:val="0"/>
        <w:autoSpaceDN w:val="0"/>
        <w:adjustRightInd w:val="0"/>
        <w:spacing w:after="0" w:line="240" w:lineRule="auto"/>
        <w:jc w:val="both"/>
        <w:rPr>
          <w:rFonts w:ascii="Times New Roman" w:eastAsia="PMingLiU" w:hAnsi="Times New Roman"/>
          <w:sz w:val="20"/>
          <w:szCs w:val="20"/>
        </w:rPr>
      </w:pPr>
      <w:r w:rsidRPr="00712F3C">
        <w:rPr>
          <w:rFonts w:ascii="Times New Roman" w:eastAsia="PMingLiU" w:hAnsi="Times New Roman"/>
          <w:sz w:val="20"/>
          <w:szCs w:val="20"/>
        </w:rPr>
        <w:t xml:space="preserve">In accordance with SEBI (ICDR) Regulations, the Company, in consultation with the </w:t>
      </w:r>
      <w:r w:rsidRPr="00712F3C">
        <w:rPr>
          <w:rFonts w:ascii="Times New Roman" w:eastAsia="Calibri" w:hAnsi="Times New Roman"/>
          <w:bCs/>
          <w:sz w:val="20"/>
          <w:szCs w:val="20"/>
        </w:rPr>
        <w:t xml:space="preserve">Book Running </w:t>
      </w:r>
      <w:r w:rsidRPr="00712F3C">
        <w:rPr>
          <w:rFonts w:ascii="Times New Roman" w:eastAsia="PMingLiU" w:hAnsi="Times New Roman"/>
          <w:sz w:val="20"/>
          <w:szCs w:val="20"/>
        </w:rPr>
        <w:t xml:space="preserve">Lead Manager, reserves the right not to proceed with the Issue at any time before the </w:t>
      </w:r>
      <w:r w:rsidRPr="00712F3C">
        <w:rPr>
          <w:rFonts w:ascii="Times New Roman" w:hAnsi="Times New Roman"/>
          <w:sz w:val="20"/>
          <w:szCs w:val="20"/>
        </w:rPr>
        <w:t>Bid/</w:t>
      </w:r>
      <w:r w:rsidRPr="00712F3C">
        <w:rPr>
          <w:rFonts w:ascii="Times New Roman" w:eastAsia="PMingLiU" w:hAnsi="Times New Roman"/>
          <w:sz w:val="20"/>
          <w:szCs w:val="20"/>
        </w:rPr>
        <w:t xml:space="preserve">Issue Opening Date, without assigning any reason thereof. </w:t>
      </w:r>
    </w:p>
    <w:p w14:paraId="64226C59" w14:textId="77777777" w:rsidR="004047F2" w:rsidRPr="00E079C3" w:rsidRDefault="004047F2" w:rsidP="004047F2">
      <w:pPr>
        <w:autoSpaceDE w:val="0"/>
        <w:autoSpaceDN w:val="0"/>
        <w:adjustRightInd w:val="0"/>
        <w:spacing w:after="0" w:line="240" w:lineRule="auto"/>
        <w:jc w:val="both"/>
        <w:rPr>
          <w:rFonts w:ascii="Times New Roman" w:eastAsia="PMingLiU" w:hAnsi="Times New Roman"/>
          <w:sz w:val="16"/>
          <w:szCs w:val="20"/>
        </w:rPr>
      </w:pPr>
    </w:p>
    <w:p w14:paraId="17A37EAE" w14:textId="77777777" w:rsidR="004047F2" w:rsidRPr="00712F3C" w:rsidRDefault="004047F2" w:rsidP="004047F2">
      <w:pPr>
        <w:autoSpaceDE w:val="0"/>
        <w:autoSpaceDN w:val="0"/>
        <w:adjustRightInd w:val="0"/>
        <w:spacing w:after="0" w:line="240" w:lineRule="auto"/>
        <w:jc w:val="both"/>
        <w:rPr>
          <w:rFonts w:ascii="Times New Roman" w:eastAsia="PMingLiU" w:hAnsi="Times New Roman"/>
          <w:sz w:val="20"/>
          <w:szCs w:val="20"/>
        </w:rPr>
      </w:pPr>
      <w:r w:rsidRPr="00712F3C">
        <w:rPr>
          <w:rFonts w:ascii="Times New Roman" w:eastAsia="PMingLiU" w:hAnsi="Times New Roman"/>
          <w:sz w:val="20"/>
          <w:szCs w:val="20"/>
        </w:rPr>
        <w:t xml:space="preserve">In case, the Company wishes to withdraw the Issue after </w:t>
      </w:r>
      <w:r w:rsidRPr="00712F3C">
        <w:rPr>
          <w:rFonts w:ascii="Times New Roman" w:hAnsi="Times New Roman"/>
          <w:sz w:val="20"/>
          <w:szCs w:val="20"/>
        </w:rPr>
        <w:t>Bid/</w:t>
      </w:r>
      <w:r w:rsidRPr="00712F3C">
        <w:rPr>
          <w:rFonts w:ascii="Times New Roman" w:eastAsia="PMingLiU" w:hAnsi="Times New Roman"/>
          <w:sz w:val="20"/>
          <w:szCs w:val="20"/>
        </w:rPr>
        <w:t>Issue Opening but before allotment, the Company will give public notice giving reasons for withdrawal of Issue. The public notice will appear in two widely circulated national newspapers</w:t>
      </w:r>
      <w:r w:rsidRPr="00712F3C">
        <w:rPr>
          <w:rFonts w:ascii="Times New Roman" w:eastAsia="PMingLiU" w:hAnsi="Times New Roman"/>
          <w:i/>
          <w:sz w:val="20"/>
          <w:szCs w:val="20"/>
        </w:rPr>
        <w:t xml:space="preserve"> (one each in English and Hindi) </w:t>
      </w:r>
      <w:r w:rsidRPr="00712F3C">
        <w:rPr>
          <w:rFonts w:ascii="Times New Roman" w:eastAsia="PMingLiU" w:hAnsi="Times New Roman"/>
          <w:sz w:val="20"/>
          <w:szCs w:val="20"/>
        </w:rPr>
        <w:t xml:space="preserve">and one in regional newspaper. </w:t>
      </w:r>
    </w:p>
    <w:p w14:paraId="763FA5B6" w14:textId="77777777" w:rsidR="004047F2" w:rsidRPr="00E079C3" w:rsidRDefault="004047F2" w:rsidP="004047F2">
      <w:pPr>
        <w:autoSpaceDE w:val="0"/>
        <w:autoSpaceDN w:val="0"/>
        <w:adjustRightInd w:val="0"/>
        <w:spacing w:after="0" w:line="240" w:lineRule="auto"/>
        <w:jc w:val="both"/>
        <w:rPr>
          <w:rFonts w:ascii="Times New Roman" w:eastAsia="PMingLiU" w:hAnsi="Times New Roman"/>
          <w:sz w:val="16"/>
          <w:szCs w:val="20"/>
        </w:rPr>
      </w:pPr>
    </w:p>
    <w:p w14:paraId="02C5226B" w14:textId="77777777" w:rsidR="004047F2" w:rsidRPr="00712F3C" w:rsidRDefault="004047F2" w:rsidP="004047F2">
      <w:pPr>
        <w:autoSpaceDE w:val="0"/>
        <w:autoSpaceDN w:val="0"/>
        <w:adjustRightInd w:val="0"/>
        <w:spacing w:after="0" w:line="240" w:lineRule="auto"/>
        <w:jc w:val="both"/>
        <w:rPr>
          <w:rFonts w:ascii="Times New Roman" w:eastAsia="PMingLiU" w:hAnsi="Times New Roman"/>
          <w:sz w:val="20"/>
          <w:szCs w:val="20"/>
        </w:rPr>
      </w:pPr>
      <w:r w:rsidRPr="00712F3C">
        <w:rPr>
          <w:rFonts w:ascii="Times New Roman" w:eastAsia="PMingLiU" w:hAnsi="Times New Roman"/>
          <w:sz w:val="20"/>
          <w:szCs w:val="20"/>
        </w:rPr>
        <w:t xml:space="preserve">The </w:t>
      </w:r>
      <w:r w:rsidRPr="00712F3C">
        <w:rPr>
          <w:rFonts w:ascii="Times New Roman" w:eastAsia="Calibri" w:hAnsi="Times New Roman"/>
          <w:bCs/>
          <w:sz w:val="20"/>
          <w:szCs w:val="20"/>
        </w:rPr>
        <w:t xml:space="preserve">Book Running </w:t>
      </w:r>
      <w:r w:rsidRPr="00712F3C">
        <w:rPr>
          <w:rFonts w:ascii="Times New Roman" w:eastAsia="PMingLiU" w:hAnsi="Times New Roman"/>
          <w:sz w:val="20"/>
          <w:szCs w:val="20"/>
        </w:rPr>
        <w:t>Lead Manager, through the Registrar to the Issue, will instruct the SCSBs, to unblock the ASBA Accounts within one Working Day from the day of receipt of such instruction. The notice of withdrawal will be issued in the same newspapers where the pre-Issue advertisements have appeared and the Stock Exchange will also be informed promptly.</w:t>
      </w:r>
    </w:p>
    <w:p w14:paraId="5FC61A8B" w14:textId="77777777" w:rsidR="004047F2" w:rsidRPr="00E079C3" w:rsidRDefault="004047F2" w:rsidP="004047F2">
      <w:pPr>
        <w:autoSpaceDE w:val="0"/>
        <w:autoSpaceDN w:val="0"/>
        <w:adjustRightInd w:val="0"/>
        <w:spacing w:after="0" w:line="240" w:lineRule="auto"/>
        <w:jc w:val="both"/>
        <w:rPr>
          <w:rFonts w:ascii="Times New Roman" w:hAnsi="Times New Roman"/>
          <w:sz w:val="16"/>
          <w:szCs w:val="20"/>
        </w:rPr>
      </w:pPr>
    </w:p>
    <w:p w14:paraId="4DF51EC3" w14:textId="77777777" w:rsidR="004047F2" w:rsidRPr="00712F3C" w:rsidRDefault="004047F2" w:rsidP="004047F2">
      <w:pPr>
        <w:autoSpaceDE w:val="0"/>
        <w:autoSpaceDN w:val="0"/>
        <w:adjustRightInd w:val="0"/>
        <w:spacing w:after="0" w:line="240" w:lineRule="auto"/>
        <w:jc w:val="both"/>
        <w:rPr>
          <w:rFonts w:ascii="Times New Roman" w:hAnsi="Times New Roman"/>
          <w:sz w:val="20"/>
          <w:szCs w:val="20"/>
        </w:rPr>
      </w:pPr>
      <w:r w:rsidRPr="00712F3C">
        <w:rPr>
          <w:rFonts w:ascii="Times New Roman" w:hAnsi="Times New Roman"/>
          <w:sz w:val="20"/>
          <w:szCs w:val="20"/>
        </w:rPr>
        <w:t>If our Company withdraws the Issue after the Bid/Issue Closing Date and subsequently decides to undertake a public offering of Equity Shares, our Company will file a fresh Draft Red Herring Prospectus with the stock exchange where the Equity Shares may be proposed to be listed.</w:t>
      </w:r>
    </w:p>
    <w:p w14:paraId="4FAA0EA2" w14:textId="77777777" w:rsidR="004047F2" w:rsidRPr="00E079C3" w:rsidRDefault="004047F2" w:rsidP="004047F2">
      <w:pPr>
        <w:autoSpaceDE w:val="0"/>
        <w:autoSpaceDN w:val="0"/>
        <w:adjustRightInd w:val="0"/>
        <w:spacing w:after="0" w:line="240" w:lineRule="auto"/>
        <w:jc w:val="both"/>
        <w:rPr>
          <w:rFonts w:ascii="Times New Roman" w:hAnsi="Times New Roman"/>
          <w:sz w:val="16"/>
          <w:szCs w:val="20"/>
        </w:rPr>
      </w:pPr>
    </w:p>
    <w:p w14:paraId="4A0036FD" w14:textId="77777777" w:rsidR="004047F2" w:rsidRPr="00712F3C" w:rsidRDefault="004047F2" w:rsidP="004047F2">
      <w:pPr>
        <w:autoSpaceDE w:val="0"/>
        <w:autoSpaceDN w:val="0"/>
        <w:adjustRightInd w:val="0"/>
        <w:spacing w:after="0" w:line="240" w:lineRule="auto"/>
        <w:jc w:val="both"/>
        <w:rPr>
          <w:rFonts w:ascii="Times New Roman" w:hAnsi="Times New Roman"/>
          <w:sz w:val="20"/>
          <w:szCs w:val="20"/>
        </w:rPr>
      </w:pPr>
      <w:r w:rsidRPr="00712F3C">
        <w:rPr>
          <w:rFonts w:ascii="Times New Roman" w:hAnsi="Times New Roman"/>
          <w:sz w:val="20"/>
          <w:szCs w:val="20"/>
        </w:rPr>
        <w:t>Notwithstanding the foregoing, the Issue is subject to obtaining (i) the final listing and trading approvals of the Stock Exchange, which our Company will apply for only after Allotment; and (ii) filing of the Red Herring Prospectus/ Prospectus with ROC.</w:t>
      </w:r>
    </w:p>
    <w:p w14:paraId="054A7576" w14:textId="77777777" w:rsidR="004047F2" w:rsidRPr="00712F3C" w:rsidRDefault="004047F2" w:rsidP="004047F2">
      <w:pPr>
        <w:autoSpaceDE w:val="0"/>
        <w:autoSpaceDN w:val="0"/>
        <w:adjustRightInd w:val="0"/>
        <w:spacing w:after="0" w:line="240" w:lineRule="auto"/>
        <w:jc w:val="both"/>
        <w:rPr>
          <w:rFonts w:ascii="Times New Roman" w:eastAsia="PMingLiU" w:hAnsi="Times New Roman"/>
          <w:b/>
          <w:bCs/>
          <w:sz w:val="20"/>
          <w:szCs w:val="20"/>
        </w:rPr>
      </w:pPr>
    </w:p>
    <w:p w14:paraId="1488D26A" w14:textId="77777777" w:rsidR="004047F2" w:rsidRPr="00712F3C" w:rsidRDefault="004047F2" w:rsidP="004047F2">
      <w:pPr>
        <w:autoSpaceDE w:val="0"/>
        <w:autoSpaceDN w:val="0"/>
        <w:adjustRightInd w:val="0"/>
        <w:spacing w:after="0" w:line="240" w:lineRule="auto"/>
        <w:jc w:val="both"/>
        <w:rPr>
          <w:rFonts w:ascii="Times New Roman" w:eastAsia="PMingLiU" w:hAnsi="Times New Roman"/>
          <w:b/>
          <w:bCs/>
          <w:sz w:val="20"/>
          <w:szCs w:val="20"/>
        </w:rPr>
      </w:pPr>
      <w:r w:rsidRPr="00712F3C">
        <w:rPr>
          <w:rFonts w:ascii="Times New Roman" w:eastAsia="PMingLiU" w:hAnsi="Times New Roman"/>
          <w:b/>
          <w:bCs/>
          <w:sz w:val="20"/>
          <w:szCs w:val="20"/>
        </w:rPr>
        <w:t>Issue Program</w:t>
      </w:r>
    </w:p>
    <w:p w14:paraId="5FFCD5DE" w14:textId="77777777" w:rsidR="004047F2" w:rsidRPr="00712F3C" w:rsidRDefault="004047F2" w:rsidP="004047F2">
      <w:pPr>
        <w:autoSpaceDE w:val="0"/>
        <w:autoSpaceDN w:val="0"/>
        <w:adjustRightInd w:val="0"/>
        <w:spacing w:after="0" w:line="240" w:lineRule="auto"/>
        <w:jc w:val="both"/>
        <w:rPr>
          <w:rFonts w:ascii="Times New Roman" w:eastAsia="PMingLiU" w:hAnsi="Times New Roman"/>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14" w:type="dxa"/>
          <w:right w:w="115" w:type="dxa"/>
        </w:tblCellMar>
        <w:tblLook w:val="04A0" w:firstRow="1" w:lastRow="0" w:firstColumn="1" w:lastColumn="0" w:noHBand="0" w:noVBand="1"/>
      </w:tblPr>
      <w:tblGrid>
        <w:gridCol w:w="7001"/>
        <w:gridCol w:w="3455"/>
      </w:tblGrid>
      <w:tr w:rsidR="004047F2" w:rsidRPr="00712F3C" w14:paraId="74903026" w14:textId="77777777" w:rsidTr="00250DAC">
        <w:tc>
          <w:tcPr>
            <w:tcW w:w="3348"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1A589AF" w14:textId="77777777" w:rsidR="004047F2" w:rsidRPr="00712F3C" w:rsidRDefault="004047F2" w:rsidP="00250DAC">
            <w:pPr>
              <w:autoSpaceDE w:val="0"/>
              <w:autoSpaceDN w:val="0"/>
              <w:adjustRightInd w:val="0"/>
              <w:spacing w:after="0" w:line="240" w:lineRule="auto"/>
              <w:rPr>
                <w:rFonts w:ascii="Times New Roman" w:eastAsia="PMingLiU" w:hAnsi="Times New Roman"/>
                <w:b/>
                <w:bCs/>
                <w:sz w:val="20"/>
                <w:szCs w:val="20"/>
              </w:rPr>
            </w:pPr>
            <w:r w:rsidRPr="00712F3C">
              <w:rPr>
                <w:rFonts w:ascii="Times New Roman" w:eastAsia="PMingLiU" w:hAnsi="Times New Roman"/>
                <w:b/>
                <w:bCs/>
                <w:sz w:val="20"/>
                <w:szCs w:val="20"/>
              </w:rPr>
              <w:t>Event</w:t>
            </w:r>
          </w:p>
        </w:tc>
        <w:tc>
          <w:tcPr>
            <w:tcW w:w="1652"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69F9E7E" w14:textId="77777777" w:rsidR="004047F2" w:rsidRPr="00712F3C" w:rsidRDefault="004047F2" w:rsidP="00250DAC">
            <w:pPr>
              <w:autoSpaceDE w:val="0"/>
              <w:autoSpaceDN w:val="0"/>
              <w:adjustRightInd w:val="0"/>
              <w:spacing w:after="0" w:line="240" w:lineRule="auto"/>
              <w:jc w:val="center"/>
              <w:rPr>
                <w:rFonts w:ascii="Times New Roman" w:eastAsia="Calibri" w:hAnsi="Times New Roman"/>
                <w:b/>
                <w:sz w:val="20"/>
                <w:szCs w:val="20"/>
              </w:rPr>
            </w:pPr>
            <w:r w:rsidRPr="00712F3C">
              <w:rPr>
                <w:rFonts w:ascii="Times New Roman" w:eastAsia="Calibri" w:hAnsi="Times New Roman"/>
                <w:b/>
                <w:sz w:val="20"/>
                <w:szCs w:val="20"/>
              </w:rPr>
              <w:t>Indicative Dates</w:t>
            </w:r>
          </w:p>
        </w:tc>
      </w:tr>
      <w:tr w:rsidR="004047F2" w:rsidRPr="00712F3C" w14:paraId="2F947C26" w14:textId="77777777" w:rsidTr="00250DAC">
        <w:tc>
          <w:tcPr>
            <w:tcW w:w="3348" w:type="pct"/>
            <w:tcBorders>
              <w:top w:val="single" w:sz="4" w:space="0" w:color="auto"/>
              <w:left w:val="single" w:sz="4" w:space="0" w:color="auto"/>
              <w:bottom w:val="single" w:sz="4" w:space="0" w:color="auto"/>
              <w:right w:val="single" w:sz="4" w:space="0" w:color="auto"/>
            </w:tcBorders>
            <w:shd w:val="clear" w:color="auto" w:fill="auto"/>
            <w:hideMark/>
          </w:tcPr>
          <w:p w14:paraId="5A940815" w14:textId="77777777" w:rsidR="004047F2" w:rsidRPr="00712F3C" w:rsidRDefault="004047F2" w:rsidP="00250DAC">
            <w:pPr>
              <w:autoSpaceDE w:val="0"/>
              <w:autoSpaceDN w:val="0"/>
              <w:adjustRightInd w:val="0"/>
              <w:spacing w:after="0" w:line="240" w:lineRule="auto"/>
              <w:rPr>
                <w:rFonts w:ascii="Times New Roman" w:eastAsia="PMingLiU" w:hAnsi="Times New Roman"/>
                <w:b/>
                <w:bCs/>
                <w:sz w:val="20"/>
                <w:szCs w:val="20"/>
              </w:rPr>
            </w:pPr>
            <w:r w:rsidRPr="00712F3C">
              <w:rPr>
                <w:rFonts w:ascii="Times New Roman" w:hAnsi="Times New Roman"/>
                <w:sz w:val="20"/>
                <w:szCs w:val="20"/>
              </w:rPr>
              <w:t>Bid/ Issue Opening Date</w:t>
            </w:r>
          </w:p>
        </w:tc>
        <w:tc>
          <w:tcPr>
            <w:tcW w:w="1652" w:type="pct"/>
            <w:tcBorders>
              <w:top w:val="single" w:sz="4" w:space="0" w:color="auto"/>
              <w:left w:val="single" w:sz="4" w:space="0" w:color="auto"/>
              <w:bottom w:val="single" w:sz="4" w:space="0" w:color="auto"/>
              <w:right w:val="single" w:sz="4" w:space="0" w:color="auto"/>
            </w:tcBorders>
            <w:shd w:val="clear" w:color="auto" w:fill="auto"/>
          </w:tcPr>
          <w:p w14:paraId="7C06E537" w14:textId="77777777" w:rsidR="004047F2" w:rsidRPr="00712F3C" w:rsidRDefault="004047F2" w:rsidP="00250DAC">
            <w:pPr>
              <w:autoSpaceDE w:val="0"/>
              <w:autoSpaceDN w:val="0"/>
              <w:adjustRightInd w:val="0"/>
              <w:spacing w:after="0" w:line="240" w:lineRule="auto"/>
              <w:jc w:val="center"/>
              <w:rPr>
                <w:rFonts w:ascii="Times New Roman" w:eastAsia="Calibri" w:hAnsi="Times New Roman"/>
                <w:sz w:val="20"/>
                <w:szCs w:val="20"/>
              </w:rPr>
            </w:pPr>
            <w:r w:rsidRPr="00712F3C">
              <w:rPr>
                <w:rFonts w:ascii="Times New Roman" w:eastAsia="Calibri" w:hAnsi="Times New Roman"/>
                <w:sz w:val="20"/>
                <w:szCs w:val="20"/>
              </w:rPr>
              <w:t>[●]</w:t>
            </w:r>
            <w:r w:rsidRPr="00712F3C">
              <w:rPr>
                <w:rFonts w:ascii="Times New Roman" w:eastAsia="Calibri" w:hAnsi="Times New Roman"/>
                <w:sz w:val="20"/>
                <w:szCs w:val="20"/>
                <w:vertAlign w:val="superscript"/>
              </w:rPr>
              <w:t>1</w:t>
            </w:r>
          </w:p>
        </w:tc>
      </w:tr>
      <w:tr w:rsidR="004047F2" w:rsidRPr="00712F3C" w14:paraId="4D3F52BF" w14:textId="77777777" w:rsidTr="00250DAC">
        <w:tc>
          <w:tcPr>
            <w:tcW w:w="3348" w:type="pct"/>
            <w:tcBorders>
              <w:top w:val="single" w:sz="4" w:space="0" w:color="auto"/>
              <w:left w:val="single" w:sz="4" w:space="0" w:color="auto"/>
              <w:bottom w:val="single" w:sz="4" w:space="0" w:color="auto"/>
              <w:right w:val="single" w:sz="4" w:space="0" w:color="auto"/>
            </w:tcBorders>
            <w:shd w:val="clear" w:color="auto" w:fill="auto"/>
          </w:tcPr>
          <w:p w14:paraId="6E6B795F" w14:textId="77777777" w:rsidR="004047F2" w:rsidRPr="00712F3C" w:rsidRDefault="004047F2" w:rsidP="00250DAC">
            <w:pPr>
              <w:autoSpaceDE w:val="0"/>
              <w:autoSpaceDN w:val="0"/>
              <w:adjustRightInd w:val="0"/>
              <w:spacing w:after="0" w:line="240" w:lineRule="auto"/>
              <w:rPr>
                <w:rFonts w:ascii="Times New Roman" w:eastAsia="PMingLiU" w:hAnsi="Times New Roman"/>
                <w:b/>
                <w:bCs/>
                <w:sz w:val="20"/>
                <w:szCs w:val="20"/>
              </w:rPr>
            </w:pPr>
            <w:r w:rsidRPr="00712F3C">
              <w:rPr>
                <w:rFonts w:ascii="Times New Roman" w:hAnsi="Times New Roman"/>
                <w:bCs/>
                <w:sz w:val="20"/>
                <w:szCs w:val="20"/>
                <w:lang w:bidi="en-US"/>
              </w:rPr>
              <w:t>Bid/ Issue Closing Date</w:t>
            </w:r>
          </w:p>
        </w:tc>
        <w:tc>
          <w:tcPr>
            <w:tcW w:w="1652" w:type="pct"/>
            <w:tcBorders>
              <w:top w:val="single" w:sz="4" w:space="0" w:color="auto"/>
              <w:left w:val="single" w:sz="4" w:space="0" w:color="auto"/>
              <w:bottom w:val="single" w:sz="4" w:space="0" w:color="auto"/>
              <w:right w:val="single" w:sz="4" w:space="0" w:color="auto"/>
            </w:tcBorders>
            <w:shd w:val="clear" w:color="auto" w:fill="auto"/>
          </w:tcPr>
          <w:p w14:paraId="2C1C1ADD" w14:textId="77777777" w:rsidR="004047F2" w:rsidRPr="00712F3C" w:rsidRDefault="004047F2" w:rsidP="00250DAC">
            <w:pPr>
              <w:autoSpaceDE w:val="0"/>
              <w:autoSpaceDN w:val="0"/>
              <w:adjustRightInd w:val="0"/>
              <w:spacing w:after="0" w:line="240" w:lineRule="auto"/>
              <w:jc w:val="center"/>
              <w:rPr>
                <w:rFonts w:ascii="Times New Roman" w:eastAsia="Calibri" w:hAnsi="Times New Roman"/>
                <w:sz w:val="20"/>
                <w:szCs w:val="20"/>
              </w:rPr>
            </w:pPr>
            <w:r w:rsidRPr="00712F3C">
              <w:rPr>
                <w:rFonts w:ascii="Times New Roman" w:eastAsia="Calibri" w:hAnsi="Times New Roman"/>
                <w:sz w:val="20"/>
                <w:szCs w:val="20"/>
              </w:rPr>
              <w:t>[●]</w:t>
            </w:r>
            <w:r w:rsidRPr="00712F3C">
              <w:rPr>
                <w:rFonts w:ascii="Times New Roman" w:eastAsia="Calibri" w:hAnsi="Times New Roman"/>
                <w:sz w:val="20"/>
                <w:szCs w:val="20"/>
                <w:vertAlign w:val="superscript"/>
              </w:rPr>
              <w:t>2</w:t>
            </w:r>
          </w:p>
        </w:tc>
      </w:tr>
      <w:tr w:rsidR="004047F2" w:rsidRPr="00712F3C" w14:paraId="56B18EF6" w14:textId="77777777" w:rsidTr="00250DAC">
        <w:tc>
          <w:tcPr>
            <w:tcW w:w="3348" w:type="pct"/>
            <w:tcBorders>
              <w:top w:val="single" w:sz="4" w:space="0" w:color="auto"/>
              <w:left w:val="single" w:sz="4" w:space="0" w:color="auto"/>
              <w:bottom w:val="single" w:sz="4" w:space="0" w:color="auto"/>
              <w:right w:val="single" w:sz="4" w:space="0" w:color="auto"/>
            </w:tcBorders>
            <w:shd w:val="clear" w:color="auto" w:fill="auto"/>
          </w:tcPr>
          <w:p w14:paraId="115647A6" w14:textId="77777777" w:rsidR="004047F2" w:rsidRPr="00712F3C" w:rsidRDefault="004047F2" w:rsidP="00250DAC">
            <w:pPr>
              <w:autoSpaceDE w:val="0"/>
              <w:autoSpaceDN w:val="0"/>
              <w:adjustRightInd w:val="0"/>
              <w:spacing w:after="0" w:line="240" w:lineRule="auto"/>
              <w:rPr>
                <w:rFonts w:ascii="Times New Roman" w:eastAsia="PMingLiU" w:hAnsi="Times New Roman"/>
                <w:b/>
                <w:bCs/>
                <w:sz w:val="20"/>
                <w:szCs w:val="20"/>
              </w:rPr>
            </w:pPr>
            <w:r w:rsidRPr="00712F3C">
              <w:rPr>
                <w:rFonts w:ascii="Times New Roman" w:hAnsi="Times New Roman"/>
                <w:bCs/>
                <w:sz w:val="20"/>
                <w:szCs w:val="20"/>
                <w:lang w:bidi="en-US"/>
              </w:rPr>
              <w:t>Finalization of Basis of Allotment with the Designated Stock Exchange</w:t>
            </w:r>
          </w:p>
        </w:tc>
        <w:tc>
          <w:tcPr>
            <w:tcW w:w="1652" w:type="pct"/>
            <w:tcBorders>
              <w:top w:val="single" w:sz="4" w:space="0" w:color="auto"/>
              <w:left w:val="single" w:sz="4" w:space="0" w:color="auto"/>
              <w:bottom w:val="single" w:sz="4" w:space="0" w:color="auto"/>
              <w:right w:val="single" w:sz="4" w:space="0" w:color="auto"/>
            </w:tcBorders>
            <w:shd w:val="clear" w:color="auto" w:fill="auto"/>
          </w:tcPr>
          <w:p w14:paraId="3607721D" w14:textId="77777777" w:rsidR="004047F2" w:rsidRPr="00712F3C" w:rsidRDefault="004047F2" w:rsidP="00250DAC">
            <w:pPr>
              <w:autoSpaceDE w:val="0"/>
              <w:autoSpaceDN w:val="0"/>
              <w:adjustRightInd w:val="0"/>
              <w:spacing w:after="0" w:line="240" w:lineRule="auto"/>
              <w:jc w:val="center"/>
              <w:rPr>
                <w:rFonts w:ascii="Times New Roman" w:eastAsia="Calibri" w:hAnsi="Times New Roman"/>
                <w:sz w:val="20"/>
                <w:szCs w:val="20"/>
              </w:rPr>
            </w:pPr>
            <w:r w:rsidRPr="00712F3C">
              <w:rPr>
                <w:rFonts w:ascii="Times New Roman" w:eastAsia="Calibri" w:hAnsi="Times New Roman"/>
                <w:sz w:val="20"/>
                <w:szCs w:val="20"/>
              </w:rPr>
              <w:t>[●]</w:t>
            </w:r>
          </w:p>
        </w:tc>
      </w:tr>
      <w:tr w:rsidR="004047F2" w:rsidRPr="00712F3C" w14:paraId="5E943554" w14:textId="77777777" w:rsidTr="00250DAC">
        <w:tc>
          <w:tcPr>
            <w:tcW w:w="3348" w:type="pct"/>
            <w:tcBorders>
              <w:top w:val="single" w:sz="4" w:space="0" w:color="auto"/>
              <w:left w:val="single" w:sz="4" w:space="0" w:color="auto"/>
              <w:bottom w:val="single" w:sz="4" w:space="0" w:color="auto"/>
              <w:right w:val="single" w:sz="4" w:space="0" w:color="auto"/>
            </w:tcBorders>
            <w:shd w:val="clear" w:color="auto" w:fill="auto"/>
          </w:tcPr>
          <w:p w14:paraId="74C657B1" w14:textId="77777777" w:rsidR="004047F2" w:rsidRPr="00712F3C" w:rsidRDefault="004047F2" w:rsidP="00250DAC">
            <w:pPr>
              <w:autoSpaceDE w:val="0"/>
              <w:autoSpaceDN w:val="0"/>
              <w:adjustRightInd w:val="0"/>
              <w:spacing w:after="0" w:line="240" w:lineRule="auto"/>
              <w:rPr>
                <w:rFonts w:ascii="Times New Roman" w:eastAsia="PMingLiU" w:hAnsi="Times New Roman"/>
                <w:b/>
                <w:bCs/>
                <w:sz w:val="20"/>
                <w:szCs w:val="20"/>
              </w:rPr>
            </w:pPr>
            <w:r w:rsidRPr="00712F3C">
              <w:rPr>
                <w:rFonts w:ascii="Times New Roman" w:hAnsi="Times New Roman"/>
                <w:sz w:val="20"/>
                <w:szCs w:val="20"/>
              </w:rPr>
              <w:t>Initiation of Allotment/ Refunds/ Unblocking of Funds from ASBA Account or UPI ID linked bank account</w:t>
            </w:r>
          </w:p>
        </w:tc>
        <w:tc>
          <w:tcPr>
            <w:tcW w:w="1652" w:type="pct"/>
            <w:tcBorders>
              <w:top w:val="single" w:sz="4" w:space="0" w:color="auto"/>
              <w:left w:val="single" w:sz="4" w:space="0" w:color="auto"/>
              <w:bottom w:val="single" w:sz="4" w:space="0" w:color="auto"/>
              <w:right w:val="single" w:sz="4" w:space="0" w:color="auto"/>
            </w:tcBorders>
            <w:shd w:val="clear" w:color="auto" w:fill="auto"/>
          </w:tcPr>
          <w:p w14:paraId="781F29D1" w14:textId="77777777" w:rsidR="004047F2" w:rsidRPr="00712F3C" w:rsidRDefault="004047F2" w:rsidP="00250DAC">
            <w:pPr>
              <w:autoSpaceDE w:val="0"/>
              <w:autoSpaceDN w:val="0"/>
              <w:adjustRightInd w:val="0"/>
              <w:spacing w:after="0" w:line="240" w:lineRule="auto"/>
              <w:jc w:val="center"/>
              <w:rPr>
                <w:rFonts w:ascii="Times New Roman" w:eastAsia="Calibri" w:hAnsi="Times New Roman"/>
                <w:sz w:val="20"/>
                <w:szCs w:val="20"/>
              </w:rPr>
            </w:pPr>
            <w:r w:rsidRPr="00712F3C">
              <w:rPr>
                <w:rFonts w:ascii="Times New Roman" w:eastAsia="Calibri" w:hAnsi="Times New Roman"/>
                <w:sz w:val="20"/>
                <w:szCs w:val="20"/>
              </w:rPr>
              <w:t>[●]</w:t>
            </w:r>
          </w:p>
        </w:tc>
      </w:tr>
      <w:tr w:rsidR="004047F2" w:rsidRPr="00712F3C" w14:paraId="1575FC6C" w14:textId="77777777" w:rsidTr="00250DAC">
        <w:tc>
          <w:tcPr>
            <w:tcW w:w="3348" w:type="pct"/>
            <w:tcBorders>
              <w:top w:val="single" w:sz="4" w:space="0" w:color="auto"/>
              <w:left w:val="single" w:sz="4" w:space="0" w:color="auto"/>
              <w:bottom w:val="single" w:sz="4" w:space="0" w:color="auto"/>
              <w:right w:val="single" w:sz="4" w:space="0" w:color="auto"/>
            </w:tcBorders>
            <w:shd w:val="clear" w:color="auto" w:fill="auto"/>
          </w:tcPr>
          <w:p w14:paraId="76CEC1D6" w14:textId="77777777" w:rsidR="004047F2" w:rsidRPr="00712F3C" w:rsidRDefault="004047F2" w:rsidP="00250DAC">
            <w:pPr>
              <w:autoSpaceDE w:val="0"/>
              <w:autoSpaceDN w:val="0"/>
              <w:adjustRightInd w:val="0"/>
              <w:spacing w:after="0" w:line="240" w:lineRule="auto"/>
              <w:rPr>
                <w:rFonts w:ascii="Times New Roman" w:eastAsia="PMingLiU" w:hAnsi="Times New Roman"/>
                <w:b/>
                <w:bCs/>
                <w:sz w:val="20"/>
                <w:szCs w:val="20"/>
              </w:rPr>
            </w:pPr>
            <w:r w:rsidRPr="00712F3C">
              <w:rPr>
                <w:rFonts w:ascii="Times New Roman" w:hAnsi="Times New Roman"/>
                <w:sz w:val="20"/>
                <w:szCs w:val="20"/>
              </w:rPr>
              <w:t>Credit of Equity Shares to Demat accounts of Allottees</w:t>
            </w:r>
          </w:p>
        </w:tc>
        <w:tc>
          <w:tcPr>
            <w:tcW w:w="1652" w:type="pct"/>
            <w:tcBorders>
              <w:top w:val="single" w:sz="4" w:space="0" w:color="auto"/>
              <w:left w:val="single" w:sz="4" w:space="0" w:color="auto"/>
              <w:bottom w:val="single" w:sz="4" w:space="0" w:color="auto"/>
              <w:right w:val="single" w:sz="4" w:space="0" w:color="auto"/>
            </w:tcBorders>
            <w:shd w:val="clear" w:color="auto" w:fill="auto"/>
          </w:tcPr>
          <w:p w14:paraId="74EF2547" w14:textId="77777777" w:rsidR="004047F2" w:rsidRPr="00712F3C" w:rsidRDefault="004047F2" w:rsidP="00250DAC">
            <w:pPr>
              <w:autoSpaceDE w:val="0"/>
              <w:autoSpaceDN w:val="0"/>
              <w:adjustRightInd w:val="0"/>
              <w:spacing w:after="0" w:line="240" w:lineRule="auto"/>
              <w:jc w:val="center"/>
              <w:rPr>
                <w:rFonts w:ascii="Times New Roman" w:eastAsia="Calibri" w:hAnsi="Times New Roman"/>
                <w:sz w:val="20"/>
                <w:szCs w:val="20"/>
              </w:rPr>
            </w:pPr>
            <w:r w:rsidRPr="00712F3C">
              <w:rPr>
                <w:rFonts w:ascii="Times New Roman" w:eastAsia="Calibri" w:hAnsi="Times New Roman"/>
                <w:sz w:val="20"/>
                <w:szCs w:val="20"/>
              </w:rPr>
              <w:t>[●]</w:t>
            </w:r>
          </w:p>
        </w:tc>
      </w:tr>
      <w:tr w:rsidR="004047F2" w:rsidRPr="00712F3C" w14:paraId="788F83F6" w14:textId="77777777" w:rsidTr="00250DAC">
        <w:tc>
          <w:tcPr>
            <w:tcW w:w="3348" w:type="pct"/>
            <w:tcBorders>
              <w:top w:val="single" w:sz="4" w:space="0" w:color="auto"/>
              <w:left w:val="single" w:sz="4" w:space="0" w:color="auto"/>
              <w:bottom w:val="single" w:sz="4" w:space="0" w:color="auto"/>
              <w:right w:val="single" w:sz="4" w:space="0" w:color="auto"/>
            </w:tcBorders>
            <w:shd w:val="clear" w:color="auto" w:fill="auto"/>
          </w:tcPr>
          <w:p w14:paraId="6A6176CD" w14:textId="77777777" w:rsidR="004047F2" w:rsidRPr="00712F3C" w:rsidRDefault="004047F2" w:rsidP="00250DAC">
            <w:pPr>
              <w:autoSpaceDE w:val="0"/>
              <w:autoSpaceDN w:val="0"/>
              <w:adjustRightInd w:val="0"/>
              <w:spacing w:after="0" w:line="240" w:lineRule="auto"/>
              <w:rPr>
                <w:rFonts w:ascii="Times New Roman" w:eastAsia="PMingLiU" w:hAnsi="Times New Roman"/>
                <w:b/>
                <w:bCs/>
                <w:sz w:val="20"/>
                <w:szCs w:val="20"/>
              </w:rPr>
            </w:pPr>
            <w:r w:rsidRPr="00712F3C">
              <w:rPr>
                <w:rFonts w:ascii="Times New Roman" w:hAnsi="Times New Roman"/>
                <w:sz w:val="20"/>
                <w:szCs w:val="20"/>
              </w:rPr>
              <w:t>Commencement of trading of the Equity Shares on the Stock Exchange</w:t>
            </w:r>
          </w:p>
        </w:tc>
        <w:tc>
          <w:tcPr>
            <w:tcW w:w="1652" w:type="pct"/>
            <w:tcBorders>
              <w:top w:val="single" w:sz="4" w:space="0" w:color="auto"/>
              <w:left w:val="single" w:sz="4" w:space="0" w:color="auto"/>
              <w:bottom w:val="single" w:sz="4" w:space="0" w:color="auto"/>
              <w:right w:val="single" w:sz="4" w:space="0" w:color="auto"/>
            </w:tcBorders>
            <w:shd w:val="clear" w:color="auto" w:fill="auto"/>
          </w:tcPr>
          <w:p w14:paraId="38177FD3" w14:textId="77777777" w:rsidR="004047F2" w:rsidRPr="00712F3C" w:rsidRDefault="004047F2" w:rsidP="00250DAC">
            <w:pPr>
              <w:autoSpaceDE w:val="0"/>
              <w:autoSpaceDN w:val="0"/>
              <w:adjustRightInd w:val="0"/>
              <w:spacing w:after="0" w:line="240" w:lineRule="auto"/>
              <w:jc w:val="center"/>
              <w:rPr>
                <w:rFonts w:ascii="Times New Roman" w:eastAsia="Calibri" w:hAnsi="Times New Roman"/>
                <w:sz w:val="20"/>
                <w:szCs w:val="20"/>
              </w:rPr>
            </w:pPr>
            <w:r w:rsidRPr="00712F3C">
              <w:rPr>
                <w:rFonts w:ascii="Times New Roman" w:eastAsia="Calibri" w:hAnsi="Times New Roman"/>
                <w:sz w:val="20"/>
                <w:szCs w:val="20"/>
              </w:rPr>
              <w:t>[●]</w:t>
            </w:r>
          </w:p>
        </w:tc>
      </w:tr>
    </w:tbl>
    <w:p w14:paraId="34C66B0E" w14:textId="77777777" w:rsidR="004047F2" w:rsidRPr="00712F3C" w:rsidRDefault="004047F2" w:rsidP="004047F2">
      <w:pPr>
        <w:autoSpaceDE w:val="0"/>
        <w:autoSpaceDN w:val="0"/>
        <w:adjustRightInd w:val="0"/>
        <w:spacing w:after="0" w:line="240" w:lineRule="auto"/>
        <w:contextualSpacing/>
        <w:jc w:val="both"/>
        <w:rPr>
          <w:rFonts w:ascii="Times New Roman" w:hAnsi="Times New Roman"/>
          <w:i/>
          <w:iCs/>
          <w:sz w:val="20"/>
          <w:szCs w:val="20"/>
        </w:rPr>
      </w:pPr>
      <w:r w:rsidRPr="00712F3C">
        <w:rPr>
          <w:rFonts w:ascii="Times New Roman" w:hAnsi="Times New Roman"/>
          <w:i/>
          <w:iCs/>
          <w:sz w:val="20"/>
          <w:szCs w:val="20"/>
        </w:rPr>
        <w:t xml:space="preserve">Note </w:t>
      </w:r>
      <w:r w:rsidRPr="00712F3C">
        <w:rPr>
          <w:rFonts w:ascii="Times New Roman" w:hAnsi="Times New Roman"/>
          <w:i/>
          <w:iCs/>
          <w:sz w:val="20"/>
          <w:szCs w:val="20"/>
          <w:vertAlign w:val="superscript"/>
        </w:rPr>
        <w:t>1</w:t>
      </w:r>
      <w:r w:rsidRPr="00712F3C">
        <w:rPr>
          <w:rFonts w:ascii="Times New Roman" w:hAnsi="Times New Roman"/>
          <w:i/>
          <w:iCs/>
          <w:sz w:val="20"/>
          <w:szCs w:val="20"/>
        </w:rPr>
        <w:t>Our Company in consultation with the Book Running Lead Manager, may consider participation by Anchor Investors in accordance with the SEBI ICDR Regulations. The Anchor Investor Bid/Issue Period shall be one Working Day prior to the Bid/Issue Opening Date in accordance with the SEBI ICDR Regulations</w:t>
      </w:r>
    </w:p>
    <w:p w14:paraId="3B05C723" w14:textId="77777777" w:rsidR="004047F2" w:rsidRPr="00E079C3" w:rsidRDefault="004047F2" w:rsidP="004047F2">
      <w:pPr>
        <w:autoSpaceDE w:val="0"/>
        <w:autoSpaceDN w:val="0"/>
        <w:adjustRightInd w:val="0"/>
        <w:spacing w:after="0" w:line="240" w:lineRule="auto"/>
        <w:contextualSpacing/>
        <w:jc w:val="both"/>
        <w:rPr>
          <w:rFonts w:ascii="Times New Roman" w:hAnsi="Times New Roman"/>
          <w:i/>
          <w:iCs/>
          <w:sz w:val="16"/>
          <w:szCs w:val="20"/>
        </w:rPr>
      </w:pPr>
    </w:p>
    <w:p w14:paraId="67B55564" w14:textId="77777777" w:rsidR="004047F2" w:rsidRPr="00712F3C" w:rsidRDefault="004047F2" w:rsidP="004047F2">
      <w:pPr>
        <w:autoSpaceDE w:val="0"/>
        <w:autoSpaceDN w:val="0"/>
        <w:adjustRightInd w:val="0"/>
        <w:spacing w:after="0" w:line="240" w:lineRule="auto"/>
        <w:jc w:val="both"/>
        <w:rPr>
          <w:rFonts w:ascii="Times New Roman" w:eastAsiaTheme="minorHAnsi" w:hAnsi="Times New Roman"/>
          <w:i/>
          <w:iCs/>
          <w:sz w:val="20"/>
          <w:szCs w:val="20"/>
        </w:rPr>
      </w:pPr>
      <w:r w:rsidRPr="00712F3C">
        <w:rPr>
          <w:rFonts w:ascii="Times New Roman" w:hAnsi="Times New Roman"/>
          <w:i/>
          <w:iCs/>
          <w:sz w:val="20"/>
          <w:szCs w:val="20"/>
          <w:vertAlign w:val="superscript"/>
        </w:rPr>
        <w:t>2</w:t>
      </w:r>
      <w:r w:rsidRPr="00712F3C">
        <w:rPr>
          <w:rFonts w:ascii="Times New Roman" w:eastAsiaTheme="minorHAnsi" w:hAnsi="Times New Roman"/>
          <w:i/>
          <w:iCs/>
          <w:sz w:val="20"/>
          <w:szCs w:val="20"/>
        </w:rPr>
        <w:t>Our Company in consultation with the BRLM, consider closing the Bid/Issue Period for QIBs one Working Day prior to the Bid/Issue Closing Date in accordance with the SEBI ICDR Regulations.</w:t>
      </w:r>
    </w:p>
    <w:p w14:paraId="3299C8B4" w14:textId="77777777" w:rsidR="004047F2" w:rsidRPr="00E079C3" w:rsidRDefault="004047F2" w:rsidP="004047F2">
      <w:pPr>
        <w:autoSpaceDE w:val="0"/>
        <w:autoSpaceDN w:val="0"/>
        <w:adjustRightInd w:val="0"/>
        <w:spacing w:after="0" w:line="240" w:lineRule="auto"/>
        <w:rPr>
          <w:rFonts w:ascii="Times New Roman" w:hAnsi="Times New Roman"/>
          <w:sz w:val="16"/>
          <w:szCs w:val="20"/>
        </w:rPr>
      </w:pPr>
    </w:p>
    <w:p w14:paraId="50B56008" w14:textId="77777777" w:rsidR="004047F2" w:rsidRPr="00712F3C" w:rsidRDefault="004047F2" w:rsidP="004047F2">
      <w:pPr>
        <w:autoSpaceDE w:val="0"/>
        <w:autoSpaceDN w:val="0"/>
        <w:adjustRightInd w:val="0"/>
        <w:spacing w:after="0" w:line="240" w:lineRule="auto"/>
        <w:jc w:val="both"/>
        <w:rPr>
          <w:rFonts w:ascii="Times New Roman" w:hAnsi="Times New Roman"/>
          <w:sz w:val="20"/>
          <w:szCs w:val="20"/>
        </w:rPr>
      </w:pPr>
      <w:r w:rsidRPr="00712F3C">
        <w:rPr>
          <w:rFonts w:ascii="Times New Roman" w:hAnsi="Times New Roman"/>
          <w:sz w:val="20"/>
          <w:szCs w:val="20"/>
        </w:rPr>
        <w:t>Applications and any revisions to the same will be accepted only between 10.00 A.M. to 5.00 P.M. (Indian Standard Time) during the Issue Period at the Application Centers mentioned in the Bid-Cum Application Form.</w:t>
      </w:r>
    </w:p>
    <w:p w14:paraId="5931E70D" w14:textId="77777777" w:rsidR="004047F2" w:rsidRPr="00E079C3" w:rsidRDefault="004047F2" w:rsidP="004047F2">
      <w:pPr>
        <w:autoSpaceDE w:val="0"/>
        <w:autoSpaceDN w:val="0"/>
        <w:adjustRightInd w:val="0"/>
        <w:spacing w:after="0" w:line="240" w:lineRule="auto"/>
        <w:rPr>
          <w:rFonts w:ascii="Times New Roman" w:hAnsi="Times New Roman"/>
          <w:sz w:val="14"/>
          <w:szCs w:val="20"/>
        </w:rPr>
      </w:pPr>
    </w:p>
    <w:p w14:paraId="6A79B6E3" w14:textId="77777777" w:rsidR="004047F2" w:rsidRPr="00712F3C" w:rsidRDefault="004047F2" w:rsidP="004047F2">
      <w:pPr>
        <w:autoSpaceDE w:val="0"/>
        <w:autoSpaceDN w:val="0"/>
        <w:adjustRightInd w:val="0"/>
        <w:spacing w:after="0" w:line="240" w:lineRule="auto"/>
        <w:rPr>
          <w:rFonts w:ascii="Times New Roman" w:hAnsi="Times New Roman"/>
          <w:sz w:val="20"/>
          <w:szCs w:val="20"/>
        </w:rPr>
      </w:pPr>
      <w:r w:rsidRPr="00712F3C">
        <w:rPr>
          <w:rFonts w:ascii="Times New Roman" w:hAnsi="Times New Roman"/>
          <w:sz w:val="20"/>
          <w:szCs w:val="20"/>
        </w:rPr>
        <w:t>Standardization of cut-off time for uploading of applications on the Bid/ Issue Closing Date:</w:t>
      </w:r>
    </w:p>
    <w:p w14:paraId="5A6A0226" w14:textId="77777777" w:rsidR="004047F2" w:rsidRPr="00712F3C" w:rsidRDefault="004047F2">
      <w:pPr>
        <w:numPr>
          <w:ilvl w:val="0"/>
          <w:numId w:val="203"/>
        </w:numPr>
        <w:autoSpaceDE w:val="0"/>
        <w:autoSpaceDN w:val="0"/>
        <w:adjustRightInd w:val="0"/>
        <w:spacing w:after="0" w:line="240" w:lineRule="auto"/>
        <w:contextualSpacing/>
        <w:jc w:val="both"/>
        <w:rPr>
          <w:rFonts w:ascii="Times New Roman" w:hAnsi="Times New Roman"/>
          <w:sz w:val="20"/>
          <w:szCs w:val="20"/>
        </w:rPr>
      </w:pPr>
      <w:r w:rsidRPr="00712F3C">
        <w:rPr>
          <w:rFonts w:ascii="Times New Roman" w:hAnsi="Times New Roman"/>
          <w:sz w:val="20"/>
          <w:szCs w:val="20"/>
        </w:rPr>
        <w:t>A standard cut-off time of 3.00 P.M. for acceptance of applications.</w:t>
      </w:r>
    </w:p>
    <w:p w14:paraId="2FE143EC" w14:textId="77777777" w:rsidR="004047F2" w:rsidRPr="00712F3C" w:rsidRDefault="004047F2">
      <w:pPr>
        <w:numPr>
          <w:ilvl w:val="0"/>
          <w:numId w:val="203"/>
        </w:numPr>
        <w:autoSpaceDE w:val="0"/>
        <w:autoSpaceDN w:val="0"/>
        <w:adjustRightInd w:val="0"/>
        <w:spacing w:after="0" w:line="240" w:lineRule="auto"/>
        <w:contextualSpacing/>
        <w:jc w:val="both"/>
        <w:rPr>
          <w:rFonts w:ascii="Times New Roman" w:hAnsi="Times New Roman"/>
          <w:sz w:val="20"/>
          <w:szCs w:val="20"/>
        </w:rPr>
      </w:pPr>
      <w:r w:rsidRPr="00712F3C">
        <w:rPr>
          <w:rFonts w:ascii="Times New Roman" w:hAnsi="Times New Roman"/>
          <w:sz w:val="20"/>
          <w:szCs w:val="20"/>
        </w:rPr>
        <w:t>A standard cut-off time of 4.00 P.M. for uploading of applications received from other than retail individual applicants.</w:t>
      </w:r>
    </w:p>
    <w:p w14:paraId="6FF77F96" w14:textId="77777777" w:rsidR="004047F2" w:rsidRPr="00712F3C" w:rsidRDefault="004047F2">
      <w:pPr>
        <w:numPr>
          <w:ilvl w:val="0"/>
          <w:numId w:val="203"/>
        </w:numPr>
        <w:autoSpaceDE w:val="0"/>
        <w:autoSpaceDN w:val="0"/>
        <w:adjustRightInd w:val="0"/>
        <w:spacing w:after="0" w:line="240" w:lineRule="auto"/>
        <w:contextualSpacing/>
        <w:jc w:val="both"/>
        <w:rPr>
          <w:rFonts w:ascii="Times New Roman" w:hAnsi="Times New Roman"/>
          <w:sz w:val="20"/>
          <w:szCs w:val="20"/>
        </w:rPr>
      </w:pPr>
      <w:r w:rsidRPr="00712F3C">
        <w:rPr>
          <w:rFonts w:ascii="Times New Roman" w:hAnsi="Times New Roman"/>
          <w:sz w:val="20"/>
          <w:szCs w:val="20"/>
        </w:rPr>
        <w:t>A standard cut-off time of 5.00 P.M. for uploading of applications received from only retail individual applicants, which may be extended up to such time as deemed fit by BSE after taking into account the total number of applications received up to the closure of timings and reported by BRLM to BSE within half an hour of such closure.</w:t>
      </w:r>
    </w:p>
    <w:p w14:paraId="04E688F1" w14:textId="77777777" w:rsidR="004047F2" w:rsidRPr="00712F3C" w:rsidRDefault="004047F2" w:rsidP="004047F2">
      <w:pPr>
        <w:autoSpaceDE w:val="0"/>
        <w:autoSpaceDN w:val="0"/>
        <w:adjustRightInd w:val="0"/>
        <w:spacing w:after="0" w:line="240" w:lineRule="auto"/>
        <w:jc w:val="both"/>
        <w:rPr>
          <w:rFonts w:ascii="Times New Roman" w:hAnsi="Times New Roman"/>
          <w:sz w:val="20"/>
          <w:szCs w:val="20"/>
        </w:rPr>
      </w:pPr>
      <w:r w:rsidRPr="00712F3C">
        <w:rPr>
          <w:rFonts w:ascii="Times New Roman" w:hAnsi="Times New Roman"/>
          <w:sz w:val="20"/>
          <w:szCs w:val="20"/>
        </w:rPr>
        <w:t>It is clarified that Applications not uploaded would be rejected. In case of discrepancy in the data entered in the electronic form vis-à-vis the data contained in the physical Bid-Cum Application form, for a particular applicant, the details as per physical Bid-Cum application form of that Applicant may be taken as the final data for the purpose of allotment.</w:t>
      </w:r>
    </w:p>
    <w:p w14:paraId="1B204B50" w14:textId="77777777" w:rsidR="004047F2" w:rsidRPr="00712F3C" w:rsidRDefault="004047F2" w:rsidP="004047F2">
      <w:pPr>
        <w:autoSpaceDE w:val="0"/>
        <w:autoSpaceDN w:val="0"/>
        <w:adjustRightInd w:val="0"/>
        <w:spacing w:after="0" w:line="240" w:lineRule="auto"/>
        <w:jc w:val="both"/>
        <w:rPr>
          <w:rFonts w:ascii="Times New Roman" w:hAnsi="Times New Roman"/>
          <w:sz w:val="20"/>
          <w:szCs w:val="20"/>
        </w:rPr>
      </w:pPr>
    </w:p>
    <w:p w14:paraId="40F5F3A9" w14:textId="77777777" w:rsidR="004047F2" w:rsidRPr="00712F3C" w:rsidRDefault="004047F2" w:rsidP="004047F2">
      <w:pPr>
        <w:spacing w:after="0" w:line="240" w:lineRule="auto"/>
        <w:rPr>
          <w:rFonts w:ascii="Times New Roman" w:hAnsi="Times New Roman"/>
          <w:sz w:val="20"/>
          <w:szCs w:val="20"/>
        </w:rPr>
      </w:pPr>
      <w:r w:rsidRPr="00712F3C">
        <w:rPr>
          <w:rFonts w:ascii="Times New Roman" w:hAnsi="Times New Roman"/>
          <w:sz w:val="20"/>
          <w:szCs w:val="20"/>
        </w:rPr>
        <w:t>Bids will be accepted only on Working Days, i.e., Monday to Friday (excluding bank holidays).</w:t>
      </w:r>
      <w:r w:rsidRPr="00712F3C">
        <w:rPr>
          <w:rFonts w:ascii="Times New Roman" w:hAnsi="Times New Roman"/>
          <w:sz w:val="20"/>
          <w:szCs w:val="20"/>
        </w:rPr>
        <w:br w:type="page"/>
      </w:r>
    </w:p>
    <w:p w14:paraId="36916BB1" w14:textId="77777777" w:rsidR="004047F2" w:rsidRPr="00712F3C" w:rsidRDefault="004047F2" w:rsidP="004047F2">
      <w:pPr>
        <w:spacing w:after="0"/>
        <w:jc w:val="center"/>
        <w:rPr>
          <w:rFonts w:ascii="Times New Roman" w:eastAsia="Calibri" w:hAnsi="Times New Roman"/>
          <w:b/>
          <w:sz w:val="20"/>
          <w:szCs w:val="20"/>
          <w:u w:val="single"/>
        </w:rPr>
      </w:pPr>
      <w:r w:rsidRPr="00712F3C">
        <w:rPr>
          <w:rFonts w:ascii="Times New Roman" w:eastAsia="Calibri" w:hAnsi="Times New Roman"/>
          <w:b/>
          <w:sz w:val="20"/>
          <w:szCs w:val="20"/>
          <w:u w:val="single"/>
        </w:rPr>
        <w:lastRenderedPageBreak/>
        <w:t xml:space="preserve">ISSUE </w:t>
      </w:r>
      <w:bookmarkStart w:id="27" w:name="Issue_Procedure"/>
      <w:r w:rsidRPr="00712F3C">
        <w:rPr>
          <w:rFonts w:ascii="Times New Roman" w:eastAsia="Calibri" w:hAnsi="Times New Roman"/>
          <w:b/>
          <w:sz w:val="20"/>
          <w:szCs w:val="20"/>
          <w:u w:val="single"/>
        </w:rPr>
        <w:t>PROCEDURE</w:t>
      </w:r>
      <w:bookmarkEnd w:id="27"/>
    </w:p>
    <w:p w14:paraId="03DD4237" w14:textId="77777777" w:rsidR="004047F2" w:rsidRPr="00712F3C" w:rsidRDefault="004047F2" w:rsidP="004047F2">
      <w:pPr>
        <w:spacing w:after="0"/>
        <w:jc w:val="center"/>
        <w:rPr>
          <w:rFonts w:ascii="Times New Roman" w:eastAsia="Calibri" w:hAnsi="Times New Roman"/>
          <w:b/>
          <w:sz w:val="20"/>
          <w:szCs w:val="20"/>
          <w:u w:val="single"/>
        </w:rPr>
      </w:pPr>
    </w:p>
    <w:p w14:paraId="5A41F472" w14:textId="77777777" w:rsidR="004047F2" w:rsidRPr="00712F3C" w:rsidRDefault="004047F2" w:rsidP="004047F2">
      <w:pPr>
        <w:widowControl w:val="0"/>
        <w:spacing w:after="0" w:line="240" w:lineRule="auto"/>
        <w:contextualSpacing/>
        <w:jc w:val="both"/>
        <w:rPr>
          <w:rFonts w:ascii="Times New Roman" w:eastAsia="Calibri" w:hAnsi="Times New Roman"/>
          <w:i/>
          <w:sz w:val="20"/>
          <w:szCs w:val="20"/>
          <w:lang w:bidi="en-US"/>
        </w:rPr>
      </w:pPr>
      <w:r w:rsidRPr="00712F3C">
        <w:rPr>
          <w:rFonts w:ascii="Times New Roman" w:eastAsia="Calibri" w:hAnsi="Times New Roman"/>
          <w:i/>
          <w:sz w:val="20"/>
          <w:szCs w:val="20"/>
          <w:lang w:bidi="en-US"/>
        </w:rPr>
        <w:t xml:space="preserve">All Bidders should review the General Information Document for Investing in Public Issues prepared and issued in accordance with the circular (SEBI/HO/CFD/DIL1/CIR/P/2020/37) dated March 17, 2020 notified by SEBI and updated pursuant to the circular (CIR/CFD/POLICYCELL/11/2015) dated November 10, 2015 as amended and modified by the circular (SEBI/HO/CFD/DIL/CIR/P/2016/26) dated January 21, 2016, and SEBI Circular bearing number (SEBI/HO/CFD/DIL2/CIR/P/2018/22) dated February 15, 2018 and Circular (SEBI/HO/CFD/DIL2/CIR/P/2018/138) dated November 01, 2018, notified by SEBI (“General Information Document”) and SEBI Circular No. SEBI/HO/CFD/DCR2/CIR/P/2019/133 dated November 08, 2019, included below under Section “PART B – General Information Document”, which highlights the key rules, processes and procedures applicable to public issues in general in accordance with the provisions of the Companies Act, 2013, the Securities Contracts (Regulation) Act, 1956, the Securities Contracts (Regulation) Rules, 1957 and the ICDR Regulations. The General Information Document is available on the websites of the Stock Exchanges and the Book Running Lead Manager. Please refer to the relevant portions of the General Information Document which are applicable to this Issue. </w:t>
      </w:r>
    </w:p>
    <w:p w14:paraId="2F4BA9A8" w14:textId="77777777" w:rsidR="004047F2" w:rsidRPr="00712F3C" w:rsidRDefault="004047F2" w:rsidP="004047F2">
      <w:pPr>
        <w:widowControl w:val="0"/>
        <w:spacing w:after="0" w:line="240" w:lineRule="auto"/>
        <w:contextualSpacing/>
        <w:jc w:val="both"/>
        <w:rPr>
          <w:rFonts w:ascii="Times New Roman" w:eastAsia="Calibri" w:hAnsi="Times New Roman"/>
          <w:i/>
          <w:sz w:val="20"/>
          <w:szCs w:val="20"/>
          <w:lang w:bidi="en-US"/>
        </w:rPr>
      </w:pPr>
    </w:p>
    <w:p w14:paraId="04B86F9F" w14:textId="77777777" w:rsidR="004047F2" w:rsidRPr="00712F3C" w:rsidRDefault="004047F2" w:rsidP="004047F2">
      <w:pPr>
        <w:widowControl w:val="0"/>
        <w:spacing w:after="0" w:line="240" w:lineRule="auto"/>
        <w:contextualSpacing/>
        <w:jc w:val="both"/>
        <w:rPr>
          <w:rFonts w:ascii="Times New Roman" w:eastAsia="Calibri" w:hAnsi="Times New Roman"/>
          <w:i/>
          <w:sz w:val="20"/>
          <w:szCs w:val="20"/>
          <w:lang w:bidi="en-US"/>
        </w:rPr>
      </w:pPr>
      <w:r w:rsidRPr="00712F3C">
        <w:rPr>
          <w:rFonts w:ascii="Times New Roman" w:eastAsia="Calibri" w:hAnsi="Times New Roman"/>
          <w:i/>
          <w:sz w:val="20"/>
          <w:szCs w:val="20"/>
          <w:lang w:bidi="en-US"/>
        </w:rPr>
        <w:t xml:space="preserve">All Designated Intermediaries in relation to the Issue should ensure compliance with the SEBI circular (CIR/CFD/POLICYCELL/11/2015) dated November 10, 2015, as amended and modified by the SEBI circular (SEBI/HO/CFD/DIL/CIR/P/2016/26) dated January 21, 2016 and SEBI circular (SEBI/HO/CFD/DIL2/CIR/P/2018/22) dated February 15, 2018 and (SEBI/HO/CFD/DIL2/CIR/P/2018/138) dated November 1, 2018, in relation to clarifications on streamlining the process of public issue of equity shares and convertibles as amended and modified by the SEBI circular no. </w:t>
      </w:r>
      <w:r w:rsidRPr="00145E9F">
        <w:rPr>
          <w:rFonts w:ascii="Times New Roman" w:eastAsia="Calibri" w:hAnsi="Times New Roman"/>
          <w:i/>
          <w:sz w:val="20"/>
          <w:szCs w:val="20"/>
          <w:lang w:val="pt-BR" w:bidi="en-US"/>
        </w:rPr>
        <w:t xml:space="preserve">SEBI/HO/CFD/DIL2/CIR/P/2019/50 dated April 3, 2019 circular no. SEBI/HO/CFD/DIL2/CIR/P/2019/76 June 28, 2019, circular no. </w:t>
      </w:r>
      <w:r w:rsidRPr="00712F3C">
        <w:rPr>
          <w:rFonts w:ascii="Times New Roman" w:eastAsia="Calibri" w:hAnsi="Times New Roman"/>
          <w:i/>
          <w:sz w:val="20"/>
          <w:szCs w:val="20"/>
          <w:lang w:bidi="en-US"/>
        </w:rPr>
        <w:t>SEBI/HO/CFD/DIL2/CIR/P/2019/85 dated July 26, 2019 and circular no. SEBI/HO/CFD/DCR2/CIR/P/2019/133 dated November 08, 2019.</w:t>
      </w:r>
      <w:r w:rsidRPr="00712F3C">
        <w:rPr>
          <w:rFonts w:ascii="Times New Roman" w:eastAsia="Calibri" w:hAnsi="Times New Roman"/>
          <w:i/>
          <w:sz w:val="20"/>
          <w:szCs w:val="20"/>
          <w:lang w:bidi="en-US"/>
        </w:rPr>
        <w:cr/>
      </w:r>
    </w:p>
    <w:p w14:paraId="329ED538" w14:textId="77777777" w:rsidR="004047F2" w:rsidRPr="00712F3C" w:rsidRDefault="004047F2" w:rsidP="004047F2">
      <w:pPr>
        <w:widowControl w:val="0"/>
        <w:spacing w:after="0" w:line="240" w:lineRule="auto"/>
        <w:contextualSpacing/>
        <w:jc w:val="both"/>
        <w:rPr>
          <w:rFonts w:ascii="Times New Roman" w:eastAsia="Calibri" w:hAnsi="Times New Roman"/>
          <w:i/>
          <w:sz w:val="20"/>
          <w:szCs w:val="20"/>
          <w:lang w:bidi="en-US"/>
        </w:rPr>
      </w:pPr>
      <w:r w:rsidRPr="00712F3C">
        <w:rPr>
          <w:rFonts w:ascii="Times New Roman" w:eastAsia="Calibri" w:hAnsi="Times New Roman"/>
          <w:i/>
          <w:sz w:val="20"/>
          <w:szCs w:val="20"/>
          <w:lang w:bidi="en-US"/>
        </w:rPr>
        <w:t xml:space="preserve">Additionally, all Bidders may refer to the General Information Document for information, in addition to what is stated herein, in relation to (i) category of Bidders eligible to participate in the Issue; (ii) maximum and minimum Application size; (iii) price discovery and allocation; (iv) payment instructions for </w:t>
      </w:r>
      <w:r w:rsidRPr="00712F3C">
        <w:rPr>
          <w:rFonts w:ascii="Times New Roman" w:hAnsi="Times New Roman"/>
          <w:i/>
          <w:sz w:val="20"/>
          <w:szCs w:val="20"/>
          <w:lang w:bidi="en-US"/>
        </w:rPr>
        <w:t xml:space="preserve">Bidders applying through </w:t>
      </w:r>
      <w:r w:rsidRPr="00712F3C">
        <w:rPr>
          <w:rFonts w:ascii="Times New Roman" w:eastAsia="Calibri" w:hAnsi="Times New Roman"/>
          <w:i/>
          <w:sz w:val="20"/>
          <w:szCs w:val="20"/>
          <w:lang w:bidi="en-US"/>
        </w:rPr>
        <w:t>ASBA process and Retail Individual Investors applying through the United Payments Interface channel; (v) issuance of Confirmation of Allocation Note (“CAN”) and Allotment in the Issue; (vi) general instructions (limited to instructions for completing the Bid Cum Application Form); (vii) Designated Date; (viii) disposal of Applications; (ix) submission of Bid Cum Application Form; (x) other instructions (limited to joint Applications in cases of individual, multiple Applications and instances when an Application would be rejected on technical grounds); (xi) applicable provisions of Companies Act, 2013 relating to punishment for fictitious Applications; (xii) mode of making refunds; and (xiii) interest in case of delay in Allotment or refund.</w:t>
      </w:r>
    </w:p>
    <w:p w14:paraId="12669080" w14:textId="77777777" w:rsidR="004047F2" w:rsidRPr="00712F3C" w:rsidRDefault="004047F2" w:rsidP="004047F2">
      <w:pPr>
        <w:widowControl w:val="0"/>
        <w:spacing w:after="0" w:line="240" w:lineRule="auto"/>
        <w:contextualSpacing/>
        <w:jc w:val="both"/>
        <w:rPr>
          <w:rFonts w:ascii="Times New Roman" w:eastAsia="Calibri" w:hAnsi="Times New Roman"/>
          <w:i/>
          <w:sz w:val="20"/>
          <w:szCs w:val="20"/>
          <w:lang w:bidi="en-US"/>
        </w:rPr>
      </w:pPr>
    </w:p>
    <w:p w14:paraId="03C23919" w14:textId="77777777" w:rsidR="004047F2" w:rsidRPr="00712F3C" w:rsidRDefault="004047F2" w:rsidP="004047F2">
      <w:pPr>
        <w:widowControl w:val="0"/>
        <w:spacing w:after="0" w:line="240" w:lineRule="auto"/>
        <w:contextualSpacing/>
        <w:jc w:val="both"/>
        <w:rPr>
          <w:rFonts w:ascii="Times New Roman" w:eastAsia="Calibri" w:hAnsi="Times New Roman"/>
          <w:i/>
          <w:sz w:val="20"/>
          <w:szCs w:val="20"/>
          <w:lang w:bidi="en-US"/>
        </w:rPr>
      </w:pPr>
      <w:r w:rsidRPr="00712F3C">
        <w:rPr>
          <w:rFonts w:ascii="Times New Roman" w:eastAsia="Calibri" w:hAnsi="Times New Roman"/>
          <w:i/>
          <w:sz w:val="20"/>
          <w:szCs w:val="20"/>
          <w:lang w:bidi="en-US"/>
        </w:rPr>
        <w:t>With effect from July 1, 2019, with respect to Applications by RIIs through Designated Intermediaries (other than SCSBs), the existing process of physical movement of forms from such Designated Intermediaries to SCSBs for blocking of funds has been discontinued and only the UPI Mechanism for such Applications with existing timeline of T+6 days will continue for a period of three months or launch of five main board public issues, whichever is later (“UPI Phase II”), Further pursuant to SEBI Circular SEBI/HO/CFD/DCR2/CIR/P/2019/133 dated November 8, 2019 UPI Phase II was extended till March 31, 2020. Subsequently, the final reduced timeline will be made effective using the UPI Mechanism for applications by RIBs (“UPI Phase III”), as may be prescribed by SEBI</w:t>
      </w:r>
    </w:p>
    <w:p w14:paraId="4D152935" w14:textId="77777777" w:rsidR="004047F2" w:rsidRPr="00712F3C" w:rsidRDefault="004047F2" w:rsidP="004047F2">
      <w:pPr>
        <w:widowControl w:val="0"/>
        <w:spacing w:after="0" w:line="240" w:lineRule="auto"/>
        <w:contextualSpacing/>
        <w:jc w:val="both"/>
        <w:rPr>
          <w:rFonts w:ascii="Times New Roman" w:eastAsia="Calibri" w:hAnsi="Times New Roman"/>
          <w:i/>
          <w:sz w:val="20"/>
          <w:szCs w:val="20"/>
          <w:lang w:bidi="en-US"/>
        </w:rPr>
      </w:pPr>
    </w:p>
    <w:p w14:paraId="3FDAA7C7" w14:textId="77777777" w:rsidR="004047F2" w:rsidRPr="00712F3C" w:rsidRDefault="004047F2" w:rsidP="004047F2">
      <w:pPr>
        <w:widowControl w:val="0"/>
        <w:spacing w:after="0" w:line="240" w:lineRule="auto"/>
        <w:contextualSpacing/>
        <w:jc w:val="both"/>
        <w:rPr>
          <w:rFonts w:ascii="Times New Roman" w:eastAsia="Calibri" w:hAnsi="Times New Roman"/>
          <w:i/>
          <w:sz w:val="20"/>
          <w:szCs w:val="20"/>
          <w:lang w:bidi="en-US"/>
        </w:rPr>
      </w:pPr>
      <w:r w:rsidRPr="00712F3C">
        <w:rPr>
          <w:rFonts w:ascii="Times New Roman" w:eastAsia="Calibri" w:hAnsi="Times New Roman"/>
          <w:i/>
          <w:sz w:val="20"/>
          <w:szCs w:val="20"/>
        </w:rPr>
        <w:t xml:space="preserve">Please note that the information stated/covered in this section may not be complete and/or accurate and as such would be subject to modification/change. Our Company and Book Running Lead Manager do not accept any responsibility for the completeness and accuracy of the information stated in this section and the General Information Document. Our Company and Book Running Lead Manager would not be able to include any amendment, modification or change in applicable law, which may occur after the date of the Draft Red Herring Prospectus. Bidders are advised to make their independent investigations and ensure that their Application do not exceed the investment limits or maximum number of Equity Shares that can be held by them under applicable law or as specified in this Draft Red Herring Prospectus and the Draft Red Herring Prospectus. </w:t>
      </w:r>
    </w:p>
    <w:p w14:paraId="426348BF" w14:textId="77777777" w:rsidR="004047F2" w:rsidRPr="00712F3C" w:rsidRDefault="004047F2" w:rsidP="004047F2">
      <w:pPr>
        <w:widowControl w:val="0"/>
        <w:spacing w:after="0" w:line="240" w:lineRule="auto"/>
        <w:contextualSpacing/>
        <w:jc w:val="both"/>
        <w:rPr>
          <w:rFonts w:ascii="Times New Roman" w:eastAsia="Calibri" w:hAnsi="Times New Roman"/>
          <w:i/>
          <w:sz w:val="20"/>
          <w:szCs w:val="20"/>
          <w:lang w:bidi="en-US"/>
        </w:rPr>
      </w:pPr>
    </w:p>
    <w:p w14:paraId="75EA9DDA" w14:textId="77777777" w:rsidR="004047F2" w:rsidRPr="00712F3C" w:rsidRDefault="004047F2" w:rsidP="004047F2">
      <w:pPr>
        <w:widowControl w:val="0"/>
        <w:spacing w:after="0" w:line="240" w:lineRule="auto"/>
        <w:jc w:val="both"/>
        <w:rPr>
          <w:rFonts w:ascii="Times New Roman" w:eastAsia="Calibri" w:hAnsi="Times New Roman"/>
          <w:i/>
          <w:sz w:val="20"/>
          <w:szCs w:val="20"/>
          <w:lang w:bidi="en-US"/>
        </w:rPr>
      </w:pPr>
      <w:r w:rsidRPr="00712F3C">
        <w:rPr>
          <w:rFonts w:ascii="Times New Roman" w:eastAsia="Calibri" w:hAnsi="Times New Roman"/>
          <w:i/>
          <w:sz w:val="20"/>
          <w:szCs w:val="20"/>
          <w:lang w:bidi="en-US"/>
        </w:rPr>
        <w:t>This section applies to all the Bidders, please note that all the Bidders are required to make payment of the Full Application Amount along with the Bid Cum Application Form.</w:t>
      </w:r>
    </w:p>
    <w:p w14:paraId="44B6A590" w14:textId="77777777" w:rsidR="004047F2" w:rsidRPr="00712F3C" w:rsidRDefault="004047F2" w:rsidP="004047F2">
      <w:pPr>
        <w:widowControl w:val="0"/>
        <w:spacing w:after="0" w:line="240" w:lineRule="auto"/>
        <w:jc w:val="both"/>
        <w:rPr>
          <w:rFonts w:ascii="Times New Roman" w:eastAsia="Calibri" w:hAnsi="Times New Roman"/>
          <w:i/>
          <w:sz w:val="20"/>
          <w:szCs w:val="20"/>
          <w:lang w:bidi="en-US"/>
        </w:rPr>
      </w:pPr>
    </w:p>
    <w:p w14:paraId="2DFA5869" w14:textId="77777777" w:rsidR="004047F2" w:rsidRPr="00712F3C" w:rsidRDefault="004047F2" w:rsidP="004047F2">
      <w:pPr>
        <w:spacing w:after="0" w:line="240" w:lineRule="auto"/>
        <w:rPr>
          <w:rFonts w:ascii="Times New Roman" w:eastAsia="Calibri" w:hAnsi="Times New Roman"/>
          <w:b/>
          <w:i/>
          <w:sz w:val="20"/>
          <w:szCs w:val="20"/>
          <w:lang w:bidi="en-US"/>
        </w:rPr>
      </w:pPr>
      <w:r w:rsidRPr="00712F3C">
        <w:rPr>
          <w:rFonts w:ascii="Times New Roman" w:eastAsia="Calibri" w:hAnsi="Times New Roman"/>
          <w:b/>
          <w:i/>
          <w:sz w:val="20"/>
          <w:szCs w:val="20"/>
          <w:lang w:bidi="en-US"/>
        </w:rPr>
        <w:t>Phased implementation of Unified Payments Interface</w:t>
      </w:r>
    </w:p>
    <w:p w14:paraId="781E787A" w14:textId="77777777" w:rsidR="004047F2" w:rsidRPr="00712F3C" w:rsidRDefault="004047F2" w:rsidP="004047F2">
      <w:pPr>
        <w:spacing w:after="0" w:line="240" w:lineRule="auto"/>
        <w:rPr>
          <w:rFonts w:ascii="Times New Roman" w:eastAsia="Calibri" w:hAnsi="Times New Roman"/>
          <w:b/>
          <w:sz w:val="20"/>
          <w:szCs w:val="20"/>
          <w:u w:val="single"/>
        </w:rPr>
      </w:pPr>
    </w:p>
    <w:p w14:paraId="4400D356" w14:textId="77777777" w:rsidR="004047F2" w:rsidRPr="00712F3C" w:rsidRDefault="004047F2" w:rsidP="004047F2">
      <w:pPr>
        <w:spacing w:after="0" w:line="240" w:lineRule="auto"/>
        <w:jc w:val="both"/>
        <w:rPr>
          <w:rFonts w:ascii="Times New Roman" w:eastAsia="Calibri" w:hAnsi="Times New Roman"/>
          <w:sz w:val="20"/>
          <w:szCs w:val="20"/>
        </w:rPr>
      </w:pPr>
      <w:r w:rsidRPr="00712F3C">
        <w:rPr>
          <w:rFonts w:ascii="Times New Roman" w:eastAsia="Calibri" w:hAnsi="Times New Roman"/>
          <w:sz w:val="20"/>
          <w:szCs w:val="20"/>
        </w:rPr>
        <w:t xml:space="preserve">SEBI has issued a circular bearing number SEBI/HO/CFD/DIL2/CIR/P/2018/138 dated November 1, 2018 and circular no. </w:t>
      </w:r>
      <w:r w:rsidRPr="00145E9F">
        <w:rPr>
          <w:rFonts w:ascii="Times New Roman" w:eastAsia="Calibri" w:hAnsi="Times New Roman"/>
          <w:sz w:val="20"/>
          <w:szCs w:val="20"/>
          <w:lang w:val="pt-BR"/>
        </w:rPr>
        <w:t xml:space="preserve">SEBI/HO/CFD/DIL2/CIR/P/2019/50 dated April 3, 2019 circular no. SEBI/HO/CFD/DIL2/CIR/P/2019/76 June 28, 2019, circular no. </w:t>
      </w:r>
      <w:r w:rsidRPr="00712F3C">
        <w:rPr>
          <w:rFonts w:ascii="Times New Roman" w:eastAsia="Calibri" w:hAnsi="Times New Roman"/>
          <w:sz w:val="20"/>
          <w:szCs w:val="20"/>
        </w:rPr>
        <w:t xml:space="preserve">SEBI/HO/CFD/DIL2/CIR/P/2019/85 dated July 26, 2019 and circular no. SEBI/HO/CFD/DCR2/CIR/P/2019/133 dated November 08, 2019 (collectively the “UPI Circulars”) in relation to streamlining the process of public issue of equity shares and convertibles. Pursuant to the UPI Circulars, UPI will be introduced in a phased manner as a payment mechanism (in addition to mechanism of blocking funds in the account maintained with SCSBs under the ASBA) for applications by RIBs through intermediaries with the objective to reduce the time duration from public issue closure to listing from six working days to up to three working days. Considering the time required for making necessary changes to the systems and to ensure complete and smooth </w:t>
      </w:r>
      <w:r w:rsidRPr="00712F3C">
        <w:rPr>
          <w:rFonts w:ascii="Times New Roman" w:eastAsia="Calibri" w:hAnsi="Times New Roman"/>
          <w:sz w:val="20"/>
          <w:szCs w:val="20"/>
        </w:rPr>
        <w:lastRenderedPageBreak/>
        <w:t>transition to the UPI Mechanism, the UPI Circular proposes to introduce and implement the UPI Mechanism in three phases in the following manner:</w:t>
      </w:r>
      <w:r w:rsidRPr="00712F3C">
        <w:rPr>
          <w:rFonts w:ascii="Times New Roman" w:eastAsia="Calibri" w:hAnsi="Times New Roman"/>
          <w:sz w:val="20"/>
          <w:szCs w:val="20"/>
        </w:rPr>
        <w:cr/>
      </w:r>
    </w:p>
    <w:p w14:paraId="6EB85D2F" w14:textId="77777777" w:rsidR="004047F2" w:rsidRPr="00712F3C" w:rsidRDefault="004047F2" w:rsidP="004047F2">
      <w:pPr>
        <w:spacing w:after="0" w:line="240" w:lineRule="auto"/>
        <w:jc w:val="both"/>
        <w:rPr>
          <w:rFonts w:ascii="Times New Roman" w:eastAsia="Calibri" w:hAnsi="Times New Roman"/>
          <w:sz w:val="20"/>
          <w:szCs w:val="20"/>
        </w:rPr>
      </w:pPr>
      <w:r w:rsidRPr="00712F3C">
        <w:rPr>
          <w:rFonts w:ascii="Times New Roman" w:eastAsia="Calibri" w:hAnsi="Times New Roman"/>
          <w:b/>
          <w:sz w:val="20"/>
          <w:szCs w:val="20"/>
        </w:rPr>
        <w:t>Phase I</w:t>
      </w:r>
      <w:r w:rsidRPr="00712F3C">
        <w:rPr>
          <w:rFonts w:ascii="Times New Roman" w:eastAsia="Calibri" w:hAnsi="Times New Roman"/>
          <w:sz w:val="20"/>
          <w:szCs w:val="20"/>
        </w:rPr>
        <w:t xml:space="preserve">: This phase has become applicable from January 1, 2019 until March 31, 2019 or floating of five main board public issues, whichever is later. Subsequently, the timeline for implementation of Phase I was extended till June 30, 2019. Under this phase, a Retail Individual Applicant had the option to submit the Application Form with any of the intermediary and use his / her UPI ID for the purpose of blocking of funds. The time duration from public issue closure to listing continued to be six Working Days. </w:t>
      </w:r>
    </w:p>
    <w:p w14:paraId="31DBD733" w14:textId="77777777" w:rsidR="004047F2" w:rsidRPr="00712F3C" w:rsidRDefault="004047F2" w:rsidP="004047F2">
      <w:pPr>
        <w:spacing w:after="0" w:line="240" w:lineRule="auto"/>
        <w:jc w:val="both"/>
        <w:rPr>
          <w:rFonts w:ascii="Times New Roman" w:eastAsia="Calibri" w:hAnsi="Times New Roman"/>
          <w:sz w:val="20"/>
          <w:szCs w:val="20"/>
        </w:rPr>
      </w:pPr>
    </w:p>
    <w:p w14:paraId="59DB9492" w14:textId="77777777" w:rsidR="004047F2" w:rsidRPr="00712F3C" w:rsidRDefault="004047F2" w:rsidP="004047F2">
      <w:pPr>
        <w:spacing w:after="0" w:line="240" w:lineRule="auto"/>
        <w:jc w:val="both"/>
        <w:rPr>
          <w:rFonts w:ascii="Times New Roman" w:eastAsia="Calibri" w:hAnsi="Times New Roman"/>
          <w:sz w:val="20"/>
          <w:szCs w:val="20"/>
        </w:rPr>
      </w:pPr>
      <w:r w:rsidRPr="00712F3C">
        <w:rPr>
          <w:rFonts w:ascii="Times New Roman" w:eastAsia="Calibri" w:hAnsi="Times New Roman"/>
          <w:b/>
          <w:sz w:val="20"/>
          <w:szCs w:val="20"/>
        </w:rPr>
        <w:t>Phase II</w:t>
      </w:r>
      <w:r w:rsidRPr="00712F3C">
        <w:rPr>
          <w:rFonts w:ascii="Times New Roman" w:eastAsia="Calibri" w:hAnsi="Times New Roman"/>
          <w:sz w:val="20"/>
          <w:szCs w:val="20"/>
        </w:rPr>
        <w:t xml:space="preserve">: This phase has become applicable from July 1, 2019 and was to initially continue for a period of three months or floating of five main board public issues, whichever is later. Subsequently, it was decided to extend the timeline for implementation of Phase II until March 31, 2020. Further, as per SEBI circular SEBI/HO/CFD/DIL2/CIR/P/2020/50 dated March 30, 2020, the current Phase II of Unified Payments Interface with Application Supported by Blocked Amount is continued till further notice. Under this phase, submission of the ASBA Form by RIIs through Designated Intermediaries (other than SCSBs) to SCSBs for blocking of funds will be discontinued and will be replaced by the UPI payment mechanism. However, the time duration from public issue closure to listing continues to be six Working Days during this phase. </w:t>
      </w:r>
    </w:p>
    <w:p w14:paraId="57DF8519" w14:textId="77777777" w:rsidR="004047F2" w:rsidRPr="00712F3C" w:rsidRDefault="004047F2" w:rsidP="004047F2">
      <w:pPr>
        <w:spacing w:after="0" w:line="240" w:lineRule="auto"/>
        <w:jc w:val="both"/>
        <w:rPr>
          <w:rFonts w:ascii="Times New Roman" w:eastAsia="Calibri" w:hAnsi="Times New Roman"/>
          <w:sz w:val="20"/>
          <w:szCs w:val="20"/>
        </w:rPr>
      </w:pPr>
    </w:p>
    <w:p w14:paraId="3501E4AD" w14:textId="77777777" w:rsidR="004047F2" w:rsidRPr="00712F3C" w:rsidRDefault="004047F2" w:rsidP="004047F2">
      <w:pPr>
        <w:spacing w:after="0" w:line="240" w:lineRule="auto"/>
        <w:jc w:val="both"/>
        <w:rPr>
          <w:rFonts w:ascii="Times New Roman" w:eastAsia="Calibri" w:hAnsi="Times New Roman"/>
          <w:sz w:val="20"/>
          <w:szCs w:val="20"/>
        </w:rPr>
      </w:pPr>
      <w:r w:rsidRPr="00712F3C">
        <w:rPr>
          <w:rFonts w:ascii="Times New Roman" w:eastAsia="Calibri" w:hAnsi="Times New Roman"/>
          <w:b/>
          <w:sz w:val="20"/>
          <w:szCs w:val="20"/>
        </w:rPr>
        <w:t>Phase III</w:t>
      </w:r>
      <w:r w:rsidRPr="00712F3C">
        <w:rPr>
          <w:rFonts w:ascii="Times New Roman" w:eastAsia="Calibri" w:hAnsi="Times New Roman"/>
          <w:sz w:val="20"/>
          <w:szCs w:val="20"/>
        </w:rPr>
        <w:t xml:space="preserve">: The commencement period of Phase III is yet to be notified. In this phase, the time duration from public issue closure to listing is proposed to be reduced to three Working Days. </w:t>
      </w:r>
    </w:p>
    <w:p w14:paraId="24AE9D76" w14:textId="77777777" w:rsidR="004047F2" w:rsidRPr="00712F3C" w:rsidRDefault="004047F2" w:rsidP="004047F2">
      <w:pPr>
        <w:spacing w:after="0" w:line="240" w:lineRule="auto"/>
        <w:jc w:val="both"/>
        <w:rPr>
          <w:rFonts w:ascii="Times New Roman" w:eastAsia="Calibri" w:hAnsi="Times New Roman"/>
          <w:sz w:val="20"/>
          <w:szCs w:val="20"/>
        </w:rPr>
      </w:pPr>
    </w:p>
    <w:p w14:paraId="59DB7ED3" w14:textId="77777777" w:rsidR="004047F2" w:rsidRPr="00712F3C" w:rsidRDefault="004047F2" w:rsidP="004047F2">
      <w:pPr>
        <w:spacing w:after="0" w:line="240" w:lineRule="auto"/>
        <w:jc w:val="both"/>
        <w:rPr>
          <w:rFonts w:ascii="Times New Roman" w:eastAsia="Calibri" w:hAnsi="Times New Roman"/>
          <w:sz w:val="20"/>
          <w:szCs w:val="20"/>
        </w:rPr>
      </w:pPr>
      <w:r w:rsidRPr="00712F3C">
        <w:rPr>
          <w:rFonts w:ascii="Times New Roman" w:eastAsia="Calibri" w:hAnsi="Times New Roman"/>
          <w:sz w:val="20"/>
          <w:szCs w:val="20"/>
        </w:rPr>
        <w:t>All SCSBs offering facility of making application in public issues shall also provide facility to make application using the UPI Mechanism. The Issuers will be required to appoint one of the SCSBs as a sponsor bank to act as a conduit between the Stock Exchanges and NPCI in order to facilitate collection of requests and / or payment instructions of the Retail Individual Applicants into the UPI mechanism.</w:t>
      </w:r>
    </w:p>
    <w:p w14:paraId="549D3F04" w14:textId="77777777" w:rsidR="004047F2" w:rsidRPr="00712F3C" w:rsidRDefault="004047F2" w:rsidP="004047F2">
      <w:pPr>
        <w:spacing w:after="0" w:line="240" w:lineRule="auto"/>
        <w:jc w:val="both"/>
        <w:rPr>
          <w:rFonts w:ascii="Times New Roman" w:eastAsia="Calibri" w:hAnsi="Times New Roman"/>
          <w:sz w:val="20"/>
          <w:szCs w:val="20"/>
        </w:rPr>
      </w:pPr>
    </w:p>
    <w:p w14:paraId="2F87588B" w14:textId="77777777" w:rsidR="004047F2" w:rsidRPr="00712F3C" w:rsidRDefault="004047F2" w:rsidP="004047F2">
      <w:pPr>
        <w:spacing w:after="0" w:line="240" w:lineRule="auto"/>
        <w:jc w:val="both"/>
        <w:rPr>
          <w:rFonts w:ascii="Times New Roman" w:eastAsia="Calibri" w:hAnsi="Times New Roman"/>
          <w:sz w:val="20"/>
          <w:szCs w:val="20"/>
        </w:rPr>
      </w:pPr>
      <w:r w:rsidRPr="00712F3C">
        <w:rPr>
          <w:rFonts w:ascii="Times New Roman" w:eastAsia="Calibri" w:hAnsi="Times New Roman"/>
          <w:sz w:val="20"/>
          <w:szCs w:val="20"/>
        </w:rPr>
        <w:t>For further details, refer to the General Information Document available on the websites of the Stock Exchanges and the Book Running Lead Manager.</w:t>
      </w:r>
    </w:p>
    <w:p w14:paraId="765C8909" w14:textId="77777777" w:rsidR="004047F2" w:rsidRPr="00712F3C" w:rsidRDefault="004047F2" w:rsidP="004047F2">
      <w:pPr>
        <w:spacing w:after="0" w:line="240" w:lineRule="auto"/>
        <w:jc w:val="center"/>
        <w:rPr>
          <w:rFonts w:ascii="Times New Roman" w:eastAsia="Calibri" w:hAnsi="Times New Roman"/>
          <w:b/>
          <w:sz w:val="20"/>
          <w:szCs w:val="20"/>
          <w:u w:val="single"/>
        </w:rPr>
      </w:pPr>
    </w:p>
    <w:p w14:paraId="5702157B" w14:textId="77777777" w:rsidR="004047F2" w:rsidRPr="00712F3C" w:rsidRDefault="004047F2" w:rsidP="004047F2">
      <w:pPr>
        <w:spacing w:after="0" w:line="240" w:lineRule="auto"/>
        <w:jc w:val="center"/>
        <w:rPr>
          <w:rFonts w:ascii="Times New Roman" w:eastAsia="Calibri" w:hAnsi="Times New Roman"/>
          <w:b/>
          <w:sz w:val="20"/>
          <w:szCs w:val="20"/>
          <w:u w:val="single"/>
        </w:rPr>
      </w:pPr>
      <w:r w:rsidRPr="00712F3C">
        <w:rPr>
          <w:rFonts w:ascii="Times New Roman" w:eastAsia="Calibri" w:hAnsi="Times New Roman"/>
          <w:b/>
          <w:sz w:val="20"/>
          <w:szCs w:val="20"/>
          <w:u w:val="single"/>
        </w:rPr>
        <w:t>PART A</w:t>
      </w:r>
    </w:p>
    <w:p w14:paraId="05FEE93A" w14:textId="77777777" w:rsidR="004047F2" w:rsidRPr="00712F3C" w:rsidRDefault="004047F2" w:rsidP="004047F2">
      <w:pPr>
        <w:spacing w:after="0" w:line="240" w:lineRule="auto"/>
        <w:jc w:val="center"/>
        <w:rPr>
          <w:rFonts w:ascii="Times New Roman" w:eastAsia="Calibri" w:hAnsi="Times New Roman"/>
          <w:b/>
          <w:sz w:val="20"/>
          <w:szCs w:val="20"/>
          <w:u w:val="single"/>
        </w:rPr>
      </w:pPr>
    </w:p>
    <w:p w14:paraId="1F460BDF" w14:textId="77777777" w:rsidR="004047F2" w:rsidRPr="00712F3C" w:rsidRDefault="004047F2" w:rsidP="004047F2">
      <w:pPr>
        <w:spacing w:after="0" w:line="240" w:lineRule="auto"/>
        <w:contextualSpacing/>
        <w:rPr>
          <w:rFonts w:ascii="Times New Roman" w:hAnsi="Times New Roman"/>
          <w:b/>
          <w:sz w:val="20"/>
          <w:szCs w:val="20"/>
        </w:rPr>
      </w:pPr>
      <w:r w:rsidRPr="00712F3C">
        <w:rPr>
          <w:rFonts w:ascii="Times New Roman" w:hAnsi="Times New Roman"/>
          <w:b/>
          <w:bCs/>
          <w:sz w:val="20"/>
          <w:szCs w:val="20"/>
        </w:rPr>
        <w:t>Book Building</w:t>
      </w:r>
      <w:r w:rsidRPr="00712F3C">
        <w:rPr>
          <w:rFonts w:ascii="Times New Roman" w:hAnsi="Times New Roman"/>
          <w:b/>
          <w:sz w:val="20"/>
          <w:szCs w:val="20"/>
        </w:rPr>
        <w:t xml:space="preserve"> Procedure</w:t>
      </w:r>
    </w:p>
    <w:p w14:paraId="5D422D85" w14:textId="77777777" w:rsidR="004047F2" w:rsidRPr="00712F3C" w:rsidRDefault="004047F2" w:rsidP="004047F2">
      <w:pPr>
        <w:spacing w:after="0" w:line="240" w:lineRule="auto"/>
        <w:contextualSpacing/>
        <w:rPr>
          <w:rFonts w:ascii="Times New Roman" w:eastAsia="Calibri" w:hAnsi="Times New Roman"/>
          <w:sz w:val="20"/>
          <w:szCs w:val="20"/>
        </w:rPr>
      </w:pPr>
    </w:p>
    <w:p w14:paraId="4ED93A68" w14:textId="77777777" w:rsidR="004047F2" w:rsidRPr="00712F3C" w:rsidRDefault="004047F2" w:rsidP="004047F2">
      <w:pPr>
        <w:autoSpaceDE w:val="0"/>
        <w:autoSpaceDN w:val="0"/>
        <w:adjustRightInd w:val="0"/>
        <w:spacing w:after="0" w:line="240" w:lineRule="auto"/>
        <w:jc w:val="both"/>
        <w:rPr>
          <w:rFonts w:ascii="Times New Roman" w:hAnsi="Times New Roman"/>
          <w:sz w:val="20"/>
          <w:szCs w:val="20"/>
        </w:rPr>
      </w:pPr>
      <w:r w:rsidRPr="00712F3C">
        <w:rPr>
          <w:rFonts w:ascii="Times New Roman" w:hAnsi="Times New Roman"/>
          <w:sz w:val="20"/>
          <w:szCs w:val="20"/>
        </w:rPr>
        <w:t xml:space="preserve">In terms of Rule 19(2)(b) of the Securities Contracts (Regulation) Rules, 1957, as amended (the “SCRR”) read with Regulation 252 of SEBI ICDR Regulations, 2018, the Issue is being made for at least 25% of the post-Issue paid-up Equity Share capital of our Company. The Issue is being made under Regulation 229(2) of Chapter IX of SEBI (Issue of Capital and Disclosure Requirements) Regulations, 2018 via book building process wherein not more than 50% of the Issue shall be allocated on a proportionate basis to QIBs, provided that our Company and may, in consultation with the BRLM, allocate up to 60% of the QIB Portion to Anchor Investors on a discretionary basis in accordance with the SEBI ICDR Regulations, of which one-third shall be reserved for domestic Mutual Funds, subject to valid Bids being received from domestic Mutual Funds at or above the Anchor Investor Allocation Price. In the event of under-subscription, or non-allocation in the Anchor Investor Portion, the balance Equity Shares shall be added to the QIB Portion. Further, 5% of the QIB Portion (excluding the Anchor Investor Portion) shall be available for allocation on a proportionate basis only to Mutual Funds, and the remainder of the QIB Portion shall be available for allocation on a proportionate basis to all QIBs (other than Anchor Investors), including Mutual Funds, subject to valid Bids being received at or above the Issue Price. Further, not less than 15% of the Issue shall be available for allocation on a proportionate basis to Non Institutional Investors and not less than 35% of the Issue shall be available for allocation to Retail Individual Investors in accordance with the SEBI ICDR Regulations, subject to valid Bids being received at or above the Issue Price. </w:t>
      </w:r>
    </w:p>
    <w:p w14:paraId="7EA2819E" w14:textId="77777777" w:rsidR="004047F2" w:rsidRPr="00712F3C" w:rsidRDefault="004047F2" w:rsidP="004047F2">
      <w:pPr>
        <w:spacing w:after="0" w:line="240" w:lineRule="auto"/>
        <w:contextualSpacing/>
        <w:jc w:val="both"/>
        <w:rPr>
          <w:rFonts w:ascii="Times New Roman" w:eastAsia="Calibri" w:hAnsi="Times New Roman"/>
          <w:sz w:val="20"/>
          <w:szCs w:val="20"/>
        </w:rPr>
      </w:pPr>
    </w:p>
    <w:p w14:paraId="3B53826F" w14:textId="77777777" w:rsidR="004047F2" w:rsidRPr="00712F3C" w:rsidRDefault="004047F2" w:rsidP="004047F2">
      <w:pPr>
        <w:autoSpaceDE w:val="0"/>
        <w:autoSpaceDN w:val="0"/>
        <w:adjustRightInd w:val="0"/>
        <w:spacing w:after="0" w:line="240" w:lineRule="auto"/>
        <w:jc w:val="both"/>
        <w:rPr>
          <w:rFonts w:ascii="Times New Roman" w:hAnsi="Times New Roman"/>
          <w:sz w:val="20"/>
          <w:szCs w:val="20"/>
        </w:rPr>
      </w:pPr>
      <w:r w:rsidRPr="00712F3C">
        <w:rPr>
          <w:rFonts w:ascii="Times New Roman" w:hAnsi="Times New Roman"/>
          <w:sz w:val="20"/>
          <w:szCs w:val="20"/>
        </w:rPr>
        <w:t>Subject to valid Bids being received at or above the Issue Price, undersubscription, if any, in any category, except the QIB Portion, would be allowed to be met with spill-over from any other category or a combination of categories at the discretion of our Company in consultation with the BRLM, and the Designated Stock Exchange. However, under-subscription, if any, in the QIB Portion will not be allowed to be met with spillover from other categories or a combination of categories.</w:t>
      </w:r>
    </w:p>
    <w:p w14:paraId="0DBFB5DE" w14:textId="77777777" w:rsidR="004047F2" w:rsidRPr="00712F3C" w:rsidRDefault="004047F2" w:rsidP="004047F2">
      <w:pPr>
        <w:spacing w:after="0" w:line="240" w:lineRule="auto"/>
        <w:jc w:val="both"/>
        <w:rPr>
          <w:rFonts w:ascii="Times New Roman" w:hAnsi="Times New Roman"/>
          <w:sz w:val="20"/>
          <w:szCs w:val="20"/>
        </w:rPr>
      </w:pPr>
    </w:p>
    <w:p w14:paraId="0EB0BB73" w14:textId="77777777" w:rsidR="004047F2" w:rsidRPr="00712F3C" w:rsidRDefault="004047F2" w:rsidP="004047F2">
      <w:pPr>
        <w:spacing w:after="0" w:line="240" w:lineRule="auto"/>
        <w:jc w:val="both"/>
        <w:rPr>
          <w:rFonts w:ascii="Times New Roman" w:hAnsi="Times New Roman"/>
          <w:sz w:val="20"/>
          <w:szCs w:val="20"/>
        </w:rPr>
      </w:pPr>
      <w:r w:rsidRPr="00712F3C">
        <w:rPr>
          <w:rFonts w:ascii="Times New Roman" w:hAnsi="Times New Roman"/>
          <w:sz w:val="20"/>
          <w:szCs w:val="20"/>
        </w:rPr>
        <w:t>The Equity Shares, on Allotment, shall be traded only in the dematerialised segment of the Stock Exchanges.</w:t>
      </w:r>
    </w:p>
    <w:p w14:paraId="2D13EE4A" w14:textId="77777777" w:rsidR="004047F2" w:rsidRPr="00712F3C" w:rsidRDefault="004047F2" w:rsidP="004047F2">
      <w:pPr>
        <w:spacing w:after="0" w:line="240" w:lineRule="auto"/>
        <w:jc w:val="both"/>
        <w:rPr>
          <w:rFonts w:ascii="Times New Roman" w:hAnsi="Times New Roman"/>
          <w:sz w:val="20"/>
          <w:szCs w:val="20"/>
        </w:rPr>
      </w:pPr>
    </w:p>
    <w:p w14:paraId="70A9599B" w14:textId="77777777" w:rsidR="004047F2" w:rsidRPr="00712F3C" w:rsidRDefault="004047F2" w:rsidP="004047F2">
      <w:pPr>
        <w:spacing w:after="0" w:line="240" w:lineRule="auto"/>
        <w:jc w:val="both"/>
        <w:rPr>
          <w:rFonts w:ascii="Times New Roman" w:hAnsi="Times New Roman"/>
          <w:b/>
          <w:i/>
          <w:sz w:val="20"/>
          <w:szCs w:val="20"/>
        </w:rPr>
      </w:pPr>
      <w:r w:rsidRPr="00712F3C">
        <w:rPr>
          <w:rFonts w:ascii="Times New Roman" w:hAnsi="Times New Roman"/>
          <w:b/>
          <w:i/>
          <w:sz w:val="20"/>
          <w:szCs w:val="20"/>
        </w:rPr>
        <w:t>Investors should note that the Equity Shares will be Allotted to all successful Bidders only in dematerialized form. The Bid cum Application Forms which do not have the details of the Bidders’ depository account, including DP ID, Client ID, PAN and UPI ID, as applicable, shall be treated as incomplete and will be rejected. Bidders will not have the option of being Allotted Equity Shares in physical form. However, they may get the Equity Shares rematerialized subsequent to Allotment of the Equity Shares in the Offer, subject to applicable laws.</w:t>
      </w:r>
    </w:p>
    <w:p w14:paraId="2BDF8F83" w14:textId="77777777" w:rsidR="004047F2" w:rsidRPr="00712F3C" w:rsidRDefault="004047F2" w:rsidP="004047F2">
      <w:pPr>
        <w:spacing w:after="0" w:line="240" w:lineRule="auto"/>
        <w:jc w:val="both"/>
        <w:rPr>
          <w:rFonts w:ascii="Times New Roman" w:hAnsi="Times New Roman"/>
          <w:i/>
          <w:sz w:val="20"/>
          <w:szCs w:val="20"/>
        </w:rPr>
      </w:pPr>
    </w:p>
    <w:p w14:paraId="3A916656" w14:textId="77777777" w:rsidR="004047F2" w:rsidRPr="00712F3C" w:rsidRDefault="004047F2" w:rsidP="004047F2">
      <w:pPr>
        <w:pStyle w:val="Default"/>
        <w:contextualSpacing/>
        <w:jc w:val="both"/>
        <w:rPr>
          <w:b/>
          <w:sz w:val="20"/>
          <w:szCs w:val="20"/>
        </w:rPr>
      </w:pPr>
      <w:r w:rsidRPr="00712F3C">
        <w:rPr>
          <w:b/>
          <w:bCs/>
          <w:sz w:val="20"/>
          <w:szCs w:val="20"/>
        </w:rPr>
        <w:t xml:space="preserve">Bid cum </w:t>
      </w:r>
      <w:r w:rsidRPr="00712F3C">
        <w:rPr>
          <w:b/>
          <w:sz w:val="20"/>
          <w:szCs w:val="20"/>
        </w:rPr>
        <w:t>Application Form</w:t>
      </w:r>
    </w:p>
    <w:p w14:paraId="770FD199" w14:textId="77777777" w:rsidR="004047F2" w:rsidRPr="00712F3C" w:rsidRDefault="004047F2" w:rsidP="004047F2">
      <w:pPr>
        <w:pStyle w:val="Default"/>
        <w:contextualSpacing/>
        <w:jc w:val="both"/>
        <w:rPr>
          <w:sz w:val="20"/>
          <w:szCs w:val="20"/>
        </w:rPr>
      </w:pPr>
    </w:p>
    <w:p w14:paraId="34E8CB0D" w14:textId="77777777" w:rsidR="004047F2" w:rsidRPr="00712F3C" w:rsidRDefault="004047F2" w:rsidP="004047F2">
      <w:pPr>
        <w:pStyle w:val="Default"/>
        <w:contextualSpacing/>
        <w:jc w:val="both"/>
        <w:rPr>
          <w:sz w:val="20"/>
          <w:szCs w:val="20"/>
        </w:rPr>
      </w:pPr>
      <w:r w:rsidRPr="00712F3C">
        <w:rPr>
          <w:sz w:val="20"/>
          <w:szCs w:val="20"/>
        </w:rPr>
        <w:t xml:space="preserve">Copies of the Bid cum Application Form (other than for Anchor Investors) and the abridged prospectus will be available at the offices of the BRLM, the Designated Intermediaries at Bidding Centres, and Registered Office of our Company. An electronic copy </w:t>
      </w:r>
      <w:r w:rsidRPr="00712F3C">
        <w:rPr>
          <w:sz w:val="20"/>
          <w:szCs w:val="20"/>
        </w:rPr>
        <w:lastRenderedPageBreak/>
        <w:t>of the Bid cum Application Form will also be available for download on the websites of the BSE, at least one day prior to the Bid/Issue Opening Date.</w:t>
      </w:r>
    </w:p>
    <w:p w14:paraId="61C27DEC" w14:textId="77777777" w:rsidR="004047F2" w:rsidRPr="00712F3C" w:rsidRDefault="004047F2" w:rsidP="004047F2">
      <w:pPr>
        <w:pStyle w:val="Default"/>
        <w:contextualSpacing/>
        <w:jc w:val="both"/>
        <w:rPr>
          <w:sz w:val="20"/>
          <w:szCs w:val="20"/>
        </w:rPr>
      </w:pPr>
    </w:p>
    <w:p w14:paraId="7D65BC85" w14:textId="77777777" w:rsidR="004047F2" w:rsidRPr="00712F3C" w:rsidRDefault="004047F2" w:rsidP="004047F2">
      <w:pPr>
        <w:pStyle w:val="Default"/>
        <w:contextualSpacing/>
        <w:jc w:val="both"/>
        <w:rPr>
          <w:sz w:val="20"/>
          <w:szCs w:val="20"/>
        </w:rPr>
      </w:pPr>
      <w:r w:rsidRPr="00712F3C">
        <w:rPr>
          <w:sz w:val="20"/>
          <w:szCs w:val="20"/>
        </w:rPr>
        <w:t>Copies of the Anchor Investor Application Form will be available at the offices of the BRLM.</w:t>
      </w:r>
    </w:p>
    <w:p w14:paraId="42FE28D6" w14:textId="77777777" w:rsidR="004047F2" w:rsidRPr="00712F3C" w:rsidRDefault="004047F2" w:rsidP="004047F2">
      <w:pPr>
        <w:pStyle w:val="Default"/>
        <w:contextualSpacing/>
        <w:jc w:val="both"/>
        <w:rPr>
          <w:sz w:val="20"/>
          <w:szCs w:val="20"/>
        </w:rPr>
      </w:pPr>
    </w:p>
    <w:p w14:paraId="2B717096" w14:textId="77777777" w:rsidR="004047F2" w:rsidRPr="00712F3C" w:rsidRDefault="004047F2" w:rsidP="004047F2">
      <w:pPr>
        <w:autoSpaceDE w:val="0"/>
        <w:autoSpaceDN w:val="0"/>
        <w:adjustRightInd w:val="0"/>
        <w:spacing w:after="0" w:line="240" w:lineRule="auto"/>
        <w:jc w:val="both"/>
        <w:rPr>
          <w:rFonts w:ascii="Times New Roman" w:hAnsi="Times New Roman"/>
          <w:sz w:val="20"/>
          <w:szCs w:val="20"/>
        </w:rPr>
      </w:pPr>
      <w:r w:rsidRPr="00712F3C">
        <w:rPr>
          <w:rFonts w:ascii="Times New Roman" w:hAnsi="Times New Roman"/>
          <w:sz w:val="20"/>
          <w:szCs w:val="20"/>
        </w:rPr>
        <w:t>All Bidders (other than Anchor Investors) shall mandatorily participate in the Issue only through the ASBA process. ASBA Bidders must provide either (i) the bank account details and authorisation to block funds in the ASBA Form, or (ii) the UPI ID, as applicable, in the relevant space provided in the ASBA Form. The ASBA Forms that do not contain such details are liable to be rejected. Applications made by the RIIs using third party bank account or using third party linked bank account UPI ID are liable for rejection. Anchor Investors are not permitted to participate in the Offer through the ASBA process. ASBA Bidders shall ensure that the Bids are made on ASBA Forms bearing the stamp of the relevant Designated Intermediary, submitted at the relevant Bidding Centres only (except in case of electronic ASBA Forms) and the ASBA Forms not bearing such specified stamp are liable to be rejected. Since the Offer is made under Phase II of the UPI Circulars, ASBA Bidders may submit the ASBA Form in the manner below:</w:t>
      </w:r>
    </w:p>
    <w:p w14:paraId="39F8F1F9" w14:textId="77777777" w:rsidR="004047F2" w:rsidRPr="00712F3C" w:rsidRDefault="004047F2" w:rsidP="004047F2">
      <w:pPr>
        <w:autoSpaceDE w:val="0"/>
        <w:autoSpaceDN w:val="0"/>
        <w:adjustRightInd w:val="0"/>
        <w:spacing w:after="0" w:line="240" w:lineRule="auto"/>
        <w:jc w:val="both"/>
        <w:rPr>
          <w:rFonts w:ascii="Times New Roman" w:hAnsi="Times New Roman"/>
          <w:sz w:val="20"/>
          <w:szCs w:val="20"/>
        </w:rPr>
      </w:pPr>
    </w:p>
    <w:p w14:paraId="1E67C23D" w14:textId="77777777" w:rsidR="004047F2" w:rsidRPr="00712F3C" w:rsidRDefault="004047F2">
      <w:pPr>
        <w:numPr>
          <w:ilvl w:val="2"/>
          <w:numId w:val="309"/>
        </w:numPr>
        <w:autoSpaceDE w:val="0"/>
        <w:autoSpaceDN w:val="0"/>
        <w:adjustRightInd w:val="0"/>
        <w:spacing w:after="0" w:line="240" w:lineRule="auto"/>
        <w:ind w:left="360"/>
        <w:jc w:val="both"/>
        <w:rPr>
          <w:rFonts w:ascii="Times New Roman" w:hAnsi="Times New Roman"/>
          <w:sz w:val="20"/>
          <w:szCs w:val="20"/>
        </w:rPr>
      </w:pPr>
      <w:r w:rsidRPr="00712F3C">
        <w:rPr>
          <w:rFonts w:ascii="Times New Roman" w:hAnsi="Times New Roman"/>
          <w:sz w:val="20"/>
          <w:szCs w:val="20"/>
        </w:rPr>
        <w:t>RIIs (other than the RIIs using UPI Mechanism) may submit their ASBA Forms with SCSBs (physically or online, as applicable), or online using the facility of linked online trading, demat and bank account (3 in 1 type accounts), provided by certain brokers.</w:t>
      </w:r>
    </w:p>
    <w:p w14:paraId="0D935D67" w14:textId="77777777" w:rsidR="004047F2" w:rsidRPr="00712F3C" w:rsidRDefault="004047F2" w:rsidP="004047F2">
      <w:pPr>
        <w:autoSpaceDE w:val="0"/>
        <w:autoSpaceDN w:val="0"/>
        <w:adjustRightInd w:val="0"/>
        <w:spacing w:after="0" w:line="240" w:lineRule="auto"/>
        <w:jc w:val="both"/>
        <w:rPr>
          <w:rFonts w:ascii="Times New Roman" w:hAnsi="Times New Roman"/>
          <w:sz w:val="20"/>
          <w:szCs w:val="20"/>
        </w:rPr>
      </w:pPr>
    </w:p>
    <w:p w14:paraId="6972F795" w14:textId="77777777" w:rsidR="004047F2" w:rsidRPr="00712F3C" w:rsidRDefault="004047F2">
      <w:pPr>
        <w:numPr>
          <w:ilvl w:val="2"/>
          <w:numId w:val="309"/>
        </w:numPr>
        <w:autoSpaceDE w:val="0"/>
        <w:autoSpaceDN w:val="0"/>
        <w:adjustRightInd w:val="0"/>
        <w:spacing w:after="0" w:line="240" w:lineRule="auto"/>
        <w:ind w:left="360"/>
        <w:jc w:val="both"/>
        <w:rPr>
          <w:rFonts w:ascii="Times New Roman" w:hAnsi="Times New Roman"/>
          <w:sz w:val="20"/>
          <w:szCs w:val="20"/>
        </w:rPr>
      </w:pPr>
      <w:r w:rsidRPr="00712F3C">
        <w:rPr>
          <w:rFonts w:ascii="Times New Roman" w:hAnsi="Times New Roman"/>
          <w:sz w:val="20"/>
          <w:szCs w:val="20"/>
        </w:rPr>
        <w:t>RIIs using the UPI Mechanism, may submit their ASBA Forms with the Syndicate, sub-syndicate members, Registered Brokers, RTAs or CDPs, or online using the facility of linked online trading, demat and bank account (3 in 1 type accounts), provided by certain brokers.</w:t>
      </w:r>
    </w:p>
    <w:p w14:paraId="7A90EDAF" w14:textId="77777777" w:rsidR="004047F2" w:rsidRPr="00712F3C" w:rsidRDefault="004047F2" w:rsidP="004047F2">
      <w:pPr>
        <w:autoSpaceDE w:val="0"/>
        <w:autoSpaceDN w:val="0"/>
        <w:adjustRightInd w:val="0"/>
        <w:spacing w:after="0" w:line="240" w:lineRule="auto"/>
        <w:jc w:val="both"/>
        <w:rPr>
          <w:rFonts w:ascii="Times New Roman" w:hAnsi="Times New Roman"/>
          <w:sz w:val="20"/>
          <w:szCs w:val="20"/>
        </w:rPr>
      </w:pPr>
    </w:p>
    <w:p w14:paraId="24FB5B9F" w14:textId="77777777" w:rsidR="004047F2" w:rsidRPr="00712F3C" w:rsidRDefault="004047F2">
      <w:pPr>
        <w:numPr>
          <w:ilvl w:val="2"/>
          <w:numId w:val="309"/>
        </w:numPr>
        <w:autoSpaceDE w:val="0"/>
        <w:autoSpaceDN w:val="0"/>
        <w:adjustRightInd w:val="0"/>
        <w:spacing w:after="0" w:line="240" w:lineRule="auto"/>
        <w:ind w:left="360"/>
        <w:jc w:val="both"/>
        <w:rPr>
          <w:rFonts w:ascii="Times New Roman" w:hAnsi="Times New Roman"/>
          <w:sz w:val="20"/>
          <w:szCs w:val="20"/>
        </w:rPr>
      </w:pPr>
      <w:r w:rsidRPr="00712F3C">
        <w:rPr>
          <w:rFonts w:ascii="Times New Roman" w:hAnsi="Times New Roman"/>
          <w:sz w:val="20"/>
          <w:szCs w:val="20"/>
        </w:rPr>
        <w:t>QIBs and NIBs may submit their ASBA Forms with SCSBs, Syndicate, sub-syndicate members, Registered Brokers, RTAs or CDPs.</w:t>
      </w:r>
    </w:p>
    <w:p w14:paraId="59F69EC7" w14:textId="77777777" w:rsidR="004047F2" w:rsidRPr="00712F3C" w:rsidRDefault="004047F2" w:rsidP="004047F2">
      <w:pPr>
        <w:autoSpaceDE w:val="0"/>
        <w:autoSpaceDN w:val="0"/>
        <w:adjustRightInd w:val="0"/>
        <w:spacing w:after="0" w:line="240" w:lineRule="auto"/>
        <w:jc w:val="both"/>
        <w:rPr>
          <w:rFonts w:ascii="Times New Roman" w:hAnsi="Times New Roman"/>
          <w:sz w:val="20"/>
          <w:szCs w:val="20"/>
        </w:rPr>
      </w:pPr>
    </w:p>
    <w:p w14:paraId="65362516" w14:textId="77777777" w:rsidR="004047F2" w:rsidRPr="00712F3C" w:rsidRDefault="004047F2" w:rsidP="004047F2">
      <w:pPr>
        <w:pStyle w:val="Default"/>
        <w:contextualSpacing/>
        <w:jc w:val="both"/>
        <w:rPr>
          <w:sz w:val="20"/>
          <w:szCs w:val="20"/>
        </w:rPr>
      </w:pPr>
      <w:r w:rsidRPr="00712F3C">
        <w:rPr>
          <w:b/>
          <w:bCs/>
          <w:sz w:val="20"/>
          <w:szCs w:val="20"/>
        </w:rPr>
        <w:t>Anchor Investors are not permitted to participate in the Offer through the ASBA process</w:t>
      </w:r>
      <w:r w:rsidRPr="00712F3C">
        <w:rPr>
          <w:sz w:val="20"/>
          <w:szCs w:val="20"/>
        </w:rPr>
        <w:t>.</w:t>
      </w:r>
    </w:p>
    <w:p w14:paraId="6939B34D" w14:textId="77777777" w:rsidR="004047F2" w:rsidRPr="00712F3C" w:rsidRDefault="004047F2" w:rsidP="004047F2">
      <w:pPr>
        <w:pStyle w:val="Default"/>
        <w:contextualSpacing/>
        <w:jc w:val="both"/>
        <w:rPr>
          <w:sz w:val="20"/>
          <w:szCs w:val="20"/>
        </w:rPr>
      </w:pPr>
    </w:p>
    <w:p w14:paraId="65A089E8" w14:textId="77777777" w:rsidR="004047F2" w:rsidRPr="00712F3C" w:rsidRDefault="004047F2" w:rsidP="004047F2">
      <w:pPr>
        <w:autoSpaceDE w:val="0"/>
        <w:autoSpaceDN w:val="0"/>
        <w:adjustRightInd w:val="0"/>
        <w:spacing w:after="0" w:line="240" w:lineRule="auto"/>
        <w:jc w:val="both"/>
        <w:rPr>
          <w:rFonts w:ascii="Times New Roman" w:hAnsi="Times New Roman"/>
          <w:sz w:val="20"/>
          <w:szCs w:val="20"/>
        </w:rPr>
      </w:pPr>
      <w:r w:rsidRPr="00712F3C">
        <w:rPr>
          <w:rFonts w:ascii="Times New Roman" w:hAnsi="Times New Roman"/>
          <w:sz w:val="20"/>
          <w:szCs w:val="20"/>
        </w:rPr>
        <w:t>For Anchor Investors, the Anchor Investor Application Form will be available at the office of the BRLM. ASBA Bidders are also required to ensure that the ASBA Account has sufficient credit balance as an amount equivalent to the full Bid Amount which can be blocked by the SCSB.</w:t>
      </w:r>
    </w:p>
    <w:p w14:paraId="5AD76990" w14:textId="77777777" w:rsidR="004047F2" w:rsidRPr="00712F3C" w:rsidRDefault="004047F2" w:rsidP="004047F2">
      <w:pPr>
        <w:pStyle w:val="Default"/>
        <w:contextualSpacing/>
        <w:jc w:val="both"/>
        <w:rPr>
          <w:sz w:val="20"/>
          <w:szCs w:val="20"/>
        </w:rPr>
      </w:pPr>
    </w:p>
    <w:p w14:paraId="14F9A2D1" w14:textId="77777777" w:rsidR="004047F2" w:rsidRPr="00712F3C" w:rsidRDefault="004047F2" w:rsidP="004047F2">
      <w:pPr>
        <w:pStyle w:val="Default"/>
        <w:contextualSpacing/>
        <w:jc w:val="both"/>
        <w:rPr>
          <w:sz w:val="20"/>
          <w:szCs w:val="20"/>
        </w:rPr>
      </w:pPr>
      <w:r w:rsidRPr="00712F3C">
        <w:rPr>
          <w:sz w:val="20"/>
          <w:szCs w:val="20"/>
        </w:rPr>
        <w:t>The prescribed colour of the Bid cum Application Form for various categories is as follows:</w:t>
      </w:r>
    </w:p>
    <w:p w14:paraId="47E7D5CF" w14:textId="77777777" w:rsidR="004047F2" w:rsidRPr="00712F3C" w:rsidRDefault="004047F2" w:rsidP="004047F2">
      <w:pPr>
        <w:spacing w:after="0" w:line="240" w:lineRule="auto"/>
        <w:contextualSpacing/>
        <w:jc w:val="both"/>
        <w:rPr>
          <w:rFonts w:ascii="Times New Roman" w:hAnsi="Times New Roman"/>
          <w:b/>
          <w:sz w:val="20"/>
          <w:szCs w:val="20"/>
          <w:u w:val="single"/>
        </w:rPr>
      </w:pPr>
    </w:p>
    <w:tbl>
      <w:tblPr>
        <w:tblW w:w="4883" w:type="pct"/>
        <w:tblInd w:w="115" w:type="dxa"/>
        <w:tblBorders>
          <w:top w:val="single" w:sz="4" w:space="0" w:color="auto"/>
          <w:bottom w:val="single" w:sz="4" w:space="0" w:color="auto"/>
          <w:insideH w:val="single" w:sz="4" w:space="0" w:color="auto"/>
        </w:tblBorders>
        <w:tblCellMar>
          <w:top w:w="14" w:type="dxa"/>
          <w:left w:w="115" w:type="dxa"/>
          <w:bottom w:w="14" w:type="dxa"/>
          <w:right w:w="115" w:type="dxa"/>
        </w:tblCellMar>
        <w:tblLook w:val="04A0" w:firstRow="1" w:lastRow="0" w:firstColumn="1" w:lastColumn="0" w:noHBand="0" w:noVBand="1"/>
      </w:tblPr>
      <w:tblGrid>
        <w:gridCol w:w="9098"/>
        <w:gridCol w:w="1113"/>
      </w:tblGrid>
      <w:tr w:rsidR="004047F2" w:rsidRPr="00712F3C" w14:paraId="33F9F6A9" w14:textId="77777777" w:rsidTr="00250DAC">
        <w:trPr>
          <w:trHeight w:val="57"/>
        </w:trPr>
        <w:tc>
          <w:tcPr>
            <w:tcW w:w="4455" w:type="pct"/>
            <w:tcBorders>
              <w:left w:val="single" w:sz="4" w:space="0" w:color="auto"/>
              <w:right w:val="single" w:sz="4" w:space="0" w:color="auto"/>
            </w:tcBorders>
            <w:shd w:val="clear" w:color="auto" w:fill="D0CECE" w:themeFill="background2" w:themeFillShade="E6"/>
            <w:hideMark/>
          </w:tcPr>
          <w:p w14:paraId="240254A5" w14:textId="77777777" w:rsidR="004047F2" w:rsidRPr="00712F3C" w:rsidRDefault="004047F2" w:rsidP="00250DAC">
            <w:pPr>
              <w:spacing w:after="0" w:line="240" w:lineRule="auto"/>
              <w:contextualSpacing/>
              <w:jc w:val="both"/>
              <w:rPr>
                <w:rFonts w:ascii="Times New Roman" w:hAnsi="Times New Roman"/>
                <w:b/>
                <w:sz w:val="20"/>
                <w:szCs w:val="20"/>
              </w:rPr>
            </w:pPr>
            <w:r w:rsidRPr="00712F3C">
              <w:rPr>
                <w:rFonts w:ascii="Times New Roman" w:hAnsi="Times New Roman"/>
                <w:b/>
                <w:sz w:val="20"/>
                <w:szCs w:val="20"/>
              </w:rPr>
              <w:t>Category</w:t>
            </w:r>
          </w:p>
        </w:tc>
        <w:tc>
          <w:tcPr>
            <w:tcW w:w="545" w:type="pct"/>
            <w:tcBorders>
              <w:left w:val="single" w:sz="4" w:space="0" w:color="auto"/>
              <w:right w:val="single" w:sz="4" w:space="0" w:color="auto"/>
            </w:tcBorders>
            <w:shd w:val="clear" w:color="auto" w:fill="D0CECE" w:themeFill="background2" w:themeFillShade="E6"/>
            <w:hideMark/>
          </w:tcPr>
          <w:p w14:paraId="08760DBE" w14:textId="77777777" w:rsidR="004047F2" w:rsidRPr="00712F3C" w:rsidRDefault="004047F2" w:rsidP="00250DAC">
            <w:pPr>
              <w:spacing w:after="0" w:line="240" w:lineRule="auto"/>
              <w:contextualSpacing/>
              <w:jc w:val="both"/>
              <w:rPr>
                <w:rFonts w:ascii="Times New Roman" w:hAnsi="Times New Roman"/>
                <w:b/>
                <w:sz w:val="20"/>
                <w:szCs w:val="20"/>
              </w:rPr>
            </w:pPr>
            <w:r w:rsidRPr="00712F3C">
              <w:rPr>
                <w:rFonts w:ascii="Times New Roman" w:hAnsi="Times New Roman"/>
                <w:b/>
                <w:sz w:val="20"/>
                <w:szCs w:val="20"/>
              </w:rPr>
              <w:t>Colour*</w:t>
            </w:r>
          </w:p>
        </w:tc>
      </w:tr>
      <w:tr w:rsidR="004047F2" w:rsidRPr="00712F3C" w14:paraId="311E7589" w14:textId="77777777" w:rsidTr="00250DAC">
        <w:trPr>
          <w:trHeight w:val="57"/>
        </w:trPr>
        <w:tc>
          <w:tcPr>
            <w:tcW w:w="4455" w:type="pct"/>
            <w:tcBorders>
              <w:left w:val="single" w:sz="4" w:space="0" w:color="auto"/>
              <w:right w:val="single" w:sz="4" w:space="0" w:color="auto"/>
            </w:tcBorders>
            <w:shd w:val="clear" w:color="auto" w:fill="auto"/>
          </w:tcPr>
          <w:p w14:paraId="1778738F" w14:textId="77777777" w:rsidR="004047F2" w:rsidRPr="00712F3C" w:rsidRDefault="004047F2" w:rsidP="00250DAC">
            <w:pPr>
              <w:spacing w:after="0" w:line="240" w:lineRule="auto"/>
              <w:contextualSpacing/>
              <w:jc w:val="both"/>
              <w:rPr>
                <w:rFonts w:ascii="Times New Roman" w:hAnsi="Times New Roman"/>
                <w:sz w:val="20"/>
                <w:szCs w:val="20"/>
              </w:rPr>
            </w:pPr>
            <w:r w:rsidRPr="00712F3C">
              <w:rPr>
                <w:rFonts w:ascii="Times New Roman" w:hAnsi="Times New Roman"/>
                <w:sz w:val="20"/>
                <w:szCs w:val="20"/>
              </w:rPr>
              <w:t>Anchor Investor**</w:t>
            </w:r>
          </w:p>
        </w:tc>
        <w:tc>
          <w:tcPr>
            <w:tcW w:w="545" w:type="pct"/>
            <w:tcBorders>
              <w:left w:val="single" w:sz="4" w:space="0" w:color="auto"/>
              <w:right w:val="single" w:sz="4" w:space="0" w:color="auto"/>
            </w:tcBorders>
            <w:shd w:val="clear" w:color="auto" w:fill="auto"/>
          </w:tcPr>
          <w:p w14:paraId="02F5F757" w14:textId="77777777" w:rsidR="004047F2" w:rsidRPr="00712F3C" w:rsidRDefault="004047F2" w:rsidP="00250DAC">
            <w:pPr>
              <w:spacing w:after="0" w:line="240" w:lineRule="auto"/>
              <w:contextualSpacing/>
              <w:jc w:val="center"/>
              <w:rPr>
                <w:rFonts w:ascii="Times New Roman" w:hAnsi="Times New Roman"/>
                <w:sz w:val="20"/>
                <w:szCs w:val="20"/>
              </w:rPr>
            </w:pPr>
            <w:r w:rsidRPr="00712F3C">
              <w:rPr>
                <w:rFonts w:ascii="Times New Roman" w:hAnsi="Times New Roman"/>
                <w:sz w:val="20"/>
                <w:szCs w:val="20"/>
              </w:rPr>
              <w:t>[•]</w:t>
            </w:r>
          </w:p>
        </w:tc>
      </w:tr>
      <w:tr w:rsidR="004047F2" w:rsidRPr="00712F3C" w14:paraId="2234CD91" w14:textId="77777777" w:rsidTr="00250DAC">
        <w:trPr>
          <w:trHeight w:val="57"/>
        </w:trPr>
        <w:tc>
          <w:tcPr>
            <w:tcW w:w="4455" w:type="pct"/>
            <w:tcBorders>
              <w:left w:val="single" w:sz="4" w:space="0" w:color="auto"/>
              <w:right w:val="single" w:sz="4" w:space="0" w:color="auto"/>
            </w:tcBorders>
            <w:hideMark/>
          </w:tcPr>
          <w:p w14:paraId="788FD3B2" w14:textId="77777777" w:rsidR="004047F2" w:rsidRPr="00712F3C" w:rsidRDefault="004047F2" w:rsidP="00250DAC">
            <w:pPr>
              <w:spacing w:after="0" w:line="240" w:lineRule="auto"/>
              <w:contextualSpacing/>
              <w:jc w:val="both"/>
              <w:rPr>
                <w:rFonts w:ascii="Times New Roman" w:hAnsi="Times New Roman"/>
                <w:sz w:val="20"/>
                <w:szCs w:val="20"/>
              </w:rPr>
            </w:pPr>
            <w:r w:rsidRPr="00712F3C">
              <w:rPr>
                <w:rFonts w:ascii="Times New Roman" w:hAnsi="Times New Roman"/>
                <w:sz w:val="20"/>
                <w:szCs w:val="20"/>
              </w:rPr>
              <w:t>Indian Public / eligible NRI's applying on a non-repatriation basis (ASBA)</w:t>
            </w:r>
          </w:p>
        </w:tc>
        <w:tc>
          <w:tcPr>
            <w:tcW w:w="545" w:type="pct"/>
            <w:tcBorders>
              <w:left w:val="single" w:sz="4" w:space="0" w:color="auto"/>
              <w:right w:val="single" w:sz="4" w:space="0" w:color="auto"/>
            </w:tcBorders>
            <w:hideMark/>
          </w:tcPr>
          <w:p w14:paraId="40B95D15" w14:textId="77777777" w:rsidR="004047F2" w:rsidRPr="00712F3C" w:rsidRDefault="004047F2" w:rsidP="00250DAC">
            <w:pPr>
              <w:spacing w:after="0" w:line="240" w:lineRule="auto"/>
              <w:jc w:val="center"/>
              <w:rPr>
                <w:rFonts w:ascii="Times New Roman" w:hAnsi="Times New Roman"/>
                <w:sz w:val="20"/>
                <w:szCs w:val="20"/>
              </w:rPr>
            </w:pPr>
            <w:r w:rsidRPr="00712F3C">
              <w:rPr>
                <w:rFonts w:ascii="Times New Roman" w:hAnsi="Times New Roman"/>
                <w:sz w:val="20"/>
                <w:szCs w:val="20"/>
              </w:rPr>
              <w:t>[•]</w:t>
            </w:r>
          </w:p>
        </w:tc>
      </w:tr>
      <w:tr w:rsidR="004047F2" w:rsidRPr="00712F3C" w14:paraId="790033BB" w14:textId="77777777" w:rsidTr="00250DAC">
        <w:trPr>
          <w:trHeight w:val="57"/>
        </w:trPr>
        <w:tc>
          <w:tcPr>
            <w:tcW w:w="4455" w:type="pct"/>
            <w:tcBorders>
              <w:left w:val="single" w:sz="4" w:space="0" w:color="auto"/>
              <w:right w:val="single" w:sz="4" w:space="0" w:color="auto"/>
            </w:tcBorders>
            <w:vAlign w:val="center"/>
            <w:hideMark/>
          </w:tcPr>
          <w:p w14:paraId="5EBEEC78" w14:textId="0EE4C898" w:rsidR="004047F2" w:rsidRPr="00712F3C" w:rsidRDefault="004047F2" w:rsidP="00250DAC">
            <w:pPr>
              <w:spacing w:after="0" w:line="240" w:lineRule="auto"/>
              <w:contextualSpacing/>
              <w:jc w:val="both"/>
              <w:rPr>
                <w:rFonts w:ascii="Times New Roman" w:hAnsi="Times New Roman"/>
                <w:sz w:val="20"/>
                <w:szCs w:val="20"/>
              </w:rPr>
            </w:pPr>
            <w:r w:rsidRPr="00712F3C">
              <w:rPr>
                <w:rFonts w:ascii="Times New Roman" w:hAnsi="Times New Roman"/>
                <w:sz w:val="20"/>
                <w:szCs w:val="20"/>
              </w:rPr>
              <w:t>Non-Residents including eligible NRI's, FPI’s, FIIs, FVCIs, etc. applying on a repatriation basis (ASBA)</w:t>
            </w:r>
          </w:p>
        </w:tc>
        <w:tc>
          <w:tcPr>
            <w:tcW w:w="545" w:type="pct"/>
            <w:tcBorders>
              <w:left w:val="single" w:sz="4" w:space="0" w:color="auto"/>
              <w:right w:val="single" w:sz="4" w:space="0" w:color="auto"/>
            </w:tcBorders>
            <w:hideMark/>
          </w:tcPr>
          <w:p w14:paraId="5D82ABA8" w14:textId="77777777" w:rsidR="004047F2" w:rsidRPr="00712F3C" w:rsidRDefault="004047F2" w:rsidP="00250DAC">
            <w:pPr>
              <w:spacing w:after="0" w:line="240" w:lineRule="auto"/>
              <w:jc w:val="center"/>
              <w:rPr>
                <w:rFonts w:ascii="Times New Roman" w:hAnsi="Times New Roman"/>
                <w:sz w:val="20"/>
                <w:szCs w:val="20"/>
              </w:rPr>
            </w:pPr>
            <w:r w:rsidRPr="00712F3C">
              <w:rPr>
                <w:rFonts w:ascii="Times New Roman" w:hAnsi="Times New Roman"/>
                <w:sz w:val="20"/>
                <w:szCs w:val="20"/>
              </w:rPr>
              <w:t>[•]</w:t>
            </w:r>
          </w:p>
        </w:tc>
      </w:tr>
    </w:tbl>
    <w:p w14:paraId="17CD75C3" w14:textId="77777777" w:rsidR="004047F2" w:rsidRPr="00712F3C" w:rsidRDefault="004047F2" w:rsidP="004047F2">
      <w:pPr>
        <w:spacing w:after="0" w:line="240" w:lineRule="auto"/>
        <w:contextualSpacing/>
        <w:jc w:val="both"/>
        <w:rPr>
          <w:rFonts w:ascii="Times New Roman" w:hAnsi="Times New Roman"/>
          <w:i/>
          <w:sz w:val="20"/>
          <w:szCs w:val="20"/>
        </w:rPr>
      </w:pPr>
      <w:r w:rsidRPr="00712F3C">
        <w:rPr>
          <w:rFonts w:ascii="Times New Roman" w:hAnsi="Times New Roman"/>
          <w:sz w:val="20"/>
          <w:szCs w:val="20"/>
        </w:rPr>
        <w:t>*</w:t>
      </w:r>
      <w:r w:rsidRPr="00712F3C">
        <w:rPr>
          <w:rFonts w:ascii="Times New Roman" w:hAnsi="Times New Roman"/>
          <w:i/>
          <w:sz w:val="20"/>
          <w:szCs w:val="20"/>
        </w:rPr>
        <w:t>Excluding Electronic Bid cum Application Form</w:t>
      </w:r>
    </w:p>
    <w:p w14:paraId="402B71D0" w14:textId="77777777" w:rsidR="004047F2" w:rsidRPr="00712F3C" w:rsidRDefault="004047F2" w:rsidP="004047F2">
      <w:pPr>
        <w:spacing w:after="0" w:line="240" w:lineRule="auto"/>
        <w:contextualSpacing/>
        <w:jc w:val="both"/>
        <w:rPr>
          <w:rFonts w:ascii="Times New Roman" w:hAnsi="Times New Roman"/>
          <w:i/>
          <w:sz w:val="20"/>
          <w:szCs w:val="20"/>
        </w:rPr>
      </w:pPr>
      <w:r w:rsidRPr="00712F3C">
        <w:rPr>
          <w:rFonts w:ascii="Times New Roman" w:hAnsi="Times New Roman"/>
          <w:i/>
          <w:sz w:val="20"/>
          <w:szCs w:val="20"/>
        </w:rPr>
        <w:t>** Bid cum application for for Anchor Investor shall be made available at the Office of the BRLM.</w:t>
      </w:r>
    </w:p>
    <w:p w14:paraId="5DBA0656" w14:textId="77777777" w:rsidR="004047F2" w:rsidRPr="00712F3C" w:rsidRDefault="004047F2" w:rsidP="004047F2">
      <w:pPr>
        <w:spacing w:after="0" w:line="240" w:lineRule="auto"/>
        <w:contextualSpacing/>
        <w:jc w:val="both"/>
        <w:rPr>
          <w:rFonts w:ascii="Times New Roman" w:eastAsia="Calibri" w:hAnsi="Times New Roman"/>
          <w:sz w:val="20"/>
          <w:szCs w:val="20"/>
        </w:rPr>
      </w:pPr>
    </w:p>
    <w:p w14:paraId="4491FFE9" w14:textId="77777777" w:rsidR="004047F2" w:rsidRPr="00712F3C" w:rsidRDefault="004047F2" w:rsidP="004047F2">
      <w:pPr>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Designated Intermediaries (other than SCSBs) after accepting Bid Cum Application Form submitted by RIIs (without using UPI for payment), NIIs and QIBs shall capture and upload the relevant details in the electronic bidding system of stock exchange(s) and shall submit/deliver the Bid Cum Application Forms to respective SCSBs where the Bidders has a bank account and shall not submit it to any non-SCSB Bank.</w:t>
      </w:r>
    </w:p>
    <w:p w14:paraId="30137259" w14:textId="77777777" w:rsidR="004047F2" w:rsidRPr="00712F3C" w:rsidRDefault="004047F2" w:rsidP="004047F2">
      <w:pPr>
        <w:spacing w:after="0" w:line="240" w:lineRule="auto"/>
        <w:contextualSpacing/>
        <w:jc w:val="both"/>
        <w:rPr>
          <w:rFonts w:ascii="Times New Roman" w:eastAsia="Calibri" w:hAnsi="Times New Roman"/>
          <w:sz w:val="20"/>
          <w:szCs w:val="20"/>
        </w:rPr>
      </w:pPr>
    </w:p>
    <w:p w14:paraId="75169EF7" w14:textId="77777777" w:rsidR="004047F2" w:rsidRPr="00712F3C" w:rsidRDefault="004047F2" w:rsidP="004047F2">
      <w:pPr>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Further, for applications submitted to designated intermediaries (other than SCSBs), with use of UPI for payment, after accepting the Bid Cum Application Form, respective intermediary shall capture and upload the relevant application details, including UPI ID, in the electronic bidding system of stock exchange(s).</w:t>
      </w:r>
    </w:p>
    <w:p w14:paraId="7FDD5360" w14:textId="77777777" w:rsidR="004047F2" w:rsidRPr="00712F3C" w:rsidRDefault="004047F2" w:rsidP="004047F2">
      <w:pPr>
        <w:spacing w:after="0" w:line="240" w:lineRule="auto"/>
        <w:contextualSpacing/>
        <w:jc w:val="both"/>
        <w:rPr>
          <w:rFonts w:ascii="Times New Roman" w:eastAsia="Calibri" w:hAnsi="Times New Roman"/>
          <w:sz w:val="20"/>
          <w:szCs w:val="20"/>
        </w:rPr>
      </w:pPr>
    </w:p>
    <w:p w14:paraId="68D48E92" w14:textId="77777777" w:rsidR="004047F2" w:rsidRPr="00712F3C" w:rsidRDefault="004047F2" w:rsidP="004047F2">
      <w:pPr>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 xml:space="preserve">Bidders shall only use the specified Bid Cum Application Form for making an Application in terms of the Draft Red Herring Prospectus. </w:t>
      </w:r>
    </w:p>
    <w:p w14:paraId="3D6E6B41" w14:textId="77777777" w:rsidR="004047F2" w:rsidRPr="00712F3C" w:rsidRDefault="004047F2" w:rsidP="004047F2">
      <w:pPr>
        <w:spacing w:after="0" w:line="240" w:lineRule="auto"/>
        <w:contextualSpacing/>
        <w:jc w:val="both"/>
        <w:rPr>
          <w:rFonts w:ascii="Times New Roman" w:eastAsia="Calibri" w:hAnsi="Times New Roman"/>
          <w:sz w:val="20"/>
          <w:szCs w:val="20"/>
        </w:rPr>
      </w:pPr>
    </w:p>
    <w:p w14:paraId="50156BE3" w14:textId="77777777" w:rsidR="004047F2" w:rsidRPr="00712F3C" w:rsidRDefault="004047F2" w:rsidP="004047F2">
      <w:pPr>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The Bid Cum Application Form shall contain information about the Bidder and the price and the number of Equity Shares that the Bidders wish to apply for. Bid Cum Application Forms downloaded and printed from the websites of the Stock Exchange shall bear a system generated unique application number. Bidders are required to ensure that the ASBA Account has sufficient credit balance as an amount equivalent to the full Application Amount can be blocked by the SCSB or Sponsor Bank at the time of submitting the Application.</w:t>
      </w:r>
    </w:p>
    <w:p w14:paraId="60D8C40C" w14:textId="77777777" w:rsidR="004047F2" w:rsidRPr="00712F3C" w:rsidRDefault="004047F2" w:rsidP="004047F2">
      <w:pPr>
        <w:spacing w:after="0" w:line="240" w:lineRule="auto"/>
        <w:contextualSpacing/>
        <w:jc w:val="both"/>
        <w:rPr>
          <w:rFonts w:ascii="Times New Roman" w:eastAsia="Calibri" w:hAnsi="Times New Roman"/>
          <w:sz w:val="20"/>
          <w:szCs w:val="20"/>
        </w:rPr>
      </w:pPr>
    </w:p>
    <w:p w14:paraId="76E5DF5E" w14:textId="77777777" w:rsidR="004047F2" w:rsidRPr="00712F3C" w:rsidRDefault="004047F2" w:rsidP="004047F2">
      <w:pPr>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An Investor, intending to subscribe to this Issue, shall submit a completed Bid Cum Application Form to any of the following intermediaries (Collectively called – Designated Intermediaries”)</w:t>
      </w:r>
    </w:p>
    <w:p w14:paraId="666C1072" w14:textId="77777777" w:rsidR="004047F2" w:rsidRPr="00712F3C" w:rsidRDefault="004047F2" w:rsidP="004047F2">
      <w:pPr>
        <w:spacing w:after="0" w:line="240" w:lineRule="auto"/>
        <w:contextualSpacing/>
        <w:jc w:val="both"/>
        <w:rPr>
          <w:rFonts w:ascii="Times New Roman" w:eastAsia="Calibri" w:hAnsi="Times New Roman"/>
          <w:b/>
          <w:i/>
          <w:sz w:val="20"/>
          <w:szCs w:val="20"/>
        </w:rPr>
      </w:pP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9529"/>
      </w:tblGrid>
      <w:tr w:rsidR="004047F2" w:rsidRPr="00712F3C" w14:paraId="73312CDB" w14:textId="77777777" w:rsidTr="002A5501">
        <w:trPr>
          <w:trHeight w:val="20"/>
          <w:tblHeader/>
        </w:trPr>
        <w:tc>
          <w:tcPr>
            <w:tcW w:w="340" w:type="pct"/>
            <w:shd w:val="clear" w:color="auto" w:fill="D0CECE" w:themeFill="background2" w:themeFillShade="E6"/>
          </w:tcPr>
          <w:p w14:paraId="5ABFD488" w14:textId="77777777" w:rsidR="004047F2" w:rsidRPr="00712F3C" w:rsidRDefault="004047F2" w:rsidP="00250DAC">
            <w:pPr>
              <w:spacing w:after="0" w:line="240" w:lineRule="auto"/>
              <w:ind w:left="-108" w:right="-108"/>
              <w:contextualSpacing/>
              <w:jc w:val="center"/>
              <w:rPr>
                <w:rFonts w:ascii="Times New Roman" w:eastAsia="Calibri" w:hAnsi="Times New Roman"/>
                <w:b/>
                <w:sz w:val="20"/>
                <w:szCs w:val="20"/>
              </w:rPr>
            </w:pPr>
            <w:r w:rsidRPr="00712F3C">
              <w:rPr>
                <w:rFonts w:ascii="Times New Roman" w:eastAsia="Calibri" w:hAnsi="Times New Roman"/>
                <w:b/>
                <w:sz w:val="20"/>
                <w:szCs w:val="20"/>
              </w:rPr>
              <w:t>Sr. No.</w:t>
            </w:r>
          </w:p>
        </w:tc>
        <w:tc>
          <w:tcPr>
            <w:tcW w:w="4660" w:type="pct"/>
            <w:shd w:val="clear" w:color="auto" w:fill="D0CECE" w:themeFill="background2" w:themeFillShade="E6"/>
          </w:tcPr>
          <w:p w14:paraId="0C494D8F" w14:textId="77777777" w:rsidR="004047F2" w:rsidRPr="00712F3C" w:rsidRDefault="004047F2" w:rsidP="00250DAC">
            <w:pPr>
              <w:spacing w:after="0" w:line="240" w:lineRule="auto"/>
              <w:contextualSpacing/>
              <w:rPr>
                <w:rFonts w:ascii="Times New Roman" w:eastAsia="Calibri" w:hAnsi="Times New Roman"/>
                <w:b/>
                <w:sz w:val="20"/>
                <w:szCs w:val="20"/>
              </w:rPr>
            </w:pPr>
            <w:r w:rsidRPr="00712F3C">
              <w:rPr>
                <w:rFonts w:ascii="Times New Roman" w:eastAsia="MS Mincho" w:hAnsi="Times New Roman"/>
                <w:b/>
                <w:sz w:val="20"/>
                <w:szCs w:val="20"/>
                <w:lang w:val="en-GB"/>
              </w:rPr>
              <w:t>Designated Intermediaries</w:t>
            </w:r>
          </w:p>
        </w:tc>
      </w:tr>
      <w:tr w:rsidR="004047F2" w:rsidRPr="00712F3C" w14:paraId="01F3F99D" w14:textId="77777777" w:rsidTr="00250DAC">
        <w:trPr>
          <w:trHeight w:val="20"/>
        </w:trPr>
        <w:tc>
          <w:tcPr>
            <w:tcW w:w="340" w:type="pct"/>
          </w:tcPr>
          <w:p w14:paraId="4092B975" w14:textId="77777777" w:rsidR="004047F2" w:rsidRPr="00712F3C" w:rsidRDefault="004047F2">
            <w:pPr>
              <w:numPr>
                <w:ilvl w:val="0"/>
                <w:numId w:val="210"/>
              </w:numPr>
              <w:spacing w:after="0" w:line="240" w:lineRule="auto"/>
              <w:ind w:left="-108" w:right="-108" w:hanging="216"/>
              <w:contextualSpacing/>
              <w:jc w:val="center"/>
              <w:rPr>
                <w:rFonts w:ascii="Times New Roman" w:eastAsia="Calibri" w:hAnsi="Times New Roman"/>
                <w:sz w:val="20"/>
                <w:szCs w:val="20"/>
              </w:rPr>
            </w:pPr>
          </w:p>
        </w:tc>
        <w:tc>
          <w:tcPr>
            <w:tcW w:w="4660" w:type="pct"/>
          </w:tcPr>
          <w:p w14:paraId="57E1868F" w14:textId="77777777" w:rsidR="004047F2" w:rsidRPr="00712F3C" w:rsidRDefault="004047F2" w:rsidP="00250DAC">
            <w:pPr>
              <w:spacing w:after="0" w:line="240" w:lineRule="auto"/>
              <w:contextualSpacing/>
              <w:jc w:val="both"/>
              <w:rPr>
                <w:rFonts w:ascii="Times New Roman" w:eastAsia="Calibri" w:hAnsi="Times New Roman"/>
                <w:b/>
                <w:i/>
                <w:sz w:val="20"/>
                <w:szCs w:val="20"/>
              </w:rPr>
            </w:pPr>
            <w:r w:rsidRPr="00712F3C">
              <w:rPr>
                <w:rFonts w:ascii="Times New Roman" w:eastAsia="Calibri" w:hAnsi="Times New Roman"/>
                <w:sz w:val="20"/>
                <w:szCs w:val="20"/>
              </w:rPr>
              <w:t>An SCSB, with whom the bank account to be blocked, is maintained</w:t>
            </w:r>
          </w:p>
        </w:tc>
      </w:tr>
      <w:tr w:rsidR="004047F2" w:rsidRPr="00712F3C" w14:paraId="2DA8E9E2" w14:textId="77777777" w:rsidTr="00250DAC">
        <w:trPr>
          <w:trHeight w:val="20"/>
        </w:trPr>
        <w:tc>
          <w:tcPr>
            <w:tcW w:w="340" w:type="pct"/>
          </w:tcPr>
          <w:p w14:paraId="07BBB176" w14:textId="77777777" w:rsidR="004047F2" w:rsidRPr="00712F3C" w:rsidRDefault="004047F2">
            <w:pPr>
              <w:numPr>
                <w:ilvl w:val="0"/>
                <w:numId w:val="210"/>
              </w:numPr>
              <w:spacing w:after="0" w:line="240" w:lineRule="auto"/>
              <w:ind w:left="-108" w:right="-108" w:hanging="216"/>
              <w:contextualSpacing/>
              <w:jc w:val="center"/>
              <w:rPr>
                <w:rFonts w:ascii="Times New Roman" w:eastAsia="Calibri" w:hAnsi="Times New Roman"/>
                <w:b/>
                <w:bCs/>
                <w:sz w:val="20"/>
                <w:szCs w:val="20"/>
                <w:lang w:bidi="en-US"/>
              </w:rPr>
            </w:pPr>
          </w:p>
        </w:tc>
        <w:tc>
          <w:tcPr>
            <w:tcW w:w="4660" w:type="pct"/>
          </w:tcPr>
          <w:p w14:paraId="4693C2E7" w14:textId="77777777" w:rsidR="004047F2" w:rsidRPr="00712F3C" w:rsidRDefault="004047F2" w:rsidP="00250DAC">
            <w:pPr>
              <w:spacing w:after="0" w:line="240" w:lineRule="auto"/>
              <w:contextualSpacing/>
              <w:jc w:val="both"/>
              <w:rPr>
                <w:rFonts w:ascii="Times New Roman" w:eastAsia="Calibri" w:hAnsi="Times New Roman"/>
                <w:b/>
                <w:i/>
                <w:sz w:val="20"/>
                <w:szCs w:val="20"/>
              </w:rPr>
            </w:pPr>
            <w:r w:rsidRPr="00712F3C">
              <w:rPr>
                <w:rFonts w:ascii="Times New Roman" w:eastAsia="Calibri" w:hAnsi="Times New Roman"/>
                <w:sz w:val="20"/>
                <w:szCs w:val="20"/>
              </w:rPr>
              <w:t>A syndicate member (or sub-syndicate member)</w:t>
            </w:r>
          </w:p>
        </w:tc>
      </w:tr>
      <w:tr w:rsidR="004047F2" w:rsidRPr="00712F3C" w14:paraId="3E2EAD5D" w14:textId="77777777" w:rsidTr="00250DAC">
        <w:trPr>
          <w:trHeight w:val="20"/>
        </w:trPr>
        <w:tc>
          <w:tcPr>
            <w:tcW w:w="340" w:type="pct"/>
          </w:tcPr>
          <w:p w14:paraId="442142B7" w14:textId="77777777" w:rsidR="004047F2" w:rsidRPr="00712F3C" w:rsidRDefault="004047F2">
            <w:pPr>
              <w:numPr>
                <w:ilvl w:val="0"/>
                <w:numId w:val="210"/>
              </w:numPr>
              <w:spacing w:after="0" w:line="240" w:lineRule="auto"/>
              <w:ind w:left="-108" w:right="-108" w:hanging="216"/>
              <w:contextualSpacing/>
              <w:jc w:val="center"/>
              <w:rPr>
                <w:rFonts w:ascii="Times New Roman" w:eastAsia="Calibri" w:hAnsi="Times New Roman"/>
                <w:b/>
                <w:bCs/>
                <w:sz w:val="20"/>
                <w:szCs w:val="20"/>
                <w:lang w:bidi="en-US"/>
              </w:rPr>
            </w:pPr>
          </w:p>
        </w:tc>
        <w:tc>
          <w:tcPr>
            <w:tcW w:w="4660" w:type="pct"/>
          </w:tcPr>
          <w:p w14:paraId="4B09487C" w14:textId="77777777" w:rsidR="004047F2" w:rsidRPr="00712F3C" w:rsidRDefault="004047F2" w:rsidP="00250DAC">
            <w:pPr>
              <w:spacing w:after="0" w:line="240" w:lineRule="auto"/>
              <w:contextualSpacing/>
              <w:jc w:val="both"/>
              <w:rPr>
                <w:rFonts w:ascii="Times New Roman" w:eastAsia="Calibri" w:hAnsi="Times New Roman"/>
                <w:b/>
                <w:i/>
                <w:sz w:val="20"/>
                <w:szCs w:val="20"/>
              </w:rPr>
            </w:pPr>
            <w:r w:rsidRPr="00712F3C">
              <w:rPr>
                <w:rFonts w:ascii="Times New Roman" w:eastAsia="Calibri" w:hAnsi="Times New Roman"/>
                <w:sz w:val="20"/>
                <w:szCs w:val="20"/>
              </w:rPr>
              <w:t>A stock broker registered with a recognized stock exchange (and whose name is mentioned on the website of the stock exchange as eligible for this activity) (‘broker’)</w:t>
            </w:r>
          </w:p>
        </w:tc>
      </w:tr>
      <w:tr w:rsidR="004047F2" w:rsidRPr="00712F3C" w14:paraId="517E82DD" w14:textId="77777777" w:rsidTr="00250DAC">
        <w:trPr>
          <w:trHeight w:val="20"/>
        </w:trPr>
        <w:tc>
          <w:tcPr>
            <w:tcW w:w="340" w:type="pct"/>
          </w:tcPr>
          <w:p w14:paraId="1FBDAD57" w14:textId="77777777" w:rsidR="004047F2" w:rsidRPr="00712F3C" w:rsidRDefault="004047F2">
            <w:pPr>
              <w:numPr>
                <w:ilvl w:val="0"/>
                <w:numId w:val="210"/>
              </w:numPr>
              <w:spacing w:after="0" w:line="240" w:lineRule="auto"/>
              <w:ind w:left="-108" w:right="-108" w:hanging="216"/>
              <w:contextualSpacing/>
              <w:jc w:val="center"/>
              <w:rPr>
                <w:rFonts w:ascii="Times New Roman" w:eastAsia="Calibri" w:hAnsi="Times New Roman"/>
                <w:b/>
                <w:bCs/>
                <w:sz w:val="20"/>
                <w:szCs w:val="20"/>
                <w:lang w:bidi="en-US"/>
              </w:rPr>
            </w:pPr>
          </w:p>
        </w:tc>
        <w:tc>
          <w:tcPr>
            <w:tcW w:w="4660" w:type="pct"/>
          </w:tcPr>
          <w:p w14:paraId="4AAFB34E" w14:textId="77777777" w:rsidR="004047F2" w:rsidRPr="00712F3C" w:rsidRDefault="004047F2" w:rsidP="00250DAC">
            <w:pPr>
              <w:spacing w:after="0" w:line="240" w:lineRule="auto"/>
              <w:contextualSpacing/>
              <w:jc w:val="both"/>
              <w:rPr>
                <w:rFonts w:ascii="Times New Roman" w:eastAsia="Calibri" w:hAnsi="Times New Roman"/>
                <w:b/>
                <w:i/>
                <w:sz w:val="20"/>
                <w:szCs w:val="20"/>
              </w:rPr>
            </w:pPr>
            <w:r w:rsidRPr="00712F3C">
              <w:rPr>
                <w:rFonts w:ascii="Times New Roman" w:eastAsia="Calibri" w:hAnsi="Times New Roman"/>
                <w:sz w:val="20"/>
                <w:szCs w:val="20"/>
              </w:rPr>
              <w:t>A depository participant (‘DP’) (whose name is mentioned on the website of the stock exchange as eligible for this activity)</w:t>
            </w:r>
          </w:p>
        </w:tc>
      </w:tr>
      <w:tr w:rsidR="004047F2" w:rsidRPr="00712F3C" w14:paraId="1D3862E7" w14:textId="77777777" w:rsidTr="00250DAC">
        <w:trPr>
          <w:trHeight w:val="20"/>
        </w:trPr>
        <w:tc>
          <w:tcPr>
            <w:tcW w:w="340" w:type="pct"/>
          </w:tcPr>
          <w:p w14:paraId="7D6F35B8" w14:textId="77777777" w:rsidR="004047F2" w:rsidRPr="00712F3C" w:rsidRDefault="004047F2">
            <w:pPr>
              <w:numPr>
                <w:ilvl w:val="0"/>
                <w:numId w:val="210"/>
              </w:numPr>
              <w:spacing w:after="0" w:line="240" w:lineRule="auto"/>
              <w:ind w:left="-108" w:right="-108" w:hanging="216"/>
              <w:contextualSpacing/>
              <w:jc w:val="center"/>
              <w:rPr>
                <w:rFonts w:ascii="Times New Roman" w:eastAsia="Calibri" w:hAnsi="Times New Roman"/>
                <w:b/>
                <w:bCs/>
                <w:sz w:val="20"/>
                <w:szCs w:val="20"/>
                <w:lang w:bidi="en-US"/>
              </w:rPr>
            </w:pPr>
          </w:p>
        </w:tc>
        <w:tc>
          <w:tcPr>
            <w:tcW w:w="4660" w:type="pct"/>
          </w:tcPr>
          <w:p w14:paraId="2E6CC117" w14:textId="77777777" w:rsidR="004047F2" w:rsidRPr="00712F3C" w:rsidRDefault="004047F2" w:rsidP="00250DAC">
            <w:pPr>
              <w:spacing w:after="0" w:line="240" w:lineRule="auto"/>
              <w:contextualSpacing/>
              <w:jc w:val="both"/>
              <w:rPr>
                <w:rFonts w:ascii="Times New Roman" w:eastAsia="Calibri" w:hAnsi="Times New Roman"/>
                <w:b/>
                <w:i/>
                <w:sz w:val="20"/>
                <w:szCs w:val="20"/>
              </w:rPr>
            </w:pPr>
            <w:r w:rsidRPr="00712F3C">
              <w:rPr>
                <w:rFonts w:ascii="Times New Roman" w:eastAsia="Calibri" w:hAnsi="Times New Roman"/>
                <w:sz w:val="20"/>
                <w:szCs w:val="20"/>
              </w:rPr>
              <w:t>A registrar to an issue and share transfer agent (‘RTA’) (whose name is mentioned on the website of the stock exchange as eligible for this activity)</w:t>
            </w:r>
          </w:p>
        </w:tc>
      </w:tr>
    </w:tbl>
    <w:p w14:paraId="1736FFB4" w14:textId="77777777" w:rsidR="004047F2" w:rsidRPr="00712F3C" w:rsidRDefault="004047F2" w:rsidP="004047F2">
      <w:pPr>
        <w:spacing w:after="0" w:line="240" w:lineRule="auto"/>
        <w:contextualSpacing/>
        <w:jc w:val="both"/>
        <w:rPr>
          <w:rFonts w:ascii="Times New Roman" w:eastAsia="Calibri" w:hAnsi="Times New Roman"/>
          <w:i/>
          <w:sz w:val="20"/>
          <w:szCs w:val="20"/>
        </w:rPr>
      </w:pPr>
      <w:r w:rsidRPr="00712F3C">
        <w:rPr>
          <w:rFonts w:ascii="Times New Roman" w:eastAsia="Calibri" w:hAnsi="Times New Roman"/>
          <w:i/>
          <w:sz w:val="20"/>
          <w:szCs w:val="20"/>
        </w:rPr>
        <w:t>Retails investors submitting application with any of the entities at (ii) to (v) above (hereinafter referred as “Intermediaries”), and intending to use UPI, shall also enter their UPI ID in the Bid Cum Application Form.</w:t>
      </w:r>
    </w:p>
    <w:p w14:paraId="33FC5051" w14:textId="77777777" w:rsidR="004047F2" w:rsidRPr="00712F3C" w:rsidRDefault="004047F2" w:rsidP="004047F2">
      <w:pPr>
        <w:spacing w:after="0" w:line="240" w:lineRule="auto"/>
        <w:contextualSpacing/>
        <w:jc w:val="both"/>
        <w:rPr>
          <w:rFonts w:ascii="Times New Roman" w:eastAsia="Calibri" w:hAnsi="Times New Roman"/>
          <w:i/>
          <w:sz w:val="20"/>
          <w:szCs w:val="20"/>
        </w:rPr>
      </w:pPr>
    </w:p>
    <w:p w14:paraId="71A2088B" w14:textId="77777777" w:rsidR="004047F2" w:rsidRPr="00712F3C" w:rsidRDefault="004047F2" w:rsidP="004047F2">
      <w:pPr>
        <w:spacing w:after="0" w:line="240" w:lineRule="auto"/>
        <w:contextualSpacing/>
        <w:jc w:val="both"/>
        <w:rPr>
          <w:rFonts w:ascii="Times New Roman" w:eastAsia="Calibri" w:hAnsi="Times New Roman"/>
          <w:i/>
          <w:sz w:val="20"/>
          <w:szCs w:val="20"/>
        </w:rPr>
      </w:pPr>
      <w:r w:rsidRPr="00712F3C">
        <w:rPr>
          <w:rFonts w:ascii="Times New Roman" w:eastAsia="Calibri" w:hAnsi="Times New Roman"/>
          <w:i/>
          <w:sz w:val="20"/>
          <w:szCs w:val="20"/>
        </w:rPr>
        <w:t>The aforesaid intermediary shall, at the time of receipt of application, give an acknowledgement to investor, by giving the counter foil or specifying the application number to the investor, as a proof of having accepted the Bid Cum Application Form, in physical or electronic mode, respectively.</w:t>
      </w:r>
    </w:p>
    <w:p w14:paraId="702EA385" w14:textId="77777777" w:rsidR="004047F2" w:rsidRPr="00712F3C" w:rsidRDefault="004047F2" w:rsidP="004047F2">
      <w:pPr>
        <w:spacing w:after="0" w:line="240" w:lineRule="auto"/>
        <w:contextualSpacing/>
        <w:jc w:val="both"/>
        <w:rPr>
          <w:rFonts w:ascii="Times New Roman" w:eastAsia="Calibri" w:hAnsi="Times New Roman"/>
          <w:i/>
          <w:sz w:val="20"/>
          <w:szCs w:val="20"/>
        </w:rPr>
      </w:pPr>
    </w:p>
    <w:p w14:paraId="48441C3A" w14:textId="77777777" w:rsidR="004047F2" w:rsidRPr="00712F3C" w:rsidRDefault="004047F2" w:rsidP="004047F2">
      <w:pPr>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The upload of the details in the electronic bidding system of stock exchange will be done by:</w:t>
      </w:r>
    </w:p>
    <w:p w14:paraId="77FBC119" w14:textId="77777777" w:rsidR="004047F2" w:rsidRPr="00712F3C" w:rsidRDefault="004047F2" w:rsidP="004047F2">
      <w:pPr>
        <w:suppressAutoHyphens/>
        <w:autoSpaceDE w:val="0"/>
        <w:autoSpaceDN w:val="0"/>
        <w:adjustRightInd w:val="0"/>
        <w:spacing w:after="0" w:line="240" w:lineRule="auto"/>
        <w:contextualSpacing/>
        <w:jc w:val="both"/>
        <w:textAlignment w:val="center"/>
        <w:rPr>
          <w:rFonts w:ascii="Times New Roman" w:eastAsia="Calibri" w:hAnsi="Times New Roman"/>
          <w:sz w:val="20"/>
          <w:szCs w:val="20"/>
        </w:rPr>
      </w:pPr>
    </w:p>
    <w:tbl>
      <w:tblPr>
        <w:tblW w:w="4888" w:type="pct"/>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1824"/>
        <w:gridCol w:w="8398"/>
      </w:tblGrid>
      <w:tr w:rsidR="004047F2" w:rsidRPr="00712F3C" w14:paraId="43993178" w14:textId="77777777" w:rsidTr="00250DAC">
        <w:tc>
          <w:tcPr>
            <w:tcW w:w="892" w:type="pct"/>
            <w:tcBorders>
              <w:left w:val="single" w:sz="4" w:space="0" w:color="auto"/>
              <w:right w:val="single" w:sz="4" w:space="0" w:color="auto"/>
            </w:tcBorders>
            <w:shd w:val="clear" w:color="auto" w:fill="D0CECE" w:themeFill="background2" w:themeFillShade="E6"/>
          </w:tcPr>
          <w:p w14:paraId="102BC8BB" w14:textId="77777777" w:rsidR="004047F2" w:rsidRPr="00712F3C" w:rsidRDefault="004047F2" w:rsidP="00250DAC">
            <w:pPr>
              <w:spacing w:after="0" w:line="240" w:lineRule="auto"/>
              <w:contextualSpacing/>
              <w:jc w:val="both"/>
              <w:rPr>
                <w:rFonts w:ascii="Times New Roman" w:eastAsia="Calibri" w:hAnsi="Times New Roman"/>
                <w:b/>
                <w:sz w:val="20"/>
                <w:szCs w:val="20"/>
              </w:rPr>
            </w:pPr>
            <w:r w:rsidRPr="00712F3C">
              <w:rPr>
                <w:rFonts w:ascii="Times New Roman" w:eastAsia="Calibri" w:hAnsi="Times New Roman"/>
                <w:b/>
                <w:sz w:val="20"/>
                <w:szCs w:val="20"/>
              </w:rPr>
              <w:t>For Applications submitted by Investors to SCSB</w:t>
            </w:r>
          </w:p>
        </w:tc>
        <w:tc>
          <w:tcPr>
            <w:tcW w:w="4108" w:type="pct"/>
            <w:tcBorders>
              <w:left w:val="single" w:sz="4" w:space="0" w:color="auto"/>
              <w:right w:val="single" w:sz="4" w:space="0" w:color="auto"/>
            </w:tcBorders>
            <w:shd w:val="clear" w:color="auto" w:fill="auto"/>
          </w:tcPr>
          <w:p w14:paraId="7AC07018" w14:textId="77777777" w:rsidR="004047F2" w:rsidRPr="00712F3C" w:rsidRDefault="004047F2" w:rsidP="00250DAC">
            <w:pPr>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After accepting the form, SCSB shall capture and upload the relevant details in the electronic bidding system as specified by the stock exchange and may begin blocking funds available in the bank account specified in the form, to the extent of the application money specified.</w:t>
            </w:r>
          </w:p>
        </w:tc>
      </w:tr>
      <w:tr w:rsidR="004047F2" w:rsidRPr="00712F3C" w14:paraId="67E6CC86" w14:textId="77777777" w:rsidTr="00250DAC">
        <w:tc>
          <w:tcPr>
            <w:tcW w:w="892" w:type="pct"/>
            <w:tcBorders>
              <w:left w:val="single" w:sz="4" w:space="0" w:color="auto"/>
              <w:right w:val="single" w:sz="4" w:space="0" w:color="auto"/>
            </w:tcBorders>
            <w:shd w:val="clear" w:color="auto" w:fill="D0CECE" w:themeFill="background2" w:themeFillShade="E6"/>
          </w:tcPr>
          <w:p w14:paraId="670BA008" w14:textId="77777777" w:rsidR="004047F2" w:rsidRPr="00712F3C" w:rsidRDefault="004047F2" w:rsidP="00250DAC">
            <w:pPr>
              <w:spacing w:after="0" w:line="240" w:lineRule="auto"/>
              <w:contextualSpacing/>
              <w:jc w:val="both"/>
              <w:rPr>
                <w:rFonts w:ascii="Times New Roman" w:eastAsia="Calibri" w:hAnsi="Times New Roman"/>
                <w:b/>
                <w:sz w:val="20"/>
                <w:szCs w:val="20"/>
              </w:rPr>
            </w:pPr>
            <w:r w:rsidRPr="00712F3C">
              <w:rPr>
                <w:rFonts w:ascii="Times New Roman" w:eastAsia="Calibri" w:hAnsi="Times New Roman"/>
                <w:b/>
                <w:sz w:val="20"/>
                <w:szCs w:val="20"/>
              </w:rPr>
              <w:t>For applications submitted by investors to intermediaries other than SCSBs</w:t>
            </w:r>
          </w:p>
        </w:tc>
        <w:tc>
          <w:tcPr>
            <w:tcW w:w="4108" w:type="pct"/>
            <w:tcBorders>
              <w:left w:val="single" w:sz="4" w:space="0" w:color="auto"/>
              <w:right w:val="single" w:sz="4" w:space="0" w:color="auto"/>
            </w:tcBorders>
            <w:shd w:val="clear" w:color="auto" w:fill="auto"/>
          </w:tcPr>
          <w:p w14:paraId="44075222" w14:textId="77777777" w:rsidR="004047F2" w:rsidRPr="00712F3C" w:rsidRDefault="004047F2" w:rsidP="00250DAC">
            <w:pPr>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After accepting the Bid Cum Application Form, respective Intermediary shall capture and upload the relevant details in the electronic bidding system of the stock exchange. Post uploading, they shall forward a schedule as per prescribed format along with the Bid Cum Application Forms to designated branches of the respective SCSBs for blocking of funds within one day of closure of Issue.</w:t>
            </w:r>
          </w:p>
        </w:tc>
      </w:tr>
      <w:tr w:rsidR="004047F2" w:rsidRPr="00712F3C" w14:paraId="25031025" w14:textId="77777777" w:rsidTr="00250DAC">
        <w:tc>
          <w:tcPr>
            <w:tcW w:w="892" w:type="pct"/>
            <w:tcBorders>
              <w:left w:val="single" w:sz="4" w:space="0" w:color="auto"/>
              <w:right w:val="single" w:sz="4" w:space="0" w:color="auto"/>
            </w:tcBorders>
            <w:shd w:val="clear" w:color="auto" w:fill="D0CECE" w:themeFill="background2" w:themeFillShade="E6"/>
          </w:tcPr>
          <w:p w14:paraId="1C411948" w14:textId="77777777" w:rsidR="004047F2" w:rsidRPr="00712F3C" w:rsidRDefault="004047F2" w:rsidP="00250DAC">
            <w:pPr>
              <w:spacing w:after="0" w:line="240" w:lineRule="auto"/>
              <w:contextualSpacing/>
              <w:jc w:val="both"/>
              <w:rPr>
                <w:rFonts w:ascii="Times New Roman" w:eastAsia="Calibri" w:hAnsi="Times New Roman"/>
                <w:b/>
                <w:sz w:val="20"/>
                <w:szCs w:val="20"/>
              </w:rPr>
            </w:pPr>
            <w:r w:rsidRPr="00712F3C">
              <w:rPr>
                <w:rFonts w:ascii="Times New Roman" w:eastAsia="Calibri" w:hAnsi="Times New Roman"/>
                <w:b/>
                <w:sz w:val="20"/>
                <w:szCs w:val="20"/>
              </w:rPr>
              <w:t>For applications submitted</w:t>
            </w:r>
          </w:p>
          <w:p w14:paraId="0873A884" w14:textId="77777777" w:rsidR="004047F2" w:rsidRPr="00712F3C" w:rsidRDefault="004047F2" w:rsidP="00250DAC">
            <w:pPr>
              <w:spacing w:after="0" w:line="240" w:lineRule="auto"/>
              <w:contextualSpacing/>
              <w:jc w:val="both"/>
              <w:rPr>
                <w:rFonts w:ascii="Times New Roman" w:eastAsia="Calibri" w:hAnsi="Times New Roman"/>
                <w:b/>
                <w:sz w:val="20"/>
                <w:szCs w:val="20"/>
              </w:rPr>
            </w:pPr>
            <w:r w:rsidRPr="00712F3C">
              <w:rPr>
                <w:rFonts w:ascii="Times New Roman" w:eastAsia="Calibri" w:hAnsi="Times New Roman"/>
                <w:b/>
                <w:sz w:val="20"/>
                <w:szCs w:val="20"/>
              </w:rPr>
              <w:t>by investors to intermediaries other than SCSBs with use of UPI for payment</w:t>
            </w:r>
          </w:p>
        </w:tc>
        <w:tc>
          <w:tcPr>
            <w:tcW w:w="4108" w:type="pct"/>
            <w:tcBorders>
              <w:left w:val="single" w:sz="4" w:space="0" w:color="auto"/>
              <w:right w:val="single" w:sz="4" w:space="0" w:color="auto"/>
            </w:tcBorders>
            <w:shd w:val="clear" w:color="auto" w:fill="auto"/>
          </w:tcPr>
          <w:p w14:paraId="58147CC2" w14:textId="77777777" w:rsidR="004047F2" w:rsidRPr="00712F3C" w:rsidRDefault="004047F2" w:rsidP="00250DAC">
            <w:pPr>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After accepting the Bid Cum Application Form, respective intermediary shall capture and upload the relevant application details, including UPI ID, in the electronic bidding system of stock exchange. Stock exchange shall share application details including the UPI ID with sponsor bank on a continuous basis, to enable sponsor bank to initiate mandate request on i</w:t>
            </w:r>
            <w:r>
              <w:rPr>
                <w:rFonts w:ascii="Times New Roman" w:eastAsia="Calibri" w:hAnsi="Times New Roman"/>
                <w:sz w:val="20"/>
                <w:szCs w:val="20"/>
              </w:rPr>
              <w:t>nvestors for blocking of funds.</w:t>
            </w:r>
            <w:r w:rsidRPr="00712F3C">
              <w:rPr>
                <w:rFonts w:ascii="Times New Roman" w:eastAsia="Calibri" w:hAnsi="Times New Roman"/>
                <w:sz w:val="20"/>
                <w:szCs w:val="20"/>
              </w:rPr>
              <w:t xml:space="preserve"> Sponsor bank shall initiate request for blocking of funds through NPCI to investor. Investor to accept mandate request for blocking of funds, on his/her mobile application, associated with UPI ID linked bank account.</w:t>
            </w:r>
          </w:p>
        </w:tc>
      </w:tr>
    </w:tbl>
    <w:p w14:paraId="018F23FA" w14:textId="77777777" w:rsidR="004047F2" w:rsidRPr="00712F3C" w:rsidRDefault="004047F2" w:rsidP="004047F2">
      <w:pPr>
        <w:spacing w:after="0" w:line="240" w:lineRule="auto"/>
        <w:contextualSpacing/>
        <w:jc w:val="both"/>
        <w:rPr>
          <w:rFonts w:ascii="Times New Roman" w:eastAsia="Calibri" w:hAnsi="Times New Roman"/>
          <w:sz w:val="20"/>
          <w:szCs w:val="20"/>
        </w:rPr>
      </w:pPr>
    </w:p>
    <w:p w14:paraId="6B63DAB3" w14:textId="77777777" w:rsidR="004047F2" w:rsidRPr="00712F3C" w:rsidRDefault="004047F2" w:rsidP="004047F2">
      <w:pPr>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 xml:space="preserve">Stock exchange shall validate the electronic bid details with depository’s records for DP ID/Client ID and PAN, on a real-time basis and bring the inconsistencies to the notice of intermediaries concerned, for rectification and re-submission within the time specified by stock exchange. </w:t>
      </w:r>
    </w:p>
    <w:p w14:paraId="70C9FDA9" w14:textId="77777777" w:rsidR="004047F2" w:rsidRPr="00712F3C" w:rsidRDefault="004047F2" w:rsidP="004047F2">
      <w:pPr>
        <w:spacing w:after="0" w:line="240" w:lineRule="auto"/>
        <w:contextualSpacing/>
        <w:jc w:val="both"/>
        <w:rPr>
          <w:rFonts w:ascii="Times New Roman" w:eastAsia="Calibri" w:hAnsi="Times New Roman"/>
          <w:sz w:val="20"/>
          <w:szCs w:val="20"/>
        </w:rPr>
      </w:pPr>
    </w:p>
    <w:p w14:paraId="101532B6" w14:textId="77777777" w:rsidR="004047F2" w:rsidRPr="00712F3C" w:rsidRDefault="004047F2" w:rsidP="004047F2">
      <w:pPr>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 xml:space="preserve">Stock exchange shall allow modification of selected fields viz. DP ID/Client ID or Pan ID (Either DP ID/Client ID or Pan ID can be modified but not BOTH), Bank code and Location code, in the bid details already uploaded. </w:t>
      </w:r>
    </w:p>
    <w:p w14:paraId="18471C67" w14:textId="77777777" w:rsidR="004047F2" w:rsidRPr="00712F3C" w:rsidRDefault="004047F2" w:rsidP="004047F2">
      <w:pPr>
        <w:spacing w:after="0" w:line="240" w:lineRule="auto"/>
        <w:contextualSpacing/>
        <w:jc w:val="both"/>
        <w:rPr>
          <w:rFonts w:ascii="Times New Roman" w:eastAsia="Calibri" w:hAnsi="Times New Roman"/>
          <w:sz w:val="20"/>
          <w:szCs w:val="20"/>
        </w:rPr>
      </w:pPr>
    </w:p>
    <w:p w14:paraId="7B195C4D" w14:textId="77777777" w:rsidR="004047F2" w:rsidRPr="00712F3C" w:rsidRDefault="004047F2" w:rsidP="004047F2">
      <w:pPr>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 xml:space="preserve">Upon completion and submission of the Bid Cum Application Form to Application Collecting intermediaries, the Bidders are deemed to have authorized our Company to make the necessary changes in the Draft Red Herring Prospectus, without prior or subsequent notice of such changes to the Bidders. </w:t>
      </w:r>
    </w:p>
    <w:p w14:paraId="16F701B7" w14:textId="77777777" w:rsidR="004047F2" w:rsidRPr="00712F3C" w:rsidRDefault="004047F2" w:rsidP="004047F2">
      <w:pPr>
        <w:spacing w:after="0" w:line="240" w:lineRule="auto"/>
        <w:contextualSpacing/>
        <w:jc w:val="both"/>
        <w:rPr>
          <w:rFonts w:ascii="Times New Roman" w:eastAsia="Calibri" w:hAnsi="Times New Roman"/>
          <w:b/>
          <w:sz w:val="20"/>
          <w:szCs w:val="20"/>
          <w:u w:val="single"/>
        </w:rPr>
      </w:pPr>
    </w:p>
    <w:p w14:paraId="1D099A2E" w14:textId="77777777" w:rsidR="004047F2" w:rsidRPr="00712F3C" w:rsidRDefault="004047F2" w:rsidP="004047F2">
      <w:pPr>
        <w:spacing w:after="0" w:line="240" w:lineRule="auto"/>
        <w:contextualSpacing/>
        <w:jc w:val="both"/>
        <w:rPr>
          <w:rFonts w:ascii="Times New Roman" w:eastAsia="Calibri" w:hAnsi="Times New Roman"/>
          <w:b/>
          <w:sz w:val="20"/>
          <w:szCs w:val="20"/>
          <w:u w:val="single"/>
        </w:rPr>
      </w:pPr>
      <w:r w:rsidRPr="00712F3C">
        <w:rPr>
          <w:rFonts w:ascii="Times New Roman" w:eastAsia="Calibri" w:hAnsi="Times New Roman"/>
          <w:b/>
          <w:sz w:val="20"/>
          <w:szCs w:val="20"/>
          <w:u w:val="single"/>
        </w:rPr>
        <w:t>Availability of Draft Red Herring Prospectus and Bid Cum Application Forms</w:t>
      </w:r>
    </w:p>
    <w:p w14:paraId="146CA23E" w14:textId="77777777" w:rsidR="004047F2" w:rsidRPr="00712F3C" w:rsidRDefault="004047F2" w:rsidP="004047F2">
      <w:pPr>
        <w:spacing w:after="0" w:line="240" w:lineRule="auto"/>
        <w:contextualSpacing/>
        <w:jc w:val="both"/>
        <w:rPr>
          <w:rFonts w:ascii="Times New Roman" w:eastAsia="Calibri" w:hAnsi="Times New Roman"/>
          <w:b/>
          <w:sz w:val="20"/>
          <w:szCs w:val="20"/>
          <w:u w:val="single"/>
        </w:rPr>
      </w:pPr>
    </w:p>
    <w:p w14:paraId="2698DB99" w14:textId="77777777" w:rsidR="004047F2" w:rsidRPr="00712F3C" w:rsidRDefault="004047F2" w:rsidP="004047F2">
      <w:pPr>
        <w:widowControl w:val="0"/>
        <w:spacing w:after="0" w:line="240" w:lineRule="auto"/>
        <w:contextualSpacing/>
        <w:jc w:val="both"/>
        <w:rPr>
          <w:rFonts w:ascii="Times New Roman" w:hAnsi="Times New Roman"/>
          <w:sz w:val="20"/>
          <w:szCs w:val="20"/>
        </w:rPr>
      </w:pPr>
      <w:bookmarkStart w:id="28" w:name="_DV_C80"/>
      <w:r w:rsidRPr="00712F3C">
        <w:rPr>
          <w:rFonts w:ascii="Times New Roman" w:hAnsi="Times New Roman"/>
          <w:sz w:val="20"/>
          <w:szCs w:val="20"/>
        </w:rPr>
        <w:t>Copies of the Bid cum Application Form and the abridged prospectus will be available at the offices of the BRLM, the Designated Intermediaries at Bidding Centres, and Registered Office of our Company. An electronic copy of the Bid cum Application Form will also be available for download on the websites of SCSBs (via Internet Banking) and</w:t>
      </w:r>
      <w:bookmarkStart w:id="29" w:name="_DV_C81"/>
      <w:bookmarkEnd w:id="28"/>
      <w:r w:rsidRPr="00712F3C">
        <w:rPr>
          <w:rFonts w:ascii="Times New Roman" w:hAnsi="Times New Roman"/>
          <w:sz w:val="20"/>
          <w:szCs w:val="20"/>
        </w:rPr>
        <w:t xml:space="preserve"> BSE (</w:t>
      </w:r>
      <w:hyperlink r:id="rId99" w:history="1">
        <w:r w:rsidRPr="00712F3C">
          <w:rPr>
            <w:rStyle w:val="Hyperlink"/>
            <w:rFonts w:ascii="Times New Roman" w:hAnsi="Times New Roman"/>
          </w:rPr>
          <w:t>www.bseindia.com</w:t>
        </w:r>
      </w:hyperlink>
      <w:r w:rsidRPr="00712F3C">
        <w:rPr>
          <w:rFonts w:ascii="Times New Roman" w:hAnsi="Times New Roman"/>
          <w:sz w:val="20"/>
          <w:szCs w:val="20"/>
        </w:rPr>
        <w:t>) at least one day prior to the Bid/Issue Opening Date.</w:t>
      </w:r>
      <w:bookmarkEnd w:id="29"/>
    </w:p>
    <w:p w14:paraId="512D4377" w14:textId="77777777" w:rsidR="004047F2" w:rsidRPr="00712F3C" w:rsidRDefault="004047F2" w:rsidP="004047F2">
      <w:pPr>
        <w:widowControl w:val="0"/>
        <w:spacing w:after="0" w:line="240" w:lineRule="auto"/>
        <w:contextualSpacing/>
        <w:jc w:val="both"/>
        <w:rPr>
          <w:rFonts w:ascii="Times New Roman" w:hAnsi="Times New Roman"/>
          <w:sz w:val="20"/>
          <w:szCs w:val="20"/>
        </w:rPr>
      </w:pPr>
    </w:p>
    <w:p w14:paraId="5081FFA0" w14:textId="77777777" w:rsidR="004047F2" w:rsidRPr="00712F3C" w:rsidRDefault="004047F2" w:rsidP="004047F2">
      <w:pPr>
        <w:spacing w:after="0" w:line="240" w:lineRule="auto"/>
        <w:contextualSpacing/>
        <w:jc w:val="both"/>
        <w:rPr>
          <w:rFonts w:ascii="Times New Roman" w:hAnsi="Times New Roman"/>
          <w:sz w:val="20"/>
          <w:szCs w:val="20"/>
        </w:rPr>
      </w:pPr>
      <w:r w:rsidRPr="00712F3C">
        <w:rPr>
          <w:rFonts w:ascii="Times New Roman" w:hAnsi="Times New Roman"/>
          <w:sz w:val="20"/>
          <w:szCs w:val="20"/>
        </w:rPr>
        <w:t xml:space="preserve">Bid cum application for Anchor Investor shall be made available at the Office of the BRLM. </w:t>
      </w:r>
    </w:p>
    <w:p w14:paraId="26387D56" w14:textId="77777777" w:rsidR="004047F2" w:rsidRPr="00712F3C" w:rsidRDefault="004047F2" w:rsidP="004047F2">
      <w:pPr>
        <w:widowControl w:val="0"/>
        <w:spacing w:after="0" w:line="240" w:lineRule="auto"/>
        <w:contextualSpacing/>
        <w:jc w:val="both"/>
        <w:rPr>
          <w:rFonts w:ascii="Times New Roman" w:eastAsia="Calibri" w:hAnsi="Times New Roman"/>
          <w:b/>
          <w:sz w:val="20"/>
          <w:szCs w:val="20"/>
        </w:rPr>
      </w:pPr>
    </w:p>
    <w:p w14:paraId="602D0868"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rPr>
      </w:pPr>
      <w:r w:rsidRPr="00712F3C">
        <w:rPr>
          <w:rFonts w:ascii="Times New Roman" w:eastAsia="Calibri" w:hAnsi="Times New Roman"/>
          <w:b/>
          <w:sz w:val="20"/>
          <w:szCs w:val="20"/>
        </w:rPr>
        <w:t>Who can Bid?</w:t>
      </w:r>
    </w:p>
    <w:p w14:paraId="3AA87884"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rPr>
      </w:pPr>
    </w:p>
    <w:p w14:paraId="6C2427A8"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 xml:space="preserve">Each Bidder should check whether it is eligible to apply under applicable law, rules, regulations, guidelines and policies. </w:t>
      </w:r>
    </w:p>
    <w:p w14:paraId="421251B7"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Furthermore, certain categories of Bidders, such as NRIs, FPIs and FVCIs may not be allowed to apply in the Issue or to hold Equity Shares, in excess of certain limits specified under applicable law. Bidders are requested to refer to the DRHP for more details.</w:t>
      </w:r>
    </w:p>
    <w:p w14:paraId="53D5B2B8"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rPr>
      </w:pPr>
    </w:p>
    <w:p w14:paraId="4836237F"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Subject to the above, an illustrative list of Bidders is as follows:</w:t>
      </w:r>
    </w:p>
    <w:p w14:paraId="5FFC9321"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rPr>
      </w:pPr>
    </w:p>
    <w:p w14:paraId="77A54A94" w14:textId="77777777" w:rsidR="004047F2" w:rsidRPr="00712F3C" w:rsidRDefault="004047F2">
      <w:pPr>
        <w:widowControl w:val="0"/>
        <w:numPr>
          <w:ilvl w:val="0"/>
          <w:numId w:val="214"/>
        </w:numPr>
        <w:spacing w:after="0" w:line="240" w:lineRule="auto"/>
        <w:ind w:left="540"/>
        <w:contextualSpacing/>
        <w:jc w:val="both"/>
        <w:rPr>
          <w:rFonts w:ascii="Times New Roman" w:eastAsia="Calibri" w:hAnsi="Times New Roman"/>
          <w:sz w:val="20"/>
          <w:szCs w:val="20"/>
        </w:rPr>
      </w:pPr>
      <w:r w:rsidRPr="00712F3C">
        <w:rPr>
          <w:rFonts w:ascii="Times New Roman" w:eastAsia="Calibri" w:hAnsi="Times New Roman"/>
          <w:sz w:val="20"/>
          <w:szCs w:val="20"/>
        </w:rPr>
        <w:t xml:space="preserve">Indian nationals’ resident in India who are not incompetent to contract under the Indian Contract Act, 1872, as amended, in single or as a joint application and minors having valid Demat account as per Demographic Details provided by the </w:t>
      </w:r>
      <w:r w:rsidRPr="00712F3C">
        <w:rPr>
          <w:rFonts w:ascii="Times New Roman" w:eastAsia="Calibri" w:hAnsi="Times New Roman"/>
          <w:sz w:val="20"/>
          <w:szCs w:val="20"/>
        </w:rPr>
        <w:lastRenderedPageBreak/>
        <w:t>Depositories. Furthermore, based on the information provided by the Depositories, our Company shall have the right to accept the Applications belonging to an account for the benefit of minor (under guardianship);</w:t>
      </w:r>
    </w:p>
    <w:p w14:paraId="1B2AF7B2" w14:textId="77777777" w:rsidR="004047F2" w:rsidRPr="00712F3C" w:rsidRDefault="004047F2">
      <w:pPr>
        <w:widowControl w:val="0"/>
        <w:numPr>
          <w:ilvl w:val="0"/>
          <w:numId w:val="214"/>
        </w:numPr>
        <w:spacing w:after="0" w:line="240" w:lineRule="auto"/>
        <w:ind w:left="540"/>
        <w:contextualSpacing/>
        <w:jc w:val="both"/>
        <w:rPr>
          <w:rFonts w:ascii="Times New Roman" w:eastAsia="Calibri" w:hAnsi="Times New Roman"/>
          <w:sz w:val="20"/>
          <w:szCs w:val="20"/>
          <w:lang w:bidi="en-US"/>
        </w:rPr>
      </w:pPr>
      <w:r w:rsidRPr="00712F3C">
        <w:rPr>
          <w:rFonts w:ascii="Times New Roman" w:eastAsia="Calibri" w:hAnsi="Times New Roman"/>
          <w:sz w:val="20"/>
          <w:szCs w:val="20"/>
        </w:rPr>
        <w:t xml:space="preserve">Hindu Undivided Families or HUFs, in the individual name of the Karta. The Bidder should specify that the application is being made in the name of the HUF in the Bid Cum Application Form as follows: -Name of Sole or First Bidder: XYZ Hindu Undivided Family applying through XYZ, where XYZ is the name of the Karta‖. Applications by HUFs would be considered at par with those from individuals; </w:t>
      </w:r>
    </w:p>
    <w:p w14:paraId="5A6D18BE" w14:textId="77777777" w:rsidR="004047F2" w:rsidRPr="00712F3C" w:rsidRDefault="004047F2">
      <w:pPr>
        <w:widowControl w:val="0"/>
        <w:numPr>
          <w:ilvl w:val="0"/>
          <w:numId w:val="214"/>
        </w:numPr>
        <w:spacing w:after="0" w:line="240" w:lineRule="auto"/>
        <w:ind w:left="540"/>
        <w:contextualSpacing/>
        <w:jc w:val="both"/>
        <w:rPr>
          <w:rFonts w:ascii="Times New Roman" w:eastAsia="Calibri" w:hAnsi="Times New Roman"/>
          <w:sz w:val="20"/>
          <w:szCs w:val="20"/>
          <w:lang w:bidi="en-US"/>
        </w:rPr>
      </w:pPr>
      <w:r w:rsidRPr="00712F3C">
        <w:rPr>
          <w:rFonts w:ascii="Times New Roman" w:eastAsia="Calibri" w:hAnsi="Times New Roman"/>
          <w:sz w:val="20"/>
          <w:szCs w:val="20"/>
        </w:rPr>
        <w:t xml:space="preserve">Companies, corporate bodies and societies registered under the applicable laws in India and authorized to invest in the Equity Shares under their respective constitutional and charter documents; </w:t>
      </w:r>
    </w:p>
    <w:p w14:paraId="265B09E4" w14:textId="77777777" w:rsidR="004047F2" w:rsidRPr="00712F3C" w:rsidRDefault="004047F2">
      <w:pPr>
        <w:widowControl w:val="0"/>
        <w:numPr>
          <w:ilvl w:val="0"/>
          <w:numId w:val="214"/>
        </w:numPr>
        <w:spacing w:after="0" w:line="240" w:lineRule="auto"/>
        <w:ind w:left="540"/>
        <w:contextualSpacing/>
        <w:jc w:val="both"/>
        <w:rPr>
          <w:rFonts w:ascii="Times New Roman" w:eastAsia="Calibri" w:hAnsi="Times New Roman"/>
          <w:sz w:val="20"/>
          <w:szCs w:val="20"/>
          <w:lang w:bidi="en-US"/>
        </w:rPr>
      </w:pPr>
      <w:r w:rsidRPr="00712F3C">
        <w:rPr>
          <w:rFonts w:ascii="Times New Roman" w:eastAsia="Calibri" w:hAnsi="Times New Roman"/>
          <w:sz w:val="20"/>
          <w:szCs w:val="20"/>
        </w:rPr>
        <w:t>Mutual Funds registered with SEBI;</w:t>
      </w:r>
    </w:p>
    <w:p w14:paraId="0D9733A4" w14:textId="77777777" w:rsidR="004047F2" w:rsidRPr="00712F3C" w:rsidRDefault="004047F2">
      <w:pPr>
        <w:widowControl w:val="0"/>
        <w:numPr>
          <w:ilvl w:val="0"/>
          <w:numId w:val="214"/>
        </w:numPr>
        <w:spacing w:after="0" w:line="240" w:lineRule="auto"/>
        <w:ind w:left="540"/>
        <w:contextualSpacing/>
        <w:jc w:val="both"/>
        <w:rPr>
          <w:rFonts w:ascii="Times New Roman" w:eastAsia="Calibri" w:hAnsi="Times New Roman"/>
          <w:sz w:val="20"/>
          <w:szCs w:val="20"/>
          <w:lang w:bidi="en-US"/>
        </w:rPr>
      </w:pPr>
      <w:r w:rsidRPr="00712F3C">
        <w:rPr>
          <w:rFonts w:ascii="Times New Roman" w:eastAsia="Calibri" w:hAnsi="Times New Roman"/>
          <w:sz w:val="20"/>
          <w:szCs w:val="20"/>
        </w:rPr>
        <w:t xml:space="preserve">Eligible NRIs on a repatriation basis or on a non-repatriation basis, subject to applicable laws. NRIs other than Eligible NRIs are not eligible to participate in this Issue; </w:t>
      </w:r>
    </w:p>
    <w:p w14:paraId="7CA4DCD0" w14:textId="77777777" w:rsidR="004047F2" w:rsidRPr="00712F3C" w:rsidRDefault="004047F2">
      <w:pPr>
        <w:widowControl w:val="0"/>
        <w:numPr>
          <w:ilvl w:val="0"/>
          <w:numId w:val="214"/>
        </w:numPr>
        <w:spacing w:after="0" w:line="240" w:lineRule="auto"/>
        <w:ind w:left="540"/>
        <w:contextualSpacing/>
        <w:jc w:val="both"/>
        <w:rPr>
          <w:rFonts w:ascii="Times New Roman" w:eastAsia="Calibri" w:hAnsi="Times New Roman"/>
          <w:sz w:val="20"/>
          <w:szCs w:val="20"/>
          <w:lang w:bidi="en-US"/>
        </w:rPr>
      </w:pPr>
      <w:r w:rsidRPr="00712F3C">
        <w:rPr>
          <w:rFonts w:ascii="Times New Roman" w:eastAsia="Calibri" w:hAnsi="Times New Roman"/>
          <w:sz w:val="20"/>
          <w:szCs w:val="20"/>
        </w:rPr>
        <w:t xml:space="preserve">Indian Financial Institutions, scheduled commercial banks, regional rural banks, co-operative banks (subject to RBI permission, and the SEBI Regulations and other laws, as applicable); </w:t>
      </w:r>
    </w:p>
    <w:p w14:paraId="5BB80747" w14:textId="77777777" w:rsidR="004047F2" w:rsidRPr="00712F3C" w:rsidRDefault="004047F2">
      <w:pPr>
        <w:widowControl w:val="0"/>
        <w:numPr>
          <w:ilvl w:val="0"/>
          <w:numId w:val="214"/>
        </w:numPr>
        <w:spacing w:after="0" w:line="240" w:lineRule="auto"/>
        <w:ind w:left="540"/>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FPIs other than Category III FPI; VCFs</w:t>
      </w:r>
      <w:r w:rsidRPr="00712F3C">
        <w:rPr>
          <w:rFonts w:ascii="Times New Roman" w:hAnsi="Times New Roman"/>
          <w:sz w:val="20"/>
          <w:szCs w:val="20"/>
        </w:rPr>
        <w:t xml:space="preserve"> and </w:t>
      </w:r>
      <w:r w:rsidRPr="00712F3C">
        <w:rPr>
          <w:rFonts w:ascii="Times New Roman" w:eastAsia="Calibri" w:hAnsi="Times New Roman"/>
          <w:sz w:val="20"/>
          <w:szCs w:val="20"/>
          <w:lang w:bidi="en-US"/>
        </w:rPr>
        <w:t xml:space="preserve">FVCIs </w:t>
      </w:r>
      <w:r w:rsidRPr="00712F3C">
        <w:rPr>
          <w:rFonts w:ascii="Times New Roman" w:hAnsi="Times New Roman"/>
          <w:sz w:val="20"/>
          <w:szCs w:val="20"/>
        </w:rPr>
        <w:t>registered with SEBI</w:t>
      </w:r>
      <w:r w:rsidRPr="00712F3C">
        <w:rPr>
          <w:rFonts w:ascii="Times New Roman" w:eastAsia="Calibri" w:hAnsi="Times New Roman"/>
          <w:sz w:val="20"/>
          <w:szCs w:val="20"/>
        </w:rPr>
        <w:t>;</w:t>
      </w:r>
    </w:p>
    <w:p w14:paraId="3DFC2867" w14:textId="77777777" w:rsidR="004047F2" w:rsidRPr="00712F3C" w:rsidRDefault="004047F2">
      <w:pPr>
        <w:widowControl w:val="0"/>
        <w:numPr>
          <w:ilvl w:val="0"/>
          <w:numId w:val="214"/>
        </w:numPr>
        <w:spacing w:after="0" w:line="240" w:lineRule="auto"/>
        <w:ind w:left="540"/>
        <w:contextualSpacing/>
        <w:jc w:val="both"/>
        <w:rPr>
          <w:rFonts w:ascii="Times New Roman" w:eastAsia="Calibri" w:hAnsi="Times New Roman"/>
          <w:sz w:val="20"/>
          <w:szCs w:val="20"/>
          <w:lang w:bidi="en-US"/>
        </w:rPr>
      </w:pPr>
      <w:r w:rsidRPr="00712F3C">
        <w:rPr>
          <w:rFonts w:ascii="Times New Roman" w:eastAsia="Calibri" w:hAnsi="Times New Roman"/>
          <w:sz w:val="20"/>
          <w:szCs w:val="20"/>
        </w:rPr>
        <w:t xml:space="preserve">Limited Liability Partnerships (LLPs) registered in India and authorized to invest in equity shares; </w:t>
      </w:r>
    </w:p>
    <w:p w14:paraId="0DA6C9B1" w14:textId="77777777" w:rsidR="004047F2" w:rsidRPr="00712F3C" w:rsidRDefault="004047F2">
      <w:pPr>
        <w:widowControl w:val="0"/>
        <w:numPr>
          <w:ilvl w:val="0"/>
          <w:numId w:val="214"/>
        </w:numPr>
        <w:spacing w:after="0" w:line="240" w:lineRule="auto"/>
        <w:ind w:left="540"/>
        <w:contextualSpacing/>
        <w:jc w:val="both"/>
        <w:rPr>
          <w:rFonts w:ascii="Times New Roman" w:eastAsia="Calibri" w:hAnsi="Times New Roman"/>
          <w:sz w:val="20"/>
          <w:szCs w:val="20"/>
          <w:lang w:bidi="en-US"/>
        </w:rPr>
      </w:pPr>
      <w:r w:rsidRPr="00712F3C">
        <w:rPr>
          <w:rFonts w:ascii="Times New Roman" w:eastAsia="Calibri" w:hAnsi="Times New Roman"/>
          <w:sz w:val="20"/>
          <w:szCs w:val="20"/>
        </w:rPr>
        <w:t>Sub-accounts of FIIs registered with SEBI, which are foreign corporate or foreign individuals only under the Non-Institutional Bidder ‘s category;</w:t>
      </w:r>
    </w:p>
    <w:p w14:paraId="52944FB6" w14:textId="77777777" w:rsidR="004047F2" w:rsidRPr="00712F3C" w:rsidRDefault="004047F2">
      <w:pPr>
        <w:widowControl w:val="0"/>
        <w:numPr>
          <w:ilvl w:val="0"/>
          <w:numId w:val="214"/>
        </w:numPr>
        <w:spacing w:after="0" w:line="240" w:lineRule="auto"/>
        <w:ind w:left="540"/>
        <w:contextualSpacing/>
        <w:jc w:val="both"/>
        <w:rPr>
          <w:rFonts w:ascii="Times New Roman" w:eastAsia="Calibri" w:hAnsi="Times New Roman"/>
          <w:sz w:val="20"/>
          <w:szCs w:val="20"/>
          <w:lang w:bidi="en-US"/>
        </w:rPr>
      </w:pPr>
      <w:r w:rsidRPr="00712F3C">
        <w:rPr>
          <w:rFonts w:ascii="Times New Roman" w:eastAsia="Calibri" w:hAnsi="Times New Roman"/>
          <w:sz w:val="20"/>
          <w:szCs w:val="20"/>
        </w:rPr>
        <w:t xml:space="preserve">Venture Capital Funds and Alternative Investment Fund (I) registered with SEBI; State Industrial Development Corporations; </w:t>
      </w:r>
    </w:p>
    <w:p w14:paraId="1EC2CCBD" w14:textId="77777777" w:rsidR="004047F2" w:rsidRPr="00712F3C" w:rsidRDefault="004047F2">
      <w:pPr>
        <w:widowControl w:val="0"/>
        <w:numPr>
          <w:ilvl w:val="0"/>
          <w:numId w:val="214"/>
        </w:numPr>
        <w:spacing w:after="0" w:line="240" w:lineRule="auto"/>
        <w:ind w:left="540"/>
        <w:contextualSpacing/>
        <w:jc w:val="both"/>
        <w:rPr>
          <w:rFonts w:ascii="Times New Roman" w:eastAsia="Calibri" w:hAnsi="Times New Roman"/>
          <w:sz w:val="20"/>
          <w:szCs w:val="20"/>
          <w:lang w:bidi="en-US"/>
        </w:rPr>
      </w:pPr>
      <w:r w:rsidRPr="00712F3C">
        <w:rPr>
          <w:rFonts w:ascii="Times New Roman" w:eastAsia="Calibri" w:hAnsi="Times New Roman"/>
          <w:sz w:val="20"/>
          <w:szCs w:val="20"/>
        </w:rPr>
        <w:t xml:space="preserve">Foreign Venture Capital Investors registered with the SEBI; </w:t>
      </w:r>
    </w:p>
    <w:p w14:paraId="32353D69" w14:textId="77777777" w:rsidR="004047F2" w:rsidRPr="00712F3C" w:rsidRDefault="004047F2">
      <w:pPr>
        <w:widowControl w:val="0"/>
        <w:numPr>
          <w:ilvl w:val="0"/>
          <w:numId w:val="214"/>
        </w:numPr>
        <w:spacing w:after="0" w:line="240" w:lineRule="auto"/>
        <w:ind w:left="540"/>
        <w:contextualSpacing/>
        <w:jc w:val="both"/>
        <w:rPr>
          <w:rFonts w:ascii="Times New Roman" w:eastAsia="Calibri" w:hAnsi="Times New Roman"/>
          <w:sz w:val="20"/>
          <w:szCs w:val="20"/>
          <w:lang w:bidi="en-US"/>
        </w:rPr>
      </w:pPr>
      <w:r w:rsidRPr="00712F3C">
        <w:rPr>
          <w:rFonts w:ascii="Times New Roman" w:eastAsia="Calibri" w:hAnsi="Times New Roman"/>
          <w:sz w:val="20"/>
          <w:szCs w:val="20"/>
        </w:rPr>
        <w:t>Trusts/societies registered under the Societies Registration Act, 1860, as amended, or under any other law relating to Trusts and who are authorized under their constitution to hold and invest in equity shares;</w:t>
      </w:r>
    </w:p>
    <w:p w14:paraId="3F81BB50" w14:textId="77777777" w:rsidR="004047F2" w:rsidRPr="00712F3C" w:rsidRDefault="004047F2">
      <w:pPr>
        <w:widowControl w:val="0"/>
        <w:numPr>
          <w:ilvl w:val="0"/>
          <w:numId w:val="214"/>
        </w:numPr>
        <w:spacing w:after="0" w:line="240" w:lineRule="auto"/>
        <w:ind w:left="540"/>
        <w:contextualSpacing/>
        <w:jc w:val="both"/>
        <w:rPr>
          <w:rFonts w:ascii="Times New Roman" w:eastAsia="Calibri" w:hAnsi="Times New Roman"/>
          <w:sz w:val="20"/>
          <w:szCs w:val="20"/>
          <w:lang w:bidi="en-US"/>
        </w:rPr>
      </w:pPr>
      <w:r w:rsidRPr="00712F3C">
        <w:rPr>
          <w:rFonts w:ascii="Times New Roman" w:eastAsia="Calibri" w:hAnsi="Times New Roman"/>
          <w:sz w:val="20"/>
          <w:szCs w:val="20"/>
        </w:rPr>
        <w:t xml:space="preserve">Scientific and/or Industrial Research Organizations authorized to invest in equity shares; </w:t>
      </w:r>
    </w:p>
    <w:p w14:paraId="6EFBC18E" w14:textId="77777777" w:rsidR="004047F2" w:rsidRPr="00712F3C" w:rsidRDefault="004047F2">
      <w:pPr>
        <w:widowControl w:val="0"/>
        <w:numPr>
          <w:ilvl w:val="0"/>
          <w:numId w:val="214"/>
        </w:numPr>
        <w:spacing w:after="0" w:line="240" w:lineRule="auto"/>
        <w:ind w:left="540"/>
        <w:contextualSpacing/>
        <w:jc w:val="both"/>
        <w:rPr>
          <w:rFonts w:ascii="Times New Roman" w:eastAsia="Calibri" w:hAnsi="Times New Roman"/>
          <w:sz w:val="20"/>
          <w:szCs w:val="20"/>
          <w:lang w:bidi="en-US"/>
        </w:rPr>
      </w:pPr>
      <w:r w:rsidRPr="00712F3C">
        <w:rPr>
          <w:rFonts w:ascii="Times New Roman" w:eastAsia="Calibri" w:hAnsi="Times New Roman"/>
          <w:sz w:val="20"/>
          <w:szCs w:val="20"/>
        </w:rPr>
        <w:t xml:space="preserve">Insurance Companies registered with Insurance Regulatory and Development Authority, India; </w:t>
      </w:r>
    </w:p>
    <w:p w14:paraId="4B3D4817" w14:textId="77777777" w:rsidR="004047F2" w:rsidRPr="00712F3C" w:rsidRDefault="004047F2">
      <w:pPr>
        <w:widowControl w:val="0"/>
        <w:numPr>
          <w:ilvl w:val="0"/>
          <w:numId w:val="214"/>
        </w:numPr>
        <w:spacing w:after="0" w:line="240" w:lineRule="auto"/>
        <w:ind w:left="540"/>
        <w:contextualSpacing/>
        <w:jc w:val="both"/>
        <w:rPr>
          <w:rFonts w:ascii="Times New Roman" w:eastAsia="Calibri" w:hAnsi="Times New Roman"/>
          <w:sz w:val="20"/>
          <w:szCs w:val="20"/>
          <w:lang w:bidi="en-US"/>
        </w:rPr>
      </w:pPr>
      <w:r w:rsidRPr="00712F3C">
        <w:rPr>
          <w:rFonts w:ascii="Times New Roman" w:eastAsia="Calibri" w:hAnsi="Times New Roman"/>
          <w:sz w:val="20"/>
          <w:szCs w:val="20"/>
        </w:rPr>
        <w:t xml:space="preserve">Provident Funds with minimum corpus of </w:t>
      </w:r>
      <w:r w:rsidRPr="002E45D9">
        <w:rPr>
          <w:rFonts w:ascii="Times New Roman" w:hAnsi="Times New Roman"/>
          <w:bCs/>
          <w:iCs/>
          <w:sz w:val="20"/>
          <w:szCs w:val="20"/>
          <w:lang w:val="en-GB"/>
        </w:rPr>
        <w:t>₹</w:t>
      </w:r>
      <w:r w:rsidRPr="00712F3C">
        <w:rPr>
          <w:rFonts w:ascii="Times New Roman" w:eastAsia="Calibri" w:hAnsi="Times New Roman"/>
          <w:sz w:val="20"/>
          <w:szCs w:val="20"/>
        </w:rPr>
        <w:t xml:space="preserve"> 25 Crores and who are authorized under their constitution to hold and invest in equity shares;</w:t>
      </w:r>
    </w:p>
    <w:p w14:paraId="09037C97" w14:textId="77777777" w:rsidR="004047F2" w:rsidRPr="00712F3C" w:rsidRDefault="004047F2">
      <w:pPr>
        <w:widowControl w:val="0"/>
        <w:numPr>
          <w:ilvl w:val="0"/>
          <w:numId w:val="214"/>
        </w:numPr>
        <w:spacing w:after="0" w:line="240" w:lineRule="auto"/>
        <w:ind w:left="540"/>
        <w:contextualSpacing/>
        <w:jc w:val="both"/>
        <w:rPr>
          <w:rFonts w:ascii="Times New Roman" w:eastAsia="Calibri" w:hAnsi="Times New Roman"/>
          <w:sz w:val="20"/>
          <w:szCs w:val="20"/>
          <w:lang w:bidi="en-US"/>
        </w:rPr>
      </w:pPr>
      <w:r w:rsidRPr="00712F3C">
        <w:rPr>
          <w:rFonts w:ascii="Times New Roman" w:eastAsia="Calibri" w:hAnsi="Times New Roman"/>
          <w:sz w:val="20"/>
          <w:szCs w:val="20"/>
        </w:rPr>
        <w:t xml:space="preserve">Pension Funds and Pension Funds with minimum corpus of </w:t>
      </w:r>
      <w:r w:rsidRPr="002E45D9">
        <w:rPr>
          <w:rFonts w:ascii="Times New Roman" w:eastAsia="Calibri" w:hAnsi="Times New Roman"/>
          <w:sz w:val="20"/>
          <w:szCs w:val="20"/>
        </w:rPr>
        <w:t>₹</w:t>
      </w:r>
      <w:r w:rsidRPr="00712F3C">
        <w:rPr>
          <w:rFonts w:ascii="Times New Roman" w:eastAsia="Calibri" w:hAnsi="Times New Roman"/>
          <w:sz w:val="20"/>
          <w:szCs w:val="20"/>
        </w:rPr>
        <w:t xml:space="preserve"> 25 Crores and who are authorized under their constitution to hold and invest in equity shares; </w:t>
      </w:r>
    </w:p>
    <w:p w14:paraId="65CF6559" w14:textId="77777777" w:rsidR="004047F2" w:rsidRPr="00712F3C" w:rsidRDefault="004047F2">
      <w:pPr>
        <w:widowControl w:val="0"/>
        <w:numPr>
          <w:ilvl w:val="0"/>
          <w:numId w:val="214"/>
        </w:numPr>
        <w:spacing w:after="0" w:line="240" w:lineRule="auto"/>
        <w:ind w:left="540"/>
        <w:contextualSpacing/>
        <w:jc w:val="both"/>
        <w:rPr>
          <w:rFonts w:ascii="Times New Roman" w:eastAsia="Calibri" w:hAnsi="Times New Roman"/>
          <w:sz w:val="20"/>
          <w:szCs w:val="20"/>
          <w:lang w:bidi="en-US"/>
        </w:rPr>
      </w:pPr>
      <w:r w:rsidRPr="00712F3C">
        <w:rPr>
          <w:rFonts w:ascii="Times New Roman" w:eastAsia="Calibri" w:hAnsi="Times New Roman"/>
          <w:sz w:val="20"/>
          <w:szCs w:val="20"/>
        </w:rPr>
        <w:t xml:space="preserve">National Investment Fund set up by Resolution no. F. No. 2/3/2005-DDII dated November 23, 2005 of Government of India published in the Gazette of India; </w:t>
      </w:r>
    </w:p>
    <w:p w14:paraId="607005E2" w14:textId="77777777" w:rsidR="004047F2" w:rsidRPr="00712F3C" w:rsidRDefault="004047F2">
      <w:pPr>
        <w:widowControl w:val="0"/>
        <w:numPr>
          <w:ilvl w:val="0"/>
          <w:numId w:val="214"/>
        </w:numPr>
        <w:spacing w:after="0" w:line="240" w:lineRule="auto"/>
        <w:ind w:left="540"/>
        <w:contextualSpacing/>
        <w:jc w:val="both"/>
        <w:rPr>
          <w:rFonts w:ascii="Times New Roman" w:eastAsia="Calibri" w:hAnsi="Times New Roman"/>
          <w:sz w:val="20"/>
          <w:szCs w:val="20"/>
          <w:lang w:bidi="en-US"/>
        </w:rPr>
      </w:pPr>
      <w:r w:rsidRPr="00712F3C">
        <w:rPr>
          <w:rFonts w:ascii="Times New Roman" w:eastAsia="Calibri" w:hAnsi="Times New Roman"/>
          <w:sz w:val="20"/>
          <w:szCs w:val="20"/>
        </w:rPr>
        <w:t xml:space="preserve">Multilateral and bilateral development financial institution; </w:t>
      </w:r>
    </w:p>
    <w:p w14:paraId="449EA749" w14:textId="77777777" w:rsidR="004047F2" w:rsidRPr="00712F3C" w:rsidRDefault="004047F2">
      <w:pPr>
        <w:widowControl w:val="0"/>
        <w:numPr>
          <w:ilvl w:val="0"/>
          <w:numId w:val="214"/>
        </w:numPr>
        <w:spacing w:after="0" w:line="240" w:lineRule="auto"/>
        <w:ind w:left="540"/>
        <w:contextualSpacing/>
        <w:jc w:val="both"/>
        <w:rPr>
          <w:rFonts w:ascii="Times New Roman" w:eastAsia="Calibri" w:hAnsi="Times New Roman"/>
          <w:sz w:val="20"/>
          <w:szCs w:val="20"/>
          <w:lang w:bidi="en-US"/>
        </w:rPr>
      </w:pPr>
      <w:r w:rsidRPr="00712F3C">
        <w:rPr>
          <w:rFonts w:ascii="Times New Roman" w:eastAsia="Calibri" w:hAnsi="Times New Roman"/>
          <w:sz w:val="20"/>
          <w:szCs w:val="20"/>
        </w:rPr>
        <w:t>Eligible QFIs;</w:t>
      </w:r>
    </w:p>
    <w:p w14:paraId="158482D9" w14:textId="77777777" w:rsidR="004047F2" w:rsidRPr="00712F3C" w:rsidRDefault="004047F2">
      <w:pPr>
        <w:widowControl w:val="0"/>
        <w:numPr>
          <w:ilvl w:val="0"/>
          <w:numId w:val="214"/>
        </w:numPr>
        <w:spacing w:after="0" w:line="240" w:lineRule="auto"/>
        <w:ind w:left="540"/>
        <w:contextualSpacing/>
        <w:jc w:val="both"/>
        <w:rPr>
          <w:rFonts w:ascii="Times New Roman" w:eastAsia="Calibri" w:hAnsi="Times New Roman"/>
          <w:sz w:val="20"/>
          <w:szCs w:val="20"/>
          <w:lang w:bidi="en-US"/>
        </w:rPr>
      </w:pPr>
      <w:r w:rsidRPr="00712F3C">
        <w:rPr>
          <w:rFonts w:ascii="Times New Roman" w:eastAsia="Calibri" w:hAnsi="Times New Roman"/>
          <w:sz w:val="20"/>
          <w:szCs w:val="20"/>
        </w:rPr>
        <w:t xml:space="preserve">Insurance funds set up and managed by army, navy or air force of the Union of India; </w:t>
      </w:r>
    </w:p>
    <w:p w14:paraId="179C84D1" w14:textId="77777777" w:rsidR="004047F2" w:rsidRPr="00712F3C" w:rsidRDefault="004047F2">
      <w:pPr>
        <w:widowControl w:val="0"/>
        <w:numPr>
          <w:ilvl w:val="0"/>
          <w:numId w:val="214"/>
        </w:numPr>
        <w:spacing w:after="0" w:line="240" w:lineRule="auto"/>
        <w:ind w:left="540"/>
        <w:contextualSpacing/>
        <w:jc w:val="both"/>
        <w:rPr>
          <w:rFonts w:ascii="Times New Roman" w:eastAsia="Calibri" w:hAnsi="Times New Roman"/>
          <w:sz w:val="20"/>
          <w:szCs w:val="20"/>
          <w:lang w:bidi="en-US"/>
        </w:rPr>
      </w:pPr>
      <w:r w:rsidRPr="00712F3C">
        <w:rPr>
          <w:rFonts w:ascii="Times New Roman" w:eastAsia="Calibri" w:hAnsi="Times New Roman"/>
          <w:sz w:val="20"/>
          <w:szCs w:val="20"/>
        </w:rPr>
        <w:t>Insurance funds set up and managed by the Department of Posts, India;</w:t>
      </w:r>
    </w:p>
    <w:p w14:paraId="6AA0126D" w14:textId="77777777" w:rsidR="004047F2" w:rsidRPr="00712F3C" w:rsidRDefault="004047F2">
      <w:pPr>
        <w:widowControl w:val="0"/>
        <w:numPr>
          <w:ilvl w:val="0"/>
          <w:numId w:val="214"/>
        </w:numPr>
        <w:spacing w:after="0" w:line="240" w:lineRule="auto"/>
        <w:ind w:left="540"/>
        <w:contextualSpacing/>
        <w:jc w:val="both"/>
        <w:rPr>
          <w:rFonts w:ascii="Times New Roman" w:eastAsia="Calibri" w:hAnsi="Times New Roman"/>
          <w:sz w:val="20"/>
          <w:szCs w:val="20"/>
          <w:lang w:bidi="en-US"/>
        </w:rPr>
      </w:pPr>
      <w:r w:rsidRPr="00712F3C">
        <w:rPr>
          <w:rFonts w:ascii="Times New Roman" w:eastAsia="Calibri" w:hAnsi="Times New Roman"/>
          <w:sz w:val="20"/>
          <w:szCs w:val="20"/>
        </w:rPr>
        <w:t xml:space="preserve">Any other person eligible to apply in this Issue, under the laws, rules, regulations, guidelines and policies applicable to them. </w:t>
      </w:r>
    </w:p>
    <w:p w14:paraId="19EFCAE6"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p>
    <w:p w14:paraId="1F47913B" w14:textId="77777777" w:rsidR="004047F2" w:rsidRPr="00712F3C" w:rsidRDefault="004047F2" w:rsidP="004047F2">
      <w:pPr>
        <w:spacing w:after="0" w:line="240" w:lineRule="auto"/>
        <w:contextualSpacing/>
        <w:jc w:val="both"/>
        <w:rPr>
          <w:rFonts w:ascii="Times New Roman" w:eastAsia="Calibri" w:hAnsi="Times New Roman"/>
          <w:b/>
          <w:sz w:val="20"/>
          <w:szCs w:val="20"/>
        </w:rPr>
      </w:pPr>
      <w:r w:rsidRPr="00712F3C">
        <w:rPr>
          <w:rFonts w:ascii="Times New Roman" w:eastAsia="Calibri" w:hAnsi="Times New Roman"/>
          <w:b/>
          <w:sz w:val="20"/>
          <w:szCs w:val="20"/>
        </w:rPr>
        <w:t xml:space="preserve">Applications not to be made by: </w:t>
      </w:r>
    </w:p>
    <w:p w14:paraId="179B3657" w14:textId="77777777" w:rsidR="004047F2" w:rsidRPr="00712F3C" w:rsidRDefault="004047F2" w:rsidP="004047F2">
      <w:pPr>
        <w:spacing w:after="0" w:line="240" w:lineRule="auto"/>
        <w:contextualSpacing/>
        <w:jc w:val="both"/>
        <w:rPr>
          <w:rFonts w:ascii="Times New Roman" w:eastAsia="Calibri" w:hAnsi="Times New Roman"/>
          <w:b/>
          <w:sz w:val="20"/>
          <w:szCs w:val="20"/>
        </w:rPr>
      </w:pPr>
    </w:p>
    <w:p w14:paraId="38805A08" w14:textId="77777777" w:rsidR="004047F2" w:rsidRPr="00712F3C" w:rsidRDefault="004047F2">
      <w:pPr>
        <w:numPr>
          <w:ilvl w:val="0"/>
          <w:numId w:val="213"/>
        </w:numPr>
        <w:spacing w:after="0" w:line="240" w:lineRule="auto"/>
        <w:ind w:left="540"/>
        <w:contextualSpacing/>
        <w:jc w:val="both"/>
        <w:rPr>
          <w:rFonts w:ascii="Times New Roman" w:eastAsia="Calibri" w:hAnsi="Times New Roman"/>
          <w:b/>
          <w:sz w:val="20"/>
          <w:szCs w:val="20"/>
        </w:rPr>
      </w:pPr>
      <w:r w:rsidRPr="00712F3C">
        <w:rPr>
          <w:rFonts w:ascii="Times New Roman" w:eastAsia="Calibri" w:hAnsi="Times New Roman"/>
          <w:sz w:val="20"/>
          <w:szCs w:val="20"/>
        </w:rPr>
        <w:t>Minors (except through their Guardians)</w:t>
      </w:r>
    </w:p>
    <w:p w14:paraId="2F0AC81D" w14:textId="77777777" w:rsidR="004047F2" w:rsidRPr="00712F3C" w:rsidRDefault="004047F2">
      <w:pPr>
        <w:numPr>
          <w:ilvl w:val="0"/>
          <w:numId w:val="213"/>
        </w:numPr>
        <w:spacing w:after="0" w:line="240" w:lineRule="auto"/>
        <w:ind w:left="540"/>
        <w:contextualSpacing/>
        <w:jc w:val="both"/>
        <w:rPr>
          <w:rFonts w:ascii="Times New Roman" w:eastAsia="Calibri" w:hAnsi="Times New Roman"/>
          <w:b/>
          <w:sz w:val="20"/>
          <w:szCs w:val="20"/>
        </w:rPr>
      </w:pPr>
      <w:r w:rsidRPr="00712F3C">
        <w:rPr>
          <w:rFonts w:ascii="Times New Roman" w:eastAsia="Calibri" w:hAnsi="Times New Roman"/>
          <w:sz w:val="20"/>
          <w:szCs w:val="20"/>
        </w:rPr>
        <w:t>Partnership firms or their nominations</w:t>
      </w:r>
    </w:p>
    <w:p w14:paraId="4BABC6E4" w14:textId="77777777" w:rsidR="004047F2" w:rsidRPr="00712F3C" w:rsidRDefault="004047F2">
      <w:pPr>
        <w:numPr>
          <w:ilvl w:val="0"/>
          <w:numId w:val="213"/>
        </w:numPr>
        <w:spacing w:after="0" w:line="240" w:lineRule="auto"/>
        <w:ind w:left="540"/>
        <w:contextualSpacing/>
        <w:jc w:val="both"/>
        <w:rPr>
          <w:rFonts w:ascii="Times New Roman" w:eastAsia="Calibri" w:hAnsi="Times New Roman"/>
          <w:b/>
          <w:sz w:val="20"/>
          <w:szCs w:val="20"/>
        </w:rPr>
      </w:pPr>
      <w:r w:rsidRPr="00712F3C">
        <w:rPr>
          <w:rFonts w:ascii="Times New Roman" w:eastAsia="Calibri" w:hAnsi="Times New Roman"/>
          <w:sz w:val="20"/>
          <w:szCs w:val="20"/>
        </w:rPr>
        <w:t>Foreign Nationals (except NRIs)</w:t>
      </w:r>
    </w:p>
    <w:p w14:paraId="17FA082D" w14:textId="77777777" w:rsidR="004047F2" w:rsidRPr="00712F3C" w:rsidRDefault="004047F2">
      <w:pPr>
        <w:numPr>
          <w:ilvl w:val="0"/>
          <w:numId w:val="213"/>
        </w:numPr>
        <w:spacing w:after="0" w:line="240" w:lineRule="auto"/>
        <w:ind w:left="540"/>
        <w:contextualSpacing/>
        <w:jc w:val="both"/>
        <w:rPr>
          <w:rFonts w:ascii="Times New Roman" w:eastAsia="Calibri" w:hAnsi="Times New Roman"/>
          <w:b/>
          <w:sz w:val="20"/>
          <w:szCs w:val="20"/>
        </w:rPr>
      </w:pPr>
      <w:r w:rsidRPr="00712F3C">
        <w:rPr>
          <w:rFonts w:ascii="Times New Roman" w:eastAsia="Calibri" w:hAnsi="Times New Roman"/>
          <w:sz w:val="20"/>
          <w:szCs w:val="20"/>
        </w:rPr>
        <w:t>Overseas Corporate Bodies</w:t>
      </w:r>
    </w:p>
    <w:p w14:paraId="6E1856AD" w14:textId="77777777" w:rsidR="004047F2" w:rsidRPr="00712F3C" w:rsidRDefault="004047F2" w:rsidP="004047F2">
      <w:pPr>
        <w:spacing w:after="0" w:line="240" w:lineRule="auto"/>
        <w:ind w:left="426"/>
        <w:contextualSpacing/>
        <w:jc w:val="both"/>
        <w:rPr>
          <w:rFonts w:ascii="Times New Roman" w:eastAsia="Calibri" w:hAnsi="Times New Roman"/>
          <w:b/>
          <w:sz w:val="20"/>
          <w:szCs w:val="20"/>
        </w:rPr>
      </w:pPr>
    </w:p>
    <w:p w14:paraId="36C20AC2" w14:textId="77777777" w:rsidR="004047F2" w:rsidRPr="00712F3C" w:rsidRDefault="004047F2" w:rsidP="004047F2">
      <w:pPr>
        <w:widowControl w:val="0"/>
        <w:spacing w:after="0" w:line="240" w:lineRule="auto"/>
        <w:contextualSpacing/>
        <w:jc w:val="both"/>
        <w:rPr>
          <w:rFonts w:ascii="Times New Roman" w:eastAsia="Calibri" w:hAnsi="Times New Roman"/>
          <w:b/>
          <w:sz w:val="20"/>
          <w:szCs w:val="20"/>
          <w:lang w:bidi="en-US"/>
        </w:rPr>
      </w:pPr>
      <w:r w:rsidRPr="00712F3C">
        <w:rPr>
          <w:rFonts w:ascii="Times New Roman" w:eastAsia="Calibri" w:hAnsi="Times New Roman"/>
          <w:b/>
          <w:sz w:val="20"/>
          <w:szCs w:val="20"/>
        </w:rPr>
        <w:t>As per the existing regulations, OCBs are not eligible to participate in this Issue. The RBI has however clarified in its circular, A.P. (DIR Series) Circular No. 44, dated December 8, 2003 that OCBs which are incorporated and are not under the adverse notice of the RBI are permitted to undertake fresh investments as 138 incorporated non-resident entities in terms of Regulation 5(1) of RBI Notification No.20/2000-RB dated May 3, 2000 under FDI Scheme with the prior approval of Government if the investment is through Government Route and with the prior approval of RBI if the investment is through Automatic Route on case by case basis. OCBs may invest in this Issue provided it obtains a prior approval from the RBI. On submission of such approval along with the Bid Cum Application Form, the OCB shall be eligible to be considered for share allocation.</w:t>
      </w:r>
    </w:p>
    <w:p w14:paraId="4D237B22" w14:textId="77777777" w:rsidR="004047F2" w:rsidRPr="00712F3C" w:rsidRDefault="004047F2" w:rsidP="004047F2">
      <w:pPr>
        <w:spacing w:after="0" w:line="240" w:lineRule="auto"/>
        <w:contextualSpacing/>
        <w:jc w:val="both"/>
        <w:rPr>
          <w:rFonts w:ascii="Times New Roman" w:eastAsia="Calibri" w:hAnsi="Times New Roman"/>
          <w:sz w:val="20"/>
          <w:szCs w:val="20"/>
        </w:rPr>
      </w:pPr>
    </w:p>
    <w:p w14:paraId="6537AC34" w14:textId="77777777" w:rsidR="004047F2" w:rsidRPr="00712F3C" w:rsidRDefault="004047F2" w:rsidP="004047F2">
      <w:pPr>
        <w:spacing w:after="0" w:line="240" w:lineRule="auto"/>
        <w:contextualSpacing/>
        <w:jc w:val="both"/>
        <w:rPr>
          <w:rFonts w:ascii="Times New Roman" w:eastAsia="Calibri" w:hAnsi="Times New Roman"/>
          <w:b/>
          <w:sz w:val="20"/>
          <w:szCs w:val="20"/>
        </w:rPr>
      </w:pPr>
      <w:r w:rsidRPr="00712F3C">
        <w:rPr>
          <w:rFonts w:ascii="Times New Roman" w:eastAsia="Calibri" w:hAnsi="Times New Roman"/>
          <w:b/>
          <w:sz w:val="20"/>
          <w:szCs w:val="20"/>
        </w:rPr>
        <w:t>MAXIMUM AND MINIMUM APPLICATION SIZE</w:t>
      </w:r>
    </w:p>
    <w:p w14:paraId="23D63377" w14:textId="77777777" w:rsidR="004047F2" w:rsidRPr="00712F3C" w:rsidRDefault="004047F2" w:rsidP="004047F2">
      <w:pPr>
        <w:spacing w:after="0" w:line="240" w:lineRule="auto"/>
        <w:contextualSpacing/>
        <w:jc w:val="both"/>
        <w:rPr>
          <w:rFonts w:ascii="Times New Roman" w:eastAsia="Calibri" w:hAnsi="Times New Roman"/>
          <w:b/>
          <w:sz w:val="20"/>
          <w:szCs w:val="20"/>
        </w:rPr>
      </w:pPr>
    </w:p>
    <w:p w14:paraId="6B811746" w14:textId="77777777" w:rsidR="004047F2" w:rsidRPr="00712F3C" w:rsidRDefault="004047F2">
      <w:pPr>
        <w:numPr>
          <w:ilvl w:val="0"/>
          <w:numId w:val="212"/>
        </w:numPr>
        <w:spacing w:after="0" w:line="240" w:lineRule="auto"/>
        <w:ind w:left="426"/>
        <w:contextualSpacing/>
        <w:jc w:val="both"/>
        <w:rPr>
          <w:rFonts w:ascii="Times New Roman" w:eastAsia="Calibri" w:hAnsi="Times New Roman"/>
          <w:iCs/>
          <w:sz w:val="20"/>
          <w:szCs w:val="20"/>
        </w:rPr>
      </w:pPr>
      <w:r w:rsidRPr="00712F3C">
        <w:rPr>
          <w:rFonts w:ascii="Times New Roman" w:eastAsia="Calibri" w:hAnsi="Times New Roman"/>
          <w:b/>
          <w:iCs/>
          <w:sz w:val="20"/>
          <w:szCs w:val="20"/>
        </w:rPr>
        <w:t>For Retail Individual Bidders</w:t>
      </w:r>
    </w:p>
    <w:p w14:paraId="5266B75D" w14:textId="77777777" w:rsidR="004047F2" w:rsidRPr="00712F3C" w:rsidRDefault="004047F2" w:rsidP="004047F2">
      <w:pPr>
        <w:spacing w:after="0" w:line="240" w:lineRule="auto"/>
        <w:contextualSpacing/>
        <w:jc w:val="both"/>
        <w:rPr>
          <w:rFonts w:ascii="Times New Roman" w:eastAsia="Calibri" w:hAnsi="Times New Roman"/>
          <w:iCs/>
          <w:sz w:val="20"/>
          <w:szCs w:val="20"/>
        </w:rPr>
      </w:pPr>
    </w:p>
    <w:p w14:paraId="49954A05" w14:textId="77777777" w:rsidR="004047F2" w:rsidRPr="00712F3C" w:rsidRDefault="004047F2" w:rsidP="004047F2">
      <w:pPr>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 xml:space="preserve">The Application must be for a minimum of </w:t>
      </w:r>
      <w:r w:rsidRPr="00712F3C">
        <w:rPr>
          <w:rFonts w:ascii="Times New Roman" w:eastAsia="Calibri" w:hAnsi="Times New Roman"/>
          <w:sz w:val="20"/>
          <w:szCs w:val="20"/>
          <w:lang w:val="en-GB"/>
        </w:rPr>
        <w:t xml:space="preserve">[●] </w:t>
      </w:r>
      <w:r w:rsidRPr="00712F3C">
        <w:rPr>
          <w:rFonts w:ascii="Times New Roman" w:eastAsia="Calibri" w:hAnsi="Times New Roman"/>
          <w:sz w:val="20"/>
          <w:szCs w:val="20"/>
        </w:rPr>
        <w:t xml:space="preserve">Equity Shares and in multiples of </w:t>
      </w:r>
      <w:r w:rsidRPr="00712F3C">
        <w:rPr>
          <w:rFonts w:ascii="Times New Roman" w:eastAsia="Calibri" w:hAnsi="Times New Roman"/>
          <w:sz w:val="20"/>
          <w:szCs w:val="20"/>
          <w:lang w:val="en-GB"/>
        </w:rPr>
        <w:t>[●]</w:t>
      </w:r>
      <w:r w:rsidRPr="00712F3C">
        <w:rPr>
          <w:rFonts w:ascii="Times New Roman" w:eastAsia="Calibri" w:hAnsi="Times New Roman"/>
          <w:sz w:val="20"/>
          <w:szCs w:val="20"/>
        </w:rPr>
        <w:t xml:space="preserve"> Equity Shares thereafter, so as to ensure that the Application Price payable</w:t>
      </w:r>
      <w:r>
        <w:rPr>
          <w:rFonts w:ascii="Times New Roman" w:eastAsia="Calibri" w:hAnsi="Times New Roman"/>
          <w:sz w:val="20"/>
          <w:szCs w:val="20"/>
        </w:rPr>
        <w:t xml:space="preserve"> by the Bidder does not exceed </w:t>
      </w:r>
      <w:r w:rsidRPr="002E45D9">
        <w:rPr>
          <w:rFonts w:ascii="Times New Roman" w:eastAsia="Calibri" w:hAnsi="Times New Roman"/>
          <w:sz w:val="20"/>
          <w:szCs w:val="20"/>
        </w:rPr>
        <w:t>₹</w:t>
      </w:r>
      <w:r w:rsidRPr="00712F3C">
        <w:rPr>
          <w:rFonts w:ascii="Times New Roman" w:eastAsia="Calibri" w:hAnsi="Times New Roman"/>
          <w:sz w:val="20"/>
          <w:szCs w:val="20"/>
        </w:rPr>
        <w:t xml:space="preserve"> 2,00,000. In case of revision of Applications, the Retail Individual Bidders have to ensure that the Application Price does not exceed </w:t>
      </w:r>
      <w:r w:rsidRPr="002E45D9">
        <w:rPr>
          <w:rFonts w:ascii="Times New Roman" w:eastAsia="Calibri" w:hAnsi="Times New Roman"/>
          <w:sz w:val="20"/>
          <w:szCs w:val="20"/>
        </w:rPr>
        <w:t>₹</w:t>
      </w:r>
      <w:r w:rsidRPr="00712F3C">
        <w:rPr>
          <w:rFonts w:ascii="Times New Roman" w:eastAsia="Calibri" w:hAnsi="Times New Roman"/>
          <w:sz w:val="20"/>
          <w:szCs w:val="20"/>
        </w:rPr>
        <w:t xml:space="preserve"> 2,00,000. </w:t>
      </w:r>
    </w:p>
    <w:p w14:paraId="7F45767B" w14:textId="77777777" w:rsidR="004047F2" w:rsidRDefault="004047F2" w:rsidP="004047F2">
      <w:pPr>
        <w:spacing w:after="0" w:line="240" w:lineRule="auto"/>
        <w:contextualSpacing/>
        <w:jc w:val="both"/>
        <w:rPr>
          <w:rFonts w:ascii="Times New Roman" w:eastAsia="Calibri" w:hAnsi="Times New Roman"/>
          <w:sz w:val="20"/>
          <w:szCs w:val="20"/>
        </w:rPr>
      </w:pPr>
    </w:p>
    <w:p w14:paraId="030D27C4" w14:textId="77777777" w:rsidR="004047F2" w:rsidRPr="00712F3C" w:rsidRDefault="004047F2">
      <w:pPr>
        <w:numPr>
          <w:ilvl w:val="0"/>
          <w:numId w:val="212"/>
        </w:numPr>
        <w:spacing w:after="0" w:line="240" w:lineRule="auto"/>
        <w:ind w:left="426"/>
        <w:contextualSpacing/>
        <w:jc w:val="both"/>
        <w:rPr>
          <w:rFonts w:ascii="Times New Roman" w:eastAsia="Calibri" w:hAnsi="Times New Roman"/>
          <w:sz w:val="20"/>
          <w:szCs w:val="20"/>
        </w:rPr>
      </w:pPr>
      <w:r w:rsidRPr="00712F3C">
        <w:rPr>
          <w:rFonts w:ascii="Times New Roman" w:eastAsia="Calibri" w:hAnsi="Times New Roman"/>
          <w:b/>
          <w:iCs/>
          <w:sz w:val="20"/>
          <w:szCs w:val="20"/>
        </w:rPr>
        <w:t>For Other than Retail Individual Bidders (Non-Institutional Applicants and QIBs):</w:t>
      </w:r>
    </w:p>
    <w:p w14:paraId="2ABB3849" w14:textId="77777777" w:rsidR="004047F2" w:rsidRPr="00712F3C" w:rsidRDefault="004047F2" w:rsidP="004047F2">
      <w:pPr>
        <w:spacing w:after="0" w:line="240" w:lineRule="auto"/>
        <w:contextualSpacing/>
        <w:jc w:val="both"/>
        <w:rPr>
          <w:rFonts w:ascii="Times New Roman" w:eastAsia="Calibri" w:hAnsi="Times New Roman"/>
          <w:sz w:val="20"/>
          <w:szCs w:val="20"/>
        </w:rPr>
      </w:pPr>
    </w:p>
    <w:p w14:paraId="6B6B1732" w14:textId="20AB5965" w:rsidR="004047F2" w:rsidRPr="00712F3C" w:rsidRDefault="004047F2" w:rsidP="004047F2">
      <w:pPr>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 xml:space="preserve">The Application must be for a minimum of such number of Equity Shares that the Application Amount exceeds </w:t>
      </w:r>
      <w:r w:rsidRPr="002E45D9">
        <w:rPr>
          <w:rFonts w:ascii="Times New Roman" w:eastAsia="Calibri" w:hAnsi="Times New Roman"/>
          <w:sz w:val="20"/>
          <w:szCs w:val="20"/>
        </w:rPr>
        <w:t>₹</w:t>
      </w:r>
      <w:r w:rsidRPr="00712F3C">
        <w:rPr>
          <w:rFonts w:ascii="Times New Roman" w:eastAsia="Calibri" w:hAnsi="Times New Roman"/>
          <w:sz w:val="20"/>
          <w:szCs w:val="20"/>
        </w:rPr>
        <w:t xml:space="preserve"> 2,00,000 and in multiples of </w:t>
      </w:r>
      <w:r w:rsidRPr="00712F3C">
        <w:rPr>
          <w:rFonts w:ascii="Times New Roman" w:eastAsia="Calibri" w:hAnsi="Times New Roman"/>
          <w:sz w:val="20"/>
          <w:szCs w:val="20"/>
          <w:lang w:val="en-GB"/>
        </w:rPr>
        <w:t xml:space="preserve">[●] </w:t>
      </w:r>
      <w:r w:rsidRPr="00712F3C">
        <w:rPr>
          <w:rFonts w:ascii="Times New Roman" w:eastAsia="Calibri" w:hAnsi="Times New Roman"/>
          <w:sz w:val="20"/>
          <w:szCs w:val="20"/>
        </w:rPr>
        <w:t xml:space="preserve">Equity Shares thereafter. An </w:t>
      </w:r>
      <w:r w:rsidR="002A5501">
        <w:rPr>
          <w:rFonts w:ascii="Times New Roman" w:eastAsia="Calibri" w:hAnsi="Times New Roman"/>
          <w:sz w:val="20"/>
          <w:szCs w:val="20"/>
        </w:rPr>
        <w:t>a</w:t>
      </w:r>
      <w:r w:rsidRPr="00712F3C">
        <w:rPr>
          <w:rFonts w:ascii="Times New Roman" w:eastAsia="Calibri" w:hAnsi="Times New Roman"/>
          <w:sz w:val="20"/>
          <w:szCs w:val="20"/>
        </w:rPr>
        <w:t xml:space="preserve">pplication cannot be submitted for more than the Net Issue Size. However, the maximum Application by a QIB investor should not exceed the investment limits prescribed for them by applicable laws. Under </w:t>
      </w:r>
      <w:r w:rsidRPr="00712F3C">
        <w:rPr>
          <w:rFonts w:ascii="Times New Roman" w:eastAsia="Calibri" w:hAnsi="Times New Roman"/>
          <w:sz w:val="20"/>
          <w:szCs w:val="20"/>
        </w:rPr>
        <w:lastRenderedPageBreak/>
        <w:t>existing SEBI Regulations, a QIB Bidder cannot withdraw its Application after the Issue Closing Date and is required to pay 100% QIB Margin upon submission of Application.</w:t>
      </w:r>
    </w:p>
    <w:p w14:paraId="0665BF5F" w14:textId="77777777" w:rsidR="004047F2" w:rsidRPr="00712F3C" w:rsidRDefault="004047F2" w:rsidP="004047F2">
      <w:pPr>
        <w:spacing w:after="0" w:line="240" w:lineRule="auto"/>
        <w:contextualSpacing/>
        <w:jc w:val="both"/>
        <w:rPr>
          <w:rFonts w:ascii="Times New Roman" w:eastAsia="Calibri" w:hAnsi="Times New Roman"/>
          <w:sz w:val="20"/>
          <w:szCs w:val="20"/>
        </w:rPr>
      </w:pPr>
    </w:p>
    <w:p w14:paraId="086B49B3" w14:textId="77777777" w:rsidR="004047F2" w:rsidRPr="00712F3C" w:rsidRDefault="004047F2" w:rsidP="004047F2">
      <w:pPr>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 xml:space="preserve">In case of revision in Applications, the Non-Institutional Bidders, who are individuals, have to ensure that the Application Amount is greater than </w:t>
      </w:r>
      <w:r w:rsidRPr="002E45D9">
        <w:rPr>
          <w:rFonts w:ascii="Times New Roman" w:eastAsia="Calibri" w:hAnsi="Times New Roman"/>
          <w:sz w:val="20"/>
          <w:szCs w:val="20"/>
        </w:rPr>
        <w:t>₹</w:t>
      </w:r>
      <w:r w:rsidRPr="00712F3C">
        <w:rPr>
          <w:rFonts w:ascii="Times New Roman" w:eastAsia="Calibri" w:hAnsi="Times New Roman"/>
          <w:sz w:val="20"/>
          <w:szCs w:val="20"/>
        </w:rPr>
        <w:t xml:space="preserve"> 2,00,000 for being considered for allocation in the Non-Institutional Portion.</w:t>
      </w:r>
    </w:p>
    <w:p w14:paraId="16F7159F" w14:textId="77777777" w:rsidR="004047F2" w:rsidRPr="00712F3C" w:rsidRDefault="004047F2" w:rsidP="004047F2">
      <w:pPr>
        <w:widowControl w:val="0"/>
        <w:spacing w:after="0" w:line="240" w:lineRule="auto"/>
        <w:contextualSpacing/>
        <w:jc w:val="both"/>
        <w:rPr>
          <w:rFonts w:ascii="Times New Roman" w:eastAsia="MS Mincho" w:hAnsi="Times New Roman"/>
          <w:b/>
          <w:bCs/>
          <w:iCs/>
          <w:sz w:val="20"/>
          <w:szCs w:val="20"/>
          <w:lang w:val="en-GB"/>
        </w:rPr>
      </w:pPr>
    </w:p>
    <w:p w14:paraId="20053414" w14:textId="77777777" w:rsidR="004047F2" w:rsidRPr="00712F3C" w:rsidRDefault="004047F2" w:rsidP="004047F2">
      <w:pPr>
        <w:widowControl w:val="0"/>
        <w:spacing w:after="0" w:line="240" w:lineRule="auto"/>
        <w:contextualSpacing/>
        <w:jc w:val="both"/>
        <w:rPr>
          <w:rFonts w:ascii="Times New Roman" w:eastAsia="MS Mincho" w:hAnsi="Times New Roman"/>
          <w:b/>
          <w:bCs/>
          <w:iCs/>
          <w:sz w:val="20"/>
          <w:szCs w:val="20"/>
          <w:lang w:val="en-GB"/>
        </w:rPr>
      </w:pPr>
      <w:r w:rsidRPr="00712F3C">
        <w:rPr>
          <w:rFonts w:ascii="Times New Roman" w:eastAsia="MS Mincho" w:hAnsi="Times New Roman"/>
          <w:b/>
          <w:bCs/>
          <w:iCs/>
          <w:sz w:val="20"/>
          <w:szCs w:val="20"/>
          <w:lang w:val="en-GB"/>
        </w:rPr>
        <w:t>Bidders are advised to ensure that any single Application from them does not exceed the investment limits or maximum number of Equity Shares that can be held by them under applicable law or regulation or as specified in this Draft Red Herring Prospectus.</w:t>
      </w:r>
    </w:p>
    <w:p w14:paraId="02ABA967" w14:textId="77777777" w:rsidR="004047F2" w:rsidRPr="00712F3C" w:rsidRDefault="004047F2" w:rsidP="004047F2">
      <w:pPr>
        <w:widowControl w:val="0"/>
        <w:spacing w:after="0" w:line="240" w:lineRule="auto"/>
        <w:contextualSpacing/>
        <w:jc w:val="both"/>
        <w:rPr>
          <w:rFonts w:ascii="Times New Roman" w:eastAsia="MS Mincho" w:hAnsi="Times New Roman"/>
          <w:b/>
          <w:bCs/>
          <w:iCs/>
          <w:sz w:val="20"/>
          <w:szCs w:val="20"/>
          <w:lang w:val="en-GB"/>
        </w:rPr>
      </w:pPr>
    </w:p>
    <w:p w14:paraId="0E8E887F" w14:textId="77777777" w:rsidR="004047F2" w:rsidRPr="00712F3C" w:rsidRDefault="004047F2" w:rsidP="004047F2">
      <w:pPr>
        <w:suppressAutoHyphens/>
        <w:autoSpaceDE w:val="0"/>
        <w:autoSpaceDN w:val="0"/>
        <w:adjustRightInd w:val="0"/>
        <w:spacing w:after="0" w:line="240" w:lineRule="auto"/>
        <w:contextualSpacing/>
        <w:jc w:val="both"/>
        <w:textAlignment w:val="center"/>
        <w:rPr>
          <w:rFonts w:ascii="Times New Roman" w:eastAsia="Calibri" w:hAnsi="Times New Roman"/>
          <w:b/>
          <w:iCs/>
          <w:sz w:val="20"/>
          <w:szCs w:val="20"/>
        </w:rPr>
      </w:pPr>
      <w:r w:rsidRPr="00712F3C">
        <w:rPr>
          <w:rFonts w:ascii="Times New Roman" w:eastAsia="Calibri" w:hAnsi="Times New Roman"/>
          <w:b/>
          <w:iCs/>
          <w:sz w:val="20"/>
          <w:szCs w:val="20"/>
        </w:rPr>
        <w:t>The above information is given for the benefit of the Bidders. The Company and the BRLMs are not liable for any amendments or modification or changes in applicable laws or regulations, which may occur after the date of this Draft Red Herring Prospectus. Bidders are advised to make their independent investigations and ensure that the number of Equity Shares applied for do not exceed the applicable limits under laws or regulations.</w:t>
      </w:r>
    </w:p>
    <w:p w14:paraId="0D172CD6" w14:textId="77777777" w:rsidR="004047F2" w:rsidRPr="00712F3C" w:rsidRDefault="004047F2" w:rsidP="004047F2">
      <w:pPr>
        <w:suppressAutoHyphens/>
        <w:autoSpaceDE w:val="0"/>
        <w:autoSpaceDN w:val="0"/>
        <w:adjustRightInd w:val="0"/>
        <w:spacing w:after="0" w:line="240" w:lineRule="auto"/>
        <w:contextualSpacing/>
        <w:jc w:val="both"/>
        <w:textAlignment w:val="center"/>
        <w:rPr>
          <w:rFonts w:ascii="Times New Roman" w:eastAsia="Calibri" w:hAnsi="Times New Roman"/>
          <w:b/>
          <w:iCs/>
          <w:sz w:val="20"/>
          <w:szCs w:val="20"/>
        </w:rPr>
      </w:pPr>
    </w:p>
    <w:p w14:paraId="4D1FB6CD" w14:textId="77777777" w:rsidR="004047F2" w:rsidRPr="00712F3C" w:rsidRDefault="004047F2" w:rsidP="004047F2">
      <w:pPr>
        <w:widowControl w:val="0"/>
        <w:tabs>
          <w:tab w:val="left" w:pos="1140"/>
          <w:tab w:val="left" w:pos="1580"/>
          <w:tab w:val="left" w:pos="3100"/>
          <w:tab w:val="left" w:pos="3540"/>
          <w:tab w:val="left" w:pos="4220"/>
          <w:tab w:val="left" w:pos="5880"/>
          <w:tab w:val="left" w:pos="7320"/>
          <w:tab w:val="left" w:pos="8000"/>
          <w:tab w:val="left" w:pos="8580"/>
        </w:tabs>
        <w:spacing w:after="0" w:line="240" w:lineRule="auto"/>
        <w:contextualSpacing/>
        <w:jc w:val="both"/>
        <w:rPr>
          <w:rFonts w:ascii="Times New Roman" w:eastAsia="Calibri" w:hAnsi="Times New Roman"/>
          <w:b/>
          <w:sz w:val="20"/>
          <w:szCs w:val="20"/>
          <w:lang w:bidi="en-US"/>
        </w:rPr>
      </w:pPr>
      <w:bookmarkStart w:id="30" w:name="Basisofallotment"/>
      <w:r w:rsidRPr="00712F3C">
        <w:rPr>
          <w:rFonts w:ascii="Times New Roman" w:eastAsia="Calibri" w:hAnsi="Times New Roman"/>
          <w:b/>
          <w:sz w:val="20"/>
          <w:szCs w:val="20"/>
          <w:lang w:bidi="en-US"/>
        </w:rPr>
        <w:t>METHOD OF BIDDING PROCESS</w:t>
      </w:r>
    </w:p>
    <w:p w14:paraId="54B4C4FE" w14:textId="77777777" w:rsidR="004047F2" w:rsidRPr="00712F3C" w:rsidRDefault="004047F2" w:rsidP="004047F2">
      <w:pPr>
        <w:widowControl w:val="0"/>
        <w:tabs>
          <w:tab w:val="left" w:pos="1140"/>
          <w:tab w:val="left" w:pos="1580"/>
          <w:tab w:val="left" w:pos="3100"/>
          <w:tab w:val="left" w:pos="3540"/>
          <w:tab w:val="left" w:pos="4220"/>
          <w:tab w:val="left" w:pos="5880"/>
          <w:tab w:val="left" w:pos="7320"/>
          <w:tab w:val="left" w:pos="8000"/>
          <w:tab w:val="left" w:pos="8580"/>
        </w:tabs>
        <w:spacing w:after="0" w:line="240" w:lineRule="auto"/>
        <w:contextualSpacing/>
        <w:jc w:val="both"/>
        <w:rPr>
          <w:rFonts w:ascii="Times New Roman" w:eastAsia="Calibri" w:hAnsi="Times New Roman"/>
          <w:b/>
          <w:sz w:val="20"/>
          <w:szCs w:val="20"/>
          <w:lang w:bidi="en-US"/>
        </w:rPr>
      </w:pPr>
    </w:p>
    <w:p w14:paraId="35F61B0B" w14:textId="4FD8C4D3" w:rsidR="004047F2" w:rsidRPr="00712F3C" w:rsidRDefault="004047F2" w:rsidP="004047F2">
      <w:pPr>
        <w:widowControl w:val="0"/>
        <w:tabs>
          <w:tab w:val="left" w:pos="720"/>
          <w:tab w:val="left" w:pos="3100"/>
          <w:tab w:val="left" w:pos="3540"/>
          <w:tab w:val="left" w:pos="4220"/>
          <w:tab w:val="left" w:pos="5880"/>
          <w:tab w:val="left" w:pos="7320"/>
          <w:tab w:val="left" w:pos="8000"/>
          <w:tab w:val="left" w:pos="8580"/>
        </w:tabs>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 xml:space="preserve">Our Company in consultation with the BRLM will decide the Price Band and the minimum Bid lot size for the Issue and the same shall be advertised </w:t>
      </w:r>
      <w:r w:rsidRPr="00712F3C">
        <w:rPr>
          <w:rFonts w:ascii="Times New Roman" w:hAnsi="Times New Roman"/>
          <w:bCs/>
          <w:sz w:val="20"/>
          <w:szCs w:val="20"/>
          <w:lang w:bidi="en-US"/>
        </w:rPr>
        <w:t xml:space="preserve">in all editions of the </w:t>
      </w:r>
      <w:r w:rsidR="00D83D95" w:rsidRPr="00D83D95">
        <w:rPr>
          <w:rFonts w:ascii="Times New Roman" w:hAnsi="Times New Roman"/>
          <w:bCs/>
          <w:sz w:val="20"/>
          <w:szCs w:val="20"/>
          <w:lang w:bidi="en-US"/>
        </w:rPr>
        <w:t>English national daily newspaper and all editions of [●], a Hindi national daily newspaper and Jamnagar edition of [●], a regional newspaper each with wide circulation</w:t>
      </w:r>
      <w:r w:rsidR="00D83D95" w:rsidRPr="00D83D95">
        <w:rPr>
          <w:rFonts w:ascii="Times New Roman" w:eastAsia="Calibri" w:hAnsi="Times New Roman"/>
          <w:bCs/>
          <w:sz w:val="20"/>
          <w:szCs w:val="20"/>
          <w:lang w:bidi="en-US"/>
        </w:rPr>
        <w:t xml:space="preserve"> </w:t>
      </w:r>
      <w:r w:rsidRPr="00712F3C">
        <w:rPr>
          <w:rFonts w:ascii="Times New Roman" w:eastAsia="Calibri" w:hAnsi="Times New Roman"/>
          <w:sz w:val="20"/>
          <w:szCs w:val="20"/>
          <w:lang w:bidi="en-US"/>
        </w:rPr>
        <w:t>at least two Working Days prior to the Bid/ Issue Opening Date. The BRLM and the SCSBs shall accept Bids from the Bidders during the Bid/ Issue Period.</w:t>
      </w:r>
    </w:p>
    <w:p w14:paraId="3D783583" w14:textId="77777777" w:rsidR="004047F2" w:rsidRPr="00712F3C" w:rsidRDefault="004047F2" w:rsidP="004047F2">
      <w:pPr>
        <w:widowControl w:val="0"/>
        <w:tabs>
          <w:tab w:val="left" w:pos="720"/>
          <w:tab w:val="left" w:pos="1140"/>
          <w:tab w:val="left" w:pos="1580"/>
          <w:tab w:val="left" w:pos="3100"/>
          <w:tab w:val="left" w:pos="3540"/>
          <w:tab w:val="left" w:pos="4220"/>
          <w:tab w:val="left" w:pos="5880"/>
          <w:tab w:val="left" w:pos="7320"/>
          <w:tab w:val="left" w:pos="8000"/>
          <w:tab w:val="left" w:pos="8580"/>
        </w:tabs>
        <w:spacing w:after="0" w:line="240" w:lineRule="auto"/>
        <w:contextualSpacing/>
        <w:jc w:val="both"/>
        <w:rPr>
          <w:rFonts w:ascii="Times New Roman" w:eastAsia="Calibri" w:hAnsi="Times New Roman"/>
          <w:sz w:val="20"/>
          <w:szCs w:val="20"/>
          <w:lang w:bidi="en-US"/>
        </w:rPr>
      </w:pPr>
    </w:p>
    <w:p w14:paraId="47A9A520" w14:textId="349955C9" w:rsidR="004047F2" w:rsidRPr="00712F3C" w:rsidRDefault="004047F2">
      <w:pPr>
        <w:widowControl w:val="0"/>
        <w:numPr>
          <w:ilvl w:val="0"/>
          <w:numId w:val="305"/>
        </w:numPr>
        <w:spacing w:after="0" w:line="240" w:lineRule="auto"/>
        <w:ind w:left="360"/>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 xml:space="preserve">The Bid / Issue Period shall be for a minimum of three Working Days and shall not exceed 10 Working Days. The Bid/ Issue Period maybe extended, if required, by an additional three Working Days, subject to the total Bid/ Issue Period not exceeding 10 Working Days. Any revision in the Price Band and the revised Bid/ Issue Period, if applicable, will be published </w:t>
      </w:r>
      <w:r w:rsidRPr="00712F3C">
        <w:rPr>
          <w:rFonts w:ascii="Times New Roman" w:hAnsi="Times New Roman"/>
          <w:bCs/>
          <w:sz w:val="20"/>
          <w:szCs w:val="20"/>
          <w:lang w:bidi="en-US"/>
        </w:rPr>
        <w:t xml:space="preserve">in all editions of the </w:t>
      </w:r>
      <w:r w:rsidR="00D83D95" w:rsidRPr="00D83D95">
        <w:rPr>
          <w:rFonts w:ascii="Times New Roman" w:hAnsi="Times New Roman"/>
          <w:bCs/>
          <w:sz w:val="20"/>
          <w:szCs w:val="20"/>
          <w:lang w:bidi="en-US"/>
        </w:rPr>
        <w:t xml:space="preserve">English national daily newspaper and all editions of [●], a Hindi national daily newspaper and Jamnagar edition of [●], a regional newspaper each with wide circulation </w:t>
      </w:r>
      <w:r w:rsidR="005B4BD3" w:rsidRPr="00712F3C">
        <w:rPr>
          <w:rFonts w:ascii="Times New Roman" w:hAnsi="Times New Roman"/>
          <w:bCs/>
          <w:color w:val="000000"/>
          <w:sz w:val="20"/>
          <w:szCs w:val="20"/>
        </w:rPr>
        <w:t>w</w:t>
      </w:r>
      <w:r w:rsidR="005B4BD3" w:rsidRPr="00712F3C">
        <w:rPr>
          <w:rFonts w:ascii="Times New Roman" w:hAnsi="Times New Roman"/>
          <w:bCs/>
          <w:sz w:val="20"/>
          <w:szCs w:val="20"/>
          <w:lang w:bidi="en-US"/>
        </w:rPr>
        <w:t>here the registered office of the company is situated</w:t>
      </w:r>
      <w:r w:rsidRPr="00712F3C">
        <w:rPr>
          <w:rFonts w:ascii="Times New Roman" w:hAnsi="Times New Roman"/>
          <w:bCs/>
          <w:sz w:val="20"/>
          <w:szCs w:val="20"/>
          <w:lang w:bidi="en-US"/>
        </w:rPr>
        <w:t>,</w:t>
      </w:r>
      <w:r w:rsidR="00D83D95">
        <w:rPr>
          <w:rFonts w:ascii="Times New Roman" w:hAnsi="Times New Roman"/>
          <w:bCs/>
          <w:sz w:val="20"/>
          <w:szCs w:val="20"/>
          <w:lang w:bidi="en-US"/>
        </w:rPr>
        <w:t xml:space="preserve"> </w:t>
      </w:r>
      <w:r w:rsidRPr="00712F3C">
        <w:rPr>
          <w:rFonts w:ascii="Times New Roman" w:eastAsia="Calibri" w:hAnsi="Times New Roman"/>
          <w:sz w:val="20"/>
          <w:szCs w:val="20"/>
          <w:lang w:bidi="en-US"/>
        </w:rPr>
        <w:t>and also by indicating the change on the websites of the Book Running Lead Manager.</w:t>
      </w:r>
    </w:p>
    <w:p w14:paraId="5230A1DA" w14:textId="77777777" w:rsidR="004047F2" w:rsidRPr="00712F3C" w:rsidRDefault="004047F2" w:rsidP="002A5501">
      <w:pPr>
        <w:widowControl w:val="0"/>
        <w:spacing w:after="0" w:line="240" w:lineRule="auto"/>
        <w:ind w:left="360"/>
        <w:contextualSpacing/>
        <w:jc w:val="both"/>
        <w:rPr>
          <w:rFonts w:ascii="Times New Roman" w:eastAsia="Calibri" w:hAnsi="Times New Roman"/>
          <w:sz w:val="20"/>
          <w:szCs w:val="20"/>
          <w:lang w:bidi="en-US"/>
        </w:rPr>
      </w:pPr>
    </w:p>
    <w:p w14:paraId="2EBE113F" w14:textId="77777777" w:rsidR="004047F2" w:rsidRPr="00712F3C" w:rsidRDefault="004047F2">
      <w:pPr>
        <w:widowControl w:val="0"/>
        <w:numPr>
          <w:ilvl w:val="0"/>
          <w:numId w:val="305"/>
        </w:numPr>
        <w:spacing w:after="0" w:line="240" w:lineRule="auto"/>
        <w:ind w:left="360"/>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During the Bid/ Issue Period, Retail Individual Bidders, should approach the BRLM or their authorized agents to register their Bids. The BRLM shall accept Bids from Anchor Investors and ASBA Bidders in Specified Cities and it shall have the right to vet the Bids during the Bid/ Issue Period in accordance with the terms of the Red Herring Prospectus. ASBA Bidders should approach the Designated Branches or the BRLM (for the Bids to be submitted in the Specified Cities) to register their Bids.</w:t>
      </w:r>
    </w:p>
    <w:p w14:paraId="4CA86AB0" w14:textId="77777777" w:rsidR="004047F2" w:rsidRPr="00712F3C" w:rsidRDefault="004047F2" w:rsidP="002A5501">
      <w:pPr>
        <w:widowControl w:val="0"/>
        <w:spacing w:after="0" w:line="240" w:lineRule="auto"/>
        <w:ind w:left="360"/>
        <w:contextualSpacing/>
        <w:jc w:val="both"/>
        <w:rPr>
          <w:rFonts w:ascii="Times New Roman" w:eastAsia="Calibri" w:hAnsi="Times New Roman"/>
          <w:sz w:val="20"/>
          <w:szCs w:val="20"/>
          <w:lang w:bidi="en-US"/>
        </w:rPr>
      </w:pPr>
    </w:p>
    <w:p w14:paraId="7411C2BE" w14:textId="77777777" w:rsidR="004047F2" w:rsidRPr="00712F3C" w:rsidRDefault="004047F2">
      <w:pPr>
        <w:widowControl w:val="0"/>
        <w:numPr>
          <w:ilvl w:val="0"/>
          <w:numId w:val="305"/>
        </w:numPr>
        <w:spacing w:after="0" w:line="240" w:lineRule="auto"/>
        <w:ind w:left="360"/>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Each Bid cum Application Form will give the Bidder the choice to Bid for up to three optional prices (for details refer to the paragraph titled “Bids at Different Price Levels and Revision of Bids” below) within the Price Band and specify the demand (i.e., the number of Equity Shares Bid for) in each option. The price and demand options submitted by the Bidder in the Bid cum Application Form will be treated as optional demands from the Bidder and will not be cumulated. After determination of the Issue Price, the maximum number of Equity Shares Bid for by a Bidder/Applicant at or above the Issue Price will be considered for allocation/Allotment and the rest of the Bid(s), irrespective of the Bid Amount, will become automatically invalid.</w:t>
      </w:r>
    </w:p>
    <w:p w14:paraId="6868E6EF" w14:textId="77777777" w:rsidR="004047F2" w:rsidRPr="00712F3C" w:rsidRDefault="004047F2" w:rsidP="002A5501">
      <w:pPr>
        <w:widowControl w:val="0"/>
        <w:spacing w:after="0" w:line="240" w:lineRule="auto"/>
        <w:ind w:left="360"/>
        <w:contextualSpacing/>
        <w:jc w:val="both"/>
        <w:rPr>
          <w:rFonts w:ascii="Times New Roman" w:eastAsia="Calibri" w:hAnsi="Times New Roman"/>
          <w:sz w:val="20"/>
          <w:szCs w:val="20"/>
          <w:lang w:bidi="en-US"/>
        </w:rPr>
      </w:pPr>
    </w:p>
    <w:p w14:paraId="1B705F07" w14:textId="77777777" w:rsidR="004047F2" w:rsidRPr="00712F3C" w:rsidRDefault="004047F2">
      <w:pPr>
        <w:widowControl w:val="0"/>
        <w:numPr>
          <w:ilvl w:val="0"/>
          <w:numId w:val="305"/>
        </w:numPr>
        <w:spacing w:after="0" w:line="240" w:lineRule="auto"/>
        <w:ind w:left="360"/>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The Bidder/ Applicant cannot Bid through another Bid cum Application Form after Bids through one Bid cum Application Form have been submitted to a BRLM or the SCSBs. Submission of a second Bid cum Application Form to either the same or to another BRLM or SCSB will be treated as multiple Bid and is liable to be rejected either before entering the Bid into the electronic bidding system, or at any point of time prior to the allocation or Allotment of Equity Shares in this Issue. However, the Bidder can revise the Bid through the Revision Form, the procedure for which is detailed under the paragraph “Buildup of the Book and Revision of Bids”.</w:t>
      </w:r>
    </w:p>
    <w:p w14:paraId="40FA6137" w14:textId="77777777" w:rsidR="004047F2" w:rsidRPr="00712F3C" w:rsidRDefault="004047F2" w:rsidP="002A5501">
      <w:pPr>
        <w:widowControl w:val="0"/>
        <w:spacing w:after="0" w:line="240" w:lineRule="auto"/>
        <w:ind w:left="360"/>
        <w:contextualSpacing/>
        <w:jc w:val="both"/>
        <w:rPr>
          <w:rFonts w:ascii="Times New Roman" w:eastAsia="Calibri" w:hAnsi="Times New Roman"/>
          <w:sz w:val="20"/>
          <w:szCs w:val="20"/>
          <w:lang w:bidi="en-US"/>
        </w:rPr>
      </w:pPr>
    </w:p>
    <w:p w14:paraId="6070545E" w14:textId="77777777" w:rsidR="004047F2" w:rsidRPr="00712F3C" w:rsidRDefault="004047F2">
      <w:pPr>
        <w:widowControl w:val="0"/>
        <w:numPr>
          <w:ilvl w:val="0"/>
          <w:numId w:val="305"/>
        </w:numPr>
        <w:spacing w:after="0" w:line="240" w:lineRule="auto"/>
        <w:ind w:left="360"/>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Except in relation to the Bids received from the Anchor Investors, the BRLM/the SCSBs will enter each Bid option into the electronic bidding system as a separate Bid and generate a Transaction Registration Slip, (“TRS”), for each price and demand option and give the same to the Bidder. Therefore, a Bidder can receive up to three TRSs for each Bid cum Application Form</w:t>
      </w:r>
    </w:p>
    <w:p w14:paraId="50618EBC" w14:textId="77777777" w:rsidR="004047F2" w:rsidRPr="00712F3C" w:rsidRDefault="004047F2" w:rsidP="002A5501">
      <w:pPr>
        <w:widowControl w:val="0"/>
        <w:spacing w:after="0" w:line="240" w:lineRule="auto"/>
        <w:ind w:left="360"/>
        <w:contextualSpacing/>
        <w:jc w:val="both"/>
        <w:rPr>
          <w:rFonts w:ascii="Times New Roman" w:eastAsia="Calibri" w:hAnsi="Times New Roman"/>
          <w:sz w:val="20"/>
          <w:szCs w:val="20"/>
          <w:lang w:bidi="en-US"/>
        </w:rPr>
      </w:pPr>
    </w:p>
    <w:p w14:paraId="49ADB46A" w14:textId="77777777" w:rsidR="004047F2" w:rsidRPr="00712F3C" w:rsidRDefault="004047F2">
      <w:pPr>
        <w:widowControl w:val="0"/>
        <w:numPr>
          <w:ilvl w:val="0"/>
          <w:numId w:val="305"/>
        </w:numPr>
        <w:spacing w:after="0" w:line="240" w:lineRule="auto"/>
        <w:ind w:left="360"/>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The BRLM shall accept the Bids from the Anchor Investors during the Anchor Investor Bid/ Issue Period i.e. one working day prior to the Bid/ Issue Opening Date. Bids by QIBs under the Anchor Investor Portion and the QIB Portion shall not be considered as multiple Bids.</w:t>
      </w:r>
    </w:p>
    <w:p w14:paraId="27EF127D" w14:textId="77777777" w:rsidR="004047F2" w:rsidRPr="00712F3C" w:rsidRDefault="004047F2" w:rsidP="002A5501">
      <w:pPr>
        <w:widowControl w:val="0"/>
        <w:spacing w:after="0" w:line="240" w:lineRule="auto"/>
        <w:ind w:left="360"/>
        <w:contextualSpacing/>
        <w:jc w:val="both"/>
        <w:rPr>
          <w:rFonts w:ascii="Times New Roman" w:eastAsia="Calibri" w:hAnsi="Times New Roman"/>
          <w:sz w:val="20"/>
          <w:szCs w:val="20"/>
          <w:lang w:bidi="en-US"/>
        </w:rPr>
      </w:pPr>
    </w:p>
    <w:p w14:paraId="19A4FFEF" w14:textId="77777777" w:rsidR="004047F2" w:rsidRPr="00712F3C" w:rsidRDefault="004047F2">
      <w:pPr>
        <w:widowControl w:val="0"/>
        <w:numPr>
          <w:ilvl w:val="0"/>
          <w:numId w:val="305"/>
        </w:numPr>
        <w:spacing w:after="0" w:line="240" w:lineRule="auto"/>
        <w:ind w:left="360"/>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 xml:space="preserve">Along with the Bid cum Application Form, Anchor Investors will make payment in the manner described in “Escrow Mechanism - Terms of payment and payment into the Escrow Accounts” in the section </w:t>
      </w:r>
      <w:r w:rsidRPr="002A5501">
        <w:rPr>
          <w:rFonts w:ascii="Times New Roman" w:eastAsia="Calibri" w:hAnsi="Times New Roman"/>
          <w:sz w:val="20"/>
          <w:szCs w:val="20"/>
          <w:lang w:bidi="en-US"/>
        </w:rPr>
        <w:t>“Issue Procedure”</w:t>
      </w:r>
      <w:r w:rsidRPr="00712F3C">
        <w:rPr>
          <w:rFonts w:ascii="Times New Roman" w:eastAsia="Calibri" w:hAnsi="Times New Roman"/>
          <w:sz w:val="20"/>
          <w:szCs w:val="20"/>
          <w:lang w:bidi="en-US"/>
        </w:rPr>
        <w:t xml:space="preserve"> beginning on page </w:t>
      </w:r>
      <w:r>
        <w:rPr>
          <w:rFonts w:ascii="Times New Roman" w:eastAsia="Calibri" w:hAnsi="Times New Roman"/>
          <w:sz w:val="20"/>
          <w:szCs w:val="20"/>
          <w:lang w:bidi="en-US"/>
        </w:rPr>
        <w:t>216</w:t>
      </w:r>
      <w:r w:rsidRPr="00712F3C">
        <w:rPr>
          <w:rFonts w:ascii="Times New Roman" w:eastAsia="Calibri" w:hAnsi="Times New Roman"/>
          <w:sz w:val="20"/>
          <w:szCs w:val="20"/>
          <w:lang w:bidi="en-US"/>
        </w:rPr>
        <w:t xml:space="preserve"> of this Draft Red Herring Prospectus</w:t>
      </w:r>
    </w:p>
    <w:p w14:paraId="69FB21FA" w14:textId="77777777" w:rsidR="004047F2" w:rsidRPr="00712F3C" w:rsidRDefault="004047F2" w:rsidP="002A5501">
      <w:pPr>
        <w:widowControl w:val="0"/>
        <w:spacing w:after="0" w:line="240" w:lineRule="auto"/>
        <w:ind w:left="360"/>
        <w:contextualSpacing/>
        <w:jc w:val="both"/>
        <w:rPr>
          <w:rFonts w:ascii="Times New Roman" w:eastAsia="Calibri" w:hAnsi="Times New Roman"/>
          <w:sz w:val="20"/>
          <w:szCs w:val="20"/>
          <w:lang w:bidi="en-US"/>
        </w:rPr>
      </w:pPr>
    </w:p>
    <w:p w14:paraId="62536FD3" w14:textId="77777777" w:rsidR="004047F2" w:rsidRPr="00712F3C" w:rsidRDefault="004047F2">
      <w:pPr>
        <w:widowControl w:val="0"/>
        <w:numPr>
          <w:ilvl w:val="0"/>
          <w:numId w:val="305"/>
        </w:numPr>
        <w:spacing w:after="0" w:line="240" w:lineRule="auto"/>
        <w:ind w:left="360"/>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Upon receipt of the Bid cum Application Form, submitted whether in physical or electronic mode, the Designated Branch of the SCSB shall verify if sufficient funds equal to the Bid Amount are available in the ASBA Account, as mentioned in the Bid cum Application Form prior to uploading such Bids with the Stock Exchange.</w:t>
      </w:r>
    </w:p>
    <w:p w14:paraId="35F5E318" w14:textId="77777777" w:rsidR="004047F2" w:rsidRPr="00712F3C" w:rsidRDefault="004047F2" w:rsidP="002A5501">
      <w:pPr>
        <w:widowControl w:val="0"/>
        <w:spacing w:after="0" w:line="240" w:lineRule="auto"/>
        <w:ind w:left="360"/>
        <w:contextualSpacing/>
        <w:jc w:val="both"/>
        <w:rPr>
          <w:rFonts w:ascii="Times New Roman" w:eastAsia="Calibri" w:hAnsi="Times New Roman"/>
          <w:sz w:val="20"/>
          <w:szCs w:val="20"/>
          <w:lang w:bidi="en-US"/>
        </w:rPr>
      </w:pPr>
    </w:p>
    <w:p w14:paraId="3515E9B5" w14:textId="77777777" w:rsidR="004047F2" w:rsidRPr="00712F3C" w:rsidRDefault="004047F2">
      <w:pPr>
        <w:widowControl w:val="0"/>
        <w:numPr>
          <w:ilvl w:val="0"/>
          <w:numId w:val="305"/>
        </w:numPr>
        <w:spacing w:after="0" w:line="240" w:lineRule="auto"/>
        <w:ind w:left="360"/>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If sufficient funds are not available in the ASBA Account, the Designated Branch of the SCSB shall reject such Bids and shall not upload such Bids with the Stock Exchange.</w:t>
      </w:r>
    </w:p>
    <w:p w14:paraId="24B3A45D" w14:textId="77777777" w:rsidR="004047F2" w:rsidRPr="00712F3C" w:rsidRDefault="004047F2" w:rsidP="002A5501">
      <w:pPr>
        <w:widowControl w:val="0"/>
        <w:spacing w:after="0" w:line="240" w:lineRule="auto"/>
        <w:ind w:left="360"/>
        <w:contextualSpacing/>
        <w:jc w:val="both"/>
        <w:rPr>
          <w:rFonts w:ascii="Times New Roman" w:eastAsia="Calibri" w:hAnsi="Times New Roman"/>
          <w:sz w:val="20"/>
          <w:szCs w:val="20"/>
          <w:lang w:bidi="en-US"/>
        </w:rPr>
      </w:pPr>
    </w:p>
    <w:p w14:paraId="1AB554EF" w14:textId="77777777" w:rsidR="004047F2" w:rsidRPr="00712F3C" w:rsidRDefault="004047F2">
      <w:pPr>
        <w:widowControl w:val="0"/>
        <w:numPr>
          <w:ilvl w:val="0"/>
          <w:numId w:val="305"/>
        </w:numPr>
        <w:spacing w:after="0" w:line="240" w:lineRule="auto"/>
        <w:ind w:left="360"/>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If sufficient funds are available in the ASBA Account, the SCSB shall block an amount equivalent to the Bid Amount mentioned in the Bid cum Application Form and will enter each Bid option into the electronic bidding system as a separate Bid and generate a TRS for each price and demand option. The TRS shall be furnished to the ASBA Bidder on request.</w:t>
      </w:r>
    </w:p>
    <w:p w14:paraId="398823CD" w14:textId="77777777" w:rsidR="004047F2" w:rsidRPr="00712F3C" w:rsidRDefault="004047F2" w:rsidP="002A5501">
      <w:pPr>
        <w:widowControl w:val="0"/>
        <w:spacing w:after="0" w:line="240" w:lineRule="auto"/>
        <w:ind w:left="360"/>
        <w:contextualSpacing/>
        <w:jc w:val="both"/>
        <w:rPr>
          <w:rFonts w:ascii="Times New Roman" w:eastAsia="Calibri" w:hAnsi="Times New Roman"/>
          <w:sz w:val="20"/>
          <w:szCs w:val="20"/>
          <w:lang w:bidi="en-US"/>
        </w:rPr>
      </w:pPr>
    </w:p>
    <w:p w14:paraId="36D2342F" w14:textId="77777777" w:rsidR="004047F2" w:rsidRPr="00712F3C" w:rsidRDefault="004047F2">
      <w:pPr>
        <w:widowControl w:val="0"/>
        <w:numPr>
          <w:ilvl w:val="0"/>
          <w:numId w:val="305"/>
        </w:numPr>
        <w:spacing w:after="0" w:line="240" w:lineRule="auto"/>
        <w:ind w:left="360"/>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The Bid Amount shall remain blocked in the aforesaid ASBA Account until finalisation of the Basis of Allotment and consequent transfer of the Bid Amount against the Allotted Equity Shares to the Public Issue Account, or until withdrawal/failure of the Issue or until withdrawal/rejection of the Bid cum Application Form, as the case may be. Once the Basis of Allotment is finalized, the Registrar to the Issue shall send an appropriate request to the SCSB for unblocking the relevant ASBA Accounts and for transferring the amount allocable to the successful Bidders to the Public Issue Account. In case of withdrawal/failure of the Issue, the blocked amount shall be unblocked on receipt of such information from the Registrar to the Issue.</w:t>
      </w:r>
    </w:p>
    <w:p w14:paraId="3928B834" w14:textId="77777777" w:rsidR="004047F2" w:rsidRPr="00712F3C" w:rsidRDefault="004047F2" w:rsidP="004047F2">
      <w:pPr>
        <w:autoSpaceDE w:val="0"/>
        <w:autoSpaceDN w:val="0"/>
        <w:adjustRightInd w:val="0"/>
        <w:spacing w:after="0" w:line="240" w:lineRule="auto"/>
        <w:contextualSpacing/>
        <w:jc w:val="both"/>
        <w:rPr>
          <w:rFonts w:ascii="Times New Roman" w:eastAsia="Calibri" w:hAnsi="Times New Roman"/>
          <w:sz w:val="20"/>
          <w:szCs w:val="20"/>
          <w:lang w:bidi="en-US"/>
        </w:rPr>
      </w:pPr>
    </w:p>
    <w:p w14:paraId="6A2F8784" w14:textId="77777777" w:rsidR="004047F2" w:rsidRPr="00712F3C" w:rsidRDefault="004047F2" w:rsidP="004047F2">
      <w:pPr>
        <w:autoSpaceDE w:val="0"/>
        <w:autoSpaceDN w:val="0"/>
        <w:adjustRightInd w:val="0"/>
        <w:spacing w:after="0" w:line="240" w:lineRule="auto"/>
        <w:contextualSpacing/>
        <w:jc w:val="both"/>
        <w:rPr>
          <w:rFonts w:ascii="Times New Roman" w:eastAsia="Calibri" w:hAnsi="Times New Roman"/>
          <w:b/>
          <w:sz w:val="20"/>
          <w:szCs w:val="20"/>
          <w:lang w:bidi="en-US"/>
        </w:rPr>
      </w:pPr>
      <w:r w:rsidRPr="00712F3C">
        <w:rPr>
          <w:rFonts w:ascii="Times New Roman" w:eastAsia="Calibri" w:hAnsi="Times New Roman"/>
          <w:b/>
          <w:sz w:val="20"/>
          <w:szCs w:val="20"/>
          <w:lang w:bidi="en-US"/>
        </w:rPr>
        <w:t>BIDS AT DIFFERENT PRICE LEVELS AND REVISION OF BIDS</w:t>
      </w:r>
    </w:p>
    <w:p w14:paraId="3C6ED0FC" w14:textId="77777777" w:rsidR="004047F2" w:rsidRPr="00712F3C" w:rsidRDefault="004047F2" w:rsidP="004047F2">
      <w:pPr>
        <w:autoSpaceDE w:val="0"/>
        <w:autoSpaceDN w:val="0"/>
        <w:adjustRightInd w:val="0"/>
        <w:spacing w:after="0" w:line="240" w:lineRule="auto"/>
        <w:contextualSpacing/>
        <w:jc w:val="both"/>
        <w:rPr>
          <w:rFonts w:ascii="Times New Roman" w:eastAsia="Calibri" w:hAnsi="Times New Roman"/>
          <w:b/>
          <w:sz w:val="20"/>
          <w:szCs w:val="20"/>
          <w:lang w:bidi="en-US"/>
        </w:rPr>
      </w:pPr>
    </w:p>
    <w:p w14:paraId="02541AF5" w14:textId="77777777" w:rsidR="004047F2" w:rsidRPr="002A5501" w:rsidRDefault="004047F2">
      <w:pPr>
        <w:pStyle w:val="ListParagraph"/>
        <w:widowControl w:val="0"/>
        <w:numPr>
          <w:ilvl w:val="0"/>
          <w:numId w:val="354"/>
        </w:numPr>
        <w:spacing w:line="240" w:lineRule="auto"/>
        <w:ind w:left="360"/>
        <w:contextualSpacing/>
        <w:jc w:val="both"/>
        <w:rPr>
          <w:rFonts w:eastAsia="Calibri"/>
          <w:sz w:val="20"/>
          <w:szCs w:val="20"/>
          <w:lang w:bidi="en-US"/>
        </w:rPr>
      </w:pPr>
      <w:r w:rsidRPr="002A5501">
        <w:rPr>
          <w:rFonts w:eastAsia="Calibri"/>
          <w:sz w:val="20"/>
          <w:szCs w:val="20"/>
          <w:lang w:bidi="en-US"/>
        </w:rPr>
        <w:t>Our Company in consultation with the BRLM, and without the prior approval of, or intimation, to the Bidders, reserves the right to revise the Price Band during the Bid/ Issue Period, provided that the Cap Price shall be less than or equal to 120% of the Floor Price and the Floor Price shall not be less than the face value of the Equity Shares. The revision in Price Band shall not exceed 20% on the either side i.e. the floor price can move up or down to the extent of 20% of the floor price disclosed. If the revised price band decided, falls within two different price bands than the minimum application lot size shall be decided based on the price band in which the higher price falls into.</w:t>
      </w:r>
    </w:p>
    <w:p w14:paraId="6F9AE073" w14:textId="77777777" w:rsidR="004047F2" w:rsidRPr="00712F3C" w:rsidRDefault="004047F2" w:rsidP="002A5501">
      <w:pPr>
        <w:widowControl w:val="0"/>
        <w:spacing w:after="0" w:line="240" w:lineRule="auto"/>
        <w:ind w:left="360"/>
        <w:contextualSpacing/>
        <w:jc w:val="both"/>
        <w:rPr>
          <w:rFonts w:ascii="Times New Roman" w:eastAsia="Calibri" w:hAnsi="Times New Roman"/>
          <w:sz w:val="20"/>
          <w:szCs w:val="20"/>
          <w:lang w:bidi="en-US"/>
        </w:rPr>
      </w:pPr>
    </w:p>
    <w:p w14:paraId="23A18581" w14:textId="77777777" w:rsidR="004047F2" w:rsidRPr="00712F3C" w:rsidRDefault="004047F2">
      <w:pPr>
        <w:pStyle w:val="ListParagraph"/>
        <w:widowControl w:val="0"/>
        <w:numPr>
          <w:ilvl w:val="0"/>
          <w:numId w:val="354"/>
        </w:numPr>
        <w:spacing w:line="240" w:lineRule="auto"/>
        <w:ind w:left="360"/>
        <w:contextualSpacing/>
        <w:jc w:val="both"/>
        <w:rPr>
          <w:rFonts w:eastAsia="Calibri"/>
          <w:sz w:val="20"/>
          <w:szCs w:val="20"/>
          <w:lang w:bidi="en-US"/>
        </w:rPr>
      </w:pPr>
      <w:r w:rsidRPr="00712F3C">
        <w:rPr>
          <w:rFonts w:eastAsia="Calibri"/>
          <w:sz w:val="20"/>
          <w:szCs w:val="20"/>
          <w:lang w:bidi="en-US"/>
        </w:rPr>
        <w:t>Our Company in consultation with the BRLM, will finalize the Issue Price within the Price Band, without the prior approval of, or intimation, to the Bidders.</w:t>
      </w:r>
    </w:p>
    <w:p w14:paraId="068B7BA9" w14:textId="77777777" w:rsidR="004047F2" w:rsidRPr="00712F3C" w:rsidRDefault="004047F2" w:rsidP="00636B58">
      <w:pPr>
        <w:pStyle w:val="ListParagraph"/>
        <w:widowControl w:val="0"/>
        <w:spacing w:line="240" w:lineRule="auto"/>
        <w:ind w:left="360"/>
        <w:contextualSpacing/>
        <w:jc w:val="both"/>
        <w:rPr>
          <w:rFonts w:eastAsia="Calibri"/>
          <w:sz w:val="20"/>
          <w:szCs w:val="20"/>
          <w:lang w:bidi="en-US"/>
        </w:rPr>
      </w:pPr>
    </w:p>
    <w:p w14:paraId="3013B50C" w14:textId="77777777" w:rsidR="004047F2" w:rsidRPr="00712F3C" w:rsidRDefault="004047F2">
      <w:pPr>
        <w:pStyle w:val="ListParagraph"/>
        <w:widowControl w:val="0"/>
        <w:numPr>
          <w:ilvl w:val="0"/>
          <w:numId w:val="354"/>
        </w:numPr>
        <w:spacing w:line="240" w:lineRule="auto"/>
        <w:ind w:left="360"/>
        <w:contextualSpacing/>
        <w:jc w:val="both"/>
        <w:rPr>
          <w:rFonts w:eastAsia="Calibri"/>
          <w:sz w:val="20"/>
          <w:szCs w:val="20"/>
          <w:lang w:bidi="en-US"/>
        </w:rPr>
      </w:pPr>
      <w:r w:rsidRPr="00712F3C">
        <w:rPr>
          <w:rFonts w:eastAsia="Calibri"/>
          <w:sz w:val="20"/>
          <w:szCs w:val="20"/>
          <w:lang w:bidi="en-US"/>
        </w:rPr>
        <w:t>The Bidders can Bid at any price within the Price Band. The Bidder has to Bid for the desired number of Equity Shares at a specific price. Retail Individual Bidders may Bid at the Cut-off Price. However, bidding at the Cut-off Price is prohibited for QIB and Non-Institutional Bidders and such Bids from QIB and Non-Institutional Bidders shall be rejected.</w:t>
      </w:r>
    </w:p>
    <w:p w14:paraId="7F155F1A" w14:textId="77777777" w:rsidR="004047F2" w:rsidRPr="00712F3C" w:rsidRDefault="004047F2" w:rsidP="00636B58">
      <w:pPr>
        <w:pStyle w:val="ListParagraph"/>
        <w:widowControl w:val="0"/>
        <w:spacing w:line="240" w:lineRule="auto"/>
        <w:ind w:left="360"/>
        <w:contextualSpacing/>
        <w:jc w:val="both"/>
        <w:rPr>
          <w:rFonts w:eastAsia="Calibri"/>
          <w:sz w:val="20"/>
          <w:szCs w:val="20"/>
          <w:lang w:bidi="en-US"/>
        </w:rPr>
      </w:pPr>
    </w:p>
    <w:p w14:paraId="71EE6F2A" w14:textId="77777777" w:rsidR="004047F2" w:rsidRPr="00712F3C" w:rsidRDefault="004047F2">
      <w:pPr>
        <w:pStyle w:val="ListParagraph"/>
        <w:widowControl w:val="0"/>
        <w:numPr>
          <w:ilvl w:val="0"/>
          <w:numId w:val="354"/>
        </w:numPr>
        <w:spacing w:line="240" w:lineRule="auto"/>
        <w:ind w:left="360"/>
        <w:contextualSpacing/>
        <w:jc w:val="both"/>
        <w:rPr>
          <w:rFonts w:eastAsia="Calibri"/>
          <w:sz w:val="20"/>
          <w:szCs w:val="20"/>
          <w:lang w:bidi="en-US"/>
        </w:rPr>
      </w:pPr>
      <w:r w:rsidRPr="00712F3C">
        <w:rPr>
          <w:rFonts w:eastAsia="Calibri"/>
          <w:sz w:val="20"/>
          <w:szCs w:val="20"/>
          <w:lang w:bidi="en-US"/>
        </w:rPr>
        <w:t>Retail Individual Bidders, who Bid at Cut-off Price agree that they shall purchase the Equity Shares at any price within the Price Band. Retail Individual Bidders shall submit the Bid cum Application Form along with a cheque/demand draft for the Bid Amount based on the Cap Price with the Syndicate. In case of ASBA Bidders (excluding Non-Institutional Bidders and QIB Bidders) bidding at Cut-off Price, the ASBA Bidders shall instruct the SCSBs to block an amount based on the Cap Price.</w:t>
      </w:r>
    </w:p>
    <w:p w14:paraId="632B8EE0" w14:textId="77777777" w:rsidR="004047F2" w:rsidRPr="00712F3C" w:rsidRDefault="004047F2" w:rsidP="00636B58">
      <w:pPr>
        <w:pStyle w:val="ListParagraph"/>
        <w:widowControl w:val="0"/>
        <w:spacing w:line="240" w:lineRule="auto"/>
        <w:ind w:left="360"/>
        <w:contextualSpacing/>
        <w:jc w:val="both"/>
        <w:rPr>
          <w:rFonts w:eastAsia="Calibri"/>
          <w:sz w:val="20"/>
          <w:szCs w:val="20"/>
          <w:lang w:bidi="en-US"/>
        </w:rPr>
      </w:pPr>
    </w:p>
    <w:p w14:paraId="19150184" w14:textId="77777777" w:rsidR="004047F2" w:rsidRPr="00712F3C" w:rsidRDefault="004047F2">
      <w:pPr>
        <w:pStyle w:val="ListParagraph"/>
        <w:widowControl w:val="0"/>
        <w:numPr>
          <w:ilvl w:val="0"/>
          <w:numId w:val="354"/>
        </w:numPr>
        <w:spacing w:line="240" w:lineRule="auto"/>
        <w:ind w:left="360"/>
        <w:contextualSpacing/>
        <w:jc w:val="both"/>
        <w:rPr>
          <w:rFonts w:eastAsia="Calibri"/>
          <w:sz w:val="20"/>
          <w:szCs w:val="20"/>
          <w:lang w:bidi="en-US"/>
        </w:rPr>
      </w:pPr>
      <w:r w:rsidRPr="00712F3C">
        <w:rPr>
          <w:rFonts w:eastAsia="Calibri"/>
          <w:sz w:val="20"/>
          <w:szCs w:val="20"/>
          <w:lang w:bidi="en-US"/>
        </w:rPr>
        <w:t>The price of the specified securities offered to an anchor investor shall not be lower than the price offered to other applicants.</w:t>
      </w:r>
    </w:p>
    <w:bookmarkEnd w:id="30"/>
    <w:p w14:paraId="55E7EC22" w14:textId="77777777" w:rsidR="004047F2" w:rsidRPr="00712F3C" w:rsidRDefault="004047F2" w:rsidP="004047F2">
      <w:pPr>
        <w:spacing w:after="0" w:line="240" w:lineRule="auto"/>
        <w:contextualSpacing/>
        <w:jc w:val="both"/>
        <w:rPr>
          <w:rFonts w:ascii="Times New Roman" w:eastAsia="Calibri" w:hAnsi="Times New Roman"/>
          <w:b/>
          <w:sz w:val="20"/>
          <w:szCs w:val="20"/>
          <w:u w:val="single"/>
        </w:rPr>
      </w:pPr>
      <w:r w:rsidRPr="00712F3C">
        <w:rPr>
          <w:rFonts w:ascii="Times New Roman" w:eastAsia="Calibri" w:hAnsi="Times New Roman"/>
          <w:bCs/>
          <w:sz w:val="20"/>
          <w:szCs w:val="20"/>
        </w:rPr>
        <w:cr/>
      </w:r>
      <w:r w:rsidRPr="00712F3C">
        <w:rPr>
          <w:rFonts w:ascii="Times New Roman" w:eastAsia="Calibri" w:hAnsi="Times New Roman"/>
          <w:b/>
          <w:sz w:val="20"/>
          <w:szCs w:val="20"/>
          <w:u w:val="single"/>
        </w:rPr>
        <w:t>Participation by Associates /Affiliates of BRLM and the Syndicate Members</w:t>
      </w:r>
      <w:r w:rsidRPr="00712F3C">
        <w:rPr>
          <w:rFonts w:ascii="Times New Roman" w:eastAsia="Calibri" w:hAnsi="Times New Roman"/>
          <w:b/>
          <w:sz w:val="20"/>
          <w:szCs w:val="20"/>
          <w:u w:val="single"/>
        </w:rPr>
        <w:cr/>
      </w:r>
    </w:p>
    <w:p w14:paraId="3D5AC39F"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The BRLM and the Syndicate Members, if any, shall not be allowed to purchase in this Issue in any manner, except towards fulfilling their underwriting obligations. However, the associates and affiliates of the BRLM and the Syndicate Members, if any, may subscribe the Equity Shares in the Issue, either in the QIB Category or in the Non-Institutional Category as may be applicable to such Bidders, where the allocation is on a proportionate basis and such subscription may be on their own account or on behalf of their clients.</w:t>
      </w:r>
    </w:p>
    <w:p w14:paraId="5E0F7A7C"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p>
    <w:p w14:paraId="12DACB14"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Neither the BRLM nor any persons related to the BRLM (other than Mutual Funds sponsored by entities related to the BRLM), Promoters and Promoter Group can apply in the Issue under the Anchor Investor Portion.</w:t>
      </w:r>
    </w:p>
    <w:p w14:paraId="6EAD848C" w14:textId="77777777" w:rsidR="004047F2" w:rsidRPr="00712F3C" w:rsidRDefault="004047F2" w:rsidP="004047F2">
      <w:pPr>
        <w:spacing w:after="0" w:line="240" w:lineRule="auto"/>
        <w:contextualSpacing/>
        <w:jc w:val="both"/>
        <w:rPr>
          <w:rFonts w:ascii="Times New Roman" w:eastAsia="Calibri" w:hAnsi="Times New Roman"/>
          <w:sz w:val="20"/>
          <w:szCs w:val="20"/>
        </w:rPr>
      </w:pPr>
    </w:p>
    <w:p w14:paraId="11C2D73D" w14:textId="77777777" w:rsidR="004047F2" w:rsidRPr="00712F3C" w:rsidRDefault="004047F2" w:rsidP="004047F2">
      <w:pPr>
        <w:spacing w:after="0" w:line="240" w:lineRule="auto"/>
        <w:contextualSpacing/>
        <w:jc w:val="both"/>
        <w:rPr>
          <w:rFonts w:ascii="Times New Roman" w:eastAsia="Calibri" w:hAnsi="Times New Roman"/>
          <w:b/>
          <w:sz w:val="20"/>
          <w:szCs w:val="20"/>
          <w:u w:val="single"/>
        </w:rPr>
      </w:pPr>
      <w:r w:rsidRPr="00712F3C">
        <w:rPr>
          <w:rFonts w:ascii="Times New Roman" w:eastAsia="Calibri" w:hAnsi="Times New Roman"/>
          <w:b/>
          <w:sz w:val="20"/>
          <w:szCs w:val="20"/>
          <w:u w:val="single"/>
        </w:rPr>
        <w:t>Option to Subscribe in the Issue</w:t>
      </w:r>
    </w:p>
    <w:p w14:paraId="7AC7F3AE" w14:textId="77777777" w:rsidR="004047F2" w:rsidRPr="00712F3C" w:rsidRDefault="004047F2" w:rsidP="004047F2">
      <w:pPr>
        <w:spacing w:after="0" w:line="240" w:lineRule="auto"/>
        <w:contextualSpacing/>
        <w:jc w:val="both"/>
        <w:rPr>
          <w:rFonts w:ascii="Times New Roman" w:eastAsia="Calibri" w:hAnsi="Times New Roman"/>
          <w:sz w:val="20"/>
          <w:szCs w:val="20"/>
        </w:rPr>
      </w:pPr>
    </w:p>
    <w:p w14:paraId="63DC6713" w14:textId="77777777" w:rsidR="004047F2" w:rsidRPr="00636B58" w:rsidRDefault="004047F2">
      <w:pPr>
        <w:pStyle w:val="ListParagraph"/>
        <w:numPr>
          <w:ilvl w:val="0"/>
          <w:numId w:val="355"/>
        </w:numPr>
        <w:spacing w:line="240" w:lineRule="auto"/>
        <w:ind w:left="360"/>
        <w:contextualSpacing/>
        <w:jc w:val="both"/>
        <w:rPr>
          <w:rFonts w:eastAsia="Calibri"/>
          <w:sz w:val="20"/>
          <w:szCs w:val="20"/>
        </w:rPr>
      </w:pPr>
      <w:r w:rsidRPr="00636B58">
        <w:rPr>
          <w:rFonts w:eastAsia="Calibri"/>
          <w:sz w:val="20"/>
          <w:szCs w:val="20"/>
        </w:rPr>
        <w:t xml:space="preserve">As per Section 29(1) of the Companies Act 2013, allotment of Equity Shares shall be made in dematerialized form only. Investors will not have the option of getting allotment of specified securities in physical form. </w:t>
      </w:r>
    </w:p>
    <w:p w14:paraId="196B3054" w14:textId="77777777" w:rsidR="004047F2" w:rsidRPr="00712F3C" w:rsidRDefault="004047F2" w:rsidP="00636B58">
      <w:pPr>
        <w:suppressAutoHyphens/>
        <w:autoSpaceDE w:val="0"/>
        <w:autoSpaceDN w:val="0"/>
        <w:adjustRightInd w:val="0"/>
        <w:spacing w:after="0" w:line="240" w:lineRule="auto"/>
        <w:ind w:left="720"/>
        <w:contextualSpacing/>
        <w:jc w:val="both"/>
        <w:textAlignment w:val="center"/>
        <w:rPr>
          <w:rFonts w:ascii="Times New Roman" w:eastAsia="Calibri" w:hAnsi="Times New Roman"/>
          <w:sz w:val="20"/>
          <w:szCs w:val="20"/>
        </w:rPr>
      </w:pPr>
    </w:p>
    <w:p w14:paraId="4029B39F" w14:textId="77777777" w:rsidR="004047F2" w:rsidRPr="00636B58" w:rsidRDefault="004047F2">
      <w:pPr>
        <w:pStyle w:val="ListParagraph"/>
        <w:numPr>
          <w:ilvl w:val="0"/>
          <w:numId w:val="355"/>
        </w:numPr>
        <w:spacing w:line="240" w:lineRule="auto"/>
        <w:ind w:left="360"/>
        <w:contextualSpacing/>
        <w:jc w:val="both"/>
        <w:rPr>
          <w:rFonts w:eastAsia="Calibri"/>
          <w:sz w:val="20"/>
          <w:szCs w:val="20"/>
        </w:rPr>
      </w:pPr>
      <w:r w:rsidRPr="00636B58">
        <w:rPr>
          <w:rFonts w:eastAsia="Calibri"/>
          <w:sz w:val="20"/>
          <w:szCs w:val="20"/>
        </w:rPr>
        <w:t>The Equity Shares, on allotment, shall be traded on the Stock Exchange in demat segment only.</w:t>
      </w:r>
    </w:p>
    <w:p w14:paraId="1ADCC1F1" w14:textId="77777777" w:rsidR="004047F2" w:rsidRPr="00712F3C" w:rsidRDefault="004047F2" w:rsidP="00636B58">
      <w:pPr>
        <w:pStyle w:val="ListParagraph"/>
        <w:spacing w:line="240" w:lineRule="auto"/>
        <w:ind w:left="360"/>
        <w:contextualSpacing/>
        <w:jc w:val="both"/>
        <w:rPr>
          <w:rFonts w:eastAsia="Calibri"/>
          <w:sz w:val="20"/>
          <w:szCs w:val="20"/>
        </w:rPr>
      </w:pPr>
    </w:p>
    <w:p w14:paraId="2208F299" w14:textId="77777777" w:rsidR="004047F2" w:rsidRPr="00636B58" w:rsidRDefault="004047F2">
      <w:pPr>
        <w:pStyle w:val="ListParagraph"/>
        <w:numPr>
          <w:ilvl w:val="0"/>
          <w:numId w:val="355"/>
        </w:numPr>
        <w:spacing w:line="240" w:lineRule="auto"/>
        <w:ind w:left="360"/>
        <w:contextualSpacing/>
        <w:jc w:val="both"/>
        <w:rPr>
          <w:rFonts w:eastAsia="Calibri"/>
          <w:sz w:val="20"/>
          <w:szCs w:val="20"/>
        </w:rPr>
      </w:pPr>
      <w:r w:rsidRPr="00636B58">
        <w:rPr>
          <w:rFonts w:eastAsia="Calibri"/>
          <w:sz w:val="20"/>
          <w:szCs w:val="20"/>
        </w:rPr>
        <w:t>A single application from any investor shall not exceed the investment limit/minimum number of Equity Shares that can be held by him/her/it under the relevant regulations/statutory guidelines and applicable law.</w:t>
      </w:r>
    </w:p>
    <w:p w14:paraId="4C4FAC53" w14:textId="77777777" w:rsidR="004047F2" w:rsidRDefault="004047F2" w:rsidP="004047F2">
      <w:pPr>
        <w:spacing w:after="0" w:line="240" w:lineRule="auto"/>
        <w:contextualSpacing/>
        <w:jc w:val="both"/>
        <w:rPr>
          <w:rFonts w:ascii="Times New Roman" w:eastAsia="Calibri" w:hAnsi="Times New Roman"/>
          <w:sz w:val="20"/>
          <w:szCs w:val="20"/>
        </w:rPr>
      </w:pPr>
    </w:p>
    <w:p w14:paraId="7F9C370B" w14:textId="77777777" w:rsidR="00636B58" w:rsidRDefault="00636B58" w:rsidP="004047F2">
      <w:pPr>
        <w:spacing w:after="0" w:line="240" w:lineRule="auto"/>
        <w:contextualSpacing/>
        <w:jc w:val="both"/>
        <w:rPr>
          <w:rFonts w:ascii="Times New Roman" w:eastAsia="Calibri" w:hAnsi="Times New Roman"/>
          <w:sz w:val="20"/>
          <w:szCs w:val="20"/>
        </w:rPr>
      </w:pPr>
    </w:p>
    <w:p w14:paraId="2B753FDA" w14:textId="77777777" w:rsidR="00636B58" w:rsidRDefault="00636B58" w:rsidP="004047F2">
      <w:pPr>
        <w:spacing w:after="0" w:line="240" w:lineRule="auto"/>
        <w:contextualSpacing/>
        <w:jc w:val="both"/>
        <w:rPr>
          <w:rFonts w:ascii="Times New Roman" w:eastAsia="Calibri" w:hAnsi="Times New Roman"/>
          <w:sz w:val="20"/>
          <w:szCs w:val="20"/>
        </w:rPr>
      </w:pPr>
    </w:p>
    <w:p w14:paraId="69437155" w14:textId="77777777" w:rsidR="00636B58" w:rsidRDefault="00636B58" w:rsidP="004047F2">
      <w:pPr>
        <w:spacing w:after="0" w:line="240" w:lineRule="auto"/>
        <w:contextualSpacing/>
        <w:jc w:val="both"/>
        <w:rPr>
          <w:rFonts w:ascii="Times New Roman" w:eastAsia="Calibri" w:hAnsi="Times New Roman"/>
          <w:sz w:val="20"/>
          <w:szCs w:val="20"/>
        </w:rPr>
      </w:pPr>
    </w:p>
    <w:p w14:paraId="006EAC21" w14:textId="77777777" w:rsidR="00636B58" w:rsidRPr="00712F3C" w:rsidRDefault="00636B58" w:rsidP="004047F2">
      <w:pPr>
        <w:spacing w:after="0" w:line="240" w:lineRule="auto"/>
        <w:contextualSpacing/>
        <w:jc w:val="both"/>
        <w:rPr>
          <w:rFonts w:ascii="Times New Roman" w:eastAsia="Calibri" w:hAnsi="Times New Roman"/>
          <w:sz w:val="20"/>
          <w:szCs w:val="20"/>
        </w:rPr>
      </w:pPr>
    </w:p>
    <w:p w14:paraId="2792D6B4" w14:textId="77777777" w:rsidR="004047F2" w:rsidRPr="00712F3C" w:rsidRDefault="004047F2" w:rsidP="004047F2">
      <w:pPr>
        <w:spacing w:after="0" w:line="240" w:lineRule="auto"/>
        <w:contextualSpacing/>
        <w:jc w:val="both"/>
        <w:rPr>
          <w:rFonts w:ascii="Times New Roman" w:eastAsia="Calibri" w:hAnsi="Times New Roman"/>
          <w:b/>
          <w:sz w:val="20"/>
          <w:szCs w:val="20"/>
          <w:u w:val="single"/>
        </w:rPr>
      </w:pPr>
      <w:r w:rsidRPr="00712F3C">
        <w:rPr>
          <w:rFonts w:ascii="Times New Roman" w:eastAsia="Calibri" w:hAnsi="Times New Roman"/>
          <w:b/>
          <w:sz w:val="20"/>
          <w:szCs w:val="20"/>
          <w:u w:val="single"/>
        </w:rPr>
        <w:lastRenderedPageBreak/>
        <w:t>Information for the Bidders</w:t>
      </w:r>
    </w:p>
    <w:p w14:paraId="4743761B" w14:textId="77777777" w:rsidR="004047F2" w:rsidRPr="00712F3C" w:rsidRDefault="004047F2" w:rsidP="004047F2">
      <w:pPr>
        <w:spacing w:after="0" w:line="240" w:lineRule="auto"/>
        <w:contextualSpacing/>
        <w:jc w:val="both"/>
        <w:rPr>
          <w:rFonts w:ascii="Times New Roman" w:eastAsia="Calibri" w:hAnsi="Times New Roman"/>
          <w:sz w:val="20"/>
          <w:szCs w:val="20"/>
        </w:rPr>
      </w:pPr>
    </w:p>
    <w:p w14:paraId="0216C4ED" w14:textId="77777777" w:rsidR="004047F2" w:rsidRPr="00712F3C" w:rsidRDefault="004047F2" w:rsidP="00636B58">
      <w:pPr>
        <w:numPr>
          <w:ilvl w:val="0"/>
          <w:numId w:val="149"/>
        </w:numPr>
        <w:spacing w:after="0" w:line="240" w:lineRule="auto"/>
        <w:ind w:left="360"/>
        <w:contextualSpacing/>
        <w:jc w:val="both"/>
        <w:rPr>
          <w:rFonts w:ascii="Times New Roman" w:eastAsia="Calibri" w:hAnsi="Times New Roman"/>
          <w:sz w:val="20"/>
          <w:szCs w:val="20"/>
        </w:rPr>
      </w:pPr>
      <w:r w:rsidRPr="00712F3C">
        <w:rPr>
          <w:rFonts w:ascii="Times New Roman" w:eastAsia="Calibri" w:hAnsi="Times New Roman"/>
          <w:sz w:val="20"/>
          <w:szCs w:val="20"/>
        </w:rPr>
        <w:t>Our Company and the Book Running Lead Manager shall declare the Bid/ Issue Opening Date and Bid/ Issue Closing Date in the Draft Red Herring Prospectus to be registered with the RoC and also publish the same in two national newspapers (one each in English and Hindi) and in a regional newspaper with wide circulation. This advertisement shall be in prescribed format.</w:t>
      </w:r>
    </w:p>
    <w:p w14:paraId="3E8D66C7" w14:textId="77777777" w:rsidR="004047F2" w:rsidRPr="00712F3C" w:rsidRDefault="004047F2" w:rsidP="00636B58">
      <w:pPr>
        <w:suppressAutoHyphens/>
        <w:autoSpaceDE w:val="0"/>
        <w:autoSpaceDN w:val="0"/>
        <w:adjustRightInd w:val="0"/>
        <w:spacing w:after="0" w:line="240" w:lineRule="auto"/>
        <w:ind w:left="360"/>
        <w:contextualSpacing/>
        <w:jc w:val="both"/>
        <w:textAlignment w:val="center"/>
        <w:rPr>
          <w:rFonts w:ascii="Times New Roman" w:eastAsia="Calibri" w:hAnsi="Times New Roman"/>
          <w:sz w:val="20"/>
          <w:szCs w:val="20"/>
        </w:rPr>
      </w:pPr>
    </w:p>
    <w:p w14:paraId="51ACC05A" w14:textId="77777777" w:rsidR="004047F2" w:rsidRPr="00712F3C" w:rsidRDefault="004047F2" w:rsidP="00636B58">
      <w:pPr>
        <w:numPr>
          <w:ilvl w:val="0"/>
          <w:numId w:val="149"/>
        </w:numPr>
        <w:spacing w:after="0" w:line="240" w:lineRule="auto"/>
        <w:ind w:left="360"/>
        <w:contextualSpacing/>
        <w:jc w:val="both"/>
        <w:rPr>
          <w:rFonts w:ascii="Times New Roman" w:eastAsia="Calibri" w:hAnsi="Times New Roman"/>
          <w:sz w:val="20"/>
          <w:szCs w:val="20"/>
        </w:rPr>
      </w:pPr>
      <w:r w:rsidRPr="00712F3C">
        <w:rPr>
          <w:rFonts w:ascii="Times New Roman" w:eastAsia="Calibri" w:hAnsi="Times New Roman"/>
          <w:sz w:val="20"/>
          <w:szCs w:val="20"/>
        </w:rPr>
        <w:t>Our Company will file the Draft Red Herring Prospectus with the RoC at least 3 (three) days before the Bid/ Issue Opening Date.</w:t>
      </w:r>
    </w:p>
    <w:p w14:paraId="6B5C284A" w14:textId="77777777" w:rsidR="004047F2" w:rsidRPr="00712F3C" w:rsidRDefault="004047F2" w:rsidP="00636B58">
      <w:pPr>
        <w:suppressAutoHyphens/>
        <w:autoSpaceDE w:val="0"/>
        <w:autoSpaceDN w:val="0"/>
        <w:adjustRightInd w:val="0"/>
        <w:spacing w:after="0" w:line="240" w:lineRule="auto"/>
        <w:ind w:left="360"/>
        <w:contextualSpacing/>
        <w:textAlignment w:val="center"/>
        <w:rPr>
          <w:rFonts w:ascii="Times New Roman" w:eastAsia="Calibri" w:hAnsi="Times New Roman"/>
          <w:sz w:val="20"/>
          <w:szCs w:val="20"/>
        </w:rPr>
      </w:pPr>
    </w:p>
    <w:p w14:paraId="498298CA" w14:textId="77777777" w:rsidR="004047F2" w:rsidRPr="00712F3C" w:rsidRDefault="004047F2" w:rsidP="00636B58">
      <w:pPr>
        <w:numPr>
          <w:ilvl w:val="0"/>
          <w:numId w:val="149"/>
        </w:numPr>
        <w:spacing w:after="0" w:line="240" w:lineRule="auto"/>
        <w:ind w:left="360"/>
        <w:contextualSpacing/>
        <w:jc w:val="both"/>
        <w:rPr>
          <w:rFonts w:ascii="Times New Roman" w:eastAsia="Calibri" w:hAnsi="Times New Roman"/>
          <w:sz w:val="20"/>
          <w:szCs w:val="20"/>
        </w:rPr>
      </w:pPr>
      <w:r w:rsidRPr="00712F3C">
        <w:rPr>
          <w:rFonts w:ascii="Times New Roman" w:eastAsia="Calibri" w:hAnsi="Times New Roman"/>
          <w:sz w:val="20"/>
          <w:szCs w:val="20"/>
        </w:rPr>
        <w:t>Copies of the Bid Cum Application Form along with Abridge Prospectus and copies of the Draft Red Herring Prospectus will be available with the, the Book Running Lead Manager, the Registrar to the Issue, and at the Registered Office of our Company. Electronic Bid Cum Application Forms will also be available on the websites of the Stock Exchange.</w:t>
      </w:r>
    </w:p>
    <w:p w14:paraId="322C6B9A" w14:textId="77777777" w:rsidR="004047F2" w:rsidRPr="00712F3C" w:rsidRDefault="004047F2" w:rsidP="00636B58">
      <w:pPr>
        <w:suppressAutoHyphens/>
        <w:autoSpaceDE w:val="0"/>
        <w:autoSpaceDN w:val="0"/>
        <w:adjustRightInd w:val="0"/>
        <w:spacing w:after="0" w:line="240" w:lineRule="auto"/>
        <w:ind w:left="360"/>
        <w:contextualSpacing/>
        <w:textAlignment w:val="center"/>
        <w:rPr>
          <w:rFonts w:ascii="Times New Roman" w:eastAsia="Calibri" w:hAnsi="Times New Roman"/>
          <w:sz w:val="20"/>
          <w:szCs w:val="20"/>
        </w:rPr>
      </w:pPr>
    </w:p>
    <w:p w14:paraId="6D28D433" w14:textId="77777777" w:rsidR="004047F2" w:rsidRPr="00712F3C" w:rsidRDefault="004047F2" w:rsidP="00636B58">
      <w:pPr>
        <w:numPr>
          <w:ilvl w:val="0"/>
          <w:numId w:val="149"/>
        </w:numPr>
        <w:spacing w:after="0" w:line="240" w:lineRule="auto"/>
        <w:ind w:left="360"/>
        <w:contextualSpacing/>
        <w:jc w:val="both"/>
        <w:rPr>
          <w:rFonts w:ascii="Times New Roman" w:eastAsia="Calibri" w:hAnsi="Times New Roman"/>
          <w:sz w:val="20"/>
          <w:szCs w:val="20"/>
        </w:rPr>
      </w:pPr>
      <w:r w:rsidRPr="00712F3C">
        <w:rPr>
          <w:rFonts w:ascii="Times New Roman" w:eastAsia="Calibri" w:hAnsi="Times New Roman"/>
          <w:sz w:val="20"/>
          <w:szCs w:val="20"/>
        </w:rPr>
        <w:t>Any Bidder who would like to obtain the Draft Red Herring Prospectus and/ or the Bid Cum Application Form can obtain the same from our Registered Office.</w:t>
      </w:r>
    </w:p>
    <w:p w14:paraId="52619FE3" w14:textId="77777777" w:rsidR="004047F2" w:rsidRPr="00712F3C" w:rsidRDefault="004047F2" w:rsidP="00636B58">
      <w:pPr>
        <w:suppressAutoHyphens/>
        <w:autoSpaceDE w:val="0"/>
        <w:autoSpaceDN w:val="0"/>
        <w:adjustRightInd w:val="0"/>
        <w:spacing w:after="0" w:line="240" w:lineRule="auto"/>
        <w:ind w:left="360"/>
        <w:contextualSpacing/>
        <w:jc w:val="both"/>
        <w:textAlignment w:val="center"/>
        <w:rPr>
          <w:rFonts w:ascii="Times New Roman" w:eastAsia="Calibri" w:hAnsi="Times New Roman"/>
          <w:sz w:val="20"/>
          <w:szCs w:val="20"/>
        </w:rPr>
      </w:pPr>
    </w:p>
    <w:p w14:paraId="063FAEF2" w14:textId="77777777" w:rsidR="004047F2" w:rsidRPr="00712F3C" w:rsidRDefault="004047F2" w:rsidP="00636B58">
      <w:pPr>
        <w:numPr>
          <w:ilvl w:val="0"/>
          <w:numId w:val="149"/>
        </w:numPr>
        <w:spacing w:after="0" w:line="240" w:lineRule="auto"/>
        <w:ind w:left="360"/>
        <w:contextualSpacing/>
        <w:jc w:val="both"/>
        <w:rPr>
          <w:rFonts w:ascii="Times New Roman" w:eastAsia="Calibri" w:hAnsi="Times New Roman"/>
          <w:sz w:val="20"/>
          <w:szCs w:val="20"/>
        </w:rPr>
      </w:pPr>
      <w:r w:rsidRPr="00712F3C">
        <w:rPr>
          <w:rFonts w:ascii="Times New Roman" w:eastAsia="Calibri" w:hAnsi="Times New Roman"/>
          <w:sz w:val="20"/>
          <w:szCs w:val="20"/>
        </w:rPr>
        <w:t xml:space="preserve">Bidders who are interested in subscribing for the Equity Shares should approach </w:t>
      </w:r>
      <w:r w:rsidRPr="00712F3C">
        <w:rPr>
          <w:rFonts w:ascii="Times New Roman" w:eastAsia="MS Mincho" w:hAnsi="Times New Roman"/>
          <w:sz w:val="20"/>
          <w:szCs w:val="20"/>
          <w:lang w:val="en-GB"/>
        </w:rPr>
        <w:t xml:space="preserve">Designated </w:t>
      </w:r>
      <w:r w:rsidRPr="00712F3C">
        <w:rPr>
          <w:rFonts w:ascii="Times New Roman" w:eastAsia="Calibri" w:hAnsi="Times New Roman"/>
          <w:sz w:val="20"/>
          <w:szCs w:val="20"/>
        </w:rPr>
        <w:t xml:space="preserve">Intermediaries to register their applications. </w:t>
      </w:r>
    </w:p>
    <w:p w14:paraId="54272778" w14:textId="77777777" w:rsidR="004047F2" w:rsidRPr="00712F3C" w:rsidRDefault="004047F2" w:rsidP="00636B58">
      <w:pPr>
        <w:spacing w:after="0" w:line="240" w:lineRule="auto"/>
        <w:ind w:left="360"/>
        <w:contextualSpacing/>
        <w:jc w:val="both"/>
        <w:rPr>
          <w:rFonts w:ascii="Times New Roman" w:eastAsia="Calibri" w:hAnsi="Times New Roman"/>
          <w:sz w:val="20"/>
          <w:szCs w:val="20"/>
        </w:rPr>
      </w:pPr>
    </w:p>
    <w:p w14:paraId="7D221137" w14:textId="77777777" w:rsidR="004047F2" w:rsidRPr="00712F3C" w:rsidRDefault="004047F2" w:rsidP="00636B58">
      <w:pPr>
        <w:numPr>
          <w:ilvl w:val="0"/>
          <w:numId w:val="149"/>
        </w:numPr>
        <w:spacing w:after="0" w:line="240" w:lineRule="auto"/>
        <w:ind w:left="360"/>
        <w:contextualSpacing/>
        <w:jc w:val="both"/>
        <w:rPr>
          <w:rFonts w:ascii="Times New Roman" w:eastAsia="Calibri" w:hAnsi="Times New Roman"/>
          <w:sz w:val="20"/>
          <w:szCs w:val="20"/>
        </w:rPr>
      </w:pPr>
      <w:r w:rsidRPr="00712F3C">
        <w:rPr>
          <w:rFonts w:ascii="Times New Roman" w:eastAsia="Calibri" w:hAnsi="Times New Roman"/>
          <w:sz w:val="20"/>
          <w:szCs w:val="20"/>
        </w:rPr>
        <w:t xml:space="preserve">Bid Cum Application Forms submitted directly to the SCSBs should bear the stamp of the SCSBs and/or the Designated Branch, or the respective </w:t>
      </w:r>
      <w:r w:rsidRPr="00712F3C">
        <w:rPr>
          <w:rFonts w:ascii="Times New Roman" w:eastAsia="MS Mincho" w:hAnsi="Times New Roman"/>
          <w:sz w:val="20"/>
          <w:szCs w:val="20"/>
          <w:lang w:val="en-GB"/>
        </w:rPr>
        <w:t xml:space="preserve">Designated </w:t>
      </w:r>
      <w:r w:rsidRPr="00712F3C">
        <w:rPr>
          <w:rFonts w:ascii="Times New Roman" w:eastAsia="Calibri" w:hAnsi="Times New Roman"/>
          <w:sz w:val="20"/>
          <w:szCs w:val="20"/>
        </w:rPr>
        <w:t>Intermediaries. Bid Cum Application Form submitted by Applicants whose beneficiary account is inactive shall be rejected.</w:t>
      </w:r>
    </w:p>
    <w:p w14:paraId="1EFB5708" w14:textId="77777777" w:rsidR="004047F2" w:rsidRPr="00712F3C" w:rsidRDefault="004047F2" w:rsidP="00636B58">
      <w:pPr>
        <w:suppressAutoHyphens/>
        <w:autoSpaceDE w:val="0"/>
        <w:autoSpaceDN w:val="0"/>
        <w:adjustRightInd w:val="0"/>
        <w:spacing w:after="0" w:line="240" w:lineRule="auto"/>
        <w:ind w:left="360"/>
        <w:contextualSpacing/>
        <w:jc w:val="both"/>
        <w:textAlignment w:val="center"/>
        <w:rPr>
          <w:rFonts w:ascii="Times New Roman" w:eastAsia="Calibri" w:hAnsi="Times New Roman"/>
          <w:sz w:val="20"/>
          <w:szCs w:val="20"/>
        </w:rPr>
      </w:pPr>
    </w:p>
    <w:p w14:paraId="2B467EB0" w14:textId="77777777" w:rsidR="004047F2" w:rsidRPr="00712F3C" w:rsidRDefault="004047F2" w:rsidP="00636B58">
      <w:pPr>
        <w:numPr>
          <w:ilvl w:val="0"/>
          <w:numId w:val="149"/>
        </w:numPr>
        <w:spacing w:after="0" w:line="240" w:lineRule="auto"/>
        <w:ind w:left="360"/>
        <w:contextualSpacing/>
        <w:jc w:val="both"/>
        <w:rPr>
          <w:rFonts w:ascii="Times New Roman" w:eastAsia="Calibri" w:hAnsi="Times New Roman"/>
          <w:sz w:val="20"/>
          <w:szCs w:val="20"/>
        </w:rPr>
      </w:pPr>
      <w:r w:rsidRPr="00712F3C">
        <w:rPr>
          <w:rFonts w:ascii="Times New Roman" w:eastAsia="Calibri" w:hAnsi="Times New Roman"/>
          <w:sz w:val="20"/>
          <w:szCs w:val="20"/>
        </w:rPr>
        <w:t xml:space="preserve">The Bid Cum Application Form can be submitted either in physical or electronic mode, to the SCSBs with whom the ASBA Account is maintained, or other </w:t>
      </w:r>
      <w:r w:rsidRPr="00712F3C">
        <w:rPr>
          <w:rFonts w:ascii="Times New Roman" w:eastAsia="MS Mincho" w:hAnsi="Times New Roman"/>
          <w:sz w:val="20"/>
          <w:szCs w:val="20"/>
          <w:lang w:val="en-GB"/>
        </w:rPr>
        <w:t xml:space="preserve">Designated </w:t>
      </w:r>
      <w:r w:rsidRPr="00712F3C">
        <w:rPr>
          <w:rFonts w:ascii="Times New Roman" w:eastAsia="Calibri" w:hAnsi="Times New Roman"/>
          <w:sz w:val="20"/>
          <w:szCs w:val="20"/>
        </w:rPr>
        <w:t>Intermediaries (Other than SCSBs). SCSBs may provide the electronic mode of collecting either through an internet enabled collecting and banking facility or such other secured, electronically enabled mechanism for applying and blocking funds in the ASBA Account. The Retail Individual Applicants has to apply only through UPI Channel, they have to provide the UPI ID and validate the blocking of the funds and such Bid Cum Application Forms that do not contain such details are liable to be rejected.</w:t>
      </w:r>
    </w:p>
    <w:p w14:paraId="4A76E2EE" w14:textId="77777777" w:rsidR="004047F2" w:rsidRPr="00712F3C" w:rsidRDefault="004047F2" w:rsidP="00636B58">
      <w:pPr>
        <w:suppressAutoHyphens/>
        <w:autoSpaceDE w:val="0"/>
        <w:autoSpaceDN w:val="0"/>
        <w:adjustRightInd w:val="0"/>
        <w:spacing w:after="0" w:line="240" w:lineRule="auto"/>
        <w:ind w:left="360"/>
        <w:contextualSpacing/>
        <w:jc w:val="both"/>
        <w:textAlignment w:val="center"/>
        <w:rPr>
          <w:rFonts w:ascii="Times New Roman" w:eastAsia="Calibri" w:hAnsi="Times New Roman"/>
          <w:sz w:val="20"/>
          <w:szCs w:val="20"/>
        </w:rPr>
      </w:pPr>
    </w:p>
    <w:p w14:paraId="4DEC98C1" w14:textId="77777777" w:rsidR="004047F2" w:rsidRPr="00712F3C" w:rsidRDefault="004047F2" w:rsidP="00636B58">
      <w:pPr>
        <w:numPr>
          <w:ilvl w:val="0"/>
          <w:numId w:val="149"/>
        </w:numPr>
        <w:spacing w:after="0" w:line="240" w:lineRule="auto"/>
        <w:ind w:left="360"/>
        <w:contextualSpacing/>
        <w:jc w:val="both"/>
        <w:rPr>
          <w:rFonts w:ascii="Times New Roman" w:eastAsia="Calibri" w:hAnsi="Times New Roman"/>
          <w:sz w:val="20"/>
          <w:szCs w:val="20"/>
        </w:rPr>
      </w:pPr>
      <w:r w:rsidRPr="00712F3C">
        <w:rPr>
          <w:rFonts w:ascii="Times New Roman" w:eastAsia="Calibri" w:hAnsi="Times New Roman"/>
          <w:sz w:val="20"/>
          <w:szCs w:val="20"/>
        </w:rPr>
        <w:t xml:space="preserve">Bidders applying directly through the SCSBs should ensure that the Bid Cum Application Form is submitted to a Designated Branch of SCSB, where the ASBA Account is maintained. Applications submitted directly to the SCSB’s or other </w:t>
      </w:r>
      <w:r w:rsidRPr="00712F3C">
        <w:rPr>
          <w:rFonts w:ascii="Times New Roman" w:eastAsia="MS Mincho" w:hAnsi="Times New Roman"/>
          <w:sz w:val="20"/>
          <w:szCs w:val="20"/>
          <w:lang w:val="en-GB"/>
        </w:rPr>
        <w:t xml:space="preserve">Designated </w:t>
      </w:r>
      <w:r w:rsidRPr="00712F3C">
        <w:rPr>
          <w:rFonts w:ascii="Times New Roman" w:eastAsia="Calibri" w:hAnsi="Times New Roman"/>
          <w:sz w:val="20"/>
          <w:szCs w:val="20"/>
        </w:rPr>
        <w:t>Intermediaries (Other than SCSBs), the relevant SCSB, shall block an amount in the ASBA Account equal to the Application Amount specified in the Bid Cum Application Form, before entering the ASBA application into the electronic system.</w:t>
      </w:r>
    </w:p>
    <w:p w14:paraId="08AD0B38" w14:textId="77777777" w:rsidR="004047F2" w:rsidRPr="00712F3C" w:rsidRDefault="004047F2" w:rsidP="00636B58">
      <w:pPr>
        <w:suppressAutoHyphens/>
        <w:autoSpaceDE w:val="0"/>
        <w:autoSpaceDN w:val="0"/>
        <w:adjustRightInd w:val="0"/>
        <w:spacing w:after="0" w:line="240" w:lineRule="auto"/>
        <w:ind w:left="360"/>
        <w:contextualSpacing/>
        <w:jc w:val="both"/>
        <w:textAlignment w:val="center"/>
        <w:rPr>
          <w:rFonts w:ascii="Times New Roman" w:eastAsia="Calibri" w:hAnsi="Times New Roman"/>
          <w:sz w:val="20"/>
          <w:szCs w:val="20"/>
        </w:rPr>
      </w:pPr>
    </w:p>
    <w:p w14:paraId="7194146B" w14:textId="77777777" w:rsidR="004047F2" w:rsidRPr="00712F3C" w:rsidRDefault="004047F2" w:rsidP="00636B58">
      <w:pPr>
        <w:numPr>
          <w:ilvl w:val="0"/>
          <w:numId w:val="149"/>
        </w:numPr>
        <w:spacing w:after="0" w:line="240" w:lineRule="auto"/>
        <w:ind w:left="360"/>
        <w:contextualSpacing/>
        <w:jc w:val="both"/>
        <w:rPr>
          <w:rFonts w:ascii="Times New Roman" w:eastAsia="Calibri" w:hAnsi="Times New Roman"/>
          <w:sz w:val="20"/>
          <w:szCs w:val="20"/>
        </w:rPr>
      </w:pPr>
      <w:r w:rsidRPr="00712F3C">
        <w:rPr>
          <w:rFonts w:ascii="Times New Roman" w:eastAsia="Calibri" w:hAnsi="Times New Roman"/>
          <w:sz w:val="20"/>
          <w:szCs w:val="20"/>
        </w:rPr>
        <w:t>Except for applications by or on behalf of the Central or State Government and the Officials appointed by the courts and by investors residing in the State of Sikkim, the Bidders, or in the case of application in joint names, the first Bidder (the first name under which the beneficiary account is held), should mention his/her PAN allotted under the Income Tax Act. In accordance with the SEBI Regulations, the PAN would be the sole identification number for participating transacting in the securities market, irrespective of the amount of transaction. Any Bid Cum Application Form without PAN is liable to be rejected. The demat accounts of Bidders for whom PAN details have not been verified, excluding person resident in the State of Sikkim or persons who may be exempted from specifying their PAN for transacting in the securities market, shall be “suspended for credit” and no credit of Equity Shares pursuant to the Issue will be made into the accounts of such Bidders.</w:t>
      </w:r>
    </w:p>
    <w:p w14:paraId="58E04C19" w14:textId="77777777" w:rsidR="004047F2" w:rsidRPr="00712F3C" w:rsidRDefault="004047F2" w:rsidP="00636B58">
      <w:pPr>
        <w:suppressAutoHyphens/>
        <w:autoSpaceDE w:val="0"/>
        <w:autoSpaceDN w:val="0"/>
        <w:adjustRightInd w:val="0"/>
        <w:spacing w:after="0" w:line="240" w:lineRule="auto"/>
        <w:ind w:left="360"/>
        <w:contextualSpacing/>
        <w:jc w:val="both"/>
        <w:textAlignment w:val="center"/>
        <w:rPr>
          <w:rFonts w:ascii="Times New Roman" w:eastAsia="Calibri" w:hAnsi="Times New Roman"/>
          <w:sz w:val="20"/>
          <w:szCs w:val="20"/>
        </w:rPr>
      </w:pPr>
    </w:p>
    <w:p w14:paraId="2FD44568" w14:textId="77777777" w:rsidR="004047F2" w:rsidRPr="00712F3C" w:rsidRDefault="004047F2" w:rsidP="00636B58">
      <w:pPr>
        <w:numPr>
          <w:ilvl w:val="0"/>
          <w:numId w:val="149"/>
        </w:numPr>
        <w:spacing w:after="0" w:line="240" w:lineRule="auto"/>
        <w:ind w:left="360"/>
        <w:contextualSpacing/>
        <w:jc w:val="both"/>
        <w:rPr>
          <w:rFonts w:ascii="Times New Roman" w:eastAsia="Calibri" w:hAnsi="Times New Roman"/>
          <w:sz w:val="20"/>
          <w:szCs w:val="20"/>
        </w:rPr>
      </w:pPr>
      <w:r w:rsidRPr="00712F3C">
        <w:rPr>
          <w:rFonts w:ascii="Times New Roman" w:eastAsia="Calibri" w:hAnsi="Times New Roman"/>
          <w:sz w:val="20"/>
          <w:szCs w:val="20"/>
        </w:rPr>
        <w:t xml:space="preserve">The Bidders may note that in case the PAN, the DP ID and Client ID mentioned in the Bid Cum Application Form and entered into the electronic collecting system of the Stock Exchange </w:t>
      </w:r>
      <w:r w:rsidRPr="00712F3C">
        <w:rPr>
          <w:rFonts w:ascii="Times New Roman" w:eastAsia="MS Mincho" w:hAnsi="Times New Roman"/>
          <w:sz w:val="20"/>
          <w:szCs w:val="20"/>
          <w:lang w:val="en-GB"/>
        </w:rPr>
        <w:t xml:space="preserve">Designated </w:t>
      </w:r>
      <w:r w:rsidRPr="00712F3C">
        <w:rPr>
          <w:rFonts w:ascii="Times New Roman" w:eastAsia="Calibri" w:hAnsi="Times New Roman"/>
          <w:sz w:val="20"/>
          <w:szCs w:val="20"/>
        </w:rPr>
        <w:t>Intermediaries do not match with PAN, the DP ID and Client ID available in the Depository database, the Bid Cum Application Form is liable to be rejected.</w:t>
      </w:r>
    </w:p>
    <w:p w14:paraId="12C390E5" w14:textId="77777777" w:rsidR="004047F2" w:rsidRPr="00712F3C" w:rsidRDefault="004047F2" w:rsidP="004047F2">
      <w:pPr>
        <w:spacing w:after="0" w:line="240" w:lineRule="auto"/>
        <w:contextualSpacing/>
        <w:jc w:val="both"/>
        <w:rPr>
          <w:rFonts w:ascii="Times New Roman" w:eastAsia="Calibri" w:hAnsi="Times New Roman"/>
          <w:sz w:val="20"/>
          <w:szCs w:val="20"/>
        </w:rPr>
      </w:pPr>
    </w:p>
    <w:p w14:paraId="739A6C7E" w14:textId="77777777" w:rsidR="004047F2" w:rsidRPr="00712F3C" w:rsidRDefault="004047F2" w:rsidP="004047F2">
      <w:pPr>
        <w:widowControl w:val="0"/>
        <w:spacing w:after="0" w:line="240" w:lineRule="auto"/>
        <w:contextualSpacing/>
        <w:jc w:val="both"/>
        <w:rPr>
          <w:rFonts w:ascii="Times New Roman" w:eastAsia="Calibri" w:hAnsi="Times New Roman"/>
          <w:b/>
          <w:sz w:val="20"/>
          <w:szCs w:val="20"/>
          <w:lang w:bidi="en-US"/>
        </w:rPr>
      </w:pPr>
      <w:r w:rsidRPr="00712F3C">
        <w:rPr>
          <w:rFonts w:ascii="Times New Roman" w:eastAsia="Calibri" w:hAnsi="Times New Roman"/>
          <w:b/>
          <w:sz w:val="20"/>
          <w:szCs w:val="20"/>
          <w:lang w:bidi="en-US"/>
        </w:rPr>
        <w:t>BIDS BY ANCHOR INVESTORS:</w:t>
      </w:r>
    </w:p>
    <w:p w14:paraId="06410CAC"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p>
    <w:p w14:paraId="088FCF5F"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Our Company in consultation with the BRLM, may consider participation by Anchor Investors in the Issue for up to 60% of the QIB Portion in accordance with the SEBI Regulations. Only QIBs as defined in Regulation 2(1)(ss) of the SEBI Regulations and not otherwise excluded pursuant to Schedule XIII of the SEBI Regulations are eligible to invest. The QIB Portion will be reduced in proportion to allocation under the Anchor Investor Portion. In the event of undersubscription in the Anchor Investor Portion, the balance Equity Shares will be added to the QIB Portion. In accordance with the SEBI Regulations, the key terms for participation in the Anchor Investor Portion are provided below.</w:t>
      </w:r>
    </w:p>
    <w:p w14:paraId="10131B6C"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p>
    <w:p w14:paraId="480FC2A5" w14:textId="77777777" w:rsidR="004047F2" w:rsidRPr="00712F3C" w:rsidRDefault="004047F2">
      <w:pPr>
        <w:numPr>
          <w:ilvl w:val="1"/>
          <w:numId w:val="306"/>
        </w:numPr>
        <w:autoSpaceDE w:val="0"/>
        <w:autoSpaceDN w:val="0"/>
        <w:adjustRightInd w:val="0"/>
        <w:spacing w:after="0" w:line="240" w:lineRule="auto"/>
        <w:ind w:left="360"/>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Anchor Investor Bid cum Application Forms will be made available for the Anchor Investors at the offices of the BRLM.</w:t>
      </w:r>
    </w:p>
    <w:p w14:paraId="1FAB0790" w14:textId="77777777" w:rsidR="004047F2" w:rsidRPr="00712F3C" w:rsidRDefault="004047F2" w:rsidP="004047F2">
      <w:pPr>
        <w:autoSpaceDE w:val="0"/>
        <w:autoSpaceDN w:val="0"/>
        <w:adjustRightInd w:val="0"/>
        <w:spacing w:after="0" w:line="240" w:lineRule="auto"/>
        <w:contextualSpacing/>
        <w:jc w:val="both"/>
        <w:rPr>
          <w:rFonts w:ascii="Times New Roman" w:eastAsia="Calibri" w:hAnsi="Times New Roman"/>
          <w:sz w:val="20"/>
          <w:szCs w:val="20"/>
          <w:lang w:bidi="en-US"/>
        </w:rPr>
      </w:pPr>
    </w:p>
    <w:p w14:paraId="7F4DEE0F" w14:textId="77777777" w:rsidR="004047F2" w:rsidRPr="00712F3C" w:rsidRDefault="004047F2">
      <w:pPr>
        <w:numPr>
          <w:ilvl w:val="1"/>
          <w:numId w:val="306"/>
        </w:numPr>
        <w:autoSpaceDE w:val="0"/>
        <w:autoSpaceDN w:val="0"/>
        <w:adjustRightInd w:val="0"/>
        <w:spacing w:after="0" w:line="240" w:lineRule="auto"/>
        <w:ind w:left="360"/>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 xml:space="preserve">The Bid must be for a minimum of such number of Equity Shares so that the Bid Amount is at least </w:t>
      </w:r>
      <w:r w:rsidRPr="00712F3C">
        <w:rPr>
          <w:rFonts w:ascii="Times New Roman" w:eastAsia="Calibri" w:hAnsi="Times New Roman"/>
          <w:sz w:val="20"/>
          <w:szCs w:val="20"/>
        </w:rPr>
        <w:t xml:space="preserve">₹ </w:t>
      </w:r>
      <w:r w:rsidRPr="00712F3C">
        <w:rPr>
          <w:rFonts w:ascii="Times New Roman" w:eastAsia="Calibri" w:hAnsi="Times New Roman"/>
          <w:sz w:val="20"/>
          <w:szCs w:val="20"/>
          <w:lang w:bidi="en-US"/>
        </w:rPr>
        <w:t xml:space="preserve">200.00 lakhs. A Bid cannot be submitted for over 60% of the QIB Portion. In case of a Mutual Fund, separate Bids by individual schemes of a Mutual Fund will be aggregated to determine the minimum application size of </w:t>
      </w:r>
      <w:r w:rsidRPr="00712F3C">
        <w:rPr>
          <w:rFonts w:ascii="Times New Roman" w:eastAsia="Calibri" w:hAnsi="Times New Roman"/>
          <w:sz w:val="20"/>
          <w:szCs w:val="20"/>
        </w:rPr>
        <w:t xml:space="preserve">₹ </w:t>
      </w:r>
      <w:r w:rsidRPr="00712F3C">
        <w:rPr>
          <w:rFonts w:ascii="Times New Roman" w:eastAsia="Calibri" w:hAnsi="Times New Roman"/>
          <w:sz w:val="20"/>
          <w:szCs w:val="20"/>
          <w:lang w:bidi="en-US"/>
        </w:rPr>
        <w:t>200.00 lakhs</w:t>
      </w:r>
    </w:p>
    <w:p w14:paraId="6BB2B1FA" w14:textId="77777777" w:rsidR="004047F2" w:rsidRPr="00712F3C" w:rsidRDefault="004047F2" w:rsidP="004047F2">
      <w:pPr>
        <w:autoSpaceDE w:val="0"/>
        <w:autoSpaceDN w:val="0"/>
        <w:adjustRightInd w:val="0"/>
        <w:spacing w:after="0" w:line="240" w:lineRule="auto"/>
        <w:contextualSpacing/>
        <w:jc w:val="both"/>
        <w:rPr>
          <w:rFonts w:ascii="Times New Roman" w:eastAsia="Calibri" w:hAnsi="Times New Roman"/>
          <w:sz w:val="20"/>
          <w:szCs w:val="20"/>
          <w:lang w:bidi="en-US"/>
        </w:rPr>
      </w:pPr>
    </w:p>
    <w:p w14:paraId="4162BFD4" w14:textId="77777777" w:rsidR="004047F2" w:rsidRPr="00712F3C" w:rsidRDefault="004047F2">
      <w:pPr>
        <w:numPr>
          <w:ilvl w:val="1"/>
          <w:numId w:val="306"/>
        </w:numPr>
        <w:autoSpaceDE w:val="0"/>
        <w:autoSpaceDN w:val="0"/>
        <w:adjustRightInd w:val="0"/>
        <w:spacing w:after="0" w:line="240" w:lineRule="auto"/>
        <w:ind w:left="360"/>
        <w:contextualSpacing/>
        <w:jc w:val="both"/>
        <w:rPr>
          <w:rFonts w:ascii="Times New Roman" w:hAnsi="Times New Roman"/>
          <w:sz w:val="20"/>
          <w:szCs w:val="20"/>
        </w:rPr>
      </w:pPr>
      <w:r w:rsidRPr="00712F3C">
        <w:rPr>
          <w:rFonts w:ascii="Times New Roman" w:eastAsia="Calibri" w:hAnsi="Times New Roman"/>
          <w:sz w:val="20"/>
          <w:szCs w:val="20"/>
          <w:lang w:bidi="en-US"/>
        </w:rPr>
        <w:t>One-third of the Anchor Investor Portion will be reserved for allocation to domestic Mutual</w:t>
      </w:r>
      <w:r w:rsidRPr="00712F3C">
        <w:rPr>
          <w:rFonts w:ascii="Times New Roman" w:hAnsi="Times New Roman"/>
          <w:sz w:val="20"/>
          <w:szCs w:val="20"/>
        </w:rPr>
        <w:t xml:space="preserve"> Funds.</w:t>
      </w:r>
    </w:p>
    <w:p w14:paraId="562E9994" w14:textId="77777777" w:rsidR="004047F2" w:rsidRPr="00712F3C" w:rsidRDefault="004047F2">
      <w:pPr>
        <w:numPr>
          <w:ilvl w:val="1"/>
          <w:numId w:val="306"/>
        </w:numPr>
        <w:autoSpaceDE w:val="0"/>
        <w:autoSpaceDN w:val="0"/>
        <w:adjustRightInd w:val="0"/>
        <w:spacing w:after="0" w:line="240" w:lineRule="auto"/>
        <w:ind w:left="360"/>
        <w:contextualSpacing/>
        <w:jc w:val="both"/>
        <w:rPr>
          <w:rFonts w:ascii="Times New Roman" w:hAnsi="Times New Roman"/>
          <w:sz w:val="20"/>
          <w:szCs w:val="20"/>
        </w:rPr>
      </w:pPr>
      <w:r w:rsidRPr="00712F3C">
        <w:rPr>
          <w:rFonts w:ascii="Times New Roman" w:hAnsi="Times New Roman"/>
          <w:sz w:val="20"/>
          <w:szCs w:val="20"/>
        </w:rPr>
        <w:lastRenderedPageBreak/>
        <w:t>Bidding for Anchor Investors will open one Working Day before the Bid/ Issue Opening Date and be completed on the same day.</w:t>
      </w:r>
    </w:p>
    <w:p w14:paraId="54C69E41" w14:textId="77777777" w:rsidR="004047F2" w:rsidRPr="00712F3C" w:rsidRDefault="004047F2" w:rsidP="004047F2">
      <w:pPr>
        <w:pStyle w:val="ListParagraph"/>
        <w:spacing w:line="240" w:lineRule="auto"/>
        <w:ind w:left="0"/>
        <w:contextualSpacing/>
        <w:jc w:val="both"/>
        <w:rPr>
          <w:rFonts w:eastAsia="Calibri"/>
          <w:sz w:val="20"/>
          <w:szCs w:val="20"/>
          <w:lang w:bidi="en-US"/>
        </w:rPr>
      </w:pPr>
    </w:p>
    <w:p w14:paraId="62B1F522" w14:textId="77777777" w:rsidR="004047F2" w:rsidRPr="00712F3C" w:rsidRDefault="004047F2">
      <w:pPr>
        <w:numPr>
          <w:ilvl w:val="1"/>
          <w:numId w:val="306"/>
        </w:numPr>
        <w:autoSpaceDE w:val="0"/>
        <w:autoSpaceDN w:val="0"/>
        <w:adjustRightInd w:val="0"/>
        <w:spacing w:after="0" w:line="240" w:lineRule="auto"/>
        <w:ind w:left="360"/>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Our Company in consultation with the BRLM, will finalize allocation to the Anchor Investors on a discretionary basis, provided that the minimum and maximum number of Allottees in the Anchor Investor Portion will be, as mentioned below:</w:t>
      </w:r>
    </w:p>
    <w:p w14:paraId="60160B2A" w14:textId="77777777" w:rsidR="004047F2" w:rsidRPr="00712F3C" w:rsidRDefault="004047F2" w:rsidP="004047F2">
      <w:pPr>
        <w:autoSpaceDE w:val="0"/>
        <w:autoSpaceDN w:val="0"/>
        <w:adjustRightInd w:val="0"/>
        <w:spacing w:after="0" w:line="240" w:lineRule="auto"/>
        <w:contextualSpacing/>
        <w:jc w:val="both"/>
        <w:rPr>
          <w:rFonts w:ascii="Times New Roman" w:eastAsia="Calibri" w:hAnsi="Times New Roman"/>
          <w:sz w:val="20"/>
          <w:szCs w:val="20"/>
          <w:lang w:bidi="en-US"/>
        </w:rPr>
      </w:pPr>
    </w:p>
    <w:p w14:paraId="48B74717" w14:textId="77777777" w:rsidR="004047F2" w:rsidRPr="00712F3C" w:rsidRDefault="004047F2">
      <w:pPr>
        <w:pStyle w:val="ListParagraph"/>
        <w:numPr>
          <w:ilvl w:val="0"/>
          <w:numId w:val="300"/>
        </w:numPr>
        <w:spacing w:line="240" w:lineRule="auto"/>
        <w:contextualSpacing/>
        <w:jc w:val="both"/>
        <w:rPr>
          <w:rFonts w:eastAsia="Calibri"/>
          <w:sz w:val="20"/>
          <w:szCs w:val="20"/>
          <w:lang w:bidi="en-US"/>
        </w:rPr>
      </w:pPr>
      <w:r w:rsidRPr="00712F3C">
        <w:rPr>
          <w:rFonts w:eastAsia="Calibri"/>
          <w:sz w:val="20"/>
          <w:szCs w:val="20"/>
          <w:lang w:bidi="en-US"/>
        </w:rPr>
        <w:t xml:space="preserve">where allocation in the Anchor Investor Portion is up to </w:t>
      </w:r>
      <w:r w:rsidRPr="00712F3C">
        <w:rPr>
          <w:rFonts w:eastAsia="Calibri"/>
          <w:sz w:val="20"/>
          <w:szCs w:val="20"/>
        </w:rPr>
        <w:t>₹</w:t>
      </w:r>
      <w:r w:rsidRPr="00712F3C">
        <w:rPr>
          <w:rFonts w:eastAsia="Calibri"/>
          <w:sz w:val="20"/>
          <w:szCs w:val="20"/>
          <w:lang w:val="en-IN"/>
        </w:rPr>
        <w:t xml:space="preserve"> </w:t>
      </w:r>
      <w:r w:rsidRPr="00712F3C">
        <w:rPr>
          <w:rFonts w:eastAsia="Calibri"/>
          <w:sz w:val="20"/>
          <w:szCs w:val="20"/>
          <w:lang w:bidi="en-US"/>
        </w:rPr>
        <w:t>200.00 Lakhs, maximum of</w:t>
      </w:r>
      <w:r w:rsidRPr="00712F3C">
        <w:rPr>
          <w:rFonts w:eastAsia="Calibri"/>
          <w:sz w:val="20"/>
          <w:szCs w:val="20"/>
          <w:lang w:val="en-US" w:bidi="en-US"/>
        </w:rPr>
        <w:t xml:space="preserve"> </w:t>
      </w:r>
      <w:r w:rsidRPr="00712F3C">
        <w:rPr>
          <w:rFonts w:eastAsia="Calibri"/>
          <w:sz w:val="20"/>
          <w:szCs w:val="20"/>
          <w:lang w:bidi="en-US"/>
        </w:rPr>
        <w:t>2 (two) Anchor Investors.</w:t>
      </w:r>
    </w:p>
    <w:p w14:paraId="3A2F085C" w14:textId="77777777" w:rsidR="004047F2" w:rsidRPr="00712F3C" w:rsidRDefault="004047F2">
      <w:pPr>
        <w:pStyle w:val="ListParagraph"/>
        <w:numPr>
          <w:ilvl w:val="0"/>
          <w:numId w:val="300"/>
        </w:numPr>
        <w:spacing w:line="240" w:lineRule="auto"/>
        <w:contextualSpacing/>
        <w:jc w:val="both"/>
        <w:rPr>
          <w:rFonts w:eastAsia="Calibri"/>
          <w:sz w:val="20"/>
          <w:szCs w:val="20"/>
          <w:lang w:bidi="en-US"/>
        </w:rPr>
      </w:pPr>
      <w:r w:rsidRPr="00712F3C">
        <w:rPr>
          <w:rFonts w:eastAsia="Calibri"/>
          <w:sz w:val="20"/>
          <w:szCs w:val="20"/>
          <w:lang w:bidi="en-US"/>
        </w:rPr>
        <w:t xml:space="preserve">where the allocation under the Anchor Investor Portion is more than </w:t>
      </w:r>
      <w:r w:rsidRPr="00712F3C">
        <w:rPr>
          <w:rFonts w:eastAsia="Calibri"/>
          <w:sz w:val="20"/>
          <w:szCs w:val="20"/>
        </w:rPr>
        <w:t>₹</w:t>
      </w:r>
      <w:r w:rsidRPr="00712F3C">
        <w:rPr>
          <w:rFonts w:eastAsia="Calibri"/>
          <w:sz w:val="20"/>
          <w:szCs w:val="20"/>
          <w:lang w:val="en-IN"/>
        </w:rPr>
        <w:t xml:space="preserve"> </w:t>
      </w:r>
      <w:r w:rsidRPr="00712F3C">
        <w:rPr>
          <w:rFonts w:eastAsia="Calibri"/>
          <w:sz w:val="20"/>
          <w:szCs w:val="20"/>
          <w:lang w:bidi="en-US"/>
        </w:rPr>
        <w:t>200.00 Lakhs</w:t>
      </w:r>
      <w:r w:rsidRPr="00712F3C">
        <w:rPr>
          <w:rFonts w:eastAsia="Calibri"/>
          <w:sz w:val="20"/>
          <w:szCs w:val="20"/>
          <w:lang w:val="en-IN" w:bidi="en-US"/>
        </w:rPr>
        <w:t xml:space="preserve"> </w:t>
      </w:r>
      <w:r w:rsidRPr="00712F3C">
        <w:rPr>
          <w:rFonts w:eastAsia="Calibri"/>
          <w:sz w:val="20"/>
          <w:szCs w:val="20"/>
          <w:lang w:bidi="en-US"/>
        </w:rPr>
        <w:t xml:space="preserve">but upto </w:t>
      </w:r>
      <w:r w:rsidRPr="00712F3C">
        <w:rPr>
          <w:rFonts w:eastAsia="Calibri"/>
          <w:sz w:val="20"/>
          <w:szCs w:val="20"/>
        </w:rPr>
        <w:t>₹</w:t>
      </w:r>
      <w:r w:rsidRPr="00712F3C">
        <w:rPr>
          <w:rFonts w:eastAsia="Calibri"/>
          <w:sz w:val="20"/>
          <w:szCs w:val="20"/>
          <w:lang w:val="en-IN"/>
        </w:rPr>
        <w:t xml:space="preserve"> </w:t>
      </w:r>
      <w:r w:rsidRPr="00712F3C">
        <w:rPr>
          <w:rFonts w:eastAsia="Calibri"/>
          <w:sz w:val="20"/>
          <w:szCs w:val="20"/>
          <w:lang w:bidi="en-US"/>
        </w:rPr>
        <w:t>2500.00 Lakhs, minimum of 2 (two) and maximum of 15 (fifteen) Anchor</w:t>
      </w:r>
      <w:r w:rsidRPr="00712F3C">
        <w:rPr>
          <w:rFonts w:eastAsia="Calibri"/>
          <w:sz w:val="20"/>
          <w:szCs w:val="20"/>
          <w:lang w:val="en-IN" w:bidi="en-US"/>
        </w:rPr>
        <w:t xml:space="preserve"> </w:t>
      </w:r>
      <w:r w:rsidRPr="00712F3C">
        <w:rPr>
          <w:rFonts w:eastAsia="Calibri"/>
          <w:sz w:val="20"/>
          <w:szCs w:val="20"/>
          <w:lang w:bidi="en-US"/>
        </w:rPr>
        <w:t xml:space="preserve">Investors, subject to a minimum Allotment of </w:t>
      </w:r>
      <w:r w:rsidRPr="00712F3C">
        <w:rPr>
          <w:rFonts w:eastAsia="Calibri"/>
          <w:sz w:val="20"/>
          <w:szCs w:val="20"/>
        </w:rPr>
        <w:t>₹</w:t>
      </w:r>
      <w:r w:rsidRPr="00712F3C">
        <w:rPr>
          <w:rFonts w:eastAsia="Calibri"/>
          <w:sz w:val="20"/>
          <w:szCs w:val="20"/>
          <w:lang w:val="en-IN"/>
        </w:rPr>
        <w:t xml:space="preserve"> </w:t>
      </w:r>
      <w:r w:rsidRPr="00712F3C">
        <w:rPr>
          <w:rFonts w:eastAsia="Calibri"/>
          <w:sz w:val="20"/>
          <w:szCs w:val="20"/>
          <w:lang w:bidi="en-US"/>
        </w:rPr>
        <w:t>100.00 Lakhs per Anchor Investor; and</w:t>
      </w:r>
    </w:p>
    <w:p w14:paraId="39608471" w14:textId="77777777" w:rsidR="004047F2" w:rsidRPr="00712F3C" w:rsidRDefault="004047F2">
      <w:pPr>
        <w:pStyle w:val="ListParagraph"/>
        <w:numPr>
          <w:ilvl w:val="0"/>
          <w:numId w:val="300"/>
        </w:numPr>
        <w:spacing w:line="240" w:lineRule="auto"/>
        <w:contextualSpacing/>
        <w:jc w:val="both"/>
        <w:rPr>
          <w:rFonts w:eastAsia="Calibri"/>
          <w:sz w:val="20"/>
          <w:szCs w:val="20"/>
          <w:lang w:bidi="en-US"/>
        </w:rPr>
      </w:pPr>
      <w:r w:rsidRPr="00712F3C">
        <w:rPr>
          <w:rFonts w:eastAsia="Calibri"/>
          <w:sz w:val="20"/>
          <w:szCs w:val="20"/>
          <w:lang w:bidi="en-US"/>
        </w:rPr>
        <w:t xml:space="preserve">where the allocation under the Anchor Investor portion is more than </w:t>
      </w:r>
      <w:r w:rsidRPr="00712F3C">
        <w:rPr>
          <w:rFonts w:eastAsia="Calibri"/>
          <w:sz w:val="20"/>
          <w:szCs w:val="20"/>
        </w:rPr>
        <w:t>₹</w:t>
      </w:r>
      <w:r w:rsidRPr="00712F3C">
        <w:rPr>
          <w:rFonts w:eastAsia="Calibri"/>
          <w:sz w:val="20"/>
          <w:szCs w:val="20"/>
          <w:lang w:val="en-IN"/>
        </w:rPr>
        <w:t xml:space="preserve"> </w:t>
      </w:r>
      <w:r w:rsidRPr="00712F3C">
        <w:rPr>
          <w:rFonts w:eastAsia="Calibri"/>
          <w:sz w:val="20"/>
          <w:szCs w:val="20"/>
          <w:lang w:bidi="en-US"/>
        </w:rPr>
        <w:t>2500.00 Lakhs:(i)minimum of 5 (five) and maximum of 15 (fifteen) Anchor Investors for allocation upto</w:t>
      </w:r>
      <w:r w:rsidRPr="00712F3C">
        <w:rPr>
          <w:rFonts w:eastAsia="Calibri"/>
          <w:sz w:val="20"/>
          <w:szCs w:val="20"/>
          <w:lang w:val="en-IN" w:bidi="en-US"/>
        </w:rPr>
        <w:t xml:space="preserve"> </w:t>
      </w:r>
      <w:r w:rsidRPr="00712F3C">
        <w:rPr>
          <w:rFonts w:eastAsia="Calibri"/>
          <w:sz w:val="20"/>
          <w:szCs w:val="20"/>
        </w:rPr>
        <w:t>₹</w:t>
      </w:r>
      <w:r w:rsidRPr="00712F3C">
        <w:rPr>
          <w:rFonts w:eastAsia="Calibri"/>
          <w:sz w:val="20"/>
          <w:szCs w:val="20"/>
          <w:lang w:val="en-IN"/>
        </w:rPr>
        <w:t xml:space="preserve"> </w:t>
      </w:r>
      <w:r w:rsidRPr="00712F3C">
        <w:rPr>
          <w:rFonts w:eastAsia="Calibri"/>
          <w:sz w:val="20"/>
          <w:szCs w:val="20"/>
          <w:lang w:bidi="en-US"/>
        </w:rPr>
        <w:t>2500.00 Lakhs; and (ii) an additional 10 Anchor Investors for every additional</w:t>
      </w:r>
      <w:r w:rsidRPr="00712F3C">
        <w:rPr>
          <w:rFonts w:eastAsia="Calibri"/>
          <w:sz w:val="20"/>
          <w:szCs w:val="20"/>
          <w:lang w:val="en-IN" w:bidi="en-US"/>
        </w:rPr>
        <w:t xml:space="preserve"> </w:t>
      </w:r>
      <w:r w:rsidRPr="00712F3C">
        <w:rPr>
          <w:rFonts w:eastAsia="Calibri"/>
          <w:sz w:val="20"/>
          <w:szCs w:val="20"/>
          <w:lang w:bidi="en-US"/>
        </w:rPr>
        <w:t xml:space="preserve">allocation of </w:t>
      </w:r>
      <w:r w:rsidRPr="00712F3C">
        <w:rPr>
          <w:rFonts w:eastAsia="Calibri"/>
          <w:sz w:val="20"/>
          <w:szCs w:val="20"/>
        </w:rPr>
        <w:t>₹</w:t>
      </w:r>
      <w:r w:rsidRPr="00712F3C">
        <w:rPr>
          <w:rFonts w:eastAsia="Calibri"/>
          <w:sz w:val="20"/>
          <w:szCs w:val="20"/>
          <w:lang w:val="en-IN"/>
        </w:rPr>
        <w:t xml:space="preserve"> </w:t>
      </w:r>
      <w:r w:rsidRPr="00712F3C">
        <w:rPr>
          <w:rFonts w:eastAsia="Calibri"/>
          <w:sz w:val="20"/>
          <w:szCs w:val="20"/>
          <w:lang w:bidi="en-US"/>
        </w:rPr>
        <w:t>2500.00 Lakhs or part thereof in the Anchor Investor Portion; subject to</w:t>
      </w:r>
      <w:r w:rsidRPr="00712F3C">
        <w:rPr>
          <w:rFonts w:eastAsia="Calibri"/>
          <w:sz w:val="20"/>
          <w:szCs w:val="20"/>
          <w:lang w:val="en-IN" w:bidi="en-US"/>
        </w:rPr>
        <w:t xml:space="preserve"> </w:t>
      </w:r>
      <w:r w:rsidRPr="00712F3C">
        <w:rPr>
          <w:rFonts w:eastAsia="Calibri"/>
          <w:sz w:val="20"/>
          <w:szCs w:val="20"/>
          <w:lang w:bidi="en-US"/>
        </w:rPr>
        <w:t xml:space="preserve">a minimum Allotment of </w:t>
      </w:r>
      <w:r w:rsidRPr="00712F3C">
        <w:rPr>
          <w:rFonts w:eastAsia="Calibri"/>
          <w:sz w:val="20"/>
          <w:szCs w:val="20"/>
        </w:rPr>
        <w:t>₹</w:t>
      </w:r>
      <w:r w:rsidRPr="00712F3C">
        <w:rPr>
          <w:rFonts w:eastAsia="Calibri"/>
          <w:sz w:val="20"/>
          <w:szCs w:val="20"/>
          <w:lang w:val="en-IN"/>
        </w:rPr>
        <w:t xml:space="preserve"> </w:t>
      </w:r>
      <w:r w:rsidRPr="00712F3C">
        <w:rPr>
          <w:rFonts w:eastAsia="Calibri"/>
          <w:sz w:val="20"/>
          <w:szCs w:val="20"/>
          <w:lang w:bidi="en-US"/>
        </w:rPr>
        <w:t>100.00 Lakhs per Anchor Investor.</w:t>
      </w:r>
    </w:p>
    <w:p w14:paraId="46C5C6C8" w14:textId="77777777" w:rsidR="004047F2" w:rsidRPr="00712F3C" w:rsidRDefault="004047F2" w:rsidP="004047F2">
      <w:pPr>
        <w:spacing w:after="0" w:line="240" w:lineRule="auto"/>
        <w:contextualSpacing/>
        <w:jc w:val="both"/>
        <w:rPr>
          <w:rFonts w:ascii="Times New Roman" w:eastAsia="Calibri" w:hAnsi="Times New Roman"/>
          <w:sz w:val="20"/>
          <w:szCs w:val="20"/>
          <w:lang w:bidi="en-US"/>
        </w:rPr>
      </w:pPr>
    </w:p>
    <w:p w14:paraId="2C67B76E" w14:textId="77777777" w:rsidR="004047F2" w:rsidRPr="00712F3C" w:rsidRDefault="004047F2">
      <w:pPr>
        <w:numPr>
          <w:ilvl w:val="1"/>
          <w:numId w:val="306"/>
        </w:numPr>
        <w:autoSpaceDE w:val="0"/>
        <w:autoSpaceDN w:val="0"/>
        <w:adjustRightInd w:val="0"/>
        <w:spacing w:after="0" w:line="240" w:lineRule="auto"/>
        <w:ind w:left="360"/>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Allocation to Anchor Investors will be completed on the Anchor Investor Bid/ Issue Period. The number of Equity Shares allocated to Anchor Investors and the price at which the allocation is made will be made available in the public domain by the BRLM before the Bid/Issue Opening Date, through intimation to the Stock Exchange.</w:t>
      </w:r>
    </w:p>
    <w:p w14:paraId="21F4C976" w14:textId="77777777" w:rsidR="004047F2" w:rsidRPr="00712F3C" w:rsidRDefault="004047F2" w:rsidP="004047F2">
      <w:pPr>
        <w:autoSpaceDE w:val="0"/>
        <w:autoSpaceDN w:val="0"/>
        <w:adjustRightInd w:val="0"/>
        <w:spacing w:after="0" w:line="240" w:lineRule="auto"/>
        <w:ind w:left="360"/>
        <w:contextualSpacing/>
        <w:jc w:val="both"/>
        <w:rPr>
          <w:rFonts w:ascii="Times New Roman" w:eastAsia="Calibri" w:hAnsi="Times New Roman"/>
          <w:sz w:val="20"/>
          <w:szCs w:val="20"/>
          <w:lang w:bidi="en-US"/>
        </w:rPr>
      </w:pPr>
    </w:p>
    <w:p w14:paraId="46E166D1" w14:textId="77777777" w:rsidR="004047F2" w:rsidRPr="00712F3C" w:rsidRDefault="004047F2">
      <w:pPr>
        <w:numPr>
          <w:ilvl w:val="1"/>
          <w:numId w:val="306"/>
        </w:numPr>
        <w:autoSpaceDE w:val="0"/>
        <w:autoSpaceDN w:val="0"/>
        <w:adjustRightInd w:val="0"/>
        <w:spacing w:after="0" w:line="240" w:lineRule="auto"/>
        <w:ind w:left="360"/>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Anchor Investors cannot withdraw or lower the size of their Bids at any stage after submission of the Bid.</w:t>
      </w:r>
    </w:p>
    <w:p w14:paraId="50324D8C" w14:textId="77777777" w:rsidR="004047F2" w:rsidRPr="00712F3C" w:rsidRDefault="004047F2" w:rsidP="004047F2">
      <w:pPr>
        <w:autoSpaceDE w:val="0"/>
        <w:autoSpaceDN w:val="0"/>
        <w:adjustRightInd w:val="0"/>
        <w:spacing w:after="0" w:line="240" w:lineRule="auto"/>
        <w:ind w:left="360"/>
        <w:contextualSpacing/>
        <w:jc w:val="both"/>
        <w:rPr>
          <w:rFonts w:ascii="Times New Roman" w:eastAsia="Calibri" w:hAnsi="Times New Roman"/>
          <w:sz w:val="20"/>
          <w:szCs w:val="20"/>
          <w:lang w:bidi="en-US"/>
        </w:rPr>
      </w:pPr>
    </w:p>
    <w:p w14:paraId="34D5C3BC" w14:textId="77777777" w:rsidR="004047F2" w:rsidRPr="00712F3C" w:rsidRDefault="004047F2">
      <w:pPr>
        <w:numPr>
          <w:ilvl w:val="1"/>
          <w:numId w:val="306"/>
        </w:numPr>
        <w:autoSpaceDE w:val="0"/>
        <w:autoSpaceDN w:val="0"/>
        <w:adjustRightInd w:val="0"/>
        <w:spacing w:after="0" w:line="240" w:lineRule="auto"/>
        <w:ind w:left="360"/>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If the Issue Price is greater than the Anchor Investor Allocation Price, the additional amount being the difference between the Issue Price and the Anchor Investor Allocation Price will be payable by the Anchor Investors within 2 (two) Working Days from the Bid/ Issue Closing Date. If the Issue Price is lower than the Anchor Investor Allocation Price, Allotment to successful Anchor Investors will be at the higher price, i.e., the Anchor Investor Issue Price.</w:t>
      </w:r>
    </w:p>
    <w:p w14:paraId="07C2CEE7" w14:textId="77777777" w:rsidR="004047F2" w:rsidRPr="00712F3C" w:rsidRDefault="004047F2" w:rsidP="004047F2">
      <w:pPr>
        <w:autoSpaceDE w:val="0"/>
        <w:autoSpaceDN w:val="0"/>
        <w:adjustRightInd w:val="0"/>
        <w:spacing w:after="0" w:line="240" w:lineRule="auto"/>
        <w:ind w:left="360"/>
        <w:contextualSpacing/>
        <w:jc w:val="both"/>
        <w:rPr>
          <w:rFonts w:ascii="Times New Roman" w:eastAsia="Calibri" w:hAnsi="Times New Roman"/>
          <w:sz w:val="20"/>
          <w:szCs w:val="20"/>
          <w:lang w:bidi="en-US"/>
        </w:rPr>
      </w:pPr>
    </w:p>
    <w:p w14:paraId="578831F5" w14:textId="77777777" w:rsidR="004047F2" w:rsidRPr="00712F3C" w:rsidRDefault="004047F2">
      <w:pPr>
        <w:numPr>
          <w:ilvl w:val="1"/>
          <w:numId w:val="306"/>
        </w:numPr>
        <w:autoSpaceDE w:val="0"/>
        <w:autoSpaceDN w:val="0"/>
        <w:adjustRightInd w:val="0"/>
        <w:spacing w:after="0" w:line="240" w:lineRule="auto"/>
        <w:ind w:left="360"/>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At the end of each day of the bidding period, the demand including allocation made to anchor investors, shall be shown graphically on the bidding terminals of syndicate members and website of stock exchange offering electronically linked transparent bidding facility, for information of public.</w:t>
      </w:r>
    </w:p>
    <w:p w14:paraId="1EF16D21" w14:textId="77777777" w:rsidR="004047F2" w:rsidRPr="00712F3C" w:rsidRDefault="004047F2" w:rsidP="004047F2">
      <w:pPr>
        <w:autoSpaceDE w:val="0"/>
        <w:autoSpaceDN w:val="0"/>
        <w:adjustRightInd w:val="0"/>
        <w:spacing w:after="0" w:line="240" w:lineRule="auto"/>
        <w:ind w:left="360"/>
        <w:contextualSpacing/>
        <w:jc w:val="both"/>
        <w:rPr>
          <w:rFonts w:ascii="Times New Roman" w:eastAsia="Calibri" w:hAnsi="Times New Roman"/>
          <w:sz w:val="20"/>
          <w:szCs w:val="20"/>
          <w:lang w:bidi="en-US"/>
        </w:rPr>
      </w:pPr>
    </w:p>
    <w:p w14:paraId="2EF45EC2" w14:textId="77777777" w:rsidR="004047F2" w:rsidRPr="00712F3C" w:rsidRDefault="004047F2">
      <w:pPr>
        <w:numPr>
          <w:ilvl w:val="1"/>
          <w:numId w:val="306"/>
        </w:numPr>
        <w:autoSpaceDE w:val="0"/>
        <w:autoSpaceDN w:val="0"/>
        <w:adjustRightInd w:val="0"/>
        <w:spacing w:after="0" w:line="240" w:lineRule="auto"/>
        <w:ind w:left="360"/>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50% of the Equity Shares Allotted to Anchor Investors in the Anchor Investor Portion shall be locked in for a period of 90 days from the date of Allotment, while the remaining 50% of the Equity Shares Allotted to Anchor Investors in the Anchor Investor Portion shall be locked in for a period of 30 days from the date of Allotment.</w:t>
      </w:r>
    </w:p>
    <w:p w14:paraId="6FE41529" w14:textId="77777777" w:rsidR="004047F2" w:rsidRPr="00712F3C" w:rsidRDefault="004047F2" w:rsidP="004047F2">
      <w:pPr>
        <w:autoSpaceDE w:val="0"/>
        <w:autoSpaceDN w:val="0"/>
        <w:adjustRightInd w:val="0"/>
        <w:spacing w:after="0" w:line="240" w:lineRule="auto"/>
        <w:ind w:left="360"/>
        <w:contextualSpacing/>
        <w:jc w:val="both"/>
        <w:rPr>
          <w:rFonts w:ascii="Times New Roman" w:eastAsia="Calibri" w:hAnsi="Times New Roman"/>
          <w:sz w:val="20"/>
          <w:szCs w:val="20"/>
          <w:lang w:bidi="en-US"/>
        </w:rPr>
      </w:pPr>
    </w:p>
    <w:p w14:paraId="1C0CBA30" w14:textId="77777777" w:rsidR="004047F2" w:rsidRPr="00712F3C" w:rsidRDefault="004047F2">
      <w:pPr>
        <w:numPr>
          <w:ilvl w:val="1"/>
          <w:numId w:val="306"/>
        </w:numPr>
        <w:autoSpaceDE w:val="0"/>
        <w:autoSpaceDN w:val="0"/>
        <w:adjustRightInd w:val="0"/>
        <w:spacing w:after="0" w:line="240" w:lineRule="auto"/>
        <w:ind w:left="360"/>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The BRLM, our Promoters, Promoter Group or any person related to them (except for Mutual Funds sponsored by entities related to the BRLM) will not participate in the Anchor Investor Portion. The parameters for selection of Anchor Investors will be clearly identified by the BRLM and made available as part of the records of the BRLM for inspection by SEBI.</w:t>
      </w:r>
    </w:p>
    <w:p w14:paraId="2F4F7351" w14:textId="77777777" w:rsidR="004047F2" w:rsidRPr="00712F3C" w:rsidRDefault="004047F2" w:rsidP="004047F2">
      <w:pPr>
        <w:autoSpaceDE w:val="0"/>
        <w:autoSpaceDN w:val="0"/>
        <w:adjustRightInd w:val="0"/>
        <w:spacing w:after="0" w:line="240" w:lineRule="auto"/>
        <w:ind w:left="360"/>
        <w:contextualSpacing/>
        <w:jc w:val="both"/>
        <w:rPr>
          <w:rFonts w:ascii="Times New Roman" w:eastAsia="Calibri" w:hAnsi="Times New Roman"/>
          <w:sz w:val="20"/>
          <w:szCs w:val="20"/>
          <w:lang w:bidi="en-US"/>
        </w:rPr>
      </w:pPr>
    </w:p>
    <w:p w14:paraId="1607C6E4" w14:textId="77777777" w:rsidR="004047F2" w:rsidRPr="00712F3C" w:rsidRDefault="004047F2">
      <w:pPr>
        <w:numPr>
          <w:ilvl w:val="1"/>
          <w:numId w:val="306"/>
        </w:numPr>
        <w:autoSpaceDE w:val="0"/>
        <w:autoSpaceDN w:val="0"/>
        <w:adjustRightInd w:val="0"/>
        <w:spacing w:after="0" w:line="240" w:lineRule="auto"/>
        <w:ind w:left="360"/>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Bids made by QIBs under both the Anchor Investor Portion and the QIB Portion will not be considered multiple Bids.</w:t>
      </w:r>
    </w:p>
    <w:p w14:paraId="4365D1D9" w14:textId="77777777" w:rsidR="004047F2" w:rsidRPr="00712F3C" w:rsidRDefault="004047F2" w:rsidP="004047F2">
      <w:pPr>
        <w:autoSpaceDE w:val="0"/>
        <w:autoSpaceDN w:val="0"/>
        <w:adjustRightInd w:val="0"/>
        <w:spacing w:after="0" w:line="240" w:lineRule="auto"/>
        <w:ind w:left="360"/>
        <w:contextualSpacing/>
        <w:jc w:val="both"/>
        <w:rPr>
          <w:rFonts w:ascii="Times New Roman" w:eastAsia="Calibri" w:hAnsi="Times New Roman"/>
          <w:sz w:val="20"/>
          <w:szCs w:val="20"/>
          <w:lang w:bidi="en-US"/>
        </w:rPr>
      </w:pPr>
    </w:p>
    <w:p w14:paraId="34305470" w14:textId="77777777" w:rsidR="004047F2" w:rsidRPr="00712F3C" w:rsidRDefault="004047F2">
      <w:pPr>
        <w:numPr>
          <w:ilvl w:val="1"/>
          <w:numId w:val="306"/>
        </w:numPr>
        <w:autoSpaceDE w:val="0"/>
        <w:autoSpaceDN w:val="0"/>
        <w:adjustRightInd w:val="0"/>
        <w:spacing w:after="0" w:line="240" w:lineRule="auto"/>
        <w:ind w:left="360"/>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Anchor Investors are not permitted to Bid in the Issue through the ASBA process.</w:t>
      </w:r>
    </w:p>
    <w:p w14:paraId="3D242807" w14:textId="77777777" w:rsidR="004047F2" w:rsidRPr="00712F3C" w:rsidRDefault="004047F2" w:rsidP="004047F2">
      <w:pPr>
        <w:spacing w:after="0" w:line="240" w:lineRule="auto"/>
        <w:contextualSpacing/>
        <w:jc w:val="both"/>
        <w:rPr>
          <w:rFonts w:ascii="Times New Roman" w:eastAsia="Calibri" w:hAnsi="Times New Roman"/>
          <w:sz w:val="20"/>
          <w:szCs w:val="20"/>
        </w:rPr>
      </w:pPr>
    </w:p>
    <w:p w14:paraId="2F205821" w14:textId="77777777" w:rsidR="004047F2" w:rsidRPr="00712F3C" w:rsidRDefault="004047F2" w:rsidP="004047F2">
      <w:pPr>
        <w:widowControl w:val="0"/>
        <w:spacing w:after="0" w:line="240" w:lineRule="auto"/>
        <w:contextualSpacing/>
        <w:jc w:val="both"/>
        <w:rPr>
          <w:rFonts w:ascii="Times New Roman" w:eastAsia="Calibri" w:hAnsi="Times New Roman"/>
          <w:b/>
          <w:sz w:val="20"/>
          <w:szCs w:val="20"/>
          <w:lang w:bidi="en-US"/>
        </w:rPr>
      </w:pPr>
      <w:r w:rsidRPr="00712F3C">
        <w:rPr>
          <w:rFonts w:ascii="Times New Roman" w:eastAsia="Calibri" w:hAnsi="Times New Roman"/>
          <w:b/>
          <w:sz w:val="20"/>
          <w:szCs w:val="20"/>
          <w:lang w:bidi="en-US"/>
        </w:rPr>
        <w:t>BIDS BY ELIGIBLE NRI’S:</w:t>
      </w:r>
    </w:p>
    <w:p w14:paraId="06E1BDB0"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bookmarkStart w:id="31" w:name="_DV_C87"/>
    </w:p>
    <w:p w14:paraId="1D36B84B"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Eligible NRIs may obtain copies of Bid cum Application Form from the offices of the BRLM and the Designated Intermediaries. Eligible NRI Bidders bidding on a repatriation basis by using the Non- Resident Forms should authorize their SCSB to block their Non-Resident External (“NRE”) accounts, or Foreign Currency Non-Resident (“FCNR”) ASBA Accounts, and eligible NRI Bidders bidding on a non-repatriation basis by using Resident Forms should authorize their SCSB to block their Non- Resident Ordinary (“NRO”) accounts for the full Bid Amount, at the time of the submission of the Bid cum Application Form.</w:t>
      </w:r>
      <w:bookmarkEnd w:id="31"/>
    </w:p>
    <w:p w14:paraId="5748E74B"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bookmarkStart w:id="32" w:name="_DV_C88"/>
    </w:p>
    <w:p w14:paraId="22DDFE1E"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Eligible NRIs bidding on non-repatriation basis are advised to use the Bid cum Application Form for residents (white in colour).</w:t>
      </w:r>
      <w:bookmarkEnd w:id="32"/>
    </w:p>
    <w:p w14:paraId="396A7E85"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bookmarkStart w:id="33" w:name="_DV_C89"/>
    </w:p>
    <w:p w14:paraId="458481F1"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Eligible NRIs bidding on a repatriation basis are advised to use the Bid cum Application Form meant for Non-Residents (blue in colour)</w:t>
      </w:r>
      <w:bookmarkEnd w:id="33"/>
      <w:r w:rsidRPr="00712F3C">
        <w:rPr>
          <w:rFonts w:ascii="Times New Roman" w:eastAsia="Calibri" w:hAnsi="Times New Roman"/>
          <w:sz w:val="20"/>
          <w:szCs w:val="20"/>
          <w:lang w:bidi="en-US"/>
        </w:rPr>
        <w:t>.</w:t>
      </w:r>
    </w:p>
    <w:p w14:paraId="0779DB49"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p>
    <w:p w14:paraId="68DE461A" w14:textId="77777777" w:rsidR="004047F2" w:rsidRPr="00712F3C" w:rsidRDefault="004047F2" w:rsidP="004047F2">
      <w:pPr>
        <w:widowControl w:val="0"/>
        <w:spacing w:after="0" w:line="240" w:lineRule="auto"/>
        <w:contextualSpacing/>
        <w:jc w:val="both"/>
        <w:rPr>
          <w:rFonts w:ascii="Times New Roman" w:eastAsia="Calibri" w:hAnsi="Times New Roman"/>
          <w:b/>
          <w:sz w:val="20"/>
          <w:szCs w:val="20"/>
          <w:lang w:bidi="en-US"/>
        </w:rPr>
      </w:pPr>
      <w:r w:rsidRPr="00712F3C">
        <w:rPr>
          <w:rFonts w:ascii="Times New Roman" w:eastAsia="Calibri" w:hAnsi="Times New Roman"/>
          <w:b/>
          <w:sz w:val="20"/>
          <w:szCs w:val="20"/>
          <w:lang w:bidi="en-US"/>
        </w:rPr>
        <w:t>BIDS BY FPI INCLUDING FII’S:</w:t>
      </w:r>
    </w:p>
    <w:p w14:paraId="32343155" w14:textId="77777777" w:rsidR="004047F2" w:rsidRPr="00712F3C" w:rsidRDefault="004047F2" w:rsidP="004047F2">
      <w:pPr>
        <w:spacing w:after="0" w:line="240" w:lineRule="auto"/>
        <w:contextualSpacing/>
        <w:jc w:val="both"/>
        <w:rPr>
          <w:rFonts w:ascii="Times New Roman" w:eastAsia="Calibri" w:hAnsi="Times New Roman"/>
          <w:b/>
          <w:sz w:val="20"/>
          <w:szCs w:val="20"/>
          <w:u w:val="single"/>
        </w:rPr>
      </w:pPr>
    </w:p>
    <w:p w14:paraId="17555436" w14:textId="77777777" w:rsidR="004047F2" w:rsidRPr="00712F3C" w:rsidRDefault="004047F2" w:rsidP="004047F2">
      <w:pPr>
        <w:widowControl w:val="0"/>
        <w:spacing w:after="0" w:line="240" w:lineRule="auto"/>
        <w:contextualSpacing/>
        <w:jc w:val="both"/>
        <w:rPr>
          <w:rFonts w:ascii="Times New Roman" w:hAnsi="Times New Roman"/>
          <w:sz w:val="20"/>
          <w:szCs w:val="20"/>
        </w:rPr>
      </w:pPr>
      <w:r w:rsidRPr="00712F3C">
        <w:rPr>
          <w:rFonts w:ascii="Times New Roman" w:hAnsi="Times New Roman"/>
          <w:sz w:val="20"/>
          <w:szCs w:val="20"/>
        </w:rPr>
        <w:t xml:space="preserve">In terms of the SEBI FPI Regulations, </w:t>
      </w:r>
      <w:r w:rsidRPr="00712F3C">
        <w:rPr>
          <w:rFonts w:ascii="Times New Roman" w:eastAsia="Calibri" w:hAnsi="Times New Roman"/>
          <w:sz w:val="20"/>
          <w:szCs w:val="20"/>
          <w:lang w:bidi="en-US"/>
        </w:rPr>
        <w:t>any qualified foreign investor or</w:t>
      </w:r>
      <w:r w:rsidRPr="00712F3C">
        <w:rPr>
          <w:rFonts w:ascii="Times New Roman" w:hAnsi="Times New Roman"/>
          <w:sz w:val="20"/>
          <w:szCs w:val="20"/>
        </w:rPr>
        <w:t xml:space="preserve"> FII who holds a valid certificate of registration from SEBI shall be deemed to be </w:t>
      </w:r>
      <w:r w:rsidRPr="00712F3C">
        <w:rPr>
          <w:rFonts w:ascii="Times New Roman" w:eastAsia="Calibri" w:hAnsi="Times New Roman"/>
          <w:sz w:val="20"/>
          <w:szCs w:val="20"/>
          <w:lang w:bidi="en-US"/>
        </w:rPr>
        <w:t>an</w:t>
      </w:r>
      <w:r w:rsidRPr="00712F3C">
        <w:rPr>
          <w:rFonts w:ascii="Times New Roman" w:hAnsi="Times New Roman"/>
          <w:sz w:val="20"/>
          <w:szCs w:val="20"/>
        </w:rPr>
        <w:t xml:space="preserve"> FPI until the expiry of the block of three years for which fees have been paid as per the SEBI FII Regulations. An FII or </w:t>
      </w:r>
      <w:r w:rsidRPr="00712F3C">
        <w:rPr>
          <w:rFonts w:ascii="Times New Roman" w:eastAsia="Calibri" w:hAnsi="Times New Roman"/>
          <w:sz w:val="20"/>
          <w:szCs w:val="20"/>
          <w:lang w:bidi="en-US"/>
        </w:rPr>
        <w:t xml:space="preserve">a </w:t>
      </w:r>
      <w:r w:rsidRPr="00712F3C">
        <w:rPr>
          <w:rFonts w:ascii="Times New Roman" w:hAnsi="Times New Roman"/>
          <w:sz w:val="20"/>
          <w:szCs w:val="20"/>
        </w:rPr>
        <w:t>sub-account may participate in this Issue</w:t>
      </w:r>
      <w:r w:rsidRPr="00712F3C">
        <w:rPr>
          <w:rFonts w:ascii="Times New Roman" w:eastAsia="Calibri" w:hAnsi="Times New Roman"/>
          <w:sz w:val="20"/>
          <w:szCs w:val="20"/>
          <w:lang w:bidi="en-US"/>
        </w:rPr>
        <w:t>,</w:t>
      </w:r>
      <w:r w:rsidRPr="00712F3C">
        <w:rPr>
          <w:rFonts w:ascii="Times New Roman" w:hAnsi="Times New Roman"/>
          <w:sz w:val="20"/>
          <w:szCs w:val="20"/>
        </w:rPr>
        <w:t xml:space="preserve"> in accordance with Schedule 2 of the FEMA Regulations</w:t>
      </w:r>
      <w:r w:rsidRPr="00712F3C">
        <w:rPr>
          <w:rFonts w:ascii="Times New Roman" w:eastAsia="Calibri" w:hAnsi="Times New Roman"/>
          <w:sz w:val="20"/>
          <w:szCs w:val="20"/>
          <w:lang w:bidi="en-US"/>
        </w:rPr>
        <w:t>, until the expiry of</w:t>
      </w:r>
      <w:bookmarkStart w:id="34" w:name="_DV_C92"/>
      <w:r w:rsidRPr="00712F3C">
        <w:rPr>
          <w:rFonts w:ascii="Times New Roman" w:eastAsia="Calibri" w:hAnsi="Times New Roman"/>
          <w:sz w:val="20"/>
          <w:szCs w:val="20"/>
          <w:lang w:bidi="en-US"/>
        </w:rPr>
        <w:t>its registration with SEBI as an FII or a sub-account</w:t>
      </w:r>
      <w:r w:rsidRPr="00712F3C">
        <w:rPr>
          <w:rFonts w:ascii="Times New Roman" w:hAnsi="Times New Roman"/>
          <w:sz w:val="20"/>
          <w:szCs w:val="20"/>
        </w:rPr>
        <w:t>. An FII shall not be eligible to invest as an FII after registering as an FPI under the SEBI FPI Regulations.</w:t>
      </w:r>
      <w:bookmarkEnd w:id="34"/>
    </w:p>
    <w:p w14:paraId="3F8C5649" w14:textId="77777777" w:rsidR="004047F2" w:rsidRPr="00712F3C" w:rsidRDefault="004047F2" w:rsidP="004047F2">
      <w:pPr>
        <w:widowControl w:val="0"/>
        <w:spacing w:after="0" w:line="240" w:lineRule="auto"/>
        <w:contextualSpacing/>
        <w:jc w:val="both"/>
        <w:rPr>
          <w:rFonts w:ascii="Times New Roman" w:hAnsi="Times New Roman"/>
          <w:sz w:val="20"/>
          <w:szCs w:val="20"/>
        </w:rPr>
      </w:pPr>
    </w:p>
    <w:p w14:paraId="05D710FB"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bookmarkStart w:id="35" w:name="_DV_C93"/>
      <w:r w:rsidRPr="00712F3C">
        <w:rPr>
          <w:rFonts w:ascii="Times New Roman" w:eastAsia="Calibri" w:hAnsi="Times New Roman"/>
          <w:sz w:val="20"/>
          <w:szCs w:val="20"/>
          <w:lang w:bidi="en-US"/>
        </w:rPr>
        <w:t xml:space="preserve">In case of Bids made by FPIs, a certified copy of the certificate of registration issued by the designated depository participant under </w:t>
      </w:r>
      <w:r w:rsidRPr="00712F3C">
        <w:rPr>
          <w:rFonts w:ascii="Times New Roman" w:eastAsia="Calibri" w:hAnsi="Times New Roman"/>
          <w:sz w:val="20"/>
          <w:szCs w:val="20"/>
          <w:lang w:bidi="en-US"/>
        </w:rPr>
        <w:lastRenderedPageBreak/>
        <w:t>the FPI Regulations is required to be attached to the Bid cum Application Form, failing which our Company reserves the right to reject any Bid without assigning any reason. An FII or subaccount may, subject to payment of conversion fees under the SEBI FPI Regulations, participate in the Issue, until the expiry of its registration as a FII or sub-account, or until it obtains a certificate of registration as FPI, whichever is earlier. Further, in case of Bids made by SEBI-registered FIIs or sub-accounts, which are not registered as FPIs, a certified copy of the certificate of registration as an FII issued by SEBI is required to be attached to the Bid cum Application Form, failing which our Company reserves the right to reject any Bid without assigning any reason.</w:t>
      </w:r>
      <w:bookmarkEnd w:id="35"/>
    </w:p>
    <w:p w14:paraId="26B31439"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bookmarkStart w:id="36" w:name="_DV_C94"/>
    </w:p>
    <w:p w14:paraId="3F1B9A89" w14:textId="77777777" w:rsidR="004047F2" w:rsidRPr="00712F3C" w:rsidRDefault="004047F2" w:rsidP="004047F2">
      <w:pPr>
        <w:widowControl w:val="0"/>
        <w:spacing w:after="0" w:line="240" w:lineRule="auto"/>
        <w:contextualSpacing/>
        <w:jc w:val="both"/>
        <w:rPr>
          <w:rFonts w:ascii="Times New Roman" w:hAnsi="Times New Roman"/>
          <w:sz w:val="20"/>
          <w:szCs w:val="20"/>
        </w:rPr>
      </w:pPr>
      <w:r w:rsidRPr="00712F3C">
        <w:rPr>
          <w:rFonts w:ascii="Times New Roman" w:hAnsi="Times New Roman"/>
          <w:sz w:val="20"/>
          <w:szCs w:val="20"/>
        </w:rPr>
        <w:t xml:space="preserve">In terms of the SEBI FPI Regulations, the </w:t>
      </w:r>
      <w:r w:rsidRPr="00712F3C">
        <w:rPr>
          <w:rFonts w:ascii="Times New Roman" w:eastAsia="Calibri" w:hAnsi="Times New Roman"/>
          <w:sz w:val="20"/>
          <w:szCs w:val="20"/>
          <w:lang w:bidi="en-US"/>
        </w:rPr>
        <w:t>Issue</w:t>
      </w:r>
      <w:r w:rsidRPr="00712F3C">
        <w:rPr>
          <w:rFonts w:ascii="Times New Roman" w:hAnsi="Times New Roman"/>
          <w:sz w:val="20"/>
          <w:szCs w:val="20"/>
        </w:rPr>
        <w:t xml:space="preserve"> of Equity Shares </w:t>
      </w:r>
      <w:r w:rsidRPr="00712F3C">
        <w:rPr>
          <w:rFonts w:ascii="Times New Roman" w:eastAsia="Calibri" w:hAnsi="Times New Roman"/>
          <w:sz w:val="20"/>
          <w:szCs w:val="20"/>
          <w:lang w:bidi="en-US"/>
        </w:rPr>
        <w:t>to</w:t>
      </w:r>
      <w:r w:rsidRPr="00712F3C">
        <w:rPr>
          <w:rFonts w:ascii="Times New Roman" w:hAnsi="Times New Roman"/>
          <w:sz w:val="20"/>
          <w:szCs w:val="20"/>
        </w:rPr>
        <w:t xml:space="preserve"> a single FPI or an investor group (which means the same set of ultimate beneficial owner(s) investing through multiple entities) must be below 10% of our post-</w:t>
      </w:r>
      <w:r w:rsidRPr="00712F3C">
        <w:rPr>
          <w:rFonts w:ascii="Times New Roman" w:eastAsia="Calibri" w:hAnsi="Times New Roman"/>
          <w:sz w:val="20"/>
          <w:szCs w:val="20"/>
          <w:lang w:bidi="en-US"/>
        </w:rPr>
        <w:t>Issue</w:t>
      </w:r>
      <w:r w:rsidRPr="00712F3C">
        <w:rPr>
          <w:rFonts w:ascii="Times New Roman" w:hAnsi="Times New Roman"/>
          <w:sz w:val="20"/>
          <w:szCs w:val="20"/>
        </w:rPr>
        <w:t xml:space="preserve"> Equity Share capital. Further, in terms of the FEMA Regulations, the total holding by each FPI shall be below 10% of the total paid-up Equity Share capital of our Company and the total holdings of all FPIs put together shall not exceed 24% of the paid-up Equity Share capital of our Company. The aggregate limit of 24% may be increased up to the </w:t>
      </w:r>
      <w:r w:rsidRPr="00712F3C">
        <w:rPr>
          <w:rFonts w:ascii="Times New Roman" w:eastAsia="Calibri" w:hAnsi="Times New Roman"/>
          <w:sz w:val="20"/>
          <w:szCs w:val="20"/>
          <w:lang w:bidi="en-US"/>
        </w:rPr>
        <w:t>sectorial</w:t>
      </w:r>
      <w:r w:rsidRPr="00712F3C">
        <w:rPr>
          <w:rFonts w:ascii="Times New Roman" w:hAnsi="Times New Roman"/>
          <w:sz w:val="20"/>
          <w:szCs w:val="20"/>
        </w:rPr>
        <w:t xml:space="preserve"> cap by way of a resolution passed by the Board of Directors followed by a special resolution passed by the Shareholders of our Company and subject to prior intimation to RBI. In terms of the FEMA Regulations, for calculating the aggregate holding of FPIs in a company, holding of all registered FPIs as well as holding of FIIs (being deemed FPIs) shall be included.</w:t>
      </w:r>
      <w:r w:rsidRPr="00712F3C">
        <w:rPr>
          <w:rFonts w:ascii="Times New Roman" w:eastAsia="Calibri" w:hAnsi="Times New Roman"/>
          <w:sz w:val="20"/>
          <w:szCs w:val="20"/>
          <w:lang w:bidi="en-US"/>
        </w:rPr>
        <w:t xml:space="preserve"> The existing individual and aggregate investment limits an FII or sub account in our Company is 10% and 24% of the total paid-up Equity Share capital of our Company, respectively.</w:t>
      </w:r>
      <w:bookmarkEnd w:id="36"/>
    </w:p>
    <w:p w14:paraId="21044CB8" w14:textId="77777777" w:rsidR="004047F2" w:rsidRPr="00712F3C" w:rsidRDefault="004047F2" w:rsidP="004047F2">
      <w:pPr>
        <w:widowControl w:val="0"/>
        <w:spacing w:after="0" w:line="240" w:lineRule="auto"/>
        <w:contextualSpacing/>
        <w:jc w:val="both"/>
        <w:rPr>
          <w:rFonts w:ascii="Times New Roman" w:hAnsi="Times New Roman"/>
          <w:sz w:val="20"/>
          <w:szCs w:val="20"/>
        </w:rPr>
      </w:pPr>
    </w:p>
    <w:p w14:paraId="3CFFE53E" w14:textId="77777777" w:rsidR="004047F2" w:rsidRPr="00712F3C" w:rsidRDefault="004047F2" w:rsidP="004047F2">
      <w:pPr>
        <w:widowControl w:val="0"/>
        <w:spacing w:after="0" w:line="240" w:lineRule="auto"/>
        <w:contextualSpacing/>
        <w:jc w:val="both"/>
        <w:rPr>
          <w:rFonts w:ascii="Times New Roman" w:hAnsi="Times New Roman"/>
          <w:sz w:val="20"/>
          <w:szCs w:val="20"/>
        </w:rPr>
      </w:pPr>
      <w:bookmarkStart w:id="37" w:name="_DV_C95"/>
      <w:r w:rsidRPr="00712F3C">
        <w:rPr>
          <w:rFonts w:ascii="Times New Roman" w:hAnsi="Times New Roman"/>
          <w:sz w:val="20"/>
          <w:szCs w:val="20"/>
        </w:rPr>
        <w:t>FPIs are permitted to participate in the Issue subject to compliance with conditions and restrictions which may be specified by the Government from time to time.</w:t>
      </w:r>
      <w:bookmarkEnd w:id="37"/>
    </w:p>
    <w:p w14:paraId="400A506B" w14:textId="77777777" w:rsidR="004047F2" w:rsidRPr="00712F3C" w:rsidRDefault="004047F2" w:rsidP="004047F2">
      <w:pPr>
        <w:widowControl w:val="0"/>
        <w:spacing w:after="0" w:line="240" w:lineRule="auto"/>
        <w:contextualSpacing/>
        <w:jc w:val="both"/>
        <w:rPr>
          <w:rFonts w:ascii="Times New Roman" w:hAnsi="Times New Roman"/>
          <w:sz w:val="20"/>
          <w:szCs w:val="20"/>
        </w:rPr>
      </w:pPr>
    </w:p>
    <w:p w14:paraId="66BBEAFE" w14:textId="77777777" w:rsidR="004047F2" w:rsidRPr="00712F3C" w:rsidRDefault="004047F2" w:rsidP="004047F2">
      <w:pPr>
        <w:widowControl w:val="0"/>
        <w:spacing w:after="0" w:line="240" w:lineRule="auto"/>
        <w:contextualSpacing/>
        <w:jc w:val="both"/>
        <w:rPr>
          <w:rFonts w:ascii="Times New Roman" w:hAnsi="Times New Roman"/>
          <w:sz w:val="20"/>
          <w:szCs w:val="20"/>
        </w:rPr>
      </w:pPr>
      <w:bookmarkStart w:id="38" w:name="_DV_C96"/>
      <w:r w:rsidRPr="00712F3C">
        <w:rPr>
          <w:rFonts w:ascii="Times New Roman" w:hAnsi="Times New Roman"/>
          <w:sz w:val="20"/>
          <w:szCs w:val="20"/>
        </w:rPr>
        <w:t xml:space="preserve">Subject to compliance with all applicable Indian laws, rules, regulations, guidelines and approvals in terms of Regulation 22 of the SEBI FPI Regulations, an FPI, other than Category III foreign portfolio and unregulated broad based funds, which are classified as Category II foreign portfolio investor by virtue of their investment manager being appropriately regulated, may issue or otherwise deal in offshore derivative instruments (as defined under the SEBI FPI Regulations as any instrument, by whatever name called, which is issued overseas by </w:t>
      </w:r>
      <w:r w:rsidRPr="00712F3C">
        <w:rPr>
          <w:rFonts w:ascii="Times New Roman" w:eastAsia="Calibri" w:hAnsi="Times New Roman"/>
          <w:sz w:val="20"/>
          <w:szCs w:val="20"/>
          <w:lang w:bidi="en-US"/>
        </w:rPr>
        <w:t>an</w:t>
      </w:r>
      <w:r w:rsidRPr="00712F3C">
        <w:rPr>
          <w:rFonts w:ascii="Times New Roman" w:hAnsi="Times New Roman"/>
          <w:sz w:val="20"/>
          <w:szCs w:val="20"/>
        </w:rPr>
        <w:t xml:space="preserve"> FPI against securities held by it that are listed or proposed to be listed on any </w:t>
      </w:r>
      <w:r w:rsidRPr="00712F3C">
        <w:rPr>
          <w:rFonts w:ascii="Times New Roman" w:eastAsia="Calibri" w:hAnsi="Times New Roman"/>
          <w:sz w:val="20"/>
          <w:szCs w:val="20"/>
          <w:lang w:bidi="en-US"/>
        </w:rPr>
        <w:t>recognized</w:t>
      </w:r>
      <w:r w:rsidRPr="00712F3C">
        <w:rPr>
          <w:rFonts w:ascii="Times New Roman" w:hAnsi="Times New Roman"/>
          <w:sz w:val="20"/>
          <w:szCs w:val="20"/>
        </w:rPr>
        <w:t xml:space="preserve"> stock exchange in India, as its underlying) directly or indirectly, only in the event (i) such offshore derivative instruments are issued only to persons who are regulated by an appropriate regulatory authority; and (ii) such offshore derivative instruments are issued after compliance with </w:t>
      </w:r>
      <w:r w:rsidRPr="00712F3C">
        <w:rPr>
          <w:rFonts w:ascii="Times New Roman" w:eastAsia="Calibri" w:hAnsi="Times New Roman"/>
          <w:sz w:val="20"/>
          <w:szCs w:val="20"/>
          <w:lang w:bidi="en-US"/>
        </w:rPr>
        <w:t>know your client norms.</w:t>
      </w:r>
      <w:r w:rsidRPr="00712F3C">
        <w:rPr>
          <w:rFonts w:ascii="Times New Roman" w:hAnsi="Times New Roman"/>
          <w:sz w:val="20"/>
          <w:szCs w:val="20"/>
        </w:rPr>
        <w:t xml:space="preserve"> An FPI is also required to ensure that no further issue or transfer of any offshore derivative instrument is made by or on behalf of it to any persons that are not regulated by an appropriate foreign regulatory authority.</w:t>
      </w:r>
      <w:bookmarkEnd w:id="38"/>
    </w:p>
    <w:p w14:paraId="5232EF1C" w14:textId="77777777" w:rsidR="004047F2" w:rsidRPr="00712F3C" w:rsidRDefault="004047F2" w:rsidP="004047F2">
      <w:pPr>
        <w:widowControl w:val="0"/>
        <w:spacing w:after="0" w:line="240" w:lineRule="auto"/>
        <w:contextualSpacing/>
        <w:jc w:val="both"/>
        <w:rPr>
          <w:rFonts w:ascii="Times New Roman" w:hAnsi="Times New Roman"/>
          <w:sz w:val="20"/>
          <w:szCs w:val="20"/>
        </w:rPr>
      </w:pPr>
      <w:bookmarkStart w:id="39" w:name="_DV_C97"/>
    </w:p>
    <w:p w14:paraId="070BE10A"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FPIs who wish to participate in the Issue are advised to use the Bid cum Application Form for Non- Residents (blue in colour).</w:t>
      </w:r>
      <w:bookmarkEnd w:id="39"/>
    </w:p>
    <w:p w14:paraId="6DC4E444" w14:textId="77777777" w:rsidR="004047F2" w:rsidRPr="00712F3C" w:rsidRDefault="004047F2" w:rsidP="004047F2">
      <w:pPr>
        <w:spacing w:after="0" w:line="240" w:lineRule="auto"/>
        <w:contextualSpacing/>
        <w:jc w:val="both"/>
        <w:rPr>
          <w:rFonts w:ascii="Times New Roman" w:eastAsia="Calibri" w:hAnsi="Times New Roman"/>
          <w:b/>
          <w:sz w:val="20"/>
          <w:szCs w:val="20"/>
          <w:u w:val="single"/>
        </w:rPr>
      </w:pPr>
    </w:p>
    <w:p w14:paraId="35760847" w14:textId="77777777" w:rsidR="004047F2" w:rsidRPr="00712F3C" w:rsidRDefault="004047F2" w:rsidP="004047F2">
      <w:pPr>
        <w:widowControl w:val="0"/>
        <w:spacing w:after="0" w:line="240" w:lineRule="auto"/>
        <w:contextualSpacing/>
        <w:jc w:val="both"/>
        <w:rPr>
          <w:rFonts w:ascii="Times New Roman" w:eastAsia="Calibri" w:hAnsi="Times New Roman"/>
          <w:b/>
          <w:sz w:val="20"/>
          <w:szCs w:val="20"/>
          <w:lang w:bidi="en-US"/>
        </w:rPr>
      </w:pPr>
      <w:r w:rsidRPr="00712F3C">
        <w:rPr>
          <w:rFonts w:ascii="Times New Roman" w:eastAsia="Calibri" w:hAnsi="Times New Roman"/>
          <w:b/>
          <w:sz w:val="20"/>
          <w:szCs w:val="20"/>
          <w:lang w:bidi="en-US"/>
        </w:rPr>
        <w:t>BIDS BY SEBI REGISTERED VCF’S, AIF’S AND FVCI’S:</w:t>
      </w:r>
    </w:p>
    <w:p w14:paraId="0C286423"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bookmarkStart w:id="40" w:name="_DV_C99"/>
    </w:p>
    <w:p w14:paraId="04964C1D"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The SEBI FVCI Regulations and the SEBI AIF Regulations inter-alia prescribe the investment restrictions on the VCFs, FVCIs and AIFs registered with SEBI. Further, the SEBI AIF Regulations prescribe, among others, the investment restrictions on AIF’s.</w:t>
      </w:r>
      <w:bookmarkEnd w:id="40"/>
    </w:p>
    <w:p w14:paraId="14F2AD42"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bookmarkStart w:id="41" w:name="_DV_C100"/>
    </w:p>
    <w:p w14:paraId="3CED83B6"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The holding by any individual VCF registered with SEBI in one venture capital undertaking should not exceed 25% of the corpus of the VCF. Further, VCFs and FVCIs can invest only up to 33.33% of the investible funds by way of subscription to an initial public offering.</w:t>
      </w:r>
      <w:bookmarkEnd w:id="41"/>
    </w:p>
    <w:p w14:paraId="7EE2A292"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bookmarkStart w:id="42" w:name="_DV_C101"/>
    </w:p>
    <w:p w14:paraId="5783C9DA"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The category I and II AIFs cannot invest more than 25% of the corpus in one Investee Company. A category III AIF cannot invest more than 10% of the corpus in one Investee Company. A venture capital fund registered as a category I AIF, as defined in the SEBI AIF Regulations, cannot invest more than 1/3rd of its corpus by way of subscription to an initial public offering of a venture capital undertaking. Additionally, the VCFs which have not re-registered as an AIF under the SEBI AIF Regulations shall continue to be regulated by the VCF Regulation until the existing fund or scheme managed by the fund is wound up and such funds shall not launch any new scheme after the notification of the SEBI AIF Regulations.</w:t>
      </w:r>
      <w:bookmarkEnd w:id="42"/>
    </w:p>
    <w:p w14:paraId="75E39220" w14:textId="77777777" w:rsidR="004047F2" w:rsidRPr="00712F3C" w:rsidRDefault="004047F2" w:rsidP="004047F2">
      <w:pPr>
        <w:widowControl w:val="0"/>
        <w:spacing w:after="0" w:line="240" w:lineRule="auto"/>
        <w:contextualSpacing/>
        <w:jc w:val="both"/>
        <w:rPr>
          <w:rFonts w:ascii="Times New Roman" w:hAnsi="Times New Roman"/>
          <w:sz w:val="20"/>
          <w:szCs w:val="20"/>
        </w:rPr>
      </w:pPr>
      <w:bookmarkStart w:id="43" w:name="_DV_C102"/>
    </w:p>
    <w:p w14:paraId="3669BEFA"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All FIIs and FVCIs should note that refunds, dividends and other distributions, if any, will be payable in Indian Rupees only and net of Bank charges and commission.</w:t>
      </w:r>
      <w:bookmarkEnd w:id="43"/>
    </w:p>
    <w:p w14:paraId="11D03F49"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bookmarkStart w:id="44" w:name="_DV_C103"/>
      <w:r w:rsidRPr="00712F3C">
        <w:rPr>
          <w:rFonts w:ascii="Times New Roman" w:eastAsia="Calibri" w:hAnsi="Times New Roman"/>
          <w:sz w:val="20"/>
          <w:szCs w:val="20"/>
          <w:lang w:bidi="en-US"/>
        </w:rPr>
        <w:t>Our Company or the BRLM will not be responsible for loss, if any, incurred by the Bidder on account of conversion of foreign currency.</w:t>
      </w:r>
      <w:bookmarkEnd w:id="44"/>
    </w:p>
    <w:p w14:paraId="7D188B6A"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bookmarkStart w:id="45" w:name="_DV_C104"/>
    </w:p>
    <w:p w14:paraId="31A94EAE"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There is no reservation for Eligible NRIs, FPIs and FVCIs and all Bidders will be treated on the same basis with other categories for the purpose of allocation.</w:t>
      </w:r>
      <w:bookmarkEnd w:id="45"/>
    </w:p>
    <w:p w14:paraId="473C35B6"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p>
    <w:p w14:paraId="6BE5726A" w14:textId="77777777" w:rsidR="004047F2" w:rsidRPr="00712F3C" w:rsidRDefault="004047F2" w:rsidP="004047F2">
      <w:pPr>
        <w:pStyle w:val="Default"/>
        <w:contextualSpacing/>
        <w:rPr>
          <w:b/>
          <w:bCs/>
          <w:sz w:val="20"/>
          <w:szCs w:val="20"/>
        </w:rPr>
      </w:pPr>
      <w:r w:rsidRPr="00712F3C">
        <w:rPr>
          <w:b/>
          <w:bCs/>
          <w:sz w:val="20"/>
          <w:szCs w:val="20"/>
        </w:rPr>
        <w:t xml:space="preserve">BIDS BY HUFS: </w:t>
      </w:r>
    </w:p>
    <w:p w14:paraId="5C632A8B" w14:textId="77777777" w:rsidR="004047F2" w:rsidRPr="00712F3C" w:rsidRDefault="004047F2" w:rsidP="004047F2">
      <w:pPr>
        <w:pStyle w:val="Default"/>
        <w:contextualSpacing/>
        <w:rPr>
          <w:sz w:val="20"/>
          <w:szCs w:val="20"/>
        </w:rPr>
      </w:pPr>
    </w:p>
    <w:p w14:paraId="6363EED6"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Hindu Undivided Families or HUFs, in the individual name of the Karta. The Bidder should specify that the Application is being made in the name of the HUF in the Bid cum Application Form as follows: “Name of sole or first Applicant: XYZ Hindu Undivided Family applying through XYZ, where XYZ is the name of the Karta”. Bid cum Applications by HUFs may be considered at par with Bid cum Applications from individuals.</w:t>
      </w:r>
    </w:p>
    <w:p w14:paraId="0BCE6781" w14:textId="77777777" w:rsidR="004047F2" w:rsidRDefault="004047F2" w:rsidP="004047F2">
      <w:pPr>
        <w:widowControl w:val="0"/>
        <w:spacing w:after="0" w:line="240" w:lineRule="auto"/>
        <w:contextualSpacing/>
        <w:jc w:val="both"/>
        <w:rPr>
          <w:rFonts w:ascii="Times New Roman" w:eastAsia="Calibri" w:hAnsi="Times New Roman"/>
          <w:b/>
          <w:sz w:val="20"/>
          <w:szCs w:val="20"/>
          <w:lang w:bidi="en-US"/>
        </w:rPr>
      </w:pPr>
    </w:p>
    <w:p w14:paraId="70147652" w14:textId="77777777" w:rsidR="00636B58" w:rsidRPr="00712F3C" w:rsidRDefault="00636B58" w:rsidP="004047F2">
      <w:pPr>
        <w:widowControl w:val="0"/>
        <w:spacing w:after="0" w:line="240" w:lineRule="auto"/>
        <w:contextualSpacing/>
        <w:jc w:val="both"/>
        <w:rPr>
          <w:rFonts w:ascii="Times New Roman" w:eastAsia="Calibri" w:hAnsi="Times New Roman"/>
          <w:b/>
          <w:sz w:val="20"/>
          <w:szCs w:val="20"/>
          <w:lang w:bidi="en-US"/>
        </w:rPr>
      </w:pPr>
    </w:p>
    <w:p w14:paraId="08657896" w14:textId="77777777" w:rsidR="004047F2" w:rsidRPr="00712F3C" w:rsidRDefault="004047F2" w:rsidP="004047F2">
      <w:pPr>
        <w:widowControl w:val="0"/>
        <w:spacing w:after="0" w:line="240" w:lineRule="auto"/>
        <w:contextualSpacing/>
        <w:jc w:val="both"/>
        <w:rPr>
          <w:rFonts w:ascii="Times New Roman" w:eastAsia="Calibri" w:hAnsi="Times New Roman"/>
          <w:b/>
          <w:sz w:val="20"/>
          <w:szCs w:val="20"/>
          <w:lang w:bidi="en-US"/>
        </w:rPr>
      </w:pPr>
      <w:r w:rsidRPr="00712F3C">
        <w:rPr>
          <w:rFonts w:ascii="Times New Roman" w:eastAsia="Calibri" w:hAnsi="Times New Roman"/>
          <w:b/>
          <w:sz w:val="20"/>
          <w:szCs w:val="20"/>
          <w:lang w:bidi="en-US"/>
        </w:rPr>
        <w:lastRenderedPageBreak/>
        <w:t>BIDS BY MUTUAL FUNDS:</w:t>
      </w:r>
    </w:p>
    <w:p w14:paraId="37CFD93A"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bookmarkStart w:id="46" w:name="_DV_C106"/>
    </w:p>
    <w:p w14:paraId="3BCD4B88"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No Mutual Fund scheme shall invest more than 10% of its net asset value in equity shares or equity related instruments of any single company provided that the limit of 10% shall not be applicable for investments in index funds or sector or industry specific funds. No Mutual Fund under all its schemes should own more than 10% of any company‘s paid-up share capital carrying voting rights.</w:t>
      </w:r>
      <w:bookmarkEnd w:id="46"/>
    </w:p>
    <w:p w14:paraId="4DD7627E"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bookmarkStart w:id="47" w:name="_DV_C107"/>
    </w:p>
    <w:p w14:paraId="5AEA5D8E" w14:textId="77777777" w:rsidR="004047F2" w:rsidRPr="00712F3C" w:rsidRDefault="004047F2" w:rsidP="004047F2">
      <w:pPr>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With respect to Bids by Mutual Funds, a certified copy of their SEBI registration certificate must be lodged with the Bid cum Application Form. Failing this, our Company reserves the right to accept or reject any Bid cum Application in whole or in part, in either case, without assigning any reason thereof.</w:t>
      </w:r>
      <w:bookmarkEnd w:id="47"/>
    </w:p>
    <w:p w14:paraId="6C13EBFF"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bookmarkStart w:id="48" w:name="_DV_C108"/>
    </w:p>
    <w:p w14:paraId="5351868E"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In case of a mutual fund, a separate Bid cum Application can be made in respect of each scheme of the mutual fund registered with SEBI and such Applications in respect of more than one scheme of the mutual fund will not be treated as multiple applications provided that the Bids clearly indicate the scheme concerned for which the Bids has been made.</w:t>
      </w:r>
      <w:bookmarkEnd w:id="48"/>
    </w:p>
    <w:p w14:paraId="79A3C53B"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bookmarkStart w:id="49" w:name="_DV_C109"/>
    </w:p>
    <w:p w14:paraId="1AD26BDC"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The Bids made by the asset management companies or custodians of Mutual Funds shall specifically state the names of the concerned schemes for which the Applications are made.</w:t>
      </w:r>
      <w:bookmarkEnd w:id="49"/>
    </w:p>
    <w:p w14:paraId="1580A17A" w14:textId="77777777" w:rsidR="004047F2" w:rsidRPr="00712F3C" w:rsidRDefault="004047F2" w:rsidP="004047F2">
      <w:pPr>
        <w:widowControl w:val="0"/>
        <w:spacing w:after="0" w:line="240" w:lineRule="auto"/>
        <w:contextualSpacing/>
        <w:jc w:val="both"/>
        <w:rPr>
          <w:rFonts w:ascii="Times New Roman" w:hAnsi="Times New Roman"/>
          <w:sz w:val="20"/>
          <w:szCs w:val="20"/>
        </w:rPr>
      </w:pPr>
    </w:p>
    <w:p w14:paraId="02BF94E6" w14:textId="05FD116C" w:rsidR="004047F2" w:rsidRPr="00712F3C" w:rsidRDefault="004047F2" w:rsidP="004047F2">
      <w:pPr>
        <w:pStyle w:val="Default"/>
        <w:contextualSpacing/>
        <w:rPr>
          <w:b/>
          <w:bCs/>
          <w:sz w:val="20"/>
          <w:szCs w:val="20"/>
        </w:rPr>
      </w:pPr>
      <w:r w:rsidRPr="00712F3C">
        <w:rPr>
          <w:b/>
          <w:bCs/>
          <w:sz w:val="20"/>
          <w:szCs w:val="20"/>
        </w:rPr>
        <w:t>BIDS BY SYSTEMATICALLY IMPORTANT NON</w:t>
      </w:r>
      <w:r w:rsidR="00636B58">
        <w:rPr>
          <w:b/>
          <w:bCs/>
          <w:sz w:val="20"/>
          <w:szCs w:val="20"/>
        </w:rPr>
        <w:t>-B</w:t>
      </w:r>
      <w:r w:rsidRPr="00712F3C">
        <w:rPr>
          <w:b/>
          <w:bCs/>
          <w:sz w:val="20"/>
          <w:szCs w:val="20"/>
        </w:rPr>
        <w:t>ANKING FINANCIAL COMPANIES:</w:t>
      </w:r>
    </w:p>
    <w:p w14:paraId="0ABFEB4A" w14:textId="77777777" w:rsidR="004047F2" w:rsidRPr="00712F3C" w:rsidRDefault="004047F2" w:rsidP="004047F2">
      <w:pPr>
        <w:pStyle w:val="Default"/>
        <w:contextualSpacing/>
        <w:rPr>
          <w:color w:val="auto"/>
          <w:sz w:val="20"/>
          <w:szCs w:val="20"/>
          <w:lang w:bidi="en-US"/>
        </w:rPr>
      </w:pPr>
    </w:p>
    <w:p w14:paraId="7FB21E0B"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In case of Applications made by Systemically Important Non-Banking Financial Companies, a certified copy of the certificate of registration issued by the RBI, a certified copy of its last audited financial statements on a standalone basis and a net worth certificate from its statutory auditor(s), must be attached to the Bid cum Application Form. Failing this, our Company reserve the right to reject any Application, without assigning any reason thereof. Systemically Important Non-Banking Financial Companies participating in the Issue shall comply with all applicable legislations, regulations, directions, guidelines and circulars issued by RBI from time to time.</w:t>
      </w:r>
    </w:p>
    <w:p w14:paraId="6F378A9D" w14:textId="77777777" w:rsidR="004047F2" w:rsidRPr="00712F3C" w:rsidRDefault="004047F2" w:rsidP="004047F2">
      <w:pPr>
        <w:widowControl w:val="0"/>
        <w:spacing w:after="0" w:line="240" w:lineRule="auto"/>
        <w:contextualSpacing/>
        <w:jc w:val="both"/>
        <w:rPr>
          <w:rFonts w:ascii="Times New Roman" w:eastAsia="Calibri" w:hAnsi="Times New Roman"/>
          <w:b/>
          <w:sz w:val="20"/>
          <w:szCs w:val="20"/>
          <w:lang w:bidi="en-US"/>
        </w:rPr>
      </w:pPr>
    </w:p>
    <w:p w14:paraId="40CD990E" w14:textId="77777777" w:rsidR="004047F2" w:rsidRPr="00712F3C" w:rsidRDefault="004047F2" w:rsidP="004047F2">
      <w:pPr>
        <w:widowControl w:val="0"/>
        <w:spacing w:after="0" w:line="240" w:lineRule="auto"/>
        <w:contextualSpacing/>
        <w:jc w:val="both"/>
        <w:rPr>
          <w:rFonts w:ascii="Times New Roman" w:eastAsia="Calibri" w:hAnsi="Times New Roman"/>
          <w:b/>
          <w:sz w:val="20"/>
          <w:szCs w:val="20"/>
          <w:lang w:bidi="en-US"/>
        </w:rPr>
      </w:pPr>
      <w:r w:rsidRPr="00712F3C">
        <w:rPr>
          <w:rFonts w:ascii="Times New Roman" w:eastAsia="Calibri" w:hAnsi="Times New Roman"/>
          <w:b/>
          <w:sz w:val="20"/>
          <w:szCs w:val="20"/>
          <w:lang w:bidi="en-US"/>
        </w:rPr>
        <w:t>BIDS BY LIMITED LIABILITY PARTNERSHIPS:</w:t>
      </w:r>
    </w:p>
    <w:p w14:paraId="2A7576D8"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bookmarkStart w:id="50" w:name="_DV_C111"/>
    </w:p>
    <w:p w14:paraId="775CFE41"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In case of Bids made by limited liability partnerships registered under the Limited Liability Partnership Act, 2008, a certified copy of certificate of registration issued under the Limited Liability Partnership Act, 2008, must be attached to the Bid cum Application Form. Failing this, our Company reserves the right to reject any bid without assigning any reason thereof. Limited liability partnerships can participate in the Issue only through the ASBA process.</w:t>
      </w:r>
      <w:bookmarkEnd w:id="50"/>
    </w:p>
    <w:p w14:paraId="4592EFE2" w14:textId="77777777" w:rsidR="004047F2" w:rsidRPr="00712F3C" w:rsidRDefault="004047F2" w:rsidP="004047F2">
      <w:pPr>
        <w:widowControl w:val="0"/>
        <w:spacing w:after="0" w:line="240" w:lineRule="auto"/>
        <w:contextualSpacing/>
        <w:jc w:val="both"/>
        <w:rPr>
          <w:rFonts w:ascii="Times New Roman" w:hAnsi="Times New Roman"/>
          <w:sz w:val="20"/>
          <w:szCs w:val="20"/>
        </w:rPr>
      </w:pPr>
    </w:p>
    <w:p w14:paraId="31099D13" w14:textId="77777777" w:rsidR="004047F2" w:rsidRPr="00712F3C" w:rsidRDefault="004047F2" w:rsidP="004047F2">
      <w:pPr>
        <w:widowControl w:val="0"/>
        <w:spacing w:after="0" w:line="240" w:lineRule="auto"/>
        <w:contextualSpacing/>
        <w:jc w:val="both"/>
        <w:rPr>
          <w:rFonts w:ascii="Times New Roman" w:eastAsia="Calibri" w:hAnsi="Times New Roman"/>
          <w:b/>
          <w:sz w:val="20"/>
          <w:szCs w:val="20"/>
          <w:lang w:bidi="en-US"/>
        </w:rPr>
      </w:pPr>
      <w:r w:rsidRPr="00712F3C">
        <w:rPr>
          <w:rFonts w:ascii="Times New Roman" w:eastAsia="Calibri" w:hAnsi="Times New Roman"/>
          <w:b/>
          <w:sz w:val="20"/>
          <w:szCs w:val="20"/>
          <w:lang w:bidi="en-US"/>
        </w:rPr>
        <w:t>BIDS BY INSURANCE COMPANIES:</w:t>
      </w:r>
    </w:p>
    <w:p w14:paraId="58DBB1ED"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bookmarkStart w:id="51" w:name="_DV_C113"/>
    </w:p>
    <w:p w14:paraId="7F45AAA2"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In case of Bids made by insurance companies registered with the IRDA, a certified copy of certificate of registration issued by IRDA must be attached to the Bid cum Application Form. Failing this, our Company reserves the right to reject any Bid by Insurance Companies without assigning any reason thereof. The exposure norms for insurers, prescribed under the Insurance Regulatory and Development Authority (Investment) Regulations, 2000, as amended, are broadly set forth below:</w:t>
      </w:r>
      <w:bookmarkStart w:id="52" w:name="_DV_C114"/>
      <w:bookmarkEnd w:id="51"/>
    </w:p>
    <w:p w14:paraId="2EB00B61"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p>
    <w:p w14:paraId="32B14BE6" w14:textId="77777777" w:rsidR="004047F2" w:rsidRPr="00712F3C" w:rsidRDefault="004047F2">
      <w:pPr>
        <w:widowControl w:val="0"/>
        <w:numPr>
          <w:ilvl w:val="0"/>
          <w:numId w:val="289"/>
        </w:numPr>
        <w:tabs>
          <w:tab w:val="left" w:pos="450"/>
        </w:tabs>
        <w:autoSpaceDE w:val="0"/>
        <w:autoSpaceDN w:val="0"/>
        <w:adjustRightInd w:val="0"/>
        <w:spacing w:after="0" w:line="240" w:lineRule="auto"/>
        <w:ind w:left="450" w:hanging="450"/>
        <w:contextualSpacing/>
        <w:jc w:val="both"/>
        <w:rPr>
          <w:rFonts w:ascii="Times New Roman" w:eastAsia="Calibri" w:hAnsi="Times New Roman"/>
          <w:sz w:val="20"/>
          <w:szCs w:val="20"/>
          <w:lang w:bidi="en-US"/>
        </w:rPr>
      </w:pPr>
      <w:bookmarkStart w:id="53" w:name="_DV_C115"/>
      <w:bookmarkEnd w:id="52"/>
      <w:r w:rsidRPr="00712F3C">
        <w:rPr>
          <w:rFonts w:ascii="Times New Roman" w:eastAsia="Calibri" w:hAnsi="Times New Roman"/>
          <w:sz w:val="20"/>
          <w:szCs w:val="20"/>
          <w:lang w:bidi="en-US"/>
        </w:rPr>
        <w:t>equity shares of a company: the least of 10% of the investee company’s subscribed capital (face value) or 10% of the respective fund in case of life insurer or 10% of investment assets in case of general insurer or reinsurer;</w:t>
      </w:r>
      <w:bookmarkStart w:id="54" w:name="_DV_C116"/>
      <w:bookmarkEnd w:id="53"/>
    </w:p>
    <w:p w14:paraId="56B99138" w14:textId="77777777" w:rsidR="004047F2" w:rsidRPr="00712F3C" w:rsidRDefault="004047F2">
      <w:pPr>
        <w:widowControl w:val="0"/>
        <w:numPr>
          <w:ilvl w:val="0"/>
          <w:numId w:val="289"/>
        </w:numPr>
        <w:tabs>
          <w:tab w:val="left" w:pos="450"/>
        </w:tabs>
        <w:autoSpaceDE w:val="0"/>
        <w:autoSpaceDN w:val="0"/>
        <w:adjustRightInd w:val="0"/>
        <w:spacing w:after="0" w:line="240" w:lineRule="auto"/>
        <w:ind w:left="450" w:hanging="450"/>
        <w:contextualSpacing/>
        <w:jc w:val="both"/>
        <w:rPr>
          <w:rFonts w:ascii="Times New Roman" w:eastAsia="Calibri" w:hAnsi="Times New Roman"/>
          <w:sz w:val="20"/>
          <w:szCs w:val="20"/>
          <w:lang w:bidi="en-US"/>
        </w:rPr>
      </w:pPr>
      <w:bookmarkStart w:id="55" w:name="_DV_C117"/>
      <w:bookmarkEnd w:id="54"/>
      <w:r w:rsidRPr="00712F3C">
        <w:rPr>
          <w:rFonts w:ascii="Times New Roman" w:eastAsia="Calibri" w:hAnsi="Times New Roman"/>
          <w:sz w:val="20"/>
          <w:szCs w:val="20"/>
          <w:lang w:bidi="en-US"/>
        </w:rPr>
        <w:t>the entire group of the investee company: not more than 15% of the respective fund in case of a life insurer or 15% of investment assets in case of a general insurer or reinsurer or 15% of the investment assets in all companies belonging to the group, whichever is lower; and</w:t>
      </w:r>
      <w:bookmarkStart w:id="56" w:name="_DV_C118"/>
      <w:bookmarkEnd w:id="55"/>
    </w:p>
    <w:p w14:paraId="2804E2F1" w14:textId="77777777" w:rsidR="004047F2" w:rsidRPr="00712F3C" w:rsidRDefault="004047F2">
      <w:pPr>
        <w:widowControl w:val="0"/>
        <w:numPr>
          <w:ilvl w:val="0"/>
          <w:numId w:val="289"/>
        </w:numPr>
        <w:tabs>
          <w:tab w:val="left" w:pos="450"/>
        </w:tabs>
        <w:autoSpaceDE w:val="0"/>
        <w:autoSpaceDN w:val="0"/>
        <w:adjustRightInd w:val="0"/>
        <w:spacing w:after="0" w:line="240" w:lineRule="auto"/>
        <w:ind w:left="450" w:hanging="450"/>
        <w:contextualSpacing/>
        <w:jc w:val="both"/>
        <w:rPr>
          <w:rFonts w:ascii="Times New Roman" w:eastAsia="Calibri" w:hAnsi="Times New Roman"/>
          <w:sz w:val="20"/>
          <w:szCs w:val="20"/>
          <w:lang w:bidi="en-US"/>
        </w:rPr>
      </w:pPr>
      <w:bookmarkStart w:id="57" w:name="_DV_C119"/>
      <w:bookmarkEnd w:id="56"/>
      <w:r w:rsidRPr="00712F3C">
        <w:rPr>
          <w:rFonts w:ascii="Times New Roman" w:eastAsia="Calibri" w:hAnsi="Times New Roman"/>
          <w:sz w:val="20"/>
          <w:szCs w:val="20"/>
          <w:lang w:bidi="en-US"/>
        </w:rPr>
        <w:t>the industry sector in which the investee company belong to: not more than 15% of the fund of a life insurer or a general insurer or a reinsurer or 15% of the investment asset, whichever is lower.</w:t>
      </w:r>
      <w:bookmarkEnd w:id="57"/>
    </w:p>
    <w:p w14:paraId="5E8309F8"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bookmarkStart w:id="58" w:name="_DV_C120"/>
    </w:p>
    <w:p w14:paraId="642267CD"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The maximum exposure limit, in the case of an investment in equity shares, cannot exceed the lower of an amount of 10% of the investment assets of a life insurer or general insurer and the amount calculated under (1), (2) and (3) above, as the case may be. Insurance companies participating in this Issue shall comply with all applicable regulations, guidelines and circulars issued by IRDAI from time to time.</w:t>
      </w:r>
      <w:bookmarkEnd w:id="58"/>
    </w:p>
    <w:p w14:paraId="16F51537" w14:textId="77777777" w:rsidR="004047F2" w:rsidRPr="00712F3C" w:rsidRDefault="004047F2" w:rsidP="004047F2">
      <w:pPr>
        <w:widowControl w:val="0"/>
        <w:spacing w:after="0" w:line="240" w:lineRule="auto"/>
        <w:contextualSpacing/>
        <w:jc w:val="both"/>
        <w:rPr>
          <w:rFonts w:ascii="Times New Roman" w:hAnsi="Times New Roman"/>
          <w:sz w:val="20"/>
          <w:szCs w:val="20"/>
        </w:rPr>
      </w:pPr>
    </w:p>
    <w:p w14:paraId="533BAE7B" w14:textId="77777777" w:rsidR="004047F2" w:rsidRPr="00712F3C" w:rsidRDefault="004047F2" w:rsidP="004047F2">
      <w:pPr>
        <w:widowControl w:val="0"/>
        <w:spacing w:after="0" w:line="240" w:lineRule="auto"/>
        <w:contextualSpacing/>
        <w:jc w:val="both"/>
        <w:rPr>
          <w:rFonts w:ascii="Times New Roman" w:eastAsia="Calibri" w:hAnsi="Times New Roman"/>
          <w:b/>
          <w:sz w:val="20"/>
          <w:szCs w:val="20"/>
          <w:lang w:bidi="en-US"/>
        </w:rPr>
      </w:pPr>
      <w:r w:rsidRPr="00712F3C">
        <w:rPr>
          <w:rFonts w:ascii="Times New Roman" w:eastAsia="Calibri" w:hAnsi="Times New Roman"/>
          <w:b/>
          <w:sz w:val="20"/>
          <w:szCs w:val="20"/>
          <w:lang w:bidi="en-US"/>
        </w:rPr>
        <w:t>BIDS UNDER POWER OF ATTORNEY:</w:t>
      </w:r>
    </w:p>
    <w:p w14:paraId="33A173CF"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bookmarkStart w:id="59" w:name="_DV_C122"/>
    </w:p>
    <w:p w14:paraId="53E49ED8"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 xml:space="preserve">In case of Bids made pursuant to a power of attorney or by limited companies, corporate bodies, registered societies, FIIs, Mutual Funds, insurance companies and provident funds with a minimum corpus of ₹ 2500 Lakhs (subject to applicable law) and pension funds with a minimum corpus of </w:t>
      </w:r>
      <w:bookmarkStart w:id="60" w:name="_DV_C123"/>
      <w:bookmarkEnd w:id="59"/>
      <w:r w:rsidRPr="00712F3C">
        <w:rPr>
          <w:rFonts w:ascii="Times New Roman" w:eastAsia="Calibri" w:hAnsi="Times New Roman"/>
          <w:sz w:val="20"/>
          <w:szCs w:val="20"/>
          <w:lang w:bidi="en-US"/>
        </w:rPr>
        <w:t>₹2500 Lakhs, a certified copy of the power of attorney or the relevant resolution or authority, as the case may be, along with a certified copy of the memorandum of association and articles of association and/or bye laws must be lodged along with the Bid cum Application Form. Failing this, our Company reserves the right to accept or reject any Bid in whole or in part, in either case, without assigning any reasons thereof. In addition to the above, certain additional documents are required to be submitted by the following entities:</w:t>
      </w:r>
      <w:bookmarkStart w:id="61" w:name="_DV_C124"/>
      <w:bookmarkEnd w:id="60"/>
    </w:p>
    <w:p w14:paraId="04AEABB9" w14:textId="77777777" w:rsidR="004047F2" w:rsidRPr="00712F3C" w:rsidRDefault="004047F2" w:rsidP="004047F2">
      <w:pPr>
        <w:spacing w:after="0" w:line="240" w:lineRule="auto"/>
        <w:contextualSpacing/>
        <w:jc w:val="both"/>
        <w:rPr>
          <w:rFonts w:ascii="Times New Roman" w:eastAsia="Calibri" w:hAnsi="Times New Roman"/>
          <w:sz w:val="20"/>
          <w:szCs w:val="20"/>
          <w:lang w:bidi="en-US"/>
        </w:rPr>
      </w:pPr>
      <w:bookmarkStart w:id="62" w:name="_DV_C125"/>
      <w:bookmarkEnd w:id="61"/>
    </w:p>
    <w:p w14:paraId="3BFE9739" w14:textId="77777777" w:rsidR="004047F2" w:rsidRPr="00712F3C" w:rsidRDefault="004047F2">
      <w:pPr>
        <w:pStyle w:val="ListParagraph"/>
        <w:widowControl w:val="0"/>
        <w:numPr>
          <w:ilvl w:val="0"/>
          <w:numId w:val="290"/>
        </w:numPr>
        <w:suppressAutoHyphens w:val="0"/>
        <w:spacing w:line="240" w:lineRule="auto"/>
        <w:ind w:left="360" w:hanging="360"/>
        <w:contextualSpacing/>
        <w:jc w:val="both"/>
        <w:textAlignment w:val="auto"/>
        <w:rPr>
          <w:rFonts w:eastAsia="Calibri"/>
          <w:sz w:val="20"/>
          <w:szCs w:val="20"/>
          <w:lang w:bidi="en-US"/>
        </w:rPr>
      </w:pPr>
      <w:r w:rsidRPr="00712F3C">
        <w:rPr>
          <w:sz w:val="20"/>
          <w:szCs w:val="20"/>
        </w:rPr>
        <w:t xml:space="preserve">With respect to </w:t>
      </w:r>
      <w:r w:rsidRPr="00712F3C">
        <w:rPr>
          <w:rFonts w:eastAsia="Calibri"/>
          <w:sz w:val="20"/>
          <w:szCs w:val="20"/>
          <w:lang w:bidi="en-US"/>
        </w:rPr>
        <w:t>Bids</w:t>
      </w:r>
      <w:r w:rsidRPr="00712F3C">
        <w:rPr>
          <w:sz w:val="20"/>
          <w:szCs w:val="20"/>
        </w:rPr>
        <w:t xml:space="preserve"> by </w:t>
      </w:r>
      <w:r w:rsidRPr="00712F3C">
        <w:rPr>
          <w:rFonts w:eastAsia="Calibri"/>
          <w:sz w:val="20"/>
          <w:szCs w:val="20"/>
          <w:lang w:bidi="en-US"/>
        </w:rPr>
        <w:t>FIIs</w:t>
      </w:r>
      <w:r w:rsidRPr="00712F3C">
        <w:rPr>
          <w:sz w:val="20"/>
          <w:szCs w:val="20"/>
        </w:rPr>
        <w:t xml:space="preserve"> and </w:t>
      </w:r>
      <w:r w:rsidRPr="00712F3C">
        <w:rPr>
          <w:rFonts w:eastAsia="Calibri"/>
          <w:sz w:val="20"/>
          <w:szCs w:val="20"/>
          <w:lang w:bidi="en-US"/>
        </w:rPr>
        <w:t>Mutual Funds</w:t>
      </w:r>
      <w:r w:rsidRPr="00712F3C">
        <w:rPr>
          <w:sz w:val="20"/>
          <w:szCs w:val="20"/>
        </w:rPr>
        <w:t xml:space="preserve">, a certified copy of their SEBI registration certificate must be lodged along with </w:t>
      </w:r>
      <w:r w:rsidRPr="00712F3C">
        <w:rPr>
          <w:sz w:val="20"/>
          <w:szCs w:val="20"/>
        </w:rPr>
        <w:lastRenderedPageBreak/>
        <w:t xml:space="preserve">the </w:t>
      </w:r>
      <w:r w:rsidRPr="00712F3C">
        <w:rPr>
          <w:rFonts w:eastAsia="Calibri"/>
          <w:sz w:val="20"/>
          <w:szCs w:val="20"/>
          <w:lang w:bidi="en-US"/>
        </w:rPr>
        <w:t xml:space="preserve">Bid cum </w:t>
      </w:r>
      <w:r w:rsidRPr="00712F3C">
        <w:rPr>
          <w:sz w:val="20"/>
          <w:szCs w:val="20"/>
        </w:rPr>
        <w:t>Application Form.</w:t>
      </w:r>
      <w:bookmarkStart w:id="63" w:name="_DV_C126"/>
      <w:bookmarkEnd w:id="62"/>
    </w:p>
    <w:p w14:paraId="30FC3655" w14:textId="77777777" w:rsidR="004047F2" w:rsidRPr="00712F3C" w:rsidRDefault="004047F2">
      <w:pPr>
        <w:pStyle w:val="ListParagraph"/>
        <w:widowControl w:val="0"/>
        <w:numPr>
          <w:ilvl w:val="0"/>
          <w:numId w:val="290"/>
        </w:numPr>
        <w:suppressAutoHyphens w:val="0"/>
        <w:spacing w:line="240" w:lineRule="auto"/>
        <w:ind w:left="360" w:hanging="360"/>
        <w:contextualSpacing/>
        <w:jc w:val="both"/>
        <w:textAlignment w:val="auto"/>
        <w:rPr>
          <w:sz w:val="20"/>
          <w:szCs w:val="20"/>
        </w:rPr>
      </w:pPr>
      <w:bookmarkStart w:id="64" w:name="_DV_C127"/>
      <w:bookmarkEnd w:id="63"/>
      <w:r w:rsidRPr="00712F3C">
        <w:rPr>
          <w:rFonts w:eastAsia="Calibri"/>
          <w:sz w:val="20"/>
          <w:szCs w:val="20"/>
          <w:lang w:bidi="en-US"/>
        </w:rPr>
        <w:t>With respect</w:t>
      </w:r>
      <w:r w:rsidRPr="00712F3C">
        <w:rPr>
          <w:sz w:val="20"/>
          <w:szCs w:val="20"/>
        </w:rPr>
        <w:t xml:space="preserve"> to </w:t>
      </w:r>
      <w:r w:rsidRPr="00712F3C">
        <w:rPr>
          <w:rFonts w:eastAsia="Calibri"/>
          <w:sz w:val="20"/>
          <w:szCs w:val="20"/>
          <w:lang w:bidi="en-US"/>
        </w:rPr>
        <w:t>Bids</w:t>
      </w:r>
      <w:r w:rsidRPr="00712F3C">
        <w:rPr>
          <w:sz w:val="20"/>
          <w:szCs w:val="20"/>
        </w:rPr>
        <w:t xml:space="preserve"> by insurance companies registered with the </w:t>
      </w:r>
      <w:r w:rsidRPr="00712F3C">
        <w:rPr>
          <w:rFonts w:eastAsia="Calibri"/>
          <w:sz w:val="20"/>
          <w:szCs w:val="20"/>
          <w:lang w:bidi="en-US"/>
        </w:rPr>
        <w:t>Insurance Regulatory and Development Authority, in addition to the above</w:t>
      </w:r>
      <w:r w:rsidRPr="00712F3C">
        <w:rPr>
          <w:sz w:val="20"/>
          <w:szCs w:val="20"/>
        </w:rPr>
        <w:t>, a certified copy of</w:t>
      </w:r>
      <w:r w:rsidRPr="00712F3C">
        <w:rPr>
          <w:rFonts w:eastAsia="Calibri"/>
          <w:sz w:val="20"/>
          <w:szCs w:val="20"/>
          <w:lang w:bidi="en-US"/>
        </w:rPr>
        <w:t xml:space="preserve"> the</w:t>
      </w:r>
      <w:r w:rsidRPr="00712F3C">
        <w:rPr>
          <w:sz w:val="20"/>
          <w:szCs w:val="20"/>
        </w:rPr>
        <w:t xml:space="preserve"> certificate of registration issued by the </w:t>
      </w:r>
      <w:r w:rsidRPr="00712F3C">
        <w:rPr>
          <w:rFonts w:eastAsia="Calibri"/>
          <w:sz w:val="20"/>
          <w:szCs w:val="20"/>
          <w:lang w:bidi="en-US"/>
        </w:rPr>
        <w:t>Insurance Regulatory and Development Authority</w:t>
      </w:r>
      <w:r w:rsidRPr="00712F3C">
        <w:rPr>
          <w:sz w:val="20"/>
          <w:szCs w:val="20"/>
        </w:rPr>
        <w:t xml:space="preserve"> must be lodged along with the </w:t>
      </w:r>
      <w:r w:rsidRPr="00712F3C">
        <w:rPr>
          <w:rFonts w:eastAsia="Calibri"/>
          <w:sz w:val="20"/>
          <w:szCs w:val="20"/>
          <w:lang w:bidi="en-US"/>
        </w:rPr>
        <w:t>Bid cum Application Form</w:t>
      </w:r>
      <w:r w:rsidRPr="00712F3C">
        <w:rPr>
          <w:sz w:val="20"/>
          <w:szCs w:val="20"/>
        </w:rPr>
        <w:t>.</w:t>
      </w:r>
      <w:bookmarkStart w:id="65" w:name="_DV_C128"/>
      <w:bookmarkEnd w:id="64"/>
    </w:p>
    <w:p w14:paraId="56BD1F70" w14:textId="77777777" w:rsidR="004047F2" w:rsidRPr="00712F3C" w:rsidRDefault="004047F2">
      <w:pPr>
        <w:pStyle w:val="ListParagraph"/>
        <w:widowControl w:val="0"/>
        <w:numPr>
          <w:ilvl w:val="0"/>
          <w:numId w:val="290"/>
        </w:numPr>
        <w:suppressAutoHyphens w:val="0"/>
        <w:spacing w:line="240" w:lineRule="auto"/>
        <w:ind w:left="360" w:hanging="360"/>
        <w:contextualSpacing/>
        <w:jc w:val="both"/>
        <w:textAlignment w:val="auto"/>
        <w:rPr>
          <w:sz w:val="20"/>
          <w:szCs w:val="20"/>
        </w:rPr>
      </w:pPr>
      <w:bookmarkStart w:id="66" w:name="_DV_C129"/>
      <w:bookmarkEnd w:id="65"/>
      <w:r w:rsidRPr="00712F3C">
        <w:rPr>
          <w:rFonts w:eastAsia="Calibri"/>
          <w:sz w:val="20"/>
          <w:szCs w:val="20"/>
          <w:lang w:bidi="en-US"/>
        </w:rPr>
        <w:t>With respect to Bids</w:t>
      </w:r>
      <w:r w:rsidRPr="00712F3C">
        <w:rPr>
          <w:sz w:val="20"/>
          <w:szCs w:val="20"/>
        </w:rPr>
        <w:t xml:space="preserve"> made by provident funds</w:t>
      </w:r>
      <w:r w:rsidRPr="00712F3C">
        <w:rPr>
          <w:rFonts w:eastAsia="Calibri"/>
          <w:sz w:val="20"/>
          <w:szCs w:val="20"/>
          <w:lang w:bidi="en-US"/>
        </w:rPr>
        <w:t xml:space="preserve"> with a minimum corpus of ₹ 2500 Lakhs (</w:t>
      </w:r>
      <w:r w:rsidRPr="00712F3C">
        <w:rPr>
          <w:sz w:val="20"/>
          <w:szCs w:val="20"/>
        </w:rPr>
        <w:t>subject to applicable law</w:t>
      </w:r>
      <w:r w:rsidRPr="00712F3C">
        <w:rPr>
          <w:rFonts w:eastAsia="Calibri"/>
          <w:sz w:val="20"/>
          <w:szCs w:val="20"/>
          <w:lang w:bidi="en-US"/>
        </w:rPr>
        <w:t>)</w:t>
      </w:r>
      <w:r w:rsidRPr="00712F3C">
        <w:rPr>
          <w:sz w:val="20"/>
          <w:szCs w:val="20"/>
        </w:rPr>
        <w:t xml:space="preserve"> and pension funds with </w:t>
      </w:r>
      <w:r w:rsidRPr="00712F3C">
        <w:rPr>
          <w:rFonts w:eastAsia="Calibri"/>
          <w:sz w:val="20"/>
          <w:szCs w:val="20"/>
          <w:lang w:bidi="en-US"/>
        </w:rPr>
        <w:t xml:space="preserve">a </w:t>
      </w:r>
      <w:r w:rsidRPr="00712F3C">
        <w:rPr>
          <w:sz w:val="20"/>
          <w:szCs w:val="20"/>
        </w:rPr>
        <w:t xml:space="preserve">minimum corpus of </w:t>
      </w:r>
      <w:r w:rsidRPr="00712F3C">
        <w:rPr>
          <w:rFonts w:eastAsia="Calibri"/>
          <w:sz w:val="20"/>
          <w:szCs w:val="20"/>
          <w:lang w:bidi="en-US"/>
        </w:rPr>
        <w:t xml:space="preserve">₹ </w:t>
      </w:r>
      <w:r w:rsidRPr="00712F3C">
        <w:rPr>
          <w:sz w:val="20"/>
          <w:szCs w:val="20"/>
        </w:rPr>
        <w:t>2500</w:t>
      </w:r>
      <w:r w:rsidRPr="00712F3C">
        <w:rPr>
          <w:rFonts w:eastAsia="Calibri"/>
          <w:sz w:val="20"/>
          <w:szCs w:val="20"/>
          <w:lang w:bidi="en-US"/>
        </w:rPr>
        <w:t xml:space="preserve"> Lakhs</w:t>
      </w:r>
      <w:r w:rsidRPr="00712F3C">
        <w:rPr>
          <w:sz w:val="20"/>
          <w:szCs w:val="20"/>
        </w:rPr>
        <w:t xml:space="preserve">, a certified copy of a certificate from a chartered accountant certifying the corpus of the provident fund/pension fund must be lodged along with the </w:t>
      </w:r>
      <w:r w:rsidRPr="00712F3C">
        <w:rPr>
          <w:rFonts w:eastAsia="Calibri"/>
          <w:sz w:val="20"/>
          <w:szCs w:val="20"/>
          <w:lang w:bidi="en-US"/>
        </w:rPr>
        <w:t>Bid cum Application Form</w:t>
      </w:r>
      <w:r w:rsidRPr="00712F3C">
        <w:rPr>
          <w:sz w:val="20"/>
          <w:szCs w:val="20"/>
        </w:rPr>
        <w:t>.</w:t>
      </w:r>
      <w:bookmarkStart w:id="67" w:name="_DV_C130"/>
      <w:bookmarkEnd w:id="66"/>
    </w:p>
    <w:p w14:paraId="306BED3F" w14:textId="77777777" w:rsidR="004047F2" w:rsidRPr="00712F3C" w:rsidRDefault="004047F2">
      <w:pPr>
        <w:pStyle w:val="ListParagraph"/>
        <w:widowControl w:val="0"/>
        <w:numPr>
          <w:ilvl w:val="0"/>
          <w:numId w:val="290"/>
        </w:numPr>
        <w:suppressAutoHyphens w:val="0"/>
        <w:spacing w:line="240" w:lineRule="auto"/>
        <w:ind w:left="360" w:hanging="360"/>
        <w:contextualSpacing/>
        <w:jc w:val="both"/>
        <w:textAlignment w:val="auto"/>
        <w:rPr>
          <w:rFonts w:eastAsia="Calibri"/>
          <w:sz w:val="20"/>
          <w:szCs w:val="20"/>
          <w:lang w:bidi="en-US"/>
        </w:rPr>
      </w:pPr>
      <w:bookmarkStart w:id="68" w:name="_DV_C131"/>
      <w:bookmarkEnd w:id="67"/>
      <w:r w:rsidRPr="00712F3C">
        <w:rPr>
          <w:rFonts w:eastAsia="Calibri"/>
          <w:sz w:val="20"/>
          <w:szCs w:val="20"/>
          <w:lang w:bidi="en-US"/>
        </w:rPr>
        <w:t>With respect to Bids made by limited liability partnerships registered under the Limited Liability Partnership Act, 2008, a certified copy of certificate of registration issued under the Limited Liability Partnership Act, 2008, must be attached to the Bid cum Application Form</w:t>
      </w:r>
      <w:bookmarkStart w:id="69" w:name="_DV_C132"/>
      <w:bookmarkEnd w:id="68"/>
    </w:p>
    <w:p w14:paraId="37795065" w14:textId="77777777" w:rsidR="004047F2" w:rsidRPr="00712F3C" w:rsidRDefault="004047F2">
      <w:pPr>
        <w:pStyle w:val="ListParagraph"/>
        <w:widowControl w:val="0"/>
        <w:numPr>
          <w:ilvl w:val="0"/>
          <w:numId w:val="290"/>
        </w:numPr>
        <w:suppressAutoHyphens w:val="0"/>
        <w:spacing w:line="240" w:lineRule="auto"/>
        <w:ind w:left="360" w:hanging="360"/>
        <w:contextualSpacing/>
        <w:jc w:val="both"/>
        <w:textAlignment w:val="auto"/>
        <w:rPr>
          <w:rFonts w:eastAsia="Calibri"/>
          <w:sz w:val="20"/>
          <w:szCs w:val="20"/>
          <w:lang w:bidi="en-US"/>
        </w:rPr>
      </w:pPr>
      <w:bookmarkStart w:id="70" w:name="_DV_C133"/>
      <w:bookmarkEnd w:id="69"/>
      <w:r w:rsidRPr="00712F3C">
        <w:rPr>
          <w:rFonts w:eastAsia="Calibri"/>
          <w:sz w:val="20"/>
          <w:szCs w:val="20"/>
          <w:lang w:bidi="en-US"/>
        </w:rPr>
        <w:t>Our Company in consultation with the BRLM in their absolute discretion, reserves the right to relax the above condition of simultaneous lodging of the power of attorney along with the Bid cum Application form, subject to such terms and conditions that our Company and the BRLM may deem fit.</w:t>
      </w:r>
      <w:bookmarkEnd w:id="70"/>
    </w:p>
    <w:p w14:paraId="440E099C" w14:textId="77777777" w:rsidR="004047F2" w:rsidRPr="00E079C3" w:rsidRDefault="004047F2" w:rsidP="004047F2">
      <w:pPr>
        <w:widowControl w:val="0"/>
        <w:spacing w:after="0" w:line="240" w:lineRule="auto"/>
        <w:contextualSpacing/>
        <w:jc w:val="both"/>
        <w:rPr>
          <w:rFonts w:ascii="Times New Roman" w:eastAsia="Calibri" w:hAnsi="Times New Roman"/>
          <w:sz w:val="16"/>
          <w:szCs w:val="20"/>
          <w:lang w:bidi="en-US"/>
        </w:rPr>
      </w:pPr>
      <w:bookmarkStart w:id="71" w:name="_DV_C134"/>
    </w:p>
    <w:p w14:paraId="6993741F"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The above information is given for the benefit of the Bidders. Our Company, the BRLM and the Syndicate Members are not liable for any amendments or modification or changes in applicable laws or regulations, which may occur after the date of the Draft Red Herring Prospectus. Bidders are advised to make their independent investigations and Bidders are advised to ensure that any single Bid from them does not exceed the applicable investment limits or maximum number of Equity Shares that can be held by them under applicable law or regulation or as specified in the Draft Red Herring Prospectus.</w:t>
      </w:r>
      <w:bookmarkEnd w:id="71"/>
    </w:p>
    <w:p w14:paraId="58DAA9EB"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p>
    <w:p w14:paraId="57B58259" w14:textId="77777777" w:rsidR="004047F2" w:rsidRPr="00712F3C" w:rsidRDefault="004047F2" w:rsidP="004047F2">
      <w:pPr>
        <w:widowControl w:val="0"/>
        <w:spacing w:after="0" w:line="240" w:lineRule="auto"/>
        <w:contextualSpacing/>
        <w:jc w:val="both"/>
        <w:rPr>
          <w:rFonts w:ascii="Times New Roman" w:eastAsia="Calibri" w:hAnsi="Times New Roman"/>
          <w:b/>
          <w:sz w:val="20"/>
          <w:szCs w:val="20"/>
          <w:lang w:bidi="en-US"/>
        </w:rPr>
      </w:pPr>
      <w:r w:rsidRPr="00712F3C">
        <w:rPr>
          <w:rFonts w:ascii="Times New Roman" w:eastAsia="Calibri" w:hAnsi="Times New Roman"/>
          <w:b/>
          <w:sz w:val="20"/>
          <w:szCs w:val="20"/>
          <w:lang w:bidi="en-US"/>
        </w:rPr>
        <w:t>BIDS BY PROVIDENT FUNDS / PENSION FUNDS:</w:t>
      </w:r>
    </w:p>
    <w:p w14:paraId="69567256" w14:textId="77777777" w:rsidR="004047F2" w:rsidRPr="00E079C3" w:rsidRDefault="004047F2" w:rsidP="004047F2">
      <w:pPr>
        <w:widowControl w:val="0"/>
        <w:spacing w:after="0" w:line="240" w:lineRule="auto"/>
        <w:contextualSpacing/>
        <w:jc w:val="both"/>
        <w:rPr>
          <w:rFonts w:ascii="Times New Roman" w:eastAsia="Calibri" w:hAnsi="Times New Roman"/>
          <w:sz w:val="16"/>
          <w:szCs w:val="20"/>
          <w:lang w:bidi="en-US"/>
        </w:rPr>
      </w:pPr>
      <w:bookmarkStart w:id="72" w:name="_DV_C135"/>
    </w:p>
    <w:p w14:paraId="346D3D90"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In case of Bids made by provident funds with minimum corpus of ₹ 25 Crore (subject to applicable law) and pension funds with minimum corpus of ₹ 25 Crore, a certified copy of certificate from a chartered accountant certifying the corpus of the provident fund/ pension fund must be lodged along with the Bid cum Application Form. Failing this, the Company reserves the right to accept or reject any bid in whole or in part, in either case, without assigning any reason thereof.</w:t>
      </w:r>
      <w:bookmarkEnd w:id="72"/>
    </w:p>
    <w:p w14:paraId="5DDF7B80"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p>
    <w:p w14:paraId="6191D48F"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b/>
          <w:sz w:val="20"/>
          <w:szCs w:val="20"/>
          <w:lang w:bidi="en-US"/>
        </w:rPr>
        <w:t>BIDS BY BANKING COMPANY:</w:t>
      </w:r>
    </w:p>
    <w:p w14:paraId="329463D7" w14:textId="77777777" w:rsidR="004047F2" w:rsidRPr="00E079C3" w:rsidRDefault="004047F2" w:rsidP="004047F2">
      <w:pPr>
        <w:widowControl w:val="0"/>
        <w:spacing w:after="0" w:line="240" w:lineRule="auto"/>
        <w:contextualSpacing/>
        <w:jc w:val="both"/>
        <w:rPr>
          <w:rFonts w:ascii="Times New Roman" w:eastAsia="Calibri" w:hAnsi="Times New Roman"/>
          <w:sz w:val="16"/>
          <w:szCs w:val="20"/>
          <w:lang w:bidi="en-US"/>
        </w:rPr>
      </w:pPr>
      <w:bookmarkStart w:id="73" w:name="_DV_C139"/>
    </w:p>
    <w:p w14:paraId="01C70C8C"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In case of Bids made by banking companies registered with RBI, certified copies of: (i) the certificate of registration issued by RBI, and (ii) the approval of such banking company’s investment committee are required to be attached to the Bid cum Application Form, failing which our Company reserves the right to reject any Bid by a banking company without assigning any reason.</w:t>
      </w:r>
      <w:bookmarkStart w:id="74" w:name="_DV_C140"/>
      <w:bookmarkEnd w:id="73"/>
    </w:p>
    <w:p w14:paraId="4C38F761" w14:textId="77777777" w:rsidR="004047F2" w:rsidRPr="00E079C3" w:rsidRDefault="004047F2" w:rsidP="004047F2">
      <w:pPr>
        <w:widowControl w:val="0"/>
        <w:spacing w:after="0" w:line="240" w:lineRule="auto"/>
        <w:contextualSpacing/>
        <w:jc w:val="both"/>
        <w:rPr>
          <w:rFonts w:ascii="Times New Roman" w:eastAsia="Calibri" w:hAnsi="Times New Roman"/>
          <w:sz w:val="16"/>
          <w:szCs w:val="20"/>
          <w:lang w:bidi="en-US"/>
        </w:rPr>
      </w:pPr>
    </w:p>
    <w:p w14:paraId="407717A3" w14:textId="2397C17A" w:rsidR="004047F2" w:rsidRDefault="004047F2" w:rsidP="004047F2">
      <w:pPr>
        <w:widowControl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The investment limit for banking companies in non-financial services companies as per the Banking Regulation Act, 1949, as amended (the “Banking Regulation Act”), and the Reserve Bank of India (Financial Services provided by Banks) Directions, 2016, is 10% of the paid-up share capital of the investee company not being its subsidiary engaged in non-financial services or 10% of the banks’ own paid-up share capital and reserves, whichever is lower. However, a banking company would be permitted to invest in excess of 10% but not exceeding 30% of the paidup share capital of such investee company if (i) the investee company is engaged in non-financial activities permitted for banks in terms of Section 6(1) of the Banking Regulation Act, or (ii) the additional acquisition is through restructuring of debt / corporate debt restructuring / strategic debt restructuring, or to protect the banks’ interest on loans / investments made to a company. The bank is required to submit a time bound action plan for disposal of such shares within a specified period to RBI. A banking company would require a prior approval of RBI to make (i) investment in a subsidiary and a financial services company that is not a subsidiary (with certain exception prescribed), and (ii) investment in a nonfinancial services company in excess of 10% of such investee company’s paid</w:t>
      </w:r>
      <w:r w:rsidR="00636B58">
        <w:rPr>
          <w:rFonts w:ascii="Times New Roman" w:eastAsia="Calibri" w:hAnsi="Times New Roman"/>
          <w:sz w:val="20"/>
          <w:szCs w:val="20"/>
          <w:lang w:bidi="en-US"/>
        </w:rPr>
        <w:t>-</w:t>
      </w:r>
      <w:r w:rsidRPr="00712F3C">
        <w:rPr>
          <w:rFonts w:ascii="Times New Roman" w:eastAsia="Calibri" w:hAnsi="Times New Roman"/>
          <w:sz w:val="20"/>
          <w:szCs w:val="20"/>
          <w:lang w:bidi="en-US"/>
        </w:rPr>
        <w:t>up share capital as stated in 5(a)(v)(c)(i) of the Reserve Bank of India (Financial Services provided by Banks) Directions, 2016.</w:t>
      </w:r>
      <w:bookmarkEnd w:id="74"/>
    </w:p>
    <w:p w14:paraId="77BC1BEA" w14:textId="77777777" w:rsidR="00636B58" w:rsidRPr="00712F3C" w:rsidRDefault="00636B58" w:rsidP="004047F2">
      <w:pPr>
        <w:widowControl w:val="0"/>
        <w:spacing w:after="0" w:line="240" w:lineRule="auto"/>
        <w:contextualSpacing/>
        <w:jc w:val="both"/>
        <w:rPr>
          <w:rFonts w:ascii="Times New Roman" w:eastAsia="Calibri" w:hAnsi="Times New Roman"/>
          <w:sz w:val="20"/>
          <w:szCs w:val="20"/>
          <w:lang w:bidi="en-US"/>
        </w:rPr>
      </w:pPr>
    </w:p>
    <w:p w14:paraId="33D29910" w14:textId="77777777" w:rsidR="004047F2" w:rsidRPr="00712F3C" w:rsidRDefault="004047F2" w:rsidP="004047F2">
      <w:pPr>
        <w:widowControl w:val="0"/>
        <w:spacing w:after="0" w:line="240" w:lineRule="auto"/>
        <w:contextualSpacing/>
        <w:jc w:val="both"/>
        <w:rPr>
          <w:rFonts w:ascii="Times New Roman" w:eastAsia="Calibri" w:hAnsi="Times New Roman"/>
          <w:b/>
          <w:sz w:val="20"/>
          <w:szCs w:val="20"/>
          <w:lang w:bidi="en-US"/>
        </w:rPr>
      </w:pPr>
      <w:r w:rsidRPr="00712F3C">
        <w:rPr>
          <w:rFonts w:ascii="Times New Roman" w:eastAsia="Calibri" w:hAnsi="Times New Roman"/>
          <w:b/>
          <w:sz w:val="20"/>
          <w:szCs w:val="20"/>
          <w:lang w:bidi="en-US"/>
        </w:rPr>
        <w:t>BIDS BY SCSB’S:</w:t>
      </w:r>
    </w:p>
    <w:p w14:paraId="3146D447"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bookmarkStart w:id="75" w:name="_DV_C142"/>
    </w:p>
    <w:p w14:paraId="054A7CFE"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SCSBs participating in the Issue are required to comply with the terms of the SEBI circulars dated September 13, 2012 and January 2, 2013. Such SCSBs are required to ensure that for making Bid cum Applications on their own account using ASBA, they should have a separate account in their own name with any other SEBI registered SCSBs. Further, such account shall be used solely for the purpose of making Bid cum application in public issues and clear demarcated funds should be available in such account for such Bid cum applications.</w:t>
      </w:r>
      <w:bookmarkEnd w:id="75"/>
    </w:p>
    <w:p w14:paraId="15A9BD8B"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p>
    <w:p w14:paraId="2BD949D9" w14:textId="77777777" w:rsidR="004047F2" w:rsidRPr="00712F3C" w:rsidRDefault="004047F2" w:rsidP="004047F2">
      <w:pPr>
        <w:widowControl w:val="0"/>
        <w:spacing w:after="0" w:line="240" w:lineRule="auto"/>
        <w:contextualSpacing/>
        <w:jc w:val="both"/>
        <w:rPr>
          <w:rFonts w:ascii="Times New Roman" w:eastAsia="Calibri" w:hAnsi="Times New Roman"/>
          <w:b/>
          <w:sz w:val="20"/>
          <w:szCs w:val="20"/>
          <w:lang w:bidi="en-US"/>
        </w:rPr>
      </w:pPr>
      <w:r w:rsidRPr="00712F3C">
        <w:rPr>
          <w:rFonts w:ascii="Times New Roman" w:eastAsia="Calibri" w:hAnsi="Times New Roman"/>
          <w:b/>
          <w:sz w:val="20"/>
          <w:szCs w:val="20"/>
          <w:lang w:bidi="en-US"/>
        </w:rPr>
        <w:t>ISSUANCE OF A CONFIRMATION NOTE (“CAN”) AND ALLOTMENT IN THE ISSUE:</w:t>
      </w:r>
    </w:p>
    <w:p w14:paraId="49F2E731"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p>
    <w:p w14:paraId="069C2915" w14:textId="77777777" w:rsidR="004047F2" w:rsidRPr="00712F3C" w:rsidRDefault="004047F2">
      <w:pPr>
        <w:pStyle w:val="ListParagraph"/>
        <w:widowControl w:val="0"/>
        <w:numPr>
          <w:ilvl w:val="0"/>
          <w:numId w:val="291"/>
        </w:numPr>
        <w:suppressAutoHyphens w:val="0"/>
        <w:spacing w:line="240" w:lineRule="auto"/>
        <w:ind w:left="720" w:hanging="450"/>
        <w:contextualSpacing/>
        <w:jc w:val="both"/>
        <w:textAlignment w:val="auto"/>
        <w:rPr>
          <w:rFonts w:eastAsia="Calibri"/>
          <w:sz w:val="20"/>
          <w:szCs w:val="20"/>
          <w:lang w:bidi="en-US"/>
        </w:rPr>
      </w:pPr>
      <w:bookmarkStart w:id="76" w:name="_DV_C145"/>
      <w:r w:rsidRPr="00712F3C">
        <w:rPr>
          <w:rFonts w:eastAsia="Calibri"/>
          <w:sz w:val="20"/>
          <w:szCs w:val="20"/>
          <w:lang w:bidi="en-US"/>
        </w:rPr>
        <w:t>Upon approval of the basis of allotment by the Designated Stock Exchange, the BRLM or Registrar to the Issue shall send to the SCSBs a list of their Bidders who have been allocated Equity Shares in the Issue.</w:t>
      </w:r>
      <w:bookmarkEnd w:id="76"/>
    </w:p>
    <w:p w14:paraId="2FE0BBC8" w14:textId="77777777" w:rsidR="004047F2" w:rsidRPr="00712F3C" w:rsidRDefault="004047F2">
      <w:pPr>
        <w:pStyle w:val="ListParagraph"/>
        <w:widowControl w:val="0"/>
        <w:numPr>
          <w:ilvl w:val="0"/>
          <w:numId w:val="291"/>
        </w:numPr>
        <w:suppressAutoHyphens w:val="0"/>
        <w:spacing w:line="240" w:lineRule="auto"/>
        <w:ind w:left="720" w:hanging="450"/>
        <w:contextualSpacing/>
        <w:jc w:val="both"/>
        <w:textAlignment w:val="auto"/>
        <w:rPr>
          <w:rFonts w:eastAsia="Calibri"/>
          <w:sz w:val="20"/>
          <w:szCs w:val="20"/>
          <w:lang w:bidi="en-US"/>
        </w:rPr>
      </w:pPr>
      <w:bookmarkStart w:id="77" w:name="_DV_C147"/>
      <w:r w:rsidRPr="00712F3C">
        <w:rPr>
          <w:rFonts w:eastAsia="Calibri"/>
          <w:sz w:val="20"/>
          <w:szCs w:val="20"/>
          <w:lang w:bidi="en-US"/>
        </w:rPr>
        <w:t>The Registrar will then dispatch a CAN to their Bidders who have been allocated Equity Shares in the Issue. The dispatch of a CAN shall be deemed a valid, binding and irrevocable contract for the Bidder</w:t>
      </w:r>
      <w:bookmarkEnd w:id="77"/>
    </w:p>
    <w:p w14:paraId="5B90C77D" w14:textId="77777777" w:rsidR="004047F2" w:rsidRPr="00712F3C" w:rsidRDefault="004047F2" w:rsidP="004047F2">
      <w:pPr>
        <w:spacing w:after="0" w:line="240" w:lineRule="auto"/>
        <w:contextualSpacing/>
        <w:jc w:val="both"/>
        <w:rPr>
          <w:rFonts w:ascii="Times New Roman" w:eastAsia="Calibri" w:hAnsi="Times New Roman"/>
          <w:sz w:val="20"/>
          <w:szCs w:val="20"/>
        </w:rPr>
      </w:pPr>
    </w:p>
    <w:p w14:paraId="5C41EC76" w14:textId="77777777" w:rsidR="004047F2" w:rsidRPr="00712F3C" w:rsidRDefault="004047F2" w:rsidP="004047F2">
      <w:pPr>
        <w:widowControl w:val="0"/>
        <w:spacing w:after="0" w:line="240" w:lineRule="auto"/>
        <w:contextualSpacing/>
        <w:jc w:val="both"/>
        <w:rPr>
          <w:rFonts w:ascii="Times New Roman" w:eastAsia="Calibri" w:hAnsi="Times New Roman"/>
          <w:b/>
          <w:sz w:val="20"/>
          <w:szCs w:val="20"/>
          <w:u w:val="single"/>
        </w:rPr>
      </w:pPr>
      <w:r w:rsidRPr="00712F3C">
        <w:rPr>
          <w:rFonts w:ascii="Times New Roman" w:eastAsia="Calibri" w:hAnsi="Times New Roman"/>
          <w:b/>
          <w:sz w:val="20"/>
          <w:szCs w:val="20"/>
          <w:u w:val="single"/>
        </w:rPr>
        <w:t>Issue Procedure for Application Supported by Blocked Account (ASBA) Bidders</w:t>
      </w:r>
    </w:p>
    <w:p w14:paraId="681953D7"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p>
    <w:p w14:paraId="2EB24B4E"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 xml:space="preserve">In accordance with the SEBI Circular No. CIR/CFD/POLICYCELL/11/2015 dated November 10, 2015 all the Bidders have to compulsorily apply through the ASBA Process. Our Company and the Book Running Lead Manager are not liable for any </w:t>
      </w:r>
      <w:r w:rsidRPr="00712F3C">
        <w:rPr>
          <w:rFonts w:ascii="Times New Roman" w:eastAsia="Calibri" w:hAnsi="Times New Roman"/>
          <w:sz w:val="20"/>
          <w:szCs w:val="20"/>
          <w:lang w:bidi="en-US"/>
        </w:rPr>
        <w:lastRenderedPageBreak/>
        <w:t>amendments, modifications, or changes in applicable laws or regulations, which may occur after the date of this Draft Red Herring Prospectus. ASBA Bidders are advised to make their independent investigations and to ensure that the ASBA Bid Cum Application Form is correctly filled up, as described in this section.</w:t>
      </w:r>
    </w:p>
    <w:p w14:paraId="08FFADE8"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p>
    <w:p w14:paraId="53BF4418"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 xml:space="preserve">The lists of banks that have been notified by SEBI to act as SCSB (Self Certified Syndicate Banks) for the ASBA Process are provided on </w:t>
      </w:r>
      <w:hyperlink r:id="rId100" w:history="1">
        <w:r w:rsidRPr="00712F3C">
          <w:rPr>
            <w:rFonts w:ascii="Times New Roman" w:eastAsia="Calibri" w:hAnsi="Times New Roman"/>
            <w:color w:val="0000FF"/>
            <w:sz w:val="20"/>
            <w:szCs w:val="20"/>
            <w:u w:val="single"/>
          </w:rPr>
          <w:t>https://www.sebi.gov.in/sebiweb/other/OtherAction.do?doRecognised=yes</w:t>
        </w:r>
      </w:hyperlink>
      <w:r w:rsidRPr="00712F3C">
        <w:rPr>
          <w:rFonts w:ascii="Times New Roman" w:eastAsia="Calibri" w:hAnsi="Times New Roman"/>
          <w:sz w:val="20"/>
          <w:szCs w:val="20"/>
          <w:lang w:bidi="en-US"/>
        </w:rPr>
        <w:t>. For details on designated branches of SCSB collecting the Bid Cum Application Form, please refer the above-mentioned SEBI link.</w:t>
      </w:r>
    </w:p>
    <w:p w14:paraId="6BA42A01" w14:textId="77777777" w:rsidR="004047F2" w:rsidRPr="00712F3C" w:rsidRDefault="004047F2" w:rsidP="004047F2">
      <w:pPr>
        <w:spacing w:after="0" w:line="240" w:lineRule="auto"/>
        <w:contextualSpacing/>
        <w:jc w:val="both"/>
        <w:rPr>
          <w:rFonts w:ascii="Times New Roman" w:eastAsia="Calibri" w:hAnsi="Times New Roman"/>
          <w:sz w:val="20"/>
          <w:szCs w:val="20"/>
        </w:rPr>
      </w:pPr>
    </w:p>
    <w:p w14:paraId="13EC47AD" w14:textId="77777777" w:rsidR="004047F2" w:rsidRPr="00712F3C" w:rsidRDefault="004047F2" w:rsidP="004047F2">
      <w:pPr>
        <w:spacing w:after="0" w:line="240" w:lineRule="auto"/>
        <w:contextualSpacing/>
        <w:jc w:val="both"/>
        <w:rPr>
          <w:rFonts w:ascii="Times New Roman" w:eastAsia="Calibri" w:hAnsi="Times New Roman"/>
          <w:b/>
          <w:sz w:val="20"/>
          <w:szCs w:val="20"/>
          <w:u w:val="single"/>
        </w:rPr>
      </w:pPr>
      <w:r w:rsidRPr="00712F3C">
        <w:rPr>
          <w:rFonts w:ascii="Times New Roman" w:eastAsia="Calibri" w:hAnsi="Times New Roman"/>
          <w:b/>
          <w:sz w:val="20"/>
          <w:szCs w:val="20"/>
          <w:u w:val="single"/>
        </w:rPr>
        <w:t>Terms of payment</w:t>
      </w:r>
    </w:p>
    <w:p w14:paraId="6A866D1F" w14:textId="77777777" w:rsidR="004047F2" w:rsidRPr="00712F3C" w:rsidRDefault="004047F2" w:rsidP="004047F2">
      <w:pPr>
        <w:spacing w:after="0" w:line="240" w:lineRule="auto"/>
        <w:contextualSpacing/>
        <w:jc w:val="both"/>
        <w:rPr>
          <w:rFonts w:ascii="Times New Roman" w:eastAsia="Calibri" w:hAnsi="Times New Roman"/>
          <w:b/>
          <w:sz w:val="20"/>
          <w:szCs w:val="20"/>
          <w:u w:val="single"/>
        </w:rPr>
      </w:pPr>
    </w:p>
    <w:p w14:paraId="42151DB8" w14:textId="77777777" w:rsidR="004047F2" w:rsidRPr="00712F3C" w:rsidRDefault="004047F2" w:rsidP="004047F2">
      <w:pPr>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The entire Issue price of ₹ [●] per share is payable on application. In case of allotment of lesser number of Equity Shares than the number applied, the Registrar shall instruct the SCSBs to unblock the excess amount paid on Application to the Bidders.</w:t>
      </w:r>
    </w:p>
    <w:p w14:paraId="3F22056B" w14:textId="77777777" w:rsidR="004047F2" w:rsidRPr="00712F3C" w:rsidRDefault="004047F2" w:rsidP="004047F2">
      <w:pPr>
        <w:spacing w:after="0" w:line="240" w:lineRule="auto"/>
        <w:contextualSpacing/>
        <w:jc w:val="both"/>
        <w:rPr>
          <w:rFonts w:ascii="Times New Roman" w:eastAsia="Calibri" w:hAnsi="Times New Roman"/>
          <w:sz w:val="20"/>
          <w:szCs w:val="20"/>
        </w:rPr>
      </w:pPr>
    </w:p>
    <w:p w14:paraId="1736B117" w14:textId="77777777" w:rsidR="004047F2" w:rsidRPr="00712F3C" w:rsidRDefault="004047F2" w:rsidP="004047F2">
      <w:pPr>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SCSBs will transfer the amount as per the instruction of the Registrar to the Public Issue Account, the balance amount after transfer will be unblocked by the SCSBs.</w:t>
      </w:r>
    </w:p>
    <w:p w14:paraId="28348351" w14:textId="77777777" w:rsidR="004047F2" w:rsidRPr="00712F3C" w:rsidRDefault="004047F2" w:rsidP="004047F2">
      <w:pPr>
        <w:spacing w:after="0" w:line="240" w:lineRule="auto"/>
        <w:contextualSpacing/>
        <w:jc w:val="both"/>
        <w:rPr>
          <w:rFonts w:ascii="Times New Roman" w:eastAsia="Calibri" w:hAnsi="Times New Roman"/>
          <w:sz w:val="20"/>
          <w:szCs w:val="20"/>
        </w:rPr>
      </w:pPr>
    </w:p>
    <w:p w14:paraId="019E8A9A" w14:textId="77777777" w:rsidR="004047F2" w:rsidRPr="00712F3C" w:rsidRDefault="004047F2" w:rsidP="004047F2">
      <w:pPr>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The Bidders should note that the arrangement with Bankers to the Issue or the Registrar is not prescribed by SEBI and has been established as an arrangement between our Company, Banker to the Issue and the Registrar to the Issue to facilitate collections from the Bidders.</w:t>
      </w:r>
    </w:p>
    <w:p w14:paraId="3A37F70F" w14:textId="77777777" w:rsidR="004047F2" w:rsidRPr="00712F3C" w:rsidRDefault="004047F2" w:rsidP="004047F2">
      <w:pPr>
        <w:spacing w:after="0" w:line="240" w:lineRule="auto"/>
        <w:contextualSpacing/>
        <w:jc w:val="both"/>
        <w:rPr>
          <w:rFonts w:ascii="Times New Roman" w:eastAsia="Calibri" w:hAnsi="Times New Roman"/>
          <w:sz w:val="20"/>
          <w:szCs w:val="20"/>
        </w:rPr>
      </w:pPr>
    </w:p>
    <w:p w14:paraId="100DCE60" w14:textId="77777777" w:rsidR="004047F2" w:rsidRPr="00712F3C" w:rsidRDefault="004047F2" w:rsidP="004047F2">
      <w:pPr>
        <w:spacing w:after="0" w:line="240" w:lineRule="auto"/>
        <w:contextualSpacing/>
        <w:jc w:val="both"/>
        <w:rPr>
          <w:rFonts w:ascii="Times New Roman" w:eastAsia="Calibri" w:hAnsi="Times New Roman"/>
          <w:b/>
          <w:sz w:val="20"/>
          <w:szCs w:val="20"/>
          <w:u w:val="single"/>
        </w:rPr>
      </w:pPr>
      <w:r w:rsidRPr="00712F3C">
        <w:rPr>
          <w:rFonts w:ascii="Times New Roman" w:eastAsia="Calibri" w:hAnsi="Times New Roman"/>
          <w:b/>
          <w:sz w:val="20"/>
          <w:szCs w:val="20"/>
          <w:u w:val="single"/>
        </w:rPr>
        <w:t xml:space="preserve">Payment mechanism </w:t>
      </w:r>
    </w:p>
    <w:p w14:paraId="7CB2E23B" w14:textId="77777777" w:rsidR="004047F2" w:rsidRPr="00712F3C" w:rsidRDefault="004047F2" w:rsidP="004047F2">
      <w:pPr>
        <w:spacing w:after="0" w:line="240" w:lineRule="auto"/>
        <w:contextualSpacing/>
        <w:jc w:val="both"/>
        <w:rPr>
          <w:rFonts w:ascii="Times New Roman" w:eastAsia="Calibri" w:hAnsi="Times New Roman"/>
          <w:b/>
          <w:sz w:val="20"/>
          <w:szCs w:val="20"/>
          <w:u w:val="single"/>
        </w:rPr>
      </w:pPr>
    </w:p>
    <w:p w14:paraId="759DFBD3" w14:textId="77777777" w:rsidR="004047F2" w:rsidRPr="00712F3C" w:rsidRDefault="004047F2" w:rsidP="004047F2">
      <w:pPr>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The Bidders shall specify the bank account number in their Bid Cum Application Form and the SCSBs shall block an amount equivalent to the Application Amount in the bank account specified in the Bid Cum Application Form. The SCSB shall keep the Application Amount in the relevant bank account blocked until withdrawal/ rejection of the Application or receipt of instructions from the Registrar to unblock the Application Amount. However, Non-Retail Bidders shall neither withdraw nor lower the size of their applications at any stage. In the event of withdrawal or rejection of the Bid Cum Application Form or for unsuccessful Bid Cum Application Forms, the Registrar to the Issue shall give instructions to the SCSBs to unblock the application money in the relevant bank account within one day of receipt of such instruction. The Application Amount shall remain blocked in the ASBA Account until finalization of the Basis of Allotment in the Issue and consequent transfer of the Application Amount to the Public Issue Account, or until withdrawal/ failure of the Issue or until rejection of the Application by the ASBA Bidder, as the case may be.</w:t>
      </w:r>
    </w:p>
    <w:p w14:paraId="48D2BA60" w14:textId="77777777" w:rsidR="004047F2" w:rsidRPr="00712F3C" w:rsidRDefault="004047F2" w:rsidP="004047F2">
      <w:pPr>
        <w:spacing w:after="0" w:line="240" w:lineRule="auto"/>
        <w:contextualSpacing/>
        <w:jc w:val="both"/>
        <w:rPr>
          <w:rFonts w:ascii="Times New Roman" w:eastAsia="Calibri" w:hAnsi="Times New Roman"/>
          <w:sz w:val="20"/>
          <w:szCs w:val="20"/>
        </w:rPr>
      </w:pPr>
    </w:p>
    <w:p w14:paraId="5744BDEE" w14:textId="77777777" w:rsidR="004047F2" w:rsidRPr="00712F3C" w:rsidRDefault="004047F2" w:rsidP="004047F2">
      <w:pPr>
        <w:autoSpaceDE w:val="0"/>
        <w:autoSpaceDN w:val="0"/>
        <w:adjustRightInd w:val="0"/>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Please note that, in terms of SEBI Circular No. CIR/CFD/POLICYCELL/11/2015 dated November 10, 2015 and the SEBI (Issue of Capital and Disclosure Requirements) Regulations, 2018, all the investors applying in a public Issue shall use only Application Supported by Blocked Amount (ASBA) process for application providing details of the bank account which will be blocked by the Self-Certified Syndicate Banks (SCSBs) for the same. Further, pursuant to SEBI Circular No. SEBI/HO/CFD/DIL2/CIR/P/2018/138 dated November 01, 2018, Retail Individual Investors applying in public Issue have to use UPI as a payment mechanism with Application Supported by Blocked Amount for making application.</w:t>
      </w:r>
    </w:p>
    <w:p w14:paraId="03373120" w14:textId="77777777" w:rsidR="004047F2" w:rsidRPr="00712F3C" w:rsidRDefault="004047F2" w:rsidP="004047F2">
      <w:pPr>
        <w:spacing w:after="0" w:line="240" w:lineRule="auto"/>
        <w:jc w:val="both"/>
        <w:rPr>
          <w:rFonts w:ascii="Times New Roman" w:eastAsia="Calibri" w:hAnsi="Times New Roman"/>
          <w:i/>
          <w:sz w:val="20"/>
          <w:szCs w:val="20"/>
        </w:rPr>
      </w:pPr>
    </w:p>
    <w:p w14:paraId="77644E0C" w14:textId="77777777" w:rsidR="004047F2" w:rsidRPr="00712F3C" w:rsidRDefault="004047F2" w:rsidP="004047F2">
      <w:pPr>
        <w:autoSpaceDE w:val="0"/>
        <w:autoSpaceDN w:val="0"/>
        <w:adjustRightInd w:val="0"/>
        <w:spacing w:after="0" w:line="240" w:lineRule="auto"/>
        <w:rPr>
          <w:rFonts w:ascii="Times New Roman" w:hAnsi="Times New Roman"/>
          <w:b/>
          <w:bCs/>
          <w:sz w:val="20"/>
          <w:szCs w:val="20"/>
          <w:u w:val="single"/>
        </w:rPr>
      </w:pPr>
      <w:r w:rsidRPr="00712F3C">
        <w:rPr>
          <w:rFonts w:ascii="Times New Roman" w:hAnsi="Times New Roman"/>
          <w:b/>
          <w:bCs/>
          <w:sz w:val="20"/>
          <w:szCs w:val="20"/>
          <w:u w:val="single"/>
        </w:rPr>
        <w:t>Payment into Escrow Account for Anchor Investors</w:t>
      </w:r>
    </w:p>
    <w:p w14:paraId="5E130FC1" w14:textId="77777777" w:rsidR="004047F2" w:rsidRPr="00712F3C" w:rsidRDefault="004047F2" w:rsidP="004047F2">
      <w:pPr>
        <w:autoSpaceDE w:val="0"/>
        <w:autoSpaceDN w:val="0"/>
        <w:adjustRightInd w:val="0"/>
        <w:spacing w:after="0" w:line="240" w:lineRule="auto"/>
        <w:jc w:val="both"/>
        <w:rPr>
          <w:rFonts w:ascii="Times New Roman" w:hAnsi="Times New Roman"/>
          <w:sz w:val="20"/>
          <w:szCs w:val="20"/>
        </w:rPr>
      </w:pPr>
    </w:p>
    <w:p w14:paraId="1C505787" w14:textId="77777777" w:rsidR="004047F2" w:rsidRPr="00712F3C" w:rsidRDefault="004047F2" w:rsidP="004047F2">
      <w:pPr>
        <w:autoSpaceDE w:val="0"/>
        <w:autoSpaceDN w:val="0"/>
        <w:adjustRightInd w:val="0"/>
        <w:spacing w:after="0" w:line="240" w:lineRule="auto"/>
        <w:jc w:val="both"/>
        <w:rPr>
          <w:rFonts w:ascii="Times New Roman" w:hAnsi="Times New Roman"/>
          <w:sz w:val="20"/>
          <w:szCs w:val="20"/>
        </w:rPr>
      </w:pPr>
      <w:r w:rsidRPr="00712F3C">
        <w:rPr>
          <w:rFonts w:ascii="Times New Roman" w:hAnsi="Times New Roman"/>
          <w:sz w:val="20"/>
          <w:szCs w:val="20"/>
        </w:rPr>
        <w:t>All the investors other than Anchor Investors are required to bid through ASBA Mode. Anchor Investors are requested to note the following:</w:t>
      </w:r>
    </w:p>
    <w:p w14:paraId="513A858C" w14:textId="77777777" w:rsidR="004047F2" w:rsidRPr="00712F3C" w:rsidRDefault="004047F2" w:rsidP="004047F2">
      <w:pPr>
        <w:autoSpaceDE w:val="0"/>
        <w:autoSpaceDN w:val="0"/>
        <w:adjustRightInd w:val="0"/>
        <w:spacing w:after="0" w:line="240" w:lineRule="auto"/>
        <w:jc w:val="both"/>
        <w:rPr>
          <w:rFonts w:ascii="Times New Roman" w:hAnsi="Times New Roman"/>
          <w:sz w:val="20"/>
          <w:szCs w:val="20"/>
        </w:rPr>
      </w:pPr>
      <w:r w:rsidRPr="00712F3C">
        <w:rPr>
          <w:rFonts w:ascii="Times New Roman" w:hAnsi="Times New Roman"/>
          <w:sz w:val="20"/>
          <w:szCs w:val="20"/>
        </w:rPr>
        <w:t>Our Company in consultation with the Book Running Lead Manager, in its absolute discretion, will decide the list of Anchor Investors to whom the CAN will be sent, pursuant to which the details of the Equity Shares allocated to them in their respective names will be notified to such Anchor Investors. For Anchor Investors, the payment instruments for payment into the Escrow Account should be drawn in favour of:</w:t>
      </w:r>
    </w:p>
    <w:p w14:paraId="4D222BD8" w14:textId="77777777" w:rsidR="004047F2" w:rsidRPr="00712F3C" w:rsidRDefault="004047F2" w:rsidP="004047F2">
      <w:pPr>
        <w:autoSpaceDE w:val="0"/>
        <w:autoSpaceDN w:val="0"/>
        <w:adjustRightInd w:val="0"/>
        <w:spacing w:after="0" w:line="240" w:lineRule="auto"/>
        <w:jc w:val="both"/>
        <w:rPr>
          <w:rFonts w:ascii="Times New Roman" w:hAnsi="Times New Roman"/>
          <w:sz w:val="20"/>
          <w:szCs w:val="20"/>
        </w:rPr>
      </w:pPr>
    </w:p>
    <w:p w14:paraId="32F8CB18" w14:textId="30AE5EF6" w:rsidR="004047F2" w:rsidRPr="00712F3C" w:rsidRDefault="004047F2">
      <w:pPr>
        <w:numPr>
          <w:ilvl w:val="1"/>
          <w:numId w:val="308"/>
        </w:numPr>
        <w:autoSpaceDE w:val="0"/>
        <w:autoSpaceDN w:val="0"/>
        <w:adjustRightInd w:val="0"/>
        <w:spacing w:after="0" w:line="240" w:lineRule="auto"/>
        <w:ind w:left="360"/>
        <w:jc w:val="both"/>
        <w:rPr>
          <w:rFonts w:ascii="Times New Roman" w:hAnsi="Times New Roman"/>
          <w:sz w:val="20"/>
          <w:szCs w:val="20"/>
        </w:rPr>
      </w:pPr>
      <w:r w:rsidRPr="00712F3C">
        <w:rPr>
          <w:rFonts w:ascii="Times New Roman" w:hAnsi="Times New Roman"/>
          <w:sz w:val="20"/>
          <w:szCs w:val="20"/>
        </w:rPr>
        <w:t>In case of resident Anchor Investors: - “</w:t>
      </w:r>
      <w:r w:rsidR="00636B58" w:rsidRPr="002A2E99">
        <w:rPr>
          <w:rFonts w:ascii="Times New Roman" w:hAnsi="Times New Roman"/>
          <w:sz w:val="20"/>
          <w:szCs w:val="20"/>
        </w:rPr>
        <w:t>Siyaram Recycling Industries</w:t>
      </w:r>
      <w:r w:rsidR="00636B58">
        <w:rPr>
          <w:rFonts w:ascii="Times New Roman" w:hAnsi="Times New Roman"/>
          <w:sz w:val="20"/>
          <w:szCs w:val="20"/>
        </w:rPr>
        <w:t xml:space="preserve"> </w:t>
      </w:r>
      <w:r w:rsidRPr="00712F3C">
        <w:rPr>
          <w:rFonts w:ascii="Times New Roman" w:hAnsi="Times New Roman"/>
          <w:sz w:val="20"/>
          <w:szCs w:val="20"/>
        </w:rPr>
        <w:t>Limited IPO – Anchor Account- R”</w:t>
      </w:r>
    </w:p>
    <w:p w14:paraId="0D943874" w14:textId="77777777" w:rsidR="004047F2" w:rsidRPr="00712F3C" w:rsidRDefault="004047F2" w:rsidP="004047F2">
      <w:pPr>
        <w:autoSpaceDE w:val="0"/>
        <w:autoSpaceDN w:val="0"/>
        <w:adjustRightInd w:val="0"/>
        <w:spacing w:after="0" w:line="240" w:lineRule="auto"/>
        <w:jc w:val="both"/>
        <w:rPr>
          <w:rFonts w:ascii="Times New Roman" w:hAnsi="Times New Roman"/>
          <w:sz w:val="20"/>
          <w:szCs w:val="20"/>
        </w:rPr>
      </w:pPr>
    </w:p>
    <w:p w14:paraId="0A4680BA" w14:textId="37CCDB3F" w:rsidR="004047F2" w:rsidRPr="00712F3C" w:rsidRDefault="004047F2">
      <w:pPr>
        <w:numPr>
          <w:ilvl w:val="1"/>
          <w:numId w:val="308"/>
        </w:numPr>
        <w:autoSpaceDE w:val="0"/>
        <w:autoSpaceDN w:val="0"/>
        <w:adjustRightInd w:val="0"/>
        <w:spacing w:after="0" w:line="240" w:lineRule="auto"/>
        <w:ind w:left="360"/>
        <w:jc w:val="both"/>
        <w:rPr>
          <w:rFonts w:ascii="Times New Roman" w:hAnsi="Times New Roman"/>
          <w:sz w:val="20"/>
          <w:szCs w:val="20"/>
        </w:rPr>
      </w:pPr>
      <w:r w:rsidRPr="00712F3C">
        <w:rPr>
          <w:rFonts w:ascii="Times New Roman" w:hAnsi="Times New Roman"/>
          <w:sz w:val="20"/>
          <w:szCs w:val="20"/>
        </w:rPr>
        <w:t>In case of Non-Resident Anchor Investors: - “</w:t>
      </w:r>
      <w:r w:rsidR="00636B58" w:rsidRPr="002A2E99">
        <w:rPr>
          <w:rFonts w:ascii="Times New Roman" w:hAnsi="Times New Roman"/>
          <w:sz w:val="20"/>
          <w:szCs w:val="20"/>
        </w:rPr>
        <w:t>Siyaram Recycling Industries Limited</w:t>
      </w:r>
      <w:r w:rsidR="00636B58">
        <w:rPr>
          <w:rFonts w:ascii="Times New Roman" w:hAnsi="Times New Roman"/>
          <w:sz w:val="20"/>
          <w:szCs w:val="20"/>
        </w:rPr>
        <w:t xml:space="preserve"> </w:t>
      </w:r>
      <w:r w:rsidRPr="00712F3C">
        <w:rPr>
          <w:rFonts w:ascii="Times New Roman" w:hAnsi="Times New Roman"/>
          <w:sz w:val="20"/>
          <w:szCs w:val="20"/>
        </w:rPr>
        <w:t xml:space="preserve">IPO – Anchor Account- NR” </w:t>
      </w:r>
    </w:p>
    <w:p w14:paraId="4DC51717" w14:textId="77777777" w:rsidR="004047F2" w:rsidRPr="00712F3C" w:rsidRDefault="004047F2" w:rsidP="004047F2">
      <w:pPr>
        <w:autoSpaceDE w:val="0"/>
        <w:autoSpaceDN w:val="0"/>
        <w:adjustRightInd w:val="0"/>
        <w:spacing w:after="0" w:line="240" w:lineRule="auto"/>
        <w:jc w:val="both"/>
        <w:rPr>
          <w:rFonts w:ascii="Times New Roman" w:hAnsi="Times New Roman"/>
          <w:sz w:val="20"/>
          <w:szCs w:val="20"/>
        </w:rPr>
      </w:pPr>
    </w:p>
    <w:p w14:paraId="1D13BE0D" w14:textId="77777777" w:rsidR="004047F2" w:rsidRPr="00712F3C" w:rsidRDefault="004047F2">
      <w:pPr>
        <w:numPr>
          <w:ilvl w:val="1"/>
          <w:numId w:val="308"/>
        </w:numPr>
        <w:autoSpaceDE w:val="0"/>
        <w:autoSpaceDN w:val="0"/>
        <w:adjustRightInd w:val="0"/>
        <w:spacing w:after="0" w:line="240" w:lineRule="auto"/>
        <w:ind w:left="360"/>
        <w:jc w:val="both"/>
        <w:rPr>
          <w:rFonts w:ascii="Times New Roman" w:hAnsi="Times New Roman"/>
          <w:sz w:val="20"/>
          <w:szCs w:val="20"/>
        </w:rPr>
      </w:pPr>
      <w:r w:rsidRPr="00712F3C">
        <w:rPr>
          <w:rFonts w:ascii="Times New Roman" w:hAnsi="Times New Roman"/>
          <w:sz w:val="20"/>
          <w:szCs w:val="20"/>
        </w:rPr>
        <w:t>Bidders should note that the escrow mechanism is not prescribed by SEBI and has been established as an arrangement between our Company, the Syndicate, the Escrow Collection Bank and the Registrar to the Issue to facilitate collections from the Anchor Investors.</w:t>
      </w:r>
    </w:p>
    <w:p w14:paraId="196EB365" w14:textId="77777777" w:rsidR="004047F2" w:rsidRPr="00712F3C" w:rsidRDefault="004047F2" w:rsidP="004047F2">
      <w:pPr>
        <w:spacing w:after="0" w:line="240" w:lineRule="auto"/>
        <w:jc w:val="both"/>
        <w:rPr>
          <w:rFonts w:ascii="Times New Roman" w:eastAsia="Calibri" w:hAnsi="Times New Roman"/>
          <w:b/>
          <w:sz w:val="20"/>
          <w:szCs w:val="20"/>
          <w:u w:val="single"/>
        </w:rPr>
      </w:pPr>
    </w:p>
    <w:p w14:paraId="46E4E5C9" w14:textId="77777777" w:rsidR="004047F2" w:rsidRPr="00712F3C" w:rsidRDefault="004047F2" w:rsidP="004047F2">
      <w:pPr>
        <w:spacing w:after="0" w:line="240" w:lineRule="auto"/>
        <w:jc w:val="both"/>
        <w:rPr>
          <w:rFonts w:ascii="Times New Roman" w:eastAsia="Calibri" w:hAnsi="Times New Roman"/>
          <w:b/>
          <w:sz w:val="20"/>
          <w:szCs w:val="20"/>
          <w:u w:val="single"/>
        </w:rPr>
      </w:pPr>
      <w:r w:rsidRPr="00712F3C">
        <w:rPr>
          <w:rFonts w:ascii="Times New Roman" w:eastAsia="Calibri" w:hAnsi="Times New Roman"/>
          <w:b/>
          <w:sz w:val="20"/>
          <w:szCs w:val="20"/>
          <w:u w:val="single"/>
        </w:rPr>
        <w:t>Electronic Registration of Applications</w:t>
      </w:r>
    </w:p>
    <w:p w14:paraId="56501D6B" w14:textId="77777777" w:rsidR="004047F2" w:rsidRPr="00712F3C" w:rsidRDefault="004047F2" w:rsidP="004047F2">
      <w:pPr>
        <w:spacing w:after="0" w:line="240" w:lineRule="auto"/>
        <w:jc w:val="both"/>
        <w:rPr>
          <w:rFonts w:ascii="Times New Roman" w:eastAsia="Calibri" w:hAnsi="Times New Roman"/>
          <w:b/>
          <w:sz w:val="20"/>
          <w:szCs w:val="20"/>
          <w:u w:val="single"/>
        </w:rPr>
      </w:pPr>
    </w:p>
    <w:p w14:paraId="5A85840F" w14:textId="77777777" w:rsidR="004047F2" w:rsidRPr="00712F3C" w:rsidRDefault="004047F2">
      <w:pPr>
        <w:widowControl w:val="0"/>
        <w:numPr>
          <w:ilvl w:val="0"/>
          <w:numId w:val="211"/>
        </w:numPr>
        <w:spacing w:after="0" w:line="240" w:lineRule="auto"/>
        <w:ind w:left="360"/>
        <w:contextualSpacing/>
        <w:jc w:val="both"/>
        <w:rPr>
          <w:rFonts w:ascii="Times New Roman" w:eastAsia="Calibri" w:hAnsi="Times New Roman"/>
          <w:sz w:val="20"/>
          <w:szCs w:val="20"/>
        </w:rPr>
      </w:pPr>
      <w:r w:rsidRPr="00712F3C">
        <w:rPr>
          <w:rFonts w:ascii="Times New Roman" w:eastAsia="Calibri" w:hAnsi="Times New Roman"/>
          <w:sz w:val="20"/>
          <w:szCs w:val="20"/>
        </w:rPr>
        <w:t xml:space="preserve">The </w:t>
      </w:r>
      <w:r w:rsidRPr="00712F3C">
        <w:rPr>
          <w:rFonts w:ascii="Times New Roman" w:eastAsia="MS Mincho" w:hAnsi="Times New Roman"/>
          <w:sz w:val="20"/>
          <w:szCs w:val="20"/>
          <w:lang w:val="en-GB"/>
        </w:rPr>
        <w:t xml:space="preserve">Designated Intermediaries </w:t>
      </w:r>
      <w:r w:rsidRPr="00712F3C">
        <w:rPr>
          <w:rFonts w:ascii="Times New Roman" w:eastAsia="Calibri" w:hAnsi="Times New Roman"/>
          <w:sz w:val="20"/>
          <w:szCs w:val="20"/>
        </w:rPr>
        <w:t>will register the applications using the on-line facilities of the Stock Exchange.</w:t>
      </w:r>
    </w:p>
    <w:p w14:paraId="4F282CC2" w14:textId="77777777" w:rsidR="004047F2" w:rsidRPr="00712F3C" w:rsidRDefault="004047F2" w:rsidP="004047F2">
      <w:pPr>
        <w:widowControl w:val="0"/>
        <w:spacing w:after="0" w:line="240" w:lineRule="auto"/>
        <w:ind w:left="360"/>
        <w:jc w:val="both"/>
        <w:rPr>
          <w:rFonts w:ascii="Times New Roman" w:eastAsia="Calibri" w:hAnsi="Times New Roman"/>
          <w:sz w:val="20"/>
          <w:szCs w:val="20"/>
        </w:rPr>
      </w:pPr>
    </w:p>
    <w:p w14:paraId="5349EB3D" w14:textId="77777777" w:rsidR="004047F2" w:rsidRPr="00712F3C" w:rsidRDefault="004047F2">
      <w:pPr>
        <w:widowControl w:val="0"/>
        <w:numPr>
          <w:ilvl w:val="0"/>
          <w:numId w:val="211"/>
        </w:numPr>
        <w:spacing w:after="0" w:line="240" w:lineRule="auto"/>
        <w:ind w:left="360"/>
        <w:contextualSpacing/>
        <w:jc w:val="both"/>
        <w:rPr>
          <w:rFonts w:ascii="Times New Roman" w:eastAsia="Calibri" w:hAnsi="Times New Roman"/>
          <w:sz w:val="20"/>
          <w:szCs w:val="20"/>
        </w:rPr>
      </w:pPr>
      <w:r w:rsidRPr="00712F3C">
        <w:rPr>
          <w:rFonts w:ascii="Times New Roman" w:eastAsia="Calibri" w:hAnsi="Times New Roman"/>
          <w:sz w:val="20"/>
          <w:szCs w:val="20"/>
        </w:rPr>
        <w:t xml:space="preserve">The </w:t>
      </w:r>
      <w:r w:rsidRPr="00712F3C">
        <w:rPr>
          <w:rFonts w:ascii="Times New Roman" w:eastAsia="MS Mincho" w:hAnsi="Times New Roman"/>
          <w:sz w:val="20"/>
          <w:szCs w:val="20"/>
          <w:lang w:val="en-GB"/>
        </w:rPr>
        <w:t xml:space="preserve">Designated Intermediaries </w:t>
      </w:r>
      <w:r w:rsidRPr="00712F3C">
        <w:rPr>
          <w:rFonts w:ascii="Times New Roman" w:eastAsia="Calibri" w:hAnsi="Times New Roman"/>
          <w:sz w:val="20"/>
          <w:szCs w:val="20"/>
        </w:rPr>
        <w:t>will undertake modification of selected fields in the application details already uploaded before 5.00 p.m. of the Issue Closing Date.</w:t>
      </w:r>
    </w:p>
    <w:p w14:paraId="55D2580E" w14:textId="77777777" w:rsidR="004047F2" w:rsidRPr="00712F3C" w:rsidRDefault="004047F2" w:rsidP="004047F2">
      <w:pPr>
        <w:suppressAutoHyphens/>
        <w:autoSpaceDE w:val="0"/>
        <w:autoSpaceDN w:val="0"/>
        <w:adjustRightInd w:val="0"/>
        <w:spacing w:after="0" w:line="240" w:lineRule="auto"/>
        <w:ind w:left="360"/>
        <w:jc w:val="both"/>
        <w:textAlignment w:val="center"/>
        <w:rPr>
          <w:rFonts w:ascii="Times New Roman" w:eastAsia="Calibri" w:hAnsi="Times New Roman"/>
          <w:sz w:val="20"/>
          <w:szCs w:val="20"/>
        </w:rPr>
      </w:pPr>
    </w:p>
    <w:p w14:paraId="0188E336" w14:textId="77777777" w:rsidR="004047F2" w:rsidRPr="00712F3C" w:rsidRDefault="004047F2">
      <w:pPr>
        <w:widowControl w:val="0"/>
        <w:numPr>
          <w:ilvl w:val="0"/>
          <w:numId w:val="211"/>
        </w:numPr>
        <w:spacing w:after="0" w:line="240" w:lineRule="auto"/>
        <w:ind w:left="360"/>
        <w:contextualSpacing/>
        <w:jc w:val="both"/>
        <w:rPr>
          <w:rFonts w:ascii="Times New Roman" w:eastAsia="Calibri" w:hAnsi="Times New Roman"/>
          <w:sz w:val="20"/>
          <w:szCs w:val="20"/>
        </w:rPr>
      </w:pPr>
      <w:r w:rsidRPr="00712F3C">
        <w:rPr>
          <w:rFonts w:ascii="Times New Roman" w:eastAsia="Calibri" w:hAnsi="Times New Roman"/>
          <w:sz w:val="20"/>
          <w:szCs w:val="20"/>
        </w:rPr>
        <w:lastRenderedPageBreak/>
        <w:t xml:space="preserve">The Designated Intermediaries shall be responsible for any acts, mistakes or errors or omissions and commissions in relation to, </w:t>
      </w:r>
    </w:p>
    <w:p w14:paraId="7B814516" w14:textId="77777777" w:rsidR="004047F2" w:rsidRPr="00712F3C" w:rsidRDefault="004047F2" w:rsidP="004047F2">
      <w:pPr>
        <w:spacing w:after="0" w:line="240" w:lineRule="auto"/>
        <w:ind w:left="1080"/>
        <w:contextualSpacing/>
        <w:jc w:val="both"/>
        <w:rPr>
          <w:rFonts w:ascii="Times New Roman" w:eastAsia="Calibri" w:hAnsi="Times New Roman"/>
          <w:sz w:val="20"/>
          <w:szCs w:val="20"/>
        </w:rPr>
      </w:pPr>
    </w:p>
    <w:p w14:paraId="29445F38" w14:textId="77777777" w:rsidR="004047F2" w:rsidRPr="00712F3C" w:rsidRDefault="004047F2">
      <w:pPr>
        <w:numPr>
          <w:ilvl w:val="2"/>
          <w:numId w:val="204"/>
        </w:numPr>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 xml:space="preserve">the applications accepted by them, </w:t>
      </w:r>
    </w:p>
    <w:p w14:paraId="3F05C0E2" w14:textId="77777777" w:rsidR="004047F2" w:rsidRPr="00712F3C" w:rsidRDefault="004047F2">
      <w:pPr>
        <w:numPr>
          <w:ilvl w:val="2"/>
          <w:numId w:val="204"/>
        </w:numPr>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the applications uploaded by them</w:t>
      </w:r>
    </w:p>
    <w:p w14:paraId="5AC57A43" w14:textId="77777777" w:rsidR="004047F2" w:rsidRPr="00712F3C" w:rsidRDefault="004047F2">
      <w:pPr>
        <w:numPr>
          <w:ilvl w:val="2"/>
          <w:numId w:val="204"/>
        </w:numPr>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the applications accepted but not uploaded by them or</w:t>
      </w:r>
    </w:p>
    <w:p w14:paraId="64F04636" w14:textId="77777777" w:rsidR="004047F2" w:rsidRPr="00712F3C" w:rsidRDefault="004047F2">
      <w:pPr>
        <w:numPr>
          <w:ilvl w:val="2"/>
          <w:numId w:val="204"/>
        </w:numPr>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 xml:space="preserve">With respect to applications by Bidders, applications accepted and uploaded by any </w:t>
      </w:r>
      <w:r w:rsidRPr="00712F3C">
        <w:rPr>
          <w:rFonts w:ascii="Times New Roman" w:eastAsia="MS Mincho" w:hAnsi="Times New Roman"/>
          <w:sz w:val="20"/>
          <w:szCs w:val="20"/>
          <w:lang w:val="en-GB"/>
        </w:rPr>
        <w:t xml:space="preserve">Designated </w:t>
      </w:r>
      <w:r w:rsidRPr="00712F3C">
        <w:rPr>
          <w:rFonts w:ascii="Times New Roman" w:eastAsia="Calibri" w:hAnsi="Times New Roman"/>
          <w:sz w:val="20"/>
          <w:szCs w:val="20"/>
        </w:rPr>
        <w:t>Intermediary other than SCSBs, the Bid Cum Application Form along with relevant schedules shall be sent to the</w:t>
      </w:r>
      <w:r w:rsidRPr="00712F3C">
        <w:rPr>
          <w:rFonts w:ascii="Times New Roman" w:eastAsia="MS Mincho" w:hAnsi="Times New Roman"/>
          <w:sz w:val="20"/>
          <w:szCs w:val="20"/>
          <w:lang w:val="en-GB"/>
        </w:rPr>
        <w:t xml:space="preserve"> SCSBs or the </w:t>
      </w:r>
      <w:r w:rsidRPr="00712F3C">
        <w:rPr>
          <w:rFonts w:ascii="Times New Roman" w:eastAsia="Calibri" w:hAnsi="Times New Roman"/>
          <w:sz w:val="20"/>
          <w:szCs w:val="20"/>
        </w:rPr>
        <w:t xml:space="preserve">Designated Branch of the relevant SCSBs for blocking of funds and </w:t>
      </w:r>
      <w:r w:rsidRPr="00712F3C">
        <w:rPr>
          <w:rFonts w:ascii="Times New Roman" w:eastAsia="MS Mincho" w:hAnsi="Times New Roman"/>
          <w:sz w:val="20"/>
          <w:szCs w:val="20"/>
          <w:lang w:val="en-GB"/>
        </w:rPr>
        <w:t>they will</w:t>
      </w:r>
      <w:r w:rsidRPr="00712F3C">
        <w:rPr>
          <w:rFonts w:ascii="Times New Roman" w:eastAsia="Calibri" w:hAnsi="Times New Roman"/>
          <w:sz w:val="20"/>
          <w:szCs w:val="20"/>
        </w:rPr>
        <w:t xml:space="preserve"> be responsible for blocking the necessary amounts in the ASBA Accounts. In case of Application accepted and Uploaded by SCSBs, the SCSBs or the Designated Branch of the relevant SCSBs will be responsible for blocking the necessary amounts in the ASBA Accounts.</w:t>
      </w:r>
    </w:p>
    <w:p w14:paraId="70C278B4" w14:textId="77777777" w:rsidR="004047F2" w:rsidRPr="00712F3C" w:rsidRDefault="004047F2" w:rsidP="004047F2">
      <w:pPr>
        <w:suppressAutoHyphens/>
        <w:autoSpaceDE w:val="0"/>
        <w:autoSpaceDN w:val="0"/>
        <w:adjustRightInd w:val="0"/>
        <w:spacing w:after="0" w:line="240" w:lineRule="auto"/>
        <w:jc w:val="both"/>
        <w:textAlignment w:val="center"/>
        <w:rPr>
          <w:rFonts w:ascii="Times New Roman" w:eastAsia="Calibri" w:hAnsi="Times New Roman"/>
          <w:sz w:val="20"/>
          <w:szCs w:val="20"/>
        </w:rPr>
      </w:pPr>
    </w:p>
    <w:p w14:paraId="6F9D9197" w14:textId="77777777" w:rsidR="004047F2" w:rsidRPr="00712F3C" w:rsidRDefault="004047F2">
      <w:pPr>
        <w:widowControl w:val="0"/>
        <w:numPr>
          <w:ilvl w:val="0"/>
          <w:numId w:val="211"/>
        </w:numPr>
        <w:spacing w:after="0" w:line="240" w:lineRule="auto"/>
        <w:ind w:left="360"/>
        <w:contextualSpacing/>
        <w:jc w:val="both"/>
        <w:rPr>
          <w:rFonts w:ascii="Times New Roman" w:eastAsia="MS Mincho" w:hAnsi="Times New Roman"/>
          <w:sz w:val="20"/>
          <w:szCs w:val="20"/>
          <w:lang w:val="en-GB"/>
        </w:rPr>
      </w:pPr>
      <w:r w:rsidRPr="00712F3C">
        <w:rPr>
          <w:rFonts w:ascii="Times New Roman" w:eastAsia="Calibri" w:hAnsi="Times New Roman"/>
          <w:sz w:val="20"/>
          <w:szCs w:val="20"/>
        </w:rPr>
        <w:t xml:space="preserve">Neither the Book Running Lead Manager nor our Company nor the Registrar to the Issue, shall be responsible for any acts, mistakes or errors or omission and commissions in relation to, </w:t>
      </w:r>
    </w:p>
    <w:p w14:paraId="0AE745F8" w14:textId="77777777" w:rsidR="004047F2" w:rsidRPr="00712F3C" w:rsidRDefault="004047F2" w:rsidP="004047F2">
      <w:pPr>
        <w:widowControl w:val="0"/>
        <w:suppressAutoHyphens/>
        <w:autoSpaceDE w:val="0"/>
        <w:autoSpaceDN w:val="0"/>
        <w:adjustRightInd w:val="0"/>
        <w:spacing w:after="0" w:line="240" w:lineRule="auto"/>
        <w:ind w:left="360"/>
        <w:jc w:val="both"/>
        <w:textAlignment w:val="center"/>
        <w:rPr>
          <w:rFonts w:ascii="Times New Roman" w:eastAsia="MS Mincho" w:hAnsi="Times New Roman"/>
          <w:sz w:val="20"/>
          <w:szCs w:val="20"/>
          <w:lang w:val="en-GB"/>
        </w:rPr>
      </w:pPr>
      <w:r w:rsidRPr="00712F3C">
        <w:rPr>
          <w:rFonts w:ascii="Times New Roman" w:eastAsia="Calibri" w:hAnsi="Times New Roman"/>
          <w:sz w:val="20"/>
          <w:szCs w:val="20"/>
        </w:rPr>
        <w:t xml:space="preserve">(i) The applications accepted by any </w:t>
      </w:r>
      <w:r w:rsidRPr="00712F3C">
        <w:rPr>
          <w:rFonts w:ascii="Times New Roman" w:eastAsia="MS Mincho" w:hAnsi="Times New Roman"/>
          <w:sz w:val="20"/>
          <w:szCs w:val="20"/>
          <w:lang w:val="en-GB"/>
        </w:rPr>
        <w:t>Designated Intermediaries</w:t>
      </w:r>
    </w:p>
    <w:p w14:paraId="6573F529" w14:textId="77777777" w:rsidR="004047F2" w:rsidRPr="00712F3C" w:rsidRDefault="004047F2" w:rsidP="004047F2">
      <w:pPr>
        <w:widowControl w:val="0"/>
        <w:spacing w:after="0" w:line="240" w:lineRule="auto"/>
        <w:ind w:left="360"/>
        <w:jc w:val="both"/>
        <w:rPr>
          <w:rFonts w:ascii="Times New Roman" w:eastAsia="Calibri" w:hAnsi="Times New Roman"/>
          <w:sz w:val="20"/>
          <w:szCs w:val="20"/>
        </w:rPr>
      </w:pPr>
      <w:r w:rsidRPr="00712F3C">
        <w:rPr>
          <w:rFonts w:ascii="Times New Roman" w:eastAsia="Calibri" w:hAnsi="Times New Roman"/>
          <w:sz w:val="20"/>
          <w:szCs w:val="20"/>
        </w:rPr>
        <w:t xml:space="preserve">(ii) The applications uploaded by any </w:t>
      </w:r>
      <w:r w:rsidRPr="00712F3C">
        <w:rPr>
          <w:rFonts w:ascii="Times New Roman" w:eastAsia="MS Mincho" w:hAnsi="Times New Roman"/>
          <w:sz w:val="20"/>
          <w:szCs w:val="20"/>
          <w:lang w:val="en-GB"/>
        </w:rPr>
        <w:t>Designated Intermediaries</w:t>
      </w:r>
      <w:r w:rsidRPr="00712F3C">
        <w:rPr>
          <w:rFonts w:ascii="Times New Roman" w:eastAsia="Calibri" w:hAnsi="Times New Roman"/>
          <w:sz w:val="20"/>
          <w:szCs w:val="20"/>
        </w:rPr>
        <w:t xml:space="preserve">or </w:t>
      </w:r>
    </w:p>
    <w:p w14:paraId="2C911D55" w14:textId="77777777" w:rsidR="004047F2" w:rsidRPr="00712F3C" w:rsidRDefault="004047F2" w:rsidP="004047F2">
      <w:pPr>
        <w:widowControl w:val="0"/>
        <w:spacing w:after="0" w:line="240" w:lineRule="auto"/>
        <w:ind w:left="360"/>
        <w:jc w:val="both"/>
        <w:rPr>
          <w:rFonts w:ascii="Times New Roman" w:eastAsia="MS Mincho" w:hAnsi="Times New Roman"/>
          <w:sz w:val="20"/>
          <w:szCs w:val="20"/>
          <w:lang w:val="en-GB"/>
        </w:rPr>
      </w:pPr>
      <w:r w:rsidRPr="00712F3C">
        <w:rPr>
          <w:rFonts w:ascii="Times New Roman" w:eastAsia="Calibri" w:hAnsi="Times New Roman"/>
          <w:sz w:val="20"/>
          <w:szCs w:val="20"/>
        </w:rPr>
        <w:t xml:space="preserve">(iii) The applications accepted but not uploaded by any </w:t>
      </w:r>
      <w:r w:rsidRPr="00712F3C">
        <w:rPr>
          <w:rFonts w:ascii="Times New Roman" w:eastAsia="MS Mincho" w:hAnsi="Times New Roman"/>
          <w:sz w:val="20"/>
          <w:szCs w:val="20"/>
          <w:lang w:val="en-GB"/>
        </w:rPr>
        <w:t>Designated Intermediaries</w:t>
      </w:r>
    </w:p>
    <w:p w14:paraId="561F0DE2" w14:textId="77777777" w:rsidR="004047F2" w:rsidRPr="00712F3C" w:rsidRDefault="004047F2" w:rsidP="004047F2">
      <w:pPr>
        <w:widowControl w:val="0"/>
        <w:suppressAutoHyphens/>
        <w:autoSpaceDE w:val="0"/>
        <w:autoSpaceDN w:val="0"/>
        <w:adjustRightInd w:val="0"/>
        <w:spacing w:after="0" w:line="240" w:lineRule="auto"/>
        <w:ind w:left="360"/>
        <w:jc w:val="both"/>
        <w:textAlignment w:val="center"/>
        <w:rPr>
          <w:rFonts w:ascii="Times New Roman" w:eastAsia="Calibri" w:hAnsi="Times New Roman"/>
          <w:sz w:val="20"/>
          <w:szCs w:val="20"/>
        </w:rPr>
      </w:pPr>
    </w:p>
    <w:p w14:paraId="0064864D" w14:textId="77777777" w:rsidR="004047F2" w:rsidRPr="00712F3C" w:rsidRDefault="004047F2">
      <w:pPr>
        <w:widowControl w:val="0"/>
        <w:numPr>
          <w:ilvl w:val="0"/>
          <w:numId w:val="211"/>
        </w:numPr>
        <w:spacing w:after="0" w:line="240" w:lineRule="auto"/>
        <w:ind w:left="360"/>
        <w:contextualSpacing/>
        <w:jc w:val="both"/>
        <w:rPr>
          <w:rFonts w:ascii="Times New Roman" w:eastAsia="Calibri" w:hAnsi="Times New Roman"/>
          <w:sz w:val="20"/>
          <w:szCs w:val="20"/>
        </w:rPr>
      </w:pPr>
      <w:r w:rsidRPr="00712F3C">
        <w:rPr>
          <w:rFonts w:ascii="Times New Roman" w:eastAsia="Calibri" w:hAnsi="Times New Roman"/>
          <w:sz w:val="20"/>
          <w:szCs w:val="20"/>
        </w:rPr>
        <w:t xml:space="preserve">The Stock Exchange will offer an electronic facility for registering applications for the Issue. This facility will available at the terminals of </w:t>
      </w:r>
      <w:r w:rsidRPr="00712F3C">
        <w:rPr>
          <w:rFonts w:ascii="Times New Roman" w:eastAsia="MS Mincho" w:hAnsi="Times New Roman"/>
          <w:sz w:val="20"/>
          <w:szCs w:val="20"/>
          <w:lang w:val="en-GB"/>
        </w:rPr>
        <w:t>Designated Intermediaries</w:t>
      </w:r>
      <w:r w:rsidRPr="00712F3C">
        <w:rPr>
          <w:rFonts w:ascii="Times New Roman" w:eastAsia="Calibri" w:hAnsi="Times New Roman"/>
          <w:sz w:val="20"/>
          <w:szCs w:val="20"/>
        </w:rPr>
        <w:t xml:space="preserve">and their authorized agents during the Issue Period. The Designated Branches or agents of </w:t>
      </w:r>
      <w:r w:rsidRPr="00712F3C">
        <w:rPr>
          <w:rFonts w:ascii="Times New Roman" w:eastAsia="MS Mincho" w:hAnsi="Times New Roman"/>
          <w:sz w:val="20"/>
          <w:szCs w:val="20"/>
          <w:lang w:val="en-GB"/>
        </w:rPr>
        <w:t>Designated Intermediaries</w:t>
      </w:r>
      <w:r w:rsidRPr="00712F3C">
        <w:rPr>
          <w:rFonts w:ascii="Times New Roman" w:eastAsia="Calibri" w:hAnsi="Times New Roman"/>
          <w:sz w:val="20"/>
          <w:szCs w:val="20"/>
        </w:rPr>
        <w:t xml:space="preserve">can also set up facilities for off-line electronic registration of applications subject to the condition that they will subsequently upload the off-line data file into the online facilities on a regular basis. On the Issue Closing Date, the </w:t>
      </w:r>
      <w:r w:rsidRPr="00712F3C">
        <w:rPr>
          <w:rFonts w:ascii="Times New Roman" w:eastAsia="MS Mincho" w:hAnsi="Times New Roman"/>
          <w:sz w:val="20"/>
          <w:szCs w:val="20"/>
          <w:lang w:val="en-GB"/>
        </w:rPr>
        <w:t xml:space="preserve">Designated Intermediaries </w:t>
      </w:r>
      <w:r w:rsidRPr="00712F3C">
        <w:rPr>
          <w:rFonts w:ascii="Times New Roman" w:eastAsia="Calibri" w:hAnsi="Times New Roman"/>
          <w:sz w:val="20"/>
          <w:szCs w:val="20"/>
        </w:rPr>
        <w:t>shall upload the applications till such time as may be permitted by the Stock Exchange. This information will be available with the Book Running Lead Manager on a regular basis.</w:t>
      </w:r>
    </w:p>
    <w:p w14:paraId="2B80DA5E" w14:textId="77777777" w:rsidR="004047F2" w:rsidRPr="00712F3C" w:rsidRDefault="004047F2" w:rsidP="004047F2">
      <w:pPr>
        <w:widowControl w:val="0"/>
        <w:suppressAutoHyphens/>
        <w:autoSpaceDE w:val="0"/>
        <w:autoSpaceDN w:val="0"/>
        <w:adjustRightInd w:val="0"/>
        <w:spacing w:after="0" w:line="240" w:lineRule="auto"/>
        <w:ind w:left="360"/>
        <w:jc w:val="both"/>
        <w:textAlignment w:val="center"/>
        <w:rPr>
          <w:rFonts w:ascii="Times New Roman" w:eastAsia="Calibri" w:hAnsi="Times New Roman"/>
          <w:sz w:val="20"/>
          <w:szCs w:val="20"/>
        </w:rPr>
      </w:pPr>
    </w:p>
    <w:p w14:paraId="094609F1" w14:textId="77777777" w:rsidR="004047F2" w:rsidRPr="00712F3C" w:rsidRDefault="004047F2">
      <w:pPr>
        <w:widowControl w:val="0"/>
        <w:numPr>
          <w:ilvl w:val="0"/>
          <w:numId w:val="211"/>
        </w:numPr>
        <w:spacing w:after="0" w:line="240" w:lineRule="auto"/>
        <w:ind w:left="360"/>
        <w:contextualSpacing/>
        <w:jc w:val="both"/>
        <w:rPr>
          <w:rFonts w:ascii="Times New Roman" w:eastAsia="Calibri" w:hAnsi="Times New Roman"/>
          <w:sz w:val="20"/>
          <w:szCs w:val="20"/>
        </w:rPr>
      </w:pPr>
      <w:r w:rsidRPr="00712F3C">
        <w:rPr>
          <w:rFonts w:ascii="Times New Roman" w:eastAsia="Calibri" w:hAnsi="Times New Roman"/>
          <w:sz w:val="20"/>
          <w:szCs w:val="20"/>
        </w:rPr>
        <w:t>With respect to applications by Bidders, at the time of registering such applications, the Syndicate Bakers, DPs and RTAs shall forward a Schedule as per format given below along with the Bid Cum Application Forms to Designated Branches of the SCSBs for blocking of funds:</w:t>
      </w:r>
    </w:p>
    <w:p w14:paraId="5EF8107B" w14:textId="77777777" w:rsidR="004047F2" w:rsidRPr="00712F3C" w:rsidRDefault="004047F2" w:rsidP="004047F2">
      <w:pPr>
        <w:suppressAutoHyphens/>
        <w:autoSpaceDE w:val="0"/>
        <w:autoSpaceDN w:val="0"/>
        <w:adjustRightInd w:val="0"/>
        <w:spacing w:after="0" w:line="240" w:lineRule="auto"/>
        <w:textAlignment w:val="center"/>
        <w:rPr>
          <w:rFonts w:ascii="Times New Roman" w:eastAsia="Calibri" w:hAnsi="Times New Roman"/>
          <w:sz w:val="20"/>
          <w:szCs w:val="20"/>
        </w:rPr>
      </w:pPr>
    </w:p>
    <w:tbl>
      <w:tblPr>
        <w:tblW w:w="0" w:type="auto"/>
        <w:tblInd w:w="468" w:type="dxa"/>
        <w:tblBorders>
          <w:top w:val="single" w:sz="4" w:space="0" w:color="auto"/>
          <w:bottom w:val="single" w:sz="4" w:space="0" w:color="auto"/>
          <w:insideH w:val="single" w:sz="4" w:space="0" w:color="auto"/>
        </w:tblBorders>
        <w:tblLook w:val="04A0" w:firstRow="1" w:lastRow="0" w:firstColumn="1" w:lastColumn="0" w:noHBand="0" w:noVBand="1"/>
      </w:tblPr>
      <w:tblGrid>
        <w:gridCol w:w="900"/>
        <w:gridCol w:w="2790"/>
      </w:tblGrid>
      <w:tr w:rsidR="004047F2" w:rsidRPr="00712F3C" w14:paraId="09F0F2D0" w14:textId="77777777" w:rsidTr="00250DAC">
        <w:tc>
          <w:tcPr>
            <w:tcW w:w="900" w:type="dxa"/>
            <w:tcBorders>
              <w:left w:val="single" w:sz="4" w:space="0" w:color="auto"/>
              <w:right w:val="single" w:sz="4" w:space="0" w:color="auto"/>
            </w:tcBorders>
            <w:shd w:val="clear" w:color="auto" w:fill="D0CECE" w:themeFill="background2" w:themeFillShade="E6"/>
          </w:tcPr>
          <w:p w14:paraId="6D9D25C8" w14:textId="77777777" w:rsidR="004047F2" w:rsidRPr="00712F3C" w:rsidRDefault="004047F2" w:rsidP="00250DAC">
            <w:pPr>
              <w:spacing w:after="0" w:line="240" w:lineRule="auto"/>
              <w:rPr>
                <w:rFonts w:ascii="Times New Roman" w:eastAsia="Calibri" w:hAnsi="Times New Roman"/>
                <w:b/>
                <w:sz w:val="20"/>
                <w:szCs w:val="20"/>
              </w:rPr>
            </w:pPr>
            <w:r w:rsidRPr="00712F3C">
              <w:rPr>
                <w:rFonts w:ascii="Times New Roman" w:eastAsia="Calibri" w:hAnsi="Times New Roman"/>
                <w:b/>
                <w:sz w:val="20"/>
                <w:szCs w:val="20"/>
              </w:rPr>
              <w:t>S. No.</w:t>
            </w:r>
          </w:p>
        </w:tc>
        <w:tc>
          <w:tcPr>
            <w:tcW w:w="2790" w:type="dxa"/>
            <w:tcBorders>
              <w:left w:val="single" w:sz="4" w:space="0" w:color="auto"/>
              <w:right w:val="single" w:sz="4" w:space="0" w:color="auto"/>
            </w:tcBorders>
            <w:shd w:val="clear" w:color="auto" w:fill="D0CECE" w:themeFill="background2" w:themeFillShade="E6"/>
          </w:tcPr>
          <w:p w14:paraId="40BF6776" w14:textId="77777777" w:rsidR="004047F2" w:rsidRPr="00712F3C" w:rsidRDefault="004047F2" w:rsidP="00250DAC">
            <w:pPr>
              <w:spacing w:after="0" w:line="240" w:lineRule="auto"/>
              <w:rPr>
                <w:rFonts w:ascii="Times New Roman" w:eastAsia="Calibri" w:hAnsi="Times New Roman"/>
                <w:b/>
                <w:sz w:val="20"/>
                <w:szCs w:val="20"/>
              </w:rPr>
            </w:pPr>
            <w:r w:rsidRPr="00712F3C">
              <w:rPr>
                <w:rFonts w:ascii="Times New Roman" w:eastAsia="Calibri" w:hAnsi="Times New Roman"/>
                <w:b/>
                <w:sz w:val="20"/>
                <w:szCs w:val="20"/>
              </w:rPr>
              <w:t>Details*</w:t>
            </w:r>
          </w:p>
        </w:tc>
      </w:tr>
      <w:tr w:rsidR="004047F2" w:rsidRPr="00712F3C" w14:paraId="78E2A3C6" w14:textId="77777777" w:rsidTr="00250DAC">
        <w:tc>
          <w:tcPr>
            <w:tcW w:w="900" w:type="dxa"/>
            <w:tcBorders>
              <w:left w:val="single" w:sz="4" w:space="0" w:color="auto"/>
              <w:right w:val="single" w:sz="4" w:space="0" w:color="auto"/>
            </w:tcBorders>
          </w:tcPr>
          <w:p w14:paraId="7B9FB9F9" w14:textId="77777777" w:rsidR="004047F2" w:rsidRPr="00712F3C" w:rsidRDefault="004047F2">
            <w:pPr>
              <w:numPr>
                <w:ilvl w:val="0"/>
                <w:numId w:val="209"/>
              </w:numPr>
              <w:spacing w:after="0" w:line="240" w:lineRule="auto"/>
              <w:ind w:left="0"/>
              <w:contextualSpacing/>
              <w:jc w:val="center"/>
              <w:rPr>
                <w:rFonts w:ascii="Times New Roman" w:eastAsia="Calibri" w:hAnsi="Times New Roman"/>
                <w:sz w:val="20"/>
                <w:szCs w:val="20"/>
              </w:rPr>
            </w:pPr>
          </w:p>
        </w:tc>
        <w:tc>
          <w:tcPr>
            <w:tcW w:w="2790" w:type="dxa"/>
            <w:tcBorders>
              <w:left w:val="single" w:sz="4" w:space="0" w:color="auto"/>
              <w:right w:val="single" w:sz="4" w:space="0" w:color="auto"/>
            </w:tcBorders>
          </w:tcPr>
          <w:p w14:paraId="39AE904D" w14:textId="77777777" w:rsidR="004047F2" w:rsidRPr="00712F3C" w:rsidRDefault="004047F2" w:rsidP="00250DAC">
            <w:pPr>
              <w:spacing w:after="0" w:line="240" w:lineRule="auto"/>
              <w:rPr>
                <w:rFonts w:ascii="Times New Roman" w:eastAsia="Calibri" w:hAnsi="Times New Roman"/>
                <w:sz w:val="20"/>
                <w:szCs w:val="20"/>
              </w:rPr>
            </w:pPr>
            <w:r w:rsidRPr="00712F3C">
              <w:rPr>
                <w:rFonts w:ascii="Times New Roman" w:eastAsia="Calibri" w:hAnsi="Times New Roman"/>
                <w:sz w:val="20"/>
                <w:szCs w:val="20"/>
              </w:rPr>
              <w:t>Symbol</w:t>
            </w:r>
          </w:p>
        </w:tc>
      </w:tr>
      <w:tr w:rsidR="004047F2" w:rsidRPr="00712F3C" w14:paraId="01BA3346" w14:textId="77777777" w:rsidTr="00250DAC">
        <w:tc>
          <w:tcPr>
            <w:tcW w:w="900" w:type="dxa"/>
            <w:tcBorders>
              <w:left w:val="single" w:sz="4" w:space="0" w:color="auto"/>
              <w:right w:val="single" w:sz="4" w:space="0" w:color="auto"/>
            </w:tcBorders>
          </w:tcPr>
          <w:p w14:paraId="29B1DFE9" w14:textId="77777777" w:rsidR="004047F2" w:rsidRPr="00712F3C" w:rsidRDefault="004047F2">
            <w:pPr>
              <w:numPr>
                <w:ilvl w:val="0"/>
                <w:numId w:val="209"/>
              </w:numPr>
              <w:spacing w:after="0" w:line="240" w:lineRule="auto"/>
              <w:ind w:left="0"/>
              <w:contextualSpacing/>
              <w:jc w:val="center"/>
              <w:rPr>
                <w:rFonts w:ascii="Times New Roman" w:eastAsia="Calibri" w:hAnsi="Times New Roman"/>
                <w:sz w:val="20"/>
                <w:szCs w:val="20"/>
              </w:rPr>
            </w:pPr>
          </w:p>
        </w:tc>
        <w:tc>
          <w:tcPr>
            <w:tcW w:w="2790" w:type="dxa"/>
            <w:tcBorders>
              <w:left w:val="single" w:sz="4" w:space="0" w:color="auto"/>
              <w:right w:val="single" w:sz="4" w:space="0" w:color="auto"/>
            </w:tcBorders>
          </w:tcPr>
          <w:p w14:paraId="27E7C696" w14:textId="77777777" w:rsidR="004047F2" w:rsidRPr="00712F3C" w:rsidRDefault="004047F2" w:rsidP="00250DAC">
            <w:pPr>
              <w:spacing w:after="0" w:line="240" w:lineRule="auto"/>
              <w:rPr>
                <w:rFonts w:ascii="Times New Roman" w:eastAsia="Calibri" w:hAnsi="Times New Roman"/>
                <w:sz w:val="20"/>
                <w:szCs w:val="20"/>
              </w:rPr>
            </w:pPr>
            <w:r w:rsidRPr="00712F3C">
              <w:rPr>
                <w:rFonts w:ascii="Times New Roman" w:eastAsia="Calibri" w:hAnsi="Times New Roman"/>
                <w:sz w:val="20"/>
                <w:szCs w:val="20"/>
              </w:rPr>
              <w:t>Intermediary Code</w:t>
            </w:r>
          </w:p>
        </w:tc>
      </w:tr>
      <w:tr w:rsidR="004047F2" w:rsidRPr="00712F3C" w14:paraId="73C70D81" w14:textId="77777777" w:rsidTr="00250DAC">
        <w:tc>
          <w:tcPr>
            <w:tcW w:w="900" w:type="dxa"/>
            <w:tcBorders>
              <w:left w:val="single" w:sz="4" w:space="0" w:color="auto"/>
              <w:right w:val="single" w:sz="4" w:space="0" w:color="auto"/>
            </w:tcBorders>
          </w:tcPr>
          <w:p w14:paraId="5F4DC28B" w14:textId="77777777" w:rsidR="004047F2" w:rsidRPr="00712F3C" w:rsidRDefault="004047F2">
            <w:pPr>
              <w:numPr>
                <w:ilvl w:val="0"/>
                <w:numId w:val="209"/>
              </w:numPr>
              <w:spacing w:after="0" w:line="240" w:lineRule="auto"/>
              <w:ind w:left="0"/>
              <w:contextualSpacing/>
              <w:jc w:val="center"/>
              <w:rPr>
                <w:rFonts w:ascii="Times New Roman" w:eastAsia="Calibri" w:hAnsi="Times New Roman"/>
                <w:sz w:val="20"/>
                <w:szCs w:val="20"/>
              </w:rPr>
            </w:pPr>
          </w:p>
        </w:tc>
        <w:tc>
          <w:tcPr>
            <w:tcW w:w="2790" w:type="dxa"/>
            <w:tcBorders>
              <w:left w:val="single" w:sz="4" w:space="0" w:color="auto"/>
              <w:right w:val="single" w:sz="4" w:space="0" w:color="auto"/>
            </w:tcBorders>
          </w:tcPr>
          <w:p w14:paraId="452D3E97" w14:textId="77777777" w:rsidR="004047F2" w:rsidRPr="00712F3C" w:rsidRDefault="004047F2" w:rsidP="00250DAC">
            <w:pPr>
              <w:spacing w:after="0" w:line="240" w:lineRule="auto"/>
              <w:rPr>
                <w:rFonts w:ascii="Times New Roman" w:eastAsia="Calibri" w:hAnsi="Times New Roman"/>
                <w:sz w:val="20"/>
                <w:szCs w:val="20"/>
              </w:rPr>
            </w:pPr>
            <w:r w:rsidRPr="00712F3C">
              <w:rPr>
                <w:rFonts w:ascii="Times New Roman" w:eastAsia="Calibri" w:hAnsi="Times New Roman"/>
                <w:sz w:val="20"/>
                <w:szCs w:val="20"/>
              </w:rPr>
              <w:t>Location Code</w:t>
            </w:r>
          </w:p>
        </w:tc>
      </w:tr>
      <w:tr w:rsidR="004047F2" w:rsidRPr="00712F3C" w14:paraId="304DC19F" w14:textId="77777777" w:rsidTr="00250DAC">
        <w:tc>
          <w:tcPr>
            <w:tcW w:w="900" w:type="dxa"/>
            <w:tcBorders>
              <w:left w:val="single" w:sz="4" w:space="0" w:color="auto"/>
              <w:right w:val="single" w:sz="4" w:space="0" w:color="auto"/>
            </w:tcBorders>
          </w:tcPr>
          <w:p w14:paraId="365E0839" w14:textId="77777777" w:rsidR="004047F2" w:rsidRPr="00712F3C" w:rsidRDefault="004047F2">
            <w:pPr>
              <w:numPr>
                <w:ilvl w:val="0"/>
                <w:numId w:val="209"/>
              </w:numPr>
              <w:spacing w:after="0" w:line="240" w:lineRule="auto"/>
              <w:ind w:left="0"/>
              <w:contextualSpacing/>
              <w:jc w:val="center"/>
              <w:rPr>
                <w:rFonts w:ascii="Times New Roman" w:eastAsia="Calibri" w:hAnsi="Times New Roman"/>
                <w:sz w:val="20"/>
                <w:szCs w:val="20"/>
              </w:rPr>
            </w:pPr>
          </w:p>
        </w:tc>
        <w:tc>
          <w:tcPr>
            <w:tcW w:w="2790" w:type="dxa"/>
            <w:tcBorders>
              <w:left w:val="single" w:sz="4" w:space="0" w:color="auto"/>
              <w:right w:val="single" w:sz="4" w:space="0" w:color="auto"/>
            </w:tcBorders>
          </w:tcPr>
          <w:p w14:paraId="506E3E02" w14:textId="77777777" w:rsidR="004047F2" w:rsidRPr="00712F3C" w:rsidRDefault="004047F2" w:rsidP="00250DAC">
            <w:pPr>
              <w:spacing w:after="0" w:line="240" w:lineRule="auto"/>
              <w:rPr>
                <w:rFonts w:ascii="Times New Roman" w:eastAsia="Calibri" w:hAnsi="Times New Roman"/>
                <w:sz w:val="20"/>
                <w:szCs w:val="20"/>
              </w:rPr>
            </w:pPr>
            <w:r w:rsidRPr="00712F3C">
              <w:rPr>
                <w:rFonts w:ascii="Times New Roman" w:eastAsia="Calibri" w:hAnsi="Times New Roman"/>
                <w:sz w:val="20"/>
                <w:szCs w:val="20"/>
              </w:rPr>
              <w:t>Application No.</w:t>
            </w:r>
          </w:p>
        </w:tc>
      </w:tr>
      <w:tr w:rsidR="004047F2" w:rsidRPr="00712F3C" w14:paraId="1CC9EB69" w14:textId="77777777" w:rsidTr="00250DAC">
        <w:tc>
          <w:tcPr>
            <w:tcW w:w="900" w:type="dxa"/>
            <w:tcBorders>
              <w:left w:val="single" w:sz="4" w:space="0" w:color="auto"/>
              <w:right w:val="single" w:sz="4" w:space="0" w:color="auto"/>
            </w:tcBorders>
          </w:tcPr>
          <w:p w14:paraId="3209C402" w14:textId="77777777" w:rsidR="004047F2" w:rsidRPr="00712F3C" w:rsidRDefault="004047F2">
            <w:pPr>
              <w:numPr>
                <w:ilvl w:val="0"/>
                <w:numId w:val="209"/>
              </w:numPr>
              <w:spacing w:after="0" w:line="240" w:lineRule="auto"/>
              <w:ind w:left="0"/>
              <w:contextualSpacing/>
              <w:jc w:val="center"/>
              <w:rPr>
                <w:rFonts w:ascii="Times New Roman" w:eastAsia="Calibri" w:hAnsi="Times New Roman"/>
                <w:sz w:val="20"/>
                <w:szCs w:val="20"/>
              </w:rPr>
            </w:pPr>
          </w:p>
        </w:tc>
        <w:tc>
          <w:tcPr>
            <w:tcW w:w="2790" w:type="dxa"/>
            <w:tcBorders>
              <w:left w:val="single" w:sz="4" w:space="0" w:color="auto"/>
              <w:right w:val="single" w:sz="4" w:space="0" w:color="auto"/>
            </w:tcBorders>
          </w:tcPr>
          <w:p w14:paraId="3BB15300" w14:textId="77777777" w:rsidR="004047F2" w:rsidRPr="00712F3C" w:rsidRDefault="004047F2" w:rsidP="00250DAC">
            <w:pPr>
              <w:spacing w:after="0" w:line="240" w:lineRule="auto"/>
              <w:rPr>
                <w:rFonts w:ascii="Times New Roman" w:eastAsia="Calibri" w:hAnsi="Times New Roman"/>
                <w:sz w:val="20"/>
                <w:szCs w:val="20"/>
              </w:rPr>
            </w:pPr>
            <w:r w:rsidRPr="00712F3C">
              <w:rPr>
                <w:rFonts w:ascii="Times New Roman" w:eastAsia="Calibri" w:hAnsi="Times New Roman"/>
                <w:sz w:val="20"/>
                <w:szCs w:val="20"/>
              </w:rPr>
              <w:t>Category</w:t>
            </w:r>
          </w:p>
        </w:tc>
      </w:tr>
      <w:tr w:rsidR="004047F2" w:rsidRPr="00712F3C" w14:paraId="4CBA9DCF" w14:textId="77777777" w:rsidTr="00250DAC">
        <w:tc>
          <w:tcPr>
            <w:tcW w:w="900" w:type="dxa"/>
            <w:tcBorders>
              <w:left w:val="single" w:sz="4" w:space="0" w:color="auto"/>
              <w:right w:val="single" w:sz="4" w:space="0" w:color="auto"/>
            </w:tcBorders>
          </w:tcPr>
          <w:p w14:paraId="0958EEC5" w14:textId="77777777" w:rsidR="004047F2" w:rsidRPr="00712F3C" w:rsidRDefault="004047F2">
            <w:pPr>
              <w:numPr>
                <w:ilvl w:val="0"/>
                <w:numId w:val="209"/>
              </w:numPr>
              <w:spacing w:after="0" w:line="240" w:lineRule="auto"/>
              <w:ind w:left="0"/>
              <w:contextualSpacing/>
              <w:jc w:val="center"/>
              <w:rPr>
                <w:rFonts w:ascii="Times New Roman" w:eastAsia="Calibri" w:hAnsi="Times New Roman"/>
                <w:sz w:val="20"/>
                <w:szCs w:val="20"/>
              </w:rPr>
            </w:pPr>
          </w:p>
        </w:tc>
        <w:tc>
          <w:tcPr>
            <w:tcW w:w="2790" w:type="dxa"/>
            <w:tcBorders>
              <w:left w:val="single" w:sz="4" w:space="0" w:color="auto"/>
              <w:right w:val="single" w:sz="4" w:space="0" w:color="auto"/>
            </w:tcBorders>
          </w:tcPr>
          <w:p w14:paraId="33CCA3F4" w14:textId="77777777" w:rsidR="004047F2" w:rsidRPr="00712F3C" w:rsidRDefault="004047F2" w:rsidP="00250DAC">
            <w:pPr>
              <w:spacing w:after="0" w:line="240" w:lineRule="auto"/>
              <w:rPr>
                <w:rFonts w:ascii="Times New Roman" w:eastAsia="Calibri" w:hAnsi="Times New Roman"/>
                <w:sz w:val="20"/>
                <w:szCs w:val="20"/>
              </w:rPr>
            </w:pPr>
            <w:r w:rsidRPr="00712F3C">
              <w:rPr>
                <w:rFonts w:ascii="Times New Roman" w:eastAsia="Calibri" w:hAnsi="Times New Roman"/>
                <w:sz w:val="20"/>
                <w:szCs w:val="20"/>
              </w:rPr>
              <w:t>PAN</w:t>
            </w:r>
          </w:p>
        </w:tc>
      </w:tr>
      <w:tr w:rsidR="004047F2" w:rsidRPr="00712F3C" w14:paraId="5EC02111" w14:textId="77777777" w:rsidTr="00250DAC">
        <w:tc>
          <w:tcPr>
            <w:tcW w:w="900" w:type="dxa"/>
            <w:tcBorders>
              <w:left w:val="single" w:sz="4" w:space="0" w:color="auto"/>
              <w:right w:val="single" w:sz="4" w:space="0" w:color="auto"/>
            </w:tcBorders>
          </w:tcPr>
          <w:p w14:paraId="2E44E3B2" w14:textId="77777777" w:rsidR="004047F2" w:rsidRPr="00712F3C" w:rsidRDefault="004047F2">
            <w:pPr>
              <w:numPr>
                <w:ilvl w:val="0"/>
                <w:numId w:val="209"/>
              </w:numPr>
              <w:spacing w:after="0" w:line="240" w:lineRule="auto"/>
              <w:ind w:left="0"/>
              <w:contextualSpacing/>
              <w:jc w:val="center"/>
              <w:rPr>
                <w:rFonts w:ascii="Times New Roman" w:eastAsia="Calibri" w:hAnsi="Times New Roman"/>
                <w:sz w:val="20"/>
                <w:szCs w:val="20"/>
              </w:rPr>
            </w:pPr>
          </w:p>
        </w:tc>
        <w:tc>
          <w:tcPr>
            <w:tcW w:w="2790" w:type="dxa"/>
            <w:tcBorders>
              <w:left w:val="single" w:sz="4" w:space="0" w:color="auto"/>
              <w:right w:val="single" w:sz="4" w:space="0" w:color="auto"/>
            </w:tcBorders>
          </w:tcPr>
          <w:p w14:paraId="23DFE0CF" w14:textId="77777777" w:rsidR="004047F2" w:rsidRPr="00712F3C" w:rsidRDefault="004047F2" w:rsidP="00250DAC">
            <w:pPr>
              <w:spacing w:after="0" w:line="240" w:lineRule="auto"/>
              <w:rPr>
                <w:rFonts w:ascii="Times New Roman" w:eastAsia="Calibri" w:hAnsi="Times New Roman"/>
                <w:sz w:val="20"/>
                <w:szCs w:val="20"/>
              </w:rPr>
            </w:pPr>
            <w:r w:rsidRPr="00712F3C">
              <w:rPr>
                <w:rFonts w:ascii="Times New Roman" w:eastAsia="Calibri" w:hAnsi="Times New Roman"/>
                <w:sz w:val="20"/>
                <w:szCs w:val="20"/>
              </w:rPr>
              <w:t>DP ID</w:t>
            </w:r>
          </w:p>
        </w:tc>
      </w:tr>
      <w:tr w:rsidR="004047F2" w:rsidRPr="00712F3C" w14:paraId="272EF5B1" w14:textId="77777777" w:rsidTr="00250DAC">
        <w:tc>
          <w:tcPr>
            <w:tcW w:w="900" w:type="dxa"/>
            <w:tcBorders>
              <w:left w:val="single" w:sz="4" w:space="0" w:color="auto"/>
              <w:right w:val="single" w:sz="4" w:space="0" w:color="auto"/>
            </w:tcBorders>
          </w:tcPr>
          <w:p w14:paraId="0BC1680A" w14:textId="77777777" w:rsidR="004047F2" w:rsidRPr="00712F3C" w:rsidRDefault="004047F2">
            <w:pPr>
              <w:numPr>
                <w:ilvl w:val="0"/>
                <w:numId w:val="209"/>
              </w:numPr>
              <w:spacing w:after="0" w:line="240" w:lineRule="auto"/>
              <w:ind w:left="0"/>
              <w:contextualSpacing/>
              <w:jc w:val="center"/>
              <w:rPr>
                <w:rFonts w:ascii="Times New Roman" w:eastAsia="Calibri" w:hAnsi="Times New Roman"/>
                <w:sz w:val="20"/>
                <w:szCs w:val="20"/>
              </w:rPr>
            </w:pPr>
          </w:p>
        </w:tc>
        <w:tc>
          <w:tcPr>
            <w:tcW w:w="2790" w:type="dxa"/>
            <w:tcBorders>
              <w:left w:val="single" w:sz="4" w:space="0" w:color="auto"/>
              <w:right w:val="single" w:sz="4" w:space="0" w:color="auto"/>
            </w:tcBorders>
          </w:tcPr>
          <w:p w14:paraId="15C0F977" w14:textId="77777777" w:rsidR="004047F2" w:rsidRPr="00712F3C" w:rsidRDefault="004047F2" w:rsidP="00250DAC">
            <w:pPr>
              <w:spacing w:after="0" w:line="240" w:lineRule="auto"/>
              <w:rPr>
                <w:rFonts w:ascii="Times New Roman" w:eastAsia="Calibri" w:hAnsi="Times New Roman"/>
                <w:sz w:val="20"/>
                <w:szCs w:val="20"/>
              </w:rPr>
            </w:pPr>
            <w:r w:rsidRPr="00712F3C">
              <w:rPr>
                <w:rFonts w:ascii="Times New Roman" w:eastAsia="Calibri" w:hAnsi="Times New Roman"/>
                <w:sz w:val="20"/>
                <w:szCs w:val="20"/>
              </w:rPr>
              <w:t>Client ID</w:t>
            </w:r>
          </w:p>
        </w:tc>
      </w:tr>
      <w:tr w:rsidR="004047F2" w:rsidRPr="00712F3C" w14:paraId="07971271" w14:textId="77777777" w:rsidTr="00250DAC">
        <w:tc>
          <w:tcPr>
            <w:tcW w:w="900" w:type="dxa"/>
            <w:tcBorders>
              <w:left w:val="single" w:sz="4" w:space="0" w:color="auto"/>
              <w:right w:val="single" w:sz="4" w:space="0" w:color="auto"/>
            </w:tcBorders>
          </w:tcPr>
          <w:p w14:paraId="4F944843" w14:textId="77777777" w:rsidR="004047F2" w:rsidRPr="00712F3C" w:rsidRDefault="004047F2">
            <w:pPr>
              <w:numPr>
                <w:ilvl w:val="0"/>
                <w:numId w:val="209"/>
              </w:numPr>
              <w:spacing w:after="0" w:line="240" w:lineRule="auto"/>
              <w:ind w:left="0"/>
              <w:contextualSpacing/>
              <w:jc w:val="center"/>
              <w:rPr>
                <w:rFonts w:ascii="Times New Roman" w:eastAsia="Calibri" w:hAnsi="Times New Roman"/>
                <w:sz w:val="20"/>
                <w:szCs w:val="20"/>
              </w:rPr>
            </w:pPr>
          </w:p>
        </w:tc>
        <w:tc>
          <w:tcPr>
            <w:tcW w:w="2790" w:type="dxa"/>
            <w:tcBorders>
              <w:left w:val="single" w:sz="4" w:space="0" w:color="auto"/>
              <w:right w:val="single" w:sz="4" w:space="0" w:color="auto"/>
            </w:tcBorders>
          </w:tcPr>
          <w:p w14:paraId="06A51EB1" w14:textId="77777777" w:rsidR="004047F2" w:rsidRPr="00712F3C" w:rsidRDefault="004047F2" w:rsidP="00250DAC">
            <w:pPr>
              <w:spacing w:after="0" w:line="240" w:lineRule="auto"/>
              <w:rPr>
                <w:rFonts w:ascii="Times New Roman" w:eastAsia="Calibri" w:hAnsi="Times New Roman"/>
                <w:sz w:val="20"/>
                <w:szCs w:val="20"/>
              </w:rPr>
            </w:pPr>
            <w:r w:rsidRPr="00712F3C">
              <w:rPr>
                <w:rFonts w:ascii="Times New Roman" w:eastAsia="Calibri" w:hAnsi="Times New Roman"/>
                <w:sz w:val="20"/>
                <w:szCs w:val="20"/>
              </w:rPr>
              <w:t>Quantity</w:t>
            </w:r>
          </w:p>
        </w:tc>
      </w:tr>
      <w:tr w:rsidR="004047F2" w:rsidRPr="00712F3C" w14:paraId="46E98E65" w14:textId="77777777" w:rsidTr="00250DAC">
        <w:tc>
          <w:tcPr>
            <w:tcW w:w="900" w:type="dxa"/>
            <w:tcBorders>
              <w:left w:val="single" w:sz="4" w:space="0" w:color="auto"/>
              <w:right w:val="single" w:sz="4" w:space="0" w:color="auto"/>
            </w:tcBorders>
          </w:tcPr>
          <w:p w14:paraId="49AB3DFC" w14:textId="77777777" w:rsidR="004047F2" w:rsidRPr="00712F3C" w:rsidRDefault="004047F2">
            <w:pPr>
              <w:numPr>
                <w:ilvl w:val="0"/>
                <w:numId w:val="209"/>
              </w:numPr>
              <w:spacing w:after="0" w:line="240" w:lineRule="auto"/>
              <w:ind w:left="0"/>
              <w:contextualSpacing/>
              <w:jc w:val="center"/>
              <w:rPr>
                <w:rFonts w:ascii="Times New Roman" w:eastAsia="Calibri" w:hAnsi="Times New Roman"/>
                <w:sz w:val="20"/>
                <w:szCs w:val="20"/>
              </w:rPr>
            </w:pPr>
          </w:p>
        </w:tc>
        <w:tc>
          <w:tcPr>
            <w:tcW w:w="2790" w:type="dxa"/>
            <w:tcBorders>
              <w:left w:val="single" w:sz="4" w:space="0" w:color="auto"/>
              <w:right w:val="single" w:sz="4" w:space="0" w:color="auto"/>
            </w:tcBorders>
          </w:tcPr>
          <w:p w14:paraId="4975CA95" w14:textId="77777777" w:rsidR="004047F2" w:rsidRPr="00712F3C" w:rsidRDefault="004047F2" w:rsidP="00250DAC">
            <w:pPr>
              <w:spacing w:after="0" w:line="240" w:lineRule="auto"/>
              <w:rPr>
                <w:rFonts w:ascii="Times New Roman" w:eastAsia="Calibri" w:hAnsi="Times New Roman"/>
                <w:sz w:val="20"/>
                <w:szCs w:val="20"/>
              </w:rPr>
            </w:pPr>
            <w:r w:rsidRPr="00712F3C">
              <w:rPr>
                <w:rFonts w:ascii="Times New Roman" w:eastAsia="Calibri" w:hAnsi="Times New Roman"/>
                <w:sz w:val="20"/>
                <w:szCs w:val="20"/>
              </w:rPr>
              <w:t>Amount</w:t>
            </w:r>
          </w:p>
        </w:tc>
      </w:tr>
    </w:tbl>
    <w:p w14:paraId="0908917C" w14:textId="77777777" w:rsidR="004047F2" w:rsidRPr="00712F3C" w:rsidRDefault="004047F2" w:rsidP="004047F2">
      <w:pPr>
        <w:suppressAutoHyphens/>
        <w:autoSpaceDE w:val="0"/>
        <w:autoSpaceDN w:val="0"/>
        <w:adjustRightInd w:val="0"/>
        <w:spacing w:after="0" w:line="240" w:lineRule="auto"/>
        <w:ind w:firstLine="360"/>
        <w:textAlignment w:val="center"/>
        <w:rPr>
          <w:rFonts w:ascii="Times New Roman" w:eastAsia="Calibri" w:hAnsi="Times New Roman"/>
          <w:i/>
          <w:sz w:val="20"/>
          <w:szCs w:val="20"/>
        </w:rPr>
      </w:pPr>
      <w:r w:rsidRPr="00712F3C">
        <w:rPr>
          <w:rFonts w:ascii="Times New Roman" w:eastAsia="Calibri" w:hAnsi="Times New Roman"/>
          <w:i/>
          <w:sz w:val="20"/>
          <w:szCs w:val="20"/>
        </w:rPr>
        <w:t>*Stock Exchanges shall uniformly prescribe character length for each of the above-mentioned fields</w:t>
      </w:r>
    </w:p>
    <w:p w14:paraId="28C1FEE4" w14:textId="77777777" w:rsidR="004047F2" w:rsidRPr="00712F3C" w:rsidRDefault="004047F2" w:rsidP="004047F2">
      <w:pPr>
        <w:suppressAutoHyphens/>
        <w:autoSpaceDE w:val="0"/>
        <w:autoSpaceDN w:val="0"/>
        <w:adjustRightInd w:val="0"/>
        <w:spacing w:after="0" w:line="240" w:lineRule="auto"/>
        <w:textAlignment w:val="center"/>
        <w:rPr>
          <w:rFonts w:ascii="Times New Roman" w:eastAsia="Calibri" w:hAnsi="Times New Roman"/>
          <w:i/>
          <w:sz w:val="20"/>
          <w:szCs w:val="20"/>
        </w:rPr>
      </w:pPr>
    </w:p>
    <w:p w14:paraId="355C3730" w14:textId="77777777" w:rsidR="004047F2" w:rsidRPr="00712F3C" w:rsidRDefault="004047F2">
      <w:pPr>
        <w:widowControl w:val="0"/>
        <w:numPr>
          <w:ilvl w:val="0"/>
          <w:numId w:val="211"/>
        </w:numPr>
        <w:spacing w:after="0" w:line="240" w:lineRule="auto"/>
        <w:ind w:left="426"/>
        <w:contextualSpacing/>
        <w:jc w:val="both"/>
        <w:rPr>
          <w:rFonts w:ascii="Times New Roman" w:eastAsia="Calibri" w:hAnsi="Times New Roman"/>
          <w:sz w:val="20"/>
          <w:szCs w:val="20"/>
        </w:rPr>
      </w:pPr>
      <w:r w:rsidRPr="00712F3C">
        <w:rPr>
          <w:rFonts w:ascii="Times New Roman" w:eastAsia="Calibri" w:hAnsi="Times New Roman"/>
          <w:sz w:val="20"/>
          <w:szCs w:val="20"/>
        </w:rPr>
        <w:t xml:space="preserve">With respect to applications by Bidders, at the time of registering such applications, the </w:t>
      </w:r>
      <w:r w:rsidRPr="00712F3C">
        <w:rPr>
          <w:rFonts w:ascii="Times New Roman" w:eastAsia="MS Mincho" w:hAnsi="Times New Roman"/>
          <w:sz w:val="20"/>
          <w:szCs w:val="20"/>
          <w:lang w:val="en-GB"/>
        </w:rPr>
        <w:t xml:space="preserve">Designated Intermediaries </w:t>
      </w:r>
      <w:r w:rsidRPr="00712F3C">
        <w:rPr>
          <w:rFonts w:ascii="Times New Roman" w:eastAsia="Calibri" w:hAnsi="Times New Roman"/>
          <w:sz w:val="20"/>
          <w:szCs w:val="20"/>
        </w:rPr>
        <w:t>shall enter the following information pertaining to the Bidders into in the on-line system:</w:t>
      </w:r>
    </w:p>
    <w:p w14:paraId="2DBDF56B" w14:textId="77777777" w:rsidR="004047F2" w:rsidRPr="00712F3C" w:rsidRDefault="004047F2">
      <w:pPr>
        <w:numPr>
          <w:ilvl w:val="0"/>
          <w:numId w:val="215"/>
        </w:numPr>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Name of the Bidder;</w:t>
      </w:r>
    </w:p>
    <w:p w14:paraId="6B7CE090" w14:textId="77777777" w:rsidR="004047F2" w:rsidRPr="00712F3C" w:rsidRDefault="004047F2">
      <w:pPr>
        <w:numPr>
          <w:ilvl w:val="0"/>
          <w:numId w:val="215"/>
        </w:numPr>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IPO Name:</w:t>
      </w:r>
    </w:p>
    <w:p w14:paraId="30BFD439" w14:textId="77777777" w:rsidR="004047F2" w:rsidRPr="00712F3C" w:rsidRDefault="004047F2">
      <w:pPr>
        <w:numPr>
          <w:ilvl w:val="0"/>
          <w:numId w:val="215"/>
        </w:numPr>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Bid Cum Application Form Number;</w:t>
      </w:r>
    </w:p>
    <w:p w14:paraId="4A3D555D" w14:textId="77777777" w:rsidR="004047F2" w:rsidRPr="00712F3C" w:rsidRDefault="004047F2">
      <w:pPr>
        <w:numPr>
          <w:ilvl w:val="0"/>
          <w:numId w:val="215"/>
        </w:numPr>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Investor Category;</w:t>
      </w:r>
    </w:p>
    <w:p w14:paraId="2E00B5A4" w14:textId="77777777" w:rsidR="004047F2" w:rsidRPr="00712F3C" w:rsidRDefault="004047F2">
      <w:pPr>
        <w:numPr>
          <w:ilvl w:val="0"/>
          <w:numId w:val="215"/>
        </w:numPr>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PAN (of First Bidder, if more than one Bidder);</w:t>
      </w:r>
    </w:p>
    <w:p w14:paraId="6C451AC9" w14:textId="77777777" w:rsidR="004047F2" w:rsidRPr="00712F3C" w:rsidRDefault="004047F2">
      <w:pPr>
        <w:numPr>
          <w:ilvl w:val="0"/>
          <w:numId w:val="215"/>
        </w:numPr>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DP ID of the demat account of the Bidder;</w:t>
      </w:r>
    </w:p>
    <w:p w14:paraId="3221726D" w14:textId="77777777" w:rsidR="004047F2" w:rsidRPr="00712F3C" w:rsidRDefault="004047F2">
      <w:pPr>
        <w:numPr>
          <w:ilvl w:val="0"/>
          <w:numId w:val="215"/>
        </w:numPr>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Client Identification Number of the demat account of the Bidder;</w:t>
      </w:r>
    </w:p>
    <w:p w14:paraId="482F9E88" w14:textId="77777777" w:rsidR="004047F2" w:rsidRPr="00712F3C" w:rsidRDefault="004047F2">
      <w:pPr>
        <w:numPr>
          <w:ilvl w:val="0"/>
          <w:numId w:val="215"/>
        </w:numPr>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Number of Equity Shares Applied for;</w:t>
      </w:r>
    </w:p>
    <w:p w14:paraId="65E1A690" w14:textId="77777777" w:rsidR="004047F2" w:rsidRPr="00712F3C" w:rsidRDefault="004047F2">
      <w:pPr>
        <w:numPr>
          <w:ilvl w:val="0"/>
          <w:numId w:val="215"/>
        </w:numPr>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Bank Account details;</w:t>
      </w:r>
    </w:p>
    <w:p w14:paraId="1CBFD661" w14:textId="77777777" w:rsidR="004047F2" w:rsidRPr="00712F3C" w:rsidRDefault="004047F2">
      <w:pPr>
        <w:numPr>
          <w:ilvl w:val="0"/>
          <w:numId w:val="215"/>
        </w:numPr>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Locations of the Banker to the Issue or Designated Branch, as applicable, and bank code of the SCSB branch where the ASBA Account is maintained; and</w:t>
      </w:r>
    </w:p>
    <w:p w14:paraId="06900894" w14:textId="77777777" w:rsidR="004047F2" w:rsidRPr="00712F3C" w:rsidRDefault="004047F2">
      <w:pPr>
        <w:numPr>
          <w:ilvl w:val="0"/>
          <w:numId w:val="215"/>
        </w:numPr>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Bank account number.</w:t>
      </w:r>
    </w:p>
    <w:p w14:paraId="5EA5D83A" w14:textId="77777777" w:rsidR="004047F2" w:rsidRPr="00712F3C" w:rsidRDefault="004047F2" w:rsidP="004047F2">
      <w:pPr>
        <w:suppressAutoHyphens/>
        <w:autoSpaceDE w:val="0"/>
        <w:autoSpaceDN w:val="0"/>
        <w:adjustRightInd w:val="0"/>
        <w:spacing w:after="0" w:line="240" w:lineRule="auto"/>
        <w:jc w:val="both"/>
        <w:textAlignment w:val="center"/>
        <w:rPr>
          <w:rFonts w:ascii="Times New Roman" w:eastAsia="Calibri" w:hAnsi="Times New Roman"/>
          <w:sz w:val="20"/>
          <w:szCs w:val="20"/>
        </w:rPr>
      </w:pPr>
    </w:p>
    <w:p w14:paraId="1B650755" w14:textId="77777777" w:rsidR="004047F2" w:rsidRPr="00712F3C" w:rsidRDefault="004047F2">
      <w:pPr>
        <w:widowControl w:val="0"/>
        <w:numPr>
          <w:ilvl w:val="0"/>
          <w:numId w:val="211"/>
        </w:numPr>
        <w:spacing w:after="0" w:line="240" w:lineRule="auto"/>
        <w:ind w:left="360"/>
        <w:contextualSpacing/>
        <w:jc w:val="both"/>
        <w:rPr>
          <w:rFonts w:ascii="Times New Roman" w:eastAsia="Calibri" w:hAnsi="Times New Roman"/>
          <w:sz w:val="20"/>
          <w:szCs w:val="20"/>
        </w:rPr>
      </w:pPr>
      <w:r w:rsidRPr="00712F3C">
        <w:rPr>
          <w:rFonts w:ascii="Times New Roman" w:eastAsia="Calibri" w:hAnsi="Times New Roman"/>
          <w:sz w:val="20"/>
          <w:szCs w:val="20"/>
        </w:rPr>
        <w:t>In case of submission of the Application by a Bidder through the Electronic Mode, the Bidder shall complete the above-mentioned details and mention the bank account number, except the Electronic ASBA Bid Cum Application Form number which shall be system generated.</w:t>
      </w:r>
    </w:p>
    <w:p w14:paraId="0DD70EB1" w14:textId="77777777" w:rsidR="004047F2" w:rsidRPr="00712F3C" w:rsidRDefault="004047F2" w:rsidP="004047F2">
      <w:pPr>
        <w:suppressAutoHyphens/>
        <w:autoSpaceDE w:val="0"/>
        <w:autoSpaceDN w:val="0"/>
        <w:adjustRightInd w:val="0"/>
        <w:spacing w:after="0" w:line="240" w:lineRule="auto"/>
        <w:ind w:left="360"/>
        <w:jc w:val="both"/>
        <w:textAlignment w:val="center"/>
        <w:rPr>
          <w:rFonts w:ascii="Times New Roman" w:eastAsia="Calibri" w:hAnsi="Times New Roman"/>
          <w:sz w:val="20"/>
          <w:szCs w:val="20"/>
        </w:rPr>
      </w:pPr>
    </w:p>
    <w:p w14:paraId="0E5B425E" w14:textId="77777777" w:rsidR="004047F2" w:rsidRPr="00712F3C" w:rsidRDefault="004047F2">
      <w:pPr>
        <w:widowControl w:val="0"/>
        <w:numPr>
          <w:ilvl w:val="0"/>
          <w:numId w:val="211"/>
        </w:numPr>
        <w:spacing w:after="0" w:line="240" w:lineRule="auto"/>
        <w:ind w:left="360"/>
        <w:contextualSpacing/>
        <w:jc w:val="both"/>
        <w:rPr>
          <w:rFonts w:ascii="Times New Roman" w:eastAsia="Calibri" w:hAnsi="Times New Roman"/>
          <w:sz w:val="20"/>
          <w:szCs w:val="20"/>
        </w:rPr>
      </w:pPr>
      <w:r w:rsidRPr="00712F3C">
        <w:rPr>
          <w:rFonts w:ascii="Times New Roman" w:eastAsia="Calibri" w:hAnsi="Times New Roman"/>
          <w:sz w:val="20"/>
          <w:szCs w:val="20"/>
        </w:rPr>
        <w:t xml:space="preserve">The aforesaid Designated Intermediaries shall, at the time of receipt of application, give an acknowledgment to the investor, by giving the counter foil or specifying the application number to the investor, as a proof of having accepted the Bid Cum </w:t>
      </w:r>
      <w:r w:rsidRPr="00712F3C">
        <w:rPr>
          <w:rFonts w:ascii="Times New Roman" w:eastAsia="Calibri" w:hAnsi="Times New Roman"/>
          <w:sz w:val="20"/>
          <w:szCs w:val="20"/>
        </w:rPr>
        <w:lastRenderedPageBreak/>
        <w:t>Application Form in physical as well as electronic mode. The registration of the Application by the Designated Intermediaries does not guarantee that the Equity Shares shall be allocated / allotted either by our Company.</w:t>
      </w:r>
    </w:p>
    <w:p w14:paraId="5E0DCE1D" w14:textId="77777777" w:rsidR="004047F2" w:rsidRPr="00712F3C" w:rsidRDefault="004047F2" w:rsidP="004047F2">
      <w:pPr>
        <w:widowControl w:val="0"/>
        <w:suppressAutoHyphens/>
        <w:autoSpaceDE w:val="0"/>
        <w:autoSpaceDN w:val="0"/>
        <w:adjustRightInd w:val="0"/>
        <w:spacing w:after="0" w:line="240" w:lineRule="auto"/>
        <w:ind w:left="360"/>
        <w:jc w:val="both"/>
        <w:textAlignment w:val="center"/>
        <w:rPr>
          <w:rFonts w:ascii="Times New Roman" w:eastAsia="Calibri" w:hAnsi="Times New Roman"/>
          <w:sz w:val="20"/>
          <w:szCs w:val="20"/>
        </w:rPr>
      </w:pPr>
    </w:p>
    <w:p w14:paraId="52A910B1" w14:textId="77777777" w:rsidR="004047F2" w:rsidRPr="00712F3C" w:rsidRDefault="004047F2">
      <w:pPr>
        <w:widowControl w:val="0"/>
        <w:numPr>
          <w:ilvl w:val="0"/>
          <w:numId w:val="211"/>
        </w:numPr>
        <w:spacing w:after="0" w:line="240" w:lineRule="auto"/>
        <w:ind w:left="360"/>
        <w:contextualSpacing/>
        <w:jc w:val="both"/>
        <w:rPr>
          <w:rFonts w:ascii="Times New Roman" w:eastAsia="Calibri" w:hAnsi="Times New Roman"/>
          <w:sz w:val="20"/>
          <w:szCs w:val="20"/>
        </w:rPr>
      </w:pPr>
      <w:r w:rsidRPr="00712F3C">
        <w:rPr>
          <w:rFonts w:ascii="Times New Roman" w:eastAsia="Calibri" w:hAnsi="Times New Roman"/>
          <w:sz w:val="20"/>
          <w:szCs w:val="20"/>
        </w:rPr>
        <w:t>Such acknowledgment will be non-negotiable and by itself will not create any obligation of any kind.</w:t>
      </w:r>
    </w:p>
    <w:p w14:paraId="3AF22E31" w14:textId="77777777" w:rsidR="004047F2" w:rsidRPr="00712F3C" w:rsidRDefault="004047F2" w:rsidP="004047F2">
      <w:pPr>
        <w:widowControl w:val="0"/>
        <w:suppressAutoHyphens/>
        <w:autoSpaceDE w:val="0"/>
        <w:autoSpaceDN w:val="0"/>
        <w:adjustRightInd w:val="0"/>
        <w:spacing w:after="0" w:line="240" w:lineRule="auto"/>
        <w:ind w:left="360"/>
        <w:jc w:val="both"/>
        <w:textAlignment w:val="center"/>
        <w:rPr>
          <w:rFonts w:ascii="Times New Roman" w:eastAsia="Calibri" w:hAnsi="Times New Roman"/>
          <w:sz w:val="20"/>
          <w:szCs w:val="20"/>
        </w:rPr>
      </w:pPr>
    </w:p>
    <w:p w14:paraId="77E2EA1C" w14:textId="77777777" w:rsidR="004047F2" w:rsidRPr="00712F3C" w:rsidRDefault="004047F2">
      <w:pPr>
        <w:widowControl w:val="0"/>
        <w:numPr>
          <w:ilvl w:val="0"/>
          <w:numId w:val="211"/>
        </w:numPr>
        <w:spacing w:after="0" w:line="240" w:lineRule="auto"/>
        <w:ind w:left="360"/>
        <w:contextualSpacing/>
        <w:jc w:val="both"/>
        <w:rPr>
          <w:rFonts w:ascii="Times New Roman" w:eastAsia="Calibri" w:hAnsi="Times New Roman"/>
          <w:sz w:val="20"/>
          <w:szCs w:val="20"/>
        </w:rPr>
      </w:pPr>
      <w:r w:rsidRPr="00712F3C">
        <w:rPr>
          <w:rFonts w:ascii="Times New Roman" w:eastAsia="Calibri" w:hAnsi="Times New Roman"/>
          <w:sz w:val="20"/>
          <w:szCs w:val="20"/>
        </w:rPr>
        <w:t>In case of Non-Retail Bidders and Retail Individual Bidders, applications would not be rejected except on the technical grounds as mentioned in the Draft Red Herring Prospectus. The Designated Intermediaries shall have no right to reject applications, except on technical grounds.</w:t>
      </w:r>
    </w:p>
    <w:p w14:paraId="573C2BFB" w14:textId="77777777" w:rsidR="004047F2" w:rsidRPr="00712F3C" w:rsidRDefault="004047F2" w:rsidP="004047F2">
      <w:pPr>
        <w:widowControl w:val="0"/>
        <w:suppressAutoHyphens/>
        <w:autoSpaceDE w:val="0"/>
        <w:autoSpaceDN w:val="0"/>
        <w:adjustRightInd w:val="0"/>
        <w:spacing w:after="0" w:line="240" w:lineRule="auto"/>
        <w:ind w:left="360"/>
        <w:jc w:val="both"/>
        <w:textAlignment w:val="center"/>
        <w:rPr>
          <w:rFonts w:ascii="Times New Roman" w:eastAsia="Calibri" w:hAnsi="Times New Roman"/>
          <w:sz w:val="20"/>
          <w:szCs w:val="20"/>
        </w:rPr>
      </w:pPr>
    </w:p>
    <w:p w14:paraId="3A70271B" w14:textId="77777777" w:rsidR="004047F2" w:rsidRPr="00712F3C" w:rsidRDefault="004047F2">
      <w:pPr>
        <w:widowControl w:val="0"/>
        <w:numPr>
          <w:ilvl w:val="0"/>
          <w:numId w:val="211"/>
        </w:numPr>
        <w:spacing w:after="0" w:line="240" w:lineRule="auto"/>
        <w:ind w:left="360"/>
        <w:contextualSpacing/>
        <w:jc w:val="both"/>
        <w:rPr>
          <w:rFonts w:ascii="Times New Roman" w:eastAsia="Calibri" w:hAnsi="Times New Roman"/>
          <w:sz w:val="20"/>
          <w:szCs w:val="20"/>
        </w:rPr>
      </w:pPr>
      <w:r w:rsidRPr="00712F3C">
        <w:rPr>
          <w:rFonts w:ascii="Times New Roman" w:eastAsia="Calibri" w:hAnsi="Times New Roman"/>
          <w:sz w:val="20"/>
          <w:szCs w:val="20"/>
        </w:rPr>
        <w:t xml:space="preserve">The permission given by the Stock Exchanges to use their network and software of the Online IPO system should not in any way be deemed or construed to mean that the compliance with various statutory and other requirements by our Company and/or the Book Running Lead Manager are cleared or approved by the Stock Exchanges; nor does it in any manner warrant, certify or endorse </w:t>
      </w:r>
      <w:r>
        <w:rPr>
          <w:rFonts w:ascii="Times New Roman" w:eastAsia="Calibri" w:hAnsi="Times New Roman"/>
          <w:sz w:val="20"/>
          <w:szCs w:val="20"/>
        </w:rPr>
        <w:t>the correctness or completeness</w:t>
      </w:r>
      <w:r w:rsidRPr="00712F3C">
        <w:rPr>
          <w:rFonts w:ascii="Times New Roman" w:eastAsia="Calibri" w:hAnsi="Times New Roman"/>
          <w:sz w:val="20"/>
          <w:szCs w:val="20"/>
        </w:rPr>
        <w:t xml:space="preserve"> of any of the compliance with the statutory and other requirements nor does it take any responsibility for the financial or other soundness of our company; our Promoter, our management or any scheme or project of our Company; nor does it in any manner warrant, certify or endorse the correctness or completeness of any of the contents of this Draft Red Herring Prospectus, nor does it warrant that the Equity Shares will be listed or will continue to be listed on the Stock Exchanges.</w:t>
      </w:r>
    </w:p>
    <w:p w14:paraId="7B99185D" w14:textId="77777777" w:rsidR="004047F2" w:rsidRPr="00712F3C" w:rsidRDefault="004047F2" w:rsidP="004047F2">
      <w:pPr>
        <w:widowControl w:val="0"/>
        <w:suppressAutoHyphens/>
        <w:autoSpaceDE w:val="0"/>
        <w:autoSpaceDN w:val="0"/>
        <w:adjustRightInd w:val="0"/>
        <w:spacing w:after="0" w:line="240" w:lineRule="auto"/>
        <w:ind w:left="360"/>
        <w:jc w:val="both"/>
        <w:textAlignment w:val="center"/>
        <w:rPr>
          <w:rFonts w:ascii="Times New Roman" w:eastAsia="Calibri" w:hAnsi="Times New Roman"/>
          <w:sz w:val="20"/>
          <w:szCs w:val="20"/>
        </w:rPr>
      </w:pPr>
    </w:p>
    <w:p w14:paraId="3B4894A8" w14:textId="77777777" w:rsidR="004047F2" w:rsidRPr="00712F3C" w:rsidRDefault="004047F2">
      <w:pPr>
        <w:widowControl w:val="0"/>
        <w:numPr>
          <w:ilvl w:val="0"/>
          <w:numId w:val="211"/>
        </w:numPr>
        <w:spacing w:after="0" w:line="240" w:lineRule="auto"/>
        <w:ind w:left="360"/>
        <w:contextualSpacing/>
        <w:jc w:val="both"/>
        <w:rPr>
          <w:rFonts w:ascii="Times New Roman" w:eastAsia="Calibri" w:hAnsi="Times New Roman"/>
          <w:sz w:val="20"/>
          <w:szCs w:val="20"/>
        </w:rPr>
      </w:pPr>
      <w:r w:rsidRPr="00712F3C">
        <w:rPr>
          <w:rFonts w:ascii="Times New Roman" w:eastAsia="Calibri" w:hAnsi="Times New Roman"/>
          <w:sz w:val="20"/>
          <w:szCs w:val="20"/>
        </w:rPr>
        <w:t>The Designated Intermediaries will be given time till 5.00 p.m. on the Bid/Issue Closing Date to verify the DP ID and Client ID uploaded in the online IPO system during the Issue Period, after which the Registrar to the Issue will receive this data from the Stock Exchange and will validate the electronic application details with Depository’s records. In case no corresponding record is available with Depositories, which matches the three parameters, namely DP ID, Client ID and PAN, then such applications are liable to be rejected.</w:t>
      </w:r>
    </w:p>
    <w:p w14:paraId="6A7BC805" w14:textId="77777777" w:rsidR="004047F2" w:rsidRPr="00712F3C" w:rsidRDefault="004047F2" w:rsidP="004047F2">
      <w:pPr>
        <w:widowControl w:val="0"/>
        <w:suppressAutoHyphens/>
        <w:autoSpaceDE w:val="0"/>
        <w:autoSpaceDN w:val="0"/>
        <w:adjustRightInd w:val="0"/>
        <w:spacing w:after="0" w:line="240" w:lineRule="auto"/>
        <w:ind w:left="360"/>
        <w:jc w:val="both"/>
        <w:textAlignment w:val="center"/>
        <w:rPr>
          <w:rFonts w:ascii="Times New Roman" w:eastAsia="Calibri" w:hAnsi="Times New Roman"/>
          <w:sz w:val="20"/>
          <w:szCs w:val="20"/>
        </w:rPr>
      </w:pPr>
    </w:p>
    <w:p w14:paraId="29B5639A" w14:textId="77777777" w:rsidR="004047F2" w:rsidRPr="00712F3C" w:rsidRDefault="004047F2">
      <w:pPr>
        <w:widowControl w:val="0"/>
        <w:numPr>
          <w:ilvl w:val="0"/>
          <w:numId w:val="211"/>
        </w:numPr>
        <w:spacing w:after="0" w:line="240" w:lineRule="auto"/>
        <w:ind w:left="360"/>
        <w:contextualSpacing/>
        <w:jc w:val="both"/>
        <w:rPr>
          <w:rFonts w:ascii="Times New Roman" w:eastAsia="Calibri" w:hAnsi="Times New Roman"/>
          <w:sz w:val="20"/>
          <w:szCs w:val="20"/>
        </w:rPr>
      </w:pPr>
      <w:r w:rsidRPr="00712F3C">
        <w:rPr>
          <w:rFonts w:ascii="Times New Roman" w:eastAsia="Calibri" w:hAnsi="Times New Roman"/>
          <w:sz w:val="20"/>
          <w:szCs w:val="20"/>
        </w:rPr>
        <w:t xml:space="preserve">The SCSBs shall be given one day after the Bid/Issue Closing Date to send confirmation of Funds blocked (Final certificate) to the Registrar to the Issue. </w:t>
      </w:r>
    </w:p>
    <w:p w14:paraId="2EBAC11F" w14:textId="77777777" w:rsidR="004047F2" w:rsidRPr="00712F3C" w:rsidRDefault="004047F2" w:rsidP="004047F2">
      <w:pPr>
        <w:widowControl w:val="0"/>
        <w:suppressAutoHyphens/>
        <w:autoSpaceDE w:val="0"/>
        <w:autoSpaceDN w:val="0"/>
        <w:adjustRightInd w:val="0"/>
        <w:spacing w:after="0" w:line="240" w:lineRule="auto"/>
        <w:ind w:left="360"/>
        <w:jc w:val="both"/>
        <w:textAlignment w:val="center"/>
        <w:rPr>
          <w:rFonts w:ascii="Times New Roman" w:eastAsia="Calibri" w:hAnsi="Times New Roman"/>
          <w:sz w:val="20"/>
          <w:szCs w:val="20"/>
        </w:rPr>
      </w:pPr>
    </w:p>
    <w:p w14:paraId="4D8F8240" w14:textId="77777777" w:rsidR="004047F2" w:rsidRPr="00712F3C" w:rsidRDefault="004047F2">
      <w:pPr>
        <w:widowControl w:val="0"/>
        <w:numPr>
          <w:ilvl w:val="0"/>
          <w:numId w:val="211"/>
        </w:numPr>
        <w:spacing w:after="0" w:line="240" w:lineRule="auto"/>
        <w:ind w:left="360"/>
        <w:contextualSpacing/>
        <w:jc w:val="both"/>
        <w:rPr>
          <w:rFonts w:ascii="Times New Roman" w:eastAsia="Calibri" w:hAnsi="Times New Roman"/>
          <w:sz w:val="20"/>
          <w:szCs w:val="20"/>
        </w:rPr>
      </w:pPr>
      <w:r w:rsidRPr="00712F3C">
        <w:rPr>
          <w:rFonts w:ascii="Times New Roman" w:eastAsia="Calibri" w:hAnsi="Times New Roman"/>
          <w:sz w:val="20"/>
          <w:szCs w:val="20"/>
        </w:rPr>
        <w:t>The details uploaded in the online IPO system shall be considered as final and Allotment will be based on such details for applications.</w:t>
      </w:r>
    </w:p>
    <w:p w14:paraId="1584AFBD" w14:textId="77777777" w:rsidR="004047F2" w:rsidRPr="00712F3C" w:rsidRDefault="004047F2" w:rsidP="004047F2">
      <w:pPr>
        <w:spacing w:after="0" w:line="240" w:lineRule="auto"/>
        <w:jc w:val="both"/>
        <w:rPr>
          <w:rFonts w:ascii="Times New Roman" w:eastAsia="Calibri" w:hAnsi="Times New Roman"/>
          <w:b/>
          <w:sz w:val="20"/>
          <w:szCs w:val="20"/>
          <w:u w:val="single"/>
        </w:rPr>
      </w:pPr>
    </w:p>
    <w:p w14:paraId="1E569B03" w14:textId="77777777" w:rsidR="004047F2" w:rsidRPr="00712F3C" w:rsidRDefault="004047F2" w:rsidP="004047F2">
      <w:pPr>
        <w:spacing w:after="0" w:line="240" w:lineRule="auto"/>
        <w:jc w:val="both"/>
        <w:rPr>
          <w:rFonts w:ascii="Times New Roman" w:eastAsia="Calibri" w:hAnsi="Times New Roman"/>
          <w:b/>
          <w:sz w:val="20"/>
          <w:szCs w:val="20"/>
          <w:u w:val="single"/>
        </w:rPr>
      </w:pPr>
      <w:r w:rsidRPr="00712F3C">
        <w:rPr>
          <w:rFonts w:ascii="Times New Roman" w:eastAsia="Calibri" w:hAnsi="Times New Roman"/>
          <w:b/>
          <w:sz w:val="20"/>
          <w:szCs w:val="20"/>
          <w:u w:val="single"/>
        </w:rPr>
        <w:t>Build of the Book</w:t>
      </w:r>
    </w:p>
    <w:p w14:paraId="7B858226" w14:textId="77777777" w:rsidR="004047F2" w:rsidRPr="00712F3C" w:rsidRDefault="004047F2" w:rsidP="004047F2">
      <w:pPr>
        <w:suppressAutoHyphens/>
        <w:autoSpaceDE w:val="0"/>
        <w:autoSpaceDN w:val="0"/>
        <w:adjustRightInd w:val="0"/>
        <w:spacing w:after="0" w:line="240" w:lineRule="auto"/>
        <w:ind w:left="360"/>
        <w:jc w:val="both"/>
        <w:textAlignment w:val="center"/>
        <w:rPr>
          <w:rFonts w:ascii="Times New Roman" w:eastAsia="Calibri" w:hAnsi="Times New Roman"/>
          <w:sz w:val="20"/>
          <w:szCs w:val="20"/>
        </w:rPr>
      </w:pPr>
    </w:p>
    <w:p w14:paraId="4BDEF79F" w14:textId="77777777" w:rsidR="004047F2" w:rsidRPr="00712F3C" w:rsidRDefault="004047F2">
      <w:pPr>
        <w:pStyle w:val="ListParagraph"/>
        <w:numPr>
          <w:ilvl w:val="0"/>
          <w:numId w:val="310"/>
        </w:numPr>
        <w:spacing w:line="240" w:lineRule="auto"/>
        <w:ind w:left="426"/>
        <w:jc w:val="both"/>
        <w:rPr>
          <w:sz w:val="20"/>
          <w:szCs w:val="20"/>
        </w:rPr>
      </w:pPr>
      <w:r w:rsidRPr="00712F3C">
        <w:rPr>
          <w:sz w:val="20"/>
          <w:szCs w:val="20"/>
        </w:rPr>
        <w:t>Bids received from various Bidders through the Designated Intermediaries may be electronically uploaded on the Bidding Platform of the Stock Exchange on a regular basis. The book gets built up at various price levels. This information may be available with the BRLM at the end of the Bid/ Issue Period.</w:t>
      </w:r>
    </w:p>
    <w:p w14:paraId="43CE6681" w14:textId="77777777" w:rsidR="004047F2" w:rsidRPr="00712F3C" w:rsidRDefault="004047F2" w:rsidP="004047F2">
      <w:pPr>
        <w:pStyle w:val="ListParagraph"/>
        <w:spacing w:line="240" w:lineRule="auto"/>
        <w:ind w:left="426"/>
        <w:jc w:val="both"/>
        <w:rPr>
          <w:sz w:val="20"/>
          <w:szCs w:val="20"/>
        </w:rPr>
      </w:pPr>
    </w:p>
    <w:p w14:paraId="603F313D" w14:textId="77777777" w:rsidR="004047F2" w:rsidRPr="00712F3C" w:rsidRDefault="004047F2">
      <w:pPr>
        <w:pStyle w:val="ListParagraph"/>
        <w:numPr>
          <w:ilvl w:val="0"/>
          <w:numId w:val="310"/>
        </w:numPr>
        <w:spacing w:line="240" w:lineRule="auto"/>
        <w:ind w:left="426"/>
        <w:jc w:val="both"/>
        <w:rPr>
          <w:sz w:val="20"/>
          <w:szCs w:val="20"/>
        </w:rPr>
      </w:pPr>
      <w:r w:rsidRPr="00712F3C">
        <w:rPr>
          <w:sz w:val="20"/>
          <w:szCs w:val="20"/>
        </w:rPr>
        <w:t>Based on the aggregate demand and price for Bids registered on the Stock Exchange Platform, a</w:t>
      </w:r>
      <w:r w:rsidRPr="00712F3C">
        <w:rPr>
          <w:sz w:val="20"/>
          <w:szCs w:val="20"/>
          <w:lang w:val="en-IN"/>
        </w:rPr>
        <w:t xml:space="preserve"> </w:t>
      </w:r>
      <w:r w:rsidRPr="00712F3C">
        <w:rPr>
          <w:sz w:val="20"/>
          <w:szCs w:val="20"/>
        </w:rPr>
        <w:t>graphical representation of consolidated demand and price as available on the websites of the Stock</w:t>
      </w:r>
      <w:r w:rsidRPr="00712F3C">
        <w:rPr>
          <w:sz w:val="20"/>
          <w:szCs w:val="20"/>
          <w:lang w:val="en-IN"/>
        </w:rPr>
        <w:t xml:space="preserve"> </w:t>
      </w:r>
      <w:r w:rsidRPr="00712F3C">
        <w:rPr>
          <w:sz w:val="20"/>
          <w:szCs w:val="20"/>
        </w:rPr>
        <w:t>Exchange may be made available at the Bidding centres during the Bid/ Issue Period.</w:t>
      </w:r>
    </w:p>
    <w:p w14:paraId="7350CAD9" w14:textId="77777777" w:rsidR="004047F2" w:rsidRDefault="004047F2" w:rsidP="004047F2">
      <w:pPr>
        <w:suppressAutoHyphens/>
        <w:autoSpaceDE w:val="0"/>
        <w:autoSpaceDN w:val="0"/>
        <w:adjustRightInd w:val="0"/>
        <w:spacing w:after="0" w:line="240" w:lineRule="auto"/>
        <w:contextualSpacing/>
        <w:jc w:val="both"/>
        <w:textAlignment w:val="center"/>
        <w:rPr>
          <w:rFonts w:ascii="Times New Roman" w:hAnsi="Times New Roman"/>
          <w:b/>
          <w:bCs/>
          <w:color w:val="000000"/>
          <w:sz w:val="20"/>
          <w:szCs w:val="20"/>
        </w:rPr>
      </w:pPr>
    </w:p>
    <w:p w14:paraId="1E961C18" w14:textId="77777777" w:rsidR="004047F2" w:rsidRPr="00712F3C" w:rsidRDefault="004047F2" w:rsidP="004047F2">
      <w:pPr>
        <w:suppressAutoHyphens/>
        <w:autoSpaceDE w:val="0"/>
        <w:autoSpaceDN w:val="0"/>
        <w:adjustRightInd w:val="0"/>
        <w:spacing w:after="0" w:line="240" w:lineRule="auto"/>
        <w:contextualSpacing/>
        <w:jc w:val="both"/>
        <w:textAlignment w:val="center"/>
        <w:rPr>
          <w:rFonts w:ascii="Times New Roman" w:hAnsi="Times New Roman"/>
          <w:b/>
          <w:bCs/>
          <w:color w:val="000000"/>
          <w:sz w:val="20"/>
          <w:szCs w:val="20"/>
          <w:u w:val="single"/>
        </w:rPr>
      </w:pPr>
      <w:r w:rsidRPr="00712F3C">
        <w:rPr>
          <w:rFonts w:ascii="Times New Roman" w:hAnsi="Times New Roman"/>
          <w:b/>
          <w:bCs/>
          <w:color w:val="000000"/>
          <w:sz w:val="20"/>
          <w:szCs w:val="20"/>
          <w:u w:val="single"/>
        </w:rPr>
        <w:t>Withdrawal of Bids</w:t>
      </w:r>
    </w:p>
    <w:p w14:paraId="7FC09244" w14:textId="77777777" w:rsidR="004047F2" w:rsidRPr="00712F3C" w:rsidRDefault="004047F2" w:rsidP="004047F2">
      <w:pPr>
        <w:suppressAutoHyphens/>
        <w:autoSpaceDE w:val="0"/>
        <w:autoSpaceDN w:val="0"/>
        <w:adjustRightInd w:val="0"/>
        <w:spacing w:after="0" w:line="240" w:lineRule="auto"/>
        <w:contextualSpacing/>
        <w:jc w:val="both"/>
        <w:textAlignment w:val="center"/>
        <w:rPr>
          <w:rFonts w:ascii="Times New Roman" w:hAnsi="Times New Roman"/>
          <w:b/>
          <w:bCs/>
          <w:color w:val="000000"/>
          <w:sz w:val="20"/>
          <w:szCs w:val="20"/>
        </w:rPr>
      </w:pPr>
    </w:p>
    <w:p w14:paraId="19B83AD5" w14:textId="77777777" w:rsidR="004047F2" w:rsidRPr="00712F3C" w:rsidRDefault="004047F2">
      <w:pPr>
        <w:pStyle w:val="ListParagraph"/>
        <w:numPr>
          <w:ilvl w:val="0"/>
          <w:numId w:val="311"/>
        </w:numPr>
        <w:spacing w:line="240" w:lineRule="auto"/>
        <w:ind w:left="426"/>
        <w:contextualSpacing/>
        <w:jc w:val="both"/>
        <w:rPr>
          <w:sz w:val="20"/>
          <w:szCs w:val="20"/>
        </w:rPr>
      </w:pPr>
      <w:r w:rsidRPr="00712F3C">
        <w:rPr>
          <w:sz w:val="20"/>
          <w:szCs w:val="20"/>
        </w:rPr>
        <w:t>RIIs can withdraw their Bids until Bid/ Issue Closing Date. In case a RII wishes to withdraw the Bid during the Bid/ Issue Period, the same can be done by submitting a request for the same to the concerned Designated Intermediary who shall do the requisite, including unblocking of the funds by the SCSB in the ASBA Account.</w:t>
      </w:r>
    </w:p>
    <w:p w14:paraId="4BB5C83B" w14:textId="77777777" w:rsidR="004047F2" w:rsidRPr="00712F3C" w:rsidRDefault="004047F2" w:rsidP="004047F2">
      <w:pPr>
        <w:pStyle w:val="ListParagraph"/>
        <w:spacing w:line="240" w:lineRule="auto"/>
        <w:ind w:left="426"/>
        <w:contextualSpacing/>
        <w:jc w:val="both"/>
        <w:rPr>
          <w:sz w:val="20"/>
          <w:szCs w:val="20"/>
        </w:rPr>
      </w:pPr>
    </w:p>
    <w:p w14:paraId="17CF6AE2" w14:textId="77777777" w:rsidR="004047F2" w:rsidRPr="00712F3C" w:rsidRDefault="004047F2">
      <w:pPr>
        <w:pStyle w:val="ListParagraph"/>
        <w:numPr>
          <w:ilvl w:val="0"/>
          <w:numId w:val="311"/>
        </w:numPr>
        <w:spacing w:line="240" w:lineRule="auto"/>
        <w:ind w:left="426"/>
        <w:contextualSpacing/>
        <w:jc w:val="both"/>
        <w:rPr>
          <w:sz w:val="20"/>
          <w:szCs w:val="20"/>
        </w:rPr>
      </w:pPr>
      <w:r w:rsidRPr="00712F3C">
        <w:rPr>
          <w:sz w:val="20"/>
          <w:szCs w:val="20"/>
        </w:rPr>
        <w:t>The Registrar to the Issue shall give instruction to the SCSB for unblocking the ASBA Account on the Designated Date. QIBs and NIIs can neither withdraw nor lower the size of their Bids at any stage.</w:t>
      </w:r>
    </w:p>
    <w:p w14:paraId="0B4425B7" w14:textId="77777777" w:rsidR="004047F2" w:rsidRPr="00712F3C" w:rsidRDefault="004047F2" w:rsidP="004047F2">
      <w:pPr>
        <w:suppressAutoHyphens/>
        <w:autoSpaceDE w:val="0"/>
        <w:autoSpaceDN w:val="0"/>
        <w:adjustRightInd w:val="0"/>
        <w:spacing w:after="0" w:line="240" w:lineRule="auto"/>
        <w:ind w:left="720"/>
        <w:contextualSpacing/>
        <w:jc w:val="both"/>
        <w:textAlignment w:val="center"/>
        <w:rPr>
          <w:rFonts w:ascii="Times New Roman" w:hAnsi="Times New Roman"/>
          <w:color w:val="000000"/>
          <w:sz w:val="20"/>
          <w:szCs w:val="20"/>
        </w:rPr>
      </w:pPr>
    </w:p>
    <w:p w14:paraId="50678724" w14:textId="77777777" w:rsidR="004047F2" w:rsidRPr="00712F3C" w:rsidRDefault="004047F2" w:rsidP="004047F2">
      <w:pPr>
        <w:suppressAutoHyphens/>
        <w:autoSpaceDE w:val="0"/>
        <w:autoSpaceDN w:val="0"/>
        <w:adjustRightInd w:val="0"/>
        <w:spacing w:after="0" w:line="240" w:lineRule="auto"/>
        <w:contextualSpacing/>
        <w:jc w:val="both"/>
        <w:textAlignment w:val="center"/>
        <w:rPr>
          <w:rFonts w:ascii="Times New Roman" w:hAnsi="Times New Roman"/>
          <w:b/>
          <w:color w:val="000000"/>
          <w:sz w:val="20"/>
          <w:szCs w:val="20"/>
          <w:u w:val="single"/>
        </w:rPr>
      </w:pPr>
      <w:r w:rsidRPr="00712F3C">
        <w:rPr>
          <w:rFonts w:ascii="Times New Roman" w:hAnsi="Times New Roman"/>
          <w:b/>
          <w:color w:val="000000"/>
          <w:sz w:val="20"/>
          <w:szCs w:val="20"/>
          <w:u w:val="single"/>
        </w:rPr>
        <w:t>Price Discovery and Allocation</w:t>
      </w:r>
    </w:p>
    <w:p w14:paraId="2EB8499E" w14:textId="77777777" w:rsidR="004047F2" w:rsidRPr="00712F3C" w:rsidRDefault="004047F2" w:rsidP="004047F2">
      <w:pPr>
        <w:suppressAutoHyphens/>
        <w:autoSpaceDE w:val="0"/>
        <w:autoSpaceDN w:val="0"/>
        <w:adjustRightInd w:val="0"/>
        <w:spacing w:after="0" w:line="240" w:lineRule="auto"/>
        <w:contextualSpacing/>
        <w:jc w:val="both"/>
        <w:textAlignment w:val="center"/>
        <w:rPr>
          <w:rFonts w:ascii="Times New Roman" w:hAnsi="Times New Roman"/>
          <w:b/>
          <w:color w:val="000000"/>
          <w:sz w:val="20"/>
          <w:szCs w:val="20"/>
          <w:u w:val="single"/>
        </w:rPr>
      </w:pPr>
    </w:p>
    <w:p w14:paraId="6EED0E8F" w14:textId="77777777" w:rsidR="004047F2" w:rsidRPr="00712F3C" w:rsidRDefault="004047F2">
      <w:pPr>
        <w:numPr>
          <w:ilvl w:val="1"/>
          <w:numId w:val="303"/>
        </w:numPr>
        <w:suppressAutoHyphens/>
        <w:autoSpaceDE w:val="0"/>
        <w:autoSpaceDN w:val="0"/>
        <w:adjustRightInd w:val="0"/>
        <w:spacing w:after="0" w:line="240" w:lineRule="auto"/>
        <w:ind w:left="360"/>
        <w:contextualSpacing/>
        <w:jc w:val="both"/>
        <w:textAlignment w:val="center"/>
        <w:rPr>
          <w:rFonts w:ascii="Times New Roman" w:hAnsi="Times New Roman"/>
          <w:sz w:val="20"/>
          <w:szCs w:val="20"/>
        </w:rPr>
      </w:pPr>
      <w:r w:rsidRPr="00712F3C">
        <w:rPr>
          <w:rFonts w:ascii="Times New Roman" w:hAnsi="Times New Roman"/>
          <w:sz w:val="20"/>
          <w:szCs w:val="20"/>
        </w:rPr>
        <w:t>Based on the demand generated at various price levels, our Company in consultation with the BRLM, shall finalise the Issue Price and the Anchor Investor Issue Price.</w:t>
      </w:r>
    </w:p>
    <w:p w14:paraId="17546DD3" w14:textId="77777777" w:rsidR="004047F2" w:rsidRPr="00712F3C" w:rsidRDefault="004047F2" w:rsidP="004047F2">
      <w:pPr>
        <w:suppressAutoHyphens/>
        <w:autoSpaceDE w:val="0"/>
        <w:autoSpaceDN w:val="0"/>
        <w:adjustRightInd w:val="0"/>
        <w:spacing w:after="0" w:line="240" w:lineRule="auto"/>
        <w:ind w:left="360"/>
        <w:contextualSpacing/>
        <w:jc w:val="both"/>
        <w:textAlignment w:val="center"/>
        <w:rPr>
          <w:rFonts w:ascii="Times New Roman" w:hAnsi="Times New Roman"/>
          <w:sz w:val="20"/>
          <w:szCs w:val="20"/>
        </w:rPr>
      </w:pPr>
    </w:p>
    <w:p w14:paraId="1D060475" w14:textId="77777777" w:rsidR="004047F2" w:rsidRPr="00712F3C" w:rsidRDefault="004047F2">
      <w:pPr>
        <w:numPr>
          <w:ilvl w:val="1"/>
          <w:numId w:val="303"/>
        </w:numPr>
        <w:suppressAutoHyphens/>
        <w:autoSpaceDE w:val="0"/>
        <w:autoSpaceDN w:val="0"/>
        <w:adjustRightInd w:val="0"/>
        <w:spacing w:after="0" w:line="240" w:lineRule="auto"/>
        <w:ind w:left="360"/>
        <w:contextualSpacing/>
        <w:jc w:val="both"/>
        <w:textAlignment w:val="center"/>
        <w:rPr>
          <w:rFonts w:ascii="Times New Roman" w:hAnsi="Times New Roman"/>
          <w:sz w:val="20"/>
          <w:szCs w:val="20"/>
        </w:rPr>
      </w:pPr>
      <w:r w:rsidRPr="00712F3C">
        <w:rPr>
          <w:rFonts w:ascii="Times New Roman" w:hAnsi="Times New Roman"/>
          <w:sz w:val="20"/>
          <w:szCs w:val="20"/>
        </w:rPr>
        <w:t>The SEBI ICDR Regulations, 2018 specify the allocation or Allotment that may be made to various categories of Bidders in an Issue depending on compliance with the eligibility conditions. Certain details pertaining to the percentage of Issue size available for allocation to each category is disclosed overleaf of the Bid cum Application Form and in the RHP. For details in relation to allocation, the Bidder may refer to the RHP.</w:t>
      </w:r>
    </w:p>
    <w:p w14:paraId="0AE5B6F4" w14:textId="77777777" w:rsidR="004047F2" w:rsidRPr="00712F3C" w:rsidRDefault="004047F2" w:rsidP="004047F2">
      <w:pPr>
        <w:suppressAutoHyphens/>
        <w:autoSpaceDE w:val="0"/>
        <w:autoSpaceDN w:val="0"/>
        <w:adjustRightInd w:val="0"/>
        <w:spacing w:after="0" w:line="240" w:lineRule="auto"/>
        <w:ind w:left="360"/>
        <w:contextualSpacing/>
        <w:jc w:val="both"/>
        <w:textAlignment w:val="center"/>
        <w:rPr>
          <w:rFonts w:ascii="Times New Roman" w:hAnsi="Times New Roman"/>
          <w:sz w:val="20"/>
          <w:szCs w:val="20"/>
        </w:rPr>
      </w:pPr>
    </w:p>
    <w:p w14:paraId="29A855D4" w14:textId="77777777" w:rsidR="004047F2" w:rsidRPr="00712F3C" w:rsidRDefault="004047F2">
      <w:pPr>
        <w:numPr>
          <w:ilvl w:val="1"/>
          <w:numId w:val="303"/>
        </w:numPr>
        <w:suppressAutoHyphens/>
        <w:autoSpaceDE w:val="0"/>
        <w:autoSpaceDN w:val="0"/>
        <w:adjustRightInd w:val="0"/>
        <w:spacing w:after="0" w:line="240" w:lineRule="auto"/>
        <w:ind w:left="360"/>
        <w:contextualSpacing/>
        <w:jc w:val="both"/>
        <w:textAlignment w:val="center"/>
        <w:rPr>
          <w:rFonts w:ascii="Times New Roman" w:hAnsi="Times New Roman"/>
          <w:sz w:val="20"/>
          <w:szCs w:val="20"/>
        </w:rPr>
      </w:pPr>
      <w:r w:rsidRPr="00712F3C">
        <w:rPr>
          <w:rFonts w:ascii="Times New Roman" w:hAnsi="Times New Roman"/>
          <w:sz w:val="20"/>
          <w:szCs w:val="20"/>
        </w:rPr>
        <w:t>Under-subscription in any category (except QIB Category) is allowed to be met with spillover from any other category or combination of categories at the discretion of the Issuer and the in consultation with the BRLM and the Designated Stock Exchange and in accordance with the SEBI ICDR Regulations. Unsubscribed portion in QIB Category is not available for subscription to other categories.</w:t>
      </w:r>
    </w:p>
    <w:p w14:paraId="39F17FC8" w14:textId="77777777" w:rsidR="004047F2" w:rsidRPr="00712F3C" w:rsidRDefault="004047F2" w:rsidP="004047F2">
      <w:pPr>
        <w:suppressAutoHyphens/>
        <w:autoSpaceDE w:val="0"/>
        <w:autoSpaceDN w:val="0"/>
        <w:adjustRightInd w:val="0"/>
        <w:spacing w:after="0" w:line="240" w:lineRule="auto"/>
        <w:ind w:left="360"/>
        <w:contextualSpacing/>
        <w:jc w:val="both"/>
        <w:textAlignment w:val="center"/>
        <w:rPr>
          <w:rFonts w:ascii="Times New Roman" w:hAnsi="Times New Roman"/>
          <w:sz w:val="20"/>
          <w:szCs w:val="20"/>
        </w:rPr>
      </w:pPr>
    </w:p>
    <w:p w14:paraId="00BFE65D" w14:textId="77777777" w:rsidR="004047F2" w:rsidRPr="00712F3C" w:rsidRDefault="004047F2">
      <w:pPr>
        <w:numPr>
          <w:ilvl w:val="1"/>
          <w:numId w:val="303"/>
        </w:numPr>
        <w:suppressAutoHyphens/>
        <w:autoSpaceDE w:val="0"/>
        <w:autoSpaceDN w:val="0"/>
        <w:adjustRightInd w:val="0"/>
        <w:spacing w:after="0" w:line="240" w:lineRule="auto"/>
        <w:ind w:left="360"/>
        <w:contextualSpacing/>
        <w:jc w:val="both"/>
        <w:textAlignment w:val="center"/>
        <w:rPr>
          <w:rFonts w:ascii="Times New Roman" w:hAnsi="Times New Roman"/>
          <w:sz w:val="20"/>
          <w:szCs w:val="20"/>
        </w:rPr>
      </w:pPr>
      <w:r w:rsidRPr="00712F3C">
        <w:rPr>
          <w:rFonts w:ascii="Times New Roman" w:hAnsi="Times New Roman"/>
          <w:sz w:val="20"/>
          <w:szCs w:val="20"/>
        </w:rPr>
        <w:lastRenderedPageBreak/>
        <w:t>In case of under subscription in the Issue, spill-over to the extent of such under-subscription may be permitted from the Reserved Portion to the Issue. For allocation in the event of an undersubscription applicable to the Issuer, Bidders may refer to the RHP.</w:t>
      </w:r>
    </w:p>
    <w:p w14:paraId="5CF534EE" w14:textId="77777777" w:rsidR="004047F2" w:rsidRPr="00712F3C" w:rsidRDefault="004047F2" w:rsidP="004047F2">
      <w:pPr>
        <w:suppressAutoHyphens/>
        <w:autoSpaceDE w:val="0"/>
        <w:autoSpaceDN w:val="0"/>
        <w:adjustRightInd w:val="0"/>
        <w:spacing w:after="0" w:line="240" w:lineRule="auto"/>
        <w:contextualSpacing/>
        <w:jc w:val="both"/>
        <w:textAlignment w:val="center"/>
        <w:rPr>
          <w:rFonts w:ascii="Times New Roman" w:hAnsi="Times New Roman"/>
          <w:color w:val="000000"/>
          <w:sz w:val="20"/>
          <w:szCs w:val="20"/>
        </w:rPr>
      </w:pPr>
    </w:p>
    <w:p w14:paraId="45FC82AD" w14:textId="77777777" w:rsidR="004047F2" w:rsidRPr="00712F3C" w:rsidRDefault="004047F2">
      <w:pPr>
        <w:numPr>
          <w:ilvl w:val="1"/>
          <w:numId w:val="303"/>
        </w:numPr>
        <w:suppressAutoHyphens/>
        <w:autoSpaceDE w:val="0"/>
        <w:autoSpaceDN w:val="0"/>
        <w:adjustRightInd w:val="0"/>
        <w:spacing w:after="0" w:line="240" w:lineRule="auto"/>
        <w:ind w:left="360"/>
        <w:contextualSpacing/>
        <w:jc w:val="both"/>
        <w:textAlignment w:val="center"/>
        <w:rPr>
          <w:rFonts w:ascii="Times New Roman" w:hAnsi="Times New Roman"/>
          <w:color w:val="000000"/>
          <w:sz w:val="20"/>
          <w:szCs w:val="20"/>
        </w:rPr>
      </w:pPr>
      <w:r w:rsidRPr="00712F3C">
        <w:rPr>
          <w:rFonts w:ascii="Times New Roman" w:hAnsi="Times New Roman"/>
          <w:color w:val="000000"/>
          <w:sz w:val="20"/>
          <w:szCs w:val="20"/>
        </w:rPr>
        <w:t>In case if the Retail Individual Investor category is entitled to more than the allocated portion on proportionate basis, the category shall be allotted that higher percentage.</w:t>
      </w:r>
    </w:p>
    <w:p w14:paraId="032E0197" w14:textId="77777777" w:rsidR="004047F2" w:rsidRPr="00712F3C" w:rsidRDefault="004047F2" w:rsidP="004047F2">
      <w:pPr>
        <w:suppressAutoHyphens/>
        <w:autoSpaceDE w:val="0"/>
        <w:autoSpaceDN w:val="0"/>
        <w:adjustRightInd w:val="0"/>
        <w:spacing w:after="0" w:line="240" w:lineRule="auto"/>
        <w:ind w:left="360"/>
        <w:contextualSpacing/>
        <w:jc w:val="both"/>
        <w:textAlignment w:val="center"/>
        <w:rPr>
          <w:rFonts w:ascii="Times New Roman" w:hAnsi="Times New Roman"/>
          <w:color w:val="000000"/>
          <w:sz w:val="20"/>
          <w:szCs w:val="20"/>
        </w:rPr>
      </w:pPr>
    </w:p>
    <w:p w14:paraId="16FFB00F" w14:textId="77777777" w:rsidR="004047F2" w:rsidRPr="00712F3C" w:rsidRDefault="004047F2">
      <w:pPr>
        <w:numPr>
          <w:ilvl w:val="1"/>
          <w:numId w:val="303"/>
        </w:numPr>
        <w:suppressAutoHyphens/>
        <w:autoSpaceDE w:val="0"/>
        <w:autoSpaceDN w:val="0"/>
        <w:adjustRightInd w:val="0"/>
        <w:spacing w:after="0" w:line="240" w:lineRule="auto"/>
        <w:ind w:left="360"/>
        <w:contextualSpacing/>
        <w:jc w:val="both"/>
        <w:textAlignment w:val="center"/>
        <w:rPr>
          <w:rFonts w:ascii="Times New Roman" w:hAnsi="Times New Roman"/>
          <w:color w:val="000000"/>
          <w:sz w:val="20"/>
          <w:szCs w:val="20"/>
        </w:rPr>
      </w:pPr>
      <w:r w:rsidRPr="00712F3C">
        <w:rPr>
          <w:rFonts w:ascii="Times New Roman" w:hAnsi="Times New Roman"/>
          <w:sz w:val="20"/>
          <w:szCs w:val="20"/>
        </w:rPr>
        <w:t>Allocation to Anchor Investors shall be at the discretion of our Company and in consultation with the BRLM, subject to compliance with the SEBI Regulations.</w:t>
      </w:r>
    </w:p>
    <w:p w14:paraId="6A11FDC0" w14:textId="77777777" w:rsidR="004047F2" w:rsidRPr="00712F3C" w:rsidRDefault="004047F2" w:rsidP="004047F2">
      <w:pPr>
        <w:suppressAutoHyphens/>
        <w:autoSpaceDE w:val="0"/>
        <w:autoSpaceDN w:val="0"/>
        <w:adjustRightInd w:val="0"/>
        <w:spacing w:after="0" w:line="240" w:lineRule="auto"/>
        <w:jc w:val="both"/>
        <w:textAlignment w:val="center"/>
        <w:rPr>
          <w:rFonts w:ascii="Times New Roman" w:eastAsia="Calibri" w:hAnsi="Times New Roman"/>
          <w:sz w:val="20"/>
          <w:szCs w:val="20"/>
        </w:rPr>
      </w:pPr>
    </w:p>
    <w:p w14:paraId="4F409879" w14:textId="77777777" w:rsidR="004047F2" w:rsidRPr="00712F3C" w:rsidRDefault="004047F2" w:rsidP="004047F2">
      <w:pPr>
        <w:widowControl w:val="0"/>
        <w:autoSpaceDE w:val="0"/>
        <w:autoSpaceDN w:val="0"/>
        <w:adjustRightInd w:val="0"/>
        <w:spacing w:after="0" w:line="240" w:lineRule="auto"/>
        <w:jc w:val="both"/>
        <w:rPr>
          <w:rFonts w:ascii="Times New Roman" w:eastAsia="Calibri" w:hAnsi="Times New Roman"/>
          <w:sz w:val="20"/>
          <w:szCs w:val="20"/>
          <w:lang w:bidi="en-US"/>
        </w:rPr>
      </w:pPr>
      <w:r w:rsidRPr="00712F3C">
        <w:rPr>
          <w:rFonts w:ascii="Times New Roman" w:eastAsia="Calibri" w:hAnsi="Times New Roman"/>
          <w:b/>
          <w:sz w:val="20"/>
          <w:szCs w:val="20"/>
          <w:lang w:bidi="en-US"/>
        </w:rPr>
        <w:t>Illustration of the Book Building and Price Discovery Process:</w:t>
      </w:r>
      <w:r w:rsidRPr="00712F3C">
        <w:rPr>
          <w:rFonts w:ascii="Times New Roman" w:eastAsia="Calibri" w:hAnsi="Times New Roman"/>
          <w:sz w:val="20"/>
          <w:szCs w:val="20"/>
          <w:lang w:bidi="en-US"/>
        </w:rPr>
        <w:t xml:space="preserve"> Bidders should note that this example is solely for illustrative purposes and is not specific to the Issue; it also excludes Bidding by Anchor Investors.</w:t>
      </w:r>
      <w:bookmarkStart w:id="78" w:name="_DV_C872"/>
      <w:r w:rsidRPr="00712F3C">
        <w:rPr>
          <w:rFonts w:ascii="Times New Roman" w:eastAsia="Calibri" w:hAnsi="Times New Roman"/>
          <w:sz w:val="20"/>
          <w:szCs w:val="20"/>
          <w:lang w:bidi="en-US"/>
        </w:rPr>
        <w:t xml:space="preserve"> Bidders can bid at any price within the Price Band. For instance, assume a Price Band of ₹20 to ₹ 24 per share, Issue size of 3,000 Equity Shares and receipt of five Bids from Bidders, details of which are shown in the table below. The illustrative book given below shows the demand for the Equity Shares of the Issuer at various prices and is collated from Bids received from various investors.</w:t>
      </w:r>
      <w:bookmarkEnd w:id="78"/>
    </w:p>
    <w:p w14:paraId="7C263F1B" w14:textId="77777777" w:rsidR="004047F2" w:rsidRPr="00712F3C" w:rsidRDefault="004047F2" w:rsidP="004047F2">
      <w:pPr>
        <w:widowControl w:val="0"/>
        <w:autoSpaceDE w:val="0"/>
        <w:autoSpaceDN w:val="0"/>
        <w:adjustRightInd w:val="0"/>
        <w:spacing w:after="0" w:line="240" w:lineRule="auto"/>
        <w:jc w:val="both"/>
        <w:rPr>
          <w:rFonts w:ascii="Times New Roman" w:eastAsia="Calibri" w:hAnsi="Times New Roman"/>
          <w:sz w:val="20"/>
          <w:szCs w:val="20"/>
          <w:lang w:bidi="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55"/>
        <w:gridCol w:w="2537"/>
        <w:gridCol w:w="2970"/>
        <w:gridCol w:w="2794"/>
      </w:tblGrid>
      <w:tr w:rsidR="004047F2" w:rsidRPr="00712F3C" w14:paraId="13097FF1" w14:textId="77777777" w:rsidTr="00250DAC">
        <w:trPr>
          <w:trHeight w:val="20"/>
          <w:tblHeader/>
        </w:trPr>
        <w:tc>
          <w:tcPr>
            <w:tcW w:w="1030"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24FF740" w14:textId="77777777" w:rsidR="004047F2" w:rsidRPr="00712F3C" w:rsidRDefault="004047F2" w:rsidP="00250DAC">
            <w:pPr>
              <w:widowControl w:val="0"/>
              <w:spacing w:after="0" w:line="240" w:lineRule="auto"/>
              <w:jc w:val="center"/>
              <w:rPr>
                <w:rFonts w:ascii="Times New Roman" w:eastAsia="Calibri" w:hAnsi="Times New Roman"/>
                <w:b/>
                <w:sz w:val="20"/>
                <w:szCs w:val="20"/>
                <w:lang w:bidi="en-US"/>
              </w:rPr>
            </w:pPr>
            <w:bookmarkStart w:id="79" w:name="_DV_C876"/>
            <w:r w:rsidRPr="00712F3C">
              <w:rPr>
                <w:rFonts w:ascii="Times New Roman" w:eastAsia="Calibri" w:hAnsi="Times New Roman"/>
                <w:b/>
                <w:sz w:val="20"/>
                <w:szCs w:val="20"/>
                <w:lang w:bidi="en-US"/>
              </w:rPr>
              <w:t>Bid Quantity</w:t>
            </w:r>
            <w:bookmarkEnd w:id="79"/>
          </w:p>
        </w:tc>
        <w:tc>
          <w:tcPr>
            <w:tcW w:w="1213"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0CD499D" w14:textId="77777777" w:rsidR="004047F2" w:rsidRPr="00712F3C" w:rsidRDefault="004047F2" w:rsidP="00250DAC">
            <w:pPr>
              <w:widowControl w:val="0"/>
              <w:spacing w:after="0" w:line="240" w:lineRule="auto"/>
              <w:jc w:val="center"/>
              <w:rPr>
                <w:rFonts w:ascii="Times New Roman" w:eastAsia="Calibri" w:hAnsi="Times New Roman"/>
                <w:b/>
                <w:sz w:val="20"/>
                <w:szCs w:val="20"/>
                <w:lang w:bidi="en-US"/>
              </w:rPr>
            </w:pPr>
            <w:bookmarkStart w:id="80" w:name="_DV_C877"/>
            <w:r w:rsidRPr="00712F3C">
              <w:rPr>
                <w:rFonts w:ascii="Times New Roman" w:eastAsia="Calibri" w:hAnsi="Times New Roman"/>
                <w:b/>
                <w:sz w:val="20"/>
                <w:szCs w:val="20"/>
                <w:lang w:bidi="en-US"/>
              </w:rPr>
              <w:t>Bid Amount (₹)</w:t>
            </w:r>
            <w:bookmarkEnd w:id="80"/>
          </w:p>
        </w:tc>
        <w:tc>
          <w:tcPr>
            <w:tcW w:w="1420"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8DCD13" w14:textId="77777777" w:rsidR="004047F2" w:rsidRPr="00712F3C" w:rsidRDefault="004047F2" w:rsidP="00250DAC">
            <w:pPr>
              <w:widowControl w:val="0"/>
              <w:spacing w:after="0" w:line="240" w:lineRule="auto"/>
              <w:jc w:val="center"/>
              <w:rPr>
                <w:rFonts w:ascii="Times New Roman" w:eastAsia="Calibri" w:hAnsi="Times New Roman"/>
                <w:b/>
                <w:sz w:val="20"/>
                <w:szCs w:val="20"/>
                <w:lang w:bidi="en-US"/>
              </w:rPr>
            </w:pPr>
            <w:bookmarkStart w:id="81" w:name="_DV_C878"/>
            <w:r w:rsidRPr="00712F3C">
              <w:rPr>
                <w:rFonts w:ascii="Times New Roman" w:eastAsia="Calibri" w:hAnsi="Times New Roman"/>
                <w:b/>
                <w:sz w:val="20"/>
                <w:szCs w:val="20"/>
                <w:lang w:bidi="en-US"/>
              </w:rPr>
              <w:t>Cumulative Quantity</w:t>
            </w:r>
            <w:bookmarkEnd w:id="81"/>
          </w:p>
        </w:tc>
        <w:tc>
          <w:tcPr>
            <w:tcW w:w="1336"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011EDB" w14:textId="77777777" w:rsidR="004047F2" w:rsidRPr="00712F3C" w:rsidRDefault="004047F2" w:rsidP="00250DAC">
            <w:pPr>
              <w:widowControl w:val="0"/>
              <w:spacing w:after="0" w:line="240" w:lineRule="auto"/>
              <w:jc w:val="center"/>
              <w:rPr>
                <w:rFonts w:ascii="Times New Roman" w:eastAsia="Calibri" w:hAnsi="Times New Roman"/>
                <w:b/>
                <w:sz w:val="20"/>
                <w:szCs w:val="20"/>
                <w:lang w:bidi="en-US"/>
              </w:rPr>
            </w:pPr>
            <w:bookmarkStart w:id="82" w:name="_DV_C879"/>
            <w:r w:rsidRPr="00712F3C">
              <w:rPr>
                <w:rFonts w:ascii="Times New Roman" w:eastAsia="Calibri" w:hAnsi="Times New Roman"/>
                <w:b/>
                <w:sz w:val="20"/>
                <w:szCs w:val="20"/>
                <w:lang w:bidi="en-US"/>
              </w:rPr>
              <w:t>Subscription</w:t>
            </w:r>
            <w:bookmarkEnd w:id="82"/>
          </w:p>
        </w:tc>
      </w:tr>
      <w:tr w:rsidR="004047F2" w:rsidRPr="00712F3C" w14:paraId="5842731A" w14:textId="77777777" w:rsidTr="00250DAC">
        <w:trPr>
          <w:trHeight w:val="20"/>
        </w:trPr>
        <w:tc>
          <w:tcPr>
            <w:tcW w:w="1030" w:type="pct"/>
            <w:tcBorders>
              <w:top w:val="single" w:sz="4" w:space="0" w:color="auto"/>
              <w:left w:val="single" w:sz="4" w:space="0" w:color="auto"/>
              <w:bottom w:val="single" w:sz="4" w:space="0" w:color="auto"/>
              <w:right w:val="single" w:sz="4" w:space="0" w:color="auto"/>
            </w:tcBorders>
            <w:hideMark/>
          </w:tcPr>
          <w:p w14:paraId="6E7E05DB" w14:textId="77777777" w:rsidR="004047F2" w:rsidRPr="00712F3C" w:rsidRDefault="004047F2" w:rsidP="00250DAC">
            <w:pPr>
              <w:widowControl w:val="0"/>
              <w:spacing w:after="0" w:line="240" w:lineRule="auto"/>
              <w:jc w:val="center"/>
              <w:rPr>
                <w:rFonts w:ascii="Times New Roman" w:eastAsia="Calibri" w:hAnsi="Times New Roman"/>
                <w:sz w:val="20"/>
                <w:szCs w:val="20"/>
                <w:lang w:bidi="en-US"/>
              </w:rPr>
            </w:pPr>
            <w:bookmarkStart w:id="83" w:name="_DV_C880"/>
            <w:r w:rsidRPr="00712F3C">
              <w:rPr>
                <w:rFonts w:ascii="Times New Roman" w:eastAsia="Calibri" w:hAnsi="Times New Roman"/>
                <w:sz w:val="20"/>
                <w:szCs w:val="20"/>
                <w:lang w:bidi="en-US"/>
              </w:rPr>
              <w:t>500</w:t>
            </w:r>
            <w:bookmarkEnd w:id="83"/>
          </w:p>
        </w:tc>
        <w:tc>
          <w:tcPr>
            <w:tcW w:w="1213" w:type="pct"/>
            <w:tcBorders>
              <w:top w:val="single" w:sz="4" w:space="0" w:color="auto"/>
              <w:left w:val="single" w:sz="4" w:space="0" w:color="auto"/>
              <w:bottom w:val="single" w:sz="4" w:space="0" w:color="auto"/>
              <w:right w:val="single" w:sz="4" w:space="0" w:color="auto"/>
            </w:tcBorders>
            <w:hideMark/>
          </w:tcPr>
          <w:p w14:paraId="73B3A36F" w14:textId="77777777" w:rsidR="004047F2" w:rsidRPr="00712F3C" w:rsidRDefault="004047F2" w:rsidP="00250DAC">
            <w:pPr>
              <w:widowControl w:val="0"/>
              <w:spacing w:after="0" w:line="240" w:lineRule="auto"/>
              <w:jc w:val="center"/>
              <w:rPr>
                <w:rFonts w:ascii="Times New Roman" w:eastAsia="Calibri" w:hAnsi="Times New Roman"/>
                <w:sz w:val="20"/>
                <w:szCs w:val="20"/>
                <w:lang w:bidi="en-US"/>
              </w:rPr>
            </w:pPr>
            <w:bookmarkStart w:id="84" w:name="_DV_C881"/>
            <w:r w:rsidRPr="00712F3C">
              <w:rPr>
                <w:rFonts w:ascii="Times New Roman" w:eastAsia="Calibri" w:hAnsi="Times New Roman"/>
                <w:sz w:val="20"/>
                <w:szCs w:val="20"/>
                <w:lang w:bidi="en-US"/>
              </w:rPr>
              <w:t>24</w:t>
            </w:r>
            <w:bookmarkEnd w:id="84"/>
          </w:p>
        </w:tc>
        <w:tc>
          <w:tcPr>
            <w:tcW w:w="1420" w:type="pct"/>
            <w:tcBorders>
              <w:top w:val="single" w:sz="4" w:space="0" w:color="auto"/>
              <w:left w:val="single" w:sz="4" w:space="0" w:color="auto"/>
              <w:bottom w:val="single" w:sz="4" w:space="0" w:color="auto"/>
              <w:right w:val="single" w:sz="4" w:space="0" w:color="auto"/>
            </w:tcBorders>
            <w:hideMark/>
          </w:tcPr>
          <w:p w14:paraId="4D91C359" w14:textId="77777777" w:rsidR="004047F2" w:rsidRPr="00712F3C" w:rsidRDefault="004047F2" w:rsidP="00250DAC">
            <w:pPr>
              <w:widowControl w:val="0"/>
              <w:spacing w:after="0" w:line="240" w:lineRule="auto"/>
              <w:jc w:val="center"/>
              <w:rPr>
                <w:rFonts w:ascii="Times New Roman" w:eastAsia="Calibri" w:hAnsi="Times New Roman"/>
                <w:sz w:val="20"/>
                <w:szCs w:val="20"/>
                <w:lang w:bidi="en-US"/>
              </w:rPr>
            </w:pPr>
            <w:bookmarkStart w:id="85" w:name="_DV_C882"/>
            <w:r w:rsidRPr="00712F3C">
              <w:rPr>
                <w:rFonts w:ascii="Times New Roman" w:eastAsia="Calibri" w:hAnsi="Times New Roman"/>
                <w:sz w:val="20"/>
                <w:szCs w:val="20"/>
                <w:lang w:bidi="en-US"/>
              </w:rPr>
              <w:t>500</w:t>
            </w:r>
            <w:bookmarkEnd w:id="85"/>
          </w:p>
        </w:tc>
        <w:tc>
          <w:tcPr>
            <w:tcW w:w="1336" w:type="pct"/>
            <w:tcBorders>
              <w:top w:val="single" w:sz="4" w:space="0" w:color="auto"/>
              <w:left w:val="single" w:sz="4" w:space="0" w:color="auto"/>
              <w:bottom w:val="single" w:sz="4" w:space="0" w:color="auto"/>
              <w:right w:val="single" w:sz="4" w:space="0" w:color="auto"/>
            </w:tcBorders>
            <w:hideMark/>
          </w:tcPr>
          <w:p w14:paraId="6C000811" w14:textId="77777777" w:rsidR="004047F2" w:rsidRPr="00712F3C" w:rsidRDefault="004047F2" w:rsidP="00250DAC">
            <w:pPr>
              <w:widowControl w:val="0"/>
              <w:spacing w:after="0" w:line="240" w:lineRule="auto"/>
              <w:jc w:val="center"/>
              <w:rPr>
                <w:rFonts w:ascii="Times New Roman" w:eastAsia="Calibri" w:hAnsi="Times New Roman"/>
                <w:sz w:val="20"/>
                <w:szCs w:val="20"/>
                <w:lang w:bidi="en-US"/>
              </w:rPr>
            </w:pPr>
            <w:bookmarkStart w:id="86" w:name="_DV_C883"/>
            <w:r w:rsidRPr="00712F3C">
              <w:rPr>
                <w:rFonts w:ascii="Times New Roman" w:eastAsia="Calibri" w:hAnsi="Times New Roman"/>
                <w:sz w:val="20"/>
                <w:szCs w:val="20"/>
                <w:lang w:bidi="en-US"/>
              </w:rPr>
              <w:t>16.67%</w:t>
            </w:r>
            <w:bookmarkEnd w:id="86"/>
          </w:p>
        </w:tc>
      </w:tr>
      <w:tr w:rsidR="004047F2" w:rsidRPr="00712F3C" w14:paraId="59BE2C22" w14:textId="77777777" w:rsidTr="00250DAC">
        <w:trPr>
          <w:trHeight w:val="20"/>
        </w:trPr>
        <w:tc>
          <w:tcPr>
            <w:tcW w:w="1030" w:type="pct"/>
            <w:tcBorders>
              <w:top w:val="single" w:sz="4" w:space="0" w:color="auto"/>
              <w:left w:val="single" w:sz="4" w:space="0" w:color="auto"/>
              <w:bottom w:val="single" w:sz="4" w:space="0" w:color="auto"/>
              <w:right w:val="single" w:sz="4" w:space="0" w:color="auto"/>
            </w:tcBorders>
            <w:hideMark/>
          </w:tcPr>
          <w:p w14:paraId="0846A143" w14:textId="77777777" w:rsidR="004047F2" w:rsidRPr="00712F3C" w:rsidRDefault="004047F2" w:rsidP="00250DAC">
            <w:pPr>
              <w:widowControl w:val="0"/>
              <w:spacing w:after="0" w:line="240" w:lineRule="auto"/>
              <w:jc w:val="center"/>
              <w:rPr>
                <w:rFonts w:ascii="Times New Roman" w:eastAsia="Calibri" w:hAnsi="Times New Roman"/>
                <w:sz w:val="20"/>
                <w:szCs w:val="20"/>
                <w:lang w:bidi="en-US"/>
              </w:rPr>
            </w:pPr>
            <w:bookmarkStart w:id="87" w:name="_DV_C884"/>
            <w:r w:rsidRPr="00712F3C">
              <w:rPr>
                <w:rFonts w:ascii="Times New Roman" w:eastAsia="Calibri" w:hAnsi="Times New Roman"/>
                <w:sz w:val="20"/>
                <w:szCs w:val="20"/>
                <w:lang w:bidi="en-US"/>
              </w:rPr>
              <w:t>1,000</w:t>
            </w:r>
            <w:bookmarkEnd w:id="87"/>
          </w:p>
        </w:tc>
        <w:tc>
          <w:tcPr>
            <w:tcW w:w="1213" w:type="pct"/>
            <w:tcBorders>
              <w:top w:val="single" w:sz="4" w:space="0" w:color="auto"/>
              <w:left w:val="single" w:sz="4" w:space="0" w:color="auto"/>
              <w:bottom w:val="single" w:sz="4" w:space="0" w:color="auto"/>
              <w:right w:val="single" w:sz="4" w:space="0" w:color="auto"/>
            </w:tcBorders>
            <w:hideMark/>
          </w:tcPr>
          <w:p w14:paraId="18A541A3" w14:textId="77777777" w:rsidR="004047F2" w:rsidRPr="00712F3C" w:rsidRDefault="004047F2" w:rsidP="00250DAC">
            <w:pPr>
              <w:widowControl w:val="0"/>
              <w:spacing w:after="0" w:line="240" w:lineRule="auto"/>
              <w:jc w:val="center"/>
              <w:rPr>
                <w:rFonts w:ascii="Times New Roman" w:eastAsia="Calibri" w:hAnsi="Times New Roman"/>
                <w:sz w:val="20"/>
                <w:szCs w:val="20"/>
                <w:lang w:bidi="en-US"/>
              </w:rPr>
            </w:pPr>
            <w:bookmarkStart w:id="88" w:name="_DV_C885"/>
            <w:r w:rsidRPr="00712F3C">
              <w:rPr>
                <w:rFonts w:ascii="Times New Roman" w:eastAsia="Calibri" w:hAnsi="Times New Roman"/>
                <w:sz w:val="20"/>
                <w:szCs w:val="20"/>
                <w:lang w:bidi="en-US"/>
              </w:rPr>
              <w:t>23</w:t>
            </w:r>
            <w:bookmarkEnd w:id="88"/>
          </w:p>
        </w:tc>
        <w:tc>
          <w:tcPr>
            <w:tcW w:w="1420" w:type="pct"/>
            <w:tcBorders>
              <w:top w:val="single" w:sz="4" w:space="0" w:color="auto"/>
              <w:left w:val="single" w:sz="4" w:space="0" w:color="auto"/>
              <w:bottom w:val="single" w:sz="4" w:space="0" w:color="auto"/>
              <w:right w:val="single" w:sz="4" w:space="0" w:color="auto"/>
            </w:tcBorders>
            <w:hideMark/>
          </w:tcPr>
          <w:p w14:paraId="16D3C9D5" w14:textId="77777777" w:rsidR="004047F2" w:rsidRPr="00712F3C" w:rsidRDefault="004047F2" w:rsidP="00250DAC">
            <w:pPr>
              <w:widowControl w:val="0"/>
              <w:spacing w:after="0" w:line="240" w:lineRule="auto"/>
              <w:jc w:val="center"/>
              <w:rPr>
                <w:rFonts w:ascii="Times New Roman" w:eastAsia="Calibri" w:hAnsi="Times New Roman"/>
                <w:sz w:val="20"/>
                <w:szCs w:val="20"/>
                <w:lang w:bidi="en-US"/>
              </w:rPr>
            </w:pPr>
            <w:bookmarkStart w:id="89" w:name="_DV_C886"/>
            <w:r w:rsidRPr="00712F3C">
              <w:rPr>
                <w:rFonts w:ascii="Times New Roman" w:eastAsia="Calibri" w:hAnsi="Times New Roman"/>
                <w:sz w:val="20"/>
                <w:szCs w:val="20"/>
                <w:lang w:bidi="en-US"/>
              </w:rPr>
              <w:t>1,500</w:t>
            </w:r>
            <w:bookmarkEnd w:id="89"/>
          </w:p>
        </w:tc>
        <w:tc>
          <w:tcPr>
            <w:tcW w:w="1336" w:type="pct"/>
            <w:tcBorders>
              <w:top w:val="single" w:sz="4" w:space="0" w:color="auto"/>
              <w:left w:val="single" w:sz="4" w:space="0" w:color="auto"/>
              <w:bottom w:val="single" w:sz="4" w:space="0" w:color="auto"/>
              <w:right w:val="single" w:sz="4" w:space="0" w:color="auto"/>
            </w:tcBorders>
            <w:hideMark/>
          </w:tcPr>
          <w:p w14:paraId="55F2AC05" w14:textId="77777777" w:rsidR="004047F2" w:rsidRPr="00712F3C" w:rsidRDefault="004047F2" w:rsidP="00250DAC">
            <w:pPr>
              <w:widowControl w:val="0"/>
              <w:spacing w:after="0" w:line="240" w:lineRule="auto"/>
              <w:jc w:val="center"/>
              <w:rPr>
                <w:rFonts w:ascii="Times New Roman" w:eastAsia="Calibri" w:hAnsi="Times New Roman"/>
                <w:sz w:val="20"/>
                <w:szCs w:val="20"/>
                <w:lang w:bidi="en-US"/>
              </w:rPr>
            </w:pPr>
            <w:bookmarkStart w:id="90" w:name="_DV_C887"/>
            <w:r w:rsidRPr="00712F3C">
              <w:rPr>
                <w:rFonts w:ascii="Times New Roman" w:eastAsia="Calibri" w:hAnsi="Times New Roman"/>
                <w:sz w:val="20"/>
                <w:szCs w:val="20"/>
                <w:lang w:bidi="en-US"/>
              </w:rPr>
              <w:t>50.00%</w:t>
            </w:r>
            <w:bookmarkEnd w:id="90"/>
          </w:p>
        </w:tc>
      </w:tr>
      <w:tr w:rsidR="004047F2" w:rsidRPr="00712F3C" w14:paraId="308A335C" w14:textId="77777777" w:rsidTr="00250DAC">
        <w:trPr>
          <w:trHeight w:val="20"/>
        </w:trPr>
        <w:tc>
          <w:tcPr>
            <w:tcW w:w="1030" w:type="pct"/>
            <w:tcBorders>
              <w:top w:val="single" w:sz="4" w:space="0" w:color="auto"/>
              <w:left w:val="single" w:sz="4" w:space="0" w:color="auto"/>
              <w:bottom w:val="single" w:sz="4" w:space="0" w:color="auto"/>
              <w:right w:val="single" w:sz="4" w:space="0" w:color="auto"/>
            </w:tcBorders>
            <w:hideMark/>
          </w:tcPr>
          <w:p w14:paraId="6FAFF8E7" w14:textId="77777777" w:rsidR="004047F2" w:rsidRPr="00712F3C" w:rsidRDefault="004047F2" w:rsidP="00250DAC">
            <w:pPr>
              <w:widowControl w:val="0"/>
              <w:spacing w:after="0" w:line="240" w:lineRule="auto"/>
              <w:jc w:val="center"/>
              <w:rPr>
                <w:rFonts w:ascii="Times New Roman" w:eastAsia="Calibri" w:hAnsi="Times New Roman"/>
                <w:sz w:val="20"/>
                <w:szCs w:val="20"/>
                <w:lang w:bidi="en-US"/>
              </w:rPr>
            </w:pPr>
            <w:bookmarkStart w:id="91" w:name="_DV_C888"/>
            <w:r w:rsidRPr="00712F3C">
              <w:rPr>
                <w:rFonts w:ascii="Times New Roman" w:eastAsia="Calibri" w:hAnsi="Times New Roman"/>
                <w:sz w:val="20"/>
                <w:szCs w:val="20"/>
                <w:lang w:bidi="en-US"/>
              </w:rPr>
              <w:t>1,500</w:t>
            </w:r>
            <w:bookmarkEnd w:id="91"/>
          </w:p>
        </w:tc>
        <w:tc>
          <w:tcPr>
            <w:tcW w:w="1213" w:type="pct"/>
            <w:tcBorders>
              <w:top w:val="single" w:sz="4" w:space="0" w:color="auto"/>
              <w:left w:val="single" w:sz="4" w:space="0" w:color="auto"/>
              <w:bottom w:val="single" w:sz="4" w:space="0" w:color="auto"/>
              <w:right w:val="single" w:sz="4" w:space="0" w:color="auto"/>
            </w:tcBorders>
            <w:hideMark/>
          </w:tcPr>
          <w:p w14:paraId="4CECACFB" w14:textId="77777777" w:rsidR="004047F2" w:rsidRPr="00712F3C" w:rsidRDefault="004047F2" w:rsidP="00250DAC">
            <w:pPr>
              <w:widowControl w:val="0"/>
              <w:spacing w:after="0" w:line="240" w:lineRule="auto"/>
              <w:jc w:val="center"/>
              <w:rPr>
                <w:rFonts w:ascii="Times New Roman" w:eastAsia="Calibri" w:hAnsi="Times New Roman"/>
                <w:sz w:val="20"/>
                <w:szCs w:val="20"/>
                <w:lang w:bidi="en-US"/>
              </w:rPr>
            </w:pPr>
            <w:bookmarkStart w:id="92" w:name="_DV_C889"/>
            <w:r w:rsidRPr="00712F3C">
              <w:rPr>
                <w:rFonts w:ascii="Times New Roman" w:eastAsia="Calibri" w:hAnsi="Times New Roman"/>
                <w:sz w:val="20"/>
                <w:szCs w:val="20"/>
                <w:lang w:bidi="en-US"/>
              </w:rPr>
              <w:t>22</w:t>
            </w:r>
            <w:bookmarkEnd w:id="92"/>
          </w:p>
        </w:tc>
        <w:tc>
          <w:tcPr>
            <w:tcW w:w="1420" w:type="pct"/>
            <w:tcBorders>
              <w:top w:val="single" w:sz="4" w:space="0" w:color="auto"/>
              <w:left w:val="single" w:sz="4" w:space="0" w:color="auto"/>
              <w:bottom w:val="single" w:sz="4" w:space="0" w:color="auto"/>
              <w:right w:val="single" w:sz="4" w:space="0" w:color="auto"/>
            </w:tcBorders>
            <w:hideMark/>
          </w:tcPr>
          <w:p w14:paraId="2EB4E4CA" w14:textId="77777777" w:rsidR="004047F2" w:rsidRPr="00712F3C" w:rsidRDefault="004047F2" w:rsidP="00250DAC">
            <w:pPr>
              <w:widowControl w:val="0"/>
              <w:spacing w:after="0" w:line="240" w:lineRule="auto"/>
              <w:jc w:val="center"/>
              <w:rPr>
                <w:rFonts w:ascii="Times New Roman" w:eastAsia="Calibri" w:hAnsi="Times New Roman"/>
                <w:sz w:val="20"/>
                <w:szCs w:val="20"/>
                <w:lang w:bidi="en-US"/>
              </w:rPr>
            </w:pPr>
            <w:bookmarkStart w:id="93" w:name="_DV_C890"/>
            <w:r w:rsidRPr="00712F3C">
              <w:rPr>
                <w:rFonts w:ascii="Times New Roman" w:eastAsia="Calibri" w:hAnsi="Times New Roman"/>
                <w:sz w:val="20"/>
                <w:szCs w:val="20"/>
                <w:lang w:bidi="en-US"/>
              </w:rPr>
              <w:t>3,000</w:t>
            </w:r>
            <w:bookmarkEnd w:id="93"/>
          </w:p>
        </w:tc>
        <w:tc>
          <w:tcPr>
            <w:tcW w:w="1336" w:type="pct"/>
            <w:tcBorders>
              <w:top w:val="single" w:sz="4" w:space="0" w:color="auto"/>
              <w:left w:val="single" w:sz="4" w:space="0" w:color="auto"/>
              <w:bottom w:val="single" w:sz="4" w:space="0" w:color="auto"/>
              <w:right w:val="single" w:sz="4" w:space="0" w:color="auto"/>
            </w:tcBorders>
            <w:hideMark/>
          </w:tcPr>
          <w:p w14:paraId="6CB9D76C" w14:textId="77777777" w:rsidR="004047F2" w:rsidRPr="00712F3C" w:rsidRDefault="004047F2" w:rsidP="00250DAC">
            <w:pPr>
              <w:widowControl w:val="0"/>
              <w:spacing w:after="0" w:line="240" w:lineRule="auto"/>
              <w:jc w:val="center"/>
              <w:rPr>
                <w:rFonts w:ascii="Times New Roman" w:eastAsia="Calibri" w:hAnsi="Times New Roman"/>
                <w:sz w:val="20"/>
                <w:szCs w:val="20"/>
                <w:lang w:bidi="en-US"/>
              </w:rPr>
            </w:pPr>
            <w:bookmarkStart w:id="94" w:name="_DV_C891"/>
            <w:r w:rsidRPr="00712F3C">
              <w:rPr>
                <w:rFonts w:ascii="Times New Roman" w:eastAsia="Calibri" w:hAnsi="Times New Roman"/>
                <w:sz w:val="20"/>
                <w:szCs w:val="20"/>
                <w:lang w:bidi="en-US"/>
              </w:rPr>
              <w:t>100.00%</w:t>
            </w:r>
            <w:bookmarkEnd w:id="94"/>
          </w:p>
        </w:tc>
      </w:tr>
      <w:tr w:rsidR="004047F2" w:rsidRPr="00712F3C" w14:paraId="4FC576E0" w14:textId="77777777" w:rsidTr="00250DAC">
        <w:trPr>
          <w:trHeight w:val="20"/>
        </w:trPr>
        <w:tc>
          <w:tcPr>
            <w:tcW w:w="1030" w:type="pct"/>
            <w:tcBorders>
              <w:top w:val="single" w:sz="4" w:space="0" w:color="auto"/>
              <w:left w:val="single" w:sz="4" w:space="0" w:color="auto"/>
              <w:bottom w:val="single" w:sz="4" w:space="0" w:color="auto"/>
              <w:right w:val="single" w:sz="4" w:space="0" w:color="auto"/>
            </w:tcBorders>
            <w:hideMark/>
          </w:tcPr>
          <w:p w14:paraId="40E12444" w14:textId="77777777" w:rsidR="004047F2" w:rsidRPr="00712F3C" w:rsidRDefault="004047F2" w:rsidP="00250DAC">
            <w:pPr>
              <w:widowControl w:val="0"/>
              <w:spacing w:after="0" w:line="240" w:lineRule="auto"/>
              <w:jc w:val="center"/>
              <w:rPr>
                <w:rFonts w:ascii="Times New Roman" w:eastAsia="Calibri" w:hAnsi="Times New Roman"/>
                <w:sz w:val="20"/>
                <w:szCs w:val="20"/>
                <w:lang w:bidi="en-US"/>
              </w:rPr>
            </w:pPr>
            <w:bookmarkStart w:id="95" w:name="_DV_C892"/>
            <w:r w:rsidRPr="00712F3C">
              <w:rPr>
                <w:rFonts w:ascii="Times New Roman" w:eastAsia="Calibri" w:hAnsi="Times New Roman"/>
                <w:sz w:val="20"/>
                <w:szCs w:val="20"/>
                <w:lang w:bidi="en-US"/>
              </w:rPr>
              <w:t>2,000</w:t>
            </w:r>
            <w:bookmarkEnd w:id="95"/>
          </w:p>
        </w:tc>
        <w:tc>
          <w:tcPr>
            <w:tcW w:w="1213" w:type="pct"/>
            <w:tcBorders>
              <w:top w:val="single" w:sz="4" w:space="0" w:color="auto"/>
              <w:left w:val="single" w:sz="4" w:space="0" w:color="auto"/>
              <w:bottom w:val="single" w:sz="4" w:space="0" w:color="auto"/>
              <w:right w:val="single" w:sz="4" w:space="0" w:color="auto"/>
            </w:tcBorders>
            <w:hideMark/>
          </w:tcPr>
          <w:p w14:paraId="1839285C" w14:textId="77777777" w:rsidR="004047F2" w:rsidRPr="00712F3C" w:rsidRDefault="004047F2" w:rsidP="00250DAC">
            <w:pPr>
              <w:widowControl w:val="0"/>
              <w:spacing w:after="0" w:line="240" w:lineRule="auto"/>
              <w:jc w:val="center"/>
              <w:rPr>
                <w:rFonts w:ascii="Times New Roman" w:eastAsia="Calibri" w:hAnsi="Times New Roman"/>
                <w:sz w:val="20"/>
                <w:szCs w:val="20"/>
                <w:lang w:bidi="en-US"/>
              </w:rPr>
            </w:pPr>
            <w:bookmarkStart w:id="96" w:name="_DV_C893"/>
            <w:r w:rsidRPr="00712F3C">
              <w:rPr>
                <w:rFonts w:ascii="Times New Roman" w:eastAsia="Calibri" w:hAnsi="Times New Roman"/>
                <w:sz w:val="20"/>
                <w:szCs w:val="20"/>
                <w:lang w:bidi="en-US"/>
              </w:rPr>
              <w:t>21</w:t>
            </w:r>
            <w:bookmarkEnd w:id="96"/>
          </w:p>
        </w:tc>
        <w:tc>
          <w:tcPr>
            <w:tcW w:w="1420" w:type="pct"/>
            <w:tcBorders>
              <w:top w:val="single" w:sz="4" w:space="0" w:color="auto"/>
              <w:left w:val="single" w:sz="4" w:space="0" w:color="auto"/>
              <w:bottom w:val="single" w:sz="4" w:space="0" w:color="auto"/>
              <w:right w:val="single" w:sz="4" w:space="0" w:color="auto"/>
            </w:tcBorders>
            <w:hideMark/>
          </w:tcPr>
          <w:p w14:paraId="63CE1B39" w14:textId="77777777" w:rsidR="004047F2" w:rsidRPr="00712F3C" w:rsidRDefault="004047F2" w:rsidP="00250DAC">
            <w:pPr>
              <w:widowControl w:val="0"/>
              <w:spacing w:after="0" w:line="240" w:lineRule="auto"/>
              <w:jc w:val="center"/>
              <w:rPr>
                <w:rFonts w:ascii="Times New Roman" w:eastAsia="Calibri" w:hAnsi="Times New Roman"/>
                <w:sz w:val="20"/>
                <w:szCs w:val="20"/>
                <w:lang w:bidi="en-US"/>
              </w:rPr>
            </w:pPr>
            <w:bookmarkStart w:id="97" w:name="_DV_C894"/>
            <w:r w:rsidRPr="00712F3C">
              <w:rPr>
                <w:rFonts w:ascii="Times New Roman" w:eastAsia="Calibri" w:hAnsi="Times New Roman"/>
                <w:sz w:val="20"/>
                <w:szCs w:val="20"/>
                <w:lang w:bidi="en-US"/>
              </w:rPr>
              <w:t>5,000</w:t>
            </w:r>
            <w:bookmarkEnd w:id="97"/>
          </w:p>
        </w:tc>
        <w:tc>
          <w:tcPr>
            <w:tcW w:w="1336" w:type="pct"/>
            <w:tcBorders>
              <w:top w:val="single" w:sz="4" w:space="0" w:color="auto"/>
              <w:left w:val="single" w:sz="4" w:space="0" w:color="auto"/>
              <w:bottom w:val="single" w:sz="4" w:space="0" w:color="auto"/>
              <w:right w:val="single" w:sz="4" w:space="0" w:color="auto"/>
            </w:tcBorders>
            <w:hideMark/>
          </w:tcPr>
          <w:p w14:paraId="74F756AF" w14:textId="77777777" w:rsidR="004047F2" w:rsidRPr="00712F3C" w:rsidRDefault="004047F2" w:rsidP="00250DAC">
            <w:pPr>
              <w:widowControl w:val="0"/>
              <w:spacing w:after="0" w:line="240" w:lineRule="auto"/>
              <w:jc w:val="center"/>
              <w:rPr>
                <w:rFonts w:ascii="Times New Roman" w:eastAsia="Calibri" w:hAnsi="Times New Roman"/>
                <w:sz w:val="20"/>
                <w:szCs w:val="20"/>
                <w:lang w:bidi="en-US"/>
              </w:rPr>
            </w:pPr>
            <w:bookmarkStart w:id="98" w:name="_DV_C895"/>
            <w:r w:rsidRPr="00712F3C">
              <w:rPr>
                <w:rFonts w:ascii="Times New Roman" w:eastAsia="Calibri" w:hAnsi="Times New Roman"/>
                <w:sz w:val="20"/>
                <w:szCs w:val="20"/>
                <w:lang w:bidi="en-US"/>
              </w:rPr>
              <w:t>166.67%</w:t>
            </w:r>
            <w:bookmarkEnd w:id="98"/>
          </w:p>
        </w:tc>
      </w:tr>
      <w:tr w:rsidR="004047F2" w:rsidRPr="00712F3C" w14:paraId="4D39B0BA" w14:textId="77777777" w:rsidTr="00250DAC">
        <w:trPr>
          <w:trHeight w:val="20"/>
        </w:trPr>
        <w:tc>
          <w:tcPr>
            <w:tcW w:w="1030" w:type="pct"/>
            <w:tcBorders>
              <w:top w:val="single" w:sz="4" w:space="0" w:color="auto"/>
              <w:left w:val="single" w:sz="4" w:space="0" w:color="auto"/>
              <w:bottom w:val="single" w:sz="4" w:space="0" w:color="auto"/>
              <w:right w:val="single" w:sz="4" w:space="0" w:color="auto"/>
            </w:tcBorders>
            <w:hideMark/>
          </w:tcPr>
          <w:p w14:paraId="656E6097" w14:textId="77777777" w:rsidR="004047F2" w:rsidRPr="00712F3C" w:rsidRDefault="004047F2" w:rsidP="00250DAC">
            <w:pPr>
              <w:widowControl w:val="0"/>
              <w:spacing w:after="0" w:line="240" w:lineRule="auto"/>
              <w:jc w:val="center"/>
              <w:rPr>
                <w:rFonts w:ascii="Times New Roman" w:eastAsia="Calibri" w:hAnsi="Times New Roman"/>
                <w:sz w:val="20"/>
                <w:szCs w:val="20"/>
                <w:lang w:bidi="en-US"/>
              </w:rPr>
            </w:pPr>
            <w:bookmarkStart w:id="99" w:name="_DV_C896"/>
            <w:r w:rsidRPr="00712F3C">
              <w:rPr>
                <w:rFonts w:ascii="Times New Roman" w:eastAsia="Calibri" w:hAnsi="Times New Roman"/>
                <w:sz w:val="20"/>
                <w:szCs w:val="20"/>
                <w:lang w:bidi="en-US"/>
              </w:rPr>
              <w:t>2,500</w:t>
            </w:r>
            <w:bookmarkEnd w:id="99"/>
          </w:p>
        </w:tc>
        <w:tc>
          <w:tcPr>
            <w:tcW w:w="1213" w:type="pct"/>
            <w:tcBorders>
              <w:top w:val="single" w:sz="4" w:space="0" w:color="auto"/>
              <w:left w:val="single" w:sz="4" w:space="0" w:color="auto"/>
              <w:bottom w:val="single" w:sz="4" w:space="0" w:color="auto"/>
              <w:right w:val="single" w:sz="4" w:space="0" w:color="auto"/>
            </w:tcBorders>
            <w:hideMark/>
          </w:tcPr>
          <w:p w14:paraId="567C6C4D" w14:textId="77777777" w:rsidR="004047F2" w:rsidRPr="00712F3C" w:rsidRDefault="004047F2" w:rsidP="00250DAC">
            <w:pPr>
              <w:widowControl w:val="0"/>
              <w:spacing w:after="0" w:line="240" w:lineRule="auto"/>
              <w:jc w:val="center"/>
              <w:rPr>
                <w:rFonts w:ascii="Times New Roman" w:eastAsia="Calibri" w:hAnsi="Times New Roman"/>
                <w:sz w:val="20"/>
                <w:szCs w:val="20"/>
                <w:lang w:bidi="en-US"/>
              </w:rPr>
            </w:pPr>
            <w:bookmarkStart w:id="100" w:name="_DV_C897"/>
            <w:r w:rsidRPr="00712F3C">
              <w:rPr>
                <w:rFonts w:ascii="Times New Roman" w:eastAsia="Calibri" w:hAnsi="Times New Roman"/>
                <w:sz w:val="20"/>
                <w:szCs w:val="20"/>
                <w:lang w:bidi="en-US"/>
              </w:rPr>
              <w:t>20</w:t>
            </w:r>
            <w:bookmarkEnd w:id="100"/>
          </w:p>
        </w:tc>
        <w:tc>
          <w:tcPr>
            <w:tcW w:w="1420" w:type="pct"/>
            <w:tcBorders>
              <w:top w:val="single" w:sz="4" w:space="0" w:color="auto"/>
              <w:left w:val="single" w:sz="4" w:space="0" w:color="auto"/>
              <w:bottom w:val="single" w:sz="4" w:space="0" w:color="auto"/>
              <w:right w:val="single" w:sz="4" w:space="0" w:color="auto"/>
            </w:tcBorders>
            <w:hideMark/>
          </w:tcPr>
          <w:p w14:paraId="7E53B1F1" w14:textId="77777777" w:rsidR="004047F2" w:rsidRPr="00712F3C" w:rsidRDefault="004047F2" w:rsidP="00250DAC">
            <w:pPr>
              <w:widowControl w:val="0"/>
              <w:spacing w:after="0" w:line="240" w:lineRule="auto"/>
              <w:jc w:val="center"/>
              <w:rPr>
                <w:rFonts w:ascii="Times New Roman" w:eastAsia="Calibri" w:hAnsi="Times New Roman"/>
                <w:sz w:val="20"/>
                <w:szCs w:val="20"/>
                <w:lang w:bidi="en-US"/>
              </w:rPr>
            </w:pPr>
            <w:bookmarkStart w:id="101" w:name="_DV_C898"/>
            <w:r w:rsidRPr="00712F3C">
              <w:rPr>
                <w:rFonts w:ascii="Times New Roman" w:eastAsia="Calibri" w:hAnsi="Times New Roman"/>
                <w:sz w:val="20"/>
                <w:szCs w:val="20"/>
                <w:lang w:bidi="en-US"/>
              </w:rPr>
              <w:t>7,500</w:t>
            </w:r>
            <w:bookmarkEnd w:id="101"/>
          </w:p>
        </w:tc>
        <w:tc>
          <w:tcPr>
            <w:tcW w:w="1336" w:type="pct"/>
            <w:tcBorders>
              <w:top w:val="single" w:sz="4" w:space="0" w:color="auto"/>
              <w:left w:val="single" w:sz="4" w:space="0" w:color="auto"/>
              <w:bottom w:val="single" w:sz="4" w:space="0" w:color="auto"/>
              <w:right w:val="single" w:sz="4" w:space="0" w:color="auto"/>
            </w:tcBorders>
            <w:hideMark/>
          </w:tcPr>
          <w:p w14:paraId="6BDE60EF" w14:textId="77777777" w:rsidR="004047F2" w:rsidRPr="00712F3C" w:rsidRDefault="004047F2" w:rsidP="00250DAC">
            <w:pPr>
              <w:widowControl w:val="0"/>
              <w:spacing w:after="0" w:line="240" w:lineRule="auto"/>
              <w:jc w:val="center"/>
              <w:rPr>
                <w:rFonts w:ascii="Times New Roman" w:eastAsia="Calibri" w:hAnsi="Times New Roman"/>
                <w:sz w:val="20"/>
                <w:szCs w:val="20"/>
                <w:lang w:bidi="en-US"/>
              </w:rPr>
            </w:pPr>
            <w:bookmarkStart w:id="102" w:name="_DV_C899"/>
            <w:r w:rsidRPr="00712F3C">
              <w:rPr>
                <w:rFonts w:ascii="Times New Roman" w:eastAsia="Calibri" w:hAnsi="Times New Roman"/>
                <w:sz w:val="20"/>
                <w:szCs w:val="20"/>
                <w:lang w:bidi="en-US"/>
              </w:rPr>
              <w:t>250.00%</w:t>
            </w:r>
            <w:bookmarkEnd w:id="102"/>
          </w:p>
        </w:tc>
      </w:tr>
    </w:tbl>
    <w:p w14:paraId="393DABCF" w14:textId="77777777" w:rsidR="004047F2" w:rsidRPr="00712F3C" w:rsidRDefault="004047F2" w:rsidP="004047F2">
      <w:pPr>
        <w:widowControl w:val="0"/>
        <w:spacing w:after="0" w:line="240" w:lineRule="auto"/>
        <w:jc w:val="both"/>
        <w:rPr>
          <w:rFonts w:ascii="Times New Roman" w:eastAsia="Calibri" w:hAnsi="Times New Roman"/>
          <w:sz w:val="20"/>
          <w:szCs w:val="20"/>
          <w:lang w:bidi="en-US"/>
        </w:rPr>
      </w:pPr>
      <w:bookmarkStart w:id="103" w:name="_DV_C900"/>
    </w:p>
    <w:p w14:paraId="0DF4EEAE" w14:textId="77777777" w:rsidR="004047F2" w:rsidRPr="00712F3C" w:rsidRDefault="004047F2" w:rsidP="004047F2">
      <w:pPr>
        <w:widowControl w:val="0"/>
        <w:spacing w:after="0" w:line="240" w:lineRule="auto"/>
        <w:jc w:val="both"/>
        <w:rPr>
          <w:rFonts w:ascii="Times New Roman" w:eastAsia="Calibri" w:hAnsi="Times New Roman"/>
          <w:sz w:val="20"/>
          <w:szCs w:val="20"/>
          <w:lang w:bidi="en-US"/>
        </w:rPr>
      </w:pPr>
      <w:r w:rsidRPr="00712F3C">
        <w:rPr>
          <w:rFonts w:ascii="Times New Roman" w:eastAsia="Calibri" w:hAnsi="Times New Roman"/>
          <w:sz w:val="20"/>
          <w:szCs w:val="20"/>
          <w:lang w:bidi="en-US"/>
        </w:rPr>
        <w:t>The price discovery is a function of demand at various prices. The highest price at which the Issuer is able to Issue the desired number of Equity Shares is the price at which the book cuts off, i.e., ₹ 22.00 in the above example. The Issuer, in consultation with the BRLM, may finalise the Issue Price at or below such Cut-Off Price, i.e., at or below ₹ 22.00. All Bids at or above this Issue Price and cut-off Bids are valid Bids and are considered for allocation in the respective categories.</w:t>
      </w:r>
      <w:bookmarkEnd w:id="103"/>
    </w:p>
    <w:p w14:paraId="17D09924" w14:textId="77777777" w:rsidR="004047F2" w:rsidRPr="00712F3C" w:rsidRDefault="004047F2" w:rsidP="004047F2">
      <w:pPr>
        <w:spacing w:after="0" w:line="240" w:lineRule="auto"/>
        <w:jc w:val="both"/>
        <w:rPr>
          <w:rFonts w:ascii="Times New Roman" w:eastAsia="Calibri" w:hAnsi="Times New Roman"/>
          <w:b/>
          <w:sz w:val="20"/>
          <w:szCs w:val="20"/>
          <w:u w:val="single"/>
        </w:rPr>
      </w:pPr>
    </w:p>
    <w:p w14:paraId="388FC83B" w14:textId="77777777" w:rsidR="004047F2" w:rsidRPr="00712F3C" w:rsidRDefault="004047F2" w:rsidP="004047F2">
      <w:pPr>
        <w:spacing w:after="0" w:line="240" w:lineRule="auto"/>
        <w:jc w:val="both"/>
        <w:rPr>
          <w:rFonts w:ascii="Times New Roman" w:eastAsia="Calibri" w:hAnsi="Times New Roman"/>
          <w:b/>
          <w:sz w:val="20"/>
          <w:szCs w:val="20"/>
          <w:u w:val="single"/>
        </w:rPr>
      </w:pPr>
      <w:r w:rsidRPr="00712F3C">
        <w:rPr>
          <w:rFonts w:ascii="Times New Roman" w:eastAsia="Calibri" w:hAnsi="Times New Roman"/>
          <w:b/>
          <w:sz w:val="20"/>
          <w:szCs w:val="20"/>
          <w:u w:val="single"/>
        </w:rPr>
        <w:t>Signing of Underwriting Agreement and Filing of Red Herring Prospectus/ Prospectus with RoC</w:t>
      </w:r>
    </w:p>
    <w:p w14:paraId="7F014437" w14:textId="77777777" w:rsidR="004047F2" w:rsidRPr="00712F3C" w:rsidRDefault="004047F2" w:rsidP="004047F2">
      <w:pPr>
        <w:spacing w:after="0" w:line="240" w:lineRule="auto"/>
        <w:jc w:val="both"/>
        <w:rPr>
          <w:rFonts w:ascii="Times New Roman" w:eastAsia="Calibri" w:hAnsi="Times New Roman"/>
          <w:b/>
          <w:sz w:val="20"/>
          <w:szCs w:val="20"/>
          <w:u w:val="single"/>
        </w:rPr>
      </w:pPr>
    </w:p>
    <w:p w14:paraId="6EA2E871" w14:textId="77777777" w:rsidR="004047F2" w:rsidRPr="00712F3C" w:rsidRDefault="004047F2">
      <w:pPr>
        <w:numPr>
          <w:ilvl w:val="0"/>
          <w:numId w:val="205"/>
        </w:numPr>
        <w:suppressAutoHyphens/>
        <w:autoSpaceDE w:val="0"/>
        <w:autoSpaceDN w:val="0"/>
        <w:adjustRightInd w:val="0"/>
        <w:spacing w:after="0" w:line="240" w:lineRule="auto"/>
        <w:ind w:left="426" w:hanging="336"/>
        <w:contextualSpacing/>
        <w:jc w:val="both"/>
        <w:textAlignment w:val="center"/>
        <w:rPr>
          <w:rFonts w:ascii="Times New Roman" w:eastAsia="Calibri" w:hAnsi="Times New Roman"/>
          <w:sz w:val="20"/>
          <w:szCs w:val="20"/>
        </w:rPr>
      </w:pPr>
      <w:r w:rsidRPr="00712F3C">
        <w:rPr>
          <w:rFonts w:ascii="Times New Roman" w:eastAsia="Calibri" w:hAnsi="Times New Roman"/>
          <w:sz w:val="20"/>
          <w:szCs w:val="20"/>
        </w:rPr>
        <w:t xml:space="preserve">Our company has entered into an Underwriting Agreement dated [●] </w:t>
      </w:r>
    </w:p>
    <w:p w14:paraId="7ABC17A1" w14:textId="77777777" w:rsidR="004047F2" w:rsidRPr="00712F3C" w:rsidRDefault="004047F2">
      <w:pPr>
        <w:numPr>
          <w:ilvl w:val="0"/>
          <w:numId w:val="205"/>
        </w:numPr>
        <w:suppressAutoHyphens/>
        <w:autoSpaceDE w:val="0"/>
        <w:autoSpaceDN w:val="0"/>
        <w:adjustRightInd w:val="0"/>
        <w:spacing w:after="0" w:line="240" w:lineRule="auto"/>
        <w:ind w:left="426"/>
        <w:contextualSpacing/>
        <w:jc w:val="both"/>
        <w:textAlignment w:val="center"/>
        <w:rPr>
          <w:rFonts w:ascii="Times New Roman" w:eastAsia="Calibri" w:hAnsi="Times New Roman"/>
          <w:sz w:val="20"/>
          <w:szCs w:val="20"/>
        </w:rPr>
      </w:pPr>
      <w:r w:rsidRPr="00712F3C">
        <w:rPr>
          <w:rFonts w:ascii="Times New Roman" w:hAnsi="Times New Roman"/>
          <w:color w:val="000000"/>
          <w:sz w:val="20"/>
          <w:szCs w:val="20"/>
        </w:rPr>
        <w:t>A copy of Red Herring Prospectus will be filed with the RoC and copy of Prospectus will be filed with RoC in terms of Section 32 of Companies Act, 2013 and Section 26 of Companies Act, 2013.</w:t>
      </w:r>
    </w:p>
    <w:p w14:paraId="1CE380F0" w14:textId="77777777" w:rsidR="004047F2" w:rsidRPr="00712F3C" w:rsidRDefault="004047F2" w:rsidP="004047F2">
      <w:pPr>
        <w:spacing w:after="0" w:line="240" w:lineRule="auto"/>
        <w:jc w:val="both"/>
        <w:rPr>
          <w:rFonts w:ascii="Times New Roman" w:eastAsia="Calibri" w:hAnsi="Times New Roman"/>
          <w:b/>
          <w:sz w:val="20"/>
          <w:szCs w:val="20"/>
          <w:u w:val="single"/>
        </w:rPr>
      </w:pPr>
    </w:p>
    <w:p w14:paraId="5ED63DFE" w14:textId="77777777" w:rsidR="004047F2" w:rsidRPr="00712F3C" w:rsidRDefault="004047F2" w:rsidP="004047F2">
      <w:pPr>
        <w:spacing w:after="0" w:line="240" w:lineRule="auto"/>
        <w:jc w:val="both"/>
        <w:rPr>
          <w:rFonts w:ascii="Times New Roman" w:eastAsia="Calibri" w:hAnsi="Times New Roman"/>
          <w:b/>
          <w:sz w:val="20"/>
          <w:szCs w:val="20"/>
          <w:u w:val="single"/>
        </w:rPr>
      </w:pPr>
      <w:r w:rsidRPr="00712F3C">
        <w:rPr>
          <w:rFonts w:ascii="Times New Roman" w:eastAsia="Calibri" w:hAnsi="Times New Roman"/>
          <w:b/>
          <w:sz w:val="20"/>
          <w:szCs w:val="20"/>
          <w:u w:val="single"/>
        </w:rPr>
        <w:t>Pre-Issue Advertisement</w:t>
      </w:r>
    </w:p>
    <w:p w14:paraId="5C152C10" w14:textId="77777777" w:rsidR="004047F2" w:rsidRPr="00712F3C" w:rsidRDefault="004047F2" w:rsidP="004047F2">
      <w:pPr>
        <w:spacing w:after="0" w:line="240" w:lineRule="auto"/>
        <w:jc w:val="both"/>
        <w:rPr>
          <w:rFonts w:ascii="Times New Roman" w:eastAsia="Calibri" w:hAnsi="Times New Roman"/>
          <w:b/>
          <w:sz w:val="20"/>
          <w:szCs w:val="20"/>
          <w:u w:val="single"/>
        </w:rPr>
      </w:pPr>
    </w:p>
    <w:p w14:paraId="33484625" w14:textId="77777777" w:rsidR="004047F2" w:rsidRPr="00712F3C" w:rsidRDefault="004047F2" w:rsidP="004047F2">
      <w:pPr>
        <w:spacing w:after="0" w:line="240" w:lineRule="auto"/>
        <w:jc w:val="both"/>
        <w:rPr>
          <w:rFonts w:ascii="Times New Roman" w:eastAsia="Calibri" w:hAnsi="Times New Roman"/>
          <w:sz w:val="20"/>
          <w:szCs w:val="20"/>
          <w:lang w:bidi="en-US"/>
        </w:rPr>
      </w:pPr>
      <w:r w:rsidRPr="00712F3C">
        <w:rPr>
          <w:rFonts w:ascii="Times New Roman" w:eastAsia="Calibri" w:hAnsi="Times New Roman"/>
          <w:sz w:val="20"/>
          <w:szCs w:val="20"/>
        </w:rPr>
        <w:t xml:space="preserve">Subject to Section 30 of the Companies Act 2013, our Company shall, after filing the Red Herring Prospectus with the ROC, publish a pre-Issue advertisement, in the form prescribed by the SEBI Regulations, in (i) English National Newspaper; (ii) Hindi National Newspaper and (iii) Regional Newspaper each with wide circulation. </w:t>
      </w:r>
      <w:r w:rsidRPr="00712F3C">
        <w:rPr>
          <w:rFonts w:ascii="Times New Roman" w:eastAsia="Calibri" w:hAnsi="Times New Roman"/>
          <w:sz w:val="20"/>
          <w:szCs w:val="20"/>
          <w:lang w:bidi="en-US"/>
        </w:rPr>
        <w:t>In the pre-Issue advertisement, we shall state the Bid Opening Date and the Bid/Issue Closing Date and the floor price or price band along with necessary details subject to regulation 250 of SEBI ICRD Regulations. This advertisement, subject to the provisions of section 30 of the Companies Act, 2013, shall be in the format prescribed in Part A of Schedule X of the SEBI Regulations.</w:t>
      </w:r>
    </w:p>
    <w:p w14:paraId="76B7B53B" w14:textId="77777777" w:rsidR="004047F2" w:rsidRPr="00712F3C" w:rsidRDefault="004047F2" w:rsidP="004047F2">
      <w:pPr>
        <w:spacing w:after="0" w:line="240" w:lineRule="auto"/>
        <w:jc w:val="both"/>
        <w:rPr>
          <w:rFonts w:ascii="Times New Roman" w:eastAsia="Calibri" w:hAnsi="Times New Roman"/>
          <w:sz w:val="20"/>
          <w:szCs w:val="20"/>
          <w:lang w:bidi="en-US"/>
        </w:rPr>
      </w:pPr>
    </w:p>
    <w:p w14:paraId="00B096B1" w14:textId="77777777" w:rsidR="004047F2" w:rsidRPr="00712F3C" w:rsidRDefault="004047F2" w:rsidP="004047F2">
      <w:pPr>
        <w:widowControl w:val="0"/>
        <w:spacing w:after="0" w:line="240" w:lineRule="auto"/>
        <w:jc w:val="both"/>
        <w:rPr>
          <w:rFonts w:ascii="Times New Roman" w:eastAsia="Calibri" w:hAnsi="Times New Roman"/>
          <w:b/>
          <w:sz w:val="20"/>
          <w:szCs w:val="20"/>
          <w:lang w:bidi="en-US"/>
        </w:rPr>
      </w:pPr>
      <w:r w:rsidRPr="00712F3C">
        <w:rPr>
          <w:rFonts w:ascii="Times New Roman" w:eastAsia="Calibri" w:hAnsi="Times New Roman"/>
          <w:b/>
          <w:sz w:val="20"/>
          <w:szCs w:val="20"/>
          <w:lang w:bidi="en-US"/>
        </w:rPr>
        <w:t>ADVERTISEMENT REGARDING ISSUE PRICE AND PROSPECTUS:</w:t>
      </w:r>
    </w:p>
    <w:p w14:paraId="1191BA54" w14:textId="77777777" w:rsidR="004047F2" w:rsidRPr="00712F3C" w:rsidRDefault="004047F2" w:rsidP="004047F2">
      <w:pPr>
        <w:widowControl w:val="0"/>
        <w:spacing w:after="0" w:line="240" w:lineRule="auto"/>
        <w:jc w:val="both"/>
        <w:rPr>
          <w:rFonts w:ascii="Times New Roman" w:eastAsia="Calibri" w:hAnsi="Times New Roman"/>
          <w:sz w:val="20"/>
          <w:szCs w:val="20"/>
          <w:lang w:bidi="en-US"/>
        </w:rPr>
      </w:pPr>
      <w:bookmarkStart w:id="104" w:name="_DV_C167"/>
    </w:p>
    <w:p w14:paraId="1EA5DA92" w14:textId="77777777" w:rsidR="004047F2" w:rsidRPr="00712F3C" w:rsidRDefault="004047F2" w:rsidP="004047F2">
      <w:pPr>
        <w:widowControl w:val="0"/>
        <w:spacing w:after="0" w:line="240" w:lineRule="auto"/>
        <w:jc w:val="both"/>
        <w:rPr>
          <w:rFonts w:ascii="Times New Roman" w:eastAsia="Calibri" w:hAnsi="Times New Roman"/>
          <w:sz w:val="20"/>
          <w:szCs w:val="20"/>
          <w:lang w:bidi="en-US"/>
        </w:rPr>
      </w:pPr>
      <w:r w:rsidRPr="00712F3C">
        <w:rPr>
          <w:rFonts w:ascii="Times New Roman" w:eastAsia="Calibri" w:hAnsi="Times New Roman"/>
          <w:sz w:val="20"/>
          <w:szCs w:val="20"/>
          <w:lang w:bidi="en-US"/>
        </w:rPr>
        <w:t>Our Company will issue a statutory advertisement after the filing of the Red Herring Prospectus/ Prospectus with the RoC. This advertisement, in addition to the information that has to be set out in the statutory advertisement, shall indicate the final derived Issue Price. Any material updates between the date of the Red Herring Prospectus and the date of Prospectus will be included in such statutory advertisement.</w:t>
      </w:r>
      <w:bookmarkEnd w:id="104"/>
    </w:p>
    <w:p w14:paraId="5BBEDEE7" w14:textId="77777777" w:rsidR="004047F2" w:rsidRPr="00712F3C" w:rsidRDefault="004047F2" w:rsidP="004047F2">
      <w:pPr>
        <w:widowControl w:val="0"/>
        <w:spacing w:after="0" w:line="240" w:lineRule="auto"/>
        <w:jc w:val="both"/>
        <w:rPr>
          <w:rFonts w:ascii="Times New Roman" w:eastAsia="Calibri" w:hAnsi="Times New Roman"/>
          <w:sz w:val="20"/>
          <w:szCs w:val="20"/>
          <w:lang w:bidi="en-US"/>
        </w:rPr>
      </w:pPr>
    </w:p>
    <w:p w14:paraId="447A2D88" w14:textId="77777777" w:rsidR="004047F2" w:rsidRPr="00712F3C" w:rsidRDefault="004047F2" w:rsidP="004047F2">
      <w:pPr>
        <w:widowControl w:val="0"/>
        <w:spacing w:after="0" w:line="240" w:lineRule="auto"/>
        <w:jc w:val="both"/>
        <w:rPr>
          <w:rFonts w:ascii="Times New Roman" w:eastAsia="Calibri" w:hAnsi="Times New Roman"/>
          <w:b/>
          <w:sz w:val="20"/>
          <w:szCs w:val="20"/>
          <w:lang w:bidi="en-US"/>
        </w:rPr>
      </w:pPr>
      <w:r w:rsidRPr="00712F3C">
        <w:rPr>
          <w:rFonts w:ascii="Times New Roman" w:eastAsia="Calibri" w:hAnsi="Times New Roman"/>
          <w:b/>
          <w:sz w:val="20"/>
          <w:szCs w:val="20"/>
          <w:lang w:bidi="en-US"/>
        </w:rPr>
        <w:t>GENERAL INSTRUCTIONS:</w:t>
      </w:r>
    </w:p>
    <w:p w14:paraId="1E3181E4" w14:textId="77777777" w:rsidR="004047F2" w:rsidRPr="00712F3C" w:rsidRDefault="004047F2" w:rsidP="004047F2">
      <w:pPr>
        <w:widowControl w:val="0"/>
        <w:spacing w:after="0" w:line="240" w:lineRule="auto"/>
        <w:jc w:val="both"/>
        <w:rPr>
          <w:rFonts w:ascii="Times New Roman" w:eastAsia="Calibri" w:hAnsi="Times New Roman"/>
          <w:sz w:val="20"/>
          <w:szCs w:val="20"/>
          <w:lang w:bidi="en-US"/>
        </w:rPr>
      </w:pPr>
      <w:bookmarkStart w:id="105" w:name="_DV_C169"/>
    </w:p>
    <w:p w14:paraId="6C50C63E" w14:textId="77777777" w:rsidR="004047F2" w:rsidRPr="00712F3C" w:rsidRDefault="004047F2" w:rsidP="004047F2">
      <w:pPr>
        <w:widowControl w:val="0"/>
        <w:spacing w:after="0" w:line="240" w:lineRule="auto"/>
        <w:jc w:val="both"/>
        <w:rPr>
          <w:rFonts w:ascii="Times New Roman" w:eastAsia="Calibri" w:hAnsi="Times New Roman"/>
          <w:sz w:val="20"/>
          <w:szCs w:val="20"/>
          <w:lang w:bidi="en-US"/>
        </w:rPr>
      </w:pPr>
      <w:r w:rsidRPr="00712F3C">
        <w:rPr>
          <w:rFonts w:ascii="Times New Roman" w:eastAsia="Calibri" w:hAnsi="Times New Roman"/>
          <w:sz w:val="20"/>
          <w:szCs w:val="20"/>
          <w:lang w:bidi="en-US"/>
        </w:rPr>
        <w:t>Please note that the NIIs are not permitted to withdraw their bids or lower the size of Bids in terms of quantity of Equity Shares or Bid Amount) at any stage. Retail Individual Investor can revise their Bids during the Bid/Issue period and withdraw their Bids until Bid/issue Closing date.</w:t>
      </w:r>
    </w:p>
    <w:p w14:paraId="71D21E20" w14:textId="77777777" w:rsidR="004047F2" w:rsidRPr="00712F3C" w:rsidRDefault="004047F2" w:rsidP="004047F2">
      <w:pPr>
        <w:widowControl w:val="0"/>
        <w:spacing w:after="0" w:line="240" w:lineRule="auto"/>
        <w:jc w:val="both"/>
        <w:rPr>
          <w:rFonts w:ascii="Times New Roman" w:eastAsia="Calibri" w:hAnsi="Times New Roman"/>
          <w:sz w:val="20"/>
          <w:szCs w:val="20"/>
          <w:lang w:bidi="en-US"/>
        </w:rPr>
      </w:pPr>
    </w:p>
    <w:p w14:paraId="24DA9728" w14:textId="77777777" w:rsidR="004047F2" w:rsidRPr="00712F3C" w:rsidRDefault="004047F2" w:rsidP="004047F2">
      <w:pPr>
        <w:widowControl w:val="0"/>
        <w:spacing w:after="0" w:line="240" w:lineRule="auto"/>
        <w:jc w:val="both"/>
        <w:rPr>
          <w:rFonts w:ascii="Times New Roman" w:eastAsia="Calibri" w:hAnsi="Times New Roman"/>
          <w:sz w:val="20"/>
          <w:szCs w:val="20"/>
          <w:lang w:bidi="en-US"/>
        </w:rPr>
      </w:pPr>
      <w:r w:rsidRPr="00712F3C">
        <w:rPr>
          <w:rFonts w:ascii="Times New Roman" w:eastAsia="Calibri" w:hAnsi="Times New Roman"/>
          <w:sz w:val="20"/>
          <w:szCs w:val="20"/>
          <w:lang w:bidi="en-US"/>
        </w:rPr>
        <w:t>Anchor investors are not allowed to withdraw their Bids after Anchor Investors bidding date.</w:t>
      </w:r>
      <w:r w:rsidRPr="00712F3C">
        <w:rPr>
          <w:rFonts w:ascii="Times New Roman" w:eastAsia="Calibri" w:hAnsi="Times New Roman"/>
          <w:sz w:val="20"/>
          <w:szCs w:val="20"/>
          <w:lang w:bidi="en-US"/>
        </w:rPr>
        <w:tab/>
      </w:r>
      <w:r w:rsidRPr="00712F3C">
        <w:rPr>
          <w:rFonts w:ascii="Times New Roman" w:eastAsia="Calibri" w:hAnsi="Times New Roman"/>
          <w:sz w:val="20"/>
          <w:szCs w:val="20"/>
          <w:lang w:bidi="en-US"/>
        </w:rPr>
        <w:tab/>
      </w:r>
      <w:r w:rsidRPr="00712F3C">
        <w:rPr>
          <w:rFonts w:ascii="Times New Roman" w:eastAsia="Calibri" w:hAnsi="Times New Roman"/>
          <w:sz w:val="20"/>
          <w:szCs w:val="20"/>
          <w:lang w:bidi="en-US"/>
        </w:rPr>
        <w:tab/>
      </w:r>
    </w:p>
    <w:p w14:paraId="70E591CD" w14:textId="77777777" w:rsidR="004047F2" w:rsidRPr="00712F3C" w:rsidRDefault="004047F2" w:rsidP="004047F2">
      <w:pPr>
        <w:widowControl w:val="0"/>
        <w:spacing w:after="0" w:line="240" w:lineRule="auto"/>
        <w:jc w:val="both"/>
        <w:rPr>
          <w:rFonts w:ascii="Times New Roman" w:eastAsia="Calibri" w:hAnsi="Times New Roman"/>
          <w:sz w:val="20"/>
          <w:szCs w:val="20"/>
          <w:lang w:bidi="en-US"/>
        </w:rPr>
      </w:pPr>
    </w:p>
    <w:p w14:paraId="32174F1F" w14:textId="77777777" w:rsidR="004047F2" w:rsidRPr="00712F3C" w:rsidRDefault="004047F2" w:rsidP="004047F2">
      <w:pPr>
        <w:widowControl w:val="0"/>
        <w:spacing w:after="0" w:line="240" w:lineRule="auto"/>
        <w:jc w:val="both"/>
        <w:rPr>
          <w:rFonts w:ascii="Times New Roman" w:eastAsia="Calibri" w:hAnsi="Times New Roman"/>
          <w:b/>
          <w:sz w:val="20"/>
          <w:szCs w:val="20"/>
          <w:lang w:bidi="en-US"/>
        </w:rPr>
      </w:pPr>
      <w:r w:rsidRPr="00712F3C">
        <w:rPr>
          <w:rFonts w:ascii="Times New Roman" w:eastAsia="Calibri" w:hAnsi="Times New Roman"/>
          <w:b/>
          <w:sz w:val="20"/>
          <w:szCs w:val="20"/>
          <w:lang w:bidi="en-US"/>
        </w:rPr>
        <w:t>Do’s:</w:t>
      </w:r>
      <w:bookmarkStart w:id="106" w:name="_DV_C171"/>
      <w:bookmarkEnd w:id="105"/>
    </w:p>
    <w:p w14:paraId="43433699" w14:textId="77777777" w:rsidR="004047F2" w:rsidRPr="00712F3C" w:rsidRDefault="004047F2" w:rsidP="004047F2">
      <w:pPr>
        <w:widowControl w:val="0"/>
        <w:spacing w:after="0" w:line="240" w:lineRule="auto"/>
        <w:jc w:val="both"/>
        <w:rPr>
          <w:rFonts w:ascii="Times New Roman" w:eastAsia="Calibri" w:hAnsi="Times New Roman"/>
          <w:sz w:val="20"/>
          <w:szCs w:val="20"/>
          <w:lang w:bidi="en-US"/>
        </w:rPr>
      </w:pPr>
    </w:p>
    <w:p w14:paraId="0492595D" w14:textId="77777777" w:rsidR="004047F2" w:rsidRPr="00712F3C" w:rsidRDefault="004047F2">
      <w:pPr>
        <w:pStyle w:val="ListParagraph"/>
        <w:widowControl w:val="0"/>
        <w:numPr>
          <w:ilvl w:val="0"/>
          <w:numId w:val="292"/>
        </w:numPr>
        <w:spacing w:line="240" w:lineRule="auto"/>
        <w:ind w:hanging="450"/>
        <w:jc w:val="both"/>
        <w:rPr>
          <w:rFonts w:eastAsia="Calibri"/>
          <w:sz w:val="20"/>
          <w:szCs w:val="20"/>
          <w:lang w:bidi="en-US"/>
        </w:rPr>
      </w:pPr>
      <w:r w:rsidRPr="00712F3C">
        <w:rPr>
          <w:rFonts w:eastAsia="Calibri"/>
          <w:sz w:val="20"/>
          <w:szCs w:val="20"/>
          <w:lang w:bidi="en-US"/>
        </w:rPr>
        <w:t>Check if you are eligible to apply as per the terms of the Draft Red Herring Prospectus and under applicable law, rules, regulations, guidelines and approvals;</w:t>
      </w:r>
      <w:bookmarkEnd w:id="106"/>
    </w:p>
    <w:p w14:paraId="7D7AE6B9" w14:textId="77777777" w:rsidR="004047F2" w:rsidRPr="00712F3C" w:rsidRDefault="004047F2">
      <w:pPr>
        <w:pStyle w:val="ListParagraph"/>
        <w:widowControl w:val="0"/>
        <w:numPr>
          <w:ilvl w:val="0"/>
          <w:numId w:val="292"/>
        </w:numPr>
        <w:suppressAutoHyphens w:val="0"/>
        <w:spacing w:line="240" w:lineRule="auto"/>
        <w:ind w:hanging="450"/>
        <w:contextualSpacing/>
        <w:jc w:val="both"/>
        <w:textAlignment w:val="auto"/>
        <w:rPr>
          <w:rFonts w:eastAsia="Calibri"/>
          <w:sz w:val="20"/>
          <w:szCs w:val="20"/>
          <w:lang w:bidi="en-US"/>
        </w:rPr>
      </w:pPr>
      <w:bookmarkStart w:id="107" w:name="_DV_C173"/>
      <w:r w:rsidRPr="00712F3C">
        <w:rPr>
          <w:rFonts w:eastAsia="Calibri"/>
          <w:sz w:val="20"/>
          <w:szCs w:val="20"/>
          <w:lang w:bidi="en-US"/>
        </w:rPr>
        <w:t>Ensure that you have Bid within the Price Band;</w:t>
      </w:r>
      <w:bookmarkEnd w:id="107"/>
    </w:p>
    <w:p w14:paraId="6EF25245" w14:textId="77777777" w:rsidR="004047F2" w:rsidRPr="00712F3C" w:rsidRDefault="004047F2">
      <w:pPr>
        <w:pStyle w:val="ListParagraph"/>
        <w:widowControl w:val="0"/>
        <w:numPr>
          <w:ilvl w:val="0"/>
          <w:numId w:val="292"/>
        </w:numPr>
        <w:suppressAutoHyphens w:val="0"/>
        <w:spacing w:line="240" w:lineRule="auto"/>
        <w:ind w:hanging="450"/>
        <w:contextualSpacing/>
        <w:jc w:val="both"/>
        <w:textAlignment w:val="auto"/>
        <w:rPr>
          <w:rFonts w:eastAsia="Calibri"/>
          <w:sz w:val="20"/>
          <w:szCs w:val="20"/>
          <w:lang w:bidi="en-US"/>
        </w:rPr>
      </w:pPr>
      <w:bookmarkStart w:id="108" w:name="_DV_C175"/>
      <w:r w:rsidRPr="00712F3C">
        <w:rPr>
          <w:rFonts w:eastAsia="Calibri"/>
          <w:sz w:val="20"/>
          <w:szCs w:val="20"/>
          <w:lang w:bidi="en-US"/>
        </w:rPr>
        <w:t>Read all the instructions carefully and complete the Bid cum Application Form in the prescribed form;</w:t>
      </w:r>
      <w:bookmarkEnd w:id="108"/>
    </w:p>
    <w:p w14:paraId="614B2610" w14:textId="77777777" w:rsidR="004047F2" w:rsidRPr="00712F3C" w:rsidRDefault="004047F2">
      <w:pPr>
        <w:pStyle w:val="ListParagraph"/>
        <w:widowControl w:val="0"/>
        <w:numPr>
          <w:ilvl w:val="0"/>
          <w:numId w:val="292"/>
        </w:numPr>
        <w:suppressAutoHyphens w:val="0"/>
        <w:spacing w:line="240" w:lineRule="auto"/>
        <w:ind w:hanging="450"/>
        <w:contextualSpacing/>
        <w:jc w:val="both"/>
        <w:textAlignment w:val="auto"/>
        <w:rPr>
          <w:rFonts w:eastAsia="Calibri"/>
          <w:sz w:val="20"/>
          <w:szCs w:val="20"/>
          <w:lang w:bidi="en-US"/>
        </w:rPr>
      </w:pPr>
      <w:bookmarkStart w:id="109" w:name="_DV_C177"/>
      <w:r w:rsidRPr="00712F3C">
        <w:rPr>
          <w:rFonts w:eastAsia="Calibri"/>
          <w:sz w:val="20"/>
          <w:szCs w:val="20"/>
          <w:lang w:bidi="en-US"/>
        </w:rPr>
        <w:lastRenderedPageBreak/>
        <w:t>Ensure that the details about the PAN, DP ID, Client ID, UPI ID are correct and the Bidders depository account is active, as Allotment of the Equity Shares will be in the dematerialized form only;</w:t>
      </w:r>
      <w:bookmarkEnd w:id="109"/>
    </w:p>
    <w:p w14:paraId="1B001D8A" w14:textId="77777777" w:rsidR="004047F2" w:rsidRPr="00712F3C" w:rsidRDefault="004047F2">
      <w:pPr>
        <w:pStyle w:val="ListParagraph"/>
        <w:widowControl w:val="0"/>
        <w:numPr>
          <w:ilvl w:val="0"/>
          <w:numId w:val="292"/>
        </w:numPr>
        <w:suppressAutoHyphens w:val="0"/>
        <w:spacing w:line="240" w:lineRule="auto"/>
        <w:ind w:hanging="450"/>
        <w:contextualSpacing/>
        <w:jc w:val="both"/>
        <w:textAlignment w:val="auto"/>
        <w:rPr>
          <w:rFonts w:eastAsia="Calibri"/>
          <w:sz w:val="20"/>
          <w:szCs w:val="20"/>
          <w:lang w:bidi="en-US"/>
        </w:rPr>
      </w:pPr>
      <w:bookmarkStart w:id="110" w:name="_DV_C179"/>
      <w:r w:rsidRPr="00712F3C">
        <w:rPr>
          <w:rFonts w:eastAsia="Calibri"/>
          <w:sz w:val="20"/>
          <w:szCs w:val="20"/>
          <w:lang w:bidi="en-US"/>
        </w:rPr>
        <w:t>Ensure that your Bid cum Application Form bearing the stamp of a Designated Intermediary is submitted to the Designated Intermediary at the Bidding Centre;</w:t>
      </w:r>
      <w:bookmarkEnd w:id="110"/>
    </w:p>
    <w:p w14:paraId="6E79F5EC" w14:textId="77777777" w:rsidR="004047F2" w:rsidRPr="00712F3C" w:rsidRDefault="004047F2">
      <w:pPr>
        <w:pStyle w:val="ListParagraph"/>
        <w:widowControl w:val="0"/>
        <w:numPr>
          <w:ilvl w:val="0"/>
          <w:numId w:val="292"/>
        </w:numPr>
        <w:suppressAutoHyphens w:val="0"/>
        <w:spacing w:line="240" w:lineRule="auto"/>
        <w:ind w:hanging="450"/>
        <w:contextualSpacing/>
        <w:jc w:val="both"/>
        <w:textAlignment w:val="auto"/>
        <w:rPr>
          <w:rFonts w:eastAsia="Calibri"/>
          <w:sz w:val="20"/>
          <w:szCs w:val="20"/>
          <w:lang w:bidi="en-US"/>
        </w:rPr>
      </w:pPr>
      <w:bookmarkStart w:id="111" w:name="_DV_C181"/>
      <w:r w:rsidRPr="00712F3C">
        <w:rPr>
          <w:rFonts w:eastAsia="Calibri"/>
          <w:sz w:val="20"/>
          <w:szCs w:val="20"/>
          <w:lang w:bidi="en-US"/>
        </w:rPr>
        <w:t>If the first applicant is not the account holder, ensure that the Bid cum Application Form is signed by the account holder. Ensure that you have mentioned the correct bank account number in the Bid cum Application Form;</w:t>
      </w:r>
      <w:bookmarkEnd w:id="111"/>
    </w:p>
    <w:p w14:paraId="57DC40D0" w14:textId="77777777" w:rsidR="004047F2" w:rsidRPr="00712F3C" w:rsidRDefault="004047F2">
      <w:pPr>
        <w:pStyle w:val="ListParagraph"/>
        <w:widowControl w:val="0"/>
        <w:numPr>
          <w:ilvl w:val="0"/>
          <w:numId w:val="292"/>
        </w:numPr>
        <w:suppressAutoHyphens w:val="0"/>
        <w:spacing w:line="240" w:lineRule="auto"/>
        <w:ind w:hanging="450"/>
        <w:contextualSpacing/>
        <w:jc w:val="both"/>
        <w:textAlignment w:val="auto"/>
        <w:rPr>
          <w:rFonts w:eastAsia="Calibri"/>
          <w:sz w:val="20"/>
          <w:szCs w:val="20"/>
          <w:lang w:bidi="en-US"/>
        </w:rPr>
      </w:pPr>
      <w:r w:rsidRPr="00712F3C">
        <w:rPr>
          <w:rFonts w:eastAsia="Calibri"/>
          <w:sz w:val="20"/>
          <w:szCs w:val="20"/>
          <w:lang w:bidi="en-US"/>
        </w:rPr>
        <w:t>In case of Joint bids, ensure the first bidder is the ASBA Account holder (or the UPI linked bank account holder, as the case may be) and the signature of the first bidder is included in the Bid cum Application Form;</w:t>
      </w:r>
    </w:p>
    <w:p w14:paraId="37AF62ED" w14:textId="77777777" w:rsidR="004047F2" w:rsidRPr="00712F3C" w:rsidRDefault="004047F2">
      <w:pPr>
        <w:pStyle w:val="ListParagraph"/>
        <w:widowControl w:val="0"/>
        <w:numPr>
          <w:ilvl w:val="0"/>
          <w:numId w:val="292"/>
        </w:numPr>
        <w:suppressAutoHyphens w:val="0"/>
        <w:spacing w:line="240" w:lineRule="auto"/>
        <w:ind w:hanging="450"/>
        <w:contextualSpacing/>
        <w:jc w:val="both"/>
        <w:textAlignment w:val="auto"/>
        <w:rPr>
          <w:rFonts w:eastAsia="Calibri"/>
          <w:sz w:val="20"/>
          <w:szCs w:val="20"/>
          <w:lang w:bidi="en-US"/>
        </w:rPr>
      </w:pPr>
      <w:r w:rsidRPr="00712F3C">
        <w:rPr>
          <w:rFonts w:eastAsia="Calibri"/>
          <w:sz w:val="20"/>
          <w:szCs w:val="20"/>
          <w:lang w:bidi="en-US"/>
        </w:rPr>
        <w:t>QIBs, Non-Institutional Bidders and the Retail Bidders should submit their Bids through the ASBA process only. However, pursuant to SEBI circular dated November 01, 2018, RII may submit their bid by using UPI mechanism for payment.</w:t>
      </w:r>
    </w:p>
    <w:p w14:paraId="5E72DF22" w14:textId="77777777" w:rsidR="004047F2" w:rsidRPr="00712F3C" w:rsidRDefault="004047F2">
      <w:pPr>
        <w:pStyle w:val="ListParagraph"/>
        <w:widowControl w:val="0"/>
        <w:numPr>
          <w:ilvl w:val="0"/>
          <w:numId w:val="292"/>
        </w:numPr>
        <w:suppressAutoHyphens w:val="0"/>
        <w:spacing w:line="240" w:lineRule="auto"/>
        <w:ind w:hanging="450"/>
        <w:contextualSpacing/>
        <w:jc w:val="both"/>
        <w:textAlignment w:val="auto"/>
        <w:rPr>
          <w:rFonts w:eastAsia="Calibri"/>
          <w:sz w:val="20"/>
          <w:szCs w:val="20"/>
          <w:lang w:bidi="en-US"/>
        </w:rPr>
      </w:pPr>
      <w:r w:rsidRPr="00712F3C">
        <w:rPr>
          <w:rFonts w:eastAsia="Calibri"/>
          <w:sz w:val="20"/>
          <w:szCs w:val="20"/>
          <w:lang w:bidi="en-US"/>
        </w:rPr>
        <w:t>Ensure that the name(s) given in the Bid cum Application Form is/are exactly the same as the name(s) in which the beneficiary account is held with the Depository Participant. In case of joint Bids, the Bid cum Application Form should contain only the name of the First Bidder whose name</w:t>
      </w:r>
      <w:r w:rsidRPr="00712F3C">
        <w:rPr>
          <w:rFonts w:eastAsia="Calibri"/>
          <w:sz w:val="20"/>
          <w:szCs w:val="20"/>
          <w:lang w:val="en-IN" w:bidi="en-US"/>
        </w:rPr>
        <w:t xml:space="preserve"> </w:t>
      </w:r>
      <w:r w:rsidRPr="00712F3C">
        <w:rPr>
          <w:rFonts w:eastAsia="Calibri"/>
          <w:sz w:val="20"/>
          <w:szCs w:val="20"/>
          <w:lang w:bidi="en-US"/>
        </w:rPr>
        <w:t>should also appear as the first holder of the beneficiary account held in joint names;</w:t>
      </w:r>
    </w:p>
    <w:p w14:paraId="77E70EAA" w14:textId="77777777" w:rsidR="004047F2" w:rsidRPr="00712F3C" w:rsidRDefault="004047F2">
      <w:pPr>
        <w:pStyle w:val="ListParagraph"/>
        <w:widowControl w:val="0"/>
        <w:numPr>
          <w:ilvl w:val="0"/>
          <w:numId w:val="292"/>
        </w:numPr>
        <w:suppressAutoHyphens w:val="0"/>
        <w:spacing w:line="240" w:lineRule="auto"/>
        <w:ind w:hanging="450"/>
        <w:contextualSpacing/>
        <w:jc w:val="both"/>
        <w:textAlignment w:val="auto"/>
        <w:rPr>
          <w:rFonts w:eastAsia="Calibri"/>
          <w:sz w:val="20"/>
          <w:szCs w:val="20"/>
          <w:lang w:bidi="en-US"/>
        </w:rPr>
      </w:pPr>
      <w:r w:rsidRPr="00712F3C">
        <w:rPr>
          <w:rFonts w:eastAsia="Calibri"/>
          <w:sz w:val="20"/>
          <w:szCs w:val="20"/>
          <w:lang w:bidi="en-US"/>
        </w:rPr>
        <w:t>Ensure that you request for and receive a stamped acknowledgement of the Bid cum Application</w:t>
      </w:r>
      <w:r w:rsidRPr="00712F3C">
        <w:rPr>
          <w:rFonts w:eastAsia="Calibri"/>
          <w:sz w:val="20"/>
          <w:szCs w:val="20"/>
          <w:lang w:val="en-IN" w:bidi="en-US"/>
        </w:rPr>
        <w:t xml:space="preserve"> </w:t>
      </w:r>
      <w:r w:rsidRPr="00712F3C">
        <w:rPr>
          <w:rFonts w:eastAsia="Calibri"/>
          <w:sz w:val="20"/>
          <w:szCs w:val="20"/>
          <w:lang w:bidi="en-US"/>
        </w:rPr>
        <w:t>Form for all your Bid options;</w:t>
      </w:r>
    </w:p>
    <w:p w14:paraId="762A7E80" w14:textId="77777777" w:rsidR="004047F2" w:rsidRPr="00712F3C" w:rsidRDefault="004047F2">
      <w:pPr>
        <w:pStyle w:val="ListParagraph"/>
        <w:widowControl w:val="0"/>
        <w:numPr>
          <w:ilvl w:val="0"/>
          <w:numId w:val="292"/>
        </w:numPr>
        <w:suppressAutoHyphens w:val="0"/>
        <w:spacing w:line="240" w:lineRule="auto"/>
        <w:ind w:hanging="450"/>
        <w:contextualSpacing/>
        <w:jc w:val="both"/>
        <w:textAlignment w:val="auto"/>
        <w:rPr>
          <w:rFonts w:eastAsia="Calibri"/>
          <w:sz w:val="20"/>
          <w:szCs w:val="20"/>
          <w:lang w:bidi="en-US"/>
        </w:rPr>
      </w:pPr>
      <w:r w:rsidRPr="00712F3C">
        <w:rPr>
          <w:rFonts w:eastAsia="Calibri"/>
          <w:sz w:val="20"/>
          <w:szCs w:val="20"/>
          <w:lang w:bidi="en-US"/>
        </w:rPr>
        <w:t>Ensure that you have funds equal to the Bid Amount in the Bank Account maintained with the SCSB before submitting the Bid cum Application Form under the ASBA process or application forms submitted by RIIs using UPI mechanism for payment, to the respective member of the Syndicate (in the Specified Locations), the SCSBs, the Registered Broker (at the Broker Centers), the RTA (at the</w:t>
      </w:r>
      <w:r w:rsidRPr="00712F3C">
        <w:rPr>
          <w:rFonts w:eastAsia="Calibri"/>
          <w:sz w:val="20"/>
          <w:szCs w:val="20"/>
          <w:lang w:val="en-IN" w:bidi="en-US"/>
        </w:rPr>
        <w:t xml:space="preserve"> </w:t>
      </w:r>
      <w:r w:rsidRPr="00712F3C">
        <w:rPr>
          <w:rFonts w:eastAsia="Calibri"/>
          <w:sz w:val="20"/>
          <w:szCs w:val="20"/>
          <w:lang w:bidi="en-US"/>
        </w:rPr>
        <w:t>Designated RTA Locations) or CDP (at the Designated CDP Locations);</w:t>
      </w:r>
    </w:p>
    <w:p w14:paraId="5743E052" w14:textId="77777777" w:rsidR="004047F2" w:rsidRPr="00712F3C" w:rsidRDefault="004047F2">
      <w:pPr>
        <w:pStyle w:val="ListParagraph"/>
        <w:widowControl w:val="0"/>
        <w:numPr>
          <w:ilvl w:val="0"/>
          <w:numId w:val="292"/>
        </w:numPr>
        <w:suppressAutoHyphens w:val="0"/>
        <w:spacing w:line="240" w:lineRule="auto"/>
        <w:ind w:hanging="450"/>
        <w:contextualSpacing/>
        <w:jc w:val="both"/>
        <w:textAlignment w:val="auto"/>
        <w:rPr>
          <w:rFonts w:eastAsia="Calibri"/>
          <w:sz w:val="20"/>
          <w:szCs w:val="20"/>
          <w:lang w:bidi="en-US"/>
        </w:rPr>
      </w:pPr>
      <w:r w:rsidRPr="00712F3C">
        <w:rPr>
          <w:rFonts w:eastAsia="Calibri"/>
          <w:sz w:val="20"/>
          <w:szCs w:val="20"/>
          <w:lang w:bidi="en-US"/>
        </w:rPr>
        <w:t>Submit revised Bids to the same Designated Intermediary, through whom the original Bid was placed</w:t>
      </w:r>
      <w:r w:rsidRPr="00712F3C">
        <w:rPr>
          <w:rFonts w:eastAsia="Calibri"/>
          <w:sz w:val="20"/>
          <w:szCs w:val="20"/>
          <w:lang w:val="en-IN" w:bidi="en-US"/>
        </w:rPr>
        <w:t xml:space="preserve"> </w:t>
      </w:r>
      <w:r w:rsidRPr="00712F3C">
        <w:rPr>
          <w:rFonts w:eastAsia="Calibri"/>
          <w:sz w:val="20"/>
          <w:szCs w:val="20"/>
          <w:lang w:bidi="en-US"/>
        </w:rPr>
        <w:t>and obtain a revised acknowledgment;</w:t>
      </w:r>
    </w:p>
    <w:p w14:paraId="62019250" w14:textId="77777777" w:rsidR="004047F2" w:rsidRPr="00712F3C" w:rsidRDefault="004047F2">
      <w:pPr>
        <w:pStyle w:val="ListParagraph"/>
        <w:widowControl w:val="0"/>
        <w:numPr>
          <w:ilvl w:val="0"/>
          <w:numId w:val="292"/>
        </w:numPr>
        <w:suppressAutoHyphens w:val="0"/>
        <w:spacing w:line="240" w:lineRule="auto"/>
        <w:ind w:hanging="450"/>
        <w:contextualSpacing/>
        <w:jc w:val="both"/>
        <w:textAlignment w:val="auto"/>
        <w:rPr>
          <w:rFonts w:eastAsia="Calibri"/>
          <w:sz w:val="20"/>
          <w:szCs w:val="20"/>
          <w:lang w:bidi="en-US"/>
        </w:rPr>
      </w:pPr>
      <w:r w:rsidRPr="00712F3C">
        <w:rPr>
          <w:rFonts w:eastAsia="Calibri"/>
          <w:sz w:val="20"/>
          <w:szCs w:val="20"/>
          <w:lang w:bidi="en-US"/>
        </w:rPr>
        <w:t>Except for Bids (i) on behalf of the Central or State Governments and the officials appointed by the courts, who, in terms of a SEBI circular dated June 30, 2008, may be exempt from specifying their PAN for transacting in the securities market, and (ii) Bids by persons resident in the state of Sikkim, who, in terms of a SEBI circular dated July 20, 2006, may be exempted from specifying their PAN for transacting in the securities market, all Bidders should mention their PAN allotted under the IT Act. The exemption for the Central or the State Government and officials appointed by the courts and for investors residing in the State of Sikkim is subject to (a) the Demographic Details received from the respective depositories confirming the exemption granted to the beneficiary owner by a suitable description in the PAN field and the beneficiary account remaining in “active status”; and (b) in the case of residents of Sikkim, the address as per the Demographic Details evidencing the same. All other applications in which PAN is not mentioned will be rejected;</w:t>
      </w:r>
    </w:p>
    <w:p w14:paraId="7156EFCF" w14:textId="77777777" w:rsidR="004047F2" w:rsidRPr="00712F3C" w:rsidRDefault="004047F2">
      <w:pPr>
        <w:pStyle w:val="ListParagraph"/>
        <w:widowControl w:val="0"/>
        <w:numPr>
          <w:ilvl w:val="0"/>
          <w:numId w:val="292"/>
        </w:numPr>
        <w:suppressAutoHyphens w:val="0"/>
        <w:spacing w:line="240" w:lineRule="auto"/>
        <w:ind w:hanging="450"/>
        <w:contextualSpacing/>
        <w:jc w:val="both"/>
        <w:textAlignment w:val="auto"/>
        <w:rPr>
          <w:sz w:val="20"/>
          <w:szCs w:val="20"/>
        </w:rPr>
      </w:pPr>
      <w:r w:rsidRPr="00712F3C">
        <w:rPr>
          <w:sz w:val="20"/>
          <w:szCs w:val="20"/>
        </w:rPr>
        <w:t>Ensure that the Demographic Details are updated, true and correct in all respects;</w:t>
      </w:r>
    </w:p>
    <w:p w14:paraId="2F3AD5DB" w14:textId="77777777" w:rsidR="004047F2" w:rsidRPr="00712F3C" w:rsidRDefault="004047F2">
      <w:pPr>
        <w:pStyle w:val="ListParagraph"/>
        <w:widowControl w:val="0"/>
        <w:numPr>
          <w:ilvl w:val="0"/>
          <w:numId w:val="292"/>
        </w:numPr>
        <w:suppressAutoHyphens w:val="0"/>
        <w:spacing w:line="240" w:lineRule="auto"/>
        <w:ind w:hanging="450"/>
        <w:contextualSpacing/>
        <w:jc w:val="both"/>
        <w:textAlignment w:val="auto"/>
        <w:rPr>
          <w:rFonts w:eastAsia="Calibri"/>
          <w:sz w:val="20"/>
          <w:szCs w:val="20"/>
          <w:lang w:bidi="en-US"/>
        </w:rPr>
      </w:pPr>
      <w:bookmarkStart w:id="112" w:name="_DV_C183"/>
      <w:r w:rsidRPr="00712F3C">
        <w:rPr>
          <w:rFonts w:eastAsia="Calibri"/>
          <w:sz w:val="20"/>
          <w:szCs w:val="20"/>
          <w:lang w:bidi="en-US"/>
        </w:rPr>
        <w:t>Ensure that the signature of the First Bidder in case of joint Bids, is included in the Bid cum Application Forms;</w:t>
      </w:r>
      <w:bookmarkEnd w:id="112"/>
    </w:p>
    <w:p w14:paraId="7F2AFD8F" w14:textId="77777777" w:rsidR="004047F2" w:rsidRPr="00712F3C" w:rsidRDefault="004047F2">
      <w:pPr>
        <w:pStyle w:val="ListParagraph"/>
        <w:widowControl w:val="0"/>
        <w:numPr>
          <w:ilvl w:val="0"/>
          <w:numId w:val="292"/>
        </w:numPr>
        <w:suppressAutoHyphens w:val="0"/>
        <w:spacing w:line="240" w:lineRule="auto"/>
        <w:ind w:hanging="450"/>
        <w:contextualSpacing/>
        <w:jc w:val="both"/>
        <w:textAlignment w:val="auto"/>
        <w:rPr>
          <w:rFonts w:eastAsia="Calibri"/>
          <w:sz w:val="20"/>
          <w:szCs w:val="20"/>
          <w:lang w:bidi="en-US"/>
        </w:rPr>
      </w:pPr>
      <w:r w:rsidRPr="00712F3C">
        <w:rPr>
          <w:rFonts w:eastAsia="Calibri"/>
          <w:sz w:val="20"/>
          <w:szCs w:val="20"/>
          <w:lang w:bidi="en-US"/>
        </w:rPr>
        <w:t>Ensure that thumb impressions and signatures other than in the languages specified in the Eighth Schedule to the Constitution of India are attested by a Magistrate or a Notary Public or a Special Executive Magistrate under official seal;</w:t>
      </w:r>
    </w:p>
    <w:p w14:paraId="2F4E5056" w14:textId="77777777" w:rsidR="004047F2" w:rsidRPr="00712F3C" w:rsidRDefault="004047F2">
      <w:pPr>
        <w:pStyle w:val="ListParagraph"/>
        <w:widowControl w:val="0"/>
        <w:numPr>
          <w:ilvl w:val="0"/>
          <w:numId w:val="292"/>
        </w:numPr>
        <w:suppressAutoHyphens w:val="0"/>
        <w:spacing w:line="240" w:lineRule="auto"/>
        <w:ind w:hanging="450"/>
        <w:contextualSpacing/>
        <w:jc w:val="both"/>
        <w:textAlignment w:val="auto"/>
        <w:rPr>
          <w:rFonts w:eastAsia="Calibri"/>
          <w:sz w:val="20"/>
          <w:szCs w:val="20"/>
          <w:lang w:bidi="en-US"/>
        </w:rPr>
      </w:pPr>
      <w:r w:rsidRPr="00712F3C">
        <w:rPr>
          <w:rFonts w:eastAsia="Calibri"/>
          <w:sz w:val="20"/>
          <w:szCs w:val="20"/>
          <w:lang w:bidi="en-US"/>
        </w:rPr>
        <w:t>Ensure that the category and the investor status is indicated;</w:t>
      </w:r>
    </w:p>
    <w:p w14:paraId="6A6CB09B" w14:textId="77777777" w:rsidR="004047F2" w:rsidRPr="00712F3C" w:rsidRDefault="004047F2">
      <w:pPr>
        <w:pStyle w:val="ListParagraph"/>
        <w:widowControl w:val="0"/>
        <w:numPr>
          <w:ilvl w:val="0"/>
          <w:numId w:val="292"/>
        </w:numPr>
        <w:suppressAutoHyphens w:val="0"/>
        <w:spacing w:line="240" w:lineRule="auto"/>
        <w:ind w:hanging="450"/>
        <w:contextualSpacing/>
        <w:jc w:val="both"/>
        <w:textAlignment w:val="auto"/>
        <w:rPr>
          <w:rFonts w:eastAsia="Calibri"/>
          <w:sz w:val="20"/>
          <w:szCs w:val="20"/>
          <w:lang w:bidi="en-US"/>
        </w:rPr>
      </w:pPr>
      <w:r w:rsidRPr="00712F3C">
        <w:rPr>
          <w:rFonts w:eastAsia="Calibri"/>
          <w:sz w:val="20"/>
          <w:szCs w:val="20"/>
          <w:lang w:bidi="en-US"/>
        </w:rPr>
        <w:t>Ensure that in case of Bids under power of attorney or by limited companies, corporate, trust etc., relevant documents are submitted;</w:t>
      </w:r>
    </w:p>
    <w:p w14:paraId="66C02171" w14:textId="77777777" w:rsidR="004047F2" w:rsidRPr="00712F3C" w:rsidRDefault="004047F2">
      <w:pPr>
        <w:pStyle w:val="ListParagraph"/>
        <w:widowControl w:val="0"/>
        <w:numPr>
          <w:ilvl w:val="0"/>
          <w:numId w:val="292"/>
        </w:numPr>
        <w:suppressAutoHyphens w:val="0"/>
        <w:spacing w:line="240" w:lineRule="auto"/>
        <w:ind w:hanging="450"/>
        <w:contextualSpacing/>
        <w:jc w:val="both"/>
        <w:textAlignment w:val="auto"/>
        <w:rPr>
          <w:rFonts w:eastAsia="Calibri"/>
          <w:sz w:val="20"/>
          <w:szCs w:val="20"/>
          <w:lang w:bidi="en-US"/>
        </w:rPr>
      </w:pPr>
      <w:r w:rsidRPr="00712F3C">
        <w:rPr>
          <w:rFonts w:eastAsia="Calibri"/>
          <w:sz w:val="20"/>
          <w:szCs w:val="20"/>
          <w:lang w:bidi="en-US"/>
        </w:rPr>
        <w:t>Ensure that Bids submitted by any person outside India should be in compliance with applicable foreign and Indian laws;</w:t>
      </w:r>
    </w:p>
    <w:p w14:paraId="73CFE4E8" w14:textId="77777777" w:rsidR="004047F2" w:rsidRPr="00712F3C" w:rsidRDefault="004047F2">
      <w:pPr>
        <w:pStyle w:val="ListParagraph"/>
        <w:widowControl w:val="0"/>
        <w:numPr>
          <w:ilvl w:val="0"/>
          <w:numId w:val="292"/>
        </w:numPr>
        <w:suppressAutoHyphens w:val="0"/>
        <w:spacing w:line="240" w:lineRule="auto"/>
        <w:ind w:hanging="450"/>
        <w:contextualSpacing/>
        <w:jc w:val="both"/>
        <w:textAlignment w:val="auto"/>
        <w:rPr>
          <w:rFonts w:eastAsia="Calibri"/>
          <w:sz w:val="20"/>
          <w:szCs w:val="20"/>
          <w:lang w:bidi="en-US"/>
        </w:rPr>
      </w:pPr>
      <w:r w:rsidRPr="00712F3C">
        <w:rPr>
          <w:rFonts w:eastAsia="Calibri"/>
          <w:sz w:val="20"/>
          <w:szCs w:val="20"/>
          <w:lang w:bidi="en-US"/>
        </w:rPr>
        <w:t>Bidders should note that in case the DP ID, Client ID and the PAN mentioned in their Bid cum Application Form and entered into the online IPO system of the Stock Exchange by the relevant Designated Intermediary, as the case may be, do not match with the DP ID, Client ID and PAN available in the Depository database, then such Bids are liable to be rejected. Where the Bid cum Application Form is submitted in joint names, ensure that the beneficiary account is also held in the same joint names and such names are in the same sequence in which they appear in the Bid cum Application Form;</w:t>
      </w:r>
    </w:p>
    <w:p w14:paraId="098D97F6" w14:textId="77777777" w:rsidR="004047F2" w:rsidRPr="00712F3C" w:rsidRDefault="004047F2">
      <w:pPr>
        <w:pStyle w:val="ListParagraph"/>
        <w:widowControl w:val="0"/>
        <w:numPr>
          <w:ilvl w:val="0"/>
          <w:numId w:val="292"/>
        </w:numPr>
        <w:suppressAutoHyphens w:val="0"/>
        <w:spacing w:line="240" w:lineRule="auto"/>
        <w:ind w:hanging="450"/>
        <w:contextualSpacing/>
        <w:jc w:val="both"/>
        <w:textAlignment w:val="auto"/>
        <w:rPr>
          <w:rFonts w:eastAsia="Calibri"/>
          <w:sz w:val="20"/>
          <w:szCs w:val="20"/>
          <w:lang w:bidi="en-US"/>
        </w:rPr>
      </w:pPr>
      <w:r w:rsidRPr="00712F3C">
        <w:rPr>
          <w:rFonts w:eastAsia="Calibri"/>
          <w:sz w:val="20"/>
          <w:szCs w:val="20"/>
          <w:lang w:bidi="en-US"/>
        </w:rPr>
        <w:t>Ensure that the Bid cum Application Forms are delivered by the Bidders within the time prescribed as per the Bid cum Application Form and the Red Herring Prospectus;</w:t>
      </w:r>
    </w:p>
    <w:p w14:paraId="180B7FA0" w14:textId="77777777" w:rsidR="004047F2" w:rsidRPr="00712F3C" w:rsidRDefault="004047F2">
      <w:pPr>
        <w:pStyle w:val="ListParagraph"/>
        <w:widowControl w:val="0"/>
        <w:numPr>
          <w:ilvl w:val="0"/>
          <w:numId w:val="292"/>
        </w:numPr>
        <w:suppressAutoHyphens w:val="0"/>
        <w:spacing w:line="240" w:lineRule="auto"/>
        <w:ind w:hanging="450"/>
        <w:contextualSpacing/>
        <w:jc w:val="both"/>
        <w:textAlignment w:val="auto"/>
        <w:rPr>
          <w:rFonts w:eastAsia="Calibri"/>
          <w:sz w:val="20"/>
          <w:szCs w:val="20"/>
          <w:lang w:bidi="en-US"/>
        </w:rPr>
      </w:pPr>
      <w:r w:rsidRPr="00712F3C">
        <w:rPr>
          <w:rFonts w:eastAsia="Calibri"/>
          <w:sz w:val="20"/>
          <w:szCs w:val="20"/>
          <w:lang w:bidi="en-US"/>
        </w:rPr>
        <w:t>Ensure that you have mentioned the correct ASBA Account number or UPI ID in the Bid cum Application Form;</w:t>
      </w:r>
    </w:p>
    <w:p w14:paraId="0C2BED01" w14:textId="77777777" w:rsidR="004047F2" w:rsidRPr="00712F3C" w:rsidRDefault="004047F2">
      <w:pPr>
        <w:pStyle w:val="ListParagraph"/>
        <w:widowControl w:val="0"/>
        <w:numPr>
          <w:ilvl w:val="0"/>
          <w:numId w:val="292"/>
        </w:numPr>
        <w:suppressAutoHyphens w:val="0"/>
        <w:spacing w:line="240" w:lineRule="auto"/>
        <w:ind w:hanging="450"/>
        <w:contextualSpacing/>
        <w:jc w:val="both"/>
        <w:textAlignment w:val="auto"/>
        <w:rPr>
          <w:rFonts w:eastAsia="Calibri"/>
          <w:sz w:val="20"/>
          <w:szCs w:val="20"/>
          <w:lang w:bidi="en-US"/>
        </w:rPr>
      </w:pPr>
      <w:r w:rsidRPr="00712F3C">
        <w:rPr>
          <w:rFonts w:eastAsia="Calibri"/>
          <w:sz w:val="20"/>
          <w:szCs w:val="20"/>
          <w:lang w:bidi="en-US"/>
        </w:rPr>
        <w:t>Ensure that you have mentioned the details of your own bank account for blocking of fund or your own bank account linked UPI ID to make application in the Public Issue;</w:t>
      </w:r>
    </w:p>
    <w:p w14:paraId="0C2FE49B" w14:textId="77777777" w:rsidR="004047F2" w:rsidRPr="00712F3C" w:rsidRDefault="004047F2">
      <w:pPr>
        <w:pStyle w:val="ListParagraph"/>
        <w:widowControl w:val="0"/>
        <w:numPr>
          <w:ilvl w:val="0"/>
          <w:numId w:val="292"/>
        </w:numPr>
        <w:suppressAutoHyphens w:val="0"/>
        <w:spacing w:line="240" w:lineRule="auto"/>
        <w:ind w:hanging="450"/>
        <w:contextualSpacing/>
        <w:jc w:val="both"/>
        <w:textAlignment w:val="auto"/>
        <w:rPr>
          <w:rFonts w:eastAsia="Calibri"/>
          <w:sz w:val="20"/>
          <w:szCs w:val="20"/>
          <w:lang w:bidi="en-US"/>
        </w:rPr>
      </w:pPr>
      <w:r w:rsidRPr="00712F3C">
        <w:rPr>
          <w:rFonts w:eastAsia="Calibri"/>
          <w:sz w:val="20"/>
          <w:szCs w:val="20"/>
          <w:lang w:bidi="en-US"/>
        </w:rPr>
        <w:t>Ensure that on receipt of the mandate request from sponsor bank, you have taken necessary step in timely manner for blocking of fund on your account through UPI ID using UPI application;</w:t>
      </w:r>
    </w:p>
    <w:p w14:paraId="2461CC5A" w14:textId="77777777" w:rsidR="004047F2" w:rsidRPr="00712F3C" w:rsidRDefault="004047F2">
      <w:pPr>
        <w:pStyle w:val="ListParagraph"/>
        <w:widowControl w:val="0"/>
        <w:numPr>
          <w:ilvl w:val="0"/>
          <w:numId w:val="292"/>
        </w:numPr>
        <w:suppressAutoHyphens w:val="0"/>
        <w:spacing w:line="240" w:lineRule="auto"/>
        <w:ind w:hanging="450"/>
        <w:contextualSpacing/>
        <w:jc w:val="both"/>
        <w:textAlignment w:val="auto"/>
        <w:rPr>
          <w:rFonts w:eastAsia="Calibri"/>
          <w:sz w:val="20"/>
          <w:szCs w:val="20"/>
          <w:lang w:bidi="en-US"/>
        </w:rPr>
      </w:pPr>
      <w:r w:rsidRPr="00712F3C">
        <w:rPr>
          <w:rFonts w:eastAsia="Calibri"/>
          <w:sz w:val="20"/>
          <w:szCs w:val="20"/>
          <w:lang w:bidi="en-US"/>
        </w:rPr>
        <w:t>Ensure that you have correctly signed the authorization / undertaking box in the Bid cum Application Form, or have otherwise provided an authorization to the SCSB via the electronic mode, for blocking funds in the ASBA Account equivalent to the Bid Amount mentioned in the Bid cum Application Form at the time of submission of the Bid;</w:t>
      </w:r>
    </w:p>
    <w:p w14:paraId="56E95B75" w14:textId="77777777" w:rsidR="004047F2" w:rsidRPr="00712F3C" w:rsidRDefault="004047F2">
      <w:pPr>
        <w:pStyle w:val="ListParagraph"/>
        <w:widowControl w:val="0"/>
        <w:numPr>
          <w:ilvl w:val="0"/>
          <w:numId w:val="292"/>
        </w:numPr>
        <w:suppressAutoHyphens w:val="0"/>
        <w:spacing w:line="240" w:lineRule="auto"/>
        <w:ind w:hanging="450"/>
        <w:contextualSpacing/>
        <w:jc w:val="both"/>
        <w:textAlignment w:val="auto"/>
        <w:rPr>
          <w:rFonts w:eastAsia="Calibri"/>
          <w:sz w:val="20"/>
          <w:szCs w:val="20"/>
          <w:lang w:bidi="en-US"/>
        </w:rPr>
      </w:pPr>
      <w:r w:rsidRPr="00712F3C">
        <w:rPr>
          <w:rFonts w:eastAsia="Calibri"/>
          <w:sz w:val="20"/>
          <w:szCs w:val="20"/>
          <w:lang w:bidi="en-US"/>
        </w:rPr>
        <w:t>Ensure that you receive an acknowledgement from the concerned Designated Intermediary, for the submission of your Bid cum Application Form; and</w:t>
      </w:r>
    </w:p>
    <w:p w14:paraId="51666B46" w14:textId="77777777" w:rsidR="004047F2" w:rsidRPr="00712F3C" w:rsidRDefault="004047F2">
      <w:pPr>
        <w:pStyle w:val="ListParagraph"/>
        <w:widowControl w:val="0"/>
        <w:numPr>
          <w:ilvl w:val="0"/>
          <w:numId w:val="292"/>
        </w:numPr>
        <w:suppressAutoHyphens w:val="0"/>
        <w:spacing w:line="240" w:lineRule="auto"/>
        <w:ind w:hanging="450"/>
        <w:contextualSpacing/>
        <w:jc w:val="both"/>
        <w:textAlignment w:val="auto"/>
        <w:rPr>
          <w:rFonts w:eastAsia="Calibri"/>
          <w:sz w:val="20"/>
          <w:szCs w:val="20"/>
          <w:lang w:bidi="en-US"/>
        </w:rPr>
      </w:pPr>
      <w:r w:rsidRPr="00712F3C">
        <w:rPr>
          <w:rFonts w:eastAsia="Calibri"/>
          <w:sz w:val="20"/>
          <w:szCs w:val="20"/>
          <w:lang w:bidi="en-US"/>
        </w:rPr>
        <w:t>The Bid cum Application Form is liable to be rejected if the above instructions, as applicable, are not complied with</w:t>
      </w:r>
      <w:r w:rsidRPr="00712F3C">
        <w:rPr>
          <w:sz w:val="20"/>
          <w:szCs w:val="20"/>
        </w:rPr>
        <w:t>.</w:t>
      </w:r>
    </w:p>
    <w:p w14:paraId="612E391D" w14:textId="77777777" w:rsidR="004047F2" w:rsidRPr="00712F3C" w:rsidRDefault="004047F2" w:rsidP="004047F2">
      <w:pPr>
        <w:widowControl w:val="0"/>
        <w:spacing w:after="0" w:line="240" w:lineRule="auto"/>
        <w:ind w:hanging="450"/>
        <w:jc w:val="both"/>
        <w:rPr>
          <w:rFonts w:ascii="Times New Roman" w:eastAsia="Calibri" w:hAnsi="Times New Roman"/>
          <w:sz w:val="20"/>
          <w:szCs w:val="20"/>
          <w:lang w:bidi="en-US"/>
        </w:rPr>
      </w:pPr>
      <w:bookmarkStart w:id="113" w:name="_DV_C201"/>
    </w:p>
    <w:p w14:paraId="455201D3" w14:textId="77777777" w:rsidR="004047F2" w:rsidRPr="00712F3C" w:rsidRDefault="004047F2" w:rsidP="004047F2">
      <w:pPr>
        <w:widowControl w:val="0"/>
        <w:spacing w:after="0" w:line="240" w:lineRule="auto"/>
        <w:ind w:left="284" w:hanging="14"/>
        <w:jc w:val="both"/>
        <w:rPr>
          <w:rFonts w:ascii="Times New Roman" w:eastAsia="Calibri" w:hAnsi="Times New Roman"/>
          <w:sz w:val="20"/>
          <w:szCs w:val="20"/>
          <w:lang w:bidi="en-US"/>
        </w:rPr>
      </w:pPr>
      <w:r w:rsidRPr="00712F3C">
        <w:rPr>
          <w:rFonts w:ascii="Times New Roman" w:eastAsia="Calibri" w:hAnsi="Times New Roman"/>
          <w:sz w:val="20"/>
          <w:szCs w:val="20"/>
          <w:lang w:bidi="en-US"/>
        </w:rPr>
        <w:t>The Bid cum Application Form is liable to be rejected if the above instructions, as applicable, are not complied with.</w:t>
      </w:r>
      <w:bookmarkEnd w:id="113"/>
    </w:p>
    <w:p w14:paraId="761CD1E4" w14:textId="77777777" w:rsidR="004047F2" w:rsidRPr="00712F3C" w:rsidRDefault="004047F2" w:rsidP="004047F2">
      <w:pPr>
        <w:widowControl w:val="0"/>
        <w:spacing w:after="0" w:line="240" w:lineRule="auto"/>
        <w:ind w:firstLine="270"/>
        <w:jc w:val="both"/>
        <w:rPr>
          <w:rFonts w:ascii="Times New Roman" w:eastAsia="Calibri" w:hAnsi="Times New Roman"/>
          <w:sz w:val="20"/>
          <w:szCs w:val="20"/>
          <w:lang w:bidi="en-US"/>
        </w:rPr>
      </w:pPr>
      <w:bookmarkStart w:id="114" w:name="_DV_C202"/>
    </w:p>
    <w:p w14:paraId="4AAD1AA7" w14:textId="77777777" w:rsidR="004047F2" w:rsidRPr="00712F3C" w:rsidRDefault="004047F2" w:rsidP="004047F2">
      <w:pPr>
        <w:widowControl w:val="0"/>
        <w:spacing w:after="0" w:line="240" w:lineRule="auto"/>
        <w:ind w:firstLine="270"/>
        <w:jc w:val="both"/>
        <w:rPr>
          <w:rFonts w:ascii="Times New Roman" w:eastAsia="Calibri" w:hAnsi="Times New Roman"/>
          <w:b/>
          <w:sz w:val="20"/>
          <w:szCs w:val="20"/>
          <w:lang w:bidi="en-US"/>
        </w:rPr>
      </w:pPr>
      <w:r w:rsidRPr="00712F3C">
        <w:rPr>
          <w:rFonts w:ascii="Times New Roman" w:eastAsia="Calibri" w:hAnsi="Times New Roman"/>
          <w:b/>
          <w:sz w:val="20"/>
          <w:szCs w:val="20"/>
          <w:lang w:bidi="en-US"/>
        </w:rPr>
        <w:t>Don’ts:</w:t>
      </w:r>
      <w:bookmarkEnd w:id="114"/>
    </w:p>
    <w:p w14:paraId="6DE45833" w14:textId="77777777" w:rsidR="004047F2" w:rsidRPr="00712F3C" w:rsidRDefault="004047F2" w:rsidP="004047F2">
      <w:pPr>
        <w:widowControl w:val="0"/>
        <w:spacing w:after="0" w:line="240" w:lineRule="auto"/>
        <w:ind w:hanging="450"/>
        <w:jc w:val="both"/>
        <w:rPr>
          <w:rFonts w:ascii="Times New Roman" w:eastAsia="Calibri" w:hAnsi="Times New Roman"/>
          <w:sz w:val="20"/>
          <w:szCs w:val="20"/>
          <w:lang w:bidi="en-US"/>
        </w:rPr>
      </w:pPr>
    </w:p>
    <w:p w14:paraId="6C188D11" w14:textId="77777777" w:rsidR="004047F2" w:rsidRPr="00712F3C" w:rsidRDefault="004047F2">
      <w:pPr>
        <w:pStyle w:val="ListParagraph"/>
        <w:widowControl w:val="0"/>
        <w:numPr>
          <w:ilvl w:val="0"/>
          <w:numId w:val="307"/>
        </w:numPr>
        <w:suppressAutoHyphens w:val="0"/>
        <w:spacing w:line="240" w:lineRule="auto"/>
        <w:ind w:hanging="450"/>
        <w:contextualSpacing/>
        <w:jc w:val="both"/>
        <w:textAlignment w:val="auto"/>
        <w:rPr>
          <w:rFonts w:eastAsia="Calibri"/>
          <w:sz w:val="20"/>
          <w:szCs w:val="20"/>
          <w:lang w:bidi="en-US"/>
        </w:rPr>
      </w:pPr>
      <w:r w:rsidRPr="00712F3C">
        <w:rPr>
          <w:sz w:val="20"/>
          <w:szCs w:val="20"/>
        </w:rPr>
        <w:t xml:space="preserve">Do not </w:t>
      </w:r>
      <w:r w:rsidRPr="00712F3C">
        <w:rPr>
          <w:rFonts w:eastAsia="Calibri"/>
          <w:sz w:val="20"/>
          <w:szCs w:val="20"/>
          <w:lang w:bidi="en-US"/>
        </w:rPr>
        <w:t>Bid for lower than the minimum Bid size;</w:t>
      </w:r>
    </w:p>
    <w:p w14:paraId="04E8BECA" w14:textId="77777777" w:rsidR="004047F2" w:rsidRPr="00712F3C" w:rsidRDefault="004047F2">
      <w:pPr>
        <w:pStyle w:val="ListParagraph"/>
        <w:widowControl w:val="0"/>
        <w:numPr>
          <w:ilvl w:val="0"/>
          <w:numId w:val="307"/>
        </w:numPr>
        <w:suppressAutoHyphens w:val="0"/>
        <w:spacing w:line="240" w:lineRule="auto"/>
        <w:ind w:hanging="450"/>
        <w:contextualSpacing/>
        <w:jc w:val="both"/>
        <w:textAlignment w:val="auto"/>
        <w:rPr>
          <w:rFonts w:eastAsia="Calibri"/>
          <w:sz w:val="20"/>
          <w:szCs w:val="20"/>
          <w:lang w:bidi="en-US"/>
        </w:rPr>
      </w:pPr>
      <w:r w:rsidRPr="00712F3C">
        <w:rPr>
          <w:rFonts w:eastAsia="Calibri"/>
          <w:sz w:val="20"/>
          <w:szCs w:val="20"/>
          <w:lang w:bidi="en-US"/>
        </w:rPr>
        <w:t>Do not Bid / revise Bid Amount to less than the Floor Price or higher than the Cap Price;</w:t>
      </w:r>
    </w:p>
    <w:p w14:paraId="6FEBF75D" w14:textId="77777777" w:rsidR="004047F2" w:rsidRPr="00712F3C" w:rsidRDefault="004047F2">
      <w:pPr>
        <w:pStyle w:val="ListParagraph"/>
        <w:widowControl w:val="0"/>
        <w:numPr>
          <w:ilvl w:val="0"/>
          <w:numId w:val="307"/>
        </w:numPr>
        <w:suppressAutoHyphens w:val="0"/>
        <w:spacing w:line="240" w:lineRule="auto"/>
        <w:ind w:hanging="450"/>
        <w:contextualSpacing/>
        <w:jc w:val="both"/>
        <w:textAlignment w:val="auto"/>
        <w:rPr>
          <w:rFonts w:eastAsia="Calibri"/>
          <w:sz w:val="20"/>
          <w:szCs w:val="20"/>
          <w:lang w:bidi="en-US"/>
        </w:rPr>
      </w:pPr>
      <w:r w:rsidRPr="00712F3C">
        <w:rPr>
          <w:rFonts w:eastAsia="Calibri"/>
          <w:sz w:val="20"/>
          <w:szCs w:val="20"/>
          <w:lang w:bidi="en-US"/>
        </w:rPr>
        <w:lastRenderedPageBreak/>
        <w:t>Do not pay the Bid Amount in cash, by money order, cheques or demand drafts or by postal order or by stock invest;</w:t>
      </w:r>
    </w:p>
    <w:p w14:paraId="4A7D9C87" w14:textId="77777777" w:rsidR="004047F2" w:rsidRPr="00712F3C" w:rsidRDefault="004047F2">
      <w:pPr>
        <w:pStyle w:val="ListParagraph"/>
        <w:widowControl w:val="0"/>
        <w:numPr>
          <w:ilvl w:val="0"/>
          <w:numId w:val="307"/>
        </w:numPr>
        <w:suppressAutoHyphens w:val="0"/>
        <w:spacing w:line="240" w:lineRule="auto"/>
        <w:ind w:hanging="450"/>
        <w:contextualSpacing/>
        <w:jc w:val="both"/>
        <w:textAlignment w:val="auto"/>
        <w:rPr>
          <w:rFonts w:eastAsia="Calibri"/>
          <w:sz w:val="20"/>
          <w:szCs w:val="20"/>
          <w:lang w:bidi="en-US"/>
        </w:rPr>
      </w:pPr>
      <w:r w:rsidRPr="00712F3C">
        <w:rPr>
          <w:rFonts w:eastAsia="Calibri"/>
          <w:sz w:val="20"/>
          <w:szCs w:val="20"/>
          <w:lang w:bidi="en-US"/>
        </w:rPr>
        <w:t>Do not send Bid cum Application Forms by post; instead submit the same to the Designated Intermediary only;</w:t>
      </w:r>
    </w:p>
    <w:p w14:paraId="4FEAB6B1" w14:textId="77777777" w:rsidR="004047F2" w:rsidRPr="00712F3C" w:rsidRDefault="004047F2">
      <w:pPr>
        <w:pStyle w:val="ListParagraph"/>
        <w:widowControl w:val="0"/>
        <w:numPr>
          <w:ilvl w:val="0"/>
          <w:numId w:val="307"/>
        </w:numPr>
        <w:suppressAutoHyphens w:val="0"/>
        <w:spacing w:line="240" w:lineRule="auto"/>
        <w:ind w:hanging="450"/>
        <w:contextualSpacing/>
        <w:jc w:val="both"/>
        <w:textAlignment w:val="auto"/>
        <w:rPr>
          <w:rFonts w:eastAsia="Calibri"/>
          <w:sz w:val="20"/>
          <w:szCs w:val="20"/>
          <w:lang w:bidi="en-US"/>
        </w:rPr>
      </w:pPr>
      <w:r w:rsidRPr="00712F3C">
        <w:rPr>
          <w:rFonts w:eastAsia="Calibri"/>
          <w:sz w:val="20"/>
          <w:szCs w:val="20"/>
          <w:lang w:bidi="en-US"/>
        </w:rPr>
        <w:t>Do not submit the Bid cum Application Forms to any non-SCSB bank or our Company;</w:t>
      </w:r>
    </w:p>
    <w:p w14:paraId="7A6F815C" w14:textId="77777777" w:rsidR="004047F2" w:rsidRPr="00712F3C" w:rsidRDefault="004047F2">
      <w:pPr>
        <w:pStyle w:val="ListParagraph"/>
        <w:widowControl w:val="0"/>
        <w:numPr>
          <w:ilvl w:val="0"/>
          <w:numId w:val="307"/>
        </w:numPr>
        <w:suppressAutoHyphens w:val="0"/>
        <w:spacing w:line="240" w:lineRule="auto"/>
        <w:ind w:hanging="450"/>
        <w:contextualSpacing/>
        <w:jc w:val="both"/>
        <w:textAlignment w:val="auto"/>
        <w:rPr>
          <w:rFonts w:eastAsia="Calibri"/>
          <w:sz w:val="20"/>
          <w:szCs w:val="20"/>
          <w:lang w:bidi="en-US"/>
        </w:rPr>
      </w:pPr>
      <w:r w:rsidRPr="00712F3C">
        <w:rPr>
          <w:rFonts w:eastAsia="Calibri"/>
          <w:sz w:val="20"/>
          <w:szCs w:val="20"/>
          <w:lang w:bidi="en-US"/>
        </w:rPr>
        <w:t>Do not Bid on a Bid cum Application Form that does not have the stamp of the relevant Designated Intermediary;</w:t>
      </w:r>
    </w:p>
    <w:p w14:paraId="22C29731" w14:textId="77777777" w:rsidR="004047F2" w:rsidRPr="00712F3C" w:rsidRDefault="004047F2">
      <w:pPr>
        <w:pStyle w:val="ListParagraph"/>
        <w:widowControl w:val="0"/>
        <w:numPr>
          <w:ilvl w:val="0"/>
          <w:numId w:val="307"/>
        </w:numPr>
        <w:suppressAutoHyphens w:val="0"/>
        <w:spacing w:line="240" w:lineRule="auto"/>
        <w:ind w:hanging="450"/>
        <w:contextualSpacing/>
        <w:jc w:val="both"/>
        <w:textAlignment w:val="auto"/>
        <w:rPr>
          <w:rFonts w:eastAsia="Calibri"/>
          <w:sz w:val="20"/>
          <w:szCs w:val="20"/>
          <w:lang w:bidi="en-US"/>
        </w:rPr>
      </w:pPr>
      <w:r w:rsidRPr="00712F3C">
        <w:rPr>
          <w:rFonts w:eastAsia="Calibri"/>
          <w:sz w:val="20"/>
          <w:szCs w:val="20"/>
          <w:lang w:bidi="en-US"/>
        </w:rPr>
        <w:t>Do not Bid at Cut-off Price (for Bids by QIBs and Non-Institutional Bidders);</w:t>
      </w:r>
    </w:p>
    <w:p w14:paraId="1E2EF484" w14:textId="77777777" w:rsidR="004047F2" w:rsidRPr="00712F3C" w:rsidRDefault="004047F2">
      <w:pPr>
        <w:pStyle w:val="ListParagraph"/>
        <w:widowControl w:val="0"/>
        <w:numPr>
          <w:ilvl w:val="0"/>
          <w:numId w:val="307"/>
        </w:numPr>
        <w:suppressAutoHyphens w:val="0"/>
        <w:spacing w:line="240" w:lineRule="auto"/>
        <w:ind w:hanging="450"/>
        <w:contextualSpacing/>
        <w:jc w:val="both"/>
        <w:textAlignment w:val="auto"/>
        <w:rPr>
          <w:rFonts w:eastAsia="Calibri"/>
          <w:sz w:val="20"/>
          <w:szCs w:val="20"/>
          <w:lang w:bidi="en-US"/>
        </w:rPr>
      </w:pPr>
      <w:r w:rsidRPr="00712F3C">
        <w:rPr>
          <w:rFonts w:eastAsia="Calibri"/>
          <w:sz w:val="20"/>
          <w:szCs w:val="20"/>
          <w:lang w:bidi="en-US"/>
        </w:rPr>
        <w:t>Do not instruct your respective Banks to release the funds blocked in the ASBA Account under the ASBA process;</w:t>
      </w:r>
    </w:p>
    <w:p w14:paraId="0A672AE6" w14:textId="77777777" w:rsidR="004047F2" w:rsidRPr="00712F3C" w:rsidRDefault="004047F2">
      <w:pPr>
        <w:pStyle w:val="ListParagraph"/>
        <w:widowControl w:val="0"/>
        <w:numPr>
          <w:ilvl w:val="0"/>
          <w:numId w:val="307"/>
        </w:numPr>
        <w:suppressAutoHyphens w:val="0"/>
        <w:spacing w:line="240" w:lineRule="auto"/>
        <w:ind w:hanging="450"/>
        <w:contextualSpacing/>
        <w:jc w:val="both"/>
        <w:textAlignment w:val="auto"/>
        <w:rPr>
          <w:rFonts w:eastAsia="Calibri"/>
          <w:sz w:val="20"/>
          <w:szCs w:val="20"/>
          <w:lang w:bidi="en-US"/>
        </w:rPr>
      </w:pPr>
      <w:r w:rsidRPr="00712F3C">
        <w:rPr>
          <w:rFonts w:eastAsia="Calibri"/>
          <w:sz w:val="20"/>
          <w:szCs w:val="20"/>
          <w:lang w:bidi="en-US"/>
        </w:rPr>
        <w:t xml:space="preserve">Do not Bid for a Bid Amount exceed </w:t>
      </w:r>
      <w:r w:rsidRPr="002E45D9">
        <w:rPr>
          <w:rFonts w:eastAsia="Calibri"/>
          <w:sz w:val="20"/>
          <w:szCs w:val="20"/>
        </w:rPr>
        <w:t>₹</w:t>
      </w:r>
      <w:r w:rsidRPr="00712F3C">
        <w:rPr>
          <w:rFonts w:eastAsia="Calibri"/>
          <w:sz w:val="20"/>
          <w:szCs w:val="20"/>
          <w:lang w:bidi="en-US"/>
        </w:rPr>
        <w:t xml:space="preserve"> 2,00,000/- (for Applications by Retail Individual Bidders);</w:t>
      </w:r>
    </w:p>
    <w:p w14:paraId="32E55CD9" w14:textId="77777777" w:rsidR="004047F2" w:rsidRPr="00712F3C" w:rsidRDefault="004047F2">
      <w:pPr>
        <w:pStyle w:val="ListParagraph"/>
        <w:widowControl w:val="0"/>
        <w:numPr>
          <w:ilvl w:val="0"/>
          <w:numId w:val="307"/>
        </w:numPr>
        <w:suppressAutoHyphens w:val="0"/>
        <w:spacing w:line="240" w:lineRule="auto"/>
        <w:ind w:hanging="450"/>
        <w:contextualSpacing/>
        <w:jc w:val="both"/>
        <w:textAlignment w:val="auto"/>
        <w:rPr>
          <w:rFonts w:eastAsia="Calibri"/>
          <w:sz w:val="20"/>
          <w:szCs w:val="20"/>
          <w:lang w:bidi="en-US"/>
        </w:rPr>
      </w:pPr>
      <w:r w:rsidRPr="00712F3C">
        <w:rPr>
          <w:rFonts w:eastAsia="Calibri"/>
          <w:sz w:val="20"/>
          <w:szCs w:val="20"/>
          <w:lang w:bidi="en-US"/>
        </w:rPr>
        <w:t xml:space="preserve"> Do not fill up the Bid cum Application Form such that the Equity Shares Application exceeds the Issue size and / or investment limit or maximum number of the Equity Shares that can be held under the applicable laws or regulations or maximum amount permissible under the applicable regulations or under the terms of the Red Herring Prospectus;</w:t>
      </w:r>
    </w:p>
    <w:p w14:paraId="2427B984" w14:textId="77777777" w:rsidR="004047F2" w:rsidRPr="00712F3C" w:rsidRDefault="004047F2">
      <w:pPr>
        <w:pStyle w:val="ListParagraph"/>
        <w:widowControl w:val="0"/>
        <w:numPr>
          <w:ilvl w:val="0"/>
          <w:numId w:val="307"/>
        </w:numPr>
        <w:suppressAutoHyphens w:val="0"/>
        <w:spacing w:line="240" w:lineRule="auto"/>
        <w:ind w:hanging="450"/>
        <w:contextualSpacing/>
        <w:jc w:val="both"/>
        <w:textAlignment w:val="auto"/>
        <w:rPr>
          <w:rFonts w:eastAsia="Calibri"/>
          <w:sz w:val="20"/>
          <w:szCs w:val="20"/>
          <w:lang w:bidi="en-US"/>
        </w:rPr>
      </w:pPr>
      <w:r w:rsidRPr="00712F3C">
        <w:rPr>
          <w:rFonts w:eastAsia="Calibri"/>
          <w:sz w:val="20"/>
          <w:szCs w:val="20"/>
          <w:lang w:bidi="en-US"/>
        </w:rPr>
        <w:t>Do not submit the General Index Register number instead of the PAN;</w:t>
      </w:r>
    </w:p>
    <w:p w14:paraId="2304B7C6" w14:textId="77777777" w:rsidR="004047F2" w:rsidRPr="00712F3C" w:rsidRDefault="004047F2">
      <w:pPr>
        <w:pStyle w:val="ListParagraph"/>
        <w:widowControl w:val="0"/>
        <w:numPr>
          <w:ilvl w:val="0"/>
          <w:numId w:val="307"/>
        </w:numPr>
        <w:suppressAutoHyphens w:val="0"/>
        <w:spacing w:line="240" w:lineRule="auto"/>
        <w:ind w:hanging="450"/>
        <w:contextualSpacing/>
        <w:jc w:val="both"/>
        <w:textAlignment w:val="auto"/>
        <w:rPr>
          <w:rFonts w:eastAsia="Calibri"/>
          <w:sz w:val="20"/>
          <w:szCs w:val="20"/>
          <w:lang w:bidi="en-US"/>
        </w:rPr>
      </w:pPr>
      <w:r w:rsidRPr="00712F3C">
        <w:rPr>
          <w:rFonts w:eastAsia="Calibri"/>
          <w:sz w:val="20"/>
          <w:szCs w:val="20"/>
          <w:lang w:bidi="en-US"/>
        </w:rPr>
        <w:t>Do not submit the Bid without ensuring that funds equivalent to the entire Bid Amount are blocked in the relevant ASBA Account;</w:t>
      </w:r>
    </w:p>
    <w:p w14:paraId="070AF0F6" w14:textId="77777777" w:rsidR="004047F2" w:rsidRPr="00712F3C" w:rsidRDefault="004047F2">
      <w:pPr>
        <w:pStyle w:val="ListParagraph"/>
        <w:widowControl w:val="0"/>
        <w:numPr>
          <w:ilvl w:val="0"/>
          <w:numId w:val="307"/>
        </w:numPr>
        <w:suppressAutoHyphens w:val="0"/>
        <w:spacing w:line="240" w:lineRule="auto"/>
        <w:ind w:hanging="450"/>
        <w:contextualSpacing/>
        <w:jc w:val="both"/>
        <w:textAlignment w:val="auto"/>
        <w:rPr>
          <w:rFonts w:eastAsia="Calibri"/>
          <w:sz w:val="20"/>
          <w:szCs w:val="20"/>
          <w:lang w:bidi="en-US"/>
        </w:rPr>
      </w:pPr>
      <w:r w:rsidRPr="00712F3C">
        <w:rPr>
          <w:rFonts w:eastAsia="Calibri"/>
          <w:sz w:val="20"/>
          <w:szCs w:val="20"/>
          <w:lang w:bidi="en-US"/>
        </w:rPr>
        <w:t xml:space="preserve">Do not submit Bids on plain paper or on incomplete or illegible Bid cum Application Forms or on Bid cum Application Forms in a colour prescribed for another category of Applicant; </w:t>
      </w:r>
    </w:p>
    <w:p w14:paraId="49CAD287" w14:textId="77777777" w:rsidR="004047F2" w:rsidRPr="00712F3C" w:rsidRDefault="004047F2">
      <w:pPr>
        <w:pStyle w:val="ListParagraph"/>
        <w:widowControl w:val="0"/>
        <w:numPr>
          <w:ilvl w:val="0"/>
          <w:numId w:val="307"/>
        </w:numPr>
        <w:suppressAutoHyphens w:val="0"/>
        <w:spacing w:line="240" w:lineRule="auto"/>
        <w:ind w:hanging="450"/>
        <w:contextualSpacing/>
        <w:jc w:val="both"/>
        <w:textAlignment w:val="auto"/>
        <w:rPr>
          <w:rFonts w:eastAsia="Calibri"/>
          <w:sz w:val="20"/>
          <w:szCs w:val="20"/>
          <w:lang w:bidi="en-US"/>
        </w:rPr>
      </w:pPr>
      <w:r w:rsidRPr="00712F3C">
        <w:rPr>
          <w:rFonts w:eastAsia="Calibri"/>
          <w:sz w:val="20"/>
          <w:szCs w:val="20"/>
          <w:lang w:bidi="en-US"/>
        </w:rPr>
        <w:t>Do not submit a Bid in case you are not eligible to acquire Equity Shares under applicable law or your relevant constitutional documents or otherwise;</w:t>
      </w:r>
    </w:p>
    <w:p w14:paraId="04FB51A0" w14:textId="77777777" w:rsidR="004047F2" w:rsidRPr="00712F3C" w:rsidRDefault="004047F2">
      <w:pPr>
        <w:pStyle w:val="ListParagraph"/>
        <w:widowControl w:val="0"/>
        <w:numPr>
          <w:ilvl w:val="0"/>
          <w:numId w:val="307"/>
        </w:numPr>
        <w:suppressAutoHyphens w:val="0"/>
        <w:spacing w:line="240" w:lineRule="auto"/>
        <w:ind w:hanging="450"/>
        <w:contextualSpacing/>
        <w:jc w:val="both"/>
        <w:textAlignment w:val="auto"/>
        <w:rPr>
          <w:rFonts w:eastAsia="Calibri"/>
          <w:sz w:val="20"/>
          <w:szCs w:val="20"/>
          <w:lang w:bidi="en-US"/>
        </w:rPr>
      </w:pPr>
      <w:r w:rsidRPr="00712F3C">
        <w:rPr>
          <w:rFonts w:eastAsia="Calibri"/>
          <w:sz w:val="20"/>
          <w:szCs w:val="20"/>
          <w:lang w:bidi="en-US"/>
        </w:rPr>
        <w:t>Do not Bid if you are not competent to contract under the Indian Contract Act, 1872 (other than minors having valid depository accounts as per Demographic Details provided by the depository);</w:t>
      </w:r>
    </w:p>
    <w:p w14:paraId="38770CAA" w14:textId="77777777" w:rsidR="004047F2" w:rsidRPr="00712F3C" w:rsidRDefault="004047F2">
      <w:pPr>
        <w:pStyle w:val="ListParagraph"/>
        <w:widowControl w:val="0"/>
        <w:numPr>
          <w:ilvl w:val="0"/>
          <w:numId w:val="307"/>
        </w:numPr>
        <w:suppressAutoHyphens w:val="0"/>
        <w:spacing w:line="240" w:lineRule="auto"/>
        <w:ind w:hanging="450"/>
        <w:contextualSpacing/>
        <w:jc w:val="both"/>
        <w:textAlignment w:val="auto"/>
        <w:rPr>
          <w:rFonts w:eastAsia="Calibri"/>
          <w:sz w:val="20"/>
          <w:szCs w:val="20"/>
          <w:lang w:bidi="en-US"/>
        </w:rPr>
      </w:pPr>
      <w:r w:rsidRPr="00712F3C">
        <w:rPr>
          <w:rFonts w:eastAsia="Calibri"/>
          <w:sz w:val="20"/>
          <w:szCs w:val="20"/>
          <w:lang w:bidi="en-US"/>
        </w:rPr>
        <w:t xml:space="preserve"> Do not submit a Bid by using details of the third party’s bank account or UPI ID which is linked with bank account of the third party. Kindly note that Bids made using third party bank account or using third party linked bank account UPI ID are liable for rejection.</w:t>
      </w:r>
    </w:p>
    <w:p w14:paraId="4A2DAFAC" w14:textId="77777777" w:rsidR="004047F2" w:rsidRPr="00712F3C" w:rsidRDefault="004047F2" w:rsidP="004047F2">
      <w:pPr>
        <w:autoSpaceDE w:val="0"/>
        <w:autoSpaceDN w:val="0"/>
        <w:adjustRightInd w:val="0"/>
        <w:spacing w:after="0" w:line="240" w:lineRule="auto"/>
        <w:jc w:val="both"/>
        <w:rPr>
          <w:rFonts w:ascii="Times New Roman" w:eastAsia="Calibri" w:hAnsi="Times New Roman"/>
          <w:color w:val="000000"/>
          <w:sz w:val="20"/>
          <w:szCs w:val="20"/>
          <w:lang w:bidi="en-US"/>
        </w:rPr>
      </w:pPr>
    </w:p>
    <w:p w14:paraId="55B93220" w14:textId="77777777" w:rsidR="004047F2" w:rsidRPr="00712F3C" w:rsidRDefault="004047F2" w:rsidP="004047F2">
      <w:pPr>
        <w:autoSpaceDE w:val="0"/>
        <w:autoSpaceDN w:val="0"/>
        <w:adjustRightInd w:val="0"/>
        <w:spacing w:after="0" w:line="240" w:lineRule="auto"/>
        <w:jc w:val="both"/>
        <w:rPr>
          <w:rFonts w:ascii="Times New Roman" w:eastAsia="Calibri" w:hAnsi="Times New Roman"/>
          <w:color w:val="000000"/>
          <w:sz w:val="20"/>
          <w:szCs w:val="20"/>
          <w:lang w:bidi="en-US"/>
        </w:rPr>
      </w:pPr>
      <w:r w:rsidRPr="00712F3C">
        <w:rPr>
          <w:rFonts w:ascii="Times New Roman" w:eastAsia="Calibri" w:hAnsi="Times New Roman"/>
          <w:color w:val="000000"/>
          <w:sz w:val="20"/>
          <w:szCs w:val="20"/>
          <w:lang w:bidi="en-US"/>
        </w:rPr>
        <w:t>The Bid cum Application Form is liable to be rejected if the above instructions, as applicable, are not complied with.</w:t>
      </w:r>
    </w:p>
    <w:p w14:paraId="3CC4CAE5" w14:textId="77777777" w:rsidR="004047F2" w:rsidRPr="00712F3C" w:rsidRDefault="004047F2" w:rsidP="004047F2">
      <w:pPr>
        <w:autoSpaceDE w:val="0"/>
        <w:autoSpaceDN w:val="0"/>
        <w:adjustRightInd w:val="0"/>
        <w:spacing w:after="0" w:line="240" w:lineRule="auto"/>
        <w:jc w:val="both"/>
        <w:rPr>
          <w:rFonts w:ascii="Times New Roman" w:eastAsia="Calibri" w:hAnsi="Times New Roman"/>
          <w:color w:val="000000"/>
          <w:sz w:val="20"/>
          <w:szCs w:val="20"/>
          <w:lang w:bidi="en-US"/>
        </w:rPr>
      </w:pPr>
    </w:p>
    <w:p w14:paraId="64A881CA" w14:textId="77777777" w:rsidR="004047F2" w:rsidRPr="00712F3C" w:rsidRDefault="004047F2" w:rsidP="004047F2">
      <w:pPr>
        <w:autoSpaceDE w:val="0"/>
        <w:autoSpaceDN w:val="0"/>
        <w:adjustRightInd w:val="0"/>
        <w:spacing w:after="0" w:line="240" w:lineRule="auto"/>
        <w:jc w:val="both"/>
        <w:rPr>
          <w:rFonts w:ascii="Times New Roman" w:eastAsia="Calibri" w:hAnsi="Times New Roman"/>
          <w:b/>
          <w:color w:val="000000"/>
          <w:sz w:val="20"/>
          <w:szCs w:val="20"/>
          <w:u w:val="single"/>
          <w:lang w:bidi="en-US"/>
        </w:rPr>
      </w:pPr>
      <w:r w:rsidRPr="00712F3C">
        <w:rPr>
          <w:rFonts w:ascii="Times New Roman" w:eastAsia="Calibri" w:hAnsi="Times New Roman"/>
          <w:b/>
          <w:color w:val="000000"/>
          <w:sz w:val="20"/>
          <w:szCs w:val="20"/>
          <w:u w:val="single"/>
          <w:lang w:bidi="en-US"/>
        </w:rPr>
        <w:t>Other instructions for the Bidders</w:t>
      </w:r>
    </w:p>
    <w:p w14:paraId="2F8810FA" w14:textId="77777777" w:rsidR="004047F2" w:rsidRPr="00712F3C" w:rsidRDefault="004047F2" w:rsidP="004047F2">
      <w:pPr>
        <w:autoSpaceDE w:val="0"/>
        <w:autoSpaceDN w:val="0"/>
        <w:adjustRightInd w:val="0"/>
        <w:spacing w:after="0" w:line="240" w:lineRule="auto"/>
        <w:jc w:val="both"/>
        <w:rPr>
          <w:rFonts w:ascii="Times New Roman" w:eastAsia="Calibri" w:hAnsi="Times New Roman"/>
          <w:color w:val="000000"/>
          <w:sz w:val="20"/>
          <w:szCs w:val="20"/>
          <w:lang w:bidi="en-US"/>
        </w:rPr>
      </w:pPr>
    </w:p>
    <w:p w14:paraId="1200248F" w14:textId="77777777" w:rsidR="004047F2" w:rsidRPr="00712F3C" w:rsidRDefault="004047F2" w:rsidP="004047F2">
      <w:pPr>
        <w:autoSpaceDE w:val="0"/>
        <w:autoSpaceDN w:val="0"/>
        <w:adjustRightInd w:val="0"/>
        <w:spacing w:after="0" w:line="240" w:lineRule="auto"/>
        <w:jc w:val="both"/>
        <w:rPr>
          <w:rFonts w:ascii="Times New Roman" w:eastAsia="Calibri" w:hAnsi="Times New Roman"/>
          <w:b/>
          <w:color w:val="000000"/>
          <w:sz w:val="20"/>
          <w:szCs w:val="20"/>
          <w:lang w:bidi="en-US"/>
        </w:rPr>
      </w:pPr>
      <w:r w:rsidRPr="00712F3C">
        <w:rPr>
          <w:rFonts w:ascii="Times New Roman" w:eastAsia="Calibri" w:hAnsi="Times New Roman"/>
          <w:b/>
          <w:color w:val="000000"/>
          <w:sz w:val="20"/>
          <w:szCs w:val="20"/>
          <w:lang w:bidi="en-US"/>
        </w:rPr>
        <w:t>Joint Bids</w:t>
      </w:r>
    </w:p>
    <w:p w14:paraId="2A873E58" w14:textId="77777777" w:rsidR="004047F2" w:rsidRPr="00712F3C" w:rsidRDefault="004047F2" w:rsidP="004047F2">
      <w:pPr>
        <w:autoSpaceDE w:val="0"/>
        <w:autoSpaceDN w:val="0"/>
        <w:adjustRightInd w:val="0"/>
        <w:spacing w:after="0" w:line="240" w:lineRule="auto"/>
        <w:jc w:val="both"/>
        <w:rPr>
          <w:rFonts w:ascii="Times New Roman" w:eastAsia="Calibri" w:hAnsi="Times New Roman"/>
          <w:color w:val="000000"/>
          <w:sz w:val="20"/>
          <w:szCs w:val="20"/>
          <w:lang w:bidi="en-US"/>
        </w:rPr>
      </w:pPr>
    </w:p>
    <w:p w14:paraId="216F78E2" w14:textId="77777777" w:rsidR="004047F2" w:rsidRPr="00712F3C" w:rsidRDefault="004047F2" w:rsidP="004047F2">
      <w:pPr>
        <w:autoSpaceDE w:val="0"/>
        <w:autoSpaceDN w:val="0"/>
        <w:adjustRightInd w:val="0"/>
        <w:spacing w:after="0" w:line="240" w:lineRule="auto"/>
        <w:jc w:val="both"/>
        <w:rPr>
          <w:rFonts w:ascii="Times New Roman" w:eastAsia="Calibri" w:hAnsi="Times New Roman"/>
          <w:color w:val="000000"/>
          <w:sz w:val="20"/>
          <w:szCs w:val="20"/>
          <w:lang w:bidi="en-US"/>
        </w:rPr>
      </w:pPr>
      <w:r w:rsidRPr="00712F3C">
        <w:rPr>
          <w:rFonts w:ascii="Times New Roman" w:eastAsia="Calibri" w:hAnsi="Times New Roman"/>
          <w:color w:val="000000"/>
          <w:sz w:val="20"/>
          <w:szCs w:val="20"/>
          <w:lang w:bidi="en-US"/>
        </w:rPr>
        <w:t>In the case of Joint Bids, the Bids should be made in the name of the Bidders whose name appears first in the Depository account. The name so entered should be the same as it appears in the Depository records. The signature of only such first Bidders would be required in the Bid cum Application Form/Application Form and such first Bidder would be deemed to have signed on behalf of the joint holders. All payments may be made out in favour of the Bidder whose name appears in the Bid cum Application Form or the Revision Form and all communications may be addressed to such Bidder and may be dispatched to his or her address as per the Demographic Details received from the Depositories.</w:t>
      </w:r>
    </w:p>
    <w:p w14:paraId="79DEB6DB" w14:textId="77777777" w:rsidR="004047F2" w:rsidRPr="00712F3C" w:rsidRDefault="004047F2" w:rsidP="004047F2">
      <w:pPr>
        <w:autoSpaceDE w:val="0"/>
        <w:autoSpaceDN w:val="0"/>
        <w:adjustRightInd w:val="0"/>
        <w:spacing w:after="0" w:line="240" w:lineRule="auto"/>
        <w:jc w:val="both"/>
        <w:rPr>
          <w:rFonts w:ascii="Times New Roman" w:eastAsia="Calibri" w:hAnsi="Times New Roman"/>
          <w:color w:val="000000"/>
          <w:sz w:val="20"/>
          <w:szCs w:val="20"/>
          <w:lang w:bidi="en-US"/>
        </w:rPr>
      </w:pPr>
    </w:p>
    <w:p w14:paraId="7019E498" w14:textId="77777777" w:rsidR="004047F2" w:rsidRPr="00712F3C" w:rsidRDefault="004047F2" w:rsidP="004047F2">
      <w:pPr>
        <w:autoSpaceDE w:val="0"/>
        <w:autoSpaceDN w:val="0"/>
        <w:adjustRightInd w:val="0"/>
        <w:spacing w:after="0" w:line="240" w:lineRule="auto"/>
        <w:jc w:val="both"/>
        <w:rPr>
          <w:rFonts w:ascii="Times New Roman" w:eastAsia="Calibri" w:hAnsi="Times New Roman"/>
          <w:b/>
          <w:color w:val="000000"/>
          <w:sz w:val="20"/>
          <w:szCs w:val="20"/>
          <w:lang w:bidi="en-US"/>
        </w:rPr>
      </w:pPr>
      <w:r w:rsidRPr="00712F3C">
        <w:rPr>
          <w:rFonts w:ascii="Times New Roman" w:eastAsia="Calibri" w:hAnsi="Times New Roman"/>
          <w:b/>
          <w:color w:val="000000"/>
          <w:sz w:val="20"/>
          <w:szCs w:val="20"/>
          <w:lang w:bidi="en-US"/>
        </w:rPr>
        <w:t>Multiple Bids</w:t>
      </w:r>
    </w:p>
    <w:p w14:paraId="2C6390EF" w14:textId="77777777" w:rsidR="004047F2" w:rsidRPr="00712F3C" w:rsidRDefault="004047F2" w:rsidP="004047F2">
      <w:pPr>
        <w:autoSpaceDE w:val="0"/>
        <w:autoSpaceDN w:val="0"/>
        <w:adjustRightInd w:val="0"/>
        <w:spacing w:after="0" w:line="240" w:lineRule="auto"/>
        <w:jc w:val="both"/>
        <w:rPr>
          <w:rFonts w:ascii="Times New Roman" w:eastAsia="Calibri" w:hAnsi="Times New Roman"/>
          <w:b/>
          <w:color w:val="000000"/>
          <w:sz w:val="20"/>
          <w:szCs w:val="20"/>
          <w:lang w:bidi="en-US"/>
        </w:rPr>
      </w:pPr>
    </w:p>
    <w:p w14:paraId="02BBE217" w14:textId="77777777" w:rsidR="004047F2" w:rsidRPr="00712F3C" w:rsidRDefault="004047F2" w:rsidP="004047F2">
      <w:pPr>
        <w:autoSpaceDE w:val="0"/>
        <w:autoSpaceDN w:val="0"/>
        <w:adjustRightInd w:val="0"/>
        <w:spacing w:after="0" w:line="240" w:lineRule="auto"/>
        <w:contextualSpacing/>
        <w:jc w:val="both"/>
        <w:rPr>
          <w:rFonts w:ascii="Times New Roman" w:eastAsia="Calibri" w:hAnsi="Times New Roman"/>
          <w:color w:val="000000"/>
          <w:sz w:val="20"/>
          <w:szCs w:val="20"/>
          <w:lang w:bidi="en-US"/>
        </w:rPr>
      </w:pPr>
      <w:r w:rsidRPr="00712F3C">
        <w:rPr>
          <w:rFonts w:ascii="Times New Roman" w:eastAsia="Calibri" w:hAnsi="Times New Roman"/>
          <w:color w:val="000000"/>
          <w:sz w:val="20"/>
          <w:szCs w:val="20"/>
          <w:lang w:bidi="en-US"/>
        </w:rPr>
        <w:t>Bidder should submit only one Bid cum Application Form. Bidder shall have the option to make a maximum of Bids at three different price levels in the Bid cum Application Form and such options are not considered as multiple Bids. Submission of a second Bid cum Application Form to either the same or to another member of the Syndicate, SCSB or Registered Broker and duplicate copies of Bid\ cum Application Forms bearing the same application number shall be treated as multiple Bids and are liable to be rejected.</w:t>
      </w:r>
    </w:p>
    <w:p w14:paraId="7CDD47D8" w14:textId="77777777" w:rsidR="004047F2" w:rsidRPr="00712F3C" w:rsidRDefault="004047F2" w:rsidP="004047F2">
      <w:pPr>
        <w:autoSpaceDE w:val="0"/>
        <w:autoSpaceDN w:val="0"/>
        <w:adjustRightInd w:val="0"/>
        <w:spacing w:after="0" w:line="240" w:lineRule="auto"/>
        <w:contextualSpacing/>
        <w:jc w:val="both"/>
        <w:rPr>
          <w:rFonts w:ascii="Times New Roman" w:eastAsia="Calibri" w:hAnsi="Times New Roman"/>
          <w:color w:val="000000"/>
          <w:sz w:val="20"/>
          <w:szCs w:val="20"/>
          <w:lang w:bidi="en-US"/>
        </w:rPr>
      </w:pPr>
    </w:p>
    <w:p w14:paraId="501A3237" w14:textId="77777777" w:rsidR="004047F2" w:rsidRPr="00712F3C" w:rsidRDefault="004047F2" w:rsidP="004047F2">
      <w:pPr>
        <w:spacing w:after="0" w:line="240" w:lineRule="auto"/>
        <w:contextualSpacing/>
        <w:jc w:val="both"/>
        <w:rPr>
          <w:rFonts w:ascii="Times New Roman" w:hAnsi="Times New Roman"/>
          <w:b/>
          <w:sz w:val="20"/>
          <w:szCs w:val="20"/>
        </w:rPr>
      </w:pPr>
      <w:r w:rsidRPr="00712F3C">
        <w:rPr>
          <w:rFonts w:ascii="Times New Roman" w:hAnsi="Times New Roman"/>
          <w:b/>
          <w:sz w:val="20"/>
          <w:szCs w:val="20"/>
        </w:rPr>
        <w:t>Investor Grievance</w:t>
      </w:r>
    </w:p>
    <w:p w14:paraId="1805456B" w14:textId="77777777" w:rsidR="004047F2" w:rsidRPr="00712F3C" w:rsidRDefault="004047F2" w:rsidP="004047F2">
      <w:pPr>
        <w:spacing w:after="0" w:line="240" w:lineRule="auto"/>
        <w:contextualSpacing/>
        <w:jc w:val="both"/>
        <w:rPr>
          <w:rFonts w:ascii="Times New Roman" w:hAnsi="Times New Roman"/>
          <w:b/>
          <w:sz w:val="20"/>
          <w:szCs w:val="20"/>
          <w:u w:val="single"/>
        </w:rPr>
      </w:pPr>
    </w:p>
    <w:p w14:paraId="1D44E0C1" w14:textId="77777777" w:rsidR="004047F2" w:rsidRPr="00712F3C" w:rsidRDefault="004047F2" w:rsidP="004047F2">
      <w:pPr>
        <w:spacing w:after="0" w:line="240" w:lineRule="auto"/>
        <w:contextualSpacing/>
        <w:jc w:val="both"/>
        <w:rPr>
          <w:rFonts w:ascii="Times New Roman" w:eastAsia="Calibri" w:hAnsi="Times New Roman"/>
          <w:color w:val="000000"/>
          <w:sz w:val="20"/>
          <w:szCs w:val="20"/>
          <w:lang w:bidi="en-US"/>
        </w:rPr>
      </w:pPr>
      <w:r w:rsidRPr="00712F3C">
        <w:rPr>
          <w:rFonts w:ascii="Times New Roman" w:eastAsia="Calibri" w:hAnsi="Times New Roman"/>
          <w:color w:val="000000"/>
          <w:sz w:val="20"/>
          <w:szCs w:val="20"/>
          <w:lang w:bidi="en-US"/>
        </w:rPr>
        <w:t>In case of any pre-issue or post issue related problems regarding demat credit/ refund orders/ unblocking etc. the Investors can contact the Compliance Officer of our Company.</w:t>
      </w:r>
    </w:p>
    <w:p w14:paraId="766F1F81" w14:textId="77777777" w:rsidR="004047F2" w:rsidRPr="00712F3C" w:rsidRDefault="004047F2" w:rsidP="004047F2">
      <w:pPr>
        <w:spacing w:after="0" w:line="240" w:lineRule="auto"/>
        <w:contextualSpacing/>
        <w:jc w:val="both"/>
        <w:rPr>
          <w:rFonts w:ascii="Times New Roman" w:eastAsia="Calibri" w:hAnsi="Times New Roman"/>
          <w:color w:val="000000"/>
          <w:sz w:val="20"/>
          <w:szCs w:val="20"/>
          <w:lang w:bidi="en-US"/>
        </w:rPr>
      </w:pPr>
    </w:p>
    <w:p w14:paraId="20189E70" w14:textId="77777777" w:rsidR="004047F2" w:rsidRPr="00712F3C" w:rsidRDefault="004047F2" w:rsidP="004047F2">
      <w:pPr>
        <w:spacing w:after="0" w:line="240" w:lineRule="auto"/>
        <w:contextualSpacing/>
        <w:jc w:val="both"/>
        <w:rPr>
          <w:rFonts w:ascii="Times New Roman" w:eastAsia="Calibri" w:hAnsi="Times New Roman"/>
          <w:b/>
          <w:color w:val="000000"/>
          <w:sz w:val="20"/>
          <w:szCs w:val="20"/>
          <w:lang w:bidi="en-US"/>
        </w:rPr>
      </w:pPr>
      <w:r w:rsidRPr="00712F3C">
        <w:rPr>
          <w:rFonts w:ascii="Times New Roman" w:eastAsia="Calibri" w:hAnsi="Times New Roman"/>
          <w:b/>
          <w:color w:val="000000"/>
          <w:sz w:val="20"/>
          <w:szCs w:val="20"/>
          <w:lang w:bidi="en-US"/>
        </w:rPr>
        <w:t>Nomination Facility to Bidders</w:t>
      </w:r>
    </w:p>
    <w:p w14:paraId="6B82EADA" w14:textId="77777777" w:rsidR="004047F2" w:rsidRPr="00712F3C" w:rsidRDefault="004047F2" w:rsidP="004047F2">
      <w:pPr>
        <w:spacing w:after="0" w:line="240" w:lineRule="auto"/>
        <w:contextualSpacing/>
        <w:jc w:val="both"/>
        <w:rPr>
          <w:rFonts w:ascii="Times New Roman" w:eastAsia="Calibri" w:hAnsi="Times New Roman"/>
          <w:b/>
          <w:color w:val="000000"/>
          <w:sz w:val="20"/>
          <w:szCs w:val="20"/>
          <w:lang w:bidi="en-US"/>
        </w:rPr>
      </w:pPr>
    </w:p>
    <w:p w14:paraId="1878A7EE" w14:textId="77777777" w:rsidR="004047F2" w:rsidRPr="00712F3C" w:rsidRDefault="004047F2" w:rsidP="004047F2">
      <w:pPr>
        <w:spacing w:after="0" w:line="240" w:lineRule="auto"/>
        <w:contextualSpacing/>
        <w:jc w:val="both"/>
        <w:rPr>
          <w:rFonts w:ascii="Times New Roman" w:eastAsia="Calibri" w:hAnsi="Times New Roman"/>
          <w:color w:val="000000"/>
          <w:sz w:val="20"/>
          <w:szCs w:val="20"/>
          <w:lang w:bidi="en-US"/>
        </w:rPr>
      </w:pPr>
      <w:r w:rsidRPr="00712F3C">
        <w:rPr>
          <w:rFonts w:ascii="Times New Roman" w:eastAsia="Calibri" w:hAnsi="Times New Roman"/>
          <w:color w:val="000000"/>
          <w:sz w:val="20"/>
          <w:szCs w:val="20"/>
          <w:lang w:bidi="en-US"/>
        </w:rPr>
        <w:t>Nomination facility is available in accordance with the provisions of Section 72 of the Companies Act, 2013. In case of allotment of the Equity Shares in dematerialized form, there is no need to make a separate nomination as the nomination registered with the Depository may prevail. For changing nominations, the Bidders should inform their respective DP.</w:t>
      </w:r>
    </w:p>
    <w:p w14:paraId="67CF1D51" w14:textId="77777777" w:rsidR="004047F2" w:rsidRPr="00712F3C" w:rsidRDefault="004047F2" w:rsidP="004047F2">
      <w:pPr>
        <w:spacing w:after="0" w:line="240" w:lineRule="auto"/>
        <w:contextualSpacing/>
        <w:jc w:val="both"/>
        <w:rPr>
          <w:rFonts w:ascii="Times New Roman" w:eastAsia="Calibri" w:hAnsi="Times New Roman"/>
          <w:color w:val="000000"/>
          <w:sz w:val="20"/>
          <w:szCs w:val="20"/>
          <w:lang w:bidi="en-US"/>
        </w:rPr>
      </w:pPr>
    </w:p>
    <w:p w14:paraId="0FA48DB0" w14:textId="77777777" w:rsidR="004047F2" w:rsidRPr="00712F3C" w:rsidRDefault="004047F2" w:rsidP="004047F2">
      <w:pPr>
        <w:spacing w:after="0" w:line="240" w:lineRule="auto"/>
        <w:contextualSpacing/>
        <w:jc w:val="both"/>
        <w:rPr>
          <w:rFonts w:ascii="Times New Roman" w:eastAsia="Calibri" w:hAnsi="Times New Roman"/>
          <w:b/>
          <w:color w:val="000000"/>
          <w:sz w:val="20"/>
          <w:szCs w:val="20"/>
          <w:lang w:bidi="en-US"/>
        </w:rPr>
      </w:pPr>
      <w:r w:rsidRPr="00712F3C">
        <w:rPr>
          <w:rFonts w:ascii="Times New Roman" w:eastAsia="Calibri" w:hAnsi="Times New Roman"/>
          <w:b/>
          <w:color w:val="000000"/>
          <w:sz w:val="20"/>
          <w:szCs w:val="20"/>
          <w:lang w:bidi="en-US"/>
        </w:rPr>
        <w:t>Submission of Bids</w:t>
      </w:r>
    </w:p>
    <w:p w14:paraId="36DC4393" w14:textId="77777777" w:rsidR="004047F2" w:rsidRPr="00712F3C" w:rsidRDefault="004047F2" w:rsidP="004047F2">
      <w:pPr>
        <w:spacing w:after="0" w:line="240" w:lineRule="auto"/>
        <w:contextualSpacing/>
        <w:jc w:val="both"/>
        <w:rPr>
          <w:rFonts w:ascii="Times New Roman" w:eastAsia="Calibri" w:hAnsi="Times New Roman"/>
          <w:color w:val="000000"/>
          <w:sz w:val="20"/>
          <w:szCs w:val="20"/>
          <w:lang w:bidi="en-US"/>
        </w:rPr>
      </w:pPr>
    </w:p>
    <w:p w14:paraId="3B191F71" w14:textId="77777777" w:rsidR="004047F2" w:rsidRPr="00712F3C" w:rsidRDefault="004047F2">
      <w:pPr>
        <w:pStyle w:val="ListParagraph"/>
        <w:numPr>
          <w:ilvl w:val="2"/>
          <w:numId w:val="303"/>
        </w:numPr>
        <w:spacing w:line="240" w:lineRule="auto"/>
        <w:ind w:left="426"/>
        <w:contextualSpacing/>
        <w:jc w:val="both"/>
        <w:rPr>
          <w:rFonts w:eastAsia="Calibri"/>
          <w:sz w:val="20"/>
          <w:szCs w:val="20"/>
          <w:lang w:bidi="en-US"/>
        </w:rPr>
      </w:pPr>
      <w:r w:rsidRPr="00712F3C">
        <w:rPr>
          <w:rFonts w:eastAsia="Calibri"/>
          <w:sz w:val="20"/>
          <w:szCs w:val="20"/>
          <w:lang w:bidi="en-US"/>
        </w:rPr>
        <w:t>During the Bid/Issue Period, Bidders may approach any of the Designated Intermediaries to register their Bids.</w:t>
      </w:r>
    </w:p>
    <w:p w14:paraId="4DD7FF00" w14:textId="77777777" w:rsidR="004047F2" w:rsidRPr="00712F3C" w:rsidRDefault="004047F2">
      <w:pPr>
        <w:pStyle w:val="ListParagraph"/>
        <w:numPr>
          <w:ilvl w:val="2"/>
          <w:numId w:val="303"/>
        </w:numPr>
        <w:spacing w:line="240" w:lineRule="auto"/>
        <w:ind w:left="426"/>
        <w:contextualSpacing/>
        <w:jc w:val="both"/>
        <w:rPr>
          <w:rFonts w:eastAsia="Calibri"/>
          <w:sz w:val="20"/>
          <w:szCs w:val="20"/>
          <w:lang w:bidi="en-US"/>
        </w:rPr>
      </w:pPr>
      <w:r w:rsidRPr="00712F3C">
        <w:rPr>
          <w:rFonts w:eastAsia="Calibri"/>
          <w:sz w:val="20"/>
          <w:szCs w:val="20"/>
          <w:lang w:bidi="en-US"/>
        </w:rPr>
        <w:t>In case of Bidders (excluding NIIs and QIBs) Bidding at cut-off price, the Bidders may instruct the SCSBs to block Bid Amount based on the Cap Price less Discount (if applicable).</w:t>
      </w:r>
    </w:p>
    <w:p w14:paraId="725E91BE" w14:textId="77777777" w:rsidR="004047F2" w:rsidRPr="00712F3C" w:rsidRDefault="004047F2">
      <w:pPr>
        <w:pStyle w:val="ListParagraph"/>
        <w:numPr>
          <w:ilvl w:val="2"/>
          <w:numId w:val="303"/>
        </w:numPr>
        <w:spacing w:line="240" w:lineRule="auto"/>
        <w:ind w:left="426"/>
        <w:contextualSpacing/>
        <w:jc w:val="both"/>
        <w:rPr>
          <w:rFonts w:eastAsia="Calibri"/>
          <w:sz w:val="20"/>
          <w:szCs w:val="20"/>
          <w:lang w:bidi="en-US"/>
        </w:rPr>
      </w:pPr>
      <w:r w:rsidRPr="00712F3C">
        <w:rPr>
          <w:rFonts w:eastAsia="Calibri"/>
          <w:sz w:val="20"/>
          <w:szCs w:val="20"/>
          <w:lang w:bidi="en-US"/>
        </w:rPr>
        <w:t>For details of the timing on acceptance and upload of Bids in the Stock Exchange platform Bidders are requested to refer to the DRHP.</w:t>
      </w:r>
    </w:p>
    <w:p w14:paraId="310A11B2" w14:textId="77777777" w:rsidR="004047F2" w:rsidRDefault="004047F2" w:rsidP="004047F2">
      <w:pPr>
        <w:spacing w:after="0" w:line="240" w:lineRule="auto"/>
        <w:contextualSpacing/>
        <w:jc w:val="both"/>
        <w:rPr>
          <w:rFonts w:ascii="Times New Roman" w:eastAsia="Calibri" w:hAnsi="Times New Roman"/>
          <w:color w:val="000000"/>
          <w:sz w:val="20"/>
          <w:szCs w:val="20"/>
          <w:lang w:bidi="en-US"/>
        </w:rPr>
      </w:pPr>
    </w:p>
    <w:p w14:paraId="3129A43F" w14:textId="258EDB48" w:rsidR="00636B58" w:rsidRPr="00712F3C" w:rsidRDefault="00636B58" w:rsidP="004047F2">
      <w:pPr>
        <w:spacing w:after="0" w:line="240" w:lineRule="auto"/>
        <w:contextualSpacing/>
        <w:jc w:val="both"/>
        <w:rPr>
          <w:rFonts w:ascii="Times New Roman" w:eastAsia="Calibri" w:hAnsi="Times New Roman"/>
          <w:color w:val="000000"/>
          <w:sz w:val="20"/>
          <w:szCs w:val="20"/>
          <w:lang w:bidi="en-US"/>
        </w:rPr>
      </w:pPr>
      <w:r>
        <w:rPr>
          <w:rFonts w:ascii="Times New Roman" w:eastAsia="Calibri" w:hAnsi="Times New Roman"/>
          <w:color w:val="000000"/>
          <w:sz w:val="20"/>
          <w:szCs w:val="20"/>
          <w:lang w:bidi="en-US"/>
        </w:rPr>
        <w:t xml:space="preserve"> </w:t>
      </w:r>
    </w:p>
    <w:p w14:paraId="6A55B440" w14:textId="77777777" w:rsidR="004047F2" w:rsidRPr="00712F3C" w:rsidRDefault="004047F2" w:rsidP="004047F2">
      <w:pPr>
        <w:widowControl w:val="0"/>
        <w:spacing w:after="0" w:line="240" w:lineRule="auto"/>
        <w:contextualSpacing/>
        <w:jc w:val="both"/>
        <w:rPr>
          <w:rFonts w:ascii="Times New Roman" w:eastAsia="Calibri" w:hAnsi="Times New Roman"/>
          <w:b/>
          <w:sz w:val="20"/>
          <w:szCs w:val="20"/>
          <w:u w:val="single"/>
          <w:lang w:bidi="en-US"/>
        </w:rPr>
      </w:pPr>
      <w:r w:rsidRPr="00712F3C">
        <w:rPr>
          <w:rFonts w:ascii="Times New Roman" w:eastAsia="Calibri" w:hAnsi="Times New Roman"/>
          <w:b/>
          <w:sz w:val="20"/>
          <w:szCs w:val="20"/>
          <w:u w:val="single"/>
          <w:lang w:bidi="en-US"/>
        </w:rPr>
        <w:lastRenderedPageBreak/>
        <w:t>GROUNDS OF TECHNICAL REJECTIONS</w:t>
      </w:r>
    </w:p>
    <w:p w14:paraId="74F0EC3D"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p>
    <w:p w14:paraId="59A3DD10"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bookmarkStart w:id="115" w:name="_DV_C851"/>
      <w:r w:rsidRPr="00712F3C">
        <w:rPr>
          <w:rFonts w:ascii="Times New Roman" w:eastAsia="Calibri" w:hAnsi="Times New Roman"/>
          <w:sz w:val="20"/>
          <w:szCs w:val="20"/>
          <w:lang w:bidi="en-US"/>
        </w:rPr>
        <w:t xml:space="preserve">Bidders are advised to note that Bids are liable to be rejected inter alia on the following technical grounds: </w:t>
      </w:r>
    </w:p>
    <w:p w14:paraId="7E64A738"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p>
    <w:p w14:paraId="76700B92" w14:textId="77777777" w:rsidR="004047F2" w:rsidRPr="00712F3C" w:rsidRDefault="004047F2">
      <w:pPr>
        <w:widowControl w:val="0"/>
        <w:numPr>
          <w:ilvl w:val="0"/>
          <w:numId w:val="304"/>
        </w:numPr>
        <w:autoSpaceDE w:val="0"/>
        <w:autoSpaceDN w:val="0"/>
        <w:adjustRightInd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 xml:space="preserve">Amount blocked does not tally with the amount payable for the Equity Shares applied for; </w:t>
      </w:r>
    </w:p>
    <w:p w14:paraId="4378E689" w14:textId="77777777" w:rsidR="004047F2" w:rsidRPr="00712F3C" w:rsidRDefault="004047F2">
      <w:pPr>
        <w:widowControl w:val="0"/>
        <w:numPr>
          <w:ilvl w:val="0"/>
          <w:numId w:val="304"/>
        </w:numPr>
        <w:autoSpaceDE w:val="0"/>
        <w:autoSpaceDN w:val="0"/>
        <w:adjustRightInd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 xml:space="preserve">In case of partnership firms, Equity Shares may be registered in the names of the individual partners and no firm as such shall be entitled to apply; </w:t>
      </w:r>
    </w:p>
    <w:p w14:paraId="1030F169" w14:textId="77777777" w:rsidR="004047F2" w:rsidRPr="00712F3C" w:rsidRDefault="004047F2">
      <w:pPr>
        <w:widowControl w:val="0"/>
        <w:numPr>
          <w:ilvl w:val="0"/>
          <w:numId w:val="304"/>
        </w:numPr>
        <w:autoSpaceDE w:val="0"/>
        <w:autoSpaceDN w:val="0"/>
        <w:adjustRightInd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 xml:space="preserve">Bid by persons not competent to contract under the Indian Contract Act, 1872 including minors, insane persons; </w:t>
      </w:r>
    </w:p>
    <w:p w14:paraId="40AA023D" w14:textId="77777777" w:rsidR="004047F2" w:rsidRPr="00712F3C" w:rsidRDefault="004047F2">
      <w:pPr>
        <w:widowControl w:val="0"/>
        <w:numPr>
          <w:ilvl w:val="0"/>
          <w:numId w:val="304"/>
        </w:numPr>
        <w:autoSpaceDE w:val="0"/>
        <w:autoSpaceDN w:val="0"/>
        <w:adjustRightInd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 xml:space="preserve">PAN not mentioned in the Bid cum Application Form; </w:t>
      </w:r>
    </w:p>
    <w:p w14:paraId="5524C7BC" w14:textId="77777777" w:rsidR="004047F2" w:rsidRPr="00712F3C" w:rsidRDefault="004047F2">
      <w:pPr>
        <w:widowControl w:val="0"/>
        <w:numPr>
          <w:ilvl w:val="0"/>
          <w:numId w:val="304"/>
        </w:numPr>
        <w:autoSpaceDE w:val="0"/>
        <w:autoSpaceDN w:val="0"/>
        <w:adjustRightInd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 xml:space="preserve">Bids at a price less than the Floor Price and Bids at a price more than the Cap Price; </w:t>
      </w:r>
    </w:p>
    <w:p w14:paraId="7F0F4E83" w14:textId="77777777" w:rsidR="004047F2" w:rsidRPr="00712F3C" w:rsidRDefault="004047F2">
      <w:pPr>
        <w:widowControl w:val="0"/>
        <w:numPr>
          <w:ilvl w:val="0"/>
          <w:numId w:val="304"/>
        </w:numPr>
        <w:autoSpaceDE w:val="0"/>
        <w:autoSpaceDN w:val="0"/>
        <w:adjustRightInd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GIR number furnished instead of PAN;</w:t>
      </w:r>
    </w:p>
    <w:p w14:paraId="0943E1EB" w14:textId="77777777" w:rsidR="004047F2" w:rsidRPr="00712F3C" w:rsidRDefault="004047F2">
      <w:pPr>
        <w:widowControl w:val="0"/>
        <w:numPr>
          <w:ilvl w:val="0"/>
          <w:numId w:val="304"/>
        </w:numPr>
        <w:autoSpaceDE w:val="0"/>
        <w:autoSpaceDN w:val="0"/>
        <w:adjustRightInd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 xml:space="preserve">Bid for lower number of Equity Shares than specified for that category of investors; </w:t>
      </w:r>
    </w:p>
    <w:p w14:paraId="0C3E9E42" w14:textId="77777777" w:rsidR="004047F2" w:rsidRPr="00712F3C" w:rsidRDefault="004047F2">
      <w:pPr>
        <w:widowControl w:val="0"/>
        <w:numPr>
          <w:ilvl w:val="0"/>
          <w:numId w:val="304"/>
        </w:numPr>
        <w:autoSpaceDE w:val="0"/>
        <w:autoSpaceDN w:val="0"/>
        <w:adjustRightInd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 xml:space="preserve">Bids at Cut-off Price by NIIs and QIBs; </w:t>
      </w:r>
    </w:p>
    <w:p w14:paraId="594A120E" w14:textId="77777777" w:rsidR="004047F2" w:rsidRPr="00712F3C" w:rsidRDefault="004047F2">
      <w:pPr>
        <w:widowControl w:val="0"/>
        <w:numPr>
          <w:ilvl w:val="0"/>
          <w:numId w:val="304"/>
        </w:numPr>
        <w:autoSpaceDE w:val="0"/>
        <w:autoSpaceDN w:val="0"/>
        <w:adjustRightInd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 xml:space="preserve">Bids for number of Equity Shares which are not in multiples Equity Shares which are not in multiples as specified in the DRHP; </w:t>
      </w:r>
    </w:p>
    <w:p w14:paraId="09A39940" w14:textId="77777777" w:rsidR="004047F2" w:rsidRPr="00712F3C" w:rsidRDefault="004047F2">
      <w:pPr>
        <w:widowControl w:val="0"/>
        <w:numPr>
          <w:ilvl w:val="0"/>
          <w:numId w:val="304"/>
        </w:numPr>
        <w:autoSpaceDE w:val="0"/>
        <w:autoSpaceDN w:val="0"/>
        <w:adjustRightInd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 xml:space="preserve">The amounts mentioned in the Bid cum Application Form/Application Form does not tally with the amount payable for the value of the Equity Shares Bid/Applied for; </w:t>
      </w:r>
    </w:p>
    <w:p w14:paraId="643AF0E2" w14:textId="77777777" w:rsidR="004047F2" w:rsidRPr="00712F3C" w:rsidRDefault="004047F2">
      <w:pPr>
        <w:widowControl w:val="0"/>
        <w:numPr>
          <w:ilvl w:val="0"/>
          <w:numId w:val="304"/>
        </w:numPr>
        <w:autoSpaceDE w:val="0"/>
        <w:autoSpaceDN w:val="0"/>
        <w:adjustRightInd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 xml:space="preserve">Bids for lower number of Equity Shares than the minimum specified for that category of investors; </w:t>
      </w:r>
    </w:p>
    <w:p w14:paraId="4437F6A0" w14:textId="77777777" w:rsidR="004047F2" w:rsidRPr="00712F3C" w:rsidRDefault="004047F2">
      <w:pPr>
        <w:widowControl w:val="0"/>
        <w:numPr>
          <w:ilvl w:val="0"/>
          <w:numId w:val="304"/>
        </w:numPr>
        <w:autoSpaceDE w:val="0"/>
        <w:autoSpaceDN w:val="0"/>
        <w:adjustRightInd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 xml:space="preserve">Category not ticked; </w:t>
      </w:r>
    </w:p>
    <w:p w14:paraId="31FD40E0" w14:textId="77777777" w:rsidR="004047F2" w:rsidRPr="00712F3C" w:rsidRDefault="004047F2">
      <w:pPr>
        <w:widowControl w:val="0"/>
        <w:numPr>
          <w:ilvl w:val="0"/>
          <w:numId w:val="304"/>
        </w:numPr>
        <w:autoSpaceDE w:val="0"/>
        <w:autoSpaceDN w:val="0"/>
        <w:adjustRightInd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 xml:space="preserve">Multiple Bids as defined in the DRHP; </w:t>
      </w:r>
    </w:p>
    <w:p w14:paraId="5BAEA8AA" w14:textId="77777777" w:rsidR="004047F2" w:rsidRPr="00712F3C" w:rsidRDefault="004047F2">
      <w:pPr>
        <w:widowControl w:val="0"/>
        <w:numPr>
          <w:ilvl w:val="0"/>
          <w:numId w:val="304"/>
        </w:numPr>
        <w:autoSpaceDE w:val="0"/>
        <w:autoSpaceDN w:val="0"/>
        <w:adjustRightInd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 xml:space="preserve">In case of Bids under power of attorney or by limited companies, corporate, trust etc., where relevant documents are not submitted; </w:t>
      </w:r>
    </w:p>
    <w:p w14:paraId="5689730C" w14:textId="77777777" w:rsidR="004047F2" w:rsidRPr="00712F3C" w:rsidRDefault="004047F2">
      <w:pPr>
        <w:widowControl w:val="0"/>
        <w:numPr>
          <w:ilvl w:val="0"/>
          <w:numId w:val="304"/>
        </w:numPr>
        <w:autoSpaceDE w:val="0"/>
        <w:autoSpaceDN w:val="0"/>
        <w:adjustRightInd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 xml:space="preserve">Bid accompanied by Stock invest/ money order/ postal order/ cash/ cheque/ demand draft/ pay order; </w:t>
      </w:r>
    </w:p>
    <w:p w14:paraId="720F85C6" w14:textId="77777777" w:rsidR="004047F2" w:rsidRPr="00712F3C" w:rsidRDefault="004047F2">
      <w:pPr>
        <w:widowControl w:val="0"/>
        <w:numPr>
          <w:ilvl w:val="0"/>
          <w:numId w:val="304"/>
        </w:numPr>
        <w:autoSpaceDE w:val="0"/>
        <w:autoSpaceDN w:val="0"/>
        <w:adjustRightInd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 xml:space="preserve">Signature of sole Bidder is missing; </w:t>
      </w:r>
    </w:p>
    <w:p w14:paraId="588BE4C7" w14:textId="77777777" w:rsidR="004047F2" w:rsidRPr="00712F3C" w:rsidRDefault="004047F2">
      <w:pPr>
        <w:widowControl w:val="0"/>
        <w:numPr>
          <w:ilvl w:val="0"/>
          <w:numId w:val="304"/>
        </w:numPr>
        <w:autoSpaceDE w:val="0"/>
        <w:autoSpaceDN w:val="0"/>
        <w:adjustRightInd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 xml:space="preserve">Bid cum Application Forms not delivered by the Bidder within the time prescribed as per the Bid cum Application Forms, Bid/Issue Opening Date advertisement and the DRHP and as per the instructions in the DRHP and the Bid cum Application Forms; </w:t>
      </w:r>
    </w:p>
    <w:p w14:paraId="09D49D35" w14:textId="16832366" w:rsidR="004047F2" w:rsidRPr="00712F3C" w:rsidRDefault="004047F2">
      <w:pPr>
        <w:widowControl w:val="0"/>
        <w:numPr>
          <w:ilvl w:val="0"/>
          <w:numId w:val="304"/>
        </w:numPr>
        <w:autoSpaceDE w:val="0"/>
        <w:autoSpaceDN w:val="0"/>
        <w:adjustRightInd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In case no corresponding record is available with the Depositories that matches three parameters namely, names of the Bidders (including the order of names of joint holders),</w:t>
      </w:r>
      <w:bookmarkStart w:id="116" w:name="_DV_C852"/>
      <w:bookmarkEnd w:id="115"/>
      <w:r w:rsidR="00636B58">
        <w:rPr>
          <w:rFonts w:ascii="Times New Roman" w:eastAsia="Calibri" w:hAnsi="Times New Roman"/>
          <w:sz w:val="20"/>
          <w:szCs w:val="20"/>
          <w:lang w:bidi="en-US"/>
        </w:rPr>
        <w:t xml:space="preserve"> </w:t>
      </w:r>
      <w:r w:rsidRPr="00712F3C">
        <w:rPr>
          <w:rFonts w:ascii="Times New Roman" w:eastAsia="Calibri" w:hAnsi="Times New Roman"/>
          <w:sz w:val="20"/>
          <w:szCs w:val="20"/>
          <w:lang w:bidi="en-US"/>
        </w:rPr>
        <w:t>the Depository Participant</w:t>
      </w:r>
      <w:r w:rsidR="00636B58">
        <w:rPr>
          <w:rFonts w:ascii="Times New Roman" w:eastAsia="Calibri" w:hAnsi="Times New Roman"/>
          <w:sz w:val="20"/>
          <w:szCs w:val="20"/>
          <w:lang w:bidi="en-US"/>
        </w:rPr>
        <w:t>’</w:t>
      </w:r>
      <w:r w:rsidRPr="00712F3C">
        <w:rPr>
          <w:rFonts w:ascii="Times New Roman" w:eastAsia="Calibri" w:hAnsi="Times New Roman"/>
          <w:sz w:val="20"/>
          <w:szCs w:val="20"/>
          <w:lang w:bidi="en-US"/>
        </w:rPr>
        <w:t xml:space="preserve">s identity (DP ID) and the beneficiary‘s account number; </w:t>
      </w:r>
    </w:p>
    <w:p w14:paraId="3C9FB7D8" w14:textId="77777777" w:rsidR="004047F2" w:rsidRPr="00712F3C" w:rsidRDefault="004047F2">
      <w:pPr>
        <w:widowControl w:val="0"/>
        <w:numPr>
          <w:ilvl w:val="0"/>
          <w:numId w:val="304"/>
        </w:numPr>
        <w:autoSpaceDE w:val="0"/>
        <w:autoSpaceDN w:val="0"/>
        <w:adjustRightInd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 xml:space="preserve">Bids for amounts greater than the maximum permissible amounts prescribed by the regulations; </w:t>
      </w:r>
    </w:p>
    <w:p w14:paraId="565CBF25" w14:textId="77777777" w:rsidR="004047F2" w:rsidRPr="00712F3C" w:rsidRDefault="004047F2">
      <w:pPr>
        <w:widowControl w:val="0"/>
        <w:numPr>
          <w:ilvl w:val="0"/>
          <w:numId w:val="304"/>
        </w:numPr>
        <w:autoSpaceDE w:val="0"/>
        <w:autoSpaceDN w:val="0"/>
        <w:adjustRightInd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 xml:space="preserve">Bid by OCBs; </w:t>
      </w:r>
    </w:p>
    <w:p w14:paraId="3F1DDAF0" w14:textId="77777777" w:rsidR="004047F2" w:rsidRPr="00712F3C" w:rsidRDefault="004047F2">
      <w:pPr>
        <w:widowControl w:val="0"/>
        <w:numPr>
          <w:ilvl w:val="0"/>
          <w:numId w:val="304"/>
        </w:numPr>
        <w:autoSpaceDE w:val="0"/>
        <w:autoSpaceDN w:val="0"/>
        <w:adjustRightInd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Bids by US persons other than in reliance on Regulation S or “qualified institutional</w:t>
      </w:r>
      <w:bookmarkStart w:id="117" w:name="_DV_C853"/>
      <w:bookmarkEnd w:id="116"/>
      <w:r w:rsidRPr="00712F3C">
        <w:rPr>
          <w:rFonts w:ascii="Times New Roman" w:eastAsia="Calibri" w:hAnsi="Times New Roman"/>
          <w:sz w:val="20"/>
          <w:szCs w:val="20"/>
          <w:lang w:bidi="en-US"/>
        </w:rPr>
        <w:t xml:space="preserve"> buyers” as defined in Rule 144A under the Securities Act;</w:t>
      </w:r>
      <w:bookmarkEnd w:id="117"/>
    </w:p>
    <w:p w14:paraId="7765039F" w14:textId="77777777" w:rsidR="004047F2" w:rsidRPr="00712F3C" w:rsidRDefault="004047F2">
      <w:pPr>
        <w:widowControl w:val="0"/>
        <w:numPr>
          <w:ilvl w:val="0"/>
          <w:numId w:val="304"/>
        </w:numPr>
        <w:autoSpaceDE w:val="0"/>
        <w:autoSpaceDN w:val="0"/>
        <w:adjustRightInd w:val="0"/>
        <w:spacing w:after="0" w:line="240" w:lineRule="auto"/>
        <w:contextualSpacing/>
        <w:jc w:val="both"/>
        <w:rPr>
          <w:rFonts w:ascii="Times New Roman" w:eastAsia="Calibri" w:hAnsi="Times New Roman"/>
          <w:sz w:val="20"/>
          <w:szCs w:val="20"/>
          <w:lang w:bidi="en-US"/>
        </w:rPr>
      </w:pPr>
      <w:bookmarkStart w:id="118" w:name="_DV_C860"/>
      <w:r w:rsidRPr="00712F3C">
        <w:rPr>
          <w:rFonts w:ascii="Times New Roman" w:eastAsia="Calibri" w:hAnsi="Times New Roman"/>
          <w:sz w:val="20"/>
          <w:szCs w:val="20"/>
          <w:lang w:bidi="en-US"/>
        </w:rPr>
        <w:t>Inadequate funds in the bank account to block the Bid Amount specified in the Bid cum Application Form/Application Form at the time of blocking such Bid Amount in the bank account;</w:t>
      </w:r>
    </w:p>
    <w:p w14:paraId="7948F42D" w14:textId="77777777" w:rsidR="004047F2" w:rsidRPr="00712F3C" w:rsidRDefault="004047F2">
      <w:pPr>
        <w:widowControl w:val="0"/>
        <w:numPr>
          <w:ilvl w:val="0"/>
          <w:numId w:val="304"/>
        </w:numPr>
        <w:autoSpaceDE w:val="0"/>
        <w:autoSpaceDN w:val="0"/>
        <w:adjustRightInd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 xml:space="preserve">Bids not uploaded on the terminals of the Stock Exchanges; </w:t>
      </w:r>
    </w:p>
    <w:p w14:paraId="7ECC67A4" w14:textId="77777777" w:rsidR="004047F2" w:rsidRPr="00712F3C" w:rsidRDefault="004047F2">
      <w:pPr>
        <w:widowControl w:val="0"/>
        <w:numPr>
          <w:ilvl w:val="0"/>
          <w:numId w:val="304"/>
        </w:numPr>
        <w:autoSpaceDE w:val="0"/>
        <w:autoSpaceDN w:val="0"/>
        <w:adjustRightInd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Where no confirmation is received from SCSB for blocking of funds;</w:t>
      </w:r>
    </w:p>
    <w:p w14:paraId="02B1042E" w14:textId="77777777" w:rsidR="004047F2" w:rsidRPr="00712F3C" w:rsidRDefault="004047F2">
      <w:pPr>
        <w:widowControl w:val="0"/>
        <w:numPr>
          <w:ilvl w:val="0"/>
          <w:numId w:val="304"/>
        </w:numPr>
        <w:autoSpaceDE w:val="0"/>
        <w:autoSpaceDN w:val="0"/>
        <w:adjustRightInd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 xml:space="preserve">Bids by SCSBs wherein a separate account in its own name held with any other SCSB is not mentioned as the ASBA Account in the Bid cum Application Form/Application Form. Bids not duly signed by the sole/First Bidder; </w:t>
      </w:r>
    </w:p>
    <w:p w14:paraId="5BFA0717" w14:textId="77777777" w:rsidR="004047F2" w:rsidRPr="00712F3C" w:rsidRDefault="004047F2">
      <w:pPr>
        <w:widowControl w:val="0"/>
        <w:numPr>
          <w:ilvl w:val="0"/>
          <w:numId w:val="304"/>
        </w:numPr>
        <w:autoSpaceDE w:val="0"/>
        <w:autoSpaceDN w:val="0"/>
        <w:adjustRightInd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 xml:space="preserve">Bids by any persons outside India if not in compliance with applicable foreign and Indian laws; </w:t>
      </w:r>
    </w:p>
    <w:p w14:paraId="21EEE7E8" w14:textId="77777777" w:rsidR="004047F2" w:rsidRPr="00712F3C" w:rsidRDefault="004047F2">
      <w:pPr>
        <w:widowControl w:val="0"/>
        <w:numPr>
          <w:ilvl w:val="0"/>
          <w:numId w:val="304"/>
        </w:numPr>
        <w:autoSpaceDE w:val="0"/>
        <w:autoSpaceDN w:val="0"/>
        <w:adjustRightInd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Bids that do not comply with the securities laws of their respective jurisdictions are liable to be rejected;</w:t>
      </w:r>
    </w:p>
    <w:p w14:paraId="654384FF" w14:textId="77777777" w:rsidR="004047F2" w:rsidRPr="00712F3C" w:rsidRDefault="004047F2">
      <w:pPr>
        <w:widowControl w:val="0"/>
        <w:numPr>
          <w:ilvl w:val="0"/>
          <w:numId w:val="304"/>
        </w:numPr>
        <w:autoSpaceDE w:val="0"/>
        <w:autoSpaceDN w:val="0"/>
        <w:adjustRightInd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 xml:space="preserve">Bids by persons prohibited from buying, selling or dealing in the shares directly or indirectly by SEBI or any other regulatory authority; </w:t>
      </w:r>
    </w:p>
    <w:p w14:paraId="6A52230B" w14:textId="77777777" w:rsidR="004047F2" w:rsidRPr="00712F3C" w:rsidRDefault="004047F2">
      <w:pPr>
        <w:widowControl w:val="0"/>
        <w:numPr>
          <w:ilvl w:val="0"/>
          <w:numId w:val="304"/>
        </w:numPr>
        <w:autoSpaceDE w:val="0"/>
        <w:autoSpaceDN w:val="0"/>
        <w:adjustRightInd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Bids by persons who are not eligible to acquire Equity Shares of the Company in terms of all applicable laws, rules, regulations, guidelines, and approvals; and</w:t>
      </w:r>
    </w:p>
    <w:p w14:paraId="6C17593A" w14:textId="77777777" w:rsidR="004047F2" w:rsidRPr="00712F3C" w:rsidRDefault="004047F2">
      <w:pPr>
        <w:widowControl w:val="0"/>
        <w:numPr>
          <w:ilvl w:val="0"/>
          <w:numId w:val="304"/>
        </w:numPr>
        <w:autoSpaceDE w:val="0"/>
        <w:autoSpaceDN w:val="0"/>
        <w:adjustRightInd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Details of ASBA Account not provided in the Bid cum Application form</w:t>
      </w:r>
      <w:bookmarkEnd w:id="118"/>
      <w:r w:rsidRPr="00712F3C">
        <w:rPr>
          <w:rFonts w:ascii="Times New Roman" w:eastAsia="Calibri" w:hAnsi="Times New Roman"/>
          <w:sz w:val="20"/>
          <w:szCs w:val="20"/>
          <w:lang w:bidi="en-US"/>
        </w:rPr>
        <w:t>.</w:t>
      </w:r>
    </w:p>
    <w:p w14:paraId="56C6E60D"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bookmarkStart w:id="119" w:name="_DV_C861"/>
    </w:p>
    <w:p w14:paraId="277474CA"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For details of instructions in relation to the Bid cum Application Form, Bidders may refer to the relevant section the GID.</w:t>
      </w:r>
      <w:bookmarkEnd w:id="119"/>
    </w:p>
    <w:p w14:paraId="39B12AB9"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p>
    <w:p w14:paraId="5CC0BDAB" w14:textId="77777777" w:rsidR="004047F2" w:rsidRPr="00712F3C" w:rsidRDefault="004047F2" w:rsidP="004047F2">
      <w:pPr>
        <w:widowControl w:val="0"/>
        <w:tabs>
          <w:tab w:val="left" w:pos="1140"/>
          <w:tab w:val="left" w:pos="1580"/>
          <w:tab w:val="left" w:pos="3100"/>
          <w:tab w:val="left" w:pos="3540"/>
          <w:tab w:val="left" w:pos="4220"/>
          <w:tab w:val="left" w:pos="5880"/>
          <w:tab w:val="left" w:pos="7320"/>
          <w:tab w:val="left" w:pos="8000"/>
          <w:tab w:val="left" w:pos="8580"/>
        </w:tabs>
        <w:spacing w:after="0" w:line="240" w:lineRule="auto"/>
        <w:contextualSpacing/>
        <w:jc w:val="both"/>
        <w:rPr>
          <w:rFonts w:ascii="Times New Roman" w:eastAsia="Calibri" w:hAnsi="Times New Roman"/>
          <w:b/>
          <w:sz w:val="20"/>
          <w:szCs w:val="20"/>
          <w:lang w:bidi="en-US"/>
        </w:rPr>
      </w:pPr>
      <w:r w:rsidRPr="00712F3C">
        <w:rPr>
          <w:rFonts w:ascii="Times New Roman" w:eastAsia="Calibri" w:hAnsi="Times New Roman"/>
          <w:b/>
          <w:sz w:val="20"/>
          <w:szCs w:val="20"/>
          <w:lang w:bidi="en-US"/>
        </w:rPr>
        <w:t>BIDDERS SHOULD NOTE THAT IN CASE THE PAN, THE DP ID AND CLIENT ID MENTIONED IN THE BID CUM APPLICATION FORM AND ENTERED INTO THE ELECTRONIC APPLICATION SYSTEM OF THE STOCK EXCHANGES BY THE BIDS COLLECTING INTERMEDIARIES DO NOT MATCH WITH PAN, THE DP ID AND CLIENT ID AVAILABLE IN THE DEPOSITORY DATABASE, THE BID CUM APPLICATION FORM IS LIABLE TO BE REJECTED.</w:t>
      </w:r>
    </w:p>
    <w:p w14:paraId="69392761" w14:textId="77777777" w:rsidR="004047F2" w:rsidRPr="00712F3C" w:rsidRDefault="004047F2" w:rsidP="004047F2">
      <w:pPr>
        <w:widowControl w:val="0"/>
        <w:tabs>
          <w:tab w:val="left" w:pos="1140"/>
          <w:tab w:val="left" w:pos="1580"/>
          <w:tab w:val="left" w:pos="3100"/>
          <w:tab w:val="left" w:pos="3540"/>
          <w:tab w:val="left" w:pos="4220"/>
          <w:tab w:val="left" w:pos="5880"/>
          <w:tab w:val="left" w:pos="7320"/>
          <w:tab w:val="left" w:pos="8000"/>
          <w:tab w:val="left" w:pos="8580"/>
        </w:tabs>
        <w:spacing w:after="0" w:line="240" w:lineRule="auto"/>
        <w:contextualSpacing/>
        <w:jc w:val="both"/>
        <w:rPr>
          <w:rFonts w:ascii="Times New Roman" w:eastAsia="Calibri" w:hAnsi="Times New Roman"/>
          <w:sz w:val="20"/>
          <w:szCs w:val="20"/>
          <w:lang w:bidi="en-US"/>
        </w:rPr>
      </w:pPr>
    </w:p>
    <w:p w14:paraId="50A8A168" w14:textId="77777777" w:rsidR="004047F2" w:rsidRPr="00712F3C" w:rsidRDefault="004047F2" w:rsidP="004047F2">
      <w:pPr>
        <w:widowControl w:val="0"/>
        <w:spacing w:after="0" w:line="240" w:lineRule="auto"/>
        <w:contextualSpacing/>
        <w:jc w:val="both"/>
        <w:rPr>
          <w:rFonts w:ascii="Times New Roman" w:eastAsia="Calibri" w:hAnsi="Times New Roman"/>
          <w:b/>
          <w:sz w:val="20"/>
          <w:szCs w:val="20"/>
          <w:lang w:bidi="en-US"/>
        </w:rPr>
      </w:pPr>
      <w:r w:rsidRPr="00712F3C">
        <w:rPr>
          <w:rFonts w:ascii="Times New Roman" w:eastAsia="Calibri" w:hAnsi="Times New Roman"/>
          <w:b/>
          <w:sz w:val="20"/>
          <w:szCs w:val="20"/>
          <w:lang w:bidi="en-US"/>
        </w:rPr>
        <w:t>BASIS OF ALLOCATION</w:t>
      </w:r>
    </w:p>
    <w:p w14:paraId="70450592"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p>
    <w:p w14:paraId="22F3965F" w14:textId="77777777" w:rsidR="004047F2" w:rsidRPr="00712F3C" w:rsidRDefault="004047F2">
      <w:pPr>
        <w:pStyle w:val="ListParagraph"/>
        <w:widowControl w:val="0"/>
        <w:numPr>
          <w:ilvl w:val="0"/>
          <w:numId w:val="293"/>
        </w:numPr>
        <w:suppressAutoHyphens w:val="0"/>
        <w:spacing w:line="240" w:lineRule="auto"/>
        <w:ind w:left="720" w:hanging="450"/>
        <w:contextualSpacing/>
        <w:jc w:val="both"/>
        <w:textAlignment w:val="auto"/>
        <w:rPr>
          <w:rFonts w:eastAsia="Calibri"/>
          <w:sz w:val="20"/>
          <w:szCs w:val="20"/>
          <w:lang w:bidi="en-US"/>
        </w:rPr>
      </w:pPr>
      <w:bookmarkStart w:id="120" w:name="_DV_C865"/>
      <w:r w:rsidRPr="00712F3C">
        <w:rPr>
          <w:rFonts w:eastAsia="Calibri"/>
          <w:sz w:val="20"/>
          <w:szCs w:val="20"/>
          <w:lang w:bidi="en-US"/>
        </w:rPr>
        <w:t>The SEBI (ICDR) Regulations specify the allocation or Allotment that may be made to various categories of Bidders in an Issue depending on compliance with the eligibility conditions. Certain details pertaining to the percentage of Issue size available for allocation to each category is disclosed overleaf of the Bid cum Application Form and in the DRHP. For details in relation to allocation, the Bidder may refer to the RHP.</w:t>
      </w:r>
      <w:bookmarkStart w:id="121" w:name="_DV_C866"/>
      <w:bookmarkEnd w:id="120"/>
    </w:p>
    <w:p w14:paraId="75DC7660" w14:textId="77777777" w:rsidR="004047F2" w:rsidRPr="00712F3C" w:rsidRDefault="004047F2" w:rsidP="004047F2">
      <w:pPr>
        <w:pStyle w:val="ListParagraph"/>
        <w:spacing w:line="240" w:lineRule="auto"/>
        <w:ind w:hanging="450"/>
        <w:contextualSpacing/>
        <w:jc w:val="both"/>
        <w:rPr>
          <w:rFonts w:eastAsia="Calibri"/>
          <w:sz w:val="20"/>
          <w:szCs w:val="20"/>
          <w:lang w:bidi="en-US"/>
        </w:rPr>
      </w:pPr>
    </w:p>
    <w:p w14:paraId="25B64619" w14:textId="77777777" w:rsidR="004047F2" w:rsidRPr="00712F3C" w:rsidRDefault="004047F2">
      <w:pPr>
        <w:pStyle w:val="ListParagraph"/>
        <w:widowControl w:val="0"/>
        <w:numPr>
          <w:ilvl w:val="0"/>
          <w:numId w:val="293"/>
        </w:numPr>
        <w:suppressAutoHyphens w:val="0"/>
        <w:spacing w:line="240" w:lineRule="auto"/>
        <w:ind w:left="720" w:hanging="450"/>
        <w:contextualSpacing/>
        <w:jc w:val="both"/>
        <w:textAlignment w:val="auto"/>
        <w:rPr>
          <w:rFonts w:eastAsia="Calibri"/>
          <w:sz w:val="20"/>
          <w:szCs w:val="20"/>
          <w:lang w:bidi="en-US"/>
        </w:rPr>
      </w:pPr>
      <w:bookmarkStart w:id="122" w:name="_DV_C867"/>
      <w:bookmarkEnd w:id="121"/>
      <w:r w:rsidRPr="00712F3C">
        <w:rPr>
          <w:rFonts w:eastAsia="Calibri"/>
          <w:sz w:val="20"/>
          <w:szCs w:val="20"/>
          <w:lang w:bidi="en-US"/>
        </w:rPr>
        <w:t>Under-subscription in any category (except QIB Category) is allowed to be met with spill over from any other category or combination of categories at the discretion of the Issuer and in consultation with the BRLM and the Designated Stock Exchange and in accordance with the SEBI (ICDR) Regulations, Unsubscribed portion in QIB Category is not available for subscription to other categories.</w:t>
      </w:r>
      <w:bookmarkStart w:id="123" w:name="_DV_C869"/>
      <w:bookmarkEnd w:id="122"/>
    </w:p>
    <w:p w14:paraId="5CAC056C" w14:textId="77777777" w:rsidR="004047F2" w:rsidRPr="00712F3C" w:rsidRDefault="004047F2" w:rsidP="004047F2">
      <w:pPr>
        <w:pStyle w:val="ListParagraph"/>
        <w:spacing w:line="240" w:lineRule="auto"/>
        <w:ind w:hanging="450"/>
        <w:contextualSpacing/>
        <w:jc w:val="both"/>
        <w:rPr>
          <w:rFonts w:eastAsia="Calibri"/>
          <w:sz w:val="20"/>
          <w:szCs w:val="20"/>
          <w:lang w:bidi="en-US"/>
        </w:rPr>
      </w:pPr>
    </w:p>
    <w:p w14:paraId="4E58DFFE" w14:textId="77777777" w:rsidR="004047F2" w:rsidRPr="00712F3C" w:rsidRDefault="004047F2">
      <w:pPr>
        <w:pStyle w:val="ListParagraph"/>
        <w:widowControl w:val="0"/>
        <w:numPr>
          <w:ilvl w:val="0"/>
          <w:numId w:val="293"/>
        </w:numPr>
        <w:suppressAutoHyphens w:val="0"/>
        <w:spacing w:line="240" w:lineRule="auto"/>
        <w:ind w:left="720" w:hanging="450"/>
        <w:contextualSpacing/>
        <w:jc w:val="both"/>
        <w:textAlignment w:val="auto"/>
        <w:rPr>
          <w:rFonts w:eastAsia="Calibri"/>
          <w:sz w:val="20"/>
          <w:szCs w:val="20"/>
          <w:lang w:bidi="en-US"/>
        </w:rPr>
      </w:pPr>
      <w:r w:rsidRPr="00712F3C">
        <w:rPr>
          <w:rFonts w:eastAsia="Calibri"/>
          <w:sz w:val="20"/>
          <w:szCs w:val="20"/>
          <w:lang w:bidi="en-US"/>
        </w:rPr>
        <w:t>In case of under subscription in the issue, spill-over to the extent of such under- subscription may be permitted from the Reserved Portion to the Issue. For allocation in the event of an under-subscription applicable to the Issuer, Bidders may refer to the RHP.</w:t>
      </w:r>
      <w:bookmarkStart w:id="124" w:name="_DV_C871"/>
      <w:bookmarkEnd w:id="123"/>
    </w:p>
    <w:p w14:paraId="4295F25C" w14:textId="77777777" w:rsidR="004047F2" w:rsidRPr="00712F3C" w:rsidRDefault="004047F2" w:rsidP="004047F2">
      <w:pPr>
        <w:widowControl w:val="0"/>
        <w:autoSpaceDE w:val="0"/>
        <w:autoSpaceDN w:val="0"/>
        <w:adjustRightInd w:val="0"/>
        <w:spacing w:after="0" w:line="240" w:lineRule="auto"/>
        <w:contextualSpacing/>
        <w:jc w:val="both"/>
        <w:rPr>
          <w:rFonts w:ascii="Times New Roman" w:eastAsia="Calibri" w:hAnsi="Times New Roman"/>
          <w:sz w:val="20"/>
          <w:szCs w:val="20"/>
          <w:lang w:bidi="en-US"/>
        </w:rPr>
      </w:pPr>
    </w:p>
    <w:p w14:paraId="0D7F7A28" w14:textId="77777777" w:rsidR="004047F2" w:rsidRPr="00712F3C" w:rsidRDefault="004047F2" w:rsidP="004047F2">
      <w:pPr>
        <w:widowControl w:val="0"/>
        <w:spacing w:after="0" w:line="240" w:lineRule="auto"/>
        <w:contextualSpacing/>
        <w:jc w:val="both"/>
        <w:rPr>
          <w:rFonts w:ascii="Times New Roman" w:eastAsia="Calibri" w:hAnsi="Times New Roman"/>
          <w:b/>
          <w:sz w:val="20"/>
          <w:szCs w:val="20"/>
          <w:lang w:bidi="en-US"/>
        </w:rPr>
      </w:pPr>
      <w:bookmarkStart w:id="125" w:name="_DV_C903"/>
      <w:bookmarkEnd w:id="124"/>
      <w:r w:rsidRPr="00712F3C">
        <w:rPr>
          <w:rFonts w:ascii="Times New Roman" w:eastAsia="Calibri" w:hAnsi="Times New Roman"/>
          <w:b/>
          <w:sz w:val="20"/>
          <w:szCs w:val="20"/>
          <w:lang w:bidi="en-US"/>
        </w:rPr>
        <w:t>ALLOTMENT PROCEDURE AND BASIS OF ALLOTMENT</w:t>
      </w:r>
      <w:bookmarkEnd w:id="125"/>
    </w:p>
    <w:p w14:paraId="6E7E15FD"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bookmarkStart w:id="126" w:name="_DV_C904"/>
    </w:p>
    <w:p w14:paraId="761E735B"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The Allotment of Equity Shares to Bidders other than Retail Individual Investors and Anchor Investors may be on proportionate basis. For Basis of Allotment to Anchor Investors, Bidders may refer to DRHP. No Retail Individual Investor will be Allotted less than the minimum Bid Lot subject to availability of shares in Retail Individual Investor Category and the remaining available shares, if any will be Allotted on a proportionate basis. The Issuer is required to receive a minimum subscription of 90% of the Issue. However, in case the Issue is in the nature of Offer for Sale only, then minimum subscription may not be applicable.</w:t>
      </w:r>
      <w:bookmarkEnd w:id="126"/>
    </w:p>
    <w:p w14:paraId="093C725B" w14:textId="77777777" w:rsidR="004047F2" w:rsidRPr="00712F3C" w:rsidRDefault="004047F2" w:rsidP="004047F2">
      <w:pPr>
        <w:pStyle w:val="ListParagraph"/>
        <w:widowControl w:val="0"/>
        <w:suppressAutoHyphens w:val="0"/>
        <w:spacing w:line="240" w:lineRule="auto"/>
        <w:ind w:left="0"/>
        <w:contextualSpacing/>
        <w:jc w:val="both"/>
        <w:textAlignment w:val="auto"/>
        <w:rPr>
          <w:rFonts w:eastAsia="Calibri"/>
          <w:color w:val="auto"/>
          <w:sz w:val="20"/>
          <w:szCs w:val="20"/>
          <w:lang w:val="en-IN" w:bidi="en-US"/>
        </w:rPr>
      </w:pPr>
      <w:bookmarkStart w:id="127" w:name="_DV_C906"/>
    </w:p>
    <w:p w14:paraId="6EFBD01E" w14:textId="77777777" w:rsidR="004047F2" w:rsidRPr="00712F3C" w:rsidRDefault="004047F2" w:rsidP="004047F2">
      <w:pPr>
        <w:pStyle w:val="ListParagraph"/>
        <w:widowControl w:val="0"/>
        <w:suppressAutoHyphens w:val="0"/>
        <w:spacing w:line="240" w:lineRule="auto"/>
        <w:ind w:left="0"/>
        <w:contextualSpacing/>
        <w:jc w:val="both"/>
        <w:textAlignment w:val="auto"/>
        <w:rPr>
          <w:rFonts w:eastAsia="Calibri"/>
          <w:b/>
          <w:sz w:val="20"/>
          <w:szCs w:val="20"/>
          <w:lang w:bidi="en-US"/>
        </w:rPr>
      </w:pPr>
      <w:r w:rsidRPr="00712F3C">
        <w:rPr>
          <w:rFonts w:eastAsia="Calibri"/>
          <w:b/>
          <w:sz w:val="20"/>
          <w:szCs w:val="20"/>
          <w:lang w:bidi="en-US"/>
        </w:rPr>
        <w:t>BASIS OF ALLOTMENT</w:t>
      </w:r>
      <w:bookmarkEnd w:id="127"/>
    </w:p>
    <w:p w14:paraId="4D6BFE8B" w14:textId="77777777" w:rsidR="004047F2" w:rsidRPr="00712F3C" w:rsidRDefault="004047F2" w:rsidP="004047F2">
      <w:pPr>
        <w:pStyle w:val="ListParagraph"/>
        <w:spacing w:line="240" w:lineRule="auto"/>
        <w:ind w:left="0"/>
        <w:contextualSpacing/>
        <w:jc w:val="both"/>
        <w:rPr>
          <w:rFonts w:eastAsia="Calibri"/>
          <w:sz w:val="20"/>
          <w:szCs w:val="20"/>
          <w:lang w:bidi="en-US"/>
        </w:rPr>
      </w:pPr>
    </w:p>
    <w:p w14:paraId="4310E6D9" w14:textId="77777777" w:rsidR="004047F2" w:rsidRPr="00712F3C" w:rsidRDefault="004047F2">
      <w:pPr>
        <w:pStyle w:val="ListParagraph"/>
        <w:widowControl w:val="0"/>
        <w:numPr>
          <w:ilvl w:val="0"/>
          <w:numId w:val="294"/>
        </w:numPr>
        <w:suppressAutoHyphens w:val="0"/>
        <w:autoSpaceDE/>
        <w:autoSpaceDN/>
        <w:adjustRightInd/>
        <w:spacing w:line="240" w:lineRule="auto"/>
        <w:ind w:left="426" w:hanging="426"/>
        <w:contextualSpacing/>
        <w:jc w:val="both"/>
        <w:textAlignment w:val="auto"/>
        <w:rPr>
          <w:rFonts w:eastAsia="Calibri"/>
          <w:b/>
          <w:sz w:val="20"/>
          <w:szCs w:val="20"/>
          <w:lang w:bidi="en-US"/>
        </w:rPr>
      </w:pPr>
      <w:r w:rsidRPr="00712F3C">
        <w:rPr>
          <w:rFonts w:eastAsia="Calibri"/>
          <w:b/>
          <w:sz w:val="20"/>
          <w:szCs w:val="20"/>
          <w:lang w:bidi="en-US"/>
        </w:rPr>
        <w:t xml:space="preserve">For Retail Individual Bidders </w:t>
      </w:r>
    </w:p>
    <w:p w14:paraId="7A74F030" w14:textId="77777777" w:rsidR="004047F2" w:rsidRPr="00712F3C" w:rsidRDefault="004047F2" w:rsidP="004047F2">
      <w:pPr>
        <w:widowControl w:val="0"/>
        <w:spacing w:after="0" w:line="240" w:lineRule="auto"/>
        <w:ind w:left="720"/>
        <w:contextualSpacing/>
        <w:jc w:val="both"/>
        <w:rPr>
          <w:rFonts w:ascii="Times New Roman" w:eastAsia="Calibri" w:hAnsi="Times New Roman"/>
          <w:sz w:val="20"/>
          <w:szCs w:val="20"/>
          <w:lang w:bidi="en-US"/>
        </w:rPr>
      </w:pPr>
    </w:p>
    <w:p w14:paraId="732F6E13" w14:textId="77777777" w:rsidR="004047F2" w:rsidRPr="00712F3C" w:rsidRDefault="004047F2" w:rsidP="004047F2">
      <w:pPr>
        <w:widowControl w:val="0"/>
        <w:spacing w:after="0" w:line="240" w:lineRule="auto"/>
        <w:ind w:left="426"/>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 xml:space="preserve">Bids received from the Retail Individual Bidders at or above the Issue Price shall be grouped together to determine the total demand under this category. The Allotment to all the successful Retail Individual Bidders will be made at the Issue Price. </w:t>
      </w:r>
    </w:p>
    <w:p w14:paraId="7D9ECCDA" w14:textId="77777777" w:rsidR="004047F2" w:rsidRPr="00712F3C" w:rsidRDefault="004047F2" w:rsidP="004047F2">
      <w:pPr>
        <w:widowControl w:val="0"/>
        <w:spacing w:after="0" w:line="240" w:lineRule="auto"/>
        <w:ind w:left="426"/>
        <w:contextualSpacing/>
        <w:jc w:val="both"/>
        <w:rPr>
          <w:rFonts w:ascii="Times New Roman" w:eastAsia="Calibri" w:hAnsi="Times New Roman"/>
          <w:sz w:val="20"/>
          <w:szCs w:val="20"/>
          <w:lang w:bidi="en-US"/>
        </w:rPr>
      </w:pPr>
    </w:p>
    <w:p w14:paraId="5025D46F" w14:textId="77777777" w:rsidR="004047F2" w:rsidRPr="00712F3C" w:rsidRDefault="004047F2" w:rsidP="004047F2">
      <w:pPr>
        <w:widowControl w:val="0"/>
        <w:spacing w:after="0" w:line="240" w:lineRule="auto"/>
        <w:ind w:left="426"/>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 xml:space="preserve">The Issue size less Allotment to Non-Institutional and QIB Bidders shall be available for Allotment to Retail Individual Bidders who have Bid in the Issue at a price that is equal to or greater than the Issue Price. If the aggregate demand in this category is less than or equal to [●] Equity Shares at or above the Issue Price, full Allotment shall be made to the Retail Individual Bidders to the extent of their valid Bids. </w:t>
      </w:r>
    </w:p>
    <w:p w14:paraId="56538F4C" w14:textId="77777777" w:rsidR="004047F2" w:rsidRPr="00712F3C" w:rsidRDefault="004047F2" w:rsidP="004047F2">
      <w:pPr>
        <w:widowControl w:val="0"/>
        <w:spacing w:after="0" w:line="240" w:lineRule="auto"/>
        <w:ind w:left="426"/>
        <w:contextualSpacing/>
        <w:jc w:val="both"/>
        <w:rPr>
          <w:rFonts w:ascii="Times New Roman" w:eastAsia="Calibri" w:hAnsi="Times New Roman"/>
          <w:sz w:val="20"/>
          <w:szCs w:val="20"/>
          <w:lang w:bidi="en-US"/>
        </w:rPr>
      </w:pPr>
    </w:p>
    <w:p w14:paraId="5EAD42CE" w14:textId="77777777" w:rsidR="004047F2" w:rsidRPr="00712F3C" w:rsidRDefault="004047F2" w:rsidP="004047F2">
      <w:pPr>
        <w:widowControl w:val="0"/>
        <w:spacing w:after="0" w:line="240" w:lineRule="auto"/>
        <w:ind w:left="426"/>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If the aggregate demand in this category is greater than [●] Equity Shares at or above the Issue Price, the Allotment shall be made on a proportionate basis up to a minimum of [●] Equity Shares and in multiples of [●] Equity Shares thereafter. For the method of proportionate Basis of Allotment, refer below.</w:t>
      </w:r>
    </w:p>
    <w:p w14:paraId="37E8BDC4" w14:textId="77777777" w:rsidR="004047F2" w:rsidRPr="00712F3C" w:rsidRDefault="004047F2" w:rsidP="004047F2">
      <w:pPr>
        <w:widowControl w:val="0"/>
        <w:spacing w:after="0" w:line="240" w:lineRule="auto"/>
        <w:ind w:left="720"/>
        <w:contextualSpacing/>
        <w:jc w:val="both"/>
        <w:rPr>
          <w:rFonts w:ascii="Times New Roman" w:eastAsia="Calibri" w:hAnsi="Times New Roman"/>
          <w:sz w:val="20"/>
          <w:szCs w:val="20"/>
          <w:lang w:bidi="en-US"/>
        </w:rPr>
      </w:pPr>
    </w:p>
    <w:p w14:paraId="76C4D560" w14:textId="77777777" w:rsidR="004047F2" w:rsidRPr="00712F3C" w:rsidRDefault="004047F2">
      <w:pPr>
        <w:pStyle w:val="ListParagraph"/>
        <w:widowControl w:val="0"/>
        <w:numPr>
          <w:ilvl w:val="0"/>
          <w:numId w:val="294"/>
        </w:numPr>
        <w:suppressAutoHyphens w:val="0"/>
        <w:autoSpaceDE/>
        <w:autoSpaceDN/>
        <w:adjustRightInd/>
        <w:spacing w:line="240" w:lineRule="auto"/>
        <w:ind w:left="426" w:hanging="426"/>
        <w:contextualSpacing/>
        <w:jc w:val="both"/>
        <w:textAlignment w:val="auto"/>
        <w:rPr>
          <w:rFonts w:eastAsia="Calibri"/>
          <w:b/>
          <w:sz w:val="20"/>
          <w:szCs w:val="20"/>
          <w:lang w:bidi="en-US"/>
        </w:rPr>
      </w:pPr>
      <w:r w:rsidRPr="00712F3C">
        <w:rPr>
          <w:rFonts w:eastAsia="Calibri"/>
          <w:b/>
          <w:sz w:val="20"/>
          <w:szCs w:val="20"/>
          <w:lang w:bidi="en-US"/>
        </w:rPr>
        <w:t>For Non-Institutional Bidders</w:t>
      </w:r>
    </w:p>
    <w:p w14:paraId="783AC785" w14:textId="77777777" w:rsidR="004047F2" w:rsidRPr="00712F3C" w:rsidRDefault="004047F2" w:rsidP="004047F2">
      <w:pPr>
        <w:widowControl w:val="0"/>
        <w:spacing w:after="0" w:line="240" w:lineRule="auto"/>
        <w:ind w:left="720"/>
        <w:jc w:val="both"/>
        <w:rPr>
          <w:rFonts w:ascii="Times New Roman" w:eastAsia="Calibri" w:hAnsi="Times New Roman"/>
          <w:sz w:val="20"/>
          <w:szCs w:val="20"/>
          <w:lang w:bidi="en-US"/>
        </w:rPr>
      </w:pPr>
    </w:p>
    <w:p w14:paraId="02053F11" w14:textId="77777777" w:rsidR="004047F2" w:rsidRPr="00712F3C" w:rsidRDefault="004047F2" w:rsidP="004047F2">
      <w:pPr>
        <w:widowControl w:val="0"/>
        <w:spacing w:after="0" w:line="240" w:lineRule="auto"/>
        <w:ind w:left="426"/>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 xml:space="preserve">Bids received from Non-Institutional Bidders at or above the Issue Price shall be grouped together to determine the total demand under this category. The Allotment to all successful Non- Institutional Bidders will be made at the Issue Price. </w:t>
      </w:r>
    </w:p>
    <w:p w14:paraId="1E512B7F" w14:textId="77777777" w:rsidR="004047F2" w:rsidRPr="00712F3C" w:rsidRDefault="004047F2" w:rsidP="004047F2">
      <w:pPr>
        <w:widowControl w:val="0"/>
        <w:spacing w:after="0" w:line="240" w:lineRule="auto"/>
        <w:ind w:left="426"/>
        <w:contextualSpacing/>
        <w:jc w:val="both"/>
        <w:rPr>
          <w:rFonts w:ascii="Times New Roman" w:eastAsia="Calibri" w:hAnsi="Times New Roman"/>
          <w:sz w:val="20"/>
          <w:szCs w:val="20"/>
          <w:lang w:bidi="en-US"/>
        </w:rPr>
      </w:pPr>
    </w:p>
    <w:p w14:paraId="2AFE6315" w14:textId="3FF1B182" w:rsidR="004047F2" w:rsidRPr="00712F3C" w:rsidRDefault="004047F2" w:rsidP="004047F2">
      <w:pPr>
        <w:widowControl w:val="0"/>
        <w:spacing w:after="0" w:line="240" w:lineRule="auto"/>
        <w:ind w:left="426"/>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The Issue size less Allotment to QIBs and Retail shall be available for Allotment to Non- Institutional Bidders who have Bid in the Issue at a price that is equal to or greater than the Issue Price. If the aggregate demand in this category is less than or equal to [●]</w:t>
      </w:r>
      <w:r w:rsidR="00636B58">
        <w:rPr>
          <w:rFonts w:ascii="Times New Roman" w:eastAsia="Calibri" w:hAnsi="Times New Roman"/>
          <w:sz w:val="20"/>
          <w:szCs w:val="20"/>
          <w:lang w:bidi="en-US"/>
        </w:rPr>
        <w:t xml:space="preserve"> </w:t>
      </w:r>
      <w:r w:rsidRPr="00712F3C">
        <w:rPr>
          <w:rFonts w:ascii="Times New Roman" w:eastAsia="Calibri" w:hAnsi="Times New Roman"/>
          <w:sz w:val="20"/>
          <w:szCs w:val="20"/>
          <w:lang w:bidi="en-US"/>
        </w:rPr>
        <w:t xml:space="preserve">Equity Shares at or above the Issue Price, full Allotment shall be made to Non-Institutional Bidders to the extent of their demand. </w:t>
      </w:r>
    </w:p>
    <w:p w14:paraId="7C2BF318" w14:textId="77777777" w:rsidR="004047F2" w:rsidRPr="00712F3C" w:rsidRDefault="004047F2" w:rsidP="004047F2">
      <w:pPr>
        <w:widowControl w:val="0"/>
        <w:spacing w:after="0" w:line="240" w:lineRule="auto"/>
        <w:ind w:left="426"/>
        <w:contextualSpacing/>
        <w:jc w:val="both"/>
        <w:rPr>
          <w:rFonts w:ascii="Times New Roman" w:eastAsia="Calibri" w:hAnsi="Times New Roman"/>
          <w:sz w:val="20"/>
          <w:szCs w:val="20"/>
          <w:lang w:bidi="en-US"/>
        </w:rPr>
      </w:pPr>
    </w:p>
    <w:p w14:paraId="3D19D116" w14:textId="77777777" w:rsidR="004047F2" w:rsidRPr="00712F3C" w:rsidRDefault="004047F2" w:rsidP="004047F2">
      <w:pPr>
        <w:widowControl w:val="0"/>
        <w:spacing w:after="0" w:line="240" w:lineRule="auto"/>
        <w:ind w:left="426"/>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In case the aggregate demand in this category is greater than [●] Equity Shares at or above the Issue Price, Allotment shall be made on a proportionate basis up to a minimum of [●] Equity Shares and in multiples of [●] Equity Shares thereafter. For the method of proportionate Basis of Allotment refer below.</w:t>
      </w:r>
    </w:p>
    <w:p w14:paraId="22770C17" w14:textId="77777777" w:rsidR="004047F2" w:rsidRPr="00712F3C" w:rsidRDefault="004047F2" w:rsidP="004047F2">
      <w:pPr>
        <w:widowControl w:val="0"/>
        <w:spacing w:after="0" w:line="240" w:lineRule="auto"/>
        <w:ind w:left="720"/>
        <w:jc w:val="both"/>
        <w:rPr>
          <w:rFonts w:ascii="Times New Roman" w:eastAsia="Calibri" w:hAnsi="Times New Roman"/>
          <w:sz w:val="20"/>
          <w:szCs w:val="20"/>
          <w:lang w:bidi="en-US"/>
        </w:rPr>
      </w:pPr>
    </w:p>
    <w:p w14:paraId="4C1792B1" w14:textId="77777777" w:rsidR="004047F2" w:rsidRPr="00712F3C" w:rsidRDefault="004047F2">
      <w:pPr>
        <w:pStyle w:val="ListParagraph"/>
        <w:widowControl w:val="0"/>
        <w:numPr>
          <w:ilvl w:val="0"/>
          <w:numId w:val="294"/>
        </w:numPr>
        <w:suppressAutoHyphens w:val="0"/>
        <w:autoSpaceDE/>
        <w:autoSpaceDN/>
        <w:adjustRightInd/>
        <w:spacing w:line="240" w:lineRule="auto"/>
        <w:ind w:left="426" w:hanging="426"/>
        <w:contextualSpacing/>
        <w:jc w:val="both"/>
        <w:textAlignment w:val="auto"/>
        <w:rPr>
          <w:rFonts w:eastAsia="Calibri"/>
          <w:b/>
          <w:sz w:val="20"/>
          <w:szCs w:val="20"/>
          <w:lang w:bidi="en-US"/>
        </w:rPr>
      </w:pPr>
      <w:r w:rsidRPr="00712F3C">
        <w:rPr>
          <w:rFonts w:eastAsia="Calibri"/>
          <w:b/>
          <w:sz w:val="20"/>
          <w:szCs w:val="20"/>
          <w:lang w:bidi="en-US"/>
        </w:rPr>
        <w:t>For QIBs</w:t>
      </w:r>
    </w:p>
    <w:p w14:paraId="3F635CF4" w14:textId="77777777" w:rsidR="004047F2" w:rsidRPr="00712F3C" w:rsidRDefault="004047F2" w:rsidP="004047F2">
      <w:pPr>
        <w:widowControl w:val="0"/>
        <w:autoSpaceDE w:val="0"/>
        <w:autoSpaceDN w:val="0"/>
        <w:adjustRightInd w:val="0"/>
        <w:spacing w:after="0" w:line="240" w:lineRule="auto"/>
        <w:ind w:left="720"/>
        <w:contextualSpacing/>
        <w:jc w:val="both"/>
        <w:rPr>
          <w:rFonts w:ascii="Times New Roman" w:eastAsia="Calibri" w:hAnsi="Times New Roman"/>
          <w:sz w:val="20"/>
          <w:szCs w:val="20"/>
          <w:lang w:bidi="en-US"/>
        </w:rPr>
      </w:pPr>
    </w:p>
    <w:p w14:paraId="61F1CF82" w14:textId="77777777" w:rsidR="004047F2" w:rsidRPr="00712F3C" w:rsidRDefault="004047F2" w:rsidP="004047F2">
      <w:pPr>
        <w:widowControl w:val="0"/>
        <w:spacing w:after="0" w:line="240" w:lineRule="auto"/>
        <w:ind w:left="426"/>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 xml:space="preserve">For the Basis of Allotment to Anchor Investors, Bidders/Applicants may refer to the SEBI ICDR Regulations or RHP / Prospectus. Bids received from QIBs Bidding in the QIB Category (net of Anchor Portion) at or above the Issue Price may be grouped together to determine the total demand under this category. The QIB Category may be available for Allotment to QIBs who have Bid at a price that is equal to or greater than the Issue Price. Allotment may be undertaken in the following manner: Allotment shall be undertaken in the following manner: </w:t>
      </w:r>
    </w:p>
    <w:p w14:paraId="14B2AA63" w14:textId="77777777" w:rsidR="004047F2" w:rsidRPr="00712F3C" w:rsidRDefault="004047F2" w:rsidP="004047F2">
      <w:pPr>
        <w:widowControl w:val="0"/>
        <w:spacing w:after="0" w:line="240" w:lineRule="auto"/>
        <w:ind w:left="720"/>
        <w:contextualSpacing/>
        <w:jc w:val="both"/>
        <w:rPr>
          <w:rFonts w:ascii="Times New Roman" w:eastAsia="Calibri" w:hAnsi="Times New Roman"/>
          <w:sz w:val="20"/>
          <w:szCs w:val="20"/>
          <w:lang w:bidi="en-US"/>
        </w:rPr>
      </w:pPr>
    </w:p>
    <w:p w14:paraId="253F4A9E" w14:textId="77777777" w:rsidR="004047F2" w:rsidRPr="00712F3C" w:rsidRDefault="004047F2">
      <w:pPr>
        <w:pStyle w:val="ListParagraph"/>
        <w:widowControl w:val="0"/>
        <w:numPr>
          <w:ilvl w:val="0"/>
          <w:numId w:val="295"/>
        </w:numPr>
        <w:suppressAutoHyphens w:val="0"/>
        <w:autoSpaceDE/>
        <w:autoSpaceDN/>
        <w:adjustRightInd/>
        <w:spacing w:line="240" w:lineRule="auto"/>
        <w:ind w:left="709" w:hanging="306"/>
        <w:contextualSpacing/>
        <w:jc w:val="both"/>
        <w:textAlignment w:val="auto"/>
        <w:rPr>
          <w:rFonts w:eastAsia="Calibri"/>
          <w:sz w:val="20"/>
          <w:szCs w:val="20"/>
          <w:lang w:bidi="en-US"/>
        </w:rPr>
      </w:pPr>
      <w:r w:rsidRPr="00712F3C">
        <w:rPr>
          <w:rFonts w:eastAsia="Calibri"/>
          <w:sz w:val="20"/>
          <w:szCs w:val="20"/>
          <w:lang w:bidi="en-US"/>
        </w:rPr>
        <w:t xml:space="preserve">In the first instance allocation to Mutual Funds for [●]% of the QIB Portion shall be determined as follows: </w:t>
      </w:r>
    </w:p>
    <w:p w14:paraId="081E6126" w14:textId="77777777" w:rsidR="004047F2" w:rsidRPr="00712F3C" w:rsidRDefault="004047F2" w:rsidP="004047F2">
      <w:pPr>
        <w:pStyle w:val="ListParagraph"/>
        <w:spacing w:line="240" w:lineRule="auto"/>
        <w:ind w:left="1440"/>
        <w:contextualSpacing/>
        <w:jc w:val="both"/>
        <w:rPr>
          <w:rFonts w:eastAsia="Calibri"/>
          <w:sz w:val="20"/>
          <w:szCs w:val="20"/>
          <w:lang w:bidi="en-US"/>
        </w:rPr>
      </w:pPr>
    </w:p>
    <w:p w14:paraId="1081A8CD" w14:textId="77777777" w:rsidR="004047F2" w:rsidRPr="00712F3C" w:rsidRDefault="004047F2">
      <w:pPr>
        <w:pStyle w:val="ListParagraph"/>
        <w:widowControl w:val="0"/>
        <w:numPr>
          <w:ilvl w:val="0"/>
          <w:numId w:val="296"/>
        </w:numPr>
        <w:suppressAutoHyphens w:val="0"/>
        <w:autoSpaceDE/>
        <w:autoSpaceDN/>
        <w:adjustRightInd/>
        <w:spacing w:line="240" w:lineRule="auto"/>
        <w:ind w:left="1134" w:hanging="317"/>
        <w:contextualSpacing/>
        <w:jc w:val="both"/>
        <w:textAlignment w:val="auto"/>
        <w:rPr>
          <w:rFonts w:eastAsia="Calibri"/>
          <w:sz w:val="20"/>
          <w:szCs w:val="20"/>
          <w:lang w:bidi="en-US"/>
        </w:rPr>
      </w:pPr>
      <w:r w:rsidRPr="00712F3C">
        <w:rPr>
          <w:rFonts w:eastAsia="Calibri"/>
          <w:sz w:val="20"/>
          <w:szCs w:val="20"/>
          <w:lang w:bidi="en-US"/>
        </w:rPr>
        <w:t xml:space="preserve">In the event that Bids by Mutual Fund exceeds [●]% of the QIB Portion, allocation to Mutual Funds shall be done on a proportionate basis for [●]% of the QIB Portion. </w:t>
      </w:r>
    </w:p>
    <w:p w14:paraId="59358A93" w14:textId="77777777" w:rsidR="004047F2" w:rsidRPr="00712F3C" w:rsidRDefault="004047F2" w:rsidP="004047F2">
      <w:pPr>
        <w:pStyle w:val="ListParagraph"/>
        <w:spacing w:line="240" w:lineRule="auto"/>
        <w:ind w:left="1134" w:hanging="317"/>
        <w:contextualSpacing/>
        <w:jc w:val="both"/>
        <w:rPr>
          <w:rFonts w:eastAsia="Calibri"/>
          <w:sz w:val="20"/>
          <w:szCs w:val="20"/>
          <w:lang w:bidi="en-US"/>
        </w:rPr>
      </w:pPr>
    </w:p>
    <w:p w14:paraId="76121BE4" w14:textId="77777777" w:rsidR="004047F2" w:rsidRPr="00712F3C" w:rsidRDefault="004047F2">
      <w:pPr>
        <w:pStyle w:val="ListParagraph"/>
        <w:widowControl w:val="0"/>
        <w:numPr>
          <w:ilvl w:val="0"/>
          <w:numId w:val="296"/>
        </w:numPr>
        <w:suppressAutoHyphens w:val="0"/>
        <w:autoSpaceDE/>
        <w:autoSpaceDN/>
        <w:adjustRightInd/>
        <w:spacing w:line="240" w:lineRule="auto"/>
        <w:ind w:left="1134" w:hanging="317"/>
        <w:contextualSpacing/>
        <w:jc w:val="both"/>
        <w:textAlignment w:val="auto"/>
        <w:rPr>
          <w:rFonts w:eastAsia="Calibri"/>
          <w:sz w:val="20"/>
          <w:szCs w:val="20"/>
          <w:lang w:bidi="en-US"/>
        </w:rPr>
      </w:pPr>
      <w:r w:rsidRPr="00712F3C">
        <w:rPr>
          <w:rFonts w:eastAsia="Calibri"/>
          <w:sz w:val="20"/>
          <w:szCs w:val="20"/>
          <w:lang w:bidi="en-US"/>
        </w:rPr>
        <w:t xml:space="preserve">In the event that the aggregate demand from Mutual Funds is less than [●]% of the QIB Portion then all Mutual Funds shall get full Allotment to the extent of valid Bids received above the Issue Price. </w:t>
      </w:r>
    </w:p>
    <w:p w14:paraId="2FC4E8A6" w14:textId="77777777" w:rsidR="004047F2" w:rsidRPr="00712F3C" w:rsidRDefault="004047F2" w:rsidP="004047F2">
      <w:pPr>
        <w:pStyle w:val="ListParagraph"/>
        <w:spacing w:line="240" w:lineRule="auto"/>
        <w:ind w:left="1134" w:hanging="317"/>
        <w:contextualSpacing/>
        <w:jc w:val="both"/>
        <w:rPr>
          <w:rFonts w:eastAsia="Calibri"/>
          <w:sz w:val="20"/>
          <w:szCs w:val="20"/>
          <w:lang w:bidi="en-US"/>
        </w:rPr>
      </w:pPr>
    </w:p>
    <w:p w14:paraId="301DF4A8" w14:textId="77777777" w:rsidR="004047F2" w:rsidRPr="00712F3C" w:rsidRDefault="004047F2">
      <w:pPr>
        <w:pStyle w:val="ListParagraph"/>
        <w:widowControl w:val="0"/>
        <w:numPr>
          <w:ilvl w:val="0"/>
          <w:numId w:val="296"/>
        </w:numPr>
        <w:suppressAutoHyphens w:val="0"/>
        <w:autoSpaceDE/>
        <w:autoSpaceDN/>
        <w:adjustRightInd/>
        <w:spacing w:line="240" w:lineRule="auto"/>
        <w:ind w:left="1134" w:hanging="317"/>
        <w:contextualSpacing/>
        <w:jc w:val="both"/>
        <w:textAlignment w:val="auto"/>
        <w:rPr>
          <w:rFonts w:eastAsia="Calibri"/>
          <w:sz w:val="20"/>
          <w:szCs w:val="20"/>
          <w:lang w:bidi="en-US"/>
        </w:rPr>
      </w:pPr>
      <w:r w:rsidRPr="00712F3C">
        <w:rPr>
          <w:rFonts w:eastAsia="Calibri"/>
          <w:sz w:val="20"/>
          <w:szCs w:val="20"/>
          <w:lang w:bidi="en-US"/>
        </w:rPr>
        <w:lastRenderedPageBreak/>
        <w:t xml:space="preserve">Equity Shares remaining unsubscribed, if any, not allocated to Mutual Funds shall be available for Allotment to all QIB Bidders as set out in (b) below; </w:t>
      </w:r>
    </w:p>
    <w:p w14:paraId="083FAE65" w14:textId="77777777" w:rsidR="004047F2" w:rsidRPr="00712F3C" w:rsidRDefault="004047F2" w:rsidP="004047F2">
      <w:pPr>
        <w:pStyle w:val="ListParagraph"/>
        <w:widowControl w:val="0"/>
        <w:suppressAutoHyphens w:val="0"/>
        <w:autoSpaceDE/>
        <w:autoSpaceDN/>
        <w:adjustRightInd/>
        <w:spacing w:line="240" w:lineRule="auto"/>
        <w:ind w:left="2160"/>
        <w:contextualSpacing/>
        <w:jc w:val="both"/>
        <w:textAlignment w:val="auto"/>
        <w:rPr>
          <w:rFonts w:eastAsia="Calibri"/>
          <w:sz w:val="20"/>
          <w:szCs w:val="20"/>
          <w:lang w:bidi="en-US"/>
        </w:rPr>
      </w:pPr>
    </w:p>
    <w:p w14:paraId="0E12189C" w14:textId="77777777" w:rsidR="004047F2" w:rsidRPr="00712F3C" w:rsidRDefault="004047F2">
      <w:pPr>
        <w:pStyle w:val="ListParagraph"/>
        <w:widowControl w:val="0"/>
        <w:numPr>
          <w:ilvl w:val="0"/>
          <w:numId w:val="295"/>
        </w:numPr>
        <w:suppressAutoHyphens w:val="0"/>
        <w:autoSpaceDE/>
        <w:autoSpaceDN/>
        <w:adjustRightInd/>
        <w:spacing w:line="240" w:lineRule="auto"/>
        <w:ind w:left="709" w:hanging="306"/>
        <w:contextualSpacing/>
        <w:jc w:val="both"/>
        <w:textAlignment w:val="auto"/>
        <w:rPr>
          <w:rFonts w:eastAsia="Calibri"/>
          <w:sz w:val="20"/>
          <w:szCs w:val="20"/>
          <w:lang w:bidi="en-US"/>
        </w:rPr>
      </w:pPr>
      <w:r w:rsidRPr="00712F3C">
        <w:rPr>
          <w:rFonts w:eastAsia="Calibri"/>
          <w:sz w:val="20"/>
          <w:szCs w:val="20"/>
          <w:lang w:bidi="en-US"/>
        </w:rPr>
        <w:t xml:space="preserve">In the second instance Allotment to all QIBs shall be determined as follows: </w:t>
      </w:r>
    </w:p>
    <w:p w14:paraId="6746C9D3" w14:textId="77777777" w:rsidR="004047F2" w:rsidRPr="00712F3C" w:rsidRDefault="004047F2" w:rsidP="004047F2">
      <w:pPr>
        <w:pStyle w:val="ListParagraph"/>
        <w:spacing w:line="240" w:lineRule="auto"/>
        <w:ind w:left="1440"/>
        <w:contextualSpacing/>
        <w:jc w:val="both"/>
        <w:rPr>
          <w:rFonts w:eastAsia="Calibri"/>
          <w:sz w:val="20"/>
          <w:szCs w:val="20"/>
          <w:lang w:bidi="en-US"/>
        </w:rPr>
      </w:pPr>
    </w:p>
    <w:p w14:paraId="21B9837D" w14:textId="77777777" w:rsidR="004047F2" w:rsidRPr="00712F3C" w:rsidRDefault="004047F2">
      <w:pPr>
        <w:pStyle w:val="ListParagraph"/>
        <w:widowControl w:val="0"/>
        <w:numPr>
          <w:ilvl w:val="0"/>
          <w:numId w:val="296"/>
        </w:numPr>
        <w:suppressAutoHyphens w:val="0"/>
        <w:autoSpaceDE/>
        <w:autoSpaceDN/>
        <w:adjustRightInd/>
        <w:spacing w:line="240" w:lineRule="auto"/>
        <w:ind w:left="1134" w:hanging="317"/>
        <w:contextualSpacing/>
        <w:jc w:val="both"/>
        <w:textAlignment w:val="auto"/>
        <w:rPr>
          <w:rFonts w:eastAsia="Calibri"/>
          <w:sz w:val="20"/>
          <w:szCs w:val="20"/>
          <w:lang w:bidi="en-US"/>
        </w:rPr>
      </w:pPr>
      <w:r w:rsidRPr="00712F3C">
        <w:rPr>
          <w:rFonts w:eastAsia="Calibri"/>
          <w:sz w:val="20"/>
          <w:szCs w:val="20"/>
          <w:lang w:bidi="en-US"/>
        </w:rPr>
        <w:t xml:space="preserve">In the event that the oversubscription in the QIB Portion, all QIB Bidders who have submitted Bids above the Issue Price shall be allotted Equity Shares on a proportionate basis, upto a minimum of [●] Equity Shares and in multiples of [●] Equity Shares thereafter for [●]% of the QIB Portion. </w:t>
      </w:r>
    </w:p>
    <w:p w14:paraId="64F61219" w14:textId="77777777" w:rsidR="004047F2" w:rsidRPr="00712F3C" w:rsidRDefault="004047F2" w:rsidP="004047F2">
      <w:pPr>
        <w:pStyle w:val="ListParagraph"/>
        <w:widowControl w:val="0"/>
        <w:suppressAutoHyphens w:val="0"/>
        <w:autoSpaceDE/>
        <w:autoSpaceDN/>
        <w:adjustRightInd/>
        <w:spacing w:line="240" w:lineRule="auto"/>
        <w:ind w:left="1134"/>
        <w:contextualSpacing/>
        <w:jc w:val="both"/>
        <w:textAlignment w:val="auto"/>
        <w:rPr>
          <w:rFonts w:eastAsia="Calibri"/>
          <w:sz w:val="20"/>
          <w:szCs w:val="20"/>
          <w:lang w:bidi="en-US"/>
        </w:rPr>
      </w:pPr>
    </w:p>
    <w:p w14:paraId="4F21320E" w14:textId="77777777" w:rsidR="004047F2" w:rsidRPr="00712F3C" w:rsidRDefault="004047F2">
      <w:pPr>
        <w:pStyle w:val="ListParagraph"/>
        <w:widowControl w:val="0"/>
        <w:numPr>
          <w:ilvl w:val="0"/>
          <w:numId w:val="296"/>
        </w:numPr>
        <w:suppressAutoHyphens w:val="0"/>
        <w:autoSpaceDE/>
        <w:autoSpaceDN/>
        <w:adjustRightInd/>
        <w:spacing w:line="240" w:lineRule="auto"/>
        <w:ind w:left="1134" w:hanging="317"/>
        <w:contextualSpacing/>
        <w:jc w:val="both"/>
        <w:textAlignment w:val="auto"/>
        <w:rPr>
          <w:rFonts w:eastAsia="Calibri"/>
          <w:sz w:val="20"/>
          <w:szCs w:val="20"/>
          <w:lang w:bidi="en-US"/>
        </w:rPr>
      </w:pPr>
      <w:r w:rsidRPr="00712F3C">
        <w:rPr>
          <w:rFonts w:eastAsia="Calibri"/>
          <w:sz w:val="20"/>
          <w:szCs w:val="20"/>
          <w:lang w:bidi="en-US"/>
        </w:rPr>
        <w:t xml:space="preserve">Mutual Funds, who have received allocation as per (a) above, for less than the number of Equity Shares Bid for by them, are eligible to receive Equity Shares on a proportionate basis, upto a minimum of [●] Equity Shares and in multiples of [●] Equity Shares thereafter, along with other QIB Bidders. </w:t>
      </w:r>
    </w:p>
    <w:p w14:paraId="478A2F48" w14:textId="77777777" w:rsidR="004047F2" w:rsidRPr="00712F3C" w:rsidRDefault="004047F2" w:rsidP="004047F2">
      <w:pPr>
        <w:pStyle w:val="ListParagraph"/>
        <w:widowControl w:val="0"/>
        <w:suppressAutoHyphens w:val="0"/>
        <w:autoSpaceDE/>
        <w:autoSpaceDN/>
        <w:adjustRightInd/>
        <w:spacing w:line="240" w:lineRule="auto"/>
        <w:ind w:left="1134"/>
        <w:contextualSpacing/>
        <w:jc w:val="both"/>
        <w:textAlignment w:val="auto"/>
        <w:rPr>
          <w:rFonts w:eastAsia="Calibri"/>
          <w:sz w:val="20"/>
          <w:szCs w:val="20"/>
          <w:lang w:bidi="en-US"/>
        </w:rPr>
      </w:pPr>
    </w:p>
    <w:p w14:paraId="1B44C216" w14:textId="77777777" w:rsidR="004047F2" w:rsidRPr="00712F3C" w:rsidRDefault="004047F2">
      <w:pPr>
        <w:pStyle w:val="ListParagraph"/>
        <w:widowControl w:val="0"/>
        <w:numPr>
          <w:ilvl w:val="0"/>
          <w:numId w:val="296"/>
        </w:numPr>
        <w:suppressAutoHyphens w:val="0"/>
        <w:autoSpaceDE/>
        <w:autoSpaceDN/>
        <w:adjustRightInd/>
        <w:spacing w:line="240" w:lineRule="auto"/>
        <w:ind w:left="1134" w:hanging="317"/>
        <w:contextualSpacing/>
        <w:jc w:val="both"/>
        <w:textAlignment w:val="auto"/>
        <w:rPr>
          <w:rFonts w:eastAsia="Calibri"/>
          <w:sz w:val="20"/>
          <w:szCs w:val="20"/>
          <w:lang w:bidi="en-US"/>
        </w:rPr>
      </w:pPr>
      <w:r w:rsidRPr="00712F3C">
        <w:rPr>
          <w:rFonts w:eastAsia="Calibri"/>
          <w:sz w:val="20"/>
          <w:szCs w:val="20"/>
          <w:lang w:bidi="en-US"/>
        </w:rPr>
        <w:t xml:space="preserve">Under-subscription below [●]% of the QIB Portion, if any, from Mutual Funds, would be included for allocation to the remaining QIB Bidders on a proportionate basis. The aggregate Allotment to QIB Bidders shall not be more than [●] Equity Shares. </w:t>
      </w:r>
    </w:p>
    <w:p w14:paraId="37D6932B" w14:textId="77777777" w:rsidR="004047F2" w:rsidRPr="00712F3C" w:rsidRDefault="004047F2" w:rsidP="004047F2">
      <w:pPr>
        <w:pStyle w:val="ListParagraph"/>
        <w:spacing w:line="240" w:lineRule="auto"/>
        <w:ind w:left="2160"/>
        <w:contextualSpacing/>
        <w:jc w:val="both"/>
        <w:rPr>
          <w:rFonts w:eastAsia="Calibri"/>
          <w:sz w:val="20"/>
          <w:szCs w:val="20"/>
          <w:lang w:bidi="en-US"/>
        </w:rPr>
      </w:pPr>
    </w:p>
    <w:p w14:paraId="3DD8B5E8" w14:textId="77777777" w:rsidR="004047F2" w:rsidRPr="00712F3C" w:rsidRDefault="004047F2">
      <w:pPr>
        <w:pStyle w:val="ListParagraph"/>
        <w:widowControl w:val="0"/>
        <w:numPr>
          <w:ilvl w:val="0"/>
          <w:numId w:val="294"/>
        </w:numPr>
        <w:suppressAutoHyphens w:val="0"/>
        <w:autoSpaceDE/>
        <w:autoSpaceDN/>
        <w:adjustRightInd/>
        <w:spacing w:line="240" w:lineRule="auto"/>
        <w:ind w:left="426" w:hanging="426"/>
        <w:contextualSpacing/>
        <w:jc w:val="both"/>
        <w:textAlignment w:val="auto"/>
        <w:rPr>
          <w:rFonts w:eastAsia="Calibri"/>
          <w:b/>
          <w:sz w:val="20"/>
          <w:szCs w:val="20"/>
          <w:lang w:bidi="en-US"/>
        </w:rPr>
      </w:pPr>
      <w:r w:rsidRPr="00712F3C">
        <w:rPr>
          <w:rFonts w:eastAsia="Calibri"/>
          <w:b/>
          <w:sz w:val="20"/>
          <w:szCs w:val="20"/>
          <w:lang w:bidi="en-US"/>
        </w:rPr>
        <w:t>ALLOTMENT TO ANCHOR INVESTOR (IF APPLICABLE)</w:t>
      </w:r>
    </w:p>
    <w:p w14:paraId="3DC76497"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p>
    <w:p w14:paraId="256AD07F" w14:textId="77777777" w:rsidR="004047F2" w:rsidRPr="00712F3C" w:rsidRDefault="004047F2">
      <w:pPr>
        <w:pStyle w:val="ListParagraph"/>
        <w:widowControl w:val="0"/>
        <w:numPr>
          <w:ilvl w:val="0"/>
          <w:numId w:val="297"/>
        </w:numPr>
        <w:suppressAutoHyphens w:val="0"/>
        <w:autoSpaceDE/>
        <w:autoSpaceDN/>
        <w:adjustRightInd/>
        <w:spacing w:line="240" w:lineRule="auto"/>
        <w:ind w:left="709" w:hanging="283"/>
        <w:contextualSpacing/>
        <w:jc w:val="both"/>
        <w:textAlignment w:val="auto"/>
        <w:rPr>
          <w:rFonts w:eastAsia="Calibri"/>
          <w:sz w:val="20"/>
          <w:szCs w:val="20"/>
          <w:lang w:bidi="en-US"/>
        </w:rPr>
      </w:pPr>
      <w:r w:rsidRPr="00712F3C">
        <w:rPr>
          <w:rFonts w:eastAsia="Calibri"/>
          <w:sz w:val="20"/>
          <w:szCs w:val="20"/>
          <w:lang w:bidi="en-US"/>
        </w:rPr>
        <w:t>Allocation of Equity Shares to Anchor Investors at the Anchor Investor Allocation Price will be at the discretion of the Issuer, in consultation with the BRLM, subject to compliance with the following requirements:</w:t>
      </w:r>
    </w:p>
    <w:p w14:paraId="0DCD513C" w14:textId="77777777" w:rsidR="004047F2" w:rsidRPr="00712F3C" w:rsidRDefault="004047F2" w:rsidP="004047F2">
      <w:pPr>
        <w:pStyle w:val="ListParagraph"/>
        <w:spacing w:line="240" w:lineRule="auto"/>
        <w:ind w:left="1440"/>
        <w:contextualSpacing/>
        <w:jc w:val="both"/>
        <w:rPr>
          <w:rFonts w:eastAsia="Calibri"/>
          <w:sz w:val="20"/>
          <w:szCs w:val="20"/>
          <w:lang w:bidi="en-US"/>
        </w:rPr>
      </w:pPr>
    </w:p>
    <w:p w14:paraId="18B22E03" w14:textId="77777777" w:rsidR="004047F2" w:rsidRPr="00712F3C" w:rsidRDefault="004047F2">
      <w:pPr>
        <w:pStyle w:val="ListParagraph"/>
        <w:widowControl w:val="0"/>
        <w:numPr>
          <w:ilvl w:val="0"/>
          <w:numId w:val="301"/>
        </w:numPr>
        <w:suppressAutoHyphens w:val="0"/>
        <w:autoSpaceDE/>
        <w:autoSpaceDN/>
        <w:adjustRightInd/>
        <w:spacing w:line="240" w:lineRule="auto"/>
        <w:ind w:left="1134" w:hanging="450"/>
        <w:contextualSpacing/>
        <w:jc w:val="both"/>
        <w:textAlignment w:val="auto"/>
        <w:rPr>
          <w:rFonts w:eastAsia="Calibri"/>
          <w:sz w:val="20"/>
          <w:szCs w:val="20"/>
          <w:lang w:bidi="en-US"/>
        </w:rPr>
      </w:pPr>
      <w:r w:rsidRPr="00712F3C">
        <w:rPr>
          <w:rFonts w:eastAsia="Calibri"/>
          <w:sz w:val="20"/>
          <w:szCs w:val="20"/>
          <w:lang w:bidi="en-US"/>
        </w:rPr>
        <w:t xml:space="preserve">not more than 60% of the QIB Portion will be allocated to Anchor Investors; </w:t>
      </w:r>
    </w:p>
    <w:p w14:paraId="069BD9F2" w14:textId="77777777" w:rsidR="004047F2" w:rsidRPr="00712F3C" w:rsidRDefault="004047F2" w:rsidP="004047F2">
      <w:pPr>
        <w:pStyle w:val="ListParagraph"/>
        <w:spacing w:line="240" w:lineRule="auto"/>
        <w:ind w:left="1134" w:hanging="450"/>
        <w:contextualSpacing/>
        <w:jc w:val="both"/>
        <w:rPr>
          <w:rFonts w:eastAsia="Calibri"/>
          <w:sz w:val="20"/>
          <w:szCs w:val="20"/>
          <w:lang w:bidi="en-US"/>
        </w:rPr>
      </w:pPr>
    </w:p>
    <w:p w14:paraId="2404DCE0" w14:textId="77777777" w:rsidR="004047F2" w:rsidRPr="00712F3C" w:rsidRDefault="004047F2">
      <w:pPr>
        <w:pStyle w:val="ListParagraph"/>
        <w:widowControl w:val="0"/>
        <w:numPr>
          <w:ilvl w:val="0"/>
          <w:numId w:val="301"/>
        </w:numPr>
        <w:suppressAutoHyphens w:val="0"/>
        <w:autoSpaceDE/>
        <w:autoSpaceDN/>
        <w:adjustRightInd/>
        <w:spacing w:line="240" w:lineRule="auto"/>
        <w:ind w:left="1134" w:hanging="450"/>
        <w:contextualSpacing/>
        <w:jc w:val="both"/>
        <w:textAlignment w:val="auto"/>
        <w:rPr>
          <w:rFonts w:eastAsia="Calibri"/>
          <w:sz w:val="20"/>
          <w:szCs w:val="20"/>
          <w:lang w:bidi="en-US"/>
        </w:rPr>
      </w:pPr>
      <w:r w:rsidRPr="00712F3C">
        <w:rPr>
          <w:rFonts w:eastAsia="Calibri"/>
          <w:sz w:val="20"/>
          <w:szCs w:val="20"/>
          <w:lang w:bidi="en-US"/>
        </w:rPr>
        <w:t xml:space="preserve">one-third of the Anchor Investor Portion shall be reserved for domestic Mutual Funds, subject to valid Bids being received from domestic Mutual Funds at or above the price at which allocation is being done to other Anchor Investors; and </w:t>
      </w:r>
    </w:p>
    <w:p w14:paraId="699A4D8C" w14:textId="77777777" w:rsidR="004047F2" w:rsidRPr="00712F3C" w:rsidRDefault="004047F2" w:rsidP="004047F2">
      <w:pPr>
        <w:pStyle w:val="ListParagraph"/>
        <w:spacing w:line="240" w:lineRule="auto"/>
        <w:ind w:left="1134" w:hanging="450"/>
        <w:contextualSpacing/>
        <w:jc w:val="both"/>
        <w:rPr>
          <w:rFonts w:eastAsia="Calibri"/>
          <w:sz w:val="20"/>
          <w:szCs w:val="20"/>
          <w:lang w:bidi="en-US"/>
        </w:rPr>
      </w:pPr>
    </w:p>
    <w:p w14:paraId="5F9DDB55" w14:textId="77777777" w:rsidR="004047F2" w:rsidRPr="00712F3C" w:rsidRDefault="004047F2">
      <w:pPr>
        <w:pStyle w:val="ListParagraph"/>
        <w:widowControl w:val="0"/>
        <w:numPr>
          <w:ilvl w:val="0"/>
          <w:numId w:val="301"/>
        </w:numPr>
        <w:suppressAutoHyphens w:val="0"/>
        <w:autoSpaceDE/>
        <w:autoSpaceDN/>
        <w:adjustRightInd/>
        <w:spacing w:line="240" w:lineRule="auto"/>
        <w:ind w:left="1134" w:hanging="450"/>
        <w:contextualSpacing/>
        <w:jc w:val="both"/>
        <w:textAlignment w:val="auto"/>
        <w:rPr>
          <w:rFonts w:eastAsia="Calibri"/>
          <w:sz w:val="20"/>
          <w:szCs w:val="20"/>
          <w:lang w:bidi="en-US"/>
        </w:rPr>
      </w:pPr>
      <w:r w:rsidRPr="00712F3C">
        <w:rPr>
          <w:rFonts w:eastAsia="Calibri"/>
          <w:sz w:val="20"/>
          <w:szCs w:val="20"/>
          <w:lang w:bidi="en-US"/>
        </w:rPr>
        <w:t xml:space="preserve">allocation to Anchor Investors shall be on a discretionary basis and subject to: </w:t>
      </w:r>
    </w:p>
    <w:p w14:paraId="45F44629" w14:textId="77777777" w:rsidR="004047F2" w:rsidRPr="00712F3C" w:rsidRDefault="004047F2" w:rsidP="004047F2">
      <w:pPr>
        <w:pStyle w:val="ListParagraph"/>
        <w:spacing w:line="240" w:lineRule="auto"/>
        <w:ind w:left="2160"/>
        <w:contextualSpacing/>
        <w:jc w:val="both"/>
        <w:rPr>
          <w:rFonts w:eastAsia="Calibri"/>
          <w:sz w:val="20"/>
          <w:szCs w:val="20"/>
          <w:lang w:bidi="en-US"/>
        </w:rPr>
      </w:pPr>
    </w:p>
    <w:p w14:paraId="47347D84" w14:textId="77777777" w:rsidR="004047F2" w:rsidRPr="00712F3C" w:rsidRDefault="004047F2">
      <w:pPr>
        <w:pStyle w:val="ListParagraph"/>
        <w:widowControl w:val="0"/>
        <w:numPr>
          <w:ilvl w:val="0"/>
          <w:numId w:val="302"/>
        </w:numPr>
        <w:suppressAutoHyphens w:val="0"/>
        <w:autoSpaceDE/>
        <w:autoSpaceDN/>
        <w:adjustRightInd/>
        <w:spacing w:line="240" w:lineRule="auto"/>
        <w:ind w:left="1418" w:hanging="317"/>
        <w:contextualSpacing/>
        <w:jc w:val="both"/>
        <w:textAlignment w:val="auto"/>
        <w:rPr>
          <w:rFonts w:eastAsia="Calibri"/>
          <w:sz w:val="20"/>
          <w:szCs w:val="20"/>
          <w:lang w:bidi="en-US"/>
        </w:rPr>
      </w:pPr>
      <w:r w:rsidRPr="00712F3C">
        <w:rPr>
          <w:rFonts w:eastAsia="Calibri"/>
          <w:sz w:val="20"/>
          <w:szCs w:val="20"/>
          <w:lang w:bidi="en-US"/>
        </w:rPr>
        <w:t>a maximum number of two Anchor Investors for allocation up to ₹ 2 crores;</w:t>
      </w:r>
    </w:p>
    <w:p w14:paraId="43C01D00" w14:textId="77777777" w:rsidR="004047F2" w:rsidRPr="00712F3C" w:rsidRDefault="004047F2" w:rsidP="004047F2">
      <w:pPr>
        <w:pStyle w:val="ListParagraph"/>
        <w:spacing w:line="240" w:lineRule="auto"/>
        <w:ind w:left="1418" w:hanging="317"/>
        <w:contextualSpacing/>
        <w:jc w:val="both"/>
        <w:rPr>
          <w:rFonts w:eastAsia="Calibri"/>
          <w:sz w:val="20"/>
          <w:szCs w:val="20"/>
          <w:lang w:bidi="en-US"/>
        </w:rPr>
      </w:pPr>
    </w:p>
    <w:p w14:paraId="3C255FFE" w14:textId="77777777" w:rsidR="004047F2" w:rsidRPr="00712F3C" w:rsidRDefault="004047F2" w:rsidP="004047F2">
      <w:pPr>
        <w:pStyle w:val="ListParagraph"/>
        <w:widowControl w:val="0"/>
        <w:suppressAutoHyphens w:val="0"/>
        <w:autoSpaceDE/>
        <w:autoSpaceDN/>
        <w:adjustRightInd/>
        <w:spacing w:line="240" w:lineRule="auto"/>
        <w:ind w:left="1418"/>
        <w:contextualSpacing/>
        <w:jc w:val="both"/>
        <w:textAlignment w:val="auto"/>
        <w:rPr>
          <w:rFonts w:eastAsia="Calibri"/>
          <w:sz w:val="20"/>
          <w:szCs w:val="20"/>
          <w:lang w:bidi="en-US"/>
        </w:rPr>
      </w:pPr>
      <w:r w:rsidRPr="00712F3C">
        <w:rPr>
          <w:rFonts w:eastAsia="Calibri"/>
          <w:sz w:val="20"/>
          <w:szCs w:val="20"/>
          <w:lang w:bidi="en-US"/>
        </w:rPr>
        <w:t xml:space="preserve">a minimum number of two Anchor Investors and maximum number of 15 Anchor Investors for allocation of more than ₹ 2 crores and up to ₹ 25 crores subject to minimum allotment of ₹ 1 crores per such Anchor Investor; and </w:t>
      </w:r>
    </w:p>
    <w:p w14:paraId="00E068B2" w14:textId="77777777" w:rsidR="004047F2" w:rsidRPr="00712F3C" w:rsidRDefault="004047F2" w:rsidP="004047F2">
      <w:pPr>
        <w:pStyle w:val="ListParagraph"/>
        <w:widowControl w:val="0"/>
        <w:suppressAutoHyphens w:val="0"/>
        <w:autoSpaceDE/>
        <w:autoSpaceDN/>
        <w:adjustRightInd/>
        <w:spacing w:line="240" w:lineRule="auto"/>
        <w:ind w:left="1418" w:hanging="317"/>
        <w:contextualSpacing/>
        <w:jc w:val="both"/>
        <w:textAlignment w:val="auto"/>
        <w:rPr>
          <w:rFonts w:eastAsia="Calibri"/>
          <w:sz w:val="20"/>
          <w:szCs w:val="20"/>
          <w:lang w:bidi="en-US"/>
        </w:rPr>
      </w:pPr>
    </w:p>
    <w:p w14:paraId="3C1D2AD6" w14:textId="77777777" w:rsidR="004047F2" w:rsidRPr="00712F3C" w:rsidRDefault="004047F2">
      <w:pPr>
        <w:pStyle w:val="ListParagraph"/>
        <w:widowControl w:val="0"/>
        <w:numPr>
          <w:ilvl w:val="0"/>
          <w:numId w:val="302"/>
        </w:numPr>
        <w:suppressAutoHyphens w:val="0"/>
        <w:autoSpaceDE/>
        <w:autoSpaceDN/>
        <w:adjustRightInd/>
        <w:spacing w:line="240" w:lineRule="auto"/>
        <w:ind w:left="1418" w:hanging="317"/>
        <w:contextualSpacing/>
        <w:jc w:val="both"/>
        <w:textAlignment w:val="auto"/>
        <w:rPr>
          <w:rFonts w:eastAsia="Calibri"/>
          <w:sz w:val="20"/>
          <w:szCs w:val="20"/>
          <w:lang w:bidi="en-US"/>
        </w:rPr>
      </w:pPr>
      <w:r w:rsidRPr="00712F3C">
        <w:rPr>
          <w:rFonts w:eastAsia="Calibri"/>
          <w:sz w:val="20"/>
          <w:szCs w:val="20"/>
          <w:lang w:bidi="en-US"/>
        </w:rPr>
        <w:t>in case of allocation above twenty five crore rupees; a minimum of 5 such investors and a maximum of 15 such investors for allocation up to twenty five crore rupees and an additional 10 such investors for every additional twenty five crore rupees or part thereof, shall be permitted, subject to a minimum allotment of one crore rupees per such investor.</w:t>
      </w:r>
    </w:p>
    <w:p w14:paraId="46013A18" w14:textId="77777777" w:rsidR="004047F2" w:rsidRPr="00712F3C" w:rsidRDefault="004047F2" w:rsidP="004047F2">
      <w:pPr>
        <w:pStyle w:val="ListParagraph"/>
        <w:widowControl w:val="0"/>
        <w:suppressAutoHyphens w:val="0"/>
        <w:autoSpaceDE/>
        <w:autoSpaceDN/>
        <w:adjustRightInd/>
        <w:spacing w:line="240" w:lineRule="auto"/>
        <w:ind w:left="2160"/>
        <w:contextualSpacing/>
        <w:jc w:val="both"/>
        <w:textAlignment w:val="auto"/>
        <w:rPr>
          <w:rFonts w:eastAsia="Calibri"/>
          <w:sz w:val="20"/>
          <w:szCs w:val="20"/>
          <w:lang w:bidi="en-US"/>
        </w:rPr>
      </w:pPr>
    </w:p>
    <w:p w14:paraId="381E94AB" w14:textId="77777777" w:rsidR="004047F2" w:rsidRPr="00712F3C" w:rsidRDefault="004047F2">
      <w:pPr>
        <w:pStyle w:val="ListParagraph"/>
        <w:widowControl w:val="0"/>
        <w:numPr>
          <w:ilvl w:val="0"/>
          <w:numId w:val="297"/>
        </w:numPr>
        <w:suppressAutoHyphens w:val="0"/>
        <w:autoSpaceDE/>
        <w:autoSpaceDN/>
        <w:adjustRightInd/>
        <w:spacing w:line="240" w:lineRule="auto"/>
        <w:ind w:left="709" w:hanging="283"/>
        <w:contextualSpacing/>
        <w:jc w:val="both"/>
        <w:textAlignment w:val="auto"/>
        <w:rPr>
          <w:rFonts w:eastAsia="Calibri"/>
          <w:sz w:val="20"/>
          <w:szCs w:val="20"/>
          <w:lang w:bidi="en-US"/>
        </w:rPr>
      </w:pPr>
      <w:r w:rsidRPr="00712F3C">
        <w:rPr>
          <w:rFonts w:eastAsia="Calibri"/>
          <w:sz w:val="20"/>
          <w:szCs w:val="20"/>
          <w:lang w:bidi="en-US"/>
        </w:rPr>
        <w:t>A physical book is prepared by the Registrar on the basis of the Anchor Investor Application Forms received from Anchor Investors. Based on the physical book and at the discretion of the Issuer, in consultation with the BRLM, selected Anchor Investors will be sent a CAN and if required, a revised CAN.</w:t>
      </w:r>
    </w:p>
    <w:p w14:paraId="083A37D2"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p>
    <w:p w14:paraId="3C7C22A5" w14:textId="77777777" w:rsidR="004047F2" w:rsidRPr="00712F3C" w:rsidRDefault="004047F2">
      <w:pPr>
        <w:pStyle w:val="ListParagraph"/>
        <w:widowControl w:val="0"/>
        <w:numPr>
          <w:ilvl w:val="0"/>
          <w:numId w:val="297"/>
        </w:numPr>
        <w:suppressAutoHyphens w:val="0"/>
        <w:autoSpaceDE/>
        <w:autoSpaceDN/>
        <w:adjustRightInd/>
        <w:spacing w:line="240" w:lineRule="auto"/>
        <w:ind w:left="709" w:hanging="283"/>
        <w:contextualSpacing/>
        <w:jc w:val="both"/>
        <w:textAlignment w:val="auto"/>
        <w:rPr>
          <w:rFonts w:eastAsia="Calibri"/>
          <w:b/>
          <w:sz w:val="20"/>
          <w:szCs w:val="20"/>
          <w:lang w:bidi="en-US"/>
        </w:rPr>
      </w:pPr>
      <w:r w:rsidRPr="00712F3C">
        <w:rPr>
          <w:rFonts w:eastAsia="Calibri"/>
          <w:b/>
          <w:sz w:val="20"/>
          <w:szCs w:val="20"/>
          <w:lang w:bidi="en-US"/>
        </w:rPr>
        <w:t>In the event that the Issue Price is higher than the Anchor Investor Allocation Price:</w:t>
      </w:r>
    </w:p>
    <w:p w14:paraId="0149E5FE" w14:textId="77777777" w:rsidR="004047F2" w:rsidRPr="00712F3C" w:rsidRDefault="004047F2" w:rsidP="004047F2">
      <w:pPr>
        <w:widowControl w:val="0"/>
        <w:spacing w:after="0" w:line="240" w:lineRule="auto"/>
        <w:ind w:left="1440"/>
        <w:contextualSpacing/>
        <w:jc w:val="both"/>
        <w:rPr>
          <w:rFonts w:ascii="Times New Roman" w:eastAsia="Calibri" w:hAnsi="Times New Roman"/>
          <w:sz w:val="20"/>
          <w:szCs w:val="20"/>
          <w:lang w:bidi="en-US"/>
        </w:rPr>
      </w:pPr>
    </w:p>
    <w:p w14:paraId="0B08F0C8" w14:textId="77777777" w:rsidR="004047F2" w:rsidRPr="00712F3C" w:rsidRDefault="004047F2" w:rsidP="004047F2">
      <w:pPr>
        <w:widowControl w:val="0"/>
        <w:spacing w:after="0" w:line="240" w:lineRule="auto"/>
        <w:ind w:left="709"/>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 xml:space="preserve">Anchor Investors will be sent a revised CAN within one day of the Pricing Date indicating the number of Equity Shares allocated to such Anchor Investor and the pay-in date for payment of the balance amount. Anchor Investors are then required to pay any additional amounts, being the difference between the Issue Price and the Anchor Investor Allocation Price, as indicated in the revised CAN within the pay-in date referred to in the revised CAN. Thereafter, the Allotment Advice will be issued to such Anchor Investors </w:t>
      </w:r>
    </w:p>
    <w:p w14:paraId="7109E246"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p>
    <w:p w14:paraId="233A96EC" w14:textId="77777777" w:rsidR="004047F2" w:rsidRPr="00712F3C" w:rsidRDefault="004047F2">
      <w:pPr>
        <w:pStyle w:val="ListParagraph"/>
        <w:widowControl w:val="0"/>
        <w:numPr>
          <w:ilvl w:val="0"/>
          <w:numId w:val="297"/>
        </w:numPr>
        <w:suppressAutoHyphens w:val="0"/>
        <w:autoSpaceDE/>
        <w:autoSpaceDN/>
        <w:adjustRightInd/>
        <w:spacing w:line="240" w:lineRule="auto"/>
        <w:ind w:left="709" w:hanging="283"/>
        <w:contextualSpacing/>
        <w:jc w:val="both"/>
        <w:textAlignment w:val="auto"/>
        <w:rPr>
          <w:rFonts w:eastAsia="Calibri"/>
          <w:b/>
          <w:sz w:val="20"/>
          <w:szCs w:val="20"/>
          <w:lang w:bidi="en-US"/>
        </w:rPr>
      </w:pPr>
      <w:r w:rsidRPr="00712F3C">
        <w:rPr>
          <w:rFonts w:eastAsia="Calibri"/>
          <w:b/>
          <w:sz w:val="20"/>
          <w:szCs w:val="20"/>
          <w:lang w:bidi="en-US"/>
        </w:rPr>
        <w:t>In the event the Issue Price is lower than the Anchor Investor Allocation Price:</w:t>
      </w:r>
    </w:p>
    <w:p w14:paraId="19BCA4CB" w14:textId="77777777" w:rsidR="004047F2" w:rsidRPr="00712F3C" w:rsidRDefault="004047F2" w:rsidP="004047F2">
      <w:pPr>
        <w:pStyle w:val="ListParagraph"/>
        <w:spacing w:line="240" w:lineRule="auto"/>
        <w:ind w:left="1440"/>
        <w:contextualSpacing/>
        <w:jc w:val="both"/>
        <w:rPr>
          <w:rFonts w:eastAsia="Calibri"/>
          <w:sz w:val="20"/>
          <w:szCs w:val="20"/>
          <w:lang w:bidi="en-US"/>
        </w:rPr>
      </w:pPr>
    </w:p>
    <w:p w14:paraId="750AB70A" w14:textId="77777777" w:rsidR="004047F2" w:rsidRPr="00712F3C" w:rsidRDefault="004047F2" w:rsidP="004047F2">
      <w:pPr>
        <w:widowControl w:val="0"/>
        <w:spacing w:after="0" w:line="240" w:lineRule="auto"/>
        <w:ind w:left="709"/>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 xml:space="preserve">Anchor Investors who have been Allotted Equity Shares will directly receive Allotment Advice. </w:t>
      </w:r>
    </w:p>
    <w:p w14:paraId="371CFCC9"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p>
    <w:p w14:paraId="6E1A7220" w14:textId="77777777" w:rsidR="004047F2" w:rsidRPr="00712F3C" w:rsidRDefault="004047F2">
      <w:pPr>
        <w:pStyle w:val="ListParagraph"/>
        <w:widowControl w:val="0"/>
        <w:numPr>
          <w:ilvl w:val="0"/>
          <w:numId w:val="297"/>
        </w:numPr>
        <w:suppressAutoHyphens w:val="0"/>
        <w:autoSpaceDE/>
        <w:autoSpaceDN/>
        <w:adjustRightInd/>
        <w:spacing w:line="240" w:lineRule="auto"/>
        <w:ind w:left="709" w:hanging="283"/>
        <w:contextualSpacing/>
        <w:jc w:val="both"/>
        <w:textAlignment w:val="auto"/>
        <w:rPr>
          <w:rFonts w:eastAsia="Calibri"/>
          <w:b/>
          <w:sz w:val="20"/>
          <w:szCs w:val="20"/>
          <w:lang w:bidi="en-US"/>
        </w:rPr>
      </w:pPr>
      <w:r w:rsidRPr="00712F3C">
        <w:rPr>
          <w:rFonts w:eastAsia="Calibri"/>
          <w:b/>
          <w:sz w:val="20"/>
          <w:szCs w:val="20"/>
          <w:lang w:bidi="en-US"/>
        </w:rPr>
        <w:t>Basis of Allotment for QIBs (other than Anchor Investors) and NIIs in case of Over Subscribed Issue:</w:t>
      </w:r>
    </w:p>
    <w:p w14:paraId="07991DEE" w14:textId="77777777" w:rsidR="004047F2" w:rsidRPr="00712F3C" w:rsidRDefault="004047F2" w:rsidP="004047F2">
      <w:pPr>
        <w:widowControl w:val="0"/>
        <w:spacing w:after="0" w:line="240" w:lineRule="auto"/>
        <w:ind w:left="1440"/>
        <w:contextualSpacing/>
        <w:jc w:val="both"/>
        <w:rPr>
          <w:rFonts w:ascii="Times New Roman" w:eastAsia="Calibri" w:hAnsi="Times New Roman"/>
          <w:sz w:val="20"/>
          <w:szCs w:val="20"/>
          <w:lang w:bidi="en-US"/>
        </w:rPr>
      </w:pPr>
    </w:p>
    <w:p w14:paraId="181DE0F2" w14:textId="77777777" w:rsidR="004047F2" w:rsidRPr="00712F3C" w:rsidRDefault="004047F2" w:rsidP="004047F2">
      <w:pPr>
        <w:widowControl w:val="0"/>
        <w:spacing w:after="0" w:line="240" w:lineRule="auto"/>
        <w:ind w:left="709"/>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In the event of the Issue being Over-Subscribed, the Issuer may finalise the Basis of Allotment in consultation with the BSE SME (The Designated Stock Exchange). The allocation may be made in marketable lots on proportionate basis as set forth hereunder:</w:t>
      </w:r>
    </w:p>
    <w:p w14:paraId="4D4B6134"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lang w:bidi="en-US"/>
        </w:rPr>
      </w:pPr>
    </w:p>
    <w:p w14:paraId="5FDCF80F" w14:textId="77777777" w:rsidR="004047F2" w:rsidRPr="00712F3C" w:rsidRDefault="004047F2">
      <w:pPr>
        <w:pStyle w:val="ListParagraph"/>
        <w:widowControl w:val="0"/>
        <w:numPr>
          <w:ilvl w:val="1"/>
          <w:numId w:val="298"/>
        </w:numPr>
        <w:suppressAutoHyphens w:val="0"/>
        <w:autoSpaceDE/>
        <w:autoSpaceDN/>
        <w:adjustRightInd/>
        <w:spacing w:line="240" w:lineRule="auto"/>
        <w:ind w:left="1134" w:hanging="459"/>
        <w:contextualSpacing/>
        <w:jc w:val="both"/>
        <w:textAlignment w:val="auto"/>
        <w:rPr>
          <w:rFonts w:eastAsia="Calibri"/>
          <w:sz w:val="20"/>
          <w:szCs w:val="20"/>
          <w:lang w:bidi="en-US"/>
        </w:rPr>
      </w:pPr>
      <w:r w:rsidRPr="00712F3C">
        <w:rPr>
          <w:rFonts w:eastAsia="Calibri"/>
          <w:sz w:val="20"/>
          <w:szCs w:val="20"/>
          <w:lang w:bidi="en-US"/>
        </w:rPr>
        <w:t xml:space="preserve">The total number of Shares to be allocated to each category as a whole shall be arrived at on a proportionate basis i.e. the total number of Shares applied for in that category multiplied by the inverse of the oversubscription ratio (number </w:t>
      </w:r>
      <w:r w:rsidRPr="00712F3C">
        <w:rPr>
          <w:rFonts w:eastAsia="Calibri"/>
          <w:sz w:val="20"/>
          <w:szCs w:val="20"/>
          <w:lang w:bidi="en-US"/>
        </w:rPr>
        <w:lastRenderedPageBreak/>
        <w:t>of Bidders in the category multiplied by number of Shares applied for).</w:t>
      </w:r>
    </w:p>
    <w:p w14:paraId="3B252E11" w14:textId="77777777" w:rsidR="004047F2" w:rsidRPr="00712F3C" w:rsidRDefault="004047F2" w:rsidP="004047F2">
      <w:pPr>
        <w:pStyle w:val="ListParagraph"/>
        <w:spacing w:line="240" w:lineRule="auto"/>
        <w:ind w:left="1134" w:hanging="459"/>
        <w:contextualSpacing/>
        <w:jc w:val="both"/>
        <w:rPr>
          <w:rFonts w:eastAsia="Calibri"/>
          <w:sz w:val="20"/>
          <w:szCs w:val="20"/>
          <w:lang w:bidi="en-US"/>
        </w:rPr>
      </w:pPr>
    </w:p>
    <w:p w14:paraId="1C651B1E" w14:textId="77777777" w:rsidR="004047F2" w:rsidRPr="00712F3C" w:rsidRDefault="004047F2">
      <w:pPr>
        <w:pStyle w:val="ListParagraph"/>
        <w:widowControl w:val="0"/>
        <w:numPr>
          <w:ilvl w:val="1"/>
          <w:numId w:val="298"/>
        </w:numPr>
        <w:suppressAutoHyphens w:val="0"/>
        <w:autoSpaceDE/>
        <w:autoSpaceDN/>
        <w:adjustRightInd/>
        <w:spacing w:line="240" w:lineRule="auto"/>
        <w:ind w:left="1134" w:hanging="459"/>
        <w:contextualSpacing/>
        <w:jc w:val="both"/>
        <w:textAlignment w:val="auto"/>
        <w:rPr>
          <w:rFonts w:eastAsia="Calibri"/>
          <w:sz w:val="20"/>
          <w:szCs w:val="20"/>
          <w:lang w:bidi="en-US"/>
        </w:rPr>
      </w:pPr>
      <w:r w:rsidRPr="00712F3C">
        <w:rPr>
          <w:rFonts w:eastAsia="Calibri"/>
          <w:sz w:val="20"/>
          <w:szCs w:val="20"/>
          <w:lang w:bidi="en-US"/>
        </w:rPr>
        <w:t>The number of Shares to be allocated to the successful Bidders will be arrived at on a proportionate basis in marketable lots (i.e. Total number of Shares applied for into the inverse of the over subscription ratio).</w:t>
      </w:r>
    </w:p>
    <w:p w14:paraId="6DCE18AD" w14:textId="77777777" w:rsidR="004047F2" w:rsidRPr="00712F3C" w:rsidRDefault="004047F2" w:rsidP="004047F2">
      <w:pPr>
        <w:pStyle w:val="ListParagraph"/>
        <w:spacing w:line="240" w:lineRule="auto"/>
        <w:ind w:left="1134" w:hanging="459"/>
        <w:contextualSpacing/>
        <w:jc w:val="both"/>
        <w:rPr>
          <w:rFonts w:eastAsia="Calibri"/>
          <w:sz w:val="20"/>
          <w:szCs w:val="20"/>
          <w:lang w:bidi="en-US"/>
        </w:rPr>
      </w:pPr>
    </w:p>
    <w:p w14:paraId="16958954" w14:textId="77777777" w:rsidR="004047F2" w:rsidRPr="00712F3C" w:rsidRDefault="004047F2">
      <w:pPr>
        <w:pStyle w:val="ListParagraph"/>
        <w:widowControl w:val="0"/>
        <w:numPr>
          <w:ilvl w:val="1"/>
          <w:numId w:val="298"/>
        </w:numPr>
        <w:suppressAutoHyphens w:val="0"/>
        <w:autoSpaceDE/>
        <w:autoSpaceDN/>
        <w:adjustRightInd/>
        <w:spacing w:line="240" w:lineRule="auto"/>
        <w:ind w:left="1134" w:hanging="459"/>
        <w:contextualSpacing/>
        <w:jc w:val="both"/>
        <w:textAlignment w:val="auto"/>
        <w:rPr>
          <w:rFonts w:eastAsia="Calibri"/>
          <w:sz w:val="20"/>
          <w:szCs w:val="20"/>
          <w:lang w:bidi="en-US"/>
        </w:rPr>
      </w:pPr>
      <w:r w:rsidRPr="00712F3C">
        <w:rPr>
          <w:rFonts w:eastAsia="Calibri"/>
          <w:sz w:val="20"/>
          <w:szCs w:val="20"/>
          <w:lang w:bidi="en-US"/>
        </w:rPr>
        <w:t>For Bids where the proportionate allotment works out to less than [●] equity shares the allotment will be made as follows:</w:t>
      </w:r>
    </w:p>
    <w:p w14:paraId="01C22553" w14:textId="77777777" w:rsidR="004047F2" w:rsidRPr="00712F3C" w:rsidRDefault="004047F2" w:rsidP="004047F2">
      <w:pPr>
        <w:pStyle w:val="ListParagraph"/>
        <w:spacing w:line="240" w:lineRule="auto"/>
        <w:ind w:left="2160"/>
        <w:contextualSpacing/>
        <w:jc w:val="both"/>
        <w:rPr>
          <w:rFonts w:eastAsia="Calibri"/>
          <w:sz w:val="20"/>
          <w:szCs w:val="20"/>
          <w:lang w:bidi="en-US"/>
        </w:rPr>
      </w:pPr>
    </w:p>
    <w:p w14:paraId="101E9169" w14:textId="77777777" w:rsidR="004047F2" w:rsidRPr="00712F3C" w:rsidRDefault="004047F2">
      <w:pPr>
        <w:pStyle w:val="ListParagraph"/>
        <w:widowControl w:val="0"/>
        <w:numPr>
          <w:ilvl w:val="0"/>
          <w:numId w:val="299"/>
        </w:numPr>
        <w:suppressAutoHyphens w:val="0"/>
        <w:autoSpaceDE/>
        <w:autoSpaceDN/>
        <w:adjustRightInd/>
        <w:spacing w:line="240" w:lineRule="auto"/>
        <w:ind w:left="1560" w:hanging="425"/>
        <w:contextualSpacing/>
        <w:jc w:val="both"/>
        <w:textAlignment w:val="auto"/>
        <w:rPr>
          <w:rFonts w:eastAsia="Calibri"/>
          <w:sz w:val="20"/>
          <w:szCs w:val="20"/>
          <w:lang w:bidi="en-US"/>
        </w:rPr>
      </w:pPr>
      <w:r w:rsidRPr="00712F3C">
        <w:rPr>
          <w:rFonts w:eastAsia="Calibri"/>
          <w:sz w:val="20"/>
          <w:szCs w:val="20"/>
          <w:lang w:bidi="en-US"/>
        </w:rPr>
        <w:t xml:space="preserve">Each successful Bidder shall be allotted [●] equity shares; and </w:t>
      </w:r>
    </w:p>
    <w:p w14:paraId="7FBD1BB8" w14:textId="77777777" w:rsidR="004047F2" w:rsidRPr="00712F3C" w:rsidRDefault="004047F2" w:rsidP="004047F2">
      <w:pPr>
        <w:pStyle w:val="ListParagraph"/>
        <w:spacing w:line="240" w:lineRule="auto"/>
        <w:ind w:left="1560" w:hanging="425"/>
        <w:contextualSpacing/>
        <w:jc w:val="both"/>
        <w:rPr>
          <w:rFonts w:eastAsia="Calibri"/>
          <w:sz w:val="20"/>
          <w:szCs w:val="20"/>
          <w:lang w:bidi="en-US"/>
        </w:rPr>
      </w:pPr>
    </w:p>
    <w:p w14:paraId="14DD69FE" w14:textId="77777777" w:rsidR="004047F2" w:rsidRPr="00712F3C" w:rsidRDefault="004047F2">
      <w:pPr>
        <w:pStyle w:val="ListParagraph"/>
        <w:widowControl w:val="0"/>
        <w:numPr>
          <w:ilvl w:val="0"/>
          <w:numId w:val="299"/>
        </w:numPr>
        <w:suppressAutoHyphens w:val="0"/>
        <w:autoSpaceDE/>
        <w:autoSpaceDN/>
        <w:adjustRightInd/>
        <w:spacing w:line="240" w:lineRule="auto"/>
        <w:ind w:left="1560" w:hanging="425"/>
        <w:contextualSpacing/>
        <w:jc w:val="both"/>
        <w:textAlignment w:val="auto"/>
        <w:rPr>
          <w:rFonts w:eastAsia="Calibri"/>
          <w:sz w:val="20"/>
          <w:szCs w:val="20"/>
          <w:lang w:bidi="en-US"/>
        </w:rPr>
      </w:pPr>
      <w:r w:rsidRPr="00712F3C">
        <w:rPr>
          <w:rFonts w:eastAsia="Calibri"/>
          <w:sz w:val="20"/>
          <w:szCs w:val="20"/>
          <w:lang w:bidi="en-US"/>
        </w:rPr>
        <w:t xml:space="preserve">The successful Bidder out of the total bidders for that category shall be determined by draw of lots in such a manner that the total number of Shares allotted in that category is equal to the number of Shares worked out as per (b) above. </w:t>
      </w:r>
    </w:p>
    <w:p w14:paraId="0D37EA67" w14:textId="77777777" w:rsidR="004047F2" w:rsidRPr="00712F3C" w:rsidRDefault="004047F2" w:rsidP="004047F2">
      <w:pPr>
        <w:pStyle w:val="ListParagraph"/>
        <w:spacing w:line="240" w:lineRule="auto"/>
        <w:contextualSpacing/>
        <w:jc w:val="both"/>
        <w:rPr>
          <w:rFonts w:eastAsia="Calibri"/>
          <w:sz w:val="20"/>
          <w:szCs w:val="20"/>
          <w:lang w:bidi="en-US"/>
        </w:rPr>
      </w:pPr>
    </w:p>
    <w:p w14:paraId="35281C94" w14:textId="77777777" w:rsidR="004047F2" w:rsidRPr="00712F3C" w:rsidRDefault="004047F2">
      <w:pPr>
        <w:pStyle w:val="ListParagraph"/>
        <w:widowControl w:val="0"/>
        <w:numPr>
          <w:ilvl w:val="1"/>
          <w:numId w:val="298"/>
        </w:numPr>
        <w:suppressAutoHyphens w:val="0"/>
        <w:autoSpaceDE/>
        <w:autoSpaceDN/>
        <w:adjustRightInd/>
        <w:spacing w:line="240" w:lineRule="auto"/>
        <w:ind w:left="1134" w:hanging="459"/>
        <w:contextualSpacing/>
        <w:jc w:val="both"/>
        <w:textAlignment w:val="auto"/>
        <w:rPr>
          <w:rFonts w:eastAsia="Calibri"/>
          <w:sz w:val="20"/>
          <w:szCs w:val="20"/>
          <w:lang w:bidi="en-US"/>
        </w:rPr>
      </w:pPr>
      <w:r w:rsidRPr="00712F3C">
        <w:rPr>
          <w:rFonts w:eastAsia="Calibri"/>
          <w:sz w:val="20"/>
          <w:szCs w:val="20"/>
          <w:lang w:bidi="en-US"/>
        </w:rPr>
        <w:t xml:space="preserve">If the proportionate allotment to a Bidder works out to a number that is not a multiple of [●] equity shares, the Bidder would be allotted Shares by rounding off to the nearest multiple of [●] equity shares subject to a minimum allotment of [●] equity shares. </w:t>
      </w:r>
    </w:p>
    <w:p w14:paraId="5EDD2538" w14:textId="77777777" w:rsidR="004047F2" w:rsidRPr="00712F3C" w:rsidRDefault="004047F2" w:rsidP="004047F2">
      <w:pPr>
        <w:pStyle w:val="ListParagraph"/>
        <w:widowControl w:val="0"/>
        <w:suppressAutoHyphens w:val="0"/>
        <w:autoSpaceDE/>
        <w:autoSpaceDN/>
        <w:adjustRightInd/>
        <w:spacing w:line="240" w:lineRule="auto"/>
        <w:ind w:left="1134"/>
        <w:contextualSpacing/>
        <w:jc w:val="both"/>
        <w:textAlignment w:val="auto"/>
        <w:rPr>
          <w:rFonts w:eastAsia="Calibri"/>
          <w:sz w:val="20"/>
          <w:szCs w:val="20"/>
          <w:lang w:bidi="en-US"/>
        </w:rPr>
      </w:pPr>
    </w:p>
    <w:p w14:paraId="64E9ABCF" w14:textId="77777777" w:rsidR="004047F2" w:rsidRPr="00712F3C" w:rsidRDefault="004047F2">
      <w:pPr>
        <w:pStyle w:val="ListParagraph"/>
        <w:widowControl w:val="0"/>
        <w:numPr>
          <w:ilvl w:val="1"/>
          <w:numId w:val="298"/>
        </w:numPr>
        <w:suppressAutoHyphens w:val="0"/>
        <w:autoSpaceDE/>
        <w:autoSpaceDN/>
        <w:adjustRightInd/>
        <w:spacing w:line="240" w:lineRule="auto"/>
        <w:ind w:left="1134" w:hanging="459"/>
        <w:contextualSpacing/>
        <w:jc w:val="both"/>
        <w:textAlignment w:val="auto"/>
        <w:rPr>
          <w:rFonts w:eastAsia="Calibri"/>
          <w:sz w:val="20"/>
          <w:szCs w:val="20"/>
          <w:lang w:bidi="en-US"/>
        </w:rPr>
      </w:pPr>
      <w:r w:rsidRPr="00712F3C">
        <w:rPr>
          <w:rFonts w:eastAsia="Calibri"/>
          <w:sz w:val="20"/>
          <w:szCs w:val="20"/>
          <w:lang w:bidi="en-US"/>
        </w:rPr>
        <w:t>If the Shares allotted on a proportionate basis to any category is more than the Shares allotted to the Bidders in that category, the balance available Shares or allocation shall be first adjusted against any category, where the allotted Shares are not sufficient for proportionate allotment to the successful Bidder in that category, the balance Shares, if any, remaining after such adjustment will be added to the category comprising Bidder applying for the minimum number of Shares. If as a result of the process of rounding off to the nearest multiple of [●] Equity Shares, results in the actual allotment being higher than the shares offered, the final allotment may be higher at the sole discretion of the Board of Directors, up to 110% of the size of the Issue specified under the Capital Structure mentioned in this DRHP.</w:t>
      </w:r>
    </w:p>
    <w:p w14:paraId="73711590" w14:textId="77777777" w:rsidR="004047F2" w:rsidRPr="00712F3C" w:rsidRDefault="004047F2" w:rsidP="004047F2">
      <w:pPr>
        <w:widowControl w:val="0"/>
        <w:spacing w:after="0" w:line="240" w:lineRule="auto"/>
        <w:ind w:left="1440"/>
        <w:contextualSpacing/>
        <w:jc w:val="both"/>
        <w:rPr>
          <w:rFonts w:ascii="Times New Roman" w:eastAsia="Calibri" w:hAnsi="Times New Roman"/>
          <w:sz w:val="20"/>
          <w:szCs w:val="20"/>
          <w:lang w:bidi="en-US"/>
        </w:rPr>
      </w:pPr>
    </w:p>
    <w:p w14:paraId="54552EB2" w14:textId="36339D92" w:rsidR="004047F2" w:rsidRPr="00712F3C" w:rsidRDefault="004047F2" w:rsidP="004047F2">
      <w:pPr>
        <w:widowControl w:val="0"/>
        <w:spacing w:after="0" w:line="240" w:lineRule="auto"/>
        <w:ind w:left="1134"/>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Retail Individual Investor' means an investor who applies for shares of value of not more than ₹ 2,00,000/-.</w:t>
      </w:r>
      <w:r w:rsidR="00636B58">
        <w:rPr>
          <w:rFonts w:ascii="Times New Roman" w:eastAsia="Calibri" w:hAnsi="Times New Roman"/>
          <w:sz w:val="20"/>
          <w:szCs w:val="20"/>
          <w:lang w:bidi="en-US"/>
        </w:rPr>
        <w:t xml:space="preserve"> </w:t>
      </w:r>
      <w:r w:rsidRPr="00712F3C">
        <w:rPr>
          <w:rFonts w:ascii="Times New Roman" w:eastAsia="Calibri" w:hAnsi="Times New Roman"/>
          <w:sz w:val="20"/>
          <w:szCs w:val="20"/>
          <w:lang w:bidi="en-US"/>
        </w:rPr>
        <w:t xml:space="preserve">Investors may note that in case of over subscription allotment shall be on proportionate basis and will be finalized in consultation with BSE. </w:t>
      </w:r>
    </w:p>
    <w:p w14:paraId="62ED4664" w14:textId="77777777" w:rsidR="004047F2" w:rsidRPr="00712F3C" w:rsidRDefault="004047F2" w:rsidP="004047F2">
      <w:pPr>
        <w:widowControl w:val="0"/>
        <w:spacing w:after="0" w:line="240" w:lineRule="auto"/>
        <w:ind w:left="630"/>
        <w:contextualSpacing/>
        <w:jc w:val="both"/>
        <w:rPr>
          <w:rFonts w:ascii="Times New Roman" w:eastAsia="Calibri" w:hAnsi="Times New Roman"/>
          <w:sz w:val="20"/>
          <w:szCs w:val="20"/>
          <w:lang w:bidi="en-US"/>
        </w:rPr>
      </w:pPr>
    </w:p>
    <w:p w14:paraId="43B26177" w14:textId="77777777" w:rsidR="004047F2" w:rsidRPr="00712F3C" w:rsidRDefault="004047F2" w:rsidP="004047F2">
      <w:pPr>
        <w:widowControl w:val="0"/>
        <w:spacing w:after="0" w:line="240" w:lineRule="auto"/>
        <w:ind w:left="1134"/>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The Executive Director/ Managing Director of BSE - the Designated Stock Exchange in addition to Book Running Lead Manager and Registrar to the Public Issue shall be responsible to ensure that the basis of allotment is finalized in a fair and proper manner in accordance with the SEBI (ICDR) Regulations.</w:t>
      </w:r>
    </w:p>
    <w:p w14:paraId="2D51E4BA" w14:textId="77777777" w:rsidR="004047F2" w:rsidRPr="00712F3C" w:rsidRDefault="004047F2" w:rsidP="004047F2">
      <w:pPr>
        <w:spacing w:after="0" w:line="240" w:lineRule="auto"/>
        <w:contextualSpacing/>
        <w:jc w:val="both"/>
        <w:rPr>
          <w:rFonts w:ascii="Times New Roman" w:eastAsia="Calibri" w:hAnsi="Times New Roman"/>
          <w:sz w:val="20"/>
          <w:szCs w:val="20"/>
        </w:rPr>
      </w:pPr>
    </w:p>
    <w:p w14:paraId="39C08CE3" w14:textId="77777777" w:rsidR="004047F2" w:rsidRPr="00712F3C" w:rsidRDefault="004047F2" w:rsidP="004047F2">
      <w:pPr>
        <w:widowControl w:val="0"/>
        <w:spacing w:after="0" w:line="240" w:lineRule="auto"/>
        <w:contextualSpacing/>
        <w:jc w:val="both"/>
        <w:rPr>
          <w:rFonts w:ascii="Times New Roman" w:eastAsia="Calibri" w:hAnsi="Times New Roman"/>
          <w:b/>
          <w:sz w:val="20"/>
          <w:szCs w:val="20"/>
        </w:rPr>
      </w:pPr>
      <w:r w:rsidRPr="00712F3C">
        <w:rPr>
          <w:rFonts w:ascii="Times New Roman" w:eastAsia="Calibri" w:hAnsi="Times New Roman"/>
          <w:b/>
          <w:sz w:val="20"/>
          <w:szCs w:val="20"/>
        </w:rPr>
        <w:t>Issuance of Allotment Advice</w:t>
      </w:r>
    </w:p>
    <w:p w14:paraId="2AE9A7B9" w14:textId="77777777" w:rsidR="004047F2" w:rsidRPr="00712F3C" w:rsidRDefault="004047F2" w:rsidP="004047F2">
      <w:pPr>
        <w:widowControl w:val="0"/>
        <w:spacing w:after="0" w:line="240" w:lineRule="auto"/>
        <w:contextualSpacing/>
        <w:jc w:val="both"/>
        <w:rPr>
          <w:rFonts w:ascii="Times New Roman" w:eastAsia="Calibri" w:hAnsi="Times New Roman"/>
          <w:b/>
          <w:sz w:val="20"/>
          <w:szCs w:val="20"/>
          <w:u w:val="single"/>
        </w:rPr>
      </w:pPr>
    </w:p>
    <w:p w14:paraId="60D43414" w14:textId="77777777" w:rsidR="004047F2" w:rsidRPr="00712F3C" w:rsidRDefault="004047F2">
      <w:pPr>
        <w:widowControl w:val="0"/>
        <w:numPr>
          <w:ilvl w:val="0"/>
          <w:numId w:val="206"/>
        </w:numPr>
        <w:autoSpaceDE w:val="0"/>
        <w:autoSpaceDN w:val="0"/>
        <w:adjustRightInd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 xml:space="preserve">Upon </w:t>
      </w:r>
      <w:r w:rsidRPr="00712F3C">
        <w:rPr>
          <w:rFonts w:ascii="Times New Roman" w:hAnsi="Times New Roman"/>
          <w:sz w:val="20"/>
          <w:szCs w:val="20"/>
        </w:rPr>
        <w:t>approval</w:t>
      </w:r>
      <w:r w:rsidRPr="00712F3C">
        <w:rPr>
          <w:rFonts w:ascii="Times New Roman" w:eastAsia="Calibri" w:hAnsi="Times New Roman"/>
          <w:sz w:val="20"/>
          <w:szCs w:val="20"/>
          <w:lang w:bidi="en-US"/>
        </w:rPr>
        <w:t xml:space="preserve"> of the Basis of Allotment by the Designated Stock Exchange.</w:t>
      </w:r>
    </w:p>
    <w:p w14:paraId="47DED53B" w14:textId="77777777" w:rsidR="004047F2" w:rsidRPr="00712F3C" w:rsidRDefault="004047F2" w:rsidP="004047F2">
      <w:pPr>
        <w:widowControl w:val="0"/>
        <w:spacing w:after="0" w:line="240" w:lineRule="auto"/>
        <w:ind w:left="540" w:hanging="540"/>
        <w:contextualSpacing/>
        <w:jc w:val="both"/>
        <w:rPr>
          <w:rFonts w:ascii="Times New Roman" w:eastAsia="Calibri" w:hAnsi="Times New Roman"/>
          <w:sz w:val="20"/>
          <w:szCs w:val="20"/>
          <w:lang w:bidi="en-US"/>
        </w:rPr>
      </w:pPr>
    </w:p>
    <w:p w14:paraId="4AA71CD6" w14:textId="77777777" w:rsidR="004047F2" w:rsidRPr="00712F3C" w:rsidRDefault="004047F2">
      <w:pPr>
        <w:widowControl w:val="0"/>
        <w:numPr>
          <w:ilvl w:val="0"/>
          <w:numId w:val="206"/>
        </w:numPr>
        <w:autoSpaceDE w:val="0"/>
        <w:autoSpaceDN w:val="0"/>
        <w:adjustRightInd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 xml:space="preserve">On the basis of approved Basis of Allotment, the Issuer shall pass necessary corporate action to facilitate the allotment and credit of </w:t>
      </w:r>
      <w:r w:rsidRPr="00712F3C">
        <w:rPr>
          <w:rFonts w:ascii="Times New Roman" w:hAnsi="Times New Roman"/>
          <w:sz w:val="20"/>
          <w:szCs w:val="20"/>
        </w:rPr>
        <w:t>equity</w:t>
      </w:r>
      <w:r w:rsidRPr="00712F3C">
        <w:rPr>
          <w:rFonts w:ascii="Times New Roman" w:eastAsia="Calibri" w:hAnsi="Times New Roman"/>
          <w:sz w:val="20"/>
          <w:szCs w:val="20"/>
          <w:lang w:bidi="en-US"/>
        </w:rPr>
        <w:t xml:space="preserve"> shares. Bidders are advised to instruct their Depository Participants to accept the Equity Shares that may be allotted to them pursuant to the issue. </w:t>
      </w:r>
    </w:p>
    <w:p w14:paraId="080A26DF" w14:textId="77777777" w:rsidR="004047F2" w:rsidRPr="00712F3C" w:rsidRDefault="004047F2" w:rsidP="004047F2">
      <w:pPr>
        <w:widowControl w:val="0"/>
        <w:spacing w:after="0" w:line="240" w:lineRule="auto"/>
        <w:ind w:hanging="540"/>
        <w:contextualSpacing/>
        <w:jc w:val="both"/>
        <w:rPr>
          <w:rFonts w:ascii="Times New Roman" w:eastAsia="Calibri" w:hAnsi="Times New Roman"/>
          <w:sz w:val="20"/>
          <w:szCs w:val="20"/>
          <w:lang w:bidi="en-US"/>
        </w:rPr>
      </w:pPr>
    </w:p>
    <w:p w14:paraId="0881E66C" w14:textId="77777777" w:rsidR="004047F2" w:rsidRPr="00712F3C" w:rsidRDefault="004047F2" w:rsidP="004047F2">
      <w:pPr>
        <w:widowControl w:val="0"/>
        <w:autoSpaceDE w:val="0"/>
        <w:autoSpaceDN w:val="0"/>
        <w:adjustRightInd w:val="0"/>
        <w:spacing w:after="0" w:line="240" w:lineRule="auto"/>
        <w:ind w:left="360"/>
        <w:contextualSpacing/>
        <w:jc w:val="both"/>
        <w:rPr>
          <w:rFonts w:ascii="Times New Roman" w:eastAsia="Calibri" w:hAnsi="Times New Roman"/>
          <w:sz w:val="20"/>
          <w:szCs w:val="20"/>
        </w:rPr>
      </w:pPr>
      <w:r w:rsidRPr="00712F3C">
        <w:rPr>
          <w:rFonts w:ascii="Times New Roman" w:eastAsia="Calibri" w:hAnsi="Times New Roman"/>
          <w:sz w:val="20"/>
          <w:szCs w:val="20"/>
          <w:lang w:bidi="en-US"/>
        </w:rPr>
        <w:t xml:space="preserve">The Book Running Lead Manager or the Registrar to the Issue will dispatch an Allotment Advice to their Bidders who have been allocated Equity Shares in the Issue. </w:t>
      </w:r>
      <w:r w:rsidRPr="00712F3C">
        <w:rPr>
          <w:rFonts w:ascii="Times New Roman" w:eastAsia="Calibri" w:hAnsi="Times New Roman"/>
          <w:sz w:val="20"/>
          <w:szCs w:val="20"/>
        </w:rPr>
        <w:t>The dispatch of Allotment Advice shall be deemed a valid, binding and irrevocable contract for the Allotment to such Bidder.</w:t>
      </w:r>
    </w:p>
    <w:p w14:paraId="7A71738E" w14:textId="77777777" w:rsidR="004047F2" w:rsidRPr="00712F3C" w:rsidRDefault="004047F2" w:rsidP="004047F2">
      <w:pPr>
        <w:widowControl w:val="0"/>
        <w:spacing w:after="0" w:line="240" w:lineRule="auto"/>
        <w:ind w:hanging="540"/>
        <w:contextualSpacing/>
        <w:jc w:val="both"/>
        <w:rPr>
          <w:rFonts w:ascii="Times New Roman" w:eastAsia="Calibri" w:hAnsi="Times New Roman"/>
          <w:sz w:val="20"/>
          <w:szCs w:val="20"/>
        </w:rPr>
      </w:pPr>
    </w:p>
    <w:p w14:paraId="6D6B02DF" w14:textId="77777777" w:rsidR="004047F2" w:rsidRPr="00712F3C" w:rsidRDefault="004047F2">
      <w:pPr>
        <w:widowControl w:val="0"/>
        <w:numPr>
          <w:ilvl w:val="0"/>
          <w:numId w:val="206"/>
        </w:numPr>
        <w:autoSpaceDE w:val="0"/>
        <w:autoSpaceDN w:val="0"/>
        <w:adjustRightInd w:val="0"/>
        <w:spacing w:after="0" w:line="240" w:lineRule="auto"/>
        <w:contextualSpacing/>
        <w:jc w:val="both"/>
        <w:rPr>
          <w:rFonts w:ascii="Times New Roman" w:hAnsi="Times New Roman"/>
          <w:sz w:val="20"/>
          <w:szCs w:val="20"/>
        </w:rPr>
      </w:pPr>
      <w:r w:rsidRPr="00712F3C">
        <w:rPr>
          <w:rFonts w:ascii="Times New Roman" w:hAnsi="Times New Roman"/>
          <w:sz w:val="20"/>
          <w:szCs w:val="20"/>
        </w:rPr>
        <w:t xml:space="preserve">Issuer will make the allotment of the Equity Shares and initiate corporate action for credit of shares to the successful Bidders Depository Account within 4 working days of the Issue Closing date. The Issuer also ensures the credit of shares to the successful Bidders Depository Account is completed within one working Day from the date of allotment, after the funds are transferred from ASBA Public Issue Account to Public Issue account of the issuer. </w:t>
      </w:r>
    </w:p>
    <w:p w14:paraId="3D5A219E"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rPr>
      </w:pPr>
    </w:p>
    <w:p w14:paraId="45C886EF" w14:textId="77777777" w:rsidR="004047F2" w:rsidRPr="00712F3C" w:rsidRDefault="004047F2" w:rsidP="004047F2">
      <w:pPr>
        <w:widowControl w:val="0"/>
        <w:spacing w:after="0" w:line="240" w:lineRule="auto"/>
        <w:contextualSpacing/>
        <w:jc w:val="both"/>
        <w:rPr>
          <w:rFonts w:ascii="Times New Roman" w:eastAsia="Calibri" w:hAnsi="Times New Roman"/>
          <w:b/>
          <w:sz w:val="20"/>
          <w:szCs w:val="20"/>
        </w:rPr>
      </w:pPr>
      <w:r w:rsidRPr="00712F3C">
        <w:rPr>
          <w:rFonts w:ascii="Times New Roman" w:eastAsia="Calibri" w:hAnsi="Times New Roman"/>
          <w:b/>
          <w:sz w:val="20"/>
          <w:szCs w:val="20"/>
        </w:rPr>
        <w:t xml:space="preserve">Designated Date: </w:t>
      </w:r>
    </w:p>
    <w:p w14:paraId="38ED652D" w14:textId="77777777" w:rsidR="004047F2" w:rsidRPr="00712F3C" w:rsidRDefault="004047F2" w:rsidP="004047F2">
      <w:pPr>
        <w:widowControl w:val="0"/>
        <w:spacing w:after="0" w:line="240" w:lineRule="auto"/>
        <w:contextualSpacing/>
        <w:jc w:val="both"/>
        <w:rPr>
          <w:rFonts w:ascii="Times New Roman" w:eastAsia="Calibri" w:hAnsi="Times New Roman"/>
          <w:b/>
          <w:sz w:val="20"/>
          <w:szCs w:val="20"/>
        </w:rPr>
      </w:pPr>
    </w:p>
    <w:p w14:paraId="064F4DD6"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 xml:space="preserve">On the Designated date, the SCSBs shall transfers the funds represented by allocations of the Equity Shares into Public Issue Account with the Bankers to the Issue. </w:t>
      </w:r>
    </w:p>
    <w:p w14:paraId="2B69C018"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rPr>
      </w:pPr>
    </w:p>
    <w:p w14:paraId="12FB18C9" w14:textId="77777777" w:rsidR="004047F2" w:rsidRPr="00712F3C" w:rsidRDefault="004047F2" w:rsidP="004047F2">
      <w:pPr>
        <w:widowControl w:val="0"/>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The Company will issue and dispatch letters of allotment/ or letters of regret along with refund order or credit the allotted securities to the respective beneficiary accounts, if any within a period of 4 working days of the Bid/Issue Closing Date. The Company will intimate the details of allotment of securities to Depository immediately on allotment of securities under relevant provisions of the Companies Act, 2013 or other applicable provisions, if any</w:t>
      </w:r>
    </w:p>
    <w:p w14:paraId="45F2961C" w14:textId="77777777" w:rsidR="004047F2" w:rsidRDefault="004047F2" w:rsidP="004047F2">
      <w:pPr>
        <w:spacing w:after="0" w:line="240" w:lineRule="auto"/>
        <w:contextualSpacing/>
        <w:jc w:val="both"/>
        <w:rPr>
          <w:rFonts w:ascii="Times New Roman" w:eastAsia="Calibri" w:hAnsi="Times New Roman"/>
          <w:b/>
          <w:sz w:val="20"/>
          <w:szCs w:val="20"/>
          <w:u w:val="single"/>
        </w:rPr>
      </w:pPr>
    </w:p>
    <w:p w14:paraId="6A3387C8" w14:textId="77777777" w:rsidR="00636B58" w:rsidRDefault="00636B58" w:rsidP="004047F2">
      <w:pPr>
        <w:spacing w:after="0" w:line="240" w:lineRule="auto"/>
        <w:contextualSpacing/>
        <w:jc w:val="both"/>
        <w:rPr>
          <w:rFonts w:ascii="Times New Roman" w:eastAsia="Calibri" w:hAnsi="Times New Roman"/>
          <w:b/>
          <w:sz w:val="20"/>
          <w:szCs w:val="20"/>
          <w:u w:val="single"/>
        </w:rPr>
      </w:pPr>
    </w:p>
    <w:p w14:paraId="7BA0DB4E" w14:textId="77777777" w:rsidR="00636B58" w:rsidRPr="00712F3C" w:rsidRDefault="00636B58" w:rsidP="004047F2">
      <w:pPr>
        <w:spacing w:after="0" w:line="240" w:lineRule="auto"/>
        <w:contextualSpacing/>
        <w:jc w:val="both"/>
        <w:rPr>
          <w:rFonts w:ascii="Times New Roman" w:eastAsia="Calibri" w:hAnsi="Times New Roman"/>
          <w:b/>
          <w:sz w:val="20"/>
          <w:szCs w:val="20"/>
          <w:u w:val="single"/>
        </w:rPr>
      </w:pPr>
    </w:p>
    <w:p w14:paraId="067587C4" w14:textId="77777777" w:rsidR="004047F2" w:rsidRPr="00712F3C" w:rsidRDefault="004047F2" w:rsidP="004047F2">
      <w:pPr>
        <w:spacing w:after="0" w:line="240" w:lineRule="auto"/>
        <w:contextualSpacing/>
        <w:jc w:val="both"/>
        <w:rPr>
          <w:rFonts w:ascii="Times New Roman" w:eastAsia="Calibri" w:hAnsi="Times New Roman"/>
          <w:b/>
          <w:sz w:val="20"/>
          <w:szCs w:val="20"/>
          <w:u w:val="single"/>
        </w:rPr>
      </w:pPr>
      <w:r w:rsidRPr="00712F3C">
        <w:rPr>
          <w:rFonts w:ascii="Times New Roman" w:eastAsia="Calibri" w:hAnsi="Times New Roman"/>
          <w:b/>
          <w:bCs/>
          <w:sz w:val="20"/>
          <w:szCs w:val="20"/>
          <w:u w:val="single"/>
        </w:rPr>
        <w:lastRenderedPageBreak/>
        <w:t>Instructions for Completing the Bid Cum Application Form</w:t>
      </w:r>
    </w:p>
    <w:p w14:paraId="65E62AA4" w14:textId="77777777" w:rsidR="004047F2" w:rsidRPr="00712F3C" w:rsidRDefault="004047F2" w:rsidP="004047F2">
      <w:pPr>
        <w:spacing w:after="0" w:line="240" w:lineRule="auto"/>
        <w:contextualSpacing/>
        <w:jc w:val="both"/>
        <w:rPr>
          <w:rFonts w:ascii="Times New Roman" w:eastAsia="Calibri" w:hAnsi="Times New Roman"/>
          <w:b/>
          <w:sz w:val="20"/>
          <w:szCs w:val="20"/>
        </w:rPr>
      </w:pPr>
    </w:p>
    <w:p w14:paraId="49FEB782" w14:textId="77777777" w:rsidR="004047F2" w:rsidRPr="00712F3C" w:rsidRDefault="004047F2" w:rsidP="004047F2">
      <w:pPr>
        <w:autoSpaceDE w:val="0"/>
        <w:autoSpaceDN w:val="0"/>
        <w:adjustRightInd w:val="0"/>
        <w:spacing w:after="0" w:line="240" w:lineRule="auto"/>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 xml:space="preserve">The Applications should be submitted on the prescribed Bid Cum Application Form and in BLOCK LETTERS in ENGLISH only in accordance with the instructions contained herein and in the Bid Cum Application Form. Applications not so made are liable to be rejected. </w:t>
      </w:r>
      <w:r w:rsidRPr="00712F3C">
        <w:rPr>
          <w:rFonts w:ascii="Times New Roman" w:eastAsia="Calibri" w:hAnsi="Times New Roman"/>
          <w:sz w:val="20"/>
          <w:szCs w:val="20"/>
        </w:rPr>
        <w:t xml:space="preserve">Applications made using a third-party bank account or using third party UPI ID linked bank account are liable to be rejected. </w:t>
      </w:r>
      <w:r w:rsidRPr="00712F3C">
        <w:rPr>
          <w:rFonts w:ascii="Times New Roman" w:eastAsia="Calibri" w:hAnsi="Times New Roman"/>
          <w:sz w:val="20"/>
          <w:szCs w:val="20"/>
          <w:lang w:bidi="en-US"/>
        </w:rPr>
        <w:t>Bid Cum Application Forms should bear the stamp of the Designated Intermediaries. ASBA Bid Cum Application Forms, which do not bear the stamp of the Designated Intermediaries, will be rejected.</w:t>
      </w:r>
    </w:p>
    <w:p w14:paraId="4BD2DF93" w14:textId="77777777" w:rsidR="004047F2" w:rsidRPr="00712F3C" w:rsidRDefault="004047F2" w:rsidP="004047F2">
      <w:pPr>
        <w:spacing w:after="0" w:line="240" w:lineRule="auto"/>
        <w:contextualSpacing/>
        <w:jc w:val="both"/>
        <w:rPr>
          <w:rFonts w:ascii="Times New Roman" w:eastAsia="Calibri" w:hAnsi="Times New Roman"/>
          <w:b/>
          <w:sz w:val="20"/>
          <w:szCs w:val="20"/>
        </w:rPr>
      </w:pPr>
    </w:p>
    <w:p w14:paraId="73D7F313" w14:textId="7D11DA0A" w:rsidR="004047F2" w:rsidRPr="00E079C3" w:rsidRDefault="004047F2" w:rsidP="004047F2">
      <w:pPr>
        <w:autoSpaceDE w:val="0"/>
        <w:autoSpaceDN w:val="0"/>
        <w:adjustRightInd w:val="0"/>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 xml:space="preserve">SEBI, vide Circular No.CIR/CFD/14/2012 dated October 04, 2012 has introduced an additional mechanism for investors to submit </w:t>
      </w:r>
      <w:r w:rsidRPr="00E079C3">
        <w:rPr>
          <w:rFonts w:ascii="Times New Roman" w:eastAsia="Calibri" w:hAnsi="Times New Roman"/>
          <w:sz w:val="20"/>
          <w:szCs w:val="20"/>
        </w:rPr>
        <w:t>Bid Cum Application Forms in public issues using the stock broker (broker) network of Stock Exchanges, who may not be syndicate members in an issue with effect from January 01, 2013. The list of Broker Centre is available on the websites of BSE i.e.</w:t>
      </w:r>
      <w:r w:rsidR="00636B58">
        <w:rPr>
          <w:rFonts w:ascii="Times New Roman" w:eastAsia="Calibri" w:hAnsi="Times New Roman"/>
          <w:sz w:val="20"/>
          <w:szCs w:val="20"/>
        </w:rPr>
        <w:t>,</w:t>
      </w:r>
      <w:r w:rsidRPr="00E079C3">
        <w:rPr>
          <w:rFonts w:ascii="Times New Roman" w:eastAsia="Calibri" w:hAnsi="Times New Roman"/>
          <w:sz w:val="20"/>
          <w:szCs w:val="20"/>
        </w:rPr>
        <w:t xml:space="preserve"> </w:t>
      </w:r>
      <w:hyperlink r:id="rId101" w:history="1">
        <w:r w:rsidRPr="00E079C3">
          <w:rPr>
            <w:rStyle w:val="Hyperlink"/>
            <w:rFonts w:ascii="Times New Roman" w:eastAsia="Calibri" w:hAnsi="Times New Roman"/>
            <w:sz w:val="20"/>
            <w:szCs w:val="20"/>
          </w:rPr>
          <w:t>www.bseindia.com</w:t>
        </w:r>
      </w:hyperlink>
      <w:r w:rsidRPr="00E079C3">
        <w:rPr>
          <w:rFonts w:ascii="Times New Roman" w:eastAsia="Calibri" w:hAnsi="Times New Roman"/>
          <w:sz w:val="20"/>
          <w:szCs w:val="20"/>
        </w:rPr>
        <w:t xml:space="preserve"> and NSE i.e.</w:t>
      </w:r>
      <w:r w:rsidR="00636B58">
        <w:rPr>
          <w:rFonts w:ascii="Times New Roman" w:eastAsia="Calibri" w:hAnsi="Times New Roman"/>
          <w:sz w:val="20"/>
          <w:szCs w:val="20"/>
        </w:rPr>
        <w:t>,</w:t>
      </w:r>
      <w:r w:rsidRPr="00E079C3">
        <w:rPr>
          <w:rFonts w:ascii="Times New Roman" w:eastAsia="Calibri" w:hAnsi="Times New Roman"/>
          <w:sz w:val="20"/>
          <w:szCs w:val="20"/>
        </w:rPr>
        <w:t xml:space="preserve"> </w:t>
      </w:r>
      <w:hyperlink r:id="rId102" w:history="1">
        <w:r w:rsidRPr="00E079C3">
          <w:rPr>
            <w:rStyle w:val="Hyperlink"/>
            <w:rFonts w:ascii="Times New Roman" w:eastAsia="Calibri" w:hAnsi="Times New Roman"/>
            <w:sz w:val="20"/>
            <w:szCs w:val="20"/>
          </w:rPr>
          <w:t>www.nseindia.com</w:t>
        </w:r>
      </w:hyperlink>
      <w:r w:rsidRPr="00E079C3">
        <w:rPr>
          <w:rFonts w:ascii="Times New Roman" w:eastAsia="Calibri" w:hAnsi="Times New Roman"/>
          <w:sz w:val="20"/>
          <w:szCs w:val="20"/>
        </w:rPr>
        <w:t>. With a view to broad base the reach of Investors by substantial, enhancing the points for submission of applications, SEBI vide Circular No. CIR/CFD/POLICY CELL/11/2015 dated November 10, 2015 has permitted Registrar to the Issue and Share Transfer Agent and Depository Participants registered with SEBI to accept the Bid Cum Application Forms in Public Issue with effect front January 01, 2016. The List of ETA and DPs centres for collecting the application shall be disclosed is available on the websites of BSE i.e.</w:t>
      </w:r>
      <w:r w:rsidR="00636B58">
        <w:rPr>
          <w:rFonts w:ascii="Times New Roman" w:eastAsia="Calibri" w:hAnsi="Times New Roman"/>
          <w:sz w:val="20"/>
          <w:szCs w:val="20"/>
        </w:rPr>
        <w:t>,</w:t>
      </w:r>
      <w:r w:rsidRPr="00E079C3">
        <w:rPr>
          <w:rFonts w:ascii="Times New Roman" w:eastAsia="Calibri" w:hAnsi="Times New Roman"/>
          <w:sz w:val="20"/>
          <w:szCs w:val="20"/>
        </w:rPr>
        <w:t xml:space="preserve"> </w:t>
      </w:r>
      <w:hyperlink r:id="rId103" w:history="1">
        <w:r w:rsidRPr="00E079C3">
          <w:rPr>
            <w:rStyle w:val="Hyperlink"/>
            <w:rFonts w:ascii="Times New Roman" w:eastAsia="Calibri" w:hAnsi="Times New Roman"/>
            <w:sz w:val="20"/>
            <w:szCs w:val="20"/>
          </w:rPr>
          <w:t>www.bseindia.com</w:t>
        </w:r>
      </w:hyperlink>
      <w:r w:rsidRPr="00E079C3">
        <w:rPr>
          <w:rFonts w:ascii="Times New Roman" w:eastAsia="Calibri" w:hAnsi="Times New Roman"/>
          <w:sz w:val="20"/>
          <w:szCs w:val="20"/>
        </w:rPr>
        <w:t xml:space="preserve"> and NSE i.e.</w:t>
      </w:r>
      <w:r w:rsidR="00636B58">
        <w:rPr>
          <w:rFonts w:ascii="Times New Roman" w:eastAsia="Calibri" w:hAnsi="Times New Roman"/>
          <w:sz w:val="20"/>
          <w:szCs w:val="20"/>
        </w:rPr>
        <w:t>,</w:t>
      </w:r>
      <w:r w:rsidRPr="00E079C3">
        <w:rPr>
          <w:rFonts w:ascii="Times New Roman" w:eastAsia="Calibri" w:hAnsi="Times New Roman"/>
          <w:sz w:val="20"/>
          <w:szCs w:val="20"/>
        </w:rPr>
        <w:t xml:space="preserve"> </w:t>
      </w:r>
      <w:hyperlink r:id="rId104" w:history="1">
        <w:r w:rsidRPr="00E079C3">
          <w:rPr>
            <w:rStyle w:val="Hyperlink"/>
            <w:rFonts w:ascii="Times New Roman" w:eastAsia="Calibri" w:hAnsi="Times New Roman"/>
            <w:sz w:val="20"/>
            <w:szCs w:val="20"/>
          </w:rPr>
          <w:t>www.nseindia.com</w:t>
        </w:r>
      </w:hyperlink>
      <w:r w:rsidRPr="00E079C3">
        <w:rPr>
          <w:rFonts w:ascii="Times New Roman" w:eastAsia="Calibri" w:hAnsi="Times New Roman"/>
          <w:sz w:val="20"/>
          <w:szCs w:val="20"/>
          <w:u w:val="single"/>
        </w:rPr>
        <w:t xml:space="preserve">. </w:t>
      </w:r>
    </w:p>
    <w:p w14:paraId="3E951697" w14:textId="77777777" w:rsidR="004047F2" w:rsidRPr="00712F3C" w:rsidRDefault="004047F2" w:rsidP="004047F2">
      <w:pPr>
        <w:autoSpaceDE w:val="0"/>
        <w:autoSpaceDN w:val="0"/>
        <w:adjustRightInd w:val="0"/>
        <w:spacing w:after="0" w:line="240" w:lineRule="auto"/>
        <w:contextualSpacing/>
        <w:jc w:val="both"/>
        <w:rPr>
          <w:rFonts w:ascii="Times New Roman" w:eastAsia="Calibri" w:hAnsi="Times New Roman"/>
          <w:sz w:val="20"/>
          <w:szCs w:val="20"/>
        </w:rPr>
      </w:pPr>
    </w:p>
    <w:p w14:paraId="78906DE7" w14:textId="77777777" w:rsidR="004047F2" w:rsidRPr="00712F3C" w:rsidRDefault="004047F2" w:rsidP="004047F2">
      <w:pPr>
        <w:spacing w:after="0" w:line="240" w:lineRule="auto"/>
        <w:contextualSpacing/>
        <w:jc w:val="both"/>
        <w:rPr>
          <w:rFonts w:ascii="Times New Roman" w:eastAsia="Calibri" w:hAnsi="Times New Roman"/>
          <w:b/>
          <w:sz w:val="20"/>
          <w:szCs w:val="20"/>
          <w:u w:val="single"/>
        </w:rPr>
      </w:pPr>
      <w:r w:rsidRPr="00712F3C">
        <w:rPr>
          <w:rFonts w:ascii="Times New Roman" w:eastAsia="Calibri" w:hAnsi="Times New Roman"/>
          <w:b/>
          <w:sz w:val="20"/>
          <w:szCs w:val="20"/>
          <w:u w:val="single"/>
        </w:rPr>
        <w:t>Bidder’s Depository Account and Bank Details</w:t>
      </w:r>
    </w:p>
    <w:p w14:paraId="57D528F5" w14:textId="77777777" w:rsidR="004047F2" w:rsidRPr="00712F3C" w:rsidRDefault="004047F2" w:rsidP="004047F2">
      <w:pPr>
        <w:spacing w:after="0" w:line="240" w:lineRule="auto"/>
        <w:contextualSpacing/>
        <w:jc w:val="both"/>
        <w:rPr>
          <w:rFonts w:ascii="Times New Roman" w:eastAsia="Calibri" w:hAnsi="Times New Roman"/>
          <w:b/>
          <w:sz w:val="20"/>
          <w:szCs w:val="20"/>
          <w:u w:val="single"/>
        </w:rPr>
      </w:pPr>
    </w:p>
    <w:p w14:paraId="27912A87" w14:textId="77777777" w:rsidR="004047F2" w:rsidRPr="00712F3C" w:rsidRDefault="004047F2" w:rsidP="004047F2">
      <w:pPr>
        <w:autoSpaceDE w:val="0"/>
        <w:autoSpaceDN w:val="0"/>
        <w:adjustRightInd w:val="0"/>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Please note that, providing bank account details, PAN No’s, Client ID and DP ID in the space provided in the Bid Cum Application Form is mandatory and applications that do not contain such details are liable to be rejected.</w:t>
      </w:r>
    </w:p>
    <w:p w14:paraId="071949A0" w14:textId="77777777" w:rsidR="004047F2" w:rsidRPr="00712F3C" w:rsidRDefault="004047F2" w:rsidP="004047F2">
      <w:pPr>
        <w:autoSpaceDE w:val="0"/>
        <w:autoSpaceDN w:val="0"/>
        <w:adjustRightInd w:val="0"/>
        <w:spacing w:after="0" w:line="240" w:lineRule="auto"/>
        <w:contextualSpacing/>
        <w:rPr>
          <w:rFonts w:ascii="Times New Roman" w:eastAsia="Calibri" w:hAnsi="Times New Roman"/>
          <w:sz w:val="20"/>
          <w:szCs w:val="20"/>
        </w:rPr>
      </w:pPr>
    </w:p>
    <w:p w14:paraId="702A24A9" w14:textId="77777777" w:rsidR="004047F2" w:rsidRPr="00712F3C" w:rsidRDefault="004047F2" w:rsidP="004047F2">
      <w:pPr>
        <w:autoSpaceDE w:val="0"/>
        <w:autoSpaceDN w:val="0"/>
        <w:adjustRightInd w:val="0"/>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Bidders should note that on the basis of name of the Bidders, Depository Participant's name, Depository Participant Identification number and Beneficiary Account Number provided by them in the Bid Cum Application Form as entered into the Stock Exchange online system, the Registrar to the Issue will obtain front the Depository the demographic details including address, Bidders bank account details, MICR code and occupation (hereinafter referred to as 'Demographic Details'). These Demographic Details would be used for all correspondence with the Bidders including mailing of the Allotment Advice. The Demographic Details given by Bidders in the Bid Cum Application Form would not be used for any other purpose by the Registrar to the Issue.</w:t>
      </w:r>
    </w:p>
    <w:p w14:paraId="1BCD67AD" w14:textId="77777777" w:rsidR="004047F2" w:rsidRPr="00712F3C" w:rsidRDefault="004047F2" w:rsidP="004047F2">
      <w:pPr>
        <w:spacing w:after="0" w:line="240" w:lineRule="auto"/>
        <w:contextualSpacing/>
        <w:jc w:val="both"/>
        <w:rPr>
          <w:rFonts w:ascii="Times New Roman" w:eastAsia="Calibri" w:hAnsi="Times New Roman"/>
          <w:b/>
          <w:sz w:val="20"/>
          <w:szCs w:val="20"/>
        </w:rPr>
      </w:pPr>
    </w:p>
    <w:p w14:paraId="320F0A20" w14:textId="77777777" w:rsidR="004047F2" w:rsidRPr="00712F3C" w:rsidRDefault="004047F2" w:rsidP="004047F2">
      <w:pPr>
        <w:autoSpaceDE w:val="0"/>
        <w:autoSpaceDN w:val="0"/>
        <w:adjustRightInd w:val="0"/>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By signing the Bid Cum Application Form, the Bidder would be deemed to have authorized the depositories to provide, upon request, to the Registrar to the Issue, the required Demographic Details as available on its records.</w:t>
      </w:r>
    </w:p>
    <w:p w14:paraId="060442E6" w14:textId="77777777" w:rsidR="004047F2" w:rsidRDefault="004047F2" w:rsidP="004047F2">
      <w:pPr>
        <w:spacing w:after="0" w:line="240" w:lineRule="auto"/>
        <w:contextualSpacing/>
        <w:jc w:val="both"/>
        <w:rPr>
          <w:rFonts w:ascii="Times New Roman" w:eastAsia="Calibri" w:hAnsi="Times New Roman"/>
          <w:b/>
          <w:sz w:val="20"/>
          <w:szCs w:val="20"/>
        </w:rPr>
      </w:pPr>
    </w:p>
    <w:p w14:paraId="15F548FB" w14:textId="77777777" w:rsidR="004047F2" w:rsidRPr="00712F3C" w:rsidRDefault="004047F2" w:rsidP="004047F2">
      <w:pPr>
        <w:spacing w:after="0" w:line="240" w:lineRule="auto"/>
        <w:contextualSpacing/>
        <w:jc w:val="both"/>
        <w:rPr>
          <w:rFonts w:ascii="Times New Roman" w:eastAsia="Calibri" w:hAnsi="Times New Roman"/>
          <w:b/>
          <w:bCs/>
          <w:sz w:val="20"/>
          <w:szCs w:val="20"/>
          <w:u w:val="single"/>
        </w:rPr>
      </w:pPr>
      <w:r w:rsidRPr="00712F3C">
        <w:rPr>
          <w:rFonts w:ascii="Times New Roman" w:eastAsia="Calibri" w:hAnsi="Times New Roman"/>
          <w:b/>
          <w:bCs/>
          <w:sz w:val="20"/>
          <w:szCs w:val="20"/>
          <w:u w:val="single"/>
        </w:rPr>
        <w:t>Submission of Bid Cum Application Form</w:t>
      </w:r>
    </w:p>
    <w:p w14:paraId="7DFD7C8D" w14:textId="77777777" w:rsidR="004047F2" w:rsidRPr="00712F3C" w:rsidRDefault="004047F2" w:rsidP="004047F2">
      <w:pPr>
        <w:spacing w:after="0" w:line="240" w:lineRule="auto"/>
        <w:contextualSpacing/>
        <w:jc w:val="both"/>
        <w:rPr>
          <w:rFonts w:ascii="Times New Roman" w:eastAsia="Calibri" w:hAnsi="Times New Roman"/>
          <w:b/>
          <w:bCs/>
          <w:sz w:val="20"/>
          <w:szCs w:val="20"/>
          <w:u w:val="single"/>
        </w:rPr>
      </w:pPr>
    </w:p>
    <w:p w14:paraId="00A03658" w14:textId="77777777" w:rsidR="004047F2" w:rsidRPr="00712F3C" w:rsidRDefault="004047F2" w:rsidP="004047F2">
      <w:pPr>
        <w:autoSpaceDE w:val="0"/>
        <w:autoSpaceDN w:val="0"/>
        <w:adjustRightInd w:val="0"/>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All Bid Cum Application Forms duly completed shall be submitted to the Designated Intermediaries. The aforesaid intermediaries shall, at the time of receipt of application, give an acknowledgement to investor, by giving the counter foil or specifying the application number to the investor, as a proof of having accepted the Bid Cum Application Form, in physical or electronic mode, respectively.</w:t>
      </w:r>
    </w:p>
    <w:p w14:paraId="1D519108" w14:textId="77777777" w:rsidR="004047F2" w:rsidRPr="00712F3C" w:rsidRDefault="004047F2" w:rsidP="004047F2">
      <w:pPr>
        <w:spacing w:after="0" w:line="240" w:lineRule="auto"/>
        <w:contextualSpacing/>
        <w:jc w:val="both"/>
        <w:rPr>
          <w:rFonts w:ascii="Times New Roman" w:eastAsia="Calibri" w:hAnsi="Times New Roman"/>
          <w:b/>
          <w:sz w:val="20"/>
          <w:szCs w:val="20"/>
        </w:rPr>
      </w:pPr>
    </w:p>
    <w:p w14:paraId="5D35A930" w14:textId="77777777" w:rsidR="004047F2" w:rsidRPr="00712F3C" w:rsidRDefault="004047F2" w:rsidP="004047F2">
      <w:pPr>
        <w:spacing w:after="0" w:line="240" w:lineRule="auto"/>
        <w:contextualSpacing/>
        <w:jc w:val="both"/>
        <w:rPr>
          <w:rFonts w:ascii="Times New Roman" w:eastAsia="Calibri" w:hAnsi="Times New Roman"/>
          <w:b/>
          <w:sz w:val="20"/>
          <w:szCs w:val="20"/>
          <w:u w:val="single"/>
        </w:rPr>
      </w:pPr>
      <w:r w:rsidRPr="00712F3C">
        <w:rPr>
          <w:rFonts w:ascii="Times New Roman" w:eastAsia="Calibri" w:hAnsi="Times New Roman"/>
          <w:b/>
          <w:bCs/>
          <w:sz w:val="20"/>
          <w:szCs w:val="20"/>
          <w:u w:val="single"/>
        </w:rPr>
        <w:t>Communications</w:t>
      </w:r>
    </w:p>
    <w:p w14:paraId="6EA86E23" w14:textId="77777777" w:rsidR="004047F2" w:rsidRPr="00712F3C" w:rsidRDefault="004047F2" w:rsidP="004047F2">
      <w:pPr>
        <w:spacing w:after="0" w:line="240" w:lineRule="auto"/>
        <w:contextualSpacing/>
        <w:jc w:val="both"/>
        <w:rPr>
          <w:rFonts w:ascii="Times New Roman" w:eastAsia="Calibri" w:hAnsi="Times New Roman"/>
          <w:b/>
          <w:sz w:val="20"/>
          <w:szCs w:val="20"/>
        </w:rPr>
      </w:pPr>
    </w:p>
    <w:p w14:paraId="4E963930" w14:textId="77777777" w:rsidR="004047F2" w:rsidRPr="00712F3C" w:rsidRDefault="004047F2" w:rsidP="004047F2">
      <w:pPr>
        <w:autoSpaceDE w:val="0"/>
        <w:autoSpaceDN w:val="0"/>
        <w:adjustRightInd w:val="0"/>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All future communications in connection with Applications made in this Issue should be addressed to the Registrar to the Issue quoting the full name of the sole or First Bidder, Bid Cum Application Form number, Bidders Depository Account Details, number of Equity Shares applied for, date of Bid Cum Application Form, name and address of the Designated Intermediary where the Application was submitted thereof and a copy of the acknowledgement slip.</w:t>
      </w:r>
    </w:p>
    <w:p w14:paraId="741CC5AB" w14:textId="77777777" w:rsidR="004047F2" w:rsidRPr="00712F3C" w:rsidRDefault="004047F2" w:rsidP="004047F2">
      <w:pPr>
        <w:spacing w:after="0" w:line="240" w:lineRule="auto"/>
        <w:contextualSpacing/>
        <w:jc w:val="both"/>
        <w:rPr>
          <w:rFonts w:ascii="Times New Roman" w:eastAsia="Calibri" w:hAnsi="Times New Roman"/>
          <w:b/>
          <w:sz w:val="20"/>
          <w:szCs w:val="20"/>
        </w:rPr>
      </w:pPr>
    </w:p>
    <w:p w14:paraId="0ED82C28" w14:textId="77777777" w:rsidR="004047F2" w:rsidRPr="00712F3C" w:rsidRDefault="004047F2" w:rsidP="004047F2">
      <w:pPr>
        <w:autoSpaceDE w:val="0"/>
        <w:autoSpaceDN w:val="0"/>
        <w:adjustRightInd w:val="0"/>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Investors can contact the Compliance Officer or the Registrar to the Issue in case of any pre-Issue or post Issue related problems such as non-receipt of letters of allotment, credit of allotted shares in the respective beneficiary accounts, etc.</w:t>
      </w:r>
    </w:p>
    <w:p w14:paraId="1622B7E7" w14:textId="77777777" w:rsidR="004047F2" w:rsidRPr="00712F3C" w:rsidRDefault="004047F2" w:rsidP="004047F2">
      <w:pPr>
        <w:spacing w:after="0" w:line="240" w:lineRule="auto"/>
        <w:contextualSpacing/>
        <w:jc w:val="both"/>
        <w:rPr>
          <w:rFonts w:ascii="Times New Roman" w:eastAsia="Calibri" w:hAnsi="Times New Roman"/>
          <w:b/>
          <w:bCs/>
          <w:sz w:val="20"/>
          <w:szCs w:val="20"/>
          <w:u w:val="single"/>
        </w:rPr>
      </w:pPr>
    </w:p>
    <w:p w14:paraId="4CF5C354" w14:textId="77777777" w:rsidR="004047F2" w:rsidRPr="00712F3C" w:rsidRDefault="004047F2" w:rsidP="004047F2">
      <w:pPr>
        <w:spacing w:after="0" w:line="240" w:lineRule="auto"/>
        <w:contextualSpacing/>
        <w:jc w:val="both"/>
        <w:rPr>
          <w:rFonts w:ascii="Times New Roman" w:eastAsia="Calibri" w:hAnsi="Times New Roman"/>
          <w:b/>
          <w:bCs/>
          <w:sz w:val="20"/>
          <w:szCs w:val="20"/>
          <w:u w:val="single"/>
        </w:rPr>
      </w:pPr>
      <w:r w:rsidRPr="00712F3C">
        <w:rPr>
          <w:rFonts w:ascii="Times New Roman" w:eastAsia="Calibri" w:hAnsi="Times New Roman"/>
          <w:b/>
          <w:bCs/>
          <w:sz w:val="20"/>
          <w:szCs w:val="20"/>
          <w:u w:val="single"/>
        </w:rPr>
        <w:t>Disposal of Application and Application Moneys and Interest in Case of Delay</w:t>
      </w:r>
    </w:p>
    <w:p w14:paraId="0B534004" w14:textId="77777777" w:rsidR="004047F2" w:rsidRPr="00712F3C" w:rsidRDefault="004047F2" w:rsidP="004047F2">
      <w:pPr>
        <w:spacing w:after="0" w:line="240" w:lineRule="auto"/>
        <w:contextualSpacing/>
        <w:jc w:val="both"/>
        <w:rPr>
          <w:rFonts w:ascii="Times New Roman" w:eastAsia="Calibri" w:hAnsi="Times New Roman"/>
          <w:b/>
          <w:sz w:val="20"/>
          <w:szCs w:val="20"/>
        </w:rPr>
      </w:pPr>
    </w:p>
    <w:p w14:paraId="13CB8C68" w14:textId="77777777" w:rsidR="004047F2" w:rsidRPr="00712F3C" w:rsidRDefault="004047F2" w:rsidP="004047F2">
      <w:pPr>
        <w:autoSpaceDE w:val="0"/>
        <w:autoSpaceDN w:val="0"/>
        <w:adjustRightInd w:val="0"/>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The Company shall ensure the dispatch of Allotment advice, and give benefit to the beneficiary account with Depository Participants and submit the documents pertaining to the Allotment to the Stock Exchange within 2 (two) working days of date of Allotment of Equity Shares.</w:t>
      </w:r>
    </w:p>
    <w:p w14:paraId="02D6390B" w14:textId="77777777" w:rsidR="004047F2" w:rsidRPr="00712F3C" w:rsidRDefault="004047F2" w:rsidP="004047F2">
      <w:pPr>
        <w:spacing w:after="0" w:line="240" w:lineRule="auto"/>
        <w:contextualSpacing/>
        <w:jc w:val="both"/>
        <w:rPr>
          <w:rFonts w:ascii="Times New Roman" w:eastAsia="Calibri" w:hAnsi="Times New Roman"/>
          <w:b/>
          <w:sz w:val="20"/>
          <w:szCs w:val="20"/>
        </w:rPr>
      </w:pPr>
    </w:p>
    <w:p w14:paraId="6F570481" w14:textId="77777777" w:rsidR="004047F2" w:rsidRPr="00712F3C" w:rsidRDefault="004047F2" w:rsidP="004047F2">
      <w:pPr>
        <w:autoSpaceDE w:val="0"/>
        <w:autoSpaceDN w:val="0"/>
        <w:adjustRightInd w:val="0"/>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The Company shall use best efforts to ensure that all steps for completion of the necessary formalities for listing and commencement of trading at BSE SME where the Equity Shares are proposed to be listed are taken within 6 (Six) working days from Issue Closing Date.</w:t>
      </w:r>
    </w:p>
    <w:p w14:paraId="7854BAD4" w14:textId="77777777" w:rsidR="004047F2" w:rsidRPr="00712F3C" w:rsidRDefault="004047F2" w:rsidP="004047F2">
      <w:pPr>
        <w:spacing w:after="0" w:line="240" w:lineRule="auto"/>
        <w:contextualSpacing/>
        <w:jc w:val="both"/>
        <w:rPr>
          <w:rFonts w:ascii="Times New Roman" w:eastAsia="Calibri" w:hAnsi="Times New Roman"/>
          <w:b/>
          <w:sz w:val="20"/>
          <w:szCs w:val="20"/>
        </w:rPr>
      </w:pPr>
    </w:p>
    <w:p w14:paraId="6590526C" w14:textId="77777777" w:rsidR="004047F2" w:rsidRPr="00712F3C" w:rsidRDefault="004047F2" w:rsidP="004047F2">
      <w:pPr>
        <w:autoSpaceDE w:val="0"/>
        <w:autoSpaceDN w:val="0"/>
        <w:adjustRightInd w:val="0"/>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In accordance with the Companies Act, the requirements of the Stock Exchange and the SEBI Regulations, the Company further undertakes that:</w:t>
      </w:r>
    </w:p>
    <w:p w14:paraId="6CB6D95D" w14:textId="77777777" w:rsidR="004047F2" w:rsidRPr="00712F3C" w:rsidRDefault="004047F2" w:rsidP="004047F2">
      <w:pPr>
        <w:spacing w:after="0" w:line="240" w:lineRule="auto"/>
        <w:contextualSpacing/>
        <w:jc w:val="both"/>
        <w:rPr>
          <w:rFonts w:ascii="Times New Roman" w:eastAsia="Calibri" w:hAnsi="Times New Roman"/>
          <w:b/>
          <w:sz w:val="20"/>
          <w:szCs w:val="20"/>
        </w:rPr>
      </w:pPr>
    </w:p>
    <w:p w14:paraId="3DBDC6B6" w14:textId="77777777" w:rsidR="004047F2" w:rsidRPr="00712F3C" w:rsidRDefault="004047F2">
      <w:pPr>
        <w:numPr>
          <w:ilvl w:val="3"/>
          <w:numId w:val="297"/>
        </w:numPr>
        <w:autoSpaceDE w:val="0"/>
        <w:autoSpaceDN w:val="0"/>
        <w:adjustRightInd w:val="0"/>
        <w:spacing w:after="0" w:line="240" w:lineRule="auto"/>
        <w:ind w:left="360"/>
        <w:contextualSpacing/>
        <w:rPr>
          <w:rFonts w:ascii="Times New Roman" w:eastAsia="Calibri" w:hAnsi="Times New Roman"/>
          <w:sz w:val="20"/>
          <w:szCs w:val="20"/>
        </w:rPr>
      </w:pPr>
      <w:r w:rsidRPr="00712F3C">
        <w:rPr>
          <w:rFonts w:ascii="Times New Roman" w:eastAsia="Calibri" w:hAnsi="Times New Roman"/>
          <w:sz w:val="20"/>
          <w:szCs w:val="20"/>
        </w:rPr>
        <w:t>Allotment and Listing of Equity Shares shall be made within 6 (Six) days of the Issue Closing Date;</w:t>
      </w:r>
    </w:p>
    <w:p w14:paraId="347D0CC2" w14:textId="77777777" w:rsidR="004047F2" w:rsidRPr="00712F3C" w:rsidRDefault="004047F2" w:rsidP="004047F2">
      <w:pPr>
        <w:widowControl w:val="0"/>
        <w:spacing w:after="0" w:line="240" w:lineRule="auto"/>
        <w:contextualSpacing/>
        <w:rPr>
          <w:rFonts w:ascii="Times New Roman" w:eastAsia="Calibri" w:hAnsi="Times New Roman"/>
          <w:sz w:val="20"/>
          <w:szCs w:val="20"/>
          <w:lang w:bidi="en-US"/>
        </w:rPr>
      </w:pPr>
    </w:p>
    <w:p w14:paraId="3C5F43BF" w14:textId="77777777" w:rsidR="004047F2" w:rsidRPr="00712F3C" w:rsidRDefault="004047F2">
      <w:pPr>
        <w:widowControl w:val="0"/>
        <w:numPr>
          <w:ilvl w:val="3"/>
          <w:numId w:val="297"/>
        </w:numPr>
        <w:spacing w:after="0" w:line="240" w:lineRule="auto"/>
        <w:ind w:left="360"/>
        <w:contextualSpacing/>
        <w:rPr>
          <w:rFonts w:ascii="Times New Roman" w:eastAsia="Calibri" w:hAnsi="Times New Roman"/>
          <w:sz w:val="20"/>
          <w:szCs w:val="20"/>
          <w:lang w:bidi="en-US"/>
        </w:rPr>
      </w:pPr>
      <w:r w:rsidRPr="00712F3C">
        <w:rPr>
          <w:rFonts w:ascii="Times New Roman" w:eastAsia="Calibri" w:hAnsi="Times New Roman"/>
          <w:sz w:val="20"/>
          <w:szCs w:val="20"/>
          <w:lang w:bidi="en-US"/>
        </w:rPr>
        <w:lastRenderedPageBreak/>
        <w:t>Giving of Instructions for refund by unblocking of amount via ASBA not later than 4(four) working days of the Issue Closing Date, would be ensured; and</w:t>
      </w:r>
    </w:p>
    <w:p w14:paraId="2DB6C4FD" w14:textId="77777777" w:rsidR="004047F2" w:rsidRPr="00712F3C" w:rsidRDefault="004047F2" w:rsidP="004047F2">
      <w:pPr>
        <w:spacing w:after="0" w:line="240" w:lineRule="auto"/>
        <w:contextualSpacing/>
        <w:jc w:val="both"/>
        <w:rPr>
          <w:rFonts w:ascii="Times New Roman" w:eastAsia="Calibri" w:hAnsi="Times New Roman"/>
          <w:sz w:val="20"/>
          <w:szCs w:val="20"/>
          <w:lang w:bidi="en-US"/>
        </w:rPr>
      </w:pPr>
    </w:p>
    <w:p w14:paraId="57AFE624" w14:textId="77777777" w:rsidR="004047F2" w:rsidRPr="00712F3C" w:rsidRDefault="004047F2">
      <w:pPr>
        <w:widowControl w:val="0"/>
        <w:numPr>
          <w:ilvl w:val="3"/>
          <w:numId w:val="297"/>
        </w:numPr>
        <w:spacing w:after="0" w:line="240" w:lineRule="auto"/>
        <w:ind w:left="360"/>
        <w:contextualSpacing/>
        <w:jc w:val="both"/>
        <w:rPr>
          <w:rFonts w:ascii="Times New Roman" w:eastAsia="Calibri" w:hAnsi="Times New Roman"/>
          <w:sz w:val="20"/>
          <w:szCs w:val="20"/>
          <w:lang w:bidi="en-US"/>
        </w:rPr>
      </w:pPr>
      <w:r w:rsidRPr="00712F3C">
        <w:rPr>
          <w:rFonts w:ascii="Times New Roman" w:eastAsia="Calibri" w:hAnsi="Times New Roman"/>
          <w:sz w:val="20"/>
          <w:szCs w:val="20"/>
          <w:lang w:bidi="en-US"/>
        </w:rPr>
        <w:t>If such money is not repaid within prescribed time from the date our Company becomes liable to repay it, then our Company and every officer in default shall, on and from expiry of prescribed time, be liable to repay such application money, with interest as prescribed under SEBI (ICDR) Regulations, the Companies Act, 2013 and applicable law. Further, in accordance with Section 40 of the Companies Act, 2013, the Company and each officer in default may be punishable with fine and/or imprisonment in such a case.</w:t>
      </w:r>
    </w:p>
    <w:p w14:paraId="121CD0D1" w14:textId="77777777" w:rsidR="004047F2" w:rsidRPr="00712F3C" w:rsidRDefault="004047F2" w:rsidP="004047F2">
      <w:pPr>
        <w:spacing w:after="0" w:line="240" w:lineRule="auto"/>
        <w:contextualSpacing/>
        <w:jc w:val="both"/>
        <w:rPr>
          <w:rFonts w:ascii="Times New Roman" w:eastAsia="Calibri" w:hAnsi="Times New Roman"/>
          <w:b/>
          <w:bCs/>
          <w:sz w:val="20"/>
          <w:szCs w:val="20"/>
          <w:u w:val="single"/>
        </w:rPr>
      </w:pPr>
    </w:p>
    <w:p w14:paraId="76839E51" w14:textId="77777777" w:rsidR="004047F2" w:rsidRPr="00712F3C" w:rsidRDefault="004047F2" w:rsidP="004047F2">
      <w:pPr>
        <w:spacing w:after="0" w:line="240" w:lineRule="auto"/>
        <w:contextualSpacing/>
        <w:jc w:val="both"/>
        <w:rPr>
          <w:rFonts w:ascii="Times New Roman" w:eastAsia="Calibri" w:hAnsi="Times New Roman"/>
          <w:b/>
          <w:bCs/>
          <w:sz w:val="20"/>
          <w:szCs w:val="20"/>
          <w:u w:val="single"/>
        </w:rPr>
      </w:pPr>
      <w:r w:rsidRPr="00712F3C">
        <w:rPr>
          <w:rFonts w:ascii="Times New Roman" w:eastAsia="Calibri" w:hAnsi="Times New Roman"/>
          <w:b/>
          <w:bCs/>
          <w:sz w:val="20"/>
          <w:szCs w:val="20"/>
          <w:u w:val="single"/>
        </w:rPr>
        <w:t xml:space="preserve">Right to Reject Applications </w:t>
      </w:r>
    </w:p>
    <w:p w14:paraId="325D72B4" w14:textId="77777777" w:rsidR="004047F2" w:rsidRPr="00712F3C" w:rsidRDefault="004047F2" w:rsidP="004047F2">
      <w:pPr>
        <w:spacing w:after="0" w:line="240" w:lineRule="auto"/>
        <w:contextualSpacing/>
        <w:jc w:val="both"/>
        <w:rPr>
          <w:rFonts w:ascii="Times New Roman" w:eastAsia="Calibri" w:hAnsi="Times New Roman"/>
          <w:b/>
          <w:bCs/>
          <w:sz w:val="20"/>
          <w:szCs w:val="20"/>
          <w:u w:val="single"/>
        </w:rPr>
      </w:pPr>
    </w:p>
    <w:p w14:paraId="46061ECF" w14:textId="77777777" w:rsidR="004047F2" w:rsidRPr="00712F3C" w:rsidRDefault="004047F2" w:rsidP="004047F2">
      <w:pPr>
        <w:spacing w:after="0" w:line="240" w:lineRule="auto"/>
        <w:contextualSpacing/>
        <w:jc w:val="both"/>
        <w:rPr>
          <w:rFonts w:ascii="Times New Roman" w:eastAsia="Calibri" w:hAnsi="Times New Roman"/>
          <w:bCs/>
          <w:sz w:val="20"/>
          <w:szCs w:val="20"/>
        </w:rPr>
      </w:pPr>
      <w:r w:rsidRPr="00712F3C">
        <w:rPr>
          <w:rFonts w:ascii="Times New Roman" w:eastAsia="Calibri" w:hAnsi="Times New Roman"/>
          <w:bCs/>
          <w:sz w:val="20"/>
          <w:szCs w:val="20"/>
        </w:rPr>
        <w:t>In case of QIB Bidders, the Company in consultation with the BRLM may reject Applications provided that the reasons for rejecting the same shall be provided to such Bidder in writing. In case of Non-Institutional Bidders, Retail Individual Bidders who applied, the Company has a right to reject Applications based on technical grounds.</w:t>
      </w:r>
    </w:p>
    <w:p w14:paraId="73D8C69C" w14:textId="77777777" w:rsidR="004047F2" w:rsidRPr="00712F3C" w:rsidRDefault="004047F2" w:rsidP="004047F2">
      <w:pPr>
        <w:spacing w:after="0" w:line="240" w:lineRule="auto"/>
        <w:contextualSpacing/>
        <w:jc w:val="both"/>
        <w:rPr>
          <w:rFonts w:ascii="Times New Roman" w:eastAsia="Calibri" w:hAnsi="Times New Roman"/>
          <w:b/>
          <w:bCs/>
          <w:sz w:val="20"/>
          <w:szCs w:val="20"/>
          <w:u w:val="single"/>
        </w:rPr>
      </w:pPr>
    </w:p>
    <w:p w14:paraId="5E483F96" w14:textId="77777777" w:rsidR="004047F2" w:rsidRPr="00712F3C" w:rsidRDefault="004047F2" w:rsidP="004047F2">
      <w:pPr>
        <w:spacing w:after="0" w:line="240" w:lineRule="auto"/>
        <w:contextualSpacing/>
        <w:jc w:val="both"/>
        <w:rPr>
          <w:rFonts w:ascii="Times New Roman" w:eastAsia="Calibri" w:hAnsi="Times New Roman"/>
          <w:b/>
          <w:bCs/>
          <w:sz w:val="20"/>
          <w:szCs w:val="20"/>
          <w:u w:val="single"/>
        </w:rPr>
      </w:pPr>
      <w:r w:rsidRPr="00712F3C">
        <w:rPr>
          <w:rFonts w:ascii="Times New Roman" w:eastAsia="Calibri" w:hAnsi="Times New Roman"/>
          <w:b/>
          <w:bCs/>
          <w:sz w:val="20"/>
          <w:szCs w:val="20"/>
          <w:u w:val="single"/>
        </w:rPr>
        <w:t>Impersonation</w:t>
      </w:r>
    </w:p>
    <w:p w14:paraId="14BC5382" w14:textId="77777777" w:rsidR="004047F2" w:rsidRPr="00712F3C" w:rsidRDefault="004047F2" w:rsidP="004047F2">
      <w:pPr>
        <w:spacing w:after="0" w:line="240" w:lineRule="auto"/>
        <w:contextualSpacing/>
        <w:jc w:val="both"/>
        <w:rPr>
          <w:rFonts w:ascii="Times New Roman" w:eastAsia="Calibri" w:hAnsi="Times New Roman"/>
          <w:b/>
          <w:bCs/>
          <w:sz w:val="20"/>
          <w:szCs w:val="20"/>
          <w:u w:val="single"/>
        </w:rPr>
      </w:pPr>
    </w:p>
    <w:p w14:paraId="17DC58ED" w14:textId="77777777" w:rsidR="004047F2" w:rsidRPr="00712F3C" w:rsidRDefault="004047F2" w:rsidP="004047F2">
      <w:pPr>
        <w:autoSpaceDE w:val="0"/>
        <w:autoSpaceDN w:val="0"/>
        <w:adjustRightInd w:val="0"/>
        <w:spacing w:after="0" w:line="240" w:lineRule="auto"/>
        <w:contextualSpacing/>
        <w:jc w:val="both"/>
        <w:rPr>
          <w:rFonts w:ascii="Times New Roman" w:eastAsia="Calibri" w:hAnsi="Times New Roman"/>
          <w:i/>
          <w:iCs/>
          <w:sz w:val="20"/>
          <w:szCs w:val="20"/>
        </w:rPr>
      </w:pPr>
      <w:r w:rsidRPr="00712F3C">
        <w:rPr>
          <w:rFonts w:ascii="Times New Roman" w:eastAsia="Calibri" w:hAnsi="Times New Roman"/>
          <w:i/>
          <w:iCs/>
          <w:sz w:val="20"/>
          <w:szCs w:val="20"/>
        </w:rPr>
        <w:t>Attention of the Bidders is specifically drawn to the provisions of sub-section (1) of Section 38 of the Companies Act, 2013 which is reproduced below</w:t>
      </w:r>
      <w:r w:rsidRPr="00712F3C">
        <w:rPr>
          <w:rFonts w:ascii="Times New Roman" w:eastAsia="Calibri" w:hAnsi="Times New Roman"/>
          <w:sz w:val="20"/>
          <w:szCs w:val="20"/>
        </w:rPr>
        <w:t>:</w:t>
      </w:r>
    </w:p>
    <w:p w14:paraId="7B4C4680" w14:textId="77777777" w:rsidR="004047F2" w:rsidRPr="00712F3C" w:rsidRDefault="004047F2" w:rsidP="004047F2">
      <w:pPr>
        <w:spacing w:after="0" w:line="240" w:lineRule="auto"/>
        <w:contextualSpacing/>
        <w:jc w:val="both"/>
        <w:rPr>
          <w:rFonts w:ascii="Times New Roman" w:eastAsia="Calibri" w:hAnsi="Times New Roman"/>
          <w:b/>
          <w:sz w:val="20"/>
          <w:szCs w:val="20"/>
        </w:rPr>
      </w:pPr>
    </w:p>
    <w:p w14:paraId="38398480" w14:textId="77777777" w:rsidR="004047F2" w:rsidRPr="00712F3C" w:rsidRDefault="004047F2" w:rsidP="004047F2">
      <w:pPr>
        <w:spacing w:after="0" w:line="240" w:lineRule="auto"/>
        <w:contextualSpacing/>
        <w:jc w:val="both"/>
        <w:rPr>
          <w:rFonts w:ascii="Times New Roman" w:eastAsia="TimesNewRoman-Identity-H" w:hAnsi="Times New Roman"/>
          <w:b/>
          <w:sz w:val="20"/>
          <w:szCs w:val="20"/>
        </w:rPr>
      </w:pPr>
      <w:r w:rsidRPr="00712F3C">
        <w:rPr>
          <w:rFonts w:ascii="Times New Roman" w:eastAsia="Calibri" w:hAnsi="Times New Roman"/>
          <w:b/>
          <w:sz w:val="20"/>
          <w:szCs w:val="20"/>
        </w:rPr>
        <w:t>“Any person who</w:t>
      </w:r>
      <w:r w:rsidRPr="00712F3C">
        <w:rPr>
          <w:rFonts w:ascii="Times New Roman" w:eastAsia="TimesNewRoman-Identity-H" w:hAnsi="Times New Roman"/>
          <w:b/>
          <w:sz w:val="20"/>
          <w:szCs w:val="20"/>
        </w:rPr>
        <w:t>-</w:t>
      </w:r>
    </w:p>
    <w:p w14:paraId="119D00D6" w14:textId="77777777" w:rsidR="004047F2" w:rsidRPr="00712F3C" w:rsidRDefault="004047F2" w:rsidP="004047F2">
      <w:pPr>
        <w:spacing w:after="0" w:line="240" w:lineRule="auto"/>
        <w:contextualSpacing/>
        <w:jc w:val="both"/>
        <w:rPr>
          <w:rFonts w:ascii="Times New Roman" w:eastAsia="TimesNewRoman-Identity-H" w:hAnsi="Times New Roman"/>
          <w:sz w:val="20"/>
          <w:szCs w:val="20"/>
        </w:rPr>
      </w:pPr>
    </w:p>
    <w:p w14:paraId="4F35DF84" w14:textId="77777777" w:rsidR="004047F2" w:rsidRPr="00712F3C" w:rsidRDefault="004047F2">
      <w:pPr>
        <w:numPr>
          <w:ilvl w:val="0"/>
          <w:numId w:val="216"/>
        </w:numPr>
        <w:autoSpaceDE w:val="0"/>
        <w:autoSpaceDN w:val="0"/>
        <w:adjustRightInd w:val="0"/>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Makes or abets making of an application in a fictitious name to a company for acquiring, or subscribing for, its securities; or</w:t>
      </w:r>
    </w:p>
    <w:p w14:paraId="60CCB99F" w14:textId="77777777" w:rsidR="004047F2" w:rsidRPr="00712F3C" w:rsidRDefault="004047F2">
      <w:pPr>
        <w:numPr>
          <w:ilvl w:val="0"/>
          <w:numId w:val="216"/>
        </w:numPr>
        <w:autoSpaceDE w:val="0"/>
        <w:autoSpaceDN w:val="0"/>
        <w:adjustRightInd w:val="0"/>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Makes or abets making of multiple applications to a company in different names or in different combinations of his name or surname for acquiring or subscribing for its securities; or</w:t>
      </w:r>
    </w:p>
    <w:p w14:paraId="28F9ED78" w14:textId="77777777" w:rsidR="004047F2" w:rsidRPr="00712F3C" w:rsidRDefault="004047F2">
      <w:pPr>
        <w:numPr>
          <w:ilvl w:val="0"/>
          <w:numId w:val="216"/>
        </w:numPr>
        <w:autoSpaceDE w:val="0"/>
        <w:autoSpaceDN w:val="0"/>
        <w:adjustRightInd w:val="0"/>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Otherwise induces directly or indirectly a company to allot, or register any transfer of, securities to him, or to any other person in a fictitious name, shall be liable for action under Section 447.”</w:t>
      </w:r>
    </w:p>
    <w:p w14:paraId="1717CCDE" w14:textId="77777777" w:rsidR="004047F2" w:rsidRPr="00712F3C" w:rsidRDefault="004047F2" w:rsidP="004047F2">
      <w:pPr>
        <w:spacing w:after="0" w:line="240" w:lineRule="auto"/>
        <w:contextualSpacing/>
        <w:jc w:val="both"/>
        <w:rPr>
          <w:rFonts w:ascii="Times New Roman" w:eastAsia="Calibri" w:hAnsi="Times New Roman"/>
          <w:b/>
          <w:sz w:val="20"/>
          <w:szCs w:val="20"/>
        </w:rPr>
      </w:pPr>
    </w:p>
    <w:p w14:paraId="071B23F0" w14:textId="77777777" w:rsidR="004047F2" w:rsidRPr="00712F3C" w:rsidRDefault="004047F2" w:rsidP="004047F2">
      <w:pPr>
        <w:spacing w:after="0" w:line="240" w:lineRule="auto"/>
        <w:contextualSpacing/>
        <w:jc w:val="both"/>
        <w:rPr>
          <w:rFonts w:ascii="Times New Roman" w:eastAsia="Calibri" w:hAnsi="Times New Roman"/>
          <w:b/>
          <w:sz w:val="20"/>
          <w:szCs w:val="20"/>
          <w:u w:val="single"/>
        </w:rPr>
      </w:pPr>
      <w:r w:rsidRPr="00712F3C">
        <w:rPr>
          <w:rFonts w:ascii="Times New Roman" w:eastAsia="Calibri" w:hAnsi="Times New Roman"/>
          <w:b/>
          <w:sz w:val="20"/>
          <w:szCs w:val="20"/>
          <w:u w:val="single"/>
        </w:rPr>
        <w:t>Undertakings by Our Company</w:t>
      </w:r>
    </w:p>
    <w:p w14:paraId="373E6603" w14:textId="77777777" w:rsidR="004047F2" w:rsidRPr="00712F3C" w:rsidRDefault="004047F2" w:rsidP="004047F2">
      <w:pPr>
        <w:spacing w:after="0" w:line="240" w:lineRule="auto"/>
        <w:contextualSpacing/>
        <w:jc w:val="both"/>
        <w:rPr>
          <w:rFonts w:ascii="Times New Roman" w:eastAsia="Calibri" w:hAnsi="Times New Roman"/>
          <w:b/>
          <w:sz w:val="20"/>
          <w:szCs w:val="20"/>
          <w:u w:val="single"/>
        </w:rPr>
      </w:pPr>
    </w:p>
    <w:p w14:paraId="6FDC40ED" w14:textId="77777777" w:rsidR="004047F2" w:rsidRPr="00712F3C" w:rsidRDefault="004047F2" w:rsidP="004047F2">
      <w:pPr>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We undertake as follows:</w:t>
      </w:r>
    </w:p>
    <w:p w14:paraId="6FB3BB02" w14:textId="77777777" w:rsidR="004047F2" w:rsidRPr="00712F3C" w:rsidRDefault="004047F2" w:rsidP="004047F2">
      <w:pPr>
        <w:spacing w:after="0" w:line="240" w:lineRule="auto"/>
        <w:contextualSpacing/>
        <w:jc w:val="both"/>
        <w:rPr>
          <w:rFonts w:ascii="Times New Roman" w:eastAsia="Calibri" w:hAnsi="Times New Roman"/>
          <w:sz w:val="20"/>
          <w:szCs w:val="20"/>
        </w:rPr>
      </w:pPr>
    </w:p>
    <w:p w14:paraId="5D1A1FC1" w14:textId="77777777" w:rsidR="004047F2" w:rsidRPr="00712F3C" w:rsidRDefault="004047F2">
      <w:pPr>
        <w:numPr>
          <w:ilvl w:val="3"/>
          <w:numId w:val="208"/>
        </w:numPr>
        <w:spacing w:after="0" w:line="240" w:lineRule="auto"/>
        <w:ind w:left="360"/>
        <w:contextualSpacing/>
        <w:jc w:val="both"/>
        <w:rPr>
          <w:rFonts w:ascii="Times New Roman" w:hAnsi="Times New Roman"/>
          <w:sz w:val="20"/>
          <w:szCs w:val="20"/>
        </w:rPr>
      </w:pPr>
      <w:r w:rsidRPr="00712F3C">
        <w:rPr>
          <w:rFonts w:ascii="Times New Roman" w:hAnsi="Times New Roman"/>
          <w:sz w:val="20"/>
          <w:szCs w:val="20"/>
        </w:rPr>
        <w:t>That the complaints received in respect of the Issue shall be attended expeditiously and satisfactorily;</w:t>
      </w:r>
    </w:p>
    <w:p w14:paraId="4E411BD5" w14:textId="77777777" w:rsidR="004047F2" w:rsidRPr="00712F3C" w:rsidRDefault="004047F2" w:rsidP="004047F2">
      <w:pPr>
        <w:spacing w:after="0" w:line="240" w:lineRule="auto"/>
        <w:contextualSpacing/>
        <w:jc w:val="both"/>
        <w:rPr>
          <w:rFonts w:ascii="Times New Roman" w:hAnsi="Times New Roman"/>
          <w:sz w:val="20"/>
          <w:szCs w:val="20"/>
        </w:rPr>
      </w:pPr>
    </w:p>
    <w:p w14:paraId="32D5A9B9" w14:textId="77777777" w:rsidR="004047F2" w:rsidRPr="00712F3C" w:rsidRDefault="004047F2">
      <w:pPr>
        <w:numPr>
          <w:ilvl w:val="3"/>
          <w:numId w:val="208"/>
        </w:numPr>
        <w:spacing w:after="0" w:line="240" w:lineRule="auto"/>
        <w:ind w:left="360"/>
        <w:contextualSpacing/>
        <w:jc w:val="both"/>
        <w:rPr>
          <w:rFonts w:ascii="Times New Roman" w:hAnsi="Times New Roman"/>
          <w:sz w:val="20"/>
          <w:szCs w:val="20"/>
        </w:rPr>
      </w:pPr>
      <w:r w:rsidRPr="00712F3C">
        <w:rPr>
          <w:rFonts w:ascii="Times New Roman" w:hAnsi="Times New Roman"/>
          <w:sz w:val="20"/>
          <w:szCs w:val="20"/>
        </w:rPr>
        <w:t>That all steps will be taken for the completion of the necessary formalities for listing and commencement of trading on Stock Exchange where the Equity Shares are proposed to be listed within six working days from Issue Closure date.</w:t>
      </w:r>
    </w:p>
    <w:p w14:paraId="49DCF4E6" w14:textId="77777777" w:rsidR="004047F2" w:rsidRPr="00712F3C" w:rsidRDefault="004047F2" w:rsidP="004047F2">
      <w:pPr>
        <w:spacing w:after="0" w:line="240" w:lineRule="auto"/>
        <w:contextualSpacing/>
        <w:jc w:val="both"/>
        <w:rPr>
          <w:rFonts w:ascii="Times New Roman" w:hAnsi="Times New Roman"/>
          <w:sz w:val="20"/>
          <w:szCs w:val="20"/>
        </w:rPr>
      </w:pPr>
    </w:p>
    <w:p w14:paraId="3CABFB77" w14:textId="77777777" w:rsidR="004047F2" w:rsidRPr="00712F3C" w:rsidRDefault="004047F2">
      <w:pPr>
        <w:numPr>
          <w:ilvl w:val="3"/>
          <w:numId w:val="208"/>
        </w:numPr>
        <w:spacing w:after="0" w:line="240" w:lineRule="auto"/>
        <w:ind w:left="360"/>
        <w:contextualSpacing/>
        <w:jc w:val="both"/>
        <w:rPr>
          <w:rFonts w:ascii="Times New Roman" w:hAnsi="Times New Roman"/>
          <w:sz w:val="20"/>
          <w:szCs w:val="20"/>
        </w:rPr>
      </w:pPr>
      <w:r w:rsidRPr="00712F3C">
        <w:rPr>
          <w:rFonts w:ascii="Times New Roman" w:hAnsi="Times New Roman"/>
          <w:sz w:val="20"/>
          <w:szCs w:val="20"/>
        </w:rPr>
        <w:t>That the funds required for making refunds as per the modes disclosed or dispatch of allotment advice by registered post or speed post shall be made available to the Registrar and Share Transfer Agent to the Issue by our Company;</w:t>
      </w:r>
    </w:p>
    <w:p w14:paraId="2CDACAE4" w14:textId="77777777" w:rsidR="004047F2" w:rsidRPr="00712F3C" w:rsidRDefault="004047F2" w:rsidP="004047F2">
      <w:pPr>
        <w:spacing w:after="0" w:line="240" w:lineRule="auto"/>
        <w:contextualSpacing/>
        <w:jc w:val="both"/>
        <w:rPr>
          <w:rFonts w:ascii="Times New Roman" w:hAnsi="Times New Roman"/>
          <w:sz w:val="20"/>
          <w:szCs w:val="20"/>
        </w:rPr>
      </w:pPr>
    </w:p>
    <w:p w14:paraId="60A64B51" w14:textId="77777777" w:rsidR="004047F2" w:rsidRPr="00712F3C" w:rsidRDefault="004047F2">
      <w:pPr>
        <w:numPr>
          <w:ilvl w:val="3"/>
          <w:numId w:val="208"/>
        </w:numPr>
        <w:spacing w:after="0" w:line="240" w:lineRule="auto"/>
        <w:ind w:left="360"/>
        <w:contextualSpacing/>
        <w:jc w:val="both"/>
        <w:rPr>
          <w:rFonts w:ascii="Times New Roman" w:hAnsi="Times New Roman"/>
          <w:sz w:val="20"/>
          <w:szCs w:val="20"/>
        </w:rPr>
      </w:pPr>
      <w:r w:rsidRPr="00712F3C">
        <w:rPr>
          <w:rFonts w:ascii="Times New Roman" w:hAnsi="Times New Roman"/>
          <w:sz w:val="20"/>
          <w:szCs w:val="20"/>
        </w:rPr>
        <w:t>Where refunds (to the extent applicable) are made through electronic transfer of funds, a suitable communication shall be sent to the applicant within six Working Days from the Issue Closing Date, giving details of the bank where refunds shall be credited along with amount and expected date of electronic credit of refund;</w:t>
      </w:r>
    </w:p>
    <w:p w14:paraId="66A44EFF" w14:textId="77777777" w:rsidR="004047F2" w:rsidRPr="00712F3C" w:rsidRDefault="004047F2" w:rsidP="004047F2">
      <w:pPr>
        <w:spacing w:after="0" w:line="240" w:lineRule="auto"/>
        <w:contextualSpacing/>
        <w:jc w:val="both"/>
        <w:rPr>
          <w:rFonts w:ascii="Times New Roman" w:hAnsi="Times New Roman"/>
          <w:sz w:val="20"/>
          <w:szCs w:val="20"/>
        </w:rPr>
      </w:pPr>
    </w:p>
    <w:p w14:paraId="48776E0B" w14:textId="77777777" w:rsidR="004047F2" w:rsidRPr="00712F3C" w:rsidRDefault="004047F2">
      <w:pPr>
        <w:numPr>
          <w:ilvl w:val="3"/>
          <w:numId w:val="208"/>
        </w:numPr>
        <w:spacing w:after="0" w:line="240" w:lineRule="auto"/>
        <w:ind w:left="360"/>
        <w:contextualSpacing/>
        <w:jc w:val="both"/>
        <w:rPr>
          <w:rFonts w:ascii="Times New Roman" w:hAnsi="Times New Roman"/>
          <w:sz w:val="20"/>
          <w:szCs w:val="20"/>
        </w:rPr>
      </w:pPr>
      <w:r w:rsidRPr="00712F3C">
        <w:rPr>
          <w:rFonts w:ascii="Times New Roman" w:hAnsi="Times New Roman"/>
          <w:sz w:val="20"/>
          <w:szCs w:val="20"/>
        </w:rPr>
        <w:t>That our Promoter ‘s contribution in full has already been brought in;</w:t>
      </w:r>
    </w:p>
    <w:p w14:paraId="28C57AEF" w14:textId="77777777" w:rsidR="004047F2" w:rsidRPr="00712F3C" w:rsidRDefault="004047F2" w:rsidP="004047F2">
      <w:pPr>
        <w:spacing w:after="0" w:line="240" w:lineRule="auto"/>
        <w:contextualSpacing/>
        <w:jc w:val="both"/>
        <w:rPr>
          <w:rFonts w:ascii="Times New Roman" w:hAnsi="Times New Roman"/>
          <w:sz w:val="20"/>
          <w:szCs w:val="20"/>
        </w:rPr>
      </w:pPr>
    </w:p>
    <w:p w14:paraId="3B09DB9F" w14:textId="77777777" w:rsidR="004047F2" w:rsidRPr="00712F3C" w:rsidRDefault="004047F2">
      <w:pPr>
        <w:numPr>
          <w:ilvl w:val="3"/>
          <w:numId w:val="208"/>
        </w:numPr>
        <w:spacing w:after="0" w:line="240" w:lineRule="auto"/>
        <w:ind w:left="360"/>
        <w:contextualSpacing/>
        <w:jc w:val="both"/>
        <w:rPr>
          <w:rFonts w:ascii="Times New Roman" w:hAnsi="Times New Roman"/>
          <w:sz w:val="20"/>
          <w:szCs w:val="20"/>
        </w:rPr>
      </w:pPr>
      <w:r w:rsidRPr="00712F3C">
        <w:rPr>
          <w:rFonts w:ascii="Times New Roman" w:hAnsi="Times New Roman"/>
          <w:sz w:val="20"/>
          <w:szCs w:val="20"/>
        </w:rPr>
        <w:t>That no further Issue of Equity Shares shall be made till the Equity Shares Issued through the Prospectus are listed or until the Application monies are refunded on account of non-listing, undersubscription etc.;</w:t>
      </w:r>
    </w:p>
    <w:p w14:paraId="043B3077" w14:textId="77777777" w:rsidR="004047F2" w:rsidRPr="00712F3C" w:rsidRDefault="004047F2" w:rsidP="004047F2">
      <w:pPr>
        <w:spacing w:after="0" w:line="240" w:lineRule="auto"/>
        <w:contextualSpacing/>
        <w:jc w:val="both"/>
        <w:rPr>
          <w:rFonts w:ascii="Times New Roman" w:hAnsi="Times New Roman"/>
          <w:sz w:val="20"/>
          <w:szCs w:val="20"/>
        </w:rPr>
      </w:pPr>
    </w:p>
    <w:p w14:paraId="6DBF0691" w14:textId="77777777" w:rsidR="004047F2" w:rsidRPr="00712F3C" w:rsidRDefault="004047F2">
      <w:pPr>
        <w:numPr>
          <w:ilvl w:val="3"/>
          <w:numId w:val="208"/>
        </w:numPr>
        <w:spacing w:after="0" w:line="240" w:lineRule="auto"/>
        <w:ind w:left="360"/>
        <w:contextualSpacing/>
        <w:jc w:val="both"/>
        <w:rPr>
          <w:rFonts w:ascii="Times New Roman" w:hAnsi="Times New Roman"/>
          <w:sz w:val="20"/>
          <w:szCs w:val="20"/>
        </w:rPr>
      </w:pPr>
      <w:r w:rsidRPr="00712F3C">
        <w:rPr>
          <w:rFonts w:ascii="Times New Roman" w:hAnsi="Times New Roman"/>
          <w:sz w:val="20"/>
          <w:szCs w:val="20"/>
        </w:rPr>
        <w:t>That adequate arrangement shall be made to collect all Applications Supported by Blocked Amount while finalizing the Basis of Allotment;</w:t>
      </w:r>
    </w:p>
    <w:p w14:paraId="546BD180" w14:textId="77777777" w:rsidR="004047F2" w:rsidRPr="00712F3C" w:rsidRDefault="004047F2" w:rsidP="004047F2">
      <w:pPr>
        <w:spacing w:after="0" w:line="240" w:lineRule="auto"/>
        <w:contextualSpacing/>
        <w:jc w:val="both"/>
        <w:rPr>
          <w:rFonts w:ascii="Times New Roman" w:hAnsi="Times New Roman"/>
          <w:sz w:val="20"/>
          <w:szCs w:val="20"/>
        </w:rPr>
      </w:pPr>
    </w:p>
    <w:p w14:paraId="4750F9D6" w14:textId="77777777" w:rsidR="004047F2" w:rsidRPr="00712F3C" w:rsidRDefault="004047F2">
      <w:pPr>
        <w:numPr>
          <w:ilvl w:val="3"/>
          <w:numId w:val="208"/>
        </w:numPr>
        <w:spacing w:after="0" w:line="240" w:lineRule="auto"/>
        <w:ind w:left="360"/>
        <w:contextualSpacing/>
        <w:jc w:val="both"/>
        <w:rPr>
          <w:rFonts w:ascii="Times New Roman" w:hAnsi="Times New Roman"/>
          <w:sz w:val="20"/>
          <w:szCs w:val="20"/>
        </w:rPr>
      </w:pPr>
      <w:r w:rsidRPr="00712F3C">
        <w:rPr>
          <w:rFonts w:ascii="Times New Roman" w:hAnsi="Times New Roman"/>
          <w:sz w:val="20"/>
          <w:szCs w:val="20"/>
        </w:rPr>
        <w:t>If our Company does not proceed with the Issue after the Bid/Issue Opening Date but before allotment, then the reason thereof shall be given as a public notice to be issued by our Company within two days of the Bid/Issue Closing Date. The public notice shall be issued in the same newspapers where the Pre-Issue advertisements were published. The stock exchange on which the Equity Shares are proposed to be listed shall also be informed promptly;</w:t>
      </w:r>
    </w:p>
    <w:p w14:paraId="088D5485" w14:textId="77777777" w:rsidR="004047F2" w:rsidRPr="00712F3C" w:rsidRDefault="004047F2" w:rsidP="004047F2">
      <w:pPr>
        <w:spacing w:after="0" w:line="240" w:lineRule="auto"/>
        <w:contextualSpacing/>
        <w:jc w:val="both"/>
        <w:rPr>
          <w:rFonts w:ascii="Times New Roman" w:hAnsi="Times New Roman"/>
          <w:sz w:val="20"/>
          <w:szCs w:val="20"/>
        </w:rPr>
      </w:pPr>
    </w:p>
    <w:p w14:paraId="30F03AA0" w14:textId="77777777" w:rsidR="004047F2" w:rsidRPr="00712F3C" w:rsidRDefault="004047F2">
      <w:pPr>
        <w:numPr>
          <w:ilvl w:val="3"/>
          <w:numId w:val="208"/>
        </w:numPr>
        <w:spacing w:after="0" w:line="240" w:lineRule="auto"/>
        <w:ind w:left="360"/>
        <w:contextualSpacing/>
        <w:jc w:val="both"/>
        <w:rPr>
          <w:rFonts w:ascii="Times New Roman" w:hAnsi="Times New Roman"/>
          <w:sz w:val="20"/>
          <w:szCs w:val="20"/>
        </w:rPr>
      </w:pPr>
      <w:r w:rsidRPr="00712F3C">
        <w:rPr>
          <w:rFonts w:ascii="Times New Roman" w:hAnsi="Times New Roman"/>
          <w:sz w:val="20"/>
          <w:szCs w:val="20"/>
        </w:rPr>
        <w:t>If our Company withdraws the Issue after the Bid/Issue Closing Date, our Company shall be required to file a fresh Draft Red Herring Prospectus with the Stock exchange/RoC/SEBI, in the event our Company subsequently decides to proceed with the Issue;</w:t>
      </w:r>
    </w:p>
    <w:p w14:paraId="0B05CA78" w14:textId="77777777" w:rsidR="004047F2" w:rsidRPr="00712F3C" w:rsidRDefault="004047F2" w:rsidP="004047F2">
      <w:pPr>
        <w:spacing w:after="0" w:line="240" w:lineRule="auto"/>
        <w:contextualSpacing/>
        <w:jc w:val="both"/>
        <w:rPr>
          <w:rFonts w:ascii="Times New Roman" w:hAnsi="Times New Roman"/>
          <w:sz w:val="20"/>
          <w:szCs w:val="20"/>
        </w:rPr>
      </w:pPr>
    </w:p>
    <w:p w14:paraId="783515DD" w14:textId="77777777" w:rsidR="004047F2" w:rsidRPr="00712F3C" w:rsidRDefault="004047F2">
      <w:pPr>
        <w:numPr>
          <w:ilvl w:val="3"/>
          <w:numId w:val="208"/>
        </w:numPr>
        <w:spacing w:after="0" w:line="240" w:lineRule="auto"/>
        <w:ind w:left="360"/>
        <w:contextualSpacing/>
        <w:jc w:val="both"/>
        <w:rPr>
          <w:rFonts w:ascii="Times New Roman" w:hAnsi="Times New Roman"/>
          <w:sz w:val="20"/>
          <w:szCs w:val="20"/>
        </w:rPr>
      </w:pPr>
      <w:r w:rsidRPr="00712F3C">
        <w:rPr>
          <w:rFonts w:ascii="Times New Roman" w:hAnsi="Times New Roman"/>
          <w:sz w:val="20"/>
          <w:szCs w:val="20"/>
        </w:rPr>
        <w:lastRenderedPageBreak/>
        <w:t>If allotment is not made within the prescribed time period under applicable law, the entire subscription amount received will be refunded/ unblocked within the time prescribed under applicable law. If there is delay beyond the prescribed time, our Company shall pay interest prescribed under the Companies Act, 2013, the SEBI Regulations and applicable law for the delayed period.</w:t>
      </w:r>
    </w:p>
    <w:p w14:paraId="2794A8F0" w14:textId="77777777" w:rsidR="004047F2" w:rsidRPr="00712F3C" w:rsidRDefault="004047F2" w:rsidP="004047F2">
      <w:pPr>
        <w:spacing w:after="0" w:line="240" w:lineRule="auto"/>
        <w:contextualSpacing/>
        <w:jc w:val="both"/>
        <w:rPr>
          <w:rFonts w:ascii="Times New Roman" w:eastAsia="Calibri" w:hAnsi="Times New Roman"/>
          <w:b/>
          <w:sz w:val="20"/>
          <w:szCs w:val="20"/>
          <w:u w:val="single"/>
        </w:rPr>
      </w:pPr>
    </w:p>
    <w:p w14:paraId="0D21B72A" w14:textId="77777777" w:rsidR="004047F2" w:rsidRPr="00712F3C" w:rsidRDefault="004047F2" w:rsidP="004047F2">
      <w:pPr>
        <w:spacing w:after="0" w:line="240" w:lineRule="auto"/>
        <w:contextualSpacing/>
        <w:jc w:val="both"/>
        <w:rPr>
          <w:rFonts w:ascii="Times New Roman" w:eastAsia="Calibri" w:hAnsi="Times New Roman"/>
          <w:b/>
          <w:sz w:val="20"/>
          <w:szCs w:val="20"/>
          <w:u w:val="single"/>
        </w:rPr>
      </w:pPr>
      <w:r w:rsidRPr="00712F3C">
        <w:rPr>
          <w:rFonts w:ascii="Times New Roman" w:eastAsia="Calibri" w:hAnsi="Times New Roman"/>
          <w:b/>
          <w:sz w:val="20"/>
          <w:szCs w:val="20"/>
          <w:u w:val="single"/>
        </w:rPr>
        <w:t>Utilization of Issue Proceeds</w:t>
      </w:r>
    </w:p>
    <w:p w14:paraId="617C6DAB" w14:textId="77777777" w:rsidR="004047F2" w:rsidRPr="00712F3C" w:rsidRDefault="004047F2" w:rsidP="004047F2">
      <w:pPr>
        <w:spacing w:after="0" w:line="240" w:lineRule="auto"/>
        <w:contextualSpacing/>
        <w:jc w:val="both"/>
        <w:rPr>
          <w:rFonts w:ascii="Times New Roman" w:eastAsia="Calibri" w:hAnsi="Times New Roman"/>
          <w:b/>
          <w:sz w:val="20"/>
          <w:szCs w:val="20"/>
          <w:u w:val="single"/>
        </w:rPr>
      </w:pPr>
    </w:p>
    <w:p w14:paraId="7D8827C9" w14:textId="77777777" w:rsidR="004047F2" w:rsidRPr="00712F3C" w:rsidRDefault="004047F2" w:rsidP="004047F2">
      <w:pPr>
        <w:spacing w:after="0" w:line="240" w:lineRule="auto"/>
        <w:contextualSpacing/>
        <w:jc w:val="both"/>
        <w:rPr>
          <w:rFonts w:ascii="Times New Roman" w:eastAsia="Calibri" w:hAnsi="Times New Roman"/>
          <w:sz w:val="20"/>
          <w:szCs w:val="20"/>
        </w:rPr>
      </w:pPr>
      <w:r w:rsidRPr="00712F3C">
        <w:rPr>
          <w:rFonts w:ascii="Times New Roman" w:eastAsia="Calibri" w:hAnsi="Times New Roman"/>
          <w:sz w:val="20"/>
          <w:szCs w:val="20"/>
        </w:rPr>
        <w:t>The Board of Directors of our Company certifies that:</w:t>
      </w:r>
    </w:p>
    <w:p w14:paraId="6B6B5516" w14:textId="77777777" w:rsidR="004047F2" w:rsidRPr="00712F3C" w:rsidRDefault="004047F2" w:rsidP="004047F2">
      <w:pPr>
        <w:spacing w:after="0" w:line="240" w:lineRule="auto"/>
        <w:contextualSpacing/>
        <w:jc w:val="both"/>
        <w:rPr>
          <w:rFonts w:ascii="Times New Roman" w:eastAsia="Calibri" w:hAnsi="Times New Roman"/>
          <w:sz w:val="20"/>
          <w:szCs w:val="20"/>
        </w:rPr>
      </w:pPr>
    </w:p>
    <w:p w14:paraId="0FAC0BA1" w14:textId="77777777" w:rsidR="004047F2" w:rsidRPr="00712F3C" w:rsidRDefault="004047F2">
      <w:pPr>
        <w:numPr>
          <w:ilvl w:val="0"/>
          <w:numId w:val="207"/>
        </w:numPr>
        <w:spacing w:after="0" w:line="240" w:lineRule="auto"/>
        <w:ind w:left="426"/>
        <w:contextualSpacing/>
        <w:jc w:val="both"/>
        <w:rPr>
          <w:rFonts w:ascii="Times New Roman" w:eastAsia="Calibri" w:hAnsi="Times New Roman"/>
          <w:sz w:val="20"/>
          <w:szCs w:val="20"/>
        </w:rPr>
      </w:pPr>
      <w:r w:rsidRPr="00712F3C">
        <w:rPr>
          <w:rFonts w:ascii="Times New Roman" w:eastAsia="Calibri" w:hAnsi="Times New Roman"/>
          <w:sz w:val="20"/>
          <w:szCs w:val="20"/>
        </w:rPr>
        <w:t>All monies received out of the Issue shall be credited/ transferred to a separate bank account other than the bank account referred to in sub section (3) of Section 40 of the Companies Act 2013;</w:t>
      </w:r>
    </w:p>
    <w:p w14:paraId="5646E2D9" w14:textId="77777777" w:rsidR="004047F2" w:rsidRPr="00712F3C" w:rsidRDefault="004047F2">
      <w:pPr>
        <w:numPr>
          <w:ilvl w:val="0"/>
          <w:numId w:val="207"/>
        </w:numPr>
        <w:spacing w:after="0" w:line="240" w:lineRule="auto"/>
        <w:ind w:left="426"/>
        <w:contextualSpacing/>
        <w:jc w:val="both"/>
        <w:rPr>
          <w:rFonts w:ascii="Times New Roman" w:eastAsia="Calibri" w:hAnsi="Times New Roman"/>
          <w:sz w:val="20"/>
          <w:szCs w:val="20"/>
        </w:rPr>
      </w:pPr>
      <w:r w:rsidRPr="00712F3C">
        <w:rPr>
          <w:rFonts w:ascii="Times New Roman" w:eastAsia="Calibri" w:hAnsi="Times New Roman"/>
          <w:sz w:val="20"/>
          <w:szCs w:val="20"/>
        </w:rPr>
        <w:t>Details of all monies utilized out of the Issue referred above shall be disclosed and continue to be disclosed till the time any part of the issue proceeds remains unutilized, under an appropriate head in our balance sheet of our company indicating the purpose for which such monies have been utilized;</w:t>
      </w:r>
    </w:p>
    <w:p w14:paraId="787983FB" w14:textId="77777777" w:rsidR="004047F2" w:rsidRPr="00712F3C" w:rsidRDefault="004047F2">
      <w:pPr>
        <w:numPr>
          <w:ilvl w:val="0"/>
          <w:numId w:val="207"/>
        </w:numPr>
        <w:spacing w:after="0" w:line="240" w:lineRule="auto"/>
        <w:ind w:left="426"/>
        <w:contextualSpacing/>
        <w:jc w:val="both"/>
        <w:rPr>
          <w:rFonts w:ascii="Times New Roman" w:eastAsia="Calibri" w:hAnsi="Times New Roman"/>
          <w:sz w:val="20"/>
          <w:szCs w:val="20"/>
        </w:rPr>
      </w:pPr>
      <w:r w:rsidRPr="00712F3C">
        <w:rPr>
          <w:rFonts w:ascii="Times New Roman" w:eastAsia="Calibri" w:hAnsi="Times New Roman"/>
          <w:sz w:val="20"/>
          <w:szCs w:val="20"/>
        </w:rPr>
        <w:t>Details of all unutilized monies out of the Issue, if any shall be disclosed under the appropriate separate head in the balance sheet of our company indicating the form in which such unutilized monies have been invested and</w:t>
      </w:r>
    </w:p>
    <w:p w14:paraId="68C93CA0" w14:textId="77777777" w:rsidR="004047F2" w:rsidRPr="00712F3C" w:rsidRDefault="004047F2">
      <w:pPr>
        <w:numPr>
          <w:ilvl w:val="0"/>
          <w:numId w:val="207"/>
        </w:numPr>
        <w:spacing w:after="0" w:line="240" w:lineRule="auto"/>
        <w:ind w:left="426"/>
        <w:contextualSpacing/>
        <w:jc w:val="both"/>
        <w:rPr>
          <w:rFonts w:ascii="Times New Roman" w:eastAsia="Calibri" w:hAnsi="Times New Roman"/>
          <w:sz w:val="20"/>
          <w:szCs w:val="20"/>
        </w:rPr>
      </w:pPr>
      <w:r w:rsidRPr="00712F3C">
        <w:rPr>
          <w:rFonts w:ascii="Times New Roman" w:eastAsia="Calibri" w:hAnsi="Times New Roman"/>
          <w:sz w:val="20"/>
          <w:szCs w:val="20"/>
        </w:rPr>
        <w:t>Our Company shall comply with the requirements of SEBI Listing Regulations, 2015 in relation to the disclosure and monitoring of the utilization of the proceeds of the Issue.</w:t>
      </w:r>
    </w:p>
    <w:p w14:paraId="0B27BD7D" w14:textId="77777777" w:rsidR="004047F2" w:rsidRPr="00712F3C" w:rsidRDefault="004047F2">
      <w:pPr>
        <w:numPr>
          <w:ilvl w:val="0"/>
          <w:numId w:val="207"/>
        </w:numPr>
        <w:spacing w:after="0" w:line="240" w:lineRule="auto"/>
        <w:ind w:left="426"/>
        <w:contextualSpacing/>
        <w:jc w:val="both"/>
        <w:rPr>
          <w:rFonts w:ascii="Times New Roman" w:eastAsia="Calibri" w:hAnsi="Times New Roman"/>
          <w:sz w:val="20"/>
          <w:szCs w:val="20"/>
        </w:rPr>
      </w:pPr>
      <w:r w:rsidRPr="00712F3C">
        <w:rPr>
          <w:rFonts w:ascii="Times New Roman" w:eastAsia="Calibri" w:hAnsi="Times New Roman"/>
          <w:sz w:val="20"/>
          <w:szCs w:val="20"/>
        </w:rPr>
        <w:t>Our Company shall not have recourse to the Issue Proceeds until the approval for listing and trading of the Equity Shares from the Stock Exchange where listing is sought has been received.</w:t>
      </w:r>
    </w:p>
    <w:p w14:paraId="0E9D2574" w14:textId="77777777" w:rsidR="004047F2" w:rsidRPr="00712F3C" w:rsidRDefault="004047F2">
      <w:pPr>
        <w:numPr>
          <w:ilvl w:val="0"/>
          <w:numId w:val="207"/>
        </w:numPr>
        <w:spacing w:after="0" w:line="240" w:lineRule="auto"/>
        <w:ind w:left="426"/>
        <w:contextualSpacing/>
        <w:jc w:val="both"/>
        <w:rPr>
          <w:rFonts w:ascii="Times New Roman" w:eastAsia="Calibri" w:hAnsi="Times New Roman"/>
          <w:sz w:val="20"/>
          <w:szCs w:val="20"/>
        </w:rPr>
      </w:pPr>
      <w:r w:rsidRPr="00712F3C">
        <w:rPr>
          <w:rFonts w:ascii="Times New Roman" w:eastAsia="Calibri" w:hAnsi="Times New Roman"/>
          <w:sz w:val="20"/>
          <w:szCs w:val="20"/>
        </w:rPr>
        <w:t>The Book Running Lead Manager undertakes that the complaints or comments received in respect of the Issue shall be attended by our Company expeditiously and satisfactorily.</w:t>
      </w:r>
    </w:p>
    <w:p w14:paraId="3DB279BB" w14:textId="77777777" w:rsidR="004047F2" w:rsidRPr="00712F3C" w:rsidRDefault="004047F2" w:rsidP="004047F2">
      <w:pPr>
        <w:spacing w:after="0" w:line="240" w:lineRule="auto"/>
        <w:rPr>
          <w:rFonts w:ascii="Times New Roman" w:eastAsia="Calibri" w:hAnsi="Times New Roman"/>
          <w:b/>
          <w:sz w:val="20"/>
          <w:szCs w:val="20"/>
          <w:u w:val="single"/>
        </w:rPr>
      </w:pPr>
    </w:p>
    <w:p w14:paraId="02F4C352" w14:textId="77777777" w:rsidR="004047F2" w:rsidRPr="00712F3C" w:rsidRDefault="004047F2" w:rsidP="004047F2">
      <w:pPr>
        <w:spacing w:after="0" w:line="240" w:lineRule="auto"/>
        <w:rPr>
          <w:rFonts w:ascii="Times New Roman" w:eastAsia="Calibri" w:hAnsi="Times New Roman"/>
          <w:b/>
          <w:sz w:val="20"/>
          <w:szCs w:val="20"/>
          <w:u w:val="single"/>
        </w:rPr>
      </w:pPr>
      <w:r w:rsidRPr="00712F3C">
        <w:rPr>
          <w:rFonts w:ascii="Times New Roman" w:eastAsia="Calibri" w:hAnsi="Times New Roman"/>
          <w:b/>
          <w:sz w:val="20"/>
          <w:szCs w:val="20"/>
          <w:u w:val="single"/>
        </w:rPr>
        <w:t>Equity Shares in Dematerialized Form with NSDL or CDSL</w:t>
      </w:r>
    </w:p>
    <w:p w14:paraId="02F5BFBD" w14:textId="77777777" w:rsidR="004047F2" w:rsidRPr="00712F3C" w:rsidRDefault="004047F2" w:rsidP="004047F2">
      <w:pPr>
        <w:spacing w:after="0" w:line="240" w:lineRule="auto"/>
        <w:jc w:val="both"/>
        <w:rPr>
          <w:rFonts w:ascii="Times New Roman" w:eastAsia="Calibri" w:hAnsi="Times New Roman"/>
          <w:sz w:val="20"/>
          <w:szCs w:val="20"/>
        </w:rPr>
      </w:pPr>
    </w:p>
    <w:p w14:paraId="28C969D0" w14:textId="77777777" w:rsidR="004047F2" w:rsidRPr="00712F3C" w:rsidRDefault="004047F2" w:rsidP="004047F2">
      <w:pPr>
        <w:spacing w:after="0" w:line="240" w:lineRule="auto"/>
        <w:jc w:val="both"/>
        <w:rPr>
          <w:rFonts w:ascii="Times New Roman" w:eastAsia="Calibri" w:hAnsi="Times New Roman"/>
          <w:sz w:val="20"/>
          <w:szCs w:val="20"/>
        </w:rPr>
      </w:pPr>
      <w:r w:rsidRPr="00712F3C">
        <w:rPr>
          <w:rFonts w:ascii="Times New Roman" w:eastAsia="Calibri" w:hAnsi="Times New Roman"/>
          <w:sz w:val="20"/>
          <w:szCs w:val="20"/>
        </w:rPr>
        <w:t>To enable all shareholders of our Company to have their shareholding in electronic form, the Company has signed the following tripartite agreements with the Depositories and the Registrar and Share Transfer Agent:</w:t>
      </w:r>
    </w:p>
    <w:p w14:paraId="51ED2B38" w14:textId="306901AD" w:rsidR="004047F2" w:rsidRPr="00712F3C" w:rsidRDefault="004047F2">
      <w:pPr>
        <w:numPr>
          <w:ilvl w:val="0"/>
          <w:numId w:val="312"/>
        </w:numPr>
        <w:spacing w:after="0" w:line="240" w:lineRule="auto"/>
        <w:contextualSpacing/>
        <w:jc w:val="both"/>
        <w:rPr>
          <w:rFonts w:ascii="Times New Roman" w:eastAsia="Calibri" w:hAnsi="Times New Roman"/>
          <w:sz w:val="20"/>
          <w:szCs w:val="20"/>
        </w:rPr>
      </w:pPr>
      <w:r w:rsidRPr="00712F3C">
        <w:rPr>
          <w:rFonts w:ascii="Times New Roman" w:hAnsi="Times New Roman"/>
          <w:bCs/>
          <w:sz w:val="20"/>
          <w:szCs w:val="20"/>
        </w:rPr>
        <w:t xml:space="preserve">Tripartite </w:t>
      </w:r>
      <w:r>
        <w:rPr>
          <w:rFonts w:ascii="Times New Roman" w:eastAsia="Calibri" w:hAnsi="Times New Roman"/>
          <w:sz w:val="20"/>
          <w:szCs w:val="20"/>
        </w:rPr>
        <w:t xml:space="preserve">Agreement dated </w:t>
      </w:r>
      <w:r w:rsidR="00636B58">
        <w:rPr>
          <w:rFonts w:ascii="Times New Roman" w:hAnsi="Times New Roman"/>
          <w:sz w:val="20"/>
          <w:szCs w:val="20"/>
        </w:rPr>
        <w:t>August 07, 2023</w:t>
      </w:r>
      <w:r w:rsidR="00636B58" w:rsidRPr="00CA0713">
        <w:rPr>
          <w:rFonts w:ascii="Times New Roman" w:hAnsi="Times New Roman"/>
          <w:sz w:val="20"/>
          <w:szCs w:val="20"/>
        </w:rPr>
        <w:t xml:space="preserve"> </w:t>
      </w:r>
      <w:r w:rsidRPr="00712F3C">
        <w:rPr>
          <w:rFonts w:ascii="Times New Roman" w:eastAsia="Calibri" w:hAnsi="Times New Roman"/>
          <w:sz w:val="20"/>
          <w:szCs w:val="20"/>
        </w:rPr>
        <w:t>between NSDL, the Company and the Registrar to the Issue;</w:t>
      </w:r>
    </w:p>
    <w:p w14:paraId="129FF3AA" w14:textId="1671138C" w:rsidR="004047F2" w:rsidRPr="00712F3C" w:rsidRDefault="004047F2">
      <w:pPr>
        <w:numPr>
          <w:ilvl w:val="0"/>
          <w:numId w:val="312"/>
        </w:numPr>
        <w:spacing w:after="0" w:line="240" w:lineRule="auto"/>
        <w:contextualSpacing/>
        <w:jc w:val="both"/>
        <w:rPr>
          <w:rFonts w:ascii="Times New Roman" w:eastAsia="Calibri" w:hAnsi="Times New Roman"/>
          <w:sz w:val="20"/>
          <w:szCs w:val="20"/>
        </w:rPr>
      </w:pPr>
      <w:r w:rsidRPr="00712F3C">
        <w:rPr>
          <w:rFonts w:ascii="Times New Roman" w:hAnsi="Times New Roman"/>
          <w:bCs/>
          <w:sz w:val="20"/>
          <w:szCs w:val="20"/>
        </w:rPr>
        <w:t xml:space="preserve">Tripartite </w:t>
      </w:r>
      <w:r w:rsidRPr="00712F3C">
        <w:rPr>
          <w:rFonts w:ascii="Times New Roman" w:eastAsia="Calibri" w:hAnsi="Times New Roman"/>
          <w:sz w:val="20"/>
          <w:szCs w:val="20"/>
        </w:rPr>
        <w:t xml:space="preserve">Agreement dated </w:t>
      </w:r>
      <w:r w:rsidR="00636B58">
        <w:rPr>
          <w:rFonts w:ascii="Times New Roman" w:eastAsia="Calibri" w:hAnsi="Times New Roman"/>
          <w:color w:val="000000"/>
          <w:sz w:val="20"/>
          <w:szCs w:val="20"/>
        </w:rPr>
        <w:t>August 04, 2023</w:t>
      </w:r>
      <w:r w:rsidR="00636B58" w:rsidRPr="00712F3C">
        <w:rPr>
          <w:rFonts w:ascii="Times New Roman" w:eastAsia="Calibri" w:hAnsi="Times New Roman"/>
          <w:color w:val="000000"/>
          <w:sz w:val="20"/>
          <w:szCs w:val="20"/>
        </w:rPr>
        <w:t xml:space="preserve"> </w:t>
      </w:r>
      <w:r w:rsidRPr="00712F3C">
        <w:rPr>
          <w:rFonts w:ascii="Times New Roman" w:eastAsia="Calibri" w:hAnsi="Times New Roman"/>
          <w:sz w:val="20"/>
          <w:szCs w:val="20"/>
        </w:rPr>
        <w:t>between CDSL, the Company and the Registrar to the Issue;</w:t>
      </w:r>
    </w:p>
    <w:p w14:paraId="1D537EF3" w14:textId="3C6004C6" w:rsidR="004047F2" w:rsidRPr="00712F3C" w:rsidRDefault="004047F2">
      <w:pPr>
        <w:numPr>
          <w:ilvl w:val="0"/>
          <w:numId w:val="312"/>
        </w:numPr>
        <w:spacing w:after="0" w:line="240" w:lineRule="auto"/>
        <w:contextualSpacing/>
        <w:jc w:val="both"/>
        <w:rPr>
          <w:rFonts w:ascii="Times New Roman" w:eastAsia="Calibri" w:hAnsi="Times New Roman"/>
        </w:rPr>
      </w:pPr>
      <w:r w:rsidRPr="00712F3C">
        <w:rPr>
          <w:rFonts w:ascii="Times New Roman" w:hAnsi="Times New Roman"/>
          <w:bCs/>
          <w:sz w:val="20"/>
          <w:szCs w:val="20"/>
        </w:rPr>
        <w:t>The</w:t>
      </w:r>
      <w:r w:rsidRPr="00712F3C">
        <w:rPr>
          <w:rFonts w:ascii="Times New Roman" w:eastAsia="Calibri" w:hAnsi="Times New Roman"/>
          <w:sz w:val="20"/>
          <w:szCs w:val="20"/>
        </w:rPr>
        <w:t xml:space="preserve"> Company's equity shares bear an ISIN </w:t>
      </w:r>
      <w:r w:rsidR="00636B58" w:rsidRPr="008D1EB0">
        <w:rPr>
          <w:rFonts w:ascii="Times New Roman" w:hAnsi="Times New Roman"/>
          <w:color w:val="000000"/>
          <w:sz w:val="20"/>
          <w:szCs w:val="20"/>
        </w:rPr>
        <w:t>INE0QSK01017</w:t>
      </w:r>
      <w:r w:rsidRPr="00712F3C">
        <w:rPr>
          <w:rFonts w:ascii="Times New Roman" w:eastAsia="Calibri" w:hAnsi="Times New Roman"/>
          <w:sz w:val="20"/>
          <w:szCs w:val="20"/>
        </w:rPr>
        <w:t>.</w:t>
      </w:r>
      <w:r w:rsidRPr="00712F3C">
        <w:rPr>
          <w:rFonts w:ascii="Times New Roman" w:eastAsia="Calibri" w:hAnsi="Times New Roman"/>
        </w:rPr>
        <w:br w:type="page"/>
      </w:r>
    </w:p>
    <w:p w14:paraId="273A00FA" w14:textId="77777777" w:rsidR="004047F2" w:rsidRPr="00712F3C" w:rsidRDefault="004047F2" w:rsidP="004047F2">
      <w:pPr>
        <w:spacing w:after="0" w:line="240" w:lineRule="auto"/>
        <w:jc w:val="center"/>
        <w:rPr>
          <w:rFonts w:ascii="Times New Roman" w:hAnsi="Times New Roman"/>
          <w:b/>
          <w:bCs/>
          <w:sz w:val="20"/>
          <w:szCs w:val="20"/>
          <w:u w:val="single"/>
        </w:rPr>
      </w:pPr>
      <w:r w:rsidRPr="00712F3C">
        <w:rPr>
          <w:rFonts w:ascii="Times New Roman" w:hAnsi="Times New Roman"/>
          <w:b/>
          <w:bCs/>
          <w:sz w:val="20"/>
          <w:szCs w:val="20"/>
          <w:u w:val="single"/>
        </w:rPr>
        <w:lastRenderedPageBreak/>
        <w:t>RESTRICTIONS ON FOREIGN OWNERSHIP OF INDIAN SECURITIES</w:t>
      </w:r>
    </w:p>
    <w:p w14:paraId="77444258" w14:textId="77777777" w:rsidR="004047F2" w:rsidRPr="00712F3C" w:rsidRDefault="004047F2" w:rsidP="004047F2">
      <w:pPr>
        <w:spacing w:after="0" w:line="240" w:lineRule="auto"/>
        <w:jc w:val="center"/>
        <w:rPr>
          <w:rFonts w:ascii="Times New Roman" w:hAnsi="Times New Roman"/>
          <w:b/>
          <w:bCs/>
          <w:sz w:val="20"/>
          <w:szCs w:val="20"/>
          <w:u w:val="single"/>
        </w:rPr>
      </w:pPr>
    </w:p>
    <w:p w14:paraId="10B22DC5" w14:textId="77777777" w:rsidR="004047F2" w:rsidRPr="00712F3C" w:rsidRDefault="004047F2" w:rsidP="004047F2">
      <w:pPr>
        <w:widowControl w:val="0"/>
        <w:spacing w:after="0" w:line="240" w:lineRule="auto"/>
        <w:jc w:val="both"/>
        <w:rPr>
          <w:rFonts w:ascii="Times New Roman" w:hAnsi="Times New Roman"/>
          <w:sz w:val="20"/>
          <w:szCs w:val="20"/>
        </w:rPr>
      </w:pPr>
      <w:r w:rsidRPr="00712F3C">
        <w:rPr>
          <w:rFonts w:ascii="Times New Roman" w:hAnsi="Times New Roman"/>
          <w:sz w:val="20"/>
          <w:szCs w:val="20"/>
        </w:rPr>
        <w:t>Foreign investment in Indian securities is regulated through the Industrial Policy, 1991 of the Government of India and Foreign Exchange Management Act, 1999 (“FEMA”). While the Industrial Policy, 1991 prescribes the limits and the conditions subject to which foreign investment can be made in different sectors of the Indian economy, FEMA regulates the precise manner in which such investment may be made. Under the Industrial Policy, unless specifically restricted, foreign investment is freely permitted in all sectors of Indian economy up to any extent and without any prior approvals, but the foreign investor is required to follow certain prescribed procedures for making such investment. The government bodies responsible for granting foreign investment approvals are the Reserve Bank of India (“RBI”) and Department of Industrial Policy and Promotion, Ministry of Commerce and Industry, Government of India (“DIPP”).</w:t>
      </w:r>
    </w:p>
    <w:p w14:paraId="1E92A587" w14:textId="77777777" w:rsidR="004047F2" w:rsidRPr="00712F3C" w:rsidRDefault="004047F2" w:rsidP="004047F2">
      <w:pPr>
        <w:widowControl w:val="0"/>
        <w:spacing w:after="0" w:line="240" w:lineRule="auto"/>
        <w:jc w:val="both"/>
        <w:rPr>
          <w:rFonts w:ascii="Times New Roman" w:hAnsi="Times New Roman"/>
          <w:sz w:val="20"/>
          <w:szCs w:val="20"/>
        </w:rPr>
      </w:pPr>
    </w:p>
    <w:p w14:paraId="7AE4E00A" w14:textId="77777777" w:rsidR="004047F2" w:rsidRPr="00712F3C" w:rsidRDefault="004047F2" w:rsidP="004047F2">
      <w:pPr>
        <w:widowControl w:val="0"/>
        <w:spacing w:after="0" w:line="240" w:lineRule="auto"/>
        <w:jc w:val="both"/>
        <w:rPr>
          <w:rFonts w:ascii="Times New Roman" w:hAnsi="Times New Roman"/>
          <w:sz w:val="20"/>
          <w:szCs w:val="20"/>
        </w:rPr>
      </w:pPr>
      <w:r w:rsidRPr="00712F3C">
        <w:rPr>
          <w:rFonts w:ascii="Times New Roman" w:hAnsi="Times New Roman"/>
          <w:sz w:val="20"/>
          <w:szCs w:val="20"/>
        </w:rPr>
        <w:t>The Government of India has from time to time made policy pronouncements on FDI through press notes and press releases. The DPIIT issued the Consolidated Foreign Direct Investment Policy notified by the DPIIT File No. 5(2)/2020-FDI Policy dated October 15, 2020, with effect from October 15, 2020 (the “FDI Policy”), which consolidates and supersedes all previous press notes, press releases and clarifications on FDI issued by the DPIIT or the DPIIT that were in force and effect prior to October 15, 2020. The Government of India proposes to update the consolidated circular on FDI Policy once every year and therefore, the FDI Policy will be valid until the DPIIT issues an updated circular.</w:t>
      </w:r>
    </w:p>
    <w:p w14:paraId="3973E215" w14:textId="77777777" w:rsidR="004047F2" w:rsidRPr="00712F3C" w:rsidRDefault="004047F2" w:rsidP="004047F2">
      <w:pPr>
        <w:widowControl w:val="0"/>
        <w:spacing w:after="0" w:line="240" w:lineRule="auto"/>
        <w:jc w:val="both"/>
        <w:rPr>
          <w:rFonts w:ascii="Times New Roman" w:hAnsi="Times New Roman"/>
          <w:sz w:val="20"/>
          <w:szCs w:val="20"/>
        </w:rPr>
      </w:pPr>
    </w:p>
    <w:p w14:paraId="2DB5229C" w14:textId="77777777" w:rsidR="004047F2" w:rsidRPr="00712F3C" w:rsidRDefault="004047F2" w:rsidP="004047F2">
      <w:pPr>
        <w:widowControl w:val="0"/>
        <w:spacing w:after="0" w:line="240" w:lineRule="auto"/>
        <w:jc w:val="both"/>
        <w:rPr>
          <w:rFonts w:ascii="Times New Roman" w:hAnsi="Times New Roman"/>
          <w:sz w:val="20"/>
          <w:szCs w:val="20"/>
        </w:rPr>
      </w:pPr>
      <w:r w:rsidRPr="00712F3C">
        <w:rPr>
          <w:rFonts w:ascii="Times New Roman" w:hAnsi="Times New Roman"/>
          <w:sz w:val="20"/>
          <w:szCs w:val="20"/>
        </w:rPr>
        <w:t>In terms of the FEMA NDI Rules, a person resident outside India may make investments into India, subject to certain terms and conditions, and provided that an entity of a country, which shares land border with India or the beneficial owner of an investment into India who is situated in or is a citizen of any such country, shall invest only with government approval.</w:t>
      </w:r>
    </w:p>
    <w:p w14:paraId="18FD927E" w14:textId="77777777" w:rsidR="004047F2" w:rsidRPr="00712F3C" w:rsidRDefault="004047F2" w:rsidP="004047F2">
      <w:pPr>
        <w:widowControl w:val="0"/>
        <w:spacing w:after="0" w:line="240" w:lineRule="auto"/>
        <w:jc w:val="both"/>
        <w:rPr>
          <w:rFonts w:ascii="Times New Roman" w:hAnsi="Times New Roman"/>
          <w:sz w:val="20"/>
          <w:szCs w:val="20"/>
        </w:rPr>
      </w:pPr>
    </w:p>
    <w:p w14:paraId="52E99AC1" w14:textId="77777777" w:rsidR="004047F2" w:rsidRPr="00712F3C" w:rsidRDefault="004047F2" w:rsidP="004047F2">
      <w:pPr>
        <w:widowControl w:val="0"/>
        <w:spacing w:after="0" w:line="240" w:lineRule="auto"/>
        <w:jc w:val="both"/>
        <w:rPr>
          <w:rFonts w:ascii="Times New Roman" w:hAnsi="Times New Roman"/>
          <w:sz w:val="20"/>
          <w:szCs w:val="20"/>
        </w:rPr>
      </w:pPr>
      <w:r w:rsidRPr="00712F3C">
        <w:rPr>
          <w:rFonts w:ascii="Times New Roman" w:hAnsi="Times New Roman"/>
          <w:sz w:val="20"/>
          <w:szCs w:val="20"/>
        </w:rPr>
        <w:t>The transfer of shares between an Indian resident and a non-resident does not require the prior approval of the RBI, provided that (i) the activities of the investee company are under the automatic route under the foreign direct investment policy and transfer does not attract the provisions of the Takeover Regulations; (ii) the non-resident shareholding is within the sectoral limits under the FDI policy; and (iii) the pricing is in accordance with the guidelines prescribed by the SEBI/ RBI.</w:t>
      </w:r>
    </w:p>
    <w:p w14:paraId="66E2B3AE" w14:textId="77777777" w:rsidR="004047F2" w:rsidRPr="00712F3C" w:rsidRDefault="004047F2" w:rsidP="004047F2">
      <w:pPr>
        <w:widowControl w:val="0"/>
        <w:spacing w:after="0" w:line="240" w:lineRule="auto"/>
        <w:jc w:val="both"/>
        <w:rPr>
          <w:rFonts w:ascii="Times New Roman" w:hAnsi="Times New Roman"/>
          <w:sz w:val="20"/>
          <w:szCs w:val="20"/>
        </w:rPr>
      </w:pPr>
    </w:p>
    <w:p w14:paraId="221404B0" w14:textId="77777777" w:rsidR="004047F2" w:rsidRPr="00712F3C" w:rsidRDefault="004047F2" w:rsidP="004047F2">
      <w:pPr>
        <w:widowControl w:val="0"/>
        <w:spacing w:after="0" w:line="240" w:lineRule="auto"/>
        <w:jc w:val="both"/>
        <w:rPr>
          <w:rFonts w:ascii="Times New Roman" w:hAnsi="Times New Roman"/>
          <w:sz w:val="20"/>
          <w:szCs w:val="20"/>
        </w:rPr>
      </w:pPr>
      <w:r w:rsidRPr="00712F3C">
        <w:rPr>
          <w:rFonts w:ascii="Times New Roman" w:hAnsi="Times New Roman"/>
          <w:sz w:val="20"/>
          <w:szCs w:val="20"/>
        </w:rPr>
        <w:t>Further, in accordance with Press Note No. 3 (2020 Series), dated April 17, 2020 issued by the DPIIT and the Foreign Exchange Management (Non-debt Instruments) Amendment Rules, 2020 which came into effect from April 22, 2020, any investment, subscription, purchase or sale of equity instruments by entities of a country which shares land border with India or where the beneficial owner of an investment into India is situated in or is a citizen of any such country (“Restricted Investors”), will require prior approval of the Government, as prescribed in the Consolidated FDI Policy and the FEMA Rules. Further, in the event of transfer of ownership of any existing or future foreign direct investment in an entity in India, directly or indirectly, resulting in the beneficial ownership falling within the aforesaid restriction/ purview, such subsequent change in the beneficial ownership will also require approval of the Government. Furthermore, on April 22, 2020, the Ministry of Finance, Government of India has also made a similar amendment to the FEMA Rules. Pursuant to the Foreign Exchange Management (Non-debt Instruments) (Fourth Amendment) Rules, 2020, a multilateral bank or fund, of which India is a member, shall not be treated as an entity of a particular country nor shall any country be treated as the beneficial owner of the investments of such bank of fund in India. Each Bidder should seek independent legal advice about its ability to participate in the Offer. In the event such prior approval of the Government of India is required, and such approval has been obtained, the Bidder shall intimate our Company and the Registrar to the Offer in writing about such approval along with a copy thereof within the Issue Period.</w:t>
      </w:r>
    </w:p>
    <w:p w14:paraId="75048BAE" w14:textId="77777777" w:rsidR="004047F2" w:rsidRPr="00712F3C" w:rsidRDefault="004047F2" w:rsidP="004047F2">
      <w:pPr>
        <w:widowControl w:val="0"/>
        <w:spacing w:after="0" w:line="240" w:lineRule="auto"/>
        <w:jc w:val="both"/>
        <w:rPr>
          <w:rFonts w:ascii="Times New Roman" w:hAnsi="Times New Roman"/>
          <w:sz w:val="20"/>
          <w:szCs w:val="20"/>
        </w:rPr>
      </w:pPr>
    </w:p>
    <w:p w14:paraId="4A6F97CF" w14:textId="77777777" w:rsidR="004047F2" w:rsidRPr="00712F3C" w:rsidRDefault="004047F2" w:rsidP="004047F2">
      <w:pPr>
        <w:widowControl w:val="0"/>
        <w:spacing w:after="0" w:line="240" w:lineRule="auto"/>
        <w:jc w:val="both"/>
        <w:rPr>
          <w:rFonts w:ascii="Times New Roman" w:hAnsi="Times New Roman"/>
          <w:sz w:val="20"/>
          <w:szCs w:val="20"/>
        </w:rPr>
      </w:pPr>
      <w:r w:rsidRPr="00712F3C">
        <w:rPr>
          <w:rFonts w:ascii="Times New Roman" w:hAnsi="Times New Roman"/>
          <w:sz w:val="20"/>
          <w:szCs w:val="20"/>
        </w:rPr>
        <w:t>As per the existing policy of the Government of India, OCBs cannot participate in this Issue and in accordance with the extant FDI guidelines on sectoral caps, pricing guidelines etc. as amended by Reserve bank of India, from time to time. Investors are advised to confirm their eligibility under the relevant laws before investing and / or subsequent purchase or sale transaction in the Equity Shares of our Company. Investors will not offer, sell, pledge or transfer the Equity Shares of our Company to any person who is not eligible under applicable laws, rules, regulations, guidelines. Our Company, the Underwriters and their respective directors, officers, agents, affiliates and representatives, as applicable, accept no responsibility or liability for advising any investor on whether such investor is eligible to acquire Equity Shares of our Company.</w:t>
      </w:r>
    </w:p>
    <w:p w14:paraId="361FB4F2" w14:textId="77777777" w:rsidR="004047F2" w:rsidRPr="00712F3C" w:rsidRDefault="004047F2" w:rsidP="004047F2">
      <w:pPr>
        <w:widowControl w:val="0"/>
        <w:spacing w:after="0" w:line="240" w:lineRule="auto"/>
        <w:jc w:val="both"/>
        <w:rPr>
          <w:rFonts w:ascii="Times New Roman" w:hAnsi="Times New Roman"/>
          <w:sz w:val="20"/>
          <w:szCs w:val="20"/>
        </w:rPr>
      </w:pPr>
    </w:p>
    <w:p w14:paraId="796D6C18" w14:textId="77777777" w:rsidR="004047F2" w:rsidRPr="00712F3C" w:rsidRDefault="004047F2" w:rsidP="004047F2">
      <w:pPr>
        <w:widowControl w:val="0"/>
        <w:spacing w:after="0" w:line="240" w:lineRule="auto"/>
        <w:jc w:val="both"/>
        <w:rPr>
          <w:rFonts w:ascii="Times New Roman" w:hAnsi="Times New Roman"/>
          <w:b/>
          <w:sz w:val="20"/>
          <w:szCs w:val="20"/>
        </w:rPr>
      </w:pPr>
      <w:r w:rsidRPr="00712F3C">
        <w:rPr>
          <w:rFonts w:ascii="Times New Roman" w:hAnsi="Times New Roman"/>
          <w:b/>
          <w:sz w:val="20"/>
          <w:szCs w:val="20"/>
        </w:rPr>
        <w:t xml:space="preserve">Investment conditions/ restrictions for overseas entities </w:t>
      </w:r>
    </w:p>
    <w:p w14:paraId="75D8E028" w14:textId="77777777" w:rsidR="004047F2" w:rsidRPr="00712F3C" w:rsidRDefault="004047F2" w:rsidP="004047F2">
      <w:pPr>
        <w:widowControl w:val="0"/>
        <w:spacing w:after="0" w:line="240" w:lineRule="auto"/>
        <w:jc w:val="both"/>
        <w:rPr>
          <w:rFonts w:ascii="Times New Roman" w:hAnsi="Times New Roman"/>
          <w:sz w:val="20"/>
          <w:szCs w:val="20"/>
        </w:rPr>
      </w:pPr>
    </w:p>
    <w:p w14:paraId="1C1C6016" w14:textId="77777777" w:rsidR="004047F2" w:rsidRPr="00712F3C" w:rsidRDefault="004047F2" w:rsidP="004047F2">
      <w:pPr>
        <w:widowControl w:val="0"/>
        <w:spacing w:after="0" w:line="240" w:lineRule="auto"/>
        <w:jc w:val="both"/>
        <w:rPr>
          <w:rFonts w:ascii="Times New Roman" w:hAnsi="Times New Roman"/>
          <w:sz w:val="20"/>
          <w:szCs w:val="20"/>
        </w:rPr>
      </w:pPr>
      <w:r w:rsidRPr="00712F3C">
        <w:rPr>
          <w:rFonts w:ascii="Times New Roman" w:hAnsi="Times New Roman"/>
          <w:sz w:val="20"/>
          <w:szCs w:val="20"/>
        </w:rPr>
        <w:t>Under the current FDI Policy 2020, the maximum amount of Investment (sectoral cap) by foreign investor in an issuing entity is composite unless it is explicitly provided otherwise including all types of foreign investments, direct and indirect, regardless of whether it has been made for FDI, FPI, NRI/OCI, LLPs, FVCI, Investment Vehicles and DRs under Foreign Exchange Management. (Non-debt Instruments) Rules, 2019. Any equity holding by a person resident outside India resulting from conversion of any debt instrument under any arrangement shall be reckoned as foreign investment under the composite cap.</w:t>
      </w:r>
    </w:p>
    <w:p w14:paraId="079EE1B8" w14:textId="77777777" w:rsidR="004047F2" w:rsidRPr="00712F3C" w:rsidRDefault="004047F2" w:rsidP="004047F2">
      <w:pPr>
        <w:widowControl w:val="0"/>
        <w:spacing w:after="0" w:line="240" w:lineRule="auto"/>
        <w:jc w:val="both"/>
        <w:rPr>
          <w:rFonts w:ascii="Times New Roman" w:hAnsi="Times New Roman"/>
          <w:sz w:val="20"/>
          <w:szCs w:val="20"/>
        </w:rPr>
      </w:pPr>
    </w:p>
    <w:p w14:paraId="75460C62" w14:textId="77777777" w:rsidR="004047F2" w:rsidRDefault="004047F2" w:rsidP="004047F2">
      <w:pPr>
        <w:widowControl w:val="0"/>
        <w:spacing w:after="0" w:line="240" w:lineRule="auto"/>
        <w:jc w:val="both"/>
        <w:rPr>
          <w:rFonts w:ascii="Times New Roman" w:hAnsi="Times New Roman"/>
          <w:sz w:val="20"/>
          <w:szCs w:val="20"/>
        </w:rPr>
      </w:pPr>
      <w:r w:rsidRPr="00712F3C">
        <w:rPr>
          <w:rFonts w:ascii="Times New Roman" w:hAnsi="Times New Roman"/>
          <w:sz w:val="20"/>
          <w:szCs w:val="20"/>
        </w:rPr>
        <w:t>Portfolio Investment upto aggregate foreign investment level of 49% or sectoral/ statutory cap, whichever is lower, will not be subject to either Government approval or compliance of sectoral conditions, if such investment does not result in transfer of ownership and/or control of Indian entities from resident Indian citizens to non-resident entities. Other foreign investments will be subject to conditions of Government approval and compliance of sectoral conditions as per FDI Policy. The total foreign investment, direct and indirect, in the issuing entity will not exceed the sectoral/statutory cap.</w:t>
      </w:r>
    </w:p>
    <w:p w14:paraId="06D14993" w14:textId="77777777" w:rsidR="00636B58" w:rsidRPr="00712F3C" w:rsidRDefault="00636B58" w:rsidP="004047F2">
      <w:pPr>
        <w:widowControl w:val="0"/>
        <w:spacing w:after="0" w:line="240" w:lineRule="auto"/>
        <w:jc w:val="both"/>
        <w:rPr>
          <w:rFonts w:ascii="Times New Roman" w:hAnsi="Times New Roman"/>
          <w:sz w:val="20"/>
          <w:szCs w:val="20"/>
        </w:rPr>
      </w:pPr>
    </w:p>
    <w:p w14:paraId="1B5602D1" w14:textId="77777777" w:rsidR="004047F2" w:rsidRPr="00712F3C" w:rsidRDefault="004047F2" w:rsidP="004047F2">
      <w:pPr>
        <w:widowControl w:val="0"/>
        <w:spacing w:after="0" w:line="240" w:lineRule="auto"/>
        <w:jc w:val="both"/>
        <w:rPr>
          <w:rFonts w:ascii="Times New Roman" w:hAnsi="Times New Roman"/>
          <w:b/>
          <w:sz w:val="20"/>
          <w:szCs w:val="20"/>
        </w:rPr>
      </w:pPr>
      <w:r w:rsidRPr="00712F3C">
        <w:rPr>
          <w:rFonts w:ascii="Times New Roman" w:hAnsi="Times New Roman"/>
          <w:b/>
          <w:sz w:val="20"/>
          <w:szCs w:val="20"/>
        </w:rPr>
        <w:lastRenderedPageBreak/>
        <w:t xml:space="preserve">Investment by FPIs under Portfolio Investment Scheme (PIS) </w:t>
      </w:r>
    </w:p>
    <w:p w14:paraId="4DB6BF1A" w14:textId="77777777" w:rsidR="004047F2" w:rsidRPr="00712F3C" w:rsidRDefault="004047F2" w:rsidP="004047F2">
      <w:pPr>
        <w:widowControl w:val="0"/>
        <w:spacing w:after="0" w:line="240" w:lineRule="auto"/>
        <w:jc w:val="both"/>
        <w:rPr>
          <w:rFonts w:ascii="Times New Roman" w:hAnsi="Times New Roman"/>
          <w:sz w:val="20"/>
          <w:szCs w:val="20"/>
        </w:rPr>
      </w:pPr>
    </w:p>
    <w:p w14:paraId="76CE249B" w14:textId="77777777" w:rsidR="004047F2" w:rsidRPr="00712F3C" w:rsidRDefault="004047F2" w:rsidP="004047F2">
      <w:pPr>
        <w:widowControl w:val="0"/>
        <w:spacing w:after="0" w:line="240" w:lineRule="auto"/>
        <w:jc w:val="both"/>
        <w:rPr>
          <w:rFonts w:ascii="Times New Roman" w:hAnsi="Times New Roman"/>
          <w:sz w:val="20"/>
          <w:szCs w:val="20"/>
        </w:rPr>
      </w:pPr>
      <w:r w:rsidRPr="00712F3C">
        <w:rPr>
          <w:rFonts w:ascii="Times New Roman" w:hAnsi="Times New Roman"/>
          <w:sz w:val="20"/>
          <w:szCs w:val="20"/>
        </w:rPr>
        <w:t>With regards to purchase/sale of capital instruments of an Indian company by an FPI under PIS the total holding by each FPI or an investor group as referred in SEBI (FPI) Regulations, 2014 shall not exceed 10% of the total paid-up equity capital on a fully diluted basis or less than 10% of the paid-up value of each series of debentures or preference shares or share warrants issued by an Indian company and the total holdings of all FPIs put together shall not exceed 24% of paid-up equity capital on fully diluted basis or paid-up value of each series of debentures or preference shares or share warrants. The said limit of 10% and 24% will be called the individual and aggregate limit, respectively. However, this limit of 24 % may be increased up to sectoral cap/statutory ceiling, as applicable, by the Indian company concerned by passing a resolution by its Board of Directors followed by passing of a special resolution to that effect by its general body.</w:t>
      </w:r>
    </w:p>
    <w:p w14:paraId="5D5F382E" w14:textId="77777777" w:rsidR="004047F2" w:rsidRPr="00712F3C" w:rsidRDefault="004047F2" w:rsidP="004047F2">
      <w:pPr>
        <w:widowControl w:val="0"/>
        <w:spacing w:after="0" w:line="240" w:lineRule="auto"/>
        <w:jc w:val="both"/>
        <w:rPr>
          <w:rFonts w:ascii="Times New Roman" w:hAnsi="Times New Roman"/>
          <w:sz w:val="20"/>
          <w:szCs w:val="20"/>
        </w:rPr>
      </w:pPr>
    </w:p>
    <w:p w14:paraId="28FB2FE1" w14:textId="77777777" w:rsidR="004047F2" w:rsidRPr="00712F3C" w:rsidRDefault="004047F2" w:rsidP="004047F2">
      <w:pPr>
        <w:widowControl w:val="0"/>
        <w:spacing w:after="0" w:line="240" w:lineRule="auto"/>
        <w:jc w:val="both"/>
        <w:rPr>
          <w:rFonts w:ascii="Times New Roman" w:hAnsi="Times New Roman"/>
          <w:b/>
          <w:sz w:val="20"/>
          <w:szCs w:val="20"/>
        </w:rPr>
      </w:pPr>
      <w:r w:rsidRPr="00712F3C">
        <w:rPr>
          <w:rFonts w:ascii="Times New Roman" w:hAnsi="Times New Roman"/>
          <w:b/>
          <w:sz w:val="20"/>
          <w:szCs w:val="20"/>
        </w:rPr>
        <w:t>Investment by NRI or OCI on repatriation basis</w:t>
      </w:r>
    </w:p>
    <w:p w14:paraId="4768852F" w14:textId="77777777" w:rsidR="004047F2" w:rsidRPr="00712F3C" w:rsidRDefault="004047F2" w:rsidP="004047F2">
      <w:pPr>
        <w:widowControl w:val="0"/>
        <w:spacing w:after="0" w:line="240" w:lineRule="auto"/>
        <w:jc w:val="both"/>
        <w:rPr>
          <w:rFonts w:ascii="Times New Roman" w:hAnsi="Times New Roman"/>
          <w:b/>
          <w:sz w:val="20"/>
          <w:szCs w:val="20"/>
        </w:rPr>
      </w:pPr>
    </w:p>
    <w:p w14:paraId="0FCA29A1" w14:textId="77777777" w:rsidR="004047F2" w:rsidRPr="00712F3C" w:rsidRDefault="004047F2" w:rsidP="004047F2">
      <w:pPr>
        <w:widowControl w:val="0"/>
        <w:spacing w:after="0" w:line="240" w:lineRule="auto"/>
        <w:jc w:val="both"/>
        <w:rPr>
          <w:rFonts w:ascii="Times New Roman" w:hAnsi="Times New Roman"/>
          <w:sz w:val="20"/>
          <w:szCs w:val="20"/>
        </w:rPr>
      </w:pPr>
      <w:r w:rsidRPr="00712F3C">
        <w:rPr>
          <w:rFonts w:ascii="Times New Roman" w:hAnsi="Times New Roman"/>
          <w:sz w:val="20"/>
          <w:szCs w:val="20"/>
        </w:rPr>
        <w:t>The purchase/ sale of equity shares, debentures, preference shares and share warrants issued by an Indian company (hereinafter referred to as “Capital Instruments”) of a listed Indian company on a recognised stock exchange in India by Non-Resident Indian (NRI) or Overseas Citizen of India (OCI) on repatriation basis is allowed subject to certain conditions under Foreign Exchange Management (Non-debt Instruments) Rules, 2019.</w:t>
      </w:r>
    </w:p>
    <w:p w14:paraId="59ABB8E3" w14:textId="77777777" w:rsidR="004047F2" w:rsidRPr="00712F3C" w:rsidRDefault="004047F2" w:rsidP="004047F2">
      <w:pPr>
        <w:widowControl w:val="0"/>
        <w:spacing w:after="0" w:line="240" w:lineRule="auto"/>
        <w:jc w:val="both"/>
        <w:rPr>
          <w:rFonts w:ascii="Times New Roman" w:hAnsi="Times New Roman"/>
          <w:sz w:val="20"/>
          <w:szCs w:val="20"/>
        </w:rPr>
      </w:pPr>
    </w:p>
    <w:p w14:paraId="2BE0CD88" w14:textId="77777777" w:rsidR="004047F2" w:rsidRPr="00712F3C" w:rsidRDefault="004047F2" w:rsidP="004047F2">
      <w:pPr>
        <w:widowControl w:val="0"/>
        <w:spacing w:after="0" w:line="240" w:lineRule="auto"/>
        <w:jc w:val="both"/>
        <w:rPr>
          <w:rFonts w:ascii="Times New Roman" w:hAnsi="Times New Roman"/>
          <w:sz w:val="20"/>
          <w:szCs w:val="20"/>
        </w:rPr>
      </w:pPr>
      <w:r w:rsidRPr="00712F3C">
        <w:rPr>
          <w:rFonts w:ascii="Times New Roman" w:hAnsi="Times New Roman"/>
          <w:sz w:val="20"/>
          <w:szCs w:val="20"/>
        </w:rPr>
        <w:t xml:space="preserve">The total holding by any individual NRI or OCI shall not exceed 5% of the total paid-up equity capital on a fully diluted basis or should not exceed 5% of the paid-up value of each series of debentures or preference shares or share warrants issued by an Indian company and the total holdings of all NRIs and OCIs put together shall not exceed 10% of the total paid-up equity capital on a fully diluted basis or shall not exceed 10% of the paid-up value of each series of debentures or preference shares or share warrants; provided that the aggregate ceiling of 10% may be raised to 24% if a special resolution to that effect is passed by the general body of the Indian company. </w:t>
      </w:r>
    </w:p>
    <w:p w14:paraId="6A39B7EA" w14:textId="77777777" w:rsidR="004047F2" w:rsidRPr="00712F3C" w:rsidRDefault="004047F2" w:rsidP="004047F2">
      <w:pPr>
        <w:widowControl w:val="0"/>
        <w:spacing w:after="0" w:line="240" w:lineRule="auto"/>
        <w:jc w:val="both"/>
        <w:rPr>
          <w:rFonts w:ascii="Times New Roman" w:hAnsi="Times New Roman"/>
          <w:sz w:val="20"/>
          <w:szCs w:val="20"/>
        </w:rPr>
      </w:pPr>
    </w:p>
    <w:p w14:paraId="43518039" w14:textId="77777777" w:rsidR="004047F2" w:rsidRPr="00712F3C" w:rsidRDefault="004047F2" w:rsidP="004047F2">
      <w:pPr>
        <w:widowControl w:val="0"/>
        <w:spacing w:after="0" w:line="240" w:lineRule="auto"/>
        <w:jc w:val="both"/>
        <w:rPr>
          <w:rFonts w:ascii="Times New Roman" w:hAnsi="Times New Roman"/>
          <w:b/>
          <w:sz w:val="20"/>
          <w:szCs w:val="20"/>
        </w:rPr>
      </w:pPr>
      <w:r w:rsidRPr="00712F3C">
        <w:rPr>
          <w:rFonts w:ascii="Times New Roman" w:hAnsi="Times New Roman"/>
          <w:b/>
          <w:sz w:val="20"/>
          <w:szCs w:val="20"/>
        </w:rPr>
        <w:t xml:space="preserve">Investment by NRI or OCI on non-repatriation basis </w:t>
      </w:r>
    </w:p>
    <w:p w14:paraId="28B0D9FC" w14:textId="77777777" w:rsidR="004047F2" w:rsidRPr="00712F3C" w:rsidRDefault="004047F2" w:rsidP="004047F2">
      <w:pPr>
        <w:widowControl w:val="0"/>
        <w:spacing w:after="0" w:line="240" w:lineRule="auto"/>
        <w:jc w:val="both"/>
        <w:rPr>
          <w:rFonts w:ascii="Times New Roman" w:hAnsi="Times New Roman"/>
          <w:b/>
          <w:sz w:val="20"/>
          <w:szCs w:val="20"/>
        </w:rPr>
      </w:pPr>
    </w:p>
    <w:p w14:paraId="23A752C5" w14:textId="77777777" w:rsidR="004047F2" w:rsidRPr="00712F3C" w:rsidRDefault="004047F2" w:rsidP="004047F2">
      <w:pPr>
        <w:widowControl w:val="0"/>
        <w:spacing w:after="0" w:line="240" w:lineRule="auto"/>
        <w:jc w:val="both"/>
        <w:rPr>
          <w:rFonts w:ascii="Times New Roman" w:hAnsi="Times New Roman"/>
          <w:sz w:val="20"/>
          <w:szCs w:val="20"/>
        </w:rPr>
      </w:pPr>
      <w:r w:rsidRPr="00712F3C">
        <w:rPr>
          <w:rFonts w:ascii="Times New Roman" w:hAnsi="Times New Roman"/>
          <w:sz w:val="20"/>
          <w:szCs w:val="20"/>
        </w:rPr>
        <w:t xml:space="preserve">As per current FDI Policy 2020, Foreign Exchange Management (Non-debt Instruments) Rules, 2019, Purchase/ sale of Capital Instruments or convertible notes or units or contribution to the capital of an LLP by a NRI or OCI on non- repatriation basis – will be deemed to be domestic investment at par with the investment made by residents. This is further subject to remittance channel restrictions. </w:t>
      </w:r>
    </w:p>
    <w:p w14:paraId="651F0836" w14:textId="77777777" w:rsidR="004047F2" w:rsidRPr="00712F3C" w:rsidRDefault="004047F2" w:rsidP="004047F2">
      <w:pPr>
        <w:widowControl w:val="0"/>
        <w:spacing w:after="0" w:line="240" w:lineRule="auto"/>
        <w:jc w:val="both"/>
        <w:rPr>
          <w:rFonts w:ascii="Times New Roman" w:hAnsi="Times New Roman"/>
          <w:sz w:val="14"/>
          <w:szCs w:val="14"/>
        </w:rPr>
      </w:pPr>
    </w:p>
    <w:p w14:paraId="728AE5BE" w14:textId="77777777" w:rsidR="004047F2" w:rsidRPr="00712F3C" w:rsidRDefault="004047F2" w:rsidP="004047F2">
      <w:pPr>
        <w:widowControl w:val="0"/>
        <w:spacing w:after="0" w:line="240" w:lineRule="auto"/>
        <w:jc w:val="both"/>
        <w:rPr>
          <w:rFonts w:ascii="Times New Roman" w:hAnsi="Times New Roman"/>
          <w:sz w:val="20"/>
          <w:szCs w:val="20"/>
        </w:rPr>
      </w:pPr>
      <w:r w:rsidRPr="00712F3C">
        <w:rPr>
          <w:rFonts w:ascii="Times New Roman" w:hAnsi="Times New Roman"/>
          <w:sz w:val="20"/>
          <w:szCs w:val="20"/>
        </w:rPr>
        <w:t xml:space="preserve">The Equity Shares have not been and will not be registered under the U.S. Securities Act of 1933, as amended (“US Securities Act”) or any other state securities laws in the United States of America and may not be sold or offered within the United States of America, or to, or for the account or benefit of “US Persons” as defined in Regulation S of the U.S. Securities Act, except pursuant to exemption from, or in a transaction not subject to, the registration requirements of US Securities Act and applicable state securities laws. </w:t>
      </w:r>
    </w:p>
    <w:p w14:paraId="559C99F7" w14:textId="77777777" w:rsidR="004047F2" w:rsidRPr="00712F3C" w:rsidRDefault="004047F2" w:rsidP="004047F2">
      <w:pPr>
        <w:widowControl w:val="0"/>
        <w:spacing w:after="0" w:line="240" w:lineRule="auto"/>
        <w:jc w:val="both"/>
        <w:rPr>
          <w:rFonts w:ascii="Times New Roman" w:hAnsi="Times New Roman"/>
          <w:sz w:val="12"/>
          <w:szCs w:val="12"/>
        </w:rPr>
      </w:pPr>
    </w:p>
    <w:p w14:paraId="73CB80F4" w14:textId="77777777" w:rsidR="004047F2" w:rsidRPr="00712F3C" w:rsidRDefault="004047F2" w:rsidP="004047F2">
      <w:pPr>
        <w:widowControl w:val="0"/>
        <w:spacing w:after="0" w:line="240" w:lineRule="auto"/>
        <w:jc w:val="both"/>
        <w:rPr>
          <w:rFonts w:ascii="Times New Roman" w:hAnsi="Times New Roman"/>
          <w:sz w:val="20"/>
          <w:szCs w:val="20"/>
        </w:rPr>
      </w:pPr>
      <w:r w:rsidRPr="00712F3C">
        <w:rPr>
          <w:rFonts w:ascii="Times New Roman" w:hAnsi="Times New Roman"/>
          <w:sz w:val="20"/>
          <w:szCs w:val="20"/>
        </w:rPr>
        <w:t>Accordingly, the equity shares are being offered and sold only outside the United States of America in an offshore transaction in reliance upon Regulation S under the US Securities Act and the applicable laws of the jurisdiction where those offers and sale occur.</w:t>
      </w:r>
    </w:p>
    <w:p w14:paraId="611F03E1" w14:textId="77777777" w:rsidR="004047F2" w:rsidRPr="00712F3C" w:rsidRDefault="004047F2" w:rsidP="004047F2">
      <w:pPr>
        <w:widowControl w:val="0"/>
        <w:spacing w:after="0" w:line="240" w:lineRule="auto"/>
        <w:jc w:val="both"/>
        <w:rPr>
          <w:rFonts w:ascii="Times New Roman" w:hAnsi="Times New Roman"/>
          <w:sz w:val="20"/>
          <w:szCs w:val="20"/>
        </w:rPr>
      </w:pPr>
    </w:p>
    <w:p w14:paraId="7DE4B6A9" w14:textId="77777777" w:rsidR="004047F2" w:rsidRPr="00712F3C" w:rsidRDefault="004047F2" w:rsidP="004047F2">
      <w:pPr>
        <w:widowControl w:val="0"/>
        <w:spacing w:after="0" w:line="240" w:lineRule="auto"/>
        <w:jc w:val="both"/>
        <w:rPr>
          <w:rFonts w:ascii="Times New Roman" w:hAnsi="Times New Roman"/>
          <w:sz w:val="20"/>
          <w:szCs w:val="20"/>
        </w:rPr>
      </w:pPr>
      <w:r w:rsidRPr="00712F3C">
        <w:rPr>
          <w:rFonts w:ascii="Times New Roman" w:hAnsi="Times New Roman"/>
          <w:sz w:val="20"/>
          <w:szCs w:val="20"/>
        </w:rPr>
        <w:t xml:space="preserve">Further, no offer to the public (as defined under Directive 20003/71/EC, together with any amendments) and implementing measures thereto, (the “Prospectus Directive”) has been or will be made in respect of the Issue in any member State of the European Economic Area which has implemented the Prospectus Directive except for any such offer made under exemptions available under the Prospectus Directive, provided that no such offer shall result in a requirement to publish or supplement a prospectus pursuant to the Prospectus Directive, in respect of the Issue. </w:t>
      </w:r>
    </w:p>
    <w:p w14:paraId="4A406F20" w14:textId="77777777" w:rsidR="004047F2" w:rsidRPr="00712F3C" w:rsidRDefault="004047F2" w:rsidP="004047F2">
      <w:pPr>
        <w:widowControl w:val="0"/>
        <w:spacing w:after="0" w:line="240" w:lineRule="auto"/>
        <w:jc w:val="both"/>
        <w:rPr>
          <w:rFonts w:ascii="Times New Roman" w:hAnsi="Times New Roman"/>
          <w:sz w:val="20"/>
          <w:szCs w:val="20"/>
        </w:rPr>
      </w:pPr>
    </w:p>
    <w:p w14:paraId="24F3F0AC" w14:textId="77777777" w:rsidR="004047F2" w:rsidRPr="00712F3C" w:rsidRDefault="004047F2" w:rsidP="004047F2">
      <w:pPr>
        <w:widowControl w:val="0"/>
        <w:spacing w:after="0" w:line="240" w:lineRule="auto"/>
        <w:jc w:val="both"/>
        <w:rPr>
          <w:rFonts w:ascii="Times New Roman" w:hAnsi="Times New Roman"/>
          <w:sz w:val="20"/>
          <w:szCs w:val="20"/>
        </w:rPr>
      </w:pPr>
      <w:r w:rsidRPr="00712F3C">
        <w:rPr>
          <w:rFonts w:ascii="Times New Roman" w:hAnsi="Times New Roman"/>
          <w:sz w:val="20"/>
          <w:szCs w:val="20"/>
        </w:rPr>
        <w:t xml:space="preserve">Any forwarding, distribution or reproduction of this document in whole or in part may be unauthorized. Failure to comply with this directive may result in a violation of the Securities Act or the applicable laws of other jurisdictions. Any investment decision should be made on the basis of the final terms and conditions and the information contained in this Draft Red Herring Prospectus. </w:t>
      </w:r>
    </w:p>
    <w:p w14:paraId="3D64CC5A" w14:textId="77777777" w:rsidR="004047F2" w:rsidRPr="00712F3C" w:rsidRDefault="004047F2" w:rsidP="004047F2">
      <w:pPr>
        <w:widowControl w:val="0"/>
        <w:spacing w:after="0" w:line="240" w:lineRule="auto"/>
        <w:jc w:val="both"/>
        <w:rPr>
          <w:rFonts w:ascii="Times New Roman" w:hAnsi="Times New Roman"/>
          <w:sz w:val="20"/>
          <w:szCs w:val="20"/>
        </w:rPr>
      </w:pPr>
    </w:p>
    <w:p w14:paraId="5F0078AD" w14:textId="77777777" w:rsidR="004047F2" w:rsidRPr="00712F3C" w:rsidRDefault="004047F2" w:rsidP="004047F2">
      <w:pPr>
        <w:widowControl w:val="0"/>
        <w:spacing w:after="0" w:line="240" w:lineRule="auto"/>
        <w:jc w:val="both"/>
        <w:rPr>
          <w:rFonts w:ascii="Times New Roman" w:hAnsi="Times New Roman"/>
          <w:sz w:val="20"/>
          <w:szCs w:val="20"/>
        </w:rPr>
      </w:pPr>
      <w:r w:rsidRPr="00712F3C">
        <w:rPr>
          <w:rFonts w:ascii="Times New Roman" w:hAnsi="Times New Roman"/>
          <w:sz w:val="20"/>
          <w:szCs w:val="20"/>
        </w:rPr>
        <w:t xml:space="preserve">The Equity Shares have not been and will not be registered, listed or otherwise qualified in any other jurisdiction outside India and may not be offered or sold, and Application may not be made by persons in any such jurisdiction, except in compliance with the applicable laws of such jurisdiction. </w:t>
      </w:r>
    </w:p>
    <w:p w14:paraId="302278D7" w14:textId="77777777" w:rsidR="004047F2" w:rsidRPr="00712F3C" w:rsidRDefault="004047F2" w:rsidP="004047F2">
      <w:pPr>
        <w:widowControl w:val="0"/>
        <w:spacing w:after="0" w:line="240" w:lineRule="auto"/>
        <w:jc w:val="both"/>
        <w:rPr>
          <w:rFonts w:ascii="Times New Roman" w:hAnsi="Times New Roman"/>
          <w:sz w:val="20"/>
          <w:szCs w:val="20"/>
        </w:rPr>
      </w:pPr>
    </w:p>
    <w:p w14:paraId="35828A7A" w14:textId="77777777" w:rsidR="004047F2" w:rsidRPr="00712F3C" w:rsidRDefault="004047F2" w:rsidP="004047F2">
      <w:pPr>
        <w:autoSpaceDE w:val="0"/>
        <w:autoSpaceDN w:val="0"/>
        <w:adjustRightInd w:val="0"/>
        <w:spacing w:after="0" w:line="240" w:lineRule="auto"/>
        <w:jc w:val="both"/>
        <w:rPr>
          <w:rFonts w:ascii="Times New Roman" w:hAnsi="Times New Roman"/>
          <w:sz w:val="20"/>
          <w:szCs w:val="20"/>
        </w:rPr>
      </w:pPr>
      <w:r w:rsidRPr="00712F3C">
        <w:rPr>
          <w:rFonts w:ascii="Times New Roman" w:hAnsi="Times New Roman"/>
          <w:sz w:val="20"/>
          <w:szCs w:val="20"/>
        </w:rPr>
        <w:t>The above information is given for the benefit of the Applicants. Our Company and the Book Running Lead Manager are not liable for any amendments or modification or changes in applicable laws or regulations, which may occur after the date of this Draft Red Herring Prospectus. Applicants are advised to make their independent investigations and ensure that the Applications are not in violation of laws or regulations applicable to them and do not exceed the applicable limits under the laws and regulations.</w:t>
      </w:r>
    </w:p>
    <w:p w14:paraId="6C0730E7" w14:textId="77777777" w:rsidR="004047F2" w:rsidRPr="00712F3C" w:rsidRDefault="004047F2" w:rsidP="004047F2">
      <w:pPr>
        <w:spacing w:after="0" w:line="259" w:lineRule="auto"/>
        <w:rPr>
          <w:rFonts w:ascii="Times New Roman" w:hAnsi="Times New Roman"/>
          <w:sz w:val="20"/>
          <w:szCs w:val="20"/>
        </w:rPr>
      </w:pPr>
      <w:r w:rsidRPr="00712F3C">
        <w:rPr>
          <w:rFonts w:ascii="Times New Roman" w:hAnsi="Times New Roman"/>
          <w:sz w:val="20"/>
          <w:szCs w:val="20"/>
        </w:rPr>
        <w:br w:type="page"/>
      </w:r>
    </w:p>
    <w:p w14:paraId="6AEBEBCD" w14:textId="77777777" w:rsidR="004047F2" w:rsidRPr="00712F3C" w:rsidRDefault="004047F2" w:rsidP="004047F2">
      <w:pPr>
        <w:autoSpaceDE w:val="0"/>
        <w:autoSpaceDN w:val="0"/>
        <w:adjustRightInd w:val="0"/>
        <w:spacing w:after="0" w:line="240" w:lineRule="auto"/>
        <w:ind w:right="27"/>
        <w:contextualSpacing/>
        <w:jc w:val="center"/>
        <w:rPr>
          <w:rFonts w:ascii="Times New Roman" w:hAnsi="Times New Roman"/>
          <w:b/>
          <w:sz w:val="20"/>
          <w:szCs w:val="20"/>
          <w:u w:val="single"/>
        </w:rPr>
      </w:pPr>
      <w:r w:rsidRPr="00712F3C">
        <w:rPr>
          <w:rFonts w:ascii="Times New Roman" w:hAnsi="Times New Roman"/>
          <w:b/>
          <w:sz w:val="20"/>
          <w:szCs w:val="20"/>
          <w:u w:val="single"/>
        </w:rPr>
        <w:lastRenderedPageBreak/>
        <w:t>SECTION IX - MAIN PROVISIONS OF THE ARTICLES OF ASSOCIATION OF OUR COMPANY</w:t>
      </w:r>
    </w:p>
    <w:p w14:paraId="77C2083D" w14:textId="77777777" w:rsidR="004047F2" w:rsidRPr="00712F3C" w:rsidRDefault="004047F2" w:rsidP="004047F2">
      <w:pPr>
        <w:autoSpaceDE w:val="0"/>
        <w:autoSpaceDN w:val="0"/>
        <w:adjustRightInd w:val="0"/>
        <w:spacing w:after="0" w:line="240" w:lineRule="auto"/>
        <w:ind w:right="27"/>
        <w:contextualSpacing/>
        <w:jc w:val="both"/>
        <w:rPr>
          <w:rFonts w:ascii="Times New Roman" w:hAnsi="Times New Roman"/>
          <w:b/>
          <w:sz w:val="20"/>
          <w:szCs w:val="20"/>
        </w:rPr>
      </w:pPr>
    </w:p>
    <w:p w14:paraId="69C2F43C" w14:textId="32C5E006" w:rsidR="004047F2" w:rsidRPr="00712F3C" w:rsidRDefault="004047F2" w:rsidP="004047F2">
      <w:pPr>
        <w:autoSpaceDE w:val="0"/>
        <w:autoSpaceDN w:val="0"/>
        <w:adjustRightInd w:val="0"/>
        <w:spacing w:after="0" w:line="240" w:lineRule="auto"/>
        <w:ind w:right="27"/>
        <w:contextualSpacing/>
        <w:jc w:val="both"/>
        <w:rPr>
          <w:rFonts w:ascii="Times New Roman" w:eastAsia="Calibri" w:hAnsi="Times New Roman"/>
          <w:i/>
          <w:sz w:val="20"/>
          <w:szCs w:val="20"/>
        </w:rPr>
      </w:pPr>
      <w:r w:rsidRPr="00712F3C">
        <w:rPr>
          <w:rFonts w:ascii="Times New Roman" w:eastAsia="Calibri" w:hAnsi="Times New Roman"/>
          <w:i/>
          <w:sz w:val="20"/>
          <w:szCs w:val="20"/>
        </w:rPr>
        <w:t xml:space="preserve">The following regulations comprised in the Articles of Association were adopted pursuant to the member’s special resolution passed at the Extra Ordinary General Meeting held on </w:t>
      </w:r>
      <w:r w:rsidR="00636B58">
        <w:rPr>
          <w:rFonts w:ascii="Times New Roman" w:eastAsia="Calibri" w:hAnsi="Times New Roman"/>
          <w:i/>
          <w:sz w:val="20"/>
          <w:szCs w:val="20"/>
        </w:rPr>
        <w:t>July 15</w:t>
      </w:r>
      <w:r w:rsidRPr="00712F3C">
        <w:rPr>
          <w:rFonts w:ascii="Times New Roman" w:eastAsia="Calibri" w:hAnsi="Times New Roman"/>
          <w:i/>
          <w:sz w:val="20"/>
          <w:szCs w:val="20"/>
        </w:rPr>
        <w:t>, 2023</w:t>
      </w:r>
      <w:r w:rsidR="00636B58">
        <w:rPr>
          <w:rFonts w:ascii="Times New Roman" w:eastAsia="Calibri" w:hAnsi="Times New Roman"/>
          <w:i/>
          <w:sz w:val="20"/>
          <w:szCs w:val="20"/>
        </w:rPr>
        <w:t>. I</w:t>
      </w:r>
      <w:r w:rsidRPr="00712F3C">
        <w:rPr>
          <w:rFonts w:ascii="Times New Roman" w:eastAsia="Calibri" w:hAnsi="Times New Roman"/>
          <w:i/>
          <w:sz w:val="20"/>
          <w:szCs w:val="20"/>
        </w:rPr>
        <w:t>n substitution for, and to the entire exclusion of, the earlier regulation comprised in the extant Articles of Association of the Company.</w:t>
      </w:r>
    </w:p>
    <w:p w14:paraId="7720872C" w14:textId="77777777" w:rsidR="004047F2" w:rsidRPr="00712F3C" w:rsidRDefault="004047F2" w:rsidP="004047F2">
      <w:pPr>
        <w:autoSpaceDE w:val="0"/>
        <w:autoSpaceDN w:val="0"/>
        <w:adjustRightInd w:val="0"/>
        <w:spacing w:after="0" w:line="240" w:lineRule="auto"/>
        <w:ind w:right="27"/>
        <w:contextualSpacing/>
        <w:jc w:val="both"/>
        <w:rPr>
          <w:rFonts w:ascii="Times New Roman" w:eastAsia="Calibri" w:hAnsi="Times New Roman"/>
          <w:i/>
          <w:sz w:val="20"/>
          <w:szCs w:val="20"/>
        </w:rPr>
      </w:pPr>
    </w:p>
    <w:p w14:paraId="35EE99F9" w14:textId="77777777" w:rsidR="004047F2" w:rsidRPr="00712F3C" w:rsidRDefault="004047F2" w:rsidP="004047F2">
      <w:pPr>
        <w:autoSpaceDE w:val="0"/>
        <w:autoSpaceDN w:val="0"/>
        <w:adjustRightInd w:val="0"/>
        <w:spacing w:after="0" w:line="240" w:lineRule="auto"/>
        <w:ind w:right="27"/>
        <w:contextualSpacing/>
        <w:jc w:val="both"/>
        <w:rPr>
          <w:rFonts w:ascii="Times New Roman" w:hAnsi="Times New Roman"/>
          <w:sz w:val="20"/>
          <w:szCs w:val="20"/>
        </w:rPr>
      </w:pPr>
      <w:r w:rsidRPr="00712F3C">
        <w:rPr>
          <w:rFonts w:ascii="Times New Roman" w:hAnsi="Times New Roman"/>
          <w:sz w:val="20"/>
          <w:szCs w:val="20"/>
        </w:rPr>
        <w:t>Pursuant to Schedule I of the Companies Act, and the SEBI ICDR Regulations, the Main provisions of the Articles of Association relating to voting rights, dividend, lien, forfeiture, restrictions on transfer and Transmission of equity shares or debentures, their consolidation or splitting are as provided below. Each provision below is numbered as per the corresponding article number in the articles of association and defined terms herein have the meaning given to them in the Articles of Association.</w:t>
      </w:r>
    </w:p>
    <w:p w14:paraId="1D95AA05" w14:textId="77777777" w:rsidR="004047F2" w:rsidRPr="00712F3C" w:rsidRDefault="004047F2" w:rsidP="004047F2">
      <w:pPr>
        <w:autoSpaceDE w:val="0"/>
        <w:autoSpaceDN w:val="0"/>
        <w:adjustRightInd w:val="0"/>
        <w:spacing w:after="0" w:line="240" w:lineRule="auto"/>
        <w:ind w:right="27"/>
        <w:contextualSpacing/>
        <w:jc w:val="both"/>
        <w:rPr>
          <w:rFonts w:ascii="Times New Roman" w:hAnsi="Times New Roman"/>
          <w:sz w:val="20"/>
          <w:szCs w:val="20"/>
        </w:rPr>
      </w:pPr>
    </w:p>
    <w:tbl>
      <w:tblPr>
        <w:tblW w:w="5000" w:type="pct"/>
        <w:shd w:val="clear" w:color="auto" w:fill="AEAAAA" w:themeFill="background2" w:themeFillShade="BF"/>
        <w:tblCellMar>
          <w:left w:w="0" w:type="dxa"/>
          <w:right w:w="0" w:type="dxa"/>
        </w:tblCellMar>
        <w:tblLook w:val="01E0" w:firstRow="1" w:lastRow="1" w:firstColumn="1" w:lastColumn="1" w:noHBand="0" w:noVBand="0"/>
      </w:tblPr>
      <w:tblGrid>
        <w:gridCol w:w="1082"/>
        <w:gridCol w:w="9384"/>
      </w:tblGrid>
      <w:tr w:rsidR="004047F2" w:rsidRPr="00712F3C" w14:paraId="7A885E7F" w14:textId="77777777" w:rsidTr="00250DAC">
        <w:trPr>
          <w:trHeight w:val="20"/>
        </w:trPr>
        <w:tc>
          <w:tcPr>
            <w:tcW w:w="5000" w:type="pct"/>
            <w:gridSpan w:val="2"/>
            <w:shd w:val="clear" w:color="auto" w:fill="auto"/>
          </w:tcPr>
          <w:p w14:paraId="11A83D03" w14:textId="77777777" w:rsidR="004047F2" w:rsidRPr="00712F3C" w:rsidRDefault="004047F2" w:rsidP="00250DAC">
            <w:pPr>
              <w:autoSpaceDE w:val="0"/>
              <w:autoSpaceDN w:val="0"/>
              <w:adjustRightInd w:val="0"/>
              <w:spacing w:after="0" w:line="240" w:lineRule="auto"/>
              <w:ind w:right="122"/>
              <w:jc w:val="center"/>
              <w:rPr>
                <w:rFonts w:ascii="Times New Roman" w:hAnsi="Times New Roman"/>
                <w:b/>
                <w:sz w:val="20"/>
                <w:szCs w:val="20"/>
              </w:rPr>
            </w:pPr>
            <w:r w:rsidRPr="00712F3C">
              <w:rPr>
                <w:rFonts w:ascii="Times New Roman" w:hAnsi="Times New Roman"/>
                <w:b/>
                <w:sz w:val="20"/>
                <w:szCs w:val="20"/>
              </w:rPr>
              <w:t>INTERPRETATION</w:t>
            </w:r>
          </w:p>
          <w:p w14:paraId="7E396298" w14:textId="77777777" w:rsidR="004047F2" w:rsidRPr="00712F3C" w:rsidRDefault="004047F2" w:rsidP="00250DAC">
            <w:pPr>
              <w:autoSpaceDE w:val="0"/>
              <w:autoSpaceDN w:val="0"/>
              <w:adjustRightInd w:val="0"/>
              <w:spacing w:after="0" w:line="240" w:lineRule="auto"/>
              <w:ind w:right="122"/>
              <w:jc w:val="center"/>
              <w:rPr>
                <w:rFonts w:ascii="Times New Roman" w:hAnsi="Times New Roman"/>
                <w:b/>
                <w:sz w:val="20"/>
                <w:szCs w:val="20"/>
              </w:rPr>
            </w:pPr>
          </w:p>
        </w:tc>
      </w:tr>
      <w:tr w:rsidR="004047F2" w:rsidRPr="00712F3C" w14:paraId="477CE763" w14:textId="77777777" w:rsidTr="00250DAC">
        <w:trPr>
          <w:trHeight w:val="20"/>
        </w:trPr>
        <w:tc>
          <w:tcPr>
            <w:tcW w:w="517" w:type="pct"/>
            <w:shd w:val="clear" w:color="auto" w:fill="auto"/>
          </w:tcPr>
          <w:p w14:paraId="5C9E22F3" w14:textId="77777777" w:rsidR="004047F2" w:rsidRPr="00712F3C" w:rsidRDefault="004047F2" w:rsidP="00250DAC">
            <w:pPr>
              <w:spacing w:after="0" w:line="240" w:lineRule="auto"/>
              <w:ind w:left="93" w:right="27"/>
              <w:jc w:val="center"/>
              <w:rPr>
                <w:rFonts w:ascii="Times New Roman" w:hAnsi="Times New Roman"/>
                <w:bCs/>
                <w:sz w:val="20"/>
                <w:szCs w:val="20"/>
              </w:rPr>
            </w:pPr>
            <w:r w:rsidRPr="00712F3C">
              <w:rPr>
                <w:rFonts w:ascii="Times New Roman" w:hAnsi="Times New Roman"/>
                <w:bCs/>
                <w:sz w:val="20"/>
                <w:szCs w:val="20"/>
              </w:rPr>
              <w:t>I</w:t>
            </w:r>
          </w:p>
        </w:tc>
        <w:tc>
          <w:tcPr>
            <w:tcW w:w="4483" w:type="pct"/>
            <w:shd w:val="clear" w:color="auto" w:fill="auto"/>
          </w:tcPr>
          <w:p w14:paraId="39AFA503" w14:textId="77777777" w:rsidR="004047F2" w:rsidRPr="00712F3C" w:rsidRDefault="004047F2">
            <w:pPr>
              <w:pStyle w:val="ListParagraph"/>
              <w:numPr>
                <w:ilvl w:val="1"/>
                <w:numId w:val="217"/>
              </w:numPr>
              <w:spacing w:line="240" w:lineRule="auto"/>
              <w:ind w:left="448" w:right="122"/>
              <w:jc w:val="both"/>
              <w:rPr>
                <w:sz w:val="20"/>
                <w:szCs w:val="20"/>
              </w:rPr>
            </w:pPr>
            <w:r w:rsidRPr="00712F3C">
              <w:rPr>
                <w:sz w:val="20"/>
                <w:szCs w:val="20"/>
              </w:rPr>
              <w:t>In these regulations-</w:t>
            </w:r>
          </w:p>
          <w:p w14:paraId="225A2AAD" w14:textId="77777777" w:rsidR="004047F2" w:rsidRDefault="004047F2">
            <w:pPr>
              <w:pStyle w:val="ListParagraph"/>
              <w:numPr>
                <w:ilvl w:val="0"/>
                <w:numId w:val="217"/>
              </w:numPr>
              <w:spacing w:line="240" w:lineRule="auto"/>
              <w:ind w:right="122"/>
              <w:jc w:val="both"/>
              <w:rPr>
                <w:sz w:val="20"/>
                <w:szCs w:val="20"/>
              </w:rPr>
            </w:pPr>
            <w:r w:rsidRPr="00712F3C">
              <w:rPr>
                <w:sz w:val="20"/>
                <w:szCs w:val="20"/>
              </w:rPr>
              <w:t>“the Act” means the Companies Act, 2013,</w:t>
            </w:r>
          </w:p>
          <w:p w14:paraId="0D54B0F9" w14:textId="16BC48D7" w:rsidR="00636B58" w:rsidRPr="00712F3C" w:rsidRDefault="00636B58">
            <w:pPr>
              <w:pStyle w:val="ListParagraph"/>
              <w:numPr>
                <w:ilvl w:val="0"/>
                <w:numId w:val="217"/>
              </w:numPr>
              <w:spacing w:line="240" w:lineRule="auto"/>
              <w:ind w:right="122"/>
              <w:jc w:val="both"/>
              <w:rPr>
                <w:sz w:val="20"/>
                <w:szCs w:val="20"/>
              </w:rPr>
            </w:pPr>
            <w:r>
              <w:rPr>
                <w:sz w:val="20"/>
                <w:szCs w:val="20"/>
                <w:lang w:val="en-US"/>
              </w:rPr>
              <w:t xml:space="preserve">“the Company” means </w:t>
            </w:r>
            <w:r w:rsidRPr="00636B58">
              <w:rPr>
                <w:sz w:val="20"/>
                <w:szCs w:val="20"/>
                <w:lang w:val="en-US"/>
              </w:rPr>
              <w:t>SIYARAM RECYCLING INDUSTRIES LIMITED</w:t>
            </w:r>
          </w:p>
          <w:p w14:paraId="7823E65E" w14:textId="77777777" w:rsidR="004047F2" w:rsidRPr="00712F3C" w:rsidRDefault="004047F2">
            <w:pPr>
              <w:pStyle w:val="ListParagraph"/>
              <w:numPr>
                <w:ilvl w:val="0"/>
                <w:numId w:val="217"/>
              </w:numPr>
              <w:spacing w:line="240" w:lineRule="auto"/>
              <w:ind w:right="122"/>
              <w:jc w:val="both"/>
              <w:rPr>
                <w:sz w:val="20"/>
                <w:szCs w:val="20"/>
              </w:rPr>
            </w:pPr>
            <w:r w:rsidRPr="00712F3C">
              <w:rPr>
                <w:sz w:val="20"/>
                <w:szCs w:val="20"/>
              </w:rPr>
              <w:t>“the seal” means the common seal of the company.</w:t>
            </w:r>
          </w:p>
          <w:p w14:paraId="144994D8" w14:textId="77777777" w:rsidR="004047F2" w:rsidRPr="00712F3C" w:rsidRDefault="004047F2" w:rsidP="00250DAC">
            <w:pPr>
              <w:pStyle w:val="ListParagraph"/>
              <w:spacing w:line="240" w:lineRule="auto"/>
              <w:ind w:left="448" w:right="122"/>
              <w:jc w:val="both"/>
              <w:rPr>
                <w:sz w:val="20"/>
                <w:szCs w:val="20"/>
              </w:rPr>
            </w:pPr>
          </w:p>
          <w:p w14:paraId="65DFDD23" w14:textId="77777777" w:rsidR="004047F2" w:rsidRPr="00712F3C" w:rsidRDefault="004047F2">
            <w:pPr>
              <w:pStyle w:val="ListParagraph"/>
              <w:numPr>
                <w:ilvl w:val="0"/>
                <w:numId w:val="232"/>
              </w:numPr>
              <w:spacing w:line="240" w:lineRule="auto"/>
              <w:ind w:left="448" w:right="122"/>
              <w:jc w:val="both"/>
              <w:rPr>
                <w:sz w:val="20"/>
                <w:szCs w:val="20"/>
              </w:rPr>
            </w:pPr>
            <w:r w:rsidRPr="00712F3C">
              <w:rPr>
                <w:sz w:val="20"/>
                <w:szCs w:val="20"/>
              </w:rPr>
              <w:t>Unless the context otherwise requires, words or expressions contained in these regulations shall bear the same meaning as in the Act or any statutory modification thereof in force at the date at which these regulations become binding on the company.</w:t>
            </w:r>
          </w:p>
          <w:p w14:paraId="58336A2B" w14:textId="77777777" w:rsidR="004047F2" w:rsidRPr="00712F3C" w:rsidRDefault="004047F2" w:rsidP="00250DAC">
            <w:pPr>
              <w:pStyle w:val="ListParagraph"/>
              <w:spacing w:line="240" w:lineRule="auto"/>
              <w:ind w:left="448" w:right="122"/>
              <w:jc w:val="both"/>
              <w:rPr>
                <w:sz w:val="20"/>
                <w:szCs w:val="20"/>
              </w:rPr>
            </w:pPr>
          </w:p>
        </w:tc>
      </w:tr>
      <w:tr w:rsidR="004047F2" w:rsidRPr="00712F3C" w14:paraId="1187D511" w14:textId="77777777" w:rsidTr="00250DAC">
        <w:trPr>
          <w:trHeight w:val="20"/>
        </w:trPr>
        <w:tc>
          <w:tcPr>
            <w:tcW w:w="5000" w:type="pct"/>
            <w:gridSpan w:val="2"/>
            <w:shd w:val="clear" w:color="auto" w:fill="auto"/>
          </w:tcPr>
          <w:p w14:paraId="1DC58CCB" w14:textId="77777777" w:rsidR="004047F2" w:rsidRPr="00712F3C" w:rsidRDefault="004047F2" w:rsidP="00250DAC">
            <w:pPr>
              <w:spacing w:after="0" w:line="240" w:lineRule="auto"/>
              <w:ind w:right="122"/>
              <w:jc w:val="center"/>
              <w:rPr>
                <w:rFonts w:ascii="Times New Roman" w:hAnsi="Times New Roman"/>
                <w:b/>
                <w:sz w:val="20"/>
                <w:szCs w:val="20"/>
              </w:rPr>
            </w:pPr>
            <w:r w:rsidRPr="00712F3C">
              <w:rPr>
                <w:rFonts w:ascii="Times New Roman" w:hAnsi="Times New Roman"/>
                <w:b/>
                <w:sz w:val="20"/>
                <w:szCs w:val="20"/>
              </w:rPr>
              <w:t>SHARE CAPITAL AND VARIATION OF RIGHTS</w:t>
            </w:r>
          </w:p>
          <w:p w14:paraId="3EB71AB1" w14:textId="77777777" w:rsidR="004047F2" w:rsidRPr="00712F3C" w:rsidRDefault="004047F2" w:rsidP="00250DAC">
            <w:pPr>
              <w:spacing w:after="0" w:line="240" w:lineRule="auto"/>
              <w:ind w:right="122"/>
              <w:jc w:val="center"/>
              <w:rPr>
                <w:rFonts w:ascii="Times New Roman" w:hAnsi="Times New Roman"/>
                <w:b/>
                <w:sz w:val="20"/>
                <w:szCs w:val="20"/>
              </w:rPr>
            </w:pPr>
          </w:p>
        </w:tc>
      </w:tr>
      <w:tr w:rsidR="004047F2" w:rsidRPr="00712F3C" w14:paraId="4EC4297B" w14:textId="77777777" w:rsidTr="00250DAC">
        <w:trPr>
          <w:trHeight w:val="20"/>
        </w:trPr>
        <w:tc>
          <w:tcPr>
            <w:tcW w:w="517" w:type="pct"/>
            <w:shd w:val="clear" w:color="auto" w:fill="auto"/>
          </w:tcPr>
          <w:p w14:paraId="23059BB5" w14:textId="77777777" w:rsidR="004047F2" w:rsidRPr="00712F3C" w:rsidRDefault="004047F2" w:rsidP="00250DAC">
            <w:pPr>
              <w:spacing w:after="0" w:line="240" w:lineRule="auto"/>
              <w:ind w:right="27"/>
              <w:jc w:val="center"/>
              <w:rPr>
                <w:rFonts w:ascii="Times New Roman" w:hAnsi="Times New Roman"/>
                <w:bCs/>
                <w:sz w:val="20"/>
                <w:szCs w:val="20"/>
              </w:rPr>
            </w:pPr>
            <w:r w:rsidRPr="00712F3C">
              <w:rPr>
                <w:rFonts w:ascii="Times New Roman" w:hAnsi="Times New Roman"/>
                <w:bCs/>
                <w:sz w:val="20"/>
                <w:szCs w:val="20"/>
              </w:rPr>
              <w:t>II. 1.</w:t>
            </w:r>
          </w:p>
        </w:tc>
        <w:tc>
          <w:tcPr>
            <w:tcW w:w="4483" w:type="pct"/>
            <w:shd w:val="clear" w:color="auto" w:fill="auto"/>
          </w:tcPr>
          <w:p w14:paraId="293340E1" w14:textId="77777777" w:rsidR="004047F2" w:rsidRPr="00712F3C" w:rsidRDefault="004047F2" w:rsidP="00250DAC">
            <w:pPr>
              <w:spacing w:after="0" w:line="240" w:lineRule="auto"/>
              <w:ind w:left="90" w:right="122"/>
              <w:jc w:val="both"/>
              <w:rPr>
                <w:rFonts w:ascii="Times New Roman" w:hAnsi="Times New Roman"/>
                <w:sz w:val="20"/>
                <w:szCs w:val="20"/>
              </w:rPr>
            </w:pPr>
            <w:r w:rsidRPr="00712F3C">
              <w:rPr>
                <w:rFonts w:ascii="Times New Roman" w:hAnsi="Times New Roman"/>
                <w:sz w:val="20"/>
                <w:szCs w:val="20"/>
              </w:rPr>
              <w:t>Subject to the provisions of the Act and these Articles, the shares in the capital of the company shall be under the control of the Directors who may issue, allot or otherwise dispose of the same or any of them to such persons, in such proportion and on such terms and conditions and either at a premium or at par and at such time as they may from time to time think fit.</w:t>
            </w:r>
          </w:p>
          <w:p w14:paraId="2E4CAE36" w14:textId="77777777" w:rsidR="004047F2" w:rsidRPr="00712F3C" w:rsidRDefault="004047F2" w:rsidP="00250DAC">
            <w:pPr>
              <w:spacing w:after="0" w:line="240" w:lineRule="auto"/>
              <w:ind w:right="122"/>
              <w:jc w:val="both"/>
              <w:rPr>
                <w:rFonts w:ascii="Times New Roman" w:hAnsi="Times New Roman"/>
                <w:sz w:val="20"/>
                <w:szCs w:val="20"/>
              </w:rPr>
            </w:pPr>
          </w:p>
        </w:tc>
      </w:tr>
      <w:tr w:rsidR="004047F2" w:rsidRPr="00712F3C" w14:paraId="15197C41" w14:textId="77777777" w:rsidTr="00250DAC">
        <w:trPr>
          <w:trHeight w:val="20"/>
        </w:trPr>
        <w:tc>
          <w:tcPr>
            <w:tcW w:w="517" w:type="pct"/>
            <w:shd w:val="clear" w:color="auto" w:fill="auto"/>
          </w:tcPr>
          <w:p w14:paraId="567821AF"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59B113C9" w14:textId="77777777" w:rsidR="004047F2" w:rsidRPr="00712F3C" w:rsidRDefault="004047F2">
            <w:pPr>
              <w:pStyle w:val="ListParagraph"/>
              <w:numPr>
                <w:ilvl w:val="0"/>
                <w:numId w:val="233"/>
              </w:numPr>
              <w:spacing w:line="240" w:lineRule="auto"/>
              <w:ind w:right="122"/>
              <w:jc w:val="both"/>
              <w:rPr>
                <w:sz w:val="20"/>
                <w:szCs w:val="20"/>
              </w:rPr>
            </w:pPr>
            <w:r w:rsidRPr="00712F3C">
              <w:rPr>
                <w:sz w:val="20"/>
                <w:szCs w:val="20"/>
              </w:rPr>
              <w:t>Every person whose name is entered as a member in the register of members shall be entitled to receive within two months after incorporation, in case of subscribers to the memorandum or after allotment or within one month after the application for the registration of transfer or transmission or within such other period as the conditions of issue shall be provided,-</w:t>
            </w:r>
          </w:p>
          <w:p w14:paraId="7950DE5B" w14:textId="77777777" w:rsidR="004047F2" w:rsidRPr="00712F3C" w:rsidRDefault="004047F2">
            <w:pPr>
              <w:pStyle w:val="ListParagraph"/>
              <w:numPr>
                <w:ilvl w:val="0"/>
                <w:numId w:val="219"/>
              </w:numPr>
              <w:spacing w:line="240" w:lineRule="auto"/>
              <w:ind w:left="898" w:right="122"/>
              <w:jc w:val="both"/>
              <w:rPr>
                <w:sz w:val="20"/>
                <w:szCs w:val="20"/>
              </w:rPr>
            </w:pPr>
            <w:r w:rsidRPr="00712F3C">
              <w:rPr>
                <w:sz w:val="20"/>
                <w:szCs w:val="20"/>
              </w:rPr>
              <w:t>one certificate for all his shares without payment of any charges; or</w:t>
            </w:r>
          </w:p>
          <w:p w14:paraId="2E6F4F2F" w14:textId="77777777" w:rsidR="004047F2" w:rsidRPr="00712F3C" w:rsidRDefault="004047F2">
            <w:pPr>
              <w:pStyle w:val="ListParagraph"/>
              <w:numPr>
                <w:ilvl w:val="0"/>
                <w:numId w:val="219"/>
              </w:numPr>
              <w:spacing w:line="240" w:lineRule="auto"/>
              <w:ind w:left="898" w:right="122"/>
              <w:jc w:val="both"/>
              <w:rPr>
                <w:sz w:val="20"/>
                <w:szCs w:val="20"/>
              </w:rPr>
            </w:pPr>
            <w:r w:rsidRPr="00712F3C">
              <w:rPr>
                <w:sz w:val="20"/>
                <w:szCs w:val="20"/>
              </w:rPr>
              <w:t>several certificates, each for one or more of his shares, upon payment of twenty rupees for each certificate after the first.</w:t>
            </w:r>
          </w:p>
          <w:p w14:paraId="7F3D76F1" w14:textId="77777777" w:rsidR="004047F2" w:rsidRPr="00712F3C" w:rsidRDefault="004047F2" w:rsidP="00250DAC">
            <w:pPr>
              <w:pStyle w:val="ListParagraph"/>
              <w:spacing w:line="240" w:lineRule="auto"/>
              <w:ind w:right="122"/>
              <w:jc w:val="both"/>
              <w:rPr>
                <w:sz w:val="20"/>
                <w:szCs w:val="20"/>
              </w:rPr>
            </w:pPr>
          </w:p>
          <w:p w14:paraId="7408F695" w14:textId="77777777" w:rsidR="004047F2" w:rsidRPr="00712F3C" w:rsidRDefault="004047F2">
            <w:pPr>
              <w:pStyle w:val="ListParagraph"/>
              <w:numPr>
                <w:ilvl w:val="0"/>
                <w:numId w:val="233"/>
              </w:numPr>
              <w:spacing w:line="240" w:lineRule="auto"/>
              <w:ind w:right="122"/>
              <w:jc w:val="both"/>
              <w:rPr>
                <w:sz w:val="20"/>
                <w:szCs w:val="20"/>
              </w:rPr>
            </w:pPr>
            <w:r w:rsidRPr="00712F3C">
              <w:rPr>
                <w:sz w:val="20"/>
                <w:szCs w:val="20"/>
              </w:rPr>
              <w:t>Every certificate shall be under the seal and shall specify the shares to which it relates and the amount paid - up thereon.</w:t>
            </w:r>
          </w:p>
          <w:p w14:paraId="16E895DC" w14:textId="77777777" w:rsidR="004047F2" w:rsidRPr="00712F3C" w:rsidRDefault="004047F2" w:rsidP="00250DAC">
            <w:pPr>
              <w:pStyle w:val="ListParagraph"/>
              <w:spacing w:line="240" w:lineRule="auto"/>
              <w:ind w:right="122"/>
              <w:jc w:val="both"/>
              <w:rPr>
                <w:sz w:val="20"/>
                <w:szCs w:val="20"/>
              </w:rPr>
            </w:pPr>
          </w:p>
          <w:p w14:paraId="73C9E9C4" w14:textId="77777777" w:rsidR="004047F2" w:rsidRPr="00712F3C" w:rsidRDefault="004047F2">
            <w:pPr>
              <w:pStyle w:val="ListParagraph"/>
              <w:numPr>
                <w:ilvl w:val="0"/>
                <w:numId w:val="233"/>
              </w:numPr>
              <w:spacing w:line="240" w:lineRule="auto"/>
              <w:ind w:right="122"/>
              <w:jc w:val="both"/>
              <w:rPr>
                <w:sz w:val="20"/>
                <w:szCs w:val="20"/>
              </w:rPr>
            </w:pPr>
            <w:r w:rsidRPr="00712F3C">
              <w:rPr>
                <w:sz w:val="20"/>
                <w:szCs w:val="20"/>
              </w:rPr>
              <w:t>In respect of any share or shares held jointly by several persons, the company shall not be bound to issue more than one certificate, and delivery of a certificate for a share to one of several joint holders shall be sufficient delivery to all such holders.</w:t>
            </w:r>
          </w:p>
          <w:p w14:paraId="241A0408" w14:textId="77777777" w:rsidR="004047F2" w:rsidRPr="00712F3C" w:rsidRDefault="004047F2" w:rsidP="00250DAC">
            <w:pPr>
              <w:pStyle w:val="ListParagraph"/>
              <w:spacing w:line="240" w:lineRule="auto"/>
              <w:ind w:right="122"/>
              <w:jc w:val="both"/>
              <w:rPr>
                <w:sz w:val="20"/>
                <w:szCs w:val="20"/>
              </w:rPr>
            </w:pPr>
          </w:p>
        </w:tc>
      </w:tr>
      <w:tr w:rsidR="004047F2" w:rsidRPr="00712F3C" w14:paraId="324CA194" w14:textId="77777777" w:rsidTr="00250DAC">
        <w:trPr>
          <w:trHeight w:val="20"/>
        </w:trPr>
        <w:tc>
          <w:tcPr>
            <w:tcW w:w="517" w:type="pct"/>
            <w:shd w:val="clear" w:color="auto" w:fill="auto"/>
          </w:tcPr>
          <w:p w14:paraId="0DC078D2"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2BE7D467" w14:textId="77777777" w:rsidR="004047F2" w:rsidRPr="00712F3C" w:rsidRDefault="004047F2">
            <w:pPr>
              <w:pStyle w:val="ListParagraph"/>
              <w:numPr>
                <w:ilvl w:val="0"/>
                <w:numId w:val="234"/>
              </w:numPr>
              <w:spacing w:line="240" w:lineRule="auto"/>
              <w:ind w:right="122"/>
              <w:jc w:val="both"/>
              <w:rPr>
                <w:sz w:val="20"/>
                <w:szCs w:val="20"/>
              </w:rPr>
            </w:pPr>
            <w:r w:rsidRPr="00712F3C">
              <w:rPr>
                <w:sz w:val="20"/>
                <w:szCs w:val="20"/>
              </w:rPr>
              <w:t>If any share certificate be worn out, defaced, mutilated or torn or if there be no further space on the back for endorsement of transfer, then upon production and surrender thereof to the company, a new certificate may be issued in lieu thereof, and if any certificate is lost or destroyed then upon proof thereof to the satisfaction of the company and on execution of such indemnity as the company deem adequate, a new certificate in lieu thereof shall be given. Every certificate under this Article shall be issued on payment of twenty rupees for each certificate.</w:t>
            </w:r>
          </w:p>
          <w:p w14:paraId="77CC2B29" w14:textId="77777777" w:rsidR="004047F2" w:rsidRPr="00712F3C" w:rsidRDefault="004047F2" w:rsidP="00250DAC">
            <w:pPr>
              <w:pStyle w:val="ListParagraph"/>
              <w:spacing w:line="240" w:lineRule="auto"/>
              <w:ind w:right="122"/>
              <w:jc w:val="both"/>
              <w:rPr>
                <w:sz w:val="20"/>
                <w:szCs w:val="20"/>
              </w:rPr>
            </w:pPr>
          </w:p>
          <w:p w14:paraId="6EA0C97D" w14:textId="77777777" w:rsidR="004047F2" w:rsidRPr="00712F3C" w:rsidRDefault="004047F2">
            <w:pPr>
              <w:pStyle w:val="ListParagraph"/>
              <w:numPr>
                <w:ilvl w:val="0"/>
                <w:numId w:val="234"/>
              </w:numPr>
              <w:spacing w:line="240" w:lineRule="auto"/>
              <w:ind w:right="122"/>
              <w:jc w:val="both"/>
              <w:rPr>
                <w:sz w:val="20"/>
                <w:szCs w:val="20"/>
              </w:rPr>
            </w:pPr>
            <w:r w:rsidRPr="00712F3C">
              <w:rPr>
                <w:sz w:val="20"/>
                <w:szCs w:val="20"/>
              </w:rPr>
              <w:t>The provisions of Articles (2) and (3) shall mutatis mutandis apply to debentures of the company.</w:t>
            </w:r>
          </w:p>
          <w:p w14:paraId="295EBB85" w14:textId="77777777" w:rsidR="004047F2" w:rsidRPr="00712F3C" w:rsidRDefault="004047F2" w:rsidP="00250DAC">
            <w:pPr>
              <w:pStyle w:val="ListParagraph"/>
              <w:spacing w:line="240" w:lineRule="auto"/>
              <w:ind w:right="122"/>
              <w:jc w:val="both"/>
              <w:rPr>
                <w:sz w:val="20"/>
                <w:szCs w:val="20"/>
              </w:rPr>
            </w:pPr>
          </w:p>
        </w:tc>
      </w:tr>
      <w:tr w:rsidR="004047F2" w:rsidRPr="00712F3C" w14:paraId="52B4A415" w14:textId="77777777" w:rsidTr="00250DAC">
        <w:trPr>
          <w:trHeight w:val="20"/>
        </w:trPr>
        <w:tc>
          <w:tcPr>
            <w:tcW w:w="517" w:type="pct"/>
            <w:shd w:val="clear" w:color="auto" w:fill="auto"/>
          </w:tcPr>
          <w:p w14:paraId="40DF7073"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56E9C2C5" w14:textId="77777777" w:rsidR="004047F2" w:rsidRPr="00712F3C" w:rsidRDefault="004047F2" w:rsidP="00250DAC">
            <w:pPr>
              <w:spacing w:after="0" w:line="240" w:lineRule="auto"/>
              <w:ind w:left="90" w:right="122"/>
              <w:jc w:val="both"/>
              <w:rPr>
                <w:rFonts w:ascii="Times New Roman" w:hAnsi="Times New Roman"/>
                <w:sz w:val="20"/>
                <w:szCs w:val="20"/>
              </w:rPr>
            </w:pPr>
            <w:r w:rsidRPr="00712F3C">
              <w:rPr>
                <w:rFonts w:ascii="Times New Roman" w:hAnsi="Times New Roman"/>
                <w:sz w:val="20"/>
                <w:szCs w:val="20"/>
              </w:rPr>
              <w:t>Except as required by law, no person shall be recognised by the company as holding any share upon any trust, and the company shall not be bound by, or be compelled in any way to recognise (even when having notice thereof) any equitable, contingent, future or partial interest in any share, or any interest in any fractional part of a share, or (except only as by these regulations or by law otherwise provided) any other rights in respect of any share except an absolute right to the entirety thereof in the registered holder.</w:t>
            </w:r>
          </w:p>
          <w:p w14:paraId="60E1D4FC" w14:textId="77777777" w:rsidR="004047F2" w:rsidRPr="00712F3C" w:rsidRDefault="004047F2" w:rsidP="00250DAC">
            <w:pPr>
              <w:spacing w:after="0" w:line="240" w:lineRule="auto"/>
              <w:ind w:right="122"/>
              <w:jc w:val="both"/>
              <w:rPr>
                <w:rFonts w:ascii="Times New Roman" w:hAnsi="Times New Roman"/>
                <w:sz w:val="20"/>
                <w:szCs w:val="20"/>
              </w:rPr>
            </w:pPr>
          </w:p>
        </w:tc>
      </w:tr>
      <w:tr w:rsidR="004047F2" w:rsidRPr="00712F3C" w14:paraId="2E5236D6" w14:textId="77777777" w:rsidTr="00250DAC">
        <w:trPr>
          <w:trHeight w:val="20"/>
        </w:trPr>
        <w:tc>
          <w:tcPr>
            <w:tcW w:w="517" w:type="pct"/>
            <w:shd w:val="clear" w:color="auto" w:fill="auto"/>
          </w:tcPr>
          <w:p w14:paraId="77079FFA"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7A913EAA" w14:textId="77777777" w:rsidR="004047F2" w:rsidRPr="00712F3C" w:rsidRDefault="004047F2">
            <w:pPr>
              <w:pStyle w:val="ListParagraph"/>
              <w:numPr>
                <w:ilvl w:val="0"/>
                <w:numId w:val="235"/>
              </w:numPr>
              <w:spacing w:line="240" w:lineRule="auto"/>
              <w:ind w:left="718" w:right="122"/>
              <w:jc w:val="both"/>
              <w:rPr>
                <w:sz w:val="20"/>
                <w:szCs w:val="20"/>
              </w:rPr>
            </w:pPr>
            <w:r w:rsidRPr="00712F3C">
              <w:rPr>
                <w:sz w:val="20"/>
                <w:szCs w:val="20"/>
              </w:rPr>
              <w:t>The company may exercise the powers of paying commissions conferred by sub-section (6) of section 40, provided that the rate per cent or the amount of the commission paid or agreed to be paid shall be disclosed in the manner required by that section and rules made thereunder.</w:t>
            </w:r>
          </w:p>
          <w:p w14:paraId="311E01E9" w14:textId="77777777" w:rsidR="004047F2" w:rsidRPr="00712F3C" w:rsidRDefault="004047F2" w:rsidP="00250DAC">
            <w:pPr>
              <w:pStyle w:val="ListParagraph"/>
              <w:spacing w:line="240" w:lineRule="auto"/>
              <w:ind w:left="718" w:right="122"/>
              <w:jc w:val="both"/>
              <w:rPr>
                <w:sz w:val="20"/>
                <w:szCs w:val="20"/>
              </w:rPr>
            </w:pPr>
          </w:p>
          <w:p w14:paraId="673C0EC0" w14:textId="77777777" w:rsidR="004047F2" w:rsidRPr="00712F3C" w:rsidRDefault="004047F2">
            <w:pPr>
              <w:pStyle w:val="ListParagraph"/>
              <w:numPr>
                <w:ilvl w:val="0"/>
                <w:numId w:val="235"/>
              </w:numPr>
              <w:spacing w:line="240" w:lineRule="auto"/>
              <w:ind w:left="718" w:right="122"/>
              <w:jc w:val="both"/>
              <w:rPr>
                <w:sz w:val="20"/>
                <w:szCs w:val="20"/>
              </w:rPr>
            </w:pPr>
            <w:r w:rsidRPr="00712F3C">
              <w:rPr>
                <w:sz w:val="20"/>
                <w:szCs w:val="20"/>
              </w:rPr>
              <w:lastRenderedPageBreak/>
              <w:t>The rate or amount of the commission shall not exceed the rate or amount prescribed in rules made under sub-section (6) of section 40.</w:t>
            </w:r>
          </w:p>
          <w:p w14:paraId="060EC40E" w14:textId="77777777" w:rsidR="004047F2" w:rsidRPr="00712F3C" w:rsidRDefault="004047F2" w:rsidP="00250DAC">
            <w:pPr>
              <w:pStyle w:val="ListParagraph"/>
              <w:spacing w:line="240" w:lineRule="auto"/>
              <w:ind w:left="718" w:right="122"/>
              <w:jc w:val="both"/>
              <w:rPr>
                <w:sz w:val="20"/>
                <w:szCs w:val="20"/>
              </w:rPr>
            </w:pPr>
          </w:p>
          <w:p w14:paraId="7F83FA90" w14:textId="77777777" w:rsidR="004047F2" w:rsidRPr="00712F3C" w:rsidRDefault="004047F2">
            <w:pPr>
              <w:pStyle w:val="ListParagraph"/>
              <w:numPr>
                <w:ilvl w:val="0"/>
                <w:numId w:val="235"/>
              </w:numPr>
              <w:spacing w:line="240" w:lineRule="auto"/>
              <w:ind w:left="718" w:right="122"/>
              <w:jc w:val="both"/>
              <w:rPr>
                <w:sz w:val="20"/>
                <w:szCs w:val="20"/>
              </w:rPr>
            </w:pPr>
            <w:r w:rsidRPr="00712F3C">
              <w:rPr>
                <w:sz w:val="20"/>
                <w:szCs w:val="20"/>
              </w:rPr>
              <w:t>The commission may be satisfied by the payment of cash or the allotment of fully or partly paid shares or partly in the one way and partly in the other.</w:t>
            </w:r>
          </w:p>
          <w:p w14:paraId="05307056" w14:textId="77777777" w:rsidR="004047F2" w:rsidRPr="00712F3C" w:rsidRDefault="004047F2" w:rsidP="00250DAC">
            <w:pPr>
              <w:pStyle w:val="ListParagraph"/>
              <w:spacing w:line="240" w:lineRule="auto"/>
              <w:ind w:left="718" w:right="122"/>
              <w:jc w:val="both"/>
              <w:rPr>
                <w:sz w:val="20"/>
                <w:szCs w:val="20"/>
              </w:rPr>
            </w:pPr>
          </w:p>
        </w:tc>
      </w:tr>
      <w:tr w:rsidR="004047F2" w:rsidRPr="00712F3C" w14:paraId="7BBA4F78" w14:textId="77777777" w:rsidTr="00250DAC">
        <w:trPr>
          <w:trHeight w:val="20"/>
        </w:trPr>
        <w:tc>
          <w:tcPr>
            <w:tcW w:w="517" w:type="pct"/>
            <w:shd w:val="clear" w:color="auto" w:fill="auto"/>
          </w:tcPr>
          <w:p w14:paraId="230E6DEF"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7B9C3A85" w14:textId="77777777" w:rsidR="004047F2" w:rsidRPr="00712F3C" w:rsidRDefault="004047F2">
            <w:pPr>
              <w:pStyle w:val="ListParagraph"/>
              <w:numPr>
                <w:ilvl w:val="0"/>
                <w:numId w:val="236"/>
              </w:numPr>
              <w:spacing w:line="240" w:lineRule="auto"/>
              <w:ind w:right="122"/>
              <w:jc w:val="both"/>
              <w:rPr>
                <w:sz w:val="20"/>
                <w:szCs w:val="20"/>
              </w:rPr>
            </w:pPr>
            <w:r w:rsidRPr="00712F3C">
              <w:rPr>
                <w:sz w:val="20"/>
                <w:szCs w:val="20"/>
              </w:rPr>
              <w:t>If at any time the share capital is divided into different classes of shares, the rights attached to any class (unless otherwise provided by the terms of issue of the shares of that class) may, subject to the provisions of section 48, and whether or not the company is being wound up, be varied with the consent in writing of the holders of three-fourths of the issued shares of that class, or with the sanction of a special resolution passed at a separate meeting of the holders of the shares of that class.</w:t>
            </w:r>
          </w:p>
          <w:p w14:paraId="337DF235" w14:textId="77777777" w:rsidR="004047F2" w:rsidRPr="00712F3C" w:rsidRDefault="004047F2" w:rsidP="00250DAC">
            <w:pPr>
              <w:pStyle w:val="ListParagraph"/>
              <w:spacing w:line="240" w:lineRule="auto"/>
              <w:ind w:right="122"/>
              <w:jc w:val="both"/>
              <w:rPr>
                <w:sz w:val="20"/>
                <w:szCs w:val="20"/>
              </w:rPr>
            </w:pPr>
          </w:p>
          <w:p w14:paraId="01C1B8B2" w14:textId="77777777" w:rsidR="004047F2" w:rsidRPr="00712F3C" w:rsidRDefault="004047F2">
            <w:pPr>
              <w:pStyle w:val="ListParagraph"/>
              <w:numPr>
                <w:ilvl w:val="0"/>
                <w:numId w:val="236"/>
              </w:numPr>
              <w:spacing w:line="240" w:lineRule="auto"/>
              <w:ind w:right="122"/>
              <w:jc w:val="both"/>
              <w:rPr>
                <w:sz w:val="20"/>
                <w:szCs w:val="20"/>
              </w:rPr>
            </w:pPr>
            <w:r w:rsidRPr="00712F3C">
              <w:rPr>
                <w:sz w:val="20"/>
                <w:szCs w:val="20"/>
              </w:rPr>
              <w:t>To every such separate meeting, the provisions of these regulations relating to general meetings shall mutatis mutandis apply, but so that the necessary quorum shall be at least two persons holding at least one-third of the issued shares of the class in question.</w:t>
            </w:r>
          </w:p>
          <w:p w14:paraId="7FD7252E" w14:textId="77777777" w:rsidR="004047F2" w:rsidRPr="00712F3C" w:rsidRDefault="004047F2" w:rsidP="00250DAC">
            <w:pPr>
              <w:pStyle w:val="ListParagraph"/>
              <w:spacing w:line="240" w:lineRule="auto"/>
              <w:ind w:right="122"/>
              <w:jc w:val="both"/>
              <w:rPr>
                <w:sz w:val="20"/>
                <w:szCs w:val="20"/>
              </w:rPr>
            </w:pPr>
          </w:p>
        </w:tc>
      </w:tr>
      <w:tr w:rsidR="004047F2" w:rsidRPr="00712F3C" w14:paraId="6707D724" w14:textId="77777777" w:rsidTr="00250DAC">
        <w:trPr>
          <w:trHeight w:val="20"/>
        </w:trPr>
        <w:tc>
          <w:tcPr>
            <w:tcW w:w="517" w:type="pct"/>
            <w:shd w:val="clear" w:color="auto" w:fill="auto"/>
          </w:tcPr>
          <w:p w14:paraId="3587A5CE"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2FF0A960" w14:textId="77777777" w:rsidR="004047F2" w:rsidRPr="00712F3C" w:rsidRDefault="004047F2" w:rsidP="00250DAC">
            <w:pPr>
              <w:spacing w:after="0" w:line="240" w:lineRule="auto"/>
              <w:ind w:left="90" w:right="122"/>
              <w:jc w:val="both"/>
              <w:rPr>
                <w:rFonts w:ascii="Times New Roman" w:hAnsi="Times New Roman"/>
                <w:sz w:val="20"/>
                <w:szCs w:val="20"/>
              </w:rPr>
            </w:pPr>
            <w:r w:rsidRPr="00712F3C">
              <w:rPr>
                <w:rFonts w:ascii="Times New Roman" w:hAnsi="Times New Roman"/>
                <w:sz w:val="20"/>
                <w:szCs w:val="20"/>
              </w:rPr>
              <w:t>The rights conferred upon the holders of the shares of any class issued with preferred or other rights shall not, unless otherwise expressly provided by the terms of issue of the shares of that class, be deemed to be varied by the creation or issue of further shares ranking pari-passu therewith.</w:t>
            </w:r>
          </w:p>
          <w:p w14:paraId="3E9EA40A" w14:textId="77777777" w:rsidR="004047F2" w:rsidRPr="00712F3C" w:rsidRDefault="004047F2" w:rsidP="00250DAC">
            <w:pPr>
              <w:spacing w:after="0" w:line="240" w:lineRule="auto"/>
              <w:ind w:left="90" w:right="122"/>
              <w:jc w:val="both"/>
              <w:rPr>
                <w:rFonts w:ascii="Times New Roman" w:hAnsi="Times New Roman"/>
                <w:sz w:val="20"/>
                <w:szCs w:val="20"/>
              </w:rPr>
            </w:pPr>
          </w:p>
        </w:tc>
      </w:tr>
      <w:tr w:rsidR="004047F2" w:rsidRPr="00712F3C" w14:paraId="7ABE2985" w14:textId="77777777" w:rsidTr="00250DAC">
        <w:trPr>
          <w:trHeight w:val="20"/>
        </w:trPr>
        <w:tc>
          <w:tcPr>
            <w:tcW w:w="517" w:type="pct"/>
            <w:shd w:val="clear" w:color="auto" w:fill="auto"/>
          </w:tcPr>
          <w:p w14:paraId="32D5732B"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41B01276" w14:textId="77777777" w:rsidR="004047F2" w:rsidRPr="00712F3C" w:rsidRDefault="004047F2" w:rsidP="00250DAC">
            <w:pPr>
              <w:spacing w:after="0" w:line="240" w:lineRule="auto"/>
              <w:ind w:left="90" w:right="122"/>
              <w:jc w:val="both"/>
              <w:rPr>
                <w:rFonts w:ascii="Times New Roman" w:hAnsi="Times New Roman"/>
                <w:sz w:val="20"/>
                <w:szCs w:val="20"/>
              </w:rPr>
            </w:pPr>
            <w:r w:rsidRPr="00712F3C">
              <w:rPr>
                <w:rFonts w:ascii="Times New Roman" w:hAnsi="Times New Roman"/>
                <w:sz w:val="20"/>
                <w:szCs w:val="20"/>
              </w:rPr>
              <w:t>Subject to the provisions of section 55, any preference shares may, with the sanction of an ordinary resolution, be issued on the terms that they are to be redeemed on such terms and in such manner as the company before the issue of the shares may, by special resolution, determine.</w:t>
            </w:r>
          </w:p>
          <w:p w14:paraId="1AC10A8B" w14:textId="77777777" w:rsidR="004047F2" w:rsidRPr="00712F3C" w:rsidRDefault="004047F2" w:rsidP="00250DAC">
            <w:pPr>
              <w:spacing w:after="0" w:line="240" w:lineRule="auto"/>
              <w:ind w:left="90" w:right="122"/>
              <w:jc w:val="both"/>
              <w:rPr>
                <w:rFonts w:ascii="Times New Roman" w:hAnsi="Times New Roman"/>
                <w:sz w:val="20"/>
                <w:szCs w:val="20"/>
              </w:rPr>
            </w:pPr>
          </w:p>
        </w:tc>
      </w:tr>
      <w:tr w:rsidR="004047F2" w:rsidRPr="00712F3C" w14:paraId="7D1FB451" w14:textId="77777777" w:rsidTr="00250DAC">
        <w:trPr>
          <w:trHeight w:val="20"/>
        </w:trPr>
        <w:tc>
          <w:tcPr>
            <w:tcW w:w="5000" w:type="pct"/>
            <w:gridSpan w:val="2"/>
            <w:shd w:val="clear" w:color="auto" w:fill="auto"/>
          </w:tcPr>
          <w:p w14:paraId="6C4BC7E7" w14:textId="77777777" w:rsidR="004047F2" w:rsidRPr="00712F3C" w:rsidRDefault="004047F2" w:rsidP="00250DAC">
            <w:pPr>
              <w:spacing w:after="0" w:line="240" w:lineRule="auto"/>
              <w:ind w:right="122"/>
              <w:jc w:val="center"/>
              <w:rPr>
                <w:rFonts w:ascii="Times New Roman" w:eastAsiaTheme="minorHAnsi" w:hAnsi="Times New Roman"/>
                <w:b/>
                <w:bCs/>
                <w:iCs/>
                <w:sz w:val="20"/>
                <w:szCs w:val="20"/>
              </w:rPr>
            </w:pPr>
            <w:r w:rsidRPr="00712F3C">
              <w:rPr>
                <w:rFonts w:ascii="Times New Roman" w:eastAsiaTheme="minorHAnsi" w:hAnsi="Times New Roman"/>
                <w:b/>
                <w:bCs/>
                <w:iCs/>
                <w:sz w:val="20"/>
                <w:szCs w:val="20"/>
              </w:rPr>
              <w:t>LIEN</w:t>
            </w:r>
          </w:p>
          <w:p w14:paraId="3240DB09" w14:textId="77777777" w:rsidR="004047F2" w:rsidRPr="00712F3C" w:rsidRDefault="004047F2" w:rsidP="00250DAC">
            <w:pPr>
              <w:spacing w:after="0" w:line="240" w:lineRule="auto"/>
              <w:ind w:right="122"/>
              <w:jc w:val="center"/>
              <w:rPr>
                <w:rFonts w:ascii="Times New Roman" w:hAnsi="Times New Roman"/>
                <w:sz w:val="20"/>
                <w:szCs w:val="20"/>
              </w:rPr>
            </w:pPr>
          </w:p>
        </w:tc>
      </w:tr>
      <w:tr w:rsidR="004047F2" w:rsidRPr="00712F3C" w14:paraId="22DFFC61" w14:textId="77777777" w:rsidTr="00250DAC">
        <w:trPr>
          <w:trHeight w:val="20"/>
        </w:trPr>
        <w:tc>
          <w:tcPr>
            <w:tcW w:w="517" w:type="pct"/>
            <w:shd w:val="clear" w:color="auto" w:fill="auto"/>
          </w:tcPr>
          <w:p w14:paraId="445595A4"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225A8521" w14:textId="77777777" w:rsidR="004047F2" w:rsidRPr="00712F3C" w:rsidRDefault="004047F2">
            <w:pPr>
              <w:pStyle w:val="ListParagraph"/>
              <w:numPr>
                <w:ilvl w:val="0"/>
                <w:numId w:val="237"/>
              </w:numPr>
              <w:spacing w:line="240" w:lineRule="auto"/>
              <w:ind w:right="122"/>
              <w:jc w:val="both"/>
              <w:rPr>
                <w:sz w:val="20"/>
                <w:szCs w:val="20"/>
              </w:rPr>
            </w:pPr>
            <w:r w:rsidRPr="00712F3C">
              <w:rPr>
                <w:sz w:val="20"/>
                <w:szCs w:val="20"/>
              </w:rPr>
              <w:t>The company shall have a first and paramount lien</w:t>
            </w:r>
          </w:p>
          <w:p w14:paraId="05B20095" w14:textId="77777777" w:rsidR="004047F2" w:rsidRPr="00712F3C" w:rsidRDefault="004047F2">
            <w:pPr>
              <w:pStyle w:val="ListParagraph"/>
              <w:numPr>
                <w:ilvl w:val="0"/>
                <w:numId w:val="226"/>
              </w:numPr>
              <w:spacing w:line="240" w:lineRule="auto"/>
              <w:ind w:right="122"/>
              <w:jc w:val="both"/>
              <w:rPr>
                <w:sz w:val="20"/>
                <w:szCs w:val="20"/>
              </w:rPr>
            </w:pPr>
            <w:r w:rsidRPr="00712F3C">
              <w:rPr>
                <w:sz w:val="20"/>
                <w:szCs w:val="20"/>
              </w:rPr>
              <w:t xml:space="preserve">on every share (not being a fully paid share), for all monies (whether presently payable or not) called, or payable at a fixed time, in respect of that share; and </w:t>
            </w:r>
          </w:p>
          <w:p w14:paraId="18CD1372" w14:textId="77777777" w:rsidR="004047F2" w:rsidRPr="00712F3C" w:rsidRDefault="004047F2">
            <w:pPr>
              <w:pStyle w:val="ListParagraph"/>
              <w:numPr>
                <w:ilvl w:val="0"/>
                <w:numId w:val="226"/>
              </w:numPr>
              <w:spacing w:line="240" w:lineRule="auto"/>
              <w:ind w:right="122"/>
              <w:jc w:val="both"/>
              <w:rPr>
                <w:sz w:val="20"/>
                <w:szCs w:val="20"/>
              </w:rPr>
            </w:pPr>
            <w:r w:rsidRPr="00712F3C">
              <w:rPr>
                <w:sz w:val="20"/>
                <w:szCs w:val="20"/>
              </w:rPr>
              <w:t>on all shares (not being fully paid shares) standing registered in the name of a single person, for all monies presently payable by him or his estate to the company:</w:t>
            </w:r>
          </w:p>
          <w:p w14:paraId="0E6FC28D" w14:textId="77777777" w:rsidR="004047F2" w:rsidRPr="00712F3C" w:rsidRDefault="004047F2" w:rsidP="00250DAC">
            <w:pPr>
              <w:spacing w:after="0" w:line="240" w:lineRule="auto"/>
              <w:ind w:left="720" w:right="122"/>
              <w:jc w:val="both"/>
              <w:rPr>
                <w:rFonts w:ascii="Times New Roman" w:hAnsi="Times New Roman"/>
                <w:sz w:val="20"/>
                <w:szCs w:val="20"/>
              </w:rPr>
            </w:pPr>
            <w:r w:rsidRPr="00712F3C">
              <w:rPr>
                <w:rFonts w:ascii="Times New Roman" w:hAnsi="Times New Roman"/>
                <w:sz w:val="20"/>
                <w:szCs w:val="20"/>
              </w:rPr>
              <w:t xml:space="preserve">Provided that the Board of directors may at any time declare any share to be wholly or in part exempt from the provisions of this clause. </w:t>
            </w:r>
          </w:p>
          <w:p w14:paraId="70874F4C" w14:textId="77777777" w:rsidR="004047F2" w:rsidRPr="00712F3C" w:rsidRDefault="004047F2" w:rsidP="00250DAC">
            <w:pPr>
              <w:spacing w:after="0" w:line="240" w:lineRule="auto"/>
              <w:ind w:left="90" w:right="122"/>
              <w:jc w:val="both"/>
              <w:rPr>
                <w:rFonts w:ascii="Times New Roman" w:hAnsi="Times New Roman"/>
                <w:sz w:val="20"/>
                <w:szCs w:val="20"/>
              </w:rPr>
            </w:pPr>
          </w:p>
          <w:p w14:paraId="11F9F9AB" w14:textId="77777777" w:rsidR="004047F2" w:rsidRPr="00712F3C" w:rsidRDefault="004047F2">
            <w:pPr>
              <w:pStyle w:val="ListParagraph"/>
              <w:numPr>
                <w:ilvl w:val="0"/>
                <w:numId w:val="237"/>
              </w:numPr>
              <w:spacing w:line="240" w:lineRule="auto"/>
              <w:ind w:right="122"/>
              <w:jc w:val="both"/>
              <w:rPr>
                <w:sz w:val="20"/>
                <w:szCs w:val="20"/>
              </w:rPr>
            </w:pPr>
            <w:r w:rsidRPr="00712F3C">
              <w:rPr>
                <w:sz w:val="20"/>
                <w:szCs w:val="20"/>
              </w:rPr>
              <w:t>The company’s lien, if any, on a share shall extend to all dividends payable and bonuses declared from time to time in respect of such shares.</w:t>
            </w:r>
          </w:p>
          <w:p w14:paraId="3DEBCDB1" w14:textId="77777777" w:rsidR="004047F2" w:rsidRPr="00712F3C" w:rsidRDefault="004047F2" w:rsidP="00250DAC">
            <w:pPr>
              <w:pStyle w:val="ListParagraph"/>
              <w:spacing w:line="240" w:lineRule="auto"/>
              <w:ind w:right="122"/>
              <w:jc w:val="both"/>
              <w:rPr>
                <w:sz w:val="20"/>
                <w:szCs w:val="20"/>
              </w:rPr>
            </w:pPr>
          </w:p>
          <w:p w14:paraId="1A3EDE76" w14:textId="77777777" w:rsidR="004047F2" w:rsidRPr="00712F3C" w:rsidRDefault="004047F2">
            <w:pPr>
              <w:pStyle w:val="ListParagraph"/>
              <w:numPr>
                <w:ilvl w:val="0"/>
                <w:numId w:val="237"/>
              </w:numPr>
              <w:spacing w:line="240" w:lineRule="auto"/>
              <w:ind w:right="122"/>
              <w:jc w:val="both"/>
              <w:rPr>
                <w:sz w:val="20"/>
                <w:szCs w:val="20"/>
              </w:rPr>
            </w:pPr>
            <w:r w:rsidRPr="00712F3C">
              <w:rPr>
                <w:sz w:val="20"/>
                <w:szCs w:val="20"/>
              </w:rPr>
              <w:t>That fully paid shares shall be free from all lien and that in the case of partly paid shares the Issuer’s lien shall be restricted to moneys called or payable at a fixed time in respect of such shares.</w:t>
            </w:r>
          </w:p>
          <w:p w14:paraId="78E92291" w14:textId="77777777" w:rsidR="004047F2" w:rsidRPr="00712F3C" w:rsidRDefault="004047F2" w:rsidP="00250DAC">
            <w:pPr>
              <w:pStyle w:val="ListParagraph"/>
              <w:spacing w:line="240" w:lineRule="auto"/>
              <w:ind w:right="122"/>
              <w:jc w:val="both"/>
              <w:rPr>
                <w:sz w:val="20"/>
                <w:szCs w:val="20"/>
              </w:rPr>
            </w:pPr>
          </w:p>
        </w:tc>
      </w:tr>
      <w:tr w:rsidR="004047F2" w:rsidRPr="00712F3C" w14:paraId="120F6FCA" w14:textId="77777777" w:rsidTr="00250DAC">
        <w:trPr>
          <w:trHeight w:val="20"/>
        </w:trPr>
        <w:tc>
          <w:tcPr>
            <w:tcW w:w="517" w:type="pct"/>
            <w:shd w:val="clear" w:color="auto" w:fill="auto"/>
          </w:tcPr>
          <w:p w14:paraId="05E1D7B4"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441CCC4A" w14:textId="77777777" w:rsidR="004047F2" w:rsidRPr="00712F3C" w:rsidRDefault="004047F2" w:rsidP="00250DAC">
            <w:pPr>
              <w:spacing w:after="0" w:line="240" w:lineRule="auto"/>
              <w:ind w:left="90" w:right="122"/>
              <w:jc w:val="both"/>
              <w:rPr>
                <w:rFonts w:ascii="Times New Roman" w:hAnsi="Times New Roman"/>
                <w:sz w:val="20"/>
                <w:szCs w:val="20"/>
              </w:rPr>
            </w:pPr>
            <w:r w:rsidRPr="00712F3C">
              <w:rPr>
                <w:rFonts w:ascii="Times New Roman" w:hAnsi="Times New Roman"/>
                <w:sz w:val="20"/>
                <w:szCs w:val="20"/>
              </w:rPr>
              <w:t>The company may sell, in such manner as the Board thinks fit, any shares on which the company has a lien: Provided that no sale shall be made-</w:t>
            </w:r>
          </w:p>
          <w:p w14:paraId="1FD5F9B1" w14:textId="77777777" w:rsidR="004047F2" w:rsidRPr="00712F3C" w:rsidRDefault="004047F2">
            <w:pPr>
              <w:pStyle w:val="ListParagraph"/>
              <w:numPr>
                <w:ilvl w:val="0"/>
                <w:numId w:val="220"/>
              </w:numPr>
              <w:spacing w:line="240" w:lineRule="auto"/>
              <w:ind w:right="122"/>
              <w:jc w:val="both"/>
              <w:rPr>
                <w:sz w:val="20"/>
                <w:szCs w:val="20"/>
              </w:rPr>
            </w:pPr>
            <w:r w:rsidRPr="00712F3C">
              <w:rPr>
                <w:sz w:val="20"/>
                <w:szCs w:val="20"/>
              </w:rPr>
              <w:t>unless a sum in respect of which the lien exists is presently payable; or</w:t>
            </w:r>
          </w:p>
          <w:p w14:paraId="6ED8C7BA" w14:textId="77777777" w:rsidR="004047F2" w:rsidRPr="00712F3C" w:rsidRDefault="004047F2">
            <w:pPr>
              <w:pStyle w:val="ListParagraph"/>
              <w:numPr>
                <w:ilvl w:val="0"/>
                <w:numId w:val="220"/>
              </w:numPr>
              <w:spacing w:line="240" w:lineRule="auto"/>
              <w:ind w:right="122"/>
              <w:jc w:val="both"/>
              <w:rPr>
                <w:sz w:val="20"/>
                <w:szCs w:val="20"/>
              </w:rPr>
            </w:pPr>
            <w:r w:rsidRPr="00712F3C">
              <w:rPr>
                <w:sz w:val="20"/>
                <w:szCs w:val="20"/>
              </w:rPr>
              <w:t>until the expiration of fourteen days after a notice in writing stating and demanding payment of such part of the amount in respect of which the lien exists as is presently payable, has been given to the registered holder for the time being of the share or the person entitled thereto by reason of his death or insolvency.</w:t>
            </w:r>
          </w:p>
          <w:p w14:paraId="0D730EE7" w14:textId="77777777" w:rsidR="004047F2" w:rsidRPr="00712F3C" w:rsidRDefault="004047F2" w:rsidP="00250DAC">
            <w:pPr>
              <w:pStyle w:val="ListParagraph"/>
              <w:spacing w:line="240" w:lineRule="auto"/>
              <w:ind w:left="810" w:right="122"/>
              <w:jc w:val="both"/>
              <w:rPr>
                <w:sz w:val="20"/>
                <w:szCs w:val="20"/>
              </w:rPr>
            </w:pPr>
          </w:p>
        </w:tc>
      </w:tr>
      <w:tr w:rsidR="004047F2" w:rsidRPr="00712F3C" w14:paraId="67258EF3" w14:textId="77777777" w:rsidTr="00250DAC">
        <w:trPr>
          <w:trHeight w:val="20"/>
        </w:trPr>
        <w:tc>
          <w:tcPr>
            <w:tcW w:w="517" w:type="pct"/>
            <w:shd w:val="clear" w:color="auto" w:fill="auto"/>
          </w:tcPr>
          <w:p w14:paraId="754050E0"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3F6B9FEE" w14:textId="77777777" w:rsidR="004047F2" w:rsidRPr="00712F3C" w:rsidRDefault="004047F2">
            <w:pPr>
              <w:pStyle w:val="ListParagraph"/>
              <w:numPr>
                <w:ilvl w:val="0"/>
                <w:numId w:val="238"/>
              </w:numPr>
              <w:spacing w:line="240" w:lineRule="auto"/>
              <w:ind w:right="122"/>
              <w:jc w:val="both"/>
              <w:rPr>
                <w:sz w:val="20"/>
                <w:szCs w:val="20"/>
              </w:rPr>
            </w:pPr>
            <w:r w:rsidRPr="00712F3C">
              <w:rPr>
                <w:sz w:val="20"/>
                <w:szCs w:val="20"/>
              </w:rPr>
              <w:t>To give effect to any such sale, the Board may authorise some person to transfer the shares sold to the purchaser thereof</w:t>
            </w:r>
          </w:p>
          <w:p w14:paraId="1EE33F5C" w14:textId="77777777" w:rsidR="004047F2" w:rsidRPr="00712F3C" w:rsidRDefault="004047F2" w:rsidP="00250DAC">
            <w:pPr>
              <w:pStyle w:val="ListParagraph"/>
              <w:spacing w:line="240" w:lineRule="auto"/>
              <w:ind w:right="122"/>
              <w:jc w:val="both"/>
              <w:rPr>
                <w:sz w:val="20"/>
                <w:szCs w:val="20"/>
              </w:rPr>
            </w:pPr>
          </w:p>
          <w:p w14:paraId="0F02745B" w14:textId="77777777" w:rsidR="004047F2" w:rsidRPr="00712F3C" w:rsidRDefault="004047F2">
            <w:pPr>
              <w:pStyle w:val="ListParagraph"/>
              <w:numPr>
                <w:ilvl w:val="0"/>
                <w:numId w:val="238"/>
              </w:numPr>
              <w:spacing w:line="240" w:lineRule="auto"/>
              <w:ind w:right="122"/>
              <w:jc w:val="both"/>
              <w:rPr>
                <w:sz w:val="20"/>
                <w:szCs w:val="20"/>
              </w:rPr>
            </w:pPr>
            <w:r w:rsidRPr="00712F3C">
              <w:rPr>
                <w:sz w:val="20"/>
                <w:szCs w:val="20"/>
              </w:rPr>
              <w:t>The purchaser shall be registered as the holder of the shares comprised in any such transfer.</w:t>
            </w:r>
          </w:p>
          <w:p w14:paraId="6C3688EB" w14:textId="77777777" w:rsidR="004047F2" w:rsidRPr="00712F3C" w:rsidRDefault="004047F2" w:rsidP="00250DAC">
            <w:pPr>
              <w:pStyle w:val="ListParagraph"/>
              <w:spacing w:line="240" w:lineRule="auto"/>
              <w:ind w:right="122"/>
              <w:jc w:val="both"/>
              <w:rPr>
                <w:sz w:val="20"/>
                <w:szCs w:val="20"/>
              </w:rPr>
            </w:pPr>
          </w:p>
          <w:p w14:paraId="032F929D" w14:textId="77777777" w:rsidR="004047F2" w:rsidRPr="00712F3C" w:rsidRDefault="004047F2">
            <w:pPr>
              <w:pStyle w:val="ListParagraph"/>
              <w:numPr>
                <w:ilvl w:val="0"/>
                <w:numId w:val="238"/>
              </w:numPr>
              <w:spacing w:line="240" w:lineRule="auto"/>
              <w:ind w:right="122"/>
              <w:jc w:val="both"/>
              <w:rPr>
                <w:sz w:val="20"/>
                <w:szCs w:val="20"/>
              </w:rPr>
            </w:pPr>
            <w:r w:rsidRPr="00712F3C">
              <w:rPr>
                <w:sz w:val="20"/>
                <w:szCs w:val="20"/>
              </w:rPr>
              <w:t>The purchaser shall not be bound to see to the application of the purchase money, nor shall his title to the shares be affected by any irregularity or invalidity in the proceedings in reference to the sale.</w:t>
            </w:r>
          </w:p>
          <w:p w14:paraId="53185299" w14:textId="77777777" w:rsidR="004047F2" w:rsidRPr="00712F3C" w:rsidRDefault="004047F2" w:rsidP="00250DAC">
            <w:pPr>
              <w:pStyle w:val="ListParagraph"/>
              <w:spacing w:line="240" w:lineRule="auto"/>
              <w:ind w:right="122"/>
              <w:jc w:val="both"/>
              <w:rPr>
                <w:sz w:val="20"/>
                <w:szCs w:val="20"/>
              </w:rPr>
            </w:pPr>
          </w:p>
        </w:tc>
      </w:tr>
      <w:tr w:rsidR="004047F2" w:rsidRPr="00712F3C" w14:paraId="53104C2C" w14:textId="77777777" w:rsidTr="00250DAC">
        <w:trPr>
          <w:trHeight w:val="20"/>
        </w:trPr>
        <w:tc>
          <w:tcPr>
            <w:tcW w:w="517" w:type="pct"/>
            <w:shd w:val="clear" w:color="auto" w:fill="auto"/>
          </w:tcPr>
          <w:p w14:paraId="26E9E92E"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76A34893" w14:textId="77777777" w:rsidR="004047F2" w:rsidRPr="00712F3C" w:rsidRDefault="004047F2">
            <w:pPr>
              <w:pStyle w:val="ListParagraph"/>
              <w:numPr>
                <w:ilvl w:val="0"/>
                <w:numId w:val="239"/>
              </w:numPr>
              <w:spacing w:line="240" w:lineRule="auto"/>
              <w:ind w:right="122"/>
              <w:jc w:val="both"/>
              <w:rPr>
                <w:sz w:val="20"/>
                <w:szCs w:val="20"/>
              </w:rPr>
            </w:pPr>
            <w:r w:rsidRPr="00712F3C">
              <w:rPr>
                <w:sz w:val="20"/>
                <w:szCs w:val="20"/>
              </w:rPr>
              <w:t>The proceeds of the sale shall be received by the company and applied in payment of such part of the amount in respect of which the lien exists as is presently payable.</w:t>
            </w:r>
          </w:p>
          <w:p w14:paraId="71241873" w14:textId="77777777" w:rsidR="004047F2" w:rsidRPr="00712F3C" w:rsidRDefault="004047F2">
            <w:pPr>
              <w:pStyle w:val="ListParagraph"/>
              <w:numPr>
                <w:ilvl w:val="0"/>
                <w:numId w:val="239"/>
              </w:numPr>
              <w:spacing w:line="240" w:lineRule="auto"/>
              <w:ind w:right="122"/>
              <w:jc w:val="both"/>
              <w:rPr>
                <w:sz w:val="20"/>
                <w:szCs w:val="20"/>
              </w:rPr>
            </w:pPr>
            <w:r w:rsidRPr="00712F3C">
              <w:rPr>
                <w:sz w:val="20"/>
                <w:szCs w:val="20"/>
              </w:rPr>
              <w:t>The residue, if any, shall, subject to a like lien for sums not presently payable as existed upon the shares before the sale, be paid to the person entitled to the shares at the date of the sale.</w:t>
            </w:r>
          </w:p>
          <w:p w14:paraId="10CAE718" w14:textId="77777777" w:rsidR="004047F2" w:rsidRPr="00712F3C" w:rsidRDefault="004047F2" w:rsidP="00250DAC">
            <w:pPr>
              <w:pStyle w:val="ListParagraph"/>
              <w:spacing w:line="240" w:lineRule="auto"/>
              <w:ind w:right="122"/>
              <w:jc w:val="both"/>
              <w:rPr>
                <w:sz w:val="20"/>
                <w:szCs w:val="20"/>
              </w:rPr>
            </w:pPr>
          </w:p>
        </w:tc>
      </w:tr>
      <w:tr w:rsidR="004047F2" w:rsidRPr="00712F3C" w14:paraId="124B185B" w14:textId="77777777" w:rsidTr="00250DAC">
        <w:trPr>
          <w:trHeight w:val="20"/>
        </w:trPr>
        <w:tc>
          <w:tcPr>
            <w:tcW w:w="5000" w:type="pct"/>
            <w:gridSpan w:val="2"/>
            <w:shd w:val="clear" w:color="auto" w:fill="auto"/>
          </w:tcPr>
          <w:p w14:paraId="334726A0" w14:textId="77777777" w:rsidR="004047F2" w:rsidRPr="00712F3C" w:rsidRDefault="004047F2" w:rsidP="00250DAC">
            <w:pPr>
              <w:spacing w:after="0" w:line="240" w:lineRule="auto"/>
              <w:ind w:right="122"/>
              <w:jc w:val="center"/>
              <w:rPr>
                <w:rFonts w:ascii="Times New Roman" w:eastAsiaTheme="minorHAnsi" w:hAnsi="Times New Roman"/>
                <w:b/>
                <w:bCs/>
                <w:iCs/>
                <w:sz w:val="20"/>
                <w:szCs w:val="20"/>
              </w:rPr>
            </w:pPr>
            <w:r w:rsidRPr="00712F3C">
              <w:rPr>
                <w:rFonts w:ascii="Times New Roman" w:eastAsiaTheme="minorHAnsi" w:hAnsi="Times New Roman"/>
                <w:b/>
                <w:bCs/>
                <w:iCs/>
                <w:sz w:val="20"/>
                <w:szCs w:val="20"/>
              </w:rPr>
              <w:t>CALLS ON SHARES</w:t>
            </w:r>
          </w:p>
          <w:p w14:paraId="4BA19E84" w14:textId="77777777" w:rsidR="004047F2" w:rsidRPr="00712F3C" w:rsidRDefault="004047F2" w:rsidP="00250DAC">
            <w:pPr>
              <w:spacing w:after="0" w:line="240" w:lineRule="auto"/>
              <w:ind w:right="122"/>
              <w:jc w:val="center"/>
              <w:rPr>
                <w:rFonts w:ascii="Times New Roman" w:hAnsi="Times New Roman"/>
                <w:sz w:val="20"/>
                <w:szCs w:val="20"/>
              </w:rPr>
            </w:pPr>
          </w:p>
        </w:tc>
      </w:tr>
      <w:tr w:rsidR="004047F2" w:rsidRPr="00712F3C" w14:paraId="3A5FCFF8" w14:textId="77777777" w:rsidTr="00250DAC">
        <w:trPr>
          <w:trHeight w:val="20"/>
        </w:trPr>
        <w:tc>
          <w:tcPr>
            <w:tcW w:w="517" w:type="pct"/>
            <w:shd w:val="clear" w:color="auto" w:fill="auto"/>
          </w:tcPr>
          <w:p w14:paraId="65F20BD6"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11BCF41A" w14:textId="77777777" w:rsidR="004047F2" w:rsidRPr="00712F3C" w:rsidRDefault="004047F2">
            <w:pPr>
              <w:pStyle w:val="ListParagraph"/>
              <w:numPr>
                <w:ilvl w:val="0"/>
                <w:numId w:val="245"/>
              </w:numPr>
              <w:spacing w:line="240" w:lineRule="auto"/>
              <w:ind w:right="122"/>
              <w:jc w:val="both"/>
              <w:rPr>
                <w:sz w:val="20"/>
                <w:szCs w:val="20"/>
              </w:rPr>
            </w:pPr>
            <w:r w:rsidRPr="00712F3C">
              <w:rPr>
                <w:sz w:val="20"/>
                <w:szCs w:val="20"/>
              </w:rPr>
              <w:t>The Board may, from time to time, make calls upon the members in respect of any monies unpaid on their shares (whether on account of the nominal value of the shares or by way of premium) and not by the conditions of allotment thereof made payable at fixed times:</w:t>
            </w:r>
          </w:p>
          <w:p w14:paraId="18ED3761" w14:textId="77777777" w:rsidR="004047F2" w:rsidRPr="00712F3C" w:rsidRDefault="004047F2" w:rsidP="00250DAC">
            <w:pPr>
              <w:spacing w:after="0" w:line="240" w:lineRule="auto"/>
              <w:ind w:left="538" w:right="122"/>
              <w:jc w:val="both"/>
              <w:rPr>
                <w:rFonts w:ascii="Times New Roman" w:hAnsi="Times New Roman"/>
                <w:sz w:val="20"/>
                <w:szCs w:val="20"/>
              </w:rPr>
            </w:pPr>
          </w:p>
          <w:p w14:paraId="5F7244FA" w14:textId="77777777" w:rsidR="004047F2" w:rsidRPr="00712F3C" w:rsidRDefault="004047F2" w:rsidP="00250DAC">
            <w:pPr>
              <w:pStyle w:val="ListParagraph"/>
              <w:spacing w:line="240" w:lineRule="auto"/>
              <w:ind w:right="122"/>
              <w:jc w:val="both"/>
              <w:rPr>
                <w:sz w:val="20"/>
                <w:szCs w:val="20"/>
              </w:rPr>
            </w:pPr>
            <w:r w:rsidRPr="00712F3C">
              <w:rPr>
                <w:sz w:val="20"/>
                <w:szCs w:val="20"/>
              </w:rPr>
              <w:t xml:space="preserve">Provided that no call shall exceed one-fourth of the nominal value of the share or be payable at less than one month from the date fixed for the payment of the last preceding call. </w:t>
            </w:r>
          </w:p>
          <w:p w14:paraId="3DCD0243" w14:textId="77777777" w:rsidR="004047F2" w:rsidRPr="00712F3C" w:rsidRDefault="004047F2" w:rsidP="00250DAC">
            <w:pPr>
              <w:pStyle w:val="ListParagraph"/>
              <w:spacing w:line="240" w:lineRule="auto"/>
              <w:ind w:left="538" w:right="122"/>
              <w:jc w:val="both"/>
              <w:rPr>
                <w:sz w:val="20"/>
                <w:szCs w:val="20"/>
              </w:rPr>
            </w:pPr>
          </w:p>
          <w:p w14:paraId="7CDC9D34" w14:textId="77777777" w:rsidR="004047F2" w:rsidRPr="00712F3C" w:rsidRDefault="004047F2">
            <w:pPr>
              <w:pStyle w:val="ListParagraph"/>
              <w:numPr>
                <w:ilvl w:val="0"/>
                <w:numId w:val="245"/>
              </w:numPr>
              <w:spacing w:line="240" w:lineRule="auto"/>
              <w:ind w:right="122"/>
              <w:jc w:val="both"/>
              <w:rPr>
                <w:sz w:val="20"/>
                <w:szCs w:val="20"/>
              </w:rPr>
            </w:pPr>
            <w:r w:rsidRPr="00712F3C">
              <w:rPr>
                <w:sz w:val="20"/>
                <w:szCs w:val="20"/>
              </w:rPr>
              <w:t xml:space="preserve">Each member shall, subject to receiving at least fourteen days’ notice specifying the time or times and place of payment, pay to the company, at the time or times and place so specified, the amount called on his shares. </w:t>
            </w:r>
          </w:p>
          <w:p w14:paraId="3687BE11" w14:textId="77777777" w:rsidR="004047F2" w:rsidRPr="00712F3C" w:rsidRDefault="004047F2" w:rsidP="00250DAC">
            <w:pPr>
              <w:pStyle w:val="ListParagraph"/>
              <w:spacing w:line="240" w:lineRule="auto"/>
              <w:ind w:left="538" w:right="122"/>
              <w:jc w:val="both"/>
              <w:rPr>
                <w:sz w:val="20"/>
                <w:szCs w:val="20"/>
              </w:rPr>
            </w:pPr>
          </w:p>
          <w:p w14:paraId="1093547E" w14:textId="77777777" w:rsidR="004047F2" w:rsidRPr="00712F3C" w:rsidRDefault="004047F2">
            <w:pPr>
              <w:pStyle w:val="ListParagraph"/>
              <w:numPr>
                <w:ilvl w:val="0"/>
                <w:numId w:val="245"/>
              </w:numPr>
              <w:spacing w:line="240" w:lineRule="auto"/>
              <w:ind w:right="122"/>
              <w:jc w:val="both"/>
              <w:rPr>
                <w:sz w:val="20"/>
                <w:szCs w:val="20"/>
              </w:rPr>
            </w:pPr>
            <w:r w:rsidRPr="00712F3C">
              <w:rPr>
                <w:sz w:val="20"/>
                <w:szCs w:val="20"/>
              </w:rPr>
              <w:t xml:space="preserve">A call may be revoked or postponed at the discretion of the Board. </w:t>
            </w:r>
          </w:p>
          <w:p w14:paraId="7F1D0FBB" w14:textId="77777777" w:rsidR="004047F2" w:rsidRPr="00712F3C" w:rsidRDefault="004047F2" w:rsidP="00250DAC">
            <w:pPr>
              <w:pStyle w:val="ListParagraph"/>
              <w:spacing w:line="240" w:lineRule="auto"/>
              <w:ind w:left="538" w:right="122"/>
              <w:jc w:val="both"/>
              <w:rPr>
                <w:sz w:val="20"/>
                <w:szCs w:val="20"/>
              </w:rPr>
            </w:pPr>
          </w:p>
          <w:p w14:paraId="18F16E59" w14:textId="77777777" w:rsidR="004047F2" w:rsidRPr="00712F3C" w:rsidRDefault="004047F2">
            <w:pPr>
              <w:pStyle w:val="ListParagraph"/>
              <w:numPr>
                <w:ilvl w:val="0"/>
                <w:numId w:val="245"/>
              </w:numPr>
              <w:spacing w:line="240" w:lineRule="auto"/>
              <w:ind w:right="122"/>
              <w:jc w:val="both"/>
              <w:rPr>
                <w:sz w:val="20"/>
                <w:szCs w:val="20"/>
              </w:rPr>
            </w:pPr>
            <w:r w:rsidRPr="00712F3C">
              <w:rPr>
                <w:sz w:val="20"/>
                <w:szCs w:val="20"/>
              </w:rPr>
              <w:t>That any amount paid up in advance of calls on any share may carry interest but shall not in respect thereof confer a right to dividend or to participate in profits</w:t>
            </w:r>
          </w:p>
          <w:p w14:paraId="01231817" w14:textId="77777777" w:rsidR="004047F2" w:rsidRPr="00712F3C" w:rsidRDefault="004047F2" w:rsidP="00250DAC">
            <w:pPr>
              <w:pStyle w:val="ListParagraph"/>
              <w:spacing w:line="240" w:lineRule="auto"/>
              <w:ind w:right="122"/>
              <w:jc w:val="both"/>
              <w:rPr>
                <w:sz w:val="20"/>
                <w:szCs w:val="20"/>
              </w:rPr>
            </w:pPr>
          </w:p>
        </w:tc>
      </w:tr>
      <w:tr w:rsidR="004047F2" w:rsidRPr="00712F3C" w14:paraId="15D2C29A" w14:textId="77777777" w:rsidTr="00250DAC">
        <w:trPr>
          <w:trHeight w:val="20"/>
        </w:trPr>
        <w:tc>
          <w:tcPr>
            <w:tcW w:w="517" w:type="pct"/>
            <w:shd w:val="clear" w:color="auto" w:fill="auto"/>
          </w:tcPr>
          <w:p w14:paraId="08BA3DFB"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6BE87FCD" w14:textId="77777777" w:rsidR="004047F2" w:rsidRPr="00712F3C" w:rsidRDefault="004047F2" w:rsidP="00250DAC">
            <w:pPr>
              <w:spacing w:after="0" w:line="240" w:lineRule="auto"/>
              <w:ind w:left="90" w:right="122"/>
              <w:jc w:val="both"/>
              <w:rPr>
                <w:rFonts w:ascii="Times New Roman" w:hAnsi="Times New Roman"/>
                <w:sz w:val="20"/>
                <w:szCs w:val="20"/>
              </w:rPr>
            </w:pPr>
            <w:r w:rsidRPr="00712F3C">
              <w:rPr>
                <w:rFonts w:ascii="Times New Roman" w:hAnsi="Times New Roman"/>
                <w:sz w:val="20"/>
                <w:szCs w:val="20"/>
              </w:rPr>
              <w:t>A call shall be deemed to have been made at the time when the resolution of the Board authorizing the call was passed and may be required to be paid by installments.</w:t>
            </w:r>
          </w:p>
          <w:p w14:paraId="517BCF76" w14:textId="77777777" w:rsidR="004047F2" w:rsidRPr="00712F3C" w:rsidRDefault="004047F2" w:rsidP="00250DAC">
            <w:pPr>
              <w:spacing w:after="0" w:line="240" w:lineRule="auto"/>
              <w:ind w:right="122"/>
              <w:jc w:val="both"/>
              <w:rPr>
                <w:rFonts w:ascii="Times New Roman" w:hAnsi="Times New Roman"/>
                <w:sz w:val="20"/>
                <w:szCs w:val="20"/>
              </w:rPr>
            </w:pPr>
          </w:p>
        </w:tc>
      </w:tr>
      <w:tr w:rsidR="004047F2" w:rsidRPr="00712F3C" w14:paraId="65D2C66A" w14:textId="77777777" w:rsidTr="00250DAC">
        <w:trPr>
          <w:trHeight w:val="20"/>
        </w:trPr>
        <w:tc>
          <w:tcPr>
            <w:tcW w:w="517" w:type="pct"/>
            <w:shd w:val="clear" w:color="auto" w:fill="auto"/>
          </w:tcPr>
          <w:p w14:paraId="51805487"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43379CEE" w14:textId="77777777" w:rsidR="004047F2" w:rsidRPr="00712F3C" w:rsidRDefault="004047F2" w:rsidP="00250DAC">
            <w:pPr>
              <w:spacing w:after="0" w:line="240" w:lineRule="auto"/>
              <w:ind w:left="90" w:right="122"/>
              <w:jc w:val="both"/>
              <w:rPr>
                <w:rFonts w:ascii="Times New Roman" w:hAnsi="Times New Roman"/>
                <w:sz w:val="20"/>
                <w:szCs w:val="20"/>
              </w:rPr>
            </w:pPr>
            <w:r w:rsidRPr="00712F3C">
              <w:rPr>
                <w:rFonts w:ascii="Times New Roman" w:hAnsi="Times New Roman"/>
                <w:sz w:val="20"/>
                <w:szCs w:val="20"/>
              </w:rPr>
              <w:t>The joint holders of a share shall be jointly and severally liable to pay all calls in respect thereof.</w:t>
            </w:r>
          </w:p>
          <w:p w14:paraId="478C20CA" w14:textId="77777777" w:rsidR="004047F2" w:rsidRPr="00712F3C" w:rsidRDefault="004047F2" w:rsidP="00250DAC">
            <w:pPr>
              <w:spacing w:after="0" w:line="240" w:lineRule="auto"/>
              <w:ind w:left="90" w:right="122"/>
              <w:jc w:val="both"/>
              <w:rPr>
                <w:rFonts w:ascii="Times New Roman" w:hAnsi="Times New Roman"/>
                <w:sz w:val="20"/>
                <w:szCs w:val="20"/>
              </w:rPr>
            </w:pPr>
          </w:p>
        </w:tc>
      </w:tr>
      <w:tr w:rsidR="004047F2" w:rsidRPr="00712F3C" w14:paraId="489D8BF0" w14:textId="77777777" w:rsidTr="00250DAC">
        <w:trPr>
          <w:trHeight w:val="20"/>
        </w:trPr>
        <w:tc>
          <w:tcPr>
            <w:tcW w:w="517" w:type="pct"/>
            <w:shd w:val="clear" w:color="auto" w:fill="auto"/>
          </w:tcPr>
          <w:p w14:paraId="6212B2F6"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02687B23" w14:textId="77777777" w:rsidR="004047F2" w:rsidRPr="00712F3C" w:rsidRDefault="004047F2" w:rsidP="00250DAC">
            <w:pPr>
              <w:spacing w:after="0" w:line="240" w:lineRule="auto"/>
              <w:ind w:left="90" w:right="122"/>
              <w:jc w:val="both"/>
              <w:rPr>
                <w:rFonts w:ascii="Times New Roman" w:hAnsi="Times New Roman"/>
                <w:sz w:val="20"/>
                <w:szCs w:val="20"/>
              </w:rPr>
            </w:pPr>
            <w:r w:rsidRPr="00712F3C">
              <w:rPr>
                <w:rFonts w:ascii="Times New Roman" w:hAnsi="Times New Roman"/>
                <w:sz w:val="20"/>
                <w:szCs w:val="20"/>
              </w:rPr>
              <w:t>If a sum called in respect of a share is not paid before or on the day appointed for payment thereof, the person from whom the sum is due shall pay interest thereon from the day appointed for payment thereof to the time of actual payment at ten per cent per annum or at such lower rate, if any, as the Board may determine.</w:t>
            </w:r>
          </w:p>
          <w:p w14:paraId="7D48932D" w14:textId="77777777" w:rsidR="004047F2" w:rsidRPr="00712F3C" w:rsidRDefault="004047F2" w:rsidP="00250DAC">
            <w:pPr>
              <w:spacing w:after="0" w:line="240" w:lineRule="auto"/>
              <w:ind w:left="90" w:right="122"/>
              <w:jc w:val="both"/>
              <w:rPr>
                <w:rFonts w:ascii="Times New Roman" w:hAnsi="Times New Roman"/>
                <w:sz w:val="20"/>
                <w:szCs w:val="20"/>
              </w:rPr>
            </w:pPr>
          </w:p>
          <w:p w14:paraId="64431EA8" w14:textId="77777777" w:rsidR="004047F2" w:rsidRPr="00712F3C" w:rsidRDefault="004047F2" w:rsidP="00250DAC">
            <w:pPr>
              <w:spacing w:after="0" w:line="240" w:lineRule="auto"/>
              <w:ind w:left="90" w:right="122"/>
              <w:jc w:val="both"/>
              <w:rPr>
                <w:rFonts w:ascii="Times New Roman" w:hAnsi="Times New Roman"/>
                <w:sz w:val="20"/>
                <w:szCs w:val="20"/>
              </w:rPr>
            </w:pPr>
            <w:r w:rsidRPr="00712F3C">
              <w:rPr>
                <w:rFonts w:ascii="Times New Roman" w:hAnsi="Times New Roman"/>
                <w:sz w:val="20"/>
                <w:szCs w:val="20"/>
              </w:rPr>
              <w:t>The Board shall be at liberty to waive payment of any such interest wholly or in part.</w:t>
            </w:r>
          </w:p>
          <w:p w14:paraId="7DFC06CB" w14:textId="77777777" w:rsidR="004047F2" w:rsidRPr="00712F3C" w:rsidRDefault="004047F2" w:rsidP="00250DAC">
            <w:pPr>
              <w:spacing w:after="0" w:line="240" w:lineRule="auto"/>
              <w:ind w:left="90" w:right="122"/>
              <w:jc w:val="both"/>
              <w:rPr>
                <w:rFonts w:ascii="Times New Roman" w:hAnsi="Times New Roman"/>
                <w:sz w:val="20"/>
                <w:szCs w:val="20"/>
              </w:rPr>
            </w:pPr>
          </w:p>
        </w:tc>
      </w:tr>
      <w:tr w:rsidR="004047F2" w:rsidRPr="00712F3C" w14:paraId="0763242C" w14:textId="77777777" w:rsidTr="00250DAC">
        <w:trPr>
          <w:trHeight w:val="20"/>
        </w:trPr>
        <w:tc>
          <w:tcPr>
            <w:tcW w:w="517" w:type="pct"/>
            <w:shd w:val="clear" w:color="auto" w:fill="auto"/>
          </w:tcPr>
          <w:p w14:paraId="5F0E4922"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42187A1D" w14:textId="77777777" w:rsidR="004047F2" w:rsidRPr="00712F3C" w:rsidRDefault="004047F2">
            <w:pPr>
              <w:pStyle w:val="ListParagraph"/>
              <w:numPr>
                <w:ilvl w:val="0"/>
                <w:numId w:val="244"/>
              </w:numPr>
              <w:spacing w:line="240" w:lineRule="auto"/>
              <w:ind w:right="122"/>
              <w:jc w:val="both"/>
              <w:rPr>
                <w:sz w:val="20"/>
                <w:szCs w:val="20"/>
              </w:rPr>
            </w:pPr>
            <w:r w:rsidRPr="00712F3C">
              <w:rPr>
                <w:sz w:val="20"/>
                <w:szCs w:val="20"/>
              </w:rPr>
              <w:t>Any sum which by the terms of issue of a share becomes payable on allotment or at any fixed date, whether on account of the nominal value of the share or by way of premium, shall, for the purposes of these regulations, be deemed to be a call duly made and payable on the date on which by the terms of issue such sum becomes payable.</w:t>
            </w:r>
          </w:p>
          <w:p w14:paraId="40117F6E" w14:textId="77777777" w:rsidR="004047F2" w:rsidRPr="00712F3C" w:rsidRDefault="004047F2" w:rsidP="00250DAC">
            <w:pPr>
              <w:pStyle w:val="ListParagraph"/>
              <w:spacing w:line="240" w:lineRule="auto"/>
              <w:ind w:left="540" w:right="122"/>
              <w:jc w:val="both"/>
              <w:rPr>
                <w:sz w:val="20"/>
                <w:szCs w:val="20"/>
              </w:rPr>
            </w:pPr>
          </w:p>
          <w:p w14:paraId="7A527114" w14:textId="77777777" w:rsidR="004047F2" w:rsidRPr="00712F3C" w:rsidRDefault="004047F2">
            <w:pPr>
              <w:pStyle w:val="ListParagraph"/>
              <w:numPr>
                <w:ilvl w:val="0"/>
                <w:numId w:val="244"/>
              </w:numPr>
              <w:spacing w:line="240" w:lineRule="auto"/>
              <w:ind w:right="122"/>
              <w:jc w:val="both"/>
              <w:rPr>
                <w:sz w:val="20"/>
                <w:szCs w:val="20"/>
              </w:rPr>
            </w:pPr>
            <w:r w:rsidRPr="00712F3C">
              <w:rPr>
                <w:sz w:val="20"/>
                <w:szCs w:val="20"/>
              </w:rPr>
              <w:t>In case of non-payment of such sum, all the relevant provisions of these regulations as to payment of interest and expenses, forfeiture or otherwise shall apply as if such sum had become payable by virtue of a call duly made and notified.</w:t>
            </w:r>
          </w:p>
          <w:p w14:paraId="47C90F77" w14:textId="77777777" w:rsidR="004047F2" w:rsidRPr="00712F3C" w:rsidRDefault="004047F2" w:rsidP="00250DAC">
            <w:pPr>
              <w:pStyle w:val="ListParagraph"/>
              <w:spacing w:line="240" w:lineRule="auto"/>
              <w:ind w:right="122"/>
              <w:jc w:val="both"/>
              <w:rPr>
                <w:sz w:val="20"/>
                <w:szCs w:val="20"/>
              </w:rPr>
            </w:pPr>
          </w:p>
        </w:tc>
      </w:tr>
      <w:tr w:rsidR="004047F2" w:rsidRPr="00712F3C" w14:paraId="1EB1BCCD" w14:textId="77777777" w:rsidTr="00250DAC">
        <w:trPr>
          <w:trHeight w:val="20"/>
        </w:trPr>
        <w:tc>
          <w:tcPr>
            <w:tcW w:w="517" w:type="pct"/>
            <w:shd w:val="clear" w:color="auto" w:fill="auto"/>
          </w:tcPr>
          <w:p w14:paraId="016F5A98"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27F32BF2" w14:textId="77777777" w:rsidR="004047F2" w:rsidRPr="00712F3C" w:rsidRDefault="004047F2" w:rsidP="00250DAC">
            <w:pPr>
              <w:spacing w:after="0" w:line="240" w:lineRule="auto"/>
              <w:ind w:left="90" w:right="122"/>
              <w:jc w:val="both"/>
              <w:rPr>
                <w:rFonts w:ascii="Times New Roman" w:hAnsi="Times New Roman"/>
                <w:sz w:val="20"/>
                <w:szCs w:val="20"/>
              </w:rPr>
            </w:pPr>
            <w:r w:rsidRPr="00712F3C">
              <w:rPr>
                <w:rFonts w:ascii="Times New Roman" w:hAnsi="Times New Roman"/>
                <w:sz w:val="20"/>
                <w:szCs w:val="20"/>
              </w:rPr>
              <w:t>The Board -</w:t>
            </w:r>
          </w:p>
          <w:p w14:paraId="36E9BBA2" w14:textId="77777777" w:rsidR="004047F2" w:rsidRPr="00712F3C" w:rsidRDefault="004047F2">
            <w:pPr>
              <w:pStyle w:val="ListParagraph"/>
              <w:numPr>
                <w:ilvl w:val="0"/>
                <w:numId w:val="240"/>
              </w:numPr>
              <w:spacing w:line="240" w:lineRule="auto"/>
              <w:ind w:right="122"/>
              <w:jc w:val="both"/>
              <w:rPr>
                <w:sz w:val="20"/>
                <w:szCs w:val="20"/>
              </w:rPr>
            </w:pPr>
            <w:r w:rsidRPr="00712F3C">
              <w:rPr>
                <w:sz w:val="20"/>
                <w:szCs w:val="20"/>
              </w:rPr>
              <w:t>may, if it thinks fit, receive from any member willing to advance the same, all or any part of the monies uncalled and unpaid upon any shares held by him and</w:t>
            </w:r>
          </w:p>
          <w:p w14:paraId="3FCFF73A" w14:textId="77777777" w:rsidR="004047F2" w:rsidRPr="00712F3C" w:rsidRDefault="004047F2" w:rsidP="00250DAC">
            <w:pPr>
              <w:pStyle w:val="ListParagraph"/>
              <w:spacing w:line="240" w:lineRule="auto"/>
              <w:ind w:left="540" w:right="122"/>
              <w:jc w:val="both"/>
              <w:rPr>
                <w:sz w:val="20"/>
                <w:szCs w:val="20"/>
              </w:rPr>
            </w:pPr>
          </w:p>
          <w:p w14:paraId="284C453D" w14:textId="77777777" w:rsidR="004047F2" w:rsidRPr="00712F3C" w:rsidRDefault="004047F2">
            <w:pPr>
              <w:pStyle w:val="ListParagraph"/>
              <w:numPr>
                <w:ilvl w:val="0"/>
                <w:numId w:val="240"/>
              </w:numPr>
              <w:spacing w:line="240" w:lineRule="auto"/>
              <w:ind w:right="122"/>
              <w:jc w:val="both"/>
              <w:rPr>
                <w:sz w:val="20"/>
                <w:szCs w:val="20"/>
              </w:rPr>
            </w:pPr>
            <w:r w:rsidRPr="00712F3C">
              <w:rPr>
                <w:sz w:val="20"/>
                <w:szCs w:val="20"/>
              </w:rPr>
              <w:t>upon all or any of the monies so advanced, may (until the same would, but for such advance, become presently payable) pay interest at such rate not exceeding, unless the company in general meeting shall otherwise direct, twelve per cent per annum, as may be agreed upon between the Board and the member paying the sum in advance.</w:t>
            </w:r>
          </w:p>
          <w:p w14:paraId="1108EE7C" w14:textId="77777777" w:rsidR="004047F2" w:rsidRPr="00712F3C" w:rsidRDefault="004047F2" w:rsidP="00250DAC">
            <w:pPr>
              <w:pStyle w:val="ListParagraph"/>
              <w:spacing w:line="240" w:lineRule="auto"/>
              <w:ind w:right="122"/>
              <w:jc w:val="both"/>
              <w:rPr>
                <w:sz w:val="20"/>
                <w:szCs w:val="20"/>
              </w:rPr>
            </w:pPr>
          </w:p>
        </w:tc>
      </w:tr>
      <w:tr w:rsidR="004047F2" w:rsidRPr="00712F3C" w14:paraId="51156F8E" w14:textId="77777777" w:rsidTr="00250DAC">
        <w:trPr>
          <w:trHeight w:val="20"/>
        </w:trPr>
        <w:tc>
          <w:tcPr>
            <w:tcW w:w="5000" w:type="pct"/>
            <w:gridSpan w:val="2"/>
            <w:shd w:val="clear" w:color="auto" w:fill="auto"/>
          </w:tcPr>
          <w:p w14:paraId="23A4CF54" w14:textId="77777777" w:rsidR="004047F2" w:rsidRPr="00712F3C" w:rsidRDefault="004047F2" w:rsidP="00250DAC">
            <w:pPr>
              <w:spacing w:after="0" w:line="240" w:lineRule="auto"/>
              <w:ind w:right="122"/>
              <w:jc w:val="center"/>
              <w:rPr>
                <w:rFonts w:ascii="Times New Roman" w:eastAsiaTheme="minorHAnsi" w:hAnsi="Times New Roman"/>
                <w:b/>
                <w:bCs/>
                <w:iCs/>
                <w:sz w:val="20"/>
                <w:szCs w:val="20"/>
              </w:rPr>
            </w:pPr>
            <w:r w:rsidRPr="00712F3C">
              <w:rPr>
                <w:rFonts w:ascii="Times New Roman" w:eastAsiaTheme="minorHAnsi" w:hAnsi="Times New Roman"/>
                <w:b/>
                <w:bCs/>
                <w:iCs/>
                <w:sz w:val="20"/>
                <w:szCs w:val="20"/>
              </w:rPr>
              <w:t>TRANSFER OF SHARES</w:t>
            </w:r>
          </w:p>
          <w:p w14:paraId="04B28E9A" w14:textId="77777777" w:rsidR="004047F2" w:rsidRPr="00712F3C" w:rsidRDefault="004047F2" w:rsidP="00250DAC">
            <w:pPr>
              <w:spacing w:after="0" w:line="240" w:lineRule="auto"/>
              <w:ind w:right="122"/>
              <w:jc w:val="center"/>
              <w:rPr>
                <w:rFonts w:ascii="Times New Roman" w:hAnsi="Times New Roman"/>
                <w:sz w:val="20"/>
                <w:szCs w:val="20"/>
              </w:rPr>
            </w:pPr>
          </w:p>
        </w:tc>
      </w:tr>
      <w:tr w:rsidR="004047F2" w:rsidRPr="00712F3C" w14:paraId="09ADC04C" w14:textId="77777777" w:rsidTr="00250DAC">
        <w:trPr>
          <w:trHeight w:val="20"/>
        </w:trPr>
        <w:tc>
          <w:tcPr>
            <w:tcW w:w="517" w:type="pct"/>
            <w:shd w:val="clear" w:color="auto" w:fill="auto"/>
          </w:tcPr>
          <w:p w14:paraId="3E656A9C"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53B7BC36" w14:textId="77777777" w:rsidR="004047F2" w:rsidRPr="00712F3C" w:rsidRDefault="004047F2">
            <w:pPr>
              <w:pStyle w:val="ListParagraph"/>
              <w:numPr>
                <w:ilvl w:val="0"/>
                <w:numId w:val="241"/>
              </w:numPr>
              <w:spacing w:line="240" w:lineRule="auto"/>
              <w:ind w:right="122"/>
              <w:jc w:val="both"/>
              <w:rPr>
                <w:sz w:val="20"/>
                <w:szCs w:val="20"/>
              </w:rPr>
            </w:pPr>
            <w:r w:rsidRPr="00712F3C">
              <w:rPr>
                <w:sz w:val="20"/>
                <w:szCs w:val="20"/>
              </w:rPr>
              <w:t xml:space="preserve">The instrument of transfer of any share in the company shall be executed by or on behalf of both the transferor and transferee. </w:t>
            </w:r>
          </w:p>
          <w:p w14:paraId="4ABC3FC7" w14:textId="77777777" w:rsidR="004047F2" w:rsidRPr="00712F3C" w:rsidRDefault="004047F2" w:rsidP="00250DAC">
            <w:pPr>
              <w:pStyle w:val="ListParagraph"/>
              <w:spacing w:line="240" w:lineRule="auto"/>
              <w:ind w:left="538" w:right="122"/>
              <w:jc w:val="both"/>
              <w:rPr>
                <w:sz w:val="20"/>
                <w:szCs w:val="20"/>
              </w:rPr>
            </w:pPr>
          </w:p>
          <w:p w14:paraId="32E79F2B" w14:textId="77777777" w:rsidR="004047F2" w:rsidRPr="00712F3C" w:rsidRDefault="004047F2">
            <w:pPr>
              <w:pStyle w:val="ListParagraph"/>
              <w:numPr>
                <w:ilvl w:val="0"/>
                <w:numId w:val="241"/>
              </w:numPr>
              <w:spacing w:line="240" w:lineRule="auto"/>
              <w:ind w:right="122"/>
              <w:jc w:val="both"/>
              <w:rPr>
                <w:sz w:val="20"/>
                <w:szCs w:val="20"/>
              </w:rPr>
            </w:pPr>
            <w:r w:rsidRPr="00712F3C">
              <w:rPr>
                <w:sz w:val="20"/>
                <w:szCs w:val="20"/>
              </w:rPr>
              <w:t>The transferor shall be deemed to remain a holder of the share until the name of the transferee is entered in the register of members in respect thereof.</w:t>
            </w:r>
          </w:p>
          <w:p w14:paraId="7AD20158" w14:textId="77777777" w:rsidR="004047F2" w:rsidRPr="00712F3C" w:rsidRDefault="004047F2" w:rsidP="00250DAC">
            <w:pPr>
              <w:pStyle w:val="ListParagraph"/>
              <w:spacing w:line="240" w:lineRule="auto"/>
              <w:ind w:left="538" w:right="122"/>
              <w:jc w:val="both"/>
              <w:rPr>
                <w:sz w:val="20"/>
                <w:szCs w:val="20"/>
              </w:rPr>
            </w:pPr>
          </w:p>
          <w:p w14:paraId="658A8D2B" w14:textId="77777777" w:rsidR="004047F2" w:rsidRPr="00712F3C" w:rsidRDefault="004047F2">
            <w:pPr>
              <w:pStyle w:val="ListParagraph"/>
              <w:numPr>
                <w:ilvl w:val="0"/>
                <w:numId w:val="241"/>
              </w:numPr>
              <w:spacing w:line="240" w:lineRule="auto"/>
              <w:ind w:right="122"/>
              <w:jc w:val="both"/>
              <w:rPr>
                <w:sz w:val="20"/>
                <w:szCs w:val="20"/>
              </w:rPr>
            </w:pPr>
            <w:r w:rsidRPr="00712F3C">
              <w:rPr>
                <w:sz w:val="20"/>
                <w:szCs w:val="20"/>
              </w:rPr>
              <w:t>That a common form of transfer shall be used</w:t>
            </w:r>
          </w:p>
          <w:p w14:paraId="0F56A2BC" w14:textId="77777777" w:rsidR="004047F2" w:rsidRPr="00712F3C" w:rsidRDefault="004047F2" w:rsidP="00250DAC">
            <w:pPr>
              <w:pStyle w:val="ListParagraph"/>
              <w:spacing w:line="240" w:lineRule="auto"/>
              <w:ind w:right="122"/>
              <w:jc w:val="both"/>
              <w:rPr>
                <w:sz w:val="20"/>
                <w:szCs w:val="20"/>
              </w:rPr>
            </w:pPr>
          </w:p>
        </w:tc>
      </w:tr>
      <w:tr w:rsidR="004047F2" w:rsidRPr="00712F3C" w14:paraId="7073C25B" w14:textId="77777777" w:rsidTr="00250DAC">
        <w:trPr>
          <w:trHeight w:val="20"/>
        </w:trPr>
        <w:tc>
          <w:tcPr>
            <w:tcW w:w="517" w:type="pct"/>
            <w:shd w:val="clear" w:color="auto" w:fill="auto"/>
          </w:tcPr>
          <w:p w14:paraId="69B6C759"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240A93D3" w14:textId="77777777" w:rsidR="004047F2" w:rsidRPr="00712F3C" w:rsidRDefault="004047F2">
            <w:pPr>
              <w:pStyle w:val="ListParagraph"/>
              <w:numPr>
                <w:ilvl w:val="0"/>
                <w:numId w:val="242"/>
              </w:numPr>
              <w:spacing w:line="240" w:lineRule="auto"/>
              <w:ind w:right="122"/>
              <w:jc w:val="both"/>
              <w:rPr>
                <w:sz w:val="20"/>
                <w:szCs w:val="20"/>
              </w:rPr>
            </w:pPr>
            <w:r w:rsidRPr="00712F3C">
              <w:rPr>
                <w:sz w:val="20"/>
                <w:szCs w:val="20"/>
              </w:rPr>
              <w:t>The Board may, subject to the right of appeal conferred by section 58 decline to register—</w:t>
            </w:r>
          </w:p>
          <w:p w14:paraId="44D5CE1C" w14:textId="77777777" w:rsidR="004047F2" w:rsidRPr="00712F3C" w:rsidRDefault="004047F2" w:rsidP="00250DAC">
            <w:pPr>
              <w:pStyle w:val="ListParagraph"/>
              <w:spacing w:line="240" w:lineRule="auto"/>
              <w:ind w:left="540" w:right="122"/>
              <w:jc w:val="both"/>
              <w:rPr>
                <w:sz w:val="20"/>
                <w:szCs w:val="20"/>
              </w:rPr>
            </w:pPr>
          </w:p>
          <w:p w14:paraId="5950D473" w14:textId="77777777" w:rsidR="004047F2" w:rsidRPr="00712F3C" w:rsidRDefault="004047F2">
            <w:pPr>
              <w:pStyle w:val="ListParagraph"/>
              <w:numPr>
                <w:ilvl w:val="0"/>
                <w:numId w:val="242"/>
              </w:numPr>
              <w:spacing w:line="240" w:lineRule="auto"/>
              <w:ind w:right="122"/>
              <w:jc w:val="both"/>
              <w:rPr>
                <w:sz w:val="20"/>
                <w:szCs w:val="20"/>
              </w:rPr>
            </w:pPr>
            <w:r w:rsidRPr="00712F3C">
              <w:rPr>
                <w:sz w:val="20"/>
                <w:szCs w:val="20"/>
              </w:rPr>
              <w:t>the transfer of a share, not being a fully paid share, to a person of whom they do not approve; or</w:t>
            </w:r>
          </w:p>
          <w:p w14:paraId="0CF3162C" w14:textId="77777777" w:rsidR="004047F2" w:rsidRPr="00712F3C" w:rsidRDefault="004047F2" w:rsidP="00250DAC">
            <w:pPr>
              <w:pStyle w:val="ListParagraph"/>
              <w:spacing w:line="240" w:lineRule="auto"/>
              <w:ind w:left="540" w:right="122"/>
              <w:jc w:val="both"/>
              <w:rPr>
                <w:sz w:val="20"/>
                <w:szCs w:val="20"/>
              </w:rPr>
            </w:pPr>
          </w:p>
          <w:p w14:paraId="64A65A04" w14:textId="77777777" w:rsidR="004047F2" w:rsidRPr="00712F3C" w:rsidRDefault="004047F2">
            <w:pPr>
              <w:pStyle w:val="ListParagraph"/>
              <w:numPr>
                <w:ilvl w:val="0"/>
                <w:numId w:val="242"/>
              </w:numPr>
              <w:spacing w:line="240" w:lineRule="auto"/>
              <w:ind w:right="122"/>
              <w:jc w:val="both"/>
              <w:rPr>
                <w:sz w:val="20"/>
                <w:szCs w:val="20"/>
              </w:rPr>
            </w:pPr>
            <w:r w:rsidRPr="00712F3C">
              <w:rPr>
                <w:sz w:val="20"/>
                <w:szCs w:val="20"/>
              </w:rPr>
              <w:t>any transfer of shares on which the company has a lien.</w:t>
            </w:r>
          </w:p>
          <w:p w14:paraId="5CD848F5" w14:textId="77777777" w:rsidR="004047F2" w:rsidRPr="00712F3C" w:rsidRDefault="004047F2" w:rsidP="00250DAC">
            <w:pPr>
              <w:pStyle w:val="ListParagraph"/>
              <w:spacing w:line="240" w:lineRule="auto"/>
              <w:ind w:right="122"/>
              <w:jc w:val="both"/>
              <w:rPr>
                <w:sz w:val="20"/>
                <w:szCs w:val="20"/>
              </w:rPr>
            </w:pPr>
          </w:p>
        </w:tc>
      </w:tr>
      <w:tr w:rsidR="004047F2" w:rsidRPr="00712F3C" w14:paraId="7173B386" w14:textId="77777777" w:rsidTr="00250DAC">
        <w:trPr>
          <w:trHeight w:val="20"/>
        </w:trPr>
        <w:tc>
          <w:tcPr>
            <w:tcW w:w="517" w:type="pct"/>
            <w:shd w:val="clear" w:color="auto" w:fill="auto"/>
          </w:tcPr>
          <w:p w14:paraId="23F417B8"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663EAEA8" w14:textId="77777777" w:rsidR="004047F2" w:rsidRPr="00712F3C" w:rsidRDefault="004047F2" w:rsidP="00250DAC">
            <w:pPr>
              <w:spacing w:after="0" w:line="240" w:lineRule="auto"/>
              <w:ind w:left="90" w:right="122"/>
              <w:jc w:val="both"/>
              <w:rPr>
                <w:rFonts w:ascii="Times New Roman" w:hAnsi="Times New Roman"/>
                <w:sz w:val="20"/>
                <w:szCs w:val="20"/>
              </w:rPr>
            </w:pPr>
            <w:r w:rsidRPr="00712F3C">
              <w:rPr>
                <w:rFonts w:ascii="Times New Roman" w:hAnsi="Times New Roman"/>
                <w:sz w:val="20"/>
                <w:szCs w:val="20"/>
              </w:rPr>
              <w:t>The Board may decline to recognise any instrument of transfer unless—</w:t>
            </w:r>
          </w:p>
          <w:p w14:paraId="0DBF4172" w14:textId="77777777" w:rsidR="004047F2" w:rsidRPr="00712F3C" w:rsidRDefault="004047F2" w:rsidP="00250DAC">
            <w:pPr>
              <w:pStyle w:val="ListParagraph"/>
              <w:spacing w:line="240" w:lineRule="auto"/>
              <w:ind w:left="540" w:right="122"/>
              <w:jc w:val="both"/>
              <w:rPr>
                <w:sz w:val="20"/>
                <w:szCs w:val="20"/>
              </w:rPr>
            </w:pPr>
          </w:p>
          <w:p w14:paraId="7D3E60CB" w14:textId="77777777" w:rsidR="004047F2" w:rsidRPr="00712F3C" w:rsidRDefault="004047F2">
            <w:pPr>
              <w:pStyle w:val="ListParagraph"/>
              <w:numPr>
                <w:ilvl w:val="0"/>
                <w:numId w:val="243"/>
              </w:numPr>
              <w:spacing w:line="240" w:lineRule="auto"/>
              <w:ind w:right="122"/>
              <w:jc w:val="both"/>
              <w:rPr>
                <w:sz w:val="20"/>
                <w:szCs w:val="20"/>
              </w:rPr>
            </w:pPr>
            <w:r w:rsidRPr="00712F3C">
              <w:rPr>
                <w:sz w:val="20"/>
                <w:szCs w:val="20"/>
              </w:rPr>
              <w:t>the instrument of transfer is in the form as prescribed in rules made under sub-section (1) of section 56;</w:t>
            </w:r>
          </w:p>
          <w:p w14:paraId="5D14364B" w14:textId="77777777" w:rsidR="004047F2" w:rsidRPr="00712F3C" w:rsidRDefault="004047F2">
            <w:pPr>
              <w:pStyle w:val="ListParagraph"/>
              <w:numPr>
                <w:ilvl w:val="0"/>
                <w:numId w:val="243"/>
              </w:numPr>
              <w:spacing w:line="240" w:lineRule="auto"/>
              <w:ind w:right="122"/>
              <w:jc w:val="both"/>
              <w:rPr>
                <w:sz w:val="20"/>
                <w:szCs w:val="20"/>
              </w:rPr>
            </w:pPr>
            <w:r w:rsidRPr="00712F3C">
              <w:rPr>
                <w:sz w:val="20"/>
                <w:szCs w:val="20"/>
              </w:rPr>
              <w:lastRenderedPageBreak/>
              <w:t>the instrument of transfer is accompanied by the certificate of the shares to which itrelates, and such other evidence as the Board may reasonably require to show the right of the transferor to make the transfer; and</w:t>
            </w:r>
          </w:p>
          <w:p w14:paraId="6B73C079" w14:textId="77777777" w:rsidR="004047F2" w:rsidRPr="00712F3C" w:rsidRDefault="004047F2">
            <w:pPr>
              <w:pStyle w:val="ListParagraph"/>
              <w:numPr>
                <w:ilvl w:val="0"/>
                <w:numId w:val="243"/>
              </w:numPr>
              <w:spacing w:line="240" w:lineRule="auto"/>
              <w:ind w:right="122"/>
              <w:jc w:val="both"/>
              <w:rPr>
                <w:sz w:val="20"/>
                <w:szCs w:val="20"/>
              </w:rPr>
            </w:pPr>
            <w:r w:rsidRPr="00712F3C">
              <w:rPr>
                <w:sz w:val="20"/>
                <w:szCs w:val="20"/>
              </w:rPr>
              <w:t>the instrument of transfer is in respect of only one class of shares.</w:t>
            </w:r>
          </w:p>
          <w:p w14:paraId="52ABCB01" w14:textId="77777777" w:rsidR="004047F2" w:rsidRPr="00712F3C" w:rsidRDefault="004047F2" w:rsidP="00250DAC">
            <w:pPr>
              <w:spacing w:after="0" w:line="240" w:lineRule="auto"/>
              <w:ind w:left="90" w:right="122"/>
              <w:jc w:val="both"/>
              <w:rPr>
                <w:rFonts w:ascii="Times New Roman" w:hAnsi="Times New Roman"/>
                <w:sz w:val="20"/>
                <w:szCs w:val="20"/>
              </w:rPr>
            </w:pPr>
          </w:p>
          <w:p w14:paraId="2397D8AE" w14:textId="77777777" w:rsidR="004047F2" w:rsidRPr="00712F3C" w:rsidRDefault="004047F2" w:rsidP="00250DAC">
            <w:pPr>
              <w:spacing w:after="0" w:line="240" w:lineRule="auto"/>
              <w:ind w:left="90" w:right="122"/>
              <w:jc w:val="both"/>
              <w:rPr>
                <w:rFonts w:ascii="Times New Roman" w:hAnsi="Times New Roman"/>
                <w:sz w:val="20"/>
                <w:szCs w:val="20"/>
              </w:rPr>
            </w:pPr>
            <w:r w:rsidRPr="00712F3C">
              <w:rPr>
                <w:rFonts w:ascii="Times New Roman" w:hAnsi="Times New Roman"/>
                <w:sz w:val="20"/>
                <w:szCs w:val="20"/>
              </w:rPr>
              <w:t>That registration of transfer shall not be refused on the ground of the transferor being either alone or jointly with any other person or persons indebted to the Issuer on any account whatsoever</w:t>
            </w:r>
          </w:p>
          <w:p w14:paraId="13605398" w14:textId="77777777" w:rsidR="004047F2" w:rsidRPr="00712F3C" w:rsidRDefault="004047F2" w:rsidP="00250DAC">
            <w:pPr>
              <w:spacing w:after="0" w:line="240" w:lineRule="auto"/>
              <w:ind w:right="122"/>
              <w:jc w:val="both"/>
              <w:rPr>
                <w:rFonts w:ascii="Times New Roman" w:hAnsi="Times New Roman"/>
                <w:sz w:val="20"/>
                <w:szCs w:val="20"/>
              </w:rPr>
            </w:pPr>
          </w:p>
        </w:tc>
      </w:tr>
      <w:tr w:rsidR="004047F2" w:rsidRPr="00712F3C" w14:paraId="6BD5D17B" w14:textId="77777777" w:rsidTr="00250DAC">
        <w:trPr>
          <w:trHeight w:val="20"/>
        </w:trPr>
        <w:tc>
          <w:tcPr>
            <w:tcW w:w="517" w:type="pct"/>
            <w:shd w:val="clear" w:color="auto" w:fill="auto"/>
          </w:tcPr>
          <w:p w14:paraId="7EBB1C8E"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6B435D9B" w14:textId="77777777" w:rsidR="004047F2" w:rsidRPr="00712F3C" w:rsidRDefault="004047F2" w:rsidP="00250DAC">
            <w:pPr>
              <w:spacing w:after="0" w:line="240" w:lineRule="auto"/>
              <w:ind w:left="90" w:right="122"/>
              <w:jc w:val="both"/>
              <w:rPr>
                <w:rFonts w:ascii="Times New Roman" w:hAnsi="Times New Roman"/>
                <w:sz w:val="20"/>
                <w:szCs w:val="20"/>
              </w:rPr>
            </w:pPr>
            <w:r w:rsidRPr="00712F3C">
              <w:rPr>
                <w:rFonts w:ascii="Times New Roman" w:hAnsi="Times New Roman"/>
                <w:sz w:val="20"/>
                <w:szCs w:val="20"/>
              </w:rPr>
              <w:t>On giving not less than seven days’ previous notice in accordance with section 91 and rules made thereunder, the registration of transfers may be suspended at such times and for such periods as the Board may from time to time determine:</w:t>
            </w:r>
          </w:p>
          <w:p w14:paraId="126B046A" w14:textId="77777777" w:rsidR="004047F2" w:rsidRPr="00712F3C" w:rsidRDefault="004047F2" w:rsidP="00250DAC">
            <w:pPr>
              <w:spacing w:after="0" w:line="240" w:lineRule="auto"/>
              <w:ind w:left="90" w:right="122"/>
              <w:jc w:val="both"/>
              <w:rPr>
                <w:rFonts w:ascii="Times New Roman" w:hAnsi="Times New Roman"/>
                <w:sz w:val="20"/>
                <w:szCs w:val="20"/>
              </w:rPr>
            </w:pPr>
          </w:p>
          <w:p w14:paraId="2E9508C9" w14:textId="77777777" w:rsidR="004047F2" w:rsidRPr="00712F3C" w:rsidRDefault="004047F2" w:rsidP="00250DAC">
            <w:pPr>
              <w:spacing w:after="0" w:line="240" w:lineRule="auto"/>
              <w:ind w:left="90" w:right="122"/>
              <w:jc w:val="both"/>
              <w:rPr>
                <w:rFonts w:ascii="Times New Roman" w:hAnsi="Times New Roman"/>
                <w:sz w:val="20"/>
                <w:szCs w:val="20"/>
              </w:rPr>
            </w:pPr>
            <w:r w:rsidRPr="00712F3C">
              <w:rPr>
                <w:rFonts w:ascii="Times New Roman" w:hAnsi="Times New Roman"/>
                <w:sz w:val="20"/>
                <w:szCs w:val="20"/>
              </w:rPr>
              <w:t>Provided that such registration shall not be suspended for more than thirty days at any one time or for more than forty-five days in the aggregate in any year.</w:t>
            </w:r>
          </w:p>
          <w:p w14:paraId="267EDC4A" w14:textId="77777777" w:rsidR="004047F2" w:rsidRPr="00712F3C" w:rsidRDefault="004047F2" w:rsidP="00250DAC">
            <w:pPr>
              <w:spacing w:after="0" w:line="240" w:lineRule="auto"/>
              <w:ind w:left="90" w:right="122"/>
              <w:jc w:val="both"/>
              <w:rPr>
                <w:rFonts w:ascii="Times New Roman" w:hAnsi="Times New Roman"/>
                <w:sz w:val="20"/>
                <w:szCs w:val="20"/>
              </w:rPr>
            </w:pPr>
          </w:p>
        </w:tc>
      </w:tr>
      <w:tr w:rsidR="004047F2" w:rsidRPr="00712F3C" w14:paraId="2F8F14CD" w14:textId="77777777" w:rsidTr="00250DAC">
        <w:trPr>
          <w:trHeight w:val="20"/>
        </w:trPr>
        <w:tc>
          <w:tcPr>
            <w:tcW w:w="5000" w:type="pct"/>
            <w:gridSpan w:val="2"/>
            <w:shd w:val="clear" w:color="auto" w:fill="auto"/>
          </w:tcPr>
          <w:p w14:paraId="04D24A48" w14:textId="77777777" w:rsidR="004047F2" w:rsidRPr="00712F3C" w:rsidRDefault="004047F2" w:rsidP="00250DAC">
            <w:pPr>
              <w:spacing w:after="0" w:line="240" w:lineRule="auto"/>
              <w:ind w:right="122"/>
              <w:jc w:val="center"/>
              <w:rPr>
                <w:rFonts w:ascii="Times New Roman" w:eastAsiaTheme="minorHAnsi" w:hAnsi="Times New Roman"/>
                <w:b/>
                <w:bCs/>
                <w:iCs/>
                <w:sz w:val="20"/>
                <w:szCs w:val="20"/>
              </w:rPr>
            </w:pPr>
            <w:r w:rsidRPr="00712F3C">
              <w:rPr>
                <w:rFonts w:ascii="Times New Roman" w:eastAsiaTheme="minorHAnsi" w:hAnsi="Times New Roman"/>
                <w:b/>
                <w:bCs/>
                <w:iCs/>
                <w:sz w:val="20"/>
                <w:szCs w:val="20"/>
              </w:rPr>
              <w:t>TRANSMISSION OF SHARES</w:t>
            </w:r>
          </w:p>
          <w:p w14:paraId="12786388" w14:textId="77777777" w:rsidR="004047F2" w:rsidRPr="00712F3C" w:rsidRDefault="004047F2" w:rsidP="00250DAC">
            <w:pPr>
              <w:spacing w:after="0" w:line="240" w:lineRule="auto"/>
              <w:ind w:right="122"/>
              <w:jc w:val="center"/>
              <w:rPr>
                <w:rFonts w:ascii="Times New Roman" w:hAnsi="Times New Roman"/>
                <w:sz w:val="20"/>
                <w:szCs w:val="20"/>
              </w:rPr>
            </w:pPr>
          </w:p>
        </w:tc>
      </w:tr>
      <w:tr w:rsidR="004047F2" w:rsidRPr="00712F3C" w14:paraId="62615FE7" w14:textId="77777777" w:rsidTr="00250DAC">
        <w:trPr>
          <w:trHeight w:val="20"/>
        </w:trPr>
        <w:tc>
          <w:tcPr>
            <w:tcW w:w="517" w:type="pct"/>
            <w:shd w:val="clear" w:color="auto" w:fill="auto"/>
          </w:tcPr>
          <w:p w14:paraId="1F1DBF63"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5343F44F" w14:textId="77777777" w:rsidR="004047F2" w:rsidRPr="00712F3C" w:rsidRDefault="004047F2">
            <w:pPr>
              <w:pStyle w:val="ListParagraph"/>
              <w:numPr>
                <w:ilvl w:val="0"/>
                <w:numId w:val="246"/>
              </w:numPr>
              <w:spacing w:line="240" w:lineRule="auto"/>
              <w:ind w:right="122"/>
              <w:jc w:val="both"/>
              <w:rPr>
                <w:sz w:val="20"/>
                <w:szCs w:val="20"/>
              </w:rPr>
            </w:pPr>
            <w:r w:rsidRPr="00712F3C">
              <w:rPr>
                <w:sz w:val="20"/>
                <w:szCs w:val="20"/>
              </w:rPr>
              <w:t xml:space="preserve">On the death of a member, the survivor or survivors where the member was a joint holder, and his nominee or nominees or legal representatives where he was a sole holder, shall be the only persons recognised by the company as having any title to his interest in the shares </w:t>
            </w:r>
          </w:p>
          <w:p w14:paraId="71004F24" w14:textId="77777777" w:rsidR="004047F2" w:rsidRPr="00712F3C" w:rsidRDefault="004047F2" w:rsidP="00250DAC">
            <w:pPr>
              <w:pStyle w:val="ListParagraph"/>
              <w:spacing w:line="240" w:lineRule="auto"/>
              <w:ind w:right="122"/>
              <w:jc w:val="both"/>
              <w:rPr>
                <w:sz w:val="20"/>
                <w:szCs w:val="20"/>
              </w:rPr>
            </w:pPr>
          </w:p>
          <w:p w14:paraId="33E90D1E" w14:textId="77777777" w:rsidR="004047F2" w:rsidRPr="00712F3C" w:rsidRDefault="004047F2">
            <w:pPr>
              <w:pStyle w:val="ListParagraph"/>
              <w:numPr>
                <w:ilvl w:val="0"/>
                <w:numId w:val="246"/>
              </w:numPr>
              <w:spacing w:line="240" w:lineRule="auto"/>
              <w:ind w:right="122"/>
              <w:jc w:val="both"/>
              <w:rPr>
                <w:sz w:val="20"/>
                <w:szCs w:val="20"/>
              </w:rPr>
            </w:pPr>
            <w:r w:rsidRPr="00712F3C">
              <w:rPr>
                <w:sz w:val="20"/>
                <w:szCs w:val="20"/>
              </w:rPr>
              <w:t>Nothing in clause (i) shall release the estate of a deceased joint holder from any liability in respect of any share which had been jointly held by him with other persons.</w:t>
            </w:r>
          </w:p>
          <w:p w14:paraId="0EA90740" w14:textId="77777777" w:rsidR="004047F2" w:rsidRPr="00712F3C" w:rsidRDefault="004047F2" w:rsidP="00250DAC">
            <w:pPr>
              <w:pStyle w:val="ListParagraph"/>
              <w:spacing w:line="240" w:lineRule="auto"/>
              <w:ind w:right="122"/>
              <w:jc w:val="both"/>
              <w:rPr>
                <w:sz w:val="20"/>
                <w:szCs w:val="20"/>
              </w:rPr>
            </w:pPr>
          </w:p>
          <w:p w14:paraId="0587E371" w14:textId="77777777" w:rsidR="004047F2" w:rsidRPr="00712F3C" w:rsidRDefault="004047F2">
            <w:pPr>
              <w:pStyle w:val="ListParagraph"/>
              <w:numPr>
                <w:ilvl w:val="0"/>
                <w:numId w:val="246"/>
              </w:numPr>
              <w:spacing w:line="240" w:lineRule="auto"/>
              <w:ind w:right="122"/>
              <w:jc w:val="both"/>
              <w:rPr>
                <w:sz w:val="20"/>
                <w:szCs w:val="20"/>
              </w:rPr>
            </w:pPr>
            <w:r w:rsidRPr="00712F3C">
              <w:rPr>
                <w:sz w:val="20"/>
                <w:szCs w:val="20"/>
              </w:rPr>
              <w:t>That a common form of transmission shall be used</w:t>
            </w:r>
          </w:p>
          <w:p w14:paraId="492D1A93" w14:textId="77777777" w:rsidR="004047F2" w:rsidRPr="00712F3C" w:rsidRDefault="004047F2" w:rsidP="00250DAC">
            <w:pPr>
              <w:pStyle w:val="ListParagraph"/>
              <w:spacing w:line="240" w:lineRule="auto"/>
              <w:ind w:right="122"/>
              <w:jc w:val="both"/>
              <w:rPr>
                <w:sz w:val="20"/>
                <w:szCs w:val="20"/>
              </w:rPr>
            </w:pPr>
          </w:p>
        </w:tc>
      </w:tr>
      <w:tr w:rsidR="004047F2" w:rsidRPr="00712F3C" w14:paraId="735E223F" w14:textId="77777777" w:rsidTr="00250DAC">
        <w:trPr>
          <w:trHeight w:val="20"/>
        </w:trPr>
        <w:tc>
          <w:tcPr>
            <w:tcW w:w="517" w:type="pct"/>
            <w:shd w:val="clear" w:color="auto" w:fill="auto"/>
          </w:tcPr>
          <w:p w14:paraId="4CA90D57"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0C719614" w14:textId="77777777" w:rsidR="004047F2" w:rsidRPr="00712F3C" w:rsidRDefault="004047F2">
            <w:pPr>
              <w:pStyle w:val="ListParagraph"/>
              <w:numPr>
                <w:ilvl w:val="0"/>
                <w:numId w:val="247"/>
              </w:numPr>
              <w:spacing w:line="240" w:lineRule="auto"/>
              <w:ind w:right="122"/>
              <w:jc w:val="both"/>
              <w:rPr>
                <w:sz w:val="20"/>
                <w:szCs w:val="20"/>
              </w:rPr>
            </w:pPr>
            <w:r w:rsidRPr="00712F3C">
              <w:rPr>
                <w:sz w:val="20"/>
                <w:szCs w:val="20"/>
              </w:rPr>
              <w:t>Any person becoming entitled to a share in consequence of the death or insolvency of a member may, upon such evidence being produced as may from time to time properly be required by the Board and subject as hereinafter provided, elect, either-</w:t>
            </w:r>
          </w:p>
          <w:p w14:paraId="7C973E13" w14:textId="77777777" w:rsidR="004047F2" w:rsidRPr="00712F3C" w:rsidRDefault="004047F2">
            <w:pPr>
              <w:pStyle w:val="ListParagraph"/>
              <w:numPr>
                <w:ilvl w:val="0"/>
                <w:numId w:val="248"/>
              </w:numPr>
              <w:spacing w:line="240" w:lineRule="auto"/>
              <w:ind w:left="988" w:right="122"/>
              <w:jc w:val="both"/>
              <w:rPr>
                <w:sz w:val="20"/>
                <w:szCs w:val="20"/>
              </w:rPr>
            </w:pPr>
            <w:r w:rsidRPr="00712F3C">
              <w:rPr>
                <w:sz w:val="20"/>
                <w:szCs w:val="20"/>
              </w:rPr>
              <w:t>to be registered himself as holder of the share; or</w:t>
            </w:r>
          </w:p>
          <w:p w14:paraId="513563AD" w14:textId="77777777" w:rsidR="004047F2" w:rsidRPr="00712F3C" w:rsidRDefault="004047F2">
            <w:pPr>
              <w:pStyle w:val="ListParagraph"/>
              <w:numPr>
                <w:ilvl w:val="0"/>
                <w:numId w:val="248"/>
              </w:numPr>
              <w:spacing w:line="240" w:lineRule="auto"/>
              <w:ind w:left="988" w:right="122"/>
              <w:jc w:val="both"/>
              <w:rPr>
                <w:sz w:val="20"/>
                <w:szCs w:val="20"/>
              </w:rPr>
            </w:pPr>
            <w:r w:rsidRPr="00712F3C">
              <w:rPr>
                <w:sz w:val="20"/>
                <w:szCs w:val="20"/>
              </w:rPr>
              <w:t>to make such transfer of the share as the deceased or insolvent member could have made.</w:t>
            </w:r>
          </w:p>
          <w:p w14:paraId="083DB898" w14:textId="77777777" w:rsidR="004047F2" w:rsidRPr="00712F3C" w:rsidRDefault="004047F2" w:rsidP="00250DAC">
            <w:pPr>
              <w:spacing w:after="0" w:line="240" w:lineRule="auto"/>
              <w:ind w:left="90" w:right="122"/>
              <w:jc w:val="both"/>
              <w:rPr>
                <w:rFonts w:ascii="Times New Roman" w:hAnsi="Times New Roman"/>
                <w:sz w:val="20"/>
                <w:szCs w:val="20"/>
              </w:rPr>
            </w:pPr>
          </w:p>
          <w:p w14:paraId="42DF6367" w14:textId="77777777" w:rsidR="004047F2" w:rsidRPr="00712F3C" w:rsidRDefault="004047F2">
            <w:pPr>
              <w:pStyle w:val="ListParagraph"/>
              <w:numPr>
                <w:ilvl w:val="0"/>
                <w:numId w:val="247"/>
              </w:numPr>
              <w:spacing w:line="240" w:lineRule="auto"/>
              <w:ind w:right="122"/>
              <w:jc w:val="both"/>
              <w:rPr>
                <w:sz w:val="20"/>
                <w:szCs w:val="20"/>
              </w:rPr>
            </w:pPr>
            <w:r w:rsidRPr="00712F3C">
              <w:rPr>
                <w:sz w:val="20"/>
                <w:szCs w:val="20"/>
              </w:rPr>
              <w:t>The Board shall, in either case, have the same right to decline or suspend registration as it would have had, if the deceased or insolvent member had transferred the share before his death or insolvency.</w:t>
            </w:r>
          </w:p>
          <w:p w14:paraId="0EF54B80" w14:textId="77777777" w:rsidR="004047F2" w:rsidRPr="00712F3C" w:rsidRDefault="004047F2" w:rsidP="00250DAC">
            <w:pPr>
              <w:pStyle w:val="ListParagraph"/>
              <w:spacing w:line="240" w:lineRule="auto"/>
              <w:ind w:right="122"/>
              <w:jc w:val="both"/>
              <w:rPr>
                <w:sz w:val="20"/>
                <w:szCs w:val="20"/>
              </w:rPr>
            </w:pPr>
          </w:p>
        </w:tc>
      </w:tr>
      <w:tr w:rsidR="004047F2" w:rsidRPr="00712F3C" w14:paraId="06A0B75B" w14:textId="77777777" w:rsidTr="00250DAC">
        <w:trPr>
          <w:trHeight w:val="20"/>
        </w:trPr>
        <w:tc>
          <w:tcPr>
            <w:tcW w:w="517" w:type="pct"/>
            <w:shd w:val="clear" w:color="auto" w:fill="auto"/>
          </w:tcPr>
          <w:p w14:paraId="7D54C64A"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38480B61" w14:textId="77777777" w:rsidR="004047F2" w:rsidRPr="00712F3C" w:rsidRDefault="004047F2">
            <w:pPr>
              <w:pStyle w:val="ListParagraph"/>
              <w:numPr>
                <w:ilvl w:val="0"/>
                <w:numId w:val="249"/>
              </w:numPr>
              <w:spacing w:line="240" w:lineRule="auto"/>
              <w:ind w:right="122"/>
              <w:jc w:val="both"/>
              <w:rPr>
                <w:sz w:val="20"/>
                <w:szCs w:val="20"/>
              </w:rPr>
            </w:pPr>
            <w:r w:rsidRPr="00712F3C">
              <w:rPr>
                <w:sz w:val="20"/>
                <w:szCs w:val="20"/>
              </w:rPr>
              <w:t xml:space="preserve">If the person so becoming entitled shall elect to be registered as holder of the share himself, he shall deliver or send to the company a notice in writing signed by him stating that he so elects. </w:t>
            </w:r>
          </w:p>
          <w:p w14:paraId="3EE963E0" w14:textId="77777777" w:rsidR="004047F2" w:rsidRPr="00712F3C" w:rsidRDefault="004047F2" w:rsidP="00250DAC">
            <w:pPr>
              <w:pStyle w:val="ListParagraph"/>
              <w:spacing w:line="240" w:lineRule="auto"/>
              <w:ind w:right="122"/>
              <w:jc w:val="both"/>
              <w:rPr>
                <w:sz w:val="20"/>
                <w:szCs w:val="20"/>
              </w:rPr>
            </w:pPr>
          </w:p>
          <w:p w14:paraId="1AA967D6" w14:textId="77777777" w:rsidR="004047F2" w:rsidRPr="00712F3C" w:rsidRDefault="004047F2">
            <w:pPr>
              <w:pStyle w:val="ListParagraph"/>
              <w:numPr>
                <w:ilvl w:val="0"/>
                <w:numId w:val="249"/>
              </w:numPr>
              <w:spacing w:line="240" w:lineRule="auto"/>
              <w:ind w:right="122"/>
              <w:jc w:val="both"/>
              <w:rPr>
                <w:sz w:val="20"/>
                <w:szCs w:val="20"/>
              </w:rPr>
            </w:pPr>
            <w:r w:rsidRPr="00712F3C">
              <w:rPr>
                <w:sz w:val="20"/>
                <w:szCs w:val="20"/>
              </w:rPr>
              <w:t xml:space="preserve">If the person aforesaid shall elect to transfer the share, he shall testify his election by executing a transfer of the share. </w:t>
            </w:r>
          </w:p>
          <w:p w14:paraId="70013FF3" w14:textId="77777777" w:rsidR="004047F2" w:rsidRPr="00712F3C" w:rsidRDefault="004047F2" w:rsidP="00250DAC">
            <w:pPr>
              <w:pStyle w:val="ListParagraph"/>
              <w:spacing w:line="240" w:lineRule="auto"/>
              <w:ind w:right="122"/>
              <w:jc w:val="both"/>
              <w:rPr>
                <w:sz w:val="20"/>
                <w:szCs w:val="20"/>
              </w:rPr>
            </w:pPr>
          </w:p>
          <w:p w14:paraId="7AFF4ADB" w14:textId="77777777" w:rsidR="004047F2" w:rsidRPr="00712F3C" w:rsidRDefault="004047F2">
            <w:pPr>
              <w:pStyle w:val="ListParagraph"/>
              <w:numPr>
                <w:ilvl w:val="0"/>
                <w:numId w:val="249"/>
              </w:numPr>
              <w:spacing w:line="240" w:lineRule="auto"/>
              <w:ind w:right="122"/>
              <w:jc w:val="both"/>
              <w:rPr>
                <w:sz w:val="20"/>
                <w:szCs w:val="20"/>
              </w:rPr>
            </w:pPr>
            <w:r w:rsidRPr="00712F3C">
              <w:rPr>
                <w:sz w:val="20"/>
                <w:szCs w:val="20"/>
              </w:rPr>
              <w:t>All the limitations, restrictions and provisions of these regulations relating to the right to transfer and the registration of transfers of shares shall be applicable to any such notice or transfer as aforesaid as if the death or insolvency of the member had not occurred and the notice or transfer were a transfer signed by that member.</w:t>
            </w:r>
          </w:p>
          <w:p w14:paraId="2EE79DE2" w14:textId="77777777" w:rsidR="004047F2" w:rsidRPr="00712F3C" w:rsidRDefault="004047F2" w:rsidP="00250DAC">
            <w:pPr>
              <w:pStyle w:val="ListParagraph"/>
              <w:spacing w:line="240" w:lineRule="auto"/>
              <w:ind w:right="122"/>
              <w:jc w:val="both"/>
              <w:rPr>
                <w:sz w:val="20"/>
                <w:szCs w:val="20"/>
              </w:rPr>
            </w:pPr>
          </w:p>
        </w:tc>
      </w:tr>
      <w:tr w:rsidR="004047F2" w:rsidRPr="00712F3C" w14:paraId="2D1E9C03" w14:textId="77777777" w:rsidTr="00250DAC">
        <w:trPr>
          <w:trHeight w:val="20"/>
        </w:trPr>
        <w:tc>
          <w:tcPr>
            <w:tcW w:w="517" w:type="pct"/>
            <w:shd w:val="clear" w:color="auto" w:fill="auto"/>
          </w:tcPr>
          <w:p w14:paraId="5EA6BFC6"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3E180518" w14:textId="77777777" w:rsidR="004047F2" w:rsidRPr="00712F3C" w:rsidRDefault="004047F2" w:rsidP="00250DAC">
            <w:pPr>
              <w:spacing w:after="0" w:line="240" w:lineRule="auto"/>
              <w:ind w:left="90" w:right="122"/>
              <w:jc w:val="both"/>
              <w:rPr>
                <w:rFonts w:ascii="Times New Roman" w:hAnsi="Times New Roman"/>
                <w:sz w:val="20"/>
                <w:szCs w:val="20"/>
              </w:rPr>
            </w:pPr>
            <w:r w:rsidRPr="00712F3C">
              <w:rPr>
                <w:rFonts w:ascii="Times New Roman" w:hAnsi="Times New Roman"/>
                <w:sz w:val="20"/>
                <w:szCs w:val="20"/>
              </w:rPr>
              <w:t>A person becoming entitled to a share by reason of the death or insolvency of the holder shall be entitled to the same dividends and other advantages to which he would be entitled if he were the registered holder of the share, except that he shall not, before being registered as a member in respect of the share, be entitled in respect of it to exercise any right conferred by membership in relation to meetings of the company:</w:t>
            </w:r>
          </w:p>
          <w:p w14:paraId="3A882E5B" w14:textId="77777777" w:rsidR="004047F2" w:rsidRPr="00712F3C" w:rsidRDefault="004047F2" w:rsidP="00250DAC">
            <w:pPr>
              <w:spacing w:after="0" w:line="240" w:lineRule="auto"/>
              <w:ind w:left="90" w:right="122"/>
              <w:jc w:val="both"/>
              <w:rPr>
                <w:rFonts w:ascii="Times New Roman" w:hAnsi="Times New Roman"/>
                <w:sz w:val="20"/>
                <w:szCs w:val="20"/>
              </w:rPr>
            </w:pPr>
          </w:p>
          <w:p w14:paraId="15671B39" w14:textId="77777777" w:rsidR="004047F2" w:rsidRPr="00712F3C" w:rsidRDefault="004047F2" w:rsidP="00250DAC">
            <w:pPr>
              <w:spacing w:after="0" w:line="240" w:lineRule="auto"/>
              <w:ind w:left="90" w:right="122"/>
              <w:jc w:val="both"/>
              <w:rPr>
                <w:rFonts w:ascii="Times New Roman" w:hAnsi="Times New Roman"/>
                <w:sz w:val="20"/>
                <w:szCs w:val="20"/>
              </w:rPr>
            </w:pPr>
            <w:r w:rsidRPr="00712F3C">
              <w:rPr>
                <w:rFonts w:ascii="Times New Roman" w:hAnsi="Times New Roman"/>
                <w:sz w:val="20"/>
                <w:szCs w:val="20"/>
              </w:rPr>
              <w:t>Provided that the Board may, at any time, give notice requiring any such person to elect either to be registered himself or to transfer the share, and if the notice is not complied with within ninety days, the Board may thereafter withhold payment of all dividends, bonuses or other monies payable in respect of the share, until the requirements of the notice have been complied with.</w:t>
            </w:r>
          </w:p>
          <w:p w14:paraId="2F8C1C18" w14:textId="77777777" w:rsidR="004047F2" w:rsidRPr="00712F3C" w:rsidRDefault="004047F2" w:rsidP="00250DAC">
            <w:pPr>
              <w:spacing w:after="0" w:line="240" w:lineRule="auto"/>
              <w:ind w:left="90" w:right="122"/>
              <w:jc w:val="both"/>
              <w:rPr>
                <w:rFonts w:ascii="Times New Roman" w:hAnsi="Times New Roman"/>
                <w:sz w:val="20"/>
                <w:szCs w:val="20"/>
              </w:rPr>
            </w:pPr>
          </w:p>
        </w:tc>
      </w:tr>
      <w:tr w:rsidR="004047F2" w:rsidRPr="00712F3C" w14:paraId="17606580" w14:textId="77777777" w:rsidTr="00250DAC">
        <w:trPr>
          <w:trHeight w:val="20"/>
        </w:trPr>
        <w:tc>
          <w:tcPr>
            <w:tcW w:w="5000" w:type="pct"/>
            <w:gridSpan w:val="2"/>
            <w:shd w:val="clear" w:color="auto" w:fill="auto"/>
          </w:tcPr>
          <w:p w14:paraId="0A53EA06" w14:textId="77777777" w:rsidR="004047F2" w:rsidRPr="00712F3C" w:rsidRDefault="004047F2" w:rsidP="00250DAC">
            <w:pPr>
              <w:spacing w:after="0" w:line="240" w:lineRule="auto"/>
              <w:ind w:right="122"/>
              <w:jc w:val="center"/>
              <w:rPr>
                <w:rFonts w:ascii="Times New Roman" w:eastAsiaTheme="minorHAnsi" w:hAnsi="Times New Roman"/>
                <w:b/>
                <w:bCs/>
                <w:iCs/>
                <w:sz w:val="20"/>
                <w:szCs w:val="20"/>
              </w:rPr>
            </w:pPr>
            <w:r w:rsidRPr="00712F3C">
              <w:rPr>
                <w:rFonts w:ascii="Times New Roman" w:eastAsiaTheme="minorHAnsi" w:hAnsi="Times New Roman"/>
                <w:b/>
                <w:bCs/>
                <w:iCs/>
                <w:sz w:val="20"/>
                <w:szCs w:val="20"/>
              </w:rPr>
              <w:t>FORFEITURE OF SHARES</w:t>
            </w:r>
          </w:p>
          <w:p w14:paraId="50458DDE" w14:textId="77777777" w:rsidR="004047F2" w:rsidRPr="00712F3C" w:rsidRDefault="004047F2" w:rsidP="00250DAC">
            <w:pPr>
              <w:spacing w:after="0" w:line="240" w:lineRule="auto"/>
              <w:ind w:right="122"/>
              <w:jc w:val="center"/>
              <w:rPr>
                <w:rFonts w:ascii="Times New Roman" w:hAnsi="Times New Roman"/>
                <w:sz w:val="20"/>
                <w:szCs w:val="20"/>
              </w:rPr>
            </w:pPr>
          </w:p>
        </w:tc>
      </w:tr>
      <w:tr w:rsidR="004047F2" w:rsidRPr="00712F3C" w14:paraId="58759F61" w14:textId="77777777" w:rsidTr="00250DAC">
        <w:trPr>
          <w:trHeight w:val="20"/>
        </w:trPr>
        <w:tc>
          <w:tcPr>
            <w:tcW w:w="517" w:type="pct"/>
            <w:shd w:val="clear" w:color="auto" w:fill="auto"/>
          </w:tcPr>
          <w:p w14:paraId="6822AFE5"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15C2E093" w14:textId="77777777" w:rsidR="004047F2" w:rsidRPr="00712F3C" w:rsidRDefault="004047F2" w:rsidP="00250DAC">
            <w:pPr>
              <w:spacing w:after="0" w:line="240" w:lineRule="auto"/>
              <w:ind w:left="90" w:right="122"/>
              <w:jc w:val="both"/>
              <w:rPr>
                <w:rFonts w:ascii="Times New Roman" w:hAnsi="Times New Roman"/>
                <w:sz w:val="20"/>
                <w:szCs w:val="20"/>
              </w:rPr>
            </w:pPr>
            <w:r w:rsidRPr="00712F3C">
              <w:rPr>
                <w:rFonts w:ascii="Times New Roman" w:hAnsi="Times New Roman"/>
                <w:sz w:val="20"/>
                <w:szCs w:val="20"/>
              </w:rPr>
              <w:t>If a member fails to pay any call, or installment of a call, on the day appointed for payment thereof, the Board may, at any time thereafter during such time as any part of the call or installment remains unpaid, serve a notice on him requiring payment of so much of the call or installment as is unpaid, together with any interest which may have accrued.</w:t>
            </w:r>
          </w:p>
          <w:p w14:paraId="702E2EF5" w14:textId="77777777" w:rsidR="004047F2" w:rsidRPr="00712F3C" w:rsidRDefault="004047F2" w:rsidP="00250DAC">
            <w:pPr>
              <w:spacing w:after="0" w:line="240" w:lineRule="auto"/>
              <w:ind w:left="90" w:right="122"/>
              <w:jc w:val="both"/>
              <w:rPr>
                <w:rFonts w:ascii="Times New Roman" w:hAnsi="Times New Roman"/>
                <w:sz w:val="20"/>
                <w:szCs w:val="20"/>
              </w:rPr>
            </w:pPr>
          </w:p>
          <w:p w14:paraId="36CC58C0" w14:textId="77777777" w:rsidR="004047F2" w:rsidRPr="00712F3C" w:rsidRDefault="004047F2" w:rsidP="00250DAC">
            <w:pPr>
              <w:spacing w:after="0" w:line="240" w:lineRule="auto"/>
              <w:ind w:left="90" w:right="122"/>
              <w:jc w:val="both"/>
              <w:rPr>
                <w:rFonts w:ascii="Times New Roman" w:hAnsi="Times New Roman"/>
                <w:sz w:val="20"/>
                <w:szCs w:val="20"/>
              </w:rPr>
            </w:pPr>
          </w:p>
        </w:tc>
      </w:tr>
      <w:tr w:rsidR="004047F2" w:rsidRPr="00712F3C" w14:paraId="705A960D" w14:textId="77777777" w:rsidTr="00250DAC">
        <w:trPr>
          <w:trHeight w:val="20"/>
        </w:trPr>
        <w:tc>
          <w:tcPr>
            <w:tcW w:w="517" w:type="pct"/>
            <w:shd w:val="clear" w:color="auto" w:fill="auto"/>
          </w:tcPr>
          <w:p w14:paraId="33704014"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7457120F" w14:textId="77777777" w:rsidR="004047F2" w:rsidRPr="00712F3C" w:rsidRDefault="004047F2" w:rsidP="00250DAC">
            <w:pPr>
              <w:spacing w:after="0" w:line="240" w:lineRule="auto"/>
              <w:ind w:left="90" w:right="122"/>
              <w:jc w:val="both"/>
              <w:rPr>
                <w:rFonts w:ascii="Times New Roman" w:hAnsi="Times New Roman"/>
                <w:sz w:val="20"/>
                <w:szCs w:val="20"/>
              </w:rPr>
            </w:pPr>
            <w:r w:rsidRPr="00712F3C">
              <w:rPr>
                <w:rFonts w:ascii="Times New Roman" w:hAnsi="Times New Roman"/>
                <w:sz w:val="20"/>
                <w:szCs w:val="20"/>
              </w:rPr>
              <w:t>The notice aforesaid shall-</w:t>
            </w:r>
          </w:p>
          <w:p w14:paraId="4B5CBEA3" w14:textId="77777777" w:rsidR="004047F2" w:rsidRPr="00712F3C" w:rsidRDefault="004047F2">
            <w:pPr>
              <w:pStyle w:val="ListParagraph"/>
              <w:numPr>
                <w:ilvl w:val="0"/>
                <w:numId w:val="250"/>
              </w:numPr>
              <w:spacing w:line="240" w:lineRule="auto"/>
              <w:ind w:right="122"/>
              <w:jc w:val="both"/>
              <w:rPr>
                <w:sz w:val="20"/>
                <w:szCs w:val="20"/>
              </w:rPr>
            </w:pPr>
            <w:r w:rsidRPr="00712F3C">
              <w:rPr>
                <w:sz w:val="20"/>
                <w:szCs w:val="20"/>
              </w:rPr>
              <w:lastRenderedPageBreak/>
              <w:t>name a further day (not being earlier than the expiry of fourteen days from the date of service of the notice) on or before which the payment required by the notice is to be made; and</w:t>
            </w:r>
          </w:p>
          <w:p w14:paraId="400A505A" w14:textId="77777777" w:rsidR="004047F2" w:rsidRPr="00712F3C" w:rsidRDefault="004047F2">
            <w:pPr>
              <w:pStyle w:val="ListParagraph"/>
              <w:numPr>
                <w:ilvl w:val="0"/>
                <w:numId w:val="250"/>
              </w:numPr>
              <w:spacing w:line="240" w:lineRule="auto"/>
              <w:ind w:right="122"/>
              <w:jc w:val="both"/>
              <w:rPr>
                <w:sz w:val="20"/>
                <w:szCs w:val="20"/>
              </w:rPr>
            </w:pPr>
            <w:r w:rsidRPr="00712F3C">
              <w:rPr>
                <w:sz w:val="20"/>
                <w:szCs w:val="20"/>
              </w:rPr>
              <w:t>state that, in the event of non-payment on or before the day so named, the shares in respect of which the call was made shall be liable to be forfeited.</w:t>
            </w:r>
          </w:p>
          <w:p w14:paraId="66B95E11" w14:textId="77777777" w:rsidR="004047F2" w:rsidRPr="00712F3C" w:rsidRDefault="004047F2" w:rsidP="00250DAC">
            <w:pPr>
              <w:pStyle w:val="ListParagraph"/>
              <w:spacing w:line="240" w:lineRule="auto"/>
              <w:ind w:right="122"/>
              <w:jc w:val="both"/>
              <w:rPr>
                <w:sz w:val="20"/>
                <w:szCs w:val="20"/>
              </w:rPr>
            </w:pPr>
          </w:p>
        </w:tc>
      </w:tr>
      <w:tr w:rsidR="004047F2" w:rsidRPr="00712F3C" w14:paraId="2346F569" w14:textId="77777777" w:rsidTr="00250DAC">
        <w:trPr>
          <w:trHeight w:val="20"/>
        </w:trPr>
        <w:tc>
          <w:tcPr>
            <w:tcW w:w="517" w:type="pct"/>
            <w:shd w:val="clear" w:color="auto" w:fill="auto"/>
          </w:tcPr>
          <w:p w14:paraId="5E3B75CB"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2A22DD5D" w14:textId="77777777" w:rsidR="004047F2" w:rsidRPr="00712F3C" w:rsidRDefault="004047F2" w:rsidP="00250DAC">
            <w:pPr>
              <w:spacing w:after="0" w:line="240" w:lineRule="auto"/>
              <w:ind w:left="90" w:right="122"/>
              <w:jc w:val="both"/>
              <w:rPr>
                <w:rFonts w:ascii="Times New Roman" w:hAnsi="Times New Roman"/>
                <w:sz w:val="20"/>
                <w:szCs w:val="20"/>
              </w:rPr>
            </w:pPr>
            <w:r w:rsidRPr="00712F3C">
              <w:rPr>
                <w:rFonts w:ascii="Times New Roman" w:hAnsi="Times New Roman"/>
                <w:sz w:val="20"/>
                <w:szCs w:val="20"/>
              </w:rPr>
              <w:t>If the requirements of any such notice as aforesaid are not complied with, any share in respect of which the notice has been given may, at any time thereafter, before the payment required by the notice has been made, be forfeited by a resolution of the Board to that effect.</w:t>
            </w:r>
          </w:p>
          <w:p w14:paraId="169312DA" w14:textId="77777777" w:rsidR="004047F2" w:rsidRPr="00712F3C" w:rsidRDefault="004047F2" w:rsidP="00250DAC">
            <w:pPr>
              <w:spacing w:after="0" w:line="240" w:lineRule="auto"/>
              <w:ind w:left="90" w:right="122"/>
              <w:jc w:val="both"/>
              <w:rPr>
                <w:rFonts w:ascii="Times New Roman" w:hAnsi="Times New Roman"/>
                <w:sz w:val="20"/>
                <w:szCs w:val="20"/>
              </w:rPr>
            </w:pPr>
          </w:p>
        </w:tc>
      </w:tr>
      <w:tr w:rsidR="004047F2" w:rsidRPr="00712F3C" w14:paraId="6B412B3E" w14:textId="77777777" w:rsidTr="00250DAC">
        <w:trPr>
          <w:trHeight w:val="20"/>
        </w:trPr>
        <w:tc>
          <w:tcPr>
            <w:tcW w:w="517" w:type="pct"/>
            <w:shd w:val="clear" w:color="auto" w:fill="auto"/>
          </w:tcPr>
          <w:p w14:paraId="74418A2B"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115E8956" w14:textId="77777777" w:rsidR="004047F2" w:rsidRPr="00712F3C" w:rsidRDefault="004047F2">
            <w:pPr>
              <w:pStyle w:val="ListParagraph"/>
              <w:numPr>
                <w:ilvl w:val="0"/>
                <w:numId w:val="251"/>
              </w:numPr>
              <w:spacing w:line="240" w:lineRule="auto"/>
              <w:ind w:right="122"/>
              <w:jc w:val="both"/>
              <w:rPr>
                <w:sz w:val="20"/>
                <w:szCs w:val="20"/>
              </w:rPr>
            </w:pPr>
            <w:r w:rsidRPr="00712F3C">
              <w:rPr>
                <w:sz w:val="20"/>
                <w:szCs w:val="20"/>
              </w:rPr>
              <w:t>A forfeited share may be sold or otherwise disposed of on such terms and in such manner as the Board thinks fit.</w:t>
            </w:r>
          </w:p>
          <w:p w14:paraId="72C76981" w14:textId="77777777" w:rsidR="004047F2" w:rsidRPr="00712F3C" w:rsidRDefault="004047F2" w:rsidP="00250DAC">
            <w:pPr>
              <w:pStyle w:val="ListParagraph"/>
              <w:spacing w:line="240" w:lineRule="auto"/>
              <w:ind w:right="122"/>
              <w:jc w:val="both"/>
              <w:rPr>
                <w:sz w:val="20"/>
                <w:szCs w:val="20"/>
              </w:rPr>
            </w:pPr>
          </w:p>
          <w:p w14:paraId="67275BB8" w14:textId="77777777" w:rsidR="004047F2" w:rsidRPr="00712F3C" w:rsidRDefault="004047F2">
            <w:pPr>
              <w:pStyle w:val="ListParagraph"/>
              <w:numPr>
                <w:ilvl w:val="0"/>
                <w:numId w:val="251"/>
              </w:numPr>
              <w:spacing w:line="240" w:lineRule="auto"/>
              <w:ind w:right="122"/>
              <w:jc w:val="both"/>
              <w:rPr>
                <w:sz w:val="20"/>
                <w:szCs w:val="20"/>
              </w:rPr>
            </w:pPr>
            <w:r w:rsidRPr="00712F3C">
              <w:rPr>
                <w:sz w:val="20"/>
                <w:szCs w:val="20"/>
              </w:rPr>
              <w:t>At any time before a sale or disposal as aforesaid, the Board may cancel the forfeiture on such terms as it thinks fit.</w:t>
            </w:r>
          </w:p>
          <w:p w14:paraId="6BF6845F" w14:textId="77777777" w:rsidR="004047F2" w:rsidRPr="00712F3C" w:rsidRDefault="004047F2" w:rsidP="00250DAC">
            <w:pPr>
              <w:pStyle w:val="ListParagraph"/>
              <w:spacing w:line="240" w:lineRule="auto"/>
              <w:ind w:right="122"/>
              <w:jc w:val="both"/>
              <w:rPr>
                <w:sz w:val="20"/>
                <w:szCs w:val="20"/>
              </w:rPr>
            </w:pPr>
          </w:p>
        </w:tc>
      </w:tr>
      <w:tr w:rsidR="004047F2" w:rsidRPr="00712F3C" w14:paraId="3E5B2307" w14:textId="77777777" w:rsidTr="00250DAC">
        <w:trPr>
          <w:trHeight w:val="20"/>
        </w:trPr>
        <w:tc>
          <w:tcPr>
            <w:tcW w:w="517" w:type="pct"/>
            <w:shd w:val="clear" w:color="auto" w:fill="auto"/>
          </w:tcPr>
          <w:p w14:paraId="3E24D7BE"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2675755B" w14:textId="77777777" w:rsidR="004047F2" w:rsidRPr="00712F3C" w:rsidRDefault="004047F2">
            <w:pPr>
              <w:pStyle w:val="ListParagraph"/>
              <w:numPr>
                <w:ilvl w:val="0"/>
                <w:numId w:val="252"/>
              </w:numPr>
              <w:spacing w:line="240" w:lineRule="auto"/>
              <w:ind w:right="122"/>
              <w:jc w:val="both"/>
              <w:rPr>
                <w:sz w:val="20"/>
                <w:szCs w:val="20"/>
              </w:rPr>
            </w:pPr>
            <w:r w:rsidRPr="00712F3C">
              <w:rPr>
                <w:sz w:val="20"/>
                <w:szCs w:val="20"/>
              </w:rPr>
              <w:t>A person whose shares have been forfeited shall cease to be a member in respect of the forfeited shares, but shall, notwithstanding the forfeiture, remain liable to pay to the company all monies which, at the date of forfeiture, were presently payable by him to the company in respect of the shares.</w:t>
            </w:r>
          </w:p>
          <w:p w14:paraId="0323FC07" w14:textId="77777777" w:rsidR="004047F2" w:rsidRPr="00712F3C" w:rsidRDefault="004047F2" w:rsidP="00250DAC">
            <w:pPr>
              <w:pStyle w:val="ListParagraph"/>
              <w:spacing w:line="240" w:lineRule="auto"/>
              <w:ind w:right="122"/>
              <w:jc w:val="both"/>
              <w:rPr>
                <w:sz w:val="20"/>
                <w:szCs w:val="20"/>
              </w:rPr>
            </w:pPr>
          </w:p>
          <w:p w14:paraId="16885576" w14:textId="77777777" w:rsidR="004047F2" w:rsidRPr="00712F3C" w:rsidRDefault="004047F2">
            <w:pPr>
              <w:pStyle w:val="ListParagraph"/>
              <w:numPr>
                <w:ilvl w:val="0"/>
                <w:numId w:val="252"/>
              </w:numPr>
              <w:spacing w:line="240" w:lineRule="auto"/>
              <w:ind w:right="122"/>
              <w:jc w:val="both"/>
              <w:rPr>
                <w:sz w:val="20"/>
                <w:szCs w:val="20"/>
              </w:rPr>
            </w:pPr>
            <w:r w:rsidRPr="00712F3C">
              <w:rPr>
                <w:sz w:val="20"/>
                <w:szCs w:val="20"/>
              </w:rPr>
              <w:t>The liability of such person shall cease if and when the company shall have received payment in full of all such monies in respect of the shares.</w:t>
            </w:r>
          </w:p>
          <w:p w14:paraId="07435D33" w14:textId="77777777" w:rsidR="004047F2" w:rsidRPr="00712F3C" w:rsidRDefault="004047F2" w:rsidP="00250DAC">
            <w:pPr>
              <w:pStyle w:val="ListParagraph"/>
              <w:spacing w:line="240" w:lineRule="auto"/>
              <w:ind w:right="122"/>
              <w:jc w:val="both"/>
              <w:rPr>
                <w:sz w:val="20"/>
                <w:szCs w:val="20"/>
              </w:rPr>
            </w:pPr>
          </w:p>
        </w:tc>
      </w:tr>
      <w:tr w:rsidR="004047F2" w:rsidRPr="00712F3C" w14:paraId="625A2A69" w14:textId="77777777" w:rsidTr="00250DAC">
        <w:trPr>
          <w:trHeight w:val="20"/>
        </w:trPr>
        <w:tc>
          <w:tcPr>
            <w:tcW w:w="517" w:type="pct"/>
            <w:shd w:val="clear" w:color="auto" w:fill="auto"/>
          </w:tcPr>
          <w:p w14:paraId="495B918B"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58EB5EB5" w14:textId="77777777" w:rsidR="004047F2" w:rsidRPr="00712F3C" w:rsidRDefault="004047F2">
            <w:pPr>
              <w:pStyle w:val="ListParagraph"/>
              <w:numPr>
                <w:ilvl w:val="0"/>
                <w:numId w:val="253"/>
              </w:numPr>
              <w:spacing w:line="240" w:lineRule="auto"/>
              <w:ind w:right="122"/>
              <w:jc w:val="both"/>
              <w:rPr>
                <w:sz w:val="20"/>
                <w:szCs w:val="20"/>
              </w:rPr>
            </w:pPr>
            <w:r w:rsidRPr="00712F3C">
              <w:rPr>
                <w:sz w:val="20"/>
                <w:szCs w:val="20"/>
              </w:rPr>
              <w:t>A duly verified declaration in writing that the declarant is a director, the manager or the secretary, of the company, and that a share in the company has been duly forfeited on a date stated in the declaration, shall be conclusive evidence of the facts therein stated as against all persons claiming to be entitled to the share;</w:t>
            </w:r>
          </w:p>
          <w:p w14:paraId="589D1E18" w14:textId="77777777" w:rsidR="004047F2" w:rsidRPr="00712F3C" w:rsidRDefault="004047F2" w:rsidP="00250DAC">
            <w:pPr>
              <w:pStyle w:val="ListParagraph"/>
              <w:spacing w:line="240" w:lineRule="auto"/>
              <w:ind w:right="122"/>
              <w:jc w:val="both"/>
              <w:rPr>
                <w:sz w:val="20"/>
                <w:szCs w:val="20"/>
              </w:rPr>
            </w:pPr>
          </w:p>
          <w:p w14:paraId="1E985E7B" w14:textId="77777777" w:rsidR="004047F2" w:rsidRPr="00712F3C" w:rsidRDefault="004047F2">
            <w:pPr>
              <w:pStyle w:val="ListParagraph"/>
              <w:numPr>
                <w:ilvl w:val="0"/>
                <w:numId w:val="253"/>
              </w:numPr>
              <w:spacing w:line="240" w:lineRule="auto"/>
              <w:ind w:right="122"/>
              <w:jc w:val="both"/>
              <w:rPr>
                <w:sz w:val="20"/>
                <w:szCs w:val="20"/>
              </w:rPr>
            </w:pPr>
            <w:r w:rsidRPr="00712F3C">
              <w:rPr>
                <w:sz w:val="20"/>
                <w:szCs w:val="20"/>
              </w:rPr>
              <w:t>The company may receive the consideration, if any, given for the share on any sale or disposal thereof and may execute a transfer of the share in favour of the person to whom the share is sold or disposed of;</w:t>
            </w:r>
          </w:p>
          <w:p w14:paraId="566D4D67" w14:textId="77777777" w:rsidR="004047F2" w:rsidRPr="00712F3C" w:rsidRDefault="004047F2" w:rsidP="00250DAC">
            <w:pPr>
              <w:pStyle w:val="ListParagraph"/>
              <w:spacing w:line="240" w:lineRule="auto"/>
              <w:ind w:right="122"/>
              <w:jc w:val="both"/>
              <w:rPr>
                <w:sz w:val="20"/>
                <w:szCs w:val="20"/>
              </w:rPr>
            </w:pPr>
          </w:p>
          <w:p w14:paraId="3A3F5584" w14:textId="77777777" w:rsidR="004047F2" w:rsidRPr="00712F3C" w:rsidRDefault="004047F2">
            <w:pPr>
              <w:pStyle w:val="ListParagraph"/>
              <w:numPr>
                <w:ilvl w:val="0"/>
                <w:numId w:val="253"/>
              </w:numPr>
              <w:spacing w:line="240" w:lineRule="auto"/>
              <w:ind w:right="122"/>
              <w:jc w:val="both"/>
              <w:rPr>
                <w:sz w:val="20"/>
                <w:szCs w:val="20"/>
              </w:rPr>
            </w:pPr>
            <w:r w:rsidRPr="00712F3C">
              <w:rPr>
                <w:sz w:val="20"/>
                <w:szCs w:val="20"/>
              </w:rPr>
              <w:t>The transferee shall thereupon be registered as the holder of the share; and</w:t>
            </w:r>
          </w:p>
          <w:p w14:paraId="2AC06E6A" w14:textId="77777777" w:rsidR="004047F2" w:rsidRPr="00712F3C" w:rsidRDefault="004047F2" w:rsidP="00250DAC">
            <w:pPr>
              <w:pStyle w:val="ListParagraph"/>
              <w:spacing w:line="240" w:lineRule="auto"/>
              <w:ind w:right="122"/>
              <w:jc w:val="both"/>
              <w:rPr>
                <w:sz w:val="20"/>
                <w:szCs w:val="20"/>
              </w:rPr>
            </w:pPr>
          </w:p>
          <w:p w14:paraId="33589A98" w14:textId="77777777" w:rsidR="004047F2" w:rsidRPr="00712F3C" w:rsidRDefault="004047F2">
            <w:pPr>
              <w:pStyle w:val="ListParagraph"/>
              <w:numPr>
                <w:ilvl w:val="0"/>
                <w:numId w:val="253"/>
              </w:numPr>
              <w:spacing w:line="240" w:lineRule="auto"/>
              <w:ind w:right="122"/>
              <w:jc w:val="both"/>
              <w:rPr>
                <w:sz w:val="20"/>
                <w:szCs w:val="20"/>
              </w:rPr>
            </w:pPr>
            <w:r w:rsidRPr="00712F3C">
              <w:rPr>
                <w:sz w:val="20"/>
                <w:szCs w:val="20"/>
              </w:rPr>
              <w:t>The transferee shall not be bound to see to the application of the purchase money, if any, nor shall his title to the share be affected by any irregularity or invalidity in the proceedings in reference to the forfeiture, sale or disposal of the share.</w:t>
            </w:r>
          </w:p>
          <w:p w14:paraId="692F9AFF" w14:textId="77777777" w:rsidR="004047F2" w:rsidRPr="00712F3C" w:rsidRDefault="004047F2" w:rsidP="00250DAC">
            <w:pPr>
              <w:pStyle w:val="ListParagraph"/>
              <w:spacing w:line="240" w:lineRule="auto"/>
              <w:ind w:right="122"/>
              <w:jc w:val="both"/>
              <w:rPr>
                <w:sz w:val="20"/>
                <w:szCs w:val="20"/>
              </w:rPr>
            </w:pPr>
          </w:p>
        </w:tc>
      </w:tr>
      <w:tr w:rsidR="004047F2" w:rsidRPr="00712F3C" w14:paraId="6BEFD1F9" w14:textId="77777777" w:rsidTr="00250DAC">
        <w:trPr>
          <w:trHeight w:val="20"/>
        </w:trPr>
        <w:tc>
          <w:tcPr>
            <w:tcW w:w="517" w:type="pct"/>
            <w:shd w:val="clear" w:color="auto" w:fill="auto"/>
          </w:tcPr>
          <w:p w14:paraId="3819EF10"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55F50863" w14:textId="77777777" w:rsidR="004047F2" w:rsidRPr="00712F3C" w:rsidRDefault="004047F2" w:rsidP="00250DAC">
            <w:pPr>
              <w:spacing w:after="0" w:line="240" w:lineRule="auto"/>
              <w:ind w:left="90" w:right="122"/>
              <w:jc w:val="both"/>
              <w:rPr>
                <w:rFonts w:ascii="Times New Roman" w:hAnsi="Times New Roman"/>
                <w:sz w:val="20"/>
                <w:szCs w:val="20"/>
              </w:rPr>
            </w:pPr>
            <w:r w:rsidRPr="00712F3C">
              <w:rPr>
                <w:rFonts w:ascii="Times New Roman" w:hAnsi="Times New Roman"/>
                <w:sz w:val="20"/>
                <w:szCs w:val="20"/>
              </w:rPr>
              <w:t>The provisions of these regulations as to forfeiture shall apply in the case of non-payment of any sum which, by the terms of issue of a share, becomes payable at a fixed time, whether on account of the nominal value of the share or by way of premium, as if the same had been payable by virtue of a call duly made and notified.</w:t>
            </w:r>
          </w:p>
          <w:p w14:paraId="344F940F" w14:textId="77777777" w:rsidR="004047F2" w:rsidRPr="00712F3C" w:rsidRDefault="004047F2" w:rsidP="00250DAC">
            <w:pPr>
              <w:spacing w:after="0" w:line="240" w:lineRule="auto"/>
              <w:ind w:left="90" w:right="122"/>
              <w:jc w:val="both"/>
              <w:rPr>
                <w:rFonts w:ascii="Times New Roman" w:hAnsi="Times New Roman"/>
                <w:sz w:val="20"/>
                <w:szCs w:val="20"/>
              </w:rPr>
            </w:pPr>
          </w:p>
        </w:tc>
      </w:tr>
      <w:tr w:rsidR="004047F2" w:rsidRPr="00712F3C" w14:paraId="40BBEF4C" w14:textId="77777777" w:rsidTr="00250DAC">
        <w:trPr>
          <w:trHeight w:val="20"/>
        </w:trPr>
        <w:tc>
          <w:tcPr>
            <w:tcW w:w="5000" w:type="pct"/>
            <w:gridSpan w:val="2"/>
            <w:shd w:val="clear" w:color="auto" w:fill="auto"/>
          </w:tcPr>
          <w:p w14:paraId="6A572515" w14:textId="77777777" w:rsidR="004047F2" w:rsidRPr="00712F3C" w:rsidRDefault="004047F2" w:rsidP="00250DAC">
            <w:pPr>
              <w:spacing w:after="0" w:line="240" w:lineRule="auto"/>
              <w:ind w:right="122"/>
              <w:jc w:val="center"/>
              <w:rPr>
                <w:rFonts w:ascii="Times New Roman" w:eastAsiaTheme="minorHAnsi" w:hAnsi="Times New Roman"/>
                <w:b/>
                <w:bCs/>
                <w:iCs/>
                <w:sz w:val="20"/>
                <w:szCs w:val="20"/>
              </w:rPr>
            </w:pPr>
            <w:r w:rsidRPr="00712F3C">
              <w:rPr>
                <w:rFonts w:ascii="Times New Roman" w:eastAsiaTheme="minorHAnsi" w:hAnsi="Times New Roman"/>
                <w:b/>
                <w:bCs/>
                <w:iCs/>
                <w:sz w:val="20"/>
                <w:szCs w:val="20"/>
              </w:rPr>
              <w:t>ALTERATION OF CAPITAL</w:t>
            </w:r>
          </w:p>
          <w:p w14:paraId="2C367890" w14:textId="77777777" w:rsidR="004047F2" w:rsidRPr="00712F3C" w:rsidRDefault="004047F2" w:rsidP="00250DAC">
            <w:pPr>
              <w:spacing w:after="0" w:line="240" w:lineRule="auto"/>
              <w:ind w:right="122"/>
              <w:jc w:val="center"/>
              <w:rPr>
                <w:rFonts w:ascii="Times New Roman" w:hAnsi="Times New Roman"/>
                <w:sz w:val="20"/>
                <w:szCs w:val="20"/>
              </w:rPr>
            </w:pPr>
          </w:p>
        </w:tc>
      </w:tr>
      <w:tr w:rsidR="004047F2" w:rsidRPr="00712F3C" w14:paraId="3B0E6E12" w14:textId="77777777" w:rsidTr="00250DAC">
        <w:trPr>
          <w:trHeight w:val="20"/>
        </w:trPr>
        <w:tc>
          <w:tcPr>
            <w:tcW w:w="517" w:type="pct"/>
            <w:shd w:val="clear" w:color="auto" w:fill="auto"/>
          </w:tcPr>
          <w:p w14:paraId="04D81F4A"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723503D7" w14:textId="77777777" w:rsidR="004047F2" w:rsidRPr="00712F3C" w:rsidRDefault="004047F2" w:rsidP="00250DAC">
            <w:pPr>
              <w:spacing w:after="0" w:line="240" w:lineRule="auto"/>
              <w:ind w:left="90" w:right="122"/>
              <w:jc w:val="both"/>
              <w:rPr>
                <w:rFonts w:ascii="Times New Roman" w:hAnsi="Times New Roman"/>
                <w:sz w:val="20"/>
                <w:szCs w:val="20"/>
              </w:rPr>
            </w:pPr>
            <w:r w:rsidRPr="00712F3C">
              <w:rPr>
                <w:rFonts w:ascii="Times New Roman" w:hAnsi="Times New Roman"/>
                <w:sz w:val="20"/>
                <w:szCs w:val="20"/>
              </w:rPr>
              <w:t>The company may, from time to time, by ordinary resolution increase the share capital by such sum, to be divided into shares of such amount, as may be specified in the resolution.</w:t>
            </w:r>
          </w:p>
          <w:p w14:paraId="76E14484" w14:textId="77777777" w:rsidR="004047F2" w:rsidRPr="00712F3C" w:rsidRDefault="004047F2" w:rsidP="00250DAC">
            <w:pPr>
              <w:spacing w:after="0" w:line="240" w:lineRule="auto"/>
              <w:ind w:left="90" w:right="122"/>
              <w:jc w:val="both"/>
              <w:rPr>
                <w:rFonts w:ascii="Times New Roman" w:hAnsi="Times New Roman"/>
                <w:sz w:val="20"/>
                <w:szCs w:val="20"/>
              </w:rPr>
            </w:pPr>
          </w:p>
        </w:tc>
      </w:tr>
      <w:tr w:rsidR="004047F2" w:rsidRPr="00712F3C" w14:paraId="02425083" w14:textId="77777777" w:rsidTr="00250DAC">
        <w:trPr>
          <w:trHeight w:val="20"/>
        </w:trPr>
        <w:tc>
          <w:tcPr>
            <w:tcW w:w="517" w:type="pct"/>
            <w:shd w:val="clear" w:color="auto" w:fill="auto"/>
          </w:tcPr>
          <w:p w14:paraId="33A17498"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5402ACB5" w14:textId="77777777" w:rsidR="004047F2" w:rsidRPr="00712F3C" w:rsidRDefault="004047F2" w:rsidP="00250DAC">
            <w:pPr>
              <w:spacing w:after="0" w:line="240" w:lineRule="auto"/>
              <w:ind w:left="90" w:right="122"/>
              <w:jc w:val="both"/>
              <w:rPr>
                <w:rFonts w:ascii="Times New Roman" w:hAnsi="Times New Roman"/>
                <w:sz w:val="20"/>
                <w:szCs w:val="20"/>
              </w:rPr>
            </w:pPr>
            <w:r w:rsidRPr="00712F3C">
              <w:rPr>
                <w:rFonts w:ascii="Times New Roman" w:hAnsi="Times New Roman"/>
                <w:sz w:val="20"/>
                <w:szCs w:val="20"/>
              </w:rPr>
              <w:t>Subject to the provisions of section 61, the company may, by ordinary resolution-</w:t>
            </w:r>
          </w:p>
          <w:p w14:paraId="05A86C28" w14:textId="77777777" w:rsidR="004047F2" w:rsidRPr="00712F3C" w:rsidRDefault="004047F2">
            <w:pPr>
              <w:pStyle w:val="ListParagraph"/>
              <w:numPr>
                <w:ilvl w:val="0"/>
                <w:numId w:val="254"/>
              </w:numPr>
              <w:spacing w:line="240" w:lineRule="auto"/>
              <w:ind w:right="122"/>
              <w:jc w:val="both"/>
              <w:rPr>
                <w:sz w:val="20"/>
                <w:szCs w:val="20"/>
              </w:rPr>
            </w:pPr>
            <w:r w:rsidRPr="00712F3C">
              <w:rPr>
                <w:sz w:val="20"/>
                <w:szCs w:val="20"/>
              </w:rPr>
              <w:t xml:space="preserve">consolidate and divide all or any of its share capital into shares of larger amount than its existing shares; </w:t>
            </w:r>
          </w:p>
          <w:p w14:paraId="2949EA30" w14:textId="77777777" w:rsidR="004047F2" w:rsidRPr="00712F3C" w:rsidRDefault="004047F2" w:rsidP="00250DAC">
            <w:pPr>
              <w:pStyle w:val="ListParagraph"/>
              <w:spacing w:line="240" w:lineRule="auto"/>
              <w:ind w:right="122"/>
              <w:jc w:val="both"/>
              <w:rPr>
                <w:sz w:val="20"/>
                <w:szCs w:val="20"/>
              </w:rPr>
            </w:pPr>
          </w:p>
          <w:p w14:paraId="13A9FAFF" w14:textId="77777777" w:rsidR="004047F2" w:rsidRPr="00712F3C" w:rsidRDefault="004047F2">
            <w:pPr>
              <w:pStyle w:val="ListParagraph"/>
              <w:numPr>
                <w:ilvl w:val="0"/>
                <w:numId w:val="254"/>
              </w:numPr>
              <w:spacing w:line="240" w:lineRule="auto"/>
              <w:ind w:right="122"/>
              <w:jc w:val="both"/>
              <w:rPr>
                <w:sz w:val="20"/>
                <w:szCs w:val="20"/>
              </w:rPr>
            </w:pPr>
            <w:r w:rsidRPr="00712F3C">
              <w:rPr>
                <w:sz w:val="20"/>
                <w:szCs w:val="20"/>
              </w:rPr>
              <w:t xml:space="preserve">convert all or any of its fully paid-up shares into stock, and reconvert that stock into fully paid-up shares of any denomination; </w:t>
            </w:r>
          </w:p>
          <w:p w14:paraId="7B0ECE04" w14:textId="77777777" w:rsidR="004047F2" w:rsidRPr="00712F3C" w:rsidRDefault="004047F2" w:rsidP="00250DAC">
            <w:pPr>
              <w:pStyle w:val="ListParagraph"/>
              <w:spacing w:line="240" w:lineRule="auto"/>
              <w:ind w:right="122"/>
              <w:jc w:val="both"/>
              <w:rPr>
                <w:sz w:val="20"/>
                <w:szCs w:val="20"/>
              </w:rPr>
            </w:pPr>
          </w:p>
          <w:p w14:paraId="0202774D" w14:textId="77777777" w:rsidR="004047F2" w:rsidRPr="00712F3C" w:rsidRDefault="004047F2">
            <w:pPr>
              <w:pStyle w:val="ListParagraph"/>
              <w:numPr>
                <w:ilvl w:val="0"/>
                <w:numId w:val="254"/>
              </w:numPr>
              <w:spacing w:line="240" w:lineRule="auto"/>
              <w:ind w:right="122"/>
              <w:jc w:val="both"/>
              <w:rPr>
                <w:sz w:val="20"/>
                <w:szCs w:val="20"/>
              </w:rPr>
            </w:pPr>
            <w:r w:rsidRPr="00712F3C">
              <w:rPr>
                <w:sz w:val="20"/>
                <w:szCs w:val="20"/>
              </w:rPr>
              <w:t>sub-divide its existing shares or any of them into shares of smaller amount than is fixed by the memorandum; and</w:t>
            </w:r>
          </w:p>
          <w:p w14:paraId="33A78496" w14:textId="77777777" w:rsidR="004047F2" w:rsidRPr="00712F3C" w:rsidRDefault="004047F2" w:rsidP="00250DAC">
            <w:pPr>
              <w:pStyle w:val="ListParagraph"/>
              <w:spacing w:line="240" w:lineRule="auto"/>
              <w:ind w:right="122"/>
              <w:jc w:val="both"/>
              <w:rPr>
                <w:sz w:val="20"/>
                <w:szCs w:val="20"/>
              </w:rPr>
            </w:pPr>
          </w:p>
          <w:p w14:paraId="3C965080" w14:textId="77777777" w:rsidR="004047F2" w:rsidRPr="00712F3C" w:rsidRDefault="004047F2">
            <w:pPr>
              <w:pStyle w:val="ListParagraph"/>
              <w:numPr>
                <w:ilvl w:val="0"/>
                <w:numId w:val="254"/>
              </w:numPr>
              <w:spacing w:line="240" w:lineRule="auto"/>
              <w:ind w:right="122"/>
              <w:jc w:val="both"/>
              <w:rPr>
                <w:sz w:val="20"/>
                <w:szCs w:val="20"/>
              </w:rPr>
            </w:pPr>
            <w:r w:rsidRPr="00712F3C">
              <w:rPr>
                <w:sz w:val="20"/>
                <w:szCs w:val="20"/>
              </w:rPr>
              <w:t xml:space="preserve">cancel any shares which, at the date of the passing of the resolution, have not been taken or agreed to be taken by any person. </w:t>
            </w:r>
          </w:p>
          <w:p w14:paraId="6D9B1F74" w14:textId="77777777" w:rsidR="004047F2" w:rsidRPr="00712F3C" w:rsidRDefault="004047F2" w:rsidP="00250DAC">
            <w:pPr>
              <w:pStyle w:val="ListParagraph"/>
              <w:spacing w:line="240" w:lineRule="auto"/>
              <w:ind w:right="122"/>
              <w:jc w:val="both"/>
              <w:rPr>
                <w:sz w:val="20"/>
                <w:szCs w:val="20"/>
              </w:rPr>
            </w:pPr>
          </w:p>
          <w:p w14:paraId="7312A6FD" w14:textId="77777777" w:rsidR="004047F2" w:rsidRPr="00712F3C" w:rsidRDefault="004047F2">
            <w:pPr>
              <w:pStyle w:val="ListParagraph"/>
              <w:numPr>
                <w:ilvl w:val="0"/>
                <w:numId w:val="254"/>
              </w:numPr>
              <w:spacing w:line="240" w:lineRule="auto"/>
              <w:ind w:right="122"/>
              <w:jc w:val="both"/>
              <w:rPr>
                <w:sz w:val="20"/>
                <w:szCs w:val="20"/>
              </w:rPr>
            </w:pPr>
            <w:r w:rsidRPr="00712F3C">
              <w:rPr>
                <w:sz w:val="20"/>
                <w:szCs w:val="20"/>
              </w:rPr>
              <w:t>Permission for sub-division/ consolidation of share certificates</w:t>
            </w:r>
          </w:p>
          <w:p w14:paraId="2D9D2FDF" w14:textId="77777777" w:rsidR="004047F2" w:rsidRPr="00712F3C" w:rsidRDefault="004047F2" w:rsidP="00250DAC">
            <w:pPr>
              <w:pStyle w:val="ListParagraph"/>
              <w:spacing w:line="240" w:lineRule="auto"/>
              <w:ind w:right="122"/>
              <w:jc w:val="both"/>
              <w:rPr>
                <w:sz w:val="20"/>
                <w:szCs w:val="20"/>
              </w:rPr>
            </w:pPr>
          </w:p>
        </w:tc>
      </w:tr>
      <w:tr w:rsidR="004047F2" w:rsidRPr="00712F3C" w14:paraId="0541EA04" w14:textId="77777777" w:rsidTr="00250DAC">
        <w:trPr>
          <w:trHeight w:val="20"/>
        </w:trPr>
        <w:tc>
          <w:tcPr>
            <w:tcW w:w="517" w:type="pct"/>
            <w:shd w:val="clear" w:color="auto" w:fill="auto"/>
          </w:tcPr>
          <w:p w14:paraId="4517648B"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2D78EFC2" w14:textId="2860E186" w:rsidR="004047F2" w:rsidRPr="00712F3C" w:rsidRDefault="004047F2" w:rsidP="00250DAC">
            <w:pPr>
              <w:spacing w:after="0" w:line="240" w:lineRule="auto"/>
              <w:ind w:left="90" w:right="122"/>
              <w:jc w:val="both"/>
              <w:rPr>
                <w:rFonts w:ascii="Times New Roman" w:hAnsi="Times New Roman"/>
                <w:sz w:val="20"/>
                <w:szCs w:val="20"/>
              </w:rPr>
            </w:pPr>
            <w:r w:rsidRPr="00712F3C">
              <w:rPr>
                <w:rFonts w:ascii="Times New Roman" w:hAnsi="Times New Roman"/>
                <w:sz w:val="20"/>
                <w:szCs w:val="20"/>
              </w:rPr>
              <w:t>Where shares are converted into stock,</w:t>
            </w:r>
            <w:r w:rsidR="004A7238">
              <w:rPr>
                <w:rFonts w:ascii="Times New Roman" w:hAnsi="Times New Roman"/>
                <w:sz w:val="20"/>
                <w:szCs w:val="20"/>
              </w:rPr>
              <w:t>-</w:t>
            </w:r>
          </w:p>
          <w:p w14:paraId="1392A5FE" w14:textId="77777777" w:rsidR="004047F2" w:rsidRPr="00712F3C" w:rsidRDefault="004047F2">
            <w:pPr>
              <w:pStyle w:val="ListParagraph"/>
              <w:numPr>
                <w:ilvl w:val="0"/>
                <w:numId w:val="255"/>
              </w:numPr>
              <w:spacing w:line="240" w:lineRule="auto"/>
              <w:ind w:right="122"/>
              <w:jc w:val="both"/>
              <w:rPr>
                <w:sz w:val="20"/>
                <w:szCs w:val="20"/>
              </w:rPr>
            </w:pPr>
            <w:r w:rsidRPr="00712F3C">
              <w:rPr>
                <w:sz w:val="20"/>
                <w:szCs w:val="20"/>
              </w:rPr>
              <w:t>the holders of stock may transfer the same or any part thereof in the same manner as, and subject to the same regulations under which, the shares from which the stock arose might before the conversion have been transferred, or as near thereto as circumstances admit:</w:t>
            </w:r>
          </w:p>
          <w:p w14:paraId="7BF6C3CE" w14:textId="77777777" w:rsidR="004047F2" w:rsidRPr="00712F3C" w:rsidRDefault="004047F2" w:rsidP="00250DAC">
            <w:pPr>
              <w:pStyle w:val="ListParagraph"/>
              <w:spacing w:line="240" w:lineRule="auto"/>
              <w:ind w:right="122"/>
              <w:jc w:val="both"/>
              <w:rPr>
                <w:sz w:val="20"/>
                <w:szCs w:val="20"/>
              </w:rPr>
            </w:pPr>
          </w:p>
          <w:p w14:paraId="44C2C16D" w14:textId="77777777" w:rsidR="004047F2" w:rsidRPr="00712F3C" w:rsidRDefault="004047F2">
            <w:pPr>
              <w:pStyle w:val="ListParagraph"/>
              <w:numPr>
                <w:ilvl w:val="0"/>
                <w:numId w:val="255"/>
              </w:numPr>
              <w:spacing w:line="240" w:lineRule="auto"/>
              <w:ind w:right="122"/>
              <w:jc w:val="both"/>
              <w:rPr>
                <w:sz w:val="20"/>
                <w:szCs w:val="20"/>
              </w:rPr>
            </w:pPr>
            <w:r w:rsidRPr="00712F3C">
              <w:rPr>
                <w:sz w:val="20"/>
                <w:szCs w:val="20"/>
              </w:rPr>
              <w:lastRenderedPageBreak/>
              <w:t>Provided that the Board may, from time to time, fix the minimum amount of stock transferable, so, however, that such minimum shall not exceed the nominal amount of the shares from which the stock arose.</w:t>
            </w:r>
          </w:p>
          <w:p w14:paraId="7E835BB8" w14:textId="77777777" w:rsidR="004047F2" w:rsidRPr="00712F3C" w:rsidRDefault="004047F2" w:rsidP="00250DAC">
            <w:pPr>
              <w:pStyle w:val="ListParagraph"/>
              <w:spacing w:line="240" w:lineRule="auto"/>
              <w:ind w:right="122"/>
              <w:jc w:val="both"/>
              <w:rPr>
                <w:sz w:val="20"/>
                <w:szCs w:val="20"/>
              </w:rPr>
            </w:pPr>
          </w:p>
          <w:p w14:paraId="10629BFB" w14:textId="77777777" w:rsidR="004047F2" w:rsidRPr="00712F3C" w:rsidRDefault="004047F2">
            <w:pPr>
              <w:pStyle w:val="ListParagraph"/>
              <w:numPr>
                <w:ilvl w:val="0"/>
                <w:numId w:val="255"/>
              </w:numPr>
              <w:spacing w:line="240" w:lineRule="auto"/>
              <w:ind w:right="122"/>
              <w:jc w:val="both"/>
              <w:rPr>
                <w:sz w:val="20"/>
                <w:szCs w:val="20"/>
              </w:rPr>
            </w:pPr>
            <w:r w:rsidRPr="00712F3C">
              <w:rPr>
                <w:sz w:val="20"/>
                <w:szCs w:val="20"/>
              </w:rPr>
              <w:t>the holders of stock shall, according to the amount of stock held by them, have the same rights, privileges and advantages as regards dividends, voting at meetings of the company,and other matters, as if they held the shares from which the stock arose; but no such privilege or advantage (except participation in the dividends and profits of the company and in the assets on winding up) shall be conferred by an amount of stock which would not, if existing in shares, have conferred that privilege or advantage.</w:t>
            </w:r>
          </w:p>
          <w:p w14:paraId="3206A2A8" w14:textId="77777777" w:rsidR="004047F2" w:rsidRPr="00712F3C" w:rsidRDefault="004047F2" w:rsidP="00250DAC">
            <w:pPr>
              <w:pStyle w:val="ListParagraph"/>
              <w:spacing w:line="240" w:lineRule="auto"/>
              <w:ind w:right="122"/>
              <w:jc w:val="both"/>
              <w:rPr>
                <w:sz w:val="20"/>
                <w:szCs w:val="20"/>
              </w:rPr>
            </w:pPr>
          </w:p>
          <w:p w14:paraId="439AE2E5" w14:textId="77777777" w:rsidR="004047F2" w:rsidRPr="00712F3C" w:rsidRDefault="004047F2">
            <w:pPr>
              <w:pStyle w:val="ListParagraph"/>
              <w:numPr>
                <w:ilvl w:val="0"/>
                <w:numId w:val="255"/>
              </w:numPr>
              <w:spacing w:line="240" w:lineRule="auto"/>
              <w:ind w:right="122"/>
              <w:jc w:val="both"/>
              <w:rPr>
                <w:sz w:val="20"/>
                <w:szCs w:val="20"/>
              </w:rPr>
            </w:pPr>
            <w:r w:rsidRPr="00712F3C">
              <w:rPr>
                <w:sz w:val="20"/>
                <w:szCs w:val="20"/>
              </w:rPr>
              <w:t>such of the regulations of the company as are applicable to paid-up shares shall apply to stock and the words “share” and “shareholder” in those regulations shall include “stock” and “stock-holder” respectively.</w:t>
            </w:r>
          </w:p>
          <w:p w14:paraId="27FF3932" w14:textId="77777777" w:rsidR="004047F2" w:rsidRPr="00712F3C" w:rsidRDefault="004047F2" w:rsidP="00250DAC">
            <w:pPr>
              <w:pStyle w:val="ListParagraph"/>
              <w:spacing w:line="240" w:lineRule="auto"/>
              <w:ind w:right="122"/>
              <w:jc w:val="both"/>
              <w:rPr>
                <w:sz w:val="20"/>
                <w:szCs w:val="20"/>
              </w:rPr>
            </w:pPr>
          </w:p>
        </w:tc>
      </w:tr>
      <w:tr w:rsidR="004047F2" w:rsidRPr="00712F3C" w14:paraId="66461A66" w14:textId="77777777" w:rsidTr="00250DAC">
        <w:trPr>
          <w:trHeight w:val="20"/>
        </w:trPr>
        <w:tc>
          <w:tcPr>
            <w:tcW w:w="517" w:type="pct"/>
            <w:shd w:val="clear" w:color="auto" w:fill="auto"/>
          </w:tcPr>
          <w:p w14:paraId="4CBB4D6E"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489654B8" w14:textId="77777777" w:rsidR="004047F2" w:rsidRPr="00712F3C" w:rsidRDefault="004047F2" w:rsidP="00250DAC">
            <w:pPr>
              <w:spacing w:after="0" w:line="240" w:lineRule="auto"/>
              <w:ind w:left="90" w:right="122"/>
              <w:jc w:val="both"/>
              <w:rPr>
                <w:rFonts w:ascii="Times New Roman" w:hAnsi="Times New Roman"/>
                <w:sz w:val="20"/>
                <w:szCs w:val="20"/>
              </w:rPr>
            </w:pPr>
            <w:r w:rsidRPr="00712F3C">
              <w:rPr>
                <w:rFonts w:ascii="Times New Roman" w:hAnsi="Times New Roman"/>
                <w:sz w:val="20"/>
                <w:szCs w:val="20"/>
              </w:rPr>
              <w:t>The company may, by special resolution, reduce in any manner and with, and subject to, any incident authorised and consent required by law-</w:t>
            </w:r>
          </w:p>
          <w:p w14:paraId="4A3CF5ED" w14:textId="77777777" w:rsidR="004047F2" w:rsidRPr="00712F3C" w:rsidRDefault="004047F2">
            <w:pPr>
              <w:pStyle w:val="ListParagraph"/>
              <w:numPr>
                <w:ilvl w:val="0"/>
                <w:numId w:val="256"/>
              </w:numPr>
              <w:spacing w:line="240" w:lineRule="auto"/>
              <w:ind w:right="122"/>
              <w:jc w:val="both"/>
              <w:rPr>
                <w:sz w:val="20"/>
                <w:szCs w:val="20"/>
              </w:rPr>
            </w:pPr>
            <w:r w:rsidRPr="00712F3C">
              <w:rPr>
                <w:sz w:val="20"/>
                <w:szCs w:val="20"/>
              </w:rPr>
              <w:t>it share capital;</w:t>
            </w:r>
          </w:p>
          <w:p w14:paraId="1FB37232" w14:textId="77777777" w:rsidR="004047F2" w:rsidRPr="00712F3C" w:rsidRDefault="004047F2">
            <w:pPr>
              <w:pStyle w:val="ListParagraph"/>
              <w:numPr>
                <w:ilvl w:val="0"/>
                <w:numId w:val="256"/>
              </w:numPr>
              <w:spacing w:line="240" w:lineRule="auto"/>
              <w:ind w:right="122"/>
              <w:jc w:val="both"/>
              <w:rPr>
                <w:sz w:val="20"/>
                <w:szCs w:val="20"/>
              </w:rPr>
            </w:pPr>
            <w:r w:rsidRPr="00712F3C">
              <w:rPr>
                <w:sz w:val="20"/>
                <w:szCs w:val="20"/>
              </w:rPr>
              <w:t>any capital redemption reserve account; or</w:t>
            </w:r>
          </w:p>
          <w:p w14:paraId="4230AD9F" w14:textId="77777777" w:rsidR="004047F2" w:rsidRPr="00712F3C" w:rsidRDefault="004047F2">
            <w:pPr>
              <w:pStyle w:val="ListParagraph"/>
              <w:numPr>
                <w:ilvl w:val="0"/>
                <w:numId w:val="256"/>
              </w:numPr>
              <w:spacing w:line="240" w:lineRule="auto"/>
              <w:ind w:right="122"/>
              <w:jc w:val="both"/>
              <w:rPr>
                <w:sz w:val="20"/>
                <w:szCs w:val="20"/>
              </w:rPr>
            </w:pPr>
            <w:r w:rsidRPr="00712F3C">
              <w:rPr>
                <w:sz w:val="20"/>
                <w:szCs w:val="20"/>
              </w:rPr>
              <w:t>any share premium account.</w:t>
            </w:r>
          </w:p>
          <w:p w14:paraId="60819536" w14:textId="77777777" w:rsidR="004047F2" w:rsidRPr="00712F3C" w:rsidRDefault="004047F2" w:rsidP="00250DAC">
            <w:pPr>
              <w:pStyle w:val="ListParagraph"/>
              <w:spacing w:line="240" w:lineRule="auto"/>
              <w:ind w:right="122"/>
              <w:jc w:val="both"/>
              <w:rPr>
                <w:sz w:val="20"/>
                <w:szCs w:val="20"/>
              </w:rPr>
            </w:pPr>
          </w:p>
        </w:tc>
      </w:tr>
      <w:tr w:rsidR="004047F2" w:rsidRPr="00712F3C" w14:paraId="23FF3561" w14:textId="77777777" w:rsidTr="00250DAC">
        <w:trPr>
          <w:trHeight w:val="20"/>
        </w:trPr>
        <w:tc>
          <w:tcPr>
            <w:tcW w:w="5000" w:type="pct"/>
            <w:gridSpan w:val="2"/>
            <w:shd w:val="clear" w:color="auto" w:fill="auto"/>
          </w:tcPr>
          <w:p w14:paraId="2A6F9678" w14:textId="77777777" w:rsidR="004047F2" w:rsidRPr="00712F3C" w:rsidRDefault="004047F2" w:rsidP="00250DAC">
            <w:pPr>
              <w:spacing w:after="0" w:line="240" w:lineRule="auto"/>
              <w:ind w:left="90" w:right="122"/>
              <w:jc w:val="center"/>
              <w:rPr>
                <w:rFonts w:ascii="Times New Roman" w:eastAsiaTheme="minorHAnsi" w:hAnsi="Times New Roman"/>
                <w:b/>
                <w:bCs/>
                <w:iCs/>
                <w:sz w:val="20"/>
                <w:szCs w:val="20"/>
              </w:rPr>
            </w:pPr>
            <w:r w:rsidRPr="00712F3C">
              <w:rPr>
                <w:rFonts w:ascii="Times New Roman" w:eastAsiaTheme="minorHAnsi" w:hAnsi="Times New Roman"/>
                <w:b/>
                <w:bCs/>
                <w:iCs/>
                <w:sz w:val="20"/>
                <w:szCs w:val="20"/>
              </w:rPr>
              <w:t>CAPITALISATION OF PROFITS</w:t>
            </w:r>
          </w:p>
          <w:p w14:paraId="15EC4426" w14:textId="77777777" w:rsidR="004047F2" w:rsidRPr="00712F3C" w:rsidRDefault="004047F2" w:rsidP="00250DAC">
            <w:pPr>
              <w:spacing w:after="0" w:line="240" w:lineRule="auto"/>
              <w:ind w:left="90" w:right="122"/>
              <w:jc w:val="center"/>
              <w:rPr>
                <w:rFonts w:ascii="Times New Roman" w:hAnsi="Times New Roman"/>
                <w:sz w:val="20"/>
                <w:szCs w:val="20"/>
                <w:highlight w:val="yellow"/>
              </w:rPr>
            </w:pPr>
          </w:p>
        </w:tc>
      </w:tr>
      <w:tr w:rsidR="004047F2" w:rsidRPr="00712F3C" w14:paraId="79FAC0B4" w14:textId="77777777" w:rsidTr="00250DAC">
        <w:trPr>
          <w:trHeight w:val="20"/>
        </w:trPr>
        <w:tc>
          <w:tcPr>
            <w:tcW w:w="517" w:type="pct"/>
            <w:shd w:val="clear" w:color="auto" w:fill="auto"/>
          </w:tcPr>
          <w:p w14:paraId="10AFA056"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3CA6AB67" w14:textId="77777777" w:rsidR="004047F2" w:rsidRPr="00712F3C" w:rsidRDefault="004047F2" w:rsidP="00250DAC">
            <w:pPr>
              <w:spacing w:after="0" w:line="240" w:lineRule="auto"/>
              <w:ind w:left="90" w:right="122"/>
              <w:jc w:val="both"/>
              <w:rPr>
                <w:rFonts w:ascii="Times New Roman" w:hAnsi="Times New Roman"/>
                <w:sz w:val="20"/>
                <w:szCs w:val="20"/>
              </w:rPr>
            </w:pPr>
            <w:r w:rsidRPr="00712F3C">
              <w:rPr>
                <w:rFonts w:ascii="Times New Roman" w:hAnsi="Times New Roman"/>
                <w:sz w:val="20"/>
                <w:szCs w:val="20"/>
              </w:rPr>
              <w:t>The company in general meeting may, upon the recommendation of the Board, resolve-</w:t>
            </w:r>
          </w:p>
          <w:p w14:paraId="610A760B" w14:textId="77777777" w:rsidR="004047F2" w:rsidRPr="00712F3C" w:rsidRDefault="004047F2">
            <w:pPr>
              <w:pStyle w:val="ListParagraph"/>
              <w:numPr>
                <w:ilvl w:val="0"/>
                <w:numId w:val="228"/>
              </w:numPr>
              <w:spacing w:line="240" w:lineRule="auto"/>
              <w:ind w:left="628" w:right="122" w:hanging="180"/>
              <w:jc w:val="both"/>
              <w:rPr>
                <w:color w:val="auto"/>
                <w:sz w:val="20"/>
                <w:szCs w:val="20"/>
              </w:rPr>
            </w:pPr>
            <w:r w:rsidRPr="00712F3C">
              <w:rPr>
                <w:color w:val="auto"/>
                <w:sz w:val="20"/>
                <w:szCs w:val="20"/>
              </w:rPr>
              <w:t>that it is desirable to capitalise any part of the amount for the time being standing to the credit of any of the company’s reserve accounts, or to the credit of the, profit and loss account, or otherwise available for distribution; and</w:t>
            </w:r>
          </w:p>
          <w:p w14:paraId="695F65DA" w14:textId="77777777" w:rsidR="004047F2" w:rsidRPr="00712F3C" w:rsidRDefault="004047F2" w:rsidP="00250DAC">
            <w:pPr>
              <w:pStyle w:val="ListParagraph"/>
              <w:spacing w:line="240" w:lineRule="auto"/>
              <w:ind w:left="628" w:right="122"/>
              <w:jc w:val="both"/>
              <w:rPr>
                <w:color w:val="auto"/>
                <w:sz w:val="20"/>
                <w:szCs w:val="20"/>
              </w:rPr>
            </w:pPr>
          </w:p>
          <w:p w14:paraId="0BD33E94" w14:textId="77777777" w:rsidR="004047F2" w:rsidRPr="00712F3C" w:rsidRDefault="004047F2">
            <w:pPr>
              <w:pStyle w:val="ListParagraph"/>
              <w:numPr>
                <w:ilvl w:val="0"/>
                <w:numId w:val="228"/>
              </w:numPr>
              <w:spacing w:line="240" w:lineRule="auto"/>
              <w:ind w:left="628" w:right="122" w:hanging="180"/>
              <w:jc w:val="both"/>
              <w:rPr>
                <w:color w:val="auto"/>
                <w:sz w:val="20"/>
                <w:szCs w:val="20"/>
              </w:rPr>
            </w:pPr>
            <w:r w:rsidRPr="00712F3C">
              <w:rPr>
                <w:color w:val="auto"/>
                <w:sz w:val="20"/>
                <w:szCs w:val="20"/>
              </w:rPr>
              <w:t>that such sum be accordingly set free for distribution in the manner specified in clause (ii) amongst the members who would have been entitled thereto, if distributed by way of dividend and in the same proportions.</w:t>
            </w:r>
          </w:p>
          <w:p w14:paraId="42147A33" w14:textId="77777777" w:rsidR="004047F2" w:rsidRPr="00712F3C" w:rsidRDefault="004047F2" w:rsidP="00250DAC">
            <w:pPr>
              <w:pStyle w:val="ListParagraph"/>
              <w:spacing w:line="240" w:lineRule="auto"/>
              <w:ind w:left="628" w:right="122"/>
              <w:jc w:val="both"/>
              <w:rPr>
                <w:color w:val="auto"/>
                <w:sz w:val="20"/>
                <w:szCs w:val="20"/>
              </w:rPr>
            </w:pPr>
          </w:p>
          <w:p w14:paraId="26A0C67A" w14:textId="77777777" w:rsidR="004047F2" w:rsidRPr="00712F3C" w:rsidRDefault="004047F2">
            <w:pPr>
              <w:pStyle w:val="ListParagraph"/>
              <w:numPr>
                <w:ilvl w:val="0"/>
                <w:numId w:val="228"/>
              </w:numPr>
              <w:spacing w:line="240" w:lineRule="auto"/>
              <w:ind w:left="628" w:right="122" w:hanging="180"/>
              <w:jc w:val="both"/>
              <w:rPr>
                <w:color w:val="auto"/>
                <w:sz w:val="20"/>
                <w:szCs w:val="20"/>
              </w:rPr>
            </w:pPr>
            <w:r w:rsidRPr="00712F3C">
              <w:rPr>
                <w:color w:val="auto"/>
                <w:sz w:val="20"/>
                <w:szCs w:val="20"/>
              </w:rPr>
              <w:t>The sum aforesaid shall not be paid in cash but shall be applied, subject to the provision contained in clause (iii), either in or towards-</w:t>
            </w:r>
          </w:p>
          <w:p w14:paraId="00EB08E5" w14:textId="77777777" w:rsidR="004047F2" w:rsidRPr="00712F3C" w:rsidRDefault="004047F2">
            <w:pPr>
              <w:pStyle w:val="ListParagraph"/>
              <w:numPr>
                <w:ilvl w:val="0"/>
                <w:numId w:val="227"/>
              </w:numPr>
              <w:spacing w:line="240" w:lineRule="auto"/>
              <w:ind w:right="122"/>
              <w:jc w:val="both"/>
              <w:rPr>
                <w:color w:val="auto"/>
                <w:sz w:val="20"/>
                <w:szCs w:val="20"/>
              </w:rPr>
            </w:pPr>
            <w:r w:rsidRPr="00712F3C">
              <w:rPr>
                <w:color w:val="auto"/>
                <w:sz w:val="20"/>
                <w:szCs w:val="20"/>
              </w:rPr>
              <w:t>paying up any amounts for the time being unpaid on any shares held by such members respectively;</w:t>
            </w:r>
          </w:p>
          <w:p w14:paraId="53C0F31C" w14:textId="77777777" w:rsidR="004047F2" w:rsidRPr="00712F3C" w:rsidRDefault="004047F2">
            <w:pPr>
              <w:pStyle w:val="ListParagraph"/>
              <w:numPr>
                <w:ilvl w:val="0"/>
                <w:numId w:val="227"/>
              </w:numPr>
              <w:spacing w:line="240" w:lineRule="auto"/>
              <w:ind w:right="122"/>
              <w:jc w:val="both"/>
              <w:rPr>
                <w:color w:val="auto"/>
                <w:sz w:val="20"/>
                <w:szCs w:val="20"/>
              </w:rPr>
            </w:pPr>
            <w:r w:rsidRPr="00712F3C">
              <w:rPr>
                <w:color w:val="auto"/>
                <w:sz w:val="20"/>
                <w:szCs w:val="20"/>
              </w:rPr>
              <w:t>paying up in full, unissued shares of the company to be allotted and distributed, credited as fully paid-up, to and amongst such members in the proportions aforesaid;</w:t>
            </w:r>
          </w:p>
          <w:p w14:paraId="2C3B62AC" w14:textId="77777777" w:rsidR="004047F2" w:rsidRPr="00712F3C" w:rsidRDefault="004047F2">
            <w:pPr>
              <w:pStyle w:val="ListParagraph"/>
              <w:numPr>
                <w:ilvl w:val="0"/>
                <w:numId w:val="227"/>
              </w:numPr>
              <w:spacing w:line="240" w:lineRule="auto"/>
              <w:ind w:right="122"/>
              <w:jc w:val="both"/>
              <w:rPr>
                <w:color w:val="auto"/>
                <w:sz w:val="20"/>
                <w:szCs w:val="20"/>
              </w:rPr>
            </w:pPr>
            <w:r w:rsidRPr="00712F3C">
              <w:rPr>
                <w:color w:val="auto"/>
                <w:sz w:val="20"/>
                <w:szCs w:val="20"/>
              </w:rPr>
              <w:t>partly in the way specified in sub-clause (A) and partly in that specified in sub-clause (B);</w:t>
            </w:r>
          </w:p>
          <w:p w14:paraId="7D453C31" w14:textId="77777777" w:rsidR="004047F2" w:rsidRPr="00712F3C" w:rsidRDefault="004047F2" w:rsidP="00250DAC">
            <w:pPr>
              <w:pStyle w:val="ListParagraph"/>
              <w:spacing w:line="240" w:lineRule="auto"/>
              <w:ind w:left="628" w:right="122"/>
              <w:jc w:val="both"/>
              <w:rPr>
                <w:color w:val="auto"/>
                <w:sz w:val="20"/>
                <w:szCs w:val="20"/>
              </w:rPr>
            </w:pPr>
          </w:p>
          <w:p w14:paraId="64233097" w14:textId="77777777" w:rsidR="004047F2" w:rsidRPr="00712F3C" w:rsidRDefault="004047F2">
            <w:pPr>
              <w:pStyle w:val="ListParagraph"/>
              <w:numPr>
                <w:ilvl w:val="0"/>
                <w:numId w:val="228"/>
              </w:numPr>
              <w:spacing w:line="240" w:lineRule="auto"/>
              <w:ind w:left="628" w:right="122" w:hanging="180"/>
              <w:jc w:val="both"/>
              <w:rPr>
                <w:color w:val="auto"/>
                <w:sz w:val="20"/>
                <w:szCs w:val="20"/>
              </w:rPr>
            </w:pPr>
            <w:r w:rsidRPr="00712F3C">
              <w:rPr>
                <w:color w:val="auto"/>
                <w:sz w:val="20"/>
                <w:szCs w:val="20"/>
              </w:rPr>
              <w:t>A securities premium account and a capital redemption reserve account may, for the purposes of this regulation, be applied in the paying up of unissued shares to be issued to members of the company as fully paid bonus shares;</w:t>
            </w:r>
          </w:p>
          <w:p w14:paraId="350BF662" w14:textId="77777777" w:rsidR="004047F2" w:rsidRPr="00712F3C" w:rsidRDefault="004047F2" w:rsidP="00250DAC">
            <w:pPr>
              <w:pStyle w:val="ListParagraph"/>
              <w:spacing w:line="240" w:lineRule="auto"/>
              <w:ind w:left="628" w:right="122"/>
              <w:jc w:val="both"/>
              <w:rPr>
                <w:color w:val="auto"/>
                <w:sz w:val="20"/>
                <w:szCs w:val="20"/>
              </w:rPr>
            </w:pPr>
          </w:p>
          <w:p w14:paraId="26F7EC2A" w14:textId="77777777" w:rsidR="004047F2" w:rsidRPr="00712F3C" w:rsidRDefault="004047F2">
            <w:pPr>
              <w:pStyle w:val="ListParagraph"/>
              <w:numPr>
                <w:ilvl w:val="0"/>
                <w:numId w:val="228"/>
              </w:numPr>
              <w:spacing w:line="240" w:lineRule="auto"/>
              <w:ind w:left="628" w:right="122" w:hanging="180"/>
              <w:jc w:val="both"/>
              <w:rPr>
                <w:color w:val="FF0000"/>
                <w:sz w:val="20"/>
                <w:szCs w:val="20"/>
              </w:rPr>
            </w:pPr>
            <w:r w:rsidRPr="00712F3C">
              <w:rPr>
                <w:color w:val="auto"/>
                <w:sz w:val="20"/>
                <w:szCs w:val="20"/>
              </w:rPr>
              <w:t>The Board shall give effect to the resolution passed by the company in pursuance of this regulation.</w:t>
            </w:r>
          </w:p>
          <w:p w14:paraId="102BC394" w14:textId="77777777" w:rsidR="004047F2" w:rsidRPr="00712F3C" w:rsidRDefault="004047F2" w:rsidP="00250DAC">
            <w:pPr>
              <w:pStyle w:val="ListParagraph"/>
              <w:spacing w:line="240" w:lineRule="auto"/>
              <w:ind w:left="628" w:right="122"/>
              <w:jc w:val="both"/>
              <w:rPr>
                <w:color w:val="FF0000"/>
                <w:sz w:val="20"/>
                <w:szCs w:val="20"/>
              </w:rPr>
            </w:pPr>
          </w:p>
        </w:tc>
      </w:tr>
      <w:tr w:rsidR="004047F2" w:rsidRPr="00712F3C" w14:paraId="5C86A71A" w14:textId="77777777" w:rsidTr="00250DAC">
        <w:trPr>
          <w:trHeight w:val="20"/>
        </w:trPr>
        <w:tc>
          <w:tcPr>
            <w:tcW w:w="517" w:type="pct"/>
            <w:shd w:val="clear" w:color="auto" w:fill="auto"/>
          </w:tcPr>
          <w:p w14:paraId="23BFC595"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0F0BB947" w14:textId="77777777" w:rsidR="004047F2" w:rsidRPr="00712F3C" w:rsidRDefault="004047F2">
            <w:pPr>
              <w:pStyle w:val="ListParagraph"/>
              <w:numPr>
                <w:ilvl w:val="1"/>
                <w:numId w:val="221"/>
              </w:numPr>
              <w:spacing w:line="240" w:lineRule="auto"/>
              <w:ind w:left="720" w:right="122" w:hanging="270"/>
              <w:jc w:val="both"/>
              <w:rPr>
                <w:sz w:val="20"/>
                <w:szCs w:val="20"/>
              </w:rPr>
            </w:pPr>
            <w:r w:rsidRPr="00712F3C">
              <w:rPr>
                <w:sz w:val="20"/>
                <w:szCs w:val="20"/>
              </w:rPr>
              <w:t>Whenever such a resolution as aforesaid shall have been passed, the Board shall-</w:t>
            </w:r>
          </w:p>
          <w:p w14:paraId="4FCF8B98" w14:textId="77777777" w:rsidR="004047F2" w:rsidRPr="00712F3C" w:rsidRDefault="004047F2">
            <w:pPr>
              <w:pStyle w:val="ListParagraph"/>
              <w:numPr>
                <w:ilvl w:val="1"/>
                <w:numId w:val="222"/>
              </w:numPr>
              <w:spacing w:line="240" w:lineRule="auto"/>
              <w:ind w:left="1080" w:right="122"/>
              <w:jc w:val="both"/>
              <w:rPr>
                <w:sz w:val="20"/>
                <w:szCs w:val="20"/>
              </w:rPr>
            </w:pPr>
            <w:r w:rsidRPr="00712F3C">
              <w:rPr>
                <w:sz w:val="20"/>
                <w:szCs w:val="20"/>
              </w:rPr>
              <w:t>make all appropriations and applications of the undivided profits resolved to be capitalised thereby, and all</w:t>
            </w:r>
          </w:p>
          <w:p w14:paraId="682B25E6" w14:textId="77777777" w:rsidR="004047F2" w:rsidRPr="00712F3C" w:rsidRDefault="004047F2">
            <w:pPr>
              <w:pStyle w:val="ListParagraph"/>
              <w:numPr>
                <w:ilvl w:val="0"/>
                <w:numId w:val="222"/>
              </w:numPr>
              <w:spacing w:line="240" w:lineRule="auto"/>
              <w:ind w:left="1080" w:right="122"/>
              <w:jc w:val="both"/>
              <w:rPr>
                <w:sz w:val="20"/>
                <w:szCs w:val="20"/>
              </w:rPr>
            </w:pPr>
            <w:r w:rsidRPr="00712F3C">
              <w:rPr>
                <w:sz w:val="20"/>
                <w:szCs w:val="20"/>
              </w:rPr>
              <w:t>allotments and issues of fully paid shares if any; and</w:t>
            </w:r>
          </w:p>
          <w:p w14:paraId="5A59E708" w14:textId="77777777" w:rsidR="004047F2" w:rsidRPr="00712F3C" w:rsidRDefault="004047F2">
            <w:pPr>
              <w:pStyle w:val="ListParagraph"/>
              <w:numPr>
                <w:ilvl w:val="0"/>
                <w:numId w:val="222"/>
              </w:numPr>
              <w:spacing w:line="240" w:lineRule="auto"/>
              <w:ind w:left="1080" w:right="122"/>
              <w:jc w:val="both"/>
              <w:rPr>
                <w:sz w:val="20"/>
                <w:szCs w:val="20"/>
              </w:rPr>
            </w:pPr>
            <w:r w:rsidRPr="00712F3C">
              <w:rPr>
                <w:sz w:val="20"/>
                <w:szCs w:val="20"/>
              </w:rPr>
              <w:t>generally do all acts and things required to give effect thereto.</w:t>
            </w:r>
          </w:p>
          <w:p w14:paraId="46010F1F" w14:textId="77777777" w:rsidR="004047F2" w:rsidRPr="00712F3C" w:rsidRDefault="004047F2" w:rsidP="00250DAC">
            <w:pPr>
              <w:pStyle w:val="ListParagraph"/>
              <w:spacing w:line="240" w:lineRule="auto"/>
              <w:ind w:right="122"/>
              <w:jc w:val="both"/>
              <w:rPr>
                <w:sz w:val="20"/>
                <w:szCs w:val="20"/>
              </w:rPr>
            </w:pPr>
          </w:p>
          <w:p w14:paraId="31AE03B6" w14:textId="77777777" w:rsidR="004047F2" w:rsidRPr="00712F3C" w:rsidRDefault="004047F2">
            <w:pPr>
              <w:pStyle w:val="ListParagraph"/>
              <w:numPr>
                <w:ilvl w:val="1"/>
                <w:numId w:val="221"/>
              </w:numPr>
              <w:spacing w:line="240" w:lineRule="auto"/>
              <w:ind w:left="720" w:right="122" w:hanging="270"/>
              <w:jc w:val="both"/>
              <w:rPr>
                <w:sz w:val="20"/>
                <w:szCs w:val="20"/>
              </w:rPr>
            </w:pPr>
            <w:r w:rsidRPr="00712F3C">
              <w:rPr>
                <w:sz w:val="20"/>
                <w:szCs w:val="20"/>
              </w:rPr>
              <w:t>The Board shall have power-</w:t>
            </w:r>
          </w:p>
          <w:p w14:paraId="7BD122B9" w14:textId="77777777" w:rsidR="004047F2" w:rsidRPr="00712F3C" w:rsidRDefault="004047F2">
            <w:pPr>
              <w:pStyle w:val="ListParagraph"/>
              <w:numPr>
                <w:ilvl w:val="1"/>
                <w:numId w:val="223"/>
              </w:numPr>
              <w:spacing w:line="240" w:lineRule="auto"/>
              <w:ind w:left="1080" w:right="122"/>
              <w:jc w:val="both"/>
              <w:rPr>
                <w:sz w:val="20"/>
                <w:szCs w:val="20"/>
              </w:rPr>
            </w:pPr>
            <w:r w:rsidRPr="00712F3C">
              <w:rPr>
                <w:sz w:val="20"/>
                <w:szCs w:val="20"/>
              </w:rPr>
              <w:t>to make such provisions, by the issue of fractional certificates or by payment in cash or otherwise as it thinks fit, for the case of shares becoming distributable in fractions; and</w:t>
            </w:r>
          </w:p>
          <w:p w14:paraId="212E0999" w14:textId="77777777" w:rsidR="004047F2" w:rsidRPr="00712F3C" w:rsidRDefault="004047F2">
            <w:pPr>
              <w:pStyle w:val="ListParagraph"/>
              <w:numPr>
                <w:ilvl w:val="1"/>
                <w:numId w:val="223"/>
              </w:numPr>
              <w:spacing w:line="240" w:lineRule="auto"/>
              <w:ind w:left="1080" w:right="122"/>
              <w:jc w:val="both"/>
              <w:rPr>
                <w:sz w:val="20"/>
                <w:szCs w:val="20"/>
              </w:rPr>
            </w:pPr>
            <w:r w:rsidRPr="00712F3C">
              <w:rPr>
                <w:sz w:val="20"/>
                <w:szCs w:val="20"/>
              </w:rPr>
              <w:t>to authorise any person to enter, on behalf of all the members entitled thereto, into an agreement with the company providing for the allotment to them respectively, credited as fully paid-up, of any further shares to which they may be entitled upon such capitalisation, or as the case may require, for the payment by the company on their behalf, by the application thereto of their respective proportions of profits resolved to be capitalised, of the amount or any part of the amounts remaining unpaid on their existing shares;</w:t>
            </w:r>
          </w:p>
          <w:p w14:paraId="7E32E5C1" w14:textId="77777777" w:rsidR="004047F2" w:rsidRPr="00712F3C" w:rsidRDefault="004047F2" w:rsidP="00250DAC">
            <w:pPr>
              <w:pStyle w:val="ListParagraph"/>
              <w:spacing w:line="240" w:lineRule="auto"/>
              <w:ind w:right="122"/>
              <w:jc w:val="both"/>
              <w:rPr>
                <w:color w:val="auto"/>
                <w:sz w:val="20"/>
                <w:szCs w:val="20"/>
              </w:rPr>
            </w:pPr>
          </w:p>
          <w:p w14:paraId="01A51FA4" w14:textId="77777777" w:rsidR="004047F2" w:rsidRPr="00712F3C" w:rsidRDefault="004047F2">
            <w:pPr>
              <w:pStyle w:val="ListParagraph"/>
              <w:numPr>
                <w:ilvl w:val="1"/>
                <w:numId w:val="221"/>
              </w:numPr>
              <w:spacing w:line="240" w:lineRule="auto"/>
              <w:ind w:left="720" w:right="122" w:hanging="270"/>
              <w:jc w:val="both"/>
              <w:rPr>
                <w:color w:val="auto"/>
                <w:sz w:val="20"/>
                <w:szCs w:val="20"/>
              </w:rPr>
            </w:pPr>
            <w:r w:rsidRPr="00712F3C">
              <w:rPr>
                <w:sz w:val="20"/>
                <w:szCs w:val="20"/>
              </w:rPr>
              <w:t>Any agreement made under such authority shall be effective and binding on such members</w:t>
            </w:r>
          </w:p>
          <w:p w14:paraId="36BB9A3D" w14:textId="77777777" w:rsidR="004047F2" w:rsidRPr="00712F3C" w:rsidRDefault="004047F2" w:rsidP="00250DAC">
            <w:pPr>
              <w:pStyle w:val="ListParagraph"/>
              <w:spacing w:line="240" w:lineRule="auto"/>
              <w:ind w:right="122"/>
              <w:jc w:val="both"/>
              <w:rPr>
                <w:color w:val="auto"/>
                <w:sz w:val="20"/>
                <w:szCs w:val="20"/>
              </w:rPr>
            </w:pPr>
          </w:p>
          <w:p w14:paraId="5618F0D3" w14:textId="77777777" w:rsidR="004047F2" w:rsidRPr="00712F3C" w:rsidRDefault="004047F2" w:rsidP="00250DAC">
            <w:pPr>
              <w:pStyle w:val="ListParagraph"/>
              <w:spacing w:line="240" w:lineRule="auto"/>
              <w:ind w:right="122"/>
              <w:jc w:val="both"/>
              <w:rPr>
                <w:color w:val="auto"/>
                <w:sz w:val="20"/>
                <w:szCs w:val="20"/>
              </w:rPr>
            </w:pPr>
          </w:p>
          <w:p w14:paraId="15DBABB7" w14:textId="77777777" w:rsidR="004047F2" w:rsidRPr="00712F3C" w:rsidRDefault="004047F2" w:rsidP="00250DAC">
            <w:pPr>
              <w:pStyle w:val="ListParagraph"/>
              <w:spacing w:line="240" w:lineRule="auto"/>
              <w:ind w:right="122"/>
              <w:jc w:val="both"/>
              <w:rPr>
                <w:color w:val="auto"/>
                <w:sz w:val="20"/>
                <w:szCs w:val="20"/>
              </w:rPr>
            </w:pPr>
          </w:p>
          <w:p w14:paraId="275755E3" w14:textId="77777777" w:rsidR="004047F2" w:rsidRPr="00712F3C" w:rsidRDefault="004047F2" w:rsidP="00250DAC">
            <w:pPr>
              <w:pStyle w:val="ListParagraph"/>
              <w:spacing w:line="240" w:lineRule="auto"/>
              <w:ind w:right="122"/>
              <w:jc w:val="both"/>
              <w:rPr>
                <w:color w:val="auto"/>
                <w:sz w:val="20"/>
                <w:szCs w:val="20"/>
              </w:rPr>
            </w:pPr>
          </w:p>
        </w:tc>
      </w:tr>
      <w:tr w:rsidR="004047F2" w:rsidRPr="00712F3C" w14:paraId="1644B6A2" w14:textId="77777777" w:rsidTr="00250DAC">
        <w:trPr>
          <w:trHeight w:val="20"/>
        </w:trPr>
        <w:tc>
          <w:tcPr>
            <w:tcW w:w="5000" w:type="pct"/>
            <w:gridSpan w:val="2"/>
            <w:shd w:val="clear" w:color="auto" w:fill="auto"/>
          </w:tcPr>
          <w:p w14:paraId="34C56EC8" w14:textId="77777777" w:rsidR="004047F2" w:rsidRPr="00712F3C" w:rsidRDefault="004047F2" w:rsidP="00250DAC">
            <w:pPr>
              <w:spacing w:after="0" w:line="240" w:lineRule="auto"/>
              <w:ind w:left="93" w:right="122"/>
              <w:jc w:val="center"/>
              <w:rPr>
                <w:rFonts w:ascii="Times New Roman" w:eastAsiaTheme="minorHAnsi" w:hAnsi="Times New Roman"/>
                <w:b/>
                <w:bCs/>
                <w:iCs/>
                <w:sz w:val="20"/>
                <w:szCs w:val="20"/>
              </w:rPr>
            </w:pPr>
            <w:r w:rsidRPr="00712F3C">
              <w:rPr>
                <w:rFonts w:ascii="Times New Roman" w:eastAsiaTheme="minorHAnsi" w:hAnsi="Times New Roman"/>
                <w:b/>
                <w:bCs/>
                <w:iCs/>
                <w:sz w:val="20"/>
                <w:szCs w:val="20"/>
              </w:rPr>
              <w:t>BUY-BACK OF SHARES</w:t>
            </w:r>
          </w:p>
          <w:p w14:paraId="1537BC6F" w14:textId="77777777" w:rsidR="004047F2" w:rsidRPr="00712F3C" w:rsidRDefault="004047F2" w:rsidP="00250DAC">
            <w:pPr>
              <w:spacing w:after="0" w:line="240" w:lineRule="auto"/>
              <w:ind w:left="93" w:right="122"/>
              <w:jc w:val="center"/>
              <w:rPr>
                <w:rFonts w:ascii="Times New Roman" w:hAnsi="Times New Roman"/>
                <w:sz w:val="20"/>
                <w:szCs w:val="20"/>
              </w:rPr>
            </w:pPr>
          </w:p>
        </w:tc>
      </w:tr>
      <w:tr w:rsidR="004047F2" w:rsidRPr="00712F3C" w14:paraId="763FC2CA" w14:textId="77777777" w:rsidTr="00250DAC">
        <w:trPr>
          <w:trHeight w:val="20"/>
        </w:trPr>
        <w:tc>
          <w:tcPr>
            <w:tcW w:w="517" w:type="pct"/>
            <w:shd w:val="clear" w:color="auto" w:fill="auto"/>
          </w:tcPr>
          <w:p w14:paraId="651F2331"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7695ED6F" w14:textId="77777777" w:rsidR="004047F2" w:rsidRPr="00712F3C" w:rsidRDefault="004047F2" w:rsidP="00250DAC">
            <w:pPr>
              <w:spacing w:after="0" w:line="240" w:lineRule="auto"/>
              <w:ind w:left="90" w:right="122"/>
              <w:jc w:val="both"/>
              <w:rPr>
                <w:rFonts w:ascii="Times New Roman" w:hAnsi="Times New Roman"/>
                <w:sz w:val="20"/>
                <w:szCs w:val="20"/>
              </w:rPr>
            </w:pPr>
            <w:r w:rsidRPr="00712F3C">
              <w:rPr>
                <w:rFonts w:ascii="Times New Roman" w:hAnsi="Times New Roman"/>
                <w:sz w:val="20"/>
                <w:szCs w:val="20"/>
              </w:rPr>
              <w:t>Notwithstanding anything contained in these articles but subject to the provisions of sections 68 to 70 and any other applicable provision of the Act or any other law for the time being in force, the company may purchase its own shares or other specified securities.</w:t>
            </w:r>
          </w:p>
          <w:p w14:paraId="70C2A4F8" w14:textId="77777777" w:rsidR="004047F2" w:rsidRPr="00712F3C" w:rsidRDefault="004047F2" w:rsidP="00250DAC">
            <w:pPr>
              <w:spacing w:after="0" w:line="240" w:lineRule="auto"/>
              <w:ind w:left="90" w:right="122"/>
              <w:jc w:val="both"/>
              <w:rPr>
                <w:rFonts w:ascii="Times New Roman" w:hAnsi="Times New Roman"/>
                <w:sz w:val="20"/>
                <w:szCs w:val="20"/>
              </w:rPr>
            </w:pPr>
          </w:p>
        </w:tc>
      </w:tr>
      <w:tr w:rsidR="004047F2" w:rsidRPr="00712F3C" w14:paraId="0EE76904" w14:textId="77777777" w:rsidTr="00250DAC">
        <w:trPr>
          <w:trHeight w:val="20"/>
        </w:trPr>
        <w:tc>
          <w:tcPr>
            <w:tcW w:w="5000" w:type="pct"/>
            <w:gridSpan w:val="2"/>
            <w:shd w:val="clear" w:color="auto" w:fill="auto"/>
          </w:tcPr>
          <w:p w14:paraId="0720B39A" w14:textId="77777777" w:rsidR="004047F2" w:rsidRPr="00712F3C" w:rsidRDefault="004047F2" w:rsidP="00250DAC">
            <w:pPr>
              <w:tabs>
                <w:tab w:val="left" w:pos="810"/>
              </w:tabs>
              <w:spacing w:after="0" w:line="240" w:lineRule="auto"/>
              <w:ind w:left="93" w:right="122"/>
              <w:jc w:val="center"/>
              <w:rPr>
                <w:rFonts w:ascii="Times New Roman" w:eastAsiaTheme="minorHAnsi" w:hAnsi="Times New Roman"/>
                <w:b/>
                <w:bCs/>
                <w:iCs/>
                <w:sz w:val="20"/>
                <w:szCs w:val="20"/>
              </w:rPr>
            </w:pPr>
            <w:r w:rsidRPr="00712F3C">
              <w:rPr>
                <w:rFonts w:ascii="Times New Roman" w:eastAsiaTheme="minorHAnsi" w:hAnsi="Times New Roman"/>
                <w:b/>
                <w:bCs/>
                <w:iCs/>
                <w:sz w:val="20"/>
                <w:szCs w:val="20"/>
              </w:rPr>
              <w:t>GENERAL MEETINGS</w:t>
            </w:r>
          </w:p>
          <w:p w14:paraId="0C96C3EF" w14:textId="77777777" w:rsidR="004047F2" w:rsidRPr="00712F3C" w:rsidRDefault="004047F2" w:rsidP="00250DAC">
            <w:pPr>
              <w:tabs>
                <w:tab w:val="left" w:pos="810"/>
              </w:tabs>
              <w:spacing w:after="0" w:line="240" w:lineRule="auto"/>
              <w:ind w:left="93" w:right="122"/>
              <w:jc w:val="center"/>
              <w:rPr>
                <w:rFonts w:ascii="Times New Roman" w:hAnsi="Times New Roman"/>
                <w:sz w:val="20"/>
                <w:szCs w:val="20"/>
              </w:rPr>
            </w:pPr>
          </w:p>
        </w:tc>
      </w:tr>
      <w:tr w:rsidR="004047F2" w:rsidRPr="00712F3C" w14:paraId="660BC816" w14:textId="77777777" w:rsidTr="00250DAC">
        <w:trPr>
          <w:trHeight w:val="20"/>
        </w:trPr>
        <w:tc>
          <w:tcPr>
            <w:tcW w:w="517" w:type="pct"/>
            <w:shd w:val="clear" w:color="auto" w:fill="auto"/>
          </w:tcPr>
          <w:p w14:paraId="5EB472FA"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4BABC752" w14:textId="77777777" w:rsidR="004047F2" w:rsidRPr="00712F3C" w:rsidRDefault="004047F2" w:rsidP="00250DAC">
            <w:pPr>
              <w:spacing w:after="0" w:line="240" w:lineRule="auto"/>
              <w:ind w:left="90" w:right="122"/>
              <w:jc w:val="both"/>
              <w:rPr>
                <w:rFonts w:ascii="Times New Roman" w:hAnsi="Times New Roman"/>
                <w:sz w:val="20"/>
                <w:szCs w:val="20"/>
              </w:rPr>
            </w:pPr>
            <w:r w:rsidRPr="00712F3C">
              <w:rPr>
                <w:rFonts w:ascii="Times New Roman" w:hAnsi="Times New Roman"/>
                <w:sz w:val="20"/>
                <w:szCs w:val="20"/>
              </w:rPr>
              <w:t>All general meetings other than annual general meeting shall be called extraordinary general meeting.</w:t>
            </w:r>
          </w:p>
          <w:p w14:paraId="180A8137" w14:textId="77777777" w:rsidR="004047F2" w:rsidRPr="00712F3C" w:rsidRDefault="004047F2" w:rsidP="00250DAC">
            <w:pPr>
              <w:spacing w:after="0" w:line="240" w:lineRule="auto"/>
              <w:ind w:left="90" w:right="122"/>
              <w:jc w:val="both"/>
              <w:rPr>
                <w:rFonts w:ascii="Times New Roman" w:hAnsi="Times New Roman"/>
                <w:sz w:val="20"/>
                <w:szCs w:val="20"/>
              </w:rPr>
            </w:pPr>
          </w:p>
        </w:tc>
      </w:tr>
      <w:tr w:rsidR="004047F2" w:rsidRPr="00712F3C" w14:paraId="5B9E749E" w14:textId="77777777" w:rsidTr="00250DAC">
        <w:trPr>
          <w:trHeight w:val="20"/>
        </w:trPr>
        <w:tc>
          <w:tcPr>
            <w:tcW w:w="517" w:type="pct"/>
            <w:shd w:val="clear" w:color="auto" w:fill="auto"/>
          </w:tcPr>
          <w:p w14:paraId="6D07DB2B"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616FDF07" w14:textId="77777777" w:rsidR="004047F2" w:rsidRPr="00712F3C" w:rsidRDefault="004047F2">
            <w:pPr>
              <w:pStyle w:val="ListParagraph"/>
              <w:numPr>
                <w:ilvl w:val="0"/>
                <w:numId w:val="257"/>
              </w:numPr>
              <w:spacing w:line="240" w:lineRule="auto"/>
              <w:ind w:right="122"/>
              <w:jc w:val="both"/>
              <w:rPr>
                <w:sz w:val="20"/>
                <w:szCs w:val="20"/>
              </w:rPr>
            </w:pPr>
            <w:r w:rsidRPr="00712F3C">
              <w:rPr>
                <w:sz w:val="20"/>
                <w:szCs w:val="20"/>
              </w:rPr>
              <w:t>The Board may, whenever it thinks fit, call an extraordinary general meeting.</w:t>
            </w:r>
          </w:p>
          <w:p w14:paraId="1BCC0AA7" w14:textId="77777777" w:rsidR="004047F2" w:rsidRPr="00712F3C" w:rsidRDefault="004047F2" w:rsidP="00250DAC">
            <w:pPr>
              <w:pStyle w:val="ListParagraph"/>
              <w:spacing w:line="240" w:lineRule="auto"/>
              <w:ind w:right="122"/>
              <w:jc w:val="both"/>
              <w:rPr>
                <w:sz w:val="20"/>
                <w:szCs w:val="20"/>
              </w:rPr>
            </w:pPr>
          </w:p>
          <w:p w14:paraId="7DC16CD9" w14:textId="77777777" w:rsidR="004047F2" w:rsidRPr="00712F3C" w:rsidRDefault="004047F2">
            <w:pPr>
              <w:pStyle w:val="ListParagraph"/>
              <w:numPr>
                <w:ilvl w:val="0"/>
                <w:numId w:val="257"/>
              </w:numPr>
              <w:spacing w:line="240" w:lineRule="auto"/>
              <w:ind w:right="122"/>
              <w:jc w:val="both"/>
              <w:rPr>
                <w:sz w:val="20"/>
                <w:szCs w:val="20"/>
              </w:rPr>
            </w:pPr>
            <w:r w:rsidRPr="00712F3C">
              <w:rPr>
                <w:sz w:val="20"/>
                <w:szCs w:val="20"/>
              </w:rPr>
              <w:t>If at any time directors capable of acting who are sufficient in number to form a quorum are not within India, any director or any two members of the company may call an extraordinary general meeting in the same manner, as nearly as possible, as that in which such a meeting may be called by the Board.</w:t>
            </w:r>
          </w:p>
          <w:p w14:paraId="0079CC47" w14:textId="77777777" w:rsidR="004047F2" w:rsidRPr="00712F3C" w:rsidRDefault="004047F2" w:rsidP="00250DAC">
            <w:pPr>
              <w:pStyle w:val="ListParagraph"/>
              <w:spacing w:line="240" w:lineRule="auto"/>
              <w:ind w:right="122"/>
              <w:jc w:val="both"/>
              <w:rPr>
                <w:sz w:val="20"/>
                <w:szCs w:val="20"/>
              </w:rPr>
            </w:pPr>
          </w:p>
        </w:tc>
      </w:tr>
      <w:tr w:rsidR="004047F2" w:rsidRPr="00712F3C" w14:paraId="6547D3CF" w14:textId="77777777" w:rsidTr="00250DAC">
        <w:trPr>
          <w:trHeight w:val="20"/>
        </w:trPr>
        <w:tc>
          <w:tcPr>
            <w:tcW w:w="5000" w:type="pct"/>
            <w:gridSpan w:val="2"/>
            <w:shd w:val="clear" w:color="auto" w:fill="auto"/>
          </w:tcPr>
          <w:p w14:paraId="68ECAD69" w14:textId="77777777" w:rsidR="004047F2" w:rsidRPr="00712F3C" w:rsidRDefault="004047F2" w:rsidP="00250DAC">
            <w:pPr>
              <w:spacing w:after="0" w:line="240" w:lineRule="auto"/>
              <w:ind w:left="93" w:right="122"/>
              <w:jc w:val="center"/>
              <w:rPr>
                <w:rFonts w:ascii="Times New Roman" w:eastAsiaTheme="minorHAnsi" w:hAnsi="Times New Roman"/>
                <w:b/>
                <w:bCs/>
                <w:iCs/>
                <w:sz w:val="20"/>
                <w:szCs w:val="20"/>
              </w:rPr>
            </w:pPr>
            <w:r w:rsidRPr="00712F3C">
              <w:rPr>
                <w:rFonts w:ascii="Times New Roman" w:eastAsiaTheme="minorHAnsi" w:hAnsi="Times New Roman"/>
                <w:b/>
                <w:bCs/>
                <w:iCs/>
                <w:sz w:val="20"/>
                <w:szCs w:val="20"/>
              </w:rPr>
              <w:t>PROCEEDINGS AT GENERAL MEETINGS</w:t>
            </w:r>
          </w:p>
          <w:p w14:paraId="5AC57C8B" w14:textId="77777777" w:rsidR="004047F2" w:rsidRPr="00712F3C" w:rsidRDefault="004047F2" w:rsidP="00250DAC">
            <w:pPr>
              <w:spacing w:after="0" w:line="240" w:lineRule="auto"/>
              <w:ind w:left="93" w:right="122"/>
              <w:jc w:val="center"/>
              <w:rPr>
                <w:rFonts w:ascii="Times New Roman" w:hAnsi="Times New Roman"/>
                <w:sz w:val="20"/>
                <w:szCs w:val="20"/>
              </w:rPr>
            </w:pPr>
          </w:p>
        </w:tc>
      </w:tr>
      <w:tr w:rsidR="004047F2" w:rsidRPr="00712F3C" w14:paraId="25774F50" w14:textId="77777777" w:rsidTr="00250DAC">
        <w:trPr>
          <w:trHeight w:val="20"/>
        </w:trPr>
        <w:tc>
          <w:tcPr>
            <w:tcW w:w="517" w:type="pct"/>
            <w:shd w:val="clear" w:color="auto" w:fill="auto"/>
          </w:tcPr>
          <w:p w14:paraId="0F959AF2"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7965FB38" w14:textId="77777777" w:rsidR="004047F2" w:rsidRPr="00712F3C" w:rsidRDefault="004047F2">
            <w:pPr>
              <w:pStyle w:val="ListParagraph"/>
              <w:numPr>
                <w:ilvl w:val="0"/>
                <w:numId w:val="258"/>
              </w:numPr>
              <w:spacing w:line="240" w:lineRule="auto"/>
              <w:ind w:right="122"/>
              <w:jc w:val="both"/>
              <w:rPr>
                <w:sz w:val="20"/>
                <w:szCs w:val="20"/>
              </w:rPr>
            </w:pPr>
            <w:r w:rsidRPr="00712F3C">
              <w:rPr>
                <w:sz w:val="20"/>
                <w:szCs w:val="20"/>
              </w:rPr>
              <w:t>No business shall be transacted at any general meeting unless a quorum of members is present at the time when the meeting proceeds to business.</w:t>
            </w:r>
          </w:p>
          <w:p w14:paraId="58639438" w14:textId="77777777" w:rsidR="004047F2" w:rsidRPr="00712F3C" w:rsidRDefault="004047F2" w:rsidP="00250DAC">
            <w:pPr>
              <w:pStyle w:val="ListParagraph"/>
              <w:spacing w:line="240" w:lineRule="auto"/>
              <w:ind w:right="122"/>
              <w:jc w:val="both"/>
              <w:rPr>
                <w:sz w:val="20"/>
                <w:szCs w:val="20"/>
              </w:rPr>
            </w:pPr>
          </w:p>
          <w:p w14:paraId="7F3A125D" w14:textId="77777777" w:rsidR="004047F2" w:rsidRPr="00712F3C" w:rsidRDefault="004047F2">
            <w:pPr>
              <w:pStyle w:val="ListParagraph"/>
              <w:numPr>
                <w:ilvl w:val="0"/>
                <w:numId w:val="258"/>
              </w:numPr>
              <w:spacing w:line="240" w:lineRule="auto"/>
              <w:ind w:right="122"/>
              <w:jc w:val="both"/>
              <w:rPr>
                <w:sz w:val="20"/>
                <w:szCs w:val="20"/>
              </w:rPr>
            </w:pPr>
            <w:r w:rsidRPr="00712F3C">
              <w:rPr>
                <w:sz w:val="20"/>
                <w:szCs w:val="20"/>
              </w:rPr>
              <w:t>Save as otherwise provided herein, the quorum for the general meetings shall be as provided in section 103.</w:t>
            </w:r>
          </w:p>
          <w:p w14:paraId="71DF7ACF" w14:textId="77777777" w:rsidR="004047F2" w:rsidRPr="00712F3C" w:rsidRDefault="004047F2" w:rsidP="00250DAC">
            <w:pPr>
              <w:pStyle w:val="ListParagraph"/>
              <w:spacing w:line="240" w:lineRule="auto"/>
              <w:ind w:right="122"/>
              <w:jc w:val="both"/>
              <w:rPr>
                <w:sz w:val="20"/>
                <w:szCs w:val="20"/>
              </w:rPr>
            </w:pPr>
          </w:p>
        </w:tc>
      </w:tr>
      <w:tr w:rsidR="004047F2" w:rsidRPr="00712F3C" w14:paraId="3AC44EE2" w14:textId="77777777" w:rsidTr="00250DAC">
        <w:trPr>
          <w:trHeight w:val="20"/>
        </w:trPr>
        <w:tc>
          <w:tcPr>
            <w:tcW w:w="517" w:type="pct"/>
            <w:shd w:val="clear" w:color="auto" w:fill="auto"/>
          </w:tcPr>
          <w:p w14:paraId="6D2A6A21"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0F366B6D" w14:textId="77777777" w:rsidR="004047F2" w:rsidRPr="00712F3C" w:rsidRDefault="004047F2" w:rsidP="00250DAC">
            <w:pPr>
              <w:spacing w:after="0" w:line="240" w:lineRule="auto"/>
              <w:ind w:left="90" w:right="122"/>
              <w:jc w:val="both"/>
              <w:rPr>
                <w:rFonts w:ascii="Times New Roman" w:hAnsi="Times New Roman"/>
                <w:sz w:val="20"/>
                <w:szCs w:val="20"/>
              </w:rPr>
            </w:pPr>
            <w:r w:rsidRPr="00712F3C">
              <w:rPr>
                <w:rFonts w:ascii="Times New Roman" w:hAnsi="Times New Roman"/>
                <w:sz w:val="20"/>
                <w:szCs w:val="20"/>
              </w:rPr>
              <w:t>The chairperson, if any, of the Board shall preside as Chairperson at every general meeting of the company.</w:t>
            </w:r>
          </w:p>
          <w:p w14:paraId="35C3FCC1" w14:textId="77777777" w:rsidR="004047F2" w:rsidRPr="00712F3C" w:rsidRDefault="004047F2" w:rsidP="00250DAC">
            <w:pPr>
              <w:spacing w:after="0" w:line="240" w:lineRule="auto"/>
              <w:ind w:left="90" w:right="122"/>
              <w:jc w:val="both"/>
              <w:rPr>
                <w:rFonts w:ascii="Times New Roman" w:hAnsi="Times New Roman"/>
                <w:sz w:val="20"/>
                <w:szCs w:val="20"/>
              </w:rPr>
            </w:pPr>
          </w:p>
        </w:tc>
      </w:tr>
      <w:tr w:rsidR="004047F2" w:rsidRPr="00712F3C" w14:paraId="2051E4C6" w14:textId="77777777" w:rsidTr="00250DAC">
        <w:trPr>
          <w:trHeight w:val="20"/>
        </w:trPr>
        <w:tc>
          <w:tcPr>
            <w:tcW w:w="517" w:type="pct"/>
            <w:shd w:val="clear" w:color="auto" w:fill="auto"/>
          </w:tcPr>
          <w:p w14:paraId="1812F49E"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2A3F13F0" w14:textId="77777777" w:rsidR="004047F2" w:rsidRPr="00712F3C" w:rsidRDefault="004047F2" w:rsidP="00250DAC">
            <w:pPr>
              <w:spacing w:after="0" w:line="240" w:lineRule="auto"/>
              <w:ind w:left="90" w:right="122"/>
              <w:jc w:val="both"/>
              <w:rPr>
                <w:rFonts w:ascii="Times New Roman" w:hAnsi="Times New Roman"/>
                <w:sz w:val="20"/>
                <w:szCs w:val="20"/>
              </w:rPr>
            </w:pPr>
            <w:r w:rsidRPr="00712F3C">
              <w:rPr>
                <w:rFonts w:ascii="Times New Roman" w:hAnsi="Times New Roman"/>
                <w:sz w:val="20"/>
                <w:szCs w:val="20"/>
              </w:rPr>
              <w:t>If there is no such Chairperson, or if he is not present within fifteen minutes after the time appointed for holding the meeting or is unwilling to act as chairperson of the meeting, the directors present shall elect one of their members to be Chairperson of the meeting.</w:t>
            </w:r>
          </w:p>
          <w:p w14:paraId="50EC9D0D" w14:textId="77777777" w:rsidR="004047F2" w:rsidRPr="00712F3C" w:rsidRDefault="004047F2" w:rsidP="00250DAC">
            <w:pPr>
              <w:spacing w:after="0" w:line="240" w:lineRule="auto"/>
              <w:ind w:left="90" w:right="122"/>
              <w:jc w:val="both"/>
              <w:rPr>
                <w:rFonts w:ascii="Times New Roman" w:hAnsi="Times New Roman"/>
                <w:sz w:val="20"/>
                <w:szCs w:val="20"/>
              </w:rPr>
            </w:pPr>
          </w:p>
        </w:tc>
      </w:tr>
      <w:tr w:rsidR="004047F2" w:rsidRPr="00712F3C" w14:paraId="2B9B6CA2" w14:textId="77777777" w:rsidTr="00250DAC">
        <w:trPr>
          <w:trHeight w:val="20"/>
        </w:trPr>
        <w:tc>
          <w:tcPr>
            <w:tcW w:w="517" w:type="pct"/>
            <w:shd w:val="clear" w:color="auto" w:fill="auto"/>
          </w:tcPr>
          <w:p w14:paraId="00C24CBC"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390682BE" w14:textId="77777777" w:rsidR="004047F2" w:rsidRPr="00712F3C" w:rsidRDefault="004047F2" w:rsidP="00250DAC">
            <w:pPr>
              <w:spacing w:after="0" w:line="240" w:lineRule="auto"/>
              <w:ind w:left="90" w:right="122"/>
              <w:jc w:val="both"/>
              <w:rPr>
                <w:rFonts w:ascii="Times New Roman" w:hAnsi="Times New Roman"/>
                <w:sz w:val="20"/>
                <w:szCs w:val="20"/>
              </w:rPr>
            </w:pPr>
            <w:r w:rsidRPr="00712F3C">
              <w:rPr>
                <w:rFonts w:ascii="Times New Roman" w:hAnsi="Times New Roman"/>
                <w:sz w:val="20"/>
                <w:szCs w:val="20"/>
              </w:rPr>
              <w:t>If at any meeting no director is willing to act as Chairperson or if no director is present within fifteen minutes after the time appointed for holding the meeting, the members present shall choose one of their members to be Chairperson of the meeting.</w:t>
            </w:r>
          </w:p>
          <w:p w14:paraId="49D28093" w14:textId="77777777" w:rsidR="004047F2" w:rsidRPr="00712F3C" w:rsidRDefault="004047F2" w:rsidP="00250DAC">
            <w:pPr>
              <w:spacing w:after="0" w:line="240" w:lineRule="auto"/>
              <w:ind w:left="90" w:right="122"/>
              <w:jc w:val="both"/>
              <w:rPr>
                <w:rFonts w:ascii="Times New Roman" w:hAnsi="Times New Roman"/>
                <w:sz w:val="20"/>
                <w:szCs w:val="20"/>
              </w:rPr>
            </w:pPr>
          </w:p>
        </w:tc>
      </w:tr>
      <w:tr w:rsidR="004047F2" w:rsidRPr="00712F3C" w14:paraId="179830A2" w14:textId="77777777" w:rsidTr="00250DAC">
        <w:trPr>
          <w:trHeight w:val="20"/>
        </w:trPr>
        <w:tc>
          <w:tcPr>
            <w:tcW w:w="5000" w:type="pct"/>
            <w:gridSpan w:val="2"/>
            <w:shd w:val="clear" w:color="auto" w:fill="auto"/>
          </w:tcPr>
          <w:p w14:paraId="04A3458B" w14:textId="77777777" w:rsidR="004047F2" w:rsidRPr="00712F3C" w:rsidRDefault="004047F2" w:rsidP="00250DAC">
            <w:pPr>
              <w:spacing w:after="0" w:line="240" w:lineRule="auto"/>
              <w:ind w:right="122"/>
              <w:jc w:val="center"/>
              <w:rPr>
                <w:rFonts w:ascii="Times New Roman" w:eastAsiaTheme="minorHAnsi" w:hAnsi="Times New Roman"/>
                <w:b/>
                <w:bCs/>
                <w:iCs/>
                <w:sz w:val="20"/>
                <w:szCs w:val="20"/>
              </w:rPr>
            </w:pPr>
            <w:r w:rsidRPr="00712F3C">
              <w:rPr>
                <w:rFonts w:ascii="Times New Roman" w:eastAsiaTheme="minorHAnsi" w:hAnsi="Times New Roman"/>
                <w:b/>
                <w:bCs/>
                <w:iCs/>
                <w:sz w:val="20"/>
                <w:szCs w:val="20"/>
              </w:rPr>
              <w:t>ADJOURNMENT OF MEETING</w:t>
            </w:r>
          </w:p>
          <w:p w14:paraId="06AF8BF0" w14:textId="77777777" w:rsidR="004047F2" w:rsidRPr="00712F3C" w:rsidRDefault="004047F2" w:rsidP="00250DAC">
            <w:pPr>
              <w:spacing w:after="0" w:line="240" w:lineRule="auto"/>
              <w:ind w:right="122"/>
              <w:jc w:val="center"/>
              <w:rPr>
                <w:rFonts w:ascii="Times New Roman" w:hAnsi="Times New Roman"/>
                <w:sz w:val="20"/>
                <w:szCs w:val="20"/>
              </w:rPr>
            </w:pPr>
          </w:p>
        </w:tc>
      </w:tr>
      <w:tr w:rsidR="004047F2" w:rsidRPr="00712F3C" w14:paraId="5D5DC049" w14:textId="77777777" w:rsidTr="00250DAC">
        <w:trPr>
          <w:trHeight w:val="20"/>
        </w:trPr>
        <w:tc>
          <w:tcPr>
            <w:tcW w:w="517" w:type="pct"/>
            <w:shd w:val="clear" w:color="auto" w:fill="auto"/>
          </w:tcPr>
          <w:p w14:paraId="448E8467"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2A7A3D2F" w14:textId="77777777" w:rsidR="004047F2" w:rsidRPr="00712F3C" w:rsidRDefault="004047F2">
            <w:pPr>
              <w:pStyle w:val="ListParagraph"/>
              <w:numPr>
                <w:ilvl w:val="0"/>
                <w:numId w:val="259"/>
              </w:numPr>
              <w:spacing w:line="240" w:lineRule="auto"/>
              <w:ind w:right="122"/>
              <w:jc w:val="both"/>
              <w:rPr>
                <w:sz w:val="20"/>
                <w:szCs w:val="20"/>
              </w:rPr>
            </w:pPr>
            <w:r w:rsidRPr="00712F3C">
              <w:rPr>
                <w:sz w:val="20"/>
                <w:szCs w:val="20"/>
              </w:rPr>
              <w:t>The Chairperson may, with the consent of any meeting at which a quorum is present, and shall, if so directed by the meeting, adjourn the meeting from time to time and from place to place.</w:t>
            </w:r>
          </w:p>
          <w:p w14:paraId="2E89FEC7" w14:textId="77777777" w:rsidR="004047F2" w:rsidRPr="00712F3C" w:rsidRDefault="004047F2" w:rsidP="00250DAC">
            <w:pPr>
              <w:pStyle w:val="ListParagraph"/>
              <w:spacing w:line="240" w:lineRule="auto"/>
              <w:ind w:right="122"/>
              <w:jc w:val="both"/>
              <w:rPr>
                <w:sz w:val="20"/>
                <w:szCs w:val="20"/>
              </w:rPr>
            </w:pPr>
          </w:p>
          <w:p w14:paraId="7EFFF5CD" w14:textId="77777777" w:rsidR="004047F2" w:rsidRPr="00712F3C" w:rsidRDefault="004047F2">
            <w:pPr>
              <w:pStyle w:val="ListParagraph"/>
              <w:numPr>
                <w:ilvl w:val="0"/>
                <w:numId w:val="259"/>
              </w:numPr>
              <w:spacing w:line="240" w:lineRule="auto"/>
              <w:ind w:right="122"/>
              <w:jc w:val="both"/>
              <w:rPr>
                <w:sz w:val="20"/>
                <w:szCs w:val="20"/>
              </w:rPr>
            </w:pPr>
            <w:r w:rsidRPr="00712F3C">
              <w:rPr>
                <w:sz w:val="20"/>
                <w:szCs w:val="20"/>
              </w:rPr>
              <w:t>No business shall be transacted at any adjourned meeting other than the business left unfinished at the meeting from which the adjournment took place.</w:t>
            </w:r>
          </w:p>
          <w:p w14:paraId="3C85ADB0" w14:textId="77777777" w:rsidR="004047F2" w:rsidRPr="00712F3C" w:rsidRDefault="004047F2" w:rsidP="00250DAC">
            <w:pPr>
              <w:pStyle w:val="ListParagraph"/>
              <w:spacing w:line="240" w:lineRule="auto"/>
              <w:ind w:right="122"/>
              <w:jc w:val="both"/>
              <w:rPr>
                <w:sz w:val="20"/>
                <w:szCs w:val="20"/>
              </w:rPr>
            </w:pPr>
          </w:p>
          <w:p w14:paraId="6F650849" w14:textId="77777777" w:rsidR="004047F2" w:rsidRPr="00712F3C" w:rsidRDefault="004047F2">
            <w:pPr>
              <w:pStyle w:val="ListParagraph"/>
              <w:numPr>
                <w:ilvl w:val="0"/>
                <w:numId w:val="259"/>
              </w:numPr>
              <w:spacing w:line="240" w:lineRule="auto"/>
              <w:ind w:right="122"/>
              <w:jc w:val="both"/>
              <w:rPr>
                <w:sz w:val="20"/>
                <w:szCs w:val="20"/>
              </w:rPr>
            </w:pPr>
            <w:r w:rsidRPr="00712F3C">
              <w:rPr>
                <w:sz w:val="20"/>
                <w:szCs w:val="20"/>
              </w:rPr>
              <w:t>When a meeting is adjourned for thirty days or more, notice of the adjourned meeting shall be given as in the case of an original meeting.</w:t>
            </w:r>
          </w:p>
          <w:p w14:paraId="11FBC013" w14:textId="77777777" w:rsidR="004047F2" w:rsidRPr="00712F3C" w:rsidRDefault="004047F2" w:rsidP="00250DAC">
            <w:pPr>
              <w:pStyle w:val="ListParagraph"/>
              <w:spacing w:line="240" w:lineRule="auto"/>
              <w:ind w:right="122"/>
              <w:jc w:val="both"/>
              <w:rPr>
                <w:sz w:val="20"/>
                <w:szCs w:val="20"/>
              </w:rPr>
            </w:pPr>
          </w:p>
          <w:p w14:paraId="02044D95" w14:textId="77777777" w:rsidR="004047F2" w:rsidRPr="00712F3C" w:rsidRDefault="004047F2">
            <w:pPr>
              <w:pStyle w:val="ListParagraph"/>
              <w:numPr>
                <w:ilvl w:val="0"/>
                <w:numId w:val="259"/>
              </w:numPr>
              <w:spacing w:line="240" w:lineRule="auto"/>
              <w:ind w:right="122"/>
              <w:jc w:val="both"/>
              <w:rPr>
                <w:sz w:val="20"/>
                <w:szCs w:val="20"/>
              </w:rPr>
            </w:pPr>
            <w:r w:rsidRPr="00712F3C">
              <w:rPr>
                <w:sz w:val="20"/>
                <w:szCs w:val="20"/>
              </w:rPr>
              <w:t>Save as aforesaid, and as provided in section 103 of the Act, it shall not be necessary to give any notice of an adjournment or of the business to be transacted at an adjourned meeting.</w:t>
            </w:r>
          </w:p>
          <w:p w14:paraId="7A20F4D6" w14:textId="77777777" w:rsidR="004047F2" w:rsidRPr="00712F3C" w:rsidRDefault="004047F2" w:rsidP="00250DAC">
            <w:pPr>
              <w:pStyle w:val="ListParagraph"/>
              <w:spacing w:line="240" w:lineRule="auto"/>
              <w:ind w:right="122"/>
              <w:jc w:val="both"/>
              <w:rPr>
                <w:sz w:val="20"/>
                <w:szCs w:val="20"/>
              </w:rPr>
            </w:pPr>
          </w:p>
        </w:tc>
      </w:tr>
      <w:tr w:rsidR="004047F2" w:rsidRPr="00712F3C" w14:paraId="333111E5" w14:textId="77777777" w:rsidTr="00250DAC">
        <w:trPr>
          <w:trHeight w:val="20"/>
        </w:trPr>
        <w:tc>
          <w:tcPr>
            <w:tcW w:w="5000" w:type="pct"/>
            <w:gridSpan w:val="2"/>
            <w:shd w:val="clear" w:color="auto" w:fill="auto"/>
          </w:tcPr>
          <w:p w14:paraId="70A69BBD" w14:textId="77777777" w:rsidR="004047F2" w:rsidRPr="00712F3C" w:rsidRDefault="004047F2" w:rsidP="00250DAC">
            <w:pPr>
              <w:spacing w:after="0" w:line="240" w:lineRule="auto"/>
              <w:ind w:right="122"/>
              <w:jc w:val="center"/>
              <w:rPr>
                <w:rFonts w:ascii="Times New Roman" w:eastAsiaTheme="minorHAnsi" w:hAnsi="Times New Roman"/>
                <w:b/>
                <w:bCs/>
                <w:iCs/>
                <w:sz w:val="20"/>
                <w:szCs w:val="20"/>
              </w:rPr>
            </w:pPr>
            <w:r w:rsidRPr="00712F3C">
              <w:rPr>
                <w:rFonts w:ascii="Times New Roman" w:eastAsiaTheme="minorHAnsi" w:hAnsi="Times New Roman"/>
                <w:b/>
                <w:bCs/>
                <w:iCs/>
                <w:sz w:val="20"/>
                <w:szCs w:val="20"/>
              </w:rPr>
              <w:t>VOTING RIGHTS</w:t>
            </w:r>
          </w:p>
          <w:p w14:paraId="42B19F17" w14:textId="77777777" w:rsidR="004047F2" w:rsidRPr="00712F3C" w:rsidRDefault="004047F2" w:rsidP="00250DAC">
            <w:pPr>
              <w:spacing w:after="0" w:line="240" w:lineRule="auto"/>
              <w:ind w:right="122"/>
              <w:jc w:val="center"/>
              <w:rPr>
                <w:rFonts w:ascii="Times New Roman" w:hAnsi="Times New Roman"/>
                <w:sz w:val="20"/>
                <w:szCs w:val="20"/>
              </w:rPr>
            </w:pPr>
          </w:p>
        </w:tc>
      </w:tr>
      <w:tr w:rsidR="004047F2" w:rsidRPr="00712F3C" w14:paraId="5F48C524" w14:textId="77777777" w:rsidTr="00250DAC">
        <w:trPr>
          <w:trHeight w:val="20"/>
        </w:trPr>
        <w:tc>
          <w:tcPr>
            <w:tcW w:w="517" w:type="pct"/>
            <w:shd w:val="clear" w:color="auto" w:fill="auto"/>
          </w:tcPr>
          <w:p w14:paraId="7C883E2D"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11C64933" w14:textId="77777777" w:rsidR="004047F2" w:rsidRPr="00712F3C" w:rsidRDefault="004047F2" w:rsidP="00250DAC">
            <w:pPr>
              <w:spacing w:after="0" w:line="240" w:lineRule="auto"/>
              <w:ind w:left="90" w:right="122"/>
              <w:jc w:val="both"/>
              <w:rPr>
                <w:rFonts w:ascii="Times New Roman" w:hAnsi="Times New Roman"/>
                <w:sz w:val="20"/>
                <w:szCs w:val="20"/>
              </w:rPr>
            </w:pPr>
            <w:r w:rsidRPr="00712F3C">
              <w:rPr>
                <w:rFonts w:ascii="Times New Roman" w:hAnsi="Times New Roman"/>
                <w:sz w:val="20"/>
                <w:szCs w:val="20"/>
              </w:rPr>
              <w:t>Subject to any rights or restrictions for the time being attached to any class or classes of shares,</w:t>
            </w:r>
          </w:p>
          <w:p w14:paraId="7EF2DEF3" w14:textId="77777777" w:rsidR="004047F2" w:rsidRPr="00712F3C" w:rsidRDefault="004047F2">
            <w:pPr>
              <w:pStyle w:val="ListParagraph"/>
              <w:numPr>
                <w:ilvl w:val="0"/>
                <w:numId w:val="260"/>
              </w:numPr>
              <w:spacing w:line="240" w:lineRule="auto"/>
              <w:ind w:right="122"/>
              <w:jc w:val="both"/>
              <w:rPr>
                <w:sz w:val="20"/>
                <w:szCs w:val="20"/>
              </w:rPr>
            </w:pPr>
            <w:r w:rsidRPr="00712F3C">
              <w:rPr>
                <w:sz w:val="20"/>
                <w:szCs w:val="20"/>
              </w:rPr>
              <w:t xml:space="preserve">on a show of hands, every member present in person shall have one vote; </w:t>
            </w:r>
          </w:p>
          <w:p w14:paraId="465FFDAC" w14:textId="77777777" w:rsidR="004047F2" w:rsidRPr="00712F3C" w:rsidRDefault="004047F2" w:rsidP="00250DAC">
            <w:pPr>
              <w:pStyle w:val="ListParagraph"/>
              <w:spacing w:line="240" w:lineRule="auto"/>
              <w:ind w:right="122"/>
              <w:jc w:val="both"/>
              <w:rPr>
                <w:sz w:val="20"/>
                <w:szCs w:val="20"/>
              </w:rPr>
            </w:pPr>
          </w:p>
          <w:p w14:paraId="6B9390D0" w14:textId="77777777" w:rsidR="004047F2" w:rsidRPr="00712F3C" w:rsidRDefault="004047F2">
            <w:pPr>
              <w:pStyle w:val="ListParagraph"/>
              <w:numPr>
                <w:ilvl w:val="0"/>
                <w:numId w:val="260"/>
              </w:numPr>
              <w:spacing w:line="240" w:lineRule="auto"/>
              <w:ind w:right="122"/>
              <w:jc w:val="both"/>
              <w:rPr>
                <w:sz w:val="20"/>
                <w:szCs w:val="20"/>
              </w:rPr>
            </w:pPr>
            <w:r w:rsidRPr="00712F3C">
              <w:rPr>
                <w:sz w:val="20"/>
                <w:szCs w:val="20"/>
              </w:rPr>
              <w:t>and on a poll, the voting rights of members shall be in proportion to his share in the paid-up equity share capital of the company.</w:t>
            </w:r>
          </w:p>
          <w:p w14:paraId="172779E5" w14:textId="77777777" w:rsidR="004047F2" w:rsidRPr="00712F3C" w:rsidRDefault="004047F2" w:rsidP="00250DAC">
            <w:pPr>
              <w:pStyle w:val="ListParagraph"/>
              <w:spacing w:line="240" w:lineRule="auto"/>
              <w:ind w:right="122"/>
              <w:jc w:val="both"/>
              <w:rPr>
                <w:sz w:val="20"/>
                <w:szCs w:val="20"/>
              </w:rPr>
            </w:pPr>
          </w:p>
          <w:p w14:paraId="607C0342" w14:textId="77777777" w:rsidR="004047F2" w:rsidRPr="00712F3C" w:rsidRDefault="004047F2">
            <w:pPr>
              <w:pStyle w:val="ListParagraph"/>
              <w:numPr>
                <w:ilvl w:val="0"/>
                <w:numId w:val="260"/>
              </w:numPr>
              <w:spacing w:line="240" w:lineRule="auto"/>
              <w:ind w:right="122"/>
              <w:jc w:val="both"/>
              <w:rPr>
                <w:sz w:val="20"/>
                <w:szCs w:val="20"/>
              </w:rPr>
            </w:pPr>
            <w:r w:rsidRPr="00712F3C">
              <w:rPr>
                <w:sz w:val="20"/>
                <w:szCs w:val="20"/>
              </w:rPr>
              <w:t>That option or right to call of shares shall not be given to any person except with the sanction of the Issuer in general meetings</w:t>
            </w:r>
          </w:p>
          <w:p w14:paraId="1095D63E" w14:textId="77777777" w:rsidR="004047F2" w:rsidRPr="00712F3C" w:rsidRDefault="004047F2" w:rsidP="00250DAC">
            <w:pPr>
              <w:pStyle w:val="ListParagraph"/>
              <w:spacing w:line="240" w:lineRule="auto"/>
              <w:ind w:right="122"/>
              <w:jc w:val="both"/>
              <w:rPr>
                <w:sz w:val="20"/>
                <w:szCs w:val="20"/>
              </w:rPr>
            </w:pPr>
          </w:p>
        </w:tc>
      </w:tr>
      <w:tr w:rsidR="004047F2" w:rsidRPr="00712F3C" w14:paraId="57006DB7" w14:textId="77777777" w:rsidTr="00250DAC">
        <w:trPr>
          <w:trHeight w:val="20"/>
        </w:trPr>
        <w:tc>
          <w:tcPr>
            <w:tcW w:w="517" w:type="pct"/>
            <w:shd w:val="clear" w:color="auto" w:fill="auto"/>
          </w:tcPr>
          <w:p w14:paraId="05BFCDE6"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2A4A9F89" w14:textId="77777777" w:rsidR="004047F2" w:rsidRPr="00712F3C" w:rsidRDefault="004047F2" w:rsidP="00250DAC">
            <w:pPr>
              <w:spacing w:after="0" w:line="240" w:lineRule="auto"/>
              <w:ind w:left="90" w:right="122"/>
              <w:jc w:val="both"/>
              <w:rPr>
                <w:rFonts w:ascii="Times New Roman" w:hAnsi="Times New Roman"/>
                <w:sz w:val="20"/>
                <w:szCs w:val="20"/>
              </w:rPr>
            </w:pPr>
            <w:r w:rsidRPr="00712F3C">
              <w:rPr>
                <w:rFonts w:ascii="Times New Roman" w:hAnsi="Times New Roman"/>
                <w:sz w:val="20"/>
                <w:szCs w:val="20"/>
              </w:rPr>
              <w:t>A member may exercise his vote at a meeting by electronic means in accordance with section 108 and shall vote only once.</w:t>
            </w:r>
          </w:p>
          <w:p w14:paraId="0BD72057" w14:textId="77777777" w:rsidR="004047F2" w:rsidRPr="00712F3C" w:rsidRDefault="004047F2" w:rsidP="00250DAC">
            <w:pPr>
              <w:spacing w:after="0" w:line="240" w:lineRule="auto"/>
              <w:ind w:left="90" w:right="122"/>
              <w:jc w:val="both"/>
              <w:rPr>
                <w:rFonts w:ascii="Times New Roman" w:hAnsi="Times New Roman"/>
                <w:sz w:val="20"/>
                <w:szCs w:val="20"/>
              </w:rPr>
            </w:pPr>
          </w:p>
        </w:tc>
      </w:tr>
      <w:tr w:rsidR="004047F2" w:rsidRPr="00712F3C" w14:paraId="4A64D196" w14:textId="77777777" w:rsidTr="00250DAC">
        <w:trPr>
          <w:trHeight w:val="20"/>
        </w:trPr>
        <w:tc>
          <w:tcPr>
            <w:tcW w:w="517" w:type="pct"/>
            <w:shd w:val="clear" w:color="auto" w:fill="auto"/>
          </w:tcPr>
          <w:p w14:paraId="467DE397"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6690F716" w14:textId="77777777" w:rsidR="004047F2" w:rsidRPr="00712F3C" w:rsidRDefault="004047F2">
            <w:pPr>
              <w:pStyle w:val="ListParagraph"/>
              <w:numPr>
                <w:ilvl w:val="0"/>
                <w:numId w:val="261"/>
              </w:numPr>
              <w:spacing w:line="240" w:lineRule="auto"/>
              <w:ind w:right="122"/>
              <w:jc w:val="both"/>
              <w:rPr>
                <w:sz w:val="20"/>
                <w:szCs w:val="20"/>
              </w:rPr>
            </w:pPr>
            <w:r w:rsidRPr="00712F3C">
              <w:rPr>
                <w:sz w:val="20"/>
                <w:szCs w:val="20"/>
              </w:rPr>
              <w:t>In the case of joint holders, the vote of the senior who tenders a vote, whether in person or by proxy, shall be accepted to the exclusion of the votes of the other joint holders.</w:t>
            </w:r>
          </w:p>
          <w:p w14:paraId="62640206" w14:textId="77777777" w:rsidR="004047F2" w:rsidRPr="00712F3C" w:rsidRDefault="004047F2" w:rsidP="00250DAC">
            <w:pPr>
              <w:pStyle w:val="ListParagraph"/>
              <w:spacing w:line="240" w:lineRule="auto"/>
              <w:ind w:right="122"/>
              <w:jc w:val="both"/>
              <w:rPr>
                <w:sz w:val="20"/>
                <w:szCs w:val="20"/>
              </w:rPr>
            </w:pPr>
          </w:p>
          <w:p w14:paraId="31AE83C3" w14:textId="77777777" w:rsidR="004047F2" w:rsidRPr="00712F3C" w:rsidRDefault="004047F2">
            <w:pPr>
              <w:pStyle w:val="ListParagraph"/>
              <w:numPr>
                <w:ilvl w:val="0"/>
                <w:numId w:val="261"/>
              </w:numPr>
              <w:spacing w:line="240" w:lineRule="auto"/>
              <w:ind w:right="122"/>
              <w:jc w:val="both"/>
              <w:rPr>
                <w:sz w:val="20"/>
                <w:szCs w:val="20"/>
              </w:rPr>
            </w:pPr>
            <w:r w:rsidRPr="00712F3C">
              <w:rPr>
                <w:sz w:val="20"/>
                <w:szCs w:val="20"/>
              </w:rPr>
              <w:t>For this purpose, seniority shall be determined by the order in which the names stand in the register of members.</w:t>
            </w:r>
          </w:p>
          <w:p w14:paraId="0F0192AE" w14:textId="77777777" w:rsidR="004047F2" w:rsidRPr="00712F3C" w:rsidRDefault="004047F2" w:rsidP="00250DAC">
            <w:pPr>
              <w:pStyle w:val="ListParagraph"/>
              <w:spacing w:line="240" w:lineRule="auto"/>
              <w:ind w:right="122"/>
              <w:jc w:val="both"/>
              <w:rPr>
                <w:sz w:val="20"/>
                <w:szCs w:val="20"/>
              </w:rPr>
            </w:pPr>
          </w:p>
        </w:tc>
      </w:tr>
      <w:tr w:rsidR="004047F2" w:rsidRPr="00712F3C" w14:paraId="2A2396D1" w14:textId="77777777" w:rsidTr="00250DAC">
        <w:trPr>
          <w:trHeight w:val="20"/>
        </w:trPr>
        <w:tc>
          <w:tcPr>
            <w:tcW w:w="517" w:type="pct"/>
            <w:shd w:val="clear" w:color="auto" w:fill="auto"/>
          </w:tcPr>
          <w:p w14:paraId="18C9400F"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7BAB4DBF" w14:textId="77777777" w:rsidR="004047F2" w:rsidRPr="00712F3C" w:rsidRDefault="004047F2" w:rsidP="00250DAC">
            <w:pPr>
              <w:spacing w:after="0" w:line="240" w:lineRule="auto"/>
              <w:ind w:left="90" w:right="122"/>
              <w:jc w:val="both"/>
              <w:rPr>
                <w:rFonts w:ascii="Times New Roman" w:hAnsi="Times New Roman"/>
                <w:sz w:val="20"/>
                <w:szCs w:val="20"/>
              </w:rPr>
            </w:pPr>
            <w:r w:rsidRPr="00712F3C">
              <w:rPr>
                <w:rFonts w:ascii="Times New Roman" w:hAnsi="Times New Roman"/>
                <w:sz w:val="20"/>
                <w:szCs w:val="20"/>
              </w:rPr>
              <w:t>A member of unsound mind, or in respect of whom an order has been made by any court having jurisdiction in lunacy, may vote, whether on a show of hands or on a poll, by his committee or other legal guardian, and any such committee or guardian may, on a poll, vote by proxy.</w:t>
            </w:r>
          </w:p>
          <w:p w14:paraId="75D29178" w14:textId="77777777" w:rsidR="004047F2" w:rsidRPr="00712F3C" w:rsidRDefault="004047F2" w:rsidP="00250DAC">
            <w:pPr>
              <w:spacing w:after="0" w:line="240" w:lineRule="auto"/>
              <w:ind w:right="122"/>
              <w:jc w:val="both"/>
              <w:rPr>
                <w:rFonts w:ascii="Times New Roman" w:hAnsi="Times New Roman"/>
                <w:sz w:val="20"/>
                <w:szCs w:val="20"/>
              </w:rPr>
            </w:pPr>
          </w:p>
        </w:tc>
      </w:tr>
      <w:tr w:rsidR="004047F2" w:rsidRPr="00712F3C" w14:paraId="4C5D98E3" w14:textId="77777777" w:rsidTr="00250DAC">
        <w:trPr>
          <w:trHeight w:val="20"/>
        </w:trPr>
        <w:tc>
          <w:tcPr>
            <w:tcW w:w="517" w:type="pct"/>
            <w:shd w:val="clear" w:color="auto" w:fill="auto"/>
          </w:tcPr>
          <w:p w14:paraId="325D8AE5"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49A64B28" w14:textId="77777777" w:rsidR="004047F2" w:rsidRPr="00712F3C" w:rsidRDefault="004047F2" w:rsidP="00250DAC">
            <w:pPr>
              <w:spacing w:after="0" w:line="240" w:lineRule="auto"/>
              <w:ind w:left="90" w:right="122"/>
              <w:jc w:val="both"/>
              <w:rPr>
                <w:rFonts w:ascii="Times New Roman" w:hAnsi="Times New Roman"/>
                <w:sz w:val="20"/>
                <w:szCs w:val="20"/>
              </w:rPr>
            </w:pPr>
            <w:r w:rsidRPr="00712F3C">
              <w:rPr>
                <w:rFonts w:ascii="Times New Roman" w:hAnsi="Times New Roman"/>
                <w:sz w:val="20"/>
                <w:szCs w:val="20"/>
              </w:rPr>
              <w:t>Any business other than that upon which a poll has been demanded maybe proceeded with, pending the taking of the poll.</w:t>
            </w:r>
          </w:p>
          <w:p w14:paraId="0B9E20D1" w14:textId="77777777" w:rsidR="004047F2" w:rsidRPr="00712F3C" w:rsidRDefault="004047F2" w:rsidP="00250DAC">
            <w:pPr>
              <w:spacing w:after="0" w:line="240" w:lineRule="auto"/>
              <w:ind w:left="90" w:right="122"/>
              <w:jc w:val="both"/>
              <w:rPr>
                <w:rFonts w:ascii="Times New Roman" w:hAnsi="Times New Roman"/>
                <w:sz w:val="20"/>
                <w:szCs w:val="20"/>
              </w:rPr>
            </w:pPr>
          </w:p>
        </w:tc>
      </w:tr>
      <w:tr w:rsidR="004047F2" w:rsidRPr="00712F3C" w14:paraId="5BC84A2A" w14:textId="77777777" w:rsidTr="00250DAC">
        <w:trPr>
          <w:trHeight w:val="20"/>
        </w:trPr>
        <w:tc>
          <w:tcPr>
            <w:tcW w:w="517" w:type="pct"/>
            <w:shd w:val="clear" w:color="auto" w:fill="auto"/>
          </w:tcPr>
          <w:p w14:paraId="3DBF27B0"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69626201" w14:textId="77777777" w:rsidR="004047F2" w:rsidRPr="00712F3C" w:rsidRDefault="004047F2" w:rsidP="00250DAC">
            <w:pPr>
              <w:spacing w:after="0" w:line="240" w:lineRule="auto"/>
              <w:ind w:left="90" w:right="122"/>
              <w:jc w:val="both"/>
              <w:rPr>
                <w:rFonts w:ascii="Times New Roman" w:hAnsi="Times New Roman"/>
                <w:sz w:val="20"/>
                <w:szCs w:val="20"/>
              </w:rPr>
            </w:pPr>
            <w:r w:rsidRPr="00712F3C">
              <w:rPr>
                <w:rFonts w:ascii="Times New Roman" w:hAnsi="Times New Roman"/>
                <w:sz w:val="20"/>
                <w:szCs w:val="20"/>
              </w:rPr>
              <w:t>No member shall be entitled to vote at any general meeting unless all calls or other sums presently payable by him in respect of shares in the company have been paid</w:t>
            </w:r>
          </w:p>
          <w:p w14:paraId="7E569CBF" w14:textId="77777777" w:rsidR="004047F2" w:rsidRPr="00712F3C" w:rsidRDefault="004047F2" w:rsidP="00250DAC">
            <w:pPr>
              <w:spacing w:after="0" w:line="240" w:lineRule="auto"/>
              <w:ind w:left="90" w:right="122"/>
              <w:jc w:val="both"/>
              <w:rPr>
                <w:rFonts w:ascii="Times New Roman" w:hAnsi="Times New Roman"/>
                <w:sz w:val="20"/>
                <w:szCs w:val="20"/>
              </w:rPr>
            </w:pPr>
          </w:p>
        </w:tc>
      </w:tr>
      <w:tr w:rsidR="004047F2" w:rsidRPr="00712F3C" w14:paraId="44FC40F3" w14:textId="77777777" w:rsidTr="00250DAC">
        <w:trPr>
          <w:trHeight w:val="20"/>
        </w:trPr>
        <w:tc>
          <w:tcPr>
            <w:tcW w:w="517" w:type="pct"/>
            <w:shd w:val="clear" w:color="auto" w:fill="auto"/>
          </w:tcPr>
          <w:p w14:paraId="2DD213FC"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6F558582" w14:textId="77777777" w:rsidR="004047F2" w:rsidRPr="00712F3C" w:rsidRDefault="004047F2">
            <w:pPr>
              <w:pStyle w:val="ListParagraph"/>
              <w:numPr>
                <w:ilvl w:val="0"/>
                <w:numId w:val="262"/>
              </w:numPr>
              <w:spacing w:line="240" w:lineRule="auto"/>
              <w:ind w:right="122"/>
              <w:jc w:val="both"/>
              <w:rPr>
                <w:sz w:val="20"/>
                <w:szCs w:val="20"/>
              </w:rPr>
            </w:pPr>
            <w:r w:rsidRPr="00712F3C">
              <w:rPr>
                <w:sz w:val="20"/>
                <w:szCs w:val="20"/>
              </w:rPr>
              <w:t>No objection shall be raised to the qualification of any voter except at the meeting or adjourned meeting at which the vote objected to is given or tendered, and every vote not disallowed at such meeting shall be valid for all purposes.</w:t>
            </w:r>
          </w:p>
          <w:p w14:paraId="3EEFB9B2" w14:textId="77777777" w:rsidR="004047F2" w:rsidRPr="00712F3C" w:rsidRDefault="004047F2" w:rsidP="00250DAC">
            <w:pPr>
              <w:pStyle w:val="ListParagraph"/>
              <w:spacing w:line="240" w:lineRule="auto"/>
              <w:ind w:right="122"/>
              <w:jc w:val="both"/>
              <w:rPr>
                <w:sz w:val="20"/>
                <w:szCs w:val="20"/>
              </w:rPr>
            </w:pPr>
          </w:p>
          <w:p w14:paraId="0DB3CA0B" w14:textId="77777777" w:rsidR="004047F2" w:rsidRPr="00712F3C" w:rsidRDefault="004047F2">
            <w:pPr>
              <w:pStyle w:val="ListParagraph"/>
              <w:numPr>
                <w:ilvl w:val="0"/>
                <w:numId w:val="262"/>
              </w:numPr>
              <w:spacing w:line="240" w:lineRule="auto"/>
              <w:ind w:right="122"/>
              <w:jc w:val="both"/>
              <w:rPr>
                <w:sz w:val="20"/>
                <w:szCs w:val="20"/>
              </w:rPr>
            </w:pPr>
            <w:r w:rsidRPr="00712F3C">
              <w:rPr>
                <w:sz w:val="20"/>
                <w:szCs w:val="20"/>
              </w:rPr>
              <w:t>Any such objection made in due time shall be referred to the Chairperson of the meeting, whose decision shall be final and conclusive.</w:t>
            </w:r>
          </w:p>
          <w:p w14:paraId="455ABC72" w14:textId="77777777" w:rsidR="004047F2" w:rsidRPr="00712F3C" w:rsidRDefault="004047F2" w:rsidP="00250DAC">
            <w:pPr>
              <w:pStyle w:val="ListParagraph"/>
              <w:spacing w:line="240" w:lineRule="auto"/>
              <w:ind w:right="122"/>
              <w:jc w:val="both"/>
              <w:rPr>
                <w:sz w:val="20"/>
                <w:szCs w:val="20"/>
              </w:rPr>
            </w:pPr>
          </w:p>
        </w:tc>
      </w:tr>
      <w:tr w:rsidR="004047F2" w:rsidRPr="00712F3C" w14:paraId="1A9FFB48" w14:textId="77777777" w:rsidTr="00250DAC">
        <w:trPr>
          <w:trHeight w:val="20"/>
        </w:trPr>
        <w:tc>
          <w:tcPr>
            <w:tcW w:w="5000" w:type="pct"/>
            <w:gridSpan w:val="2"/>
            <w:shd w:val="clear" w:color="auto" w:fill="auto"/>
          </w:tcPr>
          <w:p w14:paraId="1C547475" w14:textId="77777777" w:rsidR="004047F2" w:rsidRPr="00712F3C" w:rsidRDefault="004047F2" w:rsidP="00250DAC">
            <w:pPr>
              <w:spacing w:after="0" w:line="240" w:lineRule="auto"/>
              <w:ind w:right="122"/>
              <w:jc w:val="center"/>
              <w:rPr>
                <w:rFonts w:ascii="Times New Roman" w:eastAsiaTheme="minorHAnsi" w:hAnsi="Times New Roman"/>
                <w:b/>
                <w:bCs/>
                <w:iCs/>
                <w:sz w:val="20"/>
                <w:szCs w:val="20"/>
              </w:rPr>
            </w:pPr>
            <w:r w:rsidRPr="00712F3C">
              <w:rPr>
                <w:rFonts w:ascii="Times New Roman" w:eastAsiaTheme="minorHAnsi" w:hAnsi="Times New Roman"/>
                <w:b/>
                <w:bCs/>
                <w:iCs/>
                <w:sz w:val="20"/>
                <w:szCs w:val="20"/>
              </w:rPr>
              <w:t>PROXY</w:t>
            </w:r>
          </w:p>
          <w:p w14:paraId="6F047F99" w14:textId="77777777" w:rsidR="004047F2" w:rsidRPr="00712F3C" w:rsidRDefault="004047F2" w:rsidP="00250DAC">
            <w:pPr>
              <w:spacing w:after="0" w:line="240" w:lineRule="auto"/>
              <w:ind w:right="122"/>
              <w:jc w:val="center"/>
              <w:rPr>
                <w:rFonts w:ascii="Times New Roman" w:hAnsi="Times New Roman"/>
                <w:sz w:val="20"/>
                <w:szCs w:val="20"/>
              </w:rPr>
            </w:pPr>
          </w:p>
        </w:tc>
      </w:tr>
      <w:tr w:rsidR="004047F2" w:rsidRPr="00712F3C" w14:paraId="2B116EE5" w14:textId="77777777" w:rsidTr="00250DAC">
        <w:trPr>
          <w:trHeight w:val="20"/>
        </w:trPr>
        <w:tc>
          <w:tcPr>
            <w:tcW w:w="517" w:type="pct"/>
            <w:shd w:val="clear" w:color="auto" w:fill="auto"/>
          </w:tcPr>
          <w:p w14:paraId="0677C5D0"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3BEC6912" w14:textId="77777777" w:rsidR="004047F2" w:rsidRPr="00712F3C" w:rsidRDefault="004047F2" w:rsidP="00250DAC">
            <w:pPr>
              <w:spacing w:after="0" w:line="240" w:lineRule="auto"/>
              <w:ind w:left="90" w:right="122"/>
              <w:jc w:val="both"/>
              <w:rPr>
                <w:rFonts w:ascii="Times New Roman" w:hAnsi="Times New Roman"/>
                <w:sz w:val="20"/>
                <w:szCs w:val="20"/>
              </w:rPr>
            </w:pPr>
            <w:r w:rsidRPr="00712F3C">
              <w:rPr>
                <w:rFonts w:ascii="Times New Roman" w:hAnsi="Times New Roman"/>
                <w:sz w:val="20"/>
                <w:szCs w:val="20"/>
              </w:rPr>
              <w:t>The instrument appointing a proxy and the power-of-attorney or other authority, if any, under which it is signed or a notarised copy of that power or authority, shall be deposited at the registered office of the company not less than 48 hours before the time for holding the meeting or adjourned meeting at which the person named in the instrument proposes to vote, or, in the case of a poll, not less than 24 hours before the time appointed for the taking of the poll; and in default the instrument of proxy shall not be treated as valid.</w:t>
            </w:r>
          </w:p>
          <w:p w14:paraId="7787AD54" w14:textId="77777777" w:rsidR="004047F2" w:rsidRPr="00712F3C" w:rsidRDefault="004047F2" w:rsidP="00250DAC">
            <w:pPr>
              <w:spacing w:after="0" w:line="240" w:lineRule="auto"/>
              <w:ind w:left="90" w:right="122"/>
              <w:jc w:val="both"/>
              <w:rPr>
                <w:rFonts w:ascii="Times New Roman" w:hAnsi="Times New Roman"/>
                <w:sz w:val="20"/>
                <w:szCs w:val="20"/>
              </w:rPr>
            </w:pPr>
          </w:p>
        </w:tc>
      </w:tr>
      <w:tr w:rsidR="004047F2" w:rsidRPr="00712F3C" w14:paraId="179A4ADC" w14:textId="77777777" w:rsidTr="00250DAC">
        <w:trPr>
          <w:trHeight w:val="20"/>
        </w:trPr>
        <w:tc>
          <w:tcPr>
            <w:tcW w:w="517" w:type="pct"/>
            <w:shd w:val="clear" w:color="auto" w:fill="auto"/>
          </w:tcPr>
          <w:p w14:paraId="56D818F0"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3B418F8C" w14:textId="77777777" w:rsidR="004047F2" w:rsidRPr="00712F3C" w:rsidRDefault="004047F2" w:rsidP="00250DAC">
            <w:pPr>
              <w:spacing w:after="0" w:line="240" w:lineRule="auto"/>
              <w:ind w:left="90" w:right="122"/>
              <w:jc w:val="both"/>
              <w:rPr>
                <w:rFonts w:ascii="Times New Roman" w:hAnsi="Times New Roman"/>
                <w:sz w:val="20"/>
                <w:szCs w:val="20"/>
              </w:rPr>
            </w:pPr>
            <w:r w:rsidRPr="00712F3C">
              <w:rPr>
                <w:rFonts w:ascii="Times New Roman" w:hAnsi="Times New Roman"/>
                <w:sz w:val="20"/>
                <w:szCs w:val="20"/>
              </w:rPr>
              <w:t>An instrument appointing a proxy shall be in the form as prescribed in the rules made under section 105</w:t>
            </w:r>
          </w:p>
          <w:p w14:paraId="5D2CB7F6" w14:textId="77777777" w:rsidR="004047F2" w:rsidRPr="00712F3C" w:rsidRDefault="004047F2" w:rsidP="00250DAC">
            <w:pPr>
              <w:spacing w:after="0" w:line="240" w:lineRule="auto"/>
              <w:ind w:left="90" w:right="122"/>
              <w:jc w:val="both"/>
              <w:rPr>
                <w:rFonts w:ascii="Times New Roman" w:hAnsi="Times New Roman"/>
                <w:sz w:val="20"/>
                <w:szCs w:val="20"/>
              </w:rPr>
            </w:pPr>
          </w:p>
        </w:tc>
      </w:tr>
      <w:tr w:rsidR="004047F2" w:rsidRPr="00712F3C" w14:paraId="30275C21" w14:textId="77777777" w:rsidTr="00250DAC">
        <w:trPr>
          <w:trHeight w:val="20"/>
        </w:trPr>
        <w:tc>
          <w:tcPr>
            <w:tcW w:w="517" w:type="pct"/>
            <w:shd w:val="clear" w:color="auto" w:fill="auto"/>
          </w:tcPr>
          <w:p w14:paraId="1536A261"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6C002F83" w14:textId="77777777" w:rsidR="004047F2" w:rsidRPr="00712F3C" w:rsidRDefault="004047F2" w:rsidP="00250DAC">
            <w:pPr>
              <w:spacing w:after="0" w:line="240" w:lineRule="auto"/>
              <w:ind w:left="90" w:right="122"/>
              <w:jc w:val="both"/>
              <w:rPr>
                <w:rFonts w:ascii="Times New Roman" w:hAnsi="Times New Roman"/>
                <w:sz w:val="20"/>
                <w:szCs w:val="20"/>
              </w:rPr>
            </w:pPr>
            <w:r w:rsidRPr="00712F3C">
              <w:rPr>
                <w:rFonts w:ascii="Times New Roman" w:hAnsi="Times New Roman"/>
                <w:sz w:val="20"/>
                <w:szCs w:val="20"/>
              </w:rPr>
              <w:t>A vote given in accordance with the terms of an instrument of proxy shall be valid, notwithstanding the previous death or insanity of the principal or the revocation of the proxy or of the authority under which the proxy was executed, or the transfer of the shares in respect of which the proxy is given:</w:t>
            </w:r>
          </w:p>
          <w:p w14:paraId="5E2BB158" w14:textId="77777777" w:rsidR="004047F2" w:rsidRPr="00712F3C" w:rsidRDefault="004047F2" w:rsidP="00250DAC">
            <w:pPr>
              <w:spacing w:after="0" w:line="240" w:lineRule="auto"/>
              <w:ind w:left="90" w:right="122"/>
              <w:jc w:val="both"/>
              <w:rPr>
                <w:rFonts w:ascii="Times New Roman" w:hAnsi="Times New Roman"/>
                <w:sz w:val="20"/>
                <w:szCs w:val="20"/>
              </w:rPr>
            </w:pPr>
          </w:p>
          <w:p w14:paraId="4D3F6771" w14:textId="77777777" w:rsidR="004047F2" w:rsidRPr="00712F3C" w:rsidRDefault="004047F2" w:rsidP="00250DAC">
            <w:pPr>
              <w:spacing w:after="0" w:line="240" w:lineRule="auto"/>
              <w:ind w:left="90" w:right="122"/>
              <w:jc w:val="both"/>
              <w:rPr>
                <w:rFonts w:ascii="Times New Roman" w:hAnsi="Times New Roman"/>
                <w:sz w:val="20"/>
                <w:szCs w:val="20"/>
              </w:rPr>
            </w:pPr>
            <w:r w:rsidRPr="00712F3C">
              <w:rPr>
                <w:rFonts w:ascii="Times New Roman" w:hAnsi="Times New Roman"/>
                <w:sz w:val="20"/>
                <w:szCs w:val="20"/>
              </w:rPr>
              <w:t>Provided that no intimation in writing of such death, insanity, revocation or transfer shall have been received by the company at its office before the commencement of the meeting or adjourned meeting at which the proxy is used.</w:t>
            </w:r>
          </w:p>
          <w:p w14:paraId="1470382A" w14:textId="77777777" w:rsidR="004047F2" w:rsidRPr="00712F3C" w:rsidRDefault="004047F2" w:rsidP="00250DAC">
            <w:pPr>
              <w:spacing w:after="0" w:line="240" w:lineRule="auto"/>
              <w:ind w:left="90" w:right="122"/>
              <w:jc w:val="both"/>
              <w:rPr>
                <w:rFonts w:ascii="Times New Roman" w:hAnsi="Times New Roman"/>
                <w:sz w:val="20"/>
                <w:szCs w:val="20"/>
              </w:rPr>
            </w:pPr>
          </w:p>
        </w:tc>
      </w:tr>
      <w:tr w:rsidR="004047F2" w:rsidRPr="00712F3C" w14:paraId="3D1F5BF2" w14:textId="77777777" w:rsidTr="00250DAC">
        <w:trPr>
          <w:trHeight w:val="20"/>
        </w:trPr>
        <w:tc>
          <w:tcPr>
            <w:tcW w:w="5000" w:type="pct"/>
            <w:gridSpan w:val="2"/>
            <w:shd w:val="clear" w:color="auto" w:fill="auto"/>
          </w:tcPr>
          <w:p w14:paraId="710632A8" w14:textId="77777777" w:rsidR="004047F2" w:rsidRPr="00712F3C" w:rsidRDefault="004047F2" w:rsidP="00250DAC">
            <w:pPr>
              <w:spacing w:after="0" w:line="240" w:lineRule="auto"/>
              <w:ind w:right="122"/>
              <w:jc w:val="center"/>
              <w:rPr>
                <w:rFonts w:ascii="Times New Roman" w:eastAsiaTheme="minorHAnsi" w:hAnsi="Times New Roman"/>
                <w:b/>
                <w:bCs/>
                <w:iCs/>
                <w:sz w:val="20"/>
                <w:szCs w:val="20"/>
              </w:rPr>
            </w:pPr>
            <w:r w:rsidRPr="00712F3C">
              <w:rPr>
                <w:rFonts w:ascii="Times New Roman" w:eastAsiaTheme="minorHAnsi" w:hAnsi="Times New Roman"/>
                <w:b/>
                <w:bCs/>
                <w:iCs/>
                <w:sz w:val="20"/>
                <w:szCs w:val="20"/>
              </w:rPr>
              <w:t>BOARD OF DIRECTORS</w:t>
            </w:r>
          </w:p>
          <w:p w14:paraId="15D23A9D" w14:textId="77777777" w:rsidR="004047F2" w:rsidRPr="00712F3C" w:rsidRDefault="004047F2" w:rsidP="00250DAC">
            <w:pPr>
              <w:spacing w:after="0" w:line="240" w:lineRule="auto"/>
              <w:ind w:right="122"/>
              <w:jc w:val="center"/>
              <w:rPr>
                <w:rFonts w:ascii="Times New Roman" w:hAnsi="Times New Roman"/>
                <w:sz w:val="20"/>
                <w:szCs w:val="20"/>
              </w:rPr>
            </w:pPr>
          </w:p>
        </w:tc>
      </w:tr>
      <w:tr w:rsidR="004047F2" w:rsidRPr="00712F3C" w14:paraId="2FDBDEAE" w14:textId="77777777" w:rsidTr="00250DAC">
        <w:trPr>
          <w:trHeight w:val="20"/>
        </w:trPr>
        <w:tc>
          <w:tcPr>
            <w:tcW w:w="517" w:type="pct"/>
            <w:shd w:val="clear" w:color="auto" w:fill="auto"/>
          </w:tcPr>
          <w:p w14:paraId="7717349E"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504A8C35" w14:textId="77777777" w:rsidR="004047F2" w:rsidRPr="00712F3C" w:rsidRDefault="004047F2" w:rsidP="00250DAC">
            <w:pPr>
              <w:spacing w:after="0" w:line="240" w:lineRule="auto"/>
              <w:ind w:left="90" w:right="122"/>
              <w:jc w:val="both"/>
              <w:rPr>
                <w:rFonts w:ascii="Times New Roman" w:hAnsi="Times New Roman"/>
                <w:sz w:val="20"/>
                <w:szCs w:val="20"/>
              </w:rPr>
            </w:pPr>
            <w:r w:rsidRPr="00712F3C">
              <w:rPr>
                <w:rFonts w:ascii="Times New Roman" w:hAnsi="Times New Roman"/>
                <w:sz w:val="20"/>
                <w:szCs w:val="20"/>
              </w:rPr>
              <w:t>The number of the directors and the names of the first directors shall be determined in writing by the subscribers of the memorandum or a majority of them. The following are the First Directors of the Company:</w:t>
            </w:r>
          </w:p>
          <w:p w14:paraId="56F19C01" w14:textId="77777777" w:rsidR="004047F2" w:rsidRPr="00712F3C" w:rsidRDefault="004047F2">
            <w:pPr>
              <w:pStyle w:val="ListParagraph"/>
              <w:numPr>
                <w:ilvl w:val="0"/>
                <w:numId w:val="263"/>
              </w:numPr>
              <w:spacing w:line="240" w:lineRule="auto"/>
              <w:ind w:right="122"/>
              <w:jc w:val="both"/>
              <w:rPr>
                <w:sz w:val="20"/>
                <w:szCs w:val="20"/>
              </w:rPr>
            </w:pPr>
            <w:r w:rsidRPr="00712F3C">
              <w:rPr>
                <w:sz w:val="20"/>
                <w:szCs w:val="20"/>
              </w:rPr>
              <w:t>Rajesh Dhirubhai</w:t>
            </w:r>
            <w:r w:rsidRPr="00712F3C">
              <w:rPr>
                <w:sz w:val="20"/>
                <w:szCs w:val="20"/>
                <w:lang w:val="en-IN"/>
              </w:rPr>
              <w:t xml:space="preserve"> </w:t>
            </w:r>
            <w:r w:rsidRPr="00712F3C">
              <w:rPr>
                <w:sz w:val="20"/>
                <w:szCs w:val="20"/>
              </w:rPr>
              <w:t>Gondaliya</w:t>
            </w:r>
          </w:p>
          <w:p w14:paraId="0DFAA889" w14:textId="77777777" w:rsidR="004047F2" w:rsidRPr="00712F3C" w:rsidRDefault="004047F2">
            <w:pPr>
              <w:pStyle w:val="ListParagraph"/>
              <w:numPr>
                <w:ilvl w:val="0"/>
                <w:numId w:val="263"/>
              </w:numPr>
              <w:spacing w:line="240" w:lineRule="auto"/>
              <w:ind w:right="122"/>
              <w:jc w:val="both"/>
              <w:rPr>
                <w:sz w:val="20"/>
                <w:szCs w:val="20"/>
              </w:rPr>
            </w:pPr>
            <w:r w:rsidRPr="00712F3C">
              <w:rPr>
                <w:sz w:val="20"/>
                <w:szCs w:val="20"/>
              </w:rPr>
              <w:t>Jinal Rajeshbhai Gondaliya</w:t>
            </w:r>
          </w:p>
          <w:p w14:paraId="64203EE6" w14:textId="77777777" w:rsidR="004047F2" w:rsidRPr="00712F3C" w:rsidRDefault="004047F2">
            <w:pPr>
              <w:pStyle w:val="ListParagraph"/>
              <w:numPr>
                <w:ilvl w:val="0"/>
                <w:numId w:val="263"/>
              </w:numPr>
              <w:spacing w:line="240" w:lineRule="auto"/>
              <w:ind w:right="122"/>
              <w:jc w:val="both"/>
              <w:rPr>
                <w:sz w:val="20"/>
                <w:szCs w:val="20"/>
              </w:rPr>
            </w:pPr>
            <w:r w:rsidRPr="00712F3C">
              <w:rPr>
                <w:sz w:val="20"/>
                <w:szCs w:val="20"/>
              </w:rPr>
              <w:t>Bhavin Rajeshbhai</w:t>
            </w:r>
            <w:r w:rsidRPr="00712F3C">
              <w:rPr>
                <w:sz w:val="20"/>
                <w:szCs w:val="20"/>
                <w:lang w:val="en-IN"/>
              </w:rPr>
              <w:t xml:space="preserve"> </w:t>
            </w:r>
            <w:r w:rsidRPr="00712F3C">
              <w:rPr>
                <w:sz w:val="20"/>
                <w:szCs w:val="20"/>
              </w:rPr>
              <w:t>Gondaliya</w:t>
            </w:r>
          </w:p>
          <w:p w14:paraId="4419E10F" w14:textId="77777777" w:rsidR="004047F2" w:rsidRPr="00712F3C" w:rsidRDefault="004047F2" w:rsidP="00250DAC">
            <w:pPr>
              <w:pStyle w:val="ListParagraph"/>
              <w:spacing w:line="240" w:lineRule="auto"/>
              <w:ind w:right="122"/>
              <w:jc w:val="both"/>
              <w:rPr>
                <w:sz w:val="20"/>
                <w:szCs w:val="20"/>
              </w:rPr>
            </w:pPr>
          </w:p>
        </w:tc>
      </w:tr>
      <w:tr w:rsidR="004047F2" w:rsidRPr="00712F3C" w14:paraId="22798253" w14:textId="77777777" w:rsidTr="00250DAC">
        <w:trPr>
          <w:trHeight w:val="20"/>
        </w:trPr>
        <w:tc>
          <w:tcPr>
            <w:tcW w:w="517" w:type="pct"/>
            <w:shd w:val="clear" w:color="auto" w:fill="auto"/>
          </w:tcPr>
          <w:p w14:paraId="20FA9813"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48A8C2BB" w14:textId="77777777" w:rsidR="004047F2" w:rsidRPr="00712F3C" w:rsidRDefault="004047F2" w:rsidP="00250DAC">
            <w:pPr>
              <w:spacing w:after="0" w:line="240" w:lineRule="auto"/>
              <w:ind w:left="90" w:right="122"/>
              <w:jc w:val="both"/>
              <w:rPr>
                <w:rFonts w:ascii="Times New Roman" w:hAnsi="Times New Roman"/>
                <w:sz w:val="20"/>
                <w:szCs w:val="20"/>
              </w:rPr>
            </w:pPr>
            <w:r w:rsidRPr="00712F3C">
              <w:rPr>
                <w:rFonts w:ascii="Times New Roman" w:hAnsi="Times New Roman"/>
                <w:sz w:val="20"/>
                <w:szCs w:val="20"/>
              </w:rPr>
              <w:t>The remuneration of the directors shall, in so far as it consists of a monthly payment, be deemed to accrue from day-to-day.</w:t>
            </w:r>
          </w:p>
          <w:p w14:paraId="0D4351C2" w14:textId="77777777" w:rsidR="004047F2" w:rsidRPr="00712F3C" w:rsidRDefault="004047F2" w:rsidP="00250DAC">
            <w:pPr>
              <w:spacing w:after="0" w:line="240" w:lineRule="auto"/>
              <w:ind w:left="90" w:right="122"/>
              <w:jc w:val="both"/>
              <w:rPr>
                <w:rFonts w:ascii="Times New Roman" w:hAnsi="Times New Roman"/>
                <w:sz w:val="20"/>
                <w:szCs w:val="20"/>
              </w:rPr>
            </w:pPr>
          </w:p>
          <w:p w14:paraId="6AA44070" w14:textId="77777777" w:rsidR="004047F2" w:rsidRPr="00712F3C" w:rsidRDefault="004047F2" w:rsidP="00250DAC">
            <w:pPr>
              <w:spacing w:after="0" w:line="240" w:lineRule="auto"/>
              <w:ind w:left="90" w:right="122"/>
              <w:jc w:val="both"/>
              <w:rPr>
                <w:rFonts w:ascii="Times New Roman" w:hAnsi="Times New Roman"/>
                <w:sz w:val="20"/>
                <w:szCs w:val="20"/>
              </w:rPr>
            </w:pPr>
            <w:r w:rsidRPr="00712F3C">
              <w:rPr>
                <w:rFonts w:ascii="Times New Roman" w:hAnsi="Times New Roman"/>
                <w:sz w:val="20"/>
                <w:szCs w:val="20"/>
              </w:rPr>
              <w:t>In addition to the remuneration payable to them in pursuance of the Act, the directors may be paid all travelling, hotel and other expenses properly incurred by them-</w:t>
            </w:r>
          </w:p>
          <w:p w14:paraId="3A48F509" w14:textId="77777777" w:rsidR="004047F2" w:rsidRPr="00712F3C" w:rsidRDefault="004047F2">
            <w:pPr>
              <w:pStyle w:val="ListParagraph"/>
              <w:numPr>
                <w:ilvl w:val="0"/>
                <w:numId w:val="224"/>
              </w:numPr>
              <w:spacing w:line="240" w:lineRule="auto"/>
              <w:ind w:right="122"/>
              <w:jc w:val="both"/>
              <w:rPr>
                <w:sz w:val="20"/>
                <w:szCs w:val="20"/>
              </w:rPr>
            </w:pPr>
            <w:r w:rsidRPr="00712F3C">
              <w:rPr>
                <w:sz w:val="20"/>
                <w:szCs w:val="20"/>
              </w:rPr>
              <w:t xml:space="preserve">in attending and returning from meetings of the Board of Directors or any committee thereof or general meetings of the company; or </w:t>
            </w:r>
          </w:p>
          <w:p w14:paraId="1BED26C6" w14:textId="77777777" w:rsidR="004047F2" w:rsidRPr="00712F3C" w:rsidRDefault="004047F2">
            <w:pPr>
              <w:pStyle w:val="ListParagraph"/>
              <w:numPr>
                <w:ilvl w:val="0"/>
                <w:numId w:val="224"/>
              </w:numPr>
              <w:spacing w:line="240" w:lineRule="auto"/>
              <w:ind w:right="122"/>
              <w:jc w:val="both"/>
              <w:rPr>
                <w:sz w:val="20"/>
                <w:szCs w:val="20"/>
              </w:rPr>
            </w:pPr>
            <w:r w:rsidRPr="00712F3C">
              <w:rPr>
                <w:sz w:val="20"/>
                <w:szCs w:val="20"/>
              </w:rPr>
              <w:t>in connection with the business of the company.</w:t>
            </w:r>
          </w:p>
          <w:p w14:paraId="73F53EDC" w14:textId="77777777" w:rsidR="004047F2" w:rsidRPr="00712F3C" w:rsidRDefault="004047F2" w:rsidP="00250DAC">
            <w:pPr>
              <w:pStyle w:val="ListParagraph"/>
              <w:spacing w:line="240" w:lineRule="auto"/>
              <w:ind w:right="122"/>
              <w:jc w:val="both"/>
              <w:rPr>
                <w:sz w:val="20"/>
                <w:szCs w:val="20"/>
              </w:rPr>
            </w:pPr>
          </w:p>
        </w:tc>
      </w:tr>
      <w:tr w:rsidR="004047F2" w:rsidRPr="00712F3C" w14:paraId="71BE93C3" w14:textId="77777777" w:rsidTr="00250DAC">
        <w:trPr>
          <w:trHeight w:val="20"/>
        </w:trPr>
        <w:tc>
          <w:tcPr>
            <w:tcW w:w="517" w:type="pct"/>
            <w:shd w:val="clear" w:color="auto" w:fill="auto"/>
          </w:tcPr>
          <w:p w14:paraId="2A895C22"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72A03DBE" w14:textId="77777777" w:rsidR="004047F2" w:rsidRPr="00712F3C" w:rsidRDefault="004047F2" w:rsidP="00250DAC">
            <w:pPr>
              <w:spacing w:after="0" w:line="240" w:lineRule="auto"/>
              <w:ind w:left="90" w:right="122"/>
              <w:jc w:val="both"/>
              <w:rPr>
                <w:rFonts w:ascii="Times New Roman" w:hAnsi="Times New Roman"/>
                <w:sz w:val="20"/>
                <w:szCs w:val="20"/>
              </w:rPr>
            </w:pPr>
            <w:r w:rsidRPr="00712F3C">
              <w:rPr>
                <w:rFonts w:ascii="Times New Roman" w:hAnsi="Times New Roman"/>
                <w:sz w:val="20"/>
                <w:szCs w:val="20"/>
              </w:rPr>
              <w:t>The Board may pay all expenses incurred in getting up and registering the company.</w:t>
            </w:r>
          </w:p>
          <w:p w14:paraId="086DA779" w14:textId="77777777" w:rsidR="004047F2" w:rsidRPr="00712F3C" w:rsidRDefault="004047F2" w:rsidP="00250DAC">
            <w:pPr>
              <w:spacing w:after="0" w:line="240" w:lineRule="auto"/>
              <w:ind w:left="90" w:right="122"/>
              <w:jc w:val="both"/>
              <w:rPr>
                <w:rFonts w:ascii="Times New Roman" w:hAnsi="Times New Roman"/>
                <w:sz w:val="20"/>
                <w:szCs w:val="20"/>
              </w:rPr>
            </w:pPr>
          </w:p>
        </w:tc>
      </w:tr>
      <w:tr w:rsidR="004047F2" w:rsidRPr="00712F3C" w14:paraId="7E00DF84" w14:textId="77777777" w:rsidTr="00250DAC">
        <w:trPr>
          <w:trHeight w:val="20"/>
        </w:trPr>
        <w:tc>
          <w:tcPr>
            <w:tcW w:w="517" w:type="pct"/>
            <w:shd w:val="clear" w:color="auto" w:fill="auto"/>
          </w:tcPr>
          <w:p w14:paraId="373792A1"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6A010ED1" w14:textId="77777777" w:rsidR="004047F2" w:rsidRPr="00712F3C" w:rsidRDefault="004047F2" w:rsidP="00250DAC">
            <w:pPr>
              <w:spacing w:after="0" w:line="240" w:lineRule="auto"/>
              <w:ind w:left="90" w:right="122"/>
              <w:jc w:val="both"/>
              <w:rPr>
                <w:rFonts w:ascii="Times New Roman" w:hAnsi="Times New Roman"/>
                <w:sz w:val="20"/>
                <w:szCs w:val="20"/>
              </w:rPr>
            </w:pPr>
            <w:r w:rsidRPr="00712F3C">
              <w:rPr>
                <w:rFonts w:ascii="Times New Roman" w:hAnsi="Times New Roman"/>
                <w:sz w:val="20"/>
                <w:szCs w:val="20"/>
              </w:rPr>
              <w:t>The company may exercise the powers conferred on it by section 88 with regard to the keeping of a foreign register; and the Board may (subject to the provisions of that section) make and vary such regulations as it may think fit respecting the keeping of any such register.</w:t>
            </w:r>
          </w:p>
          <w:p w14:paraId="45A24A15" w14:textId="77777777" w:rsidR="004047F2" w:rsidRPr="00712F3C" w:rsidRDefault="004047F2" w:rsidP="00250DAC">
            <w:pPr>
              <w:spacing w:after="0" w:line="240" w:lineRule="auto"/>
              <w:ind w:left="90" w:right="122"/>
              <w:jc w:val="both"/>
              <w:rPr>
                <w:rFonts w:ascii="Times New Roman" w:hAnsi="Times New Roman"/>
                <w:sz w:val="20"/>
                <w:szCs w:val="20"/>
              </w:rPr>
            </w:pPr>
          </w:p>
        </w:tc>
      </w:tr>
      <w:tr w:rsidR="004047F2" w:rsidRPr="00712F3C" w14:paraId="586DE113" w14:textId="77777777" w:rsidTr="00250DAC">
        <w:trPr>
          <w:trHeight w:val="20"/>
        </w:trPr>
        <w:tc>
          <w:tcPr>
            <w:tcW w:w="517" w:type="pct"/>
            <w:shd w:val="clear" w:color="auto" w:fill="auto"/>
          </w:tcPr>
          <w:p w14:paraId="028BCDA2"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485C6AEF" w14:textId="77777777" w:rsidR="004047F2" w:rsidRPr="00712F3C" w:rsidRDefault="004047F2" w:rsidP="00250DAC">
            <w:pPr>
              <w:spacing w:after="0" w:line="240" w:lineRule="auto"/>
              <w:ind w:left="90" w:right="122"/>
              <w:jc w:val="both"/>
              <w:rPr>
                <w:rFonts w:ascii="Times New Roman" w:hAnsi="Times New Roman"/>
                <w:sz w:val="20"/>
                <w:szCs w:val="20"/>
              </w:rPr>
            </w:pPr>
            <w:r w:rsidRPr="00712F3C">
              <w:rPr>
                <w:rFonts w:ascii="Times New Roman" w:hAnsi="Times New Roman"/>
                <w:sz w:val="20"/>
                <w:szCs w:val="20"/>
              </w:rPr>
              <w:t>All cheques, promissory notes, drafts, hundis, bills of exchange and other negotiable instruments, and all receipts for monies paid to the company, shall be signed, drawn, accepted, endorsed, or otherwise executed, as the case may be, by such person and in such manner as the Board shall from time to time by resolution determine.</w:t>
            </w:r>
          </w:p>
          <w:p w14:paraId="1C7F3DAD" w14:textId="77777777" w:rsidR="004047F2" w:rsidRPr="00712F3C" w:rsidRDefault="004047F2" w:rsidP="00250DAC">
            <w:pPr>
              <w:spacing w:after="0" w:line="240" w:lineRule="auto"/>
              <w:ind w:left="90" w:right="122"/>
              <w:jc w:val="both"/>
              <w:rPr>
                <w:rFonts w:ascii="Times New Roman" w:hAnsi="Times New Roman"/>
                <w:sz w:val="20"/>
                <w:szCs w:val="20"/>
              </w:rPr>
            </w:pPr>
          </w:p>
        </w:tc>
      </w:tr>
      <w:tr w:rsidR="004047F2" w:rsidRPr="00712F3C" w14:paraId="4F00C06E" w14:textId="77777777" w:rsidTr="00250DAC">
        <w:trPr>
          <w:trHeight w:val="20"/>
        </w:trPr>
        <w:tc>
          <w:tcPr>
            <w:tcW w:w="517" w:type="pct"/>
            <w:shd w:val="clear" w:color="auto" w:fill="auto"/>
          </w:tcPr>
          <w:p w14:paraId="0A607DD5"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32C80562" w14:textId="77777777" w:rsidR="004047F2" w:rsidRPr="00712F3C" w:rsidRDefault="004047F2" w:rsidP="00250DAC">
            <w:pPr>
              <w:spacing w:after="0" w:line="240" w:lineRule="auto"/>
              <w:ind w:left="90" w:right="122"/>
              <w:jc w:val="both"/>
              <w:rPr>
                <w:rFonts w:ascii="Times New Roman" w:hAnsi="Times New Roman"/>
                <w:sz w:val="20"/>
                <w:szCs w:val="20"/>
              </w:rPr>
            </w:pPr>
            <w:r w:rsidRPr="00712F3C">
              <w:rPr>
                <w:rFonts w:ascii="Times New Roman" w:hAnsi="Times New Roman"/>
                <w:sz w:val="20"/>
                <w:szCs w:val="20"/>
              </w:rPr>
              <w:t>Every director present at any meeting of the Board or of a committee thereof shall sign his name in a book to be kept for that purpose.</w:t>
            </w:r>
          </w:p>
          <w:p w14:paraId="3E835280" w14:textId="77777777" w:rsidR="004047F2" w:rsidRPr="00712F3C" w:rsidRDefault="004047F2" w:rsidP="00250DAC">
            <w:pPr>
              <w:spacing w:after="0" w:line="240" w:lineRule="auto"/>
              <w:ind w:left="90" w:right="122"/>
              <w:jc w:val="both"/>
              <w:rPr>
                <w:rFonts w:ascii="Times New Roman" w:hAnsi="Times New Roman"/>
                <w:sz w:val="20"/>
                <w:szCs w:val="20"/>
              </w:rPr>
            </w:pPr>
          </w:p>
        </w:tc>
      </w:tr>
      <w:tr w:rsidR="004047F2" w:rsidRPr="00712F3C" w14:paraId="473A7E3B" w14:textId="77777777" w:rsidTr="00250DAC">
        <w:trPr>
          <w:trHeight w:val="20"/>
        </w:trPr>
        <w:tc>
          <w:tcPr>
            <w:tcW w:w="517" w:type="pct"/>
            <w:shd w:val="clear" w:color="auto" w:fill="auto"/>
          </w:tcPr>
          <w:p w14:paraId="6AE3242F"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26F01251" w14:textId="77777777" w:rsidR="004047F2" w:rsidRPr="00712F3C" w:rsidRDefault="004047F2">
            <w:pPr>
              <w:pStyle w:val="ListParagraph"/>
              <w:numPr>
                <w:ilvl w:val="0"/>
                <w:numId w:val="264"/>
              </w:numPr>
              <w:spacing w:line="240" w:lineRule="auto"/>
              <w:ind w:right="117"/>
              <w:jc w:val="both"/>
              <w:rPr>
                <w:rFonts w:eastAsiaTheme="minorHAnsi"/>
                <w:sz w:val="20"/>
                <w:szCs w:val="20"/>
              </w:rPr>
            </w:pPr>
            <w:r w:rsidRPr="00712F3C">
              <w:rPr>
                <w:rFonts w:eastAsiaTheme="minorHAnsi"/>
                <w:sz w:val="20"/>
                <w:szCs w:val="20"/>
              </w:rPr>
              <w:t>Subject to the provisions of section 149, the Board shall have power at any time, and from time to time, to appoint a person as an additional director, provided the number of the directors and additional directors together shall not at any time exceed the maximum strength fixed for the Board by the articles.</w:t>
            </w:r>
          </w:p>
          <w:p w14:paraId="62FB6EFC" w14:textId="77777777" w:rsidR="004047F2" w:rsidRPr="00712F3C" w:rsidRDefault="004047F2" w:rsidP="00250DAC">
            <w:pPr>
              <w:pStyle w:val="ListParagraph"/>
              <w:spacing w:line="240" w:lineRule="auto"/>
              <w:ind w:right="117"/>
              <w:jc w:val="both"/>
              <w:rPr>
                <w:rFonts w:eastAsiaTheme="minorHAnsi"/>
                <w:sz w:val="20"/>
                <w:szCs w:val="20"/>
              </w:rPr>
            </w:pPr>
          </w:p>
          <w:p w14:paraId="62DDB746" w14:textId="77777777" w:rsidR="004047F2" w:rsidRPr="00712F3C" w:rsidRDefault="004047F2">
            <w:pPr>
              <w:pStyle w:val="ListParagraph"/>
              <w:numPr>
                <w:ilvl w:val="0"/>
                <w:numId w:val="264"/>
              </w:numPr>
              <w:spacing w:line="240" w:lineRule="auto"/>
              <w:ind w:right="117"/>
              <w:jc w:val="both"/>
              <w:rPr>
                <w:rFonts w:eastAsiaTheme="minorHAnsi"/>
                <w:sz w:val="20"/>
                <w:szCs w:val="20"/>
              </w:rPr>
            </w:pPr>
            <w:r w:rsidRPr="00712F3C">
              <w:rPr>
                <w:rFonts w:eastAsiaTheme="minorHAnsi"/>
                <w:sz w:val="20"/>
                <w:szCs w:val="20"/>
              </w:rPr>
              <w:t>Such person shall hold office only up to the date of the next annual general meeting of the company but shall be eligible for appointment by the company as a director at that meeting subject to the provisions of the Act.</w:t>
            </w:r>
          </w:p>
          <w:p w14:paraId="6ECCF0B0" w14:textId="77777777" w:rsidR="004047F2" w:rsidRPr="00712F3C" w:rsidRDefault="004047F2" w:rsidP="00250DAC">
            <w:pPr>
              <w:pStyle w:val="ListParagraph"/>
              <w:spacing w:line="240" w:lineRule="auto"/>
              <w:ind w:right="117"/>
              <w:jc w:val="both"/>
              <w:rPr>
                <w:rFonts w:eastAsiaTheme="minorHAnsi"/>
                <w:sz w:val="20"/>
                <w:szCs w:val="20"/>
              </w:rPr>
            </w:pPr>
          </w:p>
        </w:tc>
      </w:tr>
      <w:tr w:rsidR="004047F2" w:rsidRPr="00712F3C" w14:paraId="645B4BD7" w14:textId="77777777" w:rsidTr="00250DAC">
        <w:trPr>
          <w:trHeight w:val="20"/>
        </w:trPr>
        <w:tc>
          <w:tcPr>
            <w:tcW w:w="5000" w:type="pct"/>
            <w:gridSpan w:val="2"/>
            <w:shd w:val="clear" w:color="auto" w:fill="auto"/>
          </w:tcPr>
          <w:p w14:paraId="2A0985A9" w14:textId="77777777" w:rsidR="004047F2" w:rsidRPr="00712F3C" w:rsidRDefault="004047F2" w:rsidP="00250DAC">
            <w:pPr>
              <w:spacing w:after="0" w:line="240" w:lineRule="auto"/>
              <w:ind w:right="117"/>
              <w:jc w:val="center"/>
              <w:rPr>
                <w:rFonts w:ascii="Times New Roman" w:eastAsiaTheme="minorHAnsi" w:hAnsi="Times New Roman"/>
                <w:b/>
                <w:bCs/>
                <w:iCs/>
                <w:sz w:val="20"/>
                <w:szCs w:val="20"/>
              </w:rPr>
            </w:pPr>
            <w:r w:rsidRPr="00712F3C">
              <w:rPr>
                <w:rFonts w:ascii="Times New Roman" w:eastAsiaTheme="minorHAnsi" w:hAnsi="Times New Roman"/>
                <w:b/>
                <w:bCs/>
                <w:iCs/>
                <w:sz w:val="20"/>
                <w:szCs w:val="20"/>
              </w:rPr>
              <w:t>PROCEEDINGS OF THE BOARD</w:t>
            </w:r>
          </w:p>
          <w:p w14:paraId="4A597145" w14:textId="77777777" w:rsidR="004047F2" w:rsidRPr="00712F3C" w:rsidRDefault="004047F2" w:rsidP="00250DAC">
            <w:pPr>
              <w:spacing w:after="0" w:line="240" w:lineRule="auto"/>
              <w:ind w:right="117"/>
              <w:jc w:val="center"/>
              <w:rPr>
                <w:rFonts w:ascii="Times New Roman" w:eastAsiaTheme="minorHAnsi" w:hAnsi="Times New Roman"/>
                <w:sz w:val="20"/>
                <w:szCs w:val="20"/>
              </w:rPr>
            </w:pPr>
          </w:p>
        </w:tc>
      </w:tr>
      <w:tr w:rsidR="004047F2" w:rsidRPr="00712F3C" w14:paraId="11A430A2" w14:textId="77777777" w:rsidTr="00250DAC">
        <w:trPr>
          <w:trHeight w:val="20"/>
        </w:trPr>
        <w:tc>
          <w:tcPr>
            <w:tcW w:w="517" w:type="pct"/>
            <w:shd w:val="clear" w:color="auto" w:fill="auto"/>
          </w:tcPr>
          <w:p w14:paraId="1D7966E7"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556D5FB1" w14:textId="77777777" w:rsidR="004047F2" w:rsidRPr="00712F3C" w:rsidRDefault="004047F2" w:rsidP="00250DAC">
            <w:pPr>
              <w:spacing w:after="0" w:line="240" w:lineRule="auto"/>
              <w:ind w:left="90" w:right="117"/>
              <w:jc w:val="both"/>
              <w:rPr>
                <w:rFonts w:ascii="Times New Roman" w:hAnsi="Times New Roman"/>
                <w:sz w:val="20"/>
                <w:szCs w:val="20"/>
              </w:rPr>
            </w:pPr>
            <w:r w:rsidRPr="00712F3C">
              <w:rPr>
                <w:rFonts w:ascii="Times New Roman" w:eastAsiaTheme="minorHAnsi" w:hAnsi="Times New Roman"/>
                <w:sz w:val="20"/>
                <w:szCs w:val="20"/>
              </w:rPr>
              <w:t xml:space="preserve">The Board of Directors may meet for the conduct of business, adjourn and otherwise regulate its meetings, as it </w:t>
            </w:r>
            <w:r w:rsidRPr="00712F3C">
              <w:rPr>
                <w:rFonts w:ascii="Times New Roman" w:hAnsi="Times New Roman"/>
                <w:sz w:val="20"/>
                <w:szCs w:val="20"/>
              </w:rPr>
              <w:t>thinks fit.</w:t>
            </w:r>
          </w:p>
          <w:p w14:paraId="5FFCF6D8" w14:textId="77777777" w:rsidR="004047F2" w:rsidRPr="00712F3C" w:rsidRDefault="004047F2" w:rsidP="00250DAC">
            <w:pPr>
              <w:spacing w:after="0" w:line="240" w:lineRule="auto"/>
              <w:ind w:left="90" w:right="117"/>
              <w:jc w:val="both"/>
              <w:rPr>
                <w:rFonts w:ascii="Times New Roman" w:hAnsi="Times New Roman"/>
                <w:sz w:val="20"/>
                <w:szCs w:val="20"/>
              </w:rPr>
            </w:pPr>
          </w:p>
          <w:p w14:paraId="0696ABBE" w14:textId="77777777" w:rsidR="004047F2" w:rsidRPr="00712F3C" w:rsidRDefault="004047F2" w:rsidP="00250DAC">
            <w:pPr>
              <w:spacing w:after="0" w:line="240" w:lineRule="auto"/>
              <w:ind w:left="90" w:right="117"/>
              <w:jc w:val="both"/>
              <w:rPr>
                <w:rFonts w:ascii="Times New Roman" w:eastAsiaTheme="minorHAnsi" w:hAnsi="Times New Roman"/>
                <w:sz w:val="20"/>
                <w:szCs w:val="20"/>
              </w:rPr>
            </w:pPr>
            <w:r w:rsidRPr="00712F3C">
              <w:rPr>
                <w:rFonts w:ascii="Times New Roman" w:hAnsi="Times New Roman"/>
                <w:sz w:val="20"/>
                <w:szCs w:val="20"/>
              </w:rPr>
              <w:t>A director may, and the manager or secretary on the requisition of a director shall, at any time, summon a meeting of the Board</w:t>
            </w:r>
            <w:r w:rsidRPr="00712F3C">
              <w:rPr>
                <w:rFonts w:ascii="Times New Roman" w:eastAsiaTheme="minorHAnsi" w:hAnsi="Times New Roman"/>
                <w:sz w:val="20"/>
                <w:szCs w:val="20"/>
              </w:rPr>
              <w:t>.</w:t>
            </w:r>
          </w:p>
          <w:p w14:paraId="5D474162" w14:textId="77777777" w:rsidR="004047F2" w:rsidRPr="00712F3C" w:rsidRDefault="004047F2" w:rsidP="00250DAC">
            <w:pPr>
              <w:spacing w:after="0" w:line="240" w:lineRule="auto"/>
              <w:ind w:left="90" w:right="117"/>
              <w:jc w:val="both"/>
              <w:rPr>
                <w:rFonts w:ascii="Times New Roman" w:eastAsiaTheme="minorHAnsi" w:hAnsi="Times New Roman"/>
                <w:sz w:val="20"/>
                <w:szCs w:val="20"/>
              </w:rPr>
            </w:pPr>
          </w:p>
        </w:tc>
      </w:tr>
      <w:tr w:rsidR="004047F2" w:rsidRPr="00712F3C" w14:paraId="2BD1AE4A" w14:textId="77777777" w:rsidTr="00250DAC">
        <w:trPr>
          <w:trHeight w:val="20"/>
        </w:trPr>
        <w:tc>
          <w:tcPr>
            <w:tcW w:w="517" w:type="pct"/>
            <w:shd w:val="clear" w:color="auto" w:fill="auto"/>
          </w:tcPr>
          <w:p w14:paraId="62EA7D22"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58CF69BA" w14:textId="77777777" w:rsidR="004047F2" w:rsidRPr="00712F3C" w:rsidRDefault="004047F2">
            <w:pPr>
              <w:pStyle w:val="ListParagraph"/>
              <w:numPr>
                <w:ilvl w:val="0"/>
                <w:numId w:val="265"/>
              </w:numPr>
              <w:spacing w:line="240" w:lineRule="auto"/>
              <w:ind w:right="117"/>
              <w:jc w:val="both"/>
              <w:rPr>
                <w:rFonts w:eastAsiaTheme="minorHAnsi"/>
                <w:sz w:val="20"/>
                <w:szCs w:val="20"/>
              </w:rPr>
            </w:pPr>
            <w:r w:rsidRPr="00712F3C">
              <w:rPr>
                <w:rFonts w:eastAsiaTheme="minorHAnsi"/>
                <w:sz w:val="20"/>
                <w:szCs w:val="20"/>
              </w:rPr>
              <w:t>Save as otherwise expressly provided in the Act, questions arising at any meeting of the Board shall be decided by a majority of votes.</w:t>
            </w:r>
          </w:p>
          <w:p w14:paraId="2817DF63" w14:textId="77777777" w:rsidR="004047F2" w:rsidRPr="00712F3C" w:rsidRDefault="004047F2" w:rsidP="00250DAC">
            <w:pPr>
              <w:pStyle w:val="ListParagraph"/>
              <w:spacing w:line="240" w:lineRule="auto"/>
              <w:ind w:right="117"/>
              <w:jc w:val="both"/>
              <w:rPr>
                <w:rFonts w:eastAsiaTheme="minorHAnsi"/>
                <w:sz w:val="20"/>
                <w:szCs w:val="20"/>
              </w:rPr>
            </w:pPr>
          </w:p>
          <w:p w14:paraId="36E19223" w14:textId="77777777" w:rsidR="004047F2" w:rsidRPr="00712F3C" w:rsidRDefault="004047F2">
            <w:pPr>
              <w:pStyle w:val="ListParagraph"/>
              <w:numPr>
                <w:ilvl w:val="0"/>
                <w:numId w:val="265"/>
              </w:numPr>
              <w:spacing w:line="240" w:lineRule="auto"/>
              <w:ind w:right="117"/>
              <w:jc w:val="both"/>
              <w:rPr>
                <w:rFonts w:eastAsiaTheme="minorHAnsi"/>
                <w:sz w:val="20"/>
                <w:szCs w:val="20"/>
              </w:rPr>
            </w:pPr>
            <w:r w:rsidRPr="00712F3C">
              <w:rPr>
                <w:rFonts w:eastAsiaTheme="minorHAnsi"/>
                <w:sz w:val="20"/>
                <w:szCs w:val="20"/>
              </w:rPr>
              <w:t>In case of an equality of votes, the Chairperson of the Board, if any, shall have a second or casting vote.</w:t>
            </w:r>
          </w:p>
          <w:p w14:paraId="06B012E6" w14:textId="77777777" w:rsidR="004047F2" w:rsidRPr="00712F3C" w:rsidRDefault="004047F2" w:rsidP="00250DAC">
            <w:pPr>
              <w:pStyle w:val="ListParagraph"/>
              <w:spacing w:line="240" w:lineRule="auto"/>
              <w:ind w:right="117"/>
              <w:jc w:val="both"/>
              <w:rPr>
                <w:rFonts w:eastAsiaTheme="minorHAnsi"/>
                <w:sz w:val="20"/>
                <w:szCs w:val="20"/>
              </w:rPr>
            </w:pPr>
          </w:p>
        </w:tc>
      </w:tr>
      <w:tr w:rsidR="004047F2" w:rsidRPr="00712F3C" w14:paraId="56D39B05" w14:textId="77777777" w:rsidTr="00250DAC">
        <w:trPr>
          <w:trHeight w:val="20"/>
        </w:trPr>
        <w:tc>
          <w:tcPr>
            <w:tcW w:w="517" w:type="pct"/>
            <w:shd w:val="clear" w:color="auto" w:fill="auto"/>
          </w:tcPr>
          <w:p w14:paraId="26181138"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04595E00" w14:textId="77777777" w:rsidR="004047F2" w:rsidRPr="00712F3C" w:rsidRDefault="004047F2" w:rsidP="00250DAC">
            <w:pPr>
              <w:spacing w:after="0" w:line="240" w:lineRule="auto"/>
              <w:ind w:left="90" w:right="117"/>
              <w:jc w:val="both"/>
              <w:rPr>
                <w:rFonts w:ascii="Times New Roman" w:eastAsiaTheme="minorHAnsi" w:hAnsi="Times New Roman"/>
                <w:sz w:val="20"/>
                <w:szCs w:val="20"/>
              </w:rPr>
            </w:pPr>
            <w:r w:rsidRPr="00712F3C">
              <w:rPr>
                <w:rFonts w:ascii="Times New Roman" w:eastAsiaTheme="minorHAnsi" w:hAnsi="Times New Roman"/>
                <w:sz w:val="20"/>
                <w:szCs w:val="20"/>
              </w:rPr>
              <w:t xml:space="preserve">The continuing directors may act notwithstanding any vacancy in the Board; but, if and so long as their number is reduced below the quorum fixed by the Act for a meeting of the Board, the continuing directors or director may act for the </w:t>
            </w:r>
            <w:r w:rsidRPr="00712F3C">
              <w:rPr>
                <w:rFonts w:ascii="Times New Roman" w:hAnsi="Times New Roman"/>
                <w:sz w:val="20"/>
                <w:szCs w:val="20"/>
              </w:rPr>
              <w:t>purpose</w:t>
            </w:r>
            <w:r w:rsidRPr="00712F3C">
              <w:rPr>
                <w:rFonts w:ascii="Times New Roman" w:eastAsiaTheme="minorHAnsi" w:hAnsi="Times New Roman"/>
                <w:sz w:val="20"/>
                <w:szCs w:val="20"/>
              </w:rPr>
              <w:t xml:space="preserve"> of increasing the number of directors to that fixed for the quorum, or of summoning a general meeting of the company, but for no other purpose.</w:t>
            </w:r>
          </w:p>
          <w:p w14:paraId="7377D281" w14:textId="77777777" w:rsidR="004047F2" w:rsidRPr="00712F3C" w:rsidRDefault="004047F2" w:rsidP="00250DAC">
            <w:pPr>
              <w:spacing w:after="0" w:line="240" w:lineRule="auto"/>
              <w:ind w:left="90" w:right="117"/>
              <w:jc w:val="both"/>
              <w:rPr>
                <w:rFonts w:ascii="Times New Roman" w:eastAsiaTheme="minorHAnsi" w:hAnsi="Times New Roman"/>
                <w:sz w:val="20"/>
                <w:szCs w:val="20"/>
              </w:rPr>
            </w:pPr>
          </w:p>
        </w:tc>
      </w:tr>
      <w:tr w:rsidR="004047F2" w:rsidRPr="00712F3C" w14:paraId="07DF653D" w14:textId="77777777" w:rsidTr="00250DAC">
        <w:trPr>
          <w:trHeight w:val="20"/>
        </w:trPr>
        <w:tc>
          <w:tcPr>
            <w:tcW w:w="517" w:type="pct"/>
            <w:shd w:val="clear" w:color="auto" w:fill="auto"/>
          </w:tcPr>
          <w:p w14:paraId="0EEEE7E9"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7E4387FE" w14:textId="77777777" w:rsidR="004047F2" w:rsidRPr="00712F3C" w:rsidRDefault="004047F2">
            <w:pPr>
              <w:pStyle w:val="ListParagraph"/>
              <w:numPr>
                <w:ilvl w:val="0"/>
                <w:numId w:val="225"/>
              </w:numPr>
              <w:spacing w:line="240" w:lineRule="auto"/>
              <w:ind w:right="117"/>
              <w:jc w:val="both"/>
              <w:rPr>
                <w:rFonts w:eastAsiaTheme="minorHAnsi"/>
                <w:sz w:val="20"/>
                <w:szCs w:val="20"/>
              </w:rPr>
            </w:pPr>
            <w:r w:rsidRPr="00712F3C">
              <w:rPr>
                <w:rFonts w:eastAsiaTheme="minorHAnsi"/>
                <w:sz w:val="20"/>
                <w:szCs w:val="20"/>
              </w:rPr>
              <w:t>The Board may elect a Chairperson of its meetings and determine the period for which he is to hold office.</w:t>
            </w:r>
          </w:p>
          <w:p w14:paraId="7FC51DDF" w14:textId="77777777" w:rsidR="004047F2" w:rsidRPr="00712F3C" w:rsidRDefault="004047F2" w:rsidP="00250DAC">
            <w:pPr>
              <w:pStyle w:val="ListParagraph"/>
              <w:spacing w:line="240" w:lineRule="auto"/>
              <w:ind w:right="117"/>
              <w:jc w:val="both"/>
              <w:rPr>
                <w:rFonts w:eastAsiaTheme="minorHAnsi"/>
                <w:sz w:val="20"/>
                <w:szCs w:val="20"/>
              </w:rPr>
            </w:pPr>
          </w:p>
          <w:p w14:paraId="4817E4EE" w14:textId="77777777" w:rsidR="004047F2" w:rsidRPr="00712F3C" w:rsidRDefault="004047F2">
            <w:pPr>
              <w:pStyle w:val="ListParagraph"/>
              <w:numPr>
                <w:ilvl w:val="0"/>
                <w:numId w:val="225"/>
              </w:numPr>
              <w:spacing w:line="240" w:lineRule="auto"/>
              <w:ind w:right="117"/>
              <w:jc w:val="both"/>
              <w:rPr>
                <w:rFonts w:eastAsiaTheme="minorHAnsi"/>
                <w:sz w:val="20"/>
                <w:szCs w:val="20"/>
              </w:rPr>
            </w:pPr>
            <w:r w:rsidRPr="00712F3C">
              <w:rPr>
                <w:rFonts w:eastAsiaTheme="minorHAnsi"/>
                <w:sz w:val="20"/>
                <w:szCs w:val="20"/>
              </w:rPr>
              <w:t>If no such Chairperson is elected, or if at any meeting the Chairperson is not present within five minutes after the time appointed for holding the meeting, the directors present may choose one of their number to be Chairperson of the meeting.</w:t>
            </w:r>
          </w:p>
          <w:p w14:paraId="57B64E1C" w14:textId="77777777" w:rsidR="004047F2" w:rsidRPr="00712F3C" w:rsidRDefault="004047F2" w:rsidP="00250DAC">
            <w:pPr>
              <w:pStyle w:val="ListParagraph"/>
              <w:spacing w:line="240" w:lineRule="auto"/>
              <w:ind w:right="117"/>
              <w:jc w:val="both"/>
              <w:rPr>
                <w:rFonts w:eastAsiaTheme="minorHAnsi"/>
                <w:sz w:val="20"/>
                <w:szCs w:val="20"/>
              </w:rPr>
            </w:pPr>
          </w:p>
        </w:tc>
      </w:tr>
      <w:tr w:rsidR="004047F2" w:rsidRPr="00712F3C" w14:paraId="6C5710EB" w14:textId="77777777" w:rsidTr="00250DAC">
        <w:trPr>
          <w:trHeight w:val="20"/>
        </w:trPr>
        <w:tc>
          <w:tcPr>
            <w:tcW w:w="517" w:type="pct"/>
            <w:shd w:val="clear" w:color="auto" w:fill="auto"/>
          </w:tcPr>
          <w:p w14:paraId="203B7934"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24A58188" w14:textId="77777777" w:rsidR="004047F2" w:rsidRPr="00712F3C" w:rsidRDefault="004047F2">
            <w:pPr>
              <w:pStyle w:val="ListParagraph"/>
              <w:numPr>
                <w:ilvl w:val="0"/>
                <w:numId w:val="229"/>
              </w:numPr>
              <w:spacing w:line="240" w:lineRule="auto"/>
              <w:ind w:right="117"/>
              <w:jc w:val="both"/>
              <w:rPr>
                <w:rFonts w:eastAsiaTheme="minorHAnsi"/>
                <w:sz w:val="20"/>
                <w:szCs w:val="20"/>
              </w:rPr>
            </w:pPr>
            <w:r w:rsidRPr="00712F3C">
              <w:rPr>
                <w:rFonts w:eastAsiaTheme="minorHAnsi"/>
                <w:sz w:val="20"/>
                <w:szCs w:val="20"/>
              </w:rPr>
              <w:t>The Board may, subject to the provisions of the Act, delegate any of its powers to committees consisting of such member or members of its body as it thinks fit.</w:t>
            </w:r>
          </w:p>
          <w:p w14:paraId="7C66F660" w14:textId="77777777" w:rsidR="004047F2" w:rsidRPr="00712F3C" w:rsidRDefault="004047F2" w:rsidP="00250DAC">
            <w:pPr>
              <w:pStyle w:val="ListParagraph"/>
              <w:spacing w:line="240" w:lineRule="auto"/>
              <w:ind w:right="117"/>
              <w:jc w:val="both"/>
              <w:rPr>
                <w:rFonts w:eastAsiaTheme="minorHAnsi"/>
                <w:sz w:val="20"/>
                <w:szCs w:val="20"/>
              </w:rPr>
            </w:pPr>
          </w:p>
          <w:p w14:paraId="1506B504" w14:textId="77777777" w:rsidR="004047F2" w:rsidRPr="00712F3C" w:rsidRDefault="004047F2">
            <w:pPr>
              <w:pStyle w:val="ListParagraph"/>
              <w:numPr>
                <w:ilvl w:val="0"/>
                <w:numId w:val="229"/>
              </w:numPr>
              <w:spacing w:line="240" w:lineRule="auto"/>
              <w:ind w:right="117"/>
              <w:jc w:val="both"/>
              <w:rPr>
                <w:rFonts w:eastAsiaTheme="minorHAnsi"/>
                <w:sz w:val="20"/>
                <w:szCs w:val="20"/>
              </w:rPr>
            </w:pPr>
            <w:r w:rsidRPr="00712F3C">
              <w:rPr>
                <w:rFonts w:eastAsiaTheme="minorHAnsi"/>
                <w:sz w:val="20"/>
                <w:szCs w:val="20"/>
              </w:rPr>
              <w:t>Any committee so formed shall, in the exercise of the powers so delegated, conform to any regulations that may be imposed on it by the Board.</w:t>
            </w:r>
          </w:p>
          <w:p w14:paraId="3D5B22E9" w14:textId="77777777" w:rsidR="004047F2" w:rsidRPr="00712F3C" w:rsidRDefault="004047F2" w:rsidP="00250DAC">
            <w:pPr>
              <w:pStyle w:val="ListParagraph"/>
              <w:spacing w:line="240" w:lineRule="auto"/>
              <w:ind w:right="117"/>
              <w:jc w:val="both"/>
              <w:rPr>
                <w:rFonts w:eastAsiaTheme="minorHAnsi"/>
                <w:sz w:val="20"/>
                <w:szCs w:val="20"/>
              </w:rPr>
            </w:pPr>
          </w:p>
        </w:tc>
      </w:tr>
      <w:tr w:rsidR="004047F2" w:rsidRPr="00712F3C" w14:paraId="307ABDC5" w14:textId="77777777" w:rsidTr="00250DAC">
        <w:trPr>
          <w:trHeight w:val="20"/>
        </w:trPr>
        <w:tc>
          <w:tcPr>
            <w:tcW w:w="517" w:type="pct"/>
            <w:shd w:val="clear" w:color="auto" w:fill="auto"/>
          </w:tcPr>
          <w:p w14:paraId="63310420"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6A782A19" w14:textId="77777777" w:rsidR="004047F2" w:rsidRPr="00712F3C" w:rsidRDefault="004047F2">
            <w:pPr>
              <w:pStyle w:val="ListParagraph"/>
              <w:numPr>
                <w:ilvl w:val="0"/>
                <w:numId w:val="230"/>
              </w:numPr>
              <w:spacing w:line="240" w:lineRule="auto"/>
              <w:ind w:right="117"/>
              <w:jc w:val="both"/>
              <w:rPr>
                <w:rFonts w:eastAsiaTheme="minorHAnsi"/>
                <w:sz w:val="20"/>
                <w:szCs w:val="20"/>
              </w:rPr>
            </w:pPr>
            <w:r w:rsidRPr="00712F3C">
              <w:rPr>
                <w:rFonts w:eastAsiaTheme="minorHAnsi"/>
                <w:sz w:val="20"/>
                <w:szCs w:val="20"/>
              </w:rPr>
              <w:t xml:space="preserve">A committee may elect a Chairperson of its meetings. </w:t>
            </w:r>
          </w:p>
          <w:p w14:paraId="1EF3DF32" w14:textId="77777777" w:rsidR="004047F2" w:rsidRPr="00712F3C" w:rsidRDefault="004047F2" w:rsidP="00250DAC">
            <w:pPr>
              <w:pStyle w:val="ListParagraph"/>
              <w:spacing w:line="240" w:lineRule="auto"/>
              <w:ind w:right="117"/>
              <w:jc w:val="both"/>
              <w:rPr>
                <w:rFonts w:eastAsiaTheme="minorHAnsi"/>
                <w:sz w:val="20"/>
                <w:szCs w:val="20"/>
              </w:rPr>
            </w:pPr>
          </w:p>
          <w:p w14:paraId="0CC63A0A" w14:textId="77777777" w:rsidR="004047F2" w:rsidRPr="00712F3C" w:rsidRDefault="004047F2">
            <w:pPr>
              <w:pStyle w:val="ListParagraph"/>
              <w:numPr>
                <w:ilvl w:val="0"/>
                <w:numId w:val="230"/>
              </w:numPr>
              <w:spacing w:line="240" w:lineRule="auto"/>
              <w:ind w:right="117"/>
              <w:jc w:val="both"/>
              <w:rPr>
                <w:rFonts w:eastAsiaTheme="minorHAnsi"/>
                <w:sz w:val="20"/>
                <w:szCs w:val="20"/>
              </w:rPr>
            </w:pPr>
            <w:r w:rsidRPr="00712F3C">
              <w:rPr>
                <w:rFonts w:eastAsiaTheme="minorHAnsi"/>
                <w:sz w:val="20"/>
                <w:szCs w:val="20"/>
              </w:rPr>
              <w:t>If no such Chairperson is elected, or if at any meeting the 72 Chairperson is not present within five minutes after the time appointed for holding the meeting, the members present may choose one of their members to be Chairperson of the meeting.</w:t>
            </w:r>
          </w:p>
          <w:p w14:paraId="2BAD3FF1" w14:textId="77777777" w:rsidR="004047F2" w:rsidRPr="00712F3C" w:rsidRDefault="004047F2" w:rsidP="00250DAC">
            <w:pPr>
              <w:pStyle w:val="ListParagraph"/>
              <w:spacing w:line="240" w:lineRule="auto"/>
              <w:ind w:right="117"/>
              <w:jc w:val="both"/>
              <w:rPr>
                <w:rFonts w:eastAsiaTheme="minorHAnsi"/>
                <w:sz w:val="20"/>
                <w:szCs w:val="20"/>
              </w:rPr>
            </w:pPr>
          </w:p>
        </w:tc>
      </w:tr>
      <w:tr w:rsidR="004047F2" w:rsidRPr="00712F3C" w14:paraId="27D39B1B" w14:textId="77777777" w:rsidTr="00250DAC">
        <w:trPr>
          <w:trHeight w:val="20"/>
        </w:trPr>
        <w:tc>
          <w:tcPr>
            <w:tcW w:w="517" w:type="pct"/>
            <w:shd w:val="clear" w:color="auto" w:fill="auto"/>
          </w:tcPr>
          <w:p w14:paraId="6FCEF166"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710FD727" w14:textId="77777777" w:rsidR="004047F2" w:rsidRPr="00712F3C" w:rsidRDefault="004047F2">
            <w:pPr>
              <w:pStyle w:val="ListParagraph"/>
              <w:numPr>
                <w:ilvl w:val="0"/>
                <w:numId w:val="231"/>
              </w:numPr>
              <w:spacing w:line="240" w:lineRule="auto"/>
              <w:ind w:right="117"/>
              <w:jc w:val="both"/>
              <w:rPr>
                <w:rFonts w:eastAsiaTheme="minorHAnsi"/>
                <w:sz w:val="20"/>
                <w:szCs w:val="20"/>
              </w:rPr>
            </w:pPr>
            <w:r w:rsidRPr="00712F3C">
              <w:rPr>
                <w:rFonts w:eastAsiaTheme="minorHAnsi"/>
                <w:sz w:val="20"/>
                <w:szCs w:val="20"/>
              </w:rPr>
              <w:t>A committee may meet and adjourn as it thinks fit.</w:t>
            </w:r>
          </w:p>
          <w:p w14:paraId="07BDF22D" w14:textId="77777777" w:rsidR="004047F2" w:rsidRPr="00712F3C" w:rsidRDefault="004047F2" w:rsidP="00250DAC">
            <w:pPr>
              <w:pStyle w:val="ListParagraph"/>
              <w:spacing w:line="240" w:lineRule="auto"/>
              <w:ind w:right="117"/>
              <w:jc w:val="both"/>
              <w:rPr>
                <w:rFonts w:eastAsiaTheme="minorHAnsi"/>
                <w:sz w:val="20"/>
                <w:szCs w:val="20"/>
              </w:rPr>
            </w:pPr>
          </w:p>
          <w:p w14:paraId="1D005755" w14:textId="77777777" w:rsidR="004047F2" w:rsidRPr="00712F3C" w:rsidRDefault="004047F2">
            <w:pPr>
              <w:pStyle w:val="ListParagraph"/>
              <w:numPr>
                <w:ilvl w:val="0"/>
                <w:numId w:val="231"/>
              </w:numPr>
              <w:spacing w:line="240" w:lineRule="auto"/>
              <w:ind w:right="117"/>
              <w:jc w:val="both"/>
              <w:rPr>
                <w:rFonts w:eastAsiaTheme="minorHAnsi"/>
                <w:sz w:val="20"/>
                <w:szCs w:val="20"/>
              </w:rPr>
            </w:pPr>
            <w:r w:rsidRPr="00712F3C">
              <w:rPr>
                <w:rFonts w:eastAsiaTheme="minorHAnsi"/>
                <w:sz w:val="20"/>
                <w:szCs w:val="20"/>
              </w:rPr>
              <w:t>Questions arising at any meeting of a committee shall be determined by a majority of votes of the members present, and in case of an equality of votes, the Chairperson shall have a second or casting vote.</w:t>
            </w:r>
          </w:p>
          <w:p w14:paraId="31230716" w14:textId="77777777" w:rsidR="004047F2" w:rsidRPr="00712F3C" w:rsidRDefault="004047F2" w:rsidP="00250DAC">
            <w:pPr>
              <w:pStyle w:val="ListParagraph"/>
              <w:spacing w:line="240" w:lineRule="auto"/>
              <w:ind w:right="117"/>
              <w:jc w:val="both"/>
              <w:rPr>
                <w:rFonts w:eastAsiaTheme="minorHAnsi"/>
                <w:sz w:val="20"/>
                <w:szCs w:val="20"/>
              </w:rPr>
            </w:pPr>
          </w:p>
        </w:tc>
      </w:tr>
      <w:tr w:rsidR="004047F2" w:rsidRPr="00712F3C" w14:paraId="4B3C4674" w14:textId="77777777" w:rsidTr="00250DAC">
        <w:trPr>
          <w:trHeight w:val="20"/>
        </w:trPr>
        <w:tc>
          <w:tcPr>
            <w:tcW w:w="517" w:type="pct"/>
            <w:shd w:val="clear" w:color="auto" w:fill="auto"/>
          </w:tcPr>
          <w:p w14:paraId="7BF2128D"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10BEB0D3" w14:textId="77777777" w:rsidR="004047F2" w:rsidRPr="00712F3C" w:rsidRDefault="004047F2" w:rsidP="00250DAC">
            <w:pPr>
              <w:spacing w:after="0" w:line="240" w:lineRule="auto"/>
              <w:ind w:left="90" w:right="122"/>
              <w:jc w:val="both"/>
              <w:rPr>
                <w:rFonts w:ascii="Times New Roman" w:eastAsiaTheme="minorHAnsi" w:hAnsi="Times New Roman"/>
                <w:sz w:val="20"/>
                <w:szCs w:val="20"/>
              </w:rPr>
            </w:pPr>
            <w:r w:rsidRPr="00712F3C">
              <w:rPr>
                <w:rFonts w:ascii="Times New Roman" w:eastAsiaTheme="minorHAnsi" w:hAnsi="Times New Roman"/>
                <w:sz w:val="20"/>
                <w:szCs w:val="20"/>
              </w:rPr>
              <w:t>All acts done in any meeting of the Board or of a committee thereof or by any person acting as a director, shall, notwithstanding that it may be afterwards discovered that there was some defect in the appointment of any one or more of such directors or of any person acting as aforesaid, or that they or any of them were disqualified, be as valid as if every such director or such person had been duly appointed and was qualified to be a director.</w:t>
            </w:r>
          </w:p>
          <w:p w14:paraId="7E923D08" w14:textId="77777777" w:rsidR="004047F2" w:rsidRPr="00712F3C" w:rsidRDefault="004047F2" w:rsidP="00250DAC">
            <w:pPr>
              <w:spacing w:after="0" w:line="240" w:lineRule="auto"/>
              <w:ind w:left="90" w:right="122"/>
              <w:jc w:val="both"/>
              <w:rPr>
                <w:rFonts w:ascii="Times New Roman" w:eastAsiaTheme="minorHAnsi" w:hAnsi="Times New Roman"/>
                <w:sz w:val="20"/>
                <w:szCs w:val="20"/>
              </w:rPr>
            </w:pPr>
          </w:p>
        </w:tc>
      </w:tr>
      <w:tr w:rsidR="004047F2" w:rsidRPr="00712F3C" w14:paraId="12304453" w14:textId="77777777" w:rsidTr="00250DAC">
        <w:trPr>
          <w:trHeight w:val="20"/>
        </w:trPr>
        <w:tc>
          <w:tcPr>
            <w:tcW w:w="517" w:type="pct"/>
            <w:shd w:val="clear" w:color="auto" w:fill="auto"/>
          </w:tcPr>
          <w:p w14:paraId="6267B55E"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3FA5C033" w14:textId="77777777" w:rsidR="004047F2" w:rsidRPr="00712F3C" w:rsidRDefault="004047F2" w:rsidP="00250DAC">
            <w:pPr>
              <w:spacing w:after="0" w:line="240" w:lineRule="auto"/>
              <w:ind w:left="90" w:right="122"/>
              <w:jc w:val="both"/>
              <w:rPr>
                <w:rFonts w:ascii="Times New Roman" w:eastAsiaTheme="minorHAnsi" w:hAnsi="Times New Roman"/>
                <w:sz w:val="20"/>
                <w:szCs w:val="20"/>
              </w:rPr>
            </w:pPr>
            <w:r w:rsidRPr="00712F3C">
              <w:rPr>
                <w:rFonts w:ascii="Times New Roman" w:eastAsiaTheme="minorHAnsi" w:hAnsi="Times New Roman"/>
                <w:sz w:val="20"/>
                <w:szCs w:val="20"/>
              </w:rPr>
              <w:t>Save as otherwise expressly provided in the Act, a resolution in writing, signed by all the members of the Board or of a committee thereof, for the time being entitled to receive notice of a meeting of the Board or committee, shall be valid and effective as if it had been passed at a meeting of the Board or committee, duly convened and held.</w:t>
            </w:r>
          </w:p>
          <w:p w14:paraId="54CB3154" w14:textId="77777777" w:rsidR="004047F2" w:rsidRPr="00712F3C" w:rsidRDefault="004047F2" w:rsidP="00250DAC">
            <w:pPr>
              <w:spacing w:after="0" w:line="240" w:lineRule="auto"/>
              <w:ind w:left="90" w:right="122"/>
              <w:jc w:val="both"/>
              <w:rPr>
                <w:rFonts w:ascii="Times New Roman" w:eastAsiaTheme="minorHAnsi" w:hAnsi="Times New Roman"/>
                <w:sz w:val="20"/>
                <w:szCs w:val="20"/>
              </w:rPr>
            </w:pPr>
          </w:p>
        </w:tc>
      </w:tr>
      <w:tr w:rsidR="004047F2" w:rsidRPr="00712F3C" w14:paraId="69C7A93C" w14:textId="77777777" w:rsidTr="00250DAC">
        <w:trPr>
          <w:trHeight w:val="20"/>
        </w:trPr>
        <w:tc>
          <w:tcPr>
            <w:tcW w:w="5000" w:type="pct"/>
            <w:gridSpan w:val="2"/>
            <w:shd w:val="clear" w:color="auto" w:fill="auto"/>
          </w:tcPr>
          <w:p w14:paraId="60B9F1B4" w14:textId="77777777" w:rsidR="004047F2" w:rsidRPr="00712F3C" w:rsidRDefault="004047F2" w:rsidP="00250DAC">
            <w:pPr>
              <w:autoSpaceDE w:val="0"/>
              <w:autoSpaceDN w:val="0"/>
              <w:adjustRightInd w:val="0"/>
              <w:spacing w:after="0" w:line="240" w:lineRule="auto"/>
              <w:jc w:val="center"/>
              <w:rPr>
                <w:rFonts w:ascii="Times New Roman" w:eastAsiaTheme="minorHAnsi" w:hAnsi="Times New Roman"/>
                <w:b/>
                <w:bCs/>
                <w:iCs/>
                <w:sz w:val="20"/>
                <w:szCs w:val="20"/>
              </w:rPr>
            </w:pPr>
            <w:r w:rsidRPr="00712F3C">
              <w:rPr>
                <w:rFonts w:ascii="Times New Roman" w:eastAsiaTheme="minorHAnsi" w:hAnsi="Times New Roman"/>
                <w:b/>
                <w:bCs/>
                <w:iCs/>
                <w:sz w:val="20"/>
                <w:szCs w:val="20"/>
              </w:rPr>
              <w:t>CHIEF EXECUTIVE OFFICER, MANAGER, COMPANY SECRETARY OR CHIEF FINANCIAL OFFICER</w:t>
            </w:r>
          </w:p>
          <w:p w14:paraId="587A6027" w14:textId="77777777" w:rsidR="004047F2" w:rsidRPr="00712F3C" w:rsidRDefault="004047F2" w:rsidP="00250DAC">
            <w:pPr>
              <w:autoSpaceDE w:val="0"/>
              <w:autoSpaceDN w:val="0"/>
              <w:adjustRightInd w:val="0"/>
              <w:spacing w:after="0" w:line="240" w:lineRule="auto"/>
              <w:jc w:val="center"/>
              <w:rPr>
                <w:rFonts w:ascii="Times New Roman" w:eastAsiaTheme="minorHAnsi" w:hAnsi="Times New Roman"/>
                <w:b/>
                <w:bCs/>
                <w:iCs/>
                <w:sz w:val="20"/>
                <w:szCs w:val="20"/>
              </w:rPr>
            </w:pPr>
          </w:p>
        </w:tc>
      </w:tr>
      <w:tr w:rsidR="004047F2" w:rsidRPr="00712F3C" w14:paraId="55592BBB" w14:textId="77777777" w:rsidTr="00250DAC">
        <w:trPr>
          <w:trHeight w:val="20"/>
        </w:trPr>
        <w:tc>
          <w:tcPr>
            <w:tcW w:w="517" w:type="pct"/>
            <w:shd w:val="clear" w:color="auto" w:fill="auto"/>
          </w:tcPr>
          <w:p w14:paraId="2BB4404F"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3D13E48D" w14:textId="77777777" w:rsidR="004047F2" w:rsidRPr="00712F3C" w:rsidRDefault="004047F2" w:rsidP="00250DAC">
            <w:pPr>
              <w:spacing w:after="0" w:line="240" w:lineRule="auto"/>
              <w:ind w:left="90" w:right="122"/>
              <w:jc w:val="both"/>
              <w:rPr>
                <w:rFonts w:ascii="Times New Roman" w:eastAsiaTheme="minorHAnsi" w:hAnsi="Times New Roman"/>
                <w:sz w:val="20"/>
                <w:szCs w:val="20"/>
              </w:rPr>
            </w:pPr>
            <w:r w:rsidRPr="00712F3C">
              <w:rPr>
                <w:rFonts w:ascii="Times New Roman" w:eastAsiaTheme="minorHAnsi" w:hAnsi="Times New Roman"/>
                <w:sz w:val="20"/>
                <w:szCs w:val="20"/>
              </w:rPr>
              <w:t>Subject to the provisions of the Act,</w:t>
            </w:r>
          </w:p>
          <w:p w14:paraId="3F33C47F" w14:textId="77777777" w:rsidR="004047F2" w:rsidRPr="00712F3C" w:rsidRDefault="004047F2">
            <w:pPr>
              <w:pStyle w:val="ListParagraph"/>
              <w:numPr>
                <w:ilvl w:val="0"/>
                <w:numId w:val="266"/>
              </w:numPr>
              <w:spacing w:line="240" w:lineRule="auto"/>
              <w:ind w:right="117"/>
              <w:jc w:val="both"/>
              <w:rPr>
                <w:rFonts w:eastAsiaTheme="minorHAnsi"/>
                <w:sz w:val="20"/>
                <w:szCs w:val="20"/>
              </w:rPr>
            </w:pPr>
            <w:r w:rsidRPr="00712F3C">
              <w:rPr>
                <w:rFonts w:eastAsiaTheme="minorHAnsi"/>
                <w:sz w:val="20"/>
                <w:szCs w:val="20"/>
              </w:rPr>
              <w:t xml:space="preserve">A chief executive officer, manager, company secretary or chief financial officer may be appointed by the Board for such term, at such remuneration and upon such conditions as it may think fit; and any chief </w:t>
            </w:r>
            <w:r w:rsidRPr="00712F3C">
              <w:rPr>
                <w:rFonts w:eastAsiaTheme="minorHAnsi"/>
                <w:sz w:val="20"/>
                <w:szCs w:val="20"/>
              </w:rPr>
              <w:lastRenderedPageBreak/>
              <w:t>executive officer, manager, company secretary or chief financial officer so appointed may be removed by means of a resolution of the Board;</w:t>
            </w:r>
          </w:p>
          <w:p w14:paraId="40061CB8" w14:textId="77777777" w:rsidR="004047F2" w:rsidRPr="00712F3C" w:rsidRDefault="004047F2" w:rsidP="00250DAC">
            <w:pPr>
              <w:pStyle w:val="ListParagraph"/>
              <w:spacing w:line="240" w:lineRule="auto"/>
              <w:ind w:right="117"/>
              <w:jc w:val="both"/>
              <w:rPr>
                <w:rFonts w:eastAsiaTheme="minorHAnsi"/>
                <w:sz w:val="20"/>
                <w:szCs w:val="20"/>
              </w:rPr>
            </w:pPr>
          </w:p>
          <w:p w14:paraId="45889DDA" w14:textId="77777777" w:rsidR="004047F2" w:rsidRPr="00712F3C" w:rsidRDefault="004047F2">
            <w:pPr>
              <w:pStyle w:val="ListParagraph"/>
              <w:numPr>
                <w:ilvl w:val="0"/>
                <w:numId w:val="266"/>
              </w:numPr>
              <w:spacing w:line="240" w:lineRule="auto"/>
              <w:ind w:right="117"/>
              <w:jc w:val="both"/>
              <w:rPr>
                <w:rFonts w:eastAsiaTheme="minorHAnsi"/>
                <w:sz w:val="20"/>
                <w:szCs w:val="20"/>
              </w:rPr>
            </w:pPr>
            <w:r w:rsidRPr="00712F3C">
              <w:rPr>
                <w:rFonts w:eastAsiaTheme="minorHAnsi"/>
                <w:sz w:val="20"/>
                <w:szCs w:val="20"/>
              </w:rPr>
              <w:t>A director may be appointed as chief executive officer, manager, company secretary or chief financial officer</w:t>
            </w:r>
          </w:p>
          <w:p w14:paraId="251C9A53" w14:textId="77777777" w:rsidR="004047F2" w:rsidRPr="00712F3C" w:rsidRDefault="004047F2" w:rsidP="00250DAC">
            <w:pPr>
              <w:pStyle w:val="ListParagraph"/>
              <w:spacing w:line="240" w:lineRule="auto"/>
              <w:ind w:right="117"/>
              <w:jc w:val="both"/>
              <w:rPr>
                <w:rFonts w:eastAsiaTheme="minorHAnsi"/>
                <w:sz w:val="20"/>
                <w:szCs w:val="20"/>
              </w:rPr>
            </w:pPr>
          </w:p>
        </w:tc>
      </w:tr>
      <w:tr w:rsidR="004047F2" w:rsidRPr="00712F3C" w14:paraId="65BAEC11" w14:textId="77777777" w:rsidTr="00250DAC">
        <w:trPr>
          <w:trHeight w:val="20"/>
        </w:trPr>
        <w:tc>
          <w:tcPr>
            <w:tcW w:w="517" w:type="pct"/>
            <w:shd w:val="clear" w:color="auto" w:fill="auto"/>
          </w:tcPr>
          <w:p w14:paraId="58EF8D02"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79016B07" w14:textId="77777777" w:rsidR="004047F2" w:rsidRPr="00712F3C" w:rsidRDefault="004047F2" w:rsidP="00250DAC">
            <w:pPr>
              <w:spacing w:after="0" w:line="240" w:lineRule="auto"/>
              <w:ind w:left="90" w:right="122"/>
              <w:jc w:val="both"/>
              <w:rPr>
                <w:rFonts w:ascii="Times New Roman" w:eastAsiaTheme="minorHAnsi" w:hAnsi="Times New Roman"/>
                <w:sz w:val="20"/>
                <w:szCs w:val="20"/>
              </w:rPr>
            </w:pPr>
            <w:r w:rsidRPr="00712F3C">
              <w:rPr>
                <w:rFonts w:ascii="Times New Roman" w:eastAsiaTheme="minorHAnsi" w:hAnsi="Times New Roman"/>
                <w:sz w:val="20"/>
                <w:szCs w:val="20"/>
              </w:rPr>
              <w:t>A provision of the Act or these regulations requiring or authorising a thing to be done by or to a director and chief executive officer, manager, company secretary or chief financial officer shall not be satisfied by its being done by or to the same person acting both as director and as, or in place of, chief executive officer, manager, company secretary or chief financial officer.</w:t>
            </w:r>
          </w:p>
          <w:p w14:paraId="4673DB90" w14:textId="77777777" w:rsidR="004047F2" w:rsidRPr="00712F3C" w:rsidRDefault="004047F2" w:rsidP="00250DAC">
            <w:pPr>
              <w:spacing w:after="0" w:line="240" w:lineRule="auto"/>
              <w:ind w:right="122"/>
              <w:jc w:val="both"/>
              <w:rPr>
                <w:rFonts w:ascii="Times New Roman" w:eastAsiaTheme="minorHAnsi" w:hAnsi="Times New Roman"/>
                <w:sz w:val="20"/>
                <w:szCs w:val="20"/>
              </w:rPr>
            </w:pPr>
          </w:p>
        </w:tc>
      </w:tr>
      <w:tr w:rsidR="004047F2" w:rsidRPr="00712F3C" w14:paraId="73C83721" w14:textId="77777777" w:rsidTr="00250DAC">
        <w:trPr>
          <w:trHeight w:val="20"/>
        </w:trPr>
        <w:tc>
          <w:tcPr>
            <w:tcW w:w="5000" w:type="pct"/>
            <w:gridSpan w:val="2"/>
            <w:shd w:val="clear" w:color="auto" w:fill="auto"/>
          </w:tcPr>
          <w:p w14:paraId="4EFF3053" w14:textId="77777777" w:rsidR="004047F2" w:rsidRPr="00712F3C" w:rsidRDefault="004047F2" w:rsidP="00250DAC">
            <w:pPr>
              <w:spacing w:after="0" w:line="240" w:lineRule="auto"/>
              <w:jc w:val="center"/>
              <w:rPr>
                <w:rFonts w:ascii="Times New Roman" w:eastAsiaTheme="minorHAnsi" w:hAnsi="Times New Roman"/>
                <w:b/>
                <w:bCs/>
                <w:iCs/>
                <w:sz w:val="20"/>
                <w:szCs w:val="20"/>
              </w:rPr>
            </w:pPr>
            <w:r w:rsidRPr="00712F3C">
              <w:rPr>
                <w:rFonts w:ascii="Times New Roman" w:eastAsiaTheme="minorHAnsi" w:hAnsi="Times New Roman"/>
                <w:b/>
                <w:bCs/>
                <w:iCs/>
                <w:sz w:val="20"/>
                <w:szCs w:val="20"/>
              </w:rPr>
              <w:t>THE SEAL</w:t>
            </w:r>
          </w:p>
          <w:p w14:paraId="2EEDCC6D" w14:textId="77777777" w:rsidR="004047F2" w:rsidRPr="00712F3C" w:rsidRDefault="004047F2" w:rsidP="00250DAC">
            <w:pPr>
              <w:spacing w:after="0" w:line="240" w:lineRule="auto"/>
              <w:jc w:val="center"/>
              <w:rPr>
                <w:rFonts w:ascii="Times New Roman" w:eastAsiaTheme="minorHAnsi" w:hAnsi="Times New Roman"/>
                <w:sz w:val="20"/>
                <w:szCs w:val="20"/>
              </w:rPr>
            </w:pPr>
          </w:p>
        </w:tc>
      </w:tr>
      <w:tr w:rsidR="004047F2" w:rsidRPr="00712F3C" w14:paraId="6486D3B1" w14:textId="77777777" w:rsidTr="00250DAC">
        <w:trPr>
          <w:trHeight w:val="20"/>
        </w:trPr>
        <w:tc>
          <w:tcPr>
            <w:tcW w:w="517" w:type="pct"/>
            <w:shd w:val="clear" w:color="auto" w:fill="auto"/>
          </w:tcPr>
          <w:p w14:paraId="62F7DC68"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59CF5F84" w14:textId="77777777" w:rsidR="004047F2" w:rsidRPr="00712F3C" w:rsidRDefault="004047F2">
            <w:pPr>
              <w:pStyle w:val="ListParagraph"/>
              <w:numPr>
                <w:ilvl w:val="0"/>
                <w:numId w:val="267"/>
              </w:numPr>
              <w:spacing w:line="240" w:lineRule="auto"/>
              <w:ind w:right="122"/>
              <w:jc w:val="both"/>
              <w:rPr>
                <w:rFonts w:eastAsiaTheme="minorHAnsi"/>
                <w:sz w:val="20"/>
                <w:szCs w:val="20"/>
              </w:rPr>
            </w:pPr>
            <w:r w:rsidRPr="00712F3C">
              <w:rPr>
                <w:rFonts w:eastAsiaTheme="minorHAnsi"/>
                <w:sz w:val="20"/>
                <w:szCs w:val="20"/>
              </w:rPr>
              <w:t>The Board shall provide for the safe custody of the seal.</w:t>
            </w:r>
          </w:p>
          <w:p w14:paraId="03902DB6" w14:textId="77777777" w:rsidR="004047F2" w:rsidRPr="00712F3C" w:rsidRDefault="004047F2" w:rsidP="00250DAC">
            <w:pPr>
              <w:pStyle w:val="ListParagraph"/>
              <w:spacing w:line="240" w:lineRule="auto"/>
              <w:ind w:left="810" w:right="122"/>
              <w:jc w:val="both"/>
              <w:rPr>
                <w:rFonts w:eastAsiaTheme="minorHAnsi"/>
                <w:sz w:val="20"/>
                <w:szCs w:val="20"/>
              </w:rPr>
            </w:pPr>
          </w:p>
          <w:p w14:paraId="4D366207" w14:textId="77777777" w:rsidR="004047F2" w:rsidRPr="00712F3C" w:rsidRDefault="004047F2">
            <w:pPr>
              <w:pStyle w:val="ListParagraph"/>
              <w:numPr>
                <w:ilvl w:val="0"/>
                <w:numId w:val="267"/>
              </w:numPr>
              <w:spacing w:line="240" w:lineRule="auto"/>
              <w:ind w:right="122"/>
              <w:jc w:val="both"/>
              <w:rPr>
                <w:rFonts w:eastAsiaTheme="minorHAnsi"/>
                <w:sz w:val="20"/>
                <w:szCs w:val="20"/>
              </w:rPr>
            </w:pPr>
            <w:r w:rsidRPr="00712F3C">
              <w:rPr>
                <w:rFonts w:eastAsiaTheme="minorHAnsi"/>
                <w:sz w:val="20"/>
                <w:szCs w:val="20"/>
              </w:rPr>
              <w:t>The seal of the company shall not be affixed to any instrument except by the authority of a resolution of the Board or of a committee of the Board authorised by it in that behalf, and except in the presence of at least two directors and of the secretary or such other person as the Board may appoint for the purpose; and those two directors and the secretary or other person aforesaid shall sign every instrument to which the seal of the company is so affixed in their presence.</w:t>
            </w:r>
          </w:p>
          <w:p w14:paraId="3A5B8840" w14:textId="77777777" w:rsidR="004047F2" w:rsidRPr="00712F3C" w:rsidRDefault="004047F2" w:rsidP="00250DAC">
            <w:pPr>
              <w:pStyle w:val="ListParagraph"/>
              <w:spacing w:line="240" w:lineRule="auto"/>
              <w:ind w:left="810" w:right="122"/>
              <w:jc w:val="both"/>
              <w:rPr>
                <w:rFonts w:eastAsiaTheme="minorHAnsi"/>
                <w:sz w:val="20"/>
                <w:szCs w:val="20"/>
              </w:rPr>
            </w:pPr>
          </w:p>
        </w:tc>
      </w:tr>
      <w:tr w:rsidR="004047F2" w:rsidRPr="00712F3C" w14:paraId="3AE7E273" w14:textId="77777777" w:rsidTr="00250DAC">
        <w:trPr>
          <w:trHeight w:val="20"/>
        </w:trPr>
        <w:tc>
          <w:tcPr>
            <w:tcW w:w="5000" w:type="pct"/>
            <w:gridSpan w:val="2"/>
            <w:shd w:val="clear" w:color="auto" w:fill="auto"/>
          </w:tcPr>
          <w:p w14:paraId="23742257" w14:textId="77777777" w:rsidR="004047F2" w:rsidRPr="00712F3C" w:rsidRDefault="004047F2" w:rsidP="00250DAC">
            <w:pPr>
              <w:spacing w:after="0" w:line="240" w:lineRule="auto"/>
              <w:jc w:val="center"/>
              <w:rPr>
                <w:rFonts w:ascii="Times New Roman" w:eastAsiaTheme="minorHAnsi" w:hAnsi="Times New Roman"/>
                <w:b/>
                <w:bCs/>
                <w:iCs/>
                <w:sz w:val="20"/>
                <w:szCs w:val="20"/>
              </w:rPr>
            </w:pPr>
            <w:r w:rsidRPr="00712F3C">
              <w:rPr>
                <w:rFonts w:ascii="Times New Roman" w:eastAsiaTheme="minorHAnsi" w:hAnsi="Times New Roman"/>
                <w:b/>
                <w:bCs/>
                <w:iCs/>
                <w:sz w:val="20"/>
                <w:szCs w:val="20"/>
              </w:rPr>
              <w:t>DIVIDENDS AND RESERVE</w:t>
            </w:r>
          </w:p>
          <w:p w14:paraId="395632CE" w14:textId="77777777" w:rsidR="004047F2" w:rsidRPr="00712F3C" w:rsidRDefault="004047F2" w:rsidP="00250DAC">
            <w:pPr>
              <w:spacing w:after="0" w:line="240" w:lineRule="auto"/>
              <w:jc w:val="center"/>
              <w:rPr>
                <w:rFonts w:ascii="Times New Roman" w:eastAsiaTheme="minorHAnsi" w:hAnsi="Times New Roman"/>
                <w:sz w:val="20"/>
                <w:szCs w:val="20"/>
              </w:rPr>
            </w:pPr>
          </w:p>
        </w:tc>
      </w:tr>
      <w:tr w:rsidR="004047F2" w:rsidRPr="00712F3C" w14:paraId="541B32A5" w14:textId="77777777" w:rsidTr="00250DAC">
        <w:trPr>
          <w:trHeight w:val="20"/>
        </w:trPr>
        <w:tc>
          <w:tcPr>
            <w:tcW w:w="517" w:type="pct"/>
            <w:shd w:val="clear" w:color="auto" w:fill="auto"/>
          </w:tcPr>
          <w:p w14:paraId="6CE738E8"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7D7F0208" w14:textId="77777777" w:rsidR="004047F2" w:rsidRPr="00712F3C" w:rsidRDefault="004047F2" w:rsidP="00250DAC">
            <w:pPr>
              <w:spacing w:after="0" w:line="240" w:lineRule="auto"/>
              <w:ind w:left="90" w:right="122"/>
              <w:jc w:val="both"/>
              <w:rPr>
                <w:rFonts w:ascii="Times New Roman" w:eastAsiaTheme="minorHAnsi" w:hAnsi="Times New Roman"/>
                <w:sz w:val="20"/>
                <w:szCs w:val="20"/>
              </w:rPr>
            </w:pPr>
            <w:r w:rsidRPr="00712F3C">
              <w:rPr>
                <w:rFonts w:ascii="Times New Roman" w:eastAsiaTheme="minorHAnsi" w:hAnsi="Times New Roman"/>
                <w:sz w:val="20"/>
                <w:szCs w:val="20"/>
              </w:rPr>
              <w:t>The company in general meeting may declare dividends, but no dividend shall exceed the amount recommended by the Board.</w:t>
            </w:r>
          </w:p>
          <w:p w14:paraId="0C7DE086" w14:textId="77777777" w:rsidR="004047F2" w:rsidRPr="00712F3C" w:rsidRDefault="004047F2" w:rsidP="00250DAC">
            <w:pPr>
              <w:spacing w:after="0" w:line="240" w:lineRule="auto"/>
              <w:ind w:left="90" w:right="122"/>
              <w:jc w:val="both"/>
              <w:rPr>
                <w:rFonts w:ascii="Times New Roman" w:eastAsiaTheme="minorHAnsi" w:hAnsi="Times New Roman"/>
                <w:sz w:val="20"/>
                <w:szCs w:val="20"/>
              </w:rPr>
            </w:pPr>
          </w:p>
        </w:tc>
      </w:tr>
      <w:tr w:rsidR="004047F2" w:rsidRPr="00712F3C" w14:paraId="309DF704" w14:textId="77777777" w:rsidTr="00250DAC">
        <w:trPr>
          <w:trHeight w:val="20"/>
        </w:trPr>
        <w:tc>
          <w:tcPr>
            <w:tcW w:w="517" w:type="pct"/>
            <w:shd w:val="clear" w:color="auto" w:fill="auto"/>
          </w:tcPr>
          <w:p w14:paraId="3272C619"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782684F8" w14:textId="77777777" w:rsidR="004047F2" w:rsidRPr="00712F3C" w:rsidRDefault="004047F2" w:rsidP="00250DAC">
            <w:pPr>
              <w:spacing w:after="0" w:line="240" w:lineRule="auto"/>
              <w:ind w:left="90" w:right="122"/>
              <w:jc w:val="both"/>
              <w:rPr>
                <w:rFonts w:ascii="Times New Roman" w:eastAsiaTheme="minorHAnsi" w:hAnsi="Times New Roman"/>
                <w:sz w:val="20"/>
                <w:szCs w:val="20"/>
              </w:rPr>
            </w:pPr>
            <w:r w:rsidRPr="00712F3C">
              <w:rPr>
                <w:rFonts w:ascii="Times New Roman" w:eastAsiaTheme="minorHAnsi" w:hAnsi="Times New Roman"/>
                <w:sz w:val="20"/>
                <w:szCs w:val="20"/>
              </w:rPr>
              <w:t>Subject to the provisions of section 123, the Board may from time to time pay to the members such interim dividends as appear to it to be justified by the profits of the company.</w:t>
            </w:r>
          </w:p>
          <w:p w14:paraId="78C820C4" w14:textId="77777777" w:rsidR="004047F2" w:rsidRPr="00712F3C" w:rsidRDefault="004047F2" w:rsidP="00250DAC">
            <w:pPr>
              <w:spacing w:after="0" w:line="240" w:lineRule="auto"/>
              <w:ind w:left="90" w:right="122"/>
              <w:jc w:val="both"/>
              <w:rPr>
                <w:rFonts w:ascii="Times New Roman" w:eastAsiaTheme="minorHAnsi" w:hAnsi="Times New Roman"/>
                <w:sz w:val="20"/>
                <w:szCs w:val="20"/>
              </w:rPr>
            </w:pPr>
          </w:p>
        </w:tc>
      </w:tr>
      <w:tr w:rsidR="004047F2" w:rsidRPr="00712F3C" w14:paraId="396614E7" w14:textId="77777777" w:rsidTr="00250DAC">
        <w:trPr>
          <w:trHeight w:val="20"/>
        </w:trPr>
        <w:tc>
          <w:tcPr>
            <w:tcW w:w="517" w:type="pct"/>
            <w:shd w:val="clear" w:color="auto" w:fill="auto"/>
          </w:tcPr>
          <w:p w14:paraId="371A1903"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7F3E69A5" w14:textId="77777777" w:rsidR="004047F2" w:rsidRPr="00712F3C" w:rsidRDefault="004047F2">
            <w:pPr>
              <w:pStyle w:val="ListParagraph"/>
              <w:numPr>
                <w:ilvl w:val="0"/>
                <w:numId w:val="268"/>
              </w:numPr>
              <w:spacing w:line="240" w:lineRule="auto"/>
              <w:ind w:right="122"/>
              <w:jc w:val="both"/>
              <w:rPr>
                <w:rFonts w:eastAsiaTheme="minorHAnsi"/>
                <w:sz w:val="20"/>
                <w:szCs w:val="20"/>
              </w:rPr>
            </w:pPr>
            <w:r w:rsidRPr="00712F3C">
              <w:rPr>
                <w:rFonts w:eastAsiaTheme="minorHAnsi"/>
                <w:sz w:val="20"/>
                <w:szCs w:val="20"/>
              </w:rPr>
              <w:t>The Board may, before recommending any dividend, set aside out of the profits of the company such sums as it thinks fit as a reserve or reserves which shall, at the discretion of the Board, be applicable for any purpose to which the profits of the company may be properly applied, including provision for meeting contingencies or for equalizing dividends; and pending such application, may, at the like discretion, either be employed in the business of the company or be invested in such investments (other than shares of the company) as the Board may, from time to time, thinks fit.</w:t>
            </w:r>
          </w:p>
          <w:p w14:paraId="1867CBD1" w14:textId="77777777" w:rsidR="004047F2" w:rsidRPr="00712F3C" w:rsidRDefault="004047F2" w:rsidP="00250DAC">
            <w:pPr>
              <w:spacing w:after="0" w:line="240" w:lineRule="auto"/>
              <w:ind w:left="90" w:right="122"/>
              <w:jc w:val="both"/>
              <w:rPr>
                <w:rFonts w:ascii="Times New Roman" w:eastAsiaTheme="minorHAnsi" w:hAnsi="Times New Roman"/>
                <w:sz w:val="20"/>
                <w:szCs w:val="20"/>
              </w:rPr>
            </w:pPr>
          </w:p>
          <w:p w14:paraId="6102C18D" w14:textId="77777777" w:rsidR="004047F2" w:rsidRPr="00712F3C" w:rsidRDefault="004047F2">
            <w:pPr>
              <w:pStyle w:val="ListParagraph"/>
              <w:numPr>
                <w:ilvl w:val="0"/>
                <w:numId w:val="268"/>
              </w:numPr>
              <w:spacing w:line="240" w:lineRule="auto"/>
              <w:ind w:right="122"/>
              <w:jc w:val="both"/>
              <w:rPr>
                <w:rFonts w:eastAsiaTheme="minorHAnsi"/>
                <w:sz w:val="20"/>
                <w:szCs w:val="20"/>
              </w:rPr>
            </w:pPr>
            <w:r w:rsidRPr="00712F3C">
              <w:rPr>
                <w:rFonts w:eastAsiaTheme="minorHAnsi"/>
                <w:sz w:val="20"/>
                <w:szCs w:val="20"/>
              </w:rPr>
              <w:t>The Board may also carry forward any profits which it may consider necessary not to divide, without setting them aside as a reserve.</w:t>
            </w:r>
          </w:p>
          <w:p w14:paraId="41C83A01" w14:textId="77777777" w:rsidR="004047F2" w:rsidRPr="00712F3C" w:rsidRDefault="004047F2" w:rsidP="00250DAC">
            <w:pPr>
              <w:pStyle w:val="ListParagraph"/>
              <w:spacing w:line="240" w:lineRule="auto"/>
              <w:ind w:left="810" w:right="122"/>
              <w:jc w:val="both"/>
              <w:rPr>
                <w:rFonts w:eastAsiaTheme="minorHAnsi"/>
                <w:sz w:val="20"/>
                <w:szCs w:val="20"/>
              </w:rPr>
            </w:pPr>
          </w:p>
        </w:tc>
      </w:tr>
      <w:tr w:rsidR="004047F2" w:rsidRPr="00712F3C" w14:paraId="33BC67DA" w14:textId="77777777" w:rsidTr="00250DAC">
        <w:trPr>
          <w:trHeight w:val="20"/>
        </w:trPr>
        <w:tc>
          <w:tcPr>
            <w:tcW w:w="517" w:type="pct"/>
            <w:shd w:val="clear" w:color="auto" w:fill="auto"/>
          </w:tcPr>
          <w:p w14:paraId="1C3CA1E9"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5D1C1FC4" w14:textId="77777777" w:rsidR="004047F2" w:rsidRPr="00712F3C" w:rsidRDefault="004047F2">
            <w:pPr>
              <w:pStyle w:val="ListParagraph"/>
              <w:numPr>
                <w:ilvl w:val="0"/>
                <w:numId w:val="269"/>
              </w:numPr>
              <w:spacing w:line="240" w:lineRule="auto"/>
              <w:ind w:right="122"/>
              <w:jc w:val="both"/>
              <w:rPr>
                <w:rFonts w:eastAsiaTheme="minorHAnsi"/>
                <w:sz w:val="20"/>
                <w:szCs w:val="20"/>
              </w:rPr>
            </w:pPr>
            <w:r w:rsidRPr="00712F3C">
              <w:rPr>
                <w:rFonts w:eastAsiaTheme="minorHAnsi"/>
                <w:sz w:val="20"/>
                <w:szCs w:val="20"/>
              </w:rPr>
              <w:t xml:space="preserve">Subject to the rights of persons, if any, entitled to shares with special rights as to dividends, all dividends shall be declared and paid according to the amounts paid or credited as paid on the shares in respect whereof the dividend is paid, but if and so long as nothing is paid upon any of the shares in the company, dividends may be declared and paid according to the amounts of the shares. </w:t>
            </w:r>
          </w:p>
          <w:p w14:paraId="1AFB7DEB" w14:textId="77777777" w:rsidR="004047F2" w:rsidRPr="00712F3C" w:rsidRDefault="004047F2" w:rsidP="00250DAC">
            <w:pPr>
              <w:pStyle w:val="ListParagraph"/>
              <w:spacing w:line="240" w:lineRule="auto"/>
              <w:ind w:left="810" w:right="122"/>
              <w:jc w:val="both"/>
              <w:rPr>
                <w:rFonts w:eastAsiaTheme="minorHAnsi"/>
                <w:sz w:val="20"/>
                <w:szCs w:val="20"/>
              </w:rPr>
            </w:pPr>
          </w:p>
          <w:p w14:paraId="3D1A606F" w14:textId="77777777" w:rsidR="004047F2" w:rsidRPr="00712F3C" w:rsidRDefault="004047F2">
            <w:pPr>
              <w:pStyle w:val="ListParagraph"/>
              <w:numPr>
                <w:ilvl w:val="0"/>
                <w:numId w:val="269"/>
              </w:numPr>
              <w:spacing w:line="240" w:lineRule="auto"/>
              <w:ind w:right="122"/>
              <w:jc w:val="both"/>
              <w:rPr>
                <w:rFonts w:eastAsiaTheme="minorHAnsi"/>
                <w:sz w:val="20"/>
                <w:szCs w:val="20"/>
              </w:rPr>
            </w:pPr>
            <w:r w:rsidRPr="00712F3C">
              <w:rPr>
                <w:rFonts w:eastAsiaTheme="minorHAnsi"/>
                <w:sz w:val="20"/>
                <w:szCs w:val="20"/>
              </w:rPr>
              <w:t xml:space="preserve">No amount paid or credited as paid on a share in advance of calls shall be treated for the purposes of this regulation as paid on the share. </w:t>
            </w:r>
          </w:p>
          <w:p w14:paraId="37F267C7" w14:textId="77777777" w:rsidR="004047F2" w:rsidRPr="00712F3C" w:rsidRDefault="004047F2" w:rsidP="00250DAC">
            <w:pPr>
              <w:pStyle w:val="ListParagraph"/>
              <w:spacing w:line="240" w:lineRule="auto"/>
              <w:ind w:left="810" w:right="122"/>
              <w:jc w:val="both"/>
              <w:rPr>
                <w:rFonts w:eastAsiaTheme="minorHAnsi"/>
                <w:sz w:val="20"/>
                <w:szCs w:val="20"/>
              </w:rPr>
            </w:pPr>
          </w:p>
          <w:p w14:paraId="698414E2" w14:textId="77777777" w:rsidR="004047F2" w:rsidRPr="00712F3C" w:rsidRDefault="004047F2">
            <w:pPr>
              <w:pStyle w:val="ListParagraph"/>
              <w:numPr>
                <w:ilvl w:val="0"/>
                <w:numId w:val="269"/>
              </w:numPr>
              <w:spacing w:line="240" w:lineRule="auto"/>
              <w:ind w:right="122"/>
              <w:jc w:val="both"/>
              <w:rPr>
                <w:rFonts w:eastAsiaTheme="minorHAnsi"/>
                <w:sz w:val="20"/>
                <w:szCs w:val="20"/>
              </w:rPr>
            </w:pPr>
            <w:r w:rsidRPr="00712F3C">
              <w:rPr>
                <w:rFonts w:eastAsiaTheme="minorHAnsi"/>
                <w:sz w:val="20"/>
                <w:szCs w:val="20"/>
              </w:rPr>
              <w:t>All dividends shall be apportioned and paid proportionately to the amounts paid or credited as paid on the shares during any portion or portions of the period in respect of which the dividend is paid; but if any share is issued on terms providing that it shall rank for dividend as from a particular date such share shall rank for dividend accordingly. That there shall be no forfeiture of unclaimed dividends before the claim becomes barred by law.</w:t>
            </w:r>
          </w:p>
          <w:p w14:paraId="0B2208E8" w14:textId="77777777" w:rsidR="004047F2" w:rsidRPr="00712F3C" w:rsidRDefault="004047F2" w:rsidP="00250DAC">
            <w:pPr>
              <w:pStyle w:val="ListParagraph"/>
              <w:spacing w:line="240" w:lineRule="auto"/>
              <w:ind w:left="810" w:right="122"/>
              <w:jc w:val="both"/>
              <w:rPr>
                <w:rFonts w:eastAsiaTheme="minorHAnsi"/>
                <w:sz w:val="20"/>
                <w:szCs w:val="20"/>
              </w:rPr>
            </w:pPr>
          </w:p>
        </w:tc>
      </w:tr>
      <w:tr w:rsidR="004047F2" w:rsidRPr="00712F3C" w14:paraId="7CC065EE" w14:textId="77777777" w:rsidTr="00250DAC">
        <w:trPr>
          <w:trHeight w:val="20"/>
        </w:trPr>
        <w:tc>
          <w:tcPr>
            <w:tcW w:w="517" w:type="pct"/>
            <w:shd w:val="clear" w:color="auto" w:fill="auto"/>
          </w:tcPr>
          <w:p w14:paraId="5DE8D92E"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48E0A263" w14:textId="77777777" w:rsidR="004047F2" w:rsidRPr="00712F3C" w:rsidRDefault="004047F2" w:rsidP="00250DAC">
            <w:pPr>
              <w:spacing w:after="0" w:line="240" w:lineRule="auto"/>
              <w:ind w:left="90" w:right="122"/>
              <w:jc w:val="both"/>
              <w:rPr>
                <w:rFonts w:ascii="Times New Roman" w:eastAsiaTheme="minorHAnsi" w:hAnsi="Times New Roman"/>
                <w:sz w:val="20"/>
                <w:szCs w:val="20"/>
              </w:rPr>
            </w:pPr>
            <w:r w:rsidRPr="00712F3C">
              <w:rPr>
                <w:rFonts w:ascii="Times New Roman" w:eastAsiaTheme="minorHAnsi" w:hAnsi="Times New Roman"/>
                <w:sz w:val="20"/>
                <w:szCs w:val="20"/>
              </w:rPr>
              <w:t>The Board may deduct from any dividend payable to any member all sums of money, if any, presently payable by him to the company on account of calls or otherwise in relation to the shares of the company.</w:t>
            </w:r>
          </w:p>
          <w:p w14:paraId="6CC28049" w14:textId="77777777" w:rsidR="004047F2" w:rsidRPr="00712F3C" w:rsidRDefault="004047F2" w:rsidP="00250DAC">
            <w:pPr>
              <w:spacing w:after="0" w:line="240" w:lineRule="auto"/>
              <w:ind w:left="90" w:right="122"/>
              <w:jc w:val="both"/>
              <w:rPr>
                <w:rFonts w:ascii="Times New Roman" w:eastAsiaTheme="minorHAnsi" w:hAnsi="Times New Roman"/>
                <w:sz w:val="20"/>
                <w:szCs w:val="20"/>
              </w:rPr>
            </w:pPr>
          </w:p>
        </w:tc>
      </w:tr>
      <w:tr w:rsidR="004047F2" w:rsidRPr="00712F3C" w14:paraId="48F8AE8C" w14:textId="77777777" w:rsidTr="00250DAC">
        <w:trPr>
          <w:trHeight w:val="20"/>
        </w:trPr>
        <w:tc>
          <w:tcPr>
            <w:tcW w:w="517" w:type="pct"/>
            <w:shd w:val="clear" w:color="auto" w:fill="auto"/>
          </w:tcPr>
          <w:p w14:paraId="7C134D93"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0B93F2D2" w14:textId="77777777" w:rsidR="004047F2" w:rsidRPr="00712F3C" w:rsidRDefault="004047F2">
            <w:pPr>
              <w:pStyle w:val="ListParagraph"/>
              <w:numPr>
                <w:ilvl w:val="0"/>
                <w:numId w:val="270"/>
              </w:numPr>
              <w:spacing w:line="240" w:lineRule="auto"/>
              <w:ind w:right="122"/>
              <w:jc w:val="both"/>
              <w:rPr>
                <w:rFonts w:eastAsiaTheme="minorHAnsi"/>
                <w:sz w:val="20"/>
                <w:szCs w:val="20"/>
              </w:rPr>
            </w:pPr>
            <w:r w:rsidRPr="00712F3C">
              <w:rPr>
                <w:rFonts w:eastAsiaTheme="minorHAnsi"/>
                <w:sz w:val="20"/>
                <w:szCs w:val="20"/>
              </w:rPr>
              <w:t>Any dividend, interest or other monies payable in cash in respect of shares may be paid by cheque or warrant sent through the post directed to the registered address of the holder or, in the case of joint holders, to the registered address of that one of the joint holders who is first named on the register of members, or to such person and to such address as the holder or joint holders may in writing direct.</w:t>
            </w:r>
          </w:p>
          <w:p w14:paraId="45D723DA" w14:textId="77777777" w:rsidR="004047F2" w:rsidRPr="00712F3C" w:rsidRDefault="004047F2" w:rsidP="00250DAC">
            <w:pPr>
              <w:pStyle w:val="ListParagraph"/>
              <w:spacing w:line="240" w:lineRule="auto"/>
              <w:ind w:left="810" w:right="122"/>
              <w:jc w:val="both"/>
              <w:rPr>
                <w:rFonts w:eastAsiaTheme="minorHAnsi"/>
                <w:sz w:val="20"/>
                <w:szCs w:val="20"/>
              </w:rPr>
            </w:pPr>
          </w:p>
          <w:p w14:paraId="6987398F" w14:textId="77777777" w:rsidR="004047F2" w:rsidRPr="00712F3C" w:rsidRDefault="004047F2">
            <w:pPr>
              <w:pStyle w:val="ListParagraph"/>
              <w:numPr>
                <w:ilvl w:val="0"/>
                <w:numId w:val="270"/>
              </w:numPr>
              <w:spacing w:line="240" w:lineRule="auto"/>
              <w:ind w:right="122"/>
              <w:jc w:val="both"/>
              <w:rPr>
                <w:rFonts w:eastAsiaTheme="minorHAnsi"/>
                <w:sz w:val="20"/>
                <w:szCs w:val="20"/>
              </w:rPr>
            </w:pPr>
            <w:r w:rsidRPr="00712F3C">
              <w:rPr>
                <w:rFonts w:eastAsiaTheme="minorHAnsi"/>
                <w:sz w:val="20"/>
                <w:szCs w:val="20"/>
              </w:rPr>
              <w:t>Every such cheque or warrant shall be made payable to the order of the person to whom it is sent.</w:t>
            </w:r>
          </w:p>
          <w:p w14:paraId="03B81B37" w14:textId="77777777" w:rsidR="004047F2" w:rsidRPr="00712F3C" w:rsidRDefault="004047F2" w:rsidP="00250DAC">
            <w:pPr>
              <w:pStyle w:val="ListParagraph"/>
              <w:spacing w:line="240" w:lineRule="auto"/>
              <w:ind w:left="810" w:right="122"/>
              <w:jc w:val="both"/>
              <w:rPr>
                <w:rFonts w:eastAsiaTheme="minorHAnsi"/>
                <w:sz w:val="20"/>
                <w:szCs w:val="20"/>
              </w:rPr>
            </w:pPr>
          </w:p>
        </w:tc>
      </w:tr>
      <w:tr w:rsidR="004047F2" w:rsidRPr="00712F3C" w14:paraId="59CF7007" w14:textId="77777777" w:rsidTr="00250DAC">
        <w:trPr>
          <w:trHeight w:val="20"/>
        </w:trPr>
        <w:tc>
          <w:tcPr>
            <w:tcW w:w="517" w:type="pct"/>
            <w:shd w:val="clear" w:color="auto" w:fill="auto"/>
          </w:tcPr>
          <w:p w14:paraId="074D1917"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33C82DDF" w14:textId="77777777" w:rsidR="004047F2" w:rsidRPr="00712F3C" w:rsidRDefault="004047F2" w:rsidP="00250DAC">
            <w:pPr>
              <w:spacing w:after="0" w:line="240" w:lineRule="auto"/>
              <w:ind w:left="90" w:right="122"/>
              <w:jc w:val="both"/>
              <w:rPr>
                <w:rFonts w:ascii="Times New Roman" w:eastAsiaTheme="minorHAnsi" w:hAnsi="Times New Roman"/>
                <w:sz w:val="20"/>
                <w:szCs w:val="20"/>
              </w:rPr>
            </w:pPr>
            <w:r w:rsidRPr="00712F3C">
              <w:rPr>
                <w:rFonts w:ascii="Times New Roman" w:eastAsiaTheme="minorHAnsi" w:hAnsi="Times New Roman"/>
                <w:sz w:val="20"/>
                <w:szCs w:val="20"/>
              </w:rPr>
              <w:t>Any one of two or more joint holders of a share may give effective receipts for any dividends, bonuses or other monies payable in respect of such share.</w:t>
            </w:r>
          </w:p>
          <w:p w14:paraId="2194856D" w14:textId="77777777" w:rsidR="004047F2" w:rsidRPr="00712F3C" w:rsidRDefault="004047F2" w:rsidP="00250DAC">
            <w:pPr>
              <w:spacing w:after="0" w:line="240" w:lineRule="auto"/>
              <w:ind w:left="90" w:right="122"/>
              <w:jc w:val="both"/>
              <w:rPr>
                <w:rFonts w:ascii="Times New Roman" w:eastAsiaTheme="minorHAnsi" w:hAnsi="Times New Roman"/>
                <w:sz w:val="20"/>
                <w:szCs w:val="20"/>
              </w:rPr>
            </w:pPr>
          </w:p>
        </w:tc>
      </w:tr>
      <w:tr w:rsidR="004047F2" w:rsidRPr="00712F3C" w14:paraId="09D0FC54" w14:textId="77777777" w:rsidTr="00250DAC">
        <w:trPr>
          <w:trHeight w:val="20"/>
        </w:trPr>
        <w:tc>
          <w:tcPr>
            <w:tcW w:w="517" w:type="pct"/>
            <w:shd w:val="clear" w:color="auto" w:fill="auto"/>
          </w:tcPr>
          <w:p w14:paraId="060996B0"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38E67EC2" w14:textId="77777777" w:rsidR="004047F2" w:rsidRPr="00712F3C" w:rsidRDefault="004047F2" w:rsidP="00250DAC">
            <w:pPr>
              <w:spacing w:after="0" w:line="240" w:lineRule="auto"/>
              <w:ind w:left="90" w:right="122"/>
              <w:jc w:val="both"/>
              <w:rPr>
                <w:rFonts w:ascii="Times New Roman" w:eastAsiaTheme="minorHAnsi" w:hAnsi="Times New Roman"/>
                <w:sz w:val="20"/>
                <w:szCs w:val="20"/>
              </w:rPr>
            </w:pPr>
            <w:r w:rsidRPr="00712F3C">
              <w:rPr>
                <w:rFonts w:ascii="Times New Roman" w:eastAsiaTheme="minorHAnsi" w:hAnsi="Times New Roman"/>
                <w:sz w:val="20"/>
                <w:szCs w:val="20"/>
              </w:rPr>
              <w:t>Notice of any dividend that may have been declared shall be given to the persons entitled to share therein in the manner mentioned in the Act.</w:t>
            </w:r>
          </w:p>
          <w:p w14:paraId="7D99A161" w14:textId="77777777" w:rsidR="004047F2" w:rsidRPr="00712F3C" w:rsidRDefault="004047F2" w:rsidP="00250DAC">
            <w:pPr>
              <w:spacing w:after="0" w:line="240" w:lineRule="auto"/>
              <w:ind w:left="90" w:right="122"/>
              <w:jc w:val="both"/>
              <w:rPr>
                <w:rFonts w:ascii="Times New Roman" w:eastAsiaTheme="minorHAnsi" w:hAnsi="Times New Roman"/>
                <w:sz w:val="20"/>
                <w:szCs w:val="20"/>
              </w:rPr>
            </w:pPr>
          </w:p>
        </w:tc>
      </w:tr>
      <w:tr w:rsidR="004047F2" w:rsidRPr="00712F3C" w14:paraId="5D607523" w14:textId="77777777" w:rsidTr="00250DAC">
        <w:trPr>
          <w:trHeight w:val="20"/>
        </w:trPr>
        <w:tc>
          <w:tcPr>
            <w:tcW w:w="517" w:type="pct"/>
            <w:shd w:val="clear" w:color="auto" w:fill="auto"/>
          </w:tcPr>
          <w:p w14:paraId="316CE02F"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38E1315C" w14:textId="77777777" w:rsidR="004047F2" w:rsidRPr="00712F3C" w:rsidRDefault="004047F2" w:rsidP="00250DAC">
            <w:pPr>
              <w:spacing w:after="0" w:line="240" w:lineRule="auto"/>
              <w:ind w:left="90" w:right="122"/>
              <w:jc w:val="both"/>
              <w:rPr>
                <w:rFonts w:ascii="Times New Roman" w:eastAsiaTheme="minorHAnsi" w:hAnsi="Times New Roman"/>
                <w:sz w:val="20"/>
                <w:szCs w:val="20"/>
              </w:rPr>
            </w:pPr>
            <w:r w:rsidRPr="00712F3C">
              <w:rPr>
                <w:rFonts w:ascii="Times New Roman" w:eastAsiaTheme="minorHAnsi" w:hAnsi="Times New Roman"/>
                <w:sz w:val="20"/>
                <w:szCs w:val="20"/>
              </w:rPr>
              <w:t>No dividend shall bear interest against the company.</w:t>
            </w:r>
          </w:p>
          <w:p w14:paraId="322F586F" w14:textId="77777777" w:rsidR="004047F2" w:rsidRPr="00712F3C" w:rsidRDefault="004047F2" w:rsidP="00250DAC">
            <w:pPr>
              <w:spacing w:after="0" w:line="240" w:lineRule="auto"/>
              <w:ind w:left="90" w:right="122"/>
              <w:jc w:val="both"/>
              <w:rPr>
                <w:rFonts w:ascii="Times New Roman" w:eastAsiaTheme="minorHAnsi" w:hAnsi="Times New Roman"/>
                <w:sz w:val="20"/>
                <w:szCs w:val="20"/>
              </w:rPr>
            </w:pPr>
          </w:p>
        </w:tc>
      </w:tr>
      <w:tr w:rsidR="004047F2" w:rsidRPr="00712F3C" w14:paraId="654E630E" w14:textId="77777777" w:rsidTr="00250DAC">
        <w:trPr>
          <w:trHeight w:val="20"/>
        </w:trPr>
        <w:tc>
          <w:tcPr>
            <w:tcW w:w="5000" w:type="pct"/>
            <w:gridSpan w:val="2"/>
            <w:shd w:val="clear" w:color="auto" w:fill="auto"/>
          </w:tcPr>
          <w:p w14:paraId="587A9F3F" w14:textId="77777777" w:rsidR="004047F2" w:rsidRPr="00712F3C" w:rsidRDefault="004047F2" w:rsidP="00250DAC">
            <w:pPr>
              <w:spacing w:after="0" w:line="240" w:lineRule="auto"/>
              <w:jc w:val="center"/>
              <w:rPr>
                <w:rFonts w:ascii="Times New Roman" w:eastAsiaTheme="minorHAnsi" w:hAnsi="Times New Roman"/>
                <w:b/>
                <w:bCs/>
                <w:iCs/>
                <w:sz w:val="20"/>
                <w:szCs w:val="20"/>
              </w:rPr>
            </w:pPr>
            <w:r w:rsidRPr="00712F3C">
              <w:rPr>
                <w:rFonts w:ascii="Times New Roman" w:eastAsiaTheme="minorHAnsi" w:hAnsi="Times New Roman"/>
                <w:b/>
                <w:bCs/>
                <w:iCs/>
                <w:sz w:val="20"/>
                <w:szCs w:val="20"/>
              </w:rPr>
              <w:t>ACCOUNTS</w:t>
            </w:r>
          </w:p>
          <w:p w14:paraId="733C246D" w14:textId="77777777" w:rsidR="004047F2" w:rsidRPr="00712F3C" w:rsidRDefault="004047F2" w:rsidP="00250DAC">
            <w:pPr>
              <w:spacing w:after="0" w:line="240" w:lineRule="auto"/>
              <w:jc w:val="center"/>
              <w:rPr>
                <w:rFonts w:ascii="Times New Roman" w:eastAsiaTheme="minorHAnsi" w:hAnsi="Times New Roman"/>
                <w:sz w:val="20"/>
                <w:szCs w:val="20"/>
              </w:rPr>
            </w:pPr>
          </w:p>
        </w:tc>
      </w:tr>
      <w:tr w:rsidR="004047F2" w:rsidRPr="00712F3C" w14:paraId="0B540C2A" w14:textId="77777777" w:rsidTr="00250DAC">
        <w:trPr>
          <w:trHeight w:val="20"/>
        </w:trPr>
        <w:tc>
          <w:tcPr>
            <w:tcW w:w="517" w:type="pct"/>
            <w:shd w:val="clear" w:color="auto" w:fill="auto"/>
          </w:tcPr>
          <w:p w14:paraId="0B3AFADD"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70B69D8A" w14:textId="77777777" w:rsidR="004047F2" w:rsidRPr="00712F3C" w:rsidRDefault="004047F2">
            <w:pPr>
              <w:pStyle w:val="ListParagraph"/>
              <w:numPr>
                <w:ilvl w:val="0"/>
                <w:numId w:val="271"/>
              </w:numPr>
              <w:spacing w:line="240" w:lineRule="auto"/>
              <w:ind w:right="122"/>
              <w:jc w:val="both"/>
              <w:rPr>
                <w:rFonts w:eastAsiaTheme="minorHAnsi"/>
                <w:sz w:val="20"/>
                <w:szCs w:val="20"/>
              </w:rPr>
            </w:pPr>
            <w:r w:rsidRPr="00712F3C">
              <w:rPr>
                <w:rFonts w:eastAsiaTheme="minorHAnsi"/>
                <w:sz w:val="20"/>
                <w:szCs w:val="20"/>
              </w:rPr>
              <w:t>The Board shall from time to time determine whether and to what extent and at what times and places and under what conditions or regulations, the accounts and books of the company, or any of them, shall be open to the inspection of members not being directors.</w:t>
            </w:r>
          </w:p>
          <w:p w14:paraId="28C6AC3F" w14:textId="77777777" w:rsidR="004047F2" w:rsidRPr="00712F3C" w:rsidRDefault="004047F2" w:rsidP="00250DAC">
            <w:pPr>
              <w:pStyle w:val="ListParagraph"/>
              <w:spacing w:line="240" w:lineRule="auto"/>
              <w:ind w:left="810" w:right="122"/>
              <w:jc w:val="both"/>
              <w:rPr>
                <w:rFonts w:eastAsiaTheme="minorHAnsi"/>
                <w:sz w:val="20"/>
                <w:szCs w:val="20"/>
              </w:rPr>
            </w:pPr>
          </w:p>
          <w:p w14:paraId="68CAC321" w14:textId="77777777" w:rsidR="004047F2" w:rsidRPr="00712F3C" w:rsidRDefault="004047F2">
            <w:pPr>
              <w:pStyle w:val="ListParagraph"/>
              <w:numPr>
                <w:ilvl w:val="0"/>
                <w:numId w:val="271"/>
              </w:numPr>
              <w:spacing w:line="240" w:lineRule="auto"/>
              <w:ind w:right="122"/>
              <w:jc w:val="both"/>
              <w:rPr>
                <w:rFonts w:eastAsiaTheme="minorHAnsi"/>
                <w:sz w:val="20"/>
                <w:szCs w:val="20"/>
              </w:rPr>
            </w:pPr>
            <w:r w:rsidRPr="00712F3C">
              <w:rPr>
                <w:rFonts w:eastAsiaTheme="minorHAnsi"/>
                <w:sz w:val="20"/>
                <w:szCs w:val="20"/>
              </w:rPr>
              <w:t>No member (not being a director) shall have any right of inspecting any account or book or document of the company except as conferred by law or authorised by the Board or by the company in general meeting.</w:t>
            </w:r>
          </w:p>
          <w:p w14:paraId="45ACA573" w14:textId="77777777" w:rsidR="004047F2" w:rsidRPr="00712F3C" w:rsidRDefault="004047F2" w:rsidP="00250DAC">
            <w:pPr>
              <w:pStyle w:val="ListParagraph"/>
              <w:spacing w:line="240" w:lineRule="auto"/>
              <w:ind w:left="810" w:right="122"/>
              <w:jc w:val="both"/>
              <w:rPr>
                <w:rFonts w:eastAsiaTheme="minorHAnsi"/>
                <w:sz w:val="20"/>
                <w:szCs w:val="20"/>
              </w:rPr>
            </w:pPr>
          </w:p>
        </w:tc>
      </w:tr>
      <w:tr w:rsidR="004047F2" w:rsidRPr="00712F3C" w14:paraId="0445FBB2" w14:textId="77777777" w:rsidTr="00250DAC">
        <w:trPr>
          <w:trHeight w:val="20"/>
        </w:trPr>
        <w:tc>
          <w:tcPr>
            <w:tcW w:w="5000" w:type="pct"/>
            <w:gridSpan w:val="2"/>
            <w:shd w:val="clear" w:color="auto" w:fill="auto"/>
          </w:tcPr>
          <w:p w14:paraId="32636380" w14:textId="77777777" w:rsidR="004047F2" w:rsidRPr="00712F3C" w:rsidRDefault="004047F2" w:rsidP="00250DAC">
            <w:pPr>
              <w:spacing w:after="0" w:line="240" w:lineRule="auto"/>
              <w:jc w:val="center"/>
              <w:rPr>
                <w:rFonts w:ascii="Times New Roman" w:eastAsiaTheme="minorHAnsi" w:hAnsi="Times New Roman"/>
                <w:b/>
                <w:bCs/>
                <w:iCs/>
                <w:sz w:val="20"/>
                <w:szCs w:val="20"/>
              </w:rPr>
            </w:pPr>
            <w:r w:rsidRPr="00712F3C">
              <w:rPr>
                <w:rFonts w:ascii="Times New Roman" w:eastAsiaTheme="minorHAnsi" w:hAnsi="Times New Roman"/>
                <w:b/>
                <w:bCs/>
                <w:iCs/>
                <w:sz w:val="20"/>
                <w:szCs w:val="20"/>
              </w:rPr>
              <w:t>WINDING UP</w:t>
            </w:r>
          </w:p>
          <w:p w14:paraId="29ED00D7" w14:textId="77777777" w:rsidR="004047F2" w:rsidRPr="00712F3C" w:rsidRDefault="004047F2" w:rsidP="00250DAC">
            <w:pPr>
              <w:spacing w:after="0" w:line="240" w:lineRule="auto"/>
              <w:jc w:val="center"/>
              <w:rPr>
                <w:rFonts w:ascii="Times New Roman" w:eastAsiaTheme="minorHAnsi" w:hAnsi="Times New Roman"/>
                <w:sz w:val="20"/>
                <w:szCs w:val="20"/>
              </w:rPr>
            </w:pPr>
          </w:p>
        </w:tc>
      </w:tr>
      <w:tr w:rsidR="004047F2" w:rsidRPr="00712F3C" w14:paraId="4BB11129" w14:textId="77777777" w:rsidTr="00250DAC">
        <w:trPr>
          <w:trHeight w:val="20"/>
        </w:trPr>
        <w:tc>
          <w:tcPr>
            <w:tcW w:w="517" w:type="pct"/>
            <w:shd w:val="clear" w:color="auto" w:fill="auto"/>
          </w:tcPr>
          <w:p w14:paraId="0BD58900"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19F5745B" w14:textId="77777777" w:rsidR="004047F2" w:rsidRPr="00712F3C" w:rsidRDefault="004047F2" w:rsidP="00250DAC">
            <w:pPr>
              <w:spacing w:after="0" w:line="240" w:lineRule="auto"/>
              <w:ind w:left="90" w:right="122"/>
              <w:jc w:val="both"/>
              <w:rPr>
                <w:rFonts w:ascii="Times New Roman" w:eastAsiaTheme="minorHAnsi" w:hAnsi="Times New Roman"/>
                <w:sz w:val="20"/>
                <w:szCs w:val="20"/>
              </w:rPr>
            </w:pPr>
            <w:r w:rsidRPr="00712F3C">
              <w:rPr>
                <w:rFonts w:ascii="Times New Roman" w:eastAsiaTheme="minorHAnsi" w:hAnsi="Times New Roman"/>
                <w:sz w:val="20"/>
                <w:szCs w:val="20"/>
              </w:rPr>
              <w:t xml:space="preserve">Subject to the provisions of Chapter XX of the Act and rules made thereunder- </w:t>
            </w:r>
          </w:p>
          <w:p w14:paraId="787D991A" w14:textId="77777777" w:rsidR="004047F2" w:rsidRPr="00712F3C" w:rsidRDefault="004047F2">
            <w:pPr>
              <w:pStyle w:val="ListParagraph"/>
              <w:numPr>
                <w:ilvl w:val="0"/>
                <w:numId w:val="272"/>
              </w:numPr>
              <w:spacing w:line="240" w:lineRule="auto"/>
              <w:ind w:right="122"/>
              <w:jc w:val="both"/>
              <w:rPr>
                <w:rFonts w:eastAsiaTheme="minorHAnsi"/>
                <w:sz w:val="20"/>
                <w:szCs w:val="20"/>
              </w:rPr>
            </w:pPr>
            <w:r w:rsidRPr="00712F3C">
              <w:rPr>
                <w:rFonts w:eastAsiaTheme="minorHAnsi"/>
                <w:sz w:val="20"/>
                <w:szCs w:val="20"/>
              </w:rPr>
              <w:t>If the company shall be wound up, the liquidator may, with the sanction of a special resolution of the company and any other sanction required by the Act, divide amongst the members, in specie or kind, the whole or any part of the assets of the company, whether they shall consist of property of the same kind or not.</w:t>
            </w:r>
          </w:p>
          <w:p w14:paraId="056776AE" w14:textId="77777777" w:rsidR="004047F2" w:rsidRPr="00712F3C" w:rsidRDefault="004047F2" w:rsidP="00250DAC">
            <w:pPr>
              <w:pStyle w:val="ListParagraph"/>
              <w:spacing w:line="240" w:lineRule="auto"/>
              <w:ind w:left="810" w:right="122"/>
              <w:jc w:val="both"/>
              <w:rPr>
                <w:rFonts w:eastAsiaTheme="minorHAnsi"/>
                <w:sz w:val="20"/>
                <w:szCs w:val="20"/>
              </w:rPr>
            </w:pPr>
          </w:p>
          <w:p w14:paraId="6D40AAFA" w14:textId="77777777" w:rsidR="004047F2" w:rsidRPr="00712F3C" w:rsidRDefault="004047F2">
            <w:pPr>
              <w:pStyle w:val="ListParagraph"/>
              <w:numPr>
                <w:ilvl w:val="0"/>
                <w:numId w:val="272"/>
              </w:numPr>
              <w:spacing w:line="240" w:lineRule="auto"/>
              <w:ind w:right="122"/>
              <w:jc w:val="both"/>
              <w:rPr>
                <w:rFonts w:eastAsiaTheme="minorHAnsi"/>
                <w:sz w:val="20"/>
                <w:szCs w:val="20"/>
              </w:rPr>
            </w:pPr>
            <w:r w:rsidRPr="00712F3C">
              <w:rPr>
                <w:rFonts w:eastAsiaTheme="minorHAnsi"/>
                <w:sz w:val="20"/>
                <w:szCs w:val="20"/>
              </w:rPr>
              <w:t>For the purpose aforesaid, the liquidator may set such value as he deems fair upon any property to be divided as aforesaid and may determine how such division shall be carried out as between the members or different classes of members.</w:t>
            </w:r>
          </w:p>
          <w:p w14:paraId="64EC3ABE" w14:textId="77777777" w:rsidR="004047F2" w:rsidRPr="00712F3C" w:rsidRDefault="004047F2" w:rsidP="00250DAC">
            <w:pPr>
              <w:pStyle w:val="ListParagraph"/>
              <w:spacing w:line="240" w:lineRule="auto"/>
              <w:ind w:left="810" w:right="122"/>
              <w:jc w:val="both"/>
              <w:rPr>
                <w:rFonts w:eastAsiaTheme="minorHAnsi"/>
                <w:sz w:val="20"/>
                <w:szCs w:val="20"/>
              </w:rPr>
            </w:pPr>
          </w:p>
          <w:p w14:paraId="55968A07" w14:textId="77777777" w:rsidR="004047F2" w:rsidRPr="00712F3C" w:rsidRDefault="004047F2">
            <w:pPr>
              <w:pStyle w:val="ListParagraph"/>
              <w:numPr>
                <w:ilvl w:val="0"/>
                <w:numId w:val="272"/>
              </w:numPr>
              <w:spacing w:line="240" w:lineRule="auto"/>
              <w:ind w:right="122"/>
              <w:jc w:val="both"/>
              <w:rPr>
                <w:rFonts w:eastAsiaTheme="minorHAnsi"/>
                <w:sz w:val="20"/>
                <w:szCs w:val="20"/>
              </w:rPr>
            </w:pPr>
            <w:r w:rsidRPr="00712F3C">
              <w:rPr>
                <w:rFonts w:eastAsiaTheme="minorHAnsi"/>
                <w:sz w:val="20"/>
                <w:szCs w:val="20"/>
              </w:rPr>
              <w:t>The liquidator may, with the like sanction, vest the whole or any part of such assets in trustees upon such trusts for the benefit of the contributories if he considers necessary, but so that no member shall be compelled to accept any shares or other securities whereon there is any liability.</w:t>
            </w:r>
          </w:p>
          <w:p w14:paraId="0B3A03D1" w14:textId="77777777" w:rsidR="004047F2" w:rsidRPr="00712F3C" w:rsidRDefault="004047F2" w:rsidP="00250DAC">
            <w:pPr>
              <w:pStyle w:val="ListParagraph"/>
              <w:spacing w:line="240" w:lineRule="auto"/>
              <w:ind w:left="810" w:right="122"/>
              <w:jc w:val="both"/>
              <w:rPr>
                <w:rFonts w:eastAsiaTheme="minorHAnsi"/>
                <w:sz w:val="20"/>
                <w:szCs w:val="20"/>
              </w:rPr>
            </w:pPr>
          </w:p>
        </w:tc>
      </w:tr>
      <w:tr w:rsidR="004047F2" w:rsidRPr="00712F3C" w14:paraId="7D014332" w14:textId="77777777" w:rsidTr="00250DAC">
        <w:trPr>
          <w:trHeight w:val="20"/>
        </w:trPr>
        <w:tc>
          <w:tcPr>
            <w:tcW w:w="5000" w:type="pct"/>
            <w:gridSpan w:val="2"/>
            <w:shd w:val="clear" w:color="auto" w:fill="auto"/>
          </w:tcPr>
          <w:p w14:paraId="62EC407D" w14:textId="77777777" w:rsidR="004047F2" w:rsidRPr="00712F3C" w:rsidRDefault="004047F2" w:rsidP="00250DAC">
            <w:pPr>
              <w:spacing w:after="0" w:line="240" w:lineRule="auto"/>
              <w:jc w:val="center"/>
              <w:rPr>
                <w:rFonts w:ascii="Times New Roman" w:eastAsiaTheme="minorHAnsi" w:hAnsi="Times New Roman"/>
                <w:b/>
                <w:bCs/>
                <w:iCs/>
                <w:sz w:val="20"/>
                <w:szCs w:val="20"/>
              </w:rPr>
            </w:pPr>
            <w:r w:rsidRPr="00712F3C">
              <w:rPr>
                <w:rFonts w:ascii="Times New Roman" w:eastAsiaTheme="minorHAnsi" w:hAnsi="Times New Roman"/>
                <w:b/>
                <w:bCs/>
                <w:iCs/>
                <w:sz w:val="20"/>
                <w:szCs w:val="20"/>
              </w:rPr>
              <w:t>INDEMNITY</w:t>
            </w:r>
          </w:p>
          <w:p w14:paraId="1C72D926" w14:textId="77777777" w:rsidR="004047F2" w:rsidRPr="00712F3C" w:rsidRDefault="004047F2" w:rsidP="00250DAC">
            <w:pPr>
              <w:spacing w:after="0" w:line="240" w:lineRule="auto"/>
              <w:jc w:val="center"/>
              <w:rPr>
                <w:rFonts w:ascii="Times New Roman" w:eastAsiaTheme="minorHAnsi" w:hAnsi="Times New Roman"/>
                <w:sz w:val="20"/>
                <w:szCs w:val="20"/>
              </w:rPr>
            </w:pPr>
          </w:p>
        </w:tc>
      </w:tr>
      <w:tr w:rsidR="004047F2" w:rsidRPr="00712F3C" w14:paraId="5CD26247" w14:textId="77777777" w:rsidTr="00250DAC">
        <w:trPr>
          <w:trHeight w:val="20"/>
        </w:trPr>
        <w:tc>
          <w:tcPr>
            <w:tcW w:w="517" w:type="pct"/>
            <w:shd w:val="clear" w:color="auto" w:fill="auto"/>
          </w:tcPr>
          <w:p w14:paraId="347BBE70" w14:textId="77777777" w:rsidR="004047F2" w:rsidRPr="00712F3C" w:rsidRDefault="004047F2">
            <w:pPr>
              <w:pStyle w:val="ListParagraph"/>
              <w:numPr>
                <w:ilvl w:val="0"/>
                <w:numId w:val="218"/>
              </w:numPr>
              <w:spacing w:line="240" w:lineRule="auto"/>
              <w:ind w:right="27"/>
              <w:jc w:val="both"/>
              <w:rPr>
                <w:bCs/>
                <w:sz w:val="20"/>
                <w:szCs w:val="20"/>
              </w:rPr>
            </w:pPr>
          </w:p>
        </w:tc>
        <w:tc>
          <w:tcPr>
            <w:tcW w:w="4483" w:type="pct"/>
            <w:shd w:val="clear" w:color="auto" w:fill="auto"/>
          </w:tcPr>
          <w:p w14:paraId="0A45B079" w14:textId="77777777" w:rsidR="004047F2" w:rsidRPr="00712F3C" w:rsidRDefault="004047F2" w:rsidP="00250DAC">
            <w:pPr>
              <w:spacing w:after="0" w:line="240" w:lineRule="auto"/>
              <w:ind w:left="90" w:right="122"/>
              <w:jc w:val="both"/>
              <w:rPr>
                <w:rFonts w:ascii="Times New Roman" w:eastAsiaTheme="minorHAnsi" w:hAnsi="Times New Roman"/>
                <w:sz w:val="20"/>
                <w:szCs w:val="20"/>
              </w:rPr>
            </w:pPr>
            <w:r w:rsidRPr="00712F3C">
              <w:rPr>
                <w:rFonts w:ascii="Times New Roman" w:eastAsiaTheme="minorHAnsi" w:hAnsi="Times New Roman"/>
                <w:sz w:val="20"/>
                <w:szCs w:val="20"/>
              </w:rPr>
              <w:t>Every officer of the company shall be indemnified out of the assets of the company against any liability incurred by him in defending any proceedings, whether civil or criminal, in which judgment is given in his favour or in which he is acquitted or in which relief is granted to him by the court or the Tribunal.</w:t>
            </w:r>
          </w:p>
          <w:p w14:paraId="2E8FC702" w14:textId="77777777" w:rsidR="004047F2" w:rsidRPr="00712F3C" w:rsidRDefault="004047F2" w:rsidP="00250DAC">
            <w:pPr>
              <w:spacing w:after="0" w:line="240" w:lineRule="auto"/>
              <w:ind w:left="90" w:right="122"/>
              <w:jc w:val="both"/>
              <w:rPr>
                <w:rFonts w:ascii="Times New Roman" w:eastAsiaTheme="minorHAnsi" w:hAnsi="Times New Roman"/>
                <w:sz w:val="20"/>
                <w:szCs w:val="20"/>
              </w:rPr>
            </w:pPr>
          </w:p>
        </w:tc>
      </w:tr>
    </w:tbl>
    <w:p w14:paraId="0E1133BC" w14:textId="77777777" w:rsidR="004047F2" w:rsidRPr="00712F3C" w:rsidRDefault="004047F2" w:rsidP="004047F2">
      <w:pPr>
        <w:widowControl w:val="0"/>
        <w:spacing w:after="0" w:line="240" w:lineRule="auto"/>
        <w:jc w:val="both"/>
        <w:rPr>
          <w:rFonts w:ascii="Times New Roman" w:eastAsia="Calibri" w:hAnsi="Times New Roman"/>
          <w:sz w:val="20"/>
          <w:szCs w:val="20"/>
          <w:lang w:val="en-GB"/>
        </w:rPr>
      </w:pPr>
    </w:p>
    <w:p w14:paraId="44FA6307" w14:textId="77777777" w:rsidR="004047F2" w:rsidRPr="00712F3C" w:rsidRDefault="004047F2" w:rsidP="004047F2">
      <w:pPr>
        <w:spacing w:after="0" w:line="240" w:lineRule="auto"/>
        <w:rPr>
          <w:rFonts w:ascii="Times New Roman" w:eastAsia="Calibri" w:hAnsi="Times New Roman"/>
          <w:sz w:val="20"/>
          <w:szCs w:val="20"/>
          <w:lang w:val="en-GB"/>
        </w:rPr>
      </w:pPr>
      <w:r w:rsidRPr="00712F3C">
        <w:rPr>
          <w:rFonts w:ascii="Times New Roman" w:eastAsia="Calibri" w:hAnsi="Times New Roman"/>
          <w:sz w:val="20"/>
          <w:szCs w:val="20"/>
          <w:lang w:val="en-GB"/>
        </w:rPr>
        <w:br w:type="page"/>
      </w:r>
    </w:p>
    <w:p w14:paraId="54B5D211" w14:textId="27B8992A" w:rsidR="004047F2" w:rsidRPr="004A7238" w:rsidRDefault="004047F2" w:rsidP="004047F2">
      <w:pPr>
        <w:spacing w:after="0" w:line="240" w:lineRule="auto"/>
        <w:jc w:val="center"/>
        <w:rPr>
          <w:rFonts w:ascii="Times New Roman" w:hAnsi="Times New Roman"/>
          <w:b/>
          <w:sz w:val="20"/>
          <w:szCs w:val="20"/>
          <w:u w:val="single"/>
        </w:rPr>
      </w:pPr>
      <w:r w:rsidRPr="004A7238">
        <w:rPr>
          <w:rFonts w:ascii="Times New Roman" w:hAnsi="Times New Roman"/>
          <w:b/>
          <w:sz w:val="20"/>
          <w:szCs w:val="20"/>
          <w:u w:val="single"/>
        </w:rPr>
        <w:lastRenderedPageBreak/>
        <w:t>SECTION X – OTHER INFORMATION</w:t>
      </w:r>
    </w:p>
    <w:p w14:paraId="5E48BDCD" w14:textId="77777777" w:rsidR="004047F2" w:rsidRPr="004A7238" w:rsidRDefault="004047F2" w:rsidP="004047F2">
      <w:pPr>
        <w:spacing w:after="0" w:line="240" w:lineRule="auto"/>
        <w:jc w:val="center"/>
        <w:rPr>
          <w:rFonts w:ascii="Times New Roman" w:hAnsi="Times New Roman"/>
          <w:b/>
          <w:sz w:val="20"/>
          <w:szCs w:val="20"/>
          <w:u w:val="single"/>
        </w:rPr>
      </w:pPr>
    </w:p>
    <w:p w14:paraId="27A64355" w14:textId="77777777" w:rsidR="004047F2" w:rsidRPr="004A7238" w:rsidRDefault="004047F2" w:rsidP="004047F2">
      <w:pPr>
        <w:widowControl w:val="0"/>
        <w:tabs>
          <w:tab w:val="left" w:pos="-90"/>
          <w:tab w:val="left" w:pos="360"/>
          <w:tab w:val="left" w:pos="9300"/>
        </w:tabs>
        <w:spacing w:after="0" w:line="240" w:lineRule="auto"/>
        <w:jc w:val="center"/>
        <w:outlineLvl w:val="0"/>
        <w:rPr>
          <w:rFonts w:ascii="Times New Roman" w:hAnsi="Times New Roman"/>
          <w:b/>
          <w:sz w:val="20"/>
          <w:szCs w:val="20"/>
          <w:u w:val="single"/>
        </w:rPr>
      </w:pPr>
      <w:r w:rsidRPr="004A7238">
        <w:rPr>
          <w:rFonts w:ascii="Times New Roman" w:hAnsi="Times New Roman"/>
          <w:b/>
          <w:sz w:val="20"/>
          <w:szCs w:val="20"/>
          <w:u w:val="single"/>
        </w:rPr>
        <w:t>MATERIAL CONTRACTS AND DOCUMENTS FOR INSPECTION</w:t>
      </w:r>
    </w:p>
    <w:p w14:paraId="3071CFE6" w14:textId="77777777" w:rsidR="004047F2" w:rsidRPr="004A7238" w:rsidRDefault="004047F2" w:rsidP="004047F2">
      <w:pPr>
        <w:widowControl w:val="0"/>
        <w:tabs>
          <w:tab w:val="left" w:pos="-90"/>
          <w:tab w:val="left" w:pos="360"/>
          <w:tab w:val="left" w:pos="9300"/>
        </w:tabs>
        <w:spacing w:after="0" w:line="240" w:lineRule="auto"/>
        <w:jc w:val="both"/>
        <w:outlineLvl w:val="0"/>
        <w:rPr>
          <w:rFonts w:ascii="Times New Roman" w:hAnsi="Times New Roman"/>
          <w:b/>
          <w:sz w:val="20"/>
          <w:szCs w:val="20"/>
          <w:u w:val="single"/>
        </w:rPr>
      </w:pPr>
    </w:p>
    <w:p w14:paraId="194170FD" w14:textId="77777777" w:rsidR="004047F2" w:rsidRPr="004A7238" w:rsidRDefault="004047F2" w:rsidP="004047F2">
      <w:pPr>
        <w:autoSpaceDE w:val="0"/>
        <w:autoSpaceDN w:val="0"/>
        <w:adjustRightInd w:val="0"/>
        <w:spacing w:after="0" w:line="240" w:lineRule="auto"/>
        <w:jc w:val="both"/>
        <w:rPr>
          <w:rFonts w:ascii="Times New Roman" w:hAnsi="Times New Roman"/>
          <w:sz w:val="20"/>
          <w:szCs w:val="20"/>
        </w:rPr>
      </w:pPr>
      <w:r w:rsidRPr="004A7238">
        <w:rPr>
          <w:rFonts w:ascii="Times New Roman" w:hAnsi="Times New Roman"/>
          <w:bCs/>
          <w:sz w:val="20"/>
          <w:szCs w:val="20"/>
        </w:rPr>
        <w:t xml:space="preserve">The following contracts (not being contracts entered into in the ordinary course of business carried on by the Company or entered into more than two years before the date of the Draft </w:t>
      </w:r>
      <w:r w:rsidRPr="004A7238">
        <w:rPr>
          <w:rFonts w:ascii="Times New Roman" w:hAnsi="Times New Roman"/>
          <w:sz w:val="20"/>
          <w:szCs w:val="20"/>
        </w:rPr>
        <w:t xml:space="preserve">Red Herring </w:t>
      </w:r>
      <w:r w:rsidRPr="004A7238">
        <w:rPr>
          <w:rFonts w:ascii="Times New Roman" w:hAnsi="Times New Roman"/>
          <w:bCs/>
          <w:sz w:val="20"/>
          <w:szCs w:val="20"/>
        </w:rPr>
        <w:t xml:space="preserve">Prospectus) which are or may be deemed material have been entered or to be entered into by the Company which </w:t>
      </w:r>
      <w:r w:rsidRPr="004A7238">
        <w:rPr>
          <w:rFonts w:ascii="Times New Roman" w:hAnsi="Times New Roman"/>
          <w:sz w:val="20"/>
          <w:szCs w:val="20"/>
        </w:rPr>
        <w:t xml:space="preserve">are or may be deemed material will be attached </w:t>
      </w:r>
      <w:r w:rsidRPr="004A7238">
        <w:rPr>
          <w:rFonts w:ascii="Times New Roman" w:hAnsi="Times New Roman"/>
          <w:bCs/>
          <w:sz w:val="20"/>
          <w:szCs w:val="20"/>
        </w:rPr>
        <w:t>to the copy of the Red Herring Prospectus/ Prospectus, delivered to the Registrar of Companies,</w:t>
      </w:r>
      <w:r w:rsidRPr="004A7238">
        <w:rPr>
          <w:rFonts w:ascii="Times New Roman" w:hAnsi="Times New Roman"/>
          <w:sz w:val="20"/>
          <w:szCs w:val="20"/>
        </w:rPr>
        <w:t xml:space="preserve"> for registration</w:t>
      </w:r>
      <w:r w:rsidRPr="004A7238">
        <w:rPr>
          <w:rFonts w:ascii="Times New Roman" w:hAnsi="Times New Roman"/>
          <w:bCs/>
          <w:sz w:val="20"/>
          <w:szCs w:val="20"/>
        </w:rPr>
        <w:t xml:space="preserve">. </w:t>
      </w:r>
      <w:r w:rsidRPr="004A7238">
        <w:rPr>
          <w:rFonts w:ascii="Times New Roman" w:hAnsi="Times New Roman"/>
          <w:sz w:val="20"/>
          <w:szCs w:val="20"/>
        </w:rPr>
        <w:t>Copies of the abovementioned contracts and also the documents for inspection referred to hereunder, may be inspected at the registered office between 10 A.M. and 5 P.M. on all Working Days from the date of this Draft Red Herring Prospectus until the Issue Closing Date.</w:t>
      </w:r>
    </w:p>
    <w:p w14:paraId="7E9869DB" w14:textId="77777777" w:rsidR="004047F2" w:rsidRPr="004A7238" w:rsidRDefault="004047F2" w:rsidP="004047F2">
      <w:pPr>
        <w:autoSpaceDE w:val="0"/>
        <w:autoSpaceDN w:val="0"/>
        <w:adjustRightInd w:val="0"/>
        <w:spacing w:after="0" w:line="240" w:lineRule="auto"/>
        <w:jc w:val="both"/>
        <w:rPr>
          <w:rFonts w:ascii="Times New Roman" w:hAnsi="Times New Roman"/>
          <w:sz w:val="20"/>
          <w:szCs w:val="20"/>
        </w:rPr>
      </w:pPr>
    </w:p>
    <w:p w14:paraId="3821EF7E" w14:textId="77777777" w:rsidR="004047F2" w:rsidRPr="004A7238" w:rsidRDefault="004047F2" w:rsidP="004047F2">
      <w:pPr>
        <w:widowControl w:val="0"/>
        <w:spacing w:after="0" w:line="240" w:lineRule="auto"/>
        <w:jc w:val="both"/>
        <w:rPr>
          <w:rFonts w:ascii="Times New Roman" w:hAnsi="Times New Roman"/>
          <w:b/>
          <w:bCs/>
          <w:iCs/>
          <w:sz w:val="20"/>
          <w:szCs w:val="20"/>
          <w:u w:val="single"/>
        </w:rPr>
      </w:pPr>
      <w:r w:rsidRPr="004A7238">
        <w:rPr>
          <w:rFonts w:ascii="Times New Roman" w:hAnsi="Times New Roman"/>
          <w:b/>
          <w:bCs/>
          <w:iCs/>
          <w:sz w:val="20"/>
          <w:szCs w:val="20"/>
          <w:u w:val="single"/>
        </w:rPr>
        <w:t>Material Contracts</w:t>
      </w:r>
    </w:p>
    <w:p w14:paraId="08ED9536" w14:textId="77777777" w:rsidR="004047F2" w:rsidRPr="004A7238" w:rsidRDefault="004047F2" w:rsidP="004047F2">
      <w:pPr>
        <w:widowControl w:val="0"/>
        <w:spacing w:after="0" w:line="240" w:lineRule="auto"/>
        <w:jc w:val="both"/>
        <w:rPr>
          <w:rFonts w:ascii="Times New Roman" w:hAnsi="Times New Roman"/>
          <w:b/>
          <w:bCs/>
          <w:iCs/>
          <w:sz w:val="20"/>
          <w:szCs w:val="20"/>
          <w:u w:val="single"/>
        </w:rPr>
      </w:pPr>
    </w:p>
    <w:p w14:paraId="1D81E354" w14:textId="295849A2" w:rsidR="004047F2" w:rsidRPr="004A7238" w:rsidRDefault="004047F2">
      <w:pPr>
        <w:widowControl w:val="0"/>
        <w:numPr>
          <w:ilvl w:val="0"/>
          <w:numId w:val="273"/>
        </w:numPr>
        <w:tabs>
          <w:tab w:val="num" w:pos="540"/>
        </w:tabs>
        <w:spacing w:after="0" w:line="240" w:lineRule="auto"/>
        <w:ind w:left="540" w:hanging="450"/>
        <w:jc w:val="both"/>
        <w:rPr>
          <w:rFonts w:ascii="Times New Roman" w:hAnsi="Times New Roman"/>
          <w:bCs/>
          <w:sz w:val="20"/>
          <w:szCs w:val="20"/>
        </w:rPr>
      </w:pPr>
      <w:r w:rsidRPr="004A7238">
        <w:rPr>
          <w:rFonts w:ascii="Times New Roman" w:hAnsi="Times New Roman"/>
          <w:bCs/>
          <w:sz w:val="20"/>
          <w:szCs w:val="20"/>
        </w:rPr>
        <w:t xml:space="preserve">Agreement dated </w:t>
      </w:r>
      <w:r w:rsidR="004A7238">
        <w:rPr>
          <w:rFonts w:ascii="Times New Roman" w:hAnsi="Times New Roman"/>
          <w:bCs/>
          <w:sz w:val="20"/>
          <w:szCs w:val="20"/>
        </w:rPr>
        <w:t>September 18</w:t>
      </w:r>
      <w:r w:rsidRPr="004A7238">
        <w:rPr>
          <w:rFonts w:ascii="Times New Roman" w:hAnsi="Times New Roman"/>
          <w:bCs/>
          <w:sz w:val="20"/>
          <w:szCs w:val="20"/>
        </w:rPr>
        <w:t xml:space="preserve">, 2023 executed between our Company and the </w:t>
      </w:r>
      <w:r w:rsidRPr="004A7238">
        <w:rPr>
          <w:rFonts w:ascii="Times New Roman" w:hAnsi="Times New Roman"/>
          <w:sz w:val="20"/>
          <w:szCs w:val="20"/>
        </w:rPr>
        <w:t xml:space="preserve">Book Running </w:t>
      </w:r>
      <w:r w:rsidRPr="004A7238">
        <w:rPr>
          <w:rFonts w:ascii="Times New Roman" w:hAnsi="Times New Roman"/>
          <w:bCs/>
          <w:sz w:val="20"/>
          <w:szCs w:val="20"/>
        </w:rPr>
        <w:t>Lead Manager to the Issue.</w:t>
      </w:r>
    </w:p>
    <w:p w14:paraId="1AFAD586" w14:textId="4AE8133A" w:rsidR="004047F2" w:rsidRPr="004A7238" w:rsidRDefault="004047F2">
      <w:pPr>
        <w:widowControl w:val="0"/>
        <w:numPr>
          <w:ilvl w:val="0"/>
          <w:numId w:val="273"/>
        </w:numPr>
        <w:tabs>
          <w:tab w:val="num" w:pos="540"/>
        </w:tabs>
        <w:spacing w:after="0" w:line="240" w:lineRule="auto"/>
        <w:ind w:left="540" w:hanging="450"/>
        <w:jc w:val="both"/>
        <w:rPr>
          <w:rFonts w:ascii="Times New Roman" w:hAnsi="Times New Roman"/>
          <w:bCs/>
          <w:sz w:val="20"/>
          <w:szCs w:val="20"/>
        </w:rPr>
      </w:pPr>
      <w:r w:rsidRPr="004A7238">
        <w:rPr>
          <w:rFonts w:ascii="Times New Roman" w:hAnsi="Times New Roman"/>
          <w:bCs/>
          <w:sz w:val="20"/>
          <w:szCs w:val="20"/>
        </w:rPr>
        <w:t xml:space="preserve">Agreement dated </w:t>
      </w:r>
      <w:r w:rsidR="004A7238">
        <w:rPr>
          <w:rFonts w:ascii="Times New Roman" w:hAnsi="Times New Roman"/>
          <w:bCs/>
          <w:sz w:val="20"/>
          <w:szCs w:val="20"/>
        </w:rPr>
        <w:t>September 18</w:t>
      </w:r>
      <w:r w:rsidRPr="004A7238">
        <w:rPr>
          <w:rFonts w:ascii="Times New Roman" w:hAnsi="Times New Roman"/>
          <w:bCs/>
          <w:sz w:val="20"/>
          <w:szCs w:val="20"/>
        </w:rPr>
        <w:t xml:space="preserve">, 2023 executed between our Company and the Registrar to the Issue. </w:t>
      </w:r>
    </w:p>
    <w:p w14:paraId="23DE3E83" w14:textId="77777777" w:rsidR="004047F2" w:rsidRPr="004A7238" w:rsidRDefault="004047F2">
      <w:pPr>
        <w:widowControl w:val="0"/>
        <w:numPr>
          <w:ilvl w:val="0"/>
          <w:numId w:val="273"/>
        </w:numPr>
        <w:tabs>
          <w:tab w:val="num" w:pos="540"/>
        </w:tabs>
        <w:spacing w:after="0" w:line="240" w:lineRule="auto"/>
        <w:ind w:left="540" w:hanging="450"/>
        <w:jc w:val="both"/>
        <w:rPr>
          <w:rFonts w:ascii="Times New Roman" w:hAnsi="Times New Roman"/>
          <w:bCs/>
          <w:sz w:val="20"/>
          <w:szCs w:val="20"/>
        </w:rPr>
      </w:pPr>
      <w:r w:rsidRPr="004A7238">
        <w:rPr>
          <w:rFonts w:ascii="Times New Roman" w:hAnsi="Times New Roman"/>
          <w:bCs/>
          <w:sz w:val="20"/>
          <w:szCs w:val="20"/>
        </w:rPr>
        <w:t xml:space="preserve">Banker to the Issue Agreement dated [●] among our Company, </w:t>
      </w:r>
      <w:r w:rsidRPr="004A7238">
        <w:rPr>
          <w:rFonts w:ascii="Times New Roman" w:hAnsi="Times New Roman"/>
          <w:sz w:val="20"/>
          <w:szCs w:val="20"/>
        </w:rPr>
        <w:t xml:space="preserve">Book Running </w:t>
      </w:r>
      <w:r w:rsidRPr="004A7238">
        <w:rPr>
          <w:rFonts w:ascii="Times New Roman" w:hAnsi="Times New Roman"/>
          <w:bCs/>
          <w:sz w:val="20"/>
          <w:szCs w:val="20"/>
        </w:rPr>
        <w:t xml:space="preserve">Lead Manager, Banker to the Issue and the Registrar to the Issue. </w:t>
      </w:r>
    </w:p>
    <w:p w14:paraId="2010F059" w14:textId="77777777" w:rsidR="004047F2" w:rsidRPr="004A7238" w:rsidRDefault="004047F2">
      <w:pPr>
        <w:widowControl w:val="0"/>
        <w:numPr>
          <w:ilvl w:val="0"/>
          <w:numId w:val="273"/>
        </w:numPr>
        <w:tabs>
          <w:tab w:val="num" w:pos="540"/>
        </w:tabs>
        <w:spacing w:after="0" w:line="240" w:lineRule="auto"/>
        <w:ind w:left="540" w:hanging="450"/>
        <w:jc w:val="both"/>
        <w:rPr>
          <w:rFonts w:ascii="Times New Roman" w:eastAsiaTheme="minorHAnsi" w:hAnsi="Times New Roman"/>
          <w:sz w:val="20"/>
          <w:szCs w:val="20"/>
          <w:lang w:val="en-IN"/>
        </w:rPr>
      </w:pPr>
      <w:r w:rsidRPr="004A7238">
        <w:rPr>
          <w:rFonts w:ascii="Times New Roman" w:hAnsi="Times New Roman"/>
          <w:bCs/>
          <w:sz w:val="20"/>
          <w:szCs w:val="20"/>
        </w:rPr>
        <w:t>Syndicate</w:t>
      </w:r>
      <w:r w:rsidRPr="004A7238">
        <w:rPr>
          <w:rFonts w:ascii="Times New Roman" w:eastAsiaTheme="minorHAnsi" w:hAnsi="Times New Roman"/>
          <w:color w:val="000000"/>
          <w:sz w:val="20"/>
          <w:szCs w:val="20"/>
          <w:lang w:val="en-IN"/>
        </w:rPr>
        <w:t xml:space="preserve"> Agreement dated </w:t>
      </w:r>
      <w:r w:rsidRPr="004A7238">
        <w:rPr>
          <w:rFonts w:ascii="Times New Roman" w:hAnsi="Times New Roman"/>
          <w:bCs/>
          <w:sz w:val="20"/>
          <w:szCs w:val="20"/>
        </w:rPr>
        <w:t xml:space="preserve">[●] </w:t>
      </w:r>
      <w:r w:rsidRPr="004A7238">
        <w:rPr>
          <w:rFonts w:ascii="Times New Roman" w:eastAsiaTheme="minorHAnsi" w:hAnsi="Times New Roman"/>
          <w:color w:val="000000"/>
          <w:sz w:val="20"/>
          <w:szCs w:val="20"/>
          <w:lang w:val="en-IN"/>
        </w:rPr>
        <w:t xml:space="preserve">among our Company, the </w:t>
      </w:r>
      <w:r w:rsidRPr="004A7238">
        <w:rPr>
          <w:rFonts w:ascii="Times New Roman" w:hAnsi="Times New Roman"/>
          <w:sz w:val="20"/>
          <w:szCs w:val="20"/>
        </w:rPr>
        <w:t xml:space="preserve">Book Running </w:t>
      </w:r>
      <w:r w:rsidRPr="004A7238">
        <w:rPr>
          <w:rFonts w:ascii="Times New Roman" w:hAnsi="Times New Roman"/>
          <w:bCs/>
          <w:sz w:val="20"/>
          <w:szCs w:val="20"/>
        </w:rPr>
        <w:t xml:space="preserve">Lead Manager </w:t>
      </w:r>
      <w:r w:rsidRPr="004A7238">
        <w:rPr>
          <w:rFonts w:ascii="Times New Roman" w:eastAsiaTheme="minorHAnsi" w:hAnsi="Times New Roman"/>
          <w:color w:val="000000"/>
          <w:sz w:val="20"/>
          <w:szCs w:val="20"/>
          <w:lang w:val="en-IN"/>
        </w:rPr>
        <w:t xml:space="preserve">and Syndicate Member. </w:t>
      </w:r>
    </w:p>
    <w:p w14:paraId="44E1481E" w14:textId="77777777" w:rsidR="004047F2" w:rsidRPr="004A7238" w:rsidRDefault="004047F2">
      <w:pPr>
        <w:widowControl w:val="0"/>
        <w:numPr>
          <w:ilvl w:val="0"/>
          <w:numId w:val="273"/>
        </w:numPr>
        <w:tabs>
          <w:tab w:val="num" w:pos="540"/>
        </w:tabs>
        <w:spacing w:after="0" w:line="240" w:lineRule="auto"/>
        <w:ind w:left="540" w:hanging="450"/>
        <w:jc w:val="both"/>
        <w:rPr>
          <w:rFonts w:ascii="Times New Roman" w:hAnsi="Times New Roman"/>
          <w:bCs/>
          <w:sz w:val="20"/>
          <w:szCs w:val="20"/>
        </w:rPr>
      </w:pPr>
      <w:r w:rsidRPr="004A7238">
        <w:rPr>
          <w:rFonts w:ascii="Times New Roman" w:hAnsi="Times New Roman"/>
          <w:bCs/>
          <w:sz w:val="20"/>
          <w:szCs w:val="20"/>
        </w:rPr>
        <w:t xml:space="preserve">Market Making Agreement dated </w:t>
      </w:r>
      <w:r w:rsidRPr="004A7238">
        <w:rPr>
          <w:rFonts w:ascii="Times New Roman" w:eastAsia="MS Mincho" w:hAnsi="Times New Roman"/>
          <w:sz w:val="20"/>
          <w:szCs w:val="20"/>
          <w:lang w:val="en-GB"/>
        </w:rPr>
        <w:t xml:space="preserve">[●] </w:t>
      </w:r>
      <w:r w:rsidRPr="004A7238">
        <w:rPr>
          <w:rFonts w:ascii="Times New Roman" w:hAnsi="Times New Roman"/>
          <w:bCs/>
          <w:sz w:val="20"/>
          <w:szCs w:val="20"/>
        </w:rPr>
        <w:t xml:space="preserve">between our Company, </w:t>
      </w:r>
      <w:r w:rsidRPr="004A7238">
        <w:rPr>
          <w:rFonts w:ascii="Times New Roman" w:hAnsi="Times New Roman"/>
          <w:sz w:val="20"/>
          <w:szCs w:val="20"/>
        </w:rPr>
        <w:t xml:space="preserve">Book Running </w:t>
      </w:r>
      <w:r w:rsidRPr="004A7238">
        <w:rPr>
          <w:rFonts w:ascii="Times New Roman" w:hAnsi="Times New Roman"/>
          <w:bCs/>
          <w:sz w:val="20"/>
          <w:szCs w:val="20"/>
        </w:rPr>
        <w:t xml:space="preserve">Lead Manager and Market Maker. </w:t>
      </w:r>
    </w:p>
    <w:p w14:paraId="1198932C" w14:textId="77777777" w:rsidR="004047F2" w:rsidRPr="004A7238" w:rsidRDefault="004047F2">
      <w:pPr>
        <w:widowControl w:val="0"/>
        <w:numPr>
          <w:ilvl w:val="0"/>
          <w:numId w:val="273"/>
        </w:numPr>
        <w:tabs>
          <w:tab w:val="num" w:pos="540"/>
        </w:tabs>
        <w:spacing w:after="0" w:line="240" w:lineRule="auto"/>
        <w:ind w:left="540" w:hanging="450"/>
        <w:jc w:val="both"/>
        <w:rPr>
          <w:rFonts w:ascii="Times New Roman" w:hAnsi="Times New Roman"/>
          <w:bCs/>
          <w:sz w:val="20"/>
          <w:szCs w:val="20"/>
        </w:rPr>
      </w:pPr>
      <w:r w:rsidRPr="004A7238">
        <w:rPr>
          <w:rFonts w:ascii="Times New Roman" w:hAnsi="Times New Roman"/>
          <w:bCs/>
          <w:sz w:val="20"/>
          <w:szCs w:val="20"/>
        </w:rPr>
        <w:t xml:space="preserve">Underwriting Agreement dated [●] between our Company, </w:t>
      </w:r>
      <w:r w:rsidRPr="004A7238">
        <w:rPr>
          <w:rFonts w:ascii="Times New Roman" w:hAnsi="Times New Roman"/>
          <w:sz w:val="20"/>
          <w:szCs w:val="20"/>
        </w:rPr>
        <w:t xml:space="preserve">Book Running </w:t>
      </w:r>
      <w:r w:rsidRPr="004A7238">
        <w:rPr>
          <w:rFonts w:ascii="Times New Roman" w:hAnsi="Times New Roman"/>
          <w:bCs/>
          <w:sz w:val="20"/>
          <w:szCs w:val="20"/>
        </w:rPr>
        <w:t xml:space="preserve">Lead Manager and Underwriter.  </w:t>
      </w:r>
    </w:p>
    <w:p w14:paraId="2552C485" w14:textId="0B7B8979" w:rsidR="004047F2" w:rsidRPr="004A7238" w:rsidRDefault="004047F2">
      <w:pPr>
        <w:widowControl w:val="0"/>
        <w:numPr>
          <w:ilvl w:val="0"/>
          <w:numId w:val="273"/>
        </w:numPr>
        <w:tabs>
          <w:tab w:val="num" w:pos="540"/>
        </w:tabs>
        <w:spacing w:after="0" w:line="240" w:lineRule="auto"/>
        <w:ind w:left="540" w:hanging="450"/>
        <w:jc w:val="both"/>
        <w:rPr>
          <w:rFonts w:ascii="Times New Roman" w:hAnsi="Times New Roman"/>
          <w:bCs/>
          <w:sz w:val="20"/>
          <w:szCs w:val="20"/>
        </w:rPr>
      </w:pPr>
      <w:r w:rsidRPr="004A7238">
        <w:rPr>
          <w:rFonts w:ascii="Times New Roman" w:hAnsi="Times New Roman"/>
          <w:bCs/>
          <w:sz w:val="20"/>
          <w:szCs w:val="20"/>
        </w:rPr>
        <w:t xml:space="preserve">Tripartite Agreement dated </w:t>
      </w:r>
      <w:r w:rsidR="004A7238">
        <w:rPr>
          <w:rFonts w:ascii="Times New Roman" w:eastAsia="Calibri" w:hAnsi="Times New Roman"/>
          <w:color w:val="000000"/>
          <w:sz w:val="20"/>
          <w:szCs w:val="20"/>
        </w:rPr>
        <w:t>August 04</w:t>
      </w:r>
      <w:r w:rsidRPr="004A7238">
        <w:rPr>
          <w:rFonts w:ascii="Times New Roman" w:hAnsi="Times New Roman"/>
          <w:bCs/>
          <w:sz w:val="20"/>
          <w:szCs w:val="20"/>
        </w:rPr>
        <w:t>, 2023 among CDSL, the Company and the Registrar to the Issue.</w:t>
      </w:r>
    </w:p>
    <w:p w14:paraId="7349EB5E" w14:textId="30FBFDA7" w:rsidR="004047F2" w:rsidRPr="004A7238" w:rsidRDefault="004047F2">
      <w:pPr>
        <w:widowControl w:val="0"/>
        <w:numPr>
          <w:ilvl w:val="0"/>
          <w:numId w:val="273"/>
        </w:numPr>
        <w:tabs>
          <w:tab w:val="num" w:pos="540"/>
        </w:tabs>
        <w:spacing w:after="0" w:line="240" w:lineRule="auto"/>
        <w:ind w:left="540" w:hanging="450"/>
        <w:jc w:val="both"/>
        <w:rPr>
          <w:rFonts w:ascii="Times New Roman" w:hAnsi="Times New Roman"/>
          <w:bCs/>
          <w:sz w:val="20"/>
          <w:szCs w:val="20"/>
        </w:rPr>
      </w:pPr>
      <w:r w:rsidRPr="004A7238">
        <w:rPr>
          <w:rFonts w:ascii="Times New Roman" w:hAnsi="Times New Roman"/>
          <w:bCs/>
          <w:sz w:val="20"/>
          <w:szCs w:val="20"/>
        </w:rPr>
        <w:t xml:space="preserve">Tripartite Agreement dated </w:t>
      </w:r>
      <w:r w:rsidR="004A7238">
        <w:rPr>
          <w:rFonts w:ascii="Times New Roman" w:hAnsi="Times New Roman"/>
          <w:sz w:val="20"/>
          <w:szCs w:val="20"/>
        </w:rPr>
        <w:t>August 07</w:t>
      </w:r>
      <w:r w:rsidRPr="004A7238">
        <w:rPr>
          <w:rFonts w:ascii="Times New Roman" w:hAnsi="Times New Roman"/>
          <w:bCs/>
          <w:sz w:val="20"/>
          <w:szCs w:val="20"/>
        </w:rPr>
        <w:t>, 2023 among NSDL, the Company and the Registrar to the Issue.</w:t>
      </w:r>
    </w:p>
    <w:p w14:paraId="75D7792B" w14:textId="77777777" w:rsidR="004047F2" w:rsidRPr="004A7238" w:rsidRDefault="004047F2" w:rsidP="004047F2">
      <w:pPr>
        <w:widowControl w:val="0"/>
        <w:spacing w:after="0" w:line="240" w:lineRule="auto"/>
        <w:ind w:left="360"/>
        <w:jc w:val="both"/>
        <w:rPr>
          <w:rFonts w:ascii="Times New Roman" w:hAnsi="Times New Roman"/>
          <w:bCs/>
          <w:sz w:val="20"/>
          <w:szCs w:val="20"/>
        </w:rPr>
      </w:pPr>
    </w:p>
    <w:p w14:paraId="665068EB" w14:textId="77777777" w:rsidR="004047F2" w:rsidRPr="004A7238" w:rsidRDefault="004047F2" w:rsidP="004047F2">
      <w:pPr>
        <w:widowControl w:val="0"/>
        <w:spacing w:after="0" w:line="240" w:lineRule="auto"/>
        <w:jc w:val="both"/>
        <w:rPr>
          <w:rFonts w:ascii="Times New Roman" w:hAnsi="Times New Roman"/>
          <w:b/>
          <w:bCs/>
          <w:iCs/>
          <w:sz w:val="20"/>
          <w:szCs w:val="20"/>
          <w:u w:val="single"/>
        </w:rPr>
      </w:pPr>
      <w:r w:rsidRPr="004A7238">
        <w:rPr>
          <w:rFonts w:ascii="Times New Roman" w:hAnsi="Times New Roman"/>
          <w:b/>
          <w:bCs/>
          <w:iCs/>
          <w:sz w:val="20"/>
          <w:szCs w:val="20"/>
          <w:u w:val="single"/>
        </w:rPr>
        <w:t>Material Documents</w:t>
      </w:r>
    </w:p>
    <w:p w14:paraId="35D5FAC7" w14:textId="77777777" w:rsidR="004047F2" w:rsidRPr="004A7238" w:rsidRDefault="004047F2" w:rsidP="004047F2">
      <w:pPr>
        <w:widowControl w:val="0"/>
        <w:spacing w:after="0" w:line="240" w:lineRule="auto"/>
        <w:jc w:val="both"/>
        <w:rPr>
          <w:rFonts w:ascii="Times New Roman" w:hAnsi="Times New Roman"/>
          <w:b/>
          <w:bCs/>
          <w:iCs/>
          <w:sz w:val="20"/>
          <w:szCs w:val="20"/>
          <w:u w:val="single"/>
        </w:rPr>
      </w:pPr>
    </w:p>
    <w:p w14:paraId="6D028459" w14:textId="77777777" w:rsidR="004047F2" w:rsidRPr="004A7238" w:rsidRDefault="004047F2">
      <w:pPr>
        <w:pStyle w:val="ListParagraph"/>
        <w:widowControl w:val="0"/>
        <w:numPr>
          <w:ilvl w:val="0"/>
          <w:numId w:val="274"/>
        </w:numPr>
        <w:tabs>
          <w:tab w:val="clear" w:pos="1080"/>
          <w:tab w:val="left" w:pos="540"/>
        </w:tabs>
        <w:suppressAutoHyphens w:val="0"/>
        <w:spacing w:line="240" w:lineRule="auto"/>
        <w:ind w:left="540" w:hanging="450"/>
        <w:contextualSpacing/>
        <w:jc w:val="both"/>
        <w:textAlignment w:val="auto"/>
        <w:rPr>
          <w:bCs/>
          <w:sz w:val="20"/>
          <w:szCs w:val="20"/>
        </w:rPr>
      </w:pPr>
      <w:r w:rsidRPr="004A7238">
        <w:rPr>
          <w:bCs/>
          <w:sz w:val="20"/>
          <w:szCs w:val="20"/>
        </w:rPr>
        <w:t>Certified copies of the Memorandum and Articles of Association of the Company as amended.</w:t>
      </w:r>
    </w:p>
    <w:p w14:paraId="149C454B" w14:textId="6F261025" w:rsidR="004047F2" w:rsidRDefault="004047F2">
      <w:pPr>
        <w:pStyle w:val="ListParagraph"/>
        <w:widowControl w:val="0"/>
        <w:numPr>
          <w:ilvl w:val="0"/>
          <w:numId w:val="274"/>
        </w:numPr>
        <w:tabs>
          <w:tab w:val="clear" w:pos="1080"/>
          <w:tab w:val="left" w:pos="540"/>
        </w:tabs>
        <w:suppressAutoHyphens w:val="0"/>
        <w:spacing w:line="240" w:lineRule="auto"/>
        <w:ind w:left="540" w:hanging="450"/>
        <w:contextualSpacing/>
        <w:jc w:val="both"/>
        <w:textAlignment w:val="auto"/>
        <w:rPr>
          <w:bCs/>
          <w:sz w:val="20"/>
          <w:szCs w:val="20"/>
        </w:rPr>
      </w:pPr>
      <w:r w:rsidRPr="004A7238">
        <w:rPr>
          <w:bCs/>
          <w:sz w:val="20"/>
          <w:szCs w:val="20"/>
        </w:rPr>
        <w:t xml:space="preserve">Certificate of Incorporation dated </w:t>
      </w:r>
      <w:r w:rsidR="004A7238" w:rsidRPr="004A7238">
        <w:rPr>
          <w:bCs/>
          <w:sz w:val="20"/>
          <w:szCs w:val="20"/>
        </w:rPr>
        <w:t>February 12, 2007</w:t>
      </w:r>
      <w:r w:rsidR="004A7238">
        <w:rPr>
          <w:bCs/>
          <w:sz w:val="20"/>
          <w:szCs w:val="20"/>
          <w:lang w:val="en-US"/>
        </w:rPr>
        <w:t xml:space="preserve"> </w:t>
      </w:r>
      <w:r w:rsidRPr="004A7238">
        <w:rPr>
          <w:bCs/>
          <w:sz w:val="20"/>
          <w:szCs w:val="20"/>
        </w:rPr>
        <w:t xml:space="preserve">issued by the </w:t>
      </w:r>
      <w:r w:rsidR="004A7238" w:rsidRPr="004A7238">
        <w:rPr>
          <w:bCs/>
          <w:sz w:val="20"/>
          <w:szCs w:val="20"/>
        </w:rPr>
        <w:t>Registrar of Companies, Ahmedabad</w:t>
      </w:r>
      <w:r w:rsidRPr="004A7238">
        <w:rPr>
          <w:bCs/>
          <w:sz w:val="20"/>
          <w:szCs w:val="20"/>
        </w:rPr>
        <w:t>.</w:t>
      </w:r>
    </w:p>
    <w:p w14:paraId="7ED50A84" w14:textId="7856CC6D" w:rsidR="004A7238" w:rsidRPr="004A7238" w:rsidRDefault="004A7238">
      <w:pPr>
        <w:pStyle w:val="ListParagraph"/>
        <w:widowControl w:val="0"/>
        <w:numPr>
          <w:ilvl w:val="0"/>
          <w:numId w:val="274"/>
        </w:numPr>
        <w:tabs>
          <w:tab w:val="clear" w:pos="1080"/>
          <w:tab w:val="left" w:pos="540"/>
        </w:tabs>
        <w:suppressAutoHyphens w:val="0"/>
        <w:spacing w:line="240" w:lineRule="auto"/>
        <w:ind w:left="540" w:hanging="450"/>
        <w:contextualSpacing/>
        <w:jc w:val="both"/>
        <w:textAlignment w:val="auto"/>
        <w:rPr>
          <w:bCs/>
          <w:sz w:val="20"/>
          <w:szCs w:val="20"/>
        </w:rPr>
      </w:pPr>
      <w:r w:rsidRPr="004A7238">
        <w:rPr>
          <w:bCs/>
          <w:sz w:val="20"/>
          <w:szCs w:val="20"/>
        </w:rPr>
        <w:t>Certificate of Incorporation pursuant to change of name from “Siyaram Impex Private Limited” to “Siyaram Recycling Industries Private Limited</w:t>
      </w:r>
      <w:r>
        <w:rPr>
          <w:bCs/>
          <w:sz w:val="20"/>
          <w:szCs w:val="20"/>
          <w:lang w:val="en-US"/>
        </w:rPr>
        <w:t>”</w:t>
      </w:r>
      <w:r w:rsidRPr="004A7238">
        <w:rPr>
          <w:bCs/>
          <w:sz w:val="20"/>
          <w:szCs w:val="20"/>
        </w:rPr>
        <w:t xml:space="preserve"> dated July 27, 2023 issued by the Registrar of Companies, Ahmedabad.</w:t>
      </w:r>
    </w:p>
    <w:p w14:paraId="4A1B0492" w14:textId="6DA601BA" w:rsidR="004047F2" w:rsidRPr="004A7238" w:rsidRDefault="004A7238">
      <w:pPr>
        <w:pStyle w:val="ListParagraph"/>
        <w:widowControl w:val="0"/>
        <w:numPr>
          <w:ilvl w:val="0"/>
          <w:numId w:val="274"/>
        </w:numPr>
        <w:tabs>
          <w:tab w:val="clear" w:pos="1080"/>
          <w:tab w:val="left" w:pos="540"/>
        </w:tabs>
        <w:suppressAutoHyphens w:val="0"/>
        <w:spacing w:line="240" w:lineRule="auto"/>
        <w:ind w:left="540" w:hanging="450"/>
        <w:contextualSpacing/>
        <w:jc w:val="both"/>
        <w:textAlignment w:val="auto"/>
        <w:rPr>
          <w:bCs/>
          <w:sz w:val="20"/>
          <w:szCs w:val="20"/>
        </w:rPr>
      </w:pPr>
      <w:r w:rsidRPr="004A7238">
        <w:rPr>
          <w:bCs/>
          <w:sz w:val="20"/>
          <w:szCs w:val="20"/>
        </w:rPr>
        <w:t xml:space="preserve">Fresh Certificate of Incorporation Consequent upon Conversion from Private Company to Public Company </w:t>
      </w:r>
      <w:r w:rsidR="004047F2" w:rsidRPr="004A7238">
        <w:rPr>
          <w:bCs/>
          <w:sz w:val="20"/>
          <w:szCs w:val="20"/>
        </w:rPr>
        <w:t xml:space="preserve">dated </w:t>
      </w:r>
      <w:r w:rsidRPr="004A7238">
        <w:rPr>
          <w:bCs/>
          <w:sz w:val="20"/>
          <w:szCs w:val="20"/>
        </w:rPr>
        <w:t>August 24, 2023</w:t>
      </w:r>
      <w:r w:rsidR="004047F2" w:rsidRPr="004A7238">
        <w:rPr>
          <w:bCs/>
          <w:sz w:val="20"/>
          <w:szCs w:val="20"/>
        </w:rPr>
        <w:t xml:space="preserve"> issued by the Registrar of Companies, Ahmedabad, Gujarat consequent upon change of Name of the company form “</w:t>
      </w:r>
      <w:r w:rsidRPr="004A7238">
        <w:rPr>
          <w:bCs/>
          <w:sz w:val="20"/>
          <w:szCs w:val="20"/>
        </w:rPr>
        <w:t xml:space="preserve"> Siyaram Recycling Industries Private Limited</w:t>
      </w:r>
      <w:r w:rsidR="004047F2" w:rsidRPr="004A7238">
        <w:rPr>
          <w:bCs/>
          <w:sz w:val="20"/>
          <w:szCs w:val="20"/>
        </w:rPr>
        <w:t>” to “</w:t>
      </w:r>
      <w:r w:rsidRPr="004A7238">
        <w:rPr>
          <w:bCs/>
          <w:sz w:val="20"/>
          <w:szCs w:val="20"/>
        </w:rPr>
        <w:t xml:space="preserve"> Siyaram Recycling Industries Limited</w:t>
      </w:r>
      <w:r w:rsidR="004047F2" w:rsidRPr="004A7238">
        <w:rPr>
          <w:bCs/>
          <w:sz w:val="20"/>
          <w:szCs w:val="20"/>
        </w:rPr>
        <w:t>”.</w:t>
      </w:r>
    </w:p>
    <w:p w14:paraId="098B22F8" w14:textId="3A2F5CD2" w:rsidR="004047F2" w:rsidRPr="004A7238" w:rsidRDefault="004047F2">
      <w:pPr>
        <w:widowControl w:val="0"/>
        <w:numPr>
          <w:ilvl w:val="0"/>
          <w:numId w:val="274"/>
        </w:numPr>
        <w:tabs>
          <w:tab w:val="clear" w:pos="1080"/>
          <w:tab w:val="left" w:pos="540"/>
        </w:tabs>
        <w:spacing w:after="0" w:line="240" w:lineRule="auto"/>
        <w:ind w:left="540" w:hanging="450"/>
        <w:jc w:val="both"/>
        <w:rPr>
          <w:rFonts w:ascii="Times New Roman" w:hAnsi="Times New Roman"/>
          <w:bCs/>
          <w:sz w:val="20"/>
          <w:szCs w:val="20"/>
        </w:rPr>
      </w:pPr>
      <w:r w:rsidRPr="004A7238">
        <w:rPr>
          <w:rFonts w:ascii="Times New Roman" w:hAnsi="Times New Roman"/>
          <w:bCs/>
          <w:sz w:val="20"/>
          <w:szCs w:val="20"/>
        </w:rPr>
        <w:t>Copy of the Board Resolution dated</w:t>
      </w:r>
      <w:r w:rsidRPr="004A7238">
        <w:rPr>
          <w:rFonts w:ascii="Times New Roman" w:hAnsi="Times New Roman"/>
          <w:bCs/>
          <w:sz w:val="20"/>
          <w:szCs w:val="20"/>
          <w:vertAlign w:val="superscript"/>
        </w:rPr>
        <w:t xml:space="preserve"> </w:t>
      </w:r>
      <w:r w:rsidR="004A7238">
        <w:rPr>
          <w:rFonts w:ascii="Times New Roman" w:hAnsi="Times New Roman"/>
          <w:color w:val="000000"/>
          <w:sz w:val="20"/>
          <w:szCs w:val="20"/>
        </w:rPr>
        <w:t>August 25</w:t>
      </w:r>
      <w:r w:rsidRPr="004A7238">
        <w:rPr>
          <w:rFonts w:ascii="Times New Roman" w:hAnsi="Times New Roman"/>
          <w:color w:val="000000"/>
          <w:sz w:val="20"/>
          <w:szCs w:val="20"/>
        </w:rPr>
        <w:t xml:space="preserve">, 2023 </w:t>
      </w:r>
      <w:r w:rsidRPr="004A7238">
        <w:rPr>
          <w:rFonts w:ascii="Times New Roman" w:hAnsi="Times New Roman"/>
          <w:bCs/>
          <w:sz w:val="20"/>
          <w:szCs w:val="20"/>
        </w:rPr>
        <w:t xml:space="preserve">authorizing the Issue and other related matters. </w:t>
      </w:r>
    </w:p>
    <w:p w14:paraId="39C933F9" w14:textId="4D6C7236" w:rsidR="004047F2" w:rsidRPr="004A7238" w:rsidRDefault="004047F2">
      <w:pPr>
        <w:widowControl w:val="0"/>
        <w:numPr>
          <w:ilvl w:val="0"/>
          <w:numId w:val="274"/>
        </w:numPr>
        <w:tabs>
          <w:tab w:val="clear" w:pos="1080"/>
          <w:tab w:val="left" w:pos="540"/>
        </w:tabs>
        <w:spacing w:after="0" w:line="240" w:lineRule="auto"/>
        <w:ind w:left="540" w:hanging="450"/>
        <w:jc w:val="both"/>
        <w:rPr>
          <w:rFonts w:ascii="Times New Roman" w:hAnsi="Times New Roman"/>
          <w:bCs/>
          <w:sz w:val="20"/>
          <w:szCs w:val="20"/>
        </w:rPr>
      </w:pPr>
      <w:r w:rsidRPr="004A7238">
        <w:rPr>
          <w:rFonts w:ascii="Times New Roman" w:hAnsi="Times New Roman"/>
          <w:bCs/>
          <w:sz w:val="20"/>
          <w:szCs w:val="20"/>
        </w:rPr>
        <w:t>Copy of Shareholder’s Resolution dated</w:t>
      </w:r>
      <w:r w:rsidRPr="004A7238">
        <w:rPr>
          <w:rFonts w:ascii="Times New Roman" w:hAnsi="Times New Roman"/>
          <w:bCs/>
          <w:sz w:val="20"/>
          <w:szCs w:val="20"/>
          <w:vertAlign w:val="superscript"/>
        </w:rPr>
        <w:t xml:space="preserve"> </w:t>
      </w:r>
      <w:r w:rsidR="004A7238">
        <w:rPr>
          <w:rFonts w:ascii="Times New Roman" w:hAnsi="Times New Roman"/>
          <w:color w:val="000000"/>
          <w:sz w:val="20"/>
          <w:szCs w:val="20"/>
        </w:rPr>
        <w:t>August 25</w:t>
      </w:r>
      <w:r w:rsidRPr="004A7238">
        <w:rPr>
          <w:rFonts w:ascii="Times New Roman" w:hAnsi="Times New Roman"/>
          <w:color w:val="000000"/>
          <w:sz w:val="20"/>
          <w:szCs w:val="20"/>
        </w:rPr>
        <w:t xml:space="preserve">, 2023 </w:t>
      </w:r>
      <w:r w:rsidRPr="004A7238">
        <w:rPr>
          <w:rFonts w:ascii="Times New Roman" w:hAnsi="Times New Roman"/>
          <w:bCs/>
          <w:sz w:val="20"/>
          <w:szCs w:val="20"/>
        </w:rPr>
        <w:t xml:space="preserve">authorizing the Issue and other related matters.  </w:t>
      </w:r>
    </w:p>
    <w:p w14:paraId="76DBB3EA" w14:textId="63AA1A63" w:rsidR="004047F2" w:rsidRPr="004A7238" w:rsidRDefault="004047F2">
      <w:pPr>
        <w:widowControl w:val="0"/>
        <w:numPr>
          <w:ilvl w:val="0"/>
          <w:numId w:val="274"/>
        </w:numPr>
        <w:tabs>
          <w:tab w:val="clear" w:pos="1080"/>
          <w:tab w:val="left" w:pos="540"/>
        </w:tabs>
        <w:spacing w:after="0" w:line="240" w:lineRule="auto"/>
        <w:ind w:left="540" w:hanging="450"/>
        <w:jc w:val="both"/>
        <w:rPr>
          <w:rFonts w:ascii="Times New Roman" w:hAnsi="Times New Roman"/>
          <w:bCs/>
          <w:sz w:val="20"/>
          <w:szCs w:val="20"/>
        </w:rPr>
      </w:pPr>
      <w:r w:rsidRPr="004A7238">
        <w:rPr>
          <w:rFonts w:ascii="Times New Roman" w:hAnsi="Times New Roman"/>
          <w:bCs/>
          <w:sz w:val="20"/>
          <w:szCs w:val="20"/>
        </w:rPr>
        <w:t xml:space="preserve">Copies of Audited Financial Statements of our Company for the financial year ended </w:t>
      </w:r>
      <w:r w:rsidR="004A7238">
        <w:rPr>
          <w:rFonts w:ascii="Times New Roman" w:hAnsi="Times New Roman"/>
          <w:bCs/>
          <w:sz w:val="20"/>
          <w:szCs w:val="20"/>
        </w:rPr>
        <w:t xml:space="preserve">March 31, 2023, </w:t>
      </w:r>
      <w:r w:rsidRPr="004A7238">
        <w:rPr>
          <w:rFonts w:ascii="Times New Roman" w:hAnsi="Times New Roman"/>
          <w:bCs/>
          <w:sz w:val="20"/>
          <w:szCs w:val="20"/>
        </w:rPr>
        <w:t>March 31, 2022</w:t>
      </w:r>
      <w:r w:rsidR="004A7238">
        <w:rPr>
          <w:rFonts w:ascii="Times New Roman" w:hAnsi="Times New Roman"/>
          <w:bCs/>
          <w:sz w:val="20"/>
          <w:szCs w:val="20"/>
        </w:rPr>
        <w:t xml:space="preserve"> and</w:t>
      </w:r>
      <w:r w:rsidRPr="004A7238">
        <w:rPr>
          <w:rFonts w:ascii="Times New Roman" w:hAnsi="Times New Roman"/>
          <w:bCs/>
          <w:sz w:val="20"/>
          <w:szCs w:val="20"/>
        </w:rPr>
        <w:t xml:space="preserve"> March 31, 2021</w:t>
      </w:r>
      <w:r w:rsidR="004A7238">
        <w:rPr>
          <w:rFonts w:ascii="Times New Roman" w:hAnsi="Times New Roman"/>
          <w:bCs/>
          <w:sz w:val="20"/>
          <w:szCs w:val="20"/>
        </w:rPr>
        <w:t>.</w:t>
      </w:r>
    </w:p>
    <w:p w14:paraId="65921DC1" w14:textId="3AB8C023" w:rsidR="004047F2" w:rsidRPr="004A7238" w:rsidRDefault="004047F2">
      <w:pPr>
        <w:widowControl w:val="0"/>
        <w:numPr>
          <w:ilvl w:val="0"/>
          <w:numId w:val="274"/>
        </w:numPr>
        <w:tabs>
          <w:tab w:val="clear" w:pos="1080"/>
          <w:tab w:val="left" w:pos="540"/>
        </w:tabs>
        <w:spacing w:after="0" w:line="240" w:lineRule="auto"/>
        <w:ind w:left="540" w:hanging="450"/>
        <w:jc w:val="both"/>
        <w:rPr>
          <w:rFonts w:ascii="Times New Roman" w:hAnsi="Times New Roman"/>
          <w:bCs/>
          <w:sz w:val="20"/>
          <w:szCs w:val="20"/>
        </w:rPr>
      </w:pPr>
      <w:r w:rsidRPr="004A7238">
        <w:rPr>
          <w:rFonts w:ascii="Times New Roman" w:hAnsi="Times New Roman"/>
          <w:bCs/>
          <w:sz w:val="20"/>
          <w:szCs w:val="20"/>
        </w:rPr>
        <w:t xml:space="preserve">Statutory Auditors Report dated </w:t>
      </w:r>
      <w:r w:rsidR="004A7238">
        <w:rPr>
          <w:rFonts w:ascii="Times New Roman" w:hAnsi="Times New Roman"/>
          <w:bCs/>
          <w:sz w:val="20"/>
          <w:szCs w:val="20"/>
        </w:rPr>
        <w:t>September 12, 2023</w:t>
      </w:r>
      <w:r w:rsidRPr="004A7238">
        <w:rPr>
          <w:rFonts w:ascii="Times New Roman" w:hAnsi="Times New Roman"/>
          <w:bCs/>
          <w:sz w:val="20"/>
          <w:szCs w:val="20"/>
        </w:rPr>
        <w:t xml:space="preserve"> on the Restated Financial Information of our Company for the financial year ended </w:t>
      </w:r>
      <w:r w:rsidR="004A7238">
        <w:rPr>
          <w:rFonts w:ascii="Times New Roman" w:hAnsi="Times New Roman"/>
          <w:bCs/>
          <w:sz w:val="20"/>
          <w:szCs w:val="20"/>
        </w:rPr>
        <w:t xml:space="preserve">March 31, 2023, </w:t>
      </w:r>
      <w:r w:rsidR="004A7238" w:rsidRPr="004A7238">
        <w:rPr>
          <w:rFonts w:ascii="Times New Roman" w:hAnsi="Times New Roman"/>
          <w:bCs/>
          <w:sz w:val="20"/>
          <w:szCs w:val="20"/>
        </w:rPr>
        <w:t>March 31, 2022</w:t>
      </w:r>
      <w:r w:rsidR="004A7238">
        <w:rPr>
          <w:rFonts w:ascii="Times New Roman" w:hAnsi="Times New Roman"/>
          <w:bCs/>
          <w:sz w:val="20"/>
          <w:szCs w:val="20"/>
        </w:rPr>
        <w:t xml:space="preserve"> and</w:t>
      </w:r>
      <w:r w:rsidR="004A7238" w:rsidRPr="004A7238">
        <w:rPr>
          <w:rFonts w:ascii="Times New Roman" w:hAnsi="Times New Roman"/>
          <w:bCs/>
          <w:sz w:val="20"/>
          <w:szCs w:val="20"/>
        </w:rPr>
        <w:t xml:space="preserve"> March 31, 2021</w:t>
      </w:r>
      <w:r w:rsidRPr="004A7238">
        <w:rPr>
          <w:rFonts w:ascii="Times New Roman" w:hAnsi="Times New Roman"/>
          <w:bCs/>
          <w:sz w:val="20"/>
          <w:szCs w:val="20"/>
        </w:rPr>
        <w:t xml:space="preserve">.    </w:t>
      </w:r>
    </w:p>
    <w:p w14:paraId="318C57CC" w14:textId="39191674" w:rsidR="004047F2" w:rsidRPr="004A7238" w:rsidRDefault="004047F2">
      <w:pPr>
        <w:widowControl w:val="0"/>
        <w:numPr>
          <w:ilvl w:val="0"/>
          <w:numId w:val="274"/>
        </w:numPr>
        <w:tabs>
          <w:tab w:val="clear" w:pos="1080"/>
          <w:tab w:val="left" w:pos="540"/>
        </w:tabs>
        <w:spacing w:after="0" w:line="240" w:lineRule="auto"/>
        <w:ind w:left="540" w:hanging="450"/>
        <w:jc w:val="both"/>
        <w:rPr>
          <w:rFonts w:ascii="Times New Roman" w:hAnsi="Times New Roman"/>
          <w:bCs/>
          <w:sz w:val="20"/>
          <w:szCs w:val="20"/>
        </w:rPr>
      </w:pPr>
      <w:r w:rsidRPr="004A7238">
        <w:rPr>
          <w:rFonts w:ascii="Times New Roman" w:hAnsi="Times New Roman"/>
          <w:bCs/>
          <w:sz w:val="20"/>
          <w:szCs w:val="20"/>
        </w:rPr>
        <w:t xml:space="preserve">Copy of the Statement of Special Tax Benefits dated </w:t>
      </w:r>
      <w:r w:rsidR="004A7238" w:rsidRPr="004A7238">
        <w:rPr>
          <w:rFonts w:ascii="Times New Roman" w:hAnsi="Times New Roman"/>
          <w:bCs/>
          <w:sz w:val="20"/>
          <w:szCs w:val="20"/>
          <w:highlight w:val="yellow"/>
        </w:rPr>
        <w:t>….</w:t>
      </w:r>
      <w:r w:rsidRPr="004A7238">
        <w:rPr>
          <w:rFonts w:ascii="Times New Roman" w:hAnsi="Times New Roman"/>
          <w:bCs/>
          <w:sz w:val="20"/>
          <w:szCs w:val="20"/>
        </w:rPr>
        <w:t xml:space="preserve"> from the Statutory Auditor. </w:t>
      </w:r>
    </w:p>
    <w:p w14:paraId="7010E90D" w14:textId="16E727BB" w:rsidR="004047F2" w:rsidRPr="004A7238" w:rsidRDefault="004047F2">
      <w:pPr>
        <w:widowControl w:val="0"/>
        <w:numPr>
          <w:ilvl w:val="0"/>
          <w:numId w:val="274"/>
        </w:numPr>
        <w:tabs>
          <w:tab w:val="clear" w:pos="1080"/>
          <w:tab w:val="left" w:pos="540"/>
        </w:tabs>
        <w:spacing w:after="0" w:line="240" w:lineRule="auto"/>
        <w:ind w:left="540" w:hanging="450"/>
        <w:jc w:val="both"/>
        <w:rPr>
          <w:rFonts w:ascii="Times New Roman" w:hAnsi="Times New Roman"/>
          <w:bCs/>
          <w:sz w:val="20"/>
          <w:szCs w:val="20"/>
        </w:rPr>
      </w:pPr>
      <w:r w:rsidRPr="004A7238">
        <w:rPr>
          <w:rFonts w:ascii="Times New Roman" w:hAnsi="Times New Roman"/>
          <w:bCs/>
          <w:sz w:val="20"/>
          <w:szCs w:val="20"/>
        </w:rPr>
        <w:t xml:space="preserve">Certificate on KPI’s issued by Statutory Auditors dated </w:t>
      </w:r>
      <w:r w:rsidR="004A7238" w:rsidRPr="004A7238">
        <w:rPr>
          <w:rFonts w:ascii="Times New Roman" w:hAnsi="Times New Roman"/>
          <w:bCs/>
          <w:sz w:val="20"/>
          <w:szCs w:val="20"/>
          <w:highlight w:val="yellow"/>
        </w:rPr>
        <w:t>…</w:t>
      </w:r>
    </w:p>
    <w:p w14:paraId="53C97D8D" w14:textId="77777777" w:rsidR="004047F2" w:rsidRPr="004A7238" w:rsidRDefault="004047F2">
      <w:pPr>
        <w:widowControl w:val="0"/>
        <w:numPr>
          <w:ilvl w:val="0"/>
          <w:numId w:val="274"/>
        </w:numPr>
        <w:tabs>
          <w:tab w:val="clear" w:pos="1080"/>
          <w:tab w:val="left" w:pos="540"/>
        </w:tabs>
        <w:spacing w:after="0" w:line="240" w:lineRule="auto"/>
        <w:ind w:left="540" w:hanging="450"/>
        <w:jc w:val="both"/>
        <w:rPr>
          <w:rFonts w:ascii="Times New Roman" w:hAnsi="Times New Roman"/>
          <w:bCs/>
          <w:sz w:val="20"/>
          <w:szCs w:val="20"/>
        </w:rPr>
      </w:pPr>
      <w:r w:rsidRPr="004A7238">
        <w:rPr>
          <w:rFonts w:ascii="Times New Roman" w:hAnsi="Times New Roman"/>
          <w:bCs/>
          <w:sz w:val="20"/>
          <w:szCs w:val="20"/>
        </w:rPr>
        <w:t xml:space="preserve">Consents of the </w:t>
      </w:r>
      <w:r w:rsidRPr="004A7238">
        <w:rPr>
          <w:rFonts w:ascii="Times New Roman" w:hAnsi="Times New Roman"/>
          <w:sz w:val="20"/>
          <w:szCs w:val="20"/>
        </w:rPr>
        <w:t xml:space="preserve">Book Running </w:t>
      </w:r>
      <w:r w:rsidRPr="004A7238">
        <w:rPr>
          <w:rFonts w:ascii="Times New Roman" w:hAnsi="Times New Roman"/>
          <w:bCs/>
          <w:sz w:val="20"/>
          <w:szCs w:val="20"/>
        </w:rPr>
        <w:t>Lead Manager, Legal Advisor to the Issue, Registrar to the Issue, Statutory Auditor of the Company, Advisors to the Issue, Market Maker, Underwriter, Bankers to our Company,</w:t>
      </w:r>
      <w:r w:rsidRPr="004A7238">
        <w:rPr>
          <w:rFonts w:ascii="Times New Roman" w:hAnsi="Times New Roman"/>
        </w:rPr>
        <w:t xml:space="preserve"> </w:t>
      </w:r>
      <w:r w:rsidRPr="004A7238">
        <w:rPr>
          <w:rFonts w:ascii="Times New Roman" w:hAnsi="Times New Roman"/>
          <w:bCs/>
          <w:sz w:val="20"/>
          <w:szCs w:val="20"/>
        </w:rPr>
        <w:t>Banker to the Issue/ Sponsor Bank, Syndicate Member, Promoter of our Company, Directors of our Company, Company Secretary and Compliance Officer and Chief Financial Officer, as referred to, in their respective capacities.</w:t>
      </w:r>
    </w:p>
    <w:p w14:paraId="73E25E5D" w14:textId="671D5394" w:rsidR="004047F2" w:rsidRPr="004A7238" w:rsidRDefault="004047F2">
      <w:pPr>
        <w:widowControl w:val="0"/>
        <w:numPr>
          <w:ilvl w:val="0"/>
          <w:numId w:val="274"/>
        </w:numPr>
        <w:tabs>
          <w:tab w:val="clear" w:pos="1080"/>
          <w:tab w:val="left" w:pos="540"/>
        </w:tabs>
        <w:spacing w:after="0" w:line="240" w:lineRule="auto"/>
        <w:ind w:left="540" w:hanging="450"/>
        <w:jc w:val="both"/>
        <w:rPr>
          <w:rFonts w:ascii="Times New Roman" w:hAnsi="Times New Roman"/>
          <w:bCs/>
          <w:sz w:val="20"/>
          <w:szCs w:val="20"/>
        </w:rPr>
      </w:pPr>
      <w:r w:rsidRPr="004A7238">
        <w:rPr>
          <w:rFonts w:ascii="Times New Roman" w:hAnsi="Times New Roman"/>
          <w:bCs/>
          <w:sz w:val="20"/>
          <w:szCs w:val="20"/>
        </w:rPr>
        <w:t xml:space="preserve">Board Resolution dated </w:t>
      </w:r>
      <w:r w:rsidR="004A7238">
        <w:rPr>
          <w:rFonts w:ascii="Times New Roman" w:hAnsi="Times New Roman"/>
          <w:bCs/>
          <w:sz w:val="20"/>
          <w:szCs w:val="20"/>
          <w:highlight w:val="yellow"/>
        </w:rPr>
        <w:t>September 23</w:t>
      </w:r>
      <w:r w:rsidRPr="004A7238">
        <w:rPr>
          <w:rFonts w:ascii="Times New Roman" w:hAnsi="Times New Roman"/>
          <w:bCs/>
          <w:sz w:val="20"/>
          <w:szCs w:val="20"/>
          <w:highlight w:val="yellow"/>
        </w:rPr>
        <w:t>, 2023</w:t>
      </w:r>
      <w:r w:rsidRPr="004A7238">
        <w:rPr>
          <w:rFonts w:ascii="Times New Roman" w:hAnsi="Times New Roman"/>
          <w:bCs/>
          <w:sz w:val="20"/>
          <w:szCs w:val="20"/>
        </w:rPr>
        <w:t xml:space="preserve"> for approval of Draft </w:t>
      </w:r>
      <w:r w:rsidRPr="004A7238">
        <w:rPr>
          <w:rFonts w:ascii="Times New Roman" w:hAnsi="Times New Roman"/>
          <w:sz w:val="20"/>
          <w:szCs w:val="20"/>
        </w:rPr>
        <w:t xml:space="preserve">Red Herring </w:t>
      </w:r>
      <w:r w:rsidRPr="004A7238">
        <w:rPr>
          <w:rFonts w:ascii="Times New Roman" w:hAnsi="Times New Roman"/>
          <w:bCs/>
          <w:sz w:val="20"/>
          <w:szCs w:val="20"/>
        </w:rPr>
        <w:t>Prospectus, dated [●]</w:t>
      </w:r>
      <w:r w:rsidR="004A7238">
        <w:rPr>
          <w:rFonts w:ascii="Times New Roman" w:hAnsi="Times New Roman"/>
          <w:bCs/>
          <w:sz w:val="20"/>
          <w:szCs w:val="20"/>
        </w:rPr>
        <w:t xml:space="preserve"> </w:t>
      </w:r>
      <w:r w:rsidRPr="004A7238">
        <w:rPr>
          <w:rFonts w:ascii="Times New Roman" w:hAnsi="Times New Roman"/>
          <w:bCs/>
          <w:sz w:val="20"/>
          <w:szCs w:val="20"/>
        </w:rPr>
        <w:t xml:space="preserve">for approval of Red Herring </w:t>
      </w:r>
      <w:r w:rsidR="004A7238" w:rsidRPr="004A7238">
        <w:rPr>
          <w:rFonts w:ascii="Times New Roman" w:hAnsi="Times New Roman"/>
          <w:bCs/>
          <w:sz w:val="20"/>
          <w:szCs w:val="20"/>
        </w:rPr>
        <w:t>Prospectus</w:t>
      </w:r>
      <w:r w:rsidRPr="004A7238">
        <w:rPr>
          <w:rFonts w:ascii="Times New Roman" w:hAnsi="Times New Roman"/>
          <w:bCs/>
          <w:sz w:val="20"/>
          <w:szCs w:val="20"/>
        </w:rPr>
        <w:t xml:space="preserve"> and dated [●] for approval of Prospectus.</w:t>
      </w:r>
    </w:p>
    <w:p w14:paraId="4E4B1550" w14:textId="7C42C20B" w:rsidR="004047F2" w:rsidRPr="004A7238" w:rsidRDefault="004047F2">
      <w:pPr>
        <w:widowControl w:val="0"/>
        <w:numPr>
          <w:ilvl w:val="0"/>
          <w:numId w:val="274"/>
        </w:numPr>
        <w:tabs>
          <w:tab w:val="clear" w:pos="1080"/>
          <w:tab w:val="left" w:pos="540"/>
        </w:tabs>
        <w:spacing w:after="0" w:line="240" w:lineRule="auto"/>
        <w:ind w:left="540" w:hanging="450"/>
        <w:jc w:val="both"/>
        <w:rPr>
          <w:rFonts w:ascii="Times New Roman" w:hAnsi="Times New Roman"/>
          <w:bCs/>
          <w:sz w:val="20"/>
          <w:szCs w:val="20"/>
        </w:rPr>
      </w:pPr>
      <w:r w:rsidRPr="004A7238">
        <w:rPr>
          <w:rFonts w:ascii="Times New Roman" w:hAnsi="Times New Roman"/>
          <w:bCs/>
          <w:sz w:val="20"/>
          <w:szCs w:val="20"/>
        </w:rPr>
        <w:t xml:space="preserve">Due Diligence Certificate from </w:t>
      </w:r>
      <w:r w:rsidRPr="004A7238">
        <w:rPr>
          <w:rFonts w:ascii="Times New Roman" w:hAnsi="Times New Roman"/>
          <w:sz w:val="20"/>
          <w:szCs w:val="20"/>
        </w:rPr>
        <w:t xml:space="preserve">Book Running </w:t>
      </w:r>
      <w:r w:rsidRPr="004A7238">
        <w:rPr>
          <w:rFonts w:ascii="Times New Roman" w:hAnsi="Times New Roman"/>
          <w:bCs/>
          <w:sz w:val="20"/>
          <w:szCs w:val="20"/>
        </w:rPr>
        <w:t xml:space="preserve">Lead Manager dated </w:t>
      </w:r>
      <w:r w:rsidR="004A7238">
        <w:rPr>
          <w:rFonts w:ascii="Times New Roman" w:hAnsi="Times New Roman"/>
          <w:bCs/>
          <w:sz w:val="20"/>
          <w:szCs w:val="20"/>
          <w:highlight w:val="yellow"/>
        </w:rPr>
        <w:t>September 23</w:t>
      </w:r>
      <w:r w:rsidRPr="004A7238">
        <w:rPr>
          <w:rFonts w:ascii="Times New Roman" w:hAnsi="Times New Roman"/>
          <w:bCs/>
          <w:sz w:val="20"/>
          <w:szCs w:val="20"/>
          <w:highlight w:val="yellow"/>
        </w:rPr>
        <w:t>, 2023</w:t>
      </w:r>
      <w:r w:rsidRPr="004A7238">
        <w:rPr>
          <w:rFonts w:ascii="Times New Roman" w:hAnsi="Times New Roman"/>
          <w:bCs/>
          <w:sz w:val="20"/>
          <w:szCs w:val="20"/>
        </w:rPr>
        <w:t xml:space="preserve">. </w:t>
      </w:r>
    </w:p>
    <w:p w14:paraId="317D7DE6" w14:textId="77777777" w:rsidR="004047F2" w:rsidRPr="004A7238" w:rsidRDefault="004047F2">
      <w:pPr>
        <w:widowControl w:val="0"/>
        <w:numPr>
          <w:ilvl w:val="0"/>
          <w:numId w:val="274"/>
        </w:numPr>
        <w:tabs>
          <w:tab w:val="clear" w:pos="1080"/>
          <w:tab w:val="left" w:pos="540"/>
        </w:tabs>
        <w:spacing w:after="0" w:line="240" w:lineRule="auto"/>
        <w:ind w:left="540" w:hanging="450"/>
        <w:jc w:val="both"/>
        <w:rPr>
          <w:rFonts w:ascii="Times New Roman" w:hAnsi="Times New Roman"/>
          <w:bCs/>
          <w:sz w:val="20"/>
          <w:szCs w:val="20"/>
        </w:rPr>
      </w:pPr>
      <w:r w:rsidRPr="004A7238">
        <w:rPr>
          <w:rFonts w:ascii="Times New Roman" w:hAnsi="Times New Roman"/>
          <w:bCs/>
          <w:sz w:val="20"/>
          <w:szCs w:val="20"/>
        </w:rPr>
        <w:t>Approval from BSE vide letter dated [●] to use the name of BSE in the Red Herring Prospectus/ Prospectus for listing of Equity Shares on the BSE SME (SME Platform) of the BSE Ltd.</w:t>
      </w:r>
    </w:p>
    <w:p w14:paraId="3653A03F" w14:textId="77777777" w:rsidR="004047F2" w:rsidRPr="004A7238" w:rsidRDefault="004047F2" w:rsidP="004047F2">
      <w:pPr>
        <w:spacing w:after="0" w:line="240" w:lineRule="auto"/>
        <w:rPr>
          <w:rFonts w:ascii="Times New Roman" w:eastAsia="Calibri" w:hAnsi="Times New Roman"/>
          <w:sz w:val="20"/>
          <w:szCs w:val="20"/>
          <w:lang w:val="en-GB"/>
        </w:rPr>
      </w:pPr>
      <w:r w:rsidRPr="004A7238">
        <w:rPr>
          <w:rFonts w:ascii="Times New Roman" w:eastAsia="Calibri" w:hAnsi="Times New Roman"/>
          <w:sz w:val="20"/>
          <w:szCs w:val="20"/>
          <w:lang w:val="en-GB"/>
        </w:rPr>
        <w:br w:type="page"/>
      </w:r>
    </w:p>
    <w:p w14:paraId="41375380" w14:textId="77777777" w:rsidR="004047F2" w:rsidRPr="004A7238" w:rsidRDefault="004047F2" w:rsidP="004047F2">
      <w:pPr>
        <w:pStyle w:val="Default"/>
        <w:jc w:val="center"/>
        <w:rPr>
          <w:b/>
          <w:sz w:val="20"/>
          <w:szCs w:val="20"/>
          <w:u w:val="single"/>
        </w:rPr>
      </w:pPr>
      <w:r w:rsidRPr="004A7238">
        <w:rPr>
          <w:b/>
          <w:sz w:val="20"/>
          <w:szCs w:val="20"/>
          <w:u w:val="single"/>
        </w:rPr>
        <w:lastRenderedPageBreak/>
        <w:t>DECLARATION</w:t>
      </w:r>
    </w:p>
    <w:p w14:paraId="028B1B56" w14:textId="77777777" w:rsidR="004047F2" w:rsidRPr="004A7238" w:rsidRDefault="004047F2" w:rsidP="004047F2">
      <w:pPr>
        <w:pStyle w:val="Default"/>
        <w:rPr>
          <w:sz w:val="20"/>
          <w:szCs w:val="20"/>
        </w:rPr>
      </w:pPr>
    </w:p>
    <w:p w14:paraId="2DA470CF" w14:textId="049B01C5" w:rsidR="004047F2" w:rsidRPr="004A7238" w:rsidRDefault="004047F2" w:rsidP="004047F2">
      <w:pPr>
        <w:pStyle w:val="Default"/>
        <w:jc w:val="both"/>
        <w:rPr>
          <w:sz w:val="20"/>
          <w:szCs w:val="20"/>
        </w:rPr>
      </w:pPr>
      <w:r w:rsidRPr="004A7238">
        <w:rPr>
          <w:sz w:val="20"/>
          <w:szCs w:val="20"/>
        </w:rPr>
        <w:t>I certify and declare that all relevant provisions of the Companies Act, 2013 and the rules, regulations and guidelines issued by the Government of India, or the regulations or guidelines issued by SEBI, established under section 3 of the Securities and Exchange Board of India Act, 1992, as the case may be, have been complied with and no statement made in this Draft Red Herring Prospectus is contrary to the provisions of the Companies Act, the Securities Contracts (Regulation) Act, 1956, as amended, the Securities and Exchange Board of India Act, 1992, as amended or the rules, regulations or guidelines issued thereunder, as the case may be. I further certify that all the statements in this Draft Red Herring Prospectus are true and correct.</w:t>
      </w:r>
    </w:p>
    <w:p w14:paraId="18888261" w14:textId="77777777" w:rsidR="004047F2" w:rsidRPr="004A7238" w:rsidRDefault="004047F2" w:rsidP="004047F2">
      <w:pPr>
        <w:pStyle w:val="Default"/>
        <w:jc w:val="both"/>
        <w:rPr>
          <w:sz w:val="20"/>
          <w:szCs w:val="20"/>
        </w:rPr>
      </w:pPr>
    </w:p>
    <w:p w14:paraId="47FE912A" w14:textId="77777777" w:rsidR="004047F2" w:rsidRPr="004A7238" w:rsidRDefault="004047F2" w:rsidP="004047F2">
      <w:pPr>
        <w:pStyle w:val="Default"/>
        <w:jc w:val="both"/>
        <w:rPr>
          <w:rFonts w:eastAsia="MS Mincho"/>
          <w:b/>
          <w:bCs/>
          <w:sz w:val="20"/>
          <w:szCs w:val="20"/>
          <w:lang w:val="en-GB"/>
        </w:rPr>
      </w:pPr>
      <w:r w:rsidRPr="004A7238">
        <w:rPr>
          <w:rFonts w:eastAsia="MS Mincho"/>
          <w:b/>
          <w:bCs/>
          <w:sz w:val="20"/>
          <w:szCs w:val="20"/>
          <w:lang w:val="en-GB"/>
        </w:rPr>
        <w:t>SIGNED BY THE BOARD OF DIRECTORS OF OUR COMPANY:</w:t>
      </w:r>
    </w:p>
    <w:p w14:paraId="0C13CE81" w14:textId="77777777" w:rsidR="004047F2" w:rsidRPr="004A7238" w:rsidRDefault="004047F2" w:rsidP="004047F2">
      <w:pPr>
        <w:pStyle w:val="Default"/>
        <w:rPr>
          <w:rFonts w:eastAsia="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7"/>
        <w:gridCol w:w="4889"/>
      </w:tblGrid>
      <w:tr w:rsidR="004047F2" w:rsidRPr="004A7238" w14:paraId="46FFD46E" w14:textId="77777777" w:rsidTr="00250DAC">
        <w:tc>
          <w:tcPr>
            <w:tcW w:w="2662"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E5E0F5" w14:textId="77777777" w:rsidR="004047F2" w:rsidRPr="004A7238" w:rsidRDefault="004047F2" w:rsidP="00250DAC">
            <w:pPr>
              <w:pStyle w:val="Default"/>
              <w:rPr>
                <w:rFonts w:eastAsia="Times New Roman"/>
                <w:b/>
                <w:sz w:val="20"/>
                <w:szCs w:val="20"/>
              </w:rPr>
            </w:pPr>
            <w:r w:rsidRPr="004A7238">
              <w:rPr>
                <w:b/>
                <w:sz w:val="20"/>
                <w:szCs w:val="20"/>
              </w:rPr>
              <w:t>Name and Designation</w:t>
            </w:r>
          </w:p>
        </w:tc>
        <w:tc>
          <w:tcPr>
            <w:tcW w:w="2338"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F41CC1" w14:textId="77777777" w:rsidR="004047F2" w:rsidRPr="004A7238" w:rsidRDefault="004047F2" w:rsidP="00250DAC">
            <w:pPr>
              <w:pStyle w:val="Default"/>
              <w:jc w:val="center"/>
              <w:rPr>
                <w:rFonts w:eastAsia="Times New Roman"/>
                <w:b/>
                <w:sz w:val="20"/>
                <w:szCs w:val="20"/>
              </w:rPr>
            </w:pPr>
            <w:r w:rsidRPr="004A7238">
              <w:rPr>
                <w:b/>
                <w:sz w:val="20"/>
                <w:szCs w:val="20"/>
              </w:rPr>
              <w:t>Signature</w:t>
            </w:r>
          </w:p>
        </w:tc>
      </w:tr>
      <w:tr w:rsidR="004047F2" w:rsidRPr="004A7238" w14:paraId="08732AD6" w14:textId="77777777" w:rsidTr="00250DAC">
        <w:tc>
          <w:tcPr>
            <w:tcW w:w="2662" w:type="pct"/>
            <w:tcBorders>
              <w:top w:val="single" w:sz="4" w:space="0" w:color="auto"/>
              <w:left w:val="single" w:sz="4" w:space="0" w:color="auto"/>
              <w:bottom w:val="single" w:sz="4" w:space="0" w:color="auto"/>
              <w:right w:val="single" w:sz="4" w:space="0" w:color="auto"/>
            </w:tcBorders>
            <w:shd w:val="clear" w:color="auto" w:fill="FFFFFF"/>
            <w:hideMark/>
          </w:tcPr>
          <w:p w14:paraId="2A59970D" w14:textId="155722A8" w:rsidR="00726FC6" w:rsidRDefault="00726FC6" w:rsidP="00250DAC">
            <w:pPr>
              <w:pStyle w:val="Default"/>
              <w:rPr>
                <w:sz w:val="20"/>
                <w:szCs w:val="20"/>
              </w:rPr>
            </w:pPr>
            <w:bookmarkStart w:id="128" w:name="_Hlk134548990"/>
            <w:r w:rsidRPr="00726FC6">
              <w:rPr>
                <w:sz w:val="20"/>
                <w:szCs w:val="20"/>
              </w:rPr>
              <w:t>Ramgopal Ochhavlal Maheshwari</w:t>
            </w:r>
          </w:p>
          <w:p w14:paraId="1B17B089" w14:textId="4FE248F1" w:rsidR="004047F2" w:rsidRPr="004A7238" w:rsidRDefault="00726FC6" w:rsidP="00250DAC">
            <w:pPr>
              <w:pStyle w:val="Default"/>
              <w:rPr>
                <w:sz w:val="20"/>
                <w:szCs w:val="20"/>
              </w:rPr>
            </w:pPr>
            <w:r>
              <w:rPr>
                <w:sz w:val="20"/>
                <w:szCs w:val="20"/>
              </w:rPr>
              <w:t>Chairman &amp; Wholetime</w:t>
            </w:r>
            <w:r w:rsidR="004047F2" w:rsidRPr="004A7238">
              <w:rPr>
                <w:sz w:val="20"/>
                <w:szCs w:val="20"/>
              </w:rPr>
              <w:t xml:space="preserve"> director </w:t>
            </w:r>
          </w:p>
          <w:p w14:paraId="76DC2579" w14:textId="15B3916C" w:rsidR="004047F2" w:rsidRPr="004A7238" w:rsidRDefault="004047F2" w:rsidP="00250DAC">
            <w:pPr>
              <w:pStyle w:val="Default"/>
              <w:rPr>
                <w:rFonts w:eastAsia="Times New Roman"/>
                <w:sz w:val="20"/>
                <w:szCs w:val="20"/>
              </w:rPr>
            </w:pPr>
            <w:r w:rsidRPr="004A7238">
              <w:rPr>
                <w:sz w:val="20"/>
                <w:szCs w:val="20"/>
              </w:rPr>
              <w:t xml:space="preserve">DIN: </w:t>
            </w:r>
            <w:r w:rsidR="00726FC6" w:rsidRPr="00726FC6">
              <w:rPr>
                <w:rFonts w:eastAsia="MS Mincho"/>
                <w:bCs/>
                <w:iCs/>
                <w:sz w:val="20"/>
                <w:szCs w:val="20"/>
                <w:lang w:val="pt-BR"/>
              </w:rPr>
              <w:t>00553232</w:t>
            </w:r>
            <w:bookmarkEnd w:id="128"/>
          </w:p>
        </w:tc>
        <w:tc>
          <w:tcPr>
            <w:tcW w:w="2338" w:type="pct"/>
            <w:tcBorders>
              <w:top w:val="single" w:sz="4" w:space="0" w:color="auto"/>
              <w:left w:val="single" w:sz="4" w:space="0" w:color="auto"/>
              <w:bottom w:val="single" w:sz="4" w:space="0" w:color="auto"/>
              <w:right w:val="single" w:sz="4" w:space="0" w:color="auto"/>
            </w:tcBorders>
            <w:shd w:val="clear" w:color="auto" w:fill="FFFFFF"/>
            <w:vAlign w:val="center"/>
          </w:tcPr>
          <w:p w14:paraId="76968B83" w14:textId="77777777" w:rsidR="004047F2" w:rsidRPr="004A7238" w:rsidRDefault="004047F2" w:rsidP="00250DAC">
            <w:pPr>
              <w:pStyle w:val="Default"/>
              <w:jc w:val="center"/>
              <w:rPr>
                <w:rFonts w:eastAsia="Times New Roman"/>
                <w:sz w:val="20"/>
                <w:szCs w:val="20"/>
              </w:rPr>
            </w:pPr>
            <w:r w:rsidRPr="004A7238">
              <w:rPr>
                <w:rFonts w:eastAsia="Times New Roman"/>
                <w:sz w:val="20"/>
                <w:szCs w:val="20"/>
              </w:rPr>
              <w:t xml:space="preserve">Sd/- </w:t>
            </w:r>
          </w:p>
        </w:tc>
      </w:tr>
    </w:tbl>
    <w:p w14:paraId="453F0C2A" w14:textId="77777777" w:rsidR="004047F2" w:rsidRPr="004A7238" w:rsidRDefault="004047F2" w:rsidP="004047F2">
      <w:pPr>
        <w:pStyle w:val="Default"/>
        <w:rPr>
          <w:sz w:val="20"/>
          <w:szCs w:val="20"/>
        </w:rPr>
      </w:pPr>
    </w:p>
    <w:p w14:paraId="1EC2787C" w14:textId="77777777" w:rsidR="004047F2" w:rsidRPr="004A7238" w:rsidRDefault="004047F2" w:rsidP="004047F2">
      <w:pPr>
        <w:pStyle w:val="Default"/>
        <w:rPr>
          <w:sz w:val="20"/>
          <w:szCs w:val="20"/>
        </w:rPr>
      </w:pPr>
    </w:p>
    <w:p w14:paraId="2594DCA1" w14:textId="7719972F" w:rsidR="004047F2" w:rsidRPr="004A7238" w:rsidRDefault="004047F2" w:rsidP="004047F2">
      <w:pPr>
        <w:pStyle w:val="Default"/>
        <w:rPr>
          <w:sz w:val="20"/>
          <w:szCs w:val="20"/>
        </w:rPr>
      </w:pPr>
      <w:bookmarkStart w:id="129" w:name="_Hlk134549004"/>
      <w:r w:rsidRPr="004A7238">
        <w:rPr>
          <w:sz w:val="20"/>
          <w:szCs w:val="20"/>
        </w:rPr>
        <w:t xml:space="preserve">Date: </w:t>
      </w:r>
      <w:r w:rsidR="004A7238" w:rsidRPr="004A7238">
        <w:rPr>
          <w:bCs/>
          <w:sz w:val="20"/>
          <w:szCs w:val="20"/>
        </w:rPr>
        <w:t>September 23</w:t>
      </w:r>
      <w:r w:rsidRPr="004A7238">
        <w:rPr>
          <w:bCs/>
          <w:sz w:val="20"/>
          <w:szCs w:val="20"/>
        </w:rPr>
        <w:t>, 2023</w:t>
      </w:r>
    </w:p>
    <w:p w14:paraId="5AE0CD13" w14:textId="6926C381" w:rsidR="004047F2" w:rsidRPr="004A7238" w:rsidRDefault="004047F2" w:rsidP="004047F2">
      <w:pPr>
        <w:pStyle w:val="Default"/>
        <w:rPr>
          <w:sz w:val="20"/>
          <w:szCs w:val="20"/>
        </w:rPr>
      </w:pPr>
      <w:r w:rsidRPr="004A7238">
        <w:rPr>
          <w:sz w:val="20"/>
          <w:szCs w:val="20"/>
        </w:rPr>
        <w:t xml:space="preserve">Place: </w:t>
      </w:r>
      <w:r w:rsidR="00726FC6">
        <w:rPr>
          <w:rFonts w:eastAsia="MS Mincho"/>
          <w:sz w:val="20"/>
          <w:szCs w:val="20"/>
        </w:rPr>
        <w:t>Jamnagar, GJ</w:t>
      </w:r>
    </w:p>
    <w:bookmarkEnd w:id="129"/>
    <w:p w14:paraId="7D2841C4" w14:textId="77777777" w:rsidR="004047F2" w:rsidRPr="004A7238" w:rsidRDefault="004047F2" w:rsidP="004047F2">
      <w:pPr>
        <w:spacing w:after="0" w:line="240" w:lineRule="auto"/>
        <w:rPr>
          <w:rFonts w:ascii="Times New Roman" w:hAnsi="Times New Roman"/>
          <w:sz w:val="20"/>
          <w:szCs w:val="20"/>
        </w:rPr>
      </w:pPr>
    </w:p>
    <w:p w14:paraId="0C7003AD" w14:textId="77777777" w:rsidR="004047F2" w:rsidRPr="004A7238" w:rsidRDefault="004047F2" w:rsidP="004047F2">
      <w:pPr>
        <w:spacing w:after="0" w:line="240" w:lineRule="auto"/>
        <w:rPr>
          <w:rFonts w:ascii="Times New Roman" w:hAnsi="Times New Roman"/>
          <w:sz w:val="20"/>
          <w:szCs w:val="20"/>
        </w:rPr>
      </w:pPr>
    </w:p>
    <w:p w14:paraId="4049C6E9" w14:textId="77777777" w:rsidR="004047F2" w:rsidRPr="004A7238" w:rsidRDefault="004047F2" w:rsidP="004047F2">
      <w:pPr>
        <w:pStyle w:val="Default"/>
        <w:jc w:val="center"/>
        <w:rPr>
          <w:b/>
          <w:sz w:val="20"/>
          <w:szCs w:val="20"/>
          <w:u w:val="single"/>
        </w:rPr>
      </w:pPr>
      <w:r w:rsidRPr="004A7238">
        <w:rPr>
          <w:b/>
          <w:sz w:val="20"/>
          <w:szCs w:val="20"/>
          <w:lang w:val="en-GB"/>
        </w:rPr>
        <w:br w:type="page"/>
      </w:r>
      <w:r w:rsidRPr="004A7238">
        <w:rPr>
          <w:b/>
          <w:sz w:val="20"/>
          <w:szCs w:val="20"/>
          <w:u w:val="single"/>
        </w:rPr>
        <w:lastRenderedPageBreak/>
        <w:t>DECLARATION</w:t>
      </w:r>
    </w:p>
    <w:p w14:paraId="6960A1EC" w14:textId="77777777" w:rsidR="004047F2" w:rsidRPr="004A7238" w:rsidRDefault="004047F2" w:rsidP="004047F2">
      <w:pPr>
        <w:pStyle w:val="Default"/>
        <w:rPr>
          <w:sz w:val="20"/>
          <w:szCs w:val="20"/>
        </w:rPr>
      </w:pPr>
    </w:p>
    <w:p w14:paraId="3B30CD4D" w14:textId="7A358ECF" w:rsidR="004047F2" w:rsidRPr="004A7238" w:rsidRDefault="004A7238" w:rsidP="004047F2">
      <w:pPr>
        <w:pStyle w:val="Default"/>
        <w:jc w:val="both"/>
        <w:rPr>
          <w:sz w:val="20"/>
          <w:szCs w:val="20"/>
        </w:rPr>
      </w:pPr>
      <w:r w:rsidRPr="004A7238">
        <w:rPr>
          <w:sz w:val="20"/>
          <w:szCs w:val="20"/>
        </w:rPr>
        <w:t>I certify and declare that all relevant provisions of the Companies Act, 2013 and the rules, regulations and guidelines issued by the Government of India, or the regulations or guidelines issued by SEBI, established under section 3 of the Securities and Exchange Board of India Act, 1992, as the case may be, have been complied with and no statement made in this Draft Red Herring Prospectus is contrary to the provisions of the Companies Act, the Securities Contracts (Regulation) Act, 1956, as amended, the Securities and Exchange Board of India Act, 1992, as amended or the rules, regulations or guidelines issued thereunder, as the case may be. I further certify that all the statements in this Draft Red Herring Prospectus are true and correct</w:t>
      </w:r>
      <w:r w:rsidR="004047F2" w:rsidRPr="004A7238">
        <w:rPr>
          <w:sz w:val="20"/>
          <w:szCs w:val="20"/>
        </w:rPr>
        <w:t>.</w:t>
      </w:r>
    </w:p>
    <w:p w14:paraId="5A40D265" w14:textId="77777777" w:rsidR="004047F2" w:rsidRPr="004A7238" w:rsidRDefault="004047F2" w:rsidP="004047F2">
      <w:pPr>
        <w:pStyle w:val="Default"/>
        <w:jc w:val="both"/>
        <w:rPr>
          <w:sz w:val="20"/>
          <w:szCs w:val="20"/>
        </w:rPr>
      </w:pPr>
    </w:p>
    <w:p w14:paraId="03D45B37" w14:textId="77777777" w:rsidR="004047F2" w:rsidRPr="004A7238" w:rsidRDefault="004047F2" w:rsidP="004047F2">
      <w:pPr>
        <w:pStyle w:val="Default"/>
        <w:jc w:val="both"/>
        <w:rPr>
          <w:rFonts w:eastAsia="MS Mincho"/>
          <w:b/>
          <w:bCs/>
          <w:sz w:val="20"/>
          <w:szCs w:val="20"/>
          <w:lang w:val="en-GB"/>
        </w:rPr>
      </w:pPr>
      <w:r w:rsidRPr="004A7238">
        <w:rPr>
          <w:rFonts w:eastAsia="MS Mincho"/>
          <w:b/>
          <w:bCs/>
          <w:sz w:val="20"/>
          <w:szCs w:val="20"/>
          <w:lang w:val="en-GB"/>
        </w:rPr>
        <w:t>SIGNED BY THE BOARD OF DIRECTORS OF OUR COMPANY:</w:t>
      </w:r>
    </w:p>
    <w:p w14:paraId="04BBFD63" w14:textId="77777777" w:rsidR="004047F2" w:rsidRPr="004A7238" w:rsidRDefault="004047F2" w:rsidP="004047F2">
      <w:pPr>
        <w:pStyle w:val="Default"/>
        <w:rPr>
          <w:rFonts w:eastAsia="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7"/>
        <w:gridCol w:w="4889"/>
      </w:tblGrid>
      <w:tr w:rsidR="004047F2" w:rsidRPr="004A7238" w14:paraId="236ACD93" w14:textId="77777777" w:rsidTr="00250DAC">
        <w:tc>
          <w:tcPr>
            <w:tcW w:w="2662"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F47F7B" w14:textId="77777777" w:rsidR="004047F2" w:rsidRPr="004A7238" w:rsidRDefault="004047F2" w:rsidP="00250DAC">
            <w:pPr>
              <w:pStyle w:val="Default"/>
              <w:rPr>
                <w:rFonts w:eastAsia="Times New Roman"/>
                <w:b/>
                <w:sz w:val="20"/>
                <w:szCs w:val="20"/>
              </w:rPr>
            </w:pPr>
            <w:r w:rsidRPr="004A7238">
              <w:rPr>
                <w:b/>
                <w:sz w:val="20"/>
                <w:szCs w:val="20"/>
              </w:rPr>
              <w:t>Name and Designation</w:t>
            </w:r>
          </w:p>
        </w:tc>
        <w:tc>
          <w:tcPr>
            <w:tcW w:w="2338"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0CB5438" w14:textId="77777777" w:rsidR="004047F2" w:rsidRPr="004A7238" w:rsidRDefault="004047F2" w:rsidP="00250DAC">
            <w:pPr>
              <w:pStyle w:val="Default"/>
              <w:jc w:val="center"/>
              <w:rPr>
                <w:rFonts w:eastAsia="Times New Roman"/>
                <w:b/>
                <w:sz w:val="20"/>
                <w:szCs w:val="20"/>
              </w:rPr>
            </w:pPr>
            <w:r w:rsidRPr="004A7238">
              <w:rPr>
                <w:b/>
                <w:sz w:val="20"/>
                <w:szCs w:val="20"/>
              </w:rPr>
              <w:t>Signature</w:t>
            </w:r>
          </w:p>
        </w:tc>
      </w:tr>
      <w:tr w:rsidR="004047F2" w:rsidRPr="004A7238" w14:paraId="7575F84B" w14:textId="77777777" w:rsidTr="00250DAC">
        <w:tc>
          <w:tcPr>
            <w:tcW w:w="2662" w:type="pct"/>
            <w:tcBorders>
              <w:top w:val="single" w:sz="4" w:space="0" w:color="auto"/>
              <w:left w:val="single" w:sz="4" w:space="0" w:color="auto"/>
              <w:bottom w:val="single" w:sz="4" w:space="0" w:color="auto"/>
              <w:right w:val="single" w:sz="4" w:space="0" w:color="auto"/>
            </w:tcBorders>
            <w:shd w:val="clear" w:color="auto" w:fill="FFFFFF"/>
            <w:hideMark/>
          </w:tcPr>
          <w:p w14:paraId="36D8CBA4" w14:textId="77777777" w:rsidR="00726FC6" w:rsidRDefault="00726FC6" w:rsidP="00726FC6">
            <w:pPr>
              <w:pStyle w:val="Default"/>
              <w:rPr>
                <w:sz w:val="20"/>
                <w:szCs w:val="20"/>
              </w:rPr>
            </w:pPr>
            <w:r w:rsidRPr="00726FC6">
              <w:rPr>
                <w:sz w:val="20"/>
                <w:szCs w:val="20"/>
              </w:rPr>
              <w:t>Bhavesh Ramgopal Maheshwari</w:t>
            </w:r>
          </w:p>
          <w:p w14:paraId="360913B1" w14:textId="77777777" w:rsidR="00726FC6" w:rsidRPr="004A7238" w:rsidRDefault="00726FC6" w:rsidP="00726FC6">
            <w:pPr>
              <w:pStyle w:val="Default"/>
              <w:rPr>
                <w:sz w:val="20"/>
                <w:szCs w:val="20"/>
              </w:rPr>
            </w:pPr>
            <w:r w:rsidRPr="004A7238">
              <w:rPr>
                <w:sz w:val="20"/>
                <w:szCs w:val="20"/>
              </w:rPr>
              <w:t xml:space="preserve">Managing director </w:t>
            </w:r>
          </w:p>
          <w:p w14:paraId="25045D57" w14:textId="15454139" w:rsidR="004047F2" w:rsidRPr="00726FC6" w:rsidRDefault="00726FC6" w:rsidP="00726FC6">
            <w:pPr>
              <w:pStyle w:val="Default"/>
              <w:rPr>
                <w:rFonts w:eastAsia="Times New Roman"/>
                <w:sz w:val="20"/>
                <w:szCs w:val="20"/>
                <w:lang w:val="en-US"/>
              </w:rPr>
            </w:pPr>
            <w:r w:rsidRPr="004A7238">
              <w:rPr>
                <w:sz w:val="20"/>
                <w:szCs w:val="20"/>
              </w:rPr>
              <w:t xml:space="preserve">DIN: </w:t>
            </w:r>
            <w:r w:rsidRPr="00726FC6">
              <w:rPr>
                <w:rFonts w:eastAsia="MS Mincho"/>
                <w:bCs/>
                <w:iCs/>
                <w:sz w:val="20"/>
                <w:szCs w:val="20"/>
                <w:lang w:val="en-US"/>
              </w:rPr>
              <w:t>06573087</w:t>
            </w:r>
          </w:p>
        </w:tc>
        <w:tc>
          <w:tcPr>
            <w:tcW w:w="2338" w:type="pct"/>
            <w:tcBorders>
              <w:top w:val="single" w:sz="4" w:space="0" w:color="auto"/>
              <w:left w:val="single" w:sz="4" w:space="0" w:color="auto"/>
              <w:bottom w:val="single" w:sz="4" w:space="0" w:color="auto"/>
              <w:right w:val="single" w:sz="4" w:space="0" w:color="auto"/>
            </w:tcBorders>
            <w:shd w:val="clear" w:color="auto" w:fill="FFFFFF"/>
            <w:vAlign w:val="center"/>
          </w:tcPr>
          <w:p w14:paraId="337DA028" w14:textId="77777777" w:rsidR="004047F2" w:rsidRPr="004A7238" w:rsidRDefault="004047F2" w:rsidP="00250DAC">
            <w:pPr>
              <w:pStyle w:val="Default"/>
              <w:jc w:val="center"/>
              <w:rPr>
                <w:rFonts w:eastAsia="Times New Roman"/>
                <w:sz w:val="20"/>
                <w:szCs w:val="20"/>
              </w:rPr>
            </w:pPr>
            <w:r w:rsidRPr="004A7238">
              <w:rPr>
                <w:rFonts w:eastAsia="Times New Roman"/>
                <w:sz w:val="20"/>
                <w:szCs w:val="20"/>
              </w:rPr>
              <w:t>Sd/-</w:t>
            </w:r>
          </w:p>
        </w:tc>
      </w:tr>
    </w:tbl>
    <w:p w14:paraId="49C34650" w14:textId="77777777" w:rsidR="004047F2" w:rsidRPr="004A7238" w:rsidRDefault="004047F2" w:rsidP="004047F2">
      <w:pPr>
        <w:pStyle w:val="Default"/>
        <w:rPr>
          <w:sz w:val="20"/>
          <w:szCs w:val="20"/>
        </w:rPr>
      </w:pPr>
    </w:p>
    <w:p w14:paraId="636D48A5" w14:textId="77777777" w:rsidR="004047F2" w:rsidRPr="004A7238" w:rsidRDefault="004047F2" w:rsidP="004047F2">
      <w:pPr>
        <w:pStyle w:val="Default"/>
        <w:rPr>
          <w:sz w:val="20"/>
          <w:szCs w:val="20"/>
        </w:rPr>
      </w:pPr>
    </w:p>
    <w:p w14:paraId="2362F027" w14:textId="77777777" w:rsidR="00726FC6" w:rsidRPr="004A7238" w:rsidRDefault="00726FC6" w:rsidP="00726FC6">
      <w:pPr>
        <w:pStyle w:val="Default"/>
        <w:rPr>
          <w:sz w:val="20"/>
          <w:szCs w:val="20"/>
        </w:rPr>
      </w:pPr>
      <w:r w:rsidRPr="004A7238">
        <w:rPr>
          <w:sz w:val="20"/>
          <w:szCs w:val="20"/>
        </w:rPr>
        <w:t xml:space="preserve">Date: </w:t>
      </w:r>
      <w:r w:rsidRPr="004A7238">
        <w:rPr>
          <w:bCs/>
          <w:sz w:val="20"/>
          <w:szCs w:val="20"/>
        </w:rPr>
        <w:t>September 23, 2023</w:t>
      </w:r>
    </w:p>
    <w:p w14:paraId="25A3C53D" w14:textId="77777777" w:rsidR="00726FC6" w:rsidRPr="004A7238" w:rsidRDefault="00726FC6" w:rsidP="00726FC6">
      <w:pPr>
        <w:pStyle w:val="Default"/>
        <w:rPr>
          <w:sz w:val="20"/>
          <w:szCs w:val="20"/>
        </w:rPr>
      </w:pPr>
      <w:r w:rsidRPr="004A7238">
        <w:rPr>
          <w:sz w:val="20"/>
          <w:szCs w:val="20"/>
        </w:rPr>
        <w:t xml:space="preserve">Place: </w:t>
      </w:r>
      <w:r>
        <w:rPr>
          <w:rFonts w:eastAsia="MS Mincho"/>
          <w:sz w:val="20"/>
          <w:szCs w:val="20"/>
        </w:rPr>
        <w:t>Jamnagar, GJ</w:t>
      </w:r>
    </w:p>
    <w:p w14:paraId="0797DFC8" w14:textId="6EBEA8E9" w:rsidR="004047F2" w:rsidRPr="004A7238" w:rsidRDefault="004047F2" w:rsidP="004047F2">
      <w:pPr>
        <w:pStyle w:val="Default"/>
        <w:rPr>
          <w:sz w:val="20"/>
          <w:szCs w:val="20"/>
        </w:rPr>
      </w:pPr>
    </w:p>
    <w:p w14:paraId="6870B653" w14:textId="77777777" w:rsidR="004047F2" w:rsidRPr="004A7238" w:rsidRDefault="004047F2" w:rsidP="004047F2">
      <w:pPr>
        <w:pStyle w:val="Default"/>
        <w:jc w:val="center"/>
        <w:rPr>
          <w:b/>
          <w:sz w:val="20"/>
          <w:szCs w:val="20"/>
          <w:u w:val="single"/>
        </w:rPr>
      </w:pPr>
      <w:r w:rsidRPr="004A7238">
        <w:rPr>
          <w:rFonts w:eastAsia="MS Mincho"/>
          <w:sz w:val="20"/>
          <w:szCs w:val="20"/>
        </w:rPr>
        <w:br w:type="page"/>
      </w:r>
    </w:p>
    <w:p w14:paraId="470F709C" w14:textId="77777777" w:rsidR="004047F2" w:rsidRPr="004A7238" w:rsidRDefault="004047F2" w:rsidP="004047F2">
      <w:pPr>
        <w:pStyle w:val="Default"/>
        <w:jc w:val="center"/>
        <w:rPr>
          <w:sz w:val="20"/>
          <w:szCs w:val="20"/>
        </w:rPr>
      </w:pPr>
      <w:r w:rsidRPr="004A7238">
        <w:rPr>
          <w:b/>
          <w:sz w:val="20"/>
          <w:szCs w:val="20"/>
          <w:u w:val="single"/>
        </w:rPr>
        <w:lastRenderedPageBreak/>
        <w:t>DECLARATION</w:t>
      </w:r>
    </w:p>
    <w:p w14:paraId="365FDE13" w14:textId="77777777" w:rsidR="004047F2" w:rsidRPr="004A7238" w:rsidRDefault="004047F2" w:rsidP="004047F2">
      <w:pPr>
        <w:pStyle w:val="Default"/>
        <w:rPr>
          <w:sz w:val="20"/>
          <w:szCs w:val="20"/>
        </w:rPr>
      </w:pPr>
    </w:p>
    <w:p w14:paraId="16D74ABC" w14:textId="6FE350F5" w:rsidR="004047F2" w:rsidRPr="004A7238" w:rsidRDefault="004A7238" w:rsidP="004047F2">
      <w:pPr>
        <w:pStyle w:val="Default"/>
        <w:jc w:val="both"/>
        <w:rPr>
          <w:sz w:val="20"/>
          <w:szCs w:val="20"/>
        </w:rPr>
      </w:pPr>
      <w:r w:rsidRPr="004A7238">
        <w:rPr>
          <w:sz w:val="20"/>
          <w:szCs w:val="20"/>
        </w:rPr>
        <w:t>I certify and declare that all relevant provisions of the Companies Act, 2013 and the rules, regulations and guidelines issued by the Government of India, or the regulations or guidelines issued by SEBI, established under section 3 of the Securities and Exchange Board of India Act, 1992, as the case may be, have been complied with and no statement made in this Draft Red Herring Prospectus is contrary to the provisions of the Companies Act, the Securities Contracts (Regulation) Act, 1956, as amended, the Securities and Exchange Board of India Act, 1992, as amended or the rules, regulations or guidelines issued thereunder, as the case may be. I further certify that all the statements in this Draft Red Herring Prospectus are true and correct</w:t>
      </w:r>
      <w:r w:rsidR="004047F2" w:rsidRPr="004A7238">
        <w:rPr>
          <w:sz w:val="20"/>
          <w:szCs w:val="20"/>
        </w:rPr>
        <w:t>.</w:t>
      </w:r>
    </w:p>
    <w:p w14:paraId="5C5ABAE1" w14:textId="77777777" w:rsidR="004047F2" w:rsidRPr="004A7238" w:rsidRDefault="004047F2" w:rsidP="004047F2">
      <w:pPr>
        <w:pStyle w:val="Default"/>
        <w:jc w:val="both"/>
        <w:rPr>
          <w:sz w:val="20"/>
          <w:szCs w:val="20"/>
        </w:rPr>
      </w:pPr>
    </w:p>
    <w:p w14:paraId="1FC02680" w14:textId="77777777" w:rsidR="004047F2" w:rsidRPr="004A7238" w:rsidRDefault="004047F2" w:rsidP="004047F2">
      <w:pPr>
        <w:pStyle w:val="Default"/>
        <w:jc w:val="both"/>
        <w:rPr>
          <w:rFonts w:eastAsia="MS Mincho"/>
          <w:b/>
          <w:bCs/>
          <w:sz w:val="20"/>
          <w:szCs w:val="20"/>
          <w:lang w:val="en-GB"/>
        </w:rPr>
      </w:pPr>
      <w:r w:rsidRPr="004A7238">
        <w:rPr>
          <w:rFonts w:eastAsia="MS Mincho"/>
          <w:b/>
          <w:bCs/>
          <w:sz w:val="20"/>
          <w:szCs w:val="20"/>
          <w:lang w:val="en-GB"/>
        </w:rPr>
        <w:t>SIGNED BY THE BOARD OF DIRECTORS OF OUR COMPANY:</w:t>
      </w:r>
    </w:p>
    <w:p w14:paraId="2991D165" w14:textId="77777777" w:rsidR="004047F2" w:rsidRPr="004A7238" w:rsidRDefault="004047F2" w:rsidP="004047F2">
      <w:pPr>
        <w:pStyle w:val="Default"/>
        <w:rPr>
          <w:rFonts w:eastAsia="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7"/>
        <w:gridCol w:w="4889"/>
      </w:tblGrid>
      <w:tr w:rsidR="004047F2" w:rsidRPr="004A7238" w14:paraId="7982B5EA" w14:textId="77777777" w:rsidTr="00250DAC">
        <w:tc>
          <w:tcPr>
            <w:tcW w:w="2662"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1AE1D0" w14:textId="77777777" w:rsidR="004047F2" w:rsidRPr="004A7238" w:rsidRDefault="004047F2" w:rsidP="00250DAC">
            <w:pPr>
              <w:pStyle w:val="Default"/>
              <w:rPr>
                <w:rFonts w:eastAsia="Times New Roman"/>
                <w:b/>
                <w:sz w:val="20"/>
                <w:szCs w:val="20"/>
              </w:rPr>
            </w:pPr>
            <w:r w:rsidRPr="004A7238">
              <w:rPr>
                <w:b/>
                <w:sz w:val="20"/>
                <w:szCs w:val="20"/>
              </w:rPr>
              <w:t>Name and Designation</w:t>
            </w:r>
          </w:p>
        </w:tc>
        <w:tc>
          <w:tcPr>
            <w:tcW w:w="2338"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55C566" w14:textId="77777777" w:rsidR="004047F2" w:rsidRPr="004A7238" w:rsidRDefault="004047F2" w:rsidP="00250DAC">
            <w:pPr>
              <w:pStyle w:val="Default"/>
              <w:jc w:val="center"/>
              <w:rPr>
                <w:rFonts w:eastAsia="Times New Roman"/>
                <w:b/>
                <w:sz w:val="20"/>
                <w:szCs w:val="20"/>
              </w:rPr>
            </w:pPr>
            <w:r w:rsidRPr="004A7238">
              <w:rPr>
                <w:b/>
                <w:sz w:val="20"/>
                <w:szCs w:val="20"/>
              </w:rPr>
              <w:t>Signature</w:t>
            </w:r>
          </w:p>
        </w:tc>
      </w:tr>
      <w:tr w:rsidR="004047F2" w:rsidRPr="004A7238" w14:paraId="68340AAF" w14:textId="77777777" w:rsidTr="00250DAC">
        <w:tc>
          <w:tcPr>
            <w:tcW w:w="2662" w:type="pct"/>
            <w:tcBorders>
              <w:top w:val="single" w:sz="4" w:space="0" w:color="auto"/>
              <w:left w:val="single" w:sz="4" w:space="0" w:color="auto"/>
              <w:bottom w:val="single" w:sz="4" w:space="0" w:color="auto"/>
              <w:right w:val="single" w:sz="4" w:space="0" w:color="auto"/>
            </w:tcBorders>
            <w:shd w:val="clear" w:color="auto" w:fill="FFFFFF"/>
            <w:hideMark/>
          </w:tcPr>
          <w:p w14:paraId="00DDA1F6" w14:textId="77777777" w:rsidR="00726FC6" w:rsidRDefault="00726FC6" w:rsidP="00250DAC">
            <w:pPr>
              <w:pStyle w:val="Default"/>
              <w:rPr>
                <w:rFonts w:eastAsia="MS Mincho"/>
                <w:sz w:val="20"/>
                <w:szCs w:val="20"/>
                <w:lang w:val="en-GB"/>
              </w:rPr>
            </w:pPr>
            <w:r w:rsidRPr="00726FC6">
              <w:rPr>
                <w:rFonts w:eastAsia="MS Mincho"/>
                <w:sz w:val="20"/>
                <w:szCs w:val="20"/>
                <w:lang w:val="en-GB"/>
              </w:rPr>
              <w:t>Madhu Ramgopal Maheshwari</w:t>
            </w:r>
          </w:p>
          <w:p w14:paraId="0E8C07CD" w14:textId="7C8E79A5" w:rsidR="004047F2" w:rsidRPr="004A7238" w:rsidRDefault="004047F2" w:rsidP="00250DAC">
            <w:pPr>
              <w:pStyle w:val="Default"/>
              <w:rPr>
                <w:sz w:val="20"/>
                <w:szCs w:val="20"/>
              </w:rPr>
            </w:pPr>
            <w:r w:rsidRPr="004A7238">
              <w:rPr>
                <w:sz w:val="20"/>
                <w:szCs w:val="20"/>
              </w:rPr>
              <w:t xml:space="preserve">Non-Executive Director </w:t>
            </w:r>
          </w:p>
          <w:p w14:paraId="2D13FC6B" w14:textId="651F7CDB" w:rsidR="004047F2" w:rsidRPr="004A7238" w:rsidRDefault="004047F2" w:rsidP="00250DAC">
            <w:pPr>
              <w:pStyle w:val="Default"/>
              <w:rPr>
                <w:rFonts w:eastAsia="Times New Roman"/>
                <w:sz w:val="20"/>
                <w:szCs w:val="20"/>
              </w:rPr>
            </w:pPr>
            <w:r w:rsidRPr="004A7238">
              <w:rPr>
                <w:sz w:val="20"/>
                <w:szCs w:val="20"/>
              </w:rPr>
              <w:t xml:space="preserve">DIN: </w:t>
            </w:r>
            <w:r w:rsidR="00726FC6" w:rsidRPr="00726FC6">
              <w:rPr>
                <w:rFonts w:eastAsia="MS Mincho"/>
                <w:bCs/>
                <w:iCs/>
                <w:sz w:val="20"/>
                <w:szCs w:val="20"/>
              </w:rPr>
              <w:t>00486584</w:t>
            </w:r>
          </w:p>
        </w:tc>
        <w:tc>
          <w:tcPr>
            <w:tcW w:w="2338" w:type="pct"/>
            <w:tcBorders>
              <w:top w:val="single" w:sz="4" w:space="0" w:color="auto"/>
              <w:left w:val="single" w:sz="4" w:space="0" w:color="auto"/>
              <w:bottom w:val="single" w:sz="4" w:space="0" w:color="auto"/>
              <w:right w:val="single" w:sz="4" w:space="0" w:color="auto"/>
            </w:tcBorders>
            <w:shd w:val="clear" w:color="auto" w:fill="FFFFFF"/>
            <w:vAlign w:val="center"/>
          </w:tcPr>
          <w:p w14:paraId="72C77081" w14:textId="77777777" w:rsidR="004047F2" w:rsidRPr="004A7238" w:rsidRDefault="004047F2" w:rsidP="00250DAC">
            <w:pPr>
              <w:pStyle w:val="Default"/>
              <w:jc w:val="center"/>
              <w:rPr>
                <w:rFonts w:eastAsia="Times New Roman"/>
                <w:sz w:val="20"/>
                <w:szCs w:val="20"/>
              </w:rPr>
            </w:pPr>
            <w:r w:rsidRPr="004A7238">
              <w:rPr>
                <w:rFonts w:eastAsia="Times New Roman"/>
                <w:sz w:val="20"/>
                <w:szCs w:val="20"/>
              </w:rPr>
              <w:t>Sd/-</w:t>
            </w:r>
          </w:p>
        </w:tc>
      </w:tr>
    </w:tbl>
    <w:p w14:paraId="2F8AC54D" w14:textId="77777777" w:rsidR="004047F2" w:rsidRPr="004A7238" w:rsidRDefault="004047F2" w:rsidP="004047F2">
      <w:pPr>
        <w:pStyle w:val="Default"/>
        <w:rPr>
          <w:sz w:val="20"/>
          <w:szCs w:val="20"/>
        </w:rPr>
      </w:pPr>
    </w:p>
    <w:p w14:paraId="79BFD9C2" w14:textId="77777777" w:rsidR="004047F2" w:rsidRPr="004A7238" w:rsidRDefault="004047F2" w:rsidP="004047F2">
      <w:pPr>
        <w:pStyle w:val="Default"/>
        <w:rPr>
          <w:sz w:val="20"/>
          <w:szCs w:val="20"/>
        </w:rPr>
      </w:pPr>
    </w:p>
    <w:p w14:paraId="16D26A10" w14:textId="77777777" w:rsidR="00726FC6" w:rsidRPr="004A7238" w:rsidRDefault="00726FC6" w:rsidP="00726FC6">
      <w:pPr>
        <w:pStyle w:val="Default"/>
        <w:rPr>
          <w:sz w:val="20"/>
          <w:szCs w:val="20"/>
        </w:rPr>
      </w:pPr>
      <w:r w:rsidRPr="004A7238">
        <w:rPr>
          <w:sz w:val="20"/>
          <w:szCs w:val="20"/>
        </w:rPr>
        <w:t xml:space="preserve">Date: </w:t>
      </w:r>
      <w:r w:rsidRPr="004A7238">
        <w:rPr>
          <w:bCs/>
          <w:sz w:val="20"/>
          <w:szCs w:val="20"/>
        </w:rPr>
        <w:t>September 23, 2023</w:t>
      </w:r>
    </w:p>
    <w:p w14:paraId="213BA46F" w14:textId="77777777" w:rsidR="00726FC6" w:rsidRPr="004A7238" w:rsidRDefault="00726FC6" w:rsidP="00726FC6">
      <w:pPr>
        <w:pStyle w:val="Default"/>
        <w:rPr>
          <w:sz w:val="20"/>
          <w:szCs w:val="20"/>
        </w:rPr>
      </w:pPr>
      <w:r w:rsidRPr="004A7238">
        <w:rPr>
          <w:sz w:val="20"/>
          <w:szCs w:val="20"/>
        </w:rPr>
        <w:t xml:space="preserve">Place: </w:t>
      </w:r>
      <w:r>
        <w:rPr>
          <w:rFonts w:eastAsia="MS Mincho"/>
          <w:sz w:val="20"/>
          <w:szCs w:val="20"/>
        </w:rPr>
        <w:t>Jamnagar, GJ</w:t>
      </w:r>
    </w:p>
    <w:p w14:paraId="0F054A57" w14:textId="77777777" w:rsidR="004047F2" w:rsidRPr="004A7238" w:rsidRDefault="004047F2" w:rsidP="004047F2">
      <w:pPr>
        <w:pStyle w:val="Default"/>
        <w:jc w:val="center"/>
        <w:rPr>
          <w:sz w:val="20"/>
          <w:szCs w:val="20"/>
        </w:rPr>
      </w:pPr>
      <w:r w:rsidRPr="004A7238">
        <w:rPr>
          <w:b/>
          <w:sz w:val="20"/>
          <w:szCs w:val="20"/>
          <w:lang w:val="en-GB"/>
        </w:rPr>
        <w:br w:type="page"/>
      </w:r>
      <w:r w:rsidRPr="004A7238">
        <w:rPr>
          <w:b/>
          <w:sz w:val="20"/>
          <w:szCs w:val="20"/>
          <w:u w:val="single"/>
        </w:rPr>
        <w:lastRenderedPageBreak/>
        <w:t>DECLARATION</w:t>
      </w:r>
    </w:p>
    <w:p w14:paraId="59019231" w14:textId="77777777" w:rsidR="004047F2" w:rsidRPr="004A7238" w:rsidRDefault="004047F2" w:rsidP="004047F2">
      <w:pPr>
        <w:pStyle w:val="Default"/>
        <w:rPr>
          <w:sz w:val="20"/>
          <w:szCs w:val="20"/>
        </w:rPr>
      </w:pPr>
    </w:p>
    <w:p w14:paraId="2C52508C" w14:textId="36262D0A" w:rsidR="004047F2" w:rsidRPr="004A7238" w:rsidRDefault="004A7238" w:rsidP="004047F2">
      <w:pPr>
        <w:pStyle w:val="Default"/>
        <w:jc w:val="both"/>
        <w:rPr>
          <w:sz w:val="20"/>
          <w:szCs w:val="20"/>
        </w:rPr>
      </w:pPr>
      <w:r w:rsidRPr="004A7238">
        <w:rPr>
          <w:sz w:val="20"/>
          <w:szCs w:val="20"/>
        </w:rPr>
        <w:t>I certify and declare that all relevant provisions of the Companies Act, 2013 and the rules, regulations and guidelines issued by the Government of India, or the regulations or guidelines issued by SEBI, established under section 3 of the Securities and Exchange Board of India Act, 1992, as the case may be, have been complied with and no statement made in this Draft Red Herring Prospectus is contrary to the provisions of the Companies Act, the Securities Contracts (Regulation) Act, 1956, as amended, the Securities and Exchange Board of India Act, 1992, as amended or the rules, regulations or guidelines issued thereunder, as the case may be. I further certify that all the statements in this Draft Red Herring Prospectus are true and correct</w:t>
      </w:r>
      <w:r w:rsidR="004047F2" w:rsidRPr="004A7238">
        <w:rPr>
          <w:sz w:val="20"/>
          <w:szCs w:val="20"/>
        </w:rPr>
        <w:t>.</w:t>
      </w:r>
    </w:p>
    <w:p w14:paraId="6CE8D02A" w14:textId="77777777" w:rsidR="004047F2" w:rsidRPr="004A7238" w:rsidRDefault="004047F2" w:rsidP="004047F2">
      <w:pPr>
        <w:pStyle w:val="Default"/>
        <w:jc w:val="both"/>
        <w:rPr>
          <w:sz w:val="20"/>
          <w:szCs w:val="20"/>
        </w:rPr>
      </w:pPr>
    </w:p>
    <w:p w14:paraId="3A86DC23" w14:textId="77777777" w:rsidR="004047F2" w:rsidRPr="004A7238" w:rsidRDefault="004047F2" w:rsidP="004047F2">
      <w:pPr>
        <w:pStyle w:val="Default"/>
        <w:jc w:val="both"/>
        <w:rPr>
          <w:rFonts w:eastAsia="MS Mincho"/>
          <w:b/>
          <w:bCs/>
          <w:sz w:val="20"/>
          <w:szCs w:val="20"/>
          <w:lang w:val="en-GB"/>
        </w:rPr>
      </w:pPr>
      <w:r w:rsidRPr="004A7238">
        <w:rPr>
          <w:rFonts w:eastAsia="MS Mincho"/>
          <w:b/>
          <w:bCs/>
          <w:sz w:val="20"/>
          <w:szCs w:val="20"/>
          <w:lang w:val="en-GB"/>
        </w:rPr>
        <w:t>SIGNED BY THE BOARD OF DIRECTORS OF OUR COMPANY:</w:t>
      </w:r>
    </w:p>
    <w:p w14:paraId="62B7EE60" w14:textId="77777777" w:rsidR="004047F2" w:rsidRPr="004A7238" w:rsidRDefault="004047F2" w:rsidP="004047F2">
      <w:pPr>
        <w:pStyle w:val="Default"/>
        <w:rPr>
          <w:rFonts w:eastAsia="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7"/>
        <w:gridCol w:w="4889"/>
      </w:tblGrid>
      <w:tr w:rsidR="004047F2" w:rsidRPr="004A7238" w14:paraId="2021865B" w14:textId="77777777" w:rsidTr="00250DAC">
        <w:tc>
          <w:tcPr>
            <w:tcW w:w="2662"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40B38A" w14:textId="77777777" w:rsidR="004047F2" w:rsidRPr="004A7238" w:rsidRDefault="004047F2" w:rsidP="00250DAC">
            <w:pPr>
              <w:pStyle w:val="Default"/>
              <w:rPr>
                <w:rFonts w:eastAsia="Times New Roman"/>
                <w:b/>
                <w:sz w:val="20"/>
                <w:szCs w:val="20"/>
              </w:rPr>
            </w:pPr>
            <w:r w:rsidRPr="004A7238">
              <w:rPr>
                <w:b/>
                <w:sz w:val="20"/>
                <w:szCs w:val="20"/>
              </w:rPr>
              <w:t>Name and Designation</w:t>
            </w:r>
          </w:p>
        </w:tc>
        <w:tc>
          <w:tcPr>
            <w:tcW w:w="2338"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E3486BA" w14:textId="77777777" w:rsidR="004047F2" w:rsidRPr="004A7238" w:rsidRDefault="004047F2" w:rsidP="00250DAC">
            <w:pPr>
              <w:pStyle w:val="Default"/>
              <w:jc w:val="center"/>
              <w:rPr>
                <w:rFonts w:eastAsia="Times New Roman"/>
                <w:b/>
                <w:sz w:val="20"/>
                <w:szCs w:val="20"/>
              </w:rPr>
            </w:pPr>
            <w:r w:rsidRPr="004A7238">
              <w:rPr>
                <w:b/>
                <w:sz w:val="20"/>
                <w:szCs w:val="20"/>
              </w:rPr>
              <w:t>Signature</w:t>
            </w:r>
          </w:p>
        </w:tc>
      </w:tr>
      <w:tr w:rsidR="004047F2" w:rsidRPr="004A7238" w14:paraId="6391BD92" w14:textId="77777777" w:rsidTr="00250DAC">
        <w:tc>
          <w:tcPr>
            <w:tcW w:w="2662" w:type="pct"/>
            <w:tcBorders>
              <w:top w:val="single" w:sz="4" w:space="0" w:color="auto"/>
              <w:left w:val="single" w:sz="4" w:space="0" w:color="auto"/>
              <w:bottom w:val="single" w:sz="4" w:space="0" w:color="auto"/>
              <w:right w:val="single" w:sz="4" w:space="0" w:color="auto"/>
            </w:tcBorders>
            <w:shd w:val="clear" w:color="auto" w:fill="FFFFFF"/>
            <w:hideMark/>
          </w:tcPr>
          <w:p w14:paraId="4D02C0E2" w14:textId="77777777" w:rsidR="00726FC6" w:rsidRDefault="00726FC6" w:rsidP="00250DAC">
            <w:pPr>
              <w:pStyle w:val="Default"/>
              <w:rPr>
                <w:rFonts w:eastAsia="MS Mincho"/>
                <w:sz w:val="20"/>
                <w:szCs w:val="20"/>
                <w:lang w:val="en-GB"/>
              </w:rPr>
            </w:pPr>
            <w:r w:rsidRPr="00726FC6">
              <w:rPr>
                <w:rFonts w:eastAsia="MS Mincho"/>
                <w:sz w:val="20"/>
                <w:szCs w:val="20"/>
                <w:lang w:val="en-GB"/>
              </w:rPr>
              <w:t>Jaimish Govindbhai Patel</w:t>
            </w:r>
          </w:p>
          <w:p w14:paraId="55571828" w14:textId="50C913A0" w:rsidR="004047F2" w:rsidRPr="004A7238" w:rsidRDefault="004047F2" w:rsidP="00250DAC">
            <w:pPr>
              <w:pStyle w:val="Default"/>
              <w:rPr>
                <w:sz w:val="20"/>
                <w:szCs w:val="20"/>
              </w:rPr>
            </w:pPr>
            <w:r w:rsidRPr="004A7238">
              <w:rPr>
                <w:sz w:val="20"/>
                <w:szCs w:val="20"/>
              </w:rPr>
              <w:t xml:space="preserve">Independent Director </w:t>
            </w:r>
          </w:p>
          <w:p w14:paraId="0946AC66" w14:textId="39D619BB" w:rsidR="004047F2" w:rsidRPr="004A7238" w:rsidRDefault="004047F2" w:rsidP="00250DAC">
            <w:pPr>
              <w:pStyle w:val="Default"/>
              <w:rPr>
                <w:rFonts w:eastAsia="Times New Roman"/>
                <w:sz w:val="20"/>
                <w:szCs w:val="20"/>
              </w:rPr>
            </w:pPr>
            <w:r w:rsidRPr="004A7238">
              <w:rPr>
                <w:sz w:val="20"/>
                <w:szCs w:val="20"/>
              </w:rPr>
              <w:t xml:space="preserve">DIN: </w:t>
            </w:r>
            <w:r w:rsidR="00726FC6" w:rsidRPr="00726FC6">
              <w:rPr>
                <w:sz w:val="20"/>
                <w:szCs w:val="20"/>
              </w:rPr>
              <w:t>09647742</w:t>
            </w:r>
          </w:p>
        </w:tc>
        <w:tc>
          <w:tcPr>
            <w:tcW w:w="2338" w:type="pct"/>
            <w:tcBorders>
              <w:top w:val="single" w:sz="4" w:space="0" w:color="auto"/>
              <w:left w:val="single" w:sz="4" w:space="0" w:color="auto"/>
              <w:bottom w:val="single" w:sz="4" w:space="0" w:color="auto"/>
              <w:right w:val="single" w:sz="4" w:space="0" w:color="auto"/>
            </w:tcBorders>
            <w:shd w:val="clear" w:color="auto" w:fill="FFFFFF"/>
            <w:vAlign w:val="center"/>
          </w:tcPr>
          <w:p w14:paraId="77506DD0" w14:textId="77777777" w:rsidR="004047F2" w:rsidRPr="004A7238" w:rsidRDefault="004047F2" w:rsidP="00250DAC">
            <w:pPr>
              <w:pStyle w:val="Default"/>
              <w:jc w:val="center"/>
              <w:rPr>
                <w:rFonts w:eastAsia="Times New Roman"/>
                <w:sz w:val="20"/>
                <w:szCs w:val="20"/>
              </w:rPr>
            </w:pPr>
            <w:r w:rsidRPr="004A7238">
              <w:rPr>
                <w:rFonts w:eastAsia="Times New Roman"/>
                <w:sz w:val="20"/>
                <w:szCs w:val="20"/>
              </w:rPr>
              <w:t>Sd/-</w:t>
            </w:r>
          </w:p>
        </w:tc>
      </w:tr>
    </w:tbl>
    <w:p w14:paraId="6922715D" w14:textId="77777777" w:rsidR="004047F2" w:rsidRPr="004A7238" w:rsidRDefault="004047F2" w:rsidP="004047F2">
      <w:pPr>
        <w:pStyle w:val="Default"/>
        <w:rPr>
          <w:sz w:val="20"/>
          <w:szCs w:val="20"/>
        </w:rPr>
      </w:pPr>
    </w:p>
    <w:p w14:paraId="6963E921" w14:textId="77777777" w:rsidR="004047F2" w:rsidRPr="004A7238" w:rsidRDefault="004047F2" w:rsidP="004047F2">
      <w:pPr>
        <w:pStyle w:val="Default"/>
        <w:rPr>
          <w:sz w:val="20"/>
          <w:szCs w:val="20"/>
        </w:rPr>
      </w:pPr>
    </w:p>
    <w:p w14:paraId="4894A5BF" w14:textId="77777777" w:rsidR="00726FC6" w:rsidRPr="004A7238" w:rsidRDefault="00726FC6" w:rsidP="00726FC6">
      <w:pPr>
        <w:pStyle w:val="Default"/>
        <w:rPr>
          <w:sz w:val="20"/>
          <w:szCs w:val="20"/>
        </w:rPr>
      </w:pPr>
      <w:r w:rsidRPr="004A7238">
        <w:rPr>
          <w:sz w:val="20"/>
          <w:szCs w:val="20"/>
        </w:rPr>
        <w:t xml:space="preserve">Date: </w:t>
      </w:r>
      <w:r w:rsidRPr="004A7238">
        <w:rPr>
          <w:bCs/>
          <w:sz w:val="20"/>
          <w:szCs w:val="20"/>
        </w:rPr>
        <w:t>September 23, 2023</w:t>
      </w:r>
    </w:p>
    <w:p w14:paraId="71FC5B7D" w14:textId="6B8AA3DA" w:rsidR="004047F2" w:rsidRPr="004A7238" w:rsidRDefault="004047F2" w:rsidP="004047F2">
      <w:pPr>
        <w:pStyle w:val="Default"/>
        <w:rPr>
          <w:sz w:val="20"/>
          <w:szCs w:val="20"/>
        </w:rPr>
      </w:pPr>
      <w:r w:rsidRPr="004A7238">
        <w:rPr>
          <w:sz w:val="20"/>
          <w:szCs w:val="20"/>
        </w:rPr>
        <w:t xml:space="preserve">Place: </w:t>
      </w:r>
      <w:r w:rsidR="00726FC6">
        <w:rPr>
          <w:rFonts w:eastAsia="MS Mincho"/>
          <w:sz w:val="20"/>
          <w:szCs w:val="20"/>
        </w:rPr>
        <w:t>Jamnagar, GJ</w:t>
      </w:r>
    </w:p>
    <w:p w14:paraId="794ECECE" w14:textId="77777777" w:rsidR="004047F2" w:rsidRPr="004A7238" w:rsidRDefault="004047F2" w:rsidP="004047F2">
      <w:pPr>
        <w:pStyle w:val="Default"/>
        <w:jc w:val="center"/>
        <w:rPr>
          <w:sz w:val="20"/>
          <w:szCs w:val="20"/>
        </w:rPr>
      </w:pPr>
      <w:r w:rsidRPr="004A7238">
        <w:rPr>
          <w:b/>
          <w:sz w:val="20"/>
          <w:szCs w:val="20"/>
          <w:lang w:val="en-GB"/>
        </w:rPr>
        <w:t xml:space="preserve"> </w:t>
      </w:r>
      <w:r w:rsidRPr="004A7238">
        <w:rPr>
          <w:b/>
          <w:sz w:val="20"/>
          <w:szCs w:val="20"/>
          <w:lang w:val="en-GB"/>
        </w:rPr>
        <w:br w:type="page"/>
      </w:r>
      <w:r w:rsidRPr="004A7238">
        <w:rPr>
          <w:b/>
          <w:sz w:val="20"/>
          <w:szCs w:val="20"/>
          <w:u w:val="single"/>
        </w:rPr>
        <w:lastRenderedPageBreak/>
        <w:t>DECLARATION</w:t>
      </w:r>
    </w:p>
    <w:p w14:paraId="5F60B38A" w14:textId="77777777" w:rsidR="004047F2" w:rsidRPr="004A7238" w:rsidRDefault="004047F2" w:rsidP="004047F2">
      <w:pPr>
        <w:pStyle w:val="Default"/>
        <w:jc w:val="center"/>
        <w:rPr>
          <w:sz w:val="20"/>
          <w:szCs w:val="20"/>
        </w:rPr>
      </w:pPr>
    </w:p>
    <w:p w14:paraId="1BD494F8" w14:textId="5678A0BB" w:rsidR="004047F2" w:rsidRPr="004A7238" w:rsidRDefault="004A7238" w:rsidP="004047F2">
      <w:pPr>
        <w:pStyle w:val="Default"/>
        <w:jc w:val="both"/>
        <w:rPr>
          <w:sz w:val="20"/>
          <w:szCs w:val="20"/>
        </w:rPr>
      </w:pPr>
      <w:r w:rsidRPr="004A7238">
        <w:rPr>
          <w:sz w:val="20"/>
          <w:szCs w:val="20"/>
        </w:rPr>
        <w:t>I certify and declare that all relevant provisions of the Companies Act, 2013 and the rules, regulations and guidelines issued by the Government of India, or the regulations or guidelines issued by SEBI, established under section 3 of the Securities and Exchange Board of India Act, 1992, as the case may be, have been complied with and no statement made in this Draft Red Herring Prospectus is contrary to the provisions of the Companies Act, the Securities Contracts (Regulation) Act, 1956, as amended, the Securities and Exchange Board of India Act, 1992, as amended or the rules, regulations or guidelines issued thereunder, as the case may be. I further certify that all the statements in this Draft Red Herring Prospectus are true and correct</w:t>
      </w:r>
      <w:r w:rsidR="004047F2" w:rsidRPr="004A7238">
        <w:rPr>
          <w:sz w:val="20"/>
          <w:szCs w:val="20"/>
        </w:rPr>
        <w:t>.</w:t>
      </w:r>
    </w:p>
    <w:p w14:paraId="4563ADC8" w14:textId="77777777" w:rsidR="004047F2" w:rsidRPr="004A7238" w:rsidRDefault="004047F2" w:rsidP="004047F2">
      <w:pPr>
        <w:pStyle w:val="Default"/>
        <w:jc w:val="both"/>
        <w:rPr>
          <w:sz w:val="20"/>
          <w:szCs w:val="20"/>
        </w:rPr>
      </w:pPr>
    </w:p>
    <w:p w14:paraId="1C0EBAA2" w14:textId="77777777" w:rsidR="004047F2" w:rsidRPr="004A7238" w:rsidRDefault="004047F2" w:rsidP="004047F2">
      <w:pPr>
        <w:pStyle w:val="Default"/>
        <w:jc w:val="both"/>
        <w:rPr>
          <w:rFonts w:eastAsia="MS Mincho"/>
          <w:b/>
          <w:bCs/>
          <w:sz w:val="20"/>
          <w:szCs w:val="20"/>
          <w:lang w:val="en-GB"/>
        </w:rPr>
      </w:pPr>
      <w:r w:rsidRPr="004A7238">
        <w:rPr>
          <w:rFonts w:eastAsia="MS Mincho"/>
          <w:b/>
          <w:bCs/>
          <w:sz w:val="20"/>
          <w:szCs w:val="20"/>
          <w:lang w:val="en-GB"/>
        </w:rPr>
        <w:t>SIGNED BY THE BOARD OF DIRECTORS OF OUR COMPANY:</w:t>
      </w:r>
    </w:p>
    <w:p w14:paraId="7C1A9EAE" w14:textId="77777777" w:rsidR="004047F2" w:rsidRPr="004A7238" w:rsidRDefault="004047F2" w:rsidP="004047F2">
      <w:pPr>
        <w:pStyle w:val="Default"/>
        <w:rPr>
          <w:rFonts w:eastAsia="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7"/>
        <w:gridCol w:w="4889"/>
      </w:tblGrid>
      <w:tr w:rsidR="004047F2" w:rsidRPr="004A7238" w14:paraId="419B3ACA" w14:textId="77777777" w:rsidTr="00250DAC">
        <w:tc>
          <w:tcPr>
            <w:tcW w:w="2662"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468481" w14:textId="77777777" w:rsidR="004047F2" w:rsidRPr="004A7238" w:rsidRDefault="004047F2" w:rsidP="00250DAC">
            <w:pPr>
              <w:pStyle w:val="Default"/>
              <w:rPr>
                <w:rFonts w:eastAsia="Times New Roman"/>
                <w:b/>
                <w:sz w:val="20"/>
                <w:szCs w:val="20"/>
              </w:rPr>
            </w:pPr>
            <w:r w:rsidRPr="004A7238">
              <w:rPr>
                <w:b/>
                <w:sz w:val="20"/>
                <w:szCs w:val="20"/>
              </w:rPr>
              <w:t>Name and Designation</w:t>
            </w:r>
          </w:p>
        </w:tc>
        <w:tc>
          <w:tcPr>
            <w:tcW w:w="2338"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56161D" w14:textId="77777777" w:rsidR="004047F2" w:rsidRPr="004A7238" w:rsidRDefault="004047F2" w:rsidP="00250DAC">
            <w:pPr>
              <w:pStyle w:val="Default"/>
              <w:jc w:val="center"/>
              <w:rPr>
                <w:rFonts w:eastAsia="Times New Roman"/>
                <w:b/>
                <w:sz w:val="20"/>
                <w:szCs w:val="20"/>
              </w:rPr>
            </w:pPr>
            <w:r w:rsidRPr="004A7238">
              <w:rPr>
                <w:b/>
                <w:sz w:val="20"/>
                <w:szCs w:val="20"/>
              </w:rPr>
              <w:t>Signature</w:t>
            </w:r>
          </w:p>
        </w:tc>
      </w:tr>
      <w:tr w:rsidR="004047F2" w:rsidRPr="004A7238" w14:paraId="225491E1" w14:textId="77777777" w:rsidTr="00250DAC">
        <w:trPr>
          <w:trHeight w:val="629"/>
        </w:trPr>
        <w:tc>
          <w:tcPr>
            <w:tcW w:w="2662" w:type="pct"/>
            <w:tcBorders>
              <w:top w:val="single" w:sz="4" w:space="0" w:color="auto"/>
              <w:left w:val="single" w:sz="4" w:space="0" w:color="auto"/>
              <w:bottom w:val="single" w:sz="4" w:space="0" w:color="auto"/>
              <w:right w:val="single" w:sz="4" w:space="0" w:color="auto"/>
            </w:tcBorders>
            <w:shd w:val="clear" w:color="auto" w:fill="FFFFFF"/>
            <w:hideMark/>
          </w:tcPr>
          <w:p w14:paraId="2A239515" w14:textId="77777777" w:rsidR="00726FC6" w:rsidRDefault="00726FC6" w:rsidP="00250DAC">
            <w:pPr>
              <w:pStyle w:val="Default"/>
              <w:rPr>
                <w:rFonts w:eastAsia="Times New Roman"/>
                <w:iCs/>
                <w:color w:val="auto"/>
                <w:sz w:val="20"/>
                <w:szCs w:val="20"/>
                <w:lang w:val="en-US" w:eastAsia="en-US"/>
              </w:rPr>
            </w:pPr>
            <w:r w:rsidRPr="00726FC6">
              <w:rPr>
                <w:rFonts w:eastAsia="Times New Roman"/>
                <w:iCs/>
                <w:color w:val="auto"/>
                <w:sz w:val="20"/>
                <w:szCs w:val="20"/>
                <w:lang w:val="en-US" w:eastAsia="en-US"/>
              </w:rPr>
              <w:t xml:space="preserve">Raimeen Bhanubhai Maradiya </w:t>
            </w:r>
          </w:p>
          <w:p w14:paraId="433FE70D" w14:textId="6A71C871" w:rsidR="004047F2" w:rsidRPr="004A7238" w:rsidRDefault="004047F2" w:rsidP="00250DAC">
            <w:pPr>
              <w:pStyle w:val="Default"/>
              <w:rPr>
                <w:sz w:val="20"/>
                <w:szCs w:val="20"/>
              </w:rPr>
            </w:pPr>
            <w:r w:rsidRPr="004A7238">
              <w:rPr>
                <w:sz w:val="20"/>
                <w:szCs w:val="20"/>
              </w:rPr>
              <w:t xml:space="preserve">Independent Director </w:t>
            </w:r>
          </w:p>
          <w:p w14:paraId="058FB9AA" w14:textId="4DEF5FA5" w:rsidR="004047F2" w:rsidRPr="004A7238" w:rsidRDefault="004047F2" w:rsidP="00250DAC">
            <w:pPr>
              <w:pStyle w:val="Default"/>
              <w:rPr>
                <w:rFonts w:eastAsia="Times New Roman"/>
                <w:sz w:val="20"/>
                <w:szCs w:val="20"/>
              </w:rPr>
            </w:pPr>
            <w:r w:rsidRPr="004A7238">
              <w:rPr>
                <w:sz w:val="20"/>
                <w:szCs w:val="20"/>
              </w:rPr>
              <w:t xml:space="preserve">DIN: </w:t>
            </w:r>
            <w:r w:rsidR="00726FC6" w:rsidRPr="00726FC6">
              <w:rPr>
                <w:sz w:val="20"/>
                <w:szCs w:val="20"/>
              </w:rPr>
              <w:t>09680179</w:t>
            </w:r>
          </w:p>
        </w:tc>
        <w:tc>
          <w:tcPr>
            <w:tcW w:w="2338" w:type="pct"/>
            <w:tcBorders>
              <w:top w:val="single" w:sz="4" w:space="0" w:color="auto"/>
              <w:left w:val="single" w:sz="4" w:space="0" w:color="auto"/>
              <w:bottom w:val="single" w:sz="4" w:space="0" w:color="auto"/>
              <w:right w:val="single" w:sz="4" w:space="0" w:color="auto"/>
            </w:tcBorders>
            <w:shd w:val="clear" w:color="auto" w:fill="FFFFFF"/>
            <w:vAlign w:val="center"/>
          </w:tcPr>
          <w:p w14:paraId="75D25D5C" w14:textId="77777777" w:rsidR="004047F2" w:rsidRPr="004A7238" w:rsidRDefault="004047F2" w:rsidP="00250DAC">
            <w:pPr>
              <w:pStyle w:val="Default"/>
              <w:jc w:val="center"/>
              <w:rPr>
                <w:rFonts w:eastAsia="Times New Roman"/>
                <w:sz w:val="20"/>
                <w:szCs w:val="20"/>
              </w:rPr>
            </w:pPr>
            <w:r w:rsidRPr="004A7238">
              <w:rPr>
                <w:rFonts w:eastAsia="Times New Roman"/>
                <w:sz w:val="20"/>
                <w:szCs w:val="20"/>
              </w:rPr>
              <w:t xml:space="preserve">Sd/- </w:t>
            </w:r>
          </w:p>
        </w:tc>
      </w:tr>
    </w:tbl>
    <w:p w14:paraId="216D172B" w14:textId="77777777" w:rsidR="004047F2" w:rsidRPr="004A7238" w:rsidRDefault="004047F2" w:rsidP="004047F2">
      <w:pPr>
        <w:pStyle w:val="Default"/>
        <w:rPr>
          <w:sz w:val="20"/>
          <w:szCs w:val="20"/>
        </w:rPr>
      </w:pPr>
    </w:p>
    <w:p w14:paraId="711E8976" w14:textId="77777777" w:rsidR="004047F2" w:rsidRPr="004A7238" w:rsidRDefault="004047F2" w:rsidP="004047F2">
      <w:pPr>
        <w:pStyle w:val="Default"/>
        <w:rPr>
          <w:sz w:val="20"/>
          <w:szCs w:val="20"/>
        </w:rPr>
      </w:pPr>
    </w:p>
    <w:p w14:paraId="496FB739" w14:textId="77777777" w:rsidR="00726FC6" w:rsidRPr="004A7238" w:rsidRDefault="00726FC6" w:rsidP="00726FC6">
      <w:pPr>
        <w:pStyle w:val="Default"/>
        <w:rPr>
          <w:sz w:val="20"/>
          <w:szCs w:val="20"/>
        </w:rPr>
      </w:pPr>
      <w:r w:rsidRPr="004A7238">
        <w:rPr>
          <w:sz w:val="20"/>
          <w:szCs w:val="20"/>
        </w:rPr>
        <w:t xml:space="preserve">Date: </w:t>
      </w:r>
      <w:r w:rsidRPr="004A7238">
        <w:rPr>
          <w:bCs/>
          <w:sz w:val="20"/>
          <w:szCs w:val="20"/>
        </w:rPr>
        <w:t>September 23, 2023</w:t>
      </w:r>
    </w:p>
    <w:p w14:paraId="136249EA" w14:textId="572F81EC" w:rsidR="004047F2" w:rsidRPr="004A7238" w:rsidRDefault="004047F2" w:rsidP="004047F2">
      <w:pPr>
        <w:pStyle w:val="Default"/>
        <w:rPr>
          <w:sz w:val="20"/>
          <w:szCs w:val="20"/>
        </w:rPr>
      </w:pPr>
      <w:r w:rsidRPr="004A7238">
        <w:rPr>
          <w:sz w:val="20"/>
          <w:szCs w:val="20"/>
        </w:rPr>
        <w:t xml:space="preserve">Place: </w:t>
      </w:r>
      <w:r w:rsidR="00726FC6">
        <w:rPr>
          <w:rFonts w:eastAsia="MS Mincho"/>
          <w:sz w:val="20"/>
          <w:szCs w:val="20"/>
        </w:rPr>
        <w:t>Jamnagar, GJ</w:t>
      </w:r>
    </w:p>
    <w:p w14:paraId="3CBA4D4E" w14:textId="77777777" w:rsidR="004047F2" w:rsidRPr="004A7238" w:rsidRDefault="004047F2" w:rsidP="004047F2">
      <w:pPr>
        <w:spacing w:after="160" w:line="259" w:lineRule="auto"/>
        <w:rPr>
          <w:rFonts w:ascii="Times New Roman" w:eastAsia="Calibri" w:hAnsi="Times New Roman"/>
          <w:b/>
          <w:color w:val="000000"/>
          <w:sz w:val="20"/>
          <w:szCs w:val="20"/>
          <w:u w:val="single"/>
          <w:lang w:val="en-IN" w:eastAsia="en-IN"/>
        </w:rPr>
      </w:pPr>
      <w:r w:rsidRPr="004A7238">
        <w:rPr>
          <w:rFonts w:ascii="Times New Roman" w:hAnsi="Times New Roman"/>
          <w:b/>
          <w:sz w:val="20"/>
          <w:szCs w:val="20"/>
          <w:u w:val="single"/>
        </w:rPr>
        <w:br w:type="page"/>
      </w:r>
    </w:p>
    <w:p w14:paraId="5234851F" w14:textId="77777777" w:rsidR="004047F2" w:rsidRPr="004A7238" w:rsidRDefault="004047F2" w:rsidP="004047F2">
      <w:pPr>
        <w:pStyle w:val="Default"/>
        <w:jc w:val="center"/>
        <w:rPr>
          <w:b/>
          <w:sz w:val="20"/>
          <w:szCs w:val="20"/>
          <w:u w:val="single"/>
        </w:rPr>
      </w:pPr>
      <w:r w:rsidRPr="004A7238">
        <w:rPr>
          <w:b/>
          <w:sz w:val="20"/>
          <w:szCs w:val="20"/>
          <w:u w:val="single"/>
        </w:rPr>
        <w:lastRenderedPageBreak/>
        <w:t>DECLARATION</w:t>
      </w:r>
    </w:p>
    <w:p w14:paraId="43E3E3A8" w14:textId="77777777" w:rsidR="004047F2" w:rsidRPr="004A7238" w:rsidRDefault="004047F2" w:rsidP="004047F2">
      <w:pPr>
        <w:pStyle w:val="Default"/>
        <w:rPr>
          <w:sz w:val="20"/>
          <w:szCs w:val="20"/>
        </w:rPr>
      </w:pPr>
    </w:p>
    <w:p w14:paraId="18A1855E" w14:textId="603A7AD6" w:rsidR="004047F2" w:rsidRPr="004A7238" w:rsidRDefault="004A7238" w:rsidP="004047F2">
      <w:pPr>
        <w:pStyle w:val="Default"/>
        <w:jc w:val="both"/>
        <w:rPr>
          <w:sz w:val="20"/>
          <w:szCs w:val="20"/>
        </w:rPr>
      </w:pPr>
      <w:r w:rsidRPr="004A7238">
        <w:rPr>
          <w:sz w:val="20"/>
          <w:szCs w:val="20"/>
        </w:rPr>
        <w:t>I certify and declare that all relevant provisions of the Companies Act, 2013 and the rules, regulations and guidelines issued by the Government of India, or the regulations or guidelines issued by SEBI, established under section 3 of the Securities and Exchange Board of India Act, 1992, as the case may be, have been complied with and no statement made in this Draft Red Herring Prospectus is contrary to the provisions of the Companies Act, the Securities Contracts (Regulation) Act, 1956, as amended, the Securities and Exchange Board of India Act, 1992, as amended or the rules, regulations or guidelines issued thereunder, as the case may be. I further certify that all the statements in this Draft Red Herring Prospectus are true and correct</w:t>
      </w:r>
      <w:r w:rsidR="004047F2" w:rsidRPr="004A7238">
        <w:rPr>
          <w:sz w:val="20"/>
          <w:szCs w:val="20"/>
        </w:rPr>
        <w:t>.</w:t>
      </w:r>
    </w:p>
    <w:p w14:paraId="078618C1" w14:textId="77777777" w:rsidR="004047F2" w:rsidRPr="004A7238" w:rsidRDefault="004047F2" w:rsidP="004047F2">
      <w:pPr>
        <w:pStyle w:val="Default"/>
        <w:jc w:val="both"/>
        <w:rPr>
          <w:sz w:val="20"/>
          <w:szCs w:val="20"/>
        </w:rPr>
      </w:pPr>
    </w:p>
    <w:p w14:paraId="3E706108" w14:textId="77777777" w:rsidR="004047F2" w:rsidRPr="004A7238" w:rsidRDefault="004047F2" w:rsidP="004047F2">
      <w:pPr>
        <w:pStyle w:val="Default"/>
        <w:jc w:val="both"/>
        <w:rPr>
          <w:rFonts w:eastAsia="MS Mincho"/>
          <w:b/>
          <w:bCs/>
          <w:sz w:val="20"/>
          <w:szCs w:val="20"/>
          <w:lang w:val="en-GB"/>
        </w:rPr>
      </w:pPr>
      <w:r w:rsidRPr="004A7238">
        <w:rPr>
          <w:rFonts w:eastAsia="MS Mincho"/>
          <w:b/>
          <w:bCs/>
          <w:sz w:val="20"/>
          <w:szCs w:val="20"/>
          <w:lang w:val="en-GB"/>
        </w:rPr>
        <w:t>SIGNED BY THE CHIEF FINANCIAL OFFICER OF OUR COMPANY:</w:t>
      </w:r>
    </w:p>
    <w:p w14:paraId="78473D3B" w14:textId="77777777" w:rsidR="004047F2" w:rsidRPr="004A7238" w:rsidRDefault="004047F2" w:rsidP="004047F2">
      <w:pPr>
        <w:pStyle w:val="Default"/>
        <w:rPr>
          <w:rFonts w:eastAsia="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7"/>
        <w:gridCol w:w="4889"/>
      </w:tblGrid>
      <w:tr w:rsidR="004047F2" w:rsidRPr="004A7238" w14:paraId="76D67256" w14:textId="77777777" w:rsidTr="00250DAC">
        <w:tc>
          <w:tcPr>
            <w:tcW w:w="2662"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004EBA8" w14:textId="77777777" w:rsidR="004047F2" w:rsidRPr="004A7238" w:rsidRDefault="004047F2" w:rsidP="00250DAC">
            <w:pPr>
              <w:pStyle w:val="Default"/>
              <w:rPr>
                <w:rFonts w:eastAsia="Times New Roman"/>
                <w:b/>
                <w:sz w:val="20"/>
                <w:szCs w:val="20"/>
              </w:rPr>
            </w:pPr>
            <w:r w:rsidRPr="004A7238">
              <w:rPr>
                <w:b/>
                <w:sz w:val="20"/>
                <w:szCs w:val="20"/>
              </w:rPr>
              <w:t>Name and Designation</w:t>
            </w:r>
          </w:p>
        </w:tc>
        <w:tc>
          <w:tcPr>
            <w:tcW w:w="2338"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7D1632C" w14:textId="77777777" w:rsidR="004047F2" w:rsidRPr="004A7238" w:rsidRDefault="004047F2" w:rsidP="00250DAC">
            <w:pPr>
              <w:pStyle w:val="Default"/>
              <w:jc w:val="center"/>
              <w:rPr>
                <w:rFonts w:eastAsia="Times New Roman"/>
                <w:b/>
                <w:sz w:val="20"/>
                <w:szCs w:val="20"/>
              </w:rPr>
            </w:pPr>
            <w:r w:rsidRPr="004A7238">
              <w:rPr>
                <w:b/>
                <w:sz w:val="20"/>
                <w:szCs w:val="20"/>
              </w:rPr>
              <w:t>Signature</w:t>
            </w:r>
          </w:p>
        </w:tc>
      </w:tr>
      <w:tr w:rsidR="004047F2" w:rsidRPr="004A7238" w14:paraId="6D7E09B6" w14:textId="77777777" w:rsidTr="00250DAC">
        <w:tc>
          <w:tcPr>
            <w:tcW w:w="2662" w:type="pct"/>
            <w:tcBorders>
              <w:top w:val="single" w:sz="4" w:space="0" w:color="auto"/>
              <w:left w:val="single" w:sz="4" w:space="0" w:color="auto"/>
              <w:bottom w:val="single" w:sz="4" w:space="0" w:color="auto"/>
              <w:right w:val="single" w:sz="4" w:space="0" w:color="auto"/>
            </w:tcBorders>
            <w:shd w:val="clear" w:color="auto" w:fill="FFFFFF"/>
            <w:hideMark/>
          </w:tcPr>
          <w:p w14:paraId="027793F5" w14:textId="0FDCB44C" w:rsidR="00726FC6" w:rsidRDefault="00726FC6" w:rsidP="00250DAC">
            <w:pPr>
              <w:pStyle w:val="Default"/>
              <w:rPr>
                <w:rFonts w:eastAsia="Times New Roman"/>
                <w:bCs/>
                <w:color w:val="auto"/>
                <w:sz w:val="20"/>
                <w:szCs w:val="20"/>
                <w:lang w:val="en-US" w:eastAsia="en-US"/>
              </w:rPr>
            </w:pPr>
            <w:r w:rsidRPr="00726FC6">
              <w:rPr>
                <w:rFonts w:eastAsia="Times New Roman"/>
                <w:bCs/>
                <w:color w:val="auto"/>
                <w:sz w:val="20"/>
                <w:szCs w:val="20"/>
                <w:lang w:val="en-US" w:eastAsia="en-US"/>
              </w:rPr>
              <w:t>Megha Bhavesh Maheshwari</w:t>
            </w:r>
          </w:p>
          <w:p w14:paraId="78EC29BA" w14:textId="6508176D" w:rsidR="004047F2" w:rsidRPr="004A7238" w:rsidRDefault="004047F2" w:rsidP="00250DAC">
            <w:pPr>
              <w:pStyle w:val="Default"/>
              <w:rPr>
                <w:sz w:val="20"/>
                <w:szCs w:val="20"/>
              </w:rPr>
            </w:pPr>
            <w:r w:rsidRPr="004A7238">
              <w:rPr>
                <w:sz w:val="20"/>
                <w:szCs w:val="20"/>
                <w:lang w:val="en-GB"/>
              </w:rPr>
              <w:t>Chief Financial Officer</w:t>
            </w:r>
            <w:r w:rsidRPr="004A7238">
              <w:rPr>
                <w:sz w:val="20"/>
                <w:szCs w:val="20"/>
              </w:rPr>
              <w:t xml:space="preserve"> </w:t>
            </w:r>
          </w:p>
        </w:tc>
        <w:tc>
          <w:tcPr>
            <w:tcW w:w="2338" w:type="pct"/>
            <w:tcBorders>
              <w:top w:val="single" w:sz="4" w:space="0" w:color="auto"/>
              <w:left w:val="single" w:sz="4" w:space="0" w:color="auto"/>
              <w:bottom w:val="single" w:sz="4" w:space="0" w:color="auto"/>
              <w:right w:val="single" w:sz="4" w:space="0" w:color="auto"/>
            </w:tcBorders>
            <w:shd w:val="clear" w:color="auto" w:fill="FFFFFF"/>
            <w:vAlign w:val="center"/>
          </w:tcPr>
          <w:p w14:paraId="1709C959" w14:textId="77777777" w:rsidR="004047F2" w:rsidRPr="004A7238" w:rsidRDefault="004047F2" w:rsidP="00250DAC">
            <w:pPr>
              <w:pStyle w:val="Default"/>
              <w:jc w:val="center"/>
              <w:rPr>
                <w:rFonts w:eastAsia="Times New Roman"/>
                <w:sz w:val="20"/>
                <w:szCs w:val="20"/>
              </w:rPr>
            </w:pPr>
            <w:r w:rsidRPr="004A7238">
              <w:rPr>
                <w:rFonts w:eastAsia="Times New Roman"/>
                <w:sz w:val="20"/>
                <w:szCs w:val="20"/>
              </w:rPr>
              <w:t xml:space="preserve">Sd/- </w:t>
            </w:r>
          </w:p>
        </w:tc>
      </w:tr>
    </w:tbl>
    <w:p w14:paraId="174775AB" w14:textId="77777777" w:rsidR="004047F2" w:rsidRPr="004A7238" w:rsidRDefault="004047F2" w:rsidP="004047F2">
      <w:pPr>
        <w:pStyle w:val="Default"/>
        <w:rPr>
          <w:sz w:val="20"/>
          <w:szCs w:val="20"/>
        </w:rPr>
      </w:pPr>
    </w:p>
    <w:p w14:paraId="2B79DFFD" w14:textId="77777777" w:rsidR="004047F2" w:rsidRPr="004A7238" w:rsidRDefault="004047F2" w:rsidP="004047F2">
      <w:pPr>
        <w:pStyle w:val="Default"/>
        <w:rPr>
          <w:sz w:val="20"/>
          <w:szCs w:val="20"/>
        </w:rPr>
      </w:pPr>
    </w:p>
    <w:p w14:paraId="7D92AF98" w14:textId="428DF912" w:rsidR="004047F2" w:rsidRPr="004A7238" w:rsidRDefault="004047F2" w:rsidP="004047F2">
      <w:pPr>
        <w:pStyle w:val="Default"/>
        <w:rPr>
          <w:sz w:val="20"/>
          <w:szCs w:val="20"/>
        </w:rPr>
      </w:pPr>
      <w:r w:rsidRPr="004A7238">
        <w:rPr>
          <w:sz w:val="20"/>
          <w:szCs w:val="20"/>
        </w:rPr>
        <w:t xml:space="preserve">Date: </w:t>
      </w:r>
      <w:r w:rsidR="00726FC6">
        <w:rPr>
          <w:bCs/>
          <w:sz w:val="20"/>
          <w:szCs w:val="20"/>
        </w:rPr>
        <w:t>September 23</w:t>
      </w:r>
      <w:r w:rsidRPr="004A7238">
        <w:rPr>
          <w:bCs/>
          <w:sz w:val="20"/>
          <w:szCs w:val="20"/>
        </w:rPr>
        <w:t>, 2023</w:t>
      </w:r>
    </w:p>
    <w:p w14:paraId="7F674D61" w14:textId="4D3D5D9D" w:rsidR="004047F2" w:rsidRPr="004A7238" w:rsidRDefault="004047F2" w:rsidP="004047F2">
      <w:pPr>
        <w:pStyle w:val="Default"/>
        <w:rPr>
          <w:sz w:val="20"/>
          <w:szCs w:val="20"/>
        </w:rPr>
      </w:pPr>
      <w:r w:rsidRPr="004A7238">
        <w:rPr>
          <w:sz w:val="20"/>
          <w:szCs w:val="20"/>
        </w:rPr>
        <w:t xml:space="preserve">Place: </w:t>
      </w:r>
      <w:r w:rsidR="00726FC6">
        <w:rPr>
          <w:rFonts w:eastAsia="MS Mincho"/>
          <w:sz w:val="20"/>
          <w:szCs w:val="20"/>
        </w:rPr>
        <w:t>Jamnagar, GJ</w:t>
      </w:r>
    </w:p>
    <w:p w14:paraId="3910897C" w14:textId="77777777" w:rsidR="004047F2" w:rsidRPr="004A7238" w:rsidRDefault="004047F2" w:rsidP="004047F2">
      <w:pPr>
        <w:spacing w:after="0" w:line="259" w:lineRule="auto"/>
        <w:rPr>
          <w:rFonts w:ascii="Times New Roman" w:eastAsia="MS Mincho" w:hAnsi="Times New Roman"/>
          <w:color w:val="000000"/>
          <w:sz w:val="20"/>
          <w:szCs w:val="20"/>
          <w:lang w:val="en-IN" w:eastAsia="en-IN"/>
        </w:rPr>
      </w:pPr>
      <w:r w:rsidRPr="004A7238">
        <w:rPr>
          <w:rFonts w:ascii="Times New Roman" w:eastAsia="MS Mincho" w:hAnsi="Times New Roman"/>
          <w:sz w:val="20"/>
          <w:szCs w:val="20"/>
        </w:rPr>
        <w:br w:type="page"/>
      </w:r>
    </w:p>
    <w:p w14:paraId="4A772EA4" w14:textId="77777777" w:rsidR="004047F2" w:rsidRPr="004A7238" w:rsidRDefault="004047F2" w:rsidP="004047F2">
      <w:pPr>
        <w:pStyle w:val="Default"/>
        <w:jc w:val="center"/>
        <w:rPr>
          <w:b/>
          <w:sz w:val="20"/>
          <w:szCs w:val="20"/>
          <w:u w:val="single"/>
        </w:rPr>
      </w:pPr>
      <w:r w:rsidRPr="004A7238">
        <w:rPr>
          <w:b/>
          <w:sz w:val="20"/>
          <w:szCs w:val="20"/>
          <w:u w:val="single"/>
        </w:rPr>
        <w:lastRenderedPageBreak/>
        <w:t>DECLARATION</w:t>
      </w:r>
    </w:p>
    <w:p w14:paraId="59452630" w14:textId="77777777" w:rsidR="004047F2" w:rsidRPr="004A7238" w:rsidRDefault="004047F2" w:rsidP="004047F2">
      <w:pPr>
        <w:pStyle w:val="Default"/>
        <w:rPr>
          <w:sz w:val="20"/>
          <w:szCs w:val="20"/>
        </w:rPr>
      </w:pPr>
    </w:p>
    <w:p w14:paraId="4CD6ECC2" w14:textId="68EA256A" w:rsidR="004047F2" w:rsidRPr="004A7238" w:rsidRDefault="004A7238" w:rsidP="004047F2">
      <w:pPr>
        <w:pStyle w:val="Default"/>
        <w:jc w:val="both"/>
        <w:rPr>
          <w:sz w:val="20"/>
          <w:szCs w:val="20"/>
        </w:rPr>
      </w:pPr>
      <w:r w:rsidRPr="004A7238">
        <w:rPr>
          <w:sz w:val="20"/>
          <w:szCs w:val="20"/>
        </w:rPr>
        <w:t>I certify and declare that all relevant provisions of the Companies Act, 2013 and the rules, regulations and guidelines issued by the Government of India, or the regulations or guidelines issued by SEBI, established under section 3 of the Securities and Exchange Board of India Act, 1992, as the case may be, have been complied with and no statement made in this Draft Red Herring Prospectus is contrary to the provisions of the Companies Act, the Securities Contracts (Regulation) Act, 1956, as amended, the Securities and Exchange Board of India Act, 1992, as amended or the rules, regulations or guidelines issued thereunder, as the case may be. I further certify that all the statements in this Draft Red Herring Prospectus are true and correct</w:t>
      </w:r>
      <w:r w:rsidR="004047F2" w:rsidRPr="004A7238">
        <w:rPr>
          <w:sz w:val="20"/>
          <w:szCs w:val="20"/>
        </w:rPr>
        <w:t>.</w:t>
      </w:r>
    </w:p>
    <w:p w14:paraId="6C45A8D6" w14:textId="77777777" w:rsidR="004047F2" w:rsidRPr="004A7238" w:rsidRDefault="004047F2" w:rsidP="004047F2">
      <w:pPr>
        <w:pStyle w:val="Default"/>
        <w:jc w:val="both"/>
        <w:rPr>
          <w:sz w:val="20"/>
          <w:szCs w:val="20"/>
        </w:rPr>
      </w:pPr>
    </w:p>
    <w:p w14:paraId="476B1C31" w14:textId="77777777" w:rsidR="004047F2" w:rsidRPr="004A7238" w:rsidRDefault="004047F2" w:rsidP="004047F2">
      <w:pPr>
        <w:pStyle w:val="Default"/>
        <w:jc w:val="both"/>
        <w:rPr>
          <w:rFonts w:eastAsia="MS Mincho"/>
          <w:b/>
          <w:bCs/>
          <w:sz w:val="20"/>
          <w:szCs w:val="20"/>
          <w:lang w:val="en-GB"/>
        </w:rPr>
      </w:pPr>
      <w:r w:rsidRPr="004A7238">
        <w:rPr>
          <w:rFonts w:eastAsia="MS Mincho"/>
          <w:b/>
          <w:bCs/>
          <w:sz w:val="20"/>
          <w:szCs w:val="20"/>
          <w:lang w:val="en-GB"/>
        </w:rPr>
        <w:t>SIGNED BY THE COMPANY SECRETARY AND COMPLIANCE OFFICER OF OUR COMPANY:</w:t>
      </w:r>
    </w:p>
    <w:p w14:paraId="732566C7" w14:textId="77777777" w:rsidR="004047F2" w:rsidRPr="004A7238" w:rsidRDefault="004047F2" w:rsidP="004047F2">
      <w:pPr>
        <w:pStyle w:val="Default"/>
        <w:rPr>
          <w:rFonts w:eastAsia="Times New Roman"/>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7"/>
        <w:gridCol w:w="4889"/>
      </w:tblGrid>
      <w:tr w:rsidR="004047F2" w:rsidRPr="004A7238" w14:paraId="379A689E" w14:textId="77777777" w:rsidTr="00250DAC">
        <w:tc>
          <w:tcPr>
            <w:tcW w:w="2662"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E4DE78" w14:textId="77777777" w:rsidR="004047F2" w:rsidRPr="004A7238" w:rsidRDefault="004047F2" w:rsidP="00250DAC">
            <w:pPr>
              <w:pStyle w:val="Default"/>
              <w:rPr>
                <w:rFonts w:eastAsia="Times New Roman"/>
                <w:b/>
                <w:sz w:val="20"/>
                <w:szCs w:val="20"/>
              </w:rPr>
            </w:pPr>
            <w:r w:rsidRPr="004A7238">
              <w:rPr>
                <w:b/>
                <w:sz w:val="20"/>
                <w:szCs w:val="20"/>
              </w:rPr>
              <w:t>Name and Designation</w:t>
            </w:r>
          </w:p>
        </w:tc>
        <w:tc>
          <w:tcPr>
            <w:tcW w:w="2338" w:type="pct"/>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379D4C" w14:textId="77777777" w:rsidR="004047F2" w:rsidRPr="004A7238" w:rsidRDefault="004047F2" w:rsidP="00250DAC">
            <w:pPr>
              <w:pStyle w:val="Default"/>
              <w:jc w:val="center"/>
              <w:rPr>
                <w:rFonts w:eastAsia="Times New Roman"/>
                <w:b/>
                <w:sz w:val="20"/>
                <w:szCs w:val="20"/>
              </w:rPr>
            </w:pPr>
            <w:r w:rsidRPr="004A7238">
              <w:rPr>
                <w:b/>
                <w:sz w:val="20"/>
                <w:szCs w:val="20"/>
              </w:rPr>
              <w:t>Signature</w:t>
            </w:r>
          </w:p>
        </w:tc>
      </w:tr>
      <w:tr w:rsidR="004047F2" w:rsidRPr="004A7238" w14:paraId="394C080D" w14:textId="77777777" w:rsidTr="00250DAC">
        <w:tc>
          <w:tcPr>
            <w:tcW w:w="2662" w:type="pct"/>
            <w:tcBorders>
              <w:top w:val="single" w:sz="4" w:space="0" w:color="auto"/>
              <w:left w:val="single" w:sz="4" w:space="0" w:color="auto"/>
              <w:bottom w:val="single" w:sz="4" w:space="0" w:color="auto"/>
              <w:right w:val="single" w:sz="4" w:space="0" w:color="auto"/>
            </w:tcBorders>
            <w:shd w:val="clear" w:color="auto" w:fill="FFFFFF"/>
            <w:hideMark/>
          </w:tcPr>
          <w:p w14:paraId="168E1E91" w14:textId="1C4B4DE0" w:rsidR="00726FC6" w:rsidRDefault="00726FC6" w:rsidP="00250DAC">
            <w:pPr>
              <w:pStyle w:val="Default"/>
              <w:rPr>
                <w:rFonts w:eastAsia="Times New Roman"/>
                <w:bCs/>
                <w:color w:val="auto"/>
                <w:sz w:val="20"/>
                <w:szCs w:val="20"/>
                <w:lang w:val="en-US" w:eastAsia="en-US"/>
              </w:rPr>
            </w:pPr>
            <w:r w:rsidRPr="00726FC6">
              <w:rPr>
                <w:rFonts w:eastAsia="Times New Roman"/>
                <w:bCs/>
                <w:color w:val="auto"/>
                <w:sz w:val="20"/>
                <w:szCs w:val="20"/>
                <w:lang w:val="en-US" w:eastAsia="en-US"/>
              </w:rPr>
              <w:t>Kiran Parmanand Goklani</w:t>
            </w:r>
          </w:p>
          <w:p w14:paraId="2035422F" w14:textId="0ECE2C82" w:rsidR="004047F2" w:rsidRPr="004A7238" w:rsidRDefault="004047F2" w:rsidP="00250DAC">
            <w:pPr>
              <w:pStyle w:val="Default"/>
              <w:rPr>
                <w:sz w:val="20"/>
                <w:szCs w:val="20"/>
              </w:rPr>
            </w:pPr>
            <w:r w:rsidRPr="004A7238">
              <w:rPr>
                <w:sz w:val="20"/>
                <w:szCs w:val="20"/>
                <w:lang w:val="en-GB"/>
              </w:rPr>
              <w:t>Company Secretary and Compliance Officer</w:t>
            </w:r>
            <w:r w:rsidRPr="004A7238">
              <w:rPr>
                <w:sz w:val="20"/>
                <w:szCs w:val="20"/>
              </w:rPr>
              <w:t xml:space="preserve"> </w:t>
            </w:r>
          </w:p>
        </w:tc>
        <w:tc>
          <w:tcPr>
            <w:tcW w:w="2338" w:type="pct"/>
            <w:tcBorders>
              <w:top w:val="single" w:sz="4" w:space="0" w:color="auto"/>
              <w:left w:val="single" w:sz="4" w:space="0" w:color="auto"/>
              <w:bottom w:val="single" w:sz="4" w:space="0" w:color="auto"/>
              <w:right w:val="single" w:sz="4" w:space="0" w:color="auto"/>
            </w:tcBorders>
            <w:shd w:val="clear" w:color="auto" w:fill="FFFFFF"/>
            <w:vAlign w:val="center"/>
          </w:tcPr>
          <w:p w14:paraId="3638BA33" w14:textId="77777777" w:rsidR="004047F2" w:rsidRPr="004A7238" w:rsidRDefault="004047F2" w:rsidP="00250DAC">
            <w:pPr>
              <w:pStyle w:val="Default"/>
              <w:jc w:val="center"/>
              <w:rPr>
                <w:rFonts w:eastAsia="Times New Roman"/>
                <w:sz w:val="20"/>
                <w:szCs w:val="20"/>
              </w:rPr>
            </w:pPr>
            <w:r w:rsidRPr="004A7238">
              <w:rPr>
                <w:rFonts w:eastAsia="Times New Roman"/>
                <w:sz w:val="20"/>
                <w:szCs w:val="20"/>
              </w:rPr>
              <w:t xml:space="preserve">Sd/- </w:t>
            </w:r>
          </w:p>
        </w:tc>
      </w:tr>
    </w:tbl>
    <w:p w14:paraId="34DDA62D" w14:textId="77777777" w:rsidR="004047F2" w:rsidRPr="004A7238" w:rsidRDefault="004047F2" w:rsidP="004047F2">
      <w:pPr>
        <w:pStyle w:val="Default"/>
        <w:rPr>
          <w:sz w:val="20"/>
          <w:szCs w:val="20"/>
        </w:rPr>
      </w:pPr>
    </w:p>
    <w:p w14:paraId="363CE2D1" w14:textId="77777777" w:rsidR="004047F2" w:rsidRPr="004A7238" w:rsidRDefault="004047F2" w:rsidP="004047F2">
      <w:pPr>
        <w:pStyle w:val="Default"/>
        <w:rPr>
          <w:sz w:val="20"/>
          <w:szCs w:val="20"/>
        </w:rPr>
      </w:pPr>
    </w:p>
    <w:p w14:paraId="58D636EE" w14:textId="61FD5586" w:rsidR="004047F2" w:rsidRPr="004A7238" w:rsidRDefault="004047F2" w:rsidP="004047F2">
      <w:pPr>
        <w:pStyle w:val="Default"/>
        <w:rPr>
          <w:sz w:val="20"/>
          <w:szCs w:val="20"/>
        </w:rPr>
      </w:pPr>
      <w:r w:rsidRPr="004A7238">
        <w:rPr>
          <w:sz w:val="20"/>
          <w:szCs w:val="20"/>
        </w:rPr>
        <w:t xml:space="preserve">Date: </w:t>
      </w:r>
      <w:r w:rsidR="00726FC6">
        <w:rPr>
          <w:bCs/>
          <w:sz w:val="20"/>
          <w:szCs w:val="20"/>
        </w:rPr>
        <w:t>September 23</w:t>
      </w:r>
      <w:r w:rsidRPr="004A7238">
        <w:rPr>
          <w:bCs/>
          <w:sz w:val="20"/>
          <w:szCs w:val="20"/>
        </w:rPr>
        <w:t>, 2023</w:t>
      </w:r>
    </w:p>
    <w:p w14:paraId="2D061B7C" w14:textId="0D384A53" w:rsidR="004047F2" w:rsidRPr="00712F3C" w:rsidRDefault="004047F2" w:rsidP="004047F2">
      <w:pPr>
        <w:pStyle w:val="Default"/>
        <w:rPr>
          <w:sz w:val="20"/>
          <w:szCs w:val="20"/>
        </w:rPr>
      </w:pPr>
      <w:r w:rsidRPr="004A7238">
        <w:rPr>
          <w:sz w:val="20"/>
          <w:szCs w:val="20"/>
        </w:rPr>
        <w:t xml:space="preserve">Place: </w:t>
      </w:r>
      <w:r w:rsidR="00726FC6">
        <w:rPr>
          <w:rFonts w:eastAsia="MS Mincho"/>
          <w:sz w:val="20"/>
          <w:szCs w:val="20"/>
        </w:rPr>
        <w:t>Jamnagar, GJ</w:t>
      </w:r>
    </w:p>
    <w:p w14:paraId="5E592169" w14:textId="77777777" w:rsidR="004047F2" w:rsidRPr="00712F3C" w:rsidRDefault="004047F2" w:rsidP="004047F2">
      <w:pPr>
        <w:autoSpaceDE w:val="0"/>
        <w:autoSpaceDN w:val="0"/>
        <w:adjustRightInd w:val="0"/>
        <w:spacing w:after="0" w:line="240" w:lineRule="auto"/>
        <w:jc w:val="both"/>
        <w:rPr>
          <w:rFonts w:ascii="Times New Roman" w:eastAsia="Calibri" w:hAnsi="Times New Roman"/>
          <w:sz w:val="20"/>
          <w:szCs w:val="20"/>
          <w:lang w:val="en-GB"/>
        </w:rPr>
      </w:pPr>
    </w:p>
    <w:p w14:paraId="2C4C6E84" w14:textId="77777777" w:rsidR="004047F2" w:rsidRPr="004047F2" w:rsidRDefault="004047F2" w:rsidP="004047F2">
      <w:pPr>
        <w:widowControl w:val="0"/>
        <w:autoSpaceDE w:val="0"/>
        <w:autoSpaceDN w:val="0"/>
        <w:adjustRightInd w:val="0"/>
        <w:spacing w:after="0" w:line="240" w:lineRule="auto"/>
        <w:contextualSpacing/>
        <w:jc w:val="both"/>
        <w:rPr>
          <w:rFonts w:ascii="Times New Roman" w:eastAsia="MS Mincho" w:hAnsi="Times New Roman"/>
          <w:b/>
          <w:sz w:val="20"/>
          <w:szCs w:val="20"/>
          <w:u w:val="single"/>
          <w:lang w:val="x-none"/>
        </w:rPr>
      </w:pPr>
    </w:p>
    <w:sectPr w:rsidR="004047F2" w:rsidRPr="004047F2" w:rsidSect="00E35FCB">
      <w:headerReference w:type="default" r:id="rId105"/>
      <w:footerReference w:type="default" r:id="rId106"/>
      <w:pgSz w:w="11906" w:h="16838" w:code="9"/>
      <w:pgMar w:top="1080" w:right="720" w:bottom="990" w:left="720" w:header="70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2CBB3" w14:textId="77777777" w:rsidR="00055945" w:rsidRDefault="00055945" w:rsidP="00F8631B">
      <w:pPr>
        <w:spacing w:after="0" w:line="240" w:lineRule="auto"/>
      </w:pPr>
      <w:r>
        <w:separator/>
      </w:r>
    </w:p>
  </w:endnote>
  <w:endnote w:type="continuationSeparator" w:id="0">
    <w:p w14:paraId="7B373F00" w14:textId="77777777" w:rsidR="00055945" w:rsidRDefault="00055945" w:rsidP="00F86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oto Sans Symbols">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Verdana">
    <w:altName w:val="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Zurich BT">
    <w:altName w:val="Trebuchet MS"/>
    <w:charset w:val="00"/>
    <w:family w:val="swiss"/>
    <w:pitch w:val="variable"/>
    <w:sig w:usb0="00000087" w:usb1="00000000" w:usb2="00000000" w:usb3="00000000" w:csb0="0000001B" w:csb1="00000000"/>
  </w:font>
  <w:font w:name="Pristina">
    <w:panose1 w:val="03060402040406080204"/>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upee Foradian">
    <w:charset w:val="00"/>
    <w:family w:val="swiss"/>
    <w:pitch w:val="variable"/>
    <w:sig w:usb0="800000AF" w:usb1="1000204A"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Helve-WP CY">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Zurich Extra Condensed BT">
    <w:altName w:val="Zurich Extra Condensed"/>
    <w:panose1 w:val="00000000000000000000"/>
    <w:charset w:val="00"/>
    <w:family w:val="auto"/>
    <w:notTrueType/>
    <w:pitch w:val="default"/>
    <w:sig w:usb0="00000003" w:usb1="00000000" w:usb2="00000000" w:usb3="00000000" w:csb0="00000001" w:csb1="00000000"/>
  </w:font>
  <w:font w:name="LucidaSans">
    <w:altName w:val="Arial"/>
    <w:panose1 w:val="00000000000000000000"/>
    <w:charset w:val="00"/>
    <w:family w:val="auto"/>
    <w:notTrueType/>
    <w:pitch w:val="variable"/>
    <w:sig w:usb0="00000003" w:usb1="00000000" w:usb2="00000000" w:usb3="00000000" w:csb0="00000001" w:csb1="00000000"/>
  </w:font>
  <w:font w:name="UWHHHJ+Helvetica">
    <w:altName w:val="Arial"/>
    <w:panose1 w:val="00000000000000000000"/>
    <w:charset w:val="00"/>
    <w:family w:val="swiss"/>
    <w:notTrueType/>
    <w:pitch w:val="default"/>
    <w:sig w:usb0="00000003" w:usb1="00000000" w:usb2="00000000" w:usb3="00000000" w:csb0="00000001" w:csb1="00000000"/>
  </w:font>
  <w:font w:name="STKaiti">
    <w:charset w:val="86"/>
    <w:family w:val="auto"/>
    <w:pitch w:val="variable"/>
    <w:sig w:usb0="00000287" w:usb1="080F0000" w:usb2="00000010" w:usb3="00000000" w:csb0="0004009F" w:csb1="00000000"/>
  </w:font>
  <w:font w:name="Batang">
    <w:altName w:val="바탕"/>
    <w:panose1 w:val="02030600000101010101"/>
    <w:charset w:val="81"/>
    <w:family w:val="roman"/>
    <w:pitch w:val="variable"/>
    <w:sig w:usb0="B00002AF" w:usb1="69D77CFB" w:usb2="00000030" w:usb3="00000000" w:csb0="0008009F" w:csb1="00000000"/>
  </w:font>
  <w:font w:name="Futura Md BT">
    <w:altName w:val="Lucida Sans Unicode"/>
    <w:panose1 w:val="00000000000000000000"/>
    <w:charset w:val="00"/>
    <w:family w:val="swiss"/>
    <w:notTrueType/>
    <w:pitch w:val="variable"/>
    <w:sig w:usb0="00000003" w:usb1="00000000" w:usb2="00000000" w:usb3="00000000" w:csb0="00000001" w:csb1="00000000"/>
  </w:font>
  <w:font w:name="Zurich Blk BT">
    <w:altName w:val="Tahoma"/>
    <w:panose1 w:val="00000000000000000000"/>
    <w:charset w:val="00"/>
    <w:family w:val="swiss"/>
    <w:notTrueType/>
    <w:pitch w:val="variable"/>
    <w:sig w:usb0="00000003" w:usb1="00000000" w:usb2="00000000" w:usb3="00000000" w:csb0="00000001" w:csb1="00000000"/>
  </w:font>
  <w:font w:name="Times New Roman Bold">
    <w:panose1 w:val="02020803070505020304"/>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Garamond MT">
    <w:altName w:val="Garamond"/>
    <w:panose1 w:val="00000000000000000000"/>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dobe Garamond Pro">
    <w:altName w:val="Times New Roman"/>
    <w:panose1 w:val="00000000000000000000"/>
    <w:charset w:val="00"/>
    <w:family w:val="roman"/>
    <w:notTrueType/>
    <w:pitch w:val="default"/>
  </w:font>
  <w:font w:name="TimesNewRoman-Identity-H">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AD2FE" w14:textId="77777777" w:rsidR="003A7C1B" w:rsidRPr="003E2331" w:rsidRDefault="003A7C1B" w:rsidP="003E2331">
    <w:pPr>
      <w:pStyle w:val="Footer"/>
      <w:tabs>
        <w:tab w:val="clear" w:pos="4680"/>
        <w:tab w:val="clear" w:pos="9360"/>
      </w:tabs>
      <w:jc w:val="center"/>
      <w:rPr>
        <w:rFonts w:ascii="Times New Roman" w:hAnsi="Times New Roman"/>
        <w:caps/>
        <w:noProof/>
        <w:sz w:val="20"/>
        <w:szCs w:val="20"/>
      </w:rPr>
    </w:pPr>
    <w:r w:rsidRPr="006C4FD2">
      <w:rPr>
        <w:rFonts w:ascii="Times New Roman" w:hAnsi="Times New Roman"/>
        <w:caps/>
        <w:sz w:val="20"/>
        <w:szCs w:val="20"/>
      </w:rPr>
      <w:fldChar w:fldCharType="begin"/>
    </w:r>
    <w:r w:rsidRPr="006C4FD2">
      <w:rPr>
        <w:rFonts w:ascii="Times New Roman" w:hAnsi="Times New Roman"/>
        <w:caps/>
        <w:sz w:val="20"/>
        <w:szCs w:val="20"/>
      </w:rPr>
      <w:instrText xml:space="preserve"> PAGE   \* MERGEFORMAT </w:instrText>
    </w:r>
    <w:r w:rsidRPr="006C4FD2">
      <w:rPr>
        <w:rFonts w:ascii="Times New Roman" w:hAnsi="Times New Roman"/>
        <w:caps/>
        <w:sz w:val="20"/>
        <w:szCs w:val="20"/>
      </w:rPr>
      <w:fldChar w:fldCharType="separate"/>
    </w:r>
    <w:r>
      <w:rPr>
        <w:rFonts w:ascii="Times New Roman" w:hAnsi="Times New Roman"/>
        <w:caps/>
        <w:noProof/>
        <w:sz w:val="20"/>
        <w:szCs w:val="20"/>
      </w:rPr>
      <w:t>10</w:t>
    </w:r>
    <w:r w:rsidRPr="006C4FD2">
      <w:rPr>
        <w:rFonts w:ascii="Times New Roman" w:hAnsi="Times New Roman"/>
        <w:caps/>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0"/>
        <w:szCs w:val="20"/>
      </w:rPr>
      <w:id w:val="-1824576109"/>
      <w:docPartObj>
        <w:docPartGallery w:val="Page Numbers (Bottom of Page)"/>
        <w:docPartUnique/>
      </w:docPartObj>
    </w:sdtPr>
    <w:sdtEndPr>
      <w:rPr>
        <w:rFonts w:ascii="Calibri" w:hAnsi="Calibri"/>
        <w:noProof/>
        <w:sz w:val="22"/>
        <w:szCs w:val="22"/>
      </w:rPr>
    </w:sdtEndPr>
    <w:sdtContent>
      <w:p w14:paraId="3C19C5E2" w14:textId="77777777" w:rsidR="005B5953" w:rsidRDefault="005B5953" w:rsidP="00D12B1B">
        <w:pPr>
          <w:pStyle w:val="Footer"/>
          <w:jc w:val="center"/>
        </w:pPr>
        <w:r w:rsidRPr="00AB0C2A">
          <w:rPr>
            <w:rFonts w:ascii="Times New Roman" w:hAnsi="Times New Roman"/>
            <w:sz w:val="20"/>
            <w:szCs w:val="20"/>
          </w:rPr>
          <w:fldChar w:fldCharType="begin"/>
        </w:r>
        <w:r w:rsidRPr="00AB0C2A">
          <w:rPr>
            <w:rFonts w:ascii="Times New Roman" w:hAnsi="Times New Roman"/>
            <w:sz w:val="20"/>
            <w:szCs w:val="20"/>
          </w:rPr>
          <w:instrText xml:space="preserve"> PAGE   \* MERGEFORMAT </w:instrText>
        </w:r>
        <w:r w:rsidRPr="00AB0C2A">
          <w:rPr>
            <w:rFonts w:ascii="Times New Roman" w:hAnsi="Times New Roman"/>
            <w:sz w:val="20"/>
            <w:szCs w:val="20"/>
          </w:rPr>
          <w:fldChar w:fldCharType="separate"/>
        </w:r>
        <w:r w:rsidRPr="00AB0C2A">
          <w:rPr>
            <w:rFonts w:ascii="Times New Roman" w:hAnsi="Times New Roman"/>
            <w:noProof/>
            <w:sz w:val="20"/>
            <w:szCs w:val="20"/>
          </w:rPr>
          <w:t>2</w:t>
        </w:r>
        <w:r w:rsidRPr="00AB0C2A">
          <w:rPr>
            <w:rFonts w:ascii="Times New Roman" w:hAnsi="Times New Roman"/>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0"/>
        <w:szCs w:val="20"/>
      </w:rPr>
      <w:id w:val="-1608182628"/>
      <w:docPartObj>
        <w:docPartGallery w:val="Page Numbers (Bottom of Page)"/>
        <w:docPartUnique/>
      </w:docPartObj>
    </w:sdtPr>
    <w:sdtEndPr>
      <w:rPr>
        <w:noProof/>
      </w:rPr>
    </w:sdtEndPr>
    <w:sdtContent>
      <w:p w14:paraId="4E5F4B41" w14:textId="5B7DCFB1" w:rsidR="00F8631B" w:rsidRPr="00F8631B" w:rsidRDefault="00F8631B" w:rsidP="00F8631B">
        <w:pPr>
          <w:pStyle w:val="Footer"/>
          <w:jc w:val="center"/>
          <w:rPr>
            <w:rFonts w:ascii="Times New Roman" w:hAnsi="Times New Roman"/>
            <w:sz w:val="20"/>
            <w:szCs w:val="20"/>
          </w:rPr>
        </w:pPr>
        <w:r w:rsidRPr="00F8631B">
          <w:rPr>
            <w:rFonts w:ascii="Times New Roman" w:hAnsi="Times New Roman"/>
            <w:sz w:val="20"/>
            <w:szCs w:val="20"/>
          </w:rPr>
          <w:fldChar w:fldCharType="begin"/>
        </w:r>
        <w:r w:rsidRPr="00F8631B">
          <w:rPr>
            <w:rFonts w:ascii="Times New Roman" w:hAnsi="Times New Roman"/>
            <w:sz w:val="20"/>
            <w:szCs w:val="20"/>
          </w:rPr>
          <w:instrText xml:space="preserve"> PAGE   \* MERGEFORMAT </w:instrText>
        </w:r>
        <w:r w:rsidRPr="00F8631B">
          <w:rPr>
            <w:rFonts w:ascii="Times New Roman" w:hAnsi="Times New Roman"/>
            <w:sz w:val="20"/>
            <w:szCs w:val="20"/>
          </w:rPr>
          <w:fldChar w:fldCharType="separate"/>
        </w:r>
        <w:r w:rsidRPr="00F8631B">
          <w:rPr>
            <w:rFonts w:ascii="Times New Roman" w:hAnsi="Times New Roman"/>
            <w:noProof/>
            <w:sz w:val="20"/>
            <w:szCs w:val="20"/>
          </w:rPr>
          <w:t>2</w:t>
        </w:r>
        <w:r w:rsidRPr="00F8631B">
          <w:rPr>
            <w:rFonts w:ascii="Times New Roman" w:hAnsi="Times New Roman"/>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4551E" w14:textId="77777777" w:rsidR="00055945" w:rsidRDefault="00055945" w:rsidP="00F8631B">
      <w:pPr>
        <w:spacing w:after="0" w:line="240" w:lineRule="auto"/>
      </w:pPr>
      <w:r>
        <w:separator/>
      </w:r>
    </w:p>
  </w:footnote>
  <w:footnote w:type="continuationSeparator" w:id="0">
    <w:p w14:paraId="1157D761" w14:textId="77777777" w:rsidR="00055945" w:rsidRDefault="00055945" w:rsidP="00F863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351EE" w14:textId="77777777" w:rsidR="003A7C1B" w:rsidRPr="00B101BD" w:rsidRDefault="003A7C1B" w:rsidP="00B101BD">
    <w:pPr>
      <w:pStyle w:val="Header"/>
      <w:pBdr>
        <w:bottom w:val="single" w:sz="4" w:space="1" w:color="auto"/>
      </w:pBdr>
    </w:pPr>
    <w:r w:rsidRPr="00B101BD">
      <w:rPr>
        <w:rFonts w:ascii="Times New Roman" w:hAnsi="Times New Roman"/>
        <w:i/>
        <w:sz w:val="20"/>
        <w:szCs w:val="20"/>
        <w:lang w:val="en-IN"/>
      </w:rPr>
      <w:t>Siyaram Recycling Industries Limited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390DA" w14:textId="77777777" w:rsidR="005B5953" w:rsidRDefault="005B5953" w:rsidP="00E4650D">
    <w:pPr>
      <w:pStyle w:val="Header"/>
      <w:pBdr>
        <w:bottom w:val="single" w:sz="4" w:space="1" w:color="auto"/>
      </w:pBdr>
    </w:pPr>
    <w:r w:rsidRPr="00B101BD">
      <w:rPr>
        <w:rFonts w:ascii="Times New Roman" w:hAnsi="Times New Roman"/>
        <w:i/>
        <w:sz w:val="20"/>
        <w:szCs w:val="20"/>
        <w:lang w:val="en-IN"/>
      </w:rPr>
      <w:t>Siyaram Recycling Industries Limited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970E2" w14:textId="7DF600C0" w:rsidR="00F8631B" w:rsidRDefault="00F8631B" w:rsidP="00F8631B">
    <w:pPr>
      <w:pStyle w:val="Header"/>
      <w:pBdr>
        <w:bottom w:val="single" w:sz="4" w:space="1" w:color="auto"/>
      </w:pBdr>
    </w:pPr>
    <w:r w:rsidRPr="00B101BD">
      <w:rPr>
        <w:rFonts w:ascii="Times New Roman" w:hAnsi="Times New Roman"/>
        <w:i/>
        <w:sz w:val="20"/>
        <w:szCs w:val="20"/>
        <w:lang w:val="en-IN"/>
      </w:rPr>
      <w:t>Siyaram Recycling Industries Limited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33230E6"/>
    <w:styleLink w:val="WWNum65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180AFD4"/>
    <w:styleLink w:val="WWNum7635"/>
    <w:lvl w:ilvl="0">
      <w:start w:val="1"/>
      <w:numFmt w:val="decimal"/>
      <w:pStyle w:val="ListNumber4"/>
      <w:lvlText w:val="%1."/>
      <w:lvlJc w:val="left"/>
      <w:pPr>
        <w:tabs>
          <w:tab w:val="num" w:pos="1440"/>
        </w:tabs>
        <w:ind w:left="1440" w:hanging="360"/>
      </w:pPr>
    </w:lvl>
  </w:abstractNum>
  <w:abstractNum w:abstractNumId="2" w15:restartNumberingAfterBreak="0">
    <w:nsid w:val="FFFFFF80"/>
    <w:multiLevelType w:val="singleLevel"/>
    <w:tmpl w:val="E9BEDE8A"/>
    <w:lvl w:ilvl="0">
      <w:start w:val="1"/>
      <w:numFmt w:val="bullet"/>
      <w:pStyle w:val="ListBullet5"/>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D416E4F8"/>
    <w:styleLink w:val="WWNum494"/>
    <w:lvl w:ilvl="0">
      <w:start w:val="1"/>
      <w:numFmt w:val="bullet"/>
      <w:pStyle w:val="ListBullet4"/>
      <w:lvlText w:val=""/>
      <w:lvlJc w:val="left"/>
      <w:pPr>
        <w:tabs>
          <w:tab w:val="num" w:pos="1440"/>
        </w:tabs>
        <w:ind w:left="1440" w:hanging="360"/>
      </w:pPr>
      <w:rPr>
        <w:rFonts w:ascii="Symbol" w:hAnsi="Symbol" w:hint="default"/>
      </w:rPr>
    </w:lvl>
  </w:abstractNum>
  <w:abstractNum w:abstractNumId="4" w15:restartNumberingAfterBreak="0">
    <w:nsid w:val="00000001"/>
    <w:multiLevelType w:val="hybridMultilevel"/>
    <w:tmpl w:val="5FD8807A"/>
    <w:lvl w:ilvl="0" w:tplc="4009000F">
      <w:start w:val="1"/>
      <w:numFmt w:val="decimal"/>
      <w:lvlText w:val="%1."/>
      <w:lvlJc w:val="left"/>
      <w:pPr>
        <w:tabs>
          <w:tab w:val="num" w:pos="360"/>
        </w:tabs>
        <w:ind w:left="0" w:firstLine="0"/>
      </w:pPr>
    </w:lvl>
    <w:lvl w:ilvl="1" w:tplc="40090017">
      <w:start w:val="1"/>
      <w:numFmt w:val="lowerLetter"/>
      <w:lvlText w:val="%2)"/>
      <w:lvlJc w:val="left"/>
      <w:pPr>
        <w:tabs>
          <w:tab w:val="num" w:pos="360"/>
        </w:tabs>
        <w:ind w:left="0" w:firstLine="0"/>
      </w:pPr>
    </w:lvl>
    <w:lvl w:ilvl="2" w:tplc="FFFFFFFF">
      <w:numFmt w:val="decimal"/>
      <w:lvlText w:val=""/>
      <w:lvlJc w:val="left"/>
      <w:pPr>
        <w:ind w:left="0" w:firstLine="0"/>
      </w:pPr>
    </w:lvl>
    <w:lvl w:ilvl="3" w:tplc="4009001B">
      <w:start w:val="1"/>
      <w:numFmt w:val="lowerRoman"/>
      <w:lvlText w:val="%4."/>
      <w:lvlJc w:val="right"/>
      <w:pPr>
        <w:ind w:left="0" w:firstLine="0"/>
      </w:pPr>
    </w:lvl>
    <w:lvl w:ilvl="4" w:tplc="40090017">
      <w:start w:val="1"/>
      <w:numFmt w:val="lowerLetter"/>
      <w:lvlText w:val="%5)"/>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40090017">
      <w:start w:val="1"/>
      <w:numFmt w:val="lowerLetter"/>
      <w:lvlText w:val="%9)"/>
      <w:lvlJc w:val="left"/>
      <w:pPr>
        <w:ind w:left="0" w:firstLine="0"/>
      </w:pPr>
    </w:lvl>
  </w:abstractNum>
  <w:abstractNum w:abstractNumId="5" w15:restartNumberingAfterBreak="0">
    <w:nsid w:val="00000003"/>
    <w:multiLevelType w:val="multilevel"/>
    <w:tmpl w:val="00C00274"/>
    <w:styleLink w:val="WWNum7310"/>
    <w:lvl w:ilvl="0">
      <w:start w:val="1"/>
      <w:numFmt w:val="decimal"/>
      <w:pStyle w:val="Style2"/>
      <w:suff w:val="nothing"/>
      <w:lvlText w:val="ARTICLE %1"/>
      <w:lvlJc w:val="left"/>
      <w:rPr>
        <w:rFonts w:ascii="Tahoma" w:hAnsi="Tahoma" w:cs="Tahoma" w:hint="default"/>
        <w:b/>
        <w:bCs/>
        <w:i w:val="0"/>
        <w:iCs w:val="0"/>
        <w:spacing w:val="0"/>
        <w:sz w:val="20"/>
        <w:szCs w:val="20"/>
      </w:rPr>
    </w:lvl>
    <w:lvl w:ilvl="1">
      <w:start w:val="1"/>
      <w:numFmt w:val="decimal"/>
      <w:lvlText w:val="%1.%2"/>
      <w:lvlJc w:val="left"/>
      <w:pPr>
        <w:tabs>
          <w:tab w:val="num" w:pos="864"/>
        </w:tabs>
        <w:ind w:left="864" w:hanging="864"/>
      </w:pPr>
      <w:rPr>
        <w:rFonts w:ascii="Tahoma" w:hAnsi="Tahoma" w:cs="Tahoma" w:hint="default"/>
        <w:b w:val="0"/>
        <w:bCs w:val="0"/>
        <w:i w:val="0"/>
        <w:iCs w:val="0"/>
        <w:spacing w:val="0"/>
        <w:sz w:val="20"/>
        <w:szCs w:val="20"/>
      </w:rPr>
    </w:lvl>
    <w:lvl w:ilvl="2">
      <w:start w:val="1"/>
      <w:numFmt w:val="decimal"/>
      <w:lvlText w:val="%1.%2.%3"/>
      <w:lvlJc w:val="left"/>
      <w:pPr>
        <w:tabs>
          <w:tab w:val="num" w:pos="954"/>
        </w:tabs>
        <w:ind w:left="954" w:hanging="864"/>
      </w:pPr>
      <w:rPr>
        <w:rFonts w:ascii="Tahoma" w:hAnsi="Tahoma" w:cs="Tahoma" w:hint="default"/>
        <w:b w:val="0"/>
        <w:bCs w:val="0"/>
        <w:i w:val="0"/>
        <w:iCs w:val="0"/>
        <w:spacing w:val="0"/>
        <w:sz w:val="20"/>
        <w:szCs w:val="20"/>
      </w:rPr>
    </w:lvl>
    <w:lvl w:ilvl="3">
      <w:start w:val="1"/>
      <w:numFmt w:val="lowerLetter"/>
      <w:lvlText w:val="(%4)"/>
      <w:lvlJc w:val="left"/>
      <w:pPr>
        <w:tabs>
          <w:tab w:val="num" w:pos="1440"/>
        </w:tabs>
        <w:ind w:left="1440" w:hanging="576"/>
      </w:pPr>
      <w:rPr>
        <w:rFonts w:ascii="Tahoma" w:hAnsi="Tahoma" w:cs="Tahoma" w:hint="default"/>
        <w:b w:val="0"/>
        <w:bCs w:val="0"/>
        <w:i w:val="0"/>
        <w:iCs w:val="0"/>
        <w:color w:val="auto"/>
        <w:spacing w:val="0"/>
        <w:sz w:val="20"/>
        <w:szCs w:val="20"/>
      </w:rPr>
    </w:lvl>
    <w:lvl w:ilvl="4">
      <w:start w:val="1"/>
      <w:numFmt w:val="lowerRoman"/>
      <w:lvlText w:val="(%5)"/>
      <w:lvlJc w:val="left"/>
      <w:pPr>
        <w:tabs>
          <w:tab w:val="num" w:pos="2880"/>
        </w:tabs>
        <w:ind w:left="2160" w:hanging="720"/>
      </w:pPr>
      <w:rPr>
        <w:rFonts w:ascii="Times New Roman" w:hAnsi="Times New Roman" w:cs="Tahoma" w:hint="default"/>
        <w:b w:val="0"/>
        <w:bCs w:val="0"/>
        <w:i w:val="0"/>
        <w:iCs w:val="0"/>
        <w:spacing w:val="0"/>
        <w:sz w:val="20"/>
        <w:szCs w:val="20"/>
      </w:rPr>
    </w:lvl>
    <w:lvl w:ilvl="5">
      <w:start w:val="1"/>
      <w:numFmt w:val="bullet"/>
      <w:lvlText w:val=""/>
      <w:lvlJc w:val="left"/>
      <w:pPr>
        <w:tabs>
          <w:tab w:val="num" w:pos="3240"/>
        </w:tabs>
        <w:ind w:left="2592" w:hanging="432"/>
      </w:pPr>
      <w:rPr>
        <w:rFonts w:ascii="Symbol" w:hAnsi="Symbol" w:hint="default"/>
        <w:color w:val="auto"/>
        <w:spacing w:val="0"/>
      </w:rPr>
    </w:lvl>
    <w:lvl w:ilvl="6">
      <w:start w:val="1"/>
      <w:numFmt w:val="bullet"/>
      <w:lvlText w:val=""/>
      <w:lvlJc w:val="left"/>
      <w:pPr>
        <w:tabs>
          <w:tab w:val="num" w:pos="3960"/>
        </w:tabs>
        <w:ind w:left="2880" w:hanging="288"/>
      </w:pPr>
      <w:rPr>
        <w:rFonts w:ascii="Wingdings" w:hAnsi="Wingdings" w:hint="default"/>
        <w:color w:val="auto"/>
        <w:spacing w:val="0"/>
      </w:rPr>
    </w:lvl>
    <w:lvl w:ilvl="7">
      <w:start w:val="1"/>
      <w:numFmt w:val="decimal"/>
      <w:lvlText w:val="%1.%2.%3.%4.%5.%6.%7.%8."/>
      <w:lvlJc w:val="left"/>
      <w:pPr>
        <w:tabs>
          <w:tab w:val="num" w:pos="4680"/>
        </w:tabs>
        <w:ind w:left="3744" w:hanging="1224"/>
      </w:pPr>
      <w:rPr>
        <w:rFonts w:cs="Times New Roman" w:hint="eastAsia"/>
      </w:rPr>
    </w:lvl>
    <w:lvl w:ilvl="8">
      <w:start w:val="1"/>
      <w:numFmt w:val="decimal"/>
      <w:lvlText w:val="%1.%2.%3.%4.%5.%6.%7.%8.%9."/>
      <w:lvlJc w:val="left"/>
      <w:pPr>
        <w:tabs>
          <w:tab w:val="num" w:pos="5040"/>
        </w:tabs>
        <w:ind w:left="4320" w:hanging="1440"/>
      </w:pPr>
      <w:rPr>
        <w:rFonts w:cs="Times New Roman" w:hint="eastAsia"/>
      </w:rPr>
    </w:lvl>
  </w:abstractNum>
  <w:abstractNum w:abstractNumId="6" w15:restartNumberingAfterBreak="0">
    <w:nsid w:val="00001D56"/>
    <w:multiLevelType w:val="singleLevel"/>
    <w:tmpl w:val="179867B4"/>
    <w:lvl w:ilvl="0">
      <w:start w:val="1"/>
      <w:numFmt w:val="lowerLetter"/>
      <w:lvlText w:val="%1)"/>
      <w:lvlJc w:val="left"/>
      <w:pPr>
        <w:ind w:left="0" w:firstLine="0"/>
      </w:pPr>
      <w:rPr>
        <w:rFonts w:ascii="Times New Roman" w:eastAsia="Times New Roman" w:hAnsi="Times New Roman" w:cs="Times New Roman"/>
      </w:rPr>
    </w:lvl>
  </w:abstractNum>
  <w:abstractNum w:abstractNumId="7" w15:restartNumberingAfterBreak="0">
    <w:nsid w:val="0000224B"/>
    <w:multiLevelType w:val="singleLevel"/>
    <w:tmpl w:val="4D8A24D2"/>
    <w:lvl w:ilvl="0">
      <w:start w:val="1"/>
      <w:numFmt w:val="decimal"/>
      <w:lvlText w:val="%1."/>
      <w:lvlJc w:val="left"/>
      <w:pPr>
        <w:ind w:left="720" w:hanging="360"/>
      </w:pPr>
      <w:rPr>
        <w:rFonts w:ascii="Times New Roman" w:eastAsia="Times New Roman" w:hAnsi="Times New Roman" w:cs="Times New Roman"/>
      </w:rPr>
    </w:lvl>
  </w:abstractNum>
  <w:abstractNum w:abstractNumId="8" w15:restartNumberingAfterBreak="0">
    <w:nsid w:val="000043AA"/>
    <w:multiLevelType w:val="multilevel"/>
    <w:tmpl w:val="9362B30E"/>
    <w:lvl w:ilvl="0">
      <w:start w:val="1"/>
      <w:numFmt w:val="decimal"/>
      <w:lvlText w:val="%1."/>
      <w:lvlJc w:val="left"/>
      <w:pPr>
        <w:ind w:left="0" w:firstLine="0"/>
      </w:pPr>
      <w:rPr>
        <w:rFonts w:ascii="Times New Roman" w:hAnsi="Times New Roman" w:cs="Times New Roman"/>
      </w:rPr>
    </w:lvl>
    <w:lvl w:ilvl="1">
      <w:start w:val="1"/>
      <w:numFmt w:val="decimal"/>
      <w:lvlText w:val="%1.%2"/>
      <w:lvlJc w:val="left"/>
      <w:pPr>
        <w:ind w:left="0" w:firstLine="0"/>
      </w:pPr>
      <w:rPr>
        <w:rFonts w:ascii="Times New Roman" w:hAnsi="Times New Roman" w:cs="Times New Roman"/>
        <w:b/>
      </w:rPr>
    </w:lvl>
    <w:lvl w:ilvl="2">
      <w:start w:val="1"/>
      <w:numFmt w:val="decimal"/>
      <w:lvlText w:val="%1.%2"/>
      <w:lvlJc w:val="left"/>
      <w:pPr>
        <w:ind w:left="0" w:firstLine="0"/>
      </w:pPr>
      <w:rPr>
        <w:rFonts w:ascii="Times New Roman" w:hAnsi="Times New Roman" w:cs="Times New Roman"/>
      </w:rPr>
    </w:lvl>
    <w:lvl w:ilvl="3">
      <w:start w:val="1"/>
      <w:numFmt w:val="decimal"/>
      <w:lvlText w:val="%1.%2"/>
      <w:lvlJc w:val="left"/>
      <w:pPr>
        <w:ind w:left="0" w:firstLine="0"/>
      </w:pPr>
      <w:rPr>
        <w:rFonts w:ascii="Times New Roman" w:hAnsi="Times New Roman" w:cs="Times New Roman"/>
      </w:rPr>
    </w:lvl>
    <w:lvl w:ilvl="4">
      <w:start w:val="1"/>
      <w:numFmt w:val="decimal"/>
      <w:lvlText w:val="%1.%2"/>
      <w:lvlJc w:val="left"/>
      <w:pPr>
        <w:ind w:left="0" w:firstLine="0"/>
      </w:pPr>
      <w:rPr>
        <w:rFonts w:ascii="Times New Roman" w:hAnsi="Times New Roman" w:cs="Times New Roman"/>
      </w:rPr>
    </w:lvl>
    <w:lvl w:ilvl="5">
      <w:start w:val="1"/>
      <w:numFmt w:val="decimal"/>
      <w:lvlText w:val="%1.%2"/>
      <w:lvlJc w:val="left"/>
      <w:pPr>
        <w:ind w:left="0" w:firstLine="0"/>
      </w:pPr>
      <w:rPr>
        <w:rFonts w:ascii="Times New Roman" w:hAnsi="Times New Roman" w:cs="Times New Roman"/>
      </w:rPr>
    </w:lvl>
    <w:lvl w:ilvl="6">
      <w:start w:val="1"/>
      <w:numFmt w:val="decimal"/>
      <w:lvlText w:val="%1.%2"/>
      <w:lvlJc w:val="left"/>
      <w:pPr>
        <w:ind w:left="0" w:firstLine="0"/>
      </w:pPr>
      <w:rPr>
        <w:rFonts w:ascii="Times New Roman" w:hAnsi="Times New Roman" w:cs="Times New Roman"/>
      </w:rPr>
    </w:lvl>
    <w:lvl w:ilvl="7">
      <w:start w:val="1"/>
      <w:numFmt w:val="decimal"/>
      <w:lvlText w:val="%1.%2"/>
      <w:lvlJc w:val="left"/>
      <w:pPr>
        <w:ind w:left="0" w:firstLine="0"/>
      </w:pPr>
      <w:rPr>
        <w:rFonts w:ascii="Times New Roman" w:hAnsi="Times New Roman" w:cs="Times New Roman"/>
      </w:rPr>
    </w:lvl>
    <w:lvl w:ilvl="8">
      <w:start w:val="1"/>
      <w:numFmt w:val="decimal"/>
      <w:lvlText w:val="%1.%2"/>
      <w:lvlJc w:val="left"/>
      <w:pPr>
        <w:ind w:left="0" w:firstLine="0"/>
      </w:pPr>
      <w:rPr>
        <w:rFonts w:ascii="Times New Roman" w:hAnsi="Times New Roman" w:cs="Times New Roman"/>
      </w:rPr>
    </w:lvl>
  </w:abstractNum>
  <w:abstractNum w:abstractNumId="9" w15:restartNumberingAfterBreak="0">
    <w:nsid w:val="00005E28"/>
    <w:multiLevelType w:val="singleLevel"/>
    <w:tmpl w:val="00006019"/>
    <w:lvl w:ilvl="0">
      <w:start w:val="1"/>
      <w:numFmt w:val="lowerLetter"/>
      <w:lvlText w:val="%1)"/>
      <w:lvlJc w:val="left"/>
      <w:pPr>
        <w:ind w:left="0" w:firstLine="0"/>
      </w:pPr>
      <w:rPr>
        <w:rFonts w:ascii="Times New Roman" w:hAnsi="Times New Roman" w:cs="Times New Roman"/>
      </w:rPr>
    </w:lvl>
  </w:abstractNum>
  <w:abstractNum w:abstractNumId="10" w15:restartNumberingAfterBreak="0">
    <w:nsid w:val="00363F34"/>
    <w:multiLevelType w:val="hybridMultilevel"/>
    <w:tmpl w:val="E766B104"/>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0445F84"/>
    <w:multiLevelType w:val="multilevel"/>
    <w:tmpl w:val="46906244"/>
    <w:styleLink w:val="WWNum6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 w15:restartNumberingAfterBreak="0">
    <w:nsid w:val="00CF2A10"/>
    <w:multiLevelType w:val="multilevel"/>
    <w:tmpl w:val="AFB4165E"/>
    <w:styleLink w:val="WWNum38104"/>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 w15:restartNumberingAfterBreak="0">
    <w:nsid w:val="01EB3BD4"/>
    <w:multiLevelType w:val="hybridMultilevel"/>
    <w:tmpl w:val="F2FC5B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229022C"/>
    <w:multiLevelType w:val="hybridMultilevel"/>
    <w:tmpl w:val="1F266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2616808"/>
    <w:multiLevelType w:val="hybridMultilevel"/>
    <w:tmpl w:val="8A80F7F6"/>
    <w:styleLink w:val="WWNum7351"/>
    <w:lvl w:ilvl="0" w:tplc="0409000F">
      <w:start w:val="1"/>
      <w:numFmt w:val="bullet"/>
      <w:lvlText w:val=""/>
      <w:lvlJc w:val="left"/>
      <w:pPr>
        <w:ind w:left="1578" w:hanging="360"/>
      </w:pPr>
      <w:rPr>
        <w:rFonts w:ascii="Symbol" w:hAnsi="Symbol" w:hint="default"/>
      </w:rPr>
    </w:lvl>
    <w:lvl w:ilvl="1" w:tplc="04090003" w:tentative="1">
      <w:start w:val="1"/>
      <w:numFmt w:val="bullet"/>
      <w:lvlText w:val="o"/>
      <w:lvlJc w:val="left"/>
      <w:pPr>
        <w:ind w:left="2298" w:hanging="360"/>
      </w:pPr>
      <w:rPr>
        <w:rFonts w:ascii="Courier New" w:hAnsi="Courier New" w:cs="Courier New" w:hint="default"/>
      </w:rPr>
    </w:lvl>
    <w:lvl w:ilvl="2" w:tplc="04090005" w:tentative="1">
      <w:start w:val="1"/>
      <w:numFmt w:val="bullet"/>
      <w:lvlText w:val=""/>
      <w:lvlJc w:val="left"/>
      <w:pPr>
        <w:ind w:left="3018" w:hanging="360"/>
      </w:pPr>
      <w:rPr>
        <w:rFonts w:ascii="Wingdings" w:hAnsi="Wingdings" w:hint="default"/>
      </w:rPr>
    </w:lvl>
    <w:lvl w:ilvl="3" w:tplc="04090001" w:tentative="1">
      <w:start w:val="1"/>
      <w:numFmt w:val="bullet"/>
      <w:lvlText w:val=""/>
      <w:lvlJc w:val="left"/>
      <w:pPr>
        <w:ind w:left="3738" w:hanging="360"/>
      </w:pPr>
      <w:rPr>
        <w:rFonts w:ascii="Symbol" w:hAnsi="Symbol" w:hint="default"/>
      </w:rPr>
    </w:lvl>
    <w:lvl w:ilvl="4" w:tplc="04090003" w:tentative="1">
      <w:start w:val="1"/>
      <w:numFmt w:val="bullet"/>
      <w:lvlText w:val="o"/>
      <w:lvlJc w:val="left"/>
      <w:pPr>
        <w:ind w:left="4458" w:hanging="360"/>
      </w:pPr>
      <w:rPr>
        <w:rFonts w:ascii="Courier New" w:hAnsi="Courier New" w:cs="Courier New" w:hint="default"/>
      </w:rPr>
    </w:lvl>
    <w:lvl w:ilvl="5" w:tplc="04090005" w:tentative="1">
      <w:start w:val="1"/>
      <w:numFmt w:val="bullet"/>
      <w:lvlText w:val=""/>
      <w:lvlJc w:val="left"/>
      <w:pPr>
        <w:ind w:left="5178" w:hanging="360"/>
      </w:pPr>
      <w:rPr>
        <w:rFonts w:ascii="Wingdings" w:hAnsi="Wingdings" w:hint="default"/>
      </w:rPr>
    </w:lvl>
    <w:lvl w:ilvl="6" w:tplc="04090001" w:tentative="1">
      <w:start w:val="1"/>
      <w:numFmt w:val="bullet"/>
      <w:lvlText w:val=""/>
      <w:lvlJc w:val="left"/>
      <w:pPr>
        <w:ind w:left="5898" w:hanging="360"/>
      </w:pPr>
      <w:rPr>
        <w:rFonts w:ascii="Symbol" w:hAnsi="Symbol" w:hint="default"/>
      </w:rPr>
    </w:lvl>
    <w:lvl w:ilvl="7" w:tplc="04090003" w:tentative="1">
      <w:start w:val="1"/>
      <w:numFmt w:val="bullet"/>
      <w:lvlText w:val="o"/>
      <w:lvlJc w:val="left"/>
      <w:pPr>
        <w:ind w:left="6618" w:hanging="360"/>
      </w:pPr>
      <w:rPr>
        <w:rFonts w:ascii="Courier New" w:hAnsi="Courier New" w:cs="Courier New" w:hint="default"/>
      </w:rPr>
    </w:lvl>
    <w:lvl w:ilvl="8" w:tplc="04090005" w:tentative="1">
      <w:start w:val="1"/>
      <w:numFmt w:val="bullet"/>
      <w:lvlText w:val=""/>
      <w:lvlJc w:val="left"/>
      <w:pPr>
        <w:ind w:left="7338" w:hanging="360"/>
      </w:pPr>
      <w:rPr>
        <w:rFonts w:ascii="Wingdings" w:hAnsi="Wingdings" w:hint="default"/>
      </w:rPr>
    </w:lvl>
  </w:abstractNum>
  <w:abstractNum w:abstractNumId="16" w15:restartNumberingAfterBreak="0">
    <w:nsid w:val="02855959"/>
    <w:multiLevelType w:val="multilevel"/>
    <w:tmpl w:val="0E7C08F8"/>
    <w:styleLink w:val="WWNum1716"/>
    <w:lvl w:ilvl="0">
      <w:start w:val="1"/>
      <w:numFmt w:val="lowerRoman"/>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7" w15:restartNumberingAfterBreak="0">
    <w:nsid w:val="028B321D"/>
    <w:multiLevelType w:val="multilevel"/>
    <w:tmpl w:val="882C7AF8"/>
    <w:styleLink w:val="WWNum49"/>
    <w:lvl w:ilvl="0">
      <w:start w:val="1"/>
      <w:numFmt w:val="lowerRoman"/>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 w15:restartNumberingAfterBreak="0">
    <w:nsid w:val="02A22A7D"/>
    <w:multiLevelType w:val="hybridMultilevel"/>
    <w:tmpl w:val="83DE428C"/>
    <w:styleLink w:val="WWNum7665"/>
    <w:lvl w:ilvl="0" w:tplc="BE28B426">
      <w:start w:val="1"/>
      <w:numFmt w:val="decimal"/>
      <w:lvlText w:val="%1."/>
      <w:lvlJc w:val="left"/>
      <w:pPr>
        <w:ind w:left="1170" w:hanging="360"/>
      </w:pPr>
      <w:rPr>
        <w:b/>
        <w:sz w:val="20"/>
        <w:szCs w:val="2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9" w15:restartNumberingAfterBreak="0">
    <w:nsid w:val="033D78E7"/>
    <w:multiLevelType w:val="hybridMultilevel"/>
    <w:tmpl w:val="05AAAB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3DD5ECD"/>
    <w:multiLevelType w:val="hybridMultilevel"/>
    <w:tmpl w:val="4EC43CEC"/>
    <w:lvl w:ilvl="0" w:tplc="B4B053E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3E17092"/>
    <w:multiLevelType w:val="multilevel"/>
    <w:tmpl w:val="D924EB9A"/>
    <w:styleLink w:val="WWNum121"/>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03F2000B"/>
    <w:multiLevelType w:val="singleLevel"/>
    <w:tmpl w:val="4D8A24D2"/>
    <w:lvl w:ilvl="0">
      <w:start w:val="1"/>
      <w:numFmt w:val="decimal"/>
      <w:lvlText w:val="%1."/>
      <w:lvlJc w:val="left"/>
      <w:pPr>
        <w:ind w:left="720" w:hanging="360"/>
      </w:pPr>
      <w:rPr>
        <w:rFonts w:ascii="Times New Roman" w:eastAsia="Times New Roman" w:hAnsi="Times New Roman" w:cs="Times New Roman"/>
      </w:rPr>
    </w:lvl>
  </w:abstractNum>
  <w:abstractNum w:abstractNumId="23" w15:restartNumberingAfterBreak="0">
    <w:nsid w:val="04CC3AC2"/>
    <w:multiLevelType w:val="multilevel"/>
    <w:tmpl w:val="A7C6E34A"/>
    <w:styleLink w:val="WWNum45104"/>
    <w:lvl w:ilvl="0">
      <w:start w:val="1"/>
      <w:numFmt w:val="lowerRoman"/>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 w15:restartNumberingAfterBreak="0">
    <w:nsid w:val="0576214A"/>
    <w:multiLevelType w:val="hybridMultilevel"/>
    <w:tmpl w:val="D6C6185C"/>
    <w:lvl w:ilvl="0" w:tplc="04090011">
      <w:start w:val="1"/>
      <w:numFmt w:val="decimal"/>
      <w:lvlText w:val="%1)"/>
      <w:lvlJc w:val="left"/>
      <w:pPr>
        <w:ind w:left="720" w:hanging="360"/>
      </w:pPr>
    </w:lvl>
    <w:lvl w:ilvl="1" w:tplc="0409000F">
      <w:start w:val="1"/>
      <w:numFmt w:val="decimal"/>
      <w:lvlText w:val="%2."/>
      <w:lvlJc w:val="left"/>
      <w:pPr>
        <w:ind w:left="1656"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5BA6EB6"/>
    <w:multiLevelType w:val="hybridMultilevel"/>
    <w:tmpl w:val="269A67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5C03FC3"/>
    <w:multiLevelType w:val="hybridMultilevel"/>
    <w:tmpl w:val="AC2800C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05DF6791"/>
    <w:multiLevelType w:val="multilevel"/>
    <w:tmpl w:val="E5A6BCAC"/>
    <w:styleLink w:val="WWNum1120"/>
    <w:lvl w:ilvl="0">
      <w:start w:val="1"/>
      <w:numFmt w:val="lowerRoman"/>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 w15:restartNumberingAfterBreak="0">
    <w:nsid w:val="05F71548"/>
    <w:multiLevelType w:val="hybridMultilevel"/>
    <w:tmpl w:val="3D6A947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5F82035"/>
    <w:multiLevelType w:val="hybridMultilevel"/>
    <w:tmpl w:val="A9CA1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71018DD"/>
    <w:multiLevelType w:val="hybridMultilevel"/>
    <w:tmpl w:val="FF82E260"/>
    <w:lvl w:ilvl="0" w:tplc="40090011">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07240F86"/>
    <w:multiLevelType w:val="multilevel"/>
    <w:tmpl w:val="9B0A736E"/>
    <w:styleLink w:val="WWNum67"/>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2" w15:restartNumberingAfterBreak="0">
    <w:nsid w:val="075914E0"/>
    <w:multiLevelType w:val="hybridMultilevel"/>
    <w:tmpl w:val="294EF134"/>
    <w:lvl w:ilvl="0" w:tplc="04090011">
      <w:start w:val="1"/>
      <w:numFmt w:val="decimal"/>
      <w:lvlText w:val="%1)"/>
      <w:lvlJc w:val="left"/>
      <w:pPr>
        <w:ind w:left="2234" w:hanging="360"/>
      </w:pPr>
    </w:lvl>
    <w:lvl w:ilvl="1" w:tplc="04090019">
      <w:start w:val="1"/>
      <w:numFmt w:val="lowerLetter"/>
      <w:lvlText w:val="%2."/>
      <w:lvlJc w:val="left"/>
      <w:pPr>
        <w:ind w:left="2954" w:hanging="360"/>
      </w:pPr>
    </w:lvl>
    <w:lvl w:ilvl="2" w:tplc="0409001B">
      <w:start w:val="1"/>
      <w:numFmt w:val="lowerRoman"/>
      <w:lvlText w:val="%3."/>
      <w:lvlJc w:val="right"/>
      <w:pPr>
        <w:ind w:left="3674" w:hanging="180"/>
      </w:pPr>
    </w:lvl>
    <w:lvl w:ilvl="3" w:tplc="0409000F">
      <w:start w:val="1"/>
      <w:numFmt w:val="decimal"/>
      <w:lvlText w:val="%4."/>
      <w:lvlJc w:val="left"/>
      <w:pPr>
        <w:ind w:left="4394" w:hanging="360"/>
      </w:pPr>
    </w:lvl>
    <w:lvl w:ilvl="4" w:tplc="04090019">
      <w:start w:val="1"/>
      <w:numFmt w:val="lowerLetter"/>
      <w:lvlText w:val="%5."/>
      <w:lvlJc w:val="left"/>
      <w:pPr>
        <w:ind w:left="5114" w:hanging="360"/>
      </w:pPr>
    </w:lvl>
    <w:lvl w:ilvl="5" w:tplc="0409001B">
      <w:start w:val="1"/>
      <w:numFmt w:val="lowerRoman"/>
      <w:lvlText w:val="%6."/>
      <w:lvlJc w:val="right"/>
      <w:pPr>
        <w:ind w:left="5834" w:hanging="180"/>
      </w:pPr>
    </w:lvl>
    <w:lvl w:ilvl="6" w:tplc="0409000F">
      <w:start w:val="1"/>
      <w:numFmt w:val="decimal"/>
      <w:lvlText w:val="%7."/>
      <w:lvlJc w:val="left"/>
      <w:pPr>
        <w:ind w:left="6554" w:hanging="360"/>
      </w:pPr>
    </w:lvl>
    <w:lvl w:ilvl="7" w:tplc="04090019">
      <w:start w:val="1"/>
      <w:numFmt w:val="lowerLetter"/>
      <w:lvlText w:val="%8."/>
      <w:lvlJc w:val="left"/>
      <w:pPr>
        <w:ind w:left="7274" w:hanging="360"/>
      </w:pPr>
    </w:lvl>
    <w:lvl w:ilvl="8" w:tplc="0409001B">
      <w:start w:val="1"/>
      <w:numFmt w:val="lowerRoman"/>
      <w:lvlText w:val="%9."/>
      <w:lvlJc w:val="right"/>
      <w:pPr>
        <w:ind w:left="7994" w:hanging="180"/>
      </w:pPr>
    </w:lvl>
  </w:abstractNum>
  <w:abstractNum w:abstractNumId="33" w15:restartNumberingAfterBreak="0">
    <w:nsid w:val="07E0505D"/>
    <w:multiLevelType w:val="multilevel"/>
    <w:tmpl w:val="7F48592C"/>
    <w:styleLink w:val="WWNum1916"/>
    <w:lvl w:ilvl="0">
      <w:start w:val="1"/>
      <w:numFmt w:val="lowerRoman"/>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4" w15:restartNumberingAfterBreak="0">
    <w:nsid w:val="0803127D"/>
    <w:multiLevelType w:val="hybridMultilevel"/>
    <w:tmpl w:val="10F4BE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84E51F5"/>
    <w:multiLevelType w:val="hybridMultilevel"/>
    <w:tmpl w:val="0DE8E32A"/>
    <w:styleLink w:val="WWNum74104"/>
    <w:lvl w:ilvl="0" w:tplc="0409001B">
      <w:start w:val="1"/>
      <w:numFmt w:val="lowerRoman"/>
      <w:lvlText w:val="(%1)"/>
      <w:lvlJc w:val="left"/>
      <w:pPr>
        <w:ind w:left="1146" w:hanging="720"/>
      </w:pPr>
      <w:rPr>
        <w:rFonts w:hint="default"/>
      </w:rPr>
    </w:lvl>
    <w:lvl w:ilvl="1" w:tplc="04090019">
      <w:start w:val="1"/>
      <w:numFmt w:val="lowerLetter"/>
      <w:lvlText w:val="%2."/>
      <w:lvlJc w:val="left"/>
      <w:pPr>
        <w:ind w:left="1440" w:hanging="360"/>
      </w:pPr>
    </w:lvl>
    <w:lvl w:ilvl="2" w:tplc="8716E0B0">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9314FE3"/>
    <w:multiLevelType w:val="hybridMultilevel"/>
    <w:tmpl w:val="F1920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9536C6B"/>
    <w:multiLevelType w:val="multilevel"/>
    <w:tmpl w:val="0E50921C"/>
    <w:styleLink w:val="WWNum55104"/>
    <w:lvl w:ilvl="0">
      <w:start w:val="1"/>
      <w:numFmt w:val="bullet"/>
      <w:lvlText w:val=""/>
      <w:lvlJc w:val="left"/>
      <w:rPr>
        <w:rFonts w:ascii="Symbol" w:hAnsi="Symbol" w:hint="default"/>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start w:val="1"/>
      <w:numFmt w:val="bullet"/>
      <w:lvlText w:val="o"/>
      <w:lvlJc w:val="left"/>
      <w:rPr>
        <w:rFonts w:ascii="Courier New" w:hAnsi="Courier New" w:cs="Courier New" w:hint="default"/>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 w15:restartNumberingAfterBreak="0">
    <w:nsid w:val="095D76C8"/>
    <w:multiLevelType w:val="hybridMultilevel"/>
    <w:tmpl w:val="E90AA56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0993054C"/>
    <w:multiLevelType w:val="hybridMultilevel"/>
    <w:tmpl w:val="A30A46DE"/>
    <w:styleLink w:val="WWNum75104"/>
    <w:lvl w:ilvl="0" w:tplc="DC58C12C">
      <w:start w:val="1"/>
      <w:numFmt w:val="lowerLetter"/>
      <w:lvlText w:val="%1)"/>
      <w:lvlJc w:val="left"/>
      <w:pPr>
        <w:ind w:left="720" w:hanging="360"/>
      </w:pPr>
    </w:lvl>
    <w:lvl w:ilvl="1" w:tplc="3062A638" w:tentative="1">
      <w:start w:val="1"/>
      <w:numFmt w:val="lowerLetter"/>
      <w:lvlText w:val="%2."/>
      <w:lvlJc w:val="left"/>
      <w:pPr>
        <w:ind w:left="1440" w:hanging="360"/>
      </w:pPr>
    </w:lvl>
    <w:lvl w:ilvl="2" w:tplc="1FECF424" w:tentative="1">
      <w:start w:val="1"/>
      <w:numFmt w:val="lowerRoman"/>
      <w:lvlText w:val="%3."/>
      <w:lvlJc w:val="right"/>
      <w:pPr>
        <w:ind w:left="2160" w:hanging="180"/>
      </w:pPr>
    </w:lvl>
    <w:lvl w:ilvl="3" w:tplc="D1C4CDA0" w:tentative="1">
      <w:start w:val="1"/>
      <w:numFmt w:val="decimal"/>
      <w:lvlText w:val="%4."/>
      <w:lvlJc w:val="left"/>
      <w:pPr>
        <w:ind w:left="2880" w:hanging="360"/>
      </w:pPr>
    </w:lvl>
    <w:lvl w:ilvl="4" w:tplc="FB3278B4" w:tentative="1">
      <w:start w:val="1"/>
      <w:numFmt w:val="lowerLetter"/>
      <w:lvlText w:val="%5."/>
      <w:lvlJc w:val="left"/>
      <w:pPr>
        <w:ind w:left="3600" w:hanging="360"/>
      </w:pPr>
    </w:lvl>
    <w:lvl w:ilvl="5" w:tplc="261A2E50" w:tentative="1">
      <w:start w:val="1"/>
      <w:numFmt w:val="lowerRoman"/>
      <w:lvlText w:val="%6."/>
      <w:lvlJc w:val="right"/>
      <w:pPr>
        <w:ind w:left="4320" w:hanging="180"/>
      </w:pPr>
    </w:lvl>
    <w:lvl w:ilvl="6" w:tplc="36D8818E" w:tentative="1">
      <w:start w:val="1"/>
      <w:numFmt w:val="decimal"/>
      <w:lvlText w:val="%7."/>
      <w:lvlJc w:val="left"/>
      <w:pPr>
        <w:ind w:left="5040" w:hanging="360"/>
      </w:pPr>
    </w:lvl>
    <w:lvl w:ilvl="7" w:tplc="9558B588" w:tentative="1">
      <w:start w:val="1"/>
      <w:numFmt w:val="lowerLetter"/>
      <w:lvlText w:val="%8."/>
      <w:lvlJc w:val="left"/>
      <w:pPr>
        <w:ind w:left="5760" w:hanging="360"/>
      </w:pPr>
    </w:lvl>
    <w:lvl w:ilvl="8" w:tplc="A8A8C678" w:tentative="1">
      <w:start w:val="1"/>
      <w:numFmt w:val="lowerRoman"/>
      <w:lvlText w:val="%9."/>
      <w:lvlJc w:val="right"/>
      <w:pPr>
        <w:ind w:left="6480" w:hanging="180"/>
      </w:pPr>
    </w:lvl>
  </w:abstractNum>
  <w:abstractNum w:abstractNumId="40" w15:restartNumberingAfterBreak="0">
    <w:nsid w:val="09DE419B"/>
    <w:multiLevelType w:val="hybridMultilevel"/>
    <w:tmpl w:val="26002318"/>
    <w:styleLink w:val="WWNum285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0A5762DE"/>
    <w:multiLevelType w:val="hybridMultilevel"/>
    <w:tmpl w:val="3D821246"/>
    <w:lvl w:ilvl="0" w:tplc="96106EAC">
      <w:start w:val="1"/>
      <w:numFmt w:val="lowerRoman"/>
      <w:lvlText w:val="(%1)"/>
      <w:lvlJc w:val="left"/>
      <w:pPr>
        <w:ind w:left="765" w:hanging="720"/>
      </w:pPr>
      <w:rPr>
        <w:rFonts w:hint="default"/>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42" w15:restartNumberingAfterBreak="0">
    <w:nsid w:val="0A7C5FE3"/>
    <w:multiLevelType w:val="hybridMultilevel"/>
    <w:tmpl w:val="823A7EF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0AA635C1"/>
    <w:multiLevelType w:val="hybridMultilevel"/>
    <w:tmpl w:val="E60E4FB0"/>
    <w:lvl w:ilvl="0" w:tplc="04090005">
      <w:start w:val="1"/>
      <w:numFmt w:val="bullet"/>
      <w:lvlText w:val=""/>
      <w:lvlJc w:val="left"/>
      <w:pPr>
        <w:ind w:left="1260" w:hanging="360"/>
      </w:pPr>
      <w:rPr>
        <w:rFonts w:ascii="Wingdings" w:hAnsi="Wingdings"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hint="default"/>
      </w:rPr>
    </w:lvl>
    <w:lvl w:ilvl="6" w:tplc="04090001">
      <w:start w:val="1"/>
      <w:numFmt w:val="bullet"/>
      <w:lvlText w:val=""/>
      <w:lvlJc w:val="left"/>
      <w:pPr>
        <w:ind w:left="5580" w:hanging="360"/>
      </w:pPr>
      <w:rPr>
        <w:rFonts w:ascii="Symbol" w:hAnsi="Symbol" w:hint="default"/>
      </w:rPr>
    </w:lvl>
    <w:lvl w:ilvl="7" w:tplc="04090003">
      <w:start w:val="1"/>
      <w:numFmt w:val="bullet"/>
      <w:lvlText w:val="o"/>
      <w:lvlJc w:val="left"/>
      <w:pPr>
        <w:ind w:left="6300" w:hanging="360"/>
      </w:pPr>
      <w:rPr>
        <w:rFonts w:ascii="Courier New" w:hAnsi="Courier New" w:cs="Courier New" w:hint="default"/>
      </w:rPr>
    </w:lvl>
    <w:lvl w:ilvl="8" w:tplc="04090005">
      <w:start w:val="1"/>
      <w:numFmt w:val="bullet"/>
      <w:lvlText w:val=""/>
      <w:lvlJc w:val="left"/>
      <w:pPr>
        <w:ind w:left="7020" w:hanging="360"/>
      </w:pPr>
      <w:rPr>
        <w:rFonts w:ascii="Wingdings" w:hAnsi="Wingdings" w:hint="default"/>
      </w:rPr>
    </w:lvl>
  </w:abstractNum>
  <w:abstractNum w:abstractNumId="44" w15:restartNumberingAfterBreak="0">
    <w:nsid w:val="0AD12CDE"/>
    <w:multiLevelType w:val="hybridMultilevel"/>
    <w:tmpl w:val="020E3D94"/>
    <w:styleLink w:val="WWNum7631"/>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BFB544B"/>
    <w:multiLevelType w:val="hybridMultilevel"/>
    <w:tmpl w:val="27DC66E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D051A2A"/>
    <w:multiLevelType w:val="hybridMultilevel"/>
    <w:tmpl w:val="D3C6E0A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0D1B74F4"/>
    <w:multiLevelType w:val="hybridMultilevel"/>
    <w:tmpl w:val="7BC81030"/>
    <w:styleLink w:val="WWNum7555"/>
    <w:lvl w:ilvl="0" w:tplc="0409001B">
      <w:start w:val="1"/>
      <w:numFmt w:val="lowerRoman"/>
      <w:lvlText w:val="%1."/>
      <w:lvlJc w:val="right"/>
      <w:pPr>
        <w:ind w:left="2579" w:hanging="360"/>
      </w:pPr>
    </w:lvl>
    <w:lvl w:ilvl="1" w:tplc="04090019">
      <w:start w:val="1"/>
      <w:numFmt w:val="lowerLetter"/>
      <w:lvlText w:val="%2."/>
      <w:lvlJc w:val="left"/>
      <w:pPr>
        <w:ind w:left="3299" w:hanging="360"/>
      </w:pPr>
    </w:lvl>
    <w:lvl w:ilvl="2" w:tplc="0409001B" w:tentative="1">
      <w:start w:val="1"/>
      <w:numFmt w:val="lowerRoman"/>
      <w:lvlText w:val="%3."/>
      <w:lvlJc w:val="right"/>
      <w:pPr>
        <w:ind w:left="4019" w:hanging="180"/>
      </w:pPr>
    </w:lvl>
    <w:lvl w:ilvl="3" w:tplc="0409000F" w:tentative="1">
      <w:start w:val="1"/>
      <w:numFmt w:val="decimal"/>
      <w:lvlText w:val="%4."/>
      <w:lvlJc w:val="left"/>
      <w:pPr>
        <w:ind w:left="4739" w:hanging="360"/>
      </w:pPr>
    </w:lvl>
    <w:lvl w:ilvl="4" w:tplc="04090019" w:tentative="1">
      <w:start w:val="1"/>
      <w:numFmt w:val="lowerLetter"/>
      <w:lvlText w:val="%5."/>
      <w:lvlJc w:val="left"/>
      <w:pPr>
        <w:ind w:left="5459" w:hanging="360"/>
      </w:pPr>
    </w:lvl>
    <w:lvl w:ilvl="5" w:tplc="0409001B" w:tentative="1">
      <w:start w:val="1"/>
      <w:numFmt w:val="lowerRoman"/>
      <w:lvlText w:val="%6."/>
      <w:lvlJc w:val="right"/>
      <w:pPr>
        <w:ind w:left="6179" w:hanging="180"/>
      </w:pPr>
    </w:lvl>
    <w:lvl w:ilvl="6" w:tplc="0409000F" w:tentative="1">
      <w:start w:val="1"/>
      <w:numFmt w:val="decimal"/>
      <w:lvlText w:val="%7."/>
      <w:lvlJc w:val="left"/>
      <w:pPr>
        <w:ind w:left="6899" w:hanging="360"/>
      </w:pPr>
    </w:lvl>
    <w:lvl w:ilvl="7" w:tplc="04090019" w:tentative="1">
      <w:start w:val="1"/>
      <w:numFmt w:val="lowerLetter"/>
      <w:lvlText w:val="%8."/>
      <w:lvlJc w:val="left"/>
      <w:pPr>
        <w:ind w:left="7619" w:hanging="360"/>
      </w:pPr>
    </w:lvl>
    <w:lvl w:ilvl="8" w:tplc="0409001B" w:tentative="1">
      <w:start w:val="1"/>
      <w:numFmt w:val="lowerRoman"/>
      <w:lvlText w:val="%9."/>
      <w:lvlJc w:val="right"/>
      <w:pPr>
        <w:ind w:left="8339" w:hanging="180"/>
      </w:pPr>
    </w:lvl>
  </w:abstractNum>
  <w:abstractNum w:abstractNumId="48" w15:restartNumberingAfterBreak="0">
    <w:nsid w:val="0D842381"/>
    <w:multiLevelType w:val="hybridMultilevel"/>
    <w:tmpl w:val="79589286"/>
    <w:styleLink w:val="WWNum3923"/>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0DA52013"/>
    <w:multiLevelType w:val="hybridMultilevel"/>
    <w:tmpl w:val="78A4BA3E"/>
    <w:lvl w:ilvl="0" w:tplc="0409000F">
      <w:start w:val="1"/>
      <w:numFmt w:val="decimal"/>
      <w:lvlText w:val="%1."/>
      <w:lvlJc w:val="left"/>
      <w:pPr>
        <w:ind w:left="720" w:hanging="360"/>
      </w:pPr>
    </w:lvl>
    <w:lvl w:ilvl="1" w:tplc="04090019">
      <w:start w:val="1"/>
      <w:numFmt w:val="lowerLetter"/>
      <w:lvlText w:val="%2."/>
      <w:lvlJc w:val="left"/>
      <w:pPr>
        <w:ind w:left="1440" w:hanging="360"/>
      </w:pPr>
      <w:rPr>
        <w:rFonts w:ascii="Times New Roman" w:hAnsi="Times New Roman" w:cs="Times New Roman"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DBB72CF"/>
    <w:multiLevelType w:val="hybridMultilevel"/>
    <w:tmpl w:val="9306DE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DC6287D"/>
    <w:multiLevelType w:val="hybridMultilevel"/>
    <w:tmpl w:val="6DEA43C6"/>
    <w:lvl w:ilvl="0" w:tplc="60E6C670">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2" w15:restartNumberingAfterBreak="0">
    <w:nsid w:val="0DC91B4F"/>
    <w:multiLevelType w:val="hybridMultilevel"/>
    <w:tmpl w:val="997CC75E"/>
    <w:styleLink w:val="WWNum414"/>
    <w:lvl w:ilvl="0" w:tplc="0409000F">
      <w:start w:val="1"/>
      <w:numFmt w:val="bullet"/>
      <w:lvlText w:val=""/>
      <w:lvlJc w:val="left"/>
      <w:pPr>
        <w:ind w:left="360" w:hanging="360"/>
      </w:pPr>
      <w:rPr>
        <w:rFonts w:ascii="Wingdings" w:hAnsi="Wingdings" w:hint="default"/>
      </w:rPr>
    </w:lvl>
    <w:lvl w:ilvl="1" w:tplc="04090019">
      <w:start w:val="1"/>
      <w:numFmt w:val="decimal"/>
      <w:lvlText w:val="%2."/>
      <w:lvlJc w:val="left"/>
      <w:pPr>
        <w:ind w:left="27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0ED41E68"/>
    <w:multiLevelType w:val="hybridMultilevel"/>
    <w:tmpl w:val="6930D320"/>
    <w:lvl w:ilvl="0" w:tplc="04090019">
      <w:start w:val="1"/>
      <w:numFmt w:val="lowerLetter"/>
      <w:lvlText w:val="%1."/>
      <w:lvlJc w:val="left"/>
      <w:pPr>
        <w:ind w:left="810" w:hanging="360"/>
      </w:p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4" w15:restartNumberingAfterBreak="0">
    <w:nsid w:val="0ED536A9"/>
    <w:multiLevelType w:val="hybridMultilevel"/>
    <w:tmpl w:val="A3AC8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0F55756E"/>
    <w:multiLevelType w:val="hybridMultilevel"/>
    <w:tmpl w:val="95625D4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0F975526"/>
    <w:multiLevelType w:val="multilevel"/>
    <w:tmpl w:val="9F3681E2"/>
    <w:styleLink w:val="WWNum8104"/>
    <w:lvl w:ilvl="0">
      <w:start w:val="1"/>
      <w:numFmt w:val="lowerRoman"/>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7" w15:restartNumberingAfterBreak="0">
    <w:nsid w:val="0FBC438B"/>
    <w:multiLevelType w:val="hybridMultilevel"/>
    <w:tmpl w:val="04A0CE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15:restartNumberingAfterBreak="0">
    <w:nsid w:val="11146517"/>
    <w:multiLevelType w:val="hybridMultilevel"/>
    <w:tmpl w:val="D0D41616"/>
    <w:lvl w:ilvl="0" w:tplc="4009000F">
      <w:start w:val="1"/>
      <w:numFmt w:val="decimal"/>
      <w:lvlText w:val="%1."/>
      <w:lvlJc w:val="left"/>
      <w:pPr>
        <w:ind w:left="733" w:hanging="360"/>
      </w:pPr>
    </w:lvl>
    <w:lvl w:ilvl="1" w:tplc="40090019" w:tentative="1">
      <w:start w:val="1"/>
      <w:numFmt w:val="lowerLetter"/>
      <w:lvlText w:val="%2."/>
      <w:lvlJc w:val="left"/>
      <w:pPr>
        <w:ind w:left="1453" w:hanging="360"/>
      </w:pPr>
    </w:lvl>
    <w:lvl w:ilvl="2" w:tplc="4009001B" w:tentative="1">
      <w:start w:val="1"/>
      <w:numFmt w:val="lowerRoman"/>
      <w:lvlText w:val="%3."/>
      <w:lvlJc w:val="right"/>
      <w:pPr>
        <w:ind w:left="2173" w:hanging="180"/>
      </w:pPr>
    </w:lvl>
    <w:lvl w:ilvl="3" w:tplc="4009000F" w:tentative="1">
      <w:start w:val="1"/>
      <w:numFmt w:val="decimal"/>
      <w:lvlText w:val="%4."/>
      <w:lvlJc w:val="left"/>
      <w:pPr>
        <w:ind w:left="2893" w:hanging="360"/>
      </w:pPr>
    </w:lvl>
    <w:lvl w:ilvl="4" w:tplc="40090019" w:tentative="1">
      <w:start w:val="1"/>
      <w:numFmt w:val="lowerLetter"/>
      <w:lvlText w:val="%5."/>
      <w:lvlJc w:val="left"/>
      <w:pPr>
        <w:ind w:left="3613" w:hanging="360"/>
      </w:pPr>
    </w:lvl>
    <w:lvl w:ilvl="5" w:tplc="4009001B" w:tentative="1">
      <w:start w:val="1"/>
      <w:numFmt w:val="lowerRoman"/>
      <w:lvlText w:val="%6."/>
      <w:lvlJc w:val="right"/>
      <w:pPr>
        <w:ind w:left="4333" w:hanging="180"/>
      </w:pPr>
    </w:lvl>
    <w:lvl w:ilvl="6" w:tplc="4009000F" w:tentative="1">
      <w:start w:val="1"/>
      <w:numFmt w:val="decimal"/>
      <w:lvlText w:val="%7."/>
      <w:lvlJc w:val="left"/>
      <w:pPr>
        <w:ind w:left="5053" w:hanging="360"/>
      </w:pPr>
    </w:lvl>
    <w:lvl w:ilvl="7" w:tplc="40090019" w:tentative="1">
      <w:start w:val="1"/>
      <w:numFmt w:val="lowerLetter"/>
      <w:lvlText w:val="%8."/>
      <w:lvlJc w:val="left"/>
      <w:pPr>
        <w:ind w:left="5773" w:hanging="360"/>
      </w:pPr>
    </w:lvl>
    <w:lvl w:ilvl="8" w:tplc="4009001B" w:tentative="1">
      <w:start w:val="1"/>
      <w:numFmt w:val="lowerRoman"/>
      <w:lvlText w:val="%9."/>
      <w:lvlJc w:val="right"/>
      <w:pPr>
        <w:ind w:left="6493" w:hanging="180"/>
      </w:pPr>
    </w:lvl>
  </w:abstractNum>
  <w:abstractNum w:abstractNumId="59" w15:restartNumberingAfterBreak="0">
    <w:nsid w:val="11260571"/>
    <w:multiLevelType w:val="hybridMultilevel"/>
    <w:tmpl w:val="3C863F48"/>
    <w:styleLink w:val="WWNum76651"/>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14B1D3C"/>
    <w:multiLevelType w:val="hybridMultilevel"/>
    <w:tmpl w:val="1406AFC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14E195E"/>
    <w:multiLevelType w:val="multilevel"/>
    <w:tmpl w:val="B80C1806"/>
    <w:styleLink w:val="WWNum1218"/>
    <w:lvl w:ilvl="0">
      <w:start w:val="1"/>
      <w:numFmt w:val="lowerRoman"/>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2" w15:restartNumberingAfterBreak="0">
    <w:nsid w:val="11DB3D6E"/>
    <w:multiLevelType w:val="multilevel"/>
    <w:tmpl w:val="A8D2F9EE"/>
    <w:styleLink w:val="WWNum32104"/>
    <w:lvl w:ilvl="0">
      <w:start w:val="1"/>
      <w:numFmt w:val="lowerRoman"/>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3" w15:restartNumberingAfterBreak="0">
    <w:nsid w:val="11F8013E"/>
    <w:multiLevelType w:val="hybridMultilevel"/>
    <w:tmpl w:val="123C02A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69C508C">
      <w:start w:val="1"/>
      <w:numFmt w:val="low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29E7AF3"/>
    <w:multiLevelType w:val="hybridMultilevel"/>
    <w:tmpl w:val="0D84E5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30E3594"/>
    <w:multiLevelType w:val="hybridMultilevel"/>
    <w:tmpl w:val="FAF06CD2"/>
    <w:styleLink w:val="WWNum86"/>
    <w:lvl w:ilvl="0" w:tplc="23F6166E">
      <w:start w:val="1"/>
      <w:numFmt w:val="lowerLetter"/>
      <w:lvlText w:val="%1)"/>
      <w:lvlJc w:val="left"/>
      <w:pPr>
        <w:ind w:left="720" w:hanging="360"/>
      </w:pPr>
    </w:lvl>
    <w:lvl w:ilvl="1" w:tplc="C0C012EC" w:tentative="1">
      <w:start w:val="1"/>
      <w:numFmt w:val="lowerLetter"/>
      <w:lvlText w:val="%2."/>
      <w:lvlJc w:val="left"/>
      <w:pPr>
        <w:ind w:left="1440" w:hanging="360"/>
      </w:pPr>
    </w:lvl>
    <w:lvl w:ilvl="2" w:tplc="35182C58" w:tentative="1">
      <w:start w:val="1"/>
      <w:numFmt w:val="lowerRoman"/>
      <w:lvlText w:val="%3."/>
      <w:lvlJc w:val="right"/>
      <w:pPr>
        <w:ind w:left="2160" w:hanging="180"/>
      </w:pPr>
    </w:lvl>
    <w:lvl w:ilvl="3" w:tplc="A010FDD6" w:tentative="1">
      <w:start w:val="1"/>
      <w:numFmt w:val="decimal"/>
      <w:lvlText w:val="%4."/>
      <w:lvlJc w:val="left"/>
      <w:pPr>
        <w:ind w:left="2880" w:hanging="360"/>
      </w:pPr>
    </w:lvl>
    <w:lvl w:ilvl="4" w:tplc="8F5A1BD0" w:tentative="1">
      <w:start w:val="1"/>
      <w:numFmt w:val="lowerLetter"/>
      <w:lvlText w:val="%5."/>
      <w:lvlJc w:val="left"/>
      <w:pPr>
        <w:ind w:left="3600" w:hanging="360"/>
      </w:pPr>
    </w:lvl>
    <w:lvl w:ilvl="5" w:tplc="4168AA28" w:tentative="1">
      <w:start w:val="1"/>
      <w:numFmt w:val="lowerRoman"/>
      <w:lvlText w:val="%6."/>
      <w:lvlJc w:val="right"/>
      <w:pPr>
        <w:ind w:left="4320" w:hanging="180"/>
      </w:pPr>
    </w:lvl>
    <w:lvl w:ilvl="6" w:tplc="66C03BB4" w:tentative="1">
      <w:start w:val="1"/>
      <w:numFmt w:val="decimal"/>
      <w:lvlText w:val="%7."/>
      <w:lvlJc w:val="left"/>
      <w:pPr>
        <w:ind w:left="5040" w:hanging="360"/>
      </w:pPr>
    </w:lvl>
    <w:lvl w:ilvl="7" w:tplc="CD1AE05A" w:tentative="1">
      <w:start w:val="1"/>
      <w:numFmt w:val="lowerLetter"/>
      <w:lvlText w:val="%8."/>
      <w:lvlJc w:val="left"/>
      <w:pPr>
        <w:ind w:left="5760" w:hanging="360"/>
      </w:pPr>
    </w:lvl>
    <w:lvl w:ilvl="8" w:tplc="72441484" w:tentative="1">
      <w:start w:val="1"/>
      <w:numFmt w:val="lowerRoman"/>
      <w:lvlText w:val="%9."/>
      <w:lvlJc w:val="right"/>
      <w:pPr>
        <w:ind w:left="6480" w:hanging="180"/>
      </w:pPr>
    </w:lvl>
  </w:abstractNum>
  <w:abstractNum w:abstractNumId="66" w15:restartNumberingAfterBreak="0">
    <w:nsid w:val="13217D28"/>
    <w:multiLevelType w:val="hybridMultilevel"/>
    <w:tmpl w:val="9A9E14F6"/>
    <w:lvl w:ilvl="0" w:tplc="04090011">
      <w:start w:val="1"/>
      <w:numFmt w:val="decimal"/>
      <w:lvlText w:val="%1)"/>
      <w:lvlJc w:val="left"/>
      <w:pPr>
        <w:ind w:left="720" w:hanging="360"/>
      </w:pPr>
    </w:lvl>
    <w:lvl w:ilvl="1" w:tplc="754ECBA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39A3708"/>
    <w:multiLevelType w:val="hybridMultilevel"/>
    <w:tmpl w:val="F84E7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3C473AD"/>
    <w:multiLevelType w:val="hybridMultilevel"/>
    <w:tmpl w:val="87623EBA"/>
    <w:lvl w:ilvl="0" w:tplc="6F3A8B2A">
      <w:start w:val="1"/>
      <w:numFmt w:val="decimal"/>
      <w:lvlText w:val="%1)"/>
      <w:lvlJc w:val="left"/>
      <w:pPr>
        <w:ind w:left="360" w:hanging="360"/>
      </w:pPr>
    </w:lvl>
    <w:lvl w:ilvl="1" w:tplc="0409000F">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14426111"/>
    <w:multiLevelType w:val="multilevel"/>
    <w:tmpl w:val="1E76DFFC"/>
    <w:styleLink w:val="WWNum2616"/>
    <w:lvl w:ilvl="0">
      <w:start w:val="1"/>
      <w:numFmt w:val="lowerRoman"/>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0" w15:restartNumberingAfterBreak="0">
    <w:nsid w:val="14BD524B"/>
    <w:multiLevelType w:val="hybridMultilevel"/>
    <w:tmpl w:val="AE5C7466"/>
    <w:lvl w:ilvl="0" w:tplc="04090017">
      <w:start w:val="1"/>
      <w:numFmt w:val="lowerLetter"/>
      <w:lvlText w:val="%1)"/>
      <w:lvlJc w:val="left"/>
      <w:pPr>
        <w:ind w:left="76" w:hanging="360"/>
      </w:pPr>
      <w:rPr>
        <w:rFonts w:hint="default"/>
      </w:rPr>
    </w:lvl>
    <w:lvl w:ilvl="1" w:tplc="40090019" w:tentative="1">
      <w:start w:val="1"/>
      <w:numFmt w:val="lowerLetter"/>
      <w:lvlText w:val="%2."/>
      <w:lvlJc w:val="left"/>
      <w:pPr>
        <w:ind w:left="796" w:hanging="360"/>
      </w:pPr>
    </w:lvl>
    <w:lvl w:ilvl="2" w:tplc="4009001B" w:tentative="1">
      <w:start w:val="1"/>
      <w:numFmt w:val="lowerRoman"/>
      <w:lvlText w:val="%3."/>
      <w:lvlJc w:val="right"/>
      <w:pPr>
        <w:ind w:left="1516" w:hanging="180"/>
      </w:pPr>
    </w:lvl>
    <w:lvl w:ilvl="3" w:tplc="4009000F" w:tentative="1">
      <w:start w:val="1"/>
      <w:numFmt w:val="decimal"/>
      <w:lvlText w:val="%4."/>
      <w:lvlJc w:val="left"/>
      <w:pPr>
        <w:ind w:left="2236" w:hanging="360"/>
      </w:pPr>
    </w:lvl>
    <w:lvl w:ilvl="4" w:tplc="40090019" w:tentative="1">
      <w:start w:val="1"/>
      <w:numFmt w:val="lowerLetter"/>
      <w:lvlText w:val="%5."/>
      <w:lvlJc w:val="left"/>
      <w:pPr>
        <w:ind w:left="2956" w:hanging="360"/>
      </w:pPr>
    </w:lvl>
    <w:lvl w:ilvl="5" w:tplc="4009001B" w:tentative="1">
      <w:start w:val="1"/>
      <w:numFmt w:val="lowerRoman"/>
      <w:lvlText w:val="%6."/>
      <w:lvlJc w:val="right"/>
      <w:pPr>
        <w:ind w:left="3676" w:hanging="180"/>
      </w:pPr>
    </w:lvl>
    <w:lvl w:ilvl="6" w:tplc="4009000F" w:tentative="1">
      <w:start w:val="1"/>
      <w:numFmt w:val="decimal"/>
      <w:lvlText w:val="%7."/>
      <w:lvlJc w:val="left"/>
      <w:pPr>
        <w:ind w:left="4396" w:hanging="360"/>
      </w:pPr>
    </w:lvl>
    <w:lvl w:ilvl="7" w:tplc="40090019" w:tentative="1">
      <w:start w:val="1"/>
      <w:numFmt w:val="lowerLetter"/>
      <w:lvlText w:val="%8."/>
      <w:lvlJc w:val="left"/>
      <w:pPr>
        <w:ind w:left="5116" w:hanging="360"/>
      </w:pPr>
    </w:lvl>
    <w:lvl w:ilvl="8" w:tplc="4009001B" w:tentative="1">
      <w:start w:val="1"/>
      <w:numFmt w:val="lowerRoman"/>
      <w:lvlText w:val="%9."/>
      <w:lvlJc w:val="right"/>
      <w:pPr>
        <w:ind w:left="5836" w:hanging="180"/>
      </w:pPr>
    </w:lvl>
  </w:abstractNum>
  <w:abstractNum w:abstractNumId="71" w15:restartNumberingAfterBreak="0">
    <w:nsid w:val="167967CD"/>
    <w:multiLevelType w:val="hybridMultilevel"/>
    <w:tmpl w:val="C19C106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16A56B35"/>
    <w:multiLevelType w:val="multilevel"/>
    <w:tmpl w:val="0409001F"/>
    <w:styleLink w:val="WWNum1423"/>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3" w15:restartNumberingAfterBreak="0">
    <w:nsid w:val="16AA2A5D"/>
    <w:multiLevelType w:val="hybridMultilevel"/>
    <w:tmpl w:val="F95624A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1705408C"/>
    <w:multiLevelType w:val="hybridMultilevel"/>
    <w:tmpl w:val="0F0E11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173E4921"/>
    <w:multiLevelType w:val="multilevel"/>
    <w:tmpl w:val="6A629F70"/>
    <w:styleLink w:val="WWNum48"/>
    <w:lvl w:ilvl="0">
      <w:start w:val="1"/>
      <w:numFmt w:val="lowerRoman"/>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6" w15:restartNumberingAfterBreak="0">
    <w:nsid w:val="17554876"/>
    <w:multiLevelType w:val="hybridMultilevel"/>
    <w:tmpl w:val="005E9462"/>
    <w:lvl w:ilvl="0" w:tplc="0409000F">
      <w:start w:val="1"/>
      <w:numFmt w:val="decimal"/>
      <w:lvlText w:val="%1."/>
      <w:lvlJc w:val="left"/>
      <w:pPr>
        <w:ind w:left="720" w:hanging="360"/>
      </w:pPr>
      <w:rPr>
        <w:b w:val="0"/>
      </w:rPr>
    </w:lvl>
    <w:lvl w:ilvl="1" w:tplc="99D60E9A">
      <w:start w:val="1"/>
      <w:numFmt w:val="decimal"/>
      <w:lvlText w:val="%2."/>
      <w:lvlJc w:val="left"/>
      <w:pPr>
        <w:ind w:left="1440" w:hanging="360"/>
      </w:pPr>
      <w:rPr>
        <w:rFonts w:hint="default"/>
      </w:rPr>
    </w:lvl>
    <w:lvl w:ilvl="2" w:tplc="BAAAC0D8">
      <w:start w:val="1"/>
      <w:numFmt w:val="lowerRoman"/>
      <w:lvlText w:val="(%3)"/>
      <w:lvlJc w:val="left"/>
      <w:pPr>
        <w:ind w:left="2700" w:hanging="720"/>
      </w:pPr>
      <w:rPr>
        <w:rFonts w:hint="default"/>
      </w:rPr>
    </w:lvl>
    <w:lvl w:ilvl="3" w:tplc="AF16563A">
      <w:start w:val="1"/>
      <w:numFmt w:val="lowerRoman"/>
      <w:lvlText w:val="%4."/>
      <w:lvlJc w:val="left"/>
      <w:pPr>
        <w:ind w:left="3240" w:hanging="720"/>
      </w:pPr>
      <w:rPr>
        <w:rFonts w:hint="default"/>
      </w:rPr>
    </w:lvl>
    <w:lvl w:ilvl="4" w:tplc="AFCEDFF8">
      <w:start w:val="1"/>
      <w:numFmt w:val="lowerLetter"/>
      <w:lvlText w:val="%5)"/>
      <w:lvlJc w:val="left"/>
      <w:pPr>
        <w:ind w:left="3960" w:hanging="720"/>
      </w:pPr>
      <w:rPr>
        <w:rFonts w:hint="default"/>
      </w:rPr>
    </w:lvl>
    <w:lvl w:ilvl="5" w:tplc="DABCD910">
      <w:start w:val="1"/>
      <w:numFmt w:val="upperLetter"/>
      <w:lvlText w:val="%6."/>
      <w:lvlJc w:val="left"/>
      <w:pPr>
        <w:ind w:left="4860" w:hanging="72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179611D3"/>
    <w:multiLevelType w:val="multilevel"/>
    <w:tmpl w:val="DABAC11C"/>
    <w:styleLink w:val="WWNum43104"/>
    <w:lvl w:ilvl="0">
      <w:start w:val="1"/>
      <w:numFmt w:val="lowerRoman"/>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8" w15:restartNumberingAfterBreak="0">
    <w:nsid w:val="181D3BF4"/>
    <w:multiLevelType w:val="hybridMultilevel"/>
    <w:tmpl w:val="665C4E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8367751"/>
    <w:multiLevelType w:val="hybridMultilevel"/>
    <w:tmpl w:val="9AAAF300"/>
    <w:lvl w:ilvl="0" w:tplc="E6446C7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185E73C3"/>
    <w:multiLevelType w:val="hybridMultilevel"/>
    <w:tmpl w:val="E196DAE2"/>
    <w:styleLink w:val="WWNum2851"/>
    <w:lvl w:ilvl="0" w:tplc="FFFFFFFF">
      <w:start w:val="1"/>
      <w:numFmt w:val="decimal"/>
      <w:lvlText w:val="%1."/>
      <w:lvlJc w:val="left"/>
      <w:pPr>
        <w:tabs>
          <w:tab w:val="num" w:pos="720"/>
        </w:tabs>
        <w:ind w:left="720" w:hanging="720"/>
      </w:pPr>
      <w:rPr>
        <w:rFonts w:cs="Times New Roman" w:hint="default"/>
        <w:b w:val="0"/>
      </w:rPr>
    </w:lvl>
    <w:lvl w:ilvl="1" w:tplc="FFFFFFFF">
      <w:start w:val="1"/>
      <w:numFmt w:val="lowerLetter"/>
      <w:lvlText w:val="%2."/>
      <w:lvlJc w:val="left"/>
      <w:pPr>
        <w:tabs>
          <w:tab w:val="num" w:pos="1440"/>
        </w:tabs>
        <w:ind w:left="1440" w:hanging="360"/>
      </w:pPr>
      <w:rPr>
        <w:rFonts w:cs="Times New Roman"/>
        <w:b w:val="0"/>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b w:val="0"/>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81" w15:restartNumberingAfterBreak="0">
    <w:nsid w:val="1870303D"/>
    <w:multiLevelType w:val="hybridMultilevel"/>
    <w:tmpl w:val="9022FC20"/>
    <w:styleLink w:val="WWNum7455"/>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194806A4"/>
    <w:multiLevelType w:val="hybridMultilevel"/>
    <w:tmpl w:val="49A47E8E"/>
    <w:styleLink w:val="WWNum5753"/>
    <w:lvl w:ilvl="0" w:tplc="AD54F492">
      <w:start w:val="1"/>
      <w:numFmt w:val="upperLetter"/>
      <w:lvlText w:val="%1."/>
      <w:lvlJc w:val="left"/>
      <w:pPr>
        <w:ind w:left="144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3" w15:restartNumberingAfterBreak="0">
    <w:nsid w:val="196A34B2"/>
    <w:multiLevelType w:val="hybridMultilevel"/>
    <w:tmpl w:val="151E980C"/>
    <w:lvl w:ilvl="0" w:tplc="40090015">
      <w:start w:val="1"/>
      <w:numFmt w:val="upp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4" w15:restartNumberingAfterBreak="0">
    <w:nsid w:val="19FB5509"/>
    <w:multiLevelType w:val="hybridMultilevel"/>
    <w:tmpl w:val="F0B04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1A0C6F6B"/>
    <w:multiLevelType w:val="hybridMultilevel"/>
    <w:tmpl w:val="68AA9BB4"/>
    <w:lvl w:ilvl="0" w:tplc="A324272C">
      <w:start w:val="1"/>
      <w:numFmt w:val="lowerRoman"/>
      <w:lvlText w:val="%1."/>
      <w:lvlJc w:val="left"/>
      <w:pPr>
        <w:ind w:left="2160" w:hanging="72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86" w15:restartNumberingAfterBreak="0">
    <w:nsid w:val="1A322A18"/>
    <w:multiLevelType w:val="multilevel"/>
    <w:tmpl w:val="253A70E2"/>
    <w:styleLink w:val="WWNum1017"/>
    <w:lvl w:ilvl="0">
      <w:start w:val="1"/>
      <w:numFmt w:val="lowerRoman"/>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7" w15:restartNumberingAfterBreak="0">
    <w:nsid w:val="1A6F3AE3"/>
    <w:multiLevelType w:val="hybridMultilevel"/>
    <w:tmpl w:val="A502E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1A736C09"/>
    <w:multiLevelType w:val="hybridMultilevel"/>
    <w:tmpl w:val="A0D82F98"/>
    <w:lvl w:ilvl="0" w:tplc="0840FD38">
      <w:start w:val="1"/>
      <w:numFmt w:val="decimal"/>
      <w:lvlText w:val="%1."/>
      <w:lvlJc w:val="left"/>
      <w:pPr>
        <w:tabs>
          <w:tab w:val="num" w:pos="1080"/>
        </w:tabs>
        <w:ind w:left="1080" w:hanging="720"/>
      </w:pPr>
      <w:rPr>
        <w:rFonts w:ascii="Times New Roman" w:hAnsi="Times New Roman" w:cs="Times New Roman" w:hint="default"/>
        <w:b w:val="0"/>
        <w:i w:val="0"/>
        <w:sz w:val="20"/>
        <w:szCs w:val="20"/>
      </w:rPr>
    </w:lvl>
    <w:lvl w:ilvl="1" w:tplc="E98C49CE">
      <w:start w:val="1"/>
      <w:numFmt w:val="lowerLetter"/>
      <w:lvlText w:val="%2."/>
      <w:lvlJc w:val="left"/>
      <w:pPr>
        <w:tabs>
          <w:tab w:val="num" w:pos="1800"/>
        </w:tabs>
        <w:ind w:left="1800" w:hanging="360"/>
      </w:pPr>
      <w:rPr>
        <w:rFonts w:cs="Times New Roman"/>
      </w:rPr>
    </w:lvl>
    <w:lvl w:ilvl="2" w:tplc="D180C8DC">
      <w:start w:val="1"/>
      <w:numFmt w:val="lowerRoman"/>
      <w:lvlText w:val="%3."/>
      <w:lvlJc w:val="right"/>
      <w:pPr>
        <w:tabs>
          <w:tab w:val="num" w:pos="2520"/>
        </w:tabs>
        <w:ind w:left="2520" w:hanging="180"/>
      </w:pPr>
      <w:rPr>
        <w:rFonts w:cs="Times New Roman"/>
      </w:rPr>
    </w:lvl>
    <w:lvl w:ilvl="3" w:tplc="418647C0">
      <w:start w:val="1"/>
      <w:numFmt w:val="decimal"/>
      <w:lvlText w:val="%4."/>
      <w:lvlJc w:val="left"/>
      <w:pPr>
        <w:tabs>
          <w:tab w:val="num" w:pos="3240"/>
        </w:tabs>
        <w:ind w:left="3240" w:hanging="360"/>
      </w:pPr>
      <w:rPr>
        <w:rFonts w:cs="Times New Roman"/>
      </w:rPr>
    </w:lvl>
    <w:lvl w:ilvl="4" w:tplc="27647F28">
      <w:start w:val="1"/>
      <w:numFmt w:val="lowerLetter"/>
      <w:lvlText w:val="%5."/>
      <w:lvlJc w:val="left"/>
      <w:pPr>
        <w:tabs>
          <w:tab w:val="num" w:pos="3960"/>
        </w:tabs>
        <w:ind w:left="3960" w:hanging="360"/>
      </w:pPr>
      <w:rPr>
        <w:rFonts w:cs="Times New Roman"/>
      </w:rPr>
    </w:lvl>
    <w:lvl w:ilvl="5" w:tplc="A2D06F6E">
      <w:start w:val="1"/>
      <w:numFmt w:val="lowerRoman"/>
      <w:lvlText w:val="%6."/>
      <w:lvlJc w:val="right"/>
      <w:pPr>
        <w:tabs>
          <w:tab w:val="num" w:pos="4680"/>
        </w:tabs>
        <w:ind w:left="4680" w:hanging="180"/>
      </w:pPr>
      <w:rPr>
        <w:rFonts w:cs="Times New Roman"/>
      </w:rPr>
    </w:lvl>
    <w:lvl w:ilvl="6" w:tplc="60C4AD4C">
      <w:start w:val="1"/>
      <w:numFmt w:val="decimal"/>
      <w:lvlText w:val="%7."/>
      <w:lvlJc w:val="left"/>
      <w:pPr>
        <w:tabs>
          <w:tab w:val="num" w:pos="5400"/>
        </w:tabs>
        <w:ind w:left="5400" w:hanging="360"/>
      </w:pPr>
      <w:rPr>
        <w:rFonts w:cs="Times New Roman"/>
      </w:rPr>
    </w:lvl>
    <w:lvl w:ilvl="7" w:tplc="DBD2A9EE">
      <w:start w:val="1"/>
      <w:numFmt w:val="lowerLetter"/>
      <w:lvlText w:val="%8."/>
      <w:lvlJc w:val="left"/>
      <w:pPr>
        <w:tabs>
          <w:tab w:val="num" w:pos="6120"/>
        </w:tabs>
        <w:ind w:left="6120" w:hanging="360"/>
      </w:pPr>
      <w:rPr>
        <w:rFonts w:cs="Times New Roman"/>
      </w:rPr>
    </w:lvl>
    <w:lvl w:ilvl="8" w:tplc="9C423BDA">
      <w:start w:val="1"/>
      <w:numFmt w:val="lowerRoman"/>
      <w:lvlText w:val="%9."/>
      <w:lvlJc w:val="right"/>
      <w:pPr>
        <w:tabs>
          <w:tab w:val="num" w:pos="6840"/>
        </w:tabs>
        <w:ind w:left="6840" w:hanging="180"/>
      </w:pPr>
      <w:rPr>
        <w:rFonts w:cs="Times New Roman"/>
      </w:rPr>
    </w:lvl>
  </w:abstractNum>
  <w:abstractNum w:abstractNumId="89" w15:restartNumberingAfterBreak="0">
    <w:nsid w:val="1A9F6D80"/>
    <w:multiLevelType w:val="multilevel"/>
    <w:tmpl w:val="1B922A06"/>
    <w:styleLink w:val="WWNum1404"/>
    <w:lvl w:ilvl="0">
      <w:start w:val="1"/>
      <w:numFmt w:val="lowerRoman"/>
      <w:lvlText w:val="%1."/>
      <w:lvlJc w:val="righ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0" w15:restartNumberingAfterBreak="0">
    <w:nsid w:val="1ABD0757"/>
    <w:multiLevelType w:val="multilevel"/>
    <w:tmpl w:val="9604802A"/>
    <w:styleLink w:val="WWNum21104"/>
    <w:lvl w:ilvl="0">
      <w:start w:val="1"/>
      <w:numFmt w:val="lowerRoman"/>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1" w15:restartNumberingAfterBreak="0">
    <w:nsid w:val="1B0B3A45"/>
    <w:multiLevelType w:val="hybridMultilevel"/>
    <w:tmpl w:val="22C4163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1B791DC4"/>
    <w:multiLevelType w:val="hybridMultilevel"/>
    <w:tmpl w:val="294CCB74"/>
    <w:lvl w:ilvl="0" w:tplc="0409001B">
      <w:start w:val="1"/>
      <w:numFmt w:val="lowerRoman"/>
      <w:lvlText w:val="%1."/>
      <w:lvlJc w:val="right"/>
      <w:pPr>
        <w:ind w:left="567" w:hanging="360"/>
      </w:pPr>
    </w:lvl>
    <w:lvl w:ilvl="1" w:tplc="04090019" w:tentative="1">
      <w:start w:val="1"/>
      <w:numFmt w:val="lowerLetter"/>
      <w:lvlText w:val="%2."/>
      <w:lvlJc w:val="left"/>
      <w:pPr>
        <w:ind w:left="1287" w:hanging="360"/>
      </w:pPr>
    </w:lvl>
    <w:lvl w:ilvl="2" w:tplc="0409001B" w:tentative="1">
      <w:start w:val="1"/>
      <w:numFmt w:val="lowerRoman"/>
      <w:lvlText w:val="%3."/>
      <w:lvlJc w:val="right"/>
      <w:pPr>
        <w:ind w:left="2007" w:hanging="180"/>
      </w:pPr>
    </w:lvl>
    <w:lvl w:ilvl="3" w:tplc="0409000F" w:tentative="1">
      <w:start w:val="1"/>
      <w:numFmt w:val="decimal"/>
      <w:lvlText w:val="%4."/>
      <w:lvlJc w:val="left"/>
      <w:pPr>
        <w:ind w:left="2727" w:hanging="360"/>
      </w:pPr>
    </w:lvl>
    <w:lvl w:ilvl="4" w:tplc="04090019" w:tentative="1">
      <w:start w:val="1"/>
      <w:numFmt w:val="lowerLetter"/>
      <w:lvlText w:val="%5."/>
      <w:lvlJc w:val="left"/>
      <w:pPr>
        <w:ind w:left="3447" w:hanging="360"/>
      </w:pPr>
    </w:lvl>
    <w:lvl w:ilvl="5" w:tplc="0409001B" w:tentative="1">
      <w:start w:val="1"/>
      <w:numFmt w:val="lowerRoman"/>
      <w:lvlText w:val="%6."/>
      <w:lvlJc w:val="right"/>
      <w:pPr>
        <w:ind w:left="4167" w:hanging="180"/>
      </w:pPr>
    </w:lvl>
    <w:lvl w:ilvl="6" w:tplc="0409000F" w:tentative="1">
      <w:start w:val="1"/>
      <w:numFmt w:val="decimal"/>
      <w:lvlText w:val="%7."/>
      <w:lvlJc w:val="left"/>
      <w:pPr>
        <w:ind w:left="4887" w:hanging="360"/>
      </w:pPr>
    </w:lvl>
    <w:lvl w:ilvl="7" w:tplc="04090019" w:tentative="1">
      <w:start w:val="1"/>
      <w:numFmt w:val="lowerLetter"/>
      <w:lvlText w:val="%8."/>
      <w:lvlJc w:val="left"/>
      <w:pPr>
        <w:ind w:left="5607" w:hanging="360"/>
      </w:pPr>
    </w:lvl>
    <w:lvl w:ilvl="8" w:tplc="0409001B" w:tentative="1">
      <w:start w:val="1"/>
      <w:numFmt w:val="lowerRoman"/>
      <w:lvlText w:val="%9."/>
      <w:lvlJc w:val="right"/>
      <w:pPr>
        <w:ind w:left="6327" w:hanging="180"/>
      </w:pPr>
    </w:lvl>
  </w:abstractNum>
  <w:abstractNum w:abstractNumId="93" w15:restartNumberingAfterBreak="0">
    <w:nsid w:val="1CAF204B"/>
    <w:multiLevelType w:val="multilevel"/>
    <w:tmpl w:val="363E50A4"/>
    <w:styleLink w:val="WWNum42104"/>
    <w:lvl w:ilvl="0">
      <w:start w:val="1"/>
      <w:numFmt w:val="lowerRoman"/>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4" w15:restartNumberingAfterBreak="0">
    <w:nsid w:val="1D0E53C4"/>
    <w:multiLevelType w:val="multilevel"/>
    <w:tmpl w:val="BBBEE698"/>
    <w:styleLink w:val="WWNum6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1D324A34"/>
    <w:multiLevelType w:val="hybridMultilevel"/>
    <w:tmpl w:val="C99033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1D5C7A27"/>
    <w:multiLevelType w:val="hybridMultilevel"/>
    <w:tmpl w:val="E3F018CC"/>
    <w:lvl w:ilvl="0" w:tplc="0409001B">
      <w:start w:val="1"/>
      <w:numFmt w:val="lowerRoman"/>
      <w:lvlText w:val="%1."/>
      <w:lvlJc w:val="righ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7" w15:restartNumberingAfterBreak="0">
    <w:nsid w:val="1E001C26"/>
    <w:multiLevelType w:val="hybridMultilevel"/>
    <w:tmpl w:val="0E52A8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1E1C51E8"/>
    <w:multiLevelType w:val="multilevel"/>
    <w:tmpl w:val="D18EF212"/>
    <w:styleLink w:val="WWNum2516"/>
    <w:lvl w:ilvl="0">
      <w:start w:val="1"/>
      <w:numFmt w:val="lowerRoman"/>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9" w15:restartNumberingAfterBreak="0">
    <w:nsid w:val="1E3455BD"/>
    <w:multiLevelType w:val="hybridMultilevel"/>
    <w:tmpl w:val="7F06A0E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lowerRoman"/>
      <w:lvlText w:val="(%4)"/>
      <w:lvlJc w:val="left"/>
      <w:pPr>
        <w:ind w:left="3240" w:hanging="72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1E8B69CF"/>
    <w:multiLevelType w:val="hybridMultilevel"/>
    <w:tmpl w:val="4D169A92"/>
    <w:styleLink w:val="WWNum5751"/>
    <w:lvl w:ilvl="0" w:tplc="52D08A3E">
      <w:start w:val="1"/>
      <w:numFmt w:val="decimal"/>
      <w:lvlText w:val="%1."/>
      <w:lvlJc w:val="left"/>
      <w:pPr>
        <w:ind w:left="720" w:hanging="360"/>
      </w:pPr>
    </w:lvl>
    <w:lvl w:ilvl="1" w:tplc="0C80006A">
      <w:start w:val="1"/>
      <w:numFmt w:val="lowerLetter"/>
      <w:lvlText w:val="%2."/>
      <w:lvlJc w:val="left"/>
      <w:pPr>
        <w:ind w:left="1440" w:hanging="360"/>
      </w:pPr>
    </w:lvl>
    <w:lvl w:ilvl="2" w:tplc="47B2F0CC" w:tentative="1">
      <w:start w:val="1"/>
      <w:numFmt w:val="lowerRoman"/>
      <w:lvlText w:val="%3."/>
      <w:lvlJc w:val="right"/>
      <w:pPr>
        <w:ind w:left="2160" w:hanging="180"/>
      </w:pPr>
    </w:lvl>
    <w:lvl w:ilvl="3" w:tplc="6414E5A0" w:tentative="1">
      <w:start w:val="1"/>
      <w:numFmt w:val="decimal"/>
      <w:lvlText w:val="%4."/>
      <w:lvlJc w:val="left"/>
      <w:pPr>
        <w:ind w:left="2880" w:hanging="360"/>
      </w:pPr>
    </w:lvl>
    <w:lvl w:ilvl="4" w:tplc="C874B43A" w:tentative="1">
      <w:start w:val="1"/>
      <w:numFmt w:val="lowerLetter"/>
      <w:lvlText w:val="%5."/>
      <w:lvlJc w:val="left"/>
      <w:pPr>
        <w:ind w:left="3600" w:hanging="360"/>
      </w:pPr>
    </w:lvl>
    <w:lvl w:ilvl="5" w:tplc="C25237BA" w:tentative="1">
      <w:start w:val="1"/>
      <w:numFmt w:val="lowerRoman"/>
      <w:lvlText w:val="%6."/>
      <w:lvlJc w:val="right"/>
      <w:pPr>
        <w:ind w:left="4320" w:hanging="180"/>
      </w:pPr>
    </w:lvl>
    <w:lvl w:ilvl="6" w:tplc="45C63940" w:tentative="1">
      <w:start w:val="1"/>
      <w:numFmt w:val="decimal"/>
      <w:lvlText w:val="%7."/>
      <w:lvlJc w:val="left"/>
      <w:pPr>
        <w:ind w:left="5040" w:hanging="360"/>
      </w:pPr>
    </w:lvl>
    <w:lvl w:ilvl="7" w:tplc="C11AA830" w:tentative="1">
      <w:start w:val="1"/>
      <w:numFmt w:val="lowerLetter"/>
      <w:lvlText w:val="%8."/>
      <w:lvlJc w:val="left"/>
      <w:pPr>
        <w:ind w:left="5760" w:hanging="360"/>
      </w:pPr>
    </w:lvl>
    <w:lvl w:ilvl="8" w:tplc="BEB4B0EA" w:tentative="1">
      <w:start w:val="1"/>
      <w:numFmt w:val="lowerRoman"/>
      <w:lvlText w:val="%9."/>
      <w:lvlJc w:val="right"/>
      <w:pPr>
        <w:ind w:left="6480" w:hanging="180"/>
      </w:pPr>
    </w:lvl>
  </w:abstractNum>
  <w:abstractNum w:abstractNumId="101" w15:restartNumberingAfterBreak="0">
    <w:nsid w:val="1EB36953"/>
    <w:multiLevelType w:val="hybridMultilevel"/>
    <w:tmpl w:val="9FEA60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206B64DC"/>
    <w:multiLevelType w:val="hybridMultilevel"/>
    <w:tmpl w:val="5456C37A"/>
    <w:styleLink w:val="WWNum5225"/>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3" w15:restartNumberingAfterBreak="0">
    <w:nsid w:val="20F05E86"/>
    <w:multiLevelType w:val="hybridMultilevel"/>
    <w:tmpl w:val="F1866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213108B6"/>
    <w:multiLevelType w:val="multilevel"/>
    <w:tmpl w:val="CAD4C546"/>
    <w:styleLink w:val="WWNum14104"/>
    <w:lvl w:ilvl="0">
      <w:start w:val="1"/>
      <w:numFmt w:val="lowerRoman"/>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5" w15:restartNumberingAfterBreak="0">
    <w:nsid w:val="21B143A2"/>
    <w:multiLevelType w:val="hybridMultilevel"/>
    <w:tmpl w:val="CE065CD6"/>
    <w:styleLink w:val="WWNum73104"/>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6" w15:restartNumberingAfterBreak="0">
    <w:nsid w:val="220A0293"/>
    <w:multiLevelType w:val="hybridMultilevel"/>
    <w:tmpl w:val="F2066176"/>
    <w:styleLink w:val="WWNum76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22670BF2"/>
    <w:multiLevelType w:val="multilevel"/>
    <w:tmpl w:val="FA6EE7A6"/>
    <w:styleLink w:val="WWNum1516"/>
    <w:lvl w:ilvl="0">
      <w:start w:val="1"/>
      <w:numFmt w:val="lowerRoman"/>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08" w15:restartNumberingAfterBreak="0">
    <w:nsid w:val="229142E4"/>
    <w:multiLevelType w:val="hybridMultilevel"/>
    <w:tmpl w:val="83028770"/>
    <w:lvl w:ilvl="0" w:tplc="4864800A">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9" w15:restartNumberingAfterBreak="0">
    <w:nsid w:val="233314D6"/>
    <w:multiLevelType w:val="hybridMultilevel"/>
    <w:tmpl w:val="2C74ECDA"/>
    <w:styleLink w:val="WWNum7724"/>
    <w:lvl w:ilvl="0" w:tplc="FAC4F0C4">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233562DC"/>
    <w:multiLevelType w:val="hybridMultilevel"/>
    <w:tmpl w:val="D01A3100"/>
    <w:styleLink w:val="WWNum5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240B6457"/>
    <w:multiLevelType w:val="hybridMultilevel"/>
    <w:tmpl w:val="6D76D87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2" w15:restartNumberingAfterBreak="0">
    <w:nsid w:val="242426D1"/>
    <w:multiLevelType w:val="hybridMultilevel"/>
    <w:tmpl w:val="A1DC11B6"/>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3" w15:restartNumberingAfterBreak="0">
    <w:nsid w:val="2486646F"/>
    <w:multiLevelType w:val="hybridMultilevel"/>
    <w:tmpl w:val="640C9A00"/>
    <w:styleLink w:val="WWNum77242"/>
    <w:lvl w:ilvl="0" w:tplc="6834FE06">
      <w:start w:val="1"/>
      <w:numFmt w:val="decimal"/>
      <w:lvlText w:val="%1."/>
      <w:lvlJc w:val="left"/>
      <w:pPr>
        <w:ind w:left="360" w:hanging="360"/>
      </w:pPr>
      <w:rPr>
        <w:rFonts w:ascii="Times New Roman" w:hAnsi="Times New Roman" w:cs="Times New Roman" w:hint="default"/>
        <w:b/>
      </w:rPr>
    </w:lvl>
    <w:lvl w:ilvl="1" w:tplc="6468531A">
      <w:start w:val="1"/>
      <w:numFmt w:val="lowerLetter"/>
      <w:lvlText w:val="%2."/>
      <w:lvlJc w:val="left"/>
      <w:pPr>
        <w:ind w:left="1440" w:hanging="360"/>
      </w:pPr>
    </w:lvl>
    <w:lvl w:ilvl="2" w:tplc="6AC8D3D8" w:tentative="1">
      <w:start w:val="1"/>
      <w:numFmt w:val="lowerRoman"/>
      <w:lvlText w:val="%3."/>
      <w:lvlJc w:val="right"/>
      <w:pPr>
        <w:ind w:left="2160" w:hanging="180"/>
      </w:pPr>
    </w:lvl>
    <w:lvl w:ilvl="3" w:tplc="AAA02F30" w:tentative="1">
      <w:start w:val="1"/>
      <w:numFmt w:val="decimal"/>
      <w:lvlText w:val="%4."/>
      <w:lvlJc w:val="left"/>
      <w:pPr>
        <w:ind w:left="2880" w:hanging="360"/>
      </w:pPr>
    </w:lvl>
    <w:lvl w:ilvl="4" w:tplc="9E72EA2C" w:tentative="1">
      <w:start w:val="1"/>
      <w:numFmt w:val="lowerLetter"/>
      <w:lvlText w:val="%5."/>
      <w:lvlJc w:val="left"/>
      <w:pPr>
        <w:ind w:left="3600" w:hanging="360"/>
      </w:pPr>
    </w:lvl>
    <w:lvl w:ilvl="5" w:tplc="4FBAEB12" w:tentative="1">
      <w:start w:val="1"/>
      <w:numFmt w:val="lowerRoman"/>
      <w:lvlText w:val="%6."/>
      <w:lvlJc w:val="right"/>
      <w:pPr>
        <w:ind w:left="4320" w:hanging="180"/>
      </w:pPr>
    </w:lvl>
    <w:lvl w:ilvl="6" w:tplc="A9AA6946" w:tentative="1">
      <w:start w:val="1"/>
      <w:numFmt w:val="decimal"/>
      <w:lvlText w:val="%7."/>
      <w:lvlJc w:val="left"/>
      <w:pPr>
        <w:ind w:left="5040" w:hanging="360"/>
      </w:pPr>
    </w:lvl>
    <w:lvl w:ilvl="7" w:tplc="00DC470C" w:tentative="1">
      <w:start w:val="1"/>
      <w:numFmt w:val="lowerLetter"/>
      <w:lvlText w:val="%8."/>
      <w:lvlJc w:val="left"/>
      <w:pPr>
        <w:ind w:left="5760" w:hanging="360"/>
      </w:pPr>
    </w:lvl>
    <w:lvl w:ilvl="8" w:tplc="20DAD782" w:tentative="1">
      <w:start w:val="1"/>
      <w:numFmt w:val="lowerRoman"/>
      <w:lvlText w:val="%9."/>
      <w:lvlJc w:val="right"/>
      <w:pPr>
        <w:ind w:left="6480" w:hanging="180"/>
      </w:pPr>
    </w:lvl>
  </w:abstractNum>
  <w:abstractNum w:abstractNumId="114" w15:restartNumberingAfterBreak="0">
    <w:nsid w:val="256F3A22"/>
    <w:multiLevelType w:val="hybridMultilevel"/>
    <w:tmpl w:val="E3F018CC"/>
    <w:lvl w:ilvl="0" w:tplc="0409001B">
      <w:start w:val="1"/>
      <w:numFmt w:val="lowerRoman"/>
      <w:lvlText w:val="%1."/>
      <w:lvlJc w:val="righ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5" w15:restartNumberingAfterBreak="0">
    <w:nsid w:val="25A90FA0"/>
    <w:multiLevelType w:val="hybridMultilevel"/>
    <w:tmpl w:val="2376ACF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25DE775E"/>
    <w:multiLevelType w:val="multilevel"/>
    <w:tmpl w:val="64B29CBA"/>
    <w:lvl w:ilvl="0">
      <w:start w:val="1"/>
      <w:numFmt w:val="lowerRoman"/>
      <w:lvlText w:val="%1."/>
      <w:lvlJc w:val="righ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17" w15:restartNumberingAfterBreak="0">
    <w:nsid w:val="261E0A26"/>
    <w:multiLevelType w:val="hybridMultilevel"/>
    <w:tmpl w:val="FB8E4462"/>
    <w:lvl w:ilvl="0" w:tplc="6834FE06">
      <w:start w:val="1"/>
      <w:numFmt w:val="lowerLetter"/>
      <w:lvlText w:val="%1)"/>
      <w:lvlJc w:val="left"/>
      <w:pPr>
        <w:ind w:left="900" w:hanging="360"/>
      </w:pPr>
    </w:lvl>
    <w:lvl w:ilvl="1" w:tplc="6468531A" w:tentative="1">
      <w:start w:val="1"/>
      <w:numFmt w:val="lowerLetter"/>
      <w:lvlText w:val="%2."/>
      <w:lvlJc w:val="left"/>
      <w:pPr>
        <w:ind w:left="1620" w:hanging="360"/>
      </w:pPr>
    </w:lvl>
    <w:lvl w:ilvl="2" w:tplc="6AC8D3D8" w:tentative="1">
      <w:start w:val="1"/>
      <w:numFmt w:val="lowerRoman"/>
      <w:lvlText w:val="%3."/>
      <w:lvlJc w:val="right"/>
      <w:pPr>
        <w:ind w:left="2340" w:hanging="180"/>
      </w:pPr>
    </w:lvl>
    <w:lvl w:ilvl="3" w:tplc="AAA02F30" w:tentative="1">
      <w:start w:val="1"/>
      <w:numFmt w:val="decimal"/>
      <w:lvlText w:val="%4."/>
      <w:lvlJc w:val="left"/>
      <w:pPr>
        <w:ind w:left="3060" w:hanging="360"/>
      </w:pPr>
    </w:lvl>
    <w:lvl w:ilvl="4" w:tplc="9E72EA2C" w:tentative="1">
      <w:start w:val="1"/>
      <w:numFmt w:val="lowerLetter"/>
      <w:lvlText w:val="%5."/>
      <w:lvlJc w:val="left"/>
      <w:pPr>
        <w:ind w:left="3780" w:hanging="360"/>
      </w:pPr>
    </w:lvl>
    <w:lvl w:ilvl="5" w:tplc="4FBAEB12" w:tentative="1">
      <w:start w:val="1"/>
      <w:numFmt w:val="lowerRoman"/>
      <w:lvlText w:val="%6."/>
      <w:lvlJc w:val="right"/>
      <w:pPr>
        <w:ind w:left="4500" w:hanging="180"/>
      </w:pPr>
    </w:lvl>
    <w:lvl w:ilvl="6" w:tplc="A9AA6946" w:tentative="1">
      <w:start w:val="1"/>
      <w:numFmt w:val="decimal"/>
      <w:lvlText w:val="%7."/>
      <w:lvlJc w:val="left"/>
      <w:pPr>
        <w:ind w:left="5220" w:hanging="360"/>
      </w:pPr>
    </w:lvl>
    <w:lvl w:ilvl="7" w:tplc="00DC470C" w:tentative="1">
      <w:start w:val="1"/>
      <w:numFmt w:val="lowerLetter"/>
      <w:lvlText w:val="%8."/>
      <w:lvlJc w:val="left"/>
      <w:pPr>
        <w:ind w:left="5940" w:hanging="360"/>
      </w:pPr>
    </w:lvl>
    <w:lvl w:ilvl="8" w:tplc="20DAD782" w:tentative="1">
      <w:start w:val="1"/>
      <w:numFmt w:val="lowerRoman"/>
      <w:lvlText w:val="%9."/>
      <w:lvlJc w:val="right"/>
      <w:pPr>
        <w:ind w:left="6660" w:hanging="180"/>
      </w:pPr>
    </w:lvl>
  </w:abstractNum>
  <w:abstractNum w:abstractNumId="118" w15:restartNumberingAfterBreak="0">
    <w:nsid w:val="26745C33"/>
    <w:multiLevelType w:val="multilevel"/>
    <w:tmpl w:val="94D43190"/>
    <w:styleLink w:val="WWNum46104"/>
    <w:lvl w:ilvl="0">
      <w:start w:val="1"/>
      <w:numFmt w:val="lowerRoman"/>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9" w15:restartNumberingAfterBreak="0">
    <w:nsid w:val="26FC46B2"/>
    <w:multiLevelType w:val="hybridMultilevel"/>
    <w:tmpl w:val="C35A10D6"/>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27326F39"/>
    <w:multiLevelType w:val="hybridMultilevel"/>
    <w:tmpl w:val="C9CE718E"/>
    <w:lvl w:ilvl="0" w:tplc="C9FA270A">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28284523"/>
    <w:multiLevelType w:val="hybridMultilevel"/>
    <w:tmpl w:val="85323028"/>
    <w:lvl w:ilvl="0" w:tplc="0409000F">
      <w:start w:val="1"/>
      <w:numFmt w:val="lowerLetter"/>
      <w:lvlText w:val="%1."/>
      <w:lvlJc w:val="left"/>
      <w:pPr>
        <w:ind w:left="720" w:hanging="360"/>
      </w:pPr>
    </w:lvl>
    <w:lvl w:ilvl="1" w:tplc="04090019">
      <w:start w:val="1"/>
      <w:numFmt w:val="decimal"/>
      <w:lvlText w:val="%2."/>
      <w:lvlJc w:val="left"/>
      <w:pPr>
        <w:ind w:left="1440" w:hanging="360"/>
      </w:pPr>
      <w:rPr>
        <w:rFonts w:hint="default"/>
      </w:rPr>
    </w:lvl>
    <w:lvl w:ilvl="2" w:tplc="D79E5E84">
      <w:start w:val="1"/>
      <w:numFmt w:val="lowerLetter"/>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28323EF7"/>
    <w:multiLevelType w:val="hybridMultilevel"/>
    <w:tmpl w:val="B70A97E4"/>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3" w15:restartNumberingAfterBreak="0">
    <w:nsid w:val="286744E5"/>
    <w:multiLevelType w:val="multilevel"/>
    <w:tmpl w:val="A484F11A"/>
    <w:styleLink w:val="WWNum1616"/>
    <w:lvl w:ilvl="0">
      <w:start w:val="1"/>
      <w:numFmt w:val="lowerRoman"/>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4" w15:restartNumberingAfterBreak="0">
    <w:nsid w:val="28D93963"/>
    <w:multiLevelType w:val="multilevel"/>
    <w:tmpl w:val="A1E20D9A"/>
    <w:styleLink w:val="WWNum52104"/>
    <w:lvl w:ilvl="0">
      <w:start w:val="3"/>
      <w:numFmt w:val="lowerRoman"/>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25" w15:restartNumberingAfterBreak="0">
    <w:nsid w:val="2A8E36B9"/>
    <w:multiLevelType w:val="hybridMultilevel"/>
    <w:tmpl w:val="20D60ABC"/>
    <w:lvl w:ilvl="0" w:tplc="ACB423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2ABD5411"/>
    <w:multiLevelType w:val="hybridMultilevel"/>
    <w:tmpl w:val="9DFAFC2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2B9E1AA3"/>
    <w:multiLevelType w:val="hybridMultilevel"/>
    <w:tmpl w:val="43128AE8"/>
    <w:styleLink w:val="WWNum7053"/>
    <w:lvl w:ilvl="0" w:tplc="81B20E4E">
      <w:start w:val="1"/>
      <w:numFmt w:val="lowerLetter"/>
      <w:lvlText w:val="%1)"/>
      <w:lvlJc w:val="left"/>
      <w:pPr>
        <w:ind w:left="1080" w:hanging="360"/>
      </w:pPr>
    </w:lvl>
    <w:lvl w:ilvl="1" w:tplc="1068C0E8" w:tentative="1">
      <w:start w:val="1"/>
      <w:numFmt w:val="lowerLetter"/>
      <w:lvlText w:val="%2."/>
      <w:lvlJc w:val="left"/>
      <w:pPr>
        <w:ind w:left="1800" w:hanging="360"/>
      </w:pPr>
    </w:lvl>
    <w:lvl w:ilvl="2" w:tplc="2E4A50BE" w:tentative="1">
      <w:start w:val="1"/>
      <w:numFmt w:val="lowerRoman"/>
      <w:lvlText w:val="%3."/>
      <w:lvlJc w:val="right"/>
      <w:pPr>
        <w:ind w:left="2520" w:hanging="180"/>
      </w:pPr>
    </w:lvl>
    <w:lvl w:ilvl="3" w:tplc="1536F5FE" w:tentative="1">
      <w:start w:val="1"/>
      <w:numFmt w:val="decimal"/>
      <w:lvlText w:val="%4."/>
      <w:lvlJc w:val="left"/>
      <w:pPr>
        <w:ind w:left="3240" w:hanging="360"/>
      </w:pPr>
    </w:lvl>
    <w:lvl w:ilvl="4" w:tplc="C0B8D43C" w:tentative="1">
      <w:start w:val="1"/>
      <w:numFmt w:val="lowerLetter"/>
      <w:lvlText w:val="%5."/>
      <w:lvlJc w:val="left"/>
      <w:pPr>
        <w:ind w:left="3960" w:hanging="360"/>
      </w:pPr>
    </w:lvl>
    <w:lvl w:ilvl="5" w:tplc="A22E58EE" w:tentative="1">
      <w:start w:val="1"/>
      <w:numFmt w:val="lowerRoman"/>
      <w:lvlText w:val="%6."/>
      <w:lvlJc w:val="right"/>
      <w:pPr>
        <w:ind w:left="4680" w:hanging="180"/>
      </w:pPr>
    </w:lvl>
    <w:lvl w:ilvl="6" w:tplc="28C2F178" w:tentative="1">
      <w:start w:val="1"/>
      <w:numFmt w:val="decimal"/>
      <w:lvlText w:val="%7."/>
      <w:lvlJc w:val="left"/>
      <w:pPr>
        <w:ind w:left="5400" w:hanging="360"/>
      </w:pPr>
    </w:lvl>
    <w:lvl w:ilvl="7" w:tplc="2A8EF8EC" w:tentative="1">
      <w:start w:val="1"/>
      <w:numFmt w:val="lowerLetter"/>
      <w:lvlText w:val="%8."/>
      <w:lvlJc w:val="left"/>
      <w:pPr>
        <w:ind w:left="6120" w:hanging="360"/>
      </w:pPr>
    </w:lvl>
    <w:lvl w:ilvl="8" w:tplc="3A7E3DFA" w:tentative="1">
      <w:start w:val="1"/>
      <w:numFmt w:val="lowerRoman"/>
      <w:lvlText w:val="%9."/>
      <w:lvlJc w:val="right"/>
      <w:pPr>
        <w:ind w:left="6840" w:hanging="180"/>
      </w:pPr>
    </w:lvl>
  </w:abstractNum>
  <w:abstractNum w:abstractNumId="128" w15:restartNumberingAfterBreak="0">
    <w:nsid w:val="2BB20DC1"/>
    <w:multiLevelType w:val="hybridMultilevel"/>
    <w:tmpl w:val="B04278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9" w15:restartNumberingAfterBreak="0">
    <w:nsid w:val="2C03330D"/>
    <w:multiLevelType w:val="multilevel"/>
    <w:tmpl w:val="6F86C91A"/>
    <w:styleLink w:val="WWNum6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0" w15:restartNumberingAfterBreak="0">
    <w:nsid w:val="2C0A4774"/>
    <w:multiLevelType w:val="hybridMultilevel"/>
    <w:tmpl w:val="FD3A4BE6"/>
    <w:styleLink w:val="WWNum3625"/>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2CDE6F1D"/>
    <w:multiLevelType w:val="hybridMultilevel"/>
    <w:tmpl w:val="E2E65726"/>
    <w:styleLink w:val="WWNum701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2D0D0184"/>
    <w:multiLevelType w:val="multilevel"/>
    <w:tmpl w:val="8C24D162"/>
    <w:styleLink w:val="WWNum6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3" w15:restartNumberingAfterBreak="0">
    <w:nsid w:val="2D873E88"/>
    <w:multiLevelType w:val="hybridMultilevel"/>
    <w:tmpl w:val="76E0087E"/>
    <w:lvl w:ilvl="0" w:tplc="0409001B">
      <w:start w:val="1"/>
      <w:numFmt w:val="lowerRoman"/>
      <w:lvlText w:val="%1."/>
      <w:lvlJc w:val="right"/>
      <w:pPr>
        <w:ind w:left="810" w:hanging="360"/>
      </w:p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4" w15:restartNumberingAfterBreak="0">
    <w:nsid w:val="2DF257BF"/>
    <w:multiLevelType w:val="multilevel"/>
    <w:tmpl w:val="08CAA108"/>
    <w:styleLink w:val="WWNum170"/>
    <w:lvl w:ilvl="0">
      <w:start w:val="1"/>
      <w:numFmt w:val="decimal"/>
      <w:lvlText w:val="%1."/>
      <w:lvlJc w:val="left"/>
      <w:pPr>
        <w:ind w:left="0" w:firstLine="0"/>
      </w:p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5" w15:restartNumberingAfterBreak="0">
    <w:nsid w:val="2EA40E4C"/>
    <w:multiLevelType w:val="multilevel"/>
    <w:tmpl w:val="69A672EC"/>
    <w:styleLink w:val="WWNum39104"/>
    <w:lvl w:ilvl="0">
      <w:start w:val="1"/>
      <w:numFmt w:val="lowerRoman"/>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6" w15:restartNumberingAfterBreak="0">
    <w:nsid w:val="2F6E4286"/>
    <w:multiLevelType w:val="hybridMultilevel"/>
    <w:tmpl w:val="AD2285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2F9778C7"/>
    <w:multiLevelType w:val="hybridMultilevel"/>
    <w:tmpl w:val="FC2CCC08"/>
    <w:styleLink w:val="WWNum7725"/>
    <w:lvl w:ilvl="0" w:tplc="04090017">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8" w15:restartNumberingAfterBreak="0">
    <w:nsid w:val="2FDC3D40"/>
    <w:multiLevelType w:val="multilevel"/>
    <w:tmpl w:val="9D74155E"/>
    <w:styleLink w:val="WWNum58104"/>
    <w:lvl w:ilvl="0">
      <w:start w:val="1"/>
      <w:numFmt w:val="decimal"/>
      <w:lvlText w:val="%1."/>
      <w:lvlJc w:val="left"/>
      <w:rPr>
        <w:rFonts w:cs="Calibri"/>
      </w:rPr>
    </w:lvl>
    <w:lvl w:ilvl="1">
      <w:start w:val="1"/>
      <w:numFmt w:val="lowerRoman"/>
      <w:lvlText w:val="%2."/>
      <w:lvlJc w:val="right"/>
    </w:lvl>
    <w:lvl w:ilvl="2">
      <w:start w:val="1"/>
      <w:numFmt w:val="lowerLetter"/>
      <w:lvlText w:val="%3."/>
      <w:lvlJc w:val="left"/>
      <w:rPr>
        <w:rFonts w:ascii="Calibri" w:eastAsia="Calibri" w:hAnsi="Calibri" w:cs="Calibri"/>
      </w:rPr>
    </w:lvl>
    <w:lvl w:ilvl="3">
      <w:start w:val="1"/>
      <w:numFmt w:val="lowerRoman"/>
      <w:lvlText w:val="%1.%2.%3.%4."/>
      <w:lvlJc w:val="left"/>
    </w:lvl>
    <w:lvl w:ilvl="4">
      <w:start w:val="1"/>
      <w:numFmt w:val="lowerRoman"/>
      <w:lvlText w:val="%1.%2.%3.%4.%5."/>
      <w:lvlJc w:val="left"/>
      <w:rPr>
        <w:rFonts w:eastAsia="Calibri" w:cs="Arial"/>
      </w:rPr>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9" w15:restartNumberingAfterBreak="0">
    <w:nsid w:val="306373F1"/>
    <w:multiLevelType w:val="hybridMultilevel"/>
    <w:tmpl w:val="5AEC95DE"/>
    <w:lvl w:ilvl="0" w:tplc="1C0428B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0" w15:restartNumberingAfterBreak="0">
    <w:nsid w:val="306716FB"/>
    <w:multiLevelType w:val="multilevel"/>
    <w:tmpl w:val="8898AD74"/>
    <w:styleLink w:val="WWNum2116"/>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1" w15:restartNumberingAfterBreak="0">
    <w:nsid w:val="307F23FA"/>
    <w:multiLevelType w:val="hybridMultilevel"/>
    <w:tmpl w:val="7C7C4294"/>
    <w:styleLink w:val="WWNum5752"/>
    <w:lvl w:ilvl="0" w:tplc="036ED3CE">
      <w:start w:val="1"/>
      <w:numFmt w:val="bullet"/>
      <w:lvlText w:val=""/>
      <w:lvlJc w:val="left"/>
      <w:pPr>
        <w:ind w:left="762" w:hanging="360"/>
      </w:pPr>
      <w:rPr>
        <w:rFonts w:ascii="Wingdings" w:hAnsi="Wingdings"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142" w15:restartNumberingAfterBreak="0">
    <w:nsid w:val="30E575AB"/>
    <w:multiLevelType w:val="multilevel"/>
    <w:tmpl w:val="0A220028"/>
    <w:styleLink w:val="WWNum41144"/>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3" w15:restartNumberingAfterBreak="0">
    <w:nsid w:val="31112322"/>
    <w:multiLevelType w:val="hybridMultilevel"/>
    <w:tmpl w:val="3146961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313621E8"/>
    <w:multiLevelType w:val="hybridMultilevel"/>
    <w:tmpl w:val="F438D2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321D4D8F"/>
    <w:multiLevelType w:val="hybridMultilevel"/>
    <w:tmpl w:val="3E56BA5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327B507B"/>
    <w:multiLevelType w:val="multilevel"/>
    <w:tmpl w:val="7A9ADF40"/>
    <w:styleLink w:val="WWNum40104"/>
    <w:lvl w:ilvl="0">
      <w:start w:val="1"/>
      <w:numFmt w:val="lowerLetter"/>
      <w:lvlText w:val="(%1)"/>
      <w:lvlJc w:val="left"/>
      <w:rPr>
        <w:rFonts w:ascii="Cambria" w:eastAsia="Calibri" w:hAnsi="Cambria" w:cs="Calibri"/>
        <w:color w:val="000001"/>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7" w15:restartNumberingAfterBreak="0">
    <w:nsid w:val="329B2ED2"/>
    <w:multiLevelType w:val="hybridMultilevel"/>
    <w:tmpl w:val="D99A65F4"/>
    <w:lvl w:ilvl="0" w:tplc="11E6EFBE">
      <w:start w:val="1"/>
      <w:numFmt w:val="lowerRoman"/>
      <w:lvlText w:val="(%1)"/>
      <w:lvlJc w:val="left"/>
      <w:pPr>
        <w:ind w:left="720" w:hanging="360"/>
      </w:pPr>
      <w:rPr>
        <w:rFonts w:hint="default"/>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8" w15:restartNumberingAfterBreak="0">
    <w:nsid w:val="32BA4CA7"/>
    <w:multiLevelType w:val="multilevel"/>
    <w:tmpl w:val="BDF048F0"/>
    <w:styleLink w:val="WWNum64104"/>
    <w:lvl w:ilvl="0">
      <w:start w:val="1"/>
      <w:numFmt w:val="lowerLetter"/>
      <w:lvlText w:val="%1."/>
      <w:lvlJc w:val="left"/>
    </w:lvl>
    <w:lvl w:ilvl="1">
      <w:start w:val="1"/>
      <w:numFmt w:val="lowerLetter"/>
      <w:lvlText w:val="%2."/>
      <w:lvlJc w:val="left"/>
    </w:lvl>
    <w:lvl w:ilvl="2">
      <w:start w:val="1"/>
      <w:numFmt w:val="lowerLetter"/>
      <w:lvlText w:val="%3."/>
      <w:lvlJc w:val="left"/>
      <w:rPr>
        <w:rFonts w:ascii="Calibri" w:eastAsia="Calibri" w:hAnsi="Calibri" w:cs="Calibri"/>
      </w:rPr>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9" w15:restartNumberingAfterBreak="0">
    <w:nsid w:val="3309173B"/>
    <w:multiLevelType w:val="hybridMultilevel"/>
    <w:tmpl w:val="87CACBBC"/>
    <w:lvl w:ilvl="0" w:tplc="04090019">
      <w:start w:val="1"/>
      <w:numFmt w:val="lowerLetter"/>
      <w:lvlText w:val="%1."/>
      <w:lvlJc w:val="left"/>
      <w:pPr>
        <w:ind w:left="1080" w:hanging="360"/>
      </w:pPr>
      <w:rPr>
        <w:rFonts w:hint="default"/>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15:restartNumberingAfterBreak="0">
    <w:nsid w:val="33615333"/>
    <w:multiLevelType w:val="hybridMultilevel"/>
    <w:tmpl w:val="23B07326"/>
    <w:styleLink w:val="WWNum28542"/>
    <w:lvl w:ilvl="0" w:tplc="04090017">
      <w:start w:val="1"/>
      <w:numFmt w:val="decimal"/>
      <w:lvlText w:val="%1."/>
      <w:lvlJc w:val="left"/>
      <w:pPr>
        <w:ind w:left="360" w:hanging="360"/>
      </w:pPr>
      <w:rPr>
        <w:b w:val="0"/>
        <w:i w:val="0"/>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345A2A71"/>
    <w:multiLevelType w:val="hybridMultilevel"/>
    <w:tmpl w:val="B7E8C436"/>
    <w:lvl w:ilvl="0" w:tplc="C6F64130">
      <w:start w:val="1"/>
      <w:numFmt w:val="upperRoman"/>
      <w:lvlText w:val="%1."/>
      <w:lvlJc w:val="right"/>
      <w:pPr>
        <w:ind w:left="720" w:hanging="360"/>
      </w:pPr>
      <w:rPr>
        <w:rFonts w:hint="default"/>
        <w:b/>
      </w:rPr>
    </w:lvl>
    <w:lvl w:ilvl="1" w:tplc="A05A43B2">
      <w:start w:val="1"/>
      <w:numFmt w:val="decimal"/>
      <w:lvlText w:val="%2."/>
      <w:lvlJc w:val="left"/>
      <w:pPr>
        <w:ind w:left="1440" w:hanging="360"/>
      </w:pPr>
      <w:rPr>
        <w:rFonts w:hint="default"/>
      </w:rPr>
    </w:lvl>
    <w:lvl w:ilvl="2" w:tplc="ED5810C0">
      <w:numFmt w:val="bullet"/>
      <w:lvlText w:val="-"/>
      <w:lvlJc w:val="left"/>
      <w:pPr>
        <w:ind w:left="2340" w:hanging="360"/>
      </w:pPr>
      <w:rPr>
        <w:rFonts w:ascii="Times New Roman" w:eastAsia="Times New Roman" w:hAnsi="Times New Roman" w:cs="Times New Roman" w:hint="default"/>
      </w:rPr>
    </w:lvl>
    <w:lvl w:ilvl="3" w:tplc="1EEA41E4" w:tentative="1">
      <w:start w:val="1"/>
      <w:numFmt w:val="decimal"/>
      <w:lvlText w:val="%4."/>
      <w:lvlJc w:val="left"/>
      <w:pPr>
        <w:ind w:left="2880" w:hanging="360"/>
      </w:pPr>
    </w:lvl>
    <w:lvl w:ilvl="4" w:tplc="2FFAE38C" w:tentative="1">
      <w:start w:val="1"/>
      <w:numFmt w:val="lowerLetter"/>
      <w:lvlText w:val="%5."/>
      <w:lvlJc w:val="left"/>
      <w:pPr>
        <w:ind w:left="3600" w:hanging="360"/>
      </w:pPr>
    </w:lvl>
    <w:lvl w:ilvl="5" w:tplc="0E681356" w:tentative="1">
      <w:start w:val="1"/>
      <w:numFmt w:val="lowerRoman"/>
      <w:lvlText w:val="%6."/>
      <w:lvlJc w:val="right"/>
      <w:pPr>
        <w:ind w:left="4320" w:hanging="180"/>
      </w:pPr>
    </w:lvl>
    <w:lvl w:ilvl="6" w:tplc="288CEB70" w:tentative="1">
      <w:start w:val="1"/>
      <w:numFmt w:val="decimal"/>
      <w:lvlText w:val="%7."/>
      <w:lvlJc w:val="left"/>
      <w:pPr>
        <w:ind w:left="5040" w:hanging="360"/>
      </w:pPr>
    </w:lvl>
    <w:lvl w:ilvl="7" w:tplc="DADCCAEC" w:tentative="1">
      <w:start w:val="1"/>
      <w:numFmt w:val="lowerLetter"/>
      <w:lvlText w:val="%8."/>
      <w:lvlJc w:val="left"/>
      <w:pPr>
        <w:ind w:left="5760" w:hanging="360"/>
      </w:pPr>
    </w:lvl>
    <w:lvl w:ilvl="8" w:tplc="726C1D52" w:tentative="1">
      <w:start w:val="1"/>
      <w:numFmt w:val="lowerRoman"/>
      <w:lvlText w:val="%9."/>
      <w:lvlJc w:val="right"/>
      <w:pPr>
        <w:ind w:left="6480" w:hanging="180"/>
      </w:pPr>
    </w:lvl>
  </w:abstractNum>
  <w:abstractNum w:abstractNumId="152" w15:restartNumberingAfterBreak="0">
    <w:nsid w:val="34AC6E4C"/>
    <w:multiLevelType w:val="hybridMultilevel"/>
    <w:tmpl w:val="5DBC5072"/>
    <w:lvl w:ilvl="0" w:tplc="0409000F">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3" w15:restartNumberingAfterBreak="0">
    <w:nsid w:val="34B25FB0"/>
    <w:multiLevelType w:val="hybridMultilevel"/>
    <w:tmpl w:val="46323B3E"/>
    <w:lvl w:ilvl="0" w:tplc="EE80628A">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34D7604F"/>
    <w:multiLevelType w:val="multilevel"/>
    <w:tmpl w:val="221CE14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5" w15:restartNumberingAfterBreak="0">
    <w:nsid w:val="35536FBD"/>
    <w:multiLevelType w:val="hybridMultilevel"/>
    <w:tmpl w:val="20EC5AE6"/>
    <w:styleLink w:val="WWNum7410"/>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355654FA"/>
    <w:multiLevelType w:val="hybridMultilevel"/>
    <w:tmpl w:val="96A82104"/>
    <w:lvl w:ilvl="0" w:tplc="7F9A96A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3612014F"/>
    <w:multiLevelType w:val="hybridMultilevel"/>
    <w:tmpl w:val="CBDC334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8" w15:restartNumberingAfterBreak="0">
    <w:nsid w:val="366803D1"/>
    <w:multiLevelType w:val="hybridMultilevel"/>
    <w:tmpl w:val="2408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369938B4"/>
    <w:multiLevelType w:val="hybridMultilevel"/>
    <w:tmpl w:val="1AE29C48"/>
    <w:lvl w:ilvl="0" w:tplc="04090001">
      <w:start w:val="1"/>
      <w:numFmt w:val="bullet"/>
      <w:lvlText w:val=""/>
      <w:lvlJc w:val="left"/>
      <w:pPr>
        <w:ind w:left="720" w:hanging="360"/>
      </w:pPr>
      <w:rPr>
        <w:rFonts w:ascii="Symbol" w:hAnsi="Symbol" w:hint="default"/>
      </w:rPr>
    </w:lvl>
    <w:lvl w:ilvl="1" w:tplc="F0F8E8BE">
      <w:start w:val="3"/>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36D24205"/>
    <w:multiLevelType w:val="hybridMultilevel"/>
    <w:tmpl w:val="E2BE55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36FA4897"/>
    <w:multiLevelType w:val="hybridMultilevel"/>
    <w:tmpl w:val="0530500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2" w15:restartNumberingAfterBreak="0">
    <w:nsid w:val="37422C2A"/>
    <w:multiLevelType w:val="hybridMultilevel"/>
    <w:tmpl w:val="F71ED5CA"/>
    <w:styleLink w:val="WWNum112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38485DEF"/>
    <w:multiLevelType w:val="hybridMultilevel"/>
    <w:tmpl w:val="B3DEF92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395F2389"/>
    <w:multiLevelType w:val="hybridMultilevel"/>
    <w:tmpl w:val="11DECAFE"/>
    <w:styleLink w:val="WWNum705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5" w15:restartNumberingAfterBreak="0">
    <w:nsid w:val="3A052092"/>
    <w:multiLevelType w:val="multilevel"/>
    <w:tmpl w:val="842E3F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080" w:hanging="360"/>
      </w:pPr>
      <w:rPr>
        <w:b/>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66" w15:restartNumberingAfterBreak="0">
    <w:nsid w:val="3A6158DB"/>
    <w:multiLevelType w:val="hybridMultilevel"/>
    <w:tmpl w:val="2D72C3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7" w15:restartNumberingAfterBreak="0">
    <w:nsid w:val="3A797C38"/>
    <w:multiLevelType w:val="hybridMultilevel"/>
    <w:tmpl w:val="7C50A1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3A7C70BE"/>
    <w:multiLevelType w:val="hybridMultilevel"/>
    <w:tmpl w:val="F802E766"/>
    <w:styleLink w:val="WWNum774"/>
    <w:lvl w:ilvl="0" w:tplc="F8847DA4">
      <w:start w:val="1"/>
      <w:numFmt w:val="decimal"/>
      <w:lvlText w:val="%1."/>
      <w:lvlJc w:val="left"/>
      <w:pPr>
        <w:ind w:left="360" w:hanging="360"/>
      </w:pPr>
      <w:rPr>
        <w:b/>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69" w15:restartNumberingAfterBreak="0">
    <w:nsid w:val="3AA9324F"/>
    <w:multiLevelType w:val="hybridMultilevel"/>
    <w:tmpl w:val="9AC85E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3B49293D"/>
    <w:multiLevelType w:val="hybridMultilevel"/>
    <w:tmpl w:val="A7DC55AC"/>
    <w:styleLink w:val="WWNum5710"/>
    <w:lvl w:ilvl="0" w:tplc="6FDE03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3B5E4919"/>
    <w:multiLevelType w:val="hybridMultilevel"/>
    <w:tmpl w:val="6432715C"/>
    <w:lvl w:ilvl="0" w:tplc="0409001B">
      <w:start w:val="1"/>
      <w:numFmt w:val="lowerRoman"/>
      <w:lvlText w:val="%1."/>
      <w:lvlJc w:val="right"/>
      <w:pPr>
        <w:ind w:left="720" w:hanging="360"/>
      </w:pPr>
    </w:lvl>
    <w:lvl w:ilvl="1" w:tplc="6EDA159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3BE04D03"/>
    <w:multiLevelType w:val="hybridMultilevel"/>
    <w:tmpl w:val="1F266D16"/>
    <w:lvl w:ilvl="0" w:tplc="FFFFFFFF">
      <w:start w:val="1"/>
      <w:numFmt w:val="decimal"/>
      <w:lvlText w:val="%1."/>
      <w:lvlJc w:val="left"/>
      <w:pPr>
        <w:ind w:left="382" w:hanging="360"/>
      </w:pPr>
    </w:lvl>
    <w:lvl w:ilvl="1" w:tplc="FFFFFFFF" w:tentative="1">
      <w:start w:val="1"/>
      <w:numFmt w:val="lowerLetter"/>
      <w:lvlText w:val="%2."/>
      <w:lvlJc w:val="left"/>
      <w:pPr>
        <w:ind w:left="1102" w:hanging="360"/>
      </w:pPr>
    </w:lvl>
    <w:lvl w:ilvl="2" w:tplc="FFFFFFFF" w:tentative="1">
      <w:start w:val="1"/>
      <w:numFmt w:val="lowerRoman"/>
      <w:lvlText w:val="%3."/>
      <w:lvlJc w:val="right"/>
      <w:pPr>
        <w:ind w:left="1822" w:hanging="180"/>
      </w:pPr>
    </w:lvl>
    <w:lvl w:ilvl="3" w:tplc="FFFFFFFF" w:tentative="1">
      <w:start w:val="1"/>
      <w:numFmt w:val="decimal"/>
      <w:lvlText w:val="%4."/>
      <w:lvlJc w:val="left"/>
      <w:pPr>
        <w:ind w:left="2542" w:hanging="360"/>
      </w:pPr>
    </w:lvl>
    <w:lvl w:ilvl="4" w:tplc="FFFFFFFF" w:tentative="1">
      <w:start w:val="1"/>
      <w:numFmt w:val="lowerLetter"/>
      <w:lvlText w:val="%5."/>
      <w:lvlJc w:val="left"/>
      <w:pPr>
        <w:ind w:left="3262" w:hanging="360"/>
      </w:pPr>
    </w:lvl>
    <w:lvl w:ilvl="5" w:tplc="FFFFFFFF" w:tentative="1">
      <w:start w:val="1"/>
      <w:numFmt w:val="lowerRoman"/>
      <w:lvlText w:val="%6."/>
      <w:lvlJc w:val="right"/>
      <w:pPr>
        <w:ind w:left="3982" w:hanging="180"/>
      </w:pPr>
    </w:lvl>
    <w:lvl w:ilvl="6" w:tplc="FFFFFFFF" w:tentative="1">
      <w:start w:val="1"/>
      <w:numFmt w:val="decimal"/>
      <w:lvlText w:val="%7."/>
      <w:lvlJc w:val="left"/>
      <w:pPr>
        <w:ind w:left="4702" w:hanging="360"/>
      </w:pPr>
    </w:lvl>
    <w:lvl w:ilvl="7" w:tplc="FFFFFFFF" w:tentative="1">
      <w:start w:val="1"/>
      <w:numFmt w:val="lowerLetter"/>
      <w:lvlText w:val="%8."/>
      <w:lvlJc w:val="left"/>
      <w:pPr>
        <w:ind w:left="5422" w:hanging="360"/>
      </w:pPr>
    </w:lvl>
    <w:lvl w:ilvl="8" w:tplc="FFFFFFFF" w:tentative="1">
      <w:start w:val="1"/>
      <w:numFmt w:val="lowerRoman"/>
      <w:lvlText w:val="%9."/>
      <w:lvlJc w:val="right"/>
      <w:pPr>
        <w:ind w:left="6142" w:hanging="180"/>
      </w:pPr>
    </w:lvl>
  </w:abstractNum>
  <w:abstractNum w:abstractNumId="173" w15:restartNumberingAfterBreak="0">
    <w:nsid w:val="3BFB40D9"/>
    <w:multiLevelType w:val="hybridMultilevel"/>
    <w:tmpl w:val="11EA93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3C8506B2"/>
    <w:multiLevelType w:val="hybridMultilevel"/>
    <w:tmpl w:val="28407BC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3DB332FE"/>
    <w:multiLevelType w:val="hybridMultilevel"/>
    <w:tmpl w:val="E45E74C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3E3B2FB7"/>
    <w:multiLevelType w:val="hybridMultilevel"/>
    <w:tmpl w:val="98B8496C"/>
    <w:lvl w:ilvl="0" w:tplc="7F9A96AA">
      <w:start w:val="1"/>
      <w:numFmt w:val="lowerRoman"/>
      <w:lvlText w:val="(%1)"/>
      <w:lvlJc w:val="left"/>
      <w:pPr>
        <w:ind w:left="720" w:hanging="360"/>
      </w:pPr>
      <w:rPr>
        <w:rFonts w:hint="default"/>
      </w:rPr>
    </w:lvl>
    <w:lvl w:ilvl="1" w:tplc="3D122A0C">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3E701A0D"/>
    <w:multiLevelType w:val="hybridMultilevel"/>
    <w:tmpl w:val="A4EEC3F0"/>
    <w:styleLink w:val="1111115"/>
    <w:lvl w:ilvl="0" w:tplc="BC7437CA">
      <w:start w:val="1"/>
      <w:numFmt w:val="lowerLetter"/>
      <w:lvlText w:val="%1)"/>
      <w:lvlJc w:val="left"/>
      <w:pPr>
        <w:ind w:left="720" w:hanging="360"/>
      </w:pPr>
      <w:rPr>
        <w:b w:val="0"/>
        <w:strike w:val="0"/>
        <w:color w:val="auto"/>
      </w:rPr>
    </w:lvl>
    <w:lvl w:ilvl="1" w:tplc="438CC76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3EC96A6E"/>
    <w:multiLevelType w:val="hybridMultilevel"/>
    <w:tmpl w:val="B82E7184"/>
    <w:lvl w:ilvl="0" w:tplc="0409001B">
      <w:start w:val="1"/>
      <w:numFmt w:val="lowerRoman"/>
      <w:lvlText w:val="%1."/>
      <w:lvlJc w:val="right"/>
      <w:pPr>
        <w:ind w:left="720" w:hanging="360"/>
      </w:pPr>
      <w:rPr>
        <w:rFonts w:hint="default"/>
      </w:rPr>
    </w:lvl>
    <w:lvl w:ilvl="1" w:tplc="8998FFD8">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3F0148FD"/>
    <w:multiLevelType w:val="hybridMultilevel"/>
    <w:tmpl w:val="EDA8E376"/>
    <w:lvl w:ilvl="0" w:tplc="D37CDE5A">
      <w:start w:val="1"/>
      <w:numFmt w:val="upperLetter"/>
      <w:lvlText w:val="%1."/>
      <w:lvlJc w:val="left"/>
      <w:pPr>
        <w:ind w:left="720" w:hanging="360"/>
      </w:pPr>
      <w:rPr>
        <w:rFonts w:ascii="Times New Roman" w:hAnsi="Times New Roman" w:cs="Times New Roman" w:hint="default"/>
        <w:b/>
        <w:color w:val="auto"/>
        <w:sz w:val="20"/>
        <w:szCs w:val="20"/>
      </w:rPr>
    </w:lvl>
    <w:lvl w:ilvl="1" w:tplc="F30CCA40">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3F7647E4"/>
    <w:multiLevelType w:val="multilevel"/>
    <w:tmpl w:val="7DC42826"/>
    <w:styleLink w:val="WWNum2016"/>
    <w:lvl w:ilvl="0">
      <w:start w:val="1"/>
      <w:numFmt w:val="lowerRoman"/>
      <w:lvlText w:val="%1."/>
      <w:lvlJc w:val="righ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1" w15:restartNumberingAfterBreak="0">
    <w:nsid w:val="3FD46CD9"/>
    <w:multiLevelType w:val="hybridMultilevel"/>
    <w:tmpl w:val="436E2D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40106A2C"/>
    <w:multiLevelType w:val="hybridMultilevel"/>
    <w:tmpl w:val="4EC0B3F6"/>
    <w:styleLink w:val="WWNum579"/>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3" w15:restartNumberingAfterBreak="0">
    <w:nsid w:val="40140877"/>
    <w:multiLevelType w:val="hybridMultilevel"/>
    <w:tmpl w:val="CB589DF8"/>
    <w:lvl w:ilvl="0" w:tplc="BC7437CA">
      <w:start w:val="1"/>
      <w:numFmt w:val="decimal"/>
      <w:lvlText w:val="%1."/>
      <w:lvlJc w:val="left"/>
      <w:pPr>
        <w:ind w:left="1734" w:hanging="360"/>
      </w:pPr>
      <w:rPr>
        <w:rFonts w:hint="default"/>
        <w:b w:val="0"/>
      </w:rPr>
    </w:lvl>
    <w:lvl w:ilvl="1" w:tplc="438CC76E" w:tentative="1">
      <w:start w:val="1"/>
      <w:numFmt w:val="lowerLetter"/>
      <w:lvlText w:val="%2."/>
      <w:lvlJc w:val="left"/>
      <w:pPr>
        <w:ind w:left="2454" w:hanging="360"/>
      </w:pPr>
    </w:lvl>
    <w:lvl w:ilvl="2" w:tplc="0409001B" w:tentative="1">
      <w:start w:val="1"/>
      <w:numFmt w:val="lowerRoman"/>
      <w:lvlText w:val="%3."/>
      <w:lvlJc w:val="right"/>
      <w:pPr>
        <w:ind w:left="3174" w:hanging="180"/>
      </w:pPr>
    </w:lvl>
    <w:lvl w:ilvl="3" w:tplc="0409000F" w:tentative="1">
      <w:start w:val="1"/>
      <w:numFmt w:val="decimal"/>
      <w:lvlText w:val="%4."/>
      <w:lvlJc w:val="left"/>
      <w:pPr>
        <w:ind w:left="3894" w:hanging="360"/>
      </w:pPr>
    </w:lvl>
    <w:lvl w:ilvl="4" w:tplc="04090019" w:tentative="1">
      <w:start w:val="1"/>
      <w:numFmt w:val="lowerLetter"/>
      <w:lvlText w:val="%5."/>
      <w:lvlJc w:val="left"/>
      <w:pPr>
        <w:ind w:left="4614" w:hanging="360"/>
      </w:pPr>
    </w:lvl>
    <w:lvl w:ilvl="5" w:tplc="0409001B" w:tentative="1">
      <w:start w:val="1"/>
      <w:numFmt w:val="lowerRoman"/>
      <w:lvlText w:val="%6."/>
      <w:lvlJc w:val="right"/>
      <w:pPr>
        <w:ind w:left="5334" w:hanging="180"/>
      </w:pPr>
    </w:lvl>
    <w:lvl w:ilvl="6" w:tplc="0409000F" w:tentative="1">
      <w:start w:val="1"/>
      <w:numFmt w:val="decimal"/>
      <w:lvlText w:val="%7."/>
      <w:lvlJc w:val="left"/>
      <w:pPr>
        <w:ind w:left="6054" w:hanging="360"/>
      </w:pPr>
    </w:lvl>
    <w:lvl w:ilvl="7" w:tplc="04090019" w:tentative="1">
      <w:start w:val="1"/>
      <w:numFmt w:val="lowerLetter"/>
      <w:lvlText w:val="%8."/>
      <w:lvlJc w:val="left"/>
      <w:pPr>
        <w:ind w:left="6774" w:hanging="360"/>
      </w:pPr>
    </w:lvl>
    <w:lvl w:ilvl="8" w:tplc="0409001B" w:tentative="1">
      <w:start w:val="1"/>
      <w:numFmt w:val="lowerRoman"/>
      <w:lvlText w:val="%9."/>
      <w:lvlJc w:val="right"/>
      <w:pPr>
        <w:ind w:left="7494" w:hanging="180"/>
      </w:pPr>
    </w:lvl>
  </w:abstractNum>
  <w:abstractNum w:abstractNumId="184" w15:restartNumberingAfterBreak="0">
    <w:nsid w:val="403146D4"/>
    <w:multiLevelType w:val="hybridMultilevel"/>
    <w:tmpl w:val="F176CFA4"/>
    <w:lvl w:ilvl="0" w:tplc="ED0096AC">
      <w:start w:val="1"/>
      <w:numFmt w:val="decimal"/>
      <w:lvlText w:val="%1."/>
      <w:lvlJc w:val="left"/>
      <w:pPr>
        <w:ind w:left="720" w:hanging="360"/>
      </w:pPr>
      <w:rPr>
        <w:rFonts w:eastAsia="MS Mincho"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5" w15:restartNumberingAfterBreak="0">
    <w:nsid w:val="406760FB"/>
    <w:multiLevelType w:val="hybridMultilevel"/>
    <w:tmpl w:val="851A9694"/>
    <w:styleLink w:val="WWNum415"/>
    <w:lvl w:ilvl="0" w:tplc="0409000F">
      <w:start w:val="1"/>
      <w:numFmt w:val="bullet"/>
      <w:lvlText w:val=""/>
      <w:lvlJc w:val="left"/>
      <w:pPr>
        <w:ind w:left="720" w:hanging="360"/>
      </w:pPr>
      <w:rPr>
        <w:rFonts w:ascii="Symbol" w:hAnsi="Symbol" w:hint="default"/>
        <w:color w:val="auto"/>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86" w15:restartNumberingAfterBreak="0">
    <w:nsid w:val="40791FDD"/>
    <w:multiLevelType w:val="hybridMultilevel"/>
    <w:tmpl w:val="3E1AB452"/>
    <w:lvl w:ilvl="0" w:tplc="0ED2FDA2">
      <w:start w:val="1"/>
      <w:numFmt w:val="decimal"/>
      <w:lvlText w:val="%1)"/>
      <w:lvlJc w:val="left"/>
      <w:pPr>
        <w:ind w:left="900" w:hanging="360"/>
      </w:pPr>
    </w:lvl>
    <w:lvl w:ilvl="1" w:tplc="E49E3F58" w:tentative="1">
      <w:start w:val="1"/>
      <w:numFmt w:val="lowerLetter"/>
      <w:lvlText w:val="%2."/>
      <w:lvlJc w:val="left"/>
      <w:pPr>
        <w:ind w:left="1620" w:hanging="360"/>
      </w:pPr>
    </w:lvl>
    <w:lvl w:ilvl="2" w:tplc="6F0EFA90" w:tentative="1">
      <w:start w:val="1"/>
      <w:numFmt w:val="lowerRoman"/>
      <w:lvlText w:val="%3."/>
      <w:lvlJc w:val="right"/>
      <w:pPr>
        <w:ind w:left="2340" w:hanging="180"/>
      </w:pPr>
    </w:lvl>
    <w:lvl w:ilvl="3" w:tplc="02DE7F78" w:tentative="1">
      <w:start w:val="1"/>
      <w:numFmt w:val="decimal"/>
      <w:lvlText w:val="%4."/>
      <w:lvlJc w:val="left"/>
      <w:pPr>
        <w:ind w:left="3060" w:hanging="360"/>
      </w:pPr>
    </w:lvl>
    <w:lvl w:ilvl="4" w:tplc="C63459A4" w:tentative="1">
      <w:start w:val="1"/>
      <w:numFmt w:val="lowerLetter"/>
      <w:lvlText w:val="%5."/>
      <w:lvlJc w:val="left"/>
      <w:pPr>
        <w:ind w:left="3780" w:hanging="360"/>
      </w:pPr>
    </w:lvl>
    <w:lvl w:ilvl="5" w:tplc="505A272A" w:tentative="1">
      <w:start w:val="1"/>
      <w:numFmt w:val="lowerRoman"/>
      <w:lvlText w:val="%6."/>
      <w:lvlJc w:val="right"/>
      <w:pPr>
        <w:ind w:left="4500" w:hanging="180"/>
      </w:pPr>
    </w:lvl>
    <w:lvl w:ilvl="6" w:tplc="F74A634E" w:tentative="1">
      <w:start w:val="1"/>
      <w:numFmt w:val="decimal"/>
      <w:lvlText w:val="%7."/>
      <w:lvlJc w:val="left"/>
      <w:pPr>
        <w:ind w:left="5220" w:hanging="360"/>
      </w:pPr>
    </w:lvl>
    <w:lvl w:ilvl="7" w:tplc="19D8F3F4" w:tentative="1">
      <w:start w:val="1"/>
      <w:numFmt w:val="lowerLetter"/>
      <w:lvlText w:val="%8."/>
      <w:lvlJc w:val="left"/>
      <w:pPr>
        <w:ind w:left="5940" w:hanging="360"/>
      </w:pPr>
    </w:lvl>
    <w:lvl w:ilvl="8" w:tplc="842ADEA4" w:tentative="1">
      <w:start w:val="1"/>
      <w:numFmt w:val="lowerRoman"/>
      <w:lvlText w:val="%9."/>
      <w:lvlJc w:val="right"/>
      <w:pPr>
        <w:ind w:left="6660" w:hanging="180"/>
      </w:pPr>
    </w:lvl>
  </w:abstractNum>
  <w:abstractNum w:abstractNumId="187" w15:restartNumberingAfterBreak="0">
    <w:nsid w:val="40955821"/>
    <w:multiLevelType w:val="hybridMultilevel"/>
    <w:tmpl w:val="5E2893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410761A8"/>
    <w:multiLevelType w:val="hybridMultilevel"/>
    <w:tmpl w:val="787224DE"/>
    <w:styleLink w:val="WWNum7723"/>
    <w:lvl w:ilvl="0" w:tplc="0409000F">
      <w:start w:val="1"/>
      <w:numFmt w:val="bullet"/>
      <w:lvlText w:val=""/>
      <w:lvlJc w:val="left"/>
      <w:pPr>
        <w:ind w:left="1482" w:hanging="360"/>
      </w:pPr>
      <w:rPr>
        <w:rFonts w:ascii="Symbol" w:hAnsi="Symbol" w:hint="default"/>
      </w:rPr>
    </w:lvl>
    <w:lvl w:ilvl="1" w:tplc="04090003" w:tentative="1">
      <w:start w:val="1"/>
      <w:numFmt w:val="bullet"/>
      <w:lvlText w:val="o"/>
      <w:lvlJc w:val="left"/>
      <w:pPr>
        <w:ind w:left="2202" w:hanging="360"/>
      </w:pPr>
      <w:rPr>
        <w:rFonts w:ascii="Courier New" w:hAnsi="Courier New" w:cs="Courier New" w:hint="default"/>
      </w:rPr>
    </w:lvl>
    <w:lvl w:ilvl="2" w:tplc="04090005" w:tentative="1">
      <w:start w:val="1"/>
      <w:numFmt w:val="bullet"/>
      <w:lvlText w:val=""/>
      <w:lvlJc w:val="left"/>
      <w:pPr>
        <w:ind w:left="2922" w:hanging="360"/>
      </w:pPr>
      <w:rPr>
        <w:rFonts w:ascii="Wingdings" w:hAnsi="Wingdings" w:hint="default"/>
      </w:rPr>
    </w:lvl>
    <w:lvl w:ilvl="3" w:tplc="04090001" w:tentative="1">
      <w:start w:val="1"/>
      <w:numFmt w:val="bullet"/>
      <w:lvlText w:val=""/>
      <w:lvlJc w:val="left"/>
      <w:pPr>
        <w:ind w:left="3642" w:hanging="360"/>
      </w:pPr>
      <w:rPr>
        <w:rFonts w:ascii="Symbol" w:hAnsi="Symbol" w:hint="default"/>
      </w:rPr>
    </w:lvl>
    <w:lvl w:ilvl="4" w:tplc="04090003" w:tentative="1">
      <w:start w:val="1"/>
      <w:numFmt w:val="bullet"/>
      <w:lvlText w:val="o"/>
      <w:lvlJc w:val="left"/>
      <w:pPr>
        <w:ind w:left="4362" w:hanging="360"/>
      </w:pPr>
      <w:rPr>
        <w:rFonts w:ascii="Courier New" w:hAnsi="Courier New" w:cs="Courier New" w:hint="default"/>
      </w:rPr>
    </w:lvl>
    <w:lvl w:ilvl="5" w:tplc="04090005" w:tentative="1">
      <w:start w:val="1"/>
      <w:numFmt w:val="bullet"/>
      <w:lvlText w:val=""/>
      <w:lvlJc w:val="left"/>
      <w:pPr>
        <w:ind w:left="5082" w:hanging="360"/>
      </w:pPr>
      <w:rPr>
        <w:rFonts w:ascii="Wingdings" w:hAnsi="Wingdings" w:hint="default"/>
      </w:rPr>
    </w:lvl>
    <w:lvl w:ilvl="6" w:tplc="04090001" w:tentative="1">
      <w:start w:val="1"/>
      <w:numFmt w:val="bullet"/>
      <w:lvlText w:val=""/>
      <w:lvlJc w:val="left"/>
      <w:pPr>
        <w:ind w:left="5802" w:hanging="360"/>
      </w:pPr>
      <w:rPr>
        <w:rFonts w:ascii="Symbol" w:hAnsi="Symbol" w:hint="default"/>
      </w:rPr>
    </w:lvl>
    <w:lvl w:ilvl="7" w:tplc="04090003" w:tentative="1">
      <w:start w:val="1"/>
      <w:numFmt w:val="bullet"/>
      <w:lvlText w:val="o"/>
      <w:lvlJc w:val="left"/>
      <w:pPr>
        <w:ind w:left="6522" w:hanging="360"/>
      </w:pPr>
      <w:rPr>
        <w:rFonts w:ascii="Courier New" w:hAnsi="Courier New" w:cs="Courier New" w:hint="default"/>
      </w:rPr>
    </w:lvl>
    <w:lvl w:ilvl="8" w:tplc="04090005" w:tentative="1">
      <w:start w:val="1"/>
      <w:numFmt w:val="bullet"/>
      <w:lvlText w:val=""/>
      <w:lvlJc w:val="left"/>
      <w:pPr>
        <w:ind w:left="7242" w:hanging="360"/>
      </w:pPr>
      <w:rPr>
        <w:rFonts w:ascii="Wingdings" w:hAnsi="Wingdings" w:hint="default"/>
      </w:rPr>
    </w:lvl>
  </w:abstractNum>
  <w:abstractNum w:abstractNumId="189" w15:restartNumberingAfterBreak="0">
    <w:nsid w:val="4140792E"/>
    <w:multiLevelType w:val="hybridMultilevel"/>
    <w:tmpl w:val="59FEBCE6"/>
    <w:lvl w:ilvl="0" w:tplc="04090017">
      <w:start w:val="1"/>
      <w:numFmt w:val="lowerLetter"/>
      <w:lvlText w:val="%1)"/>
      <w:lvlJc w:val="left"/>
      <w:pPr>
        <w:ind w:left="1252" w:hanging="360"/>
      </w:pPr>
    </w:lvl>
    <w:lvl w:ilvl="1" w:tplc="04090019" w:tentative="1">
      <w:start w:val="1"/>
      <w:numFmt w:val="lowerLetter"/>
      <w:lvlText w:val="%2."/>
      <w:lvlJc w:val="left"/>
      <w:pPr>
        <w:ind w:left="1972" w:hanging="360"/>
      </w:pPr>
    </w:lvl>
    <w:lvl w:ilvl="2" w:tplc="0409001B" w:tentative="1">
      <w:start w:val="1"/>
      <w:numFmt w:val="lowerRoman"/>
      <w:lvlText w:val="%3."/>
      <w:lvlJc w:val="right"/>
      <w:pPr>
        <w:ind w:left="2692" w:hanging="180"/>
      </w:pPr>
    </w:lvl>
    <w:lvl w:ilvl="3" w:tplc="0409000F" w:tentative="1">
      <w:start w:val="1"/>
      <w:numFmt w:val="decimal"/>
      <w:lvlText w:val="%4."/>
      <w:lvlJc w:val="left"/>
      <w:pPr>
        <w:ind w:left="3412" w:hanging="360"/>
      </w:pPr>
    </w:lvl>
    <w:lvl w:ilvl="4" w:tplc="04090019" w:tentative="1">
      <w:start w:val="1"/>
      <w:numFmt w:val="lowerLetter"/>
      <w:lvlText w:val="%5."/>
      <w:lvlJc w:val="left"/>
      <w:pPr>
        <w:ind w:left="4132" w:hanging="360"/>
      </w:pPr>
    </w:lvl>
    <w:lvl w:ilvl="5" w:tplc="0409001B" w:tentative="1">
      <w:start w:val="1"/>
      <w:numFmt w:val="lowerRoman"/>
      <w:lvlText w:val="%6."/>
      <w:lvlJc w:val="right"/>
      <w:pPr>
        <w:ind w:left="4852" w:hanging="180"/>
      </w:pPr>
    </w:lvl>
    <w:lvl w:ilvl="6" w:tplc="0409000F" w:tentative="1">
      <w:start w:val="1"/>
      <w:numFmt w:val="decimal"/>
      <w:lvlText w:val="%7."/>
      <w:lvlJc w:val="left"/>
      <w:pPr>
        <w:ind w:left="5572" w:hanging="360"/>
      </w:pPr>
    </w:lvl>
    <w:lvl w:ilvl="7" w:tplc="04090019" w:tentative="1">
      <w:start w:val="1"/>
      <w:numFmt w:val="lowerLetter"/>
      <w:lvlText w:val="%8."/>
      <w:lvlJc w:val="left"/>
      <w:pPr>
        <w:ind w:left="6292" w:hanging="360"/>
      </w:pPr>
    </w:lvl>
    <w:lvl w:ilvl="8" w:tplc="0409001B" w:tentative="1">
      <w:start w:val="1"/>
      <w:numFmt w:val="lowerRoman"/>
      <w:lvlText w:val="%9."/>
      <w:lvlJc w:val="right"/>
      <w:pPr>
        <w:ind w:left="7012" w:hanging="180"/>
      </w:pPr>
    </w:lvl>
  </w:abstractNum>
  <w:abstractNum w:abstractNumId="190" w15:restartNumberingAfterBreak="0">
    <w:nsid w:val="41481FAC"/>
    <w:multiLevelType w:val="hybridMultilevel"/>
    <w:tmpl w:val="A1D63C64"/>
    <w:lvl w:ilvl="0" w:tplc="40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41872CAC"/>
    <w:multiLevelType w:val="multilevel"/>
    <w:tmpl w:val="0678728C"/>
    <w:styleLink w:val="WWNum2316"/>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2" w15:restartNumberingAfterBreak="0">
    <w:nsid w:val="41BB6FD4"/>
    <w:multiLevelType w:val="hybridMultilevel"/>
    <w:tmpl w:val="64523B06"/>
    <w:lvl w:ilvl="0" w:tplc="8320F21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3" w15:restartNumberingAfterBreak="0">
    <w:nsid w:val="41DE1D79"/>
    <w:multiLevelType w:val="hybridMultilevel"/>
    <w:tmpl w:val="2F3EB624"/>
    <w:styleLink w:val="WWNum659"/>
    <w:lvl w:ilvl="0" w:tplc="0409001B">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4" w15:restartNumberingAfterBreak="0">
    <w:nsid w:val="42B30909"/>
    <w:multiLevelType w:val="multilevel"/>
    <w:tmpl w:val="80AE1BBE"/>
    <w:styleLink w:val="WWNum2716"/>
    <w:lvl w:ilvl="0">
      <w:start w:val="1"/>
      <w:numFmt w:val="lowerRoman"/>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5" w15:restartNumberingAfterBreak="0">
    <w:nsid w:val="430D7EB9"/>
    <w:multiLevelType w:val="hybridMultilevel"/>
    <w:tmpl w:val="1ADA60D8"/>
    <w:styleLink w:val="WWNum646"/>
    <w:lvl w:ilvl="0" w:tplc="0409000F">
      <w:start w:val="1"/>
      <w:numFmt w:val="lowerLetter"/>
      <w:lvlText w:val="%1)"/>
      <w:lvlJc w:val="left"/>
      <w:pPr>
        <w:ind w:left="720" w:hanging="360"/>
      </w:pPr>
    </w:lvl>
    <w:lvl w:ilvl="1" w:tplc="99D60E9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43D75461"/>
    <w:multiLevelType w:val="hybridMultilevel"/>
    <w:tmpl w:val="9A16A7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7" w15:restartNumberingAfterBreak="0">
    <w:nsid w:val="43EC665A"/>
    <w:multiLevelType w:val="hybridMultilevel"/>
    <w:tmpl w:val="88280B6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8" w15:restartNumberingAfterBreak="0">
    <w:nsid w:val="44042208"/>
    <w:multiLevelType w:val="hybridMultilevel"/>
    <w:tmpl w:val="AD6CA9D4"/>
    <w:lvl w:ilvl="0" w:tplc="86A4A83C">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9" w15:restartNumberingAfterBreak="0">
    <w:nsid w:val="4410556F"/>
    <w:multiLevelType w:val="hybridMultilevel"/>
    <w:tmpl w:val="AD6A6D2C"/>
    <w:lvl w:ilvl="0" w:tplc="B9600AF2">
      <w:start w:val="1"/>
      <w:numFmt w:val="decimal"/>
      <w:lvlText w:val="%1."/>
      <w:lvlJc w:val="left"/>
      <w:pPr>
        <w:ind w:left="360" w:hanging="360"/>
      </w:pPr>
      <w:rPr>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0" w15:restartNumberingAfterBreak="0">
    <w:nsid w:val="4491428E"/>
    <w:multiLevelType w:val="hybridMultilevel"/>
    <w:tmpl w:val="00DC5C3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1" w15:restartNumberingAfterBreak="0">
    <w:nsid w:val="44D55980"/>
    <w:multiLevelType w:val="hybridMultilevel"/>
    <w:tmpl w:val="A490BBE6"/>
    <w:lvl w:ilvl="0" w:tplc="86A4A83C">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2" w15:restartNumberingAfterBreak="0">
    <w:nsid w:val="45436D97"/>
    <w:multiLevelType w:val="multilevel"/>
    <w:tmpl w:val="00287830"/>
    <w:styleLink w:val="WWNum7784"/>
    <w:lvl w:ilvl="0">
      <w:start w:val="1"/>
      <w:numFmt w:val="lowerRoman"/>
      <w:lvlText w:val="%1."/>
      <w:lvlJc w:val="righ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03" w15:restartNumberingAfterBreak="0">
    <w:nsid w:val="45620858"/>
    <w:multiLevelType w:val="hybridMultilevel"/>
    <w:tmpl w:val="4C6E8842"/>
    <w:lvl w:ilvl="0" w:tplc="947A86B2">
      <w:start w:val="1"/>
      <w:numFmt w:val="lowerLetter"/>
      <w:lvlText w:val="%1)"/>
      <w:lvlJc w:val="left"/>
      <w:pPr>
        <w:ind w:left="720" w:hanging="360"/>
      </w:pPr>
      <w:rPr>
        <w:i w:val="0"/>
      </w:rPr>
    </w:lvl>
    <w:lvl w:ilvl="1" w:tplc="F1E22D98" w:tentative="1">
      <w:start w:val="1"/>
      <w:numFmt w:val="lowerLetter"/>
      <w:lvlText w:val="%2."/>
      <w:lvlJc w:val="left"/>
      <w:pPr>
        <w:ind w:left="1440" w:hanging="360"/>
      </w:pPr>
    </w:lvl>
    <w:lvl w:ilvl="2" w:tplc="84E00C70" w:tentative="1">
      <w:start w:val="1"/>
      <w:numFmt w:val="lowerRoman"/>
      <w:lvlText w:val="%3."/>
      <w:lvlJc w:val="right"/>
      <w:pPr>
        <w:ind w:left="2160" w:hanging="180"/>
      </w:pPr>
    </w:lvl>
    <w:lvl w:ilvl="3" w:tplc="6158F784" w:tentative="1">
      <w:start w:val="1"/>
      <w:numFmt w:val="decimal"/>
      <w:lvlText w:val="%4."/>
      <w:lvlJc w:val="left"/>
      <w:pPr>
        <w:ind w:left="2880" w:hanging="360"/>
      </w:pPr>
    </w:lvl>
    <w:lvl w:ilvl="4" w:tplc="473665F0" w:tentative="1">
      <w:start w:val="1"/>
      <w:numFmt w:val="lowerLetter"/>
      <w:lvlText w:val="%5."/>
      <w:lvlJc w:val="left"/>
      <w:pPr>
        <w:ind w:left="3600" w:hanging="360"/>
      </w:pPr>
    </w:lvl>
    <w:lvl w:ilvl="5" w:tplc="11540B08" w:tentative="1">
      <w:start w:val="1"/>
      <w:numFmt w:val="lowerRoman"/>
      <w:lvlText w:val="%6."/>
      <w:lvlJc w:val="right"/>
      <w:pPr>
        <w:ind w:left="4320" w:hanging="180"/>
      </w:pPr>
    </w:lvl>
    <w:lvl w:ilvl="6" w:tplc="8820AE84" w:tentative="1">
      <w:start w:val="1"/>
      <w:numFmt w:val="decimal"/>
      <w:lvlText w:val="%7."/>
      <w:lvlJc w:val="left"/>
      <w:pPr>
        <w:ind w:left="5040" w:hanging="360"/>
      </w:pPr>
    </w:lvl>
    <w:lvl w:ilvl="7" w:tplc="9D6EFC8A" w:tentative="1">
      <w:start w:val="1"/>
      <w:numFmt w:val="lowerLetter"/>
      <w:lvlText w:val="%8."/>
      <w:lvlJc w:val="left"/>
      <w:pPr>
        <w:ind w:left="5760" w:hanging="360"/>
      </w:pPr>
    </w:lvl>
    <w:lvl w:ilvl="8" w:tplc="E6607E50" w:tentative="1">
      <w:start w:val="1"/>
      <w:numFmt w:val="lowerRoman"/>
      <w:lvlText w:val="%9."/>
      <w:lvlJc w:val="right"/>
      <w:pPr>
        <w:ind w:left="6480" w:hanging="180"/>
      </w:pPr>
    </w:lvl>
  </w:abstractNum>
  <w:abstractNum w:abstractNumId="204" w15:restartNumberingAfterBreak="0">
    <w:nsid w:val="46072F23"/>
    <w:multiLevelType w:val="hybridMultilevel"/>
    <w:tmpl w:val="FE9EAC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46917B0C"/>
    <w:multiLevelType w:val="hybridMultilevel"/>
    <w:tmpl w:val="CBDC33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6" w15:restartNumberingAfterBreak="0">
    <w:nsid w:val="46B12FE4"/>
    <w:multiLevelType w:val="multilevel"/>
    <w:tmpl w:val="01402CEE"/>
    <w:styleLink w:val="WWNum31104"/>
    <w:lvl w:ilvl="0">
      <w:start w:val="1"/>
      <w:numFmt w:val="lowerRoman"/>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07" w15:restartNumberingAfterBreak="0">
    <w:nsid w:val="46F604F6"/>
    <w:multiLevelType w:val="hybridMultilevel"/>
    <w:tmpl w:val="7758D934"/>
    <w:lvl w:ilvl="0" w:tplc="8816380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8" w15:restartNumberingAfterBreak="0">
    <w:nsid w:val="47264D45"/>
    <w:multiLevelType w:val="hybridMultilevel"/>
    <w:tmpl w:val="1E146710"/>
    <w:lvl w:ilvl="0" w:tplc="00000006">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475427D5"/>
    <w:multiLevelType w:val="hybridMultilevel"/>
    <w:tmpl w:val="A25C4D12"/>
    <w:styleLink w:val="11111115"/>
    <w:lvl w:ilvl="0" w:tplc="A25C4D12">
      <w:start w:val="1"/>
      <w:numFmt w:val="decimal"/>
      <w:lvlText w:val="%1."/>
      <w:lvlJc w:val="left"/>
      <w:pPr>
        <w:ind w:left="450" w:hanging="360"/>
      </w:pPr>
    </w:lvl>
    <w:lvl w:ilvl="1" w:tplc="1BA84BFC" w:tentative="1">
      <w:start w:val="1"/>
      <w:numFmt w:val="lowerLetter"/>
      <w:lvlText w:val="%2."/>
      <w:lvlJc w:val="left"/>
      <w:pPr>
        <w:ind w:left="1170" w:hanging="360"/>
      </w:pPr>
    </w:lvl>
    <w:lvl w:ilvl="2" w:tplc="7ED8A49E" w:tentative="1">
      <w:start w:val="1"/>
      <w:numFmt w:val="lowerRoman"/>
      <w:lvlText w:val="%3."/>
      <w:lvlJc w:val="right"/>
      <w:pPr>
        <w:ind w:left="1890" w:hanging="180"/>
      </w:pPr>
    </w:lvl>
    <w:lvl w:ilvl="3" w:tplc="B15A65A8" w:tentative="1">
      <w:start w:val="1"/>
      <w:numFmt w:val="decimal"/>
      <w:lvlText w:val="%4."/>
      <w:lvlJc w:val="left"/>
      <w:pPr>
        <w:ind w:left="2610" w:hanging="360"/>
      </w:pPr>
    </w:lvl>
    <w:lvl w:ilvl="4" w:tplc="5D18F374" w:tentative="1">
      <w:start w:val="1"/>
      <w:numFmt w:val="lowerLetter"/>
      <w:lvlText w:val="%5."/>
      <w:lvlJc w:val="left"/>
      <w:pPr>
        <w:ind w:left="3330" w:hanging="360"/>
      </w:pPr>
    </w:lvl>
    <w:lvl w:ilvl="5" w:tplc="6DA4992E" w:tentative="1">
      <w:start w:val="1"/>
      <w:numFmt w:val="lowerRoman"/>
      <w:lvlText w:val="%6."/>
      <w:lvlJc w:val="right"/>
      <w:pPr>
        <w:ind w:left="4050" w:hanging="180"/>
      </w:pPr>
    </w:lvl>
    <w:lvl w:ilvl="6" w:tplc="ECDA1F6E" w:tentative="1">
      <w:start w:val="1"/>
      <w:numFmt w:val="decimal"/>
      <w:lvlText w:val="%7."/>
      <w:lvlJc w:val="left"/>
      <w:pPr>
        <w:ind w:left="4770" w:hanging="360"/>
      </w:pPr>
    </w:lvl>
    <w:lvl w:ilvl="7" w:tplc="4A24A702" w:tentative="1">
      <w:start w:val="1"/>
      <w:numFmt w:val="lowerLetter"/>
      <w:lvlText w:val="%8."/>
      <w:lvlJc w:val="left"/>
      <w:pPr>
        <w:ind w:left="5490" w:hanging="360"/>
      </w:pPr>
    </w:lvl>
    <w:lvl w:ilvl="8" w:tplc="6DB8B426" w:tentative="1">
      <w:start w:val="1"/>
      <w:numFmt w:val="lowerRoman"/>
      <w:lvlText w:val="%9."/>
      <w:lvlJc w:val="right"/>
      <w:pPr>
        <w:ind w:left="6210" w:hanging="180"/>
      </w:pPr>
    </w:lvl>
  </w:abstractNum>
  <w:abstractNum w:abstractNumId="210" w15:restartNumberingAfterBreak="0">
    <w:nsid w:val="47931D50"/>
    <w:multiLevelType w:val="hybridMultilevel"/>
    <w:tmpl w:val="6388B27C"/>
    <w:lvl w:ilvl="0" w:tplc="399A4D3E">
      <w:start w:val="1"/>
      <w:numFmt w:val="decimal"/>
      <w:lvlText w:val="%1."/>
      <w:lvlJc w:val="left"/>
      <w:pPr>
        <w:ind w:left="720" w:hanging="360"/>
      </w:pPr>
    </w:lvl>
    <w:lvl w:ilvl="1" w:tplc="AE6E4330" w:tentative="1">
      <w:start w:val="1"/>
      <w:numFmt w:val="lowerLetter"/>
      <w:lvlText w:val="%2."/>
      <w:lvlJc w:val="left"/>
      <w:pPr>
        <w:ind w:left="1440" w:hanging="360"/>
      </w:pPr>
    </w:lvl>
    <w:lvl w:ilvl="2" w:tplc="DFF20B16" w:tentative="1">
      <w:start w:val="1"/>
      <w:numFmt w:val="lowerRoman"/>
      <w:lvlText w:val="%3."/>
      <w:lvlJc w:val="right"/>
      <w:pPr>
        <w:ind w:left="2160" w:hanging="180"/>
      </w:pPr>
    </w:lvl>
    <w:lvl w:ilvl="3" w:tplc="B5B68674" w:tentative="1">
      <w:start w:val="1"/>
      <w:numFmt w:val="decimal"/>
      <w:lvlText w:val="%4."/>
      <w:lvlJc w:val="left"/>
      <w:pPr>
        <w:ind w:left="2880" w:hanging="360"/>
      </w:pPr>
    </w:lvl>
    <w:lvl w:ilvl="4" w:tplc="771A9C40" w:tentative="1">
      <w:start w:val="1"/>
      <w:numFmt w:val="lowerLetter"/>
      <w:lvlText w:val="%5."/>
      <w:lvlJc w:val="left"/>
      <w:pPr>
        <w:ind w:left="3600" w:hanging="360"/>
      </w:pPr>
    </w:lvl>
    <w:lvl w:ilvl="5" w:tplc="ACC2FE34" w:tentative="1">
      <w:start w:val="1"/>
      <w:numFmt w:val="lowerRoman"/>
      <w:lvlText w:val="%6."/>
      <w:lvlJc w:val="right"/>
      <w:pPr>
        <w:ind w:left="4320" w:hanging="180"/>
      </w:pPr>
    </w:lvl>
    <w:lvl w:ilvl="6" w:tplc="9508ED06" w:tentative="1">
      <w:start w:val="1"/>
      <w:numFmt w:val="decimal"/>
      <w:lvlText w:val="%7."/>
      <w:lvlJc w:val="left"/>
      <w:pPr>
        <w:ind w:left="5040" w:hanging="360"/>
      </w:pPr>
    </w:lvl>
    <w:lvl w:ilvl="7" w:tplc="C8748FD4" w:tentative="1">
      <w:start w:val="1"/>
      <w:numFmt w:val="lowerLetter"/>
      <w:lvlText w:val="%8."/>
      <w:lvlJc w:val="left"/>
      <w:pPr>
        <w:ind w:left="5760" w:hanging="360"/>
      </w:pPr>
    </w:lvl>
    <w:lvl w:ilvl="8" w:tplc="4636DBB0" w:tentative="1">
      <w:start w:val="1"/>
      <w:numFmt w:val="lowerRoman"/>
      <w:lvlText w:val="%9."/>
      <w:lvlJc w:val="right"/>
      <w:pPr>
        <w:ind w:left="6480" w:hanging="180"/>
      </w:pPr>
    </w:lvl>
  </w:abstractNum>
  <w:abstractNum w:abstractNumId="211" w15:restartNumberingAfterBreak="0">
    <w:nsid w:val="479741D6"/>
    <w:multiLevelType w:val="multilevel"/>
    <w:tmpl w:val="95988238"/>
    <w:styleLink w:val="11111174"/>
    <w:lvl w:ilvl="0">
      <w:start w:val="1"/>
      <w:numFmt w:val="decimal"/>
      <w:lvlText w:val="%1."/>
      <w:lvlJc w:val="left"/>
      <w:rPr>
        <w:rFonts w:cs="Calibri"/>
        <w:color w:val="00000A"/>
      </w:rPr>
    </w:lvl>
    <w:lvl w:ilvl="1">
      <w:start w:val="1"/>
      <w:numFmt w:val="lowerRoman"/>
      <w:lvlText w:val="%2."/>
      <w:lvlJc w:val="right"/>
    </w:lvl>
    <w:lvl w:ilvl="2">
      <w:start w:val="1"/>
      <w:numFmt w:val="lowerRoman"/>
      <w:lvlText w:val="%1.%2.%3."/>
      <w:lvlJc w:val="right"/>
    </w:lvl>
    <w:lvl w:ilvl="3">
      <w:start w:val="1"/>
      <w:numFmt w:val="lowerRoman"/>
      <w:lvlText w:val="%1.%2.%3.%4."/>
      <w:lvlJc w:val="left"/>
    </w:lvl>
    <w:lvl w:ilvl="4">
      <w:start w:val="1"/>
      <w:numFmt w:val="lowerRoman"/>
      <w:lvlText w:val="%1.%2.%3.%4.%5."/>
      <w:lvlJc w:val="left"/>
      <w:rPr>
        <w:rFonts w:eastAsia="Calibri" w:cs="Arial"/>
      </w:rPr>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12" w15:restartNumberingAfterBreak="0">
    <w:nsid w:val="47DC7BDA"/>
    <w:multiLevelType w:val="hybridMultilevel"/>
    <w:tmpl w:val="E45E74C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48687873"/>
    <w:multiLevelType w:val="hybridMultilevel"/>
    <w:tmpl w:val="663ED834"/>
    <w:lvl w:ilvl="0" w:tplc="40090017">
      <w:start w:val="1"/>
      <w:numFmt w:val="lowerLetter"/>
      <w:lvlText w:val="%1)"/>
      <w:lvlJc w:val="left"/>
      <w:pPr>
        <w:ind w:left="0" w:firstLine="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48CF6E22"/>
    <w:multiLevelType w:val="hybridMultilevel"/>
    <w:tmpl w:val="B3D21396"/>
    <w:styleLink w:val="WWNum216"/>
    <w:lvl w:ilvl="0" w:tplc="D414BFB2">
      <w:start w:val="1"/>
      <w:numFmt w:val="decimal"/>
      <w:lvlText w:val="%1."/>
      <w:lvlJc w:val="left"/>
      <w:pPr>
        <w:ind w:left="720" w:hanging="360"/>
      </w:pPr>
      <w:rPr>
        <w:rFonts w:hint="default"/>
      </w:rPr>
    </w:lvl>
    <w:lvl w:ilvl="1" w:tplc="B1F0DD52" w:tentative="1">
      <w:start w:val="1"/>
      <w:numFmt w:val="bullet"/>
      <w:lvlText w:val="o"/>
      <w:lvlJc w:val="left"/>
      <w:pPr>
        <w:ind w:left="1440" w:hanging="360"/>
      </w:pPr>
      <w:rPr>
        <w:rFonts w:ascii="Courier New" w:hAnsi="Courier New" w:cs="Courier New" w:hint="default"/>
      </w:rPr>
    </w:lvl>
    <w:lvl w:ilvl="2" w:tplc="29168280" w:tentative="1">
      <w:start w:val="1"/>
      <w:numFmt w:val="bullet"/>
      <w:lvlText w:val=""/>
      <w:lvlJc w:val="left"/>
      <w:pPr>
        <w:ind w:left="2160" w:hanging="360"/>
      </w:pPr>
      <w:rPr>
        <w:rFonts w:ascii="Wingdings" w:hAnsi="Wingdings" w:hint="default"/>
      </w:rPr>
    </w:lvl>
    <w:lvl w:ilvl="3" w:tplc="CA0A6BAA" w:tentative="1">
      <w:start w:val="1"/>
      <w:numFmt w:val="bullet"/>
      <w:lvlText w:val=""/>
      <w:lvlJc w:val="left"/>
      <w:pPr>
        <w:ind w:left="2880" w:hanging="360"/>
      </w:pPr>
      <w:rPr>
        <w:rFonts w:ascii="Symbol" w:hAnsi="Symbol" w:hint="default"/>
      </w:rPr>
    </w:lvl>
    <w:lvl w:ilvl="4" w:tplc="E09EAF5A" w:tentative="1">
      <w:start w:val="1"/>
      <w:numFmt w:val="bullet"/>
      <w:lvlText w:val="o"/>
      <w:lvlJc w:val="left"/>
      <w:pPr>
        <w:ind w:left="3600" w:hanging="360"/>
      </w:pPr>
      <w:rPr>
        <w:rFonts w:ascii="Courier New" w:hAnsi="Courier New" w:cs="Courier New" w:hint="default"/>
      </w:rPr>
    </w:lvl>
    <w:lvl w:ilvl="5" w:tplc="A7469C48" w:tentative="1">
      <w:start w:val="1"/>
      <w:numFmt w:val="bullet"/>
      <w:lvlText w:val=""/>
      <w:lvlJc w:val="left"/>
      <w:pPr>
        <w:ind w:left="4320" w:hanging="360"/>
      </w:pPr>
      <w:rPr>
        <w:rFonts w:ascii="Wingdings" w:hAnsi="Wingdings" w:hint="default"/>
      </w:rPr>
    </w:lvl>
    <w:lvl w:ilvl="6" w:tplc="0AA22676" w:tentative="1">
      <w:start w:val="1"/>
      <w:numFmt w:val="bullet"/>
      <w:lvlText w:val=""/>
      <w:lvlJc w:val="left"/>
      <w:pPr>
        <w:ind w:left="5040" w:hanging="360"/>
      </w:pPr>
      <w:rPr>
        <w:rFonts w:ascii="Symbol" w:hAnsi="Symbol" w:hint="default"/>
      </w:rPr>
    </w:lvl>
    <w:lvl w:ilvl="7" w:tplc="D33ACDE4" w:tentative="1">
      <w:start w:val="1"/>
      <w:numFmt w:val="bullet"/>
      <w:lvlText w:val="o"/>
      <w:lvlJc w:val="left"/>
      <w:pPr>
        <w:ind w:left="5760" w:hanging="360"/>
      </w:pPr>
      <w:rPr>
        <w:rFonts w:ascii="Courier New" w:hAnsi="Courier New" w:cs="Courier New" w:hint="default"/>
      </w:rPr>
    </w:lvl>
    <w:lvl w:ilvl="8" w:tplc="3D426C2A" w:tentative="1">
      <w:start w:val="1"/>
      <w:numFmt w:val="bullet"/>
      <w:lvlText w:val=""/>
      <w:lvlJc w:val="left"/>
      <w:pPr>
        <w:ind w:left="6480" w:hanging="360"/>
      </w:pPr>
      <w:rPr>
        <w:rFonts w:ascii="Wingdings" w:hAnsi="Wingdings" w:hint="default"/>
      </w:rPr>
    </w:lvl>
  </w:abstractNum>
  <w:abstractNum w:abstractNumId="215" w15:restartNumberingAfterBreak="0">
    <w:nsid w:val="48F368AD"/>
    <w:multiLevelType w:val="hybridMultilevel"/>
    <w:tmpl w:val="DF729BEE"/>
    <w:styleLink w:val="WWNum3623"/>
    <w:lvl w:ilvl="0" w:tplc="0409000F">
      <w:start w:val="1"/>
      <w:numFmt w:val="bullet"/>
      <w:lvlText w:val=""/>
      <w:lvlJc w:val="left"/>
      <w:pPr>
        <w:ind w:left="1482" w:hanging="360"/>
      </w:pPr>
      <w:rPr>
        <w:rFonts w:ascii="Symbol" w:hAnsi="Symbol" w:hint="default"/>
      </w:rPr>
    </w:lvl>
    <w:lvl w:ilvl="1" w:tplc="04090003" w:tentative="1">
      <w:start w:val="1"/>
      <w:numFmt w:val="bullet"/>
      <w:lvlText w:val="o"/>
      <w:lvlJc w:val="left"/>
      <w:pPr>
        <w:ind w:left="2202" w:hanging="360"/>
      </w:pPr>
      <w:rPr>
        <w:rFonts w:ascii="Courier New" w:hAnsi="Courier New" w:cs="Courier New" w:hint="default"/>
      </w:rPr>
    </w:lvl>
    <w:lvl w:ilvl="2" w:tplc="04090005" w:tentative="1">
      <w:start w:val="1"/>
      <w:numFmt w:val="bullet"/>
      <w:lvlText w:val=""/>
      <w:lvlJc w:val="left"/>
      <w:pPr>
        <w:ind w:left="2922" w:hanging="360"/>
      </w:pPr>
      <w:rPr>
        <w:rFonts w:ascii="Wingdings" w:hAnsi="Wingdings" w:hint="default"/>
      </w:rPr>
    </w:lvl>
    <w:lvl w:ilvl="3" w:tplc="04090001" w:tentative="1">
      <w:start w:val="1"/>
      <w:numFmt w:val="bullet"/>
      <w:lvlText w:val=""/>
      <w:lvlJc w:val="left"/>
      <w:pPr>
        <w:ind w:left="3642" w:hanging="360"/>
      </w:pPr>
      <w:rPr>
        <w:rFonts w:ascii="Symbol" w:hAnsi="Symbol" w:hint="default"/>
      </w:rPr>
    </w:lvl>
    <w:lvl w:ilvl="4" w:tplc="04090003" w:tentative="1">
      <w:start w:val="1"/>
      <w:numFmt w:val="bullet"/>
      <w:lvlText w:val="o"/>
      <w:lvlJc w:val="left"/>
      <w:pPr>
        <w:ind w:left="4362" w:hanging="360"/>
      </w:pPr>
      <w:rPr>
        <w:rFonts w:ascii="Courier New" w:hAnsi="Courier New" w:cs="Courier New" w:hint="default"/>
      </w:rPr>
    </w:lvl>
    <w:lvl w:ilvl="5" w:tplc="04090005" w:tentative="1">
      <w:start w:val="1"/>
      <w:numFmt w:val="bullet"/>
      <w:lvlText w:val=""/>
      <w:lvlJc w:val="left"/>
      <w:pPr>
        <w:ind w:left="5082" w:hanging="360"/>
      </w:pPr>
      <w:rPr>
        <w:rFonts w:ascii="Wingdings" w:hAnsi="Wingdings" w:hint="default"/>
      </w:rPr>
    </w:lvl>
    <w:lvl w:ilvl="6" w:tplc="04090001" w:tentative="1">
      <w:start w:val="1"/>
      <w:numFmt w:val="bullet"/>
      <w:lvlText w:val=""/>
      <w:lvlJc w:val="left"/>
      <w:pPr>
        <w:ind w:left="5802" w:hanging="360"/>
      </w:pPr>
      <w:rPr>
        <w:rFonts w:ascii="Symbol" w:hAnsi="Symbol" w:hint="default"/>
      </w:rPr>
    </w:lvl>
    <w:lvl w:ilvl="7" w:tplc="04090003" w:tentative="1">
      <w:start w:val="1"/>
      <w:numFmt w:val="bullet"/>
      <w:lvlText w:val="o"/>
      <w:lvlJc w:val="left"/>
      <w:pPr>
        <w:ind w:left="6522" w:hanging="360"/>
      </w:pPr>
      <w:rPr>
        <w:rFonts w:ascii="Courier New" w:hAnsi="Courier New" w:cs="Courier New" w:hint="default"/>
      </w:rPr>
    </w:lvl>
    <w:lvl w:ilvl="8" w:tplc="04090005" w:tentative="1">
      <w:start w:val="1"/>
      <w:numFmt w:val="bullet"/>
      <w:lvlText w:val=""/>
      <w:lvlJc w:val="left"/>
      <w:pPr>
        <w:ind w:left="7242" w:hanging="360"/>
      </w:pPr>
      <w:rPr>
        <w:rFonts w:ascii="Wingdings" w:hAnsi="Wingdings" w:hint="default"/>
      </w:rPr>
    </w:lvl>
  </w:abstractNum>
  <w:abstractNum w:abstractNumId="216" w15:restartNumberingAfterBreak="0">
    <w:nsid w:val="490912DC"/>
    <w:multiLevelType w:val="hybridMultilevel"/>
    <w:tmpl w:val="1276AFB8"/>
    <w:lvl w:ilvl="0" w:tplc="CE3EAC58">
      <w:start w:val="1"/>
      <w:numFmt w:val="decimal"/>
      <w:lvlText w:val="(%1)"/>
      <w:lvlJc w:val="left"/>
      <w:pPr>
        <w:ind w:left="852" w:hanging="360"/>
      </w:pPr>
      <w:rPr>
        <w:rFonts w:eastAsia="Calibri" w:hAnsi="Calibri" w:cs="Times New Roman" w:hint="default"/>
        <w:i/>
        <w:sz w:val="20"/>
        <w:szCs w:val="20"/>
        <w:vertAlign w:val="superscript"/>
      </w:rPr>
    </w:lvl>
    <w:lvl w:ilvl="1" w:tplc="40090019" w:tentative="1">
      <w:start w:val="1"/>
      <w:numFmt w:val="lowerLetter"/>
      <w:lvlText w:val="%2."/>
      <w:lvlJc w:val="left"/>
      <w:pPr>
        <w:ind w:left="1572" w:hanging="360"/>
      </w:pPr>
    </w:lvl>
    <w:lvl w:ilvl="2" w:tplc="4009001B" w:tentative="1">
      <w:start w:val="1"/>
      <w:numFmt w:val="lowerRoman"/>
      <w:lvlText w:val="%3."/>
      <w:lvlJc w:val="right"/>
      <w:pPr>
        <w:ind w:left="2292" w:hanging="180"/>
      </w:pPr>
    </w:lvl>
    <w:lvl w:ilvl="3" w:tplc="4009000F" w:tentative="1">
      <w:start w:val="1"/>
      <w:numFmt w:val="decimal"/>
      <w:lvlText w:val="%4."/>
      <w:lvlJc w:val="left"/>
      <w:pPr>
        <w:ind w:left="3012" w:hanging="360"/>
      </w:pPr>
    </w:lvl>
    <w:lvl w:ilvl="4" w:tplc="40090019" w:tentative="1">
      <w:start w:val="1"/>
      <w:numFmt w:val="lowerLetter"/>
      <w:lvlText w:val="%5."/>
      <w:lvlJc w:val="left"/>
      <w:pPr>
        <w:ind w:left="3732" w:hanging="360"/>
      </w:pPr>
    </w:lvl>
    <w:lvl w:ilvl="5" w:tplc="4009001B" w:tentative="1">
      <w:start w:val="1"/>
      <w:numFmt w:val="lowerRoman"/>
      <w:lvlText w:val="%6."/>
      <w:lvlJc w:val="right"/>
      <w:pPr>
        <w:ind w:left="4452" w:hanging="180"/>
      </w:pPr>
    </w:lvl>
    <w:lvl w:ilvl="6" w:tplc="4009000F" w:tentative="1">
      <w:start w:val="1"/>
      <w:numFmt w:val="decimal"/>
      <w:lvlText w:val="%7."/>
      <w:lvlJc w:val="left"/>
      <w:pPr>
        <w:ind w:left="5172" w:hanging="360"/>
      </w:pPr>
    </w:lvl>
    <w:lvl w:ilvl="7" w:tplc="40090019" w:tentative="1">
      <w:start w:val="1"/>
      <w:numFmt w:val="lowerLetter"/>
      <w:lvlText w:val="%8."/>
      <w:lvlJc w:val="left"/>
      <w:pPr>
        <w:ind w:left="5892" w:hanging="360"/>
      </w:pPr>
    </w:lvl>
    <w:lvl w:ilvl="8" w:tplc="4009001B" w:tentative="1">
      <w:start w:val="1"/>
      <w:numFmt w:val="lowerRoman"/>
      <w:lvlText w:val="%9."/>
      <w:lvlJc w:val="right"/>
      <w:pPr>
        <w:ind w:left="6612" w:hanging="180"/>
      </w:pPr>
    </w:lvl>
  </w:abstractNum>
  <w:abstractNum w:abstractNumId="217" w15:restartNumberingAfterBreak="0">
    <w:nsid w:val="499176C9"/>
    <w:multiLevelType w:val="multilevel"/>
    <w:tmpl w:val="81C4DC2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rPr>
        <w:b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117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900" w:hanging="360"/>
      </w:pPr>
    </w:lvl>
  </w:abstractNum>
  <w:abstractNum w:abstractNumId="218" w15:restartNumberingAfterBreak="0">
    <w:nsid w:val="49D1181D"/>
    <w:multiLevelType w:val="hybridMultilevel"/>
    <w:tmpl w:val="757EDEF2"/>
    <w:lvl w:ilvl="0" w:tplc="D6368506">
      <w:start w:val="1"/>
      <w:numFmt w:val="lowerRoman"/>
      <w:lvlText w:val="%1)"/>
      <w:lvlJc w:val="left"/>
      <w:pPr>
        <w:ind w:left="720" w:hanging="360"/>
      </w:pPr>
      <w:rPr>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9" w15:restartNumberingAfterBreak="0">
    <w:nsid w:val="4A461782"/>
    <w:multiLevelType w:val="hybridMultilevel"/>
    <w:tmpl w:val="07E8BE3E"/>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20" w15:restartNumberingAfterBreak="0">
    <w:nsid w:val="4A52610F"/>
    <w:multiLevelType w:val="hybridMultilevel"/>
    <w:tmpl w:val="769A598E"/>
    <w:styleLink w:val="WWNum4352"/>
    <w:lvl w:ilvl="0" w:tplc="E7C8A800">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1" w15:restartNumberingAfterBreak="0">
    <w:nsid w:val="4A666E1A"/>
    <w:multiLevelType w:val="hybridMultilevel"/>
    <w:tmpl w:val="E5EE7082"/>
    <w:lvl w:ilvl="0" w:tplc="E7C8A800">
      <w:start w:val="1"/>
      <w:numFmt w:val="decimal"/>
      <w:lvlText w:val="%1."/>
      <w:lvlJc w:val="left"/>
      <w:pPr>
        <w:ind w:left="720" w:hanging="360"/>
      </w:pPr>
      <w:rPr>
        <w:rFonts w:ascii="Times New Roman" w:hAnsi="Times New Roman"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4AAC644C"/>
    <w:multiLevelType w:val="multilevel"/>
    <w:tmpl w:val="136A1994"/>
    <w:styleLink w:val="WWNum1817"/>
    <w:lvl w:ilvl="0">
      <w:start w:val="1"/>
      <w:numFmt w:val="lowerRoman"/>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23" w15:restartNumberingAfterBreak="0">
    <w:nsid w:val="4ABC4BE8"/>
    <w:multiLevelType w:val="hybridMultilevel"/>
    <w:tmpl w:val="8174A9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4" w15:restartNumberingAfterBreak="0">
    <w:nsid w:val="4AC07435"/>
    <w:multiLevelType w:val="hybridMultilevel"/>
    <w:tmpl w:val="E7565C3E"/>
    <w:lvl w:ilvl="0" w:tplc="04090017">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4AC6473A"/>
    <w:multiLevelType w:val="hybridMultilevel"/>
    <w:tmpl w:val="3E9E8888"/>
    <w:styleLink w:val="WWNum6683"/>
    <w:lvl w:ilvl="0" w:tplc="E962D7EA">
      <w:start w:val="1"/>
      <w:numFmt w:val="decimal"/>
      <w:lvlText w:val="%1."/>
      <w:lvlJc w:val="left"/>
      <w:pPr>
        <w:ind w:left="720" w:hanging="360"/>
      </w:pPr>
    </w:lvl>
    <w:lvl w:ilvl="1" w:tplc="D73E15BC" w:tentative="1">
      <w:start w:val="1"/>
      <w:numFmt w:val="lowerLetter"/>
      <w:lvlText w:val="%2."/>
      <w:lvlJc w:val="left"/>
      <w:pPr>
        <w:ind w:left="1440" w:hanging="360"/>
      </w:pPr>
    </w:lvl>
    <w:lvl w:ilvl="2" w:tplc="2B2C8CA8" w:tentative="1">
      <w:start w:val="1"/>
      <w:numFmt w:val="lowerRoman"/>
      <w:lvlText w:val="%3."/>
      <w:lvlJc w:val="right"/>
      <w:pPr>
        <w:ind w:left="2160" w:hanging="180"/>
      </w:pPr>
    </w:lvl>
    <w:lvl w:ilvl="3" w:tplc="A77E40EC" w:tentative="1">
      <w:start w:val="1"/>
      <w:numFmt w:val="decimal"/>
      <w:lvlText w:val="%4."/>
      <w:lvlJc w:val="left"/>
      <w:pPr>
        <w:ind w:left="2880" w:hanging="360"/>
      </w:pPr>
    </w:lvl>
    <w:lvl w:ilvl="4" w:tplc="2E8279B6" w:tentative="1">
      <w:start w:val="1"/>
      <w:numFmt w:val="lowerLetter"/>
      <w:lvlText w:val="%5."/>
      <w:lvlJc w:val="left"/>
      <w:pPr>
        <w:ind w:left="3600" w:hanging="360"/>
      </w:pPr>
    </w:lvl>
    <w:lvl w:ilvl="5" w:tplc="D4C2D16A" w:tentative="1">
      <w:start w:val="1"/>
      <w:numFmt w:val="lowerRoman"/>
      <w:lvlText w:val="%6."/>
      <w:lvlJc w:val="right"/>
      <w:pPr>
        <w:ind w:left="4320" w:hanging="180"/>
      </w:pPr>
    </w:lvl>
    <w:lvl w:ilvl="6" w:tplc="763EC6A0" w:tentative="1">
      <w:start w:val="1"/>
      <w:numFmt w:val="decimal"/>
      <w:lvlText w:val="%7."/>
      <w:lvlJc w:val="left"/>
      <w:pPr>
        <w:ind w:left="5040" w:hanging="360"/>
      </w:pPr>
    </w:lvl>
    <w:lvl w:ilvl="7" w:tplc="7284D2D6" w:tentative="1">
      <w:start w:val="1"/>
      <w:numFmt w:val="lowerLetter"/>
      <w:lvlText w:val="%8."/>
      <w:lvlJc w:val="left"/>
      <w:pPr>
        <w:ind w:left="5760" w:hanging="360"/>
      </w:pPr>
    </w:lvl>
    <w:lvl w:ilvl="8" w:tplc="140C78B2" w:tentative="1">
      <w:start w:val="1"/>
      <w:numFmt w:val="lowerRoman"/>
      <w:lvlText w:val="%9."/>
      <w:lvlJc w:val="right"/>
      <w:pPr>
        <w:ind w:left="6480" w:hanging="180"/>
      </w:pPr>
    </w:lvl>
  </w:abstractNum>
  <w:abstractNum w:abstractNumId="226" w15:restartNumberingAfterBreak="0">
    <w:nsid w:val="4AFB4A22"/>
    <w:multiLevelType w:val="hybridMultilevel"/>
    <w:tmpl w:val="17DA7F76"/>
    <w:styleLink w:val="WWNum66104"/>
    <w:lvl w:ilvl="0" w:tplc="CCFEAD5E">
      <w:start w:val="1"/>
      <w:numFmt w:val="lowerLetter"/>
      <w:lvlText w:val="(%1)"/>
      <w:lvlJc w:val="left"/>
      <w:pPr>
        <w:ind w:left="810" w:hanging="360"/>
      </w:pPr>
      <w:rPr>
        <w:rFonts w:hint="default"/>
      </w:rPr>
    </w:lvl>
    <w:lvl w:ilvl="1" w:tplc="8EA82BF8" w:tentative="1">
      <w:start w:val="1"/>
      <w:numFmt w:val="lowerLetter"/>
      <w:lvlText w:val="%2."/>
      <w:lvlJc w:val="left"/>
      <w:pPr>
        <w:ind w:left="1530" w:hanging="360"/>
      </w:pPr>
    </w:lvl>
    <w:lvl w:ilvl="2" w:tplc="0FBA9734" w:tentative="1">
      <w:start w:val="1"/>
      <w:numFmt w:val="lowerRoman"/>
      <w:lvlText w:val="%3."/>
      <w:lvlJc w:val="right"/>
      <w:pPr>
        <w:ind w:left="2250" w:hanging="180"/>
      </w:pPr>
    </w:lvl>
    <w:lvl w:ilvl="3" w:tplc="121062EA" w:tentative="1">
      <w:start w:val="1"/>
      <w:numFmt w:val="decimal"/>
      <w:lvlText w:val="%4."/>
      <w:lvlJc w:val="left"/>
      <w:pPr>
        <w:ind w:left="2970" w:hanging="360"/>
      </w:pPr>
    </w:lvl>
    <w:lvl w:ilvl="4" w:tplc="2DFA443C" w:tentative="1">
      <w:start w:val="1"/>
      <w:numFmt w:val="lowerLetter"/>
      <w:lvlText w:val="%5."/>
      <w:lvlJc w:val="left"/>
      <w:pPr>
        <w:ind w:left="3690" w:hanging="360"/>
      </w:pPr>
    </w:lvl>
    <w:lvl w:ilvl="5" w:tplc="FC76FFC6" w:tentative="1">
      <w:start w:val="1"/>
      <w:numFmt w:val="lowerRoman"/>
      <w:lvlText w:val="%6."/>
      <w:lvlJc w:val="right"/>
      <w:pPr>
        <w:ind w:left="4410" w:hanging="180"/>
      </w:pPr>
    </w:lvl>
    <w:lvl w:ilvl="6" w:tplc="F4B20406" w:tentative="1">
      <w:start w:val="1"/>
      <w:numFmt w:val="decimal"/>
      <w:lvlText w:val="%7."/>
      <w:lvlJc w:val="left"/>
      <w:pPr>
        <w:ind w:left="5130" w:hanging="360"/>
      </w:pPr>
    </w:lvl>
    <w:lvl w:ilvl="7" w:tplc="C1B4C8A4" w:tentative="1">
      <w:start w:val="1"/>
      <w:numFmt w:val="lowerLetter"/>
      <w:lvlText w:val="%8."/>
      <w:lvlJc w:val="left"/>
      <w:pPr>
        <w:ind w:left="5850" w:hanging="360"/>
      </w:pPr>
    </w:lvl>
    <w:lvl w:ilvl="8" w:tplc="F2122AB4" w:tentative="1">
      <w:start w:val="1"/>
      <w:numFmt w:val="lowerRoman"/>
      <w:lvlText w:val="%9."/>
      <w:lvlJc w:val="right"/>
      <w:pPr>
        <w:ind w:left="6570" w:hanging="180"/>
      </w:pPr>
    </w:lvl>
  </w:abstractNum>
  <w:abstractNum w:abstractNumId="227" w15:restartNumberingAfterBreak="0">
    <w:nsid w:val="4B43127D"/>
    <w:multiLevelType w:val="hybridMultilevel"/>
    <w:tmpl w:val="EA4638DA"/>
    <w:styleLink w:val="WWNum7354"/>
    <w:lvl w:ilvl="0" w:tplc="CCFEAD5E">
      <w:start w:val="1"/>
      <w:numFmt w:val="decimal"/>
      <w:lvlText w:val="%1."/>
      <w:lvlJc w:val="left"/>
      <w:pPr>
        <w:ind w:left="720" w:hanging="360"/>
      </w:pPr>
    </w:lvl>
    <w:lvl w:ilvl="1" w:tplc="8EA82BF8">
      <w:start w:val="1"/>
      <w:numFmt w:val="lowerLetter"/>
      <w:lvlText w:val="%2."/>
      <w:lvlJc w:val="left"/>
      <w:pPr>
        <w:ind w:left="1440" w:hanging="360"/>
      </w:pPr>
    </w:lvl>
    <w:lvl w:ilvl="2" w:tplc="0FBA9734">
      <w:start w:val="1"/>
      <w:numFmt w:val="lowerRoman"/>
      <w:lvlText w:val="%3."/>
      <w:lvlJc w:val="right"/>
      <w:pPr>
        <w:ind w:left="2160" w:hanging="180"/>
      </w:pPr>
    </w:lvl>
    <w:lvl w:ilvl="3" w:tplc="121062EA">
      <w:start w:val="1"/>
      <w:numFmt w:val="decimal"/>
      <w:lvlText w:val="%4."/>
      <w:lvlJc w:val="left"/>
      <w:pPr>
        <w:ind w:left="2880" w:hanging="360"/>
      </w:pPr>
    </w:lvl>
    <w:lvl w:ilvl="4" w:tplc="2DFA443C">
      <w:start w:val="1"/>
      <w:numFmt w:val="lowerLetter"/>
      <w:lvlText w:val="%5."/>
      <w:lvlJc w:val="left"/>
      <w:pPr>
        <w:ind w:left="3600" w:hanging="360"/>
      </w:pPr>
    </w:lvl>
    <w:lvl w:ilvl="5" w:tplc="FC76FFC6">
      <w:start w:val="1"/>
      <w:numFmt w:val="lowerRoman"/>
      <w:lvlText w:val="%6."/>
      <w:lvlJc w:val="right"/>
      <w:pPr>
        <w:ind w:left="4320" w:hanging="180"/>
      </w:pPr>
    </w:lvl>
    <w:lvl w:ilvl="6" w:tplc="F4B20406">
      <w:start w:val="1"/>
      <w:numFmt w:val="decimal"/>
      <w:lvlText w:val="%7."/>
      <w:lvlJc w:val="left"/>
      <w:pPr>
        <w:ind w:left="5040" w:hanging="360"/>
      </w:pPr>
    </w:lvl>
    <w:lvl w:ilvl="7" w:tplc="C1B4C8A4">
      <w:start w:val="1"/>
      <w:numFmt w:val="lowerLetter"/>
      <w:lvlText w:val="%8."/>
      <w:lvlJc w:val="left"/>
      <w:pPr>
        <w:ind w:left="5760" w:hanging="360"/>
      </w:pPr>
    </w:lvl>
    <w:lvl w:ilvl="8" w:tplc="F2122AB4">
      <w:start w:val="1"/>
      <w:numFmt w:val="lowerRoman"/>
      <w:lvlText w:val="%9."/>
      <w:lvlJc w:val="right"/>
      <w:pPr>
        <w:ind w:left="6480" w:hanging="180"/>
      </w:pPr>
    </w:lvl>
  </w:abstractNum>
  <w:abstractNum w:abstractNumId="228" w15:restartNumberingAfterBreak="0">
    <w:nsid w:val="4B496802"/>
    <w:multiLevelType w:val="hybridMultilevel"/>
    <w:tmpl w:val="804C8494"/>
    <w:lvl w:ilvl="0" w:tplc="04090017">
      <w:start w:val="1"/>
      <w:numFmt w:val="lowerLetter"/>
      <w:lvlText w:val="%1)"/>
      <w:lvlJc w:val="left"/>
      <w:pPr>
        <w:ind w:left="720" w:hanging="360"/>
      </w:pPr>
    </w:lvl>
    <w:lvl w:ilvl="1" w:tplc="CDD05664">
      <w:start w:val="1"/>
      <w:numFmt w:val="lowerLetter"/>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4B8871FB"/>
    <w:multiLevelType w:val="hybridMultilevel"/>
    <w:tmpl w:val="F4085D36"/>
    <w:lvl w:ilvl="0" w:tplc="40090001">
      <w:start w:val="1"/>
      <w:numFmt w:val="bullet"/>
      <w:lvlText w:val=""/>
      <w:lvlJc w:val="left"/>
      <w:pPr>
        <w:ind w:left="1480" w:hanging="360"/>
      </w:pPr>
      <w:rPr>
        <w:rFonts w:ascii="Symbol" w:hAnsi="Symbol" w:hint="default"/>
      </w:rPr>
    </w:lvl>
    <w:lvl w:ilvl="1" w:tplc="40090003" w:tentative="1">
      <w:start w:val="1"/>
      <w:numFmt w:val="bullet"/>
      <w:lvlText w:val="o"/>
      <w:lvlJc w:val="left"/>
      <w:pPr>
        <w:ind w:left="2200" w:hanging="360"/>
      </w:pPr>
      <w:rPr>
        <w:rFonts w:ascii="Courier New" w:hAnsi="Courier New" w:cs="Courier New" w:hint="default"/>
      </w:rPr>
    </w:lvl>
    <w:lvl w:ilvl="2" w:tplc="40090005" w:tentative="1">
      <w:start w:val="1"/>
      <w:numFmt w:val="bullet"/>
      <w:lvlText w:val=""/>
      <w:lvlJc w:val="left"/>
      <w:pPr>
        <w:ind w:left="2920" w:hanging="360"/>
      </w:pPr>
      <w:rPr>
        <w:rFonts w:ascii="Wingdings" w:hAnsi="Wingdings" w:hint="default"/>
      </w:rPr>
    </w:lvl>
    <w:lvl w:ilvl="3" w:tplc="40090001" w:tentative="1">
      <w:start w:val="1"/>
      <w:numFmt w:val="bullet"/>
      <w:lvlText w:val=""/>
      <w:lvlJc w:val="left"/>
      <w:pPr>
        <w:ind w:left="3640" w:hanging="360"/>
      </w:pPr>
      <w:rPr>
        <w:rFonts w:ascii="Symbol" w:hAnsi="Symbol" w:hint="default"/>
      </w:rPr>
    </w:lvl>
    <w:lvl w:ilvl="4" w:tplc="40090003" w:tentative="1">
      <w:start w:val="1"/>
      <w:numFmt w:val="bullet"/>
      <w:lvlText w:val="o"/>
      <w:lvlJc w:val="left"/>
      <w:pPr>
        <w:ind w:left="4360" w:hanging="360"/>
      </w:pPr>
      <w:rPr>
        <w:rFonts w:ascii="Courier New" w:hAnsi="Courier New" w:cs="Courier New" w:hint="default"/>
      </w:rPr>
    </w:lvl>
    <w:lvl w:ilvl="5" w:tplc="40090005" w:tentative="1">
      <w:start w:val="1"/>
      <w:numFmt w:val="bullet"/>
      <w:lvlText w:val=""/>
      <w:lvlJc w:val="left"/>
      <w:pPr>
        <w:ind w:left="5080" w:hanging="360"/>
      </w:pPr>
      <w:rPr>
        <w:rFonts w:ascii="Wingdings" w:hAnsi="Wingdings" w:hint="default"/>
      </w:rPr>
    </w:lvl>
    <w:lvl w:ilvl="6" w:tplc="40090001" w:tentative="1">
      <w:start w:val="1"/>
      <w:numFmt w:val="bullet"/>
      <w:lvlText w:val=""/>
      <w:lvlJc w:val="left"/>
      <w:pPr>
        <w:ind w:left="5800" w:hanging="360"/>
      </w:pPr>
      <w:rPr>
        <w:rFonts w:ascii="Symbol" w:hAnsi="Symbol" w:hint="default"/>
      </w:rPr>
    </w:lvl>
    <w:lvl w:ilvl="7" w:tplc="40090003" w:tentative="1">
      <w:start w:val="1"/>
      <w:numFmt w:val="bullet"/>
      <w:lvlText w:val="o"/>
      <w:lvlJc w:val="left"/>
      <w:pPr>
        <w:ind w:left="6520" w:hanging="360"/>
      </w:pPr>
      <w:rPr>
        <w:rFonts w:ascii="Courier New" w:hAnsi="Courier New" w:cs="Courier New" w:hint="default"/>
      </w:rPr>
    </w:lvl>
    <w:lvl w:ilvl="8" w:tplc="40090005" w:tentative="1">
      <w:start w:val="1"/>
      <w:numFmt w:val="bullet"/>
      <w:lvlText w:val=""/>
      <w:lvlJc w:val="left"/>
      <w:pPr>
        <w:ind w:left="7240" w:hanging="360"/>
      </w:pPr>
      <w:rPr>
        <w:rFonts w:ascii="Wingdings" w:hAnsi="Wingdings" w:hint="default"/>
      </w:rPr>
    </w:lvl>
  </w:abstractNum>
  <w:abstractNum w:abstractNumId="230" w15:restartNumberingAfterBreak="0">
    <w:nsid w:val="4BFB0E7D"/>
    <w:multiLevelType w:val="hybridMultilevel"/>
    <w:tmpl w:val="E268499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1" w15:restartNumberingAfterBreak="0">
    <w:nsid w:val="4BFD5F4A"/>
    <w:multiLevelType w:val="multilevel"/>
    <w:tmpl w:val="AD7E362C"/>
    <w:styleLink w:val="WWNum34104"/>
    <w:lvl w:ilvl="0">
      <w:start w:val="1"/>
      <w:numFmt w:val="lowerRoman"/>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32" w15:restartNumberingAfterBreak="0">
    <w:nsid w:val="4C355381"/>
    <w:multiLevelType w:val="hybridMultilevel"/>
    <w:tmpl w:val="2F3453C0"/>
    <w:lvl w:ilvl="0" w:tplc="71A07022">
      <w:start w:val="1"/>
      <w:numFmt w:val="decimal"/>
      <w:lvlText w:val="%1."/>
      <w:lvlJc w:val="left"/>
      <w:pPr>
        <w:ind w:left="720" w:hanging="360"/>
      </w:pPr>
    </w:lvl>
    <w:lvl w:ilvl="1" w:tplc="42262EF8">
      <w:start w:val="1"/>
      <w:numFmt w:val="lowerLetter"/>
      <w:lvlText w:val="%2."/>
      <w:lvlJc w:val="left"/>
      <w:pPr>
        <w:ind w:left="1440" w:hanging="360"/>
      </w:pPr>
    </w:lvl>
    <w:lvl w:ilvl="2" w:tplc="29C0F096">
      <w:start w:val="1"/>
      <w:numFmt w:val="lowerRoman"/>
      <w:lvlText w:val="%3."/>
      <w:lvlJc w:val="right"/>
      <w:pPr>
        <w:ind w:left="2160" w:hanging="180"/>
      </w:pPr>
    </w:lvl>
    <w:lvl w:ilvl="3" w:tplc="2AD22CE2">
      <w:start w:val="1"/>
      <w:numFmt w:val="decimal"/>
      <w:lvlText w:val="%4."/>
      <w:lvlJc w:val="left"/>
      <w:pPr>
        <w:ind w:left="2880" w:hanging="360"/>
      </w:pPr>
    </w:lvl>
    <w:lvl w:ilvl="4" w:tplc="1F402E78">
      <w:start w:val="1"/>
      <w:numFmt w:val="lowerLetter"/>
      <w:lvlText w:val="%5."/>
      <w:lvlJc w:val="left"/>
      <w:pPr>
        <w:ind w:left="3600" w:hanging="360"/>
      </w:pPr>
    </w:lvl>
    <w:lvl w:ilvl="5" w:tplc="248ECDA8">
      <w:start w:val="1"/>
      <w:numFmt w:val="lowerRoman"/>
      <w:lvlText w:val="%6."/>
      <w:lvlJc w:val="right"/>
      <w:pPr>
        <w:ind w:left="4320" w:hanging="180"/>
      </w:pPr>
    </w:lvl>
    <w:lvl w:ilvl="6" w:tplc="5994097C">
      <w:start w:val="1"/>
      <w:numFmt w:val="decimal"/>
      <w:lvlText w:val="%7."/>
      <w:lvlJc w:val="left"/>
      <w:pPr>
        <w:ind w:left="5040" w:hanging="360"/>
      </w:pPr>
    </w:lvl>
    <w:lvl w:ilvl="7" w:tplc="192AC57C">
      <w:start w:val="1"/>
      <w:numFmt w:val="lowerLetter"/>
      <w:lvlText w:val="%8."/>
      <w:lvlJc w:val="left"/>
      <w:pPr>
        <w:ind w:left="5760" w:hanging="360"/>
      </w:pPr>
    </w:lvl>
    <w:lvl w:ilvl="8" w:tplc="B2C488FE">
      <w:start w:val="1"/>
      <w:numFmt w:val="lowerRoman"/>
      <w:lvlText w:val="%9."/>
      <w:lvlJc w:val="right"/>
      <w:pPr>
        <w:ind w:left="6480" w:hanging="180"/>
      </w:pPr>
    </w:lvl>
  </w:abstractNum>
  <w:abstractNum w:abstractNumId="233" w15:restartNumberingAfterBreak="0">
    <w:nsid w:val="4C64534B"/>
    <w:multiLevelType w:val="hybridMultilevel"/>
    <w:tmpl w:val="4192087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4D394AD9"/>
    <w:multiLevelType w:val="hybridMultilevel"/>
    <w:tmpl w:val="3942E5A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5">
      <w:start w:val="1"/>
      <w:numFmt w:val="upperLetter"/>
      <w:lvlText w:val="%6."/>
      <w:lvlJc w:val="left"/>
      <w:pPr>
        <w:ind w:left="450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4D964650"/>
    <w:multiLevelType w:val="hybridMultilevel"/>
    <w:tmpl w:val="4E08F66C"/>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6" w15:restartNumberingAfterBreak="0">
    <w:nsid w:val="4E097DED"/>
    <w:multiLevelType w:val="hybridMultilevel"/>
    <w:tmpl w:val="7F06A0E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5826B36">
      <w:start w:val="1"/>
      <w:numFmt w:val="low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5045297F"/>
    <w:multiLevelType w:val="hybridMultilevel"/>
    <w:tmpl w:val="3D182F4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508E0B04"/>
    <w:multiLevelType w:val="hybridMultilevel"/>
    <w:tmpl w:val="A0D82F98"/>
    <w:lvl w:ilvl="0" w:tplc="0840FD38">
      <w:start w:val="1"/>
      <w:numFmt w:val="decimal"/>
      <w:lvlText w:val="%1."/>
      <w:lvlJc w:val="left"/>
      <w:pPr>
        <w:tabs>
          <w:tab w:val="num" w:pos="1080"/>
        </w:tabs>
        <w:ind w:left="1080" w:hanging="720"/>
      </w:pPr>
      <w:rPr>
        <w:rFonts w:ascii="Times New Roman" w:hAnsi="Times New Roman" w:cs="Times New Roman" w:hint="default"/>
        <w:b w:val="0"/>
        <w:i w:val="0"/>
        <w:sz w:val="20"/>
        <w:szCs w:val="20"/>
      </w:rPr>
    </w:lvl>
    <w:lvl w:ilvl="1" w:tplc="E98C49CE">
      <w:start w:val="1"/>
      <w:numFmt w:val="lowerLetter"/>
      <w:lvlText w:val="%2."/>
      <w:lvlJc w:val="left"/>
      <w:pPr>
        <w:tabs>
          <w:tab w:val="num" w:pos="1800"/>
        </w:tabs>
        <w:ind w:left="1800" w:hanging="360"/>
      </w:pPr>
      <w:rPr>
        <w:rFonts w:cs="Times New Roman"/>
      </w:rPr>
    </w:lvl>
    <w:lvl w:ilvl="2" w:tplc="D180C8DC">
      <w:start w:val="1"/>
      <w:numFmt w:val="lowerRoman"/>
      <w:lvlText w:val="%3."/>
      <w:lvlJc w:val="right"/>
      <w:pPr>
        <w:tabs>
          <w:tab w:val="num" w:pos="2520"/>
        </w:tabs>
        <w:ind w:left="2520" w:hanging="180"/>
      </w:pPr>
      <w:rPr>
        <w:rFonts w:cs="Times New Roman"/>
      </w:rPr>
    </w:lvl>
    <w:lvl w:ilvl="3" w:tplc="418647C0">
      <w:start w:val="1"/>
      <w:numFmt w:val="decimal"/>
      <w:lvlText w:val="%4."/>
      <w:lvlJc w:val="left"/>
      <w:pPr>
        <w:tabs>
          <w:tab w:val="num" w:pos="3240"/>
        </w:tabs>
        <w:ind w:left="3240" w:hanging="360"/>
      </w:pPr>
      <w:rPr>
        <w:rFonts w:cs="Times New Roman"/>
      </w:rPr>
    </w:lvl>
    <w:lvl w:ilvl="4" w:tplc="27647F28">
      <w:start w:val="1"/>
      <w:numFmt w:val="lowerLetter"/>
      <w:lvlText w:val="%5."/>
      <w:lvlJc w:val="left"/>
      <w:pPr>
        <w:tabs>
          <w:tab w:val="num" w:pos="3960"/>
        </w:tabs>
        <w:ind w:left="3960" w:hanging="360"/>
      </w:pPr>
      <w:rPr>
        <w:rFonts w:cs="Times New Roman"/>
      </w:rPr>
    </w:lvl>
    <w:lvl w:ilvl="5" w:tplc="A2D06F6E">
      <w:start w:val="1"/>
      <w:numFmt w:val="lowerRoman"/>
      <w:lvlText w:val="%6."/>
      <w:lvlJc w:val="right"/>
      <w:pPr>
        <w:tabs>
          <w:tab w:val="num" w:pos="4680"/>
        </w:tabs>
        <w:ind w:left="4680" w:hanging="180"/>
      </w:pPr>
      <w:rPr>
        <w:rFonts w:cs="Times New Roman"/>
      </w:rPr>
    </w:lvl>
    <w:lvl w:ilvl="6" w:tplc="60C4AD4C">
      <w:start w:val="1"/>
      <w:numFmt w:val="decimal"/>
      <w:lvlText w:val="%7."/>
      <w:lvlJc w:val="left"/>
      <w:pPr>
        <w:tabs>
          <w:tab w:val="num" w:pos="5400"/>
        </w:tabs>
        <w:ind w:left="5400" w:hanging="360"/>
      </w:pPr>
      <w:rPr>
        <w:rFonts w:cs="Times New Roman"/>
      </w:rPr>
    </w:lvl>
    <w:lvl w:ilvl="7" w:tplc="DBD2A9EE">
      <w:start w:val="1"/>
      <w:numFmt w:val="lowerLetter"/>
      <w:lvlText w:val="%8."/>
      <w:lvlJc w:val="left"/>
      <w:pPr>
        <w:tabs>
          <w:tab w:val="num" w:pos="6120"/>
        </w:tabs>
        <w:ind w:left="6120" w:hanging="360"/>
      </w:pPr>
      <w:rPr>
        <w:rFonts w:cs="Times New Roman"/>
      </w:rPr>
    </w:lvl>
    <w:lvl w:ilvl="8" w:tplc="9C423BDA">
      <w:start w:val="1"/>
      <w:numFmt w:val="lowerRoman"/>
      <w:lvlText w:val="%9."/>
      <w:lvlJc w:val="right"/>
      <w:pPr>
        <w:tabs>
          <w:tab w:val="num" w:pos="6840"/>
        </w:tabs>
        <w:ind w:left="6840" w:hanging="180"/>
      </w:pPr>
      <w:rPr>
        <w:rFonts w:cs="Times New Roman"/>
      </w:rPr>
    </w:lvl>
  </w:abstractNum>
  <w:abstractNum w:abstractNumId="239" w15:restartNumberingAfterBreak="0">
    <w:nsid w:val="517C46DC"/>
    <w:multiLevelType w:val="hybridMultilevel"/>
    <w:tmpl w:val="4D1CA8B2"/>
    <w:lvl w:ilvl="0" w:tplc="F60CAFF4">
      <w:start w:val="2"/>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517D6DCC"/>
    <w:multiLevelType w:val="multilevel"/>
    <w:tmpl w:val="FC78226C"/>
    <w:styleLink w:val="WWNum52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080" w:hanging="360"/>
      </w:pPr>
      <w:rPr>
        <w:rFonts w:hint="default"/>
        <w:b/>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1" w15:restartNumberingAfterBreak="0">
    <w:nsid w:val="519919B4"/>
    <w:multiLevelType w:val="hybridMultilevel"/>
    <w:tmpl w:val="077A213E"/>
    <w:lvl w:ilvl="0" w:tplc="15966A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51A15B64"/>
    <w:multiLevelType w:val="multilevel"/>
    <w:tmpl w:val="9F2CFAB4"/>
    <w:styleLink w:val="WWNum41354"/>
    <w:lvl w:ilvl="0">
      <w:start w:val="1"/>
      <w:numFmt w:val="lowerRoman"/>
      <w:lvlText w:val="%1."/>
      <w:lvlJc w:val="left"/>
      <w:rPr>
        <w:b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3" w15:restartNumberingAfterBreak="0">
    <w:nsid w:val="523A3ECC"/>
    <w:multiLevelType w:val="multilevel"/>
    <w:tmpl w:val="B18CDE56"/>
    <w:styleLink w:val="WWNum9104"/>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4" w15:restartNumberingAfterBreak="0">
    <w:nsid w:val="52B374E4"/>
    <w:multiLevelType w:val="multilevel"/>
    <w:tmpl w:val="5E08BBAA"/>
    <w:styleLink w:val="WWNum7735"/>
    <w:lvl w:ilvl="0">
      <w:start w:val="1"/>
      <w:numFmt w:val="lowerRoman"/>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5" w15:restartNumberingAfterBreak="0">
    <w:nsid w:val="533E4407"/>
    <w:multiLevelType w:val="hybridMultilevel"/>
    <w:tmpl w:val="E766B10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6" w15:restartNumberingAfterBreak="0">
    <w:nsid w:val="53A05FED"/>
    <w:multiLevelType w:val="hybridMultilevel"/>
    <w:tmpl w:val="52A280B2"/>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9CEEF3F8">
      <w:start w:val="1"/>
      <w:numFmt w:val="upperLetter"/>
      <w:lvlText w:val="%3."/>
      <w:lvlJc w:val="left"/>
      <w:pPr>
        <w:ind w:left="2160" w:hanging="180"/>
      </w:pPr>
      <w:rPr>
        <w:b/>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7" w15:restartNumberingAfterBreak="0">
    <w:nsid w:val="53AA60B7"/>
    <w:multiLevelType w:val="multilevel"/>
    <w:tmpl w:val="3B64E9E2"/>
    <w:styleLink w:val="WWNum1125"/>
    <w:lvl w:ilvl="0">
      <w:start w:val="1"/>
      <w:numFmt w:val="lowerLetter"/>
      <w:lvlText w:val="%1."/>
      <w:lvlJc w:val="left"/>
      <w:rPr>
        <w:rFonts w:ascii="Calibri" w:eastAsia="Calibri" w:hAnsi="Calibri" w:cs="Calibri"/>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8" w15:restartNumberingAfterBreak="0">
    <w:nsid w:val="53B7503A"/>
    <w:multiLevelType w:val="hybridMultilevel"/>
    <w:tmpl w:val="F83004EC"/>
    <w:styleLink w:val="WWNum3624"/>
    <w:lvl w:ilvl="0" w:tplc="A6164398">
      <w:start w:val="16"/>
      <w:numFmt w:val="low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53D43650"/>
    <w:multiLevelType w:val="hybridMultilevel"/>
    <w:tmpl w:val="A066DAAC"/>
    <w:lvl w:ilvl="0" w:tplc="D108D7E4">
      <w:start w:val="1"/>
      <w:numFmt w:val="decimal"/>
      <w:lvlText w:val="%1."/>
      <w:lvlJc w:val="left"/>
      <w:pPr>
        <w:ind w:left="720" w:hanging="360"/>
      </w:pPr>
    </w:lvl>
    <w:lvl w:ilvl="1" w:tplc="ECDA1252">
      <w:start w:val="1"/>
      <w:numFmt w:val="lowerLetter"/>
      <w:lvlText w:val="%2."/>
      <w:lvlJc w:val="left"/>
      <w:pPr>
        <w:ind w:left="1440" w:hanging="360"/>
      </w:pPr>
    </w:lvl>
    <w:lvl w:ilvl="2" w:tplc="3F283C88" w:tentative="1">
      <w:start w:val="1"/>
      <w:numFmt w:val="lowerRoman"/>
      <w:lvlText w:val="%3."/>
      <w:lvlJc w:val="right"/>
      <w:pPr>
        <w:ind w:left="2160" w:hanging="180"/>
      </w:pPr>
    </w:lvl>
    <w:lvl w:ilvl="3" w:tplc="BF4EC01A" w:tentative="1">
      <w:start w:val="1"/>
      <w:numFmt w:val="decimal"/>
      <w:lvlText w:val="%4."/>
      <w:lvlJc w:val="left"/>
      <w:pPr>
        <w:ind w:left="2880" w:hanging="360"/>
      </w:pPr>
    </w:lvl>
    <w:lvl w:ilvl="4" w:tplc="4E80E1A6" w:tentative="1">
      <w:start w:val="1"/>
      <w:numFmt w:val="lowerLetter"/>
      <w:lvlText w:val="%5."/>
      <w:lvlJc w:val="left"/>
      <w:pPr>
        <w:ind w:left="3600" w:hanging="360"/>
      </w:pPr>
    </w:lvl>
    <w:lvl w:ilvl="5" w:tplc="2EA6EBE8" w:tentative="1">
      <w:start w:val="1"/>
      <w:numFmt w:val="lowerRoman"/>
      <w:lvlText w:val="%6."/>
      <w:lvlJc w:val="right"/>
      <w:pPr>
        <w:ind w:left="4320" w:hanging="180"/>
      </w:pPr>
    </w:lvl>
    <w:lvl w:ilvl="6" w:tplc="CCDA3AD6" w:tentative="1">
      <w:start w:val="1"/>
      <w:numFmt w:val="decimal"/>
      <w:lvlText w:val="%7."/>
      <w:lvlJc w:val="left"/>
      <w:pPr>
        <w:ind w:left="5040" w:hanging="360"/>
      </w:pPr>
    </w:lvl>
    <w:lvl w:ilvl="7" w:tplc="8B304D28" w:tentative="1">
      <w:start w:val="1"/>
      <w:numFmt w:val="lowerLetter"/>
      <w:lvlText w:val="%8."/>
      <w:lvlJc w:val="left"/>
      <w:pPr>
        <w:ind w:left="5760" w:hanging="360"/>
      </w:pPr>
    </w:lvl>
    <w:lvl w:ilvl="8" w:tplc="7DA4882E" w:tentative="1">
      <w:start w:val="1"/>
      <w:numFmt w:val="lowerRoman"/>
      <w:lvlText w:val="%9."/>
      <w:lvlJc w:val="right"/>
      <w:pPr>
        <w:ind w:left="6480" w:hanging="180"/>
      </w:pPr>
    </w:lvl>
  </w:abstractNum>
  <w:abstractNum w:abstractNumId="250" w15:restartNumberingAfterBreak="0">
    <w:nsid w:val="54297ABC"/>
    <w:multiLevelType w:val="hybridMultilevel"/>
    <w:tmpl w:val="09EAD816"/>
    <w:lvl w:ilvl="0" w:tplc="0409000F">
      <w:start w:val="1"/>
      <w:numFmt w:val="decimal"/>
      <w:lvlText w:val="%1."/>
      <w:lvlJc w:val="left"/>
      <w:pPr>
        <w:ind w:left="1656" w:hanging="360"/>
      </w:pPr>
      <w:rPr>
        <w:b w:val="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251" w15:restartNumberingAfterBreak="0">
    <w:nsid w:val="545D3E9E"/>
    <w:multiLevelType w:val="hybridMultilevel"/>
    <w:tmpl w:val="E648FE6E"/>
    <w:styleLink w:val="WWNum364"/>
    <w:lvl w:ilvl="0" w:tplc="A6164398">
      <w:start w:val="1"/>
      <w:numFmt w:val="bullet"/>
      <w:lvlText w:val=""/>
      <w:lvlJc w:val="left"/>
      <w:pPr>
        <w:ind w:left="720" w:hanging="360"/>
      </w:pPr>
      <w:rPr>
        <w:rFonts w:ascii="Wingdings" w:hAnsi="Wingdings" w:hint="default"/>
      </w:rPr>
    </w:lvl>
    <w:lvl w:ilvl="1" w:tplc="04090019">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546275BF"/>
    <w:multiLevelType w:val="hybridMultilevel"/>
    <w:tmpl w:val="78840458"/>
    <w:styleLink w:val="WWNum3051"/>
    <w:lvl w:ilvl="0" w:tplc="8466BF82">
      <w:start w:val="1"/>
      <w:numFmt w:val="bullet"/>
      <w:lvlText w:val=""/>
      <w:lvlJc w:val="left"/>
      <w:pPr>
        <w:tabs>
          <w:tab w:val="num" w:pos="2160"/>
        </w:tabs>
        <w:ind w:left="216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340"/>
        </w:tabs>
        <w:ind w:left="2340" w:hanging="360"/>
      </w:pPr>
      <w:rPr>
        <w:rFonts w:hint="default"/>
        <w:b w:val="0"/>
      </w:rPr>
    </w:lvl>
    <w:lvl w:ilvl="3" w:tplc="1FD47AEE">
      <w:numFmt w:val="bullet"/>
      <w:lvlText w:val="-"/>
      <w:lvlJc w:val="left"/>
      <w:pPr>
        <w:ind w:left="2880" w:hanging="360"/>
      </w:pPr>
      <w:rPr>
        <w:rFonts w:ascii="Times New Roman" w:eastAsia="Times New Roman" w:hAnsi="Times New Roman"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3" w15:restartNumberingAfterBreak="0">
    <w:nsid w:val="54AE5FDE"/>
    <w:multiLevelType w:val="hybridMultilevel"/>
    <w:tmpl w:val="E7E4A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54C66DDD"/>
    <w:multiLevelType w:val="hybridMultilevel"/>
    <w:tmpl w:val="F97E05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551663B6"/>
    <w:multiLevelType w:val="hybridMultilevel"/>
    <w:tmpl w:val="2F729A3E"/>
    <w:styleLink w:val="WWNum4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55501999"/>
    <w:multiLevelType w:val="hybridMultilevel"/>
    <w:tmpl w:val="78FA72C2"/>
    <w:styleLink w:val="WWNum4353"/>
    <w:lvl w:ilvl="0" w:tplc="6AE6916C">
      <w:start w:val="1"/>
      <w:numFmt w:val="lowerLetter"/>
      <w:lvlText w:val="%1)"/>
      <w:lvlJc w:val="left"/>
      <w:pPr>
        <w:ind w:left="720" w:hanging="360"/>
      </w:pPr>
    </w:lvl>
    <w:lvl w:ilvl="1" w:tplc="5352D0BE" w:tentative="1">
      <w:start w:val="1"/>
      <w:numFmt w:val="lowerLetter"/>
      <w:lvlText w:val="%2."/>
      <w:lvlJc w:val="left"/>
      <w:pPr>
        <w:ind w:left="1440" w:hanging="360"/>
      </w:pPr>
    </w:lvl>
    <w:lvl w:ilvl="2" w:tplc="8954E124" w:tentative="1">
      <w:start w:val="1"/>
      <w:numFmt w:val="lowerRoman"/>
      <w:lvlText w:val="%3."/>
      <w:lvlJc w:val="right"/>
      <w:pPr>
        <w:ind w:left="2160" w:hanging="180"/>
      </w:pPr>
    </w:lvl>
    <w:lvl w:ilvl="3" w:tplc="B3E04C94" w:tentative="1">
      <w:start w:val="1"/>
      <w:numFmt w:val="decimal"/>
      <w:lvlText w:val="%4."/>
      <w:lvlJc w:val="left"/>
      <w:pPr>
        <w:ind w:left="2880" w:hanging="360"/>
      </w:pPr>
    </w:lvl>
    <w:lvl w:ilvl="4" w:tplc="1E26D8BC" w:tentative="1">
      <w:start w:val="1"/>
      <w:numFmt w:val="lowerLetter"/>
      <w:lvlText w:val="%5."/>
      <w:lvlJc w:val="left"/>
      <w:pPr>
        <w:ind w:left="3600" w:hanging="360"/>
      </w:pPr>
    </w:lvl>
    <w:lvl w:ilvl="5" w:tplc="50427568" w:tentative="1">
      <w:start w:val="1"/>
      <w:numFmt w:val="lowerRoman"/>
      <w:lvlText w:val="%6."/>
      <w:lvlJc w:val="right"/>
      <w:pPr>
        <w:ind w:left="4320" w:hanging="180"/>
      </w:pPr>
    </w:lvl>
    <w:lvl w:ilvl="6" w:tplc="BA6C4BDC" w:tentative="1">
      <w:start w:val="1"/>
      <w:numFmt w:val="decimal"/>
      <w:lvlText w:val="%7."/>
      <w:lvlJc w:val="left"/>
      <w:pPr>
        <w:ind w:left="5040" w:hanging="360"/>
      </w:pPr>
    </w:lvl>
    <w:lvl w:ilvl="7" w:tplc="C5B64C76" w:tentative="1">
      <w:start w:val="1"/>
      <w:numFmt w:val="lowerLetter"/>
      <w:lvlText w:val="%8."/>
      <w:lvlJc w:val="left"/>
      <w:pPr>
        <w:ind w:left="5760" w:hanging="360"/>
      </w:pPr>
    </w:lvl>
    <w:lvl w:ilvl="8" w:tplc="D2C44626" w:tentative="1">
      <w:start w:val="1"/>
      <w:numFmt w:val="lowerRoman"/>
      <w:lvlText w:val="%9."/>
      <w:lvlJc w:val="right"/>
      <w:pPr>
        <w:ind w:left="6480" w:hanging="180"/>
      </w:pPr>
    </w:lvl>
  </w:abstractNum>
  <w:abstractNum w:abstractNumId="257" w15:restartNumberingAfterBreak="0">
    <w:nsid w:val="557669D9"/>
    <w:multiLevelType w:val="hybridMultilevel"/>
    <w:tmpl w:val="F36029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55B12E1C"/>
    <w:multiLevelType w:val="hybridMultilevel"/>
    <w:tmpl w:val="32F0A4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55BE1495"/>
    <w:multiLevelType w:val="multilevel"/>
    <w:tmpl w:val="81C4DC2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rPr>
        <w:b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117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900" w:hanging="360"/>
      </w:pPr>
    </w:lvl>
  </w:abstractNum>
  <w:abstractNum w:abstractNumId="260" w15:restartNumberingAfterBreak="0">
    <w:nsid w:val="55E459CF"/>
    <w:multiLevelType w:val="hybridMultilevel"/>
    <w:tmpl w:val="FC2CCC08"/>
    <w:styleLink w:val="WWNum146"/>
    <w:lvl w:ilvl="0" w:tplc="04090017">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1" w15:restartNumberingAfterBreak="0">
    <w:nsid w:val="55FC5A9C"/>
    <w:multiLevelType w:val="hybridMultilevel"/>
    <w:tmpl w:val="CF743462"/>
    <w:styleLink w:val="WWNum76144"/>
    <w:lvl w:ilvl="0" w:tplc="76227CF2">
      <w:start w:val="20"/>
      <w:numFmt w:val="lowerRoman"/>
      <w:lvlText w:val="%1."/>
      <w:lvlJc w:val="righ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562A4E7D"/>
    <w:multiLevelType w:val="hybridMultilevel"/>
    <w:tmpl w:val="972AC8E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56345272"/>
    <w:multiLevelType w:val="multilevel"/>
    <w:tmpl w:val="4D3C7BB0"/>
    <w:styleLink w:val="WWNum35104"/>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4" w15:restartNumberingAfterBreak="0">
    <w:nsid w:val="56596042"/>
    <w:multiLevelType w:val="multilevel"/>
    <w:tmpl w:val="3CDE754A"/>
    <w:styleLink w:val="WWNum3925"/>
    <w:lvl w:ilvl="0">
      <w:start w:val="1"/>
      <w:numFmt w:val="lowerRoman"/>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5" w15:restartNumberingAfterBreak="0">
    <w:nsid w:val="56BD5574"/>
    <w:multiLevelType w:val="hybridMultilevel"/>
    <w:tmpl w:val="1B28200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57300F39"/>
    <w:multiLevelType w:val="multilevel"/>
    <w:tmpl w:val="587E55D0"/>
    <w:styleLink w:val="WWNum68"/>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7" w15:restartNumberingAfterBreak="0">
    <w:nsid w:val="574411D8"/>
    <w:multiLevelType w:val="hybridMultilevel"/>
    <w:tmpl w:val="22C4163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57534B06"/>
    <w:multiLevelType w:val="hybridMultilevel"/>
    <w:tmpl w:val="EFE6F3A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9" w15:restartNumberingAfterBreak="0">
    <w:nsid w:val="57D25DD9"/>
    <w:multiLevelType w:val="multilevel"/>
    <w:tmpl w:val="2A6825F4"/>
    <w:styleLink w:val="WWNum2125"/>
    <w:lvl w:ilvl="0">
      <w:start w:val="1"/>
      <w:numFmt w:val="lowerRoman"/>
      <w:lvlText w:val="%1."/>
      <w:lvlJc w:val="righ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70" w15:restartNumberingAfterBreak="0">
    <w:nsid w:val="57F51161"/>
    <w:multiLevelType w:val="hybridMultilevel"/>
    <w:tmpl w:val="2FE4C782"/>
    <w:lvl w:ilvl="0" w:tplc="2DCE94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15:restartNumberingAfterBreak="0">
    <w:nsid w:val="58C96B14"/>
    <w:multiLevelType w:val="hybridMultilevel"/>
    <w:tmpl w:val="8440FB48"/>
    <w:styleLink w:val="WWNum69"/>
    <w:lvl w:ilvl="0" w:tplc="7E80903E">
      <w:start w:val="1"/>
      <w:numFmt w:val="decimal"/>
      <w:lvlText w:val="%1."/>
      <w:lvlJc w:val="left"/>
      <w:pPr>
        <w:ind w:left="720" w:hanging="360"/>
      </w:pPr>
      <w:rPr>
        <w:rFonts w:ascii="Times New Roman" w:hAnsi="Times New Roman" w:cs="Times New Roman"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58CE3083"/>
    <w:multiLevelType w:val="multilevel"/>
    <w:tmpl w:val="9D6EF844"/>
    <w:styleLink w:val="WWNum1425"/>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73" w15:restartNumberingAfterBreak="0">
    <w:nsid w:val="593F0121"/>
    <w:multiLevelType w:val="hybridMultilevel"/>
    <w:tmpl w:val="1772F6AC"/>
    <w:styleLink w:val="WWNum10510"/>
    <w:lvl w:ilvl="0" w:tplc="7B8291D8">
      <w:start w:val="14"/>
      <w:numFmt w:val="lowerRoman"/>
      <w:lvlText w:val="%1."/>
      <w:lvlJc w:val="righ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595024A0"/>
    <w:multiLevelType w:val="hybridMultilevel"/>
    <w:tmpl w:val="3B3E4486"/>
    <w:styleLink w:val="WWNum1055"/>
    <w:lvl w:ilvl="0" w:tplc="2DCE9404">
      <w:start w:val="1"/>
      <w:numFmt w:val="low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5" w15:restartNumberingAfterBreak="0">
    <w:nsid w:val="599E555B"/>
    <w:multiLevelType w:val="multilevel"/>
    <w:tmpl w:val="B6F69982"/>
    <w:styleLink w:val="WWNum57104"/>
    <w:lvl w:ilvl="0">
      <w:start w:val="1"/>
      <w:numFmt w:val="decimal"/>
      <w:lvlText w:val="%1."/>
      <w:lvlJc w:val="left"/>
      <w:rPr>
        <w:rFonts w:cs="Calibri"/>
      </w:rPr>
    </w:lvl>
    <w:lvl w:ilvl="1">
      <w:start w:val="1"/>
      <w:numFmt w:val="lowerRoman"/>
      <w:lvlText w:val="%2."/>
      <w:lvlJc w:val="right"/>
    </w:lvl>
    <w:lvl w:ilvl="2">
      <w:start w:val="1"/>
      <w:numFmt w:val="lowerRoman"/>
      <w:lvlText w:val="%1.%2.%3."/>
      <w:lvlJc w:val="right"/>
    </w:lvl>
    <w:lvl w:ilvl="3">
      <w:start w:val="1"/>
      <w:numFmt w:val="lowerLetter"/>
      <w:lvlText w:val="%4."/>
      <w:lvlJc w:val="left"/>
      <w:rPr>
        <w:rFonts w:ascii="Calibri" w:eastAsia="Calibri" w:hAnsi="Calibri" w:cs="Calibri"/>
      </w:rPr>
    </w:lvl>
    <w:lvl w:ilvl="4">
      <w:start w:val="1"/>
      <w:numFmt w:val="lowerLetter"/>
      <w:lvlText w:val="%5."/>
      <w:lvlJc w:val="left"/>
      <w:rPr>
        <w:rFonts w:ascii="Calibri" w:eastAsia="Calibri" w:hAnsi="Calibri" w:cs="Calibri"/>
      </w:rPr>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76" w15:restartNumberingAfterBreak="0">
    <w:nsid w:val="5AC03D11"/>
    <w:multiLevelType w:val="multilevel"/>
    <w:tmpl w:val="0F3A8852"/>
    <w:styleLink w:val="1111114"/>
    <w:lvl w:ilvl="0">
      <w:start w:val="1"/>
      <w:numFmt w:val="lowerRoman"/>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77" w15:restartNumberingAfterBreak="0">
    <w:nsid w:val="5B382C2D"/>
    <w:multiLevelType w:val="hybridMultilevel"/>
    <w:tmpl w:val="D9AA1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5BEC2554"/>
    <w:multiLevelType w:val="hybridMultilevel"/>
    <w:tmpl w:val="04090017"/>
    <w:styleLink w:val="WWNum96"/>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79" w15:restartNumberingAfterBreak="0">
    <w:nsid w:val="5C0F653F"/>
    <w:multiLevelType w:val="hybridMultilevel"/>
    <w:tmpl w:val="E3D2AF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5C336CD8"/>
    <w:multiLevelType w:val="hybridMultilevel"/>
    <w:tmpl w:val="E90AA56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1" w15:restartNumberingAfterBreak="0">
    <w:nsid w:val="5C9876D5"/>
    <w:multiLevelType w:val="multilevel"/>
    <w:tmpl w:val="468A7C72"/>
    <w:styleLink w:val="WWNum2816"/>
    <w:lvl w:ilvl="0">
      <w:start w:val="1"/>
      <w:numFmt w:val="lowerRoman"/>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2" w15:restartNumberingAfterBreak="0">
    <w:nsid w:val="5D23623C"/>
    <w:multiLevelType w:val="hybridMultilevel"/>
    <w:tmpl w:val="C8423AB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393AED2E">
      <w:start w:val="1"/>
      <w:numFmt w:val="decimal"/>
      <w:lvlText w:val="(%3)"/>
      <w:lvlJc w:val="left"/>
      <w:pPr>
        <w:ind w:left="502" w:hanging="360"/>
      </w:pPr>
      <w:rPr>
        <w:rFonts w:hint="default"/>
        <w:vertAlign w:val="superscrip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3" w15:restartNumberingAfterBreak="0">
    <w:nsid w:val="5DD7527C"/>
    <w:multiLevelType w:val="multilevel"/>
    <w:tmpl w:val="A79CA9DA"/>
    <w:styleLink w:val="WWNum6164"/>
    <w:lvl w:ilvl="0">
      <w:start w:val="1"/>
      <w:numFmt w:val="decimal"/>
      <w:lvlText w:val="%1."/>
      <w:lvlJc w:val="left"/>
      <w:rPr>
        <w:rFonts w:cs="Calibri"/>
      </w:rPr>
    </w:lvl>
    <w:lvl w:ilvl="1">
      <w:start w:val="1"/>
      <w:numFmt w:val="lowerRoman"/>
      <w:lvlText w:val="%2."/>
      <w:lvlJc w:val="left"/>
    </w:lvl>
    <w:lvl w:ilvl="2">
      <w:start w:val="1"/>
      <w:numFmt w:val="upperLetter"/>
      <w:lvlText w:val="%3."/>
      <w:lvlJc w:val="left"/>
      <w:rPr>
        <w:rFonts w:ascii="Calibri" w:eastAsia="Calibri" w:hAnsi="Calibri" w:cs="Calibri"/>
      </w:rPr>
    </w:lvl>
    <w:lvl w:ilvl="3">
      <w:start w:val="1"/>
      <w:numFmt w:val="lowerRoman"/>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84" w15:restartNumberingAfterBreak="0">
    <w:nsid w:val="5E2E5A22"/>
    <w:multiLevelType w:val="hybridMultilevel"/>
    <w:tmpl w:val="3A96D812"/>
    <w:lvl w:ilvl="0" w:tplc="CC96436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15:restartNumberingAfterBreak="0">
    <w:nsid w:val="5EA53512"/>
    <w:multiLevelType w:val="hybridMultilevel"/>
    <w:tmpl w:val="88A0C6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15:restartNumberingAfterBreak="0">
    <w:nsid w:val="5EEC4F66"/>
    <w:multiLevelType w:val="hybridMultilevel"/>
    <w:tmpl w:val="7D7C7C7A"/>
    <w:styleLink w:val="WWNum495"/>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5F1A2756"/>
    <w:multiLevelType w:val="hybridMultilevel"/>
    <w:tmpl w:val="8346AB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8" w15:restartNumberingAfterBreak="0">
    <w:nsid w:val="5F2148C0"/>
    <w:multiLevelType w:val="hybridMultilevel"/>
    <w:tmpl w:val="7B9A368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9" w15:restartNumberingAfterBreak="0">
    <w:nsid w:val="60347E37"/>
    <w:multiLevelType w:val="multilevel"/>
    <w:tmpl w:val="D34EDF4A"/>
    <w:styleLink w:val="WWNum6510"/>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90" w15:restartNumberingAfterBreak="0">
    <w:nsid w:val="60946726"/>
    <w:multiLevelType w:val="multilevel"/>
    <w:tmpl w:val="615C6B3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91" w15:restartNumberingAfterBreak="0">
    <w:nsid w:val="61A00D16"/>
    <w:multiLevelType w:val="hybridMultilevel"/>
    <w:tmpl w:val="59B8782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61C0614F"/>
    <w:multiLevelType w:val="hybridMultilevel"/>
    <w:tmpl w:val="9D08D466"/>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93" w15:restartNumberingAfterBreak="0">
    <w:nsid w:val="626163BC"/>
    <w:multiLevelType w:val="hybridMultilevel"/>
    <w:tmpl w:val="1B28200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62B63622"/>
    <w:multiLevelType w:val="hybridMultilevel"/>
    <w:tmpl w:val="E56A93A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15:restartNumberingAfterBreak="0">
    <w:nsid w:val="64154FAD"/>
    <w:multiLevelType w:val="hybridMultilevel"/>
    <w:tmpl w:val="F15CEC7C"/>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6" w15:restartNumberingAfterBreak="0">
    <w:nsid w:val="64B94A7C"/>
    <w:multiLevelType w:val="hybridMultilevel"/>
    <w:tmpl w:val="9BA22030"/>
    <w:styleLink w:val="WWNum4125"/>
    <w:lvl w:ilvl="0" w:tplc="5768A128">
      <w:start w:val="1"/>
      <w:numFmt w:val="decimal"/>
      <w:lvlText w:val="%1."/>
      <w:lvlJc w:val="left"/>
      <w:pPr>
        <w:ind w:left="1440" w:hanging="360"/>
      </w:pPr>
      <w:rPr>
        <w:rFonts w:hint="default"/>
        <w:color w:val="auto"/>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97" w15:restartNumberingAfterBreak="0">
    <w:nsid w:val="65A36175"/>
    <w:multiLevelType w:val="hybridMultilevel"/>
    <w:tmpl w:val="FD18116E"/>
    <w:lvl w:ilvl="0" w:tplc="5C8A9C82">
      <w:start w:val="1"/>
      <w:numFmt w:val="lowerLetter"/>
      <w:lvlText w:val="(%1)"/>
      <w:lvlJc w:val="left"/>
      <w:pPr>
        <w:ind w:left="720" w:hanging="360"/>
      </w:pPr>
      <w:rPr>
        <w:rFonts w:hint="default"/>
      </w:rPr>
    </w:lvl>
    <w:lvl w:ilvl="1" w:tplc="CD666F9A">
      <w:start w:val="1"/>
      <w:numFmt w:val="lowerLetter"/>
      <w:lvlText w:val="(%2)"/>
      <w:lvlJc w:val="left"/>
      <w:pPr>
        <w:ind w:left="1440" w:hanging="360"/>
      </w:pPr>
      <w:rPr>
        <w:rFonts w:hint="default"/>
        <w:b w:val="0"/>
        <w:bCs w:val="0"/>
      </w:rPr>
    </w:lvl>
    <w:lvl w:ilvl="2" w:tplc="EB3E266C">
      <w:start w:val="1"/>
      <w:numFmt w:val="decimal"/>
      <w:lvlText w:val="(%3)"/>
      <w:lvlJc w:val="left"/>
      <w:pPr>
        <w:ind w:left="2340" w:hanging="360"/>
      </w:pPr>
      <w:rPr>
        <w:rFonts w:hint="default"/>
        <w:sz w:val="13"/>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8" w15:restartNumberingAfterBreak="0">
    <w:nsid w:val="661C0A4D"/>
    <w:multiLevelType w:val="hybridMultilevel"/>
    <w:tmpl w:val="96943648"/>
    <w:styleLink w:val="WWNum773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9" w15:restartNumberingAfterBreak="0">
    <w:nsid w:val="6645355D"/>
    <w:multiLevelType w:val="hybridMultilevel"/>
    <w:tmpl w:val="D6645C94"/>
    <w:lvl w:ilvl="0" w:tplc="0409001B">
      <w:start w:val="1"/>
      <w:numFmt w:val="lowerRoman"/>
      <w:lvlText w:val="%1."/>
      <w:lvlJc w:val="right"/>
      <w:pPr>
        <w:ind w:left="810" w:hanging="360"/>
      </w:p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0" w15:restartNumberingAfterBreak="0">
    <w:nsid w:val="673066E2"/>
    <w:multiLevelType w:val="hybridMultilevel"/>
    <w:tmpl w:val="9272C01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1" w15:restartNumberingAfterBreak="0">
    <w:nsid w:val="684743BD"/>
    <w:multiLevelType w:val="hybridMultilevel"/>
    <w:tmpl w:val="472824B6"/>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2" w15:restartNumberingAfterBreak="0">
    <w:nsid w:val="699724DA"/>
    <w:multiLevelType w:val="multilevel"/>
    <w:tmpl w:val="150A5EAA"/>
    <w:styleLink w:val="WWNum2416"/>
    <w:lvl w:ilvl="0">
      <w:start w:val="1"/>
      <w:numFmt w:val="lowerRoman"/>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3" w15:restartNumberingAfterBreak="0">
    <w:nsid w:val="69AD4ED4"/>
    <w:multiLevelType w:val="hybridMultilevel"/>
    <w:tmpl w:val="B19644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4" w15:restartNumberingAfterBreak="0">
    <w:nsid w:val="69D84DD9"/>
    <w:multiLevelType w:val="hybridMultilevel"/>
    <w:tmpl w:val="FF76082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69F4078D"/>
    <w:multiLevelType w:val="hybridMultilevel"/>
    <w:tmpl w:val="BABE9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6AF16519"/>
    <w:multiLevelType w:val="hybridMultilevel"/>
    <w:tmpl w:val="657A674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7" w15:restartNumberingAfterBreak="0">
    <w:nsid w:val="6B7546D2"/>
    <w:multiLevelType w:val="hybridMultilevel"/>
    <w:tmpl w:val="619AAC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8" w15:restartNumberingAfterBreak="0">
    <w:nsid w:val="6BE57F77"/>
    <w:multiLevelType w:val="hybridMultilevel"/>
    <w:tmpl w:val="8590600C"/>
    <w:styleLink w:val="WWNum4123"/>
    <w:lvl w:ilvl="0" w:tplc="0409000B">
      <w:start w:val="1"/>
      <w:numFmt w:val="bullet"/>
      <w:lvlText w:val=""/>
      <w:lvlJc w:val="left"/>
      <w:pPr>
        <w:ind w:left="762" w:hanging="360"/>
      </w:pPr>
      <w:rPr>
        <w:rFonts w:ascii="Wingdings" w:hAnsi="Wingdings"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309" w15:restartNumberingAfterBreak="0">
    <w:nsid w:val="6C4E33A5"/>
    <w:multiLevelType w:val="hybridMultilevel"/>
    <w:tmpl w:val="CDD024C6"/>
    <w:lvl w:ilvl="0" w:tplc="3040815C">
      <w:start w:val="1"/>
      <w:numFmt w:val="decimal"/>
      <w:lvlText w:val="%1."/>
      <w:lvlJc w:val="left"/>
      <w:pPr>
        <w:ind w:left="720" w:hanging="360"/>
      </w:pPr>
      <w:rPr>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0" w15:restartNumberingAfterBreak="0">
    <w:nsid w:val="6D331A23"/>
    <w:multiLevelType w:val="hybridMultilevel"/>
    <w:tmpl w:val="EAC04990"/>
    <w:lvl w:ilvl="0" w:tplc="0409001B">
      <w:start w:val="1"/>
      <w:numFmt w:val="lowerRoman"/>
      <w:lvlText w:val="%1."/>
      <w:lvlJc w:val="right"/>
      <w:pPr>
        <w:ind w:left="810" w:hanging="360"/>
      </w:p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1" w15:restartNumberingAfterBreak="0">
    <w:nsid w:val="6D3C640C"/>
    <w:multiLevelType w:val="hybridMultilevel"/>
    <w:tmpl w:val="D5187E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2" w15:restartNumberingAfterBreak="0">
    <w:nsid w:val="6DF3555B"/>
    <w:multiLevelType w:val="hybridMultilevel"/>
    <w:tmpl w:val="DCBCB7CC"/>
    <w:styleLink w:val="WWNum4351"/>
    <w:lvl w:ilvl="0" w:tplc="88CED4C0">
      <w:start w:val="1"/>
      <w:numFmt w:val="upperRoman"/>
      <w:lvlText w:val="%1."/>
      <w:lvlJc w:val="left"/>
      <w:pPr>
        <w:tabs>
          <w:tab w:val="num" w:pos="576"/>
        </w:tabs>
        <w:ind w:left="504" w:hanging="504"/>
      </w:pPr>
      <w:rPr>
        <w:rFonts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3" w15:restartNumberingAfterBreak="0">
    <w:nsid w:val="6DFA6E76"/>
    <w:multiLevelType w:val="hybridMultilevel"/>
    <w:tmpl w:val="02F4BB8C"/>
    <w:styleLink w:val="WWNum2854"/>
    <w:lvl w:ilvl="0" w:tplc="0409000F">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4" w15:restartNumberingAfterBreak="0">
    <w:nsid w:val="6E253FD8"/>
    <w:multiLevelType w:val="hybridMultilevel"/>
    <w:tmpl w:val="1136B400"/>
    <w:styleLink w:val="WWNum6514"/>
    <w:lvl w:ilvl="0" w:tplc="C61A51F6">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15:restartNumberingAfterBreak="0">
    <w:nsid w:val="6E4350D7"/>
    <w:multiLevelType w:val="hybridMultilevel"/>
    <w:tmpl w:val="A72A7548"/>
    <w:lvl w:ilvl="0" w:tplc="0409000F">
      <w:start w:val="1"/>
      <w:numFmt w:val="lowerRoman"/>
      <w:lvlText w:val="%1."/>
      <w:lvlJc w:val="right"/>
      <w:pPr>
        <w:ind w:left="92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6E7830D5"/>
    <w:multiLevelType w:val="multilevel"/>
    <w:tmpl w:val="37D693D8"/>
    <w:styleLink w:val="WWNum47104"/>
    <w:lvl w:ilvl="0">
      <w:start w:val="1"/>
      <w:numFmt w:val="lowerRoman"/>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17" w15:restartNumberingAfterBreak="0">
    <w:nsid w:val="6F51395E"/>
    <w:multiLevelType w:val="hybridMultilevel"/>
    <w:tmpl w:val="EAC04990"/>
    <w:lvl w:ilvl="0" w:tplc="0409001B">
      <w:start w:val="1"/>
      <w:numFmt w:val="lowerRoman"/>
      <w:lvlText w:val="%1."/>
      <w:lvlJc w:val="right"/>
      <w:pPr>
        <w:ind w:left="810" w:hanging="360"/>
      </w:p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8" w15:restartNumberingAfterBreak="0">
    <w:nsid w:val="6FF43CB2"/>
    <w:multiLevelType w:val="hybridMultilevel"/>
    <w:tmpl w:val="48F8B2B4"/>
    <w:styleLink w:val="WWNum556"/>
    <w:lvl w:ilvl="0" w:tplc="55B8044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15:restartNumberingAfterBreak="0">
    <w:nsid w:val="7075046B"/>
    <w:multiLevelType w:val="hybridMultilevel"/>
    <w:tmpl w:val="49E8D00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15:restartNumberingAfterBreak="0">
    <w:nsid w:val="71371220"/>
    <w:multiLevelType w:val="hybridMultilevel"/>
    <w:tmpl w:val="064A978C"/>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1" w15:restartNumberingAfterBreak="0">
    <w:nsid w:val="717F725A"/>
    <w:multiLevelType w:val="hybridMultilevel"/>
    <w:tmpl w:val="01A8FAB6"/>
    <w:styleLink w:val="WWNum7051"/>
    <w:lvl w:ilvl="0" w:tplc="D55CCE98">
      <w:start w:val="1"/>
      <w:numFmt w:val="decimal"/>
      <w:lvlText w:val="%1."/>
      <w:lvlJc w:val="left"/>
      <w:pPr>
        <w:tabs>
          <w:tab w:val="num" w:pos="1008"/>
        </w:tabs>
        <w:ind w:left="1008" w:hanging="1008"/>
      </w:pPr>
      <w:rPr>
        <w:rFonts w:cs="Times New Roman" w:hint="default"/>
        <w:b w:val="0"/>
        <w:bCs w:val="0"/>
        <w:i w:val="0"/>
        <w:iCs/>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2" w15:restartNumberingAfterBreak="0">
    <w:nsid w:val="71DD6EC2"/>
    <w:multiLevelType w:val="hybridMultilevel"/>
    <w:tmpl w:val="E020C936"/>
    <w:styleLink w:val="WWNum66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71F92B4B"/>
    <w:multiLevelType w:val="multilevel"/>
    <w:tmpl w:val="0F988018"/>
    <w:styleLink w:val="WWNum51104"/>
    <w:lvl w:ilvl="0">
      <w:start w:val="1"/>
      <w:numFmt w:val="lowerRoman"/>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24" w15:restartNumberingAfterBreak="0">
    <w:nsid w:val="724E6627"/>
    <w:multiLevelType w:val="hybridMultilevel"/>
    <w:tmpl w:val="3D2E8ADC"/>
    <w:lvl w:ilvl="0" w:tplc="2626EE62">
      <w:start w:val="1"/>
      <w:numFmt w:val="decimal"/>
      <w:lvlText w:val="%1."/>
      <w:lvlJc w:val="left"/>
      <w:pPr>
        <w:ind w:left="695" w:hanging="548"/>
      </w:pPr>
      <w:rPr>
        <w:rFonts w:ascii="Times New Roman" w:eastAsia="Times New Roman" w:hAnsi="Times New Roman" w:cs="Times New Roman" w:hint="default"/>
        <w:spacing w:val="0"/>
        <w:w w:val="99"/>
        <w:sz w:val="20"/>
        <w:szCs w:val="20"/>
      </w:rPr>
    </w:lvl>
    <w:lvl w:ilvl="1" w:tplc="A920C912">
      <w:start w:val="1"/>
      <w:numFmt w:val="upperRoman"/>
      <w:lvlText w:val="%2."/>
      <w:lvlJc w:val="left"/>
      <w:pPr>
        <w:ind w:left="688" w:hanging="541"/>
        <w:jc w:val="right"/>
      </w:pPr>
      <w:rPr>
        <w:rFonts w:ascii="Times New Roman" w:eastAsia="Times New Roman" w:hAnsi="Times New Roman" w:cs="Times New Roman" w:hint="default"/>
        <w:b/>
        <w:bCs/>
        <w:spacing w:val="-1"/>
        <w:w w:val="99"/>
        <w:sz w:val="20"/>
        <w:szCs w:val="20"/>
      </w:rPr>
    </w:lvl>
    <w:lvl w:ilvl="2" w:tplc="C16604B4">
      <w:start w:val="1"/>
      <w:numFmt w:val="decimal"/>
      <w:lvlText w:val="%3."/>
      <w:lvlJc w:val="left"/>
      <w:pPr>
        <w:ind w:left="695" w:hanging="548"/>
      </w:pPr>
      <w:rPr>
        <w:rFonts w:ascii="Times New Roman" w:eastAsia="Times New Roman" w:hAnsi="Times New Roman" w:cs="Times New Roman" w:hint="default"/>
        <w:spacing w:val="0"/>
        <w:w w:val="99"/>
        <w:sz w:val="20"/>
        <w:szCs w:val="20"/>
      </w:rPr>
    </w:lvl>
    <w:lvl w:ilvl="3" w:tplc="B624133E">
      <w:numFmt w:val="bullet"/>
      <w:lvlText w:val="•"/>
      <w:lvlJc w:val="left"/>
      <w:pPr>
        <w:ind w:left="2808" w:hanging="548"/>
      </w:pPr>
      <w:rPr>
        <w:rFonts w:hint="default"/>
      </w:rPr>
    </w:lvl>
    <w:lvl w:ilvl="4" w:tplc="8ED2BB10">
      <w:numFmt w:val="bullet"/>
      <w:lvlText w:val="•"/>
      <w:lvlJc w:val="left"/>
      <w:pPr>
        <w:ind w:left="3862" w:hanging="548"/>
      </w:pPr>
      <w:rPr>
        <w:rFonts w:hint="default"/>
      </w:rPr>
    </w:lvl>
    <w:lvl w:ilvl="5" w:tplc="CE04FAAA">
      <w:numFmt w:val="bullet"/>
      <w:lvlText w:val="•"/>
      <w:lvlJc w:val="left"/>
      <w:pPr>
        <w:ind w:left="4917" w:hanging="548"/>
      </w:pPr>
      <w:rPr>
        <w:rFonts w:hint="default"/>
      </w:rPr>
    </w:lvl>
    <w:lvl w:ilvl="6" w:tplc="D81E9110">
      <w:numFmt w:val="bullet"/>
      <w:lvlText w:val="•"/>
      <w:lvlJc w:val="left"/>
      <w:pPr>
        <w:ind w:left="5971" w:hanging="548"/>
      </w:pPr>
      <w:rPr>
        <w:rFonts w:hint="default"/>
      </w:rPr>
    </w:lvl>
    <w:lvl w:ilvl="7" w:tplc="B426912A">
      <w:numFmt w:val="bullet"/>
      <w:lvlText w:val="•"/>
      <w:lvlJc w:val="left"/>
      <w:pPr>
        <w:ind w:left="7025" w:hanging="548"/>
      </w:pPr>
      <w:rPr>
        <w:rFonts w:hint="default"/>
      </w:rPr>
    </w:lvl>
    <w:lvl w:ilvl="8" w:tplc="6B341370">
      <w:numFmt w:val="bullet"/>
      <w:lvlText w:val="•"/>
      <w:lvlJc w:val="left"/>
      <w:pPr>
        <w:ind w:left="8080" w:hanging="548"/>
      </w:pPr>
      <w:rPr>
        <w:rFonts w:hint="default"/>
      </w:rPr>
    </w:lvl>
  </w:abstractNum>
  <w:abstractNum w:abstractNumId="325" w15:restartNumberingAfterBreak="0">
    <w:nsid w:val="726E3D18"/>
    <w:multiLevelType w:val="hybridMultilevel"/>
    <w:tmpl w:val="0D561134"/>
    <w:styleLink w:val="WWNum1215"/>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729208A3"/>
    <w:multiLevelType w:val="hybridMultilevel"/>
    <w:tmpl w:val="680620CC"/>
    <w:lvl w:ilvl="0" w:tplc="7DE8A1E8">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7" w15:restartNumberingAfterBreak="0">
    <w:nsid w:val="7304355C"/>
    <w:multiLevelType w:val="multilevel"/>
    <w:tmpl w:val="B6B4BE72"/>
    <w:styleLink w:val="WWNum33104"/>
    <w:lvl w:ilvl="0">
      <w:start w:val="1"/>
      <w:numFmt w:val="lowerRoman"/>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28" w15:restartNumberingAfterBreak="0">
    <w:nsid w:val="734322ED"/>
    <w:multiLevelType w:val="hybridMultilevel"/>
    <w:tmpl w:val="1D583D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744A0C0F"/>
    <w:multiLevelType w:val="multilevel"/>
    <w:tmpl w:val="A0F6976E"/>
    <w:styleLink w:val="WWNum37104"/>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30" w15:restartNumberingAfterBreak="0">
    <w:nsid w:val="74761570"/>
    <w:multiLevelType w:val="hybridMultilevel"/>
    <w:tmpl w:val="2E92F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15:restartNumberingAfterBreak="0">
    <w:nsid w:val="747B6C4C"/>
    <w:multiLevelType w:val="hybridMultilevel"/>
    <w:tmpl w:val="C11E14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15:restartNumberingAfterBreak="0">
    <w:nsid w:val="751614A7"/>
    <w:multiLevelType w:val="hybridMultilevel"/>
    <w:tmpl w:val="ED72AFD0"/>
    <w:styleLink w:val="WWNum6610"/>
    <w:lvl w:ilvl="0" w:tplc="0409000F">
      <w:numFmt w:val="bullet"/>
      <w:lvlText w:val="•"/>
      <w:lvlJc w:val="left"/>
      <w:pPr>
        <w:ind w:left="720" w:hanging="360"/>
      </w:pPr>
      <w:rPr>
        <w:rFonts w:ascii="Calibri" w:eastAsia="Calibri" w:hAnsi="Calibri" w:cs="Times New Roman" w:hint="default"/>
      </w:rPr>
    </w:lvl>
    <w:lvl w:ilvl="1" w:tplc="314CA99E"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33" w15:restartNumberingAfterBreak="0">
    <w:nsid w:val="754101EF"/>
    <w:multiLevelType w:val="hybridMultilevel"/>
    <w:tmpl w:val="D068E566"/>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34" w15:restartNumberingAfterBreak="0">
    <w:nsid w:val="75940EA7"/>
    <w:multiLevelType w:val="hybridMultilevel"/>
    <w:tmpl w:val="9FE6C98C"/>
    <w:lvl w:ilvl="0" w:tplc="86A4A83C">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5" w15:restartNumberingAfterBreak="0">
    <w:nsid w:val="75C0083C"/>
    <w:multiLevelType w:val="hybridMultilevel"/>
    <w:tmpl w:val="E0FEFF84"/>
    <w:styleLink w:val="WWNum65104"/>
    <w:lvl w:ilvl="0" w:tplc="E46CB274">
      <w:start w:val="2"/>
      <w:numFmt w:val="lowerRoman"/>
      <w:lvlText w:val="(%1)"/>
      <w:lvlJc w:val="left"/>
      <w:pPr>
        <w:ind w:left="720" w:hanging="720"/>
      </w:pPr>
      <w:rPr>
        <w:rFonts w:hint="default"/>
      </w:rPr>
    </w:lvl>
    <w:lvl w:ilvl="1" w:tplc="40090019" w:tentative="1">
      <w:start w:val="1"/>
      <w:numFmt w:val="lowerLetter"/>
      <w:lvlText w:val="%2."/>
      <w:lvlJc w:val="left"/>
      <w:pPr>
        <w:ind w:left="-2250" w:hanging="360"/>
      </w:pPr>
    </w:lvl>
    <w:lvl w:ilvl="2" w:tplc="4009001B" w:tentative="1">
      <w:start w:val="1"/>
      <w:numFmt w:val="lowerRoman"/>
      <w:lvlText w:val="%3."/>
      <w:lvlJc w:val="right"/>
      <w:pPr>
        <w:ind w:left="-1530" w:hanging="180"/>
      </w:pPr>
    </w:lvl>
    <w:lvl w:ilvl="3" w:tplc="4009000F" w:tentative="1">
      <w:start w:val="1"/>
      <w:numFmt w:val="decimal"/>
      <w:lvlText w:val="%4."/>
      <w:lvlJc w:val="left"/>
      <w:pPr>
        <w:ind w:left="-810" w:hanging="360"/>
      </w:pPr>
    </w:lvl>
    <w:lvl w:ilvl="4" w:tplc="40090019" w:tentative="1">
      <w:start w:val="1"/>
      <w:numFmt w:val="lowerLetter"/>
      <w:lvlText w:val="%5."/>
      <w:lvlJc w:val="left"/>
      <w:pPr>
        <w:ind w:left="-90" w:hanging="360"/>
      </w:pPr>
    </w:lvl>
    <w:lvl w:ilvl="5" w:tplc="4009001B" w:tentative="1">
      <w:start w:val="1"/>
      <w:numFmt w:val="lowerRoman"/>
      <w:lvlText w:val="%6."/>
      <w:lvlJc w:val="right"/>
      <w:pPr>
        <w:ind w:left="630" w:hanging="180"/>
      </w:pPr>
    </w:lvl>
    <w:lvl w:ilvl="6" w:tplc="4009000F" w:tentative="1">
      <w:start w:val="1"/>
      <w:numFmt w:val="decimal"/>
      <w:lvlText w:val="%7."/>
      <w:lvlJc w:val="left"/>
      <w:pPr>
        <w:ind w:left="1350" w:hanging="360"/>
      </w:pPr>
    </w:lvl>
    <w:lvl w:ilvl="7" w:tplc="40090019" w:tentative="1">
      <w:start w:val="1"/>
      <w:numFmt w:val="lowerLetter"/>
      <w:lvlText w:val="%8."/>
      <w:lvlJc w:val="left"/>
      <w:pPr>
        <w:ind w:left="2070" w:hanging="360"/>
      </w:pPr>
    </w:lvl>
    <w:lvl w:ilvl="8" w:tplc="4009001B" w:tentative="1">
      <w:start w:val="1"/>
      <w:numFmt w:val="lowerRoman"/>
      <w:lvlText w:val="%9."/>
      <w:lvlJc w:val="right"/>
      <w:pPr>
        <w:ind w:left="2790" w:hanging="180"/>
      </w:pPr>
    </w:lvl>
  </w:abstractNum>
  <w:abstractNum w:abstractNumId="336" w15:restartNumberingAfterBreak="0">
    <w:nsid w:val="75C265FD"/>
    <w:multiLevelType w:val="hybridMultilevel"/>
    <w:tmpl w:val="17A6A686"/>
    <w:styleLink w:val="WWNum5445"/>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7" w15:restartNumberingAfterBreak="0">
    <w:nsid w:val="75D41209"/>
    <w:multiLevelType w:val="multilevel"/>
    <w:tmpl w:val="1E1438AE"/>
    <w:styleLink w:val="WWNum4124"/>
    <w:lvl w:ilvl="0">
      <w:start w:val="2"/>
      <w:numFmt w:val="decimal"/>
      <w:lvlText w:val="%1."/>
      <w:lvlJc w:val="left"/>
      <w:pPr>
        <w:ind w:left="360" w:hanging="360"/>
      </w:pPr>
      <w:rPr>
        <w:rFonts w:hint="default"/>
        <w:b/>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8" w15:restartNumberingAfterBreak="0">
    <w:nsid w:val="76F32C86"/>
    <w:multiLevelType w:val="hybridMultilevel"/>
    <w:tmpl w:val="79B6A280"/>
    <w:styleLink w:val="WWNum669"/>
    <w:lvl w:ilvl="0" w:tplc="E46CB274">
      <w:start w:val="1"/>
      <w:numFmt w:val="bullet"/>
      <w:lvlText w:val=""/>
      <w:lvlJc w:val="left"/>
      <w:pPr>
        <w:ind w:left="720" w:hanging="360"/>
      </w:pPr>
      <w:rPr>
        <w:rFonts w:ascii="Symbol" w:hAnsi="Symbol" w:hint="default"/>
        <w:color w:val="auto"/>
      </w:rPr>
    </w:lvl>
    <w:lvl w:ilvl="1" w:tplc="40090019" w:tentative="1">
      <w:start w:val="1"/>
      <w:numFmt w:val="bullet"/>
      <w:lvlText w:val="o"/>
      <w:lvlJc w:val="left"/>
      <w:pPr>
        <w:ind w:left="1440" w:hanging="360"/>
      </w:pPr>
      <w:rPr>
        <w:rFonts w:ascii="Courier New" w:hAnsi="Courier New" w:cs="Courier New" w:hint="default"/>
      </w:rPr>
    </w:lvl>
    <w:lvl w:ilvl="2" w:tplc="4009001B" w:tentative="1">
      <w:start w:val="1"/>
      <w:numFmt w:val="bullet"/>
      <w:lvlText w:val=""/>
      <w:lvlJc w:val="left"/>
      <w:pPr>
        <w:ind w:left="2160" w:hanging="360"/>
      </w:pPr>
      <w:rPr>
        <w:rFonts w:ascii="Wingdings" w:hAnsi="Wingdings" w:hint="default"/>
      </w:rPr>
    </w:lvl>
    <w:lvl w:ilvl="3" w:tplc="4009000F" w:tentative="1">
      <w:start w:val="1"/>
      <w:numFmt w:val="bullet"/>
      <w:lvlText w:val=""/>
      <w:lvlJc w:val="left"/>
      <w:pPr>
        <w:ind w:left="2880" w:hanging="360"/>
      </w:pPr>
      <w:rPr>
        <w:rFonts w:ascii="Symbol" w:hAnsi="Symbol" w:hint="default"/>
      </w:rPr>
    </w:lvl>
    <w:lvl w:ilvl="4" w:tplc="40090019" w:tentative="1">
      <w:start w:val="1"/>
      <w:numFmt w:val="bullet"/>
      <w:lvlText w:val="o"/>
      <w:lvlJc w:val="left"/>
      <w:pPr>
        <w:ind w:left="3600" w:hanging="360"/>
      </w:pPr>
      <w:rPr>
        <w:rFonts w:ascii="Courier New" w:hAnsi="Courier New" w:cs="Courier New" w:hint="default"/>
      </w:rPr>
    </w:lvl>
    <w:lvl w:ilvl="5" w:tplc="4009001B" w:tentative="1">
      <w:start w:val="1"/>
      <w:numFmt w:val="bullet"/>
      <w:lvlText w:val=""/>
      <w:lvlJc w:val="left"/>
      <w:pPr>
        <w:ind w:left="4320" w:hanging="360"/>
      </w:pPr>
      <w:rPr>
        <w:rFonts w:ascii="Wingdings" w:hAnsi="Wingdings" w:hint="default"/>
      </w:rPr>
    </w:lvl>
    <w:lvl w:ilvl="6" w:tplc="4009000F" w:tentative="1">
      <w:start w:val="1"/>
      <w:numFmt w:val="bullet"/>
      <w:lvlText w:val=""/>
      <w:lvlJc w:val="left"/>
      <w:pPr>
        <w:ind w:left="5040" w:hanging="360"/>
      </w:pPr>
      <w:rPr>
        <w:rFonts w:ascii="Symbol" w:hAnsi="Symbol" w:hint="default"/>
      </w:rPr>
    </w:lvl>
    <w:lvl w:ilvl="7" w:tplc="40090019" w:tentative="1">
      <w:start w:val="1"/>
      <w:numFmt w:val="bullet"/>
      <w:lvlText w:val="o"/>
      <w:lvlJc w:val="left"/>
      <w:pPr>
        <w:ind w:left="5760" w:hanging="360"/>
      </w:pPr>
      <w:rPr>
        <w:rFonts w:ascii="Courier New" w:hAnsi="Courier New" w:cs="Courier New" w:hint="default"/>
      </w:rPr>
    </w:lvl>
    <w:lvl w:ilvl="8" w:tplc="4009001B" w:tentative="1">
      <w:start w:val="1"/>
      <w:numFmt w:val="bullet"/>
      <w:lvlText w:val=""/>
      <w:lvlJc w:val="left"/>
      <w:pPr>
        <w:ind w:left="6480" w:hanging="360"/>
      </w:pPr>
      <w:rPr>
        <w:rFonts w:ascii="Wingdings" w:hAnsi="Wingdings" w:hint="default"/>
      </w:rPr>
    </w:lvl>
  </w:abstractNum>
  <w:abstractNum w:abstractNumId="339" w15:restartNumberingAfterBreak="0">
    <w:nsid w:val="777C124C"/>
    <w:multiLevelType w:val="hybridMultilevel"/>
    <w:tmpl w:val="A28E925E"/>
    <w:lvl w:ilvl="0" w:tplc="BA26D506">
      <w:start w:val="2"/>
      <w:numFmt w:val="decimal"/>
      <w:lvlText w:val="%1."/>
      <w:lvlJc w:val="left"/>
      <w:pPr>
        <w:ind w:left="720" w:hanging="360"/>
      </w:pPr>
      <w:rPr>
        <w:rFonts w:hint="default"/>
      </w:rPr>
    </w:lvl>
    <w:lvl w:ilvl="1" w:tplc="8998FFD8">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0" w15:restartNumberingAfterBreak="0">
    <w:nsid w:val="77B37348"/>
    <w:multiLevelType w:val="hybridMultilevel"/>
    <w:tmpl w:val="AF387770"/>
    <w:lvl w:ilvl="0" w:tplc="9100262C">
      <w:start w:val="1"/>
      <w:numFmt w:val="lowerRoman"/>
      <w:lvlText w:val="%1."/>
      <w:lvlJc w:val="right"/>
      <w:pPr>
        <w:ind w:left="810" w:hanging="360"/>
      </w:pPr>
      <w:rPr>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1" w15:restartNumberingAfterBreak="0">
    <w:nsid w:val="77DB5876"/>
    <w:multiLevelType w:val="hybridMultilevel"/>
    <w:tmpl w:val="CB923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2" w15:restartNumberingAfterBreak="0">
    <w:nsid w:val="77E318A1"/>
    <w:multiLevelType w:val="hybridMultilevel"/>
    <w:tmpl w:val="320C5C6A"/>
    <w:styleLink w:val="WWNum78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3" w15:restartNumberingAfterBreak="0">
    <w:nsid w:val="78A17C1C"/>
    <w:multiLevelType w:val="multilevel"/>
    <w:tmpl w:val="615C6B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4" w15:restartNumberingAfterBreak="0">
    <w:nsid w:val="78EA7B3B"/>
    <w:multiLevelType w:val="hybridMultilevel"/>
    <w:tmpl w:val="151E980C"/>
    <w:lvl w:ilvl="0" w:tplc="40090015">
      <w:start w:val="1"/>
      <w:numFmt w:val="upp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5" w15:restartNumberingAfterBreak="0">
    <w:nsid w:val="78FE6DB5"/>
    <w:multiLevelType w:val="multilevel"/>
    <w:tmpl w:val="5B40FAD6"/>
    <w:styleLink w:val="WWNum78104"/>
    <w:lvl w:ilvl="0">
      <w:start w:val="1"/>
      <w:numFmt w:val="decimal"/>
      <w:lvlText w:val="%1."/>
      <w:lvlJc w:val="left"/>
      <w:rPr>
        <w:rFonts w:cs="Calibri"/>
      </w:rPr>
    </w:lvl>
    <w:lvl w:ilvl="1">
      <w:start w:val="1"/>
      <w:numFmt w:val="lowerRoman"/>
      <w:lvlText w:val="%2."/>
      <w:lvlJc w:val="right"/>
    </w:lvl>
    <w:lvl w:ilvl="2">
      <w:start w:val="1"/>
      <w:numFmt w:val="lowerLetter"/>
      <w:lvlText w:val="%3."/>
      <w:lvlJc w:val="left"/>
      <w:rPr>
        <w:rFonts w:ascii="Calibri" w:eastAsia="Calibri" w:hAnsi="Calibri" w:cs="Calibri"/>
      </w:rPr>
    </w:lvl>
    <w:lvl w:ilvl="3">
      <w:start w:val="1"/>
      <w:numFmt w:val="lowerRoman"/>
      <w:lvlText w:val="%1.%2.%3.%4."/>
      <w:lvlJc w:val="left"/>
    </w:lvl>
    <w:lvl w:ilvl="4">
      <w:start w:val="1"/>
      <w:numFmt w:val="lowerRoman"/>
      <w:lvlText w:val="%1.%2.%3.%4.%5."/>
      <w:lvlJc w:val="left"/>
      <w:rPr>
        <w:rFonts w:eastAsia="Calibri" w:cs="Arial"/>
      </w:rPr>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46" w15:restartNumberingAfterBreak="0">
    <w:nsid w:val="793B1639"/>
    <w:multiLevelType w:val="hybridMultilevel"/>
    <w:tmpl w:val="9E629864"/>
    <w:lvl w:ilvl="0" w:tplc="40090017">
      <w:start w:val="1"/>
      <w:numFmt w:val="lowerLetter"/>
      <w:lvlText w:val="%1)"/>
      <w:lvlJc w:val="left"/>
      <w:pPr>
        <w:ind w:left="695" w:hanging="548"/>
      </w:pPr>
      <w:rPr>
        <w:rFonts w:hint="default"/>
        <w:w w:val="100"/>
        <w:sz w:val="20"/>
        <w:szCs w:val="20"/>
      </w:rPr>
    </w:lvl>
    <w:lvl w:ilvl="1" w:tplc="F6C6CF4E">
      <w:numFmt w:val="bullet"/>
      <w:lvlText w:val="•"/>
      <w:lvlJc w:val="left"/>
      <w:pPr>
        <w:ind w:left="1648" w:hanging="548"/>
      </w:pPr>
      <w:rPr>
        <w:rFonts w:hint="default"/>
      </w:rPr>
    </w:lvl>
    <w:lvl w:ilvl="2" w:tplc="8230FFC8">
      <w:numFmt w:val="bullet"/>
      <w:lvlText w:val="•"/>
      <w:lvlJc w:val="left"/>
      <w:pPr>
        <w:ind w:left="2597" w:hanging="548"/>
      </w:pPr>
      <w:rPr>
        <w:rFonts w:hint="default"/>
      </w:rPr>
    </w:lvl>
    <w:lvl w:ilvl="3" w:tplc="5F7EDD74">
      <w:numFmt w:val="bullet"/>
      <w:lvlText w:val="•"/>
      <w:lvlJc w:val="left"/>
      <w:pPr>
        <w:ind w:left="3546" w:hanging="548"/>
      </w:pPr>
      <w:rPr>
        <w:rFonts w:hint="default"/>
      </w:rPr>
    </w:lvl>
    <w:lvl w:ilvl="4" w:tplc="497223E0">
      <w:numFmt w:val="bullet"/>
      <w:lvlText w:val="•"/>
      <w:lvlJc w:val="left"/>
      <w:pPr>
        <w:ind w:left="4495" w:hanging="548"/>
      </w:pPr>
      <w:rPr>
        <w:rFonts w:hint="default"/>
      </w:rPr>
    </w:lvl>
    <w:lvl w:ilvl="5" w:tplc="BADADD82">
      <w:numFmt w:val="bullet"/>
      <w:lvlText w:val="•"/>
      <w:lvlJc w:val="left"/>
      <w:pPr>
        <w:ind w:left="5444" w:hanging="548"/>
      </w:pPr>
      <w:rPr>
        <w:rFonts w:hint="default"/>
      </w:rPr>
    </w:lvl>
    <w:lvl w:ilvl="6" w:tplc="88C43704">
      <w:numFmt w:val="bullet"/>
      <w:lvlText w:val="•"/>
      <w:lvlJc w:val="left"/>
      <w:pPr>
        <w:ind w:left="6393" w:hanging="548"/>
      </w:pPr>
      <w:rPr>
        <w:rFonts w:hint="default"/>
      </w:rPr>
    </w:lvl>
    <w:lvl w:ilvl="7" w:tplc="0B3AF7DC">
      <w:numFmt w:val="bullet"/>
      <w:lvlText w:val="•"/>
      <w:lvlJc w:val="left"/>
      <w:pPr>
        <w:ind w:left="7342" w:hanging="548"/>
      </w:pPr>
      <w:rPr>
        <w:rFonts w:hint="default"/>
      </w:rPr>
    </w:lvl>
    <w:lvl w:ilvl="8" w:tplc="39A029FC">
      <w:numFmt w:val="bullet"/>
      <w:lvlText w:val="•"/>
      <w:lvlJc w:val="left"/>
      <w:pPr>
        <w:ind w:left="8291" w:hanging="548"/>
      </w:pPr>
      <w:rPr>
        <w:rFonts w:hint="default"/>
      </w:rPr>
    </w:lvl>
  </w:abstractNum>
  <w:abstractNum w:abstractNumId="347" w15:restartNumberingAfterBreak="0">
    <w:nsid w:val="794C2CB7"/>
    <w:multiLevelType w:val="hybridMultilevel"/>
    <w:tmpl w:val="D5466D42"/>
    <w:lvl w:ilvl="0" w:tplc="F8DA6F64">
      <w:start w:val="1"/>
      <w:numFmt w:val="upperLetter"/>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8" w15:restartNumberingAfterBreak="0">
    <w:nsid w:val="794E04B7"/>
    <w:multiLevelType w:val="hybridMultilevel"/>
    <w:tmpl w:val="EB8ABEEE"/>
    <w:styleLink w:val="11111113"/>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9" w15:restartNumberingAfterBreak="0">
    <w:nsid w:val="79725882"/>
    <w:multiLevelType w:val="hybridMultilevel"/>
    <w:tmpl w:val="1E143680"/>
    <w:lvl w:ilvl="0" w:tplc="0409001B">
      <w:start w:val="1"/>
      <w:numFmt w:val="lowerRoman"/>
      <w:lvlText w:val="%1."/>
      <w:lvlJc w:val="right"/>
      <w:pPr>
        <w:ind w:left="810" w:hanging="360"/>
      </w:pPr>
    </w:lvl>
    <w:lvl w:ilvl="1" w:tplc="0409001B">
      <w:start w:val="1"/>
      <w:numFmt w:val="lowerRoman"/>
      <w:lvlText w:val="%2."/>
      <w:lvlJc w:val="righ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0" w15:restartNumberingAfterBreak="0">
    <w:nsid w:val="79A3410F"/>
    <w:multiLevelType w:val="multilevel"/>
    <w:tmpl w:val="19181522"/>
    <w:styleLink w:val="WWNum44104"/>
    <w:lvl w:ilvl="0">
      <w:start w:val="1"/>
      <w:numFmt w:val="lowerRoman"/>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51" w15:restartNumberingAfterBreak="0">
    <w:nsid w:val="79B1562B"/>
    <w:multiLevelType w:val="multilevel"/>
    <w:tmpl w:val="FEF21866"/>
    <w:styleLink w:val="WWNum2123"/>
    <w:lvl w:ilvl="0">
      <w:start w:val="1"/>
      <w:numFmt w:val="lowerLetter"/>
      <w:lvlText w:val="%1)"/>
      <w:lvlJc w:val="left"/>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2" w15:restartNumberingAfterBreak="0">
    <w:nsid w:val="7A914F38"/>
    <w:multiLevelType w:val="hybridMultilevel"/>
    <w:tmpl w:val="1B5264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3" w15:restartNumberingAfterBreak="0">
    <w:nsid w:val="7C0E7847"/>
    <w:multiLevelType w:val="multilevel"/>
    <w:tmpl w:val="379498E6"/>
    <w:styleLink w:val="WWNum1316"/>
    <w:lvl w:ilvl="0">
      <w:start w:val="1"/>
      <w:numFmt w:val="lowerRoman"/>
      <w:lvlText w:val="%1."/>
      <w:lvlJc w:val="righ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54" w15:restartNumberingAfterBreak="0">
    <w:nsid w:val="7E572635"/>
    <w:multiLevelType w:val="hybridMultilevel"/>
    <w:tmpl w:val="E1A883F2"/>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55" w15:restartNumberingAfterBreak="0">
    <w:nsid w:val="7EB11159"/>
    <w:multiLevelType w:val="hybridMultilevel"/>
    <w:tmpl w:val="7334F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6" w15:restartNumberingAfterBreak="0">
    <w:nsid w:val="7F96760E"/>
    <w:multiLevelType w:val="hybridMultilevel"/>
    <w:tmpl w:val="9F389E96"/>
    <w:styleLink w:val="WWNum54104"/>
    <w:lvl w:ilvl="0" w:tplc="C448723C">
      <w:start w:val="19"/>
      <w:numFmt w:val="lowerRoman"/>
      <w:lvlText w:val="%1."/>
      <w:lvlJc w:val="righ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69112920">
    <w:abstractNumId w:val="289"/>
  </w:num>
  <w:num w:numId="2" w16cid:durableId="1552764630">
    <w:abstractNumId w:val="264"/>
  </w:num>
  <w:num w:numId="3" w16cid:durableId="987594176">
    <w:abstractNumId w:val="86"/>
  </w:num>
  <w:num w:numId="4" w16cid:durableId="2063675842">
    <w:abstractNumId w:val="27"/>
  </w:num>
  <w:num w:numId="5" w16cid:durableId="333919228">
    <w:abstractNumId w:val="61"/>
  </w:num>
  <w:num w:numId="6" w16cid:durableId="2120711039">
    <w:abstractNumId w:val="353"/>
  </w:num>
  <w:num w:numId="7" w16cid:durableId="104470814">
    <w:abstractNumId w:val="107"/>
  </w:num>
  <w:num w:numId="8" w16cid:durableId="1436944001">
    <w:abstractNumId w:val="123"/>
  </w:num>
  <w:num w:numId="9" w16cid:durableId="1084842162">
    <w:abstractNumId w:val="16"/>
  </w:num>
  <w:num w:numId="10" w16cid:durableId="1308974680">
    <w:abstractNumId w:val="222"/>
  </w:num>
  <w:num w:numId="11" w16cid:durableId="766541317">
    <w:abstractNumId w:val="33"/>
  </w:num>
  <w:num w:numId="12" w16cid:durableId="1300184711">
    <w:abstractNumId w:val="180"/>
  </w:num>
  <w:num w:numId="13" w16cid:durableId="167838454">
    <w:abstractNumId w:val="191"/>
  </w:num>
  <w:num w:numId="14" w16cid:durableId="1293444926">
    <w:abstractNumId w:val="302"/>
  </w:num>
  <w:num w:numId="15" w16cid:durableId="2017880508">
    <w:abstractNumId w:val="98"/>
  </w:num>
  <w:num w:numId="16" w16cid:durableId="311568096">
    <w:abstractNumId w:val="69"/>
  </w:num>
  <w:num w:numId="17" w16cid:durableId="726104842">
    <w:abstractNumId w:val="194"/>
  </w:num>
  <w:num w:numId="18" w16cid:durableId="216092768">
    <w:abstractNumId w:val="281"/>
  </w:num>
  <w:num w:numId="19" w16cid:durableId="896860268">
    <w:abstractNumId w:val="206"/>
  </w:num>
  <w:num w:numId="20" w16cid:durableId="1832794527">
    <w:abstractNumId w:val="62"/>
  </w:num>
  <w:num w:numId="21" w16cid:durableId="1501197743">
    <w:abstractNumId w:val="327"/>
  </w:num>
  <w:num w:numId="22" w16cid:durableId="499347668">
    <w:abstractNumId w:val="231"/>
  </w:num>
  <w:num w:numId="23" w16cid:durableId="1080756389">
    <w:abstractNumId w:val="263"/>
  </w:num>
  <w:num w:numId="24" w16cid:durableId="1162425804">
    <w:abstractNumId w:val="329"/>
  </w:num>
  <w:num w:numId="25" w16cid:durableId="546768568">
    <w:abstractNumId w:val="12"/>
  </w:num>
  <w:num w:numId="26" w16cid:durableId="13456691">
    <w:abstractNumId w:val="135"/>
  </w:num>
  <w:num w:numId="27" w16cid:durableId="1163473556">
    <w:abstractNumId w:val="93"/>
  </w:num>
  <w:num w:numId="28" w16cid:durableId="467629094">
    <w:abstractNumId w:val="77"/>
  </w:num>
  <w:num w:numId="29" w16cid:durableId="713427847">
    <w:abstractNumId w:val="350"/>
  </w:num>
  <w:num w:numId="30" w16cid:durableId="1964072932">
    <w:abstractNumId w:val="23"/>
  </w:num>
  <w:num w:numId="31" w16cid:durableId="2002466317">
    <w:abstractNumId w:val="118"/>
  </w:num>
  <w:num w:numId="32" w16cid:durableId="1364211416">
    <w:abstractNumId w:val="316"/>
  </w:num>
  <w:num w:numId="33" w16cid:durableId="1076978493">
    <w:abstractNumId w:val="323"/>
  </w:num>
  <w:num w:numId="34" w16cid:durableId="1953634531">
    <w:abstractNumId w:val="148"/>
  </w:num>
  <w:num w:numId="35" w16cid:durableId="2097045090">
    <w:abstractNumId w:val="146"/>
  </w:num>
  <w:num w:numId="36" w16cid:durableId="486746857">
    <w:abstractNumId w:val="345"/>
  </w:num>
  <w:num w:numId="37" w16cid:durableId="2052611610">
    <w:abstractNumId w:val="138"/>
  </w:num>
  <w:num w:numId="38" w16cid:durableId="1404836416">
    <w:abstractNumId w:val="243"/>
  </w:num>
  <w:num w:numId="39" w16cid:durableId="857349866">
    <w:abstractNumId w:val="37"/>
  </w:num>
  <w:num w:numId="40" w16cid:durableId="954798929">
    <w:abstractNumId w:val="56"/>
  </w:num>
  <w:num w:numId="41" w16cid:durableId="918945964">
    <w:abstractNumId w:val="89"/>
  </w:num>
  <w:num w:numId="42" w16cid:durableId="1899977254">
    <w:abstractNumId w:val="90"/>
  </w:num>
  <w:num w:numId="43" w16cid:durableId="769589671">
    <w:abstractNumId w:val="104"/>
  </w:num>
  <w:num w:numId="44" w16cid:durableId="607201272">
    <w:abstractNumId w:val="124"/>
  </w:num>
  <w:num w:numId="45" w16cid:durableId="2138716757">
    <w:abstractNumId w:val="134"/>
  </w:num>
  <w:num w:numId="46" w16cid:durableId="2134906022">
    <w:abstractNumId w:val="140"/>
  </w:num>
  <w:num w:numId="47" w16cid:durableId="1565095956">
    <w:abstractNumId w:val="142"/>
  </w:num>
  <w:num w:numId="48" w16cid:durableId="1770274787">
    <w:abstractNumId w:val="202"/>
  </w:num>
  <w:num w:numId="49" w16cid:durableId="562907073">
    <w:abstractNumId w:val="211"/>
  </w:num>
  <w:num w:numId="50" w16cid:durableId="1895576443">
    <w:abstractNumId w:val="242"/>
  </w:num>
  <w:num w:numId="51" w16cid:durableId="586693069">
    <w:abstractNumId w:val="244"/>
  </w:num>
  <w:num w:numId="52" w16cid:durableId="604657474">
    <w:abstractNumId w:val="247"/>
  </w:num>
  <w:num w:numId="53" w16cid:durableId="1000619208">
    <w:abstractNumId w:val="269"/>
  </w:num>
  <w:num w:numId="54" w16cid:durableId="2102144611">
    <w:abstractNumId w:val="272"/>
  </w:num>
  <w:num w:numId="55" w16cid:durableId="986784877">
    <w:abstractNumId w:val="276"/>
  </w:num>
  <w:num w:numId="56" w16cid:durableId="629940091">
    <w:abstractNumId w:val="351"/>
  </w:num>
  <w:num w:numId="57" w16cid:durableId="1882545692">
    <w:abstractNumId w:val="72"/>
  </w:num>
  <w:num w:numId="58" w16cid:durableId="318772983">
    <w:abstractNumId w:val="5"/>
  </w:num>
  <w:num w:numId="59" w16cid:durableId="933322458">
    <w:abstractNumId w:val="3"/>
  </w:num>
  <w:num w:numId="60" w16cid:durableId="172689478">
    <w:abstractNumId w:val="2"/>
  </w:num>
  <w:num w:numId="61" w16cid:durableId="90442526">
    <w:abstractNumId w:val="1"/>
  </w:num>
  <w:num w:numId="62" w16cid:durableId="884369941">
    <w:abstractNumId w:val="0"/>
  </w:num>
  <w:num w:numId="63" w16cid:durableId="1957368398">
    <w:abstractNumId w:val="48"/>
  </w:num>
  <w:num w:numId="64" w16cid:durableId="1754467046">
    <w:abstractNumId w:val="113"/>
  </w:num>
  <w:num w:numId="65" w16cid:durableId="1245601894">
    <w:abstractNumId w:val="39"/>
  </w:num>
  <w:num w:numId="66" w16cid:durableId="2080783875">
    <w:abstractNumId w:val="110"/>
  </w:num>
  <w:num w:numId="67" w16cid:durableId="849637644">
    <w:abstractNumId w:val="271"/>
  </w:num>
  <w:num w:numId="68" w16cid:durableId="734013472">
    <w:abstractNumId w:val="182"/>
  </w:num>
  <w:num w:numId="69" w16cid:durableId="271323805">
    <w:abstractNumId w:val="255"/>
  </w:num>
  <w:num w:numId="70" w16cid:durableId="1304045218">
    <w:abstractNumId w:val="342"/>
  </w:num>
  <w:num w:numId="71" w16cid:durableId="1557276761">
    <w:abstractNumId w:val="298"/>
  </w:num>
  <w:num w:numId="72" w16cid:durableId="161045601">
    <w:abstractNumId w:val="278"/>
  </w:num>
  <w:num w:numId="73" w16cid:durableId="896090334">
    <w:abstractNumId w:val="195"/>
  </w:num>
  <w:num w:numId="74" w16cid:durableId="1191070333">
    <w:abstractNumId w:val="65"/>
  </w:num>
  <w:num w:numId="75" w16cid:durableId="1422797906">
    <w:abstractNumId w:val="214"/>
  </w:num>
  <w:num w:numId="76" w16cid:durableId="1995796914">
    <w:abstractNumId w:val="170"/>
  </w:num>
  <w:num w:numId="77" w16cid:durableId="367222635">
    <w:abstractNumId w:val="240"/>
  </w:num>
  <w:num w:numId="78" w16cid:durableId="1275213665">
    <w:abstractNumId w:val="52"/>
  </w:num>
  <w:num w:numId="79" w16cid:durableId="1211379574">
    <w:abstractNumId w:val="251"/>
  </w:num>
  <w:num w:numId="80" w16cid:durableId="154608134">
    <w:abstractNumId w:val="338"/>
  </w:num>
  <w:num w:numId="81" w16cid:durableId="1866021820">
    <w:abstractNumId w:val="185"/>
  </w:num>
  <w:num w:numId="82" w16cid:durableId="1285312302">
    <w:abstractNumId w:val="193"/>
  </w:num>
  <w:num w:numId="83" w16cid:durableId="1443957103">
    <w:abstractNumId w:val="21"/>
  </w:num>
  <w:num w:numId="84" w16cid:durableId="321852924">
    <w:abstractNumId w:val="40"/>
  </w:num>
  <w:num w:numId="85" w16cid:durableId="640886832">
    <w:abstractNumId w:val="220"/>
  </w:num>
  <w:num w:numId="86" w16cid:durableId="1822843970">
    <w:abstractNumId w:val="164"/>
  </w:num>
  <w:num w:numId="87" w16cid:durableId="250431343">
    <w:abstractNumId w:val="44"/>
  </w:num>
  <w:num w:numId="88" w16cid:durableId="1027222971">
    <w:abstractNumId w:val="15"/>
  </w:num>
  <w:num w:numId="89" w16cid:durableId="606471664">
    <w:abstractNumId w:val="141"/>
  </w:num>
  <w:num w:numId="90" w16cid:durableId="1697736700">
    <w:abstractNumId w:val="215"/>
  </w:num>
  <w:num w:numId="91" w16cid:durableId="245501396">
    <w:abstractNumId w:val="308"/>
  </w:num>
  <w:num w:numId="92" w16cid:durableId="492069437">
    <w:abstractNumId w:val="188"/>
  </w:num>
  <w:num w:numId="93" w16cid:durableId="325547943">
    <w:abstractNumId w:val="348"/>
  </w:num>
  <w:num w:numId="94" w16cid:durableId="490754482">
    <w:abstractNumId w:val="337"/>
  </w:num>
  <w:num w:numId="95" w16cid:durableId="1793599008">
    <w:abstractNumId w:val="252"/>
  </w:num>
  <w:num w:numId="96" w16cid:durableId="1630016582">
    <w:abstractNumId w:val="80"/>
  </w:num>
  <w:num w:numId="97" w16cid:durableId="1638441">
    <w:abstractNumId w:val="312"/>
  </w:num>
  <w:num w:numId="98" w16cid:durableId="1089934239">
    <w:abstractNumId w:val="321"/>
  </w:num>
  <w:num w:numId="99" w16cid:durableId="1637177890">
    <w:abstractNumId w:val="100"/>
  </w:num>
  <w:num w:numId="100" w16cid:durableId="34160687">
    <w:abstractNumId w:val="313"/>
  </w:num>
  <w:num w:numId="101" w16cid:durableId="2124222404">
    <w:abstractNumId w:val="256"/>
  </w:num>
  <w:num w:numId="102" w16cid:durableId="186064643">
    <w:abstractNumId w:val="127"/>
  </w:num>
  <w:num w:numId="103" w16cid:durableId="1762527472">
    <w:abstractNumId w:val="47"/>
  </w:num>
  <w:num w:numId="104" w16cid:durableId="333804296">
    <w:abstractNumId w:val="81"/>
  </w:num>
  <w:num w:numId="105" w16cid:durableId="1217356178">
    <w:abstractNumId w:val="273"/>
  </w:num>
  <w:num w:numId="106" w16cid:durableId="1781335729">
    <w:abstractNumId w:val="248"/>
  </w:num>
  <w:num w:numId="107" w16cid:durableId="1448936927">
    <w:abstractNumId w:val="356"/>
  </w:num>
  <w:num w:numId="108" w16cid:durableId="1994873402">
    <w:abstractNumId w:val="261"/>
  </w:num>
  <w:num w:numId="109" w16cid:durableId="530922287">
    <w:abstractNumId w:val="275"/>
  </w:num>
  <w:num w:numId="110" w16cid:durableId="1022173944">
    <w:abstractNumId w:val="283"/>
  </w:num>
  <w:num w:numId="111" w16cid:durableId="1285189679">
    <w:abstractNumId w:val="335"/>
  </w:num>
  <w:num w:numId="112" w16cid:durableId="283469603">
    <w:abstractNumId w:val="59"/>
  </w:num>
  <w:num w:numId="113" w16cid:durableId="1690179782">
    <w:abstractNumId w:val="150"/>
  </w:num>
  <w:num w:numId="114" w16cid:durableId="175458786">
    <w:abstractNumId w:val="177"/>
  </w:num>
  <w:num w:numId="115" w16cid:durableId="656810661">
    <w:abstractNumId w:val="102"/>
  </w:num>
  <w:num w:numId="116" w16cid:durableId="1265770640">
    <w:abstractNumId w:val="286"/>
  </w:num>
  <w:num w:numId="117" w16cid:durableId="1575356576">
    <w:abstractNumId w:val="130"/>
  </w:num>
  <w:num w:numId="118" w16cid:durableId="617877549">
    <w:abstractNumId w:val="325"/>
  </w:num>
  <w:num w:numId="119" w16cid:durableId="948515140">
    <w:abstractNumId w:val="155"/>
  </w:num>
  <w:num w:numId="120" w16cid:durableId="1256013625">
    <w:abstractNumId w:val="332"/>
  </w:num>
  <w:num w:numId="121" w16cid:durableId="826022038">
    <w:abstractNumId w:val="274"/>
  </w:num>
  <w:num w:numId="122" w16cid:durableId="1585140266">
    <w:abstractNumId w:val="137"/>
  </w:num>
  <w:num w:numId="123" w16cid:durableId="1307974615">
    <w:abstractNumId w:val="226"/>
  </w:num>
  <w:num w:numId="124" w16cid:durableId="1247957702">
    <w:abstractNumId w:val="106"/>
  </w:num>
  <w:num w:numId="125" w16cid:durableId="750155062">
    <w:abstractNumId w:val="35"/>
  </w:num>
  <w:num w:numId="126" w16cid:durableId="1874150375">
    <w:abstractNumId w:val="209"/>
  </w:num>
  <w:num w:numId="127" w16cid:durableId="1076510384">
    <w:abstractNumId w:val="322"/>
  </w:num>
  <w:num w:numId="128" w16cid:durableId="779648198">
    <w:abstractNumId w:val="314"/>
  </w:num>
  <w:num w:numId="129" w16cid:durableId="167524283">
    <w:abstractNumId w:val="225"/>
  </w:num>
  <w:num w:numId="130" w16cid:durableId="770203573">
    <w:abstractNumId w:val="94"/>
  </w:num>
  <w:num w:numId="131" w16cid:durableId="2066370945">
    <w:abstractNumId w:val="105"/>
  </w:num>
  <w:num w:numId="132" w16cid:durableId="277025910">
    <w:abstractNumId w:val="131"/>
  </w:num>
  <w:num w:numId="133" w16cid:durableId="612442572">
    <w:abstractNumId w:val="162"/>
  </w:num>
  <w:num w:numId="134" w16cid:durableId="909073017">
    <w:abstractNumId w:val="75"/>
  </w:num>
  <w:num w:numId="135" w16cid:durableId="676229068">
    <w:abstractNumId w:val="17"/>
  </w:num>
  <w:num w:numId="136" w16cid:durableId="1087195602">
    <w:abstractNumId w:val="11"/>
  </w:num>
  <w:num w:numId="137" w16cid:durableId="1309094362">
    <w:abstractNumId w:val="132"/>
  </w:num>
  <w:num w:numId="138" w16cid:durableId="1164010733">
    <w:abstractNumId w:val="129"/>
  </w:num>
  <w:num w:numId="139" w16cid:durableId="376898018">
    <w:abstractNumId w:val="31"/>
  </w:num>
  <w:num w:numId="140" w16cid:durableId="1852256139">
    <w:abstractNumId w:val="266"/>
  </w:num>
  <w:num w:numId="141" w16cid:durableId="616104688">
    <w:abstractNumId w:val="318"/>
  </w:num>
  <w:num w:numId="142" w16cid:durableId="1555392503">
    <w:abstractNumId w:val="260"/>
  </w:num>
  <w:num w:numId="143" w16cid:durableId="1055353225">
    <w:abstractNumId w:val="336"/>
  </w:num>
  <w:num w:numId="144" w16cid:durableId="191649956">
    <w:abstractNumId w:val="18"/>
  </w:num>
  <w:num w:numId="145" w16cid:durableId="1595356229">
    <w:abstractNumId w:val="82"/>
  </w:num>
  <w:num w:numId="146" w16cid:durableId="1984040713">
    <w:abstractNumId w:val="296"/>
  </w:num>
  <w:num w:numId="147" w16cid:durableId="228468176">
    <w:abstractNumId w:val="109"/>
  </w:num>
  <w:num w:numId="148" w16cid:durableId="1620792853">
    <w:abstractNumId w:val="168"/>
  </w:num>
  <w:num w:numId="149" w16cid:durableId="650796842">
    <w:abstractNumId w:val="227"/>
  </w:num>
  <w:num w:numId="150" w16cid:durableId="12654018">
    <w:abstractNumId w:val="199"/>
  </w:num>
  <w:num w:numId="151" w16cid:durableId="1990405579">
    <w:abstractNumId w:val="67"/>
  </w:num>
  <w:num w:numId="152" w16cid:durableId="1877310875">
    <w:abstractNumId w:val="165"/>
  </w:num>
  <w:num w:numId="153" w16cid:durableId="12268453">
    <w:abstractNumId w:val="116"/>
  </w:num>
  <w:num w:numId="154" w16cid:durableId="1128399809">
    <w:abstractNumId w:val="35"/>
    <w:lvlOverride w:ilvl="0">
      <w:lvl w:ilvl="0" w:tplc="0409001B">
        <w:start w:val="1"/>
        <w:numFmt w:val="lowerRoman"/>
        <w:lvlText w:val="(%1)"/>
        <w:lvlJc w:val="left"/>
        <w:pPr>
          <w:ind w:left="1146" w:hanging="720"/>
        </w:pPr>
        <w:rPr>
          <w:rFonts w:hint="default"/>
        </w:rPr>
      </w:lvl>
    </w:lvlOverride>
  </w:num>
  <w:num w:numId="155" w16cid:durableId="403603345">
    <w:abstractNumId w:val="203"/>
  </w:num>
  <w:num w:numId="156" w16cid:durableId="546991957">
    <w:abstractNumId w:val="76"/>
  </w:num>
  <w:num w:numId="157" w16cid:durableId="218172920">
    <w:abstractNumId w:val="168"/>
    <w:lvlOverride w:ilvl="0">
      <w:lvl w:ilvl="0" w:tplc="F8847DA4">
        <w:start w:val="1"/>
        <w:numFmt w:val="decimal"/>
        <w:lvlText w:val="%1."/>
        <w:lvlJc w:val="left"/>
        <w:pPr>
          <w:ind w:left="360" w:hanging="360"/>
        </w:pPr>
        <w:rPr>
          <w:b w:val="0"/>
        </w:rPr>
      </w:lvl>
    </w:lvlOverride>
  </w:num>
  <w:num w:numId="158" w16cid:durableId="1456560582">
    <w:abstractNumId w:val="166"/>
  </w:num>
  <w:num w:numId="159" w16cid:durableId="1501778360">
    <w:abstractNumId w:val="139"/>
  </w:num>
  <w:num w:numId="160" w16cid:durableId="918832041">
    <w:abstractNumId w:val="245"/>
  </w:num>
  <w:num w:numId="161" w16cid:durableId="1129125126">
    <w:abstractNumId w:val="216"/>
  </w:num>
  <w:num w:numId="162" w16cid:durableId="1129476284">
    <w:abstractNumId w:val="303"/>
  </w:num>
  <w:num w:numId="163" w16cid:durableId="1084381766">
    <w:abstractNumId w:val="83"/>
  </w:num>
  <w:num w:numId="164" w16cid:durableId="485170407">
    <w:abstractNumId w:val="119"/>
    <w:lvlOverride w:ilvl="0">
      <w:startOverride w:val="1"/>
    </w:lvlOverride>
    <w:lvlOverride w:ilvl="1"/>
    <w:lvlOverride w:ilvl="2"/>
    <w:lvlOverride w:ilvl="3"/>
    <w:lvlOverride w:ilvl="4"/>
    <w:lvlOverride w:ilvl="5"/>
    <w:lvlOverride w:ilvl="6"/>
    <w:lvlOverride w:ilvl="7"/>
    <w:lvlOverride w:ilvl="8"/>
  </w:num>
  <w:num w:numId="165" w16cid:durableId="17514598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1194806107">
    <w:abstractNumId w:val="3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527135221">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33006160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355153724">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59297632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168566469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1275333677">
    <w:abstractNumId w:val="221"/>
  </w:num>
  <w:num w:numId="173" w16cid:durableId="1154223091">
    <w:abstractNumId w:val="49"/>
  </w:num>
  <w:num w:numId="174" w16cid:durableId="677001776">
    <w:abstractNumId w:val="179"/>
  </w:num>
  <w:num w:numId="175" w16cid:durableId="190338757">
    <w:abstractNumId w:val="120"/>
  </w:num>
  <w:num w:numId="176" w16cid:durableId="122045804">
    <w:abstractNumId w:val="95"/>
  </w:num>
  <w:num w:numId="177" w16cid:durableId="221601767">
    <w:abstractNumId w:val="26"/>
  </w:num>
  <w:num w:numId="178" w16cid:durableId="1856188264">
    <w:abstractNumId w:val="157"/>
  </w:num>
  <w:num w:numId="179" w16cid:durableId="1130321852">
    <w:abstractNumId w:val="347"/>
  </w:num>
  <w:num w:numId="180" w16cid:durableId="83428234">
    <w:abstractNumId w:val="246"/>
  </w:num>
  <w:num w:numId="181" w16cid:durableId="2108692221">
    <w:abstractNumId w:val="184"/>
  </w:num>
  <w:num w:numId="182" w16cid:durableId="452359790">
    <w:abstractNumId w:val="307"/>
  </w:num>
  <w:num w:numId="183" w16cid:durableId="495995568">
    <w:abstractNumId w:val="236"/>
  </w:num>
  <w:num w:numId="184" w16cid:durableId="365840250">
    <w:abstractNumId w:val="304"/>
  </w:num>
  <w:num w:numId="185" w16cid:durableId="1665861799">
    <w:abstractNumId w:val="73"/>
  </w:num>
  <w:num w:numId="186" w16cid:durableId="402989918">
    <w:abstractNumId w:val="200"/>
  </w:num>
  <w:num w:numId="187" w16cid:durableId="164827576">
    <w:abstractNumId w:val="253"/>
  </w:num>
  <w:num w:numId="188" w16cid:durableId="30422403">
    <w:abstractNumId w:val="63"/>
  </w:num>
  <w:num w:numId="189" w16cid:durableId="662661573">
    <w:abstractNumId w:val="173"/>
  </w:num>
  <w:num w:numId="190" w16cid:durableId="16007520">
    <w:abstractNumId w:val="58"/>
  </w:num>
  <w:num w:numId="191" w16cid:durableId="1472596555">
    <w:abstractNumId w:val="352"/>
  </w:num>
  <w:num w:numId="192" w16cid:durableId="2147164303">
    <w:abstractNumId w:val="334"/>
  </w:num>
  <w:num w:numId="193" w16cid:durableId="1344169950">
    <w:abstractNumId w:val="309"/>
  </w:num>
  <w:num w:numId="194" w16cid:durableId="2031838378">
    <w:abstractNumId w:val="223"/>
  </w:num>
  <w:num w:numId="195" w16cid:durableId="1092624412">
    <w:abstractNumId w:val="167"/>
  </w:num>
  <w:num w:numId="196" w16cid:durableId="380178939">
    <w:abstractNumId w:val="29"/>
  </w:num>
  <w:num w:numId="197" w16cid:durableId="156383537">
    <w:abstractNumId w:val="176"/>
  </w:num>
  <w:num w:numId="198" w16cid:durableId="1506674342">
    <w:abstractNumId w:val="74"/>
  </w:num>
  <w:num w:numId="199" w16cid:durableId="1305742934">
    <w:abstractNumId w:val="196"/>
  </w:num>
  <w:num w:numId="200" w16cid:durableId="483933124">
    <w:abstractNumId w:val="306"/>
  </w:num>
  <w:num w:numId="201" w16cid:durableId="1519588737">
    <w:abstractNumId w:val="71"/>
  </w:num>
  <w:num w:numId="202" w16cid:durableId="643389505">
    <w:abstractNumId w:val="136"/>
  </w:num>
  <w:num w:numId="203" w16cid:durableId="224293534">
    <w:abstractNumId w:val="46"/>
  </w:num>
  <w:num w:numId="204" w16cid:durableId="1439642942">
    <w:abstractNumId w:val="217"/>
  </w:num>
  <w:num w:numId="205" w16cid:durableId="739444554">
    <w:abstractNumId w:val="117"/>
  </w:num>
  <w:num w:numId="206" w16cid:durableId="1412584859">
    <w:abstractNumId w:val="68"/>
  </w:num>
  <w:num w:numId="207" w16cid:durableId="710961745">
    <w:abstractNumId w:val="186"/>
  </w:num>
  <w:num w:numId="208" w16cid:durableId="1868835007">
    <w:abstractNumId w:val="121"/>
  </w:num>
  <w:num w:numId="209" w16cid:durableId="1341855451">
    <w:abstractNumId w:val="210"/>
  </w:num>
  <w:num w:numId="210" w16cid:durableId="364792928">
    <w:abstractNumId w:val="250"/>
  </w:num>
  <w:num w:numId="211" w16cid:durableId="1319269254">
    <w:abstractNumId w:val="249"/>
  </w:num>
  <w:num w:numId="212" w16cid:durableId="1428383941">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833422798">
    <w:abstractNumId w:val="183"/>
  </w:num>
  <w:num w:numId="214" w16cid:durableId="1734086049">
    <w:abstractNumId w:val="189"/>
  </w:num>
  <w:num w:numId="215" w16cid:durableId="1248033290">
    <w:abstractNumId w:val="219"/>
  </w:num>
  <w:num w:numId="216" w16cid:durableId="871960020">
    <w:abstractNumId w:val="20"/>
  </w:num>
  <w:num w:numId="217" w16cid:durableId="689529975">
    <w:abstractNumId w:val="149"/>
  </w:num>
  <w:num w:numId="218" w16cid:durableId="21368489">
    <w:abstractNumId w:val="339"/>
  </w:num>
  <w:num w:numId="219" w16cid:durableId="743261351">
    <w:abstractNumId w:val="235"/>
  </w:num>
  <w:num w:numId="220" w16cid:durableId="1904368816">
    <w:abstractNumId w:val="295"/>
  </w:num>
  <w:num w:numId="221" w16cid:durableId="295912274">
    <w:abstractNumId w:val="349"/>
  </w:num>
  <w:num w:numId="222" w16cid:durableId="1688369624">
    <w:abstractNumId w:val="53"/>
  </w:num>
  <w:num w:numId="223" w16cid:durableId="502747805">
    <w:abstractNumId w:val="262"/>
  </w:num>
  <w:num w:numId="224" w16cid:durableId="146628773">
    <w:abstractNumId w:val="87"/>
  </w:num>
  <w:num w:numId="225" w16cid:durableId="1577782190">
    <w:abstractNumId w:val="233"/>
  </w:num>
  <w:num w:numId="226" w16cid:durableId="987780624">
    <w:abstractNumId w:val="122"/>
  </w:num>
  <w:num w:numId="227" w16cid:durableId="1750079913">
    <w:abstractNumId w:val="320"/>
  </w:num>
  <w:num w:numId="228" w16cid:durableId="612791326">
    <w:abstractNumId w:val="340"/>
  </w:num>
  <w:num w:numId="229" w16cid:durableId="71127490">
    <w:abstractNumId w:val="319"/>
  </w:num>
  <w:num w:numId="230" w16cid:durableId="1444887945">
    <w:abstractNumId w:val="175"/>
  </w:num>
  <w:num w:numId="231" w16cid:durableId="1663849314">
    <w:abstractNumId w:val="212"/>
  </w:num>
  <w:num w:numId="232" w16cid:durableId="484931685">
    <w:abstractNumId w:val="239"/>
  </w:num>
  <w:num w:numId="233" w16cid:durableId="348798317">
    <w:abstractNumId w:val="145"/>
  </w:num>
  <w:num w:numId="234" w16cid:durableId="944464582">
    <w:abstractNumId w:val="285"/>
  </w:num>
  <w:num w:numId="235" w16cid:durableId="466507881">
    <w:abstractNumId w:val="230"/>
  </w:num>
  <w:num w:numId="236" w16cid:durableId="163204600">
    <w:abstractNumId w:val="257"/>
  </w:num>
  <w:num w:numId="237" w16cid:durableId="1543590250">
    <w:abstractNumId w:val="34"/>
  </w:num>
  <w:num w:numId="238" w16cid:durableId="515460395">
    <w:abstractNumId w:val="160"/>
  </w:num>
  <w:num w:numId="239" w16cid:durableId="1025406405">
    <w:abstractNumId w:val="45"/>
  </w:num>
  <w:num w:numId="240" w16cid:durableId="1158500707">
    <w:abstractNumId w:val="97"/>
  </w:num>
  <w:num w:numId="241" w16cid:durableId="46221905">
    <w:abstractNumId w:val="115"/>
  </w:num>
  <w:num w:numId="242" w16cid:durableId="1085493461">
    <w:abstractNumId w:val="25"/>
  </w:num>
  <w:num w:numId="243" w16cid:durableId="877400375">
    <w:abstractNumId w:val="13"/>
  </w:num>
  <w:num w:numId="244" w16cid:durableId="621228728">
    <w:abstractNumId w:val="291"/>
  </w:num>
  <w:num w:numId="245" w16cid:durableId="1902253656">
    <w:abstractNumId w:val="126"/>
  </w:num>
  <w:num w:numId="246" w16cid:durableId="1497182550">
    <w:abstractNumId w:val="91"/>
  </w:num>
  <w:num w:numId="247" w16cid:durableId="1565600313">
    <w:abstractNumId w:val="267"/>
  </w:num>
  <w:num w:numId="248" w16cid:durableId="2099254438">
    <w:abstractNumId w:val="78"/>
  </w:num>
  <w:num w:numId="249" w16cid:durableId="1265841234">
    <w:abstractNumId w:val="258"/>
  </w:num>
  <w:num w:numId="250" w16cid:durableId="1903759021">
    <w:abstractNumId w:val="50"/>
  </w:num>
  <w:num w:numId="251" w16cid:durableId="1125923075">
    <w:abstractNumId w:val="279"/>
  </w:num>
  <w:num w:numId="252" w16cid:durableId="1670906062">
    <w:abstractNumId w:val="178"/>
  </w:num>
  <w:num w:numId="253" w16cid:durableId="2054572170">
    <w:abstractNumId w:val="64"/>
  </w:num>
  <w:num w:numId="254" w16cid:durableId="642076043">
    <w:abstractNumId w:val="204"/>
  </w:num>
  <w:num w:numId="255" w16cid:durableId="77872781">
    <w:abstractNumId w:val="158"/>
  </w:num>
  <w:num w:numId="256" w16cid:durableId="1593393839">
    <w:abstractNumId w:val="305"/>
  </w:num>
  <w:num w:numId="257" w16cid:durableId="1970818737">
    <w:abstractNumId w:val="187"/>
  </w:num>
  <w:num w:numId="258" w16cid:durableId="555553396">
    <w:abstractNumId w:val="265"/>
  </w:num>
  <w:num w:numId="259" w16cid:durableId="425157022">
    <w:abstractNumId w:val="293"/>
  </w:num>
  <w:num w:numId="260" w16cid:durableId="1115059761">
    <w:abstractNumId w:val="163"/>
  </w:num>
  <w:num w:numId="261" w16cid:durableId="193659690">
    <w:abstractNumId w:val="143"/>
  </w:num>
  <w:num w:numId="262" w16cid:durableId="505637194">
    <w:abstractNumId w:val="169"/>
  </w:num>
  <w:num w:numId="263" w16cid:durableId="2008705845">
    <w:abstractNumId w:val="103"/>
  </w:num>
  <w:num w:numId="264" w16cid:durableId="438720718">
    <w:abstractNumId w:val="28"/>
  </w:num>
  <w:num w:numId="265" w16cid:durableId="284386754">
    <w:abstractNumId w:val="237"/>
  </w:num>
  <w:num w:numId="266" w16cid:durableId="329020296">
    <w:abstractNumId w:val="144"/>
  </w:num>
  <w:num w:numId="267" w16cid:durableId="66224048">
    <w:abstractNumId w:val="133"/>
  </w:num>
  <w:num w:numId="268" w16cid:durableId="1689912676">
    <w:abstractNumId w:val="96"/>
  </w:num>
  <w:num w:numId="269" w16cid:durableId="70320379">
    <w:abstractNumId w:val="114"/>
  </w:num>
  <w:num w:numId="270" w16cid:durableId="1249535573">
    <w:abstractNumId w:val="299"/>
  </w:num>
  <w:num w:numId="271" w16cid:durableId="596599786">
    <w:abstractNumId w:val="310"/>
  </w:num>
  <w:num w:numId="272" w16cid:durableId="1533421795">
    <w:abstractNumId w:val="317"/>
  </w:num>
  <w:num w:numId="273" w16cid:durableId="928544464">
    <w:abstractNumId w:val="88"/>
  </w:num>
  <w:num w:numId="274" w16cid:durableId="1698308233">
    <w:abstractNumId w:val="238"/>
  </w:num>
  <w:num w:numId="275" w16cid:durableId="43912814">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16cid:durableId="791364939">
    <w:abstractNumId w:val="66"/>
  </w:num>
  <w:num w:numId="277" w16cid:durableId="92407117">
    <w:abstractNumId w:val="290"/>
  </w:num>
  <w:num w:numId="278" w16cid:durableId="2140221366">
    <w:abstractNumId w:val="343"/>
  </w:num>
  <w:num w:numId="279" w16cid:durableId="63726295">
    <w:abstractNumId w:val="153"/>
  </w:num>
  <w:num w:numId="280" w16cid:durableId="343634980">
    <w:abstractNumId w:val="174"/>
  </w:num>
  <w:num w:numId="281" w16cid:durableId="1597203189">
    <w:abstractNumId w:val="270"/>
  </w:num>
  <w:num w:numId="282" w16cid:durableId="42992191">
    <w:abstractNumId w:val="198"/>
  </w:num>
  <w:num w:numId="283" w16cid:durableId="1367025359">
    <w:abstractNumId w:val="55"/>
  </w:num>
  <w:num w:numId="284" w16cid:durableId="87432843">
    <w:abstractNumId w:val="344"/>
  </w:num>
  <w:num w:numId="285" w16cid:durableId="2080787676">
    <w:abstractNumId w:val="30"/>
  </w:num>
  <w:num w:numId="286" w16cid:durableId="1718704998">
    <w:abstractNumId w:val="112"/>
  </w:num>
  <w:num w:numId="287" w16cid:durableId="2032678132">
    <w:abstractNumId w:val="147"/>
  </w:num>
  <w:num w:numId="288" w16cid:durableId="1010061313">
    <w:abstractNumId w:val="282"/>
  </w:num>
  <w:num w:numId="289" w16cid:durableId="178022420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16cid:durableId="1458376942">
    <w:abstractNumId w:val="9"/>
    <w:lvlOverride w:ilvl="0">
      <w:startOverride w:val="1"/>
    </w:lvlOverride>
  </w:num>
  <w:num w:numId="291" w16cid:durableId="17897339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16cid:durableId="1178271805">
    <w:abstractNumId w:val="7"/>
  </w:num>
  <w:num w:numId="293" w16cid:durableId="457333807">
    <w:abstractNumId w:val="6"/>
    <w:lvlOverride w:ilvl="0">
      <w:startOverride w:val="1"/>
    </w:lvlOverride>
  </w:num>
  <w:num w:numId="294" w16cid:durableId="2046514068">
    <w:abstractNumId w:val="3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16cid:durableId="318928206">
    <w:abstractNumId w:val="2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16cid:durableId="1021976265">
    <w:abstractNumId w:val="43"/>
  </w:num>
  <w:num w:numId="297" w16cid:durableId="1410692975">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16cid:durableId="907575068">
    <w:abstractNumId w:val="3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16cid:durableId="1142194086">
    <w:abstractNumId w:val="268"/>
  </w:num>
  <w:num w:numId="300" w16cid:durableId="1224487115">
    <w:abstractNumId w:val="84"/>
  </w:num>
  <w:num w:numId="301" w16cid:durableId="1120799261">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16cid:durableId="2032295336">
    <w:abstractNumId w:val="333"/>
  </w:num>
  <w:num w:numId="303" w16cid:durableId="1363359753">
    <w:abstractNumId w:val="259"/>
  </w:num>
  <w:num w:numId="304" w16cid:durableId="1966498532">
    <w:abstractNumId w:val="36"/>
  </w:num>
  <w:num w:numId="305" w16cid:durableId="599679783">
    <w:abstractNumId w:val="228"/>
  </w:num>
  <w:num w:numId="306" w16cid:durableId="804472864">
    <w:abstractNumId w:val="24"/>
  </w:num>
  <w:num w:numId="307" w16cid:durableId="872309613">
    <w:abstractNumId w:val="22"/>
  </w:num>
  <w:num w:numId="308" w16cid:durableId="698555779">
    <w:abstractNumId w:val="208"/>
  </w:num>
  <w:num w:numId="309" w16cid:durableId="1620985202">
    <w:abstractNumId w:val="156"/>
  </w:num>
  <w:num w:numId="310" w16cid:durableId="1635403296">
    <w:abstractNumId w:val="288"/>
  </w:num>
  <w:num w:numId="311" w16cid:durableId="162933318">
    <w:abstractNumId w:val="111"/>
  </w:num>
  <w:num w:numId="312" w16cid:durableId="1264999536">
    <w:abstractNumId w:val="57"/>
  </w:num>
  <w:num w:numId="313" w16cid:durableId="275529034">
    <w:abstractNumId w:val="108"/>
  </w:num>
  <w:num w:numId="314" w16cid:durableId="444156246">
    <w:abstractNumId w:val="159"/>
  </w:num>
  <w:num w:numId="315" w16cid:durableId="553543801">
    <w:abstractNumId w:val="181"/>
  </w:num>
  <w:num w:numId="316" w16cid:durableId="695469975">
    <w:abstractNumId w:val="234"/>
  </w:num>
  <w:num w:numId="317" w16cid:durableId="529993318">
    <w:abstractNumId w:val="19"/>
  </w:num>
  <w:num w:numId="318" w16cid:durableId="288319571">
    <w:abstractNumId w:val="70"/>
  </w:num>
  <w:num w:numId="319" w16cid:durableId="331302051">
    <w:abstractNumId w:val="277"/>
  </w:num>
  <w:num w:numId="320" w16cid:durableId="265885980">
    <w:abstractNumId w:val="229"/>
  </w:num>
  <w:num w:numId="321" w16cid:durableId="207884120">
    <w:abstractNumId w:val="85"/>
  </w:num>
  <w:num w:numId="322" w16cid:durableId="1754933434">
    <w:abstractNumId w:val="207"/>
  </w:num>
  <w:num w:numId="323" w16cid:durableId="639505123">
    <w:abstractNumId w:val="192"/>
  </w:num>
  <w:num w:numId="324" w16cid:durableId="446851002">
    <w:abstractNumId w:val="341"/>
  </w:num>
  <w:num w:numId="325" w16cid:durableId="399063226">
    <w:abstractNumId w:val="205"/>
  </w:num>
  <w:num w:numId="326" w16cid:durableId="997617544">
    <w:abstractNumId w:val="125"/>
  </w:num>
  <w:num w:numId="327" w16cid:durableId="166287723">
    <w:abstractNumId w:val="171"/>
  </w:num>
  <w:num w:numId="328" w16cid:durableId="1407260748">
    <w:abstractNumId w:val="54"/>
  </w:num>
  <w:num w:numId="329" w16cid:durableId="1143233104">
    <w:abstractNumId w:val="328"/>
  </w:num>
  <w:num w:numId="330" w16cid:durableId="372653032">
    <w:abstractNumId w:val="331"/>
  </w:num>
  <w:num w:numId="331" w16cid:durableId="267395505">
    <w:abstractNumId w:val="224"/>
  </w:num>
  <w:num w:numId="332" w16cid:durableId="1245526205">
    <w:abstractNumId w:val="151"/>
  </w:num>
  <w:num w:numId="333" w16cid:durableId="1971938236">
    <w:abstractNumId w:val="161"/>
  </w:num>
  <w:num w:numId="334" w16cid:durableId="1931886362">
    <w:abstractNumId w:val="60"/>
  </w:num>
  <w:num w:numId="335" w16cid:durableId="2112511446">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16cid:durableId="2051224354">
    <w:abstractNumId w:val="4"/>
    <w:lvlOverride w:ilvl="0">
      <w:startOverride w:val="1"/>
    </w:lvlOverride>
    <w:lvlOverride w:ilvl="1">
      <w:startOverride w:val="1"/>
    </w:lvlOverride>
    <w:lvlOverride w:ilvl="2"/>
    <w:lvlOverride w:ilvl="3">
      <w:startOverride w:val="1"/>
    </w:lvlOverride>
    <w:lvlOverride w:ilvl="4">
      <w:startOverride w:val="1"/>
    </w:lvlOverride>
    <w:lvlOverride w:ilvl="5"/>
    <w:lvlOverride w:ilvl="6"/>
    <w:lvlOverride w:ilvl="7"/>
    <w:lvlOverride w:ilvl="8">
      <w:startOverride w:val="1"/>
    </w:lvlOverride>
  </w:num>
  <w:num w:numId="337" w16cid:durableId="1376345034">
    <w:abstractNumId w:val="3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16cid:durableId="801921307">
    <w:abstractNumId w:val="213"/>
  </w:num>
  <w:num w:numId="339" w16cid:durableId="768231724">
    <w:abstractNumId w:val="355"/>
  </w:num>
  <w:num w:numId="340" w16cid:durableId="1684547739">
    <w:abstractNumId w:val="330"/>
  </w:num>
  <w:num w:numId="341" w16cid:durableId="788087871">
    <w:abstractNumId w:val="287"/>
  </w:num>
  <w:num w:numId="342" w16cid:durableId="1558127938">
    <w:abstractNumId w:val="128"/>
  </w:num>
  <w:num w:numId="343" w16cid:durableId="1219317057">
    <w:abstractNumId w:val="197"/>
  </w:num>
  <w:num w:numId="344" w16cid:durableId="674260434">
    <w:abstractNumId w:val="154"/>
  </w:num>
  <w:num w:numId="345" w16cid:durableId="1832208417">
    <w:abstractNumId w:val="241"/>
  </w:num>
  <w:num w:numId="346" w16cid:durableId="333412942">
    <w:abstractNumId w:val="10"/>
  </w:num>
  <w:num w:numId="347" w16cid:durableId="1125732170">
    <w:abstractNumId w:val="324"/>
  </w:num>
  <w:num w:numId="348" w16cid:durableId="116683407">
    <w:abstractNumId w:val="51"/>
  </w:num>
  <w:num w:numId="349" w16cid:durableId="860319112">
    <w:abstractNumId w:val="14"/>
  </w:num>
  <w:num w:numId="350" w16cid:durableId="1132135526">
    <w:abstractNumId w:val="346"/>
  </w:num>
  <w:num w:numId="351" w16cid:durableId="1772240880">
    <w:abstractNumId w:val="280"/>
  </w:num>
  <w:num w:numId="352" w16cid:durableId="547112955">
    <w:abstractNumId w:val="38"/>
  </w:num>
  <w:num w:numId="353" w16cid:durableId="871891350">
    <w:abstractNumId w:val="311"/>
  </w:num>
  <w:num w:numId="354" w16cid:durableId="312568984">
    <w:abstractNumId w:val="254"/>
  </w:num>
  <w:num w:numId="355" w16cid:durableId="1864899022">
    <w:abstractNumId w:val="101"/>
  </w:num>
  <w:num w:numId="356" w16cid:durableId="2094928300">
    <w:abstractNumId w:val="99"/>
  </w:num>
  <w:num w:numId="357" w16cid:durableId="11762478">
    <w:abstractNumId w:val="294"/>
  </w:num>
  <w:num w:numId="358" w16cid:durableId="1167094011">
    <w:abstractNumId w:val="297"/>
  </w:num>
  <w:num w:numId="359" w16cid:durableId="327176705">
    <w:abstractNumId w:val="4"/>
  </w:num>
  <w:num w:numId="360" w16cid:durableId="939918473">
    <w:abstractNumId w:val="172"/>
  </w:num>
  <w:numIdMacAtCleanup w:val="3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31B"/>
    <w:rsid w:val="0000511F"/>
    <w:rsid w:val="00014554"/>
    <w:rsid w:val="00055945"/>
    <w:rsid w:val="000572D0"/>
    <w:rsid w:val="000B2756"/>
    <w:rsid w:val="000D712C"/>
    <w:rsid w:val="00113B44"/>
    <w:rsid w:val="00114808"/>
    <w:rsid w:val="00122F84"/>
    <w:rsid w:val="00142011"/>
    <w:rsid w:val="001443E2"/>
    <w:rsid w:val="001706A2"/>
    <w:rsid w:val="00186C9D"/>
    <w:rsid w:val="001B70BE"/>
    <w:rsid w:val="001D7697"/>
    <w:rsid w:val="001E3B1F"/>
    <w:rsid w:val="001F2043"/>
    <w:rsid w:val="0021246C"/>
    <w:rsid w:val="00223E07"/>
    <w:rsid w:val="002451E9"/>
    <w:rsid w:val="0025741A"/>
    <w:rsid w:val="00260A59"/>
    <w:rsid w:val="002A5501"/>
    <w:rsid w:val="002D256D"/>
    <w:rsid w:val="00361E52"/>
    <w:rsid w:val="0036369B"/>
    <w:rsid w:val="00377CEB"/>
    <w:rsid w:val="0038521C"/>
    <w:rsid w:val="003A366B"/>
    <w:rsid w:val="003A7C1B"/>
    <w:rsid w:val="003B4BCE"/>
    <w:rsid w:val="004047F2"/>
    <w:rsid w:val="00417705"/>
    <w:rsid w:val="0043750B"/>
    <w:rsid w:val="00486D3C"/>
    <w:rsid w:val="0049413B"/>
    <w:rsid w:val="004A7238"/>
    <w:rsid w:val="004D3270"/>
    <w:rsid w:val="004D77E9"/>
    <w:rsid w:val="00523CA4"/>
    <w:rsid w:val="00526512"/>
    <w:rsid w:val="00530FF3"/>
    <w:rsid w:val="00593626"/>
    <w:rsid w:val="005B4BD3"/>
    <w:rsid w:val="005B5953"/>
    <w:rsid w:val="005D46CC"/>
    <w:rsid w:val="00636B58"/>
    <w:rsid w:val="00681211"/>
    <w:rsid w:val="006D712B"/>
    <w:rsid w:val="006E559F"/>
    <w:rsid w:val="007073AD"/>
    <w:rsid w:val="00726B2B"/>
    <w:rsid w:val="00726FC6"/>
    <w:rsid w:val="0073469A"/>
    <w:rsid w:val="007515CC"/>
    <w:rsid w:val="007524F6"/>
    <w:rsid w:val="00771C27"/>
    <w:rsid w:val="007A781D"/>
    <w:rsid w:val="007B4A09"/>
    <w:rsid w:val="007C1DBA"/>
    <w:rsid w:val="00807EC4"/>
    <w:rsid w:val="00815F75"/>
    <w:rsid w:val="00835676"/>
    <w:rsid w:val="0083687D"/>
    <w:rsid w:val="00850869"/>
    <w:rsid w:val="00855894"/>
    <w:rsid w:val="008927E8"/>
    <w:rsid w:val="008A0EC1"/>
    <w:rsid w:val="008A5BEA"/>
    <w:rsid w:val="008B4458"/>
    <w:rsid w:val="008C104F"/>
    <w:rsid w:val="008C56D4"/>
    <w:rsid w:val="008E46D2"/>
    <w:rsid w:val="008F10D3"/>
    <w:rsid w:val="009030E3"/>
    <w:rsid w:val="00940A99"/>
    <w:rsid w:val="009434DE"/>
    <w:rsid w:val="00944BDA"/>
    <w:rsid w:val="00952AF2"/>
    <w:rsid w:val="00966D35"/>
    <w:rsid w:val="009712DC"/>
    <w:rsid w:val="00A02EEE"/>
    <w:rsid w:val="00A63D65"/>
    <w:rsid w:val="00A647CE"/>
    <w:rsid w:val="00AB0C2A"/>
    <w:rsid w:val="00AC0BFD"/>
    <w:rsid w:val="00AD51AC"/>
    <w:rsid w:val="00AF086B"/>
    <w:rsid w:val="00B04D14"/>
    <w:rsid w:val="00B62BBA"/>
    <w:rsid w:val="00B63F51"/>
    <w:rsid w:val="00B6449D"/>
    <w:rsid w:val="00B8458C"/>
    <w:rsid w:val="00C15197"/>
    <w:rsid w:val="00CA61B7"/>
    <w:rsid w:val="00CB2D76"/>
    <w:rsid w:val="00CB3000"/>
    <w:rsid w:val="00D24CCC"/>
    <w:rsid w:val="00D46990"/>
    <w:rsid w:val="00D53C9F"/>
    <w:rsid w:val="00D55EC1"/>
    <w:rsid w:val="00D60649"/>
    <w:rsid w:val="00D74722"/>
    <w:rsid w:val="00D83D95"/>
    <w:rsid w:val="00D95C11"/>
    <w:rsid w:val="00DE5015"/>
    <w:rsid w:val="00E353D1"/>
    <w:rsid w:val="00E35FCB"/>
    <w:rsid w:val="00E45AD7"/>
    <w:rsid w:val="00E92A5A"/>
    <w:rsid w:val="00F038BD"/>
    <w:rsid w:val="00F13FCD"/>
    <w:rsid w:val="00F37091"/>
    <w:rsid w:val="00F8631B"/>
    <w:rsid w:val="00F944A7"/>
    <w:rsid w:val="00FA5CBC"/>
    <w:rsid w:val="00FB35D0"/>
    <w:rsid w:val="00FF3D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4672B"/>
  <w15:chartTrackingRefBased/>
  <w15:docId w15:val="{ED67B789-1448-44F5-96ED-97738FD6D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semiHidden="1" w:uiPriority="0" w:unhideWhenUsed="1"/>
    <w:lsdException w:name="List Bullet" w:semiHidden="1" w:unhideWhenUsed="1" w:qFormat="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3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31B"/>
    <w:pPr>
      <w:spacing w:after="200" w:line="276" w:lineRule="auto"/>
    </w:pPr>
    <w:rPr>
      <w:rFonts w:ascii="Calibri" w:eastAsia="Times New Roman" w:hAnsi="Calibri" w:cs="Times New Roman"/>
      <w:kern w:val="0"/>
      <w14:ligatures w14:val="none"/>
    </w:rPr>
  </w:style>
  <w:style w:type="paragraph" w:styleId="Heading1">
    <w:name w:val="heading 1"/>
    <w:aliases w:val="p,H1,Staff title,12,h1,II+,I,L1,Chapter Headline,Heading_1,h11,Staff title1,H11,121,II+1,I1,L11,Chapter Headline1,Heading_11,Heading III,10pt,MASTHEAD,heading 1,Section Heading,1 ghost,g,1,DPW Head Center Bold,Heading 1a,Heading,Main heading,L"/>
    <w:basedOn w:val="Normal"/>
    <w:next w:val="Normal"/>
    <w:link w:val="Heading1Char"/>
    <w:qFormat/>
    <w:rsid w:val="00F8631B"/>
    <w:pPr>
      <w:suppressAutoHyphens/>
      <w:autoSpaceDE w:val="0"/>
      <w:autoSpaceDN w:val="0"/>
      <w:adjustRightInd w:val="0"/>
      <w:spacing w:before="480" w:after="0" w:line="288" w:lineRule="auto"/>
      <w:textAlignment w:val="center"/>
      <w:outlineLvl w:val="0"/>
    </w:pPr>
    <w:rPr>
      <w:rFonts w:ascii="Cambria" w:hAnsi="Cambria"/>
      <w:b/>
      <w:bCs/>
      <w:color w:val="000000"/>
      <w:sz w:val="28"/>
      <w:szCs w:val="28"/>
      <w:lang w:val="x-none" w:eastAsia="x-none"/>
    </w:rPr>
  </w:style>
  <w:style w:type="paragraph" w:styleId="Heading2">
    <w:name w:val="heading 2"/>
    <w:aliases w:val="bold heading,Section,A Head,style1,Reset numbering,Reset numbering_Subsection,B Heading,2,Kop,Grey PGs,2 headline,h,headline,h2,B Heading 2,H2,Heading 2 Fake,Chapter Title,ClassHeading,Title Heading,h2 main heading,4,5,6,H21,H22,H23,H211,H221"/>
    <w:basedOn w:val="Normal"/>
    <w:next w:val="Normal"/>
    <w:link w:val="Heading2Char"/>
    <w:unhideWhenUsed/>
    <w:qFormat/>
    <w:rsid w:val="00F8631B"/>
    <w:pPr>
      <w:spacing w:before="200" w:after="0"/>
      <w:outlineLvl w:val="1"/>
    </w:pPr>
    <w:rPr>
      <w:rFonts w:ascii="Cambria" w:hAnsi="Cambria"/>
      <w:b/>
      <w:bCs/>
      <w:sz w:val="26"/>
      <w:szCs w:val="26"/>
      <w:lang w:val="x-none" w:eastAsia="x-none" w:bidi="en-US"/>
    </w:rPr>
  </w:style>
  <w:style w:type="paragraph" w:styleId="Heading3">
    <w:name w:val="heading 3"/>
    <w:aliases w:val="H3,level_3,PIM 3,l3,CT,h3,Sub-section Title,Head3,3,Level 3 Head,l3+toc 3,Reg#sNoBold,4 dash,d,4 d,e,??? 3,Heading 3 Char1 Char,Heading 3 Char Char Char,Heading 3 Char3 Char Char Char,Heading 3 Char2 Char Char Char Char,list 3,h3 sub heading"/>
    <w:basedOn w:val="Normal"/>
    <w:next w:val="Normal"/>
    <w:link w:val="Heading3Char"/>
    <w:unhideWhenUsed/>
    <w:qFormat/>
    <w:rsid w:val="00F8631B"/>
    <w:pPr>
      <w:spacing w:before="200" w:after="0" w:line="271" w:lineRule="auto"/>
      <w:outlineLvl w:val="2"/>
    </w:pPr>
    <w:rPr>
      <w:rFonts w:ascii="Cambria" w:hAnsi="Cambria"/>
      <w:b/>
      <w:bCs/>
      <w:sz w:val="20"/>
      <w:szCs w:val="20"/>
      <w:lang w:val="x-none" w:eastAsia="x-none" w:bidi="en-US"/>
    </w:rPr>
  </w:style>
  <w:style w:type="paragraph" w:styleId="Heading4">
    <w:name w:val="heading 4"/>
    <w:aliases w:val="h4,h4 sub sub heading,a) b) c),Level III for #'s,stp,heading 4,Heading 4 Char Char"/>
    <w:basedOn w:val="Normal"/>
    <w:next w:val="Normal"/>
    <w:link w:val="Heading4Char"/>
    <w:unhideWhenUsed/>
    <w:qFormat/>
    <w:rsid w:val="00F8631B"/>
    <w:pPr>
      <w:spacing w:before="200" w:after="0"/>
      <w:outlineLvl w:val="3"/>
    </w:pPr>
    <w:rPr>
      <w:rFonts w:ascii="Cambria" w:hAnsi="Cambria"/>
      <w:b/>
      <w:bCs/>
      <w:i/>
      <w:iCs/>
      <w:sz w:val="20"/>
      <w:szCs w:val="20"/>
      <w:lang w:val="x-none" w:eastAsia="x-none" w:bidi="en-US"/>
    </w:rPr>
  </w:style>
  <w:style w:type="paragraph" w:styleId="Heading5">
    <w:name w:val="heading 5"/>
    <w:aliases w:val="h5,H5,5 sub-bullet"/>
    <w:basedOn w:val="Normal"/>
    <w:next w:val="Normal"/>
    <w:link w:val="Heading5Char"/>
    <w:unhideWhenUsed/>
    <w:qFormat/>
    <w:rsid w:val="00F8631B"/>
    <w:pPr>
      <w:spacing w:before="200" w:after="0"/>
      <w:outlineLvl w:val="4"/>
    </w:pPr>
    <w:rPr>
      <w:rFonts w:ascii="Cambria" w:hAnsi="Cambria"/>
      <w:b/>
      <w:bCs/>
      <w:color w:val="7F7F7F"/>
      <w:sz w:val="20"/>
      <w:szCs w:val="20"/>
      <w:lang w:val="x-none" w:eastAsia="x-none" w:bidi="en-US"/>
    </w:rPr>
  </w:style>
  <w:style w:type="paragraph" w:styleId="Heading6">
    <w:name w:val="heading 6"/>
    <w:aliases w:val="h6,Heading 6 Char1,Heading 6 Char Char,H6,sub-dash,sd"/>
    <w:basedOn w:val="Normal"/>
    <w:next w:val="Normal"/>
    <w:link w:val="Heading6Char"/>
    <w:unhideWhenUsed/>
    <w:qFormat/>
    <w:rsid w:val="00F8631B"/>
    <w:pPr>
      <w:spacing w:after="0" w:line="271" w:lineRule="auto"/>
      <w:outlineLvl w:val="5"/>
    </w:pPr>
    <w:rPr>
      <w:rFonts w:ascii="Cambria" w:hAnsi="Cambria"/>
      <w:b/>
      <w:bCs/>
      <w:i/>
      <w:iCs/>
      <w:color w:val="7F7F7F"/>
      <w:sz w:val="20"/>
      <w:szCs w:val="20"/>
      <w:lang w:val="x-none" w:eastAsia="x-none" w:bidi="en-US"/>
    </w:rPr>
  </w:style>
  <w:style w:type="paragraph" w:styleId="Heading7">
    <w:name w:val="heading 7"/>
    <w:aliases w:val="h7,Legal Level 1.1.,H7"/>
    <w:basedOn w:val="Normal"/>
    <w:next w:val="Normal"/>
    <w:link w:val="Heading7Char"/>
    <w:unhideWhenUsed/>
    <w:qFormat/>
    <w:rsid w:val="00F8631B"/>
    <w:pPr>
      <w:spacing w:after="0"/>
      <w:outlineLvl w:val="6"/>
    </w:pPr>
    <w:rPr>
      <w:rFonts w:ascii="Cambria" w:hAnsi="Cambria"/>
      <w:i/>
      <w:iCs/>
      <w:sz w:val="20"/>
      <w:szCs w:val="20"/>
      <w:lang w:val="x-none" w:eastAsia="x-none" w:bidi="en-US"/>
    </w:rPr>
  </w:style>
  <w:style w:type="paragraph" w:styleId="Heading8">
    <w:name w:val="heading 8"/>
    <w:aliases w:val="h8,H8"/>
    <w:basedOn w:val="Normal"/>
    <w:next w:val="Normal"/>
    <w:link w:val="Heading8Char"/>
    <w:uiPriority w:val="9"/>
    <w:unhideWhenUsed/>
    <w:qFormat/>
    <w:rsid w:val="00F8631B"/>
    <w:pPr>
      <w:spacing w:after="0"/>
      <w:outlineLvl w:val="7"/>
    </w:pPr>
    <w:rPr>
      <w:rFonts w:ascii="Cambria" w:hAnsi="Cambria"/>
      <w:sz w:val="20"/>
      <w:szCs w:val="20"/>
      <w:lang w:val="x-none" w:eastAsia="x-none" w:bidi="en-US"/>
    </w:rPr>
  </w:style>
  <w:style w:type="paragraph" w:styleId="Heading9">
    <w:name w:val="heading 9"/>
    <w:aliases w:val="H9"/>
    <w:basedOn w:val="Normal"/>
    <w:next w:val="Normal"/>
    <w:link w:val="Heading9Char"/>
    <w:unhideWhenUsed/>
    <w:qFormat/>
    <w:rsid w:val="00F8631B"/>
    <w:pPr>
      <w:spacing w:after="0"/>
      <w:outlineLvl w:val="8"/>
    </w:pPr>
    <w:rPr>
      <w:rFonts w:ascii="Cambria" w:hAnsi="Cambria"/>
      <w:i/>
      <w:iCs/>
      <w:spacing w:val="5"/>
      <w:sz w:val="20"/>
      <w:szCs w:val="20"/>
      <w:lang w:val="x-none" w:eastAsia="x-none"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 Char,H1 Char,Staff title Char,12 Char,h1 Char,II+ Char,I Char,L1 Char,Chapter Headline Char,Heading_1 Char,h11 Char,Staff title1 Char,H11 Char,121 Char,II+1 Char,I1 Char,L11 Char,Chapter Headline1 Char,Heading_11 Char,Heading III Char"/>
    <w:basedOn w:val="DefaultParagraphFont"/>
    <w:link w:val="Heading1"/>
    <w:rsid w:val="00F8631B"/>
    <w:rPr>
      <w:rFonts w:ascii="Cambria" w:eastAsia="Times New Roman" w:hAnsi="Cambria" w:cs="Times New Roman"/>
      <w:b/>
      <w:bCs/>
      <w:color w:val="000000"/>
      <w:kern w:val="0"/>
      <w:sz w:val="28"/>
      <w:szCs w:val="28"/>
      <w:lang w:val="x-none" w:eastAsia="x-none"/>
      <w14:ligatures w14:val="none"/>
    </w:rPr>
  </w:style>
  <w:style w:type="character" w:customStyle="1" w:styleId="Heading2Char">
    <w:name w:val="Heading 2 Char"/>
    <w:aliases w:val="bold heading Char,Section Char,A Head Char,style1 Char,Reset numbering Char,Reset numbering_Subsection Char,B Heading Char,2 Char,Kop Char,Grey PGs Char,2 headline Char,h Char,headline Char,h2 Char,B Heading 2 Char,H2 Char,4 Char,5 Char"/>
    <w:basedOn w:val="DefaultParagraphFont"/>
    <w:link w:val="Heading2"/>
    <w:rsid w:val="00F8631B"/>
    <w:rPr>
      <w:rFonts w:ascii="Cambria" w:eastAsia="Times New Roman" w:hAnsi="Cambria" w:cs="Times New Roman"/>
      <w:b/>
      <w:bCs/>
      <w:kern w:val="0"/>
      <w:sz w:val="26"/>
      <w:szCs w:val="26"/>
      <w:lang w:val="x-none" w:eastAsia="x-none" w:bidi="en-US"/>
      <w14:ligatures w14:val="none"/>
    </w:rPr>
  </w:style>
  <w:style w:type="character" w:customStyle="1" w:styleId="Heading3Char">
    <w:name w:val="Heading 3 Char"/>
    <w:aliases w:val="H3 Char,level_3 Char,PIM 3 Char,l3 Char,CT Char,h3 Char,Sub-section Title Char,Head3 Char,3 Char,Level 3 Head Char,l3+toc 3 Char,Reg#sNoBold Char,4 dash Char,d Char,4 d Char,e Char,??? 3 Char,Heading 3 Char1 Char Char,list 3 Char"/>
    <w:basedOn w:val="DefaultParagraphFont"/>
    <w:link w:val="Heading3"/>
    <w:rsid w:val="00F8631B"/>
    <w:rPr>
      <w:rFonts w:ascii="Cambria" w:eastAsia="Times New Roman" w:hAnsi="Cambria" w:cs="Times New Roman"/>
      <w:b/>
      <w:bCs/>
      <w:kern w:val="0"/>
      <w:sz w:val="20"/>
      <w:szCs w:val="20"/>
      <w:lang w:val="x-none" w:eastAsia="x-none" w:bidi="en-US"/>
      <w14:ligatures w14:val="none"/>
    </w:rPr>
  </w:style>
  <w:style w:type="character" w:customStyle="1" w:styleId="Heading4Char">
    <w:name w:val="Heading 4 Char"/>
    <w:aliases w:val="h4 Char,h4 sub sub heading Char,a) b) c) Char,Level III for #'s Char,stp Char,heading 4 Char,Heading 4 Char Char Char"/>
    <w:basedOn w:val="DefaultParagraphFont"/>
    <w:link w:val="Heading4"/>
    <w:rsid w:val="00F8631B"/>
    <w:rPr>
      <w:rFonts w:ascii="Cambria" w:eastAsia="Times New Roman" w:hAnsi="Cambria" w:cs="Times New Roman"/>
      <w:b/>
      <w:bCs/>
      <w:i/>
      <w:iCs/>
      <w:kern w:val="0"/>
      <w:sz w:val="20"/>
      <w:szCs w:val="20"/>
      <w:lang w:val="x-none" w:eastAsia="x-none" w:bidi="en-US"/>
      <w14:ligatures w14:val="none"/>
    </w:rPr>
  </w:style>
  <w:style w:type="character" w:customStyle="1" w:styleId="Heading5Char">
    <w:name w:val="Heading 5 Char"/>
    <w:aliases w:val="h5 Char,H5 Char1,5 sub-bullet Char"/>
    <w:basedOn w:val="DefaultParagraphFont"/>
    <w:link w:val="Heading5"/>
    <w:rsid w:val="00F8631B"/>
    <w:rPr>
      <w:rFonts w:ascii="Cambria" w:eastAsia="Times New Roman" w:hAnsi="Cambria" w:cs="Times New Roman"/>
      <w:b/>
      <w:bCs/>
      <w:color w:val="7F7F7F"/>
      <w:kern w:val="0"/>
      <w:sz w:val="20"/>
      <w:szCs w:val="20"/>
      <w:lang w:val="x-none" w:eastAsia="x-none" w:bidi="en-US"/>
      <w14:ligatures w14:val="none"/>
    </w:rPr>
  </w:style>
  <w:style w:type="character" w:customStyle="1" w:styleId="Heading6Char">
    <w:name w:val="Heading 6 Char"/>
    <w:aliases w:val="h6 Char,Heading 6 Char1 Char,Heading 6 Char Char Char,H6 Char,sub-dash Char,sd Char"/>
    <w:basedOn w:val="DefaultParagraphFont"/>
    <w:link w:val="Heading6"/>
    <w:rsid w:val="00F8631B"/>
    <w:rPr>
      <w:rFonts w:ascii="Cambria" w:eastAsia="Times New Roman" w:hAnsi="Cambria" w:cs="Times New Roman"/>
      <w:b/>
      <w:bCs/>
      <w:i/>
      <w:iCs/>
      <w:color w:val="7F7F7F"/>
      <w:kern w:val="0"/>
      <w:sz w:val="20"/>
      <w:szCs w:val="20"/>
      <w:lang w:val="x-none" w:eastAsia="x-none" w:bidi="en-US"/>
      <w14:ligatures w14:val="none"/>
    </w:rPr>
  </w:style>
  <w:style w:type="character" w:customStyle="1" w:styleId="Heading7Char">
    <w:name w:val="Heading 7 Char"/>
    <w:aliases w:val="h7 Char1,Legal Level 1.1. Char1,H7 Char1"/>
    <w:basedOn w:val="DefaultParagraphFont"/>
    <w:link w:val="Heading7"/>
    <w:rsid w:val="00F8631B"/>
    <w:rPr>
      <w:rFonts w:ascii="Cambria" w:eastAsia="Times New Roman" w:hAnsi="Cambria" w:cs="Times New Roman"/>
      <w:i/>
      <w:iCs/>
      <w:kern w:val="0"/>
      <w:sz w:val="20"/>
      <w:szCs w:val="20"/>
      <w:lang w:val="x-none" w:eastAsia="x-none" w:bidi="en-US"/>
      <w14:ligatures w14:val="none"/>
    </w:rPr>
  </w:style>
  <w:style w:type="character" w:customStyle="1" w:styleId="Heading8Char">
    <w:name w:val="Heading 8 Char"/>
    <w:aliases w:val="h8 Char,H8 Char1"/>
    <w:basedOn w:val="DefaultParagraphFont"/>
    <w:link w:val="Heading8"/>
    <w:uiPriority w:val="9"/>
    <w:rsid w:val="00F8631B"/>
    <w:rPr>
      <w:rFonts w:ascii="Cambria" w:eastAsia="Times New Roman" w:hAnsi="Cambria" w:cs="Times New Roman"/>
      <w:kern w:val="0"/>
      <w:sz w:val="20"/>
      <w:szCs w:val="20"/>
      <w:lang w:val="x-none" w:eastAsia="x-none" w:bidi="en-US"/>
      <w14:ligatures w14:val="none"/>
    </w:rPr>
  </w:style>
  <w:style w:type="character" w:customStyle="1" w:styleId="Heading9Char">
    <w:name w:val="Heading 9 Char"/>
    <w:aliases w:val="H9 Char1"/>
    <w:basedOn w:val="DefaultParagraphFont"/>
    <w:link w:val="Heading9"/>
    <w:rsid w:val="00F8631B"/>
    <w:rPr>
      <w:rFonts w:ascii="Cambria" w:eastAsia="Times New Roman" w:hAnsi="Cambria" w:cs="Times New Roman"/>
      <w:i/>
      <w:iCs/>
      <w:spacing w:val="5"/>
      <w:kern w:val="0"/>
      <w:sz w:val="20"/>
      <w:szCs w:val="20"/>
      <w:lang w:val="x-none" w:eastAsia="x-none" w:bidi="en-US"/>
      <w14:ligatures w14:val="none"/>
    </w:rPr>
  </w:style>
  <w:style w:type="paragraph" w:styleId="Header">
    <w:name w:val="header"/>
    <w:aliases w:val="Bold Header,*Header,Chapter Name,hd,Header@,Header10 UL,Project Name,Char1 Char Char Char Char,Char1 Char Char Char1,Char1 Char Char Char"/>
    <w:basedOn w:val="Normal"/>
    <w:link w:val="HeaderChar"/>
    <w:uiPriority w:val="99"/>
    <w:unhideWhenUsed/>
    <w:qFormat/>
    <w:rsid w:val="00F8631B"/>
    <w:pPr>
      <w:tabs>
        <w:tab w:val="center" w:pos="4680"/>
        <w:tab w:val="right" w:pos="9360"/>
      </w:tabs>
      <w:spacing w:after="0" w:line="240" w:lineRule="auto"/>
    </w:pPr>
  </w:style>
  <w:style w:type="character" w:customStyle="1" w:styleId="HeaderChar">
    <w:name w:val="Header Char"/>
    <w:aliases w:val="Bold Header Char,*Header Char,Chapter Name Char,hd Char,Header@ Char,Header10 UL Char,Project Name Char1,Char1 Char Char Char Char Char,Char1 Char Char Char1 Char,Char1 Char Char Char Char2"/>
    <w:basedOn w:val="DefaultParagraphFont"/>
    <w:link w:val="Header"/>
    <w:uiPriority w:val="99"/>
    <w:rsid w:val="00F8631B"/>
    <w:rPr>
      <w:rFonts w:ascii="Calibri" w:eastAsia="Times New Roman" w:hAnsi="Calibri" w:cs="Times New Roman"/>
      <w:kern w:val="0"/>
      <w14:ligatures w14:val="none"/>
    </w:rPr>
  </w:style>
  <w:style w:type="paragraph" w:styleId="Footer">
    <w:name w:val="footer"/>
    <w:basedOn w:val="Normal"/>
    <w:link w:val="FooterChar"/>
    <w:uiPriority w:val="99"/>
    <w:unhideWhenUsed/>
    <w:rsid w:val="00F863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631B"/>
    <w:rPr>
      <w:rFonts w:ascii="Calibri" w:eastAsia="Times New Roman" w:hAnsi="Calibri" w:cs="Times New Roman"/>
      <w:kern w:val="0"/>
      <w14:ligatures w14:val="none"/>
    </w:rPr>
  </w:style>
  <w:style w:type="paragraph" w:styleId="BalloonText">
    <w:name w:val="Balloon Text"/>
    <w:aliases w:val="Char6"/>
    <w:basedOn w:val="Normal"/>
    <w:link w:val="BalloonTextChar"/>
    <w:uiPriority w:val="99"/>
    <w:unhideWhenUsed/>
    <w:rsid w:val="00F8631B"/>
    <w:pPr>
      <w:spacing w:after="0" w:line="240" w:lineRule="auto"/>
    </w:pPr>
    <w:rPr>
      <w:rFonts w:ascii="Tahoma" w:hAnsi="Tahoma"/>
      <w:sz w:val="16"/>
      <w:szCs w:val="16"/>
      <w:lang w:val="x-none" w:eastAsia="x-none"/>
    </w:rPr>
  </w:style>
  <w:style w:type="character" w:customStyle="1" w:styleId="BalloonTextChar">
    <w:name w:val="Balloon Text Char"/>
    <w:aliases w:val="Char6 Char1"/>
    <w:basedOn w:val="DefaultParagraphFont"/>
    <w:link w:val="BalloonText"/>
    <w:uiPriority w:val="99"/>
    <w:rsid w:val="00F8631B"/>
    <w:rPr>
      <w:rFonts w:ascii="Tahoma" w:eastAsia="Times New Roman" w:hAnsi="Tahoma" w:cs="Times New Roman"/>
      <w:kern w:val="0"/>
      <w:sz w:val="16"/>
      <w:szCs w:val="16"/>
      <w:lang w:val="x-none" w:eastAsia="x-none"/>
      <w14:ligatures w14:val="none"/>
    </w:rPr>
  </w:style>
  <w:style w:type="paragraph" w:styleId="NoSpacing">
    <w:name w:val="No Spacing"/>
    <w:aliases w:val="normal"/>
    <w:basedOn w:val="Normal"/>
    <w:link w:val="NoSpacingChar"/>
    <w:uiPriority w:val="1"/>
    <w:qFormat/>
    <w:rsid w:val="00F8631B"/>
    <w:pPr>
      <w:suppressAutoHyphens/>
      <w:autoSpaceDE w:val="0"/>
      <w:autoSpaceDN w:val="0"/>
      <w:adjustRightInd w:val="0"/>
      <w:spacing w:after="0" w:line="288" w:lineRule="auto"/>
      <w:textAlignment w:val="center"/>
    </w:pPr>
    <w:rPr>
      <w:rFonts w:ascii="Times New Roman" w:hAnsi="Times New Roman"/>
      <w:color w:val="000000"/>
      <w:sz w:val="20"/>
      <w:szCs w:val="20"/>
      <w:lang w:val="x-none" w:eastAsia="x-none"/>
    </w:rPr>
  </w:style>
  <w:style w:type="character" w:customStyle="1" w:styleId="NoSpacingChar">
    <w:name w:val="No Spacing Char"/>
    <w:aliases w:val="normal Char"/>
    <w:link w:val="NoSpacing"/>
    <w:uiPriority w:val="1"/>
    <w:rsid w:val="00F8631B"/>
    <w:rPr>
      <w:rFonts w:ascii="Times New Roman" w:eastAsia="Times New Roman" w:hAnsi="Times New Roman" w:cs="Times New Roman"/>
      <w:color w:val="000000"/>
      <w:kern w:val="0"/>
      <w:sz w:val="20"/>
      <w:szCs w:val="20"/>
      <w:lang w:val="x-none" w:eastAsia="x-none"/>
      <w14:ligatures w14:val="none"/>
    </w:rPr>
  </w:style>
  <w:style w:type="paragraph" w:styleId="ListParagraph">
    <w:name w:val="List Paragraph"/>
    <w:aliases w:val="Equipment,Figure_name,List Paragraph Char Char,List Paragraph11,List Paragraph2,List_TIS,Normal Sentence,Number_1,Numbered Indented Text,Ref,SGLText List Paragraph,TOC style,lp1,new,Amex_bullet,ListPar1,d_bodyb,Annexure,Ha,heading 9,LP"/>
    <w:basedOn w:val="Normal"/>
    <w:link w:val="ListParagraphChar"/>
    <w:uiPriority w:val="1"/>
    <w:qFormat/>
    <w:rsid w:val="00F8631B"/>
    <w:pPr>
      <w:suppressAutoHyphens/>
      <w:autoSpaceDE w:val="0"/>
      <w:autoSpaceDN w:val="0"/>
      <w:adjustRightInd w:val="0"/>
      <w:spacing w:after="0" w:line="288" w:lineRule="auto"/>
      <w:ind w:left="720"/>
      <w:textAlignment w:val="center"/>
    </w:pPr>
    <w:rPr>
      <w:rFonts w:ascii="Times New Roman" w:hAnsi="Times New Roman"/>
      <w:color w:val="000000"/>
      <w:sz w:val="24"/>
      <w:szCs w:val="24"/>
      <w:lang w:val="x-none" w:eastAsia="x-none"/>
    </w:rPr>
  </w:style>
  <w:style w:type="character" w:customStyle="1" w:styleId="NormalWebChar1">
    <w:name w:val="Normal (Web) Char1"/>
    <w:aliases w:val="Normal (Web) Char Char"/>
    <w:link w:val="NormalWeb"/>
    <w:uiPriority w:val="99"/>
    <w:locked/>
    <w:rsid w:val="00F8631B"/>
    <w:rPr>
      <w:rFonts w:ascii="Times New Roman" w:hAnsi="Times New Roman"/>
      <w:bCs/>
      <w:color w:val="000000"/>
      <w:shd w:val="clear" w:color="auto" w:fill="FFFFFF"/>
      <w:lang w:val="x-none" w:eastAsia="x-none" w:bidi="en-US"/>
    </w:rPr>
  </w:style>
  <w:style w:type="paragraph" w:styleId="NormalWeb">
    <w:name w:val="Normal (Web)"/>
    <w:aliases w:val="Normal (Web) Char"/>
    <w:basedOn w:val="Normal"/>
    <w:link w:val="NormalWebChar1"/>
    <w:autoRedefine/>
    <w:uiPriority w:val="30"/>
    <w:unhideWhenUsed/>
    <w:qFormat/>
    <w:rsid w:val="00F8631B"/>
    <w:pPr>
      <w:shd w:val="clear" w:color="auto" w:fill="FFFFFF"/>
      <w:spacing w:after="0" w:line="240" w:lineRule="auto"/>
      <w:contextualSpacing/>
      <w:jc w:val="both"/>
      <w:textAlignment w:val="baseline"/>
    </w:pPr>
    <w:rPr>
      <w:rFonts w:ascii="Times New Roman" w:eastAsiaTheme="minorHAnsi" w:hAnsi="Times New Roman" w:cstheme="minorBidi"/>
      <w:bCs/>
      <w:color w:val="000000"/>
      <w:kern w:val="2"/>
      <w:lang w:val="x-none" w:eastAsia="x-none" w:bidi="en-US"/>
      <w14:ligatures w14:val="standardContextual"/>
    </w:rPr>
  </w:style>
  <w:style w:type="character" w:styleId="Hyperlink">
    <w:name w:val="Hyperlink"/>
    <w:aliases w:val="hyperlink"/>
    <w:uiPriority w:val="99"/>
    <w:unhideWhenUsed/>
    <w:rsid w:val="00F8631B"/>
    <w:rPr>
      <w:color w:val="0000FF"/>
      <w:u w:val="single"/>
    </w:rPr>
  </w:style>
  <w:style w:type="paragraph" w:customStyle="1" w:styleId="Default">
    <w:name w:val="Default"/>
    <w:link w:val="DefaultChar"/>
    <w:qFormat/>
    <w:rsid w:val="00F8631B"/>
    <w:pPr>
      <w:autoSpaceDE w:val="0"/>
      <w:autoSpaceDN w:val="0"/>
      <w:adjustRightInd w:val="0"/>
      <w:spacing w:after="0" w:line="240" w:lineRule="auto"/>
    </w:pPr>
    <w:rPr>
      <w:rFonts w:ascii="Times New Roman" w:eastAsia="Calibri" w:hAnsi="Times New Roman" w:cs="Times New Roman"/>
      <w:color w:val="000000"/>
      <w:kern w:val="0"/>
      <w:sz w:val="24"/>
      <w:szCs w:val="24"/>
      <w:lang w:val="en-IN" w:eastAsia="en-IN"/>
      <w14:ligatures w14:val="none"/>
    </w:rPr>
  </w:style>
  <w:style w:type="table" w:styleId="TableGrid">
    <w:name w:val="Table Grid"/>
    <w:aliases w:val="MYL SUMMARY TABLE,CV table,Jain1,Integreon Table,JP1,Mordor Template table"/>
    <w:basedOn w:val="TableNormal"/>
    <w:uiPriority w:val="39"/>
    <w:qFormat/>
    <w:rsid w:val="00F8631B"/>
    <w:pPr>
      <w:spacing w:after="0" w:line="240" w:lineRule="auto"/>
    </w:pPr>
    <w:rPr>
      <w:rFonts w:ascii="Calibri" w:eastAsia="Calibri" w:hAnsi="Calibri" w:cs="Times New Roman"/>
      <w:kern w:val="0"/>
      <w:sz w:val="20"/>
      <w:szCs w:val="20"/>
      <w:lang w:val="en-IN" w:eastAsia="en-IN"/>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aliases w:val="Equipment Char,Figure_name Char,List Paragraph Char Char Char,List Paragraph11 Char,List Paragraph2 Char,List_TIS Char,Normal Sentence Char,Number_1 Char,Numbered Indented Text Char,Ref Char,SGLText List Paragraph Char,TOC style Char"/>
    <w:link w:val="ListParagraph"/>
    <w:uiPriority w:val="1"/>
    <w:qFormat/>
    <w:rsid w:val="00F8631B"/>
    <w:rPr>
      <w:rFonts w:ascii="Times New Roman" w:eastAsia="Times New Roman" w:hAnsi="Times New Roman" w:cs="Times New Roman"/>
      <w:color w:val="000000"/>
      <w:kern w:val="0"/>
      <w:sz w:val="24"/>
      <w:szCs w:val="24"/>
      <w:lang w:val="x-none" w:eastAsia="x-none"/>
      <w14:ligatures w14:val="none"/>
    </w:rPr>
  </w:style>
  <w:style w:type="paragraph" w:styleId="CommentText">
    <w:name w:val="annotation text"/>
    <w:aliases w:val="Comment Text Char2 Char1,Comment Text Char Char Char1,Comment Text Char2 Char Char Char1,Comment Text Char Char Char Char Char1,Comment Text Char2 Char Char Char Char Char1,Comment Text Char Char Char Char Char Char Char1"/>
    <w:basedOn w:val="Normal"/>
    <w:link w:val="CommentTextChar"/>
    <w:uiPriority w:val="99"/>
    <w:unhideWhenUsed/>
    <w:qFormat/>
    <w:rsid w:val="00F8631B"/>
    <w:rPr>
      <w:rFonts w:eastAsia="Calibri"/>
      <w:sz w:val="20"/>
      <w:szCs w:val="20"/>
      <w:lang w:val="x-none" w:eastAsia="x-none" w:bidi="en-US"/>
    </w:rPr>
  </w:style>
  <w:style w:type="character" w:customStyle="1" w:styleId="CommentTextChar">
    <w:name w:val="Comment Text Char"/>
    <w:aliases w:val="Comment Text Char2 Char1 Char,Comment Text Char Char Char1 Char,Comment Text Char2 Char Char Char1 Char,Comment Text Char Char Char Char Char1 Char,Comment Text Char2 Char Char Char Char Char1 Char"/>
    <w:basedOn w:val="DefaultParagraphFont"/>
    <w:link w:val="CommentText"/>
    <w:uiPriority w:val="99"/>
    <w:rsid w:val="00F8631B"/>
    <w:rPr>
      <w:rFonts w:ascii="Calibri" w:eastAsia="Calibri" w:hAnsi="Calibri" w:cs="Times New Roman"/>
      <w:kern w:val="0"/>
      <w:sz w:val="20"/>
      <w:szCs w:val="20"/>
      <w:lang w:val="x-none" w:eastAsia="x-none" w:bidi="en-US"/>
      <w14:ligatures w14:val="none"/>
    </w:rPr>
  </w:style>
  <w:style w:type="paragraph" w:styleId="Title">
    <w:name w:val="Title"/>
    <w:aliases w:val="t1,tl"/>
    <w:basedOn w:val="Normal"/>
    <w:next w:val="Normal"/>
    <w:link w:val="TitleChar"/>
    <w:qFormat/>
    <w:rsid w:val="00F8631B"/>
    <w:pPr>
      <w:pBdr>
        <w:bottom w:val="single" w:sz="4" w:space="1" w:color="auto"/>
      </w:pBdr>
      <w:spacing w:line="240" w:lineRule="auto"/>
      <w:contextualSpacing/>
    </w:pPr>
    <w:rPr>
      <w:rFonts w:ascii="Cambria" w:hAnsi="Cambria"/>
      <w:spacing w:val="5"/>
      <w:sz w:val="52"/>
      <w:szCs w:val="52"/>
      <w:lang w:val="x-none" w:eastAsia="x-none" w:bidi="en-US"/>
    </w:rPr>
  </w:style>
  <w:style w:type="character" w:customStyle="1" w:styleId="TitleChar">
    <w:name w:val="Title Char"/>
    <w:aliases w:val="t1 Char,tl Char"/>
    <w:basedOn w:val="DefaultParagraphFont"/>
    <w:link w:val="Title"/>
    <w:rsid w:val="00F8631B"/>
    <w:rPr>
      <w:rFonts w:ascii="Cambria" w:eastAsia="Times New Roman" w:hAnsi="Cambria" w:cs="Times New Roman"/>
      <w:spacing w:val="5"/>
      <w:kern w:val="0"/>
      <w:sz w:val="52"/>
      <w:szCs w:val="52"/>
      <w:lang w:val="x-none" w:eastAsia="x-none" w:bidi="en-US"/>
      <w14:ligatures w14:val="none"/>
    </w:rPr>
  </w:style>
  <w:style w:type="paragraph" w:styleId="Subtitle">
    <w:name w:val="Subtitle"/>
    <w:aliases w:val="sb,Signature Block,sub"/>
    <w:basedOn w:val="Normal"/>
    <w:next w:val="Normal"/>
    <w:link w:val="SubtitleChar"/>
    <w:qFormat/>
    <w:rsid w:val="00F8631B"/>
    <w:pPr>
      <w:spacing w:after="600"/>
    </w:pPr>
    <w:rPr>
      <w:rFonts w:ascii="Cambria" w:hAnsi="Cambria"/>
      <w:i/>
      <w:iCs/>
      <w:spacing w:val="13"/>
      <w:sz w:val="24"/>
      <w:szCs w:val="24"/>
      <w:lang w:val="x-none" w:eastAsia="x-none" w:bidi="en-US"/>
    </w:rPr>
  </w:style>
  <w:style w:type="character" w:customStyle="1" w:styleId="SubtitleChar">
    <w:name w:val="Subtitle Char"/>
    <w:aliases w:val="sb Char,Signature Block Char,sub Char"/>
    <w:basedOn w:val="DefaultParagraphFont"/>
    <w:link w:val="Subtitle"/>
    <w:rsid w:val="00F8631B"/>
    <w:rPr>
      <w:rFonts w:ascii="Cambria" w:eastAsia="Times New Roman" w:hAnsi="Cambria" w:cs="Times New Roman"/>
      <w:i/>
      <w:iCs/>
      <w:spacing w:val="13"/>
      <w:kern w:val="0"/>
      <w:sz w:val="24"/>
      <w:szCs w:val="24"/>
      <w:lang w:val="x-none" w:eastAsia="x-none" w:bidi="en-US"/>
      <w14:ligatures w14:val="none"/>
    </w:rPr>
  </w:style>
  <w:style w:type="character" w:styleId="Strong">
    <w:name w:val="Strong"/>
    <w:uiPriority w:val="22"/>
    <w:qFormat/>
    <w:rsid w:val="00F8631B"/>
    <w:rPr>
      <w:b/>
      <w:bCs/>
    </w:rPr>
  </w:style>
  <w:style w:type="character" w:styleId="Emphasis">
    <w:name w:val="Emphasis"/>
    <w:uiPriority w:val="20"/>
    <w:qFormat/>
    <w:rsid w:val="00F8631B"/>
    <w:rPr>
      <w:b/>
      <w:bCs/>
      <w:i/>
      <w:iCs/>
      <w:spacing w:val="10"/>
      <w:bdr w:val="none" w:sz="0" w:space="0" w:color="auto"/>
      <w:shd w:val="clear" w:color="auto" w:fill="auto"/>
    </w:rPr>
  </w:style>
  <w:style w:type="paragraph" w:styleId="Quote">
    <w:name w:val="Quote"/>
    <w:basedOn w:val="Normal"/>
    <w:next w:val="Normal"/>
    <w:link w:val="QuoteChar"/>
    <w:uiPriority w:val="29"/>
    <w:qFormat/>
    <w:rsid w:val="00F8631B"/>
    <w:pPr>
      <w:spacing w:before="200" w:after="0"/>
      <w:ind w:left="360" w:right="360"/>
    </w:pPr>
    <w:rPr>
      <w:rFonts w:eastAsia="Calibri"/>
      <w:i/>
      <w:iCs/>
      <w:sz w:val="20"/>
      <w:szCs w:val="20"/>
      <w:lang w:val="x-none" w:eastAsia="x-none" w:bidi="en-US"/>
    </w:rPr>
  </w:style>
  <w:style w:type="character" w:customStyle="1" w:styleId="QuoteChar">
    <w:name w:val="Quote Char"/>
    <w:basedOn w:val="DefaultParagraphFont"/>
    <w:link w:val="Quote"/>
    <w:uiPriority w:val="29"/>
    <w:rsid w:val="00F8631B"/>
    <w:rPr>
      <w:rFonts w:ascii="Calibri" w:eastAsia="Calibri" w:hAnsi="Calibri" w:cs="Times New Roman"/>
      <w:i/>
      <w:iCs/>
      <w:kern w:val="0"/>
      <w:sz w:val="20"/>
      <w:szCs w:val="20"/>
      <w:lang w:val="x-none" w:eastAsia="x-none" w:bidi="en-US"/>
      <w14:ligatures w14:val="none"/>
    </w:rPr>
  </w:style>
  <w:style w:type="paragraph" w:styleId="IntenseQuote">
    <w:name w:val="Intense Quote"/>
    <w:basedOn w:val="Normal"/>
    <w:next w:val="Normal"/>
    <w:link w:val="IntenseQuoteChar"/>
    <w:uiPriority w:val="30"/>
    <w:qFormat/>
    <w:rsid w:val="00F8631B"/>
    <w:pPr>
      <w:pBdr>
        <w:bottom w:val="single" w:sz="4" w:space="1" w:color="auto"/>
      </w:pBdr>
      <w:spacing w:before="200" w:after="280"/>
      <w:ind w:left="1008" w:right="1152"/>
      <w:jc w:val="both"/>
    </w:pPr>
    <w:rPr>
      <w:rFonts w:eastAsia="Calibri"/>
      <w:b/>
      <w:bCs/>
      <w:i/>
      <w:iCs/>
      <w:sz w:val="20"/>
      <w:szCs w:val="20"/>
      <w:lang w:val="x-none" w:eastAsia="x-none" w:bidi="en-US"/>
    </w:rPr>
  </w:style>
  <w:style w:type="character" w:customStyle="1" w:styleId="IntenseQuoteChar">
    <w:name w:val="Intense Quote Char"/>
    <w:basedOn w:val="DefaultParagraphFont"/>
    <w:link w:val="IntenseQuote"/>
    <w:uiPriority w:val="30"/>
    <w:rsid w:val="00F8631B"/>
    <w:rPr>
      <w:rFonts w:ascii="Calibri" w:eastAsia="Calibri" w:hAnsi="Calibri" w:cs="Times New Roman"/>
      <w:b/>
      <w:bCs/>
      <w:i/>
      <w:iCs/>
      <w:kern w:val="0"/>
      <w:sz w:val="20"/>
      <w:szCs w:val="20"/>
      <w:lang w:val="x-none" w:eastAsia="x-none" w:bidi="en-US"/>
      <w14:ligatures w14:val="none"/>
    </w:rPr>
  </w:style>
  <w:style w:type="character" w:styleId="SubtleEmphasis">
    <w:name w:val="Subtle Emphasis"/>
    <w:uiPriority w:val="19"/>
    <w:qFormat/>
    <w:rsid w:val="00F8631B"/>
    <w:rPr>
      <w:i/>
      <w:iCs/>
    </w:rPr>
  </w:style>
  <w:style w:type="character" w:styleId="IntenseEmphasis">
    <w:name w:val="Intense Emphasis"/>
    <w:uiPriority w:val="21"/>
    <w:qFormat/>
    <w:rsid w:val="00F8631B"/>
    <w:rPr>
      <w:b/>
      <w:bCs/>
    </w:rPr>
  </w:style>
  <w:style w:type="character" w:styleId="SubtleReference">
    <w:name w:val="Subtle Reference"/>
    <w:uiPriority w:val="31"/>
    <w:qFormat/>
    <w:rsid w:val="00F8631B"/>
    <w:rPr>
      <w:smallCaps/>
    </w:rPr>
  </w:style>
  <w:style w:type="character" w:styleId="IntenseReference">
    <w:name w:val="Intense Reference"/>
    <w:uiPriority w:val="32"/>
    <w:qFormat/>
    <w:rsid w:val="00F8631B"/>
    <w:rPr>
      <w:smallCaps/>
      <w:spacing w:val="5"/>
      <w:u w:val="single"/>
    </w:rPr>
  </w:style>
  <w:style w:type="character" w:styleId="BookTitle">
    <w:name w:val="Book Title"/>
    <w:uiPriority w:val="33"/>
    <w:qFormat/>
    <w:rsid w:val="00F8631B"/>
    <w:rPr>
      <w:i/>
      <w:iCs/>
      <w:smallCaps/>
      <w:spacing w:val="5"/>
    </w:rPr>
  </w:style>
  <w:style w:type="paragraph" w:styleId="TOCHeading">
    <w:name w:val="TOC Heading"/>
    <w:basedOn w:val="Heading1"/>
    <w:next w:val="Normal"/>
    <w:uiPriority w:val="39"/>
    <w:unhideWhenUsed/>
    <w:qFormat/>
    <w:rsid w:val="00F8631B"/>
    <w:pPr>
      <w:suppressAutoHyphens w:val="0"/>
      <w:autoSpaceDE/>
      <w:autoSpaceDN/>
      <w:adjustRightInd/>
      <w:spacing w:line="276" w:lineRule="auto"/>
      <w:contextualSpacing/>
      <w:textAlignment w:val="auto"/>
      <w:outlineLvl w:val="9"/>
    </w:pPr>
    <w:rPr>
      <w:color w:val="auto"/>
      <w:lang w:bidi="en-US"/>
    </w:rPr>
  </w:style>
  <w:style w:type="paragraph" w:styleId="Revision">
    <w:name w:val="Revision"/>
    <w:hidden/>
    <w:uiPriority w:val="99"/>
    <w:rsid w:val="00F8631B"/>
    <w:pPr>
      <w:spacing w:after="0" w:line="240" w:lineRule="auto"/>
    </w:pPr>
    <w:rPr>
      <w:rFonts w:ascii="Calibri" w:eastAsia="Calibri" w:hAnsi="Calibri" w:cs="Times New Roman"/>
      <w:kern w:val="0"/>
      <w:lang w:bidi="en-US"/>
      <w14:ligatures w14:val="none"/>
    </w:rPr>
  </w:style>
  <w:style w:type="character" w:styleId="CommentReference">
    <w:name w:val="annotation reference"/>
    <w:aliases w:val="a + + (Complex) Arial,1 pt + 9 pt,Custom Color(RGB(170,170...,17...,PB Body + 5 pt,170,170))"/>
    <w:uiPriority w:val="99"/>
    <w:unhideWhenUsed/>
    <w:rsid w:val="00F8631B"/>
    <w:rPr>
      <w:sz w:val="16"/>
      <w:szCs w:val="16"/>
    </w:rPr>
  </w:style>
  <w:style w:type="paragraph" w:styleId="CommentSubject">
    <w:name w:val="annotation subject"/>
    <w:basedOn w:val="CommentText"/>
    <w:next w:val="CommentText"/>
    <w:link w:val="CommentSubjectChar"/>
    <w:uiPriority w:val="99"/>
    <w:unhideWhenUsed/>
    <w:rsid w:val="00F8631B"/>
    <w:rPr>
      <w:b/>
      <w:bCs/>
    </w:rPr>
  </w:style>
  <w:style w:type="character" w:customStyle="1" w:styleId="CommentSubjectChar">
    <w:name w:val="Comment Subject Char"/>
    <w:basedOn w:val="CommentTextChar"/>
    <w:link w:val="CommentSubject"/>
    <w:uiPriority w:val="99"/>
    <w:rsid w:val="00F8631B"/>
    <w:rPr>
      <w:rFonts w:ascii="Calibri" w:eastAsia="Calibri" w:hAnsi="Calibri" w:cs="Times New Roman"/>
      <w:b/>
      <w:bCs/>
      <w:kern w:val="0"/>
      <w:sz w:val="20"/>
      <w:szCs w:val="20"/>
      <w:lang w:val="x-none" w:eastAsia="x-none" w:bidi="en-US"/>
      <w14:ligatures w14:val="none"/>
    </w:rPr>
  </w:style>
  <w:style w:type="character" w:customStyle="1" w:styleId="apple-converted-space">
    <w:name w:val="apple-converted-space"/>
    <w:basedOn w:val="DefaultParagraphFont"/>
    <w:rsid w:val="00F8631B"/>
  </w:style>
  <w:style w:type="character" w:customStyle="1" w:styleId="PlainTextChar1">
    <w:name w:val="Plain Text Char1"/>
    <w:aliases w:val="Char Char Char Char Char Char Char Char Char Char Char Char Char Char Char Char Char Char Char Char Char Char Char Char Char Char Char Char Char Char Char Char Char Char Char Char Char Char Char Char,Char Char,Char Char Char Char"/>
    <w:link w:val="PlainText"/>
    <w:locked/>
    <w:rsid w:val="00F8631B"/>
    <w:rPr>
      <w:rFonts w:ascii="Courier New" w:eastAsia="Times New Roman" w:hAnsi="Courier New"/>
    </w:rPr>
  </w:style>
  <w:style w:type="paragraph" w:styleId="PlainText">
    <w:name w:val="Plain Text"/>
    <w:aliases w:val="Char Char Char Char Char Char Char Char Char Char Char Char Char Char Char Char Char Char Char Char Char Char Char Char Char Char Char Char Char Char Char Char Char Char Char Char Char Char Char,Char,Char Char Char,Plain Text Char Char, Char"/>
    <w:basedOn w:val="Normal"/>
    <w:link w:val="PlainTextChar1"/>
    <w:unhideWhenUsed/>
    <w:qFormat/>
    <w:rsid w:val="00F8631B"/>
    <w:pPr>
      <w:spacing w:after="0" w:line="240" w:lineRule="auto"/>
    </w:pPr>
    <w:rPr>
      <w:rFonts w:ascii="Courier New" w:hAnsi="Courier New" w:cstheme="minorBidi"/>
      <w:kern w:val="2"/>
      <w14:ligatures w14:val="standardContextual"/>
    </w:rPr>
  </w:style>
  <w:style w:type="character" w:customStyle="1" w:styleId="PlainTextChar">
    <w:name w:val="Plain Text Char"/>
    <w:aliases w:val=" Char Char Char Char Char Char Char Char Char Char Char Char Char Char Char Char Char Char Char Char Char Char Char Char Char Char Char Char Char Char Char Char Char Char Char Char Char Char Char Char, Char Char, Char Char Char Char"/>
    <w:basedOn w:val="DefaultParagraphFont"/>
    <w:rsid w:val="00F8631B"/>
    <w:rPr>
      <w:rFonts w:ascii="Consolas" w:eastAsia="Times New Roman" w:hAnsi="Consolas" w:cs="Times New Roman"/>
      <w:kern w:val="0"/>
      <w:sz w:val="21"/>
      <w:szCs w:val="21"/>
      <w14:ligatures w14:val="none"/>
    </w:rPr>
  </w:style>
  <w:style w:type="character" w:customStyle="1" w:styleId="BodyTextChar">
    <w:name w:val="Body Text Char"/>
    <w:aliases w:val="bt Char,OC Body Text Char,heading3 Char,Body Char,Body Text Char Char Char,Body Text Char1 Char Char Char,Body Text Char Char Char Char Char,Body Text Char1 Char Char Char Char Char,Body Text Char Char Char Char Char Char Char,b Char1"/>
    <w:link w:val="BodyText"/>
    <w:uiPriority w:val="1"/>
    <w:locked/>
    <w:rsid w:val="00F8631B"/>
    <w:rPr>
      <w:rFonts w:ascii="Bookman Old Style" w:eastAsia="Times New Roman" w:hAnsi="Bookman Old Style"/>
      <w:sz w:val="24"/>
      <w:szCs w:val="24"/>
      <w:lang w:val="en-GB"/>
    </w:rPr>
  </w:style>
  <w:style w:type="paragraph" w:styleId="BodyText">
    <w:name w:val="Body Text"/>
    <w:aliases w:val="bt,OC Body Text,heading3,Body,Body Text Char Char,Body Text Char1 Char Char,Body Text Char Char Char Char,Body Text Char1 Char Char Char Char,Body Text Char Char Char Char Char Char,Body Text Char1 Char Char Char Char Char Cha,b,body tex,t,doc"/>
    <w:basedOn w:val="Normal"/>
    <w:link w:val="BodyTextChar"/>
    <w:uiPriority w:val="99"/>
    <w:unhideWhenUsed/>
    <w:qFormat/>
    <w:rsid w:val="00F8631B"/>
    <w:pPr>
      <w:spacing w:after="0" w:line="240" w:lineRule="auto"/>
      <w:jc w:val="both"/>
    </w:pPr>
    <w:rPr>
      <w:rFonts w:ascii="Bookman Old Style" w:hAnsi="Bookman Old Style" w:cstheme="minorBidi"/>
      <w:kern w:val="2"/>
      <w:sz w:val="24"/>
      <w:szCs w:val="24"/>
      <w:lang w:val="en-GB"/>
      <w14:ligatures w14:val="standardContextual"/>
    </w:rPr>
  </w:style>
  <w:style w:type="character" w:customStyle="1" w:styleId="BodyTextChar1">
    <w:name w:val="Body Text Char1"/>
    <w:basedOn w:val="DefaultParagraphFont"/>
    <w:uiPriority w:val="99"/>
    <w:semiHidden/>
    <w:rsid w:val="00F8631B"/>
    <w:rPr>
      <w:rFonts w:ascii="Calibri" w:eastAsia="Times New Roman" w:hAnsi="Calibri" w:cs="Times New Roman"/>
      <w:kern w:val="0"/>
      <w14:ligatures w14:val="none"/>
    </w:rPr>
  </w:style>
  <w:style w:type="paragraph" w:customStyle="1" w:styleId="Number1">
    <w:name w:val="Number1"/>
    <w:basedOn w:val="Normal"/>
    <w:qFormat/>
    <w:rsid w:val="00F8631B"/>
    <w:pPr>
      <w:spacing w:after="0" w:line="240" w:lineRule="auto"/>
      <w:jc w:val="both"/>
    </w:pPr>
    <w:rPr>
      <w:rFonts w:ascii="Verdana" w:hAnsi="Verdana"/>
      <w:sz w:val="20"/>
      <w:szCs w:val="24"/>
      <w:lang w:val="en-GB"/>
    </w:rPr>
  </w:style>
  <w:style w:type="character" w:customStyle="1" w:styleId="Heading5Char1">
    <w:name w:val="Heading 5 Char1"/>
    <w:aliases w:val="h5 Char2,H5 Char,5 sub-bullet Char1,4 Char1"/>
    <w:locked/>
    <w:rsid w:val="00F8631B"/>
    <w:rPr>
      <w:rFonts w:ascii="Cambria" w:eastAsia="Times New Roman" w:hAnsi="Cambria" w:cs="Times New Roman"/>
      <w:color w:val="243F60"/>
    </w:rPr>
  </w:style>
  <w:style w:type="character" w:customStyle="1" w:styleId="Heading4Char1">
    <w:name w:val="Heading 4 Char1"/>
    <w:aliases w:val="h4 Char1,h4 sub sub heading Char1,a) b) c) Char1,Level III for #'s Char1,stp Char1,heading 4 Char1"/>
    <w:uiPriority w:val="9"/>
    <w:locked/>
    <w:rsid w:val="00F8631B"/>
    <w:rPr>
      <w:i/>
      <w:iCs/>
      <w:sz w:val="22"/>
      <w:szCs w:val="22"/>
    </w:rPr>
  </w:style>
  <w:style w:type="character" w:customStyle="1" w:styleId="CommentTextChar1">
    <w:name w:val="Comment Text Char1"/>
    <w:uiPriority w:val="99"/>
    <w:locked/>
    <w:rsid w:val="00F8631B"/>
    <w:rPr>
      <w:rFonts w:ascii="Times New Roman" w:eastAsia="MS Mincho" w:hAnsi="Times New Roman" w:cs="Times New Roman"/>
      <w:sz w:val="20"/>
      <w:szCs w:val="20"/>
      <w:lang w:val="en-GB"/>
    </w:rPr>
  </w:style>
  <w:style w:type="character" w:customStyle="1" w:styleId="apple-style-span">
    <w:name w:val="apple-style-span"/>
    <w:basedOn w:val="DefaultParagraphFont"/>
    <w:rsid w:val="00F8631B"/>
  </w:style>
  <w:style w:type="character" w:customStyle="1" w:styleId="HeaderChar2">
    <w:name w:val="Header Char2"/>
    <w:aliases w:val="Bold Header Char1,*Header Char1"/>
    <w:uiPriority w:val="99"/>
    <w:locked/>
    <w:rsid w:val="00F8631B"/>
    <w:rPr>
      <w:rFonts w:eastAsia="Times New Roman"/>
      <w:sz w:val="22"/>
      <w:szCs w:val="22"/>
    </w:rPr>
  </w:style>
  <w:style w:type="character" w:styleId="FollowedHyperlink">
    <w:name w:val="FollowedHyperlink"/>
    <w:uiPriority w:val="99"/>
    <w:unhideWhenUsed/>
    <w:rsid w:val="00F8631B"/>
    <w:rPr>
      <w:color w:val="800080"/>
      <w:u w:val="single"/>
    </w:rPr>
  </w:style>
  <w:style w:type="paragraph" w:customStyle="1" w:styleId="font5">
    <w:name w:val="font5"/>
    <w:basedOn w:val="Normal"/>
    <w:qFormat/>
    <w:rsid w:val="00F8631B"/>
    <w:pPr>
      <w:spacing w:before="100" w:beforeAutospacing="1" w:after="100" w:afterAutospacing="1" w:line="240" w:lineRule="auto"/>
    </w:pPr>
    <w:rPr>
      <w:rFonts w:ascii="Arial Narrow" w:hAnsi="Arial Narrow"/>
      <w:sz w:val="24"/>
      <w:szCs w:val="24"/>
    </w:rPr>
  </w:style>
  <w:style w:type="paragraph" w:customStyle="1" w:styleId="font6">
    <w:name w:val="font6"/>
    <w:basedOn w:val="Normal"/>
    <w:qFormat/>
    <w:rsid w:val="00F8631B"/>
    <w:pPr>
      <w:spacing w:before="100" w:beforeAutospacing="1" w:after="100" w:afterAutospacing="1" w:line="240" w:lineRule="auto"/>
    </w:pPr>
    <w:rPr>
      <w:rFonts w:ascii="Arial Narrow" w:hAnsi="Arial Narrow"/>
      <w:b/>
      <w:bCs/>
      <w:sz w:val="24"/>
      <w:szCs w:val="24"/>
    </w:rPr>
  </w:style>
  <w:style w:type="paragraph" w:customStyle="1" w:styleId="font7">
    <w:name w:val="font7"/>
    <w:basedOn w:val="Normal"/>
    <w:qFormat/>
    <w:rsid w:val="00F8631B"/>
    <w:pPr>
      <w:spacing w:before="100" w:beforeAutospacing="1" w:after="100" w:afterAutospacing="1" w:line="240" w:lineRule="auto"/>
    </w:pPr>
    <w:rPr>
      <w:rFonts w:ascii="Arial Narrow" w:hAnsi="Arial Narrow"/>
      <w:b/>
      <w:bCs/>
      <w:sz w:val="24"/>
      <w:szCs w:val="24"/>
    </w:rPr>
  </w:style>
  <w:style w:type="paragraph" w:customStyle="1" w:styleId="font8">
    <w:name w:val="font8"/>
    <w:basedOn w:val="Normal"/>
    <w:qFormat/>
    <w:rsid w:val="00F8631B"/>
    <w:pPr>
      <w:spacing w:before="100" w:beforeAutospacing="1" w:after="100" w:afterAutospacing="1" w:line="240" w:lineRule="auto"/>
    </w:pPr>
    <w:rPr>
      <w:rFonts w:ascii="Arial Narrow" w:hAnsi="Arial Narrow"/>
      <w:sz w:val="24"/>
      <w:szCs w:val="24"/>
    </w:rPr>
  </w:style>
  <w:style w:type="paragraph" w:customStyle="1" w:styleId="xl100">
    <w:name w:val="xl100"/>
    <w:basedOn w:val="Normal"/>
    <w:qFormat/>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sz w:val="24"/>
      <w:szCs w:val="24"/>
    </w:rPr>
  </w:style>
  <w:style w:type="paragraph" w:customStyle="1" w:styleId="xl101">
    <w:name w:val="xl101"/>
    <w:basedOn w:val="Normal"/>
    <w:qFormat/>
    <w:rsid w:val="00F8631B"/>
    <w:pPr>
      <w:spacing w:before="100" w:beforeAutospacing="1" w:after="100" w:afterAutospacing="1" w:line="240" w:lineRule="auto"/>
      <w:textAlignment w:val="center"/>
    </w:pPr>
    <w:rPr>
      <w:rFonts w:ascii="Arial Narrow" w:hAnsi="Arial Narrow"/>
      <w:sz w:val="24"/>
      <w:szCs w:val="24"/>
    </w:rPr>
  </w:style>
  <w:style w:type="paragraph" w:customStyle="1" w:styleId="xl102">
    <w:name w:val="xl102"/>
    <w:basedOn w:val="Normal"/>
    <w:qFormat/>
    <w:rsid w:val="00F8631B"/>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sz w:val="24"/>
      <w:szCs w:val="24"/>
    </w:rPr>
  </w:style>
  <w:style w:type="paragraph" w:customStyle="1" w:styleId="xl103">
    <w:name w:val="xl103"/>
    <w:basedOn w:val="Normal"/>
    <w:qFormat/>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hAnsi="Arial Narrow"/>
      <w:sz w:val="24"/>
      <w:szCs w:val="24"/>
    </w:rPr>
  </w:style>
  <w:style w:type="paragraph" w:customStyle="1" w:styleId="xl104">
    <w:name w:val="xl104"/>
    <w:basedOn w:val="Normal"/>
    <w:qFormat/>
    <w:rsid w:val="00F8631B"/>
    <w:pPr>
      <w:spacing w:before="100" w:beforeAutospacing="1" w:after="100" w:afterAutospacing="1" w:line="240" w:lineRule="auto"/>
      <w:textAlignment w:val="center"/>
    </w:pPr>
    <w:rPr>
      <w:rFonts w:ascii="Arial Narrow" w:hAnsi="Arial Narrow"/>
      <w:sz w:val="24"/>
      <w:szCs w:val="24"/>
    </w:rPr>
  </w:style>
  <w:style w:type="paragraph" w:customStyle="1" w:styleId="xl105">
    <w:name w:val="xl105"/>
    <w:basedOn w:val="Normal"/>
    <w:qFormat/>
    <w:rsid w:val="00F8631B"/>
    <w:pPr>
      <w:spacing w:before="100" w:beforeAutospacing="1" w:after="100" w:afterAutospacing="1" w:line="240" w:lineRule="auto"/>
      <w:textAlignment w:val="center"/>
    </w:pPr>
    <w:rPr>
      <w:rFonts w:ascii="Arial Narrow" w:hAnsi="Arial Narrow"/>
      <w:b/>
      <w:bCs/>
      <w:sz w:val="24"/>
      <w:szCs w:val="24"/>
    </w:rPr>
  </w:style>
  <w:style w:type="paragraph" w:customStyle="1" w:styleId="xl106">
    <w:name w:val="xl106"/>
    <w:basedOn w:val="Normal"/>
    <w:qFormat/>
    <w:rsid w:val="00F8631B"/>
    <w:pPr>
      <w:spacing w:before="100" w:beforeAutospacing="1" w:after="100" w:afterAutospacing="1" w:line="240" w:lineRule="auto"/>
      <w:textAlignment w:val="center"/>
    </w:pPr>
    <w:rPr>
      <w:rFonts w:ascii="Arial Narrow" w:hAnsi="Arial Narrow"/>
      <w:sz w:val="24"/>
      <w:szCs w:val="24"/>
    </w:rPr>
  </w:style>
  <w:style w:type="paragraph" w:customStyle="1" w:styleId="xl107">
    <w:name w:val="xl107"/>
    <w:basedOn w:val="Normal"/>
    <w:qFormat/>
    <w:rsid w:val="00F8631B"/>
    <w:pPr>
      <w:spacing w:before="100" w:beforeAutospacing="1" w:after="100" w:afterAutospacing="1" w:line="240" w:lineRule="auto"/>
      <w:textAlignment w:val="center"/>
    </w:pPr>
    <w:rPr>
      <w:rFonts w:ascii="Arial Narrow" w:hAnsi="Arial Narrow"/>
      <w:sz w:val="24"/>
      <w:szCs w:val="24"/>
    </w:rPr>
  </w:style>
  <w:style w:type="paragraph" w:customStyle="1" w:styleId="xl108">
    <w:name w:val="xl108"/>
    <w:basedOn w:val="Normal"/>
    <w:qFormat/>
    <w:rsid w:val="00F8631B"/>
    <w:pPr>
      <w:spacing w:before="100" w:beforeAutospacing="1" w:after="100" w:afterAutospacing="1" w:line="240" w:lineRule="auto"/>
      <w:textAlignment w:val="center"/>
    </w:pPr>
    <w:rPr>
      <w:rFonts w:ascii="Arial Narrow" w:hAnsi="Arial Narrow"/>
      <w:b/>
      <w:bCs/>
      <w:sz w:val="24"/>
      <w:szCs w:val="24"/>
    </w:rPr>
  </w:style>
  <w:style w:type="paragraph" w:customStyle="1" w:styleId="xl109">
    <w:name w:val="xl109"/>
    <w:basedOn w:val="Normal"/>
    <w:qFormat/>
    <w:rsid w:val="00F8631B"/>
    <w:pPr>
      <w:spacing w:before="100" w:beforeAutospacing="1" w:after="100" w:afterAutospacing="1" w:line="240" w:lineRule="auto"/>
      <w:jc w:val="right"/>
      <w:textAlignment w:val="center"/>
    </w:pPr>
    <w:rPr>
      <w:rFonts w:ascii="Arial Narrow" w:hAnsi="Arial Narrow"/>
      <w:b/>
      <w:bCs/>
      <w:sz w:val="24"/>
      <w:szCs w:val="24"/>
    </w:rPr>
  </w:style>
  <w:style w:type="paragraph" w:customStyle="1" w:styleId="xl110">
    <w:name w:val="xl110"/>
    <w:basedOn w:val="Normal"/>
    <w:qFormat/>
    <w:rsid w:val="00F8631B"/>
    <w:pPr>
      <w:spacing w:before="100" w:beforeAutospacing="1" w:after="100" w:afterAutospacing="1" w:line="240" w:lineRule="auto"/>
      <w:jc w:val="right"/>
      <w:textAlignment w:val="center"/>
    </w:pPr>
    <w:rPr>
      <w:rFonts w:ascii="Arial Narrow" w:hAnsi="Arial Narrow"/>
      <w:sz w:val="24"/>
      <w:szCs w:val="24"/>
    </w:rPr>
  </w:style>
  <w:style w:type="paragraph" w:customStyle="1" w:styleId="xl111">
    <w:name w:val="xl111"/>
    <w:basedOn w:val="Normal"/>
    <w:qFormat/>
    <w:rsid w:val="00F8631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112">
    <w:name w:val="xl112"/>
    <w:basedOn w:val="Normal"/>
    <w:qFormat/>
    <w:rsid w:val="00F8631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113">
    <w:name w:val="xl113"/>
    <w:basedOn w:val="Normal"/>
    <w:qFormat/>
    <w:rsid w:val="00F8631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hAnsi="Arial Narrow"/>
      <w:sz w:val="24"/>
      <w:szCs w:val="24"/>
    </w:rPr>
  </w:style>
  <w:style w:type="paragraph" w:customStyle="1" w:styleId="xl114">
    <w:name w:val="xl114"/>
    <w:basedOn w:val="Normal"/>
    <w:qFormat/>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hAnsi="Arial Narrow"/>
      <w:sz w:val="24"/>
      <w:szCs w:val="24"/>
    </w:rPr>
  </w:style>
  <w:style w:type="paragraph" w:customStyle="1" w:styleId="xl115">
    <w:name w:val="xl115"/>
    <w:basedOn w:val="Normal"/>
    <w:qFormat/>
    <w:rsid w:val="00F8631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Narrow" w:hAnsi="Arial Narrow"/>
      <w:sz w:val="24"/>
      <w:szCs w:val="24"/>
    </w:rPr>
  </w:style>
  <w:style w:type="paragraph" w:customStyle="1" w:styleId="xl116">
    <w:name w:val="xl116"/>
    <w:basedOn w:val="Normal"/>
    <w:qFormat/>
    <w:rsid w:val="00F8631B"/>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sz w:val="24"/>
      <w:szCs w:val="24"/>
    </w:rPr>
  </w:style>
  <w:style w:type="paragraph" w:customStyle="1" w:styleId="xl117">
    <w:name w:val="xl117"/>
    <w:basedOn w:val="Normal"/>
    <w:qFormat/>
    <w:rsid w:val="00F8631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ascii="Arial Narrow" w:hAnsi="Arial Narrow"/>
      <w:b/>
      <w:bCs/>
      <w:sz w:val="24"/>
      <w:szCs w:val="24"/>
    </w:rPr>
  </w:style>
  <w:style w:type="paragraph" w:customStyle="1" w:styleId="xl118">
    <w:name w:val="xl118"/>
    <w:basedOn w:val="Normal"/>
    <w:qFormat/>
    <w:rsid w:val="00F8631B"/>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Narrow" w:hAnsi="Arial Narrow"/>
      <w:b/>
      <w:bCs/>
      <w:sz w:val="24"/>
      <w:szCs w:val="24"/>
    </w:rPr>
  </w:style>
  <w:style w:type="paragraph" w:customStyle="1" w:styleId="xl119">
    <w:name w:val="xl119"/>
    <w:basedOn w:val="Normal"/>
    <w:qFormat/>
    <w:rsid w:val="00F8631B"/>
    <w:pPr>
      <w:spacing w:before="100" w:beforeAutospacing="1" w:after="100" w:afterAutospacing="1" w:line="240" w:lineRule="auto"/>
      <w:jc w:val="both"/>
      <w:textAlignment w:val="center"/>
    </w:pPr>
    <w:rPr>
      <w:rFonts w:ascii="Arial Narrow" w:hAnsi="Arial Narrow"/>
      <w:b/>
      <w:bCs/>
      <w:sz w:val="24"/>
      <w:szCs w:val="24"/>
    </w:rPr>
  </w:style>
  <w:style w:type="paragraph" w:customStyle="1" w:styleId="xl120">
    <w:name w:val="xl120"/>
    <w:basedOn w:val="Normal"/>
    <w:qFormat/>
    <w:rsid w:val="00F8631B"/>
    <w:pPr>
      <w:spacing w:before="100" w:beforeAutospacing="1" w:after="100" w:afterAutospacing="1" w:line="240" w:lineRule="auto"/>
      <w:textAlignment w:val="center"/>
    </w:pPr>
    <w:rPr>
      <w:rFonts w:ascii="Arial Narrow" w:hAnsi="Arial Narrow"/>
      <w:sz w:val="24"/>
      <w:szCs w:val="24"/>
    </w:rPr>
  </w:style>
  <w:style w:type="paragraph" w:customStyle="1" w:styleId="xl121">
    <w:name w:val="xl121"/>
    <w:basedOn w:val="Normal"/>
    <w:qFormat/>
    <w:rsid w:val="00F8631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Narrow" w:hAnsi="Arial Narrow"/>
      <w:sz w:val="24"/>
      <w:szCs w:val="24"/>
    </w:rPr>
  </w:style>
  <w:style w:type="paragraph" w:customStyle="1" w:styleId="xl122">
    <w:name w:val="xl122"/>
    <w:basedOn w:val="Normal"/>
    <w:qFormat/>
    <w:rsid w:val="00F8631B"/>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Narrow" w:hAnsi="Arial Narrow"/>
      <w:b/>
      <w:bCs/>
      <w:sz w:val="24"/>
      <w:szCs w:val="24"/>
    </w:rPr>
  </w:style>
  <w:style w:type="paragraph" w:customStyle="1" w:styleId="xl123">
    <w:name w:val="xl123"/>
    <w:basedOn w:val="Normal"/>
    <w:qFormat/>
    <w:rsid w:val="00F8631B"/>
    <w:pPr>
      <w:spacing w:before="100" w:beforeAutospacing="1" w:after="100" w:afterAutospacing="1" w:line="240" w:lineRule="auto"/>
      <w:jc w:val="both"/>
      <w:textAlignment w:val="center"/>
    </w:pPr>
    <w:rPr>
      <w:rFonts w:ascii="Arial Narrow" w:hAnsi="Arial Narrow"/>
      <w:sz w:val="24"/>
      <w:szCs w:val="24"/>
    </w:rPr>
  </w:style>
  <w:style w:type="paragraph" w:customStyle="1" w:styleId="xl124">
    <w:name w:val="xl124"/>
    <w:basedOn w:val="Normal"/>
    <w:qFormat/>
    <w:rsid w:val="00F8631B"/>
    <w:pPr>
      <w:spacing w:before="100" w:beforeAutospacing="1" w:after="100" w:afterAutospacing="1" w:line="240" w:lineRule="auto"/>
      <w:jc w:val="both"/>
      <w:textAlignment w:val="center"/>
    </w:pPr>
    <w:rPr>
      <w:rFonts w:ascii="Arial Narrow" w:hAnsi="Arial Narrow"/>
      <w:b/>
      <w:bCs/>
      <w:sz w:val="24"/>
      <w:szCs w:val="24"/>
    </w:rPr>
  </w:style>
  <w:style w:type="paragraph" w:customStyle="1" w:styleId="xl125">
    <w:name w:val="xl125"/>
    <w:basedOn w:val="Normal"/>
    <w:qFormat/>
    <w:rsid w:val="00F8631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126">
    <w:name w:val="xl126"/>
    <w:basedOn w:val="Normal"/>
    <w:qFormat/>
    <w:rsid w:val="00F8631B"/>
    <w:pPr>
      <w:spacing w:before="100" w:beforeAutospacing="1" w:after="100" w:afterAutospacing="1" w:line="240" w:lineRule="auto"/>
      <w:textAlignment w:val="center"/>
    </w:pPr>
    <w:rPr>
      <w:rFonts w:ascii="Arial Narrow" w:hAnsi="Arial Narrow"/>
      <w:b/>
      <w:bCs/>
      <w:sz w:val="24"/>
      <w:szCs w:val="24"/>
    </w:rPr>
  </w:style>
  <w:style w:type="paragraph" w:customStyle="1" w:styleId="xl127">
    <w:name w:val="xl127"/>
    <w:basedOn w:val="Normal"/>
    <w:qFormat/>
    <w:rsid w:val="00F8631B"/>
    <w:pPr>
      <w:spacing w:before="100" w:beforeAutospacing="1" w:after="100" w:afterAutospacing="1" w:line="240" w:lineRule="auto"/>
      <w:textAlignment w:val="center"/>
    </w:pPr>
    <w:rPr>
      <w:rFonts w:ascii="Arial Narrow" w:hAnsi="Arial Narrow"/>
      <w:b/>
      <w:bCs/>
      <w:sz w:val="24"/>
      <w:szCs w:val="24"/>
      <w:u w:val="single"/>
    </w:rPr>
  </w:style>
  <w:style w:type="paragraph" w:customStyle="1" w:styleId="xl128">
    <w:name w:val="xl128"/>
    <w:basedOn w:val="Normal"/>
    <w:qFormat/>
    <w:rsid w:val="00F8631B"/>
    <w:pPr>
      <w:spacing w:before="100" w:beforeAutospacing="1" w:after="100" w:afterAutospacing="1" w:line="240" w:lineRule="auto"/>
      <w:textAlignment w:val="center"/>
    </w:pPr>
    <w:rPr>
      <w:rFonts w:ascii="Arial Narrow" w:hAnsi="Arial Narrow"/>
      <w:b/>
      <w:bCs/>
      <w:sz w:val="24"/>
      <w:szCs w:val="24"/>
      <w:u w:val="single"/>
    </w:rPr>
  </w:style>
  <w:style w:type="paragraph" w:customStyle="1" w:styleId="xl129">
    <w:name w:val="xl129"/>
    <w:basedOn w:val="Normal"/>
    <w:qFormat/>
    <w:rsid w:val="00F8631B"/>
    <w:pPr>
      <w:spacing w:before="100" w:beforeAutospacing="1" w:after="100" w:afterAutospacing="1" w:line="240" w:lineRule="auto"/>
      <w:textAlignment w:val="center"/>
    </w:pPr>
    <w:rPr>
      <w:rFonts w:ascii="Arial Narrow" w:hAnsi="Arial Narrow"/>
      <w:b/>
      <w:bCs/>
      <w:sz w:val="24"/>
      <w:szCs w:val="24"/>
      <w:u w:val="single"/>
    </w:rPr>
  </w:style>
  <w:style w:type="paragraph" w:customStyle="1" w:styleId="xl130">
    <w:name w:val="xl130"/>
    <w:basedOn w:val="Normal"/>
    <w:qFormat/>
    <w:rsid w:val="00F8631B"/>
    <w:pPr>
      <w:spacing w:before="100" w:beforeAutospacing="1" w:after="100" w:afterAutospacing="1" w:line="240" w:lineRule="auto"/>
      <w:textAlignment w:val="center"/>
    </w:pPr>
    <w:rPr>
      <w:rFonts w:ascii="Arial Narrow" w:hAnsi="Arial Narrow"/>
      <w:b/>
      <w:bCs/>
      <w:sz w:val="24"/>
      <w:szCs w:val="24"/>
      <w:u w:val="single"/>
    </w:rPr>
  </w:style>
  <w:style w:type="paragraph" w:customStyle="1" w:styleId="xl131">
    <w:name w:val="xl131"/>
    <w:basedOn w:val="Normal"/>
    <w:qFormat/>
    <w:rsid w:val="00F8631B"/>
    <w:pPr>
      <w:spacing w:before="100" w:beforeAutospacing="1" w:after="100" w:afterAutospacing="1" w:line="240" w:lineRule="auto"/>
      <w:jc w:val="both"/>
      <w:textAlignment w:val="center"/>
    </w:pPr>
    <w:rPr>
      <w:rFonts w:ascii="Arial Narrow" w:hAnsi="Arial Narrow"/>
      <w:sz w:val="24"/>
      <w:szCs w:val="24"/>
    </w:rPr>
  </w:style>
  <w:style w:type="paragraph" w:customStyle="1" w:styleId="xl132">
    <w:name w:val="xl132"/>
    <w:basedOn w:val="Normal"/>
    <w:qFormat/>
    <w:rsid w:val="00F8631B"/>
    <w:pPr>
      <w:spacing w:before="100" w:beforeAutospacing="1" w:after="100" w:afterAutospacing="1" w:line="240" w:lineRule="auto"/>
      <w:textAlignment w:val="center"/>
    </w:pPr>
    <w:rPr>
      <w:rFonts w:ascii="Arial Narrow" w:hAnsi="Arial Narrow"/>
      <w:sz w:val="24"/>
      <w:szCs w:val="24"/>
    </w:rPr>
  </w:style>
  <w:style w:type="paragraph" w:customStyle="1" w:styleId="xl133">
    <w:name w:val="xl133"/>
    <w:basedOn w:val="Normal"/>
    <w:qFormat/>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sz w:val="24"/>
      <w:szCs w:val="24"/>
    </w:rPr>
  </w:style>
  <w:style w:type="paragraph" w:customStyle="1" w:styleId="xl134">
    <w:name w:val="xl134"/>
    <w:basedOn w:val="Normal"/>
    <w:qFormat/>
    <w:rsid w:val="00F8631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hAnsi="Arial Narrow"/>
      <w:sz w:val="24"/>
      <w:szCs w:val="24"/>
    </w:rPr>
  </w:style>
  <w:style w:type="paragraph" w:customStyle="1" w:styleId="xl135">
    <w:name w:val="xl135"/>
    <w:basedOn w:val="Normal"/>
    <w:qFormat/>
    <w:rsid w:val="00F8631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136">
    <w:name w:val="xl136"/>
    <w:basedOn w:val="Normal"/>
    <w:qFormat/>
    <w:rsid w:val="00F8631B"/>
    <w:pPr>
      <w:spacing w:before="100" w:beforeAutospacing="1" w:after="100" w:afterAutospacing="1" w:line="240" w:lineRule="auto"/>
      <w:jc w:val="center"/>
      <w:textAlignment w:val="center"/>
    </w:pPr>
    <w:rPr>
      <w:rFonts w:ascii="Arial Narrow" w:hAnsi="Arial Narrow"/>
      <w:sz w:val="24"/>
      <w:szCs w:val="24"/>
    </w:rPr>
  </w:style>
  <w:style w:type="paragraph" w:customStyle="1" w:styleId="xl137">
    <w:name w:val="xl137"/>
    <w:basedOn w:val="Normal"/>
    <w:qFormat/>
    <w:rsid w:val="00F8631B"/>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Narrow" w:hAnsi="Arial Narrow"/>
      <w:b/>
      <w:bCs/>
      <w:sz w:val="24"/>
      <w:szCs w:val="24"/>
    </w:rPr>
  </w:style>
  <w:style w:type="paragraph" w:customStyle="1" w:styleId="xl138">
    <w:name w:val="xl138"/>
    <w:basedOn w:val="Normal"/>
    <w:qFormat/>
    <w:rsid w:val="00F8631B"/>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Narrow" w:hAnsi="Arial Narrow"/>
      <w:b/>
      <w:bCs/>
      <w:sz w:val="24"/>
      <w:szCs w:val="24"/>
    </w:rPr>
  </w:style>
  <w:style w:type="paragraph" w:customStyle="1" w:styleId="xl139">
    <w:name w:val="xl139"/>
    <w:basedOn w:val="Normal"/>
    <w:qFormat/>
    <w:rsid w:val="00F8631B"/>
    <w:pPr>
      <w:spacing w:before="100" w:beforeAutospacing="1" w:after="100" w:afterAutospacing="1" w:line="240" w:lineRule="auto"/>
      <w:textAlignment w:val="center"/>
    </w:pPr>
    <w:rPr>
      <w:rFonts w:ascii="Arial Narrow" w:hAnsi="Arial Narrow"/>
      <w:b/>
      <w:bCs/>
      <w:sz w:val="24"/>
      <w:szCs w:val="24"/>
    </w:rPr>
  </w:style>
  <w:style w:type="paragraph" w:customStyle="1" w:styleId="xl140">
    <w:name w:val="xl140"/>
    <w:basedOn w:val="Normal"/>
    <w:qFormat/>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141">
    <w:name w:val="xl141"/>
    <w:basedOn w:val="Normal"/>
    <w:qFormat/>
    <w:rsid w:val="00F8631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142">
    <w:name w:val="xl142"/>
    <w:basedOn w:val="Normal"/>
    <w:qFormat/>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sz w:val="24"/>
      <w:szCs w:val="24"/>
    </w:rPr>
  </w:style>
  <w:style w:type="paragraph" w:customStyle="1" w:styleId="xl143">
    <w:name w:val="xl143"/>
    <w:basedOn w:val="Normal"/>
    <w:qFormat/>
    <w:rsid w:val="00F8631B"/>
    <w:pPr>
      <w:spacing w:before="100" w:beforeAutospacing="1" w:after="100" w:afterAutospacing="1" w:line="240" w:lineRule="auto"/>
      <w:jc w:val="center"/>
      <w:textAlignment w:val="center"/>
    </w:pPr>
    <w:rPr>
      <w:rFonts w:ascii="Arial Narrow" w:hAnsi="Arial Narrow"/>
      <w:sz w:val="24"/>
      <w:szCs w:val="24"/>
    </w:rPr>
  </w:style>
  <w:style w:type="paragraph" w:customStyle="1" w:styleId="xl144">
    <w:name w:val="xl144"/>
    <w:basedOn w:val="Normal"/>
    <w:qFormat/>
    <w:rsid w:val="00F8631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hAnsi="Arial Narrow"/>
      <w:b/>
      <w:bCs/>
      <w:sz w:val="24"/>
      <w:szCs w:val="24"/>
    </w:rPr>
  </w:style>
  <w:style w:type="paragraph" w:customStyle="1" w:styleId="xl145">
    <w:name w:val="xl145"/>
    <w:basedOn w:val="Normal"/>
    <w:qFormat/>
    <w:rsid w:val="00F8631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hAnsi="Arial Narrow"/>
      <w:sz w:val="24"/>
      <w:szCs w:val="24"/>
    </w:rPr>
  </w:style>
  <w:style w:type="paragraph" w:customStyle="1" w:styleId="xl146">
    <w:name w:val="xl146"/>
    <w:basedOn w:val="Normal"/>
    <w:qFormat/>
    <w:rsid w:val="00F8631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hAnsi="Arial Narrow"/>
      <w:sz w:val="24"/>
      <w:szCs w:val="24"/>
    </w:rPr>
  </w:style>
  <w:style w:type="paragraph" w:customStyle="1" w:styleId="xl147">
    <w:name w:val="xl147"/>
    <w:basedOn w:val="Normal"/>
    <w:qFormat/>
    <w:rsid w:val="00F8631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sz w:val="24"/>
      <w:szCs w:val="24"/>
    </w:rPr>
  </w:style>
  <w:style w:type="paragraph" w:customStyle="1" w:styleId="xl148">
    <w:name w:val="xl148"/>
    <w:basedOn w:val="Normal"/>
    <w:qFormat/>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sz w:val="24"/>
      <w:szCs w:val="24"/>
    </w:rPr>
  </w:style>
  <w:style w:type="paragraph" w:customStyle="1" w:styleId="xl149">
    <w:name w:val="xl149"/>
    <w:basedOn w:val="Normal"/>
    <w:qFormat/>
    <w:rsid w:val="00F8631B"/>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Narrow" w:hAnsi="Arial Narrow"/>
      <w:b/>
      <w:bCs/>
      <w:sz w:val="24"/>
      <w:szCs w:val="24"/>
    </w:rPr>
  </w:style>
  <w:style w:type="paragraph" w:customStyle="1" w:styleId="xl150">
    <w:name w:val="xl150"/>
    <w:basedOn w:val="Normal"/>
    <w:qFormat/>
    <w:rsid w:val="00F8631B"/>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Narrow" w:hAnsi="Arial Narrow"/>
      <w:b/>
      <w:bCs/>
      <w:sz w:val="24"/>
      <w:szCs w:val="24"/>
    </w:rPr>
  </w:style>
  <w:style w:type="paragraph" w:customStyle="1" w:styleId="xl151">
    <w:name w:val="xl151"/>
    <w:basedOn w:val="Normal"/>
    <w:qFormat/>
    <w:rsid w:val="00F8631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hAnsi="Arial Narrow"/>
      <w:sz w:val="24"/>
      <w:szCs w:val="24"/>
    </w:rPr>
  </w:style>
  <w:style w:type="paragraph" w:customStyle="1" w:styleId="xl152">
    <w:name w:val="xl152"/>
    <w:basedOn w:val="Normal"/>
    <w:qFormat/>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sz w:val="24"/>
      <w:szCs w:val="24"/>
    </w:rPr>
  </w:style>
  <w:style w:type="paragraph" w:customStyle="1" w:styleId="xl153">
    <w:name w:val="xl153"/>
    <w:basedOn w:val="Normal"/>
    <w:qFormat/>
    <w:rsid w:val="00F8631B"/>
    <w:pPr>
      <w:spacing w:before="100" w:beforeAutospacing="1" w:after="100" w:afterAutospacing="1" w:line="240" w:lineRule="auto"/>
      <w:textAlignment w:val="center"/>
    </w:pPr>
    <w:rPr>
      <w:rFonts w:ascii="Arial Narrow" w:hAnsi="Arial Narrow"/>
      <w:b/>
      <w:bCs/>
      <w:sz w:val="24"/>
      <w:szCs w:val="24"/>
    </w:rPr>
  </w:style>
  <w:style w:type="paragraph" w:customStyle="1" w:styleId="xl154">
    <w:name w:val="xl154"/>
    <w:basedOn w:val="Normal"/>
    <w:qFormat/>
    <w:rsid w:val="00F8631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hAnsi="Arial Narrow"/>
      <w:sz w:val="24"/>
      <w:szCs w:val="24"/>
    </w:rPr>
  </w:style>
  <w:style w:type="paragraph" w:customStyle="1" w:styleId="xl155">
    <w:name w:val="xl155"/>
    <w:basedOn w:val="Normal"/>
    <w:qFormat/>
    <w:rsid w:val="00F8631B"/>
    <w:pPr>
      <w:pBdr>
        <w:top w:val="single" w:sz="4" w:space="0" w:color="auto"/>
        <w:bottom w:val="single" w:sz="4" w:space="0" w:color="auto"/>
      </w:pBdr>
      <w:spacing w:before="100" w:beforeAutospacing="1" w:after="100" w:afterAutospacing="1" w:line="240" w:lineRule="auto"/>
      <w:jc w:val="center"/>
      <w:textAlignment w:val="center"/>
    </w:pPr>
    <w:rPr>
      <w:rFonts w:ascii="Arial Narrow" w:hAnsi="Arial Narrow"/>
      <w:sz w:val="24"/>
      <w:szCs w:val="24"/>
    </w:rPr>
  </w:style>
  <w:style w:type="paragraph" w:customStyle="1" w:styleId="xl156">
    <w:name w:val="xl156"/>
    <w:basedOn w:val="Normal"/>
    <w:qFormat/>
    <w:rsid w:val="00F8631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sz w:val="24"/>
      <w:szCs w:val="24"/>
    </w:rPr>
  </w:style>
  <w:style w:type="paragraph" w:customStyle="1" w:styleId="xl157">
    <w:name w:val="xl157"/>
    <w:basedOn w:val="Normal"/>
    <w:qFormat/>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b/>
      <w:bCs/>
      <w:sz w:val="24"/>
      <w:szCs w:val="24"/>
    </w:rPr>
  </w:style>
  <w:style w:type="paragraph" w:customStyle="1" w:styleId="xl158">
    <w:name w:val="xl158"/>
    <w:basedOn w:val="Normal"/>
    <w:qFormat/>
    <w:rsid w:val="00F8631B"/>
    <w:pPr>
      <w:spacing w:before="100" w:beforeAutospacing="1" w:after="100" w:afterAutospacing="1" w:line="240" w:lineRule="auto"/>
      <w:textAlignment w:val="center"/>
    </w:pPr>
    <w:rPr>
      <w:rFonts w:ascii="Arial Narrow" w:hAnsi="Arial Narrow"/>
      <w:b/>
      <w:bCs/>
      <w:sz w:val="24"/>
      <w:szCs w:val="24"/>
    </w:rPr>
  </w:style>
  <w:style w:type="paragraph" w:styleId="FootnoteText">
    <w:name w:val="footnote text"/>
    <w:aliases w:val="FN,FT,FT Char Char,FT Char,fn Char Char,fn Char,Car"/>
    <w:basedOn w:val="Normal"/>
    <w:link w:val="FootnoteTextChar"/>
    <w:rsid w:val="00F8631B"/>
    <w:pPr>
      <w:spacing w:after="0" w:line="240" w:lineRule="auto"/>
    </w:pPr>
    <w:rPr>
      <w:sz w:val="20"/>
      <w:szCs w:val="20"/>
      <w:lang w:val="x-none" w:eastAsia="x-none"/>
    </w:rPr>
  </w:style>
  <w:style w:type="character" w:customStyle="1" w:styleId="FootnoteTextChar">
    <w:name w:val="Footnote Text Char"/>
    <w:aliases w:val="FN Char,FT Char1,FT Char Char Char,FT Char Char1,fn Char Char Char,fn Char Char1,Car Char"/>
    <w:basedOn w:val="DefaultParagraphFont"/>
    <w:link w:val="FootnoteText"/>
    <w:rsid w:val="00F8631B"/>
    <w:rPr>
      <w:rFonts w:ascii="Calibri" w:eastAsia="Times New Roman" w:hAnsi="Calibri" w:cs="Times New Roman"/>
      <w:kern w:val="0"/>
      <w:sz w:val="20"/>
      <w:szCs w:val="20"/>
      <w:lang w:val="x-none" w:eastAsia="x-none"/>
      <w14:ligatures w14:val="none"/>
    </w:rPr>
  </w:style>
  <w:style w:type="character" w:customStyle="1" w:styleId="HTMLPreformattedChar">
    <w:name w:val="HTML Preformatted Char"/>
    <w:link w:val="HTMLPreformatted"/>
    <w:uiPriority w:val="99"/>
    <w:rsid w:val="00F8631B"/>
    <w:rPr>
      <w:rFonts w:ascii="Courier New" w:eastAsia="Times New Roman" w:hAnsi="Courier New" w:cs="Courier New"/>
    </w:rPr>
  </w:style>
  <w:style w:type="paragraph" w:styleId="HTMLPreformatted">
    <w:name w:val="HTML Preformatted"/>
    <w:basedOn w:val="Normal"/>
    <w:link w:val="HTMLPreformattedChar"/>
    <w:uiPriority w:val="99"/>
    <w:unhideWhenUsed/>
    <w:rsid w:val="00F863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kern w:val="2"/>
      <w14:ligatures w14:val="standardContextual"/>
    </w:rPr>
  </w:style>
  <w:style w:type="character" w:customStyle="1" w:styleId="HTMLPreformattedChar1">
    <w:name w:val="HTML Preformatted Char1"/>
    <w:basedOn w:val="DefaultParagraphFont"/>
    <w:uiPriority w:val="99"/>
    <w:semiHidden/>
    <w:rsid w:val="00F8631B"/>
    <w:rPr>
      <w:rFonts w:ascii="Consolas" w:eastAsia="Times New Roman" w:hAnsi="Consolas" w:cs="Times New Roman"/>
      <w:kern w:val="0"/>
      <w:sz w:val="20"/>
      <w:szCs w:val="20"/>
      <w14:ligatures w14:val="none"/>
    </w:rPr>
  </w:style>
  <w:style w:type="character" w:customStyle="1" w:styleId="HeaderChar1">
    <w:name w:val="Header Char1"/>
    <w:aliases w:val="hd Char1,Header@ Char1,Header10 UL Char1,Project Name Char,Chapter Name Char Char1,Char1 Char Char Char Char Char2,Char1 Char Char Char1 Char1,Char1 Char Char Char Char1,Bold Header Char Char,*Header Char Char,Chapter Name Char Char"/>
    <w:uiPriority w:val="99"/>
    <w:rsid w:val="00F8631B"/>
    <w:rPr>
      <w:rFonts w:ascii="Calibri" w:eastAsia="Times New Roman" w:hAnsi="Calibri" w:cs="Times New Roman"/>
    </w:rPr>
  </w:style>
  <w:style w:type="paragraph" w:styleId="BodyText2">
    <w:name w:val="Body Text 2"/>
    <w:aliases w:val="b2,bt2,DPWfd Bullet2,DPW Bullet2"/>
    <w:basedOn w:val="Normal"/>
    <w:link w:val="BodyText2Char"/>
    <w:unhideWhenUsed/>
    <w:qFormat/>
    <w:rsid w:val="00F8631B"/>
    <w:pPr>
      <w:spacing w:after="120" w:line="480" w:lineRule="auto"/>
    </w:pPr>
    <w:rPr>
      <w:sz w:val="20"/>
      <w:szCs w:val="20"/>
      <w:lang w:val="x-none" w:eastAsia="x-none"/>
    </w:rPr>
  </w:style>
  <w:style w:type="character" w:customStyle="1" w:styleId="BodyText2Char">
    <w:name w:val="Body Text 2 Char"/>
    <w:aliases w:val="b2 Char,bt2 Char,DPWfd Bullet2 Char1,DPW Bullet2 Char1"/>
    <w:basedOn w:val="DefaultParagraphFont"/>
    <w:link w:val="BodyText2"/>
    <w:rsid w:val="00F8631B"/>
    <w:rPr>
      <w:rFonts w:ascii="Calibri" w:eastAsia="Times New Roman" w:hAnsi="Calibri" w:cs="Times New Roman"/>
      <w:kern w:val="0"/>
      <w:sz w:val="20"/>
      <w:szCs w:val="20"/>
      <w:lang w:val="x-none" w:eastAsia="x-none"/>
      <w14:ligatures w14:val="none"/>
    </w:rPr>
  </w:style>
  <w:style w:type="paragraph" w:styleId="BodyTextIndent3">
    <w:name w:val="Body Text Indent 3"/>
    <w:aliases w:val="i3"/>
    <w:basedOn w:val="Normal"/>
    <w:link w:val="BodyTextIndent3Char"/>
    <w:uiPriority w:val="99"/>
    <w:unhideWhenUsed/>
    <w:rsid w:val="00F8631B"/>
    <w:pPr>
      <w:spacing w:after="120"/>
      <w:ind w:left="283"/>
    </w:pPr>
    <w:rPr>
      <w:sz w:val="16"/>
      <w:szCs w:val="16"/>
      <w:lang w:val="x-none" w:eastAsia="x-none"/>
    </w:rPr>
  </w:style>
  <w:style w:type="character" w:customStyle="1" w:styleId="BodyTextIndent3Char">
    <w:name w:val="Body Text Indent 3 Char"/>
    <w:aliases w:val="i3 Char"/>
    <w:basedOn w:val="DefaultParagraphFont"/>
    <w:link w:val="BodyTextIndent3"/>
    <w:uiPriority w:val="99"/>
    <w:rsid w:val="00F8631B"/>
    <w:rPr>
      <w:rFonts w:ascii="Calibri" w:eastAsia="Times New Roman" w:hAnsi="Calibri" w:cs="Times New Roman"/>
      <w:kern w:val="0"/>
      <w:sz w:val="16"/>
      <w:szCs w:val="16"/>
      <w:lang w:val="x-none" w:eastAsia="x-none"/>
      <w14:ligatures w14:val="none"/>
    </w:rPr>
  </w:style>
  <w:style w:type="paragraph" w:customStyle="1" w:styleId="Style3">
    <w:name w:val="Style3"/>
    <w:basedOn w:val="Normal"/>
    <w:qFormat/>
    <w:rsid w:val="00F8631B"/>
    <w:pPr>
      <w:widowControl w:val="0"/>
      <w:autoSpaceDE w:val="0"/>
      <w:autoSpaceDN w:val="0"/>
      <w:adjustRightInd w:val="0"/>
      <w:spacing w:after="0" w:line="216" w:lineRule="exact"/>
      <w:jc w:val="both"/>
    </w:pPr>
    <w:rPr>
      <w:rFonts w:ascii="Times New Roman" w:hAnsi="Times New Roman"/>
      <w:sz w:val="24"/>
      <w:szCs w:val="24"/>
    </w:rPr>
  </w:style>
  <w:style w:type="paragraph" w:customStyle="1" w:styleId="Style4">
    <w:name w:val="Style4"/>
    <w:basedOn w:val="Normal"/>
    <w:qFormat/>
    <w:rsid w:val="00F8631B"/>
    <w:pPr>
      <w:widowControl w:val="0"/>
      <w:autoSpaceDE w:val="0"/>
      <w:autoSpaceDN w:val="0"/>
      <w:adjustRightInd w:val="0"/>
      <w:spacing w:after="0" w:line="216" w:lineRule="exact"/>
      <w:jc w:val="both"/>
    </w:pPr>
    <w:rPr>
      <w:rFonts w:ascii="Times New Roman" w:hAnsi="Times New Roman"/>
      <w:sz w:val="24"/>
      <w:szCs w:val="24"/>
    </w:rPr>
  </w:style>
  <w:style w:type="character" w:customStyle="1" w:styleId="FontStyle39">
    <w:name w:val="Font Style39"/>
    <w:rsid w:val="00F8631B"/>
    <w:rPr>
      <w:rFonts w:ascii="Times New Roman" w:hAnsi="Times New Roman" w:cs="Times New Roman"/>
      <w:b/>
      <w:bCs/>
      <w:sz w:val="22"/>
      <w:szCs w:val="22"/>
    </w:rPr>
  </w:style>
  <w:style w:type="character" w:customStyle="1" w:styleId="FontStyle40">
    <w:name w:val="Font Style40"/>
    <w:rsid w:val="00F8631B"/>
    <w:rPr>
      <w:rFonts w:ascii="Times New Roman" w:hAnsi="Times New Roman" w:cs="Times New Roman"/>
      <w:sz w:val="14"/>
      <w:szCs w:val="14"/>
    </w:rPr>
  </w:style>
  <w:style w:type="character" w:customStyle="1" w:styleId="FontStyle42">
    <w:name w:val="Font Style42"/>
    <w:rsid w:val="00F8631B"/>
    <w:rPr>
      <w:rFonts w:ascii="Times New Roman" w:hAnsi="Times New Roman" w:cs="Times New Roman"/>
      <w:b/>
      <w:bCs/>
      <w:sz w:val="14"/>
      <w:szCs w:val="14"/>
    </w:rPr>
  </w:style>
  <w:style w:type="character" w:customStyle="1" w:styleId="FontStyle58">
    <w:name w:val="Font Style58"/>
    <w:rsid w:val="00F8631B"/>
    <w:rPr>
      <w:rFonts w:ascii="Times New Roman" w:hAnsi="Times New Roman" w:cs="Times New Roman"/>
      <w:i/>
      <w:iCs/>
      <w:sz w:val="16"/>
      <w:szCs w:val="16"/>
    </w:rPr>
  </w:style>
  <w:style w:type="paragraph" w:customStyle="1" w:styleId="Style29">
    <w:name w:val="Style29"/>
    <w:basedOn w:val="Normal"/>
    <w:qFormat/>
    <w:rsid w:val="00F8631B"/>
    <w:pPr>
      <w:widowControl w:val="0"/>
      <w:autoSpaceDE w:val="0"/>
      <w:autoSpaceDN w:val="0"/>
      <w:adjustRightInd w:val="0"/>
      <w:spacing w:after="0" w:line="221" w:lineRule="exact"/>
      <w:jc w:val="both"/>
    </w:pPr>
    <w:rPr>
      <w:rFonts w:ascii="Times New Roman" w:hAnsi="Times New Roman"/>
      <w:sz w:val="24"/>
      <w:szCs w:val="24"/>
    </w:rPr>
  </w:style>
  <w:style w:type="character" w:customStyle="1" w:styleId="FontStyle63">
    <w:name w:val="Font Style63"/>
    <w:rsid w:val="00F8631B"/>
    <w:rPr>
      <w:rFonts w:ascii="Times New Roman" w:hAnsi="Times New Roman" w:cs="Times New Roman"/>
      <w:sz w:val="16"/>
      <w:szCs w:val="16"/>
    </w:rPr>
  </w:style>
  <w:style w:type="paragraph" w:customStyle="1" w:styleId="DefaultText">
    <w:name w:val="Default Text"/>
    <w:basedOn w:val="Normal"/>
    <w:qFormat/>
    <w:rsid w:val="00F8631B"/>
    <w:pPr>
      <w:spacing w:after="0" w:line="240" w:lineRule="auto"/>
      <w:jc w:val="both"/>
    </w:pPr>
    <w:rPr>
      <w:rFonts w:ascii="Times New Roman" w:hAnsi="Times New Roman"/>
      <w:sz w:val="20"/>
      <w:szCs w:val="20"/>
    </w:rPr>
  </w:style>
  <w:style w:type="paragraph" w:styleId="BodyText3">
    <w:name w:val="Body Text 3"/>
    <w:aliases w:val="Body Text 3 Char1 Char Char Char Char Char Char,b3"/>
    <w:basedOn w:val="Normal"/>
    <w:link w:val="BodyText3Char"/>
    <w:qFormat/>
    <w:rsid w:val="00F8631B"/>
    <w:pPr>
      <w:spacing w:after="120" w:line="240" w:lineRule="auto"/>
    </w:pPr>
    <w:rPr>
      <w:rFonts w:ascii="Times New Roman" w:hAnsi="Times New Roman"/>
      <w:sz w:val="16"/>
      <w:szCs w:val="16"/>
      <w:lang w:val="x-none" w:eastAsia="x-none"/>
    </w:rPr>
  </w:style>
  <w:style w:type="character" w:customStyle="1" w:styleId="BodyText3Char">
    <w:name w:val="Body Text 3 Char"/>
    <w:aliases w:val="Body Text 3 Char1 Char Char Char Char Char Char Char,b3 Char"/>
    <w:basedOn w:val="DefaultParagraphFont"/>
    <w:link w:val="BodyText3"/>
    <w:rsid w:val="00F8631B"/>
    <w:rPr>
      <w:rFonts w:ascii="Times New Roman" w:eastAsia="Times New Roman" w:hAnsi="Times New Roman" w:cs="Times New Roman"/>
      <w:kern w:val="0"/>
      <w:sz w:val="16"/>
      <w:szCs w:val="16"/>
      <w:lang w:val="x-none" w:eastAsia="x-none"/>
      <w14:ligatures w14:val="none"/>
    </w:rPr>
  </w:style>
  <w:style w:type="paragraph" w:customStyle="1" w:styleId="CharCharCharCharCharChar1Char">
    <w:name w:val="Char Char Char Char Char Char1 Char"/>
    <w:basedOn w:val="Normal"/>
    <w:qFormat/>
    <w:rsid w:val="00F8631B"/>
    <w:pPr>
      <w:spacing w:after="160" w:line="240" w:lineRule="exact"/>
    </w:pPr>
    <w:rPr>
      <w:rFonts w:ascii="Verdana" w:hAnsi="Verdana"/>
      <w:sz w:val="20"/>
      <w:szCs w:val="20"/>
    </w:rPr>
  </w:style>
  <w:style w:type="paragraph" w:customStyle="1" w:styleId="body">
    <w:name w:val="body"/>
    <w:qFormat/>
    <w:rsid w:val="00F8631B"/>
    <w:pPr>
      <w:spacing w:before="87" w:after="0" w:line="240" w:lineRule="auto"/>
      <w:jc w:val="both"/>
    </w:pPr>
    <w:rPr>
      <w:rFonts w:ascii="Arial" w:eastAsia="Times New Roman" w:hAnsi="Arial" w:cs="Times New Roman"/>
      <w:snapToGrid w:val="0"/>
      <w:color w:val="000000"/>
      <w:kern w:val="0"/>
      <w:sz w:val="20"/>
      <w:szCs w:val="20"/>
      <w14:ligatures w14:val="none"/>
    </w:rPr>
  </w:style>
  <w:style w:type="paragraph" w:customStyle="1" w:styleId="Title2">
    <w:name w:val="Title2"/>
    <w:basedOn w:val="Normal"/>
    <w:next w:val="BodyTextFirstIndent"/>
    <w:qFormat/>
    <w:rsid w:val="00F8631B"/>
    <w:pPr>
      <w:keepNext/>
      <w:keepLines/>
      <w:spacing w:after="240" w:line="240" w:lineRule="auto"/>
      <w:jc w:val="both"/>
    </w:pPr>
    <w:rPr>
      <w:rFonts w:ascii="Times New Roman" w:hAnsi="Times New Roman"/>
      <w:b/>
      <w:szCs w:val="20"/>
    </w:rPr>
  </w:style>
  <w:style w:type="paragraph" w:styleId="BodyTextFirstIndent">
    <w:name w:val="Body Text First Indent"/>
    <w:aliases w:val="Body Text First Indent Char1 Char,Body Text First Indent Char Char Char,Body Text First Indent Char1 Char Char Char,Body Text First Indent Char Char Char Char Char,btfi Char Char Char Char Char,f1"/>
    <w:basedOn w:val="BodyText"/>
    <w:link w:val="BodyTextFirstIndentChar"/>
    <w:unhideWhenUsed/>
    <w:rsid w:val="00F8631B"/>
    <w:pPr>
      <w:spacing w:after="200" w:line="276" w:lineRule="auto"/>
      <w:ind w:firstLine="360"/>
      <w:jc w:val="left"/>
    </w:pPr>
    <w:rPr>
      <w:rFonts w:ascii="Calibri" w:eastAsia="Calibri" w:hAnsi="Calibri"/>
      <w:sz w:val="20"/>
      <w:szCs w:val="20"/>
      <w:lang w:val="x-none"/>
    </w:rPr>
  </w:style>
  <w:style w:type="character" w:customStyle="1" w:styleId="BodyTextFirstIndentChar">
    <w:name w:val="Body Text First Indent Char"/>
    <w:aliases w:val="Body Text First Indent Char1 Char Char,Body Text First Indent Char Char Char Char,Body Text First Indent Char1 Char Char Char Char,Body Text First Indent Char Char Char Char Char Char,btfi Char Char Char Char Char Char"/>
    <w:basedOn w:val="BodyTextChar1"/>
    <w:link w:val="BodyTextFirstIndent"/>
    <w:rsid w:val="00F8631B"/>
    <w:rPr>
      <w:rFonts w:ascii="Calibri" w:eastAsia="Calibri" w:hAnsi="Calibri" w:cs="Times New Roman"/>
      <w:kern w:val="0"/>
      <w:sz w:val="20"/>
      <w:szCs w:val="20"/>
      <w:lang w:val="x-none"/>
      <w14:ligatures w14:val="none"/>
    </w:rPr>
  </w:style>
  <w:style w:type="character" w:customStyle="1" w:styleId="TitleChar1">
    <w:name w:val="Title Char1"/>
    <w:aliases w:val="t1 Char1,tl Char1"/>
    <w:locked/>
    <w:rsid w:val="00F8631B"/>
    <w:rPr>
      <w:rFonts w:ascii="Times New Roman" w:eastAsia="Times New Roman" w:hAnsi="Times New Roman" w:cs="Times New Roman"/>
      <w:b/>
      <w:bCs/>
      <w:sz w:val="20"/>
      <w:szCs w:val="20"/>
      <w:lang w:val="en-GB"/>
    </w:rPr>
  </w:style>
  <w:style w:type="paragraph" w:customStyle="1" w:styleId="TextHeading">
    <w:name w:val="Text Heading"/>
    <w:basedOn w:val="Normal"/>
    <w:next w:val="Normal"/>
    <w:qFormat/>
    <w:rsid w:val="00F8631B"/>
    <w:pPr>
      <w:spacing w:before="200" w:after="0" w:line="240" w:lineRule="auto"/>
      <w:ind w:left="446" w:right="-86"/>
    </w:pPr>
    <w:rPr>
      <w:rFonts w:ascii="Arial" w:hAnsi="Arial"/>
      <w:b/>
      <w:caps/>
      <w:sz w:val="20"/>
      <w:szCs w:val="20"/>
    </w:rPr>
  </w:style>
  <w:style w:type="paragraph" w:customStyle="1" w:styleId="heading10">
    <w:name w:val="heading1"/>
    <w:basedOn w:val="BodyText"/>
    <w:qFormat/>
    <w:rsid w:val="00F8631B"/>
    <w:pPr>
      <w:spacing w:before="115" w:after="58" w:line="240" w:lineRule="atLeast"/>
    </w:pPr>
    <w:rPr>
      <w:rFonts w:ascii="Zurich BT" w:hAnsi="Zurich BT"/>
      <w:b/>
      <w:iCs/>
      <w:sz w:val="22"/>
      <w:lang w:val="en-US"/>
    </w:rPr>
  </w:style>
  <w:style w:type="paragraph" w:customStyle="1" w:styleId="BodyTextBold">
    <w:name w:val="!Body_Text Bold"/>
    <w:basedOn w:val="Normal"/>
    <w:qFormat/>
    <w:rsid w:val="00F8631B"/>
    <w:pPr>
      <w:spacing w:before="100" w:after="100" w:line="240" w:lineRule="auto"/>
      <w:jc w:val="both"/>
    </w:pPr>
    <w:rPr>
      <w:rFonts w:ascii="Arial" w:hAnsi="Arial" w:cs="Arial"/>
      <w:b/>
      <w:bCs/>
      <w:sz w:val="20"/>
      <w:szCs w:val="20"/>
    </w:rPr>
  </w:style>
  <w:style w:type="paragraph" w:customStyle="1" w:styleId="CM44">
    <w:name w:val="CM44"/>
    <w:basedOn w:val="Normal"/>
    <w:next w:val="Normal"/>
    <w:qFormat/>
    <w:rsid w:val="00F8631B"/>
    <w:pPr>
      <w:widowControl w:val="0"/>
      <w:autoSpaceDE w:val="0"/>
      <w:autoSpaceDN w:val="0"/>
      <w:adjustRightInd w:val="0"/>
      <w:spacing w:after="0" w:line="240" w:lineRule="auto"/>
    </w:pPr>
    <w:rPr>
      <w:rFonts w:ascii="Pristina" w:hAnsi="Pristina"/>
      <w:sz w:val="24"/>
      <w:szCs w:val="24"/>
      <w:lang w:val="en-IN" w:eastAsia="en-IN"/>
    </w:rPr>
  </w:style>
  <w:style w:type="paragraph" w:customStyle="1" w:styleId="CM9">
    <w:name w:val="CM9"/>
    <w:basedOn w:val="Normal"/>
    <w:next w:val="Normal"/>
    <w:qFormat/>
    <w:rsid w:val="00F8631B"/>
    <w:pPr>
      <w:widowControl w:val="0"/>
      <w:autoSpaceDE w:val="0"/>
      <w:autoSpaceDN w:val="0"/>
      <w:adjustRightInd w:val="0"/>
      <w:spacing w:after="0" w:line="440" w:lineRule="atLeast"/>
    </w:pPr>
    <w:rPr>
      <w:rFonts w:ascii="Pristina" w:hAnsi="Pristina"/>
      <w:sz w:val="24"/>
      <w:szCs w:val="24"/>
      <w:lang w:val="en-IN" w:eastAsia="en-IN"/>
    </w:rPr>
  </w:style>
  <w:style w:type="paragraph" w:styleId="BodyTextIndent">
    <w:name w:val="Body Text Indent"/>
    <w:aliases w:val="i1"/>
    <w:basedOn w:val="Normal"/>
    <w:link w:val="BodyTextIndentChar1"/>
    <w:unhideWhenUsed/>
    <w:qFormat/>
    <w:rsid w:val="00F8631B"/>
    <w:pPr>
      <w:spacing w:after="120"/>
      <w:ind w:left="360"/>
    </w:pPr>
    <w:rPr>
      <w:rFonts w:eastAsia="Calibri"/>
      <w:sz w:val="20"/>
      <w:szCs w:val="20"/>
      <w:lang w:val="x-none" w:eastAsia="x-none"/>
    </w:rPr>
  </w:style>
  <w:style w:type="character" w:customStyle="1" w:styleId="BodyTextIndentChar">
    <w:name w:val="Body Text Indent Char"/>
    <w:aliases w:val="i1 Char"/>
    <w:basedOn w:val="DefaultParagraphFont"/>
    <w:uiPriority w:val="99"/>
    <w:rsid w:val="00F8631B"/>
    <w:rPr>
      <w:rFonts w:ascii="Calibri" w:eastAsia="Times New Roman" w:hAnsi="Calibri" w:cs="Times New Roman"/>
      <w:kern w:val="0"/>
      <w14:ligatures w14:val="none"/>
    </w:rPr>
  </w:style>
  <w:style w:type="character" w:customStyle="1" w:styleId="BodyTextIndentChar1">
    <w:name w:val="Body Text Indent Char1"/>
    <w:aliases w:val="i1 Char1"/>
    <w:link w:val="BodyTextIndent"/>
    <w:locked/>
    <w:rsid w:val="00F8631B"/>
    <w:rPr>
      <w:rFonts w:ascii="Calibri" w:eastAsia="Calibri" w:hAnsi="Calibri" w:cs="Times New Roman"/>
      <w:kern w:val="0"/>
      <w:sz w:val="20"/>
      <w:szCs w:val="20"/>
      <w:lang w:val="x-none" w:eastAsia="x-none"/>
      <w14:ligatures w14:val="none"/>
    </w:rPr>
  </w:style>
  <w:style w:type="paragraph" w:styleId="BodyTextIndent2">
    <w:name w:val="Body Text Indent 2"/>
    <w:aliases w:val="i2,bti2"/>
    <w:basedOn w:val="Normal"/>
    <w:link w:val="BodyTextIndent2Char"/>
    <w:rsid w:val="00F8631B"/>
    <w:pPr>
      <w:spacing w:after="0" w:line="240" w:lineRule="auto"/>
      <w:ind w:left="540"/>
      <w:jc w:val="both"/>
    </w:pPr>
    <w:rPr>
      <w:rFonts w:eastAsia="Calibri"/>
      <w:i/>
      <w:iCs/>
      <w:sz w:val="21"/>
      <w:szCs w:val="21"/>
      <w:lang w:val="x-none" w:eastAsia="x-none"/>
    </w:rPr>
  </w:style>
  <w:style w:type="character" w:customStyle="1" w:styleId="BodyTextIndent2Char">
    <w:name w:val="Body Text Indent 2 Char"/>
    <w:aliases w:val="i2 Char,bti2 Char"/>
    <w:basedOn w:val="DefaultParagraphFont"/>
    <w:link w:val="BodyTextIndent2"/>
    <w:rsid w:val="00F8631B"/>
    <w:rPr>
      <w:rFonts w:ascii="Calibri" w:eastAsia="Calibri" w:hAnsi="Calibri" w:cs="Times New Roman"/>
      <w:i/>
      <w:iCs/>
      <w:kern w:val="0"/>
      <w:sz w:val="21"/>
      <w:szCs w:val="21"/>
      <w:lang w:val="x-none" w:eastAsia="x-none"/>
      <w14:ligatures w14:val="none"/>
    </w:rPr>
  </w:style>
  <w:style w:type="character" w:customStyle="1" w:styleId="maincontent1">
    <w:name w:val="maincontent1"/>
    <w:basedOn w:val="DefaultParagraphFont"/>
    <w:rsid w:val="00F8631B"/>
  </w:style>
  <w:style w:type="character" w:customStyle="1" w:styleId="EndnoteTextChar">
    <w:name w:val="Endnote Text Char"/>
    <w:link w:val="EndnoteText"/>
    <w:rsid w:val="00F8631B"/>
    <w:rPr>
      <w:rFonts w:ascii="Calibri" w:eastAsia="Calibri" w:hAnsi="Calibri" w:cs="Times New Roman"/>
      <w:sz w:val="20"/>
      <w:szCs w:val="20"/>
    </w:rPr>
  </w:style>
  <w:style w:type="paragraph" w:styleId="EndnoteText">
    <w:name w:val="endnote text"/>
    <w:basedOn w:val="Normal"/>
    <w:link w:val="EndnoteTextChar"/>
    <w:unhideWhenUsed/>
    <w:rsid w:val="00F8631B"/>
    <w:pPr>
      <w:spacing w:after="0" w:line="240" w:lineRule="auto"/>
    </w:pPr>
    <w:rPr>
      <w:rFonts w:eastAsia="Calibri"/>
      <w:kern w:val="2"/>
      <w:sz w:val="20"/>
      <w:szCs w:val="20"/>
      <w14:ligatures w14:val="standardContextual"/>
    </w:rPr>
  </w:style>
  <w:style w:type="character" w:customStyle="1" w:styleId="EndnoteTextChar1">
    <w:name w:val="Endnote Text Char1"/>
    <w:basedOn w:val="DefaultParagraphFont"/>
    <w:rsid w:val="00F8631B"/>
    <w:rPr>
      <w:rFonts w:ascii="Calibri" w:eastAsia="Times New Roman" w:hAnsi="Calibri" w:cs="Times New Roman"/>
      <w:kern w:val="0"/>
      <w:sz w:val="20"/>
      <w:szCs w:val="20"/>
      <w14:ligatures w14:val="none"/>
    </w:rPr>
  </w:style>
  <w:style w:type="paragraph" w:customStyle="1" w:styleId="Text">
    <w:name w:val="Text"/>
    <w:basedOn w:val="BodyText"/>
    <w:qFormat/>
    <w:rsid w:val="00F8631B"/>
    <w:pPr>
      <w:tabs>
        <w:tab w:val="left" w:pos="8640"/>
      </w:tabs>
      <w:jc w:val="center"/>
    </w:pPr>
    <w:rPr>
      <w:rFonts w:ascii="Times New Roman" w:hAnsi="Times New Roman"/>
      <w:b/>
      <w:bCs/>
      <w:lang w:val="en-US"/>
    </w:rPr>
  </w:style>
  <w:style w:type="paragraph" w:customStyle="1" w:styleId="CharCharCharCharCharCharCharCharCharCharCharChar">
    <w:name w:val="Char Char Char Char Char Char Char Char Char Char Char Char"/>
    <w:basedOn w:val="Normal"/>
    <w:autoRedefine/>
    <w:qFormat/>
    <w:rsid w:val="00F8631B"/>
    <w:pPr>
      <w:spacing w:before="60" w:after="160" w:line="240" w:lineRule="exact"/>
    </w:pPr>
    <w:rPr>
      <w:rFonts w:ascii="Trebuchet MS" w:hAnsi="Trebuchet MS"/>
      <w:sz w:val="20"/>
      <w:szCs w:val="20"/>
      <w:lang w:val="en-GB"/>
    </w:rPr>
  </w:style>
  <w:style w:type="paragraph" w:customStyle="1" w:styleId="riskfactorstyle">
    <w:name w:val="risk factor style"/>
    <w:autoRedefine/>
    <w:qFormat/>
    <w:rsid w:val="00F8631B"/>
    <w:pPr>
      <w:spacing w:after="0" w:line="240" w:lineRule="auto"/>
      <w:jc w:val="both"/>
    </w:pPr>
    <w:rPr>
      <w:rFonts w:ascii="Times New Roman" w:eastAsia="Times New Roman" w:hAnsi="Times New Roman" w:cs="Times New Roman"/>
      <w:bCs/>
      <w:iCs/>
      <w:kern w:val="0"/>
      <w14:ligatures w14:val="none"/>
    </w:rPr>
  </w:style>
  <w:style w:type="paragraph" w:customStyle="1" w:styleId="BoldNormal">
    <w:name w:val="Bold Normal"/>
    <w:basedOn w:val="Normal"/>
    <w:qFormat/>
    <w:rsid w:val="00F8631B"/>
    <w:pPr>
      <w:spacing w:after="0" w:line="240" w:lineRule="auto"/>
    </w:pPr>
    <w:rPr>
      <w:rFonts w:ascii="Arial" w:hAnsi="Arial" w:cs="Arial"/>
      <w:b/>
      <w:bCs/>
      <w:sz w:val="20"/>
      <w:szCs w:val="20"/>
    </w:rPr>
  </w:style>
  <w:style w:type="paragraph" w:styleId="TOC2">
    <w:name w:val="toc 2"/>
    <w:basedOn w:val="Normal"/>
    <w:next w:val="Normal"/>
    <w:autoRedefine/>
    <w:uiPriority w:val="39"/>
    <w:rsid w:val="00F8631B"/>
    <w:pPr>
      <w:spacing w:after="0"/>
      <w:ind w:left="547" w:hanging="547"/>
      <w:jc w:val="both"/>
    </w:pPr>
    <w:rPr>
      <w:b/>
      <w:i/>
    </w:rPr>
  </w:style>
  <w:style w:type="paragraph" w:customStyle="1" w:styleId="BodyText0">
    <w:name w:val="!Body_Text"/>
    <w:basedOn w:val="Normal"/>
    <w:link w:val="BodyTextChar0"/>
    <w:qFormat/>
    <w:rsid w:val="00F8631B"/>
    <w:pPr>
      <w:spacing w:before="100" w:after="100" w:line="240" w:lineRule="auto"/>
      <w:jc w:val="both"/>
    </w:pPr>
    <w:rPr>
      <w:rFonts w:ascii="Times New Roman" w:eastAsia="MS Mincho" w:hAnsi="Times New Roman"/>
      <w:sz w:val="20"/>
      <w:szCs w:val="20"/>
      <w:lang w:val="en-GB" w:eastAsia="x-none"/>
    </w:rPr>
  </w:style>
  <w:style w:type="character" w:customStyle="1" w:styleId="Heading3Char1">
    <w:name w:val="Heading 3 Char1"/>
    <w:aliases w:val="Reg#sNoBold Char1,4 dash Char1,3 Char1,d Char1,4 d Char1,e Char1,??? 3 Char1,h3 Char1,H3 Char1,h3 sub heading Char1,list 3 Char1,H3-Heading 3 Char1,l3.3 Char1,Double Space Char1,3 bullet Char,b Char,level_3 Char1,PIM 3 Char1,l3 Char1"/>
    <w:rsid w:val="00F8631B"/>
    <w:rPr>
      <w:rFonts w:eastAsia="MS Mincho"/>
      <w:b/>
      <w:noProof w:val="0"/>
      <w:lang w:val="en-GB" w:eastAsia="en-US" w:bidi="ar-SA"/>
    </w:rPr>
  </w:style>
  <w:style w:type="paragraph" w:styleId="BlockText">
    <w:name w:val="Block Text"/>
    <w:aliases w:val="bk"/>
    <w:basedOn w:val="Normal"/>
    <w:link w:val="BlockTextChar"/>
    <w:rsid w:val="00F8631B"/>
    <w:pPr>
      <w:shd w:val="clear" w:color="auto" w:fill="FFFFFF"/>
      <w:spacing w:after="0" w:line="240" w:lineRule="auto"/>
      <w:ind w:left="277" w:right="77" w:hanging="277"/>
      <w:jc w:val="both"/>
    </w:pPr>
    <w:rPr>
      <w:rFonts w:ascii="Times New Roman" w:hAnsi="Times New Roman"/>
      <w:color w:val="000000"/>
      <w:spacing w:val="-3"/>
      <w:w w:val="106"/>
      <w:sz w:val="20"/>
      <w:szCs w:val="20"/>
      <w:lang w:val="x-none" w:eastAsia="x-none"/>
    </w:rPr>
  </w:style>
  <w:style w:type="paragraph" w:customStyle="1" w:styleId="CM19">
    <w:name w:val="CM19"/>
    <w:basedOn w:val="Normal"/>
    <w:next w:val="Normal"/>
    <w:uiPriority w:val="99"/>
    <w:qFormat/>
    <w:rsid w:val="00F8631B"/>
    <w:pPr>
      <w:widowControl w:val="0"/>
      <w:autoSpaceDE w:val="0"/>
      <w:autoSpaceDN w:val="0"/>
      <w:adjustRightInd w:val="0"/>
      <w:spacing w:after="0" w:line="240" w:lineRule="auto"/>
    </w:pPr>
    <w:rPr>
      <w:rFonts w:ascii="Arial" w:hAnsi="Arial" w:cs="Arial"/>
      <w:sz w:val="24"/>
      <w:szCs w:val="24"/>
    </w:rPr>
  </w:style>
  <w:style w:type="paragraph" w:customStyle="1" w:styleId="CM25">
    <w:name w:val="CM25"/>
    <w:basedOn w:val="Normal"/>
    <w:next w:val="Normal"/>
    <w:uiPriority w:val="99"/>
    <w:qFormat/>
    <w:rsid w:val="00F8631B"/>
    <w:pPr>
      <w:widowControl w:val="0"/>
      <w:autoSpaceDE w:val="0"/>
      <w:autoSpaceDN w:val="0"/>
      <w:adjustRightInd w:val="0"/>
      <w:spacing w:after="0" w:line="240" w:lineRule="auto"/>
    </w:pPr>
    <w:rPr>
      <w:rFonts w:ascii="Arial" w:hAnsi="Arial" w:cs="Arial"/>
      <w:sz w:val="24"/>
      <w:szCs w:val="24"/>
    </w:rPr>
  </w:style>
  <w:style w:type="paragraph" w:customStyle="1" w:styleId="CM26">
    <w:name w:val="CM26"/>
    <w:basedOn w:val="Default"/>
    <w:next w:val="Default"/>
    <w:uiPriority w:val="99"/>
    <w:qFormat/>
    <w:rsid w:val="00F8631B"/>
    <w:pPr>
      <w:widowControl w:val="0"/>
    </w:pPr>
    <w:rPr>
      <w:rFonts w:ascii="Arial" w:eastAsia="Times New Roman" w:hAnsi="Arial" w:cs="Arial"/>
      <w:color w:val="auto"/>
    </w:rPr>
  </w:style>
  <w:style w:type="paragraph" w:customStyle="1" w:styleId="CM5">
    <w:name w:val="CM5"/>
    <w:basedOn w:val="Default"/>
    <w:next w:val="Default"/>
    <w:uiPriority w:val="99"/>
    <w:qFormat/>
    <w:rsid w:val="00F8631B"/>
    <w:pPr>
      <w:widowControl w:val="0"/>
      <w:spacing w:line="258" w:lineRule="atLeast"/>
    </w:pPr>
    <w:rPr>
      <w:rFonts w:ascii="Arial" w:eastAsia="Times New Roman" w:hAnsi="Arial" w:cs="Arial"/>
      <w:color w:val="auto"/>
    </w:rPr>
  </w:style>
  <w:style w:type="paragraph" w:customStyle="1" w:styleId="CM1">
    <w:name w:val="CM1"/>
    <w:basedOn w:val="Default"/>
    <w:next w:val="Default"/>
    <w:uiPriority w:val="99"/>
    <w:qFormat/>
    <w:rsid w:val="00F8631B"/>
    <w:pPr>
      <w:widowControl w:val="0"/>
    </w:pPr>
    <w:rPr>
      <w:rFonts w:ascii="Arial" w:eastAsia="Times New Roman" w:hAnsi="Arial" w:cs="Arial"/>
      <w:color w:val="auto"/>
    </w:rPr>
  </w:style>
  <w:style w:type="paragraph" w:customStyle="1" w:styleId="CM6">
    <w:name w:val="CM6"/>
    <w:basedOn w:val="Default"/>
    <w:next w:val="Default"/>
    <w:uiPriority w:val="99"/>
    <w:qFormat/>
    <w:rsid w:val="00F8631B"/>
    <w:pPr>
      <w:widowControl w:val="0"/>
      <w:spacing w:line="256" w:lineRule="atLeast"/>
    </w:pPr>
    <w:rPr>
      <w:rFonts w:ascii="Arial" w:eastAsia="Times New Roman" w:hAnsi="Arial" w:cs="Arial"/>
      <w:color w:val="auto"/>
    </w:rPr>
  </w:style>
  <w:style w:type="paragraph" w:customStyle="1" w:styleId="CM27">
    <w:name w:val="CM27"/>
    <w:basedOn w:val="Default"/>
    <w:next w:val="Default"/>
    <w:uiPriority w:val="99"/>
    <w:qFormat/>
    <w:rsid w:val="00F8631B"/>
    <w:pPr>
      <w:widowControl w:val="0"/>
    </w:pPr>
    <w:rPr>
      <w:rFonts w:ascii="Arial" w:eastAsia="Times New Roman" w:hAnsi="Arial" w:cs="Arial"/>
      <w:color w:val="auto"/>
    </w:rPr>
  </w:style>
  <w:style w:type="paragraph" w:customStyle="1" w:styleId="CM28">
    <w:name w:val="CM28"/>
    <w:basedOn w:val="Default"/>
    <w:next w:val="Default"/>
    <w:uiPriority w:val="99"/>
    <w:qFormat/>
    <w:rsid w:val="00F8631B"/>
    <w:pPr>
      <w:widowControl w:val="0"/>
    </w:pPr>
    <w:rPr>
      <w:rFonts w:ascii="Arial" w:eastAsia="Times New Roman" w:hAnsi="Arial" w:cs="Arial"/>
      <w:color w:val="auto"/>
    </w:rPr>
  </w:style>
  <w:style w:type="character" w:customStyle="1" w:styleId="HeaderChar3">
    <w:name w:val="Header Char3"/>
    <w:aliases w:val="*Header Char3,Bold Header Char3"/>
    <w:locked/>
    <w:rsid w:val="00F8631B"/>
    <w:rPr>
      <w:rFonts w:eastAsia="Times New Roman"/>
      <w:sz w:val="22"/>
      <w:szCs w:val="22"/>
    </w:rPr>
  </w:style>
  <w:style w:type="paragraph" w:customStyle="1" w:styleId="Style5">
    <w:name w:val="Style 5"/>
    <w:basedOn w:val="Normal"/>
    <w:qFormat/>
    <w:rsid w:val="00F8631B"/>
    <w:pPr>
      <w:widowControl w:val="0"/>
      <w:autoSpaceDE w:val="0"/>
      <w:autoSpaceDN w:val="0"/>
      <w:spacing w:before="108" w:after="0" w:line="240" w:lineRule="auto"/>
    </w:pPr>
    <w:rPr>
      <w:rFonts w:ascii="Times New Roman" w:eastAsia="Calibri" w:hAnsi="Times New Roman"/>
      <w:sz w:val="20"/>
      <w:szCs w:val="20"/>
    </w:rPr>
  </w:style>
  <w:style w:type="paragraph" w:customStyle="1" w:styleId="xl27">
    <w:name w:val="xl27"/>
    <w:basedOn w:val="Normal"/>
    <w:qFormat/>
    <w:rsid w:val="00F8631B"/>
    <w:pPr>
      <w:pBdr>
        <w:bottom w:val="single" w:sz="4" w:space="0" w:color="auto"/>
        <w:right w:val="single" w:sz="4" w:space="0" w:color="auto"/>
      </w:pBdr>
      <w:spacing w:before="100" w:beforeAutospacing="1" w:after="100" w:afterAutospacing="1" w:line="240" w:lineRule="auto"/>
      <w:jc w:val="both"/>
      <w:textAlignment w:val="top"/>
    </w:pPr>
    <w:rPr>
      <w:rFonts w:ascii="Verdana" w:eastAsia="Arial Unicode MS" w:hAnsi="Verdana" w:cs="Verdana"/>
      <w:sz w:val="18"/>
      <w:szCs w:val="18"/>
    </w:rPr>
  </w:style>
  <w:style w:type="paragraph" w:customStyle="1" w:styleId="xl38">
    <w:name w:val="xl38"/>
    <w:basedOn w:val="Normal"/>
    <w:qFormat/>
    <w:rsid w:val="00F8631B"/>
    <w:pPr>
      <w:pBdr>
        <w:bottom w:val="single" w:sz="8" w:space="0" w:color="auto"/>
      </w:pBdr>
      <w:spacing w:before="100" w:beforeAutospacing="1" w:after="100" w:afterAutospacing="1" w:line="240" w:lineRule="auto"/>
      <w:jc w:val="both"/>
    </w:pPr>
    <w:rPr>
      <w:rFonts w:ascii="Arial" w:eastAsia="Arial Unicode MS" w:hAnsi="Arial" w:cs="Arial"/>
      <w:b/>
      <w:bCs/>
      <w:sz w:val="24"/>
      <w:szCs w:val="24"/>
    </w:rPr>
  </w:style>
  <w:style w:type="paragraph" w:customStyle="1" w:styleId="fonts">
    <w:name w:val="fonts"/>
    <w:basedOn w:val="Normal"/>
    <w:qFormat/>
    <w:rsid w:val="00F8631B"/>
    <w:pPr>
      <w:spacing w:before="100" w:beforeAutospacing="1" w:after="100" w:afterAutospacing="1" w:line="240" w:lineRule="auto"/>
      <w:jc w:val="both"/>
    </w:pPr>
    <w:rPr>
      <w:rFonts w:ascii="Verdana" w:eastAsia="Arial Unicode MS" w:hAnsi="Verdana" w:cs="Verdana"/>
      <w:color w:val="333333"/>
      <w:sz w:val="18"/>
      <w:szCs w:val="18"/>
    </w:rPr>
  </w:style>
  <w:style w:type="character" w:customStyle="1" w:styleId="Heading2Char1">
    <w:name w:val="Heading 2 Char1"/>
    <w:aliases w:val="o Char1,bold heading Char1,Section Char1,A Head Char1,h2 Char1,H2 Char1,Heading 2 Fake Char1,14pt Char1,Reset numbering Char1,Reset numbering_Subsection Char1,B Heading Char1,2 Char1,Kop Char1,Grey PGs Char1,2 headline Char1,h Char1"/>
    <w:uiPriority w:val="9"/>
    <w:locked/>
    <w:rsid w:val="00F8631B"/>
    <w:rPr>
      <w:rFonts w:ascii="Helvetica" w:eastAsia="Calibri" w:hAnsi="Helvetica" w:cs="Helvetica"/>
      <w:b/>
      <w:bCs/>
      <w:color w:val="FFFFFF"/>
      <w:sz w:val="18"/>
      <w:szCs w:val="18"/>
      <w:lang w:val="en-US"/>
    </w:rPr>
  </w:style>
  <w:style w:type="paragraph" w:customStyle="1" w:styleId="subhead3">
    <w:name w:val="subhead3"/>
    <w:qFormat/>
    <w:rsid w:val="00F8631B"/>
    <w:pPr>
      <w:autoSpaceDE w:val="0"/>
      <w:autoSpaceDN w:val="0"/>
      <w:adjustRightInd w:val="0"/>
      <w:spacing w:after="288" w:line="240" w:lineRule="auto"/>
      <w:jc w:val="center"/>
    </w:pPr>
    <w:rPr>
      <w:rFonts w:ascii="Arial" w:eastAsia="Calibri" w:hAnsi="Arial" w:cs="Arial"/>
      <w:b/>
      <w:bCs/>
      <w:caps/>
      <w:spacing w:val="15"/>
      <w:kern w:val="0"/>
      <w:sz w:val="20"/>
      <w:szCs w:val="20"/>
      <w14:ligatures w14:val="none"/>
    </w:rPr>
  </w:style>
  <w:style w:type="paragraph" w:customStyle="1" w:styleId="Style1">
    <w:name w:val="Style 1"/>
    <w:basedOn w:val="Normal"/>
    <w:qFormat/>
    <w:rsid w:val="00F8631B"/>
    <w:pPr>
      <w:widowControl w:val="0"/>
      <w:autoSpaceDE w:val="0"/>
      <w:autoSpaceDN w:val="0"/>
      <w:spacing w:after="0" w:line="240" w:lineRule="auto"/>
      <w:jc w:val="center"/>
    </w:pPr>
    <w:rPr>
      <w:rFonts w:ascii="Times New Roman" w:eastAsia="Calibri" w:hAnsi="Times New Roman"/>
      <w:sz w:val="20"/>
      <w:szCs w:val="20"/>
    </w:rPr>
  </w:style>
  <w:style w:type="paragraph" w:customStyle="1" w:styleId="Style20">
    <w:name w:val="Style 2"/>
    <w:basedOn w:val="Normal"/>
    <w:qFormat/>
    <w:rsid w:val="00F8631B"/>
    <w:pPr>
      <w:widowControl w:val="0"/>
      <w:autoSpaceDE w:val="0"/>
      <w:autoSpaceDN w:val="0"/>
      <w:spacing w:after="0" w:line="240" w:lineRule="auto"/>
      <w:ind w:left="288" w:hanging="288"/>
      <w:jc w:val="both"/>
    </w:pPr>
    <w:rPr>
      <w:rFonts w:ascii="Times New Roman" w:eastAsia="Calibri" w:hAnsi="Times New Roman"/>
      <w:sz w:val="20"/>
      <w:szCs w:val="20"/>
    </w:rPr>
  </w:style>
  <w:style w:type="paragraph" w:customStyle="1" w:styleId="Style30">
    <w:name w:val="Style 3"/>
    <w:basedOn w:val="Normal"/>
    <w:qFormat/>
    <w:rsid w:val="00F8631B"/>
    <w:pPr>
      <w:widowControl w:val="0"/>
      <w:autoSpaceDE w:val="0"/>
      <w:autoSpaceDN w:val="0"/>
      <w:spacing w:after="0" w:line="240" w:lineRule="auto"/>
      <w:ind w:left="360" w:hanging="360"/>
    </w:pPr>
    <w:rPr>
      <w:rFonts w:ascii="Times New Roman" w:eastAsia="Calibri" w:hAnsi="Times New Roman"/>
      <w:sz w:val="20"/>
      <w:szCs w:val="20"/>
    </w:rPr>
  </w:style>
  <w:style w:type="paragraph" w:customStyle="1" w:styleId="Style40">
    <w:name w:val="Style 4"/>
    <w:basedOn w:val="Normal"/>
    <w:qFormat/>
    <w:rsid w:val="00F8631B"/>
    <w:pPr>
      <w:widowControl w:val="0"/>
      <w:autoSpaceDE w:val="0"/>
      <w:autoSpaceDN w:val="0"/>
      <w:spacing w:after="0" w:line="360" w:lineRule="auto"/>
    </w:pPr>
    <w:rPr>
      <w:rFonts w:ascii="Times New Roman" w:eastAsia="Calibri" w:hAnsi="Times New Roman"/>
      <w:sz w:val="20"/>
      <w:szCs w:val="20"/>
    </w:rPr>
  </w:style>
  <w:style w:type="paragraph" w:customStyle="1" w:styleId="Style6">
    <w:name w:val="Style 6"/>
    <w:basedOn w:val="Normal"/>
    <w:qFormat/>
    <w:rsid w:val="00F8631B"/>
    <w:pPr>
      <w:widowControl w:val="0"/>
      <w:autoSpaceDE w:val="0"/>
      <w:autoSpaceDN w:val="0"/>
      <w:spacing w:after="0" w:line="240" w:lineRule="auto"/>
      <w:ind w:left="720"/>
    </w:pPr>
    <w:rPr>
      <w:rFonts w:ascii="Times New Roman" w:eastAsia="Calibri" w:hAnsi="Times New Roman"/>
      <w:sz w:val="20"/>
      <w:szCs w:val="20"/>
    </w:rPr>
  </w:style>
  <w:style w:type="paragraph" w:customStyle="1" w:styleId="Style7">
    <w:name w:val="Style 7"/>
    <w:basedOn w:val="Normal"/>
    <w:qFormat/>
    <w:rsid w:val="00F8631B"/>
    <w:pPr>
      <w:widowControl w:val="0"/>
      <w:autoSpaceDE w:val="0"/>
      <w:autoSpaceDN w:val="0"/>
      <w:spacing w:before="108" w:after="0" w:line="240" w:lineRule="auto"/>
      <w:ind w:hanging="360"/>
    </w:pPr>
    <w:rPr>
      <w:rFonts w:ascii="Times New Roman" w:eastAsia="Calibri" w:hAnsi="Times New Roman"/>
      <w:sz w:val="20"/>
      <w:szCs w:val="20"/>
    </w:rPr>
  </w:style>
  <w:style w:type="paragraph" w:customStyle="1" w:styleId="Style8">
    <w:name w:val="Style 8"/>
    <w:basedOn w:val="Normal"/>
    <w:qFormat/>
    <w:rsid w:val="00F8631B"/>
    <w:pPr>
      <w:widowControl w:val="0"/>
      <w:autoSpaceDE w:val="0"/>
      <w:autoSpaceDN w:val="0"/>
      <w:spacing w:after="0" w:line="360" w:lineRule="auto"/>
      <w:ind w:left="432" w:hanging="360"/>
    </w:pPr>
    <w:rPr>
      <w:rFonts w:ascii="Times New Roman" w:eastAsia="Calibri" w:hAnsi="Times New Roman"/>
      <w:sz w:val="20"/>
      <w:szCs w:val="20"/>
    </w:rPr>
  </w:style>
  <w:style w:type="paragraph" w:customStyle="1" w:styleId="Style11">
    <w:name w:val="Style 11"/>
    <w:basedOn w:val="Normal"/>
    <w:qFormat/>
    <w:rsid w:val="00F8631B"/>
    <w:pPr>
      <w:widowControl w:val="0"/>
      <w:autoSpaceDE w:val="0"/>
      <w:autoSpaceDN w:val="0"/>
      <w:spacing w:before="108" w:after="0" w:line="204" w:lineRule="exact"/>
    </w:pPr>
    <w:rPr>
      <w:rFonts w:ascii="Times New Roman" w:eastAsia="Calibri" w:hAnsi="Times New Roman"/>
      <w:sz w:val="20"/>
      <w:szCs w:val="20"/>
    </w:rPr>
  </w:style>
  <w:style w:type="paragraph" w:customStyle="1" w:styleId="Style10">
    <w:name w:val="Style 10"/>
    <w:basedOn w:val="Normal"/>
    <w:qFormat/>
    <w:rsid w:val="00F8631B"/>
    <w:pPr>
      <w:widowControl w:val="0"/>
      <w:autoSpaceDE w:val="0"/>
      <w:autoSpaceDN w:val="0"/>
      <w:adjustRightInd w:val="0"/>
      <w:spacing w:after="0" w:line="240" w:lineRule="auto"/>
    </w:pPr>
    <w:rPr>
      <w:rFonts w:ascii="Times New Roman" w:eastAsia="Calibri" w:hAnsi="Times New Roman"/>
      <w:sz w:val="20"/>
      <w:szCs w:val="20"/>
    </w:rPr>
  </w:style>
  <w:style w:type="paragraph" w:customStyle="1" w:styleId="Style9">
    <w:name w:val="Style 9"/>
    <w:basedOn w:val="Normal"/>
    <w:qFormat/>
    <w:rsid w:val="00F8631B"/>
    <w:pPr>
      <w:widowControl w:val="0"/>
      <w:autoSpaceDE w:val="0"/>
      <w:autoSpaceDN w:val="0"/>
      <w:spacing w:before="108" w:after="0" w:line="240" w:lineRule="auto"/>
      <w:ind w:left="720" w:hanging="360"/>
      <w:jc w:val="both"/>
    </w:pPr>
    <w:rPr>
      <w:rFonts w:ascii="Times New Roman" w:eastAsia="Calibri" w:hAnsi="Times New Roman"/>
      <w:sz w:val="20"/>
      <w:szCs w:val="20"/>
    </w:rPr>
  </w:style>
  <w:style w:type="paragraph" w:customStyle="1" w:styleId="ReferenceLine">
    <w:name w:val="Reference Line"/>
    <w:basedOn w:val="BodyText"/>
    <w:qFormat/>
    <w:rsid w:val="00F8631B"/>
    <w:rPr>
      <w:rFonts w:ascii="Times New Roman" w:eastAsia="Calibri" w:hAnsi="Times New Roman"/>
      <w:lang w:val="en-US"/>
    </w:rPr>
  </w:style>
  <w:style w:type="character" w:styleId="PageNumber">
    <w:name w:val="page number"/>
    <w:rsid w:val="00F8631B"/>
    <w:rPr>
      <w:rFonts w:cs="Times New Roman"/>
    </w:rPr>
  </w:style>
  <w:style w:type="paragraph" w:styleId="ListBullet">
    <w:name w:val="List Bullet"/>
    <w:basedOn w:val="Normal"/>
    <w:autoRedefine/>
    <w:uiPriority w:val="99"/>
    <w:qFormat/>
    <w:rsid w:val="00F8631B"/>
    <w:pPr>
      <w:tabs>
        <w:tab w:val="num" w:pos="360"/>
      </w:tabs>
      <w:spacing w:after="0" w:line="240" w:lineRule="auto"/>
      <w:ind w:left="360" w:hanging="360"/>
    </w:pPr>
    <w:rPr>
      <w:rFonts w:ascii="Times New Roman" w:eastAsia="Calibri" w:hAnsi="Times New Roman"/>
      <w:sz w:val="20"/>
      <w:szCs w:val="20"/>
    </w:rPr>
  </w:style>
  <w:style w:type="paragraph" w:styleId="NoteHeading">
    <w:name w:val="Note Heading"/>
    <w:basedOn w:val="Normal"/>
    <w:next w:val="Normal"/>
    <w:link w:val="NoteHeadingChar"/>
    <w:rsid w:val="00F8631B"/>
    <w:pPr>
      <w:spacing w:before="120" w:after="120" w:line="240" w:lineRule="auto"/>
      <w:jc w:val="both"/>
    </w:pPr>
    <w:rPr>
      <w:rFonts w:ascii="Verdana" w:eastAsia="Calibri" w:hAnsi="Verdana"/>
      <w:b/>
      <w:bCs/>
      <w:sz w:val="20"/>
      <w:szCs w:val="20"/>
      <w:lang w:val="en-GB" w:eastAsia="x-none"/>
    </w:rPr>
  </w:style>
  <w:style w:type="character" w:customStyle="1" w:styleId="NoteHeadingChar">
    <w:name w:val="Note Heading Char"/>
    <w:basedOn w:val="DefaultParagraphFont"/>
    <w:link w:val="NoteHeading"/>
    <w:rsid w:val="00F8631B"/>
    <w:rPr>
      <w:rFonts w:ascii="Verdana" w:eastAsia="Calibri" w:hAnsi="Verdana" w:cs="Times New Roman"/>
      <w:b/>
      <w:bCs/>
      <w:kern w:val="0"/>
      <w:sz w:val="20"/>
      <w:szCs w:val="20"/>
      <w:lang w:val="en-GB" w:eastAsia="x-none"/>
      <w14:ligatures w14:val="none"/>
    </w:rPr>
  </w:style>
  <w:style w:type="paragraph" w:styleId="Caption">
    <w:name w:val="caption"/>
    <w:aliases w:val="Caption Char Char Char Char Char Char Char Char Char Char Char Char,Caption1,Caption Char Char Char,Caption Char Char,Caption1 Char Char Char Char,Caption1 Char Char Char,Caption1 Char,Caption Char Char1 Char Char"/>
    <w:basedOn w:val="Normal"/>
    <w:next w:val="Normal"/>
    <w:uiPriority w:val="35"/>
    <w:qFormat/>
    <w:rsid w:val="00F8631B"/>
    <w:pPr>
      <w:spacing w:after="0" w:line="240" w:lineRule="auto"/>
      <w:jc w:val="both"/>
    </w:pPr>
    <w:rPr>
      <w:rFonts w:ascii="Verdana" w:eastAsia="Calibri" w:hAnsi="Verdana" w:cs="Verdana"/>
      <w:b/>
      <w:bCs/>
      <w:sz w:val="18"/>
      <w:szCs w:val="18"/>
    </w:rPr>
  </w:style>
  <w:style w:type="paragraph" w:styleId="List3">
    <w:name w:val="List 3"/>
    <w:basedOn w:val="Normal"/>
    <w:rsid w:val="00F8631B"/>
    <w:pPr>
      <w:tabs>
        <w:tab w:val="num" w:pos="360"/>
      </w:tabs>
      <w:spacing w:before="120" w:after="120" w:line="240" w:lineRule="auto"/>
      <w:ind w:left="360" w:hanging="360"/>
      <w:jc w:val="both"/>
    </w:pPr>
    <w:rPr>
      <w:rFonts w:ascii="Verdana" w:eastAsia="Calibri" w:hAnsi="Verdana" w:cs="Verdana"/>
      <w:sz w:val="18"/>
      <w:szCs w:val="18"/>
    </w:rPr>
  </w:style>
  <w:style w:type="paragraph" w:customStyle="1" w:styleId="normalbullets">
    <w:name w:val="normal bullets"/>
    <w:basedOn w:val="Normal"/>
    <w:qFormat/>
    <w:rsid w:val="00F8631B"/>
    <w:pPr>
      <w:tabs>
        <w:tab w:val="num" w:pos="720"/>
      </w:tabs>
      <w:spacing w:before="60" w:after="60" w:line="240" w:lineRule="auto"/>
      <w:ind w:left="720" w:hanging="360"/>
    </w:pPr>
    <w:rPr>
      <w:rFonts w:ascii="Verdana" w:eastAsia="Calibri" w:hAnsi="Verdana" w:cs="Verdana"/>
      <w:sz w:val="20"/>
      <w:szCs w:val="20"/>
    </w:rPr>
  </w:style>
  <w:style w:type="paragraph" w:styleId="ListNumber">
    <w:name w:val="List Number"/>
    <w:basedOn w:val="Normal"/>
    <w:rsid w:val="00F8631B"/>
    <w:pPr>
      <w:widowControl w:val="0"/>
      <w:tabs>
        <w:tab w:val="num" w:pos="360"/>
      </w:tabs>
      <w:spacing w:before="120" w:after="120" w:line="240" w:lineRule="auto"/>
      <w:ind w:left="360" w:hanging="360"/>
      <w:jc w:val="both"/>
    </w:pPr>
    <w:rPr>
      <w:rFonts w:ascii="Verdana" w:eastAsia="Calibri" w:hAnsi="Verdana" w:cs="Verdana"/>
      <w:sz w:val="18"/>
      <w:szCs w:val="18"/>
    </w:rPr>
  </w:style>
  <w:style w:type="paragraph" w:styleId="List">
    <w:name w:val="List"/>
    <w:basedOn w:val="ListNumber"/>
    <w:rsid w:val="00F8631B"/>
    <w:pPr>
      <w:widowControl/>
      <w:tabs>
        <w:tab w:val="clear" w:pos="360"/>
        <w:tab w:val="num" w:pos="432"/>
        <w:tab w:val="num" w:pos="720"/>
      </w:tabs>
      <w:ind w:left="504" w:hanging="504"/>
    </w:pPr>
  </w:style>
  <w:style w:type="paragraph" w:styleId="List2">
    <w:name w:val="List 2"/>
    <w:basedOn w:val="Normal"/>
    <w:rsid w:val="00F8631B"/>
    <w:pPr>
      <w:widowControl w:val="0"/>
      <w:tabs>
        <w:tab w:val="num" w:pos="360"/>
      </w:tabs>
      <w:spacing w:before="120" w:after="120" w:line="240" w:lineRule="auto"/>
      <w:ind w:left="360" w:hanging="360"/>
      <w:jc w:val="both"/>
    </w:pPr>
    <w:rPr>
      <w:rFonts w:ascii="Verdana" w:eastAsia="Calibri" w:hAnsi="Verdana" w:cs="Verdana"/>
      <w:b/>
      <w:bCs/>
      <w:sz w:val="18"/>
      <w:szCs w:val="18"/>
    </w:rPr>
  </w:style>
  <w:style w:type="paragraph" w:styleId="ListBullet2">
    <w:name w:val="List Bullet 2"/>
    <w:basedOn w:val="Normal"/>
    <w:autoRedefine/>
    <w:rsid w:val="00F8631B"/>
    <w:pPr>
      <w:keepNext/>
      <w:keepLines/>
      <w:widowControl w:val="0"/>
      <w:tabs>
        <w:tab w:val="num" w:pos="720"/>
        <w:tab w:val="left" w:pos="13160"/>
      </w:tabs>
      <w:spacing w:after="0" w:line="240" w:lineRule="auto"/>
      <w:ind w:left="720" w:hanging="360"/>
      <w:jc w:val="both"/>
    </w:pPr>
    <w:rPr>
      <w:rFonts w:ascii="Century Gothic" w:eastAsia="Calibri" w:hAnsi="Century Gothic" w:cs="Century Gothic"/>
      <w:sz w:val="20"/>
      <w:szCs w:val="20"/>
      <w:lang w:val="en-GB"/>
    </w:rPr>
  </w:style>
  <w:style w:type="paragraph" w:styleId="ListBullet3">
    <w:name w:val="List Bullet 3"/>
    <w:basedOn w:val="Normal"/>
    <w:autoRedefine/>
    <w:rsid w:val="00F8631B"/>
    <w:pPr>
      <w:widowControl w:val="0"/>
      <w:tabs>
        <w:tab w:val="num" w:pos="1080"/>
        <w:tab w:val="left" w:pos="13160"/>
      </w:tabs>
      <w:spacing w:after="0" w:line="240" w:lineRule="auto"/>
      <w:ind w:left="1080" w:hanging="360"/>
      <w:jc w:val="both"/>
    </w:pPr>
    <w:rPr>
      <w:rFonts w:ascii="Century Gothic" w:eastAsia="Calibri" w:hAnsi="Century Gothic" w:cs="Century Gothic"/>
      <w:sz w:val="20"/>
      <w:szCs w:val="20"/>
      <w:lang w:val="en-GB"/>
    </w:rPr>
  </w:style>
  <w:style w:type="paragraph" w:styleId="ListNumber2">
    <w:name w:val="List Number 2"/>
    <w:basedOn w:val="Normal"/>
    <w:rsid w:val="00F8631B"/>
    <w:pPr>
      <w:widowControl w:val="0"/>
      <w:tabs>
        <w:tab w:val="num" w:pos="1080"/>
        <w:tab w:val="left" w:pos="13160"/>
      </w:tabs>
      <w:autoSpaceDE w:val="0"/>
      <w:autoSpaceDN w:val="0"/>
      <w:spacing w:before="60" w:after="60" w:line="200" w:lineRule="exact"/>
      <w:ind w:left="1080" w:hanging="360"/>
      <w:jc w:val="both"/>
    </w:pPr>
    <w:rPr>
      <w:rFonts w:ascii="Century Gothic" w:eastAsia="Calibri" w:hAnsi="Century Gothic" w:cs="Century Gothic"/>
      <w:sz w:val="20"/>
      <w:szCs w:val="20"/>
      <w:lang w:val="en-GB"/>
    </w:rPr>
  </w:style>
  <w:style w:type="paragraph" w:customStyle="1" w:styleId="Style12">
    <w:name w:val="Style1"/>
    <w:basedOn w:val="Normal"/>
    <w:autoRedefine/>
    <w:qFormat/>
    <w:rsid w:val="00F8631B"/>
    <w:pPr>
      <w:pageBreakBefore/>
      <w:shd w:val="pct10" w:color="auto" w:fill="auto"/>
      <w:tabs>
        <w:tab w:val="num" w:pos="720"/>
        <w:tab w:val="num" w:pos="1080"/>
        <w:tab w:val="left" w:pos="13160"/>
      </w:tabs>
      <w:spacing w:after="240" w:line="240" w:lineRule="auto"/>
      <w:ind w:left="360" w:hanging="360"/>
      <w:jc w:val="both"/>
    </w:pPr>
    <w:rPr>
      <w:rFonts w:ascii="Arial Narrow" w:eastAsia="Calibri" w:hAnsi="Arial Narrow" w:cs="Arial Narrow"/>
      <w:b/>
      <w:bCs/>
      <w:sz w:val="28"/>
      <w:szCs w:val="28"/>
      <w:lang w:val="en-GB"/>
    </w:rPr>
  </w:style>
  <w:style w:type="paragraph" w:customStyle="1" w:styleId="xl25">
    <w:name w:val="xl25"/>
    <w:basedOn w:val="Normal"/>
    <w:qFormat/>
    <w:rsid w:val="00F8631B"/>
    <w:pPr>
      <w:pBdr>
        <w:bottom w:val="single" w:sz="8" w:space="0" w:color="auto"/>
      </w:pBdr>
      <w:spacing w:before="100" w:beforeAutospacing="1" w:after="100" w:afterAutospacing="1" w:line="240" w:lineRule="auto"/>
      <w:jc w:val="both"/>
    </w:pPr>
    <w:rPr>
      <w:rFonts w:ascii="Arial Unicode MS" w:eastAsia="Arial Unicode MS" w:hAnsi="Arial Unicode MS" w:cs="Arial Unicode MS"/>
      <w:sz w:val="24"/>
      <w:szCs w:val="24"/>
    </w:rPr>
  </w:style>
  <w:style w:type="paragraph" w:customStyle="1" w:styleId="xl51">
    <w:name w:val="xl51"/>
    <w:basedOn w:val="Normal"/>
    <w:qFormat/>
    <w:rsid w:val="00F8631B"/>
    <w:pPr>
      <w:pBdr>
        <w:right w:val="single" w:sz="4" w:space="0" w:color="auto"/>
      </w:pBdr>
      <w:spacing w:before="100" w:beforeAutospacing="1" w:after="100" w:afterAutospacing="1" w:line="240" w:lineRule="auto"/>
      <w:jc w:val="right"/>
      <w:textAlignment w:val="top"/>
    </w:pPr>
    <w:rPr>
      <w:rFonts w:ascii="Verdana" w:eastAsia="Arial Unicode MS" w:hAnsi="Verdana" w:cs="Verdana"/>
      <w:sz w:val="18"/>
      <w:szCs w:val="18"/>
    </w:rPr>
  </w:style>
  <w:style w:type="character" w:customStyle="1" w:styleId="textnotmal1">
    <w:name w:val="textnotmal1"/>
    <w:rsid w:val="00F8631B"/>
    <w:rPr>
      <w:rFonts w:ascii="Arial" w:hAnsi="Arial" w:cs="Arial"/>
      <w:color w:val="000000"/>
      <w:sz w:val="22"/>
      <w:szCs w:val="22"/>
      <w:u w:val="none"/>
      <w:effect w:val="none"/>
    </w:rPr>
  </w:style>
  <w:style w:type="paragraph" w:customStyle="1" w:styleId="TableText">
    <w:name w:val="Table Text"/>
    <w:aliases w:val="table text,txt,Small,s,Table text,sm"/>
    <w:basedOn w:val="Normal"/>
    <w:qFormat/>
    <w:rsid w:val="00F8631B"/>
    <w:pPr>
      <w:suppressAutoHyphens/>
      <w:spacing w:after="0" w:line="240" w:lineRule="auto"/>
      <w:jc w:val="both"/>
    </w:pPr>
    <w:rPr>
      <w:rFonts w:ascii="Zurich BT" w:eastAsia="Calibri" w:hAnsi="Zurich BT" w:cs="Zurich BT"/>
    </w:rPr>
  </w:style>
  <w:style w:type="paragraph" w:customStyle="1" w:styleId="BodyText21">
    <w:name w:val="Body Text 21"/>
    <w:basedOn w:val="Normal"/>
    <w:qFormat/>
    <w:rsid w:val="00F8631B"/>
    <w:pPr>
      <w:widowControl w:val="0"/>
      <w:spacing w:after="0" w:line="240" w:lineRule="auto"/>
      <w:jc w:val="both"/>
    </w:pPr>
    <w:rPr>
      <w:rFonts w:ascii="Times New Roman" w:eastAsia="Calibri" w:hAnsi="Times New Roman"/>
      <w:sz w:val="20"/>
      <w:szCs w:val="20"/>
    </w:rPr>
  </w:style>
  <w:style w:type="paragraph" w:customStyle="1" w:styleId="NumberList">
    <w:name w:val="Number List"/>
    <w:basedOn w:val="Normal"/>
    <w:qFormat/>
    <w:rsid w:val="00F8631B"/>
    <w:pPr>
      <w:tabs>
        <w:tab w:val="left" w:pos="90"/>
      </w:tabs>
      <w:suppressAutoHyphens/>
      <w:overflowPunct w:val="0"/>
      <w:autoSpaceDE w:val="0"/>
      <w:autoSpaceDN w:val="0"/>
      <w:adjustRightInd w:val="0"/>
      <w:spacing w:after="0" w:line="240" w:lineRule="auto"/>
      <w:jc w:val="both"/>
      <w:textAlignment w:val="baseline"/>
    </w:pPr>
    <w:rPr>
      <w:rFonts w:ascii="Zurich BT" w:eastAsia="Calibri" w:hAnsi="Zurich BT" w:cs="Zurich BT"/>
      <w:lang w:val="en-GB"/>
    </w:rPr>
  </w:style>
  <w:style w:type="paragraph" w:customStyle="1" w:styleId="BodyText22">
    <w:name w:val="Body Text 22"/>
    <w:basedOn w:val="Normal"/>
    <w:qFormat/>
    <w:rsid w:val="00F8631B"/>
    <w:pPr>
      <w:widowControl w:val="0"/>
      <w:spacing w:after="0" w:line="360" w:lineRule="auto"/>
      <w:jc w:val="both"/>
    </w:pPr>
    <w:rPr>
      <w:rFonts w:ascii="Book Antiqua" w:eastAsia="Calibri" w:hAnsi="Book Antiqua" w:cs="Book Antiqua"/>
      <w:sz w:val="20"/>
      <w:szCs w:val="20"/>
    </w:rPr>
  </w:style>
  <w:style w:type="paragraph" w:customStyle="1" w:styleId="xl24">
    <w:name w:val="xl24"/>
    <w:basedOn w:val="Normal"/>
    <w:qFormat/>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Arial Unicode MS" w:hAnsi="Arial" w:cs="Arial"/>
      <w:b/>
      <w:bCs/>
      <w:sz w:val="24"/>
      <w:szCs w:val="24"/>
    </w:rPr>
  </w:style>
  <w:style w:type="paragraph" w:customStyle="1" w:styleId="xl26">
    <w:name w:val="xl26"/>
    <w:basedOn w:val="Normal"/>
    <w:qFormat/>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b/>
      <w:bCs/>
      <w:sz w:val="24"/>
      <w:szCs w:val="24"/>
    </w:rPr>
  </w:style>
  <w:style w:type="paragraph" w:customStyle="1" w:styleId="xl28">
    <w:name w:val="xl28"/>
    <w:basedOn w:val="Normal"/>
    <w:qFormat/>
    <w:rsid w:val="00F8631B"/>
    <w:pPr>
      <w:pBdr>
        <w:top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rPr>
  </w:style>
  <w:style w:type="paragraph" w:customStyle="1" w:styleId="xl29">
    <w:name w:val="xl29"/>
    <w:basedOn w:val="Normal"/>
    <w:qFormat/>
    <w:rsid w:val="00F8631B"/>
    <w:pPr>
      <w:pBdr>
        <w:left w:val="single" w:sz="4" w:space="0" w:color="auto"/>
      </w:pBdr>
      <w:spacing w:before="100" w:beforeAutospacing="1" w:after="100" w:afterAutospacing="1" w:line="240" w:lineRule="auto"/>
    </w:pPr>
    <w:rPr>
      <w:rFonts w:ascii="Arial" w:eastAsia="Arial Unicode MS" w:hAnsi="Arial" w:cs="Arial"/>
      <w:b/>
      <w:bCs/>
      <w:sz w:val="24"/>
      <w:szCs w:val="24"/>
    </w:rPr>
  </w:style>
  <w:style w:type="paragraph" w:customStyle="1" w:styleId="xl30">
    <w:name w:val="xl30"/>
    <w:basedOn w:val="Normal"/>
    <w:qFormat/>
    <w:rsid w:val="00F8631B"/>
    <w:pPr>
      <w:pBdr>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1">
    <w:name w:val="xl31"/>
    <w:basedOn w:val="Normal"/>
    <w:qFormat/>
    <w:rsid w:val="00F8631B"/>
    <w:pPr>
      <w:pBdr>
        <w:left w:val="single" w:sz="4" w:space="0" w:color="auto"/>
      </w:pBdr>
      <w:spacing w:before="100" w:beforeAutospacing="1" w:after="100" w:afterAutospacing="1" w:line="240" w:lineRule="auto"/>
    </w:pPr>
    <w:rPr>
      <w:rFonts w:ascii="Arial" w:eastAsia="Arial Unicode MS" w:hAnsi="Arial" w:cs="Arial"/>
      <w:sz w:val="24"/>
      <w:szCs w:val="24"/>
    </w:rPr>
  </w:style>
  <w:style w:type="paragraph" w:customStyle="1" w:styleId="xl32">
    <w:name w:val="xl32"/>
    <w:basedOn w:val="Normal"/>
    <w:qFormat/>
    <w:rsid w:val="00F8631B"/>
    <w:pPr>
      <w:pBdr>
        <w:lef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3">
    <w:name w:val="xl33"/>
    <w:basedOn w:val="Normal"/>
    <w:qFormat/>
    <w:rsid w:val="00F8631B"/>
    <w:pPr>
      <w:pBdr>
        <w:left w:val="single" w:sz="4" w:space="0" w:color="auto"/>
        <w:bottom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4">
    <w:name w:val="xl34"/>
    <w:basedOn w:val="Normal"/>
    <w:qFormat/>
    <w:rsid w:val="00F8631B"/>
    <w:pPr>
      <w:pBdr>
        <w:bottom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5">
    <w:name w:val="xl35"/>
    <w:basedOn w:val="Normal"/>
    <w:qFormat/>
    <w:rsid w:val="00F8631B"/>
    <w:pPr>
      <w:pBdr>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36">
    <w:name w:val="xl36"/>
    <w:basedOn w:val="Normal"/>
    <w:qFormat/>
    <w:rsid w:val="00F8631B"/>
    <w:pPr>
      <w:pBdr>
        <w:top w:val="single" w:sz="4" w:space="0" w:color="auto"/>
        <w:left w:val="single" w:sz="4" w:space="0" w:color="auto"/>
      </w:pBdr>
      <w:spacing w:before="100" w:beforeAutospacing="1" w:after="100" w:afterAutospacing="1" w:line="240" w:lineRule="auto"/>
      <w:jc w:val="center"/>
    </w:pPr>
    <w:rPr>
      <w:rFonts w:ascii="Arial" w:eastAsia="Arial Unicode MS" w:hAnsi="Arial" w:cs="Arial"/>
      <w:b/>
      <w:bCs/>
      <w:sz w:val="24"/>
      <w:szCs w:val="24"/>
    </w:rPr>
  </w:style>
  <w:style w:type="paragraph" w:customStyle="1" w:styleId="xl37">
    <w:name w:val="xl37"/>
    <w:basedOn w:val="Normal"/>
    <w:qFormat/>
    <w:rsid w:val="00F8631B"/>
    <w:pPr>
      <w:pBdr>
        <w:left w:val="single" w:sz="4" w:space="0" w:color="auto"/>
      </w:pBdr>
      <w:spacing w:before="100" w:beforeAutospacing="1" w:after="100" w:afterAutospacing="1" w:line="240" w:lineRule="auto"/>
    </w:pPr>
    <w:rPr>
      <w:rFonts w:ascii="Arial" w:eastAsia="Arial Unicode MS" w:hAnsi="Arial" w:cs="Arial"/>
      <w:color w:val="FF0000"/>
      <w:sz w:val="24"/>
      <w:szCs w:val="24"/>
    </w:rPr>
  </w:style>
  <w:style w:type="paragraph" w:customStyle="1" w:styleId="xl39">
    <w:name w:val="xl39"/>
    <w:basedOn w:val="Normal"/>
    <w:qFormat/>
    <w:rsid w:val="00F8631B"/>
    <w:pPr>
      <w:pBdr>
        <w:top w:val="single" w:sz="4" w:space="0" w:color="auto"/>
        <w:bottom w:val="single" w:sz="4" w:space="0" w:color="auto"/>
      </w:pBdr>
      <w:spacing w:before="100" w:beforeAutospacing="1" w:after="100" w:afterAutospacing="1" w:line="240" w:lineRule="auto"/>
      <w:jc w:val="right"/>
      <w:textAlignment w:val="top"/>
    </w:pPr>
    <w:rPr>
      <w:rFonts w:ascii="Arial" w:eastAsia="Arial Unicode MS" w:hAnsi="Arial" w:cs="Arial"/>
      <w:b/>
      <w:bCs/>
      <w:sz w:val="24"/>
      <w:szCs w:val="24"/>
    </w:rPr>
  </w:style>
  <w:style w:type="paragraph" w:customStyle="1" w:styleId="xl40">
    <w:name w:val="xl40"/>
    <w:basedOn w:val="Normal"/>
    <w:qFormat/>
    <w:rsid w:val="00F8631B"/>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41">
    <w:name w:val="xl41"/>
    <w:basedOn w:val="Normal"/>
    <w:qFormat/>
    <w:rsid w:val="00F8631B"/>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42">
    <w:name w:val="xl42"/>
    <w:basedOn w:val="Normal"/>
    <w:qFormat/>
    <w:rsid w:val="00F8631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Arial Unicode MS" w:hAnsi="Arial" w:cs="Arial"/>
      <w:b/>
      <w:bCs/>
      <w:sz w:val="24"/>
      <w:szCs w:val="24"/>
    </w:rPr>
  </w:style>
  <w:style w:type="paragraph" w:customStyle="1" w:styleId="xl43">
    <w:name w:val="xl43"/>
    <w:basedOn w:val="Normal"/>
    <w:qFormat/>
    <w:rsid w:val="00F8631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Arial Unicode MS" w:hAnsi="Arial" w:cs="Arial"/>
      <w:b/>
      <w:bCs/>
      <w:sz w:val="24"/>
      <w:szCs w:val="24"/>
    </w:rPr>
  </w:style>
  <w:style w:type="paragraph" w:customStyle="1" w:styleId="xl44">
    <w:name w:val="xl44"/>
    <w:basedOn w:val="Normal"/>
    <w:qFormat/>
    <w:rsid w:val="00F8631B"/>
    <w:pPr>
      <w:pBdr>
        <w:top w:val="single" w:sz="4" w:space="0" w:color="auto"/>
        <w:left w:val="single" w:sz="4" w:space="0" w:color="auto"/>
        <w:bottom w:val="single" w:sz="4" w:space="0" w:color="auto"/>
      </w:pBdr>
      <w:spacing w:before="100" w:beforeAutospacing="1" w:after="100" w:afterAutospacing="1" w:line="240" w:lineRule="auto"/>
    </w:pPr>
    <w:rPr>
      <w:rFonts w:ascii="Arial" w:eastAsia="Arial Unicode MS" w:hAnsi="Arial" w:cs="Arial"/>
      <w:b/>
      <w:bCs/>
      <w:sz w:val="24"/>
      <w:szCs w:val="24"/>
    </w:rPr>
  </w:style>
  <w:style w:type="paragraph" w:customStyle="1" w:styleId="xl45">
    <w:name w:val="xl45"/>
    <w:basedOn w:val="Normal"/>
    <w:qFormat/>
    <w:rsid w:val="00F8631B"/>
    <w:pPr>
      <w:pBdr>
        <w:top w:val="single" w:sz="4" w:space="0" w:color="auto"/>
        <w:left w:val="single" w:sz="4" w:space="0" w:color="auto"/>
        <w:bottom w:val="single" w:sz="4" w:space="0" w:color="auto"/>
      </w:pBdr>
      <w:spacing w:before="100" w:beforeAutospacing="1" w:after="100" w:afterAutospacing="1" w:line="240" w:lineRule="auto"/>
    </w:pPr>
    <w:rPr>
      <w:rFonts w:ascii="Arial" w:eastAsia="Arial Unicode MS" w:hAnsi="Arial" w:cs="Arial"/>
      <w:color w:val="FF0000"/>
      <w:sz w:val="24"/>
      <w:szCs w:val="24"/>
    </w:rPr>
  </w:style>
  <w:style w:type="paragraph" w:customStyle="1" w:styleId="xl46">
    <w:name w:val="xl46"/>
    <w:basedOn w:val="Normal"/>
    <w:qFormat/>
    <w:rsid w:val="00F8631B"/>
    <w:pPr>
      <w:pBdr>
        <w:top w:val="single" w:sz="4" w:space="0" w:color="auto"/>
        <w:bottom w:val="single" w:sz="4" w:space="0" w:color="auto"/>
      </w:pBdr>
      <w:spacing w:before="100" w:beforeAutospacing="1" w:after="100" w:afterAutospacing="1" w:line="240" w:lineRule="auto"/>
    </w:pPr>
    <w:rPr>
      <w:rFonts w:ascii="Arial" w:eastAsia="Arial Unicode MS" w:hAnsi="Arial" w:cs="Arial"/>
      <w:b/>
      <w:bCs/>
      <w:sz w:val="24"/>
      <w:szCs w:val="24"/>
    </w:rPr>
  </w:style>
  <w:style w:type="paragraph" w:customStyle="1" w:styleId="xl47">
    <w:name w:val="xl47"/>
    <w:basedOn w:val="Normal"/>
    <w:qFormat/>
    <w:rsid w:val="00F8631B"/>
    <w:pPr>
      <w:pBdr>
        <w:top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b/>
      <w:bCs/>
      <w:sz w:val="24"/>
      <w:szCs w:val="24"/>
    </w:rPr>
  </w:style>
  <w:style w:type="paragraph" w:customStyle="1" w:styleId="xl48">
    <w:name w:val="xl48"/>
    <w:basedOn w:val="Normal"/>
    <w:qFormat/>
    <w:rsid w:val="00F8631B"/>
    <w:pPr>
      <w:pBdr>
        <w:top w:val="single" w:sz="4" w:space="0" w:color="auto"/>
        <w:bottom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49">
    <w:name w:val="xl49"/>
    <w:basedOn w:val="Normal"/>
    <w:qFormat/>
    <w:rsid w:val="00F8631B"/>
    <w:pPr>
      <w:pBdr>
        <w:top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50">
    <w:name w:val="xl50"/>
    <w:basedOn w:val="Normal"/>
    <w:qFormat/>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Arial Unicode MS" w:hAnsi="Arial" w:cs="Arial"/>
      <w:sz w:val="24"/>
      <w:szCs w:val="24"/>
    </w:rPr>
  </w:style>
  <w:style w:type="paragraph" w:customStyle="1" w:styleId="xl52">
    <w:name w:val="xl52"/>
    <w:basedOn w:val="Normal"/>
    <w:qFormat/>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Arial Unicode MS" w:hAnsi="Arial" w:cs="Arial"/>
      <w:sz w:val="24"/>
      <w:szCs w:val="24"/>
    </w:rPr>
  </w:style>
  <w:style w:type="paragraph" w:customStyle="1" w:styleId="OmniPage2">
    <w:name w:val="OmniPage #2"/>
    <w:basedOn w:val="Normal"/>
    <w:qFormat/>
    <w:rsid w:val="00F8631B"/>
    <w:pPr>
      <w:overflowPunct w:val="0"/>
      <w:autoSpaceDE w:val="0"/>
      <w:autoSpaceDN w:val="0"/>
      <w:adjustRightInd w:val="0"/>
      <w:spacing w:after="0" w:line="270" w:lineRule="exact"/>
      <w:ind w:left="75" w:right="60"/>
      <w:jc w:val="both"/>
      <w:textAlignment w:val="baseline"/>
    </w:pPr>
    <w:rPr>
      <w:rFonts w:ascii="Times New Roman" w:eastAsia="Calibri" w:hAnsi="Times New Roman"/>
      <w:noProof/>
      <w:sz w:val="20"/>
      <w:szCs w:val="20"/>
    </w:rPr>
  </w:style>
  <w:style w:type="paragraph" w:customStyle="1" w:styleId="bulletnormal">
    <w:name w:val="_bullet normal"/>
    <w:basedOn w:val="Normal"/>
    <w:qFormat/>
    <w:rsid w:val="00F8631B"/>
    <w:pPr>
      <w:tabs>
        <w:tab w:val="num" w:pos="360"/>
      </w:tabs>
      <w:spacing w:after="0" w:line="240" w:lineRule="auto"/>
      <w:ind w:left="360" w:hanging="360"/>
      <w:jc w:val="both"/>
    </w:pPr>
    <w:rPr>
      <w:rFonts w:ascii="Verdana" w:eastAsia="Calibri" w:hAnsi="Verdana" w:cs="Verdana"/>
      <w:sz w:val="20"/>
      <w:szCs w:val="20"/>
    </w:rPr>
  </w:style>
  <w:style w:type="paragraph" w:customStyle="1" w:styleId="ABULLET">
    <w:name w:val="A BULLET"/>
    <w:basedOn w:val="ABLOCKPARA"/>
    <w:qFormat/>
    <w:rsid w:val="00F8631B"/>
    <w:pPr>
      <w:tabs>
        <w:tab w:val="num" w:pos="720"/>
      </w:tabs>
      <w:spacing w:after="120"/>
      <w:ind w:left="720" w:hanging="720"/>
    </w:pPr>
  </w:style>
  <w:style w:type="paragraph" w:customStyle="1" w:styleId="ABLOCKPARA">
    <w:name w:val="A BLOCK PARA"/>
    <w:basedOn w:val="Normal"/>
    <w:qFormat/>
    <w:rsid w:val="00F8631B"/>
    <w:pPr>
      <w:spacing w:after="0" w:line="240" w:lineRule="auto"/>
    </w:pPr>
    <w:rPr>
      <w:rFonts w:ascii="Book Antiqua" w:eastAsia="Calibri" w:hAnsi="Book Antiqua" w:cs="Book Antiqua"/>
      <w:lang w:val="en-GB"/>
    </w:rPr>
  </w:style>
  <w:style w:type="paragraph" w:customStyle="1" w:styleId="Achievement">
    <w:name w:val="Achievement"/>
    <w:basedOn w:val="BodyText"/>
    <w:autoRedefine/>
    <w:qFormat/>
    <w:rsid w:val="00F8631B"/>
    <w:pPr>
      <w:jc w:val="left"/>
    </w:pPr>
    <w:rPr>
      <w:rFonts w:ascii="Times New Roman" w:eastAsia="Arial Unicode MS" w:hAnsi="Times New Roman"/>
      <w:lang w:val="en-US"/>
    </w:rPr>
  </w:style>
  <w:style w:type="paragraph" w:customStyle="1" w:styleId="test1">
    <w:name w:val="test1"/>
    <w:basedOn w:val="Normal"/>
    <w:qFormat/>
    <w:rsid w:val="00F8631B"/>
    <w:pPr>
      <w:spacing w:before="120" w:after="80" w:line="240" w:lineRule="auto"/>
      <w:jc w:val="both"/>
    </w:pPr>
    <w:rPr>
      <w:rFonts w:ascii="Arial" w:eastAsia="Calibri" w:hAnsi="Arial" w:cs="Arial"/>
      <w:sz w:val="18"/>
      <w:szCs w:val="18"/>
    </w:rPr>
  </w:style>
  <w:style w:type="paragraph" w:customStyle="1" w:styleId="xl22">
    <w:name w:val="xl22"/>
    <w:basedOn w:val="Normal"/>
    <w:qFormat/>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erdana" w:eastAsia="Arial Unicode MS" w:hAnsi="Verdana" w:cs="Verdana"/>
      <w:sz w:val="18"/>
      <w:szCs w:val="18"/>
    </w:rPr>
  </w:style>
  <w:style w:type="paragraph" w:customStyle="1" w:styleId="xl23">
    <w:name w:val="xl23"/>
    <w:basedOn w:val="Normal"/>
    <w:qFormat/>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Verdana" w:eastAsia="Arial Unicode MS" w:hAnsi="Verdana" w:cs="Verdana"/>
      <w:sz w:val="18"/>
      <w:szCs w:val="18"/>
    </w:rPr>
  </w:style>
  <w:style w:type="paragraph" w:customStyle="1" w:styleId="xl53">
    <w:name w:val="xl53"/>
    <w:basedOn w:val="Normal"/>
    <w:qFormat/>
    <w:rsid w:val="00F8631B"/>
    <w:pPr>
      <w:pBdr>
        <w:top w:val="single" w:sz="4" w:space="0" w:color="auto"/>
        <w:left w:val="single" w:sz="4" w:space="0" w:color="auto"/>
        <w:right w:val="single" w:sz="4" w:space="0" w:color="auto"/>
      </w:pBdr>
      <w:spacing w:before="100" w:beforeAutospacing="1" w:after="100" w:afterAutospacing="1" w:line="240" w:lineRule="auto"/>
    </w:pPr>
    <w:rPr>
      <w:rFonts w:ascii="Verdana" w:eastAsia="Arial Unicode MS" w:hAnsi="Verdana" w:cs="Verdana"/>
      <w:b/>
      <w:bCs/>
      <w:sz w:val="16"/>
      <w:szCs w:val="16"/>
    </w:rPr>
  </w:style>
  <w:style w:type="paragraph" w:customStyle="1" w:styleId="xl54">
    <w:name w:val="xl54"/>
    <w:basedOn w:val="Normal"/>
    <w:qFormat/>
    <w:rsid w:val="00F8631B"/>
    <w:pPr>
      <w:pBdr>
        <w:top w:val="single" w:sz="4" w:space="0" w:color="auto"/>
        <w:left w:val="single" w:sz="4" w:space="0" w:color="auto"/>
        <w:right w:val="single" w:sz="4" w:space="0" w:color="auto"/>
      </w:pBdr>
      <w:spacing w:before="100" w:beforeAutospacing="1" w:after="100" w:afterAutospacing="1" w:line="240" w:lineRule="auto"/>
    </w:pPr>
    <w:rPr>
      <w:rFonts w:ascii="Verdana" w:eastAsia="Arial Unicode MS" w:hAnsi="Verdana" w:cs="Verdana"/>
      <w:sz w:val="16"/>
      <w:szCs w:val="16"/>
    </w:rPr>
  </w:style>
  <w:style w:type="paragraph" w:customStyle="1" w:styleId="xl55">
    <w:name w:val="xl55"/>
    <w:basedOn w:val="Normal"/>
    <w:qFormat/>
    <w:rsid w:val="00F8631B"/>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56">
    <w:name w:val="xl56"/>
    <w:basedOn w:val="Normal"/>
    <w:qFormat/>
    <w:rsid w:val="00F8631B"/>
    <w:pPr>
      <w:pBdr>
        <w:top w:val="single" w:sz="4" w:space="0" w:color="auto"/>
        <w:left w:val="single" w:sz="4" w:space="0" w:color="auto"/>
        <w:right w:val="single" w:sz="4" w:space="0" w:color="auto"/>
      </w:pBdr>
      <w:spacing w:before="100" w:beforeAutospacing="1" w:after="100" w:afterAutospacing="1" w:line="240" w:lineRule="auto"/>
      <w:jc w:val="right"/>
    </w:pPr>
    <w:rPr>
      <w:rFonts w:ascii="Verdana" w:eastAsia="Arial Unicode MS" w:hAnsi="Verdana" w:cs="Verdana"/>
      <w:sz w:val="16"/>
      <w:szCs w:val="16"/>
    </w:rPr>
  </w:style>
  <w:style w:type="paragraph" w:customStyle="1" w:styleId="xl57">
    <w:name w:val="xl57"/>
    <w:basedOn w:val="Normal"/>
    <w:qFormat/>
    <w:rsid w:val="00F8631B"/>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58">
    <w:name w:val="xl58"/>
    <w:basedOn w:val="Normal"/>
    <w:qFormat/>
    <w:rsid w:val="00F8631B"/>
    <w:pPr>
      <w:pBdr>
        <w:top w:val="single" w:sz="4" w:space="0" w:color="auto"/>
      </w:pBdr>
      <w:spacing w:before="100" w:beforeAutospacing="1" w:after="100" w:afterAutospacing="1" w:line="240" w:lineRule="auto"/>
      <w:jc w:val="both"/>
      <w:textAlignment w:val="top"/>
    </w:pPr>
    <w:rPr>
      <w:rFonts w:ascii="Verdana" w:eastAsia="Arial Unicode MS" w:hAnsi="Verdana" w:cs="Verdana"/>
      <w:sz w:val="18"/>
      <w:szCs w:val="18"/>
    </w:rPr>
  </w:style>
  <w:style w:type="paragraph" w:customStyle="1" w:styleId="xl59">
    <w:name w:val="xl59"/>
    <w:basedOn w:val="Normal"/>
    <w:qFormat/>
    <w:rsid w:val="00F8631B"/>
    <w:pPr>
      <w:pBdr>
        <w:top w:val="single" w:sz="4" w:space="0" w:color="auto"/>
      </w:pBdr>
      <w:spacing w:before="100" w:beforeAutospacing="1" w:after="100" w:afterAutospacing="1" w:line="240" w:lineRule="auto"/>
      <w:textAlignment w:val="top"/>
    </w:pPr>
    <w:rPr>
      <w:rFonts w:ascii="Arial Unicode MS" w:eastAsia="Arial Unicode MS" w:hAnsi="Arial Unicode MS" w:cs="Arial Unicode MS"/>
      <w:sz w:val="24"/>
      <w:szCs w:val="24"/>
    </w:rPr>
  </w:style>
  <w:style w:type="paragraph" w:customStyle="1" w:styleId="xl60">
    <w:name w:val="xl60"/>
    <w:basedOn w:val="Normal"/>
    <w:qFormat/>
    <w:rsid w:val="00F8631B"/>
    <w:pPr>
      <w:pBdr>
        <w:top w:val="single" w:sz="4" w:space="0" w:color="auto"/>
        <w:left w:val="single" w:sz="4" w:space="0" w:color="auto"/>
        <w:right w:val="single" w:sz="4" w:space="0" w:color="auto"/>
      </w:pBdr>
      <w:spacing w:before="100" w:beforeAutospacing="1" w:after="100" w:afterAutospacing="1" w:line="240" w:lineRule="auto"/>
      <w:jc w:val="right"/>
    </w:pPr>
    <w:rPr>
      <w:rFonts w:ascii="Verdana" w:eastAsia="Arial Unicode MS" w:hAnsi="Verdana" w:cs="Verdana"/>
      <w:sz w:val="16"/>
      <w:szCs w:val="16"/>
    </w:rPr>
  </w:style>
  <w:style w:type="paragraph" w:customStyle="1" w:styleId="xl61">
    <w:name w:val="xl61"/>
    <w:basedOn w:val="Normal"/>
    <w:qFormat/>
    <w:rsid w:val="00F8631B"/>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62">
    <w:name w:val="xl62"/>
    <w:basedOn w:val="Normal"/>
    <w:qFormat/>
    <w:rsid w:val="00F8631B"/>
    <w:pPr>
      <w:pBdr>
        <w:top w:val="single" w:sz="4" w:space="0" w:color="auto"/>
        <w:left w:val="single" w:sz="4" w:space="0" w:color="auto"/>
        <w:right w:val="single" w:sz="4" w:space="0" w:color="auto"/>
      </w:pBdr>
      <w:spacing w:before="100" w:beforeAutospacing="1" w:after="100" w:afterAutospacing="1" w:line="240" w:lineRule="auto"/>
      <w:jc w:val="center"/>
    </w:pPr>
    <w:rPr>
      <w:rFonts w:ascii="Verdana" w:eastAsia="Arial Unicode MS" w:hAnsi="Verdana" w:cs="Verdana"/>
      <w:b/>
      <w:bCs/>
      <w:sz w:val="16"/>
      <w:szCs w:val="16"/>
    </w:rPr>
  </w:style>
  <w:style w:type="paragraph" w:customStyle="1" w:styleId="xl63">
    <w:name w:val="xl63"/>
    <w:basedOn w:val="Normal"/>
    <w:qFormat/>
    <w:rsid w:val="00F8631B"/>
    <w:pPr>
      <w:pBdr>
        <w:top w:val="single" w:sz="4" w:space="0" w:color="auto"/>
        <w:left w:val="single" w:sz="4" w:space="0" w:color="auto"/>
      </w:pBdr>
      <w:spacing w:before="100" w:beforeAutospacing="1" w:after="100" w:afterAutospacing="1" w:line="240" w:lineRule="auto"/>
      <w:jc w:val="center"/>
      <w:textAlignment w:val="top"/>
    </w:pPr>
    <w:rPr>
      <w:rFonts w:ascii="Verdana" w:eastAsia="Arial Unicode MS" w:hAnsi="Verdana" w:cs="Verdana"/>
      <w:b/>
      <w:bCs/>
      <w:sz w:val="16"/>
      <w:szCs w:val="16"/>
    </w:rPr>
  </w:style>
  <w:style w:type="paragraph" w:customStyle="1" w:styleId="xl64">
    <w:name w:val="xl64"/>
    <w:basedOn w:val="Normal"/>
    <w:qFormat/>
    <w:rsid w:val="00F8631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Verdana" w:eastAsia="Arial Unicode MS" w:hAnsi="Verdana" w:cs="Verdana"/>
      <w:b/>
      <w:bCs/>
      <w:sz w:val="16"/>
      <w:szCs w:val="16"/>
    </w:rPr>
  </w:style>
  <w:style w:type="paragraph" w:customStyle="1" w:styleId="xl65">
    <w:name w:val="xl65"/>
    <w:basedOn w:val="Normal"/>
    <w:qFormat/>
    <w:rsid w:val="00F8631B"/>
    <w:pPr>
      <w:pBdr>
        <w:top w:val="single" w:sz="4" w:space="0" w:color="auto"/>
        <w:left w:val="single" w:sz="4" w:space="0" w:color="auto"/>
        <w:right w:val="single" w:sz="4" w:space="0" w:color="auto"/>
      </w:pBdr>
      <w:shd w:val="clear" w:color="auto" w:fill="00FFFF"/>
      <w:spacing w:before="100" w:beforeAutospacing="1" w:after="100" w:afterAutospacing="1" w:line="240" w:lineRule="auto"/>
    </w:pPr>
    <w:rPr>
      <w:rFonts w:ascii="Verdana" w:eastAsia="Arial Unicode MS" w:hAnsi="Verdana" w:cs="Verdana"/>
      <w:sz w:val="16"/>
      <w:szCs w:val="16"/>
    </w:rPr>
  </w:style>
  <w:style w:type="paragraph" w:customStyle="1" w:styleId="xl66">
    <w:name w:val="xl66"/>
    <w:basedOn w:val="Normal"/>
    <w:qFormat/>
    <w:rsid w:val="00F8631B"/>
    <w:pPr>
      <w:pBdr>
        <w:left w:val="single" w:sz="4" w:space="0" w:color="auto"/>
        <w:bottom w:val="single" w:sz="4" w:space="0" w:color="auto"/>
        <w:right w:val="single" w:sz="4" w:space="0" w:color="auto"/>
      </w:pBdr>
      <w:shd w:val="clear" w:color="auto" w:fill="00FFFF"/>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67">
    <w:name w:val="xl67"/>
    <w:basedOn w:val="Normal"/>
    <w:qFormat/>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sz w:val="16"/>
      <w:szCs w:val="16"/>
    </w:rPr>
  </w:style>
  <w:style w:type="paragraph" w:customStyle="1" w:styleId="xl68">
    <w:name w:val="xl68"/>
    <w:basedOn w:val="Normal"/>
    <w:qFormat/>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Arial Unicode MS" w:hAnsi="Times New Roman"/>
      <w:sz w:val="16"/>
      <w:szCs w:val="16"/>
    </w:rPr>
  </w:style>
  <w:style w:type="paragraph" w:customStyle="1" w:styleId="xl69">
    <w:name w:val="xl69"/>
    <w:basedOn w:val="Normal"/>
    <w:qFormat/>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Arial Unicode MS" w:hAnsi="Times New Roman"/>
      <w:sz w:val="16"/>
      <w:szCs w:val="16"/>
    </w:rPr>
  </w:style>
  <w:style w:type="paragraph" w:customStyle="1" w:styleId="xl70">
    <w:name w:val="xl70"/>
    <w:basedOn w:val="Normal"/>
    <w:qFormat/>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Arial Unicode MS" w:hAnsi="Times New Roman"/>
      <w:sz w:val="16"/>
      <w:szCs w:val="16"/>
    </w:rPr>
  </w:style>
  <w:style w:type="paragraph" w:customStyle="1" w:styleId="xl71">
    <w:name w:val="xl71"/>
    <w:basedOn w:val="Normal"/>
    <w:qFormat/>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6"/>
      <w:szCs w:val="16"/>
    </w:rPr>
  </w:style>
  <w:style w:type="paragraph" w:customStyle="1" w:styleId="xl72">
    <w:name w:val="xl72"/>
    <w:basedOn w:val="Normal"/>
    <w:qFormat/>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Arial Unicode MS" w:hAnsi="Times New Roman"/>
      <w:b/>
      <w:bCs/>
      <w:sz w:val="16"/>
      <w:szCs w:val="16"/>
    </w:rPr>
  </w:style>
  <w:style w:type="paragraph" w:customStyle="1" w:styleId="xl73">
    <w:name w:val="xl73"/>
    <w:basedOn w:val="Normal"/>
    <w:qFormat/>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Arial Unicode MS" w:hAnsi="Times New Roman"/>
      <w:b/>
      <w:bCs/>
      <w:color w:val="000000"/>
      <w:sz w:val="16"/>
      <w:szCs w:val="16"/>
    </w:rPr>
  </w:style>
  <w:style w:type="paragraph" w:customStyle="1" w:styleId="xl74">
    <w:name w:val="xl74"/>
    <w:basedOn w:val="Normal"/>
    <w:qFormat/>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styleId="Salutation">
    <w:name w:val="Salutation"/>
    <w:basedOn w:val="Normal"/>
    <w:next w:val="Normal"/>
    <w:link w:val="SalutationChar"/>
    <w:rsid w:val="00F8631B"/>
    <w:pPr>
      <w:spacing w:after="0" w:line="240" w:lineRule="auto"/>
    </w:pPr>
    <w:rPr>
      <w:rFonts w:ascii="Times New Roman" w:eastAsia="Calibri" w:hAnsi="Times New Roman"/>
      <w:sz w:val="24"/>
      <w:szCs w:val="24"/>
      <w:lang w:val="x-none" w:eastAsia="x-none"/>
    </w:rPr>
  </w:style>
  <w:style w:type="character" w:customStyle="1" w:styleId="SalutationChar">
    <w:name w:val="Salutation Char"/>
    <w:basedOn w:val="DefaultParagraphFont"/>
    <w:link w:val="Salutation"/>
    <w:rsid w:val="00F8631B"/>
    <w:rPr>
      <w:rFonts w:ascii="Times New Roman" w:eastAsia="Calibri" w:hAnsi="Times New Roman" w:cs="Times New Roman"/>
      <w:kern w:val="0"/>
      <w:sz w:val="24"/>
      <w:szCs w:val="24"/>
      <w:lang w:val="x-none" w:eastAsia="x-none"/>
      <w14:ligatures w14:val="none"/>
    </w:rPr>
  </w:style>
  <w:style w:type="paragraph" w:customStyle="1" w:styleId="xl75">
    <w:name w:val="xl75"/>
    <w:basedOn w:val="Normal"/>
    <w:qFormat/>
    <w:rsid w:val="00F8631B"/>
    <w:pPr>
      <w:spacing w:before="100" w:beforeAutospacing="1" w:after="100" w:afterAutospacing="1" w:line="240" w:lineRule="auto"/>
      <w:jc w:val="right"/>
    </w:pPr>
    <w:rPr>
      <w:rFonts w:ascii="Times New Roman" w:eastAsia="Arial Unicode MS" w:hAnsi="Times New Roman"/>
      <w:sz w:val="24"/>
      <w:szCs w:val="24"/>
    </w:rPr>
  </w:style>
  <w:style w:type="paragraph" w:customStyle="1" w:styleId="st1">
    <w:name w:val="st.1"/>
    <w:basedOn w:val="Normal"/>
    <w:qFormat/>
    <w:rsid w:val="00F8631B"/>
    <w:pPr>
      <w:spacing w:after="0" w:line="240" w:lineRule="auto"/>
      <w:ind w:left="720" w:hanging="720"/>
      <w:jc w:val="both"/>
    </w:pPr>
    <w:rPr>
      <w:rFonts w:ascii="Times New Roman" w:eastAsia="Calibri" w:hAnsi="Times New Roman"/>
      <w:sz w:val="24"/>
      <w:szCs w:val="24"/>
    </w:rPr>
  </w:style>
  <w:style w:type="paragraph" w:customStyle="1" w:styleId="st2">
    <w:name w:val="st.2"/>
    <w:basedOn w:val="BodyTextIndent"/>
    <w:qFormat/>
    <w:rsid w:val="00F8631B"/>
    <w:pPr>
      <w:spacing w:after="0" w:line="240" w:lineRule="auto"/>
      <w:ind w:left="720" w:hanging="720"/>
      <w:jc w:val="both"/>
    </w:pPr>
    <w:rPr>
      <w:rFonts w:ascii="Times New Roman" w:hAnsi="Times New Roman"/>
      <w:sz w:val="24"/>
      <w:szCs w:val="24"/>
    </w:rPr>
  </w:style>
  <w:style w:type="paragraph" w:customStyle="1" w:styleId="Pa9">
    <w:name w:val="Pa9"/>
    <w:basedOn w:val="Default"/>
    <w:next w:val="Default"/>
    <w:uiPriority w:val="99"/>
    <w:qFormat/>
    <w:rsid w:val="00F8631B"/>
    <w:pPr>
      <w:spacing w:line="201" w:lineRule="atLeast"/>
    </w:pPr>
    <w:rPr>
      <w:color w:val="auto"/>
    </w:rPr>
  </w:style>
  <w:style w:type="paragraph" w:customStyle="1" w:styleId="Pa5">
    <w:name w:val="Pa5"/>
    <w:basedOn w:val="Default"/>
    <w:next w:val="Default"/>
    <w:qFormat/>
    <w:rsid w:val="00F8631B"/>
    <w:pPr>
      <w:spacing w:line="261" w:lineRule="atLeast"/>
    </w:pPr>
    <w:rPr>
      <w:color w:val="auto"/>
    </w:rPr>
  </w:style>
  <w:style w:type="paragraph" w:customStyle="1" w:styleId="defaulttext0">
    <w:name w:val="defaulttext0"/>
    <w:basedOn w:val="Normal"/>
    <w:qFormat/>
    <w:rsid w:val="00F8631B"/>
    <w:pPr>
      <w:spacing w:before="100" w:beforeAutospacing="1" w:after="100" w:afterAutospacing="1" w:line="240" w:lineRule="auto"/>
    </w:pPr>
    <w:rPr>
      <w:rFonts w:ascii="Times New Roman" w:eastAsia="Calibri" w:hAnsi="Times New Roman"/>
      <w:sz w:val="24"/>
      <w:szCs w:val="24"/>
    </w:rPr>
  </w:style>
  <w:style w:type="paragraph" w:customStyle="1" w:styleId="NormalBold">
    <w:name w:val="Normal Bold"/>
    <w:basedOn w:val="Normal"/>
    <w:qFormat/>
    <w:rsid w:val="00F8631B"/>
    <w:pPr>
      <w:spacing w:after="240" w:line="240" w:lineRule="auto"/>
      <w:jc w:val="both"/>
    </w:pPr>
    <w:rPr>
      <w:rFonts w:ascii="Trebuchet MS" w:eastAsia="Calibri" w:hAnsi="Trebuchet MS" w:cs="Trebuchet MS"/>
      <w:b/>
      <w:bCs/>
      <w:sz w:val="20"/>
      <w:szCs w:val="20"/>
    </w:rPr>
  </w:style>
  <w:style w:type="character" w:customStyle="1" w:styleId="yahoobuzzbadge">
    <w:name w:val="yahoobuzzbadge"/>
    <w:basedOn w:val="DefaultParagraphFont"/>
    <w:rsid w:val="00F8631B"/>
  </w:style>
  <w:style w:type="character" w:customStyle="1" w:styleId="klink">
    <w:name w:val="klink"/>
    <w:basedOn w:val="DefaultParagraphFont"/>
    <w:rsid w:val="00F8631B"/>
  </w:style>
  <w:style w:type="character" w:customStyle="1" w:styleId="preloadwrap">
    <w:name w:val="preloadwrap"/>
    <w:basedOn w:val="DefaultParagraphFont"/>
    <w:rsid w:val="00F8631B"/>
  </w:style>
  <w:style w:type="character" w:customStyle="1" w:styleId="go">
    <w:name w:val="go"/>
    <w:basedOn w:val="DefaultParagraphFont"/>
    <w:rsid w:val="00F8631B"/>
  </w:style>
  <w:style w:type="character" w:customStyle="1" w:styleId="gi">
    <w:name w:val="gi"/>
    <w:basedOn w:val="DefaultParagraphFont"/>
    <w:rsid w:val="00F8631B"/>
  </w:style>
  <w:style w:type="character" w:customStyle="1" w:styleId="il">
    <w:name w:val="il"/>
    <w:basedOn w:val="DefaultParagraphFont"/>
    <w:rsid w:val="00F8631B"/>
  </w:style>
  <w:style w:type="paragraph" w:customStyle="1" w:styleId="content">
    <w:name w:val="content"/>
    <w:basedOn w:val="Normal"/>
    <w:qFormat/>
    <w:rsid w:val="00F8631B"/>
    <w:pPr>
      <w:spacing w:before="100" w:beforeAutospacing="1" w:after="100" w:afterAutospacing="1" w:line="240" w:lineRule="auto"/>
    </w:pPr>
    <w:rPr>
      <w:rFonts w:ascii="Times New Roman" w:hAnsi="Times New Roman"/>
      <w:sz w:val="24"/>
      <w:szCs w:val="24"/>
    </w:rPr>
  </w:style>
  <w:style w:type="character" w:customStyle="1" w:styleId="content1">
    <w:name w:val="content1"/>
    <w:basedOn w:val="DefaultParagraphFont"/>
    <w:rsid w:val="00F8631B"/>
  </w:style>
  <w:style w:type="paragraph" w:customStyle="1" w:styleId="CM81">
    <w:name w:val="CM81"/>
    <w:basedOn w:val="Default"/>
    <w:next w:val="Default"/>
    <w:qFormat/>
    <w:rsid w:val="00F8631B"/>
    <w:pPr>
      <w:widowControl w:val="0"/>
      <w:spacing w:after="233"/>
    </w:pPr>
    <w:rPr>
      <w:rFonts w:eastAsia="Times New Roman"/>
      <w:color w:val="auto"/>
    </w:rPr>
  </w:style>
  <w:style w:type="paragraph" w:customStyle="1" w:styleId="CM82">
    <w:name w:val="CM82"/>
    <w:basedOn w:val="Default"/>
    <w:next w:val="Default"/>
    <w:qFormat/>
    <w:rsid w:val="00F8631B"/>
    <w:pPr>
      <w:widowControl w:val="0"/>
      <w:spacing w:after="310"/>
    </w:pPr>
    <w:rPr>
      <w:rFonts w:eastAsia="Times New Roman"/>
      <w:color w:val="auto"/>
    </w:rPr>
  </w:style>
  <w:style w:type="paragraph" w:customStyle="1" w:styleId="DecimalAligned">
    <w:name w:val="Decimal Aligned"/>
    <w:basedOn w:val="Normal"/>
    <w:uiPriority w:val="40"/>
    <w:qFormat/>
    <w:rsid w:val="00F8631B"/>
    <w:pPr>
      <w:tabs>
        <w:tab w:val="decimal" w:pos="360"/>
      </w:tabs>
    </w:pPr>
  </w:style>
  <w:style w:type="paragraph" w:customStyle="1" w:styleId="BodyText5FirstLineIndent">
    <w:name w:val="Body Text .5 First Line Indent"/>
    <w:basedOn w:val="Normal"/>
    <w:qFormat/>
    <w:rsid w:val="00F8631B"/>
    <w:pPr>
      <w:spacing w:after="240" w:line="240" w:lineRule="auto"/>
      <w:ind w:firstLine="720"/>
    </w:pPr>
    <w:rPr>
      <w:rFonts w:ascii="Times New Roman" w:hAnsi="Times New Roman"/>
      <w:szCs w:val="24"/>
    </w:rPr>
  </w:style>
  <w:style w:type="character" w:customStyle="1" w:styleId="Heading1Char1">
    <w:name w:val="Heading 1 Char1"/>
    <w:aliases w:val="p Char1,H1 Char1,Staff title Char1,12 Char1,h1 Char1,II+ Char1,I Char1,L1 Char1,Chapter Headline Char1,Heading_1 Char1,h11 Char1,Staff title1 Char1,H11 Char1,121 Char1,II+1 Char1,I1 Char1,L11 Char1,Chapter Headline1 Char1,10pt Char"/>
    <w:uiPriority w:val="9"/>
    <w:rsid w:val="00F8631B"/>
    <w:rPr>
      <w:rFonts w:ascii="Cambria" w:eastAsia="Times New Roman" w:hAnsi="Cambria" w:cs="Times New Roman"/>
      <w:b/>
      <w:bCs/>
      <w:color w:val="365F91"/>
      <w:sz w:val="28"/>
      <w:szCs w:val="28"/>
    </w:rPr>
  </w:style>
  <w:style w:type="character" w:customStyle="1" w:styleId="SubtitleChar1">
    <w:name w:val="Subtitle Char1"/>
    <w:uiPriority w:val="11"/>
    <w:rsid w:val="00F8631B"/>
    <w:rPr>
      <w:rFonts w:ascii="Cambria" w:eastAsia="Times New Roman" w:hAnsi="Cambria" w:cs="Times New Roman"/>
      <w:i/>
      <w:iCs/>
      <w:color w:val="4F81BD"/>
      <w:spacing w:val="15"/>
      <w:sz w:val="24"/>
      <w:szCs w:val="24"/>
    </w:rPr>
  </w:style>
  <w:style w:type="character" w:customStyle="1" w:styleId="QuoteChar1">
    <w:name w:val="Quote Char1"/>
    <w:uiPriority w:val="29"/>
    <w:rsid w:val="00F8631B"/>
    <w:rPr>
      <w:rFonts w:ascii="Calibri" w:eastAsia="Times New Roman" w:hAnsi="Calibri" w:cs="Times New Roman"/>
      <w:i/>
      <w:iCs/>
      <w:color w:val="000000"/>
    </w:rPr>
  </w:style>
  <w:style w:type="character" w:customStyle="1" w:styleId="IntenseQuoteChar1">
    <w:name w:val="Intense Quote Char1"/>
    <w:uiPriority w:val="30"/>
    <w:rsid w:val="00F8631B"/>
    <w:rPr>
      <w:b/>
      <w:bCs/>
      <w:i/>
      <w:iCs/>
      <w:color w:val="4F81BD"/>
      <w:sz w:val="22"/>
      <w:szCs w:val="22"/>
    </w:rPr>
  </w:style>
  <w:style w:type="paragraph" w:customStyle="1" w:styleId="CM7">
    <w:name w:val="CM7"/>
    <w:basedOn w:val="Default"/>
    <w:next w:val="Default"/>
    <w:uiPriority w:val="99"/>
    <w:qFormat/>
    <w:rsid w:val="00F8631B"/>
    <w:pPr>
      <w:widowControl w:val="0"/>
      <w:spacing w:after="232"/>
    </w:pPr>
    <w:rPr>
      <w:rFonts w:eastAsia="Times New Roman"/>
      <w:color w:val="auto"/>
    </w:rPr>
  </w:style>
  <w:style w:type="paragraph" w:customStyle="1" w:styleId="CM2">
    <w:name w:val="CM2"/>
    <w:basedOn w:val="Default"/>
    <w:next w:val="Default"/>
    <w:uiPriority w:val="99"/>
    <w:qFormat/>
    <w:rsid w:val="00F8631B"/>
    <w:pPr>
      <w:widowControl w:val="0"/>
      <w:spacing w:line="233" w:lineRule="atLeast"/>
    </w:pPr>
    <w:rPr>
      <w:rFonts w:eastAsia="Times New Roman"/>
      <w:color w:val="auto"/>
    </w:rPr>
  </w:style>
  <w:style w:type="paragraph" w:customStyle="1" w:styleId="CM3">
    <w:name w:val="CM3"/>
    <w:basedOn w:val="Default"/>
    <w:next w:val="Default"/>
    <w:uiPriority w:val="99"/>
    <w:qFormat/>
    <w:rsid w:val="00F8631B"/>
    <w:pPr>
      <w:widowControl w:val="0"/>
      <w:spacing w:after="205"/>
    </w:pPr>
    <w:rPr>
      <w:rFonts w:eastAsia="Times New Roman"/>
      <w:color w:val="auto"/>
    </w:rPr>
  </w:style>
  <w:style w:type="paragraph" w:customStyle="1" w:styleId="CM4">
    <w:name w:val="CM4"/>
    <w:basedOn w:val="Default"/>
    <w:next w:val="Default"/>
    <w:uiPriority w:val="99"/>
    <w:qFormat/>
    <w:rsid w:val="00F8631B"/>
    <w:pPr>
      <w:widowControl w:val="0"/>
      <w:spacing w:after="198"/>
    </w:pPr>
    <w:rPr>
      <w:rFonts w:eastAsia="Times New Roman"/>
      <w:color w:val="auto"/>
    </w:rPr>
  </w:style>
  <w:style w:type="character" w:customStyle="1" w:styleId="CommentTextChar2">
    <w:name w:val="Comment Text Char2"/>
    <w:aliases w:val="Comment Text Char2 Char1 Char2,Comment Text Char Char Char1 Char2,Comment Text Char2 Char Char Char1 Char2,Comment Text Char Char Char Char Char1 Char2,Comment Text Char2 Char Char Char Char Char1 Char2"/>
    <w:uiPriority w:val="99"/>
    <w:rsid w:val="00F8631B"/>
    <w:rPr>
      <w:rFonts w:eastAsia="Times New Roman"/>
    </w:rPr>
  </w:style>
  <w:style w:type="paragraph" w:customStyle="1" w:styleId="xl618">
    <w:name w:val="xl618"/>
    <w:basedOn w:val="Normal"/>
    <w:qFormat/>
    <w:rsid w:val="00F8631B"/>
    <w:pPr>
      <w:spacing w:before="100" w:beforeAutospacing="1" w:after="100" w:afterAutospacing="1" w:line="240" w:lineRule="auto"/>
    </w:pPr>
    <w:rPr>
      <w:rFonts w:ascii="Tahoma" w:hAnsi="Tahoma" w:cs="Tahoma"/>
      <w:sz w:val="18"/>
      <w:szCs w:val="18"/>
    </w:rPr>
  </w:style>
  <w:style w:type="paragraph" w:customStyle="1" w:styleId="xl619">
    <w:name w:val="xl619"/>
    <w:basedOn w:val="Normal"/>
    <w:qFormat/>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hAnsi="Tahoma" w:cs="Tahoma"/>
      <w:b/>
      <w:bCs/>
      <w:sz w:val="18"/>
      <w:szCs w:val="18"/>
    </w:rPr>
  </w:style>
  <w:style w:type="paragraph" w:customStyle="1" w:styleId="xl620">
    <w:name w:val="xl620"/>
    <w:basedOn w:val="Normal"/>
    <w:qFormat/>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hAnsi="Tahoma" w:cs="Tahoma"/>
      <w:sz w:val="18"/>
      <w:szCs w:val="18"/>
    </w:rPr>
  </w:style>
  <w:style w:type="paragraph" w:customStyle="1" w:styleId="xl621">
    <w:name w:val="xl621"/>
    <w:basedOn w:val="Normal"/>
    <w:qFormat/>
    <w:rsid w:val="00F8631B"/>
    <w:pPr>
      <w:spacing w:before="100" w:beforeAutospacing="1" w:after="100" w:afterAutospacing="1" w:line="240" w:lineRule="auto"/>
    </w:pPr>
    <w:rPr>
      <w:rFonts w:ascii="Tahoma" w:hAnsi="Tahoma" w:cs="Tahoma"/>
      <w:b/>
      <w:bCs/>
      <w:sz w:val="18"/>
      <w:szCs w:val="18"/>
    </w:rPr>
  </w:style>
  <w:style w:type="paragraph" w:customStyle="1" w:styleId="xl622">
    <w:name w:val="xl622"/>
    <w:basedOn w:val="Normal"/>
    <w:qFormat/>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ahoma" w:hAnsi="Tahoma" w:cs="Tahoma"/>
      <w:sz w:val="18"/>
      <w:szCs w:val="18"/>
    </w:rPr>
  </w:style>
  <w:style w:type="paragraph" w:customStyle="1" w:styleId="xl623">
    <w:name w:val="xl623"/>
    <w:basedOn w:val="Normal"/>
    <w:qFormat/>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hAnsi="Tahoma" w:cs="Tahoma"/>
      <w:sz w:val="18"/>
      <w:szCs w:val="18"/>
    </w:rPr>
  </w:style>
  <w:style w:type="paragraph" w:customStyle="1" w:styleId="xl624">
    <w:name w:val="xl624"/>
    <w:basedOn w:val="Normal"/>
    <w:qFormat/>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ahoma" w:hAnsi="Tahoma" w:cs="Tahoma"/>
      <w:b/>
      <w:bCs/>
      <w:sz w:val="18"/>
      <w:szCs w:val="18"/>
    </w:rPr>
  </w:style>
  <w:style w:type="paragraph" w:customStyle="1" w:styleId="xl625">
    <w:name w:val="xl625"/>
    <w:basedOn w:val="Normal"/>
    <w:qFormat/>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ahoma" w:hAnsi="Tahoma" w:cs="Tahoma"/>
      <w:b/>
      <w:bCs/>
      <w:sz w:val="18"/>
      <w:szCs w:val="18"/>
    </w:rPr>
  </w:style>
  <w:style w:type="paragraph" w:customStyle="1" w:styleId="xl626">
    <w:name w:val="xl626"/>
    <w:basedOn w:val="Normal"/>
    <w:qFormat/>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ahoma" w:hAnsi="Tahoma" w:cs="Tahoma"/>
      <w:b/>
      <w:bCs/>
      <w:sz w:val="18"/>
      <w:szCs w:val="18"/>
    </w:rPr>
  </w:style>
  <w:style w:type="paragraph" w:customStyle="1" w:styleId="xl627">
    <w:name w:val="xl627"/>
    <w:basedOn w:val="Normal"/>
    <w:qFormat/>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ahoma" w:hAnsi="Tahoma" w:cs="Tahoma"/>
      <w:sz w:val="18"/>
      <w:szCs w:val="18"/>
    </w:rPr>
  </w:style>
  <w:style w:type="paragraph" w:customStyle="1" w:styleId="xl628">
    <w:name w:val="xl628"/>
    <w:basedOn w:val="Normal"/>
    <w:qFormat/>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ahoma" w:hAnsi="Tahoma" w:cs="Tahoma"/>
      <w:sz w:val="18"/>
      <w:szCs w:val="18"/>
    </w:rPr>
  </w:style>
  <w:style w:type="paragraph" w:customStyle="1" w:styleId="xl629">
    <w:name w:val="xl629"/>
    <w:basedOn w:val="Normal"/>
    <w:qFormat/>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hAnsi="Tahoma" w:cs="Tahoma"/>
      <w:b/>
      <w:bCs/>
      <w:sz w:val="18"/>
      <w:szCs w:val="18"/>
    </w:rPr>
  </w:style>
  <w:style w:type="paragraph" w:customStyle="1" w:styleId="xl630">
    <w:name w:val="xl630"/>
    <w:basedOn w:val="Normal"/>
    <w:qFormat/>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hAnsi="Tahoma" w:cs="Tahoma"/>
      <w:b/>
      <w:bCs/>
      <w:sz w:val="18"/>
      <w:szCs w:val="18"/>
    </w:rPr>
  </w:style>
  <w:style w:type="paragraph" w:customStyle="1" w:styleId="xl631">
    <w:name w:val="xl631"/>
    <w:basedOn w:val="Normal"/>
    <w:qFormat/>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hAnsi="Tahoma" w:cs="Tahoma"/>
      <w:sz w:val="18"/>
      <w:szCs w:val="18"/>
    </w:rPr>
  </w:style>
  <w:style w:type="paragraph" w:customStyle="1" w:styleId="xl632">
    <w:name w:val="xl632"/>
    <w:basedOn w:val="Normal"/>
    <w:qFormat/>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hAnsi="Tahoma" w:cs="Tahoma"/>
      <w:sz w:val="18"/>
      <w:szCs w:val="18"/>
    </w:rPr>
  </w:style>
  <w:style w:type="paragraph" w:customStyle="1" w:styleId="xl633">
    <w:name w:val="xl633"/>
    <w:basedOn w:val="Normal"/>
    <w:qFormat/>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ahoma" w:hAnsi="Tahoma" w:cs="Tahoma"/>
      <w:sz w:val="18"/>
      <w:szCs w:val="18"/>
    </w:rPr>
  </w:style>
  <w:style w:type="paragraph" w:customStyle="1" w:styleId="xl634">
    <w:name w:val="xl634"/>
    <w:basedOn w:val="Normal"/>
    <w:qFormat/>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ahoma" w:hAnsi="Tahoma" w:cs="Tahoma"/>
      <w:b/>
      <w:bCs/>
      <w:sz w:val="18"/>
      <w:szCs w:val="18"/>
    </w:rPr>
  </w:style>
  <w:style w:type="paragraph" w:customStyle="1" w:styleId="xl635">
    <w:name w:val="xl635"/>
    <w:basedOn w:val="Normal"/>
    <w:qFormat/>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ahoma" w:hAnsi="Tahoma" w:cs="Tahoma"/>
      <w:b/>
      <w:bCs/>
      <w:sz w:val="18"/>
      <w:szCs w:val="18"/>
    </w:rPr>
  </w:style>
  <w:style w:type="paragraph" w:customStyle="1" w:styleId="xl636">
    <w:name w:val="xl636"/>
    <w:basedOn w:val="Normal"/>
    <w:qFormat/>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ahoma" w:hAnsi="Tahoma" w:cs="Tahoma"/>
      <w:sz w:val="18"/>
      <w:szCs w:val="18"/>
    </w:rPr>
  </w:style>
  <w:style w:type="paragraph" w:customStyle="1" w:styleId="xl637">
    <w:name w:val="xl637"/>
    <w:basedOn w:val="Normal"/>
    <w:qFormat/>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ahoma" w:hAnsi="Tahoma" w:cs="Tahoma"/>
      <w:sz w:val="18"/>
      <w:szCs w:val="18"/>
    </w:rPr>
  </w:style>
  <w:style w:type="paragraph" w:customStyle="1" w:styleId="xl638">
    <w:name w:val="xl638"/>
    <w:basedOn w:val="Normal"/>
    <w:qFormat/>
    <w:rsid w:val="00F8631B"/>
    <w:pPr>
      <w:pBdr>
        <w:top w:val="single" w:sz="4" w:space="0" w:color="auto"/>
        <w:left w:val="single" w:sz="4" w:space="0" w:color="auto"/>
      </w:pBdr>
      <w:shd w:val="clear" w:color="000000" w:fill="FFFFFF"/>
      <w:spacing w:before="100" w:beforeAutospacing="1" w:after="100" w:afterAutospacing="1" w:line="240" w:lineRule="auto"/>
    </w:pPr>
    <w:rPr>
      <w:rFonts w:ascii="Tahoma" w:hAnsi="Tahoma" w:cs="Tahoma"/>
      <w:b/>
      <w:bCs/>
      <w:sz w:val="18"/>
      <w:szCs w:val="18"/>
    </w:rPr>
  </w:style>
  <w:style w:type="paragraph" w:customStyle="1" w:styleId="xl639">
    <w:name w:val="xl639"/>
    <w:basedOn w:val="Normal"/>
    <w:qFormat/>
    <w:rsid w:val="00F8631B"/>
    <w:pPr>
      <w:pBdr>
        <w:left w:val="single" w:sz="4" w:space="0" w:color="auto"/>
        <w:bottom w:val="single" w:sz="4" w:space="0" w:color="auto"/>
      </w:pBdr>
      <w:shd w:val="clear" w:color="000000" w:fill="FFFFFF"/>
      <w:spacing w:before="100" w:beforeAutospacing="1" w:after="100" w:afterAutospacing="1" w:line="240" w:lineRule="auto"/>
    </w:pPr>
    <w:rPr>
      <w:rFonts w:ascii="Tahoma" w:hAnsi="Tahoma" w:cs="Tahoma"/>
      <w:sz w:val="18"/>
      <w:szCs w:val="18"/>
    </w:rPr>
  </w:style>
  <w:style w:type="paragraph" w:customStyle="1" w:styleId="xl640">
    <w:name w:val="xl640"/>
    <w:basedOn w:val="Normal"/>
    <w:qFormat/>
    <w:rsid w:val="00F8631B"/>
    <w:pPr>
      <w:pBdr>
        <w:left w:val="single" w:sz="4" w:space="0" w:color="auto"/>
      </w:pBdr>
      <w:shd w:val="clear" w:color="000000" w:fill="FFFFFF"/>
      <w:spacing w:before="100" w:beforeAutospacing="1" w:after="100" w:afterAutospacing="1" w:line="240" w:lineRule="auto"/>
    </w:pPr>
    <w:rPr>
      <w:rFonts w:ascii="Tahoma" w:hAnsi="Tahoma" w:cs="Tahoma"/>
      <w:sz w:val="18"/>
      <w:szCs w:val="18"/>
    </w:rPr>
  </w:style>
  <w:style w:type="paragraph" w:customStyle="1" w:styleId="xl641">
    <w:name w:val="xl641"/>
    <w:basedOn w:val="Normal"/>
    <w:qFormat/>
    <w:rsid w:val="00F8631B"/>
    <w:pPr>
      <w:shd w:val="clear" w:color="000000" w:fill="FFFFFF"/>
      <w:spacing w:before="100" w:beforeAutospacing="1" w:after="100" w:afterAutospacing="1" w:line="240" w:lineRule="auto"/>
    </w:pPr>
    <w:rPr>
      <w:rFonts w:ascii="Tahoma" w:hAnsi="Tahoma" w:cs="Tahoma"/>
      <w:sz w:val="18"/>
      <w:szCs w:val="18"/>
    </w:rPr>
  </w:style>
  <w:style w:type="paragraph" w:customStyle="1" w:styleId="xl642">
    <w:name w:val="xl642"/>
    <w:basedOn w:val="Normal"/>
    <w:qFormat/>
    <w:rsid w:val="00F8631B"/>
    <w:pPr>
      <w:pBdr>
        <w:right w:val="single" w:sz="4" w:space="0" w:color="auto"/>
      </w:pBdr>
      <w:shd w:val="clear" w:color="000000" w:fill="FFFFFF"/>
      <w:spacing w:before="100" w:beforeAutospacing="1" w:after="100" w:afterAutospacing="1" w:line="240" w:lineRule="auto"/>
    </w:pPr>
    <w:rPr>
      <w:rFonts w:ascii="Tahoma" w:hAnsi="Tahoma" w:cs="Tahoma"/>
      <w:sz w:val="18"/>
      <w:szCs w:val="18"/>
    </w:rPr>
  </w:style>
  <w:style w:type="paragraph" w:customStyle="1" w:styleId="xl643">
    <w:name w:val="xl643"/>
    <w:basedOn w:val="Normal"/>
    <w:qFormat/>
    <w:rsid w:val="00F8631B"/>
    <w:pPr>
      <w:shd w:val="clear" w:color="000000" w:fill="FFFFFF"/>
      <w:spacing w:before="100" w:beforeAutospacing="1" w:after="100" w:afterAutospacing="1" w:line="240" w:lineRule="auto"/>
      <w:textAlignment w:val="top"/>
    </w:pPr>
    <w:rPr>
      <w:rFonts w:ascii="Tahoma" w:hAnsi="Tahoma" w:cs="Tahoma"/>
      <w:sz w:val="18"/>
      <w:szCs w:val="18"/>
    </w:rPr>
  </w:style>
  <w:style w:type="paragraph" w:customStyle="1" w:styleId="xl644">
    <w:name w:val="xl644"/>
    <w:basedOn w:val="Normal"/>
    <w:qFormat/>
    <w:rsid w:val="00F8631B"/>
    <w:pPr>
      <w:shd w:val="clear" w:color="000000" w:fill="FFFFFF"/>
      <w:spacing w:before="100" w:beforeAutospacing="1" w:after="100" w:afterAutospacing="1" w:line="240" w:lineRule="auto"/>
    </w:pPr>
    <w:rPr>
      <w:rFonts w:ascii="Tahoma" w:hAnsi="Tahoma" w:cs="Tahoma"/>
      <w:sz w:val="18"/>
      <w:szCs w:val="18"/>
    </w:rPr>
  </w:style>
  <w:style w:type="paragraph" w:customStyle="1" w:styleId="xl645">
    <w:name w:val="xl645"/>
    <w:basedOn w:val="Normal"/>
    <w:qFormat/>
    <w:rsid w:val="00F8631B"/>
    <w:pPr>
      <w:pBdr>
        <w:bottom w:val="single" w:sz="4" w:space="0" w:color="auto"/>
      </w:pBdr>
      <w:shd w:val="clear" w:color="000000" w:fill="FFFFFF"/>
      <w:spacing w:before="100" w:beforeAutospacing="1" w:after="100" w:afterAutospacing="1" w:line="240" w:lineRule="auto"/>
    </w:pPr>
    <w:rPr>
      <w:rFonts w:ascii="Tahoma" w:hAnsi="Tahoma" w:cs="Tahoma"/>
      <w:sz w:val="18"/>
      <w:szCs w:val="18"/>
    </w:rPr>
  </w:style>
  <w:style w:type="paragraph" w:customStyle="1" w:styleId="xl646">
    <w:name w:val="xl646"/>
    <w:basedOn w:val="Normal"/>
    <w:qFormat/>
    <w:rsid w:val="00F8631B"/>
    <w:pPr>
      <w:pBdr>
        <w:right w:val="single" w:sz="4" w:space="0" w:color="auto"/>
      </w:pBdr>
      <w:shd w:val="clear" w:color="000000" w:fill="FFFFFF"/>
      <w:spacing w:before="100" w:beforeAutospacing="1" w:after="100" w:afterAutospacing="1" w:line="240" w:lineRule="auto"/>
      <w:jc w:val="right"/>
    </w:pPr>
    <w:rPr>
      <w:rFonts w:ascii="Tahoma" w:hAnsi="Tahoma" w:cs="Tahoma"/>
      <w:sz w:val="18"/>
      <w:szCs w:val="18"/>
    </w:rPr>
  </w:style>
  <w:style w:type="paragraph" w:customStyle="1" w:styleId="xl647">
    <w:name w:val="xl647"/>
    <w:basedOn w:val="Normal"/>
    <w:qFormat/>
    <w:rsid w:val="00F8631B"/>
    <w:pPr>
      <w:pBdr>
        <w:bottom w:val="single" w:sz="4" w:space="0" w:color="auto"/>
        <w:right w:val="single" w:sz="4" w:space="0" w:color="auto"/>
      </w:pBdr>
      <w:shd w:val="clear" w:color="000000" w:fill="FFFFFF"/>
      <w:spacing w:before="100" w:beforeAutospacing="1" w:after="100" w:afterAutospacing="1" w:line="240" w:lineRule="auto"/>
      <w:jc w:val="right"/>
    </w:pPr>
    <w:rPr>
      <w:rFonts w:ascii="Tahoma" w:hAnsi="Tahoma" w:cs="Tahoma"/>
      <w:sz w:val="18"/>
      <w:szCs w:val="18"/>
    </w:rPr>
  </w:style>
  <w:style w:type="paragraph" w:customStyle="1" w:styleId="xl648">
    <w:name w:val="xl648"/>
    <w:basedOn w:val="Normal"/>
    <w:qFormat/>
    <w:rsid w:val="00F8631B"/>
    <w:pPr>
      <w:pBdr>
        <w:bottom w:val="single" w:sz="4" w:space="0" w:color="auto"/>
      </w:pBdr>
      <w:shd w:val="clear" w:color="000000" w:fill="FFFFFF"/>
      <w:spacing w:before="100" w:beforeAutospacing="1" w:after="100" w:afterAutospacing="1" w:line="240" w:lineRule="auto"/>
    </w:pPr>
    <w:rPr>
      <w:rFonts w:ascii="Tahoma" w:hAnsi="Tahoma" w:cs="Tahoma"/>
      <w:sz w:val="18"/>
      <w:szCs w:val="18"/>
    </w:rPr>
  </w:style>
  <w:style w:type="paragraph" w:customStyle="1" w:styleId="xl649">
    <w:name w:val="xl649"/>
    <w:basedOn w:val="Normal"/>
    <w:qFormat/>
    <w:rsid w:val="00F8631B"/>
    <w:pPr>
      <w:pBdr>
        <w:top w:val="single" w:sz="4" w:space="0" w:color="auto"/>
        <w:left w:val="single" w:sz="4" w:space="0" w:color="auto"/>
      </w:pBdr>
      <w:shd w:val="clear" w:color="000000" w:fill="FFFFFF"/>
      <w:spacing w:before="100" w:beforeAutospacing="1" w:after="100" w:afterAutospacing="1" w:line="240" w:lineRule="auto"/>
    </w:pPr>
    <w:rPr>
      <w:rFonts w:ascii="Tahoma" w:hAnsi="Tahoma" w:cs="Tahoma"/>
      <w:sz w:val="18"/>
      <w:szCs w:val="18"/>
    </w:rPr>
  </w:style>
  <w:style w:type="paragraph" w:customStyle="1" w:styleId="xl650">
    <w:name w:val="xl650"/>
    <w:basedOn w:val="Normal"/>
    <w:qFormat/>
    <w:rsid w:val="00F863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hAnsi="Tahoma" w:cs="Tahoma"/>
      <w:sz w:val="18"/>
      <w:szCs w:val="18"/>
    </w:rPr>
  </w:style>
  <w:style w:type="paragraph" w:customStyle="1" w:styleId="xl651">
    <w:name w:val="xl651"/>
    <w:basedOn w:val="Normal"/>
    <w:qFormat/>
    <w:rsid w:val="00F8631B"/>
    <w:pPr>
      <w:shd w:val="clear" w:color="000000" w:fill="FFFFFF"/>
      <w:spacing w:before="100" w:beforeAutospacing="1" w:after="100" w:afterAutospacing="1" w:line="240" w:lineRule="auto"/>
      <w:jc w:val="both"/>
      <w:textAlignment w:val="top"/>
    </w:pPr>
    <w:rPr>
      <w:rFonts w:ascii="Tahoma" w:hAnsi="Tahoma" w:cs="Tahoma"/>
      <w:sz w:val="18"/>
      <w:szCs w:val="18"/>
    </w:rPr>
  </w:style>
  <w:style w:type="paragraph" w:customStyle="1" w:styleId="xl652">
    <w:name w:val="xl652"/>
    <w:basedOn w:val="Normal"/>
    <w:qFormat/>
    <w:rsid w:val="00F8631B"/>
    <w:pPr>
      <w:spacing w:before="100" w:beforeAutospacing="1" w:after="100" w:afterAutospacing="1" w:line="240" w:lineRule="auto"/>
      <w:textAlignment w:val="top"/>
    </w:pPr>
    <w:rPr>
      <w:rFonts w:ascii="Tahoma" w:hAnsi="Tahoma" w:cs="Tahoma"/>
      <w:b/>
      <w:bCs/>
      <w:sz w:val="18"/>
      <w:szCs w:val="18"/>
    </w:rPr>
  </w:style>
  <w:style w:type="paragraph" w:customStyle="1" w:styleId="xl653">
    <w:name w:val="xl653"/>
    <w:basedOn w:val="Normal"/>
    <w:qFormat/>
    <w:rsid w:val="00F8631B"/>
    <w:pPr>
      <w:spacing w:before="100" w:beforeAutospacing="1" w:after="100" w:afterAutospacing="1" w:line="240" w:lineRule="auto"/>
    </w:pPr>
    <w:rPr>
      <w:rFonts w:ascii="Tahoma" w:hAnsi="Tahoma" w:cs="Tahoma"/>
      <w:sz w:val="18"/>
      <w:szCs w:val="18"/>
    </w:rPr>
  </w:style>
  <w:style w:type="paragraph" w:customStyle="1" w:styleId="xl654">
    <w:name w:val="xl654"/>
    <w:basedOn w:val="Normal"/>
    <w:qFormat/>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hAnsi="Tahoma" w:cs="Tahoma"/>
      <w:sz w:val="18"/>
      <w:szCs w:val="18"/>
    </w:rPr>
  </w:style>
  <w:style w:type="paragraph" w:customStyle="1" w:styleId="xl655">
    <w:name w:val="xl655"/>
    <w:basedOn w:val="Normal"/>
    <w:qFormat/>
    <w:rsid w:val="00F8631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ahoma" w:hAnsi="Tahoma" w:cs="Tahoma"/>
      <w:b/>
      <w:bCs/>
      <w:sz w:val="18"/>
      <w:szCs w:val="18"/>
    </w:rPr>
  </w:style>
  <w:style w:type="paragraph" w:customStyle="1" w:styleId="xl656">
    <w:name w:val="xl656"/>
    <w:basedOn w:val="Normal"/>
    <w:qFormat/>
    <w:rsid w:val="00F8631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ahoma" w:hAnsi="Tahoma" w:cs="Tahoma"/>
      <w:b/>
      <w:bCs/>
      <w:sz w:val="18"/>
      <w:szCs w:val="18"/>
    </w:rPr>
  </w:style>
  <w:style w:type="paragraph" w:customStyle="1" w:styleId="xl657">
    <w:name w:val="xl657"/>
    <w:basedOn w:val="Normal"/>
    <w:qFormat/>
    <w:rsid w:val="00F8631B"/>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ahoma" w:hAnsi="Tahoma" w:cs="Tahoma"/>
      <w:b/>
      <w:bCs/>
      <w:sz w:val="18"/>
      <w:szCs w:val="18"/>
    </w:rPr>
  </w:style>
  <w:style w:type="paragraph" w:customStyle="1" w:styleId="xl658">
    <w:name w:val="xl658"/>
    <w:basedOn w:val="Normal"/>
    <w:qFormat/>
    <w:rsid w:val="00F8631B"/>
    <w:pPr>
      <w:pBdr>
        <w:right w:val="single" w:sz="4" w:space="0" w:color="auto"/>
      </w:pBdr>
      <w:spacing w:before="100" w:beforeAutospacing="1" w:after="100" w:afterAutospacing="1" w:line="240" w:lineRule="auto"/>
      <w:jc w:val="right"/>
    </w:pPr>
    <w:rPr>
      <w:rFonts w:ascii="Tahoma" w:hAnsi="Tahoma" w:cs="Tahoma"/>
      <w:sz w:val="18"/>
      <w:szCs w:val="18"/>
    </w:rPr>
  </w:style>
  <w:style w:type="paragraph" w:customStyle="1" w:styleId="xl659">
    <w:name w:val="xl659"/>
    <w:basedOn w:val="Normal"/>
    <w:qFormat/>
    <w:rsid w:val="00F8631B"/>
    <w:pPr>
      <w:pBdr>
        <w:bottom w:val="single" w:sz="4" w:space="0" w:color="auto"/>
      </w:pBdr>
      <w:spacing w:before="100" w:beforeAutospacing="1" w:after="100" w:afterAutospacing="1" w:line="240" w:lineRule="auto"/>
    </w:pPr>
    <w:rPr>
      <w:rFonts w:ascii="Tahoma" w:hAnsi="Tahoma" w:cs="Tahoma"/>
      <w:sz w:val="18"/>
      <w:szCs w:val="18"/>
    </w:rPr>
  </w:style>
  <w:style w:type="paragraph" w:customStyle="1" w:styleId="xl660">
    <w:name w:val="xl660"/>
    <w:basedOn w:val="Normal"/>
    <w:qFormat/>
    <w:rsid w:val="00F8631B"/>
    <w:pPr>
      <w:spacing w:before="100" w:beforeAutospacing="1" w:after="100" w:afterAutospacing="1" w:line="240" w:lineRule="auto"/>
      <w:jc w:val="right"/>
    </w:pPr>
    <w:rPr>
      <w:rFonts w:ascii="Tahoma" w:hAnsi="Tahoma" w:cs="Tahoma"/>
      <w:sz w:val="18"/>
      <w:szCs w:val="18"/>
    </w:rPr>
  </w:style>
  <w:style w:type="paragraph" w:customStyle="1" w:styleId="xl661">
    <w:name w:val="xl661"/>
    <w:basedOn w:val="Normal"/>
    <w:qFormat/>
    <w:rsid w:val="00F8631B"/>
    <w:pPr>
      <w:pBdr>
        <w:top w:val="single" w:sz="4" w:space="0" w:color="auto"/>
      </w:pBdr>
      <w:spacing w:before="100" w:beforeAutospacing="1" w:after="100" w:afterAutospacing="1" w:line="240" w:lineRule="auto"/>
    </w:pPr>
    <w:rPr>
      <w:rFonts w:ascii="Tahoma" w:hAnsi="Tahoma" w:cs="Tahoma"/>
      <w:sz w:val="18"/>
      <w:szCs w:val="18"/>
    </w:rPr>
  </w:style>
  <w:style w:type="paragraph" w:customStyle="1" w:styleId="xl662">
    <w:name w:val="xl662"/>
    <w:basedOn w:val="Normal"/>
    <w:qFormat/>
    <w:rsid w:val="00F8631B"/>
    <w:pPr>
      <w:shd w:val="clear" w:color="000000" w:fill="FFFFFF"/>
      <w:spacing w:before="100" w:beforeAutospacing="1" w:after="100" w:afterAutospacing="1" w:line="240" w:lineRule="auto"/>
      <w:jc w:val="center"/>
    </w:pPr>
    <w:rPr>
      <w:rFonts w:ascii="Tahoma" w:hAnsi="Tahoma" w:cs="Tahoma"/>
      <w:b/>
      <w:bCs/>
      <w:sz w:val="18"/>
      <w:szCs w:val="18"/>
      <w:u w:val="single"/>
    </w:rPr>
  </w:style>
  <w:style w:type="paragraph" w:customStyle="1" w:styleId="xl663">
    <w:name w:val="xl663"/>
    <w:basedOn w:val="Normal"/>
    <w:qFormat/>
    <w:rsid w:val="00F8631B"/>
    <w:pPr>
      <w:pBdr>
        <w:top w:val="single" w:sz="4" w:space="0" w:color="auto"/>
      </w:pBdr>
      <w:shd w:val="clear" w:color="000000" w:fill="FFFFFF"/>
      <w:spacing w:before="100" w:beforeAutospacing="1" w:after="100" w:afterAutospacing="1" w:line="240" w:lineRule="auto"/>
      <w:textAlignment w:val="top"/>
    </w:pPr>
    <w:rPr>
      <w:rFonts w:ascii="Tahoma" w:hAnsi="Tahoma" w:cs="Tahoma"/>
      <w:b/>
      <w:bCs/>
      <w:sz w:val="18"/>
      <w:szCs w:val="18"/>
    </w:rPr>
  </w:style>
  <w:style w:type="paragraph" w:customStyle="1" w:styleId="xl664">
    <w:name w:val="xl664"/>
    <w:basedOn w:val="Normal"/>
    <w:qFormat/>
    <w:rsid w:val="00F8631B"/>
    <w:pPr>
      <w:pBdr>
        <w:top w:val="single" w:sz="4" w:space="0" w:color="auto"/>
        <w:right w:val="single" w:sz="4" w:space="0" w:color="auto"/>
      </w:pBdr>
      <w:shd w:val="clear" w:color="000000" w:fill="FFFFFF"/>
      <w:spacing w:before="100" w:beforeAutospacing="1" w:after="100" w:afterAutospacing="1" w:line="240" w:lineRule="auto"/>
      <w:textAlignment w:val="top"/>
    </w:pPr>
    <w:rPr>
      <w:rFonts w:ascii="Tahoma" w:hAnsi="Tahoma" w:cs="Tahoma"/>
      <w:b/>
      <w:bCs/>
      <w:sz w:val="18"/>
      <w:szCs w:val="18"/>
    </w:rPr>
  </w:style>
  <w:style w:type="paragraph" w:customStyle="1" w:styleId="xl665">
    <w:name w:val="xl665"/>
    <w:basedOn w:val="Normal"/>
    <w:qFormat/>
    <w:rsid w:val="00F8631B"/>
    <w:pPr>
      <w:pBdr>
        <w:bottom w:val="single" w:sz="4" w:space="0" w:color="auto"/>
      </w:pBdr>
      <w:shd w:val="clear" w:color="000000" w:fill="FFFFFF"/>
      <w:spacing w:before="100" w:beforeAutospacing="1" w:after="100" w:afterAutospacing="1" w:line="240" w:lineRule="auto"/>
      <w:textAlignment w:val="top"/>
    </w:pPr>
    <w:rPr>
      <w:rFonts w:ascii="Tahoma" w:hAnsi="Tahoma" w:cs="Tahoma"/>
      <w:b/>
      <w:bCs/>
      <w:sz w:val="18"/>
      <w:szCs w:val="18"/>
    </w:rPr>
  </w:style>
  <w:style w:type="paragraph" w:customStyle="1" w:styleId="xl666">
    <w:name w:val="xl666"/>
    <w:basedOn w:val="Normal"/>
    <w:qFormat/>
    <w:rsid w:val="00F8631B"/>
    <w:pPr>
      <w:pBdr>
        <w:bottom w:val="single" w:sz="4" w:space="0" w:color="auto"/>
        <w:right w:val="single" w:sz="4" w:space="0" w:color="auto"/>
      </w:pBdr>
      <w:shd w:val="clear" w:color="000000" w:fill="FFFFFF"/>
      <w:spacing w:before="100" w:beforeAutospacing="1" w:after="100" w:afterAutospacing="1" w:line="240" w:lineRule="auto"/>
      <w:textAlignment w:val="top"/>
    </w:pPr>
    <w:rPr>
      <w:rFonts w:ascii="Tahoma" w:hAnsi="Tahoma" w:cs="Tahoma"/>
      <w:b/>
      <w:bCs/>
      <w:sz w:val="18"/>
      <w:szCs w:val="18"/>
    </w:rPr>
  </w:style>
  <w:style w:type="paragraph" w:customStyle="1" w:styleId="xl667">
    <w:name w:val="xl667"/>
    <w:basedOn w:val="Normal"/>
    <w:qFormat/>
    <w:rsid w:val="00F8631B"/>
    <w:pPr>
      <w:pBdr>
        <w:top w:val="single" w:sz="4" w:space="0" w:color="auto"/>
      </w:pBdr>
      <w:shd w:val="clear" w:color="000000" w:fill="FFFFFF"/>
      <w:spacing w:before="100" w:beforeAutospacing="1" w:after="100" w:afterAutospacing="1" w:line="240" w:lineRule="auto"/>
    </w:pPr>
    <w:rPr>
      <w:rFonts w:ascii="Tahoma" w:hAnsi="Tahoma" w:cs="Tahoma"/>
      <w:sz w:val="18"/>
      <w:szCs w:val="18"/>
    </w:rPr>
  </w:style>
  <w:style w:type="paragraph" w:customStyle="1" w:styleId="xl668">
    <w:name w:val="xl668"/>
    <w:basedOn w:val="Normal"/>
    <w:qFormat/>
    <w:rsid w:val="00F8631B"/>
    <w:pPr>
      <w:pBdr>
        <w:top w:val="single" w:sz="4" w:space="0" w:color="auto"/>
        <w:right w:val="single" w:sz="4" w:space="0" w:color="auto"/>
      </w:pBdr>
      <w:shd w:val="clear" w:color="000000" w:fill="FFFFFF"/>
      <w:spacing w:before="100" w:beforeAutospacing="1" w:after="100" w:afterAutospacing="1" w:line="240" w:lineRule="auto"/>
    </w:pPr>
    <w:rPr>
      <w:rFonts w:ascii="Tahoma" w:hAnsi="Tahoma" w:cs="Tahoma"/>
      <w:sz w:val="18"/>
      <w:szCs w:val="18"/>
    </w:rPr>
  </w:style>
  <w:style w:type="paragraph" w:customStyle="1" w:styleId="xl669">
    <w:name w:val="xl669"/>
    <w:basedOn w:val="Normal"/>
    <w:qFormat/>
    <w:rsid w:val="00F8631B"/>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ahoma" w:hAnsi="Tahoma" w:cs="Tahoma"/>
      <w:b/>
      <w:bCs/>
      <w:sz w:val="18"/>
      <w:szCs w:val="18"/>
    </w:rPr>
  </w:style>
  <w:style w:type="paragraph" w:customStyle="1" w:styleId="xl670">
    <w:name w:val="xl670"/>
    <w:basedOn w:val="Normal"/>
    <w:qFormat/>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hAnsi="Tahoma" w:cs="Tahoma"/>
      <w:sz w:val="18"/>
      <w:szCs w:val="18"/>
    </w:rPr>
  </w:style>
  <w:style w:type="paragraph" w:customStyle="1" w:styleId="xl671">
    <w:name w:val="xl671"/>
    <w:basedOn w:val="Normal"/>
    <w:qFormat/>
    <w:rsid w:val="00F8631B"/>
    <w:pPr>
      <w:spacing w:before="100" w:beforeAutospacing="1" w:after="100" w:afterAutospacing="1" w:line="240" w:lineRule="auto"/>
      <w:textAlignment w:val="top"/>
    </w:pPr>
    <w:rPr>
      <w:rFonts w:ascii="Tahoma" w:hAnsi="Tahoma" w:cs="Tahoma"/>
      <w:b/>
      <w:bCs/>
      <w:sz w:val="18"/>
      <w:szCs w:val="18"/>
    </w:rPr>
  </w:style>
  <w:style w:type="paragraph" w:customStyle="1" w:styleId="xl672">
    <w:name w:val="xl672"/>
    <w:basedOn w:val="Normal"/>
    <w:qFormat/>
    <w:rsid w:val="00F8631B"/>
    <w:pPr>
      <w:spacing w:before="100" w:beforeAutospacing="1" w:after="100" w:afterAutospacing="1" w:line="240" w:lineRule="auto"/>
      <w:jc w:val="center"/>
      <w:textAlignment w:val="top"/>
    </w:pPr>
    <w:rPr>
      <w:rFonts w:ascii="Tahoma" w:hAnsi="Tahoma" w:cs="Tahoma"/>
      <w:b/>
      <w:bCs/>
      <w:sz w:val="18"/>
      <w:szCs w:val="18"/>
      <w:u w:val="single"/>
    </w:rPr>
  </w:style>
  <w:style w:type="paragraph" w:customStyle="1" w:styleId="xl673">
    <w:name w:val="xl673"/>
    <w:basedOn w:val="Normal"/>
    <w:qFormat/>
    <w:rsid w:val="00F8631B"/>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ahoma" w:hAnsi="Tahoma" w:cs="Tahoma"/>
      <w:b/>
      <w:bCs/>
      <w:sz w:val="18"/>
      <w:szCs w:val="18"/>
    </w:rPr>
  </w:style>
  <w:style w:type="paragraph" w:customStyle="1" w:styleId="xl674">
    <w:name w:val="xl674"/>
    <w:basedOn w:val="Normal"/>
    <w:qFormat/>
    <w:rsid w:val="00F8631B"/>
    <w:pPr>
      <w:pBdr>
        <w:left w:val="single" w:sz="4" w:space="0" w:color="auto"/>
        <w:bottom w:val="single" w:sz="4" w:space="0" w:color="auto"/>
      </w:pBdr>
      <w:spacing w:before="100" w:beforeAutospacing="1" w:after="100" w:afterAutospacing="1" w:line="240" w:lineRule="auto"/>
      <w:textAlignment w:val="top"/>
    </w:pPr>
    <w:rPr>
      <w:rFonts w:ascii="Tahoma" w:hAnsi="Tahoma" w:cs="Tahoma"/>
      <w:b/>
      <w:bCs/>
      <w:sz w:val="18"/>
      <w:szCs w:val="18"/>
    </w:rPr>
  </w:style>
  <w:style w:type="paragraph" w:customStyle="1" w:styleId="xl675">
    <w:name w:val="xl675"/>
    <w:basedOn w:val="Normal"/>
    <w:qFormat/>
    <w:rsid w:val="00F8631B"/>
    <w:pPr>
      <w:pBdr>
        <w:bottom w:val="single" w:sz="4" w:space="0" w:color="auto"/>
        <w:right w:val="single" w:sz="4" w:space="0" w:color="auto"/>
      </w:pBdr>
      <w:spacing w:before="100" w:beforeAutospacing="1" w:after="100" w:afterAutospacing="1" w:line="240" w:lineRule="auto"/>
      <w:jc w:val="right"/>
    </w:pPr>
    <w:rPr>
      <w:rFonts w:ascii="Tahoma" w:hAnsi="Tahoma" w:cs="Tahoma"/>
      <w:sz w:val="18"/>
      <w:szCs w:val="18"/>
    </w:rPr>
  </w:style>
  <w:style w:type="paragraph" w:customStyle="1" w:styleId="xl676">
    <w:name w:val="xl676"/>
    <w:basedOn w:val="Normal"/>
    <w:qFormat/>
    <w:rsid w:val="00F8631B"/>
    <w:pPr>
      <w:pBdr>
        <w:left w:val="single" w:sz="4" w:space="0" w:color="auto"/>
        <w:bottom w:val="single" w:sz="4" w:space="0" w:color="auto"/>
      </w:pBdr>
      <w:spacing w:before="100" w:beforeAutospacing="1" w:after="100" w:afterAutospacing="1" w:line="240" w:lineRule="auto"/>
      <w:jc w:val="right"/>
    </w:pPr>
    <w:rPr>
      <w:rFonts w:ascii="Tahoma" w:hAnsi="Tahoma" w:cs="Tahoma"/>
      <w:sz w:val="18"/>
      <w:szCs w:val="18"/>
    </w:rPr>
  </w:style>
  <w:style w:type="paragraph" w:customStyle="1" w:styleId="xl677">
    <w:name w:val="xl677"/>
    <w:basedOn w:val="Normal"/>
    <w:qFormat/>
    <w:rsid w:val="00F8631B"/>
    <w:pPr>
      <w:spacing w:before="100" w:beforeAutospacing="1" w:after="100" w:afterAutospacing="1" w:line="240" w:lineRule="auto"/>
      <w:textAlignment w:val="top"/>
    </w:pPr>
    <w:rPr>
      <w:rFonts w:ascii="Tahoma" w:hAnsi="Tahoma" w:cs="Tahoma"/>
      <w:b/>
      <w:bCs/>
      <w:sz w:val="18"/>
      <w:szCs w:val="18"/>
    </w:rPr>
  </w:style>
  <w:style w:type="paragraph" w:customStyle="1" w:styleId="CM66">
    <w:name w:val="CM66"/>
    <w:basedOn w:val="Default"/>
    <w:next w:val="Default"/>
    <w:uiPriority w:val="99"/>
    <w:rsid w:val="00F8631B"/>
    <w:pPr>
      <w:widowControl w:val="0"/>
    </w:pPr>
    <w:rPr>
      <w:rFonts w:eastAsia="Times New Roman"/>
      <w:color w:val="auto"/>
    </w:rPr>
  </w:style>
  <w:style w:type="paragraph" w:customStyle="1" w:styleId="NormalMicrosoftSansSerif">
    <w:name w:val="Normal + Microsoft Sans Serif"/>
    <w:aliases w:val="9 pt,Justified,Line spacing:  Multiple 1.4 li,Normal + Arial,Condensed by  0.15 pt,...,8 pt,Default + 10 pt,Bold,Italic"/>
    <w:basedOn w:val="Normal"/>
    <w:rsid w:val="00F8631B"/>
    <w:pPr>
      <w:tabs>
        <w:tab w:val="left" w:pos="360"/>
      </w:tabs>
      <w:spacing w:after="0" w:line="336" w:lineRule="auto"/>
      <w:jc w:val="both"/>
    </w:pPr>
    <w:rPr>
      <w:rFonts w:ascii="Microsoft Sans Serif" w:hAnsi="Microsoft Sans Serif" w:cs="Microsoft Sans Serif"/>
      <w:sz w:val="18"/>
      <w:szCs w:val="18"/>
    </w:rPr>
  </w:style>
  <w:style w:type="character" w:customStyle="1" w:styleId="morelesscontrol">
    <w:name w:val="morelesscontrol"/>
    <w:basedOn w:val="DefaultParagraphFont"/>
    <w:rsid w:val="00F8631B"/>
  </w:style>
  <w:style w:type="character" w:customStyle="1" w:styleId="mw-headline">
    <w:name w:val="mw-headline"/>
    <w:basedOn w:val="DefaultParagraphFont"/>
    <w:rsid w:val="00F8631B"/>
  </w:style>
  <w:style w:type="paragraph" w:customStyle="1" w:styleId="ColorfulList-Accent11">
    <w:name w:val="Colorful List - Accent 11"/>
    <w:basedOn w:val="Normal"/>
    <w:qFormat/>
    <w:rsid w:val="00F8631B"/>
    <w:pPr>
      <w:spacing w:before="120" w:after="120"/>
      <w:ind w:left="720"/>
      <w:jc w:val="both"/>
    </w:pPr>
    <w:rPr>
      <w:rFonts w:ascii="Times New Roman" w:hAnsi="Times New Roman"/>
      <w:sz w:val="18"/>
      <w:szCs w:val="18"/>
      <w:lang w:val="en-IN"/>
    </w:rPr>
  </w:style>
  <w:style w:type="character" w:customStyle="1" w:styleId="DeltaViewInsertion">
    <w:name w:val="DeltaView Insertion"/>
    <w:uiPriority w:val="99"/>
    <w:rsid w:val="00F8631B"/>
    <w:rPr>
      <w:color w:val="0000FF"/>
      <w:u w:val="double"/>
    </w:rPr>
  </w:style>
  <w:style w:type="character" w:customStyle="1" w:styleId="DeltaViewDeletion">
    <w:name w:val="DeltaView Deletion"/>
    <w:uiPriority w:val="99"/>
    <w:rsid w:val="00F8631B"/>
    <w:rPr>
      <w:strike/>
      <w:color w:val="FF0000"/>
    </w:rPr>
  </w:style>
  <w:style w:type="paragraph" w:customStyle="1" w:styleId="xl617">
    <w:name w:val="xl617"/>
    <w:basedOn w:val="Normal"/>
    <w:rsid w:val="00F8631B"/>
    <w:pPr>
      <w:spacing w:before="100" w:beforeAutospacing="1" w:after="100" w:afterAutospacing="1" w:line="240" w:lineRule="auto"/>
      <w:textAlignment w:val="top"/>
    </w:pPr>
    <w:rPr>
      <w:rFonts w:ascii="Times New Roman" w:hAnsi="Times New Roman"/>
      <w:sz w:val="24"/>
      <w:szCs w:val="24"/>
    </w:rPr>
  </w:style>
  <w:style w:type="paragraph" w:customStyle="1" w:styleId="xl678">
    <w:name w:val="xl678"/>
    <w:basedOn w:val="Normal"/>
    <w:rsid w:val="00F8631B"/>
    <w:pPr>
      <w:pBdr>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679">
    <w:name w:val="xl679"/>
    <w:basedOn w:val="Normal"/>
    <w:rsid w:val="00F8631B"/>
    <w:pPr>
      <w:pBdr>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680">
    <w:name w:val="xl680"/>
    <w:basedOn w:val="Normal"/>
    <w:rsid w:val="00F8631B"/>
    <w:pPr>
      <w:pBdr>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681">
    <w:name w:val="xl681"/>
    <w:basedOn w:val="Normal"/>
    <w:rsid w:val="00F8631B"/>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682">
    <w:name w:val="xl682"/>
    <w:basedOn w:val="Normal"/>
    <w:rsid w:val="00F8631B"/>
    <w:pPr>
      <w:spacing w:before="100" w:beforeAutospacing="1" w:after="100" w:afterAutospacing="1" w:line="240" w:lineRule="auto"/>
      <w:textAlignment w:val="top"/>
    </w:pPr>
    <w:rPr>
      <w:rFonts w:ascii="Times New Roman" w:hAnsi="Times New Roman"/>
      <w:sz w:val="24"/>
      <w:szCs w:val="24"/>
    </w:rPr>
  </w:style>
  <w:style w:type="paragraph" w:customStyle="1" w:styleId="Side">
    <w:name w:val="Side"/>
    <w:basedOn w:val="Normal"/>
    <w:rsid w:val="00F8631B"/>
    <w:pPr>
      <w:tabs>
        <w:tab w:val="left" w:pos="480"/>
      </w:tabs>
      <w:autoSpaceDE w:val="0"/>
      <w:autoSpaceDN w:val="0"/>
      <w:adjustRightInd w:val="0"/>
      <w:spacing w:after="0" w:line="240" w:lineRule="auto"/>
    </w:pPr>
    <w:rPr>
      <w:rFonts w:ascii="Book Antiqua" w:hAnsi="Book Antiqua" w:cs="Book Antiqua"/>
      <w:sz w:val="16"/>
      <w:szCs w:val="16"/>
    </w:rPr>
  </w:style>
  <w:style w:type="paragraph" w:customStyle="1" w:styleId="BodyText1">
    <w:name w:val="Body Text1"/>
    <w:rsid w:val="00F8631B"/>
    <w:pPr>
      <w:tabs>
        <w:tab w:val="left" w:pos="480"/>
      </w:tabs>
      <w:autoSpaceDE w:val="0"/>
      <w:autoSpaceDN w:val="0"/>
      <w:adjustRightInd w:val="0"/>
      <w:spacing w:before="60" w:after="0" w:line="240" w:lineRule="auto"/>
      <w:jc w:val="both"/>
    </w:pPr>
    <w:rPr>
      <w:rFonts w:ascii="Book Antiqua" w:eastAsia="Times New Roman" w:hAnsi="Book Antiqua" w:cs="Book Antiqua"/>
      <w:color w:val="000000"/>
      <w:kern w:val="0"/>
      <w:sz w:val="20"/>
      <w:szCs w:val="20"/>
      <w14:ligatures w14:val="none"/>
    </w:rPr>
  </w:style>
  <w:style w:type="paragraph" w:customStyle="1" w:styleId="AC">
    <w:name w:val="AC"/>
    <w:basedOn w:val="BodyText"/>
    <w:next w:val="BodyText"/>
    <w:rsid w:val="00F8631B"/>
    <w:pPr>
      <w:tabs>
        <w:tab w:val="left" w:pos="360"/>
      </w:tabs>
      <w:spacing w:before="29" w:after="29" w:line="190" w:lineRule="atLeast"/>
      <w:ind w:left="360" w:hanging="360"/>
    </w:pPr>
    <w:rPr>
      <w:rFonts w:ascii="Zurich BT" w:eastAsia="MS Mincho" w:hAnsi="Zurich BT"/>
      <w:snapToGrid w:val="0"/>
      <w:sz w:val="16"/>
      <w:szCs w:val="20"/>
    </w:rPr>
  </w:style>
  <w:style w:type="paragraph" w:customStyle="1" w:styleId="tx">
    <w:name w:val="tx"/>
    <w:basedOn w:val="Normal"/>
    <w:rsid w:val="00F8631B"/>
    <w:pPr>
      <w:spacing w:before="100" w:beforeAutospacing="1" w:after="100" w:afterAutospacing="1" w:line="240" w:lineRule="auto"/>
    </w:pPr>
    <w:rPr>
      <w:rFonts w:ascii="Times New Roman" w:hAnsi="Times New Roman"/>
      <w:sz w:val="24"/>
      <w:szCs w:val="24"/>
    </w:rPr>
  </w:style>
  <w:style w:type="paragraph" w:customStyle="1" w:styleId="indent1">
    <w:name w:val="indent1"/>
    <w:basedOn w:val="Normal"/>
    <w:rsid w:val="00F8631B"/>
    <w:pPr>
      <w:spacing w:before="100" w:beforeAutospacing="1" w:after="100" w:afterAutospacing="1" w:line="240" w:lineRule="auto"/>
    </w:pPr>
    <w:rPr>
      <w:rFonts w:ascii="Times New Roman" w:hAnsi="Times New Roman"/>
      <w:sz w:val="24"/>
      <w:szCs w:val="24"/>
    </w:rPr>
  </w:style>
  <w:style w:type="paragraph" w:customStyle="1" w:styleId="CM52">
    <w:name w:val="CM52"/>
    <w:basedOn w:val="Default"/>
    <w:next w:val="Default"/>
    <w:uiPriority w:val="99"/>
    <w:qFormat/>
    <w:rsid w:val="00F8631B"/>
    <w:pPr>
      <w:widowControl w:val="0"/>
    </w:pPr>
    <w:rPr>
      <w:rFonts w:eastAsia="Times New Roman"/>
      <w:color w:val="auto"/>
    </w:rPr>
  </w:style>
  <w:style w:type="paragraph" w:customStyle="1" w:styleId="1st">
    <w:name w:val="1st"/>
    <w:qFormat/>
    <w:rsid w:val="00F8631B"/>
    <w:pPr>
      <w:tabs>
        <w:tab w:val="left" w:pos="495"/>
      </w:tabs>
      <w:autoSpaceDE w:val="0"/>
      <w:autoSpaceDN w:val="0"/>
      <w:adjustRightInd w:val="0"/>
      <w:spacing w:after="0" w:line="240" w:lineRule="auto"/>
      <w:ind w:left="495" w:hanging="495"/>
      <w:jc w:val="both"/>
    </w:pPr>
    <w:rPr>
      <w:rFonts w:ascii="Arial" w:eastAsia="Times New Roman" w:hAnsi="Arial" w:cs="Times New Roman"/>
      <w:color w:val="000000"/>
      <w:kern w:val="0"/>
      <w:sz w:val="20"/>
      <w:szCs w:val="20"/>
      <w14:ligatures w14:val="none"/>
    </w:rPr>
  </w:style>
  <w:style w:type="paragraph" w:customStyle="1" w:styleId="2nd">
    <w:name w:val="2nd"/>
    <w:qFormat/>
    <w:rsid w:val="00F8631B"/>
    <w:pPr>
      <w:tabs>
        <w:tab w:val="left" w:pos="495"/>
        <w:tab w:val="left" w:pos="990"/>
      </w:tabs>
      <w:autoSpaceDE w:val="0"/>
      <w:autoSpaceDN w:val="0"/>
      <w:adjustRightInd w:val="0"/>
      <w:spacing w:after="0" w:line="240" w:lineRule="auto"/>
      <w:ind w:left="990" w:hanging="990"/>
      <w:jc w:val="both"/>
    </w:pPr>
    <w:rPr>
      <w:rFonts w:ascii="Arial" w:eastAsia="Times New Roman" w:hAnsi="Arial" w:cs="Times New Roman"/>
      <w:kern w:val="0"/>
      <w:sz w:val="20"/>
      <w:szCs w:val="20"/>
      <w14:ligatures w14:val="none"/>
    </w:rPr>
  </w:style>
  <w:style w:type="paragraph" w:customStyle="1" w:styleId="3rd">
    <w:name w:val="3rd"/>
    <w:basedOn w:val="2nd"/>
    <w:next w:val="2nd"/>
    <w:qFormat/>
    <w:rsid w:val="00F8631B"/>
    <w:pPr>
      <w:tabs>
        <w:tab w:val="left" w:pos="1485"/>
      </w:tabs>
      <w:ind w:left="1485" w:hanging="1485"/>
    </w:pPr>
  </w:style>
  <w:style w:type="paragraph" w:customStyle="1" w:styleId="4th">
    <w:name w:val="4th"/>
    <w:basedOn w:val="3rd"/>
    <w:next w:val="3rd"/>
    <w:qFormat/>
    <w:rsid w:val="00F8631B"/>
    <w:pPr>
      <w:tabs>
        <w:tab w:val="left" w:pos="1980"/>
      </w:tabs>
      <w:ind w:left="1980" w:hanging="1980"/>
    </w:pPr>
  </w:style>
  <w:style w:type="paragraph" w:customStyle="1" w:styleId="normaltxt">
    <w:name w:val="normaltxt"/>
    <w:basedOn w:val="Normal"/>
    <w:qFormat/>
    <w:rsid w:val="00F8631B"/>
    <w:pPr>
      <w:spacing w:before="100" w:beforeAutospacing="1" w:after="100" w:afterAutospacing="1" w:line="240" w:lineRule="auto"/>
      <w:jc w:val="both"/>
    </w:pPr>
    <w:rPr>
      <w:rFonts w:ascii="Verdana" w:eastAsia="Arial Unicode MS" w:hAnsi="Verdana" w:cs="Arial Unicode MS"/>
      <w:color w:val="000000"/>
      <w:sz w:val="18"/>
      <w:szCs w:val="18"/>
      <w:lang w:val="en-IN"/>
    </w:rPr>
  </w:style>
  <w:style w:type="character" w:customStyle="1" w:styleId="IntenseQuoteChar2">
    <w:name w:val="Intense Quote Char2"/>
    <w:uiPriority w:val="30"/>
    <w:locked/>
    <w:rsid w:val="00F8631B"/>
    <w:rPr>
      <w:rFonts w:ascii="Calibri" w:eastAsia="Calibri" w:hAnsi="Calibri" w:cs="Times New Roman"/>
      <w:b/>
      <w:bCs/>
      <w:i/>
      <w:iCs/>
      <w:lang w:bidi="en-US"/>
    </w:rPr>
  </w:style>
  <w:style w:type="paragraph" w:customStyle="1" w:styleId="CharCharCharChar2">
    <w:name w:val="Char Char Char Char2"/>
    <w:basedOn w:val="Normal"/>
    <w:uiPriority w:val="99"/>
    <w:qFormat/>
    <w:rsid w:val="00F8631B"/>
    <w:pPr>
      <w:spacing w:before="120" w:after="120" w:line="240" w:lineRule="exact"/>
      <w:jc w:val="both"/>
    </w:pPr>
    <w:rPr>
      <w:rFonts w:ascii="Verdana" w:eastAsia="Calibri" w:hAnsi="Verdana" w:cs="Verdana"/>
      <w:sz w:val="20"/>
      <w:szCs w:val="20"/>
    </w:rPr>
  </w:style>
  <w:style w:type="character" w:customStyle="1" w:styleId="BodyText2Char1">
    <w:name w:val="Body Text 2 Char1"/>
    <w:aliases w:val="b2 Char1,bt2 Char1,DPWfd Bullet2 Char,DPW Bullet2 Char,Body Text 2 Char2"/>
    <w:rsid w:val="00F8631B"/>
    <w:rPr>
      <w:rFonts w:ascii="Calibri" w:eastAsia="Calibri" w:hAnsi="Calibri" w:cs="Times New Roman"/>
    </w:rPr>
  </w:style>
  <w:style w:type="character" w:customStyle="1" w:styleId="BodyText3Char1">
    <w:name w:val="Body Text 3 Char1"/>
    <w:aliases w:val="Body Text 3 Char1 Char Char Char Char Char Char Char1,b3 Char1"/>
    <w:rsid w:val="00F8631B"/>
    <w:rPr>
      <w:rFonts w:ascii="Calibri" w:eastAsia="Calibri" w:hAnsi="Calibri" w:cs="Times New Roman"/>
      <w:sz w:val="16"/>
      <w:szCs w:val="16"/>
    </w:rPr>
  </w:style>
  <w:style w:type="character" w:customStyle="1" w:styleId="BodyTextFirstIndentChar1">
    <w:name w:val="Body Text First Indent Char1"/>
    <w:aliases w:val="Body Text First Indent Char1 Char Char1,Body Text First Indent Char Char Char Char1,Body Text First Indent Char1 Char Char Char Char1,Body Text First Indent Char Char Char Char Char Char1,btfi Char Char Char Char Char Char1"/>
    <w:uiPriority w:val="99"/>
    <w:rsid w:val="00F8631B"/>
    <w:rPr>
      <w:rFonts w:ascii="Calibri" w:eastAsia="Calibri" w:hAnsi="Calibri" w:cs="Times New Roman"/>
      <w:sz w:val="22"/>
      <w:szCs w:val="22"/>
      <w:lang w:val="en-IN" w:bidi="en-US"/>
    </w:rPr>
  </w:style>
  <w:style w:type="character" w:customStyle="1" w:styleId="FootnoteTextChar1">
    <w:name w:val="Footnote Text Char1"/>
    <w:aliases w:val="FN Char2,FT Char3,FT Char Char Char2,FT Char Char3,fn Char Char Char2,fn Char Char3,Car Char1"/>
    <w:rsid w:val="00F8631B"/>
    <w:rPr>
      <w:rFonts w:ascii="Calibri" w:eastAsia="Calibri" w:hAnsi="Calibri" w:cs="Times New Roman"/>
      <w:sz w:val="20"/>
      <w:szCs w:val="20"/>
    </w:rPr>
  </w:style>
  <w:style w:type="character" w:customStyle="1" w:styleId="BodyTextIndent3Char1">
    <w:name w:val="Body Text Indent 3 Char1"/>
    <w:aliases w:val="i3 Char1"/>
    <w:uiPriority w:val="99"/>
    <w:rsid w:val="00F8631B"/>
    <w:rPr>
      <w:rFonts w:ascii="Calibri" w:eastAsia="Calibri" w:hAnsi="Calibri" w:cs="Times New Roman"/>
      <w:sz w:val="16"/>
      <w:szCs w:val="16"/>
    </w:rPr>
  </w:style>
  <w:style w:type="character" w:customStyle="1" w:styleId="CommentSubjectChar1">
    <w:name w:val="Comment Subject Char1"/>
    <w:uiPriority w:val="99"/>
    <w:rsid w:val="00F8631B"/>
    <w:rPr>
      <w:rFonts w:ascii="Calibri" w:eastAsia="Calibri" w:hAnsi="Calibri" w:cs="Times New Roman"/>
      <w:b/>
      <w:bCs/>
      <w:sz w:val="20"/>
      <w:szCs w:val="20"/>
      <w:lang w:val="en-US" w:bidi="en-US"/>
    </w:rPr>
  </w:style>
  <w:style w:type="character" w:customStyle="1" w:styleId="BodyTextIndent2Char1">
    <w:name w:val="Body Text Indent 2 Char1"/>
    <w:aliases w:val="i2 Char1,bti2 Char1"/>
    <w:rsid w:val="00F8631B"/>
    <w:rPr>
      <w:rFonts w:ascii="Calibri" w:eastAsia="Calibri" w:hAnsi="Calibri" w:cs="Times New Roman"/>
    </w:rPr>
  </w:style>
  <w:style w:type="character" w:customStyle="1" w:styleId="NoteHeadingChar1">
    <w:name w:val="Note Heading Char1"/>
    <w:semiHidden/>
    <w:rsid w:val="00F8631B"/>
    <w:rPr>
      <w:rFonts w:ascii="Calibri" w:eastAsia="Calibri" w:hAnsi="Calibri" w:cs="Times New Roman"/>
    </w:rPr>
  </w:style>
  <w:style w:type="character" w:customStyle="1" w:styleId="SalutationChar1">
    <w:name w:val="Salutation Char1"/>
    <w:semiHidden/>
    <w:rsid w:val="00F8631B"/>
    <w:rPr>
      <w:rFonts w:ascii="Calibri" w:eastAsia="Calibri" w:hAnsi="Calibri" w:cs="Times New Roman"/>
    </w:rPr>
  </w:style>
  <w:style w:type="character" w:customStyle="1" w:styleId="BodyTextChar2">
    <w:name w:val="Body Text Char2"/>
    <w:aliases w:val="bt Char1,OC Body Text Char1,heading3 Char1,Body Char1,Body Text Char1 Char1,Body Text Char Char Char1,Body Text Char1 Char Char Char1,Body Text Char Char Char Char Char1,Body Text Char1 Char Char Char Char Char1,Body Text Char11,t Char"/>
    <w:rsid w:val="00F8631B"/>
    <w:rPr>
      <w:rFonts w:ascii="Calibri" w:eastAsia="Calibri" w:hAnsi="Calibri" w:cs="Times New Roman"/>
      <w:sz w:val="22"/>
      <w:szCs w:val="22"/>
    </w:rPr>
  </w:style>
  <w:style w:type="character" w:customStyle="1" w:styleId="Heading7Char1">
    <w:name w:val="Heading 7 Char1"/>
    <w:aliases w:val="h7 Char,Legal Level 1.1. Char,H7 Char"/>
    <w:uiPriority w:val="9"/>
    <w:rsid w:val="00F8631B"/>
    <w:rPr>
      <w:rFonts w:ascii="Cambria" w:eastAsia="Times New Roman" w:hAnsi="Cambria" w:cs="Times New Roman"/>
      <w:i/>
      <w:iCs/>
      <w:color w:val="404040"/>
      <w:sz w:val="22"/>
      <w:szCs w:val="22"/>
    </w:rPr>
  </w:style>
  <w:style w:type="character" w:customStyle="1" w:styleId="Heading8Char1">
    <w:name w:val="Heading 8 Char1"/>
    <w:aliases w:val="h8 Char1,H8 Char"/>
    <w:uiPriority w:val="9"/>
    <w:rsid w:val="00F8631B"/>
    <w:rPr>
      <w:rFonts w:ascii="Cambria" w:eastAsia="Times New Roman" w:hAnsi="Cambria" w:cs="Times New Roman"/>
      <w:color w:val="404040"/>
    </w:rPr>
  </w:style>
  <w:style w:type="character" w:customStyle="1" w:styleId="Heading9Char1">
    <w:name w:val="Heading 9 Char1"/>
    <w:aliases w:val="H9 Char"/>
    <w:uiPriority w:val="9"/>
    <w:rsid w:val="00F8631B"/>
    <w:rPr>
      <w:rFonts w:ascii="Cambria" w:eastAsia="Times New Roman" w:hAnsi="Cambria" w:cs="Times New Roman"/>
      <w:i/>
      <w:iCs/>
      <w:color w:val="404040"/>
    </w:rPr>
  </w:style>
  <w:style w:type="character" w:customStyle="1" w:styleId="BalloonTextChar1">
    <w:name w:val="Balloon Text Char1"/>
    <w:aliases w:val="Char6 Char"/>
    <w:uiPriority w:val="99"/>
    <w:rsid w:val="00F8631B"/>
    <w:rPr>
      <w:rFonts w:ascii="Tahoma" w:hAnsi="Tahoma" w:cs="Tahoma"/>
      <w:sz w:val="16"/>
      <w:szCs w:val="16"/>
    </w:rPr>
  </w:style>
  <w:style w:type="character" w:customStyle="1" w:styleId="FooterChar1">
    <w:name w:val="Footer Char1"/>
    <w:basedOn w:val="DefaultParagraphFont"/>
    <w:rsid w:val="00F8631B"/>
  </w:style>
  <w:style w:type="paragraph" w:customStyle="1" w:styleId="smalltext">
    <w:name w:val="smalltext"/>
    <w:basedOn w:val="Normal"/>
    <w:rsid w:val="00F8631B"/>
    <w:pPr>
      <w:spacing w:before="100" w:beforeAutospacing="1" w:after="100" w:afterAutospacing="1" w:line="240" w:lineRule="auto"/>
    </w:pPr>
    <w:rPr>
      <w:rFonts w:ascii="Times New Roman" w:hAnsi="Times New Roman"/>
      <w:sz w:val="24"/>
      <w:szCs w:val="24"/>
      <w:lang w:val="en-IN" w:eastAsia="en-IN"/>
    </w:rPr>
  </w:style>
  <w:style w:type="paragraph" w:customStyle="1" w:styleId="BodyIndent">
    <w:name w:val="Body Indent"/>
    <w:basedOn w:val="Normal"/>
    <w:rsid w:val="00F8631B"/>
    <w:pPr>
      <w:tabs>
        <w:tab w:val="left" w:pos="851"/>
      </w:tabs>
      <w:spacing w:after="120" w:line="290" w:lineRule="auto"/>
      <w:ind w:left="425" w:firstLine="567"/>
      <w:jc w:val="both"/>
    </w:pPr>
    <w:rPr>
      <w:rFonts w:ascii="Times New Roman" w:hAnsi="Times New Roman"/>
      <w:kern w:val="20"/>
      <w:sz w:val="20"/>
      <w:szCs w:val="20"/>
      <w:lang w:val="en-GB"/>
    </w:rPr>
  </w:style>
  <w:style w:type="paragraph" w:customStyle="1" w:styleId="Standard">
    <w:name w:val="Standard"/>
    <w:rsid w:val="00F8631B"/>
    <w:pPr>
      <w:suppressAutoHyphens/>
      <w:autoSpaceDN w:val="0"/>
      <w:spacing w:after="200" w:line="276" w:lineRule="auto"/>
      <w:textAlignment w:val="baseline"/>
    </w:pPr>
    <w:rPr>
      <w:rFonts w:ascii="Calibri" w:eastAsia="Calibri" w:hAnsi="Calibri" w:cs="Times New Roman"/>
      <w:kern w:val="3"/>
      <w:lang w:val="en-IN"/>
      <w14:ligatures w14:val="none"/>
    </w:rPr>
  </w:style>
  <w:style w:type="numbering" w:customStyle="1" w:styleId="WWNum1">
    <w:name w:val="WWNum1"/>
    <w:basedOn w:val="NoList"/>
    <w:rsid w:val="00F8631B"/>
  </w:style>
  <w:style w:type="numbering" w:customStyle="1" w:styleId="WWNum4">
    <w:name w:val="WWNum4"/>
    <w:basedOn w:val="NoList"/>
    <w:rsid w:val="00F8631B"/>
  </w:style>
  <w:style w:type="numbering" w:customStyle="1" w:styleId="WWNum6">
    <w:name w:val="WWNum6"/>
    <w:basedOn w:val="NoList"/>
    <w:rsid w:val="00F8631B"/>
  </w:style>
  <w:style w:type="numbering" w:customStyle="1" w:styleId="WWNum8">
    <w:name w:val="WWNum8"/>
    <w:basedOn w:val="NoList"/>
    <w:rsid w:val="00F8631B"/>
  </w:style>
  <w:style w:type="numbering" w:customStyle="1" w:styleId="WWNum9">
    <w:name w:val="WWNum9"/>
    <w:basedOn w:val="NoList"/>
    <w:rsid w:val="00F8631B"/>
  </w:style>
  <w:style w:type="numbering" w:customStyle="1" w:styleId="WWNum10">
    <w:name w:val="WWNum10"/>
    <w:basedOn w:val="NoList"/>
    <w:rsid w:val="00F8631B"/>
  </w:style>
  <w:style w:type="numbering" w:customStyle="1" w:styleId="WWNum11">
    <w:name w:val="WWNum11"/>
    <w:basedOn w:val="NoList"/>
    <w:rsid w:val="00F8631B"/>
  </w:style>
  <w:style w:type="numbering" w:customStyle="1" w:styleId="WWNum12">
    <w:name w:val="WWNum12"/>
    <w:basedOn w:val="NoList"/>
    <w:rsid w:val="00F8631B"/>
  </w:style>
  <w:style w:type="numbering" w:customStyle="1" w:styleId="WWNum13">
    <w:name w:val="WWNum13"/>
    <w:basedOn w:val="NoList"/>
    <w:rsid w:val="00F8631B"/>
  </w:style>
  <w:style w:type="numbering" w:customStyle="1" w:styleId="WWNum14">
    <w:name w:val="WWNum14"/>
    <w:basedOn w:val="NoList"/>
    <w:rsid w:val="00F8631B"/>
  </w:style>
  <w:style w:type="numbering" w:customStyle="1" w:styleId="WWNum15">
    <w:name w:val="WWNum15"/>
    <w:basedOn w:val="NoList"/>
    <w:rsid w:val="00F8631B"/>
  </w:style>
  <w:style w:type="numbering" w:customStyle="1" w:styleId="WWNum16">
    <w:name w:val="WWNum16"/>
    <w:basedOn w:val="NoList"/>
    <w:rsid w:val="00F8631B"/>
  </w:style>
  <w:style w:type="numbering" w:customStyle="1" w:styleId="WWNum17">
    <w:name w:val="WWNum17"/>
    <w:basedOn w:val="NoList"/>
    <w:rsid w:val="00F8631B"/>
  </w:style>
  <w:style w:type="numbering" w:customStyle="1" w:styleId="WWNum18">
    <w:name w:val="WWNum18"/>
    <w:basedOn w:val="NoList"/>
    <w:rsid w:val="00F8631B"/>
  </w:style>
  <w:style w:type="numbering" w:customStyle="1" w:styleId="WWNum19">
    <w:name w:val="WWNum19"/>
    <w:basedOn w:val="NoList"/>
    <w:rsid w:val="00F8631B"/>
  </w:style>
  <w:style w:type="numbering" w:customStyle="1" w:styleId="WWNum20">
    <w:name w:val="WWNum20"/>
    <w:basedOn w:val="NoList"/>
    <w:rsid w:val="00F8631B"/>
  </w:style>
  <w:style w:type="numbering" w:customStyle="1" w:styleId="WWNum21">
    <w:name w:val="WWNum21"/>
    <w:basedOn w:val="NoList"/>
    <w:rsid w:val="00F8631B"/>
  </w:style>
  <w:style w:type="numbering" w:customStyle="1" w:styleId="WWNum23">
    <w:name w:val="WWNum23"/>
    <w:basedOn w:val="NoList"/>
    <w:rsid w:val="00F8631B"/>
  </w:style>
  <w:style w:type="numbering" w:customStyle="1" w:styleId="WWNum24">
    <w:name w:val="WWNum24"/>
    <w:basedOn w:val="NoList"/>
    <w:rsid w:val="00F8631B"/>
  </w:style>
  <w:style w:type="numbering" w:customStyle="1" w:styleId="WWNum25">
    <w:name w:val="WWNum25"/>
    <w:basedOn w:val="NoList"/>
    <w:rsid w:val="00F8631B"/>
  </w:style>
  <w:style w:type="numbering" w:customStyle="1" w:styleId="WWNum26">
    <w:name w:val="WWNum26"/>
    <w:basedOn w:val="NoList"/>
    <w:rsid w:val="00F8631B"/>
  </w:style>
  <w:style w:type="numbering" w:customStyle="1" w:styleId="WWNum27">
    <w:name w:val="WWNum27"/>
    <w:basedOn w:val="NoList"/>
    <w:rsid w:val="00F8631B"/>
  </w:style>
  <w:style w:type="numbering" w:customStyle="1" w:styleId="WWNum28">
    <w:name w:val="WWNum28"/>
    <w:basedOn w:val="NoList"/>
    <w:rsid w:val="00F8631B"/>
  </w:style>
  <w:style w:type="numbering" w:customStyle="1" w:styleId="WWNum29">
    <w:name w:val="WWNum29"/>
    <w:basedOn w:val="NoList"/>
    <w:rsid w:val="00F8631B"/>
  </w:style>
  <w:style w:type="numbering" w:customStyle="1" w:styleId="WWNum30">
    <w:name w:val="WWNum30"/>
    <w:basedOn w:val="NoList"/>
    <w:rsid w:val="00F8631B"/>
  </w:style>
  <w:style w:type="numbering" w:customStyle="1" w:styleId="WWNum31">
    <w:name w:val="WWNum31"/>
    <w:basedOn w:val="NoList"/>
    <w:rsid w:val="00F8631B"/>
  </w:style>
  <w:style w:type="numbering" w:customStyle="1" w:styleId="WWNum32">
    <w:name w:val="WWNum32"/>
    <w:basedOn w:val="NoList"/>
    <w:rsid w:val="00F8631B"/>
  </w:style>
  <w:style w:type="numbering" w:customStyle="1" w:styleId="WWNum33">
    <w:name w:val="WWNum33"/>
    <w:basedOn w:val="NoList"/>
    <w:rsid w:val="00F8631B"/>
  </w:style>
  <w:style w:type="numbering" w:customStyle="1" w:styleId="WWNum34">
    <w:name w:val="WWNum34"/>
    <w:basedOn w:val="NoList"/>
    <w:rsid w:val="00F8631B"/>
  </w:style>
  <w:style w:type="numbering" w:customStyle="1" w:styleId="WWNum35">
    <w:name w:val="WWNum35"/>
    <w:basedOn w:val="NoList"/>
    <w:rsid w:val="00F8631B"/>
  </w:style>
  <w:style w:type="numbering" w:customStyle="1" w:styleId="WWNum36">
    <w:name w:val="WWNum36"/>
    <w:basedOn w:val="NoList"/>
    <w:rsid w:val="00F8631B"/>
  </w:style>
  <w:style w:type="numbering" w:customStyle="1" w:styleId="WWNum37">
    <w:name w:val="WWNum37"/>
    <w:basedOn w:val="NoList"/>
    <w:rsid w:val="00F8631B"/>
  </w:style>
  <w:style w:type="numbering" w:customStyle="1" w:styleId="WWNum38">
    <w:name w:val="WWNum38"/>
    <w:basedOn w:val="NoList"/>
    <w:rsid w:val="00F8631B"/>
  </w:style>
  <w:style w:type="numbering" w:customStyle="1" w:styleId="WWNum39">
    <w:name w:val="WWNum39"/>
    <w:basedOn w:val="NoList"/>
    <w:rsid w:val="00F8631B"/>
  </w:style>
  <w:style w:type="numbering" w:customStyle="1" w:styleId="WWNum40">
    <w:name w:val="WWNum40"/>
    <w:basedOn w:val="NoList"/>
    <w:rsid w:val="00F8631B"/>
  </w:style>
  <w:style w:type="numbering" w:customStyle="1" w:styleId="WWNum41">
    <w:name w:val="WWNum41"/>
    <w:basedOn w:val="NoList"/>
    <w:rsid w:val="00F8631B"/>
  </w:style>
  <w:style w:type="numbering" w:customStyle="1" w:styleId="WWNum42">
    <w:name w:val="WWNum42"/>
    <w:basedOn w:val="NoList"/>
    <w:rsid w:val="00F8631B"/>
  </w:style>
  <w:style w:type="numbering" w:customStyle="1" w:styleId="WWNum43">
    <w:name w:val="WWNum43"/>
    <w:basedOn w:val="NoList"/>
    <w:rsid w:val="00F8631B"/>
  </w:style>
  <w:style w:type="numbering" w:customStyle="1" w:styleId="WWNum44">
    <w:name w:val="WWNum44"/>
    <w:basedOn w:val="NoList"/>
    <w:rsid w:val="00F8631B"/>
  </w:style>
  <w:style w:type="numbering" w:customStyle="1" w:styleId="WWNum45">
    <w:name w:val="WWNum45"/>
    <w:basedOn w:val="NoList"/>
    <w:rsid w:val="00F8631B"/>
  </w:style>
  <w:style w:type="numbering" w:customStyle="1" w:styleId="WWNum46">
    <w:name w:val="WWNum46"/>
    <w:basedOn w:val="NoList"/>
    <w:rsid w:val="00F8631B"/>
  </w:style>
  <w:style w:type="numbering" w:customStyle="1" w:styleId="WWNum47">
    <w:name w:val="WWNum47"/>
    <w:basedOn w:val="NoList"/>
    <w:rsid w:val="00F8631B"/>
  </w:style>
  <w:style w:type="numbering" w:customStyle="1" w:styleId="WWNum51">
    <w:name w:val="WWNum51"/>
    <w:basedOn w:val="NoList"/>
    <w:rsid w:val="00F8631B"/>
  </w:style>
  <w:style w:type="numbering" w:customStyle="1" w:styleId="WWNum52">
    <w:name w:val="WWNum52"/>
    <w:basedOn w:val="NoList"/>
    <w:rsid w:val="00F8631B"/>
  </w:style>
  <w:style w:type="numbering" w:customStyle="1" w:styleId="WWNum54">
    <w:name w:val="WWNum54"/>
    <w:basedOn w:val="NoList"/>
    <w:rsid w:val="00F8631B"/>
  </w:style>
  <w:style w:type="numbering" w:customStyle="1" w:styleId="WWNum55">
    <w:name w:val="WWNum55"/>
    <w:basedOn w:val="NoList"/>
    <w:rsid w:val="00F8631B"/>
  </w:style>
  <w:style w:type="numbering" w:customStyle="1" w:styleId="WWNum57">
    <w:name w:val="WWNum57"/>
    <w:basedOn w:val="NoList"/>
    <w:rsid w:val="00F8631B"/>
  </w:style>
  <w:style w:type="numbering" w:customStyle="1" w:styleId="WWNum58">
    <w:name w:val="WWNum58"/>
    <w:basedOn w:val="NoList"/>
    <w:rsid w:val="00F8631B"/>
  </w:style>
  <w:style w:type="numbering" w:customStyle="1" w:styleId="WWNum64">
    <w:name w:val="WWNum64"/>
    <w:basedOn w:val="NoList"/>
    <w:rsid w:val="00F8631B"/>
  </w:style>
  <w:style w:type="numbering" w:customStyle="1" w:styleId="WWNum65">
    <w:name w:val="WWNum65"/>
    <w:basedOn w:val="NoList"/>
    <w:rsid w:val="00F8631B"/>
  </w:style>
  <w:style w:type="numbering" w:customStyle="1" w:styleId="WWNum66">
    <w:name w:val="WWNum66"/>
    <w:basedOn w:val="NoList"/>
    <w:rsid w:val="00F8631B"/>
  </w:style>
  <w:style w:type="numbering" w:customStyle="1" w:styleId="WWNum70">
    <w:name w:val="WWNum70"/>
    <w:basedOn w:val="NoList"/>
    <w:rsid w:val="00F8631B"/>
  </w:style>
  <w:style w:type="numbering" w:customStyle="1" w:styleId="WWNum73">
    <w:name w:val="WWNum73"/>
    <w:basedOn w:val="NoList"/>
    <w:rsid w:val="00F8631B"/>
  </w:style>
  <w:style w:type="numbering" w:customStyle="1" w:styleId="WWNum74">
    <w:name w:val="WWNum74"/>
    <w:basedOn w:val="NoList"/>
    <w:rsid w:val="00F8631B"/>
  </w:style>
  <w:style w:type="numbering" w:customStyle="1" w:styleId="WWNum75">
    <w:name w:val="WWNum75"/>
    <w:basedOn w:val="NoList"/>
    <w:rsid w:val="00F8631B"/>
  </w:style>
  <w:style w:type="numbering" w:customStyle="1" w:styleId="WWNum76">
    <w:name w:val="WWNum76"/>
    <w:basedOn w:val="NoList"/>
    <w:rsid w:val="00F8631B"/>
  </w:style>
  <w:style w:type="numbering" w:customStyle="1" w:styleId="WWNum77">
    <w:name w:val="WWNum77"/>
    <w:basedOn w:val="NoList"/>
    <w:rsid w:val="00F8631B"/>
  </w:style>
  <w:style w:type="numbering" w:customStyle="1" w:styleId="WWNum78">
    <w:name w:val="WWNum78"/>
    <w:basedOn w:val="NoList"/>
    <w:rsid w:val="00F8631B"/>
  </w:style>
  <w:style w:type="paragraph" w:customStyle="1" w:styleId="style60">
    <w:name w:val="style6"/>
    <w:basedOn w:val="Normal"/>
    <w:rsid w:val="00F8631B"/>
    <w:pPr>
      <w:spacing w:before="100" w:beforeAutospacing="1" w:after="100" w:afterAutospacing="1" w:line="240" w:lineRule="auto"/>
    </w:pPr>
    <w:rPr>
      <w:rFonts w:ascii="Times New Roman" w:hAnsi="Times New Roman"/>
      <w:sz w:val="24"/>
      <w:szCs w:val="24"/>
    </w:rPr>
  </w:style>
  <w:style w:type="character" w:customStyle="1" w:styleId="s1">
    <w:name w:val="s1"/>
    <w:basedOn w:val="DefaultParagraphFont"/>
    <w:rsid w:val="00F8631B"/>
  </w:style>
  <w:style w:type="table" w:styleId="LightList-Accent6">
    <w:name w:val="Light List Accent 6"/>
    <w:basedOn w:val="TableNormal"/>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DocumentMapChar">
    <w:name w:val="Document Map Char"/>
    <w:link w:val="DocumentMap"/>
    <w:uiPriority w:val="99"/>
    <w:semiHidden/>
    <w:rsid w:val="00F8631B"/>
    <w:rPr>
      <w:rFonts w:ascii="Tahoma" w:hAnsi="Tahoma" w:cs="Tahoma"/>
      <w:sz w:val="16"/>
      <w:szCs w:val="16"/>
      <w:lang w:bidi="en-US"/>
    </w:rPr>
  </w:style>
  <w:style w:type="paragraph" w:styleId="DocumentMap">
    <w:name w:val="Document Map"/>
    <w:basedOn w:val="Normal"/>
    <w:link w:val="DocumentMapChar"/>
    <w:uiPriority w:val="99"/>
    <w:semiHidden/>
    <w:unhideWhenUsed/>
    <w:rsid w:val="00F8631B"/>
    <w:pPr>
      <w:spacing w:after="0" w:line="240" w:lineRule="auto"/>
    </w:pPr>
    <w:rPr>
      <w:rFonts w:ascii="Tahoma" w:eastAsiaTheme="minorHAnsi" w:hAnsi="Tahoma" w:cs="Tahoma"/>
      <w:kern w:val="2"/>
      <w:sz w:val="16"/>
      <w:szCs w:val="16"/>
      <w:lang w:bidi="en-US"/>
      <w14:ligatures w14:val="standardContextual"/>
    </w:rPr>
  </w:style>
  <w:style w:type="character" w:customStyle="1" w:styleId="DocumentMapChar1">
    <w:name w:val="Document Map Char1"/>
    <w:basedOn w:val="DefaultParagraphFont"/>
    <w:uiPriority w:val="99"/>
    <w:semiHidden/>
    <w:rsid w:val="00F8631B"/>
    <w:rPr>
      <w:rFonts w:ascii="Segoe UI" w:eastAsia="Times New Roman" w:hAnsi="Segoe UI" w:cs="Segoe UI"/>
      <w:kern w:val="0"/>
      <w:sz w:val="16"/>
      <w:szCs w:val="16"/>
      <w14:ligatures w14:val="none"/>
    </w:rPr>
  </w:style>
  <w:style w:type="paragraph" w:customStyle="1" w:styleId="font9">
    <w:name w:val="font9"/>
    <w:basedOn w:val="Normal"/>
    <w:rsid w:val="00F8631B"/>
    <w:pPr>
      <w:spacing w:before="100" w:beforeAutospacing="1" w:after="100" w:afterAutospacing="1" w:line="240" w:lineRule="auto"/>
    </w:pPr>
    <w:rPr>
      <w:rFonts w:ascii="Cambria" w:hAnsi="Cambria"/>
      <w:color w:val="000000"/>
    </w:rPr>
  </w:style>
  <w:style w:type="paragraph" w:customStyle="1" w:styleId="font10">
    <w:name w:val="font10"/>
    <w:basedOn w:val="Normal"/>
    <w:rsid w:val="00F8631B"/>
    <w:pPr>
      <w:spacing w:before="100" w:beforeAutospacing="1" w:after="100" w:afterAutospacing="1" w:line="240" w:lineRule="auto"/>
    </w:pPr>
    <w:rPr>
      <w:rFonts w:ascii="Cambria" w:hAnsi="Cambria"/>
      <w:b/>
      <w:bCs/>
      <w:color w:val="000000"/>
    </w:rPr>
  </w:style>
  <w:style w:type="paragraph" w:customStyle="1" w:styleId="font11">
    <w:name w:val="font11"/>
    <w:basedOn w:val="Normal"/>
    <w:rsid w:val="00F8631B"/>
    <w:pPr>
      <w:spacing w:before="100" w:beforeAutospacing="1" w:after="100" w:afterAutospacing="1" w:line="240" w:lineRule="auto"/>
    </w:pPr>
    <w:rPr>
      <w:rFonts w:ascii="Rupee Foradian" w:hAnsi="Rupee Foradian"/>
      <w:b/>
      <w:bCs/>
      <w:color w:val="000000"/>
    </w:rPr>
  </w:style>
  <w:style w:type="paragraph" w:customStyle="1" w:styleId="font12">
    <w:name w:val="font12"/>
    <w:basedOn w:val="Normal"/>
    <w:rsid w:val="00F8631B"/>
    <w:pPr>
      <w:spacing w:before="100" w:beforeAutospacing="1" w:after="100" w:afterAutospacing="1" w:line="240" w:lineRule="auto"/>
    </w:pPr>
    <w:rPr>
      <w:rFonts w:ascii="Cambria" w:hAnsi="Cambria"/>
      <w:color w:val="000000"/>
      <w:u w:val="single"/>
    </w:rPr>
  </w:style>
  <w:style w:type="paragraph" w:customStyle="1" w:styleId="font13">
    <w:name w:val="font13"/>
    <w:basedOn w:val="Normal"/>
    <w:rsid w:val="00F8631B"/>
    <w:pPr>
      <w:spacing w:before="100" w:beforeAutospacing="1" w:after="100" w:afterAutospacing="1" w:line="240" w:lineRule="auto"/>
    </w:pPr>
    <w:rPr>
      <w:rFonts w:ascii="Cambria" w:hAnsi="Cambria"/>
    </w:rPr>
  </w:style>
  <w:style w:type="paragraph" w:customStyle="1" w:styleId="font14">
    <w:name w:val="font14"/>
    <w:basedOn w:val="Normal"/>
    <w:rsid w:val="00F8631B"/>
    <w:pPr>
      <w:spacing w:before="100" w:beforeAutospacing="1" w:after="100" w:afterAutospacing="1" w:line="240" w:lineRule="auto"/>
    </w:pPr>
    <w:rPr>
      <w:rFonts w:ascii="Cambria" w:hAnsi="Cambria"/>
      <w:color w:val="000000"/>
    </w:rPr>
  </w:style>
  <w:style w:type="paragraph" w:customStyle="1" w:styleId="font15">
    <w:name w:val="font15"/>
    <w:basedOn w:val="Normal"/>
    <w:rsid w:val="00F8631B"/>
    <w:pPr>
      <w:spacing w:before="100" w:beforeAutospacing="1" w:after="100" w:afterAutospacing="1" w:line="240" w:lineRule="auto"/>
    </w:pPr>
    <w:rPr>
      <w:rFonts w:ascii="Cambria" w:hAnsi="Cambria"/>
    </w:rPr>
  </w:style>
  <w:style w:type="paragraph" w:customStyle="1" w:styleId="font16">
    <w:name w:val="font16"/>
    <w:basedOn w:val="Normal"/>
    <w:rsid w:val="00F8631B"/>
    <w:pPr>
      <w:spacing w:before="100" w:beforeAutospacing="1" w:after="100" w:afterAutospacing="1" w:line="240" w:lineRule="auto"/>
    </w:pPr>
    <w:rPr>
      <w:rFonts w:ascii="Rupee Foradian" w:hAnsi="Rupee Foradian"/>
      <w:color w:val="000000"/>
    </w:rPr>
  </w:style>
  <w:style w:type="paragraph" w:customStyle="1" w:styleId="font17">
    <w:name w:val="font17"/>
    <w:basedOn w:val="Normal"/>
    <w:rsid w:val="00F8631B"/>
    <w:pPr>
      <w:spacing w:before="100" w:beforeAutospacing="1" w:after="100" w:afterAutospacing="1" w:line="240" w:lineRule="auto"/>
    </w:pPr>
    <w:rPr>
      <w:rFonts w:ascii="Rupee Foradian" w:hAnsi="Rupee Foradian"/>
    </w:rPr>
  </w:style>
  <w:style w:type="paragraph" w:customStyle="1" w:styleId="xl159">
    <w:name w:val="xl159"/>
    <w:basedOn w:val="Normal"/>
    <w:rsid w:val="00F8631B"/>
    <w:pPr>
      <w:pBdr>
        <w:top w:val="single" w:sz="4" w:space="0" w:color="auto"/>
        <w:left w:val="single" w:sz="4" w:space="0" w:color="auto"/>
        <w:bottom w:val="single" w:sz="4" w:space="0" w:color="auto"/>
      </w:pBdr>
      <w:spacing w:before="100" w:beforeAutospacing="1" w:after="100" w:afterAutospacing="1" w:line="240" w:lineRule="auto"/>
    </w:pPr>
    <w:rPr>
      <w:rFonts w:ascii="Cambria" w:hAnsi="Cambria"/>
      <w:sz w:val="24"/>
      <w:szCs w:val="24"/>
    </w:rPr>
  </w:style>
  <w:style w:type="paragraph" w:customStyle="1" w:styleId="xl160">
    <w:name w:val="xl160"/>
    <w:basedOn w:val="Normal"/>
    <w:rsid w:val="00F8631B"/>
    <w:pPr>
      <w:pBdr>
        <w:top w:val="single" w:sz="4" w:space="0" w:color="auto"/>
        <w:bottom w:val="single" w:sz="4" w:space="0" w:color="auto"/>
        <w:right w:val="single" w:sz="4" w:space="0" w:color="auto"/>
      </w:pBdr>
      <w:spacing w:before="100" w:beforeAutospacing="1" w:after="100" w:afterAutospacing="1" w:line="240" w:lineRule="auto"/>
    </w:pPr>
    <w:rPr>
      <w:rFonts w:ascii="Cambria" w:hAnsi="Cambria"/>
      <w:sz w:val="24"/>
      <w:szCs w:val="24"/>
    </w:rPr>
  </w:style>
  <w:style w:type="paragraph" w:customStyle="1" w:styleId="xl161">
    <w:name w:val="xl161"/>
    <w:basedOn w:val="Normal"/>
    <w:rsid w:val="00F8631B"/>
    <w:pPr>
      <w:pBdr>
        <w:top w:val="single" w:sz="4" w:space="0" w:color="auto"/>
        <w:left w:val="single" w:sz="4" w:space="0" w:color="auto"/>
        <w:bottom w:val="single" w:sz="4" w:space="0" w:color="auto"/>
      </w:pBdr>
      <w:spacing w:before="100" w:beforeAutospacing="1" w:after="100" w:afterAutospacing="1" w:line="240" w:lineRule="auto"/>
    </w:pPr>
    <w:rPr>
      <w:rFonts w:ascii="Cambria" w:hAnsi="Cambria"/>
      <w:b/>
      <w:bCs/>
      <w:sz w:val="24"/>
      <w:szCs w:val="24"/>
    </w:rPr>
  </w:style>
  <w:style w:type="paragraph" w:customStyle="1" w:styleId="xl162">
    <w:name w:val="xl162"/>
    <w:basedOn w:val="Normal"/>
    <w:rsid w:val="00F8631B"/>
    <w:pPr>
      <w:pBdr>
        <w:top w:val="single" w:sz="4" w:space="0" w:color="auto"/>
        <w:bottom w:val="single" w:sz="4" w:space="0" w:color="auto"/>
        <w:right w:val="single" w:sz="4" w:space="0" w:color="auto"/>
      </w:pBdr>
      <w:spacing w:before="100" w:beforeAutospacing="1" w:after="100" w:afterAutospacing="1" w:line="240" w:lineRule="auto"/>
    </w:pPr>
    <w:rPr>
      <w:rFonts w:ascii="Cambria" w:hAnsi="Cambria"/>
      <w:b/>
      <w:bCs/>
      <w:sz w:val="24"/>
      <w:szCs w:val="24"/>
    </w:rPr>
  </w:style>
  <w:style w:type="paragraph" w:customStyle="1" w:styleId="xl163">
    <w:name w:val="xl163"/>
    <w:basedOn w:val="Normal"/>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hAnsi="Cambria"/>
      <w:sz w:val="24"/>
      <w:szCs w:val="24"/>
    </w:rPr>
  </w:style>
  <w:style w:type="paragraph" w:customStyle="1" w:styleId="xl164">
    <w:name w:val="xl164"/>
    <w:basedOn w:val="Normal"/>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hAnsi="Cambria"/>
      <w:sz w:val="24"/>
      <w:szCs w:val="24"/>
    </w:rPr>
  </w:style>
  <w:style w:type="paragraph" w:customStyle="1" w:styleId="xl165">
    <w:name w:val="xl165"/>
    <w:basedOn w:val="Normal"/>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66">
    <w:name w:val="xl166"/>
    <w:basedOn w:val="Normal"/>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167">
    <w:name w:val="xl167"/>
    <w:basedOn w:val="Normal"/>
    <w:rsid w:val="00F8631B"/>
    <w:pPr>
      <w:pBdr>
        <w:top w:val="single" w:sz="4" w:space="0" w:color="auto"/>
        <w:left w:val="single" w:sz="4" w:space="0" w:color="auto"/>
      </w:pBdr>
      <w:spacing w:before="100" w:beforeAutospacing="1" w:after="100" w:afterAutospacing="1" w:line="240" w:lineRule="auto"/>
      <w:jc w:val="center"/>
      <w:textAlignment w:val="center"/>
    </w:pPr>
    <w:rPr>
      <w:rFonts w:ascii="Cambria" w:hAnsi="Cambria"/>
      <w:b/>
      <w:bCs/>
      <w:sz w:val="24"/>
      <w:szCs w:val="24"/>
    </w:rPr>
  </w:style>
  <w:style w:type="paragraph" w:customStyle="1" w:styleId="xl168">
    <w:name w:val="xl168"/>
    <w:basedOn w:val="Normal"/>
    <w:rsid w:val="00F8631B"/>
    <w:pPr>
      <w:pBdr>
        <w:top w:val="single" w:sz="4" w:space="0" w:color="auto"/>
      </w:pBdr>
      <w:spacing w:before="100" w:beforeAutospacing="1" w:after="100" w:afterAutospacing="1" w:line="240" w:lineRule="auto"/>
      <w:jc w:val="center"/>
      <w:textAlignment w:val="center"/>
    </w:pPr>
    <w:rPr>
      <w:rFonts w:ascii="Cambria" w:hAnsi="Cambria"/>
      <w:b/>
      <w:bCs/>
      <w:sz w:val="24"/>
      <w:szCs w:val="24"/>
    </w:rPr>
  </w:style>
  <w:style w:type="paragraph" w:customStyle="1" w:styleId="xl169">
    <w:name w:val="xl169"/>
    <w:basedOn w:val="Normal"/>
    <w:rsid w:val="00F8631B"/>
    <w:pPr>
      <w:pBdr>
        <w:top w:val="single" w:sz="4" w:space="0" w:color="auto"/>
        <w:right w:val="single" w:sz="4" w:space="0" w:color="auto"/>
      </w:pBdr>
      <w:spacing w:before="100" w:beforeAutospacing="1" w:after="100" w:afterAutospacing="1" w:line="240" w:lineRule="auto"/>
      <w:jc w:val="center"/>
      <w:textAlignment w:val="center"/>
    </w:pPr>
    <w:rPr>
      <w:rFonts w:ascii="Cambria" w:hAnsi="Cambria"/>
      <w:b/>
      <w:bCs/>
      <w:sz w:val="24"/>
      <w:szCs w:val="24"/>
    </w:rPr>
  </w:style>
  <w:style w:type="paragraph" w:customStyle="1" w:styleId="xl170">
    <w:name w:val="xl170"/>
    <w:basedOn w:val="Normal"/>
    <w:rsid w:val="00F8631B"/>
    <w:pPr>
      <w:pBdr>
        <w:left w:val="single" w:sz="4" w:space="0" w:color="auto"/>
        <w:bottom w:val="single" w:sz="4" w:space="0" w:color="auto"/>
      </w:pBdr>
      <w:spacing w:before="100" w:beforeAutospacing="1" w:after="100" w:afterAutospacing="1" w:line="240" w:lineRule="auto"/>
      <w:jc w:val="center"/>
      <w:textAlignment w:val="center"/>
    </w:pPr>
    <w:rPr>
      <w:rFonts w:ascii="Cambria" w:hAnsi="Cambria"/>
      <w:b/>
      <w:bCs/>
      <w:sz w:val="24"/>
      <w:szCs w:val="24"/>
    </w:rPr>
  </w:style>
  <w:style w:type="paragraph" w:customStyle="1" w:styleId="xl171">
    <w:name w:val="xl171"/>
    <w:basedOn w:val="Normal"/>
    <w:rsid w:val="00F8631B"/>
    <w:pPr>
      <w:pBdr>
        <w:bottom w:val="single" w:sz="4" w:space="0" w:color="auto"/>
      </w:pBdr>
      <w:spacing w:before="100" w:beforeAutospacing="1" w:after="100" w:afterAutospacing="1" w:line="240" w:lineRule="auto"/>
      <w:jc w:val="center"/>
      <w:textAlignment w:val="center"/>
    </w:pPr>
    <w:rPr>
      <w:rFonts w:ascii="Cambria" w:hAnsi="Cambria"/>
      <w:b/>
      <w:bCs/>
      <w:sz w:val="24"/>
      <w:szCs w:val="24"/>
    </w:rPr>
  </w:style>
  <w:style w:type="paragraph" w:customStyle="1" w:styleId="xl172">
    <w:name w:val="xl172"/>
    <w:basedOn w:val="Normal"/>
    <w:rsid w:val="00F8631B"/>
    <w:pPr>
      <w:pBdr>
        <w:bottom w:val="single" w:sz="4" w:space="0" w:color="auto"/>
        <w:right w:val="single" w:sz="4" w:space="0" w:color="auto"/>
      </w:pBdr>
      <w:spacing w:before="100" w:beforeAutospacing="1" w:after="100" w:afterAutospacing="1" w:line="240" w:lineRule="auto"/>
      <w:jc w:val="center"/>
      <w:textAlignment w:val="center"/>
    </w:pPr>
    <w:rPr>
      <w:rFonts w:ascii="Cambria" w:hAnsi="Cambria"/>
      <w:b/>
      <w:bCs/>
      <w:sz w:val="24"/>
      <w:szCs w:val="24"/>
    </w:rPr>
  </w:style>
  <w:style w:type="paragraph" w:customStyle="1" w:styleId="xl173">
    <w:name w:val="xl173"/>
    <w:basedOn w:val="Normal"/>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hAnsi="Cambria"/>
      <w:b/>
      <w:bCs/>
      <w:sz w:val="24"/>
      <w:szCs w:val="24"/>
    </w:rPr>
  </w:style>
  <w:style w:type="paragraph" w:customStyle="1" w:styleId="xl174">
    <w:name w:val="xl174"/>
    <w:basedOn w:val="Normal"/>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b/>
      <w:bCs/>
      <w:sz w:val="20"/>
      <w:szCs w:val="20"/>
    </w:rPr>
  </w:style>
  <w:style w:type="paragraph" w:customStyle="1" w:styleId="xl175">
    <w:name w:val="xl175"/>
    <w:basedOn w:val="Normal"/>
    <w:rsid w:val="00F8631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hAnsi="Arial" w:cs="Arial"/>
      <w:sz w:val="20"/>
      <w:szCs w:val="20"/>
    </w:rPr>
  </w:style>
  <w:style w:type="paragraph" w:customStyle="1" w:styleId="xl176">
    <w:name w:val="xl176"/>
    <w:basedOn w:val="Normal"/>
    <w:rsid w:val="00F8631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hAnsi="Arial" w:cs="Arial"/>
      <w:b/>
      <w:bCs/>
      <w:sz w:val="20"/>
      <w:szCs w:val="20"/>
    </w:rPr>
  </w:style>
  <w:style w:type="paragraph" w:customStyle="1" w:styleId="xl177">
    <w:name w:val="xl177"/>
    <w:basedOn w:val="Normal"/>
    <w:rsid w:val="00F8631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hAnsi="Arial" w:cs="Arial"/>
      <w:sz w:val="20"/>
      <w:szCs w:val="20"/>
    </w:rPr>
  </w:style>
  <w:style w:type="paragraph" w:customStyle="1" w:styleId="xl178">
    <w:name w:val="xl178"/>
    <w:basedOn w:val="Normal"/>
    <w:rsid w:val="00F8631B"/>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sz w:val="20"/>
      <w:szCs w:val="20"/>
    </w:rPr>
  </w:style>
  <w:style w:type="paragraph" w:customStyle="1" w:styleId="xl179">
    <w:name w:val="xl179"/>
    <w:basedOn w:val="Normal"/>
    <w:rsid w:val="00F8631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hAnsi="Arial" w:cs="Arial"/>
      <w:sz w:val="20"/>
      <w:szCs w:val="20"/>
    </w:rPr>
  </w:style>
  <w:style w:type="paragraph" w:customStyle="1" w:styleId="xl180">
    <w:name w:val="xl180"/>
    <w:basedOn w:val="Normal"/>
    <w:rsid w:val="00F8631B"/>
    <w:pPr>
      <w:pBdr>
        <w:top w:val="single" w:sz="4" w:space="0" w:color="auto"/>
        <w:bottom w:val="single" w:sz="4" w:space="0" w:color="auto"/>
      </w:pBdr>
      <w:spacing w:before="100" w:beforeAutospacing="1" w:after="100" w:afterAutospacing="1" w:line="240" w:lineRule="auto"/>
      <w:textAlignment w:val="top"/>
    </w:pPr>
    <w:rPr>
      <w:rFonts w:ascii="Arial" w:hAnsi="Arial" w:cs="Arial"/>
      <w:sz w:val="20"/>
      <w:szCs w:val="20"/>
    </w:rPr>
  </w:style>
  <w:style w:type="paragraph" w:customStyle="1" w:styleId="xl181">
    <w:name w:val="xl181"/>
    <w:basedOn w:val="Normal"/>
    <w:rsid w:val="00F8631B"/>
    <w:pPr>
      <w:pBdr>
        <w:top w:val="single" w:sz="4" w:space="0" w:color="auto"/>
        <w:left w:val="single" w:sz="4" w:space="0" w:color="auto"/>
        <w:bottom w:val="single" w:sz="4" w:space="0" w:color="auto"/>
      </w:pBdr>
      <w:spacing w:before="100" w:beforeAutospacing="1" w:after="100" w:afterAutospacing="1" w:line="240" w:lineRule="auto"/>
    </w:pPr>
    <w:rPr>
      <w:rFonts w:ascii="Cambria" w:hAnsi="Cambria"/>
      <w:sz w:val="24"/>
      <w:szCs w:val="24"/>
    </w:rPr>
  </w:style>
  <w:style w:type="paragraph" w:customStyle="1" w:styleId="xl182">
    <w:name w:val="xl182"/>
    <w:basedOn w:val="Normal"/>
    <w:rsid w:val="00F8631B"/>
    <w:pPr>
      <w:pBdr>
        <w:top w:val="single" w:sz="4" w:space="0" w:color="auto"/>
        <w:bottom w:val="single" w:sz="4" w:space="0" w:color="auto"/>
        <w:right w:val="single" w:sz="4" w:space="0" w:color="auto"/>
      </w:pBdr>
      <w:spacing w:before="100" w:beforeAutospacing="1" w:after="100" w:afterAutospacing="1" w:line="240" w:lineRule="auto"/>
    </w:pPr>
    <w:rPr>
      <w:rFonts w:ascii="Cambria" w:hAnsi="Cambria"/>
      <w:sz w:val="24"/>
      <w:szCs w:val="24"/>
    </w:rPr>
  </w:style>
  <w:style w:type="paragraph" w:customStyle="1" w:styleId="xl183">
    <w:name w:val="xl183"/>
    <w:basedOn w:val="Normal"/>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000000"/>
      <w:sz w:val="20"/>
      <w:szCs w:val="20"/>
    </w:rPr>
  </w:style>
  <w:style w:type="paragraph" w:customStyle="1" w:styleId="xl184">
    <w:name w:val="xl184"/>
    <w:basedOn w:val="Normal"/>
    <w:rsid w:val="00F8631B"/>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color w:val="000000"/>
      <w:sz w:val="20"/>
      <w:szCs w:val="20"/>
    </w:rPr>
  </w:style>
  <w:style w:type="paragraph" w:customStyle="1" w:styleId="xl185">
    <w:name w:val="xl185"/>
    <w:basedOn w:val="Normal"/>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hAnsi="Arial" w:cs="Arial"/>
      <w:sz w:val="20"/>
      <w:szCs w:val="20"/>
    </w:rPr>
  </w:style>
  <w:style w:type="paragraph" w:customStyle="1" w:styleId="xl186">
    <w:name w:val="xl186"/>
    <w:basedOn w:val="Normal"/>
    <w:rsid w:val="00F8631B"/>
    <w:pPr>
      <w:pBdr>
        <w:top w:val="single" w:sz="4" w:space="0" w:color="auto"/>
        <w:left w:val="single" w:sz="4" w:space="0" w:color="auto"/>
        <w:bottom w:val="single" w:sz="4" w:space="0" w:color="auto"/>
      </w:pBdr>
      <w:spacing w:before="100" w:beforeAutospacing="1" w:after="100" w:afterAutospacing="1" w:line="240" w:lineRule="auto"/>
      <w:jc w:val="right"/>
      <w:textAlignment w:val="top"/>
    </w:pPr>
    <w:rPr>
      <w:rFonts w:ascii="Arial" w:hAnsi="Arial" w:cs="Arial"/>
      <w:sz w:val="20"/>
      <w:szCs w:val="20"/>
    </w:rPr>
  </w:style>
  <w:style w:type="paragraph" w:customStyle="1" w:styleId="xl187">
    <w:name w:val="xl187"/>
    <w:basedOn w:val="Normal"/>
    <w:rsid w:val="00F8631B"/>
    <w:pPr>
      <w:pBdr>
        <w:top w:val="single" w:sz="4" w:space="0" w:color="auto"/>
        <w:left w:val="single" w:sz="4" w:space="0" w:color="auto"/>
        <w:bottom w:val="single" w:sz="4" w:space="0" w:color="auto"/>
      </w:pBdr>
      <w:spacing w:before="100" w:beforeAutospacing="1" w:after="100" w:afterAutospacing="1" w:line="240" w:lineRule="auto"/>
    </w:pPr>
    <w:rPr>
      <w:rFonts w:ascii="Arial" w:hAnsi="Arial" w:cs="Arial"/>
      <w:sz w:val="20"/>
      <w:szCs w:val="20"/>
    </w:rPr>
  </w:style>
  <w:style w:type="paragraph" w:customStyle="1" w:styleId="xl188">
    <w:name w:val="xl188"/>
    <w:basedOn w:val="Normal"/>
    <w:rsid w:val="00F8631B"/>
    <w:pPr>
      <w:pBdr>
        <w:top w:val="single" w:sz="4" w:space="0" w:color="auto"/>
        <w:bottom w:val="single" w:sz="4" w:space="0" w:color="auto"/>
        <w:right w:val="single" w:sz="4" w:space="0" w:color="auto"/>
      </w:pBdr>
      <w:spacing w:before="100" w:beforeAutospacing="1" w:after="100" w:afterAutospacing="1" w:line="240" w:lineRule="auto"/>
    </w:pPr>
    <w:rPr>
      <w:rFonts w:ascii="Arial" w:hAnsi="Arial" w:cs="Arial"/>
      <w:sz w:val="20"/>
      <w:szCs w:val="20"/>
    </w:rPr>
  </w:style>
  <w:style w:type="paragraph" w:customStyle="1" w:styleId="xl189">
    <w:name w:val="xl189"/>
    <w:basedOn w:val="Normal"/>
    <w:rsid w:val="00F8631B"/>
    <w:pPr>
      <w:pBdr>
        <w:top w:val="single" w:sz="4" w:space="0" w:color="auto"/>
        <w:bottom w:val="single" w:sz="4" w:space="0" w:color="auto"/>
      </w:pBdr>
      <w:spacing w:before="100" w:beforeAutospacing="1" w:after="100" w:afterAutospacing="1" w:line="240" w:lineRule="auto"/>
    </w:pPr>
    <w:rPr>
      <w:rFonts w:ascii="Arial" w:hAnsi="Arial" w:cs="Arial"/>
      <w:sz w:val="20"/>
      <w:szCs w:val="20"/>
    </w:rPr>
  </w:style>
  <w:style w:type="paragraph" w:customStyle="1" w:styleId="xl190">
    <w:name w:val="xl190"/>
    <w:basedOn w:val="Normal"/>
    <w:rsid w:val="00F8631B"/>
    <w:pPr>
      <w:spacing w:before="100" w:beforeAutospacing="1" w:after="100" w:afterAutospacing="1" w:line="240" w:lineRule="auto"/>
      <w:jc w:val="both"/>
      <w:textAlignment w:val="top"/>
    </w:pPr>
    <w:rPr>
      <w:rFonts w:ascii="Arial" w:hAnsi="Arial" w:cs="Arial"/>
      <w:color w:val="000000"/>
      <w:sz w:val="20"/>
      <w:szCs w:val="20"/>
    </w:rPr>
  </w:style>
  <w:style w:type="paragraph" w:customStyle="1" w:styleId="xl191">
    <w:name w:val="xl191"/>
    <w:basedOn w:val="Normal"/>
    <w:rsid w:val="00F8631B"/>
    <w:pPr>
      <w:pBdr>
        <w:top w:val="single" w:sz="4" w:space="0" w:color="auto"/>
        <w:bottom w:val="single" w:sz="4" w:space="0" w:color="auto"/>
      </w:pBdr>
      <w:spacing w:before="100" w:beforeAutospacing="1" w:after="100" w:afterAutospacing="1" w:line="240" w:lineRule="auto"/>
    </w:pPr>
    <w:rPr>
      <w:rFonts w:ascii="Cambria" w:hAnsi="Cambria"/>
      <w:sz w:val="24"/>
      <w:szCs w:val="24"/>
    </w:rPr>
  </w:style>
  <w:style w:type="paragraph" w:customStyle="1" w:styleId="xl192">
    <w:name w:val="xl192"/>
    <w:basedOn w:val="Normal"/>
    <w:rsid w:val="00F8631B"/>
    <w:pPr>
      <w:pBdr>
        <w:bottom w:val="single" w:sz="4" w:space="0" w:color="auto"/>
      </w:pBdr>
      <w:spacing w:before="100" w:beforeAutospacing="1" w:after="100" w:afterAutospacing="1" w:line="240" w:lineRule="auto"/>
    </w:pPr>
    <w:rPr>
      <w:rFonts w:ascii="Cambria" w:hAnsi="Cambria"/>
      <w:sz w:val="24"/>
      <w:szCs w:val="24"/>
    </w:rPr>
  </w:style>
  <w:style w:type="paragraph" w:customStyle="1" w:styleId="xl193">
    <w:name w:val="xl193"/>
    <w:basedOn w:val="Normal"/>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sz w:val="20"/>
      <w:szCs w:val="20"/>
    </w:rPr>
  </w:style>
  <w:style w:type="paragraph" w:customStyle="1" w:styleId="xl194">
    <w:name w:val="xl194"/>
    <w:basedOn w:val="Normal"/>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w:hAnsi="Arial" w:cs="Arial"/>
      <w:color w:val="000000"/>
      <w:sz w:val="20"/>
      <w:szCs w:val="20"/>
    </w:rPr>
  </w:style>
  <w:style w:type="paragraph" w:customStyle="1" w:styleId="xl195">
    <w:name w:val="xl195"/>
    <w:basedOn w:val="Normal"/>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sz w:val="20"/>
      <w:szCs w:val="20"/>
    </w:rPr>
  </w:style>
  <w:style w:type="paragraph" w:customStyle="1" w:styleId="xl196">
    <w:name w:val="xl196"/>
    <w:basedOn w:val="Normal"/>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0"/>
      <w:szCs w:val="20"/>
    </w:rPr>
  </w:style>
  <w:style w:type="paragraph" w:customStyle="1" w:styleId="xl197">
    <w:name w:val="xl197"/>
    <w:basedOn w:val="Normal"/>
    <w:rsid w:val="00F8631B"/>
    <w:pPr>
      <w:pBdr>
        <w:top w:val="single" w:sz="4" w:space="0" w:color="auto"/>
        <w:left w:val="single" w:sz="4" w:space="0" w:color="auto"/>
        <w:bottom w:val="single" w:sz="4" w:space="0" w:color="auto"/>
      </w:pBdr>
      <w:spacing w:before="100" w:beforeAutospacing="1" w:after="100" w:afterAutospacing="1" w:line="240" w:lineRule="auto"/>
      <w:jc w:val="both"/>
      <w:textAlignment w:val="top"/>
    </w:pPr>
    <w:rPr>
      <w:rFonts w:ascii="Arial" w:hAnsi="Arial" w:cs="Arial"/>
      <w:color w:val="000000"/>
      <w:sz w:val="20"/>
      <w:szCs w:val="20"/>
    </w:rPr>
  </w:style>
  <w:style w:type="paragraph" w:customStyle="1" w:styleId="xl198">
    <w:name w:val="xl198"/>
    <w:basedOn w:val="Normal"/>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hAnsi="Arial" w:cs="Arial"/>
      <w:sz w:val="20"/>
      <w:szCs w:val="20"/>
    </w:rPr>
  </w:style>
  <w:style w:type="paragraph" w:customStyle="1" w:styleId="xl199">
    <w:name w:val="xl199"/>
    <w:basedOn w:val="Normal"/>
    <w:rsid w:val="00F8631B"/>
    <w:pPr>
      <w:pBdr>
        <w:top w:val="single" w:sz="4" w:space="0" w:color="auto"/>
        <w:left w:val="single" w:sz="4" w:space="0" w:color="auto"/>
        <w:bottom w:val="single" w:sz="4" w:space="0" w:color="auto"/>
      </w:pBdr>
      <w:spacing w:before="100" w:beforeAutospacing="1" w:after="100" w:afterAutospacing="1" w:line="240" w:lineRule="auto"/>
      <w:jc w:val="right"/>
      <w:textAlignment w:val="top"/>
    </w:pPr>
    <w:rPr>
      <w:rFonts w:ascii="Arial" w:hAnsi="Arial" w:cs="Arial"/>
      <w:sz w:val="20"/>
      <w:szCs w:val="20"/>
    </w:rPr>
  </w:style>
  <w:style w:type="paragraph" w:customStyle="1" w:styleId="xl200">
    <w:name w:val="xl200"/>
    <w:basedOn w:val="Normal"/>
    <w:rsid w:val="00F8631B"/>
    <w:pPr>
      <w:spacing w:before="100" w:beforeAutospacing="1" w:after="100" w:afterAutospacing="1" w:line="240" w:lineRule="auto"/>
      <w:jc w:val="both"/>
      <w:textAlignment w:val="top"/>
    </w:pPr>
    <w:rPr>
      <w:rFonts w:ascii="Cambria" w:hAnsi="Cambria"/>
      <w:sz w:val="24"/>
      <w:szCs w:val="24"/>
    </w:rPr>
  </w:style>
  <w:style w:type="paragraph" w:customStyle="1" w:styleId="xl201">
    <w:name w:val="xl201"/>
    <w:basedOn w:val="Normal"/>
    <w:rsid w:val="00F8631B"/>
    <w:pPr>
      <w:pBdr>
        <w:top w:val="single" w:sz="4" w:space="0" w:color="auto"/>
        <w:left w:val="single" w:sz="4" w:space="0" w:color="auto"/>
      </w:pBdr>
      <w:spacing w:before="100" w:beforeAutospacing="1" w:after="100" w:afterAutospacing="1" w:line="240" w:lineRule="auto"/>
      <w:jc w:val="center"/>
      <w:textAlignment w:val="center"/>
    </w:pPr>
    <w:rPr>
      <w:rFonts w:ascii="Arial" w:hAnsi="Arial" w:cs="Arial"/>
      <w:b/>
      <w:bCs/>
      <w:sz w:val="20"/>
      <w:szCs w:val="20"/>
    </w:rPr>
  </w:style>
  <w:style w:type="paragraph" w:customStyle="1" w:styleId="xl202">
    <w:name w:val="xl202"/>
    <w:basedOn w:val="Normal"/>
    <w:rsid w:val="00F8631B"/>
    <w:pPr>
      <w:pBdr>
        <w:top w:val="single" w:sz="4" w:space="0" w:color="auto"/>
      </w:pBdr>
      <w:spacing w:before="100" w:beforeAutospacing="1" w:after="100" w:afterAutospacing="1" w:line="240" w:lineRule="auto"/>
      <w:jc w:val="center"/>
      <w:textAlignment w:val="center"/>
    </w:pPr>
    <w:rPr>
      <w:rFonts w:ascii="Arial" w:hAnsi="Arial" w:cs="Arial"/>
      <w:b/>
      <w:bCs/>
      <w:sz w:val="20"/>
      <w:szCs w:val="20"/>
    </w:rPr>
  </w:style>
  <w:style w:type="paragraph" w:customStyle="1" w:styleId="xl203">
    <w:name w:val="xl203"/>
    <w:basedOn w:val="Normal"/>
    <w:rsid w:val="00F8631B"/>
    <w:pPr>
      <w:pBdr>
        <w:top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0"/>
      <w:szCs w:val="20"/>
    </w:rPr>
  </w:style>
  <w:style w:type="paragraph" w:customStyle="1" w:styleId="xl204">
    <w:name w:val="xl204"/>
    <w:basedOn w:val="Normal"/>
    <w:rsid w:val="00F8631B"/>
    <w:pPr>
      <w:pBdr>
        <w:left w:val="single" w:sz="4" w:space="0" w:color="auto"/>
        <w:bottom w:val="single" w:sz="4" w:space="0" w:color="auto"/>
      </w:pBdr>
      <w:spacing w:before="100" w:beforeAutospacing="1" w:after="100" w:afterAutospacing="1" w:line="240" w:lineRule="auto"/>
      <w:jc w:val="center"/>
      <w:textAlignment w:val="center"/>
    </w:pPr>
    <w:rPr>
      <w:rFonts w:ascii="Arial" w:hAnsi="Arial" w:cs="Arial"/>
      <w:b/>
      <w:bCs/>
      <w:sz w:val="20"/>
      <w:szCs w:val="20"/>
    </w:rPr>
  </w:style>
  <w:style w:type="paragraph" w:customStyle="1" w:styleId="xl205">
    <w:name w:val="xl205"/>
    <w:basedOn w:val="Normal"/>
    <w:rsid w:val="00F8631B"/>
    <w:pPr>
      <w:pBdr>
        <w:bottom w:val="single" w:sz="4" w:space="0" w:color="auto"/>
      </w:pBdr>
      <w:spacing w:before="100" w:beforeAutospacing="1" w:after="100" w:afterAutospacing="1" w:line="240" w:lineRule="auto"/>
      <w:jc w:val="center"/>
      <w:textAlignment w:val="center"/>
    </w:pPr>
    <w:rPr>
      <w:rFonts w:ascii="Arial" w:hAnsi="Arial" w:cs="Arial"/>
      <w:b/>
      <w:bCs/>
      <w:sz w:val="20"/>
      <w:szCs w:val="20"/>
    </w:rPr>
  </w:style>
  <w:style w:type="paragraph" w:customStyle="1" w:styleId="xl206">
    <w:name w:val="xl206"/>
    <w:basedOn w:val="Normal"/>
    <w:rsid w:val="00F8631B"/>
    <w:pPr>
      <w:pBdr>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0"/>
      <w:szCs w:val="20"/>
    </w:rPr>
  </w:style>
  <w:style w:type="paragraph" w:customStyle="1" w:styleId="xl207">
    <w:name w:val="xl207"/>
    <w:basedOn w:val="Normal"/>
    <w:rsid w:val="00F8631B"/>
    <w:pPr>
      <w:spacing w:before="100" w:beforeAutospacing="1" w:after="100" w:afterAutospacing="1" w:line="240" w:lineRule="auto"/>
      <w:jc w:val="both"/>
      <w:textAlignment w:val="top"/>
    </w:pPr>
    <w:rPr>
      <w:rFonts w:ascii="Cambria" w:hAnsi="Cambria"/>
      <w:sz w:val="24"/>
      <w:szCs w:val="24"/>
    </w:rPr>
  </w:style>
  <w:style w:type="paragraph" w:customStyle="1" w:styleId="xl208">
    <w:name w:val="xl208"/>
    <w:basedOn w:val="Normal"/>
    <w:rsid w:val="00F8631B"/>
    <w:pPr>
      <w:spacing w:before="100" w:beforeAutospacing="1" w:after="100" w:afterAutospacing="1" w:line="240" w:lineRule="auto"/>
      <w:jc w:val="both"/>
    </w:pPr>
    <w:rPr>
      <w:rFonts w:ascii="Cambria" w:hAnsi="Cambria"/>
      <w:sz w:val="24"/>
      <w:szCs w:val="24"/>
    </w:rPr>
  </w:style>
  <w:style w:type="paragraph" w:customStyle="1" w:styleId="xl209">
    <w:name w:val="xl209"/>
    <w:basedOn w:val="Normal"/>
    <w:rsid w:val="00F8631B"/>
    <w:pPr>
      <w:spacing w:before="100" w:beforeAutospacing="1" w:after="100" w:afterAutospacing="1" w:line="240" w:lineRule="auto"/>
      <w:jc w:val="both"/>
      <w:textAlignment w:val="top"/>
    </w:pPr>
    <w:rPr>
      <w:rFonts w:ascii="Cambria" w:hAnsi="Cambria"/>
      <w:color w:val="000000"/>
      <w:sz w:val="24"/>
      <w:szCs w:val="24"/>
    </w:rPr>
  </w:style>
  <w:style w:type="paragraph" w:customStyle="1" w:styleId="xl210">
    <w:name w:val="xl210"/>
    <w:basedOn w:val="Normal"/>
    <w:rsid w:val="00F8631B"/>
    <w:pPr>
      <w:spacing w:before="100" w:beforeAutospacing="1" w:after="100" w:afterAutospacing="1" w:line="240" w:lineRule="auto"/>
    </w:pPr>
    <w:rPr>
      <w:rFonts w:ascii="Cambria" w:hAnsi="Cambria"/>
      <w:b/>
      <w:bCs/>
      <w:color w:val="000000"/>
      <w:sz w:val="24"/>
      <w:szCs w:val="24"/>
    </w:rPr>
  </w:style>
  <w:style w:type="paragraph" w:customStyle="1" w:styleId="xl211">
    <w:name w:val="xl211"/>
    <w:basedOn w:val="Normal"/>
    <w:rsid w:val="00F8631B"/>
    <w:pPr>
      <w:spacing w:before="100" w:beforeAutospacing="1" w:after="100" w:afterAutospacing="1" w:line="240" w:lineRule="auto"/>
      <w:jc w:val="both"/>
    </w:pPr>
    <w:rPr>
      <w:rFonts w:ascii="Cambria" w:hAnsi="Cambria"/>
      <w:sz w:val="24"/>
      <w:szCs w:val="24"/>
    </w:rPr>
  </w:style>
  <w:style w:type="paragraph" w:customStyle="1" w:styleId="xl212">
    <w:name w:val="xl212"/>
    <w:basedOn w:val="Normal"/>
    <w:rsid w:val="00F8631B"/>
    <w:pPr>
      <w:spacing w:before="100" w:beforeAutospacing="1" w:after="100" w:afterAutospacing="1" w:line="240" w:lineRule="auto"/>
      <w:jc w:val="both"/>
      <w:textAlignment w:val="top"/>
    </w:pPr>
    <w:rPr>
      <w:rFonts w:ascii="Cambria" w:hAnsi="Cambria"/>
      <w:b/>
      <w:bCs/>
      <w:sz w:val="24"/>
      <w:szCs w:val="24"/>
    </w:rPr>
  </w:style>
  <w:style w:type="paragraph" w:customStyle="1" w:styleId="xl213">
    <w:name w:val="xl213"/>
    <w:basedOn w:val="Normal"/>
    <w:rsid w:val="00F8631B"/>
    <w:pPr>
      <w:spacing w:before="100" w:beforeAutospacing="1" w:after="100" w:afterAutospacing="1" w:line="240" w:lineRule="auto"/>
      <w:jc w:val="center"/>
    </w:pPr>
    <w:rPr>
      <w:rFonts w:ascii="Cambria" w:hAnsi="Cambria"/>
      <w:b/>
      <w:bCs/>
      <w:sz w:val="24"/>
      <w:szCs w:val="24"/>
      <w:u w:val="single"/>
    </w:rPr>
  </w:style>
  <w:style w:type="paragraph" w:customStyle="1" w:styleId="xl214">
    <w:name w:val="xl214"/>
    <w:basedOn w:val="Normal"/>
    <w:rsid w:val="00F8631B"/>
    <w:pPr>
      <w:spacing w:before="100" w:beforeAutospacing="1" w:after="100" w:afterAutospacing="1" w:line="240" w:lineRule="auto"/>
      <w:jc w:val="center"/>
    </w:pPr>
    <w:rPr>
      <w:rFonts w:ascii="Cambria" w:hAnsi="Cambria"/>
      <w:b/>
      <w:bCs/>
      <w:sz w:val="24"/>
      <w:szCs w:val="24"/>
      <w:u w:val="single"/>
    </w:rPr>
  </w:style>
  <w:style w:type="paragraph" w:customStyle="1" w:styleId="xl215">
    <w:name w:val="xl215"/>
    <w:basedOn w:val="Normal"/>
    <w:rsid w:val="00F8631B"/>
    <w:pPr>
      <w:spacing w:before="100" w:beforeAutospacing="1" w:after="100" w:afterAutospacing="1" w:line="240" w:lineRule="auto"/>
      <w:jc w:val="both"/>
    </w:pPr>
    <w:rPr>
      <w:rFonts w:ascii="Cambria" w:hAnsi="Cambria"/>
      <w:sz w:val="24"/>
      <w:szCs w:val="24"/>
    </w:rPr>
  </w:style>
  <w:style w:type="paragraph" w:customStyle="1" w:styleId="xl216">
    <w:name w:val="xl216"/>
    <w:basedOn w:val="Normal"/>
    <w:rsid w:val="00F8631B"/>
    <w:pPr>
      <w:spacing w:before="100" w:beforeAutospacing="1" w:after="100" w:afterAutospacing="1" w:line="240" w:lineRule="auto"/>
    </w:pPr>
    <w:rPr>
      <w:rFonts w:ascii="Cambria" w:hAnsi="Cambria"/>
      <w:b/>
      <w:bCs/>
      <w:sz w:val="24"/>
      <w:szCs w:val="24"/>
      <w:u w:val="single"/>
    </w:rPr>
  </w:style>
  <w:style w:type="paragraph" w:customStyle="1" w:styleId="xl217">
    <w:name w:val="xl217"/>
    <w:basedOn w:val="Normal"/>
    <w:rsid w:val="00F8631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Verdana" w:hAnsi="Verdana"/>
      <w:sz w:val="20"/>
      <w:szCs w:val="20"/>
    </w:rPr>
  </w:style>
  <w:style w:type="paragraph" w:customStyle="1" w:styleId="xl218">
    <w:name w:val="xl218"/>
    <w:basedOn w:val="Normal"/>
    <w:rsid w:val="00F8631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Verdana" w:hAnsi="Verdana"/>
      <w:sz w:val="20"/>
      <w:szCs w:val="20"/>
    </w:rPr>
  </w:style>
  <w:style w:type="paragraph" w:customStyle="1" w:styleId="xl219">
    <w:name w:val="xl219"/>
    <w:basedOn w:val="Normal"/>
    <w:rsid w:val="00F8631B"/>
    <w:pPr>
      <w:pBdr>
        <w:top w:val="single" w:sz="4" w:space="0" w:color="auto"/>
        <w:left w:val="single" w:sz="4" w:space="0" w:color="auto"/>
        <w:bottom w:val="single" w:sz="4" w:space="0" w:color="auto"/>
      </w:pBdr>
      <w:spacing w:before="100" w:beforeAutospacing="1" w:after="100" w:afterAutospacing="1" w:line="240" w:lineRule="auto"/>
    </w:pPr>
    <w:rPr>
      <w:rFonts w:ascii="Verdana" w:hAnsi="Verdana"/>
      <w:sz w:val="20"/>
      <w:szCs w:val="20"/>
    </w:rPr>
  </w:style>
  <w:style w:type="paragraph" w:customStyle="1" w:styleId="xl220">
    <w:name w:val="xl220"/>
    <w:basedOn w:val="Normal"/>
    <w:rsid w:val="00F8631B"/>
    <w:pPr>
      <w:pBdr>
        <w:top w:val="single" w:sz="4" w:space="0" w:color="auto"/>
        <w:bottom w:val="single" w:sz="4" w:space="0" w:color="auto"/>
        <w:right w:val="single" w:sz="4" w:space="0" w:color="auto"/>
      </w:pBdr>
      <w:spacing w:before="100" w:beforeAutospacing="1" w:after="100" w:afterAutospacing="1" w:line="240" w:lineRule="auto"/>
    </w:pPr>
    <w:rPr>
      <w:rFonts w:ascii="Verdana" w:hAnsi="Verdana"/>
      <w:sz w:val="20"/>
      <w:szCs w:val="20"/>
    </w:rPr>
  </w:style>
  <w:style w:type="paragraph" w:customStyle="1" w:styleId="xl221">
    <w:name w:val="xl221"/>
    <w:basedOn w:val="Normal"/>
    <w:rsid w:val="00F8631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222">
    <w:name w:val="xl222"/>
    <w:basedOn w:val="Normal"/>
    <w:rsid w:val="00F8631B"/>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223">
    <w:name w:val="xl223"/>
    <w:basedOn w:val="Normal"/>
    <w:rsid w:val="00F8631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224">
    <w:name w:val="xl224"/>
    <w:basedOn w:val="Normal"/>
    <w:rsid w:val="00F8631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225">
    <w:name w:val="xl225"/>
    <w:basedOn w:val="Normal"/>
    <w:rsid w:val="00F8631B"/>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226">
    <w:name w:val="xl226"/>
    <w:basedOn w:val="Normal"/>
    <w:rsid w:val="00F8631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hAnsi="Cambria"/>
      <w:b/>
      <w:bCs/>
      <w:sz w:val="20"/>
      <w:szCs w:val="20"/>
    </w:rPr>
  </w:style>
  <w:style w:type="paragraph" w:customStyle="1" w:styleId="xl227">
    <w:name w:val="xl227"/>
    <w:basedOn w:val="Normal"/>
    <w:rsid w:val="00F8631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hAnsi="Cambria"/>
      <w:b/>
      <w:bCs/>
      <w:sz w:val="20"/>
      <w:szCs w:val="20"/>
    </w:rPr>
  </w:style>
  <w:style w:type="paragraph" w:customStyle="1" w:styleId="xl228">
    <w:name w:val="xl228"/>
    <w:basedOn w:val="Normal"/>
    <w:rsid w:val="00F8631B"/>
    <w:pPr>
      <w:pBdr>
        <w:top w:val="single" w:sz="4" w:space="0" w:color="auto"/>
        <w:left w:val="single" w:sz="4" w:space="0" w:color="auto"/>
      </w:pBdr>
      <w:spacing w:before="100" w:beforeAutospacing="1" w:after="100" w:afterAutospacing="1" w:line="240" w:lineRule="auto"/>
      <w:jc w:val="center"/>
      <w:textAlignment w:val="center"/>
    </w:pPr>
    <w:rPr>
      <w:rFonts w:ascii="Verdana" w:hAnsi="Verdana"/>
      <w:sz w:val="20"/>
      <w:szCs w:val="20"/>
    </w:rPr>
  </w:style>
  <w:style w:type="paragraph" w:customStyle="1" w:styleId="xl229">
    <w:name w:val="xl229"/>
    <w:basedOn w:val="Normal"/>
    <w:rsid w:val="00F8631B"/>
    <w:pPr>
      <w:pBdr>
        <w:top w:val="single" w:sz="4" w:space="0" w:color="auto"/>
        <w:right w:val="single" w:sz="4" w:space="0" w:color="auto"/>
      </w:pBdr>
      <w:spacing w:before="100" w:beforeAutospacing="1" w:after="100" w:afterAutospacing="1" w:line="240" w:lineRule="auto"/>
      <w:jc w:val="center"/>
      <w:textAlignment w:val="center"/>
    </w:pPr>
    <w:rPr>
      <w:rFonts w:ascii="Verdana" w:hAnsi="Verdana"/>
      <w:sz w:val="20"/>
      <w:szCs w:val="20"/>
    </w:rPr>
  </w:style>
  <w:style w:type="paragraph" w:customStyle="1" w:styleId="xl230">
    <w:name w:val="xl230"/>
    <w:basedOn w:val="Normal"/>
    <w:rsid w:val="00F8631B"/>
    <w:pPr>
      <w:pBdr>
        <w:left w:val="single" w:sz="4" w:space="0" w:color="auto"/>
        <w:bottom w:val="single" w:sz="4" w:space="0" w:color="auto"/>
      </w:pBdr>
      <w:spacing w:before="100" w:beforeAutospacing="1" w:after="100" w:afterAutospacing="1" w:line="240" w:lineRule="auto"/>
      <w:jc w:val="center"/>
      <w:textAlignment w:val="center"/>
    </w:pPr>
    <w:rPr>
      <w:rFonts w:ascii="Verdana" w:hAnsi="Verdana"/>
      <w:sz w:val="20"/>
      <w:szCs w:val="20"/>
    </w:rPr>
  </w:style>
  <w:style w:type="paragraph" w:customStyle="1" w:styleId="xl231">
    <w:name w:val="xl231"/>
    <w:basedOn w:val="Normal"/>
    <w:rsid w:val="00F8631B"/>
    <w:pPr>
      <w:pBdr>
        <w:bottom w:val="single" w:sz="4" w:space="0" w:color="auto"/>
        <w:right w:val="single" w:sz="4" w:space="0" w:color="auto"/>
      </w:pBdr>
      <w:spacing w:before="100" w:beforeAutospacing="1" w:after="100" w:afterAutospacing="1" w:line="240" w:lineRule="auto"/>
      <w:jc w:val="center"/>
      <w:textAlignment w:val="center"/>
    </w:pPr>
    <w:rPr>
      <w:rFonts w:ascii="Verdana" w:hAnsi="Verdana"/>
      <w:sz w:val="20"/>
      <w:szCs w:val="20"/>
    </w:rPr>
  </w:style>
  <w:style w:type="paragraph" w:customStyle="1" w:styleId="xl232">
    <w:name w:val="xl232"/>
    <w:basedOn w:val="Normal"/>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Verdana" w:hAnsi="Verdana"/>
      <w:sz w:val="20"/>
      <w:szCs w:val="20"/>
    </w:rPr>
  </w:style>
  <w:style w:type="paragraph" w:customStyle="1" w:styleId="xl233">
    <w:name w:val="xl233"/>
    <w:basedOn w:val="Normal"/>
    <w:rsid w:val="00F8631B"/>
    <w:pPr>
      <w:spacing w:before="100" w:beforeAutospacing="1" w:after="100" w:afterAutospacing="1" w:line="240" w:lineRule="auto"/>
    </w:pPr>
    <w:rPr>
      <w:rFonts w:ascii="Cambria" w:hAnsi="Cambria"/>
      <w:sz w:val="24"/>
      <w:szCs w:val="24"/>
    </w:rPr>
  </w:style>
  <w:style w:type="paragraph" w:customStyle="1" w:styleId="xl234">
    <w:name w:val="xl234"/>
    <w:basedOn w:val="Normal"/>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hAnsi="Cambria"/>
      <w:b/>
      <w:bCs/>
      <w:sz w:val="20"/>
      <w:szCs w:val="20"/>
    </w:rPr>
  </w:style>
  <w:style w:type="paragraph" w:customStyle="1" w:styleId="xl235">
    <w:name w:val="xl235"/>
    <w:basedOn w:val="Normal"/>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hAnsi="Verdana"/>
      <w:sz w:val="20"/>
      <w:szCs w:val="20"/>
    </w:rPr>
  </w:style>
  <w:style w:type="paragraph" w:customStyle="1" w:styleId="xl236">
    <w:name w:val="xl236"/>
    <w:basedOn w:val="Normal"/>
    <w:rsid w:val="00F8631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237">
    <w:name w:val="xl237"/>
    <w:basedOn w:val="Normal"/>
    <w:rsid w:val="00F8631B"/>
    <w:pPr>
      <w:pBdr>
        <w:top w:val="single" w:sz="4" w:space="0" w:color="auto"/>
        <w:left w:val="single" w:sz="4" w:space="0" w:color="auto"/>
        <w:bottom w:val="single" w:sz="4" w:space="0" w:color="auto"/>
      </w:pBdr>
      <w:spacing w:before="100" w:beforeAutospacing="1" w:after="100" w:afterAutospacing="1" w:line="240" w:lineRule="auto"/>
      <w:jc w:val="center"/>
    </w:pPr>
    <w:rPr>
      <w:rFonts w:ascii="Cambria" w:hAnsi="Cambria"/>
      <w:sz w:val="24"/>
      <w:szCs w:val="24"/>
    </w:rPr>
  </w:style>
  <w:style w:type="paragraph" w:customStyle="1" w:styleId="xl238">
    <w:name w:val="xl238"/>
    <w:basedOn w:val="Normal"/>
    <w:rsid w:val="00F8631B"/>
    <w:pPr>
      <w:pBdr>
        <w:top w:val="single" w:sz="4" w:space="0" w:color="auto"/>
        <w:bottom w:val="single" w:sz="4" w:space="0" w:color="auto"/>
        <w:right w:val="single" w:sz="4" w:space="0" w:color="auto"/>
      </w:pBdr>
      <w:spacing w:before="100" w:beforeAutospacing="1" w:after="100" w:afterAutospacing="1" w:line="240" w:lineRule="auto"/>
      <w:jc w:val="center"/>
    </w:pPr>
    <w:rPr>
      <w:rFonts w:ascii="Cambria" w:hAnsi="Cambria"/>
      <w:sz w:val="24"/>
      <w:szCs w:val="24"/>
    </w:rPr>
  </w:style>
  <w:style w:type="paragraph" w:customStyle="1" w:styleId="xl239">
    <w:name w:val="xl239"/>
    <w:basedOn w:val="Normal"/>
    <w:rsid w:val="00F8631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40">
    <w:name w:val="xl240"/>
    <w:basedOn w:val="Normal"/>
    <w:rsid w:val="00F8631B"/>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41">
    <w:name w:val="xl241"/>
    <w:basedOn w:val="Normal"/>
    <w:rsid w:val="00F8631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42">
    <w:name w:val="xl242"/>
    <w:basedOn w:val="Normal"/>
    <w:rsid w:val="00F8631B"/>
    <w:pPr>
      <w:pBdr>
        <w:top w:val="single" w:sz="4" w:space="0" w:color="auto"/>
        <w:lef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243">
    <w:name w:val="xl243"/>
    <w:basedOn w:val="Normal"/>
    <w:rsid w:val="00F8631B"/>
    <w:pPr>
      <w:pBdr>
        <w:top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244">
    <w:name w:val="xl244"/>
    <w:basedOn w:val="Normal"/>
    <w:rsid w:val="00F8631B"/>
    <w:pPr>
      <w:pBdr>
        <w:top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245">
    <w:name w:val="xl245"/>
    <w:basedOn w:val="Normal"/>
    <w:rsid w:val="00F8631B"/>
    <w:pPr>
      <w:pBdr>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246">
    <w:name w:val="xl246"/>
    <w:basedOn w:val="Normal"/>
    <w:rsid w:val="00F8631B"/>
    <w:pPr>
      <w:pBdr>
        <w:bottom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247">
    <w:name w:val="xl247"/>
    <w:basedOn w:val="Normal"/>
    <w:rsid w:val="00F8631B"/>
    <w:pPr>
      <w:pBdr>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248">
    <w:name w:val="xl248"/>
    <w:basedOn w:val="Normal"/>
    <w:rsid w:val="00F8631B"/>
    <w:pPr>
      <w:pBdr>
        <w:top w:val="single" w:sz="4" w:space="0" w:color="auto"/>
        <w:left w:val="single" w:sz="4" w:space="0" w:color="auto"/>
      </w:pBdr>
      <w:spacing w:before="100" w:beforeAutospacing="1" w:after="100" w:afterAutospacing="1" w:line="240" w:lineRule="auto"/>
      <w:jc w:val="center"/>
      <w:textAlignment w:val="center"/>
    </w:pPr>
    <w:rPr>
      <w:rFonts w:ascii="Verdana" w:hAnsi="Verdana"/>
      <w:b/>
      <w:bCs/>
      <w:sz w:val="20"/>
      <w:szCs w:val="20"/>
    </w:rPr>
  </w:style>
  <w:style w:type="paragraph" w:customStyle="1" w:styleId="xl249">
    <w:name w:val="xl249"/>
    <w:basedOn w:val="Normal"/>
    <w:rsid w:val="00F8631B"/>
    <w:pPr>
      <w:pBdr>
        <w:top w:val="single" w:sz="4" w:space="0" w:color="auto"/>
        <w:right w:val="single" w:sz="4" w:space="0" w:color="auto"/>
      </w:pBdr>
      <w:spacing w:before="100" w:beforeAutospacing="1" w:after="100" w:afterAutospacing="1" w:line="240" w:lineRule="auto"/>
      <w:jc w:val="center"/>
      <w:textAlignment w:val="center"/>
    </w:pPr>
    <w:rPr>
      <w:rFonts w:ascii="Verdana" w:hAnsi="Verdana"/>
      <w:b/>
      <w:bCs/>
      <w:sz w:val="20"/>
      <w:szCs w:val="20"/>
    </w:rPr>
  </w:style>
  <w:style w:type="paragraph" w:customStyle="1" w:styleId="xl250">
    <w:name w:val="xl250"/>
    <w:basedOn w:val="Normal"/>
    <w:rsid w:val="00F8631B"/>
    <w:pPr>
      <w:pBdr>
        <w:left w:val="single" w:sz="4" w:space="0" w:color="auto"/>
        <w:bottom w:val="single" w:sz="4" w:space="0" w:color="auto"/>
      </w:pBdr>
      <w:spacing w:before="100" w:beforeAutospacing="1" w:after="100" w:afterAutospacing="1" w:line="240" w:lineRule="auto"/>
      <w:jc w:val="center"/>
      <w:textAlignment w:val="center"/>
    </w:pPr>
    <w:rPr>
      <w:rFonts w:ascii="Verdana" w:hAnsi="Verdana"/>
      <w:b/>
      <w:bCs/>
      <w:sz w:val="20"/>
      <w:szCs w:val="20"/>
    </w:rPr>
  </w:style>
  <w:style w:type="paragraph" w:customStyle="1" w:styleId="xl251">
    <w:name w:val="xl251"/>
    <w:basedOn w:val="Normal"/>
    <w:rsid w:val="00F8631B"/>
    <w:pPr>
      <w:pBdr>
        <w:bottom w:val="single" w:sz="4" w:space="0" w:color="auto"/>
        <w:right w:val="single" w:sz="4" w:space="0" w:color="auto"/>
      </w:pBdr>
      <w:spacing w:before="100" w:beforeAutospacing="1" w:after="100" w:afterAutospacing="1" w:line="240" w:lineRule="auto"/>
      <w:jc w:val="center"/>
      <w:textAlignment w:val="center"/>
    </w:pPr>
    <w:rPr>
      <w:rFonts w:ascii="Verdana" w:hAnsi="Verdana"/>
      <w:b/>
      <w:bCs/>
      <w:sz w:val="20"/>
      <w:szCs w:val="20"/>
    </w:rPr>
  </w:style>
  <w:style w:type="paragraph" w:customStyle="1" w:styleId="xl252">
    <w:name w:val="xl252"/>
    <w:basedOn w:val="Normal"/>
    <w:rsid w:val="00F8631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ambria" w:hAnsi="Cambria"/>
      <w:b/>
      <w:bCs/>
      <w:sz w:val="24"/>
      <w:szCs w:val="24"/>
    </w:rPr>
  </w:style>
  <w:style w:type="paragraph" w:customStyle="1" w:styleId="xl253">
    <w:name w:val="xl253"/>
    <w:basedOn w:val="Normal"/>
    <w:rsid w:val="00F8631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ambria" w:hAnsi="Cambria"/>
      <w:b/>
      <w:bCs/>
      <w:sz w:val="24"/>
      <w:szCs w:val="24"/>
    </w:rPr>
  </w:style>
  <w:style w:type="paragraph" w:customStyle="1" w:styleId="xl254">
    <w:name w:val="xl254"/>
    <w:basedOn w:val="Normal"/>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hAnsi="Cambria"/>
      <w:b/>
      <w:bCs/>
      <w:sz w:val="24"/>
      <w:szCs w:val="24"/>
    </w:rPr>
  </w:style>
  <w:style w:type="paragraph" w:customStyle="1" w:styleId="xl255">
    <w:name w:val="xl255"/>
    <w:basedOn w:val="Normal"/>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hAnsi="Cambria"/>
      <w:b/>
      <w:bCs/>
      <w:sz w:val="24"/>
      <w:szCs w:val="24"/>
    </w:rPr>
  </w:style>
  <w:style w:type="numbering" w:customStyle="1" w:styleId="NoList1">
    <w:name w:val="No List1"/>
    <w:next w:val="NoList"/>
    <w:uiPriority w:val="99"/>
    <w:semiHidden/>
    <w:unhideWhenUsed/>
    <w:rsid w:val="00F8631B"/>
  </w:style>
  <w:style w:type="character" w:customStyle="1" w:styleId="style31">
    <w:name w:val="style31"/>
    <w:rsid w:val="00F8631B"/>
    <w:rPr>
      <w:rFonts w:cs="Times New Roman"/>
      <w:color w:val="333333"/>
    </w:rPr>
  </w:style>
  <w:style w:type="paragraph" w:customStyle="1" w:styleId="Char1">
    <w:name w:val="Char1"/>
    <w:basedOn w:val="Normal"/>
    <w:qFormat/>
    <w:rsid w:val="00F8631B"/>
    <w:pPr>
      <w:spacing w:after="160" w:line="240" w:lineRule="exact"/>
    </w:pPr>
    <w:rPr>
      <w:rFonts w:ascii="Verdana" w:eastAsia="MS Mincho" w:hAnsi="Verdana"/>
      <w:sz w:val="20"/>
      <w:szCs w:val="20"/>
    </w:rPr>
  </w:style>
  <w:style w:type="paragraph" w:customStyle="1" w:styleId="TITLEforTOC">
    <w:name w:val="TITLE for TOC"/>
    <w:basedOn w:val="Heading1"/>
    <w:autoRedefine/>
    <w:rsid w:val="00F8631B"/>
    <w:pPr>
      <w:widowControl w:val="0"/>
      <w:autoSpaceDE/>
      <w:autoSpaceDN/>
      <w:adjustRightInd/>
      <w:spacing w:before="0" w:after="120" w:line="240" w:lineRule="auto"/>
      <w:jc w:val="center"/>
      <w:textAlignment w:val="auto"/>
    </w:pPr>
    <w:rPr>
      <w:rFonts w:ascii="Arial" w:eastAsia="MS Mincho" w:hAnsi="Arial" w:cs="Arial"/>
      <w:bCs w:val="0"/>
      <w:color w:val="auto"/>
      <w:sz w:val="20"/>
      <w:szCs w:val="20"/>
    </w:rPr>
  </w:style>
  <w:style w:type="paragraph" w:customStyle="1" w:styleId="Bodytxt">
    <w:name w:val="Body_txt"/>
    <w:rsid w:val="00F8631B"/>
    <w:pPr>
      <w:spacing w:before="29" w:after="29" w:line="200" w:lineRule="atLeast"/>
      <w:jc w:val="both"/>
    </w:pPr>
    <w:rPr>
      <w:rFonts w:ascii="Zurich BT" w:eastAsia="MS Mincho" w:hAnsi="Zurich BT" w:cs="Times New Roman"/>
      <w:color w:val="000000"/>
      <w:kern w:val="0"/>
      <w:sz w:val="16"/>
      <w:szCs w:val="20"/>
      <w14:ligatures w14:val="none"/>
    </w:rPr>
  </w:style>
  <w:style w:type="paragraph" w:customStyle="1" w:styleId="BodyText211">
    <w:name w:val="Body Text 211"/>
    <w:basedOn w:val="Normal"/>
    <w:rsid w:val="00F8631B"/>
    <w:pPr>
      <w:widowControl w:val="0"/>
      <w:tabs>
        <w:tab w:val="left" w:pos="360"/>
      </w:tabs>
      <w:spacing w:after="0" w:line="240" w:lineRule="auto"/>
      <w:jc w:val="both"/>
    </w:pPr>
    <w:rPr>
      <w:rFonts w:ascii="Arial" w:eastAsia="MS Mincho" w:hAnsi="Arial"/>
      <w:szCs w:val="20"/>
      <w:lang w:val="en-GB"/>
    </w:rPr>
  </w:style>
  <w:style w:type="paragraph" w:customStyle="1" w:styleId="TableBody">
    <w:name w:val="Table Body"/>
    <w:basedOn w:val="Normal"/>
    <w:rsid w:val="00F8631B"/>
    <w:pPr>
      <w:spacing w:before="45" w:after="45" w:line="200" w:lineRule="exact"/>
      <w:jc w:val="both"/>
    </w:pPr>
    <w:rPr>
      <w:rFonts w:ascii="Arial" w:eastAsia="MS Mincho" w:hAnsi="Arial"/>
      <w:sz w:val="16"/>
      <w:szCs w:val="20"/>
      <w:lang w:val="en-GB"/>
    </w:rPr>
  </w:style>
  <w:style w:type="paragraph" w:customStyle="1" w:styleId="justifiedsmallfont">
    <w:name w:val="_ justified small font"/>
    <w:basedOn w:val="Normal"/>
    <w:autoRedefine/>
    <w:rsid w:val="00F8631B"/>
    <w:pPr>
      <w:widowControl w:val="0"/>
      <w:spacing w:after="0" w:line="240" w:lineRule="auto"/>
    </w:pPr>
    <w:rPr>
      <w:rFonts w:ascii="Times New Roman" w:eastAsia="MS Mincho" w:hAnsi="Times New Roman"/>
      <w:sz w:val="20"/>
      <w:szCs w:val="20"/>
    </w:rPr>
  </w:style>
  <w:style w:type="paragraph" w:customStyle="1" w:styleId="SubHead1">
    <w:name w:val="!Sub Head 1"/>
    <w:basedOn w:val="BodyText0"/>
    <w:rsid w:val="00F8631B"/>
    <w:pPr>
      <w:spacing w:before="200"/>
    </w:pPr>
    <w:rPr>
      <w:b/>
      <w:noProof/>
      <w:lang w:val="en-US"/>
    </w:rPr>
  </w:style>
  <w:style w:type="table" w:styleId="TableGrid1">
    <w:name w:val="Table Grid 1"/>
    <w:basedOn w:val="TableNormal"/>
    <w:rsid w:val="00F8631B"/>
    <w:pPr>
      <w:spacing w:after="0" w:line="240" w:lineRule="auto"/>
    </w:pPr>
    <w:rPr>
      <w:rFonts w:ascii="Times New Roman" w:eastAsia="MS Mincho" w:hAnsi="Times New Roman" w:cs="Times New Roman"/>
      <w:kern w:val="0"/>
      <w:sz w:val="20"/>
      <w:szCs w:val="20"/>
      <w:lang w:val="en-IN" w:eastAsia="en-IN"/>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p3">
    <w:name w:val="p3"/>
    <w:basedOn w:val="Normal"/>
    <w:rsid w:val="00F8631B"/>
    <w:pPr>
      <w:widowControl w:val="0"/>
      <w:tabs>
        <w:tab w:val="left" w:pos="204"/>
      </w:tabs>
      <w:autoSpaceDE w:val="0"/>
      <w:autoSpaceDN w:val="0"/>
      <w:adjustRightInd w:val="0"/>
      <w:spacing w:after="0" w:line="232" w:lineRule="atLeast"/>
      <w:jc w:val="both"/>
    </w:pPr>
    <w:rPr>
      <w:rFonts w:ascii="Times New Roman" w:eastAsia="MS Mincho" w:hAnsi="Times New Roman"/>
      <w:sz w:val="20"/>
      <w:szCs w:val="24"/>
    </w:rPr>
  </w:style>
  <w:style w:type="paragraph" w:customStyle="1" w:styleId="11ptheading">
    <w:name w:val="11 pt heading"/>
    <w:basedOn w:val="Normal"/>
    <w:next w:val="BodyText"/>
    <w:rsid w:val="00F8631B"/>
    <w:pPr>
      <w:keepNext/>
      <w:keepLines/>
      <w:spacing w:before="360" w:after="120" w:line="280" w:lineRule="atLeast"/>
    </w:pPr>
    <w:rPr>
      <w:rFonts w:ascii="Arial" w:eastAsia="MS Mincho" w:hAnsi="Arial"/>
      <w:b/>
      <w:szCs w:val="20"/>
      <w:lang w:val="en-GB"/>
    </w:rPr>
  </w:style>
  <w:style w:type="paragraph" w:customStyle="1" w:styleId="Heading20">
    <w:name w:val="!Heading_2"/>
    <w:basedOn w:val="Normal"/>
    <w:autoRedefine/>
    <w:rsid w:val="00F8631B"/>
    <w:pPr>
      <w:widowControl w:val="0"/>
      <w:spacing w:after="0" w:line="240" w:lineRule="auto"/>
      <w:jc w:val="both"/>
      <w:outlineLvl w:val="1"/>
    </w:pPr>
    <w:rPr>
      <w:rFonts w:ascii="Times New Roman" w:eastAsia="MS Mincho" w:hAnsi="Times New Roman"/>
      <w:sz w:val="20"/>
      <w:szCs w:val="20"/>
    </w:rPr>
  </w:style>
  <w:style w:type="paragraph" w:customStyle="1" w:styleId="CAP-AC">
    <w:name w:val="CAP-AC"/>
    <w:basedOn w:val="Normal"/>
    <w:rsid w:val="00F8631B"/>
    <w:pPr>
      <w:tabs>
        <w:tab w:val="left" w:pos="641"/>
      </w:tabs>
      <w:spacing w:before="29" w:after="29" w:line="190" w:lineRule="atLeast"/>
      <w:ind w:left="630" w:right="125" w:hanging="450"/>
      <w:jc w:val="both"/>
    </w:pPr>
    <w:rPr>
      <w:rFonts w:ascii="Zurich BT" w:eastAsia="MS Mincho" w:hAnsi="Zurich BT"/>
      <w:sz w:val="16"/>
      <w:szCs w:val="20"/>
      <w:lang w:val="en-GB" w:eastAsia="ja-JP"/>
    </w:rPr>
  </w:style>
  <w:style w:type="paragraph" w:customStyle="1" w:styleId="HeadShading">
    <w:name w:val="Head_Shading"/>
    <w:basedOn w:val="Heading6"/>
    <w:rsid w:val="00F8631B"/>
    <w:pPr>
      <w:keepNext/>
      <w:suppressAutoHyphens/>
      <w:spacing w:before="20" w:after="20" w:line="240" w:lineRule="auto"/>
      <w:jc w:val="center"/>
    </w:pPr>
    <w:rPr>
      <w:rFonts w:ascii="Times New Roman" w:eastAsia="MS Mincho" w:hAnsi="Times New Roman"/>
      <w:bCs w:val="0"/>
      <w:i w:val="0"/>
      <w:iCs w:val="0"/>
      <w:color w:val="auto"/>
      <w:sz w:val="18"/>
      <w:lang w:bidi="ar-SA"/>
    </w:rPr>
  </w:style>
  <w:style w:type="paragraph" w:customStyle="1" w:styleId="WGLBody">
    <w:name w:val="WGL Body"/>
    <w:basedOn w:val="Normal"/>
    <w:rsid w:val="00F8631B"/>
    <w:pPr>
      <w:tabs>
        <w:tab w:val="left" w:pos="3067"/>
      </w:tabs>
      <w:spacing w:after="140" w:line="280" w:lineRule="exact"/>
    </w:pPr>
    <w:rPr>
      <w:rFonts w:ascii="Times New Roman" w:eastAsia="MS Mincho" w:hAnsi="Times New Roman"/>
      <w:sz w:val="20"/>
      <w:szCs w:val="24"/>
    </w:rPr>
  </w:style>
  <w:style w:type="paragraph" w:customStyle="1" w:styleId="p2">
    <w:name w:val="p2"/>
    <w:basedOn w:val="Normal"/>
    <w:rsid w:val="00F8631B"/>
    <w:pPr>
      <w:widowControl w:val="0"/>
      <w:tabs>
        <w:tab w:val="left" w:pos="204"/>
      </w:tabs>
      <w:autoSpaceDE w:val="0"/>
      <w:autoSpaceDN w:val="0"/>
      <w:adjustRightInd w:val="0"/>
      <w:spacing w:after="0" w:line="232" w:lineRule="atLeast"/>
      <w:jc w:val="both"/>
    </w:pPr>
    <w:rPr>
      <w:rFonts w:ascii="Times New Roman" w:eastAsia="MS Mincho" w:hAnsi="Times New Roman"/>
      <w:sz w:val="20"/>
      <w:szCs w:val="24"/>
    </w:rPr>
  </w:style>
  <w:style w:type="paragraph" w:customStyle="1" w:styleId="Bullet2Numeric">
    <w:name w:val="Bullet2 (Numeric)"/>
    <w:basedOn w:val="Normal"/>
    <w:rsid w:val="00F8631B"/>
    <w:pPr>
      <w:tabs>
        <w:tab w:val="num" w:pos="720"/>
      </w:tabs>
      <w:spacing w:before="20" w:after="20" w:line="240" w:lineRule="auto"/>
      <w:ind w:left="720" w:hanging="720"/>
      <w:jc w:val="both"/>
    </w:pPr>
    <w:rPr>
      <w:rFonts w:ascii="Helvetica" w:eastAsia="MS Mincho" w:hAnsi="Helvetica"/>
      <w:sz w:val="20"/>
      <w:szCs w:val="24"/>
    </w:rPr>
  </w:style>
  <w:style w:type="paragraph" w:customStyle="1" w:styleId="TableTextwDot">
    <w:name w:val="Table Text w Dot"/>
    <w:rsid w:val="00F8631B"/>
    <w:pPr>
      <w:tabs>
        <w:tab w:val="left" w:pos="331"/>
        <w:tab w:val="decimal" w:pos="1296"/>
      </w:tabs>
      <w:spacing w:after="0" w:line="240" w:lineRule="auto"/>
    </w:pPr>
    <w:rPr>
      <w:rFonts w:ascii="Times New Roman" w:eastAsia="MS Mincho" w:hAnsi="Times New Roman" w:cs="Times New Roman"/>
      <w:kern w:val="0"/>
      <w:sz w:val="20"/>
      <w:szCs w:val="20"/>
      <w14:ligatures w14:val="none"/>
    </w:rPr>
  </w:style>
  <w:style w:type="paragraph" w:customStyle="1" w:styleId="Title10L">
    <w:name w:val="Title 10L"/>
    <w:basedOn w:val="Title"/>
    <w:rsid w:val="00F8631B"/>
    <w:pPr>
      <w:keepNext/>
      <w:keepLines/>
      <w:pBdr>
        <w:bottom w:val="none" w:sz="0" w:space="0" w:color="auto"/>
      </w:pBdr>
      <w:spacing w:after="240" w:line="288" w:lineRule="auto"/>
      <w:contextualSpacing w:val="0"/>
    </w:pPr>
    <w:rPr>
      <w:rFonts w:ascii="Times New Roman" w:eastAsia="MS Mincho" w:hAnsi="Times New Roman"/>
      <w:b/>
      <w:spacing w:val="0"/>
      <w:kern w:val="20"/>
      <w:sz w:val="20"/>
      <w:szCs w:val="20"/>
      <w:lang w:val="en-GB" w:bidi="ar-SA"/>
    </w:rPr>
  </w:style>
  <w:style w:type="paragraph" w:customStyle="1" w:styleId="c1">
    <w:name w:val="c1"/>
    <w:basedOn w:val="Normal"/>
    <w:rsid w:val="00F8631B"/>
    <w:pPr>
      <w:widowControl w:val="0"/>
      <w:autoSpaceDE w:val="0"/>
      <w:autoSpaceDN w:val="0"/>
      <w:adjustRightInd w:val="0"/>
      <w:spacing w:after="0" w:line="240" w:lineRule="atLeast"/>
      <w:jc w:val="center"/>
    </w:pPr>
    <w:rPr>
      <w:rFonts w:ascii="Times New Roman" w:eastAsia="MS Mincho" w:hAnsi="Times New Roman"/>
      <w:sz w:val="20"/>
      <w:szCs w:val="24"/>
    </w:rPr>
  </w:style>
  <w:style w:type="paragraph" w:customStyle="1" w:styleId="sub-heading">
    <w:name w:val="sub-heading"/>
    <w:aliases w:val="sh"/>
    <w:basedOn w:val="BodyText"/>
    <w:next w:val="BodyText"/>
    <w:rsid w:val="00F8631B"/>
    <w:pPr>
      <w:spacing w:before="86" w:after="58" w:line="190" w:lineRule="atLeast"/>
    </w:pPr>
    <w:rPr>
      <w:rFonts w:ascii="Zurich BT" w:eastAsia="MS Mincho" w:hAnsi="Zurich BT"/>
      <w:b/>
      <w:sz w:val="16"/>
      <w:szCs w:val="20"/>
      <w:lang w:val="en-US"/>
    </w:rPr>
  </w:style>
  <w:style w:type="paragraph" w:customStyle="1" w:styleId="under">
    <w:name w:val="under"/>
    <w:basedOn w:val="Normal"/>
    <w:rsid w:val="00F8631B"/>
    <w:pPr>
      <w:tabs>
        <w:tab w:val="right" w:pos="8640"/>
        <w:tab w:val="right" w:pos="10136"/>
      </w:tabs>
      <w:spacing w:before="29" w:after="29" w:line="200" w:lineRule="atLeast"/>
    </w:pPr>
    <w:rPr>
      <w:rFonts w:ascii="Zurich BT" w:eastAsia="MS Mincho" w:hAnsi="Zurich BT"/>
      <w:sz w:val="16"/>
      <w:szCs w:val="20"/>
    </w:rPr>
  </w:style>
  <w:style w:type="paragraph" w:customStyle="1" w:styleId="p6">
    <w:name w:val="p6"/>
    <w:basedOn w:val="Normal"/>
    <w:rsid w:val="00F8631B"/>
    <w:pPr>
      <w:widowControl w:val="0"/>
      <w:tabs>
        <w:tab w:val="left" w:pos="1031"/>
      </w:tabs>
      <w:autoSpaceDE w:val="0"/>
      <w:autoSpaceDN w:val="0"/>
      <w:adjustRightInd w:val="0"/>
      <w:spacing w:after="0" w:line="240" w:lineRule="atLeast"/>
      <w:ind w:left="409"/>
      <w:jc w:val="both"/>
    </w:pPr>
    <w:rPr>
      <w:rFonts w:ascii="Times New Roman" w:eastAsia="MS Mincho" w:hAnsi="Times New Roman"/>
      <w:sz w:val="20"/>
      <w:szCs w:val="24"/>
    </w:rPr>
  </w:style>
  <w:style w:type="paragraph" w:customStyle="1" w:styleId="MerrillTableHeading">
    <w:name w:val="Merrill Table Heading"/>
    <w:rsid w:val="00F8631B"/>
    <w:pPr>
      <w:pBdr>
        <w:bottom w:val="single" w:sz="12" w:space="1" w:color="000000"/>
      </w:pBdr>
      <w:spacing w:after="200" w:line="288" w:lineRule="auto"/>
      <w:ind w:left="115" w:right="115"/>
      <w:jc w:val="center"/>
    </w:pPr>
    <w:rPr>
      <w:rFonts w:ascii="Arial" w:eastAsia="MS Mincho" w:hAnsi="Arial" w:cs="Times New Roman"/>
      <w:b/>
      <w:kern w:val="0"/>
      <w:sz w:val="20"/>
      <w:szCs w:val="20"/>
      <w:lang w:val="en-GB" w:eastAsia="ja-JP"/>
      <w14:ligatures w14:val="none"/>
    </w:rPr>
  </w:style>
  <w:style w:type="paragraph" w:customStyle="1" w:styleId="nomal">
    <w:name w:val="nomal"/>
    <w:basedOn w:val="Heading3"/>
    <w:rsid w:val="00F8631B"/>
    <w:pPr>
      <w:spacing w:before="0" w:line="240" w:lineRule="auto"/>
      <w:jc w:val="both"/>
      <w:outlineLvl w:val="9"/>
    </w:pPr>
    <w:rPr>
      <w:rFonts w:ascii="Times New Roman" w:eastAsia="MS Mincho" w:hAnsi="Times New Roman"/>
      <w:bCs w:val="0"/>
      <w:sz w:val="24"/>
      <w:lang w:val="en-GB" w:bidi="ar-SA"/>
    </w:rPr>
  </w:style>
  <w:style w:type="paragraph" w:customStyle="1" w:styleId="TableLeftBoldItalic">
    <w:name w:val="Table Left Bold Italic"/>
    <w:basedOn w:val="Normal"/>
    <w:rsid w:val="00F8631B"/>
    <w:pPr>
      <w:keepNext/>
      <w:spacing w:after="240" w:line="240" w:lineRule="auto"/>
    </w:pPr>
    <w:rPr>
      <w:rFonts w:ascii="Arial" w:eastAsia="MS Mincho" w:hAnsi="Arial"/>
      <w:b/>
      <w:i/>
      <w:sz w:val="20"/>
      <w:szCs w:val="24"/>
    </w:rPr>
  </w:style>
  <w:style w:type="paragraph" w:customStyle="1" w:styleId="Title4">
    <w:name w:val="Title4"/>
    <w:basedOn w:val="Normal"/>
    <w:next w:val="BodyTextFirstIndent"/>
    <w:rsid w:val="00F8631B"/>
    <w:pPr>
      <w:keepNext/>
      <w:keepLines/>
      <w:spacing w:after="240" w:line="240" w:lineRule="auto"/>
      <w:jc w:val="both"/>
    </w:pPr>
    <w:rPr>
      <w:rFonts w:ascii="Arial" w:eastAsia="MS Mincho" w:hAnsi="Arial"/>
      <w:i/>
      <w:szCs w:val="24"/>
      <w:lang w:val="en-GB"/>
    </w:rPr>
  </w:style>
  <w:style w:type="paragraph" w:customStyle="1" w:styleId="EYbullet2">
    <w:name w:val="EY bullet 2"/>
    <w:basedOn w:val="Normal"/>
    <w:qFormat/>
    <w:rsid w:val="00F8631B"/>
    <w:pPr>
      <w:tabs>
        <w:tab w:val="num" w:pos="360"/>
      </w:tabs>
      <w:spacing w:before="60" w:after="60" w:line="240" w:lineRule="auto"/>
      <w:ind w:left="360" w:hanging="360"/>
      <w:jc w:val="both"/>
    </w:pPr>
    <w:rPr>
      <w:rFonts w:ascii="Times New Roman" w:eastAsia="MS Mincho" w:hAnsi="Times New Roman"/>
      <w:color w:val="000000"/>
      <w:sz w:val="20"/>
      <w:szCs w:val="20"/>
    </w:rPr>
  </w:style>
  <w:style w:type="paragraph" w:customStyle="1" w:styleId="CABodyT">
    <w:name w:val="CABodyT"/>
    <w:basedOn w:val="BodyText"/>
    <w:autoRedefine/>
    <w:rsid w:val="00F8631B"/>
    <w:rPr>
      <w:rFonts w:ascii="Times New Roman" w:eastAsia="MS Mincho" w:hAnsi="Times New Roman"/>
      <w:color w:val="000000"/>
      <w:sz w:val="20"/>
      <w:lang w:val="en-US"/>
    </w:rPr>
  </w:style>
  <w:style w:type="paragraph" w:customStyle="1" w:styleId="p1">
    <w:name w:val="p1"/>
    <w:basedOn w:val="Normal"/>
    <w:rsid w:val="00F8631B"/>
    <w:pPr>
      <w:widowControl w:val="0"/>
      <w:tabs>
        <w:tab w:val="left" w:pos="204"/>
      </w:tabs>
      <w:autoSpaceDE w:val="0"/>
      <w:autoSpaceDN w:val="0"/>
      <w:adjustRightInd w:val="0"/>
      <w:spacing w:after="0" w:line="240" w:lineRule="atLeast"/>
      <w:jc w:val="both"/>
    </w:pPr>
    <w:rPr>
      <w:rFonts w:ascii="Times New Roman" w:eastAsia="MS Mincho" w:hAnsi="Times New Roman"/>
      <w:sz w:val="20"/>
      <w:szCs w:val="24"/>
    </w:rPr>
  </w:style>
  <w:style w:type="paragraph" w:customStyle="1" w:styleId="centeredsmallfont">
    <w:name w:val="_centered small font"/>
    <w:rsid w:val="00F8631B"/>
    <w:pPr>
      <w:tabs>
        <w:tab w:val="left" w:pos="0"/>
      </w:tabs>
      <w:spacing w:after="0" w:line="240" w:lineRule="auto"/>
      <w:jc w:val="both"/>
    </w:pPr>
    <w:rPr>
      <w:rFonts w:ascii="Times New Roman" w:eastAsia="MS Mincho" w:hAnsi="Times New Roman" w:cs="Times New Roman"/>
      <w:kern w:val="0"/>
      <w:sz w:val="20"/>
      <w:szCs w:val="20"/>
      <w14:ligatures w14:val="none"/>
    </w:rPr>
  </w:style>
  <w:style w:type="paragraph" w:customStyle="1" w:styleId="Heading21">
    <w:name w:val="Heading 21"/>
    <w:basedOn w:val="Normal"/>
    <w:autoRedefine/>
    <w:rsid w:val="00F8631B"/>
    <w:pPr>
      <w:spacing w:after="0" w:line="240" w:lineRule="auto"/>
      <w:jc w:val="both"/>
    </w:pPr>
    <w:rPr>
      <w:rFonts w:ascii="Times New Roman" w:hAnsi="Times New Roman"/>
      <w:b/>
      <w:noProof/>
      <w:sz w:val="20"/>
      <w:szCs w:val="20"/>
    </w:rPr>
  </w:style>
  <w:style w:type="paragraph" w:customStyle="1" w:styleId="p4">
    <w:name w:val="p4"/>
    <w:basedOn w:val="Normal"/>
    <w:rsid w:val="00F8631B"/>
    <w:pPr>
      <w:widowControl w:val="0"/>
      <w:tabs>
        <w:tab w:val="left" w:pos="374"/>
        <w:tab w:val="left" w:pos="691"/>
      </w:tabs>
      <w:autoSpaceDE w:val="0"/>
      <w:autoSpaceDN w:val="0"/>
      <w:adjustRightInd w:val="0"/>
      <w:spacing w:after="0" w:line="232" w:lineRule="atLeast"/>
      <w:ind w:left="691" w:hanging="317"/>
      <w:jc w:val="both"/>
    </w:pPr>
    <w:rPr>
      <w:rFonts w:ascii="Times New Roman" w:eastAsia="MS Mincho" w:hAnsi="Times New Roman"/>
      <w:sz w:val="20"/>
      <w:szCs w:val="24"/>
    </w:rPr>
  </w:style>
  <w:style w:type="paragraph" w:customStyle="1" w:styleId="p5">
    <w:name w:val="p5"/>
    <w:basedOn w:val="Normal"/>
    <w:rsid w:val="00F8631B"/>
    <w:pPr>
      <w:widowControl w:val="0"/>
      <w:tabs>
        <w:tab w:val="left" w:pos="1043"/>
        <w:tab w:val="left" w:pos="1383"/>
      </w:tabs>
      <w:autoSpaceDE w:val="0"/>
      <w:autoSpaceDN w:val="0"/>
      <w:adjustRightInd w:val="0"/>
      <w:spacing w:after="0" w:line="243" w:lineRule="atLeast"/>
      <w:ind w:left="1383" w:hanging="340"/>
      <w:jc w:val="both"/>
    </w:pPr>
    <w:rPr>
      <w:rFonts w:ascii="Times New Roman" w:eastAsia="MS Mincho" w:hAnsi="Times New Roman"/>
      <w:sz w:val="20"/>
      <w:szCs w:val="24"/>
    </w:rPr>
  </w:style>
  <w:style w:type="paragraph" w:customStyle="1" w:styleId="heading">
    <w:name w:val="heading"/>
    <w:basedOn w:val="Bodytxt"/>
    <w:rsid w:val="00F8631B"/>
    <w:pPr>
      <w:spacing w:before="58" w:after="58" w:line="240" w:lineRule="atLeast"/>
    </w:pPr>
    <w:rPr>
      <w:b/>
      <w:color w:val="auto"/>
      <w:sz w:val="18"/>
    </w:rPr>
  </w:style>
  <w:style w:type="paragraph" w:customStyle="1" w:styleId="ac0">
    <w:name w:val="ac"/>
    <w:basedOn w:val="Bodytxt"/>
    <w:rsid w:val="00F8631B"/>
    <w:pPr>
      <w:tabs>
        <w:tab w:val="left" w:pos="360"/>
      </w:tabs>
      <w:ind w:left="360" w:hanging="360"/>
    </w:pPr>
    <w:rPr>
      <w:color w:val="auto"/>
    </w:rPr>
  </w:style>
  <w:style w:type="paragraph" w:customStyle="1" w:styleId="BodySingle">
    <w:name w:val="Body Single"/>
    <w:basedOn w:val="Normal"/>
    <w:rsid w:val="00F8631B"/>
    <w:pPr>
      <w:suppressAutoHyphens/>
      <w:spacing w:after="0" w:line="240" w:lineRule="auto"/>
      <w:jc w:val="both"/>
    </w:pPr>
    <w:rPr>
      <w:rFonts w:ascii="Zurich BT" w:eastAsia="MS Mincho" w:hAnsi="Zurich BT"/>
      <w:szCs w:val="20"/>
    </w:rPr>
  </w:style>
  <w:style w:type="paragraph" w:customStyle="1" w:styleId="CellBody">
    <w:name w:val="CellBody"/>
    <w:basedOn w:val="Normal"/>
    <w:rsid w:val="00F8631B"/>
    <w:pPr>
      <w:spacing w:before="60" w:after="60" w:line="290" w:lineRule="auto"/>
      <w:jc w:val="both"/>
    </w:pPr>
    <w:rPr>
      <w:rFonts w:ascii="Arial" w:eastAsia="PMingLiU" w:hAnsi="Arial"/>
      <w:kern w:val="20"/>
      <w:sz w:val="20"/>
      <w:szCs w:val="20"/>
      <w:lang w:val="en-GB"/>
    </w:rPr>
  </w:style>
  <w:style w:type="paragraph" w:customStyle="1" w:styleId="Bullet1">
    <w:name w:val="!Bullet_1"/>
    <w:basedOn w:val="BodyText0"/>
    <w:rsid w:val="00F8631B"/>
    <w:pPr>
      <w:tabs>
        <w:tab w:val="num" w:pos="1080"/>
      </w:tabs>
      <w:spacing w:before="40" w:after="40"/>
      <w:ind w:left="1080" w:hanging="360"/>
    </w:pPr>
    <w:rPr>
      <w:noProof/>
      <w:lang w:val="en-US"/>
    </w:rPr>
  </w:style>
  <w:style w:type="paragraph" w:customStyle="1" w:styleId="p9">
    <w:name w:val="p9"/>
    <w:basedOn w:val="Normal"/>
    <w:rsid w:val="00F8631B"/>
    <w:pPr>
      <w:widowControl w:val="0"/>
      <w:tabs>
        <w:tab w:val="left" w:pos="685"/>
        <w:tab w:val="left" w:pos="1037"/>
      </w:tabs>
      <w:autoSpaceDE w:val="0"/>
      <w:autoSpaceDN w:val="0"/>
      <w:adjustRightInd w:val="0"/>
      <w:spacing w:after="0" w:line="240" w:lineRule="auto"/>
      <w:ind w:left="1037" w:hanging="352"/>
      <w:jc w:val="both"/>
    </w:pPr>
    <w:rPr>
      <w:rFonts w:ascii="Times New Roman" w:eastAsia="MS Mincho" w:hAnsi="Times New Roman"/>
      <w:sz w:val="20"/>
      <w:szCs w:val="24"/>
    </w:rPr>
  </w:style>
  <w:style w:type="paragraph" w:customStyle="1" w:styleId="p8">
    <w:name w:val="p8"/>
    <w:basedOn w:val="Normal"/>
    <w:rsid w:val="00F8631B"/>
    <w:pPr>
      <w:widowControl w:val="0"/>
      <w:tabs>
        <w:tab w:val="left" w:pos="204"/>
        <w:tab w:val="left" w:pos="527"/>
      </w:tabs>
      <w:autoSpaceDE w:val="0"/>
      <w:autoSpaceDN w:val="0"/>
      <w:adjustRightInd w:val="0"/>
      <w:spacing w:after="0" w:line="240" w:lineRule="auto"/>
      <w:ind w:left="527" w:hanging="323"/>
      <w:jc w:val="both"/>
    </w:pPr>
    <w:rPr>
      <w:rFonts w:ascii="Times New Roman" w:eastAsia="MS Mincho" w:hAnsi="Times New Roman"/>
      <w:sz w:val="20"/>
      <w:szCs w:val="24"/>
    </w:rPr>
  </w:style>
  <w:style w:type="paragraph" w:customStyle="1" w:styleId="StyleHelvetica10ptRight">
    <w:name w:val="Style Helvetica 10 pt Right"/>
    <w:basedOn w:val="Normal"/>
    <w:rsid w:val="00F8631B"/>
    <w:pPr>
      <w:spacing w:after="0" w:line="240" w:lineRule="auto"/>
      <w:jc w:val="right"/>
    </w:pPr>
    <w:rPr>
      <w:rFonts w:ascii="Arial" w:eastAsia="MS Mincho" w:hAnsi="Arial"/>
      <w:sz w:val="20"/>
      <w:szCs w:val="20"/>
    </w:rPr>
  </w:style>
  <w:style w:type="paragraph" w:customStyle="1" w:styleId="CenterBoldHeading">
    <w:name w:val="CenterBold Heading"/>
    <w:aliases w:val="cb"/>
    <w:basedOn w:val="Normal"/>
    <w:next w:val="Normal"/>
    <w:rsid w:val="00F8631B"/>
    <w:pPr>
      <w:keepNext/>
      <w:spacing w:after="240" w:line="240" w:lineRule="auto"/>
      <w:jc w:val="center"/>
    </w:pPr>
    <w:rPr>
      <w:rFonts w:ascii="Helve-WP CY" w:eastAsia="SimSun" w:hAnsi="Helve-WP CY"/>
      <w:b/>
      <w:sz w:val="20"/>
      <w:szCs w:val="24"/>
      <w:lang w:val="en-GB" w:eastAsia="zh-CN"/>
    </w:rPr>
  </w:style>
  <w:style w:type="paragraph" w:customStyle="1" w:styleId="p14">
    <w:name w:val="p14"/>
    <w:basedOn w:val="Normal"/>
    <w:rsid w:val="00F8631B"/>
    <w:pPr>
      <w:widowControl w:val="0"/>
      <w:tabs>
        <w:tab w:val="left" w:pos="697"/>
        <w:tab w:val="left" w:pos="1020"/>
      </w:tabs>
      <w:autoSpaceDE w:val="0"/>
      <w:autoSpaceDN w:val="0"/>
      <w:adjustRightInd w:val="0"/>
      <w:spacing w:after="0" w:line="240" w:lineRule="auto"/>
      <w:ind w:left="1020" w:hanging="323"/>
      <w:jc w:val="both"/>
    </w:pPr>
    <w:rPr>
      <w:rFonts w:ascii="Times New Roman" w:eastAsia="MS Mincho" w:hAnsi="Times New Roman"/>
      <w:sz w:val="20"/>
      <w:szCs w:val="24"/>
    </w:rPr>
  </w:style>
  <w:style w:type="paragraph" w:customStyle="1" w:styleId="Bullet10">
    <w:name w:val="Bullet1"/>
    <w:basedOn w:val="Normal"/>
    <w:rsid w:val="00F8631B"/>
    <w:pPr>
      <w:spacing w:after="0" w:line="240" w:lineRule="auto"/>
      <w:jc w:val="both"/>
    </w:pPr>
    <w:rPr>
      <w:rFonts w:ascii="Times New Roman" w:eastAsia="MS Mincho" w:hAnsi="Times New Roman"/>
      <w:sz w:val="20"/>
      <w:szCs w:val="20"/>
    </w:rPr>
  </w:style>
  <w:style w:type="paragraph" w:customStyle="1" w:styleId="TableHeading2">
    <w:name w:val="Table Heading 2"/>
    <w:basedOn w:val="Normal"/>
    <w:rsid w:val="00F8631B"/>
    <w:pPr>
      <w:tabs>
        <w:tab w:val="right" w:pos="8239"/>
      </w:tabs>
      <w:spacing w:after="0" w:line="240" w:lineRule="auto"/>
    </w:pPr>
    <w:rPr>
      <w:rFonts w:ascii="Arial" w:eastAsia="MS Mincho" w:hAnsi="Arial"/>
      <w:b/>
      <w:sz w:val="18"/>
      <w:szCs w:val="20"/>
    </w:rPr>
  </w:style>
  <w:style w:type="paragraph" w:customStyle="1" w:styleId="BodyHeading1">
    <w:name w:val="Body Heading1"/>
    <w:basedOn w:val="Normal"/>
    <w:rsid w:val="00F8631B"/>
    <w:pPr>
      <w:tabs>
        <w:tab w:val="num" w:pos="1080"/>
      </w:tabs>
      <w:spacing w:after="120" w:line="240" w:lineRule="auto"/>
      <w:ind w:left="1080" w:hanging="720"/>
      <w:jc w:val="both"/>
    </w:pPr>
    <w:rPr>
      <w:rFonts w:ascii="Helvetica" w:eastAsia="MS Mincho" w:hAnsi="Helvetica"/>
      <w:b/>
      <w:sz w:val="20"/>
      <w:szCs w:val="20"/>
    </w:rPr>
  </w:style>
  <w:style w:type="paragraph" w:customStyle="1" w:styleId="23BodyText">
    <w:name w:val="23 Body Text"/>
    <w:basedOn w:val="Normal"/>
    <w:rsid w:val="00F8631B"/>
    <w:pPr>
      <w:spacing w:before="100" w:after="0" w:line="264" w:lineRule="auto"/>
    </w:pPr>
    <w:rPr>
      <w:rFonts w:ascii="Trebuchet MS" w:eastAsia="PMingLiU" w:hAnsi="Trebuchet MS"/>
      <w:color w:val="000000"/>
      <w:sz w:val="20"/>
      <w:szCs w:val="24"/>
      <w:lang w:eastAsia="zh-TW"/>
    </w:rPr>
  </w:style>
  <w:style w:type="paragraph" w:styleId="BodyTextFirstIndent2">
    <w:name w:val="Body Text First Indent 2"/>
    <w:basedOn w:val="BodyTextIndent"/>
    <w:link w:val="BodyTextFirstIndent2Char1"/>
    <w:rsid w:val="00F8631B"/>
    <w:pPr>
      <w:spacing w:line="240" w:lineRule="auto"/>
      <w:ind w:firstLine="210"/>
    </w:pPr>
    <w:rPr>
      <w:rFonts w:ascii="Times New Roman" w:eastAsia="MS Mincho" w:hAnsi="Times New Roman"/>
      <w:sz w:val="24"/>
      <w:szCs w:val="24"/>
    </w:rPr>
  </w:style>
  <w:style w:type="character" w:customStyle="1" w:styleId="BodyTextFirstIndent2Char">
    <w:name w:val="Body Text First Indent 2 Char"/>
    <w:basedOn w:val="BodyTextIndentChar"/>
    <w:rsid w:val="00F8631B"/>
    <w:rPr>
      <w:rFonts w:ascii="Calibri" w:eastAsia="Times New Roman" w:hAnsi="Calibri" w:cs="Times New Roman"/>
      <w:kern w:val="0"/>
      <w14:ligatures w14:val="none"/>
    </w:rPr>
  </w:style>
  <w:style w:type="paragraph" w:customStyle="1" w:styleId="Style">
    <w:name w:val="Style"/>
    <w:rsid w:val="00F8631B"/>
    <w:pPr>
      <w:widowControl w:val="0"/>
      <w:autoSpaceDE w:val="0"/>
      <w:autoSpaceDN w:val="0"/>
      <w:adjustRightInd w:val="0"/>
      <w:spacing w:after="0" w:line="240" w:lineRule="auto"/>
    </w:pPr>
    <w:rPr>
      <w:rFonts w:ascii="Arial" w:eastAsia="MS Mincho" w:hAnsi="Arial" w:cs="Arial"/>
      <w:kern w:val="0"/>
      <w:sz w:val="20"/>
      <w:szCs w:val="24"/>
      <w14:ligatures w14:val="none"/>
    </w:rPr>
  </w:style>
  <w:style w:type="paragraph" w:customStyle="1" w:styleId="HeadingsFont">
    <w:name w:val="Headings Font"/>
    <w:basedOn w:val="Normal"/>
    <w:next w:val="BodyText"/>
    <w:rsid w:val="00F8631B"/>
    <w:pPr>
      <w:keepNext/>
      <w:spacing w:after="0" w:line="280" w:lineRule="atLeast"/>
    </w:pPr>
    <w:rPr>
      <w:rFonts w:ascii="Arial" w:eastAsia="MS Mincho" w:hAnsi="Arial"/>
      <w:szCs w:val="20"/>
      <w:lang w:val="en-GB"/>
    </w:rPr>
  </w:style>
  <w:style w:type="paragraph" w:customStyle="1" w:styleId="massentext">
    <w:name w:val="massentext"/>
    <w:basedOn w:val="Normal"/>
    <w:rsid w:val="00F8631B"/>
    <w:pPr>
      <w:spacing w:before="100" w:beforeAutospacing="1" w:after="100" w:afterAutospacing="1" w:line="240" w:lineRule="auto"/>
    </w:pPr>
    <w:rPr>
      <w:rFonts w:ascii="Times New Roman" w:eastAsia="SimSun" w:hAnsi="Times New Roman"/>
      <w:color w:val="000099"/>
      <w:sz w:val="24"/>
      <w:szCs w:val="24"/>
      <w:lang w:eastAsia="zh-CN"/>
    </w:rPr>
  </w:style>
  <w:style w:type="paragraph" w:customStyle="1" w:styleId="TitleBoldItal">
    <w:name w:val="Title Bold Ital"/>
    <w:basedOn w:val="Normal"/>
    <w:next w:val="Normal"/>
    <w:rsid w:val="00F8631B"/>
    <w:pPr>
      <w:keepNext/>
      <w:spacing w:after="240" w:line="240" w:lineRule="auto"/>
      <w:jc w:val="both"/>
    </w:pPr>
    <w:rPr>
      <w:rFonts w:ascii="Arial" w:eastAsia="MS Mincho" w:hAnsi="Arial"/>
      <w:b/>
      <w:i/>
      <w:sz w:val="20"/>
      <w:szCs w:val="24"/>
    </w:rPr>
  </w:style>
  <w:style w:type="paragraph" w:customStyle="1" w:styleId="Quicki">
    <w:name w:val="Quick i)"/>
    <w:basedOn w:val="Normal"/>
    <w:rsid w:val="00F8631B"/>
    <w:pPr>
      <w:widowControl w:val="0"/>
      <w:autoSpaceDE w:val="0"/>
      <w:autoSpaceDN w:val="0"/>
      <w:adjustRightInd w:val="0"/>
      <w:spacing w:after="0" w:line="240" w:lineRule="auto"/>
    </w:pPr>
    <w:rPr>
      <w:rFonts w:ascii="Arial" w:eastAsia="MS Mincho" w:hAnsi="Arial"/>
      <w:sz w:val="20"/>
      <w:szCs w:val="20"/>
      <w:lang w:val="en-GB"/>
    </w:rPr>
  </w:style>
  <w:style w:type="paragraph" w:customStyle="1" w:styleId="Level2">
    <w:name w:val="Level 2"/>
    <w:basedOn w:val="Normal"/>
    <w:rsid w:val="00F8631B"/>
    <w:pPr>
      <w:tabs>
        <w:tab w:val="num" w:pos="1440"/>
      </w:tabs>
      <w:spacing w:after="140" w:line="290" w:lineRule="auto"/>
      <w:ind w:left="1440" w:hanging="360"/>
      <w:jc w:val="both"/>
    </w:pPr>
    <w:rPr>
      <w:rFonts w:ascii="Arial" w:eastAsia="MS Mincho" w:hAnsi="Arial"/>
      <w:kern w:val="20"/>
      <w:sz w:val="20"/>
      <w:szCs w:val="20"/>
      <w:lang w:val="en-GB"/>
    </w:rPr>
  </w:style>
  <w:style w:type="paragraph" w:customStyle="1" w:styleId="parahead">
    <w:name w:val="parahead"/>
    <w:basedOn w:val="Normal"/>
    <w:rsid w:val="00F8631B"/>
    <w:pPr>
      <w:spacing w:after="120" w:line="240" w:lineRule="auto"/>
    </w:pPr>
    <w:rPr>
      <w:rFonts w:ascii="Arial" w:eastAsia="MS Mincho" w:hAnsi="Arial"/>
      <w:b/>
      <w:szCs w:val="20"/>
      <w:lang w:eastAsia="ja-JP"/>
    </w:rPr>
  </w:style>
  <w:style w:type="character" w:customStyle="1" w:styleId="BlockTextChar">
    <w:name w:val="Block Text Char"/>
    <w:aliases w:val="bk Char"/>
    <w:link w:val="BlockText"/>
    <w:locked/>
    <w:rsid w:val="00F8631B"/>
    <w:rPr>
      <w:rFonts w:ascii="Times New Roman" w:eastAsia="Times New Roman" w:hAnsi="Times New Roman" w:cs="Times New Roman"/>
      <w:color w:val="000000"/>
      <w:spacing w:val="-3"/>
      <w:w w:val="106"/>
      <w:kern w:val="0"/>
      <w:sz w:val="20"/>
      <w:szCs w:val="20"/>
      <w:shd w:val="clear" w:color="auto" w:fill="FFFFFF"/>
      <w:lang w:val="x-none" w:eastAsia="x-none"/>
      <w14:ligatures w14:val="none"/>
    </w:rPr>
  </w:style>
  <w:style w:type="paragraph" w:customStyle="1" w:styleId="CharCharCharCharCharChar2CharCharCharCharCharCharChar">
    <w:name w:val="Char Char Char Char Char Char2 Char Char Char Char Char Char Char"/>
    <w:basedOn w:val="Normal"/>
    <w:rsid w:val="00F8631B"/>
    <w:pPr>
      <w:spacing w:after="160" w:line="240" w:lineRule="exact"/>
    </w:pPr>
    <w:rPr>
      <w:rFonts w:ascii="Verdana" w:eastAsia="MS Mincho" w:hAnsi="Verdana"/>
      <w:sz w:val="20"/>
      <w:szCs w:val="20"/>
    </w:rPr>
  </w:style>
  <w:style w:type="paragraph" w:customStyle="1" w:styleId="Body1">
    <w:name w:val="!Body 1"/>
    <w:basedOn w:val="Normal"/>
    <w:rsid w:val="00F8631B"/>
    <w:pPr>
      <w:spacing w:before="100" w:after="100" w:line="240" w:lineRule="auto"/>
      <w:jc w:val="both"/>
    </w:pPr>
    <w:rPr>
      <w:rFonts w:ascii="Times New Roman" w:eastAsia="MS Mincho" w:hAnsi="Times New Roman"/>
      <w:sz w:val="18"/>
      <w:szCs w:val="20"/>
      <w:lang w:val="en-GB"/>
    </w:rPr>
  </w:style>
  <w:style w:type="paragraph" w:customStyle="1" w:styleId="CharCharChar1CharCharCharCharCharCharCharCharCharCharCharCharCharCharChar1CharCharChar1CharCharChar1Char">
    <w:name w:val="Char Char Char1 Char Char Char Char Char Char Char Char Char Char Char Char Char Char Char1 Char Char Char1 Char Char Char1 Char"/>
    <w:basedOn w:val="Normal"/>
    <w:autoRedefine/>
    <w:rsid w:val="00F8631B"/>
    <w:pPr>
      <w:spacing w:before="60" w:after="160" w:line="240" w:lineRule="exact"/>
    </w:pPr>
    <w:rPr>
      <w:rFonts w:ascii="Trebuchet MS" w:eastAsia="MS Mincho" w:hAnsi="Trebuchet MS"/>
      <w:sz w:val="20"/>
      <w:szCs w:val="20"/>
      <w:lang w:val="en-GB"/>
    </w:rPr>
  </w:style>
  <w:style w:type="paragraph" w:customStyle="1" w:styleId="CharCharCharCharChar1CharCharCharChar">
    <w:name w:val="Char Char Char Char Char1 Char Char Char Char"/>
    <w:basedOn w:val="Normal"/>
    <w:rsid w:val="00F8631B"/>
    <w:pPr>
      <w:spacing w:after="160" w:line="240" w:lineRule="exact"/>
    </w:pPr>
    <w:rPr>
      <w:rFonts w:ascii="Verdana" w:eastAsia="MS Mincho" w:hAnsi="Verdana"/>
      <w:sz w:val="20"/>
      <w:szCs w:val="20"/>
    </w:rPr>
  </w:style>
  <w:style w:type="character" w:styleId="FootnoteReference">
    <w:name w:val="footnote reference"/>
    <w:rsid w:val="00F8631B"/>
    <w:rPr>
      <w:rFonts w:cs="Times New Roman"/>
      <w:vertAlign w:val="superscript"/>
    </w:rPr>
  </w:style>
  <w:style w:type="paragraph" w:customStyle="1" w:styleId="BodyHeading2">
    <w:name w:val="Body Heading2"/>
    <w:basedOn w:val="Normal"/>
    <w:rsid w:val="00F8631B"/>
    <w:pPr>
      <w:suppressAutoHyphens/>
      <w:spacing w:after="120" w:line="240" w:lineRule="auto"/>
      <w:jc w:val="both"/>
    </w:pPr>
    <w:rPr>
      <w:rFonts w:ascii="Helvetica" w:eastAsia="MS Mincho" w:hAnsi="Helvetica"/>
      <w:b/>
      <w:bCs/>
      <w:i/>
      <w:iCs/>
      <w:sz w:val="20"/>
      <w:szCs w:val="20"/>
      <w:lang w:eastAsia="ar-SA"/>
    </w:rPr>
  </w:style>
  <w:style w:type="character" w:customStyle="1" w:styleId="bkCharChar">
    <w:name w:val="bk Char Char"/>
    <w:rsid w:val="00F8631B"/>
    <w:rPr>
      <w:rFonts w:ascii="Arial" w:hAnsi="Arial" w:cs="Arial"/>
      <w:color w:val="000000"/>
      <w:spacing w:val="-5"/>
      <w:sz w:val="21"/>
      <w:szCs w:val="21"/>
      <w:shd w:val="clear" w:color="auto" w:fill="FFFFFF"/>
      <w:lang w:val="en-GB"/>
    </w:rPr>
  </w:style>
  <w:style w:type="paragraph" w:customStyle="1" w:styleId="CharCharCharCharCharCharChar">
    <w:name w:val="Char Char Char Char Char Char Char"/>
    <w:basedOn w:val="Normal"/>
    <w:rsid w:val="00F8631B"/>
    <w:pPr>
      <w:spacing w:after="160" w:line="240" w:lineRule="exact"/>
    </w:pPr>
    <w:rPr>
      <w:rFonts w:ascii="Verdana" w:eastAsia="MS Mincho" w:hAnsi="Verdana"/>
      <w:sz w:val="20"/>
      <w:szCs w:val="20"/>
    </w:rPr>
  </w:style>
  <w:style w:type="paragraph" w:customStyle="1" w:styleId="nrmltxt">
    <w:name w:val="nrmltxt"/>
    <w:basedOn w:val="Normal"/>
    <w:rsid w:val="00F8631B"/>
    <w:pPr>
      <w:spacing w:before="100" w:beforeAutospacing="1" w:after="100" w:afterAutospacing="1" w:line="240" w:lineRule="auto"/>
    </w:pPr>
    <w:rPr>
      <w:rFonts w:ascii="Arial" w:eastAsia="MS Mincho" w:hAnsi="Arial" w:cs="Arial"/>
      <w:color w:val="000000"/>
      <w:sz w:val="18"/>
      <w:szCs w:val="18"/>
      <w:lang w:val="en-GB"/>
    </w:rPr>
  </w:style>
  <w:style w:type="paragraph" w:customStyle="1" w:styleId="CharCharCharCharCharCharCharCharCharChar">
    <w:name w:val="Char Char Char Char Char Char Char Char Char Char"/>
    <w:aliases w:val="Char Char Char Char1,Char Char Char Char11"/>
    <w:basedOn w:val="Normal"/>
    <w:rsid w:val="00F8631B"/>
    <w:pPr>
      <w:spacing w:after="160" w:line="240" w:lineRule="exact"/>
    </w:pPr>
    <w:rPr>
      <w:rFonts w:ascii="Verdana" w:eastAsia="MS Mincho" w:hAnsi="Verdana"/>
      <w:sz w:val="20"/>
      <w:szCs w:val="20"/>
    </w:rPr>
  </w:style>
  <w:style w:type="character" w:customStyle="1" w:styleId="EnvelopeReturnChar">
    <w:name w:val="Envelope Return Char"/>
    <w:link w:val="EnvelopeReturn"/>
    <w:locked/>
    <w:rsid w:val="00F8631B"/>
    <w:rPr>
      <w:b/>
      <w:lang w:val="en-GB"/>
    </w:rPr>
  </w:style>
  <w:style w:type="paragraph" w:customStyle="1" w:styleId="CharCharChar1CharCharCharCharCharCharCharCharCharCharCharCharChar">
    <w:name w:val="Char Char Char1 Char Char Char Char Char Char Char Char Char Char Char Char Char"/>
    <w:basedOn w:val="Normal"/>
    <w:autoRedefine/>
    <w:rsid w:val="00F8631B"/>
    <w:pPr>
      <w:spacing w:before="60" w:after="160" w:line="240" w:lineRule="exact"/>
    </w:pPr>
    <w:rPr>
      <w:rFonts w:ascii="Trebuchet MS" w:eastAsia="MS Mincho" w:hAnsi="Trebuchet MS"/>
      <w:sz w:val="20"/>
      <w:szCs w:val="20"/>
      <w:lang w:val="en-GB"/>
    </w:rPr>
  </w:style>
  <w:style w:type="paragraph" w:customStyle="1" w:styleId="stylebookantiqua10ptjustified">
    <w:name w:val="stylebookantiqua10ptjustified"/>
    <w:basedOn w:val="Normal"/>
    <w:rsid w:val="00F8631B"/>
    <w:pPr>
      <w:spacing w:after="0" w:line="240" w:lineRule="auto"/>
      <w:jc w:val="both"/>
    </w:pPr>
    <w:rPr>
      <w:rFonts w:ascii="Times New Roman" w:hAnsi="Times New Roman"/>
      <w:sz w:val="20"/>
      <w:szCs w:val="20"/>
      <w:lang w:val="en-SG" w:eastAsia="en-SG"/>
    </w:rPr>
  </w:style>
  <w:style w:type="paragraph" w:customStyle="1" w:styleId="styletnr10ptboldjustified1">
    <w:name w:val="styletnr10ptboldjustified1"/>
    <w:basedOn w:val="Normal"/>
    <w:rsid w:val="00F8631B"/>
    <w:pPr>
      <w:spacing w:after="0" w:line="240" w:lineRule="auto"/>
      <w:jc w:val="both"/>
    </w:pPr>
    <w:rPr>
      <w:rFonts w:ascii="Times New Roman" w:hAnsi="Times New Roman"/>
      <w:sz w:val="20"/>
      <w:szCs w:val="20"/>
      <w:lang w:val="en-SG" w:eastAsia="en-SG"/>
    </w:rPr>
  </w:style>
  <w:style w:type="paragraph" w:customStyle="1" w:styleId="StyleBookAntiqua10ptBoldJustified">
    <w:name w:val="Style Book Antiqua 10 pt Bold Justified"/>
    <w:basedOn w:val="Normal"/>
    <w:rsid w:val="00F8631B"/>
    <w:pPr>
      <w:spacing w:after="0" w:line="240" w:lineRule="auto"/>
      <w:jc w:val="both"/>
    </w:pPr>
    <w:rPr>
      <w:rFonts w:ascii="Times New Roman" w:eastAsia="MS Mincho" w:hAnsi="Times New Roman"/>
      <w:b/>
      <w:bCs/>
      <w:sz w:val="20"/>
      <w:szCs w:val="20"/>
      <w:lang w:val="pt-BR"/>
    </w:rPr>
  </w:style>
  <w:style w:type="paragraph" w:customStyle="1" w:styleId="CM69">
    <w:name w:val="CM69"/>
    <w:basedOn w:val="Normal"/>
    <w:next w:val="Normal"/>
    <w:rsid w:val="00F8631B"/>
    <w:pPr>
      <w:widowControl w:val="0"/>
      <w:autoSpaceDE w:val="0"/>
      <w:autoSpaceDN w:val="0"/>
      <w:adjustRightInd w:val="0"/>
      <w:spacing w:after="1643" w:line="240" w:lineRule="auto"/>
    </w:pPr>
    <w:rPr>
      <w:rFonts w:ascii="Zurich Extra Condensed BT" w:eastAsia="MS Mincho" w:hAnsi="Zurich Extra Condensed BT"/>
      <w:sz w:val="24"/>
      <w:szCs w:val="24"/>
    </w:rPr>
  </w:style>
  <w:style w:type="paragraph" w:customStyle="1" w:styleId="Normal10">
    <w:name w:val="Normal +10"/>
    <w:basedOn w:val="Normal"/>
    <w:rsid w:val="00F8631B"/>
    <w:pPr>
      <w:spacing w:after="0" w:line="240" w:lineRule="auto"/>
    </w:pPr>
    <w:rPr>
      <w:rFonts w:ascii="Times New Roman" w:eastAsia="MS Mincho" w:hAnsi="Times New Roman"/>
      <w:i/>
      <w:iCs/>
      <w:w w:val="99"/>
      <w:sz w:val="24"/>
      <w:szCs w:val="24"/>
    </w:rPr>
  </w:style>
  <w:style w:type="paragraph" w:customStyle="1" w:styleId="BodyTextIndentArial">
    <w:name w:val="Body Text Indent + Arial"/>
    <w:aliases w:val="10.5 pt,Left:  0&quot;,Right:  0.02&quot;,Condensed by  0...."/>
    <w:basedOn w:val="Normal"/>
    <w:rsid w:val="00F8631B"/>
    <w:pPr>
      <w:shd w:val="clear" w:color="auto" w:fill="FFFFFF"/>
      <w:spacing w:after="0" w:line="226" w:lineRule="exact"/>
      <w:ind w:left="5"/>
      <w:jc w:val="both"/>
    </w:pPr>
    <w:rPr>
      <w:rFonts w:ascii="Arial" w:eastAsia="MS Mincho" w:hAnsi="Arial" w:cs="Arial"/>
      <w:spacing w:val="-4"/>
      <w:sz w:val="21"/>
      <w:szCs w:val="21"/>
      <w:lang w:val="en-GB"/>
    </w:rPr>
  </w:style>
  <w:style w:type="paragraph" w:styleId="TOC4">
    <w:name w:val="toc 4"/>
    <w:basedOn w:val="Normal"/>
    <w:next w:val="Normal"/>
    <w:autoRedefine/>
    <w:uiPriority w:val="39"/>
    <w:rsid w:val="00F8631B"/>
    <w:pPr>
      <w:tabs>
        <w:tab w:val="left" w:pos="1440"/>
        <w:tab w:val="right" w:leader="dot" w:pos="9019"/>
      </w:tabs>
      <w:spacing w:after="0" w:line="240" w:lineRule="auto"/>
      <w:jc w:val="right"/>
    </w:pPr>
    <w:rPr>
      <w:rFonts w:ascii="Times New Roman" w:eastAsia="MS Mincho" w:hAnsi="Times New Roman"/>
      <w:noProof/>
      <w:sz w:val="20"/>
      <w:szCs w:val="20"/>
    </w:rPr>
  </w:style>
  <w:style w:type="paragraph" w:styleId="ListContinue">
    <w:name w:val="List Continue"/>
    <w:basedOn w:val="Normal"/>
    <w:rsid w:val="00F8631B"/>
    <w:pPr>
      <w:spacing w:after="120" w:line="240" w:lineRule="auto"/>
      <w:ind w:left="360"/>
    </w:pPr>
    <w:rPr>
      <w:rFonts w:ascii="Times New Roman" w:eastAsia="MS Mincho" w:hAnsi="Times New Roman"/>
      <w:sz w:val="24"/>
      <w:szCs w:val="24"/>
    </w:rPr>
  </w:style>
  <w:style w:type="paragraph" w:customStyle="1" w:styleId="bodyChar">
    <w:name w:val="body Char"/>
    <w:link w:val="bodyCharChar"/>
    <w:rsid w:val="00F8631B"/>
    <w:pPr>
      <w:spacing w:before="87" w:after="0" w:line="240" w:lineRule="auto"/>
      <w:jc w:val="both"/>
    </w:pPr>
    <w:rPr>
      <w:rFonts w:ascii="Arial" w:eastAsia="MS Mincho" w:hAnsi="Arial" w:cs="Times New Roman"/>
      <w:color w:val="000000"/>
      <w:kern w:val="0"/>
      <w:sz w:val="20"/>
      <w:szCs w:val="20"/>
      <w14:ligatures w14:val="none"/>
    </w:rPr>
  </w:style>
  <w:style w:type="character" w:customStyle="1" w:styleId="bodyCharChar">
    <w:name w:val="body Char Char"/>
    <w:link w:val="bodyChar"/>
    <w:locked/>
    <w:rsid w:val="00F8631B"/>
    <w:rPr>
      <w:rFonts w:ascii="Arial" w:eastAsia="MS Mincho" w:hAnsi="Arial" w:cs="Times New Roman"/>
      <w:color w:val="000000"/>
      <w:kern w:val="0"/>
      <w:sz w:val="20"/>
      <w:szCs w:val="20"/>
      <w14:ligatures w14:val="none"/>
    </w:rPr>
  </w:style>
  <w:style w:type="paragraph" w:customStyle="1" w:styleId="Normal10ptChar">
    <w:name w:val="Normal+10pt Char"/>
    <w:basedOn w:val="bodyChar"/>
    <w:link w:val="Normal10ptCharChar"/>
    <w:rsid w:val="00F8631B"/>
    <w:pPr>
      <w:spacing w:before="0" w:line="240" w:lineRule="atLeast"/>
      <w:jc w:val="center"/>
    </w:pPr>
    <w:rPr>
      <w:i/>
      <w:lang w:val="x-none" w:eastAsia="x-none"/>
    </w:rPr>
  </w:style>
  <w:style w:type="character" w:customStyle="1" w:styleId="Normal10ptCharChar">
    <w:name w:val="Normal+10pt Char Char"/>
    <w:link w:val="Normal10ptChar"/>
    <w:locked/>
    <w:rsid w:val="00F8631B"/>
    <w:rPr>
      <w:rFonts w:ascii="Arial" w:eastAsia="MS Mincho" w:hAnsi="Arial" w:cs="Times New Roman"/>
      <w:i/>
      <w:color w:val="000000"/>
      <w:kern w:val="0"/>
      <w:sz w:val="20"/>
      <w:szCs w:val="20"/>
      <w:lang w:val="x-none" w:eastAsia="x-none"/>
      <w14:ligatures w14:val="none"/>
    </w:rPr>
  </w:style>
  <w:style w:type="paragraph" w:customStyle="1" w:styleId="ac1">
    <w:name w:val="ac1"/>
    <w:basedOn w:val="Bodytxt"/>
    <w:rsid w:val="00F8631B"/>
    <w:pPr>
      <w:tabs>
        <w:tab w:val="left" w:pos="720"/>
      </w:tabs>
      <w:ind w:left="720" w:hanging="360"/>
    </w:pPr>
    <w:rPr>
      <w:color w:val="auto"/>
    </w:rPr>
  </w:style>
  <w:style w:type="paragraph" w:customStyle="1" w:styleId="ListBullet2a">
    <w:name w:val="List Bullet 2a"/>
    <w:basedOn w:val="ListBullet2"/>
    <w:rsid w:val="00F8631B"/>
    <w:pPr>
      <w:keepNext w:val="0"/>
      <w:keepLines w:val="0"/>
      <w:widowControl/>
      <w:tabs>
        <w:tab w:val="clear" w:pos="720"/>
        <w:tab w:val="clear" w:pos="13160"/>
      </w:tabs>
      <w:suppressAutoHyphens/>
      <w:spacing w:before="120"/>
      <w:ind w:left="0" w:firstLine="0"/>
    </w:pPr>
    <w:rPr>
      <w:rFonts w:ascii="Times New Roman" w:eastAsia="MS Mincho" w:hAnsi="Times New Roman" w:cs="Times New Roman"/>
    </w:rPr>
  </w:style>
  <w:style w:type="paragraph" w:customStyle="1" w:styleId="messageheader">
    <w:name w:val="messageheader"/>
    <w:basedOn w:val="Normal"/>
    <w:rsid w:val="00F8631B"/>
    <w:pPr>
      <w:spacing w:before="100" w:beforeAutospacing="1" w:after="100" w:afterAutospacing="1" w:line="240" w:lineRule="auto"/>
    </w:pPr>
    <w:rPr>
      <w:rFonts w:ascii="Arial Unicode MS" w:eastAsia="Arial Unicode MS" w:hAnsi="Arial Unicode MS" w:cs="Arial Unicode MS"/>
      <w:color w:val="000000"/>
      <w:sz w:val="24"/>
      <w:szCs w:val="24"/>
      <w:lang w:val="en-GB"/>
    </w:rPr>
  </w:style>
  <w:style w:type="paragraph" w:customStyle="1" w:styleId="TxBrp33">
    <w:name w:val="TxBr_p33"/>
    <w:basedOn w:val="Normal"/>
    <w:rsid w:val="00F8631B"/>
    <w:pPr>
      <w:widowControl w:val="0"/>
      <w:tabs>
        <w:tab w:val="left" w:pos="3067"/>
      </w:tabs>
      <w:autoSpaceDE w:val="0"/>
      <w:autoSpaceDN w:val="0"/>
      <w:adjustRightInd w:val="0"/>
      <w:spacing w:after="0" w:line="204" w:lineRule="atLeast"/>
      <w:jc w:val="both"/>
    </w:pPr>
    <w:rPr>
      <w:rFonts w:ascii="Times New Roman" w:eastAsia="MS Mincho" w:hAnsi="Times New Roman"/>
      <w:sz w:val="24"/>
      <w:szCs w:val="24"/>
      <w:lang w:val="en-GB"/>
    </w:rPr>
  </w:style>
  <w:style w:type="paragraph" w:styleId="NormalIndent">
    <w:name w:val="Normal Indent"/>
    <w:basedOn w:val="Normal"/>
    <w:rsid w:val="00F8631B"/>
    <w:pPr>
      <w:spacing w:after="0" w:line="240" w:lineRule="auto"/>
      <w:ind w:left="851"/>
    </w:pPr>
    <w:rPr>
      <w:rFonts w:ascii="Times New Roman" w:eastAsia="SimSun" w:hAnsi="Times New Roman"/>
      <w:sz w:val="21"/>
      <w:szCs w:val="20"/>
      <w:lang w:val="en-GB" w:eastAsia="zh-CN"/>
    </w:rPr>
  </w:style>
  <w:style w:type="paragraph" w:customStyle="1" w:styleId="cn">
    <w:name w:val="cn"/>
    <w:basedOn w:val="Normal"/>
    <w:rsid w:val="00F8631B"/>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bodytext210">
    <w:name w:val="bodytext21"/>
    <w:basedOn w:val="Normal"/>
    <w:rsid w:val="00F8631B"/>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bodytxt0">
    <w:name w:val="bodytxt"/>
    <w:basedOn w:val="Normal"/>
    <w:rsid w:val="00F8631B"/>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boldnormal0">
    <w:name w:val="boldnormal"/>
    <w:basedOn w:val="Normal"/>
    <w:rsid w:val="00F8631B"/>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head">
    <w:name w:val="head"/>
    <w:basedOn w:val="Normal"/>
    <w:rsid w:val="00F8631B"/>
    <w:pPr>
      <w:spacing w:before="115" w:after="0" w:line="240" w:lineRule="auto"/>
      <w:jc w:val="both"/>
    </w:pPr>
    <w:rPr>
      <w:rFonts w:ascii="Arial" w:eastAsia="MS Mincho" w:hAnsi="Arial"/>
      <w:b/>
      <w:sz w:val="20"/>
      <w:szCs w:val="20"/>
    </w:rPr>
  </w:style>
  <w:style w:type="paragraph" w:customStyle="1" w:styleId="TextBullet1">
    <w:name w:val="Text Bullet 1"/>
    <w:basedOn w:val="Normal"/>
    <w:rsid w:val="00F8631B"/>
    <w:pPr>
      <w:tabs>
        <w:tab w:val="num" w:pos="288"/>
        <w:tab w:val="num" w:pos="720"/>
      </w:tabs>
      <w:spacing w:before="120" w:after="0" w:line="240" w:lineRule="auto"/>
      <w:ind w:left="288" w:hanging="288"/>
    </w:pPr>
    <w:rPr>
      <w:rFonts w:ascii="Times New Roman" w:eastAsia="MS Mincho" w:hAnsi="Times New Roman"/>
      <w:szCs w:val="20"/>
    </w:rPr>
  </w:style>
  <w:style w:type="paragraph" w:customStyle="1" w:styleId="riskac">
    <w:name w:val="risk_ac"/>
    <w:basedOn w:val="Normal"/>
    <w:rsid w:val="00F8631B"/>
    <w:pPr>
      <w:tabs>
        <w:tab w:val="left" w:pos="540"/>
      </w:tabs>
      <w:autoSpaceDE w:val="0"/>
      <w:autoSpaceDN w:val="0"/>
      <w:adjustRightInd w:val="0"/>
      <w:spacing w:before="101" w:after="101" w:line="280" w:lineRule="atLeast"/>
      <w:ind w:left="540" w:hanging="540"/>
      <w:jc w:val="both"/>
    </w:pPr>
    <w:rPr>
      <w:rFonts w:ascii="Zurich BT" w:eastAsia="MS Mincho" w:hAnsi="Zurich BT"/>
      <w:sz w:val="20"/>
      <w:szCs w:val="24"/>
    </w:rPr>
  </w:style>
  <w:style w:type="paragraph" w:customStyle="1" w:styleId="05linespaceFortables">
    <w:name w:val="0.5 line space (For tables)"/>
    <w:basedOn w:val="Normal"/>
    <w:next w:val="BodyText"/>
    <w:rsid w:val="00F8631B"/>
    <w:pPr>
      <w:spacing w:after="0" w:line="120" w:lineRule="exact"/>
    </w:pPr>
    <w:rPr>
      <w:rFonts w:ascii="Times New Roman" w:eastAsia="MS Mincho" w:hAnsi="Times New Roman"/>
      <w:szCs w:val="20"/>
      <w:lang w:val="en-GB"/>
    </w:rPr>
  </w:style>
  <w:style w:type="paragraph" w:customStyle="1" w:styleId="13ptheading">
    <w:name w:val="13 pt heading"/>
    <w:basedOn w:val="HeadingsFont"/>
    <w:next w:val="BodyText"/>
    <w:rsid w:val="00F8631B"/>
    <w:pPr>
      <w:spacing w:before="360" w:after="120"/>
    </w:pPr>
    <w:rPr>
      <w:b/>
      <w:sz w:val="26"/>
    </w:rPr>
  </w:style>
  <w:style w:type="paragraph" w:customStyle="1" w:styleId="BoxHeading">
    <w:name w:val="Box Heading"/>
    <w:basedOn w:val="Normal"/>
    <w:rsid w:val="00F8631B"/>
    <w:pPr>
      <w:spacing w:after="0" w:line="280" w:lineRule="atLeast"/>
      <w:jc w:val="center"/>
    </w:pPr>
    <w:rPr>
      <w:rFonts w:ascii="Arial" w:eastAsia="MS Mincho" w:hAnsi="Arial"/>
      <w:b/>
      <w:sz w:val="18"/>
      <w:szCs w:val="20"/>
      <w:lang w:val="en-GB"/>
    </w:rPr>
  </w:style>
  <w:style w:type="paragraph" w:customStyle="1" w:styleId="BoxText">
    <w:name w:val="Box Text"/>
    <w:basedOn w:val="Normal"/>
    <w:rsid w:val="00F8631B"/>
    <w:pPr>
      <w:spacing w:before="80" w:after="0" w:line="240" w:lineRule="atLeast"/>
      <w:jc w:val="both"/>
    </w:pPr>
    <w:rPr>
      <w:rFonts w:ascii="Times New Roman" w:eastAsia="MS Mincho" w:hAnsi="Times New Roman"/>
      <w:sz w:val="18"/>
      <w:szCs w:val="20"/>
      <w:lang w:val="en-GB"/>
    </w:rPr>
  </w:style>
  <w:style w:type="paragraph" w:customStyle="1" w:styleId="Equationcaption">
    <w:name w:val="Equation caption"/>
    <w:basedOn w:val="HeadingsFont"/>
    <w:next w:val="BodyText"/>
    <w:rsid w:val="00F8631B"/>
    <w:pPr>
      <w:tabs>
        <w:tab w:val="left" w:pos="3402"/>
      </w:tabs>
      <w:spacing w:before="240"/>
    </w:pPr>
  </w:style>
  <w:style w:type="paragraph" w:styleId="ListNumber3">
    <w:name w:val="List Number 3"/>
    <w:basedOn w:val="Normal"/>
    <w:rsid w:val="00F8631B"/>
    <w:pPr>
      <w:tabs>
        <w:tab w:val="num" w:pos="900"/>
      </w:tabs>
      <w:spacing w:after="0" w:line="280" w:lineRule="atLeast"/>
      <w:ind w:left="924" w:hanging="357"/>
      <w:jc w:val="both"/>
    </w:pPr>
    <w:rPr>
      <w:rFonts w:ascii="Times New Roman" w:eastAsia="MS Mincho" w:hAnsi="Times New Roman"/>
      <w:szCs w:val="20"/>
      <w:lang w:val="en-GB"/>
    </w:rPr>
  </w:style>
  <w:style w:type="paragraph" w:customStyle="1" w:styleId="ReportHeading1">
    <w:name w:val="ReportHeading1"/>
    <w:basedOn w:val="Normal"/>
    <w:rsid w:val="00F8631B"/>
    <w:pPr>
      <w:spacing w:before="120" w:after="120" w:line="280" w:lineRule="atLeast"/>
      <w:ind w:left="851" w:right="2268"/>
    </w:pPr>
    <w:rPr>
      <w:rFonts w:ascii="LucidaSans" w:eastAsia="MS Mincho" w:hAnsi="LucidaSans"/>
      <w:b/>
      <w:sz w:val="44"/>
      <w:szCs w:val="20"/>
      <w:lang w:val="en-GB"/>
    </w:rPr>
  </w:style>
  <w:style w:type="paragraph" w:customStyle="1" w:styleId="TableFootnote">
    <w:name w:val="Table Footnote"/>
    <w:basedOn w:val="BodyText"/>
    <w:rsid w:val="00F8631B"/>
    <w:pPr>
      <w:spacing w:before="120" w:line="280" w:lineRule="atLeast"/>
      <w:ind w:left="851"/>
      <w:jc w:val="left"/>
    </w:pPr>
    <w:rPr>
      <w:rFonts w:ascii="Times New Roman" w:eastAsia="MS Mincho" w:hAnsi="Times New Roman"/>
      <w:sz w:val="18"/>
      <w:szCs w:val="20"/>
    </w:rPr>
  </w:style>
  <w:style w:type="paragraph" w:customStyle="1" w:styleId="TableSource">
    <w:name w:val="Table Source"/>
    <w:basedOn w:val="BodyText"/>
    <w:next w:val="BodyText"/>
    <w:rsid w:val="00F8631B"/>
    <w:pPr>
      <w:spacing w:before="120" w:line="280" w:lineRule="atLeast"/>
      <w:ind w:left="851"/>
    </w:pPr>
    <w:rPr>
      <w:rFonts w:ascii="Times New Roman" w:eastAsia="MS Mincho" w:hAnsi="Times New Roman"/>
      <w:i/>
      <w:sz w:val="18"/>
      <w:szCs w:val="20"/>
    </w:rPr>
  </w:style>
  <w:style w:type="paragraph" w:customStyle="1" w:styleId="Address">
    <w:name w:val="Address"/>
    <w:basedOn w:val="Normal"/>
    <w:rsid w:val="00F8631B"/>
    <w:pPr>
      <w:widowControl w:val="0"/>
      <w:spacing w:after="0" w:line="280" w:lineRule="atLeast"/>
    </w:pPr>
    <w:rPr>
      <w:rFonts w:ascii="Times New Roman" w:eastAsia="MS Mincho" w:hAnsi="Times New Roman"/>
      <w:color w:val="000080"/>
      <w:sz w:val="20"/>
      <w:szCs w:val="20"/>
      <w:lang w:val="en-GB"/>
    </w:rPr>
  </w:style>
  <w:style w:type="paragraph" w:customStyle="1" w:styleId="formatvorlage1">
    <w:name w:val="formatvorlage1"/>
    <w:basedOn w:val="Normal"/>
    <w:rsid w:val="00F8631B"/>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text1">
    <w:name w:val="text1"/>
    <w:rsid w:val="00F8631B"/>
    <w:rPr>
      <w:rFonts w:cs="Times New Roman"/>
      <w:color w:val="000000"/>
      <w:u w:val="none"/>
      <w:effect w:val="none"/>
    </w:rPr>
  </w:style>
  <w:style w:type="character" w:customStyle="1" w:styleId="goohl0">
    <w:name w:val="goohl0"/>
    <w:rsid w:val="00F8631B"/>
    <w:rPr>
      <w:rFonts w:cs="Times New Roman"/>
    </w:rPr>
  </w:style>
  <w:style w:type="character" w:customStyle="1" w:styleId="goohl1">
    <w:name w:val="goohl1"/>
    <w:rsid w:val="00F8631B"/>
    <w:rPr>
      <w:rFonts w:cs="Times New Roman"/>
    </w:rPr>
  </w:style>
  <w:style w:type="character" w:customStyle="1" w:styleId="goohl2">
    <w:name w:val="goohl2"/>
    <w:rsid w:val="00F8631B"/>
    <w:rPr>
      <w:rFonts w:cs="Times New Roman"/>
    </w:rPr>
  </w:style>
  <w:style w:type="character" w:customStyle="1" w:styleId="goohl3">
    <w:name w:val="goohl3"/>
    <w:rsid w:val="00F8631B"/>
    <w:rPr>
      <w:rFonts w:cs="Times New Roman"/>
    </w:rPr>
  </w:style>
  <w:style w:type="paragraph" w:customStyle="1" w:styleId="TOF1">
    <w:name w:val="TOF1"/>
    <w:rsid w:val="00F8631B"/>
    <w:pPr>
      <w:spacing w:before="120" w:after="120" w:line="240" w:lineRule="auto"/>
      <w:jc w:val="both"/>
    </w:pPr>
    <w:rPr>
      <w:rFonts w:ascii="Times New Roman" w:eastAsia="MS Mincho" w:hAnsi="Times New Roman" w:cs="Times New Roman"/>
      <w:kern w:val="0"/>
      <w:sz w:val="24"/>
      <w:szCs w:val="20"/>
      <w:lang w:val="en-GB"/>
      <w14:ligatures w14:val="none"/>
    </w:rPr>
  </w:style>
  <w:style w:type="character" w:customStyle="1" w:styleId="goohl4">
    <w:name w:val="goohl4"/>
    <w:rsid w:val="00F8631B"/>
    <w:rPr>
      <w:rFonts w:cs="Times New Roman"/>
    </w:rPr>
  </w:style>
  <w:style w:type="character" w:customStyle="1" w:styleId="goohl6">
    <w:name w:val="goohl6"/>
    <w:rsid w:val="00F8631B"/>
    <w:rPr>
      <w:rFonts w:cs="Times New Roman"/>
    </w:rPr>
  </w:style>
  <w:style w:type="character" w:customStyle="1" w:styleId="bold1">
    <w:name w:val="bold1"/>
    <w:rsid w:val="00F8631B"/>
    <w:rPr>
      <w:rFonts w:ascii="Tahoma" w:hAnsi="Tahoma" w:cs="Tahoma"/>
      <w:b/>
      <w:bCs/>
      <w:color w:val="0069B3"/>
      <w:spacing w:val="343"/>
      <w:sz w:val="21"/>
      <w:szCs w:val="21"/>
      <w:u w:val="none"/>
      <w:effect w:val="none"/>
    </w:rPr>
  </w:style>
  <w:style w:type="character" w:customStyle="1" w:styleId="stathighlight1">
    <w:name w:val="stathighlight1"/>
    <w:rsid w:val="00F8631B"/>
    <w:rPr>
      <w:rFonts w:cs="Times New Roman"/>
      <w:shd w:val="clear" w:color="auto" w:fill="FFFF00"/>
    </w:rPr>
  </w:style>
  <w:style w:type="paragraph" w:customStyle="1" w:styleId="boxheading0">
    <w:name w:val="boxheading"/>
    <w:basedOn w:val="Normal"/>
    <w:rsid w:val="00F8631B"/>
    <w:pPr>
      <w:spacing w:before="100" w:beforeAutospacing="1" w:after="100" w:afterAutospacing="1" w:line="240" w:lineRule="auto"/>
    </w:pPr>
    <w:rPr>
      <w:rFonts w:ascii="Arial Unicode MS" w:eastAsia="MS Mincho" w:hAnsi="Arial Unicode MS"/>
      <w:sz w:val="24"/>
      <w:szCs w:val="24"/>
      <w:lang w:val="en-GB"/>
    </w:rPr>
  </w:style>
  <w:style w:type="paragraph" w:styleId="ListContinue2">
    <w:name w:val="List Continue 2"/>
    <w:basedOn w:val="Normal"/>
    <w:rsid w:val="00F8631B"/>
    <w:pPr>
      <w:spacing w:after="120" w:line="240" w:lineRule="auto"/>
      <w:ind w:left="720"/>
    </w:pPr>
    <w:rPr>
      <w:rFonts w:ascii="Times New Roman" w:eastAsia="MS Mincho" w:hAnsi="Times New Roman"/>
      <w:sz w:val="20"/>
      <w:szCs w:val="20"/>
    </w:rPr>
  </w:style>
  <w:style w:type="character" w:customStyle="1" w:styleId="BodyText30">
    <w:name w:val="Body Text3"/>
    <w:aliases w:val="Body Text Char13,Body Text Char Char3,Body Text Char1 Char Char3,Body Text Char Char Char Char3,Body Text Char1 Char Char Char Char3,Body Text Char Char Char Char Char Char3,Body Text Char1 Char Char Char Char Char Char3,bt Char3,heading31"/>
    <w:rsid w:val="00F8631B"/>
    <w:rPr>
      <w:rFonts w:cs="Times New Roman"/>
      <w:sz w:val="22"/>
      <w:lang w:val="en-GB" w:eastAsia="en-US" w:bidi="ar-SA"/>
    </w:rPr>
  </w:style>
  <w:style w:type="character" w:customStyle="1" w:styleId="BodyText20">
    <w:name w:val="Body Text2"/>
    <w:aliases w:val="Body Text Char12,Body Text Char Char2,Body Text Char1 Char Char2,Body Text Char Char Char Char2,Body Text Char1 Char Char Char Char2,Body Text Char Char Char Char Char Char2,Body Text Char1 Char Char Char Char Char Char2,bt Char2"/>
    <w:rsid w:val="00F8631B"/>
    <w:rPr>
      <w:rFonts w:cs="Times New Roman"/>
      <w:sz w:val="22"/>
      <w:lang w:val="en-GB" w:eastAsia="en-US" w:bidi="ar-SA"/>
    </w:rPr>
  </w:style>
  <w:style w:type="character" w:customStyle="1" w:styleId="HeadingsFontChar">
    <w:name w:val="Headings Font Char"/>
    <w:rsid w:val="00F8631B"/>
    <w:rPr>
      <w:rFonts w:ascii="Arial" w:hAnsi="Arial" w:cs="Times New Roman"/>
      <w:sz w:val="22"/>
      <w:lang w:val="en-GB" w:eastAsia="en-US" w:bidi="ar-SA"/>
    </w:rPr>
  </w:style>
  <w:style w:type="character" w:customStyle="1" w:styleId="Heading11">
    <w:name w:val="Heading 11"/>
    <w:aliases w:val="Section1,Section Heading1,Article Heading1,HEADING 11,App11,EASI 11,Hoofdstuk1,Heading 1-nonum1,D&amp;M1,D&amp;M 11,. (1.0) Char Char"/>
    <w:rsid w:val="00F8631B"/>
    <w:rPr>
      <w:rFonts w:ascii="Arial" w:hAnsi="Arial" w:cs="Times New Roman"/>
      <w:b/>
      <w:sz w:val="26"/>
      <w:lang w:val="en-GB" w:eastAsia="en-US" w:bidi="ar-SA"/>
    </w:rPr>
  </w:style>
  <w:style w:type="paragraph" w:customStyle="1" w:styleId="TableColHead">
    <w:name w:val="Table Col Head"/>
    <w:basedOn w:val="Normal"/>
    <w:rsid w:val="00F8631B"/>
    <w:pPr>
      <w:keepNext/>
      <w:spacing w:before="40" w:after="0" w:line="200" w:lineRule="exact"/>
      <w:jc w:val="right"/>
    </w:pPr>
    <w:rPr>
      <w:rFonts w:ascii="Arial" w:eastAsia="MS Mincho" w:hAnsi="Arial" w:cs="Arial"/>
      <w:b/>
      <w:bCs/>
      <w:color w:val="000000"/>
      <w:sz w:val="16"/>
      <w:szCs w:val="16"/>
    </w:rPr>
  </w:style>
  <w:style w:type="paragraph" w:customStyle="1" w:styleId="SourceTextSidebySide">
    <w:name w:val="Source Text Side by Side"/>
    <w:basedOn w:val="Normal"/>
    <w:rsid w:val="00F8631B"/>
    <w:pPr>
      <w:spacing w:before="40" w:after="0" w:line="140" w:lineRule="exact"/>
    </w:pPr>
    <w:rPr>
      <w:rFonts w:ascii="Arial" w:eastAsia="MS Mincho" w:hAnsi="Arial" w:cs="Arial"/>
      <w:color w:val="000000"/>
      <w:sz w:val="12"/>
      <w:szCs w:val="12"/>
    </w:rPr>
  </w:style>
  <w:style w:type="character" w:customStyle="1" w:styleId="txt1">
    <w:name w:val="txt1"/>
    <w:rsid w:val="00F8631B"/>
    <w:rPr>
      <w:rFonts w:ascii="Arial" w:hAnsi="Arial" w:cs="Arial"/>
      <w:color w:val="000000"/>
      <w:sz w:val="17"/>
      <w:szCs w:val="17"/>
    </w:rPr>
  </w:style>
  <w:style w:type="character" w:customStyle="1" w:styleId="xl45265061212111">
    <w:name w:val="xl45265061212111"/>
    <w:rsid w:val="00F8631B"/>
    <w:rPr>
      <w:rFonts w:ascii="Arial" w:hAnsi="Arial" w:cs="Arial"/>
      <w:b/>
      <w:bCs/>
      <w:color w:val="auto"/>
      <w:sz w:val="36"/>
      <w:szCs w:val="36"/>
      <w:u w:val="none"/>
      <w:effect w:val="none"/>
    </w:rPr>
  </w:style>
  <w:style w:type="paragraph" w:customStyle="1" w:styleId="TxBrp36">
    <w:name w:val="TxBr_p36"/>
    <w:basedOn w:val="Normal"/>
    <w:rsid w:val="00F8631B"/>
    <w:pPr>
      <w:widowControl w:val="0"/>
      <w:autoSpaceDE w:val="0"/>
      <w:autoSpaceDN w:val="0"/>
      <w:adjustRightInd w:val="0"/>
      <w:spacing w:after="0" w:line="226" w:lineRule="atLeast"/>
      <w:jc w:val="both"/>
    </w:pPr>
    <w:rPr>
      <w:rFonts w:ascii="Times New Roman" w:eastAsia="MS Mincho" w:hAnsi="Times New Roman"/>
      <w:sz w:val="24"/>
      <w:szCs w:val="24"/>
    </w:rPr>
  </w:style>
  <w:style w:type="paragraph" w:styleId="TOC1">
    <w:name w:val="toc 1"/>
    <w:basedOn w:val="Normal"/>
    <w:next w:val="Normal"/>
    <w:autoRedefine/>
    <w:uiPriority w:val="39"/>
    <w:rsid w:val="00F8631B"/>
    <w:pPr>
      <w:spacing w:after="0" w:line="240" w:lineRule="auto"/>
    </w:pPr>
    <w:rPr>
      <w:rFonts w:ascii="Book Antiqua" w:eastAsia="MS Mincho" w:hAnsi="Book Antiqua"/>
      <w:sz w:val="20"/>
      <w:szCs w:val="24"/>
    </w:rPr>
  </w:style>
  <w:style w:type="paragraph" w:styleId="TOC3">
    <w:name w:val="toc 3"/>
    <w:basedOn w:val="Normal"/>
    <w:next w:val="Normal"/>
    <w:autoRedefine/>
    <w:uiPriority w:val="39"/>
    <w:rsid w:val="00F8631B"/>
    <w:pPr>
      <w:spacing w:after="0" w:line="240" w:lineRule="auto"/>
      <w:ind w:left="400"/>
    </w:pPr>
    <w:rPr>
      <w:rFonts w:ascii="Book Antiqua" w:eastAsia="MS Mincho" w:hAnsi="Book Antiqua"/>
      <w:sz w:val="20"/>
      <w:szCs w:val="24"/>
    </w:rPr>
  </w:style>
  <w:style w:type="paragraph" w:styleId="TOC5">
    <w:name w:val="toc 5"/>
    <w:basedOn w:val="Normal"/>
    <w:next w:val="Normal"/>
    <w:autoRedefine/>
    <w:uiPriority w:val="39"/>
    <w:rsid w:val="00F8631B"/>
    <w:pPr>
      <w:spacing w:after="0" w:line="240" w:lineRule="auto"/>
      <w:ind w:left="800"/>
    </w:pPr>
    <w:rPr>
      <w:rFonts w:ascii="Book Antiqua" w:eastAsia="MS Mincho" w:hAnsi="Book Antiqua"/>
      <w:sz w:val="20"/>
      <w:szCs w:val="24"/>
    </w:rPr>
  </w:style>
  <w:style w:type="paragraph" w:styleId="TOC6">
    <w:name w:val="toc 6"/>
    <w:basedOn w:val="Normal"/>
    <w:next w:val="Normal"/>
    <w:autoRedefine/>
    <w:uiPriority w:val="39"/>
    <w:rsid w:val="00F8631B"/>
    <w:pPr>
      <w:spacing w:after="0" w:line="240" w:lineRule="auto"/>
      <w:ind w:left="1000"/>
    </w:pPr>
    <w:rPr>
      <w:rFonts w:ascii="Book Antiqua" w:eastAsia="MS Mincho" w:hAnsi="Book Antiqua"/>
      <w:sz w:val="20"/>
      <w:szCs w:val="24"/>
    </w:rPr>
  </w:style>
  <w:style w:type="paragraph" w:styleId="TOC7">
    <w:name w:val="toc 7"/>
    <w:basedOn w:val="Normal"/>
    <w:next w:val="Normal"/>
    <w:autoRedefine/>
    <w:uiPriority w:val="39"/>
    <w:rsid w:val="00F8631B"/>
    <w:pPr>
      <w:spacing w:after="0" w:line="240" w:lineRule="auto"/>
      <w:ind w:left="1200"/>
    </w:pPr>
    <w:rPr>
      <w:rFonts w:ascii="Book Antiqua" w:eastAsia="MS Mincho" w:hAnsi="Book Antiqua"/>
      <w:sz w:val="20"/>
      <w:szCs w:val="24"/>
    </w:rPr>
  </w:style>
  <w:style w:type="paragraph" w:styleId="TOC8">
    <w:name w:val="toc 8"/>
    <w:basedOn w:val="Normal"/>
    <w:next w:val="Normal"/>
    <w:autoRedefine/>
    <w:uiPriority w:val="39"/>
    <w:rsid w:val="00F8631B"/>
    <w:pPr>
      <w:spacing w:after="0" w:line="240" w:lineRule="auto"/>
      <w:ind w:left="1400"/>
    </w:pPr>
    <w:rPr>
      <w:rFonts w:ascii="Book Antiqua" w:eastAsia="MS Mincho" w:hAnsi="Book Antiqua"/>
      <w:sz w:val="20"/>
      <w:szCs w:val="24"/>
    </w:rPr>
  </w:style>
  <w:style w:type="paragraph" w:styleId="TOC9">
    <w:name w:val="toc 9"/>
    <w:basedOn w:val="Normal"/>
    <w:next w:val="Normal"/>
    <w:autoRedefine/>
    <w:uiPriority w:val="39"/>
    <w:rsid w:val="00F8631B"/>
    <w:pPr>
      <w:spacing w:after="0" w:line="240" w:lineRule="auto"/>
      <w:ind w:left="1600"/>
    </w:pPr>
    <w:rPr>
      <w:rFonts w:ascii="Book Antiqua" w:eastAsia="MS Mincho" w:hAnsi="Book Antiqua"/>
      <w:sz w:val="20"/>
      <w:szCs w:val="24"/>
    </w:rPr>
  </w:style>
  <w:style w:type="paragraph" w:customStyle="1" w:styleId="SubHead">
    <w:name w:val="!Sub_Head"/>
    <w:basedOn w:val="Default"/>
    <w:next w:val="Default"/>
    <w:rsid w:val="00F8631B"/>
    <w:rPr>
      <w:rFonts w:eastAsia="MS Mincho"/>
      <w:color w:val="auto"/>
    </w:rPr>
  </w:style>
  <w:style w:type="paragraph" w:customStyle="1" w:styleId="Level1">
    <w:name w:val="Level 1"/>
    <w:basedOn w:val="Normal"/>
    <w:next w:val="Normal"/>
    <w:rsid w:val="00F8631B"/>
    <w:pPr>
      <w:keepNext/>
      <w:tabs>
        <w:tab w:val="num" w:pos="680"/>
      </w:tabs>
      <w:spacing w:before="140" w:after="140" w:line="290" w:lineRule="auto"/>
      <w:ind w:left="680" w:hanging="680"/>
      <w:jc w:val="both"/>
      <w:outlineLvl w:val="0"/>
    </w:pPr>
    <w:rPr>
      <w:rFonts w:ascii="Arial" w:eastAsia="MS Mincho" w:hAnsi="Arial"/>
      <w:b/>
      <w:kern w:val="20"/>
      <w:szCs w:val="20"/>
      <w:lang w:val="en-IN"/>
    </w:rPr>
  </w:style>
  <w:style w:type="paragraph" w:customStyle="1" w:styleId="n">
    <w:name w:val="n"/>
    <w:basedOn w:val="Heading1"/>
    <w:link w:val="nChar"/>
    <w:rsid w:val="00F8631B"/>
    <w:pPr>
      <w:keepNext/>
      <w:suppressAutoHyphens w:val="0"/>
      <w:autoSpaceDE/>
      <w:autoSpaceDN/>
      <w:adjustRightInd/>
      <w:spacing w:before="0" w:line="240" w:lineRule="auto"/>
      <w:jc w:val="both"/>
      <w:textAlignment w:val="auto"/>
    </w:pPr>
    <w:rPr>
      <w:rFonts w:ascii="Arial" w:eastAsia="MS Mincho" w:hAnsi="Arial"/>
      <w:bCs w:val="0"/>
      <w:color w:val="auto"/>
      <w:sz w:val="20"/>
      <w:szCs w:val="20"/>
    </w:rPr>
  </w:style>
  <w:style w:type="character" w:customStyle="1" w:styleId="nChar">
    <w:name w:val="n Char"/>
    <w:link w:val="n"/>
    <w:locked/>
    <w:rsid w:val="00F8631B"/>
    <w:rPr>
      <w:rFonts w:ascii="Arial" w:eastAsia="MS Mincho" w:hAnsi="Arial" w:cs="Times New Roman"/>
      <w:b/>
      <w:kern w:val="0"/>
      <w:sz w:val="20"/>
      <w:szCs w:val="20"/>
      <w:lang w:val="x-none" w:eastAsia="x-none"/>
      <w14:ligatures w14:val="none"/>
    </w:rPr>
  </w:style>
  <w:style w:type="character" w:customStyle="1" w:styleId="redtext1">
    <w:name w:val="redtext1"/>
    <w:rsid w:val="00F8631B"/>
    <w:rPr>
      <w:rFonts w:ascii="Tahoma" w:hAnsi="Tahoma" w:cs="Tahoma"/>
      <w:b/>
      <w:bCs/>
      <w:color w:val="8F0C0C"/>
      <w:sz w:val="15"/>
      <w:szCs w:val="15"/>
    </w:rPr>
  </w:style>
  <w:style w:type="paragraph" w:customStyle="1" w:styleId="defaultparagraph-1">
    <w:name w:val="defaultparagraph-1"/>
    <w:basedOn w:val="Normal"/>
    <w:rsid w:val="00F8631B"/>
    <w:pPr>
      <w:spacing w:before="100" w:beforeAutospacing="1" w:after="100" w:afterAutospacing="1" w:line="240" w:lineRule="auto"/>
      <w:jc w:val="both"/>
    </w:pPr>
    <w:rPr>
      <w:rFonts w:ascii="Times New Roman" w:eastAsia="MS Mincho" w:hAnsi="Times New Roman"/>
      <w:color w:val="000000"/>
      <w:sz w:val="24"/>
      <w:szCs w:val="24"/>
    </w:rPr>
  </w:style>
  <w:style w:type="paragraph" w:customStyle="1" w:styleId="label4">
    <w:name w:val="label4"/>
    <w:basedOn w:val="Normal"/>
    <w:rsid w:val="00F8631B"/>
    <w:pPr>
      <w:shd w:val="clear" w:color="auto" w:fill="FFFFFF"/>
      <w:spacing w:before="75" w:after="90" w:line="240" w:lineRule="auto"/>
      <w:ind w:right="150"/>
    </w:pPr>
    <w:rPr>
      <w:rFonts w:ascii="Times New Roman" w:eastAsia="MS Mincho" w:hAnsi="Times New Roman"/>
      <w:sz w:val="18"/>
      <w:szCs w:val="18"/>
    </w:rPr>
  </w:style>
  <w:style w:type="paragraph" w:customStyle="1" w:styleId="intpagetext">
    <w:name w:val="int_page_text"/>
    <w:basedOn w:val="Normal"/>
    <w:rsid w:val="00F8631B"/>
    <w:pPr>
      <w:spacing w:before="100" w:beforeAutospacing="1" w:after="100" w:afterAutospacing="1" w:line="300" w:lineRule="atLeast"/>
    </w:pPr>
    <w:rPr>
      <w:rFonts w:ascii="Arial" w:eastAsia="MS Mincho" w:hAnsi="Arial" w:cs="Arial"/>
      <w:color w:val="545454"/>
      <w:sz w:val="18"/>
      <w:szCs w:val="18"/>
    </w:rPr>
  </w:style>
  <w:style w:type="character" w:customStyle="1" w:styleId="A4">
    <w:name w:val="A4"/>
    <w:uiPriority w:val="99"/>
    <w:rsid w:val="00F8631B"/>
    <w:rPr>
      <w:rFonts w:ascii="UWHHHJ+Helvetica" w:hAnsi="UWHHHJ+Helvetica"/>
      <w:color w:val="000000"/>
      <w:sz w:val="18"/>
    </w:rPr>
  </w:style>
  <w:style w:type="paragraph" w:customStyle="1" w:styleId="CharCharCharCharCharCharCharCharCharCharCharCharCharCharChar1CharCharCharCharCharCharCharCharCharCharCharCharCharCharCharCharCharCharCharCharCharCharCharCharChar">
    <w:name w:val="Char Char Char Char Char Char Char Char Char Char Char Char Char Char Char1 Char Char Char Char Char Char Char Char Char Char Char Char Char Char Char Char Char Char Char Char Char Char Char Char Char"/>
    <w:basedOn w:val="Normal"/>
    <w:rsid w:val="00F8631B"/>
    <w:pPr>
      <w:spacing w:after="160" w:line="240" w:lineRule="exact"/>
    </w:pPr>
    <w:rPr>
      <w:rFonts w:ascii="Verdana" w:eastAsia="MS Mincho" w:hAnsi="Verdana"/>
      <w:sz w:val="20"/>
      <w:szCs w:val="20"/>
    </w:rPr>
  </w:style>
  <w:style w:type="paragraph" w:customStyle="1" w:styleId="tab1">
    <w:name w:val="tab1"/>
    <w:basedOn w:val="Normal"/>
    <w:next w:val="Normal"/>
    <w:rsid w:val="00F8631B"/>
    <w:pPr>
      <w:tabs>
        <w:tab w:val="left" w:pos="720"/>
        <w:tab w:val="left" w:pos="1440"/>
      </w:tabs>
      <w:autoSpaceDE w:val="0"/>
      <w:autoSpaceDN w:val="0"/>
      <w:adjustRightInd w:val="0"/>
      <w:spacing w:after="216" w:line="240" w:lineRule="auto"/>
      <w:ind w:left="1440" w:hanging="1440"/>
      <w:jc w:val="both"/>
    </w:pPr>
    <w:rPr>
      <w:rFonts w:ascii="Helvetica" w:eastAsia="MS Mincho" w:hAnsi="Helvetica"/>
      <w:noProof/>
      <w:spacing w:val="15"/>
      <w:sz w:val="20"/>
      <w:szCs w:val="20"/>
      <w:lang w:val="en-IN"/>
    </w:rPr>
  </w:style>
  <w:style w:type="paragraph" w:customStyle="1" w:styleId="tab">
    <w:name w:val="tab"/>
    <w:basedOn w:val="Normal"/>
    <w:next w:val="Normal"/>
    <w:rsid w:val="00F8631B"/>
    <w:pPr>
      <w:tabs>
        <w:tab w:val="left" w:pos="720"/>
      </w:tabs>
      <w:autoSpaceDE w:val="0"/>
      <w:autoSpaceDN w:val="0"/>
      <w:adjustRightInd w:val="0"/>
      <w:spacing w:after="216" w:line="240" w:lineRule="auto"/>
      <w:ind w:left="720" w:hanging="720"/>
      <w:jc w:val="both"/>
    </w:pPr>
    <w:rPr>
      <w:rFonts w:ascii="Helvetica" w:eastAsia="MS Mincho" w:hAnsi="Helvetica"/>
      <w:noProof/>
      <w:spacing w:val="15"/>
      <w:sz w:val="20"/>
      <w:szCs w:val="20"/>
      <w:lang w:val="en-IN"/>
    </w:rPr>
  </w:style>
  <w:style w:type="paragraph" w:customStyle="1" w:styleId="tab2">
    <w:name w:val="tab2"/>
    <w:basedOn w:val="tab1"/>
    <w:next w:val="tab1"/>
    <w:rsid w:val="00F8631B"/>
    <w:pPr>
      <w:tabs>
        <w:tab w:val="left" w:pos="2160"/>
      </w:tabs>
      <w:ind w:left="2160" w:hanging="2160"/>
    </w:pPr>
  </w:style>
  <w:style w:type="paragraph" w:customStyle="1" w:styleId="BodyText4">
    <w:name w:val="Body Text4"/>
    <w:rsid w:val="00F8631B"/>
    <w:pPr>
      <w:autoSpaceDE w:val="0"/>
      <w:autoSpaceDN w:val="0"/>
      <w:adjustRightInd w:val="0"/>
      <w:spacing w:after="0" w:line="240" w:lineRule="auto"/>
      <w:ind w:firstLine="480"/>
    </w:pPr>
    <w:rPr>
      <w:rFonts w:ascii="Arial" w:eastAsia="MS Mincho" w:hAnsi="Arial" w:cs="Times New Roman"/>
      <w:color w:val="000000"/>
      <w:kern w:val="0"/>
      <w:sz w:val="20"/>
      <w:szCs w:val="24"/>
      <w14:ligatures w14:val="none"/>
    </w:rPr>
  </w:style>
  <w:style w:type="paragraph" w:customStyle="1" w:styleId="WW-Default">
    <w:name w:val="WW-Default"/>
    <w:rsid w:val="00F8631B"/>
    <w:pPr>
      <w:suppressAutoHyphens/>
      <w:autoSpaceDE w:val="0"/>
      <w:spacing w:after="0" w:line="240" w:lineRule="auto"/>
    </w:pPr>
    <w:rPr>
      <w:rFonts w:ascii="Century Gothic" w:eastAsia="MS Mincho" w:hAnsi="Century Gothic" w:cs="Calibri"/>
      <w:color w:val="000000"/>
      <w:kern w:val="0"/>
      <w:sz w:val="24"/>
      <w:szCs w:val="24"/>
      <w:lang w:eastAsia="ar-SA"/>
      <w14:ligatures w14:val="none"/>
    </w:rPr>
  </w:style>
  <w:style w:type="paragraph" w:customStyle="1" w:styleId="CharCharChar1CharCharCharCharCharCharCharCharCharCharCharCharChar2">
    <w:name w:val="Char Char Char1 Char Char Char Char Char Char Char Char Char Char Char Char Char2"/>
    <w:basedOn w:val="Normal"/>
    <w:autoRedefine/>
    <w:rsid w:val="00F8631B"/>
    <w:pPr>
      <w:spacing w:before="60" w:after="160" w:line="240" w:lineRule="exact"/>
    </w:pPr>
    <w:rPr>
      <w:rFonts w:ascii="Trebuchet MS" w:eastAsia="MS Mincho" w:hAnsi="Trebuchet MS"/>
      <w:sz w:val="20"/>
      <w:szCs w:val="20"/>
      <w:lang w:val="en-GB"/>
    </w:rPr>
  </w:style>
  <w:style w:type="character" w:customStyle="1" w:styleId="CharChar9">
    <w:name w:val="Char Char9"/>
    <w:semiHidden/>
    <w:rsid w:val="00F8631B"/>
    <w:rPr>
      <w:rFonts w:cs="Times New Roman"/>
      <w:lang w:val="en-GB" w:eastAsia="en-US" w:bidi="ar-SA"/>
    </w:rPr>
  </w:style>
  <w:style w:type="paragraph" w:customStyle="1" w:styleId="msolistparagraph0">
    <w:name w:val="msolistparagraph"/>
    <w:basedOn w:val="Normal"/>
    <w:rsid w:val="00F8631B"/>
    <w:pPr>
      <w:spacing w:before="100" w:beforeAutospacing="1" w:after="100" w:afterAutospacing="1" w:line="240" w:lineRule="auto"/>
    </w:pPr>
    <w:rPr>
      <w:rFonts w:ascii="Times New Roman" w:eastAsia="MS Mincho" w:hAnsi="Times New Roman"/>
      <w:sz w:val="24"/>
      <w:szCs w:val="24"/>
      <w:lang w:bidi="hi-IN"/>
    </w:rPr>
  </w:style>
  <w:style w:type="paragraph" w:customStyle="1" w:styleId="msolistparagraphcxspmiddle">
    <w:name w:val="msolistparagraphcxspmiddle"/>
    <w:basedOn w:val="Normal"/>
    <w:rsid w:val="00F8631B"/>
    <w:pPr>
      <w:spacing w:before="100" w:beforeAutospacing="1" w:after="100" w:afterAutospacing="1" w:line="240" w:lineRule="auto"/>
    </w:pPr>
    <w:rPr>
      <w:rFonts w:ascii="Times New Roman" w:eastAsia="MS Mincho" w:hAnsi="Times New Roman"/>
      <w:sz w:val="24"/>
      <w:szCs w:val="24"/>
      <w:lang w:bidi="hi-IN"/>
    </w:rPr>
  </w:style>
  <w:style w:type="paragraph" w:customStyle="1" w:styleId="msolistparagraphcxsplast">
    <w:name w:val="msolistparagraphcxsplast"/>
    <w:basedOn w:val="Normal"/>
    <w:rsid w:val="00F8631B"/>
    <w:pPr>
      <w:spacing w:before="100" w:beforeAutospacing="1" w:after="100" w:afterAutospacing="1" w:line="240" w:lineRule="auto"/>
    </w:pPr>
    <w:rPr>
      <w:rFonts w:ascii="Times New Roman" w:eastAsia="MS Mincho" w:hAnsi="Times New Roman"/>
      <w:sz w:val="24"/>
      <w:szCs w:val="24"/>
      <w:lang w:bidi="hi-IN"/>
    </w:rPr>
  </w:style>
  <w:style w:type="table" w:styleId="TableClassic3">
    <w:name w:val="Table Classic 3"/>
    <w:basedOn w:val="TableNormal"/>
    <w:rsid w:val="00F8631B"/>
    <w:pPr>
      <w:spacing w:after="0" w:line="240" w:lineRule="auto"/>
    </w:pPr>
    <w:rPr>
      <w:rFonts w:ascii="Times New Roman" w:eastAsia="MS Mincho" w:hAnsi="Times New Roman" w:cs="Times New Roman"/>
      <w:color w:val="000080"/>
      <w:kern w:val="0"/>
      <w:sz w:val="20"/>
      <w:szCs w:val="20"/>
      <w:lang w:val="en-IN" w:eastAsia="en-IN"/>
      <w14:ligatures w14:val="non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3Deffects1">
    <w:name w:val="Table 3D effects 1"/>
    <w:basedOn w:val="TableNormal"/>
    <w:rsid w:val="00F8631B"/>
    <w:pPr>
      <w:spacing w:after="0" w:line="240" w:lineRule="auto"/>
    </w:pPr>
    <w:rPr>
      <w:rFonts w:ascii="Times New Roman" w:eastAsia="MS Mincho" w:hAnsi="Times New Roman" w:cs="Times New Roman"/>
      <w:kern w:val="0"/>
      <w:sz w:val="20"/>
      <w:szCs w:val="20"/>
      <w:lang w:val="en-IN" w:eastAsia="en-IN"/>
      <w14:ligatures w14:val="none"/>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BodyTextFirstIndent2Char1">
    <w:name w:val="Body Text First Indent 2 Char1"/>
    <w:link w:val="BodyTextFirstIndent2"/>
    <w:locked/>
    <w:rsid w:val="00F8631B"/>
    <w:rPr>
      <w:rFonts w:ascii="Times New Roman" w:eastAsia="MS Mincho" w:hAnsi="Times New Roman" w:cs="Times New Roman"/>
      <w:kern w:val="0"/>
      <w:sz w:val="24"/>
      <w:szCs w:val="24"/>
      <w:lang w:val="x-none" w:eastAsia="x-none"/>
      <w14:ligatures w14:val="none"/>
    </w:rPr>
  </w:style>
  <w:style w:type="paragraph" w:customStyle="1" w:styleId="default0">
    <w:name w:val="default"/>
    <w:basedOn w:val="Normal"/>
    <w:rsid w:val="00F8631B"/>
    <w:pPr>
      <w:spacing w:before="100" w:beforeAutospacing="1" w:after="100" w:afterAutospacing="1" w:line="240" w:lineRule="auto"/>
    </w:pPr>
    <w:rPr>
      <w:rFonts w:ascii="Times New Roman" w:eastAsia="MS Mincho" w:hAnsi="Times New Roman"/>
      <w:sz w:val="24"/>
      <w:szCs w:val="24"/>
      <w:lang w:bidi="hi-IN"/>
    </w:rPr>
  </w:style>
  <w:style w:type="paragraph" w:customStyle="1" w:styleId="ww-default0">
    <w:name w:val="ww-default"/>
    <w:basedOn w:val="Normal"/>
    <w:rsid w:val="00F8631B"/>
    <w:pPr>
      <w:spacing w:before="100" w:beforeAutospacing="1" w:after="100" w:afterAutospacing="1" w:line="240" w:lineRule="auto"/>
    </w:pPr>
    <w:rPr>
      <w:rFonts w:ascii="Times New Roman" w:eastAsia="MS Mincho" w:hAnsi="Times New Roman"/>
      <w:sz w:val="24"/>
      <w:szCs w:val="24"/>
      <w:lang w:bidi="hi-IN"/>
    </w:rPr>
  </w:style>
  <w:style w:type="paragraph" w:customStyle="1" w:styleId="table">
    <w:name w:val="table"/>
    <w:basedOn w:val="Normal"/>
    <w:rsid w:val="00F8631B"/>
    <w:pPr>
      <w:spacing w:before="40" w:after="40" w:line="240" w:lineRule="exact"/>
    </w:pPr>
    <w:rPr>
      <w:rFonts w:ascii="Arial" w:eastAsia="STKaiti" w:hAnsi="Arial" w:cs="Arial"/>
      <w:sz w:val="16"/>
      <w:szCs w:val="20"/>
      <w:lang w:val="en-GB" w:eastAsia="zh-CN"/>
    </w:rPr>
  </w:style>
  <w:style w:type="paragraph" w:customStyle="1" w:styleId="CharCharChar1CharCharCharCharCharCharCharCharCharCharCharCharCharCharCharCharCharCharChar">
    <w:name w:val="Char Char Char1 Char Char Char Char Char Char Char Char Char Char Char Char Char Char Char Char Char Char Char"/>
    <w:basedOn w:val="Normal"/>
    <w:autoRedefine/>
    <w:rsid w:val="00F8631B"/>
    <w:pPr>
      <w:spacing w:before="60" w:after="160" w:line="240" w:lineRule="exact"/>
    </w:pPr>
    <w:rPr>
      <w:rFonts w:ascii="Trebuchet MS" w:eastAsia="MS Mincho" w:hAnsi="Trebuchet MS"/>
      <w:sz w:val="20"/>
      <w:szCs w:val="20"/>
      <w:lang w:val="en-GB"/>
    </w:rPr>
  </w:style>
  <w:style w:type="paragraph" w:customStyle="1" w:styleId="Style2">
    <w:name w:val="Style2"/>
    <w:basedOn w:val="Normal"/>
    <w:rsid w:val="00F8631B"/>
    <w:pPr>
      <w:numPr>
        <w:numId w:val="58"/>
      </w:numPr>
      <w:autoSpaceDE w:val="0"/>
      <w:autoSpaceDN w:val="0"/>
      <w:adjustRightInd w:val="0"/>
      <w:spacing w:after="0" w:line="300" w:lineRule="atLeast"/>
      <w:jc w:val="center"/>
    </w:pPr>
    <w:rPr>
      <w:rFonts w:ascii="Tahoma" w:eastAsia="MS Mincho" w:hAnsi="Tahoma" w:cs="Tahoma"/>
      <w:b/>
      <w:bCs/>
      <w:caps/>
      <w:sz w:val="20"/>
      <w:szCs w:val="20"/>
      <w:lang w:val="en-GB"/>
    </w:rPr>
  </w:style>
  <w:style w:type="character" w:customStyle="1" w:styleId="nchar0">
    <w:name w:val="nchar"/>
    <w:rsid w:val="00F8631B"/>
    <w:rPr>
      <w:rFonts w:cs="Times New Roman"/>
    </w:rPr>
  </w:style>
  <w:style w:type="paragraph" w:customStyle="1" w:styleId="SchLevel1">
    <w:name w:val="SchLevel1"/>
    <w:basedOn w:val="Normal"/>
    <w:rsid w:val="00F8631B"/>
    <w:pPr>
      <w:spacing w:after="0" w:line="240" w:lineRule="auto"/>
    </w:pPr>
    <w:rPr>
      <w:rFonts w:ascii="Times New Roman" w:eastAsia="MS Mincho" w:hAnsi="Times New Roman"/>
      <w:sz w:val="24"/>
      <w:szCs w:val="24"/>
      <w:lang w:val="en-GB"/>
    </w:rPr>
  </w:style>
  <w:style w:type="paragraph" w:customStyle="1" w:styleId="textfont1">
    <w:name w:val="textfont1"/>
    <w:basedOn w:val="Normal"/>
    <w:rsid w:val="00F8631B"/>
    <w:pPr>
      <w:spacing w:before="100" w:beforeAutospacing="1" w:after="100" w:afterAutospacing="1" w:line="240" w:lineRule="auto"/>
    </w:pPr>
    <w:rPr>
      <w:rFonts w:ascii="Verdana" w:eastAsia="MS Mincho" w:hAnsi="Verdana"/>
      <w:color w:val="000000"/>
      <w:sz w:val="20"/>
      <w:szCs w:val="20"/>
      <w:lang w:val="en-IN" w:eastAsia="en-IN"/>
    </w:rPr>
  </w:style>
  <w:style w:type="paragraph" w:styleId="EnvelopeReturn">
    <w:name w:val="envelope return"/>
    <w:basedOn w:val="Normal"/>
    <w:link w:val="EnvelopeReturnChar"/>
    <w:rsid w:val="00F8631B"/>
    <w:rPr>
      <w:rFonts w:asciiTheme="minorHAnsi" w:eastAsiaTheme="minorHAnsi" w:hAnsiTheme="minorHAnsi" w:cstheme="minorBidi"/>
      <w:b/>
      <w:kern w:val="2"/>
      <w:lang w:val="en-GB"/>
      <w14:ligatures w14:val="standardContextual"/>
    </w:rPr>
  </w:style>
  <w:style w:type="paragraph" w:customStyle="1" w:styleId="midfont">
    <w:name w:val="midfont"/>
    <w:basedOn w:val="Normal"/>
    <w:rsid w:val="00F8631B"/>
    <w:pPr>
      <w:spacing w:before="100" w:beforeAutospacing="1" w:after="100" w:afterAutospacing="1" w:line="240" w:lineRule="auto"/>
      <w:jc w:val="both"/>
    </w:pPr>
    <w:rPr>
      <w:rFonts w:ascii="Verdana" w:eastAsia="MS Mincho" w:hAnsi="Verdana"/>
      <w:color w:val="000000"/>
      <w:sz w:val="20"/>
      <w:szCs w:val="20"/>
      <w:lang w:val="en-IN" w:eastAsia="en-IN"/>
    </w:rPr>
  </w:style>
  <w:style w:type="character" w:customStyle="1" w:styleId="menufont4">
    <w:name w:val="menufont4"/>
    <w:rsid w:val="00F8631B"/>
    <w:rPr>
      <w:rFonts w:ascii="Verdana" w:hAnsi="Verdana" w:cs="Times New Roman"/>
      <w:b/>
      <w:bCs/>
      <w:color w:val="634A14"/>
      <w:sz w:val="18"/>
      <w:szCs w:val="18"/>
      <w:u w:val="none"/>
      <w:effect w:val="none"/>
    </w:rPr>
  </w:style>
  <w:style w:type="paragraph" w:customStyle="1" w:styleId="SmCellBody">
    <w:name w:val="SmCellBody"/>
    <w:basedOn w:val="Normal"/>
    <w:rsid w:val="00F8631B"/>
    <w:pPr>
      <w:spacing w:before="40" w:after="40" w:line="290" w:lineRule="auto"/>
    </w:pPr>
    <w:rPr>
      <w:rFonts w:ascii="Times New Roman" w:eastAsia="MS Mincho" w:hAnsi="Times New Roman"/>
      <w:kern w:val="20"/>
      <w:sz w:val="18"/>
      <w:szCs w:val="20"/>
      <w:lang w:val="en-GB"/>
    </w:rPr>
  </w:style>
  <w:style w:type="paragraph" w:customStyle="1" w:styleId="Style50">
    <w:name w:val="Style5"/>
    <w:basedOn w:val="Normal"/>
    <w:rsid w:val="00F8631B"/>
    <w:pPr>
      <w:widowControl w:val="0"/>
      <w:autoSpaceDE w:val="0"/>
      <w:autoSpaceDN w:val="0"/>
      <w:adjustRightInd w:val="0"/>
      <w:spacing w:after="0" w:line="1210" w:lineRule="exact"/>
      <w:jc w:val="center"/>
    </w:pPr>
    <w:rPr>
      <w:rFonts w:ascii="Book Antiqua" w:eastAsia="MS Mincho" w:hAnsi="Book Antiqua" w:cs="Book Antiqua"/>
      <w:sz w:val="24"/>
      <w:szCs w:val="24"/>
      <w:lang w:val="en-GB" w:eastAsia="en-GB"/>
    </w:rPr>
  </w:style>
  <w:style w:type="character" w:customStyle="1" w:styleId="FontStyle59">
    <w:name w:val="Font Style59"/>
    <w:rsid w:val="00F8631B"/>
    <w:rPr>
      <w:rFonts w:ascii="Book Antiqua" w:hAnsi="Book Antiqua" w:cs="Book Antiqua"/>
      <w:color w:val="000000"/>
      <w:sz w:val="20"/>
      <w:szCs w:val="20"/>
    </w:rPr>
  </w:style>
  <w:style w:type="character" w:customStyle="1" w:styleId="EmailStyle319">
    <w:name w:val="EmailStyle319"/>
    <w:semiHidden/>
    <w:rsid w:val="00F8631B"/>
    <w:rPr>
      <w:rFonts w:ascii="Arial" w:hAnsi="Arial" w:cs="Arial"/>
      <w:color w:val="000080"/>
      <w:sz w:val="20"/>
      <w:szCs w:val="20"/>
    </w:rPr>
  </w:style>
  <w:style w:type="paragraph" w:customStyle="1" w:styleId="n2">
    <w:name w:val="n2"/>
    <w:basedOn w:val="Normal"/>
    <w:link w:val="n2Char"/>
    <w:rsid w:val="00F8631B"/>
    <w:pPr>
      <w:spacing w:after="0" w:line="300" w:lineRule="auto"/>
      <w:jc w:val="both"/>
    </w:pPr>
    <w:rPr>
      <w:rFonts w:ascii="Times New Roman" w:eastAsia="Batang" w:hAnsi="Times New Roman"/>
      <w:sz w:val="24"/>
      <w:szCs w:val="24"/>
      <w:lang w:val="x-none" w:eastAsia="ko-KR"/>
    </w:rPr>
  </w:style>
  <w:style w:type="character" w:customStyle="1" w:styleId="n2Char">
    <w:name w:val="n2 Char"/>
    <w:link w:val="n2"/>
    <w:locked/>
    <w:rsid w:val="00F8631B"/>
    <w:rPr>
      <w:rFonts w:ascii="Times New Roman" w:eastAsia="Batang" w:hAnsi="Times New Roman" w:cs="Times New Roman"/>
      <w:kern w:val="0"/>
      <w:sz w:val="24"/>
      <w:szCs w:val="24"/>
      <w:lang w:val="x-none" w:eastAsia="ko-KR"/>
      <w14:ligatures w14:val="none"/>
    </w:rPr>
  </w:style>
  <w:style w:type="paragraph" w:customStyle="1" w:styleId="Char2">
    <w:name w:val="Char2"/>
    <w:basedOn w:val="Normal"/>
    <w:rsid w:val="00F8631B"/>
    <w:pPr>
      <w:spacing w:after="160" w:line="240" w:lineRule="exact"/>
    </w:pPr>
    <w:rPr>
      <w:rFonts w:ascii="Verdana" w:eastAsia="MS Mincho" w:hAnsi="Verdana"/>
      <w:sz w:val="20"/>
      <w:szCs w:val="20"/>
    </w:rPr>
  </w:style>
  <w:style w:type="character" w:customStyle="1" w:styleId="number10">
    <w:name w:val="number1"/>
    <w:rsid w:val="00F8631B"/>
    <w:rPr>
      <w:rFonts w:cs="Times New Roman"/>
      <w:b/>
      <w:bCs/>
      <w:i/>
      <w:iCs/>
    </w:rPr>
  </w:style>
  <w:style w:type="paragraph" w:customStyle="1" w:styleId="CharChar1CharCharCharCharCharCharCharCharCharCharCharCharCharCharCharCharCharCharChar">
    <w:name w:val="Char Char1 Char Char Char Char Char Char Char Char Char Char Char Char Char Char Char Char Char Char Char"/>
    <w:basedOn w:val="Normal"/>
    <w:rsid w:val="00F8631B"/>
    <w:pPr>
      <w:spacing w:after="160" w:line="240" w:lineRule="exact"/>
    </w:pPr>
    <w:rPr>
      <w:rFonts w:ascii="Verdana" w:eastAsia="MS Mincho" w:hAnsi="Verdana"/>
      <w:sz w:val="20"/>
      <w:szCs w:val="20"/>
    </w:rPr>
  </w:style>
  <w:style w:type="paragraph" w:customStyle="1" w:styleId="Style80">
    <w:name w:val="Style8"/>
    <w:basedOn w:val="Normal"/>
    <w:rsid w:val="00F8631B"/>
    <w:pPr>
      <w:widowControl w:val="0"/>
      <w:autoSpaceDE w:val="0"/>
      <w:autoSpaceDN w:val="0"/>
      <w:adjustRightInd w:val="0"/>
      <w:spacing w:after="0" w:line="240" w:lineRule="auto"/>
    </w:pPr>
    <w:rPr>
      <w:rFonts w:ascii="Arial Unicode MS" w:eastAsia="Arial Unicode MS" w:cs="Arial Unicode MS"/>
      <w:sz w:val="24"/>
      <w:szCs w:val="24"/>
    </w:rPr>
  </w:style>
  <w:style w:type="paragraph" w:customStyle="1" w:styleId="Style110">
    <w:name w:val="Style11"/>
    <w:basedOn w:val="Normal"/>
    <w:rsid w:val="00F8631B"/>
    <w:pPr>
      <w:widowControl w:val="0"/>
      <w:autoSpaceDE w:val="0"/>
      <w:autoSpaceDN w:val="0"/>
      <w:adjustRightInd w:val="0"/>
      <w:spacing w:after="0" w:line="240" w:lineRule="auto"/>
    </w:pPr>
    <w:rPr>
      <w:rFonts w:ascii="Arial Unicode MS" w:eastAsia="Arial Unicode MS" w:cs="Arial Unicode MS"/>
      <w:sz w:val="24"/>
      <w:szCs w:val="24"/>
    </w:rPr>
  </w:style>
  <w:style w:type="paragraph" w:customStyle="1" w:styleId="Style13">
    <w:name w:val="Style13"/>
    <w:basedOn w:val="Normal"/>
    <w:rsid w:val="00F8631B"/>
    <w:pPr>
      <w:widowControl w:val="0"/>
      <w:autoSpaceDE w:val="0"/>
      <w:autoSpaceDN w:val="0"/>
      <w:adjustRightInd w:val="0"/>
      <w:spacing w:after="0" w:line="240" w:lineRule="auto"/>
    </w:pPr>
    <w:rPr>
      <w:rFonts w:ascii="Arial Unicode MS" w:eastAsia="Arial Unicode MS" w:cs="Arial Unicode MS"/>
      <w:sz w:val="24"/>
      <w:szCs w:val="24"/>
    </w:rPr>
  </w:style>
  <w:style w:type="character" w:customStyle="1" w:styleId="FontStyle106">
    <w:name w:val="Font Style106"/>
    <w:rsid w:val="00F8631B"/>
    <w:rPr>
      <w:rFonts w:ascii="Arial Unicode MS" w:eastAsia="Arial Unicode MS" w:cs="Arial Unicode MS"/>
      <w:color w:val="000000"/>
      <w:sz w:val="14"/>
      <w:szCs w:val="14"/>
    </w:rPr>
  </w:style>
  <w:style w:type="character" w:customStyle="1" w:styleId="FontStyle107">
    <w:name w:val="Font Style107"/>
    <w:rsid w:val="00F8631B"/>
    <w:rPr>
      <w:rFonts w:ascii="Arial Unicode MS" w:eastAsia="Arial Unicode MS" w:cs="Arial Unicode MS"/>
      <w:b/>
      <w:bCs/>
      <w:color w:val="000000"/>
      <w:sz w:val="14"/>
      <w:szCs w:val="14"/>
    </w:rPr>
  </w:style>
  <w:style w:type="character" w:customStyle="1" w:styleId="FontStyle105">
    <w:name w:val="Font Style105"/>
    <w:rsid w:val="00F8631B"/>
    <w:rPr>
      <w:rFonts w:ascii="Arial Unicode MS" w:eastAsia="Arial Unicode MS" w:cs="Arial Unicode MS"/>
      <w:b/>
      <w:bCs/>
      <w:color w:val="000000"/>
      <w:sz w:val="16"/>
      <w:szCs w:val="16"/>
    </w:rPr>
  </w:style>
  <w:style w:type="paragraph" w:customStyle="1" w:styleId="TableHead">
    <w:name w:val="Table Head"/>
    <w:basedOn w:val="Normal"/>
    <w:rsid w:val="00F8631B"/>
    <w:pPr>
      <w:spacing w:after="0" w:line="240" w:lineRule="auto"/>
    </w:pPr>
    <w:rPr>
      <w:rFonts w:ascii="Futura Md BT" w:eastAsia="MS Mincho" w:hAnsi="Futura Md BT"/>
      <w:b/>
      <w:color w:val="2E3092"/>
      <w:sz w:val="18"/>
      <w:szCs w:val="24"/>
    </w:rPr>
  </w:style>
  <w:style w:type="table" w:customStyle="1" w:styleId="LightList-Accent21">
    <w:name w:val="Light List - Accent 21"/>
    <w:rsid w:val="00F8631B"/>
    <w:pPr>
      <w:spacing w:after="0" w:line="240" w:lineRule="auto"/>
    </w:pPr>
    <w:rPr>
      <w:rFonts w:ascii="Times New Roman" w:eastAsia="MS Mincho" w:hAnsi="Times New Roman" w:cs="Times New Roman"/>
      <w:kern w:val="0"/>
      <w:sz w:val="20"/>
      <w:szCs w:val="20"/>
      <w14:ligatures w14:val="none"/>
    </w:rPr>
    <w:tblPr>
      <w:tblStyleRowBandSize w:val="1"/>
      <w:tblStyleColBandSize w:val="1"/>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character" w:customStyle="1" w:styleId="NormalWebChar3">
    <w:name w:val="Normal (Web) Char3"/>
    <w:aliases w:val="Normal (Web) Char Char2"/>
    <w:uiPriority w:val="99"/>
    <w:locked/>
    <w:rsid w:val="00F8631B"/>
    <w:rPr>
      <w:rFonts w:ascii="Times New Roman" w:eastAsia="Times New Roman" w:hAnsi="Times New Roman" w:cs="Times New Roman"/>
      <w:sz w:val="24"/>
      <w:szCs w:val="24"/>
      <w:lang w:val="en-IN" w:eastAsia="en-IN"/>
    </w:rPr>
  </w:style>
  <w:style w:type="character" w:customStyle="1" w:styleId="h5Char1">
    <w:name w:val="h5 Char1"/>
    <w:aliases w:val="H5 Char Char1"/>
    <w:rsid w:val="00F8631B"/>
    <w:rPr>
      <w:rFonts w:eastAsia="MS Mincho" w:cs="Times New Roman"/>
      <w:b/>
      <w:i/>
      <w:sz w:val="24"/>
      <w:lang w:val="en-GB" w:eastAsia="ja-JP" w:bidi="ar-SA"/>
    </w:rPr>
  </w:style>
  <w:style w:type="character" w:customStyle="1" w:styleId="H9CharChar">
    <w:name w:val="H9 Char Char"/>
    <w:rsid w:val="00F8631B"/>
    <w:rPr>
      <w:rFonts w:ascii="Arial" w:hAnsi="Arial" w:cs="Arial"/>
      <w:sz w:val="22"/>
      <w:szCs w:val="22"/>
      <w:lang w:val="en-GB" w:eastAsia="en-US" w:bidi="ar-SA"/>
    </w:rPr>
  </w:style>
  <w:style w:type="paragraph" w:customStyle="1" w:styleId="CharCharChar1CharCharCharChar">
    <w:name w:val="Char Char Char1 Char Char Char Char"/>
    <w:basedOn w:val="Normal"/>
    <w:rsid w:val="00F8631B"/>
    <w:pPr>
      <w:spacing w:after="160" w:line="240" w:lineRule="exact"/>
    </w:pPr>
    <w:rPr>
      <w:rFonts w:ascii="Verdana" w:eastAsia="MS Mincho" w:hAnsi="Verdana"/>
      <w:sz w:val="20"/>
      <w:szCs w:val="20"/>
    </w:rPr>
  </w:style>
  <w:style w:type="character" w:customStyle="1" w:styleId="CharChar15">
    <w:name w:val="Char Char15"/>
    <w:locked/>
    <w:rsid w:val="00F8631B"/>
    <w:rPr>
      <w:rFonts w:eastAsia="MS Mincho" w:cs="Times New Roman"/>
      <w:lang w:val="en-GB" w:eastAsia="ja-JP" w:bidi="ar-SA"/>
    </w:rPr>
  </w:style>
  <w:style w:type="character" w:customStyle="1" w:styleId="BodyTextChar0">
    <w:name w:val="!Body_Text Char"/>
    <w:link w:val="BodyText0"/>
    <w:locked/>
    <w:rsid w:val="00F8631B"/>
    <w:rPr>
      <w:rFonts w:ascii="Times New Roman" w:eastAsia="MS Mincho" w:hAnsi="Times New Roman" w:cs="Times New Roman"/>
      <w:kern w:val="0"/>
      <w:sz w:val="20"/>
      <w:szCs w:val="20"/>
      <w:lang w:val="en-GB" w:eastAsia="x-none"/>
      <w14:ligatures w14:val="none"/>
    </w:rPr>
  </w:style>
  <w:style w:type="character" w:customStyle="1" w:styleId="Char6CharChar">
    <w:name w:val="Char6 Char Char"/>
    <w:semiHidden/>
    <w:locked/>
    <w:rsid w:val="00F8631B"/>
    <w:rPr>
      <w:rFonts w:ascii="Tahoma" w:hAnsi="Tahoma" w:cs="Tahoma"/>
      <w:sz w:val="16"/>
      <w:szCs w:val="16"/>
      <w:lang w:val="en-GB" w:eastAsia="en-US" w:bidi="ar-SA"/>
    </w:rPr>
  </w:style>
  <w:style w:type="paragraph" w:customStyle="1" w:styleId="CharCharChar1CharCharCharCharCharCharCharCharCharCharCharCharChar1">
    <w:name w:val="Char Char Char1 Char Char Char Char Char Char Char Char Char Char Char Char Char1"/>
    <w:basedOn w:val="Normal"/>
    <w:autoRedefine/>
    <w:rsid w:val="00F8631B"/>
    <w:pPr>
      <w:spacing w:before="60" w:after="160" w:line="240" w:lineRule="exact"/>
    </w:pPr>
    <w:rPr>
      <w:rFonts w:ascii="Trebuchet MS" w:eastAsia="MS Mincho" w:hAnsi="Trebuchet MS"/>
      <w:sz w:val="20"/>
      <w:szCs w:val="20"/>
      <w:lang w:val="en-GB"/>
    </w:rPr>
  </w:style>
  <w:style w:type="numbering" w:styleId="111111">
    <w:name w:val="Outline List 2"/>
    <w:basedOn w:val="NoList"/>
    <w:rsid w:val="00F8631B"/>
  </w:style>
  <w:style w:type="character" w:customStyle="1" w:styleId="NormalWebCharCharChar">
    <w:name w:val="Normal (Web) Char Char Char"/>
    <w:locked/>
    <w:rsid w:val="00F8631B"/>
    <w:rPr>
      <w:rFonts w:ascii="Arial" w:eastAsia="MS Mincho" w:hAnsi="Arial" w:cs="Times New Roman"/>
      <w:snapToGrid w:val="0"/>
      <w:sz w:val="20"/>
      <w:szCs w:val="20"/>
      <w:lang w:val="en-GB" w:eastAsia="ja-JP"/>
    </w:rPr>
  </w:style>
  <w:style w:type="character" w:customStyle="1" w:styleId="bkCharChar1">
    <w:name w:val="bk Char Char1"/>
    <w:rsid w:val="00F8631B"/>
    <w:rPr>
      <w:rFonts w:eastAsia="SimSun"/>
      <w:sz w:val="24"/>
      <w:lang w:val="en-US" w:eastAsia="zh-CN" w:bidi="ar-SA"/>
    </w:rPr>
  </w:style>
  <w:style w:type="character" w:customStyle="1" w:styleId="CharChar10">
    <w:name w:val="Char Char10"/>
    <w:rsid w:val="00F8631B"/>
    <w:rPr>
      <w:lang w:val="en-GB" w:eastAsia="en-US" w:bidi="ar-SA"/>
    </w:rPr>
  </w:style>
  <w:style w:type="paragraph" w:customStyle="1" w:styleId="xl85">
    <w:name w:val="xl85"/>
    <w:basedOn w:val="Normal"/>
    <w:rsid w:val="00F8631B"/>
    <w:pPr>
      <w:pBdr>
        <w:top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76">
    <w:name w:val="xl76"/>
    <w:basedOn w:val="Normal"/>
    <w:rsid w:val="00F8631B"/>
    <w:pPr>
      <w:pBdr>
        <w:top w:val="single" w:sz="8" w:space="0" w:color="auto"/>
        <w:left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77">
    <w:name w:val="xl77"/>
    <w:basedOn w:val="Normal"/>
    <w:rsid w:val="00F8631B"/>
    <w:pPr>
      <w:pBdr>
        <w:top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78">
    <w:name w:val="xl78"/>
    <w:basedOn w:val="Normal"/>
    <w:rsid w:val="00F8631B"/>
    <w:pPr>
      <w:pBdr>
        <w:top w:val="single" w:sz="8" w:space="0" w:color="auto"/>
        <w:right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79">
    <w:name w:val="xl79"/>
    <w:basedOn w:val="Normal"/>
    <w:rsid w:val="00F8631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80">
    <w:name w:val="xl80"/>
    <w:basedOn w:val="Normal"/>
    <w:rsid w:val="00F8631B"/>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81">
    <w:name w:val="xl81"/>
    <w:basedOn w:val="Normal"/>
    <w:rsid w:val="00F8631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82">
    <w:name w:val="xl82"/>
    <w:basedOn w:val="Normal"/>
    <w:rsid w:val="00F8631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83">
    <w:name w:val="xl83"/>
    <w:basedOn w:val="Normal"/>
    <w:rsid w:val="00F8631B"/>
    <w:pPr>
      <w:pBdr>
        <w:left w:val="single" w:sz="8" w:space="0" w:color="auto"/>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Normal"/>
    <w:rsid w:val="00F8631B"/>
    <w:pPr>
      <w:pBdr>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86">
    <w:name w:val="xl86"/>
    <w:basedOn w:val="Normal"/>
    <w:rsid w:val="00F8631B"/>
    <w:pPr>
      <w:pBdr>
        <w:top w:val="single" w:sz="8" w:space="0" w:color="auto"/>
        <w:lef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7">
    <w:name w:val="xl87"/>
    <w:basedOn w:val="Normal"/>
    <w:rsid w:val="00F8631B"/>
    <w:pPr>
      <w:pBdr>
        <w:top w:val="single" w:sz="8" w:space="0" w:color="auto"/>
      </w:pBdr>
      <w:spacing w:before="100" w:beforeAutospacing="1" w:after="100" w:afterAutospacing="1" w:line="240" w:lineRule="auto"/>
    </w:pPr>
    <w:rPr>
      <w:rFonts w:ascii="Times New Roman" w:hAnsi="Times New Roman"/>
      <w:sz w:val="24"/>
      <w:szCs w:val="24"/>
    </w:rPr>
  </w:style>
  <w:style w:type="paragraph" w:customStyle="1" w:styleId="xl88">
    <w:name w:val="xl88"/>
    <w:basedOn w:val="Normal"/>
    <w:rsid w:val="00F8631B"/>
    <w:pPr>
      <w:pBdr>
        <w:top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89">
    <w:name w:val="xl89"/>
    <w:basedOn w:val="Normal"/>
    <w:rsid w:val="00F8631B"/>
    <w:pPr>
      <w:pBdr>
        <w:top w:val="single" w:sz="8"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0">
    <w:name w:val="xl90"/>
    <w:basedOn w:val="Normal"/>
    <w:rsid w:val="00F8631B"/>
    <w:pPr>
      <w:pBdr>
        <w:top w:val="single" w:sz="8" w:space="0" w:color="auto"/>
        <w:left w:val="single" w:sz="4"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91">
    <w:name w:val="xl91"/>
    <w:basedOn w:val="Normal"/>
    <w:rsid w:val="00F8631B"/>
    <w:pPr>
      <w:spacing w:before="100" w:beforeAutospacing="1" w:after="100" w:afterAutospacing="1" w:line="240" w:lineRule="auto"/>
      <w:jc w:val="center"/>
    </w:pPr>
    <w:rPr>
      <w:rFonts w:ascii="Times New Roman" w:hAnsi="Times New Roman"/>
      <w:sz w:val="24"/>
      <w:szCs w:val="24"/>
    </w:rPr>
  </w:style>
  <w:style w:type="paragraph" w:customStyle="1" w:styleId="xl92">
    <w:name w:val="xl92"/>
    <w:basedOn w:val="Normal"/>
    <w:rsid w:val="00F8631B"/>
    <w:pPr>
      <w:pBdr>
        <w:left w:val="single" w:sz="8" w:space="0" w:color="auto"/>
        <w:bottom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93">
    <w:name w:val="xl93"/>
    <w:basedOn w:val="Normal"/>
    <w:rsid w:val="00F8631B"/>
    <w:pPr>
      <w:pBdr>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94">
    <w:name w:val="xl94"/>
    <w:basedOn w:val="Normal"/>
    <w:rsid w:val="00F8631B"/>
    <w:pPr>
      <w:pBdr>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95">
    <w:name w:val="xl95"/>
    <w:basedOn w:val="Normal"/>
    <w:rsid w:val="00F8631B"/>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6">
    <w:name w:val="xl96"/>
    <w:basedOn w:val="Normal"/>
    <w:rsid w:val="00F8631B"/>
    <w:pPr>
      <w:pBdr>
        <w:left w:val="single" w:sz="4"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97">
    <w:name w:val="xl97"/>
    <w:basedOn w:val="Normal"/>
    <w:rsid w:val="00F8631B"/>
    <w:pPr>
      <w:pBdr>
        <w:left w:val="single" w:sz="8"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98">
    <w:name w:val="xl98"/>
    <w:basedOn w:val="Normal"/>
    <w:rsid w:val="00F8631B"/>
    <w:pPr>
      <w:pBdr>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9">
    <w:name w:val="xl99"/>
    <w:basedOn w:val="Normal"/>
    <w:rsid w:val="00F8631B"/>
    <w:pPr>
      <w:pBdr>
        <w:left w:val="single" w:sz="4" w:space="0" w:color="auto"/>
      </w:pBdr>
      <w:spacing w:before="100" w:beforeAutospacing="1" w:after="100" w:afterAutospacing="1" w:line="240" w:lineRule="auto"/>
    </w:pPr>
    <w:rPr>
      <w:rFonts w:ascii="Times New Roman" w:hAnsi="Times New Roman"/>
      <w:sz w:val="24"/>
      <w:szCs w:val="24"/>
    </w:rPr>
  </w:style>
  <w:style w:type="character" w:customStyle="1" w:styleId="EmailStyle3181">
    <w:name w:val="EmailStyle3181"/>
    <w:semiHidden/>
    <w:rsid w:val="00F8631B"/>
    <w:rPr>
      <w:rFonts w:ascii="Arial" w:hAnsi="Arial" w:cs="Arial"/>
      <w:color w:val="000080"/>
      <w:sz w:val="20"/>
      <w:szCs w:val="20"/>
    </w:rPr>
  </w:style>
  <w:style w:type="paragraph" w:customStyle="1" w:styleId="CharCharChar1CharCharCharCharCharCharCharCharCharCharCharCharChar3">
    <w:name w:val="Char Char Char1 Char Char Char Char Char Char Char Char Char Char Char Char Char3"/>
    <w:basedOn w:val="Normal"/>
    <w:autoRedefine/>
    <w:rsid w:val="00F8631B"/>
    <w:pPr>
      <w:spacing w:before="60" w:after="160" w:line="240" w:lineRule="exact"/>
    </w:pPr>
    <w:rPr>
      <w:rFonts w:ascii="Trebuchet MS" w:eastAsia="MS Mincho" w:hAnsi="Trebuchet MS"/>
      <w:sz w:val="20"/>
      <w:szCs w:val="20"/>
      <w:lang w:val="en-GB"/>
    </w:rPr>
  </w:style>
  <w:style w:type="paragraph" w:customStyle="1" w:styleId="CharCharCharChar1CharCharCharCharCharChar">
    <w:name w:val="Char Char Char Char1 Char Char Char Char Char Char"/>
    <w:basedOn w:val="Normal"/>
    <w:autoRedefine/>
    <w:rsid w:val="00F8631B"/>
    <w:pPr>
      <w:spacing w:before="60" w:after="160" w:line="240" w:lineRule="exact"/>
      <w:jc w:val="both"/>
    </w:pPr>
    <w:rPr>
      <w:rFonts w:ascii="Times New Roman" w:eastAsia="Calibri" w:hAnsi="Times New Roman"/>
      <w:sz w:val="20"/>
      <w:szCs w:val="20"/>
      <w:lang w:val="en-GB"/>
    </w:rPr>
  </w:style>
  <w:style w:type="paragraph" w:customStyle="1" w:styleId="bulleting1">
    <w:name w:val="bulleting1"/>
    <w:basedOn w:val="BodyTextIndent2"/>
    <w:autoRedefine/>
    <w:rsid w:val="00F8631B"/>
    <w:pPr>
      <w:tabs>
        <w:tab w:val="num" w:pos="1440"/>
      </w:tabs>
      <w:autoSpaceDE w:val="0"/>
      <w:autoSpaceDN w:val="0"/>
      <w:adjustRightInd w:val="0"/>
      <w:spacing w:before="120" w:after="120" w:line="260" w:lineRule="exact"/>
      <w:ind w:left="1440" w:hanging="360"/>
    </w:pPr>
    <w:rPr>
      <w:rFonts w:ascii="Times New Roman" w:eastAsia="MS Mincho" w:hAnsi="Times New Roman"/>
      <w:i w:val="0"/>
      <w:iCs w:val="0"/>
      <w:sz w:val="24"/>
      <w:szCs w:val="24"/>
    </w:rPr>
  </w:style>
  <w:style w:type="paragraph" w:customStyle="1" w:styleId="AC10">
    <w:name w:val="AC1"/>
    <w:basedOn w:val="AC"/>
    <w:rsid w:val="00F8631B"/>
    <w:pPr>
      <w:tabs>
        <w:tab w:val="clear" w:pos="360"/>
        <w:tab w:val="left" w:pos="720"/>
      </w:tabs>
      <w:ind w:left="720"/>
    </w:pPr>
    <w:rPr>
      <w:snapToGrid/>
    </w:rPr>
  </w:style>
  <w:style w:type="paragraph" w:customStyle="1" w:styleId="TitleLeftBold">
    <w:name w:val="Title Left Bold"/>
    <w:basedOn w:val="Normal"/>
    <w:rsid w:val="00F8631B"/>
    <w:pPr>
      <w:keepNext/>
      <w:keepLines/>
      <w:spacing w:after="240" w:line="240" w:lineRule="auto"/>
    </w:pPr>
    <w:rPr>
      <w:rFonts w:ascii="Times New Roman" w:eastAsia="MS Mincho" w:hAnsi="Times New Roman"/>
      <w:b/>
      <w:szCs w:val="24"/>
    </w:rPr>
  </w:style>
  <w:style w:type="paragraph" w:customStyle="1" w:styleId="subheading">
    <w:name w:val="sub_heading"/>
    <w:basedOn w:val="Bodytxt"/>
    <w:rsid w:val="00F8631B"/>
    <w:pPr>
      <w:spacing w:before="43" w:after="43" w:line="220" w:lineRule="atLeast"/>
      <w:jc w:val="left"/>
    </w:pPr>
    <w:rPr>
      <w:b/>
      <w:color w:val="auto"/>
      <w:sz w:val="17"/>
    </w:rPr>
  </w:style>
  <w:style w:type="paragraph" w:customStyle="1" w:styleId="t5">
    <w:name w:val="t5"/>
    <w:basedOn w:val="Normal"/>
    <w:rsid w:val="00F8631B"/>
    <w:pPr>
      <w:widowControl w:val="0"/>
      <w:autoSpaceDE w:val="0"/>
      <w:autoSpaceDN w:val="0"/>
      <w:adjustRightInd w:val="0"/>
      <w:spacing w:after="0" w:line="215" w:lineRule="atLeast"/>
    </w:pPr>
    <w:rPr>
      <w:rFonts w:ascii="Times New Roman" w:eastAsia="MS Mincho" w:hAnsi="Times New Roman"/>
      <w:sz w:val="20"/>
      <w:szCs w:val="24"/>
    </w:rPr>
  </w:style>
  <w:style w:type="paragraph" w:customStyle="1" w:styleId="SUB-HEADING0">
    <w:name w:val="SUB-HEADING"/>
    <w:basedOn w:val="BodyText"/>
    <w:next w:val="BodyText"/>
    <w:rsid w:val="00F8631B"/>
    <w:pPr>
      <w:spacing w:before="43" w:after="43" w:line="190" w:lineRule="atLeast"/>
    </w:pPr>
    <w:rPr>
      <w:rFonts w:ascii="Zurich BT" w:eastAsia="MS Mincho" w:hAnsi="Zurich BT"/>
      <w:b/>
      <w:sz w:val="16"/>
      <w:szCs w:val="20"/>
    </w:rPr>
  </w:style>
  <w:style w:type="paragraph" w:customStyle="1" w:styleId="TitleRightJustified">
    <w:name w:val="Title Right Justified"/>
    <w:basedOn w:val="Normal"/>
    <w:next w:val="BodyTextFirstIndent"/>
    <w:rsid w:val="00F8631B"/>
    <w:pPr>
      <w:keepNext/>
      <w:keepLines/>
      <w:spacing w:after="0" w:line="240" w:lineRule="auto"/>
      <w:jc w:val="right"/>
    </w:pPr>
    <w:rPr>
      <w:rFonts w:ascii="Times New Roman" w:eastAsia="MS Mincho" w:hAnsi="Times New Roman"/>
      <w:szCs w:val="24"/>
    </w:rPr>
  </w:style>
  <w:style w:type="paragraph" w:customStyle="1" w:styleId="p11">
    <w:name w:val="p11"/>
    <w:basedOn w:val="Normal"/>
    <w:rsid w:val="00F8631B"/>
    <w:pPr>
      <w:widowControl w:val="0"/>
      <w:tabs>
        <w:tab w:val="left" w:pos="204"/>
      </w:tabs>
      <w:autoSpaceDE w:val="0"/>
      <w:autoSpaceDN w:val="0"/>
      <w:adjustRightInd w:val="0"/>
      <w:spacing w:after="0" w:line="243" w:lineRule="atLeast"/>
    </w:pPr>
    <w:rPr>
      <w:rFonts w:ascii="Times New Roman" w:eastAsia="MS Mincho" w:hAnsi="Times New Roman"/>
      <w:sz w:val="20"/>
      <w:szCs w:val="24"/>
    </w:rPr>
  </w:style>
  <w:style w:type="paragraph" w:customStyle="1" w:styleId="b1">
    <w:name w:val="b1"/>
    <w:aliases w:val="DPWfd Bullet1,CG-Bullet"/>
    <w:basedOn w:val="Normal"/>
    <w:rsid w:val="00F8631B"/>
    <w:pPr>
      <w:tabs>
        <w:tab w:val="num" w:pos="270"/>
      </w:tabs>
      <w:spacing w:after="120" w:line="240" w:lineRule="auto"/>
      <w:ind w:left="274" w:hanging="274"/>
    </w:pPr>
    <w:rPr>
      <w:rFonts w:ascii="Times New Roman" w:eastAsia="MS Mincho" w:hAnsi="Times New Roman"/>
      <w:sz w:val="19"/>
      <w:szCs w:val="20"/>
      <w:lang w:val="en-GB"/>
    </w:rPr>
  </w:style>
  <w:style w:type="paragraph" w:customStyle="1" w:styleId="BodyText5">
    <w:name w:val="!Body Text"/>
    <w:basedOn w:val="Normal"/>
    <w:rsid w:val="00F8631B"/>
    <w:pPr>
      <w:spacing w:before="60" w:line="240" w:lineRule="auto"/>
      <w:jc w:val="both"/>
    </w:pPr>
    <w:rPr>
      <w:rFonts w:ascii="Times New Roman" w:eastAsia="MS Mincho" w:hAnsi="Times New Roman"/>
      <w:sz w:val="20"/>
      <w:szCs w:val="20"/>
      <w:lang w:val="en-GB"/>
    </w:rPr>
  </w:style>
  <w:style w:type="paragraph" w:customStyle="1" w:styleId="TitleBold">
    <w:name w:val="Title Bold"/>
    <w:basedOn w:val="Normal"/>
    <w:rsid w:val="00F8631B"/>
    <w:pPr>
      <w:keepNext/>
      <w:tabs>
        <w:tab w:val="num" w:pos="360"/>
      </w:tabs>
      <w:spacing w:after="240" w:line="240" w:lineRule="auto"/>
      <w:ind w:left="360" w:hanging="360"/>
      <w:jc w:val="both"/>
    </w:pPr>
    <w:rPr>
      <w:rFonts w:ascii="Arial" w:eastAsia="MS Mincho" w:hAnsi="Arial"/>
      <w:b/>
      <w:sz w:val="20"/>
      <w:szCs w:val="24"/>
    </w:rPr>
  </w:style>
  <w:style w:type="paragraph" w:customStyle="1" w:styleId="DPWfdHDBold">
    <w:name w:val="DPWfd HD Bold"/>
    <w:aliases w:val="hb"/>
    <w:basedOn w:val="Normal"/>
    <w:next w:val="Normal"/>
    <w:rsid w:val="00F8631B"/>
    <w:pPr>
      <w:keepNext/>
      <w:spacing w:line="240" w:lineRule="auto"/>
    </w:pPr>
    <w:rPr>
      <w:rFonts w:ascii="Times New Roman" w:eastAsia="MS Mincho" w:hAnsi="Times New Roman"/>
      <w:b/>
      <w:sz w:val="20"/>
      <w:szCs w:val="20"/>
    </w:rPr>
  </w:style>
  <w:style w:type="paragraph" w:customStyle="1" w:styleId="DPWfdHDItalBold">
    <w:name w:val="DPWfd HD Ital/Bold"/>
    <w:aliases w:val="ho"/>
    <w:basedOn w:val="Normal"/>
    <w:next w:val="Normal"/>
    <w:rsid w:val="00F8631B"/>
    <w:pPr>
      <w:keepNext/>
      <w:spacing w:line="240" w:lineRule="auto"/>
      <w:ind w:left="187"/>
    </w:pPr>
    <w:rPr>
      <w:rFonts w:ascii="Times New Roman" w:eastAsia="MS Mincho" w:hAnsi="Times New Roman"/>
      <w:b/>
      <w:i/>
      <w:sz w:val="20"/>
      <w:szCs w:val="20"/>
    </w:rPr>
  </w:style>
  <w:style w:type="paragraph" w:customStyle="1" w:styleId="Title3">
    <w:name w:val="Title3"/>
    <w:basedOn w:val="Title2"/>
    <w:next w:val="BodyTextFirstIndent"/>
    <w:rsid w:val="00F8631B"/>
    <w:rPr>
      <w:rFonts w:eastAsia="MS Mincho" w:cs="Arial"/>
      <w:i/>
    </w:rPr>
  </w:style>
  <w:style w:type="paragraph" w:customStyle="1" w:styleId="MerrillTableText">
    <w:name w:val="Merrill Table Text"/>
    <w:rsid w:val="00F8631B"/>
    <w:pPr>
      <w:spacing w:after="0" w:line="288" w:lineRule="auto"/>
      <w:ind w:left="115" w:right="115"/>
    </w:pPr>
    <w:rPr>
      <w:rFonts w:ascii="Arial" w:eastAsia="MS Mincho" w:hAnsi="Arial" w:cs="Times New Roman"/>
      <w:kern w:val="0"/>
      <w:sz w:val="20"/>
      <w:szCs w:val="20"/>
      <w:lang w:val="en-GB"/>
      <w14:ligatures w14:val="none"/>
    </w:rPr>
  </w:style>
  <w:style w:type="paragraph" w:customStyle="1" w:styleId="headinginitalics">
    <w:name w:val="heading in italics"/>
    <w:basedOn w:val="Heading20"/>
    <w:rsid w:val="00F8631B"/>
    <w:pPr>
      <w:outlineLvl w:val="9"/>
    </w:pPr>
    <w:rPr>
      <w:i/>
      <w:smallCaps/>
      <w:lang w:val="en-IN"/>
    </w:rPr>
  </w:style>
  <w:style w:type="paragraph" w:customStyle="1" w:styleId="SubHeadItalics">
    <w:name w:val="!Sub Head Italics"/>
    <w:basedOn w:val="Normal"/>
    <w:rsid w:val="00F8631B"/>
    <w:pPr>
      <w:spacing w:before="120" w:after="60" w:line="240" w:lineRule="auto"/>
      <w:jc w:val="both"/>
    </w:pPr>
    <w:rPr>
      <w:rFonts w:ascii="Times New Roman" w:eastAsia="MS Mincho" w:hAnsi="Times New Roman"/>
      <w:i/>
      <w:sz w:val="20"/>
      <w:szCs w:val="20"/>
      <w:lang w:val="en-GB"/>
    </w:rPr>
  </w:style>
  <w:style w:type="paragraph" w:customStyle="1" w:styleId="Default1">
    <w:name w:val="Default1"/>
    <w:basedOn w:val="Normal"/>
    <w:next w:val="Normal"/>
    <w:rsid w:val="00F8631B"/>
    <w:pPr>
      <w:tabs>
        <w:tab w:val="num" w:pos="720"/>
      </w:tabs>
      <w:spacing w:after="240" w:line="240" w:lineRule="auto"/>
      <w:ind w:left="720" w:hanging="720"/>
      <w:outlineLvl w:val="0"/>
    </w:pPr>
    <w:rPr>
      <w:rFonts w:ascii="Times New Roman" w:eastAsia="MS Mincho" w:hAnsi="Times New Roman"/>
      <w:sz w:val="24"/>
      <w:szCs w:val="20"/>
    </w:rPr>
  </w:style>
  <w:style w:type="paragraph" w:customStyle="1" w:styleId="Default2">
    <w:name w:val="Default2"/>
    <w:basedOn w:val="Normal"/>
    <w:rsid w:val="00F8631B"/>
    <w:pPr>
      <w:tabs>
        <w:tab w:val="num" w:pos="1440"/>
      </w:tabs>
      <w:spacing w:after="240" w:line="240" w:lineRule="auto"/>
      <w:ind w:left="1440" w:hanging="720"/>
      <w:outlineLvl w:val="1"/>
    </w:pPr>
    <w:rPr>
      <w:rFonts w:ascii="Times New Roman" w:eastAsia="MS Mincho" w:hAnsi="Times New Roman"/>
      <w:sz w:val="24"/>
      <w:szCs w:val="20"/>
    </w:rPr>
  </w:style>
  <w:style w:type="paragraph" w:customStyle="1" w:styleId="Default3">
    <w:name w:val="Default3"/>
    <w:basedOn w:val="Normal"/>
    <w:rsid w:val="00F8631B"/>
    <w:pPr>
      <w:spacing w:after="240" w:line="240" w:lineRule="auto"/>
      <w:ind w:left="2160" w:hanging="720"/>
      <w:outlineLvl w:val="2"/>
    </w:pPr>
    <w:rPr>
      <w:rFonts w:ascii="Times New Roman" w:eastAsia="MS Mincho" w:hAnsi="Times New Roman"/>
      <w:sz w:val="24"/>
      <w:szCs w:val="20"/>
    </w:rPr>
  </w:style>
  <w:style w:type="paragraph" w:customStyle="1" w:styleId="Default4">
    <w:name w:val="Default4"/>
    <w:basedOn w:val="Normal"/>
    <w:rsid w:val="00F8631B"/>
    <w:pPr>
      <w:tabs>
        <w:tab w:val="num" w:pos="2880"/>
      </w:tabs>
      <w:spacing w:after="240" w:line="240" w:lineRule="auto"/>
      <w:ind w:left="2880" w:hanging="720"/>
      <w:outlineLvl w:val="3"/>
    </w:pPr>
    <w:rPr>
      <w:rFonts w:ascii="Times New Roman" w:eastAsia="MS Mincho" w:hAnsi="Times New Roman"/>
      <w:sz w:val="24"/>
      <w:szCs w:val="20"/>
    </w:rPr>
  </w:style>
  <w:style w:type="paragraph" w:customStyle="1" w:styleId="Default5">
    <w:name w:val="Default5"/>
    <w:basedOn w:val="Normal"/>
    <w:rsid w:val="00F8631B"/>
    <w:pPr>
      <w:tabs>
        <w:tab w:val="num" w:pos="3600"/>
      </w:tabs>
      <w:spacing w:after="240" w:line="240" w:lineRule="auto"/>
      <w:ind w:left="3600" w:hanging="720"/>
      <w:outlineLvl w:val="4"/>
    </w:pPr>
    <w:rPr>
      <w:rFonts w:ascii="Times New Roman" w:eastAsia="MS Mincho" w:hAnsi="Times New Roman"/>
      <w:sz w:val="24"/>
      <w:szCs w:val="20"/>
    </w:rPr>
  </w:style>
  <w:style w:type="paragraph" w:customStyle="1" w:styleId="level3bulleted">
    <w:name w:val="level 3 bulleted"/>
    <w:basedOn w:val="Normal"/>
    <w:rsid w:val="00F8631B"/>
    <w:pPr>
      <w:tabs>
        <w:tab w:val="num" w:pos="360"/>
      </w:tabs>
      <w:spacing w:after="0" w:line="240" w:lineRule="auto"/>
      <w:ind w:left="360" w:hanging="360"/>
    </w:pPr>
    <w:rPr>
      <w:rFonts w:ascii="Times New Roman" w:hAnsi="Times New Roman"/>
      <w:sz w:val="20"/>
      <w:szCs w:val="20"/>
      <w:lang w:val="en-GB"/>
    </w:rPr>
  </w:style>
  <w:style w:type="paragraph" w:customStyle="1" w:styleId="Bullet11">
    <w:name w:val="Bullet 1"/>
    <w:basedOn w:val="Normal"/>
    <w:rsid w:val="00F8631B"/>
    <w:pPr>
      <w:tabs>
        <w:tab w:val="left" w:pos="288"/>
      </w:tabs>
      <w:spacing w:after="0" w:line="240" w:lineRule="auto"/>
      <w:ind w:left="288" w:hanging="288"/>
    </w:pPr>
    <w:rPr>
      <w:rFonts w:ascii="Zurich Blk BT" w:eastAsia="MS Mincho" w:hAnsi="Zurich Blk BT"/>
      <w:i/>
      <w:szCs w:val="20"/>
    </w:rPr>
  </w:style>
  <w:style w:type="paragraph" w:customStyle="1" w:styleId="Bullet">
    <w:name w:val="Bullet"/>
    <w:basedOn w:val="Normal"/>
    <w:rsid w:val="00F8631B"/>
    <w:pPr>
      <w:tabs>
        <w:tab w:val="left" w:pos="288"/>
      </w:tabs>
      <w:suppressAutoHyphens/>
      <w:spacing w:after="0" w:line="240" w:lineRule="auto"/>
      <w:ind w:left="288" w:hanging="288"/>
    </w:pPr>
    <w:rPr>
      <w:rFonts w:ascii="Zurich Blk BT" w:eastAsia="MS Mincho" w:hAnsi="Zurich Blk BT"/>
      <w:szCs w:val="20"/>
    </w:rPr>
  </w:style>
  <w:style w:type="paragraph" w:customStyle="1" w:styleId="Bullet12">
    <w:name w:val="!Bullet 1"/>
    <w:basedOn w:val="BodyText5"/>
    <w:rsid w:val="00F8631B"/>
    <w:pPr>
      <w:tabs>
        <w:tab w:val="num" w:pos="1080"/>
      </w:tabs>
      <w:spacing w:before="40" w:after="40"/>
      <w:ind w:left="1080" w:hanging="360"/>
    </w:pPr>
  </w:style>
  <w:style w:type="paragraph" w:customStyle="1" w:styleId="SubHeadBoldItalics">
    <w:name w:val="!Sub Head Bold Italics"/>
    <w:basedOn w:val="Normal"/>
    <w:rsid w:val="00F8631B"/>
    <w:pPr>
      <w:spacing w:before="100" w:after="60" w:line="240" w:lineRule="auto"/>
      <w:jc w:val="both"/>
    </w:pPr>
    <w:rPr>
      <w:rFonts w:ascii="Times New Roman" w:eastAsia="MS Mincho" w:hAnsi="Times New Roman"/>
      <w:b/>
      <w:i/>
      <w:sz w:val="20"/>
      <w:szCs w:val="20"/>
      <w:lang w:val="en-GB"/>
    </w:rPr>
  </w:style>
  <w:style w:type="paragraph" w:customStyle="1" w:styleId="Title1">
    <w:name w:val="Title1"/>
    <w:basedOn w:val="Normal"/>
    <w:next w:val="BodyTextFirstIndent"/>
    <w:rsid w:val="00F8631B"/>
    <w:pPr>
      <w:keepNext/>
      <w:keepLines/>
      <w:spacing w:after="0" w:line="240" w:lineRule="auto"/>
      <w:jc w:val="center"/>
    </w:pPr>
    <w:rPr>
      <w:rFonts w:ascii="Times New Roman" w:eastAsia="MS Mincho" w:hAnsi="Times New Roman"/>
      <w:caps/>
      <w:szCs w:val="20"/>
    </w:rPr>
  </w:style>
  <w:style w:type="paragraph" w:customStyle="1" w:styleId="BodyTextNoIndent">
    <w:name w:val="Body Text No Indent"/>
    <w:basedOn w:val="Normal"/>
    <w:rsid w:val="00F8631B"/>
    <w:pPr>
      <w:spacing w:after="240" w:line="240" w:lineRule="auto"/>
    </w:pPr>
    <w:rPr>
      <w:rFonts w:ascii="Times New Roman" w:eastAsia="MS Mincho" w:hAnsi="Times New Roman"/>
      <w:szCs w:val="20"/>
    </w:rPr>
  </w:style>
  <w:style w:type="character" w:customStyle="1" w:styleId="superscriptChar">
    <w:name w:val="superscript Char"/>
    <w:rsid w:val="00F8631B"/>
    <w:rPr>
      <w:rFonts w:cs="Times New Roman"/>
      <w:bCs/>
      <w:vertAlign w:val="superscript"/>
      <w:lang w:val="en-US" w:eastAsia="en-US" w:bidi="ar-SA"/>
    </w:rPr>
  </w:style>
  <w:style w:type="paragraph" w:customStyle="1" w:styleId="BeforeAfterTable">
    <w:name w:val="Before/After Table"/>
    <w:basedOn w:val="Normal"/>
    <w:rsid w:val="00F8631B"/>
    <w:pPr>
      <w:spacing w:after="0" w:line="240" w:lineRule="auto"/>
    </w:pPr>
    <w:rPr>
      <w:rFonts w:ascii="Times New Roman" w:eastAsia="MS Mincho" w:hAnsi="Times New Roman"/>
      <w:color w:val="FF0000"/>
      <w:sz w:val="20"/>
      <w:szCs w:val="20"/>
    </w:rPr>
  </w:style>
  <w:style w:type="paragraph" w:customStyle="1" w:styleId="TableAfter">
    <w:name w:val="Table After"/>
    <w:basedOn w:val="TableBefore"/>
    <w:rsid w:val="00F8631B"/>
    <w:pPr>
      <w:spacing w:after="240"/>
    </w:pPr>
    <w:rPr>
      <w:sz w:val="24"/>
    </w:rPr>
  </w:style>
  <w:style w:type="paragraph" w:customStyle="1" w:styleId="TableBefore">
    <w:name w:val="Table Before"/>
    <w:basedOn w:val="Normal"/>
    <w:rsid w:val="00F8631B"/>
    <w:pPr>
      <w:spacing w:after="0" w:line="240" w:lineRule="auto"/>
    </w:pPr>
    <w:rPr>
      <w:rFonts w:ascii="Times New Roman" w:eastAsia="MS Mincho" w:hAnsi="Times New Roman"/>
      <w:color w:val="FFFF00"/>
      <w:sz w:val="4"/>
      <w:szCs w:val="20"/>
    </w:rPr>
  </w:style>
  <w:style w:type="paragraph" w:customStyle="1" w:styleId="TITLEBOLD0">
    <w:name w:val="TITLE BOLD"/>
    <w:basedOn w:val="Title1"/>
    <w:rsid w:val="00F8631B"/>
    <w:pPr>
      <w:spacing w:after="200"/>
    </w:pPr>
    <w:rPr>
      <w:rFonts w:ascii="Arial" w:hAnsi="Arial"/>
      <w:b/>
      <w:sz w:val="20"/>
    </w:rPr>
  </w:style>
  <w:style w:type="paragraph" w:customStyle="1" w:styleId="test">
    <w:name w:val="test"/>
    <w:basedOn w:val="Normal"/>
    <w:rsid w:val="00F8631B"/>
    <w:pPr>
      <w:spacing w:before="120" w:after="80" w:line="240" w:lineRule="auto"/>
      <w:jc w:val="both"/>
    </w:pPr>
    <w:rPr>
      <w:rFonts w:ascii="Arial" w:eastAsia="MS Mincho" w:hAnsi="Arial"/>
      <w:sz w:val="18"/>
      <w:szCs w:val="20"/>
      <w:lang w:val="en-GB"/>
    </w:rPr>
  </w:style>
  <w:style w:type="paragraph" w:customStyle="1" w:styleId="BodyItalicNoIndent">
    <w:name w:val="Body Italic No Indent"/>
    <w:basedOn w:val="Normal"/>
    <w:rsid w:val="00F8631B"/>
    <w:pPr>
      <w:spacing w:after="240" w:line="240" w:lineRule="auto"/>
      <w:jc w:val="both"/>
    </w:pPr>
    <w:rPr>
      <w:rFonts w:ascii="Times New Roman" w:eastAsia="MS Mincho" w:hAnsi="Times New Roman"/>
      <w:i/>
      <w:szCs w:val="20"/>
    </w:rPr>
  </w:style>
  <w:style w:type="paragraph" w:customStyle="1" w:styleId="TitleLeftBoldItalic">
    <w:name w:val="Title Left Bold Italic"/>
    <w:basedOn w:val="Normal"/>
    <w:rsid w:val="00F8631B"/>
    <w:pPr>
      <w:keepNext/>
      <w:keepLines/>
      <w:spacing w:after="240" w:line="240" w:lineRule="auto"/>
    </w:pPr>
    <w:rPr>
      <w:rFonts w:ascii="Times New Roman" w:eastAsia="MS Mincho" w:hAnsi="Times New Roman"/>
      <w:b/>
      <w:i/>
      <w:szCs w:val="20"/>
    </w:rPr>
  </w:style>
  <w:style w:type="paragraph" w:customStyle="1" w:styleId="TitleLeftItalic">
    <w:name w:val="Title Left Italic"/>
    <w:basedOn w:val="Normal"/>
    <w:rsid w:val="00F8631B"/>
    <w:pPr>
      <w:keepNext/>
      <w:keepLines/>
      <w:spacing w:after="240" w:line="240" w:lineRule="auto"/>
    </w:pPr>
    <w:rPr>
      <w:rFonts w:ascii="Times New Roman" w:eastAsia="MS Mincho" w:hAnsi="Times New Roman"/>
      <w:i/>
      <w:szCs w:val="20"/>
    </w:rPr>
  </w:style>
  <w:style w:type="paragraph" w:customStyle="1" w:styleId="Title5Italic">
    <w:name w:val="Title .5 Italic"/>
    <w:basedOn w:val="Normal"/>
    <w:rsid w:val="00F8631B"/>
    <w:pPr>
      <w:keepNext/>
      <w:keepLines/>
      <w:spacing w:after="240" w:line="240" w:lineRule="auto"/>
      <w:ind w:firstLine="720"/>
    </w:pPr>
    <w:rPr>
      <w:rFonts w:ascii="Times New Roman" w:eastAsia="MS Mincho" w:hAnsi="Times New Roman"/>
      <w:i/>
      <w:szCs w:val="20"/>
    </w:rPr>
  </w:style>
  <w:style w:type="paragraph" w:customStyle="1" w:styleId="Heading0indentbold">
    <w:name w:val="Heading .0 indent bold"/>
    <w:basedOn w:val="Normal"/>
    <w:rsid w:val="00F8631B"/>
    <w:pPr>
      <w:keepNext/>
      <w:keepLines/>
      <w:spacing w:line="240" w:lineRule="auto"/>
    </w:pPr>
    <w:rPr>
      <w:rFonts w:ascii="Times New Roman" w:eastAsia="MS Mincho" w:hAnsi="Times New Roman"/>
      <w:b/>
      <w:sz w:val="20"/>
      <w:szCs w:val="20"/>
    </w:rPr>
  </w:style>
  <w:style w:type="paragraph" w:customStyle="1" w:styleId="TableText8pt">
    <w:name w:val="Table Text 8 pt."/>
    <w:basedOn w:val="Normal"/>
    <w:rsid w:val="00F8631B"/>
    <w:pPr>
      <w:spacing w:after="0" w:line="240" w:lineRule="auto"/>
    </w:pPr>
    <w:rPr>
      <w:rFonts w:ascii="Times New Roman" w:eastAsia="MS Mincho" w:hAnsi="Times New Roman"/>
      <w:sz w:val="16"/>
      <w:szCs w:val="20"/>
    </w:rPr>
  </w:style>
  <w:style w:type="paragraph" w:customStyle="1" w:styleId="ManualFtntText">
    <w:name w:val="Manual Ftnt Text"/>
    <w:basedOn w:val="Normal"/>
    <w:rsid w:val="00F8631B"/>
    <w:pPr>
      <w:spacing w:after="60" w:line="200" w:lineRule="exact"/>
      <w:ind w:left="475" w:hanging="475"/>
    </w:pPr>
    <w:rPr>
      <w:rFonts w:ascii="Times New Roman" w:eastAsia="MS Mincho" w:hAnsi="Times New Roman"/>
      <w:sz w:val="18"/>
      <w:szCs w:val="20"/>
    </w:rPr>
  </w:style>
  <w:style w:type="paragraph" w:customStyle="1" w:styleId="BTBeforeTable">
    <w:name w:val="BT Before Table"/>
    <w:basedOn w:val="Normal"/>
    <w:rsid w:val="00F8631B"/>
    <w:pPr>
      <w:spacing w:after="0" w:line="240" w:lineRule="auto"/>
      <w:ind w:firstLine="720"/>
    </w:pPr>
    <w:rPr>
      <w:rFonts w:ascii="Times New Roman" w:eastAsia="MS Mincho" w:hAnsi="Times New Roman"/>
      <w:sz w:val="20"/>
      <w:szCs w:val="20"/>
    </w:rPr>
  </w:style>
  <w:style w:type="paragraph" w:customStyle="1" w:styleId="Heading0indentbolditalics">
    <w:name w:val="Heading .0 indent bold italics"/>
    <w:basedOn w:val="Normal"/>
    <w:rsid w:val="00F8631B"/>
    <w:pPr>
      <w:keepNext/>
      <w:keepLines/>
      <w:spacing w:line="200" w:lineRule="exact"/>
    </w:pPr>
    <w:rPr>
      <w:rFonts w:ascii="Times New Roman" w:eastAsia="MS Mincho" w:hAnsi="Times New Roman"/>
      <w:b/>
      <w:i/>
      <w:sz w:val="20"/>
      <w:szCs w:val="20"/>
    </w:rPr>
  </w:style>
  <w:style w:type="paragraph" w:customStyle="1" w:styleId="Interrogatory">
    <w:name w:val="Interrogatory"/>
    <w:basedOn w:val="Normal"/>
    <w:next w:val="BodyTextFirstIndent2"/>
    <w:rsid w:val="00F8631B"/>
    <w:pPr>
      <w:spacing w:after="240" w:line="240" w:lineRule="auto"/>
    </w:pPr>
    <w:rPr>
      <w:rFonts w:ascii="Times New Roman" w:eastAsia="MS Mincho" w:hAnsi="Times New Roman"/>
      <w:sz w:val="24"/>
      <w:szCs w:val="20"/>
      <w:u w:val="single"/>
    </w:rPr>
  </w:style>
  <w:style w:type="paragraph" w:customStyle="1" w:styleId="DPWfdHDItal">
    <w:name w:val="DPWfd HD Ital"/>
    <w:aliases w:val="hi"/>
    <w:basedOn w:val="Normal"/>
    <w:next w:val="Normal"/>
    <w:rsid w:val="00F8631B"/>
    <w:pPr>
      <w:keepNext/>
      <w:spacing w:line="240" w:lineRule="auto"/>
      <w:ind w:left="360" w:firstLine="360"/>
    </w:pPr>
    <w:rPr>
      <w:rFonts w:ascii="Times New Roman" w:eastAsia="MS Mincho" w:hAnsi="Times New Roman"/>
      <w:i/>
      <w:szCs w:val="20"/>
    </w:rPr>
  </w:style>
  <w:style w:type="paragraph" w:customStyle="1" w:styleId="BodyRupees">
    <w:name w:val="!Body_Rupees"/>
    <w:basedOn w:val="Normal"/>
    <w:rsid w:val="00F8631B"/>
    <w:pPr>
      <w:spacing w:before="120" w:after="80" w:line="240" w:lineRule="auto"/>
      <w:ind w:right="230"/>
      <w:jc w:val="right"/>
    </w:pPr>
    <w:rPr>
      <w:rFonts w:ascii="Times New Roman" w:eastAsia="MS Mincho" w:hAnsi="Times New Roman"/>
      <w:i/>
      <w:sz w:val="14"/>
      <w:szCs w:val="20"/>
      <w:lang w:val="en-GB"/>
    </w:rPr>
  </w:style>
  <w:style w:type="paragraph" w:customStyle="1" w:styleId="Footnot">
    <w:name w:val="!Footnot"/>
    <w:basedOn w:val="Normal"/>
    <w:rsid w:val="00F8631B"/>
    <w:pPr>
      <w:spacing w:before="40" w:after="40" w:line="240" w:lineRule="auto"/>
      <w:ind w:left="360" w:hanging="360"/>
      <w:jc w:val="both"/>
    </w:pPr>
    <w:rPr>
      <w:rFonts w:ascii="Times New Roman" w:eastAsia="MS Mincho" w:hAnsi="Times New Roman"/>
      <w:i/>
      <w:iCs/>
      <w:sz w:val="14"/>
      <w:szCs w:val="24"/>
      <w:lang w:val="en-GB"/>
    </w:rPr>
  </w:style>
  <w:style w:type="paragraph" w:customStyle="1" w:styleId="BT">
    <w:name w:val="BT"/>
    <w:basedOn w:val="Normal"/>
    <w:rsid w:val="00F8631B"/>
    <w:pPr>
      <w:spacing w:after="0" w:line="240" w:lineRule="auto"/>
    </w:pPr>
    <w:rPr>
      <w:rFonts w:ascii="Times New Roman" w:eastAsia="MS Mincho" w:hAnsi="Times New Roman"/>
      <w:sz w:val="20"/>
      <w:szCs w:val="20"/>
      <w:lang w:val="en-GB"/>
    </w:rPr>
  </w:style>
  <w:style w:type="paragraph" w:customStyle="1" w:styleId="bullet0">
    <w:name w:val="_bullet"/>
    <w:basedOn w:val="BodyText"/>
    <w:autoRedefine/>
    <w:rsid w:val="00F8631B"/>
    <w:rPr>
      <w:rFonts w:ascii="Times New Roman" w:eastAsia="MS Mincho" w:hAnsi="Times New Roman"/>
      <w:sz w:val="20"/>
      <w:szCs w:val="20"/>
    </w:rPr>
  </w:style>
  <w:style w:type="paragraph" w:customStyle="1" w:styleId="mainheading">
    <w:name w:val="main heading"/>
    <w:autoRedefine/>
    <w:rsid w:val="00F8631B"/>
    <w:pPr>
      <w:spacing w:after="0" w:line="240" w:lineRule="auto"/>
      <w:jc w:val="center"/>
    </w:pPr>
    <w:rPr>
      <w:rFonts w:ascii="Times New Roman" w:eastAsia="MS Mincho" w:hAnsi="Times New Roman" w:cs="Times New Roman"/>
      <w:b/>
      <w:noProof/>
      <w:kern w:val="0"/>
      <w:sz w:val="36"/>
      <w:szCs w:val="36"/>
      <w14:ligatures w14:val="none"/>
    </w:rPr>
  </w:style>
  <w:style w:type="paragraph" w:customStyle="1" w:styleId="BodyText6">
    <w:name w:val="Body_Text"/>
    <w:basedOn w:val="Normal"/>
    <w:rsid w:val="00F8631B"/>
    <w:pPr>
      <w:spacing w:before="100" w:after="100" w:line="240" w:lineRule="auto"/>
      <w:jc w:val="both"/>
    </w:pPr>
    <w:rPr>
      <w:rFonts w:ascii="Times New Roman" w:eastAsia="MS Mincho" w:hAnsi="Times New Roman"/>
      <w:sz w:val="20"/>
      <w:szCs w:val="20"/>
      <w:lang w:val="en-GB"/>
    </w:rPr>
  </w:style>
  <w:style w:type="paragraph" w:customStyle="1" w:styleId="SubtitleLeft">
    <w:name w:val="Subtitle Left"/>
    <w:aliases w:val="sl"/>
    <w:basedOn w:val="Normal"/>
    <w:rsid w:val="00F8631B"/>
    <w:pPr>
      <w:spacing w:after="240" w:line="240" w:lineRule="auto"/>
    </w:pPr>
    <w:rPr>
      <w:rFonts w:ascii="Times New Roman" w:eastAsia="MS Mincho" w:hAnsi="Times New Roman"/>
      <w:b/>
      <w:sz w:val="24"/>
      <w:szCs w:val="20"/>
    </w:rPr>
  </w:style>
  <w:style w:type="paragraph" w:customStyle="1" w:styleId="bulletedtext">
    <w:name w:val="bulleted text"/>
    <w:basedOn w:val="BodyText"/>
    <w:rsid w:val="00F8631B"/>
    <w:pPr>
      <w:widowControl w:val="0"/>
      <w:tabs>
        <w:tab w:val="num" w:pos="720"/>
      </w:tabs>
      <w:spacing w:after="240"/>
      <w:ind w:left="720" w:hanging="720"/>
      <w:jc w:val="left"/>
    </w:pPr>
    <w:rPr>
      <w:rFonts w:ascii="Times New Roman" w:eastAsia="MS Mincho" w:hAnsi="Times New Roman"/>
      <w:sz w:val="22"/>
      <w:szCs w:val="22"/>
      <w:lang w:val="en-US"/>
    </w:rPr>
  </w:style>
  <w:style w:type="paragraph" w:customStyle="1" w:styleId="Italizedtext">
    <w:name w:val="Italized text"/>
    <w:basedOn w:val="Normal"/>
    <w:rsid w:val="00F8631B"/>
    <w:pPr>
      <w:autoSpaceDE w:val="0"/>
      <w:autoSpaceDN w:val="0"/>
      <w:adjustRightInd w:val="0"/>
      <w:spacing w:before="240" w:after="240" w:line="240" w:lineRule="auto"/>
    </w:pPr>
    <w:rPr>
      <w:rFonts w:ascii="Times New Roman" w:eastAsia="MS Mincho" w:hAnsi="Times New Roman"/>
      <w:i/>
      <w:iCs/>
      <w:szCs w:val="20"/>
    </w:rPr>
  </w:style>
  <w:style w:type="paragraph" w:customStyle="1" w:styleId="boldsubtitle">
    <w:name w:val="bold subtitle"/>
    <w:basedOn w:val="Normal"/>
    <w:rsid w:val="00F8631B"/>
    <w:pPr>
      <w:autoSpaceDE w:val="0"/>
      <w:autoSpaceDN w:val="0"/>
      <w:adjustRightInd w:val="0"/>
      <w:spacing w:after="240" w:line="240" w:lineRule="auto"/>
    </w:pPr>
    <w:rPr>
      <w:rFonts w:ascii="Times New Roman Bold" w:eastAsia="MS Mincho" w:hAnsi="Times New Roman Bold"/>
      <w:b/>
      <w:bCs/>
      <w:caps/>
      <w:szCs w:val="20"/>
    </w:rPr>
  </w:style>
  <w:style w:type="paragraph" w:customStyle="1" w:styleId="indentedbulletedtext">
    <w:name w:val="indented bulleted text"/>
    <w:basedOn w:val="bulletedtext"/>
    <w:rsid w:val="00F8631B"/>
    <w:pPr>
      <w:widowControl/>
      <w:tabs>
        <w:tab w:val="clear" w:pos="720"/>
        <w:tab w:val="num" w:pos="1080"/>
      </w:tabs>
      <w:autoSpaceDE w:val="0"/>
      <w:autoSpaceDN w:val="0"/>
      <w:adjustRightInd w:val="0"/>
      <w:ind w:left="1080"/>
    </w:pPr>
    <w:rPr>
      <w:iCs/>
      <w:szCs w:val="20"/>
    </w:rPr>
  </w:style>
  <w:style w:type="paragraph" w:customStyle="1" w:styleId="itext">
    <w:name w:val="(i) text"/>
    <w:basedOn w:val="Normal"/>
    <w:rsid w:val="00F8631B"/>
    <w:pPr>
      <w:autoSpaceDE w:val="0"/>
      <w:autoSpaceDN w:val="0"/>
      <w:adjustRightInd w:val="0"/>
      <w:spacing w:after="240" w:line="240" w:lineRule="auto"/>
      <w:ind w:left="720" w:hanging="720"/>
    </w:pPr>
    <w:rPr>
      <w:rFonts w:ascii="Times New Roman" w:eastAsia="MS Mincho" w:hAnsi="Times New Roman"/>
      <w:szCs w:val="20"/>
    </w:rPr>
  </w:style>
  <w:style w:type="paragraph" w:customStyle="1" w:styleId="05indentedtext">
    <w:name w:val="0.5 indented text"/>
    <w:basedOn w:val="Normal"/>
    <w:rsid w:val="00F8631B"/>
    <w:pPr>
      <w:autoSpaceDE w:val="0"/>
      <w:autoSpaceDN w:val="0"/>
      <w:adjustRightInd w:val="0"/>
      <w:spacing w:after="240" w:line="240" w:lineRule="auto"/>
      <w:ind w:left="720"/>
    </w:pPr>
    <w:rPr>
      <w:rFonts w:ascii="Times New Roman" w:eastAsia="MS Mincho" w:hAnsi="Times New Roman"/>
      <w:szCs w:val="20"/>
    </w:rPr>
  </w:style>
  <w:style w:type="paragraph" w:customStyle="1" w:styleId="Italizedsubtitle">
    <w:name w:val="Italized subtitle"/>
    <w:basedOn w:val="boldsubtitle"/>
    <w:rsid w:val="00F8631B"/>
    <w:pPr>
      <w:widowControl w:val="0"/>
      <w:spacing w:after="120"/>
    </w:pPr>
    <w:rPr>
      <w:i/>
      <w:iCs/>
      <w:caps w:val="0"/>
    </w:rPr>
  </w:style>
  <w:style w:type="paragraph" w:customStyle="1" w:styleId="normaltext">
    <w:name w:val="normal text"/>
    <w:basedOn w:val="Normal"/>
    <w:rsid w:val="00F8631B"/>
    <w:pPr>
      <w:spacing w:after="0" w:line="240" w:lineRule="auto"/>
    </w:pPr>
    <w:rPr>
      <w:rFonts w:ascii="Times New Roman" w:eastAsia="MS Mincho" w:hAnsi="Times New Roman"/>
      <w:szCs w:val="24"/>
    </w:rPr>
  </w:style>
  <w:style w:type="paragraph" w:customStyle="1" w:styleId="bulletedpara">
    <w:name w:val="bulleted para"/>
    <w:basedOn w:val="BodyText"/>
    <w:rsid w:val="00F8631B"/>
    <w:pPr>
      <w:tabs>
        <w:tab w:val="num" w:pos="720"/>
      </w:tabs>
      <w:spacing w:after="120"/>
      <w:ind w:left="720" w:hanging="720"/>
      <w:jc w:val="left"/>
    </w:pPr>
    <w:rPr>
      <w:rFonts w:ascii="Times New Roman" w:eastAsia="MS Mincho" w:hAnsi="Times New Roman"/>
      <w:sz w:val="22"/>
      <w:lang w:val="en-US"/>
    </w:rPr>
  </w:style>
  <w:style w:type="paragraph" w:customStyle="1" w:styleId="Footnotestyle">
    <w:name w:val="Footnote style"/>
    <w:basedOn w:val="Normal"/>
    <w:rsid w:val="00F8631B"/>
    <w:pPr>
      <w:autoSpaceDE w:val="0"/>
      <w:autoSpaceDN w:val="0"/>
      <w:adjustRightInd w:val="0"/>
      <w:spacing w:after="120" w:line="240" w:lineRule="auto"/>
      <w:ind w:left="720" w:hanging="720"/>
    </w:pPr>
    <w:rPr>
      <w:rFonts w:ascii="Times New Roman" w:eastAsia="MS Mincho" w:hAnsi="Times New Roman"/>
      <w:i/>
      <w:iCs/>
      <w:sz w:val="18"/>
      <w:szCs w:val="20"/>
    </w:rPr>
  </w:style>
  <w:style w:type="paragraph" w:customStyle="1" w:styleId="DWListBullet">
    <w:name w:val="DW List Bullet"/>
    <w:basedOn w:val="Normal"/>
    <w:rsid w:val="00F8631B"/>
    <w:pPr>
      <w:tabs>
        <w:tab w:val="num" w:pos="1440"/>
      </w:tabs>
      <w:spacing w:after="240" w:line="240" w:lineRule="auto"/>
      <w:ind w:left="1440" w:hanging="720"/>
    </w:pPr>
    <w:rPr>
      <w:rFonts w:ascii="Times New Roman" w:eastAsia="MS Mincho" w:hAnsi="Times New Roman"/>
      <w:sz w:val="24"/>
      <w:szCs w:val="20"/>
    </w:rPr>
  </w:style>
  <w:style w:type="paragraph" w:customStyle="1" w:styleId="BodyTextFJ">
    <w:name w:val="Body Text FJ"/>
    <w:aliases w:val="btj"/>
    <w:basedOn w:val="Normal"/>
    <w:rsid w:val="00F8631B"/>
    <w:pPr>
      <w:spacing w:after="240" w:line="240" w:lineRule="auto"/>
      <w:jc w:val="both"/>
    </w:pPr>
    <w:rPr>
      <w:rFonts w:ascii="Times New Roman" w:eastAsia="MS Mincho" w:hAnsi="Times New Roman"/>
      <w:szCs w:val="20"/>
    </w:rPr>
  </w:style>
  <w:style w:type="paragraph" w:customStyle="1" w:styleId="ListBullet1">
    <w:name w:val="List Bullet 1"/>
    <w:basedOn w:val="Normal"/>
    <w:autoRedefine/>
    <w:rsid w:val="00F8631B"/>
    <w:pPr>
      <w:tabs>
        <w:tab w:val="num" w:pos="360"/>
      </w:tabs>
      <w:spacing w:after="0" w:line="240" w:lineRule="auto"/>
      <w:ind w:left="360" w:hanging="360"/>
      <w:jc w:val="both"/>
    </w:pPr>
    <w:rPr>
      <w:rFonts w:ascii="Times New Roman" w:eastAsia="MS Mincho" w:hAnsi="Times New Roman"/>
      <w:szCs w:val="20"/>
    </w:rPr>
  </w:style>
  <w:style w:type="paragraph" w:customStyle="1" w:styleId="TableHeadings">
    <w:name w:val="Table Headings"/>
    <w:basedOn w:val="Normal"/>
    <w:rsid w:val="00F8631B"/>
    <w:pPr>
      <w:spacing w:before="60" w:after="60" w:line="240" w:lineRule="auto"/>
    </w:pPr>
    <w:rPr>
      <w:rFonts w:ascii="Times New Roman" w:eastAsia="MS Mincho" w:hAnsi="Times New Roman"/>
      <w:b/>
      <w:szCs w:val="20"/>
    </w:rPr>
  </w:style>
  <w:style w:type="paragraph" w:styleId="ListBullet4">
    <w:name w:val="List Bullet 4"/>
    <w:basedOn w:val="Normal"/>
    <w:autoRedefine/>
    <w:rsid w:val="00F8631B"/>
    <w:pPr>
      <w:numPr>
        <w:numId w:val="59"/>
      </w:numPr>
      <w:tabs>
        <w:tab w:val="clear" w:pos="1440"/>
      </w:tabs>
      <w:spacing w:after="0" w:line="240" w:lineRule="auto"/>
      <w:ind w:left="2880" w:hanging="720"/>
    </w:pPr>
    <w:rPr>
      <w:rFonts w:ascii="Times New Roman" w:eastAsia="MS Mincho" w:hAnsi="Times New Roman"/>
      <w:szCs w:val="20"/>
    </w:rPr>
  </w:style>
  <w:style w:type="paragraph" w:styleId="ListBullet5">
    <w:name w:val="List Bullet 5"/>
    <w:basedOn w:val="Normal"/>
    <w:autoRedefine/>
    <w:rsid w:val="00F8631B"/>
    <w:pPr>
      <w:numPr>
        <w:numId w:val="60"/>
      </w:numPr>
      <w:tabs>
        <w:tab w:val="clear" w:pos="1800"/>
      </w:tabs>
      <w:spacing w:after="0" w:line="240" w:lineRule="auto"/>
      <w:ind w:left="3600" w:hanging="720"/>
    </w:pPr>
    <w:rPr>
      <w:rFonts w:ascii="Times New Roman" w:eastAsia="MS Mincho" w:hAnsi="Times New Roman"/>
      <w:szCs w:val="20"/>
    </w:rPr>
  </w:style>
  <w:style w:type="paragraph" w:styleId="ListNumber4">
    <w:name w:val="List Number 4"/>
    <w:basedOn w:val="ListNumber"/>
    <w:rsid w:val="00F8631B"/>
    <w:pPr>
      <w:widowControl/>
      <w:numPr>
        <w:numId w:val="61"/>
      </w:numPr>
      <w:spacing w:before="0" w:after="0"/>
      <w:ind w:left="2880" w:hanging="720"/>
      <w:jc w:val="left"/>
    </w:pPr>
    <w:rPr>
      <w:rFonts w:ascii="Times New Roman" w:eastAsia="MS Mincho" w:hAnsi="Times New Roman" w:cs="Times New Roman"/>
      <w:sz w:val="22"/>
      <w:szCs w:val="20"/>
    </w:rPr>
  </w:style>
  <w:style w:type="paragraph" w:styleId="ListNumber5">
    <w:name w:val="List Number 5"/>
    <w:basedOn w:val="ListNumber"/>
    <w:rsid w:val="00F8631B"/>
    <w:pPr>
      <w:widowControl/>
      <w:numPr>
        <w:numId w:val="62"/>
      </w:numPr>
      <w:spacing w:before="0" w:after="0"/>
      <w:ind w:left="3600" w:hanging="720"/>
      <w:jc w:val="left"/>
    </w:pPr>
    <w:rPr>
      <w:rFonts w:ascii="Times New Roman" w:eastAsia="MS Mincho" w:hAnsi="Times New Roman" w:cs="Times New Roman"/>
      <w:sz w:val="22"/>
      <w:szCs w:val="20"/>
    </w:rPr>
  </w:style>
  <w:style w:type="paragraph" w:customStyle="1" w:styleId="ListNumber1">
    <w:name w:val="List Number 1"/>
    <w:basedOn w:val="ListNumber"/>
    <w:rsid w:val="00F8631B"/>
    <w:pPr>
      <w:widowControl/>
      <w:tabs>
        <w:tab w:val="clear" w:pos="360"/>
      </w:tabs>
      <w:spacing w:before="0" w:after="0"/>
      <w:ind w:left="720" w:hanging="720"/>
      <w:jc w:val="left"/>
    </w:pPr>
    <w:rPr>
      <w:rFonts w:ascii="Times New Roman" w:eastAsia="MS Mincho" w:hAnsi="Times New Roman" w:cs="Times New Roman"/>
      <w:sz w:val="22"/>
      <w:szCs w:val="20"/>
    </w:rPr>
  </w:style>
  <w:style w:type="paragraph" w:customStyle="1" w:styleId="AuthorNoteHidden">
    <w:name w:val="Author Note (Hidden)"/>
    <w:basedOn w:val="Normal"/>
    <w:rsid w:val="00F8631B"/>
    <w:pPr>
      <w:keepLines/>
      <w:tabs>
        <w:tab w:val="num" w:pos="1134"/>
      </w:tabs>
      <w:spacing w:after="0" w:line="240" w:lineRule="auto"/>
      <w:ind w:left="1134" w:hanging="567"/>
    </w:pPr>
    <w:rPr>
      <w:rFonts w:ascii="Times" w:hAnsi="Times"/>
      <w:vanish/>
      <w:color w:val="0000FF"/>
      <w:sz w:val="24"/>
      <w:szCs w:val="20"/>
    </w:rPr>
  </w:style>
  <w:style w:type="paragraph" w:customStyle="1" w:styleId="Table0">
    <w:name w:val="Table"/>
    <w:basedOn w:val="Normal"/>
    <w:rsid w:val="00F8631B"/>
    <w:pPr>
      <w:spacing w:before="60" w:after="60" w:line="240" w:lineRule="auto"/>
    </w:pPr>
    <w:rPr>
      <w:rFonts w:ascii="Times New Roman" w:eastAsia="MS Mincho" w:hAnsi="Times New Roman"/>
      <w:szCs w:val="20"/>
    </w:rPr>
  </w:style>
  <w:style w:type="character" w:customStyle="1" w:styleId="DocID">
    <w:name w:val="DocID"/>
    <w:rsid w:val="00F8631B"/>
    <w:rPr>
      <w:rFonts w:ascii="Times New Roman" w:hAnsi="Times New Roman" w:cs="Times New Roman"/>
      <w:sz w:val="16"/>
      <w:u w:val="none"/>
      <w:lang w:val="en-GB" w:eastAsia="en-US" w:bidi="ar-SA"/>
    </w:rPr>
  </w:style>
  <w:style w:type="paragraph" w:customStyle="1" w:styleId="StyleBodyTextbtBodyTextCharTABLETEXTbodytextBodyTextCh">
    <w:name w:val="Style Body TextbtBody Text CharTABLE TEXTbody textBody Text Ch..."/>
    <w:basedOn w:val="BodyText"/>
    <w:rsid w:val="00F8631B"/>
    <w:rPr>
      <w:rFonts w:ascii="Times New Roman" w:eastAsia="MS Mincho" w:hAnsi="Times New Roman"/>
      <w:sz w:val="22"/>
      <w:szCs w:val="20"/>
      <w:lang w:val="en-US"/>
    </w:rPr>
  </w:style>
  <w:style w:type="character" w:styleId="LineNumber">
    <w:name w:val="line number"/>
    <w:rsid w:val="00F8631B"/>
    <w:rPr>
      <w:rFonts w:cs="Times New Roman"/>
      <w:lang w:val="en-GB" w:eastAsia="en-US" w:bidi="ar-SA"/>
    </w:rPr>
  </w:style>
  <w:style w:type="paragraph" w:customStyle="1" w:styleId="MLKeyTable">
    <w:name w:val="MLKeyTable"/>
    <w:rsid w:val="00F8631B"/>
    <w:pPr>
      <w:widowControl w:val="0"/>
      <w:spacing w:before="60" w:after="60" w:line="240" w:lineRule="auto"/>
      <w:jc w:val="center"/>
    </w:pPr>
    <w:rPr>
      <w:rFonts w:ascii="Arial" w:eastAsia="MS Mincho" w:hAnsi="Arial" w:cs="Times New Roman"/>
      <w:noProof/>
      <w:kern w:val="0"/>
      <w:sz w:val="20"/>
      <w:szCs w:val="20"/>
      <w14:ligatures w14:val="none"/>
    </w:rPr>
  </w:style>
  <w:style w:type="paragraph" w:customStyle="1" w:styleId="p33">
    <w:name w:val="p33"/>
    <w:basedOn w:val="Normal"/>
    <w:rsid w:val="00F8631B"/>
    <w:pPr>
      <w:widowControl w:val="0"/>
      <w:autoSpaceDE w:val="0"/>
      <w:autoSpaceDN w:val="0"/>
      <w:adjustRightInd w:val="0"/>
      <w:spacing w:after="0" w:line="240" w:lineRule="auto"/>
      <w:jc w:val="both"/>
    </w:pPr>
    <w:rPr>
      <w:rFonts w:ascii="Times New Roman" w:eastAsia="MS Mincho" w:hAnsi="Times New Roman"/>
      <w:sz w:val="24"/>
      <w:szCs w:val="24"/>
    </w:rPr>
  </w:style>
  <w:style w:type="paragraph" w:customStyle="1" w:styleId="berschriftzentriert">
    <w:name w:val="Überschrift zentriert"/>
    <w:basedOn w:val="Heading5"/>
    <w:rsid w:val="00F8631B"/>
    <w:pPr>
      <w:tabs>
        <w:tab w:val="left" w:pos="720"/>
        <w:tab w:val="center" w:pos="4395"/>
      </w:tabs>
      <w:spacing w:before="0" w:line="240" w:lineRule="auto"/>
      <w:outlineLvl w:val="9"/>
    </w:pPr>
    <w:rPr>
      <w:rFonts w:ascii="Times New Roman" w:eastAsia="MS Mincho" w:hAnsi="Times New Roman"/>
      <w:b w:val="0"/>
      <w:bCs w:val="0"/>
      <w:color w:val="auto"/>
      <w:u w:val="single"/>
      <w:lang w:val="de-DE" w:bidi="ar-SA"/>
    </w:rPr>
  </w:style>
  <w:style w:type="paragraph" w:customStyle="1" w:styleId="c3">
    <w:name w:val="c3"/>
    <w:basedOn w:val="Normal"/>
    <w:rsid w:val="00F8631B"/>
    <w:pPr>
      <w:widowControl w:val="0"/>
      <w:autoSpaceDE w:val="0"/>
      <w:autoSpaceDN w:val="0"/>
      <w:adjustRightInd w:val="0"/>
      <w:spacing w:after="0" w:line="240" w:lineRule="auto"/>
      <w:jc w:val="center"/>
    </w:pPr>
    <w:rPr>
      <w:rFonts w:ascii="Times New Roman" w:eastAsia="MS Mincho" w:hAnsi="Times New Roman"/>
      <w:sz w:val="24"/>
      <w:szCs w:val="24"/>
    </w:rPr>
  </w:style>
  <w:style w:type="paragraph" w:customStyle="1" w:styleId="p12">
    <w:name w:val="p12"/>
    <w:basedOn w:val="Normal"/>
    <w:rsid w:val="00F8631B"/>
    <w:pPr>
      <w:widowControl w:val="0"/>
      <w:tabs>
        <w:tab w:val="left" w:pos="391"/>
      </w:tabs>
      <w:autoSpaceDE w:val="0"/>
      <w:autoSpaceDN w:val="0"/>
      <w:adjustRightInd w:val="0"/>
      <w:spacing w:after="0" w:line="240" w:lineRule="auto"/>
      <w:ind w:left="1049" w:hanging="391"/>
    </w:pPr>
    <w:rPr>
      <w:rFonts w:ascii="Times New Roman" w:eastAsia="MS Mincho" w:hAnsi="Times New Roman"/>
      <w:sz w:val="24"/>
      <w:szCs w:val="24"/>
    </w:rPr>
  </w:style>
  <w:style w:type="paragraph" w:customStyle="1" w:styleId="p7">
    <w:name w:val="p7"/>
    <w:basedOn w:val="Normal"/>
    <w:rsid w:val="00F8631B"/>
    <w:pPr>
      <w:widowControl w:val="0"/>
      <w:tabs>
        <w:tab w:val="left" w:pos="204"/>
      </w:tabs>
      <w:autoSpaceDE w:val="0"/>
      <w:autoSpaceDN w:val="0"/>
      <w:adjustRightInd w:val="0"/>
      <w:spacing w:after="0" w:line="240" w:lineRule="auto"/>
      <w:jc w:val="both"/>
    </w:pPr>
    <w:rPr>
      <w:rFonts w:ascii="Times New Roman" w:eastAsia="MS Mincho" w:hAnsi="Times New Roman"/>
      <w:sz w:val="24"/>
      <w:szCs w:val="24"/>
    </w:rPr>
  </w:style>
  <w:style w:type="paragraph" w:customStyle="1" w:styleId="c9">
    <w:name w:val="c9"/>
    <w:basedOn w:val="Normal"/>
    <w:rsid w:val="00F8631B"/>
    <w:pPr>
      <w:widowControl w:val="0"/>
      <w:autoSpaceDE w:val="0"/>
      <w:autoSpaceDN w:val="0"/>
      <w:adjustRightInd w:val="0"/>
      <w:spacing w:after="0" w:line="240" w:lineRule="auto"/>
      <w:jc w:val="center"/>
    </w:pPr>
    <w:rPr>
      <w:rFonts w:ascii="Times New Roman" w:eastAsia="MS Mincho" w:hAnsi="Times New Roman"/>
      <w:sz w:val="24"/>
      <w:szCs w:val="24"/>
    </w:rPr>
  </w:style>
  <w:style w:type="paragraph" w:customStyle="1" w:styleId="p13">
    <w:name w:val="p13"/>
    <w:basedOn w:val="Normal"/>
    <w:rsid w:val="00F8631B"/>
    <w:pPr>
      <w:widowControl w:val="0"/>
      <w:tabs>
        <w:tab w:val="left" w:pos="668"/>
      </w:tabs>
      <w:autoSpaceDE w:val="0"/>
      <w:autoSpaceDN w:val="0"/>
      <w:adjustRightInd w:val="0"/>
      <w:spacing w:after="0" w:line="240" w:lineRule="auto"/>
      <w:ind w:left="772" w:hanging="668"/>
      <w:jc w:val="both"/>
    </w:pPr>
    <w:rPr>
      <w:rFonts w:ascii="Times New Roman" w:eastAsia="MS Mincho" w:hAnsi="Times New Roman"/>
      <w:sz w:val="24"/>
      <w:szCs w:val="24"/>
    </w:rPr>
  </w:style>
  <w:style w:type="paragraph" w:customStyle="1" w:styleId="StyleBtj10pt">
    <w:name w:val="Style Btj + 10 pt"/>
    <w:basedOn w:val="Normal"/>
    <w:rsid w:val="00F8631B"/>
    <w:pPr>
      <w:keepNext/>
      <w:spacing w:after="0" w:line="240" w:lineRule="auto"/>
      <w:jc w:val="both"/>
      <w:outlineLvl w:val="3"/>
    </w:pPr>
    <w:rPr>
      <w:rFonts w:ascii="Times New Roman" w:eastAsia="MS Mincho" w:hAnsi="Times New Roman"/>
      <w:bCs/>
      <w:sz w:val="20"/>
      <w:szCs w:val="20"/>
      <w:lang w:val="en-GB"/>
    </w:rPr>
  </w:style>
  <w:style w:type="paragraph" w:customStyle="1" w:styleId="StyleHeading411pt">
    <w:name w:val="Style Heading 4 + 11 pt"/>
    <w:basedOn w:val="Heading4"/>
    <w:rsid w:val="00F8631B"/>
    <w:pPr>
      <w:keepNext/>
      <w:numPr>
        <w:ilvl w:val="3"/>
      </w:numPr>
      <w:tabs>
        <w:tab w:val="num" w:pos="864"/>
      </w:tabs>
      <w:spacing w:before="240" w:after="60" w:line="240" w:lineRule="auto"/>
      <w:ind w:left="864" w:hanging="864"/>
    </w:pPr>
    <w:rPr>
      <w:rFonts w:ascii="Times New Roman Bold" w:eastAsia="MS Mincho" w:hAnsi="Times New Roman Bold"/>
      <w:i w:val="0"/>
      <w:iCs w:val="0"/>
      <w:smallCaps/>
      <w:lang w:val="en-GB" w:bidi="ar-SA"/>
    </w:rPr>
  </w:style>
  <w:style w:type="paragraph" w:customStyle="1" w:styleId="zCompanyName">
    <w:name w:val="z Company Name"/>
    <w:basedOn w:val="Normal"/>
    <w:rsid w:val="00F8631B"/>
    <w:pPr>
      <w:spacing w:before="100" w:after="0" w:line="240" w:lineRule="auto"/>
    </w:pPr>
    <w:rPr>
      <w:rFonts w:ascii="Book Antiqua" w:eastAsia="PMingLiU" w:hAnsi="Book Antiqua"/>
      <w:i/>
      <w:iCs/>
      <w:sz w:val="18"/>
      <w:szCs w:val="18"/>
    </w:rPr>
  </w:style>
  <w:style w:type="paragraph" w:customStyle="1" w:styleId="TableSubheading">
    <w:name w:val="Table Subheading"/>
    <w:basedOn w:val="Normal"/>
    <w:rsid w:val="00F8631B"/>
    <w:pPr>
      <w:spacing w:before="160" w:after="0" w:line="240" w:lineRule="auto"/>
    </w:pPr>
    <w:rPr>
      <w:rFonts w:ascii="Times New Roman" w:eastAsia="MS Mincho" w:hAnsi="Times New Roman"/>
      <w:b/>
      <w:bCs/>
      <w:sz w:val="18"/>
      <w:szCs w:val="18"/>
    </w:rPr>
  </w:style>
  <w:style w:type="paragraph" w:customStyle="1" w:styleId="manual">
    <w:name w:val="manual"/>
    <w:basedOn w:val="Normal"/>
    <w:rsid w:val="00F8631B"/>
    <w:pPr>
      <w:spacing w:after="240" w:line="360" w:lineRule="auto"/>
      <w:ind w:left="1440" w:hanging="720"/>
      <w:jc w:val="both"/>
    </w:pPr>
    <w:rPr>
      <w:rFonts w:ascii="Garamond MT" w:eastAsia="MS Mincho" w:hAnsi="Garamond MT"/>
      <w:sz w:val="24"/>
      <w:szCs w:val="20"/>
    </w:rPr>
  </w:style>
  <w:style w:type="paragraph" w:customStyle="1" w:styleId="WW-BodyTextIndent3">
    <w:name w:val="WW-Body Text Indent 3"/>
    <w:basedOn w:val="Normal"/>
    <w:rsid w:val="00F8631B"/>
    <w:pPr>
      <w:widowControl w:val="0"/>
      <w:suppressAutoHyphens/>
      <w:overflowPunct w:val="0"/>
      <w:autoSpaceDE w:val="0"/>
      <w:autoSpaceDN w:val="0"/>
      <w:adjustRightInd w:val="0"/>
      <w:spacing w:after="0" w:line="240" w:lineRule="auto"/>
      <w:ind w:left="720" w:hanging="720"/>
      <w:jc w:val="both"/>
      <w:textAlignment w:val="baseline"/>
    </w:pPr>
    <w:rPr>
      <w:rFonts w:ascii="Arial" w:eastAsia="MS Mincho" w:hAnsi="Arial"/>
      <w:noProof/>
      <w:sz w:val="24"/>
      <w:szCs w:val="20"/>
    </w:rPr>
  </w:style>
  <w:style w:type="paragraph" w:customStyle="1" w:styleId="Style12ptJustifiedLeft0cmHanging127cm">
    <w:name w:val="Style 12 pt Justified Left:  0 cm Hanging:  1.27 cm"/>
    <w:basedOn w:val="Normal"/>
    <w:rsid w:val="00F8631B"/>
    <w:pPr>
      <w:widowControl w:val="0"/>
      <w:autoSpaceDE w:val="0"/>
      <w:autoSpaceDN w:val="0"/>
      <w:adjustRightInd w:val="0"/>
      <w:spacing w:after="0" w:line="240" w:lineRule="auto"/>
      <w:ind w:left="720" w:hanging="720"/>
      <w:jc w:val="both"/>
    </w:pPr>
    <w:rPr>
      <w:rFonts w:ascii="Times New Roman" w:eastAsia="MS Mincho" w:hAnsi="Times New Roman"/>
      <w:sz w:val="24"/>
      <w:szCs w:val="20"/>
      <w:lang w:val="en-IN"/>
    </w:rPr>
  </w:style>
  <w:style w:type="paragraph" w:customStyle="1" w:styleId="p0">
    <w:name w:val="p0"/>
    <w:basedOn w:val="Normal"/>
    <w:rsid w:val="00F8631B"/>
    <w:pPr>
      <w:widowControl w:val="0"/>
      <w:tabs>
        <w:tab w:val="left" w:pos="720"/>
      </w:tabs>
      <w:spacing w:after="0" w:line="240" w:lineRule="atLeast"/>
      <w:jc w:val="both"/>
    </w:pPr>
    <w:rPr>
      <w:rFonts w:ascii="Times New Roman" w:eastAsia="MS Mincho" w:hAnsi="Times New Roman"/>
      <w:sz w:val="24"/>
      <w:szCs w:val="20"/>
    </w:rPr>
  </w:style>
  <w:style w:type="character" w:customStyle="1" w:styleId="DeltaViewMoveDestination">
    <w:name w:val="DeltaView Move Destination"/>
    <w:rsid w:val="00F8631B"/>
    <w:rPr>
      <w:color w:val="00C000"/>
      <w:spacing w:val="0"/>
      <w:u w:val="double"/>
    </w:rPr>
  </w:style>
  <w:style w:type="paragraph" w:customStyle="1" w:styleId="TitleLeft">
    <w:name w:val="Title Left"/>
    <w:basedOn w:val="Normal"/>
    <w:rsid w:val="00F8631B"/>
    <w:pPr>
      <w:keepNext/>
      <w:spacing w:after="240" w:line="240" w:lineRule="auto"/>
    </w:pPr>
    <w:rPr>
      <w:rFonts w:ascii="Arial" w:eastAsia="MS Mincho" w:hAnsi="Arial"/>
      <w:b/>
      <w:caps/>
      <w:sz w:val="20"/>
      <w:szCs w:val="20"/>
    </w:rPr>
  </w:style>
  <w:style w:type="paragraph" w:customStyle="1" w:styleId="TitleItalic">
    <w:name w:val="Title Italic"/>
    <w:basedOn w:val="Normal"/>
    <w:next w:val="BodyText5FirstLineIndent"/>
    <w:rsid w:val="00F8631B"/>
    <w:pPr>
      <w:keepNext/>
      <w:spacing w:after="240" w:line="240" w:lineRule="auto"/>
    </w:pPr>
    <w:rPr>
      <w:rFonts w:ascii="Arial" w:eastAsia="MS Mincho" w:hAnsi="Arial"/>
      <w:i/>
      <w:sz w:val="20"/>
      <w:szCs w:val="24"/>
    </w:rPr>
  </w:style>
  <w:style w:type="paragraph" w:customStyle="1" w:styleId="bullet2">
    <w:name w:val="bullet 2"/>
    <w:basedOn w:val="Normal"/>
    <w:rsid w:val="00F8631B"/>
    <w:pPr>
      <w:tabs>
        <w:tab w:val="num" w:pos="360"/>
      </w:tabs>
      <w:spacing w:after="140" w:line="290" w:lineRule="auto"/>
      <w:ind w:left="360" w:hanging="360"/>
      <w:jc w:val="both"/>
    </w:pPr>
    <w:rPr>
      <w:rFonts w:ascii="Arial" w:eastAsia="MS Mincho" w:hAnsi="Arial"/>
      <w:kern w:val="20"/>
      <w:sz w:val="20"/>
      <w:szCs w:val="24"/>
      <w:lang w:val="en-GB"/>
    </w:rPr>
  </w:style>
  <w:style w:type="paragraph" w:customStyle="1" w:styleId="bullet4">
    <w:name w:val="bullet 4"/>
    <w:basedOn w:val="Normal"/>
    <w:rsid w:val="00F8631B"/>
    <w:pPr>
      <w:tabs>
        <w:tab w:val="num" w:pos="2608"/>
      </w:tabs>
      <w:spacing w:after="140" w:line="290" w:lineRule="auto"/>
      <w:ind w:left="2608" w:hanging="567"/>
      <w:jc w:val="both"/>
    </w:pPr>
    <w:rPr>
      <w:rFonts w:ascii="Arial" w:eastAsia="MS Mincho" w:hAnsi="Arial"/>
      <w:kern w:val="20"/>
      <w:sz w:val="20"/>
      <w:szCs w:val="24"/>
      <w:lang w:val="en-GB"/>
    </w:rPr>
  </w:style>
  <w:style w:type="paragraph" w:customStyle="1" w:styleId="TCLevel3">
    <w:name w:val="T+C Level 3"/>
    <w:basedOn w:val="Normal"/>
    <w:rsid w:val="00F8631B"/>
    <w:pPr>
      <w:tabs>
        <w:tab w:val="num" w:pos="2041"/>
      </w:tabs>
      <w:spacing w:after="140" w:line="290" w:lineRule="auto"/>
      <w:ind w:left="2041" w:hanging="680"/>
      <w:jc w:val="both"/>
      <w:outlineLvl w:val="2"/>
    </w:pPr>
    <w:rPr>
      <w:rFonts w:ascii="Arial" w:eastAsia="MS Mincho" w:hAnsi="Arial"/>
      <w:kern w:val="20"/>
      <w:sz w:val="20"/>
      <w:szCs w:val="24"/>
      <w:lang w:val="en-GB"/>
    </w:rPr>
  </w:style>
  <w:style w:type="paragraph" w:customStyle="1" w:styleId="UCRoman1">
    <w:name w:val="UCRoman 1"/>
    <w:basedOn w:val="Normal"/>
    <w:rsid w:val="00F8631B"/>
    <w:pPr>
      <w:tabs>
        <w:tab w:val="num" w:pos="680"/>
      </w:tabs>
      <w:spacing w:after="140" w:line="290" w:lineRule="auto"/>
      <w:ind w:left="680" w:hanging="680"/>
      <w:jc w:val="both"/>
    </w:pPr>
    <w:rPr>
      <w:rFonts w:ascii="Arial" w:eastAsia="MS Mincho" w:hAnsi="Arial"/>
      <w:kern w:val="20"/>
      <w:sz w:val="20"/>
      <w:szCs w:val="24"/>
      <w:lang w:val="en-GB"/>
    </w:rPr>
  </w:style>
  <w:style w:type="paragraph" w:customStyle="1" w:styleId="doublealpha">
    <w:name w:val="double alpha"/>
    <w:basedOn w:val="Normal"/>
    <w:rsid w:val="00F8631B"/>
    <w:pPr>
      <w:tabs>
        <w:tab w:val="num" w:pos="680"/>
      </w:tabs>
      <w:spacing w:after="140" w:line="290" w:lineRule="auto"/>
      <w:ind w:left="680" w:hanging="680"/>
      <w:jc w:val="both"/>
    </w:pPr>
    <w:rPr>
      <w:rFonts w:ascii="Arial" w:eastAsia="MS Mincho" w:hAnsi="Arial"/>
      <w:kern w:val="20"/>
      <w:sz w:val="20"/>
      <w:szCs w:val="24"/>
      <w:lang w:val="en-GB"/>
    </w:rPr>
  </w:style>
  <w:style w:type="paragraph" w:customStyle="1" w:styleId="Body2">
    <w:name w:val="Body 2"/>
    <w:basedOn w:val="Normal"/>
    <w:rsid w:val="00F8631B"/>
    <w:pPr>
      <w:spacing w:after="0" w:line="240" w:lineRule="auto"/>
      <w:ind w:left="992"/>
      <w:jc w:val="both"/>
    </w:pPr>
    <w:rPr>
      <w:rFonts w:ascii="Arial" w:eastAsia="MS Mincho" w:hAnsi="Arial"/>
      <w:kern w:val="20"/>
      <w:sz w:val="20"/>
      <w:szCs w:val="20"/>
      <w:lang w:val="en-GB"/>
    </w:rPr>
  </w:style>
  <w:style w:type="paragraph" w:customStyle="1" w:styleId="Alpha3-A">
    <w:name w:val="Alpha 3-(A)"/>
    <w:basedOn w:val="Normal"/>
    <w:rsid w:val="00F8631B"/>
    <w:pPr>
      <w:tabs>
        <w:tab w:val="num" w:pos="1559"/>
      </w:tabs>
      <w:spacing w:after="0" w:line="240" w:lineRule="auto"/>
      <w:ind w:left="1559" w:hanging="567"/>
      <w:jc w:val="both"/>
    </w:pPr>
    <w:rPr>
      <w:rFonts w:ascii="Arial" w:eastAsia="MS Mincho" w:hAnsi="Arial"/>
      <w:kern w:val="20"/>
      <w:sz w:val="20"/>
      <w:szCs w:val="20"/>
      <w:lang w:val="en-GB"/>
    </w:rPr>
  </w:style>
  <w:style w:type="paragraph" w:customStyle="1" w:styleId="Alpha3-Abold">
    <w:name w:val="Alpha 3-(A) bold"/>
    <w:basedOn w:val="Alpha3-A"/>
    <w:next w:val="Normal"/>
    <w:rsid w:val="00F8631B"/>
    <w:pPr>
      <w:keepNext/>
      <w:tabs>
        <w:tab w:val="clear" w:pos="1559"/>
        <w:tab w:val="num" w:pos="360"/>
      </w:tabs>
      <w:ind w:left="360" w:hanging="360"/>
    </w:pPr>
    <w:rPr>
      <w:b/>
    </w:rPr>
  </w:style>
  <w:style w:type="paragraph" w:customStyle="1" w:styleId="Roman3-I">
    <w:name w:val="Roman 3-(I)"/>
    <w:basedOn w:val="Normal"/>
    <w:rsid w:val="00F8631B"/>
    <w:pPr>
      <w:tabs>
        <w:tab w:val="left" w:pos="1559"/>
      </w:tabs>
      <w:spacing w:after="0" w:line="240" w:lineRule="auto"/>
      <w:ind w:left="1559" w:hanging="567"/>
      <w:jc w:val="both"/>
    </w:pPr>
    <w:rPr>
      <w:rFonts w:ascii="Arial" w:eastAsia="MS Mincho" w:hAnsi="Arial"/>
      <w:kern w:val="20"/>
      <w:sz w:val="20"/>
      <w:szCs w:val="20"/>
      <w:lang w:val="en-GB"/>
    </w:rPr>
  </w:style>
  <w:style w:type="paragraph" w:customStyle="1" w:styleId="Roman3-I0">
    <w:name w:val="Roman 3-I"/>
    <w:basedOn w:val="Normal"/>
    <w:rsid w:val="00F8631B"/>
    <w:pPr>
      <w:tabs>
        <w:tab w:val="num" w:pos="1559"/>
      </w:tabs>
      <w:spacing w:after="0" w:line="240" w:lineRule="auto"/>
      <w:ind w:left="1559" w:hanging="567"/>
      <w:jc w:val="both"/>
    </w:pPr>
    <w:rPr>
      <w:rFonts w:ascii="Arial" w:eastAsia="MS Mincho" w:hAnsi="Arial"/>
      <w:kern w:val="20"/>
      <w:sz w:val="20"/>
      <w:szCs w:val="20"/>
      <w:lang w:val="en-GB"/>
    </w:rPr>
  </w:style>
  <w:style w:type="paragraph" w:styleId="Signature">
    <w:name w:val="Signature"/>
    <w:basedOn w:val="Normal"/>
    <w:link w:val="SignatureChar"/>
    <w:rsid w:val="00F8631B"/>
    <w:pPr>
      <w:keepLines/>
      <w:spacing w:after="0" w:line="240" w:lineRule="auto"/>
      <w:ind w:left="5040"/>
    </w:pPr>
    <w:rPr>
      <w:rFonts w:ascii="Times New Roman" w:eastAsia="MS Mincho" w:hAnsi="Times New Roman"/>
      <w:sz w:val="24"/>
      <w:szCs w:val="24"/>
      <w:lang w:val="x-none" w:eastAsia="x-none"/>
    </w:rPr>
  </w:style>
  <w:style w:type="character" w:customStyle="1" w:styleId="SignatureChar">
    <w:name w:val="Signature Char"/>
    <w:basedOn w:val="DefaultParagraphFont"/>
    <w:link w:val="Signature"/>
    <w:rsid w:val="00F8631B"/>
    <w:rPr>
      <w:rFonts w:ascii="Times New Roman" w:eastAsia="MS Mincho" w:hAnsi="Times New Roman" w:cs="Times New Roman"/>
      <w:kern w:val="0"/>
      <w:sz w:val="24"/>
      <w:szCs w:val="24"/>
      <w:lang w:val="x-none" w:eastAsia="x-none"/>
      <w14:ligatures w14:val="none"/>
    </w:rPr>
  </w:style>
  <w:style w:type="paragraph" w:customStyle="1" w:styleId="Confidentiality">
    <w:name w:val="Confidentiality"/>
    <w:basedOn w:val="Date"/>
    <w:rsid w:val="00F8631B"/>
    <w:pPr>
      <w:spacing w:before="480" w:after="360"/>
      <w:jc w:val="right"/>
    </w:pPr>
    <w:rPr>
      <w:b/>
      <w:caps/>
    </w:rPr>
  </w:style>
  <w:style w:type="paragraph" w:styleId="Date">
    <w:name w:val="Date"/>
    <w:basedOn w:val="Normal"/>
    <w:next w:val="Normal"/>
    <w:link w:val="DateChar"/>
    <w:rsid w:val="00F8631B"/>
    <w:pPr>
      <w:spacing w:after="0" w:line="240" w:lineRule="auto"/>
    </w:pPr>
    <w:rPr>
      <w:rFonts w:ascii="Times New Roman" w:eastAsia="MS Mincho" w:hAnsi="Times New Roman"/>
      <w:sz w:val="24"/>
      <w:szCs w:val="24"/>
      <w:lang w:val="x-none" w:eastAsia="x-none"/>
    </w:rPr>
  </w:style>
  <w:style w:type="character" w:customStyle="1" w:styleId="DateChar">
    <w:name w:val="Date Char"/>
    <w:basedOn w:val="DefaultParagraphFont"/>
    <w:link w:val="Date"/>
    <w:rsid w:val="00F8631B"/>
    <w:rPr>
      <w:rFonts w:ascii="Times New Roman" w:eastAsia="MS Mincho" w:hAnsi="Times New Roman" w:cs="Times New Roman"/>
      <w:kern w:val="0"/>
      <w:sz w:val="24"/>
      <w:szCs w:val="24"/>
      <w:lang w:val="x-none" w:eastAsia="x-none"/>
      <w14:ligatures w14:val="none"/>
    </w:rPr>
  </w:style>
  <w:style w:type="paragraph" w:customStyle="1" w:styleId="BodyTextNoIndent2">
    <w:name w:val="Body Text No Indent 2"/>
    <w:basedOn w:val="Normal"/>
    <w:rsid w:val="00F8631B"/>
    <w:pPr>
      <w:spacing w:after="0" w:line="480" w:lineRule="auto"/>
    </w:pPr>
    <w:rPr>
      <w:rFonts w:ascii="Times New Roman" w:eastAsia="MS Mincho" w:hAnsi="Times New Roman"/>
      <w:sz w:val="24"/>
      <w:szCs w:val="24"/>
    </w:rPr>
  </w:style>
  <w:style w:type="paragraph" w:customStyle="1" w:styleId="TableTextFirstIndent">
    <w:name w:val="Table Text First Indent"/>
    <w:basedOn w:val="Normal"/>
    <w:rsid w:val="00F8631B"/>
    <w:pPr>
      <w:spacing w:after="0" w:line="240" w:lineRule="auto"/>
      <w:ind w:firstLine="720"/>
    </w:pPr>
    <w:rPr>
      <w:rFonts w:ascii="Times New Roman" w:eastAsia="MS Mincho" w:hAnsi="Times New Roman"/>
      <w:sz w:val="24"/>
      <w:szCs w:val="24"/>
    </w:rPr>
  </w:style>
  <w:style w:type="paragraph" w:customStyle="1" w:styleId="TableTitle">
    <w:name w:val="Table Title"/>
    <w:basedOn w:val="Normal"/>
    <w:next w:val="TableTextFirstIndent"/>
    <w:rsid w:val="00F8631B"/>
    <w:pPr>
      <w:spacing w:after="0" w:line="240" w:lineRule="auto"/>
      <w:jc w:val="center"/>
    </w:pPr>
    <w:rPr>
      <w:rFonts w:ascii="Times New Roman" w:eastAsia="MS Mincho" w:hAnsi="Times New Roman"/>
      <w:b/>
      <w:sz w:val="24"/>
      <w:szCs w:val="24"/>
    </w:rPr>
  </w:style>
  <w:style w:type="paragraph" w:customStyle="1" w:styleId="BodyText5FirstLineIndent2">
    <w:name w:val="Body Text .5 First Line Indent 2"/>
    <w:basedOn w:val="Normal"/>
    <w:rsid w:val="00F8631B"/>
    <w:pPr>
      <w:spacing w:after="0" w:line="480" w:lineRule="auto"/>
      <w:ind w:firstLine="720"/>
    </w:pPr>
    <w:rPr>
      <w:rFonts w:ascii="Times New Roman" w:eastAsia="MS Mincho" w:hAnsi="Times New Roman"/>
      <w:sz w:val="24"/>
      <w:szCs w:val="24"/>
    </w:rPr>
  </w:style>
  <w:style w:type="paragraph" w:customStyle="1" w:styleId="Title5">
    <w:name w:val="Title5"/>
    <w:basedOn w:val="Normal"/>
    <w:next w:val="BodyTextFirstIndent"/>
    <w:rsid w:val="00F8631B"/>
    <w:pPr>
      <w:keepNext/>
      <w:keepLines/>
      <w:spacing w:after="240" w:line="240" w:lineRule="auto"/>
      <w:jc w:val="center"/>
    </w:pPr>
    <w:rPr>
      <w:rFonts w:ascii="Times New Roman" w:eastAsia="MS Mincho" w:hAnsi="Times New Roman"/>
      <w:sz w:val="24"/>
      <w:szCs w:val="24"/>
    </w:rPr>
  </w:style>
  <w:style w:type="paragraph" w:customStyle="1" w:styleId="Preamble">
    <w:name w:val="Preamble"/>
    <w:basedOn w:val="Normal"/>
    <w:next w:val="Normal"/>
    <w:rsid w:val="00F8631B"/>
    <w:pPr>
      <w:spacing w:after="240" w:line="240" w:lineRule="auto"/>
      <w:ind w:left="2160" w:firstLine="720"/>
    </w:pPr>
    <w:rPr>
      <w:rFonts w:ascii="Times New Roman" w:eastAsia="MS Mincho" w:hAnsi="Times New Roman"/>
      <w:sz w:val="24"/>
      <w:szCs w:val="24"/>
    </w:rPr>
  </w:style>
  <w:style w:type="paragraph" w:styleId="TOAHeading">
    <w:name w:val="toa heading"/>
    <w:basedOn w:val="Normal"/>
    <w:next w:val="Normal"/>
    <w:rsid w:val="00F8631B"/>
    <w:pPr>
      <w:keepNext/>
      <w:keepLines/>
      <w:spacing w:before="360" w:after="240" w:line="240" w:lineRule="auto"/>
    </w:pPr>
    <w:rPr>
      <w:rFonts w:ascii="Times New Roman" w:eastAsia="MS Mincho" w:hAnsi="Times New Roman" w:cs="Arial"/>
      <w:b/>
      <w:bCs/>
      <w:sz w:val="24"/>
      <w:szCs w:val="24"/>
    </w:rPr>
  </w:style>
  <w:style w:type="paragraph" w:styleId="TableofAuthorities">
    <w:name w:val="table of authorities"/>
    <w:basedOn w:val="Normal"/>
    <w:next w:val="Normal"/>
    <w:semiHidden/>
    <w:rsid w:val="00F8631B"/>
    <w:pPr>
      <w:keepLines/>
      <w:tabs>
        <w:tab w:val="right" w:leader="dot" w:pos="8630"/>
      </w:tabs>
      <w:spacing w:after="240" w:line="240" w:lineRule="auto"/>
      <w:ind w:left="288" w:right="1440" w:hanging="288"/>
    </w:pPr>
    <w:rPr>
      <w:rFonts w:ascii="Times New Roman" w:eastAsia="MS Mincho" w:hAnsi="Times New Roman"/>
      <w:noProof/>
      <w:sz w:val="24"/>
      <w:szCs w:val="24"/>
    </w:rPr>
  </w:style>
  <w:style w:type="paragraph" w:customStyle="1" w:styleId="DraftSlug">
    <w:name w:val="Draft Slug"/>
    <w:basedOn w:val="Normal"/>
    <w:rsid w:val="00F8631B"/>
    <w:pPr>
      <w:spacing w:after="0" w:line="240" w:lineRule="auto"/>
      <w:jc w:val="right"/>
    </w:pPr>
    <w:rPr>
      <w:rFonts w:ascii="Times New Roman" w:eastAsia="MS Mincho" w:hAnsi="Times New Roman"/>
      <w:sz w:val="24"/>
      <w:szCs w:val="24"/>
    </w:rPr>
  </w:style>
  <w:style w:type="paragraph" w:customStyle="1" w:styleId="CommentSubject1">
    <w:name w:val="Comment Subject1"/>
    <w:basedOn w:val="CommentText"/>
    <w:next w:val="CommentText"/>
    <w:rsid w:val="00F8631B"/>
    <w:pPr>
      <w:widowControl w:val="0"/>
      <w:autoSpaceDE w:val="0"/>
      <w:autoSpaceDN w:val="0"/>
      <w:adjustRightInd w:val="0"/>
      <w:spacing w:after="0" w:line="240" w:lineRule="auto"/>
    </w:pPr>
    <w:rPr>
      <w:rFonts w:ascii="Times New Roman" w:hAnsi="Times New Roman"/>
      <w:b/>
      <w:bCs/>
      <w:lang w:bidi="ar-SA"/>
    </w:rPr>
  </w:style>
  <w:style w:type="paragraph" w:customStyle="1" w:styleId="bodytext7">
    <w:name w:val="bodytext"/>
    <w:basedOn w:val="Normal"/>
    <w:rsid w:val="00F8631B"/>
    <w:pPr>
      <w:spacing w:before="100" w:beforeAutospacing="1" w:after="100" w:afterAutospacing="1" w:line="240" w:lineRule="auto"/>
      <w:jc w:val="both"/>
    </w:pPr>
    <w:rPr>
      <w:rFonts w:ascii="Arial" w:eastAsia="PMingLiU" w:hAnsi="Arial"/>
      <w:sz w:val="20"/>
      <w:szCs w:val="24"/>
    </w:rPr>
  </w:style>
  <w:style w:type="paragraph" w:customStyle="1" w:styleId="cost4">
    <w:name w:val="cost4"/>
    <w:basedOn w:val="Normal"/>
    <w:rsid w:val="00F8631B"/>
    <w:pPr>
      <w:spacing w:before="100" w:after="100" w:line="240" w:lineRule="auto"/>
      <w:jc w:val="both"/>
    </w:pPr>
    <w:rPr>
      <w:rFonts w:ascii="Arial" w:eastAsia="PMingLiU" w:hAnsi="Arial"/>
      <w:sz w:val="20"/>
      <w:szCs w:val="24"/>
    </w:rPr>
  </w:style>
  <w:style w:type="paragraph" w:customStyle="1" w:styleId="p21">
    <w:name w:val="p21"/>
    <w:basedOn w:val="Normal"/>
    <w:rsid w:val="00F8631B"/>
    <w:pPr>
      <w:widowControl w:val="0"/>
      <w:tabs>
        <w:tab w:val="left" w:pos="379"/>
      </w:tabs>
      <w:autoSpaceDE w:val="0"/>
      <w:autoSpaceDN w:val="0"/>
      <w:adjustRightInd w:val="0"/>
      <w:spacing w:after="0" w:line="240" w:lineRule="auto"/>
      <w:ind w:left="1061" w:hanging="379"/>
    </w:pPr>
    <w:rPr>
      <w:rFonts w:ascii="Times New Roman" w:eastAsia="MS Mincho" w:hAnsi="Times New Roman"/>
      <w:sz w:val="24"/>
      <w:szCs w:val="24"/>
    </w:rPr>
  </w:style>
  <w:style w:type="paragraph" w:customStyle="1" w:styleId="p51">
    <w:name w:val="p51"/>
    <w:basedOn w:val="Normal"/>
    <w:rsid w:val="00F8631B"/>
    <w:pPr>
      <w:widowControl w:val="0"/>
      <w:tabs>
        <w:tab w:val="left" w:pos="204"/>
      </w:tabs>
      <w:autoSpaceDE w:val="0"/>
      <w:autoSpaceDN w:val="0"/>
      <w:adjustRightInd w:val="0"/>
      <w:spacing w:after="0" w:line="240" w:lineRule="auto"/>
      <w:jc w:val="both"/>
    </w:pPr>
    <w:rPr>
      <w:rFonts w:ascii="Times New Roman" w:eastAsia="MS Mincho" w:hAnsi="Times New Roman"/>
      <w:sz w:val="20"/>
      <w:szCs w:val="24"/>
    </w:rPr>
  </w:style>
  <w:style w:type="paragraph" w:customStyle="1" w:styleId="List2d">
    <w:name w:val="List 2.d"/>
    <w:basedOn w:val="List2"/>
    <w:rsid w:val="00F8631B"/>
    <w:pPr>
      <w:widowControl/>
      <w:tabs>
        <w:tab w:val="clear" w:pos="360"/>
        <w:tab w:val="decimal" w:pos="1800"/>
      </w:tabs>
      <w:spacing w:before="0" w:after="0"/>
      <w:ind w:left="2160" w:hanging="1440"/>
      <w:jc w:val="left"/>
    </w:pPr>
    <w:rPr>
      <w:rFonts w:ascii="Times New Roman" w:eastAsia="MS Mincho" w:hAnsi="Times New Roman" w:cs="Times New Roman"/>
      <w:b w:val="0"/>
      <w:bCs w:val="0"/>
      <w:sz w:val="24"/>
      <w:szCs w:val="20"/>
    </w:rPr>
  </w:style>
  <w:style w:type="paragraph" w:customStyle="1" w:styleId="section1">
    <w:name w:val="section1"/>
    <w:basedOn w:val="Normal"/>
    <w:uiPriority w:val="30"/>
    <w:qFormat/>
    <w:rsid w:val="00F8631B"/>
    <w:pPr>
      <w:spacing w:before="100" w:beforeAutospacing="1" w:after="100" w:afterAutospacing="1" w:line="240" w:lineRule="auto"/>
    </w:pPr>
    <w:rPr>
      <w:rFonts w:ascii="Times New Roman" w:eastAsia="Calibri" w:hAnsi="Times New Roman"/>
      <w:sz w:val="24"/>
      <w:szCs w:val="24"/>
    </w:rPr>
  </w:style>
  <w:style w:type="paragraph" w:customStyle="1" w:styleId="timesnewroman">
    <w:name w:val="times new roman"/>
    <w:basedOn w:val="NormalWeb"/>
    <w:rsid w:val="00F8631B"/>
    <w:pPr>
      <w:spacing w:before="100" w:beforeAutospacing="1" w:after="100" w:afterAutospacing="1"/>
      <w:contextualSpacing w:val="0"/>
      <w:jc w:val="left"/>
    </w:pPr>
    <w:rPr>
      <w:rFonts w:ascii="Tahoma" w:hAnsi="Tahoma" w:cs="Tahoma"/>
      <w:bCs w:val="0"/>
      <w:snapToGrid w:val="0"/>
      <w:lang w:bidi="ar-SA"/>
    </w:rPr>
  </w:style>
  <w:style w:type="paragraph" w:customStyle="1" w:styleId="WW-BodyText3">
    <w:name w:val="WW-Body Text 3"/>
    <w:basedOn w:val="Normal"/>
    <w:rsid w:val="00F8631B"/>
    <w:pPr>
      <w:suppressAutoHyphens/>
      <w:spacing w:after="120" w:line="240" w:lineRule="auto"/>
    </w:pPr>
    <w:rPr>
      <w:rFonts w:ascii="Times New Roman" w:eastAsia="MS Mincho" w:hAnsi="Times New Roman"/>
      <w:sz w:val="16"/>
      <w:szCs w:val="16"/>
      <w:lang w:val="en-GB" w:eastAsia="ar-SA"/>
    </w:rPr>
  </w:style>
  <w:style w:type="paragraph" w:customStyle="1" w:styleId="Note">
    <w:name w:val="Note"/>
    <w:basedOn w:val="Normal"/>
    <w:rsid w:val="00F8631B"/>
    <w:pPr>
      <w:tabs>
        <w:tab w:val="num" w:pos="425"/>
      </w:tabs>
      <w:spacing w:before="40" w:after="40" w:line="290" w:lineRule="auto"/>
      <w:ind w:left="425" w:hanging="425"/>
      <w:jc w:val="both"/>
    </w:pPr>
    <w:rPr>
      <w:rFonts w:ascii="Times New Roman" w:eastAsia="Calibri" w:hAnsi="Times New Roman"/>
      <w:kern w:val="20"/>
      <w:sz w:val="18"/>
      <w:szCs w:val="20"/>
      <w:lang w:val="en-GB"/>
    </w:rPr>
  </w:style>
  <w:style w:type="paragraph" w:customStyle="1" w:styleId="CharCharCharCharCharCharCharCharChar1">
    <w:name w:val="Char Char Char Char Char Char Char Char Char1"/>
    <w:basedOn w:val="Normal"/>
    <w:rsid w:val="00F8631B"/>
    <w:pPr>
      <w:spacing w:after="160" w:line="240" w:lineRule="exact"/>
    </w:pPr>
    <w:rPr>
      <w:rFonts w:ascii="Verdana" w:eastAsia="MS Mincho" w:hAnsi="Verdana"/>
      <w:sz w:val="20"/>
      <w:szCs w:val="20"/>
      <w:lang w:val="en-GB"/>
    </w:rPr>
  </w:style>
  <w:style w:type="paragraph" w:customStyle="1" w:styleId="Bullet3">
    <w:name w:val="!Bullet"/>
    <w:basedOn w:val="Normal"/>
    <w:rsid w:val="00F8631B"/>
    <w:pPr>
      <w:tabs>
        <w:tab w:val="left" w:pos="720"/>
      </w:tabs>
      <w:autoSpaceDE w:val="0"/>
      <w:autoSpaceDN w:val="0"/>
      <w:adjustRightInd w:val="0"/>
      <w:spacing w:before="40" w:after="40" w:line="240" w:lineRule="auto"/>
      <w:ind w:left="720" w:hanging="360"/>
      <w:jc w:val="both"/>
    </w:pPr>
    <w:rPr>
      <w:rFonts w:ascii="Times New Roman" w:eastAsia="Calibri" w:hAnsi="Times New Roman"/>
      <w:sz w:val="18"/>
      <w:szCs w:val="20"/>
      <w:lang w:val="en-GB" w:eastAsia="ja-JP"/>
    </w:rPr>
  </w:style>
  <w:style w:type="paragraph" w:customStyle="1" w:styleId="TableNotes">
    <w:name w:val="Table Notes"/>
    <w:basedOn w:val="Normal"/>
    <w:rsid w:val="00F8631B"/>
    <w:pPr>
      <w:spacing w:after="240" w:line="240" w:lineRule="auto"/>
      <w:jc w:val="both"/>
    </w:pPr>
    <w:rPr>
      <w:rFonts w:ascii="Helvetica" w:eastAsia="MS Mincho" w:hAnsi="Helvetica"/>
      <w:i/>
      <w:sz w:val="20"/>
      <w:szCs w:val="24"/>
      <w:lang w:val="en-GB"/>
    </w:rPr>
  </w:style>
  <w:style w:type="paragraph" w:customStyle="1" w:styleId="Char1CharCharCharCharCharChar">
    <w:name w:val="Char1 Char Char Char Char Char Char"/>
    <w:basedOn w:val="Normal"/>
    <w:rsid w:val="00F8631B"/>
    <w:pPr>
      <w:spacing w:after="160" w:line="240" w:lineRule="exact"/>
    </w:pPr>
    <w:rPr>
      <w:rFonts w:ascii="Times New Roman" w:eastAsia="Calibri" w:hAnsi="Times New Roman"/>
    </w:rPr>
  </w:style>
  <w:style w:type="paragraph" w:customStyle="1" w:styleId="WW-PlainText">
    <w:name w:val="WW-Plain Text"/>
    <w:basedOn w:val="Normal"/>
    <w:rsid w:val="00F8631B"/>
    <w:pPr>
      <w:suppressAutoHyphens/>
      <w:spacing w:after="0" w:line="240" w:lineRule="auto"/>
    </w:pPr>
    <w:rPr>
      <w:rFonts w:ascii="Courier New" w:eastAsia="Calibri" w:hAnsi="Courier New"/>
      <w:sz w:val="20"/>
      <w:szCs w:val="20"/>
      <w:lang w:val="en-GB"/>
    </w:rPr>
  </w:style>
  <w:style w:type="paragraph" w:customStyle="1" w:styleId="Clausetext1">
    <w:name w:val="Clause text 1"/>
    <w:basedOn w:val="Normal"/>
    <w:rsid w:val="00F8631B"/>
    <w:pPr>
      <w:spacing w:after="240" w:line="280" w:lineRule="exact"/>
    </w:pPr>
    <w:rPr>
      <w:rFonts w:ascii="Arial" w:eastAsia="Calibri" w:hAnsi="Arial"/>
      <w:szCs w:val="20"/>
      <w:lang w:val="en-GB" w:eastAsia="zh-TW"/>
    </w:rPr>
  </w:style>
  <w:style w:type="paragraph" w:customStyle="1" w:styleId="CM16">
    <w:name w:val="CM16"/>
    <w:basedOn w:val="WW-Default"/>
    <w:next w:val="WW-Default"/>
    <w:rsid w:val="00F8631B"/>
    <w:pPr>
      <w:widowControl w:val="0"/>
      <w:spacing w:after="135"/>
    </w:pPr>
    <w:rPr>
      <w:rFonts w:ascii="Zurich BT" w:eastAsia="Calibri" w:hAnsi="Zurich BT" w:cs="Times New Roman"/>
    </w:rPr>
  </w:style>
  <w:style w:type="character" w:customStyle="1" w:styleId="style22">
    <w:name w:val="style22"/>
    <w:rsid w:val="00F8631B"/>
    <w:rPr>
      <w:rFonts w:cs="Times New Roman"/>
      <w:lang w:val="en-GB" w:eastAsia="en-US" w:bidi="ar-SA"/>
    </w:rPr>
  </w:style>
  <w:style w:type="character" w:customStyle="1" w:styleId="pagetext1">
    <w:name w:val="pagetext1"/>
    <w:rsid w:val="00F8631B"/>
    <w:rPr>
      <w:rFonts w:ascii="Arial" w:hAnsi="Arial" w:cs="Arial"/>
      <w:b/>
      <w:bCs/>
      <w:color w:val="0000FF"/>
      <w:sz w:val="12"/>
      <w:szCs w:val="12"/>
      <w:lang w:val="en-GB" w:eastAsia="en-US" w:bidi="ar-SA"/>
    </w:rPr>
  </w:style>
  <w:style w:type="paragraph" w:customStyle="1" w:styleId="Level4">
    <w:name w:val="Level4"/>
    <w:basedOn w:val="Normal"/>
    <w:rsid w:val="00F8631B"/>
    <w:pPr>
      <w:widowControl w:val="0"/>
      <w:autoSpaceDE w:val="0"/>
      <w:autoSpaceDN w:val="0"/>
      <w:adjustRightInd w:val="0"/>
      <w:spacing w:after="0" w:line="264" w:lineRule="auto"/>
      <w:ind w:firstLine="2160"/>
      <w:jc w:val="center"/>
    </w:pPr>
    <w:rPr>
      <w:rFonts w:ascii="Times New Roman" w:eastAsia="Calibri" w:hAnsi="Times New Roman"/>
      <w:color w:val="000000"/>
      <w:lang w:val="en-GB"/>
    </w:rPr>
  </w:style>
  <w:style w:type="paragraph" w:customStyle="1" w:styleId="CharCharChar1Char">
    <w:name w:val="Char Char Char1 Char"/>
    <w:basedOn w:val="Normal"/>
    <w:rsid w:val="00F8631B"/>
    <w:pPr>
      <w:spacing w:after="160" w:line="240" w:lineRule="exact"/>
    </w:pPr>
    <w:rPr>
      <w:rFonts w:ascii="Verdana" w:eastAsia="Calibri" w:hAnsi="Verdana"/>
      <w:sz w:val="20"/>
      <w:szCs w:val="20"/>
    </w:rPr>
  </w:style>
  <w:style w:type="paragraph" w:customStyle="1" w:styleId="ReadbackBulletStyle">
    <w:name w:val="ReadbackBulletStyle"/>
    <w:basedOn w:val="ListBullet"/>
    <w:rsid w:val="00F8631B"/>
    <w:pPr>
      <w:tabs>
        <w:tab w:val="clear" w:pos="360"/>
        <w:tab w:val="left" w:pos="1080"/>
      </w:tabs>
      <w:autoSpaceDE w:val="0"/>
      <w:autoSpaceDN w:val="0"/>
      <w:adjustRightInd w:val="0"/>
      <w:ind w:left="1080"/>
    </w:pPr>
    <w:rPr>
      <w:bCs/>
      <w:spacing w:val="-2"/>
      <w:szCs w:val="18"/>
    </w:rPr>
  </w:style>
  <w:style w:type="character" w:customStyle="1" w:styleId="c11">
    <w:name w:val="c11"/>
    <w:rsid w:val="00F8631B"/>
    <w:rPr>
      <w:rFonts w:cs="Times New Roman"/>
      <w:lang w:val="en-GB" w:eastAsia="en-US" w:bidi="ar-SA"/>
    </w:rPr>
  </w:style>
  <w:style w:type="paragraph" w:customStyle="1" w:styleId="Paragraph2">
    <w:name w:val="Paragraph 2"/>
    <w:basedOn w:val="Normal"/>
    <w:rsid w:val="00F8631B"/>
    <w:pPr>
      <w:widowControl w:val="0"/>
      <w:tabs>
        <w:tab w:val="num" w:pos="0"/>
      </w:tabs>
      <w:spacing w:after="0" w:line="240" w:lineRule="auto"/>
      <w:ind w:firstLine="720"/>
    </w:pPr>
    <w:rPr>
      <w:rFonts w:ascii="Times New Roman" w:eastAsia="Calibri" w:hAnsi="Times New Roman"/>
      <w:sz w:val="24"/>
      <w:szCs w:val="20"/>
    </w:rPr>
  </w:style>
  <w:style w:type="paragraph" w:customStyle="1" w:styleId="BasicParagraph">
    <w:name w:val="[Basic Paragraph]"/>
    <w:basedOn w:val="Normal"/>
    <w:rsid w:val="00F8631B"/>
    <w:pPr>
      <w:autoSpaceDE w:val="0"/>
      <w:autoSpaceDN w:val="0"/>
      <w:adjustRightInd w:val="0"/>
      <w:spacing w:after="0" w:line="288" w:lineRule="auto"/>
      <w:textAlignment w:val="center"/>
    </w:pPr>
    <w:rPr>
      <w:rFonts w:ascii="Times New Roman" w:eastAsia="Calibri" w:hAnsi="Times New Roman"/>
      <w:color w:val="000000"/>
      <w:sz w:val="24"/>
      <w:szCs w:val="24"/>
    </w:rPr>
  </w:style>
  <w:style w:type="character" w:customStyle="1" w:styleId="i3CharChar">
    <w:name w:val="i3 Char Char"/>
    <w:rsid w:val="00F8631B"/>
    <w:rPr>
      <w:rFonts w:eastAsia="MS Mincho" w:cs="Times New Roman"/>
      <w:sz w:val="16"/>
      <w:szCs w:val="16"/>
      <w:lang w:val="en-US" w:eastAsia="en-US" w:bidi="ar-SA"/>
    </w:rPr>
  </w:style>
  <w:style w:type="table" w:styleId="TableColumns1">
    <w:name w:val="Table Columns 1"/>
    <w:basedOn w:val="TableNormal"/>
    <w:rsid w:val="00F8631B"/>
    <w:pPr>
      <w:spacing w:after="0" w:line="240" w:lineRule="auto"/>
    </w:pPr>
    <w:rPr>
      <w:rFonts w:ascii="Times New Roman" w:eastAsia="MS Mincho" w:hAnsi="Times New Roman" w:cs="Times New Roman"/>
      <w:b/>
      <w:bCs/>
      <w:kern w:val="0"/>
      <w:sz w:val="20"/>
      <w:szCs w:val="20"/>
      <w:lang w:val="en-IN" w:eastAsia="en-IN"/>
      <w14:ligatures w14:val="non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roman3">
    <w:name w:val="roman 3"/>
    <w:basedOn w:val="Normal"/>
    <w:rsid w:val="00F8631B"/>
    <w:pPr>
      <w:tabs>
        <w:tab w:val="num" w:pos="2041"/>
      </w:tabs>
      <w:autoSpaceDE w:val="0"/>
      <w:autoSpaceDN w:val="0"/>
      <w:adjustRightInd w:val="0"/>
      <w:spacing w:after="140" w:line="290" w:lineRule="auto"/>
      <w:ind w:left="2041" w:hanging="680"/>
      <w:jc w:val="both"/>
    </w:pPr>
    <w:rPr>
      <w:rFonts w:ascii="Arial" w:eastAsia="Calibri" w:hAnsi="Arial" w:cs="Arial"/>
      <w:kern w:val="20"/>
      <w:sz w:val="20"/>
      <w:szCs w:val="20"/>
      <w:lang w:val="en-GB"/>
    </w:rPr>
  </w:style>
  <w:style w:type="character" w:customStyle="1" w:styleId="black12">
    <w:name w:val="black12"/>
    <w:rsid w:val="00F8631B"/>
    <w:rPr>
      <w:rFonts w:cs="Times New Roman"/>
      <w:lang w:val="en-GB" w:eastAsia="en-US" w:bidi="ar-SA"/>
    </w:rPr>
  </w:style>
  <w:style w:type="paragraph" w:customStyle="1" w:styleId="TableText0">
    <w:name w:val="TableText"/>
    <w:basedOn w:val="Normal"/>
    <w:rsid w:val="00F8631B"/>
    <w:pPr>
      <w:keepLines/>
      <w:tabs>
        <w:tab w:val="left" w:pos="4023"/>
        <w:tab w:val="left" w:pos="7218"/>
      </w:tabs>
      <w:spacing w:before="60" w:after="0" w:line="240" w:lineRule="auto"/>
    </w:pPr>
    <w:rPr>
      <w:rFonts w:ascii="Trebuchet MS" w:eastAsia="MS Mincho" w:hAnsi="Trebuchet MS"/>
      <w:sz w:val="18"/>
      <w:szCs w:val="20"/>
    </w:rPr>
  </w:style>
  <w:style w:type="paragraph" w:customStyle="1" w:styleId="report-body">
    <w:name w:val="report-body"/>
    <w:basedOn w:val="Normal"/>
    <w:rsid w:val="00F8631B"/>
    <w:pPr>
      <w:spacing w:after="0" w:line="270" w:lineRule="atLeast"/>
    </w:pPr>
    <w:rPr>
      <w:rFonts w:ascii="Times New Roman" w:eastAsia="Calibri" w:hAnsi="Times New Roman"/>
      <w:color w:val="000000"/>
      <w:sz w:val="17"/>
      <w:szCs w:val="17"/>
    </w:rPr>
  </w:style>
  <w:style w:type="character" w:customStyle="1" w:styleId="deltaviewinsertion0">
    <w:name w:val="deltaviewinsertion"/>
    <w:rsid w:val="00F8631B"/>
    <w:rPr>
      <w:rFonts w:cs="Times New Roman"/>
      <w:color w:val="0000FF"/>
      <w:spacing w:val="0"/>
      <w:u w:val="single"/>
      <w:lang w:val="en-GB" w:eastAsia="en-US" w:bidi="ar-SA"/>
    </w:rPr>
  </w:style>
  <w:style w:type="character" w:customStyle="1" w:styleId="StyleArial">
    <w:name w:val="Style Arial"/>
    <w:rsid w:val="00F8631B"/>
    <w:rPr>
      <w:rFonts w:ascii="Arial" w:hAnsi="Arial" w:cs="Times New Roman"/>
      <w:color w:val="auto"/>
      <w:sz w:val="20"/>
      <w:szCs w:val="20"/>
      <w:u w:val="none"/>
      <w:lang w:val="en-GB" w:eastAsia="en-US" w:bidi="ar-SA"/>
    </w:rPr>
  </w:style>
  <w:style w:type="character" w:customStyle="1" w:styleId="ft1">
    <w:name w:val="ft1"/>
    <w:rsid w:val="00F8631B"/>
    <w:rPr>
      <w:rFonts w:cs="Times New Roman"/>
      <w:lang w:val="en-GB" w:eastAsia="en-US" w:bidi="ar-SA"/>
    </w:rPr>
  </w:style>
  <w:style w:type="paragraph" w:customStyle="1" w:styleId="Style10ptBoldJustified">
    <w:name w:val="Style 10 pt Bold Justified"/>
    <w:basedOn w:val="Normal"/>
    <w:rsid w:val="00F8631B"/>
    <w:pPr>
      <w:widowControl w:val="0"/>
      <w:autoSpaceDE w:val="0"/>
      <w:autoSpaceDN w:val="0"/>
      <w:adjustRightInd w:val="0"/>
      <w:spacing w:after="0" w:line="240" w:lineRule="auto"/>
      <w:jc w:val="both"/>
    </w:pPr>
    <w:rPr>
      <w:rFonts w:ascii="Arial" w:eastAsia="Calibri" w:hAnsi="Arial"/>
      <w:bCs/>
      <w:szCs w:val="20"/>
      <w:lang w:val="en-IN"/>
    </w:rPr>
  </w:style>
  <w:style w:type="paragraph" w:customStyle="1" w:styleId="PHTableTitle">
    <w:name w:val="PH Table Title"/>
    <w:basedOn w:val="Normal"/>
    <w:rsid w:val="00F8631B"/>
    <w:pPr>
      <w:keepNext/>
      <w:spacing w:before="40" w:after="0" w:line="240" w:lineRule="exact"/>
      <w:jc w:val="both"/>
    </w:pPr>
    <w:rPr>
      <w:rFonts w:ascii="Arial" w:eastAsia="Calibri" w:hAnsi="Arial"/>
      <w:b/>
      <w:sz w:val="20"/>
      <w:szCs w:val="20"/>
    </w:rPr>
  </w:style>
  <w:style w:type="paragraph" w:customStyle="1" w:styleId="yiv6324592msonormal">
    <w:name w:val="yiv6324592msonormal"/>
    <w:basedOn w:val="Normal"/>
    <w:rsid w:val="00F8631B"/>
    <w:pPr>
      <w:spacing w:before="100" w:beforeAutospacing="1" w:after="100" w:afterAutospacing="1" w:line="240" w:lineRule="auto"/>
    </w:pPr>
    <w:rPr>
      <w:rFonts w:ascii="Times New Roman" w:hAnsi="Times New Roman"/>
      <w:sz w:val="24"/>
      <w:szCs w:val="24"/>
    </w:rPr>
  </w:style>
  <w:style w:type="character" w:customStyle="1" w:styleId="NormalWebChar2">
    <w:name w:val="Normal (Web) Char2"/>
    <w:aliases w:val="Normal (Web) Char Char1"/>
    <w:locked/>
    <w:rsid w:val="00F8631B"/>
    <w:rPr>
      <w:rFonts w:ascii="Arial" w:eastAsia="MS Mincho" w:hAnsi="Arial" w:cs="Arial"/>
      <w:sz w:val="24"/>
      <w:lang w:val="en-GB" w:eastAsia="ja-JP" w:bidi="ar-SA"/>
    </w:rPr>
  </w:style>
  <w:style w:type="character" w:styleId="HTMLCite">
    <w:name w:val="HTML Cite"/>
    <w:uiPriority w:val="99"/>
    <w:unhideWhenUsed/>
    <w:rsid w:val="00F8631B"/>
    <w:rPr>
      <w:i/>
      <w:iCs/>
    </w:rPr>
  </w:style>
  <w:style w:type="paragraph" w:customStyle="1" w:styleId="xl2156">
    <w:name w:val="xl2156"/>
    <w:basedOn w:val="Normal"/>
    <w:rsid w:val="00F8631B"/>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2157">
    <w:name w:val="xl2157"/>
    <w:basedOn w:val="Normal"/>
    <w:rsid w:val="00F8631B"/>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2158">
    <w:name w:val="xl2158"/>
    <w:basedOn w:val="Normal"/>
    <w:rsid w:val="00F8631B"/>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2159">
    <w:name w:val="xl2159"/>
    <w:basedOn w:val="Normal"/>
    <w:rsid w:val="00F8631B"/>
    <w:pPr>
      <w:pBdr>
        <w:left w:val="single" w:sz="4" w:space="0" w:color="auto"/>
      </w:pBdr>
      <w:spacing w:before="100" w:beforeAutospacing="1" w:after="100" w:afterAutospacing="1" w:line="240" w:lineRule="auto"/>
    </w:pPr>
    <w:rPr>
      <w:rFonts w:ascii="Times New Roman" w:hAnsi="Times New Roman"/>
      <w:sz w:val="24"/>
      <w:szCs w:val="24"/>
    </w:rPr>
  </w:style>
  <w:style w:type="paragraph" w:customStyle="1" w:styleId="xl2160">
    <w:name w:val="xl2160"/>
    <w:basedOn w:val="Normal"/>
    <w:rsid w:val="00F8631B"/>
    <w:pPr>
      <w:pBdr>
        <w:top w:val="single" w:sz="4" w:space="0" w:color="auto"/>
        <w:left w:val="single" w:sz="4" w:space="0" w:color="auto"/>
      </w:pBdr>
      <w:spacing w:before="100" w:beforeAutospacing="1" w:after="100" w:afterAutospacing="1" w:line="240" w:lineRule="auto"/>
    </w:pPr>
    <w:rPr>
      <w:rFonts w:ascii="Times New Roman" w:hAnsi="Times New Roman"/>
      <w:sz w:val="24"/>
      <w:szCs w:val="24"/>
    </w:rPr>
  </w:style>
  <w:style w:type="paragraph" w:customStyle="1" w:styleId="xl2161">
    <w:name w:val="xl2161"/>
    <w:basedOn w:val="Normal"/>
    <w:rsid w:val="00F8631B"/>
    <w:pPr>
      <w:pBdr>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2162">
    <w:name w:val="xl2162"/>
    <w:basedOn w:val="Normal"/>
    <w:rsid w:val="00F8631B"/>
    <w:pPr>
      <w:pBdr>
        <w:top w:val="single" w:sz="4" w:space="0" w:color="auto"/>
      </w:pBdr>
      <w:spacing w:before="100" w:beforeAutospacing="1" w:after="100" w:afterAutospacing="1" w:line="240" w:lineRule="auto"/>
    </w:pPr>
    <w:rPr>
      <w:rFonts w:ascii="Times New Roman" w:hAnsi="Times New Roman"/>
      <w:sz w:val="24"/>
      <w:szCs w:val="24"/>
    </w:rPr>
  </w:style>
  <w:style w:type="paragraph" w:customStyle="1" w:styleId="xl2163">
    <w:name w:val="xl2163"/>
    <w:basedOn w:val="Normal"/>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2164">
    <w:name w:val="xl2164"/>
    <w:basedOn w:val="Normal"/>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2165">
    <w:name w:val="xl2165"/>
    <w:basedOn w:val="Normal"/>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2166">
    <w:name w:val="xl2166"/>
    <w:basedOn w:val="Normal"/>
    <w:rsid w:val="00F8631B"/>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2167">
    <w:name w:val="xl2167"/>
    <w:basedOn w:val="Normal"/>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2168">
    <w:name w:val="xl2168"/>
    <w:basedOn w:val="Normal"/>
    <w:rsid w:val="00F8631B"/>
    <w:pPr>
      <w:spacing w:before="100" w:beforeAutospacing="1" w:after="100" w:afterAutospacing="1" w:line="240" w:lineRule="auto"/>
    </w:pPr>
    <w:rPr>
      <w:rFonts w:ascii="Times New Roman" w:hAnsi="Times New Roman"/>
      <w:sz w:val="24"/>
      <w:szCs w:val="24"/>
    </w:rPr>
  </w:style>
  <w:style w:type="paragraph" w:customStyle="1" w:styleId="xl2169">
    <w:name w:val="xl2169"/>
    <w:basedOn w:val="Normal"/>
    <w:rsid w:val="00F8631B"/>
    <w:pPr>
      <w:pBdr>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2170">
    <w:name w:val="xl2170"/>
    <w:basedOn w:val="Normal"/>
    <w:rsid w:val="00F8631B"/>
    <w:pPr>
      <w:spacing w:before="100" w:beforeAutospacing="1" w:after="100" w:afterAutospacing="1" w:line="240" w:lineRule="auto"/>
    </w:pPr>
    <w:rPr>
      <w:rFonts w:ascii="Times New Roman" w:hAnsi="Times New Roman"/>
      <w:sz w:val="24"/>
      <w:szCs w:val="24"/>
    </w:rPr>
  </w:style>
  <w:style w:type="paragraph" w:customStyle="1" w:styleId="xl2171">
    <w:name w:val="xl2171"/>
    <w:basedOn w:val="Normal"/>
    <w:rsid w:val="00F8631B"/>
    <w:pPr>
      <w:pBdr>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2172">
    <w:name w:val="xl2172"/>
    <w:basedOn w:val="Normal"/>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2173">
    <w:name w:val="xl2173"/>
    <w:basedOn w:val="Normal"/>
    <w:rsid w:val="00F8631B"/>
    <w:pPr>
      <w:pBdr>
        <w:top w:val="single" w:sz="4" w:space="0" w:color="auto"/>
        <w:left w:val="single" w:sz="4" w:space="0" w:color="auto"/>
      </w:pBdr>
      <w:spacing w:before="100" w:beforeAutospacing="1" w:after="100" w:afterAutospacing="1" w:line="240" w:lineRule="auto"/>
    </w:pPr>
    <w:rPr>
      <w:rFonts w:ascii="Times New Roman" w:hAnsi="Times New Roman"/>
      <w:b/>
      <w:bCs/>
      <w:color w:val="376091"/>
      <w:sz w:val="24"/>
      <w:szCs w:val="24"/>
    </w:rPr>
  </w:style>
  <w:style w:type="paragraph" w:customStyle="1" w:styleId="xl2174">
    <w:name w:val="xl2174"/>
    <w:basedOn w:val="Normal"/>
    <w:rsid w:val="00F8631B"/>
    <w:pPr>
      <w:spacing w:before="100" w:beforeAutospacing="1" w:after="100" w:afterAutospacing="1" w:line="240" w:lineRule="auto"/>
    </w:pPr>
    <w:rPr>
      <w:rFonts w:ascii="Times New Roman" w:hAnsi="Times New Roman"/>
      <w:color w:val="FF0000"/>
      <w:sz w:val="24"/>
      <w:szCs w:val="24"/>
    </w:rPr>
  </w:style>
  <w:style w:type="paragraph" w:customStyle="1" w:styleId="xl2175">
    <w:name w:val="xl2175"/>
    <w:basedOn w:val="Normal"/>
    <w:rsid w:val="00F8631B"/>
    <w:pPr>
      <w:pBdr>
        <w:right w:val="single" w:sz="4" w:space="0" w:color="auto"/>
      </w:pBdr>
      <w:spacing w:before="100" w:beforeAutospacing="1" w:after="100" w:afterAutospacing="1" w:line="240" w:lineRule="auto"/>
      <w:jc w:val="right"/>
    </w:pPr>
    <w:rPr>
      <w:rFonts w:ascii="Times New Roman" w:hAnsi="Times New Roman"/>
      <w:b/>
      <w:bCs/>
      <w:sz w:val="24"/>
      <w:szCs w:val="24"/>
    </w:rPr>
  </w:style>
  <w:style w:type="paragraph" w:customStyle="1" w:styleId="xl2176">
    <w:name w:val="xl2176"/>
    <w:basedOn w:val="Normal"/>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2177">
    <w:name w:val="xl2177"/>
    <w:basedOn w:val="Normal"/>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2178">
    <w:name w:val="xl2178"/>
    <w:basedOn w:val="Normal"/>
    <w:rsid w:val="00F8631B"/>
    <w:pPr>
      <w:pBdr>
        <w:left w:val="single" w:sz="4" w:space="0" w:color="auto"/>
      </w:pBdr>
      <w:spacing w:before="100" w:beforeAutospacing="1" w:after="100" w:afterAutospacing="1" w:line="240" w:lineRule="auto"/>
    </w:pPr>
    <w:rPr>
      <w:rFonts w:ascii="Times New Roman" w:hAnsi="Times New Roman"/>
      <w:b/>
      <w:bCs/>
      <w:color w:val="376091"/>
      <w:sz w:val="24"/>
      <w:szCs w:val="24"/>
    </w:rPr>
  </w:style>
  <w:style w:type="paragraph" w:customStyle="1" w:styleId="xl2179">
    <w:name w:val="xl2179"/>
    <w:basedOn w:val="Normal"/>
    <w:rsid w:val="00F8631B"/>
    <w:pPr>
      <w:pBdr>
        <w:bottom w:val="single" w:sz="4" w:space="0" w:color="auto"/>
      </w:pBdr>
      <w:spacing w:before="100" w:beforeAutospacing="1" w:after="100" w:afterAutospacing="1" w:line="240" w:lineRule="auto"/>
    </w:pPr>
    <w:rPr>
      <w:rFonts w:ascii="Times New Roman" w:hAnsi="Times New Roman"/>
      <w:color w:val="FF0000"/>
      <w:sz w:val="24"/>
      <w:szCs w:val="24"/>
    </w:rPr>
  </w:style>
  <w:style w:type="paragraph" w:customStyle="1" w:styleId="xl2180">
    <w:name w:val="xl2180"/>
    <w:basedOn w:val="Normal"/>
    <w:rsid w:val="00F8631B"/>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2181">
    <w:name w:val="xl2181"/>
    <w:basedOn w:val="Normal"/>
    <w:rsid w:val="00F8631B"/>
    <w:pPr>
      <w:pBdr>
        <w:bottom w:val="single" w:sz="4" w:space="0" w:color="auto"/>
        <w:right w:val="single" w:sz="4" w:space="0" w:color="auto"/>
      </w:pBdr>
      <w:spacing w:before="100" w:beforeAutospacing="1" w:after="100" w:afterAutospacing="1" w:line="240" w:lineRule="auto"/>
      <w:jc w:val="right"/>
    </w:pPr>
    <w:rPr>
      <w:rFonts w:ascii="Times New Roman" w:hAnsi="Times New Roman"/>
      <w:b/>
      <w:bCs/>
      <w:sz w:val="24"/>
      <w:szCs w:val="24"/>
    </w:rPr>
  </w:style>
  <w:style w:type="paragraph" w:customStyle="1" w:styleId="xl2182">
    <w:name w:val="xl2182"/>
    <w:basedOn w:val="Normal"/>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2183">
    <w:name w:val="xl2183"/>
    <w:basedOn w:val="Normal"/>
    <w:rsid w:val="00F8631B"/>
    <w:pPr>
      <w:pBdr>
        <w:top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2184">
    <w:name w:val="xl2184"/>
    <w:basedOn w:val="Normal"/>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185">
    <w:name w:val="xl2185"/>
    <w:basedOn w:val="Normal"/>
    <w:rsid w:val="00F8631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2186">
    <w:name w:val="xl2186"/>
    <w:basedOn w:val="Normal"/>
    <w:rsid w:val="00F8631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187">
    <w:name w:val="xl2187"/>
    <w:basedOn w:val="Normal"/>
    <w:rsid w:val="00F8631B"/>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188">
    <w:name w:val="xl2188"/>
    <w:basedOn w:val="Normal"/>
    <w:rsid w:val="00F8631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2189">
    <w:name w:val="xl2189"/>
    <w:basedOn w:val="Normal"/>
    <w:rsid w:val="00F8631B"/>
    <w:pPr>
      <w:spacing w:before="100" w:beforeAutospacing="1" w:after="100" w:afterAutospacing="1" w:line="240" w:lineRule="auto"/>
    </w:pPr>
    <w:rPr>
      <w:rFonts w:ascii="Times New Roman" w:hAnsi="Times New Roman"/>
      <w:b/>
      <w:bCs/>
      <w:color w:val="1F497D"/>
      <w:sz w:val="24"/>
      <w:szCs w:val="24"/>
    </w:rPr>
  </w:style>
  <w:style w:type="paragraph" w:customStyle="1" w:styleId="xl2190">
    <w:name w:val="xl2190"/>
    <w:basedOn w:val="Normal"/>
    <w:rsid w:val="00F8631B"/>
    <w:pPr>
      <w:pBdr>
        <w:right w:val="single" w:sz="4" w:space="0" w:color="auto"/>
      </w:pBdr>
      <w:spacing w:before="100" w:beforeAutospacing="1" w:after="100" w:afterAutospacing="1" w:line="240" w:lineRule="auto"/>
    </w:pPr>
    <w:rPr>
      <w:rFonts w:ascii="Times New Roman" w:hAnsi="Times New Roman"/>
      <w:b/>
      <w:bCs/>
      <w:color w:val="1F497D"/>
      <w:sz w:val="24"/>
      <w:szCs w:val="24"/>
    </w:rPr>
  </w:style>
  <w:style w:type="paragraph" w:customStyle="1" w:styleId="xl2191">
    <w:name w:val="xl2191"/>
    <w:basedOn w:val="Normal"/>
    <w:rsid w:val="00F8631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2192">
    <w:name w:val="xl2192"/>
    <w:basedOn w:val="Normal"/>
    <w:rsid w:val="00F8631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2193">
    <w:name w:val="xl2193"/>
    <w:basedOn w:val="Normal"/>
    <w:rsid w:val="00F8631B"/>
    <w:pPr>
      <w:pBdr>
        <w:top w:val="single" w:sz="4" w:space="0" w:color="auto"/>
        <w:bottom w:val="single" w:sz="4" w:space="0" w:color="auto"/>
      </w:pBdr>
      <w:spacing w:before="100" w:beforeAutospacing="1" w:after="100" w:afterAutospacing="1" w:line="240" w:lineRule="auto"/>
    </w:pPr>
    <w:rPr>
      <w:rFonts w:ascii="Times New Roman" w:hAnsi="Times New Roman"/>
      <w:b/>
      <w:bCs/>
      <w:color w:val="1F497D"/>
      <w:sz w:val="24"/>
      <w:szCs w:val="24"/>
    </w:rPr>
  </w:style>
  <w:style w:type="paragraph" w:customStyle="1" w:styleId="xl2194">
    <w:name w:val="xl2194"/>
    <w:basedOn w:val="Normal"/>
    <w:rsid w:val="00F8631B"/>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color w:val="1F497D"/>
      <w:sz w:val="24"/>
      <w:szCs w:val="24"/>
    </w:rPr>
  </w:style>
  <w:style w:type="paragraph" w:customStyle="1" w:styleId="xl2195">
    <w:name w:val="xl2195"/>
    <w:basedOn w:val="Normal"/>
    <w:rsid w:val="00F863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character" w:customStyle="1" w:styleId="DefaultChar">
    <w:name w:val="Default Char"/>
    <w:link w:val="Default"/>
    <w:locked/>
    <w:rsid w:val="00F8631B"/>
    <w:rPr>
      <w:rFonts w:ascii="Times New Roman" w:eastAsia="Calibri" w:hAnsi="Times New Roman" w:cs="Times New Roman"/>
      <w:color w:val="000000"/>
      <w:kern w:val="0"/>
      <w:sz w:val="24"/>
      <w:szCs w:val="24"/>
      <w:lang w:val="en-IN" w:eastAsia="en-IN"/>
      <w14:ligatures w14:val="none"/>
    </w:rPr>
  </w:style>
  <w:style w:type="paragraph" w:customStyle="1" w:styleId="CM22">
    <w:name w:val="CM22"/>
    <w:basedOn w:val="Normal"/>
    <w:next w:val="Normal"/>
    <w:uiPriority w:val="99"/>
    <w:rsid w:val="00F8631B"/>
    <w:pPr>
      <w:widowControl w:val="0"/>
      <w:autoSpaceDE w:val="0"/>
      <w:autoSpaceDN w:val="0"/>
      <w:adjustRightInd w:val="0"/>
      <w:spacing w:after="0" w:line="218" w:lineRule="atLeast"/>
    </w:pPr>
    <w:rPr>
      <w:rFonts w:ascii="Times New Roman" w:hAnsi="Times New Roman"/>
      <w:sz w:val="24"/>
      <w:szCs w:val="24"/>
    </w:rPr>
  </w:style>
  <w:style w:type="character" w:customStyle="1" w:styleId="st">
    <w:name w:val="st"/>
    <w:basedOn w:val="DefaultParagraphFont"/>
    <w:rsid w:val="00F8631B"/>
  </w:style>
  <w:style w:type="paragraph" w:customStyle="1" w:styleId="bannertext">
    <w:name w:val="bannertext"/>
    <w:basedOn w:val="Normal"/>
    <w:rsid w:val="00F8631B"/>
    <w:pPr>
      <w:spacing w:before="100" w:beforeAutospacing="1" w:after="100" w:afterAutospacing="1" w:line="240" w:lineRule="auto"/>
    </w:pPr>
    <w:rPr>
      <w:rFonts w:ascii="Times New Roman" w:hAnsi="Times New Roman"/>
      <w:sz w:val="24"/>
      <w:szCs w:val="24"/>
    </w:rPr>
  </w:style>
  <w:style w:type="table" w:customStyle="1" w:styleId="LightList-Accent61">
    <w:name w:val="Light List - Accent 6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NoList2">
    <w:name w:val="No List2"/>
    <w:next w:val="NoList"/>
    <w:uiPriority w:val="99"/>
    <w:semiHidden/>
    <w:unhideWhenUsed/>
    <w:rsid w:val="00F8631B"/>
  </w:style>
  <w:style w:type="numbering" w:customStyle="1" w:styleId="WWNum110">
    <w:name w:val="WWNum110"/>
    <w:basedOn w:val="NoList"/>
    <w:rsid w:val="00F8631B"/>
  </w:style>
  <w:style w:type="numbering" w:customStyle="1" w:styleId="WWNum48">
    <w:name w:val="WWNum48"/>
    <w:basedOn w:val="NoList"/>
    <w:rsid w:val="00F8631B"/>
    <w:pPr>
      <w:numPr>
        <w:numId w:val="134"/>
      </w:numPr>
    </w:pPr>
  </w:style>
  <w:style w:type="numbering" w:customStyle="1" w:styleId="WWNum61">
    <w:name w:val="WWNum61"/>
    <w:basedOn w:val="NoList"/>
    <w:rsid w:val="00F8631B"/>
    <w:pPr>
      <w:numPr>
        <w:numId w:val="136"/>
      </w:numPr>
    </w:pPr>
  </w:style>
  <w:style w:type="numbering" w:customStyle="1" w:styleId="WWNum81">
    <w:name w:val="WWNum81"/>
    <w:basedOn w:val="NoList"/>
    <w:rsid w:val="00F8631B"/>
  </w:style>
  <w:style w:type="numbering" w:customStyle="1" w:styleId="WWNum91">
    <w:name w:val="WWNum91"/>
    <w:basedOn w:val="NoList"/>
    <w:rsid w:val="00F8631B"/>
  </w:style>
  <w:style w:type="numbering" w:customStyle="1" w:styleId="WWNum101">
    <w:name w:val="WWNum101"/>
    <w:basedOn w:val="NoList"/>
    <w:rsid w:val="00F8631B"/>
  </w:style>
  <w:style w:type="numbering" w:customStyle="1" w:styleId="WWNum111">
    <w:name w:val="WWNum111"/>
    <w:basedOn w:val="NoList"/>
    <w:rsid w:val="00F8631B"/>
  </w:style>
  <w:style w:type="numbering" w:customStyle="1" w:styleId="WWNum121">
    <w:name w:val="WWNum121"/>
    <w:basedOn w:val="NoList"/>
    <w:rsid w:val="00F8631B"/>
    <w:pPr>
      <w:numPr>
        <w:numId w:val="83"/>
      </w:numPr>
    </w:pPr>
  </w:style>
  <w:style w:type="numbering" w:customStyle="1" w:styleId="WWNum131">
    <w:name w:val="WWNum131"/>
    <w:basedOn w:val="NoList"/>
    <w:rsid w:val="00F8631B"/>
  </w:style>
  <w:style w:type="numbering" w:customStyle="1" w:styleId="WWNum141">
    <w:name w:val="WWNum141"/>
    <w:basedOn w:val="NoList"/>
    <w:rsid w:val="00F8631B"/>
  </w:style>
  <w:style w:type="numbering" w:customStyle="1" w:styleId="WWNum151">
    <w:name w:val="WWNum151"/>
    <w:basedOn w:val="NoList"/>
    <w:rsid w:val="00F8631B"/>
  </w:style>
  <w:style w:type="numbering" w:customStyle="1" w:styleId="WWNum161">
    <w:name w:val="WWNum161"/>
    <w:basedOn w:val="NoList"/>
    <w:rsid w:val="00F8631B"/>
  </w:style>
  <w:style w:type="numbering" w:customStyle="1" w:styleId="WWNum171">
    <w:name w:val="WWNum171"/>
    <w:basedOn w:val="NoList"/>
    <w:rsid w:val="00F8631B"/>
  </w:style>
  <w:style w:type="numbering" w:customStyle="1" w:styleId="WWNum181">
    <w:name w:val="WWNum181"/>
    <w:basedOn w:val="NoList"/>
    <w:rsid w:val="00F8631B"/>
  </w:style>
  <w:style w:type="numbering" w:customStyle="1" w:styleId="WWNum191">
    <w:name w:val="WWNum191"/>
    <w:basedOn w:val="NoList"/>
    <w:rsid w:val="00F8631B"/>
  </w:style>
  <w:style w:type="numbering" w:customStyle="1" w:styleId="WWNum201">
    <w:name w:val="WWNum201"/>
    <w:basedOn w:val="NoList"/>
    <w:rsid w:val="00F8631B"/>
  </w:style>
  <w:style w:type="numbering" w:customStyle="1" w:styleId="WWNum211">
    <w:name w:val="WWNum211"/>
    <w:basedOn w:val="NoList"/>
    <w:rsid w:val="00F8631B"/>
  </w:style>
  <w:style w:type="numbering" w:customStyle="1" w:styleId="WWNum231">
    <w:name w:val="WWNum231"/>
    <w:basedOn w:val="NoList"/>
    <w:rsid w:val="00F8631B"/>
  </w:style>
  <w:style w:type="numbering" w:customStyle="1" w:styleId="WWNum241">
    <w:name w:val="WWNum241"/>
    <w:basedOn w:val="NoList"/>
    <w:rsid w:val="00F8631B"/>
  </w:style>
  <w:style w:type="numbering" w:customStyle="1" w:styleId="WWNum251">
    <w:name w:val="WWNum251"/>
    <w:basedOn w:val="NoList"/>
    <w:rsid w:val="00F8631B"/>
  </w:style>
  <w:style w:type="numbering" w:customStyle="1" w:styleId="WWNum261">
    <w:name w:val="WWNum261"/>
    <w:basedOn w:val="NoList"/>
    <w:rsid w:val="00F8631B"/>
  </w:style>
  <w:style w:type="numbering" w:customStyle="1" w:styleId="WWNum271">
    <w:name w:val="WWNum271"/>
    <w:basedOn w:val="NoList"/>
    <w:rsid w:val="00F8631B"/>
  </w:style>
  <w:style w:type="numbering" w:customStyle="1" w:styleId="WWNum281">
    <w:name w:val="WWNum281"/>
    <w:basedOn w:val="NoList"/>
    <w:rsid w:val="00F8631B"/>
  </w:style>
  <w:style w:type="numbering" w:customStyle="1" w:styleId="WWNum291">
    <w:name w:val="WWNum291"/>
    <w:basedOn w:val="NoList"/>
    <w:rsid w:val="00F8631B"/>
  </w:style>
  <w:style w:type="numbering" w:customStyle="1" w:styleId="WWNum301">
    <w:name w:val="WWNum301"/>
    <w:basedOn w:val="NoList"/>
    <w:rsid w:val="00F8631B"/>
  </w:style>
  <w:style w:type="numbering" w:customStyle="1" w:styleId="WWNum311">
    <w:name w:val="WWNum311"/>
    <w:basedOn w:val="NoList"/>
    <w:rsid w:val="00F8631B"/>
  </w:style>
  <w:style w:type="numbering" w:customStyle="1" w:styleId="WWNum321">
    <w:name w:val="WWNum321"/>
    <w:basedOn w:val="NoList"/>
    <w:rsid w:val="00F8631B"/>
  </w:style>
  <w:style w:type="numbering" w:customStyle="1" w:styleId="WWNum331">
    <w:name w:val="WWNum331"/>
    <w:basedOn w:val="NoList"/>
    <w:rsid w:val="00F8631B"/>
  </w:style>
  <w:style w:type="numbering" w:customStyle="1" w:styleId="WWNum341">
    <w:name w:val="WWNum341"/>
    <w:basedOn w:val="NoList"/>
    <w:rsid w:val="00F8631B"/>
  </w:style>
  <w:style w:type="numbering" w:customStyle="1" w:styleId="WWNum351">
    <w:name w:val="WWNum351"/>
    <w:basedOn w:val="NoList"/>
    <w:rsid w:val="00F8631B"/>
  </w:style>
  <w:style w:type="numbering" w:customStyle="1" w:styleId="WWNum361">
    <w:name w:val="WWNum361"/>
    <w:basedOn w:val="NoList"/>
    <w:rsid w:val="00F8631B"/>
  </w:style>
  <w:style w:type="numbering" w:customStyle="1" w:styleId="WWNum371">
    <w:name w:val="WWNum371"/>
    <w:basedOn w:val="NoList"/>
    <w:rsid w:val="00F8631B"/>
  </w:style>
  <w:style w:type="numbering" w:customStyle="1" w:styleId="WWNum381">
    <w:name w:val="WWNum381"/>
    <w:basedOn w:val="NoList"/>
    <w:rsid w:val="00F8631B"/>
  </w:style>
  <w:style w:type="numbering" w:customStyle="1" w:styleId="WWNum391">
    <w:name w:val="WWNum391"/>
    <w:basedOn w:val="NoList"/>
    <w:rsid w:val="00F8631B"/>
  </w:style>
  <w:style w:type="numbering" w:customStyle="1" w:styleId="WWNum401">
    <w:name w:val="WWNum401"/>
    <w:basedOn w:val="NoList"/>
    <w:rsid w:val="00F8631B"/>
  </w:style>
  <w:style w:type="numbering" w:customStyle="1" w:styleId="WWNum411">
    <w:name w:val="WWNum411"/>
    <w:basedOn w:val="NoList"/>
    <w:rsid w:val="00F8631B"/>
  </w:style>
  <w:style w:type="numbering" w:customStyle="1" w:styleId="WWNum421">
    <w:name w:val="WWNum421"/>
    <w:basedOn w:val="NoList"/>
    <w:rsid w:val="00F8631B"/>
  </w:style>
  <w:style w:type="numbering" w:customStyle="1" w:styleId="WWNum431">
    <w:name w:val="WWNum431"/>
    <w:basedOn w:val="NoList"/>
    <w:rsid w:val="00F8631B"/>
  </w:style>
  <w:style w:type="numbering" w:customStyle="1" w:styleId="WWNum441">
    <w:name w:val="WWNum441"/>
    <w:basedOn w:val="NoList"/>
    <w:rsid w:val="00F8631B"/>
  </w:style>
  <w:style w:type="numbering" w:customStyle="1" w:styleId="WWNum451">
    <w:name w:val="WWNum451"/>
    <w:basedOn w:val="NoList"/>
    <w:rsid w:val="00F8631B"/>
  </w:style>
  <w:style w:type="numbering" w:customStyle="1" w:styleId="WWNum461">
    <w:name w:val="WWNum461"/>
    <w:basedOn w:val="NoList"/>
    <w:rsid w:val="00F8631B"/>
  </w:style>
  <w:style w:type="numbering" w:customStyle="1" w:styleId="WWNum471">
    <w:name w:val="WWNum471"/>
    <w:basedOn w:val="NoList"/>
    <w:rsid w:val="00F8631B"/>
  </w:style>
  <w:style w:type="numbering" w:customStyle="1" w:styleId="WWNum511">
    <w:name w:val="WWNum511"/>
    <w:basedOn w:val="NoList"/>
    <w:rsid w:val="00F8631B"/>
  </w:style>
  <w:style w:type="numbering" w:customStyle="1" w:styleId="WWNum521">
    <w:name w:val="WWNum521"/>
    <w:basedOn w:val="NoList"/>
    <w:rsid w:val="00F8631B"/>
  </w:style>
  <w:style w:type="numbering" w:customStyle="1" w:styleId="WWNum541">
    <w:name w:val="WWNum541"/>
    <w:basedOn w:val="NoList"/>
    <w:rsid w:val="00F8631B"/>
  </w:style>
  <w:style w:type="numbering" w:customStyle="1" w:styleId="WWNum551">
    <w:name w:val="WWNum551"/>
    <w:basedOn w:val="NoList"/>
    <w:rsid w:val="00F8631B"/>
  </w:style>
  <w:style w:type="numbering" w:customStyle="1" w:styleId="WWNum571">
    <w:name w:val="WWNum571"/>
    <w:basedOn w:val="NoList"/>
    <w:rsid w:val="00F8631B"/>
  </w:style>
  <w:style w:type="numbering" w:customStyle="1" w:styleId="WWNum581">
    <w:name w:val="WWNum581"/>
    <w:basedOn w:val="NoList"/>
    <w:rsid w:val="00F8631B"/>
  </w:style>
  <w:style w:type="numbering" w:customStyle="1" w:styleId="WWNum641">
    <w:name w:val="WWNum641"/>
    <w:basedOn w:val="NoList"/>
    <w:rsid w:val="00F8631B"/>
  </w:style>
  <w:style w:type="numbering" w:customStyle="1" w:styleId="WWNum651">
    <w:name w:val="WWNum651"/>
    <w:basedOn w:val="NoList"/>
    <w:rsid w:val="00F8631B"/>
  </w:style>
  <w:style w:type="numbering" w:customStyle="1" w:styleId="WWNum661">
    <w:name w:val="WWNum661"/>
    <w:basedOn w:val="NoList"/>
    <w:rsid w:val="00F8631B"/>
  </w:style>
  <w:style w:type="numbering" w:customStyle="1" w:styleId="WWNum701">
    <w:name w:val="WWNum701"/>
    <w:basedOn w:val="NoList"/>
    <w:rsid w:val="00F8631B"/>
  </w:style>
  <w:style w:type="numbering" w:customStyle="1" w:styleId="WWNum731">
    <w:name w:val="WWNum731"/>
    <w:basedOn w:val="NoList"/>
    <w:rsid w:val="00F8631B"/>
  </w:style>
  <w:style w:type="numbering" w:customStyle="1" w:styleId="WWNum741">
    <w:name w:val="WWNum741"/>
    <w:basedOn w:val="NoList"/>
    <w:rsid w:val="00F8631B"/>
  </w:style>
  <w:style w:type="numbering" w:customStyle="1" w:styleId="WWNum751">
    <w:name w:val="WWNum751"/>
    <w:basedOn w:val="NoList"/>
    <w:rsid w:val="00F8631B"/>
  </w:style>
  <w:style w:type="numbering" w:customStyle="1" w:styleId="WWNum761">
    <w:name w:val="WWNum761"/>
    <w:basedOn w:val="NoList"/>
    <w:rsid w:val="00F8631B"/>
  </w:style>
  <w:style w:type="numbering" w:customStyle="1" w:styleId="WWNum771">
    <w:name w:val="WWNum771"/>
    <w:basedOn w:val="NoList"/>
    <w:rsid w:val="00F8631B"/>
  </w:style>
  <w:style w:type="numbering" w:customStyle="1" w:styleId="WWNum781">
    <w:name w:val="WWNum781"/>
    <w:basedOn w:val="NoList"/>
    <w:rsid w:val="00F8631B"/>
  </w:style>
  <w:style w:type="table" w:customStyle="1" w:styleId="LightList-Accent62">
    <w:name w:val="Light List - Accent 6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NoList11">
    <w:name w:val="No List11"/>
    <w:next w:val="NoList"/>
    <w:uiPriority w:val="99"/>
    <w:semiHidden/>
    <w:unhideWhenUsed/>
    <w:rsid w:val="00F8631B"/>
  </w:style>
  <w:style w:type="table" w:customStyle="1" w:styleId="LightList-Accent611">
    <w:name w:val="Light List - Accent 61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1811">
    <w:name w:val="WWNum1811"/>
    <w:basedOn w:val="NoList"/>
    <w:rsid w:val="00F8631B"/>
  </w:style>
  <w:style w:type="table" w:customStyle="1" w:styleId="LightList-Accent621">
    <w:name w:val="Light List - Accent 62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
    <w:name w:val="Light List - Accent 611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
    <w:name w:val="Light List - Accent 6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
    <w:name w:val="Light List - Accent 61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NoList21">
    <w:name w:val="No List21"/>
    <w:next w:val="NoList"/>
    <w:uiPriority w:val="99"/>
    <w:semiHidden/>
    <w:unhideWhenUsed/>
    <w:rsid w:val="00F8631B"/>
  </w:style>
  <w:style w:type="numbering" w:customStyle="1" w:styleId="NoList111">
    <w:name w:val="No List111"/>
    <w:next w:val="NoList"/>
    <w:uiPriority w:val="99"/>
    <w:semiHidden/>
    <w:unhideWhenUsed/>
    <w:rsid w:val="00F8631B"/>
  </w:style>
  <w:style w:type="numbering" w:customStyle="1" w:styleId="WWNum1101">
    <w:name w:val="WWNum1101"/>
    <w:basedOn w:val="NoList"/>
    <w:rsid w:val="00F8631B"/>
  </w:style>
  <w:style w:type="numbering" w:customStyle="1" w:styleId="WWNum481">
    <w:name w:val="WWNum481"/>
    <w:basedOn w:val="NoList"/>
    <w:rsid w:val="00F8631B"/>
  </w:style>
  <w:style w:type="numbering" w:customStyle="1" w:styleId="WWNum611">
    <w:name w:val="WWNum611"/>
    <w:basedOn w:val="NoList"/>
    <w:rsid w:val="00F8631B"/>
  </w:style>
  <w:style w:type="numbering" w:customStyle="1" w:styleId="WWNum811">
    <w:name w:val="WWNum811"/>
    <w:basedOn w:val="NoList"/>
    <w:rsid w:val="00F8631B"/>
  </w:style>
  <w:style w:type="numbering" w:customStyle="1" w:styleId="WWNum911">
    <w:name w:val="WWNum911"/>
    <w:basedOn w:val="NoList"/>
    <w:rsid w:val="00F8631B"/>
  </w:style>
  <w:style w:type="numbering" w:customStyle="1" w:styleId="WWNum1011">
    <w:name w:val="WWNum1011"/>
    <w:basedOn w:val="NoList"/>
    <w:rsid w:val="00F8631B"/>
  </w:style>
  <w:style w:type="numbering" w:customStyle="1" w:styleId="WWNum1111">
    <w:name w:val="WWNum1111"/>
    <w:basedOn w:val="NoList"/>
    <w:rsid w:val="00F8631B"/>
  </w:style>
  <w:style w:type="numbering" w:customStyle="1" w:styleId="WWNum1211">
    <w:name w:val="WWNum1211"/>
    <w:basedOn w:val="NoList"/>
    <w:rsid w:val="00F8631B"/>
  </w:style>
  <w:style w:type="numbering" w:customStyle="1" w:styleId="WWNum1311">
    <w:name w:val="WWNum1311"/>
    <w:basedOn w:val="NoList"/>
    <w:rsid w:val="00F8631B"/>
  </w:style>
  <w:style w:type="numbering" w:customStyle="1" w:styleId="WWNum1411">
    <w:name w:val="WWNum1411"/>
    <w:basedOn w:val="NoList"/>
    <w:rsid w:val="00F8631B"/>
  </w:style>
  <w:style w:type="numbering" w:customStyle="1" w:styleId="WWNum1511">
    <w:name w:val="WWNum1511"/>
    <w:basedOn w:val="NoList"/>
    <w:rsid w:val="00F8631B"/>
  </w:style>
  <w:style w:type="numbering" w:customStyle="1" w:styleId="WWNum1611">
    <w:name w:val="WWNum1611"/>
    <w:basedOn w:val="NoList"/>
    <w:rsid w:val="00F8631B"/>
  </w:style>
  <w:style w:type="numbering" w:customStyle="1" w:styleId="WWNum1711">
    <w:name w:val="WWNum1711"/>
    <w:basedOn w:val="NoList"/>
    <w:rsid w:val="00F8631B"/>
  </w:style>
  <w:style w:type="numbering" w:customStyle="1" w:styleId="WWNum182">
    <w:name w:val="WWNum182"/>
    <w:basedOn w:val="NoList"/>
    <w:rsid w:val="00F8631B"/>
  </w:style>
  <w:style w:type="numbering" w:customStyle="1" w:styleId="WWNum1911">
    <w:name w:val="WWNum1911"/>
    <w:basedOn w:val="NoList"/>
    <w:rsid w:val="00F8631B"/>
  </w:style>
  <w:style w:type="numbering" w:customStyle="1" w:styleId="WWNum2011">
    <w:name w:val="WWNum2011"/>
    <w:basedOn w:val="NoList"/>
    <w:rsid w:val="00F8631B"/>
  </w:style>
  <w:style w:type="numbering" w:customStyle="1" w:styleId="WWNum2111">
    <w:name w:val="WWNum2111"/>
    <w:basedOn w:val="NoList"/>
    <w:rsid w:val="00F8631B"/>
  </w:style>
  <w:style w:type="numbering" w:customStyle="1" w:styleId="WWNum2311">
    <w:name w:val="WWNum2311"/>
    <w:basedOn w:val="NoList"/>
    <w:rsid w:val="00F8631B"/>
  </w:style>
  <w:style w:type="numbering" w:customStyle="1" w:styleId="WWNum2411">
    <w:name w:val="WWNum2411"/>
    <w:basedOn w:val="NoList"/>
    <w:rsid w:val="00F8631B"/>
  </w:style>
  <w:style w:type="numbering" w:customStyle="1" w:styleId="WWNum2511">
    <w:name w:val="WWNum2511"/>
    <w:basedOn w:val="NoList"/>
    <w:rsid w:val="00F8631B"/>
  </w:style>
  <w:style w:type="numbering" w:customStyle="1" w:styleId="WWNum2611">
    <w:name w:val="WWNum2611"/>
    <w:basedOn w:val="NoList"/>
    <w:rsid w:val="00F8631B"/>
  </w:style>
  <w:style w:type="numbering" w:customStyle="1" w:styleId="WWNum2711">
    <w:name w:val="WWNum2711"/>
    <w:basedOn w:val="NoList"/>
    <w:rsid w:val="00F8631B"/>
  </w:style>
  <w:style w:type="numbering" w:customStyle="1" w:styleId="WWNum2811">
    <w:name w:val="WWNum2811"/>
    <w:basedOn w:val="NoList"/>
    <w:rsid w:val="00F8631B"/>
  </w:style>
  <w:style w:type="numbering" w:customStyle="1" w:styleId="WWNum2911">
    <w:name w:val="WWNum2911"/>
    <w:basedOn w:val="NoList"/>
    <w:rsid w:val="00F8631B"/>
  </w:style>
  <w:style w:type="numbering" w:customStyle="1" w:styleId="WWNum3011">
    <w:name w:val="WWNum3011"/>
    <w:basedOn w:val="NoList"/>
    <w:rsid w:val="00F8631B"/>
  </w:style>
  <w:style w:type="numbering" w:customStyle="1" w:styleId="WWNum3111">
    <w:name w:val="WWNum3111"/>
    <w:basedOn w:val="NoList"/>
    <w:rsid w:val="00F8631B"/>
  </w:style>
  <w:style w:type="numbering" w:customStyle="1" w:styleId="WWNum3211">
    <w:name w:val="WWNum3211"/>
    <w:basedOn w:val="NoList"/>
    <w:rsid w:val="00F8631B"/>
  </w:style>
  <w:style w:type="numbering" w:customStyle="1" w:styleId="WWNum3311">
    <w:name w:val="WWNum3311"/>
    <w:basedOn w:val="NoList"/>
    <w:rsid w:val="00F8631B"/>
  </w:style>
  <w:style w:type="numbering" w:customStyle="1" w:styleId="WWNum3411">
    <w:name w:val="WWNum3411"/>
    <w:basedOn w:val="NoList"/>
    <w:rsid w:val="00F8631B"/>
  </w:style>
  <w:style w:type="numbering" w:customStyle="1" w:styleId="WWNum3511">
    <w:name w:val="WWNum3511"/>
    <w:basedOn w:val="NoList"/>
    <w:rsid w:val="00F8631B"/>
  </w:style>
  <w:style w:type="numbering" w:customStyle="1" w:styleId="WWNum3611">
    <w:name w:val="WWNum3611"/>
    <w:basedOn w:val="NoList"/>
    <w:rsid w:val="00F8631B"/>
  </w:style>
  <w:style w:type="numbering" w:customStyle="1" w:styleId="WWNum3711">
    <w:name w:val="WWNum3711"/>
    <w:basedOn w:val="NoList"/>
    <w:rsid w:val="00F8631B"/>
  </w:style>
  <w:style w:type="numbering" w:customStyle="1" w:styleId="WWNum3811">
    <w:name w:val="WWNum3811"/>
    <w:basedOn w:val="NoList"/>
    <w:rsid w:val="00F8631B"/>
  </w:style>
  <w:style w:type="numbering" w:customStyle="1" w:styleId="WWNum3911">
    <w:name w:val="WWNum3911"/>
    <w:basedOn w:val="NoList"/>
    <w:rsid w:val="00F8631B"/>
  </w:style>
  <w:style w:type="numbering" w:customStyle="1" w:styleId="WWNum4011">
    <w:name w:val="WWNum4011"/>
    <w:basedOn w:val="NoList"/>
    <w:rsid w:val="00F8631B"/>
  </w:style>
  <w:style w:type="numbering" w:customStyle="1" w:styleId="WWNum4111">
    <w:name w:val="WWNum4111"/>
    <w:basedOn w:val="NoList"/>
    <w:rsid w:val="00F8631B"/>
  </w:style>
  <w:style w:type="numbering" w:customStyle="1" w:styleId="WWNum4211">
    <w:name w:val="WWNum4211"/>
    <w:basedOn w:val="NoList"/>
    <w:rsid w:val="00F8631B"/>
  </w:style>
  <w:style w:type="numbering" w:customStyle="1" w:styleId="WWNum4311">
    <w:name w:val="WWNum4311"/>
    <w:basedOn w:val="NoList"/>
    <w:rsid w:val="00F8631B"/>
  </w:style>
  <w:style w:type="numbering" w:customStyle="1" w:styleId="WWNum4411">
    <w:name w:val="WWNum4411"/>
    <w:basedOn w:val="NoList"/>
    <w:rsid w:val="00F8631B"/>
  </w:style>
  <w:style w:type="numbering" w:customStyle="1" w:styleId="WWNum4511">
    <w:name w:val="WWNum4511"/>
    <w:basedOn w:val="NoList"/>
    <w:rsid w:val="00F8631B"/>
  </w:style>
  <w:style w:type="numbering" w:customStyle="1" w:styleId="WWNum4611">
    <w:name w:val="WWNum4611"/>
    <w:basedOn w:val="NoList"/>
    <w:rsid w:val="00F8631B"/>
  </w:style>
  <w:style w:type="numbering" w:customStyle="1" w:styleId="WWNum4711">
    <w:name w:val="WWNum4711"/>
    <w:basedOn w:val="NoList"/>
    <w:rsid w:val="00F8631B"/>
  </w:style>
  <w:style w:type="numbering" w:customStyle="1" w:styleId="WWNum5111">
    <w:name w:val="WWNum5111"/>
    <w:basedOn w:val="NoList"/>
    <w:rsid w:val="00F8631B"/>
  </w:style>
  <w:style w:type="numbering" w:customStyle="1" w:styleId="WWNum5211">
    <w:name w:val="WWNum5211"/>
    <w:basedOn w:val="NoList"/>
    <w:rsid w:val="00F8631B"/>
  </w:style>
  <w:style w:type="numbering" w:customStyle="1" w:styleId="WWNum5411">
    <w:name w:val="WWNum5411"/>
    <w:basedOn w:val="NoList"/>
    <w:rsid w:val="00F8631B"/>
  </w:style>
  <w:style w:type="numbering" w:customStyle="1" w:styleId="WWNum5511">
    <w:name w:val="WWNum5511"/>
    <w:basedOn w:val="NoList"/>
    <w:rsid w:val="00F8631B"/>
  </w:style>
  <w:style w:type="numbering" w:customStyle="1" w:styleId="WWNum5711">
    <w:name w:val="WWNum5711"/>
    <w:basedOn w:val="NoList"/>
    <w:rsid w:val="00F8631B"/>
  </w:style>
  <w:style w:type="numbering" w:customStyle="1" w:styleId="WWNum5811">
    <w:name w:val="WWNum5811"/>
    <w:basedOn w:val="NoList"/>
    <w:rsid w:val="00F8631B"/>
  </w:style>
  <w:style w:type="numbering" w:customStyle="1" w:styleId="WWNum6411">
    <w:name w:val="WWNum6411"/>
    <w:basedOn w:val="NoList"/>
    <w:rsid w:val="00F8631B"/>
  </w:style>
  <w:style w:type="numbering" w:customStyle="1" w:styleId="WWNum6511">
    <w:name w:val="WWNum6511"/>
    <w:basedOn w:val="NoList"/>
    <w:rsid w:val="00F8631B"/>
  </w:style>
  <w:style w:type="numbering" w:customStyle="1" w:styleId="WWNum6611">
    <w:name w:val="WWNum6611"/>
    <w:basedOn w:val="NoList"/>
    <w:rsid w:val="00F8631B"/>
  </w:style>
  <w:style w:type="numbering" w:customStyle="1" w:styleId="WWNum7011">
    <w:name w:val="WWNum7011"/>
    <w:basedOn w:val="NoList"/>
    <w:rsid w:val="00F8631B"/>
  </w:style>
  <w:style w:type="numbering" w:customStyle="1" w:styleId="WWNum7311">
    <w:name w:val="WWNum7311"/>
    <w:basedOn w:val="NoList"/>
    <w:rsid w:val="00F8631B"/>
  </w:style>
  <w:style w:type="numbering" w:customStyle="1" w:styleId="WWNum7411">
    <w:name w:val="WWNum7411"/>
    <w:basedOn w:val="NoList"/>
    <w:rsid w:val="00F8631B"/>
  </w:style>
  <w:style w:type="numbering" w:customStyle="1" w:styleId="WWNum7511">
    <w:name w:val="WWNum7511"/>
    <w:basedOn w:val="NoList"/>
    <w:rsid w:val="00F8631B"/>
  </w:style>
  <w:style w:type="numbering" w:customStyle="1" w:styleId="WWNum7611">
    <w:name w:val="WWNum7611"/>
    <w:basedOn w:val="NoList"/>
    <w:rsid w:val="00F8631B"/>
  </w:style>
  <w:style w:type="numbering" w:customStyle="1" w:styleId="WWNum7711">
    <w:name w:val="WWNum7711"/>
    <w:basedOn w:val="NoList"/>
    <w:rsid w:val="00F8631B"/>
  </w:style>
  <w:style w:type="numbering" w:customStyle="1" w:styleId="WWNum7811">
    <w:name w:val="WWNum7811"/>
    <w:basedOn w:val="NoList"/>
    <w:rsid w:val="00F8631B"/>
  </w:style>
  <w:style w:type="table" w:customStyle="1" w:styleId="LightList-Accent64">
    <w:name w:val="Light List - Accent 6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NoList1111">
    <w:name w:val="No List1111"/>
    <w:next w:val="NoList"/>
    <w:uiPriority w:val="99"/>
    <w:semiHidden/>
    <w:unhideWhenUsed/>
    <w:rsid w:val="00F8631B"/>
  </w:style>
  <w:style w:type="table" w:customStyle="1" w:styleId="LightList-Accent613">
    <w:name w:val="Light List - Accent 61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TableGrid10">
    <w:name w:val="Table Grid1"/>
    <w:basedOn w:val="TableNormal"/>
    <w:next w:val="TableGrid"/>
    <w:uiPriority w:val="59"/>
    <w:rsid w:val="00F8631B"/>
    <w:pPr>
      <w:spacing w:after="0" w:line="240" w:lineRule="auto"/>
    </w:pPr>
    <w:rPr>
      <w:rFonts w:ascii="Calibri" w:eastAsia="Times New Roman" w:hAnsi="Calibri" w:cs="Times New Roman"/>
      <w:kern w:val="0"/>
      <w:sz w:val="20"/>
      <w:szCs w:val="20"/>
      <w:lang w:val="en-IN" w:eastAsia="en-IN"/>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F8631B"/>
    <w:pPr>
      <w:spacing w:after="0" w:line="240" w:lineRule="auto"/>
    </w:pPr>
    <w:rPr>
      <w:rFonts w:ascii="Calibri" w:eastAsia="Times New Roman" w:hAnsi="Calibri" w:cs="Times New Roman"/>
      <w:kern w:val="0"/>
      <w:sz w:val="20"/>
      <w:szCs w:val="20"/>
      <w:lang w:val="en-IN" w:eastAsia="en-IN"/>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65">
    <w:name w:val="Light List - Accent 65"/>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
    <w:name w:val="Light List - Accent 66"/>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
    <w:name w:val="Light List - Accent 61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762">
    <w:name w:val="WWNum762"/>
    <w:basedOn w:val="NoList"/>
    <w:rsid w:val="00F8631B"/>
  </w:style>
  <w:style w:type="table" w:customStyle="1" w:styleId="LightList-Accent67">
    <w:name w:val="Light List - Accent 67"/>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112">
    <w:name w:val="WWNum112"/>
    <w:basedOn w:val="NoList"/>
    <w:rsid w:val="00F8631B"/>
  </w:style>
  <w:style w:type="numbering" w:customStyle="1" w:styleId="WWNum49">
    <w:name w:val="WWNum49"/>
    <w:basedOn w:val="NoList"/>
    <w:rsid w:val="00F8631B"/>
    <w:pPr>
      <w:numPr>
        <w:numId w:val="135"/>
      </w:numPr>
    </w:pPr>
  </w:style>
  <w:style w:type="numbering" w:customStyle="1" w:styleId="WWNum62">
    <w:name w:val="WWNum62"/>
    <w:basedOn w:val="NoList"/>
    <w:rsid w:val="00F8631B"/>
    <w:pPr>
      <w:numPr>
        <w:numId w:val="137"/>
      </w:numPr>
    </w:pPr>
  </w:style>
  <w:style w:type="numbering" w:customStyle="1" w:styleId="WWNum82">
    <w:name w:val="WWNum82"/>
    <w:basedOn w:val="NoList"/>
    <w:rsid w:val="00F8631B"/>
  </w:style>
  <w:style w:type="numbering" w:customStyle="1" w:styleId="WWNum92">
    <w:name w:val="WWNum92"/>
    <w:basedOn w:val="NoList"/>
    <w:rsid w:val="00F8631B"/>
  </w:style>
  <w:style w:type="numbering" w:customStyle="1" w:styleId="WWNum102">
    <w:name w:val="WWNum102"/>
    <w:basedOn w:val="NoList"/>
    <w:rsid w:val="00F8631B"/>
  </w:style>
  <w:style w:type="numbering" w:customStyle="1" w:styleId="WWNum113">
    <w:name w:val="WWNum113"/>
    <w:basedOn w:val="NoList"/>
    <w:rsid w:val="00F8631B"/>
  </w:style>
  <w:style w:type="numbering" w:customStyle="1" w:styleId="WWNum122">
    <w:name w:val="WWNum122"/>
    <w:basedOn w:val="NoList"/>
    <w:rsid w:val="00F8631B"/>
  </w:style>
  <w:style w:type="numbering" w:customStyle="1" w:styleId="WWNum132">
    <w:name w:val="WWNum132"/>
    <w:basedOn w:val="NoList"/>
    <w:rsid w:val="00F8631B"/>
  </w:style>
  <w:style w:type="numbering" w:customStyle="1" w:styleId="WWNum142">
    <w:name w:val="WWNum142"/>
    <w:basedOn w:val="NoList"/>
    <w:rsid w:val="00F8631B"/>
  </w:style>
  <w:style w:type="numbering" w:customStyle="1" w:styleId="WWNum152">
    <w:name w:val="WWNum152"/>
    <w:basedOn w:val="NoList"/>
    <w:rsid w:val="00F8631B"/>
  </w:style>
  <w:style w:type="numbering" w:customStyle="1" w:styleId="WWNum162">
    <w:name w:val="WWNum162"/>
    <w:basedOn w:val="NoList"/>
    <w:rsid w:val="00F8631B"/>
  </w:style>
  <w:style w:type="numbering" w:customStyle="1" w:styleId="WWNum172">
    <w:name w:val="WWNum172"/>
    <w:basedOn w:val="NoList"/>
    <w:rsid w:val="00F8631B"/>
  </w:style>
  <w:style w:type="numbering" w:customStyle="1" w:styleId="WWNum183">
    <w:name w:val="WWNum183"/>
    <w:basedOn w:val="NoList"/>
    <w:rsid w:val="00F8631B"/>
  </w:style>
  <w:style w:type="numbering" w:customStyle="1" w:styleId="WWNum192">
    <w:name w:val="WWNum192"/>
    <w:basedOn w:val="NoList"/>
    <w:rsid w:val="00F8631B"/>
  </w:style>
  <w:style w:type="numbering" w:customStyle="1" w:styleId="WWNum202">
    <w:name w:val="WWNum202"/>
    <w:basedOn w:val="NoList"/>
    <w:rsid w:val="00F8631B"/>
  </w:style>
  <w:style w:type="numbering" w:customStyle="1" w:styleId="WWNum212">
    <w:name w:val="WWNum212"/>
    <w:basedOn w:val="NoList"/>
    <w:rsid w:val="00F8631B"/>
  </w:style>
  <w:style w:type="numbering" w:customStyle="1" w:styleId="WWNum232">
    <w:name w:val="WWNum232"/>
    <w:basedOn w:val="NoList"/>
    <w:rsid w:val="00F8631B"/>
  </w:style>
  <w:style w:type="numbering" w:customStyle="1" w:styleId="WWNum242">
    <w:name w:val="WWNum242"/>
    <w:basedOn w:val="NoList"/>
    <w:rsid w:val="00F8631B"/>
  </w:style>
  <w:style w:type="numbering" w:customStyle="1" w:styleId="WWNum252">
    <w:name w:val="WWNum252"/>
    <w:basedOn w:val="NoList"/>
    <w:rsid w:val="00F8631B"/>
  </w:style>
  <w:style w:type="numbering" w:customStyle="1" w:styleId="WWNum262">
    <w:name w:val="WWNum262"/>
    <w:basedOn w:val="NoList"/>
    <w:rsid w:val="00F8631B"/>
  </w:style>
  <w:style w:type="numbering" w:customStyle="1" w:styleId="WWNum272">
    <w:name w:val="WWNum272"/>
    <w:basedOn w:val="NoList"/>
    <w:rsid w:val="00F8631B"/>
  </w:style>
  <w:style w:type="numbering" w:customStyle="1" w:styleId="WWNum282">
    <w:name w:val="WWNum282"/>
    <w:basedOn w:val="NoList"/>
    <w:rsid w:val="00F8631B"/>
  </w:style>
  <w:style w:type="numbering" w:customStyle="1" w:styleId="WWNum292">
    <w:name w:val="WWNum292"/>
    <w:basedOn w:val="NoList"/>
    <w:rsid w:val="00F8631B"/>
  </w:style>
  <w:style w:type="numbering" w:customStyle="1" w:styleId="WWNum302">
    <w:name w:val="WWNum302"/>
    <w:basedOn w:val="NoList"/>
    <w:rsid w:val="00F8631B"/>
  </w:style>
  <w:style w:type="numbering" w:customStyle="1" w:styleId="WWNum312">
    <w:name w:val="WWNum312"/>
    <w:basedOn w:val="NoList"/>
    <w:rsid w:val="00F8631B"/>
  </w:style>
  <w:style w:type="numbering" w:customStyle="1" w:styleId="WWNum322">
    <w:name w:val="WWNum322"/>
    <w:basedOn w:val="NoList"/>
    <w:rsid w:val="00F8631B"/>
  </w:style>
  <w:style w:type="numbering" w:customStyle="1" w:styleId="WWNum332">
    <w:name w:val="WWNum332"/>
    <w:basedOn w:val="NoList"/>
    <w:rsid w:val="00F8631B"/>
  </w:style>
  <w:style w:type="numbering" w:customStyle="1" w:styleId="WWNum342">
    <w:name w:val="WWNum342"/>
    <w:basedOn w:val="NoList"/>
    <w:rsid w:val="00F8631B"/>
  </w:style>
  <w:style w:type="numbering" w:customStyle="1" w:styleId="WWNum352">
    <w:name w:val="WWNum352"/>
    <w:basedOn w:val="NoList"/>
    <w:rsid w:val="00F8631B"/>
  </w:style>
  <w:style w:type="numbering" w:customStyle="1" w:styleId="WWNum362">
    <w:name w:val="WWNum362"/>
    <w:basedOn w:val="NoList"/>
    <w:rsid w:val="00F8631B"/>
  </w:style>
  <w:style w:type="numbering" w:customStyle="1" w:styleId="WWNum372">
    <w:name w:val="WWNum372"/>
    <w:basedOn w:val="NoList"/>
    <w:rsid w:val="00F8631B"/>
  </w:style>
  <w:style w:type="numbering" w:customStyle="1" w:styleId="WWNum382">
    <w:name w:val="WWNum382"/>
    <w:basedOn w:val="NoList"/>
    <w:rsid w:val="00F8631B"/>
  </w:style>
  <w:style w:type="numbering" w:customStyle="1" w:styleId="WWNum392">
    <w:name w:val="WWNum392"/>
    <w:basedOn w:val="NoList"/>
    <w:rsid w:val="00F8631B"/>
  </w:style>
  <w:style w:type="numbering" w:customStyle="1" w:styleId="WWNum402">
    <w:name w:val="WWNum402"/>
    <w:basedOn w:val="NoList"/>
    <w:rsid w:val="00F8631B"/>
  </w:style>
  <w:style w:type="numbering" w:customStyle="1" w:styleId="WWNum412">
    <w:name w:val="WWNum412"/>
    <w:basedOn w:val="NoList"/>
    <w:rsid w:val="00F8631B"/>
  </w:style>
  <w:style w:type="numbering" w:customStyle="1" w:styleId="WWNum422">
    <w:name w:val="WWNum422"/>
    <w:basedOn w:val="NoList"/>
    <w:rsid w:val="00F8631B"/>
  </w:style>
  <w:style w:type="numbering" w:customStyle="1" w:styleId="WWNum432">
    <w:name w:val="WWNum432"/>
    <w:basedOn w:val="NoList"/>
    <w:rsid w:val="00F8631B"/>
  </w:style>
  <w:style w:type="numbering" w:customStyle="1" w:styleId="WWNum442">
    <w:name w:val="WWNum442"/>
    <w:basedOn w:val="NoList"/>
    <w:rsid w:val="00F8631B"/>
  </w:style>
  <w:style w:type="numbering" w:customStyle="1" w:styleId="WWNum452">
    <w:name w:val="WWNum452"/>
    <w:basedOn w:val="NoList"/>
    <w:rsid w:val="00F8631B"/>
  </w:style>
  <w:style w:type="numbering" w:customStyle="1" w:styleId="WWNum462">
    <w:name w:val="WWNum462"/>
    <w:basedOn w:val="NoList"/>
    <w:rsid w:val="00F8631B"/>
  </w:style>
  <w:style w:type="numbering" w:customStyle="1" w:styleId="WWNum472">
    <w:name w:val="WWNum472"/>
    <w:basedOn w:val="NoList"/>
    <w:rsid w:val="00F8631B"/>
  </w:style>
  <w:style w:type="numbering" w:customStyle="1" w:styleId="WWNum512">
    <w:name w:val="WWNum512"/>
    <w:basedOn w:val="NoList"/>
    <w:rsid w:val="00F8631B"/>
  </w:style>
  <w:style w:type="numbering" w:customStyle="1" w:styleId="WWNum522">
    <w:name w:val="WWNum522"/>
    <w:basedOn w:val="NoList"/>
    <w:rsid w:val="00F8631B"/>
  </w:style>
  <w:style w:type="numbering" w:customStyle="1" w:styleId="WWNum542">
    <w:name w:val="WWNum542"/>
    <w:basedOn w:val="NoList"/>
    <w:rsid w:val="00F8631B"/>
  </w:style>
  <w:style w:type="numbering" w:customStyle="1" w:styleId="WWNum552">
    <w:name w:val="WWNum552"/>
    <w:basedOn w:val="NoList"/>
    <w:rsid w:val="00F8631B"/>
  </w:style>
  <w:style w:type="numbering" w:customStyle="1" w:styleId="WWNum572">
    <w:name w:val="WWNum572"/>
    <w:basedOn w:val="NoList"/>
    <w:rsid w:val="00F8631B"/>
  </w:style>
  <w:style w:type="numbering" w:customStyle="1" w:styleId="WWNum582">
    <w:name w:val="WWNum582"/>
    <w:basedOn w:val="NoList"/>
    <w:rsid w:val="00F8631B"/>
  </w:style>
  <w:style w:type="numbering" w:customStyle="1" w:styleId="WWNum642">
    <w:name w:val="WWNum642"/>
    <w:basedOn w:val="NoList"/>
    <w:rsid w:val="00F8631B"/>
  </w:style>
  <w:style w:type="numbering" w:customStyle="1" w:styleId="WWNum652">
    <w:name w:val="WWNum652"/>
    <w:basedOn w:val="NoList"/>
    <w:rsid w:val="00F8631B"/>
  </w:style>
  <w:style w:type="numbering" w:customStyle="1" w:styleId="WWNum662">
    <w:name w:val="WWNum662"/>
    <w:basedOn w:val="NoList"/>
    <w:rsid w:val="00F8631B"/>
  </w:style>
  <w:style w:type="numbering" w:customStyle="1" w:styleId="WWNum702">
    <w:name w:val="WWNum702"/>
    <w:basedOn w:val="NoList"/>
    <w:rsid w:val="00F8631B"/>
  </w:style>
  <w:style w:type="numbering" w:customStyle="1" w:styleId="WWNum732">
    <w:name w:val="WWNum732"/>
    <w:basedOn w:val="NoList"/>
    <w:rsid w:val="00F8631B"/>
  </w:style>
  <w:style w:type="numbering" w:customStyle="1" w:styleId="WWNum742">
    <w:name w:val="WWNum742"/>
    <w:basedOn w:val="NoList"/>
    <w:rsid w:val="00F8631B"/>
  </w:style>
  <w:style w:type="numbering" w:customStyle="1" w:styleId="WWNum752">
    <w:name w:val="WWNum752"/>
    <w:basedOn w:val="NoList"/>
    <w:rsid w:val="00F8631B"/>
  </w:style>
  <w:style w:type="numbering" w:customStyle="1" w:styleId="WWNum763">
    <w:name w:val="WWNum763"/>
    <w:basedOn w:val="NoList"/>
    <w:rsid w:val="00F8631B"/>
  </w:style>
  <w:style w:type="numbering" w:customStyle="1" w:styleId="WWNum772">
    <w:name w:val="WWNum772"/>
    <w:basedOn w:val="NoList"/>
    <w:rsid w:val="00F8631B"/>
  </w:style>
  <w:style w:type="numbering" w:customStyle="1" w:styleId="WWNum782">
    <w:name w:val="WWNum782"/>
    <w:basedOn w:val="NoList"/>
    <w:rsid w:val="00F8631B"/>
  </w:style>
  <w:style w:type="table" w:customStyle="1" w:styleId="LightList-Accent68">
    <w:name w:val="Light List - Accent 68"/>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style111">
    <w:name w:val="style11"/>
    <w:basedOn w:val="DefaultParagraphFont"/>
    <w:rsid w:val="00F8631B"/>
  </w:style>
  <w:style w:type="numbering" w:customStyle="1" w:styleId="NoList3">
    <w:name w:val="No List3"/>
    <w:next w:val="NoList"/>
    <w:uiPriority w:val="99"/>
    <w:semiHidden/>
    <w:unhideWhenUsed/>
    <w:rsid w:val="00F8631B"/>
  </w:style>
  <w:style w:type="numbering" w:customStyle="1" w:styleId="WWNum114">
    <w:name w:val="WWNum114"/>
    <w:basedOn w:val="NoList"/>
    <w:rsid w:val="00F8631B"/>
  </w:style>
  <w:style w:type="numbering" w:customStyle="1" w:styleId="WWNum63">
    <w:name w:val="WWNum63"/>
    <w:basedOn w:val="NoList"/>
    <w:rsid w:val="00F8631B"/>
    <w:pPr>
      <w:numPr>
        <w:numId w:val="138"/>
      </w:numPr>
    </w:pPr>
  </w:style>
  <w:style w:type="numbering" w:customStyle="1" w:styleId="WWNum83">
    <w:name w:val="WWNum83"/>
    <w:basedOn w:val="NoList"/>
    <w:rsid w:val="00F8631B"/>
  </w:style>
  <w:style w:type="numbering" w:customStyle="1" w:styleId="WWNum93">
    <w:name w:val="WWNum93"/>
    <w:basedOn w:val="NoList"/>
    <w:rsid w:val="00F8631B"/>
  </w:style>
  <w:style w:type="numbering" w:customStyle="1" w:styleId="WWNum103">
    <w:name w:val="WWNum103"/>
    <w:basedOn w:val="NoList"/>
    <w:rsid w:val="00F8631B"/>
  </w:style>
  <w:style w:type="numbering" w:customStyle="1" w:styleId="WWNum115">
    <w:name w:val="WWNum115"/>
    <w:basedOn w:val="NoList"/>
    <w:rsid w:val="00F8631B"/>
  </w:style>
  <w:style w:type="numbering" w:customStyle="1" w:styleId="WWNum123">
    <w:name w:val="WWNum123"/>
    <w:basedOn w:val="NoList"/>
    <w:rsid w:val="00F8631B"/>
  </w:style>
  <w:style w:type="numbering" w:customStyle="1" w:styleId="WWNum133">
    <w:name w:val="WWNum133"/>
    <w:basedOn w:val="NoList"/>
    <w:rsid w:val="00F8631B"/>
  </w:style>
  <w:style w:type="numbering" w:customStyle="1" w:styleId="WWNum143">
    <w:name w:val="WWNum143"/>
    <w:basedOn w:val="NoList"/>
    <w:rsid w:val="00F8631B"/>
  </w:style>
  <w:style w:type="numbering" w:customStyle="1" w:styleId="WWNum153">
    <w:name w:val="WWNum153"/>
    <w:basedOn w:val="NoList"/>
    <w:rsid w:val="00F8631B"/>
  </w:style>
  <w:style w:type="numbering" w:customStyle="1" w:styleId="WWNum163">
    <w:name w:val="WWNum163"/>
    <w:basedOn w:val="NoList"/>
    <w:rsid w:val="00F8631B"/>
  </w:style>
  <w:style w:type="numbering" w:customStyle="1" w:styleId="WWNum173">
    <w:name w:val="WWNum173"/>
    <w:basedOn w:val="NoList"/>
    <w:rsid w:val="00F8631B"/>
  </w:style>
  <w:style w:type="numbering" w:customStyle="1" w:styleId="WWNum184">
    <w:name w:val="WWNum184"/>
    <w:basedOn w:val="NoList"/>
    <w:rsid w:val="00F8631B"/>
  </w:style>
  <w:style w:type="numbering" w:customStyle="1" w:styleId="WWNum193">
    <w:name w:val="WWNum193"/>
    <w:basedOn w:val="NoList"/>
    <w:rsid w:val="00F8631B"/>
  </w:style>
  <w:style w:type="numbering" w:customStyle="1" w:styleId="WWNum203">
    <w:name w:val="WWNum203"/>
    <w:basedOn w:val="NoList"/>
    <w:rsid w:val="00F8631B"/>
  </w:style>
  <w:style w:type="numbering" w:customStyle="1" w:styleId="WWNum213">
    <w:name w:val="WWNum213"/>
    <w:basedOn w:val="NoList"/>
    <w:rsid w:val="00F8631B"/>
  </w:style>
  <w:style w:type="numbering" w:customStyle="1" w:styleId="WWNum233">
    <w:name w:val="WWNum233"/>
    <w:basedOn w:val="NoList"/>
    <w:rsid w:val="00F8631B"/>
  </w:style>
  <w:style w:type="numbering" w:customStyle="1" w:styleId="WWNum243">
    <w:name w:val="WWNum243"/>
    <w:basedOn w:val="NoList"/>
    <w:rsid w:val="00F8631B"/>
  </w:style>
  <w:style w:type="numbering" w:customStyle="1" w:styleId="WWNum253">
    <w:name w:val="WWNum253"/>
    <w:basedOn w:val="NoList"/>
    <w:rsid w:val="00F8631B"/>
  </w:style>
  <w:style w:type="numbering" w:customStyle="1" w:styleId="WWNum263">
    <w:name w:val="WWNum263"/>
    <w:basedOn w:val="NoList"/>
    <w:rsid w:val="00F8631B"/>
  </w:style>
  <w:style w:type="numbering" w:customStyle="1" w:styleId="WWNum273">
    <w:name w:val="WWNum273"/>
    <w:basedOn w:val="NoList"/>
    <w:rsid w:val="00F8631B"/>
  </w:style>
  <w:style w:type="numbering" w:customStyle="1" w:styleId="WWNum283">
    <w:name w:val="WWNum283"/>
    <w:basedOn w:val="NoList"/>
    <w:rsid w:val="00F8631B"/>
  </w:style>
  <w:style w:type="numbering" w:customStyle="1" w:styleId="WWNum293">
    <w:name w:val="WWNum293"/>
    <w:basedOn w:val="NoList"/>
    <w:rsid w:val="00F8631B"/>
  </w:style>
  <w:style w:type="numbering" w:customStyle="1" w:styleId="WWNum303">
    <w:name w:val="WWNum303"/>
    <w:basedOn w:val="NoList"/>
    <w:rsid w:val="00F8631B"/>
  </w:style>
  <w:style w:type="numbering" w:customStyle="1" w:styleId="WWNum313">
    <w:name w:val="WWNum313"/>
    <w:basedOn w:val="NoList"/>
    <w:rsid w:val="00F8631B"/>
  </w:style>
  <w:style w:type="numbering" w:customStyle="1" w:styleId="WWNum323">
    <w:name w:val="WWNum323"/>
    <w:basedOn w:val="NoList"/>
    <w:rsid w:val="00F8631B"/>
  </w:style>
  <w:style w:type="numbering" w:customStyle="1" w:styleId="WWNum333">
    <w:name w:val="WWNum333"/>
    <w:basedOn w:val="NoList"/>
    <w:rsid w:val="00F8631B"/>
  </w:style>
  <w:style w:type="numbering" w:customStyle="1" w:styleId="WWNum343">
    <w:name w:val="WWNum343"/>
    <w:basedOn w:val="NoList"/>
    <w:rsid w:val="00F8631B"/>
  </w:style>
  <w:style w:type="numbering" w:customStyle="1" w:styleId="WWNum353">
    <w:name w:val="WWNum353"/>
    <w:basedOn w:val="NoList"/>
    <w:rsid w:val="00F8631B"/>
  </w:style>
  <w:style w:type="numbering" w:customStyle="1" w:styleId="WWNum373">
    <w:name w:val="WWNum373"/>
    <w:basedOn w:val="NoList"/>
    <w:rsid w:val="00F8631B"/>
  </w:style>
  <w:style w:type="numbering" w:customStyle="1" w:styleId="WWNum383">
    <w:name w:val="WWNum383"/>
    <w:basedOn w:val="NoList"/>
    <w:rsid w:val="00F8631B"/>
  </w:style>
  <w:style w:type="numbering" w:customStyle="1" w:styleId="WWNum393">
    <w:name w:val="WWNum393"/>
    <w:basedOn w:val="NoList"/>
    <w:rsid w:val="00F8631B"/>
  </w:style>
  <w:style w:type="numbering" w:customStyle="1" w:styleId="WWNum403">
    <w:name w:val="WWNum403"/>
    <w:basedOn w:val="NoList"/>
    <w:rsid w:val="00F8631B"/>
  </w:style>
  <w:style w:type="numbering" w:customStyle="1" w:styleId="WWNum423">
    <w:name w:val="WWNum423"/>
    <w:basedOn w:val="NoList"/>
    <w:rsid w:val="00F8631B"/>
  </w:style>
  <w:style w:type="numbering" w:customStyle="1" w:styleId="WWNum433">
    <w:name w:val="WWNum433"/>
    <w:basedOn w:val="NoList"/>
    <w:rsid w:val="00F8631B"/>
  </w:style>
  <w:style w:type="numbering" w:customStyle="1" w:styleId="WWNum443">
    <w:name w:val="WWNum443"/>
    <w:basedOn w:val="NoList"/>
    <w:rsid w:val="00F8631B"/>
  </w:style>
  <w:style w:type="numbering" w:customStyle="1" w:styleId="WWNum453">
    <w:name w:val="WWNum453"/>
    <w:basedOn w:val="NoList"/>
    <w:rsid w:val="00F8631B"/>
  </w:style>
  <w:style w:type="numbering" w:customStyle="1" w:styleId="WWNum463">
    <w:name w:val="WWNum463"/>
    <w:basedOn w:val="NoList"/>
    <w:rsid w:val="00F8631B"/>
  </w:style>
  <w:style w:type="numbering" w:customStyle="1" w:styleId="WWNum473">
    <w:name w:val="WWNum473"/>
    <w:basedOn w:val="NoList"/>
    <w:rsid w:val="00F8631B"/>
  </w:style>
  <w:style w:type="numbering" w:customStyle="1" w:styleId="WWNum513">
    <w:name w:val="WWNum513"/>
    <w:basedOn w:val="NoList"/>
    <w:rsid w:val="00F8631B"/>
  </w:style>
  <w:style w:type="numbering" w:customStyle="1" w:styleId="WWNum523">
    <w:name w:val="WWNum523"/>
    <w:basedOn w:val="NoList"/>
    <w:rsid w:val="00F8631B"/>
  </w:style>
  <w:style w:type="numbering" w:customStyle="1" w:styleId="WWNum543">
    <w:name w:val="WWNum543"/>
    <w:basedOn w:val="NoList"/>
    <w:rsid w:val="00F8631B"/>
  </w:style>
  <w:style w:type="numbering" w:customStyle="1" w:styleId="WWNum553">
    <w:name w:val="WWNum553"/>
    <w:basedOn w:val="NoList"/>
    <w:rsid w:val="00F8631B"/>
  </w:style>
  <w:style w:type="numbering" w:customStyle="1" w:styleId="WWNum573">
    <w:name w:val="WWNum573"/>
    <w:basedOn w:val="NoList"/>
    <w:rsid w:val="00F8631B"/>
  </w:style>
  <w:style w:type="numbering" w:customStyle="1" w:styleId="WWNum583">
    <w:name w:val="WWNum583"/>
    <w:basedOn w:val="NoList"/>
    <w:rsid w:val="00F8631B"/>
  </w:style>
  <w:style w:type="numbering" w:customStyle="1" w:styleId="WWNum643">
    <w:name w:val="WWNum643"/>
    <w:basedOn w:val="NoList"/>
    <w:rsid w:val="00F8631B"/>
  </w:style>
  <w:style w:type="numbering" w:customStyle="1" w:styleId="WWNum653">
    <w:name w:val="WWNum653"/>
    <w:basedOn w:val="NoList"/>
    <w:rsid w:val="00F8631B"/>
  </w:style>
  <w:style w:type="numbering" w:customStyle="1" w:styleId="WWNum663">
    <w:name w:val="WWNum663"/>
    <w:basedOn w:val="NoList"/>
    <w:rsid w:val="00F8631B"/>
  </w:style>
  <w:style w:type="numbering" w:customStyle="1" w:styleId="WWNum703">
    <w:name w:val="WWNum703"/>
    <w:basedOn w:val="NoList"/>
    <w:rsid w:val="00F8631B"/>
  </w:style>
  <w:style w:type="numbering" w:customStyle="1" w:styleId="WWNum733">
    <w:name w:val="WWNum733"/>
    <w:basedOn w:val="NoList"/>
    <w:rsid w:val="00F8631B"/>
  </w:style>
  <w:style w:type="numbering" w:customStyle="1" w:styleId="WWNum743">
    <w:name w:val="WWNum743"/>
    <w:basedOn w:val="NoList"/>
    <w:rsid w:val="00F8631B"/>
  </w:style>
  <w:style w:type="numbering" w:customStyle="1" w:styleId="WWNum753">
    <w:name w:val="WWNum753"/>
    <w:basedOn w:val="NoList"/>
    <w:rsid w:val="00F8631B"/>
  </w:style>
  <w:style w:type="numbering" w:customStyle="1" w:styleId="WWNum764">
    <w:name w:val="WWNum764"/>
    <w:basedOn w:val="NoList"/>
    <w:rsid w:val="00F8631B"/>
  </w:style>
  <w:style w:type="numbering" w:customStyle="1" w:styleId="WWNum783">
    <w:name w:val="WWNum783"/>
    <w:basedOn w:val="NoList"/>
    <w:rsid w:val="00F8631B"/>
  </w:style>
  <w:style w:type="table" w:customStyle="1" w:styleId="LightList-Accent69">
    <w:name w:val="Light List - Accent 69"/>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NoList4">
    <w:name w:val="No List4"/>
    <w:next w:val="NoList"/>
    <w:uiPriority w:val="99"/>
    <w:semiHidden/>
    <w:unhideWhenUsed/>
    <w:rsid w:val="00F8631B"/>
  </w:style>
  <w:style w:type="numbering" w:customStyle="1" w:styleId="WWNum116">
    <w:name w:val="WWNum116"/>
    <w:basedOn w:val="NoList"/>
    <w:rsid w:val="00F8631B"/>
  </w:style>
  <w:style w:type="numbering" w:customStyle="1" w:styleId="WWNum67">
    <w:name w:val="WWNum67"/>
    <w:basedOn w:val="NoList"/>
    <w:rsid w:val="00F8631B"/>
    <w:pPr>
      <w:numPr>
        <w:numId w:val="139"/>
      </w:numPr>
    </w:pPr>
  </w:style>
  <w:style w:type="numbering" w:customStyle="1" w:styleId="WWNum84">
    <w:name w:val="WWNum84"/>
    <w:basedOn w:val="NoList"/>
    <w:rsid w:val="00F8631B"/>
  </w:style>
  <w:style w:type="numbering" w:customStyle="1" w:styleId="WWNum94">
    <w:name w:val="WWNum94"/>
    <w:basedOn w:val="NoList"/>
    <w:rsid w:val="00F8631B"/>
  </w:style>
  <w:style w:type="numbering" w:customStyle="1" w:styleId="WWNum104">
    <w:name w:val="WWNum104"/>
    <w:basedOn w:val="NoList"/>
    <w:rsid w:val="00F8631B"/>
  </w:style>
  <w:style w:type="numbering" w:customStyle="1" w:styleId="WWNum117">
    <w:name w:val="WWNum117"/>
    <w:basedOn w:val="NoList"/>
    <w:rsid w:val="00F8631B"/>
  </w:style>
  <w:style w:type="numbering" w:customStyle="1" w:styleId="WWNum124">
    <w:name w:val="WWNum124"/>
    <w:basedOn w:val="NoList"/>
    <w:rsid w:val="00F8631B"/>
  </w:style>
  <w:style w:type="numbering" w:customStyle="1" w:styleId="WWNum134">
    <w:name w:val="WWNum134"/>
    <w:basedOn w:val="NoList"/>
    <w:rsid w:val="00F8631B"/>
  </w:style>
  <w:style w:type="numbering" w:customStyle="1" w:styleId="WWNum144">
    <w:name w:val="WWNum144"/>
    <w:basedOn w:val="NoList"/>
    <w:rsid w:val="00F8631B"/>
  </w:style>
  <w:style w:type="numbering" w:customStyle="1" w:styleId="WWNum154">
    <w:name w:val="WWNum154"/>
    <w:basedOn w:val="NoList"/>
    <w:rsid w:val="00F8631B"/>
  </w:style>
  <w:style w:type="numbering" w:customStyle="1" w:styleId="WWNum164">
    <w:name w:val="WWNum164"/>
    <w:basedOn w:val="NoList"/>
    <w:rsid w:val="00F8631B"/>
  </w:style>
  <w:style w:type="numbering" w:customStyle="1" w:styleId="WWNum174">
    <w:name w:val="WWNum174"/>
    <w:basedOn w:val="NoList"/>
    <w:rsid w:val="00F8631B"/>
  </w:style>
  <w:style w:type="numbering" w:customStyle="1" w:styleId="WWNum185">
    <w:name w:val="WWNum185"/>
    <w:basedOn w:val="NoList"/>
    <w:rsid w:val="00F8631B"/>
  </w:style>
  <w:style w:type="numbering" w:customStyle="1" w:styleId="WWNum194">
    <w:name w:val="WWNum194"/>
    <w:basedOn w:val="NoList"/>
    <w:rsid w:val="00F8631B"/>
  </w:style>
  <w:style w:type="numbering" w:customStyle="1" w:styleId="WWNum204">
    <w:name w:val="WWNum204"/>
    <w:basedOn w:val="NoList"/>
    <w:rsid w:val="00F8631B"/>
  </w:style>
  <w:style w:type="numbering" w:customStyle="1" w:styleId="WWNum214">
    <w:name w:val="WWNum214"/>
    <w:basedOn w:val="NoList"/>
    <w:rsid w:val="00F8631B"/>
  </w:style>
  <w:style w:type="numbering" w:customStyle="1" w:styleId="WWNum234">
    <w:name w:val="WWNum234"/>
    <w:basedOn w:val="NoList"/>
    <w:rsid w:val="00F8631B"/>
  </w:style>
  <w:style w:type="numbering" w:customStyle="1" w:styleId="WWNum244">
    <w:name w:val="WWNum244"/>
    <w:basedOn w:val="NoList"/>
    <w:rsid w:val="00F8631B"/>
  </w:style>
  <w:style w:type="numbering" w:customStyle="1" w:styleId="WWNum254">
    <w:name w:val="WWNum254"/>
    <w:basedOn w:val="NoList"/>
    <w:rsid w:val="00F8631B"/>
  </w:style>
  <w:style w:type="numbering" w:customStyle="1" w:styleId="WWNum264">
    <w:name w:val="WWNum264"/>
    <w:basedOn w:val="NoList"/>
    <w:rsid w:val="00F8631B"/>
  </w:style>
  <w:style w:type="numbering" w:customStyle="1" w:styleId="WWNum274">
    <w:name w:val="WWNum274"/>
    <w:basedOn w:val="NoList"/>
    <w:rsid w:val="00F8631B"/>
  </w:style>
  <w:style w:type="numbering" w:customStyle="1" w:styleId="WWNum284">
    <w:name w:val="WWNum284"/>
    <w:basedOn w:val="NoList"/>
    <w:rsid w:val="00F8631B"/>
  </w:style>
  <w:style w:type="numbering" w:customStyle="1" w:styleId="WWNum294">
    <w:name w:val="WWNum294"/>
    <w:basedOn w:val="NoList"/>
    <w:rsid w:val="00F8631B"/>
  </w:style>
  <w:style w:type="numbering" w:customStyle="1" w:styleId="WWNum304">
    <w:name w:val="WWNum304"/>
    <w:basedOn w:val="NoList"/>
    <w:rsid w:val="00F8631B"/>
  </w:style>
  <w:style w:type="numbering" w:customStyle="1" w:styleId="WWNum314">
    <w:name w:val="WWNum314"/>
    <w:basedOn w:val="NoList"/>
    <w:rsid w:val="00F8631B"/>
  </w:style>
  <w:style w:type="numbering" w:customStyle="1" w:styleId="WWNum324">
    <w:name w:val="WWNum324"/>
    <w:basedOn w:val="NoList"/>
    <w:rsid w:val="00F8631B"/>
  </w:style>
  <w:style w:type="numbering" w:customStyle="1" w:styleId="WWNum334">
    <w:name w:val="WWNum334"/>
    <w:basedOn w:val="NoList"/>
    <w:rsid w:val="00F8631B"/>
  </w:style>
  <w:style w:type="numbering" w:customStyle="1" w:styleId="WWNum344">
    <w:name w:val="WWNum344"/>
    <w:basedOn w:val="NoList"/>
    <w:rsid w:val="00F8631B"/>
  </w:style>
  <w:style w:type="numbering" w:customStyle="1" w:styleId="WWNum354">
    <w:name w:val="WWNum354"/>
    <w:basedOn w:val="NoList"/>
    <w:rsid w:val="00F8631B"/>
  </w:style>
  <w:style w:type="numbering" w:customStyle="1" w:styleId="WWNum374">
    <w:name w:val="WWNum374"/>
    <w:basedOn w:val="NoList"/>
    <w:rsid w:val="00F8631B"/>
  </w:style>
  <w:style w:type="numbering" w:customStyle="1" w:styleId="WWNum384">
    <w:name w:val="WWNum384"/>
    <w:basedOn w:val="NoList"/>
    <w:rsid w:val="00F8631B"/>
  </w:style>
  <w:style w:type="numbering" w:customStyle="1" w:styleId="WWNum394">
    <w:name w:val="WWNum394"/>
    <w:basedOn w:val="NoList"/>
    <w:rsid w:val="00F8631B"/>
  </w:style>
  <w:style w:type="numbering" w:customStyle="1" w:styleId="WWNum404">
    <w:name w:val="WWNum404"/>
    <w:basedOn w:val="NoList"/>
    <w:rsid w:val="00F8631B"/>
  </w:style>
  <w:style w:type="numbering" w:customStyle="1" w:styleId="WWNum424">
    <w:name w:val="WWNum424"/>
    <w:basedOn w:val="NoList"/>
    <w:rsid w:val="00F8631B"/>
  </w:style>
  <w:style w:type="numbering" w:customStyle="1" w:styleId="WWNum434">
    <w:name w:val="WWNum434"/>
    <w:basedOn w:val="NoList"/>
    <w:rsid w:val="00F8631B"/>
  </w:style>
  <w:style w:type="numbering" w:customStyle="1" w:styleId="WWNum444">
    <w:name w:val="WWNum444"/>
    <w:basedOn w:val="NoList"/>
    <w:rsid w:val="00F8631B"/>
  </w:style>
  <w:style w:type="numbering" w:customStyle="1" w:styleId="WWNum454">
    <w:name w:val="WWNum454"/>
    <w:basedOn w:val="NoList"/>
    <w:rsid w:val="00F8631B"/>
  </w:style>
  <w:style w:type="numbering" w:customStyle="1" w:styleId="WWNum464">
    <w:name w:val="WWNum464"/>
    <w:basedOn w:val="NoList"/>
    <w:rsid w:val="00F8631B"/>
  </w:style>
  <w:style w:type="numbering" w:customStyle="1" w:styleId="WWNum474">
    <w:name w:val="WWNum474"/>
    <w:basedOn w:val="NoList"/>
    <w:rsid w:val="00F8631B"/>
  </w:style>
  <w:style w:type="numbering" w:customStyle="1" w:styleId="WWNum514">
    <w:name w:val="WWNum514"/>
    <w:basedOn w:val="NoList"/>
    <w:rsid w:val="00F8631B"/>
  </w:style>
  <w:style w:type="numbering" w:customStyle="1" w:styleId="WWNum524">
    <w:name w:val="WWNum524"/>
    <w:basedOn w:val="NoList"/>
    <w:rsid w:val="00F8631B"/>
  </w:style>
  <w:style w:type="numbering" w:customStyle="1" w:styleId="WWNum544">
    <w:name w:val="WWNum544"/>
    <w:basedOn w:val="NoList"/>
    <w:rsid w:val="00F8631B"/>
  </w:style>
  <w:style w:type="numbering" w:customStyle="1" w:styleId="WWNum554">
    <w:name w:val="WWNum554"/>
    <w:basedOn w:val="NoList"/>
    <w:rsid w:val="00F8631B"/>
  </w:style>
  <w:style w:type="numbering" w:customStyle="1" w:styleId="WWNum574">
    <w:name w:val="WWNum574"/>
    <w:basedOn w:val="NoList"/>
    <w:rsid w:val="00F8631B"/>
  </w:style>
  <w:style w:type="numbering" w:customStyle="1" w:styleId="WWNum584">
    <w:name w:val="WWNum584"/>
    <w:basedOn w:val="NoList"/>
    <w:rsid w:val="00F8631B"/>
  </w:style>
  <w:style w:type="numbering" w:customStyle="1" w:styleId="WWNum644">
    <w:name w:val="WWNum644"/>
    <w:basedOn w:val="NoList"/>
    <w:rsid w:val="00F8631B"/>
  </w:style>
  <w:style w:type="numbering" w:customStyle="1" w:styleId="WWNum654">
    <w:name w:val="WWNum654"/>
    <w:basedOn w:val="NoList"/>
    <w:rsid w:val="00F8631B"/>
  </w:style>
  <w:style w:type="numbering" w:customStyle="1" w:styleId="WWNum664">
    <w:name w:val="WWNum664"/>
    <w:basedOn w:val="NoList"/>
    <w:rsid w:val="00F8631B"/>
  </w:style>
  <w:style w:type="numbering" w:customStyle="1" w:styleId="WWNum704">
    <w:name w:val="WWNum704"/>
    <w:basedOn w:val="NoList"/>
    <w:rsid w:val="00F8631B"/>
  </w:style>
  <w:style w:type="numbering" w:customStyle="1" w:styleId="WWNum734">
    <w:name w:val="WWNum734"/>
    <w:basedOn w:val="NoList"/>
    <w:rsid w:val="00F8631B"/>
  </w:style>
  <w:style w:type="numbering" w:customStyle="1" w:styleId="WWNum744">
    <w:name w:val="WWNum744"/>
    <w:basedOn w:val="NoList"/>
    <w:rsid w:val="00F8631B"/>
  </w:style>
  <w:style w:type="numbering" w:customStyle="1" w:styleId="WWNum754">
    <w:name w:val="WWNum754"/>
    <w:basedOn w:val="NoList"/>
    <w:rsid w:val="00F8631B"/>
  </w:style>
  <w:style w:type="numbering" w:customStyle="1" w:styleId="WWNum765">
    <w:name w:val="WWNum765"/>
    <w:basedOn w:val="NoList"/>
    <w:rsid w:val="00F8631B"/>
  </w:style>
  <w:style w:type="numbering" w:customStyle="1" w:styleId="WWNum784">
    <w:name w:val="WWNum784"/>
    <w:basedOn w:val="NoList"/>
    <w:rsid w:val="00F8631B"/>
  </w:style>
  <w:style w:type="table" w:customStyle="1" w:styleId="LightList-Accent610">
    <w:name w:val="Light List - Accent 610"/>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NoList5">
    <w:name w:val="No List5"/>
    <w:next w:val="NoList"/>
    <w:uiPriority w:val="99"/>
    <w:semiHidden/>
    <w:unhideWhenUsed/>
    <w:rsid w:val="00F8631B"/>
  </w:style>
  <w:style w:type="numbering" w:customStyle="1" w:styleId="NoList12">
    <w:name w:val="No List12"/>
    <w:next w:val="NoList"/>
    <w:uiPriority w:val="99"/>
    <w:semiHidden/>
    <w:unhideWhenUsed/>
    <w:rsid w:val="00F8631B"/>
  </w:style>
  <w:style w:type="numbering" w:customStyle="1" w:styleId="WWNum118">
    <w:name w:val="WWNum118"/>
    <w:basedOn w:val="NoList"/>
    <w:rsid w:val="00F8631B"/>
  </w:style>
  <w:style w:type="numbering" w:customStyle="1" w:styleId="WWNum410">
    <w:name w:val="WWNum410"/>
    <w:basedOn w:val="NoList"/>
    <w:rsid w:val="00F8631B"/>
  </w:style>
  <w:style w:type="numbering" w:customStyle="1" w:styleId="WWNum68">
    <w:name w:val="WWNum68"/>
    <w:basedOn w:val="NoList"/>
    <w:rsid w:val="00F8631B"/>
    <w:pPr>
      <w:numPr>
        <w:numId w:val="140"/>
      </w:numPr>
    </w:pPr>
  </w:style>
  <w:style w:type="numbering" w:customStyle="1" w:styleId="WWNum85">
    <w:name w:val="WWNum85"/>
    <w:basedOn w:val="NoList"/>
    <w:rsid w:val="00F8631B"/>
  </w:style>
  <w:style w:type="numbering" w:customStyle="1" w:styleId="WWNum95">
    <w:name w:val="WWNum95"/>
    <w:basedOn w:val="NoList"/>
    <w:rsid w:val="00F8631B"/>
  </w:style>
  <w:style w:type="numbering" w:customStyle="1" w:styleId="WWNum105">
    <w:name w:val="WWNum105"/>
    <w:basedOn w:val="NoList"/>
    <w:rsid w:val="00F8631B"/>
  </w:style>
  <w:style w:type="numbering" w:customStyle="1" w:styleId="WWNum119">
    <w:name w:val="WWNum119"/>
    <w:basedOn w:val="NoList"/>
    <w:rsid w:val="00F8631B"/>
  </w:style>
  <w:style w:type="numbering" w:customStyle="1" w:styleId="WWNum125">
    <w:name w:val="WWNum125"/>
    <w:basedOn w:val="NoList"/>
    <w:rsid w:val="00F8631B"/>
  </w:style>
  <w:style w:type="numbering" w:customStyle="1" w:styleId="WWNum135">
    <w:name w:val="WWNum135"/>
    <w:basedOn w:val="NoList"/>
    <w:rsid w:val="00F8631B"/>
  </w:style>
  <w:style w:type="numbering" w:customStyle="1" w:styleId="WWNum145">
    <w:name w:val="WWNum145"/>
    <w:basedOn w:val="NoList"/>
    <w:rsid w:val="00F8631B"/>
  </w:style>
  <w:style w:type="numbering" w:customStyle="1" w:styleId="WWNum155">
    <w:name w:val="WWNum155"/>
    <w:basedOn w:val="NoList"/>
    <w:rsid w:val="00F8631B"/>
  </w:style>
  <w:style w:type="numbering" w:customStyle="1" w:styleId="WWNum165">
    <w:name w:val="WWNum165"/>
    <w:basedOn w:val="NoList"/>
    <w:rsid w:val="00F8631B"/>
  </w:style>
  <w:style w:type="numbering" w:customStyle="1" w:styleId="WWNum175">
    <w:name w:val="WWNum175"/>
    <w:basedOn w:val="NoList"/>
    <w:rsid w:val="00F8631B"/>
  </w:style>
  <w:style w:type="numbering" w:customStyle="1" w:styleId="WWNum186">
    <w:name w:val="WWNum186"/>
    <w:basedOn w:val="NoList"/>
    <w:rsid w:val="00F8631B"/>
  </w:style>
  <w:style w:type="numbering" w:customStyle="1" w:styleId="WWNum195">
    <w:name w:val="WWNum195"/>
    <w:basedOn w:val="NoList"/>
    <w:rsid w:val="00F8631B"/>
  </w:style>
  <w:style w:type="numbering" w:customStyle="1" w:styleId="WWNum205">
    <w:name w:val="WWNum205"/>
    <w:basedOn w:val="NoList"/>
    <w:rsid w:val="00F8631B"/>
  </w:style>
  <w:style w:type="numbering" w:customStyle="1" w:styleId="WWNum215">
    <w:name w:val="WWNum215"/>
    <w:basedOn w:val="NoList"/>
    <w:rsid w:val="00F8631B"/>
  </w:style>
  <w:style w:type="numbering" w:customStyle="1" w:styleId="WWNum235">
    <w:name w:val="WWNum235"/>
    <w:basedOn w:val="NoList"/>
    <w:rsid w:val="00F8631B"/>
  </w:style>
  <w:style w:type="numbering" w:customStyle="1" w:styleId="WWNum245">
    <w:name w:val="WWNum245"/>
    <w:basedOn w:val="NoList"/>
    <w:rsid w:val="00F8631B"/>
  </w:style>
  <w:style w:type="numbering" w:customStyle="1" w:styleId="WWNum255">
    <w:name w:val="WWNum255"/>
    <w:basedOn w:val="NoList"/>
    <w:rsid w:val="00F8631B"/>
  </w:style>
  <w:style w:type="numbering" w:customStyle="1" w:styleId="WWNum265">
    <w:name w:val="WWNum265"/>
    <w:basedOn w:val="NoList"/>
    <w:rsid w:val="00F8631B"/>
  </w:style>
  <w:style w:type="numbering" w:customStyle="1" w:styleId="WWNum275">
    <w:name w:val="WWNum275"/>
    <w:basedOn w:val="NoList"/>
    <w:rsid w:val="00F8631B"/>
  </w:style>
  <w:style w:type="numbering" w:customStyle="1" w:styleId="WWNum285">
    <w:name w:val="WWNum285"/>
    <w:basedOn w:val="NoList"/>
    <w:rsid w:val="00F8631B"/>
  </w:style>
  <w:style w:type="numbering" w:customStyle="1" w:styleId="WWNum295">
    <w:name w:val="WWNum295"/>
    <w:basedOn w:val="NoList"/>
    <w:rsid w:val="00F8631B"/>
  </w:style>
  <w:style w:type="numbering" w:customStyle="1" w:styleId="WWNum305">
    <w:name w:val="WWNum305"/>
    <w:basedOn w:val="NoList"/>
    <w:rsid w:val="00F8631B"/>
  </w:style>
  <w:style w:type="numbering" w:customStyle="1" w:styleId="WWNum315">
    <w:name w:val="WWNum315"/>
    <w:basedOn w:val="NoList"/>
    <w:rsid w:val="00F8631B"/>
  </w:style>
  <w:style w:type="numbering" w:customStyle="1" w:styleId="WWNum325">
    <w:name w:val="WWNum325"/>
    <w:basedOn w:val="NoList"/>
    <w:rsid w:val="00F8631B"/>
  </w:style>
  <w:style w:type="numbering" w:customStyle="1" w:styleId="WWNum335">
    <w:name w:val="WWNum335"/>
    <w:basedOn w:val="NoList"/>
    <w:rsid w:val="00F8631B"/>
  </w:style>
  <w:style w:type="numbering" w:customStyle="1" w:styleId="WWNum345">
    <w:name w:val="WWNum345"/>
    <w:basedOn w:val="NoList"/>
    <w:rsid w:val="00F8631B"/>
  </w:style>
  <w:style w:type="numbering" w:customStyle="1" w:styleId="WWNum355">
    <w:name w:val="WWNum355"/>
    <w:basedOn w:val="NoList"/>
    <w:rsid w:val="00F8631B"/>
  </w:style>
  <w:style w:type="numbering" w:customStyle="1" w:styleId="WWNum363">
    <w:name w:val="WWNum363"/>
    <w:basedOn w:val="NoList"/>
    <w:rsid w:val="00F8631B"/>
  </w:style>
  <w:style w:type="numbering" w:customStyle="1" w:styleId="WWNum375">
    <w:name w:val="WWNum375"/>
    <w:basedOn w:val="NoList"/>
    <w:rsid w:val="00F8631B"/>
  </w:style>
  <w:style w:type="numbering" w:customStyle="1" w:styleId="WWNum385">
    <w:name w:val="WWNum385"/>
    <w:basedOn w:val="NoList"/>
    <w:rsid w:val="00F8631B"/>
  </w:style>
  <w:style w:type="numbering" w:customStyle="1" w:styleId="WWNum395">
    <w:name w:val="WWNum395"/>
    <w:basedOn w:val="NoList"/>
    <w:rsid w:val="00F8631B"/>
  </w:style>
  <w:style w:type="numbering" w:customStyle="1" w:styleId="WWNum405">
    <w:name w:val="WWNum405"/>
    <w:basedOn w:val="NoList"/>
    <w:rsid w:val="00F8631B"/>
  </w:style>
  <w:style w:type="numbering" w:customStyle="1" w:styleId="WWNum413">
    <w:name w:val="WWNum413"/>
    <w:basedOn w:val="NoList"/>
    <w:rsid w:val="00F8631B"/>
  </w:style>
  <w:style w:type="numbering" w:customStyle="1" w:styleId="WWNum425">
    <w:name w:val="WWNum425"/>
    <w:basedOn w:val="NoList"/>
    <w:rsid w:val="00F8631B"/>
  </w:style>
  <w:style w:type="numbering" w:customStyle="1" w:styleId="WWNum435">
    <w:name w:val="WWNum435"/>
    <w:basedOn w:val="NoList"/>
    <w:rsid w:val="00F8631B"/>
  </w:style>
  <w:style w:type="numbering" w:customStyle="1" w:styleId="WWNum445">
    <w:name w:val="WWNum445"/>
    <w:basedOn w:val="NoList"/>
    <w:rsid w:val="00F8631B"/>
  </w:style>
  <w:style w:type="numbering" w:customStyle="1" w:styleId="WWNum455">
    <w:name w:val="WWNum455"/>
    <w:basedOn w:val="NoList"/>
    <w:rsid w:val="00F8631B"/>
  </w:style>
  <w:style w:type="numbering" w:customStyle="1" w:styleId="WWNum465">
    <w:name w:val="WWNum465"/>
    <w:basedOn w:val="NoList"/>
    <w:rsid w:val="00F8631B"/>
  </w:style>
  <w:style w:type="numbering" w:customStyle="1" w:styleId="WWNum475">
    <w:name w:val="WWNum475"/>
    <w:basedOn w:val="NoList"/>
    <w:rsid w:val="00F8631B"/>
  </w:style>
  <w:style w:type="numbering" w:customStyle="1" w:styleId="WWNum515">
    <w:name w:val="WWNum515"/>
    <w:basedOn w:val="NoList"/>
    <w:rsid w:val="00F8631B"/>
  </w:style>
  <w:style w:type="numbering" w:customStyle="1" w:styleId="WWNum525">
    <w:name w:val="WWNum525"/>
    <w:basedOn w:val="NoList"/>
    <w:rsid w:val="00F8631B"/>
  </w:style>
  <w:style w:type="numbering" w:customStyle="1" w:styleId="WWNum545">
    <w:name w:val="WWNum545"/>
    <w:basedOn w:val="NoList"/>
    <w:rsid w:val="00F8631B"/>
  </w:style>
  <w:style w:type="numbering" w:customStyle="1" w:styleId="WWNum555">
    <w:name w:val="WWNum555"/>
    <w:basedOn w:val="NoList"/>
    <w:rsid w:val="00F8631B"/>
  </w:style>
  <w:style w:type="numbering" w:customStyle="1" w:styleId="WWNum575">
    <w:name w:val="WWNum575"/>
    <w:basedOn w:val="NoList"/>
    <w:rsid w:val="00F8631B"/>
  </w:style>
  <w:style w:type="numbering" w:customStyle="1" w:styleId="WWNum585">
    <w:name w:val="WWNum585"/>
    <w:basedOn w:val="NoList"/>
    <w:rsid w:val="00F8631B"/>
  </w:style>
  <w:style w:type="numbering" w:customStyle="1" w:styleId="WWNum645">
    <w:name w:val="WWNum645"/>
    <w:basedOn w:val="NoList"/>
    <w:rsid w:val="00F8631B"/>
  </w:style>
  <w:style w:type="numbering" w:customStyle="1" w:styleId="WWNum655">
    <w:name w:val="WWNum655"/>
    <w:basedOn w:val="NoList"/>
    <w:rsid w:val="00F8631B"/>
  </w:style>
  <w:style w:type="numbering" w:customStyle="1" w:styleId="WWNum665">
    <w:name w:val="WWNum665"/>
    <w:basedOn w:val="NoList"/>
    <w:rsid w:val="00F8631B"/>
  </w:style>
  <w:style w:type="numbering" w:customStyle="1" w:styleId="WWNum705">
    <w:name w:val="WWNum705"/>
    <w:basedOn w:val="NoList"/>
    <w:rsid w:val="00F8631B"/>
  </w:style>
  <w:style w:type="numbering" w:customStyle="1" w:styleId="WWNum735">
    <w:name w:val="WWNum735"/>
    <w:basedOn w:val="NoList"/>
    <w:rsid w:val="00F8631B"/>
  </w:style>
  <w:style w:type="numbering" w:customStyle="1" w:styleId="WWNum745">
    <w:name w:val="WWNum745"/>
    <w:basedOn w:val="NoList"/>
    <w:rsid w:val="00F8631B"/>
  </w:style>
  <w:style w:type="numbering" w:customStyle="1" w:styleId="WWNum755">
    <w:name w:val="WWNum755"/>
    <w:basedOn w:val="NoList"/>
    <w:rsid w:val="00F8631B"/>
  </w:style>
  <w:style w:type="numbering" w:customStyle="1" w:styleId="WWNum766">
    <w:name w:val="WWNum766"/>
    <w:basedOn w:val="NoList"/>
    <w:rsid w:val="00F8631B"/>
  </w:style>
  <w:style w:type="numbering" w:customStyle="1" w:styleId="WWNum773">
    <w:name w:val="WWNum773"/>
    <w:basedOn w:val="NoList"/>
    <w:rsid w:val="00F8631B"/>
  </w:style>
  <w:style w:type="numbering" w:customStyle="1" w:styleId="WWNum785">
    <w:name w:val="WWNum785"/>
    <w:basedOn w:val="NoList"/>
    <w:rsid w:val="00F8631B"/>
  </w:style>
  <w:style w:type="table" w:customStyle="1" w:styleId="LightList-Accent615">
    <w:name w:val="Light List - Accent 615"/>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NoList6">
    <w:name w:val="No List6"/>
    <w:next w:val="NoList"/>
    <w:uiPriority w:val="99"/>
    <w:semiHidden/>
    <w:unhideWhenUsed/>
    <w:rsid w:val="00F8631B"/>
  </w:style>
  <w:style w:type="table" w:customStyle="1" w:styleId="TableGrid3">
    <w:name w:val="Table Grid3"/>
    <w:basedOn w:val="TableNormal"/>
    <w:next w:val="TableGrid"/>
    <w:uiPriority w:val="59"/>
    <w:rsid w:val="00F8631B"/>
    <w:pPr>
      <w:spacing w:after="0" w:line="240" w:lineRule="auto"/>
    </w:pPr>
    <w:rPr>
      <w:rFonts w:ascii="Calibri" w:eastAsia="Times New Roman" w:hAnsi="Calibri" w:cs="Times New Roman"/>
      <w:kern w:val="0"/>
      <w:sz w:val="20"/>
      <w:szCs w:val="20"/>
      <w:lang w:val="en-IN" w:eastAsia="en-IN"/>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3Deffects2">
    <w:name w:val="Table 3D effects 2"/>
    <w:basedOn w:val="TableNormal"/>
    <w:rsid w:val="00F8631B"/>
    <w:pPr>
      <w:spacing w:after="0" w:line="240" w:lineRule="auto"/>
    </w:pPr>
    <w:rPr>
      <w:rFonts w:ascii="Times New Roman" w:eastAsia="Calibri" w:hAnsi="Times New Roman" w:cs="Times New Roman"/>
      <w:kern w:val="0"/>
      <w:sz w:val="20"/>
      <w:szCs w:val="20"/>
      <w:lang w:val="en-IN" w:eastAsia="en-IN"/>
      <w14:ligatures w14:val="none"/>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rsid w:val="00F8631B"/>
    <w:pPr>
      <w:spacing w:after="0" w:line="240" w:lineRule="auto"/>
    </w:pPr>
    <w:rPr>
      <w:rFonts w:ascii="Times New Roman" w:eastAsia="Calibri" w:hAnsi="Times New Roman" w:cs="Times New Roman"/>
      <w:kern w:val="0"/>
      <w:sz w:val="20"/>
      <w:szCs w:val="20"/>
      <w:lang w:val="en-IN" w:eastAsia="en-IN"/>
      <w14:ligatures w14:val="none"/>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rsid w:val="00F8631B"/>
    <w:pPr>
      <w:spacing w:after="0" w:line="240" w:lineRule="auto"/>
    </w:pPr>
    <w:rPr>
      <w:rFonts w:ascii="Times New Roman" w:eastAsia="Calibri" w:hAnsi="Times New Roman" w:cs="Times New Roman"/>
      <w:kern w:val="0"/>
      <w:sz w:val="20"/>
      <w:szCs w:val="20"/>
      <w:lang w:val="en-IN" w:eastAsia="en-IN"/>
      <w14:ligatures w14:val="none"/>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rsid w:val="00F8631B"/>
    <w:pPr>
      <w:spacing w:after="0" w:line="240" w:lineRule="auto"/>
    </w:pPr>
    <w:rPr>
      <w:rFonts w:ascii="Times New Roman" w:eastAsia="Calibri" w:hAnsi="Times New Roman" w:cs="Times New Roman"/>
      <w:kern w:val="0"/>
      <w:sz w:val="20"/>
      <w:szCs w:val="20"/>
      <w:lang w:val="en-IN" w:eastAsia="en-IN"/>
      <w14:ligatures w14:val="none"/>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4">
    <w:name w:val="Table Classic 4"/>
    <w:basedOn w:val="TableNormal"/>
    <w:rsid w:val="00F8631B"/>
    <w:pPr>
      <w:spacing w:after="0" w:line="240" w:lineRule="auto"/>
    </w:pPr>
    <w:rPr>
      <w:rFonts w:ascii="Times New Roman" w:eastAsia="Calibri" w:hAnsi="Times New Roman" w:cs="Times New Roman"/>
      <w:kern w:val="0"/>
      <w:sz w:val="20"/>
      <w:szCs w:val="20"/>
      <w:lang w:val="en-IN" w:eastAsia="en-IN"/>
      <w14:ligatures w14:val="none"/>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character" w:styleId="PlaceholderText">
    <w:name w:val="Placeholder Text"/>
    <w:uiPriority w:val="99"/>
    <w:semiHidden/>
    <w:rsid w:val="00F8631B"/>
    <w:rPr>
      <w:color w:val="808080"/>
    </w:rPr>
  </w:style>
  <w:style w:type="paragraph" w:customStyle="1" w:styleId="ListParagraph1">
    <w:name w:val="List Paragraph1"/>
    <w:basedOn w:val="Normal"/>
    <w:qFormat/>
    <w:rsid w:val="00F8631B"/>
    <w:pPr>
      <w:ind w:left="720"/>
    </w:pPr>
  </w:style>
  <w:style w:type="numbering" w:customStyle="1" w:styleId="NoList11111">
    <w:name w:val="No List11111"/>
    <w:next w:val="NoList"/>
    <w:uiPriority w:val="99"/>
    <w:semiHidden/>
    <w:unhideWhenUsed/>
    <w:rsid w:val="00F8631B"/>
  </w:style>
  <w:style w:type="character" w:customStyle="1" w:styleId="patent-title">
    <w:name w:val="patent-title"/>
    <w:basedOn w:val="DefaultParagraphFont"/>
    <w:rsid w:val="00F8631B"/>
  </w:style>
  <w:style w:type="paragraph" w:customStyle="1" w:styleId="TableParagraph">
    <w:name w:val="Table Paragraph"/>
    <w:basedOn w:val="Normal"/>
    <w:uiPriority w:val="1"/>
    <w:qFormat/>
    <w:rsid w:val="00F8631B"/>
    <w:pPr>
      <w:widowControl w:val="0"/>
      <w:spacing w:after="0" w:line="223" w:lineRule="exact"/>
    </w:pPr>
    <w:rPr>
      <w:rFonts w:ascii="Times New Roman" w:hAnsi="Times New Roman"/>
    </w:rPr>
  </w:style>
  <w:style w:type="numbering" w:customStyle="1" w:styleId="WWNum106">
    <w:name w:val="WWNum106"/>
    <w:basedOn w:val="NoList"/>
    <w:rsid w:val="00F8631B"/>
  </w:style>
  <w:style w:type="numbering" w:customStyle="1" w:styleId="WWNum276">
    <w:name w:val="WWNum276"/>
    <w:basedOn w:val="NoList"/>
    <w:rsid w:val="00F8631B"/>
  </w:style>
  <w:style w:type="numbering" w:customStyle="1" w:styleId="WWNum296">
    <w:name w:val="WWNum296"/>
    <w:basedOn w:val="NoList"/>
    <w:rsid w:val="00F8631B"/>
  </w:style>
  <w:style w:type="numbering" w:customStyle="1" w:styleId="WWNum426">
    <w:name w:val="WWNum426"/>
    <w:basedOn w:val="NoList"/>
    <w:rsid w:val="00F8631B"/>
  </w:style>
  <w:style w:type="numbering" w:customStyle="1" w:styleId="WWNum576">
    <w:name w:val="WWNum576"/>
    <w:basedOn w:val="NoList"/>
    <w:rsid w:val="00F8631B"/>
  </w:style>
  <w:style w:type="numbering" w:customStyle="1" w:styleId="WWNum656">
    <w:name w:val="WWNum656"/>
    <w:basedOn w:val="NoList"/>
    <w:rsid w:val="00F8631B"/>
  </w:style>
  <w:style w:type="numbering" w:customStyle="1" w:styleId="WWNum666">
    <w:name w:val="WWNum666"/>
    <w:basedOn w:val="NoList"/>
    <w:rsid w:val="00F8631B"/>
  </w:style>
  <w:style w:type="table" w:customStyle="1" w:styleId="LightList-Accent616">
    <w:name w:val="Light List - Accent 616"/>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11111">
    <w:name w:val="1 / 1.1 / 1.1.11"/>
    <w:basedOn w:val="NoList"/>
    <w:next w:val="111111"/>
    <w:rsid w:val="00F8631B"/>
  </w:style>
  <w:style w:type="numbering" w:customStyle="1" w:styleId="WWNum4124">
    <w:name w:val="WWNum4124"/>
    <w:basedOn w:val="NoList"/>
    <w:rsid w:val="00F8631B"/>
    <w:pPr>
      <w:numPr>
        <w:numId w:val="94"/>
      </w:numPr>
    </w:pPr>
  </w:style>
  <w:style w:type="numbering" w:customStyle="1" w:styleId="11111113">
    <w:name w:val="1 / 1.1 / 1.1.113"/>
    <w:basedOn w:val="NoList"/>
    <w:next w:val="111111"/>
    <w:rsid w:val="00F8631B"/>
    <w:pPr>
      <w:numPr>
        <w:numId w:val="93"/>
      </w:numPr>
    </w:pPr>
  </w:style>
  <w:style w:type="numbering" w:customStyle="1" w:styleId="WWNum14257">
    <w:name w:val="WWNum14257"/>
    <w:basedOn w:val="NoList"/>
    <w:rsid w:val="00F8631B"/>
  </w:style>
  <w:style w:type="numbering" w:customStyle="1" w:styleId="WWNum21255">
    <w:name w:val="WWNum21255"/>
    <w:basedOn w:val="NoList"/>
    <w:rsid w:val="00F8631B"/>
  </w:style>
  <w:style w:type="numbering" w:customStyle="1" w:styleId="WWNum36246">
    <w:name w:val="WWNum36246"/>
    <w:basedOn w:val="NoList"/>
    <w:rsid w:val="00F8631B"/>
  </w:style>
  <w:style w:type="numbering" w:customStyle="1" w:styleId="WWNum3051">
    <w:name w:val="WWNum3051"/>
    <w:basedOn w:val="NoList"/>
    <w:rsid w:val="00F8631B"/>
    <w:pPr>
      <w:numPr>
        <w:numId w:val="95"/>
      </w:numPr>
    </w:pPr>
  </w:style>
  <w:style w:type="numbering" w:customStyle="1" w:styleId="WWNum2851">
    <w:name w:val="WWNum2851"/>
    <w:basedOn w:val="NoList"/>
    <w:rsid w:val="00F8631B"/>
    <w:pPr>
      <w:numPr>
        <w:numId w:val="96"/>
      </w:numPr>
    </w:pPr>
  </w:style>
  <w:style w:type="numbering" w:customStyle="1" w:styleId="WWNum4351">
    <w:name w:val="WWNum4351"/>
    <w:basedOn w:val="NoList"/>
    <w:rsid w:val="00F8631B"/>
    <w:pPr>
      <w:numPr>
        <w:numId w:val="97"/>
      </w:numPr>
    </w:pPr>
  </w:style>
  <w:style w:type="numbering" w:customStyle="1" w:styleId="WWNum7051">
    <w:name w:val="WWNum7051"/>
    <w:basedOn w:val="NoList"/>
    <w:rsid w:val="00F8631B"/>
    <w:pPr>
      <w:numPr>
        <w:numId w:val="98"/>
      </w:numPr>
    </w:pPr>
  </w:style>
  <w:style w:type="table" w:customStyle="1" w:styleId="LightList-Accent617">
    <w:name w:val="Light List - Accent 617"/>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1212">
    <w:name w:val="WWNum1212"/>
    <w:basedOn w:val="NoList"/>
    <w:rsid w:val="00F8631B"/>
  </w:style>
  <w:style w:type="table" w:customStyle="1" w:styleId="LightList-Accent622">
    <w:name w:val="Light List - Accent 62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2">
    <w:name w:val="Light List - Accent 611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1">
    <w:name w:val="Light List - Accent 621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1">
    <w:name w:val="Light List - Accent 6111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1">
    <w:name w:val="Light List - Accent 63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1">
    <w:name w:val="Light List - Accent 612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1">
    <w:name w:val="Light List - Accent 64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1">
    <w:name w:val="Light List - Accent 613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51">
    <w:name w:val="Light List - Accent 65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1">
    <w:name w:val="Light List - Accent 66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1">
    <w:name w:val="Light List - Accent 614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1">
    <w:name w:val="Light List - Accent 67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1121">
    <w:name w:val="WWNum1121"/>
    <w:basedOn w:val="NoList"/>
    <w:rsid w:val="00F8631B"/>
  </w:style>
  <w:style w:type="numbering" w:customStyle="1" w:styleId="WWNum491">
    <w:name w:val="WWNum491"/>
    <w:basedOn w:val="NoList"/>
    <w:rsid w:val="00F8631B"/>
  </w:style>
  <w:style w:type="numbering" w:customStyle="1" w:styleId="WWNum1421">
    <w:name w:val="WWNum1421"/>
    <w:basedOn w:val="NoList"/>
    <w:rsid w:val="00F8631B"/>
  </w:style>
  <w:style w:type="numbering" w:customStyle="1" w:styleId="WWNum2121">
    <w:name w:val="WWNum2121"/>
    <w:basedOn w:val="NoList"/>
    <w:rsid w:val="00F8631B"/>
  </w:style>
  <w:style w:type="numbering" w:customStyle="1" w:styleId="WWNum3621">
    <w:name w:val="WWNum3621"/>
    <w:basedOn w:val="NoList"/>
    <w:rsid w:val="00F8631B"/>
  </w:style>
  <w:style w:type="numbering" w:customStyle="1" w:styleId="WWNum3921">
    <w:name w:val="WWNum3921"/>
    <w:basedOn w:val="NoList"/>
    <w:rsid w:val="00F8631B"/>
  </w:style>
  <w:style w:type="numbering" w:customStyle="1" w:styleId="WWNum4121">
    <w:name w:val="WWNum4121"/>
    <w:basedOn w:val="NoList"/>
    <w:rsid w:val="00F8631B"/>
  </w:style>
  <w:style w:type="numbering" w:customStyle="1" w:styleId="WWNum5221">
    <w:name w:val="WWNum5221"/>
    <w:basedOn w:val="NoList"/>
    <w:rsid w:val="00F8631B"/>
  </w:style>
  <w:style w:type="numbering" w:customStyle="1" w:styleId="WWNum7631">
    <w:name w:val="WWNum7631"/>
    <w:basedOn w:val="NoList"/>
    <w:rsid w:val="00F8631B"/>
    <w:pPr>
      <w:numPr>
        <w:numId w:val="87"/>
      </w:numPr>
    </w:pPr>
  </w:style>
  <w:style w:type="numbering" w:customStyle="1" w:styleId="WWNum7721">
    <w:name w:val="WWNum7721"/>
    <w:basedOn w:val="NoList"/>
    <w:rsid w:val="00F8631B"/>
  </w:style>
  <w:style w:type="table" w:customStyle="1" w:styleId="LightList-Accent681">
    <w:name w:val="Light List - Accent 68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91">
    <w:name w:val="Light List - Accent 69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5441">
    <w:name w:val="WWNum5441"/>
    <w:basedOn w:val="NoList"/>
    <w:rsid w:val="00F8631B"/>
  </w:style>
  <w:style w:type="table" w:customStyle="1" w:styleId="LightList-Accent6101">
    <w:name w:val="Light List - Accent 610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1181">
    <w:name w:val="WWNum1181"/>
    <w:basedOn w:val="NoList"/>
    <w:rsid w:val="00F8631B"/>
  </w:style>
  <w:style w:type="numbering" w:customStyle="1" w:styleId="WWNum4101">
    <w:name w:val="WWNum4101"/>
    <w:basedOn w:val="NoList"/>
    <w:rsid w:val="00F8631B"/>
  </w:style>
  <w:style w:type="numbering" w:customStyle="1" w:styleId="WWNum681">
    <w:name w:val="WWNum681"/>
    <w:basedOn w:val="NoList"/>
    <w:rsid w:val="00F8631B"/>
  </w:style>
  <w:style w:type="numbering" w:customStyle="1" w:styleId="WWNum851">
    <w:name w:val="WWNum851"/>
    <w:basedOn w:val="NoList"/>
    <w:rsid w:val="00F8631B"/>
  </w:style>
  <w:style w:type="numbering" w:customStyle="1" w:styleId="WWNum951">
    <w:name w:val="WWNum951"/>
    <w:basedOn w:val="NoList"/>
    <w:rsid w:val="00F8631B"/>
  </w:style>
  <w:style w:type="numbering" w:customStyle="1" w:styleId="WWNum1191">
    <w:name w:val="WWNum1191"/>
    <w:basedOn w:val="NoList"/>
    <w:rsid w:val="00F8631B"/>
  </w:style>
  <w:style w:type="numbering" w:customStyle="1" w:styleId="WWNum1251">
    <w:name w:val="WWNum1251"/>
    <w:basedOn w:val="NoList"/>
    <w:rsid w:val="00F8631B"/>
  </w:style>
  <w:style w:type="numbering" w:customStyle="1" w:styleId="WWNum1351">
    <w:name w:val="WWNum1351"/>
    <w:basedOn w:val="NoList"/>
    <w:rsid w:val="00F8631B"/>
  </w:style>
  <w:style w:type="numbering" w:customStyle="1" w:styleId="WWNum1451">
    <w:name w:val="WWNum1451"/>
    <w:basedOn w:val="NoList"/>
    <w:rsid w:val="00F8631B"/>
  </w:style>
  <w:style w:type="numbering" w:customStyle="1" w:styleId="WWNum1551">
    <w:name w:val="WWNum1551"/>
    <w:basedOn w:val="NoList"/>
    <w:rsid w:val="00F8631B"/>
  </w:style>
  <w:style w:type="numbering" w:customStyle="1" w:styleId="WWNum1651">
    <w:name w:val="WWNum1651"/>
    <w:basedOn w:val="NoList"/>
    <w:rsid w:val="00F8631B"/>
  </w:style>
  <w:style w:type="numbering" w:customStyle="1" w:styleId="WWNum1751">
    <w:name w:val="WWNum1751"/>
    <w:basedOn w:val="NoList"/>
    <w:rsid w:val="00F8631B"/>
  </w:style>
  <w:style w:type="numbering" w:customStyle="1" w:styleId="WWNum1861">
    <w:name w:val="WWNum1861"/>
    <w:basedOn w:val="NoList"/>
    <w:rsid w:val="00F8631B"/>
  </w:style>
  <w:style w:type="numbering" w:customStyle="1" w:styleId="WWNum1951">
    <w:name w:val="WWNum1951"/>
    <w:basedOn w:val="NoList"/>
    <w:rsid w:val="00F8631B"/>
  </w:style>
  <w:style w:type="numbering" w:customStyle="1" w:styleId="WWNum2051">
    <w:name w:val="WWNum2051"/>
    <w:basedOn w:val="NoList"/>
    <w:rsid w:val="00F8631B"/>
  </w:style>
  <w:style w:type="numbering" w:customStyle="1" w:styleId="WWNum2151">
    <w:name w:val="WWNum2151"/>
    <w:basedOn w:val="NoList"/>
    <w:rsid w:val="00F8631B"/>
  </w:style>
  <w:style w:type="numbering" w:customStyle="1" w:styleId="WWNum2351">
    <w:name w:val="WWNum2351"/>
    <w:basedOn w:val="NoList"/>
    <w:rsid w:val="00F8631B"/>
  </w:style>
  <w:style w:type="numbering" w:customStyle="1" w:styleId="WWNum2451">
    <w:name w:val="WWNum2451"/>
    <w:basedOn w:val="NoList"/>
    <w:rsid w:val="00F8631B"/>
  </w:style>
  <w:style w:type="numbering" w:customStyle="1" w:styleId="WWNum2551">
    <w:name w:val="WWNum2551"/>
    <w:basedOn w:val="NoList"/>
    <w:rsid w:val="00F8631B"/>
  </w:style>
  <w:style w:type="numbering" w:customStyle="1" w:styleId="WWNum2651">
    <w:name w:val="WWNum2651"/>
    <w:basedOn w:val="NoList"/>
    <w:rsid w:val="00F8631B"/>
  </w:style>
  <w:style w:type="numbering" w:customStyle="1" w:styleId="WWNum2751">
    <w:name w:val="WWNum2751"/>
    <w:basedOn w:val="NoList"/>
    <w:rsid w:val="00F8631B"/>
  </w:style>
  <w:style w:type="numbering" w:customStyle="1" w:styleId="WWNum2951">
    <w:name w:val="WWNum2951"/>
    <w:basedOn w:val="NoList"/>
    <w:rsid w:val="00F8631B"/>
  </w:style>
  <w:style w:type="numbering" w:customStyle="1" w:styleId="WWNum3151">
    <w:name w:val="WWNum3151"/>
    <w:basedOn w:val="NoList"/>
    <w:rsid w:val="00F8631B"/>
  </w:style>
  <w:style w:type="numbering" w:customStyle="1" w:styleId="WWNum3251">
    <w:name w:val="WWNum3251"/>
    <w:basedOn w:val="NoList"/>
    <w:rsid w:val="00F8631B"/>
  </w:style>
  <w:style w:type="numbering" w:customStyle="1" w:styleId="WWNum3351">
    <w:name w:val="WWNum3351"/>
    <w:basedOn w:val="NoList"/>
    <w:rsid w:val="00F8631B"/>
  </w:style>
  <w:style w:type="numbering" w:customStyle="1" w:styleId="WWNum3451">
    <w:name w:val="WWNum3451"/>
    <w:basedOn w:val="NoList"/>
    <w:rsid w:val="00F8631B"/>
  </w:style>
  <w:style w:type="numbering" w:customStyle="1" w:styleId="WWNum3551">
    <w:name w:val="WWNum3551"/>
    <w:basedOn w:val="NoList"/>
    <w:rsid w:val="00F8631B"/>
  </w:style>
  <w:style w:type="numbering" w:customStyle="1" w:styleId="WWNum3631">
    <w:name w:val="WWNum3631"/>
    <w:basedOn w:val="NoList"/>
    <w:rsid w:val="00F8631B"/>
  </w:style>
  <w:style w:type="numbering" w:customStyle="1" w:styleId="WWNum3751">
    <w:name w:val="WWNum3751"/>
    <w:basedOn w:val="NoList"/>
    <w:rsid w:val="00F8631B"/>
  </w:style>
  <w:style w:type="numbering" w:customStyle="1" w:styleId="WWNum3851">
    <w:name w:val="WWNum3851"/>
    <w:basedOn w:val="NoList"/>
    <w:rsid w:val="00F8631B"/>
  </w:style>
  <w:style w:type="numbering" w:customStyle="1" w:styleId="WWNum3951">
    <w:name w:val="WWNum3951"/>
    <w:basedOn w:val="NoList"/>
    <w:rsid w:val="00F8631B"/>
  </w:style>
  <w:style w:type="numbering" w:customStyle="1" w:styleId="WWNum4051">
    <w:name w:val="WWNum4051"/>
    <w:basedOn w:val="NoList"/>
    <w:rsid w:val="00F8631B"/>
  </w:style>
  <w:style w:type="numbering" w:customStyle="1" w:styleId="WWNum4131">
    <w:name w:val="WWNum4131"/>
    <w:basedOn w:val="NoList"/>
    <w:rsid w:val="00F8631B"/>
  </w:style>
  <w:style w:type="numbering" w:customStyle="1" w:styleId="WWNum4251">
    <w:name w:val="WWNum4251"/>
    <w:basedOn w:val="NoList"/>
    <w:rsid w:val="00F8631B"/>
  </w:style>
  <w:style w:type="numbering" w:customStyle="1" w:styleId="WWNum4451">
    <w:name w:val="WWNum4451"/>
    <w:basedOn w:val="NoList"/>
    <w:rsid w:val="00F8631B"/>
  </w:style>
  <w:style w:type="numbering" w:customStyle="1" w:styleId="WWNum4551">
    <w:name w:val="WWNum4551"/>
    <w:basedOn w:val="NoList"/>
    <w:rsid w:val="00F8631B"/>
  </w:style>
  <w:style w:type="numbering" w:customStyle="1" w:styleId="WWNum4651">
    <w:name w:val="WWNum4651"/>
    <w:basedOn w:val="NoList"/>
    <w:rsid w:val="00F8631B"/>
  </w:style>
  <w:style w:type="numbering" w:customStyle="1" w:styleId="WWNum4751">
    <w:name w:val="WWNum4751"/>
    <w:basedOn w:val="NoList"/>
    <w:rsid w:val="00F8631B"/>
  </w:style>
  <w:style w:type="numbering" w:customStyle="1" w:styleId="WWNum5151">
    <w:name w:val="WWNum5151"/>
    <w:basedOn w:val="NoList"/>
    <w:rsid w:val="00F8631B"/>
  </w:style>
  <w:style w:type="numbering" w:customStyle="1" w:styleId="WWNum5251">
    <w:name w:val="WWNum5251"/>
    <w:basedOn w:val="NoList"/>
    <w:rsid w:val="00F8631B"/>
  </w:style>
  <w:style w:type="numbering" w:customStyle="1" w:styleId="WWNum5451">
    <w:name w:val="WWNum5451"/>
    <w:basedOn w:val="NoList"/>
    <w:rsid w:val="00F8631B"/>
  </w:style>
  <w:style w:type="numbering" w:customStyle="1" w:styleId="WWNum5551">
    <w:name w:val="WWNum5551"/>
    <w:basedOn w:val="NoList"/>
    <w:rsid w:val="00F8631B"/>
  </w:style>
  <w:style w:type="numbering" w:customStyle="1" w:styleId="WWNum5751">
    <w:name w:val="WWNum5751"/>
    <w:basedOn w:val="NoList"/>
    <w:rsid w:val="00F8631B"/>
    <w:pPr>
      <w:numPr>
        <w:numId w:val="99"/>
      </w:numPr>
    </w:pPr>
  </w:style>
  <w:style w:type="numbering" w:customStyle="1" w:styleId="WWNum5851">
    <w:name w:val="WWNum5851"/>
    <w:basedOn w:val="NoList"/>
    <w:rsid w:val="00F8631B"/>
  </w:style>
  <w:style w:type="numbering" w:customStyle="1" w:styleId="WWNum6451">
    <w:name w:val="WWNum6451"/>
    <w:basedOn w:val="NoList"/>
    <w:rsid w:val="00F8631B"/>
  </w:style>
  <w:style w:type="numbering" w:customStyle="1" w:styleId="WWNum6551">
    <w:name w:val="WWNum6551"/>
    <w:basedOn w:val="NoList"/>
    <w:rsid w:val="00F8631B"/>
  </w:style>
  <w:style w:type="numbering" w:customStyle="1" w:styleId="WWNum6651">
    <w:name w:val="WWNum6651"/>
    <w:basedOn w:val="NoList"/>
    <w:rsid w:val="00F8631B"/>
  </w:style>
  <w:style w:type="numbering" w:customStyle="1" w:styleId="WWNum7351">
    <w:name w:val="WWNum7351"/>
    <w:basedOn w:val="NoList"/>
    <w:rsid w:val="00F8631B"/>
    <w:pPr>
      <w:numPr>
        <w:numId w:val="88"/>
      </w:numPr>
    </w:pPr>
  </w:style>
  <w:style w:type="numbering" w:customStyle="1" w:styleId="WWNum7451">
    <w:name w:val="WWNum7451"/>
    <w:basedOn w:val="NoList"/>
    <w:rsid w:val="00F8631B"/>
  </w:style>
  <w:style w:type="numbering" w:customStyle="1" w:styleId="WWNum7551">
    <w:name w:val="WWNum7551"/>
    <w:basedOn w:val="NoList"/>
    <w:rsid w:val="00F8631B"/>
  </w:style>
  <w:style w:type="numbering" w:customStyle="1" w:styleId="WWNum7661">
    <w:name w:val="WWNum7661"/>
    <w:basedOn w:val="NoList"/>
    <w:rsid w:val="00F8631B"/>
  </w:style>
  <w:style w:type="numbering" w:customStyle="1" w:styleId="WWNum7731">
    <w:name w:val="WWNum7731"/>
    <w:basedOn w:val="NoList"/>
    <w:rsid w:val="00F8631B"/>
  </w:style>
  <w:style w:type="numbering" w:customStyle="1" w:styleId="WWNum7851">
    <w:name w:val="WWNum7851"/>
    <w:basedOn w:val="NoList"/>
    <w:rsid w:val="00F8631B"/>
  </w:style>
  <w:style w:type="table" w:customStyle="1" w:styleId="LightList-Accent6151">
    <w:name w:val="Light List - Accent 615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107">
    <w:name w:val="WWNum107"/>
    <w:basedOn w:val="NoList"/>
    <w:rsid w:val="00F8631B"/>
  </w:style>
  <w:style w:type="numbering" w:customStyle="1" w:styleId="WWNum277">
    <w:name w:val="WWNum277"/>
    <w:basedOn w:val="NoList"/>
    <w:rsid w:val="00F8631B"/>
  </w:style>
  <w:style w:type="numbering" w:customStyle="1" w:styleId="WWNum297">
    <w:name w:val="WWNum297"/>
    <w:basedOn w:val="NoList"/>
    <w:rsid w:val="00F8631B"/>
  </w:style>
  <w:style w:type="numbering" w:customStyle="1" w:styleId="WWNum427">
    <w:name w:val="WWNum427"/>
    <w:basedOn w:val="NoList"/>
    <w:rsid w:val="00F8631B"/>
  </w:style>
  <w:style w:type="numbering" w:customStyle="1" w:styleId="WWNum577">
    <w:name w:val="WWNum577"/>
    <w:basedOn w:val="NoList"/>
    <w:rsid w:val="00F8631B"/>
  </w:style>
  <w:style w:type="numbering" w:customStyle="1" w:styleId="WWNum657">
    <w:name w:val="WWNum657"/>
    <w:basedOn w:val="NoList"/>
    <w:rsid w:val="00F8631B"/>
  </w:style>
  <w:style w:type="numbering" w:customStyle="1" w:styleId="WWNum667">
    <w:name w:val="WWNum667"/>
    <w:basedOn w:val="NoList"/>
    <w:rsid w:val="00F8631B"/>
  </w:style>
  <w:style w:type="table" w:customStyle="1" w:styleId="LightList-Accent618">
    <w:name w:val="Light List - Accent 618"/>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11112">
    <w:name w:val="1 / 1.1 / 1.1.12"/>
    <w:basedOn w:val="NoList"/>
    <w:next w:val="111111"/>
    <w:rsid w:val="00F8631B"/>
  </w:style>
  <w:style w:type="numbering" w:customStyle="1" w:styleId="WWNum41241">
    <w:name w:val="WWNum41241"/>
    <w:basedOn w:val="NoList"/>
    <w:rsid w:val="00F8631B"/>
  </w:style>
  <w:style w:type="numbering" w:customStyle="1" w:styleId="111111131">
    <w:name w:val="1 / 1.1 / 1.1.1131"/>
    <w:basedOn w:val="NoList"/>
    <w:next w:val="111111"/>
    <w:rsid w:val="00F8631B"/>
  </w:style>
  <w:style w:type="numbering" w:customStyle="1" w:styleId="WWNum142571">
    <w:name w:val="WWNum142571"/>
    <w:basedOn w:val="NoList"/>
    <w:rsid w:val="00F8631B"/>
  </w:style>
  <w:style w:type="numbering" w:customStyle="1" w:styleId="WWNum212551">
    <w:name w:val="WWNum212551"/>
    <w:basedOn w:val="NoList"/>
    <w:rsid w:val="00F8631B"/>
  </w:style>
  <w:style w:type="numbering" w:customStyle="1" w:styleId="WWNum362461">
    <w:name w:val="WWNum362461"/>
    <w:basedOn w:val="NoList"/>
    <w:rsid w:val="00F8631B"/>
  </w:style>
  <w:style w:type="numbering" w:customStyle="1" w:styleId="WWNum3052">
    <w:name w:val="WWNum3052"/>
    <w:basedOn w:val="NoList"/>
    <w:rsid w:val="00F8631B"/>
  </w:style>
  <w:style w:type="numbering" w:customStyle="1" w:styleId="WWNum2852">
    <w:name w:val="WWNum2852"/>
    <w:basedOn w:val="NoList"/>
    <w:rsid w:val="00F8631B"/>
    <w:pPr>
      <w:numPr>
        <w:numId w:val="84"/>
      </w:numPr>
    </w:pPr>
  </w:style>
  <w:style w:type="numbering" w:customStyle="1" w:styleId="WWNum4352">
    <w:name w:val="WWNum4352"/>
    <w:basedOn w:val="NoList"/>
    <w:rsid w:val="00F8631B"/>
    <w:pPr>
      <w:numPr>
        <w:numId w:val="85"/>
      </w:numPr>
    </w:pPr>
  </w:style>
  <w:style w:type="numbering" w:customStyle="1" w:styleId="WWNum7052">
    <w:name w:val="WWNum7052"/>
    <w:basedOn w:val="NoList"/>
    <w:rsid w:val="00F8631B"/>
    <w:pPr>
      <w:numPr>
        <w:numId w:val="86"/>
      </w:numPr>
    </w:pPr>
  </w:style>
  <w:style w:type="table" w:customStyle="1" w:styleId="LightList-Accent619">
    <w:name w:val="Light List - Accent 619"/>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1213">
    <w:name w:val="WWNum1213"/>
    <w:basedOn w:val="NoList"/>
    <w:rsid w:val="00F8631B"/>
  </w:style>
  <w:style w:type="table" w:customStyle="1" w:styleId="LightList-Accent623">
    <w:name w:val="Light List - Accent 62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3">
    <w:name w:val="Light List - Accent 611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2">
    <w:name w:val="Light List - Accent 621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2">
    <w:name w:val="Light List - Accent 6111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2">
    <w:name w:val="Light List - Accent 63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2">
    <w:name w:val="Light List - Accent 612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2">
    <w:name w:val="Light List - Accent 64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2">
    <w:name w:val="Light List - Accent 613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52">
    <w:name w:val="Light List - Accent 65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2">
    <w:name w:val="Light List - Accent 66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2">
    <w:name w:val="Light List - Accent 614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2">
    <w:name w:val="Light List - Accent 67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1122">
    <w:name w:val="WWNum1122"/>
    <w:basedOn w:val="NoList"/>
    <w:rsid w:val="00F8631B"/>
  </w:style>
  <w:style w:type="numbering" w:customStyle="1" w:styleId="WWNum492">
    <w:name w:val="WWNum492"/>
    <w:basedOn w:val="NoList"/>
    <w:rsid w:val="00F8631B"/>
  </w:style>
  <w:style w:type="numbering" w:customStyle="1" w:styleId="WWNum1422">
    <w:name w:val="WWNum1422"/>
    <w:basedOn w:val="NoList"/>
    <w:rsid w:val="00F8631B"/>
  </w:style>
  <w:style w:type="numbering" w:customStyle="1" w:styleId="WWNum2122">
    <w:name w:val="WWNum2122"/>
    <w:basedOn w:val="NoList"/>
    <w:rsid w:val="00F8631B"/>
  </w:style>
  <w:style w:type="numbering" w:customStyle="1" w:styleId="WWNum3622">
    <w:name w:val="WWNum3622"/>
    <w:basedOn w:val="NoList"/>
    <w:rsid w:val="00F8631B"/>
  </w:style>
  <w:style w:type="numbering" w:customStyle="1" w:styleId="WWNum3922">
    <w:name w:val="WWNum3922"/>
    <w:basedOn w:val="NoList"/>
    <w:rsid w:val="00F8631B"/>
  </w:style>
  <w:style w:type="numbering" w:customStyle="1" w:styleId="WWNum4122">
    <w:name w:val="WWNum4122"/>
    <w:basedOn w:val="NoList"/>
    <w:rsid w:val="00F8631B"/>
  </w:style>
  <w:style w:type="numbering" w:customStyle="1" w:styleId="WWNum5222">
    <w:name w:val="WWNum5222"/>
    <w:basedOn w:val="NoList"/>
    <w:rsid w:val="00F8631B"/>
  </w:style>
  <w:style w:type="numbering" w:customStyle="1" w:styleId="WWNum7632">
    <w:name w:val="WWNum7632"/>
    <w:basedOn w:val="NoList"/>
    <w:rsid w:val="00F8631B"/>
  </w:style>
  <w:style w:type="numbering" w:customStyle="1" w:styleId="WWNum7722">
    <w:name w:val="WWNum7722"/>
    <w:basedOn w:val="NoList"/>
    <w:rsid w:val="00F8631B"/>
  </w:style>
  <w:style w:type="table" w:customStyle="1" w:styleId="LightList-Accent682">
    <w:name w:val="Light List - Accent 68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92">
    <w:name w:val="Light List - Accent 69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5442">
    <w:name w:val="WWNum5442"/>
    <w:basedOn w:val="NoList"/>
    <w:rsid w:val="00F8631B"/>
  </w:style>
  <w:style w:type="table" w:customStyle="1" w:styleId="LightList-Accent6102">
    <w:name w:val="Light List - Accent 610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1182">
    <w:name w:val="WWNum1182"/>
    <w:basedOn w:val="NoList"/>
    <w:rsid w:val="00F8631B"/>
  </w:style>
  <w:style w:type="numbering" w:customStyle="1" w:styleId="WWNum4102">
    <w:name w:val="WWNum4102"/>
    <w:basedOn w:val="NoList"/>
    <w:rsid w:val="00F8631B"/>
  </w:style>
  <w:style w:type="numbering" w:customStyle="1" w:styleId="WWNum682">
    <w:name w:val="WWNum682"/>
    <w:basedOn w:val="NoList"/>
    <w:rsid w:val="00F8631B"/>
  </w:style>
  <w:style w:type="numbering" w:customStyle="1" w:styleId="WWNum852">
    <w:name w:val="WWNum852"/>
    <w:basedOn w:val="NoList"/>
    <w:rsid w:val="00F8631B"/>
  </w:style>
  <w:style w:type="numbering" w:customStyle="1" w:styleId="WWNum952">
    <w:name w:val="WWNum952"/>
    <w:basedOn w:val="NoList"/>
    <w:rsid w:val="00F8631B"/>
  </w:style>
  <w:style w:type="numbering" w:customStyle="1" w:styleId="WWNum1192">
    <w:name w:val="WWNum1192"/>
    <w:basedOn w:val="NoList"/>
    <w:rsid w:val="00F8631B"/>
  </w:style>
  <w:style w:type="numbering" w:customStyle="1" w:styleId="WWNum1252">
    <w:name w:val="WWNum1252"/>
    <w:basedOn w:val="NoList"/>
    <w:rsid w:val="00F8631B"/>
  </w:style>
  <w:style w:type="numbering" w:customStyle="1" w:styleId="WWNum1352">
    <w:name w:val="WWNum1352"/>
    <w:basedOn w:val="NoList"/>
    <w:rsid w:val="00F8631B"/>
  </w:style>
  <w:style w:type="numbering" w:customStyle="1" w:styleId="WWNum1452">
    <w:name w:val="WWNum1452"/>
    <w:basedOn w:val="NoList"/>
    <w:rsid w:val="00F8631B"/>
  </w:style>
  <w:style w:type="numbering" w:customStyle="1" w:styleId="WWNum1552">
    <w:name w:val="WWNum1552"/>
    <w:basedOn w:val="NoList"/>
    <w:rsid w:val="00F8631B"/>
  </w:style>
  <w:style w:type="numbering" w:customStyle="1" w:styleId="WWNum1652">
    <w:name w:val="WWNum1652"/>
    <w:basedOn w:val="NoList"/>
    <w:rsid w:val="00F8631B"/>
  </w:style>
  <w:style w:type="numbering" w:customStyle="1" w:styleId="WWNum1752">
    <w:name w:val="WWNum1752"/>
    <w:basedOn w:val="NoList"/>
    <w:rsid w:val="00F8631B"/>
  </w:style>
  <w:style w:type="numbering" w:customStyle="1" w:styleId="WWNum1862">
    <w:name w:val="WWNum1862"/>
    <w:basedOn w:val="NoList"/>
    <w:rsid w:val="00F8631B"/>
  </w:style>
  <w:style w:type="numbering" w:customStyle="1" w:styleId="WWNum1952">
    <w:name w:val="WWNum1952"/>
    <w:basedOn w:val="NoList"/>
    <w:rsid w:val="00F8631B"/>
  </w:style>
  <w:style w:type="numbering" w:customStyle="1" w:styleId="WWNum2052">
    <w:name w:val="WWNum2052"/>
    <w:basedOn w:val="NoList"/>
    <w:rsid w:val="00F8631B"/>
  </w:style>
  <w:style w:type="numbering" w:customStyle="1" w:styleId="WWNum2152">
    <w:name w:val="WWNum2152"/>
    <w:basedOn w:val="NoList"/>
    <w:rsid w:val="00F8631B"/>
  </w:style>
  <w:style w:type="numbering" w:customStyle="1" w:styleId="WWNum2352">
    <w:name w:val="WWNum2352"/>
    <w:basedOn w:val="NoList"/>
    <w:rsid w:val="00F8631B"/>
  </w:style>
  <w:style w:type="numbering" w:customStyle="1" w:styleId="WWNum2452">
    <w:name w:val="WWNum2452"/>
    <w:basedOn w:val="NoList"/>
    <w:rsid w:val="00F8631B"/>
  </w:style>
  <w:style w:type="numbering" w:customStyle="1" w:styleId="WWNum2552">
    <w:name w:val="WWNum2552"/>
    <w:basedOn w:val="NoList"/>
    <w:rsid w:val="00F8631B"/>
  </w:style>
  <w:style w:type="numbering" w:customStyle="1" w:styleId="WWNum2652">
    <w:name w:val="WWNum2652"/>
    <w:basedOn w:val="NoList"/>
    <w:rsid w:val="00F8631B"/>
  </w:style>
  <w:style w:type="numbering" w:customStyle="1" w:styleId="WWNum2752">
    <w:name w:val="WWNum2752"/>
    <w:basedOn w:val="NoList"/>
    <w:rsid w:val="00F8631B"/>
  </w:style>
  <w:style w:type="numbering" w:customStyle="1" w:styleId="WWNum2952">
    <w:name w:val="WWNum2952"/>
    <w:basedOn w:val="NoList"/>
    <w:rsid w:val="00F8631B"/>
  </w:style>
  <w:style w:type="numbering" w:customStyle="1" w:styleId="WWNum3152">
    <w:name w:val="WWNum3152"/>
    <w:basedOn w:val="NoList"/>
    <w:rsid w:val="00F8631B"/>
  </w:style>
  <w:style w:type="numbering" w:customStyle="1" w:styleId="WWNum3252">
    <w:name w:val="WWNum3252"/>
    <w:basedOn w:val="NoList"/>
    <w:rsid w:val="00F8631B"/>
  </w:style>
  <w:style w:type="numbering" w:customStyle="1" w:styleId="WWNum3352">
    <w:name w:val="WWNum3352"/>
    <w:basedOn w:val="NoList"/>
    <w:rsid w:val="00F8631B"/>
  </w:style>
  <w:style w:type="numbering" w:customStyle="1" w:styleId="WWNum3452">
    <w:name w:val="WWNum3452"/>
    <w:basedOn w:val="NoList"/>
    <w:rsid w:val="00F8631B"/>
  </w:style>
  <w:style w:type="numbering" w:customStyle="1" w:styleId="WWNum3552">
    <w:name w:val="WWNum3552"/>
    <w:basedOn w:val="NoList"/>
    <w:rsid w:val="00F8631B"/>
  </w:style>
  <w:style w:type="numbering" w:customStyle="1" w:styleId="WWNum3632">
    <w:name w:val="WWNum3632"/>
    <w:basedOn w:val="NoList"/>
    <w:rsid w:val="00F8631B"/>
  </w:style>
  <w:style w:type="numbering" w:customStyle="1" w:styleId="WWNum3752">
    <w:name w:val="WWNum3752"/>
    <w:basedOn w:val="NoList"/>
    <w:rsid w:val="00F8631B"/>
  </w:style>
  <w:style w:type="numbering" w:customStyle="1" w:styleId="WWNum3852">
    <w:name w:val="WWNum3852"/>
    <w:basedOn w:val="NoList"/>
    <w:rsid w:val="00F8631B"/>
  </w:style>
  <w:style w:type="numbering" w:customStyle="1" w:styleId="WWNum3952">
    <w:name w:val="WWNum3952"/>
    <w:basedOn w:val="NoList"/>
    <w:rsid w:val="00F8631B"/>
  </w:style>
  <w:style w:type="numbering" w:customStyle="1" w:styleId="WWNum4052">
    <w:name w:val="WWNum4052"/>
    <w:basedOn w:val="NoList"/>
    <w:rsid w:val="00F8631B"/>
  </w:style>
  <w:style w:type="numbering" w:customStyle="1" w:styleId="WWNum4132">
    <w:name w:val="WWNum4132"/>
    <w:basedOn w:val="NoList"/>
    <w:rsid w:val="00F8631B"/>
  </w:style>
  <w:style w:type="numbering" w:customStyle="1" w:styleId="WWNum4252">
    <w:name w:val="WWNum4252"/>
    <w:basedOn w:val="NoList"/>
    <w:rsid w:val="00F8631B"/>
  </w:style>
  <w:style w:type="numbering" w:customStyle="1" w:styleId="WWNum4452">
    <w:name w:val="WWNum4452"/>
    <w:basedOn w:val="NoList"/>
    <w:rsid w:val="00F8631B"/>
  </w:style>
  <w:style w:type="numbering" w:customStyle="1" w:styleId="WWNum4552">
    <w:name w:val="WWNum4552"/>
    <w:basedOn w:val="NoList"/>
    <w:rsid w:val="00F8631B"/>
  </w:style>
  <w:style w:type="numbering" w:customStyle="1" w:styleId="WWNum4652">
    <w:name w:val="WWNum4652"/>
    <w:basedOn w:val="NoList"/>
    <w:rsid w:val="00F8631B"/>
  </w:style>
  <w:style w:type="numbering" w:customStyle="1" w:styleId="WWNum4752">
    <w:name w:val="WWNum4752"/>
    <w:basedOn w:val="NoList"/>
    <w:rsid w:val="00F8631B"/>
  </w:style>
  <w:style w:type="numbering" w:customStyle="1" w:styleId="WWNum5152">
    <w:name w:val="WWNum5152"/>
    <w:basedOn w:val="NoList"/>
    <w:rsid w:val="00F8631B"/>
  </w:style>
  <w:style w:type="numbering" w:customStyle="1" w:styleId="WWNum5252">
    <w:name w:val="WWNum5252"/>
    <w:basedOn w:val="NoList"/>
    <w:rsid w:val="00F8631B"/>
  </w:style>
  <w:style w:type="numbering" w:customStyle="1" w:styleId="WWNum5452">
    <w:name w:val="WWNum5452"/>
    <w:basedOn w:val="NoList"/>
    <w:rsid w:val="00F8631B"/>
  </w:style>
  <w:style w:type="numbering" w:customStyle="1" w:styleId="WWNum5552">
    <w:name w:val="WWNum5552"/>
    <w:basedOn w:val="NoList"/>
    <w:rsid w:val="00F8631B"/>
  </w:style>
  <w:style w:type="numbering" w:customStyle="1" w:styleId="WWNum5752">
    <w:name w:val="WWNum5752"/>
    <w:basedOn w:val="NoList"/>
    <w:rsid w:val="00F8631B"/>
    <w:pPr>
      <w:numPr>
        <w:numId w:val="89"/>
      </w:numPr>
    </w:pPr>
  </w:style>
  <w:style w:type="numbering" w:customStyle="1" w:styleId="WWNum5852">
    <w:name w:val="WWNum5852"/>
    <w:basedOn w:val="NoList"/>
    <w:rsid w:val="00F8631B"/>
  </w:style>
  <w:style w:type="numbering" w:customStyle="1" w:styleId="WWNum6452">
    <w:name w:val="WWNum6452"/>
    <w:basedOn w:val="NoList"/>
    <w:rsid w:val="00F8631B"/>
  </w:style>
  <w:style w:type="numbering" w:customStyle="1" w:styleId="WWNum6552">
    <w:name w:val="WWNum6552"/>
    <w:basedOn w:val="NoList"/>
    <w:rsid w:val="00F8631B"/>
  </w:style>
  <w:style w:type="numbering" w:customStyle="1" w:styleId="WWNum6652">
    <w:name w:val="WWNum6652"/>
    <w:basedOn w:val="NoList"/>
    <w:rsid w:val="00F8631B"/>
  </w:style>
  <w:style w:type="numbering" w:customStyle="1" w:styleId="WWNum7352">
    <w:name w:val="WWNum7352"/>
    <w:basedOn w:val="NoList"/>
    <w:rsid w:val="00F8631B"/>
  </w:style>
  <w:style w:type="numbering" w:customStyle="1" w:styleId="WWNum7452">
    <w:name w:val="WWNum7452"/>
    <w:basedOn w:val="NoList"/>
    <w:rsid w:val="00F8631B"/>
  </w:style>
  <w:style w:type="numbering" w:customStyle="1" w:styleId="WWNum7552">
    <w:name w:val="WWNum7552"/>
    <w:basedOn w:val="NoList"/>
    <w:rsid w:val="00F8631B"/>
  </w:style>
  <w:style w:type="numbering" w:customStyle="1" w:styleId="WWNum7662">
    <w:name w:val="WWNum7662"/>
    <w:basedOn w:val="NoList"/>
    <w:rsid w:val="00F8631B"/>
  </w:style>
  <w:style w:type="numbering" w:customStyle="1" w:styleId="WWNum7732">
    <w:name w:val="WWNum7732"/>
    <w:basedOn w:val="NoList"/>
    <w:rsid w:val="00F8631B"/>
  </w:style>
  <w:style w:type="numbering" w:customStyle="1" w:styleId="WWNum7852">
    <w:name w:val="WWNum7852"/>
    <w:basedOn w:val="NoList"/>
    <w:rsid w:val="00F8631B"/>
  </w:style>
  <w:style w:type="table" w:customStyle="1" w:styleId="LightList-Accent6152">
    <w:name w:val="Light List - Accent 615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493">
    <w:name w:val="WWNum493"/>
    <w:basedOn w:val="NoList"/>
    <w:rsid w:val="00F8631B"/>
  </w:style>
  <w:style w:type="table" w:customStyle="1" w:styleId="TableGrid11">
    <w:name w:val="Table Grid11"/>
    <w:basedOn w:val="TableNormal"/>
    <w:next w:val="TableGrid"/>
    <w:uiPriority w:val="59"/>
    <w:rsid w:val="00F8631B"/>
    <w:pPr>
      <w:spacing w:after="0" w:line="240" w:lineRule="auto"/>
    </w:pPr>
    <w:rPr>
      <w:rFonts w:ascii="Calibri" w:eastAsia="Calibri" w:hAnsi="Calibri" w:cs="Times New Roman"/>
      <w:kern w:val="0"/>
      <w:sz w:val="20"/>
      <w:szCs w:val="20"/>
      <w:lang w:val="en-IN" w:eastAsia="en-IN"/>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Num7633">
    <w:name w:val="WWNum7633"/>
    <w:basedOn w:val="NoList"/>
    <w:rsid w:val="00F8631B"/>
  </w:style>
  <w:style w:type="numbering" w:customStyle="1" w:styleId="WWNum7353">
    <w:name w:val="WWNum7353"/>
    <w:basedOn w:val="NoList"/>
    <w:rsid w:val="00F8631B"/>
  </w:style>
  <w:style w:type="numbering" w:customStyle="1" w:styleId="WWNum278">
    <w:name w:val="WWNum278"/>
    <w:basedOn w:val="NoList"/>
    <w:rsid w:val="00F8631B"/>
  </w:style>
  <w:style w:type="table" w:customStyle="1" w:styleId="TableGrid4">
    <w:name w:val="Table Grid4"/>
    <w:basedOn w:val="TableNormal"/>
    <w:next w:val="TableGrid"/>
    <w:uiPriority w:val="59"/>
    <w:rsid w:val="00F8631B"/>
    <w:pPr>
      <w:spacing w:after="0" w:line="240" w:lineRule="auto"/>
    </w:pPr>
    <w:rPr>
      <w:rFonts w:ascii="Calibri" w:eastAsia="Times New Roman" w:hAnsi="Calibri" w:cs="Times New Roman"/>
      <w:kern w:val="0"/>
      <w:sz w:val="20"/>
      <w:szCs w:val="20"/>
      <w:lang w:val="en-IN" w:eastAsia="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623">
    <w:name w:val="WWNum3623"/>
    <w:basedOn w:val="NoList"/>
    <w:rsid w:val="00F8631B"/>
    <w:pPr>
      <w:numPr>
        <w:numId w:val="90"/>
      </w:numPr>
    </w:pPr>
  </w:style>
  <w:style w:type="numbering" w:customStyle="1" w:styleId="WWNum4123">
    <w:name w:val="WWNum4123"/>
    <w:basedOn w:val="NoList"/>
    <w:rsid w:val="00F8631B"/>
    <w:pPr>
      <w:numPr>
        <w:numId w:val="91"/>
      </w:numPr>
    </w:pPr>
  </w:style>
  <w:style w:type="numbering" w:customStyle="1" w:styleId="WWNum7723">
    <w:name w:val="WWNum7723"/>
    <w:basedOn w:val="NoList"/>
    <w:rsid w:val="00F8631B"/>
    <w:pPr>
      <w:numPr>
        <w:numId w:val="92"/>
      </w:numPr>
    </w:pPr>
  </w:style>
  <w:style w:type="table" w:customStyle="1" w:styleId="TableGrid41">
    <w:name w:val="Table Grid41"/>
    <w:basedOn w:val="TableNormal"/>
    <w:next w:val="TableGrid"/>
    <w:uiPriority w:val="59"/>
    <w:rsid w:val="00F8631B"/>
    <w:pPr>
      <w:spacing w:after="0" w:line="240" w:lineRule="auto"/>
    </w:pPr>
    <w:rPr>
      <w:rFonts w:ascii="Calibri" w:eastAsia="Times New Roman" w:hAnsi="Calibri" w:cs="Times New Roman"/>
      <w:kern w:val="0"/>
      <w:sz w:val="20"/>
      <w:szCs w:val="20"/>
      <w:lang w:val="en-IN" w:eastAsia="en-IN"/>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Num2853">
    <w:name w:val="WWNum2853"/>
    <w:basedOn w:val="NoList"/>
    <w:rsid w:val="00F8631B"/>
  </w:style>
  <w:style w:type="numbering" w:customStyle="1" w:styleId="WWNum279">
    <w:name w:val="WWNum279"/>
    <w:basedOn w:val="NoList"/>
    <w:rsid w:val="00F8631B"/>
  </w:style>
  <w:style w:type="numbering" w:customStyle="1" w:styleId="WWNum298">
    <w:name w:val="WWNum298"/>
    <w:basedOn w:val="NoList"/>
    <w:rsid w:val="00F8631B"/>
  </w:style>
  <w:style w:type="numbering" w:customStyle="1" w:styleId="WWNum428">
    <w:name w:val="WWNum428"/>
    <w:basedOn w:val="NoList"/>
    <w:rsid w:val="00F8631B"/>
  </w:style>
  <w:style w:type="numbering" w:customStyle="1" w:styleId="WWNum578">
    <w:name w:val="WWNum578"/>
    <w:basedOn w:val="NoList"/>
    <w:rsid w:val="00F8631B"/>
  </w:style>
  <w:style w:type="numbering" w:customStyle="1" w:styleId="WWNum658">
    <w:name w:val="WWNum658"/>
    <w:basedOn w:val="NoList"/>
    <w:rsid w:val="00F8631B"/>
    <w:pPr>
      <w:numPr>
        <w:numId w:val="62"/>
      </w:numPr>
    </w:pPr>
  </w:style>
  <w:style w:type="numbering" w:customStyle="1" w:styleId="WWNum668">
    <w:name w:val="WWNum668"/>
    <w:basedOn w:val="NoList"/>
    <w:rsid w:val="00F8631B"/>
  </w:style>
  <w:style w:type="table" w:customStyle="1" w:styleId="LightList-Accent620">
    <w:name w:val="Light List - Accent 620"/>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41242">
    <w:name w:val="WWNum41242"/>
    <w:basedOn w:val="NoList"/>
    <w:rsid w:val="00F8631B"/>
  </w:style>
  <w:style w:type="numbering" w:customStyle="1" w:styleId="111111132">
    <w:name w:val="1 / 1.1 / 1.1.1132"/>
    <w:basedOn w:val="NoList"/>
    <w:next w:val="111111"/>
    <w:rsid w:val="00F8631B"/>
  </w:style>
  <w:style w:type="numbering" w:customStyle="1" w:styleId="WWNum142572">
    <w:name w:val="WWNum142572"/>
    <w:basedOn w:val="NoList"/>
    <w:rsid w:val="00F8631B"/>
  </w:style>
  <w:style w:type="numbering" w:customStyle="1" w:styleId="WWNum212552">
    <w:name w:val="WWNum212552"/>
    <w:basedOn w:val="NoList"/>
    <w:rsid w:val="00F8631B"/>
  </w:style>
  <w:style w:type="numbering" w:customStyle="1" w:styleId="WWNum362462">
    <w:name w:val="WWNum362462"/>
    <w:basedOn w:val="NoList"/>
    <w:rsid w:val="00F8631B"/>
  </w:style>
  <w:style w:type="numbering" w:customStyle="1" w:styleId="WWNum3053">
    <w:name w:val="WWNum3053"/>
    <w:basedOn w:val="NoList"/>
    <w:rsid w:val="00F8631B"/>
  </w:style>
  <w:style w:type="numbering" w:customStyle="1" w:styleId="WWNum2854">
    <w:name w:val="WWNum2854"/>
    <w:basedOn w:val="NoList"/>
    <w:rsid w:val="00F8631B"/>
    <w:pPr>
      <w:numPr>
        <w:numId w:val="100"/>
      </w:numPr>
    </w:pPr>
  </w:style>
  <w:style w:type="numbering" w:customStyle="1" w:styleId="WWNum4353">
    <w:name w:val="WWNum4353"/>
    <w:basedOn w:val="NoList"/>
    <w:rsid w:val="00F8631B"/>
    <w:pPr>
      <w:numPr>
        <w:numId w:val="101"/>
      </w:numPr>
    </w:pPr>
  </w:style>
  <w:style w:type="numbering" w:customStyle="1" w:styleId="WWNum7053">
    <w:name w:val="WWNum7053"/>
    <w:basedOn w:val="NoList"/>
    <w:rsid w:val="00F8631B"/>
    <w:pPr>
      <w:numPr>
        <w:numId w:val="102"/>
      </w:numPr>
    </w:pPr>
  </w:style>
  <w:style w:type="table" w:customStyle="1" w:styleId="LightList-Accent6110">
    <w:name w:val="Light List - Accent 6110"/>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1214">
    <w:name w:val="WWNum1214"/>
    <w:basedOn w:val="NoList"/>
    <w:rsid w:val="00F8631B"/>
  </w:style>
  <w:style w:type="table" w:customStyle="1" w:styleId="LightList-Accent624">
    <w:name w:val="Light List - Accent 62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4">
    <w:name w:val="Light List - Accent 611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3">
    <w:name w:val="Light List - Accent 621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3">
    <w:name w:val="Light List - Accent 6111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3">
    <w:name w:val="Light List - Accent 63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3">
    <w:name w:val="Light List - Accent 612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3">
    <w:name w:val="Light List - Accent 64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3">
    <w:name w:val="Light List - Accent 613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53">
    <w:name w:val="Light List - Accent 65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3">
    <w:name w:val="Light List - Accent 66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3">
    <w:name w:val="Light List - Accent 614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3">
    <w:name w:val="Light List - Accent 67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1123">
    <w:name w:val="WWNum1123"/>
    <w:basedOn w:val="NoList"/>
    <w:rsid w:val="00F8631B"/>
  </w:style>
  <w:style w:type="numbering" w:customStyle="1" w:styleId="WWNum494">
    <w:name w:val="WWNum494"/>
    <w:basedOn w:val="NoList"/>
    <w:rsid w:val="00F8631B"/>
    <w:pPr>
      <w:numPr>
        <w:numId w:val="59"/>
      </w:numPr>
    </w:pPr>
  </w:style>
  <w:style w:type="numbering" w:customStyle="1" w:styleId="WWNum1423">
    <w:name w:val="WWNum1423"/>
    <w:basedOn w:val="NoList"/>
    <w:rsid w:val="00F8631B"/>
    <w:pPr>
      <w:numPr>
        <w:numId w:val="57"/>
      </w:numPr>
    </w:pPr>
  </w:style>
  <w:style w:type="numbering" w:customStyle="1" w:styleId="WWNum2123">
    <w:name w:val="WWNum2123"/>
    <w:basedOn w:val="NoList"/>
    <w:rsid w:val="00F8631B"/>
    <w:pPr>
      <w:numPr>
        <w:numId w:val="56"/>
      </w:numPr>
    </w:pPr>
  </w:style>
  <w:style w:type="numbering" w:customStyle="1" w:styleId="WWNum3624">
    <w:name w:val="WWNum3624"/>
    <w:basedOn w:val="NoList"/>
    <w:rsid w:val="00F8631B"/>
    <w:pPr>
      <w:numPr>
        <w:numId w:val="106"/>
      </w:numPr>
    </w:pPr>
  </w:style>
  <w:style w:type="numbering" w:customStyle="1" w:styleId="WWNum3923">
    <w:name w:val="WWNum3923"/>
    <w:basedOn w:val="NoList"/>
    <w:rsid w:val="00F8631B"/>
    <w:pPr>
      <w:numPr>
        <w:numId w:val="63"/>
      </w:numPr>
    </w:pPr>
  </w:style>
  <w:style w:type="numbering" w:customStyle="1" w:styleId="WWNum4125">
    <w:name w:val="WWNum4125"/>
    <w:basedOn w:val="NoList"/>
    <w:rsid w:val="00F8631B"/>
    <w:pPr>
      <w:numPr>
        <w:numId w:val="146"/>
      </w:numPr>
    </w:pPr>
  </w:style>
  <w:style w:type="numbering" w:customStyle="1" w:styleId="WWNum5223">
    <w:name w:val="WWNum5223"/>
    <w:basedOn w:val="NoList"/>
    <w:rsid w:val="00F8631B"/>
  </w:style>
  <w:style w:type="numbering" w:customStyle="1" w:styleId="WWNum7634">
    <w:name w:val="WWNum7634"/>
    <w:basedOn w:val="NoList"/>
    <w:rsid w:val="00F8631B"/>
  </w:style>
  <w:style w:type="numbering" w:customStyle="1" w:styleId="WWNum7724">
    <w:name w:val="WWNum7724"/>
    <w:basedOn w:val="NoList"/>
    <w:rsid w:val="00F8631B"/>
    <w:pPr>
      <w:numPr>
        <w:numId w:val="147"/>
      </w:numPr>
    </w:pPr>
  </w:style>
  <w:style w:type="table" w:customStyle="1" w:styleId="LightList-Accent683">
    <w:name w:val="Light List - Accent 68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93">
    <w:name w:val="Light List - Accent 69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5443">
    <w:name w:val="WWNum5443"/>
    <w:basedOn w:val="NoList"/>
    <w:rsid w:val="00F8631B"/>
  </w:style>
  <w:style w:type="table" w:customStyle="1" w:styleId="LightList-Accent6103">
    <w:name w:val="Light List - Accent 610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1183">
    <w:name w:val="WWNum1183"/>
    <w:basedOn w:val="NoList"/>
    <w:rsid w:val="00F8631B"/>
  </w:style>
  <w:style w:type="numbering" w:customStyle="1" w:styleId="WWNum4103">
    <w:name w:val="WWNum4103"/>
    <w:basedOn w:val="NoList"/>
    <w:rsid w:val="00F8631B"/>
  </w:style>
  <w:style w:type="numbering" w:customStyle="1" w:styleId="WWNum683">
    <w:name w:val="WWNum683"/>
    <w:basedOn w:val="NoList"/>
    <w:rsid w:val="00F8631B"/>
  </w:style>
  <w:style w:type="numbering" w:customStyle="1" w:styleId="WWNum853">
    <w:name w:val="WWNum853"/>
    <w:basedOn w:val="NoList"/>
    <w:rsid w:val="00F8631B"/>
  </w:style>
  <w:style w:type="numbering" w:customStyle="1" w:styleId="WWNum953">
    <w:name w:val="WWNum953"/>
    <w:basedOn w:val="NoList"/>
    <w:rsid w:val="00F8631B"/>
  </w:style>
  <w:style w:type="numbering" w:customStyle="1" w:styleId="WWNum1193">
    <w:name w:val="WWNum1193"/>
    <w:basedOn w:val="NoList"/>
    <w:rsid w:val="00F8631B"/>
  </w:style>
  <w:style w:type="numbering" w:customStyle="1" w:styleId="WWNum1253">
    <w:name w:val="WWNum1253"/>
    <w:basedOn w:val="NoList"/>
    <w:rsid w:val="00F8631B"/>
  </w:style>
  <w:style w:type="numbering" w:customStyle="1" w:styleId="WWNum1353">
    <w:name w:val="WWNum1353"/>
    <w:basedOn w:val="NoList"/>
    <w:rsid w:val="00F8631B"/>
  </w:style>
  <w:style w:type="numbering" w:customStyle="1" w:styleId="WWNum1453">
    <w:name w:val="WWNum1453"/>
    <w:basedOn w:val="NoList"/>
    <w:rsid w:val="00F8631B"/>
  </w:style>
  <w:style w:type="numbering" w:customStyle="1" w:styleId="WWNum1553">
    <w:name w:val="WWNum1553"/>
    <w:basedOn w:val="NoList"/>
    <w:rsid w:val="00F8631B"/>
  </w:style>
  <w:style w:type="numbering" w:customStyle="1" w:styleId="WWNum1653">
    <w:name w:val="WWNum1653"/>
    <w:basedOn w:val="NoList"/>
    <w:rsid w:val="00F8631B"/>
  </w:style>
  <w:style w:type="numbering" w:customStyle="1" w:styleId="WWNum1753">
    <w:name w:val="WWNum1753"/>
    <w:basedOn w:val="NoList"/>
    <w:rsid w:val="00F8631B"/>
  </w:style>
  <w:style w:type="numbering" w:customStyle="1" w:styleId="WWNum1863">
    <w:name w:val="WWNum1863"/>
    <w:basedOn w:val="NoList"/>
    <w:rsid w:val="00F8631B"/>
  </w:style>
  <w:style w:type="numbering" w:customStyle="1" w:styleId="WWNum1953">
    <w:name w:val="WWNum1953"/>
    <w:basedOn w:val="NoList"/>
    <w:rsid w:val="00F8631B"/>
  </w:style>
  <w:style w:type="numbering" w:customStyle="1" w:styleId="WWNum2053">
    <w:name w:val="WWNum2053"/>
    <w:basedOn w:val="NoList"/>
    <w:rsid w:val="00F8631B"/>
  </w:style>
  <w:style w:type="numbering" w:customStyle="1" w:styleId="WWNum2153">
    <w:name w:val="WWNum2153"/>
    <w:basedOn w:val="NoList"/>
    <w:rsid w:val="00F8631B"/>
  </w:style>
  <w:style w:type="numbering" w:customStyle="1" w:styleId="WWNum2353">
    <w:name w:val="WWNum2353"/>
    <w:basedOn w:val="NoList"/>
    <w:rsid w:val="00F8631B"/>
  </w:style>
  <w:style w:type="numbering" w:customStyle="1" w:styleId="WWNum2453">
    <w:name w:val="WWNum2453"/>
    <w:basedOn w:val="NoList"/>
    <w:rsid w:val="00F8631B"/>
  </w:style>
  <w:style w:type="numbering" w:customStyle="1" w:styleId="WWNum2553">
    <w:name w:val="WWNum2553"/>
    <w:basedOn w:val="NoList"/>
    <w:rsid w:val="00F8631B"/>
  </w:style>
  <w:style w:type="numbering" w:customStyle="1" w:styleId="WWNum2653">
    <w:name w:val="WWNum2653"/>
    <w:basedOn w:val="NoList"/>
    <w:rsid w:val="00F8631B"/>
  </w:style>
  <w:style w:type="numbering" w:customStyle="1" w:styleId="WWNum2753">
    <w:name w:val="WWNum2753"/>
    <w:basedOn w:val="NoList"/>
    <w:rsid w:val="00F8631B"/>
  </w:style>
  <w:style w:type="numbering" w:customStyle="1" w:styleId="WWNum2953">
    <w:name w:val="WWNum2953"/>
    <w:basedOn w:val="NoList"/>
    <w:rsid w:val="00F8631B"/>
  </w:style>
  <w:style w:type="numbering" w:customStyle="1" w:styleId="WWNum3153">
    <w:name w:val="WWNum3153"/>
    <w:basedOn w:val="NoList"/>
    <w:rsid w:val="00F8631B"/>
  </w:style>
  <w:style w:type="numbering" w:customStyle="1" w:styleId="WWNum3253">
    <w:name w:val="WWNum3253"/>
    <w:basedOn w:val="NoList"/>
    <w:rsid w:val="00F8631B"/>
  </w:style>
  <w:style w:type="numbering" w:customStyle="1" w:styleId="WWNum3353">
    <w:name w:val="WWNum3353"/>
    <w:basedOn w:val="NoList"/>
    <w:rsid w:val="00F8631B"/>
  </w:style>
  <w:style w:type="numbering" w:customStyle="1" w:styleId="WWNum3453">
    <w:name w:val="WWNum3453"/>
    <w:basedOn w:val="NoList"/>
    <w:rsid w:val="00F8631B"/>
  </w:style>
  <w:style w:type="numbering" w:customStyle="1" w:styleId="WWNum3553">
    <w:name w:val="WWNum3553"/>
    <w:basedOn w:val="NoList"/>
    <w:rsid w:val="00F8631B"/>
  </w:style>
  <w:style w:type="numbering" w:customStyle="1" w:styleId="WWNum3633">
    <w:name w:val="WWNum3633"/>
    <w:basedOn w:val="NoList"/>
    <w:rsid w:val="00F8631B"/>
  </w:style>
  <w:style w:type="numbering" w:customStyle="1" w:styleId="WWNum3753">
    <w:name w:val="WWNum3753"/>
    <w:basedOn w:val="NoList"/>
    <w:rsid w:val="00F8631B"/>
  </w:style>
  <w:style w:type="numbering" w:customStyle="1" w:styleId="WWNum3853">
    <w:name w:val="WWNum3853"/>
    <w:basedOn w:val="NoList"/>
    <w:rsid w:val="00F8631B"/>
  </w:style>
  <w:style w:type="numbering" w:customStyle="1" w:styleId="WWNum3953">
    <w:name w:val="WWNum3953"/>
    <w:basedOn w:val="NoList"/>
    <w:rsid w:val="00F8631B"/>
  </w:style>
  <w:style w:type="numbering" w:customStyle="1" w:styleId="WWNum4053">
    <w:name w:val="WWNum4053"/>
    <w:basedOn w:val="NoList"/>
    <w:rsid w:val="00F8631B"/>
  </w:style>
  <w:style w:type="numbering" w:customStyle="1" w:styleId="WWNum4133">
    <w:name w:val="WWNum4133"/>
    <w:basedOn w:val="NoList"/>
    <w:rsid w:val="00F8631B"/>
  </w:style>
  <w:style w:type="numbering" w:customStyle="1" w:styleId="WWNum4253">
    <w:name w:val="WWNum4253"/>
    <w:basedOn w:val="NoList"/>
    <w:rsid w:val="00F8631B"/>
  </w:style>
  <w:style w:type="numbering" w:customStyle="1" w:styleId="WWNum4453">
    <w:name w:val="WWNum4453"/>
    <w:basedOn w:val="NoList"/>
    <w:rsid w:val="00F8631B"/>
  </w:style>
  <w:style w:type="numbering" w:customStyle="1" w:styleId="WWNum4553">
    <w:name w:val="WWNum4553"/>
    <w:basedOn w:val="NoList"/>
    <w:rsid w:val="00F8631B"/>
  </w:style>
  <w:style w:type="numbering" w:customStyle="1" w:styleId="WWNum4653">
    <w:name w:val="WWNum4653"/>
    <w:basedOn w:val="NoList"/>
    <w:rsid w:val="00F8631B"/>
  </w:style>
  <w:style w:type="numbering" w:customStyle="1" w:styleId="WWNum4753">
    <w:name w:val="WWNum4753"/>
    <w:basedOn w:val="NoList"/>
    <w:rsid w:val="00F8631B"/>
  </w:style>
  <w:style w:type="numbering" w:customStyle="1" w:styleId="WWNum5153">
    <w:name w:val="WWNum5153"/>
    <w:basedOn w:val="NoList"/>
    <w:rsid w:val="00F8631B"/>
  </w:style>
  <w:style w:type="numbering" w:customStyle="1" w:styleId="WWNum5253">
    <w:name w:val="WWNum5253"/>
    <w:basedOn w:val="NoList"/>
    <w:rsid w:val="00F8631B"/>
  </w:style>
  <w:style w:type="numbering" w:customStyle="1" w:styleId="WWNum5453">
    <w:name w:val="WWNum5453"/>
    <w:basedOn w:val="NoList"/>
    <w:rsid w:val="00F8631B"/>
  </w:style>
  <w:style w:type="numbering" w:customStyle="1" w:styleId="WWNum5553">
    <w:name w:val="WWNum5553"/>
    <w:basedOn w:val="NoList"/>
    <w:rsid w:val="00F8631B"/>
  </w:style>
  <w:style w:type="numbering" w:customStyle="1" w:styleId="WWNum5753">
    <w:name w:val="WWNum5753"/>
    <w:basedOn w:val="NoList"/>
    <w:rsid w:val="00F8631B"/>
    <w:pPr>
      <w:numPr>
        <w:numId w:val="145"/>
      </w:numPr>
    </w:pPr>
  </w:style>
  <w:style w:type="numbering" w:customStyle="1" w:styleId="WWNum5853">
    <w:name w:val="WWNum5853"/>
    <w:basedOn w:val="NoList"/>
    <w:rsid w:val="00F8631B"/>
  </w:style>
  <w:style w:type="numbering" w:customStyle="1" w:styleId="WWNum6453">
    <w:name w:val="WWNum6453"/>
    <w:basedOn w:val="NoList"/>
    <w:rsid w:val="00F8631B"/>
  </w:style>
  <w:style w:type="numbering" w:customStyle="1" w:styleId="WWNum6553">
    <w:name w:val="WWNum6553"/>
    <w:basedOn w:val="NoList"/>
    <w:rsid w:val="00F8631B"/>
  </w:style>
  <w:style w:type="numbering" w:customStyle="1" w:styleId="WWNum6653">
    <w:name w:val="WWNum6653"/>
    <w:basedOn w:val="NoList"/>
    <w:rsid w:val="00F8631B"/>
  </w:style>
  <w:style w:type="numbering" w:customStyle="1" w:styleId="WWNum7354">
    <w:name w:val="WWNum7354"/>
    <w:basedOn w:val="NoList"/>
    <w:rsid w:val="00F8631B"/>
    <w:pPr>
      <w:numPr>
        <w:numId w:val="149"/>
      </w:numPr>
    </w:pPr>
  </w:style>
  <w:style w:type="numbering" w:customStyle="1" w:styleId="WWNum7453">
    <w:name w:val="WWNum7453"/>
    <w:basedOn w:val="NoList"/>
    <w:rsid w:val="00F8631B"/>
  </w:style>
  <w:style w:type="numbering" w:customStyle="1" w:styleId="WWNum7553">
    <w:name w:val="WWNum7553"/>
    <w:basedOn w:val="NoList"/>
    <w:rsid w:val="00F8631B"/>
  </w:style>
  <w:style w:type="numbering" w:customStyle="1" w:styleId="WWNum7663">
    <w:name w:val="WWNum7663"/>
    <w:basedOn w:val="NoList"/>
    <w:rsid w:val="00F8631B"/>
  </w:style>
  <w:style w:type="numbering" w:customStyle="1" w:styleId="WWNum7733">
    <w:name w:val="WWNum7733"/>
    <w:basedOn w:val="NoList"/>
    <w:rsid w:val="00F8631B"/>
  </w:style>
  <w:style w:type="numbering" w:customStyle="1" w:styleId="WWNum7853">
    <w:name w:val="WWNum7853"/>
    <w:basedOn w:val="NoList"/>
    <w:rsid w:val="00F8631B"/>
  </w:style>
  <w:style w:type="table" w:customStyle="1" w:styleId="LightList-Accent6153">
    <w:name w:val="Light List - Accent 615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120">
    <w:name w:val="WWNum120"/>
    <w:basedOn w:val="NoList"/>
    <w:rsid w:val="00F8631B"/>
  </w:style>
  <w:style w:type="numbering" w:customStyle="1" w:styleId="WWNum414">
    <w:name w:val="WWNum414"/>
    <w:basedOn w:val="NoList"/>
    <w:rsid w:val="00F8631B"/>
    <w:pPr>
      <w:numPr>
        <w:numId w:val="78"/>
      </w:numPr>
    </w:pPr>
  </w:style>
  <w:style w:type="numbering" w:customStyle="1" w:styleId="WWNum69">
    <w:name w:val="WWNum69"/>
    <w:basedOn w:val="NoList"/>
    <w:rsid w:val="00F8631B"/>
    <w:pPr>
      <w:numPr>
        <w:numId w:val="67"/>
      </w:numPr>
    </w:pPr>
  </w:style>
  <w:style w:type="numbering" w:customStyle="1" w:styleId="WWNum706">
    <w:name w:val="WWNum706"/>
    <w:basedOn w:val="NoList"/>
    <w:rsid w:val="00F8631B"/>
  </w:style>
  <w:style w:type="numbering" w:customStyle="1" w:styleId="WWNum86">
    <w:name w:val="WWNum86"/>
    <w:basedOn w:val="NoList"/>
    <w:rsid w:val="00F8631B"/>
    <w:pPr>
      <w:numPr>
        <w:numId w:val="74"/>
      </w:numPr>
    </w:pPr>
  </w:style>
  <w:style w:type="numbering" w:customStyle="1" w:styleId="WWNum96">
    <w:name w:val="WWNum96"/>
    <w:basedOn w:val="NoList"/>
    <w:rsid w:val="00F8631B"/>
    <w:pPr>
      <w:numPr>
        <w:numId w:val="72"/>
      </w:numPr>
    </w:pPr>
  </w:style>
  <w:style w:type="numbering" w:customStyle="1" w:styleId="WWNum108">
    <w:name w:val="WWNum108"/>
    <w:basedOn w:val="NoList"/>
    <w:rsid w:val="00F8631B"/>
  </w:style>
  <w:style w:type="numbering" w:customStyle="1" w:styleId="WWNum1110">
    <w:name w:val="WWNum1110"/>
    <w:basedOn w:val="NoList"/>
    <w:rsid w:val="00F8631B"/>
  </w:style>
  <w:style w:type="numbering" w:customStyle="1" w:styleId="WWNum126">
    <w:name w:val="WWNum126"/>
    <w:basedOn w:val="NoList"/>
    <w:rsid w:val="00F8631B"/>
  </w:style>
  <w:style w:type="numbering" w:customStyle="1" w:styleId="WWNum136">
    <w:name w:val="WWNum136"/>
    <w:basedOn w:val="NoList"/>
    <w:rsid w:val="00F8631B"/>
  </w:style>
  <w:style w:type="numbering" w:customStyle="1" w:styleId="WWNum146">
    <w:name w:val="WWNum146"/>
    <w:basedOn w:val="NoList"/>
    <w:rsid w:val="00F8631B"/>
    <w:pPr>
      <w:numPr>
        <w:numId w:val="142"/>
      </w:numPr>
    </w:pPr>
  </w:style>
  <w:style w:type="numbering" w:customStyle="1" w:styleId="WWNum156">
    <w:name w:val="WWNum156"/>
    <w:basedOn w:val="NoList"/>
    <w:rsid w:val="00F8631B"/>
  </w:style>
  <w:style w:type="numbering" w:customStyle="1" w:styleId="WWNum166">
    <w:name w:val="WWNum166"/>
    <w:basedOn w:val="NoList"/>
    <w:rsid w:val="00F8631B"/>
  </w:style>
  <w:style w:type="numbering" w:customStyle="1" w:styleId="WWNum176">
    <w:name w:val="WWNum176"/>
    <w:basedOn w:val="NoList"/>
    <w:rsid w:val="00F8631B"/>
  </w:style>
  <w:style w:type="numbering" w:customStyle="1" w:styleId="WWNum187">
    <w:name w:val="WWNum187"/>
    <w:basedOn w:val="NoList"/>
    <w:rsid w:val="00F8631B"/>
  </w:style>
  <w:style w:type="numbering" w:customStyle="1" w:styleId="WWNum196">
    <w:name w:val="WWNum196"/>
    <w:basedOn w:val="NoList"/>
    <w:rsid w:val="00F8631B"/>
  </w:style>
  <w:style w:type="numbering" w:customStyle="1" w:styleId="WWNum206">
    <w:name w:val="WWNum206"/>
    <w:basedOn w:val="NoList"/>
    <w:rsid w:val="00F8631B"/>
  </w:style>
  <w:style w:type="numbering" w:customStyle="1" w:styleId="WWNum216">
    <w:name w:val="WWNum216"/>
    <w:basedOn w:val="NoList"/>
    <w:rsid w:val="00F8631B"/>
    <w:pPr>
      <w:numPr>
        <w:numId w:val="75"/>
      </w:numPr>
    </w:pPr>
  </w:style>
  <w:style w:type="numbering" w:customStyle="1" w:styleId="WWNum767">
    <w:name w:val="WWNum767"/>
    <w:basedOn w:val="NoList"/>
    <w:rsid w:val="00F8631B"/>
  </w:style>
  <w:style w:type="numbering" w:customStyle="1" w:styleId="WWNum236">
    <w:name w:val="WWNum236"/>
    <w:basedOn w:val="NoList"/>
    <w:rsid w:val="00F8631B"/>
  </w:style>
  <w:style w:type="numbering" w:customStyle="1" w:styleId="WWNum246">
    <w:name w:val="WWNum246"/>
    <w:basedOn w:val="NoList"/>
    <w:rsid w:val="00F8631B"/>
  </w:style>
  <w:style w:type="numbering" w:customStyle="1" w:styleId="WWNum256">
    <w:name w:val="WWNum256"/>
    <w:basedOn w:val="NoList"/>
    <w:rsid w:val="00F8631B"/>
  </w:style>
  <w:style w:type="numbering" w:customStyle="1" w:styleId="WWNum266">
    <w:name w:val="WWNum266"/>
    <w:basedOn w:val="NoList"/>
    <w:rsid w:val="00F8631B"/>
  </w:style>
  <w:style w:type="numbering" w:customStyle="1" w:styleId="WWNum2710">
    <w:name w:val="WWNum2710"/>
    <w:basedOn w:val="NoList"/>
    <w:rsid w:val="00F8631B"/>
  </w:style>
  <w:style w:type="numbering" w:customStyle="1" w:styleId="WWNum299">
    <w:name w:val="WWNum299"/>
    <w:basedOn w:val="NoList"/>
    <w:rsid w:val="00F8631B"/>
  </w:style>
  <w:style w:type="numbering" w:customStyle="1" w:styleId="WWNum316">
    <w:name w:val="WWNum316"/>
    <w:basedOn w:val="NoList"/>
    <w:rsid w:val="00F8631B"/>
  </w:style>
  <w:style w:type="numbering" w:customStyle="1" w:styleId="WWNum326">
    <w:name w:val="WWNum326"/>
    <w:basedOn w:val="NoList"/>
    <w:rsid w:val="00F8631B"/>
  </w:style>
  <w:style w:type="numbering" w:customStyle="1" w:styleId="WWNum336">
    <w:name w:val="WWNum336"/>
    <w:basedOn w:val="NoList"/>
    <w:rsid w:val="00F8631B"/>
  </w:style>
  <w:style w:type="numbering" w:customStyle="1" w:styleId="WWNum346">
    <w:name w:val="WWNum346"/>
    <w:basedOn w:val="NoList"/>
    <w:rsid w:val="00F8631B"/>
  </w:style>
  <w:style w:type="numbering" w:customStyle="1" w:styleId="WWNum356">
    <w:name w:val="WWNum356"/>
    <w:basedOn w:val="NoList"/>
    <w:rsid w:val="00F8631B"/>
  </w:style>
  <w:style w:type="numbering" w:customStyle="1" w:styleId="WWNum364">
    <w:name w:val="WWNum364"/>
    <w:basedOn w:val="NoList"/>
    <w:rsid w:val="00F8631B"/>
    <w:pPr>
      <w:numPr>
        <w:numId w:val="79"/>
      </w:numPr>
    </w:pPr>
  </w:style>
  <w:style w:type="numbering" w:customStyle="1" w:styleId="WWNum376">
    <w:name w:val="WWNum376"/>
    <w:basedOn w:val="NoList"/>
    <w:rsid w:val="00F8631B"/>
  </w:style>
  <w:style w:type="numbering" w:customStyle="1" w:styleId="WWNum386">
    <w:name w:val="WWNum386"/>
    <w:basedOn w:val="NoList"/>
    <w:rsid w:val="00F8631B"/>
  </w:style>
  <w:style w:type="numbering" w:customStyle="1" w:styleId="WWNum396">
    <w:name w:val="WWNum396"/>
    <w:basedOn w:val="NoList"/>
    <w:rsid w:val="00F8631B"/>
  </w:style>
  <w:style w:type="numbering" w:customStyle="1" w:styleId="WWNum406">
    <w:name w:val="WWNum406"/>
    <w:basedOn w:val="NoList"/>
    <w:rsid w:val="00F8631B"/>
    <w:pPr>
      <w:numPr>
        <w:numId w:val="69"/>
      </w:numPr>
    </w:pPr>
  </w:style>
  <w:style w:type="numbering" w:customStyle="1" w:styleId="WWNum415">
    <w:name w:val="WWNum415"/>
    <w:basedOn w:val="NoList"/>
    <w:rsid w:val="00F8631B"/>
    <w:pPr>
      <w:numPr>
        <w:numId w:val="81"/>
      </w:numPr>
    </w:pPr>
  </w:style>
  <w:style w:type="numbering" w:customStyle="1" w:styleId="WWNum774">
    <w:name w:val="WWNum774"/>
    <w:basedOn w:val="NoList"/>
    <w:rsid w:val="00F8631B"/>
    <w:pPr>
      <w:numPr>
        <w:numId w:val="148"/>
      </w:numPr>
    </w:pPr>
  </w:style>
  <w:style w:type="numbering" w:customStyle="1" w:styleId="WWNum516">
    <w:name w:val="WWNum516"/>
    <w:basedOn w:val="NoList"/>
    <w:rsid w:val="00F8631B"/>
  </w:style>
  <w:style w:type="numbering" w:customStyle="1" w:styleId="WWNum526">
    <w:name w:val="WWNum526"/>
    <w:basedOn w:val="NoList"/>
    <w:rsid w:val="00F8631B"/>
    <w:pPr>
      <w:numPr>
        <w:numId w:val="77"/>
      </w:numPr>
    </w:pPr>
  </w:style>
  <w:style w:type="numbering" w:customStyle="1" w:styleId="WWNum659">
    <w:name w:val="WWNum659"/>
    <w:basedOn w:val="NoList"/>
    <w:rsid w:val="00F8631B"/>
    <w:pPr>
      <w:numPr>
        <w:numId w:val="82"/>
      </w:numPr>
    </w:pPr>
  </w:style>
  <w:style w:type="numbering" w:customStyle="1" w:styleId="WWNum669">
    <w:name w:val="WWNum669"/>
    <w:basedOn w:val="NoList"/>
    <w:rsid w:val="00F8631B"/>
    <w:pPr>
      <w:numPr>
        <w:numId w:val="80"/>
      </w:numPr>
    </w:pPr>
  </w:style>
  <w:style w:type="numbering" w:customStyle="1" w:styleId="WWNum786">
    <w:name w:val="WWNum786"/>
    <w:basedOn w:val="NoList"/>
    <w:rsid w:val="00F8631B"/>
    <w:pPr>
      <w:numPr>
        <w:numId w:val="70"/>
      </w:numPr>
    </w:pPr>
  </w:style>
  <w:style w:type="numbering" w:customStyle="1" w:styleId="WWNum546">
    <w:name w:val="WWNum546"/>
    <w:basedOn w:val="NoList"/>
    <w:rsid w:val="00F8631B"/>
    <w:pPr>
      <w:numPr>
        <w:numId w:val="66"/>
      </w:numPr>
    </w:pPr>
  </w:style>
  <w:style w:type="numbering" w:customStyle="1" w:styleId="WWNum556">
    <w:name w:val="WWNum556"/>
    <w:basedOn w:val="NoList"/>
    <w:rsid w:val="00F8631B"/>
    <w:pPr>
      <w:numPr>
        <w:numId w:val="141"/>
      </w:numPr>
    </w:pPr>
  </w:style>
  <w:style w:type="numbering" w:customStyle="1" w:styleId="WWNum756">
    <w:name w:val="WWNum756"/>
    <w:basedOn w:val="NoList"/>
    <w:rsid w:val="00F8631B"/>
  </w:style>
  <w:style w:type="numbering" w:customStyle="1" w:styleId="WWNum579">
    <w:name w:val="WWNum579"/>
    <w:basedOn w:val="NoList"/>
    <w:rsid w:val="00F8631B"/>
    <w:pPr>
      <w:numPr>
        <w:numId w:val="68"/>
      </w:numPr>
    </w:pPr>
  </w:style>
  <w:style w:type="numbering" w:customStyle="1" w:styleId="WWNum586">
    <w:name w:val="WWNum586"/>
    <w:basedOn w:val="NoList"/>
    <w:rsid w:val="00F8631B"/>
  </w:style>
  <w:style w:type="numbering" w:customStyle="1" w:styleId="WWNum646">
    <w:name w:val="WWNum646"/>
    <w:basedOn w:val="NoList"/>
    <w:rsid w:val="00F8631B"/>
    <w:pPr>
      <w:numPr>
        <w:numId w:val="73"/>
      </w:numPr>
    </w:pPr>
  </w:style>
  <w:style w:type="numbering" w:customStyle="1" w:styleId="WWNum109">
    <w:name w:val="WWNum109"/>
    <w:basedOn w:val="NoList"/>
    <w:rsid w:val="00F8631B"/>
  </w:style>
  <w:style w:type="table" w:customStyle="1" w:styleId="LightList-Accent625">
    <w:name w:val="Light List - Accent 625"/>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11113">
    <w:name w:val="1 / 1.1 / 1.1.13"/>
    <w:basedOn w:val="NoList"/>
    <w:next w:val="111111"/>
    <w:rsid w:val="00F8631B"/>
  </w:style>
  <w:style w:type="table" w:customStyle="1" w:styleId="LightList-Accent6115">
    <w:name w:val="Light List - Accent 6115"/>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6">
    <w:name w:val="Light List - Accent 626"/>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6">
    <w:name w:val="Light List - Accent 6116"/>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4">
    <w:name w:val="Light List - Accent 621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4">
    <w:name w:val="Light List - Accent 6111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4">
    <w:name w:val="Light List - Accent 63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4">
    <w:name w:val="Light List - Accent 612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4">
    <w:name w:val="Light List - Accent 64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4">
    <w:name w:val="Light List - Accent 613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54">
    <w:name w:val="Light List - Accent 65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4">
    <w:name w:val="Light List - Accent 66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4">
    <w:name w:val="Light List - Accent 614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4">
    <w:name w:val="Light List - Accent 67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1124">
    <w:name w:val="WWNum1124"/>
    <w:basedOn w:val="NoList"/>
    <w:rsid w:val="00F8631B"/>
  </w:style>
  <w:style w:type="numbering" w:customStyle="1" w:styleId="WWNum1424">
    <w:name w:val="WWNum1424"/>
    <w:basedOn w:val="NoList"/>
    <w:rsid w:val="00F8631B"/>
  </w:style>
  <w:style w:type="numbering" w:customStyle="1" w:styleId="WWNum2124">
    <w:name w:val="WWNum2124"/>
    <w:basedOn w:val="NoList"/>
    <w:rsid w:val="00F8631B"/>
  </w:style>
  <w:style w:type="table" w:customStyle="1" w:styleId="LightList-Accent684">
    <w:name w:val="Light List - Accent 68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94">
    <w:name w:val="Light List - Accent 69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5444">
    <w:name w:val="WWNum5444"/>
    <w:basedOn w:val="NoList"/>
    <w:rsid w:val="00F8631B"/>
  </w:style>
  <w:style w:type="table" w:customStyle="1" w:styleId="LightList-Accent6104">
    <w:name w:val="Light List - Accent 610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1184">
    <w:name w:val="WWNum1184"/>
    <w:basedOn w:val="NoList"/>
    <w:rsid w:val="00F8631B"/>
  </w:style>
  <w:style w:type="numbering" w:customStyle="1" w:styleId="WWNum4104">
    <w:name w:val="WWNum4104"/>
    <w:basedOn w:val="NoList"/>
    <w:rsid w:val="00F8631B"/>
  </w:style>
  <w:style w:type="numbering" w:customStyle="1" w:styleId="WWNum684">
    <w:name w:val="WWNum684"/>
    <w:basedOn w:val="NoList"/>
    <w:rsid w:val="00F8631B"/>
  </w:style>
  <w:style w:type="numbering" w:customStyle="1" w:styleId="WWNum854">
    <w:name w:val="WWNum854"/>
    <w:basedOn w:val="NoList"/>
    <w:rsid w:val="00F8631B"/>
  </w:style>
  <w:style w:type="numbering" w:customStyle="1" w:styleId="WWNum954">
    <w:name w:val="WWNum954"/>
    <w:basedOn w:val="NoList"/>
    <w:rsid w:val="00F8631B"/>
  </w:style>
  <w:style w:type="numbering" w:customStyle="1" w:styleId="WWNum1354">
    <w:name w:val="WWNum1354"/>
    <w:basedOn w:val="NoList"/>
    <w:rsid w:val="00F8631B"/>
  </w:style>
  <w:style w:type="numbering" w:customStyle="1" w:styleId="WWNum1454">
    <w:name w:val="WWNum1454"/>
    <w:basedOn w:val="NoList"/>
    <w:rsid w:val="00F8631B"/>
  </w:style>
  <w:style w:type="numbering" w:customStyle="1" w:styleId="WWNum1554">
    <w:name w:val="WWNum1554"/>
    <w:basedOn w:val="NoList"/>
    <w:rsid w:val="00F8631B"/>
  </w:style>
  <w:style w:type="numbering" w:customStyle="1" w:styleId="WWNum1654">
    <w:name w:val="WWNum1654"/>
    <w:basedOn w:val="NoList"/>
    <w:rsid w:val="00F8631B"/>
  </w:style>
  <w:style w:type="numbering" w:customStyle="1" w:styleId="WWNum1754">
    <w:name w:val="WWNum1754"/>
    <w:basedOn w:val="NoList"/>
    <w:rsid w:val="00F8631B"/>
  </w:style>
  <w:style w:type="numbering" w:customStyle="1" w:styleId="WWNum1864">
    <w:name w:val="WWNum1864"/>
    <w:basedOn w:val="NoList"/>
    <w:rsid w:val="00F8631B"/>
  </w:style>
  <w:style w:type="numbering" w:customStyle="1" w:styleId="WWNum1954">
    <w:name w:val="WWNum1954"/>
    <w:basedOn w:val="NoList"/>
    <w:rsid w:val="00F8631B"/>
  </w:style>
  <w:style w:type="numbering" w:customStyle="1" w:styleId="WWNum2054">
    <w:name w:val="WWNum2054"/>
    <w:basedOn w:val="NoList"/>
    <w:rsid w:val="00F8631B"/>
  </w:style>
  <w:style w:type="numbering" w:customStyle="1" w:styleId="WWNum2154">
    <w:name w:val="WWNum2154"/>
    <w:basedOn w:val="NoList"/>
    <w:rsid w:val="00F8631B"/>
  </w:style>
  <w:style w:type="numbering" w:customStyle="1" w:styleId="WWNum2354">
    <w:name w:val="WWNum2354"/>
    <w:basedOn w:val="NoList"/>
    <w:rsid w:val="00F8631B"/>
  </w:style>
  <w:style w:type="numbering" w:customStyle="1" w:styleId="WWNum2454">
    <w:name w:val="WWNum2454"/>
    <w:basedOn w:val="NoList"/>
    <w:rsid w:val="00F8631B"/>
  </w:style>
  <w:style w:type="numbering" w:customStyle="1" w:styleId="WWNum2554">
    <w:name w:val="WWNum2554"/>
    <w:basedOn w:val="NoList"/>
    <w:rsid w:val="00F8631B"/>
  </w:style>
  <w:style w:type="numbering" w:customStyle="1" w:styleId="WWNum2654">
    <w:name w:val="WWNum2654"/>
    <w:basedOn w:val="NoList"/>
    <w:rsid w:val="00F8631B"/>
  </w:style>
  <w:style w:type="numbering" w:customStyle="1" w:styleId="WWNum2754">
    <w:name w:val="WWNum2754"/>
    <w:basedOn w:val="NoList"/>
    <w:rsid w:val="00F8631B"/>
  </w:style>
  <w:style w:type="numbering" w:customStyle="1" w:styleId="WWNum2855">
    <w:name w:val="WWNum2855"/>
    <w:basedOn w:val="NoList"/>
    <w:rsid w:val="00F8631B"/>
  </w:style>
  <w:style w:type="numbering" w:customStyle="1" w:styleId="WWNum2954">
    <w:name w:val="WWNum2954"/>
    <w:basedOn w:val="NoList"/>
    <w:rsid w:val="00F8631B"/>
  </w:style>
  <w:style w:type="numbering" w:customStyle="1" w:styleId="WWNum3054">
    <w:name w:val="WWNum3054"/>
    <w:basedOn w:val="NoList"/>
    <w:rsid w:val="00F8631B"/>
  </w:style>
  <w:style w:type="numbering" w:customStyle="1" w:styleId="WWNum3154">
    <w:name w:val="WWNum3154"/>
    <w:basedOn w:val="NoList"/>
    <w:rsid w:val="00F8631B"/>
  </w:style>
  <w:style w:type="numbering" w:customStyle="1" w:styleId="WWNum3254">
    <w:name w:val="WWNum3254"/>
    <w:basedOn w:val="NoList"/>
    <w:rsid w:val="00F8631B"/>
  </w:style>
  <w:style w:type="numbering" w:customStyle="1" w:styleId="WWNum3354">
    <w:name w:val="WWNum3354"/>
    <w:basedOn w:val="NoList"/>
    <w:rsid w:val="00F8631B"/>
  </w:style>
  <w:style w:type="numbering" w:customStyle="1" w:styleId="WWNum3454">
    <w:name w:val="WWNum3454"/>
    <w:basedOn w:val="NoList"/>
    <w:rsid w:val="00F8631B"/>
  </w:style>
  <w:style w:type="numbering" w:customStyle="1" w:styleId="WWNum3554">
    <w:name w:val="WWNum3554"/>
    <w:basedOn w:val="NoList"/>
    <w:rsid w:val="00F8631B"/>
  </w:style>
  <w:style w:type="numbering" w:customStyle="1" w:styleId="WWNum3634">
    <w:name w:val="WWNum3634"/>
    <w:basedOn w:val="NoList"/>
    <w:rsid w:val="00F8631B"/>
  </w:style>
  <w:style w:type="numbering" w:customStyle="1" w:styleId="WWNum3754">
    <w:name w:val="WWNum3754"/>
    <w:basedOn w:val="NoList"/>
    <w:rsid w:val="00F8631B"/>
  </w:style>
  <w:style w:type="numbering" w:customStyle="1" w:styleId="WWNum3854">
    <w:name w:val="WWNum3854"/>
    <w:basedOn w:val="NoList"/>
    <w:rsid w:val="00F8631B"/>
  </w:style>
  <w:style w:type="numbering" w:customStyle="1" w:styleId="WWNum3954">
    <w:name w:val="WWNum3954"/>
    <w:basedOn w:val="NoList"/>
    <w:rsid w:val="00F8631B"/>
  </w:style>
  <w:style w:type="numbering" w:customStyle="1" w:styleId="WWNum4054">
    <w:name w:val="WWNum4054"/>
    <w:basedOn w:val="NoList"/>
    <w:rsid w:val="00F8631B"/>
  </w:style>
  <w:style w:type="numbering" w:customStyle="1" w:styleId="WWNum4134">
    <w:name w:val="WWNum4134"/>
    <w:basedOn w:val="NoList"/>
    <w:rsid w:val="00F8631B"/>
  </w:style>
  <w:style w:type="numbering" w:customStyle="1" w:styleId="WWNum4254">
    <w:name w:val="WWNum4254"/>
    <w:basedOn w:val="NoList"/>
    <w:rsid w:val="00F8631B"/>
  </w:style>
  <w:style w:type="numbering" w:customStyle="1" w:styleId="WWNum4354">
    <w:name w:val="WWNum4354"/>
    <w:basedOn w:val="NoList"/>
    <w:rsid w:val="00F8631B"/>
  </w:style>
  <w:style w:type="numbering" w:customStyle="1" w:styleId="WWNum4454">
    <w:name w:val="WWNum4454"/>
    <w:basedOn w:val="NoList"/>
    <w:rsid w:val="00F8631B"/>
  </w:style>
  <w:style w:type="numbering" w:customStyle="1" w:styleId="WWNum4554">
    <w:name w:val="WWNum4554"/>
    <w:basedOn w:val="NoList"/>
    <w:rsid w:val="00F8631B"/>
  </w:style>
  <w:style w:type="numbering" w:customStyle="1" w:styleId="WWNum4654">
    <w:name w:val="WWNum4654"/>
    <w:basedOn w:val="NoList"/>
    <w:rsid w:val="00F8631B"/>
  </w:style>
  <w:style w:type="numbering" w:customStyle="1" w:styleId="WWNum4754">
    <w:name w:val="WWNum4754"/>
    <w:basedOn w:val="NoList"/>
    <w:rsid w:val="00F8631B"/>
  </w:style>
  <w:style w:type="numbering" w:customStyle="1" w:styleId="WWNum5154">
    <w:name w:val="WWNum5154"/>
    <w:basedOn w:val="NoList"/>
    <w:rsid w:val="00F8631B"/>
  </w:style>
  <w:style w:type="numbering" w:customStyle="1" w:styleId="WWNum5254">
    <w:name w:val="WWNum5254"/>
    <w:basedOn w:val="NoList"/>
    <w:rsid w:val="00F8631B"/>
  </w:style>
  <w:style w:type="numbering" w:customStyle="1" w:styleId="WWNum5454">
    <w:name w:val="WWNum5454"/>
    <w:basedOn w:val="NoList"/>
    <w:rsid w:val="00F8631B"/>
  </w:style>
  <w:style w:type="numbering" w:customStyle="1" w:styleId="WWNum5554">
    <w:name w:val="WWNum5554"/>
    <w:basedOn w:val="NoList"/>
    <w:rsid w:val="00F8631B"/>
  </w:style>
  <w:style w:type="numbering" w:customStyle="1" w:styleId="WWNum5754">
    <w:name w:val="WWNum5754"/>
    <w:basedOn w:val="NoList"/>
    <w:rsid w:val="00F8631B"/>
  </w:style>
  <w:style w:type="numbering" w:customStyle="1" w:styleId="WWNum5854">
    <w:name w:val="WWNum5854"/>
    <w:basedOn w:val="NoList"/>
    <w:rsid w:val="00F8631B"/>
  </w:style>
  <w:style w:type="numbering" w:customStyle="1" w:styleId="WWNum6454">
    <w:name w:val="WWNum6454"/>
    <w:basedOn w:val="NoList"/>
    <w:rsid w:val="00F8631B"/>
  </w:style>
  <w:style w:type="numbering" w:customStyle="1" w:styleId="WWNum6554">
    <w:name w:val="WWNum6554"/>
    <w:basedOn w:val="NoList"/>
    <w:rsid w:val="00F8631B"/>
  </w:style>
  <w:style w:type="numbering" w:customStyle="1" w:styleId="WWNum6654">
    <w:name w:val="WWNum6654"/>
    <w:basedOn w:val="NoList"/>
    <w:rsid w:val="00F8631B"/>
  </w:style>
  <w:style w:type="numbering" w:customStyle="1" w:styleId="WWNum7454">
    <w:name w:val="WWNum7454"/>
    <w:basedOn w:val="NoList"/>
    <w:rsid w:val="00F8631B"/>
  </w:style>
  <w:style w:type="numbering" w:customStyle="1" w:styleId="WWNum7554">
    <w:name w:val="WWNum7554"/>
    <w:basedOn w:val="NoList"/>
    <w:rsid w:val="00F8631B"/>
  </w:style>
  <w:style w:type="numbering" w:customStyle="1" w:styleId="WWNum7664">
    <w:name w:val="WWNum7664"/>
    <w:basedOn w:val="NoList"/>
    <w:rsid w:val="00F8631B"/>
  </w:style>
  <w:style w:type="numbering" w:customStyle="1" w:styleId="WWNum7734">
    <w:name w:val="WWNum7734"/>
    <w:basedOn w:val="NoList"/>
    <w:rsid w:val="00F8631B"/>
  </w:style>
  <w:style w:type="numbering" w:customStyle="1" w:styleId="WWNum7854">
    <w:name w:val="WWNum7854"/>
    <w:basedOn w:val="NoList"/>
    <w:rsid w:val="00F8631B"/>
  </w:style>
  <w:style w:type="table" w:customStyle="1" w:styleId="LightList-Accent6154">
    <w:name w:val="Light List - Accent 615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TableGrid5">
    <w:name w:val="Table Grid5"/>
    <w:basedOn w:val="TableNormal"/>
    <w:next w:val="TableGrid"/>
    <w:uiPriority w:val="59"/>
    <w:rsid w:val="00F8631B"/>
    <w:pPr>
      <w:spacing w:after="0" w:line="240" w:lineRule="auto"/>
    </w:pPr>
    <w:rPr>
      <w:rFonts w:ascii="Calibri" w:eastAsia="Times New Roman" w:hAnsi="Calibri" w:cs="Times New Roman"/>
      <w:kern w:val="0"/>
      <w:sz w:val="20"/>
      <w:szCs w:val="20"/>
      <w:lang w:val="en-IN" w:eastAsia="en-IN"/>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Num1010">
    <w:name w:val="WWNum1010"/>
    <w:basedOn w:val="NoList"/>
    <w:rsid w:val="00F8631B"/>
  </w:style>
  <w:style w:type="table" w:customStyle="1" w:styleId="LightList-Accent627">
    <w:name w:val="Light List - Accent 627"/>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11114">
    <w:name w:val="1 / 1.1 / 1.1.14"/>
    <w:basedOn w:val="NoList"/>
    <w:next w:val="111111"/>
    <w:rsid w:val="00F8631B"/>
    <w:pPr>
      <w:numPr>
        <w:numId w:val="55"/>
      </w:numPr>
    </w:pPr>
  </w:style>
  <w:style w:type="table" w:customStyle="1" w:styleId="LightList-Accent6117">
    <w:name w:val="Light List - Accent 6117"/>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8">
    <w:name w:val="Light List - Accent 628"/>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8">
    <w:name w:val="Light List - Accent 6118"/>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5">
    <w:name w:val="Light List - Accent 6215"/>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5">
    <w:name w:val="Light List - Accent 61115"/>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5">
    <w:name w:val="Light List - Accent 635"/>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5">
    <w:name w:val="Light List - Accent 6125"/>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5">
    <w:name w:val="Light List - Accent 645"/>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5">
    <w:name w:val="Light List - Accent 6135"/>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55">
    <w:name w:val="Light List - Accent 655"/>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5">
    <w:name w:val="Light List - Accent 665"/>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5">
    <w:name w:val="Light List - Accent 6145"/>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5">
    <w:name w:val="Light List - Accent 675"/>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1125">
    <w:name w:val="WWNum1125"/>
    <w:basedOn w:val="NoList"/>
    <w:rsid w:val="00F8631B"/>
    <w:pPr>
      <w:numPr>
        <w:numId w:val="52"/>
      </w:numPr>
    </w:pPr>
  </w:style>
  <w:style w:type="numbering" w:customStyle="1" w:styleId="WWNum1425">
    <w:name w:val="WWNum1425"/>
    <w:basedOn w:val="NoList"/>
    <w:rsid w:val="00F8631B"/>
    <w:pPr>
      <w:numPr>
        <w:numId w:val="54"/>
      </w:numPr>
    </w:pPr>
  </w:style>
  <w:style w:type="numbering" w:customStyle="1" w:styleId="WWNum2125">
    <w:name w:val="WWNum2125"/>
    <w:basedOn w:val="NoList"/>
    <w:rsid w:val="00F8631B"/>
    <w:pPr>
      <w:numPr>
        <w:numId w:val="53"/>
      </w:numPr>
    </w:pPr>
  </w:style>
  <w:style w:type="table" w:customStyle="1" w:styleId="LightList-Accent685">
    <w:name w:val="Light List - Accent 685"/>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95">
    <w:name w:val="Light List - Accent 695"/>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5445">
    <w:name w:val="WWNum5445"/>
    <w:basedOn w:val="NoList"/>
    <w:rsid w:val="00F8631B"/>
    <w:pPr>
      <w:numPr>
        <w:numId w:val="143"/>
      </w:numPr>
    </w:pPr>
  </w:style>
  <w:style w:type="table" w:customStyle="1" w:styleId="LightList-Accent6105">
    <w:name w:val="Light List - Accent 6105"/>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1185">
    <w:name w:val="WWNum1185"/>
    <w:basedOn w:val="NoList"/>
    <w:rsid w:val="00F8631B"/>
  </w:style>
  <w:style w:type="numbering" w:customStyle="1" w:styleId="WWNum4105">
    <w:name w:val="WWNum4105"/>
    <w:basedOn w:val="NoList"/>
    <w:rsid w:val="00F8631B"/>
  </w:style>
  <w:style w:type="numbering" w:customStyle="1" w:styleId="WWNum685">
    <w:name w:val="WWNum685"/>
    <w:basedOn w:val="NoList"/>
    <w:rsid w:val="00F8631B"/>
  </w:style>
  <w:style w:type="numbering" w:customStyle="1" w:styleId="WWNum855">
    <w:name w:val="WWNum855"/>
    <w:basedOn w:val="NoList"/>
    <w:rsid w:val="00F8631B"/>
  </w:style>
  <w:style w:type="numbering" w:customStyle="1" w:styleId="WWNum955">
    <w:name w:val="WWNum955"/>
    <w:basedOn w:val="NoList"/>
    <w:rsid w:val="00F8631B"/>
  </w:style>
  <w:style w:type="numbering" w:customStyle="1" w:styleId="WWNum1355">
    <w:name w:val="WWNum1355"/>
    <w:basedOn w:val="NoList"/>
    <w:rsid w:val="00F8631B"/>
  </w:style>
  <w:style w:type="numbering" w:customStyle="1" w:styleId="WWNum1455">
    <w:name w:val="WWNum1455"/>
    <w:basedOn w:val="NoList"/>
    <w:rsid w:val="00F8631B"/>
  </w:style>
  <w:style w:type="numbering" w:customStyle="1" w:styleId="WWNum1555">
    <w:name w:val="WWNum1555"/>
    <w:basedOn w:val="NoList"/>
    <w:rsid w:val="00F8631B"/>
  </w:style>
  <w:style w:type="numbering" w:customStyle="1" w:styleId="WWNum1655">
    <w:name w:val="WWNum1655"/>
    <w:basedOn w:val="NoList"/>
    <w:rsid w:val="00F8631B"/>
  </w:style>
  <w:style w:type="numbering" w:customStyle="1" w:styleId="WWNum1755">
    <w:name w:val="WWNum1755"/>
    <w:basedOn w:val="NoList"/>
    <w:rsid w:val="00F8631B"/>
  </w:style>
  <w:style w:type="numbering" w:customStyle="1" w:styleId="WWNum1865">
    <w:name w:val="WWNum1865"/>
    <w:basedOn w:val="NoList"/>
    <w:rsid w:val="00F8631B"/>
  </w:style>
  <w:style w:type="numbering" w:customStyle="1" w:styleId="WWNum1955">
    <w:name w:val="WWNum1955"/>
    <w:basedOn w:val="NoList"/>
    <w:rsid w:val="00F8631B"/>
  </w:style>
  <w:style w:type="numbering" w:customStyle="1" w:styleId="WWNum2055">
    <w:name w:val="WWNum2055"/>
    <w:basedOn w:val="NoList"/>
    <w:rsid w:val="00F8631B"/>
  </w:style>
  <w:style w:type="numbering" w:customStyle="1" w:styleId="WWNum2155">
    <w:name w:val="WWNum2155"/>
    <w:basedOn w:val="NoList"/>
    <w:rsid w:val="00F8631B"/>
  </w:style>
  <w:style w:type="numbering" w:customStyle="1" w:styleId="WWNum2355">
    <w:name w:val="WWNum2355"/>
    <w:basedOn w:val="NoList"/>
    <w:rsid w:val="00F8631B"/>
  </w:style>
  <w:style w:type="numbering" w:customStyle="1" w:styleId="WWNum2455">
    <w:name w:val="WWNum2455"/>
    <w:basedOn w:val="NoList"/>
    <w:rsid w:val="00F8631B"/>
  </w:style>
  <w:style w:type="numbering" w:customStyle="1" w:styleId="WWNum2555">
    <w:name w:val="WWNum2555"/>
    <w:basedOn w:val="NoList"/>
    <w:rsid w:val="00F8631B"/>
  </w:style>
  <w:style w:type="numbering" w:customStyle="1" w:styleId="WWNum2655">
    <w:name w:val="WWNum2655"/>
    <w:basedOn w:val="NoList"/>
    <w:rsid w:val="00F8631B"/>
  </w:style>
  <w:style w:type="numbering" w:customStyle="1" w:styleId="WWNum2755">
    <w:name w:val="WWNum2755"/>
    <w:basedOn w:val="NoList"/>
    <w:rsid w:val="00F8631B"/>
  </w:style>
  <w:style w:type="numbering" w:customStyle="1" w:styleId="WWNum2856">
    <w:name w:val="WWNum2856"/>
    <w:basedOn w:val="NoList"/>
    <w:rsid w:val="00F8631B"/>
  </w:style>
  <w:style w:type="numbering" w:customStyle="1" w:styleId="WWNum2955">
    <w:name w:val="WWNum2955"/>
    <w:basedOn w:val="NoList"/>
    <w:rsid w:val="00F8631B"/>
  </w:style>
  <w:style w:type="numbering" w:customStyle="1" w:styleId="WWNum3055">
    <w:name w:val="WWNum3055"/>
    <w:basedOn w:val="NoList"/>
    <w:rsid w:val="00F8631B"/>
  </w:style>
  <w:style w:type="numbering" w:customStyle="1" w:styleId="WWNum3155">
    <w:name w:val="WWNum3155"/>
    <w:basedOn w:val="NoList"/>
    <w:rsid w:val="00F8631B"/>
  </w:style>
  <w:style w:type="numbering" w:customStyle="1" w:styleId="WWNum3255">
    <w:name w:val="WWNum3255"/>
    <w:basedOn w:val="NoList"/>
    <w:rsid w:val="00F8631B"/>
  </w:style>
  <w:style w:type="numbering" w:customStyle="1" w:styleId="WWNum3355">
    <w:name w:val="WWNum3355"/>
    <w:basedOn w:val="NoList"/>
    <w:rsid w:val="00F8631B"/>
  </w:style>
  <w:style w:type="numbering" w:customStyle="1" w:styleId="WWNum3455">
    <w:name w:val="WWNum3455"/>
    <w:basedOn w:val="NoList"/>
    <w:rsid w:val="00F8631B"/>
  </w:style>
  <w:style w:type="numbering" w:customStyle="1" w:styleId="WWNum3555">
    <w:name w:val="WWNum3555"/>
    <w:basedOn w:val="NoList"/>
    <w:rsid w:val="00F8631B"/>
  </w:style>
  <w:style w:type="numbering" w:customStyle="1" w:styleId="WWNum3635">
    <w:name w:val="WWNum3635"/>
    <w:basedOn w:val="NoList"/>
    <w:rsid w:val="00F8631B"/>
  </w:style>
  <w:style w:type="numbering" w:customStyle="1" w:styleId="WWNum3755">
    <w:name w:val="WWNum3755"/>
    <w:basedOn w:val="NoList"/>
    <w:rsid w:val="00F8631B"/>
  </w:style>
  <w:style w:type="numbering" w:customStyle="1" w:styleId="WWNum3855">
    <w:name w:val="WWNum3855"/>
    <w:basedOn w:val="NoList"/>
    <w:rsid w:val="00F8631B"/>
  </w:style>
  <w:style w:type="numbering" w:customStyle="1" w:styleId="WWNum3955">
    <w:name w:val="WWNum3955"/>
    <w:basedOn w:val="NoList"/>
    <w:rsid w:val="00F8631B"/>
  </w:style>
  <w:style w:type="numbering" w:customStyle="1" w:styleId="WWNum4055">
    <w:name w:val="WWNum4055"/>
    <w:basedOn w:val="NoList"/>
    <w:rsid w:val="00F8631B"/>
  </w:style>
  <w:style w:type="numbering" w:customStyle="1" w:styleId="WWNum4135">
    <w:name w:val="WWNum4135"/>
    <w:basedOn w:val="NoList"/>
    <w:rsid w:val="00F8631B"/>
  </w:style>
  <w:style w:type="numbering" w:customStyle="1" w:styleId="WWNum4255">
    <w:name w:val="WWNum4255"/>
    <w:basedOn w:val="NoList"/>
    <w:rsid w:val="00F8631B"/>
  </w:style>
  <w:style w:type="numbering" w:customStyle="1" w:styleId="WWNum4355">
    <w:name w:val="WWNum4355"/>
    <w:basedOn w:val="NoList"/>
    <w:rsid w:val="00F8631B"/>
  </w:style>
  <w:style w:type="numbering" w:customStyle="1" w:styleId="WWNum4455">
    <w:name w:val="WWNum4455"/>
    <w:basedOn w:val="NoList"/>
    <w:rsid w:val="00F8631B"/>
  </w:style>
  <w:style w:type="numbering" w:customStyle="1" w:styleId="WWNum4555">
    <w:name w:val="WWNum4555"/>
    <w:basedOn w:val="NoList"/>
    <w:rsid w:val="00F8631B"/>
  </w:style>
  <w:style w:type="numbering" w:customStyle="1" w:styleId="WWNum4655">
    <w:name w:val="WWNum4655"/>
    <w:basedOn w:val="NoList"/>
    <w:rsid w:val="00F8631B"/>
  </w:style>
  <w:style w:type="numbering" w:customStyle="1" w:styleId="WWNum4755">
    <w:name w:val="WWNum4755"/>
    <w:basedOn w:val="NoList"/>
    <w:rsid w:val="00F8631B"/>
  </w:style>
  <w:style w:type="numbering" w:customStyle="1" w:styleId="WWNum5155">
    <w:name w:val="WWNum5155"/>
    <w:basedOn w:val="NoList"/>
    <w:rsid w:val="00F8631B"/>
  </w:style>
  <w:style w:type="numbering" w:customStyle="1" w:styleId="WWNum5255">
    <w:name w:val="WWNum5255"/>
    <w:basedOn w:val="NoList"/>
    <w:rsid w:val="00F8631B"/>
  </w:style>
  <w:style w:type="numbering" w:customStyle="1" w:styleId="WWNum5455">
    <w:name w:val="WWNum5455"/>
    <w:basedOn w:val="NoList"/>
    <w:rsid w:val="00F8631B"/>
  </w:style>
  <w:style w:type="numbering" w:customStyle="1" w:styleId="WWNum5555">
    <w:name w:val="WWNum5555"/>
    <w:basedOn w:val="NoList"/>
    <w:rsid w:val="00F8631B"/>
  </w:style>
  <w:style w:type="numbering" w:customStyle="1" w:styleId="WWNum5755">
    <w:name w:val="WWNum5755"/>
    <w:basedOn w:val="NoList"/>
    <w:rsid w:val="00F8631B"/>
  </w:style>
  <w:style w:type="numbering" w:customStyle="1" w:styleId="WWNum5855">
    <w:name w:val="WWNum5855"/>
    <w:basedOn w:val="NoList"/>
    <w:rsid w:val="00F8631B"/>
  </w:style>
  <w:style w:type="numbering" w:customStyle="1" w:styleId="WWNum6455">
    <w:name w:val="WWNum6455"/>
    <w:basedOn w:val="NoList"/>
    <w:rsid w:val="00F8631B"/>
  </w:style>
  <w:style w:type="numbering" w:customStyle="1" w:styleId="WWNum6555">
    <w:name w:val="WWNum6555"/>
    <w:basedOn w:val="NoList"/>
    <w:rsid w:val="00F8631B"/>
  </w:style>
  <w:style w:type="numbering" w:customStyle="1" w:styleId="WWNum6655">
    <w:name w:val="WWNum6655"/>
    <w:basedOn w:val="NoList"/>
    <w:rsid w:val="00F8631B"/>
  </w:style>
  <w:style w:type="numbering" w:customStyle="1" w:styleId="WWNum7455">
    <w:name w:val="WWNum7455"/>
    <w:basedOn w:val="NoList"/>
    <w:rsid w:val="00F8631B"/>
    <w:pPr>
      <w:numPr>
        <w:numId w:val="104"/>
      </w:numPr>
    </w:pPr>
  </w:style>
  <w:style w:type="numbering" w:customStyle="1" w:styleId="WWNum7555">
    <w:name w:val="WWNum7555"/>
    <w:basedOn w:val="NoList"/>
    <w:rsid w:val="00F8631B"/>
    <w:pPr>
      <w:numPr>
        <w:numId w:val="103"/>
      </w:numPr>
    </w:pPr>
  </w:style>
  <w:style w:type="numbering" w:customStyle="1" w:styleId="WWNum7665">
    <w:name w:val="WWNum7665"/>
    <w:basedOn w:val="NoList"/>
    <w:rsid w:val="00F8631B"/>
    <w:pPr>
      <w:numPr>
        <w:numId w:val="144"/>
      </w:numPr>
    </w:pPr>
  </w:style>
  <w:style w:type="numbering" w:customStyle="1" w:styleId="WWNum7735">
    <w:name w:val="WWNum7735"/>
    <w:basedOn w:val="NoList"/>
    <w:rsid w:val="00F8631B"/>
    <w:pPr>
      <w:numPr>
        <w:numId w:val="51"/>
      </w:numPr>
    </w:pPr>
  </w:style>
  <w:style w:type="numbering" w:customStyle="1" w:styleId="WWNum7855">
    <w:name w:val="WWNum7855"/>
    <w:basedOn w:val="NoList"/>
    <w:rsid w:val="00F8631B"/>
  </w:style>
  <w:style w:type="table" w:customStyle="1" w:styleId="LightList-Accent6155">
    <w:name w:val="Light List - Accent 6155"/>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TableGrid6">
    <w:name w:val="Table Grid6"/>
    <w:basedOn w:val="TableNormal"/>
    <w:next w:val="TableGrid"/>
    <w:uiPriority w:val="59"/>
    <w:rsid w:val="00F8631B"/>
    <w:pPr>
      <w:spacing w:after="0" w:line="240" w:lineRule="auto"/>
    </w:pPr>
    <w:rPr>
      <w:rFonts w:ascii="Calibri" w:eastAsia="Times New Roman" w:hAnsi="Calibri" w:cs="Times New Roman"/>
      <w:kern w:val="0"/>
      <w:sz w:val="20"/>
      <w:szCs w:val="20"/>
      <w:lang w:val="en-IN" w:eastAsia="en-IN"/>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F8631B"/>
    <w:pPr>
      <w:spacing w:after="0" w:line="240" w:lineRule="auto"/>
    </w:pPr>
    <w:rPr>
      <w:rFonts w:ascii="Calibri" w:eastAsia="Times New Roman" w:hAnsi="Calibri" w:cs="Times New Roman"/>
      <w:kern w:val="0"/>
      <w:sz w:val="20"/>
      <w:szCs w:val="20"/>
      <w:lang w:val="en-IN" w:eastAsia="en-IN"/>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F8631B"/>
    <w:pPr>
      <w:spacing w:after="0" w:line="240" w:lineRule="auto"/>
    </w:pPr>
    <w:rPr>
      <w:rFonts w:ascii="Calibri" w:eastAsia="Times New Roman" w:hAnsi="Calibri" w:cs="Times New Roman"/>
      <w:kern w:val="0"/>
      <w:sz w:val="20"/>
      <w:szCs w:val="20"/>
      <w:lang w:val="en-IN" w:eastAsia="en-IN"/>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59"/>
    <w:rsid w:val="00F8631B"/>
    <w:pPr>
      <w:spacing w:after="0" w:line="240" w:lineRule="auto"/>
    </w:pPr>
    <w:rPr>
      <w:rFonts w:ascii="Calibri" w:eastAsia="Times New Roman" w:hAnsi="Calibri" w:cs="Times New Roman"/>
      <w:kern w:val="0"/>
      <w:sz w:val="20"/>
      <w:szCs w:val="20"/>
      <w:lang w:val="en-IN" w:eastAsia="en-IN"/>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0">
    <w:name w:val="Table Grid10"/>
    <w:basedOn w:val="TableNormal"/>
    <w:next w:val="TableGrid"/>
    <w:uiPriority w:val="59"/>
    <w:rsid w:val="00F8631B"/>
    <w:pPr>
      <w:spacing w:after="0" w:line="240" w:lineRule="auto"/>
    </w:pPr>
    <w:rPr>
      <w:rFonts w:ascii="Calibri" w:eastAsia="Times New Roman" w:hAnsi="Calibri" w:cs="Times New Roman"/>
      <w:kern w:val="0"/>
      <w:sz w:val="20"/>
      <w:szCs w:val="20"/>
      <w:lang w:val="en-IN" w:eastAsia="en-IN"/>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F8631B"/>
    <w:pPr>
      <w:spacing w:after="0" w:line="240" w:lineRule="auto"/>
    </w:pPr>
    <w:rPr>
      <w:rFonts w:ascii="Calibri" w:eastAsia="Times New Roman" w:hAnsi="Calibri" w:cs="Times New Roman"/>
      <w:kern w:val="0"/>
      <w:sz w:val="20"/>
      <w:szCs w:val="20"/>
      <w:lang w:val="en-IN" w:eastAsia="en-IN"/>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F8631B"/>
    <w:pPr>
      <w:spacing w:after="0" w:line="240" w:lineRule="auto"/>
    </w:pPr>
    <w:rPr>
      <w:rFonts w:ascii="Calibri" w:eastAsia="Times New Roman" w:hAnsi="Calibri" w:cs="Times New Roman"/>
      <w:kern w:val="0"/>
      <w:sz w:val="20"/>
      <w:szCs w:val="20"/>
      <w:lang w:val="en-IN" w:eastAsia="en-IN"/>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Num58551">
    <w:name w:val="WWNum58551"/>
    <w:basedOn w:val="NoList"/>
    <w:rsid w:val="00F8631B"/>
  </w:style>
  <w:style w:type="table" w:customStyle="1" w:styleId="LightList-Accent61043">
    <w:name w:val="Light List - Accent 6104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28542">
    <w:name w:val="WWNum28542"/>
    <w:basedOn w:val="NoList"/>
    <w:rsid w:val="00F8631B"/>
    <w:pPr>
      <w:numPr>
        <w:numId w:val="113"/>
      </w:numPr>
    </w:pPr>
  </w:style>
  <w:style w:type="numbering" w:customStyle="1" w:styleId="WWNum76651">
    <w:name w:val="WWNum76651"/>
    <w:basedOn w:val="NoList"/>
    <w:rsid w:val="00F8631B"/>
    <w:pPr>
      <w:numPr>
        <w:numId w:val="112"/>
      </w:numPr>
    </w:pPr>
  </w:style>
  <w:style w:type="paragraph" w:customStyle="1" w:styleId="BodyText41">
    <w:name w:val="Body Text41"/>
    <w:rsid w:val="00F8631B"/>
    <w:pPr>
      <w:autoSpaceDE w:val="0"/>
      <w:autoSpaceDN w:val="0"/>
      <w:adjustRightInd w:val="0"/>
      <w:spacing w:after="0" w:line="240" w:lineRule="auto"/>
      <w:ind w:firstLine="480"/>
    </w:pPr>
    <w:rPr>
      <w:rFonts w:ascii="Arial" w:eastAsia="MS Mincho" w:hAnsi="Arial" w:cs="Times New Roman"/>
      <w:color w:val="000000"/>
      <w:kern w:val="0"/>
      <w:sz w:val="20"/>
      <w:szCs w:val="24"/>
      <w14:ligatures w14:val="none"/>
    </w:rPr>
  </w:style>
  <w:style w:type="paragraph" w:customStyle="1" w:styleId="Title11">
    <w:name w:val="Title11"/>
    <w:basedOn w:val="Normal"/>
    <w:next w:val="BodyTextFirstIndent"/>
    <w:rsid w:val="00F8631B"/>
    <w:pPr>
      <w:keepNext/>
      <w:keepLines/>
      <w:spacing w:after="0" w:line="240" w:lineRule="auto"/>
      <w:jc w:val="center"/>
    </w:pPr>
    <w:rPr>
      <w:rFonts w:ascii="Times New Roman" w:eastAsia="MS Mincho" w:hAnsi="Times New Roman"/>
      <w:caps/>
      <w:szCs w:val="20"/>
    </w:rPr>
  </w:style>
  <w:style w:type="numbering" w:customStyle="1" w:styleId="WWNum10101">
    <w:name w:val="WWNum10101"/>
    <w:rsid w:val="00F8631B"/>
  </w:style>
  <w:style w:type="numbering" w:customStyle="1" w:styleId="WWNum10510">
    <w:name w:val="WWNum10510"/>
    <w:basedOn w:val="NoList"/>
    <w:rsid w:val="00F8631B"/>
    <w:pPr>
      <w:numPr>
        <w:numId w:val="105"/>
      </w:numPr>
    </w:pPr>
  </w:style>
  <w:style w:type="character" w:customStyle="1" w:styleId="CharAttribute26">
    <w:name w:val="CharAttribute26"/>
    <w:rsid w:val="00F8631B"/>
    <w:rPr>
      <w:rFonts w:ascii="Bookman Old Style" w:eastAsia="Times New Roman" w:hAnsi="Bookman Old Style" w:hint="default"/>
      <w:b/>
      <w:bCs w:val="0"/>
      <w:sz w:val="22"/>
      <w:u w:val="single"/>
    </w:rPr>
  </w:style>
  <w:style w:type="character" w:customStyle="1" w:styleId="normalbold0">
    <w:name w:val="normalbold"/>
    <w:basedOn w:val="DefaultParagraphFont"/>
    <w:rsid w:val="00F8631B"/>
  </w:style>
  <w:style w:type="character" w:customStyle="1" w:styleId="Title6">
    <w:name w:val="Title6"/>
    <w:basedOn w:val="DefaultParagraphFont"/>
    <w:rsid w:val="00F8631B"/>
  </w:style>
  <w:style w:type="numbering" w:customStyle="1" w:styleId="WWNum3925">
    <w:name w:val="WWNum3925"/>
    <w:basedOn w:val="NoList"/>
    <w:rsid w:val="00F8631B"/>
    <w:pPr>
      <w:numPr>
        <w:numId w:val="2"/>
      </w:numPr>
    </w:pPr>
  </w:style>
  <w:style w:type="numbering" w:customStyle="1" w:styleId="WWNum6510">
    <w:name w:val="WWNum6510"/>
    <w:basedOn w:val="NoList"/>
    <w:rsid w:val="00F8631B"/>
    <w:pPr>
      <w:numPr>
        <w:numId w:val="1"/>
      </w:numPr>
    </w:pPr>
  </w:style>
  <w:style w:type="numbering" w:customStyle="1" w:styleId="1111115">
    <w:name w:val="1 / 1.1 / 1.1.15"/>
    <w:basedOn w:val="NoList"/>
    <w:next w:val="111111"/>
    <w:rsid w:val="00F8631B"/>
    <w:pPr>
      <w:numPr>
        <w:numId w:val="114"/>
      </w:numPr>
    </w:pPr>
  </w:style>
  <w:style w:type="numbering" w:customStyle="1" w:styleId="NoList112">
    <w:name w:val="No List112"/>
    <w:next w:val="NoList"/>
    <w:uiPriority w:val="99"/>
    <w:semiHidden/>
    <w:unhideWhenUsed/>
    <w:rsid w:val="00F8631B"/>
  </w:style>
  <w:style w:type="numbering" w:customStyle="1" w:styleId="WWNum18111">
    <w:name w:val="WWNum18111"/>
    <w:basedOn w:val="NoList"/>
    <w:rsid w:val="00F8631B"/>
  </w:style>
  <w:style w:type="numbering" w:customStyle="1" w:styleId="NoList211">
    <w:name w:val="No List211"/>
    <w:next w:val="NoList"/>
    <w:uiPriority w:val="99"/>
    <w:semiHidden/>
    <w:unhideWhenUsed/>
    <w:rsid w:val="00F8631B"/>
  </w:style>
  <w:style w:type="numbering" w:customStyle="1" w:styleId="WWNum11011">
    <w:name w:val="WWNum11011"/>
    <w:basedOn w:val="NoList"/>
    <w:rsid w:val="00F8631B"/>
  </w:style>
  <w:style w:type="numbering" w:customStyle="1" w:styleId="WWNum4811">
    <w:name w:val="WWNum4811"/>
    <w:basedOn w:val="NoList"/>
    <w:rsid w:val="00F8631B"/>
  </w:style>
  <w:style w:type="numbering" w:customStyle="1" w:styleId="WWNum6111">
    <w:name w:val="WWNum6111"/>
    <w:basedOn w:val="NoList"/>
    <w:rsid w:val="00F8631B"/>
  </w:style>
  <w:style w:type="numbering" w:customStyle="1" w:styleId="WWNum8111">
    <w:name w:val="WWNum8111"/>
    <w:basedOn w:val="NoList"/>
    <w:rsid w:val="00F8631B"/>
  </w:style>
  <w:style w:type="numbering" w:customStyle="1" w:styleId="WWNum9111">
    <w:name w:val="WWNum9111"/>
    <w:basedOn w:val="NoList"/>
    <w:rsid w:val="00F8631B"/>
  </w:style>
  <w:style w:type="numbering" w:customStyle="1" w:styleId="WWNum10111">
    <w:name w:val="WWNum10111"/>
    <w:basedOn w:val="NoList"/>
    <w:rsid w:val="00F8631B"/>
  </w:style>
  <w:style w:type="numbering" w:customStyle="1" w:styleId="WWNum11111">
    <w:name w:val="WWNum11111"/>
    <w:basedOn w:val="NoList"/>
    <w:rsid w:val="00F8631B"/>
  </w:style>
  <w:style w:type="numbering" w:customStyle="1" w:styleId="WWNum12111">
    <w:name w:val="WWNum12111"/>
    <w:basedOn w:val="NoList"/>
    <w:rsid w:val="00F8631B"/>
  </w:style>
  <w:style w:type="numbering" w:customStyle="1" w:styleId="WWNum13111">
    <w:name w:val="WWNum13111"/>
    <w:basedOn w:val="NoList"/>
    <w:rsid w:val="00F8631B"/>
  </w:style>
  <w:style w:type="numbering" w:customStyle="1" w:styleId="WWNum14111">
    <w:name w:val="WWNum14111"/>
    <w:basedOn w:val="NoList"/>
    <w:rsid w:val="00F8631B"/>
  </w:style>
  <w:style w:type="numbering" w:customStyle="1" w:styleId="WWNum15111">
    <w:name w:val="WWNum15111"/>
    <w:basedOn w:val="NoList"/>
    <w:rsid w:val="00F8631B"/>
  </w:style>
  <w:style w:type="numbering" w:customStyle="1" w:styleId="WWNum16111">
    <w:name w:val="WWNum16111"/>
    <w:basedOn w:val="NoList"/>
    <w:rsid w:val="00F8631B"/>
  </w:style>
  <w:style w:type="numbering" w:customStyle="1" w:styleId="WWNum17111">
    <w:name w:val="WWNum17111"/>
    <w:basedOn w:val="NoList"/>
    <w:rsid w:val="00F8631B"/>
  </w:style>
  <w:style w:type="numbering" w:customStyle="1" w:styleId="WWNum1821">
    <w:name w:val="WWNum1821"/>
    <w:basedOn w:val="NoList"/>
    <w:rsid w:val="00F8631B"/>
  </w:style>
  <w:style w:type="numbering" w:customStyle="1" w:styleId="WWNum19111">
    <w:name w:val="WWNum19111"/>
    <w:basedOn w:val="NoList"/>
    <w:rsid w:val="00F8631B"/>
  </w:style>
  <w:style w:type="numbering" w:customStyle="1" w:styleId="WWNum20111">
    <w:name w:val="WWNum20111"/>
    <w:basedOn w:val="NoList"/>
    <w:rsid w:val="00F8631B"/>
  </w:style>
  <w:style w:type="numbering" w:customStyle="1" w:styleId="WWNum21111">
    <w:name w:val="WWNum21111"/>
    <w:basedOn w:val="NoList"/>
    <w:rsid w:val="00F8631B"/>
  </w:style>
  <w:style w:type="numbering" w:customStyle="1" w:styleId="WWNum23111">
    <w:name w:val="WWNum23111"/>
    <w:basedOn w:val="NoList"/>
    <w:rsid w:val="00F8631B"/>
  </w:style>
  <w:style w:type="numbering" w:customStyle="1" w:styleId="WWNum24111">
    <w:name w:val="WWNum24111"/>
    <w:basedOn w:val="NoList"/>
    <w:rsid w:val="00F8631B"/>
  </w:style>
  <w:style w:type="numbering" w:customStyle="1" w:styleId="WWNum25111">
    <w:name w:val="WWNum25111"/>
    <w:basedOn w:val="NoList"/>
    <w:rsid w:val="00F8631B"/>
  </w:style>
  <w:style w:type="numbering" w:customStyle="1" w:styleId="WWNum26111">
    <w:name w:val="WWNum26111"/>
    <w:basedOn w:val="NoList"/>
    <w:rsid w:val="00F8631B"/>
  </w:style>
  <w:style w:type="numbering" w:customStyle="1" w:styleId="WWNum27111">
    <w:name w:val="WWNum27111"/>
    <w:basedOn w:val="NoList"/>
    <w:rsid w:val="00F8631B"/>
  </w:style>
  <w:style w:type="numbering" w:customStyle="1" w:styleId="WWNum28111">
    <w:name w:val="WWNum28111"/>
    <w:basedOn w:val="NoList"/>
    <w:rsid w:val="00F8631B"/>
  </w:style>
  <w:style w:type="numbering" w:customStyle="1" w:styleId="WWNum29111">
    <w:name w:val="WWNum29111"/>
    <w:basedOn w:val="NoList"/>
    <w:rsid w:val="00F8631B"/>
  </w:style>
  <w:style w:type="numbering" w:customStyle="1" w:styleId="WWNum30111">
    <w:name w:val="WWNum30111"/>
    <w:basedOn w:val="NoList"/>
    <w:rsid w:val="00F8631B"/>
  </w:style>
  <w:style w:type="numbering" w:customStyle="1" w:styleId="WWNum31111">
    <w:name w:val="WWNum31111"/>
    <w:basedOn w:val="NoList"/>
    <w:rsid w:val="00F8631B"/>
  </w:style>
  <w:style w:type="numbering" w:customStyle="1" w:styleId="WWNum32111">
    <w:name w:val="WWNum32111"/>
    <w:basedOn w:val="NoList"/>
    <w:rsid w:val="00F8631B"/>
  </w:style>
  <w:style w:type="numbering" w:customStyle="1" w:styleId="WWNum33111">
    <w:name w:val="WWNum33111"/>
    <w:basedOn w:val="NoList"/>
    <w:rsid w:val="00F8631B"/>
  </w:style>
  <w:style w:type="numbering" w:customStyle="1" w:styleId="WWNum34111">
    <w:name w:val="WWNum34111"/>
    <w:basedOn w:val="NoList"/>
    <w:rsid w:val="00F8631B"/>
  </w:style>
  <w:style w:type="numbering" w:customStyle="1" w:styleId="WWNum35111">
    <w:name w:val="WWNum35111"/>
    <w:basedOn w:val="NoList"/>
    <w:rsid w:val="00F8631B"/>
  </w:style>
  <w:style w:type="numbering" w:customStyle="1" w:styleId="WWNum36111">
    <w:name w:val="WWNum36111"/>
    <w:basedOn w:val="NoList"/>
    <w:rsid w:val="00F8631B"/>
  </w:style>
  <w:style w:type="numbering" w:customStyle="1" w:styleId="WWNum37111">
    <w:name w:val="WWNum37111"/>
    <w:basedOn w:val="NoList"/>
    <w:rsid w:val="00F8631B"/>
  </w:style>
  <w:style w:type="numbering" w:customStyle="1" w:styleId="WWNum38111">
    <w:name w:val="WWNum38111"/>
    <w:basedOn w:val="NoList"/>
    <w:rsid w:val="00F8631B"/>
  </w:style>
  <w:style w:type="numbering" w:customStyle="1" w:styleId="WWNum39111">
    <w:name w:val="WWNum39111"/>
    <w:basedOn w:val="NoList"/>
    <w:rsid w:val="00F8631B"/>
  </w:style>
  <w:style w:type="numbering" w:customStyle="1" w:styleId="WWNum40111">
    <w:name w:val="WWNum40111"/>
    <w:basedOn w:val="NoList"/>
    <w:rsid w:val="00F8631B"/>
  </w:style>
  <w:style w:type="numbering" w:customStyle="1" w:styleId="WWNum41111">
    <w:name w:val="WWNum41111"/>
    <w:basedOn w:val="NoList"/>
    <w:rsid w:val="00F8631B"/>
  </w:style>
  <w:style w:type="numbering" w:customStyle="1" w:styleId="WWNum42111">
    <w:name w:val="WWNum42111"/>
    <w:basedOn w:val="NoList"/>
    <w:rsid w:val="00F8631B"/>
  </w:style>
  <w:style w:type="numbering" w:customStyle="1" w:styleId="WWNum43111">
    <w:name w:val="WWNum43111"/>
    <w:basedOn w:val="NoList"/>
    <w:rsid w:val="00F8631B"/>
  </w:style>
  <w:style w:type="numbering" w:customStyle="1" w:styleId="WWNum44111">
    <w:name w:val="WWNum44111"/>
    <w:basedOn w:val="NoList"/>
    <w:rsid w:val="00F8631B"/>
  </w:style>
  <w:style w:type="numbering" w:customStyle="1" w:styleId="WWNum45111">
    <w:name w:val="WWNum45111"/>
    <w:basedOn w:val="NoList"/>
    <w:rsid w:val="00F8631B"/>
  </w:style>
  <w:style w:type="numbering" w:customStyle="1" w:styleId="WWNum46111">
    <w:name w:val="WWNum46111"/>
    <w:basedOn w:val="NoList"/>
    <w:rsid w:val="00F8631B"/>
  </w:style>
  <w:style w:type="numbering" w:customStyle="1" w:styleId="WWNum47111">
    <w:name w:val="WWNum47111"/>
    <w:basedOn w:val="NoList"/>
    <w:rsid w:val="00F8631B"/>
  </w:style>
  <w:style w:type="numbering" w:customStyle="1" w:styleId="WWNum51111">
    <w:name w:val="WWNum51111"/>
    <w:basedOn w:val="NoList"/>
    <w:rsid w:val="00F8631B"/>
  </w:style>
  <w:style w:type="numbering" w:customStyle="1" w:styleId="WWNum52111">
    <w:name w:val="WWNum52111"/>
    <w:basedOn w:val="NoList"/>
    <w:rsid w:val="00F8631B"/>
  </w:style>
  <w:style w:type="numbering" w:customStyle="1" w:styleId="WWNum54111">
    <w:name w:val="WWNum54111"/>
    <w:basedOn w:val="NoList"/>
    <w:rsid w:val="00F8631B"/>
  </w:style>
  <w:style w:type="numbering" w:customStyle="1" w:styleId="WWNum55111">
    <w:name w:val="WWNum55111"/>
    <w:basedOn w:val="NoList"/>
    <w:rsid w:val="00F8631B"/>
  </w:style>
  <w:style w:type="numbering" w:customStyle="1" w:styleId="WWNum57111">
    <w:name w:val="WWNum57111"/>
    <w:basedOn w:val="NoList"/>
    <w:rsid w:val="00F8631B"/>
  </w:style>
  <w:style w:type="numbering" w:customStyle="1" w:styleId="WWNum58111">
    <w:name w:val="WWNum58111"/>
    <w:basedOn w:val="NoList"/>
    <w:rsid w:val="00F8631B"/>
  </w:style>
  <w:style w:type="numbering" w:customStyle="1" w:styleId="WWNum64111">
    <w:name w:val="WWNum64111"/>
    <w:basedOn w:val="NoList"/>
    <w:rsid w:val="00F8631B"/>
  </w:style>
  <w:style w:type="numbering" w:customStyle="1" w:styleId="WWNum65111">
    <w:name w:val="WWNum65111"/>
    <w:basedOn w:val="NoList"/>
    <w:rsid w:val="00F8631B"/>
  </w:style>
  <w:style w:type="numbering" w:customStyle="1" w:styleId="WWNum66111">
    <w:name w:val="WWNum66111"/>
    <w:basedOn w:val="NoList"/>
    <w:rsid w:val="00F8631B"/>
  </w:style>
  <w:style w:type="numbering" w:customStyle="1" w:styleId="WWNum70111">
    <w:name w:val="WWNum70111"/>
    <w:basedOn w:val="NoList"/>
    <w:rsid w:val="00F8631B"/>
  </w:style>
  <w:style w:type="numbering" w:customStyle="1" w:styleId="WWNum73111">
    <w:name w:val="WWNum73111"/>
    <w:basedOn w:val="NoList"/>
    <w:rsid w:val="00F8631B"/>
  </w:style>
  <w:style w:type="numbering" w:customStyle="1" w:styleId="WWNum74111">
    <w:name w:val="WWNum74111"/>
    <w:basedOn w:val="NoList"/>
    <w:rsid w:val="00F8631B"/>
  </w:style>
  <w:style w:type="numbering" w:customStyle="1" w:styleId="WWNum75111">
    <w:name w:val="WWNum75111"/>
    <w:basedOn w:val="NoList"/>
    <w:rsid w:val="00F8631B"/>
  </w:style>
  <w:style w:type="numbering" w:customStyle="1" w:styleId="WWNum76111">
    <w:name w:val="WWNum76111"/>
    <w:basedOn w:val="NoList"/>
    <w:rsid w:val="00F8631B"/>
  </w:style>
  <w:style w:type="numbering" w:customStyle="1" w:styleId="WWNum77111">
    <w:name w:val="WWNum77111"/>
    <w:basedOn w:val="NoList"/>
    <w:rsid w:val="00F8631B"/>
  </w:style>
  <w:style w:type="numbering" w:customStyle="1" w:styleId="WWNum78111">
    <w:name w:val="WWNum78111"/>
    <w:basedOn w:val="NoList"/>
    <w:rsid w:val="00F8631B"/>
  </w:style>
  <w:style w:type="table" w:customStyle="1" w:styleId="TableGrid21">
    <w:name w:val="Table Grid21"/>
    <w:basedOn w:val="TableNormal"/>
    <w:next w:val="TableGrid"/>
    <w:uiPriority w:val="59"/>
    <w:rsid w:val="00F8631B"/>
    <w:pPr>
      <w:spacing w:after="0" w:line="240" w:lineRule="auto"/>
    </w:pPr>
    <w:rPr>
      <w:rFonts w:ascii="Calibri" w:eastAsia="Times New Roman" w:hAnsi="Calibri" w:cs="Times New Roman"/>
      <w:kern w:val="0"/>
      <w:sz w:val="20"/>
      <w:szCs w:val="20"/>
      <w:lang w:val="en-IN" w:eastAsia="en-IN"/>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Num7621">
    <w:name w:val="WWNum7621"/>
    <w:basedOn w:val="NoList"/>
    <w:rsid w:val="00F8631B"/>
  </w:style>
  <w:style w:type="numbering" w:customStyle="1" w:styleId="WWNum621">
    <w:name w:val="WWNum621"/>
    <w:basedOn w:val="NoList"/>
    <w:rsid w:val="00F8631B"/>
  </w:style>
  <w:style w:type="numbering" w:customStyle="1" w:styleId="WWNum821">
    <w:name w:val="WWNum821"/>
    <w:basedOn w:val="NoList"/>
    <w:rsid w:val="00F8631B"/>
  </w:style>
  <w:style w:type="numbering" w:customStyle="1" w:styleId="WWNum921">
    <w:name w:val="WWNum921"/>
    <w:basedOn w:val="NoList"/>
    <w:rsid w:val="00F8631B"/>
  </w:style>
  <w:style w:type="numbering" w:customStyle="1" w:styleId="WWNum1021">
    <w:name w:val="WWNum1021"/>
    <w:basedOn w:val="NoList"/>
    <w:rsid w:val="00F8631B"/>
  </w:style>
  <w:style w:type="numbering" w:customStyle="1" w:styleId="WWNum1131">
    <w:name w:val="WWNum1131"/>
    <w:basedOn w:val="NoList"/>
    <w:rsid w:val="00F8631B"/>
  </w:style>
  <w:style w:type="numbering" w:customStyle="1" w:styleId="WWNum1221">
    <w:name w:val="WWNum1221"/>
    <w:basedOn w:val="NoList"/>
    <w:rsid w:val="00F8631B"/>
  </w:style>
  <w:style w:type="numbering" w:customStyle="1" w:styleId="WWNum1321">
    <w:name w:val="WWNum1321"/>
    <w:basedOn w:val="NoList"/>
    <w:rsid w:val="00F8631B"/>
  </w:style>
  <w:style w:type="numbering" w:customStyle="1" w:styleId="WWNum1521">
    <w:name w:val="WWNum1521"/>
    <w:basedOn w:val="NoList"/>
    <w:rsid w:val="00F8631B"/>
  </w:style>
  <w:style w:type="numbering" w:customStyle="1" w:styleId="WWNum1621">
    <w:name w:val="WWNum1621"/>
    <w:basedOn w:val="NoList"/>
    <w:rsid w:val="00F8631B"/>
  </w:style>
  <w:style w:type="numbering" w:customStyle="1" w:styleId="WWNum1721">
    <w:name w:val="WWNum1721"/>
    <w:basedOn w:val="NoList"/>
    <w:rsid w:val="00F8631B"/>
  </w:style>
  <w:style w:type="numbering" w:customStyle="1" w:styleId="WWNum1831">
    <w:name w:val="WWNum1831"/>
    <w:basedOn w:val="NoList"/>
    <w:rsid w:val="00F8631B"/>
  </w:style>
  <w:style w:type="numbering" w:customStyle="1" w:styleId="WWNum1921">
    <w:name w:val="WWNum1921"/>
    <w:basedOn w:val="NoList"/>
    <w:rsid w:val="00F8631B"/>
  </w:style>
  <w:style w:type="numbering" w:customStyle="1" w:styleId="WWNum2021">
    <w:name w:val="WWNum2021"/>
    <w:basedOn w:val="NoList"/>
    <w:rsid w:val="00F8631B"/>
  </w:style>
  <w:style w:type="numbering" w:customStyle="1" w:styleId="WWNum2321">
    <w:name w:val="WWNum2321"/>
    <w:basedOn w:val="NoList"/>
    <w:rsid w:val="00F8631B"/>
  </w:style>
  <w:style w:type="numbering" w:customStyle="1" w:styleId="WWNum2421">
    <w:name w:val="WWNum2421"/>
    <w:basedOn w:val="NoList"/>
    <w:rsid w:val="00F8631B"/>
  </w:style>
  <w:style w:type="numbering" w:customStyle="1" w:styleId="WWNum2521">
    <w:name w:val="WWNum2521"/>
    <w:basedOn w:val="NoList"/>
    <w:rsid w:val="00F8631B"/>
  </w:style>
  <w:style w:type="numbering" w:customStyle="1" w:styleId="WWNum2621">
    <w:name w:val="WWNum2621"/>
    <w:basedOn w:val="NoList"/>
    <w:rsid w:val="00F8631B"/>
  </w:style>
  <w:style w:type="numbering" w:customStyle="1" w:styleId="WWNum2721">
    <w:name w:val="WWNum2721"/>
    <w:basedOn w:val="NoList"/>
    <w:rsid w:val="00F8631B"/>
  </w:style>
  <w:style w:type="numbering" w:customStyle="1" w:styleId="WWNum2821">
    <w:name w:val="WWNum2821"/>
    <w:basedOn w:val="NoList"/>
    <w:rsid w:val="00F8631B"/>
  </w:style>
  <w:style w:type="numbering" w:customStyle="1" w:styleId="WWNum2921">
    <w:name w:val="WWNum2921"/>
    <w:basedOn w:val="NoList"/>
    <w:rsid w:val="00F8631B"/>
  </w:style>
  <w:style w:type="numbering" w:customStyle="1" w:styleId="WWNum3021">
    <w:name w:val="WWNum3021"/>
    <w:basedOn w:val="NoList"/>
    <w:rsid w:val="00F8631B"/>
  </w:style>
  <w:style w:type="numbering" w:customStyle="1" w:styleId="WWNum3121">
    <w:name w:val="WWNum3121"/>
    <w:basedOn w:val="NoList"/>
    <w:rsid w:val="00F8631B"/>
  </w:style>
  <w:style w:type="numbering" w:customStyle="1" w:styleId="WWNum3221">
    <w:name w:val="WWNum3221"/>
    <w:basedOn w:val="NoList"/>
    <w:rsid w:val="00F8631B"/>
  </w:style>
  <w:style w:type="numbering" w:customStyle="1" w:styleId="WWNum3321">
    <w:name w:val="WWNum3321"/>
    <w:basedOn w:val="NoList"/>
    <w:rsid w:val="00F8631B"/>
  </w:style>
  <w:style w:type="numbering" w:customStyle="1" w:styleId="WWNum3421">
    <w:name w:val="WWNum3421"/>
    <w:basedOn w:val="NoList"/>
    <w:rsid w:val="00F8631B"/>
  </w:style>
  <w:style w:type="numbering" w:customStyle="1" w:styleId="WWNum3521">
    <w:name w:val="WWNum3521"/>
    <w:basedOn w:val="NoList"/>
    <w:rsid w:val="00F8631B"/>
  </w:style>
  <w:style w:type="numbering" w:customStyle="1" w:styleId="WWNum3721">
    <w:name w:val="WWNum3721"/>
    <w:basedOn w:val="NoList"/>
    <w:rsid w:val="00F8631B"/>
  </w:style>
  <w:style w:type="numbering" w:customStyle="1" w:styleId="WWNum3821">
    <w:name w:val="WWNum3821"/>
    <w:basedOn w:val="NoList"/>
    <w:rsid w:val="00F8631B"/>
  </w:style>
  <w:style w:type="numbering" w:customStyle="1" w:styleId="WWNum4021">
    <w:name w:val="WWNum4021"/>
    <w:basedOn w:val="NoList"/>
    <w:rsid w:val="00F8631B"/>
  </w:style>
  <w:style w:type="numbering" w:customStyle="1" w:styleId="WWNum4221">
    <w:name w:val="WWNum4221"/>
    <w:basedOn w:val="NoList"/>
    <w:rsid w:val="00F8631B"/>
  </w:style>
  <w:style w:type="numbering" w:customStyle="1" w:styleId="WWNum4321">
    <w:name w:val="WWNum4321"/>
    <w:basedOn w:val="NoList"/>
    <w:rsid w:val="00F8631B"/>
  </w:style>
  <w:style w:type="numbering" w:customStyle="1" w:styleId="WWNum4421">
    <w:name w:val="WWNum4421"/>
    <w:basedOn w:val="NoList"/>
    <w:rsid w:val="00F8631B"/>
  </w:style>
  <w:style w:type="numbering" w:customStyle="1" w:styleId="WWNum4521">
    <w:name w:val="WWNum4521"/>
    <w:basedOn w:val="NoList"/>
    <w:rsid w:val="00F8631B"/>
  </w:style>
  <w:style w:type="numbering" w:customStyle="1" w:styleId="WWNum4621">
    <w:name w:val="WWNum4621"/>
    <w:basedOn w:val="NoList"/>
    <w:rsid w:val="00F8631B"/>
  </w:style>
  <w:style w:type="numbering" w:customStyle="1" w:styleId="WWNum4721">
    <w:name w:val="WWNum4721"/>
    <w:basedOn w:val="NoList"/>
    <w:rsid w:val="00F8631B"/>
  </w:style>
  <w:style w:type="numbering" w:customStyle="1" w:styleId="WWNum5121">
    <w:name w:val="WWNum5121"/>
    <w:basedOn w:val="NoList"/>
    <w:rsid w:val="00F8631B"/>
  </w:style>
  <w:style w:type="numbering" w:customStyle="1" w:styleId="WWNum5421">
    <w:name w:val="WWNum5421"/>
    <w:basedOn w:val="NoList"/>
    <w:rsid w:val="00F8631B"/>
  </w:style>
  <w:style w:type="numbering" w:customStyle="1" w:styleId="WWNum5521">
    <w:name w:val="WWNum5521"/>
    <w:basedOn w:val="NoList"/>
    <w:rsid w:val="00F8631B"/>
  </w:style>
  <w:style w:type="numbering" w:customStyle="1" w:styleId="WWNum5721">
    <w:name w:val="WWNum5721"/>
    <w:basedOn w:val="NoList"/>
    <w:rsid w:val="00F8631B"/>
  </w:style>
  <w:style w:type="numbering" w:customStyle="1" w:styleId="WWNum5821">
    <w:name w:val="WWNum5821"/>
    <w:basedOn w:val="NoList"/>
    <w:rsid w:val="00F8631B"/>
  </w:style>
  <w:style w:type="numbering" w:customStyle="1" w:styleId="WWNum6421">
    <w:name w:val="WWNum6421"/>
    <w:basedOn w:val="NoList"/>
    <w:rsid w:val="00F8631B"/>
  </w:style>
  <w:style w:type="numbering" w:customStyle="1" w:styleId="WWNum6521">
    <w:name w:val="WWNum6521"/>
    <w:basedOn w:val="NoList"/>
    <w:rsid w:val="00F8631B"/>
  </w:style>
  <w:style w:type="numbering" w:customStyle="1" w:styleId="WWNum6621">
    <w:name w:val="WWNum6621"/>
    <w:basedOn w:val="NoList"/>
    <w:rsid w:val="00F8631B"/>
  </w:style>
  <w:style w:type="numbering" w:customStyle="1" w:styleId="WWNum7021">
    <w:name w:val="WWNum7021"/>
    <w:basedOn w:val="NoList"/>
    <w:rsid w:val="00F8631B"/>
  </w:style>
  <w:style w:type="numbering" w:customStyle="1" w:styleId="WWNum7321">
    <w:name w:val="WWNum7321"/>
    <w:basedOn w:val="NoList"/>
    <w:rsid w:val="00F8631B"/>
  </w:style>
  <w:style w:type="numbering" w:customStyle="1" w:styleId="WWNum7421">
    <w:name w:val="WWNum7421"/>
    <w:basedOn w:val="NoList"/>
    <w:rsid w:val="00F8631B"/>
  </w:style>
  <w:style w:type="numbering" w:customStyle="1" w:styleId="WWNum7521">
    <w:name w:val="WWNum7521"/>
    <w:basedOn w:val="NoList"/>
    <w:rsid w:val="00F8631B"/>
  </w:style>
  <w:style w:type="numbering" w:customStyle="1" w:styleId="WWNum7821">
    <w:name w:val="WWNum7821"/>
    <w:basedOn w:val="NoList"/>
    <w:rsid w:val="00F8631B"/>
  </w:style>
  <w:style w:type="numbering" w:customStyle="1" w:styleId="NoList31">
    <w:name w:val="No List31"/>
    <w:next w:val="NoList"/>
    <w:uiPriority w:val="99"/>
    <w:semiHidden/>
    <w:unhideWhenUsed/>
    <w:rsid w:val="00F8631B"/>
  </w:style>
  <w:style w:type="numbering" w:customStyle="1" w:styleId="NoList121">
    <w:name w:val="No List121"/>
    <w:next w:val="NoList"/>
    <w:uiPriority w:val="99"/>
    <w:semiHidden/>
    <w:unhideWhenUsed/>
    <w:rsid w:val="00F8631B"/>
  </w:style>
  <w:style w:type="numbering" w:customStyle="1" w:styleId="NoList7">
    <w:name w:val="No List7"/>
    <w:next w:val="NoList"/>
    <w:uiPriority w:val="99"/>
    <w:semiHidden/>
    <w:unhideWhenUsed/>
    <w:rsid w:val="00F8631B"/>
  </w:style>
  <w:style w:type="numbering" w:customStyle="1" w:styleId="NoList8">
    <w:name w:val="No List8"/>
    <w:next w:val="NoList"/>
    <w:uiPriority w:val="99"/>
    <w:semiHidden/>
    <w:unhideWhenUsed/>
    <w:rsid w:val="00F8631B"/>
  </w:style>
  <w:style w:type="numbering" w:customStyle="1" w:styleId="NoList13">
    <w:name w:val="No List13"/>
    <w:next w:val="NoList"/>
    <w:uiPriority w:val="99"/>
    <w:semiHidden/>
    <w:unhideWhenUsed/>
    <w:rsid w:val="00F8631B"/>
  </w:style>
  <w:style w:type="numbering" w:customStyle="1" w:styleId="WWNum286">
    <w:name w:val="WWNum286"/>
    <w:basedOn w:val="NoList"/>
    <w:rsid w:val="00F8631B"/>
  </w:style>
  <w:style w:type="numbering" w:customStyle="1" w:styleId="WWNum306">
    <w:name w:val="WWNum306"/>
    <w:basedOn w:val="NoList"/>
    <w:rsid w:val="00F8631B"/>
  </w:style>
  <w:style w:type="numbering" w:customStyle="1" w:styleId="WWNum436">
    <w:name w:val="WWNum436"/>
    <w:basedOn w:val="NoList"/>
    <w:rsid w:val="00F8631B"/>
  </w:style>
  <w:style w:type="numbering" w:customStyle="1" w:styleId="WWNum446">
    <w:name w:val="WWNum446"/>
    <w:basedOn w:val="NoList"/>
    <w:rsid w:val="00F8631B"/>
  </w:style>
  <w:style w:type="numbering" w:customStyle="1" w:styleId="WWNum456">
    <w:name w:val="WWNum456"/>
    <w:basedOn w:val="NoList"/>
    <w:rsid w:val="00F8631B"/>
  </w:style>
  <w:style w:type="numbering" w:customStyle="1" w:styleId="WWNum466">
    <w:name w:val="WWNum466"/>
    <w:basedOn w:val="NoList"/>
    <w:rsid w:val="00F8631B"/>
  </w:style>
  <w:style w:type="numbering" w:customStyle="1" w:styleId="WWNum476">
    <w:name w:val="WWNum476"/>
    <w:basedOn w:val="NoList"/>
    <w:rsid w:val="00F8631B"/>
  </w:style>
  <w:style w:type="numbering" w:customStyle="1" w:styleId="WWNum736">
    <w:name w:val="WWNum736"/>
    <w:basedOn w:val="NoList"/>
    <w:rsid w:val="00F8631B"/>
  </w:style>
  <w:style w:type="numbering" w:customStyle="1" w:styleId="WWNum746">
    <w:name w:val="WWNum746"/>
    <w:basedOn w:val="NoList"/>
    <w:rsid w:val="00F8631B"/>
  </w:style>
  <w:style w:type="numbering" w:customStyle="1" w:styleId="NoList113">
    <w:name w:val="No List113"/>
    <w:next w:val="NoList"/>
    <w:uiPriority w:val="99"/>
    <w:semiHidden/>
    <w:unhideWhenUsed/>
    <w:rsid w:val="00F8631B"/>
  </w:style>
  <w:style w:type="numbering" w:customStyle="1" w:styleId="NoList22">
    <w:name w:val="No List22"/>
    <w:next w:val="NoList"/>
    <w:uiPriority w:val="99"/>
    <w:semiHidden/>
    <w:unhideWhenUsed/>
    <w:rsid w:val="00F8631B"/>
  </w:style>
  <w:style w:type="numbering" w:customStyle="1" w:styleId="WWNum1102">
    <w:name w:val="WWNum1102"/>
    <w:basedOn w:val="NoList"/>
    <w:rsid w:val="00F8631B"/>
  </w:style>
  <w:style w:type="numbering" w:customStyle="1" w:styleId="WWNum482">
    <w:name w:val="WWNum482"/>
    <w:basedOn w:val="NoList"/>
    <w:rsid w:val="00F8631B"/>
  </w:style>
  <w:style w:type="numbering" w:customStyle="1" w:styleId="WWNum612">
    <w:name w:val="WWNum612"/>
    <w:basedOn w:val="NoList"/>
    <w:rsid w:val="00F8631B"/>
  </w:style>
  <w:style w:type="numbering" w:customStyle="1" w:styleId="WWNum812">
    <w:name w:val="WWNum812"/>
    <w:basedOn w:val="NoList"/>
    <w:rsid w:val="00F8631B"/>
  </w:style>
  <w:style w:type="numbering" w:customStyle="1" w:styleId="WWNum912">
    <w:name w:val="WWNum912"/>
    <w:basedOn w:val="NoList"/>
    <w:rsid w:val="00F8631B"/>
  </w:style>
  <w:style w:type="numbering" w:customStyle="1" w:styleId="WWNum1012">
    <w:name w:val="WWNum1012"/>
    <w:basedOn w:val="NoList"/>
    <w:rsid w:val="00F8631B"/>
  </w:style>
  <w:style w:type="numbering" w:customStyle="1" w:styleId="WWNum1112">
    <w:name w:val="WWNum1112"/>
    <w:basedOn w:val="NoList"/>
    <w:rsid w:val="00F8631B"/>
  </w:style>
  <w:style w:type="numbering" w:customStyle="1" w:styleId="WWNum1312">
    <w:name w:val="WWNum1312"/>
    <w:basedOn w:val="NoList"/>
    <w:rsid w:val="00F8631B"/>
  </w:style>
  <w:style w:type="numbering" w:customStyle="1" w:styleId="WWNum1412">
    <w:name w:val="WWNum1412"/>
    <w:basedOn w:val="NoList"/>
    <w:rsid w:val="00F8631B"/>
  </w:style>
  <w:style w:type="numbering" w:customStyle="1" w:styleId="WWNum1512">
    <w:name w:val="WWNum1512"/>
    <w:basedOn w:val="NoList"/>
    <w:rsid w:val="00F8631B"/>
  </w:style>
  <w:style w:type="numbering" w:customStyle="1" w:styleId="WWNum1612">
    <w:name w:val="WWNum1612"/>
    <w:basedOn w:val="NoList"/>
    <w:rsid w:val="00F8631B"/>
  </w:style>
  <w:style w:type="numbering" w:customStyle="1" w:styleId="WWNum1712">
    <w:name w:val="WWNum1712"/>
    <w:basedOn w:val="NoList"/>
    <w:rsid w:val="00F8631B"/>
  </w:style>
  <w:style w:type="numbering" w:customStyle="1" w:styleId="WWNum1812">
    <w:name w:val="WWNum1812"/>
    <w:basedOn w:val="NoList"/>
    <w:rsid w:val="00F8631B"/>
  </w:style>
  <w:style w:type="numbering" w:customStyle="1" w:styleId="WWNum1912">
    <w:name w:val="WWNum1912"/>
    <w:basedOn w:val="NoList"/>
    <w:rsid w:val="00F8631B"/>
  </w:style>
  <w:style w:type="numbering" w:customStyle="1" w:styleId="WWNum2012">
    <w:name w:val="WWNum2012"/>
    <w:basedOn w:val="NoList"/>
    <w:rsid w:val="00F8631B"/>
  </w:style>
  <w:style w:type="numbering" w:customStyle="1" w:styleId="WWNum2112">
    <w:name w:val="WWNum2112"/>
    <w:basedOn w:val="NoList"/>
    <w:rsid w:val="00F8631B"/>
  </w:style>
  <w:style w:type="numbering" w:customStyle="1" w:styleId="WWNum2312">
    <w:name w:val="WWNum2312"/>
    <w:basedOn w:val="NoList"/>
    <w:rsid w:val="00F8631B"/>
  </w:style>
  <w:style w:type="numbering" w:customStyle="1" w:styleId="WWNum2412">
    <w:name w:val="WWNum2412"/>
    <w:basedOn w:val="NoList"/>
    <w:rsid w:val="00F8631B"/>
  </w:style>
  <w:style w:type="numbering" w:customStyle="1" w:styleId="WWNum2512">
    <w:name w:val="WWNum2512"/>
    <w:basedOn w:val="NoList"/>
    <w:rsid w:val="00F8631B"/>
  </w:style>
  <w:style w:type="numbering" w:customStyle="1" w:styleId="WWNum2612">
    <w:name w:val="WWNum2612"/>
    <w:basedOn w:val="NoList"/>
    <w:rsid w:val="00F8631B"/>
  </w:style>
  <w:style w:type="numbering" w:customStyle="1" w:styleId="WWNum2712">
    <w:name w:val="WWNum2712"/>
    <w:basedOn w:val="NoList"/>
    <w:rsid w:val="00F8631B"/>
  </w:style>
  <w:style w:type="numbering" w:customStyle="1" w:styleId="WWNum2812">
    <w:name w:val="WWNum2812"/>
    <w:basedOn w:val="NoList"/>
    <w:rsid w:val="00F8631B"/>
  </w:style>
  <w:style w:type="numbering" w:customStyle="1" w:styleId="WWNum2912">
    <w:name w:val="WWNum2912"/>
    <w:basedOn w:val="NoList"/>
    <w:rsid w:val="00F8631B"/>
  </w:style>
  <w:style w:type="numbering" w:customStyle="1" w:styleId="WWNum3012">
    <w:name w:val="WWNum3012"/>
    <w:basedOn w:val="NoList"/>
    <w:rsid w:val="00F8631B"/>
  </w:style>
  <w:style w:type="numbering" w:customStyle="1" w:styleId="WWNum3112">
    <w:name w:val="WWNum3112"/>
    <w:basedOn w:val="NoList"/>
    <w:rsid w:val="00F8631B"/>
  </w:style>
  <w:style w:type="numbering" w:customStyle="1" w:styleId="WWNum3212">
    <w:name w:val="WWNum3212"/>
    <w:basedOn w:val="NoList"/>
    <w:rsid w:val="00F8631B"/>
  </w:style>
  <w:style w:type="numbering" w:customStyle="1" w:styleId="WWNum3312">
    <w:name w:val="WWNum3312"/>
    <w:basedOn w:val="NoList"/>
    <w:rsid w:val="00F8631B"/>
  </w:style>
  <w:style w:type="numbering" w:customStyle="1" w:styleId="WWNum3412">
    <w:name w:val="WWNum3412"/>
    <w:basedOn w:val="NoList"/>
    <w:rsid w:val="00F8631B"/>
  </w:style>
  <w:style w:type="numbering" w:customStyle="1" w:styleId="WWNum3512">
    <w:name w:val="WWNum3512"/>
    <w:basedOn w:val="NoList"/>
    <w:rsid w:val="00F8631B"/>
  </w:style>
  <w:style w:type="numbering" w:customStyle="1" w:styleId="WWNum3612">
    <w:name w:val="WWNum3612"/>
    <w:basedOn w:val="NoList"/>
    <w:rsid w:val="00F8631B"/>
  </w:style>
  <w:style w:type="numbering" w:customStyle="1" w:styleId="WWNum3712">
    <w:name w:val="WWNum3712"/>
    <w:basedOn w:val="NoList"/>
    <w:rsid w:val="00F8631B"/>
  </w:style>
  <w:style w:type="numbering" w:customStyle="1" w:styleId="WWNum3812">
    <w:name w:val="WWNum3812"/>
    <w:basedOn w:val="NoList"/>
    <w:rsid w:val="00F8631B"/>
  </w:style>
  <w:style w:type="numbering" w:customStyle="1" w:styleId="WWNum3912">
    <w:name w:val="WWNum3912"/>
    <w:basedOn w:val="NoList"/>
    <w:rsid w:val="00F8631B"/>
  </w:style>
  <w:style w:type="numbering" w:customStyle="1" w:styleId="WWNum4012">
    <w:name w:val="WWNum4012"/>
    <w:basedOn w:val="NoList"/>
    <w:rsid w:val="00F8631B"/>
  </w:style>
  <w:style w:type="numbering" w:customStyle="1" w:styleId="WWNum4112">
    <w:name w:val="WWNum4112"/>
    <w:basedOn w:val="NoList"/>
    <w:rsid w:val="00F8631B"/>
  </w:style>
  <w:style w:type="numbering" w:customStyle="1" w:styleId="WWNum4212">
    <w:name w:val="WWNum4212"/>
    <w:basedOn w:val="NoList"/>
    <w:rsid w:val="00F8631B"/>
  </w:style>
  <w:style w:type="numbering" w:customStyle="1" w:styleId="WWNum4312">
    <w:name w:val="WWNum4312"/>
    <w:basedOn w:val="NoList"/>
    <w:rsid w:val="00F8631B"/>
  </w:style>
  <w:style w:type="numbering" w:customStyle="1" w:styleId="WWNum4412">
    <w:name w:val="WWNum4412"/>
    <w:basedOn w:val="NoList"/>
    <w:rsid w:val="00F8631B"/>
  </w:style>
  <w:style w:type="numbering" w:customStyle="1" w:styleId="WWNum4512">
    <w:name w:val="WWNum4512"/>
    <w:basedOn w:val="NoList"/>
    <w:rsid w:val="00F8631B"/>
  </w:style>
  <w:style w:type="numbering" w:customStyle="1" w:styleId="WWNum4612">
    <w:name w:val="WWNum4612"/>
    <w:basedOn w:val="NoList"/>
    <w:rsid w:val="00F8631B"/>
  </w:style>
  <w:style w:type="numbering" w:customStyle="1" w:styleId="WWNum4712">
    <w:name w:val="WWNum4712"/>
    <w:basedOn w:val="NoList"/>
    <w:rsid w:val="00F8631B"/>
  </w:style>
  <w:style w:type="numbering" w:customStyle="1" w:styleId="WWNum5112">
    <w:name w:val="WWNum5112"/>
    <w:basedOn w:val="NoList"/>
    <w:rsid w:val="00F8631B"/>
  </w:style>
  <w:style w:type="numbering" w:customStyle="1" w:styleId="WWNum5212">
    <w:name w:val="WWNum5212"/>
    <w:basedOn w:val="NoList"/>
    <w:rsid w:val="00F8631B"/>
  </w:style>
  <w:style w:type="numbering" w:customStyle="1" w:styleId="WWNum5412">
    <w:name w:val="WWNum5412"/>
    <w:basedOn w:val="NoList"/>
    <w:rsid w:val="00F8631B"/>
  </w:style>
  <w:style w:type="numbering" w:customStyle="1" w:styleId="WWNum5512">
    <w:name w:val="WWNum5512"/>
    <w:basedOn w:val="NoList"/>
    <w:rsid w:val="00F8631B"/>
  </w:style>
  <w:style w:type="numbering" w:customStyle="1" w:styleId="WWNum5712">
    <w:name w:val="WWNum5712"/>
    <w:basedOn w:val="NoList"/>
    <w:rsid w:val="00F8631B"/>
  </w:style>
  <w:style w:type="numbering" w:customStyle="1" w:styleId="WWNum5812">
    <w:name w:val="WWNum5812"/>
    <w:basedOn w:val="NoList"/>
    <w:rsid w:val="00F8631B"/>
  </w:style>
  <w:style w:type="numbering" w:customStyle="1" w:styleId="WWNum6412">
    <w:name w:val="WWNum6412"/>
    <w:basedOn w:val="NoList"/>
    <w:rsid w:val="00F8631B"/>
  </w:style>
  <w:style w:type="numbering" w:customStyle="1" w:styleId="WWNum6512">
    <w:name w:val="WWNum6512"/>
    <w:basedOn w:val="NoList"/>
    <w:rsid w:val="00F8631B"/>
  </w:style>
  <w:style w:type="numbering" w:customStyle="1" w:styleId="WWNum6612">
    <w:name w:val="WWNum6612"/>
    <w:basedOn w:val="NoList"/>
    <w:rsid w:val="00F8631B"/>
  </w:style>
  <w:style w:type="numbering" w:customStyle="1" w:styleId="WWNum7012">
    <w:name w:val="WWNum7012"/>
    <w:basedOn w:val="NoList"/>
    <w:rsid w:val="00F8631B"/>
  </w:style>
  <w:style w:type="numbering" w:customStyle="1" w:styleId="WWNum7312">
    <w:name w:val="WWNum7312"/>
    <w:basedOn w:val="NoList"/>
    <w:rsid w:val="00F8631B"/>
  </w:style>
  <w:style w:type="numbering" w:customStyle="1" w:styleId="WWNum7412">
    <w:name w:val="WWNum7412"/>
    <w:basedOn w:val="NoList"/>
    <w:rsid w:val="00F8631B"/>
  </w:style>
  <w:style w:type="numbering" w:customStyle="1" w:styleId="WWNum7512">
    <w:name w:val="WWNum7512"/>
    <w:basedOn w:val="NoList"/>
    <w:rsid w:val="00F8631B"/>
  </w:style>
  <w:style w:type="numbering" w:customStyle="1" w:styleId="WWNum7612">
    <w:name w:val="WWNum7612"/>
    <w:basedOn w:val="NoList"/>
    <w:rsid w:val="00F8631B"/>
  </w:style>
  <w:style w:type="numbering" w:customStyle="1" w:styleId="WWNum7712">
    <w:name w:val="WWNum7712"/>
    <w:basedOn w:val="NoList"/>
    <w:rsid w:val="00F8631B"/>
  </w:style>
  <w:style w:type="numbering" w:customStyle="1" w:styleId="WWNum7812">
    <w:name w:val="WWNum7812"/>
    <w:basedOn w:val="NoList"/>
    <w:rsid w:val="00F8631B"/>
  </w:style>
  <w:style w:type="numbering" w:customStyle="1" w:styleId="NoList1112">
    <w:name w:val="No List1112"/>
    <w:next w:val="NoList"/>
    <w:uiPriority w:val="99"/>
    <w:semiHidden/>
    <w:unhideWhenUsed/>
    <w:rsid w:val="00F8631B"/>
  </w:style>
  <w:style w:type="numbering" w:customStyle="1" w:styleId="WWNum18112">
    <w:name w:val="WWNum18112"/>
    <w:basedOn w:val="NoList"/>
    <w:rsid w:val="00F8631B"/>
  </w:style>
  <w:style w:type="numbering" w:customStyle="1" w:styleId="NoList212">
    <w:name w:val="No List212"/>
    <w:next w:val="NoList"/>
    <w:uiPriority w:val="99"/>
    <w:semiHidden/>
    <w:unhideWhenUsed/>
    <w:rsid w:val="00F8631B"/>
  </w:style>
  <w:style w:type="numbering" w:customStyle="1" w:styleId="NoList11112">
    <w:name w:val="No List11112"/>
    <w:next w:val="NoList"/>
    <w:uiPriority w:val="99"/>
    <w:semiHidden/>
    <w:unhideWhenUsed/>
    <w:rsid w:val="00F8631B"/>
  </w:style>
  <w:style w:type="numbering" w:customStyle="1" w:styleId="WWNum11012">
    <w:name w:val="WWNum11012"/>
    <w:basedOn w:val="NoList"/>
    <w:rsid w:val="00F8631B"/>
  </w:style>
  <w:style w:type="numbering" w:customStyle="1" w:styleId="WWNum4812">
    <w:name w:val="WWNum4812"/>
    <w:basedOn w:val="NoList"/>
    <w:rsid w:val="00F8631B"/>
  </w:style>
  <w:style w:type="numbering" w:customStyle="1" w:styleId="WWNum6112">
    <w:name w:val="WWNum6112"/>
    <w:basedOn w:val="NoList"/>
    <w:rsid w:val="00F8631B"/>
  </w:style>
  <w:style w:type="numbering" w:customStyle="1" w:styleId="WWNum8112">
    <w:name w:val="WWNum8112"/>
    <w:basedOn w:val="NoList"/>
    <w:rsid w:val="00F8631B"/>
  </w:style>
  <w:style w:type="numbering" w:customStyle="1" w:styleId="WWNum9112">
    <w:name w:val="WWNum9112"/>
    <w:basedOn w:val="NoList"/>
    <w:rsid w:val="00F8631B"/>
  </w:style>
  <w:style w:type="numbering" w:customStyle="1" w:styleId="WWNum10112">
    <w:name w:val="WWNum10112"/>
    <w:basedOn w:val="NoList"/>
    <w:rsid w:val="00F8631B"/>
  </w:style>
  <w:style w:type="numbering" w:customStyle="1" w:styleId="WWNum11112">
    <w:name w:val="WWNum11112"/>
    <w:basedOn w:val="NoList"/>
    <w:rsid w:val="00F8631B"/>
  </w:style>
  <w:style w:type="numbering" w:customStyle="1" w:styleId="WWNum12112">
    <w:name w:val="WWNum12112"/>
    <w:basedOn w:val="NoList"/>
    <w:rsid w:val="00F8631B"/>
  </w:style>
  <w:style w:type="numbering" w:customStyle="1" w:styleId="WWNum13112">
    <w:name w:val="WWNum13112"/>
    <w:basedOn w:val="NoList"/>
    <w:rsid w:val="00F8631B"/>
  </w:style>
  <w:style w:type="numbering" w:customStyle="1" w:styleId="WWNum14112">
    <w:name w:val="WWNum14112"/>
    <w:basedOn w:val="NoList"/>
    <w:rsid w:val="00F8631B"/>
  </w:style>
  <w:style w:type="numbering" w:customStyle="1" w:styleId="WWNum15112">
    <w:name w:val="WWNum15112"/>
    <w:basedOn w:val="NoList"/>
    <w:rsid w:val="00F8631B"/>
  </w:style>
  <w:style w:type="numbering" w:customStyle="1" w:styleId="WWNum16112">
    <w:name w:val="WWNum16112"/>
    <w:basedOn w:val="NoList"/>
    <w:rsid w:val="00F8631B"/>
  </w:style>
  <w:style w:type="numbering" w:customStyle="1" w:styleId="WWNum17112">
    <w:name w:val="WWNum17112"/>
    <w:basedOn w:val="NoList"/>
    <w:rsid w:val="00F8631B"/>
  </w:style>
  <w:style w:type="numbering" w:customStyle="1" w:styleId="WWNum1822">
    <w:name w:val="WWNum1822"/>
    <w:basedOn w:val="NoList"/>
    <w:rsid w:val="00F8631B"/>
  </w:style>
  <w:style w:type="numbering" w:customStyle="1" w:styleId="WWNum19112">
    <w:name w:val="WWNum19112"/>
    <w:basedOn w:val="NoList"/>
    <w:rsid w:val="00F8631B"/>
  </w:style>
  <w:style w:type="numbering" w:customStyle="1" w:styleId="WWNum20112">
    <w:name w:val="WWNum20112"/>
    <w:basedOn w:val="NoList"/>
    <w:rsid w:val="00F8631B"/>
  </w:style>
  <w:style w:type="numbering" w:customStyle="1" w:styleId="WWNum21112">
    <w:name w:val="WWNum21112"/>
    <w:basedOn w:val="NoList"/>
    <w:rsid w:val="00F8631B"/>
  </w:style>
  <w:style w:type="numbering" w:customStyle="1" w:styleId="WWNum23112">
    <w:name w:val="WWNum23112"/>
    <w:basedOn w:val="NoList"/>
    <w:rsid w:val="00F8631B"/>
  </w:style>
  <w:style w:type="numbering" w:customStyle="1" w:styleId="WWNum24112">
    <w:name w:val="WWNum24112"/>
    <w:basedOn w:val="NoList"/>
    <w:rsid w:val="00F8631B"/>
  </w:style>
  <w:style w:type="numbering" w:customStyle="1" w:styleId="WWNum25112">
    <w:name w:val="WWNum25112"/>
    <w:basedOn w:val="NoList"/>
    <w:rsid w:val="00F8631B"/>
  </w:style>
  <w:style w:type="numbering" w:customStyle="1" w:styleId="WWNum26112">
    <w:name w:val="WWNum26112"/>
    <w:basedOn w:val="NoList"/>
    <w:rsid w:val="00F8631B"/>
  </w:style>
  <w:style w:type="numbering" w:customStyle="1" w:styleId="WWNum27112">
    <w:name w:val="WWNum27112"/>
    <w:basedOn w:val="NoList"/>
    <w:rsid w:val="00F8631B"/>
  </w:style>
  <w:style w:type="numbering" w:customStyle="1" w:styleId="WWNum28112">
    <w:name w:val="WWNum28112"/>
    <w:basedOn w:val="NoList"/>
    <w:rsid w:val="00F8631B"/>
  </w:style>
  <w:style w:type="numbering" w:customStyle="1" w:styleId="WWNum29112">
    <w:name w:val="WWNum29112"/>
    <w:basedOn w:val="NoList"/>
    <w:rsid w:val="00F8631B"/>
  </w:style>
  <w:style w:type="numbering" w:customStyle="1" w:styleId="WWNum30112">
    <w:name w:val="WWNum30112"/>
    <w:basedOn w:val="NoList"/>
    <w:rsid w:val="00F8631B"/>
  </w:style>
  <w:style w:type="numbering" w:customStyle="1" w:styleId="WWNum31112">
    <w:name w:val="WWNum31112"/>
    <w:basedOn w:val="NoList"/>
    <w:rsid w:val="00F8631B"/>
  </w:style>
  <w:style w:type="numbering" w:customStyle="1" w:styleId="WWNum32112">
    <w:name w:val="WWNum32112"/>
    <w:basedOn w:val="NoList"/>
    <w:rsid w:val="00F8631B"/>
  </w:style>
  <w:style w:type="numbering" w:customStyle="1" w:styleId="WWNum33112">
    <w:name w:val="WWNum33112"/>
    <w:basedOn w:val="NoList"/>
    <w:rsid w:val="00F8631B"/>
  </w:style>
  <w:style w:type="numbering" w:customStyle="1" w:styleId="WWNum34112">
    <w:name w:val="WWNum34112"/>
    <w:basedOn w:val="NoList"/>
    <w:rsid w:val="00F8631B"/>
  </w:style>
  <w:style w:type="numbering" w:customStyle="1" w:styleId="WWNum35112">
    <w:name w:val="WWNum35112"/>
    <w:basedOn w:val="NoList"/>
    <w:rsid w:val="00F8631B"/>
  </w:style>
  <w:style w:type="numbering" w:customStyle="1" w:styleId="WWNum36112">
    <w:name w:val="WWNum36112"/>
    <w:basedOn w:val="NoList"/>
    <w:rsid w:val="00F8631B"/>
  </w:style>
  <w:style w:type="numbering" w:customStyle="1" w:styleId="WWNum37112">
    <w:name w:val="WWNum37112"/>
    <w:basedOn w:val="NoList"/>
    <w:rsid w:val="00F8631B"/>
  </w:style>
  <w:style w:type="numbering" w:customStyle="1" w:styleId="WWNum38112">
    <w:name w:val="WWNum38112"/>
    <w:basedOn w:val="NoList"/>
    <w:rsid w:val="00F8631B"/>
  </w:style>
  <w:style w:type="numbering" w:customStyle="1" w:styleId="WWNum39112">
    <w:name w:val="WWNum39112"/>
    <w:basedOn w:val="NoList"/>
    <w:rsid w:val="00F8631B"/>
  </w:style>
  <w:style w:type="numbering" w:customStyle="1" w:styleId="WWNum40112">
    <w:name w:val="WWNum40112"/>
    <w:basedOn w:val="NoList"/>
    <w:rsid w:val="00F8631B"/>
  </w:style>
  <w:style w:type="numbering" w:customStyle="1" w:styleId="WWNum41112">
    <w:name w:val="WWNum41112"/>
    <w:basedOn w:val="NoList"/>
    <w:rsid w:val="00F8631B"/>
  </w:style>
  <w:style w:type="numbering" w:customStyle="1" w:styleId="WWNum42112">
    <w:name w:val="WWNum42112"/>
    <w:basedOn w:val="NoList"/>
    <w:rsid w:val="00F8631B"/>
  </w:style>
  <w:style w:type="numbering" w:customStyle="1" w:styleId="WWNum43112">
    <w:name w:val="WWNum43112"/>
    <w:basedOn w:val="NoList"/>
    <w:rsid w:val="00F8631B"/>
  </w:style>
  <w:style w:type="numbering" w:customStyle="1" w:styleId="WWNum44112">
    <w:name w:val="WWNum44112"/>
    <w:basedOn w:val="NoList"/>
    <w:rsid w:val="00F8631B"/>
  </w:style>
  <w:style w:type="numbering" w:customStyle="1" w:styleId="WWNum45112">
    <w:name w:val="WWNum45112"/>
    <w:basedOn w:val="NoList"/>
    <w:rsid w:val="00F8631B"/>
  </w:style>
  <w:style w:type="numbering" w:customStyle="1" w:styleId="WWNum46112">
    <w:name w:val="WWNum46112"/>
    <w:basedOn w:val="NoList"/>
    <w:rsid w:val="00F8631B"/>
  </w:style>
  <w:style w:type="numbering" w:customStyle="1" w:styleId="WWNum47112">
    <w:name w:val="WWNum47112"/>
    <w:basedOn w:val="NoList"/>
    <w:rsid w:val="00F8631B"/>
  </w:style>
  <w:style w:type="numbering" w:customStyle="1" w:styleId="WWNum51112">
    <w:name w:val="WWNum51112"/>
    <w:basedOn w:val="NoList"/>
    <w:rsid w:val="00F8631B"/>
  </w:style>
  <w:style w:type="numbering" w:customStyle="1" w:styleId="WWNum52112">
    <w:name w:val="WWNum52112"/>
    <w:basedOn w:val="NoList"/>
    <w:rsid w:val="00F8631B"/>
  </w:style>
  <w:style w:type="numbering" w:customStyle="1" w:styleId="WWNum54112">
    <w:name w:val="WWNum54112"/>
    <w:basedOn w:val="NoList"/>
    <w:rsid w:val="00F8631B"/>
  </w:style>
  <w:style w:type="numbering" w:customStyle="1" w:styleId="WWNum55112">
    <w:name w:val="WWNum55112"/>
    <w:basedOn w:val="NoList"/>
    <w:rsid w:val="00F8631B"/>
  </w:style>
  <w:style w:type="numbering" w:customStyle="1" w:styleId="WWNum57112">
    <w:name w:val="WWNum57112"/>
    <w:basedOn w:val="NoList"/>
    <w:rsid w:val="00F8631B"/>
  </w:style>
  <w:style w:type="numbering" w:customStyle="1" w:styleId="WWNum58112">
    <w:name w:val="WWNum58112"/>
    <w:basedOn w:val="NoList"/>
    <w:rsid w:val="00F8631B"/>
  </w:style>
  <w:style w:type="numbering" w:customStyle="1" w:styleId="WWNum64112">
    <w:name w:val="WWNum64112"/>
    <w:basedOn w:val="NoList"/>
    <w:rsid w:val="00F8631B"/>
  </w:style>
  <w:style w:type="numbering" w:customStyle="1" w:styleId="WWNum65112">
    <w:name w:val="WWNum65112"/>
    <w:basedOn w:val="NoList"/>
    <w:rsid w:val="00F8631B"/>
  </w:style>
  <w:style w:type="numbering" w:customStyle="1" w:styleId="WWNum66112">
    <w:name w:val="WWNum66112"/>
    <w:basedOn w:val="NoList"/>
    <w:rsid w:val="00F8631B"/>
  </w:style>
  <w:style w:type="numbering" w:customStyle="1" w:styleId="WWNum70112">
    <w:name w:val="WWNum70112"/>
    <w:basedOn w:val="NoList"/>
    <w:rsid w:val="00F8631B"/>
  </w:style>
  <w:style w:type="numbering" w:customStyle="1" w:styleId="WWNum73112">
    <w:name w:val="WWNum73112"/>
    <w:basedOn w:val="NoList"/>
    <w:rsid w:val="00F8631B"/>
  </w:style>
  <w:style w:type="numbering" w:customStyle="1" w:styleId="WWNum74112">
    <w:name w:val="WWNum74112"/>
    <w:basedOn w:val="NoList"/>
    <w:rsid w:val="00F8631B"/>
  </w:style>
  <w:style w:type="numbering" w:customStyle="1" w:styleId="WWNum75112">
    <w:name w:val="WWNum75112"/>
    <w:basedOn w:val="NoList"/>
    <w:rsid w:val="00F8631B"/>
  </w:style>
  <w:style w:type="numbering" w:customStyle="1" w:styleId="WWNum76112">
    <w:name w:val="WWNum76112"/>
    <w:basedOn w:val="NoList"/>
    <w:rsid w:val="00F8631B"/>
  </w:style>
  <w:style w:type="numbering" w:customStyle="1" w:styleId="WWNum77112">
    <w:name w:val="WWNum77112"/>
    <w:basedOn w:val="NoList"/>
    <w:rsid w:val="00F8631B"/>
  </w:style>
  <w:style w:type="numbering" w:customStyle="1" w:styleId="WWNum78112">
    <w:name w:val="WWNum78112"/>
    <w:basedOn w:val="NoList"/>
    <w:rsid w:val="00F8631B"/>
  </w:style>
  <w:style w:type="numbering" w:customStyle="1" w:styleId="NoList111111">
    <w:name w:val="No List111111"/>
    <w:next w:val="NoList"/>
    <w:uiPriority w:val="99"/>
    <w:semiHidden/>
    <w:unhideWhenUsed/>
    <w:rsid w:val="00F8631B"/>
  </w:style>
  <w:style w:type="table" w:customStyle="1" w:styleId="TableGrid22">
    <w:name w:val="Table Grid22"/>
    <w:basedOn w:val="TableNormal"/>
    <w:next w:val="TableGrid"/>
    <w:uiPriority w:val="59"/>
    <w:rsid w:val="00F8631B"/>
    <w:pPr>
      <w:spacing w:after="0" w:line="240" w:lineRule="auto"/>
    </w:pPr>
    <w:rPr>
      <w:rFonts w:ascii="Calibri" w:eastAsia="Times New Roman" w:hAnsi="Calibri" w:cs="Times New Roman"/>
      <w:kern w:val="0"/>
      <w:sz w:val="20"/>
      <w:szCs w:val="20"/>
      <w:lang w:val="en-IN" w:eastAsia="en-IN"/>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Num7622">
    <w:name w:val="WWNum7622"/>
    <w:basedOn w:val="NoList"/>
    <w:rsid w:val="00F8631B"/>
  </w:style>
  <w:style w:type="numbering" w:customStyle="1" w:styleId="WWNum622">
    <w:name w:val="WWNum622"/>
    <w:basedOn w:val="NoList"/>
    <w:rsid w:val="00F8631B"/>
  </w:style>
  <w:style w:type="numbering" w:customStyle="1" w:styleId="WWNum822">
    <w:name w:val="WWNum822"/>
    <w:basedOn w:val="NoList"/>
    <w:rsid w:val="00F8631B"/>
  </w:style>
  <w:style w:type="numbering" w:customStyle="1" w:styleId="WWNum922">
    <w:name w:val="WWNum922"/>
    <w:basedOn w:val="NoList"/>
    <w:rsid w:val="00F8631B"/>
  </w:style>
  <w:style w:type="numbering" w:customStyle="1" w:styleId="WWNum1022">
    <w:name w:val="WWNum1022"/>
    <w:basedOn w:val="NoList"/>
    <w:rsid w:val="00F8631B"/>
  </w:style>
  <w:style w:type="numbering" w:customStyle="1" w:styleId="WWNum1132">
    <w:name w:val="WWNum1132"/>
    <w:basedOn w:val="NoList"/>
    <w:rsid w:val="00F8631B"/>
  </w:style>
  <w:style w:type="numbering" w:customStyle="1" w:styleId="WWNum1222">
    <w:name w:val="WWNum1222"/>
    <w:basedOn w:val="NoList"/>
    <w:rsid w:val="00F8631B"/>
  </w:style>
  <w:style w:type="numbering" w:customStyle="1" w:styleId="WWNum1322">
    <w:name w:val="WWNum1322"/>
    <w:basedOn w:val="NoList"/>
    <w:rsid w:val="00F8631B"/>
  </w:style>
  <w:style w:type="numbering" w:customStyle="1" w:styleId="WWNum1522">
    <w:name w:val="WWNum1522"/>
    <w:basedOn w:val="NoList"/>
    <w:rsid w:val="00F8631B"/>
  </w:style>
  <w:style w:type="numbering" w:customStyle="1" w:styleId="WWNum1622">
    <w:name w:val="WWNum1622"/>
    <w:basedOn w:val="NoList"/>
    <w:rsid w:val="00F8631B"/>
  </w:style>
  <w:style w:type="numbering" w:customStyle="1" w:styleId="WWNum1722">
    <w:name w:val="WWNum1722"/>
    <w:basedOn w:val="NoList"/>
    <w:rsid w:val="00F8631B"/>
  </w:style>
  <w:style w:type="numbering" w:customStyle="1" w:styleId="WWNum1832">
    <w:name w:val="WWNum1832"/>
    <w:basedOn w:val="NoList"/>
    <w:rsid w:val="00F8631B"/>
  </w:style>
  <w:style w:type="numbering" w:customStyle="1" w:styleId="WWNum1922">
    <w:name w:val="WWNum1922"/>
    <w:basedOn w:val="NoList"/>
    <w:rsid w:val="00F8631B"/>
  </w:style>
  <w:style w:type="numbering" w:customStyle="1" w:styleId="WWNum2022">
    <w:name w:val="WWNum2022"/>
    <w:basedOn w:val="NoList"/>
    <w:rsid w:val="00F8631B"/>
  </w:style>
  <w:style w:type="numbering" w:customStyle="1" w:styleId="WWNum2322">
    <w:name w:val="WWNum2322"/>
    <w:basedOn w:val="NoList"/>
    <w:rsid w:val="00F8631B"/>
  </w:style>
  <w:style w:type="numbering" w:customStyle="1" w:styleId="WWNum2422">
    <w:name w:val="WWNum2422"/>
    <w:basedOn w:val="NoList"/>
    <w:rsid w:val="00F8631B"/>
  </w:style>
  <w:style w:type="numbering" w:customStyle="1" w:styleId="WWNum2522">
    <w:name w:val="WWNum2522"/>
    <w:basedOn w:val="NoList"/>
    <w:rsid w:val="00F8631B"/>
  </w:style>
  <w:style w:type="numbering" w:customStyle="1" w:styleId="WWNum2622">
    <w:name w:val="WWNum2622"/>
    <w:basedOn w:val="NoList"/>
    <w:rsid w:val="00F8631B"/>
  </w:style>
  <w:style w:type="numbering" w:customStyle="1" w:styleId="WWNum2722">
    <w:name w:val="WWNum2722"/>
    <w:basedOn w:val="NoList"/>
    <w:rsid w:val="00F8631B"/>
  </w:style>
  <w:style w:type="numbering" w:customStyle="1" w:styleId="WWNum2822">
    <w:name w:val="WWNum2822"/>
    <w:basedOn w:val="NoList"/>
    <w:rsid w:val="00F8631B"/>
  </w:style>
  <w:style w:type="numbering" w:customStyle="1" w:styleId="WWNum2922">
    <w:name w:val="WWNum2922"/>
    <w:basedOn w:val="NoList"/>
    <w:rsid w:val="00F8631B"/>
  </w:style>
  <w:style w:type="numbering" w:customStyle="1" w:styleId="WWNum3022">
    <w:name w:val="WWNum3022"/>
    <w:basedOn w:val="NoList"/>
    <w:rsid w:val="00F8631B"/>
  </w:style>
  <w:style w:type="numbering" w:customStyle="1" w:styleId="WWNum3122">
    <w:name w:val="WWNum3122"/>
    <w:basedOn w:val="NoList"/>
    <w:rsid w:val="00F8631B"/>
  </w:style>
  <w:style w:type="numbering" w:customStyle="1" w:styleId="WWNum3222">
    <w:name w:val="WWNum3222"/>
    <w:basedOn w:val="NoList"/>
    <w:rsid w:val="00F8631B"/>
  </w:style>
  <w:style w:type="numbering" w:customStyle="1" w:styleId="WWNum3322">
    <w:name w:val="WWNum3322"/>
    <w:basedOn w:val="NoList"/>
    <w:rsid w:val="00F8631B"/>
  </w:style>
  <w:style w:type="numbering" w:customStyle="1" w:styleId="WWNum3422">
    <w:name w:val="WWNum3422"/>
    <w:basedOn w:val="NoList"/>
    <w:rsid w:val="00F8631B"/>
  </w:style>
  <w:style w:type="numbering" w:customStyle="1" w:styleId="WWNum3522">
    <w:name w:val="WWNum3522"/>
    <w:basedOn w:val="NoList"/>
    <w:rsid w:val="00F8631B"/>
  </w:style>
  <w:style w:type="numbering" w:customStyle="1" w:styleId="WWNum3722">
    <w:name w:val="WWNum3722"/>
    <w:basedOn w:val="NoList"/>
    <w:rsid w:val="00F8631B"/>
  </w:style>
  <w:style w:type="numbering" w:customStyle="1" w:styleId="WWNum3822">
    <w:name w:val="WWNum3822"/>
    <w:basedOn w:val="NoList"/>
    <w:rsid w:val="00F8631B"/>
  </w:style>
  <w:style w:type="numbering" w:customStyle="1" w:styleId="WWNum4022">
    <w:name w:val="WWNum4022"/>
    <w:basedOn w:val="NoList"/>
    <w:rsid w:val="00F8631B"/>
  </w:style>
  <w:style w:type="numbering" w:customStyle="1" w:styleId="WWNum4222">
    <w:name w:val="WWNum4222"/>
    <w:basedOn w:val="NoList"/>
    <w:rsid w:val="00F8631B"/>
  </w:style>
  <w:style w:type="numbering" w:customStyle="1" w:styleId="WWNum4322">
    <w:name w:val="WWNum4322"/>
    <w:basedOn w:val="NoList"/>
    <w:rsid w:val="00F8631B"/>
  </w:style>
  <w:style w:type="numbering" w:customStyle="1" w:styleId="WWNum4422">
    <w:name w:val="WWNum4422"/>
    <w:basedOn w:val="NoList"/>
    <w:rsid w:val="00F8631B"/>
  </w:style>
  <w:style w:type="numbering" w:customStyle="1" w:styleId="WWNum4522">
    <w:name w:val="WWNum4522"/>
    <w:basedOn w:val="NoList"/>
    <w:rsid w:val="00F8631B"/>
  </w:style>
  <w:style w:type="numbering" w:customStyle="1" w:styleId="WWNum4622">
    <w:name w:val="WWNum4622"/>
    <w:basedOn w:val="NoList"/>
    <w:rsid w:val="00F8631B"/>
  </w:style>
  <w:style w:type="numbering" w:customStyle="1" w:styleId="WWNum4722">
    <w:name w:val="WWNum4722"/>
    <w:basedOn w:val="NoList"/>
    <w:rsid w:val="00F8631B"/>
  </w:style>
  <w:style w:type="numbering" w:customStyle="1" w:styleId="WWNum5122">
    <w:name w:val="WWNum5122"/>
    <w:basedOn w:val="NoList"/>
    <w:rsid w:val="00F8631B"/>
  </w:style>
  <w:style w:type="numbering" w:customStyle="1" w:styleId="WWNum5422">
    <w:name w:val="WWNum5422"/>
    <w:basedOn w:val="NoList"/>
    <w:rsid w:val="00F8631B"/>
  </w:style>
  <w:style w:type="numbering" w:customStyle="1" w:styleId="WWNum5522">
    <w:name w:val="WWNum5522"/>
    <w:basedOn w:val="NoList"/>
    <w:rsid w:val="00F8631B"/>
  </w:style>
  <w:style w:type="numbering" w:customStyle="1" w:styleId="WWNum5722">
    <w:name w:val="WWNum5722"/>
    <w:basedOn w:val="NoList"/>
    <w:rsid w:val="00F8631B"/>
  </w:style>
  <w:style w:type="numbering" w:customStyle="1" w:styleId="WWNum5822">
    <w:name w:val="WWNum5822"/>
    <w:basedOn w:val="NoList"/>
    <w:rsid w:val="00F8631B"/>
  </w:style>
  <w:style w:type="numbering" w:customStyle="1" w:styleId="WWNum6422">
    <w:name w:val="WWNum6422"/>
    <w:basedOn w:val="NoList"/>
    <w:rsid w:val="00F8631B"/>
  </w:style>
  <w:style w:type="numbering" w:customStyle="1" w:styleId="WWNum6522">
    <w:name w:val="WWNum6522"/>
    <w:basedOn w:val="NoList"/>
    <w:rsid w:val="00F8631B"/>
  </w:style>
  <w:style w:type="numbering" w:customStyle="1" w:styleId="WWNum6622">
    <w:name w:val="WWNum6622"/>
    <w:basedOn w:val="NoList"/>
    <w:rsid w:val="00F8631B"/>
  </w:style>
  <w:style w:type="numbering" w:customStyle="1" w:styleId="WWNum7022">
    <w:name w:val="WWNum7022"/>
    <w:basedOn w:val="NoList"/>
    <w:rsid w:val="00F8631B"/>
  </w:style>
  <w:style w:type="numbering" w:customStyle="1" w:styleId="WWNum7322">
    <w:name w:val="WWNum7322"/>
    <w:basedOn w:val="NoList"/>
    <w:rsid w:val="00F8631B"/>
  </w:style>
  <w:style w:type="numbering" w:customStyle="1" w:styleId="WWNum7422">
    <w:name w:val="WWNum7422"/>
    <w:basedOn w:val="NoList"/>
    <w:rsid w:val="00F8631B"/>
  </w:style>
  <w:style w:type="numbering" w:customStyle="1" w:styleId="WWNum7522">
    <w:name w:val="WWNum7522"/>
    <w:basedOn w:val="NoList"/>
    <w:rsid w:val="00F8631B"/>
  </w:style>
  <w:style w:type="numbering" w:customStyle="1" w:styleId="WWNum7822">
    <w:name w:val="WWNum7822"/>
    <w:basedOn w:val="NoList"/>
    <w:rsid w:val="00F8631B"/>
  </w:style>
  <w:style w:type="numbering" w:customStyle="1" w:styleId="NoList32">
    <w:name w:val="No List32"/>
    <w:next w:val="NoList"/>
    <w:uiPriority w:val="99"/>
    <w:semiHidden/>
    <w:unhideWhenUsed/>
    <w:rsid w:val="00F8631B"/>
  </w:style>
  <w:style w:type="numbering" w:customStyle="1" w:styleId="WWNum1141">
    <w:name w:val="WWNum1141"/>
    <w:basedOn w:val="NoList"/>
    <w:rsid w:val="00F8631B"/>
  </w:style>
  <w:style w:type="numbering" w:customStyle="1" w:styleId="WWNum631">
    <w:name w:val="WWNum631"/>
    <w:basedOn w:val="NoList"/>
    <w:rsid w:val="00F8631B"/>
  </w:style>
  <w:style w:type="numbering" w:customStyle="1" w:styleId="WWNum831">
    <w:name w:val="WWNum831"/>
    <w:basedOn w:val="NoList"/>
    <w:rsid w:val="00F8631B"/>
  </w:style>
  <w:style w:type="numbering" w:customStyle="1" w:styleId="WWNum931">
    <w:name w:val="WWNum931"/>
    <w:basedOn w:val="NoList"/>
    <w:rsid w:val="00F8631B"/>
  </w:style>
  <w:style w:type="numbering" w:customStyle="1" w:styleId="WWNum1031">
    <w:name w:val="WWNum1031"/>
    <w:basedOn w:val="NoList"/>
    <w:rsid w:val="00F8631B"/>
  </w:style>
  <w:style w:type="numbering" w:customStyle="1" w:styleId="WWNum1151">
    <w:name w:val="WWNum1151"/>
    <w:basedOn w:val="NoList"/>
    <w:rsid w:val="00F8631B"/>
  </w:style>
  <w:style w:type="numbering" w:customStyle="1" w:styleId="WWNum1231">
    <w:name w:val="WWNum1231"/>
    <w:basedOn w:val="NoList"/>
    <w:rsid w:val="00F8631B"/>
  </w:style>
  <w:style w:type="numbering" w:customStyle="1" w:styleId="WWNum1331">
    <w:name w:val="WWNum1331"/>
    <w:basedOn w:val="NoList"/>
    <w:rsid w:val="00F8631B"/>
  </w:style>
  <w:style w:type="numbering" w:customStyle="1" w:styleId="WWNum1431">
    <w:name w:val="WWNum1431"/>
    <w:basedOn w:val="NoList"/>
    <w:rsid w:val="00F8631B"/>
  </w:style>
  <w:style w:type="numbering" w:customStyle="1" w:styleId="WWNum1531">
    <w:name w:val="WWNum1531"/>
    <w:basedOn w:val="NoList"/>
    <w:rsid w:val="00F8631B"/>
  </w:style>
  <w:style w:type="numbering" w:customStyle="1" w:styleId="WWNum1631">
    <w:name w:val="WWNum1631"/>
    <w:basedOn w:val="NoList"/>
    <w:rsid w:val="00F8631B"/>
  </w:style>
  <w:style w:type="numbering" w:customStyle="1" w:styleId="WWNum1731">
    <w:name w:val="WWNum1731"/>
    <w:basedOn w:val="NoList"/>
    <w:rsid w:val="00F8631B"/>
  </w:style>
  <w:style w:type="numbering" w:customStyle="1" w:styleId="WWNum1841">
    <w:name w:val="WWNum1841"/>
    <w:basedOn w:val="NoList"/>
    <w:rsid w:val="00F8631B"/>
  </w:style>
  <w:style w:type="numbering" w:customStyle="1" w:styleId="WWNum1931">
    <w:name w:val="WWNum1931"/>
    <w:basedOn w:val="NoList"/>
    <w:rsid w:val="00F8631B"/>
  </w:style>
  <w:style w:type="numbering" w:customStyle="1" w:styleId="WWNum2031">
    <w:name w:val="WWNum2031"/>
    <w:basedOn w:val="NoList"/>
    <w:rsid w:val="00F8631B"/>
  </w:style>
  <w:style w:type="numbering" w:customStyle="1" w:styleId="WWNum2131">
    <w:name w:val="WWNum2131"/>
    <w:basedOn w:val="NoList"/>
    <w:rsid w:val="00F8631B"/>
  </w:style>
  <w:style w:type="numbering" w:customStyle="1" w:styleId="WWNum2331">
    <w:name w:val="WWNum2331"/>
    <w:basedOn w:val="NoList"/>
    <w:rsid w:val="00F8631B"/>
  </w:style>
  <w:style w:type="numbering" w:customStyle="1" w:styleId="WWNum2431">
    <w:name w:val="WWNum2431"/>
    <w:basedOn w:val="NoList"/>
    <w:rsid w:val="00F8631B"/>
  </w:style>
  <w:style w:type="numbering" w:customStyle="1" w:styleId="WWNum2531">
    <w:name w:val="WWNum2531"/>
    <w:basedOn w:val="NoList"/>
    <w:rsid w:val="00F8631B"/>
  </w:style>
  <w:style w:type="numbering" w:customStyle="1" w:styleId="WWNum2631">
    <w:name w:val="WWNum2631"/>
    <w:basedOn w:val="NoList"/>
    <w:rsid w:val="00F8631B"/>
  </w:style>
  <w:style w:type="numbering" w:customStyle="1" w:styleId="WWNum2731">
    <w:name w:val="WWNum2731"/>
    <w:basedOn w:val="NoList"/>
    <w:rsid w:val="00F8631B"/>
  </w:style>
  <w:style w:type="numbering" w:customStyle="1" w:styleId="WWNum2831">
    <w:name w:val="WWNum2831"/>
    <w:basedOn w:val="NoList"/>
    <w:rsid w:val="00F8631B"/>
  </w:style>
  <w:style w:type="numbering" w:customStyle="1" w:styleId="WWNum2931">
    <w:name w:val="WWNum2931"/>
    <w:basedOn w:val="NoList"/>
    <w:rsid w:val="00F8631B"/>
  </w:style>
  <w:style w:type="numbering" w:customStyle="1" w:styleId="WWNum3031">
    <w:name w:val="WWNum3031"/>
    <w:basedOn w:val="NoList"/>
    <w:rsid w:val="00F8631B"/>
  </w:style>
  <w:style w:type="numbering" w:customStyle="1" w:styleId="WWNum3131">
    <w:name w:val="WWNum3131"/>
    <w:basedOn w:val="NoList"/>
    <w:rsid w:val="00F8631B"/>
  </w:style>
  <w:style w:type="numbering" w:customStyle="1" w:styleId="WWNum3231">
    <w:name w:val="WWNum3231"/>
    <w:basedOn w:val="NoList"/>
    <w:rsid w:val="00F8631B"/>
  </w:style>
  <w:style w:type="numbering" w:customStyle="1" w:styleId="WWNum3331">
    <w:name w:val="WWNum3331"/>
    <w:basedOn w:val="NoList"/>
    <w:rsid w:val="00F8631B"/>
  </w:style>
  <w:style w:type="numbering" w:customStyle="1" w:styleId="WWNum3431">
    <w:name w:val="WWNum3431"/>
    <w:basedOn w:val="NoList"/>
    <w:rsid w:val="00F8631B"/>
  </w:style>
  <w:style w:type="numbering" w:customStyle="1" w:styleId="WWNum3531">
    <w:name w:val="WWNum3531"/>
    <w:basedOn w:val="NoList"/>
    <w:rsid w:val="00F8631B"/>
  </w:style>
  <w:style w:type="numbering" w:customStyle="1" w:styleId="WWNum3731">
    <w:name w:val="WWNum3731"/>
    <w:basedOn w:val="NoList"/>
    <w:rsid w:val="00F8631B"/>
  </w:style>
  <w:style w:type="numbering" w:customStyle="1" w:styleId="WWNum3831">
    <w:name w:val="WWNum3831"/>
    <w:basedOn w:val="NoList"/>
    <w:rsid w:val="00F8631B"/>
  </w:style>
  <w:style w:type="numbering" w:customStyle="1" w:styleId="WWNum3931">
    <w:name w:val="WWNum3931"/>
    <w:basedOn w:val="NoList"/>
    <w:rsid w:val="00F8631B"/>
  </w:style>
  <w:style w:type="numbering" w:customStyle="1" w:styleId="WWNum4031">
    <w:name w:val="WWNum4031"/>
    <w:basedOn w:val="NoList"/>
    <w:rsid w:val="00F8631B"/>
  </w:style>
  <w:style w:type="numbering" w:customStyle="1" w:styleId="WWNum4231">
    <w:name w:val="WWNum4231"/>
    <w:basedOn w:val="NoList"/>
    <w:rsid w:val="00F8631B"/>
  </w:style>
  <w:style w:type="numbering" w:customStyle="1" w:styleId="WWNum4331">
    <w:name w:val="WWNum4331"/>
    <w:basedOn w:val="NoList"/>
    <w:rsid w:val="00F8631B"/>
  </w:style>
  <w:style w:type="numbering" w:customStyle="1" w:styleId="WWNum4431">
    <w:name w:val="WWNum4431"/>
    <w:basedOn w:val="NoList"/>
    <w:rsid w:val="00F8631B"/>
  </w:style>
  <w:style w:type="numbering" w:customStyle="1" w:styleId="WWNum4531">
    <w:name w:val="WWNum4531"/>
    <w:basedOn w:val="NoList"/>
    <w:rsid w:val="00F8631B"/>
  </w:style>
  <w:style w:type="numbering" w:customStyle="1" w:styleId="WWNum4631">
    <w:name w:val="WWNum4631"/>
    <w:basedOn w:val="NoList"/>
    <w:rsid w:val="00F8631B"/>
  </w:style>
  <w:style w:type="numbering" w:customStyle="1" w:styleId="WWNum4731">
    <w:name w:val="WWNum4731"/>
    <w:basedOn w:val="NoList"/>
    <w:rsid w:val="00F8631B"/>
  </w:style>
  <w:style w:type="numbering" w:customStyle="1" w:styleId="WWNum5131">
    <w:name w:val="WWNum5131"/>
    <w:basedOn w:val="NoList"/>
    <w:rsid w:val="00F8631B"/>
  </w:style>
  <w:style w:type="numbering" w:customStyle="1" w:styleId="WWNum5231">
    <w:name w:val="WWNum5231"/>
    <w:basedOn w:val="NoList"/>
    <w:rsid w:val="00F8631B"/>
  </w:style>
  <w:style w:type="numbering" w:customStyle="1" w:styleId="WWNum5431">
    <w:name w:val="WWNum5431"/>
    <w:basedOn w:val="NoList"/>
    <w:rsid w:val="00F8631B"/>
  </w:style>
  <w:style w:type="numbering" w:customStyle="1" w:styleId="WWNum5531">
    <w:name w:val="WWNum5531"/>
    <w:basedOn w:val="NoList"/>
    <w:rsid w:val="00F8631B"/>
  </w:style>
  <w:style w:type="numbering" w:customStyle="1" w:styleId="WWNum5731">
    <w:name w:val="WWNum5731"/>
    <w:basedOn w:val="NoList"/>
    <w:rsid w:val="00F8631B"/>
  </w:style>
  <w:style w:type="numbering" w:customStyle="1" w:styleId="WWNum5831">
    <w:name w:val="WWNum5831"/>
    <w:basedOn w:val="NoList"/>
    <w:rsid w:val="00F8631B"/>
  </w:style>
  <w:style w:type="numbering" w:customStyle="1" w:styleId="WWNum6431">
    <w:name w:val="WWNum6431"/>
    <w:basedOn w:val="NoList"/>
    <w:rsid w:val="00F8631B"/>
  </w:style>
  <w:style w:type="numbering" w:customStyle="1" w:styleId="WWNum6531">
    <w:name w:val="WWNum6531"/>
    <w:basedOn w:val="NoList"/>
    <w:rsid w:val="00F8631B"/>
  </w:style>
  <w:style w:type="numbering" w:customStyle="1" w:styleId="WWNum6631">
    <w:name w:val="WWNum6631"/>
    <w:basedOn w:val="NoList"/>
    <w:rsid w:val="00F8631B"/>
  </w:style>
  <w:style w:type="numbering" w:customStyle="1" w:styleId="WWNum7031">
    <w:name w:val="WWNum7031"/>
    <w:basedOn w:val="NoList"/>
    <w:rsid w:val="00F8631B"/>
  </w:style>
  <w:style w:type="numbering" w:customStyle="1" w:styleId="WWNum7331">
    <w:name w:val="WWNum7331"/>
    <w:basedOn w:val="NoList"/>
    <w:rsid w:val="00F8631B"/>
  </w:style>
  <w:style w:type="numbering" w:customStyle="1" w:styleId="WWNum7431">
    <w:name w:val="WWNum7431"/>
    <w:basedOn w:val="NoList"/>
    <w:rsid w:val="00F8631B"/>
  </w:style>
  <w:style w:type="numbering" w:customStyle="1" w:styleId="WWNum7531">
    <w:name w:val="WWNum7531"/>
    <w:basedOn w:val="NoList"/>
    <w:rsid w:val="00F8631B"/>
  </w:style>
  <w:style w:type="numbering" w:customStyle="1" w:styleId="WWNum7641">
    <w:name w:val="WWNum7641"/>
    <w:basedOn w:val="NoList"/>
    <w:rsid w:val="00F8631B"/>
  </w:style>
  <w:style w:type="numbering" w:customStyle="1" w:styleId="WWNum7831">
    <w:name w:val="WWNum7831"/>
    <w:basedOn w:val="NoList"/>
    <w:rsid w:val="00F8631B"/>
  </w:style>
  <w:style w:type="numbering" w:customStyle="1" w:styleId="NoList41">
    <w:name w:val="No List41"/>
    <w:next w:val="NoList"/>
    <w:uiPriority w:val="99"/>
    <w:semiHidden/>
    <w:unhideWhenUsed/>
    <w:rsid w:val="00F8631B"/>
  </w:style>
  <w:style w:type="numbering" w:customStyle="1" w:styleId="WWNum1161">
    <w:name w:val="WWNum1161"/>
    <w:basedOn w:val="NoList"/>
    <w:rsid w:val="00F8631B"/>
  </w:style>
  <w:style w:type="numbering" w:customStyle="1" w:styleId="WWNum671">
    <w:name w:val="WWNum671"/>
    <w:basedOn w:val="NoList"/>
    <w:rsid w:val="00F8631B"/>
  </w:style>
  <w:style w:type="numbering" w:customStyle="1" w:styleId="WWNum841">
    <w:name w:val="WWNum841"/>
    <w:basedOn w:val="NoList"/>
    <w:rsid w:val="00F8631B"/>
  </w:style>
  <w:style w:type="numbering" w:customStyle="1" w:styleId="WWNum941">
    <w:name w:val="WWNum941"/>
    <w:basedOn w:val="NoList"/>
    <w:rsid w:val="00F8631B"/>
  </w:style>
  <w:style w:type="numbering" w:customStyle="1" w:styleId="WWNum1041">
    <w:name w:val="WWNum1041"/>
    <w:basedOn w:val="NoList"/>
    <w:rsid w:val="00F8631B"/>
  </w:style>
  <w:style w:type="numbering" w:customStyle="1" w:styleId="WWNum1171">
    <w:name w:val="WWNum1171"/>
    <w:basedOn w:val="NoList"/>
    <w:rsid w:val="00F8631B"/>
  </w:style>
  <w:style w:type="numbering" w:customStyle="1" w:styleId="WWNum1241">
    <w:name w:val="WWNum1241"/>
    <w:basedOn w:val="NoList"/>
    <w:rsid w:val="00F8631B"/>
  </w:style>
  <w:style w:type="numbering" w:customStyle="1" w:styleId="WWNum1341">
    <w:name w:val="WWNum1341"/>
    <w:basedOn w:val="NoList"/>
    <w:rsid w:val="00F8631B"/>
  </w:style>
  <w:style w:type="numbering" w:customStyle="1" w:styleId="WWNum1441">
    <w:name w:val="WWNum1441"/>
    <w:basedOn w:val="NoList"/>
    <w:rsid w:val="00F8631B"/>
  </w:style>
  <w:style w:type="numbering" w:customStyle="1" w:styleId="WWNum1541">
    <w:name w:val="WWNum1541"/>
    <w:basedOn w:val="NoList"/>
    <w:rsid w:val="00F8631B"/>
  </w:style>
  <w:style w:type="numbering" w:customStyle="1" w:styleId="WWNum1641">
    <w:name w:val="WWNum1641"/>
    <w:basedOn w:val="NoList"/>
    <w:rsid w:val="00F8631B"/>
  </w:style>
  <w:style w:type="numbering" w:customStyle="1" w:styleId="WWNum1741">
    <w:name w:val="WWNum1741"/>
    <w:basedOn w:val="NoList"/>
    <w:rsid w:val="00F8631B"/>
  </w:style>
  <w:style w:type="numbering" w:customStyle="1" w:styleId="WWNum1851">
    <w:name w:val="WWNum1851"/>
    <w:basedOn w:val="NoList"/>
    <w:rsid w:val="00F8631B"/>
  </w:style>
  <w:style w:type="numbering" w:customStyle="1" w:styleId="WWNum1941">
    <w:name w:val="WWNum1941"/>
    <w:basedOn w:val="NoList"/>
    <w:rsid w:val="00F8631B"/>
  </w:style>
  <w:style w:type="numbering" w:customStyle="1" w:styleId="WWNum2041">
    <w:name w:val="WWNum2041"/>
    <w:basedOn w:val="NoList"/>
    <w:rsid w:val="00F8631B"/>
  </w:style>
  <w:style w:type="numbering" w:customStyle="1" w:styleId="WWNum2141">
    <w:name w:val="WWNum2141"/>
    <w:basedOn w:val="NoList"/>
    <w:rsid w:val="00F8631B"/>
  </w:style>
  <w:style w:type="numbering" w:customStyle="1" w:styleId="WWNum2341">
    <w:name w:val="WWNum2341"/>
    <w:basedOn w:val="NoList"/>
    <w:rsid w:val="00F8631B"/>
  </w:style>
  <w:style w:type="numbering" w:customStyle="1" w:styleId="WWNum2441">
    <w:name w:val="WWNum2441"/>
    <w:basedOn w:val="NoList"/>
    <w:rsid w:val="00F8631B"/>
  </w:style>
  <w:style w:type="numbering" w:customStyle="1" w:styleId="WWNum2541">
    <w:name w:val="WWNum2541"/>
    <w:basedOn w:val="NoList"/>
    <w:rsid w:val="00F8631B"/>
  </w:style>
  <w:style w:type="numbering" w:customStyle="1" w:styleId="WWNum2641">
    <w:name w:val="WWNum2641"/>
    <w:basedOn w:val="NoList"/>
    <w:rsid w:val="00F8631B"/>
  </w:style>
  <w:style w:type="numbering" w:customStyle="1" w:styleId="WWNum2741">
    <w:name w:val="WWNum2741"/>
    <w:basedOn w:val="NoList"/>
    <w:rsid w:val="00F8631B"/>
  </w:style>
  <w:style w:type="numbering" w:customStyle="1" w:styleId="WWNum2841">
    <w:name w:val="WWNum2841"/>
    <w:basedOn w:val="NoList"/>
    <w:rsid w:val="00F8631B"/>
  </w:style>
  <w:style w:type="numbering" w:customStyle="1" w:styleId="WWNum2941">
    <w:name w:val="WWNum2941"/>
    <w:basedOn w:val="NoList"/>
    <w:rsid w:val="00F8631B"/>
  </w:style>
  <w:style w:type="numbering" w:customStyle="1" w:styleId="WWNum3041">
    <w:name w:val="WWNum3041"/>
    <w:basedOn w:val="NoList"/>
    <w:rsid w:val="00F8631B"/>
  </w:style>
  <w:style w:type="numbering" w:customStyle="1" w:styleId="WWNum3141">
    <w:name w:val="WWNum3141"/>
    <w:basedOn w:val="NoList"/>
    <w:rsid w:val="00F8631B"/>
  </w:style>
  <w:style w:type="numbering" w:customStyle="1" w:styleId="WWNum3241">
    <w:name w:val="WWNum3241"/>
    <w:basedOn w:val="NoList"/>
    <w:rsid w:val="00F8631B"/>
  </w:style>
  <w:style w:type="numbering" w:customStyle="1" w:styleId="WWNum3341">
    <w:name w:val="WWNum3341"/>
    <w:basedOn w:val="NoList"/>
    <w:rsid w:val="00F8631B"/>
  </w:style>
  <w:style w:type="numbering" w:customStyle="1" w:styleId="WWNum3441">
    <w:name w:val="WWNum3441"/>
    <w:basedOn w:val="NoList"/>
    <w:rsid w:val="00F8631B"/>
  </w:style>
  <w:style w:type="numbering" w:customStyle="1" w:styleId="WWNum3541">
    <w:name w:val="WWNum3541"/>
    <w:basedOn w:val="NoList"/>
    <w:rsid w:val="00F8631B"/>
  </w:style>
  <w:style w:type="numbering" w:customStyle="1" w:styleId="WWNum3741">
    <w:name w:val="WWNum3741"/>
    <w:basedOn w:val="NoList"/>
    <w:rsid w:val="00F8631B"/>
  </w:style>
  <w:style w:type="numbering" w:customStyle="1" w:styleId="WWNum3841">
    <w:name w:val="WWNum3841"/>
    <w:basedOn w:val="NoList"/>
    <w:rsid w:val="00F8631B"/>
  </w:style>
  <w:style w:type="numbering" w:customStyle="1" w:styleId="WWNum3941">
    <w:name w:val="WWNum3941"/>
    <w:basedOn w:val="NoList"/>
    <w:rsid w:val="00F8631B"/>
  </w:style>
  <w:style w:type="numbering" w:customStyle="1" w:styleId="WWNum4041">
    <w:name w:val="WWNum4041"/>
    <w:basedOn w:val="NoList"/>
    <w:rsid w:val="00F8631B"/>
  </w:style>
  <w:style w:type="numbering" w:customStyle="1" w:styleId="WWNum4241">
    <w:name w:val="WWNum4241"/>
    <w:basedOn w:val="NoList"/>
    <w:rsid w:val="00F8631B"/>
  </w:style>
  <w:style w:type="numbering" w:customStyle="1" w:styleId="WWNum4341">
    <w:name w:val="WWNum4341"/>
    <w:basedOn w:val="NoList"/>
    <w:rsid w:val="00F8631B"/>
  </w:style>
  <w:style w:type="numbering" w:customStyle="1" w:styleId="WWNum4441">
    <w:name w:val="WWNum4441"/>
    <w:basedOn w:val="NoList"/>
    <w:rsid w:val="00F8631B"/>
  </w:style>
  <w:style w:type="numbering" w:customStyle="1" w:styleId="WWNum4541">
    <w:name w:val="WWNum4541"/>
    <w:basedOn w:val="NoList"/>
    <w:rsid w:val="00F8631B"/>
  </w:style>
  <w:style w:type="numbering" w:customStyle="1" w:styleId="WWNum4641">
    <w:name w:val="WWNum4641"/>
    <w:basedOn w:val="NoList"/>
    <w:rsid w:val="00F8631B"/>
  </w:style>
  <w:style w:type="numbering" w:customStyle="1" w:styleId="WWNum4741">
    <w:name w:val="WWNum4741"/>
    <w:basedOn w:val="NoList"/>
    <w:rsid w:val="00F8631B"/>
  </w:style>
  <w:style w:type="numbering" w:customStyle="1" w:styleId="WWNum5141">
    <w:name w:val="WWNum5141"/>
    <w:basedOn w:val="NoList"/>
    <w:rsid w:val="00F8631B"/>
  </w:style>
  <w:style w:type="numbering" w:customStyle="1" w:styleId="WWNum5241">
    <w:name w:val="WWNum5241"/>
    <w:basedOn w:val="NoList"/>
    <w:rsid w:val="00F8631B"/>
  </w:style>
  <w:style w:type="numbering" w:customStyle="1" w:styleId="WWNum5541">
    <w:name w:val="WWNum5541"/>
    <w:basedOn w:val="NoList"/>
    <w:rsid w:val="00F8631B"/>
  </w:style>
  <w:style w:type="numbering" w:customStyle="1" w:styleId="WWNum5741">
    <w:name w:val="WWNum5741"/>
    <w:basedOn w:val="NoList"/>
    <w:rsid w:val="00F8631B"/>
  </w:style>
  <w:style w:type="numbering" w:customStyle="1" w:styleId="WWNum5841">
    <w:name w:val="WWNum5841"/>
    <w:basedOn w:val="NoList"/>
    <w:rsid w:val="00F8631B"/>
  </w:style>
  <w:style w:type="numbering" w:customStyle="1" w:styleId="WWNum6441">
    <w:name w:val="WWNum6441"/>
    <w:basedOn w:val="NoList"/>
    <w:rsid w:val="00F8631B"/>
  </w:style>
  <w:style w:type="numbering" w:customStyle="1" w:styleId="WWNum6541">
    <w:name w:val="WWNum6541"/>
    <w:basedOn w:val="NoList"/>
    <w:rsid w:val="00F8631B"/>
  </w:style>
  <w:style w:type="numbering" w:customStyle="1" w:styleId="WWNum6641">
    <w:name w:val="WWNum6641"/>
    <w:basedOn w:val="NoList"/>
    <w:rsid w:val="00F8631B"/>
  </w:style>
  <w:style w:type="numbering" w:customStyle="1" w:styleId="WWNum7041">
    <w:name w:val="WWNum7041"/>
    <w:basedOn w:val="NoList"/>
    <w:rsid w:val="00F8631B"/>
  </w:style>
  <w:style w:type="numbering" w:customStyle="1" w:styleId="WWNum7341">
    <w:name w:val="WWNum7341"/>
    <w:basedOn w:val="NoList"/>
    <w:rsid w:val="00F8631B"/>
  </w:style>
  <w:style w:type="numbering" w:customStyle="1" w:styleId="WWNum7441">
    <w:name w:val="WWNum7441"/>
    <w:basedOn w:val="NoList"/>
    <w:rsid w:val="00F8631B"/>
  </w:style>
  <w:style w:type="numbering" w:customStyle="1" w:styleId="WWNum7541">
    <w:name w:val="WWNum7541"/>
    <w:basedOn w:val="NoList"/>
    <w:rsid w:val="00F8631B"/>
  </w:style>
  <w:style w:type="numbering" w:customStyle="1" w:styleId="WWNum7651">
    <w:name w:val="WWNum7651"/>
    <w:basedOn w:val="NoList"/>
    <w:rsid w:val="00F8631B"/>
  </w:style>
  <w:style w:type="numbering" w:customStyle="1" w:styleId="WWNum7841">
    <w:name w:val="WWNum7841"/>
    <w:basedOn w:val="NoList"/>
    <w:rsid w:val="00F8631B"/>
  </w:style>
  <w:style w:type="numbering" w:customStyle="1" w:styleId="NoList51">
    <w:name w:val="No List51"/>
    <w:next w:val="NoList"/>
    <w:uiPriority w:val="99"/>
    <w:semiHidden/>
    <w:unhideWhenUsed/>
    <w:rsid w:val="00F8631B"/>
  </w:style>
  <w:style w:type="numbering" w:customStyle="1" w:styleId="NoList122">
    <w:name w:val="No List122"/>
    <w:next w:val="NoList"/>
    <w:uiPriority w:val="99"/>
    <w:semiHidden/>
    <w:unhideWhenUsed/>
    <w:rsid w:val="00F8631B"/>
  </w:style>
  <w:style w:type="numbering" w:customStyle="1" w:styleId="WWNum1051">
    <w:name w:val="WWNum1051"/>
    <w:basedOn w:val="NoList"/>
    <w:rsid w:val="00F8631B"/>
  </w:style>
  <w:style w:type="numbering" w:customStyle="1" w:styleId="NoList61">
    <w:name w:val="No List61"/>
    <w:next w:val="NoList"/>
    <w:uiPriority w:val="99"/>
    <w:semiHidden/>
    <w:unhideWhenUsed/>
    <w:rsid w:val="00F8631B"/>
  </w:style>
  <w:style w:type="numbering" w:customStyle="1" w:styleId="NoList9">
    <w:name w:val="No List9"/>
    <w:next w:val="NoList"/>
    <w:uiPriority w:val="99"/>
    <w:semiHidden/>
    <w:unhideWhenUsed/>
    <w:rsid w:val="00F8631B"/>
  </w:style>
  <w:style w:type="numbering" w:customStyle="1" w:styleId="NoList14">
    <w:name w:val="No List14"/>
    <w:next w:val="NoList"/>
    <w:uiPriority w:val="99"/>
    <w:semiHidden/>
    <w:unhideWhenUsed/>
    <w:rsid w:val="00F8631B"/>
  </w:style>
  <w:style w:type="numbering" w:customStyle="1" w:styleId="WWNum127">
    <w:name w:val="WWNum127"/>
    <w:basedOn w:val="NoList"/>
    <w:rsid w:val="00F8631B"/>
  </w:style>
  <w:style w:type="numbering" w:customStyle="1" w:styleId="WWNum416">
    <w:name w:val="WWNum416"/>
    <w:basedOn w:val="NoList"/>
    <w:rsid w:val="00F8631B"/>
  </w:style>
  <w:style w:type="numbering" w:customStyle="1" w:styleId="WWNum610">
    <w:name w:val="WWNum610"/>
    <w:basedOn w:val="NoList"/>
    <w:rsid w:val="00F8631B"/>
  </w:style>
  <w:style w:type="numbering" w:customStyle="1" w:styleId="WWNum87">
    <w:name w:val="WWNum87"/>
    <w:basedOn w:val="NoList"/>
    <w:rsid w:val="00F8631B"/>
  </w:style>
  <w:style w:type="numbering" w:customStyle="1" w:styleId="WWNum97">
    <w:name w:val="WWNum97"/>
    <w:basedOn w:val="NoList"/>
    <w:rsid w:val="00F8631B"/>
  </w:style>
  <w:style w:type="numbering" w:customStyle="1" w:styleId="WWNum1113">
    <w:name w:val="WWNum1113"/>
    <w:basedOn w:val="NoList"/>
    <w:rsid w:val="00F8631B"/>
  </w:style>
  <w:style w:type="numbering" w:customStyle="1" w:styleId="WWNum128">
    <w:name w:val="WWNum128"/>
    <w:basedOn w:val="NoList"/>
    <w:rsid w:val="00F8631B"/>
  </w:style>
  <w:style w:type="numbering" w:customStyle="1" w:styleId="WWNum137">
    <w:name w:val="WWNum137"/>
    <w:basedOn w:val="NoList"/>
    <w:rsid w:val="00F8631B"/>
  </w:style>
  <w:style w:type="numbering" w:customStyle="1" w:styleId="WWNum147">
    <w:name w:val="WWNum147"/>
    <w:basedOn w:val="NoList"/>
    <w:rsid w:val="00F8631B"/>
  </w:style>
  <w:style w:type="numbering" w:customStyle="1" w:styleId="WWNum157">
    <w:name w:val="WWNum157"/>
    <w:basedOn w:val="NoList"/>
    <w:rsid w:val="00F8631B"/>
  </w:style>
  <w:style w:type="numbering" w:customStyle="1" w:styleId="WWNum167">
    <w:name w:val="WWNum167"/>
    <w:basedOn w:val="NoList"/>
    <w:rsid w:val="00F8631B"/>
  </w:style>
  <w:style w:type="numbering" w:customStyle="1" w:styleId="WWNum177">
    <w:name w:val="WWNum177"/>
    <w:basedOn w:val="NoList"/>
    <w:rsid w:val="00F8631B"/>
  </w:style>
  <w:style w:type="numbering" w:customStyle="1" w:styleId="WWNum188">
    <w:name w:val="WWNum188"/>
    <w:basedOn w:val="NoList"/>
    <w:rsid w:val="00F8631B"/>
  </w:style>
  <w:style w:type="numbering" w:customStyle="1" w:styleId="WWNum197">
    <w:name w:val="WWNum197"/>
    <w:basedOn w:val="NoList"/>
    <w:rsid w:val="00F8631B"/>
  </w:style>
  <w:style w:type="numbering" w:customStyle="1" w:styleId="WWNum207">
    <w:name w:val="WWNum207"/>
    <w:basedOn w:val="NoList"/>
    <w:rsid w:val="00F8631B"/>
  </w:style>
  <w:style w:type="numbering" w:customStyle="1" w:styleId="WWNum217">
    <w:name w:val="WWNum217"/>
    <w:basedOn w:val="NoList"/>
    <w:rsid w:val="00F8631B"/>
  </w:style>
  <w:style w:type="numbering" w:customStyle="1" w:styleId="WWNum237">
    <w:name w:val="WWNum237"/>
    <w:basedOn w:val="NoList"/>
    <w:rsid w:val="00F8631B"/>
  </w:style>
  <w:style w:type="numbering" w:customStyle="1" w:styleId="WWNum247">
    <w:name w:val="WWNum247"/>
    <w:basedOn w:val="NoList"/>
    <w:rsid w:val="00F8631B"/>
  </w:style>
  <w:style w:type="numbering" w:customStyle="1" w:styleId="WWNum257">
    <w:name w:val="WWNum257"/>
    <w:basedOn w:val="NoList"/>
    <w:rsid w:val="00F8631B"/>
  </w:style>
  <w:style w:type="numbering" w:customStyle="1" w:styleId="WWNum267">
    <w:name w:val="WWNum267"/>
    <w:basedOn w:val="NoList"/>
    <w:rsid w:val="00F8631B"/>
  </w:style>
  <w:style w:type="numbering" w:customStyle="1" w:styleId="WWNum287">
    <w:name w:val="WWNum287"/>
    <w:basedOn w:val="NoList"/>
    <w:rsid w:val="00F8631B"/>
  </w:style>
  <w:style w:type="numbering" w:customStyle="1" w:styleId="WWNum307">
    <w:name w:val="WWNum307"/>
    <w:basedOn w:val="NoList"/>
    <w:rsid w:val="00F8631B"/>
  </w:style>
  <w:style w:type="numbering" w:customStyle="1" w:styleId="WWNum317">
    <w:name w:val="WWNum317"/>
    <w:basedOn w:val="NoList"/>
    <w:rsid w:val="00F8631B"/>
  </w:style>
  <w:style w:type="numbering" w:customStyle="1" w:styleId="WWNum327">
    <w:name w:val="WWNum327"/>
    <w:basedOn w:val="NoList"/>
    <w:rsid w:val="00F8631B"/>
  </w:style>
  <w:style w:type="numbering" w:customStyle="1" w:styleId="WWNum337">
    <w:name w:val="WWNum337"/>
    <w:basedOn w:val="NoList"/>
    <w:rsid w:val="00F8631B"/>
  </w:style>
  <w:style w:type="numbering" w:customStyle="1" w:styleId="WWNum347">
    <w:name w:val="WWNum347"/>
    <w:basedOn w:val="NoList"/>
    <w:rsid w:val="00F8631B"/>
  </w:style>
  <w:style w:type="numbering" w:customStyle="1" w:styleId="WWNum357">
    <w:name w:val="WWNum357"/>
    <w:basedOn w:val="NoList"/>
    <w:rsid w:val="00F8631B"/>
  </w:style>
  <w:style w:type="numbering" w:customStyle="1" w:styleId="WWNum365">
    <w:name w:val="WWNum365"/>
    <w:basedOn w:val="NoList"/>
    <w:rsid w:val="00F8631B"/>
  </w:style>
  <w:style w:type="numbering" w:customStyle="1" w:styleId="WWNum377">
    <w:name w:val="WWNum377"/>
    <w:basedOn w:val="NoList"/>
    <w:rsid w:val="00F8631B"/>
  </w:style>
  <w:style w:type="numbering" w:customStyle="1" w:styleId="WWNum387">
    <w:name w:val="WWNum387"/>
    <w:basedOn w:val="NoList"/>
    <w:rsid w:val="00F8631B"/>
  </w:style>
  <w:style w:type="numbering" w:customStyle="1" w:styleId="WWNum397">
    <w:name w:val="WWNum397"/>
    <w:basedOn w:val="NoList"/>
    <w:rsid w:val="00F8631B"/>
  </w:style>
  <w:style w:type="numbering" w:customStyle="1" w:styleId="WWNum407">
    <w:name w:val="WWNum407"/>
    <w:basedOn w:val="NoList"/>
    <w:rsid w:val="00F8631B"/>
  </w:style>
  <w:style w:type="numbering" w:customStyle="1" w:styleId="WWNum417">
    <w:name w:val="WWNum417"/>
    <w:basedOn w:val="NoList"/>
    <w:rsid w:val="00F8631B"/>
  </w:style>
  <w:style w:type="numbering" w:customStyle="1" w:styleId="WWNum437">
    <w:name w:val="WWNum437"/>
    <w:basedOn w:val="NoList"/>
    <w:rsid w:val="00F8631B"/>
  </w:style>
  <w:style w:type="numbering" w:customStyle="1" w:styleId="WWNum447">
    <w:name w:val="WWNum447"/>
    <w:basedOn w:val="NoList"/>
    <w:rsid w:val="00F8631B"/>
  </w:style>
  <w:style w:type="numbering" w:customStyle="1" w:styleId="WWNum457">
    <w:name w:val="WWNum457"/>
    <w:basedOn w:val="NoList"/>
    <w:rsid w:val="00F8631B"/>
  </w:style>
  <w:style w:type="numbering" w:customStyle="1" w:styleId="WWNum467">
    <w:name w:val="WWNum467"/>
    <w:basedOn w:val="NoList"/>
    <w:rsid w:val="00F8631B"/>
  </w:style>
  <w:style w:type="numbering" w:customStyle="1" w:styleId="WWNum477">
    <w:name w:val="WWNum477"/>
    <w:basedOn w:val="NoList"/>
    <w:rsid w:val="00F8631B"/>
  </w:style>
  <w:style w:type="numbering" w:customStyle="1" w:styleId="WWNum517">
    <w:name w:val="WWNum517"/>
    <w:basedOn w:val="NoList"/>
    <w:rsid w:val="00F8631B"/>
  </w:style>
  <w:style w:type="numbering" w:customStyle="1" w:styleId="WWNum527">
    <w:name w:val="WWNum527"/>
    <w:basedOn w:val="NoList"/>
    <w:rsid w:val="00F8631B"/>
  </w:style>
  <w:style w:type="numbering" w:customStyle="1" w:styleId="WWNum547">
    <w:name w:val="WWNum547"/>
    <w:basedOn w:val="NoList"/>
    <w:rsid w:val="00F8631B"/>
  </w:style>
  <w:style w:type="numbering" w:customStyle="1" w:styleId="WWNum557">
    <w:name w:val="WWNum557"/>
    <w:basedOn w:val="NoList"/>
    <w:rsid w:val="00F8631B"/>
  </w:style>
  <w:style w:type="numbering" w:customStyle="1" w:styleId="WWNum587">
    <w:name w:val="WWNum587"/>
    <w:basedOn w:val="NoList"/>
    <w:rsid w:val="00F8631B"/>
  </w:style>
  <w:style w:type="numbering" w:customStyle="1" w:styleId="WWNum647">
    <w:name w:val="WWNum647"/>
    <w:basedOn w:val="NoList"/>
    <w:rsid w:val="00F8631B"/>
  </w:style>
  <w:style w:type="numbering" w:customStyle="1" w:styleId="WWNum707">
    <w:name w:val="WWNum707"/>
    <w:basedOn w:val="NoList"/>
    <w:rsid w:val="00F8631B"/>
  </w:style>
  <w:style w:type="numbering" w:customStyle="1" w:styleId="WWNum737">
    <w:name w:val="WWNum737"/>
    <w:basedOn w:val="NoList"/>
    <w:rsid w:val="00F8631B"/>
  </w:style>
  <w:style w:type="numbering" w:customStyle="1" w:styleId="WWNum747">
    <w:name w:val="WWNum747"/>
    <w:basedOn w:val="NoList"/>
    <w:rsid w:val="00F8631B"/>
  </w:style>
  <w:style w:type="numbering" w:customStyle="1" w:styleId="WWNum757">
    <w:name w:val="WWNum757"/>
    <w:basedOn w:val="NoList"/>
    <w:rsid w:val="00F8631B"/>
  </w:style>
  <w:style w:type="numbering" w:customStyle="1" w:styleId="WWNum768">
    <w:name w:val="WWNum768"/>
    <w:basedOn w:val="NoList"/>
    <w:rsid w:val="00F8631B"/>
  </w:style>
  <w:style w:type="numbering" w:customStyle="1" w:styleId="WWNum775">
    <w:name w:val="WWNum775"/>
    <w:basedOn w:val="NoList"/>
    <w:rsid w:val="00F8631B"/>
  </w:style>
  <w:style w:type="numbering" w:customStyle="1" w:styleId="WWNum787">
    <w:name w:val="WWNum787"/>
    <w:basedOn w:val="NoList"/>
    <w:rsid w:val="00F8631B"/>
  </w:style>
  <w:style w:type="numbering" w:customStyle="1" w:styleId="NoList114">
    <w:name w:val="No List114"/>
    <w:next w:val="NoList"/>
    <w:uiPriority w:val="99"/>
    <w:semiHidden/>
    <w:unhideWhenUsed/>
    <w:rsid w:val="00F8631B"/>
  </w:style>
  <w:style w:type="numbering" w:customStyle="1" w:styleId="NoList23">
    <w:name w:val="No List23"/>
    <w:next w:val="NoList"/>
    <w:uiPriority w:val="99"/>
    <w:semiHidden/>
    <w:unhideWhenUsed/>
    <w:rsid w:val="00F8631B"/>
  </w:style>
  <w:style w:type="numbering" w:customStyle="1" w:styleId="WWNum1103">
    <w:name w:val="WWNum1103"/>
    <w:basedOn w:val="NoList"/>
    <w:rsid w:val="00F8631B"/>
  </w:style>
  <w:style w:type="numbering" w:customStyle="1" w:styleId="WWNum483">
    <w:name w:val="WWNum483"/>
    <w:basedOn w:val="NoList"/>
    <w:rsid w:val="00F8631B"/>
  </w:style>
  <w:style w:type="numbering" w:customStyle="1" w:styleId="WWNum613">
    <w:name w:val="WWNum613"/>
    <w:basedOn w:val="NoList"/>
    <w:rsid w:val="00F8631B"/>
  </w:style>
  <w:style w:type="numbering" w:customStyle="1" w:styleId="WWNum813">
    <w:name w:val="WWNum813"/>
    <w:basedOn w:val="NoList"/>
    <w:rsid w:val="00F8631B"/>
  </w:style>
  <w:style w:type="numbering" w:customStyle="1" w:styleId="WWNum913">
    <w:name w:val="WWNum913"/>
    <w:basedOn w:val="NoList"/>
    <w:rsid w:val="00F8631B"/>
  </w:style>
  <w:style w:type="numbering" w:customStyle="1" w:styleId="WWNum1013">
    <w:name w:val="WWNum1013"/>
    <w:basedOn w:val="NoList"/>
    <w:rsid w:val="00F8631B"/>
  </w:style>
  <w:style w:type="numbering" w:customStyle="1" w:styleId="WWNum1114">
    <w:name w:val="WWNum1114"/>
    <w:basedOn w:val="NoList"/>
    <w:rsid w:val="00F8631B"/>
  </w:style>
  <w:style w:type="numbering" w:customStyle="1" w:styleId="WWNum1313">
    <w:name w:val="WWNum1313"/>
    <w:basedOn w:val="NoList"/>
    <w:rsid w:val="00F8631B"/>
  </w:style>
  <w:style w:type="numbering" w:customStyle="1" w:styleId="WWNum1413">
    <w:name w:val="WWNum1413"/>
    <w:basedOn w:val="NoList"/>
    <w:rsid w:val="00F8631B"/>
  </w:style>
  <w:style w:type="numbering" w:customStyle="1" w:styleId="WWNum1513">
    <w:name w:val="WWNum1513"/>
    <w:basedOn w:val="NoList"/>
    <w:rsid w:val="00F8631B"/>
  </w:style>
  <w:style w:type="numbering" w:customStyle="1" w:styleId="WWNum1613">
    <w:name w:val="WWNum1613"/>
    <w:basedOn w:val="NoList"/>
    <w:rsid w:val="00F8631B"/>
  </w:style>
  <w:style w:type="numbering" w:customStyle="1" w:styleId="WWNum1713">
    <w:name w:val="WWNum1713"/>
    <w:basedOn w:val="NoList"/>
    <w:rsid w:val="00F8631B"/>
  </w:style>
  <w:style w:type="numbering" w:customStyle="1" w:styleId="WWNum1813">
    <w:name w:val="WWNum1813"/>
    <w:basedOn w:val="NoList"/>
    <w:rsid w:val="00F8631B"/>
  </w:style>
  <w:style w:type="numbering" w:customStyle="1" w:styleId="WWNum1913">
    <w:name w:val="WWNum1913"/>
    <w:basedOn w:val="NoList"/>
    <w:rsid w:val="00F8631B"/>
  </w:style>
  <w:style w:type="numbering" w:customStyle="1" w:styleId="WWNum2013">
    <w:name w:val="WWNum2013"/>
    <w:basedOn w:val="NoList"/>
    <w:rsid w:val="00F8631B"/>
  </w:style>
  <w:style w:type="numbering" w:customStyle="1" w:styleId="WWNum2113">
    <w:name w:val="WWNum2113"/>
    <w:basedOn w:val="NoList"/>
    <w:rsid w:val="00F8631B"/>
  </w:style>
  <w:style w:type="numbering" w:customStyle="1" w:styleId="WWNum2313">
    <w:name w:val="WWNum2313"/>
    <w:basedOn w:val="NoList"/>
    <w:rsid w:val="00F8631B"/>
  </w:style>
  <w:style w:type="numbering" w:customStyle="1" w:styleId="WWNum2413">
    <w:name w:val="WWNum2413"/>
    <w:basedOn w:val="NoList"/>
    <w:rsid w:val="00F8631B"/>
  </w:style>
  <w:style w:type="numbering" w:customStyle="1" w:styleId="WWNum2513">
    <w:name w:val="WWNum2513"/>
    <w:basedOn w:val="NoList"/>
    <w:rsid w:val="00F8631B"/>
  </w:style>
  <w:style w:type="numbering" w:customStyle="1" w:styleId="WWNum2613">
    <w:name w:val="WWNum2613"/>
    <w:basedOn w:val="NoList"/>
    <w:rsid w:val="00F8631B"/>
  </w:style>
  <w:style w:type="numbering" w:customStyle="1" w:styleId="WWNum2713">
    <w:name w:val="WWNum2713"/>
    <w:basedOn w:val="NoList"/>
    <w:rsid w:val="00F8631B"/>
  </w:style>
  <w:style w:type="numbering" w:customStyle="1" w:styleId="WWNum2813">
    <w:name w:val="WWNum2813"/>
    <w:basedOn w:val="NoList"/>
    <w:rsid w:val="00F8631B"/>
  </w:style>
  <w:style w:type="numbering" w:customStyle="1" w:styleId="WWNum2913">
    <w:name w:val="WWNum2913"/>
    <w:basedOn w:val="NoList"/>
    <w:rsid w:val="00F8631B"/>
  </w:style>
  <w:style w:type="numbering" w:customStyle="1" w:styleId="WWNum3013">
    <w:name w:val="WWNum3013"/>
    <w:basedOn w:val="NoList"/>
    <w:rsid w:val="00F8631B"/>
  </w:style>
  <w:style w:type="numbering" w:customStyle="1" w:styleId="WWNum3113">
    <w:name w:val="WWNum3113"/>
    <w:basedOn w:val="NoList"/>
    <w:rsid w:val="00F8631B"/>
  </w:style>
  <w:style w:type="numbering" w:customStyle="1" w:styleId="WWNum3213">
    <w:name w:val="WWNum3213"/>
    <w:basedOn w:val="NoList"/>
    <w:rsid w:val="00F8631B"/>
  </w:style>
  <w:style w:type="numbering" w:customStyle="1" w:styleId="WWNum3313">
    <w:name w:val="WWNum3313"/>
    <w:basedOn w:val="NoList"/>
    <w:rsid w:val="00F8631B"/>
  </w:style>
  <w:style w:type="numbering" w:customStyle="1" w:styleId="WWNum3413">
    <w:name w:val="WWNum3413"/>
    <w:basedOn w:val="NoList"/>
    <w:rsid w:val="00F8631B"/>
  </w:style>
  <w:style w:type="numbering" w:customStyle="1" w:styleId="WWNum3513">
    <w:name w:val="WWNum3513"/>
    <w:basedOn w:val="NoList"/>
    <w:rsid w:val="00F8631B"/>
  </w:style>
  <w:style w:type="numbering" w:customStyle="1" w:styleId="WWNum3613">
    <w:name w:val="WWNum3613"/>
    <w:basedOn w:val="NoList"/>
    <w:rsid w:val="00F8631B"/>
  </w:style>
  <w:style w:type="numbering" w:customStyle="1" w:styleId="WWNum3713">
    <w:name w:val="WWNum3713"/>
    <w:basedOn w:val="NoList"/>
    <w:rsid w:val="00F8631B"/>
  </w:style>
  <w:style w:type="numbering" w:customStyle="1" w:styleId="WWNum3813">
    <w:name w:val="WWNum3813"/>
    <w:basedOn w:val="NoList"/>
    <w:rsid w:val="00F8631B"/>
  </w:style>
  <w:style w:type="numbering" w:customStyle="1" w:styleId="WWNum3913">
    <w:name w:val="WWNum3913"/>
    <w:basedOn w:val="NoList"/>
    <w:rsid w:val="00F8631B"/>
  </w:style>
  <w:style w:type="numbering" w:customStyle="1" w:styleId="WWNum4013">
    <w:name w:val="WWNum4013"/>
    <w:basedOn w:val="NoList"/>
    <w:rsid w:val="00F8631B"/>
  </w:style>
  <w:style w:type="numbering" w:customStyle="1" w:styleId="WWNum4113">
    <w:name w:val="WWNum4113"/>
    <w:basedOn w:val="NoList"/>
    <w:rsid w:val="00F8631B"/>
  </w:style>
  <w:style w:type="numbering" w:customStyle="1" w:styleId="WWNum4213">
    <w:name w:val="WWNum4213"/>
    <w:basedOn w:val="NoList"/>
    <w:rsid w:val="00F8631B"/>
  </w:style>
  <w:style w:type="numbering" w:customStyle="1" w:styleId="WWNum4313">
    <w:name w:val="WWNum4313"/>
    <w:basedOn w:val="NoList"/>
    <w:rsid w:val="00F8631B"/>
  </w:style>
  <w:style w:type="numbering" w:customStyle="1" w:styleId="WWNum4413">
    <w:name w:val="WWNum4413"/>
    <w:basedOn w:val="NoList"/>
    <w:rsid w:val="00F8631B"/>
  </w:style>
  <w:style w:type="numbering" w:customStyle="1" w:styleId="WWNum4513">
    <w:name w:val="WWNum4513"/>
    <w:basedOn w:val="NoList"/>
    <w:rsid w:val="00F8631B"/>
  </w:style>
  <w:style w:type="numbering" w:customStyle="1" w:styleId="WWNum4613">
    <w:name w:val="WWNum4613"/>
    <w:basedOn w:val="NoList"/>
    <w:rsid w:val="00F8631B"/>
  </w:style>
  <w:style w:type="numbering" w:customStyle="1" w:styleId="WWNum4713">
    <w:name w:val="WWNum4713"/>
    <w:basedOn w:val="NoList"/>
    <w:rsid w:val="00F8631B"/>
  </w:style>
  <w:style w:type="numbering" w:customStyle="1" w:styleId="WWNum5113">
    <w:name w:val="WWNum5113"/>
    <w:basedOn w:val="NoList"/>
    <w:rsid w:val="00F8631B"/>
  </w:style>
  <w:style w:type="numbering" w:customStyle="1" w:styleId="WWNum5213">
    <w:name w:val="WWNum5213"/>
    <w:basedOn w:val="NoList"/>
    <w:rsid w:val="00F8631B"/>
  </w:style>
  <w:style w:type="numbering" w:customStyle="1" w:styleId="WWNum5413">
    <w:name w:val="WWNum5413"/>
    <w:basedOn w:val="NoList"/>
    <w:rsid w:val="00F8631B"/>
  </w:style>
  <w:style w:type="numbering" w:customStyle="1" w:styleId="WWNum5513">
    <w:name w:val="WWNum5513"/>
    <w:basedOn w:val="NoList"/>
    <w:rsid w:val="00F8631B"/>
  </w:style>
  <w:style w:type="numbering" w:customStyle="1" w:styleId="WWNum5713">
    <w:name w:val="WWNum5713"/>
    <w:basedOn w:val="NoList"/>
    <w:rsid w:val="00F8631B"/>
  </w:style>
  <w:style w:type="numbering" w:customStyle="1" w:styleId="WWNum5813">
    <w:name w:val="WWNum5813"/>
    <w:basedOn w:val="NoList"/>
    <w:rsid w:val="00F8631B"/>
  </w:style>
  <w:style w:type="numbering" w:customStyle="1" w:styleId="WWNum6413">
    <w:name w:val="WWNum6413"/>
    <w:basedOn w:val="NoList"/>
    <w:rsid w:val="00F8631B"/>
  </w:style>
  <w:style w:type="numbering" w:customStyle="1" w:styleId="WWNum6513">
    <w:name w:val="WWNum6513"/>
    <w:basedOn w:val="NoList"/>
    <w:rsid w:val="00F8631B"/>
  </w:style>
  <w:style w:type="numbering" w:customStyle="1" w:styleId="WWNum6613">
    <w:name w:val="WWNum6613"/>
    <w:basedOn w:val="NoList"/>
    <w:rsid w:val="00F8631B"/>
  </w:style>
  <w:style w:type="numbering" w:customStyle="1" w:styleId="WWNum7013">
    <w:name w:val="WWNum7013"/>
    <w:basedOn w:val="NoList"/>
    <w:rsid w:val="00F8631B"/>
  </w:style>
  <w:style w:type="numbering" w:customStyle="1" w:styleId="WWNum7313">
    <w:name w:val="WWNum7313"/>
    <w:basedOn w:val="NoList"/>
    <w:rsid w:val="00F8631B"/>
  </w:style>
  <w:style w:type="numbering" w:customStyle="1" w:styleId="WWNum7413">
    <w:name w:val="WWNum7413"/>
    <w:basedOn w:val="NoList"/>
    <w:rsid w:val="00F8631B"/>
  </w:style>
  <w:style w:type="numbering" w:customStyle="1" w:styleId="WWNum7513">
    <w:name w:val="WWNum7513"/>
    <w:basedOn w:val="NoList"/>
    <w:rsid w:val="00F8631B"/>
  </w:style>
  <w:style w:type="numbering" w:customStyle="1" w:styleId="WWNum7613">
    <w:name w:val="WWNum7613"/>
    <w:basedOn w:val="NoList"/>
    <w:rsid w:val="00F8631B"/>
  </w:style>
  <w:style w:type="numbering" w:customStyle="1" w:styleId="WWNum7713">
    <w:name w:val="WWNum7713"/>
    <w:basedOn w:val="NoList"/>
    <w:rsid w:val="00F8631B"/>
  </w:style>
  <w:style w:type="numbering" w:customStyle="1" w:styleId="WWNum7813">
    <w:name w:val="WWNum7813"/>
    <w:basedOn w:val="NoList"/>
    <w:rsid w:val="00F8631B"/>
  </w:style>
  <w:style w:type="numbering" w:customStyle="1" w:styleId="NoList1113">
    <w:name w:val="No List1113"/>
    <w:next w:val="NoList"/>
    <w:uiPriority w:val="99"/>
    <w:semiHidden/>
    <w:unhideWhenUsed/>
    <w:rsid w:val="00F8631B"/>
  </w:style>
  <w:style w:type="numbering" w:customStyle="1" w:styleId="WWNum18113">
    <w:name w:val="WWNum18113"/>
    <w:basedOn w:val="NoList"/>
    <w:rsid w:val="00F8631B"/>
  </w:style>
  <w:style w:type="numbering" w:customStyle="1" w:styleId="NoList213">
    <w:name w:val="No List213"/>
    <w:next w:val="NoList"/>
    <w:uiPriority w:val="99"/>
    <w:semiHidden/>
    <w:unhideWhenUsed/>
    <w:rsid w:val="00F8631B"/>
  </w:style>
  <w:style w:type="numbering" w:customStyle="1" w:styleId="NoList11113">
    <w:name w:val="No List11113"/>
    <w:next w:val="NoList"/>
    <w:uiPriority w:val="99"/>
    <w:semiHidden/>
    <w:unhideWhenUsed/>
    <w:rsid w:val="00F8631B"/>
  </w:style>
  <w:style w:type="numbering" w:customStyle="1" w:styleId="WWNum11013">
    <w:name w:val="WWNum11013"/>
    <w:basedOn w:val="NoList"/>
    <w:rsid w:val="00F8631B"/>
  </w:style>
  <w:style w:type="numbering" w:customStyle="1" w:styleId="WWNum4813">
    <w:name w:val="WWNum4813"/>
    <w:basedOn w:val="NoList"/>
    <w:rsid w:val="00F8631B"/>
  </w:style>
  <w:style w:type="numbering" w:customStyle="1" w:styleId="WWNum6113">
    <w:name w:val="WWNum6113"/>
    <w:basedOn w:val="NoList"/>
    <w:rsid w:val="00F8631B"/>
  </w:style>
  <w:style w:type="numbering" w:customStyle="1" w:styleId="WWNum8113">
    <w:name w:val="WWNum8113"/>
    <w:basedOn w:val="NoList"/>
    <w:rsid w:val="00F8631B"/>
  </w:style>
  <w:style w:type="numbering" w:customStyle="1" w:styleId="WWNum9113">
    <w:name w:val="WWNum9113"/>
    <w:basedOn w:val="NoList"/>
    <w:rsid w:val="00F8631B"/>
  </w:style>
  <w:style w:type="numbering" w:customStyle="1" w:styleId="WWNum10113">
    <w:name w:val="WWNum10113"/>
    <w:basedOn w:val="NoList"/>
    <w:rsid w:val="00F8631B"/>
  </w:style>
  <w:style w:type="numbering" w:customStyle="1" w:styleId="WWNum11113">
    <w:name w:val="WWNum11113"/>
    <w:basedOn w:val="NoList"/>
    <w:rsid w:val="00F8631B"/>
  </w:style>
  <w:style w:type="numbering" w:customStyle="1" w:styleId="WWNum12113">
    <w:name w:val="WWNum12113"/>
    <w:basedOn w:val="NoList"/>
    <w:rsid w:val="00F8631B"/>
  </w:style>
  <w:style w:type="numbering" w:customStyle="1" w:styleId="WWNum13113">
    <w:name w:val="WWNum13113"/>
    <w:basedOn w:val="NoList"/>
    <w:rsid w:val="00F8631B"/>
  </w:style>
  <w:style w:type="numbering" w:customStyle="1" w:styleId="WWNum14113">
    <w:name w:val="WWNum14113"/>
    <w:basedOn w:val="NoList"/>
    <w:rsid w:val="00F8631B"/>
  </w:style>
  <w:style w:type="numbering" w:customStyle="1" w:styleId="WWNum15113">
    <w:name w:val="WWNum15113"/>
    <w:basedOn w:val="NoList"/>
    <w:rsid w:val="00F8631B"/>
  </w:style>
  <w:style w:type="numbering" w:customStyle="1" w:styleId="WWNum16113">
    <w:name w:val="WWNum16113"/>
    <w:basedOn w:val="NoList"/>
    <w:rsid w:val="00F8631B"/>
  </w:style>
  <w:style w:type="numbering" w:customStyle="1" w:styleId="WWNum17113">
    <w:name w:val="WWNum17113"/>
    <w:basedOn w:val="NoList"/>
    <w:rsid w:val="00F8631B"/>
  </w:style>
  <w:style w:type="numbering" w:customStyle="1" w:styleId="WWNum1823">
    <w:name w:val="WWNum1823"/>
    <w:basedOn w:val="NoList"/>
    <w:rsid w:val="00F8631B"/>
  </w:style>
  <w:style w:type="numbering" w:customStyle="1" w:styleId="WWNum19113">
    <w:name w:val="WWNum19113"/>
    <w:basedOn w:val="NoList"/>
    <w:rsid w:val="00F8631B"/>
  </w:style>
  <w:style w:type="numbering" w:customStyle="1" w:styleId="WWNum20113">
    <w:name w:val="WWNum20113"/>
    <w:basedOn w:val="NoList"/>
    <w:rsid w:val="00F8631B"/>
  </w:style>
  <w:style w:type="numbering" w:customStyle="1" w:styleId="WWNum21113">
    <w:name w:val="WWNum21113"/>
    <w:basedOn w:val="NoList"/>
    <w:rsid w:val="00F8631B"/>
  </w:style>
  <w:style w:type="numbering" w:customStyle="1" w:styleId="WWNum23113">
    <w:name w:val="WWNum23113"/>
    <w:basedOn w:val="NoList"/>
    <w:rsid w:val="00F8631B"/>
  </w:style>
  <w:style w:type="numbering" w:customStyle="1" w:styleId="WWNum24113">
    <w:name w:val="WWNum24113"/>
    <w:basedOn w:val="NoList"/>
    <w:rsid w:val="00F8631B"/>
  </w:style>
  <w:style w:type="numbering" w:customStyle="1" w:styleId="WWNum25113">
    <w:name w:val="WWNum25113"/>
    <w:basedOn w:val="NoList"/>
    <w:rsid w:val="00F8631B"/>
  </w:style>
  <w:style w:type="numbering" w:customStyle="1" w:styleId="WWNum26113">
    <w:name w:val="WWNum26113"/>
    <w:basedOn w:val="NoList"/>
    <w:rsid w:val="00F8631B"/>
  </w:style>
  <w:style w:type="numbering" w:customStyle="1" w:styleId="WWNum27113">
    <w:name w:val="WWNum27113"/>
    <w:basedOn w:val="NoList"/>
    <w:rsid w:val="00F8631B"/>
  </w:style>
  <w:style w:type="numbering" w:customStyle="1" w:styleId="WWNum28113">
    <w:name w:val="WWNum28113"/>
    <w:basedOn w:val="NoList"/>
    <w:rsid w:val="00F8631B"/>
  </w:style>
  <w:style w:type="numbering" w:customStyle="1" w:styleId="WWNum29113">
    <w:name w:val="WWNum29113"/>
    <w:basedOn w:val="NoList"/>
    <w:rsid w:val="00F8631B"/>
  </w:style>
  <w:style w:type="numbering" w:customStyle="1" w:styleId="WWNum30113">
    <w:name w:val="WWNum30113"/>
    <w:basedOn w:val="NoList"/>
    <w:rsid w:val="00F8631B"/>
  </w:style>
  <w:style w:type="numbering" w:customStyle="1" w:styleId="WWNum31113">
    <w:name w:val="WWNum31113"/>
    <w:basedOn w:val="NoList"/>
    <w:rsid w:val="00F8631B"/>
  </w:style>
  <w:style w:type="numbering" w:customStyle="1" w:styleId="WWNum32113">
    <w:name w:val="WWNum32113"/>
    <w:basedOn w:val="NoList"/>
    <w:rsid w:val="00F8631B"/>
  </w:style>
  <w:style w:type="numbering" w:customStyle="1" w:styleId="WWNum33113">
    <w:name w:val="WWNum33113"/>
    <w:basedOn w:val="NoList"/>
    <w:rsid w:val="00F8631B"/>
  </w:style>
  <w:style w:type="numbering" w:customStyle="1" w:styleId="WWNum34113">
    <w:name w:val="WWNum34113"/>
    <w:basedOn w:val="NoList"/>
    <w:rsid w:val="00F8631B"/>
  </w:style>
  <w:style w:type="numbering" w:customStyle="1" w:styleId="WWNum35113">
    <w:name w:val="WWNum35113"/>
    <w:basedOn w:val="NoList"/>
    <w:rsid w:val="00F8631B"/>
  </w:style>
  <w:style w:type="numbering" w:customStyle="1" w:styleId="WWNum36113">
    <w:name w:val="WWNum36113"/>
    <w:basedOn w:val="NoList"/>
    <w:rsid w:val="00F8631B"/>
  </w:style>
  <w:style w:type="numbering" w:customStyle="1" w:styleId="WWNum37113">
    <w:name w:val="WWNum37113"/>
    <w:basedOn w:val="NoList"/>
    <w:rsid w:val="00F8631B"/>
  </w:style>
  <w:style w:type="numbering" w:customStyle="1" w:styleId="WWNum38113">
    <w:name w:val="WWNum38113"/>
    <w:basedOn w:val="NoList"/>
    <w:rsid w:val="00F8631B"/>
  </w:style>
  <w:style w:type="numbering" w:customStyle="1" w:styleId="WWNum39113">
    <w:name w:val="WWNum39113"/>
    <w:basedOn w:val="NoList"/>
    <w:rsid w:val="00F8631B"/>
  </w:style>
  <w:style w:type="numbering" w:customStyle="1" w:styleId="WWNum40113">
    <w:name w:val="WWNum40113"/>
    <w:basedOn w:val="NoList"/>
    <w:rsid w:val="00F8631B"/>
  </w:style>
  <w:style w:type="numbering" w:customStyle="1" w:styleId="WWNum41113">
    <w:name w:val="WWNum41113"/>
    <w:basedOn w:val="NoList"/>
    <w:rsid w:val="00F8631B"/>
  </w:style>
  <w:style w:type="numbering" w:customStyle="1" w:styleId="WWNum42113">
    <w:name w:val="WWNum42113"/>
    <w:basedOn w:val="NoList"/>
    <w:rsid w:val="00F8631B"/>
  </w:style>
  <w:style w:type="numbering" w:customStyle="1" w:styleId="WWNum43113">
    <w:name w:val="WWNum43113"/>
    <w:basedOn w:val="NoList"/>
    <w:rsid w:val="00F8631B"/>
  </w:style>
  <w:style w:type="numbering" w:customStyle="1" w:styleId="WWNum44113">
    <w:name w:val="WWNum44113"/>
    <w:basedOn w:val="NoList"/>
    <w:rsid w:val="00F8631B"/>
  </w:style>
  <w:style w:type="numbering" w:customStyle="1" w:styleId="WWNum45113">
    <w:name w:val="WWNum45113"/>
    <w:basedOn w:val="NoList"/>
    <w:rsid w:val="00F8631B"/>
  </w:style>
  <w:style w:type="numbering" w:customStyle="1" w:styleId="WWNum46113">
    <w:name w:val="WWNum46113"/>
    <w:basedOn w:val="NoList"/>
    <w:rsid w:val="00F8631B"/>
  </w:style>
  <w:style w:type="numbering" w:customStyle="1" w:styleId="WWNum47113">
    <w:name w:val="WWNum47113"/>
    <w:basedOn w:val="NoList"/>
    <w:rsid w:val="00F8631B"/>
  </w:style>
  <w:style w:type="numbering" w:customStyle="1" w:styleId="WWNum51113">
    <w:name w:val="WWNum51113"/>
    <w:basedOn w:val="NoList"/>
    <w:rsid w:val="00F8631B"/>
  </w:style>
  <w:style w:type="numbering" w:customStyle="1" w:styleId="WWNum52113">
    <w:name w:val="WWNum52113"/>
    <w:basedOn w:val="NoList"/>
    <w:rsid w:val="00F8631B"/>
  </w:style>
  <w:style w:type="numbering" w:customStyle="1" w:styleId="WWNum54113">
    <w:name w:val="WWNum54113"/>
    <w:basedOn w:val="NoList"/>
    <w:rsid w:val="00F8631B"/>
  </w:style>
  <w:style w:type="numbering" w:customStyle="1" w:styleId="WWNum55113">
    <w:name w:val="WWNum55113"/>
    <w:basedOn w:val="NoList"/>
    <w:rsid w:val="00F8631B"/>
  </w:style>
  <w:style w:type="numbering" w:customStyle="1" w:styleId="WWNum57113">
    <w:name w:val="WWNum57113"/>
    <w:basedOn w:val="NoList"/>
    <w:rsid w:val="00F8631B"/>
  </w:style>
  <w:style w:type="numbering" w:customStyle="1" w:styleId="WWNum58113">
    <w:name w:val="WWNum58113"/>
    <w:basedOn w:val="NoList"/>
    <w:rsid w:val="00F8631B"/>
  </w:style>
  <w:style w:type="numbering" w:customStyle="1" w:styleId="WWNum64113">
    <w:name w:val="WWNum64113"/>
    <w:basedOn w:val="NoList"/>
    <w:rsid w:val="00F8631B"/>
  </w:style>
  <w:style w:type="numbering" w:customStyle="1" w:styleId="WWNum65113">
    <w:name w:val="WWNum65113"/>
    <w:basedOn w:val="NoList"/>
    <w:rsid w:val="00F8631B"/>
  </w:style>
  <w:style w:type="numbering" w:customStyle="1" w:styleId="WWNum66113">
    <w:name w:val="WWNum66113"/>
    <w:basedOn w:val="NoList"/>
    <w:rsid w:val="00F8631B"/>
  </w:style>
  <w:style w:type="numbering" w:customStyle="1" w:styleId="WWNum70113">
    <w:name w:val="WWNum70113"/>
    <w:basedOn w:val="NoList"/>
    <w:rsid w:val="00F8631B"/>
  </w:style>
  <w:style w:type="numbering" w:customStyle="1" w:styleId="WWNum73113">
    <w:name w:val="WWNum73113"/>
    <w:basedOn w:val="NoList"/>
    <w:rsid w:val="00F8631B"/>
  </w:style>
  <w:style w:type="numbering" w:customStyle="1" w:styleId="WWNum74113">
    <w:name w:val="WWNum74113"/>
    <w:basedOn w:val="NoList"/>
    <w:rsid w:val="00F8631B"/>
  </w:style>
  <w:style w:type="numbering" w:customStyle="1" w:styleId="WWNum75113">
    <w:name w:val="WWNum75113"/>
    <w:basedOn w:val="NoList"/>
    <w:rsid w:val="00F8631B"/>
  </w:style>
  <w:style w:type="numbering" w:customStyle="1" w:styleId="WWNum76113">
    <w:name w:val="WWNum76113"/>
    <w:basedOn w:val="NoList"/>
    <w:rsid w:val="00F8631B"/>
  </w:style>
  <w:style w:type="numbering" w:customStyle="1" w:styleId="WWNum77113">
    <w:name w:val="WWNum77113"/>
    <w:basedOn w:val="NoList"/>
    <w:rsid w:val="00F8631B"/>
  </w:style>
  <w:style w:type="numbering" w:customStyle="1" w:styleId="WWNum78113">
    <w:name w:val="WWNum78113"/>
    <w:basedOn w:val="NoList"/>
    <w:rsid w:val="00F8631B"/>
  </w:style>
  <w:style w:type="numbering" w:customStyle="1" w:styleId="NoList111112">
    <w:name w:val="No List111112"/>
    <w:next w:val="NoList"/>
    <w:uiPriority w:val="99"/>
    <w:semiHidden/>
    <w:unhideWhenUsed/>
    <w:rsid w:val="00F8631B"/>
  </w:style>
  <w:style w:type="table" w:customStyle="1" w:styleId="TableGrid23">
    <w:name w:val="Table Grid23"/>
    <w:basedOn w:val="TableNormal"/>
    <w:next w:val="TableGrid"/>
    <w:uiPriority w:val="59"/>
    <w:rsid w:val="00F8631B"/>
    <w:pPr>
      <w:spacing w:after="0" w:line="240" w:lineRule="auto"/>
    </w:pPr>
    <w:rPr>
      <w:rFonts w:ascii="Calibri" w:eastAsia="Times New Roman" w:hAnsi="Calibri" w:cs="Times New Roman"/>
      <w:kern w:val="0"/>
      <w:sz w:val="20"/>
      <w:szCs w:val="20"/>
      <w:lang w:val="en-IN" w:eastAsia="en-IN"/>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Num7623">
    <w:name w:val="WWNum7623"/>
    <w:basedOn w:val="NoList"/>
    <w:rsid w:val="00F8631B"/>
  </w:style>
  <w:style w:type="numbering" w:customStyle="1" w:styleId="WWNum623">
    <w:name w:val="WWNum623"/>
    <w:basedOn w:val="NoList"/>
    <w:rsid w:val="00F8631B"/>
  </w:style>
  <w:style w:type="numbering" w:customStyle="1" w:styleId="WWNum823">
    <w:name w:val="WWNum823"/>
    <w:basedOn w:val="NoList"/>
    <w:rsid w:val="00F8631B"/>
  </w:style>
  <w:style w:type="numbering" w:customStyle="1" w:styleId="WWNum923">
    <w:name w:val="WWNum923"/>
    <w:basedOn w:val="NoList"/>
    <w:rsid w:val="00F8631B"/>
  </w:style>
  <w:style w:type="numbering" w:customStyle="1" w:styleId="WWNum1023">
    <w:name w:val="WWNum1023"/>
    <w:basedOn w:val="NoList"/>
    <w:rsid w:val="00F8631B"/>
  </w:style>
  <w:style w:type="numbering" w:customStyle="1" w:styleId="WWNum1133">
    <w:name w:val="WWNum1133"/>
    <w:basedOn w:val="NoList"/>
    <w:rsid w:val="00F8631B"/>
  </w:style>
  <w:style w:type="numbering" w:customStyle="1" w:styleId="WWNum1223">
    <w:name w:val="WWNum1223"/>
    <w:basedOn w:val="NoList"/>
    <w:rsid w:val="00F8631B"/>
  </w:style>
  <w:style w:type="numbering" w:customStyle="1" w:styleId="WWNum1323">
    <w:name w:val="WWNum1323"/>
    <w:basedOn w:val="NoList"/>
    <w:rsid w:val="00F8631B"/>
  </w:style>
  <w:style w:type="numbering" w:customStyle="1" w:styleId="WWNum1523">
    <w:name w:val="WWNum1523"/>
    <w:basedOn w:val="NoList"/>
    <w:rsid w:val="00F8631B"/>
  </w:style>
  <w:style w:type="numbering" w:customStyle="1" w:styleId="WWNum1623">
    <w:name w:val="WWNum1623"/>
    <w:basedOn w:val="NoList"/>
    <w:rsid w:val="00F8631B"/>
  </w:style>
  <w:style w:type="numbering" w:customStyle="1" w:styleId="WWNum1723">
    <w:name w:val="WWNum1723"/>
    <w:basedOn w:val="NoList"/>
    <w:rsid w:val="00F8631B"/>
  </w:style>
  <w:style w:type="numbering" w:customStyle="1" w:styleId="WWNum1833">
    <w:name w:val="WWNum1833"/>
    <w:basedOn w:val="NoList"/>
    <w:rsid w:val="00F8631B"/>
  </w:style>
  <w:style w:type="numbering" w:customStyle="1" w:styleId="WWNum1923">
    <w:name w:val="WWNum1923"/>
    <w:basedOn w:val="NoList"/>
    <w:rsid w:val="00F8631B"/>
  </w:style>
  <w:style w:type="numbering" w:customStyle="1" w:styleId="WWNum2023">
    <w:name w:val="WWNum2023"/>
    <w:basedOn w:val="NoList"/>
    <w:rsid w:val="00F8631B"/>
  </w:style>
  <w:style w:type="numbering" w:customStyle="1" w:styleId="WWNum2323">
    <w:name w:val="WWNum2323"/>
    <w:basedOn w:val="NoList"/>
    <w:rsid w:val="00F8631B"/>
  </w:style>
  <w:style w:type="numbering" w:customStyle="1" w:styleId="WWNum2423">
    <w:name w:val="WWNum2423"/>
    <w:basedOn w:val="NoList"/>
    <w:rsid w:val="00F8631B"/>
  </w:style>
  <w:style w:type="numbering" w:customStyle="1" w:styleId="WWNum2523">
    <w:name w:val="WWNum2523"/>
    <w:basedOn w:val="NoList"/>
    <w:rsid w:val="00F8631B"/>
  </w:style>
  <w:style w:type="numbering" w:customStyle="1" w:styleId="WWNum2623">
    <w:name w:val="WWNum2623"/>
    <w:basedOn w:val="NoList"/>
    <w:rsid w:val="00F8631B"/>
  </w:style>
  <w:style w:type="numbering" w:customStyle="1" w:styleId="WWNum2723">
    <w:name w:val="WWNum2723"/>
    <w:basedOn w:val="NoList"/>
    <w:rsid w:val="00F8631B"/>
  </w:style>
  <w:style w:type="numbering" w:customStyle="1" w:styleId="WWNum2823">
    <w:name w:val="WWNum2823"/>
    <w:basedOn w:val="NoList"/>
    <w:rsid w:val="00F8631B"/>
  </w:style>
  <w:style w:type="numbering" w:customStyle="1" w:styleId="WWNum2923">
    <w:name w:val="WWNum2923"/>
    <w:basedOn w:val="NoList"/>
    <w:rsid w:val="00F8631B"/>
  </w:style>
  <w:style w:type="numbering" w:customStyle="1" w:styleId="WWNum3023">
    <w:name w:val="WWNum3023"/>
    <w:basedOn w:val="NoList"/>
    <w:rsid w:val="00F8631B"/>
  </w:style>
  <w:style w:type="numbering" w:customStyle="1" w:styleId="WWNum3123">
    <w:name w:val="WWNum3123"/>
    <w:basedOn w:val="NoList"/>
    <w:rsid w:val="00F8631B"/>
  </w:style>
  <w:style w:type="numbering" w:customStyle="1" w:styleId="WWNum3223">
    <w:name w:val="WWNum3223"/>
    <w:basedOn w:val="NoList"/>
    <w:rsid w:val="00F8631B"/>
  </w:style>
  <w:style w:type="numbering" w:customStyle="1" w:styleId="WWNum3323">
    <w:name w:val="WWNum3323"/>
    <w:basedOn w:val="NoList"/>
    <w:rsid w:val="00F8631B"/>
  </w:style>
  <w:style w:type="numbering" w:customStyle="1" w:styleId="WWNum3423">
    <w:name w:val="WWNum3423"/>
    <w:basedOn w:val="NoList"/>
    <w:rsid w:val="00F8631B"/>
  </w:style>
  <w:style w:type="numbering" w:customStyle="1" w:styleId="WWNum3523">
    <w:name w:val="WWNum3523"/>
    <w:basedOn w:val="NoList"/>
    <w:rsid w:val="00F8631B"/>
  </w:style>
  <w:style w:type="numbering" w:customStyle="1" w:styleId="WWNum3723">
    <w:name w:val="WWNum3723"/>
    <w:basedOn w:val="NoList"/>
    <w:rsid w:val="00F8631B"/>
  </w:style>
  <w:style w:type="numbering" w:customStyle="1" w:styleId="WWNum3823">
    <w:name w:val="WWNum3823"/>
    <w:basedOn w:val="NoList"/>
    <w:rsid w:val="00F8631B"/>
  </w:style>
  <w:style w:type="numbering" w:customStyle="1" w:styleId="WWNum4023">
    <w:name w:val="WWNum4023"/>
    <w:basedOn w:val="NoList"/>
    <w:rsid w:val="00F8631B"/>
  </w:style>
  <w:style w:type="numbering" w:customStyle="1" w:styleId="WWNum4223">
    <w:name w:val="WWNum4223"/>
    <w:basedOn w:val="NoList"/>
    <w:rsid w:val="00F8631B"/>
  </w:style>
  <w:style w:type="numbering" w:customStyle="1" w:styleId="WWNum4323">
    <w:name w:val="WWNum4323"/>
    <w:basedOn w:val="NoList"/>
    <w:rsid w:val="00F8631B"/>
  </w:style>
  <w:style w:type="numbering" w:customStyle="1" w:styleId="WWNum4423">
    <w:name w:val="WWNum4423"/>
    <w:basedOn w:val="NoList"/>
    <w:rsid w:val="00F8631B"/>
  </w:style>
  <w:style w:type="numbering" w:customStyle="1" w:styleId="WWNum4523">
    <w:name w:val="WWNum4523"/>
    <w:basedOn w:val="NoList"/>
    <w:rsid w:val="00F8631B"/>
  </w:style>
  <w:style w:type="numbering" w:customStyle="1" w:styleId="WWNum4623">
    <w:name w:val="WWNum4623"/>
    <w:basedOn w:val="NoList"/>
    <w:rsid w:val="00F8631B"/>
  </w:style>
  <w:style w:type="numbering" w:customStyle="1" w:styleId="WWNum4723">
    <w:name w:val="WWNum4723"/>
    <w:basedOn w:val="NoList"/>
    <w:rsid w:val="00F8631B"/>
  </w:style>
  <w:style w:type="numbering" w:customStyle="1" w:styleId="WWNum5123">
    <w:name w:val="WWNum5123"/>
    <w:basedOn w:val="NoList"/>
    <w:rsid w:val="00F8631B"/>
  </w:style>
  <w:style w:type="numbering" w:customStyle="1" w:styleId="WWNum5423">
    <w:name w:val="WWNum5423"/>
    <w:basedOn w:val="NoList"/>
    <w:rsid w:val="00F8631B"/>
  </w:style>
  <w:style w:type="numbering" w:customStyle="1" w:styleId="WWNum5523">
    <w:name w:val="WWNum5523"/>
    <w:basedOn w:val="NoList"/>
    <w:rsid w:val="00F8631B"/>
  </w:style>
  <w:style w:type="numbering" w:customStyle="1" w:styleId="WWNum5723">
    <w:name w:val="WWNum5723"/>
    <w:basedOn w:val="NoList"/>
    <w:rsid w:val="00F8631B"/>
  </w:style>
  <w:style w:type="numbering" w:customStyle="1" w:styleId="WWNum5823">
    <w:name w:val="WWNum5823"/>
    <w:basedOn w:val="NoList"/>
    <w:rsid w:val="00F8631B"/>
  </w:style>
  <w:style w:type="numbering" w:customStyle="1" w:styleId="WWNum6423">
    <w:name w:val="WWNum6423"/>
    <w:basedOn w:val="NoList"/>
    <w:rsid w:val="00F8631B"/>
  </w:style>
  <w:style w:type="numbering" w:customStyle="1" w:styleId="WWNum6523">
    <w:name w:val="WWNum6523"/>
    <w:basedOn w:val="NoList"/>
    <w:rsid w:val="00F8631B"/>
  </w:style>
  <w:style w:type="numbering" w:customStyle="1" w:styleId="WWNum6623">
    <w:name w:val="WWNum6623"/>
    <w:basedOn w:val="NoList"/>
    <w:rsid w:val="00F8631B"/>
  </w:style>
  <w:style w:type="numbering" w:customStyle="1" w:styleId="WWNum7023">
    <w:name w:val="WWNum7023"/>
    <w:basedOn w:val="NoList"/>
    <w:rsid w:val="00F8631B"/>
  </w:style>
  <w:style w:type="numbering" w:customStyle="1" w:styleId="WWNum7323">
    <w:name w:val="WWNum7323"/>
    <w:basedOn w:val="NoList"/>
    <w:rsid w:val="00F8631B"/>
  </w:style>
  <w:style w:type="numbering" w:customStyle="1" w:styleId="WWNum7423">
    <w:name w:val="WWNum7423"/>
    <w:basedOn w:val="NoList"/>
    <w:rsid w:val="00F8631B"/>
  </w:style>
  <w:style w:type="numbering" w:customStyle="1" w:styleId="WWNum7523">
    <w:name w:val="WWNum7523"/>
    <w:basedOn w:val="NoList"/>
    <w:rsid w:val="00F8631B"/>
  </w:style>
  <w:style w:type="numbering" w:customStyle="1" w:styleId="WWNum7823">
    <w:name w:val="WWNum7823"/>
    <w:basedOn w:val="NoList"/>
    <w:rsid w:val="00F8631B"/>
  </w:style>
  <w:style w:type="numbering" w:customStyle="1" w:styleId="NoList33">
    <w:name w:val="No List33"/>
    <w:next w:val="NoList"/>
    <w:uiPriority w:val="99"/>
    <w:semiHidden/>
    <w:unhideWhenUsed/>
    <w:rsid w:val="00F8631B"/>
  </w:style>
  <w:style w:type="numbering" w:customStyle="1" w:styleId="WWNum1142">
    <w:name w:val="WWNum1142"/>
    <w:basedOn w:val="NoList"/>
    <w:rsid w:val="00F8631B"/>
  </w:style>
  <w:style w:type="numbering" w:customStyle="1" w:styleId="WWNum632">
    <w:name w:val="WWNum632"/>
    <w:basedOn w:val="NoList"/>
    <w:rsid w:val="00F8631B"/>
  </w:style>
  <w:style w:type="numbering" w:customStyle="1" w:styleId="WWNum832">
    <w:name w:val="WWNum832"/>
    <w:basedOn w:val="NoList"/>
    <w:rsid w:val="00F8631B"/>
  </w:style>
  <w:style w:type="numbering" w:customStyle="1" w:styleId="WWNum932">
    <w:name w:val="WWNum932"/>
    <w:basedOn w:val="NoList"/>
    <w:rsid w:val="00F8631B"/>
  </w:style>
  <w:style w:type="numbering" w:customStyle="1" w:styleId="WWNum1032">
    <w:name w:val="WWNum1032"/>
    <w:basedOn w:val="NoList"/>
    <w:rsid w:val="00F8631B"/>
  </w:style>
  <w:style w:type="numbering" w:customStyle="1" w:styleId="WWNum1152">
    <w:name w:val="WWNum1152"/>
    <w:basedOn w:val="NoList"/>
    <w:rsid w:val="00F8631B"/>
  </w:style>
  <w:style w:type="numbering" w:customStyle="1" w:styleId="WWNum1232">
    <w:name w:val="WWNum1232"/>
    <w:basedOn w:val="NoList"/>
    <w:rsid w:val="00F8631B"/>
  </w:style>
  <w:style w:type="numbering" w:customStyle="1" w:styleId="WWNum1332">
    <w:name w:val="WWNum1332"/>
    <w:basedOn w:val="NoList"/>
    <w:rsid w:val="00F8631B"/>
  </w:style>
  <w:style w:type="numbering" w:customStyle="1" w:styleId="WWNum1432">
    <w:name w:val="WWNum1432"/>
    <w:basedOn w:val="NoList"/>
    <w:rsid w:val="00F8631B"/>
  </w:style>
  <w:style w:type="numbering" w:customStyle="1" w:styleId="WWNum1532">
    <w:name w:val="WWNum1532"/>
    <w:basedOn w:val="NoList"/>
    <w:rsid w:val="00F8631B"/>
  </w:style>
  <w:style w:type="numbering" w:customStyle="1" w:styleId="WWNum1632">
    <w:name w:val="WWNum1632"/>
    <w:basedOn w:val="NoList"/>
    <w:rsid w:val="00F8631B"/>
  </w:style>
  <w:style w:type="numbering" w:customStyle="1" w:styleId="WWNum1732">
    <w:name w:val="WWNum1732"/>
    <w:basedOn w:val="NoList"/>
    <w:rsid w:val="00F8631B"/>
  </w:style>
  <w:style w:type="numbering" w:customStyle="1" w:styleId="WWNum1842">
    <w:name w:val="WWNum1842"/>
    <w:basedOn w:val="NoList"/>
    <w:rsid w:val="00F8631B"/>
  </w:style>
  <w:style w:type="numbering" w:customStyle="1" w:styleId="WWNum1932">
    <w:name w:val="WWNum1932"/>
    <w:basedOn w:val="NoList"/>
    <w:rsid w:val="00F8631B"/>
  </w:style>
  <w:style w:type="numbering" w:customStyle="1" w:styleId="WWNum2032">
    <w:name w:val="WWNum2032"/>
    <w:basedOn w:val="NoList"/>
    <w:rsid w:val="00F8631B"/>
  </w:style>
  <w:style w:type="numbering" w:customStyle="1" w:styleId="WWNum2132">
    <w:name w:val="WWNum2132"/>
    <w:basedOn w:val="NoList"/>
    <w:rsid w:val="00F8631B"/>
  </w:style>
  <w:style w:type="numbering" w:customStyle="1" w:styleId="WWNum2332">
    <w:name w:val="WWNum2332"/>
    <w:basedOn w:val="NoList"/>
    <w:rsid w:val="00F8631B"/>
  </w:style>
  <w:style w:type="numbering" w:customStyle="1" w:styleId="WWNum2432">
    <w:name w:val="WWNum2432"/>
    <w:basedOn w:val="NoList"/>
    <w:rsid w:val="00F8631B"/>
  </w:style>
  <w:style w:type="numbering" w:customStyle="1" w:styleId="WWNum2532">
    <w:name w:val="WWNum2532"/>
    <w:basedOn w:val="NoList"/>
    <w:rsid w:val="00F8631B"/>
  </w:style>
  <w:style w:type="numbering" w:customStyle="1" w:styleId="WWNum2632">
    <w:name w:val="WWNum2632"/>
    <w:basedOn w:val="NoList"/>
    <w:rsid w:val="00F8631B"/>
  </w:style>
  <w:style w:type="numbering" w:customStyle="1" w:styleId="WWNum2732">
    <w:name w:val="WWNum2732"/>
    <w:basedOn w:val="NoList"/>
    <w:rsid w:val="00F8631B"/>
  </w:style>
  <w:style w:type="numbering" w:customStyle="1" w:styleId="WWNum2832">
    <w:name w:val="WWNum2832"/>
    <w:basedOn w:val="NoList"/>
    <w:rsid w:val="00F8631B"/>
  </w:style>
  <w:style w:type="numbering" w:customStyle="1" w:styleId="WWNum2932">
    <w:name w:val="WWNum2932"/>
    <w:basedOn w:val="NoList"/>
    <w:rsid w:val="00F8631B"/>
  </w:style>
  <w:style w:type="numbering" w:customStyle="1" w:styleId="WWNum3032">
    <w:name w:val="WWNum3032"/>
    <w:basedOn w:val="NoList"/>
    <w:rsid w:val="00F8631B"/>
  </w:style>
  <w:style w:type="numbering" w:customStyle="1" w:styleId="WWNum3132">
    <w:name w:val="WWNum3132"/>
    <w:basedOn w:val="NoList"/>
    <w:rsid w:val="00F8631B"/>
  </w:style>
  <w:style w:type="numbering" w:customStyle="1" w:styleId="WWNum3232">
    <w:name w:val="WWNum3232"/>
    <w:basedOn w:val="NoList"/>
    <w:rsid w:val="00F8631B"/>
  </w:style>
  <w:style w:type="numbering" w:customStyle="1" w:styleId="WWNum3332">
    <w:name w:val="WWNum3332"/>
    <w:basedOn w:val="NoList"/>
    <w:rsid w:val="00F8631B"/>
  </w:style>
  <w:style w:type="numbering" w:customStyle="1" w:styleId="WWNum3432">
    <w:name w:val="WWNum3432"/>
    <w:basedOn w:val="NoList"/>
    <w:rsid w:val="00F8631B"/>
  </w:style>
  <w:style w:type="numbering" w:customStyle="1" w:styleId="WWNum3532">
    <w:name w:val="WWNum3532"/>
    <w:basedOn w:val="NoList"/>
    <w:rsid w:val="00F8631B"/>
  </w:style>
  <w:style w:type="numbering" w:customStyle="1" w:styleId="WWNum3732">
    <w:name w:val="WWNum3732"/>
    <w:basedOn w:val="NoList"/>
    <w:rsid w:val="00F8631B"/>
  </w:style>
  <w:style w:type="numbering" w:customStyle="1" w:styleId="WWNum3832">
    <w:name w:val="WWNum3832"/>
    <w:basedOn w:val="NoList"/>
    <w:rsid w:val="00F8631B"/>
  </w:style>
  <w:style w:type="numbering" w:customStyle="1" w:styleId="WWNum3932">
    <w:name w:val="WWNum3932"/>
    <w:basedOn w:val="NoList"/>
    <w:rsid w:val="00F8631B"/>
  </w:style>
  <w:style w:type="numbering" w:customStyle="1" w:styleId="WWNum4032">
    <w:name w:val="WWNum4032"/>
    <w:basedOn w:val="NoList"/>
    <w:rsid w:val="00F8631B"/>
  </w:style>
  <w:style w:type="numbering" w:customStyle="1" w:styleId="WWNum4232">
    <w:name w:val="WWNum4232"/>
    <w:basedOn w:val="NoList"/>
    <w:rsid w:val="00F8631B"/>
  </w:style>
  <w:style w:type="numbering" w:customStyle="1" w:styleId="WWNum4332">
    <w:name w:val="WWNum4332"/>
    <w:basedOn w:val="NoList"/>
    <w:rsid w:val="00F8631B"/>
  </w:style>
  <w:style w:type="numbering" w:customStyle="1" w:styleId="WWNum4432">
    <w:name w:val="WWNum4432"/>
    <w:basedOn w:val="NoList"/>
    <w:rsid w:val="00F8631B"/>
  </w:style>
  <w:style w:type="numbering" w:customStyle="1" w:styleId="WWNum4532">
    <w:name w:val="WWNum4532"/>
    <w:basedOn w:val="NoList"/>
    <w:rsid w:val="00F8631B"/>
  </w:style>
  <w:style w:type="numbering" w:customStyle="1" w:styleId="WWNum4632">
    <w:name w:val="WWNum4632"/>
    <w:basedOn w:val="NoList"/>
    <w:rsid w:val="00F8631B"/>
  </w:style>
  <w:style w:type="numbering" w:customStyle="1" w:styleId="WWNum4732">
    <w:name w:val="WWNum4732"/>
    <w:basedOn w:val="NoList"/>
    <w:rsid w:val="00F8631B"/>
  </w:style>
  <w:style w:type="numbering" w:customStyle="1" w:styleId="WWNum5132">
    <w:name w:val="WWNum5132"/>
    <w:basedOn w:val="NoList"/>
    <w:rsid w:val="00F8631B"/>
  </w:style>
  <w:style w:type="numbering" w:customStyle="1" w:styleId="WWNum5232">
    <w:name w:val="WWNum5232"/>
    <w:basedOn w:val="NoList"/>
    <w:rsid w:val="00F8631B"/>
  </w:style>
  <w:style w:type="numbering" w:customStyle="1" w:styleId="WWNum5432">
    <w:name w:val="WWNum5432"/>
    <w:basedOn w:val="NoList"/>
    <w:rsid w:val="00F8631B"/>
  </w:style>
  <w:style w:type="numbering" w:customStyle="1" w:styleId="WWNum5532">
    <w:name w:val="WWNum5532"/>
    <w:basedOn w:val="NoList"/>
    <w:rsid w:val="00F8631B"/>
  </w:style>
  <w:style w:type="numbering" w:customStyle="1" w:styleId="WWNum5732">
    <w:name w:val="WWNum5732"/>
    <w:basedOn w:val="NoList"/>
    <w:rsid w:val="00F8631B"/>
  </w:style>
  <w:style w:type="numbering" w:customStyle="1" w:styleId="WWNum5832">
    <w:name w:val="WWNum5832"/>
    <w:basedOn w:val="NoList"/>
    <w:rsid w:val="00F8631B"/>
  </w:style>
  <w:style w:type="numbering" w:customStyle="1" w:styleId="WWNum6432">
    <w:name w:val="WWNum6432"/>
    <w:basedOn w:val="NoList"/>
    <w:rsid w:val="00F8631B"/>
  </w:style>
  <w:style w:type="numbering" w:customStyle="1" w:styleId="WWNum6532">
    <w:name w:val="WWNum6532"/>
    <w:basedOn w:val="NoList"/>
    <w:rsid w:val="00F8631B"/>
  </w:style>
  <w:style w:type="numbering" w:customStyle="1" w:styleId="WWNum6632">
    <w:name w:val="WWNum6632"/>
    <w:basedOn w:val="NoList"/>
    <w:rsid w:val="00F8631B"/>
  </w:style>
  <w:style w:type="numbering" w:customStyle="1" w:styleId="WWNum7032">
    <w:name w:val="WWNum7032"/>
    <w:basedOn w:val="NoList"/>
    <w:rsid w:val="00F8631B"/>
  </w:style>
  <w:style w:type="numbering" w:customStyle="1" w:styleId="WWNum7332">
    <w:name w:val="WWNum7332"/>
    <w:basedOn w:val="NoList"/>
    <w:rsid w:val="00F8631B"/>
  </w:style>
  <w:style w:type="numbering" w:customStyle="1" w:styleId="WWNum7432">
    <w:name w:val="WWNum7432"/>
    <w:basedOn w:val="NoList"/>
    <w:rsid w:val="00F8631B"/>
  </w:style>
  <w:style w:type="numbering" w:customStyle="1" w:styleId="WWNum7532">
    <w:name w:val="WWNum7532"/>
    <w:basedOn w:val="NoList"/>
    <w:rsid w:val="00F8631B"/>
  </w:style>
  <w:style w:type="numbering" w:customStyle="1" w:styleId="WWNum7642">
    <w:name w:val="WWNum7642"/>
    <w:basedOn w:val="NoList"/>
    <w:rsid w:val="00F8631B"/>
  </w:style>
  <w:style w:type="numbering" w:customStyle="1" w:styleId="WWNum7832">
    <w:name w:val="WWNum7832"/>
    <w:basedOn w:val="NoList"/>
    <w:rsid w:val="00F8631B"/>
  </w:style>
  <w:style w:type="numbering" w:customStyle="1" w:styleId="NoList42">
    <w:name w:val="No List42"/>
    <w:next w:val="NoList"/>
    <w:uiPriority w:val="99"/>
    <w:semiHidden/>
    <w:unhideWhenUsed/>
    <w:rsid w:val="00F8631B"/>
  </w:style>
  <w:style w:type="numbering" w:customStyle="1" w:styleId="WWNum1162">
    <w:name w:val="WWNum1162"/>
    <w:basedOn w:val="NoList"/>
    <w:rsid w:val="00F8631B"/>
  </w:style>
  <w:style w:type="numbering" w:customStyle="1" w:styleId="WWNum672">
    <w:name w:val="WWNum672"/>
    <w:basedOn w:val="NoList"/>
    <w:rsid w:val="00F8631B"/>
  </w:style>
  <w:style w:type="numbering" w:customStyle="1" w:styleId="WWNum842">
    <w:name w:val="WWNum842"/>
    <w:basedOn w:val="NoList"/>
    <w:rsid w:val="00F8631B"/>
  </w:style>
  <w:style w:type="numbering" w:customStyle="1" w:styleId="WWNum942">
    <w:name w:val="WWNum942"/>
    <w:basedOn w:val="NoList"/>
    <w:rsid w:val="00F8631B"/>
  </w:style>
  <w:style w:type="numbering" w:customStyle="1" w:styleId="WWNum1042">
    <w:name w:val="WWNum1042"/>
    <w:basedOn w:val="NoList"/>
    <w:rsid w:val="00F8631B"/>
  </w:style>
  <w:style w:type="numbering" w:customStyle="1" w:styleId="WWNum1172">
    <w:name w:val="WWNum1172"/>
    <w:basedOn w:val="NoList"/>
    <w:rsid w:val="00F8631B"/>
  </w:style>
  <w:style w:type="numbering" w:customStyle="1" w:styleId="WWNum1242">
    <w:name w:val="WWNum1242"/>
    <w:basedOn w:val="NoList"/>
    <w:rsid w:val="00F8631B"/>
  </w:style>
  <w:style w:type="numbering" w:customStyle="1" w:styleId="WWNum1342">
    <w:name w:val="WWNum1342"/>
    <w:basedOn w:val="NoList"/>
    <w:rsid w:val="00F8631B"/>
  </w:style>
  <w:style w:type="numbering" w:customStyle="1" w:styleId="WWNum1442">
    <w:name w:val="WWNum1442"/>
    <w:basedOn w:val="NoList"/>
    <w:rsid w:val="00F8631B"/>
  </w:style>
  <w:style w:type="numbering" w:customStyle="1" w:styleId="WWNum1542">
    <w:name w:val="WWNum1542"/>
    <w:basedOn w:val="NoList"/>
    <w:rsid w:val="00F8631B"/>
  </w:style>
  <w:style w:type="numbering" w:customStyle="1" w:styleId="WWNum1642">
    <w:name w:val="WWNum1642"/>
    <w:basedOn w:val="NoList"/>
    <w:rsid w:val="00F8631B"/>
  </w:style>
  <w:style w:type="numbering" w:customStyle="1" w:styleId="WWNum1742">
    <w:name w:val="WWNum1742"/>
    <w:basedOn w:val="NoList"/>
    <w:rsid w:val="00F8631B"/>
  </w:style>
  <w:style w:type="numbering" w:customStyle="1" w:styleId="WWNum1852">
    <w:name w:val="WWNum1852"/>
    <w:basedOn w:val="NoList"/>
    <w:rsid w:val="00F8631B"/>
  </w:style>
  <w:style w:type="numbering" w:customStyle="1" w:styleId="WWNum1942">
    <w:name w:val="WWNum1942"/>
    <w:basedOn w:val="NoList"/>
    <w:rsid w:val="00F8631B"/>
  </w:style>
  <w:style w:type="numbering" w:customStyle="1" w:styleId="WWNum2042">
    <w:name w:val="WWNum2042"/>
    <w:basedOn w:val="NoList"/>
    <w:rsid w:val="00F8631B"/>
  </w:style>
  <w:style w:type="numbering" w:customStyle="1" w:styleId="WWNum2142">
    <w:name w:val="WWNum2142"/>
    <w:basedOn w:val="NoList"/>
    <w:rsid w:val="00F8631B"/>
  </w:style>
  <w:style w:type="numbering" w:customStyle="1" w:styleId="WWNum2342">
    <w:name w:val="WWNum2342"/>
    <w:basedOn w:val="NoList"/>
    <w:rsid w:val="00F8631B"/>
  </w:style>
  <w:style w:type="numbering" w:customStyle="1" w:styleId="WWNum2442">
    <w:name w:val="WWNum2442"/>
    <w:basedOn w:val="NoList"/>
    <w:rsid w:val="00F8631B"/>
  </w:style>
  <w:style w:type="numbering" w:customStyle="1" w:styleId="WWNum2542">
    <w:name w:val="WWNum2542"/>
    <w:basedOn w:val="NoList"/>
    <w:rsid w:val="00F8631B"/>
  </w:style>
  <w:style w:type="numbering" w:customStyle="1" w:styleId="WWNum2642">
    <w:name w:val="WWNum2642"/>
    <w:basedOn w:val="NoList"/>
    <w:rsid w:val="00F8631B"/>
  </w:style>
  <w:style w:type="numbering" w:customStyle="1" w:styleId="WWNum2742">
    <w:name w:val="WWNum2742"/>
    <w:basedOn w:val="NoList"/>
    <w:rsid w:val="00F8631B"/>
  </w:style>
  <w:style w:type="numbering" w:customStyle="1" w:styleId="WWNum2842">
    <w:name w:val="WWNum2842"/>
    <w:basedOn w:val="NoList"/>
    <w:rsid w:val="00F8631B"/>
  </w:style>
  <w:style w:type="numbering" w:customStyle="1" w:styleId="WWNum2942">
    <w:name w:val="WWNum2942"/>
    <w:basedOn w:val="NoList"/>
    <w:rsid w:val="00F8631B"/>
  </w:style>
  <w:style w:type="numbering" w:customStyle="1" w:styleId="WWNum3042">
    <w:name w:val="WWNum3042"/>
    <w:basedOn w:val="NoList"/>
    <w:rsid w:val="00F8631B"/>
  </w:style>
  <w:style w:type="numbering" w:customStyle="1" w:styleId="WWNum3142">
    <w:name w:val="WWNum3142"/>
    <w:basedOn w:val="NoList"/>
    <w:rsid w:val="00F8631B"/>
  </w:style>
  <w:style w:type="numbering" w:customStyle="1" w:styleId="WWNum3242">
    <w:name w:val="WWNum3242"/>
    <w:basedOn w:val="NoList"/>
    <w:rsid w:val="00F8631B"/>
  </w:style>
  <w:style w:type="numbering" w:customStyle="1" w:styleId="WWNum3342">
    <w:name w:val="WWNum3342"/>
    <w:basedOn w:val="NoList"/>
    <w:rsid w:val="00F8631B"/>
  </w:style>
  <w:style w:type="numbering" w:customStyle="1" w:styleId="WWNum3442">
    <w:name w:val="WWNum3442"/>
    <w:basedOn w:val="NoList"/>
    <w:rsid w:val="00F8631B"/>
  </w:style>
  <w:style w:type="numbering" w:customStyle="1" w:styleId="WWNum3542">
    <w:name w:val="WWNum3542"/>
    <w:basedOn w:val="NoList"/>
    <w:rsid w:val="00F8631B"/>
  </w:style>
  <w:style w:type="numbering" w:customStyle="1" w:styleId="WWNum3742">
    <w:name w:val="WWNum3742"/>
    <w:basedOn w:val="NoList"/>
    <w:rsid w:val="00F8631B"/>
  </w:style>
  <w:style w:type="numbering" w:customStyle="1" w:styleId="WWNum3842">
    <w:name w:val="WWNum3842"/>
    <w:basedOn w:val="NoList"/>
    <w:rsid w:val="00F8631B"/>
  </w:style>
  <w:style w:type="numbering" w:customStyle="1" w:styleId="WWNum3942">
    <w:name w:val="WWNum3942"/>
    <w:basedOn w:val="NoList"/>
    <w:rsid w:val="00F8631B"/>
  </w:style>
  <w:style w:type="numbering" w:customStyle="1" w:styleId="WWNum4042">
    <w:name w:val="WWNum4042"/>
    <w:basedOn w:val="NoList"/>
    <w:rsid w:val="00F8631B"/>
  </w:style>
  <w:style w:type="numbering" w:customStyle="1" w:styleId="WWNum4242">
    <w:name w:val="WWNum4242"/>
    <w:basedOn w:val="NoList"/>
    <w:rsid w:val="00F8631B"/>
  </w:style>
  <w:style w:type="numbering" w:customStyle="1" w:styleId="WWNum4342">
    <w:name w:val="WWNum4342"/>
    <w:basedOn w:val="NoList"/>
    <w:rsid w:val="00F8631B"/>
  </w:style>
  <w:style w:type="numbering" w:customStyle="1" w:styleId="WWNum4442">
    <w:name w:val="WWNum4442"/>
    <w:basedOn w:val="NoList"/>
    <w:rsid w:val="00F8631B"/>
  </w:style>
  <w:style w:type="numbering" w:customStyle="1" w:styleId="WWNum4542">
    <w:name w:val="WWNum4542"/>
    <w:basedOn w:val="NoList"/>
    <w:rsid w:val="00F8631B"/>
  </w:style>
  <w:style w:type="numbering" w:customStyle="1" w:styleId="WWNum4642">
    <w:name w:val="WWNum4642"/>
    <w:basedOn w:val="NoList"/>
    <w:rsid w:val="00F8631B"/>
  </w:style>
  <w:style w:type="numbering" w:customStyle="1" w:styleId="WWNum4742">
    <w:name w:val="WWNum4742"/>
    <w:basedOn w:val="NoList"/>
    <w:rsid w:val="00F8631B"/>
  </w:style>
  <w:style w:type="numbering" w:customStyle="1" w:styleId="WWNum5142">
    <w:name w:val="WWNum5142"/>
    <w:basedOn w:val="NoList"/>
    <w:rsid w:val="00F8631B"/>
  </w:style>
  <w:style w:type="numbering" w:customStyle="1" w:styleId="WWNum5242">
    <w:name w:val="WWNum5242"/>
    <w:basedOn w:val="NoList"/>
    <w:rsid w:val="00F8631B"/>
  </w:style>
  <w:style w:type="numbering" w:customStyle="1" w:styleId="WWNum5542">
    <w:name w:val="WWNum5542"/>
    <w:basedOn w:val="NoList"/>
    <w:rsid w:val="00F8631B"/>
  </w:style>
  <w:style w:type="numbering" w:customStyle="1" w:styleId="WWNum5742">
    <w:name w:val="WWNum5742"/>
    <w:basedOn w:val="NoList"/>
    <w:rsid w:val="00F8631B"/>
  </w:style>
  <w:style w:type="numbering" w:customStyle="1" w:styleId="WWNum5842">
    <w:name w:val="WWNum5842"/>
    <w:basedOn w:val="NoList"/>
    <w:rsid w:val="00F8631B"/>
  </w:style>
  <w:style w:type="numbering" w:customStyle="1" w:styleId="WWNum6442">
    <w:name w:val="WWNum6442"/>
    <w:basedOn w:val="NoList"/>
    <w:rsid w:val="00F8631B"/>
  </w:style>
  <w:style w:type="numbering" w:customStyle="1" w:styleId="WWNum6542">
    <w:name w:val="WWNum6542"/>
    <w:basedOn w:val="NoList"/>
    <w:rsid w:val="00F8631B"/>
  </w:style>
  <w:style w:type="numbering" w:customStyle="1" w:styleId="WWNum6642">
    <w:name w:val="WWNum6642"/>
    <w:basedOn w:val="NoList"/>
    <w:rsid w:val="00F8631B"/>
  </w:style>
  <w:style w:type="numbering" w:customStyle="1" w:styleId="WWNum7042">
    <w:name w:val="WWNum7042"/>
    <w:basedOn w:val="NoList"/>
    <w:rsid w:val="00F8631B"/>
  </w:style>
  <w:style w:type="numbering" w:customStyle="1" w:styleId="WWNum7342">
    <w:name w:val="WWNum7342"/>
    <w:basedOn w:val="NoList"/>
    <w:rsid w:val="00F8631B"/>
  </w:style>
  <w:style w:type="numbering" w:customStyle="1" w:styleId="WWNum7442">
    <w:name w:val="WWNum7442"/>
    <w:basedOn w:val="NoList"/>
    <w:rsid w:val="00F8631B"/>
  </w:style>
  <w:style w:type="numbering" w:customStyle="1" w:styleId="WWNum7542">
    <w:name w:val="WWNum7542"/>
    <w:basedOn w:val="NoList"/>
    <w:rsid w:val="00F8631B"/>
  </w:style>
  <w:style w:type="numbering" w:customStyle="1" w:styleId="WWNum7652">
    <w:name w:val="WWNum7652"/>
    <w:basedOn w:val="NoList"/>
    <w:rsid w:val="00F8631B"/>
  </w:style>
  <w:style w:type="numbering" w:customStyle="1" w:styleId="WWNum7842">
    <w:name w:val="WWNum7842"/>
    <w:basedOn w:val="NoList"/>
    <w:rsid w:val="00F8631B"/>
  </w:style>
  <w:style w:type="numbering" w:customStyle="1" w:styleId="NoList52">
    <w:name w:val="No List52"/>
    <w:next w:val="NoList"/>
    <w:uiPriority w:val="99"/>
    <w:semiHidden/>
    <w:unhideWhenUsed/>
    <w:rsid w:val="00F8631B"/>
  </w:style>
  <w:style w:type="numbering" w:customStyle="1" w:styleId="NoList123">
    <w:name w:val="No List123"/>
    <w:next w:val="NoList"/>
    <w:uiPriority w:val="99"/>
    <w:semiHidden/>
    <w:unhideWhenUsed/>
    <w:rsid w:val="00F8631B"/>
  </w:style>
  <w:style w:type="numbering" w:customStyle="1" w:styleId="WWNum1052">
    <w:name w:val="WWNum1052"/>
    <w:basedOn w:val="NoList"/>
    <w:rsid w:val="00F8631B"/>
  </w:style>
  <w:style w:type="numbering" w:customStyle="1" w:styleId="NoList62">
    <w:name w:val="No List62"/>
    <w:next w:val="NoList"/>
    <w:uiPriority w:val="99"/>
    <w:semiHidden/>
    <w:unhideWhenUsed/>
    <w:rsid w:val="00F8631B"/>
  </w:style>
  <w:style w:type="table" w:customStyle="1" w:styleId="LightList-Accent62111">
    <w:name w:val="Light List - Accent 6211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11">
    <w:name w:val="Light List - Accent 61111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11">
    <w:name w:val="Light List - Accent 631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11">
    <w:name w:val="Light List - Accent 6121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11">
    <w:name w:val="Light List - Accent 641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11">
    <w:name w:val="Light List - Accent 6131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511">
    <w:name w:val="Light List - Accent 651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11">
    <w:name w:val="Light List - Accent 661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11">
    <w:name w:val="Light List - Accent 6141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11">
    <w:name w:val="Light List - Accent 671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811">
    <w:name w:val="Light List - Accent 681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511">
    <w:name w:val="Light List - Accent 6151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61">
    <w:name w:val="Light List - Accent 616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71">
    <w:name w:val="Light List - Accent 617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21">
    <w:name w:val="Light List - Accent 622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21">
    <w:name w:val="Light List - Accent 6112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21">
    <w:name w:val="Light List - Accent 6212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21">
    <w:name w:val="Light List - Accent 61112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21">
    <w:name w:val="Light List - Accent 632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21">
    <w:name w:val="Light List - Accent 6122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21">
    <w:name w:val="Light List - Accent 642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21">
    <w:name w:val="Light List - Accent 6132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521">
    <w:name w:val="Light List - Accent 652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21">
    <w:name w:val="Light List - Accent 662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21">
    <w:name w:val="Light List - Accent 6142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21">
    <w:name w:val="Light List - Accent 672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821">
    <w:name w:val="Light List - Accent 682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911">
    <w:name w:val="Light List - Accent 691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011">
    <w:name w:val="Light List - Accent 6101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521">
    <w:name w:val="Light List - Accent 6152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81">
    <w:name w:val="Light List - Accent 618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91">
    <w:name w:val="Light List - Accent 619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31">
    <w:name w:val="Light List - Accent 623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31">
    <w:name w:val="Light List - Accent 6113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31">
    <w:name w:val="Light List - Accent 6213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31">
    <w:name w:val="Light List - Accent 61113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31">
    <w:name w:val="Light List - Accent 633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31">
    <w:name w:val="Light List - Accent 6123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31">
    <w:name w:val="Light List - Accent 643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31">
    <w:name w:val="Light List - Accent 6133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531">
    <w:name w:val="Light List - Accent 653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31">
    <w:name w:val="Light List - Accent 663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31">
    <w:name w:val="Light List - Accent 6143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31">
    <w:name w:val="Light List - Accent 673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831">
    <w:name w:val="Light List - Accent 683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921">
    <w:name w:val="Light List - Accent 692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021">
    <w:name w:val="Light List - Accent 6102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531">
    <w:name w:val="Light List - Accent 6153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1014">
    <w:name w:val="WWNum1014"/>
    <w:basedOn w:val="NoList"/>
    <w:rsid w:val="00F8631B"/>
  </w:style>
  <w:style w:type="numbering" w:customStyle="1" w:styleId="WWNum7414">
    <w:name w:val="WWNum7414"/>
    <w:basedOn w:val="NoList"/>
    <w:rsid w:val="00F8631B"/>
  </w:style>
  <w:style w:type="numbering" w:customStyle="1" w:styleId="WWNum7514">
    <w:name w:val="WWNum7514"/>
    <w:basedOn w:val="NoList"/>
    <w:rsid w:val="00F8631B"/>
  </w:style>
  <w:style w:type="table" w:customStyle="1" w:styleId="TableGrid24">
    <w:name w:val="Table Grid24"/>
    <w:basedOn w:val="TableNormal"/>
    <w:next w:val="TableGrid"/>
    <w:uiPriority w:val="59"/>
    <w:rsid w:val="00F8631B"/>
    <w:pPr>
      <w:spacing w:after="0" w:line="240" w:lineRule="auto"/>
    </w:pPr>
    <w:rPr>
      <w:rFonts w:ascii="Calibri" w:eastAsia="Times New Roman" w:hAnsi="Calibri" w:cs="Times New Roman"/>
      <w:kern w:val="0"/>
      <w:sz w:val="20"/>
      <w:szCs w:val="20"/>
      <w:lang w:val="en-IN" w:eastAsia="en-IN"/>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Num3924">
    <w:name w:val="WWNum3924"/>
    <w:basedOn w:val="NoList"/>
    <w:rsid w:val="00F8631B"/>
  </w:style>
  <w:style w:type="numbering" w:customStyle="1" w:styleId="WWNum5224">
    <w:name w:val="WWNum5224"/>
    <w:basedOn w:val="NoList"/>
    <w:rsid w:val="00F8631B"/>
  </w:style>
  <w:style w:type="numbering" w:customStyle="1" w:styleId="WWNum1053">
    <w:name w:val="WWNum1053"/>
    <w:basedOn w:val="NoList"/>
    <w:rsid w:val="00F8631B"/>
  </w:style>
  <w:style w:type="numbering" w:customStyle="1" w:styleId="WWNum129">
    <w:name w:val="WWNum129"/>
    <w:basedOn w:val="NoList"/>
    <w:rsid w:val="00F8631B"/>
  </w:style>
  <w:style w:type="numbering" w:customStyle="1" w:styleId="WWNum418">
    <w:name w:val="WWNum418"/>
    <w:basedOn w:val="NoList"/>
    <w:rsid w:val="00F8631B"/>
  </w:style>
  <w:style w:type="numbering" w:customStyle="1" w:styleId="WWNum614">
    <w:name w:val="WWNum614"/>
    <w:basedOn w:val="NoList"/>
    <w:rsid w:val="00F8631B"/>
  </w:style>
  <w:style w:type="numbering" w:customStyle="1" w:styleId="WWNum88">
    <w:name w:val="WWNum88"/>
    <w:basedOn w:val="NoList"/>
    <w:rsid w:val="00F8631B"/>
  </w:style>
  <w:style w:type="numbering" w:customStyle="1" w:styleId="WWNum98">
    <w:name w:val="WWNum98"/>
    <w:basedOn w:val="NoList"/>
    <w:rsid w:val="00F8631B"/>
  </w:style>
  <w:style w:type="numbering" w:customStyle="1" w:styleId="WWNum1115">
    <w:name w:val="WWNum1115"/>
    <w:basedOn w:val="NoList"/>
    <w:rsid w:val="00F8631B"/>
  </w:style>
  <w:style w:type="numbering" w:customStyle="1" w:styleId="WWNum1210">
    <w:name w:val="WWNum1210"/>
    <w:basedOn w:val="NoList"/>
    <w:rsid w:val="00F8631B"/>
  </w:style>
  <w:style w:type="numbering" w:customStyle="1" w:styleId="WWNum138">
    <w:name w:val="WWNum138"/>
    <w:basedOn w:val="NoList"/>
    <w:rsid w:val="00F8631B"/>
  </w:style>
  <w:style w:type="numbering" w:customStyle="1" w:styleId="WWNum148">
    <w:name w:val="WWNum148"/>
    <w:basedOn w:val="NoList"/>
    <w:rsid w:val="00F8631B"/>
  </w:style>
  <w:style w:type="numbering" w:customStyle="1" w:styleId="WWNum158">
    <w:name w:val="WWNum158"/>
    <w:basedOn w:val="NoList"/>
    <w:rsid w:val="00F8631B"/>
  </w:style>
  <w:style w:type="numbering" w:customStyle="1" w:styleId="WWNum168">
    <w:name w:val="WWNum168"/>
    <w:basedOn w:val="NoList"/>
    <w:rsid w:val="00F8631B"/>
  </w:style>
  <w:style w:type="numbering" w:customStyle="1" w:styleId="WWNum178">
    <w:name w:val="WWNum178"/>
    <w:basedOn w:val="NoList"/>
    <w:rsid w:val="00F8631B"/>
  </w:style>
  <w:style w:type="numbering" w:customStyle="1" w:styleId="WWNum189">
    <w:name w:val="WWNum189"/>
    <w:basedOn w:val="NoList"/>
    <w:rsid w:val="00F8631B"/>
  </w:style>
  <w:style w:type="numbering" w:customStyle="1" w:styleId="WWNum198">
    <w:name w:val="WWNum198"/>
    <w:basedOn w:val="NoList"/>
    <w:rsid w:val="00F8631B"/>
  </w:style>
  <w:style w:type="numbering" w:customStyle="1" w:styleId="WWNum208">
    <w:name w:val="WWNum208"/>
    <w:basedOn w:val="NoList"/>
    <w:rsid w:val="00F8631B"/>
  </w:style>
  <w:style w:type="numbering" w:customStyle="1" w:styleId="WWNum218">
    <w:name w:val="WWNum218"/>
    <w:basedOn w:val="NoList"/>
    <w:rsid w:val="00F8631B"/>
  </w:style>
  <w:style w:type="numbering" w:customStyle="1" w:styleId="WWNum238">
    <w:name w:val="WWNum238"/>
    <w:basedOn w:val="NoList"/>
    <w:rsid w:val="00F8631B"/>
  </w:style>
  <w:style w:type="numbering" w:customStyle="1" w:styleId="WWNum248">
    <w:name w:val="WWNum248"/>
    <w:basedOn w:val="NoList"/>
    <w:rsid w:val="00F8631B"/>
  </w:style>
  <w:style w:type="numbering" w:customStyle="1" w:styleId="WWNum258">
    <w:name w:val="WWNum258"/>
    <w:basedOn w:val="NoList"/>
    <w:rsid w:val="00F8631B"/>
  </w:style>
  <w:style w:type="numbering" w:customStyle="1" w:styleId="WWNum268">
    <w:name w:val="WWNum268"/>
    <w:basedOn w:val="NoList"/>
    <w:rsid w:val="00F8631B"/>
  </w:style>
  <w:style w:type="numbering" w:customStyle="1" w:styleId="WWNum288">
    <w:name w:val="WWNum288"/>
    <w:basedOn w:val="NoList"/>
    <w:rsid w:val="00F8631B"/>
  </w:style>
  <w:style w:type="numbering" w:customStyle="1" w:styleId="WWNum308">
    <w:name w:val="WWNum308"/>
    <w:basedOn w:val="NoList"/>
    <w:rsid w:val="00F8631B"/>
  </w:style>
  <w:style w:type="numbering" w:customStyle="1" w:styleId="WWNum318">
    <w:name w:val="WWNum318"/>
    <w:basedOn w:val="NoList"/>
    <w:rsid w:val="00F8631B"/>
  </w:style>
  <w:style w:type="numbering" w:customStyle="1" w:styleId="WWNum328">
    <w:name w:val="WWNum328"/>
    <w:basedOn w:val="NoList"/>
    <w:rsid w:val="00F8631B"/>
  </w:style>
  <w:style w:type="numbering" w:customStyle="1" w:styleId="WWNum338">
    <w:name w:val="WWNum338"/>
    <w:basedOn w:val="NoList"/>
    <w:rsid w:val="00F8631B"/>
  </w:style>
  <w:style w:type="numbering" w:customStyle="1" w:styleId="WWNum348">
    <w:name w:val="WWNum348"/>
    <w:basedOn w:val="NoList"/>
    <w:rsid w:val="00F8631B"/>
  </w:style>
  <w:style w:type="numbering" w:customStyle="1" w:styleId="WWNum358">
    <w:name w:val="WWNum358"/>
    <w:basedOn w:val="NoList"/>
    <w:rsid w:val="00F8631B"/>
  </w:style>
  <w:style w:type="numbering" w:customStyle="1" w:styleId="WWNum366">
    <w:name w:val="WWNum366"/>
    <w:basedOn w:val="NoList"/>
    <w:rsid w:val="00F8631B"/>
  </w:style>
  <w:style w:type="numbering" w:customStyle="1" w:styleId="WWNum378">
    <w:name w:val="WWNum378"/>
    <w:basedOn w:val="NoList"/>
    <w:rsid w:val="00F8631B"/>
  </w:style>
  <w:style w:type="numbering" w:customStyle="1" w:styleId="WWNum388">
    <w:name w:val="WWNum388"/>
    <w:basedOn w:val="NoList"/>
    <w:rsid w:val="00F8631B"/>
  </w:style>
  <w:style w:type="numbering" w:customStyle="1" w:styleId="WWNum398">
    <w:name w:val="WWNum398"/>
    <w:basedOn w:val="NoList"/>
    <w:rsid w:val="00F8631B"/>
  </w:style>
  <w:style w:type="numbering" w:customStyle="1" w:styleId="WWNum408">
    <w:name w:val="WWNum408"/>
    <w:basedOn w:val="NoList"/>
    <w:rsid w:val="00F8631B"/>
  </w:style>
  <w:style w:type="numbering" w:customStyle="1" w:styleId="WWNum419">
    <w:name w:val="WWNum419"/>
    <w:basedOn w:val="NoList"/>
    <w:rsid w:val="00F8631B"/>
  </w:style>
  <w:style w:type="numbering" w:customStyle="1" w:styleId="WWNum438">
    <w:name w:val="WWNum438"/>
    <w:basedOn w:val="NoList"/>
    <w:rsid w:val="00F8631B"/>
  </w:style>
  <w:style w:type="numbering" w:customStyle="1" w:styleId="WWNum448">
    <w:name w:val="WWNum448"/>
    <w:basedOn w:val="NoList"/>
    <w:rsid w:val="00F8631B"/>
  </w:style>
  <w:style w:type="numbering" w:customStyle="1" w:styleId="WWNum458">
    <w:name w:val="WWNum458"/>
    <w:basedOn w:val="NoList"/>
    <w:rsid w:val="00F8631B"/>
  </w:style>
  <w:style w:type="numbering" w:customStyle="1" w:styleId="WWNum468">
    <w:name w:val="WWNum468"/>
    <w:basedOn w:val="NoList"/>
    <w:rsid w:val="00F8631B"/>
  </w:style>
  <w:style w:type="numbering" w:customStyle="1" w:styleId="WWNum478">
    <w:name w:val="WWNum478"/>
    <w:basedOn w:val="NoList"/>
    <w:rsid w:val="00F8631B"/>
  </w:style>
  <w:style w:type="numbering" w:customStyle="1" w:styleId="WWNum518">
    <w:name w:val="WWNum518"/>
    <w:basedOn w:val="NoList"/>
    <w:rsid w:val="00F8631B"/>
  </w:style>
  <w:style w:type="numbering" w:customStyle="1" w:styleId="WWNum528">
    <w:name w:val="WWNum528"/>
    <w:basedOn w:val="NoList"/>
    <w:rsid w:val="00F8631B"/>
  </w:style>
  <w:style w:type="numbering" w:customStyle="1" w:styleId="WWNum548">
    <w:name w:val="WWNum548"/>
    <w:basedOn w:val="NoList"/>
    <w:rsid w:val="00F8631B"/>
  </w:style>
  <w:style w:type="numbering" w:customStyle="1" w:styleId="WWNum558">
    <w:name w:val="WWNum558"/>
    <w:basedOn w:val="NoList"/>
    <w:rsid w:val="00F8631B"/>
  </w:style>
  <w:style w:type="numbering" w:customStyle="1" w:styleId="WWNum588">
    <w:name w:val="WWNum588"/>
    <w:basedOn w:val="NoList"/>
    <w:rsid w:val="00F8631B"/>
  </w:style>
  <w:style w:type="numbering" w:customStyle="1" w:styleId="WWNum648">
    <w:name w:val="WWNum648"/>
    <w:basedOn w:val="NoList"/>
    <w:rsid w:val="00F8631B"/>
  </w:style>
  <w:style w:type="numbering" w:customStyle="1" w:styleId="WWNum708">
    <w:name w:val="WWNum708"/>
    <w:basedOn w:val="NoList"/>
    <w:rsid w:val="00F8631B"/>
  </w:style>
  <w:style w:type="numbering" w:customStyle="1" w:styleId="WWNum738">
    <w:name w:val="WWNum738"/>
    <w:basedOn w:val="NoList"/>
    <w:rsid w:val="00F8631B"/>
  </w:style>
  <w:style w:type="numbering" w:customStyle="1" w:styleId="WWNum748">
    <w:name w:val="WWNum748"/>
    <w:basedOn w:val="NoList"/>
    <w:rsid w:val="00F8631B"/>
  </w:style>
  <w:style w:type="numbering" w:customStyle="1" w:styleId="WWNum758">
    <w:name w:val="WWNum758"/>
    <w:basedOn w:val="NoList"/>
    <w:rsid w:val="00F8631B"/>
  </w:style>
  <w:style w:type="numbering" w:customStyle="1" w:styleId="WWNum769">
    <w:name w:val="WWNum769"/>
    <w:basedOn w:val="NoList"/>
    <w:rsid w:val="00F8631B"/>
  </w:style>
  <w:style w:type="numbering" w:customStyle="1" w:styleId="WWNum776">
    <w:name w:val="WWNum776"/>
    <w:basedOn w:val="NoList"/>
    <w:rsid w:val="00F8631B"/>
  </w:style>
  <w:style w:type="numbering" w:customStyle="1" w:styleId="WWNum788">
    <w:name w:val="WWNum788"/>
    <w:basedOn w:val="NoList"/>
    <w:rsid w:val="00F8631B"/>
  </w:style>
  <w:style w:type="numbering" w:customStyle="1" w:styleId="WWNum1054">
    <w:name w:val="WWNum1054"/>
    <w:basedOn w:val="NoList"/>
    <w:rsid w:val="00F8631B"/>
  </w:style>
  <w:style w:type="table" w:customStyle="1" w:styleId="LightList-Accent629">
    <w:name w:val="Light List - Accent 629"/>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6">
    <w:name w:val="Light List - Accent 6216"/>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6">
    <w:name w:val="Light List - Accent 61116"/>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6">
    <w:name w:val="Light List - Accent 636"/>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6">
    <w:name w:val="Light List - Accent 6126"/>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6">
    <w:name w:val="Light List - Accent 646"/>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6">
    <w:name w:val="Light List - Accent 6136"/>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TableGrid25">
    <w:name w:val="Table Grid25"/>
    <w:basedOn w:val="TableNormal"/>
    <w:next w:val="TableGrid"/>
    <w:uiPriority w:val="59"/>
    <w:rsid w:val="00F8631B"/>
    <w:pPr>
      <w:spacing w:after="0" w:line="240" w:lineRule="auto"/>
    </w:pPr>
    <w:rPr>
      <w:rFonts w:ascii="Calibri" w:eastAsia="Times New Roman" w:hAnsi="Calibri" w:cs="Times New Roman"/>
      <w:kern w:val="0"/>
      <w:sz w:val="20"/>
      <w:szCs w:val="20"/>
      <w:lang w:val="en-IN" w:eastAsia="en-IN"/>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656">
    <w:name w:val="Light List - Accent 656"/>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6">
    <w:name w:val="Light List - Accent 666"/>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6">
    <w:name w:val="Light List - Accent 6146"/>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6">
    <w:name w:val="Light List - Accent 676"/>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495">
    <w:name w:val="WWNum495"/>
    <w:basedOn w:val="NoList"/>
    <w:rsid w:val="00F8631B"/>
    <w:pPr>
      <w:numPr>
        <w:numId w:val="116"/>
      </w:numPr>
    </w:pPr>
  </w:style>
  <w:style w:type="numbering" w:customStyle="1" w:styleId="WWNum3625">
    <w:name w:val="WWNum3625"/>
    <w:basedOn w:val="NoList"/>
    <w:rsid w:val="00F8631B"/>
    <w:pPr>
      <w:numPr>
        <w:numId w:val="117"/>
      </w:numPr>
    </w:pPr>
  </w:style>
  <w:style w:type="numbering" w:customStyle="1" w:styleId="WWNum5225">
    <w:name w:val="WWNum5225"/>
    <w:basedOn w:val="NoList"/>
    <w:rsid w:val="00F8631B"/>
    <w:pPr>
      <w:numPr>
        <w:numId w:val="115"/>
      </w:numPr>
    </w:pPr>
  </w:style>
  <w:style w:type="numbering" w:customStyle="1" w:styleId="WWNum7635">
    <w:name w:val="WWNum7635"/>
    <w:basedOn w:val="NoList"/>
    <w:rsid w:val="00F8631B"/>
    <w:pPr>
      <w:numPr>
        <w:numId w:val="61"/>
      </w:numPr>
    </w:pPr>
  </w:style>
  <w:style w:type="numbering" w:customStyle="1" w:styleId="WWNum7725">
    <w:name w:val="WWNum7725"/>
    <w:basedOn w:val="NoList"/>
    <w:rsid w:val="00F8631B"/>
    <w:pPr>
      <w:numPr>
        <w:numId w:val="122"/>
      </w:numPr>
    </w:pPr>
  </w:style>
  <w:style w:type="table" w:customStyle="1" w:styleId="LightList-Accent686">
    <w:name w:val="Light List - Accent 686"/>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1055">
    <w:name w:val="WWNum1055"/>
    <w:basedOn w:val="NoList"/>
    <w:rsid w:val="00F8631B"/>
    <w:pPr>
      <w:numPr>
        <w:numId w:val="121"/>
      </w:numPr>
    </w:pPr>
  </w:style>
  <w:style w:type="numbering" w:customStyle="1" w:styleId="WWNum1194">
    <w:name w:val="WWNum1194"/>
    <w:basedOn w:val="NoList"/>
    <w:rsid w:val="00F8631B"/>
  </w:style>
  <w:style w:type="numbering" w:customStyle="1" w:styleId="WWNum1254">
    <w:name w:val="WWNum1254"/>
    <w:basedOn w:val="NoList"/>
    <w:rsid w:val="00F8631B"/>
  </w:style>
  <w:style w:type="numbering" w:customStyle="1" w:styleId="WWNum7054">
    <w:name w:val="WWNum7054"/>
    <w:basedOn w:val="NoList"/>
    <w:rsid w:val="00F8631B"/>
  </w:style>
  <w:style w:type="table" w:customStyle="1" w:styleId="LightList-Accent6156">
    <w:name w:val="Light List - Accent 6156"/>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TableClassic31">
    <w:name w:val="Table Classic 31"/>
    <w:basedOn w:val="TableNormal"/>
    <w:next w:val="TableClassic3"/>
    <w:rsid w:val="00F8631B"/>
    <w:pPr>
      <w:spacing w:after="0" w:line="240" w:lineRule="auto"/>
    </w:pPr>
    <w:rPr>
      <w:rFonts w:ascii="Times New Roman" w:eastAsia="Calibri" w:hAnsi="Times New Roman" w:cs="Times New Roman"/>
      <w:color w:val="000080"/>
      <w:kern w:val="0"/>
      <w:sz w:val="20"/>
      <w:szCs w:val="20"/>
      <w:lang w:val="en-IN" w:eastAsia="en-IN"/>
      <w14:ligatures w14:val="non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3Deffects11">
    <w:name w:val="Table 3D effects 11"/>
    <w:basedOn w:val="TableNormal"/>
    <w:next w:val="Table3Deffects1"/>
    <w:rsid w:val="00F8631B"/>
    <w:pPr>
      <w:spacing w:after="0" w:line="240" w:lineRule="auto"/>
    </w:pPr>
    <w:rPr>
      <w:rFonts w:ascii="Times New Roman" w:eastAsia="Calibri" w:hAnsi="Times New Roman" w:cs="Times New Roman"/>
      <w:kern w:val="0"/>
      <w:sz w:val="20"/>
      <w:szCs w:val="20"/>
      <w:lang w:val="en-IN" w:eastAsia="en-IN"/>
      <w14:ligatures w14:val="none"/>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numbering" w:customStyle="1" w:styleId="WWNum3926">
    <w:name w:val="WWNum3926"/>
    <w:basedOn w:val="NoList"/>
    <w:rsid w:val="00F8631B"/>
  </w:style>
  <w:style w:type="numbering" w:customStyle="1" w:styleId="WWNum7636">
    <w:name w:val="WWNum7636"/>
    <w:basedOn w:val="NoList"/>
    <w:rsid w:val="00F8631B"/>
  </w:style>
  <w:style w:type="numbering" w:customStyle="1" w:styleId="WWNum130">
    <w:name w:val="WWNum130"/>
    <w:basedOn w:val="NoList"/>
    <w:rsid w:val="00F8631B"/>
  </w:style>
  <w:style w:type="numbering" w:customStyle="1" w:styleId="WWNum420">
    <w:name w:val="WWNum420"/>
    <w:basedOn w:val="NoList"/>
    <w:rsid w:val="00F8631B"/>
  </w:style>
  <w:style w:type="numbering" w:customStyle="1" w:styleId="WWNum615">
    <w:name w:val="WWNum615"/>
    <w:basedOn w:val="NoList"/>
    <w:rsid w:val="00F8631B"/>
  </w:style>
  <w:style w:type="numbering" w:customStyle="1" w:styleId="WWNum89">
    <w:name w:val="WWNum89"/>
    <w:basedOn w:val="NoList"/>
    <w:rsid w:val="00F8631B"/>
  </w:style>
  <w:style w:type="numbering" w:customStyle="1" w:styleId="WWNum99">
    <w:name w:val="WWNum99"/>
    <w:basedOn w:val="NoList"/>
    <w:rsid w:val="00F8631B"/>
  </w:style>
  <w:style w:type="numbering" w:customStyle="1" w:styleId="WWNum1116">
    <w:name w:val="WWNum1116"/>
    <w:basedOn w:val="NoList"/>
    <w:rsid w:val="00F8631B"/>
  </w:style>
  <w:style w:type="numbering" w:customStyle="1" w:styleId="WWNum139">
    <w:name w:val="WWNum139"/>
    <w:basedOn w:val="NoList"/>
    <w:rsid w:val="00F8631B"/>
  </w:style>
  <w:style w:type="numbering" w:customStyle="1" w:styleId="WWNum149">
    <w:name w:val="WWNum149"/>
    <w:basedOn w:val="NoList"/>
    <w:rsid w:val="00F8631B"/>
  </w:style>
  <w:style w:type="numbering" w:customStyle="1" w:styleId="WWNum159">
    <w:name w:val="WWNum159"/>
    <w:basedOn w:val="NoList"/>
    <w:rsid w:val="00F8631B"/>
  </w:style>
  <w:style w:type="numbering" w:customStyle="1" w:styleId="WWNum169">
    <w:name w:val="WWNum169"/>
    <w:basedOn w:val="NoList"/>
    <w:rsid w:val="00F8631B"/>
  </w:style>
  <w:style w:type="numbering" w:customStyle="1" w:styleId="WWNum179">
    <w:name w:val="WWNum179"/>
    <w:basedOn w:val="NoList"/>
    <w:rsid w:val="00F8631B"/>
  </w:style>
  <w:style w:type="numbering" w:customStyle="1" w:styleId="WWNum1810">
    <w:name w:val="WWNum1810"/>
    <w:basedOn w:val="NoList"/>
    <w:rsid w:val="00F8631B"/>
  </w:style>
  <w:style w:type="numbering" w:customStyle="1" w:styleId="WWNum199">
    <w:name w:val="WWNum199"/>
    <w:basedOn w:val="NoList"/>
    <w:rsid w:val="00F8631B"/>
  </w:style>
  <w:style w:type="numbering" w:customStyle="1" w:styleId="WWNum209">
    <w:name w:val="WWNum209"/>
    <w:basedOn w:val="NoList"/>
    <w:rsid w:val="00F8631B"/>
  </w:style>
  <w:style w:type="numbering" w:customStyle="1" w:styleId="WWNum219">
    <w:name w:val="WWNum219"/>
    <w:basedOn w:val="NoList"/>
    <w:rsid w:val="00F8631B"/>
  </w:style>
  <w:style w:type="numbering" w:customStyle="1" w:styleId="WWNum239">
    <w:name w:val="WWNum239"/>
    <w:basedOn w:val="NoList"/>
    <w:rsid w:val="00F8631B"/>
  </w:style>
  <w:style w:type="numbering" w:customStyle="1" w:styleId="WWNum249">
    <w:name w:val="WWNum249"/>
    <w:basedOn w:val="NoList"/>
    <w:rsid w:val="00F8631B"/>
  </w:style>
  <w:style w:type="numbering" w:customStyle="1" w:styleId="WWNum259">
    <w:name w:val="WWNum259"/>
    <w:basedOn w:val="NoList"/>
    <w:rsid w:val="00F8631B"/>
  </w:style>
  <w:style w:type="numbering" w:customStyle="1" w:styleId="WWNum269">
    <w:name w:val="WWNum269"/>
    <w:basedOn w:val="NoList"/>
    <w:rsid w:val="00F8631B"/>
  </w:style>
  <w:style w:type="numbering" w:customStyle="1" w:styleId="WWNum289">
    <w:name w:val="WWNum289"/>
    <w:basedOn w:val="NoList"/>
    <w:rsid w:val="00F8631B"/>
  </w:style>
  <w:style w:type="numbering" w:customStyle="1" w:styleId="WWNum309">
    <w:name w:val="WWNum309"/>
    <w:basedOn w:val="NoList"/>
    <w:rsid w:val="00F8631B"/>
  </w:style>
  <w:style w:type="numbering" w:customStyle="1" w:styleId="WWNum319">
    <w:name w:val="WWNum319"/>
    <w:basedOn w:val="NoList"/>
    <w:rsid w:val="00F8631B"/>
  </w:style>
  <w:style w:type="numbering" w:customStyle="1" w:styleId="WWNum329">
    <w:name w:val="WWNum329"/>
    <w:basedOn w:val="NoList"/>
    <w:rsid w:val="00F8631B"/>
  </w:style>
  <w:style w:type="numbering" w:customStyle="1" w:styleId="WWNum339">
    <w:name w:val="WWNum339"/>
    <w:basedOn w:val="NoList"/>
    <w:rsid w:val="00F8631B"/>
  </w:style>
  <w:style w:type="numbering" w:customStyle="1" w:styleId="WWNum349">
    <w:name w:val="WWNum349"/>
    <w:basedOn w:val="NoList"/>
    <w:rsid w:val="00F8631B"/>
  </w:style>
  <w:style w:type="numbering" w:customStyle="1" w:styleId="WWNum359">
    <w:name w:val="WWNum359"/>
    <w:basedOn w:val="NoList"/>
    <w:rsid w:val="00F8631B"/>
  </w:style>
  <w:style w:type="numbering" w:customStyle="1" w:styleId="WWNum367">
    <w:name w:val="WWNum367"/>
    <w:basedOn w:val="NoList"/>
    <w:rsid w:val="00F8631B"/>
  </w:style>
  <w:style w:type="numbering" w:customStyle="1" w:styleId="WWNum379">
    <w:name w:val="WWNum379"/>
    <w:basedOn w:val="NoList"/>
    <w:rsid w:val="00F8631B"/>
  </w:style>
  <w:style w:type="numbering" w:customStyle="1" w:styleId="WWNum389">
    <w:name w:val="WWNum389"/>
    <w:basedOn w:val="NoList"/>
    <w:rsid w:val="00F8631B"/>
  </w:style>
  <w:style w:type="numbering" w:customStyle="1" w:styleId="WWNum399">
    <w:name w:val="WWNum399"/>
    <w:basedOn w:val="NoList"/>
    <w:rsid w:val="00F8631B"/>
  </w:style>
  <w:style w:type="numbering" w:customStyle="1" w:styleId="WWNum409">
    <w:name w:val="WWNum409"/>
    <w:basedOn w:val="NoList"/>
    <w:rsid w:val="00F8631B"/>
  </w:style>
  <w:style w:type="numbering" w:customStyle="1" w:styleId="WWNum4110">
    <w:name w:val="WWNum4110"/>
    <w:basedOn w:val="NoList"/>
    <w:rsid w:val="00F8631B"/>
  </w:style>
  <w:style w:type="numbering" w:customStyle="1" w:styleId="WWNum429">
    <w:name w:val="WWNum429"/>
    <w:basedOn w:val="NoList"/>
    <w:rsid w:val="00F8631B"/>
  </w:style>
  <w:style w:type="numbering" w:customStyle="1" w:styleId="WWNum439">
    <w:name w:val="WWNum439"/>
    <w:basedOn w:val="NoList"/>
    <w:rsid w:val="00F8631B"/>
  </w:style>
  <w:style w:type="numbering" w:customStyle="1" w:styleId="WWNum449">
    <w:name w:val="WWNum449"/>
    <w:basedOn w:val="NoList"/>
    <w:rsid w:val="00F8631B"/>
  </w:style>
  <w:style w:type="numbering" w:customStyle="1" w:styleId="WWNum459">
    <w:name w:val="WWNum459"/>
    <w:basedOn w:val="NoList"/>
    <w:rsid w:val="00F8631B"/>
  </w:style>
  <w:style w:type="numbering" w:customStyle="1" w:styleId="WWNum469">
    <w:name w:val="WWNum469"/>
    <w:basedOn w:val="NoList"/>
    <w:rsid w:val="00F8631B"/>
  </w:style>
  <w:style w:type="numbering" w:customStyle="1" w:styleId="WWNum479">
    <w:name w:val="WWNum479"/>
    <w:basedOn w:val="NoList"/>
    <w:rsid w:val="00F8631B"/>
  </w:style>
  <w:style w:type="numbering" w:customStyle="1" w:styleId="WWNum519">
    <w:name w:val="WWNum519"/>
    <w:basedOn w:val="NoList"/>
    <w:rsid w:val="00F8631B"/>
  </w:style>
  <w:style w:type="numbering" w:customStyle="1" w:styleId="WWNum529">
    <w:name w:val="WWNum529"/>
    <w:basedOn w:val="NoList"/>
    <w:rsid w:val="00F8631B"/>
  </w:style>
  <w:style w:type="numbering" w:customStyle="1" w:styleId="WWNum549">
    <w:name w:val="WWNum549"/>
    <w:basedOn w:val="NoList"/>
    <w:rsid w:val="00F8631B"/>
  </w:style>
  <w:style w:type="numbering" w:customStyle="1" w:styleId="WWNum559">
    <w:name w:val="WWNum559"/>
    <w:basedOn w:val="NoList"/>
    <w:rsid w:val="00F8631B"/>
  </w:style>
  <w:style w:type="numbering" w:customStyle="1" w:styleId="WWNum589">
    <w:name w:val="WWNum589"/>
    <w:basedOn w:val="NoList"/>
    <w:rsid w:val="00F8631B"/>
  </w:style>
  <w:style w:type="numbering" w:customStyle="1" w:styleId="WWNum649">
    <w:name w:val="WWNum649"/>
    <w:basedOn w:val="NoList"/>
    <w:rsid w:val="00F8631B"/>
  </w:style>
  <w:style w:type="numbering" w:customStyle="1" w:styleId="WWNum709">
    <w:name w:val="WWNum709"/>
    <w:basedOn w:val="NoList"/>
    <w:rsid w:val="00F8631B"/>
  </w:style>
  <w:style w:type="numbering" w:customStyle="1" w:styleId="WWNum739">
    <w:name w:val="WWNum739"/>
    <w:basedOn w:val="NoList"/>
    <w:rsid w:val="00F8631B"/>
  </w:style>
  <w:style w:type="numbering" w:customStyle="1" w:styleId="WWNum749">
    <w:name w:val="WWNum749"/>
    <w:basedOn w:val="NoList"/>
    <w:rsid w:val="00F8631B"/>
  </w:style>
  <w:style w:type="numbering" w:customStyle="1" w:styleId="WWNum759">
    <w:name w:val="WWNum759"/>
    <w:basedOn w:val="NoList"/>
    <w:rsid w:val="00F8631B"/>
  </w:style>
  <w:style w:type="numbering" w:customStyle="1" w:styleId="WWNum7610">
    <w:name w:val="WWNum7610"/>
    <w:basedOn w:val="NoList"/>
    <w:rsid w:val="00F8631B"/>
  </w:style>
  <w:style w:type="numbering" w:customStyle="1" w:styleId="WWNum777">
    <w:name w:val="WWNum777"/>
    <w:basedOn w:val="NoList"/>
    <w:rsid w:val="00F8631B"/>
  </w:style>
  <w:style w:type="numbering" w:customStyle="1" w:styleId="WWNum789">
    <w:name w:val="WWNum789"/>
    <w:basedOn w:val="NoList"/>
    <w:rsid w:val="00F8631B"/>
  </w:style>
  <w:style w:type="table" w:customStyle="1" w:styleId="LightList-Accent630">
    <w:name w:val="Light List - Accent 630"/>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11116">
    <w:name w:val="1 / 1.1 / 1.1.16"/>
    <w:basedOn w:val="NoList"/>
    <w:next w:val="111111"/>
    <w:rsid w:val="00F8631B"/>
  </w:style>
  <w:style w:type="numbering" w:customStyle="1" w:styleId="WWNum140">
    <w:name w:val="WWNum140"/>
    <w:basedOn w:val="NoList"/>
    <w:rsid w:val="00F8631B"/>
  </w:style>
  <w:style w:type="numbering" w:customStyle="1" w:styleId="WWNum430">
    <w:name w:val="WWNum430"/>
    <w:basedOn w:val="NoList"/>
    <w:rsid w:val="00F8631B"/>
  </w:style>
  <w:style w:type="numbering" w:customStyle="1" w:styleId="WWNum616">
    <w:name w:val="WWNum616"/>
    <w:basedOn w:val="NoList"/>
    <w:rsid w:val="00F8631B"/>
  </w:style>
  <w:style w:type="numbering" w:customStyle="1" w:styleId="WWNum810">
    <w:name w:val="WWNum810"/>
    <w:basedOn w:val="NoList"/>
    <w:rsid w:val="00F8631B"/>
  </w:style>
  <w:style w:type="numbering" w:customStyle="1" w:styleId="WWNum910">
    <w:name w:val="WWNum910"/>
    <w:basedOn w:val="NoList"/>
    <w:rsid w:val="00F8631B"/>
  </w:style>
  <w:style w:type="numbering" w:customStyle="1" w:styleId="WWNum1117">
    <w:name w:val="WWNum1117"/>
    <w:basedOn w:val="NoList"/>
    <w:rsid w:val="00F8631B"/>
  </w:style>
  <w:style w:type="numbering" w:customStyle="1" w:styleId="WWNum1215">
    <w:name w:val="WWNum1215"/>
    <w:basedOn w:val="NoList"/>
    <w:rsid w:val="00F8631B"/>
    <w:pPr>
      <w:numPr>
        <w:numId w:val="118"/>
      </w:numPr>
    </w:pPr>
  </w:style>
  <w:style w:type="numbering" w:customStyle="1" w:styleId="WWNum1310">
    <w:name w:val="WWNum1310"/>
    <w:basedOn w:val="NoList"/>
    <w:rsid w:val="00F8631B"/>
  </w:style>
  <w:style w:type="numbering" w:customStyle="1" w:styleId="WWNum1410">
    <w:name w:val="WWNum1410"/>
    <w:basedOn w:val="NoList"/>
    <w:rsid w:val="00F8631B"/>
  </w:style>
  <w:style w:type="numbering" w:customStyle="1" w:styleId="WWNum1510">
    <w:name w:val="WWNum1510"/>
    <w:basedOn w:val="NoList"/>
    <w:rsid w:val="00F8631B"/>
  </w:style>
  <w:style w:type="numbering" w:customStyle="1" w:styleId="WWNum1610">
    <w:name w:val="WWNum1610"/>
    <w:basedOn w:val="NoList"/>
    <w:rsid w:val="00F8631B"/>
  </w:style>
  <w:style w:type="numbering" w:customStyle="1" w:styleId="WWNum1710">
    <w:name w:val="WWNum1710"/>
    <w:basedOn w:val="NoList"/>
    <w:rsid w:val="00F8631B"/>
  </w:style>
  <w:style w:type="numbering" w:customStyle="1" w:styleId="WWNum1814">
    <w:name w:val="WWNum1814"/>
    <w:basedOn w:val="NoList"/>
    <w:rsid w:val="00F8631B"/>
  </w:style>
  <w:style w:type="numbering" w:customStyle="1" w:styleId="WWNum1910">
    <w:name w:val="WWNum1910"/>
    <w:basedOn w:val="NoList"/>
    <w:rsid w:val="00F8631B"/>
  </w:style>
  <w:style w:type="numbering" w:customStyle="1" w:styleId="WWNum2010">
    <w:name w:val="WWNum2010"/>
    <w:basedOn w:val="NoList"/>
    <w:rsid w:val="00F8631B"/>
  </w:style>
  <w:style w:type="numbering" w:customStyle="1" w:styleId="WWNum2110">
    <w:name w:val="WWNum2110"/>
    <w:basedOn w:val="NoList"/>
    <w:rsid w:val="00F8631B"/>
  </w:style>
  <w:style w:type="numbering" w:customStyle="1" w:styleId="WWNum2310">
    <w:name w:val="WWNum2310"/>
    <w:basedOn w:val="NoList"/>
    <w:rsid w:val="00F8631B"/>
  </w:style>
  <w:style w:type="numbering" w:customStyle="1" w:styleId="WWNum2410">
    <w:name w:val="WWNum2410"/>
    <w:basedOn w:val="NoList"/>
    <w:rsid w:val="00F8631B"/>
  </w:style>
  <w:style w:type="numbering" w:customStyle="1" w:styleId="WWNum2510">
    <w:name w:val="WWNum2510"/>
    <w:basedOn w:val="NoList"/>
    <w:rsid w:val="00F8631B"/>
  </w:style>
  <w:style w:type="numbering" w:customStyle="1" w:styleId="WWNum2610">
    <w:name w:val="WWNum2610"/>
    <w:basedOn w:val="NoList"/>
    <w:rsid w:val="00F8631B"/>
  </w:style>
  <w:style w:type="numbering" w:customStyle="1" w:styleId="WWNum2810">
    <w:name w:val="WWNum2810"/>
    <w:basedOn w:val="NoList"/>
    <w:rsid w:val="00F8631B"/>
  </w:style>
  <w:style w:type="numbering" w:customStyle="1" w:styleId="WWNum2910">
    <w:name w:val="WWNum2910"/>
    <w:basedOn w:val="NoList"/>
    <w:rsid w:val="00F8631B"/>
  </w:style>
  <w:style w:type="numbering" w:customStyle="1" w:styleId="WWNum3010">
    <w:name w:val="WWNum3010"/>
    <w:basedOn w:val="NoList"/>
    <w:rsid w:val="00F8631B"/>
  </w:style>
  <w:style w:type="numbering" w:customStyle="1" w:styleId="WWNum3110">
    <w:name w:val="WWNum3110"/>
    <w:basedOn w:val="NoList"/>
    <w:rsid w:val="00F8631B"/>
  </w:style>
  <w:style w:type="numbering" w:customStyle="1" w:styleId="WWNum3210">
    <w:name w:val="WWNum3210"/>
    <w:basedOn w:val="NoList"/>
    <w:rsid w:val="00F8631B"/>
  </w:style>
  <w:style w:type="numbering" w:customStyle="1" w:styleId="WWNum3310">
    <w:name w:val="WWNum3310"/>
    <w:basedOn w:val="NoList"/>
    <w:rsid w:val="00F8631B"/>
  </w:style>
  <w:style w:type="numbering" w:customStyle="1" w:styleId="WWNum3410">
    <w:name w:val="WWNum3410"/>
    <w:basedOn w:val="NoList"/>
    <w:rsid w:val="00F8631B"/>
  </w:style>
  <w:style w:type="numbering" w:customStyle="1" w:styleId="WWNum3510">
    <w:name w:val="WWNum3510"/>
    <w:basedOn w:val="NoList"/>
    <w:rsid w:val="00F8631B"/>
  </w:style>
  <w:style w:type="numbering" w:customStyle="1" w:styleId="WWNum368">
    <w:name w:val="WWNum368"/>
    <w:basedOn w:val="NoList"/>
    <w:rsid w:val="00F8631B"/>
  </w:style>
  <w:style w:type="numbering" w:customStyle="1" w:styleId="WWNum3710">
    <w:name w:val="WWNum3710"/>
    <w:basedOn w:val="NoList"/>
    <w:rsid w:val="00F8631B"/>
  </w:style>
  <w:style w:type="numbering" w:customStyle="1" w:styleId="WWNum3810">
    <w:name w:val="WWNum3810"/>
    <w:basedOn w:val="NoList"/>
    <w:rsid w:val="00F8631B"/>
  </w:style>
  <w:style w:type="numbering" w:customStyle="1" w:styleId="WWNum3910">
    <w:name w:val="WWNum3910"/>
    <w:basedOn w:val="NoList"/>
    <w:rsid w:val="00F8631B"/>
  </w:style>
  <w:style w:type="numbering" w:customStyle="1" w:styleId="WWNum4010">
    <w:name w:val="WWNum4010"/>
    <w:basedOn w:val="NoList"/>
    <w:rsid w:val="00F8631B"/>
  </w:style>
  <w:style w:type="numbering" w:customStyle="1" w:styleId="WWNum4114">
    <w:name w:val="WWNum4114"/>
    <w:basedOn w:val="NoList"/>
    <w:rsid w:val="00F8631B"/>
  </w:style>
  <w:style w:type="numbering" w:customStyle="1" w:styleId="WWNum4210">
    <w:name w:val="WWNum4210"/>
    <w:basedOn w:val="NoList"/>
    <w:rsid w:val="00F8631B"/>
  </w:style>
  <w:style w:type="numbering" w:customStyle="1" w:styleId="WWNum4310">
    <w:name w:val="WWNum4310"/>
    <w:basedOn w:val="NoList"/>
    <w:rsid w:val="00F8631B"/>
  </w:style>
  <w:style w:type="numbering" w:customStyle="1" w:styleId="WWNum4410">
    <w:name w:val="WWNum4410"/>
    <w:basedOn w:val="NoList"/>
    <w:rsid w:val="00F8631B"/>
  </w:style>
  <w:style w:type="numbering" w:customStyle="1" w:styleId="WWNum4510">
    <w:name w:val="WWNum4510"/>
    <w:basedOn w:val="NoList"/>
    <w:rsid w:val="00F8631B"/>
  </w:style>
  <w:style w:type="numbering" w:customStyle="1" w:styleId="WWNum4610">
    <w:name w:val="WWNum4610"/>
    <w:basedOn w:val="NoList"/>
    <w:rsid w:val="00F8631B"/>
  </w:style>
  <w:style w:type="numbering" w:customStyle="1" w:styleId="WWNum4710">
    <w:name w:val="WWNum4710"/>
    <w:basedOn w:val="NoList"/>
    <w:rsid w:val="00F8631B"/>
  </w:style>
  <w:style w:type="numbering" w:customStyle="1" w:styleId="WWNum5110">
    <w:name w:val="WWNum5110"/>
    <w:basedOn w:val="NoList"/>
    <w:rsid w:val="00F8631B"/>
  </w:style>
  <w:style w:type="numbering" w:customStyle="1" w:styleId="WWNum5210">
    <w:name w:val="WWNum5210"/>
    <w:basedOn w:val="NoList"/>
    <w:rsid w:val="00F8631B"/>
  </w:style>
  <w:style w:type="numbering" w:customStyle="1" w:styleId="WWNum5410">
    <w:name w:val="WWNum5410"/>
    <w:basedOn w:val="NoList"/>
    <w:rsid w:val="00F8631B"/>
  </w:style>
  <w:style w:type="numbering" w:customStyle="1" w:styleId="WWNum5510">
    <w:name w:val="WWNum5510"/>
    <w:basedOn w:val="NoList"/>
    <w:rsid w:val="00F8631B"/>
  </w:style>
  <w:style w:type="numbering" w:customStyle="1" w:styleId="WWNum5710">
    <w:name w:val="WWNum5710"/>
    <w:basedOn w:val="NoList"/>
    <w:rsid w:val="00F8631B"/>
    <w:pPr>
      <w:numPr>
        <w:numId w:val="76"/>
      </w:numPr>
    </w:pPr>
  </w:style>
  <w:style w:type="numbering" w:customStyle="1" w:styleId="WWNum5810">
    <w:name w:val="WWNum5810"/>
    <w:basedOn w:val="NoList"/>
    <w:rsid w:val="00F8631B"/>
  </w:style>
  <w:style w:type="numbering" w:customStyle="1" w:styleId="WWNum6410">
    <w:name w:val="WWNum6410"/>
    <w:basedOn w:val="NoList"/>
    <w:rsid w:val="00F8631B"/>
  </w:style>
  <w:style w:type="numbering" w:customStyle="1" w:styleId="WWNum6610">
    <w:name w:val="WWNum6610"/>
    <w:basedOn w:val="NoList"/>
    <w:rsid w:val="00F8631B"/>
    <w:pPr>
      <w:numPr>
        <w:numId w:val="120"/>
      </w:numPr>
    </w:pPr>
  </w:style>
  <w:style w:type="numbering" w:customStyle="1" w:styleId="WWNum7010">
    <w:name w:val="WWNum7010"/>
    <w:basedOn w:val="NoList"/>
    <w:rsid w:val="00F8631B"/>
  </w:style>
  <w:style w:type="numbering" w:customStyle="1" w:styleId="WWNum7310">
    <w:name w:val="WWNum7310"/>
    <w:basedOn w:val="NoList"/>
    <w:rsid w:val="00F8631B"/>
    <w:pPr>
      <w:numPr>
        <w:numId w:val="58"/>
      </w:numPr>
    </w:pPr>
  </w:style>
  <w:style w:type="numbering" w:customStyle="1" w:styleId="WWNum7410">
    <w:name w:val="WWNum7410"/>
    <w:basedOn w:val="NoList"/>
    <w:rsid w:val="00F8631B"/>
    <w:pPr>
      <w:numPr>
        <w:numId w:val="119"/>
      </w:numPr>
    </w:pPr>
  </w:style>
  <w:style w:type="numbering" w:customStyle="1" w:styleId="WWNum7510">
    <w:name w:val="WWNum7510"/>
    <w:basedOn w:val="NoList"/>
    <w:rsid w:val="00F8631B"/>
  </w:style>
  <w:style w:type="numbering" w:customStyle="1" w:styleId="WWNum7614">
    <w:name w:val="WWNum7614"/>
    <w:basedOn w:val="NoList"/>
    <w:rsid w:val="00F8631B"/>
  </w:style>
  <w:style w:type="numbering" w:customStyle="1" w:styleId="WWNum778">
    <w:name w:val="WWNum778"/>
    <w:basedOn w:val="NoList"/>
    <w:rsid w:val="00F8631B"/>
  </w:style>
  <w:style w:type="numbering" w:customStyle="1" w:styleId="WWNum7810">
    <w:name w:val="WWNum7810"/>
    <w:basedOn w:val="NoList"/>
    <w:rsid w:val="00F8631B"/>
  </w:style>
  <w:style w:type="table" w:customStyle="1" w:styleId="LightList-Accent637">
    <w:name w:val="Light List - Accent 637"/>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11117">
    <w:name w:val="1 / 1.1 / 1.1.17"/>
    <w:basedOn w:val="NoList"/>
    <w:next w:val="111111"/>
    <w:rsid w:val="00F8631B"/>
  </w:style>
  <w:style w:type="character" w:customStyle="1" w:styleId="m-2076252133992268690gmail-apple-converted-space">
    <w:name w:val="m_-2076252133992268690gmail-apple-converted-space"/>
    <w:basedOn w:val="DefaultParagraphFont"/>
    <w:rsid w:val="00F8631B"/>
  </w:style>
  <w:style w:type="character" w:customStyle="1" w:styleId="aqj">
    <w:name w:val="aqj"/>
    <w:basedOn w:val="DefaultParagraphFont"/>
    <w:rsid w:val="00F8631B"/>
  </w:style>
  <w:style w:type="paragraph" w:customStyle="1" w:styleId="m-530980281512762467gmail-msolistparagraph">
    <w:name w:val="m_-530980281512762467gmail-msolistparagraph"/>
    <w:basedOn w:val="Normal"/>
    <w:rsid w:val="00F8631B"/>
    <w:pPr>
      <w:spacing w:before="100" w:beforeAutospacing="1" w:after="100" w:afterAutospacing="1" w:line="240" w:lineRule="auto"/>
    </w:pPr>
    <w:rPr>
      <w:rFonts w:ascii="Times New Roman" w:eastAsia="Calibri" w:hAnsi="Times New Roman"/>
      <w:sz w:val="24"/>
      <w:szCs w:val="24"/>
    </w:rPr>
  </w:style>
  <w:style w:type="character" w:customStyle="1" w:styleId="im">
    <w:name w:val="im"/>
    <w:basedOn w:val="DefaultParagraphFont"/>
    <w:rsid w:val="00F8631B"/>
  </w:style>
  <w:style w:type="numbering" w:customStyle="1" w:styleId="WWNum150">
    <w:name w:val="WWNum150"/>
    <w:basedOn w:val="NoList"/>
    <w:rsid w:val="00F8631B"/>
  </w:style>
  <w:style w:type="numbering" w:customStyle="1" w:styleId="WWNum440">
    <w:name w:val="WWNum440"/>
    <w:basedOn w:val="NoList"/>
    <w:rsid w:val="00F8631B"/>
  </w:style>
  <w:style w:type="numbering" w:customStyle="1" w:styleId="WWNum617">
    <w:name w:val="WWNum617"/>
    <w:basedOn w:val="NoList"/>
    <w:rsid w:val="00F8631B"/>
  </w:style>
  <w:style w:type="numbering" w:customStyle="1" w:styleId="WWNum814">
    <w:name w:val="WWNum814"/>
    <w:basedOn w:val="NoList"/>
    <w:rsid w:val="00F8631B"/>
  </w:style>
  <w:style w:type="numbering" w:customStyle="1" w:styleId="WWNum914">
    <w:name w:val="WWNum914"/>
    <w:basedOn w:val="NoList"/>
    <w:rsid w:val="00F8631B"/>
  </w:style>
  <w:style w:type="numbering" w:customStyle="1" w:styleId="WWNum1015">
    <w:name w:val="WWNum1015"/>
    <w:basedOn w:val="NoList"/>
    <w:rsid w:val="00F8631B"/>
  </w:style>
  <w:style w:type="numbering" w:customStyle="1" w:styleId="WWNum1118">
    <w:name w:val="WWNum1118"/>
    <w:basedOn w:val="NoList"/>
    <w:rsid w:val="00F8631B"/>
  </w:style>
  <w:style w:type="numbering" w:customStyle="1" w:styleId="WWNum1216">
    <w:name w:val="WWNum1216"/>
    <w:basedOn w:val="NoList"/>
    <w:rsid w:val="00F8631B"/>
  </w:style>
  <w:style w:type="numbering" w:customStyle="1" w:styleId="WWNum1314">
    <w:name w:val="WWNum1314"/>
    <w:basedOn w:val="NoList"/>
    <w:rsid w:val="00F8631B"/>
  </w:style>
  <w:style w:type="numbering" w:customStyle="1" w:styleId="WWNum1414">
    <w:name w:val="WWNum1414"/>
    <w:basedOn w:val="NoList"/>
    <w:rsid w:val="00F8631B"/>
  </w:style>
  <w:style w:type="numbering" w:customStyle="1" w:styleId="WWNum1514">
    <w:name w:val="WWNum1514"/>
    <w:basedOn w:val="NoList"/>
    <w:rsid w:val="00F8631B"/>
  </w:style>
  <w:style w:type="numbering" w:customStyle="1" w:styleId="WWNum1614">
    <w:name w:val="WWNum1614"/>
    <w:basedOn w:val="NoList"/>
    <w:rsid w:val="00F8631B"/>
  </w:style>
  <w:style w:type="numbering" w:customStyle="1" w:styleId="WWNum1714">
    <w:name w:val="WWNum1714"/>
    <w:basedOn w:val="NoList"/>
    <w:rsid w:val="00F8631B"/>
  </w:style>
  <w:style w:type="numbering" w:customStyle="1" w:styleId="WWNum1815">
    <w:name w:val="WWNum1815"/>
    <w:basedOn w:val="NoList"/>
    <w:rsid w:val="00F8631B"/>
  </w:style>
  <w:style w:type="numbering" w:customStyle="1" w:styleId="WWNum1914">
    <w:name w:val="WWNum1914"/>
    <w:basedOn w:val="NoList"/>
    <w:rsid w:val="00F8631B"/>
  </w:style>
  <w:style w:type="numbering" w:customStyle="1" w:styleId="WWNum2014">
    <w:name w:val="WWNum2014"/>
    <w:basedOn w:val="NoList"/>
    <w:rsid w:val="00F8631B"/>
  </w:style>
  <w:style w:type="numbering" w:customStyle="1" w:styleId="WWNum2114">
    <w:name w:val="WWNum2114"/>
    <w:basedOn w:val="NoList"/>
    <w:rsid w:val="00F8631B"/>
  </w:style>
  <w:style w:type="numbering" w:customStyle="1" w:styleId="WWNum2314">
    <w:name w:val="WWNum2314"/>
    <w:basedOn w:val="NoList"/>
    <w:rsid w:val="00F8631B"/>
  </w:style>
  <w:style w:type="numbering" w:customStyle="1" w:styleId="WWNum2414">
    <w:name w:val="WWNum2414"/>
    <w:basedOn w:val="NoList"/>
    <w:rsid w:val="00F8631B"/>
  </w:style>
  <w:style w:type="numbering" w:customStyle="1" w:styleId="WWNum2514">
    <w:name w:val="WWNum2514"/>
    <w:basedOn w:val="NoList"/>
    <w:rsid w:val="00F8631B"/>
  </w:style>
  <w:style w:type="numbering" w:customStyle="1" w:styleId="WWNum2614">
    <w:name w:val="WWNum2614"/>
    <w:basedOn w:val="NoList"/>
    <w:rsid w:val="00F8631B"/>
  </w:style>
  <w:style w:type="numbering" w:customStyle="1" w:styleId="WWNum2714">
    <w:name w:val="WWNum2714"/>
    <w:basedOn w:val="NoList"/>
    <w:rsid w:val="00F8631B"/>
  </w:style>
  <w:style w:type="numbering" w:customStyle="1" w:styleId="WWNum2814">
    <w:name w:val="WWNum2814"/>
    <w:basedOn w:val="NoList"/>
    <w:rsid w:val="00F8631B"/>
  </w:style>
  <w:style w:type="numbering" w:customStyle="1" w:styleId="WWNum2914">
    <w:name w:val="WWNum2914"/>
    <w:basedOn w:val="NoList"/>
    <w:rsid w:val="00F8631B"/>
  </w:style>
  <w:style w:type="numbering" w:customStyle="1" w:styleId="WWNum3014">
    <w:name w:val="WWNum3014"/>
    <w:basedOn w:val="NoList"/>
    <w:rsid w:val="00F8631B"/>
  </w:style>
  <w:style w:type="numbering" w:customStyle="1" w:styleId="WWNum3114">
    <w:name w:val="WWNum3114"/>
    <w:basedOn w:val="NoList"/>
    <w:rsid w:val="00F8631B"/>
  </w:style>
  <w:style w:type="numbering" w:customStyle="1" w:styleId="WWNum3214">
    <w:name w:val="WWNum3214"/>
    <w:basedOn w:val="NoList"/>
    <w:rsid w:val="00F8631B"/>
  </w:style>
  <w:style w:type="numbering" w:customStyle="1" w:styleId="WWNum3314">
    <w:name w:val="WWNum3314"/>
    <w:basedOn w:val="NoList"/>
    <w:rsid w:val="00F8631B"/>
  </w:style>
  <w:style w:type="numbering" w:customStyle="1" w:styleId="WWNum3414">
    <w:name w:val="WWNum3414"/>
    <w:basedOn w:val="NoList"/>
    <w:rsid w:val="00F8631B"/>
  </w:style>
  <w:style w:type="numbering" w:customStyle="1" w:styleId="WWNum3514">
    <w:name w:val="WWNum3514"/>
    <w:basedOn w:val="NoList"/>
    <w:rsid w:val="00F8631B"/>
  </w:style>
  <w:style w:type="numbering" w:customStyle="1" w:styleId="WWNum369">
    <w:name w:val="WWNum369"/>
    <w:basedOn w:val="NoList"/>
    <w:rsid w:val="00F8631B"/>
  </w:style>
  <w:style w:type="numbering" w:customStyle="1" w:styleId="WWNum3714">
    <w:name w:val="WWNum3714"/>
    <w:basedOn w:val="NoList"/>
    <w:rsid w:val="00F8631B"/>
  </w:style>
  <w:style w:type="numbering" w:customStyle="1" w:styleId="WWNum3814">
    <w:name w:val="WWNum3814"/>
    <w:basedOn w:val="NoList"/>
    <w:rsid w:val="00F8631B"/>
  </w:style>
  <w:style w:type="numbering" w:customStyle="1" w:styleId="WWNum3914">
    <w:name w:val="WWNum3914"/>
    <w:basedOn w:val="NoList"/>
    <w:rsid w:val="00F8631B"/>
  </w:style>
  <w:style w:type="numbering" w:customStyle="1" w:styleId="WWNum4014">
    <w:name w:val="WWNum4014"/>
    <w:basedOn w:val="NoList"/>
    <w:rsid w:val="00F8631B"/>
  </w:style>
  <w:style w:type="numbering" w:customStyle="1" w:styleId="WWNum4115">
    <w:name w:val="WWNum4115"/>
    <w:basedOn w:val="NoList"/>
    <w:rsid w:val="00F8631B"/>
  </w:style>
  <w:style w:type="numbering" w:customStyle="1" w:styleId="WWNum4214">
    <w:name w:val="WWNum4214"/>
    <w:basedOn w:val="NoList"/>
    <w:rsid w:val="00F8631B"/>
  </w:style>
  <w:style w:type="numbering" w:customStyle="1" w:styleId="WWNum4314">
    <w:name w:val="WWNum4314"/>
    <w:basedOn w:val="NoList"/>
    <w:rsid w:val="00F8631B"/>
  </w:style>
  <w:style w:type="numbering" w:customStyle="1" w:styleId="WWNum4414">
    <w:name w:val="WWNum4414"/>
    <w:basedOn w:val="NoList"/>
    <w:rsid w:val="00F8631B"/>
  </w:style>
  <w:style w:type="numbering" w:customStyle="1" w:styleId="WWNum4514">
    <w:name w:val="WWNum4514"/>
    <w:basedOn w:val="NoList"/>
    <w:rsid w:val="00F8631B"/>
  </w:style>
  <w:style w:type="numbering" w:customStyle="1" w:styleId="WWNum4614">
    <w:name w:val="WWNum4614"/>
    <w:basedOn w:val="NoList"/>
    <w:rsid w:val="00F8631B"/>
  </w:style>
  <w:style w:type="numbering" w:customStyle="1" w:styleId="WWNum4714">
    <w:name w:val="WWNum4714"/>
    <w:basedOn w:val="NoList"/>
    <w:rsid w:val="00F8631B"/>
  </w:style>
  <w:style w:type="numbering" w:customStyle="1" w:styleId="WWNum5114">
    <w:name w:val="WWNum5114"/>
    <w:basedOn w:val="NoList"/>
    <w:rsid w:val="00F8631B"/>
  </w:style>
  <w:style w:type="numbering" w:customStyle="1" w:styleId="WWNum5214">
    <w:name w:val="WWNum5214"/>
    <w:basedOn w:val="NoList"/>
    <w:rsid w:val="00F8631B"/>
  </w:style>
  <w:style w:type="numbering" w:customStyle="1" w:styleId="WWNum5414">
    <w:name w:val="WWNum5414"/>
    <w:basedOn w:val="NoList"/>
    <w:rsid w:val="00F8631B"/>
  </w:style>
  <w:style w:type="numbering" w:customStyle="1" w:styleId="WWNum5514">
    <w:name w:val="WWNum5514"/>
    <w:basedOn w:val="NoList"/>
    <w:rsid w:val="00F8631B"/>
  </w:style>
  <w:style w:type="numbering" w:customStyle="1" w:styleId="WWNum5714">
    <w:name w:val="WWNum5714"/>
    <w:basedOn w:val="NoList"/>
    <w:rsid w:val="00F8631B"/>
  </w:style>
  <w:style w:type="numbering" w:customStyle="1" w:styleId="WWNum5814">
    <w:name w:val="WWNum5814"/>
    <w:basedOn w:val="NoList"/>
    <w:rsid w:val="00F8631B"/>
  </w:style>
  <w:style w:type="numbering" w:customStyle="1" w:styleId="WWNum6414">
    <w:name w:val="WWNum6414"/>
    <w:basedOn w:val="NoList"/>
    <w:rsid w:val="00F8631B"/>
  </w:style>
  <w:style w:type="numbering" w:customStyle="1" w:styleId="WWNum6514">
    <w:name w:val="WWNum6514"/>
    <w:basedOn w:val="NoList"/>
    <w:rsid w:val="00F8631B"/>
    <w:pPr>
      <w:numPr>
        <w:numId w:val="128"/>
      </w:numPr>
    </w:pPr>
  </w:style>
  <w:style w:type="numbering" w:customStyle="1" w:styleId="WWNum6614">
    <w:name w:val="WWNum6614"/>
    <w:basedOn w:val="NoList"/>
    <w:rsid w:val="00F8631B"/>
    <w:pPr>
      <w:numPr>
        <w:numId w:val="127"/>
      </w:numPr>
    </w:pPr>
  </w:style>
  <w:style w:type="numbering" w:customStyle="1" w:styleId="WWNum7014">
    <w:name w:val="WWNum7014"/>
    <w:basedOn w:val="NoList"/>
    <w:rsid w:val="00F8631B"/>
  </w:style>
  <w:style w:type="numbering" w:customStyle="1" w:styleId="WWNum7314">
    <w:name w:val="WWNum7314"/>
    <w:basedOn w:val="NoList"/>
    <w:rsid w:val="00F8631B"/>
  </w:style>
  <w:style w:type="numbering" w:customStyle="1" w:styleId="WWNum7415">
    <w:name w:val="WWNum7415"/>
    <w:basedOn w:val="NoList"/>
    <w:rsid w:val="00F8631B"/>
  </w:style>
  <w:style w:type="numbering" w:customStyle="1" w:styleId="WWNum7515">
    <w:name w:val="WWNum7515"/>
    <w:basedOn w:val="NoList"/>
    <w:rsid w:val="00F8631B"/>
  </w:style>
  <w:style w:type="numbering" w:customStyle="1" w:styleId="WWNum7615">
    <w:name w:val="WWNum7615"/>
    <w:basedOn w:val="NoList"/>
    <w:rsid w:val="00F8631B"/>
  </w:style>
  <w:style w:type="numbering" w:customStyle="1" w:styleId="WWNum779">
    <w:name w:val="WWNum779"/>
    <w:basedOn w:val="NoList"/>
    <w:rsid w:val="00F8631B"/>
  </w:style>
  <w:style w:type="numbering" w:customStyle="1" w:styleId="WWNum7814">
    <w:name w:val="WWNum7814"/>
    <w:basedOn w:val="NoList"/>
    <w:rsid w:val="00F8631B"/>
  </w:style>
  <w:style w:type="table" w:customStyle="1" w:styleId="LightList-Accent638">
    <w:name w:val="Light List - Accent 638"/>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11118">
    <w:name w:val="1 / 1.1 / 1.1.18"/>
    <w:basedOn w:val="NoList"/>
    <w:next w:val="111111"/>
    <w:rsid w:val="00F8631B"/>
  </w:style>
  <w:style w:type="numbering" w:customStyle="1" w:styleId="WWNum36241">
    <w:name w:val="WWNum36241"/>
    <w:basedOn w:val="NoList"/>
    <w:rsid w:val="00F8631B"/>
  </w:style>
  <w:style w:type="numbering" w:customStyle="1" w:styleId="WWNum14251">
    <w:name w:val="WWNum14251"/>
    <w:basedOn w:val="NoList"/>
    <w:rsid w:val="00F8631B"/>
  </w:style>
  <w:style w:type="numbering" w:customStyle="1" w:styleId="WWNum21251">
    <w:name w:val="WWNum21251"/>
    <w:basedOn w:val="NoList"/>
    <w:rsid w:val="00F8631B"/>
  </w:style>
  <w:style w:type="table" w:customStyle="1" w:styleId="LightList-Accent639">
    <w:name w:val="Light List - Accent 639"/>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9">
    <w:name w:val="Light List - Accent 6119"/>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0">
    <w:name w:val="Light List - Accent 6210"/>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0">
    <w:name w:val="Light List - Accent 61110"/>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10">
    <w:name w:val="Light List - Accent 6310"/>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7">
    <w:name w:val="Light List - Accent 6127"/>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7">
    <w:name w:val="Light List - Accent 647"/>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7">
    <w:name w:val="Light List - Accent 6137"/>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57">
    <w:name w:val="Light List - Accent 657"/>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7">
    <w:name w:val="Light List - Accent 667"/>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7">
    <w:name w:val="Light List - Accent 6147"/>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7">
    <w:name w:val="Light List - Accent 677"/>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87">
    <w:name w:val="Light List - Accent 687"/>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11119">
    <w:name w:val="1 / 1.1 / 1.1.19"/>
    <w:basedOn w:val="NoList"/>
    <w:next w:val="111111"/>
    <w:rsid w:val="00F8631B"/>
  </w:style>
  <w:style w:type="table" w:customStyle="1" w:styleId="LightList-Accent6157">
    <w:name w:val="Light List - Accent 6157"/>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7">
    <w:name w:val="Light List - Accent 6217"/>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7">
    <w:name w:val="Light List - Accent 61117"/>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12">
    <w:name w:val="Light List - Accent 6211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12">
    <w:name w:val="Light List - Accent 61111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12">
    <w:name w:val="Light List - Accent 631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12">
    <w:name w:val="Light List - Accent 6121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12">
    <w:name w:val="Light List - Accent 641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12">
    <w:name w:val="Light List - Accent 6131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512">
    <w:name w:val="Light List - Accent 651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12">
    <w:name w:val="Light List - Accent 661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12">
    <w:name w:val="Light List - Accent 6141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12">
    <w:name w:val="Light List - Accent 671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812">
    <w:name w:val="Light List - Accent 681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96">
    <w:name w:val="Light List - Accent 696"/>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06">
    <w:name w:val="Light List - Accent 6106"/>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1056">
    <w:name w:val="WWNum1056"/>
    <w:basedOn w:val="NoList"/>
    <w:rsid w:val="00F8631B"/>
  </w:style>
  <w:style w:type="table" w:customStyle="1" w:styleId="LightList-Accent61512">
    <w:name w:val="Light List - Accent 6151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62">
    <w:name w:val="Light List - Accent 616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72">
    <w:name w:val="Light List - Accent 617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22">
    <w:name w:val="Light List - Accent 622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22">
    <w:name w:val="Light List - Accent 6112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22">
    <w:name w:val="Light List - Accent 6212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22">
    <w:name w:val="Light List - Accent 61112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22">
    <w:name w:val="Light List - Accent 632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22">
    <w:name w:val="Light List - Accent 6122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22">
    <w:name w:val="Light List - Accent 642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22">
    <w:name w:val="Light List - Accent 6132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522">
    <w:name w:val="Light List - Accent 652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22">
    <w:name w:val="Light List - Accent 662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22">
    <w:name w:val="Light List - Accent 6142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22">
    <w:name w:val="Light List - Accent 672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822">
    <w:name w:val="Light List - Accent 682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912">
    <w:name w:val="Light List - Accent 691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012">
    <w:name w:val="Light List - Accent 6101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522">
    <w:name w:val="Light List - Accent 6152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82">
    <w:name w:val="Light List - Accent 618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92">
    <w:name w:val="Light List - Accent 619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32">
    <w:name w:val="Light List - Accent 623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32">
    <w:name w:val="Light List - Accent 6113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32">
    <w:name w:val="Light List - Accent 6213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32">
    <w:name w:val="Light List - Accent 61113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32">
    <w:name w:val="Light List - Accent 633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32">
    <w:name w:val="Light List - Accent 6123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32">
    <w:name w:val="Light List - Accent 643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32">
    <w:name w:val="Light List - Accent 6133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532">
    <w:name w:val="Light List - Accent 653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32">
    <w:name w:val="Light List - Accent 663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32">
    <w:name w:val="Light List - Accent 6143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32">
    <w:name w:val="Light List - Accent 673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832">
    <w:name w:val="Light List - Accent 683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922">
    <w:name w:val="Light List - Accent 692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022">
    <w:name w:val="Light List - Accent 6102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532">
    <w:name w:val="Light List - Accent 6153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01">
    <w:name w:val="Light List - Accent 620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01">
    <w:name w:val="Light List - Accent 6110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41">
    <w:name w:val="Light List - Accent 624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41">
    <w:name w:val="Light List - Accent 6114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41">
    <w:name w:val="Light List - Accent 634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41">
    <w:name w:val="Light List - Accent 6124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41">
    <w:name w:val="Light List - Accent 644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41">
    <w:name w:val="Light List - Accent 6134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541">
    <w:name w:val="Light List - Accent 654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41">
    <w:name w:val="Light List - Accent 664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41">
    <w:name w:val="Light List - Accent 6144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41">
    <w:name w:val="Light List - Accent 674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841">
    <w:name w:val="Light List - Accent 684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541">
    <w:name w:val="Light List - Accent 6154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41">
    <w:name w:val="Light List - Accent 6214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41">
    <w:name w:val="Light List - Accent 61114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111">
    <w:name w:val="Light List - Accent 62111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111">
    <w:name w:val="Light List - Accent 611111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111">
    <w:name w:val="Light List - Accent 6311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111">
    <w:name w:val="Light List - Accent 61211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111">
    <w:name w:val="Light List - Accent 6411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111">
    <w:name w:val="Light List - Accent 61311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5111">
    <w:name w:val="Light List - Accent 6511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111">
    <w:name w:val="Light List - Accent 6611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111">
    <w:name w:val="Light List - Accent 61411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111">
    <w:name w:val="Light List - Accent 6711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8111">
    <w:name w:val="Light List - Accent 6811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931">
    <w:name w:val="Light List - Accent 693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031">
    <w:name w:val="Light List - Accent 6103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5111">
    <w:name w:val="Light List - Accent 61511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611">
    <w:name w:val="Light List - Accent 6161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711">
    <w:name w:val="Light List - Accent 6171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211">
    <w:name w:val="Light List - Accent 6221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211">
    <w:name w:val="Light List - Accent 61121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211">
    <w:name w:val="Light List - Accent 62121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211">
    <w:name w:val="Light List - Accent 611121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211">
    <w:name w:val="Light List - Accent 6321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211">
    <w:name w:val="Light List - Accent 61221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211">
    <w:name w:val="Light List - Accent 6421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211">
    <w:name w:val="Light List - Accent 61321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5211">
    <w:name w:val="Light List - Accent 6521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211">
    <w:name w:val="Light List - Accent 6621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211">
    <w:name w:val="Light List - Accent 61421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211">
    <w:name w:val="Light List - Accent 6721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8211">
    <w:name w:val="Light List - Accent 6821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9111">
    <w:name w:val="Light List - Accent 6911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0111">
    <w:name w:val="Light List - Accent 61011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5211">
    <w:name w:val="Light List - Accent 61521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811">
    <w:name w:val="Light List - Accent 6181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911">
    <w:name w:val="Light List - Accent 6191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311">
    <w:name w:val="Light List - Accent 6231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311">
    <w:name w:val="Light List - Accent 61131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311">
    <w:name w:val="Light List - Accent 62131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311">
    <w:name w:val="Light List - Accent 611131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311">
    <w:name w:val="Light List - Accent 6331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311">
    <w:name w:val="Light List - Accent 61231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311">
    <w:name w:val="Light List - Accent 6431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311">
    <w:name w:val="Light List - Accent 61331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5311">
    <w:name w:val="Light List - Accent 6531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311">
    <w:name w:val="Light List - Accent 6631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311">
    <w:name w:val="Light List - Accent 61431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311">
    <w:name w:val="Light List - Accent 6731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8311">
    <w:name w:val="Light List - Accent 6831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9211">
    <w:name w:val="Light List - Accent 6921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0211">
    <w:name w:val="Light List - Accent 61021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5311">
    <w:name w:val="Light List - Accent 61531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51">
    <w:name w:val="Light List - Accent 625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51">
    <w:name w:val="Light List - Accent 6115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61">
    <w:name w:val="Light List - Accent 626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61">
    <w:name w:val="Light List - Accent 6116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51">
    <w:name w:val="Light List - Accent 6215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51">
    <w:name w:val="Light List - Accent 61115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51">
    <w:name w:val="Light List - Accent 635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51">
    <w:name w:val="Light List - Accent 6125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51">
    <w:name w:val="Light List - Accent 645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51">
    <w:name w:val="Light List - Accent 6135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551">
    <w:name w:val="Light List - Accent 655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51">
    <w:name w:val="Light List - Accent 665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51">
    <w:name w:val="Light List - Accent 6145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51">
    <w:name w:val="Light List - Accent 675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4941">
    <w:name w:val="WWNum4941"/>
    <w:basedOn w:val="NoList"/>
    <w:rsid w:val="00F8631B"/>
  </w:style>
  <w:style w:type="numbering" w:customStyle="1" w:styleId="WWNum36242">
    <w:name w:val="WWNum36242"/>
    <w:basedOn w:val="NoList"/>
    <w:rsid w:val="00F8631B"/>
  </w:style>
  <w:style w:type="numbering" w:customStyle="1" w:styleId="WWNum39241">
    <w:name w:val="WWNum39241"/>
    <w:basedOn w:val="NoList"/>
    <w:rsid w:val="00F8631B"/>
  </w:style>
  <w:style w:type="numbering" w:customStyle="1" w:styleId="WWNum77241">
    <w:name w:val="WWNum77241"/>
    <w:basedOn w:val="NoList"/>
    <w:rsid w:val="00F8631B"/>
  </w:style>
  <w:style w:type="table" w:customStyle="1" w:styleId="LightList-Accent6851">
    <w:name w:val="Light List - Accent 685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941">
    <w:name w:val="Light List - Accent 694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041">
    <w:name w:val="Light List - Accent 6104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551">
    <w:name w:val="Light List - Accent 6155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6581">
    <w:name w:val="WWNum6581"/>
    <w:basedOn w:val="NoList"/>
    <w:rsid w:val="00F8631B"/>
  </w:style>
  <w:style w:type="numbering" w:customStyle="1" w:styleId="WWNum6681">
    <w:name w:val="WWNum6681"/>
    <w:basedOn w:val="NoList"/>
    <w:rsid w:val="00F8631B"/>
  </w:style>
  <w:style w:type="table" w:customStyle="1" w:styleId="LightList-Accent6271">
    <w:name w:val="Light List - Accent 627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111141">
    <w:name w:val="1 / 1.1 / 1.1.141"/>
    <w:basedOn w:val="NoList"/>
    <w:next w:val="111111"/>
    <w:rsid w:val="00F8631B"/>
  </w:style>
  <w:style w:type="table" w:customStyle="1" w:styleId="LightList-Accent6281">
    <w:name w:val="Light List - Accent 628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71">
    <w:name w:val="Light List - Accent 6117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91">
    <w:name w:val="Light List - Accent 629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81">
    <w:name w:val="Light List - Accent 6118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61">
    <w:name w:val="Light List - Accent 6216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61">
    <w:name w:val="Light List - Accent 61116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61">
    <w:name w:val="Light List - Accent 636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61">
    <w:name w:val="Light List - Accent 6126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61">
    <w:name w:val="Light List - Accent 646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61">
    <w:name w:val="Light List - Accent 6136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561">
    <w:name w:val="Light List - Accent 656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61">
    <w:name w:val="Light List - Accent 666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61">
    <w:name w:val="Light List - Accent 61461"/>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61">
    <w:name w:val="Light List - Accent 676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11251">
    <w:name w:val="WWNum11251"/>
    <w:basedOn w:val="NoList"/>
    <w:rsid w:val="00F8631B"/>
  </w:style>
  <w:style w:type="numbering" w:customStyle="1" w:styleId="WWNum14252">
    <w:name w:val="WWNum14252"/>
    <w:basedOn w:val="NoList"/>
    <w:rsid w:val="00F8631B"/>
  </w:style>
  <w:style w:type="numbering" w:customStyle="1" w:styleId="WWNum21252">
    <w:name w:val="WWNum21252"/>
    <w:basedOn w:val="NoList"/>
    <w:rsid w:val="00F8631B"/>
  </w:style>
  <w:style w:type="numbering" w:customStyle="1" w:styleId="WWNum76351">
    <w:name w:val="WWNum76351"/>
    <w:basedOn w:val="NoList"/>
    <w:rsid w:val="00F8631B"/>
  </w:style>
  <w:style w:type="table" w:customStyle="1" w:styleId="LightList-Accent6861">
    <w:name w:val="Light List - Accent 686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951">
    <w:name w:val="Light List - Accent 695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051">
    <w:name w:val="Light List - Accent 6105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41351">
    <w:name w:val="WWNum41351"/>
    <w:basedOn w:val="NoList"/>
    <w:rsid w:val="00F8631B"/>
  </w:style>
  <w:style w:type="numbering" w:customStyle="1" w:styleId="WWNum77351">
    <w:name w:val="WWNum77351"/>
    <w:basedOn w:val="NoList"/>
    <w:rsid w:val="00F8631B"/>
  </w:style>
  <w:style w:type="table" w:customStyle="1" w:styleId="LightList-Accent61561">
    <w:name w:val="Light List - Accent 6156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01">
    <w:name w:val="Light List - Accent 630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1401">
    <w:name w:val="WWNum1401"/>
    <w:basedOn w:val="NoList"/>
    <w:rsid w:val="00F8631B"/>
  </w:style>
  <w:style w:type="numbering" w:customStyle="1" w:styleId="WWNum6161">
    <w:name w:val="WWNum6161"/>
    <w:basedOn w:val="NoList"/>
    <w:rsid w:val="00F8631B"/>
  </w:style>
  <w:style w:type="numbering" w:customStyle="1" w:styleId="WWNum8101">
    <w:name w:val="WWNum8101"/>
    <w:basedOn w:val="NoList"/>
    <w:rsid w:val="00F8631B"/>
  </w:style>
  <w:style w:type="numbering" w:customStyle="1" w:styleId="WWNum9101">
    <w:name w:val="WWNum9101"/>
    <w:basedOn w:val="NoList"/>
    <w:rsid w:val="00F8631B"/>
  </w:style>
  <w:style w:type="numbering" w:customStyle="1" w:styleId="WWNum14101">
    <w:name w:val="WWNum14101"/>
    <w:basedOn w:val="NoList"/>
    <w:rsid w:val="00F8631B"/>
  </w:style>
  <w:style w:type="numbering" w:customStyle="1" w:styleId="WWNum21101">
    <w:name w:val="WWNum21101"/>
    <w:basedOn w:val="NoList"/>
    <w:rsid w:val="00F8631B"/>
  </w:style>
  <w:style w:type="numbering" w:customStyle="1" w:styleId="WWNum31101">
    <w:name w:val="WWNum31101"/>
    <w:basedOn w:val="NoList"/>
    <w:rsid w:val="00F8631B"/>
  </w:style>
  <w:style w:type="numbering" w:customStyle="1" w:styleId="WWNum32101">
    <w:name w:val="WWNum32101"/>
    <w:basedOn w:val="NoList"/>
    <w:rsid w:val="00F8631B"/>
  </w:style>
  <w:style w:type="numbering" w:customStyle="1" w:styleId="WWNum33101">
    <w:name w:val="WWNum33101"/>
    <w:basedOn w:val="NoList"/>
    <w:rsid w:val="00F8631B"/>
  </w:style>
  <w:style w:type="numbering" w:customStyle="1" w:styleId="WWNum34101">
    <w:name w:val="WWNum34101"/>
    <w:basedOn w:val="NoList"/>
    <w:rsid w:val="00F8631B"/>
  </w:style>
  <w:style w:type="numbering" w:customStyle="1" w:styleId="WWNum35101">
    <w:name w:val="WWNum35101"/>
    <w:basedOn w:val="NoList"/>
    <w:rsid w:val="00F8631B"/>
  </w:style>
  <w:style w:type="numbering" w:customStyle="1" w:styleId="WWNum37101">
    <w:name w:val="WWNum37101"/>
    <w:basedOn w:val="NoList"/>
    <w:rsid w:val="00F8631B"/>
  </w:style>
  <w:style w:type="numbering" w:customStyle="1" w:styleId="WWNum38101">
    <w:name w:val="WWNum38101"/>
    <w:basedOn w:val="NoList"/>
    <w:rsid w:val="00F8631B"/>
  </w:style>
  <w:style w:type="numbering" w:customStyle="1" w:styleId="WWNum39101">
    <w:name w:val="WWNum39101"/>
    <w:basedOn w:val="NoList"/>
    <w:rsid w:val="00F8631B"/>
  </w:style>
  <w:style w:type="numbering" w:customStyle="1" w:styleId="WWNum40101">
    <w:name w:val="WWNum40101"/>
    <w:basedOn w:val="NoList"/>
    <w:rsid w:val="00F8631B"/>
  </w:style>
  <w:style w:type="numbering" w:customStyle="1" w:styleId="WWNum41141">
    <w:name w:val="WWNum41141"/>
    <w:basedOn w:val="NoList"/>
    <w:rsid w:val="00F8631B"/>
  </w:style>
  <w:style w:type="numbering" w:customStyle="1" w:styleId="WWNum42101">
    <w:name w:val="WWNum42101"/>
    <w:basedOn w:val="NoList"/>
    <w:rsid w:val="00F8631B"/>
  </w:style>
  <w:style w:type="numbering" w:customStyle="1" w:styleId="WWNum43101">
    <w:name w:val="WWNum43101"/>
    <w:basedOn w:val="NoList"/>
    <w:rsid w:val="00F8631B"/>
  </w:style>
  <w:style w:type="numbering" w:customStyle="1" w:styleId="WWNum44101">
    <w:name w:val="WWNum44101"/>
    <w:basedOn w:val="NoList"/>
    <w:rsid w:val="00F8631B"/>
  </w:style>
  <w:style w:type="numbering" w:customStyle="1" w:styleId="WWNum45101">
    <w:name w:val="WWNum45101"/>
    <w:basedOn w:val="NoList"/>
    <w:rsid w:val="00F8631B"/>
  </w:style>
  <w:style w:type="numbering" w:customStyle="1" w:styleId="WWNum46101">
    <w:name w:val="WWNum46101"/>
    <w:basedOn w:val="NoList"/>
    <w:rsid w:val="00F8631B"/>
  </w:style>
  <w:style w:type="numbering" w:customStyle="1" w:styleId="WWNum47101">
    <w:name w:val="WWNum47101"/>
    <w:basedOn w:val="NoList"/>
    <w:rsid w:val="00F8631B"/>
  </w:style>
  <w:style w:type="numbering" w:customStyle="1" w:styleId="WWNum51101">
    <w:name w:val="WWNum51101"/>
    <w:basedOn w:val="NoList"/>
    <w:rsid w:val="00F8631B"/>
  </w:style>
  <w:style w:type="numbering" w:customStyle="1" w:styleId="WWNum52101">
    <w:name w:val="WWNum52101"/>
    <w:basedOn w:val="NoList"/>
    <w:rsid w:val="00F8631B"/>
  </w:style>
  <w:style w:type="numbering" w:customStyle="1" w:styleId="WWNum54101">
    <w:name w:val="WWNum54101"/>
    <w:basedOn w:val="NoList"/>
    <w:rsid w:val="00F8631B"/>
  </w:style>
  <w:style w:type="numbering" w:customStyle="1" w:styleId="WWNum55101">
    <w:name w:val="WWNum55101"/>
    <w:basedOn w:val="NoList"/>
    <w:rsid w:val="00F8631B"/>
  </w:style>
  <w:style w:type="numbering" w:customStyle="1" w:styleId="WWNum57101">
    <w:name w:val="WWNum57101"/>
    <w:basedOn w:val="NoList"/>
    <w:rsid w:val="00F8631B"/>
  </w:style>
  <w:style w:type="numbering" w:customStyle="1" w:styleId="WWNum58101">
    <w:name w:val="WWNum58101"/>
    <w:basedOn w:val="NoList"/>
    <w:rsid w:val="00F8631B"/>
  </w:style>
  <w:style w:type="numbering" w:customStyle="1" w:styleId="WWNum64101">
    <w:name w:val="WWNum64101"/>
    <w:basedOn w:val="NoList"/>
    <w:rsid w:val="00F8631B"/>
  </w:style>
  <w:style w:type="numbering" w:customStyle="1" w:styleId="WWNum65101">
    <w:name w:val="WWNum65101"/>
    <w:basedOn w:val="NoList"/>
    <w:rsid w:val="00F8631B"/>
  </w:style>
  <w:style w:type="numbering" w:customStyle="1" w:styleId="WWNum66101">
    <w:name w:val="WWNum66101"/>
    <w:basedOn w:val="NoList"/>
    <w:rsid w:val="00F8631B"/>
  </w:style>
  <w:style w:type="numbering" w:customStyle="1" w:styleId="WWNum70101">
    <w:name w:val="WWNum70101"/>
    <w:basedOn w:val="NoList"/>
    <w:rsid w:val="00F8631B"/>
  </w:style>
  <w:style w:type="numbering" w:customStyle="1" w:styleId="WWNum73101">
    <w:name w:val="WWNum73101"/>
    <w:basedOn w:val="NoList"/>
    <w:rsid w:val="00F8631B"/>
  </w:style>
  <w:style w:type="numbering" w:customStyle="1" w:styleId="WWNum74101">
    <w:name w:val="WWNum74101"/>
    <w:basedOn w:val="NoList"/>
    <w:rsid w:val="00F8631B"/>
  </w:style>
  <w:style w:type="numbering" w:customStyle="1" w:styleId="WWNum75101">
    <w:name w:val="WWNum75101"/>
    <w:basedOn w:val="NoList"/>
    <w:rsid w:val="00F8631B"/>
  </w:style>
  <w:style w:type="numbering" w:customStyle="1" w:styleId="WWNum76141">
    <w:name w:val="WWNum76141"/>
    <w:basedOn w:val="NoList"/>
    <w:rsid w:val="00F8631B"/>
  </w:style>
  <w:style w:type="numbering" w:customStyle="1" w:styleId="WWNum7781">
    <w:name w:val="WWNum7781"/>
    <w:basedOn w:val="NoList"/>
    <w:rsid w:val="00F8631B"/>
  </w:style>
  <w:style w:type="numbering" w:customStyle="1" w:styleId="WWNum78101">
    <w:name w:val="WWNum78101"/>
    <w:basedOn w:val="NoList"/>
    <w:rsid w:val="00F8631B"/>
  </w:style>
  <w:style w:type="table" w:customStyle="1" w:styleId="LightList-Accent6371">
    <w:name w:val="Light List - Accent 6371"/>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111171">
    <w:name w:val="1 / 1.1 / 1.1.171"/>
    <w:basedOn w:val="NoList"/>
    <w:next w:val="111111"/>
    <w:rsid w:val="00F8631B"/>
  </w:style>
  <w:style w:type="numbering" w:customStyle="1" w:styleId="WWNum6682">
    <w:name w:val="WWNum6682"/>
    <w:basedOn w:val="NoList"/>
    <w:rsid w:val="00F8631B"/>
  </w:style>
  <w:style w:type="numbering" w:customStyle="1" w:styleId="WWNum160">
    <w:name w:val="WWNum160"/>
    <w:basedOn w:val="NoList"/>
    <w:rsid w:val="00F8631B"/>
  </w:style>
  <w:style w:type="numbering" w:customStyle="1" w:styleId="WWNum450">
    <w:name w:val="WWNum450"/>
    <w:basedOn w:val="NoList"/>
    <w:rsid w:val="00F8631B"/>
  </w:style>
  <w:style w:type="numbering" w:customStyle="1" w:styleId="WWNum618">
    <w:name w:val="WWNum618"/>
    <w:basedOn w:val="NoList"/>
    <w:rsid w:val="00F8631B"/>
  </w:style>
  <w:style w:type="numbering" w:customStyle="1" w:styleId="WWNum815">
    <w:name w:val="WWNum815"/>
    <w:basedOn w:val="NoList"/>
    <w:rsid w:val="00F8631B"/>
  </w:style>
  <w:style w:type="numbering" w:customStyle="1" w:styleId="WWNum915">
    <w:name w:val="WWNum915"/>
    <w:basedOn w:val="NoList"/>
    <w:rsid w:val="00F8631B"/>
  </w:style>
  <w:style w:type="numbering" w:customStyle="1" w:styleId="WWNum1016">
    <w:name w:val="WWNum1016"/>
    <w:basedOn w:val="NoList"/>
    <w:rsid w:val="00F8631B"/>
  </w:style>
  <w:style w:type="numbering" w:customStyle="1" w:styleId="WWNum1119">
    <w:name w:val="WWNum1119"/>
    <w:basedOn w:val="NoList"/>
    <w:rsid w:val="00F8631B"/>
  </w:style>
  <w:style w:type="numbering" w:customStyle="1" w:styleId="WWNum1217">
    <w:name w:val="WWNum1217"/>
    <w:basedOn w:val="NoList"/>
    <w:rsid w:val="00F8631B"/>
  </w:style>
  <w:style w:type="numbering" w:customStyle="1" w:styleId="WWNum1315">
    <w:name w:val="WWNum1315"/>
    <w:basedOn w:val="NoList"/>
    <w:rsid w:val="00F8631B"/>
  </w:style>
  <w:style w:type="numbering" w:customStyle="1" w:styleId="WWNum1415">
    <w:name w:val="WWNum1415"/>
    <w:basedOn w:val="NoList"/>
    <w:rsid w:val="00F8631B"/>
  </w:style>
  <w:style w:type="numbering" w:customStyle="1" w:styleId="WWNum1515">
    <w:name w:val="WWNum1515"/>
    <w:basedOn w:val="NoList"/>
    <w:rsid w:val="00F8631B"/>
  </w:style>
  <w:style w:type="numbering" w:customStyle="1" w:styleId="WWNum1615">
    <w:name w:val="WWNum1615"/>
    <w:basedOn w:val="NoList"/>
    <w:rsid w:val="00F8631B"/>
  </w:style>
  <w:style w:type="numbering" w:customStyle="1" w:styleId="WWNum1715">
    <w:name w:val="WWNum1715"/>
    <w:basedOn w:val="NoList"/>
    <w:rsid w:val="00F8631B"/>
  </w:style>
  <w:style w:type="numbering" w:customStyle="1" w:styleId="WWNum1816">
    <w:name w:val="WWNum1816"/>
    <w:basedOn w:val="NoList"/>
    <w:rsid w:val="00F8631B"/>
  </w:style>
  <w:style w:type="numbering" w:customStyle="1" w:styleId="WWNum1915">
    <w:name w:val="WWNum1915"/>
    <w:basedOn w:val="NoList"/>
    <w:rsid w:val="00F8631B"/>
  </w:style>
  <w:style w:type="numbering" w:customStyle="1" w:styleId="WWNum2015">
    <w:name w:val="WWNum2015"/>
    <w:basedOn w:val="NoList"/>
    <w:rsid w:val="00F8631B"/>
  </w:style>
  <w:style w:type="numbering" w:customStyle="1" w:styleId="WWNum2115">
    <w:name w:val="WWNum2115"/>
    <w:basedOn w:val="NoList"/>
    <w:rsid w:val="00F8631B"/>
  </w:style>
  <w:style w:type="numbering" w:customStyle="1" w:styleId="WWNum2315">
    <w:name w:val="WWNum2315"/>
    <w:basedOn w:val="NoList"/>
    <w:rsid w:val="00F8631B"/>
  </w:style>
  <w:style w:type="numbering" w:customStyle="1" w:styleId="WWNum2415">
    <w:name w:val="WWNum2415"/>
    <w:basedOn w:val="NoList"/>
    <w:rsid w:val="00F8631B"/>
  </w:style>
  <w:style w:type="numbering" w:customStyle="1" w:styleId="WWNum2515">
    <w:name w:val="WWNum2515"/>
    <w:basedOn w:val="NoList"/>
    <w:rsid w:val="00F8631B"/>
  </w:style>
  <w:style w:type="numbering" w:customStyle="1" w:styleId="WWNum2615">
    <w:name w:val="WWNum2615"/>
    <w:basedOn w:val="NoList"/>
    <w:rsid w:val="00F8631B"/>
  </w:style>
  <w:style w:type="numbering" w:customStyle="1" w:styleId="WWNum2715">
    <w:name w:val="WWNum2715"/>
    <w:basedOn w:val="NoList"/>
    <w:rsid w:val="00F8631B"/>
  </w:style>
  <w:style w:type="numbering" w:customStyle="1" w:styleId="WWNum2815">
    <w:name w:val="WWNum2815"/>
    <w:basedOn w:val="NoList"/>
    <w:rsid w:val="00F8631B"/>
  </w:style>
  <w:style w:type="numbering" w:customStyle="1" w:styleId="WWNum2915">
    <w:name w:val="WWNum2915"/>
    <w:basedOn w:val="NoList"/>
    <w:rsid w:val="00F8631B"/>
  </w:style>
  <w:style w:type="numbering" w:customStyle="1" w:styleId="WWNum3015">
    <w:name w:val="WWNum3015"/>
    <w:basedOn w:val="NoList"/>
    <w:rsid w:val="00F8631B"/>
  </w:style>
  <w:style w:type="numbering" w:customStyle="1" w:styleId="WWNum3115">
    <w:name w:val="WWNum3115"/>
    <w:basedOn w:val="NoList"/>
    <w:rsid w:val="00F8631B"/>
  </w:style>
  <w:style w:type="numbering" w:customStyle="1" w:styleId="WWNum3215">
    <w:name w:val="WWNum3215"/>
    <w:basedOn w:val="NoList"/>
    <w:rsid w:val="00F8631B"/>
  </w:style>
  <w:style w:type="numbering" w:customStyle="1" w:styleId="WWNum3315">
    <w:name w:val="WWNum3315"/>
    <w:basedOn w:val="NoList"/>
    <w:rsid w:val="00F8631B"/>
  </w:style>
  <w:style w:type="numbering" w:customStyle="1" w:styleId="WWNum3415">
    <w:name w:val="WWNum3415"/>
    <w:basedOn w:val="NoList"/>
    <w:rsid w:val="00F8631B"/>
  </w:style>
  <w:style w:type="numbering" w:customStyle="1" w:styleId="WWNum3515">
    <w:name w:val="WWNum3515"/>
    <w:basedOn w:val="NoList"/>
    <w:rsid w:val="00F8631B"/>
  </w:style>
  <w:style w:type="numbering" w:customStyle="1" w:styleId="WWNum3610">
    <w:name w:val="WWNum3610"/>
    <w:basedOn w:val="NoList"/>
    <w:rsid w:val="00F8631B"/>
  </w:style>
  <w:style w:type="numbering" w:customStyle="1" w:styleId="WWNum3715">
    <w:name w:val="WWNum3715"/>
    <w:basedOn w:val="NoList"/>
    <w:rsid w:val="00F8631B"/>
  </w:style>
  <w:style w:type="numbering" w:customStyle="1" w:styleId="WWNum3815">
    <w:name w:val="WWNum3815"/>
    <w:basedOn w:val="NoList"/>
    <w:rsid w:val="00F8631B"/>
  </w:style>
  <w:style w:type="numbering" w:customStyle="1" w:styleId="WWNum3915">
    <w:name w:val="WWNum3915"/>
    <w:basedOn w:val="NoList"/>
    <w:rsid w:val="00F8631B"/>
  </w:style>
  <w:style w:type="numbering" w:customStyle="1" w:styleId="WWNum4015">
    <w:name w:val="WWNum4015"/>
    <w:basedOn w:val="NoList"/>
    <w:rsid w:val="00F8631B"/>
  </w:style>
  <w:style w:type="numbering" w:customStyle="1" w:styleId="WWNum4116">
    <w:name w:val="WWNum4116"/>
    <w:basedOn w:val="NoList"/>
    <w:rsid w:val="00F8631B"/>
  </w:style>
  <w:style w:type="numbering" w:customStyle="1" w:styleId="WWNum4215">
    <w:name w:val="WWNum4215"/>
    <w:basedOn w:val="NoList"/>
    <w:rsid w:val="00F8631B"/>
  </w:style>
  <w:style w:type="numbering" w:customStyle="1" w:styleId="WWNum4315">
    <w:name w:val="WWNum4315"/>
    <w:basedOn w:val="NoList"/>
    <w:rsid w:val="00F8631B"/>
  </w:style>
  <w:style w:type="numbering" w:customStyle="1" w:styleId="WWNum4415">
    <w:name w:val="WWNum4415"/>
    <w:basedOn w:val="NoList"/>
    <w:rsid w:val="00F8631B"/>
  </w:style>
  <w:style w:type="numbering" w:customStyle="1" w:styleId="WWNum4515">
    <w:name w:val="WWNum4515"/>
    <w:basedOn w:val="NoList"/>
    <w:rsid w:val="00F8631B"/>
  </w:style>
  <w:style w:type="numbering" w:customStyle="1" w:styleId="WWNum4615">
    <w:name w:val="WWNum4615"/>
    <w:basedOn w:val="NoList"/>
    <w:rsid w:val="00F8631B"/>
  </w:style>
  <w:style w:type="numbering" w:customStyle="1" w:styleId="WWNum4715">
    <w:name w:val="WWNum4715"/>
    <w:basedOn w:val="NoList"/>
    <w:rsid w:val="00F8631B"/>
  </w:style>
  <w:style w:type="numbering" w:customStyle="1" w:styleId="WWNum5115">
    <w:name w:val="WWNum5115"/>
    <w:basedOn w:val="NoList"/>
    <w:rsid w:val="00F8631B"/>
  </w:style>
  <w:style w:type="numbering" w:customStyle="1" w:styleId="WWNum5215">
    <w:name w:val="WWNum5215"/>
    <w:basedOn w:val="NoList"/>
    <w:rsid w:val="00F8631B"/>
  </w:style>
  <w:style w:type="numbering" w:customStyle="1" w:styleId="WWNum5415">
    <w:name w:val="WWNum5415"/>
    <w:basedOn w:val="NoList"/>
    <w:rsid w:val="00F8631B"/>
  </w:style>
  <w:style w:type="numbering" w:customStyle="1" w:styleId="WWNum5515">
    <w:name w:val="WWNum5515"/>
    <w:basedOn w:val="NoList"/>
    <w:rsid w:val="00F8631B"/>
  </w:style>
  <w:style w:type="numbering" w:customStyle="1" w:styleId="WWNum5715">
    <w:name w:val="WWNum5715"/>
    <w:basedOn w:val="NoList"/>
    <w:rsid w:val="00F8631B"/>
  </w:style>
  <w:style w:type="numbering" w:customStyle="1" w:styleId="WWNum5815">
    <w:name w:val="WWNum5815"/>
    <w:basedOn w:val="NoList"/>
    <w:rsid w:val="00F8631B"/>
  </w:style>
  <w:style w:type="numbering" w:customStyle="1" w:styleId="WWNum6415">
    <w:name w:val="WWNum6415"/>
    <w:basedOn w:val="NoList"/>
    <w:rsid w:val="00F8631B"/>
  </w:style>
  <w:style w:type="numbering" w:customStyle="1" w:styleId="WWNum6515">
    <w:name w:val="WWNum6515"/>
    <w:basedOn w:val="NoList"/>
    <w:rsid w:val="00F8631B"/>
  </w:style>
  <w:style w:type="numbering" w:customStyle="1" w:styleId="WWNum6615">
    <w:name w:val="WWNum6615"/>
    <w:basedOn w:val="NoList"/>
    <w:rsid w:val="00F8631B"/>
  </w:style>
  <w:style w:type="numbering" w:customStyle="1" w:styleId="WWNum7015">
    <w:name w:val="WWNum7015"/>
    <w:basedOn w:val="NoList"/>
    <w:rsid w:val="00F8631B"/>
  </w:style>
  <w:style w:type="numbering" w:customStyle="1" w:styleId="WWNum7315">
    <w:name w:val="WWNum7315"/>
    <w:basedOn w:val="NoList"/>
    <w:rsid w:val="00F8631B"/>
  </w:style>
  <w:style w:type="numbering" w:customStyle="1" w:styleId="WWNum7416">
    <w:name w:val="WWNum7416"/>
    <w:basedOn w:val="NoList"/>
    <w:rsid w:val="00F8631B"/>
  </w:style>
  <w:style w:type="numbering" w:customStyle="1" w:styleId="WWNum7516">
    <w:name w:val="WWNum7516"/>
    <w:basedOn w:val="NoList"/>
    <w:rsid w:val="00F8631B"/>
  </w:style>
  <w:style w:type="numbering" w:customStyle="1" w:styleId="WWNum7616">
    <w:name w:val="WWNum7616"/>
    <w:basedOn w:val="NoList"/>
    <w:rsid w:val="00F8631B"/>
  </w:style>
  <w:style w:type="numbering" w:customStyle="1" w:styleId="WWNum7710">
    <w:name w:val="WWNum7710"/>
    <w:basedOn w:val="NoList"/>
    <w:rsid w:val="00F8631B"/>
  </w:style>
  <w:style w:type="numbering" w:customStyle="1" w:styleId="WWNum7815">
    <w:name w:val="WWNum7815"/>
    <w:basedOn w:val="NoList"/>
    <w:rsid w:val="00F8631B"/>
  </w:style>
  <w:style w:type="table" w:customStyle="1" w:styleId="LightList-Accent640">
    <w:name w:val="Light List - Accent 640"/>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111110">
    <w:name w:val="1 / 1.1 / 1.1.110"/>
    <w:basedOn w:val="NoList"/>
    <w:next w:val="111111"/>
    <w:rsid w:val="00F8631B"/>
  </w:style>
  <w:style w:type="numbering" w:customStyle="1" w:styleId="WWNum14253">
    <w:name w:val="WWNum14253"/>
    <w:basedOn w:val="NoList"/>
    <w:rsid w:val="00F8631B"/>
  </w:style>
  <w:style w:type="numbering" w:customStyle="1" w:styleId="WWNum170">
    <w:name w:val="WWNum170"/>
    <w:basedOn w:val="NoList"/>
    <w:rsid w:val="00F8631B"/>
    <w:pPr>
      <w:numPr>
        <w:numId w:val="45"/>
      </w:numPr>
    </w:pPr>
  </w:style>
  <w:style w:type="numbering" w:customStyle="1" w:styleId="WWNum460">
    <w:name w:val="WWNum460"/>
    <w:basedOn w:val="NoList"/>
    <w:rsid w:val="00F8631B"/>
  </w:style>
  <w:style w:type="numbering" w:customStyle="1" w:styleId="WWNum619">
    <w:name w:val="WWNum619"/>
    <w:basedOn w:val="NoList"/>
    <w:rsid w:val="00F8631B"/>
  </w:style>
  <w:style w:type="numbering" w:customStyle="1" w:styleId="WWNum816">
    <w:name w:val="WWNum816"/>
    <w:basedOn w:val="NoList"/>
    <w:rsid w:val="00F8631B"/>
  </w:style>
  <w:style w:type="numbering" w:customStyle="1" w:styleId="WWNum916">
    <w:name w:val="WWNum916"/>
    <w:basedOn w:val="NoList"/>
    <w:rsid w:val="00F8631B"/>
  </w:style>
  <w:style w:type="numbering" w:customStyle="1" w:styleId="WWNum1017">
    <w:name w:val="WWNum1017"/>
    <w:basedOn w:val="NoList"/>
    <w:rsid w:val="00F8631B"/>
    <w:pPr>
      <w:numPr>
        <w:numId w:val="3"/>
      </w:numPr>
    </w:pPr>
  </w:style>
  <w:style w:type="numbering" w:customStyle="1" w:styleId="WWNum1120">
    <w:name w:val="WWNum1120"/>
    <w:basedOn w:val="NoList"/>
    <w:rsid w:val="00F8631B"/>
    <w:pPr>
      <w:numPr>
        <w:numId w:val="4"/>
      </w:numPr>
    </w:pPr>
  </w:style>
  <w:style w:type="numbering" w:customStyle="1" w:styleId="WWNum1218">
    <w:name w:val="WWNum1218"/>
    <w:basedOn w:val="NoList"/>
    <w:rsid w:val="00F8631B"/>
    <w:pPr>
      <w:numPr>
        <w:numId w:val="5"/>
      </w:numPr>
    </w:pPr>
  </w:style>
  <w:style w:type="numbering" w:customStyle="1" w:styleId="WWNum1316">
    <w:name w:val="WWNum1316"/>
    <w:basedOn w:val="NoList"/>
    <w:rsid w:val="00F8631B"/>
    <w:pPr>
      <w:numPr>
        <w:numId w:val="6"/>
      </w:numPr>
    </w:pPr>
  </w:style>
  <w:style w:type="numbering" w:customStyle="1" w:styleId="WWNum1416">
    <w:name w:val="WWNum1416"/>
    <w:basedOn w:val="NoList"/>
    <w:rsid w:val="00F8631B"/>
  </w:style>
  <w:style w:type="numbering" w:customStyle="1" w:styleId="WWNum1516">
    <w:name w:val="WWNum1516"/>
    <w:basedOn w:val="NoList"/>
    <w:rsid w:val="00F8631B"/>
    <w:pPr>
      <w:numPr>
        <w:numId w:val="7"/>
      </w:numPr>
    </w:pPr>
  </w:style>
  <w:style w:type="numbering" w:customStyle="1" w:styleId="WWNum1616">
    <w:name w:val="WWNum1616"/>
    <w:basedOn w:val="NoList"/>
    <w:rsid w:val="00F8631B"/>
    <w:pPr>
      <w:numPr>
        <w:numId w:val="8"/>
      </w:numPr>
    </w:pPr>
  </w:style>
  <w:style w:type="numbering" w:customStyle="1" w:styleId="WWNum1716">
    <w:name w:val="WWNum1716"/>
    <w:basedOn w:val="NoList"/>
    <w:rsid w:val="00F8631B"/>
    <w:pPr>
      <w:numPr>
        <w:numId w:val="9"/>
      </w:numPr>
    </w:pPr>
  </w:style>
  <w:style w:type="numbering" w:customStyle="1" w:styleId="WWNum1817">
    <w:name w:val="WWNum1817"/>
    <w:basedOn w:val="NoList"/>
    <w:rsid w:val="00F8631B"/>
    <w:pPr>
      <w:numPr>
        <w:numId w:val="10"/>
      </w:numPr>
    </w:pPr>
  </w:style>
  <w:style w:type="numbering" w:customStyle="1" w:styleId="WWNum1916">
    <w:name w:val="WWNum1916"/>
    <w:basedOn w:val="NoList"/>
    <w:rsid w:val="00F8631B"/>
    <w:pPr>
      <w:numPr>
        <w:numId w:val="11"/>
      </w:numPr>
    </w:pPr>
  </w:style>
  <w:style w:type="numbering" w:customStyle="1" w:styleId="WWNum2016">
    <w:name w:val="WWNum2016"/>
    <w:basedOn w:val="NoList"/>
    <w:rsid w:val="00F8631B"/>
    <w:pPr>
      <w:numPr>
        <w:numId w:val="12"/>
      </w:numPr>
    </w:pPr>
  </w:style>
  <w:style w:type="numbering" w:customStyle="1" w:styleId="WWNum2116">
    <w:name w:val="WWNum2116"/>
    <w:basedOn w:val="NoList"/>
    <w:rsid w:val="00F8631B"/>
    <w:pPr>
      <w:numPr>
        <w:numId w:val="46"/>
      </w:numPr>
    </w:pPr>
  </w:style>
  <w:style w:type="numbering" w:customStyle="1" w:styleId="WWNum2316">
    <w:name w:val="WWNum2316"/>
    <w:basedOn w:val="NoList"/>
    <w:rsid w:val="00F8631B"/>
    <w:pPr>
      <w:numPr>
        <w:numId w:val="13"/>
      </w:numPr>
    </w:pPr>
  </w:style>
  <w:style w:type="numbering" w:customStyle="1" w:styleId="WWNum2416">
    <w:name w:val="WWNum2416"/>
    <w:basedOn w:val="NoList"/>
    <w:rsid w:val="00F8631B"/>
    <w:pPr>
      <w:numPr>
        <w:numId w:val="14"/>
      </w:numPr>
    </w:pPr>
  </w:style>
  <w:style w:type="numbering" w:customStyle="1" w:styleId="WWNum2516">
    <w:name w:val="WWNum2516"/>
    <w:basedOn w:val="NoList"/>
    <w:rsid w:val="00F8631B"/>
    <w:pPr>
      <w:numPr>
        <w:numId w:val="15"/>
      </w:numPr>
    </w:pPr>
  </w:style>
  <w:style w:type="numbering" w:customStyle="1" w:styleId="WWNum2616">
    <w:name w:val="WWNum2616"/>
    <w:basedOn w:val="NoList"/>
    <w:rsid w:val="00F8631B"/>
    <w:pPr>
      <w:numPr>
        <w:numId w:val="16"/>
      </w:numPr>
    </w:pPr>
  </w:style>
  <w:style w:type="numbering" w:customStyle="1" w:styleId="WWNum2716">
    <w:name w:val="WWNum2716"/>
    <w:basedOn w:val="NoList"/>
    <w:rsid w:val="00F8631B"/>
    <w:pPr>
      <w:numPr>
        <w:numId w:val="17"/>
      </w:numPr>
    </w:pPr>
  </w:style>
  <w:style w:type="numbering" w:customStyle="1" w:styleId="WWNum2816">
    <w:name w:val="WWNum2816"/>
    <w:basedOn w:val="NoList"/>
    <w:rsid w:val="00F8631B"/>
    <w:pPr>
      <w:numPr>
        <w:numId w:val="18"/>
      </w:numPr>
    </w:pPr>
  </w:style>
  <w:style w:type="numbering" w:customStyle="1" w:styleId="WWNum2916">
    <w:name w:val="WWNum2916"/>
    <w:basedOn w:val="NoList"/>
    <w:rsid w:val="00F8631B"/>
  </w:style>
  <w:style w:type="numbering" w:customStyle="1" w:styleId="WWNum3016">
    <w:name w:val="WWNum3016"/>
    <w:basedOn w:val="NoList"/>
    <w:rsid w:val="00F8631B"/>
  </w:style>
  <w:style w:type="numbering" w:customStyle="1" w:styleId="WWNum3116">
    <w:name w:val="WWNum3116"/>
    <w:basedOn w:val="NoList"/>
    <w:rsid w:val="00F8631B"/>
  </w:style>
  <w:style w:type="numbering" w:customStyle="1" w:styleId="WWNum3216">
    <w:name w:val="WWNum3216"/>
    <w:basedOn w:val="NoList"/>
    <w:rsid w:val="00F8631B"/>
  </w:style>
  <w:style w:type="numbering" w:customStyle="1" w:styleId="WWNum3316">
    <w:name w:val="WWNum3316"/>
    <w:basedOn w:val="NoList"/>
    <w:rsid w:val="00F8631B"/>
  </w:style>
  <w:style w:type="numbering" w:customStyle="1" w:styleId="WWNum3416">
    <w:name w:val="WWNum3416"/>
    <w:basedOn w:val="NoList"/>
    <w:rsid w:val="00F8631B"/>
  </w:style>
  <w:style w:type="numbering" w:customStyle="1" w:styleId="WWNum3516">
    <w:name w:val="WWNum3516"/>
    <w:basedOn w:val="NoList"/>
    <w:rsid w:val="00F8631B"/>
  </w:style>
  <w:style w:type="numbering" w:customStyle="1" w:styleId="WWNum3614">
    <w:name w:val="WWNum3614"/>
    <w:basedOn w:val="NoList"/>
    <w:rsid w:val="00F8631B"/>
  </w:style>
  <w:style w:type="numbering" w:customStyle="1" w:styleId="WWNum3716">
    <w:name w:val="WWNum3716"/>
    <w:basedOn w:val="NoList"/>
    <w:rsid w:val="00F8631B"/>
  </w:style>
  <w:style w:type="numbering" w:customStyle="1" w:styleId="WWNum3816">
    <w:name w:val="WWNum3816"/>
    <w:basedOn w:val="NoList"/>
    <w:rsid w:val="00F8631B"/>
  </w:style>
  <w:style w:type="numbering" w:customStyle="1" w:styleId="WWNum3916">
    <w:name w:val="WWNum3916"/>
    <w:basedOn w:val="NoList"/>
    <w:rsid w:val="00F8631B"/>
  </w:style>
  <w:style w:type="numbering" w:customStyle="1" w:styleId="WWNum4016">
    <w:name w:val="WWNum4016"/>
    <w:basedOn w:val="NoList"/>
    <w:rsid w:val="00F8631B"/>
  </w:style>
  <w:style w:type="numbering" w:customStyle="1" w:styleId="WWNum4117">
    <w:name w:val="WWNum4117"/>
    <w:basedOn w:val="NoList"/>
    <w:rsid w:val="00F8631B"/>
  </w:style>
  <w:style w:type="numbering" w:customStyle="1" w:styleId="WWNum4216">
    <w:name w:val="WWNum4216"/>
    <w:basedOn w:val="NoList"/>
    <w:rsid w:val="00F8631B"/>
  </w:style>
  <w:style w:type="numbering" w:customStyle="1" w:styleId="WWNum4316">
    <w:name w:val="WWNum4316"/>
    <w:basedOn w:val="NoList"/>
    <w:rsid w:val="00F8631B"/>
  </w:style>
  <w:style w:type="numbering" w:customStyle="1" w:styleId="WWNum4416">
    <w:name w:val="WWNum4416"/>
    <w:basedOn w:val="NoList"/>
    <w:rsid w:val="00F8631B"/>
  </w:style>
  <w:style w:type="numbering" w:customStyle="1" w:styleId="WWNum4516">
    <w:name w:val="WWNum4516"/>
    <w:basedOn w:val="NoList"/>
    <w:rsid w:val="00F8631B"/>
  </w:style>
  <w:style w:type="numbering" w:customStyle="1" w:styleId="WWNum4616">
    <w:name w:val="WWNum4616"/>
    <w:basedOn w:val="NoList"/>
    <w:rsid w:val="00F8631B"/>
  </w:style>
  <w:style w:type="numbering" w:customStyle="1" w:styleId="WWNum4716">
    <w:name w:val="WWNum4716"/>
    <w:basedOn w:val="NoList"/>
    <w:rsid w:val="00F8631B"/>
  </w:style>
  <w:style w:type="numbering" w:customStyle="1" w:styleId="WWNum5116">
    <w:name w:val="WWNum5116"/>
    <w:basedOn w:val="NoList"/>
    <w:rsid w:val="00F8631B"/>
  </w:style>
  <w:style w:type="numbering" w:customStyle="1" w:styleId="WWNum5216">
    <w:name w:val="WWNum5216"/>
    <w:basedOn w:val="NoList"/>
    <w:rsid w:val="00F8631B"/>
  </w:style>
  <w:style w:type="numbering" w:customStyle="1" w:styleId="WWNum5416">
    <w:name w:val="WWNum5416"/>
    <w:basedOn w:val="NoList"/>
    <w:rsid w:val="00F8631B"/>
  </w:style>
  <w:style w:type="numbering" w:customStyle="1" w:styleId="WWNum5516">
    <w:name w:val="WWNum5516"/>
    <w:basedOn w:val="NoList"/>
    <w:rsid w:val="00F8631B"/>
  </w:style>
  <w:style w:type="numbering" w:customStyle="1" w:styleId="WWNum5716">
    <w:name w:val="WWNum5716"/>
    <w:basedOn w:val="NoList"/>
    <w:rsid w:val="00F8631B"/>
  </w:style>
  <w:style w:type="numbering" w:customStyle="1" w:styleId="WWNum5816">
    <w:name w:val="WWNum5816"/>
    <w:basedOn w:val="NoList"/>
    <w:rsid w:val="00F8631B"/>
  </w:style>
  <w:style w:type="numbering" w:customStyle="1" w:styleId="WWNum6416">
    <w:name w:val="WWNum6416"/>
    <w:basedOn w:val="NoList"/>
    <w:rsid w:val="00F8631B"/>
  </w:style>
  <w:style w:type="numbering" w:customStyle="1" w:styleId="WWNum6516">
    <w:name w:val="WWNum6516"/>
    <w:basedOn w:val="NoList"/>
    <w:rsid w:val="00F8631B"/>
  </w:style>
  <w:style w:type="numbering" w:customStyle="1" w:styleId="WWNum6616">
    <w:name w:val="WWNum6616"/>
    <w:basedOn w:val="NoList"/>
    <w:rsid w:val="00F8631B"/>
  </w:style>
  <w:style w:type="numbering" w:customStyle="1" w:styleId="WWNum7016">
    <w:name w:val="WWNum7016"/>
    <w:basedOn w:val="NoList"/>
    <w:rsid w:val="00F8631B"/>
  </w:style>
  <w:style w:type="numbering" w:customStyle="1" w:styleId="WWNum7316">
    <w:name w:val="WWNum7316"/>
    <w:basedOn w:val="NoList"/>
    <w:rsid w:val="00F8631B"/>
  </w:style>
  <w:style w:type="numbering" w:customStyle="1" w:styleId="WWNum7417">
    <w:name w:val="WWNum7417"/>
    <w:basedOn w:val="NoList"/>
    <w:rsid w:val="00F8631B"/>
  </w:style>
  <w:style w:type="numbering" w:customStyle="1" w:styleId="WWNum7517">
    <w:name w:val="WWNum7517"/>
    <w:basedOn w:val="NoList"/>
    <w:rsid w:val="00F8631B"/>
  </w:style>
  <w:style w:type="numbering" w:customStyle="1" w:styleId="WWNum7617">
    <w:name w:val="WWNum7617"/>
    <w:basedOn w:val="NoList"/>
    <w:rsid w:val="00F8631B"/>
  </w:style>
  <w:style w:type="numbering" w:customStyle="1" w:styleId="WWNum7714">
    <w:name w:val="WWNum7714"/>
    <w:basedOn w:val="NoList"/>
    <w:rsid w:val="00F8631B"/>
  </w:style>
  <w:style w:type="numbering" w:customStyle="1" w:styleId="WWNum7816">
    <w:name w:val="WWNum7816"/>
    <w:basedOn w:val="NoList"/>
    <w:rsid w:val="00F8631B"/>
  </w:style>
  <w:style w:type="table" w:customStyle="1" w:styleId="LightList-Accent648">
    <w:name w:val="Light List - Accent 648"/>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111111">
    <w:name w:val="1 / 1.1 / 1.1.111"/>
    <w:basedOn w:val="NoList"/>
    <w:next w:val="111111"/>
    <w:rsid w:val="00F8631B"/>
  </w:style>
  <w:style w:type="numbering" w:customStyle="1" w:styleId="WWNum14254">
    <w:name w:val="WWNum14254"/>
    <w:basedOn w:val="NoList"/>
    <w:rsid w:val="00F8631B"/>
  </w:style>
  <w:style w:type="numbering" w:customStyle="1" w:styleId="WWNum4951">
    <w:name w:val="WWNum4951"/>
    <w:basedOn w:val="NoList"/>
    <w:rsid w:val="00F8631B"/>
  </w:style>
  <w:style w:type="numbering" w:customStyle="1" w:styleId="WWNum52251">
    <w:name w:val="WWNum52251"/>
    <w:basedOn w:val="NoList"/>
    <w:rsid w:val="00F8631B"/>
  </w:style>
  <w:style w:type="numbering" w:customStyle="1" w:styleId="NoList10">
    <w:name w:val="No List10"/>
    <w:next w:val="NoList"/>
    <w:uiPriority w:val="99"/>
    <w:semiHidden/>
    <w:unhideWhenUsed/>
    <w:rsid w:val="00F8631B"/>
  </w:style>
  <w:style w:type="numbering" w:customStyle="1" w:styleId="WWNum77242">
    <w:name w:val="WWNum77242"/>
    <w:basedOn w:val="NoList"/>
    <w:rsid w:val="00F8631B"/>
    <w:pPr>
      <w:numPr>
        <w:numId w:val="64"/>
      </w:numPr>
    </w:pPr>
  </w:style>
  <w:style w:type="table" w:customStyle="1" w:styleId="LightList-Accent649">
    <w:name w:val="Light List - Accent 649"/>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0">
    <w:name w:val="Light List - Accent 6120"/>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8">
    <w:name w:val="Light List - Accent 6218"/>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8">
    <w:name w:val="Light List - Accent 61118"/>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13">
    <w:name w:val="Light List - Accent 631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8">
    <w:name w:val="Light List - Accent 6128"/>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10">
    <w:name w:val="Light List - Accent 6410"/>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8">
    <w:name w:val="Light List - Accent 6138"/>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58">
    <w:name w:val="Light List - Accent 658"/>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8">
    <w:name w:val="Light List - Accent 668"/>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8">
    <w:name w:val="Light List - Accent 6148"/>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8">
    <w:name w:val="Light List - Accent 678"/>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88">
    <w:name w:val="Light List - Accent 688"/>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111112">
    <w:name w:val="1 / 1.1 / 1.1.112"/>
    <w:basedOn w:val="NoList"/>
    <w:next w:val="111111"/>
    <w:rsid w:val="00F8631B"/>
  </w:style>
  <w:style w:type="table" w:customStyle="1" w:styleId="LightList-Accent6158">
    <w:name w:val="Light List - Accent 6158"/>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9">
    <w:name w:val="Light List - Accent 6219"/>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9">
    <w:name w:val="Light List - Accent 61119"/>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13">
    <w:name w:val="Light List - Accent 6211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13">
    <w:name w:val="Light List - Accent 61111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14">
    <w:name w:val="Light List - Accent 631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13">
    <w:name w:val="Light List - Accent 6121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13">
    <w:name w:val="Light List - Accent 641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13">
    <w:name w:val="Light List - Accent 6131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513">
    <w:name w:val="Light List - Accent 651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13">
    <w:name w:val="Light List - Accent 661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13">
    <w:name w:val="Light List - Accent 6141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13">
    <w:name w:val="Light List - Accent 671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813">
    <w:name w:val="Light List - Accent 681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97">
    <w:name w:val="Light List - Accent 697"/>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07">
    <w:name w:val="Light List - Accent 6107"/>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1057">
    <w:name w:val="WWNum1057"/>
    <w:basedOn w:val="NoList"/>
    <w:rsid w:val="00F8631B"/>
  </w:style>
  <w:style w:type="table" w:customStyle="1" w:styleId="LightList-Accent61513">
    <w:name w:val="Light List - Accent 6151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63">
    <w:name w:val="Light List - Accent 616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73">
    <w:name w:val="Light List - Accent 617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23">
    <w:name w:val="Light List - Accent 622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23">
    <w:name w:val="Light List - Accent 6112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23">
    <w:name w:val="Light List - Accent 6212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23">
    <w:name w:val="Light List - Accent 61112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23">
    <w:name w:val="Light List - Accent 632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23">
    <w:name w:val="Light List - Accent 6122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23">
    <w:name w:val="Light List - Accent 642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23">
    <w:name w:val="Light List - Accent 6132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523">
    <w:name w:val="Light List - Accent 652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23">
    <w:name w:val="Light List - Accent 662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23">
    <w:name w:val="Light List - Accent 6142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23">
    <w:name w:val="Light List - Accent 672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823">
    <w:name w:val="Light List - Accent 682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913">
    <w:name w:val="Light List - Accent 691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013">
    <w:name w:val="Light List - Accent 6101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523">
    <w:name w:val="Light List - Accent 6152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83">
    <w:name w:val="Light List - Accent 618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93">
    <w:name w:val="Light List - Accent 619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33">
    <w:name w:val="Light List - Accent 623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33">
    <w:name w:val="Light List - Accent 6113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33">
    <w:name w:val="Light List - Accent 6213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33">
    <w:name w:val="Light List - Accent 61113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33">
    <w:name w:val="Light List - Accent 633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33">
    <w:name w:val="Light List - Accent 6123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33">
    <w:name w:val="Light List - Accent 643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33">
    <w:name w:val="Light List - Accent 6133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533">
    <w:name w:val="Light List - Accent 653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33">
    <w:name w:val="Light List - Accent 663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33">
    <w:name w:val="Light List - Accent 6143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33">
    <w:name w:val="Light List - Accent 673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833">
    <w:name w:val="Light List - Accent 683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923">
    <w:name w:val="Light List - Accent 692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023">
    <w:name w:val="Light List - Accent 6102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533">
    <w:name w:val="Light List - Accent 6153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02">
    <w:name w:val="Light List - Accent 620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02">
    <w:name w:val="Light List - Accent 6110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42">
    <w:name w:val="Light List - Accent 624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42">
    <w:name w:val="Light List - Accent 6114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42">
    <w:name w:val="Light List - Accent 634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42">
    <w:name w:val="Light List - Accent 6124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42">
    <w:name w:val="Light List - Accent 644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42">
    <w:name w:val="Light List - Accent 6134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542">
    <w:name w:val="Light List - Accent 654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42">
    <w:name w:val="Light List - Accent 664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42">
    <w:name w:val="Light List - Accent 6144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42">
    <w:name w:val="Light List - Accent 674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842">
    <w:name w:val="Light List - Accent 684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542">
    <w:name w:val="Light List - Accent 6154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42">
    <w:name w:val="Light List - Accent 6214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42">
    <w:name w:val="Light List - Accent 61114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112">
    <w:name w:val="Light List - Accent 62111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112">
    <w:name w:val="Light List - Accent 611111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112">
    <w:name w:val="Light List - Accent 6311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112">
    <w:name w:val="Light List - Accent 61211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112">
    <w:name w:val="Light List - Accent 6411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112">
    <w:name w:val="Light List - Accent 61311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5112">
    <w:name w:val="Light List - Accent 6511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112">
    <w:name w:val="Light List - Accent 6611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112">
    <w:name w:val="Light List - Accent 61411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112">
    <w:name w:val="Light List - Accent 6711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8112">
    <w:name w:val="Light List - Accent 6811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932">
    <w:name w:val="Light List - Accent 693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032">
    <w:name w:val="Light List - Accent 6103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5112">
    <w:name w:val="Light List - Accent 61511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612">
    <w:name w:val="Light List - Accent 6161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712">
    <w:name w:val="Light List - Accent 6171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212">
    <w:name w:val="Light List - Accent 6221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212">
    <w:name w:val="Light List - Accent 61121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212">
    <w:name w:val="Light List - Accent 62121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212">
    <w:name w:val="Light List - Accent 611121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212">
    <w:name w:val="Light List - Accent 6321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212">
    <w:name w:val="Light List - Accent 61221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212">
    <w:name w:val="Light List - Accent 6421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212">
    <w:name w:val="Light List - Accent 61321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5212">
    <w:name w:val="Light List - Accent 6521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212">
    <w:name w:val="Light List - Accent 6621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212">
    <w:name w:val="Light List - Accent 61421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212">
    <w:name w:val="Light List - Accent 6721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8212">
    <w:name w:val="Light List - Accent 6821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9112">
    <w:name w:val="Light List - Accent 6911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0112">
    <w:name w:val="Light List - Accent 61011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5212">
    <w:name w:val="Light List - Accent 61521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812">
    <w:name w:val="Light List - Accent 6181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912">
    <w:name w:val="Light List - Accent 6191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312">
    <w:name w:val="Light List - Accent 6231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312">
    <w:name w:val="Light List - Accent 61131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312">
    <w:name w:val="Light List - Accent 62131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312">
    <w:name w:val="Light List - Accent 611131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312">
    <w:name w:val="Light List - Accent 6331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312">
    <w:name w:val="Light List - Accent 61231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312">
    <w:name w:val="Light List - Accent 6431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312">
    <w:name w:val="Light List - Accent 61331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5312">
    <w:name w:val="Light List - Accent 6531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312">
    <w:name w:val="Light List - Accent 6631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312">
    <w:name w:val="Light List - Accent 61431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312">
    <w:name w:val="Light List - Accent 6731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8312">
    <w:name w:val="Light List - Accent 6831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9212">
    <w:name w:val="Light List - Accent 6921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0212">
    <w:name w:val="Light List - Accent 61021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5312">
    <w:name w:val="Light List - Accent 61531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52">
    <w:name w:val="Light List - Accent 625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52">
    <w:name w:val="Light List - Accent 6115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62">
    <w:name w:val="Light List - Accent 626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62">
    <w:name w:val="Light List - Accent 6116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52">
    <w:name w:val="Light List - Accent 6215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52">
    <w:name w:val="Light List - Accent 61115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52">
    <w:name w:val="Light List - Accent 635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52">
    <w:name w:val="Light List - Accent 6125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52">
    <w:name w:val="Light List - Accent 645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52">
    <w:name w:val="Light List - Accent 6135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552">
    <w:name w:val="Light List - Accent 655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52">
    <w:name w:val="Light List - Accent 665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52">
    <w:name w:val="Light List - Accent 6145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52">
    <w:name w:val="Light List - Accent 675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4942">
    <w:name w:val="WWNum4942"/>
    <w:basedOn w:val="NoList"/>
    <w:rsid w:val="00F8631B"/>
  </w:style>
  <w:style w:type="numbering" w:customStyle="1" w:styleId="WWNum36243">
    <w:name w:val="WWNum36243"/>
    <w:basedOn w:val="NoList"/>
    <w:rsid w:val="00F8631B"/>
  </w:style>
  <w:style w:type="numbering" w:customStyle="1" w:styleId="WWNum39242">
    <w:name w:val="WWNum39242"/>
    <w:basedOn w:val="NoList"/>
    <w:rsid w:val="00F8631B"/>
  </w:style>
  <w:style w:type="numbering" w:customStyle="1" w:styleId="WWNum77243">
    <w:name w:val="WWNum77243"/>
    <w:basedOn w:val="NoList"/>
    <w:rsid w:val="00F8631B"/>
  </w:style>
  <w:style w:type="table" w:customStyle="1" w:styleId="LightList-Accent6852">
    <w:name w:val="Light List - Accent 685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942">
    <w:name w:val="Light List - Accent 694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042">
    <w:name w:val="Light List - Accent 6104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552">
    <w:name w:val="Light List - Accent 6155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6582">
    <w:name w:val="WWNum6582"/>
    <w:basedOn w:val="NoList"/>
    <w:rsid w:val="00F8631B"/>
  </w:style>
  <w:style w:type="numbering" w:customStyle="1" w:styleId="WWNum6683">
    <w:name w:val="WWNum6683"/>
    <w:basedOn w:val="NoList"/>
    <w:rsid w:val="00F8631B"/>
    <w:pPr>
      <w:numPr>
        <w:numId w:val="129"/>
      </w:numPr>
    </w:pPr>
  </w:style>
  <w:style w:type="table" w:customStyle="1" w:styleId="LightList-Accent6272">
    <w:name w:val="Light List - Accent 627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111142">
    <w:name w:val="1 / 1.1 / 1.1.142"/>
    <w:basedOn w:val="NoList"/>
    <w:next w:val="111111"/>
    <w:rsid w:val="00F8631B"/>
  </w:style>
  <w:style w:type="table" w:customStyle="1" w:styleId="LightList-Accent6282">
    <w:name w:val="Light List - Accent 628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72">
    <w:name w:val="Light List - Accent 6117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92">
    <w:name w:val="Light List - Accent 629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82">
    <w:name w:val="Light List - Accent 6118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62">
    <w:name w:val="Light List - Accent 6216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62">
    <w:name w:val="Light List - Accent 61116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62">
    <w:name w:val="Light List - Accent 636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62">
    <w:name w:val="Light List - Accent 6126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62">
    <w:name w:val="Light List - Accent 646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62">
    <w:name w:val="Light List - Accent 6136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562">
    <w:name w:val="Light List - Accent 656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62">
    <w:name w:val="Light List - Accent 666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62">
    <w:name w:val="Light List - Accent 61462"/>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62">
    <w:name w:val="Light List - Accent 676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11252">
    <w:name w:val="WWNum11252"/>
    <w:basedOn w:val="NoList"/>
    <w:rsid w:val="00F8631B"/>
  </w:style>
  <w:style w:type="numbering" w:customStyle="1" w:styleId="WWNum14255">
    <w:name w:val="WWNum14255"/>
    <w:basedOn w:val="NoList"/>
    <w:rsid w:val="00F8631B"/>
  </w:style>
  <w:style w:type="numbering" w:customStyle="1" w:styleId="WWNum21253">
    <w:name w:val="WWNum21253"/>
    <w:basedOn w:val="NoList"/>
    <w:rsid w:val="00F8631B"/>
  </w:style>
  <w:style w:type="numbering" w:customStyle="1" w:styleId="WWNum76352">
    <w:name w:val="WWNum76352"/>
    <w:basedOn w:val="NoList"/>
    <w:rsid w:val="00F8631B"/>
  </w:style>
  <w:style w:type="table" w:customStyle="1" w:styleId="LightList-Accent6862">
    <w:name w:val="Light List - Accent 686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952">
    <w:name w:val="Light List - Accent 695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052">
    <w:name w:val="Light List - Accent 6105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41352">
    <w:name w:val="WWNum41352"/>
    <w:basedOn w:val="NoList"/>
    <w:rsid w:val="00F8631B"/>
  </w:style>
  <w:style w:type="numbering" w:customStyle="1" w:styleId="WWNum77352">
    <w:name w:val="WWNum77352"/>
    <w:basedOn w:val="NoList"/>
    <w:rsid w:val="00F8631B"/>
  </w:style>
  <w:style w:type="table" w:customStyle="1" w:styleId="LightList-Accent61562">
    <w:name w:val="Light List - Accent 6156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02">
    <w:name w:val="Light List - Accent 630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1402">
    <w:name w:val="WWNum1402"/>
    <w:basedOn w:val="NoList"/>
    <w:rsid w:val="00F8631B"/>
  </w:style>
  <w:style w:type="numbering" w:customStyle="1" w:styleId="WWNum6162">
    <w:name w:val="WWNum6162"/>
    <w:basedOn w:val="NoList"/>
    <w:rsid w:val="00F8631B"/>
  </w:style>
  <w:style w:type="numbering" w:customStyle="1" w:styleId="WWNum8102">
    <w:name w:val="WWNum8102"/>
    <w:basedOn w:val="NoList"/>
    <w:rsid w:val="00F8631B"/>
  </w:style>
  <w:style w:type="numbering" w:customStyle="1" w:styleId="WWNum9102">
    <w:name w:val="WWNum9102"/>
    <w:basedOn w:val="NoList"/>
    <w:rsid w:val="00F8631B"/>
  </w:style>
  <w:style w:type="numbering" w:customStyle="1" w:styleId="WWNum14102">
    <w:name w:val="WWNum14102"/>
    <w:basedOn w:val="NoList"/>
    <w:rsid w:val="00F8631B"/>
  </w:style>
  <w:style w:type="numbering" w:customStyle="1" w:styleId="WWNum21102">
    <w:name w:val="WWNum21102"/>
    <w:basedOn w:val="NoList"/>
    <w:rsid w:val="00F8631B"/>
  </w:style>
  <w:style w:type="numbering" w:customStyle="1" w:styleId="WWNum31102">
    <w:name w:val="WWNum31102"/>
    <w:basedOn w:val="NoList"/>
    <w:rsid w:val="00F8631B"/>
  </w:style>
  <w:style w:type="numbering" w:customStyle="1" w:styleId="WWNum32102">
    <w:name w:val="WWNum32102"/>
    <w:basedOn w:val="NoList"/>
    <w:rsid w:val="00F8631B"/>
  </w:style>
  <w:style w:type="numbering" w:customStyle="1" w:styleId="WWNum33102">
    <w:name w:val="WWNum33102"/>
    <w:basedOn w:val="NoList"/>
    <w:rsid w:val="00F8631B"/>
  </w:style>
  <w:style w:type="numbering" w:customStyle="1" w:styleId="WWNum34102">
    <w:name w:val="WWNum34102"/>
    <w:basedOn w:val="NoList"/>
    <w:rsid w:val="00F8631B"/>
  </w:style>
  <w:style w:type="numbering" w:customStyle="1" w:styleId="WWNum35102">
    <w:name w:val="WWNum35102"/>
    <w:basedOn w:val="NoList"/>
    <w:rsid w:val="00F8631B"/>
  </w:style>
  <w:style w:type="numbering" w:customStyle="1" w:styleId="WWNum37102">
    <w:name w:val="WWNum37102"/>
    <w:basedOn w:val="NoList"/>
    <w:rsid w:val="00F8631B"/>
  </w:style>
  <w:style w:type="numbering" w:customStyle="1" w:styleId="WWNum38102">
    <w:name w:val="WWNum38102"/>
    <w:basedOn w:val="NoList"/>
    <w:rsid w:val="00F8631B"/>
  </w:style>
  <w:style w:type="numbering" w:customStyle="1" w:styleId="WWNum39102">
    <w:name w:val="WWNum39102"/>
    <w:basedOn w:val="NoList"/>
    <w:rsid w:val="00F8631B"/>
  </w:style>
  <w:style w:type="numbering" w:customStyle="1" w:styleId="WWNum40102">
    <w:name w:val="WWNum40102"/>
    <w:basedOn w:val="NoList"/>
    <w:rsid w:val="00F8631B"/>
  </w:style>
  <w:style w:type="numbering" w:customStyle="1" w:styleId="WWNum41142">
    <w:name w:val="WWNum41142"/>
    <w:basedOn w:val="NoList"/>
    <w:rsid w:val="00F8631B"/>
  </w:style>
  <w:style w:type="numbering" w:customStyle="1" w:styleId="WWNum42102">
    <w:name w:val="WWNum42102"/>
    <w:basedOn w:val="NoList"/>
    <w:rsid w:val="00F8631B"/>
  </w:style>
  <w:style w:type="numbering" w:customStyle="1" w:styleId="WWNum43102">
    <w:name w:val="WWNum43102"/>
    <w:basedOn w:val="NoList"/>
    <w:rsid w:val="00F8631B"/>
  </w:style>
  <w:style w:type="numbering" w:customStyle="1" w:styleId="WWNum44102">
    <w:name w:val="WWNum44102"/>
    <w:basedOn w:val="NoList"/>
    <w:rsid w:val="00F8631B"/>
  </w:style>
  <w:style w:type="numbering" w:customStyle="1" w:styleId="WWNum45102">
    <w:name w:val="WWNum45102"/>
    <w:basedOn w:val="NoList"/>
    <w:rsid w:val="00F8631B"/>
  </w:style>
  <w:style w:type="numbering" w:customStyle="1" w:styleId="WWNum46102">
    <w:name w:val="WWNum46102"/>
    <w:basedOn w:val="NoList"/>
    <w:rsid w:val="00F8631B"/>
  </w:style>
  <w:style w:type="numbering" w:customStyle="1" w:styleId="WWNum47102">
    <w:name w:val="WWNum47102"/>
    <w:basedOn w:val="NoList"/>
    <w:rsid w:val="00F8631B"/>
  </w:style>
  <w:style w:type="numbering" w:customStyle="1" w:styleId="WWNum51102">
    <w:name w:val="WWNum51102"/>
    <w:basedOn w:val="NoList"/>
    <w:rsid w:val="00F8631B"/>
  </w:style>
  <w:style w:type="numbering" w:customStyle="1" w:styleId="WWNum52102">
    <w:name w:val="WWNum52102"/>
    <w:basedOn w:val="NoList"/>
    <w:rsid w:val="00F8631B"/>
  </w:style>
  <w:style w:type="numbering" w:customStyle="1" w:styleId="WWNum54102">
    <w:name w:val="WWNum54102"/>
    <w:basedOn w:val="NoList"/>
    <w:rsid w:val="00F8631B"/>
  </w:style>
  <w:style w:type="numbering" w:customStyle="1" w:styleId="WWNum55102">
    <w:name w:val="WWNum55102"/>
    <w:basedOn w:val="NoList"/>
    <w:rsid w:val="00F8631B"/>
  </w:style>
  <w:style w:type="numbering" w:customStyle="1" w:styleId="WWNum57102">
    <w:name w:val="WWNum57102"/>
    <w:basedOn w:val="NoList"/>
    <w:rsid w:val="00F8631B"/>
  </w:style>
  <w:style w:type="numbering" w:customStyle="1" w:styleId="WWNum58102">
    <w:name w:val="WWNum58102"/>
    <w:basedOn w:val="NoList"/>
    <w:rsid w:val="00F8631B"/>
  </w:style>
  <w:style w:type="numbering" w:customStyle="1" w:styleId="WWNum64102">
    <w:name w:val="WWNum64102"/>
    <w:basedOn w:val="NoList"/>
    <w:rsid w:val="00F8631B"/>
  </w:style>
  <w:style w:type="numbering" w:customStyle="1" w:styleId="WWNum65102">
    <w:name w:val="WWNum65102"/>
    <w:basedOn w:val="NoList"/>
    <w:rsid w:val="00F8631B"/>
  </w:style>
  <w:style w:type="numbering" w:customStyle="1" w:styleId="WWNum66102">
    <w:name w:val="WWNum66102"/>
    <w:basedOn w:val="NoList"/>
    <w:rsid w:val="00F8631B"/>
  </w:style>
  <w:style w:type="numbering" w:customStyle="1" w:styleId="WWNum70102">
    <w:name w:val="WWNum70102"/>
    <w:basedOn w:val="NoList"/>
    <w:rsid w:val="00F8631B"/>
  </w:style>
  <w:style w:type="numbering" w:customStyle="1" w:styleId="WWNum73102">
    <w:name w:val="WWNum73102"/>
    <w:basedOn w:val="NoList"/>
    <w:rsid w:val="00F8631B"/>
  </w:style>
  <w:style w:type="numbering" w:customStyle="1" w:styleId="WWNum74102">
    <w:name w:val="WWNum74102"/>
    <w:basedOn w:val="NoList"/>
    <w:rsid w:val="00F8631B"/>
  </w:style>
  <w:style w:type="numbering" w:customStyle="1" w:styleId="WWNum75102">
    <w:name w:val="WWNum75102"/>
    <w:basedOn w:val="NoList"/>
    <w:rsid w:val="00F8631B"/>
  </w:style>
  <w:style w:type="numbering" w:customStyle="1" w:styleId="WWNum76142">
    <w:name w:val="WWNum76142"/>
    <w:basedOn w:val="NoList"/>
    <w:rsid w:val="00F8631B"/>
  </w:style>
  <w:style w:type="numbering" w:customStyle="1" w:styleId="WWNum7782">
    <w:name w:val="WWNum7782"/>
    <w:basedOn w:val="NoList"/>
    <w:rsid w:val="00F8631B"/>
  </w:style>
  <w:style w:type="numbering" w:customStyle="1" w:styleId="WWNum78102">
    <w:name w:val="WWNum78102"/>
    <w:basedOn w:val="NoList"/>
    <w:rsid w:val="00F8631B"/>
  </w:style>
  <w:style w:type="table" w:customStyle="1" w:styleId="LightList-Accent6372">
    <w:name w:val="Light List - Accent 6372"/>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111172">
    <w:name w:val="1 / 1.1 / 1.1.172"/>
    <w:basedOn w:val="NoList"/>
    <w:next w:val="111111"/>
    <w:rsid w:val="00F8631B"/>
  </w:style>
  <w:style w:type="table" w:customStyle="1" w:styleId="LightList-Accent650">
    <w:name w:val="Light List - Accent 650"/>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9">
    <w:name w:val="Light List - Accent 6129"/>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20">
    <w:name w:val="Light List - Accent 6220"/>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20">
    <w:name w:val="Light List - Accent 61120"/>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15">
    <w:name w:val="Light List - Accent 6315"/>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10">
    <w:name w:val="Light List - Accent 61210"/>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14">
    <w:name w:val="Light List - Accent 641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9">
    <w:name w:val="Light List - Accent 6139"/>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59">
    <w:name w:val="Light List - Accent 659"/>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9">
    <w:name w:val="Light List - Accent 669"/>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9">
    <w:name w:val="Light List - Accent 6149"/>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9">
    <w:name w:val="Light List - Accent 679"/>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89">
    <w:name w:val="Light List - Accent 689"/>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59">
    <w:name w:val="Light List - Accent 6159"/>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10">
    <w:name w:val="Light List - Accent 62110"/>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10">
    <w:name w:val="Light List - Accent 611110"/>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14">
    <w:name w:val="Light List - Accent 6211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14">
    <w:name w:val="Light List - Accent 61111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16">
    <w:name w:val="Light List - Accent 6316"/>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14">
    <w:name w:val="Light List - Accent 6121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15">
    <w:name w:val="Light List - Accent 6415"/>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14">
    <w:name w:val="Light List - Accent 6131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514">
    <w:name w:val="Light List - Accent 651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14">
    <w:name w:val="Light List - Accent 661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14">
    <w:name w:val="Light List - Accent 6141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14">
    <w:name w:val="Light List - Accent 671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814">
    <w:name w:val="Light List - Accent 681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98">
    <w:name w:val="Light List - Accent 698"/>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08">
    <w:name w:val="Light List - Accent 6108"/>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1058">
    <w:name w:val="WWNum1058"/>
    <w:basedOn w:val="NoList"/>
    <w:rsid w:val="00F8631B"/>
  </w:style>
  <w:style w:type="table" w:customStyle="1" w:styleId="LightList-Accent61514">
    <w:name w:val="Light List - Accent 6151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64">
    <w:name w:val="Light List - Accent 616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74">
    <w:name w:val="Light List - Accent 617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24">
    <w:name w:val="Light List - Accent 622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24">
    <w:name w:val="Light List - Accent 6112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24">
    <w:name w:val="Light List - Accent 6212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24">
    <w:name w:val="Light List - Accent 61112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24">
    <w:name w:val="Light List - Accent 632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24">
    <w:name w:val="Light List - Accent 6122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24">
    <w:name w:val="Light List - Accent 642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24">
    <w:name w:val="Light List - Accent 6132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524">
    <w:name w:val="Light List - Accent 652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24">
    <w:name w:val="Light List - Accent 662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24">
    <w:name w:val="Light List - Accent 6142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24">
    <w:name w:val="Light List - Accent 672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824">
    <w:name w:val="Light List - Accent 682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914">
    <w:name w:val="Light List - Accent 691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014">
    <w:name w:val="Light List - Accent 6101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524">
    <w:name w:val="Light List - Accent 6152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84">
    <w:name w:val="Light List - Accent 618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94">
    <w:name w:val="Light List - Accent 619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34">
    <w:name w:val="Light List - Accent 623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34">
    <w:name w:val="Light List - Accent 6113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34">
    <w:name w:val="Light List - Accent 6213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34">
    <w:name w:val="Light List - Accent 61113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34">
    <w:name w:val="Light List - Accent 633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34">
    <w:name w:val="Light List - Accent 6123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34">
    <w:name w:val="Light List - Accent 643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34">
    <w:name w:val="Light List - Accent 6133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534">
    <w:name w:val="Light List - Accent 653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34">
    <w:name w:val="Light List - Accent 663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34">
    <w:name w:val="Light List - Accent 6143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34">
    <w:name w:val="Light List - Accent 673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834">
    <w:name w:val="Light List - Accent 683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924">
    <w:name w:val="Light List - Accent 692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024">
    <w:name w:val="Light List - Accent 6102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534">
    <w:name w:val="Light List - Accent 6153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03">
    <w:name w:val="Light List - Accent 620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03">
    <w:name w:val="Light List - Accent 6110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43">
    <w:name w:val="Light List - Accent 624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43">
    <w:name w:val="Light List - Accent 6114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43">
    <w:name w:val="Light List - Accent 634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43">
    <w:name w:val="Light List - Accent 6124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43">
    <w:name w:val="Light List - Accent 644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43">
    <w:name w:val="Light List - Accent 6134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543">
    <w:name w:val="Light List - Accent 654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43">
    <w:name w:val="Light List - Accent 664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43">
    <w:name w:val="Light List - Accent 6144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43">
    <w:name w:val="Light List - Accent 674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843">
    <w:name w:val="Light List - Accent 684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543">
    <w:name w:val="Light List - Accent 6154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43">
    <w:name w:val="Light List - Accent 6214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43">
    <w:name w:val="Light List - Accent 61114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113">
    <w:name w:val="Light List - Accent 62111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113">
    <w:name w:val="Light List - Accent 611111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113">
    <w:name w:val="Light List - Accent 6311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113">
    <w:name w:val="Light List - Accent 61211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113">
    <w:name w:val="Light List - Accent 6411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113">
    <w:name w:val="Light List - Accent 61311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5113">
    <w:name w:val="Light List - Accent 6511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113">
    <w:name w:val="Light List - Accent 6611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113">
    <w:name w:val="Light List - Accent 61411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113">
    <w:name w:val="Light List - Accent 6711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8113">
    <w:name w:val="Light List - Accent 6811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933">
    <w:name w:val="Light List - Accent 693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033">
    <w:name w:val="Light List - Accent 6103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5113">
    <w:name w:val="Light List - Accent 61511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613">
    <w:name w:val="Light List - Accent 6161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713">
    <w:name w:val="Light List - Accent 6171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213">
    <w:name w:val="Light List - Accent 6221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213">
    <w:name w:val="Light List - Accent 61121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213">
    <w:name w:val="Light List - Accent 62121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213">
    <w:name w:val="Light List - Accent 611121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213">
    <w:name w:val="Light List - Accent 6321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213">
    <w:name w:val="Light List - Accent 61221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213">
    <w:name w:val="Light List - Accent 6421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213">
    <w:name w:val="Light List - Accent 61321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5213">
    <w:name w:val="Light List - Accent 6521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213">
    <w:name w:val="Light List - Accent 6621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213">
    <w:name w:val="Light List - Accent 61421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213">
    <w:name w:val="Light List - Accent 6721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8213">
    <w:name w:val="Light List - Accent 6821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9113">
    <w:name w:val="Light List - Accent 6911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0113">
    <w:name w:val="Light List - Accent 61011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5213">
    <w:name w:val="Light List - Accent 61521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813">
    <w:name w:val="Light List - Accent 6181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913">
    <w:name w:val="Light List - Accent 6191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313">
    <w:name w:val="Light List - Accent 6231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313">
    <w:name w:val="Light List - Accent 61131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313">
    <w:name w:val="Light List - Accent 62131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313">
    <w:name w:val="Light List - Accent 611131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313">
    <w:name w:val="Light List - Accent 6331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313">
    <w:name w:val="Light List - Accent 61231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313">
    <w:name w:val="Light List - Accent 6431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313">
    <w:name w:val="Light List - Accent 61331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5313">
    <w:name w:val="Light List - Accent 6531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313">
    <w:name w:val="Light List - Accent 6631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313">
    <w:name w:val="Light List - Accent 61431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313">
    <w:name w:val="Light List - Accent 6731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8313">
    <w:name w:val="Light List - Accent 6831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9213">
    <w:name w:val="Light List - Accent 6921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0213">
    <w:name w:val="Light List - Accent 61021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5313">
    <w:name w:val="Light List - Accent 61531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53">
    <w:name w:val="Light List - Accent 625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53">
    <w:name w:val="Light List - Accent 6115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63">
    <w:name w:val="Light List - Accent 626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63">
    <w:name w:val="Light List - Accent 6116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53">
    <w:name w:val="Light List - Accent 6215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53">
    <w:name w:val="Light List - Accent 61115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53">
    <w:name w:val="Light List - Accent 635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53">
    <w:name w:val="Light List - Accent 6125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53">
    <w:name w:val="Light List - Accent 645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53">
    <w:name w:val="Light List - Accent 6135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553">
    <w:name w:val="Light List - Accent 655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53">
    <w:name w:val="Light List - Accent 665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53">
    <w:name w:val="Light List - Accent 6145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53">
    <w:name w:val="Light List - Accent 675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4943">
    <w:name w:val="WWNum4943"/>
    <w:basedOn w:val="NoList"/>
    <w:rsid w:val="00F8631B"/>
  </w:style>
  <w:style w:type="numbering" w:customStyle="1" w:styleId="WWNum36244">
    <w:name w:val="WWNum36244"/>
    <w:basedOn w:val="NoList"/>
    <w:rsid w:val="00F8631B"/>
  </w:style>
  <w:style w:type="numbering" w:customStyle="1" w:styleId="WWNum39243">
    <w:name w:val="WWNum39243"/>
    <w:basedOn w:val="NoList"/>
    <w:rsid w:val="00F8631B"/>
  </w:style>
  <w:style w:type="numbering" w:customStyle="1" w:styleId="WWNum77244">
    <w:name w:val="WWNum77244"/>
    <w:basedOn w:val="NoList"/>
    <w:rsid w:val="00F8631B"/>
  </w:style>
  <w:style w:type="table" w:customStyle="1" w:styleId="LightList-Accent6853">
    <w:name w:val="Light List - Accent 685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943">
    <w:name w:val="Light List - Accent 694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553">
    <w:name w:val="Light List - Accent 6155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6583">
    <w:name w:val="WWNum6583"/>
    <w:basedOn w:val="NoList"/>
    <w:rsid w:val="00F8631B"/>
  </w:style>
  <w:style w:type="numbering" w:customStyle="1" w:styleId="WWNum6684">
    <w:name w:val="WWNum6684"/>
    <w:basedOn w:val="NoList"/>
    <w:rsid w:val="00F8631B"/>
    <w:pPr>
      <w:numPr>
        <w:numId w:val="130"/>
      </w:numPr>
    </w:pPr>
  </w:style>
  <w:style w:type="table" w:customStyle="1" w:styleId="LightList-Accent6273">
    <w:name w:val="Light List - Accent 627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111143">
    <w:name w:val="1 / 1.1 / 1.1.143"/>
    <w:basedOn w:val="NoList"/>
    <w:next w:val="111111"/>
    <w:rsid w:val="00F8631B"/>
  </w:style>
  <w:style w:type="table" w:customStyle="1" w:styleId="LightList-Accent6283">
    <w:name w:val="Light List - Accent 628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73">
    <w:name w:val="Light List - Accent 6117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93">
    <w:name w:val="Light List - Accent 629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83">
    <w:name w:val="Light List - Accent 6118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63">
    <w:name w:val="Light List - Accent 6216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63">
    <w:name w:val="Light List - Accent 61116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63">
    <w:name w:val="Light List - Accent 636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63">
    <w:name w:val="Light List - Accent 6126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63">
    <w:name w:val="Light List - Accent 646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63">
    <w:name w:val="Light List - Accent 6136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563">
    <w:name w:val="Light List - Accent 656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63">
    <w:name w:val="Light List - Accent 666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63">
    <w:name w:val="Light List - Accent 61463"/>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63">
    <w:name w:val="Light List - Accent 676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11253">
    <w:name w:val="WWNum11253"/>
    <w:basedOn w:val="NoList"/>
    <w:rsid w:val="00F8631B"/>
  </w:style>
  <w:style w:type="numbering" w:customStyle="1" w:styleId="WWNum14256">
    <w:name w:val="WWNum14256"/>
    <w:basedOn w:val="NoList"/>
    <w:rsid w:val="00F8631B"/>
  </w:style>
  <w:style w:type="numbering" w:customStyle="1" w:styleId="WWNum21254">
    <w:name w:val="WWNum21254"/>
    <w:basedOn w:val="NoList"/>
    <w:rsid w:val="00F8631B"/>
  </w:style>
  <w:style w:type="numbering" w:customStyle="1" w:styleId="WWNum76353">
    <w:name w:val="WWNum76353"/>
    <w:basedOn w:val="NoList"/>
    <w:rsid w:val="00F8631B"/>
  </w:style>
  <w:style w:type="table" w:customStyle="1" w:styleId="LightList-Accent6863">
    <w:name w:val="Light List - Accent 686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953">
    <w:name w:val="Light List - Accent 695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053">
    <w:name w:val="Light List - Accent 6105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41353">
    <w:name w:val="WWNum41353"/>
    <w:basedOn w:val="NoList"/>
    <w:rsid w:val="00F8631B"/>
  </w:style>
  <w:style w:type="numbering" w:customStyle="1" w:styleId="WWNum77353">
    <w:name w:val="WWNum77353"/>
    <w:basedOn w:val="NoList"/>
    <w:rsid w:val="00F8631B"/>
  </w:style>
  <w:style w:type="table" w:customStyle="1" w:styleId="LightList-Accent61563">
    <w:name w:val="Light List - Accent 6156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03">
    <w:name w:val="Light List - Accent 630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1403">
    <w:name w:val="WWNum1403"/>
    <w:basedOn w:val="NoList"/>
    <w:rsid w:val="00F8631B"/>
  </w:style>
  <w:style w:type="numbering" w:customStyle="1" w:styleId="WWNum6163">
    <w:name w:val="WWNum6163"/>
    <w:basedOn w:val="NoList"/>
    <w:rsid w:val="00F8631B"/>
  </w:style>
  <w:style w:type="numbering" w:customStyle="1" w:styleId="WWNum8103">
    <w:name w:val="WWNum8103"/>
    <w:basedOn w:val="NoList"/>
    <w:rsid w:val="00F8631B"/>
  </w:style>
  <w:style w:type="numbering" w:customStyle="1" w:styleId="WWNum9103">
    <w:name w:val="WWNum9103"/>
    <w:basedOn w:val="NoList"/>
    <w:rsid w:val="00F8631B"/>
  </w:style>
  <w:style w:type="numbering" w:customStyle="1" w:styleId="WWNum14103">
    <w:name w:val="WWNum14103"/>
    <w:basedOn w:val="NoList"/>
    <w:rsid w:val="00F8631B"/>
  </w:style>
  <w:style w:type="numbering" w:customStyle="1" w:styleId="WWNum21103">
    <w:name w:val="WWNum21103"/>
    <w:basedOn w:val="NoList"/>
    <w:rsid w:val="00F8631B"/>
  </w:style>
  <w:style w:type="numbering" w:customStyle="1" w:styleId="WWNum31103">
    <w:name w:val="WWNum31103"/>
    <w:basedOn w:val="NoList"/>
    <w:rsid w:val="00F8631B"/>
  </w:style>
  <w:style w:type="numbering" w:customStyle="1" w:styleId="WWNum32103">
    <w:name w:val="WWNum32103"/>
    <w:basedOn w:val="NoList"/>
    <w:rsid w:val="00F8631B"/>
  </w:style>
  <w:style w:type="numbering" w:customStyle="1" w:styleId="WWNum33103">
    <w:name w:val="WWNum33103"/>
    <w:basedOn w:val="NoList"/>
    <w:rsid w:val="00F8631B"/>
  </w:style>
  <w:style w:type="numbering" w:customStyle="1" w:styleId="WWNum34103">
    <w:name w:val="WWNum34103"/>
    <w:basedOn w:val="NoList"/>
    <w:rsid w:val="00F8631B"/>
  </w:style>
  <w:style w:type="numbering" w:customStyle="1" w:styleId="WWNum35103">
    <w:name w:val="WWNum35103"/>
    <w:basedOn w:val="NoList"/>
    <w:rsid w:val="00F8631B"/>
  </w:style>
  <w:style w:type="numbering" w:customStyle="1" w:styleId="WWNum37103">
    <w:name w:val="WWNum37103"/>
    <w:basedOn w:val="NoList"/>
    <w:rsid w:val="00F8631B"/>
  </w:style>
  <w:style w:type="numbering" w:customStyle="1" w:styleId="WWNum38103">
    <w:name w:val="WWNum38103"/>
    <w:basedOn w:val="NoList"/>
    <w:rsid w:val="00F8631B"/>
  </w:style>
  <w:style w:type="numbering" w:customStyle="1" w:styleId="WWNum39103">
    <w:name w:val="WWNum39103"/>
    <w:basedOn w:val="NoList"/>
    <w:rsid w:val="00F8631B"/>
  </w:style>
  <w:style w:type="numbering" w:customStyle="1" w:styleId="WWNum40103">
    <w:name w:val="WWNum40103"/>
    <w:basedOn w:val="NoList"/>
    <w:rsid w:val="00F8631B"/>
  </w:style>
  <w:style w:type="numbering" w:customStyle="1" w:styleId="WWNum41143">
    <w:name w:val="WWNum41143"/>
    <w:basedOn w:val="NoList"/>
    <w:rsid w:val="00F8631B"/>
  </w:style>
  <w:style w:type="numbering" w:customStyle="1" w:styleId="WWNum42103">
    <w:name w:val="WWNum42103"/>
    <w:basedOn w:val="NoList"/>
    <w:rsid w:val="00F8631B"/>
  </w:style>
  <w:style w:type="numbering" w:customStyle="1" w:styleId="WWNum43103">
    <w:name w:val="WWNum43103"/>
    <w:basedOn w:val="NoList"/>
    <w:rsid w:val="00F8631B"/>
  </w:style>
  <w:style w:type="numbering" w:customStyle="1" w:styleId="WWNum44103">
    <w:name w:val="WWNum44103"/>
    <w:basedOn w:val="NoList"/>
    <w:rsid w:val="00F8631B"/>
  </w:style>
  <w:style w:type="numbering" w:customStyle="1" w:styleId="WWNum45103">
    <w:name w:val="WWNum45103"/>
    <w:basedOn w:val="NoList"/>
    <w:rsid w:val="00F8631B"/>
  </w:style>
  <w:style w:type="numbering" w:customStyle="1" w:styleId="WWNum46103">
    <w:name w:val="WWNum46103"/>
    <w:basedOn w:val="NoList"/>
    <w:rsid w:val="00F8631B"/>
  </w:style>
  <w:style w:type="numbering" w:customStyle="1" w:styleId="WWNum47103">
    <w:name w:val="WWNum47103"/>
    <w:basedOn w:val="NoList"/>
    <w:rsid w:val="00F8631B"/>
  </w:style>
  <w:style w:type="numbering" w:customStyle="1" w:styleId="WWNum51103">
    <w:name w:val="WWNum51103"/>
    <w:basedOn w:val="NoList"/>
    <w:rsid w:val="00F8631B"/>
  </w:style>
  <w:style w:type="numbering" w:customStyle="1" w:styleId="WWNum52103">
    <w:name w:val="WWNum52103"/>
    <w:basedOn w:val="NoList"/>
    <w:rsid w:val="00F8631B"/>
  </w:style>
  <w:style w:type="numbering" w:customStyle="1" w:styleId="WWNum54103">
    <w:name w:val="WWNum54103"/>
    <w:basedOn w:val="NoList"/>
    <w:rsid w:val="00F8631B"/>
  </w:style>
  <w:style w:type="numbering" w:customStyle="1" w:styleId="WWNum55103">
    <w:name w:val="WWNum55103"/>
    <w:basedOn w:val="NoList"/>
    <w:rsid w:val="00F8631B"/>
  </w:style>
  <w:style w:type="numbering" w:customStyle="1" w:styleId="WWNum57103">
    <w:name w:val="WWNum57103"/>
    <w:basedOn w:val="NoList"/>
    <w:rsid w:val="00F8631B"/>
  </w:style>
  <w:style w:type="numbering" w:customStyle="1" w:styleId="WWNum58103">
    <w:name w:val="WWNum58103"/>
    <w:basedOn w:val="NoList"/>
    <w:rsid w:val="00F8631B"/>
  </w:style>
  <w:style w:type="numbering" w:customStyle="1" w:styleId="WWNum64103">
    <w:name w:val="WWNum64103"/>
    <w:basedOn w:val="NoList"/>
    <w:rsid w:val="00F8631B"/>
  </w:style>
  <w:style w:type="numbering" w:customStyle="1" w:styleId="WWNum65103">
    <w:name w:val="WWNum65103"/>
    <w:basedOn w:val="NoList"/>
    <w:rsid w:val="00F8631B"/>
  </w:style>
  <w:style w:type="numbering" w:customStyle="1" w:styleId="WWNum66103">
    <w:name w:val="WWNum66103"/>
    <w:basedOn w:val="NoList"/>
    <w:rsid w:val="00F8631B"/>
  </w:style>
  <w:style w:type="numbering" w:customStyle="1" w:styleId="WWNum70103">
    <w:name w:val="WWNum70103"/>
    <w:basedOn w:val="NoList"/>
    <w:rsid w:val="00F8631B"/>
  </w:style>
  <w:style w:type="numbering" w:customStyle="1" w:styleId="WWNum73103">
    <w:name w:val="WWNum73103"/>
    <w:basedOn w:val="NoList"/>
    <w:rsid w:val="00F8631B"/>
  </w:style>
  <w:style w:type="numbering" w:customStyle="1" w:styleId="WWNum74103">
    <w:name w:val="WWNum74103"/>
    <w:basedOn w:val="NoList"/>
    <w:rsid w:val="00F8631B"/>
  </w:style>
  <w:style w:type="numbering" w:customStyle="1" w:styleId="WWNum75103">
    <w:name w:val="WWNum75103"/>
    <w:basedOn w:val="NoList"/>
    <w:rsid w:val="00F8631B"/>
  </w:style>
  <w:style w:type="numbering" w:customStyle="1" w:styleId="WWNum76143">
    <w:name w:val="WWNum76143"/>
    <w:basedOn w:val="NoList"/>
    <w:rsid w:val="00F8631B"/>
  </w:style>
  <w:style w:type="numbering" w:customStyle="1" w:styleId="WWNum7783">
    <w:name w:val="WWNum7783"/>
    <w:basedOn w:val="NoList"/>
    <w:rsid w:val="00F8631B"/>
  </w:style>
  <w:style w:type="numbering" w:customStyle="1" w:styleId="WWNum78103">
    <w:name w:val="WWNum78103"/>
    <w:basedOn w:val="NoList"/>
    <w:rsid w:val="00F8631B"/>
  </w:style>
  <w:style w:type="table" w:customStyle="1" w:styleId="LightList-Accent6373">
    <w:name w:val="Light List - Accent 6373"/>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111173">
    <w:name w:val="1 / 1.1 / 1.1.173"/>
    <w:basedOn w:val="NoList"/>
    <w:next w:val="111111"/>
    <w:rsid w:val="00F8631B"/>
  </w:style>
  <w:style w:type="table" w:customStyle="1" w:styleId="LightList-Accent660">
    <w:name w:val="Light List - Accent 660"/>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0">
    <w:name w:val="Light List - Accent 6130"/>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25">
    <w:name w:val="Light List - Accent 6225"/>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25">
    <w:name w:val="Light List - Accent 61125"/>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17">
    <w:name w:val="Light List - Accent 6317"/>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15">
    <w:name w:val="Light List - Accent 61215"/>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16">
    <w:name w:val="Light List - Accent 6416"/>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10">
    <w:name w:val="Light List - Accent 61310"/>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510">
    <w:name w:val="Light List - Accent 6510"/>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10">
    <w:name w:val="Light List - Accent 6610"/>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10">
    <w:name w:val="Light List - Accent 61410"/>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10">
    <w:name w:val="Light List - Accent 6710"/>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810">
    <w:name w:val="Light List - Accent 6810"/>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111114">
    <w:name w:val="1 / 1.1 / 1.1.114"/>
    <w:basedOn w:val="NoList"/>
    <w:next w:val="111111"/>
    <w:rsid w:val="00F8631B"/>
  </w:style>
  <w:style w:type="table" w:customStyle="1" w:styleId="LightList-Accent61510">
    <w:name w:val="Light List - Accent 61510"/>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15">
    <w:name w:val="Light List - Accent 62115"/>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15">
    <w:name w:val="Light List - Accent 611115"/>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16">
    <w:name w:val="Light List - Accent 62116"/>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16">
    <w:name w:val="Light List - Accent 611116"/>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18">
    <w:name w:val="Light List - Accent 6318"/>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16">
    <w:name w:val="Light List - Accent 61216"/>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17">
    <w:name w:val="Light List - Accent 6417"/>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15">
    <w:name w:val="Light List - Accent 61315"/>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515">
    <w:name w:val="Light List - Accent 6515"/>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15">
    <w:name w:val="Light List - Accent 6615"/>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15">
    <w:name w:val="Light List - Accent 61415"/>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15">
    <w:name w:val="Light List - Accent 6715"/>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815">
    <w:name w:val="Light List - Accent 6815"/>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99">
    <w:name w:val="Light List - Accent 699"/>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09">
    <w:name w:val="Light List - Accent 6109"/>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1059">
    <w:name w:val="WWNum1059"/>
    <w:basedOn w:val="NoList"/>
    <w:rsid w:val="00F8631B"/>
  </w:style>
  <w:style w:type="table" w:customStyle="1" w:styleId="LightList-Accent61515">
    <w:name w:val="Light List - Accent 61515"/>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65">
    <w:name w:val="Light List - Accent 6165"/>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75">
    <w:name w:val="Light List - Accent 6175"/>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26">
    <w:name w:val="Light List - Accent 6226"/>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26">
    <w:name w:val="Light List - Accent 61126"/>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25">
    <w:name w:val="Light List - Accent 62125"/>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25">
    <w:name w:val="Light List - Accent 611125"/>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25">
    <w:name w:val="Light List - Accent 6325"/>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25">
    <w:name w:val="Light List - Accent 61225"/>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25">
    <w:name w:val="Light List - Accent 6425"/>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25">
    <w:name w:val="Light List - Accent 61325"/>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525">
    <w:name w:val="Light List - Accent 6525"/>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25">
    <w:name w:val="Light List - Accent 6625"/>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25">
    <w:name w:val="Light List - Accent 61425"/>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25">
    <w:name w:val="Light List - Accent 6725"/>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825">
    <w:name w:val="Light List - Accent 6825"/>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915">
    <w:name w:val="Light List - Accent 6915"/>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015">
    <w:name w:val="Light List - Accent 61015"/>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525">
    <w:name w:val="Light List - Accent 61525"/>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85">
    <w:name w:val="Light List - Accent 6185"/>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95">
    <w:name w:val="Light List - Accent 6195"/>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35">
    <w:name w:val="Light List - Accent 6235"/>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35">
    <w:name w:val="Light List - Accent 61135"/>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35">
    <w:name w:val="Light List - Accent 62135"/>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35">
    <w:name w:val="Light List - Accent 611135"/>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35">
    <w:name w:val="Light List - Accent 6335"/>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35">
    <w:name w:val="Light List - Accent 61235"/>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35">
    <w:name w:val="Light List - Accent 6435"/>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35">
    <w:name w:val="Light List - Accent 61335"/>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535">
    <w:name w:val="Light List - Accent 6535"/>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35">
    <w:name w:val="Light List - Accent 6635"/>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35">
    <w:name w:val="Light List - Accent 61435"/>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35">
    <w:name w:val="Light List - Accent 6735"/>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835">
    <w:name w:val="Light List - Accent 6835"/>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925">
    <w:name w:val="Light List - Accent 6925"/>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025">
    <w:name w:val="Light List - Accent 61025"/>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535">
    <w:name w:val="Light List - Accent 61535"/>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04">
    <w:name w:val="Light List - Accent 620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04">
    <w:name w:val="Light List - Accent 6110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44">
    <w:name w:val="Light List - Accent 624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44">
    <w:name w:val="Light List - Accent 6114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44">
    <w:name w:val="Light List - Accent 634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44">
    <w:name w:val="Light List - Accent 6124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44">
    <w:name w:val="Light List - Accent 644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44">
    <w:name w:val="Light List - Accent 6134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544">
    <w:name w:val="Light List - Accent 654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44">
    <w:name w:val="Light List - Accent 664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44">
    <w:name w:val="Light List - Accent 6144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44">
    <w:name w:val="Light List - Accent 674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844">
    <w:name w:val="Light List - Accent 684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544">
    <w:name w:val="Light List - Accent 6154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44">
    <w:name w:val="Light List - Accent 6214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44">
    <w:name w:val="Light List - Accent 61114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114">
    <w:name w:val="Light List - Accent 62111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114">
    <w:name w:val="Light List - Accent 611111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114">
    <w:name w:val="Light List - Accent 6311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114">
    <w:name w:val="Light List - Accent 61211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114">
    <w:name w:val="Light List - Accent 6411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114">
    <w:name w:val="Light List - Accent 61311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5114">
    <w:name w:val="Light List - Accent 6511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114">
    <w:name w:val="Light List - Accent 6611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114">
    <w:name w:val="Light List - Accent 61411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114">
    <w:name w:val="Light List - Accent 6711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8114">
    <w:name w:val="Light List - Accent 6811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934">
    <w:name w:val="Light List - Accent 693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034">
    <w:name w:val="Light List - Accent 6103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5114">
    <w:name w:val="Light List - Accent 61511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614">
    <w:name w:val="Light List - Accent 6161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714">
    <w:name w:val="Light List - Accent 6171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214">
    <w:name w:val="Light List - Accent 6221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214">
    <w:name w:val="Light List - Accent 61121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214">
    <w:name w:val="Light List - Accent 62121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214">
    <w:name w:val="Light List - Accent 611121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214">
    <w:name w:val="Light List - Accent 6321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214">
    <w:name w:val="Light List - Accent 61221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214">
    <w:name w:val="Light List - Accent 6421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214">
    <w:name w:val="Light List - Accent 61321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5214">
    <w:name w:val="Light List - Accent 6521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214">
    <w:name w:val="Light List - Accent 6621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214">
    <w:name w:val="Light List - Accent 61421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214">
    <w:name w:val="Light List - Accent 6721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8214">
    <w:name w:val="Light List - Accent 6821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9114">
    <w:name w:val="Light List - Accent 6911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0114">
    <w:name w:val="Light List - Accent 61011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5214">
    <w:name w:val="Light List - Accent 61521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814">
    <w:name w:val="Light List - Accent 6181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914">
    <w:name w:val="Light List - Accent 6191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314">
    <w:name w:val="Light List - Accent 6231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314">
    <w:name w:val="Light List - Accent 61131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314">
    <w:name w:val="Light List - Accent 62131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314">
    <w:name w:val="Light List - Accent 611131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314">
    <w:name w:val="Light List - Accent 6331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314">
    <w:name w:val="Light List - Accent 61231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314">
    <w:name w:val="Light List - Accent 6431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314">
    <w:name w:val="Light List - Accent 61331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5314">
    <w:name w:val="Light List - Accent 6531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314">
    <w:name w:val="Light List - Accent 6631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314">
    <w:name w:val="Light List - Accent 61431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314">
    <w:name w:val="Light List - Accent 6731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8314">
    <w:name w:val="Light List - Accent 6831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9214">
    <w:name w:val="Light List - Accent 6921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0214">
    <w:name w:val="Light List - Accent 61021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5314">
    <w:name w:val="Light List - Accent 61531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54">
    <w:name w:val="Light List - Accent 625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54">
    <w:name w:val="Light List - Accent 6115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64">
    <w:name w:val="Light List - Accent 626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64">
    <w:name w:val="Light List - Accent 6116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54">
    <w:name w:val="Light List - Accent 6215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54">
    <w:name w:val="Light List - Accent 61115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54">
    <w:name w:val="Light List - Accent 635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54">
    <w:name w:val="Light List - Accent 6125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54">
    <w:name w:val="Light List - Accent 645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54">
    <w:name w:val="Light List - Accent 6135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554">
    <w:name w:val="Light List - Accent 655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54">
    <w:name w:val="Light List - Accent 665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54">
    <w:name w:val="Light List - Accent 6145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54">
    <w:name w:val="Light List - Accent 675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4944">
    <w:name w:val="WWNum4944"/>
    <w:basedOn w:val="NoList"/>
    <w:rsid w:val="00F8631B"/>
  </w:style>
  <w:style w:type="numbering" w:customStyle="1" w:styleId="WWNum36245">
    <w:name w:val="WWNum36245"/>
    <w:basedOn w:val="NoList"/>
    <w:rsid w:val="00F8631B"/>
  </w:style>
  <w:style w:type="numbering" w:customStyle="1" w:styleId="WWNum39244">
    <w:name w:val="WWNum39244"/>
    <w:basedOn w:val="NoList"/>
    <w:rsid w:val="00F8631B"/>
  </w:style>
  <w:style w:type="numbering" w:customStyle="1" w:styleId="WWNum77245">
    <w:name w:val="WWNum77245"/>
    <w:basedOn w:val="NoList"/>
    <w:rsid w:val="00F8631B"/>
  </w:style>
  <w:style w:type="table" w:customStyle="1" w:styleId="LightList-Accent6854">
    <w:name w:val="Light List - Accent 685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944">
    <w:name w:val="Light List - Accent 694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044">
    <w:name w:val="Light List - Accent 6104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554">
    <w:name w:val="Light List - Accent 6155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6584">
    <w:name w:val="WWNum6584"/>
    <w:basedOn w:val="NoList"/>
    <w:rsid w:val="00F8631B"/>
  </w:style>
  <w:style w:type="numbering" w:customStyle="1" w:styleId="WWNum6685">
    <w:name w:val="WWNum6685"/>
    <w:basedOn w:val="NoList"/>
    <w:rsid w:val="00F8631B"/>
  </w:style>
  <w:style w:type="table" w:customStyle="1" w:styleId="LightList-Accent6274">
    <w:name w:val="Light List - Accent 627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111144">
    <w:name w:val="1 / 1.1 / 1.1.144"/>
    <w:basedOn w:val="NoList"/>
    <w:next w:val="111111"/>
    <w:rsid w:val="00F8631B"/>
  </w:style>
  <w:style w:type="table" w:customStyle="1" w:styleId="LightList-Accent6284">
    <w:name w:val="Light List - Accent 628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74">
    <w:name w:val="Light List - Accent 6117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94">
    <w:name w:val="Light List - Accent 629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84">
    <w:name w:val="Light List - Accent 6118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64">
    <w:name w:val="Light List - Accent 6216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64">
    <w:name w:val="Light List - Accent 61116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64">
    <w:name w:val="Light List - Accent 636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64">
    <w:name w:val="Light List - Accent 6126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64">
    <w:name w:val="Light List - Accent 646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64">
    <w:name w:val="Light List - Accent 6136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564">
    <w:name w:val="Light List - Accent 656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64">
    <w:name w:val="Light List - Accent 666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64">
    <w:name w:val="Light List - Accent 61464"/>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64">
    <w:name w:val="Light List - Accent 676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11254">
    <w:name w:val="WWNum11254"/>
    <w:basedOn w:val="NoList"/>
    <w:rsid w:val="00F8631B"/>
    <w:pPr>
      <w:numPr>
        <w:numId w:val="133"/>
      </w:numPr>
    </w:pPr>
  </w:style>
  <w:style w:type="numbering" w:customStyle="1" w:styleId="WWNum76354">
    <w:name w:val="WWNum76354"/>
    <w:basedOn w:val="NoList"/>
    <w:rsid w:val="00F8631B"/>
    <w:pPr>
      <w:numPr>
        <w:numId w:val="124"/>
      </w:numPr>
    </w:pPr>
  </w:style>
  <w:style w:type="table" w:customStyle="1" w:styleId="LightList-Accent6864">
    <w:name w:val="Light List - Accent 686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954">
    <w:name w:val="Light List - Accent 695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054">
    <w:name w:val="Light List - Accent 6105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41354">
    <w:name w:val="WWNum41354"/>
    <w:basedOn w:val="NoList"/>
    <w:rsid w:val="00F8631B"/>
    <w:pPr>
      <w:numPr>
        <w:numId w:val="50"/>
      </w:numPr>
    </w:pPr>
  </w:style>
  <w:style w:type="numbering" w:customStyle="1" w:styleId="WWNum77354">
    <w:name w:val="WWNum77354"/>
    <w:basedOn w:val="NoList"/>
    <w:rsid w:val="00F8631B"/>
    <w:pPr>
      <w:numPr>
        <w:numId w:val="71"/>
      </w:numPr>
    </w:pPr>
  </w:style>
  <w:style w:type="table" w:customStyle="1" w:styleId="LightList-Accent61564">
    <w:name w:val="Light List - Accent 6156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04">
    <w:name w:val="Light List - Accent 630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WWNum1404">
    <w:name w:val="WWNum1404"/>
    <w:basedOn w:val="NoList"/>
    <w:rsid w:val="00F8631B"/>
    <w:pPr>
      <w:numPr>
        <w:numId w:val="41"/>
      </w:numPr>
    </w:pPr>
  </w:style>
  <w:style w:type="numbering" w:customStyle="1" w:styleId="WWNum6164">
    <w:name w:val="WWNum6164"/>
    <w:basedOn w:val="NoList"/>
    <w:rsid w:val="00F8631B"/>
    <w:pPr>
      <w:numPr>
        <w:numId w:val="110"/>
      </w:numPr>
    </w:pPr>
  </w:style>
  <w:style w:type="numbering" w:customStyle="1" w:styleId="WWNum8104">
    <w:name w:val="WWNum8104"/>
    <w:basedOn w:val="NoList"/>
    <w:rsid w:val="00F8631B"/>
    <w:pPr>
      <w:numPr>
        <w:numId w:val="40"/>
      </w:numPr>
    </w:pPr>
  </w:style>
  <w:style w:type="numbering" w:customStyle="1" w:styleId="WWNum9104">
    <w:name w:val="WWNum9104"/>
    <w:basedOn w:val="NoList"/>
    <w:rsid w:val="00F8631B"/>
    <w:pPr>
      <w:numPr>
        <w:numId w:val="38"/>
      </w:numPr>
    </w:pPr>
  </w:style>
  <w:style w:type="numbering" w:customStyle="1" w:styleId="WWNum14104">
    <w:name w:val="WWNum14104"/>
    <w:basedOn w:val="NoList"/>
    <w:rsid w:val="00F8631B"/>
    <w:pPr>
      <w:numPr>
        <w:numId w:val="43"/>
      </w:numPr>
    </w:pPr>
  </w:style>
  <w:style w:type="numbering" w:customStyle="1" w:styleId="WWNum21104">
    <w:name w:val="WWNum21104"/>
    <w:basedOn w:val="NoList"/>
    <w:rsid w:val="00F8631B"/>
    <w:pPr>
      <w:numPr>
        <w:numId w:val="42"/>
      </w:numPr>
    </w:pPr>
  </w:style>
  <w:style w:type="numbering" w:customStyle="1" w:styleId="WWNum31104">
    <w:name w:val="WWNum31104"/>
    <w:basedOn w:val="NoList"/>
    <w:rsid w:val="00F8631B"/>
    <w:pPr>
      <w:numPr>
        <w:numId w:val="19"/>
      </w:numPr>
    </w:pPr>
  </w:style>
  <w:style w:type="numbering" w:customStyle="1" w:styleId="WWNum32104">
    <w:name w:val="WWNum32104"/>
    <w:basedOn w:val="NoList"/>
    <w:rsid w:val="00F8631B"/>
    <w:pPr>
      <w:numPr>
        <w:numId w:val="20"/>
      </w:numPr>
    </w:pPr>
  </w:style>
  <w:style w:type="numbering" w:customStyle="1" w:styleId="WWNum33104">
    <w:name w:val="WWNum33104"/>
    <w:basedOn w:val="NoList"/>
    <w:rsid w:val="00F8631B"/>
    <w:pPr>
      <w:numPr>
        <w:numId w:val="21"/>
      </w:numPr>
    </w:pPr>
  </w:style>
  <w:style w:type="numbering" w:customStyle="1" w:styleId="WWNum34104">
    <w:name w:val="WWNum34104"/>
    <w:basedOn w:val="NoList"/>
    <w:rsid w:val="00F8631B"/>
    <w:pPr>
      <w:numPr>
        <w:numId w:val="22"/>
      </w:numPr>
    </w:pPr>
  </w:style>
  <w:style w:type="numbering" w:customStyle="1" w:styleId="WWNum35104">
    <w:name w:val="WWNum35104"/>
    <w:basedOn w:val="NoList"/>
    <w:rsid w:val="00F8631B"/>
    <w:pPr>
      <w:numPr>
        <w:numId w:val="23"/>
      </w:numPr>
    </w:pPr>
  </w:style>
  <w:style w:type="numbering" w:customStyle="1" w:styleId="WWNum37104">
    <w:name w:val="WWNum37104"/>
    <w:basedOn w:val="NoList"/>
    <w:rsid w:val="00F8631B"/>
    <w:pPr>
      <w:numPr>
        <w:numId w:val="24"/>
      </w:numPr>
    </w:pPr>
  </w:style>
  <w:style w:type="numbering" w:customStyle="1" w:styleId="WWNum38104">
    <w:name w:val="WWNum38104"/>
    <w:basedOn w:val="NoList"/>
    <w:rsid w:val="00F8631B"/>
    <w:pPr>
      <w:numPr>
        <w:numId w:val="25"/>
      </w:numPr>
    </w:pPr>
  </w:style>
  <w:style w:type="numbering" w:customStyle="1" w:styleId="WWNum39104">
    <w:name w:val="WWNum39104"/>
    <w:basedOn w:val="NoList"/>
    <w:rsid w:val="00F8631B"/>
    <w:pPr>
      <w:numPr>
        <w:numId w:val="26"/>
      </w:numPr>
    </w:pPr>
  </w:style>
  <w:style w:type="numbering" w:customStyle="1" w:styleId="WWNum40104">
    <w:name w:val="WWNum40104"/>
    <w:basedOn w:val="NoList"/>
    <w:rsid w:val="00F8631B"/>
    <w:pPr>
      <w:numPr>
        <w:numId w:val="35"/>
      </w:numPr>
    </w:pPr>
  </w:style>
  <w:style w:type="numbering" w:customStyle="1" w:styleId="WWNum41144">
    <w:name w:val="WWNum41144"/>
    <w:basedOn w:val="NoList"/>
    <w:rsid w:val="00F8631B"/>
    <w:pPr>
      <w:numPr>
        <w:numId w:val="47"/>
      </w:numPr>
    </w:pPr>
  </w:style>
  <w:style w:type="numbering" w:customStyle="1" w:styleId="WWNum42104">
    <w:name w:val="WWNum42104"/>
    <w:basedOn w:val="NoList"/>
    <w:rsid w:val="00F8631B"/>
    <w:pPr>
      <w:numPr>
        <w:numId w:val="27"/>
      </w:numPr>
    </w:pPr>
  </w:style>
  <w:style w:type="numbering" w:customStyle="1" w:styleId="WWNum43104">
    <w:name w:val="WWNum43104"/>
    <w:basedOn w:val="NoList"/>
    <w:rsid w:val="00F8631B"/>
    <w:pPr>
      <w:numPr>
        <w:numId w:val="28"/>
      </w:numPr>
    </w:pPr>
  </w:style>
  <w:style w:type="numbering" w:customStyle="1" w:styleId="WWNum44104">
    <w:name w:val="WWNum44104"/>
    <w:basedOn w:val="NoList"/>
    <w:rsid w:val="00F8631B"/>
    <w:pPr>
      <w:numPr>
        <w:numId w:val="29"/>
      </w:numPr>
    </w:pPr>
  </w:style>
  <w:style w:type="numbering" w:customStyle="1" w:styleId="WWNum45104">
    <w:name w:val="WWNum45104"/>
    <w:basedOn w:val="NoList"/>
    <w:rsid w:val="00F8631B"/>
    <w:pPr>
      <w:numPr>
        <w:numId w:val="30"/>
      </w:numPr>
    </w:pPr>
  </w:style>
  <w:style w:type="numbering" w:customStyle="1" w:styleId="WWNum46104">
    <w:name w:val="WWNum46104"/>
    <w:basedOn w:val="NoList"/>
    <w:rsid w:val="00F8631B"/>
    <w:pPr>
      <w:numPr>
        <w:numId w:val="31"/>
      </w:numPr>
    </w:pPr>
  </w:style>
  <w:style w:type="numbering" w:customStyle="1" w:styleId="WWNum47104">
    <w:name w:val="WWNum47104"/>
    <w:basedOn w:val="NoList"/>
    <w:rsid w:val="00F8631B"/>
    <w:pPr>
      <w:numPr>
        <w:numId w:val="32"/>
      </w:numPr>
    </w:pPr>
  </w:style>
  <w:style w:type="numbering" w:customStyle="1" w:styleId="WWNum51104">
    <w:name w:val="WWNum51104"/>
    <w:basedOn w:val="NoList"/>
    <w:rsid w:val="00F8631B"/>
    <w:pPr>
      <w:numPr>
        <w:numId w:val="33"/>
      </w:numPr>
    </w:pPr>
  </w:style>
  <w:style w:type="numbering" w:customStyle="1" w:styleId="WWNum52104">
    <w:name w:val="WWNum52104"/>
    <w:basedOn w:val="NoList"/>
    <w:rsid w:val="00F8631B"/>
    <w:pPr>
      <w:numPr>
        <w:numId w:val="44"/>
      </w:numPr>
    </w:pPr>
  </w:style>
  <w:style w:type="numbering" w:customStyle="1" w:styleId="WWNum54104">
    <w:name w:val="WWNum54104"/>
    <w:basedOn w:val="NoList"/>
    <w:rsid w:val="00F8631B"/>
    <w:pPr>
      <w:numPr>
        <w:numId w:val="107"/>
      </w:numPr>
    </w:pPr>
  </w:style>
  <w:style w:type="numbering" w:customStyle="1" w:styleId="WWNum55104">
    <w:name w:val="WWNum55104"/>
    <w:basedOn w:val="NoList"/>
    <w:rsid w:val="00F8631B"/>
    <w:pPr>
      <w:numPr>
        <w:numId w:val="39"/>
      </w:numPr>
    </w:pPr>
  </w:style>
  <w:style w:type="numbering" w:customStyle="1" w:styleId="WWNum57104">
    <w:name w:val="WWNum57104"/>
    <w:basedOn w:val="NoList"/>
    <w:rsid w:val="00F8631B"/>
    <w:pPr>
      <w:numPr>
        <w:numId w:val="109"/>
      </w:numPr>
    </w:pPr>
  </w:style>
  <w:style w:type="numbering" w:customStyle="1" w:styleId="WWNum58104">
    <w:name w:val="WWNum58104"/>
    <w:basedOn w:val="NoList"/>
    <w:rsid w:val="00F8631B"/>
    <w:pPr>
      <w:numPr>
        <w:numId w:val="37"/>
      </w:numPr>
    </w:pPr>
  </w:style>
  <w:style w:type="numbering" w:customStyle="1" w:styleId="WWNum64104">
    <w:name w:val="WWNum64104"/>
    <w:basedOn w:val="NoList"/>
    <w:rsid w:val="00F8631B"/>
    <w:pPr>
      <w:numPr>
        <w:numId w:val="34"/>
      </w:numPr>
    </w:pPr>
  </w:style>
  <w:style w:type="numbering" w:customStyle="1" w:styleId="WWNum65104">
    <w:name w:val="WWNum65104"/>
    <w:basedOn w:val="NoList"/>
    <w:rsid w:val="00F8631B"/>
    <w:pPr>
      <w:numPr>
        <w:numId w:val="111"/>
      </w:numPr>
    </w:pPr>
  </w:style>
  <w:style w:type="numbering" w:customStyle="1" w:styleId="WWNum66104">
    <w:name w:val="WWNum66104"/>
    <w:basedOn w:val="NoList"/>
    <w:rsid w:val="00F8631B"/>
    <w:pPr>
      <w:numPr>
        <w:numId w:val="123"/>
      </w:numPr>
    </w:pPr>
  </w:style>
  <w:style w:type="numbering" w:customStyle="1" w:styleId="WWNum70104">
    <w:name w:val="WWNum70104"/>
    <w:basedOn w:val="NoList"/>
    <w:rsid w:val="00F8631B"/>
    <w:pPr>
      <w:numPr>
        <w:numId w:val="132"/>
      </w:numPr>
    </w:pPr>
  </w:style>
  <w:style w:type="numbering" w:customStyle="1" w:styleId="WWNum73104">
    <w:name w:val="WWNum73104"/>
    <w:basedOn w:val="NoList"/>
    <w:rsid w:val="00F8631B"/>
    <w:pPr>
      <w:numPr>
        <w:numId w:val="131"/>
      </w:numPr>
    </w:pPr>
  </w:style>
  <w:style w:type="numbering" w:customStyle="1" w:styleId="WWNum74104">
    <w:name w:val="WWNum74104"/>
    <w:basedOn w:val="NoList"/>
    <w:rsid w:val="00F8631B"/>
    <w:pPr>
      <w:numPr>
        <w:numId w:val="125"/>
      </w:numPr>
    </w:pPr>
  </w:style>
  <w:style w:type="numbering" w:customStyle="1" w:styleId="WWNum75104">
    <w:name w:val="WWNum75104"/>
    <w:basedOn w:val="NoList"/>
    <w:rsid w:val="00F8631B"/>
    <w:pPr>
      <w:numPr>
        <w:numId w:val="65"/>
      </w:numPr>
    </w:pPr>
  </w:style>
  <w:style w:type="numbering" w:customStyle="1" w:styleId="WWNum76144">
    <w:name w:val="WWNum76144"/>
    <w:basedOn w:val="NoList"/>
    <w:rsid w:val="00F8631B"/>
    <w:pPr>
      <w:numPr>
        <w:numId w:val="108"/>
      </w:numPr>
    </w:pPr>
  </w:style>
  <w:style w:type="numbering" w:customStyle="1" w:styleId="WWNum7784">
    <w:name w:val="WWNum7784"/>
    <w:basedOn w:val="NoList"/>
    <w:rsid w:val="00F8631B"/>
    <w:pPr>
      <w:numPr>
        <w:numId w:val="48"/>
      </w:numPr>
    </w:pPr>
  </w:style>
  <w:style w:type="numbering" w:customStyle="1" w:styleId="WWNum78104">
    <w:name w:val="WWNum78104"/>
    <w:basedOn w:val="NoList"/>
    <w:rsid w:val="00F8631B"/>
    <w:pPr>
      <w:numPr>
        <w:numId w:val="36"/>
      </w:numPr>
    </w:pPr>
  </w:style>
  <w:style w:type="table" w:customStyle="1" w:styleId="LightList-Accent6374">
    <w:name w:val="Light List - Accent 6374"/>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111174">
    <w:name w:val="1 / 1.1 / 1.1.174"/>
    <w:basedOn w:val="NoList"/>
    <w:next w:val="111111"/>
    <w:rsid w:val="00F8631B"/>
    <w:pPr>
      <w:numPr>
        <w:numId w:val="49"/>
      </w:numPr>
    </w:pPr>
  </w:style>
  <w:style w:type="table" w:customStyle="1" w:styleId="LightList-Accent670">
    <w:name w:val="Light List - Accent 670"/>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0">
    <w:name w:val="Light List - Accent 6140"/>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27">
    <w:name w:val="Light List - Accent 6227"/>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27">
    <w:name w:val="Light List - Accent 61127"/>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19">
    <w:name w:val="Light List - Accent 6319"/>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17">
    <w:name w:val="Light List - Accent 61217"/>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18">
    <w:name w:val="Light List - Accent 6418"/>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16">
    <w:name w:val="Light List - Accent 61316"/>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516">
    <w:name w:val="Light List - Accent 6516"/>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16">
    <w:name w:val="Light List - Accent 6616"/>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16">
    <w:name w:val="Light List - Accent 61416"/>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16">
    <w:name w:val="Light List - Accent 6716"/>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816">
    <w:name w:val="Light List - Accent 6816"/>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11111115">
    <w:name w:val="1 / 1.1 / 1.1.115"/>
    <w:basedOn w:val="NoList"/>
    <w:next w:val="111111"/>
    <w:rsid w:val="00F8631B"/>
    <w:pPr>
      <w:numPr>
        <w:numId w:val="126"/>
      </w:numPr>
    </w:pPr>
  </w:style>
  <w:style w:type="table" w:customStyle="1" w:styleId="LightList-Accent61516">
    <w:name w:val="Light List - Accent 61516"/>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17">
    <w:name w:val="Light List - Accent 62117"/>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17">
    <w:name w:val="Light List - Accent 611117"/>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18">
    <w:name w:val="Light List - Accent 62118"/>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18">
    <w:name w:val="Light List - Accent 611118"/>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110">
    <w:name w:val="Light List - Accent 63110"/>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18">
    <w:name w:val="Light List - Accent 61218"/>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19">
    <w:name w:val="Light List - Accent 6419"/>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17">
    <w:name w:val="Light List - Accent 61317"/>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517">
    <w:name w:val="Light List - Accent 6517"/>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17">
    <w:name w:val="Light List - Accent 6617"/>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17">
    <w:name w:val="Light List - Accent 61417"/>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17">
    <w:name w:val="Light List - Accent 6717"/>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817">
    <w:name w:val="Light List - Accent 6817"/>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910">
    <w:name w:val="Light List - Accent 6910"/>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010">
    <w:name w:val="Light List - Accent 61010"/>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517">
    <w:name w:val="Light List - Accent 61517"/>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66">
    <w:name w:val="Light List - Accent 6166"/>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76">
    <w:name w:val="Light List - Accent 6176"/>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28">
    <w:name w:val="Light List - Accent 6228"/>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28">
    <w:name w:val="Light List - Accent 61128"/>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26">
    <w:name w:val="Light List - Accent 62126"/>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26">
    <w:name w:val="Light List - Accent 611126"/>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26">
    <w:name w:val="Light List - Accent 6326"/>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26">
    <w:name w:val="Light List - Accent 61226"/>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26">
    <w:name w:val="Light List - Accent 6426"/>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26">
    <w:name w:val="Light List - Accent 61326"/>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526">
    <w:name w:val="Light List - Accent 6526"/>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26">
    <w:name w:val="Light List - Accent 6626"/>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26">
    <w:name w:val="Light List - Accent 61426"/>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26">
    <w:name w:val="Light List - Accent 6726"/>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826">
    <w:name w:val="Light List - Accent 6826"/>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916">
    <w:name w:val="Light List - Accent 6916"/>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016">
    <w:name w:val="Light List - Accent 61016"/>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526">
    <w:name w:val="Light List - Accent 61526"/>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86">
    <w:name w:val="Light List - Accent 6186"/>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96">
    <w:name w:val="Light List - Accent 6196"/>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36">
    <w:name w:val="Light List - Accent 6236"/>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36">
    <w:name w:val="Light List - Accent 61136"/>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136">
    <w:name w:val="Light List - Accent 62136"/>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136">
    <w:name w:val="Light List - Accent 611136"/>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336">
    <w:name w:val="Light List - Accent 6336"/>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236">
    <w:name w:val="Light List - Accent 61236"/>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436">
    <w:name w:val="Light List - Accent 6436"/>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336">
    <w:name w:val="Light List - Accent 61336"/>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536">
    <w:name w:val="Light List - Accent 6536"/>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636">
    <w:name w:val="Light List - Accent 6636"/>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436">
    <w:name w:val="Light List - Accent 61436"/>
    <w:basedOn w:val="TableNormal"/>
    <w:next w:val="LightList-Accent6"/>
    <w:uiPriority w:val="61"/>
    <w:rsid w:val="00F8631B"/>
    <w:pPr>
      <w:spacing w:after="0" w:line="240" w:lineRule="auto"/>
    </w:pPr>
    <w:rPr>
      <w:rFonts w:ascii="Calibri" w:eastAsia="Times New Roman"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736">
    <w:name w:val="Light List - Accent 6736"/>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836">
    <w:name w:val="Light List - Accent 6836"/>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926">
    <w:name w:val="Light List - Accent 6926"/>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026">
    <w:name w:val="Light List - Accent 61026"/>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536">
    <w:name w:val="Light List - Accent 61536"/>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205">
    <w:name w:val="Light List - Accent 6205"/>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List-Accent61105">
    <w:name w:val="Light List - Accent 61105"/>
    <w:basedOn w:val="TableNormal"/>
    <w:next w:val="LightList-Accent6"/>
    <w:uiPriority w:val="61"/>
    <w:rsid w:val="00F8631B"/>
    <w:pPr>
      <w:spacing w:after="0" w:line="240" w:lineRule="auto"/>
    </w:pPr>
    <w:rPr>
      <w:rFonts w:ascii="Calibri" w:eastAsia="Calibri" w:hAnsi="Calibri" w:cs="Times New Roman"/>
      <w:kern w:val="0"/>
      <w:sz w:val="20"/>
      <w:szCs w:val="20"/>
      <w:lang w:val="en-IN" w:eastAsia="en-IN"/>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53765">
      <w:bodyDiv w:val="1"/>
      <w:marLeft w:val="0"/>
      <w:marRight w:val="0"/>
      <w:marTop w:val="0"/>
      <w:marBottom w:val="0"/>
      <w:divBdr>
        <w:top w:val="none" w:sz="0" w:space="0" w:color="auto"/>
        <w:left w:val="none" w:sz="0" w:space="0" w:color="auto"/>
        <w:bottom w:val="none" w:sz="0" w:space="0" w:color="auto"/>
        <w:right w:val="none" w:sz="0" w:space="0" w:color="auto"/>
      </w:divBdr>
    </w:div>
    <w:div w:id="88935857">
      <w:bodyDiv w:val="1"/>
      <w:marLeft w:val="0"/>
      <w:marRight w:val="0"/>
      <w:marTop w:val="0"/>
      <w:marBottom w:val="0"/>
      <w:divBdr>
        <w:top w:val="none" w:sz="0" w:space="0" w:color="auto"/>
        <w:left w:val="none" w:sz="0" w:space="0" w:color="auto"/>
        <w:bottom w:val="none" w:sz="0" w:space="0" w:color="auto"/>
        <w:right w:val="none" w:sz="0" w:space="0" w:color="auto"/>
      </w:divBdr>
    </w:div>
    <w:div w:id="1888953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info@jjipoadvisors.com" TargetMode="External"/><Relationship Id="rId21" Type="http://schemas.openxmlformats.org/officeDocument/2006/relationships/hyperlink" Target="http://www.mindspright.co.in" TargetMode="External"/><Relationship Id="rId42" Type="http://schemas.openxmlformats.org/officeDocument/2006/relationships/image" Target="media/image4.PNG"/><Relationship Id="rId47" Type="http://schemas.openxmlformats.org/officeDocument/2006/relationships/image" Target="media/image9.png"/><Relationship Id="rId63" Type="http://schemas.openxmlformats.org/officeDocument/2006/relationships/hyperlink" Target="https://ibm.gov.in/writereaddata/files/07072014112340marketsurvey_copper.pdf" TargetMode="External"/><Relationship Id="rId68" Type="http://schemas.openxmlformats.org/officeDocument/2006/relationships/image" Target="media/image19.jpeg"/><Relationship Id="rId84" Type="http://schemas.openxmlformats.org/officeDocument/2006/relationships/footer" Target="footer2.xml"/><Relationship Id="rId89" Type="http://schemas.openxmlformats.org/officeDocument/2006/relationships/hyperlink" Target="http://www.siyaramindustries.co.in" TargetMode="External"/><Relationship Id="rId16" Type="http://schemas.openxmlformats.org/officeDocument/2006/relationships/hyperlink" Target="mailto:cs@siyaramindustries.co.in" TargetMode="External"/><Relationship Id="rId107" Type="http://schemas.openxmlformats.org/officeDocument/2006/relationships/fontTable" Target="fontTable.xml"/><Relationship Id="rId11" Type="http://schemas.openxmlformats.org/officeDocument/2006/relationships/hyperlink" Target="mailto:info@siyaramimpex.com" TargetMode="External"/><Relationship Id="rId32" Type="http://schemas.openxmlformats.org/officeDocument/2006/relationships/hyperlink" Target="https://www.sebi.gov.in/sebiweb/other/OtherAction.do?doRecognisedFpi=yes&amp;intmId=10" TargetMode="External"/><Relationship Id="rId37" Type="http://schemas.openxmlformats.org/officeDocument/2006/relationships/hyperlink" Target="http://www.mca.gov.in" TargetMode="External"/><Relationship Id="rId53" Type="http://schemas.openxmlformats.org/officeDocument/2006/relationships/image" Target="media/image13.png"/><Relationship Id="rId58" Type="http://schemas.openxmlformats.org/officeDocument/2006/relationships/hyperlink" Target="https://mines.gov.in/writereaddata/UploadFile/NFMScrapRecyclingFramework3.pdf" TargetMode="External"/><Relationship Id="rId74" Type="http://schemas.openxmlformats.org/officeDocument/2006/relationships/image" Target="media/image25.jpeg"/><Relationship Id="rId79" Type="http://schemas.openxmlformats.org/officeDocument/2006/relationships/diagramColors" Target="diagrams/colors1.xml"/><Relationship Id="rId102" Type="http://schemas.openxmlformats.org/officeDocument/2006/relationships/hyperlink" Target="http://www.nseindia.com" TargetMode="External"/><Relationship Id="rId5" Type="http://schemas.openxmlformats.org/officeDocument/2006/relationships/webSettings" Target="webSettings.xml"/><Relationship Id="rId90" Type="http://schemas.openxmlformats.org/officeDocument/2006/relationships/hyperlink" Target="http://www.siyaramindustries.co.in" TargetMode="External"/><Relationship Id="rId95" Type="http://schemas.openxmlformats.org/officeDocument/2006/relationships/hyperlink" Target="https://siportal.sebi.gov.in" TargetMode="External"/><Relationship Id="rId22" Type="http://schemas.openxmlformats.org/officeDocument/2006/relationships/hyperlink" Target="mailto:priya@cameoindia.com" TargetMode="External"/><Relationship Id="rId27" Type="http://schemas.openxmlformats.org/officeDocument/2006/relationships/hyperlink" Target="https://www.sebi.gov.in/sebiweb/other/OtherAction.do?doRecognisedFpi=yes&amp;intmId=34" TargetMode="External"/><Relationship Id="rId43" Type="http://schemas.openxmlformats.org/officeDocument/2006/relationships/image" Target="media/image5.png"/><Relationship Id="rId48" Type="http://schemas.openxmlformats.org/officeDocument/2006/relationships/image" Target="media/image10.png"/><Relationship Id="rId64" Type="http://schemas.openxmlformats.org/officeDocument/2006/relationships/hyperlink" Target="https://mines.gov.in/webportal/internationalmineralscenario" TargetMode="External"/><Relationship Id="rId69" Type="http://schemas.openxmlformats.org/officeDocument/2006/relationships/image" Target="media/image20.jpeg"/><Relationship Id="rId80" Type="http://schemas.microsoft.com/office/2007/relationships/diagramDrawing" Target="diagrams/drawing1.xml"/><Relationship Id="rId85" Type="http://schemas.openxmlformats.org/officeDocument/2006/relationships/hyperlink" Target="http://www.siyaramindustries.co.in" TargetMode="External"/><Relationship Id="rId12" Type="http://schemas.openxmlformats.org/officeDocument/2006/relationships/hyperlink" Target="http://www.siyaramindustries.com" TargetMode="External"/><Relationship Id="rId17" Type="http://schemas.openxmlformats.org/officeDocument/2006/relationships/hyperlink" Target="mailto:ib@hemsecurities.com" TargetMode="External"/><Relationship Id="rId33" Type="http://schemas.openxmlformats.org/officeDocument/2006/relationships/hyperlink" Target="https://www.sebi.gov.in/sebiweb/other/OtherAction.do?doRecognisedFpi=yes&amp;intmId=19" TargetMode="External"/><Relationship Id="rId38" Type="http://schemas.openxmlformats.org/officeDocument/2006/relationships/header" Target="header1.xml"/><Relationship Id="rId59" Type="http://schemas.openxmlformats.org/officeDocument/2006/relationships/image" Target="media/image14.png"/><Relationship Id="rId103" Type="http://schemas.openxmlformats.org/officeDocument/2006/relationships/hyperlink" Target="http://www.bseindia.com" TargetMode="External"/><Relationship Id="rId108" Type="http://schemas.openxmlformats.org/officeDocument/2006/relationships/theme" Target="theme/theme1.xml"/><Relationship Id="rId20" Type="http://schemas.openxmlformats.org/officeDocument/2006/relationships/hyperlink" Target="mailto:legal@mindspright.co.in" TargetMode="External"/><Relationship Id="rId41" Type="http://schemas.openxmlformats.org/officeDocument/2006/relationships/image" Target="media/image3.PNG"/><Relationship Id="rId54" Type="http://schemas.openxmlformats.org/officeDocument/2006/relationships/hyperlink" Target="https://www.indiabudget.gov.in/economicsurvey/" TargetMode="External"/><Relationship Id="rId62" Type="http://schemas.openxmlformats.org/officeDocument/2006/relationships/hyperlink" Target="https://mines.gov.in/webportal/copper" TargetMode="External"/><Relationship Id="rId70" Type="http://schemas.openxmlformats.org/officeDocument/2006/relationships/image" Target="media/image21.jpeg"/><Relationship Id="rId75" Type="http://schemas.openxmlformats.org/officeDocument/2006/relationships/image" Target="media/image26.jpeg"/><Relationship Id="rId83" Type="http://schemas.openxmlformats.org/officeDocument/2006/relationships/header" Target="header2.xml"/><Relationship Id="rId88" Type="http://schemas.openxmlformats.org/officeDocument/2006/relationships/hyperlink" Target="https://mines.gov.in/webportal/internationalmineralscenario" TargetMode="External"/><Relationship Id="rId91" Type="http://schemas.openxmlformats.org/officeDocument/2006/relationships/hyperlink" Target="http://www.siyaramindustries.co.in" TargetMode="External"/><Relationship Id="rId96" Type="http://schemas.openxmlformats.org/officeDocument/2006/relationships/hyperlink" Target="http://www.mca.gov.i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fo@siyaramindustries.co.in" TargetMode="External"/><Relationship Id="rId23" Type="http://schemas.openxmlformats.org/officeDocument/2006/relationships/hyperlink" Target="mailto:investor@cameoindia.com" TargetMode="External"/><Relationship Id="rId28" Type="http://schemas.openxmlformats.org/officeDocument/2006/relationships/hyperlink" Target="https://www.sebi.gov.in/sebiweb/other/OtherAction.do?doRecognisedFpi=yes&amp;intmId=35" TargetMode="External"/><Relationship Id="rId36" Type="http://schemas.openxmlformats.org/officeDocument/2006/relationships/hyperlink" Target="https://siportal.sebi.gov.in" TargetMode="External"/><Relationship Id="rId49" Type="http://schemas.openxmlformats.org/officeDocument/2006/relationships/image" Target="media/image11.png"/><Relationship Id="rId57" Type="http://schemas.openxmlformats.org/officeDocument/2006/relationships/hyperlink" Target="https://copper.org/publications/pub_list/pdf/a7034-Brass-Recyclability.pdf" TargetMode="External"/><Relationship Id="rId106" Type="http://schemas.openxmlformats.org/officeDocument/2006/relationships/footer" Target="footer3.xml"/><Relationship Id="rId10" Type="http://schemas.openxmlformats.org/officeDocument/2006/relationships/image" Target="media/image1.jpeg"/><Relationship Id="rId31" Type="http://schemas.openxmlformats.org/officeDocument/2006/relationships/hyperlink" Target="https://www.sebi.gov.in/sebiweb/other/OtherAction.do?doRecognised=yes" TargetMode="External"/><Relationship Id="rId44" Type="http://schemas.openxmlformats.org/officeDocument/2006/relationships/image" Target="media/image6.png"/><Relationship Id="rId52" Type="http://schemas.openxmlformats.org/officeDocument/2006/relationships/hyperlink" Target="https://www.ibef.org/economy/indian-economy-overview" TargetMode="External"/><Relationship Id="rId60" Type="http://schemas.openxmlformats.org/officeDocument/2006/relationships/image" Target="media/image15.png"/><Relationship Id="rId65" Type="http://schemas.openxmlformats.org/officeDocument/2006/relationships/image" Target="media/image16.jpeg"/><Relationship Id="rId73" Type="http://schemas.openxmlformats.org/officeDocument/2006/relationships/image" Target="media/image24.jpeg"/><Relationship Id="rId78" Type="http://schemas.openxmlformats.org/officeDocument/2006/relationships/diagramQuickStyle" Target="diagrams/quickStyle1.xml"/><Relationship Id="rId81" Type="http://schemas.openxmlformats.org/officeDocument/2006/relationships/image" Target="media/image27.jpeg"/><Relationship Id="rId86" Type="http://schemas.openxmlformats.org/officeDocument/2006/relationships/hyperlink" Target="https://mines.gov.in/webportal/copper" TargetMode="External"/><Relationship Id="rId94" Type="http://schemas.openxmlformats.org/officeDocument/2006/relationships/hyperlink" Target="http://www.hesecurities.com" TargetMode="External"/><Relationship Id="rId99" Type="http://schemas.openxmlformats.org/officeDocument/2006/relationships/hyperlink" Target="http://www.bseindia.com" TargetMode="External"/><Relationship Id="rId101" Type="http://schemas.openxmlformats.org/officeDocument/2006/relationships/hyperlink" Target="http://www.bseindia.com" TargetMode="External"/><Relationship Id="rId4" Type="http://schemas.openxmlformats.org/officeDocument/2006/relationships/settings" Target="settings.xml"/><Relationship Id="rId9" Type="http://schemas.openxmlformats.org/officeDocument/2006/relationships/hyperlink" Target="https://mines.gov.in/writereaddata/UploadFile/NFMScrapRecyclingFramework3.pdf" TargetMode="External"/><Relationship Id="rId13" Type="http://schemas.openxmlformats.org/officeDocument/2006/relationships/hyperlink" Target="mailto:roc.ahmedabad@mca.gov.in" TargetMode="External"/><Relationship Id="rId18" Type="http://schemas.openxmlformats.org/officeDocument/2006/relationships/hyperlink" Target="mailto:redressal@hemsecurities.com" TargetMode="External"/><Relationship Id="rId39" Type="http://schemas.openxmlformats.org/officeDocument/2006/relationships/footer" Target="footer1.xml"/><Relationship Id="rId34" Type="http://schemas.openxmlformats.org/officeDocument/2006/relationships/hyperlink" Target="https://www.sebi.gov.in/sebiweb/other/OtherAction.do?doRecognisedFpi=yes&amp;intmId=18" TargetMode="External"/><Relationship Id="rId50" Type="http://schemas.openxmlformats.org/officeDocument/2006/relationships/image" Target="media/image12.png"/><Relationship Id="rId55" Type="http://schemas.openxmlformats.org/officeDocument/2006/relationships/hyperlink" Target="https://www.ibef.org/economy/indian-economy-overview" TargetMode="External"/><Relationship Id="rId76" Type="http://schemas.openxmlformats.org/officeDocument/2006/relationships/diagramData" Target="diagrams/data1.xml"/><Relationship Id="rId97" Type="http://schemas.openxmlformats.org/officeDocument/2006/relationships/hyperlink" Target="http://www.siyaramindustries.co.in" TargetMode="External"/><Relationship Id="rId104" Type="http://schemas.openxmlformats.org/officeDocument/2006/relationships/hyperlink" Target="http://www.nseindia.com" TargetMode="External"/><Relationship Id="rId7" Type="http://schemas.openxmlformats.org/officeDocument/2006/relationships/endnotes" Target="endnotes.xml"/><Relationship Id="rId71" Type="http://schemas.openxmlformats.org/officeDocument/2006/relationships/image" Target="media/image22.jpeg"/><Relationship Id="rId92" Type="http://schemas.openxmlformats.org/officeDocument/2006/relationships/hyperlink" Target="http://www.bseindia.com.&amp;" TargetMode="External"/><Relationship Id="rId2" Type="http://schemas.openxmlformats.org/officeDocument/2006/relationships/numbering" Target="numbering.xml"/><Relationship Id="rId29" Type="http://schemas.openxmlformats.org/officeDocument/2006/relationships/hyperlink" Target="https://www.sebi.gov.in/sebiweb/other/OtherAction.do?doRecognisedFpi=yes&amp;intmId=41" TargetMode="External"/><Relationship Id="rId24" Type="http://schemas.openxmlformats.org/officeDocument/2006/relationships/hyperlink" Target="http://www.cameoindia.com" TargetMode="External"/><Relationship Id="rId40" Type="http://schemas.openxmlformats.org/officeDocument/2006/relationships/image" Target="media/image2.PNG"/><Relationship Id="rId45" Type="http://schemas.openxmlformats.org/officeDocument/2006/relationships/image" Target="media/image7.png"/><Relationship Id="rId66" Type="http://schemas.openxmlformats.org/officeDocument/2006/relationships/image" Target="media/image17.jpeg"/><Relationship Id="rId87" Type="http://schemas.openxmlformats.org/officeDocument/2006/relationships/hyperlink" Target="https://ibm.gov.in/writereaddata/files/07072014112340marketsurvey_copper.pdf" TargetMode="External"/><Relationship Id="rId61" Type="http://schemas.openxmlformats.org/officeDocument/2006/relationships/hyperlink" Target="https://ibm.gov.in/writereaddata/files/01312023160034Foreign%20Trade_2021.pdf" TargetMode="External"/><Relationship Id="rId82" Type="http://schemas.openxmlformats.org/officeDocument/2006/relationships/image" Target="media/image28.jpeg"/><Relationship Id="rId19" Type="http://schemas.openxmlformats.org/officeDocument/2006/relationships/hyperlink" Target="http://www.hemsecurities.com" TargetMode="External"/><Relationship Id="rId14" Type="http://schemas.openxmlformats.org/officeDocument/2006/relationships/hyperlink" Target="http://www.mca.gov.in" TargetMode="External"/><Relationship Id="rId30" Type="http://schemas.openxmlformats.org/officeDocument/2006/relationships/hyperlink" Target="https://www.sebi.gov.in/sebiweb/other/OtherAction.do?doRecognisedFpi=yes&amp;intmId=40" TargetMode="External"/><Relationship Id="rId35" Type="http://schemas.openxmlformats.org/officeDocument/2006/relationships/hyperlink" Target="http://www.sebi.gov.in" TargetMode="External"/><Relationship Id="rId56" Type="http://schemas.openxmlformats.org/officeDocument/2006/relationships/hyperlink" Target="https://mines.gov.in/writereaddata/UploadFile/NFMScrapRecyclingFramework3.pdf" TargetMode="External"/><Relationship Id="rId77" Type="http://schemas.openxmlformats.org/officeDocument/2006/relationships/diagramLayout" Target="diagrams/layout1.xml"/><Relationship Id="rId100" Type="http://schemas.openxmlformats.org/officeDocument/2006/relationships/hyperlink" Target="https://www.sebi.gov.in/sebiweb/other/OtherAction.do?doRecognised=yes" TargetMode="External"/><Relationship Id="rId105" Type="http://schemas.openxmlformats.org/officeDocument/2006/relationships/header" Target="header3.xml"/><Relationship Id="rId8" Type="http://schemas.openxmlformats.org/officeDocument/2006/relationships/hyperlink" Target="http://www.bseindia.com" TargetMode="External"/><Relationship Id="rId51" Type="http://schemas.openxmlformats.org/officeDocument/2006/relationships/hyperlink" Target="https://www.indiabudget.gov.in/economicsurvey/doc/eschapter/echap01.pdf" TargetMode="External"/><Relationship Id="rId72" Type="http://schemas.openxmlformats.org/officeDocument/2006/relationships/image" Target="media/image23.jpeg"/><Relationship Id="rId93" Type="http://schemas.openxmlformats.org/officeDocument/2006/relationships/hyperlink" Target="http://www.nseindia.com" TargetMode="External"/><Relationship Id="rId98" Type="http://schemas.openxmlformats.org/officeDocument/2006/relationships/hyperlink" Target="http://www.scores.gov.in" TargetMode="External"/><Relationship Id="rId3" Type="http://schemas.openxmlformats.org/officeDocument/2006/relationships/styles" Target="styles.xml"/><Relationship Id="rId25" Type="http://schemas.openxmlformats.org/officeDocument/2006/relationships/hyperlink" Target="mailto:sagar@krathod.com" TargetMode="External"/><Relationship Id="rId46" Type="http://schemas.openxmlformats.org/officeDocument/2006/relationships/image" Target="media/image8.png"/><Relationship Id="rId67" Type="http://schemas.openxmlformats.org/officeDocument/2006/relationships/image" Target="media/image18.jpe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2B83CE-3A02-4AD5-94EA-2ED252601CDF}" type="doc">
      <dgm:prSet loTypeId="urn:microsoft.com/office/officeart/2005/8/layout/hierarchy1" loCatId="hierarchy" qsTypeId="urn:microsoft.com/office/officeart/2005/8/quickstyle/simple1" qsCatId="simple" csTypeId="urn:microsoft.com/office/officeart/2005/8/colors/accent0_3" csCatId="mainScheme" phldr="1"/>
      <dgm:spPr/>
      <dgm:t>
        <a:bodyPr/>
        <a:lstStyle/>
        <a:p>
          <a:endParaRPr lang="en-IN"/>
        </a:p>
      </dgm:t>
    </dgm:pt>
    <dgm:pt modelId="{C3D77FBF-7C0A-4CF0-A069-76D6DB6EF653}">
      <dgm:prSet phldrT="[Text]" custT="1"/>
      <dgm:spPr>
        <a:ln>
          <a:solidFill>
            <a:schemeClr val="tx1"/>
          </a:solidFill>
        </a:ln>
      </dgm:spPr>
      <dgm:t>
        <a:bodyPr/>
        <a:lstStyle/>
        <a:p>
          <a:r>
            <a:rPr lang="en-US" sz="1000" b="1">
              <a:latin typeface="Times New Roman" panose="02020603050405020304" pitchFamily="18" charset="0"/>
              <a:cs typeface="Times New Roman" panose="02020603050405020304" pitchFamily="18" charset="0"/>
            </a:rPr>
            <a:t>Board of Directors</a:t>
          </a:r>
          <a:endParaRPr lang="en-IN" sz="1000" b="1">
            <a:latin typeface="Times New Roman" panose="02020603050405020304" pitchFamily="18" charset="0"/>
            <a:cs typeface="Times New Roman" panose="02020603050405020304" pitchFamily="18" charset="0"/>
          </a:endParaRPr>
        </a:p>
      </dgm:t>
    </dgm:pt>
    <dgm:pt modelId="{F18BF49A-112B-453A-9265-A63FE0D69D62}" type="parTrans" cxnId="{A51ED4DA-2BC4-49CF-9E2A-9E78943017C7}">
      <dgm:prSet/>
      <dgm:spPr/>
      <dgm:t>
        <a:bodyPr/>
        <a:lstStyle/>
        <a:p>
          <a:endParaRPr lang="en-IN"/>
        </a:p>
      </dgm:t>
    </dgm:pt>
    <dgm:pt modelId="{B4870913-3A0E-4959-A5EA-273100F4EB5D}" type="sibTrans" cxnId="{A51ED4DA-2BC4-49CF-9E2A-9E78943017C7}">
      <dgm:prSet/>
      <dgm:spPr/>
      <dgm:t>
        <a:bodyPr/>
        <a:lstStyle/>
        <a:p>
          <a:endParaRPr lang="en-IN"/>
        </a:p>
      </dgm:t>
    </dgm:pt>
    <dgm:pt modelId="{ABBC963C-8E40-4C29-9489-605C3FD061C7}">
      <dgm:prSet phldrT="[Text]" custT="1"/>
      <dgm:spPr>
        <a:ln>
          <a:solidFill>
            <a:schemeClr val="tx1"/>
          </a:solidFill>
        </a:ln>
      </dgm:spPr>
      <dgm:t>
        <a:bodyPr/>
        <a:lstStyle/>
        <a:p>
          <a:r>
            <a:rPr lang="en-US" sz="1000" b="1">
              <a:latin typeface="Times New Roman" panose="02020603050405020304" pitchFamily="18" charset="0"/>
              <a:cs typeface="Times New Roman" panose="02020603050405020304" pitchFamily="18" charset="0"/>
            </a:rPr>
            <a:t>Ramgopal Ochhavlal Maheshwari</a:t>
          </a:r>
        </a:p>
        <a:p>
          <a:r>
            <a:rPr lang="en-IN" sz="1000" b="1">
              <a:latin typeface="Times New Roman" panose="02020603050405020304" pitchFamily="18" charset="0"/>
              <a:cs typeface="Times New Roman" panose="02020603050405020304" pitchFamily="18" charset="0"/>
            </a:rPr>
            <a:t>(Chairman &amp; Whole-time Director)</a:t>
          </a:r>
        </a:p>
      </dgm:t>
    </dgm:pt>
    <dgm:pt modelId="{32033C20-7FAB-4BA1-9BF4-DF9ACB2E2E67}" type="sibTrans" cxnId="{76B581CB-705F-404F-9F74-A3E982C7682B}">
      <dgm:prSet/>
      <dgm:spPr/>
      <dgm:t>
        <a:bodyPr/>
        <a:lstStyle/>
        <a:p>
          <a:endParaRPr lang="en-IN"/>
        </a:p>
      </dgm:t>
    </dgm:pt>
    <dgm:pt modelId="{3A153438-9EF6-4D2F-A3AD-A6E1634E0579}" type="parTrans" cxnId="{76B581CB-705F-404F-9F74-A3E982C7682B}">
      <dgm:prSet/>
      <dgm:spPr>
        <a:ln>
          <a:solidFill>
            <a:schemeClr val="tx1"/>
          </a:solidFill>
        </a:ln>
      </dgm:spPr>
      <dgm:t>
        <a:bodyPr/>
        <a:lstStyle/>
        <a:p>
          <a:endParaRPr lang="en-IN"/>
        </a:p>
      </dgm:t>
    </dgm:pt>
    <dgm:pt modelId="{D9C19519-04B2-4EFD-BA92-84F068AE66A2}">
      <dgm:prSet phldrT="[Text]" custT="1"/>
      <dgm:spPr>
        <a:ln>
          <a:solidFill>
            <a:schemeClr val="tx1"/>
          </a:solidFill>
        </a:ln>
      </dgm:spPr>
      <dgm:t>
        <a:bodyPr/>
        <a:lstStyle/>
        <a:p>
          <a:r>
            <a:rPr lang="en-US" sz="1000" b="1">
              <a:latin typeface="Times New Roman" panose="02020603050405020304" pitchFamily="18" charset="0"/>
              <a:cs typeface="Times New Roman" panose="02020603050405020304" pitchFamily="18" charset="0"/>
            </a:rPr>
            <a:t>Bhavesh Ramgopal Maheshwari</a:t>
          </a:r>
          <a:endParaRPr lang="en-IN" sz="1000" b="1">
            <a:latin typeface="Times New Roman" panose="02020603050405020304" pitchFamily="18" charset="0"/>
            <a:cs typeface="Times New Roman" panose="02020603050405020304" pitchFamily="18" charset="0"/>
          </a:endParaRPr>
        </a:p>
        <a:p>
          <a:r>
            <a:rPr lang="en-IN" sz="1000" b="1">
              <a:latin typeface="Times New Roman" panose="02020603050405020304" pitchFamily="18" charset="0"/>
              <a:cs typeface="Times New Roman" panose="02020603050405020304" pitchFamily="18" charset="0"/>
            </a:rPr>
            <a:t>(Managing Director)</a:t>
          </a:r>
        </a:p>
      </dgm:t>
    </dgm:pt>
    <dgm:pt modelId="{25FE5256-7C9F-416A-A842-F348E56DFB4D}" type="parTrans" cxnId="{577F6642-2686-4562-9875-150705D2616F}">
      <dgm:prSet/>
      <dgm:spPr>
        <a:ln>
          <a:solidFill>
            <a:schemeClr val="tx1"/>
          </a:solidFill>
        </a:ln>
      </dgm:spPr>
      <dgm:t>
        <a:bodyPr/>
        <a:lstStyle/>
        <a:p>
          <a:endParaRPr lang="en-US"/>
        </a:p>
      </dgm:t>
    </dgm:pt>
    <dgm:pt modelId="{39E58250-D6C0-4C7A-AB19-36E2378F020C}" type="sibTrans" cxnId="{577F6642-2686-4562-9875-150705D2616F}">
      <dgm:prSet/>
      <dgm:spPr/>
      <dgm:t>
        <a:bodyPr/>
        <a:lstStyle/>
        <a:p>
          <a:endParaRPr lang="en-US"/>
        </a:p>
      </dgm:t>
    </dgm:pt>
    <dgm:pt modelId="{4AA7F597-4822-4929-97A9-198ACA2ED545}">
      <dgm:prSet phldrT="[Text]" custT="1"/>
      <dgm:spPr>
        <a:ln>
          <a:solidFill>
            <a:schemeClr val="tx1"/>
          </a:solidFill>
        </a:ln>
      </dgm:spPr>
      <dgm:t>
        <a:bodyPr/>
        <a:lstStyle/>
        <a:p>
          <a:r>
            <a:rPr lang="en-IN" sz="1000" b="1">
              <a:latin typeface="Times New Roman" panose="02020603050405020304" pitchFamily="18" charset="0"/>
              <a:cs typeface="Times New Roman" panose="02020603050405020304" pitchFamily="18" charset="0"/>
            </a:rPr>
            <a:t>Production</a:t>
          </a:r>
        </a:p>
      </dgm:t>
    </dgm:pt>
    <dgm:pt modelId="{B1F3BBDD-70D1-4ACD-976F-9E05BFBB070C}" type="parTrans" cxnId="{3B6205A0-3A09-4CB1-B69A-294ED9D1413B}">
      <dgm:prSet/>
      <dgm:spPr>
        <a:ln>
          <a:solidFill>
            <a:schemeClr val="tx1"/>
          </a:solidFill>
        </a:ln>
      </dgm:spPr>
      <dgm:t>
        <a:bodyPr/>
        <a:lstStyle/>
        <a:p>
          <a:endParaRPr lang="en-US"/>
        </a:p>
      </dgm:t>
    </dgm:pt>
    <dgm:pt modelId="{74B1B28D-DCE7-4F00-B96C-6D81FFA318C7}" type="sibTrans" cxnId="{3B6205A0-3A09-4CB1-B69A-294ED9D1413B}">
      <dgm:prSet/>
      <dgm:spPr/>
      <dgm:t>
        <a:bodyPr/>
        <a:lstStyle/>
        <a:p>
          <a:endParaRPr lang="en-US"/>
        </a:p>
      </dgm:t>
    </dgm:pt>
    <dgm:pt modelId="{62110A55-5853-4434-8AD7-79053E8794BC}">
      <dgm:prSet phldrT="[Text]" custT="1"/>
      <dgm:spPr>
        <a:ln>
          <a:solidFill>
            <a:schemeClr val="tx1"/>
          </a:solidFill>
        </a:ln>
      </dgm:spPr>
      <dgm:t>
        <a:bodyPr/>
        <a:lstStyle/>
        <a:p>
          <a:r>
            <a:rPr lang="en-IN" sz="1000" b="1">
              <a:latin typeface="Times New Roman" panose="02020603050405020304" pitchFamily="18" charset="0"/>
              <a:cs typeface="Times New Roman" panose="02020603050405020304" pitchFamily="18" charset="0"/>
            </a:rPr>
            <a:t>Sales and Marketing</a:t>
          </a:r>
          <a:endParaRPr lang="en-IN" sz="800" b="1">
            <a:latin typeface="Times New Roman" panose="02020603050405020304" pitchFamily="18" charset="0"/>
            <a:cs typeface="Times New Roman" panose="02020603050405020304" pitchFamily="18" charset="0"/>
          </a:endParaRPr>
        </a:p>
      </dgm:t>
    </dgm:pt>
    <dgm:pt modelId="{CA818A51-9EA6-4D81-87C0-3AB5C5AB9AC7}" type="parTrans" cxnId="{DFEE9BEC-5BBC-4848-9532-E305460D08C1}">
      <dgm:prSet/>
      <dgm:spPr>
        <a:ln>
          <a:solidFill>
            <a:schemeClr val="tx1"/>
          </a:solidFill>
        </a:ln>
      </dgm:spPr>
      <dgm:t>
        <a:bodyPr/>
        <a:lstStyle/>
        <a:p>
          <a:endParaRPr lang="en-US"/>
        </a:p>
      </dgm:t>
    </dgm:pt>
    <dgm:pt modelId="{7763EB15-DCFE-4DC6-9700-01DD77C0091A}" type="sibTrans" cxnId="{DFEE9BEC-5BBC-4848-9532-E305460D08C1}">
      <dgm:prSet/>
      <dgm:spPr/>
      <dgm:t>
        <a:bodyPr/>
        <a:lstStyle/>
        <a:p>
          <a:endParaRPr lang="en-US"/>
        </a:p>
      </dgm:t>
    </dgm:pt>
    <dgm:pt modelId="{913AD352-91EC-47D2-826D-AA8757600366}">
      <dgm:prSet phldrT="[Text]" custT="1"/>
      <dgm:spPr>
        <a:ln>
          <a:solidFill>
            <a:schemeClr val="tx1"/>
          </a:solidFill>
        </a:ln>
      </dgm:spPr>
      <dgm:t>
        <a:bodyPr/>
        <a:lstStyle/>
        <a:p>
          <a:r>
            <a:rPr lang="en-IN" sz="1000" b="1">
              <a:latin typeface="Times New Roman" panose="02020603050405020304" pitchFamily="18" charset="0"/>
              <a:cs typeface="Times New Roman" panose="02020603050405020304" pitchFamily="18" charset="0"/>
            </a:rPr>
            <a:t>CFO</a:t>
          </a:r>
        </a:p>
      </dgm:t>
    </dgm:pt>
    <dgm:pt modelId="{8E0598E4-3C2A-4503-8EDE-91B402F5CE74}" type="parTrans" cxnId="{06BA258D-0B32-4DA9-970F-642706C079B4}">
      <dgm:prSet/>
      <dgm:spPr>
        <a:ln>
          <a:solidFill>
            <a:schemeClr val="tx1"/>
          </a:solidFill>
        </a:ln>
      </dgm:spPr>
      <dgm:t>
        <a:bodyPr/>
        <a:lstStyle/>
        <a:p>
          <a:endParaRPr lang="en-US"/>
        </a:p>
      </dgm:t>
    </dgm:pt>
    <dgm:pt modelId="{B916430A-1140-4AC8-9CF4-A844CC910784}" type="sibTrans" cxnId="{06BA258D-0B32-4DA9-970F-642706C079B4}">
      <dgm:prSet/>
      <dgm:spPr/>
      <dgm:t>
        <a:bodyPr/>
        <a:lstStyle/>
        <a:p>
          <a:endParaRPr lang="en-US"/>
        </a:p>
      </dgm:t>
    </dgm:pt>
    <dgm:pt modelId="{3E48C06D-471B-469C-A8FB-4A503878BB81}">
      <dgm:prSet phldrT="[Text]" custT="1"/>
      <dgm:spPr>
        <a:ln>
          <a:solidFill>
            <a:schemeClr val="tx1"/>
          </a:solidFill>
        </a:ln>
      </dgm:spPr>
      <dgm:t>
        <a:bodyPr/>
        <a:lstStyle/>
        <a:p>
          <a:r>
            <a:rPr lang="en-IN" sz="1000" b="1">
              <a:latin typeface="Times New Roman" panose="02020603050405020304" pitchFamily="18" charset="0"/>
              <a:cs typeface="Times New Roman" panose="02020603050405020304" pitchFamily="18" charset="0"/>
            </a:rPr>
            <a:t>Finance &amp; Accounts</a:t>
          </a:r>
        </a:p>
      </dgm:t>
    </dgm:pt>
    <dgm:pt modelId="{8681B5FC-AB53-4037-AEC0-6FB15A1444B8}" type="parTrans" cxnId="{94FD16E6-8097-4BD0-9484-C62BE0E24A31}">
      <dgm:prSet/>
      <dgm:spPr/>
      <dgm:t>
        <a:bodyPr/>
        <a:lstStyle/>
        <a:p>
          <a:endParaRPr lang="en-US"/>
        </a:p>
      </dgm:t>
    </dgm:pt>
    <dgm:pt modelId="{6934C53D-34E2-473E-8D32-B8839D2D1C69}" type="sibTrans" cxnId="{94FD16E6-8097-4BD0-9484-C62BE0E24A31}">
      <dgm:prSet/>
      <dgm:spPr/>
      <dgm:t>
        <a:bodyPr/>
        <a:lstStyle/>
        <a:p>
          <a:endParaRPr lang="en-US"/>
        </a:p>
      </dgm:t>
    </dgm:pt>
    <dgm:pt modelId="{C7D83ED5-132B-4A11-B73A-A570FA12531C}">
      <dgm:prSet custT="1"/>
      <dgm:spPr>
        <a:ln>
          <a:solidFill>
            <a:schemeClr val="tx1"/>
          </a:solidFill>
        </a:ln>
      </dgm:spPr>
      <dgm:t>
        <a:bodyPr/>
        <a:lstStyle/>
        <a:p>
          <a:r>
            <a:rPr lang="en-IN" sz="1000" b="1">
              <a:latin typeface="Times New Roman" panose="02020603050405020304" pitchFamily="18" charset="0"/>
              <a:cs typeface="Times New Roman" panose="02020603050405020304" pitchFamily="18" charset="0"/>
            </a:rPr>
            <a:t>Secretarial &amp; Legal</a:t>
          </a:r>
        </a:p>
      </dgm:t>
    </dgm:pt>
    <dgm:pt modelId="{6B0ACD89-58AD-49AC-B405-EA80F02F43AC}" type="parTrans" cxnId="{174D7B24-930A-43C5-A853-5189231E059B}">
      <dgm:prSet/>
      <dgm:spPr/>
      <dgm:t>
        <a:bodyPr/>
        <a:lstStyle/>
        <a:p>
          <a:endParaRPr lang="en-US"/>
        </a:p>
      </dgm:t>
    </dgm:pt>
    <dgm:pt modelId="{0982C19B-328C-421E-B177-9C54ACCB05EB}" type="sibTrans" cxnId="{174D7B24-930A-43C5-A853-5189231E059B}">
      <dgm:prSet/>
      <dgm:spPr/>
      <dgm:t>
        <a:bodyPr/>
        <a:lstStyle/>
        <a:p>
          <a:endParaRPr lang="en-US"/>
        </a:p>
      </dgm:t>
    </dgm:pt>
    <dgm:pt modelId="{AF85A9FD-B411-41E3-8BE4-E2063A5F9E82}">
      <dgm:prSet custT="1"/>
      <dgm:spPr>
        <a:ln>
          <a:solidFill>
            <a:schemeClr val="tx1"/>
          </a:solidFill>
        </a:ln>
      </dgm:spPr>
      <dgm:t>
        <a:bodyPr/>
        <a:lstStyle/>
        <a:p>
          <a:r>
            <a:rPr lang="en-IN" sz="1000" b="1">
              <a:latin typeface="Times New Roman" panose="02020603050405020304" pitchFamily="18" charset="0"/>
              <a:cs typeface="Times New Roman" panose="02020603050405020304" pitchFamily="18" charset="0"/>
            </a:rPr>
            <a:t>Company Secretary</a:t>
          </a:r>
        </a:p>
      </dgm:t>
    </dgm:pt>
    <dgm:pt modelId="{3E7CA0C0-FC67-4B87-9BDF-C44B71FBDCAC}" type="parTrans" cxnId="{437EA606-16F7-415A-A2F2-AE7742CC2049}">
      <dgm:prSet/>
      <dgm:spPr/>
      <dgm:t>
        <a:bodyPr/>
        <a:lstStyle/>
        <a:p>
          <a:endParaRPr lang="en-US"/>
        </a:p>
      </dgm:t>
    </dgm:pt>
    <dgm:pt modelId="{57F58DFC-ACC3-4F06-8548-FF8C72CDDF8D}" type="sibTrans" cxnId="{437EA606-16F7-415A-A2F2-AE7742CC2049}">
      <dgm:prSet/>
      <dgm:spPr/>
      <dgm:t>
        <a:bodyPr/>
        <a:lstStyle/>
        <a:p>
          <a:endParaRPr lang="en-US"/>
        </a:p>
      </dgm:t>
    </dgm:pt>
    <dgm:pt modelId="{240D4E25-9568-44F5-9957-0DE191701B77}">
      <dgm:prSet custT="1"/>
      <dgm:spPr>
        <a:ln>
          <a:solidFill>
            <a:schemeClr val="tx1"/>
          </a:solidFill>
        </a:ln>
      </dgm:spPr>
      <dgm:t>
        <a:bodyPr/>
        <a:lstStyle/>
        <a:p>
          <a:r>
            <a:rPr lang="en-IN" sz="1000" b="1">
              <a:latin typeface="Times New Roman" panose="02020603050405020304" pitchFamily="18" charset="0"/>
              <a:cs typeface="Times New Roman" panose="02020603050405020304" pitchFamily="18" charset="0"/>
            </a:rPr>
            <a:t>HR &amp; Admin</a:t>
          </a:r>
        </a:p>
      </dgm:t>
    </dgm:pt>
    <dgm:pt modelId="{4CFBCC7C-816A-4C99-AF57-820D849189A4}" type="parTrans" cxnId="{C7F594C3-8E7E-4E38-AFE4-8F6D6D3DA893}">
      <dgm:prSet/>
      <dgm:spPr/>
      <dgm:t>
        <a:bodyPr/>
        <a:lstStyle/>
        <a:p>
          <a:endParaRPr lang="en-US"/>
        </a:p>
      </dgm:t>
    </dgm:pt>
    <dgm:pt modelId="{2B9CFD75-AB7C-4055-8D45-B0B4D23D75DB}" type="sibTrans" cxnId="{C7F594C3-8E7E-4E38-AFE4-8F6D6D3DA893}">
      <dgm:prSet/>
      <dgm:spPr/>
      <dgm:t>
        <a:bodyPr/>
        <a:lstStyle/>
        <a:p>
          <a:endParaRPr lang="en-US"/>
        </a:p>
      </dgm:t>
    </dgm:pt>
    <dgm:pt modelId="{7F6CA7AF-E2CE-464D-AA35-0ED6E0987D92}" type="pres">
      <dgm:prSet presAssocID="{402B83CE-3A02-4AD5-94EA-2ED252601CDF}" presName="hierChild1" presStyleCnt="0">
        <dgm:presLayoutVars>
          <dgm:chPref val="1"/>
          <dgm:dir/>
          <dgm:animOne val="branch"/>
          <dgm:animLvl val="lvl"/>
          <dgm:resizeHandles/>
        </dgm:presLayoutVars>
      </dgm:prSet>
      <dgm:spPr/>
    </dgm:pt>
    <dgm:pt modelId="{1A81E1B7-C1CA-4B0C-AB07-94B585A5F875}" type="pres">
      <dgm:prSet presAssocID="{C3D77FBF-7C0A-4CF0-A069-76D6DB6EF653}" presName="hierRoot1" presStyleCnt="0"/>
      <dgm:spPr/>
    </dgm:pt>
    <dgm:pt modelId="{772D11F3-B348-4DD3-8BFE-57B443AC49EA}" type="pres">
      <dgm:prSet presAssocID="{C3D77FBF-7C0A-4CF0-A069-76D6DB6EF653}" presName="composite" presStyleCnt="0"/>
      <dgm:spPr/>
    </dgm:pt>
    <dgm:pt modelId="{D9E76D5A-08C1-4590-B743-21432EBCD52D}" type="pres">
      <dgm:prSet presAssocID="{C3D77FBF-7C0A-4CF0-A069-76D6DB6EF653}" presName="background" presStyleLbl="node0" presStyleIdx="0" presStyleCnt="1"/>
      <dgm:spPr>
        <a:solidFill>
          <a:schemeClr val="bg1">
            <a:lumMod val="50000"/>
          </a:schemeClr>
        </a:solidFill>
      </dgm:spPr>
    </dgm:pt>
    <dgm:pt modelId="{4D509CB3-37F2-40BB-A97F-05191B619A77}" type="pres">
      <dgm:prSet presAssocID="{C3D77FBF-7C0A-4CF0-A069-76D6DB6EF653}" presName="text" presStyleLbl="fgAcc0" presStyleIdx="0" presStyleCnt="1" custScaleX="191579" custScaleY="73464">
        <dgm:presLayoutVars>
          <dgm:chPref val="3"/>
        </dgm:presLayoutVars>
      </dgm:prSet>
      <dgm:spPr/>
    </dgm:pt>
    <dgm:pt modelId="{85658636-0201-48CC-B568-809372CD7663}" type="pres">
      <dgm:prSet presAssocID="{C3D77FBF-7C0A-4CF0-A069-76D6DB6EF653}" presName="hierChild2" presStyleCnt="0"/>
      <dgm:spPr/>
    </dgm:pt>
    <dgm:pt modelId="{8800AF6E-5956-42FD-B348-23901D4A48DD}" type="pres">
      <dgm:prSet presAssocID="{25FE5256-7C9F-416A-A842-F348E56DFB4D}" presName="Name10" presStyleLbl="parChTrans1D2" presStyleIdx="0" presStyleCnt="2"/>
      <dgm:spPr/>
    </dgm:pt>
    <dgm:pt modelId="{CB790AC6-BA72-4E11-9AAF-33C5A87DAE43}" type="pres">
      <dgm:prSet presAssocID="{D9C19519-04B2-4EFD-BA92-84F068AE66A2}" presName="hierRoot2" presStyleCnt="0"/>
      <dgm:spPr/>
    </dgm:pt>
    <dgm:pt modelId="{613A09A6-90B7-4269-AAFC-7D65F35A6331}" type="pres">
      <dgm:prSet presAssocID="{D9C19519-04B2-4EFD-BA92-84F068AE66A2}" presName="composite2" presStyleCnt="0"/>
      <dgm:spPr/>
    </dgm:pt>
    <dgm:pt modelId="{B6274AFC-9356-4082-8289-F13C34AD9AB5}" type="pres">
      <dgm:prSet presAssocID="{D9C19519-04B2-4EFD-BA92-84F068AE66A2}" presName="background2" presStyleLbl="node2" presStyleIdx="0" presStyleCnt="2"/>
      <dgm:spPr>
        <a:solidFill>
          <a:schemeClr val="bg1">
            <a:lumMod val="50000"/>
          </a:schemeClr>
        </a:solidFill>
      </dgm:spPr>
    </dgm:pt>
    <dgm:pt modelId="{0722A376-73E7-4774-933A-BDF601D3148E}" type="pres">
      <dgm:prSet presAssocID="{D9C19519-04B2-4EFD-BA92-84F068AE66A2}" presName="text2" presStyleLbl="fgAcc2" presStyleIdx="0" presStyleCnt="2" custScaleX="342490" custScaleY="89356">
        <dgm:presLayoutVars>
          <dgm:chPref val="3"/>
        </dgm:presLayoutVars>
      </dgm:prSet>
      <dgm:spPr/>
    </dgm:pt>
    <dgm:pt modelId="{54281253-8996-4ED1-9F5E-FF0AA7D0526C}" type="pres">
      <dgm:prSet presAssocID="{D9C19519-04B2-4EFD-BA92-84F068AE66A2}" presName="hierChild3" presStyleCnt="0"/>
      <dgm:spPr/>
    </dgm:pt>
    <dgm:pt modelId="{AA4E60FE-55C5-4A7D-A6B2-099E8E01A4AA}" type="pres">
      <dgm:prSet presAssocID="{B1F3BBDD-70D1-4ACD-976F-9E05BFBB070C}" presName="Name17" presStyleLbl="parChTrans1D3" presStyleIdx="0" presStyleCnt="4"/>
      <dgm:spPr/>
    </dgm:pt>
    <dgm:pt modelId="{D598CB82-CA5B-4D19-8B23-6563CD3B6047}" type="pres">
      <dgm:prSet presAssocID="{4AA7F597-4822-4929-97A9-198ACA2ED545}" presName="hierRoot3" presStyleCnt="0"/>
      <dgm:spPr/>
    </dgm:pt>
    <dgm:pt modelId="{894D2CDF-EAD0-462A-B38F-E9D95E124CA0}" type="pres">
      <dgm:prSet presAssocID="{4AA7F597-4822-4929-97A9-198ACA2ED545}" presName="composite3" presStyleCnt="0"/>
      <dgm:spPr/>
    </dgm:pt>
    <dgm:pt modelId="{1DC4AF6B-65CA-4766-BA6E-6948C743E89E}" type="pres">
      <dgm:prSet presAssocID="{4AA7F597-4822-4929-97A9-198ACA2ED545}" presName="background3" presStyleLbl="node3" presStyleIdx="0" presStyleCnt="4"/>
      <dgm:spPr>
        <a:solidFill>
          <a:schemeClr val="bg1">
            <a:lumMod val="50000"/>
          </a:schemeClr>
        </a:solidFill>
      </dgm:spPr>
    </dgm:pt>
    <dgm:pt modelId="{E397BB57-9E8D-4A19-BF04-F3B89AA2B6D6}" type="pres">
      <dgm:prSet presAssocID="{4AA7F597-4822-4929-97A9-198ACA2ED545}" presName="text3" presStyleLbl="fgAcc3" presStyleIdx="0" presStyleCnt="4" custScaleX="180815" custScaleY="71187">
        <dgm:presLayoutVars>
          <dgm:chPref val="3"/>
        </dgm:presLayoutVars>
      </dgm:prSet>
      <dgm:spPr/>
    </dgm:pt>
    <dgm:pt modelId="{8EB3EC2F-D14C-41B4-BE52-921A0A8C9147}" type="pres">
      <dgm:prSet presAssocID="{4AA7F597-4822-4929-97A9-198ACA2ED545}" presName="hierChild4" presStyleCnt="0"/>
      <dgm:spPr/>
    </dgm:pt>
    <dgm:pt modelId="{0E80919A-D217-4878-A36B-B5129272ABA9}" type="pres">
      <dgm:prSet presAssocID="{CA818A51-9EA6-4D81-87C0-3AB5C5AB9AC7}" presName="Name17" presStyleLbl="parChTrans1D3" presStyleIdx="1" presStyleCnt="4"/>
      <dgm:spPr/>
    </dgm:pt>
    <dgm:pt modelId="{A02F630D-3594-49B0-B8CB-AD1BF7867427}" type="pres">
      <dgm:prSet presAssocID="{62110A55-5853-4434-8AD7-79053E8794BC}" presName="hierRoot3" presStyleCnt="0"/>
      <dgm:spPr/>
    </dgm:pt>
    <dgm:pt modelId="{E5391CFD-B144-4243-BEB6-6BE932BEF709}" type="pres">
      <dgm:prSet presAssocID="{62110A55-5853-4434-8AD7-79053E8794BC}" presName="composite3" presStyleCnt="0"/>
      <dgm:spPr/>
    </dgm:pt>
    <dgm:pt modelId="{445F385C-7E42-4F4C-8949-E3A96221431A}" type="pres">
      <dgm:prSet presAssocID="{62110A55-5853-4434-8AD7-79053E8794BC}" presName="background3" presStyleLbl="node3" presStyleIdx="1" presStyleCnt="4"/>
      <dgm:spPr>
        <a:solidFill>
          <a:schemeClr val="bg1">
            <a:lumMod val="50000"/>
          </a:schemeClr>
        </a:solidFill>
      </dgm:spPr>
    </dgm:pt>
    <dgm:pt modelId="{6CD3E4A3-C45B-4280-94A3-9A83AC4C36AE}" type="pres">
      <dgm:prSet presAssocID="{62110A55-5853-4434-8AD7-79053E8794BC}" presName="text3" presStyleLbl="fgAcc3" presStyleIdx="1" presStyleCnt="4" custScaleX="210951" custScaleY="71187">
        <dgm:presLayoutVars>
          <dgm:chPref val="3"/>
        </dgm:presLayoutVars>
      </dgm:prSet>
      <dgm:spPr/>
    </dgm:pt>
    <dgm:pt modelId="{6D1075A9-ED95-4D7A-A5E2-A3B20F2C194E}" type="pres">
      <dgm:prSet presAssocID="{62110A55-5853-4434-8AD7-79053E8794BC}" presName="hierChild4" presStyleCnt="0"/>
      <dgm:spPr/>
    </dgm:pt>
    <dgm:pt modelId="{C191476F-4384-4942-A345-F58CCCE2CCC0}" type="pres">
      <dgm:prSet presAssocID="{3A153438-9EF6-4D2F-A3AD-A6E1634E0579}" presName="Name10" presStyleLbl="parChTrans1D2" presStyleIdx="1" presStyleCnt="2"/>
      <dgm:spPr/>
    </dgm:pt>
    <dgm:pt modelId="{615474B7-547B-43A1-BFE2-1808F2B0ECFF}" type="pres">
      <dgm:prSet presAssocID="{ABBC963C-8E40-4C29-9489-605C3FD061C7}" presName="hierRoot2" presStyleCnt="0"/>
      <dgm:spPr/>
    </dgm:pt>
    <dgm:pt modelId="{808AAFA4-0A9C-4595-92E8-E492FD22AD3B}" type="pres">
      <dgm:prSet presAssocID="{ABBC963C-8E40-4C29-9489-605C3FD061C7}" presName="composite2" presStyleCnt="0"/>
      <dgm:spPr/>
    </dgm:pt>
    <dgm:pt modelId="{E00541A1-3D4E-4C46-BA31-89C38850E8AF}" type="pres">
      <dgm:prSet presAssocID="{ABBC963C-8E40-4C29-9489-605C3FD061C7}" presName="background2" presStyleLbl="node2" presStyleIdx="1" presStyleCnt="2"/>
      <dgm:spPr>
        <a:solidFill>
          <a:schemeClr val="bg1">
            <a:lumMod val="50000"/>
          </a:schemeClr>
        </a:solidFill>
      </dgm:spPr>
    </dgm:pt>
    <dgm:pt modelId="{7A85EF12-1EA9-491D-ADC0-644BA3EC9282}" type="pres">
      <dgm:prSet presAssocID="{ABBC963C-8E40-4C29-9489-605C3FD061C7}" presName="text2" presStyleLbl="fgAcc2" presStyleIdx="1" presStyleCnt="2" custScaleX="349263" custScaleY="89356">
        <dgm:presLayoutVars>
          <dgm:chPref val="3"/>
        </dgm:presLayoutVars>
      </dgm:prSet>
      <dgm:spPr/>
    </dgm:pt>
    <dgm:pt modelId="{B9B645B4-9F37-445D-9CF9-2B2F670CDC3C}" type="pres">
      <dgm:prSet presAssocID="{ABBC963C-8E40-4C29-9489-605C3FD061C7}" presName="hierChild3" presStyleCnt="0"/>
      <dgm:spPr/>
    </dgm:pt>
    <dgm:pt modelId="{F0E172CA-F0F1-4EA8-A1E5-51FC2FE55912}" type="pres">
      <dgm:prSet presAssocID="{8E0598E4-3C2A-4503-8EDE-91B402F5CE74}" presName="Name17" presStyleLbl="parChTrans1D3" presStyleIdx="2" presStyleCnt="4"/>
      <dgm:spPr/>
    </dgm:pt>
    <dgm:pt modelId="{1605D30B-7F9C-4009-B840-D71F619FD196}" type="pres">
      <dgm:prSet presAssocID="{913AD352-91EC-47D2-826D-AA8757600366}" presName="hierRoot3" presStyleCnt="0"/>
      <dgm:spPr/>
    </dgm:pt>
    <dgm:pt modelId="{C70E8650-A363-46F5-B33A-EE747159211E}" type="pres">
      <dgm:prSet presAssocID="{913AD352-91EC-47D2-826D-AA8757600366}" presName="composite3" presStyleCnt="0"/>
      <dgm:spPr/>
    </dgm:pt>
    <dgm:pt modelId="{FC4F1DD6-2A6C-45FE-A68E-7B5284D66D76}" type="pres">
      <dgm:prSet presAssocID="{913AD352-91EC-47D2-826D-AA8757600366}" presName="background3" presStyleLbl="node3" presStyleIdx="2" presStyleCnt="4"/>
      <dgm:spPr>
        <a:solidFill>
          <a:schemeClr val="bg1">
            <a:lumMod val="50000"/>
          </a:schemeClr>
        </a:solidFill>
      </dgm:spPr>
    </dgm:pt>
    <dgm:pt modelId="{0396FB34-A191-45B7-96BF-B77823EAB019}" type="pres">
      <dgm:prSet presAssocID="{913AD352-91EC-47D2-826D-AA8757600366}" presName="text3" presStyleLbl="fgAcc3" presStyleIdx="2" presStyleCnt="4" custScaleX="132927" custScaleY="70682">
        <dgm:presLayoutVars>
          <dgm:chPref val="3"/>
        </dgm:presLayoutVars>
      </dgm:prSet>
      <dgm:spPr/>
    </dgm:pt>
    <dgm:pt modelId="{9B58D5DF-4E1E-4D52-B081-CDF6AAF83249}" type="pres">
      <dgm:prSet presAssocID="{913AD352-91EC-47D2-826D-AA8757600366}" presName="hierChild4" presStyleCnt="0"/>
      <dgm:spPr/>
    </dgm:pt>
    <dgm:pt modelId="{1E03C205-CE26-4E90-A466-130F3A700ED1}" type="pres">
      <dgm:prSet presAssocID="{8681B5FC-AB53-4037-AEC0-6FB15A1444B8}" presName="Name23" presStyleLbl="parChTrans1D4" presStyleIdx="0" presStyleCnt="3"/>
      <dgm:spPr/>
    </dgm:pt>
    <dgm:pt modelId="{85CE9311-091D-49AA-B0F2-C76813162FE4}" type="pres">
      <dgm:prSet presAssocID="{3E48C06D-471B-469C-A8FB-4A503878BB81}" presName="hierRoot4" presStyleCnt="0"/>
      <dgm:spPr/>
    </dgm:pt>
    <dgm:pt modelId="{025152B3-BB1D-42D6-BCDF-A0AD720D84B6}" type="pres">
      <dgm:prSet presAssocID="{3E48C06D-471B-469C-A8FB-4A503878BB81}" presName="composite4" presStyleCnt="0"/>
      <dgm:spPr/>
    </dgm:pt>
    <dgm:pt modelId="{4E597D2B-25B1-49D3-9406-46824E241C38}" type="pres">
      <dgm:prSet presAssocID="{3E48C06D-471B-469C-A8FB-4A503878BB81}" presName="background4" presStyleLbl="node4" presStyleIdx="0" presStyleCnt="3"/>
      <dgm:spPr>
        <a:solidFill>
          <a:schemeClr val="bg1">
            <a:lumMod val="50000"/>
          </a:schemeClr>
        </a:solidFill>
      </dgm:spPr>
    </dgm:pt>
    <dgm:pt modelId="{BFF86DFD-B673-4F4C-8CCD-33E2CB1520B5}" type="pres">
      <dgm:prSet presAssocID="{3E48C06D-471B-469C-A8FB-4A503878BB81}" presName="text4" presStyleLbl="fgAcc4" presStyleIdx="0" presStyleCnt="3" custScaleX="226019" custScaleY="68493">
        <dgm:presLayoutVars>
          <dgm:chPref val="3"/>
        </dgm:presLayoutVars>
      </dgm:prSet>
      <dgm:spPr/>
    </dgm:pt>
    <dgm:pt modelId="{7995268F-4EBF-4C5F-BC14-9E804DC404F6}" type="pres">
      <dgm:prSet presAssocID="{3E48C06D-471B-469C-A8FB-4A503878BB81}" presName="hierChild5" presStyleCnt="0"/>
      <dgm:spPr/>
    </dgm:pt>
    <dgm:pt modelId="{2C61EB6E-E315-4AF5-8304-9062D997D2CF}" type="pres">
      <dgm:prSet presAssocID="{6B0ACD89-58AD-49AC-B405-EA80F02F43AC}" presName="Name23" presStyleLbl="parChTrans1D4" presStyleIdx="1" presStyleCnt="3"/>
      <dgm:spPr/>
    </dgm:pt>
    <dgm:pt modelId="{1FE8AE1C-4118-466D-B9DA-7925C9C48B5F}" type="pres">
      <dgm:prSet presAssocID="{C7D83ED5-132B-4A11-B73A-A570FA12531C}" presName="hierRoot4" presStyleCnt="0"/>
      <dgm:spPr/>
    </dgm:pt>
    <dgm:pt modelId="{2FCDE82C-4ED0-4F1C-811F-14E5E0F46B61}" type="pres">
      <dgm:prSet presAssocID="{C7D83ED5-132B-4A11-B73A-A570FA12531C}" presName="composite4" presStyleCnt="0"/>
      <dgm:spPr/>
    </dgm:pt>
    <dgm:pt modelId="{BA666EAB-788D-4E25-9D3B-0397939B9B30}" type="pres">
      <dgm:prSet presAssocID="{C7D83ED5-132B-4A11-B73A-A570FA12531C}" presName="background4" presStyleLbl="node4" presStyleIdx="1" presStyleCnt="3"/>
      <dgm:spPr>
        <a:solidFill>
          <a:schemeClr val="bg1">
            <a:lumMod val="50000"/>
          </a:schemeClr>
        </a:solidFill>
      </dgm:spPr>
    </dgm:pt>
    <dgm:pt modelId="{6205F749-4DDD-4995-AE23-758EBA26BC5F}" type="pres">
      <dgm:prSet presAssocID="{C7D83ED5-132B-4A11-B73A-A570FA12531C}" presName="text4" presStyleLbl="fgAcc4" presStyleIdx="1" presStyleCnt="3" custScaleX="210951" custScaleY="63202">
        <dgm:presLayoutVars>
          <dgm:chPref val="3"/>
        </dgm:presLayoutVars>
      </dgm:prSet>
      <dgm:spPr/>
    </dgm:pt>
    <dgm:pt modelId="{8FC18203-8429-4F72-B468-043B3FE2A69C}" type="pres">
      <dgm:prSet presAssocID="{C7D83ED5-132B-4A11-B73A-A570FA12531C}" presName="hierChild5" presStyleCnt="0"/>
      <dgm:spPr/>
    </dgm:pt>
    <dgm:pt modelId="{0EADCDC3-2BDA-4C04-85A9-0EFA12EF38E6}" type="pres">
      <dgm:prSet presAssocID="{3E7CA0C0-FC67-4B87-9BDF-C44B71FBDCAC}" presName="Name23" presStyleLbl="parChTrans1D4" presStyleIdx="2" presStyleCnt="3"/>
      <dgm:spPr/>
    </dgm:pt>
    <dgm:pt modelId="{DB2E8B4B-033B-467A-B6AA-C76F378A9566}" type="pres">
      <dgm:prSet presAssocID="{AF85A9FD-B411-41E3-8BE4-E2063A5F9E82}" presName="hierRoot4" presStyleCnt="0"/>
      <dgm:spPr/>
    </dgm:pt>
    <dgm:pt modelId="{C38419E8-56D2-4B69-A45F-1A1F1911A195}" type="pres">
      <dgm:prSet presAssocID="{AF85A9FD-B411-41E3-8BE4-E2063A5F9E82}" presName="composite4" presStyleCnt="0"/>
      <dgm:spPr/>
    </dgm:pt>
    <dgm:pt modelId="{87A72C09-DC00-42E1-8F4B-750414D63F66}" type="pres">
      <dgm:prSet presAssocID="{AF85A9FD-B411-41E3-8BE4-E2063A5F9E82}" presName="background4" presStyleLbl="node4" presStyleIdx="2" presStyleCnt="3"/>
      <dgm:spPr>
        <a:solidFill>
          <a:schemeClr val="bg1">
            <a:lumMod val="50000"/>
          </a:schemeClr>
        </a:solidFill>
      </dgm:spPr>
    </dgm:pt>
    <dgm:pt modelId="{D7B1B989-B231-44EF-AE64-3E4071A320DD}" type="pres">
      <dgm:prSet presAssocID="{AF85A9FD-B411-41E3-8BE4-E2063A5F9E82}" presName="text4" presStyleLbl="fgAcc4" presStyleIdx="2" presStyleCnt="3" custScaleX="210951" custScaleY="63674">
        <dgm:presLayoutVars>
          <dgm:chPref val="3"/>
        </dgm:presLayoutVars>
      </dgm:prSet>
      <dgm:spPr/>
    </dgm:pt>
    <dgm:pt modelId="{A1228981-F0DE-4518-A74F-72CDE1A5710C}" type="pres">
      <dgm:prSet presAssocID="{AF85A9FD-B411-41E3-8BE4-E2063A5F9E82}" presName="hierChild5" presStyleCnt="0"/>
      <dgm:spPr/>
    </dgm:pt>
    <dgm:pt modelId="{2E8C8378-84CD-4A5F-ACBC-362D10B2F96B}" type="pres">
      <dgm:prSet presAssocID="{4CFBCC7C-816A-4C99-AF57-820D849189A4}" presName="Name17" presStyleLbl="parChTrans1D3" presStyleIdx="3" presStyleCnt="4"/>
      <dgm:spPr/>
    </dgm:pt>
    <dgm:pt modelId="{305D28BF-9333-4A26-90A8-98A3BEFCC66B}" type="pres">
      <dgm:prSet presAssocID="{240D4E25-9568-44F5-9957-0DE191701B77}" presName="hierRoot3" presStyleCnt="0"/>
      <dgm:spPr/>
    </dgm:pt>
    <dgm:pt modelId="{78E99CCF-7BB6-471C-8291-8B196A37C262}" type="pres">
      <dgm:prSet presAssocID="{240D4E25-9568-44F5-9957-0DE191701B77}" presName="composite3" presStyleCnt="0"/>
      <dgm:spPr/>
    </dgm:pt>
    <dgm:pt modelId="{7B7F4674-ABF5-41CE-AF86-6E12F8D0F4DD}" type="pres">
      <dgm:prSet presAssocID="{240D4E25-9568-44F5-9957-0DE191701B77}" presName="background3" presStyleLbl="node3" presStyleIdx="3" presStyleCnt="4"/>
      <dgm:spPr>
        <a:solidFill>
          <a:schemeClr val="bg1">
            <a:lumMod val="50000"/>
          </a:schemeClr>
        </a:solidFill>
      </dgm:spPr>
    </dgm:pt>
    <dgm:pt modelId="{8B934164-EA73-4076-B19B-EA1736AE5CE4}" type="pres">
      <dgm:prSet presAssocID="{240D4E25-9568-44F5-9957-0DE191701B77}" presName="text3" presStyleLbl="fgAcc3" presStyleIdx="3" presStyleCnt="4" custScaleX="195883" custScaleY="68493">
        <dgm:presLayoutVars>
          <dgm:chPref val="3"/>
        </dgm:presLayoutVars>
      </dgm:prSet>
      <dgm:spPr/>
    </dgm:pt>
    <dgm:pt modelId="{9A6698D9-9C26-4709-9E22-AC6FDAB634C0}" type="pres">
      <dgm:prSet presAssocID="{240D4E25-9568-44F5-9957-0DE191701B77}" presName="hierChild4" presStyleCnt="0"/>
      <dgm:spPr/>
    </dgm:pt>
  </dgm:ptLst>
  <dgm:cxnLst>
    <dgm:cxn modelId="{437EA606-16F7-415A-A2F2-AE7742CC2049}" srcId="{C7D83ED5-132B-4A11-B73A-A570FA12531C}" destId="{AF85A9FD-B411-41E3-8BE4-E2063A5F9E82}" srcOrd="0" destOrd="0" parTransId="{3E7CA0C0-FC67-4B87-9BDF-C44B71FBDCAC}" sibTransId="{57F58DFC-ACC3-4F06-8548-FF8C72CDDF8D}"/>
    <dgm:cxn modelId="{ACCFE90A-0667-4FAC-88AF-395D34788D6B}" type="presOf" srcId="{25FE5256-7C9F-416A-A842-F348E56DFB4D}" destId="{8800AF6E-5956-42FD-B348-23901D4A48DD}" srcOrd="0" destOrd="0" presId="urn:microsoft.com/office/officeart/2005/8/layout/hierarchy1"/>
    <dgm:cxn modelId="{0829370E-BFC8-412F-B594-14B3421A2B20}" type="presOf" srcId="{8681B5FC-AB53-4037-AEC0-6FB15A1444B8}" destId="{1E03C205-CE26-4E90-A466-130F3A700ED1}" srcOrd="0" destOrd="0" presId="urn:microsoft.com/office/officeart/2005/8/layout/hierarchy1"/>
    <dgm:cxn modelId="{543D5813-280C-42D0-AC43-A07FF3B67FE2}" type="presOf" srcId="{402B83CE-3A02-4AD5-94EA-2ED252601CDF}" destId="{7F6CA7AF-E2CE-464D-AA35-0ED6E0987D92}" srcOrd="0" destOrd="0" presId="urn:microsoft.com/office/officeart/2005/8/layout/hierarchy1"/>
    <dgm:cxn modelId="{273FAB1E-088E-43C7-B564-4BE47E317677}" type="presOf" srcId="{240D4E25-9568-44F5-9957-0DE191701B77}" destId="{8B934164-EA73-4076-B19B-EA1736AE5CE4}" srcOrd="0" destOrd="0" presId="urn:microsoft.com/office/officeart/2005/8/layout/hierarchy1"/>
    <dgm:cxn modelId="{174D7B24-930A-43C5-A853-5189231E059B}" srcId="{913AD352-91EC-47D2-826D-AA8757600366}" destId="{C7D83ED5-132B-4A11-B73A-A570FA12531C}" srcOrd="1" destOrd="0" parTransId="{6B0ACD89-58AD-49AC-B405-EA80F02F43AC}" sibTransId="{0982C19B-328C-421E-B177-9C54ACCB05EB}"/>
    <dgm:cxn modelId="{3D928F2E-9B0F-4592-88FC-79DB979486F0}" type="presOf" srcId="{D9C19519-04B2-4EFD-BA92-84F068AE66A2}" destId="{0722A376-73E7-4774-933A-BDF601D3148E}" srcOrd="0" destOrd="0" presId="urn:microsoft.com/office/officeart/2005/8/layout/hierarchy1"/>
    <dgm:cxn modelId="{08B82432-03F6-44A7-951B-371B7EEF1835}" type="presOf" srcId="{C3D77FBF-7C0A-4CF0-A069-76D6DB6EF653}" destId="{4D509CB3-37F2-40BB-A97F-05191B619A77}" srcOrd="0" destOrd="0" presId="urn:microsoft.com/office/officeart/2005/8/layout/hierarchy1"/>
    <dgm:cxn modelId="{577F6642-2686-4562-9875-150705D2616F}" srcId="{C3D77FBF-7C0A-4CF0-A069-76D6DB6EF653}" destId="{D9C19519-04B2-4EFD-BA92-84F068AE66A2}" srcOrd="0" destOrd="0" parTransId="{25FE5256-7C9F-416A-A842-F348E56DFB4D}" sibTransId="{39E58250-D6C0-4C7A-AB19-36E2378F020C}"/>
    <dgm:cxn modelId="{12204265-877F-4C3C-9EDF-980B79E801BB}" type="presOf" srcId="{62110A55-5853-4434-8AD7-79053E8794BC}" destId="{6CD3E4A3-C45B-4280-94A3-9A83AC4C36AE}" srcOrd="0" destOrd="0" presId="urn:microsoft.com/office/officeart/2005/8/layout/hierarchy1"/>
    <dgm:cxn modelId="{E2677677-32BF-4675-B396-266A6F5B50BE}" type="presOf" srcId="{AF85A9FD-B411-41E3-8BE4-E2063A5F9E82}" destId="{D7B1B989-B231-44EF-AE64-3E4071A320DD}" srcOrd="0" destOrd="0" presId="urn:microsoft.com/office/officeart/2005/8/layout/hierarchy1"/>
    <dgm:cxn modelId="{A1C00E79-22DB-4EC2-AC78-F2281691399F}" type="presOf" srcId="{3A153438-9EF6-4D2F-A3AD-A6E1634E0579}" destId="{C191476F-4384-4942-A345-F58CCCE2CCC0}" srcOrd="0" destOrd="0" presId="urn:microsoft.com/office/officeart/2005/8/layout/hierarchy1"/>
    <dgm:cxn modelId="{2ADE3682-5A55-46AD-84D6-65B2E32B9568}" type="presOf" srcId="{CA818A51-9EA6-4D81-87C0-3AB5C5AB9AC7}" destId="{0E80919A-D217-4878-A36B-B5129272ABA9}" srcOrd="0" destOrd="0" presId="urn:microsoft.com/office/officeart/2005/8/layout/hierarchy1"/>
    <dgm:cxn modelId="{C1A69A82-261C-4E39-AE7C-FF9CC646A631}" type="presOf" srcId="{3E7CA0C0-FC67-4B87-9BDF-C44B71FBDCAC}" destId="{0EADCDC3-2BDA-4C04-85A9-0EFA12EF38E6}" srcOrd="0" destOrd="0" presId="urn:microsoft.com/office/officeart/2005/8/layout/hierarchy1"/>
    <dgm:cxn modelId="{77B9828A-60BD-48EE-BC72-958F85B3A4A8}" type="presOf" srcId="{913AD352-91EC-47D2-826D-AA8757600366}" destId="{0396FB34-A191-45B7-96BF-B77823EAB019}" srcOrd="0" destOrd="0" presId="urn:microsoft.com/office/officeart/2005/8/layout/hierarchy1"/>
    <dgm:cxn modelId="{06BA258D-0B32-4DA9-970F-642706C079B4}" srcId="{ABBC963C-8E40-4C29-9489-605C3FD061C7}" destId="{913AD352-91EC-47D2-826D-AA8757600366}" srcOrd="0" destOrd="0" parTransId="{8E0598E4-3C2A-4503-8EDE-91B402F5CE74}" sibTransId="{B916430A-1140-4AC8-9CF4-A844CC910784}"/>
    <dgm:cxn modelId="{C10B7591-33DF-42EC-AEE4-834EC066DAD0}" type="presOf" srcId="{C7D83ED5-132B-4A11-B73A-A570FA12531C}" destId="{6205F749-4DDD-4995-AE23-758EBA26BC5F}" srcOrd="0" destOrd="0" presId="urn:microsoft.com/office/officeart/2005/8/layout/hierarchy1"/>
    <dgm:cxn modelId="{37EB879A-8360-4855-9A0C-36CAE3B0A4E0}" type="presOf" srcId="{4CFBCC7C-816A-4C99-AF57-820D849189A4}" destId="{2E8C8378-84CD-4A5F-ACBC-362D10B2F96B}" srcOrd="0" destOrd="0" presId="urn:microsoft.com/office/officeart/2005/8/layout/hierarchy1"/>
    <dgm:cxn modelId="{3B6205A0-3A09-4CB1-B69A-294ED9D1413B}" srcId="{D9C19519-04B2-4EFD-BA92-84F068AE66A2}" destId="{4AA7F597-4822-4929-97A9-198ACA2ED545}" srcOrd="0" destOrd="0" parTransId="{B1F3BBDD-70D1-4ACD-976F-9E05BFBB070C}" sibTransId="{74B1B28D-DCE7-4F00-B96C-6D81FFA318C7}"/>
    <dgm:cxn modelId="{8139D0AA-B1F5-4238-963E-405A78F83D75}" type="presOf" srcId="{3E48C06D-471B-469C-A8FB-4A503878BB81}" destId="{BFF86DFD-B673-4F4C-8CCD-33E2CB1520B5}" srcOrd="0" destOrd="0" presId="urn:microsoft.com/office/officeart/2005/8/layout/hierarchy1"/>
    <dgm:cxn modelId="{45BEE7BD-CC53-4D83-8E7B-4CDF72F099AD}" type="presOf" srcId="{ABBC963C-8E40-4C29-9489-605C3FD061C7}" destId="{7A85EF12-1EA9-491D-ADC0-644BA3EC9282}" srcOrd="0" destOrd="0" presId="urn:microsoft.com/office/officeart/2005/8/layout/hierarchy1"/>
    <dgm:cxn modelId="{C7F594C3-8E7E-4E38-AFE4-8F6D6D3DA893}" srcId="{ABBC963C-8E40-4C29-9489-605C3FD061C7}" destId="{240D4E25-9568-44F5-9957-0DE191701B77}" srcOrd="1" destOrd="0" parTransId="{4CFBCC7C-816A-4C99-AF57-820D849189A4}" sibTransId="{2B9CFD75-AB7C-4055-8D45-B0B4D23D75DB}"/>
    <dgm:cxn modelId="{76B581CB-705F-404F-9F74-A3E982C7682B}" srcId="{C3D77FBF-7C0A-4CF0-A069-76D6DB6EF653}" destId="{ABBC963C-8E40-4C29-9489-605C3FD061C7}" srcOrd="1" destOrd="0" parTransId="{3A153438-9EF6-4D2F-A3AD-A6E1634E0579}" sibTransId="{32033C20-7FAB-4BA1-9BF4-DF9ACB2E2E67}"/>
    <dgm:cxn modelId="{1D31DDD5-BE9F-4361-95AE-89E996A27BF0}" type="presOf" srcId="{8E0598E4-3C2A-4503-8EDE-91B402F5CE74}" destId="{F0E172CA-F0F1-4EA8-A1E5-51FC2FE55912}" srcOrd="0" destOrd="0" presId="urn:microsoft.com/office/officeart/2005/8/layout/hierarchy1"/>
    <dgm:cxn modelId="{0D5E76D9-C9C9-471A-9CA1-CAF4C2D4F029}" type="presOf" srcId="{B1F3BBDD-70D1-4ACD-976F-9E05BFBB070C}" destId="{AA4E60FE-55C5-4A7D-A6B2-099E8E01A4AA}" srcOrd="0" destOrd="0" presId="urn:microsoft.com/office/officeart/2005/8/layout/hierarchy1"/>
    <dgm:cxn modelId="{A51ED4DA-2BC4-49CF-9E2A-9E78943017C7}" srcId="{402B83CE-3A02-4AD5-94EA-2ED252601CDF}" destId="{C3D77FBF-7C0A-4CF0-A069-76D6DB6EF653}" srcOrd="0" destOrd="0" parTransId="{F18BF49A-112B-453A-9265-A63FE0D69D62}" sibTransId="{B4870913-3A0E-4959-A5EA-273100F4EB5D}"/>
    <dgm:cxn modelId="{94FD16E6-8097-4BD0-9484-C62BE0E24A31}" srcId="{913AD352-91EC-47D2-826D-AA8757600366}" destId="{3E48C06D-471B-469C-A8FB-4A503878BB81}" srcOrd="0" destOrd="0" parTransId="{8681B5FC-AB53-4037-AEC0-6FB15A1444B8}" sibTransId="{6934C53D-34E2-473E-8D32-B8839D2D1C69}"/>
    <dgm:cxn modelId="{DFEE9BEC-5BBC-4848-9532-E305460D08C1}" srcId="{D9C19519-04B2-4EFD-BA92-84F068AE66A2}" destId="{62110A55-5853-4434-8AD7-79053E8794BC}" srcOrd="1" destOrd="0" parTransId="{CA818A51-9EA6-4D81-87C0-3AB5C5AB9AC7}" sibTransId="{7763EB15-DCFE-4DC6-9700-01DD77C0091A}"/>
    <dgm:cxn modelId="{1FBB3DFC-E5CB-43B8-8649-213D96C48E65}" type="presOf" srcId="{4AA7F597-4822-4929-97A9-198ACA2ED545}" destId="{E397BB57-9E8D-4A19-BF04-F3B89AA2B6D6}" srcOrd="0" destOrd="0" presId="urn:microsoft.com/office/officeart/2005/8/layout/hierarchy1"/>
    <dgm:cxn modelId="{FD1B6CFF-048B-4B43-B827-1D1D5C56FC65}" type="presOf" srcId="{6B0ACD89-58AD-49AC-B405-EA80F02F43AC}" destId="{2C61EB6E-E315-4AF5-8304-9062D997D2CF}" srcOrd="0" destOrd="0" presId="urn:microsoft.com/office/officeart/2005/8/layout/hierarchy1"/>
    <dgm:cxn modelId="{AD777BE4-16D0-42B2-BB1C-26CCEC6F105B}" type="presParOf" srcId="{7F6CA7AF-E2CE-464D-AA35-0ED6E0987D92}" destId="{1A81E1B7-C1CA-4B0C-AB07-94B585A5F875}" srcOrd="0" destOrd="0" presId="urn:microsoft.com/office/officeart/2005/8/layout/hierarchy1"/>
    <dgm:cxn modelId="{A1A08400-21D2-4D85-BF51-7ABE69A5AD70}" type="presParOf" srcId="{1A81E1B7-C1CA-4B0C-AB07-94B585A5F875}" destId="{772D11F3-B348-4DD3-8BFE-57B443AC49EA}" srcOrd="0" destOrd="0" presId="urn:microsoft.com/office/officeart/2005/8/layout/hierarchy1"/>
    <dgm:cxn modelId="{96B7B754-4F96-4F79-8E01-666F47C4D8E0}" type="presParOf" srcId="{772D11F3-B348-4DD3-8BFE-57B443AC49EA}" destId="{D9E76D5A-08C1-4590-B743-21432EBCD52D}" srcOrd="0" destOrd="0" presId="urn:microsoft.com/office/officeart/2005/8/layout/hierarchy1"/>
    <dgm:cxn modelId="{F3D0C267-0B0A-4E0C-B5E6-442BBF823CE4}" type="presParOf" srcId="{772D11F3-B348-4DD3-8BFE-57B443AC49EA}" destId="{4D509CB3-37F2-40BB-A97F-05191B619A77}" srcOrd="1" destOrd="0" presId="urn:microsoft.com/office/officeart/2005/8/layout/hierarchy1"/>
    <dgm:cxn modelId="{2B8A0CBF-58E9-453A-A2A5-3CA200617821}" type="presParOf" srcId="{1A81E1B7-C1CA-4B0C-AB07-94B585A5F875}" destId="{85658636-0201-48CC-B568-809372CD7663}" srcOrd="1" destOrd="0" presId="urn:microsoft.com/office/officeart/2005/8/layout/hierarchy1"/>
    <dgm:cxn modelId="{CC2FAACA-737A-43B3-89D7-A6EEEE912FEC}" type="presParOf" srcId="{85658636-0201-48CC-B568-809372CD7663}" destId="{8800AF6E-5956-42FD-B348-23901D4A48DD}" srcOrd="0" destOrd="0" presId="urn:microsoft.com/office/officeart/2005/8/layout/hierarchy1"/>
    <dgm:cxn modelId="{097B1DEA-44FA-41DA-ABD5-CBF4C3302CA5}" type="presParOf" srcId="{85658636-0201-48CC-B568-809372CD7663}" destId="{CB790AC6-BA72-4E11-9AAF-33C5A87DAE43}" srcOrd="1" destOrd="0" presId="urn:microsoft.com/office/officeart/2005/8/layout/hierarchy1"/>
    <dgm:cxn modelId="{92329C60-11AA-497D-B41F-D923683EA35C}" type="presParOf" srcId="{CB790AC6-BA72-4E11-9AAF-33C5A87DAE43}" destId="{613A09A6-90B7-4269-AAFC-7D65F35A6331}" srcOrd="0" destOrd="0" presId="urn:microsoft.com/office/officeart/2005/8/layout/hierarchy1"/>
    <dgm:cxn modelId="{F66C3711-36E4-4D93-8812-9B3CA70BC967}" type="presParOf" srcId="{613A09A6-90B7-4269-AAFC-7D65F35A6331}" destId="{B6274AFC-9356-4082-8289-F13C34AD9AB5}" srcOrd="0" destOrd="0" presId="urn:microsoft.com/office/officeart/2005/8/layout/hierarchy1"/>
    <dgm:cxn modelId="{828752C3-A2AF-4B3D-BE8D-178DE18D71EB}" type="presParOf" srcId="{613A09A6-90B7-4269-AAFC-7D65F35A6331}" destId="{0722A376-73E7-4774-933A-BDF601D3148E}" srcOrd="1" destOrd="0" presId="urn:microsoft.com/office/officeart/2005/8/layout/hierarchy1"/>
    <dgm:cxn modelId="{0B057972-1755-4853-B182-E6BD40435048}" type="presParOf" srcId="{CB790AC6-BA72-4E11-9AAF-33C5A87DAE43}" destId="{54281253-8996-4ED1-9F5E-FF0AA7D0526C}" srcOrd="1" destOrd="0" presId="urn:microsoft.com/office/officeart/2005/8/layout/hierarchy1"/>
    <dgm:cxn modelId="{DB7D7A4C-D3AA-44C0-9305-E6B65798628F}" type="presParOf" srcId="{54281253-8996-4ED1-9F5E-FF0AA7D0526C}" destId="{AA4E60FE-55C5-4A7D-A6B2-099E8E01A4AA}" srcOrd="0" destOrd="0" presId="urn:microsoft.com/office/officeart/2005/8/layout/hierarchy1"/>
    <dgm:cxn modelId="{5E6633DA-D79A-47AA-835E-D10A1CA20518}" type="presParOf" srcId="{54281253-8996-4ED1-9F5E-FF0AA7D0526C}" destId="{D598CB82-CA5B-4D19-8B23-6563CD3B6047}" srcOrd="1" destOrd="0" presId="urn:microsoft.com/office/officeart/2005/8/layout/hierarchy1"/>
    <dgm:cxn modelId="{26EFA11E-06FD-4798-BC2D-25977643ED62}" type="presParOf" srcId="{D598CB82-CA5B-4D19-8B23-6563CD3B6047}" destId="{894D2CDF-EAD0-462A-B38F-E9D95E124CA0}" srcOrd="0" destOrd="0" presId="urn:microsoft.com/office/officeart/2005/8/layout/hierarchy1"/>
    <dgm:cxn modelId="{979DB3CF-CE2B-4464-975D-58D5E02A791B}" type="presParOf" srcId="{894D2CDF-EAD0-462A-B38F-E9D95E124CA0}" destId="{1DC4AF6B-65CA-4766-BA6E-6948C743E89E}" srcOrd="0" destOrd="0" presId="urn:microsoft.com/office/officeart/2005/8/layout/hierarchy1"/>
    <dgm:cxn modelId="{A61C3EAC-37AE-4D92-9319-1A5B75AB57A8}" type="presParOf" srcId="{894D2CDF-EAD0-462A-B38F-E9D95E124CA0}" destId="{E397BB57-9E8D-4A19-BF04-F3B89AA2B6D6}" srcOrd="1" destOrd="0" presId="urn:microsoft.com/office/officeart/2005/8/layout/hierarchy1"/>
    <dgm:cxn modelId="{AF2FB64E-4F47-488D-B62E-546BA2E14C67}" type="presParOf" srcId="{D598CB82-CA5B-4D19-8B23-6563CD3B6047}" destId="{8EB3EC2F-D14C-41B4-BE52-921A0A8C9147}" srcOrd="1" destOrd="0" presId="urn:microsoft.com/office/officeart/2005/8/layout/hierarchy1"/>
    <dgm:cxn modelId="{729F3775-8163-47B1-A263-04CAA679E68C}" type="presParOf" srcId="{54281253-8996-4ED1-9F5E-FF0AA7D0526C}" destId="{0E80919A-D217-4878-A36B-B5129272ABA9}" srcOrd="2" destOrd="0" presId="urn:microsoft.com/office/officeart/2005/8/layout/hierarchy1"/>
    <dgm:cxn modelId="{EFA2BF8C-A1B3-4261-BB05-628AA491133A}" type="presParOf" srcId="{54281253-8996-4ED1-9F5E-FF0AA7D0526C}" destId="{A02F630D-3594-49B0-B8CB-AD1BF7867427}" srcOrd="3" destOrd="0" presId="urn:microsoft.com/office/officeart/2005/8/layout/hierarchy1"/>
    <dgm:cxn modelId="{42425353-A44E-4A25-8A53-453FB361A194}" type="presParOf" srcId="{A02F630D-3594-49B0-B8CB-AD1BF7867427}" destId="{E5391CFD-B144-4243-BEB6-6BE932BEF709}" srcOrd="0" destOrd="0" presId="urn:microsoft.com/office/officeart/2005/8/layout/hierarchy1"/>
    <dgm:cxn modelId="{39DBABC0-6EC7-4EE4-95E4-29EBCC3F574A}" type="presParOf" srcId="{E5391CFD-B144-4243-BEB6-6BE932BEF709}" destId="{445F385C-7E42-4F4C-8949-E3A96221431A}" srcOrd="0" destOrd="0" presId="urn:microsoft.com/office/officeart/2005/8/layout/hierarchy1"/>
    <dgm:cxn modelId="{BD077C2F-AD61-48ED-86DA-B4F3F1690F40}" type="presParOf" srcId="{E5391CFD-B144-4243-BEB6-6BE932BEF709}" destId="{6CD3E4A3-C45B-4280-94A3-9A83AC4C36AE}" srcOrd="1" destOrd="0" presId="urn:microsoft.com/office/officeart/2005/8/layout/hierarchy1"/>
    <dgm:cxn modelId="{026816FF-2D5E-4E5F-91BE-2E624967C8C5}" type="presParOf" srcId="{A02F630D-3594-49B0-B8CB-AD1BF7867427}" destId="{6D1075A9-ED95-4D7A-A5E2-A3B20F2C194E}" srcOrd="1" destOrd="0" presId="urn:microsoft.com/office/officeart/2005/8/layout/hierarchy1"/>
    <dgm:cxn modelId="{846E44D9-DE48-46A0-81EB-D38FF95D07B1}" type="presParOf" srcId="{85658636-0201-48CC-B568-809372CD7663}" destId="{C191476F-4384-4942-A345-F58CCCE2CCC0}" srcOrd="2" destOrd="0" presId="urn:microsoft.com/office/officeart/2005/8/layout/hierarchy1"/>
    <dgm:cxn modelId="{F271E339-EAFE-464E-9959-72CFBE2AB6EC}" type="presParOf" srcId="{85658636-0201-48CC-B568-809372CD7663}" destId="{615474B7-547B-43A1-BFE2-1808F2B0ECFF}" srcOrd="3" destOrd="0" presId="urn:microsoft.com/office/officeart/2005/8/layout/hierarchy1"/>
    <dgm:cxn modelId="{C07C6997-8E42-4B70-9024-24A2DE83B101}" type="presParOf" srcId="{615474B7-547B-43A1-BFE2-1808F2B0ECFF}" destId="{808AAFA4-0A9C-4595-92E8-E492FD22AD3B}" srcOrd="0" destOrd="0" presId="urn:microsoft.com/office/officeart/2005/8/layout/hierarchy1"/>
    <dgm:cxn modelId="{7FB0C1F0-9996-4470-AD7E-7C15DC14A432}" type="presParOf" srcId="{808AAFA4-0A9C-4595-92E8-E492FD22AD3B}" destId="{E00541A1-3D4E-4C46-BA31-89C38850E8AF}" srcOrd="0" destOrd="0" presId="urn:microsoft.com/office/officeart/2005/8/layout/hierarchy1"/>
    <dgm:cxn modelId="{212A0D0F-8592-4033-A803-53F0C782FA7C}" type="presParOf" srcId="{808AAFA4-0A9C-4595-92E8-E492FD22AD3B}" destId="{7A85EF12-1EA9-491D-ADC0-644BA3EC9282}" srcOrd="1" destOrd="0" presId="urn:microsoft.com/office/officeart/2005/8/layout/hierarchy1"/>
    <dgm:cxn modelId="{75183240-D916-404D-B8DB-2B379FAB72C9}" type="presParOf" srcId="{615474B7-547B-43A1-BFE2-1808F2B0ECFF}" destId="{B9B645B4-9F37-445D-9CF9-2B2F670CDC3C}" srcOrd="1" destOrd="0" presId="urn:microsoft.com/office/officeart/2005/8/layout/hierarchy1"/>
    <dgm:cxn modelId="{4D680CEC-F0B7-460F-AB49-E9B20F7AEE34}" type="presParOf" srcId="{B9B645B4-9F37-445D-9CF9-2B2F670CDC3C}" destId="{F0E172CA-F0F1-4EA8-A1E5-51FC2FE55912}" srcOrd="0" destOrd="0" presId="urn:microsoft.com/office/officeart/2005/8/layout/hierarchy1"/>
    <dgm:cxn modelId="{063535BD-65E7-49D7-BB08-B22FE440AC79}" type="presParOf" srcId="{B9B645B4-9F37-445D-9CF9-2B2F670CDC3C}" destId="{1605D30B-7F9C-4009-B840-D71F619FD196}" srcOrd="1" destOrd="0" presId="urn:microsoft.com/office/officeart/2005/8/layout/hierarchy1"/>
    <dgm:cxn modelId="{9BD44B98-734B-4BA5-B51C-2F175BC740C9}" type="presParOf" srcId="{1605D30B-7F9C-4009-B840-D71F619FD196}" destId="{C70E8650-A363-46F5-B33A-EE747159211E}" srcOrd="0" destOrd="0" presId="urn:microsoft.com/office/officeart/2005/8/layout/hierarchy1"/>
    <dgm:cxn modelId="{EF54EA1C-D008-49C4-BE32-683761EA50FA}" type="presParOf" srcId="{C70E8650-A363-46F5-B33A-EE747159211E}" destId="{FC4F1DD6-2A6C-45FE-A68E-7B5284D66D76}" srcOrd="0" destOrd="0" presId="urn:microsoft.com/office/officeart/2005/8/layout/hierarchy1"/>
    <dgm:cxn modelId="{A1CA4575-0B86-4DBF-985A-8D08174168C9}" type="presParOf" srcId="{C70E8650-A363-46F5-B33A-EE747159211E}" destId="{0396FB34-A191-45B7-96BF-B77823EAB019}" srcOrd="1" destOrd="0" presId="urn:microsoft.com/office/officeart/2005/8/layout/hierarchy1"/>
    <dgm:cxn modelId="{C1C31E19-E02B-4D9B-831E-9D26C37650CA}" type="presParOf" srcId="{1605D30B-7F9C-4009-B840-D71F619FD196}" destId="{9B58D5DF-4E1E-4D52-B081-CDF6AAF83249}" srcOrd="1" destOrd="0" presId="urn:microsoft.com/office/officeart/2005/8/layout/hierarchy1"/>
    <dgm:cxn modelId="{934E9E35-0767-4535-B512-2A012F287B42}" type="presParOf" srcId="{9B58D5DF-4E1E-4D52-B081-CDF6AAF83249}" destId="{1E03C205-CE26-4E90-A466-130F3A700ED1}" srcOrd="0" destOrd="0" presId="urn:microsoft.com/office/officeart/2005/8/layout/hierarchy1"/>
    <dgm:cxn modelId="{D853F7FB-4C1B-4320-A72F-F65517C31EB1}" type="presParOf" srcId="{9B58D5DF-4E1E-4D52-B081-CDF6AAF83249}" destId="{85CE9311-091D-49AA-B0F2-C76813162FE4}" srcOrd="1" destOrd="0" presId="urn:microsoft.com/office/officeart/2005/8/layout/hierarchy1"/>
    <dgm:cxn modelId="{3C9B6FAC-7987-4B31-A94E-A61EE9BF16DE}" type="presParOf" srcId="{85CE9311-091D-49AA-B0F2-C76813162FE4}" destId="{025152B3-BB1D-42D6-BCDF-A0AD720D84B6}" srcOrd="0" destOrd="0" presId="urn:microsoft.com/office/officeart/2005/8/layout/hierarchy1"/>
    <dgm:cxn modelId="{7F40949D-E893-490B-B7B4-C7E8AFE2368C}" type="presParOf" srcId="{025152B3-BB1D-42D6-BCDF-A0AD720D84B6}" destId="{4E597D2B-25B1-49D3-9406-46824E241C38}" srcOrd="0" destOrd="0" presId="urn:microsoft.com/office/officeart/2005/8/layout/hierarchy1"/>
    <dgm:cxn modelId="{FB77287D-7110-4963-AA0E-8852A7B11672}" type="presParOf" srcId="{025152B3-BB1D-42D6-BCDF-A0AD720D84B6}" destId="{BFF86DFD-B673-4F4C-8CCD-33E2CB1520B5}" srcOrd="1" destOrd="0" presId="urn:microsoft.com/office/officeart/2005/8/layout/hierarchy1"/>
    <dgm:cxn modelId="{9161A0AB-0AA4-44CE-93EA-65FF5C8EF1D8}" type="presParOf" srcId="{85CE9311-091D-49AA-B0F2-C76813162FE4}" destId="{7995268F-4EBF-4C5F-BC14-9E804DC404F6}" srcOrd="1" destOrd="0" presId="urn:microsoft.com/office/officeart/2005/8/layout/hierarchy1"/>
    <dgm:cxn modelId="{9D04FC18-2085-448D-832A-DA86C052278F}" type="presParOf" srcId="{9B58D5DF-4E1E-4D52-B081-CDF6AAF83249}" destId="{2C61EB6E-E315-4AF5-8304-9062D997D2CF}" srcOrd="2" destOrd="0" presId="urn:microsoft.com/office/officeart/2005/8/layout/hierarchy1"/>
    <dgm:cxn modelId="{CF61D709-F276-482B-A090-8AB8729D7CD4}" type="presParOf" srcId="{9B58D5DF-4E1E-4D52-B081-CDF6AAF83249}" destId="{1FE8AE1C-4118-466D-B9DA-7925C9C48B5F}" srcOrd="3" destOrd="0" presId="urn:microsoft.com/office/officeart/2005/8/layout/hierarchy1"/>
    <dgm:cxn modelId="{959A7C06-43B4-435E-8733-26D1016A09F9}" type="presParOf" srcId="{1FE8AE1C-4118-466D-B9DA-7925C9C48B5F}" destId="{2FCDE82C-4ED0-4F1C-811F-14E5E0F46B61}" srcOrd="0" destOrd="0" presId="urn:microsoft.com/office/officeart/2005/8/layout/hierarchy1"/>
    <dgm:cxn modelId="{FFDCBEEF-C64C-46F2-8AA9-CF0E5FBA5723}" type="presParOf" srcId="{2FCDE82C-4ED0-4F1C-811F-14E5E0F46B61}" destId="{BA666EAB-788D-4E25-9D3B-0397939B9B30}" srcOrd="0" destOrd="0" presId="urn:microsoft.com/office/officeart/2005/8/layout/hierarchy1"/>
    <dgm:cxn modelId="{58658523-8279-463D-BC09-4586B21D6C5F}" type="presParOf" srcId="{2FCDE82C-4ED0-4F1C-811F-14E5E0F46B61}" destId="{6205F749-4DDD-4995-AE23-758EBA26BC5F}" srcOrd="1" destOrd="0" presId="urn:microsoft.com/office/officeart/2005/8/layout/hierarchy1"/>
    <dgm:cxn modelId="{CCA536DD-522D-4B7A-8DD5-6EAFCB0E00AD}" type="presParOf" srcId="{1FE8AE1C-4118-466D-B9DA-7925C9C48B5F}" destId="{8FC18203-8429-4F72-B468-043B3FE2A69C}" srcOrd="1" destOrd="0" presId="urn:microsoft.com/office/officeart/2005/8/layout/hierarchy1"/>
    <dgm:cxn modelId="{D3814C9E-105D-4649-99C8-0EF36F0DB55A}" type="presParOf" srcId="{8FC18203-8429-4F72-B468-043B3FE2A69C}" destId="{0EADCDC3-2BDA-4C04-85A9-0EFA12EF38E6}" srcOrd="0" destOrd="0" presId="urn:microsoft.com/office/officeart/2005/8/layout/hierarchy1"/>
    <dgm:cxn modelId="{D8FFD382-DE90-4EDD-8006-CEA1DEE75470}" type="presParOf" srcId="{8FC18203-8429-4F72-B468-043B3FE2A69C}" destId="{DB2E8B4B-033B-467A-B6AA-C76F378A9566}" srcOrd="1" destOrd="0" presId="urn:microsoft.com/office/officeart/2005/8/layout/hierarchy1"/>
    <dgm:cxn modelId="{386F4FDD-B5D4-42AD-A5BA-5E66998C1412}" type="presParOf" srcId="{DB2E8B4B-033B-467A-B6AA-C76F378A9566}" destId="{C38419E8-56D2-4B69-A45F-1A1F1911A195}" srcOrd="0" destOrd="0" presId="urn:microsoft.com/office/officeart/2005/8/layout/hierarchy1"/>
    <dgm:cxn modelId="{C3C9A33F-42BA-40DD-B470-13DF1BF1F4B7}" type="presParOf" srcId="{C38419E8-56D2-4B69-A45F-1A1F1911A195}" destId="{87A72C09-DC00-42E1-8F4B-750414D63F66}" srcOrd="0" destOrd="0" presId="urn:microsoft.com/office/officeart/2005/8/layout/hierarchy1"/>
    <dgm:cxn modelId="{E9709F0D-729E-4607-84B3-70A1A92FA805}" type="presParOf" srcId="{C38419E8-56D2-4B69-A45F-1A1F1911A195}" destId="{D7B1B989-B231-44EF-AE64-3E4071A320DD}" srcOrd="1" destOrd="0" presId="urn:microsoft.com/office/officeart/2005/8/layout/hierarchy1"/>
    <dgm:cxn modelId="{F32FBEBA-A070-4512-866F-D85FD0AB1CAB}" type="presParOf" srcId="{DB2E8B4B-033B-467A-B6AA-C76F378A9566}" destId="{A1228981-F0DE-4518-A74F-72CDE1A5710C}" srcOrd="1" destOrd="0" presId="urn:microsoft.com/office/officeart/2005/8/layout/hierarchy1"/>
    <dgm:cxn modelId="{4099E1B5-406F-47DC-941C-56CD469849D2}" type="presParOf" srcId="{B9B645B4-9F37-445D-9CF9-2B2F670CDC3C}" destId="{2E8C8378-84CD-4A5F-ACBC-362D10B2F96B}" srcOrd="2" destOrd="0" presId="urn:microsoft.com/office/officeart/2005/8/layout/hierarchy1"/>
    <dgm:cxn modelId="{5682B520-BC58-4DAF-AD78-4CCE677CFE18}" type="presParOf" srcId="{B9B645B4-9F37-445D-9CF9-2B2F670CDC3C}" destId="{305D28BF-9333-4A26-90A8-98A3BEFCC66B}" srcOrd="3" destOrd="0" presId="urn:microsoft.com/office/officeart/2005/8/layout/hierarchy1"/>
    <dgm:cxn modelId="{EF07FEB2-55DF-41A9-A3BF-DF3561A3F9D7}" type="presParOf" srcId="{305D28BF-9333-4A26-90A8-98A3BEFCC66B}" destId="{78E99CCF-7BB6-471C-8291-8B196A37C262}" srcOrd="0" destOrd="0" presId="urn:microsoft.com/office/officeart/2005/8/layout/hierarchy1"/>
    <dgm:cxn modelId="{3AD83FD0-E2E7-40E2-B132-AD41BA1B4C04}" type="presParOf" srcId="{78E99CCF-7BB6-471C-8291-8B196A37C262}" destId="{7B7F4674-ABF5-41CE-AF86-6E12F8D0F4DD}" srcOrd="0" destOrd="0" presId="urn:microsoft.com/office/officeart/2005/8/layout/hierarchy1"/>
    <dgm:cxn modelId="{F152E9CC-1BF7-4FB8-A681-CC4EFDFC05FD}" type="presParOf" srcId="{78E99CCF-7BB6-471C-8291-8B196A37C262}" destId="{8B934164-EA73-4076-B19B-EA1736AE5CE4}" srcOrd="1" destOrd="0" presId="urn:microsoft.com/office/officeart/2005/8/layout/hierarchy1"/>
    <dgm:cxn modelId="{8BB31F3E-B523-4CDB-BDF4-19B2A2FD5C26}" type="presParOf" srcId="{305D28BF-9333-4A26-90A8-98A3BEFCC66B}" destId="{9A6698D9-9C26-4709-9E22-AC6FDAB634C0}" srcOrd="1" destOrd="0" presId="urn:microsoft.com/office/officeart/2005/8/layout/hierarchy1"/>
  </dgm:cxnLst>
  <dgm:bg>
    <a:noFill/>
  </dgm:bg>
  <dgm:whole/>
  <dgm:extLst>
    <a:ext uri="http://schemas.microsoft.com/office/drawing/2008/diagram">
      <dsp:dataModelExt xmlns:dsp="http://schemas.microsoft.com/office/drawing/2008/diagram" relId="rId8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8C8378-84CD-4A5F-ACBC-362D10B2F96B}">
      <dsp:nvSpPr>
        <dsp:cNvPr id="0" name=""/>
        <dsp:cNvSpPr/>
      </dsp:nvSpPr>
      <dsp:spPr>
        <a:xfrm>
          <a:off x="4566379" y="857739"/>
          <a:ext cx="501633" cy="188066"/>
        </a:xfrm>
        <a:custGeom>
          <a:avLst/>
          <a:gdLst/>
          <a:ahLst/>
          <a:cxnLst/>
          <a:rect l="0" t="0" r="0" b="0"/>
          <a:pathLst>
            <a:path>
              <a:moveTo>
                <a:pt x="0" y="0"/>
              </a:moveTo>
              <a:lnTo>
                <a:pt x="0" y="128161"/>
              </a:lnTo>
              <a:lnTo>
                <a:pt x="501633" y="128161"/>
              </a:lnTo>
              <a:lnTo>
                <a:pt x="501633" y="18806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ADCDC3-2BDA-4C04-85A9-0EFA12EF38E6}">
      <dsp:nvSpPr>
        <dsp:cNvPr id="0" name=""/>
        <dsp:cNvSpPr/>
      </dsp:nvSpPr>
      <dsp:spPr>
        <a:xfrm>
          <a:off x="4618096" y="1783627"/>
          <a:ext cx="91440" cy="188066"/>
        </a:xfrm>
        <a:custGeom>
          <a:avLst/>
          <a:gdLst/>
          <a:ahLst/>
          <a:cxnLst/>
          <a:rect l="0" t="0" r="0" b="0"/>
          <a:pathLst>
            <a:path>
              <a:moveTo>
                <a:pt x="45720" y="0"/>
              </a:moveTo>
              <a:lnTo>
                <a:pt x="45720" y="18806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61EB6E-E315-4AF5-8304-9062D997D2CF}">
      <dsp:nvSpPr>
        <dsp:cNvPr id="0" name=""/>
        <dsp:cNvSpPr/>
      </dsp:nvSpPr>
      <dsp:spPr>
        <a:xfrm>
          <a:off x="3861194" y="1336040"/>
          <a:ext cx="802622" cy="188066"/>
        </a:xfrm>
        <a:custGeom>
          <a:avLst/>
          <a:gdLst/>
          <a:ahLst/>
          <a:cxnLst/>
          <a:rect l="0" t="0" r="0" b="0"/>
          <a:pathLst>
            <a:path>
              <a:moveTo>
                <a:pt x="0" y="0"/>
              </a:moveTo>
              <a:lnTo>
                <a:pt x="0" y="128161"/>
              </a:lnTo>
              <a:lnTo>
                <a:pt x="802622" y="128161"/>
              </a:lnTo>
              <a:lnTo>
                <a:pt x="802622" y="18806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03C205-CE26-4E90-A466-130F3A700ED1}">
      <dsp:nvSpPr>
        <dsp:cNvPr id="0" name=""/>
        <dsp:cNvSpPr/>
      </dsp:nvSpPr>
      <dsp:spPr>
        <a:xfrm>
          <a:off x="3107290" y="1336040"/>
          <a:ext cx="753903" cy="188066"/>
        </a:xfrm>
        <a:custGeom>
          <a:avLst/>
          <a:gdLst/>
          <a:ahLst/>
          <a:cxnLst/>
          <a:rect l="0" t="0" r="0" b="0"/>
          <a:pathLst>
            <a:path>
              <a:moveTo>
                <a:pt x="753903" y="0"/>
              </a:moveTo>
              <a:lnTo>
                <a:pt x="753903" y="128161"/>
              </a:lnTo>
              <a:lnTo>
                <a:pt x="0" y="128161"/>
              </a:lnTo>
              <a:lnTo>
                <a:pt x="0" y="18806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E172CA-F0F1-4EA8-A1E5-51FC2FE55912}">
      <dsp:nvSpPr>
        <dsp:cNvPr id="0" name=""/>
        <dsp:cNvSpPr/>
      </dsp:nvSpPr>
      <dsp:spPr>
        <a:xfrm>
          <a:off x="3861194" y="857739"/>
          <a:ext cx="705185" cy="188066"/>
        </a:xfrm>
        <a:custGeom>
          <a:avLst/>
          <a:gdLst/>
          <a:ahLst/>
          <a:cxnLst/>
          <a:rect l="0" t="0" r="0" b="0"/>
          <a:pathLst>
            <a:path>
              <a:moveTo>
                <a:pt x="705185" y="0"/>
              </a:moveTo>
              <a:lnTo>
                <a:pt x="705185" y="128161"/>
              </a:lnTo>
              <a:lnTo>
                <a:pt x="0" y="128161"/>
              </a:lnTo>
              <a:lnTo>
                <a:pt x="0" y="188066"/>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C191476F-4384-4942-A345-F58CCCE2CCC0}">
      <dsp:nvSpPr>
        <dsp:cNvPr id="0" name=""/>
        <dsp:cNvSpPr/>
      </dsp:nvSpPr>
      <dsp:spPr>
        <a:xfrm>
          <a:off x="3268733" y="302758"/>
          <a:ext cx="1297645" cy="188066"/>
        </a:xfrm>
        <a:custGeom>
          <a:avLst/>
          <a:gdLst/>
          <a:ahLst/>
          <a:cxnLst/>
          <a:rect l="0" t="0" r="0" b="0"/>
          <a:pathLst>
            <a:path>
              <a:moveTo>
                <a:pt x="0" y="0"/>
              </a:moveTo>
              <a:lnTo>
                <a:pt x="0" y="128161"/>
              </a:lnTo>
              <a:lnTo>
                <a:pt x="1297645" y="128161"/>
              </a:lnTo>
              <a:lnTo>
                <a:pt x="1297645" y="188066"/>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0E80919A-D217-4878-A36B-B5129272ABA9}">
      <dsp:nvSpPr>
        <dsp:cNvPr id="0" name=""/>
        <dsp:cNvSpPr/>
      </dsp:nvSpPr>
      <dsp:spPr>
        <a:xfrm>
          <a:off x="1949189" y="857739"/>
          <a:ext cx="656467" cy="188066"/>
        </a:xfrm>
        <a:custGeom>
          <a:avLst/>
          <a:gdLst/>
          <a:ahLst/>
          <a:cxnLst/>
          <a:rect l="0" t="0" r="0" b="0"/>
          <a:pathLst>
            <a:path>
              <a:moveTo>
                <a:pt x="0" y="0"/>
              </a:moveTo>
              <a:lnTo>
                <a:pt x="0" y="128161"/>
              </a:lnTo>
              <a:lnTo>
                <a:pt x="656467" y="128161"/>
              </a:lnTo>
              <a:lnTo>
                <a:pt x="656467" y="188066"/>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AA4E60FE-55C5-4A7D-A6B2-099E8E01A4AA}">
      <dsp:nvSpPr>
        <dsp:cNvPr id="0" name=""/>
        <dsp:cNvSpPr/>
      </dsp:nvSpPr>
      <dsp:spPr>
        <a:xfrm>
          <a:off x="1195285" y="857739"/>
          <a:ext cx="753903" cy="188066"/>
        </a:xfrm>
        <a:custGeom>
          <a:avLst/>
          <a:gdLst/>
          <a:ahLst/>
          <a:cxnLst/>
          <a:rect l="0" t="0" r="0" b="0"/>
          <a:pathLst>
            <a:path>
              <a:moveTo>
                <a:pt x="753903" y="0"/>
              </a:moveTo>
              <a:lnTo>
                <a:pt x="753903" y="128161"/>
              </a:lnTo>
              <a:lnTo>
                <a:pt x="0" y="128161"/>
              </a:lnTo>
              <a:lnTo>
                <a:pt x="0" y="188066"/>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8800AF6E-5956-42FD-B348-23901D4A48DD}">
      <dsp:nvSpPr>
        <dsp:cNvPr id="0" name=""/>
        <dsp:cNvSpPr/>
      </dsp:nvSpPr>
      <dsp:spPr>
        <a:xfrm>
          <a:off x="1949189" y="302758"/>
          <a:ext cx="1319544" cy="188066"/>
        </a:xfrm>
        <a:custGeom>
          <a:avLst/>
          <a:gdLst/>
          <a:ahLst/>
          <a:cxnLst/>
          <a:rect l="0" t="0" r="0" b="0"/>
          <a:pathLst>
            <a:path>
              <a:moveTo>
                <a:pt x="1319544" y="0"/>
              </a:moveTo>
              <a:lnTo>
                <a:pt x="1319544" y="128161"/>
              </a:lnTo>
              <a:lnTo>
                <a:pt x="0" y="128161"/>
              </a:lnTo>
              <a:lnTo>
                <a:pt x="0" y="188066"/>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D9E76D5A-08C1-4590-B743-21432EBCD52D}">
      <dsp:nvSpPr>
        <dsp:cNvPr id="0" name=""/>
        <dsp:cNvSpPr/>
      </dsp:nvSpPr>
      <dsp:spPr>
        <a:xfrm>
          <a:off x="2649313" y="1099"/>
          <a:ext cx="1238839" cy="301658"/>
        </a:xfrm>
        <a:prstGeom prst="roundRect">
          <a:avLst>
            <a:gd name="adj" fmla="val 10000"/>
          </a:avLst>
        </a:prstGeom>
        <a:solidFill>
          <a:schemeClr val="bg1">
            <a:lumMod val="5000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509CB3-37F2-40BB-A97F-05191B619A77}">
      <dsp:nvSpPr>
        <dsp:cNvPr id="0" name=""/>
        <dsp:cNvSpPr/>
      </dsp:nvSpPr>
      <dsp:spPr>
        <a:xfrm>
          <a:off x="2721163" y="69356"/>
          <a:ext cx="1238839" cy="301658"/>
        </a:xfrm>
        <a:prstGeom prst="roundRect">
          <a:avLst>
            <a:gd name="adj" fmla="val 10000"/>
          </a:avLst>
        </a:prstGeom>
        <a:solidFill>
          <a:schemeClr val="lt2">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anose="02020603050405020304" pitchFamily="18" charset="0"/>
              <a:cs typeface="Times New Roman" panose="02020603050405020304" pitchFamily="18" charset="0"/>
            </a:rPr>
            <a:t>Board of Directors</a:t>
          </a:r>
          <a:endParaRPr lang="en-IN" sz="1000" b="1" kern="1200">
            <a:latin typeface="Times New Roman" panose="02020603050405020304" pitchFamily="18" charset="0"/>
            <a:cs typeface="Times New Roman" panose="02020603050405020304" pitchFamily="18" charset="0"/>
          </a:endParaRPr>
        </a:p>
      </dsp:txBody>
      <dsp:txXfrm>
        <a:off x="2729998" y="78191"/>
        <a:ext cx="1221169" cy="283988"/>
      </dsp:txXfrm>
    </dsp:sp>
    <dsp:sp modelId="{B6274AFC-9356-4082-8289-F13C34AD9AB5}">
      <dsp:nvSpPr>
        <dsp:cNvPr id="0" name=""/>
        <dsp:cNvSpPr/>
      </dsp:nvSpPr>
      <dsp:spPr>
        <a:xfrm>
          <a:off x="841838" y="490824"/>
          <a:ext cx="2214701" cy="366914"/>
        </a:xfrm>
        <a:prstGeom prst="roundRect">
          <a:avLst>
            <a:gd name="adj" fmla="val 10000"/>
          </a:avLst>
        </a:prstGeom>
        <a:solidFill>
          <a:schemeClr val="bg1">
            <a:lumMod val="5000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722A376-73E7-4774-933A-BDF601D3148E}">
      <dsp:nvSpPr>
        <dsp:cNvPr id="0" name=""/>
        <dsp:cNvSpPr/>
      </dsp:nvSpPr>
      <dsp:spPr>
        <a:xfrm>
          <a:off x="913688" y="559081"/>
          <a:ext cx="2214701" cy="366914"/>
        </a:xfrm>
        <a:prstGeom prst="roundRect">
          <a:avLst>
            <a:gd name="adj" fmla="val 10000"/>
          </a:avLst>
        </a:prstGeom>
        <a:solidFill>
          <a:schemeClr val="lt2">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anose="02020603050405020304" pitchFamily="18" charset="0"/>
              <a:cs typeface="Times New Roman" panose="02020603050405020304" pitchFamily="18" charset="0"/>
            </a:rPr>
            <a:t>Bhavesh Ramgopal Maheshwari</a:t>
          </a:r>
          <a:endParaRPr lang="en-IN" sz="1000" b="1" kern="1200">
            <a:latin typeface="Times New Roman" panose="02020603050405020304" pitchFamily="18" charset="0"/>
            <a:cs typeface="Times New Roman" panose="02020603050405020304" pitchFamily="18" charset="0"/>
          </a:endParaRPr>
        </a:p>
        <a:p>
          <a:pPr marL="0" lvl="0" indent="0" algn="ctr" defTabSz="444500">
            <a:lnSpc>
              <a:spcPct val="90000"/>
            </a:lnSpc>
            <a:spcBef>
              <a:spcPct val="0"/>
            </a:spcBef>
            <a:spcAft>
              <a:spcPct val="35000"/>
            </a:spcAft>
            <a:buNone/>
          </a:pPr>
          <a:r>
            <a:rPr lang="en-IN" sz="1000" b="1" kern="1200">
              <a:latin typeface="Times New Roman" panose="02020603050405020304" pitchFamily="18" charset="0"/>
              <a:cs typeface="Times New Roman" panose="02020603050405020304" pitchFamily="18" charset="0"/>
            </a:rPr>
            <a:t>(Managing Director)</a:t>
          </a:r>
        </a:p>
      </dsp:txBody>
      <dsp:txXfrm>
        <a:off x="924435" y="569828"/>
        <a:ext cx="2193207" cy="345420"/>
      </dsp:txXfrm>
    </dsp:sp>
    <dsp:sp modelId="{1DC4AF6B-65CA-4766-BA6E-6948C743E89E}">
      <dsp:nvSpPr>
        <dsp:cNvPr id="0" name=""/>
        <dsp:cNvSpPr/>
      </dsp:nvSpPr>
      <dsp:spPr>
        <a:xfrm>
          <a:off x="610667" y="1045805"/>
          <a:ext cx="1169234" cy="292308"/>
        </a:xfrm>
        <a:prstGeom prst="roundRect">
          <a:avLst>
            <a:gd name="adj" fmla="val 10000"/>
          </a:avLst>
        </a:prstGeom>
        <a:solidFill>
          <a:schemeClr val="bg1">
            <a:lumMod val="5000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97BB57-9E8D-4A19-BF04-F3B89AA2B6D6}">
      <dsp:nvSpPr>
        <dsp:cNvPr id="0" name=""/>
        <dsp:cNvSpPr/>
      </dsp:nvSpPr>
      <dsp:spPr>
        <a:xfrm>
          <a:off x="682517" y="1114062"/>
          <a:ext cx="1169234" cy="292308"/>
        </a:xfrm>
        <a:prstGeom prst="roundRect">
          <a:avLst>
            <a:gd name="adj" fmla="val 10000"/>
          </a:avLst>
        </a:prstGeom>
        <a:solidFill>
          <a:schemeClr val="lt2">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N" sz="1000" b="1" kern="1200">
              <a:latin typeface="Times New Roman" panose="02020603050405020304" pitchFamily="18" charset="0"/>
              <a:cs typeface="Times New Roman" panose="02020603050405020304" pitchFamily="18" charset="0"/>
            </a:rPr>
            <a:t>Production</a:t>
          </a:r>
        </a:p>
      </dsp:txBody>
      <dsp:txXfrm>
        <a:off x="691078" y="1122623"/>
        <a:ext cx="1152112" cy="275186"/>
      </dsp:txXfrm>
    </dsp:sp>
    <dsp:sp modelId="{445F385C-7E42-4F4C-8949-E3A96221431A}">
      <dsp:nvSpPr>
        <dsp:cNvPr id="0" name=""/>
        <dsp:cNvSpPr/>
      </dsp:nvSpPr>
      <dsp:spPr>
        <a:xfrm>
          <a:off x="1923602" y="1045805"/>
          <a:ext cx="1364108" cy="292308"/>
        </a:xfrm>
        <a:prstGeom prst="roundRect">
          <a:avLst>
            <a:gd name="adj" fmla="val 10000"/>
          </a:avLst>
        </a:prstGeom>
        <a:solidFill>
          <a:schemeClr val="bg1">
            <a:lumMod val="5000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CD3E4A3-C45B-4280-94A3-9A83AC4C36AE}">
      <dsp:nvSpPr>
        <dsp:cNvPr id="0" name=""/>
        <dsp:cNvSpPr/>
      </dsp:nvSpPr>
      <dsp:spPr>
        <a:xfrm>
          <a:off x="1995451" y="1114062"/>
          <a:ext cx="1364108" cy="292308"/>
        </a:xfrm>
        <a:prstGeom prst="roundRect">
          <a:avLst>
            <a:gd name="adj" fmla="val 10000"/>
          </a:avLst>
        </a:prstGeom>
        <a:solidFill>
          <a:schemeClr val="lt2">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N" sz="1000" b="1" kern="1200">
              <a:latin typeface="Times New Roman" panose="02020603050405020304" pitchFamily="18" charset="0"/>
              <a:cs typeface="Times New Roman" panose="02020603050405020304" pitchFamily="18" charset="0"/>
            </a:rPr>
            <a:t>Sales and Marketing</a:t>
          </a:r>
          <a:endParaRPr lang="en-IN" sz="800" b="1" kern="1200">
            <a:latin typeface="Times New Roman" panose="02020603050405020304" pitchFamily="18" charset="0"/>
            <a:cs typeface="Times New Roman" panose="02020603050405020304" pitchFamily="18" charset="0"/>
          </a:endParaRPr>
        </a:p>
      </dsp:txBody>
      <dsp:txXfrm>
        <a:off x="2004012" y="1122623"/>
        <a:ext cx="1346986" cy="275186"/>
      </dsp:txXfrm>
    </dsp:sp>
    <dsp:sp modelId="{E00541A1-3D4E-4C46-BA31-89C38850E8AF}">
      <dsp:nvSpPr>
        <dsp:cNvPr id="0" name=""/>
        <dsp:cNvSpPr/>
      </dsp:nvSpPr>
      <dsp:spPr>
        <a:xfrm>
          <a:off x="3437130" y="490824"/>
          <a:ext cx="2258498" cy="366914"/>
        </a:xfrm>
        <a:prstGeom prst="roundRect">
          <a:avLst>
            <a:gd name="adj" fmla="val 10000"/>
          </a:avLst>
        </a:prstGeom>
        <a:solidFill>
          <a:schemeClr val="bg1">
            <a:lumMod val="5000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A85EF12-1EA9-491D-ADC0-644BA3EC9282}">
      <dsp:nvSpPr>
        <dsp:cNvPr id="0" name=""/>
        <dsp:cNvSpPr/>
      </dsp:nvSpPr>
      <dsp:spPr>
        <a:xfrm>
          <a:off x="3508979" y="559081"/>
          <a:ext cx="2258498" cy="366914"/>
        </a:xfrm>
        <a:prstGeom prst="roundRect">
          <a:avLst>
            <a:gd name="adj" fmla="val 10000"/>
          </a:avLst>
        </a:prstGeom>
        <a:solidFill>
          <a:schemeClr val="lt2">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latin typeface="Times New Roman" panose="02020603050405020304" pitchFamily="18" charset="0"/>
              <a:cs typeface="Times New Roman" panose="02020603050405020304" pitchFamily="18" charset="0"/>
            </a:rPr>
            <a:t>Ramgopal Ochhavlal Maheshwari</a:t>
          </a:r>
        </a:p>
        <a:p>
          <a:pPr marL="0" lvl="0" indent="0" algn="ctr" defTabSz="444500">
            <a:lnSpc>
              <a:spcPct val="90000"/>
            </a:lnSpc>
            <a:spcBef>
              <a:spcPct val="0"/>
            </a:spcBef>
            <a:spcAft>
              <a:spcPct val="35000"/>
            </a:spcAft>
            <a:buNone/>
          </a:pPr>
          <a:r>
            <a:rPr lang="en-IN" sz="1000" b="1" kern="1200">
              <a:latin typeface="Times New Roman" panose="02020603050405020304" pitchFamily="18" charset="0"/>
              <a:cs typeface="Times New Roman" panose="02020603050405020304" pitchFamily="18" charset="0"/>
            </a:rPr>
            <a:t>(Chairman &amp; Whole-time Director)</a:t>
          </a:r>
        </a:p>
      </dsp:txBody>
      <dsp:txXfrm>
        <a:off x="3519726" y="569828"/>
        <a:ext cx="2237004" cy="345420"/>
      </dsp:txXfrm>
    </dsp:sp>
    <dsp:sp modelId="{FC4F1DD6-2A6C-45FE-A68E-7B5284D66D76}">
      <dsp:nvSpPr>
        <dsp:cNvPr id="0" name=""/>
        <dsp:cNvSpPr/>
      </dsp:nvSpPr>
      <dsp:spPr>
        <a:xfrm>
          <a:off x="3431409" y="1045805"/>
          <a:ext cx="859568" cy="290235"/>
        </a:xfrm>
        <a:prstGeom prst="roundRect">
          <a:avLst>
            <a:gd name="adj" fmla="val 10000"/>
          </a:avLst>
        </a:prstGeom>
        <a:solidFill>
          <a:schemeClr val="bg1">
            <a:lumMod val="5000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396FB34-A191-45B7-96BF-B77823EAB019}">
      <dsp:nvSpPr>
        <dsp:cNvPr id="0" name=""/>
        <dsp:cNvSpPr/>
      </dsp:nvSpPr>
      <dsp:spPr>
        <a:xfrm>
          <a:off x="3503259" y="1114062"/>
          <a:ext cx="859568" cy="290235"/>
        </a:xfrm>
        <a:prstGeom prst="roundRect">
          <a:avLst>
            <a:gd name="adj" fmla="val 10000"/>
          </a:avLst>
        </a:prstGeom>
        <a:solidFill>
          <a:schemeClr val="lt2">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N" sz="1000" b="1" kern="1200">
              <a:latin typeface="Times New Roman" panose="02020603050405020304" pitchFamily="18" charset="0"/>
              <a:cs typeface="Times New Roman" panose="02020603050405020304" pitchFamily="18" charset="0"/>
            </a:rPr>
            <a:t>CFO</a:t>
          </a:r>
        </a:p>
      </dsp:txBody>
      <dsp:txXfrm>
        <a:off x="3511760" y="1122563"/>
        <a:ext cx="842566" cy="273233"/>
      </dsp:txXfrm>
    </dsp:sp>
    <dsp:sp modelId="{4E597D2B-25B1-49D3-9406-46824E241C38}">
      <dsp:nvSpPr>
        <dsp:cNvPr id="0" name=""/>
        <dsp:cNvSpPr/>
      </dsp:nvSpPr>
      <dsp:spPr>
        <a:xfrm>
          <a:off x="2376517" y="1524107"/>
          <a:ext cx="1461545" cy="281246"/>
        </a:xfrm>
        <a:prstGeom prst="roundRect">
          <a:avLst>
            <a:gd name="adj" fmla="val 10000"/>
          </a:avLst>
        </a:prstGeom>
        <a:solidFill>
          <a:schemeClr val="bg1">
            <a:lumMod val="5000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F86DFD-B673-4F4C-8CCD-33E2CB1520B5}">
      <dsp:nvSpPr>
        <dsp:cNvPr id="0" name=""/>
        <dsp:cNvSpPr/>
      </dsp:nvSpPr>
      <dsp:spPr>
        <a:xfrm>
          <a:off x="2448367" y="1592364"/>
          <a:ext cx="1461545" cy="281246"/>
        </a:xfrm>
        <a:prstGeom prst="roundRect">
          <a:avLst>
            <a:gd name="adj" fmla="val 10000"/>
          </a:avLst>
        </a:prstGeom>
        <a:solidFill>
          <a:schemeClr val="lt2">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N" sz="1000" b="1" kern="1200">
              <a:latin typeface="Times New Roman" panose="02020603050405020304" pitchFamily="18" charset="0"/>
              <a:cs typeface="Times New Roman" panose="02020603050405020304" pitchFamily="18" charset="0"/>
            </a:rPr>
            <a:t>Finance &amp; Accounts</a:t>
          </a:r>
        </a:p>
      </dsp:txBody>
      <dsp:txXfrm>
        <a:off x="2456604" y="1600601"/>
        <a:ext cx="1445071" cy="264772"/>
      </dsp:txXfrm>
    </dsp:sp>
    <dsp:sp modelId="{BA666EAB-788D-4E25-9D3B-0397939B9B30}">
      <dsp:nvSpPr>
        <dsp:cNvPr id="0" name=""/>
        <dsp:cNvSpPr/>
      </dsp:nvSpPr>
      <dsp:spPr>
        <a:xfrm>
          <a:off x="3981762" y="1524107"/>
          <a:ext cx="1364108" cy="259520"/>
        </a:xfrm>
        <a:prstGeom prst="roundRect">
          <a:avLst>
            <a:gd name="adj" fmla="val 10000"/>
          </a:avLst>
        </a:prstGeom>
        <a:solidFill>
          <a:schemeClr val="bg1">
            <a:lumMod val="5000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205F749-4DDD-4995-AE23-758EBA26BC5F}">
      <dsp:nvSpPr>
        <dsp:cNvPr id="0" name=""/>
        <dsp:cNvSpPr/>
      </dsp:nvSpPr>
      <dsp:spPr>
        <a:xfrm>
          <a:off x="4053611" y="1592364"/>
          <a:ext cx="1364108" cy="259520"/>
        </a:xfrm>
        <a:prstGeom prst="roundRect">
          <a:avLst>
            <a:gd name="adj" fmla="val 10000"/>
          </a:avLst>
        </a:prstGeom>
        <a:solidFill>
          <a:schemeClr val="lt2">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N" sz="1000" b="1" kern="1200">
              <a:latin typeface="Times New Roman" panose="02020603050405020304" pitchFamily="18" charset="0"/>
              <a:cs typeface="Times New Roman" panose="02020603050405020304" pitchFamily="18" charset="0"/>
            </a:rPr>
            <a:t>Secretarial &amp; Legal</a:t>
          </a:r>
        </a:p>
      </dsp:txBody>
      <dsp:txXfrm>
        <a:off x="4061212" y="1599965"/>
        <a:ext cx="1348906" cy="244318"/>
      </dsp:txXfrm>
    </dsp:sp>
    <dsp:sp modelId="{87A72C09-DC00-42E1-8F4B-750414D63F66}">
      <dsp:nvSpPr>
        <dsp:cNvPr id="0" name=""/>
        <dsp:cNvSpPr/>
      </dsp:nvSpPr>
      <dsp:spPr>
        <a:xfrm>
          <a:off x="3981762" y="1971694"/>
          <a:ext cx="1364108" cy="261458"/>
        </a:xfrm>
        <a:prstGeom prst="roundRect">
          <a:avLst>
            <a:gd name="adj" fmla="val 10000"/>
          </a:avLst>
        </a:prstGeom>
        <a:solidFill>
          <a:schemeClr val="bg1">
            <a:lumMod val="5000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7B1B989-B231-44EF-AE64-3E4071A320DD}">
      <dsp:nvSpPr>
        <dsp:cNvPr id="0" name=""/>
        <dsp:cNvSpPr/>
      </dsp:nvSpPr>
      <dsp:spPr>
        <a:xfrm>
          <a:off x="4053611" y="2039951"/>
          <a:ext cx="1364108" cy="261458"/>
        </a:xfrm>
        <a:prstGeom prst="roundRect">
          <a:avLst>
            <a:gd name="adj" fmla="val 10000"/>
          </a:avLst>
        </a:prstGeom>
        <a:solidFill>
          <a:schemeClr val="lt2">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N" sz="1000" b="1" kern="1200">
              <a:latin typeface="Times New Roman" panose="02020603050405020304" pitchFamily="18" charset="0"/>
              <a:cs typeface="Times New Roman" panose="02020603050405020304" pitchFamily="18" charset="0"/>
            </a:rPr>
            <a:t>Company Secretary</a:t>
          </a:r>
        </a:p>
      </dsp:txBody>
      <dsp:txXfrm>
        <a:off x="4061269" y="2047609"/>
        <a:ext cx="1348792" cy="246142"/>
      </dsp:txXfrm>
    </dsp:sp>
    <dsp:sp modelId="{7B7F4674-ABF5-41CE-AF86-6E12F8D0F4DD}">
      <dsp:nvSpPr>
        <dsp:cNvPr id="0" name=""/>
        <dsp:cNvSpPr/>
      </dsp:nvSpPr>
      <dsp:spPr>
        <a:xfrm>
          <a:off x="4434677" y="1045805"/>
          <a:ext cx="1266671" cy="281246"/>
        </a:xfrm>
        <a:prstGeom prst="roundRect">
          <a:avLst>
            <a:gd name="adj" fmla="val 10000"/>
          </a:avLst>
        </a:prstGeom>
        <a:solidFill>
          <a:schemeClr val="bg1">
            <a:lumMod val="5000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B934164-EA73-4076-B19B-EA1736AE5CE4}">
      <dsp:nvSpPr>
        <dsp:cNvPr id="0" name=""/>
        <dsp:cNvSpPr/>
      </dsp:nvSpPr>
      <dsp:spPr>
        <a:xfrm>
          <a:off x="4506527" y="1114062"/>
          <a:ext cx="1266671" cy="281246"/>
        </a:xfrm>
        <a:prstGeom prst="roundRect">
          <a:avLst>
            <a:gd name="adj" fmla="val 10000"/>
          </a:avLst>
        </a:prstGeom>
        <a:solidFill>
          <a:schemeClr val="lt2">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N" sz="1000" b="1" kern="1200">
              <a:latin typeface="Times New Roman" panose="02020603050405020304" pitchFamily="18" charset="0"/>
              <a:cs typeface="Times New Roman" panose="02020603050405020304" pitchFamily="18" charset="0"/>
            </a:rPr>
            <a:t>HR &amp; Admin</a:t>
          </a:r>
        </a:p>
      </dsp:txBody>
      <dsp:txXfrm>
        <a:off x="4514764" y="1122299"/>
        <a:ext cx="1250197" cy="26477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2EED0D-DD1C-4920-8CCA-10C7CAF70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244</Pages>
  <Words>132621</Words>
  <Characters>755942</Characters>
  <Application>Microsoft Office Word</Application>
  <DocSecurity>0</DocSecurity>
  <Lines>6299</Lines>
  <Paragraphs>1773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Deeksha</dc:creator>
  <cp:keywords/>
  <dc:description/>
  <cp:lastModifiedBy>AKUNMBD</cp:lastModifiedBy>
  <cp:revision>51</cp:revision>
  <dcterms:created xsi:type="dcterms:W3CDTF">2023-09-18T14:21:00Z</dcterms:created>
  <dcterms:modified xsi:type="dcterms:W3CDTF">2023-09-21T14:54:00Z</dcterms:modified>
</cp:coreProperties>
</file>